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header21.xml" ContentType="application/vnd.openxmlformats-officedocument.wordprocessingml.header+xml"/>
  <Override PartName="/word/footer20.xml" ContentType="application/vnd.openxmlformats-officedocument.wordprocessingml.footer+xml"/>
  <Override PartName="/word/header22.xml" ContentType="application/vnd.openxmlformats-officedocument.wordprocessingml.header+xml"/>
  <Override PartName="/word/footer21.xml" ContentType="application/vnd.openxmlformats-officedocument.wordprocessingml.footer+xml"/>
  <Override PartName="/word/header23.xml" ContentType="application/vnd.openxmlformats-officedocument.wordprocessingml.header+xml"/>
  <Override PartName="/word/footer22.xml" ContentType="application/vnd.openxmlformats-officedocument.wordprocessingml.footer+xml"/>
  <Override PartName="/word/header24.xml" ContentType="application/vnd.openxmlformats-officedocument.wordprocessingml.header+xml"/>
  <Override PartName="/word/footer23.xml" ContentType="application/vnd.openxmlformats-officedocument.wordprocessingml.footer+xml"/>
  <Override PartName="/word/header25.xml" ContentType="application/vnd.openxmlformats-officedocument.wordprocessingml.header+xml"/>
  <Override PartName="/word/footer24.xml" ContentType="application/vnd.openxmlformats-officedocument.wordprocessingml.footer+xml"/>
  <Override PartName="/word/header26.xml" ContentType="application/vnd.openxmlformats-officedocument.wordprocessingml.header+xml"/>
  <Override PartName="/word/footer25.xml" ContentType="application/vnd.openxmlformats-officedocument.wordprocessingml.footer+xml"/>
  <Override PartName="/word/header27.xml" ContentType="application/vnd.openxmlformats-officedocument.wordprocessingml.header+xml"/>
  <Override PartName="/word/footer26.xml" ContentType="application/vnd.openxmlformats-officedocument.wordprocessingml.footer+xml"/>
  <Override PartName="/word/header28.xml" ContentType="application/vnd.openxmlformats-officedocument.wordprocessingml.header+xml"/>
  <Override PartName="/word/footer2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B5BC46" w14:textId="46D7F5AC" w:rsidR="00727BE9" w:rsidRPr="0058370B" w:rsidRDefault="00E316CA" w:rsidP="00FE2F59">
      <w:pPr>
        <w:rPr>
          <w:rFonts w:cs="Arial"/>
        </w:rPr>
        <w:sectPr w:rsidR="00727BE9" w:rsidRPr="0058370B" w:rsidSect="00E316CA">
          <w:headerReference w:type="even" r:id="rId12"/>
          <w:headerReference w:type="default" r:id="rId13"/>
          <w:footerReference w:type="even" r:id="rId14"/>
          <w:footerReference w:type="default" r:id="rId15"/>
          <w:headerReference w:type="first" r:id="rId16"/>
          <w:footerReference w:type="first" r:id="rId17"/>
          <w:pgSz w:w="11906" w:h="16838" w:code="9"/>
          <w:pgMar w:top="284" w:right="0" w:bottom="284" w:left="0" w:header="0" w:footer="0" w:gutter="0"/>
          <w:pgNumType w:fmt="lowerRoman" w:start="1"/>
          <w:cols w:space="708"/>
          <w:docGrid w:linePitch="360"/>
        </w:sectPr>
      </w:pPr>
      <w:bookmarkStart w:id="0" w:name="_GoBack"/>
      <w:bookmarkEnd w:id="0"/>
      <w:r w:rsidRPr="00E316CA">
        <w:rPr>
          <w:rFonts w:cs="Arial"/>
          <w:noProof/>
          <w:lang w:eastAsia="en-AU"/>
        </w:rPr>
        <w:drawing>
          <wp:anchor distT="0" distB="0" distL="114300" distR="114300" simplePos="0" relativeHeight="251659280" behindDoc="0" locked="0" layoutInCell="1" allowOverlap="1" wp14:anchorId="07B61C85" wp14:editId="65F89F99">
            <wp:simplePos x="0" y="0"/>
            <wp:positionH relativeFrom="margin">
              <wp:align>center</wp:align>
            </wp:positionH>
            <wp:positionV relativeFrom="margin">
              <wp:align>bottom</wp:align>
            </wp:positionV>
            <wp:extent cx="7143750" cy="10100310"/>
            <wp:effectExtent l="0" t="0" r="0" b="0"/>
            <wp:wrapSquare wrapText="bothSides"/>
            <wp:docPr id="10" name="Picture 10" descr="Cover page for Annual Report for Quality Assurance and Quality Control Manual 2017–18, including Great Barrier Reef Marine Park Authority logo and photo of Clam Gardens in the Great Barrier Reef. Photo by Pete Niesen and copyright ShutterStock. " title="Annual Report for Quality Assurance and Quality Control Manual 201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brmpa.gov.au\SHARES\Publications\2018-0311 MMP Report Covers\RRMMP QA n QC Manual 16-17 COVER.jpg"/>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7143750" cy="10100310"/>
                    </a:xfrm>
                    <a:prstGeom prst="rect">
                      <a:avLst/>
                    </a:prstGeom>
                    <a:noFill/>
                    <a:ln>
                      <a:noFill/>
                    </a:ln>
                  </pic:spPr>
                </pic:pic>
              </a:graphicData>
            </a:graphic>
            <wp14:sizeRelH relativeFrom="page">
              <wp14:pctWidth>0</wp14:pctWidth>
            </wp14:sizeRelH>
            <wp14:sizeRelV relativeFrom="page">
              <wp14:pctHeight>0</wp14:pctHeight>
            </wp14:sizeRelV>
          </wp:anchor>
        </w:drawing>
      </w:r>
      <w:r w:rsidR="00572C40" w:rsidRPr="0058370B">
        <w:rPr>
          <w:rFonts w:cs="Arial"/>
          <w:noProof/>
          <w:lang w:eastAsia="en-AU"/>
        </w:rPr>
        <mc:AlternateContent>
          <mc:Choice Requires="wps">
            <w:drawing>
              <wp:anchor distT="0" distB="0" distL="114300" distR="114300" simplePos="0" relativeHeight="251658249" behindDoc="0" locked="0" layoutInCell="1" allowOverlap="1" wp14:anchorId="303DD152" wp14:editId="4E93F727">
                <wp:simplePos x="0" y="0"/>
                <wp:positionH relativeFrom="column">
                  <wp:posOffset>3810000</wp:posOffset>
                </wp:positionH>
                <wp:positionV relativeFrom="paragraph">
                  <wp:posOffset>4739640</wp:posOffset>
                </wp:positionV>
                <wp:extent cx="2247900" cy="638175"/>
                <wp:effectExtent l="0" t="0" r="0" b="952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7900" cy="638175"/>
                        </a:xfrm>
                        <a:prstGeom prst="rect">
                          <a:avLst/>
                        </a:prstGeom>
                        <a:solidFill>
                          <a:srgbClr val="FFFFFF"/>
                        </a:solidFill>
                        <a:ln w="9525">
                          <a:noFill/>
                          <a:miter lim="800000"/>
                          <a:headEnd/>
                          <a:tailEnd/>
                        </a:ln>
                      </wps:spPr>
                      <wps:txbx>
                        <w:txbxContent>
                          <w:p w14:paraId="61082643" w14:textId="77777777" w:rsidR="00CB53E4" w:rsidRPr="00572C40" w:rsidRDefault="00CB53E4" w:rsidP="00572C40">
                            <w:pPr>
                              <w:spacing w:line="192" w:lineRule="auto"/>
                              <w:rPr>
                                <w:rFonts w:ascii="Segoe UI Semibold" w:hAnsi="Segoe UI Semibold"/>
                                <w:color w:val="215868" w:themeColor="accent5" w:themeShade="80"/>
                                <w:sz w:val="56"/>
                                <w:szCs w:val="36"/>
                              </w:rPr>
                            </w:pPr>
                            <w:r w:rsidRPr="00572C40">
                              <w:rPr>
                                <w:rFonts w:ascii="Segoe UI Semibold" w:hAnsi="Segoe UI Semibold"/>
                                <w:color w:val="215868" w:themeColor="accent5" w:themeShade="80"/>
                                <w:sz w:val="56"/>
                                <w:szCs w:val="36"/>
                              </w:rPr>
                              <w:t>2016</w:t>
                            </w:r>
                            <w:r>
                              <w:rPr>
                                <w:rFonts w:ascii="Segoe UI Semibold" w:hAnsi="Segoe UI Semibold"/>
                                <w:color w:val="215868" w:themeColor="accent5" w:themeShade="80"/>
                                <w:sz w:val="56"/>
                                <w:szCs w:val="36"/>
                              </w:rPr>
                              <w:t>/</w:t>
                            </w:r>
                            <w:r w:rsidRPr="00572C40">
                              <w:rPr>
                                <w:rFonts w:ascii="Segoe UI Semibold" w:hAnsi="Segoe UI Semibold"/>
                                <w:color w:val="215868" w:themeColor="accent5" w:themeShade="80"/>
                                <w:sz w:val="56"/>
                                <w:szCs w:val="36"/>
                              </w:rPr>
                              <w:t>17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3DD152" id="_x0000_t202" coordsize="21600,21600" o:spt="202" path="m,l,21600r21600,l21600,xe">
                <v:stroke joinstyle="miter"/>
                <v:path gradientshapeok="t" o:connecttype="rect"/>
              </v:shapetype>
              <v:shape id="Text Box 17" o:spid="_x0000_s1026" type="#_x0000_t202" style="position:absolute;margin-left:300pt;margin-top:373.2pt;width:177pt;height:50.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" stroked="f">
                <v:textbox>
                  <w:txbxContent>
                    <w:p w14:paraId="61082643" w14:textId="77777777" w:rsidR="00CB53E4" w:rsidRPr="00572C40" w:rsidRDefault="00CB53E4" w:rsidP="00572C40">
                      <w:pPr>
                        <w:spacing w:line="192" w:lineRule="auto"/>
                        <w:rPr>
                          <w:rFonts w:ascii="Segoe UI Semibold" w:hAnsi="Segoe UI Semibold"/>
                          <w:color w:val="215868" w:themeColor="accent5" w:themeShade="80"/>
                          <w:sz w:val="56"/>
                          <w:szCs w:val="36"/>
                        </w:rPr>
                      </w:pPr>
                      <w:r w:rsidRPr="00572C40">
                        <w:rPr>
                          <w:rFonts w:ascii="Segoe UI Semibold" w:hAnsi="Segoe UI Semibold"/>
                          <w:color w:val="215868" w:themeColor="accent5" w:themeShade="80"/>
                          <w:sz w:val="56"/>
                          <w:szCs w:val="36"/>
                        </w:rPr>
                        <w:t>2016</w:t>
                      </w:r>
                      <w:r>
                        <w:rPr>
                          <w:rFonts w:ascii="Segoe UI Semibold" w:hAnsi="Segoe UI Semibold"/>
                          <w:color w:val="215868" w:themeColor="accent5" w:themeShade="80"/>
                          <w:sz w:val="56"/>
                          <w:szCs w:val="36"/>
                        </w:rPr>
                        <w:t>/</w:t>
                      </w:r>
                      <w:r w:rsidRPr="00572C40">
                        <w:rPr>
                          <w:rFonts w:ascii="Segoe UI Semibold" w:hAnsi="Segoe UI Semibold"/>
                          <w:color w:val="215868" w:themeColor="accent5" w:themeShade="80"/>
                          <w:sz w:val="56"/>
                          <w:szCs w:val="36"/>
                        </w:rPr>
                        <w:t>17</w:t>
                      </w:r>
                    </w:p>
                  </w:txbxContent>
                </v:textbox>
              </v:shape>
            </w:pict>
          </mc:Fallback>
        </mc:AlternateContent>
      </w:r>
      <w:r w:rsidR="00572C40" w:rsidRPr="0058370B">
        <w:rPr>
          <w:rFonts w:cs="Arial"/>
          <w:noProof/>
          <w:lang w:eastAsia="en-AU"/>
        </w:rPr>
        <mc:AlternateContent>
          <mc:Choice Requires="wps">
            <w:drawing>
              <wp:anchor distT="0" distB="0" distL="114300" distR="114300" simplePos="0" relativeHeight="251658246" behindDoc="0" locked="0" layoutInCell="1" allowOverlap="1" wp14:anchorId="1D7D6E22" wp14:editId="6FF6D575">
                <wp:simplePos x="0" y="0"/>
                <wp:positionH relativeFrom="column">
                  <wp:posOffset>3668395</wp:posOffset>
                </wp:positionH>
                <wp:positionV relativeFrom="paragraph">
                  <wp:posOffset>2888615</wp:posOffset>
                </wp:positionV>
                <wp:extent cx="3038475" cy="2000250"/>
                <wp:effectExtent l="0" t="0" r="9525"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8475" cy="2000250"/>
                        </a:xfrm>
                        <a:prstGeom prst="rect">
                          <a:avLst/>
                        </a:prstGeom>
                        <a:solidFill>
                          <a:srgbClr val="FFFFFF"/>
                        </a:solidFill>
                        <a:ln w="9525">
                          <a:noFill/>
                          <a:miter lim="800000"/>
                          <a:headEnd/>
                          <a:tailEnd/>
                        </a:ln>
                      </wps:spPr>
                      <wps:txbx>
                        <w:txbxContent>
                          <w:p w14:paraId="657F8294" w14:textId="77777777" w:rsidR="00CB53E4" w:rsidRPr="0079121F" w:rsidRDefault="00CB53E4" w:rsidP="00572C40">
                            <w:pPr>
                              <w:spacing w:after="360" w:line="204" w:lineRule="auto"/>
                              <w:contextualSpacing/>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36"/>
                                <w:szCs w:val="36"/>
                              </w:rPr>
                              <w:t>MARINE MONITORING PROGRAM</w:t>
                            </w:r>
                          </w:p>
                          <w:p w14:paraId="67C160D9" w14:textId="77777777" w:rsidR="00CB53E4" w:rsidRPr="0079121F" w:rsidRDefault="00CB53E4" w:rsidP="00572C40">
                            <w:pPr>
                              <w:spacing w:line="192" w:lineRule="auto"/>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16"/>
                                <w:szCs w:val="16"/>
                              </w:rPr>
                              <w:t xml:space="preserve"> </w:t>
                            </w:r>
                            <w:r w:rsidRPr="00E25B86">
                              <w:rPr>
                                <w:rFonts w:ascii="Segoe UI Semibold" w:hAnsi="Segoe UI Semibold"/>
                                <w:color w:val="215868" w:themeColor="accent5" w:themeShade="80"/>
                                <w:sz w:val="24"/>
                                <w:szCs w:val="24"/>
                              </w:rPr>
                              <w:br/>
                            </w:r>
                            <w:r w:rsidRPr="0079121F">
                              <w:rPr>
                                <w:rFonts w:ascii="Segoe UI Semibold" w:hAnsi="Segoe UI Semibold"/>
                                <w:color w:val="215868" w:themeColor="accent5" w:themeShade="80"/>
                                <w:sz w:val="48"/>
                                <w:szCs w:val="48"/>
                              </w:rPr>
                              <w:t>Quality Assurance and Quality Control Manual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7D6E22" id="Text Box 14" o:spid="_x0000_s1027" type="#_x0000_t202" style="position:absolute;margin-left:288.85pt;margin-top:227.45pt;width:239.25pt;height:157.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" stroked="f">
                <v:textbox>
                  <w:txbxContent>
                    <w:p w14:paraId="657F8294" w14:textId="77777777" w:rsidR="00CB53E4" w:rsidRPr="0079121F" w:rsidRDefault="00CB53E4" w:rsidP="00572C40">
                      <w:pPr>
                        <w:spacing w:after="360" w:line="204" w:lineRule="auto"/>
                        <w:contextualSpacing/>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36"/>
                          <w:szCs w:val="36"/>
                        </w:rPr>
                        <w:t>MARINE MONITORING PROGRAM</w:t>
                      </w:r>
                    </w:p>
                    <w:p w14:paraId="67C160D9" w14:textId="77777777" w:rsidR="00CB53E4" w:rsidRPr="0079121F" w:rsidRDefault="00CB53E4" w:rsidP="00572C40">
                      <w:pPr>
                        <w:spacing w:line="192" w:lineRule="auto"/>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16"/>
                          <w:szCs w:val="16"/>
                        </w:rPr>
                        <w:t xml:space="preserve"> </w:t>
                      </w:r>
                      <w:r w:rsidRPr="00E25B86">
                        <w:rPr>
                          <w:rFonts w:ascii="Segoe UI Semibold" w:hAnsi="Segoe UI Semibold"/>
                          <w:color w:val="215868" w:themeColor="accent5" w:themeShade="80"/>
                          <w:sz w:val="24"/>
                          <w:szCs w:val="24"/>
                        </w:rPr>
                        <w:br/>
                      </w:r>
                      <w:r w:rsidRPr="0079121F">
                        <w:rPr>
                          <w:rFonts w:ascii="Segoe UI Semibold" w:hAnsi="Segoe UI Semibold"/>
                          <w:color w:val="215868" w:themeColor="accent5" w:themeShade="80"/>
                          <w:sz w:val="48"/>
                          <w:szCs w:val="48"/>
                        </w:rPr>
                        <w:t>Quality Assurance and Quality Control Manual</w:t>
                      </w:r>
                    </w:p>
                  </w:txbxContent>
                </v:textbox>
              </v:shape>
            </w:pict>
          </mc:Fallback>
        </mc:AlternateContent>
      </w:r>
    </w:p>
    <w:p w14:paraId="2004A13F" w14:textId="77777777" w:rsidR="00E316CA" w:rsidRPr="000131CA" w:rsidRDefault="000131CA" w:rsidP="00FE2F59">
      <w:pPr>
        <w:rPr>
          <w:rFonts w:cs="Arial"/>
          <w:noProof/>
          <w:lang w:eastAsia="en-AU"/>
        </w:rPr>
      </w:pPr>
      <w:r w:rsidRPr="000131CA">
        <w:rPr>
          <w:rFonts w:cs="Arial"/>
          <w:noProof/>
          <w:lang w:eastAsia="en-AU"/>
        </w:rPr>
        <w:lastRenderedPageBreak/>
        <w:drawing>
          <wp:anchor distT="0" distB="0" distL="114300" distR="114300" simplePos="0" relativeHeight="251660304" behindDoc="0" locked="0" layoutInCell="1" allowOverlap="1" wp14:anchorId="6B67D1CD" wp14:editId="23028EE3">
            <wp:simplePos x="0" y="0"/>
            <wp:positionH relativeFrom="page">
              <wp:align>center</wp:align>
            </wp:positionH>
            <wp:positionV relativeFrom="margin">
              <wp:posOffset>-442867</wp:posOffset>
            </wp:positionV>
            <wp:extent cx="6929755" cy="9799320"/>
            <wp:effectExtent l="0" t="0" r="4445" b="0"/>
            <wp:wrapSquare wrapText="bothSides"/>
            <wp:docPr id="13" name="Picture 13" descr="Title page for Annual Report for Quality Assurance and Quality Control Manual 2017–18, including the Queensland Government logo, the Australian Institute of Marine Science logo, The University of Queensland logo, CSIRO logo and James Cook University logo. " title="Annual Report for Quality Assurance and Quality Control Manual 201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brmpa.gov.au\SHARES\Publications\2018-0311 MMP Report Covers\RRMMP QA n QC Manual 16-17 TitlePg.jpg"/>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6929755" cy="9799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AAC33A" w14:textId="1A5D8ED8" w:rsidR="000131CA" w:rsidRDefault="00A374A1" w:rsidP="00FE2F59">
      <w:pPr>
        <w:rPr>
          <w:rFonts w:cs="Arial"/>
          <w:b/>
        </w:rPr>
      </w:pPr>
      <w:r w:rsidRPr="0058370B">
        <w:rPr>
          <w:rFonts w:cs="Arial"/>
          <w:b/>
          <w:noProof/>
          <w:lang w:eastAsia="en-AU"/>
        </w:rPr>
        <w:lastRenderedPageBreak/>
        <mc:AlternateContent>
          <mc:Choice Requires="wps">
            <w:drawing>
              <wp:anchor distT="0" distB="0" distL="114300" distR="114300" simplePos="0" relativeHeight="251656704" behindDoc="0" locked="0" layoutInCell="0" allowOverlap="1" wp14:anchorId="542BF9A6" wp14:editId="7CB7536D">
                <wp:simplePos x="0" y="0"/>
                <wp:positionH relativeFrom="margin">
                  <wp:posOffset>-78105</wp:posOffset>
                </wp:positionH>
                <wp:positionV relativeFrom="margin">
                  <wp:posOffset>-400685</wp:posOffset>
                </wp:positionV>
                <wp:extent cx="6715760" cy="8976995"/>
                <wp:effectExtent l="0" t="0" r="0" b="0"/>
                <wp:wrapNone/>
                <wp:docPr id="53"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5760" cy="8976995"/>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5F179C" w14:textId="4DCAA0AF" w:rsidR="00CB53E4" w:rsidRPr="00C40E73" w:rsidRDefault="00CB53E4" w:rsidP="00342802">
                            <w:pPr>
                              <w:pStyle w:val="BasicParagraph"/>
                              <w:spacing w:before="0" w:after="0" w:line="240" w:lineRule="auto"/>
                              <w:rPr>
                                <w:rFonts w:ascii="Arial" w:hAnsi="Arial" w:cs="Arial"/>
                                <w:sz w:val="20"/>
                                <w:szCs w:val="20"/>
                              </w:rPr>
                            </w:pPr>
                            <w:r>
                              <w:rPr>
                                <w:rFonts w:ascii="Segoe UI" w:hAnsi="Segoe UI" w:cs="Segoe UI"/>
                                <w:sz w:val="20"/>
                                <w:szCs w:val="20"/>
                              </w:rPr>
                              <w:t xml:space="preserve">© </w:t>
                            </w:r>
                            <w:r w:rsidRPr="00C40E73">
                              <w:rPr>
                                <w:rFonts w:ascii="Arial" w:hAnsi="Arial" w:cs="Arial"/>
                                <w:sz w:val="20"/>
                                <w:szCs w:val="20"/>
                              </w:rPr>
                              <w:t xml:space="preserve">Commonwealth of </w:t>
                            </w:r>
                            <w:r w:rsidRPr="00F95312">
                              <w:rPr>
                                <w:rFonts w:ascii="Arial" w:hAnsi="Arial" w:cs="Arial"/>
                                <w:sz w:val="20"/>
                                <w:szCs w:val="20"/>
                                <w:lang w:val="en-US"/>
                              </w:rPr>
                              <w:t>Australia (Great Barrier Reef Marine Park Authority) 201</w:t>
                            </w:r>
                            <w:r>
                              <w:rPr>
                                <w:rFonts w:ascii="Arial" w:hAnsi="Arial" w:cs="Arial"/>
                                <w:sz w:val="20"/>
                                <w:szCs w:val="20"/>
                                <w:lang w:val="en-US"/>
                              </w:rPr>
                              <w:t>9</w:t>
                            </w:r>
                          </w:p>
                          <w:p w14:paraId="3A19BDA3" w14:textId="77777777" w:rsidR="00CB53E4" w:rsidRPr="00C40E73" w:rsidRDefault="00CB53E4" w:rsidP="00342802">
                            <w:pPr>
                              <w:autoSpaceDE w:val="0"/>
                              <w:autoSpaceDN w:val="0"/>
                              <w:adjustRightInd w:val="0"/>
                              <w:spacing w:before="0" w:after="0" w:line="240" w:lineRule="auto"/>
                              <w:textAlignment w:val="center"/>
                              <w:rPr>
                                <w:rFonts w:cs="Arial"/>
                                <w:color w:val="000000"/>
                                <w:sz w:val="20"/>
                                <w:szCs w:val="20"/>
                                <w:lang w:val="en-GB"/>
                              </w:rPr>
                            </w:pPr>
                            <w:r w:rsidRPr="00C40E73">
                              <w:rPr>
                                <w:rFonts w:cs="Arial"/>
                                <w:color w:val="000000"/>
                                <w:sz w:val="20"/>
                                <w:szCs w:val="20"/>
                                <w:lang w:val="en-GB"/>
                              </w:rPr>
                              <w:t>Published by the Great Barrier Reef Marine Park Authority</w:t>
                            </w:r>
                          </w:p>
                          <w:p w14:paraId="088CDF20" w14:textId="77777777" w:rsidR="00CB53E4" w:rsidRPr="00C40E73" w:rsidRDefault="00CB53E4" w:rsidP="00F95312">
                            <w:pPr>
                              <w:autoSpaceDE w:val="0"/>
                              <w:autoSpaceDN w:val="0"/>
                              <w:adjustRightInd w:val="0"/>
                              <w:spacing w:line="288" w:lineRule="auto"/>
                              <w:textAlignment w:val="center"/>
                              <w:rPr>
                                <w:rFonts w:cs="Arial"/>
                                <w:color w:val="000000"/>
                                <w:sz w:val="12"/>
                                <w:szCs w:val="12"/>
                                <w:lang w:val="en-GB"/>
                              </w:rPr>
                            </w:pPr>
                            <w:r>
                              <w:rPr>
                                <w:rFonts w:cs="Arial"/>
                                <w:color w:val="000000"/>
                                <w:sz w:val="20"/>
                                <w:szCs w:val="20"/>
                                <w:lang w:val="en-GB"/>
                              </w:rPr>
                              <w:t>ISSN  2200-</w:t>
                            </w:r>
                            <w:r w:rsidRPr="006F4AA5">
                              <w:rPr>
                                <w:rFonts w:cs="Arial"/>
                                <w:color w:val="000000"/>
                                <w:sz w:val="20"/>
                                <w:szCs w:val="20"/>
                                <w:lang w:val="en-GB"/>
                              </w:rPr>
                              <w:t>4084</w:t>
                            </w:r>
                            <w:r w:rsidRPr="00C40E73">
                              <w:rPr>
                                <w:rFonts w:cs="Arial"/>
                                <w:bCs/>
                                <w:sz w:val="20"/>
                                <w:szCs w:val="20"/>
                                <w:lang w:eastAsia="en-AU"/>
                              </w:rPr>
                              <w:t xml:space="preserve"> </w:t>
                            </w:r>
                          </w:p>
                          <w:p w14:paraId="1F5877FD" w14:textId="77777777" w:rsidR="00CB53E4" w:rsidRDefault="00CB53E4" w:rsidP="00356AD1">
                            <w:pPr>
                              <w:spacing w:before="120" w:after="120"/>
                              <w:rPr>
                                <w:rFonts w:cs="Arial"/>
                                <w:sz w:val="18"/>
                                <w:szCs w:val="18"/>
                              </w:rPr>
                            </w:pPr>
                          </w:p>
                          <w:p w14:paraId="1FFFE294" w14:textId="77777777" w:rsidR="00CB53E4" w:rsidRDefault="00CB53E4" w:rsidP="00356AD1">
                            <w:pPr>
                              <w:spacing w:before="120" w:after="120"/>
                              <w:rPr>
                                <w:rFonts w:cs="Arial"/>
                                <w:sz w:val="18"/>
                                <w:szCs w:val="18"/>
                              </w:rPr>
                            </w:pPr>
                            <w:r>
                              <w:rPr>
                                <w:rFonts w:cs="Arial"/>
                                <w:sz w:val="18"/>
                                <w:szCs w:val="18"/>
                              </w:rPr>
                              <w:t>This document</w:t>
                            </w:r>
                            <w:r>
                              <w:rPr>
                                <w:rFonts w:cs="Arial"/>
                                <w:i/>
                                <w:sz w:val="18"/>
                                <w:szCs w:val="18"/>
                                <w:lang w:val="en-GB"/>
                              </w:rPr>
                              <w:t xml:space="preserve"> </w:t>
                            </w:r>
                            <w:r w:rsidRPr="0010252A">
                              <w:rPr>
                                <w:rFonts w:cs="Arial"/>
                                <w:sz w:val="18"/>
                                <w:szCs w:val="18"/>
                              </w:rPr>
                              <w:t>is licensed by the Commonwealth of Australia for use under a Creative Commons By Attribution 4.0 International licence with the exception of the Coat of Arms of the Commonwealth of Australia, the logo</w:t>
                            </w:r>
                            <w:r>
                              <w:rPr>
                                <w:rFonts w:cs="Arial"/>
                                <w:sz w:val="18"/>
                                <w:szCs w:val="18"/>
                              </w:rPr>
                              <w:t>s</w:t>
                            </w:r>
                            <w:r w:rsidRPr="0010252A">
                              <w:rPr>
                                <w:rFonts w:cs="Arial"/>
                                <w:sz w:val="18"/>
                                <w:szCs w:val="18"/>
                              </w:rPr>
                              <w:t xml:space="preserve"> of the Great Barrier Reef Marine Park Authority, </w:t>
                            </w:r>
                            <w:r>
                              <w:rPr>
                                <w:rFonts w:cs="Arial"/>
                                <w:sz w:val="18"/>
                                <w:szCs w:val="18"/>
                              </w:rPr>
                              <w:t xml:space="preserve">Queensland Government, James Cook University, TropWater, University of Queensland and </w:t>
                            </w:r>
                            <w:r w:rsidRPr="0010252A">
                              <w:rPr>
                                <w:rFonts w:cs="Arial"/>
                                <w:sz w:val="18"/>
                                <w:szCs w:val="18"/>
                              </w:rPr>
                              <w:t xml:space="preserve">any other material protected by a trademark, content supplied by third parties and any photographs. For licence conditions see: </w:t>
                            </w:r>
                            <w:hyperlink r:id="rId20" w:tooltip="the creative commons web site" w:history="1">
                              <w:r w:rsidRPr="0010252A">
                                <w:rPr>
                                  <w:rStyle w:val="Hyperlink"/>
                                  <w:rFonts w:cs="Arial"/>
                                  <w:sz w:val="18"/>
                                  <w:szCs w:val="18"/>
                                </w:rPr>
                                <w:t>http://creativecommons.org/licences/by/4.0</w:t>
                              </w:r>
                            </w:hyperlink>
                            <w:r w:rsidRPr="0010252A">
                              <w:rPr>
                                <w:rFonts w:cs="Arial"/>
                                <w:sz w:val="18"/>
                                <w:szCs w:val="18"/>
                              </w:rPr>
                              <w:t xml:space="preserve"> </w:t>
                            </w:r>
                            <w:r w:rsidRPr="0010252A">
                              <w:rPr>
                                <w:rFonts w:cs="Arial"/>
                                <w:sz w:val="18"/>
                                <w:szCs w:val="18"/>
                              </w:rPr>
                              <w:cr/>
                            </w:r>
                            <w:r w:rsidRPr="0010252A">
                              <w:rPr>
                                <w:noProof/>
                                <w:lang w:eastAsia="en-AU"/>
                              </w:rPr>
                              <w:drawing>
                                <wp:inline distT="0" distB="0" distL="0" distR="0" wp14:anchorId="64EEC535" wp14:editId="37107AAA">
                                  <wp:extent cx="981075" cy="340167"/>
                                  <wp:effectExtent l="0" t="0" r="0" b="3175"/>
                                  <wp:docPr id="117" name="Picture 117"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1"/>
                                          </pic:cNvPr>
                                          <pic:cNvPicPr/>
                                        </pic:nvPicPr>
                                        <pic:blipFill>
                                          <a:blip r:embed="rId22" cstate="print">
                                            <a:extLst>
                                              <a:ext uri="{28A0092B-C50C-407E-A947-70E740481C1C}">
                                                <a14:useLocalDpi xmlns:a14="http://schemas.microsoft.com/office/drawing/2010/main" val="0"/>
                                              </a:ext>
                                            </a:extLst>
                                          </a:blip>
                                          <a:stretch>
                                            <a:fillRect/>
                                          </a:stretch>
                                        </pic:blipFill>
                                        <pic:spPr>
                                          <a:xfrm>
                                            <a:off x="0" y="0"/>
                                            <a:ext cx="984117" cy="341222"/>
                                          </a:xfrm>
                                          <a:prstGeom prst="rect">
                                            <a:avLst/>
                                          </a:prstGeom>
                                        </pic:spPr>
                                      </pic:pic>
                                    </a:graphicData>
                                  </a:graphic>
                                </wp:inline>
                              </w:drawing>
                            </w:r>
                          </w:p>
                          <w:p w14:paraId="36A40E0D" w14:textId="77777777" w:rsidR="00CB53E4" w:rsidRPr="00BF23B1" w:rsidRDefault="00CB53E4" w:rsidP="0037585D">
                            <w:pPr>
                              <w:autoSpaceDE w:val="0"/>
                              <w:autoSpaceDN w:val="0"/>
                              <w:adjustRightInd w:val="0"/>
                              <w:textAlignment w:val="center"/>
                              <w:rPr>
                                <w:rFonts w:cs="Arial"/>
                                <w:color w:val="000000"/>
                                <w:sz w:val="20"/>
                                <w:szCs w:val="20"/>
                                <w:lang w:val="en-GB"/>
                              </w:rPr>
                            </w:pPr>
                          </w:p>
                          <w:p w14:paraId="4EBBCABC" w14:textId="77777777" w:rsidR="00CB53E4" w:rsidRPr="00BF23B1" w:rsidRDefault="00CB53E4" w:rsidP="0037585D">
                            <w:pPr>
                              <w:autoSpaceDE w:val="0"/>
                              <w:autoSpaceDN w:val="0"/>
                              <w:adjustRightInd w:val="0"/>
                              <w:spacing w:line="288" w:lineRule="auto"/>
                              <w:textAlignment w:val="center"/>
                              <w:rPr>
                                <w:rFonts w:cs="Arial"/>
                                <w:b/>
                                <w:color w:val="000000"/>
                                <w:sz w:val="20"/>
                                <w:szCs w:val="20"/>
                                <w:lang w:val="en-GB"/>
                              </w:rPr>
                            </w:pPr>
                            <w:r w:rsidRPr="00BF23B1">
                              <w:rPr>
                                <w:rFonts w:cs="Arial"/>
                                <w:b/>
                                <w:color w:val="000000"/>
                                <w:sz w:val="20"/>
                                <w:szCs w:val="20"/>
                                <w:lang w:val="en-GB"/>
                              </w:rPr>
                              <w:t>A catalogue record for this publication is available from the National Library of Australia</w:t>
                            </w:r>
                          </w:p>
                          <w:p w14:paraId="155D691D" w14:textId="77777777" w:rsidR="00CB53E4" w:rsidRPr="00BF23B1" w:rsidRDefault="00CB53E4" w:rsidP="0037585D">
                            <w:pPr>
                              <w:autoSpaceDE w:val="0"/>
                              <w:autoSpaceDN w:val="0"/>
                              <w:adjustRightInd w:val="0"/>
                              <w:spacing w:line="288" w:lineRule="auto"/>
                              <w:textAlignment w:val="center"/>
                              <w:rPr>
                                <w:rFonts w:cs="Arial"/>
                                <w:color w:val="000000"/>
                                <w:sz w:val="20"/>
                                <w:szCs w:val="20"/>
                                <w:lang w:val="en-GB"/>
                              </w:rPr>
                            </w:pPr>
                          </w:p>
                          <w:p w14:paraId="3B9636B5" w14:textId="77777777" w:rsidR="00CB53E4" w:rsidRPr="00BF23B1" w:rsidRDefault="00CB53E4" w:rsidP="00694160">
                            <w:pPr>
                              <w:autoSpaceDE w:val="0"/>
                              <w:autoSpaceDN w:val="0"/>
                              <w:adjustRightInd w:val="0"/>
                              <w:spacing w:line="288" w:lineRule="auto"/>
                              <w:textAlignment w:val="center"/>
                              <w:rPr>
                                <w:rFonts w:cs="Arial"/>
                                <w:b/>
                                <w:bCs/>
                                <w:color w:val="000000"/>
                                <w:sz w:val="20"/>
                                <w:szCs w:val="20"/>
                                <w:lang w:val="en-GB"/>
                              </w:rPr>
                            </w:pPr>
                            <w:r w:rsidRPr="00BF23B1">
                              <w:rPr>
                                <w:rFonts w:cs="Arial"/>
                                <w:b/>
                                <w:bCs/>
                                <w:color w:val="000000"/>
                                <w:sz w:val="20"/>
                                <w:szCs w:val="20"/>
                                <w:lang w:val="en-GB"/>
                              </w:rPr>
                              <w:t>This publication should be cited as:</w:t>
                            </w:r>
                          </w:p>
                          <w:p w14:paraId="0CBD87F0" w14:textId="41E5CB08" w:rsidR="00CB53E4" w:rsidRPr="00BF23B1" w:rsidRDefault="00CB53E4" w:rsidP="00342802">
                            <w:pPr>
                              <w:autoSpaceDE w:val="0"/>
                              <w:autoSpaceDN w:val="0"/>
                              <w:adjustRightInd w:val="0"/>
                              <w:spacing w:line="288" w:lineRule="auto"/>
                              <w:ind w:left="426"/>
                              <w:textAlignment w:val="center"/>
                              <w:rPr>
                                <w:rFonts w:cs="Arial"/>
                                <w:color w:val="000000"/>
                                <w:sz w:val="20"/>
                                <w:szCs w:val="20"/>
                                <w:lang w:val="en-GB"/>
                              </w:rPr>
                            </w:pPr>
                            <w:r w:rsidRPr="00BF23B1">
                              <w:rPr>
                                <w:rFonts w:cs="Arial"/>
                                <w:color w:val="000000"/>
                                <w:sz w:val="20"/>
                                <w:szCs w:val="20"/>
                                <w:lang w:val="en-GB"/>
                              </w:rPr>
                              <w:t xml:space="preserve">Great Barrier Reef Marine Park Authority 2019, </w:t>
                            </w:r>
                            <w:r w:rsidRPr="00BF23B1">
                              <w:rPr>
                                <w:rFonts w:cs="Arial"/>
                                <w:i/>
                                <w:color w:val="000000"/>
                                <w:sz w:val="20"/>
                                <w:szCs w:val="20"/>
                                <w:lang w:val="en-GB"/>
                              </w:rPr>
                              <w:t>Marine Monitoring Program quality assurance and quality control manual 2017–18</w:t>
                            </w:r>
                            <w:r w:rsidRPr="00BF23B1">
                              <w:rPr>
                                <w:rFonts w:cs="Arial"/>
                                <w:color w:val="000000"/>
                                <w:sz w:val="20"/>
                                <w:szCs w:val="20"/>
                                <w:lang w:val="en-GB"/>
                              </w:rPr>
                              <w:t>, Great Barrier Reef Marine Park Authority, Townsville.</w:t>
                            </w:r>
                          </w:p>
                          <w:p w14:paraId="5E14AEEB" w14:textId="77777777" w:rsidR="00CB53E4" w:rsidRPr="00BF23B1" w:rsidRDefault="00CB53E4" w:rsidP="00342802">
                            <w:pPr>
                              <w:autoSpaceDE w:val="0"/>
                              <w:autoSpaceDN w:val="0"/>
                              <w:adjustRightInd w:val="0"/>
                              <w:spacing w:line="288" w:lineRule="auto"/>
                              <w:ind w:left="426"/>
                              <w:textAlignment w:val="center"/>
                              <w:rPr>
                                <w:rFonts w:cs="Arial"/>
                                <w:color w:val="000000"/>
                                <w:sz w:val="20"/>
                                <w:szCs w:val="20"/>
                                <w:lang w:val="en-GB"/>
                              </w:rPr>
                            </w:pPr>
                          </w:p>
                          <w:p w14:paraId="5A875811" w14:textId="6FA3D618" w:rsidR="00CB53E4" w:rsidRPr="00BF23B1" w:rsidRDefault="00CB53E4" w:rsidP="0037585D">
                            <w:pPr>
                              <w:autoSpaceDE w:val="0"/>
                              <w:autoSpaceDN w:val="0"/>
                              <w:adjustRightInd w:val="0"/>
                              <w:spacing w:line="288" w:lineRule="auto"/>
                              <w:textAlignment w:val="center"/>
                              <w:rPr>
                                <w:rFonts w:cs="Arial"/>
                                <w:sz w:val="20"/>
                                <w:szCs w:val="20"/>
                              </w:rPr>
                            </w:pPr>
                            <w:r w:rsidRPr="00BF23B1">
                              <w:rPr>
                                <w:rFonts w:cs="Arial"/>
                                <w:sz w:val="20"/>
                                <w:szCs w:val="20"/>
                              </w:rPr>
                              <w:t>The Great Barrier Reef Marine Park Authority gratefully acknowledges the contributions of the Marine Monitoring Program providers and their institutions to this manual.</w:t>
                            </w:r>
                          </w:p>
                          <w:p w14:paraId="154A7732" w14:textId="77777777" w:rsidR="00CB53E4" w:rsidRPr="00BF23B1" w:rsidRDefault="00CB53E4" w:rsidP="0037585D">
                            <w:pPr>
                              <w:autoSpaceDE w:val="0"/>
                              <w:autoSpaceDN w:val="0"/>
                              <w:adjustRightInd w:val="0"/>
                              <w:textAlignment w:val="center"/>
                              <w:rPr>
                                <w:rFonts w:cs="Arial"/>
                                <w:sz w:val="20"/>
                                <w:szCs w:val="20"/>
                              </w:rPr>
                            </w:pPr>
                          </w:p>
                          <w:p w14:paraId="64CB65AB" w14:textId="37ED937E" w:rsidR="00CB53E4" w:rsidRPr="00BF23B1" w:rsidRDefault="00CB53E4" w:rsidP="0037585D">
                            <w:pPr>
                              <w:autoSpaceDE w:val="0"/>
                              <w:autoSpaceDN w:val="0"/>
                              <w:adjustRightInd w:val="0"/>
                              <w:textAlignment w:val="center"/>
                              <w:rPr>
                                <w:rFonts w:cs="Arial"/>
                                <w:sz w:val="20"/>
                                <w:szCs w:val="20"/>
                              </w:rPr>
                            </w:pPr>
                            <w:r w:rsidRPr="00BF23B1">
                              <w:rPr>
                                <w:rFonts w:cs="Arial"/>
                                <w:sz w:val="20"/>
                                <w:szCs w:val="20"/>
                              </w:rPr>
                              <w:t>Front cover image: Clam Gardens in the Great Barrier Reef. Photo by Pete Niesen /</w:t>
                            </w:r>
                            <w:r w:rsidRPr="00BF23B1">
                              <w:rPr>
                                <w:rFonts w:ascii="Segoe UI" w:hAnsi="Segoe UI" w:cs="Segoe UI"/>
                                <w:sz w:val="20"/>
                                <w:szCs w:val="20"/>
                              </w:rPr>
                              <w:t xml:space="preserve"> </w:t>
                            </w:r>
                            <w:r w:rsidRPr="00BF23B1">
                              <w:rPr>
                                <w:rFonts w:cs="Arial"/>
                                <w:sz w:val="20"/>
                                <w:szCs w:val="20"/>
                              </w:rPr>
                              <w:t>ShutterStock</w:t>
                            </w:r>
                          </w:p>
                          <w:p w14:paraId="6A084D46" w14:textId="77777777" w:rsidR="00CB53E4" w:rsidRPr="00BF23B1" w:rsidRDefault="00CB53E4" w:rsidP="00694160">
                            <w:pPr>
                              <w:rPr>
                                <w:rFonts w:cs="Arial"/>
                                <w:sz w:val="20"/>
                                <w:szCs w:val="20"/>
                              </w:rPr>
                            </w:pPr>
                            <w:r w:rsidRPr="00BF23B1">
                              <w:rPr>
                                <w:rFonts w:cs="Arial"/>
                                <w:sz w:val="20"/>
                                <w:szCs w:val="20"/>
                              </w:rPr>
                              <w:t>Comments and questions regarding this document are welcome and should be addressed to:</w:t>
                            </w:r>
                          </w:p>
                          <w:p w14:paraId="5B8975CE" w14:textId="77777777" w:rsidR="00CB53E4" w:rsidRDefault="00CB53E4" w:rsidP="00694160">
                            <w:pPr>
                              <w:tabs>
                                <w:tab w:val="left" w:pos="1220"/>
                              </w:tabs>
                              <w:autoSpaceDE w:val="0"/>
                              <w:autoSpaceDN w:val="0"/>
                              <w:adjustRightInd w:val="0"/>
                              <w:ind w:left="142" w:hanging="142"/>
                              <w:textAlignment w:val="center"/>
                              <w:rPr>
                                <w:rFonts w:cs="Arial"/>
                                <w:color w:val="000000"/>
                                <w:sz w:val="20"/>
                                <w:szCs w:val="20"/>
                                <w:lang w:val="en-GB"/>
                              </w:rPr>
                            </w:pPr>
                            <w:r w:rsidRPr="0010252A">
                              <w:rPr>
                                <w:noProof/>
                                <w:lang w:eastAsia="en-AU"/>
                              </w:rPr>
                              <w:drawing>
                                <wp:inline distT="0" distB="0" distL="0" distR="0" wp14:anchorId="0E3EA1A1" wp14:editId="13CB571C">
                                  <wp:extent cx="1818640" cy="725805"/>
                                  <wp:effectExtent l="0" t="0" r="0" b="0"/>
                                  <wp:docPr id="230" name="Picture 230"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437957F2" w14:textId="77777777" w:rsidR="00CB53E4" w:rsidRPr="00342802" w:rsidRDefault="00CB53E4" w:rsidP="00342802">
                            <w:pPr>
                              <w:tabs>
                                <w:tab w:val="left" w:pos="1220"/>
                              </w:tabs>
                              <w:autoSpaceDE w:val="0"/>
                              <w:autoSpaceDN w:val="0"/>
                              <w:adjustRightInd w:val="0"/>
                              <w:spacing w:before="0" w:after="0"/>
                              <w:ind w:left="1276" w:hanging="142"/>
                              <w:textAlignment w:val="center"/>
                              <w:rPr>
                                <w:rFonts w:cs="Arial"/>
                                <w:sz w:val="18"/>
                                <w:szCs w:val="18"/>
                              </w:rPr>
                            </w:pPr>
                            <w:r w:rsidRPr="00342802">
                              <w:rPr>
                                <w:rFonts w:cs="Arial"/>
                                <w:sz w:val="18"/>
                                <w:szCs w:val="18"/>
                              </w:rPr>
                              <w:t>Great Barrier Reef Marine Park Authority</w:t>
                            </w:r>
                          </w:p>
                          <w:p w14:paraId="212FBF46" w14:textId="77777777" w:rsidR="00CB53E4" w:rsidRPr="00342802" w:rsidRDefault="00CB53E4" w:rsidP="00342802">
                            <w:pPr>
                              <w:tabs>
                                <w:tab w:val="left" w:pos="1134"/>
                              </w:tabs>
                              <w:autoSpaceDE w:val="0"/>
                              <w:autoSpaceDN w:val="0"/>
                              <w:adjustRightInd w:val="0"/>
                              <w:spacing w:before="0" w:after="0"/>
                              <w:ind w:left="1134"/>
                              <w:textAlignment w:val="center"/>
                              <w:rPr>
                                <w:rFonts w:cs="Arial"/>
                                <w:sz w:val="18"/>
                                <w:szCs w:val="18"/>
                              </w:rPr>
                            </w:pPr>
                            <w:r w:rsidRPr="00342802">
                              <w:rPr>
                                <w:rFonts w:cs="Arial"/>
                                <w:sz w:val="18"/>
                                <w:szCs w:val="18"/>
                              </w:rPr>
                              <w:t xml:space="preserve">PO Box 1379 </w:t>
                            </w:r>
                            <w:r w:rsidRPr="00342802">
                              <w:rPr>
                                <w:rFonts w:cs="Arial"/>
                                <w:sz w:val="18"/>
                                <w:szCs w:val="18"/>
                              </w:rPr>
                              <w:tab/>
                            </w:r>
                            <w:r w:rsidRPr="00342802">
                              <w:rPr>
                                <w:rFonts w:cs="Arial"/>
                                <w:sz w:val="18"/>
                                <w:szCs w:val="18"/>
                              </w:rPr>
                              <w:br/>
                              <w:t xml:space="preserve">TOWNSVILLE QLD 4810 </w:t>
                            </w:r>
                            <w:r w:rsidRPr="00342802">
                              <w:rPr>
                                <w:rFonts w:cs="Arial"/>
                                <w:sz w:val="18"/>
                                <w:szCs w:val="18"/>
                              </w:rPr>
                              <w:tab/>
                            </w:r>
                            <w:r w:rsidRPr="00342802">
                              <w:rPr>
                                <w:rFonts w:cs="Arial"/>
                                <w:sz w:val="18"/>
                                <w:szCs w:val="18"/>
                              </w:rPr>
                              <w:br/>
                              <w:t xml:space="preserve">Australia </w:t>
                            </w:r>
                            <w:r w:rsidRPr="00342802">
                              <w:rPr>
                                <w:rFonts w:cs="Arial"/>
                                <w:sz w:val="18"/>
                                <w:szCs w:val="18"/>
                              </w:rPr>
                              <w:tab/>
                            </w:r>
                            <w:r w:rsidRPr="00342802">
                              <w:rPr>
                                <w:rFonts w:cs="Arial"/>
                                <w:sz w:val="18"/>
                                <w:szCs w:val="18"/>
                              </w:rPr>
                              <w:br/>
                            </w:r>
                          </w:p>
                          <w:p w14:paraId="3FC9AA89" w14:textId="7FCA99AE" w:rsidR="00CB53E4" w:rsidRPr="00342802" w:rsidRDefault="00CB53E4" w:rsidP="0037585D">
                            <w:pPr>
                              <w:tabs>
                                <w:tab w:val="left" w:pos="1134"/>
                              </w:tabs>
                              <w:autoSpaceDE w:val="0"/>
                              <w:autoSpaceDN w:val="0"/>
                              <w:adjustRightInd w:val="0"/>
                              <w:ind w:left="1134"/>
                              <w:textAlignment w:val="center"/>
                              <w:rPr>
                                <w:sz w:val="18"/>
                                <w:szCs w:val="18"/>
                              </w:rPr>
                            </w:pPr>
                            <w:r>
                              <w:rPr>
                                <w:rFonts w:cs="Arial"/>
                                <w:sz w:val="18"/>
                                <w:szCs w:val="18"/>
                              </w:rPr>
                              <w:t>Phone:</w:t>
                            </w:r>
                            <w:r>
                              <w:rPr>
                                <w:rFonts w:cs="Arial"/>
                                <w:sz w:val="18"/>
                                <w:szCs w:val="18"/>
                              </w:rPr>
                              <w:tab/>
                            </w:r>
                            <w:r w:rsidRPr="00342802">
                              <w:rPr>
                                <w:rFonts w:cs="Arial"/>
                                <w:sz w:val="18"/>
                                <w:szCs w:val="18"/>
                              </w:rPr>
                              <w:t xml:space="preserve">(07) 4750 0700 </w:t>
                            </w:r>
                            <w:r w:rsidRPr="00342802">
                              <w:rPr>
                                <w:rFonts w:cs="Arial"/>
                                <w:sz w:val="18"/>
                                <w:szCs w:val="18"/>
                              </w:rPr>
                              <w:tab/>
                            </w:r>
                            <w:r w:rsidRPr="00342802">
                              <w:rPr>
                                <w:rFonts w:cs="Arial"/>
                                <w:sz w:val="18"/>
                                <w:szCs w:val="18"/>
                              </w:rPr>
                              <w:br/>
                            </w:r>
                            <w:r>
                              <w:rPr>
                                <w:rFonts w:cs="Arial"/>
                                <w:sz w:val="18"/>
                                <w:szCs w:val="18"/>
                              </w:rPr>
                              <w:t>Email:</w:t>
                            </w:r>
                            <w:r>
                              <w:rPr>
                                <w:rFonts w:cs="Arial"/>
                                <w:sz w:val="18"/>
                                <w:szCs w:val="18"/>
                              </w:rPr>
                              <w:tab/>
                            </w:r>
                            <w:r w:rsidRPr="00342802">
                              <w:rPr>
                                <w:rFonts w:cs="Arial"/>
                                <w:sz w:val="18"/>
                                <w:szCs w:val="18"/>
                              </w:rPr>
                              <w:t>info@gbrmpa.gov.au</w:t>
                            </w:r>
                          </w:p>
                          <w:p w14:paraId="36A015E6" w14:textId="77777777" w:rsidR="00CB53E4" w:rsidRPr="00342802" w:rsidRDefault="00CB53E4" w:rsidP="00340324">
                            <w:pPr>
                              <w:tabs>
                                <w:tab w:val="left" w:pos="1134"/>
                              </w:tabs>
                              <w:autoSpaceDE w:val="0"/>
                              <w:autoSpaceDN w:val="0"/>
                              <w:adjustRightInd w:val="0"/>
                              <w:ind w:left="1134"/>
                              <w:textAlignment w:val="center"/>
                              <w:rPr>
                                <w:rFonts w:cs="Arial"/>
                                <w:sz w:val="18"/>
                                <w:szCs w:val="18"/>
                              </w:rPr>
                            </w:pPr>
                            <w:r w:rsidRPr="00342802">
                              <w:rPr>
                                <w:rFonts w:cs="Arial"/>
                                <w:sz w:val="18"/>
                                <w:szCs w:val="18"/>
                              </w:rPr>
                              <w:t>www.gbrmpa.gov.au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2BF9A6" id="Text Box 129" o:spid="_x0000_s1028" type="#_x0000_t202" style="position:absolute;margin-left:-6.15pt;margin-top:-31.55pt;width:528.8pt;height:706.8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" o:allowincell="f" filled="f" fillcolor="silver" stroked="f">
                <v:fill opacity="32896f"/>
                <v:textbox>
                  <w:txbxContent>
                    <w:p w14:paraId="6B5F179C" w14:textId="4DCAA0AF" w:rsidR="00CB53E4" w:rsidRPr="00C40E73" w:rsidRDefault="00CB53E4" w:rsidP="00342802">
                      <w:pPr>
                        <w:pStyle w:val="BasicParagraph"/>
                        <w:spacing w:before="0" w:after="0" w:line="240" w:lineRule="auto"/>
                        <w:rPr>
                          <w:rFonts w:ascii="Arial" w:hAnsi="Arial" w:cs="Arial"/>
                          <w:sz w:val="20"/>
                          <w:szCs w:val="20"/>
                        </w:rPr>
                      </w:pPr>
                      <w:r>
                        <w:rPr>
                          <w:rFonts w:ascii="Segoe UI" w:hAnsi="Segoe UI" w:cs="Segoe UI"/>
                          <w:sz w:val="20"/>
                          <w:szCs w:val="20"/>
                        </w:rPr>
                        <w:t xml:space="preserve">© </w:t>
                      </w:r>
                      <w:r w:rsidRPr="00C40E73">
                        <w:rPr>
                          <w:rFonts w:ascii="Arial" w:hAnsi="Arial" w:cs="Arial"/>
                          <w:sz w:val="20"/>
                          <w:szCs w:val="20"/>
                        </w:rPr>
                        <w:t xml:space="preserve">Commonwealth of </w:t>
                      </w:r>
                      <w:r w:rsidRPr="00F95312">
                        <w:rPr>
                          <w:rFonts w:ascii="Arial" w:hAnsi="Arial" w:cs="Arial"/>
                          <w:sz w:val="20"/>
                          <w:szCs w:val="20"/>
                          <w:lang w:val="en-US"/>
                        </w:rPr>
                        <w:t>Australia (Great Barrier Reef Marine Park Authority) 201</w:t>
                      </w:r>
                      <w:r>
                        <w:rPr>
                          <w:rFonts w:ascii="Arial" w:hAnsi="Arial" w:cs="Arial"/>
                          <w:sz w:val="20"/>
                          <w:szCs w:val="20"/>
                          <w:lang w:val="en-US"/>
                        </w:rPr>
                        <w:t>9</w:t>
                      </w:r>
                    </w:p>
                    <w:p w14:paraId="3A19BDA3" w14:textId="77777777" w:rsidR="00CB53E4" w:rsidRPr="00C40E73" w:rsidRDefault="00CB53E4" w:rsidP="00342802">
                      <w:pPr>
                        <w:autoSpaceDE w:val="0"/>
                        <w:autoSpaceDN w:val="0"/>
                        <w:adjustRightInd w:val="0"/>
                        <w:spacing w:before="0" w:after="0" w:line="240" w:lineRule="auto"/>
                        <w:textAlignment w:val="center"/>
                        <w:rPr>
                          <w:rFonts w:cs="Arial"/>
                          <w:color w:val="000000"/>
                          <w:sz w:val="20"/>
                          <w:szCs w:val="20"/>
                          <w:lang w:val="en-GB"/>
                        </w:rPr>
                      </w:pPr>
                      <w:r w:rsidRPr="00C40E73">
                        <w:rPr>
                          <w:rFonts w:cs="Arial"/>
                          <w:color w:val="000000"/>
                          <w:sz w:val="20"/>
                          <w:szCs w:val="20"/>
                          <w:lang w:val="en-GB"/>
                        </w:rPr>
                        <w:t>Published by the Great Barrier Reef Marine Park Authority</w:t>
                      </w:r>
                    </w:p>
                    <w:p w14:paraId="088CDF20" w14:textId="77777777" w:rsidR="00CB53E4" w:rsidRPr="00C40E73" w:rsidRDefault="00CB53E4" w:rsidP="00F95312">
                      <w:pPr>
                        <w:autoSpaceDE w:val="0"/>
                        <w:autoSpaceDN w:val="0"/>
                        <w:adjustRightInd w:val="0"/>
                        <w:spacing w:line="288" w:lineRule="auto"/>
                        <w:textAlignment w:val="center"/>
                        <w:rPr>
                          <w:rFonts w:cs="Arial"/>
                          <w:color w:val="000000"/>
                          <w:sz w:val="12"/>
                          <w:szCs w:val="12"/>
                          <w:lang w:val="en-GB"/>
                        </w:rPr>
                      </w:pPr>
                      <w:r>
                        <w:rPr>
                          <w:rFonts w:cs="Arial"/>
                          <w:color w:val="000000"/>
                          <w:sz w:val="20"/>
                          <w:szCs w:val="20"/>
                          <w:lang w:val="en-GB"/>
                        </w:rPr>
                        <w:t>ISSN  2200-</w:t>
                      </w:r>
                      <w:r w:rsidRPr="006F4AA5">
                        <w:rPr>
                          <w:rFonts w:cs="Arial"/>
                          <w:color w:val="000000"/>
                          <w:sz w:val="20"/>
                          <w:szCs w:val="20"/>
                          <w:lang w:val="en-GB"/>
                        </w:rPr>
                        <w:t>4084</w:t>
                      </w:r>
                      <w:r w:rsidRPr="00C40E73">
                        <w:rPr>
                          <w:rFonts w:cs="Arial"/>
                          <w:bCs/>
                          <w:sz w:val="20"/>
                          <w:szCs w:val="20"/>
                          <w:lang w:eastAsia="en-AU"/>
                        </w:rPr>
                        <w:t xml:space="preserve"> </w:t>
                      </w:r>
                    </w:p>
                    <w:p w14:paraId="1F5877FD" w14:textId="77777777" w:rsidR="00CB53E4" w:rsidRDefault="00CB53E4" w:rsidP="00356AD1">
                      <w:pPr>
                        <w:spacing w:before="120" w:after="120"/>
                        <w:rPr>
                          <w:rFonts w:cs="Arial"/>
                          <w:sz w:val="18"/>
                          <w:szCs w:val="18"/>
                        </w:rPr>
                      </w:pPr>
                    </w:p>
                    <w:p w14:paraId="1FFFE294" w14:textId="77777777" w:rsidR="00CB53E4" w:rsidRDefault="00CB53E4" w:rsidP="00356AD1">
                      <w:pPr>
                        <w:spacing w:before="120" w:after="120"/>
                        <w:rPr>
                          <w:rFonts w:cs="Arial"/>
                          <w:sz w:val="18"/>
                          <w:szCs w:val="18"/>
                        </w:rPr>
                      </w:pPr>
                      <w:r>
                        <w:rPr>
                          <w:rFonts w:cs="Arial"/>
                          <w:sz w:val="18"/>
                          <w:szCs w:val="18"/>
                        </w:rPr>
                        <w:t>This document</w:t>
                      </w:r>
                      <w:r>
                        <w:rPr>
                          <w:rFonts w:cs="Arial"/>
                          <w:i/>
                          <w:sz w:val="18"/>
                          <w:szCs w:val="18"/>
                          <w:lang w:val="en-GB"/>
                        </w:rPr>
                        <w:t xml:space="preserve"> </w:t>
                      </w:r>
                      <w:r w:rsidRPr="0010252A">
                        <w:rPr>
                          <w:rFonts w:cs="Arial"/>
                          <w:sz w:val="18"/>
                          <w:szCs w:val="18"/>
                        </w:rPr>
                        <w:t>is licensed by the Commonwealth of Australia for use under a Creative Commons By Attribution 4.0 International licence with the exception of the Coat of Arms of the Commonwealth of Australia, the logo</w:t>
                      </w:r>
                      <w:r>
                        <w:rPr>
                          <w:rFonts w:cs="Arial"/>
                          <w:sz w:val="18"/>
                          <w:szCs w:val="18"/>
                        </w:rPr>
                        <w:t>s</w:t>
                      </w:r>
                      <w:r w:rsidRPr="0010252A">
                        <w:rPr>
                          <w:rFonts w:cs="Arial"/>
                          <w:sz w:val="18"/>
                          <w:szCs w:val="18"/>
                        </w:rPr>
                        <w:t xml:space="preserve"> of the Great Barrier Reef Marine Park Authority, </w:t>
                      </w:r>
                      <w:r>
                        <w:rPr>
                          <w:rFonts w:cs="Arial"/>
                          <w:sz w:val="18"/>
                          <w:szCs w:val="18"/>
                        </w:rPr>
                        <w:t xml:space="preserve">Queensland Government, James Cook University, TropWater, University of Queensland and </w:t>
                      </w:r>
                      <w:r w:rsidRPr="0010252A">
                        <w:rPr>
                          <w:rFonts w:cs="Arial"/>
                          <w:sz w:val="18"/>
                          <w:szCs w:val="18"/>
                        </w:rPr>
                        <w:t xml:space="preserve">any other material protected by a trademark, content supplied by third parties and any photographs. For licence conditions see: </w:t>
                      </w:r>
                      <w:hyperlink r:id="rId24" w:tooltip="the creative commons web site" w:history="1">
                        <w:r w:rsidRPr="0010252A">
                          <w:rPr>
                            <w:rStyle w:val="Hyperlink"/>
                            <w:rFonts w:cs="Arial"/>
                            <w:sz w:val="18"/>
                            <w:szCs w:val="18"/>
                          </w:rPr>
                          <w:t>http://creativecommons.org/licences/by/4.0</w:t>
                        </w:r>
                      </w:hyperlink>
                      <w:r w:rsidRPr="0010252A">
                        <w:rPr>
                          <w:rFonts w:cs="Arial"/>
                          <w:sz w:val="18"/>
                          <w:szCs w:val="18"/>
                        </w:rPr>
                        <w:t xml:space="preserve"> </w:t>
                      </w:r>
                      <w:r w:rsidRPr="0010252A">
                        <w:rPr>
                          <w:rFonts w:cs="Arial"/>
                          <w:sz w:val="18"/>
                          <w:szCs w:val="18"/>
                        </w:rPr>
                        <w:cr/>
                      </w:r>
                      <w:r w:rsidRPr="0010252A">
                        <w:rPr>
                          <w:noProof/>
                          <w:lang w:eastAsia="en-AU"/>
                        </w:rPr>
                        <w:drawing>
                          <wp:inline distT="0" distB="0" distL="0" distR="0" wp14:anchorId="64EEC535" wp14:editId="37107AAA">
                            <wp:extent cx="981075" cy="340167"/>
                            <wp:effectExtent l="0" t="0" r="0" b="3175"/>
                            <wp:docPr id="117" name="Picture 117"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1"/>
                                    </pic:cNvPr>
                                    <pic:cNvPicPr/>
                                  </pic:nvPicPr>
                                  <pic:blipFill>
                                    <a:blip r:embed="rId22" cstate="print">
                                      <a:extLst>
                                        <a:ext uri="{28A0092B-C50C-407E-A947-70E740481C1C}">
                                          <a14:useLocalDpi xmlns:a14="http://schemas.microsoft.com/office/drawing/2010/main" val="0"/>
                                        </a:ext>
                                      </a:extLst>
                                    </a:blip>
                                    <a:stretch>
                                      <a:fillRect/>
                                    </a:stretch>
                                  </pic:blipFill>
                                  <pic:spPr>
                                    <a:xfrm>
                                      <a:off x="0" y="0"/>
                                      <a:ext cx="984117" cy="341222"/>
                                    </a:xfrm>
                                    <a:prstGeom prst="rect">
                                      <a:avLst/>
                                    </a:prstGeom>
                                  </pic:spPr>
                                </pic:pic>
                              </a:graphicData>
                            </a:graphic>
                          </wp:inline>
                        </w:drawing>
                      </w:r>
                    </w:p>
                    <w:p w14:paraId="36A40E0D" w14:textId="77777777" w:rsidR="00CB53E4" w:rsidRPr="00BF23B1" w:rsidRDefault="00CB53E4" w:rsidP="0037585D">
                      <w:pPr>
                        <w:autoSpaceDE w:val="0"/>
                        <w:autoSpaceDN w:val="0"/>
                        <w:adjustRightInd w:val="0"/>
                        <w:textAlignment w:val="center"/>
                        <w:rPr>
                          <w:rFonts w:cs="Arial"/>
                          <w:color w:val="000000"/>
                          <w:sz w:val="20"/>
                          <w:szCs w:val="20"/>
                          <w:lang w:val="en-GB"/>
                        </w:rPr>
                      </w:pPr>
                    </w:p>
                    <w:p w14:paraId="4EBBCABC" w14:textId="77777777" w:rsidR="00CB53E4" w:rsidRPr="00BF23B1" w:rsidRDefault="00CB53E4" w:rsidP="0037585D">
                      <w:pPr>
                        <w:autoSpaceDE w:val="0"/>
                        <w:autoSpaceDN w:val="0"/>
                        <w:adjustRightInd w:val="0"/>
                        <w:spacing w:line="288" w:lineRule="auto"/>
                        <w:textAlignment w:val="center"/>
                        <w:rPr>
                          <w:rFonts w:cs="Arial"/>
                          <w:b/>
                          <w:color w:val="000000"/>
                          <w:sz w:val="20"/>
                          <w:szCs w:val="20"/>
                          <w:lang w:val="en-GB"/>
                        </w:rPr>
                      </w:pPr>
                      <w:r w:rsidRPr="00BF23B1">
                        <w:rPr>
                          <w:rFonts w:cs="Arial"/>
                          <w:b/>
                          <w:color w:val="000000"/>
                          <w:sz w:val="20"/>
                          <w:szCs w:val="20"/>
                          <w:lang w:val="en-GB"/>
                        </w:rPr>
                        <w:t>A catalogue record for this publication is available from the National Library of Australia</w:t>
                      </w:r>
                    </w:p>
                    <w:p w14:paraId="155D691D" w14:textId="77777777" w:rsidR="00CB53E4" w:rsidRPr="00BF23B1" w:rsidRDefault="00CB53E4" w:rsidP="0037585D">
                      <w:pPr>
                        <w:autoSpaceDE w:val="0"/>
                        <w:autoSpaceDN w:val="0"/>
                        <w:adjustRightInd w:val="0"/>
                        <w:spacing w:line="288" w:lineRule="auto"/>
                        <w:textAlignment w:val="center"/>
                        <w:rPr>
                          <w:rFonts w:cs="Arial"/>
                          <w:color w:val="000000"/>
                          <w:sz w:val="20"/>
                          <w:szCs w:val="20"/>
                          <w:lang w:val="en-GB"/>
                        </w:rPr>
                      </w:pPr>
                    </w:p>
                    <w:p w14:paraId="3B9636B5" w14:textId="77777777" w:rsidR="00CB53E4" w:rsidRPr="00BF23B1" w:rsidRDefault="00CB53E4" w:rsidP="00694160">
                      <w:pPr>
                        <w:autoSpaceDE w:val="0"/>
                        <w:autoSpaceDN w:val="0"/>
                        <w:adjustRightInd w:val="0"/>
                        <w:spacing w:line="288" w:lineRule="auto"/>
                        <w:textAlignment w:val="center"/>
                        <w:rPr>
                          <w:rFonts w:cs="Arial"/>
                          <w:b/>
                          <w:bCs/>
                          <w:color w:val="000000"/>
                          <w:sz w:val="20"/>
                          <w:szCs w:val="20"/>
                          <w:lang w:val="en-GB"/>
                        </w:rPr>
                      </w:pPr>
                      <w:r w:rsidRPr="00BF23B1">
                        <w:rPr>
                          <w:rFonts w:cs="Arial"/>
                          <w:b/>
                          <w:bCs/>
                          <w:color w:val="000000"/>
                          <w:sz w:val="20"/>
                          <w:szCs w:val="20"/>
                          <w:lang w:val="en-GB"/>
                        </w:rPr>
                        <w:t>This publication should be cited as:</w:t>
                      </w:r>
                    </w:p>
                    <w:p w14:paraId="0CBD87F0" w14:textId="41E5CB08" w:rsidR="00CB53E4" w:rsidRPr="00BF23B1" w:rsidRDefault="00CB53E4" w:rsidP="00342802">
                      <w:pPr>
                        <w:autoSpaceDE w:val="0"/>
                        <w:autoSpaceDN w:val="0"/>
                        <w:adjustRightInd w:val="0"/>
                        <w:spacing w:line="288" w:lineRule="auto"/>
                        <w:ind w:left="426"/>
                        <w:textAlignment w:val="center"/>
                        <w:rPr>
                          <w:rFonts w:cs="Arial"/>
                          <w:color w:val="000000"/>
                          <w:sz w:val="20"/>
                          <w:szCs w:val="20"/>
                          <w:lang w:val="en-GB"/>
                        </w:rPr>
                      </w:pPr>
                      <w:r w:rsidRPr="00BF23B1">
                        <w:rPr>
                          <w:rFonts w:cs="Arial"/>
                          <w:color w:val="000000"/>
                          <w:sz w:val="20"/>
                          <w:szCs w:val="20"/>
                          <w:lang w:val="en-GB"/>
                        </w:rPr>
                        <w:t xml:space="preserve">Great Barrier Reef Marine Park Authority 2019, </w:t>
                      </w:r>
                      <w:r w:rsidRPr="00BF23B1">
                        <w:rPr>
                          <w:rFonts w:cs="Arial"/>
                          <w:i/>
                          <w:color w:val="000000"/>
                          <w:sz w:val="20"/>
                          <w:szCs w:val="20"/>
                          <w:lang w:val="en-GB"/>
                        </w:rPr>
                        <w:t>Marine Monitoring Program quality assurance and quality control manual 2017–18</w:t>
                      </w:r>
                      <w:r w:rsidRPr="00BF23B1">
                        <w:rPr>
                          <w:rFonts w:cs="Arial"/>
                          <w:color w:val="000000"/>
                          <w:sz w:val="20"/>
                          <w:szCs w:val="20"/>
                          <w:lang w:val="en-GB"/>
                        </w:rPr>
                        <w:t>, Great Barrier Reef Marine Park Authority, Townsville.</w:t>
                      </w:r>
                    </w:p>
                    <w:p w14:paraId="5E14AEEB" w14:textId="77777777" w:rsidR="00CB53E4" w:rsidRPr="00BF23B1" w:rsidRDefault="00CB53E4" w:rsidP="00342802">
                      <w:pPr>
                        <w:autoSpaceDE w:val="0"/>
                        <w:autoSpaceDN w:val="0"/>
                        <w:adjustRightInd w:val="0"/>
                        <w:spacing w:line="288" w:lineRule="auto"/>
                        <w:ind w:left="426"/>
                        <w:textAlignment w:val="center"/>
                        <w:rPr>
                          <w:rFonts w:cs="Arial"/>
                          <w:color w:val="000000"/>
                          <w:sz w:val="20"/>
                          <w:szCs w:val="20"/>
                          <w:lang w:val="en-GB"/>
                        </w:rPr>
                      </w:pPr>
                    </w:p>
                    <w:p w14:paraId="5A875811" w14:textId="6FA3D618" w:rsidR="00CB53E4" w:rsidRPr="00BF23B1" w:rsidRDefault="00CB53E4" w:rsidP="0037585D">
                      <w:pPr>
                        <w:autoSpaceDE w:val="0"/>
                        <w:autoSpaceDN w:val="0"/>
                        <w:adjustRightInd w:val="0"/>
                        <w:spacing w:line="288" w:lineRule="auto"/>
                        <w:textAlignment w:val="center"/>
                        <w:rPr>
                          <w:rFonts w:cs="Arial"/>
                          <w:sz w:val="20"/>
                          <w:szCs w:val="20"/>
                        </w:rPr>
                      </w:pPr>
                      <w:r w:rsidRPr="00BF23B1">
                        <w:rPr>
                          <w:rFonts w:cs="Arial"/>
                          <w:sz w:val="20"/>
                          <w:szCs w:val="20"/>
                        </w:rPr>
                        <w:t>The Great Barrier Reef Marine Park Authority gratefully acknowledges the contributions of the Marine Monitoring Program providers and their institutions to this manual.</w:t>
                      </w:r>
                    </w:p>
                    <w:p w14:paraId="154A7732" w14:textId="77777777" w:rsidR="00CB53E4" w:rsidRPr="00BF23B1" w:rsidRDefault="00CB53E4" w:rsidP="0037585D">
                      <w:pPr>
                        <w:autoSpaceDE w:val="0"/>
                        <w:autoSpaceDN w:val="0"/>
                        <w:adjustRightInd w:val="0"/>
                        <w:textAlignment w:val="center"/>
                        <w:rPr>
                          <w:rFonts w:cs="Arial"/>
                          <w:sz w:val="20"/>
                          <w:szCs w:val="20"/>
                        </w:rPr>
                      </w:pPr>
                    </w:p>
                    <w:p w14:paraId="64CB65AB" w14:textId="37ED937E" w:rsidR="00CB53E4" w:rsidRPr="00BF23B1" w:rsidRDefault="00CB53E4" w:rsidP="0037585D">
                      <w:pPr>
                        <w:autoSpaceDE w:val="0"/>
                        <w:autoSpaceDN w:val="0"/>
                        <w:adjustRightInd w:val="0"/>
                        <w:textAlignment w:val="center"/>
                        <w:rPr>
                          <w:rFonts w:cs="Arial"/>
                          <w:sz w:val="20"/>
                          <w:szCs w:val="20"/>
                        </w:rPr>
                      </w:pPr>
                      <w:r w:rsidRPr="00BF23B1">
                        <w:rPr>
                          <w:rFonts w:cs="Arial"/>
                          <w:sz w:val="20"/>
                          <w:szCs w:val="20"/>
                        </w:rPr>
                        <w:t>Front cover image: Clam Gardens in the Great Barrier Reef. Photo by Pete Niesen /</w:t>
                      </w:r>
                      <w:r w:rsidRPr="00BF23B1">
                        <w:rPr>
                          <w:rFonts w:ascii="Segoe UI" w:hAnsi="Segoe UI" w:cs="Segoe UI"/>
                          <w:sz w:val="20"/>
                          <w:szCs w:val="20"/>
                        </w:rPr>
                        <w:t xml:space="preserve"> </w:t>
                      </w:r>
                      <w:r w:rsidRPr="00BF23B1">
                        <w:rPr>
                          <w:rFonts w:cs="Arial"/>
                          <w:sz w:val="20"/>
                          <w:szCs w:val="20"/>
                        </w:rPr>
                        <w:t>ShutterStock</w:t>
                      </w:r>
                    </w:p>
                    <w:p w14:paraId="6A084D46" w14:textId="77777777" w:rsidR="00CB53E4" w:rsidRPr="00BF23B1" w:rsidRDefault="00CB53E4" w:rsidP="00694160">
                      <w:pPr>
                        <w:rPr>
                          <w:rFonts w:cs="Arial"/>
                          <w:sz w:val="20"/>
                          <w:szCs w:val="20"/>
                        </w:rPr>
                      </w:pPr>
                      <w:r w:rsidRPr="00BF23B1">
                        <w:rPr>
                          <w:rFonts w:cs="Arial"/>
                          <w:sz w:val="20"/>
                          <w:szCs w:val="20"/>
                        </w:rPr>
                        <w:t>Comments and questions regarding this document are welcome and should be addressed to:</w:t>
                      </w:r>
                    </w:p>
                    <w:p w14:paraId="5B8975CE" w14:textId="77777777" w:rsidR="00CB53E4" w:rsidRDefault="00CB53E4" w:rsidP="00694160">
                      <w:pPr>
                        <w:tabs>
                          <w:tab w:val="left" w:pos="1220"/>
                        </w:tabs>
                        <w:autoSpaceDE w:val="0"/>
                        <w:autoSpaceDN w:val="0"/>
                        <w:adjustRightInd w:val="0"/>
                        <w:ind w:left="142" w:hanging="142"/>
                        <w:textAlignment w:val="center"/>
                        <w:rPr>
                          <w:rFonts w:cs="Arial"/>
                          <w:color w:val="000000"/>
                          <w:sz w:val="20"/>
                          <w:szCs w:val="20"/>
                          <w:lang w:val="en-GB"/>
                        </w:rPr>
                      </w:pPr>
                      <w:r w:rsidRPr="0010252A">
                        <w:rPr>
                          <w:noProof/>
                          <w:lang w:eastAsia="en-AU"/>
                        </w:rPr>
                        <w:drawing>
                          <wp:inline distT="0" distB="0" distL="0" distR="0" wp14:anchorId="0E3EA1A1" wp14:editId="13CB571C">
                            <wp:extent cx="1818640" cy="725805"/>
                            <wp:effectExtent l="0" t="0" r="0" b="0"/>
                            <wp:docPr id="230" name="Picture 230"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437957F2" w14:textId="77777777" w:rsidR="00CB53E4" w:rsidRPr="00342802" w:rsidRDefault="00CB53E4" w:rsidP="00342802">
                      <w:pPr>
                        <w:tabs>
                          <w:tab w:val="left" w:pos="1220"/>
                        </w:tabs>
                        <w:autoSpaceDE w:val="0"/>
                        <w:autoSpaceDN w:val="0"/>
                        <w:adjustRightInd w:val="0"/>
                        <w:spacing w:before="0" w:after="0"/>
                        <w:ind w:left="1276" w:hanging="142"/>
                        <w:textAlignment w:val="center"/>
                        <w:rPr>
                          <w:rFonts w:cs="Arial"/>
                          <w:sz w:val="18"/>
                          <w:szCs w:val="18"/>
                        </w:rPr>
                      </w:pPr>
                      <w:r w:rsidRPr="00342802">
                        <w:rPr>
                          <w:rFonts w:cs="Arial"/>
                          <w:sz w:val="18"/>
                          <w:szCs w:val="18"/>
                        </w:rPr>
                        <w:t>Great Barrier Reef Marine Park Authority</w:t>
                      </w:r>
                    </w:p>
                    <w:p w14:paraId="212FBF46" w14:textId="77777777" w:rsidR="00CB53E4" w:rsidRPr="00342802" w:rsidRDefault="00CB53E4" w:rsidP="00342802">
                      <w:pPr>
                        <w:tabs>
                          <w:tab w:val="left" w:pos="1134"/>
                        </w:tabs>
                        <w:autoSpaceDE w:val="0"/>
                        <w:autoSpaceDN w:val="0"/>
                        <w:adjustRightInd w:val="0"/>
                        <w:spacing w:before="0" w:after="0"/>
                        <w:ind w:left="1134"/>
                        <w:textAlignment w:val="center"/>
                        <w:rPr>
                          <w:rFonts w:cs="Arial"/>
                          <w:sz w:val="18"/>
                          <w:szCs w:val="18"/>
                        </w:rPr>
                      </w:pPr>
                      <w:r w:rsidRPr="00342802">
                        <w:rPr>
                          <w:rFonts w:cs="Arial"/>
                          <w:sz w:val="18"/>
                          <w:szCs w:val="18"/>
                        </w:rPr>
                        <w:t xml:space="preserve">PO Box 1379 </w:t>
                      </w:r>
                      <w:r w:rsidRPr="00342802">
                        <w:rPr>
                          <w:rFonts w:cs="Arial"/>
                          <w:sz w:val="18"/>
                          <w:szCs w:val="18"/>
                        </w:rPr>
                        <w:tab/>
                      </w:r>
                      <w:r w:rsidRPr="00342802">
                        <w:rPr>
                          <w:rFonts w:cs="Arial"/>
                          <w:sz w:val="18"/>
                          <w:szCs w:val="18"/>
                        </w:rPr>
                        <w:br/>
                        <w:t xml:space="preserve">TOWNSVILLE QLD 4810 </w:t>
                      </w:r>
                      <w:r w:rsidRPr="00342802">
                        <w:rPr>
                          <w:rFonts w:cs="Arial"/>
                          <w:sz w:val="18"/>
                          <w:szCs w:val="18"/>
                        </w:rPr>
                        <w:tab/>
                      </w:r>
                      <w:r w:rsidRPr="00342802">
                        <w:rPr>
                          <w:rFonts w:cs="Arial"/>
                          <w:sz w:val="18"/>
                          <w:szCs w:val="18"/>
                        </w:rPr>
                        <w:br/>
                        <w:t xml:space="preserve">Australia </w:t>
                      </w:r>
                      <w:r w:rsidRPr="00342802">
                        <w:rPr>
                          <w:rFonts w:cs="Arial"/>
                          <w:sz w:val="18"/>
                          <w:szCs w:val="18"/>
                        </w:rPr>
                        <w:tab/>
                      </w:r>
                      <w:r w:rsidRPr="00342802">
                        <w:rPr>
                          <w:rFonts w:cs="Arial"/>
                          <w:sz w:val="18"/>
                          <w:szCs w:val="18"/>
                        </w:rPr>
                        <w:br/>
                      </w:r>
                    </w:p>
                    <w:p w14:paraId="3FC9AA89" w14:textId="7FCA99AE" w:rsidR="00CB53E4" w:rsidRPr="00342802" w:rsidRDefault="00CB53E4" w:rsidP="0037585D">
                      <w:pPr>
                        <w:tabs>
                          <w:tab w:val="left" w:pos="1134"/>
                        </w:tabs>
                        <w:autoSpaceDE w:val="0"/>
                        <w:autoSpaceDN w:val="0"/>
                        <w:adjustRightInd w:val="0"/>
                        <w:ind w:left="1134"/>
                        <w:textAlignment w:val="center"/>
                        <w:rPr>
                          <w:sz w:val="18"/>
                          <w:szCs w:val="18"/>
                        </w:rPr>
                      </w:pPr>
                      <w:r>
                        <w:rPr>
                          <w:rFonts w:cs="Arial"/>
                          <w:sz w:val="18"/>
                          <w:szCs w:val="18"/>
                        </w:rPr>
                        <w:t>Phone:</w:t>
                      </w:r>
                      <w:r>
                        <w:rPr>
                          <w:rFonts w:cs="Arial"/>
                          <w:sz w:val="18"/>
                          <w:szCs w:val="18"/>
                        </w:rPr>
                        <w:tab/>
                      </w:r>
                      <w:r w:rsidRPr="00342802">
                        <w:rPr>
                          <w:rFonts w:cs="Arial"/>
                          <w:sz w:val="18"/>
                          <w:szCs w:val="18"/>
                        </w:rPr>
                        <w:t xml:space="preserve">(07) 4750 0700 </w:t>
                      </w:r>
                      <w:r w:rsidRPr="00342802">
                        <w:rPr>
                          <w:rFonts w:cs="Arial"/>
                          <w:sz w:val="18"/>
                          <w:szCs w:val="18"/>
                        </w:rPr>
                        <w:tab/>
                      </w:r>
                      <w:r w:rsidRPr="00342802">
                        <w:rPr>
                          <w:rFonts w:cs="Arial"/>
                          <w:sz w:val="18"/>
                          <w:szCs w:val="18"/>
                        </w:rPr>
                        <w:br/>
                      </w:r>
                      <w:r>
                        <w:rPr>
                          <w:rFonts w:cs="Arial"/>
                          <w:sz w:val="18"/>
                          <w:szCs w:val="18"/>
                        </w:rPr>
                        <w:t>Email:</w:t>
                      </w:r>
                      <w:r>
                        <w:rPr>
                          <w:rFonts w:cs="Arial"/>
                          <w:sz w:val="18"/>
                          <w:szCs w:val="18"/>
                        </w:rPr>
                        <w:tab/>
                      </w:r>
                      <w:r w:rsidRPr="00342802">
                        <w:rPr>
                          <w:rFonts w:cs="Arial"/>
                          <w:sz w:val="18"/>
                          <w:szCs w:val="18"/>
                        </w:rPr>
                        <w:t>info@gbrmpa.gov.au</w:t>
                      </w:r>
                    </w:p>
                    <w:p w14:paraId="36A015E6" w14:textId="77777777" w:rsidR="00CB53E4" w:rsidRPr="00342802" w:rsidRDefault="00CB53E4" w:rsidP="00340324">
                      <w:pPr>
                        <w:tabs>
                          <w:tab w:val="left" w:pos="1134"/>
                        </w:tabs>
                        <w:autoSpaceDE w:val="0"/>
                        <w:autoSpaceDN w:val="0"/>
                        <w:adjustRightInd w:val="0"/>
                        <w:ind w:left="1134"/>
                        <w:textAlignment w:val="center"/>
                        <w:rPr>
                          <w:rFonts w:cs="Arial"/>
                          <w:sz w:val="18"/>
                          <w:szCs w:val="18"/>
                        </w:rPr>
                      </w:pPr>
                      <w:r w:rsidRPr="00342802">
                        <w:rPr>
                          <w:rFonts w:cs="Arial"/>
                          <w:sz w:val="18"/>
                          <w:szCs w:val="18"/>
                        </w:rPr>
                        <w:t>www.gbrmpa.gov.au</w:t>
                      </w:r>
                    </w:p>
                  </w:txbxContent>
                </v:textbox>
                <w10:wrap anchorx="margin" anchory="margin"/>
              </v:shape>
            </w:pict>
          </mc:Fallback>
        </mc:AlternateContent>
      </w:r>
    </w:p>
    <w:p w14:paraId="6E108400" w14:textId="77777777" w:rsidR="000131CA" w:rsidRDefault="000131CA" w:rsidP="00FE2F59">
      <w:pPr>
        <w:rPr>
          <w:rFonts w:cs="Arial"/>
          <w:b/>
        </w:rPr>
      </w:pPr>
    </w:p>
    <w:p w14:paraId="0AA4DEA0" w14:textId="77777777" w:rsidR="000131CA" w:rsidRDefault="000131CA" w:rsidP="00FE2F59">
      <w:pPr>
        <w:rPr>
          <w:rFonts w:cs="Arial"/>
          <w:b/>
        </w:rPr>
      </w:pPr>
    </w:p>
    <w:p w14:paraId="71FD65E1" w14:textId="77777777" w:rsidR="000131CA" w:rsidRDefault="000131CA" w:rsidP="00FE2F59">
      <w:pPr>
        <w:rPr>
          <w:rFonts w:cs="Arial"/>
          <w:b/>
        </w:rPr>
      </w:pPr>
    </w:p>
    <w:p w14:paraId="213A6D10" w14:textId="77777777" w:rsidR="000131CA" w:rsidRDefault="000131CA" w:rsidP="00FE2F59">
      <w:pPr>
        <w:rPr>
          <w:rFonts w:cs="Arial"/>
          <w:b/>
        </w:rPr>
      </w:pPr>
    </w:p>
    <w:p w14:paraId="5976D042" w14:textId="77777777" w:rsidR="000131CA" w:rsidRDefault="000131CA" w:rsidP="00FE2F59">
      <w:pPr>
        <w:rPr>
          <w:rFonts w:cs="Arial"/>
          <w:b/>
        </w:rPr>
      </w:pPr>
    </w:p>
    <w:p w14:paraId="3E205ED3" w14:textId="77777777" w:rsidR="000131CA" w:rsidRDefault="000131CA" w:rsidP="00FE2F59">
      <w:pPr>
        <w:rPr>
          <w:rFonts w:cs="Arial"/>
          <w:b/>
        </w:rPr>
      </w:pPr>
    </w:p>
    <w:p w14:paraId="7AE29F3D" w14:textId="77777777" w:rsidR="00E316CA" w:rsidRDefault="00E316CA" w:rsidP="00FE2F59">
      <w:pPr>
        <w:rPr>
          <w:rFonts w:cs="Arial"/>
          <w:b/>
        </w:rPr>
      </w:pPr>
    </w:p>
    <w:p w14:paraId="6303D826" w14:textId="77777777" w:rsidR="00E316CA" w:rsidRDefault="00E316CA" w:rsidP="00FE2F59">
      <w:pPr>
        <w:rPr>
          <w:rFonts w:cs="Arial"/>
          <w:b/>
        </w:rPr>
      </w:pPr>
    </w:p>
    <w:p w14:paraId="258826B6" w14:textId="77777777" w:rsidR="00E316CA" w:rsidRDefault="00E316CA" w:rsidP="00FE2F59">
      <w:pPr>
        <w:rPr>
          <w:rFonts w:cs="Arial"/>
          <w:b/>
        </w:rPr>
      </w:pPr>
    </w:p>
    <w:p w14:paraId="7341E616" w14:textId="77777777" w:rsidR="00E316CA" w:rsidRDefault="00E316CA" w:rsidP="00FE2F59">
      <w:pPr>
        <w:rPr>
          <w:rFonts w:cs="Arial"/>
          <w:b/>
        </w:rPr>
      </w:pPr>
    </w:p>
    <w:p w14:paraId="4224CF41" w14:textId="77777777" w:rsidR="00E316CA" w:rsidRDefault="00E316CA" w:rsidP="00FE2F59">
      <w:pPr>
        <w:rPr>
          <w:rFonts w:cs="Arial"/>
          <w:b/>
        </w:rPr>
      </w:pPr>
    </w:p>
    <w:p w14:paraId="192FD4CC" w14:textId="77777777" w:rsidR="00CB5D39" w:rsidRPr="0058370B" w:rsidRDefault="008521C9" w:rsidP="00FE2F59">
      <w:pPr>
        <w:rPr>
          <w:rFonts w:cs="Arial"/>
          <w:b/>
        </w:rPr>
      </w:pPr>
      <w:r w:rsidRPr="0058370B">
        <w:rPr>
          <w:rFonts w:cs="Arial"/>
          <w:noProof/>
          <w:lang w:eastAsia="en-AU"/>
        </w:rPr>
        <mc:AlternateContent>
          <mc:Choice Requires="wps">
            <w:drawing>
              <wp:anchor distT="0" distB="0" distL="114300" distR="114300" simplePos="0" relativeHeight="251658254" behindDoc="0" locked="0" layoutInCell="1" allowOverlap="1" wp14:anchorId="5F42B9F0" wp14:editId="1DE42353">
                <wp:simplePos x="0" y="0"/>
                <wp:positionH relativeFrom="column">
                  <wp:posOffset>1356995</wp:posOffset>
                </wp:positionH>
                <wp:positionV relativeFrom="paragraph">
                  <wp:posOffset>-6059805</wp:posOffset>
                </wp:positionV>
                <wp:extent cx="4591050" cy="1403985"/>
                <wp:effectExtent l="0" t="0" r="0" b="0"/>
                <wp:wrapNone/>
                <wp:docPr id="256" name="Text Box 2" descr="Marine Monitoring Program&#10;Quality Assurance and Quality Control Manual" title="Text box with tit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1050" cy="1403985"/>
                        </a:xfrm>
                        <a:prstGeom prst="rect">
                          <a:avLst/>
                        </a:prstGeom>
                        <a:solidFill>
                          <a:srgbClr val="FFFFFF"/>
                        </a:solidFill>
                        <a:ln w="9525">
                          <a:noFill/>
                          <a:miter lim="800000"/>
                          <a:headEnd/>
                          <a:tailEnd/>
                        </a:ln>
                      </wps:spPr>
                      <wps:txbx>
                        <w:txbxContent>
                          <w:p w14:paraId="1457FAFC" w14:textId="77777777" w:rsidR="00CB53E4" w:rsidRPr="00F8700F" w:rsidRDefault="00CB53E4" w:rsidP="001579CE">
                            <w:pPr>
                              <w:jc w:val="right"/>
                              <w:rPr>
                                <w:rFonts w:ascii="Segoe UI Semibold" w:hAnsi="Segoe UI Semibold"/>
                                <w:color w:val="215868" w:themeColor="accent5" w:themeShade="80"/>
                                <w:sz w:val="32"/>
                                <w:szCs w:val="32"/>
                              </w:rPr>
                            </w:pPr>
                            <w:r w:rsidRPr="00F8700F">
                              <w:rPr>
                                <w:rFonts w:ascii="Segoe UI Semibold" w:hAnsi="Segoe UI Semibold"/>
                                <w:color w:val="215868" w:themeColor="accent5" w:themeShade="80"/>
                                <w:sz w:val="32"/>
                                <w:szCs w:val="32"/>
                              </w:rPr>
                              <w:t>MARINE MONITORING PROGRAM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F42B9F0" id="Text Box 2" o:spid="_x0000_s1029" type="#_x0000_t202" alt="Title: Text box with title - Description: Marine Monitoring Program&#10;Quality Assurance and Quality Control Manual" style="position:absolute;margin-left:106.85pt;margin-top:-477.15pt;width:361.5pt;height:110.55pt;z-index:25165825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" stroked="f">
                <v:textbox style="mso-fit-shape-to-text:t">
                  <w:txbxContent>
                    <w:p w14:paraId="1457FAFC" w14:textId="77777777" w:rsidR="00CB53E4" w:rsidRPr="00F8700F" w:rsidRDefault="00CB53E4" w:rsidP="001579CE">
                      <w:pPr>
                        <w:jc w:val="right"/>
                        <w:rPr>
                          <w:rFonts w:ascii="Segoe UI Semibold" w:hAnsi="Segoe UI Semibold"/>
                          <w:color w:val="215868" w:themeColor="accent5" w:themeShade="80"/>
                          <w:sz w:val="32"/>
                          <w:szCs w:val="32"/>
                        </w:rPr>
                      </w:pPr>
                      <w:r w:rsidRPr="00F8700F">
                        <w:rPr>
                          <w:rFonts w:ascii="Segoe UI Semibold" w:hAnsi="Segoe UI Semibold"/>
                          <w:color w:val="215868" w:themeColor="accent5" w:themeShade="80"/>
                          <w:sz w:val="32"/>
                          <w:szCs w:val="32"/>
                        </w:rPr>
                        <w:t>MARINE MONITORING PROGRAM</w:t>
                      </w:r>
                    </w:p>
                  </w:txbxContent>
                </v:textbox>
              </v:shape>
            </w:pict>
          </mc:Fallback>
        </mc:AlternateContent>
      </w:r>
    </w:p>
    <w:p w14:paraId="5B0343F7" w14:textId="77777777" w:rsidR="002E0D5D" w:rsidRPr="0058370B" w:rsidRDefault="002E0D5D" w:rsidP="00FE2F59">
      <w:pPr>
        <w:rPr>
          <w:rFonts w:cs="Arial"/>
        </w:rPr>
      </w:pPr>
    </w:p>
    <w:p w14:paraId="27533ADE" w14:textId="77777777" w:rsidR="002E0D5D" w:rsidRPr="0058370B" w:rsidRDefault="002E0D5D" w:rsidP="00FE2F59">
      <w:pPr>
        <w:tabs>
          <w:tab w:val="left" w:pos="5840"/>
        </w:tabs>
        <w:rPr>
          <w:rFonts w:cs="Arial"/>
        </w:rPr>
      </w:pPr>
      <w:r w:rsidRPr="0058370B">
        <w:rPr>
          <w:rFonts w:cs="Arial"/>
        </w:rPr>
        <w:tab/>
      </w:r>
    </w:p>
    <w:p w14:paraId="3F060BD9" w14:textId="6526BE40" w:rsidR="002E0D5D" w:rsidRPr="0058370B" w:rsidRDefault="002E0D5D" w:rsidP="00FE2F59">
      <w:pPr>
        <w:rPr>
          <w:rFonts w:cs="Arial"/>
        </w:rPr>
      </w:pPr>
    </w:p>
    <w:p w14:paraId="66015C52" w14:textId="77777777" w:rsidR="001857A5" w:rsidRPr="0058370B" w:rsidRDefault="001857A5" w:rsidP="00FE2F59">
      <w:pPr>
        <w:rPr>
          <w:rFonts w:cs="Arial"/>
          <w:b/>
        </w:rPr>
        <w:sectPr w:rsidR="001857A5" w:rsidRPr="0058370B" w:rsidSect="00340324">
          <w:footerReference w:type="default" r:id="rId25"/>
          <w:pgSz w:w="11906" w:h="16838"/>
          <w:pgMar w:top="0" w:right="0" w:bottom="1440" w:left="993" w:header="708" w:footer="708" w:gutter="0"/>
          <w:pgNumType w:start="1"/>
          <w:cols w:space="708"/>
          <w:docGrid w:linePitch="360"/>
        </w:sectPr>
      </w:pPr>
    </w:p>
    <w:p w14:paraId="5D3FA37C" w14:textId="77777777" w:rsidR="00FB1C05" w:rsidRPr="004605EE" w:rsidRDefault="00145735" w:rsidP="00FE2F59">
      <w:pPr>
        <w:rPr>
          <w:rFonts w:cs="Arial"/>
          <w:b/>
          <w:color w:val="365F91" w:themeColor="accent1" w:themeShade="BF"/>
          <w:sz w:val="24"/>
          <w:szCs w:val="24"/>
        </w:rPr>
      </w:pPr>
      <w:r w:rsidRPr="004605EE">
        <w:rPr>
          <w:rFonts w:cs="Arial"/>
          <w:b/>
          <w:color w:val="365F91" w:themeColor="accent1" w:themeShade="BF"/>
          <w:sz w:val="24"/>
          <w:szCs w:val="24"/>
        </w:rPr>
        <w:lastRenderedPageBreak/>
        <w:t xml:space="preserve">Table of </w:t>
      </w:r>
      <w:r w:rsidR="00B23072" w:rsidRPr="004605EE">
        <w:rPr>
          <w:rFonts w:cs="Arial"/>
          <w:b/>
          <w:color w:val="365F91" w:themeColor="accent1" w:themeShade="BF"/>
          <w:sz w:val="24"/>
          <w:szCs w:val="24"/>
        </w:rPr>
        <w:t>Contents</w:t>
      </w:r>
    </w:p>
    <w:p w14:paraId="259C3E3D" w14:textId="77777777" w:rsidR="000C648E" w:rsidRDefault="006345F0">
      <w:pPr>
        <w:pStyle w:val="TOC1"/>
        <w:rPr>
          <w:rFonts w:asciiTheme="minorHAnsi" w:eastAsiaTheme="minorEastAsia" w:hAnsiTheme="minorHAnsi" w:cstheme="minorBidi"/>
          <w:b w:val="0"/>
          <w:lang w:eastAsia="en-AU"/>
        </w:rPr>
      </w:pPr>
      <w:r>
        <w:rPr>
          <w:rFonts w:cs="Arial"/>
        </w:rPr>
        <w:fldChar w:fldCharType="begin"/>
      </w:r>
      <w:r>
        <w:rPr>
          <w:rFonts w:cs="Arial"/>
        </w:rPr>
        <w:instrText xml:space="preserve"> TOC \o "1-3" \h \z \u </w:instrText>
      </w:r>
      <w:r>
        <w:rPr>
          <w:rFonts w:cs="Arial"/>
        </w:rPr>
        <w:fldChar w:fldCharType="separate"/>
      </w:r>
      <w:hyperlink w:anchor="_Toc12365553" w:history="1">
        <w:r w:rsidR="000C648E" w:rsidRPr="0089282B">
          <w:rPr>
            <w:rStyle w:val="Hyperlink"/>
          </w:rPr>
          <w:t>1</w:t>
        </w:r>
        <w:r w:rsidR="000C648E">
          <w:rPr>
            <w:rFonts w:asciiTheme="minorHAnsi" w:eastAsiaTheme="minorEastAsia" w:hAnsiTheme="minorHAnsi" w:cstheme="minorBidi"/>
            <w:b w:val="0"/>
            <w:lang w:eastAsia="en-AU"/>
          </w:rPr>
          <w:tab/>
        </w:r>
        <w:r w:rsidR="000C648E" w:rsidRPr="0089282B">
          <w:rPr>
            <w:rStyle w:val="Hyperlink"/>
          </w:rPr>
          <w:t>Introduction</w:t>
        </w:r>
        <w:r w:rsidR="000C648E">
          <w:rPr>
            <w:webHidden/>
          </w:rPr>
          <w:tab/>
        </w:r>
        <w:r w:rsidR="000C648E">
          <w:rPr>
            <w:webHidden/>
          </w:rPr>
          <w:fldChar w:fldCharType="begin"/>
        </w:r>
        <w:r w:rsidR="000C648E">
          <w:rPr>
            <w:webHidden/>
          </w:rPr>
          <w:instrText xml:space="preserve"> PAGEREF _Toc12365553 \h </w:instrText>
        </w:r>
        <w:r w:rsidR="000C648E">
          <w:rPr>
            <w:webHidden/>
          </w:rPr>
        </w:r>
        <w:r w:rsidR="000C648E">
          <w:rPr>
            <w:webHidden/>
          </w:rPr>
          <w:fldChar w:fldCharType="separate"/>
        </w:r>
        <w:r w:rsidR="00D528AA">
          <w:rPr>
            <w:webHidden/>
          </w:rPr>
          <w:t>4</w:t>
        </w:r>
        <w:r w:rsidR="000C648E">
          <w:rPr>
            <w:webHidden/>
          </w:rPr>
          <w:fldChar w:fldCharType="end"/>
        </w:r>
      </w:hyperlink>
    </w:p>
    <w:p w14:paraId="760C6906" w14:textId="77777777" w:rsidR="000C648E" w:rsidRDefault="00740B55">
      <w:pPr>
        <w:pStyle w:val="TOC2"/>
        <w:rPr>
          <w:rFonts w:asciiTheme="minorHAnsi" w:eastAsiaTheme="minorEastAsia" w:hAnsiTheme="minorHAnsi" w:cstheme="minorBidi"/>
          <w:noProof/>
          <w:sz w:val="22"/>
          <w:lang w:eastAsia="en-AU"/>
        </w:rPr>
      </w:pPr>
      <w:hyperlink w:anchor="_Toc12365554" w:history="1">
        <w:r w:rsidR="000C648E" w:rsidRPr="0089282B">
          <w:rPr>
            <w:rStyle w:val="Hyperlink"/>
            <w:noProof/>
          </w:rPr>
          <w:t>1.1</w:t>
        </w:r>
        <w:r w:rsidR="000C648E">
          <w:rPr>
            <w:rFonts w:asciiTheme="minorHAnsi" w:eastAsiaTheme="minorEastAsia" w:hAnsiTheme="minorHAnsi" w:cstheme="minorBidi"/>
            <w:noProof/>
            <w:sz w:val="22"/>
            <w:lang w:eastAsia="en-AU"/>
          </w:rPr>
          <w:tab/>
        </w:r>
        <w:r w:rsidR="000C648E" w:rsidRPr="0089282B">
          <w:rPr>
            <w:rStyle w:val="Hyperlink"/>
            <w:noProof/>
          </w:rPr>
          <w:t>Inshore marine water quality monitoring</w:t>
        </w:r>
        <w:r w:rsidR="000C648E">
          <w:rPr>
            <w:noProof/>
            <w:webHidden/>
          </w:rPr>
          <w:tab/>
        </w:r>
        <w:r w:rsidR="000C648E">
          <w:rPr>
            <w:noProof/>
            <w:webHidden/>
          </w:rPr>
          <w:fldChar w:fldCharType="begin"/>
        </w:r>
        <w:r w:rsidR="000C648E">
          <w:rPr>
            <w:noProof/>
            <w:webHidden/>
          </w:rPr>
          <w:instrText xml:space="preserve"> PAGEREF _Toc12365554 \h </w:instrText>
        </w:r>
        <w:r w:rsidR="000C648E">
          <w:rPr>
            <w:noProof/>
            <w:webHidden/>
          </w:rPr>
        </w:r>
        <w:r w:rsidR="000C648E">
          <w:rPr>
            <w:noProof/>
            <w:webHidden/>
          </w:rPr>
          <w:fldChar w:fldCharType="separate"/>
        </w:r>
        <w:r w:rsidR="00D528AA">
          <w:rPr>
            <w:noProof/>
            <w:webHidden/>
          </w:rPr>
          <w:t>5</w:t>
        </w:r>
        <w:r w:rsidR="000C648E">
          <w:rPr>
            <w:noProof/>
            <w:webHidden/>
          </w:rPr>
          <w:fldChar w:fldCharType="end"/>
        </w:r>
      </w:hyperlink>
    </w:p>
    <w:p w14:paraId="5525F43A" w14:textId="77777777" w:rsidR="000C648E" w:rsidRDefault="00740B55">
      <w:pPr>
        <w:pStyle w:val="TOC2"/>
        <w:rPr>
          <w:rFonts w:asciiTheme="minorHAnsi" w:eastAsiaTheme="minorEastAsia" w:hAnsiTheme="minorHAnsi" w:cstheme="minorBidi"/>
          <w:noProof/>
          <w:sz w:val="22"/>
          <w:lang w:eastAsia="en-AU"/>
        </w:rPr>
      </w:pPr>
      <w:hyperlink w:anchor="_Toc12365555" w:history="1">
        <w:r w:rsidR="000C648E" w:rsidRPr="0089282B">
          <w:rPr>
            <w:rStyle w:val="Hyperlink"/>
            <w:noProof/>
          </w:rPr>
          <w:t>1.2</w:t>
        </w:r>
        <w:r w:rsidR="000C648E">
          <w:rPr>
            <w:rFonts w:asciiTheme="minorHAnsi" w:eastAsiaTheme="minorEastAsia" w:hAnsiTheme="minorHAnsi" w:cstheme="minorBidi"/>
            <w:noProof/>
            <w:sz w:val="22"/>
            <w:lang w:eastAsia="en-AU"/>
          </w:rPr>
          <w:tab/>
        </w:r>
        <w:r w:rsidR="000C648E" w:rsidRPr="0089282B">
          <w:rPr>
            <w:rStyle w:val="Hyperlink"/>
            <w:noProof/>
          </w:rPr>
          <w:t>Remote sensing of water quality</w:t>
        </w:r>
        <w:r w:rsidR="000C648E">
          <w:rPr>
            <w:noProof/>
            <w:webHidden/>
          </w:rPr>
          <w:tab/>
        </w:r>
        <w:r w:rsidR="000C648E">
          <w:rPr>
            <w:noProof/>
            <w:webHidden/>
          </w:rPr>
          <w:fldChar w:fldCharType="begin"/>
        </w:r>
        <w:r w:rsidR="000C648E">
          <w:rPr>
            <w:noProof/>
            <w:webHidden/>
          </w:rPr>
          <w:instrText xml:space="preserve"> PAGEREF _Toc12365555 \h </w:instrText>
        </w:r>
        <w:r w:rsidR="000C648E">
          <w:rPr>
            <w:noProof/>
            <w:webHidden/>
          </w:rPr>
        </w:r>
        <w:r w:rsidR="000C648E">
          <w:rPr>
            <w:noProof/>
            <w:webHidden/>
          </w:rPr>
          <w:fldChar w:fldCharType="separate"/>
        </w:r>
        <w:r w:rsidR="00D528AA">
          <w:rPr>
            <w:noProof/>
            <w:webHidden/>
          </w:rPr>
          <w:t>6</w:t>
        </w:r>
        <w:r w:rsidR="000C648E">
          <w:rPr>
            <w:noProof/>
            <w:webHidden/>
          </w:rPr>
          <w:fldChar w:fldCharType="end"/>
        </w:r>
      </w:hyperlink>
    </w:p>
    <w:p w14:paraId="2C174863" w14:textId="77777777" w:rsidR="000C648E" w:rsidRDefault="00740B55">
      <w:pPr>
        <w:pStyle w:val="TOC2"/>
        <w:rPr>
          <w:rFonts w:asciiTheme="minorHAnsi" w:eastAsiaTheme="minorEastAsia" w:hAnsiTheme="minorHAnsi" w:cstheme="minorBidi"/>
          <w:noProof/>
          <w:sz w:val="22"/>
          <w:lang w:eastAsia="en-AU"/>
        </w:rPr>
      </w:pPr>
      <w:hyperlink w:anchor="_Toc12365556" w:history="1">
        <w:r w:rsidR="000C648E" w:rsidRPr="0089282B">
          <w:rPr>
            <w:rStyle w:val="Hyperlink"/>
            <w:noProof/>
          </w:rPr>
          <w:t>1.3</w:t>
        </w:r>
        <w:r w:rsidR="000C648E">
          <w:rPr>
            <w:rFonts w:asciiTheme="minorHAnsi" w:eastAsiaTheme="minorEastAsia" w:hAnsiTheme="minorHAnsi" w:cstheme="minorBidi"/>
            <w:noProof/>
            <w:sz w:val="22"/>
            <w:lang w:eastAsia="en-AU"/>
          </w:rPr>
          <w:tab/>
        </w:r>
        <w:r w:rsidR="000C648E" w:rsidRPr="0089282B">
          <w:rPr>
            <w:rStyle w:val="Hyperlink"/>
            <w:noProof/>
          </w:rPr>
          <w:t>Pesticide monitoring</w:t>
        </w:r>
        <w:r w:rsidR="000C648E">
          <w:rPr>
            <w:noProof/>
            <w:webHidden/>
          </w:rPr>
          <w:tab/>
        </w:r>
        <w:r w:rsidR="000C648E">
          <w:rPr>
            <w:noProof/>
            <w:webHidden/>
          </w:rPr>
          <w:fldChar w:fldCharType="begin"/>
        </w:r>
        <w:r w:rsidR="000C648E">
          <w:rPr>
            <w:noProof/>
            <w:webHidden/>
          </w:rPr>
          <w:instrText xml:space="preserve"> PAGEREF _Toc12365556 \h </w:instrText>
        </w:r>
        <w:r w:rsidR="000C648E">
          <w:rPr>
            <w:noProof/>
            <w:webHidden/>
          </w:rPr>
        </w:r>
        <w:r w:rsidR="000C648E">
          <w:rPr>
            <w:noProof/>
            <w:webHidden/>
          </w:rPr>
          <w:fldChar w:fldCharType="separate"/>
        </w:r>
        <w:r w:rsidR="00D528AA">
          <w:rPr>
            <w:noProof/>
            <w:webHidden/>
          </w:rPr>
          <w:t>6</w:t>
        </w:r>
        <w:r w:rsidR="000C648E">
          <w:rPr>
            <w:noProof/>
            <w:webHidden/>
          </w:rPr>
          <w:fldChar w:fldCharType="end"/>
        </w:r>
      </w:hyperlink>
    </w:p>
    <w:p w14:paraId="1440C659" w14:textId="77777777" w:rsidR="000C648E" w:rsidRDefault="00740B55">
      <w:pPr>
        <w:pStyle w:val="TOC2"/>
        <w:rPr>
          <w:rFonts w:asciiTheme="minorHAnsi" w:eastAsiaTheme="minorEastAsia" w:hAnsiTheme="minorHAnsi" w:cstheme="minorBidi"/>
          <w:noProof/>
          <w:sz w:val="22"/>
          <w:lang w:eastAsia="en-AU"/>
        </w:rPr>
      </w:pPr>
      <w:hyperlink w:anchor="_Toc12365557" w:history="1">
        <w:r w:rsidR="000C648E" w:rsidRPr="0089282B">
          <w:rPr>
            <w:rStyle w:val="Hyperlink"/>
            <w:noProof/>
          </w:rPr>
          <w:t>1.4</w:t>
        </w:r>
        <w:r w:rsidR="000C648E">
          <w:rPr>
            <w:rFonts w:asciiTheme="minorHAnsi" w:eastAsiaTheme="minorEastAsia" w:hAnsiTheme="minorHAnsi" w:cstheme="minorBidi"/>
            <w:noProof/>
            <w:sz w:val="22"/>
            <w:lang w:eastAsia="en-AU"/>
          </w:rPr>
          <w:tab/>
        </w:r>
        <w:r w:rsidR="000C648E" w:rsidRPr="0089282B">
          <w:rPr>
            <w:rStyle w:val="Hyperlink"/>
            <w:noProof/>
          </w:rPr>
          <w:t>Inshore seagrass monitoring</w:t>
        </w:r>
        <w:r w:rsidR="000C648E">
          <w:rPr>
            <w:noProof/>
            <w:webHidden/>
          </w:rPr>
          <w:tab/>
        </w:r>
        <w:r w:rsidR="000C648E">
          <w:rPr>
            <w:noProof/>
            <w:webHidden/>
          </w:rPr>
          <w:fldChar w:fldCharType="begin"/>
        </w:r>
        <w:r w:rsidR="000C648E">
          <w:rPr>
            <w:noProof/>
            <w:webHidden/>
          </w:rPr>
          <w:instrText xml:space="preserve"> PAGEREF _Toc12365557 \h </w:instrText>
        </w:r>
        <w:r w:rsidR="000C648E">
          <w:rPr>
            <w:noProof/>
            <w:webHidden/>
          </w:rPr>
        </w:r>
        <w:r w:rsidR="000C648E">
          <w:rPr>
            <w:noProof/>
            <w:webHidden/>
          </w:rPr>
          <w:fldChar w:fldCharType="separate"/>
        </w:r>
        <w:r w:rsidR="00D528AA">
          <w:rPr>
            <w:noProof/>
            <w:webHidden/>
          </w:rPr>
          <w:t>7</w:t>
        </w:r>
        <w:r w:rsidR="000C648E">
          <w:rPr>
            <w:noProof/>
            <w:webHidden/>
          </w:rPr>
          <w:fldChar w:fldCharType="end"/>
        </w:r>
      </w:hyperlink>
    </w:p>
    <w:p w14:paraId="140609A5" w14:textId="77777777" w:rsidR="000C648E" w:rsidRDefault="00740B55">
      <w:pPr>
        <w:pStyle w:val="TOC2"/>
        <w:rPr>
          <w:rFonts w:asciiTheme="minorHAnsi" w:eastAsiaTheme="minorEastAsia" w:hAnsiTheme="minorHAnsi" w:cstheme="minorBidi"/>
          <w:noProof/>
          <w:sz w:val="22"/>
          <w:lang w:eastAsia="en-AU"/>
        </w:rPr>
      </w:pPr>
      <w:hyperlink w:anchor="_Toc12365558" w:history="1">
        <w:r w:rsidR="000C648E" w:rsidRPr="0089282B">
          <w:rPr>
            <w:rStyle w:val="Hyperlink"/>
            <w:rFonts w:eastAsia="MS Mincho"/>
            <w:noProof/>
          </w:rPr>
          <w:t>1.5</w:t>
        </w:r>
        <w:r w:rsidR="000C648E">
          <w:rPr>
            <w:rFonts w:asciiTheme="minorHAnsi" w:eastAsiaTheme="minorEastAsia" w:hAnsiTheme="minorHAnsi" w:cstheme="minorBidi"/>
            <w:noProof/>
            <w:sz w:val="22"/>
            <w:lang w:eastAsia="en-AU"/>
          </w:rPr>
          <w:tab/>
        </w:r>
        <w:r w:rsidR="000C648E" w:rsidRPr="0089282B">
          <w:rPr>
            <w:rStyle w:val="Hyperlink"/>
            <w:rFonts w:eastAsia="MS Mincho"/>
            <w:noProof/>
          </w:rPr>
          <w:t>Inshore coral monitoring</w:t>
        </w:r>
        <w:r w:rsidR="000C648E">
          <w:rPr>
            <w:noProof/>
            <w:webHidden/>
          </w:rPr>
          <w:tab/>
        </w:r>
        <w:r w:rsidR="000C648E">
          <w:rPr>
            <w:noProof/>
            <w:webHidden/>
          </w:rPr>
          <w:fldChar w:fldCharType="begin"/>
        </w:r>
        <w:r w:rsidR="000C648E">
          <w:rPr>
            <w:noProof/>
            <w:webHidden/>
          </w:rPr>
          <w:instrText xml:space="preserve"> PAGEREF _Toc12365558 \h </w:instrText>
        </w:r>
        <w:r w:rsidR="000C648E">
          <w:rPr>
            <w:noProof/>
            <w:webHidden/>
          </w:rPr>
        </w:r>
        <w:r w:rsidR="000C648E">
          <w:rPr>
            <w:noProof/>
            <w:webHidden/>
          </w:rPr>
          <w:fldChar w:fldCharType="separate"/>
        </w:r>
        <w:r w:rsidR="00D528AA">
          <w:rPr>
            <w:noProof/>
            <w:webHidden/>
          </w:rPr>
          <w:t>8</w:t>
        </w:r>
        <w:r w:rsidR="000C648E">
          <w:rPr>
            <w:noProof/>
            <w:webHidden/>
          </w:rPr>
          <w:fldChar w:fldCharType="end"/>
        </w:r>
      </w:hyperlink>
    </w:p>
    <w:p w14:paraId="46ACB317" w14:textId="77777777" w:rsidR="000C648E" w:rsidRDefault="00740B55">
      <w:pPr>
        <w:pStyle w:val="TOC2"/>
        <w:rPr>
          <w:rFonts w:asciiTheme="minorHAnsi" w:eastAsiaTheme="minorEastAsia" w:hAnsiTheme="minorHAnsi" w:cstheme="minorBidi"/>
          <w:noProof/>
          <w:sz w:val="22"/>
          <w:lang w:eastAsia="en-AU"/>
        </w:rPr>
      </w:pPr>
      <w:hyperlink w:anchor="_Toc12365559" w:history="1">
        <w:r w:rsidR="000C648E" w:rsidRPr="0089282B">
          <w:rPr>
            <w:rStyle w:val="Hyperlink"/>
            <w:rFonts w:eastAsia="MS Mincho"/>
            <w:noProof/>
          </w:rPr>
          <w:t>1.6</w:t>
        </w:r>
        <w:r w:rsidR="000C648E">
          <w:rPr>
            <w:rFonts w:asciiTheme="minorHAnsi" w:eastAsiaTheme="minorEastAsia" w:hAnsiTheme="minorHAnsi" w:cstheme="minorBidi"/>
            <w:noProof/>
            <w:sz w:val="22"/>
            <w:lang w:eastAsia="en-AU"/>
          </w:rPr>
          <w:tab/>
        </w:r>
        <w:r w:rsidR="000C648E" w:rsidRPr="0089282B">
          <w:rPr>
            <w:rStyle w:val="Hyperlink"/>
            <w:rFonts w:eastAsia="MS Mincho"/>
            <w:noProof/>
          </w:rPr>
          <w:t>Synthesis of data and integration</w:t>
        </w:r>
        <w:r w:rsidR="000C648E">
          <w:rPr>
            <w:noProof/>
            <w:webHidden/>
          </w:rPr>
          <w:tab/>
        </w:r>
        <w:r w:rsidR="000C648E">
          <w:rPr>
            <w:noProof/>
            <w:webHidden/>
          </w:rPr>
          <w:fldChar w:fldCharType="begin"/>
        </w:r>
        <w:r w:rsidR="000C648E">
          <w:rPr>
            <w:noProof/>
            <w:webHidden/>
          </w:rPr>
          <w:instrText xml:space="preserve"> PAGEREF _Toc12365559 \h </w:instrText>
        </w:r>
        <w:r w:rsidR="000C648E">
          <w:rPr>
            <w:noProof/>
            <w:webHidden/>
          </w:rPr>
        </w:r>
        <w:r w:rsidR="000C648E">
          <w:rPr>
            <w:noProof/>
            <w:webHidden/>
          </w:rPr>
          <w:fldChar w:fldCharType="separate"/>
        </w:r>
        <w:r w:rsidR="00D528AA">
          <w:rPr>
            <w:noProof/>
            <w:webHidden/>
          </w:rPr>
          <w:t>8</w:t>
        </w:r>
        <w:r w:rsidR="000C648E">
          <w:rPr>
            <w:noProof/>
            <w:webHidden/>
          </w:rPr>
          <w:fldChar w:fldCharType="end"/>
        </w:r>
      </w:hyperlink>
    </w:p>
    <w:p w14:paraId="6A5F6360" w14:textId="77777777" w:rsidR="000C648E" w:rsidRDefault="00740B55">
      <w:pPr>
        <w:pStyle w:val="TOC2"/>
        <w:rPr>
          <w:rFonts w:asciiTheme="minorHAnsi" w:eastAsiaTheme="minorEastAsia" w:hAnsiTheme="minorHAnsi" w:cstheme="minorBidi"/>
          <w:noProof/>
          <w:sz w:val="22"/>
          <w:lang w:eastAsia="en-AU"/>
        </w:rPr>
      </w:pPr>
      <w:hyperlink w:anchor="_Toc12365560" w:history="1">
        <w:r w:rsidR="000C648E" w:rsidRPr="0089282B">
          <w:rPr>
            <w:rStyle w:val="Hyperlink"/>
            <w:rFonts w:eastAsia="SimSun"/>
            <w:noProof/>
          </w:rPr>
          <w:t>1.7</w:t>
        </w:r>
        <w:r w:rsidR="000C648E">
          <w:rPr>
            <w:rFonts w:asciiTheme="minorHAnsi" w:eastAsiaTheme="minorEastAsia" w:hAnsiTheme="minorHAnsi" w:cstheme="minorBidi"/>
            <w:noProof/>
            <w:sz w:val="22"/>
            <w:lang w:eastAsia="en-AU"/>
          </w:rPr>
          <w:tab/>
        </w:r>
        <w:r w:rsidR="000C648E" w:rsidRPr="0089282B">
          <w:rPr>
            <w:rStyle w:val="Hyperlink"/>
            <w:rFonts w:eastAsia="SimSun"/>
            <w:noProof/>
          </w:rPr>
          <w:t>Marine Monitoring Program quality assurance and quality control methods and procedures</w:t>
        </w:r>
        <w:r w:rsidR="000C648E">
          <w:rPr>
            <w:noProof/>
            <w:webHidden/>
          </w:rPr>
          <w:tab/>
        </w:r>
        <w:r w:rsidR="000C648E">
          <w:rPr>
            <w:noProof/>
            <w:webHidden/>
          </w:rPr>
          <w:fldChar w:fldCharType="begin"/>
        </w:r>
        <w:r w:rsidR="000C648E">
          <w:rPr>
            <w:noProof/>
            <w:webHidden/>
          </w:rPr>
          <w:instrText xml:space="preserve"> PAGEREF _Toc12365560 \h </w:instrText>
        </w:r>
        <w:r w:rsidR="000C648E">
          <w:rPr>
            <w:noProof/>
            <w:webHidden/>
          </w:rPr>
        </w:r>
        <w:r w:rsidR="000C648E">
          <w:rPr>
            <w:noProof/>
            <w:webHidden/>
          </w:rPr>
          <w:fldChar w:fldCharType="separate"/>
        </w:r>
        <w:r w:rsidR="00D528AA">
          <w:rPr>
            <w:noProof/>
            <w:webHidden/>
          </w:rPr>
          <w:t>9</w:t>
        </w:r>
        <w:r w:rsidR="000C648E">
          <w:rPr>
            <w:noProof/>
            <w:webHidden/>
          </w:rPr>
          <w:fldChar w:fldCharType="end"/>
        </w:r>
      </w:hyperlink>
    </w:p>
    <w:p w14:paraId="68745AE6" w14:textId="77777777" w:rsidR="000C648E" w:rsidRDefault="00740B55">
      <w:pPr>
        <w:pStyle w:val="TOC1"/>
        <w:rPr>
          <w:rFonts w:asciiTheme="minorHAnsi" w:eastAsiaTheme="minorEastAsia" w:hAnsiTheme="minorHAnsi" w:cstheme="minorBidi"/>
          <w:b w:val="0"/>
          <w:lang w:eastAsia="en-AU"/>
        </w:rPr>
      </w:pPr>
      <w:hyperlink w:anchor="_Toc12365561" w:history="1">
        <w:r w:rsidR="000C648E" w:rsidRPr="0089282B">
          <w:rPr>
            <w:rStyle w:val="Hyperlink"/>
          </w:rPr>
          <w:t>2</w:t>
        </w:r>
        <w:r w:rsidR="000C648E">
          <w:rPr>
            <w:rFonts w:asciiTheme="minorHAnsi" w:eastAsiaTheme="minorEastAsia" w:hAnsiTheme="minorHAnsi" w:cstheme="minorBidi"/>
            <w:b w:val="0"/>
            <w:lang w:eastAsia="en-AU"/>
          </w:rPr>
          <w:tab/>
        </w:r>
        <w:r w:rsidR="000C648E" w:rsidRPr="0089282B">
          <w:rPr>
            <w:rStyle w:val="Hyperlink"/>
          </w:rPr>
          <w:t>Inshore marine water quality monitoring</w:t>
        </w:r>
        <w:r w:rsidR="000C648E">
          <w:rPr>
            <w:webHidden/>
          </w:rPr>
          <w:tab/>
        </w:r>
        <w:r w:rsidR="000C648E">
          <w:rPr>
            <w:webHidden/>
          </w:rPr>
          <w:fldChar w:fldCharType="begin"/>
        </w:r>
        <w:r w:rsidR="000C648E">
          <w:rPr>
            <w:webHidden/>
          </w:rPr>
          <w:instrText xml:space="preserve"> PAGEREF _Toc12365561 \h </w:instrText>
        </w:r>
        <w:r w:rsidR="000C648E">
          <w:rPr>
            <w:webHidden/>
          </w:rPr>
        </w:r>
        <w:r w:rsidR="000C648E">
          <w:rPr>
            <w:webHidden/>
          </w:rPr>
          <w:fldChar w:fldCharType="separate"/>
        </w:r>
        <w:r w:rsidR="00D528AA">
          <w:rPr>
            <w:webHidden/>
          </w:rPr>
          <w:t>11</w:t>
        </w:r>
        <w:r w:rsidR="000C648E">
          <w:rPr>
            <w:webHidden/>
          </w:rPr>
          <w:fldChar w:fldCharType="end"/>
        </w:r>
      </w:hyperlink>
    </w:p>
    <w:p w14:paraId="52D02184" w14:textId="77777777" w:rsidR="000C648E" w:rsidRDefault="00740B55">
      <w:pPr>
        <w:pStyle w:val="TOC2"/>
        <w:rPr>
          <w:rFonts w:asciiTheme="minorHAnsi" w:eastAsiaTheme="minorEastAsia" w:hAnsiTheme="minorHAnsi" w:cstheme="minorBidi"/>
          <w:noProof/>
          <w:sz w:val="22"/>
          <w:lang w:eastAsia="en-AU"/>
        </w:rPr>
      </w:pPr>
      <w:hyperlink w:anchor="_Toc12365562" w:history="1">
        <w:r w:rsidR="000C648E" w:rsidRPr="0089282B">
          <w:rPr>
            <w:rStyle w:val="Hyperlink"/>
            <w:noProof/>
          </w:rPr>
          <w:t>2.1</w:t>
        </w:r>
        <w:r w:rsidR="000C648E">
          <w:rPr>
            <w:rFonts w:asciiTheme="minorHAnsi" w:eastAsiaTheme="minorEastAsia" w:hAnsiTheme="minorHAnsi" w:cstheme="minorBidi"/>
            <w:noProof/>
            <w:sz w:val="22"/>
            <w:lang w:eastAsia="en-AU"/>
          </w:rPr>
          <w:tab/>
        </w:r>
        <w:r w:rsidR="000C648E" w:rsidRPr="0089282B">
          <w:rPr>
            <w:rStyle w:val="Hyperlink"/>
            <w:noProof/>
          </w:rPr>
          <w:t>Introduction</w:t>
        </w:r>
        <w:r w:rsidR="000C648E">
          <w:rPr>
            <w:noProof/>
            <w:webHidden/>
          </w:rPr>
          <w:tab/>
        </w:r>
        <w:r w:rsidR="000C648E">
          <w:rPr>
            <w:noProof/>
            <w:webHidden/>
          </w:rPr>
          <w:fldChar w:fldCharType="begin"/>
        </w:r>
        <w:r w:rsidR="000C648E">
          <w:rPr>
            <w:noProof/>
            <w:webHidden/>
          </w:rPr>
          <w:instrText xml:space="preserve"> PAGEREF _Toc12365562 \h </w:instrText>
        </w:r>
        <w:r w:rsidR="000C648E">
          <w:rPr>
            <w:noProof/>
            <w:webHidden/>
          </w:rPr>
        </w:r>
        <w:r w:rsidR="000C648E">
          <w:rPr>
            <w:noProof/>
            <w:webHidden/>
          </w:rPr>
          <w:fldChar w:fldCharType="separate"/>
        </w:r>
        <w:r w:rsidR="00D528AA">
          <w:rPr>
            <w:noProof/>
            <w:webHidden/>
          </w:rPr>
          <w:t>11</w:t>
        </w:r>
        <w:r w:rsidR="000C648E">
          <w:rPr>
            <w:noProof/>
            <w:webHidden/>
          </w:rPr>
          <w:fldChar w:fldCharType="end"/>
        </w:r>
      </w:hyperlink>
    </w:p>
    <w:p w14:paraId="15A29761" w14:textId="77777777" w:rsidR="000C648E" w:rsidRDefault="00740B55">
      <w:pPr>
        <w:pStyle w:val="TOC2"/>
        <w:rPr>
          <w:rFonts w:asciiTheme="minorHAnsi" w:eastAsiaTheme="minorEastAsia" w:hAnsiTheme="minorHAnsi" w:cstheme="minorBidi"/>
          <w:noProof/>
          <w:sz w:val="22"/>
          <w:lang w:eastAsia="en-AU"/>
        </w:rPr>
      </w:pPr>
      <w:hyperlink w:anchor="_Toc12365563" w:history="1">
        <w:r w:rsidR="000C648E" w:rsidRPr="0089282B">
          <w:rPr>
            <w:rStyle w:val="Hyperlink"/>
            <w:noProof/>
          </w:rPr>
          <w:t>2.2</w:t>
        </w:r>
        <w:r w:rsidR="000C648E">
          <w:rPr>
            <w:rFonts w:asciiTheme="minorHAnsi" w:eastAsiaTheme="minorEastAsia" w:hAnsiTheme="minorHAnsi" w:cstheme="minorBidi"/>
            <w:noProof/>
            <w:sz w:val="22"/>
            <w:lang w:eastAsia="en-AU"/>
          </w:rPr>
          <w:tab/>
        </w:r>
        <w:r w:rsidR="000C648E" w:rsidRPr="0089282B">
          <w:rPr>
            <w:rStyle w:val="Hyperlink"/>
            <w:noProof/>
          </w:rPr>
          <w:t>Methods</w:t>
        </w:r>
        <w:r w:rsidR="000C648E">
          <w:rPr>
            <w:noProof/>
            <w:webHidden/>
          </w:rPr>
          <w:tab/>
        </w:r>
        <w:r w:rsidR="000C648E">
          <w:rPr>
            <w:noProof/>
            <w:webHidden/>
          </w:rPr>
          <w:fldChar w:fldCharType="begin"/>
        </w:r>
        <w:r w:rsidR="000C648E">
          <w:rPr>
            <w:noProof/>
            <w:webHidden/>
          </w:rPr>
          <w:instrText xml:space="preserve"> PAGEREF _Toc12365563 \h </w:instrText>
        </w:r>
        <w:r w:rsidR="000C648E">
          <w:rPr>
            <w:noProof/>
            <w:webHidden/>
          </w:rPr>
        </w:r>
        <w:r w:rsidR="000C648E">
          <w:rPr>
            <w:noProof/>
            <w:webHidden/>
          </w:rPr>
          <w:fldChar w:fldCharType="separate"/>
        </w:r>
        <w:r w:rsidR="00D528AA">
          <w:rPr>
            <w:noProof/>
            <w:webHidden/>
          </w:rPr>
          <w:t>11</w:t>
        </w:r>
        <w:r w:rsidR="000C648E">
          <w:rPr>
            <w:noProof/>
            <w:webHidden/>
          </w:rPr>
          <w:fldChar w:fldCharType="end"/>
        </w:r>
      </w:hyperlink>
    </w:p>
    <w:p w14:paraId="19961039" w14:textId="77777777" w:rsidR="000C648E" w:rsidRDefault="00740B55">
      <w:pPr>
        <w:pStyle w:val="TOC3"/>
        <w:rPr>
          <w:rFonts w:asciiTheme="minorHAnsi" w:eastAsiaTheme="minorEastAsia" w:hAnsiTheme="minorHAnsi" w:cstheme="minorBidi"/>
          <w:noProof/>
          <w:sz w:val="22"/>
          <w:lang w:eastAsia="en-AU"/>
        </w:rPr>
      </w:pPr>
      <w:hyperlink w:anchor="_Toc12365564" w:history="1">
        <w:r w:rsidR="000C648E" w:rsidRPr="0089282B">
          <w:rPr>
            <w:rStyle w:val="Hyperlink"/>
            <w:noProof/>
          </w:rPr>
          <w:t>2.2.1</w:t>
        </w:r>
        <w:r w:rsidR="000C648E">
          <w:rPr>
            <w:rFonts w:asciiTheme="minorHAnsi" w:eastAsiaTheme="minorEastAsia" w:hAnsiTheme="minorHAnsi" w:cstheme="minorBidi"/>
            <w:noProof/>
            <w:sz w:val="22"/>
            <w:lang w:eastAsia="en-AU"/>
          </w:rPr>
          <w:tab/>
        </w:r>
        <w:r w:rsidR="000C648E" w:rsidRPr="0089282B">
          <w:rPr>
            <w:rStyle w:val="Hyperlink"/>
            <w:noProof/>
          </w:rPr>
          <w:t>Sampling locations and frequency</w:t>
        </w:r>
        <w:r w:rsidR="000C648E">
          <w:rPr>
            <w:noProof/>
            <w:webHidden/>
          </w:rPr>
          <w:tab/>
        </w:r>
        <w:r w:rsidR="000C648E">
          <w:rPr>
            <w:noProof/>
            <w:webHidden/>
          </w:rPr>
          <w:fldChar w:fldCharType="begin"/>
        </w:r>
        <w:r w:rsidR="000C648E">
          <w:rPr>
            <w:noProof/>
            <w:webHidden/>
          </w:rPr>
          <w:instrText xml:space="preserve"> PAGEREF _Toc12365564 \h </w:instrText>
        </w:r>
        <w:r w:rsidR="000C648E">
          <w:rPr>
            <w:noProof/>
            <w:webHidden/>
          </w:rPr>
        </w:r>
        <w:r w:rsidR="000C648E">
          <w:rPr>
            <w:noProof/>
            <w:webHidden/>
          </w:rPr>
          <w:fldChar w:fldCharType="separate"/>
        </w:r>
        <w:r w:rsidR="00D528AA">
          <w:rPr>
            <w:noProof/>
            <w:webHidden/>
          </w:rPr>
          <w:t>11</w:t>
        </w:r>
        <w:r w:rsidR="000C648E">
          <w:rPr>
            <w:noProof/>
            <w:webHidden/>
          </w:rPr>
          <w:fldChar w:fldCharType="end"/>
        </w:r>
      </w:hyperlink>
    </w:p>
    <w:p w14:paraId="2CF92616" w14:textId="77777777" w:rsidR="000C648E" w:rsidRDefault="00740B55">
      <w:pPr>
        <w:pStyle w:val="TOC3"/>
        <w:rPr>
          <w:rFonts w:asciiTheme="minorHAnsi" w:eastAsiaTheme="minorEastAsia" w:hAnsiTheme="minorHAnsi" w:cstheme="minorBidi"/>
          <w:noProof/>
          <w:sz w:val="22"/>
          <w:lang w:eastAsia="en-AU"/>
        </w:rPr>
      </w:pPr>
      <w:hyperlink w:anchor="_Toc12365565" w:history="1">
        <w:r w:rsidR="000C648E" w:rsidRPr="0089282B">
          <w:rPr>
            <w:rStyle w:val="Hyperlink"/>
            <w:noProof/>
          </w:rPr>
          <w:t>2.2.2</w:t>
        </w:r>
        <w:r w:rsidR="000C648E">
          <w:rPr>
            <w:rFonts w:asciiTheme="minorHAnsi" w:eastAsiaTheme="minorEastAsia" w:hAnsiTheme="minorHAnsi" w:cstheme="minorBidi"/>
            <w:noProof/>
            <w:sz w:val="22"/>
            <w:lang w:eastAsia="en-AU"/>
          </w:rPr>
          <w:tab/>
        </w:r>
        <w:r w:rsidR="000C648E" w:rsidRPr="0089282B">
          <w:rPr>
            <w:rStyle w:val="Hyperlink"/>
            <w:noProof/>
          </w:rPr>
          <w:t>Sample collection, preparation and analysis (JCU)</w:t>
        </w:r>
        <w:r w:rsidR="000C648E">
          <w:rPr>
            <w:noProof/>
            <w:webHidden/>
          </w:rPr>
          <w:tab/>
        </w:r>
        <w:r w:rsidR="000C648E">
          <w:rPr>
            <w:noProof/>
            <w:webHidden/>
          </w:rPr>
          <w:fldChar w:fldCharType="begin"/>
        </w:r>
        <w:r w:rsidR="000C648E">
          <w:rPr>
            <w:noProof/>
            <w:webHidden/>
          </w:rPr>
          <w:instrText xml:space="preserve"> PAGEREF _Toc12365565 \h </w:instrText>
        </w:r>
        <w:r w:rsidR="000C648E">
          <w:rPr>
            <w:noProof/>
            <w:webHidden/>
          </w:rPr>
        </w:r>
        <w:r w:rsidR="000C648E">
          <w:rPr>
            <w:noProof/>
            <w:webHidden/>
          </w:rPr>
          <w:fldChar w:fldCharType="separate"/>
        </w:r>
        <w:r w:rsidR="00D528AA">
          <w:rPr>
            <w:noProof/>
            <w:webHidden/>
          </w:rPr>
          <w:t>19</w:t>
        </w:r>
        <w:r w:rsidR="000C648E">
          <w:rPr>
            <w:noProof/>
            <w:webHidden/>
          </w:rPr>
          <w:fldChar w:fldCharType="end"/>
        </w:r>
      </w:hyperlink>
    </w:p>
    <w:p w14:paraId="6D36E97D" w14:textId="77777777" w:rsidR="000C648E" w:rsidRDefault="00740B55">
      <w:pPr>
        <w:pStyle w:val="TOC3"/>
        <w:rPr>
          <w:rFonts w:asciiTheme="minorHAnsi" w:eastAsiaTheme="minorEastAsia" w:hAnsiTheme="minorHAnsi" w:cstheme="minorBidi"/>
          <w:noProof/>
          <w:sz w:val="22"/>
          <w:lang w:eastAsia="en-AU"/>
        </w:rPr>
      </w:pPr>
      <w:hyperlink w:anchor="_Toc12365566" w:history="1">
        <w:r w:rsidR="000C648E" w:rsidRPr="0089282B">
          <w:rPr>
            <w:rStyle w:val="Hyperlink"/>
            <w:noProof/>
          </w:rPr>
          <w:t>2.2.3</w:t>
        </w:r>
        <w:r w:rsidR="000C648E">
          <w:rPr>
            <w:rFonts w:asciiTheme="minorHAnsi" w:eastAsiaTheme="minorEastAsia" w:hAnsiTheme="minorHAnsi" w:cstheme="minorBidi"/>
            <w:noProof/>
            <w:sz w:val="22"/>
            <w:lang w:eastAsia="en-AU"/>
          </w:rPr>
          <w:tab/>
        </w:r>
        <w:r w:rsidR="000C648E" w:rsidRPr="0089282B">
          <w:rPr>
            <w:rStyle w:val="Hyperlink"/>
            <w:noProof/>
          </w:rPr>
          <w:t>Sample collection, preparation and analysis (AIMS)</w:t>
        </w:r>
        <w:r w:rsidR="000C648E">
          <w:rPr>
            <w:noProof/>
            <w:webHidden/>
          </w:rPr>
          <w:tab/>
        </w:r>
        <w:r w:rsidR="000C648E">
          <w:rPr>
            <w:noProof/>
            <w:webHidden/>
          </w:rPr>
          <w:fldChar w:fldCharType="begin"/>
        </w:r>
        <w:r w:rsidR="000C648E">
          <w:rPr>
            <w:noProof/>
            <w:webHidden/>
          </w:rPr>
          <w:instrText xml:space="preserve"> PAGEREF _Toc12365566 \h </w:instrText>
        </w:r>
        <w:r w:rsidR="000C648E">
          <w:rPr>
            <w:noProof/>
            <w:webHidden/>
          </w:rPr>
        </w:r>
        <w:r w:rsidR="000C648E">
          <w:rPr>
            <w:noProof/>
            <w:webHidden/>
          </w:rPr>
          <w:fldChar w:fldCharType="separate"/>
        </w:r>
        <w:r w:rsidR="00D528AA">
          <w:rPr>
            <w:noProof/>
            <w:webHidden/>
          </w:rPr>
          <w:t>22</w:t>
        </w:r>
        <w:r w:rsidR="000C648E">
          <w:rPr>
            <w:noProof/>
            <w:webHidden/>
          </w:rPr>
          <w:fldChar w:fldCharType="end"/>
        </w:r>
      </w:hyperlink>
    </w:p>
    <w:p w14:paraId="6EA855E5" w14:textId="77777777" w:rsidR="000C648E" w:rsidRDefault="00740B55">
      <w:pPr>
        <w:pStyle w:val="TOC3"/>
        <w:rPr>
          <w:rFonts w:asciiTheme="minorHAnsi" w:eastAsiaTheme="minorEastAsia" w:hAnsiTheme="minorHAnsi" w:cstheme="minorBidi"/>
          <w:noProof/>
          <w:sz w:val="22"/>
          <w:lang w:eastAsia="en-AU"/>
        </w:rPr>
      </w:pPr>
      <w:hyperlink w:anchor="_Toc12365567" w:history="1">
        <w:r w:rsidR="000C648E" w:rsidRPr="0089282B">
          <w:rPr>
            <w:rStyle w:val="Hyperlink"/>
            <w:rFonts w:cs="Arial"/>
            <w:noProof/>
          </w:rPr>
          <w:t>2.2.4</w:t>
        </w:r>
        <w:r w:rsidR="000C648E">
          <w:rPr>
            <w:rFonts w:asciiTheme="minorHAnsi" w:eastAsiaTheme="minorEastAsia" w:hAnsiTheme="minorHAnsi" w:cstheme="minorBidi"/>
            <w:noProof/>
            <w:sz w:val="22"/>
            <w:lang w:eastAsia="en-AU"/>
          </w:rPr>
          <w:tab/>
        </w:r>
        <w:r w:rsidR="000C648E" w:rsidRPr="0089282B">
          <w:rPr>
            <w:rStyle w:val="Hyperlink"/>
            <w:rFonts w:cs="Arial"/>
            <w:noProof/>
          </w:rPr>
          <w:t>Autonomous environmental water quality loggers</w:t>
        </w:r>
        <w:r w:rsidR="000C648E">
          <w:rPr>
            <w:noProof/>
            <w:webHidden/>
          </w:rPr>
          <w:tab/>
        </w:r>
        <w:r w:rsidR="000C648E">
          <w:rPr>
            <w:noProof/>
            <w:webHidden/>
          </w:rPr>
          <w:fldChar w:fldCharType="begin"/>
        </w:r>
        <w:r w:rsidR="000C648E">
          <w:rPr>
            <w:noProof/>
            <w:webHidden/>
          </w:rPr>
          <w:instrText xml:space="preserve"> PAGEREF _Toc12365567 \h </w:instrText>
        </w:r>
        <w:r w:rsidR="000C648E">
          <w:rPr>
            <w:noProof/>
            <w:webHidden/>
          </w:rPr>
        </w:r>
        <w:r w:rsidR="000C648E">
          <w:rPr>
            <w:noProof/>
            <w:webHidden/>
          </w:rPr>
          <w:fldChar w:fldCharType="separate"/>
        </w:r>
        <w:r w:rsidR="00D528AA">
          <w:rPr>
            <w:noProof/>
            <w:webHidden/>
          </w:rPr>
          <w:t>24</w:t>
        </w:r>
        <w:r w:rsidR="000C648E">
          <w:rPr>
            <w:noProof/>
            <w:webHidden/>
          </w:rPr>
          <w:fldChar w:fldCharType="end"/>
        </w:r>
      </w:hyperlink>
    </w:p>
    <w:p w14:paraId="4AF42B33" w14:textId="77777777" w:rsidR="000C648E" w:rsidRDefault="00740B55">
      <w:pPr>
        <w:pStyle w:val="TOC3"/>
        <w:rPr>
          <w:rFonts w:asciiTheme="minorHAnsi" w:eastAsiaTheme="minorEastAsia" w:hAnsiTheme="minorHAnsi" w:cstheme="minorBidi"/>
          <w:noProof/>
          <w:sz w:val="22"/>
          <w:lang w:eastAsia="en-AU"/>
        </w:rPr>
      </w:pPr>
      <w:hyperlink w:anchor="_Toc12365568" w:history="1">
        <w:r w:rsidR="000C648E" w:rsidRPr="0089282B">
          <w:rPr>
            <w:rStyle w:val="Hyperlink"/>
            <w:rFonts w:cs="Arial"/>
            <w:noProof/>
          </w:rPr>
          <w:t>2.2.5</w:t>
        </w:r>
        <w:r w:rsidR="000C648E">
          <w:rPr>
            <w:rFonts w:asciiTheme="minorHAnsi" w:eastAsiaTheme="minorEastAsia" w:hAnsiTheme="minorHAnsi" w:cstheme="minorBidi"/>
            <w:noProof/>
            <w:sz w:val="22"/>
            <w:lang w:eastAsia="en-AU"/>
          </w:rPr>
          <w:tab/>
        </w:r>
        <w:r w:rsidR="000C648E" w:rsidRPr="0089282B">
          <w:rPr>
            <w:rStyle w:val="Hyperlink"/>
            <w:rFonts w:cs="Arial"/>
            <w:noProof/>
          </w:rPr>
          <w:t>Sample collection, preparation and analysis: wet season — event response (JCU)</w:t>
        </w:r>
        <w:r w:rsidR="000C648E">
          <w:rPr>
            <w:noProof/>
            <w:webHidden/>
          </w:rPr>
          <w:tab/>
        </w:r>
        <w:r w:rsidR="000C648E">
          <w:rPr>
            <w:noProof/>
            <w:webHidden/>
          </w:rPr>
          <w:fldChar w:fldCharType="begin"/>
        </w:r>
        <w:r w:rsidR="000C648E">
          <w:rPr>
            <w:noProof/>
            <w:webHidden/>
          </w:rPr>
          <w:instrText xml:space="preserve"> PAGEREF _Toc12365568 \h </w:instrText>
        </w:r>
        <w:r w:rsidR="000C648E">
          <w:rPr>
            <w:noProof/>
            <w:webHidden/>
          </w:rPr>
        </w:r>
        <w:r w:rsidR="000C648E">
          <w:rPr>
            <w:noProof/>
            <w:webHidden/>
          </w:rPr>
          <w:fldChar w:fldCharType="separate"/>
        </w:r>
        <w:r w:rsidR="00D528AA">
          <w:rPr>
            <w:noProof/>
            <w:webHidden/>
          </w:rPr>
          <w:t>26</w:t>
        </w:r>
        <w:r w:rsidR="000C648E">
          <w:rPr>
            <w:noProof/>
            <w:webHidden/>
          </w:rPr>
          <w:fldChar w:fldCharType="end"/>
        </w:r>
      </w:hyperlink>
    </w:p>
    <w:p w14:paraId="142A2ADB" w14:textId="77777777" w:rsidR="000C648E" w:rsidRDefault="00740B55">
      <w:pPr>
        <w:pStyle w:val="TOC2"/>
        <w:rPr>
          <w:rFonts w:asciiTheme="minorHAnsi" w:eastAsiaTheme="minorEastAsia" w:hAnsiTheme="minorHAnsi" w:cstheme="minorBidi"/>
          <w:noProof/>
          <w:sz w:val="22"/>
          <w:lang w:eastAsia="en-AU"/>
        </w:rPr>
      </w:pPr>
      <w:hyperlink w:anchor="_Toc12365569" w:history="1">
        <w:r w:rsidR="000C648E" w:rsidRPr="0089282B">
          <w:rPr>
            <w:rStyle w:val="Hyperlink"/>
            <w:noProof/>
          </w:rPr>
          <w:t>2.3</w:t>
        </w:r>
        <w:r w:rsidR="000C648E">
          <w:rPr>
            <w:rFonts w:asciiTheme="minorHAnsi" w:eastAsiaTheme="minorEastAsia" w:hAnsiTheme="minorHAnsi" w:cstheme="minorBidi"/>
            <w:noProof/>
            <w:sz w:val="22"/>
            <w:lang w:eastAsia="en-AU"/>
          </w:rPr>
          <w:tab/>
        </w:r>
        <w:r w:rsidR="000C648E" w:rsidRPr="0089282B">
          <w:rPr>
            <w:rStyle w:val="Hyperlink"/>
            <w:noProof/>
          </w:rPr>
          <w:t>Data management</w:t>
        </w:r>
        <w:r w:rsidR="000C648E">
          <w:rPr>
            <w:noProof/>
            <w:webHidden/>
          </w:rPr>
          <w:tab/>
        </w:r>
        <w:r w:rsidR="000C648E">
          <w:rPr>
            <w:noProof/>
            <w:webHidden/>
          </w:rPr>
          <w:fldChar w:fldCharType="begin"/>
        </w:r>
        <w:r w:rsidR="000C648E">
          <w:rPr>
            <w:noProof/>
            <w:webHidden/>
          </w:rPr>
          <w:instrText xml:space="preserve"> PAGEREF _Toc12365569 \h </w:instrText>
        </w:r>
        <w:r w:rsidR="000C648E">
          <w:rPr>
            <w:noProof/>
            <w:webHidden/>
          </w:rPr>
        </w:r>
        <w:r w:rsidR="000C648E">
          <w:rPr>
            <w:noProof/>
            <w:webHidden/>
          </w:rPr>
          <w:fldChar w:fldCharType="separate"/>
        </w:r>
        <w:r w:rsidR="00D528AA">
          <w:rPr>
            <w:noProof/>
            <w:webHidden/>
          </w:rPr>
          <w:t>27</w:t>
        </w:r>
        <w:r w:rsidR="000C648E">
          <w:rPr>
            <w:noProof/>
            <w:webHidden/>
          </w:rPr>
          <w:fldChar w:fldCharType="end"/>
        </w:r>
      </w:hyperlink>
    </w:p>
    <w:p w14:paraId="30BAD98B" w14:textId="77777777" w:rsidR="000C648E" w:rsidRDefault="00740B55">
      <w:pPr>
        <w:pStyle w:val="TOC2"/>
        <w:rPr>
          <w:rFonts w:asciiTheme="minorHAnsi" w:eastAsiaTheme="minorEastAsia" w:hAnsiTheme="minorHAnsi" w:cstheme="minorBidi"/>
          <w:noProof/>
          <w:sz w:val="22"/>
          <w:lang w:eastAsia="en-AU"/>
        </w:rPr>
      </w:pPr>
      <w:hyperlink w:anchor="_Toc12365570" w:history="1">
        <w:r w:rsidR="000C648E" w:rsidRPr="0089282B">
          <w:rPr>
            <w:rStyle w:val="Hyperlink"/>
            <w:noProof/>
          </w:rPr>
          <w:t>2.4</w:t>
        </w:r>
        <w:r w:rsidR="000C648E">
          <w:rPr>
            <w:rFonts w:asciiTheme="minorHAnsi" w:eastAsiaTheme="minorEastAsia" w:hAnsiTheme="minorHAnsi" w:cstheme="minorBidi"/>
            <w:noProof/>
            <w:sz w:val="22"/>
            <w:lang w:eastAsia="en-AU"/>
          </w:rPr>
          <w:tab/>
        </w:r>
        <w:r w:rsidR="000C648E" w:rsidRPr="0089282B">
          <w:rPr>
            <w:rStyle w:val="Hyperlink"/>
            <w:noProof/>
          </w:rPr>
          <w:t>Summary of Quality Control measures</w:t>
        </w:r>
        <w:r w:rsidR="000C648E">
          <w:rPr>
            <w:noProof/>
            <w:webHidden/>
          </w:rPr>
          <w:tab/>
        </w:r>
        <w:r w:rsidR="000C648E">
          <w:rPr>
            <w:noProof/>
            <w:webHidden/>
          </w:rPr>
          <w:fldChar w:fldCharType="begin"/>
        </w:r>
        <w:r w:rsidR="000C648E">
          <w:rPr>
            <w:noProof/>
            <w:webHidden/>
          </w:rPr>
          <w:instrText xml:space="preserve"> PAGEREF _Toc12365570 \h </w:instrText>
        </w:r>
        <w:r w:rsidR="000C648E">
          <w:rPr>
            <w:noProof/>
            <w:webHidden/>
          </w:rPr>
        </w:r>
        <w:r w:rsidR="000C648E">
          <w:rPr>
            <w:noProof/>
            <w:webHidden/>
          </w:rPr>
          <w:fldChar w:fldCharType="separate"/>
        </w:r>
        <w:r w:rsidR="00D528AA">
          <w:rPr>
            <w:noProof/>
            <w:webHidden/>
          </w:rPr>
          <w:t>29</w:t>
        </w:r>
        <w:r w:rsidR="000C648E">
          <w:rPr>
            <w:noProof/>
            <w:webHidden/>
          </w:rPr>
          <w:fldChar w:fldCharType="end"/>
        </w:r>
      </w:hyperlink>
    </w:p>
    <w:p w14:paraId="0B387600" w14:textId="77777777" w:rsidR="000C648E" w:rsidRDefault="00740B55">
      <w:pPr>
        <w:pStyle w:val="TOC2"/>
        <w:rPr>
          <w:rFonts w:asciiTheme="minorHAnsi" w:eastAsiaTheme="minorEastAsia" w:hAnsiTheme="minorHAnsi" w:cstheme="minorBidi"/>
          <w:noProof/>
          <w:sz w:val="22"/>
          <w:lang w:eastAsia="en-AU"/>
        </w:rPr>
      </w:pPr>
      <w:hyperlink w:anchor="_Toc12365571" w:history="1">
        <w:r w:rsidR="000C648E" w:rsidRPr="0089282B">
          <w:rPr>
            <w:rStyle w:val="Hyperlink"/>
            <w:noProof/>
          </w:rPr>
          <w:t>2.5</w:t>
        </w:r>
        <w:r w:rsidR="000C648E">
          <w:rPr>
            <w:rFonts w:asciiTheme="minorHAnsi" w:eastAsiaTheme="minorEastAsia" w:hAnsiTheme="minorHAnsi" w:cstheme="minorBidi"/>
            <w:noProof/>
            <w:sz w:val="22"/>
            <w:lang w:eastAsia="en-AU"/>
          </w:rPr>
          <w:tab/>
        </w:r>
        <w:r w:rsidR="000C648E" w:rsidRPr="0089282B">
          <w:rPr>
            <w:rStyle w:val="Hyperlink"/>
            <w:noProof/>
          </w:rPr>
          <w:t>Comparison of results obtained by AIMS and JCU</w:t>
        </w:r>
        <w:r w:rsidR="000C648E">
          <w:rPr>
            <w:noProof/>
            <w:webHidden/>
          </w:rPr>
          <w:tab/>
        </w:r>
        <w:r w:rsidR="000C648E">
          <w:rPr>
            <w:noProof/>
            <w:webHidden/>
          </w:rPr>
          <w:fldChar w:fldCharType="begin"/>
        </w:r>
        <w:r w:rsidR="000C648E">
          <w:rPr>
            <w:noProof/>
            <w:webHidden/>
          </w:rPr>
          <w:instrText xml:space="preserve"> PAGEREF _Toc12365571 \h </w:instrText>
        </w:r>
        <w:r w:rsidR="000C648E">
          <w:rPr>
            <w:noProof/>
            <w:webHidden/>
          </w:rPr>
        </w:r>
        <w:r w:rsidR="000C648E">
          <w:rPr>
            <w:noProof/>
            <w:webHidden/>
          </w:rPr>
          <w:fldChar w:fldCharType="separate"/>
        </w:r>
        <w:r w:rsidR="00D528AA">
          <w:rPr>
            <w:noProof/>
            <w:webHidden/>
          </w:rPr>
          <w:t>29</w:t>
        </w:r>
        <w:r w:rsidR="000C648E">
          <w:rPr>
            <w:noProof/>
            <w:webHidden/>
          </w:rPr>
          <w:fldChar w:fldCharType="end"/>
        </w:r>
      </w:hyperlink>
    </w:p>
    <w:p w14:paraId="1013A2F0" w14:textId="77777777" w:rsidR="000C648E" w:rsidRDefault="00740B55">
      <w:pPr>
        <w:pStyle w:val="TOC1"/>
        <w:rPr>
          <w:rFonts w:asciiTheme="minorHAnsi" w:eastAsiaTheme="minorEastAsia" w:hAnsiTheme="minorHAnsi" w:cstheme="minorBidi"/>
          <w:b w:val="0"/>
          <w:lang w:eastAsia="en-AU"/>
        </w:rPr>
      </w:pPr>
      <w:hyperlink w:anchor="_Toc12365572" w:history="1">
        <w:r w:rsidR="000C648E" w:rsidRPr="0089282B">
          <w:rPr>
            <w:rStyle w:val="Hyperlink"/>
          </w:rPr>
          <w:t>3</w:t>
        </w:r>
        <w:r w:rsidR="000C648E">
          <w:rPr>
            <w:rFonts w:asciiTheme="minorHAnsi" w:eastAsiaTheme="minorEastAsia" w:hAnsiTheme="minorHAnsi" w:cstheme="minorBidi"/>
            <w:b w:val="0"/>
            <w:lang w:eastAsia="en-AU"/>
          </w:rPr>
          <w:tab/>
        </w:r>
        <w:r w:rsidR="000C648E" w:rsidRPr="0089282B">
          <w:rPr>
            <w:rStyle w:val="Hyperlink"/>
          </w:rPr>
          <w:t>Remote sensing of the Reef water quality and river flood plumes</w:t>
        </w:r>
        <w:r w:rsidR="000C648E">
          <w:rPr>
            <w:webHidden/>
          </w:rPr>
          <w:tab/>
        </w:r>
        <w:r w:rsidR="000C648E">
          <w:rPr>
            <w:webHidden/>
          </w:rPr>
          <w:fldChar w:fldCharType="begin"/>
        </w:r>
        <w:r w:rsidR="000C648E">
          <w:rPr>
            <w:webHidden/>
          </w:rPr>
          <w:instrText xml:space="preserve"> PAGEREF _Toc12365572 \h </w:instrText>
        </w:r>
        <w:r w:rsidR="000C648E">
          <w:rPr>
            <w:webHidden/>
          </w:rPr>
        </w:r>
        <w:r w:rsidR="000C648E">
          <w:rPr>
            <w:webHidden/>
          </w:rPr>
          <w:fldChar w:fldCharType="separate"/>
        </w:r>
        <w:r w:rsidR="00D528AA">
          <w:rPr>
            <w:webHidden/>
          </w:rPr>
          <w:t>31</w:t>
        </w:r>
        <w:r w:rsidR="000C648E">
          <w:rPr>
            <w:webHidden/>
          </w:rPr>
          <w:fldChar w:fldCharType="end"/>
        </w:r>
      </w:hyperlink>
    </w:p>
    <w:p w14:paraId="5C5E88DC" w14:textId="77777777" w:rsidR="000C648E" w:rsidRDefault="00740B55">
      <w:pPr>
        <w:pStyle w:val="TOC2"/>
        <w:rPr>
          <w:rFonts w:asciiTheme="minorHAnsi" w:eastAsiaTheme="minorEastAsia" w:hAnsiTheme="minorHAnsi" w:cstheme="minorBidi"/>
          <w:noProof/>
          <w:sz w:val="22"/>
          <w:lang w:eastAsia="en-AU"/>
        </w:rPr>
      </w:pPr>
      <w:hyperlink w:anchor="_Toc12365573" w:history="1">
        <w:r w:rsidR="000C648E" w:rsidRPr="0089282B">
          <w:rPr>
            <w:rStyle w:val="Hyperlink"/>
            <w:noProof/>
          </w:rPr>
          <w:t>3.1</w:t>
        </w:r>
        <w:r w:rsidR="000C648E">
          <w:rPr>
            <w:rFonts w:asciiTheme="minorHAnsi" w:eastAsiaTheme="minorEastAsia" w:hAnsiTheme="minorHAnsi" w:cstheme="minorBidi"/>
            <w:noProof/>
            <w:sz w:val="22"/>
            <w:lang w:eastAsia="en-AU"/>
          </w:rPr>
          <w:tab/>
        </w:r>
        <w:r w:rsidR="000C648E" w:rsidRPr="0089282B">
          <w:rPr>
            <w:rStyle w:val="Hyperlink"/>
            <w:noProof/>
          </w:rPr>
          <w:t>Introduction</w:t>
        </w:r>
        <w:r w:rsidR="000C648E">
          <w:rPr>
            <w:noProof/>
            <w:webHidden/>
          </w:rPr>
          <w:tab/>
        </w:r>
        <w:r w:rsidR="000C648E">
          <w:rPr>
            <w:noProof/>
            <w:webHidden/>
          </w:rPr>
          <w:fldChar w:fldCharType="begin"/>
        </w:r>
        <w:r w:rsidR="000C648E">
          <w:rPr>
            <w:noProof/>
            <w:webHidden/>
          </w:rPr>
          <w:instrText xml:space="preserve"> PAGEREF _Toc12365573 \h </w:instrText>
        </w:r>
        <w:r w:rsidR="000C648E">
          <w:rPr>
            <w:noProof/>
            <w:webHidden/>
          </w:rPr>
        </w:r>
        <w:r w:rsidR="000C648E">
          <w:rPr>
            <w:noProof/>
            <w:webHidden/>
          </w:rPr>
          <w:fldChar w:fldCharType="separate"/>
        </w:r>
        <w:r w:rsidR="00D528AA">
          <w:rPr>
            <w:noProof/>
            <w:webHidden/>
          </w:rPr>
          <w:t>31</w:t>
        </w:r>
        <w:r w:rsidR="000C648E">
          <w:rPr>
            <w:noProof/>
            <w:webHidden/>
          </w:rPr>
          <w:fldChar w:fldCharType="end"/>
        </w:r>
      </w:hyperlink>
    </w:p>
    <w:p w14:paraId="31B53830" w14:textId="77777777" w:rsidR="000C648E" w:rsidRDefault="00740B55">
      <w:pPr>
        <w:pStyle w:val="TOC2"/>
        <w:rPr>
          <w:rFonts w:asciiTheme="minorHAnsi" w:eastAsiaTheme="minorEastAsia" w:hAnsiTheme="minorHAnsi" w:cstheme="minorBidi"/>
          <w:noProof/>
          <w:sz w:val="22"/>
          <w:lang w:eastAsia="en-AU"/>
        </w:rPr>
      </w:pPr>
      <w:hyperlink w:anchor="_Toc12365574" w:history="1">
        <w:r w:rsidR="000C648E" w:rsidRPr="0089282B">
          <w:rPr>
            <w:rStyle w:val="Hyperlink"/>
            <w:noProof/>
          </w:rPr>
          <w:t>3.2</w:t>
        </w:r>
        <w:r w:rsidR="000C648E">
          <w:rPr>
            <w:rFonts w:asciiTheme="minorHAnsi" w:eastAsiaTheme="minorEastAsia" w:hAnsiTheme="minorHAnsi" w:cstheme="minorBidi"/>
            <w:noProof/>
            <w:sz w:val="22"/>
            <w:lang w:eastAsia="en-AU"/>
          </w:rPr>
          <w:tab/>
        </w:r>
        <w:r w:rsidR="000C648E" w:rsidRPr="0089282B">
          <w:rPr>
            <w:rStyle w:val="Hyperlink"/>
            <w:noProof/>
          </w:rPr>
          <w:t>Methods</w:t>
        </w:r>
        <w:r w:rsidR="000C648E">
          <w:rPr>
            <w:noProof/>
            <w:webHidden/>
          </w:rPr>
          <w:tab/>
        </w:r>
        <w:r w:rsidR="000C648E">
          <w:rPr>
            <w:noProof/>
            <w:webHidden/>
          </w:rPr>
          <w:fldChar w:fldCharType="begin"/>
        </w:r>
        <w:r w:rsidR="000C648E">
          <w:rPr>
            <w:noProof/>
            <w:webHidden/>
          </w:rPr>
          <w:instrText xml:space="preserve"> PAGEREF _Toc12365574 \h </w:instrText>
        </w:r>
        <w:r w:rsidR="000C648E">
          <w:rPr>
            <w:noProof/>
            <w:webHidden/>
          </w:rPr>
        </w:r>
        <w:r w:rsidR="000C648E">
          <w:rPr>
            <w:noProof/>
            <w:webHidden/>
          </w:rPr>
          <w:fldChar w:fldCharType="separate"/>
        </w:r>
        <w:r w:rsidR="00D528AA">
          <w:rPr>
            <w:noProof/>
            <w:webHidden/>
          </w:rPr>
          <w:t>31</w:t>
        </w:r>
        <w:r w:rsidR="000C648E">
          <w:rPr>
            <w:noProof/>
            <w:webHidden/>
          </w:rPr>
          <w:fldChar w:fldCharType="end"/>
        </w:r>
      </w:hyperlink>
    </w:p>
    <w:p w14:paraId="1039623B" w14:textId="77777777" w:rsidR="000C648E" w:rsidRDefault="00740B55">
      <w:pPr>
        <w:pStyle w:val="TOC3"/>
        <w:rPr>
          <w:rFonts w:asciiTheme="minorHAnsi" w:eastAsiaTheme="minorEastAsia" w:hAnsiTheme="minorHAnsi" w:cstheme="minorBidi"/>
          <w:noProof/>
          <w:sz w:val="22"/>
          <w:lang w:eastAsia="en-AU"/>
        </w:rPr>
      </w:pPr>
      <w:hyperlink w:anchor="_Toc12365575" w:history="1">
        <w:r w:rsidR="000C648E" w:rsidRPr="0089282B">
          <w:rPr>
            <w:rStyle w:val="Hyperlink"/>
            <w:noProof/>
          </w:rPr>
          <w:t>3.2.1</w:t>
        </w:r>
        <w:r w:rsidR="000C648E">
          <w:rPr>
            <w:rFonts w:asciiTheme="minorHAnsi" w:eastAsiaTheme="minorEastAsia" w:hAnsiTheme="minorHAnsi" w:cstheme="minorBidi"/>
            <w:noProof/>
            <w:sz w:val="22"/>
            <w:lang w:eastAsia="en-AU"/>
          </w:rPr>
          <w:tab/>
        </w:r>
        <w:r w:rsidR="000C648E" w:rsidRPr="0089282B">
          <w:rPr>
            <w:rStyle w:val="Hyperlink"/>
            <w:noProof/>
          </w:rPr>
          <w:t>MODIS satellite data</w:t>
        </w:r>
        <w:r w:rsidR="000C648E">
          <w:rPr>
            <w:noProof/>
            <w:webHidden/>
          </w:rPr>
          <w:tab/>
        </w:r>
        <w:r w:rsidR="000C648E">
          <w:rPr>
            <w:noProof/>
            <w:webHidden/>
          </w:rPr>
          <w:fldChar w:fldCharType="begin"/>
        </w:r>
        <w:r w:rsidR="000C648E">
          <w:rPr>
            <w:noProof/>
            <w:webHidden/>
          </w:rPr>
          <w:instrText xml:space="preserve"> PAGEREF _Toc12365575 \h </w:instrText>
        </w:r>
        <w:r w:rsidR="000C648E">
          <w:rPr>
            <w:noProof/>
            <w:webHidden/>
          </w:rPr>
        </w:r>
        <w:r w:rsidR="000C648E">
          <w:rPr>
            <w:noProof/>
            <w:webHidden/>
          </w:rPr>
          <w:fldChar w:fldCharType="separate"/>
        </w:r>
        <w:r w:rsidR="00D528AA">
          <w:rPr>
            <w:noProof/>
            <w:webHidden/>
          </w:rPr>
          <w:t>31</w:t>
        </w:r>
        <w:r w:rsidR="000C648E">
          <w:rPr>
            <w:noProof/>
            <w:webHidden/>
          </w:rPr>
          <w:fldChar w:fldCharType="end"/>
        </w:r>
      </w:hyperlink>
    </w:p>
    <w:p w14:paraId="047A2E48" w14:textId="77777777" w:rsidR="000C648E" w:rsidRDefault="00740B55">
      <w:pPr>
        <w:pStyle w:val="TOC3"/>
        <w:rPr>
          <w:rFonts w:asciiTheme="minorHAnsi" w:eastAsiaTheme="minorEastAsia" w:hAnsiTheme="minorHAnsi" w:cstheme="minorBidi"/>
          <w:noProof/>
          <w:sz w:val="22"/>
          <w:lang w:eastAsia="en-AU"/>
        </w:rPr>
      </w:pPr>
      <w:hyperlink w:anchor="_Toc12365576" w:history="1">
        <w:r w:rsidR="000C648E" w:rsidRPr="0089282B">
          <w:rPr>
            <w:rStyle w:val="Hyperlink"/>
            <w:noProof/>
          </w:rPr>
          <w:t>3.2.2</w:t>
        </w:r>
        <w:r w:rsidR="000C648E">
          <w:rPr>
            <w:rFonts w:asciiTheme="minorHAnsi" w:eastAsiaTheme="minorEastAsia" w:hAnsiTheme="minorHAnsi" w:cstheme="minorBidi"/>
            <w:noProof/>
            <w:sz w:val="22"/>
            <w:lang w:eastAsia="en-AU"/>
          </w:rPr>
          <w:tab/>
        </w:r>
        <w:r w:rsidR="000C648E" w:rsidRPr="0089282B">
          <w:rPr>
            <w:rStyle w:val="Hyperlink"/>
            <w:rFonts w:cs="Arial"/>
            <w:noProof/>
          </w:rPr>
          <w:t>MODIS true colour monitoring products</w:t>
        </w:r>
        <w:r w:rsidR="000C648E">
          <w:rPr>
            <w:noProof/>
            <w:webHidden/>
          </w:rPr>
          <w:tab/>
        </w:r>
        <w:r w:rsidR="000C648E">
          <w:rPr>
            <w:noProof/>
            <w:webHidden/>
          </w:rPr>
          <w:fldChar w:fldCharType="begin"/>
        </w:r>
        <w:r w:rsidR="000C648E">
          <w:rPr>
            <w:noProof/>
            <w:webHidden/>
          </w:rPr>
          <w:instrText xml:space="preserve"> PAGEREF _Toc12365576 \h </w:instrText>
        </w:r>
        <w:r w:rsidR="000C648E">
          <w:rPr>
            <w:noProof/>
            <w:webHidden/>
          </w:rPr>
        </w:r>
        <w:r w:rsidR="000C648E">
          <w:rPr>
            <w:noProof/>
            <w:webHidden/>
          </w:rPr>
          <w:fldChar w:fldCharType="separate"/>
        </w:r>
        <w:r w:rsidR="00D528AA">
          <w:rPr>
            <w:noProof/>
            <w:webHidden/>
          </w:rPr>
          <w:t>32</w:t>
        </w:r>
        <w:r w:rsidR="000C648E">
          <w:rPr>
            <w:noProof/>
            <w:webHidden/>
          </w:rPr>
          <w:fldChar w:fldCharType="end"/>
        </w:r>
      </w:hyperlink>
    </w:p>
    <w:p w14:paraId="5E4E2026" w14:textId="77777777" w:rsidR="000C648E" w:rsidRDefault="00740B55">
      <w:pPr>
        <w:pStyle w:val="TOC2"/>
        <w:rPr>
          <w:rFonts w:asciiTheme="minorHAnsi" w:eastAsiaTheme="minorEastAsia" w:hAnsiTheme="minorHAnsi" w:cstheme="minorBidi"/>
          <w:noProof/>
          <w:sz w:val="22"/>
          <w:lang w:eastAsia="en-AU"/>
        </w:rPr>
      </w:pPr>
      <w:hyperlink w:anchor="_Toc12365577" w:history="1">
        <w:r w:rsidR="000C648E" w:rsidRPr="0089282B">
          <w:rPr>
            <w:rStyle w:val="Hyperlink"/>
            <w:noProof/>
          </w:rPr>
          <w:t>3.3</w:t>
        </w:r>
        <w:r w:rsidR="000C648E">
          <w:rPr>
            <w:rFonts w:asciiTheme="minorHAnsi" w:eastAsiaTheme="minorEastAsia" w:hAnsiTheme="minorHAnsi" w:cstheme="minorBidi"/>
            <w:noProof/>
            <w:sz w:val="22"/>
            <w:lang w:eastAsia="en-AU"/>
          </w:rPr>
          <w:tab/>
        </w:r>
        <w:r w:rsidR="000C648E" w:rsidRPr="0089282B">
          <w:rPr>
            <w:rStyle w:val="Hyperlink"/>
            <w:noProof/>
          </w:rPr>
          <w:t>Automated production and storage of the MODIS wet season water type maps</w:t>
        </w:r>
        <w:r w:rsidR="000C648E">
          <w:rPr>
            <w:noProof/>
            <w:webHidden/>
          </w:rPr>
          <w:tab/>
        </w:r>
        <w:r w:rsidR="000C648E">
          <w:rPr>
            <w:noProof/>
            <w:webHidden/>
          </w:rPr>
          <w:fldChar w:fldCharType="begin"/>
        </w:r>
        <w:r w:rsidR="000C648E">
          <w:rPr>
            <w:noProof/>
            <w:webHidden/>
          </w:rPr>
          <w:instrText xml:space="preserve"> PAGEREF _Toc12365577 \h </w:instrText>
        </w:r>
        <w:r w:rsidR="000C648E">
          <w:rPr>
            <w:noProof/>
            <w:webHidden/>
          </w:rPr>
        </w:r>
        <w:r w:rsidR="000C648E">
          <w:rPr>
            <w:noProof/>
            <w:webHidden/>
          </w:rPr>
          <w:fldChar w:fldCharType="separate"/>
        </w:r>
        <w:r w:rsidR="00D528AA">
          <w:rPr>
            <w:noProof/>
            <w:webHidden/>
          </w:rPr>
          <w:t>34</w:t>
        </w:r>
        <w:r w:rsidR="000C648E">
          <w:rPr>
            <w:noProof/>
            <w:webHidden/>
          </w:rPr>
          <w:fldChar w:fldCharType="end"/>
        </w:r>
      </w:hyperlink>
    </w:p>
    <w:p w14:paraId="76344125" w14:textId="77777777" w:rsidR="000C648E" w:rsidRDefault="00740B55">
      <w:pPr>
        <w:pStyle w:val="TOC3"/>
        <w:rPr>
          <w:rFonts w:asciiTheme="minorHAnsi" w:eastAsiaTheme="minorEastAsia" w:hAnsiTheme="minorHAnsi" w:cstheme="minorBidi"/>
          <w:noProof/>
          <w:sz w:val="22"/>
          <w:lang w:eastAsia="en-AU"/>
        </w:rPr>
      </w:pPr>
      <w:hyperlink w:anchor="_Toc12365578" w:history="1">
        <w:r w:rsidR="000C648E" w:rsidRPr="0089282B">
          <w:rPr>
            <w:rStyle w:val="Hyperlink"/>
            <w:noProof/>
          </w:rPr>
          <w:t>3.3.1</w:t>
        </w:r>
        <w:r w:rsidR="000C648E">
          <w:rPr>
            <w:rFonts w:asciiTheme="minorHAnsi" w:eastAsiaTheme="minorEastAsia" w:hAnsiTheme="minorHAnsi" w:cstheme="minorBidi"/>
            <w:noProof/>
            <w:sz w:val="22"/>
            <w:lang w:eastAsia="en-AU"/>
          </w:rPr>
          <w:tab/>
        </w:r>
        <w:r w:rsidR="000C648E" w:rsidRPr="0089282B">
          <w:rPr>
            <w:rStyle w:val="Hyperlink"/>
            <w:noProof/>
          </w:rPr>
          <w:t>From raw data to true colour MODIS data</w:t>
        </w:r>
        <w:r w:rsidR="000C648E">
          <w:rPr>
            <w:noProof/>
            <w:webHidden/>
          </w:rPr>
          <w:tab/>
        </w:r>
        <w:r w:rsidR="000C648E">
          <w:rPr>
            <w:noProof/>
            <w:webHidden/>
          </w:rPr>
          <w:fldChar w:fldCharType="begin"/>
        </w:r>
        <w:r w:rsidR="000C648E">
          <w:rPr>
            <w:noProof/>
            <w:webHidden/>
          </w:rPr>
          <w:instrText xml:space="preserve"> PAGEREF _Toc12365578 \h </w:instrText>
        </w:r>
        <w:r w:rsidR="000C648E">
          <w:rPr>
            <w:noProof/>
            <w:webHidden/>
          </w:rPr>
        </w:r>
        <w:r w:rsidR="000C648E">
          <w:rPr>
            <w:noProof/>
            <w:webHidden/>
          </w:rPr>
          <w:fldChar w:fldCharType="separate"/>
        </w:r>
        <w:r w:rsidR="00D528AA">
          <w:rPr>
            <w:noProof/>
            <w:webHidden/>
          </w:rPr>
          <w:t>34</w:t>
        </w:r>
        <w:r w:rsidR="000C648E">
          <w:rPr>
            <w:noProof/>
            <w:webHidden/>
          </w:rPr>
          <w:fldChar w:fldCharType="end"/>
        </w:r>
      </w:hyperlink>
    </w:p>
    <w:p w14:paraId="4DB4257F" w14:textId="77777777" w:rsidR="000C648E" w:rsidRDefault="00740B55">
      <w:pPr>
        <w:pStyle w:val="TOC3"/>
        <w:rPr>
          <w:rFonts w:asciiTheme="minorHAnsi" w:eastAsiaTheme="minorEastAsia" w:hAnsiTheme="minorHAnsi" w:cstheme="minorBidi"/>
          <w:noProof/>
          <w:sz w:val="22"/>
          <w:lang w:eastAsia="en-AU"/>
        </w:rPr>
      </w:pPr>
      <w:hyperlink w:anchor="_Toc12365579" w:history="1">
        <w:r w:rsidR="000C648E" w:rsidRPr="0089282B">
          <w:rPr>
            <w:rStyle w:val="Hyperlink"/>
            <w:rFonts w:cs="Arial"/>
            <w:noProof/>
          </w:rPr>
          <w:t>3.3.2</w:t>
        </w:r>
        <w:r w:rsidR="000C648E">
          <w:rPr>
            <w:rFonts w:asciiTheme="minorHAnsi" w:eastAsiaTheme="minorEastAsia" w:hAnsiTheme="minorHAnsi" w:cstheme="minorBidi"/>
            <w:noProof/>
            <w:sz w:val="22"/>
            <w:lang w:eastAsia="en-AU"/>
          </w:rPr>
          <w:tab/>
        </w:r>
        <w:r w:rsidR="000C648E" w:rsidRPr="0089282B">
          <w:rPr>
            <w:rStyle w:val="Hyperlink"/>
            <w:rFonts w:cs="Arial"/>
            <w:noProof/>
          </w:rPr>
          <w:t>Maps of wet season water types and flood plumes</w:t>
        </w:r>
        <w:r w:rsidR="000C648E">
          <w:rPr>
            <w:noProof/>
            <w:webHidden/>
          </w:rPr>
          <w:tab/>
        </w:r>
        <w:r w:rsidR="000C648E">
          <w:rPr>
            <w:noProof/>
            <w:webHidden/>
          </w:rPr>
          <w:fldChar w:fldCharType="begin"/>
        </w:r>
        <w:r w:rsidR="000C648E">
          <w:rPr>
            <w:noProof/>
            <w:webHidden/>
          </w:rPr>
          <w:instrText xml:space="preserve"> PAGEREF _Toc12365579 \h </w:instrText>
        </w:r>
        <w:r w:rsidR="000C648E">
          <w:rPr>
            <w:noProof/>
            <w:webHidden/>
          </w:rPr>
        </w:r>
        <w:r w:rsidR="000C648E">
          <w:rPr>
            <w:noProof/>
            <w:webHidden/>
          </w:rPr>
          <w:fldChar w:fldCharType="separate"/>
        </w:r>
        <w:r w:rsidR="00D528AA">
          <w:rPr>
            <w:noProof/>
            <w:webHidden/>
          </w:rPr>
          <w:t>35</w:t>
        </w:r>
        <w:r w:rsidR="000C648E">
          <w:rPr>
            <w:noProof/>
            <w:webHidden/>
          </w:rPr>
          <w:fldChar w:fldCharType="end"/>
        </w:r>
      </w:hyperlink>
    </w:p>
    <w:p w14:paraId="130F591F" w14:textId="77777777" w:rsidR="000C648E" w:rsidRDefault="00740B55">
      <w:pPr>
        <w:pStyle w:val="TOC3"/>
        <w:rPr>
          <w:rFonts w:asciiTheme="minorHAnsi" w:eastAsiaTheme="minorEastAsia" w:hAnsiTheme="minorHAnsi" w:cstheme="minorBidi"/>
          <w:noProof/>
          <w:sz w:val="22"/>
          <w:lang w:eastAsia="en-AU"/>
        </w:rPr>
      </w:pPr>
      <w:hyperlink w:anchor="_Toc12365580" w:history="1">
        <w:r w:rsidR="000C648E" w:rsidRPr="0089282B">
          <w:rPr>
            <w:rStyle w:val="Hyperlink"/>
            <w:rFonts w:cs="Arial"/>
            <w:noProof/>
          </w:rPr>
          <w:t>3.3.3</w:t>
        </w:r>
        <w:r w:rsidR="000C648E">
          <w:rPr>
            <w:rFonts w:asciiTheme="minorHAnsi" w:eastAsiaTheme="minorEastAsia" w:hAnsiTheme="minorHAnsi" w:cstheme="minorBidi"/>
            <w:noProof/>
            <w:sz w:val="22"/>
            <w:lang w:eastAsia="en-AU"/>
          </w:rPr>
          <w:tab/>
        </w:r>
        <w:r w:rsidR="000C648E" w:rsidRPr="0089282B">
          <w:rPr>
            <w:rStyle w:val="Hyperlink"/>
            <w:rFonts w:cs="Arial"/>
            <w:noProof/>
          </w:rPr>
          <w:t>Derived monitoring products</w:t>
        </w:r>
        <w:r w:rsidR="000C648E">
          <w:rPr>
            <w:noProof/>
            <w:webHidden/>
          </w:rPr>
          <w:tab/>
        </w:r>
        <w:r w:rsidR="000C648E">
          <w:rPr>
            <w:noProof/>
            <w:webHidden/>
          </w:rPr>
          <w:fldChar w:fldCharType="begin"/>
        </w:r>
        <w:r w:rsidR="000C648E">
          <w:rPr>
            <w:noProof/>
            <w:webHidden/>
          </w:rPr>
          <w:instrText xml:space="preserve"> PAGEREF _Toc12365580 \h </w:instrText>
        </w:r>
        <w:r w:rsidR="000C648E">
          <w:rPr>
            <w:noProof/>
            <w:webHidden/>
          </w:rPr>
        </w:r>
        <w:r w:rsidR="000C648E">
          <w:rPr>
            <w:noProof/>
            <w:webHidden/>
          </w:rPr>
          <w:fldChar w:fldCharType="separate"/>
        </w:r>
        <w:r w:rsidR="00D528AA">
          <w:rPr>
            <w:noProof/>
            <w:webHidden/>
          </w:rPr>
          <w:t>36</w:t>
        </w:r>
        <w:r w:rsidR="000C648E">
          <w:rPr>
            <w:noProof/>
            <w:webHidden/>
          </w:rPr>
          <w:fldChar w:fldCharType="end"/>
        </w:r>
      </w:hyperlink>
    </w:p>
    <w:p w14:paraId="4EDAC7E3" w14:textId="77777777" w:rsidR="000C648E" w:rsidRDefault="00740B55">
      <w:pPr>
        <w:pStyle w:val="TOC2"/>
        <w:rPr>
          <w:rFonts w:asciiTheme="minorHAnsi" w:eastAsiaTheme="minorEastAsia" w:hAnsiTheme="minorHAnsi" w:cstheme="minorBidi"/>
          <w:noProof/>
          <w:sz w:val="22"/>
          <w:lang w:eastAsia="en-AU"/>
        </w:rPr>
      </w:pPr>
      <w:hyperlink w:anchor="_Toc12365581" w:history="1">
        <w:r w:rsidR="000C648E" w:rsidRPr="0089282B">
          <w:rPr>
            <w:rStyle w:val="Hyperlink"/>
            <w:noProof/>
          </w:rPr>
          <w:t>3.4</w:t>
        </w:r>
        <w:r w:rsidR="000C648E">
          <w:rPr>
            <w:rFonts w:asciiTheme="minorHAnsi" w:eastAsiaTheme="minorEastAsia" w:hAnsiTheme="minorHAnsi" w:cstheme="minorBidi"/>
            <w:noProof/>
            <w:sz w:val="22"/>
            <w:lang w:eastAsia="en-AU"/>
          </w:rPr>
          <w:tab/>
        </w:r>
        <w:r w:rsidR="000C648E" w:rsidRPr="0089282B">
          <w:rPr>
            <w:rStyle w:val="Hyperlink"/>
            <w:noProof/>
          </w:rPr>
          <w:t>Marine water quality metric</w:t>
        </w:r>
        <w:r w:rsidR="000C648E">
          <w:rPr>
            <w:noProof/>
            <w:webHidden/>
          </w:rPr>
          <w:tab/>
        </w:r>
        <w:r w:rsidR="000C648E">
          <w:rPr>
            <w:noProof/>
            <w:webHidden/>
          </w:rPr>
          <w:fldChar w:fldCharType="begin"/>
        </w:r>
        <w:r w:rsidR="000C648E">
          <w:rPr>
            <w:noProof/>
            <w:webHidden/>
          </w:rPr>
          <w:instrText xml:space="preserve"> PAGEREF _Toc12365581 \h </w:instrText>
        </w:r>
        <w:r w:rsidR="000C648E">
          <w:rPr>
            <w:noProof/>
            <w:webHidden/>
          </w:rPr>
        </w:r>
        <w:r w:rsidR="000C648E">
          <w:rPr>
            <w:noProof/>
            <w:webHidden/>
          </w:rPr>
          <w:fldChar w:fldCharType="separate"/>
        </w:r>
        <w:r w:rsidR="00D528AA">
          <w:rPr>
            <w:noProof/>
            <w:webHidden/>
          </w:rPr>
          <w:t>36</w:t>
        </w:r>
        <w:r w:rsidR="000C648E">
          <w:rPr>
            <w:noProof/>
            <w:webHidden/>
          </w:rPr>
          <w:fldChar w:fldCharType="end"/>
        </w:r>
      </w:hyperlink>
    </w:p>
    <w:p w14:paraId="3A333033" w14:textId="77777777" w:rsidR="000C648E" w:rsidRDefault="00740B55">
      <w:pPr>
        <w:pStyle w:val="TOC1"/>
        <w:rPr>
          <w:rFonts w:asciiTheme="minorHAnsi" w:eastAsiaTheme="minorEastAsia" w:hAnsiTheme="minorHAnsi" w:cstheme="minorBidi"/>
          <w:b w:val="0"/>
          <w:lang w:eastAsia="en-AU"/>
        </w:rPr>
      </w:pPr>
      <w:hyperlink w:anchor="_Toc12365582" w:history="1">
        <w:r w:rsidR="000C648E" w:rsidRPr="0089282B">
          <w:rPr>
            <w:rStyle w:val="Hyperlink"/>
          </w:rPr>
          <w:t>4</w:t>
        </w:r>
        <w:r w:rsidR="000C648E">
          <w:rPr>
            <w:rFonts w:asciiTheme="minorHAnsi" w:eastAsiaTheme="minorEastAsia" w:hAnsiTheme="minorHAnsi" w:cstheme="minorBidi"/>
            <w:b w:val="0"/>
            <w:lang w:eastAsia="en-AU"/>
          </w:rPr>
          <w:tab/>
        </w:r>
        <w:r w:rsidR="000C648E" w:rsidRPr="0089282B">
          <w:rPr>
            <w:rStyle w:val="Hyperlink"/>
          </w:rPr>
          <w:t>Pesticide monitoring</w:t>
        </w:r>
        <w:r w:rsidR="000C648E">
          <w:rPr>
            <w:webHidden/>
          </w:rPr>
          <w:tab/>
        </w:r>
        <w:r w:rsidR="000C648E">
          <w:rPr>
            <w:webHidden/>
          </w:rPr>
          <w:fldChar w:fldCharType="begin"/>
        </w:r>
        <w:r w:rsidR="000C648E">
          <w:rPr>
            <w:webHidden/>
          </w:rPr>
          <w:instrText xml:space="preserve"> PAGEREF _Toc12365582 \h </w:instrText>
        </w:r>
        <w:r w:rsidR="000C648E">
          <w:rPr>
            <w:webHidden/>
          </w:rPr>
        </w:r>
        <w:r w:rsidR="000C648E">
          <w:rPr>
            <w:webHidden/>
          </w:rPr>
          <w:fldChar w:fldCharType="separate"/>
        </w:r>
        <w:r w:rsidR="00D528AA">
          <w:rPr>
            <w:webHidden/>
          </w:rPr>
          <w:t>38</w:t>
        </w:r>
        <w:r w:rsidR="000C648E">
          <w:rPr>
            <w:webHidden/>
          </w:rPr>
          <w:fldChar w:fldCharType="end"/>
        </w:r>
      </w:hyperlink>
    </w:p>
    <w:p w14:paraId="58CCDB1C" w14:textId="77777777" w:rsidR="000C648E" w:rsidRDefault="00740B55">
      <w:pPr>
        <w:pStyle w:val="TOC2"/>
        <w:rPr>
          <w:rFonts w:asciiTheme="minorHAnsi" w:eastAsiaTheme="minorEastAsia" w:hAnsiTheme="minorHAnsi" w:cstheme="minorBidi"/>
          <w:noProof/>
          <w:sz w:val="22"/>
          <w:lang w:eastAsia="en-AU"/>
        </w:rPr>
      </w:pPr>
      <w:hyperlink w:anchor="_Toc12365583" w:history="1">
        <w:r w:rsidR="000C648E" w:rsidRPr="0089282B">
          <w:rPr>
            <w:rStyle w:val="Hyperlink"/>
            <w:noProof/>
          </w:rPr>
          <w:t>4.1</w:t>
        </w:r>
        <w:r w:rsidR="000C648E">
          <w:rPr>
            <w:rFonts w:asciiTheme="minorHAnsi" w:eastAsiaTheme="minorEastAsia" w:hAnsiTheme="minorHAnsi" w:cstheme="minorBidi"/>
            <w:noProof/>
            <w:sz w:val="22"/>
            <w:lang w:eastAsia="en-AU"/>
          </w:rPr>
          <w:tab/>
        </w:r>
        <w:r w:rsidR="000C648E" w:rsidRPr="0089282B">
          <w:rPr>
            <w:rStyle w:val="Hyperlink"/>
            <w:noProof/>
          </w:rPr>
          <w:t>Introduction</w:t>
        </w:r>
        <w:r w:rsidR="000C648E">
          <w:rPr>
            <w:noProof/>
            <w:webHidden/>
          </w:rPr>
          <w:tab/>
        </w:r>
        <w:r w:rsidR="000C648E">
          <w:rPr>
            <w:noProof/>
            <w:webHidden/>
          </w:rPr>
          <w:fldChar w:fldCharType="begin"/>
        </w:r>
        <w:r w:rsidR="000C648E">
          <w:rPr>
            <w:noProof/>
            <w:webHidden/>
          </w:rPr>
          <w:instrText xml:space="preserve"> PAGEREF _Toc12365583 \h </w:instrText>
        </w:r>
        <w:r w:rsidR="000C648E">
          <w:rPr>
            <w:noProof/>
            <w:webHidden/>
          </w:rPr>
        </w:r>
        <w:r w:rsidR="000C648E">
          <w:rPr>
            <w:noProof/>
            <w:webHidden/>
          </w:rPr>
          <w:fldChar w:fldCharType="separate"/>
        </w:r>
        <w:r w:rsidR="00D528AA">
          <w:rPr>
            <w:noProof/>
            <w:webHidden/>
          </w:rPr>
          <w:t>38</w:t>
        </w:r>
        <w:r w:rsidR="000C648E">
          <w:rPr>
            <w:noProof/>
            <w:webHidden/>
          </w:rPr>
          <w:fldChar w:fldCharType="end"/>
        </w:r>
      </w:hyperlink>
    </w:p>
    <w:p w14:paraId="45FE9F0F" w14:textId="77777777" w:rsidR="000C648E" w:rsidRDefault="00740B55">
      <w:pPr>
        <w:pStyle w:val="TOC2"/>
        <w:rPr>
          <w:rFonts w:asciiTheme="minorHAnsi" w:eastAsiaTheme="minorEastAsia" w:hAnsiTheme="minorHAnsi" w:cstheme="minorBidi"/>
          <w:noProof/>
          <w:sz w:val="22"/>
          <w:lang w:eastAsia="en-AU"/>
        </w:rPr>
      </w:pPr>
      <w:hyperlink w:anchor="_Toc12365584" w:history="1">
        <w:r w:rsidR="000C648E" w:rsidRPr="0089282B">
          <w:rPr>
            <w:rStyle w:val="Hyperlink"/>
            <w:noProof/>
            <w:lang w:eastAsia="en-AU"/>
          </w:rPr>
          <w:t>4.2</w:t>
        </w:r>
        <w:r w:rsidR="000C648E">
          <w:rPr>
            <w:rFonts w:asciiTheme="minorHAnsi" w:eastAsiaTheme="minorEastAsia" w:hAnsiTheme="minorHAnsi" w:cstheme="minorBidi"/>
            <w:noProof/>
            <w:sz w:val="22"/>
            <w:lang w:eastAsia="en-AU"/>
          </w:rPr>
          <w:tab/>
        </w:r>
        <w:r w:rsidR="000C648E" w:rsidRPr="0089282B">
          <w:rPr>
            <w:rStyle w:val="Hyperlink"/>
            <w:noProof/>
            <w:lang w:eastAsia="en-AU"/>
          </w:rPr>
          <w:t>Methods</w:t>
        </w:r>
        <w:r w:rsidR="000C648E">
          <w:rPr>
            <w:noProof/>
            <w:webHidden/>
          </w:rPr>
          <w:tab/>
        </w:r>
        <w:r w:rsidR="000C648E">
          <w:rPr>
            <w:noProof/>
            <w:webHidden/>
          </w:rPr>
          <w:fldChar w:fldCharType="begin"/>
        </w:r>
        <w:r w:rsidR="000C648E">
          <w:rPr>
            <w:noProof/>
            <w:webHidden/>
          </w:rPr>
          <w:instrText xml:space="preserve"> PAGEREF _Toc12365584 \h </w:instrText>
        </w:r>
        <w:r w:rsidR="000C648E">
          <w:rPr>
            <w:noProof/>
            <w:webHidden/>
          </w:rPr>
        </w:r>
        <w:r w:rsidR="000C648E">
          <w:rPr>
            <w:noProof/>
            <w:webHidden/>
          </w:rPr>
          <w:fldChar w:fldCharType="separate"/>
        </w:r>
        <w:r w:rsidR="00D528AA">
          <w:rPr>
            <w:noProof/>
            <w:webHidden/>
          </w:rPr>
          <w:t>39</w:t>
        </w:r>
        <w:r w:rsidR="000C648E">
          <w:rPr>
            <w:noProof/>
            <w:webHidden/>
          </w:rPr>
          <w:fldChar w:fldCharType="end"/>
        </w:r>
      </w:hyperlink>
    </w:p>
    <w:p w14:paraId="5428CCC7" w14:textId="77777777" w:rsidR="000C648E" w:rsidRDefault="00740B55">
      <w:pPr>
        <w:pStyle w:val="TOC3"/>
        <w:rPr>
          <w:rFonts w:asciiTheme="minorHAnsi" w:eastAsiaTheme="minorEastAsia" w:hAnsiTheme="minorHAnsi" w:cstheme="minorBidi"/>
          <w:noProof/>
          <w:sz w:val="22"/>
          <w:lang w:eastAsia="en-AU"/>
        </w:rPr>
      </w:pPr>
      <w:hyperlink w:anchor="_Toc12365585" w:history="1">
        <w:r w:rsidR="000C648E" w:rsidRPr="0089282B">
          <w:rPr>
            <w:rStyle w:val="Hyperlink"/>
            <w:rFonts w:cs="Arial"/>
            <w:noProof/>
          </w:rPr>
          <w:t>4.2.1</w:t>
        </w:r>
        <w:r w:rsidR="000C648E">
          <w:rPr>
            <w:rFonts w:asciiTheme="minorHAnsi" w:eastAsiaTheme="minorEastAsia" w:hAnsiTheme="minorHAnsi" w:cstheme="minorBidi"/>
            <w:noProof/>
            <w:sz w:val="22"/>
            <w:lang w:eastAsia="en-AU"/>
          </w:rPr>
          <w:tab/>
        </w:r>
        <w:r w:rsidR="000C648E" w:rsidRPr="0089282B">
          <w:rPr>
            <w:rStyle w:val="Hyperlink"/>
            <w:rFonts w:cs="Arial"/>
            <w:noProof/>
          </w:rPr>
          <w:t>Sampling design — Passive sampling for routine monitoring</w:t>
        </w:r>
        <w:r w:rsidR="000C648E">
          <w:rPr>
            <w:noProof/>
            <w:webHidden/>
          </w:rPr>
          <w:tab/>
        </w:r>
        <w:r w:rsidR="000C648E">
          <w:rPr>
            <w:noProof/>
            <w:webHidden/>
          </w:rPr>
          <w:fldChar w:fldCharType="begin"/>
        </w:r>
        <w:r w:rsidR="000C648E">
          <w:rPr>
            <w:noProof/>
            <w:webHidden/>
          </w:rPr>
          <w:instrText xml:space="preserve"> PAGEREF _Toc12365585 \h </w:instrText>
        </w:r>
        <w:r w:rsidR="000C648E">
          <w:rPr>
            <w:noProof/>
            <w:webHidden/>
          </w:rPr>
        </w:r>
        <w:r w:rsidR="000C648E">
          <w:rPr>
            <w:noProof/>
            <w:webHidden/>
          </w:rPr>
          <w:fldChar w:fldCharType="separate"/>
        </w:r>
        <w:r w:rsidR="00D528AA">
          <w:rPr>
            <w:noProof/>
            <w:webHidden/>
          </w:rPr>
          <w:t>39</w:t>
        </w:r>
        <w:r w:rsidR="000C648E">
          <w:rPr>
            <w:noProof/>
            <w:webHidden/>
          </w:rPr>
          <w:fldChar w:fldCharType="end"/>
        </w:r>
      </w:hyperlink>
    </w:p>
    <w:p w14:paraId="3C44CF53" w14:textId="77777777" w:rsidR="000C648E" w:rsidRDefault="00740B55">
      <w:pPr>
        <w:pStyle w:val="TOC3"/>
        <w:rPr>
          <w:rFonts w:asciiTheme="minorHAnsi" w:eastAsiaTheme="minorEastAsia" w:hAnsiTheme="minorHAnsi" w:cstheme="minorBidi"/>
          <w:noProof/>
          <w:sz w:val="22"/>
          <w:lang w:eastAsia="en-AU"/>
        </w:rPr>
      </w:pPr>
      <w:hyperlink w:anchor="_Toc12365586" w:history="1">
        <w:r w:rsidR="000C648E" w:rsidRPr="0089282B">
          <w:rPr>
            <w:rStyle w:val="Hyperlink"/>
            <w:rFonts w:cs="Arial"/>
            <w:noProof/>
          </w:rPr>
          <w:t>4.2.2</w:t>
        </w:r>
        <w:r w:rsidR="000C648E">
          <w:rPr>
            <w:rFonts w:asciiTheme="minorHAnsi" w:eastAsiaTheme="minorEastAsia" w:hAnsiTheme="minorHAnsi" w:cstheme="minorBidi"/>
            <w:noProof/>
            <w:sz w:val="22"/>
            <w:lang w:eastAsia="en-AU"/>
          </w:rPr>
          <w:tab/>
        </w:r>
        <w:r w:rsidR="000C648E" w:rsidRPr="0089282B">
          <w:rPr>
            <w:rStyle w:val="Hyperlink"/>
            <w:rFonts w:cs="Arial"/>
            <w:noProof/>
          </w:rPr>
          <w:t>Sampling design — Flood plume grab sampling</w:t>
        </w:r>
        <w:r w:rsidR="000C648E">
          <w:rPr>
            <w:noProof/>
            <w:webHidden/>
          </w:rPr>
          <w:tab/>
        </w:r>
        <w:r w:rsidR="000C648E">
          <w:rPr>
            <w:noProof/>
            <w:webHidden/>
          </w:rPr>
          <w:fldChar w:fldCharType="begin"/>
        </w:r>
        <w:r w:rsidR="000C648E">
          <w:rPr>
            <w:noProof/>
            <w:webHidden/>
          </w:rPr>
          <w:instrText xml:space="preserve"> PAGEREF _Toc12365586 \h </w:instrText>
        </w:r>
        <w:r w:rsidR="000C648E">
          <w:rPr>
            <w:noProof/>
            <w:webHidden/>
          </w:rPr>
        </w:r>
        <w:r w:rsidR="000C648E">
          <w:rPr>
            <w:noProof/>
            <w:webHidden/>
          </w:rPr>
          <w:fldChar w:fldCharType="separate"/>
        </w:r>
        <w:r w:rsidR="00D528AA">
          <w:rPr>
            <w:noProof/>
            <w:webHidden/>
          </w:rPr>
          <w:t>41</w:t>
        </w:r>
        <w:r w:rsidR="000C648E">
          <w:rPr>
            <w:noProof/>
            <w:webHidden/>
          </w:rPr>
          <w:fldChar w:fldCharType="end"/>
        </w:r>
      </w:hyperlink>
    </w:p>
    <w:p w14:paraId="36D2859C" w14:textId="77777777" w:rsidR="000C648E" w:rsidRDefault="00740B55">
      <w:pPr>
        <w:pStyle w:val="TOC3"/>
        <w:rPr>
          <w:rFonts w:asciiTheme="minorHAnsi" w:eastAsiaTheme="minorEastAsia" w:hAnsiTheme="minorHAnsi" w:cstheme="minorBidi"/>
          <w:noProof/>
          <w:sz w:val="22"/>
          <w:lang w:eastAsia="en-AU"/>
        </w:rPr>
      </w:pPr>
      <w:hyperlink w:anchor="_Toc12365587" w:history="1">
        <w:r w:rsidR="000C648E" w:rsidRPr="0089282B">
          <w:rPr>
            <w:rStyle w:val="Hyperlink"/>
            <w:rFonts w:cs="Arial"/>
            <w:noProof/>
          </w:rPr>
          <w:t>4.2.3</w:t>
        </w:r>
        <w:r w:rsidR="000C648E">
          <w:rPr>
            <w:rFonts w:asciiTheme="minorHAnsi" w:eastAsiaTheme="minorEastAsia" w:hAnsiTheme="minorHAnsi" w:cstheme="minorBidi"/>
            <w:noProof/>
            <w:sz w:val="22"/>
            <w:lang w:eastAsia="en-AU"/>
          </w:rPr>
          <w:tab/>
        </w:r>
        <w:r w:rsidR="000C648E" w:rsidRPr="0089282B">
          <w:rPr>
            <w:rStyle w:val="Hyperlink"/>
            <w:rFonts w:cs="Arial"/>
            <w:noProof/>
          </w:rPr>
          <w:t>Target pesticides in the different passive samplers</w:t>
        </w:r>
        <w:r w:rsidR="000C648E">
          <w:rPr>
            <w:noProof/>
            <w:webHidden/>
          </w:rPr>
          <w:tab/>
        </w:r>
        <w:r w:rsidR="000C648E">
          <w:rPr>
            <w:noProof/>
            <w:webHidden/>
          </w:rPr>
          <w:fldChar w:fldCharType="begin"/>
        </w:r>
        <w:r w:rsidR="000C648E">
          <w:rPr>
            <w:noProof/>
            <w:webHidden/>
          </w:rPr>
          <w:instrText xml:space="preserve"> PAGEREF _Toc12365587 \h </w:instrText>
        </w:r>
        <w:r w:rsidR="000C648E">
          <w:rPr>
            <w:noProof/>
            <w:webHidden/>
          </w:rPr>
        </w:r>
        <w:r w:rsidR="000C648E">
          <w:rPr>
            <w:noProof/>
            <w:webHidden/>
          </w:rPr>
          <w:fldChar w:fldCharType="separate"/>
        </w:r>
        <w:r w:rsidR="00D528AA">
          <w:rPr>
            <w:noProof/>
            <w:webHidden/>
          </w:rPr>
          <w:t>41</w:t>
        </w:r>
        <w:r w:rsidR="000C648E">
          <w:rPr>
            <w:noProof/>
            <w:webHidden/>
          </w:rPr>
          <w:fldChar w:fldCharType="end"/>
        </w:r>
      </w:hyperlink>
    </w:p>
    <w:p w14:paraId="455C7F13" w14:textId="77777777" w:rsidR="000C648E" w:rsidRDefault="00740B55">
      <w:pPr>
        <w:pStyle w:val="TOC3"/>
        <w:rPr>
          <w:rFonts w:asciiTheme="minorHAnsi" w:eastAsiaTheme="minorEastAsia" w:hAnsiTheme="minorHAnsi" w:cstheme="minorBidi"/>
          <w:noProof/>
          <w:sz w:val="22"/>
          <w:lang w:eastAsia="en-AU"/>
        </w:rPr>
      </w:pPr>
      <w:hyperlink w:anchor="_Toc12365588" w:history="1">
        <w:r w:rsidR="000C648E" w:rsidRPr="0089282B">
          <w:rPr>
            <w:rStyle w:val="Hyperlink"/>
            <w:noProof/>
          </w:rPr>
          <w:t>4.2.4</w:t>
        </w:r>
        <w:r w:rsidR="000C648E">
          <w:rPr>
            <w:rFonts w:asciiTheme="minorHAnsi" w:eastAsiaTheme="minorEastAsia" w:hAnsiTheme="minorHAnsi" w:cstheme="minorBidi"/>
            <w:noProof/>
            <w:sz w:val="22"/>
            <w:lang w:eastAsia="en-AU"/>
          </w:rPr>
          <w:tab/>
        </w:r>
        <w:r w:rsidR="000C648E" w:rsidRPr="0089282B">
          <w:rPr>
            <w:rStyle w:val="Hyperlink"/>
            <w:noProof/>
          </w:rPr>
          <w:t>Chemical analysis</w:t>
        </w:r>
        <w:r w:rsidR="000C648E">
          <w:rPr>
            <w:noProof/>
            <w:webHidden/>
          </w:rPr>
          <w:tab/>
        </w:r>
        <w:r w:rsidR="000C648E">
          <w:rPr>
            <w:noProof/>
            <w:webHidden/>
          </w:rPr>
          <w:fldChar w:fldCharType="begin"/>
        </w:r>
        <w:r w:rsidR="000C648E">
          <w:rPr>
            <w:noProof/>
            <w:webHidden/>
          </w:rPr>
          <w:instrText xml:space="preserve"> PAGEREF _Toc12365588 \h </w:instrText>
        </w:r>
        <w:r w:rsidR="000C648E">
          <w:rPr>
            <w:noProof/>
            <w:webHidden/>
          </w:rPr>
        </w:r>
        <w:r w:rsidR="000C648E">
          <w:rPr>
            <w:noProof/>
            <w:webHidden/>
          </w:rPr>
          <w:fldChar w:fldCharType="separate"/>
        </w:r>
        <w:r w:rsidR="00D528AA">
          <w:rPr>
            <w:noProof/>
            <w:webHidden/>
          </w:rPr>
          <w:t>43</w:t>
        </w:r>
        <w:r w:rsidR="000C648E">
          <w:rPr>
            <w:noProof/>
            <w:webHidden/>
          </w:rPr>
          <w:fldChar w:fldCharType="end"/>
        </w:r>
      </w:hyperlink>
    </w:p>
    <w:p w14:paraId="0883C7BC" w14:textId="77777777" w:rsidR="000C648E" w:rsidRDefault="00740B55">
      <w:pPr>
        <w:pStyle w:val="TOC3"/>
        <w:rPr>
          <w:rFonts w:asciiTheme="minorHAnsi" w:eastAsiaTheme="minorEastAsia" w:hAnsiTheme="minorHAnsi" w:cstheme="minorBidi"/>
          <w:noProof/>
          <w:sz w:val="22"/>
          <w:lang w:eastAsia="en-AU"/>
        </w:rPr>
      </w:pPr>
      <w:hyperlink w:anchor="_Toc12365589" w:history="1">
        <w:r w:rsidR="000C648E" w:rsidRPr="0089282B">
          <w:rPr>
            <w:rStyle w:val="Hyperlink"/>
            <w:rFonts w:cs="Arial"/>
            <w:noProof/>
          </w:rPr>
          <w:t>4.2.5</w:t>
        </w:r>
        <w:r w:rsidR="000C648E">
          <w:rPr>
            <w:rFonts w:asciiTheme="minorHAnsi" w:eastAsiaTheme="minorEastAsia" w:hAnsiTheme="minorHAnsi" w:cstheme="minorBidi"/>
            <w:noProof/>
            <w:sz w:val="22"/>
            <w:lang w:eastAsia="en-AU"/>
          </w:rPr>
          <w:tab/>
        </w:r>
        <w:r w:rsidR="000C648E" w:rsidRPr="0089282B">
          <w:rPr>
            <w:rStyle w:val="Hyperlink"/>
            <w:rFonts w:cs="Arial"/>
            <w:noProof/>
          </w:rPr>
          <w:t>Passive sampling techniques</w:t>
        </w:r>
        <w:r w:rsidR="000C648E">
          <w:rPr>
            <w:noProof/>
            <w:webHidden/>
          </w:rPr>
          <w:tab/>
        </w:r>
        <w:r w:rsidR="000C648E">
          <w:rPr>
            <w:noProof/>
            <w:webHidden/>
          </w:rPr>
          <w:fldChar w:fldCharType="begin"/>
        </w:r>
        <w:r w:rsidR="000C648E">
          <w:rPr>
            <w:noProof/>
            <w:webHidden/>
          </w:rPr>
          <w:instrText xml:space="preserve"> PAGEREF _Toc12365589 \h </w:instrText>
        </w:r>
        <w:r w:rsidR="000C648E">
          <w:rPr>
            <w:noProof/>
            <w:webHidden/>
          </w:rPr>
        </w:r>
        <w:r w:rsidR="000C648E">
          <w:rPr>
            <w:noProof/>
            <w:webHidden/>
          </w:rPr>
          <w:fldChar w:fldCharType="separate"/>
        </w:r>
        <w:r w:rsidR="00D528AA">
          <w:rPr>
            <w:noProof/>
            <w:webHidden/>
          </w:rPr>
          <w:t>45</w:t>
        </w:r>
        <w:r w:rsidR="000C648E">
          <w:rPr>
            <w:noProof/>
            <w:webHidden/>
          </w:rPr>
          <w:fldChar w:fldCharType="end"/>
        </w:r>
      </w:hyperlink>
    </w:p>
    <w:p w14:paraId="429223E1" w14:textId="77777777" w:rsidR="000C648E" w:rsidRDefault="00740B55">
      <w:pPr>
        <w:pStyle w:val="TOC3"/>
        <w:rPr>
          <w:rFonts w:asciiTheme="minorHAnsi" w:eastAsiaTheme="minorEastAsia" w:hAnsiTheme="minorHAnsi" w:cstheme="minorBidi"/>
          <w:noProof/>
          <w:sz w:val="22"/>
          <w:lang w:eastAsia="en-AU"/>
        </w:rPr>
      </w:pPr>
      <w:hyperlink w:anchor="_Toc12365590" w:history="1">
        <w:r w:rsidR="000C648E" w:rsidRPr="0089282B">
          <w:rPr>
            <w:rStyle w:val="Hyperlink"/>
            <w:rFonts w:cs="Arial"/>
            <w:noProof/>
          </w:rPr>
          <w:t>4.2.6</w:t>
        </w:r>
        <w:r w:rsidR="000C648E">
          <w:rPr>
            <w:rFonts w:asciiTheme="minorHAnsi" w:eastAsiaTheme="minorEastAsia" w:hAnsiTheme="minorHAnsi" w:cstheme="minorBidi"/>
            <w:noProof/>
            <w:sz w:val="22"/>
            <w:lang w:eastAsia="en-AU"/>
          </w:rPr>
          <w:tab/>
        </w:r>
        <w:r w:rsidR="000C648E" w:rsidRPr="0089282B">
          <w:rPr>
            <w:rStyle w:val="Hyperlink"/>
            <w:rFonts w:cs="Arial"/>
            <w:noProof/>
          </w:rPr>
          <w:t>Risk assessment metrics:</w:t>
        </w:r>
        <w:r w:rsidR="000C648E">
          <w:rPr>
            <w:noProof/>
            <w:webHidden/>
          </w:rPr>
          <w:tab/>
        </w:r>
        <w:r w:rsidR="000C648E">
          <w:rPr>
            <w:noProof/>
            <w:webHidden/>
          </w:rPr>
          <w:fldChar w:fldCharType="begin"/>
        </w:r>
        <w:r w:rsidR="000C648E">
          <w:rPr>
            <w:noProof/>
            <w:webHidden/>
          </w:rPr>
          <w:instrText xml:space="preserve"> PAGEREF _Toc12365590 \h </w:instrText>
        </w:r>
        <w:r w:rsidR="000C648E">
          <w:rPr>
            <w:noProof/>
            <w:webHidden/>
          </w:rPr>
        </w:r>
        <w:r w:rsidR="000C648E">
          <w:rPr>
            <w:noProof/>
            <w:webHidden/>
          </w:rPr>
          <w:fldChar w:fldCharType="separate"/>
        </w:r>
        <w:r w:rsidR="00D528AA">
          <w:rPr>
            <w:noProof/>
            <w:webHidden/>
          </w:rPr>
          <w:t>48</w:t>
        </w:r>
        <w:r w:rsidR="000C648E">
          <w:rPr>
            <w:noProof/>
            <w:webHidden/>
          </w:rPr>
          <w:fldChar w:fldCharType="end"/>
        </w:r>
      </w:hyperlink>
    </w:p>
    <w:p w14:paraId="7B774B7F" w14:textId="77777777" w:rsidR="000C648E" w:rsidRDefault="00740B55">
      <w:pPr>
        <w:pStyle w:val="TOC3"/>
        <w:rPr>
          <w:rFonts w:asciiTheme="minorHAnsi" w:eastAsiaTheme="minorEastAsia" w:hAnsiTheme="minorHAnsi" w:cstheme="minorBidi"/>
          <w:noProof/>
          <w:sz w:val="22"/>
          <w:lang w:eastAsia="en-AU"/>
        </w:rPr>
      </w:pPr>
      <w:hyperlink w:anchor="_Toc12365591" w:history="1">
        <w:r w:rsidR="000C648E" w:rsidRPr="0089282B">
          <w:rPr>
            <w:rStyle w:val="Hyperlink"/>
            <w:rFonts w:cs="Arial"/>
            <w:noProof/>
          </w:rPr>
          <w:t>4.2.7</w:t>
        </w:r>
        <w:r w:rsidR="000C648E">
          <w:rPr>
            <w:rFonts w:asciiTheme="minorHAnsi" w:eastAsiaTheme="minorEastAsia" w:hAnsiTheme="minorHAnsi" w:cstheme="minorBidi"/>
            <w:noProof/>
            <w:sz w:val="22"/>
            <w:lang w:eastAsia="en-AU"/>
          </w:rPr>
          <w:tab/>
        </w:r>
        <w:r w:rsidR="000C648E" w:rsidRPr="0089282B">
          <w:rPr>
            <w:rStyle w:val="Hyperlink"/>
            <w:rFonts w:cs="Arial"/>
            <w:noProof/>
          </w:rPr>
          <w:t>QA/QC procedures in the pesticide monitoring program</w:t>
        </w:r>
        <w:r w:rsidR="000C648E">
          <w:rPr>
            <w:noProof/>
            <w:webHidden/>
          </w:rPr>
          <w:tab/>
        </w:r>
        <w:r w:rsidR="000C648E">
          <w:rPr>
            <w:noProof/>
            <w:webHidden/>
          </w:rPr>
          <w:fldChar w:fldCharType="begin"/>
        </w:r>
        <w:r w:rsidR="000C648E">
          <w:rPr>
            <w:noProof/>
            <w:webHidden/>
          </w:rPr>
          <w:instrText xml:space="preserve"> PAGEREF _Toc12365591 \h </w:instrText>
        </w:r>
        <w:r w:rsidR="000C648E">
          <w:rPr>
            <w:noProof/>
            <w:webHidden/>
          </w:rPr>
        </w:r>
        <w:r w:rsidR="000C648E">
          <w:rPr>
            <w:noProof/>
            <w:webHidden/>
          </w:rPr>
          <w:fldChar w:fldCharType="separate"/>
        </w:r>
        <w:r w:rsidR="00D528AA">
          <w:rPr>
            <w:noProof/>
            <w:webHidden/>
          </w:rPr>
          <w:t>55</w:t>
        </w:r>
        <w:r w:rsidR="000C648E">
          <w:rPr>
            <w:noProof/>
            <w:webHidden/>
          </w:rPr>
          <w:fldChar w:fldCharType="end"/>
        </w:r>
      </w:hyperlink>
    </w:p>
    <w:p w14:paraId="2A984265" w14:textId="77777777" w:rsidR="000C648E" w:rsidRDefault="00740B55">
      <w:pPr>
        <w:pStyle w:val="TOC2"/>
        <w:rPr>
          <w:rFonts w:asciiTheme="minorHAnsi" w:eastAsiaTheme="minorEastAsia" w:hAnsiTheme="minorHAnsi" w:cstheme="minorBidi"/>
          <w:noProof/>
          <w:sz w:val="22"/>
          <w:lang w:eastAsia="en-AU"/>
        </w:rPr>
      </w:pPr>
      <w:hyperlink w:anchor="_Toc12365592" w:history="1">
        <w:r w:rsidR="000C648E" w:rsidRPr="0089282B">
          <w:rPr>
            <w:rStyle w:val="Hyperlink"/>
            <w:noProof/>
          </w:rPr>
          <w:t>4.3</w:t>
        </w:r>
        <w:r w:rsidR="000C648E">
          <w:rPr>
            <w:rFonts w:asciiTheme="minorHAnsi" w:eastAsiaTheme="minorEastAsia" w:hAnsiTheme="minorHAnsi" w:cstheme="minorBidi"/>
            <w:noProof/>
            <w:sz w:val="22"/>
            <w:lang w:eastAsia="en-AU"/>
          </w:rPr>
          <w:tab/>
        </w:r>
        <w:r w:rsidR="000C648E" w:rsidRPr="0089282B">
          <w:rPr>
            <w:rStyle w:val="Hyperlink"/>
            <w:noProof/>
          </w:rPr>
          <w:t>Data management and security</w:t>
        </w:r>
        <w:r w:rsidR="000C648E">
          <w:rPr>
            <w:noProof/>
            <w:webHidden/>
          </w:rPr>
          <w:tab/>
        </w:r>
        <w:r w:rsidR="000C648E">
          <w:rPr>
            <w:noProof/>
            <w:webHidden/>
          </w:rPr>
          <w:fldChar w:fldCharType="begin"/>
        </w:r>
        <w:r w:rsidR="000C648E">
          <w:rPr>
            <w:noProof/>
            <w:webHidden/>
          </w:rPr>
          <w:instrText xml:space="preserve"> PAGEREF _Toc12365592 \h </w:instrText>
        </w:r>
        <w:r w:rsidR="000C648E">
          <w:rPr>
            <w:noProof/>
            <w:webHidden/>
          </w:rPr>
        </w:r>
        <w:r w:rsidR="000C648E">
          <w:rPr>
            <w:noProof/>
            <w:webHidden/>
          </w:rPr>
          <w:fldChar w:fldCharType="separate"/>
        </w:r>
        <w:r w:rsidR="00D528AA">
          <w:rPr>
            <w:noProof/>
            <w:webHidden/>
          </w:rPr>
          <w:t>56</w:t>
        </w:r>
        <w:r w:rsidR="000C648E">
          <w:rPr>
            <w:noProof/>
            <w:webHidden/>
          </w:rPr>
          <w:fldChar w:fldCharType="end"/>
        </w:r>
      </w:hyperlink>
    </w:p>
    <w:p w14:paraId="2E37EEE4" w14:textId="77777777" w:rsidR="000C648E" w:rsidRDefault="00740B55">
      <w:pPr>
        <w:pStyle w:val="TOC2"/>
        <w:rPr>
          <w:rFonts w:asciiTheme="minorHAnsi" w:eastAsiaTheme="minorEastAsia" w:hAnsiTheme="minorHAnsi" w:cstheme="minorBidi"/>
          <w:noProof/>
          <w:sz w:val="22"/>
          <w:lang w:eastAsia="en-AU"/>
        </w:rPr>
      </w:pPr>
      <w:hyperlink w:anchor="_Toc12365593" w:history="1">
        <w:r w:rsidR="000C648E" w:rsidRPr="0089282B">
          <w:rPr>
            <w:rStyle w:val="Hyperlink"/>
            <w:noProof/>
          </w:rPr>
          <w:t>4.4</w:t>
        </w:r>
        <w:r w:rsidR="000C648E">
          <w:rPr>
            <w:rFonts w:asciiTheme="minorHAnsi" w:eastAsiaTheme="minorEastAsia" w:hAnsiTheme="minorHAnsi" w:cstheme="minorBidi"/>
            <w:noProof/>
            <w:sz w:val="22"/>
            <w:lang w:eastAsia="en-AU"/>
          </w:rPr>
          <w:tab/>
        </w:r>
        <w:r w:rsidR="000C648E" w:rsidRPr="0089282B">
          <w:rPr>
            <w:rStyle w:val="Hyperlink"/>
            <w:noProof/>
          </w:rPr>
          <w:t>Summary</w:t>
        </w:r>
        <w:r w:rsidR="000C648E">
          <w:rPr>
            <w:noProof/>
            <w:webHidden/>
          </w:rPr>
          <w:tab/>
        </w:r>
        <w:r w:rsidR="000C648E">
          <w:rPr>
            <w:noProof/>
            <w:webHidden/>
          </w:rPr>
          <w:fldChar w:fldCharType="begin"/>
        </w:r>
        <w:r w:rsidR="000C648E">
          <w:rPr>
            <w:noProof/>
            <w:webHidden/>
          </w:rPr>
          <w:instrText xml:space="preserve"> PAGEREF _Toc12365593 \h </w:instrText>
        </w:r>
        <w:r w:rsidR="000C648E">
          <w:rPr>
            <w:noProof/>
            <w:webHidden/>
          </w:rPr>
        </w:r>
        <w:r w:rsidR="000C648E">
          <w:rPr>
            <w:noProof/>
            <w:webHidden/>
          </w:rPr>
          <w:fldChar w:fldCharType="separate"/>
        </w:r>
        <w:r w:rsidR="00D528AA">
          <w:rPr>
            <w:noProof/>
            <w:webHidden/>
          </w:rPr>
          <w:t>57</w:t>
        </w:r>
        <w:r w:rsidR="000C648E">
          <w:rPr>
            <w:noProof/>
            <w:webHidden/>
          </w:rPr>
          <w:fldChar w:fldCharType="end"/>
        </w:r>
      </w:hyperlink>
    </w:p>
    <w:p w14:paraId="32D45E45" w14:textId="77777777" w:rsidR="000C648E" w:rsidRDefault="00740B55">
      <w:pPr>
        <w:pStyle w:val="TOC1"/>
        <w:rPr>
          <w:rFonts w:asciiTheme="minorHAnsi" w:eastAsiaTheme="minorEastAsia" w:hAnsiTheme="minorHAnsi" w:cstheme="minorBidi"/>
          <w:b w:val="0"/>
          <w:lang w:eastAsia="en-AU"/>
        </w:rPr>
      </w:pPr>
      <w:hyperlink w:anchor="_Toc12365594" w:history="1">
        <w:r w:rsidR="000C648E" w:rsidRPr="0089282B">
          <w:rPr>
            <w:rStyle w:val="Hyperlink"/>
          </w:rPr>
          <w:t>5</w:t>
        </w:r>
        <w:r w:rsidR="000C648E">
          <w:rPr>
            <w:rFonts w:asciiTheme="minorHAnsi" w:eastAsiaTheme="minorEastAsia" w:hAnsiTheme="minorHAnsi" w:cstheme="minorBidi"/>
            <w:b w:val="0"/>
            <w:lang w:eastAsia="en-AU"/>
          </w:rPr>
          <w:tab/>
        </w:r>
        <w:r w:rsidR="000C648E" w:rsidRPr="0089282B">
          <w:rPr>
            <w:rStyle w:val="Hyperlink"/>
          </w:rPr>
          <w:t>Inshore coral reef monitoring</w:t>
        </w:r>
        <w:r w:rsidR="000C648E">
          <w:rPr>
            <w:webHidden/>
          </w:rPr>
          <w:tab/>
        </w:r>
        <w:r w:rsidR="000C648E">
          <w:rPr>
            <w:webHidden/>
          </w:rPr>
          <w:fldChar w:fldCharType="begin"/>
        </w:r>
        <w:r w:rsidR="000C648E">
          <w:rPr>
            <w:webHidden/>
          </w:rPr>
          <w:instrText xml:space="preserve"> PAGEREF _Toc12365594 \h </w:instrText>
        </w:r>
        <w:r w:rsidR="000C648E">
          <w:rPr>
            <w:webHidden/>
          </w:rPr>
        </w:r>
        <w:r w:rsidR="000C648E">
          <w:rPr>
            <w:webHidden/>
          </w:rPr>
          <w:fldChar w:fldCharType="separate"/>
        </w:r>
        <w:r w:rsidR="00D528AA">
          <w:rPr>
            <w:webHidden/>
          </w:rPr>
          <w:t>58</w:t>
        </w:r>
        <w:r w:rsidR="000C648E">
          <w:rPr>
            <w:webHidden/>
          </w:rPr>
          <w:fldChar w:fldCharType="end"/>
        </w:r>
      </w:hyperlink>
    </w:p>
    <w:p w14:paraId="183154CF" w14:textId="77777777" w:rsidR="000C648E" w:rsidRDefault="00740B55">
      <w:pPr>
        <w:pStyle w:val="TOC2"/>
        <w:rPr>
          <w:rFonts w:asciiTheme="minorHAnsi" w:eastAsiaTheme="minorEastAsia" w:hAnsiTheme="minorHAnsi" w:cstheme="minorBidi"/>
          <w:noProof/>
          <w:sz w:val="22"/>
          <w:lang w:eastAsia="en-AU"/>
        </w:rPr>
      </w:pPr>
      <w:hyperlink w:anchor="_Toc12365595" w:history="1">
        <w:r w:rsidR="000C648E" w:rsidRPr="0089282B">
          <w:rPr>
            <w:rStyle w:val="Hyperlink"/>
            <w:noProof/>
          </w:rPr>
          <w:t>5.1</w:t>
        </w:r>
        <w:r w:rsidR="000C648E">
          <w:rPr>
            <w:rFonts w:asciiTheme="minorHAnsi" w:eastAsiaTheme="minorEastAsia" w:hAnsiTheme="minorHAnsi" w:cstheme="minorBidi"/>
            <w:noProof/>
            <w:sz w:val="22"/>
            <w:lang w:eastAsia="en-AU"/>
          </w:rPr>
          <w:tab/>
        </w:r>
        <w:r w:rsidR="000C648E" w:rsidRPr="0089282B">
          <w:rPr>
            <w:rStyle w:val="Hyperlink"/>
            <w:noProof/>
          </w:rPr>
          <w:t>Introduction</w:t>
        </w:r>
        <w:r w:rsidR="000C648E">
          <w:rPr>
            <w:noProof/>
            <w:webHidden/>
          </w:rPr>
          <w:tab/>
        </w:r>
        <w:r w:rsidR="000C648E">
          <w:rPr>
            <w:noProof/>
            <w:webHidden/>
          </w:rPr>
          <w:fldChar w:fldCharType="begin"/>
        </w:r>
        <w:r w:rsidR="000C648E">
          <w:rPr>
            <w:noProof/>
            <w:webHidden/>
          </w:rPr>
          <w:instrText xml:space="preserve"> PAGEREF _Toc12365595 \h </w:instrText>
        </w:r>
        <w:r w:rsidR="000C648E">
          <w:rPr>
            <w:noProof/>
            <w:webHidden/>
          </w:rPr>
        </w:r>
        <w:r w:rsidR="000C648E">
          <w:rPr>
            <w:noProof/>
            <w:webHidden/>
          </w:rPr>
          <w:fldChar w:fldCharType="separate"/>
        </w:r>
        <w:r w:rsidR="00D528AA">
          <w:rPr>
            <w:noProof/>
            <w:webHidden/>
          </w:rPr>
          <w:t>58</w:t>
        </w:r>
        <w:r w:rsidR="000C648E">
          <w:rPr>
            <w:noProof/>
            <w:webHidden/>
          </w:rPr>
          <w:fldChar w:fldCharType="end"/>
        </w:r>
      </w:hyperlink>
    </w:p>
    <w:p w14:paraId="378F5793" w14:textId="77777777" w:rsidR="000C648E" w:rsidRDefault="00740B55">
      <w:pPr>
        <w:pStyle w:val="TOC2"/>
        <w:rPr>
          <w:rFonts w:asciiTheme="minorHAnsi" w:eastAsiaTheme="minorEastAsia" w:hAnsiTheme="minorHAnsi" w:cstheme="minorBidi"/>
          <w:noProof/>
          <w:sz w:val="22"/>
          <w:lang w:eastAsia="en-AU"/>
        </w:rPr>
      </w:pPr>
      <w:hyperlink w:anchor="_Toc12365596" w:history="1">
        <w:r w:rsidR="000C648E" w:rsidRPr="0089282B">
          <w:rPr>
            <w:rStyle w:val="Hyperlink"/>
            <w:noProof/>
          </w:rPr>
          <w:t>5.2</w:t>
        </w:r>
        <w:r w:rsidR="000C648E">
          <w:rPr>
            <w:rFonts w:asciiTheme="minorHAnsi" w:eastAsiaTheme="minorEastAsia" w:hAnsiTheme="minorHAnsi" w:cstheme="minorBidi"/>
            <w:noProof/>
            <w:sz w:val="22"/>
            <w:lang w:eastAsia="en-AU"/>
          </w:rPr>
          <w:tab/>
        </w:r>
        <w:r w:rsidR="000C648E" w:rsidRPr="0089282B">
          <w:rPr>
            <w:rStyle w:val="Hyperlink"/>
            <w:noProof/>
          </w:rPr>
          <w:t>Methods</w:t>
        </w:r>
        <w:r w:rsidR="000C648E">
          <w:rPr>
            <w:noProof/>
            <w:webHidden/>
          </w:rPr>
          <w:tab/>
        </w:r>
        <w:r w:rsidR="000C648E">
          <w:rPr>
            <w:noProof/>
            <w:webHidden/>
          </w:rPr>
          <w:fldChar w:fldCharType="begin"/>
        </w:r>
        <w:r w:rsidR="000C648E">
          <w:rPr>
            <w:noProof/>
            <w:webHidden/>
          </w:rPr>
          <w:instrText xml:space="preserve"> PAGEREF _Toc12365596 \h </w:instrText>
        </w:r>
        <w:r w:rsidR="000C648E">
          <w:rPr>
            <w:noProof/>
            <w:webHidden/>
          </w:rPr>
        </w:r>
        <w:r w:rsidR="000C648E">
          <w:rPr>
            <w:noProof/>
            <w:webHidden/>
          </w:rPr>
          <w:fldChar w:fldCharType="separate"/>
        </w:r>
        <w:r w:rsidR="00D528AA">
          <w:rPr>
            <w:noProof/>
            <w:webHidden/>
          </w:rPr>
          <w:t>59</w:t>
        </w:r>
        <w:r w:rsidR="000C648E">
          <w:rPr>
            <w:noProof/>
            <w:webHidden/>
          </w:rPr>
          <w:fldChar w:fldCharType="end"/>
        </w:r>
      </w:hyperlink>
    </w:p>
    <w:p w14:paraId="111F7C18" w14:textId="77777777" w:rsidR="000C648E" w:rsidRDefault="00740B55">
      <w:pPr>
        <w:pStyle w:val="TOC3"/>
        <w:rPr>
          <w:rFonts w:asciiTheme="minorHAnsi" w:eastAsiaTheme="minorEastAsia" w:hAnsiTheme="minorHAnsi" w:cstheme="minorBidi"/>
          <w:noProof/>
          <w:sz w:val="22"/>
          <w:lang w:eastAsia="en-AU"/>
        </w:rPr>
      </w:pPr>
      <w:hyperlink w:anchor="_Toc12365597" w:history="1">
        <w:r w:rsidR="000C648E" w:rsidRPr="0089282B">
          <w:rPr>
            <w:rStyle w:val="Hyperlink"/>
            <w:rFonts w:cs="Arial"/>
            <w:noProof/>
          </w:rPr>
          <w:t>5.2.1</w:t>
        </w:r>
        <w:r w:rsidR="000C648E">
          <w:rPr>
            <w:rFonts w:asciiTheme="minorHAnsi" w:eastAsiaTheme="minorEastAsia" w:hAnsiTheme="minorHAnsi" w:cstheme="minorBidi"/>
            <w:noProof/>
            <w:sz w:val="22"/>
            <w:lang w:eastAsia="en-AU"/>
          </w:rPr>
          <w:tab/>
        </w:r>
        <w:r w:rsidR="000C648E" w:rsidRPr="0089282B">
          <w:rPr>
            <w:rStyle w:val="Hyperlink"/>
            <w:rFonts w:cs="Arial"/>
            <w:noProof/>
          </w:rPr>
          <w:t>Sampling design</w:t>
        </w:r>
        <w:r w:rsidR="000C648E">
          <w:rPr>
            <w:noProof/>
            <w:webHidden/>
          </w:rPr>
          <w:tab/>
        </w:r>
        <w:r w:rsidR="000C648E">
          <w:rPr>
            <w:noProof/>
            <w:webHidden/>
          </w:rPr>
          <w:fldChar w:fldCharType="begin"/>
        </w:r>
        <w:r w:rsidR="000C648E">
          <w:rPr>
            <w:noProof/>
            <w:webHidden/>
          </w:rPr>
          <w:instrText xml:space="preserve"> PAGEREF _Toc12365597 \h </w:instrText>
        </w:r>
        <w:r w:rsidR="000C648E">
          <w:rPr>
            <w:noProof/>
            <w:webHidden/>
          </w:rPr>
        </w:r>
        <w:r w:rsidR="000C648E">
          <w:rPr>
            <w:noProof/>
            <w:webHidden/>
          </w:rPr>
          <w:fldChar w:fldCharType="separate"/>
        </w:r>
        <w:r w:rsidR="00D528AA">
          <w:rPr>
            <w:noProof/>
            <w:webHidden/>
          </w:rPr>
          <w:t>59</w:t>
        </w:r>
        <w:r w:rsidR="000C648E">
          <w:rPr>
            <w:noProof/>
            <w:webHidden/>
          </w:rPr>
          <w:fldChar w:fldCharType="end"/>
        </w:r>
      </w:hyperlink>
    </w:p>
    <w:p w14:paraId="7FE86873" w14:textId="77777777" w:rsidR="000C648E" w:rsidRDefault="00740B55">
      <w:pPr>
        <w:pStyle w:val="TOC3"/>
        <w:rPr>
          <w:rFonts w:asciiTheme="minorHAnsi" w:eastAsiaTheme="minorEastAsia" w:hAnsiTheme="minorHAnsi" w:cstheme="minorBidi"/>
          <w:noProof/>
          <w:sz w:val="22"/>
          <w:lang w:eastAsia="en-AU"/>
        </w:rPr>
      </w:pPr>
      <w:hyperlink w:anchor="_Toc12365598" w:history="1">
        <w:r w:rsidR="000C648E" w:rsidRPr="0089282B">
          <w:rPr>
            <w:rStyle w:val="Hyperlink"/>
            <w:rFonts w:cs="Arial"/>
            <w:noProof/>
          </w:rPr>
          <w:t>5.2.2</w:t>
        </w:r>
        <w:r w:rsidR="000C648E">
          <w:rPr>
            <w:rFonts w:asciiTheme="minorHAnsi" w:eastAsiaTheme="minorEastAsia" w:hAnsiTheme="minorHAnsi" w:cstheme="minorBidi"/>
            <w:noProof/>
            <w:sz w:val="22"/>
            <w:lang w:eastAsia="en-AU"/>
          </w:rPr>
          <w:tab/>
        </w:r>
        <w:r w:rsidR="000C648E" w:rsidRPr="0089282B">
          <w:rPr>
            <w:rStyle w:val="Hyperlink"/>
            <w:rFonts w:cs="Arial"/>
            <w:noProof/>
          </w:rPr>
          <w:t>Site selection</w:t>
        </w:r>
        <w:r w:rsidR="000C648E">
          <w:rPr>
            <w:noProof/>
            <w:webHidden/>
          </w:rPr>
          <w:tab/>
        </w:r>
        <w:r w:rsidR="000C648E">
          <w:rPr>
            <w:noProof/>
            <w:webHidden/>
          </w:rPr>
          <w:fldChar w:fldCharType="begin"/>
        </w:r>
        <w:r w:rsidR="000C648E">
          <w:rPr>
            <w:noProof/>
            <w:webHidden/>
          </w:rPr>
          <w:instrText xml:space="preserve"> PAGEREF _Toc12365598 \h </w:instrText>
        </w:r>
        <w:r w:rsidR="000C648E">
          <w:rPr>
            <w:noProof/>
            <w:webHidden/>
          </w:rPr>
        </w:r>
        <w:r w:rsidR="000C648E">
          <w:rPr>
            <w:noProof/>
            <w:webHidden/>
          </w:rPr>
          <w:fldChar w:fldCharType="separate"/>
        </w:r>
        <w:r w:rsidR="00D528AA">
          <w:rPr>
            <w:noProof/>
            <w:webHidden/>
          </w:rPr>
          <w:t>60</w:t>
        </w:r>
        <w:r w:rsidR="000C648E">
          <w:rPr>
            <w:noProof/>
            <w:webHidden/>
          </w:rPr>
          <w:fldChar w:fldCharType="end"/>
        </w:r>
      </w:hyperlink>
    </w:p>
    <w:p w14:paraId="11FC0BC6" w14:textId="77777777" w:rsidR="000C648E" w:rsidRDefault="00740B55">
      <w:pPr>
        <w:pStyle w:val="TOC3"/>
        <w:rPr>
          <w:rFonts w:asciiTheme="minorHAnsi" w:eastAsiaTheme="minorEastAsia" w:hAnsiTheme="minorHAnsi" w:cstheme="minorBidi"/>
          <w:noProof/>
          <w:sz w:val="22"/>
          <w:lang w:eastAsia="en-AU"/>
        </w:rPr>
      </w:pPr>
      <w:hyperlink w:anchor="_Toc12365599" w:history="1">
        <w:r w:rsidR="000C648E" w:rsidRPr="0089282B">
          <w:rPr>
            <w:rStyle w:val="Hyperlink"/>
            <w:rFonts w:cs="Arial"/>
            <w:noProof/>
          </w:rPr>
          <w:t>5.2.3</w:t>
        </w:r>
        <w:r w:rsidR="000C648E">
          <w:rPr>
            <w:rFonts w:asciiTheme="minorHAnsi" w:eastAsiaTheme="minorEastAsia" w:hAnsiTheme="minorHAnsi" w:cstheme="minorBidi"/>
            <w:noProof/>
            <w:sz w:val="22"/>
            <w:lang w:eastAsia="en-AU"/>
          </w:rPr>
          <w:tab/>
        </w:r>
        <w:r w:rsidR="000C648E" w:rsidRPr="0089282B">
          <w:rPr>
            <w:rStyle w:val="Hyperlink"/>
            <w:rFonts w:cs="Arial"/>
            <w:noProof/>
          </w:rPr>
          <w:t>Depth selection</w:t>
        </w:r>
        <w:r w:rsidR="000C648E">
          <w:rPr>
            <w:noProof/>
            <w:webHidden/>
          </w:rPr>
          <w:tab/>
        </w:r>
        <w:r w:rsidR="000C648E">
          <w:rPr>
            <w:noProof/>
            <w:webHidden/>
          </w:rPr>
          <w:fldChar w:fldCharType="begin"/>
        </w:r>
        <w:r w:rsidR="000C648E">
          <w:rPr>
            <w:noProof/>
            <w:webHidden/>
          </w:rPr>
          <w:instrText xml:space="preserve"> PAGEREF _Toc12365599 \h </w:instrText>
        </w:r>
        <w:r w:rsidR="000C648E">
          <w:rPr>
            <w:noProof/>
            <w:webHidden/>
          </w:rPr>
        </w:r>
        <w:r w:rsidR="000C648E">
          <w:rPr>
            <w:noProof/>
            <w:webHidden/>
          </w:rPr>
          <w:fldChar w:fldCharType="separate"/>
        </w:r>
        <w:r w:rsidR="00D528AA">
          <w:rPr>
            <w:noProof/>
            <w:webHidden/>
          </w:rPr>
          <w:t>63</w:t>
        </w:r>
        <w:r w:rsidR="000C648E">
          <w:rPr>
            <w:noProof/>
            <w:webHidden/>
          </w:rPr>
          <w:fldChar w:fldCharType="end"/>
        </w:r>
      </w:hyperlink>
    </w:p>
    <w:p w14:paraId="0D5C787C" w14:textId="77777777" w:rsidR="000C648E" w:rsidRDefault="00740B55">
      <w:pPr>
        <w:pStyle w:val="TOC3"/>
        <w:rPr>
          <w:rFonts w:asciiTheme="minorHAnsi" w:eastAsiaTheme="minorEastAsia" w:hAnsiTheme="minorHAnsi" w:cstheme="minorBidi"/>
          <w:noProof/>
          <w:sz w:val="22"/>
          <w:lang w:eastAsia="en-AU"/>
        </w:rPr>
      </w:pPr>
      <w:hyperlink w:anchor="_Toc12365600" w:history="1">
        <w:r w:rsidR="000C648E" w:rsidRPr="0089282B">
          <w:rPr>
            <w:rStyle w:val="Hyperlink"/>
            <w:rFonts w:cs="Arial"/>
            <w:noProof/>
          </w:rPr>
          <w:t>5.2.4</w:t>
        </w:r>
        <w:r w:rsidR="000C648E">
          <w:rPr>
            <w:rFonts w:asciiTheme="minorHAnsi" w:eastAsiaTheme="minorEastAsia" w:hAnsiTheme="minorHAnsi" w:cstheme="minorBidi"/>
            <w:noProof/>
            <w:sz w:val="22"/>
            <w:lang w:eastAsia="en-AU"/>
          </w:rPr>
          <w:tab/>
        </w:r>
        <w:r w:rsidR="000C648E" w:rsidRPr="0089282B">
          <w:rPr>
            <w:rStyle w:val="Hyperlink"/>
            <w:rFonts w:cs="Arial"/>
            <w:noProof/>
          </w:rPr>
          <w:t>Field survey methods</w:t>
        </w:r>
        <w:r w:rsidR="000C648E">
          <w:rPr>
            <w:noProof/>
            <w:webHidden/>
          </w:rPr>
          <w:tab/>
        </w:r>
        <w:r w:rsidR="000C648E">
          <w:rPr>
            <w:noProof/>
            <w:webHidden/>
          </w:rPr>
          <w:fldChar w:fldCharType="begin"/>
        </w:r>
        <w:r w:rsidR="000C648E">
          <w:rPr>
            <w:noProof/>
            <w:webHidden/>
          </w:rPr>
          <w:instrText xml:space="preserve"> PAGEREF _Toc12365600 \h </w:instrText>
        </w:r>
        <w:r w:rsidR="000C648E">
          <w:rPr>
            <w:noProof/>
            <w:webHidden/>
          </w:rPr>
        </w:r>
        <w:r w:rsidR="000C648E">
          <w:rPr>
            <w:noProof/>
            <w:webHidden/>
          </w:rPr>
          <w:fldChar w:fldCharType="separate"/>
        </w:r>
        <w:r w:rsidR="00D528AA">
          <w:rPr>
            <w:noProof/>
            <w:webHidden/>
          </w:rPr>
          <w:t>63</w:t>
        </w:r>
        <w:r w:rsidR="000C648E">
          <w:rPr>
            <w:noProof/>
            <w:webHidden/>
          </w:rPr>
          <w:fldChar w:fldCharType="end"/>
        </w:r>
      </w:hyperlink>
    </w:p>
    <w:p w14:paraId="2F86E073" w14:textId="77777777" w:rsidR="000C648E" w:rsidRDefault="00740B55">
      <w:pPr>
        <w:pStyle w:val="TOC3"/>
        <w:rPr>
          <w:rFonts w:asciiTheme="minorHAnsi" w:eastAsiaTheme="minorEastAsia" w:hAnsiTheme="minorHAnsi" w:cstheme="minorBidi"/>
          <w:noProof/>
          <w:sz w:val="22"/>
          <w:lang w:eastAsia="en-AU"/>
        </w:rPr>
      </w:pPr>
      <w:hyperlink w:anchor="_Toc12365601" w:history="1">
        <w:r w:rsidR="000C648E" w:rsidRPr="0089282B">
          <w:rPr>
            <w:rStyle w:val="Hyperlink"/>
            <w:rFonts w:cs="Arial"/>
            <w:noProof/>
          </w:rPr>
          <w:t>5.2.5</w:t>
        </w:r>
        <w:r w:rsidR="000C648E">
          <w:rPr>
            <w:rFonts w:asciiTheme="minorHAnsi" w:eastAsiaTheme="minorEastAsia" w:hAnsiTheme="minorHAnsi" w:cstheme="minorBidi"/>
            <w:noProof/>
            <w:sz w:val="22"/>
            <w:lang w:eastAsia="en-AU"/>
          </w:rPr>
          <w:tab/>
        </w:r>
        <w:r w:rsidR="000C648E" w:rsidRPr="0089282B">
          <w:rPr>
            <w:rStyle w:val="Hyperlink"/>
            <w:rFonts w:cs="Arial"/>
            <w:noProof/>
          </w:rPr>
          <w:t>Observer training</w:t>
        </w:r>
        <w:r w:rsidR="000C648E">
          <w:rPr>
            <w:noProof/>
            <w:webHidden/>
          </w:rPr>
          <w:tab/>
        </w:r>
        <w:r w:rsidR="000C648E">
          <w:rPr>
            <w:noProof/>
            <w:webHidden/>
          </w:rPr>
          <w:fldChar w:fldCharType="begin"/>
        </w:r>
        <w:r w:rsidR="000C648E">
          <w:rPr>
            <w:noProof/>
            <w:webHidden/>
          </w:rPr>
          <w:instrText xml:space="preserve"> PAGEREF _Toc12365601 \h </w:instrText>
        </w:r>
        <w:r w:rsidR="000C648E">
          <w:rPr>
            <w:noProof/>
            <w:webHidden/>
          </w:rPr>
        </w:r>
        <w:r w:rsidR="000C648E">
          <w:rPr>
            <w:noProof/>
            <w:webHidden/>
          </w:rPr>
          <w:fldChar w:fldCharType="separate"/>
        </w:r>
        <w:r w:rsidR="00D528AA">
          <w:rPr>
            <w:noProof/>
            <w:webHidden/>
          </w:rPr>
          <w:t>65</w:t>
        </w:r>
        <w:r w:rsidR="000C648E">
          <w:rPr>
            <w:noProof/>
            <w:webHidden/>
          </w:rPr>
          <w:fldChar w:fldCharType="end"/>
        </w:r>
      </w:hyperlink>
    </w:p>
    <w:p w14:paraId="645D667B" w14:textId="77777777" w:rsidR="000C648E" w:rsidRDefault="00740B55">
      <w:pPr>
        <w:pStyle w:val="TOC3"/>
        <w:rPr>
          <w:rFonts w:asciiTheme="minorHAnsi" w:eastAsiaTheme="minorEastAsia" w:hAnsiTheme="minorHAnsi" w:cstheme="minorBidi"/>
          <w:noProof/>
          <w:sz w:val="22"/>
          <w:lang w:eastAsia="en-AU"/>
        </w:rPr>
      </w:pPr>
      <w:hyperlink w:anchor="_Toc12365602" w:history="1">
        <w:r w:rsidR="000C648E" w:rsidRPr="0089282B">
          <w:rPr>
            <w:rStyle w:val="Hyperlink"/>
            <w:rFonts w:cs="Arial"/>
            <w:noProof/>
          </w:rPr>
          <w:t>5.2.6</w:t>
        </w:r>
        <w:r w:rsidR="000C648E">
          <w:rPr>
            <w:rFonts w:asciiTheme="minorHAnsi" w:eastAsiaTheme="minorEastAsia" w:hAnsiTheme="minorHAnsi" w:cstheme="minorBidi"/>
            <w:noProof/>
            <w:sz w:val="22"/>
            <w:lang w:eastAsia="en-AU"/>
          </w:rPr>
          <w:tab/>
        </w:r>
        <w:r w:rsidR="000C648E" w:rsidRPr="0089282B">
          <w:rPr>
            <w:rStyle w:val="Hyperlink"/>
            <w:rFonts w:cs="Arial"/>
            <w:noProof/>
          </w:rPr>
          <w:t>Temperature monitoring</w:t>
        </w:r>
        <w:r w:rsidR="000C648E">
          <w:rPr>
            <w:noProof/>
            <w:webHidden/>
          </w:rPr>
          <w:tab/>
        </w:r>
        <w:r w:rsidR="000C648E">
          <w:rPr>
            <w:noProof/>
            <w:webHidden/>
          </w:rPr>
          <w:fldChar w:fldCharType="begin"/>
        </w:r>
        <w:r w:rsidR="000C648E">
          <w:rPr>
            <w:noProof/>
            <w:webHidden/>
          </w:rPr>
          <w:instrText xml:space="preserve"> PAGEREF _Toc12365602 \h </w:instrText>
        </w:r>
        <w:r w:rsidR="000C648E">
          <w:rPr>
            <w:noProof/>
            <w:webHidden/>
          </w:rPr>
        </w:r>
        <w:r w:rsidR="000C648E">
          <w:rPr>
            <w:noProof/>
            <w:webHidden/>
          </w:rPr>
          <w:fldChar w:fldCharType="separate"/>
        </w:r>
        <w:r w:rsidR="00D528AA">
          <w:rPr>
            <w:noProof/>
            <w:webHidden/>
          </w:rPr>
          <w:t>66</w:t>
        </w:r>
        <w:r w:rsidR="000C648E">
          <w:rPr>
            <w:noProof/>
            <w:webHidden/>
          </w:rPr>
          <w:fldChar w:fldCharType="end"/>
        </w:r>
      </w:hyperlink>
    </w:p>
    <w:p w14:paraId="6E315A31" w14:textId="77777777" w:rsidR="000C648E" w:rsidRDefault="00740B55">
      <w:pPr>
        <w:pStyle w:val="TOC2"/>
        <w:rPr>
          <w:rFonts w:asciiTheme="minorHAnsi" w:eastAsiaTheme="minorEastAsia" w:hAnsiTheme="minorHAnsi" w:cstheme="minorBidi"/>
          <w:noProof/>
          <w:sz w:val="22"/>
          <w:lang w:eastAsia="en-AU"/>
        </w:rPr>
      </w:pPr>
      <w:hyperlink w:anchor="_Toc12365603" w:history="1">
        <w:r w:rsidR="000C648E" w:rsidRPr="0089282B">
          <w:rPr>
            <w:rStyle w:val="Hyperlink"/>
            <w:noProof/>
          </w:rPr>
          <w:t>5.3</w:t>
        </w:r>
        <w:r w:rsidR="000C648E">
          <w:rPr>
            <w:rFonts w:asciiTheme="minorHAnsi" w:eastAsiaTheme="minorEastAsia" w:hAnsiTheme="minorHAnsi" w:cstheme="minorBidi"/>
            <w:noProof/>
            <w:sz w:val="22"/>
            <w:lang w:eastAsia="en-AU"/>
          </w:rPr>
          <w:tab/>
        </w:r>
        <w:r w:rsidR="000C648E" w:rsidRPr="0089282B">
          <w:rPr>
            <w:rStyle w:val="Hyperlink"/>
            <w:noProof/>
          </w:rPr>
          <w:t>Data management</w:t>
        </w:r>
        <w:r w:rsidR="000C648E">
          <w:rPr>
            <w:noProof/>
            <w:webHidden/>
          </w:rPr>
          <w:tab/>
        </w:r>
        <w:r w:rsidR="000C648E">
          <w:rPr>
            <w:noProof/>
            <w:webHidden/>
          </w:rPr>
          <w:fldChar w:fldCharType="begin"/>
        </w:r>
        <w:r w:rsidR="000C648E">
          <w:rPr>
            <w:noProof/>
            <w:webHidden/>
          </w:rPr>
          <w:instrText xml:space="preserve"> PAGEREF _Toc12365603 \h </w:instrText>
        </w:r>
        <w:r w:rsidR="000C648E">
          <w:rPr>
            <w:noProof/>
            <w:webHidden/>
          </w:rPr>
        </w:r>
        <w:r w:rsidR="000C648E">
          <w:rPr>
            <w:noProof/>
            <w:webHidden/>
          </w:rPr>
          <w:fldChar w:fldCharType="separate"/>
        </w:r>
        <w:r w:rsidR="00D528AA">
          <w:rPr>
            <w:noProof/>
            <w:webHidden/>
          </w:rPr>
          <w:t>66</w:t>
        </w:r>
        <w:r w:rsidR="000C648E">
          <w:rPr>
            <w:noProof/>
            <w:webHidden/>
          </w:rPr>
          <w:fldChar w:fldCharType="end"/>
        </w:r>
      </w:hyperlink>
    </w:p>
    <w:p w14:paraId="765DFE03" w14:textId="77777777" w:rsidR="000C648E" w:rsidRDefault="00740B55">
      <w:pPr>
        <w:pStyle w:val="TOC2"/>
        <w:rPr>
          <w:rFonts w:asciiTheme="minorHAnsi" w:eastAsiaTheme="minorEastAsia" w:hAnsiTheme="minorHAnsi" w:cstheme="minorBidi"/>
          <w:noProof/>
          <w:sz w:val="22"/>
          <w:lang w:eastAsia="en-AU"/>
        </w:rPr>
      </w:pPr>
      <w:hyperlink w:anchor="_Toc12365604" w:history="1">
        <w:r w:rsidR="000C648E" w:rsidRPr="0089282B">
          <w:rPr>
            <w:rStyle w:val="Hyperlink"/>
            <w:noProof/>
          </w:rPr>
          <w:t>5.4</w:t>
        </w:r>
        <w:r w:rsidR="000C648E">
          <w:rPr>
            <w:rFonts w:asciiTheme="minorHAnsi" w:eastAsiaTheme="minorEastAsia" w:hAnsiTheme="minorHAnsi" w:cstheme="minorBidi"/>
            <w:noProof/>
            <w:sz w:val="22"/>
            <w:lang w:eastAsia="en-AU"/>
          </w:rPr>
          <w:tab/>
        </w:r>
        <w:r w:rsidR="000C648E" w:rsidRPr="0089282B">
          <w:rPr>
            <w:rStyle w:val="Hyperlink"/>
            <w:noProof/>
          </w:rPr>
          <w:t>Summary of Quality Control measures</w:t>
        </w:r>
        <w:r w:rsidR="000C648E">
          <w:rPr>
            <w:noProof/>
            <w:webHidden/>
          </w:rPr>
          <w:tab/>
        </w:r>
        <w:r w:rsidR="000C648E">
          <w:rPr>
            <w:noProof/>
            <w:webHidden/>
          </w:rPr>
          <w:fldChar w:fldCharType="begin"/>
        </w:r>
        <w:r w:rsidR="000C648E">
          <w:rPr>
            <w:noProof/>
            <w:webHidden/>
          </w:rPr>
          <w:instrText xml:space="preserve"> PAGEREF _Toc12365604 \h </w:instrText>
        </w:r>
        <w:r w:rsidR="000C648E">
          <w:rPr>
            <w:noProof/>
            <w:webHidden/>
          </w:rPr>
        </w:r>
        <w:r w:rsidR="000C648E">
          <w:rPr>
            <w:noProof/>
            <w:webHidden/>
          </w:rPr>
          <w:fldChar w:fldCharType="separate"/>
        </w:r>
        <w:r w:rsidR="00D528AA">
          <w:rPr>
            <w:noProof/>
            <w:webHidden/>
          </w:rPr>
          <w:t>67</w:t>
        </w:r>
        <w:r w:rsidR="000C648E">
          <w:rPr>
            <w:noProof/>
            <w:webHidden/>
          </w:rPr>
          <w:fldChar w:fldCharType="end"/>
        </w:r>
      </w:hyperlink>
    </w:p>
    <w:p w14:paraId="0EE6AECE" w14:textId="77777777" w:rsidR="000C648E" w:rsidRDefault="00740B55">
      <w:pPr>
        <w:pStyle w:val="TOC1"/>
        <w:rPr>
          <w:rFonts w:asciiTheme="minorHAnsi" w:eastAsiaTheme="minorEastAsia" w:hAnsiTheme="minorHAnsi" w:cstheme="minorBidi"/>
          <w:b w:val="0"/>
          <w:lang w:eastAsia="en-AU"/>
        </w:rPr>
      </w:pPr>
      <w:hyperlink w:anchor="_Toc12365605" w:history="1">
        <w:r w:rsidR="000C648E" w:rsidRPr="0089282B">
          <w:rPr>
            <w:rStyle w:val="Hyperlink"/>
          </w:rPr>
          <w:t>6</w:t>
        </w:r>
        <w:r w:rsidR="000C648E">
          <w:rPr>
            <w:rFonts w:asciiTheme="minorHAnsi" w:eastAsiaTheme="minorEastAsia" w:hAnsiTheme="minorHAnsi" w:cstheme="minorBidi"/>
            <w:b w:val="0"/>
            <w:lang w:eastAsia="en-AU"/>
          </w:rPr>
          <w:tab/>
        </w:r>
        <w:r w:rsidR="000C648E" w:rsidRPr="0089282B">
          <w:rPr>
            <w:rStyle w:val="Hyperlink"/>
          </w:rPr>
          <w:t>Inshore seagrass monitoring</w:t>
        </w:r>
        <w:r w:rsidR="000C648E">
          <w:rPr>
            <w:webHidden/>
          </w:rPr>
          <w:tab/>
        </w:r>
        <w:r w:rsidR="000C648E">
          <w:rPr>
            <w:webHidden/>
          </w:rPr>
          <w:fldChar w:fldCharType="begin"/>
        </w:r>
        <w:r w:rsidR="000C648E">
          <w:rPr>
            <w:webHidden/>
          </w:rPr>
          <w:instrText xml:space="preserve"> PAGEREF _Toc12365605 \h </w:instrText>
        </w:r>
        <w:r w:rsidR="000C648E">
          <w:rPr>
            <w:webHidden/>
          </w:rPr>
        </w:r>
        <w:r w:rsidR="000C648E">
          <w:rPr>
            <w:webHidden/>
          </w:rPr>
          <w:fldChar w:fldCharType="separate"/>
        </w:r>
        <w:r w:rsidR="00D528AA">
          <w:rPr>
            <w:webHidden/>
          </w:rPr>
          <w:t>68</w:t>
        </w:r>
        <w:r w:rsidR="000C648E">
          <w:rPr>
            <w:webHidden/>
          </w:rPr>
          <w:fldChar w:fldCharType="end"/>
        </w:r>
      </w:hyperlink>
    </w:p>
    <w:p w14:paraId="42CCD619" w14:textId="77777777" w:rsidR="000C648E" w:rsidRDefault="00740B55">
      <w:pPr>
        <w:pStyle w:val="TOC2"/>
        <w:rPr>
          <w:rFonts w:asciiTheme="minorHAnsi" w:eastAsiaTheme="minorEastAsia" w:hAnsiTheme="minorHAnsi" w:cstheme="minorBidi"/>
          <w:noProof/>
          <w:sz w:val="22"/>
          <w:lang w:eastAsia="en-AU"/>
        </w:rPr>
      </w:pPr>
      <w:hyperlink w:anchor="_Toc12365606" w:history="1">
        <w:r w:rsidR="000C648E" w:rsidRPr="0089282B">
          <w:rPr>
            <w:rStyle w:val="Hyperlink"/>
            <w:noProof/>
          </w:rPr>
          <w:t>6.1</w:t>
        </w:r>
        <w:r w:rsidR="000C648E">
          <w:rPr>
            <w:rFonts w:asciiTheme="minorHAnsi" w:eastAsiaTheme="minorEastAsia" w:hAnsiTheme="minorHAnsi" w:cstheme="minorBidi"/>
            <w:noProof/>
            <w:sz w:val="22"/>
            <w:lang w:eastAsia="en-AU"/>
          </w:rPr>
          <w:tab/>
        </w:r>
        <w:r w:rsidR="000C648E" w:rsidRPr="0089282B">
          <w:rPr>
            <w:rStyle w:val="Hyperlink"/>
            <w:noProof/>
          </w:rPr>
          <w:t>Introduction</w:t>
        </w:r>
        <w:r w:rsidR="000C648E">
          <w:rPr>
            <w:noProof/>
            <w:webHidden/>
          </w:rPr>
          <w:tab/>
        </w:r>
        <w:r w:rsidR="000C648E">
          <w:rPr>
            <w:noProof/>
            <w:webHidden/>
          </w:rPr>
          <w:fldChar w:fldCharType="begin"/>
        </w:r>
        <w:r w:rsidR="000C648E">
          <w:rPr>
            <w:noProof/>
            <w:webHidden/>
          </w:rPr>
          <w:instrText xml:space="preserve"> PAGEREF _Toc12365606 \h </w:instrText>
        </w:r>
        <w:r w:rsidR="000C648E">
          <w:rPr>
            <w:noProof/>
            <w:webHidden/>
          </w:rPr>
        </w:r>
        <w:r w:rsidR="000C648E">
          <w:rPr>
            <w:noProof/>
            <w:webHidden/>
          </w:rPr>
          <w:fldChar w:fldCharType="separate"/>
        </w:r>
        <w:r w:rsidR="00D528AA">
          <w:rPr>
            <w:noProof/>
            <w:webHidden/>
          </w:rPr>
          <w:t>68</w:t>
        </w:r>
        <w:r w:rsidR="000C648E">
          <w:rPr>
            <w:noProof/>
            <w:webHidden/>
          </w:rPr>
          <w:fldChar w:fldCharType="end"/>
        </w:r>
      </w:hyperlink>
    </w:p>
    <w:p w14:paraId="473E5EF0" w14:textId="77777777" w:rsidR="000C648E" w:rsidRDefault="00740B55">
      <w:pPr>
        <w:pStyle w:val="TOC2"/>
        <w:rPr>
          <w:rFonts w:asciiTheme="minorHAnsi" w:eastAsiaTheme="minorEastAsia" w:hAnsiTheme="minorHAnsi" w:cstheme="minorBidi"/>
          <w:noProof/>
          <w:sz w:val="22"/>
          <w:lang w:eastAsia="en-AU"/>
        </w:rPr>
      </w:pPr>
      <w:hyperlink w:anchor="_Toc12365607" w:history="1">
        <w:r w:rsidR="000C648E" w:rsidRPr="0089282B">
          <w:rPr>
            <w:rStyle w:val="Hyperlink"/>
            <w:noProof/>
          </w:rPr>
          <w:t>6.2</w:t>
        </w:r>
        <w:r w:rsidR="000C648E">
          <w:rPr>
            <w:rFonts w:asciiTheme="minorHAnsi" w:eastAsiaTheme="minorEastAsia" w:hAnsiTheme="minorHAnsi" w:cstheme="minorBidi"/>
            <w:noProof/>
            <w:sz w:val="22"/>
            <w:lang w:eastAsia="en-AU"/>
          </w:rPr>
          <w:tab/>
        </w:r>
        <w:r w:rsidR="000C648E" w:rsidRPr="0089282B">
          <w:rPr>
            <w:rStyle w:val="Hyperlink"/>
            <w:noProof/>
          </w:rPr>
          <w:t>Methods</w:t>
        </w:r>
        <w:r w:rsidR="000C648E">
          <w:rPr>
            <w:noProof/>
            <w:webHidden/>
          </w:rPr>
          <w:tab/>
        </w:r>
        <w:r w:rsidR="000C648E">
          <w:rPr>
            <w:noProof/>
            <w:webHidden/>
          </w:rPr>
          <w:fldChar w:fldCharType="begin"/>
        </w:r>
        <w:r w:rsidR="000C648E">
          <w:rPr>
            <w:noProof/>
            <w:webHidden/>
          </w:rPr>
          <w:instrText xml:space="preserve"> PAGEREF _Toc12365607 \h </w:instrText>
        </w:r>
        <w:r w:rsidR="000C648E">
          <w:rPr>
            <w:noProof/>
            <w:webHidden/>
          </w:rPr>
        </w:r>
        <w:r w:rsidR="000C648E">
          <w:rPr>
            <w:noProof/>
            <w:webHidden/>
          </w:rPr>
          <w:fldChar w:fldCharType="separate"/>
        </w:r>
        <w:r w:rsidR="00D528AA">
          <w:rPr>
            <w:noProof/>
            <w:webHidden/>
          </w:rPr>
          <w:t>68</w:t>
        </w:r>
        <w:r w:rsidR="000C648E">
          <w:rPr>
            <w:noProof/>
            <w:webHidden/>
          </w:rPr>
          <w:fldChar w:fldCharType="end"/>
        </w:r>
      </w:hyperlink>
    </w:p>
    <w:p w14:paraId="3ECCFF92" w14:textId="77777777" w:rsidR="000C648E" w:rsidRDefault="00740B55">
      <w:pPr>
        <w:pStyle w:val="TOC3"/>
        <w:rPr>
          <w:rFonts w:asciiTheme="minorHAnsi" w:eastAsiaTheme="minorEastAsia" w:hAnsiTheme="minorHAnsi" w:cstheme="minorBidi"/>
          <w:noProof/>
          <w:sz w:val="22"/>
          <w:lang w:eastAsia="en-AU"/>
        </w:rPr>
      </w:pPr>
      <w:hyperlink w:anchor="_Toc12365608" w:history="1">
        <w:r w:rsidR="000C648E" w:rsidRPr="0089282B">
          <w:rPr>
            <w:rStyle w:val="Hyperlink"/>
            <w:rFonts w:cs="Arial"/>
            <w:noProof/>
          </w:rPr>
          <w:t>6.2.1</w:t>
        </w:r>
        <w:r w:rsidR="000C648E">
          <w:rPr>
            <w:rFonts w:asciiTheme="minorHAnsi" w:eastAsiaTheme="minorEastAsia" w:hAnsiTheme="minorHAnsi" w:cstheme="minorBidi"/>
            <w:noProof/>
            <w:sz w:val="22"/>
            <w:lang w:eastAsia="en-AU"/>
          </w:rPr>
          <w:tab/>
        </w:r>
        <w:r w:rsidR="000C648E" w:rsidRPr="0089282B">
          <w:rPr>
            <w:rStyle w:val="Hyperlink"/>
            <w:rFonts w:cs="Arial"/>
            <w:noProof/>
          </w:rPr>
          <w:t>Sampling design</w:t>
        </w:r>
        <w:r w:rsidR="000C648E">
          <w:rPr>
            <w:noProof/>
            <w:webHidden/>
          </w:rPr>
          <w:tab/>
        </w:r>
        <w:r w:rsidR="000C648E">
          <w:rPr>
            <w:noProof/>
            <w:webHidden/>
          </w:rPr>
          <w:fldChar w:fldCharType="begin"/>
        </w:r>
        <w:r w:rsidR="000C648E">
          <w:rPr>
            <w:noProof/>
            <w:webHidden/>
          </w:rPr>
          <w:instrText xml:space="preserve"> PAGEREF _Toc12365608 \h </w:instrText>
        </w:r>
        <w:r w:rsidR="000C648E">
          <w:rPr>
            <w:noProof/>
            <w:webHidden/>
          </w:rPr>
        </w:r>
        <w:r w:rsidR="000C648E">
          <w:rPr>
            <w:noProof/>
            <w:webHidden/>
          </w:rPr>
          <w:fldChar w:fldCharType="separate"/>
        </w:r>
        <w:r w:rsidR="00D528AA">
          <w:rPr>
            <w:noProof/>
            <w:webHidden/>
          </w:rPr>
          <w:t>68</w:t>
        </w:r>
        <w:r w:rsidR="000C648E">
          <w:rPr>
            <w:noProof/>
            <w:webHidden/>
          </w:rPr>
          <w:fldChar w:fldCharType="end"/>
        </w:r>
      </w:hyperlink>
    </w:p>
    <w:p w14:paraId="59754A78" w14:textId="77777777" w:rsidR="000C648E" w:rsidRDefault="00740B55">
      <w:pPr>
        <w:pStyle w:val="TOC3"/>
        <w:rPr>
          <w:rFonts w:asciiTheme="minorHAnsi" w:eastAsiaTheme="minorEastAsia" w:hAnsiTheme="minorHAnsi" w:cstheme="minorBidi"/>
          <w:noProof/>
          <w:sz w:val="22"/>
          <w:lang w:eastAsia="en-AU"/>
        </w:rPr>
      </w:pPr>
      <w:hyperlink w:anchor="_Toc12365609" w:history="1">
        <w:r w:rsidR="000C648E" w:rsidRPr="0089282B">
          <w:rPr>
            <w:rStyle w:val="Hyperlink"/>
            <w:rFonts w:cs="Arial"/>
            <w:noProof/>
          </w:rPr>
          <w:t>6.2.2</w:t>
        </w:r>
        <w:r w:rsidR="000C648E">
          <w:rPr>
            <w:rFonts w:asciiTheme="minorHAnsi" w:eastAsiaTheme="minorEastAsia" w:hAnsiTheme="minorHAnsi" w:cstheme="minorBidi"/>
            <w:noProof/>
            <w:sz w:val="22"/>
            <w:lang w:eastAsia="en-AU"/>
          </w:rPr>
          <w:tab/>
        </w:r>
        <w:r w:rsidR="000C648E" w:rsidRPr="0089282B">
          <w:rPr>
            <w:rStyle w:val="Hyperlink"/>
            <w:rFonts w:cs="Arial"/>
            <w:noProof/>
          </w:rPr>
          <w:t>Field survey methods — Inshore seagrass meadow abundance, community structure and reproductive health</w:t>
        </w:r>
        <w:r w:rsidR="000C648E">
          <w:rPr>
            <w:noProof/>
            <w:webHidden/>
          </w:rPr>
          <w:tab/>
        </w:r>
        <w:r w:rsidR="000C648E">
          <w:rPr>
            <w:noProof/>
            <w:webHidden/>
          </w:rPr>
          <w:fldChar w:fldCharType="begin"/>
        </w:r>
        <w:r w:rsidR="000C648E">
          <w:rPr>
            <w:noProof/>
            <w:webHidden/>
          </w:rPr>
          <w:instrText xml:space="preserve"> PAGEREF _Toc12365609 \h </w:instrText>
        </w:r>
        <w:r w:rsidR="000C648E">
          <w:rPr>
            <w:noProof/>
            <w:webHidden/>
          </w:rPr>
        </w:r>
        <w:r w:rsidR="000C648E">
          <w:rPr>
            <w:noProof/>
            <w:webHidden/>
          </w:rPr>
          <w:fldChar w:fldCharType="separate"/>
        </w:r>
        <w:r w:rsidR="00D528AA">
          <w:rPr>
            <w:noProof/>
            <w:webHidden/>
          </w:rPr>
          <w:t>69</w:t>
        </w:r>
        <w:r w:rsidR="000C648E">
          <w:rPr>
            <w:noProof/>
            <w:webHidden/>
          </w:rPr>
          <w:fldChar w:fldCharType="end"/>
        </w:r>
      </w:hyperlink>
    </w:p>
    <w:p w14:paraId="03B6D3E9" w14:textId="77777777" w:rsidR="000C648E" w:rsidRDefault="00740B55">
      <w:pPr>
        <w:pStyle w:val="TOC3"/>
        <w:rPr>
          <w:rFonts w:asciiTheme="minorHAnsi" w:eastAsiaTheme="minorEastAsia" w:hAnsiTheme="minorHAnsi" w:cstheme="minorBidi"/>
          <w:noProof/>
          <w:sz w:val="22"/>
          <w:lang w:eastAsia="en-AU"/>
        </w:rPr>
      </w:pPr>
      <w:hyperlink w:anchor="_Toc12365610" w:history="1">
        <w:r w:rsidR="000C648E" w:rsidRPr="0089282B">
          <w:rPr>
            <w:rStyle w:val="Hyperlink"/>
            <w:rFonts w:cs="Arial"/>
            <w:noProof/>
          </w:rPr>
          <w:t>6.2.3</w:t>
        </w:r>
        <w:r w:rsidR="000C648E">
          <w:rPr>
            <w:rFonts w:asciiTheme="minorHAnsi" w:eastAsiaTheme="minorEastAsia" w:hAnsiTheme="minorHAnsi" w:cstheme="minorBidi"/>
            <w:noProof/>
            <w:sz w:val="22"/>
            <w:lang w:eastAsia="en-AU"/>
          </w:rPr>
          <w:tab/>
        </w:r>
        <w:r w:rsidR="000C648E" w:rsidRPr="0089282B">
          <w:rPr>
            <w:rStyle w:val="Hyperlink"/>
            <w:rFonts w:cs="Arial"/>
            <w:noProof/>
          </w:rPr>
          <w:t>Observer training</w:t>
        </w:r>
        <w:r w:rsidR="000C648E">
          <w:rPr>
            <w:noProof/>
            <w:webHidden/>
          </w:rPr>
          <w:tab/>
        </w:r>
        <w:r w:rsidR="000C648E">
          <w:rPr>
            <w:noProof/>
            <w:webHidden/>
          </w:rPr>
          <w:fldChar w:fldCharType="begin"/>
        </w:r>
        <w:r w:rsidR="000C648E">
          <w:rPr>
            <w:noProof/>
            <w:webHidden/>
          </w:rPr>
          <w:instrText xml:space="preserve"> PAGEREF _Toc12365610 \h </w:instrText>
        </w:r>
        <w:r w:rsidR="000C648E">
          <w:rPr>
            <w:noProof/>
            <w:webHidden/>
          </w:rPr>
        </w:r>
        <w:r w:rsidR="000C648E">
          <w:rPr>
            <w:noProof/>
            <w:webHidden/>
          </w:rPr>
          <w:fldChar w:fldCharType="separate"/>
        </w:r>
        <w:r w:rsidR="00D528AA">
          <w:rPr>
            <w:noProof/>
            <w:webHidden/>
          </w:rPr>
          <w:t>75</w:t>
        </w:r>
        <w:r w:rsidR="000C648E">
          <w:rPr>
            <w:noProof/>
            <w:webHidden/>
          </w:rPr>
          <w:fldChar w:fldCharType="end"/>
        </w:r>
      </w:hyperlink>
    </w:p>
    <w:p w14:paraId="17EC3DDB" w14:textId="77777777" w:rsidR="000C648E" w:rsidRDefault="00740B55">
      <w:pPr>
        <w:pStyle w:val="TOC3"/>
        <w:rPr>
          <w:rFonts w:asciiTheme="minorHAnsi" w:eastAsiaTheme="minorEastAsia" w:hAnsiTheme="minorHAnsi" w:cstheme="minorBidi"/>
          <w:noProof/>
          <w:sz w:val="22"/>
          <w:lang w:eastAsia="en-AU"/>
        </w:rPr>
      </w:pPr>
      <w:hyperlink w:anchor="_Toc12365611" w:history="1">
        <w:r w:rsidR="000C648E" w:rsidRPr="0089282B">
          <w:rPr>
            <w:rStyle w:val="Hyperlink"/>
            <w:rFonts w:cs="Arial"/>
            <w:noProof/>
          </w:rPr>
          <w:t>6.2.4</w:t>
        </w:r>
        <w:r w:rsidR="000C648E">
          <w:rPr>
            <w:rFonts w:asciiTheme="minorHAnsi" w:eastAsiaTheme="minorEastAsia" w:hAnsiTheme="minorHAnsi" w:cstheme="minorBidi"/>
            <w:noProof/>
            <w:sz w:val="22"/>
            <w:lang w:eastAsia="en-AU"/>
          </w:rPr>
          <w:tab/>
        </w:r>
        <w:r w:rsidR="000C648E" w:rsidRPr="0089282B">
          <w:rPr>
            <w:rStyle w:val="Hyperlink"/>
            <w:rFonts w:cs="Arial"/>
            <w:noProof/>
          </w:rPr>
          <w:t>Laboratory analysis — Inshore seagrass meadow abundance, community structure and reproductive health</w:t>
        </w:r>
        <w:r w:rsidR="000C648E">
          <w:rPr>
            <w:noProof/>
            <w:webHidden/>
          </w:rPr>
          <w:tab/>
        </w:r>
        <w:r w:rsidR="000C648E">
          <w:rPr>
            <w:noProof/>
            <w:webHidden/>
          </w:rPr>
          <w:fldChar w:fldCharType="begin"/>
        </w:r>
        <w:r w:rsidR="000C648E">
          <w:rPr>
            <w:noProof/>
            <w:webHidden/>
          </w:rPr>
          <w:instrText xml:space="preserve"> PAGEREF _Toc12365611 \h </w:instrText>
        </w:r>
        <w:r w:rsidR="000C648E">
          <w:rPr>
            <w:noProof/>
            <w:webHidden/>
          </w:rPr>
        </w:r>
        <w:r w:rsidR="000C648E">
          <w:rPr>
            <w:noProof/>
            <w:webHidden/>
          </w:rPr>
          <w:fldChar w:fldCharType="separate"/>
        </w:r>
        <w:r w:rsidR="00D528AA">
          <w:rPr>
            <w:noProof/>
            <w:webHidden/>
          </w:rPr>
          <w:t>75</w:t>
        </w:r>
        <w:r w:rsidR="000C648E">
          <w:rPr>
            <w:noProof/>
            <w:webHidden/>
          </w:rPr>
          <w:fldChar w:fldCharType="end"/>
        </w:r>
      </w:hyperlink>
    </w:p>
    <w:p w14:paraId="5D0DB47A" w14:textId="77777777" w:rsidR="000C648E" w:rsidRDefault="00740B55">
      <w:pPr>
        <w:pStyle w:val="TOC3"/>
        <w:rPr>
          <w:rFonts w:asciiTheme="minorHAnsi" w:eastAsiaTheme="minorEastAsia" w:hAnsiTheme="minorHAnsi" w:cstheme="minorBidi"/>
          <w:noProof/>
          <w:sz w:val="22"/>
          <w:lang w:eastAsia="en-AU"/>
        </w:rPr>
      </w:pPr>
      <w:hyperlink w:anchor="_Toc12365612" w:history="1">
        <w:r w:rsidR="000C648E" w:rsidRPr="0089282B">
          <w:rPr>
            <w:rStyle w:val="Hyperlink"/>
            <w:rFonts w:cs="Arial"/>
            <w:noProof/>
          </w:rPr>
          <w:t>6.2.5</w:t>
        </w:r>
        <w:r w:rsidR="000C648E">
          <w:rPr>
            <w:rFonts w:asciiTheme="minorHAnsi" w:eastAsiaTheme="minorEastAsia" w:hAnsiTheme="minorHAnsi" w:cstheme="minorBidi"/>
            <w:noProof/>
            <w:sz w:val="22"/>
            <w:lang w:eastAsia="en-AU"/>
          </w:rPr>
          <w:tab/>
        </w:r>
        <w:r w:rsidR="000C648E" w:rsidRPr="0089282B">
          <w:rPr>
            <w:rStyle w:val="Hyperlink"/>
            <w:rFonts w:cs="Arial"/>
            <w:noProof/>
          </w:rPr>
          <w:t>Sampling design – Inshore seagrass meadow landscape/boundary mapping</w:t>
        </w:r>
        <w:r w:rsidR="000C648E">
          <w:rPr>
            <w:noProof/>
            <w:webHidden/>
          </w:rPr>
          <w:tab/>
        </w:r>
        <w:r w:rsidR="000C648E">
          <w:rPr>
            <w:noProof/>
            <w:webHidden/>
          </w:rPr>
          <w:fldChar w:fldCharType="begin"/>
        </w:r>
        <w:r w:rsidR="000C648E">
          <w:rPr>
            <w:noProof/>
            <w:webHidden/>
          </w:rPr>
          <w:instrText xml:space="preserve"> PAGEREF _Toc12365612 \h </w:instrText>
        </w:r>
        <w:r w:rsidR="000C648E">
          <w:rPr>
            <w:noProof/>
            <w:webHidden/>
          </w:rPr>
        </w:r>
        <w:r w:rsidR="000C648E">
          <w:rPr>
            <w:noProof/>
            <w:webHidden/>
          </w:rPr>
          <w:fldChar w:fldCharType="separate"/>
        </w:r>
        <w:r w:rsidR="00D528AA">
          <w:rPr>
            <w:noProof/>
            <w:webHidden/>
          </w:rPr>
          <w:t>77</w:t>
        </w:r>
        <w:r w:rsidR="000C648E">
          <w:rPr>
            <w:noProof/>
            <w:webHidden/>
          </w:rPr>
          <w:fldChar w:fldCharType="end"/>
        </w:r>
      </w:hyperlink>
    </w:p>
    <w:p w14:paraId="71D195D1" w14:textId="77777777" w:rsidR="000C648E" w:rsidRDefault="00740B55">
      <w:pPr>
        <w:pStyle w:val="TOC3"/>
        <w:rPr>
          <w:rFonts w:asciiTheme="minorHAnsi" w:eastAsiaTheme="minorEastAsia" w:hAnsiTheme="minorHAnsi" w:cstheme="minorBidi"/>
          <w:noProof/>
          <w:sz w:val="22"/>
          <w:lang w:eastAsia="en-AU"/>
        </w:rPr>
      </w:pPr>
      <w:hyperlink w:anchor="_Toc12365613" w:history="1">
        <w:r w:rsidR="000C648E" w:rsidRPr="0089282B">
          <w:rPr>
            <w:rStyle w:val="Hyperlink"/>
            <w:rFonts w:cs="Arial"/>
            <w:noProof/>
          </w:rPr>
          <w:t>6.2.6</w:t>
        </w:r>
        <w:r w:rsidR="000C648E">
          <w:rPr>
            <w:rFonts w:asciiTheme="minorHAnsi" w:eastAsiaTheme="minorEastAsia" w:hAnsiTheme="minorHAnsi" w:cstheme="minorBidi"/>
            <w:noProof/>
            <w:sz w:val="22"/>
            <w:lang w:eastAsia="en-AU"/>
          </w:rPr>
          <w:tab/>
        </w:r>
        <w:r w:rsidR="000C648E" w:rsidRPr="0089282B">
          <w:rPr>
            <w:rStyle w:val="Hyperlink"/>
            <w:rFonts w:cs="Arial"/>
            <w:noProof/>
          </w:rPr>
          <w:t>Sampling design — Within seagrass canopy temperature loggers</w:t>
        </w:r>
        <w:r w:rsidR="000C648E">
          <w:rPr>
            <w:noProof/>
            <w:webHidden/>
          </w:rPr>
          <w:tab/>
        </w:r>
        <w:r w:rsidR="000C648E">
          <w:rPr>
            <w:noProof/>
            <w:webHidden/>
          </w:rPr>
          <w:fldChar w:fldCharType="begin"/>
        </w:r>
        <w:r w:rsidR="000C648E">
          <w:rPr>
            <w:noProof/>
            <w:webHidden/>
          </w:rPr>
          <w:instrText xml:space="preserve"> PAGEREF _Toc12365613 \h </w:instrText>
        </w:r>
        <w:r w:rsidR="000C648E">
          <w:rPr>
            <w:noProof/>
            <w:webHidden/>
          </w:rPr>
        </w:r>
        <w:r w:rsidR="000C648E">
          <w:rPr>
            <w:noProof/>
            <w:webHidden/>
          </w:rPr>
          <w:fldChar w:fldCharType="separate"/>
        </w:r>
        <w:r w:rsidR="00D528AA">
          <w:rPr>
            <w:noProof/>
            <w:webHidden/>
          </w:rPr>
          <w:t>78</w:t>
        </w:r>
        <w:r w:rsidR="000C648E">
          <w:rPr>
            <w:noProof/>
            <w:webHidden/>
          </w:rPr>
          <w:fldChar w:fldCharType="end"/>
        </w:r>
      </w:hyperlink>
    </w:p>
    <w:p w14:paraId="106D698A" w14:textId="77777777" w:rsidR="000C648E" w:rsidRDefault="00740B55">
      <w:pPr>
        <w:pStyle w:val="TOC3"/>
        <w:rPr>
          <w:rFonts w:asciiTheme="minorHAnsi" w:eastAsiaTheme="minorEastAsia" w:hAnsiTheme="minorHAnsi" w:cstheme="minorBidi"/>
          <w:noProof/>
          <w:sz w:val="22"/>
          <w:lang w:eastAsia="en-AU"/>
        </w:rPr>
      </w:pPr>
      <w:hyperlink w:anchor="_Toc12365614" w:history="1">
        <w:r w:rsidR="000C648E" w:rsidRPr="0089282B">
          <w:rPr>
            <w:rStyle w:val="Hyperlink"/>
            <w:rFonts w:cs="Arial"/>
            <w:noProof/>
          </w:rPr>
          <w:t>6.2.7</w:t>
        </w:r>
        <w:r w:rsidR="000C648E">
          <w:rPr>
            <w:rFonts w:asciiTheme="minorHAnsi" w:eastAsiaTheme="minorEastAsia" w:hAnsiTheme="minorHAnsi" w:cstheme="minorBidi"/>
            <w:noProof/>
            <w:sz w:val="22"/>
            <w:lang w:eastAsia="en-AU"/>
          </w:rPr>
          <w:tab/>
        </w:r>
        <w:r w:rsidR="000C648E" w:rsidRPr="0089282B">
          <w:rPr>
            <w:rStyle w:val="Hyperlink"/>
            <w:rFonts w:cs="Arial"/>
            <w:noProof/>
          </w:rPr>
          <w:t>Sampling design and logistics — Seagrass meadow canopy light loggers</w:t>
        </w:r>
        <w:r w:rsidR="000C648E">
          <w:rPr>
            <w:noProof/>
            <w:webHidden/>
          </w:rPr>
          <w:tab/>
        </w:r>
        <w:r w:rsidR="000C648E">
          <w:rPr>
            <w:noProof/>
            <w:webHidden/>
          </w:rPr>
          <w:fldChar w:fldCharType="begin"/>
        </w:r>
        <w:r w:rsidR="000C648E">
          <w:rPr>
            <w:noProof/>
            <w:webHidden/>
          </w:rPr>
          <w:instrText xml:space="preserve"> PAGEREF _Toc12365614 \h </w:instrText>
        </w:r>
        <w:r w:rsidR="000C648E">
          <w:rPr>
            <w:noProof/>
            <w:webHidden/>
          </w:rPr>
        </w:r>
        <w:r w:rsidR="000C648E">
          <w:rPr>
            <w:noProof/>
            <w:webHidden/>
          </w:rPr>
          <w:fldChar w:fldCharType="separate"/>
        </w:r>
        <w:r w:rsidR="00D528AA">
          <w:rPr>
            <w:noProof/>
            <w:webHidden/>
          </w:rPr>
          <w:t>79</w:t>
        </w:r>
        <w:r w:rsidR="000C648E">
          <w:rPr>
            <w:noProof/>
            <w:webHidden/>
          </w:rPr>
          <w:fldChar w:fldCharType="end"/>
        </w:r>
      </w:hyperlink>
    </w:p>
    <w:p w14:paraId="50769B4A" w14:textId="77777777" w:rsidR="000C648E" w:rsidRDefault="00740B55">
      <w:pPr>
        <w:pStyle w:val="TOC3"/>
        <w:rPr>
          <w:rFonts w:asciiTheme="minorHAnsi" w:eastAsiaTheme="minorEastAsia" w:hAnsiTheme="minorHAnsi" w:cstheme="minorBidi"/>
          <w:noProof/>
          <w:sz w:val="22"/>
          <w:lang w:eastAsia="en-AU"/>
        </w:rPr>
      </w:pPr>
      <w:hyperlink w:anchor="_Toc12365615" w:history="1">
        <w:r w:rsidR="000C648E" w:rsidRPr="0089282B">
          <w:rPr>
            <w:rStyle w:val="Hyperlink"/>
            <w:rFonts w:cs="Arial"/>
            <w:noProof/>
          </w:rPr>
          <w:t>6.2.8</w:t>
        </w:r>
        <w:r w:rsidR="000C648E">
          <w:rPr>
            <w:rFonts w:asciiTheme="minorHAnsi" w:eastAsiaTheme="minorEastAsia" w:hAnsiTheme="minorHAnsi" w:cstheme="minorBidi"/>
            <w:noProof/>
            <w:sz w:val="22"/>
            <w:lang w:eastAsia="en-AU"/>
          </w:rPr>
          <w:tab/>
        </w:r>
        <w:r w:rsidR="000C648E" w:rsidRPr="0089282B">
          <w:rPr>
            <w:rStyle w:val="Hyperlink"/>
            <w:rFonts w:cs="Arial"/>
            <w:noProof/>
          </w:rPr>
          <w:t>Calibration procedures — Seagrass meadow canopy light loggers</w:t>
        </w:r>
        <w:r w:rsidR="000C648E">
          <w:rPr>
            <w:noProof/>
            <w:webHidden/>
          </w:rPr>
          <w:tab/>
        </w:r>
        <w:r w:rsidR="000C648E">
          <w:rPr>
            <w:noProof/>
            <w:webHidden/>
          </w:rPr>
          <w:fldChar w:fldCharType="begin"/>
        </w:r>
        <w:r w:rsidR="000C648E">
          <w:rPr>
            <w:noProof/>
            <w:webHidden/>
          </w:rPr>
          <w:instrText xml:space="preserve"> PAGEREF _Toc12365615 \h </w:instrText>
        </w:r>
        <w:r w:rsidR="000C648E">
          <w:rPr>
            <w:noProof/>
            <w:webHidden/>
          </w:rPr>
        </w:r>
        <w:r w:rsidR="000C648E">
          <w:rPr>
            <w:noProof/>
            <w:webHidden/>
          </w:rPr>
          <w:fldChar w:fldCharType="separate"/>
        </w:r>
        <w:r w:rsidR="00D528AA">
          <w:rPr>
            <w:noProof/>
            <w:webHidden/>
          </w:rPr>
          <w:t>81</w:t>
        </w:r>
        <w:r w:rsidR="000C648E">
          <w:rPr>
            <w:noProof/>
            <w:webHidden/>
          </w:rPr>
          <w:fldChar w:fldCharType="end"/>
        </w:r>
      </w:hyperlink>
    </w:p>
    <w:p w14:paraId="71303CA6" w14:textId="77777777" w:rsidR="000C648E" w:rsidRDefault="00740B55">
      <w:pPr>
        <w:pStyle w:val="TOC2"/>
        <w:rPr>
          <w:rFonts w:asciiTheme="minorHAnsi" w:eastAsiaTheme="minorEastAsia" w:hAnsiTheme="minorHAnsi" w:cstheme="minorBidi"/>
          <w:noProof/>
          <w:sz w:val="22"/>
          <w:lang w:eastAsia="en-AU"/>
        </w:rPr>
      </w:pPr>
      <w:hyperlink w:anchor="_Toc12365616" w:history="1">
        <w:r w:rsidR="000C648E" w:rsidRPr="0089282B">
          <w:rPr>
            <w:rStyle w:val="Hyperlink"/>
            <w:noProof/>
          </w:rPr>
          <w:t>6.3</w:t>
        </w:r>
        <w:r w:rsidR="000C648E">
          <w:rPr>
            <w:rFonts w:asciiTheme="minorHAnsi" w:eastAsiaTheme="minorEastAsia" w:hAnsiTheme="minorHAnsi" w:cstheme="minorBidi"/>
            <w:noProof/>
            <w:sz w:val="22"/>
            <w:lang w:eastAsia="en-AU"/>
          </w:rPr>
          <w:tab/>
        </w:r>
        <w:r w:rsidR="000C648E" w:rsidRPr="0089282B">
          <w:rPr>
            <w:rStyle w:val="Hyperlink"/>
            <w:noProof/>
          </w:rPr>
          <w:t>Data management</w:t>
        </w:r>
        <w:r w:rsidR="000C648E">
          <w:rPr>
            <w:noProof/>
            <w:webHidden/>
          </w:rPr>
          <w:tab/>
        </w:r>
        <w:r w:rsidR="000C648E">
          <w:rPr>
            <w:noProof/>
            <w:webHidden/>
          </w:rPr>
          <w:fldChar w:fldCharType="begin"/>
        </w:r>
        <w:r w:rsidR="000C648E">
          <w:rPr>
            <w:noProof/>
            <w:webHidden/>
          </w:rPr>
          <w:instrText xml:space="preserve"> PAGEREF _Toc12365616 \h </w:instrText>
        </w:r>
        <w:r w:rsidR="000C648E">
          <w:rPr>
            <w:noProof/>
            <w:webHidden/>
          </w:rPr>
        </w:r>
        <w:r w:rsidR="000C648E">
          <w:rPr>
            <w:noProof/>
            <w:webHidden/>
          </w:rPr>
          <w:fldChar w:fldCharType="separate"/>
        </w:r>
        <w:r w:rsidR="00D528AA">
          <w:rPr>
            <w:noProof/>
            <w:webHidden/>
          </w:rPr>
          <w:t>82</w:t>
        </w:r>
        <w:r w:rsidR="000C648E">
          <w:rPr>
            <w:noProof/>
            <w:webHidden/>
          </w:rPr>
          <w:fldChar w:fldCharType="end"/>
        </w:r>
      </w:hyperlink>
    </w:p>
    <w:p w14:paraId="6293932E" w14:textId="77777777" w:rsidR="000C648E" w:rsidRDefault="00740B55">
      <w:pPr>
        <w:pStyle w:val="TOC3"/>
        <w:rPr>
          <w:rFonts w:asciiTheme="minorHAnsi" w:eastAsiaTheme="minorEastAsia" w:hAnsiTheme="minorHAnsi" w:cstheme="minorBidi"/>
          <w:noProof/>
          <w:sz w:val="22"/>
          <w:lang w:eastAsia="en-AU"/>
        </w:rPr>
      </w:pPr>
      <w:hyperlink w:anchor="_Toc12365617" w:history="1">
        <w:r w:rsidR="000C648E" w:rsidRPr="0089282B">
          <w:rPr>
            <w:rStyle w:val="Hyperlink"/>
            <w:rFonts w:cs="Arial"/>
            <w:noProof/>
          </w:rPr>
          <w:t>6.3.1</w:t>
        </w:r>
        <w:r w:rsidR="000C648E">
          <w:rPr>
            <w:rFonts w:asciiTheme="minorHAnsi" w:eastAsiaTheme="minorEastAsia" w:hAnsiTheme="minorHAnsi" w:cstheme="minorBidi"/>
            <w:noProof/>
            <w:sz w:val="22"/>
            <w:lang w:eastAsia="en-AU"/>
          </w:rPr>
          <w:tab/>
        </w:r>
        <w:r w:rsidR="000C648E" w:rsidRPr="0089282B">
          <w:rPr>
            <w:rStyle w:val="Hyperlink"/>
            <w:rFonts w:cs="Arial"/>
            <w:noProof/>
          </w:rPr>
          <w:t>Inshore seagrass meadow abundance, community structure and reproductive health</w:t>
        </w:r>
        <w:r w:rsidR="000C648E">
          <w:rPr>
            <w:noProof/>
            <w:webHidden/>
          </w:rPr>
          <w:tab/>
        </w:r>
        <w:r w:rsidR="000C648E">
          <w:rPr>
            <w:noProof/>
            <w:webHidden/>
          </w:rPr>
          <w:fldChar w:fldCharType="begin"/>
        </w:r>
        <w:r w:rsidR="000C648E">
          <w:rPr>
            <w:noProof/>
            <w:webHidden/>
          </w:rPr>
          <w:instrText xml:space="preserve"> PAGEREF _Toc12365617 \h </w:instrText>
        </w:r>
        <w:r w:rsidR="000C648E">
          <w:rPr>
            <w:noProof/>
            <w:webHidden/>
          </w:rPr>
        </w:r>
        <w:r w:rsidR="000C648E">
          <w:rPr>
            <w:noProof/>
            <w:webHidden/>
          </w:rPr>
          <w:fldChar w:fldCharType="separate"/>
        </w:r>
        <w:r w:rsidR="00D528AA">
          <w:rPr>
            <w:noProof/>
            <w:webHidden/>
          </w:rPr>
          <w:t>82</w:t>
        </w:r>
        <w:r w:rsidR="000C648E">
          <w:rPr>
            <w:noProof/>
            <w:webHidden/>
          </w:rPr>
          <w:fldChar w:fldCharType="end"/>
        </w:r>
      </w:hyperlink>
    </w:p>
    <w:p w14:paraId="528234AF" w14:textId="77777777" w:rsidR="000C648E" w:rsidRDefault="00740B55">
      <w:pPr>
        <w:pStyle w:val="TOC3"/>
        <w:rPr>
          <w:rFonts w:asciiTheme="minorHAnsi" w:eastAsiaTheme="minorEastAsia" w:hAnsiTheme="minorHAnsi" w:cstheme="minorBidi"/>
          <w:noProof/>
          <w:sz w:val="22"/>
          <w:lang w:eastAsia="en-AU"/>
        </w:rPr>
      </w:pPr>
      <w:hyperlink w:anchor="_Toc12365618" w:history="1">
        <w:r w:rsidR="000C648E" w:rsidRPr="0089282B">
          <w:rPr>
            <w:rStyle w:val="Hyperlink"/>
            <w:rFonts w:cs="Arial"/>
            <w:noProof/>
          </w:rPr>
          <w:t>6.3.2</w:t>
        </w:r>
        <w:r w:rsidR="000C648E">
          <w:rPr>
            <w:rFonts w:asciiTheme="minorHAnsi" w:eastAsiaTheme="minorEastAsia" w:hAnsiTheme="minorHAnsi" w:cstheme="minorBidi"/>
            <w:noProof/>
            <w:sz w:val="22"/>
            <w:lang w:eastAsia="en-AU"/>
          </w:rPr>
          <w:tab/>
        </w:r>
        <w:r w:rsidR="000C648E" w:rsidRPr="0089282B">
          <w:rPr>
            <w:rStyle w:val="Hyperlink"/>
            <w:rFonts w:cs="Arial"/>
            <w:noProof/>
          </w:rPr>
          <w:t>Inshore seagrass meadow boundary mapping</w:t>
        </w:r>
        <w:r w:rsidR="000C648E">
          <w:rPr>
            <w:noProof/>
            <w:webHidden/>
          </w:rPr>
          <w:tab/>
        </w:r>
        <w:r w:rsidR="000C648E">
          <w:rPr>
            <w:noProof/>
            <w:webHidden/>
          </w:rPr>
          <w:fldChar w:fldCharType="begin"/>
        </w:r>
        <w:r w:rsidR="000C648E">
          <w:rPr>
            <w:noProof/>
            <w:webHidden/>
          </w:rPr>
          <w:instrText xml:space="preserve"> PAGEREF _Toc12365618 \h </w:instrText>
        </w:r>
        <w:r w:rsidR="000C648E">
          <w:rPr>
            <w:noProof/>
            <w:webHidden/>
          </w:rPr>
        </w:r>
        <w:r w:rsidR="000C648E">
          <w:rPr>
            <w:noProof/>
            <w:webHidden/>
          </w:rPr>
          <w:fldChar w:fldCharType="separate"/>
        </w:r>
        <w:r w:rsidR="00D528AA">
          <w:rPr>
            <w:noProof/>
            <w:webHidden/>
          </w:rPr>
          <w:t>82</w:t>
        </w:r>
        <w:r w:rsidR="000C648E">
          <w:rPr>
            <w:noProof/>
            <w:webHidden/>
          </w:rPr>
          <w:fldChar w:fldCharType="end"/>
        </w:r>
      </w:hyperlink>
    </w:p>
    <w:p w14:paraId="682C09C5" w14:textId="77777777" w:rsidR="000C648E" w:rsidRDefault="00740B55">
      <w:pPr>
        <w:pStyle w:val="TOC3"/>
        <w:rPr>
          <w:rFonts w:asciiTheme="minorHAnsi" w:eastAsiaTheme="minorEastAsia" w:hAnsiTheme="minorHAnsi" w:cstheme="minorBidi"/>
          <w:noProof/>
          <w:sz w:val="22"/>
          <w:lang w:eastAsia="en-AU"/>
        </w:rPr>
      </w:pPr>
      <w:hyperlink w:anchor="_Toc12365619" w:history="1">
        <w:r w:rsidR="000C648E" w:rsidRPr="0089282B">
          <w:rPr>
            <w:rStyle w:val="Hyperlink"/>
            <w:rFonts w:cs="Arial"/>
            <w:noProof/>
          </w:rPr>
          <w:t>6.3.3</w:t>
        </w:r>
        <w:r w:rsidR="000C648E">
          <w:rPr>
            <w:rFonts w:asciiTheme="minorHAnsi" w:eastAsiaTheme="minorEastAsia" w:hAnsiTheme="minorHAnsi" w:cstheme="minorBidi"/>
            <w:noProof/>
            <w:sz w:val="22"/>
            <w:lang w:eastAsia="en-AU"/>
          </w:rPr>
          <w:tab/>
        </w:r>
        <w:r w:rsidR="000C648E" w:rsidRPr="0089282B">
          <w:rPr>
            <w:rStyle w:val="Hyperlink"/>
            <w:rFonts w:cs="Arial"/>
            <w:noProof/>
          </w:rPr>
          <w:t>Within seagrass canopy temperature loggers</w:t>
        </w:r>
        <w:r w:rsidR="000C648E">
          <w:rPr>
            <w:noProof/>
            <w:webHidden/>
          </w:rPr>
          <w:tab/>
        </w:r>
        <w:r w:rsidR="000C648E">
          <w:rPr>
            <w:noProof/>
            <w:webHidden/>
          </w:rPr>
          <w:fldChar w:fldCharType="begin"/>
        </w:r>
        <w:r w:rsidR="000C648E">
          <w:rPr>
            <w:noProof/>
            <w:webHidden/>
          </w:rPr>
          <w:instrText xml:space="preserve"> PAGEREF _Toc12365619 \h </w:instrText>
        </w:r>
        <w:r w:rsidR="000C648E">
          <w:rPr>
            <w:noProof/>
            <w:webHidden/>
          </w:rPr>
        </w:r>
        <w:r w:rsidR="000C648E">
          <w:rPr>
            <w:noProof/>
            <w:webHidden/>
          </w:rPr>
          <w:fldChar w:fldCharType="separate"/>
        </w:r>
        <w:r w:rsidR="00D528AA">
          <w:rPr>
            <w:noProof/>
            <w:webHidden/>
          </w:rPr>
          <w:t>83</w:t>
        </w:r>
        <w:r w:rsidR="000C648E">
          <w:rPr>
            <w:noProof/>
            <w:webHidden/>
          </w:rPr>
          <w:fldChar w:fldCharType="end"/>
        </w:r>
      </w:hyperlink>
    </w:p>
    <w:p w14:paraId="7C7FAF7E" w14:textId="77777777" w:rsidR="000C648E" w:rsidRDefault="00740B55">
      <w:pPr>
        <w:pStyle w:val="TOC3"/>
        <w:rPr>
          <w:rFonts w:asciiTheme="minorHAnsi" w:eastAsiaTheme="minorEastAsia" w:hAnsiTheme="minorHAnsi" w:cstheme="minorBidi"/>
          <w:noProof/>
          <w:sz w:val="22"/>
          <w:lang w:eastAsia="en-AU"/>
        </w:rPr>
      </w:pPr>
      <w:hyperlink w:anchor="_Toc12365620" w:history="1">
        <w:r w:rsidR="000C648E" w:rsidRPr="0089282B">
          <w:rPr>
            <w:rStyle w:val="Hyperlink"/>
            <w:rFonts w:cs="Arial"/>
            <w:noProof/>
          </w:rPr>
          <w:t>6.3.4</w:t>
        </w:r>
        <w:r w:rsidR="000C648E">
          <w:rPr>
            <w:rFonts w:asciiTheme="minorHAnsi" w:eastAsiaTheme="minorEastAsia" w:hAnsiTheme="minorHAnsi" w:cstheme="minorBidi"/>
            <w:noProof/>
            <w:sz w:val="22"/>
            <w:lang w:eastAsia="en-AU"/>
          </w:rPr>
          <w:tab/>
        </w:r>
        <w:r w:rsidR="000C648E" w:rsidRPr="0089282B">
          <w:rPr>
            <w:rStyle w:val="Hyperlink"/>
            <w:rFonts w:cs="Arial"/>
            <w:noProof/>
          </w:rPr>
          <w:t>Seagrass meadow canopy light loggers</w:t>
        </w:r>
        <w:r w:rsidR="000C648E">
          <w:rPr>
            <w:noProof/>
            <w:webHidden/>
          </w:rPr>
          <w:tab/>
        </w:r>
        <w:r w:rsidR="000C648E">
          <w:rPr>
            <w:noProof/>
            <w:webHidden/>
          </w:rPr>
          <w:fldChar w:fldCharType="begin"/>
        </w:r>
        <w:r w:rsidR="000C648E">
          <w:rPr>
            <w:noProof/>
            <w:webHidden/>
          </w:rPr>
          <w:instrText xml:space="preserve"> PAGEREF _Toc12365620 \h </w:instrText>
        </w:r>
        <w:r w:rsidR="000C648E">
          <w:rPr>
            <w:noProof/>
            <w:webHidden/>
          </w:rPr>
        </w:r>
        <w:r w:rsidR="000C648E">
          <w:rPr>
            <w:noProof/>
            <w:webHidden/>
          </w:rPr>
          <w:fldChar w:fldCharType="separate"/>
        </w:r>
        <w:r w:rsidR="00D528AA">
          <w:rPr>
            <w:noProof/>
            <w:webHidden/>
          </w:rPr>
          <w:t>83</w:t>
        </w:r>
        <w:r w:rsidR="000C648E">
          <w:rPr>
            <w:noProof/>
            <w:webHidden/>
          </w:rPr>
          <w:fldChar w:fldCharType="end"/>
        </w:r>
      </w:hyperlink>
    </w:p>
    <w:p w14:paraId="497C6850" w14:textId="77777777" w:rsidR="000C648E" w:rsidRDefault="00740B55">
      <w:pPr>
        <w:pStyle w:val="TOC2"/>
        <w:rPr>
          <w:rFonts w:asciiTheme="minorHAnsi" w:eastAsiaTheme="minorEastAsia" w:hAnsiTheme="minorHAnsi" w:cstheme="minorBidi"/>
          <w:noProof/>
          <w:sz w:val="22"/>
          <w:lang w:eastAsia="en-AU"/>
        </w:rPr>
      </w:pPr>
      <w:hyperlink w:anchor="_Toc12365621" w:history="1">
        <w:r w:rsidR="000C648E" w:rsidRPr="0089282B">
          <w:rPr>
            <w:rStyle w:val="Hyperlink"/>
            <w:noProof/>
          </w:rPr>
          <w:t>6.4</w:t>
        </w:r>
        <w:r w:rsidR="000C648E">
          <w:rPr>
            <w:rFonts w:asciiTheme="minorHAnsi" w:eastAsiaTheme="minorEastAsia" w:hAnsiTheme="minorHAnsi" w:cstheme="minorBidi"/>
            <w:noProof/>
            <w:sz w:val="22"/>
            <w:lang w:eastAsia="en-AU"/>
          </w:rPr>
          <w:tab/>
        </w:r>
        <w:r w:rsidR="000C648E" w:rsidRPr="0089282B">
          <w:rPr>
            <w:rStyle w:val="Hyperlink"/>
            <w:noProof/>
          </w:rPr>
          <w:t>Summary of Quality Control measures</w:t>
        </w:r>
        <w:r w:rsidR="000C648E">
          <w:rPr>
            <w:noProof/>
            <w:webHidden/>
          </w:rPr>
          <w:tab/>
        </w:r>
        <w:r w:rsidR="000C648E">
          <w:rPr>
            <w:noProof/>
            <w:webHidden/>
          </w:rPr>
          <w:fldChar w:fldCharType="begin"/>
        </w:r>
        <w:r w:rsidR="000C648E">
          <w:rPr>
            <w:noProof/>
            <w:webHidden/>
          </w:rPr>
          <w:instrText xml:space="preserve"> PAGEREF _Toc12365621 \h </w:instrText>
        </w:r>
        <w:r w:rsidR="000C648E">
          <w:rPr>
            <w:noProof/>
            <w:webHidden/>
          </w:rPr>
        </w:r>
        <w:r w:rsidR="000C648E">
          <w:rPr>
            <w:noProof/>
            <w:webHidden/>
          </w:rPr>
          <w:fldChar w:fldCharType="separate"/>
        </w:r>
        <w:r w:rsidR="00D528AA">
          <w:rPr>
            <w:noProof/>
            <w:webHidden/>
          </w:rPr>
          <w:t>83</w:t>
        </w:r>
        <w:r w:rsidR="000C648E">
          <w:rPr>
            <w:noProof/>
            <w:webHidden/>
          </w:rPr>
          <w:fldChar w:fldCharType="end"/>
        </w:r>
      </w:hyperlink>
    </w:p>
    <w:p w14:paraId="44BAA280" w14:textId="77777777" w:rsidR="000C648E" w:rsidRDefault="00740B55">
      <w:pPr>
        <w:pStyle w:val="TOC3"/>
        <w:rPr>
          <w:rFonts w:asciiTheme="minorHAnsi" w:eastAsiaTheme="minorEastAsia" w:hAnsiTheme="minorHAnsi" w:cstheme="minorBidi"/>
          <w:noProof/>
          <w:sz w:val="22"/>
          <w:lang w:eastAsia="en-AU"/>
        </w:rPr>
      </w:pPr>
      <w:hyperlink w:anchor="_Toc12365622" w:history="1">
        <w:r w:rsidR="000C648E" w:rsidRPr="0089282B">
          <w:rPr>
            <w:rStyle w:val="Hyperlink"/>
            <w:rFonts w:cs="Arial"/>
            <w:noProof/>
          </w:rPr>
          <w:t>6.4.1</w:t>
        </w:r>
        <w:r w:rsidR="000C648E">
          <w:rPr>
            <w:rFonts w:asciiTheme="minorHAnsi" w:eastAsiaTheme="minorEastAsia" w:hAnsiTheme="minorHAnsi" w:cstheme="minorBidi"/>
            <w:noProof/>
            <w:sz w:val="22"/>
            <w:lang w:eastAsia="en-AU"/>
          </w:rPr>
          <w:tab/>
        </w:r>
        <w:r w:rsidR="000C648E" w:rsidRPr="0089282B">
          <w:rPr>
            <w:rStyle w:val="Hyperlink"/>
            <w:rFonts w:cs="Arial"/>
            <w:noProof/>
          </w:rPr>
          <w:t>Inshore seagrass meadow abundance, community structure and reproductive health</w:t>
        </w:r>
        <w:r w:rsidR="000C648E">
          <w:rPr>
            <w:noProof/>
            <w:webHidden/>
          </w:rPr>
          <w:tab/>
        </w:r>
        <w:r w:rsidR="000C648E">
          <w:rPr>
            <w:noProof/>
            <w:webHidden/>
          </w:rPr>
          <w:fldChar w:fldCharType="begin"/>
        </w:r>
        <w:r w:rsidR="000C648E">
          <w:rPr>
            <w:noProof/>
            <w:webHidden/>
          </w:rPr>
          <w:instrText xml:space="preserve"> PAGEREF _Toc12365622 \h </w:instrText>
        </w:r>
        <w:r w:rsidR="000C648E">
          <w:rPr>
            <w:noProof/>
            <w:webHidden/>
          </w:rPr>
        </w:r>
        <w:r w:rsidR="000C648E">
          <w:rPr>
            <w:noProof/>
            <w:webHidden/>
          </w:rPr>
          <w:fldChar w:fldCharType="separate"/>
        </w:r>
        <w:r w:rsidR="00D528AA">
          <w:rPr>
            <w:noProof/>
            <w:webHidden/>
          </w:rPr>
          <w:t>83</w:t>
        </w:r>
        <w:r w:rsidR="000C648E">
          <w:rPr>
            <w:noProof/>
            <w:webHidden/>
          </w:rPr>
          <w:fldChar w:fldCharType="end"/>
        </w:r>
      </w:hyperlink>
    </w:p>
    <w:p w14:paraId="46F8CF62" w14:textId="77777777" w:rsidR="000C648E" w:rsidRDefault="00740B55">
      <w:pPr>
        <w:pStyle w:val="TOC3"/>
        <w:rPr>
          <w:rFonts w:asciiTheme="minorHAnsi" w:eastAsiaTheme="minorEastAsia" w:hAnsiTheme="minorHAnsi" w:cstheme="minorBidi"/>
          <w:noProof/>
          <w:sz w:val="22"/>
          <w:lang w:eastAsia="en-AU"/>
        </w:rPr>
      </w:pPr>
      <w:hyperlink w:anchor="_Toc12365623" w:history="1">
        <w:r w:rsidR="000C648E" w:rsidRPr="0089282B">
          <w:rPr>
            <w:rStyle w:val="Hyperlink"/>
            <w:rFonts w:cs="Arial"/>
            <w:noProof/>
          </w:rPr>
          <w:t>6.4.2</w:t>
        </w:r>
        <w:r w:rsidR="000C648E">
          <w:rPr>
            <w:rFonts w:asciiTheme="minorHAnsi" w:eastAsiaTheme="minorEastAsia" w:hAnsiTheme="minorHAnsi" w:cstheme="minorBidi"/>
            <w:noProof/>
            <w:sz w:val="22"/>
            <w:lang w:eastAsia="en-AU"/>
          </w:rPr>
          <w:tab/>
        </w:r>
        <w:r w:rsidR="000C648E" w:rsidRPr="0089282B">
          <w:rPr>
            <w:rStyle w:val="Hyperlink"/>
            <w:rFonts w:cs="Arial"/>
            <w:noProof/>
          </w:rPr>
          <w:t>Inshore seagrass meadow boundary mapping</w:t>
        </w:r>
        <w:r w:rsidR="000C648E">
          <w:rPr>
            <w:noProof/>
            <w:webHidden/>
          </w:rPr>
          <w:tab/>
        </w:r>
        <w:r w:rsidR="000C648E">
          <w:rPr>
            <w:noProof/>
            <w:webHidden/>
          </w:rPr>
          <w:fldChar w:fldCharType="begin"/>
        </w:r>
        <w:r w:rsidR="000C648E">
          <w:rPr>
            <w:noProof/>
            <w:webHidden/>
          </w:rPr>
          <w:instrText xml:space="preserve"> PAGEREF _Toc12365623 \h </w:instrText>
        </w:r>
        <w:r w:rsidR="000C648E">
          <w:rPr>
            <w:noProof/>
            <w:webHidden/>
          </w:rPr>
        </w:r>
        <w:r w:rsidR="000C648E">
          <w:rPr>
            <w:noProof/>
            <w:webHidden/>
          </w:rPr>
          <w:fldChar w:fldCharType="separate"/>
        </w:r>
        <w:r w:rsidR="00D528AA">
          <w:rPr>
            <w:noProof/>
            <w:webHidden/>
          </w:rPr>
          <w:t>83</w:t>
        </w:r>
        <w:r w:rsidR="000C648E">
          <w:rPr>
            <w:noProof/>
            <w:webHidden/>
          </w:rPr>
          <w:fldChar w:fldCharType="end"/>
        </w:r>
      </w:hyperlink>
    </w:p>
    <w:p w14:paraId="5238B5FF" w14:textId="77777777" w:rsidR="000C648E" w:rsidRDefault="00740B55">
      <w:pPr>
        <w:pStyle w:val="TOC3"/>
        <w:rPr>
          <w:rFonts w:asciiTheme="minorHAnsi" w:eastAsiaTheme="minorEastAsia" w:hAnsiTheme="minorHAnsi" w:cstheme="minorBidi"/>
          <w:noProof/>
          <w:sz w:val="22"/>
          <w:lang w:eastAsia="en-AU"/>
        </w:rPr>
      </w:pPr>
      <w:hyperlink w:anchor="_Toc12365624" w:history="1">
        <w:r w:rsidR="000C648E" w:rsidRPr="0089282B">
          <w:rPr>
            <w:rStyle w:val="Hyperlink"/>
            <w:rFonts w:cs="Arial"/>
            <w:noProof/>
          </w:rPr>
          <w:t>6.4.3</w:t>
        </w:r>
        <w:r w:rsidR="000C648E">
          <w:rPr>
            <w:rFonts w:asciiTheme="minorHAnsi" w:eastAsiaTheme="minorEastAsia" w:hAnsiTheme="minorHAnsi" w:cstheme="minorBidi"/>
            <w:noProof/>
            <w:sz w:val="22"/>
            <w:lang w:eastAsia="en-AU"/>
          </w:rPr>
          <w:tab/>
        </w:r>
        <w:r w:rsidR="000C648E" w:rsidRPr="0089282B">
          <w:rPr>
            <w:rStyle w:val="Hyperlink"/>
            <w:rFonts w:cs="Arial"/>
            <w:noProof/>
          </w:rPr>
          <w:t>Within seagrass canopy temperature loggers</w:t>
        </w:r>
        <w:r w:rsidR="000C648E">
          <w:rPr>
            <w:noProof/>
            <w:webHidden/>
          </w:rPr>
          <w:tab/>
        </w:r>
        <w:r w:rsidR="000C648E">
          <w:rPr>
            <w:noProof/>
            <w:webHidden/>
          </w:rPr>
          <w:fldChar w:fldCharType="begin"/>
        </w:r>
        <w:r w:rsidR="000C648E">
          <w:rPr>
            <w:noProof/>
            <w:webHidden/>
          </w:rPr>
          <w:instrText xml:space="preserve"> PAGEREF _Toc12365624 \h </w:instrText>
        </w:r>
        <w:r w:rsidR="000C648E">
          <w:rPr>
            <w:noProof/>
            <w:webHidden/>
          </w:rPr>
        </w:r>
        <w:r w:rsidR="000C648E">
          <w:rPr>
            <w:noProof/>
            <w:webHidden/>
          </w:rPr>
          <w:fldChar w:fldCharType="separate"/>
        </w:r>
        <w:r w:rsidR="00D528AA">
          <w:rPr>
            <w:noProof/>
            <w:webHidden/>
          </w:rPr>
          <w:t>84</w:t>
        </w:r>
        <w:r w:rsidR="000C648E">
          <w:rPr>
            <w:noProof/>
            <w:webHidden/>
          </w:rPr>
          <w:fldChar w:fldCharType="end"/>
        </w:r>
      </w:hyperlink>
    </w:p>
    <w:p w14:paraId="64AAD7D8" w14:textId="77777777" w:rsidR="000C648E" w:rsidRDefault="00740B55">
      <w:pPr>
        <w:pStyle w:val="TOC3"/>
        <w:rPr>
          <w:rFonts w:asciiTheme="minorHAnsi" w:eastAsiaTheme="minorEastAsia" w:hAnsiTheme="minorHAnsi" w:cstheme="minorBidi"/>
          <w:noProof/>
          <w:sz w:val="22"/>
          <w:lang w:eastAsia="en-AU"/>
        </w:rPr>
      </w:pPr>
      <w:hyperlink w:anchor="_Toc12365625" w:history="1">
        <w:r w:rsidR="000C648E" w:rsidRPr="0089282B">
          <w:rPr>
            <w:rStyle w:val="Hyperlink"/>
            <w:rFonts w:cs="Arial"/>
            <w:noProof/>
          </w:rPr>
          <w:t>6.4.4</w:t>
        </w:r>
        <w:r w:rsidR="000C648E">
          <w:rPr>
            <w:rFonts w:asciiTheme="minorHAnsi" w:eastAsiaTheme="minorEastAsia" w:hAnsiTheme="minorHAnsi" w:cstheme="minorBidi"/>
            <w:noProof/>
            <w:sz w:val="22"/>
            <w:lang w:eastAsia="en-AU"/>
          </w:rPr>
          <w:tab/>
        </w:r>
        <w:r w:rsidR="000C648E" w:rsidRPr="0089282B">
          <w:rPr>
            <w:rStyle w:val="Hyperlink"/>
            <w:rFonts w:cs="Arial"/>
            <w:noProof/>
          </w:rPr>
          <w:t>Seagrass meadow canopy light loggers</w:t>
        </w:r>
        <w:r w:rsidR="000C648E">
          <w:rPr>
            <w:noProof/>
            <w:webHidden/>
          </w:rPr>
          <w:tab/>
        </w:r>
        <w:r w:rsidR="000C648E">
          <w:rPr>
            <w:noProof/>
            <w:webHidden/>
          </w:rPr>
          <w:fldChar w:fldCharType="begin"/>
        </w:r>
        <w:r w:rsidR="000C648E">
          <w:rPr>
            <w:noProof/>
            <w:webHidden/>
          </w:rPr>
          <w:instrText xml:space="preserve"> PAGEREF _Toc12365625 \h </w:instrText>
        </w:r>
        <w:r w:rsidR="000C648E">
          <w:rPr>
            <w:noProof/>
            <w:webHidden/>
          </w:rPr>
        </w:r>
        <w:r w:rsidR="000C648E">
          <w:rPr>
            <w:noProof/>
            <w:webHidden/>
          </w:rPr>
          <w:fldChar w:fldCharType="separate"/>
        </w:r>
        <w:r w:rsidR="00D528AA">
          <w:rPr>
            <w:noProof/>
            <w:webHidden/>
          </w:rPr>
          <w:t>84</w:t>
        </w:r>
        <w:r w:rsidR="000C648E">
          <w:rPr>
            <w:noProof/>
            <w:webHidden/>
          </w:rPr>
          <w:fldChar w:fldCharType="end"/>
        </w:r>
      </w:hyperlink>
    </w:p>
    <w:p w14:paraId="09275C01" w14:textId="77777777" w:rsidR="000C648E" w:rsidRDefault="00740B55">
      <w:pPr>
        <w:pStyle w:val="TOC1"/>
        <w:rPr>
          <w:rFonts w:asciiTheme="minorHAnsi" w:eastAsiaTheme="minorEastAsia" w:hAnsiTheme="minorHAnsi" w:cstheme="minorBidi"/>
          <w:b w:val="0"/>
          <w:lang w:eastAsia="en-AU"/>
        </w:rPr>
      </w:pPr>
      <w:hyperlink w:anchor="_Toc12365626" w:history="1">
        <w:r w:rsidR="000C648E" w:rsidRPr="0089282B">
          <w:rPr>
            <w:rStyle w:val="Hyperlink"/>
          </w:rPr>
          <w:t>7</w:t>
        </w:r>
        <w:r w:rsidR="000C648E">
          <w:rPr>
            <w:rFonts w:asciiTheme="minorHAnsi" w:eastAsiaTheme="minorEastAsia" w:hAnsiTheme="minorHAnsi" w:cstheme="minorBidi"/>
            <w:b w:val="0"/>
            <w:lang w:eastAsia="en-AU"/>
          </w:rPr>
          <w:tab/>
        </w:r>
        <w:r w:rsidR="000C648E" w:rsidRPr="0089282B">
          <w:rPr>
            <w:rStyle w:val="Hyperlink"/>
          </w:rPr>
          <w:t>References</w:t>
        </w:r>
        <w:r w:rsidR="000C648E">
          <w:rPr>
            <w:webHidden/>
          </w:rPr>
          <w:tab/>
        </w:r>
        <w:r w:rsidR="000C648E">
          <w:rPr>
            <w:webHidden/>
          </w:rPr>
          <w:fldChar w:fldCharType="begin"/>
        </w:r>
        <w:r w:rsidR="000C648E">
          <w:rPr>
            <w:webHidden/>
          </w:rPr>
          <w:instrText xml:space="preserve"> PAGEREF _Toc12365626 \h </w:instrText>
        </w:r>
        <w:r w:rsidR="000C648E">
          <w:rPr>
            <w:webHidden/>
          </w:rPr>
        </w:r>
        <w:r w:rsidR="000C648E">
          <w:rPr>
            <w:webHidden/>
          </w:rPr>
          <w:fldChar w:fldCharType="separate"/>
        </w:r>
        <w:r w:rsidR="00D528AA">
          <w:rPr>
            <w:webHidden/>
          </w:rPr>
          <w:t>85</w:t>
        </w:r>
        <w:r w:rsidR="000C648E">
          <w:rPr>
            <w:webHidden/>
          </w:rPr>
          <w:fldChar w:fldCharType="end"/>
        </w:r>
      </w:hyperlink>
    </w:p>
    <w:p w14:paraId="4601405F" w14:textId="77777777" w:rsidR="000C648E" w:rsidRDefault="00740B55">
      <w:pPr>
        <w:pStyle w:val="TOC1"/>
        <w:rPr>
          <w:rFonts w:asciiTheme="minorHAnsi" w:eastAsiaTheme="minorEastAsia" w:hAnsiTheme="minorHAnsi" w:cstheme="minorBidi"/>
          <w:b w:val="0"/>
          <w:lang w:eastAsia="en-AU"/>
        </w:rPr>
      </w:pPr>
      <w:hyperlink w:anchor="_Toc12365627" w:history="1">
        <w:r w:rsidR="000C648E" w:rsidRPr="0089282B">
          <w:rPr>
            <w:rStyle w:val="Hyperlink"/>
            <w:rFonts w:eastAsia="Times New Roman"/>
            <w:bCs/>
          </w:rPr>
          <w:t>Appendix</w:t>
        </w:r>
        <w:r w:rsidR="000C648E" w:rsidRPr="0089282B">
          <w:rPr>
            <w:rStyle w:val="Hyperlink"/>
            <w:rFonts w:eastAsia="Times New Roman"/>
            <w:bCs/>
            <w:spacing w:val="-14"/>
          </w:rPr>
          <w:t xml:space="preserve"> </w:t>
        </w:r>
        <w:r w:rsidR="000C648E" w:rsidRPr="0089282B">
          <w:rPr>
            <w:rStyle w:val="Hyperlink"/>
            <w:rFonts w:eastAsia="Times New Roman"/>
            <w:bCs/>
          </w:rPr>
          <w:t>A</w:t>
        </w:r>
        <w:r w:rsidR="000C648E" w:rsidRPr="0089282B">
          <w:rPr>
            <w:rStyle w:val="Hyperlink"/>
            <w:rFonts w:eastAsia="Times New Roman"/>
            <w:bCs/>
            <w:spacing w:val="25"/>
            <w:w w:val="99"/>
          </w:rPr>
          <w:t xml:space="preserve"> </w:t>
        </w:r>
        <w:r w:rsidR="000C648E" w:rsidRPr="0089282B">
          <w:rPr>
            <w:rStyle w:val="Hyperlink"/>
            <w:rFonts w:eastAsia="Times New Roman"/>
            <w:bCs/>
          </w:rPr>
          <w:t>Detailed</w:t>
        </w:r>
        <w:r w:rsidR="000C648E" w:rsidRPr="0089282B">
          <w:rPr>
            <w:rStyle w:val="Hyperlink"/>
            <w:rFonts w:eastAsia="Times New Roman"/>
            <w:bCs/>
            <w:spacing w:val="-12"/>
          </w:rPr>
          <w:t xml:space="preserve"> </w:t>
        </w:r>
        <w:r w:rsidR="000C648E" w:rsidRPr="0089282B">
          <w:rPr>
            <w:rStyle w:val="Hyperlink"/>
            <w:rFonts w:eastAsia="Times New Roman"/>
            <w:bCs/>
          </w:rPr>
          <w:t>AIMS</w:t>
        </w:r>
        <w:r w:rsidR="000C648E" w:rsidRPr="0089282B">
          <w:rPr>
            <w:rStyle w:val="Hyperlink"/>
            <w:rFonts w:eastAsia="Times New Roman"/>
            <w:bCs/>
            <w:spacing w:val="-13"/>
          </w:rPr>
          <w:t xml:space="preserve"> </w:t>
        </w:r>
        <w:r w:rsidR="000C648E" w:rsidRPr="0089282B">
          <w:rPr>
            <w:rStyle w:val="Hyperlink"/>
            <w:rFonts w:eastAsia="Times New Roman"/>
            <w:bCs/>
          </w:rPr>
          <w:t>Manuals</w:t>
        </w:r>
        <w:r w:rsidR="000C648E" w:rsidRPr="0089282B">
          <w:rPr>
            <w:rStyle w:val="Hyperlink"/>
            <w:rFonts w:eastAsia="Times New Roman"/>
            <w:bCs/>
            <w:spacing w:val="-12"/>
          </w:rPr>
          <w:t xml:space="preserve"> a</w:t>
        </w:r>
        <w:r w:rsidR="000C648E" w:rsidRPr="0089282B">
          <w:rPr>
            <w:rStyle w:val="Hyperlink"/>
            <w:rFonts w:eastAsia="Times New Roman"/>
            <w:bCs/>
          </w:rPr>
          <w:t>nd Standard</w:t>
        </w:r>
        <w:r w:rsidR="000C648E" w:rsidRPr="0089282B">
          <w:rPr>
            <w:rStyle w:val="Hyperlink"/>
            <w:rFonts w:eastAsia="Times New Roman"/>
            <w:bCs/>
            <w:spacing w:val="-17"/>
          </w:rPr>
          <w:t xml:space="preserve"> </w:t>
        </w:r>
        <w:r w:rsidR="000C648E" w:rsidRPr="0089282B">
          <w:rPr>
            <w:rStyle w:val="Hyperlink"/>
            <w:rFonts w:eastAsia="Times New Roman"/>
            <w:bCs/>
            <w:spacing w:val="-1"/>
          </w:rPr>
          <w:t>Operational</w:t>
        </w:r>
        <w:r w:rsidR="000C648E" w:rsidRPr="0089282B">
          <w:rPr>
            <w:rStyle w:val="Hyperlink"/>
            <w:rFonts w:eastAsia="Times New Roman"/>
            <w:bCs/>
            <w:spacing w:val="-16"/>
          </w:rPr>
          <w:t xml:space="preserve"> </w:t>
        </w:r>
        <w:r w:rsidR="000C648E" w:rsidRPr="0089282B">
          <w:rPr>
            <w:rStyle w:val="Hyperlink"/>
            <w:rFonts w:eastAsia="Times New Roman"/>
            <w:bCs/>
            <w:spacing w:val="-1"/>
          </w:rPr>
          <w:t>Procedures</w:t>
        </w:r>
        <w:r w:rsidR="000C648E">
          <w:rPr>
            <w:webHidden/>
          </w:rPr>
          <w:tab/>
        </w:r>
        <w:r w:rsidR="000C648E">
          <w:rPr>
            <w:webHidden/>
          </w:rPr>
          <w:fldChar w:fldCharType="begin"/>
        </w:r>
        <w:r w:rsidR="000C648E">
          <w:rPr>
            <w:webHidden/>
          </w:rPr>
          <w:instrText xml:space="preserve"> PAGEREF _Toc12365627 \h </w:instrText>
        </w:r>
        <w:r w:rsidR="000C648E">
          <w:rPr>
            <w:webHidden/>
          </w:rPr>
        </w:r>
        <w:r w:rsidR="000C648E">
          <w:rPr>
            <w:webHidden/>
          </w:rPr>
          <w:fldChar w:fldCharType="separate"/>
        </w:r>
        <w:r w:rsidR="00D528AA">
          <w:rPr>
            <w:webHidden/>
          </w:rPr>
          <w:t>91</w:t>
        </w:r>
        <w:r w:rsidR="000C648E">
          <w:rPr>
            <w:webHidden/>
          </w:rPr>
          <w:fldChar w:fldCharType="end"/>
        </w:r>
      </w:hyperlink>
    </w:p>
    <w:p w14:paraId="390F4438" w14:textId="77777777" w:rsidR="000C648E" w:rsidRDefault="00740B55">
      <w:pPr>
        <w:pStyle w:val="TOC2"/>
        <w:rPr>
          <w:rFonts w:asciiTheme="minorHAnsi" w:eastAsiaTheme="minorEastAsia" w:hAnsiTheme="minorHAnsi" w:cstheme="minorBidi"/>
          <w:noProof/>
          <w:sz w:val="22"/>
          <w:lang w:eastAsia="en-AU"/>
        </w:rPr>
      </w:pPr>
      <w:hyperlink w:anchor="_Toc12365628" w:history="1">
        <w:r w:rsidR="000C648E" w:rsidRPr="0089282B">
          <w:rPr>
            <w:rStyle w:val="Hyperlink"/>
            <w:noProof/>
          </w:rPr>
          <w:t>Section A1: Operating instructions for the AIMS Sea-Bird CTD</w:t>
        </w:r>
        <w:r w:rsidR="000C648E">
          <w:rPr>
            <w:noProof/>
            <w:webHidden/>
          </w:rPr>
          <w:tab/>
        </w:r>
        <w:r w:rsidR="000C648E">
          <w:rPr>
            <w:noProof/>
            <w:webHidden/>
          </w:rPr>
          <w:fldChar w:fldCharType="begin"/>
        </w:r>
        <w:r w:rsidR="000C648E">
          <w:rPr>
            <w:noProof/>
            <w:webHidden/>
          </w:rPr>
          <w:instrText xml:space="preserve"> PAGEREF _Toc12365628 \h </w:instrText>
        </w:r>
        <w:r w:rsidR="000C648E">
          <w:rPr>
            <w:noProof/>
            <w:webHidden/>
          </w:rPr>
        </w:r>
        <w:r w:rsidR="000C648E">
          <w:rPr>
            <w:noProof/>
            <w:webHidden/>
          </w:rPr>
          <w:fldChar w:fldCharType="separate"/>
        </w:r>
        <w:r w:rsidR="00D528AA">
          <w:rPr>
            <w:noProof/>
            <w:webHidden/>
          </w:rPr>
          <w:t>2</w:t>
        </w:r>
        <w:r w:rsidR="000C648E">
          <w:rPr>
            <w:noProof/>
            <w:webHidden/>
          </w:rPr>
          <w:fldChar w:fldCharType="end"/>
        </w:r>
      </w:hyperlink>
    </w:p>
    <w:p w14:paraId="19B8EBAB" w14:textId="77777777" w:rsidR="000C648E" w:rsidRDefault="00740B55">
      <w:pPr>
        <w:pStyle w:val="TOC2"/>
        <w:rPr>
          <w:rFonts w:asciiTheme="minorHAnsi" w:eastAsiaTheme="minorEastAsia" w:hAnsiTheme="minorHAnsi" w:cstheme="minorBidi"/>
          <w:noProof/>
          <w:sz w:val="22"/>
          <w:lang w:eastAsia="en-AU"/>
        </w:rPr>
      </w:pPr>
      <w:hyperlink w:anchor="_Toc12365629" w:history="1">
        <w:r w:rsidR="000C648E" w:rsidRPr="0089282B">
          <w:rPr>
            <w:rStyle w:val="Hyperlink"/>
            <w:noProof/>
          </w:rPr>
          <w:t>Section A2: Salinity measurements using Guildline Portasal Salinometer Model 8410A</w:t>
        </w:r>
        <w:r w:rsidR="000C648E">
          <w:rPr>
            <w:noProof/>
            <w:webHidden/>
          </w:rPr>
          <w:tab/>
        </w:r>
        <w:r w:rsidR="000C648E">
          <w:rPr>
            <w:noProof/>
            <w:webHidden/>
          </w:rPr>
          <w:fldChar w:fldCharType="begin"/>
        </w:r>
        <w:r w:rsidR="000C648E">
          <w:rPr>
            <w:noProof/>
            <w:webHidden/>
          </w:rPr>
          <w:instrText xml:space="preserve"> PAGEREF _Toc12365629 \h </w:instrText>
        </w:r>
        <w:r w:rsidR="000C648E">
          <w:rPr>
            <w:noProof/>
            <w:webHidden/>
          </w:rPr>
        </w:r>
        <w:r w:rsidR="000C648E">
          <w:rPr>
            <w:noProof/>
            <w:webHidden/>
          </w:rPr>
          <w:fldChar w:fldCharType="separate"/>
        </w:r>
        <w:r w:rsidR="00D528AA">
          <w:rPr>
            <w:noProof/>
            <w:webHidden/>
          </w:rPr>
          <w:t>7</w:t>
        </w:r>
        <w:r w:rsidR="000C648E">
          <w:rPr>
            <w:noProof/>
            <w:webHidden/>
          </w:rPr>
          <w:fldChar w:fldCharType="end"/>
        </w:r>
      </w:hyperlink>
    </w:p>
    <w:p w14:paraId="6635B1FF" w14:textId="77777777" w:rsidR="000C648E" w:rsidRDefault="00740B55">
      <w:pPr>
        <w:pStyle w:val="TOC2"/>
        <w:rPr>
          <w:rFonts w:asciiTheme="minorHAnsi" w:eastAsiaTheme="minorEastAsia" w:hAnsiTheme="minorHAnsi" w:cstheme="minorBidi"/>
          <w:noProof/>
          <w:sz w:val="22"/>
          <w:lang w:eastAsia="en-AU"/>
        </w:rPr>
      </w:pPr>
      <w:hyperlink w:anchor="_Toc12365630" w:history="1">
        <w:r w:rsidR="000C648E" w:rsidRPr="0089282B">
          <w:rPr>
            <w:rStyle w:val="Hyperlink"/>
            <w:noProof/>
          </w:rPr>
          <w:t>Section A3: Automated analysis of dissolved nutrients in seawater</w:t>
        </w:r>
        <w:r w:rsidR="000C648E">
          <w:rPr>
            <w:noProof/>
            <w:webHidden/>
          </w:rPr>
          <w:tab/>
        </w:r>
        <w:r w:rsidR="000C648E">
          <w:rPr>
            <w:noProof/>
            <w:webHidden/>
          </w:rPr>
          <w:fldChar w:fldCharType="begin"/>
        </w:r>
        <w:r w:rsidR="000C648E">
          <w:rPr>
            <w:noProof/>
            <w:webHidden/>
          </w:rPr>
          <w:instrText xml:space="preserve"> PAGEREF _Toc12365630 \h </w:instrText>
        </w:r>
        <w:r w:rsidR="000C648E">
          <w:rPr>
            <w:noProof/>
            <w:webHidden/>
          </w:rPr>
        </w:r>
        <w:r w:rsidR="000C648E">
          <w:rPr>
            <w:noProof/>
            <w:webHidden/>
          </w:rPr>
          <w:fldChar w:fldCharType="separate"/>
        </w:r>
        <w:r w:rsidR="00D528AA">
          <w:rPr>
            <w:noProof/>
            <w:webHidden/>
          </w:rPr>
          <w:t>14</w:t>
        </w:r>
        <w:r w:rsidR="000C648E">
          <w:rPr>
            <w:noProof/>
            <w:webHidden/>
          </w:rPr>
          <w:fldChar w:fldCharType="end"/>
        </w:r>
      </w:hyperlink>
    </w:p>
    <w:p w14:paraId="34FA6A4A" w14:textId="77777777" w:rsidR="000C648E" w:rsidRDefault="00740B55">
      <w:pPr>
        <w:pStyle w:val="TOC2"/>
        <w:rPr>
          <w:rFonts w:asciiTheme="minorHAnsi" w:eastAsiaTheme="minorEastAsia" w:hAnsiTheme="minorHAnsi" w:cstheme="minorBidi"/>
          <w:noProof/>
          <w:sz w:val="22"/>
          <w:lang w:eastAsia="en-AU"/>
        </w:rPr>
      </w:pPr>
      <w:hyperlink w:anchor="_Toc12365631" w:history="1">
        <w:r w:rsidR="000C648E" w:rsidRPr="0089282B">
          <w:rPr>
            <w:rStyle w:val="Hyperlink"/>
            <w:noProof/>
          </w:rPr>
          <w:t>Section A4: Ship board ammonium analysis using the OPA method</w:t>
        </w:r>
        <w:r w:rsidR="000C648E">
          <w:rPr>
            <w:noProof/>
            <w:webHidden/>
          </w:rPr>
          <w:tab/>
        </w:r>
        <w:r w:rsidR="000C648E">
          <w:rPr>
            <w:noProof/>
            <w:webHidden/>
          </w:rPr>
          <w:fldChar w:fldCharType="begin"/>
        </w:r>
        <w:r w:rsidR="000C648E">
          <w:rPr>
            <w:noProof/>
            <w:webHidden/>
          </w:rPr>
          <w:instrText xml:space="preserve"> PAGEREF _Toc12365631 \h </w:instrText>
        </w:r>
        <w:r w:rsidR="000C648E">
          <w:rPr>
            <w:noProof/>
            <w:webHidden/>
          </w:rPr>
        </w:r>
        <w:r w:rsidR="000C648E">
          <w:rPr>
            <w:noProof/>
            <w:webHidden/>
          </w:rPr>
          <w:fldChar w:fldCharType="separate"/>
        </w:r>
        <w:r w:rsidR="00D528AA">
          <w:rPr>
            <w:noProof/>
            <w:webHidden/>
          </w:rPr>
          <w:t>22</w:t>
        </w:r>
        <w:r w:rsidR="000C648E">
          <w:rPr>
            <w:noProof/>
            <w:webHidden/>
          </w:rPr>
          <w:fldChar w:fldCharType="end"/>
        </w:r>
      </w:hyperlink>
    </w:p>
    <w:p w14:paraId="05CC6CE2" w14:textId="77777777" w:rsidR="000C648E" w:rsidRDefault="00740B55">
      <w:pPr>
        <w:pStyle w:val="TOC2"/>
        <w:rPr>
          <w:rFonts w:asciiTheme="minorHAnsi" w:eastAsiaTheme="minorEastAsia" w:hAnsiTheme="minorHAnsi" w:cstheme="minorBidi"/>
          <w:noProof/>
          <w:sz w:val="22"/>
          <w:lang w:eastAsia="en-AU"/>
        </w:rPr>
      </w:pPr>
      <w:hyperlink w:anchor="_Toc12365632" w:history="1">
        <w:r w:rsidR="000C648E" w:rsidRPr="0089282B">
          <w:rPr>
            <w:rStyle w:val="Hyperlink"/>
            <w:noProof/>
          </w:rPr>
          <w:t>Section A5: Analysis of dissolved organic carbon</w:t>
        </w:r>
        <w:r w:rsidR="000C648E">
          <w:rPr>
            <w:noProof/>
            <w:webHidden/>
          </w:rPr>
          <w:tab/>
        </w:r>
        <w:r w:rsidR="000C648E">
          <w:rPr>
            <w:noProof/>
            <w:webHidden/>
          </w:rPr>
          <w:fldChar w:fldCharType="begin"/>
        </w:r>
        <w:r w:rsidR="000C648E">
          <w:rPr>
            <w:noProof/>
            <w:webHidden/>
          </w:rPr>
          <w:instrText xml:space="preserve"> PAGEREF _Toc12365632 \h </w:instrText>
        </w:r>
        <w:r w:rsidR="000C648E">
          <w:rPr>
            <w:noProof/>
            <w:webHidden/>
          </w:rPr>
        </w:r>
        <w:r w:rsidR="000C648E">
          <w:rPr>
            <w:noProof/>
            <w:webHidden/>
          </w:rPr>
          <w:fldChar w:fldCharType="separate"/>
        </w:r>
        <w:r w:rsidR="00D528AA">
          <w:rPr>
            <w:noProof/>
            <w:webHidden/>
          </w:rPr>
          <w:t>38</w:t>
        </w:r>
        <w:r w:rsidR="000C648E">
          <w:rPr>
            <w:noProof/>
            <w:webHidden/>
          </w:rPr>
          <w:fldChar w:fldCharType="end"/>
        </w:r>
      </w:hyperlink>
    </w:p>
    <w:p w14:paraId="0E79BEF8" w14:textId="77777777" w:rsidR="000C648E" w:rsidRDefault="00740B55">
      <w:pPr>
        <w:pStyle w:val="TOC2"/>
        <w:rPr>
          <w:rFonts w:asciiTheme="minorHAnsi" w:eastAsiaTheme="minorEastAsia" w:hAnsiTheme="minorHAnsi" w:cstheme="minorBidi"/>
          <w:noProof/>
          <w:sz w:val="22"/>
          <w:lang w:eastAsia="en-AU"/>
        </w:rPr>
      </w:pPr>
      <w:hyperlink w:anchor="_Toc12365633" w:history="1">
        <w:r w:rsidR="000C648E" w:rsidRPr="0089282B">
          <w:rPr>
            <w:rStyle w:val="Hyperlink"/>
            <w:noProof/>
          </w:rPr>
          <w:t>Section A6: Analysis of Chromophoric Dissolved Ocean Matter (CDOM) in marine waters</w:t>
        </w:r>
        <w:r w:rsidR="000C648E">
          <w:rPr>
            <w:noProof/>
            <w:webHidden/>
          </w:rPr>
          <w:tab/>
        </w:r>
        <w:r w:rsidR="000C648E">
          <w:rPr>
            <w:noProof/>
            <w:webHidden/>
          </w:rPr>
          <w:fldChar w:fldCharType="begin"/>
        </w:r>
        <w:r w:rsidR="000C648E">
          <w:rPr>
            <w:noProof/>
            <w:webHidden/>
          </w:rPr>
          <w:instrText xml:space="preserve"> PAGEREF _Toc12365633 \h </w:instrText>
        </w:r>
        <w:r w:rsidR="000C648E">
          <w:rPr>
            <w:noProof/>
            <w:webHidden/>
          </w:rPr>
        </w:r>
        <w:r w:rsidR="000C648E">
          <w:rPr>
            <w:noProof/>
            <w:webHidden/>
          </w:rPr>
          <w:fldChar w:fldCharType="separate"/>
        </w:r>
        <w:r w:rsidR="00D528AA">
          <w:rPr>
            <w:noProof/>
            <w:webHidden/>
          </w:rPr>
          <w:t>44</w:t>
        </w:r>
        <w:r w:rsidR="000C648E">
          <w:rPr>
            <w:noProof/>
            <w:webHidden/>
          </w:rPr>
          <w:fldChar w:fldCharType="end"/>
        </w:r>
      </w:hyperlink>
    </w:p>
    <w:p w14:paraId="6F9FF1A7" w14:textId="77777777" w:rsidR="000C648E" w:rsidRDefault="00740B55">
      <w:pPr>
        <w:pStyle w:val="TOC2"/>
        <w:rPr>
          <w:rFonts w:asciiTheme="minorHAnsi" w:eastAsiaTheme="minorEastAsia" w:hAnsiTheme="minorHAnsi" w:cstheme="minorBidi"/>
          <w:noProof/>
          <w:sz w:val="22"/>
          <w:lang w:eastAsia="en-AU"/>
        </w:rPr>
      </w:pPr>
      <w:hyperlink w:anchor="_Toc12365634" w:history="1">
        <w:r w:rsidR="000C648E" w:rsidRPr="0089282B">
          <w:rPr>
            <w:rStyle w:val="Hyperlink"/>
            <w:noProof/>
          </w:rPr>
          <w:t>Section A7: Analysis of particulate phosphorus in marine waters</w:t>
        </w:r>
        <w:r w:rsidR="000C648E">
          <w:rPr>
            <w:noProof/>
            <w:webHidden/>
          </w:rPr>
          <w:tab/>
        </w:r>
        <w:r w:rsidR="000C648E">
          <w:rPr>
            <w:noProof/>
            <w:webHidden/>
          </w:rPr>
          <w:fldChar w:fldCharType="begin"/>
        </w:r>
        <w:r w:rsidR="000C648E">
          <w:rPr>
            <w:noProof/>
            <w:webHidden/>
          </w:rPr>
          <w:instrText xml:space="preserve"> PAGEREF _Toc12365634 \h </w:instrText>
        </w:r>
        <w:r w:rsidR="000C648E">
          <w:rPr>
            <w:noProof/>
            <w:webHidden/>
          </w:rPr>
        </w:r>
        <w:r w:rsidR="000C648E">
          <w:rPr>
            <w:noProof/>
            <w:webHidden/>
          </w:rPr>
          <w:fldChar w:fldCharType="separate"/>
        </w:r>
        <w:r w:rsidR="00D528AA">
          <w:rPr>
            <w:noProof/>
            <w:webHidden/>
          </w:rPr>
          <w:t>48</w:t>
        </w:r>
        <w:r w:rsidR="000C648E">
          <w:rPr>
            <w:noProof/>
            <w:webHidden/>
          </w:rPr>
          <w:fldChar w:fldCharType="end"/>
        </w:r>
      </w:hyperlink>
    </w:p>
    <w:p w14:paraId="66069165" w14:textId="77777777" w:rsidR="000C648E" w:rsidRDefault="00740B55">
      <w:pPr>
        <w:pStyle w:val="TOC2"/>
        <w:rPr>
          <w:rFonts w:asciiTheme="minorHAnsi" w:eastAsiaTheme="minorEastAsia" w:hAnsiTheme="minorHAnsi" w:cstheme="minorBidi"/>
          <w:noProof/>
          <w:sz w:val="22"/>
          <w:lang w:eastAsia="en-AU"/>
        </w:rPr>
      </w:pPr>
      <w:hyperlink w:anchor="_Toc12365635" w:history="1">
        <w:r w:rsidR="000C648E" w:rsidRPr="0089282B">
          <w:rPr>
            <w:rStyle w:val="Hyperlink"/>
            <w:noProof/>
          </w:rPr>
          <w:t>Section A8: Analysis of particulate organic carbon and particulate nitrogen in marine waters</w:t>
        </w:r>
        <w:r w:rsidR="000C648E">
          <w:rPr>
            <w:noProof/>
            <w:webHidden/>
          </w:rPr>
          <w:tab/>
        </w:r>
        <w:r w:rsidR="000C648E">
          <w:rPr>
            <w:noProof/>
            <w:webHidden/>
          </w:rPr>
          <w:fldChar w:fldCharType="begin"/>
        </w:r>
        <w:r w:rsidR="000C648E">
          <w:rPr>
            <w:noProof/>
            <w:webHidden/>
          </w:rPr>
          <w:instrText xml:space="preserve"> PAGEREF _Toc12365635 \h </w:instrText>
        </w:r>
        <w:r w:rsidR="000C648E">
          <w:rPr>
            <w:noProof/>
            <w:webHidden/>
          </w:rPr>
        </w:r>
        <w:r w:rsidR="000C648E">
          <w:rPr>
            <w:noProof/>
            <w:webHidden/>
          </w:rPr>
          <w:fldChar w:fldCharType="separate"/>
        </w:r>
        <w:r w:rsidR="00D528AA">
          <w:rPr>
            <w:noProof/>
            <w:webHidden/>
          </w:rPr>
          <w:t>57</w:t>
        </w:r>
        <w:r w:rsidR="000C648E">
          <w:rPr>
            <w:noProof/>
            <w:webHidden/>
          </w:rPr>
          <w:fldChar w:fldCharType="end"/>
        </w:r>
      </w:hyperlink>
    </w:p>
    <w:p w14:paraId="2504C81A" w14:textId="77777777" w:rsidR="000C648E" w:rsidRDefault="00740B55">
      <w:pPr>
        <w:pStyle w:val="TOC2"/>
        <w:rPr>
          <w:rFonts w:asciiTheme="minorHAnsi" w:eastAsiaTheme="minorEastAsia" w:hAnsiTheme="minorHAnsi" w:cstheme="minorBidi"/>
          <w:noProof/>
          <w:sz w:val="22"/>
          <w:lang w:eastAsia="en-AU"/>
        </w:rPr>
      </w:pPr>
      <w:hyperlink w:anchor="_Toc12365636" w:history="1">
        <w:r w:rsidR="000C648E" w:rsidRPr="0089282B">
          <w:rPr>
            <w:rStyle w:val="Hyperlink"/>
            <w:noProof/>
          </w:rPr>
          <w:t>Section A9: Analysis of chlorophyll a in marine waters</w:t>
        </w:r>
        <w:r w:rsidR="000C648E">
          <w:rPr>
            <w:noProof/>
            <w:webHidden/>
          </w:rPr>
          <w:tab/>
        </w:r>
        <w:r w:rsidR="000C648E">
          <w:rPr>
            <w:noProof/>
            <w:webHidden/>
          </w:rPr>
          <w:fldChar w:fldCharType="begin"/>
        </w:r>
        <w:r w:rsidR="000C648E">
          <w:rPr>
            <w:noProof/>
            <w:webHidden/>
          </w:rPr>
          <w:instrText xml:space="preserve"> PAGEREF _Toc12365636 \h </w:instrText>
        </w:r>
        <w:r w:rsidR="000C648E">
          <w:rPr>
            <w:noProof/>
            <w:webHidden/>
          </w:rPr>
        </w:r>
        <w:r w:rsidR="000C648E">
          <w:rPr>
            <w:noProof/>
            <w:webHidden/>
          </w:rPr>
          <w:fldChar w:fldCharType="separate"/>
        </w:r>
        <w:r w:rsidR="00D528AA">
          <w:rPr>
            <w:noProof/>
            <w:webHidden/>
          </w:rPr>
          <w:t>67</w:t>
        </w:r>
        <w:r w:rsidR="000C648E">
          <w:rPr>
            <w:noProof/>
            <w:webHidden/>
          </w:rPr>
          <w:fldChar w:fldCharType="end"/>
        </w:r>
      </w:hyperlink>
    </w:p>
    <w:p w14:paraId="437D6350" w14:textId="77777777" w:rsidR="000C648E" w:rsidRDefault="00740B55">
      <w:pPr>
        <w:pStyle w:val="TOC2"/>
        <w:rPr>
          <w:rFonts w:asciiTheme="minorHAnsi" w:eastAsiaTheme="minorEastAsia" w:hAnsiTheme="minorHAnsi" w:cstheme="minorBidi"/>
          <w:noProof/>
          <w:sz w:val="22"/>
          <w:lang w:eastAsia="en-AU"/>
        </w:rPr>
      </w:pPr>
      <w:hyperlink w:anchor="_Toc12365637" w:history="1">
        <w:r w:rsidR="000C648E" w:rsidRPr="0089282B">
          <w:rPr>
            <w:rStyle w:val="Hyperlink"/>
            <w:noProof/>
          </w:rPr>
          <w:t>Section A10: Determination of total suspended solids in marine waters</w:t>
        </w:r>
        <w:r w:rsidR="000C648E">
          <w:rPr>
            <w:noProof/>
            <w:webHidden/>
          </w:rPr>
          <w:tab/>
        </w:r>
        <w:r w:rsidR="000C648E">
          <w:rPr>
            <w:noProof/>
            <w:webHidden/>
          </w:rPr>
          <w:fldChar w:fldCharType="begin"/>
        </w:r>
        <w:r w:rsidR="000C648E">
          <w:rPr>
            <w:noProof/>
            <w:webHidden/>
          </w:rPr>
          <w:instrText xml:space="preserve"> PAGEREF _Toc12365637 \h </w:instrText>
        </w:r>
        <w:r w:rsidR="000C648E">
          <w:rPr>
            <w:noProof/>
            <w:webHidden/>
          </w:rPr>
        </w:r>
        <w:r w:rsidR="000C648E">
          <w:rPr>
            <w:noProof/>
            <w:webHidden/>
          </w:rPr>
          <w:fldChar w:fldCharType="separate"/>
        </w:r>
        <w:r w:rsidR="00D528AA">
          <w:rPr>
            <w:noProof/>
            <w:webHidden/>
          </w:rPr>
          <w:t>81</w:t>
        </w:r>
        <w:r w:rsidR="000C648E">
          <w:rPr>
            <w:noProof/>
            <w:webHidden/>
          </w:rPr>
          <w:fldChar w:fldCharType="end"/>
        </w:r>
      </w:hyperlink>
    </w:p>
    <w:p w14:paraId="3C57D40C" w14:textId="77777777" w:rsidR="000C648E" w:rsidRDefault="00740B55">
      <w:pPr>
        <w:pStyle w:val="TOC2"/>
        <w:rPr>
          <w:rFonts w:asciiTheme="minorHAnsi" w:eastAsiaTheme="minorEastAsia" w:hAnsiTheme="minorHAnsi" w:cstheme="minorBidi"/>
          <w:noProof/>
          <w:sz w:val="22"/>
          <w:lang w:eastAsia="en-AU"/>
        </w:rPr>
      </w:pPr>
      <w:hyperlink w:anchor="_Toc12365638" w:history="1">
        <w:r w:rsidR="000C648E" w:rsidRPr="0089282B">
          <w:rPr>
            <w:rStyle w:val="Hyperlink"/>
            <w:noProof/>
          </w:rPr>
          <w:t>Section A11: AIMS In-house procedures for WET Labs FLNTUSB ECO logger</w:t>
        </w:r>
        <w:r w:rsidR="000C648E">
          <w:rPr>
            <w:noProof/>
            <w:webHidden/>
          </w:rPr>
          <w:tab/>
        </w:r>
        <w:r w:rsidR="000C648E">
          <w:rPr>
            <w:noProof/>
            <w:webHidden/>
          </w:rPr>
          <w:fldChar w:fldCharType="begin"/>
        </w:r>
        <w:r w:rsidR="000C648E">
          <w:rPr>
            <w:noProof/>
            <w:webHidden/>
          </w:rPr>
          <w:instrText xml:space="preserve"> PAGEREF _Toc12365638 \h </w:instrText>
        </w:r>
        <w:r w:rsidR="000C648E">
          <w:rPr>
            <w:noProof/>
            <w:webHidden/>
          </w:rPr>
        </w:r>
        <w:r w:rsidR="000C648E">
          <w:rPr>
            <w:noProof/>
            <w:webHidden/>
          </w:rPr>
          <w:fldChar w:fldCharType="separate"/>
        </w:r>
        <w:r w:rsidR="00D528AA">
          <w:rPr>
            <w:noProof/>
            <w:webHidden/>
          </w:rPr>
          <w:t>89</w:t>
        </w:r>
        <w:r w:rsidR="000C648E">
          <w:rPr>
            <w:noProof/>
            <w:webHidden/>
          </w:rPr>
          <w:fldChar w:fldCharType="end"/>
        </w:r>
      </w:hyperlink>
    </w:p>
    <w:p w14:paraId="106E9DFD" w14:textId="77777777" w:rsidR="000C648E" w:rsidRDefault="00740B55">
      <w:pPr>
        <w:pStyle w:val="TOC2"/>
        <w:rPr>
          <w:rFonts w:asciiTheme="minorHAnsi" w:eastAsiaTheme="minorEastAsia" w:hAnsiTheme="minorHAnsi" w:cstheme="minorBidi"/>
          <w:noProof/>
          <w:sz w:val="22"/>
          <w:lang w:eastAsia="en-AU"/>
        </w:rPr>
      </w:pPr>
      <w:hyperlink w:anchor="_Toc12365639" w:history="1">
        <w:r w:rsidR="000C648E" w:rsidRPr="0089282B">
          <w:rPr>
            <w:rStyle w:val="Hyperlink"/>
            <w:noProof/>
          </w:rPr>
          <w:t>Section A12: AIMS Data Management Procedures for the Marine Monitoring Program</w:t>
        </w:r>
        <w:r w:rsidR="000C648E">
          <w:rPr>
            <w:noProof/>
            <w:webHidden/>
          </w:rPr>
          <w:tab/>
        </w:r>
        <w:r w:rsidR="000C648E">
          <w:rPr>
            <w:noProof/>
            <w:webHidden/>
          </w:rPr>
          <w:fldChar w:fldCharType="begin"/>
        </w:r>
        <w:r w:rsidR="000C648E">
          <w:rPr>
            <w:noProof/>
            <w:webHidden/>
          </w:rPr>
          <w:instrText xml:space="preserve"> PAGEREF _Toc12365639 \h </w:instrText>
        </w:r>
        <w:r w:rsidR="000C648E">
          <w:rPr>
            <w:noProof/>
            <w:webHidden/>
          </w:rPr>
        </w:r>
        <w:r w:rsidR="000C648E">
          <w:rPr>
            <w:noProof/>
            <w:webHidden/>
          </w:rPr>
          <w:fldChar w:fldCharType="separate"/>
        </w:r>
        <w:r w:rsidR="00D528AA">
          <w:rPr>
            <w:noProof/>
            <w:webHidden/>
          </w:rPr>
          <w:t>174</w:t>
        </w:r>
        <w:r w:rsidR="000C648E">
          <w:rPr>
            <w:noProof/>
            <w:webHidden/>
          </w:rPr>
          <w:fldChar w:fldCharType="end"/>
        </w:r>
      </w:hyperlink>
    </w:p>
    <w:p w14:paraId="7EAFAD47" w14:textId="77777777" w:rsidR="000C648E" w:rsidRDefault="00740B55">
      <w:pPr>
        <w:pStyle w:val="TOC1"/>
        <w:rPr>
          <w:rFonts w:asciiTheme="minorHAnsi" w:eastAsiaTheme="minorEastAsia" w:hAnsiTheme="minorHAnsi" w:cstheme="minorBidi"/>
          <w:b w:val="0"/>
          <w:lang w:eastAsia="en-AU"/>
        </w:rPr>
      </w:pPr>
      <w:hyperlink w:anchor="_Toc12365640" w:history="1">
        <w:r w:rsidR="000C648E" w:rsidRPr="0089282B">
          <w:rPr>
            <w:rStyle w:val="Hyperlink"/>
          </w:rPr>
          <w:t>Appendix</w:t>
        </w:r>
        <w:r w:rsidR="000C648E" w:rsidRPr="0089282B">
          <w:rPr>
            <w:rStyle w:val="Hyperlink"/>
            <w:spacing w:val="-14"/>
          </w:rPr>
          <w:t xml:space="preserve"> </w:t>
        </w:r>
        <w:r w:rsidR="000C648E" w:rsidRPr="0089282B">
          <w:rPr>
            <w:rStyle w:val="Hyperlink"/>
          </w:rPr>
          <w:t>B</w:t>
        </w:r>
        <w:r w:rsidR="000C648E" w:rsidRPr="0089282B">
          <w:rPr>
            <w:rStyle w:val="Hyperlink"/>
            <w:spacing w:val="25"/>
            <w:w w:val="99"/>
          </w:rPr>
          <w:t xml:space="preserve"> </w:t>
        </w:r>
        <w:r w:rsidR="000C648E" w:rsidRPr="0089282B">
          <w:rPr>
            <w:rStyle w:val="Hyperlink"/>
          </w:rPr>
          <w:t>James Cook University TropWater Appendices</w:t>
        </w:r>
        <w:r w:rsidR="000C648E">
          <w:rPr>
            <w:webHidden/>
          </w:rPr>
          <w:tab/>
        </w:r>
        <w:r w:rsidR="000C648E">
          <w:rPr>
            <w:webHidden/>
          </w:rPr>
          <w:fldChar w:fldCharType="begin"/>
        </w:r>
        <w:r w:rsidR="000C648E">
          <w:rPr>
            <w:webHidden/>
          </w:rPr>
          <w:instrText xml:space="preserve"> PAGEREF _Toc12365640 \h </w:instrText>
        </w:r>
        <w:r w:rsidR="000C648E">
          <w:rPr>
            <w:webHidden/>
          </w:rPr>
        </w:r>
        <w:r w:rsidR="000C648E">
          <w:rPr>
            <w:webHidden/>
          </w:rPr>
          <w:fldChar w:fldCharType="separate"/>
        </w:r>
        <w:r w:rsidR="00D528AA">
          <w:rPr>
            <w:webHidden/>
          </w:rPr>
          <w:t>182</w:t>
        </w:r>
        <w:r w:rsidR="000C648E">
          <w:rPr>
            <w:webHidden/>
          </w:rPr>
          <w:fldChar w:fldCharType="end"/>
        </w:r>
      </w:hyperlink>
    </w:p>
    <w:p w14:paraId="349769BD" w14:textId="77777777" w:rsidR="000C648E" w:rsidRDefault="00740B55">
      <w:pPr>
        <w:pStyle w:val="TOC2"/>
        <w:rPr>
          <w:rFonts w:asciiTheme="minorHAnsi" w:eastAsiaTheme="minorEastAsia" w:hAnsiTheme="minorHAnsi" w:cstheme="minorBidi"/>
          <w:noProof/>
          <w:sz w:val="22"/>
          <w:lang w:eastAsia="en-AU"/>
        </w:rPr>
      </w:pPr>
      <w:hyperlink w:anchor="_Toc12365641"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B1 TropWater Water Sampling Procedures</w:t>
        </w:r>
        <w:r w:rsidR="000C648E">
          <w:rPr>
            <w:noProof/>
            <w:webHidden/>
          </w:rPr>
          <w:tab/>
        </w:r>
        <w:r w:rsidR="000C648E">
          <w:rPr>
            <w:noProof/>
            <w:webHidden/>
          </w:rPr>
          <w:fldChar w:fldCharType="begin"/>
        </w:r>
        <w:r w:rsidR="000C648E">
          <w:rPr>
            <w:noProof/>
            <w:webHidden/>
          </w:rPr>
          <w:instrText xml:space="preserve"> PAGEREF _Toc12365641 \h </w:instrText>
        </w:r>
        <w:r w:rsidR="000C648E">
          <w:rPr>
            <w:noProof/>
            <w:webHidden/>
          </w:rPr>
        </w:r>
        <w:r w:rsidR="000C648E">
          <w:rPr>
            <w:noProof/>
            <w:webHidden/>
          </w:rPr>
          <w:fldChar w:fldCharType="separate"/>
        </w:r>
        <w:r w:rsidR="00D528AA">
          <w:rPr>
            <w:noProof/>
            <w:webHidden/>
          </w:rPr>
          <w:t>174</w:t>
        </w:r>
        <w:r w:rsidR="000C648E">
          <w:rPr>
            <w:noProof/>
            <w:webHidden/>
          </w:rPr>
          <w:fldChar w:fldCharType="end"/>
        </w:r>
      </w:hyperlink>
    </w:p>
    <w:p w14:paraId="2FC055B2" w14:textId="77777777" w:rsidR="000C648E" w:rsidRDefault="00740B55">
      <w:pPr>
        <w:pStyle w:val="TOC2"/>
        <w:rPr>
          <w:rFonts w:asciiTheme="minorHAnsi" w:eastAsiaTheme="minorEastAsia" w:hAnsiTheme="minorHAnsi" w:cstheme="minorBidi"/>
          <w:noProof/>
          <w:sz w:val="22"/>
          <w:lang w:eastAsia="en-AU"/>
        </w:rPr>
      </w:pPr>
      <w:hyperlink w:anchor="_Toc12365642"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B2 TropWater Water Sampling Field Sheet - Example</w:t>
        </w:r>
        <w:r w:rsidR="000C648E">
          <w:rPr>
            <w:noProof/>
            <w:webHidden/>
          </w:rPr>
          <w:tab/>
        </w:r>
        <w:r w:rsidR="000C648E">
          <w:rPr>
            <w:noProof/>
            <w:webHidden/>
          </w:rPr>
          <w:fldChar w:fldCharType="begin"/>
        </w:r>
        <w:r w:rsidR="000C648E">
          <w:rPr>
            <w:noProof/>
            <w:webHidden/>
          </w:rPr>
          <w:instrText xml:space="preserve"> PAGEREF _Toc12365642 \h </w:instrText>
        </w:r>
        <w:r w:rsidR="000C648E">
          <w:rPr>
            <w:noProof/>
            <w:webHidden/>
          </w:rPr>
        </w:r>
        <w:r w:rsidR="000C648E">
          <w:rPr>
            <w:noProof/>
            <w:webHidden/>
          </w:rPr>
          <w:fldChar w:fldCharType="separate"/>
        </w:r>
        <w:r w:rsidR="00D528AA">
          <w:rPr>
            <w:noProof/>
            <w:webHidden/>
          </w:rPr>
          <w:t>178</w:t>
        </w:r>
        <w:r w:rsidR="000C648E">
          <w:rPr>
            <w:noProof/>
            <w:webHidden/>
          </w:rPr>
          <w:fldChar w:fldCharType="end"/>
        </w:r>
      </w:hyperlink>
    </w:p>
    <w:p w14:paraId="00A465EF" w14:textId="77777777" w:rsidR="000C648E" w:rsidRDefault="00740B55">
      <w:pPr>
        <w:pStyle w:val="TOC2"/>
        <w:rPr>
          <w:rFonts w:asciiTheme="minorHAnsi" w:eastAsiaTheme="minorEastAsia" w:hAnsiTheme="minorHAnsi" w:cstheme="minorBidi"/>
          <w:noProof/>
          <w:sz w:val="22"/>
          <w:lang w:eastAsia="en-AU"/>
        </w:rPr>
      </w:pPr>
      <w:hyperlink w:anchor="_Toc12365643"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B3 Metadata for flood plume data entered into TropWater flood database</w:t>
        </w:r>
        <w:r w:rsidR="000C648E">
          <w:rPr>
            <w:noProof/>
            <w:webHidden/>
          </w:rPr>
          <w:tab/>
        </w:r>
        <w:r w:rsidR="000C648E">
          <w:rPr>
            <w:noProof/>
            <w:webHidden/>
          </w:rPr>
          <w:fldChar w:fldCharType="begin"/>
        </w:r>
        <w:r w:rsidR="000C648E">
          <w:rPr>
            <w:noProof/>
            <w:webHidden/>
          </w:rPr>
          <w:instrText xml:space="preserve"> PAGEREF _Toc12365643 \h </w:instrText>
        </w:r>
        <w:r w:rsidR="000C648E">
          <w:rPr>
            <w:noProof/>
            <w:webHidden/>
          </w:rPr>
        </w:r>
        <w:r w:rsidR="000C648E">
          <w:rPr>
            <w:noProof/>
            <w:webHidden/>
          </w:rPr>
          <w:fldChar w:fldCharType="separate"/>
        </w:r>
        <w:r w:rsidR="00D528AA">
          <w:rPr>
            <w:noProof/>
            <w:webHidden/>
          </w:rPr>
          <w:t>180</w:t>
        </w:r>
        <w:r w:rsidR="000C648E">
          <w:rPr>
            <w:noProof/>
            <w:webHidden/>
          </w:rPr>
          <w:fldChar w:fldCharType="end"/>
        </w:r>
      </w:hyperlink>
    </w:p>
    <w:p w14:paraId="3DE73440" w14:textId="77777777" w:rsidR="000C648E" w:rsidRDefault="00740B55">
      <w:pPr>
        <w:pStyle w:val="TOC2"/>
        <w:rPr>
          <w:rFonts w:asciiTheme="minorHAnsi" w:eastAsiaTheme="minorEastAsia" w:hAnsiTheme="minorHAnsi" w:cstheme="minorBidi"/>
          <w:noProof/>
          <w:sz w:val="22"/>
          <w:lang w:eastAsia="en-AU"/>
        </w:rPr>
      </w:pPr>
      <w:hyperlink w:anchor="_Toc12365644"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B4 TropWater Water Sampling Input Sheet</w:t>
        </w:r>
        <w:r w:rsidR="000C648E">
          <w:rPr>
            <w:noProof/>
            <w:webHidden/>
          </w:rPr>
          <w:tab/>
        </w:r>
        <w:r w:rsidR="000C648E">
          <w:rPr>
            <w:noProof/>
            <w:webHidden/>
          </w:rPr>
          <w:fldChar w:fldCharType="begin"/>
        </w:r>
        <w:r w:rsidR="000C648E">
          <w:rPr>
            <w:noProof/>
            <w:webHidden/>
          </w:rPr>
          <w:instrText xml:space="preserve"> PAGEREF _Toc12365644 \h </w:instrText>
        </w:r>
        <w:r w:rsidR="000C648E">
          <w:rPr>
            <w:noProof/>
            <w:webHidden/>
          </w:rPr>
        </w:r>
        <w:r w:rsidR="000C648E">
          <w:rPr>
            <w:noProof/>
            <w:webHidden/>
          </w:rPr>
          <w:fldChar w:fldCharType="separate"/>
        </w:r>
        <w:r w:rsidR="00D528AA">
          <w:rPr>
            <w:noProof/>
            <w:webHidden/>
          </w:rPr>
          <w:t>197</w:t>
        </w:r>
        <w:r w:rsidR="000C648E">
          <w:rPr>
            <w:noProof/>
            <w:webHidden/>
          </w:rPr>
          <w:fldChar w:fldCharType="end"/>
        </w:r>
      </w:hyperlink>
    </w:p>
    <w:p w14:paraId="69CC5E74" w14:textId="77777777" w:rsidR="000C648E" w:rsidRDefault="00740B55">
      <w:pPr>
        <w:pStyle w:val="TOC2"/>
        <w:rPr>
          <w:rFonts w:asciiTheme="minorHAnsi" w:eastAsiaTheme="minorEastAsia" w:hAnsiTheme="minorHAnsi" w:cstheme="minorBidi"/>
          <w:noProof/>
          <w:sz w:val="22"/>
          <w:lang w:eastAsia="en-AU"/>
        </w:rPr>
      </w:pPr>
      <w:hyperlink w:anchor="_Toc12365645"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B5 TropWater Auto-analysis methods: Nitrogen – Ammonia</w:t>
        </w:r>
        <w:r w:rsidR="000C648E">
          <w:rPr>
            <w:noProof/>
            <w:webHidden/>
          </w:rPr>
          <w:tab/>
        </w:r>
        <w:r w:rsidR="000C648E">
          <w:rPr>
            <w:noProof/>
            <w:webHidden/>
          </w:rPr>
          <w:fldChar w:fldCharType="begin"/>
        </w:r>
        <w:r w:rsidR="000C648E">
          <w:rPr>
            <w:noProof/>
            <w:webHidden/>
          </w:rPr>
          <w:instrText xml:space="preserve"> PAGEREF _Toc12365645 \h </w:instrText>
        </w:r>
        <w:r w:rsidR="000C648E">
          <w:rPr>
            <w:noProof/>
            <w:webHidden/>
          </w:rPr>
        </w:r>
        <w:r w:rsidR="000C648E">
          <w:rPr>
            <w:noProof/>
            <w:webHidden/>
          </w:rPr>
          <w:fldChar w:fldCharType="separate"/>
        </w:r>
        <w:r w:rsidR="00D528AA">
          <w:rPr>
            <w:noProof/>
            <w:webHidden/>
          </w:rPr>
          <w:t>199</w:t>
        </w:r>
        <w:r w:rsidR="000C648E">
          <w:rPr>
            <w:noProof/>
            <w:webHidden/>
          </w:rPr>
          <w:fldChar w:fldCharType="end"/>
        </w:r>
      </w:hyperlink>
    </w:p>
    <w:p w14:paraId="60508053" w14:textId="77777777" w:rsidR="000C648E" w:rsidRDefault="00740B55">
      <w:pPr>
        <w:pStyle w:val="TOC2"/>
        <w:rPr>
          <w:rFonts w:asciiTheme="minorHAnsi" w:eastAsiaTheme="minorEastAsia" w:hAnsiTheme="minorHAnsi" w:cstheme="minorBidi"/>
          <w:noProof/>
          <w:sz w:val="22"/>
          <w:lang w:eastAsia="en-AU"/>
        </w:rPr>
      </w:pPr>
      <w:hyperlink w:anchor="_Toc12365646"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B6 TropWater Auto-analysis methods: Phosphorus (Filterable Reactive)</w:t>
        </w:r>
        <w:r w:rsidR="000C648E">
          <w:rPr>
            <w:noProof/>
            <w:webHidden/>
          </w:rPr>
          <w:tab/>
        </w:r>
        <w:r w:rsidR="000C648E">
          <w:rPr>
            <w:noProof/>
            <w:webHidden/>
          </w:rPr>
          <w:fldChar w:fldCharType="begin"/>
        </w:r>
        <w:r w:rsidR="000C648E">
          <w:rPr>
            <w:noProof/>
            <w:webHidden/>
          </w:rPr>
          <w:instrText xml:space="preserve"> PAGEREF _Toc12365646 \h </w:instrText>
        </w:r>
        <w:r w:rsidR="000C648E">
          <w:rPr>
            <w:noProof/>
            <w:webHidden/>
          </w:rPr>
        </w:r>
        <w:r w:rsidR="000C648E">
          <w:rPr>
            <w:noProof/>
            <w:webHidden/>
          </w:rPr>
          <w:fldChar w:fldCharType="separate"/>
        </w:r>
        <w:r w:rsidR="00D528AA">
          <w:rPr>
            <w:noProof/>
            <w:webHidden/>
          </w:rPr>
          <w:t>217</w:t>
        </w:r>
        <w:r w:rsidR="000C648E">
          <w:rPr>
            <w:noProof/>
            <w:webHidden/>
          </w:rPr>
          <w:fldChar w:fldCharType="end"/>
        </w:r>
      </w:hyperlink>
    </w:p>
    <w:p w14:paraId="0B57D77B" w14:textId="77777777" w:rsidR="000C648E" w:rsidRDefault="00740B55">
      <w:pPr>
        <w:pStyle w:val="TOC2"/>
        <w:rPr>
          <w:rFonts w:asciiTheme="minorHAnsi" w:eastAsiaTheme="minorEastAsia" w:hAnsiTheme="minorHAnsi" w:cstheme="minorBidi"/>
          <w:noProof/>
          <w:sz w:val="22"/>
          <w:lang w:eastAsia="en-AU"/>
        </w:rPr>
      </w:pPr>
      <w:hyperlink w:anchor="_Toc12365647"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B7 TropWater Auto-analysis methods: Nitrate and Nitrite</w:t>
        </w:r>
        <w:r w:rsidR="000C648E">
          <w:rPr>
            <w:noProof/>
            <w:webHidden/>
          </w:rPr>
          <w:tab/>
        </w:r>
        <w:r w:rsidR="000C648E">
          <w:rPr>
            <w:noProof/>
            <w:webHidden/>
          </w:rPr>
          <w:fldChar w:fldCharType="begin"/>
        </w:r>
        <w:r w:rsidR="000C648E">
          <w:rPr>
            <w:noProof/>
            <w:webHidden/>
          </w:rPr>
          <w:instrText xml:space="preserve"> PAGEREF _Toc12365647 \h </w:instrText>
        </w:r>
        <w:r w:rsidR="000C648E">
          <w:rPr>
            <w:noProof/>
            <w:webHidden/>
          </w:rPr>
        </w:r>
        <w:r w:rsidR="000C648E">
          <w:rPr>
            <w:noProof/>
            <w:webHidden/>
          </w:rPr>
          <w:fldChar w:fldCharType="separate"/>
        </w:r>
        <w:r w:rsidR="00D528AA">
          <w:rPr>
            <w:noProof/>
            <w:webHidden/>
          </w:rPr>
          <w:t>234</w:t>
        </w:r>
        <w:r w:rsidR="000C648E">
          <w:rPr>
            <w:noProof/>
            <w:webHidden/>
          </w:rPr>
          <w:fldChar w:fldCharType="end"/>
        </w:r>
      </w:hyperlink>
    </w:p>
    <w:p w14:paraId="43F24FAB" w14:textId="77777777" w:rsidR="000C648E" w:rsidRDefault="00740B55">
      <w:pPr>
        <w:pStyle w:val="TOC2"/>
        <w:rPr>
          <w:rFonts w:asciiTheme="minorHAnsi" w:eastAsiaTheme="minorEastAsia" w:hAnsiTheme="minorHAnsi" w:cstheme="minorBidi"/>
          <w:noProof/>
          <w:sz w:val="22"/>
          <w:lang w:eastAsia="en-AU"/>
        </w:rPr>
      </w:pPr>
      <w:hyperlink w:anchor="_Toc12365648"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B8 TropWater Auto-analysis methods: Nitrogen – Total Alkaline Persulfate</w:t>
        </w:r>
        <w:r w:rsidR="000C648E">
          <w:rPr>
            <w:noProof/>
            <w:webHidden/>
          </w:rPr>
          <w:tab/>
        </w:r>
        <w:r w:rsidR="000C648E">
          <w:rPr>
            <w:noProof/>
            <w:webHidden/>
          </w:rPr>
          <w:fldChar w:fldCharType="begin"/>
        </w:r>
        <w:r w:rsidR="000C648E">
          <w:rPr>
            <w:noProof/>
            <w:webHidden/>
          </w:rPr>
          <w:instrText xml:space="preserve"> PAGEREF _Toc12365648 \h </w:instrText>
        </w:r>
        <w:r w:rsidR="000C648E">
          <w:rPr>
            <w:noProof/>
            <w:webHidden/>
          </w:rPr>
        </w:r>
        <w:r w:rsidR="000C648E">
          <w:rPr>
            <w:noProof/>
            <w:webHidden/>
          </w:rPr>
          <w:fldChar w:fldCharType="separate"/>
        </w:r>
        <w:r w:rsidR="00D528AA">
          <w:rPr>
            <w:noProof/>
            <w:webHidden/>
          </w:rPr>
          <w:t>252</w:t>
        </w:r>
        <w:r w:rsidR="000C648E">
          <w:rPr>
            <w:noProof/>
            <w:webHidden/>
          </w:rPr>
          <w:fldChar w:fldCharType="end"/>
        </w:r>
      </w:hyperlink>
    </w:p>
    <w:p w14:paraId="41E71FA0" w14:textId="77777777" w:rsidR="000C648E" w:rsidRDefault="00740B55">
      <w:pPr>
        <w:pStyle w:val="TOC2"/>
        <w:rPr>
          <w:rFonts w:asciiTheme="minorHAnsi" w:eastAsiaTheme="minorEastAsia" w:hAnsiTheme="minorHAnsi" w:cstheme="minorBidi"/>
          <w:noProof/>
          <w:sz w:val="22"/>
          <w:lang w:eastAsia="en-AU"/>
        </w:rPr>
      </w:pPr>
      <w:hyperlink w:anchor="_Toc12365649"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B9 TropWater Auto-analysis methods: Phosphorus – Total Alkaline Persulfate</w:t>
        </w:r>
        <w:r w:rsidR="000C648E">
          <w:rPr>
            <w:noProof/>
            <w:webHidden/>
          </w:rPr>
          <w:tab/>
        </w:r>
        <w:r w:rsidR="000C648E">
          <w:rPr>
            <w:noProof/>
            <w:webHidden/>
          </w:rPr>
          <w:fldChar w:fldCharType="begin"/>
        </w:r>
        <w:r w:rsidR="000C648E">
          <w:rPr>
            <w:noProof/>
            <w:webHidden/>
          </w:rPr>
          <w:instrText xml:space="preserve"> PAGEREF _Toc12365649 \h </w:instrText>
        </w:r>
        <w:r w:rsidR="000C648E">
          <w:rPr>
            <w:noProof/>
            <w:webHidden/>
          </w:rPr>
        </w:r>
        <w:r w:rsidR="000C648E">
          <w:rPr>
            <w:noProof/>
            <w:webHidden/>
          </w:rPr>
          <w:fldChar w:fldCharType="separate"/>
        </w:r>
        <w:r w:rsidR="00D528AA">
          <w:rPr>
            <w:noProof/>
            <w:webHidden/>
          </w:rPr>
          <w:t>272</w:t>
        </w:r>
        <w:r w:rsidR="000C648E">
          <w:rPr>
            <w:noProof/>
            <w:webHidden/>
          </w:rPr>
          <w:fldChar w:fldCharType="end"/>
        </w:r>
      </w:hyperlink>
    </w:p>
    <w:p w14:paraId="5AB5020F" w14:textId="77777777" w:rsidR="000C648E" w:rsidRDefault="00740B55">
      <w:pPr>
        <w:pStyle w:val="TOC2"/>
        <w:rPr>
          <w:rFonts w:asciiTheme="minorHAnsi" w:eastAsiaTheme="minorEastAsia" w:hAnsiTheme="minorHAnsi" w:cstheme="minorBidi"/>
          <w:noProof/>
          <w:sz w:val="22"/>
          <w:lang w:eastAsia="en-AU"/>
        </w:rPr>
      </w:pPr>
      <w:hyperlink w:anchor="_Toc12365650"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B10 TropWater Auto-analysis methods: Chlorophyll</w:t>
        </w:r>
        <w:r w:rsidR="000C648E">
          <w:rPr>
            <w:noProof/>
            <w:webHidden/>
          </w:rPr>
          <w:tab/>
        </w:r>
        <w:r w:rsidR="000C648E">
          <w:rPr>
            <w:noProof/>
            <w:webHidden/>
          </w:rPr>
          <w:fldChar w:fldCharType="begin"/>
        </w:r>
        <w:r w:rsidR="000C648E">
          <w:rPr>
            <w:noProof/>
            <w:webHidden/>
          </w:rPr>
          <w:instrText xml:space="preserve"> PAGEREF _Toc12365650 \h </w:instrText>
        </w:r>
        <w:r w:rsidR="000C648E">
          <w:rPr>
            <w:noProof/>
            <w:webHidden/>
          </w:rPr>
        </w:r>
        <w:r w:rsidR="000C648E">
          <w:rPr>
            <w:noProof/>
            <w:webHidden/>
          </w:rPr>
          <w:fldChar w:fldCharType="separate"/>
        </w:r>
        <w:r w:rsidR="00D528AA">
          <w:rPr>
            <w:noProof/>
            <w:webHidden/>
          </w:rPr>
          <w:t>290</w:t>
        </w:r>
        <w:r w:rsidR="000C648E">
          <w:rPr>
            <w:noProof/>
            <w:webHidden/>
          </w:rPr>
          <w:fldChar w:fldCharType="end"/>
        </w:r>
      </w:hyperlink>
    </w:p>
    <w:p w14:paraId="6D1CD77B" w14:textId="77777777" w:rsidR="000C648E" w:rsidRDefault="00740B55">
      <w:pPr>
        <w:pStyle w:val="TOC2"/>
        <w:rPr>
          <w:rFonts w:asciiTheme="minorHAnsi" w:eastAsiaTheme="minorEastAsia" w:hAnsiTheme="minorHAnsi" w:cstheme="minorBidi"/>
          <w:noProof/>
          <w:sz w:val="22"/>
          <w:lang w:eastAsia="en-AU"/>
        </w:rPr>
      </w:pPr>
      <w:hyperlink w:anchor="_Toc12365651"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B11 TropWater Auto-analysis methods: Total Suspended Solids</w:t>
        </w:r>
        <w:r w:rsidR="000C648E">
          <w:rPr>
            <w:noProof/>
            <w:webHidden/>
          </w:rPr>
          <w:tab/>
        </w:r>
        <w:r w:rsidR="000C648E">
          <w:rPr>
            <w:noProof/>
            <w:webHidden/>
          </w:rPr>
          <w:fldChar w:fldCharType="begin"/>
        </w:r>
        <w:r w:rsidR="000C648E">
          <w:rPr>
            <w:noProof/>
            <w:webHidden/>
          </w:rPr>
          <w:instrText xml:space="preserve"> PAGEREF _Toc12365651 \h </w:instrText>
        </w:r>
        <w:r w:rsidR="000C648E">
          <w:rPr>
            <w:noProof/>
            <w:webHidden/>
          </w:rPr>
        </w:r>
        <w:r w:rsidR="000C648E">
          <w:rPr>
            <w:noProof/>
            <w:webHidden/>
          </w:rPr>
          <w:fldChar w:fldCharType="separate"/>
        </w:r>
        <w:r w:rsidR="00D528AA">
          <w:rPr>
            <w:noProof/>
            <w:webHidden/>
          </w:rPr>
          <w:t>298</w:t>
        </w:r>
        <w:r w:rsidR="000C648E">
          <w:rPr>
            <w:noProof/>
            <w:webHidden/>
          </w:rPr>
          <w:fldChar w:fldCharType="end"/>
        </w:r>
      </w:hyperlink>
    </w:p>
    <w:p w14:paraId="06838851" w14:textId="77777777" w:rsidR="000C648E" w:rsidRDefault="00740B55">
      <w:pPr>
        <w:pStyle w:val="TOC2"/>
        <w:rPr>
          <w:rFonts w:asciiTheme="minorHAnsi" w:eastAsiaTheme="minorEastAsia" w:hAnsiTheme="minorHAnsi" w:cstheme="minorBidi"/>
          <w:noProof/>
          <w:sz w:val="22"/>
          <w:lang w:eastAsia="en-AU"/>
        </w:rPr>
      </w:pPr>
      <w:hyperlink w:anchor="_Toc12365652"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B12 TropWater Auto-analysis methods: Colored Dissolved Organic Matter</w:t>
        </w:r>
        <w:r w:rsidR="000C648E">
          <w:rPr>
            <w:noProof/>
            <w:webHidden/>
          </w:rPr>
          <w:tab/>
        </w:r>
        <w:r w:rsidR="000C648E">
          <w:rPr>
            <w:noProof/>
            <w:webHidden/>
          </w:rPr>
          <w:fldChar w:fldCharType="begin"/>
        </w:r>
        <w:r w:rsidR="000C648E">
          <w:rPr>
            <w:noProof/>
            <w:webHidden/>
          </w:rPr>
          <w:instrText xml:space="preserve"> PAGEREF _Toc12365652 \h </w:instrText>
        </w:r>
        <w:r w:rsidR="000C648E">
          <w:rPr>
            <w:noProof/>
            <w:webHidden/>
          </w:rPr>
        </w:r>
        <w:r w:rsidR="000C648E">
          <w:rPr>
            <w:noProof/>
            <w:webHidden/>
          </w:rPr>
          <w:fldChar w:fldCharType="separate"/>
        </w:r>
        <w:r w:rsidR="00D528AA">
          <w:rPr>
            <w:noProof/>
            <w:webHidden/>
          </w:rPr>
          <w:t>305</w:t>
        </w:r>
        <w:r w:rsidR="000C648E">
          <w:rPr>
            <w:noProof/>
            <w:webHidden/>
          </w:rPr>
          <w:fldChar w:fldCharType="end"/>
        </w:r>
      </w:hyperlink>
    </w:p>
    <w:p w14:paraId="7F113E00" w14:textId="77777777" w:rsidR="000C648E" w:rsidRDefault="00740B55">
      <w:pPr>
        <w:pStyle w:val="TOC2"/>
        <w:rPr>
          <w:rFonts w:asciiTheme="minorHAnsi" w:eastAsiaTheme="minorEastAsia" w:hAnsiTheme="minorHAnsi" w:cstheme="minorBidi"/>
          <w:noProof/>
          <w:sz w:val="22"/>
          <w:lang w:eastAsia="en-AU"/>
        </w:rPr>
      </w:pPr>
      <w:hyperlink w:anchor="_Toc12365653" w:history="1">
        <w:r w:rsidR="000C648E" w:rsidRPr="0089282B">
          <w:rPr>
            <w:rStyle w:val="Hyperlink"/>
            <w:noProof/>
          </w:rPr>
          <w:t>Appendix</w:t>
        </w:r>
        <w:r w:rsidR="000C648E" w:rsidRPr="0089282B">
          <w:rPr>
            <w:rStyle w:val="Hyperlink"/>
            <w:noProof/>
            <w:spacing w:val="-14"/>
          </w:rPr>
          <w:t xml:space="preserve"> </w:t>
        </w:r>
        <w:r w:rsidR="000C648E" w:rsidRPr="0089282B">
          <w:rPr>
            <w:rStyle w:val="Hyperlink"/>
            <w:noProof/>
          </w:rPr>
          <w:t>B13 TropWater methods: Laboratory Salinity</w:t>
        </w:r>
        <w:r w:rsidR="000C648E">
          <w:rPr>
            <w:noProof/>
            <w:webHidden/>
          </w:rPr>
          <w:tab/>
        </w:r>
        <w:r w:rsidR="000C648E">
          <w:rPr>
            <w:noProof/>
            <w:webHidden/>
          </w:rPr>
          <w:fldChar w:fldCharType="begin"/>
        </w:r>
        <w:r w:rsidR="000C648E">
          <w:rPr>
            <w:noProof/>
            <w:webHidden/>
          </w:rPr>
          <w:instrText xml:space="preserve"> PAGEREF _Toc12365653 \h </w:instrText>
        </w:r>
        <w:r w:rsidR="000C648E">
          <w:rPr>
            <w:noProof/>
            <w:webHidden/>
          </w:rPr>
        </w:r>
        <w:r w:rsidR="000C648E">
          <w:rPr>
            <w:noProof/>
            <w:webHidden/>
          </w:rPr>
          <w:fldChar w:fldCharType="separate"/>
        </w:r>
        <w:r w:rsidR="00D528AA">
          <w:rPr>
            <w:noProof/>
            <w:webHidden/>
          </w:rPr>
          <w:t>307</w:t>
        </w:r>
        <w:r w:rsidR="000C648E">
          <w:rPr>
            <w:noProof/>
            <w:webHidden/>
          </w:rPr>
          <w:fldChar w:fldCharType="end"/>
        </w:r>
      </w:hyperlink>
    </w:p>
    <w:p w14:paraId="0733439B" w14:textId="0E8CA676" w:rsidR="00786471" w:rsidRPr="0058370B" w:rsidRDefault="006345F0" w:rsidP="006345F0">
      <w:pPr>
        <w:pStyle w:val="TOC1"/>
      </w:pPr>
      <w:r>
        <w:rPr>
          <w:rFonts w:cs="Arial"/>
        </w:rPr>
        <w:fldChar w:fldCharType="end"/>
      </w:r>
      <w:r w:rsidR="00786471" w:rsidRPr="0058370B">
        <w:br w:type="page"/>
      </w:r>
    </w:p>
    <w:p w14:paraId="54B5466F" w14:textId="6BF3CAF9" w:rsidR="00114B93" w:rsidRPr="0058370B" w:rsidRDefault="00B23072" w:rsidP="00FE2F59">
      <w:pPr>
        <w:rPr>
          <w:rFonts w:cs="Arial"/>
          <w:b/>
          <w:color w:val="365F91" w:themeColor="accent1" w:themeShade="BF"/>
        </w:rPr>
      </w:pPr>
      <w:r w:rsidRPr="0058370B">
        <w:rPr>
          <w:rFonts w:cs="Arial"/>
          <w:b/>
          <w:color w:val="365F91" w:themeColor="accent1" w:themeShade="BF"/>
        </w:rPr>
        <w:t xml:space="preserve">List of </w:t>
      </w:r>
      <w:r w:rsidR="00686A9D">
        <w:rPr>
          <w:rFonts w:cs="Arial"/>
          <w:b/>
          <w:color w:val="365F91" w:themeColor="accent1" w:themeShade="BF"/>
        </w:rPr>
        <w:t>f</w:t>
      </w:r>
      <w:r w:rsidR="00686A9D" w:rsidRPr="0058370B">
        <w:rPr>
          <w:rFonts w:cs="Arial"/>
          <w:b/>
          <w:color w:val="365F91" w:themeColor="accent1" w:themeShade="BF"/>
        </w:rPr>
        <w:t>igures</w:t>
      </w:r>
    </w:p>
    <w:p w14:paraId="6FBDFEEB" w14:textId="77777777" w:rsidR="004605EE" w:rsidRDefault="004605EE">
      <w:pPr>
        <w:pStyle w:val="TableofFigures"/>
        <w:rPr>
          <w:rFonts w:asciiTheme="minorHAnsi" w:eastAsiaTheme="minorEastAsia" w:hAnsiTheme="minorHAnsi" w:cstheme="minorBidi"/>
          <w:noProof/>
          <w:sz w:val="22"/>
          <w:lang w:eastAsia="en-AU"/>
        </w:rPr>
      </w:pPr>
      <w:r>
        <w:rPr>
          <w:rFonts w:cs="Arial"/>
          <w:b/>
        </w:rPr>
        <w:fldChar w:fldCharType="begin"/>
      </w:r>
      <w:r>
        <w:rPr>
          <w:rFonts w:cs="Arial"/>
          <w:b/>
        </w:rPr>
        <w:instrText xml:space="preserve"> TOC \h \z \c "Figure" </w:instrText>
      </w:r>
      <w:r>
        <w:rPr>
          <w:rFonts w:cs="Arial"/>
          <w:b/>
        </w:rPr>
        <w:fldChar w:fldCharType="separate"/>
      </w:r>
      <w:hyperlink w:anchor="_Toc12361613" w:history="1">
        <w:r w:rsidRPr="00E66A2E">
          <w:rPr>
            <w:rStyle w:val="Hyperlink"/>
            <w:noProof/>
          </w:rPr>
          <w:t>Figure 2</w:t>
        </w:r>
        <w:r w:rsidRPr="00E66A2E">
          <w:rPr>
            <w:rStyle w:val="Hyperlink"/>
            <w:noProof/>
          </w:rPr>
          <w:noBreakHyphen/>
          <w:t>1 MMP water quality sampling sites in the Cape York region shown with water body boundaries.</w:t>
        </w:r>
        <w:r>
          <w:rPr>
            <w:noProof/>
            <w:webHidden/>
          </w:rPr>
          <w:tab/>
        </w:r>
        <w:r>
          <w:rPr>
            <w:noProof/>
            <w:webHidden/>
          </w:rPr>
          <w:fldChar w:fldCharType="begin"/>
        </w:r>
        <w:r>
          <w:rPr>
            <w:noProof/>
            <w:webHidden/>
          </w:rPr>
          <w:instrText xml:space="preserve"> PAGEREF _Toc12361613 \h </w:instrText>
        </w:r>
        <w:r>
          <w:rPr>
            <w:noProof/>
            <w:webHidden/>
          </w:rPr>
        </w:r>
        <w:r>
          <w:rPr>
            <w:noProof/>
            <w:webHidden/>
          </w:rPr>
          <w:fldChar w:fldCharType="separate"/>
        </w:r>
        <w:r w:rsidR="00D528AA">
          <w:rPr>
            <w:noProof/>
            <w:webHidden/>
          </w:rPr>
          <w:t>16</w:t>
        </w:r>
        <w:r>
          <w:rPr>
            <w:noProof/>
            <w:webHidden/>
          </w:rPr>
          <w:fldChar w:fldCharType="end"/>
        </w:r>
      </w:hyperlink>
    </w:p>
    <w:p w14:paraId="66E96AD7" w14:textId="77777777" w:rsidR="004605EE" w:rsidRDefault="00740B55">
      <w:pPr>
        <w:pStyle w:val="TableofFigures"/>
        <w:rPr>
          <w:rFonts w:asciiTheme="minorHAnsi" w:eastAsiaTheme="minorEastAsia" w:hAnsiTheme="minorHAnsi" w:cstheme="minorBidi"/>
          <w:noProof/>
          <w:sz w:val="22"/>
          <w:lang w:eastAsia="en-AU"/>
        </w:rPr>
      </w:pPr>
      <w:hyperlink w:anchor="_Toc12361614" w:history="1">
        <w:r w:rsidR="004605EE" w:rsidRPr="00E66A2E">
          <w:rPr>
            <w:rStyle w:val="Hyperlink"/>
            <w:noProof/>
          </w:rPr>
          <w:t>Figure 2</w:t>
        </w:r>
        <w:r w:rsidR="004605EE" w:rsidRPr="00E66A2E">
          <w:rPr>
            <w:rStyle w:val="Hyperlink"/>
            <w:noProof/>
          </w:rPr>
          <w:noBreakHyphen/>
          <w:t>2 MMP water quality sampling sites in the Wet Tropics region including the Barron Daintree, Russell-Mulgrave and Tully focus areas, shown with water body boundaries.</w:t>
        </w:r>
        <w:r w:rsidR="004605EE">
          <w:rPr>
            <w:noProof/>
            <w:webHidden/>
          </w:rPr>
          <w:tab/>
        </w:r>
        <w:r w:rsidR="004605EE">
          <w:rPr>
            <w:noProof/>
            <w:webHidden/>
          </w:rPr>
          <w:fldChar w:fldCharType="begin"/>
        </w:r>
        <w:r w:rsidR="004605EE">
          <w:rPr>
            <w:noProof/>
            <w:webHidden/>
          </w:rPr>
          <w:instrText xml:space="preserve"> PAGEREF _Toc12361614 \h </w:instrText>
        </w:r>
        <w:r w:rsidR="004605EE">
          <w:rPr>
            <w:noProof/>
            <w:webHidden/>
          </w:rPr>
        </w:r>
        <w:r w:rsidR="004605EE">
          <w:rPr>
            <w:noProof/>
            <w:webHidden/>
          </w:rPr>
          <w:fldChar w:fldCharType="separate"/>
        </w:r>
        <w:r w:rsidR="00D528AA">
          <w:rPr>
            <w:noProof/>
            <w:webHidden/>
          </w:rPr>
          <w:t>17</w:t>
        </w:r>
        <w:r w:rsidR="004605EE">
          <w:rPr>
            <w:noProof/>
            <w:webHidden/>
          </w:rPr>
          <w:fldChar w:fldCharType="end"/>
        </w:r>
      </w:hyperlink>
    </w:p>
    <w:p w14:paraId="23B4B969" w14:textId="77777777" w:rsidR="004605EE" w:rsidRDefault="00740B55">
      <w:pPr>
        <w:pStyle w:val="TableofFigures"/>
        <w:rPr>
          <w:rFonts w:asciiTheme="minorHAnsi" w:eastAsiaTheme="minorEastAsia" w:hAnsiTheme="minorHAnsi" w:cstheme="minorBidi"/>
          <w:noProof/>
          <w:sz w:val="22"/>
          <w:lang w:eastAsia="en-AU"/>
        </w:rPr>
      </w:pPr>
      <w:hyperlink w:anchor="_Toc12361615" w:history="1">
        <w:r w:rsidR="004605EE" w:rsidRPr="00E66A2E">
          <w:rPr>
            <w:rStyle w:val="Hyperlink"/>
            <w:noProof/>
          </w:rPr>
          <w:t>Figure 2</w:t>
        </w:r>
        <w:r w:rsidR="004605EE" w:rsidRPr="00E66A2E">
          <w:rPr>
            <w:rStyle w:val="Hyperlink"/>
            <w:noProof/>
          </w:rPr>
          <w:noBreakHyphen/>
          <w:t>3 Sampling MMP sampling sites in the Burdekin focus area, shown with the water body boundaries.</w:t>
        </w:r>
        <w:r w:rsidR="004605EE">
          <w:rPr>
            <w:noProof/>
            <w:webHidden/>
          </w:rPr>
          <w:tab/>
        </w:r>
        <w:r w:rsidR="004605EE">
          <w:rPr>
            <w:noProof/>
            <w:webHidden/>
          </w:rPr>
          <w:fldChar w:fldCharType="begin"/>
        </w:r>
        <w:r w:rsidR="004605EE">
          <w:rPr>
            <w:noProof/>
            <w:webHidden/>
          </w:rPr>
          <w:instrText xml:space="preserve"> PAGEREF _Toc12361615 \h </w:instrText>
        </w:r>
        <w:r w:rsidR="004605EE">
          <w:rPr>
            <w:noProof/>
            <w:webHidden/>
          </w:rPr>
        </w:r>
        <w:r w:rsidR="004605EE">
          <w:rPr>
            <w:noProof/>
            <w:webHidden/>
          </w:rPr>
          <w:fldChar w:fldCharType="separate"/>
        </w:r>
        <w:r w:rsidR="00D528AA">
          <w:rPr>
            <w:noProof/>
            <w:webHidden/>
          </w:rPr>
          <w:t>18</w:t>
        </w:r>
        <w:r w:rsidR="004605EE">
          <w:rPr>
            <w:noProof/>
            <w:webHidden/>
          </w:rPr>
          <w:fldChar w:fldCharType="end"/>
        </w:r>
      </w:hyperlink>
    </w:p>
    <w:p w14:paraId="6739BBEC" w14:textId="77777777" w:rsidR="004605EE" w:rsidRDefault="00740B55">
      <w:pPr>
        <w:pStyle w:val="TableofFigures"/>
        <w:rPr>
          <w:rFonts w:asciiTheme="minorHAnsi" w:eastAsiaTheme="minorEastAsia" w:hAnsiTheme="minorHAnsi" w:cstheme="minorBidi"/>
          <w:noProof/>
          <w:sz w:val="22"/>
          <w:lang w:eastAsia="en-AU"/>
        </w:rPr>
      </w:pPr>
      <w:hyperlink w:anchor="_Toc12361616" w:history="1">
        <w:r w:rsidR="004605EE" w:rsidRPr="00E66A2E">
          <w:rPr>
            <w:rStyle w:val="Hyperlink"/>
            <w:noProof/>
          </w:rPr>
          <w:t>Figure 2</w:t>
        </w:r>
        <w:r w:rsidR="004605EE" w:rsidRPr="00E66A2E">
          <w:rPr>
            <w:rStyle w:val="Hyperlink"/>
            <w:noProof/>
          </w:rPr>
          <w:noBreakHyphen/>
          <w:t>4 Sampling locations under the MMP inshore marine water quality task for the Mackay- Whitsunday regions.</w:t>
        </w:r>
        <w:r w:rsidR="004605EE">
          <w:rPr>
            <w:noProof/>
            <w:webHidden/>
          </w:rPr>
          <w:tab/>
        </w:r>
        <w:r w:rsidR="004605EE">
          <w:rPr>
            <w:noProof/>
            <w:webHidden/>
          </w:rPr>
          <w:fldChar w:fldCharType="begin"/>
        </w:r>
        <w:r w:rsidR="004605EE">
          <w:rPr>
            <w:noProof/>
            <w:webHidden/>
          </w:rPr>
          <w:instrText xml:space="preserve"> PAGEREF _Toc12361616 \h </w:instrText>
        </w:r>
        <w:r w:rsidR="004605EE">
          <w:rPr>
            <w:noProof/>
            <w:webHidden/>
          </w:rPr>
        </w:r>
        <w:r w:rsidR="004605EE">
          <w:rPr>
            <w:noProof/>
            <w:webHidden/>
          </w:rPr>
          <w:fldChar w:fldCharType="separate"/>
        </w:r>
        <w:r w:rsidR="00D528AA">
          <w:rPr>
            <w:noProof/>
            <w:webHidden/>
          </w:rPr>
          <w:t>18</w:t>
        </w:r>
        <w:r w:rsidR="004605EE">
          <w:rPr>
            <w:noProof/>
            <w:webHidden/>
          </w:rPr>
          <w:fldChar w:fldCharType="end"/>
        </w:r>
      </w:hyperlink>
    </w:p>
    <w:p w14:paraId="2CEB3137" w14:textId="77777777" w:rsidR="004605EE" w:rsidRDefault="00740B55">
      <w:pPr>
        <w:pStyle w:val="TableofFigures"/>
        <w:rPr>
          <w:rFonts w:asciiTheme="minorHAnsi" w:eastAsiaTheme="minorEastAsia" w:hAnsiTheme="minorHAnsi" w:cstheme="minorBidi"/>
          <w:noProof/>
          <w:sz w:val="22"/>
          <w:lang w:eastAsia="en-AU"/>
        </w:rPr>
      </w:pPr>
      <w:hyperlink w:anchor="_Toc12361617" w:history="1">
        <w:r w:rsidR="004605EE" w:rsidRPr="00E66A2E">
          <w:rPr>
            <w:rStyle w:val="Hyperlink"/>
            <w:noProof/>
          </w:rPr>
          <w:t>Figure 2</w:t>
        </w:r>
        <w:r w:rsidR="004605EE" w:rsidRPr="00E66A2E">
          <w:rPr>
            <w:rStyle w:val="Hyperlink"/>
            <w:noProof/>
          </w:rPr>
          <w:noBreakHyphen/>
          <w:t>5 Correlation between instrument readings of turbidity (NTU) from field deployments of WET Labs Eco FLNTUSB loggers with values from concurrently-collected total suspended solids (TSS) samples.</w:t>
        </w:r>
        <w:r w:rsidR="004605EE">
          <w:rPr>
            <w:noProof/>
            <w:webHidden/>
          </w:rPr>
          <w:tab/>
        </w:r>
        <w:r w:rsidR="004605EE">
          <w:rPr>
            <w:noProof/>
            <w:webHidden/>
          </w:rPr>
          <w:fldChar w:fldCharType="begin"/>
        </w:r>
        <w:r w:rsidR="004605EE">
          <w:rPr>
            <w:noProof/>
            <w:webHidden/>
          </w:rPr>
          <w:instrText xml:space="preserve"> PAGEREF _Toc12361617 \h </w:instrText>
        </w:r>
        <w:r w:rsidR="004605EE">
          <w:rPr>
            <w:noProof/>
            <w:webHidden/>
          </w:rPr>
        </w:r>
        <w:r w:rsidR="004605EE">
          <w:rPr>
            <w:noProof/>
            <w:webHidden/>
          </w:rPr>
          <w:fldChar w:fldCharType="separate"/>
        </w:r>
        <w:r w:rsidR="00D528AA">
          <w:rPr>
            <w:noProof/>
            <w:webHidden/>
          </w:rPr>
          <w:t>26</w:t>
        </w:r>
        <w:r w:rsidR="004605EE">
          <w:rPr>
            <w:noProof/>
            <w:webHidden/>
          </w:rPr>
          <w:fldChar w:fldCharType="end"/>
        </w:r>
      </w:hyperlink>
    </w:p>
    <w:p w14:paraId="55CBD4B5" w14:textId="77777777" w:rsidR="004605EE" w:rsidRDefault="00740B55">
      <w:pPr>
        <w:pStyle w:val="TableofFigures"/>
        <w:rPr>
          <w:rFonts w:asciiTheme="minorHAnsi" w:eastAsiaTheme="minorEastAsia" w:hAnsiTheme="minorHAnsi" w:cstheme="minorBidi"/>
          <w:noProof/>
          <w:sz w:val="22"/>
          <w:lang w:eastAsia="en-AU"/>
        </w:rPr>
      </w:pPr>
      <w:hyperlink w:anchor="_Toc12361618" w:history="1">
        <w:r w:rsidR="004605EE" w:rsidRPr="00E66A2E">
          <w:rPr>
            <w:rStyle w:val="Hyperlink"/>
            <w:noProof/>
          </w:rPr>
          <w:t>Figure 2</w:t>
        </w:r>
        <w:r w:rsidR="004605EE" w:rsidRPr="00E66A2E">
          <w:rPr>
            <w:rStyle w:val="Hyperlink"/>
            <w:noProof/>
          </w:rPr>
          <w:noBreakHyphen/>
          <w:t>6 Flow chart outlining the JCU procedures and QA/QC measures once samples have been collected in the field.</w:t>
        </w:r>
        <w:r w:rsidR="004605EE">
          <w:rPr>
            <w:noProof/>
            <w:webHidden/>
          </w:rPr>
          <w:tab/>
        </w:r>
        <w:r w:rsidR="004605EE">
          <w:rPr>
            <w:noProof/>
            <w:webHidden/>
          </w:rPr>
          <w:fldChar w:fldCharType="begin"/>
        </w:r>
        <w:r w:rsidR="004605EE">
          <w:rPr>
            <w:noProof/>
            <w:webHidden/>
          </w:rPr>
          <w:instrText xml:space="preserve"> PAGEREF _Toc12361618 \h </w:instrText>
        </w:r>
        <w:r w:rsidR="004605EE">
          <w:rPr>
            <w:noProof/>
            <w:webHidden/>
          </w:rPr>
        </w:r>
        <w:r w:rsidR="004605EE">
          <w:rPr>
            <w:noProof/>
            <w:webHidden/>
          </w:rPr>
          <w:fldChar w:fldCharType="separate"/>
        </w:r>
        <w:r w:rsidR="00D528AA">
          <w:rPr>
            <w:noProof/>
            <w:webHidden/>
          </w:rPr>
          <w:t>28</w:t>
        </w:r>
        <w:r w:rsidR="004605EE">
          <w:rPr>
            <w:noProof/>
            <w:webHidden/>
          </w:rPr>
          <w:fldChar w:fldCharType="end"/>
        </w:r>
      </w:hyperlink>
    </w:p>
    <w:p w14:paraId="07AC19C5" w14:textId="77777777" w:rsidR="004605EE" w:rsidRDefault="00740B55">
      <w:pPr>
        <w:pStyle w:val="TableofFigures"/>
        <w:rPr>
          <w:rFonts w:asciiTheme="minorHAnsi" w:eastAsiaTheme="minorEastAsia" w:hAnsiTheme="minorHAnsi" w:cstheme="minorBidi"/>
          <w:noProof/>
          <w:sz w:val="22"/>
          <w:lang w:eastAsia="en-AU"/>
        </w:rPr>
      </w:pPr>
      <w:hyperlink w:anchor="_Toc12361619" w:history="1">
        <w:r w:rsidR="004605EE" w:rsidRPr="00E66A2E">
          <w:rPr>
            <w:rStyle w:val="Hyperlink"/>
            <w:noProof/>
          </w:rPr>
          <w:t>Figure 2</w:t>
        </w:r>
        <w:r w:rsidR="004605EE" w:rsidRPr="00E66A2E">
          <w:rPr>
            <w:rStyle w:val="Hyperlink"/>
            <w:noProof/>
          </w:rPr>
          <w:noBreakHyphen/>
          <w:t xml:space="preserve">7 Relationships between (a) salinity, (b) total suspended solids, (c) chlorophyll </w:t>
        </w:r>
        <w:r w:rsidR="004605EE" w:rsidRPr="00E66A2E">
          <w:rPr>
            <w:rStyle w:val="Hyperlink"/>
            <w:i/>
            <w:noProof/>
          </w:rPr>
          <w:t>a</w:t>
        </w:r>
        <w:r w:rsidR="004605EE" w:rsidRPr="00E66A2E">
          <w:rPr>
            <w:rStyle w:val="Hyperlink"/>
            <w:noProof/>
          </w:rPr>
          <w:t>, (d) silicate, (e) nitrate and (f) phosphate (DIP or FRP) measured by AIMS (x-axis) and JCU (y-axis). Solid lines represent a linear regression</w:t>
        </w:r>
        <w:r w:rsidR="004605EE">
          <w:rPr>
            <w:noProof/>
            <w:webHidden/>
          </w:rPr>
          <w:tab/>
        </w:r>
        <w:r w:rsidR="004605EE">
          <w:rPr>
            <w:noProof/>
            <w:webHidden/>
          </w:rPr>
          <w:fldChar w:fldCharType="begin"/>
        </w:r>
        <w:r w:rsidR="004605EE">
          <w:rPr>
            <w:noProof/>
            <w:webHidden/>
          </w:rPr>
          <w:instrText xml:space="preserve"> PAGEREF _Toc12361619 \h </w:instrText>
        </w:r>
        <w:r w:rsidR="004605EE">
          <w:rPr>
            <w:noProof/>
            <w:webHidden/>
          </w:rPr>
        </w:r>
        <w:r w:rsidR="004605EE">
          <w:rPr>
            <w:noProof/>
            <w:webHidden/>
          </w:rPr>
          <w:fldChar w:fldCharType="separate"/>
        </w:r>
        <w:r w:rsidR="00D528AA">
          <w:rPr>
            <w:noProof/>
            <w:webHidden/>
          </w:rPr>
          <w:t>30</w:t>
        </w:r>
        <w:r w:rsidR="004605EE">
          <w:rPr>
            <w:noProof/>
            <w:webHidden/>
          </w:rPr>
          <w:fldChar w:fldCharType="end"/>
        </w:r>
      </w:hyperlink>
    </w:p>
    <w:p w14:paraId="70655143" w14:textId="77777777" w:rsidR="004605EE" w:rsidRDefault="00740B55">
      <w:pPr>
        <w:pStyle w:val="TableofFigures"/>
        <w:rPr>
          <w:rFonts w:asciiTheme="minorHAnsi" w:eastAsiaTheme="minorEastAsia" w:hAnsiTheme="minorHAnsi" w:cstheme="minorBidi"/>
          <w:noProof/>
          <w:sz w:val="22"/>
          <w:lang w:eastAsia="en-AU"/>
        </w:rPr>
      </w:pPr>
      <w:hyperlink w:anchor="_Toc12361620" w:history="1">
        <w:r w:rsidR="004605EE" w:rsidRPr="00E66A2E">
          <w:rPr>
            <w:rStyle w:val="Hyperlink"/>
            <w:noProof/>
          </w:rPr>
          <w:t>Figure 3</w:t>
        </w:r>
        <w:r w:rsidR="004605EE" w:rsidRPr="00E66A2E">
          <w:rPr>
            <w:rStyle w:val="Hyperlink"/>
            <w:noProof/>
          </w:rPr>
          <w:noBreakHyphen/>
          <w:t>1 Summary description of the wet season water quality products from remote sensing information (modified from Devlin et al., 2015).</w:t>
        </w:r>
        <w:r w:rsidR="004605EE">
          <w:rPr>
            <w:noProof/>
            <w:webHidden/>
          </w:rPr>
          <w:tab/>
        </w:r>
        <w:r w:rsidR="004605EE">
          <w:rPr>
            <w:noProof/>
            <w:webHidden/>
          </w:rPr>
          <w:fldChar w:fldCharType="begin"/>
        </w:r>
        <w:r w:rsidR="004605EE">
          <w:rPr>
            <w:noProof/>
            <w:webHidden/>
          </w:rPr>
          <w:instrText xml:space="preserve"> PAGEREF _Toc12361620 \h </w:instrText>
        </w:r>
        <w:r w:rsidR="004605EE">
          <w:rPr>
            <w:noProof/>
            <w:webHidden/>
          </w:rPr>
        </w:r>
        <w:r w:rsidR="004605EE">
          <w:rPr>
            <w:noProof/>
            <w:webHidden/>
          </w:rPr>
          <w:fldChar w:fldCharType="separate"/>
        </w:r>
        <w:r w:rsidR="00D528AA">
          <w:rPr>
            <w:noProof/>
            <w:webHidden/>
          </w:rPr>
          <w:t>32</w:t>
        </w:r>
        <w:r w:rsidR="004605EE">
          <w:rPr>
            <w:noProof/>
            <w:webHidden/>
          </w:rPr>
          <w:fldChar w:fldCharType="end"/>
        </w:r>
      </w:hyperlink>
    </w:p>
    <w:p w14:paraId="79EB681B" w14:textId="77777777" w:rsidR="004605EE" w:rsidRDefault="00740B55">
      <w:pPr>
        <w:pStyle w:val="TableofFigures"/>
        <w:rPr>
          <w:rFonts w:asciiTheme="minorHAnsi" w:eastAsiaTheme="minorEastAsia" w:hAnsiTheme="minorHAnsi" w:cstheme="minorBidi"/>
          <w:noProof/>
          <w:sz w:val="22"/>
          <w:lang w:eastAsia="en-AU"/>
        </w:rPr>
      </w:pPr>
      <w:hyperlink w:anchor="_Toc12361621" w:history="1">
        <w:r w:rsidR="004605EE" w:rsidRPr="00E66A2E">
          <w:rPr>
            <w:rStyle w:val="Hyperlink"/>
            <w:noProof/>
          </w:rPr>
          <w:t>Figure 4</w:t>
        </w:r>
        <w:r w:rsidR="004605EE" w:rsidRPr="00E66A2E">
          <w:rPr>
            <w:rStyle w:val="Hyperlink"/>
            <w:noProof/>
          </w:rPr>
          <w:noBreakHyphen/>
          <w:t>1 Locations of the 11 inshore reef routine monitoring sites where time-integrated sampling of pesticides have occurred from the 2014 monitoring year onwards.</w:t>
        </w:r>
        <w:r w:rsidR="004605EE">
          <w:rPr>
            <w:noProof/>
            <w:webHidden/>
          </w:rPr>
          <w:tab/>
        </w:r>
        <w:r w:rsidR="004605EE">
          <w:rPr>
            <w:noProof/>
            <w:webHidden/>
          </w:rPr>
          <w:fldChar w:fldCharType="begin"/>
        </w:r>
        <w:r w:rsidR="004605EE">
          <w:rPr>
            <w:noProof/>
            <w:webHidden/>
          </w:rPr>
          <w:instrText xml:space="preserve"> PAGEREF _Toc12361621 \h </w:instrText>
        </w:r>
        <w:r w:rsidR="004605EE">
          <w:rPr>
            <w:noProof/>
            <w:webHidden/>
          </w:rPr>
        </w:r>
        <w:r w:rsidR="004605EE">
          <w:rPr>
            <w:noProof/>
            <w:webHidden/>
          </w:rPr>
          <w:fldChar w:fldCharType="separate"/>
        </w:r>
        <w:r w:rsidR="00D528AA">
          <w:rPr>
            <w:noProof/>
            <w:webHidden/>
          </w:rPr>
          <w:t>39</w:t>
        </w:r>
        <w:r w:rsidR="004605EE">
          <w:rPr>
            <w:noProof/>
            <w:webHidden/>
          </w:rPr>
          <w:fldChar w:fldCharType="end"/>
        </w:r>
      </w:hyperlink>
    </w:p>
    <w:p w14:paraId="5705BBE2" w14:textId="77777777" w:rsidR="004605EE" w:rsidRDefault="00740B55">
      <w:pPr>
        <w:pStyle w:val="TableofFigures"/>
        <w:rPr>
          <w:rFonts w:asciiTheme="minorHAnsi" w:eastAsiaTheme="minorEastAsia" w:hAnsiTheme="minorHAnsi" w:cstheme="minorBidi"/>
          <w:noProof/>
          <w:sz w:val="22"/>
          <w:lang w:eastAsia="en-AU"/>
        </w:rPr>
      </w:pPr>
      <w:hyperlink w:anchor="_Toc12361622" w:history="1">
        <w:r w:rsidR="004605EE" w:rsidRPr="00E66A2E">
          <w:rPr>
            <w:rStyle w:val="Hyperlink"/>
            <w:noProof/>
          </w:rPr>
          <w:t>Figure 4</w:t>
        </w:r>
        <w:r w:rsidR="004605EE" w:rsidRPr="00E66A2E">
          <w:rPr>
            <w:rStyle w:val="Hyperlink"/>
            <w:noProof/>
          </w:rPr>
          <w:noBreakHyphen/>
          <w:t>2 An Empore Disk being loaded into the teflon Chemcatcher housing (LHS) and an assembled housing ready for deployment (RHS)</w:t>
        </w:r>
        <w:r w:rsidR="004605EE">
          <w:rPr>
            <w:noProof/>
            <w:webHidden/>
          </w:rPr>
          <w:tab/>
        </w:r>
        <w:r w:rsidR="004605EE">
          <w:rPr>
            <w:noProof/>
            <w:webHidden/>
          </w:rPr>
          <w:fldChar w:fldCharType="begin"/>
        </w:r>
        <w:r w:rsidR="004605EE">
          <w:rPr>
            <w:noProof/>
            <w:webHidden/>
          </w:rPr>
          <w:instrText xml:space="preserve"> PAGEREF _Toc12361622 \h </w:instrText>
        </w:r>
        <w:r w:rsidR="004605EE">
          <w:rPr>
            <w:noProof/>
            <w:webHidden/>
          </w:rPr>
        </w:r>
        <w:r w:rsidR="004605EE">
          <w:rPr>
            <w:noProof/>
            <w:webHidden/>
          </w:rPr>
          <w:fldChar w:fldCharType="separate"/>
        </w:r>
        <w:r w:rsidR="00D528AA">
          <w:rPr>
            <w:noProof/>
            <w:webHidden/>
          </w:rPr>
          <w:t>46</w:t>
        </w:r>
        <w:r w:rsidR="004605EE">
          <w:rPr>
            <w:noProof/>
            <w:webHidden/>
          </w:rPr>
          <w:fldChar w:fldCharType="end"/>
        </w:r>
      </w:hyperlink>
    </w:p>
    <w:p w14:paraId="1205B27C" w14:textId="77777777" w:rsidR="004605EE" w:rsidRDefault="00740B55">
      <w:pPr>
        <w:pStyle w:val="TableofFigures"/>
        <w:rPr>
          <w:rFonts w:asciiTheme="minorHAnsi" w:eastAsiaTheme="minorEastAsia" w:hAnsiTheme="minorHAnsi" w:cstheme="minorBidi"/>
          <w:noProof/>
          <w:sz w:val="22"/>
          <w:lang w:eastAsia="en-AU"/>
        </w:rPr>
      </w:pPr>
      <w:hyperlink w:anchor="_Toc12361623" w:history="1">
        <w:r w:rsidR="004605EE" w:rsidRPr="00E66A2E">
          <w:rPr>
            <w:rStyle w:val="Hyperlink"/>
            <w:noProof/>
          </w:rPr>
          <w:t>Figure 4</w:t>
        </w:r>
        <w:r w:rsidR="004605EE" w:rsidRPr="00E66A2E">
          <w:rPr>
            <w:rStyle w:val="Hyperlink"/>
            <w:noProof/>
          </w:rPr>
          <w:noBreakHyphen/>
          <w:t>3 Passive flow monitors pre-deployment (left-hand side) and post-deployment (right-hand side)</w:t>
        </w:r>
        <w:r w:rsidR="004605EE">
          <w:rPr>
            <w:noProof/>
            <w:webHidden/>
          </w:rPr>
          <w:tab/>
        </w:r>
        <w:r w:rsidR="004605EE">
          <w:rPr>
            <w:noProof/>
            <w:webHidden/>
          </w:rPr>
          <w:fldChar w:fldCharType="begin"/>
        </w:r>
        <w:r w:rsidR="004605EE">
          <w:rPr>
            <w:noProof/>
            <w:webHidden/>
          </w:rPr>
          <w:instrText xml:space="preserve"> PAGEREF _Toc12361623 \h </w:instrText>
        </w:r>
        <w:r w:rsidR="004605EE">
          <w:rPr>
            <w:noProof/>
            <w:webHidden/>
          </w:rPr>
        </w:r>
        <w:r w:rsidR="004605EE">
          <w:rPr>
            <w:noProof/>
            <w:webHidden/>
          </w:rPr>
          <w:fldChar w:fldCharType="separate"/>
        </w:r>
        <w:r w:rsidR="00D528AA">
          <w:rPr>
            <w:noProof/>
            <w:webHidden/>
          </w:rPr>
          <w:t>46</w:t>
        </w:r>
        <w:r w:rsidR="004605EE">
          <w:rPr>
            <w:noProof/>
            <w:webHidden/>
          </w:rPr>
          <w:fldChar w:fldCharType="end"/>
        </w:r>
      </w:hyperlink>
    </w:p>
    <w:p w14:paraId="7F9CE94E" w14:textId="77777777" w:rsidR="004605EE" w:rsidRDefault="00740B55">
      <w:pPr>
        <w:pStyle w:val="TableofFigures"/>
        <w:rPr>
          <w:rFonts w:asciiTheme="minorHAnsi" w:eastAsiaTheme="minorEastAsia" w:hAnsiTheme="minorHAnsi" w:cstheme="minorBidi"/>
          <w:noProof/>
          <w:sz w:val="22"/>
          <w:lang w:eastAsia="en-AU"/>
        </w:rPr>
      </w:pPr>
      <w:hyperlink w:anchor="_Toc12361624" w:history="1">
        <w:r w:rsidR="004605EE" w:rsidRPr="00E66A2E">
          <w:rPr>
            <w:rStyle w:val="Hyperlink"/>
            <w:noProof/>
          </w:rPr>
          <w:t>Figure 4</w:t>
        </w:r>
        <w:r w:rsidR="004605EE" w:rsidRPr="00E66A2E">
          <w:rPr>
            <w:rStyle w:val="Hyperlink"/>
            <w:noProof/>
          </w:rPr>
          <w:noBreakHyphen/>
          <w:t>4 Relationship between flow and sampling rates of specific herbicides indicating a shift from aqueous boundary layer control to diffusion limiting membrane control under higher flow conditions</w:t>
        </w:r>
        <w:r w:rsidR="004605EE">
          <w:rPr>
            <w:noProof/>
            <w:webHidden/>
          </w:rPr>
          <w:tab/>
        </w:r>
        <w:r w:rsidR="004605EE">
          <w:rPr>
            <w:noProof/>
            <w:webHidden/>
          </w:rPr>
          <w:fldChar w:fldCharType="begin"/>
        </w:r>
        <w:r w:rsidR="004605EE">
          <w:rPr>
            <w:noProof/>
            <w:webHidden/>
          </w:rPr>
          <w:instrText xml:space="preserve"> PAGEREF _Toc12361624 \h </w:instrText>
        </w:r>
        <w:r w:rsidR="004605EE">
          <w:rPr>
            <w:noProof/>
            <w:webHidden/>
          </w:rPr>
        </w:r>
        <w:r w:rsidR="004605EE">
          <w:rPr>
            <w:noProof/>
            <w:webHidden/>
          </w:rPr>
          <w:fldChar w:fldCharType="separate"/>
        </w:r>
        <w:r w:rsidR="00D528AA">
          <w:rPr>
            <w:noProof/>
            <w:webHidden/>
          </w:rPr>
          <w:t>47</w:t>
        </w:r>
        <w:r w:rsidR="004605EE">
          <w:rPr>
            <w:noProof/>
            <w:webHidden/>
          </w:rPr>
          <w:fldChar w:fldCharType="end"/>
        </w:r>
      </w:hyperlink>
    </w:p>
    <w:p w14:paraId="41AF4042" w14:textId="77777777" w:rsidR="004605EE" w:rsidRDefault="00740B55">
      <w:pPr>
        <w:pStyle w:val="TableofFigures"/>
        <w:rPr>
          <w:rFonts w:asciiTheme="minorHAnsi" w:eastAsiaTheme="minorEastAsia" w:hAnsiTheme="minorHAnsi" w:cstheme="minorBidi"/>
          <w:noProof/>
          <w:sz w:val="22"/>
          <w:lang w:eastAsia="en-AU"/>
        </w:rPr>
      </w:pPr>
      <w:hyperlink w:anchor="_Toc12361625" w:history="1">
        <w:r w:rsidR="004605EE" w:rsidRPr="00E66A2E">
          <w:rPr>
            <w:rStyle w:val="Hyperlink"/>
            <w:noProof/>
          </w:rPr>
          <w:t>Figure 4</w:t>
        </w:r>
        <w:r w:rsidR="004605EE" w:rsidRPr="00E66A2E">
          <w:rPr>
            <w:rStyle w:val="Hyperlink"/>
            <w:noProof/>
          </w:rPr>
          <w:noBreakHyphen/>
          <w:t>5 Overview of approach to determine a multi-substance species sensitivity distribution for a mixture of herbicides with the same mode of action (concentration additive model).</w:t>
        </w:r>
        <w:r w:rsidR="004605EE">
          <w:rPr>
            <w:noProof/>
            <w:webHidden/>
          </w:rPr>
          <w:tab/>
        </w:r>
        <w:r w:rsidR="004605EE">
          <w:rPr>
            <w:noProof/>
            <w:webHidden/>
          </w:rPr>
          <w:fldChar w:fldCharType="begin"/>
        </w:r>
        <w:r w:rsidR="004605EE">
          <w:rPr>
            <w:noProof/>
            <w:webHidden/>
          </w:rPr>
          <w:instrText xml:space="preserve"> PAGEREF _Toc12361625 \h </w:instrText>
        </w:r>
        <w:r w:rsidR="004605EE">
          <w:rPr>
            <w:noProof/>
            <w:webHidden/>
          </w:rPr>
        </w:r>
        <w:r w:rsidR="004605EE">
          <w:rPr>
            <w:noProof/>
            <w:webHidden/>
          </w:rPr>
          <w:fldChar w:fldCharType="separate"/>
        </w:r>
        <w:r w:rsidR="00D528AA">
          <w:rPr>
            <w:noProof/>
            <w:webHidden/>
          </w:rPr>
          <w:t>50</w:t>
        </w:r>
        <w:r w:rsidR="004605EE">
          <w:rPr>
            <w:noProof/>
            <w:webHidden/>
          </w:rPr>
          <w:fldChar w:fldCharType="end"/>
        </w:r>
      </w:hyperlink>
    </w:p>
    <w:p w14:paraId="7B41059B" w14:textId="77777777" w:rsidR="004605EE" w:rsidRDefault="00740B55">
      <w:pPr>
        <w:pStyle w:val="TableofFigures"/>
        <w:rPr>
          <w:rFonts w:asciiTheme="minorHAnsi" w:eastAsiaTheme="minorEastAsia" w:hAnsiTheme="minorHAnsi" w:cstheme="minorBidi"/>
          <w:noProof/>
          <w:sz w:val="22"/>
          <w:lang w:eastAsia="en-AU"/>
        </w:rPr>
      </w:pPr>
      <w:hyperlink w:anchor="_Toc12361626" w:history="1">
        <w:r w:rsidR="004605EE" w:rsidRPr="00E66A2E">
          <w:rPr>
            <w:rStyle w:val="Hyperlink"/>
            <w:noProof/>
          </w:rPr>
          <w:t>Figure 4</w:t>
        </w:r>
        <w:r w:rsidR="004605EE" w:rsidRPr="00E66A2E">
          <w:rPr>
            <w:rStyle w:val="Hyperlink"/>
            <w:noProof/>
          </w:rPr>
          <w:noBreakHyphen/>
          <w:t>6 PDMS passive samplers loaded onto stainless steel sampler supports that sits within the deployment cage and is sealed in place with wing nuts</w:t>
        </w:r>
        <w:r w:rsidR="004605EE">
          <w:rPr>
            <w:noProof/>
            <w:webHidden/>
          </w:rPr>
          <w:tab/>
        </w:r>
        <w:r w:rsidR="004605EE">
          <w:rPr>
            <w:noProof/>
            <w:webHidden/>
          </w:rPr>
          <w:fldChar w:fldCharType="begin"/>
        </w:r>
        <w:r w:rsidR="004605EE">
          <w:rPr>
            <w:noProof/>
            <w:webHidden/>
          </w:rPr>
          <w:instrText xml:space="preserve"> PAGEREF _Toc12361626 \h </w:instrText>
        </w:r>
        <w:r w:rsidR="004605EE">
          <w:rPr>
            <w:noProof/>
            <w:webHidden/>
          </w:rPr>
        </w:r>
        <w:r w:rsidR="004605EE">
          <w:rPr>
            <w:noProof/>
            <w:webHidden/>
          </w:rPr>
          <w:fldChar w:fldCharType="separate"/>
        </w:r>
        <w:r w:rsidR="00D528AA">
          <w:rPr>
            <w:noProof/>
            <w:webHidden/>
          </w:rPr>
          <w:t>53</w:t>
        </w:r>
        <w:r w:rsidR="004605EE">
          <w:rPr>
            <w:noProof/>
            <w:webHidden/>
          </w:rPr>
          <w:fldChar w:fldCharType="end"/>
        </w:r>
      </w:hyperlink>
    </w:p>
    <w:p w14:paraId="0880FF27" w14:textId="77777777" w:rsidR="004605EE" w:rsidRDefault="00740B55">
      <w:pPr>
        <w:pStyle w:val="TableofFigures"/>
        <w:rPr>
          <w:rFonts w:asciiTheme="minorHAnsi" w:eastAsiaTheme="minorEastAsia" w:hAnsiTheme="minorHAnsi" w:cstheme="minorBidi"/>
          <w:noProof/>
          <w:sz w:val="22"/>
          <w:lang w:eastAsia="en-AU"/>
        </w:rPr>
      </w:pPr>
      <w:hyperlink w:anchor="_Toc12361627" w:history="1">
        <w:r w:rsidR="004605EE" w:rsidRPr="00E66A2E">
          <w:rPr>
            <w:rStyle w:val="Hyperlink"/>
            <w:noProof/>
          </w:rPr>
          <w:t>Figure 4</w:t>
        </w:r>
        <w:r w:rsidR="004605EE" w:rsidRPr="00E66A2E">
          <w:rPr>
            <w:rStyle w:val="Hyperlink"/>
            <w:noProof/>
          </w:rPr>
          <w:noBreakHyphen/>
          <w:t>7 PDMS and semipermeable membrane devices sampling rates (Rs) as a function of water velocity (rPFM)</w:t>
        </w:r>
        <w:r w:rsidR="004605EE">
          <w:rPr>
            <w:noProof/>
            <w:webHidden/>
          </w:rPr>
          <w:tab/>
        </w:r>
        <w:r w:rsidR="004605EE">
          <w:rPr>
            <w:noProof/>
            <w:webHidden/>
          </w:rPr>
          <w:fldChar w:fldCharType="begin"/>
        </w:r>
        <w:r w:rsidR="004605EE">
          <w:rPr>
            <w:noProof/>
            <w:webHidden/>
          </w:rPr>
          <w:instrText xml:space="preserve"> PAGEREF _Toc12361627 \h </w:instrText>
        </w:r>
        <w:r w:rsidR="004605EE">
          <w:rPr>
            <w:noProof/>
            <w:webHidden/>
          </w:rPr>
        </w:r>
        <w:r w:rsidR="004605EE">
          <w:rPr>
            <w:noProof/>
            <w:webHidden/>
          </w:rPr>
          <w:fldChar w:fldCharType="separate"/>
        </w:r>
        <w:r w:rsidR="00D528AA">
          <w:rPr>
            <w:noProof/>
            <w:webHidden/>
          </w:rPr>
          <w:t>54</w:t>
        </w:r>
        <w:r w:rsidR="004605EE">
          <w:rPr>
            <w:noProof/>
            <w:webHidden/>
          </w:rPr>
          <w:fldChar w:fldCharType="end"/>
        </w:r>
      </w:hyperlink>
    </w:p>
    <w:p w14:paraId="57C927C0" w14:textId="77777777" w:rsidR="004605EE" w:rsidRDefault="00740B55">
      <w:pPr>
        <w:pStyle w:val="TableofFigures"/>
        <w:rPr>
          <w:rFonts w:asciiTheme="minorHAnsi" w:eastAsiaTheme="minorEastAsia" w:hAnsiTheme="minorHAnsi" w:cstheme="minorBidi"/>
          <w:noProof/>
          <w:sz w:val="22"/>
          <w:lang w:eastAsia="en-AU"/>
        </w:rPr>
      </w:pPr>
      <w:hyperlink w:anchor="_Toc12361628" w:history="1">
        <w:r w:rsidR="004605EE" w:rsidRPr="00E66A2E">
          <w:rPr>
            <w:rStyle w:val="Hyperlink"/>
            <w:noProof/>
          </w:rPr>
          <w:t>Figure 4</w:t>
        </w:r>
        <w:r w:rsidR="004605EE" w:rsidRPr="00E66A2E">
          <w:rPr>
            <w:rStyle w:val="Hyperlink"/>
            <w:noProof/>
          </w:rPr>
          <w:noBreakHyphen/>
          <w:t xml:space="preserve">8 A schematic for the deployment of passive samplers (Empore disc in Chemcatcher housings, and Polydimethylsiloxane cages) together with the passive flow monitors for </w:t>
        </w:r>
        <w:r w:rsidR="004605EE" w:rsidRPr="00E66A2E">
          <w:rPr>
            <w:rStyle w:val="Hyperlink"/>
            <w:i/>
            <w:noProof/>
          </w:rPr>
          <w:t xml:space="preserve">in situ </w:t>
        </w:r>
        <w:r w:rsidR="004605EE" w:rsidRPr="00E66A2E">
          <w:rPr>
            <w:rStyle w:val="Hyperlink"/>
            <w:noProof/>
          </w:rPr>
          <w:t>calibration of flow effects in the field.</w:t>
        </w:r>
        <w:r w:rsidR="004605EE">
          <w:rPr>
            <w:noProof/>
            <w:webHidden/>
          </w:rPr>
          <w:tab/>
        </w:r>
        <w:r w:rsidR="004605EE">
          <w:rPr>
            <w:noProof/>
            <w:webHidden/>
          </w:rPr>
          <w:fldChar w:fldCharType="begin"/>
        </w:r>
        <w:r w:rsidR="004605EE">
          <w:rPr>
            <w:noProof/>
            <w:webHidden/>
          </w:rPr>
          <w:instrText xml:space="preserve"> PAGEREF _Toc12361628 \h </w:instrText>
        </w:r>
        <w:r w:rsidR="004605EE">
          <w:rPr>
            <w:noProof/>
            <w:webHidden/>
          </w:rPr>
        </w:r>
        <w:r w:rsidR="004605EE">
          <w:rPr>
            <w:noProof/>
            <w:webHidden/>
          </w:rPr>
          <w:fldChar w:fldCharType="separate"/>
        </w:r>
        <w:r w:rsidR="00D528AA">
          <w:rPr>
            <w:noProof/>
            <w:webHidden/>
          </w:rPr>
          <w:t>55</w:t>
        </w:r>
        <w:r w:rsidR="004605EE">
          <w:rPr>
            <w:noProof/>
            <w:webHidden/>
          </w:rPr>
          <w:fldChar w:fldCharType="end"/>
        </w:r>
      </w:hyperlink>
    </w:p>
    <w:p w14:paraId="5B06CD83" w14:textId="77777777" w:rsidR="004605EE" w:rsidRDefault="00740B55">
      <w:pPr>
        <w:pStyle w:val="TableofFigures"/>
        <w:rPr>
          <w:rFonts w:asciiTheme="minorHAnsi" w:eastAsiaTheme="minorEastAsia" w:hAnsiTheme="minorHAnsi" w:cstheme="minorBidi"/>
          <w:noProof/>
          <w:sz w:val="22"/>
          <w:lang w:eastAsia="en-AU"/>
        </w:rPr>
      </w:pPr>
      <w:hyperlink w:anchor="_Toc12361629" w:history="1">
        <w:r w:rsidR="004605EE" w:rsidRPr="00E66A2E">
          <w:rPr>
            <w:rStyle w:val="Hyperlink"/>
            <w:noProof/>
          </w:rPr>
          <w:t>Figure 5</w:t>
        </w:r>
        <w:r w:rsidR="004605EE" w:rsidRPr="00E66A2E">
          <w:rPr>
            <w:rStyle w:val="Hyperlink"/>
            <w:noProof/>
          </w:rPr>
          <w:noBreakHyphen/>
          <w:t>1 Sampling design for coral reef benthic community monitoring. Terms within brackets are nested within the term appearing</w:t>
        </w:r>
        <w:r w:rsidR="004605EE">
          <w:rPr>
            <w:noProof/>
            <w:webHidden/>
          </w:rPr>
          <w:tab/>
        </w:r>
        <w:r w:rsidR="004605EE">
          <w:rPr>
            <w:noProof/>
            <w:webHidden/>
          </w:rPr>
          <w:fldChar w:fldCharType="begin"/>
        </w:r>
        <w:r w:rsidR="004605EE">
          <w:rPr>
            <w:noProof/>
            <w:webHidden/>
          </w:rPr>
          <w:instrText xml:space="preserve"> PAGEREF _Toc12361629 \h </w:instrText>
        </w:r>
        <w:r w:rsidR="004605EE">
          <w:rPr>
            <w:noProof/>
            <w:webHidden/>
          </w:rPr>
        </w:r>
        <w:r w:rsidR="004605EE">
          <w:rPr>
            <w:noProof/>
            <w:webHidden/>
          </w:rPr>
          <w:fldChar w:fldCharType="separate"/>
        </w:r>
        <w:r w:rsidR="00D528AA">
          <w:rPr>
            <w:noProof/>
            <w:webHidden/>
          </w:rPr>
          <w:t>60</w:t>
        </w:r>
        <w:r w:rsidR="004605EE">
          <w:rPr>
            <w:noProof/>
            <w:webHidden/>
          </w:rPr>
          <w:fldChar w:fldCharType="end"/>
        </w:r>
      </w:hyperlink>
    </w:p>
    <w:p w14:paraId="2F06EF7C" w14:textId="77777777" w:rsidR="004605EE" w:rsidRDefault="00740B55">
      <w:pPr>
        <w:pStyle w:val="TableofFigures"/>
        <w:rPr>
          <w:rFonts w:asciiTheme="minorHAnsi" w:eastAsiaTheme="minorEastAsia" w:hAnsiTheme="minorHAnsi" w:cstheme="minorBidi"/>
          <w:noProof/>
          <w:sz w:val="22"/>
          <w:lang w:eastAsia="en-AU"/>
        </w:rPr>
      </w:pPr>
      <w:hyperlink w:anchor="_Toc12361630" w:history="1">
        <w:r w:rsidR="004605EE" w:rsidRPr="00E66A2E">
          <w:rPr>
            <w:rStyle w:val="Hyperlink"/>
            <w:noProof/>
          </w:rPr>
          <w:t>Figure 5</w:t>
        </w:r>
        <w:r w:rsidR="004605EE" w:rsidRPr="00E66A2E">
          <w:rPr>
            <w:rStyle w:val="Hyperlink"/>
            <w:noProof/>
          </w:rPr>
          <w:noBreakHyphen/>
          <w:t>2 Coral community sampling locations as at 2015</w:t>
        </w:r>
        <w:r w:rsidR="004605EE">
          <w:rPr>
            <w:noProof/>
            <w:webHidden/>
          </w:rPr>
          <w:tab/>
        </w:r>
        <w:r w:rsidR="004605EE">
          <w:rPr>
            <w:noProof/>
            <w:webHidden/>
          </w:rPr>
          <w:fldChar w:fldCharType="begin"/>
        </w:r>
        <w:r w:rsidR="004605EE">
          <w:rPr>
            <w:noProof/>
            <w:webHidden/>
          </w:rPr>
          <w:instrText xml:space="preserve"> PAGEREF _Toc12361630 \h </w:instrText>
        </w:r>
        <w:r w:rsidR="004605EE">
          <w:rPr>
            <w:noProof/>
            <w:webHidden/>
          </w:rPr>
        </w:r>
        <w:r w:rsidR="004605EE">
          <w:rPr>
            <w:noProof/>
            <w:webHidden/>
          </w:rPr>
          <w:fldChar w:fldCharType="separate"/>
        </w:r>
        <w:r w:rsidR="00D528AA">
          <w:rPr>
            <w:noProof/>
            <w:webHidden/>
          </w:rPr>
          <w:t>61</w:t>
        </w:r>
        <w:r w:rsidR="004605EE">
          <w:rPr>
            <w:noProof/>
            <w:webHidden/>
          </w:rPr>
          <w:fldChar w:fldCharType="end"/>
        </w:r>
      </w:hyperlink>
    </w:p>
    <w:p w14:paraId="381E3A2B" w14:textId="77777777" w:rsidR="004605EE" w:rsidRDefault="00740B55">
      <w:pPr>
        <w:pStyle w:val="TableofFigures"/>
        <w:rPr>
          <w:rFonts w:asciiTheme="minorHAnsi" w:eastAsiaTheme="minorEastAsia" w:hAnsiTheme="minorHAnsi" w:cstheme="minorBidi"/>
          <w:noProof/>
          <w:sz w:val="22"/>
          <w:lang w:eastAsia="en-AU"/>
        </w:rPr>
      </w:pPr>
      <w:hyperlink w:anchor="_Toc12361631" w:history="1">
        <w:r w:rsidR="004605EE" w:rsidRPr="00E66A2E">
          <w:rPr>
            <w:rStyle w:val="Hyperlink"/>
            <w:noProof/>
          </w:rPr>
          <w:t>Figure 6</w:t>
        </w:r>
        <w:r w:rsidR="004605EE" w:rsidRPr="00E66A2E">
          <w:rPr>
            <w:rStyle w:val="Hyperlink"/>
            <w:noProof/>
          </w:rPr>
          <w:noBreakHyphen/>
          <w:t>1 Inshore seagrass monitoring sites</w:t>
        </w:r>
        <w:r w:rsidR="004605EE">
          <w:rPr>
            <w:noProof/>
            <w:webHidden/>
          </w:rPr>
          <w:tab/>
        </w:r>
        <w:r w:rsidR="004605EE">
          <w:rPr>
            <w:noProof/>
            <w:webHidden/>
          </w:rPr>
          <w:fldChar w:fldCharType="begin"/>
        </w:r>
        <w:r w:rsidR="004605EE">
          <w:rPr>
            <w:noProof/>
            <w:webHidden/>
          </w:rPr>
          <w:instrText xml:space="preserve"> PAGEREF _Toc12361631 \h </w:instrText>
        </w:r>
        <w:r w:rsidR="004605EE">
          <w:rPr>
            <w:noProof/>
            <w:webHidden/>
          </w:rPr>
        </w:r>
        <w:r w:rsidR="004605EE">
          <w:rPr>
            <w:noProof/>
            <w:webHidden/>
          </w:rPr>
          <w:fldChar w:fldCharType="separate"/>
        </w:r>
        <w:r w:rsidR="00D528AA">
          <w:rPr>
            <w:noProof/>
            <w:webHidden/>
          </w:rPr>
          <w:t>70</w:t>
        </w:r>
        <w:r w:rsidR="004605EE">
          <w:rPr>
            <w:noProof/>
            <w:webHidden/>
          </w:rPr>
          <w:fldChar w:fldCharType="end"/>
        </w:r>
      </w:hyperlink>
    </w:p>
    <w:p w14:paraId="7AAA6074" w14:textId="77777777" w:rsidR="004605EE" w:rsidRDefault="00740B55">
      <w:pPr>
        <w:pStyle w:val="TableofFigures"/>
        <w:rPr>
          <w:rFonts w:asciiTheme="minorHAnsi" w:eastAsiaTheme="minorEastAsia" w:hAnsiTheme="minorHAnsi" w:cstheme="minorBidi"/>
          <w:noProof/>
          <w:sz w:val="22"/>
          <w:lang w:eastAsia="en-AU"/>
        </w:rPr>
      </w:pPr>
      <w:hyperlink w:anchor="_Toc12361632" w:history="1">
        <w:r w:rsidR="004605EE" w:rsidRPr="00E66A2E">
          <w:rPr>
            <w:rStyle w:val="Hyperlink"/>
            <w:noProof/>
          </w:rPr>
          <w:t>Figure 6</w:t>
        </w:r>
        <w:r w:rsidR="004605EE" w:rsidRPr="00E66A2E">
          <w:rPr>
            <w:rStyle w:val="Hyperlink"/>
            <w:noProof/>
          </w:rPr>
          <w:noBreakHyphen/>
          <w:t xml:space="preserve">2 Form and size of reproductive structure of the seagrasses collected: </w:t>
        </w:r>
        <w:r w:rsidR="004605EE" w:rsidRPr="00E66A2E">
          <w:rPr>
            <w:rStyle w:val="Hyperlink"/>
            <w:i/>
            <w:noProof/>
          </w:rPr>
          <w:t>Halophila ovalis</w:t>
        </w:r>
        <w:r w:rsidR="004605EE" w:rsidRPr="00E66A2E">
          <w:rPr>
            <w:rStyle w:val="Hyperlink"/>
            <w:noProof/>
          </w:rPr>
          <w:t xml:space="preserve">, </w:t>
        </w:r>
        <w:r w:rsidR="004605EE" w:rsidRPr="00E66A2E">
          <w:rPr>
            <w:rStyle w:val="Hyperlink"/>
            <w:i/>
            <w:noProof/>
          </w:rPr>
          <w:t>Halodule uninervis</w:t>
        </w:r>
        <w:r w:rsidR="004605EE" w:rsidRPr="00E66A2E">
          <w:rPr>
            <w:rStyle w:val="Hyperlink"/>
            <w:noProof/>
          </w:rPr>
          <w:t xml:space="preserve"> and </w:t>
        </w:r>
        <w:r w:rsidR="004605EE" w:rsidRPr="00E66A2E">
          <w:rPr>
            <w:rStyle w:val="Hyperlink"/>
            <w:i/>
            <w:noProof/>
          </w:rPr>
          <w:t>Zostera muelleri</w:t>
        </w:r>
        <w:r w:rsidR="004605EE" w:rsidRPr="00E66A2E">
          <w:rPr>
            <w:rStyle w:val="Hyperlink"/>
            <w:noProof/>
          </w:rPr>
          <w:t xml:space="preserve"> subsp. </w:t>
        </w:r>
        <w:r w:rsidR="004605EE" w:rsidRPr="00E66A2E">
          <w:rPr>
            <w:rStyle w:val="Hyperlink"/>
            <w:i/>
            <w:noProof/>
          </w:rPr>
          <w:t>capricorni</w:t>
        </w:r>
        <w:r w:rsidR="004605EE">
          <w:rPr>
            <w:noProof/>
            <w:webHidden/>
          </w:rPr>
          <w:tab/>
        </w:r>
        <w:r w:rsidR="004605EE">
          <w:rPr>
            <w:noProof/>
            <w:webHidden/>
          </w:rPr>
          <w:fldChar w:fldCharType="begin"/>
        </w:r>
        <w:r w:rsidR="004605EE">
          <w:rPr>
            <w:noProof/>
            <w:webHidden/>
          </w:rPr>
          <w:instrText xml:space="preserve"> PAGEREF _Toc12361632 \h </w:instrText>
        </w:r>
        <w:r w:rsidR="004605EE">
          <w:rPr>
            <w:noProof/>
            <w:webHidden/>
          </w:rPr>
        </w:r>
        <w:r w:rsidR="004605EE">
          <w:rPr>
            <w:noProof/>
            <w:webHidden/>
          </w:rPr>
          <w:fldChar w:fldCharType="separate"/>
        </w:r>
        <w:r w:rsidR="00D528AA">
          <w:rPr>
            <w:noProof/>
            <w:webHidden/>
          </w:rPr>
          <w:t>76</w:t>
        </w:r>
        <w:r w:rsidR="004605EE">
          <w:rPr>
            <w:noProof/>
            <w:webHidden/>
          </w:rPr>
          <w:fldChar w:fldCharType="end"/>
        </w:r>
      </w:hyperlink>
    </w:p>
    <w:p w14:paraId="35661F80" w14:textId="50B059F2" w:rsidR="00ED7A5F" w:rsidRDefault="004605EE" w:rsidP="004605EE">
      <w:pPr>
        <w:pStyle w:val="TableofFigures"/>
        <w:sectPr w:rsidR="00ED7A5F" w:rsidSect="00AC0529">
          <w:headerReference w:type="default" r:id="rId26"/>
          <w:footerReference w:type="default" r:id="rId27"/>
          <w:pgSz w:w="11906" w:h="16838"/>
          <w:pgMar w:top="1440" w:right="1440" w:bottom="1440" w:left="1440" w:header="708" w:footer="708" w:gutter="0"/>
          <w:pgNumType w:start="1"/>
          <w:cols w:space="708"/>
          <w:docGrid w:linePitch="360"/>
        </w:sectPr>
      </w:pPr>
      <w:r>
        <w:rPr>
          <w:rFonts w:cs="Arial"/>
          <w:b/>
        </w:rPr>
        <w:fldChar w:fldCharType="end"/>
      </w:r>
    </w:p>
    <w:p w14:paraId="29D34379" w14:textId="02BE98C6" w:rsidR="00B23072" w:rsidRPr="0058370B" w:rsidRDefault="00DF7EAC" w:rsidP="00FE2F59">
      <w:pPr>
        <w:rPr>
          <w:rFonts w:cs="Arial"/>
          <w:b/>
          <w:color w:val="365F91" w:themeColor="accent1" w:themeShade="BF"/>
        </w:rPr>
      </w:pPr>
      <w:r w:rsidRPr="0058370B">
        <w:rPr>
          <w:rFonts w:cs="Arial"/>
          <w:b/>
          <w:color w:val="365F91" w:themeColor="accent1" w:themeShade="BF"/>
        </w:rPr>
        <w:t>L</w:t>
      </w:r>
      <w:r w:rsidR="00B23072" w:rsidRPr="0058370B">
        <w:rPr>
          <w:rFonts w:cs="Arial"/>
          <w:b/>
          <w:color w:val="365F91" w:themeColor="accent1" w:themeShade="BF"/>
        </w:rPr>
        <w:t xml:space="preserve">ist of </w:t>
      </w:r>
      <w:r w:rsidR="00686A9D">
        <w:rPr>
          <w:rFonts w:cs="Arial"/>
          <w:b/>
          <w:color w:val="365F91" w:themeColor="accent1" w:themeShade="BF"/>
        </w:rPr>
        <w:t>t</w:t>
      </w:r>
      <w:r w:rsidR="00686A9D" w:rsidRPr="0058370B">
        <w:rPr>
          <w:rFonts w:cs="Arial"/>
          <w:b/>
          <w:color w:val="365F91" w:themeColor="accent1" w:themeShade="BF"/>
        </w:rPr>
        <w:t>ables</w:t>
      </w:r>
    </w:p>
    <w:p w14:paraId="4BA698B7" w14:textId="51E08380" w:rsidR="00917941" w:rsidRDefault="009E23DC">
      <w:pPr>
        <w:pStyle w:val="TableofFigures"/>
        <w:rPr>
          <w:rFonts w:asciiTheme="minorHAnsi" w:eastAsiaTheme="minorEastAsia" w:hAnsiTheme="minorHAnsi" w:cstheme="minorBidi"/>
          <w:noProof/>
          <w:lang w:eastAsia="en-AU"/>
        </w:rPr>
      </w:pPr>
      <w:r>
        <w:rPr>
          <w:rStyle w:val="Hyperlink"/>
          <w:rFonts w:cs="Arial"/>
          <w:noProof/>
        </w:rPr>
        <w:fldChar w:fldCharType="begin"/>
      </w:r>
      <w:r>
        <w:rPr>
          <w:rStyle w:val="Hyperlink"/>
          <w:rFonts w:cs="Arial"/>
          <w:noProof/>
        </w:rPr>
        <w:instrText xml:space="preserve"> TOC \h \z \c "Table" </w:instrText>
      </w:r>
      <w:r>
        <w:rPr>
          <w:rStyle w:val="Hyperlink"/>
          <w:rFonts w:cs="Arial"/>
          <w:noProof/>
        </w:rPr>
        <w:fldChar w:fldCharType="separate"/>
      </w:r>
      <w:hyperlink w:anchor="_Toc10398441" w:history="1">
        <w:r w:rsidR="00917941" w:rsidRPr="002D3619">
          <w:rPr>
            <w:rStyle w:val="Hyperlink"/>
            <w:noProof/>
          </w:rPr>
          <w:t>Table 1.1. Current monitoring themes, sub-programs and monitoring providers</w:t>
        </w:r>
        <w:r w:rsidR="00917941">
          <w:rPr>
            <w:noProof/>
            <w:webHidden/>
          </w:rPr>
          <w:tab/>
        </w:r>
        <w:r w:rsidR="00917941">
          <w:rPr>
            <w:noProof/>
            <w:webHidden/>
          </w:rPr>
          <w:fldChar w:fldCharType="begin"/>
        </w:r>
        <w:r w:rsidR="00917941">
          <w:rPr>
            <w:noProof/>
            <w:webHidden/>
          </w:rPr>
          <w:instrText xml:space="preserve"> PAGEREF _Toc10398441 \h </w:instrText>
        </w:r>
        <w:r w:rsidR="00917941">
          <w:rPr>
            <w:noProof/>
            <w:webHidden/>
          </w:rPr>
        </w:r>
        <w:r w:rsidR="00917941">
          <w:rPr>
            <w:noProof/>
            <w:webHidden/>
          </w:rPr>
          <w:fldChar w:fldCharType="separate"/>
        </w:r>
        <w:r w:rsidR="00D528AA">
          <w:rPr>
            <w:noProof/>
            <w:webHidden/>
          </w:rPr>
          <w:t>4</w:t>
        </w:r>
        <w:r w:rsidR="00917941">
          <w:rPr>
            <w:noProof/>
            <w:webHidden/>
          </w:rPr>
          <w:fldChar w:fldCharType="end"/>
        </w:r>
      </w:hyperlink>
    </w:p>
    <w:p w14:paraId="513D78D9" w14:textId="4CDA569D" w:rsidR="00917941" w:rsidRDefault="00740B55">
      <w:pPr>
        <w:pStyle w:val="TableofFigures"/>
        <w:rPr>
          <w:rFonts w:asciiTheme="minorHAnsi" w:eastAsiaTheme="minorEastAsia" w:hAnsiTheme="minorHAnsi" w:cstheme="minorBidi"/>
          <w:noProof/>
          <w:lang w:eastAsia="en-AU"/>
        </w:rPr>
      </w:pPr>
      <w:hyperlink w:anchor="_Toc10398442" w:history="1">
        <w:r w:rsidR="00917941" w:rsidRPr="002D3619">
          <w:rPr>
            <w:rStyle w:val="Hyperlink"/>
            <w:noProof/>
          </w:rPr>
          <w:t>Table 2.1 Great Barrier Reef inshore water quality monitoring locations by NRM regions. Monitoring is a collaborative effort between JCU and AIMS.</w:t>
        </w:r>
        <w:r w:rsidR="00917941">
          <w:rPr>
            <w:noProof/>
            <w:webHidden/>
          </w:rPr>
          <w:tab/>
        </w:r>
        <w:r w:rsidR="00917941">
          <w:rPr>
            <w:noProof/>
            <w:webHidden/>
          </w:rPr>
          <w:fldChar w:fldCharType="begin"/>
        </w:r>
        <w:r w:rsidR="00917941">
          <w:rPr>
            <w:noProof/>
            <w:webHidden/>
          </w:rPr>
          <w:instrText xml:space="preserve"> PAGEREF _Toc10398442 \h </w:instrText>
        </w:r>
        <w:r w:rsidR="00917941">
          <w:rPr>
            <w:noProof/>
            <w:webHidden/>
          </w:rPr>
        </w:r>
        <w:r w:rsidR="00917941">
          <w:rPr>
            <w:noProof/>
            <w:webHidden/>
          </w:rPr>
          <w:fldChar w:fldCharType="separate"/>
        </w:r>
        <w:r w:rsidR="00D528AA">
          <w:rPr>
            <w:noProof/>
            <w:webHidden/>
          </w:rPr>
          <w:t>13</w:t>
        </w:r>
        <w:r w:rsidR="00917941">
          <w:rPr>
            <w:noProof/>
            <w:webHidden/>
          </w:rPr>
          <w:fldChar w:fldCharType="end"/>
        </w:r>
      </w:hyperlink>
    </w:p>
    <w:p w14:paraId="3E520AE7" w14:textId="3FFFCAC8" w:rsidR="00917941" w:rsidRDefault="00740B55">
      <w:pPr>
        <w:pStyle w:val="TableofFigures"/>
        <w:rPr>
          <w:rFonts w:asciiTheme="minorHAnsi" w:eastAsiaTheme="minorEastAsia" w:hAnsiTheme="minorHAnsi" w:cstheme="minorBidi"/>
          <w:noProof/>
          <w:lang w:eastAsia="en-AU"/>
        </w:rPr>
      </w:pPr>
      <w:hyperlink w:anchor="_Toc10398443" w:history="1">
        <w:r w:rsidR="00917941" w:rsidRPr="002D3619">
          <w:rPr>
            <w:rStyle w:val="Hyperlink"/>
            <w:noProof/>
          </w:rPr>
          <w:t>Table 2.2 Summary of sampling protocols with identification of post-sampling procedures needed, laboratory containers required and storage techniques.</w:t>
        </w:r>
        <w:r w:rsidR="00917941">
          <w:rPr>
            <w:noProof/>
            <w:webHidden/>
          </w:rPr>
          <w:tab/>
        </w:r>
        <w:r w:rsidR="00917941">
          <w:rPr>
            <w:noProof/>
            <w:webHidden/>
          </w:rPr>
          <w:fldChar w:fldCharType="begin"/>
        </w:r>
        <w:r w:rsidR="00917941">
          <w:rPr>
            <w:noProof/>
            <w:webHidden/>
          </w:rPr>
          <w:instrText xml:space="preserve"> PAGEREF _Toc10398443 \h </w:instrText>
        </w:r>
        <w:r w:rsidR="00917941">
          <w:rPr>
            <w:noProof/>
            <w:webHidden/>
          </w:rPr>
        </w:r>
        <w:r w:rsidR="00917941">
          <w:rPr>
            <w:noProof/>
            <w:webHidden/>
          </w:rPr>
          <w:fldChar w:fldCharType="separate"/>
        </w:r>
        <w:r w:rsidR="00D528AA">
          <w:rPr>
            <w:noProof/>
            <w:webHidden/>
          </w:rPr>
          <w:t>20</w:t>
        </w:r>
        <w:r w:rsidR="00917941">
          <w:rPr>
            <w:noProof/>
            <w:webHidden/>
          </w:rPr>
          <w:fldChar w:fldCharType="end"/>
        </w:r>
      </w:hyperlink>
    </w:p>
    <w:p w14:paraId="6C79133C" w14:textId="611EDD2F" w:rsidR="00917941" w:rsidRDefault="00740B55">
      <w:pPr>
        <w:pStyle w:val="TableofFigures"/>
        <w:rPr>
          <w:rFonts w:asciiTheme="minorHAnsi" w:eastAsiaTheme="minorEastAsia" w:hAnsiTheme="minorHAnsi" w:cstheme="minorBidi"/>
          <w:noProof/>
          <w:lang w:eastAsia="en-AU"/>
        </w:rPr>
      </w:pPr>
      <w:hyperlink w:anchor="_Toc10398444" w:history="1">
        <w:r w:rsidR="00917941" w:rsidRPr="002D3619">
          <w:rPr>
            <w:rStyle w:val="Hyperlink"/>
            <w:noProof/>
          </w:rPr>
          <w:t>Table 3.1 MODIS monitoring products.</w:t>
        </w:r>
        <w:r w:rsidR="00917941">
          <w:rPr>
            <w:noProof/>
            <w:webHidden/>
          </w:rPr>
          <w:tab/>
        </w:r>
        <w:r w:rsidR="00917941">
          <w:rPr>
            <w:noProof/>
            <w:webHidden/>
          </w:rPr>
          <w:fldChar w:fldCharType="begin"/>
        </w:r>
        <w:r w:rsidR="00917941">
          <w:rPr>
            <w:noProof/>
            <w:webHidden/>
          </w:rPr>
          <w:instrText xml:space="preserve"> PAGEREF _Toc10398444 \h </w:instrText>
        </w:r>
        <w:r w:rsidR="00917941">
          <w:rPr>
            <w:noProof/>
            <w:webHidden/>
          </w:rPr>
        </w:r>
        <w:r w:rsidR="00917941">
          <w:rPr>
            <w:noProof/>
            <w:webHidden/>
          </w:rPr>
          <w:fldChar w:fldCharType="separate"/>
        </w:r>
        <w:r w:rsidR="00D528AA">
          <w:rPr>
            <w:noProof/>
            <w:webHidden/>
          </w:rPr>
          <w:t>33</w:t>
        </w:r>
        <w:r w:rsidR="00917941">
          <w:rPr>
            <w:noProof/>
            <w:webHidden/>
          </w:rPr>
          <w:fldChar w:fldCharType="end"/>
        </w:r>
      </w:hyperlink>
    </w:p>
    <w:p w14:paraId="7BE3E465" w14:textId="33D764C8" w:rsidR="00917941" w:rsidRDefault="00740B55">
      <w:pPr>
        <w:pStyle w:val="TableofFigures"/>
        <w:rPr>
          <w:rFonts w:asciiTheme="minorHAnsi" w:eastAsiaTheme="minorEastAsia" w:hAnsiTheme="minorHAnsi" w:cstheme="minorBidi"/>
          <w:noProof/>
          <w:lang w:eastAsia="en-AU"/>
        </w:rPr>
      </w:pPr>
      <w:hyperlink w:anchor="_Toc10398445" w:history="1">
        <w:r w:rsidR="00917941" w:rsidRPr="002D3619">
          <w:rPr>
            <w:rStyle w:val="Hyperlink"/>
            <w:noProof/>
          </w:rPr>
          <w:t>Table 3.2 Keywords and justification used in SeaDAS 7.4 to process MODIS true colour images of the Great Barrier Reef.</w:t>
        </w:r>
        <w:r w:rsidR="00917941">
          <w:rPr>
            <w:noProof/>
            <w:webHidden/>
          </w:rPr>
          <w:tab/>
        </w:r>
        <w:r w:rsidR="00917941">
          <w:rPr>
            <w:noProof/>
            <w:webHidden/>
          </w:rPr>
          <w:fldChar w:fldCharType="begin"/>
        </w:r>
        <w:r w:rsidR="00917941">
          <w:rPr>
            <w:noProof/>
            <w:webHidden/>
          </w:rPr>
          <w:instrText xml:space="preserve"> PAGEREF _Toc10398445 \h </w:instrText>
        </w:r>
        <w:r w:rsidR="00917941">
          <w:rPr>
            <w:noProof/>
            <w:webHidden/>
          </w:rPr>
        </w:r>
        <w:r w:rsidR="00917941">
          <w:rPr>
            <w:noProof/>
            <w:webHidden/>
          </w:rPr>
          <w:fldChar w:fldCharType="separate"/>
        </w:r>
        <w:r w:rsidR="00D528AA">
          <w:rPr>
            <w:noProof/>
            <w:webHidden/>
          </w:rPr>
          <w:t>35</w:t>
        </w:r>
        <w:r w:rsidR="00917941">
          <w:rPr>
            <w:noProof/>
            <w:webHidden/>
          </w:rPr>
          <w:fldChar w:fldCharType="end"/>
        </w:r>
      </w:hyperlink>
    </w:p>
    <w:p w14:paraId="70BE03C7" w14:textId="25614292" w:rsidR="00917941" w:rsidRDefault="00740B55">
      <w:pPr>
        <w:pStyle w:val="TableofFigures"/>
        <w:rPr>
          <w:rFonts w:asciiTheme="minorHAnsi" w:eastAsiaTheme="minorEastAsia" w:hAnsiTheme="minorHAnsi" w:cstheme="minorBidi"/>
          <w:noProof/>
          <w:lang w:eastAsia="en-AU"/>
        </w:rPr>
      </w:pPr>
      <w:hyperlink w:anchor="_Toc10398446" w:history="1">
        <w:r w:rsidR="00917941" w:rsidRPr="002D3619">
          <w:rPr>
            <w:rStyle w:val="Hyperlink"/>
            <w:noProof/>
          </w:rPr>
          <w:t>Table 4.1 Types of passive sampling conducted at each of the routine monitoring sites in 2017–2018 during either the dry (May–October) or wet (November–April) periods</w:t>
        </w:r>
        <w:r w:rsidR="00917941">
          <w:rPr>
            <w:noProof/>
            <w:webHidden/>
          </w:rPr>
          <w:tab/>
        </w:r>
        <w:r w:rsidR="00917941">
          <w:rPr>
            <w:noProof/>
            <w:webHidden/>
          </w:rPr>
          <w:fldChar w:fldCharType="begin"/>
        </w:r>
        <w:r w:rsidR="00917941">
          <w:rPr>
            <w:noProof/>
            <w:webHidden/>
          </w:rPr>
          <w:instrText xml:space="preserve"> PAGEREF _Toc10398446 \h </w:instrText>
        </w:r>
        <w:r w:rsidR="00917941">
          <w:rPr>
            <w:noProof/>
            <w:webHidden/>
          </w:rPr>
        </w:r>
        <w:r w:rsidR="00917941">
          <w:rPr>
            <w:noProof/>
            <w:webHidden/>
          </w:rPr>
          <w:fldChar w:fldCharType="separate"/>
        </w:r>
        <w:r w:rsidR="00D528AA">
          <w:rPr>
            <w:noProof/>
            <w:webHidden/>
          </w:rPr>
          <w:t>40</w:t>
        </w:r>
        <w:r w:rsidR="00917941">
          <w:rPr>
            <w:noProof/>
            <w:webHidden/>
          </w:rPr>
          <w:fldChar w:fldCharType="end"/>
        </w:r>
      </w:hyperlink>
    </w:p>
    <w:p w14:paraId="44A3EAB2" w14:textId="3F159461" w:rsidR="00917941" w:rsidRDefault="00740B55">
      <w:pPr>
        <w:pStyle w:val="TableofFigures"/>
        <w:rPr>
          <w:rFonts w:asciiTheme="minorHAnsi" w:eastAsiaTheme="minorEastAsia" w:hAnsiTheme="minorHAnsi" w:cstheme="minorBidi"/>
          <w:noProof/>
          <w:lang w:eastAsia="en-AU"/>
        </w:rPr>
      </w:pPr>
      <w:hyperlink w:anchor="_Toc10398447" w:history="1">
        <w:r w:rsidR="00917941" w:rsidRPr="002D3619">
          <w:rPr>
            <w:rStyle w:val="Hyperlink"/>
            <w:noProof/>
          </w:rPr>
          <w:t>Table 4.2 Pesticides for analysis in different passive sampler extracts and water samples together with the approximate instrument limits of detection and limits of reporting for these analytes.</w:t>
        </w:r>
        <w:r w:rsidR="00917941">
          <w:rPr>
            <w:noProof/>
            <w:webHidden/>
          </w:rPr>
          <w:tab/>
        </w:r>
        <w:r w:rsidR="00917941">
          <w:rPr>
            <w:noProof/>
            <w:webHidden/>
          </w:rPr>
          <w:fldChar w:fldCharType="begin"/>
        </w:r>
        <w:r w:rsidR="00917941">
          <w:rPr>
            <w:noProof/>
            <w:webHidden/>
          </w:rPr>
          <w:instrText xml:space="preserve"> PAGEREF _Toc10398447 \h </w:instrText>
        </w:r>
        <w:r w:rsidR="00917941">
          <w:rPr>
            <w:noProof/>
            <w:webHidden/>
          </w:rPr>
        </w:r>
        <w:r w:rsidR="00917941">
          <w:rPr>
            <w:noProof/>
            <w:webHidden/>
          </w:rPr>
          <w:fldChar w:fldCharType="separate"/>
        </w:r>
        <w:r w:rsidR="00D528AA">
          <w:rPr>
            <w:noProof/>
            <w:webHidden/>
          </w:rPr>
          <w:t>42</w:t>
        </w:r>
        <w:r w:rsidR="00917941">
          <w:rPr>
            <w:noProof/>
            <w:webHidden/>
          </w:rPr>
          <w:fldChar w:fldCharType="end"/>
        </w:r>
      </w:hyperlink>
    </w:p>
    <w:p w14:paraId="5F6F7CD0" w14:textId="15BABF6B" w:rsidR="00917941" w:rsidRDefault="00740B55">
      <w:pPr>
        <w:pStyle w:val="TableofFigures"/>
        <w:rPr>
          <w:rFonts w:asciiTheme="minorHAnsi" w:eastAsiaTheme="minorEastAsia" w:hAnsiTheme="minorHAnsi" w:cstheme="minorBidi"/>
          <w:noProof/>
          <w:lang w:eastAsia="en-AU"/>
        </w:rPr>
      </w:pPr>
      <w:hyperlink w:anchor="_Toc10398448" w:history="1">
        <w:r w:rsidR="00917941" w:rsidRPr="002D3619">
          <w:rPr>
            <w:rStyle w:val="Hyperlink"/>
            <w:noProof/>
          </w:rPr>
          <w:t>Table 4.3 Interim risk classes used for 2014–15 and 2015–16 reporting years for the ms-PAF method.</w:t>
        </w:r>
        <w:r w:rsidR="00917941">
          <w:rPr>
            <w:noProof/>
            <w:webHidden/>
          </w:rPr>
          <w:tab/>
        </w:r>
        <w:r w:rsidR="00917941">
          <w:rPr>
            <w:noProof/>
            <w:webHidden/>
          </w:rPr>
          <w:fldChar w:fldCharType="begin"/>
        </w:r>
        <w:r w:rsidR="00917941">
          <w:rPr>
            <w:noProof/>
            <w:webHidden/>
          </w:rPr>
          <w:instrText xml:space="preserve"> PAGEREF _Toc10398448 \h </w:instrText>
        </w:r>
        <w:r w:rsidR="00917941">
          <w:rPr>
            <w:noProof/>
            <w:webHidden/>
          </w:rPr>
        </w:r>
        <w:r w:rsidR="00917941">
          <w:rPr>
            <w:noProof/>
            <w:webHidden/>
          </w:rPr>
          <w:fldChar w:fldCharType="separate"/>
        </w:r>
        <w:r w:rsidR="00D528AA">
          <w:rPr>
            <w:noProof/>
            <w:webHidden/>
          </w:rPr>
          <w:t>51</w:t>
        </w:r>
        <w:r w:rsidR="00917941">
          <w:rPr>
            <w:noProof/>
            <w:webHidden/>
          </w:rPr>
          <w:fldChar w:fldCharType="end"/>
        </w:r>
      </w:hyperlink>
    </w:p>
    <w:p w14:paraId="531422B6" w14:textId="32711315" w:rsidR="00917941" w:rsidRDefault="00740B55">
      <w:pPr>
        <w:pStyle w:val="TableofFigures"/>
        <w:rPr>
          <w:rFonts w:asciiTheme="minorHAnsi" w:eastAsiaTheme="minorEastAsia" w:hAnsiTheme="minorHAnsi" w:cstheme="minorBidi"/>
          <w:noProof/>
          <w:lang w:eastAsia="en-AU"/>
        </w:rPr>
      </w:pPr>
      <w:hyperlink w:anchor="_Toc10398449" w:history="1">
        <w:r w:rsidR="00917941" w:rsidRPr="002D3619">
          <w:rPr>
            <w:rStyle w:val="Hyperlink"/>
            <w:noProof/>
          </w:rPr>
          <w:t>Table 5.1 Sites selected for inshore reef monitoring</w:t>
        </w:r>
        <w:r w:rsidR="00917941">
          <w:rPr>
            <w:noProof/>
            <w:webHidden/>
          </w:rPr>
          <w:tab/>
        </w:r>
        <w:r w:rsidR="00917941">
          <w:rPr>
            <w:noProof/>
            <w:webHidden/>
          </w:rPr>
          <w:fldChar w:fldCharType="begin"/>
        </w:r>
        <w:r w:rsidR="00917941">
          <w:rPr>
            <w:noProof/>
            <w:webHidden/>
          </w:rPr>
          <w:instrText xml:space="preserve"> PAGEREF _Toc10398449 \h </w:instrText>
        </w:r>
        <w:r w:rsidR="00917941">
          <w:rPr>
            <w:noProof/>
            <w:webHidden/>
          </w:rPr>
        </w:r>
        <w:r w:rsidR="00917941">
          <w:rPr>
            <w:noProof/>
            <w:webHidden/>
          </w:rPr>
          <w:fldChar w:fldCharType="separate"/>
        </w:r>
        <w:r w:rsidR="00D528AA">
          <w:rPr>
            <w:noProof/>
            <w:webHidden/>
          </w:rPr>
          <w:t>62</w:t>
        </w:r>
        <w:r w:rsidR="00917941">
          <w:rPr>
            <w:noProof/>
            <w:webHidden/>
          </w:rPr>
          <w:fldChar w:fldCharType="end"/>
        </w:r>
      </w:hyperlink>
    </w:p>
    <w:p w14:paraId="46847037" w14:textId="1DF9FEFD" w:rsidR="00917941" w:rsidRDefault="00740B55">
      <w:pPr>
        <w:pStyle w:val="TableofFigures"/>
        <w:rPr>
          <w:rFonts w:asciiTheme="minorHAnsi" w:eastAsiaTheme="minorEastAsia" w:hAnsiTheme="minorHAnsi" w:cstheme="minorBidi"/>
          <w:noProof/>
          <w:lang w:eastAsia="en-AU"/>
        </w:rPr>
      </w:pPr>
      <w:hyperlink w:anchor="_Toc10398450" w:history="1">
        <w:r w:rsidR="00917941" w:rsidRPr="002D3619">
          <w:rPr>
            <w:rStyle w:val="Hyperlink"/>
            <w:noProof/>
          </w:rPr>
          <w:t>Table 5.2 Distribution of sampling effort</w:t>
        </w:r>
        <w:r w:rsidR="00917941">
          <w:rPr>
            <w:noProof/>
            <w:webHidden/>
          </w:rPr>
          <w:tab/>
        </w:r>
        <w:r w:rsidR="00917941">
          <w:rPr>
            <w:noProof/>
            <w:webHidden/>
          </w:rPr>
          <w:fldChar w:fldCharType="begin"/>
        </w:r>
        <w:r w:rsidR="00917941">
          <w:rPr>
            <w:noProof/>
            <w:webHidden/>
          </w:rPr>
          <w:instrText xml:space="preserve"> PAGEREF _Toc10398450 \h </w:instrText>
        </w:r>
        <w:r w:rsidR="00917941">
          <w:rPr>
            <w:noProof/>
            <w:webHidden/>
          </w:rPr>
        </w:r>
        <w:r w:rsidR="00917941">
          <w:rPr>
            <w:noProof/>
            <w:webHidden/>
          </w:rPr>
          <w:fldChar w:fldCharType="separate"/>
        </w:r>
        <w:r w:rsidR="00D528AA">
          <w:rPr>
            <w:noProof/>
            <w:webHidden/>
          </w:rPr>
          <w:t>63</w:t>
        </w:r>
        <w:r w:rsidR="00917941">
          <w:rPr>
            <w:noProof/>
            <w:webHidden/>
          </w:rPr>
          <w:fldChar w:fldCharType="end"/>
        </w:r>
      </w:hyperlink>
    </w:p>
    <w:p w14:paraId="61D1CE7D" w14:textId="0F5AF0A7" w:rsidR="00917941" w:rsidRDefault="00740B55">
      <w:pPr>
        <w:pStyle w:val="TableofFigures"/>
        <w:rPr>
          <w:rFonts w:asciiTheme="minorHAnsi" w:eastAsiaTheme="minorEastAsia" w:hAnsiTheme="minorHAnsi" w:cstheme="minorBidi"/>
          <w:noProof/>
          <w:lang w:eastAsia="en-AU"/>
        </w:rPr>
      </w:pPr>
      <w:hyperlink w:anchor="_Toc10398451" w:history="1">
        <w:r w:rsidR="00917941" w:rsidRPr="002D3619">
          <w:rPr>
            <w:rStyle w:val="Hyperlink"/>
            <w:noProof/>
          </w:rPr>
          <w:t>Table 5.3 Observer training methods and quality measures</w:t>
        </w:r>
        <w:r w:rsidR="00917941">
          <w:rPr>
            <w:noProof/>
            <w:webHidden/>
          </w:rPr>
          <w:tab/>
        </w:r>
        <w:r w:rsidR="00917941">
          <w:rPr>
            <w:noProof/>
            <w:webHidden/>
          </w:rPr>
          <w:fldChar w:fldCharType="begin"/>
        </w:r>
        <w:r w:rsidR="00917941">
          <w:rPr>
            <w:noProof/>
            <w:webHidden/>
          </w:rPr>
          <w:instrText xml:space="preserve"> PAGEREF _Toc10398451 \h </w:instrText>
        </w:r>
        <w:r w:rsidR="00917941">
          <w:rPr>
            <w:noProof/>
            <w:webHidden/>
          </w:rPr>
        </w:r>
        <w:r w:rsidR="00917941">
          <w:rPr>
            <w:noProof/>
            <w:webHidden/>
          </w:rPr>
          <w:fldChar w:fldCharType="separate"/>
        </w:r>
        <w:r w:rsidR="00D528AA">
          <w:rPr>
            <w:noProof/>
            <w:webHidden/>
          </w:rPr>
          <w:t>65</w:t>
        </w:r>
        <w:r w:rsidR="00917941">
          <w:rPr>
            <w:noProof/>
            <w:webHidden/>
          </w:rPr>
          <w:fldChar w:fldCharType="end"/>
        </w:r>
      </w:hyperlink>
    </w:p>
    <w:p w14:paraId="48EB6973" w14:textId="3F318E85" w:rsidR="00917941" w:rsidRDefault="00740B55">
      <w:pPr>
        <w:pStyle w:val="TableofFigures"/>
        <w:rPr>
          <w:rFonts w:asciiTheme="minorHAnsi" w:eastAsiaTheme="minorEastAsia" w:hAnsiTheme="minorHAnsi" w:cstheme="minorBidi"/>
          <w:noProof/>
          <w:lang w:eastAsia="en-AU"/>
        </w:rPr>
      </w:pPr>
      <w:hyperlink w:anchor="_Toc10398452" w:history="1">
        <w:r w:rsidR="00917941" w:rsidRPr="002D3619">
          <w:rPr>
            <w:rStyle w:val="Hyperlink"/>
            <w:noProof/>
          </w:rPr>
          <w:t>Table 6.1 Inshore seagrass long-term monitoring sites</w:t>
        </w:r>
        <w:r w:rsidR="00917941">
          <w:rPr>
            <w:noProof/>
            <w:webHidden/>
          </w:rPr>
          <w:tab/>
        </w:r>
        <w:r w:rsidR="00917941">
          <w:rPr>
            <w:noProof/>
            <w:webHidden/>
          </w:rPr>
          <w:fldChar w:fldCharType="begin"/>
        </w:r>
        <w:r w:rsidR="00917941">
          <w:rPr>
            <w:noProof/>
            <w:webHidden/>
          </w:rPr>
          <w:instrText xml:space="preserve"> PAGEREF _Toc10398452 \h </w:instrText>
        </w:r>
        <w:r w:rsidR="00917941">
          <w:rPr>
            <w:noProof/>
            <w:webHidden/>
          </w:rPr>
        </w:r>
        <w:r w:rsidR="00917941">
          <w:rPr>
            <w:noProof/>
            <w:webHidden/>
          </w:rPr>
          <w:fldChar w:fldCharType="separate"/>
        </w:r>
        <w:r w:rsidR="00D528AA">
          <w:rPr>
            <w:noProof/>
            <w:webHidden/>
          </w:rPr>
          <w:t>71</w:t>
        </w:r>
        <w:r w:rsidR="00917941">
          <w:rPr>
            <w:noProof/>
            <w:webHidden/>
          </w:rPr>
          <w:fldChar w:fldCharType="end"/>
        </w:r>
      </w:hyperlink>
    </w:p>
    <w:p w14:paraId="0A394B07" w14:textId="5CD5EBDA" w:rsidR="00917941" w:rsidRDefault="00740B55">
      <w:pPr>
        <w:pStyle w:val="TableofFigures"/>
        <w:rPr>
          <w:rFonts w:asciiTheme="minorHAnsi" w:eastAsiaTheme="minorEastAsia" w:hAnsiTheme="minorHAnsi" w:cstheme="minorBidi"/>
          <w:noProof/>
          <w:lang w:eastAsia="en-AU"/>
        </w:rPr>
      </w:pPr>
      <w:hyperlink w:anchor="_Toc10398453" w:history="1">
        <w:r w:rsidR="00917941" w:rsidRPr="002D3619">
          <w:rPr>
            <w:rStyle w:val="Hyperlink"/>
            <w:noProof/>
          </w:rPr>
          <w:t>Table 6.2 Extra inshore seagrass long-term monitoring sites from the Seagrass-Watch and Queensland Parks and Wildlife drop-camera programs</w:t>
        </w:r>
        <w:r w:rsidR="00917941">
          <w:rPr>
            <w:noProof/>
            <w:webHidden/>
          </w:rPr>
          <w:tab/>
        </w:r>
        <w:r w:rsidR="00917941">
          <w:rPr>
            <w:noProof/>
            <w:webHidden/>
          </w:rPr>
          <w:fldChar w:fldCharType="begin"/>
        </w:r>
        <w:r w:rsidR="00917941">
          <w:rPr>
            <w:noProof/>
            <w:webHidden/>
          </w:rPr>
          <w:instrText xml:space="preserve"> PAGEREF _Toc10398453 \h </w:instrText>
        </w:r>
        <w:r w:rsidR="00917941">
          <w:rPr>
            <w:noProof/>
            <w:webHidden/>
          </w:rPr>
        </w:r>
        <w:r w:rsidR="00917941">
          <w:rPr>
            <w:noProof/>
            <w:webHidden/>
          </w:rPr>
          <w:fldChar w:fldCharType="separate"/>
        </w:r>
        <w:r w:rsidR="00D528AA">
          <w:rPr>
            <w:noProof/>
            <w:webHidden/>
          </w:rPr>
          <w:t>73</w:t>
        </w:r>
        <w:r w:rsidR="00917941">
          <w:rPr>
            <w:noProof/>
            <w:webHidden/>
          </w:rPr>
          <w:fldChar w:fldCharType="end"/>
        </w:r>
      </w:hyperlink>
    </w:p>
    <w:p w14:paraId="530014BF" w14:textId="251AB756" w:rsidR="00917941" w:rsidRDefault="00740B55">
      <w:pPr>
        <w:pStyle w:val="TableofFigures"/>
        <w:rPr>
          <w:rFonts w:asciiTheme="minorHAnsi" w:eastAsiaTheme="minorEastAsia" w:hAnsiTheme="minorHAnsi" w:cstheme="minorBidi"/>
          <w:noProof/>
          <w:lang w:eastAsia="en-AU"/>
        </w:rPr>
      </w:pPr>
      <w:hyperlink w:anchor="_Toc10398454" w:history="1">
        <w:r w:rsidR="00917941" w:rsidRPr="002D3619">
          <w:rPr>
            <w:rStyle w:val="Hyperlink"/>
            <w:noProof/>
          </w:rPr>
          <w:t>Table 6.3 Monitoring sites selected for light logger data collection</w:t>
        </w:r>
        <w:r w:rsidR="00917941">
          <w:rPr>
            <w:noProof/>
            <w:webHidden/>
          </w:rPr>
          <w:tab/>
        </w:r>
        <w:r w:rsidR="00917941">
          <w:rPr>
            <w:noProof/>
            <w:webHidden/>
          </w:rPr>
          <w:fldChar w:fldCharType="begin"/>
        </w:r>
        <w:r w:rsidR="00917941">
          <w:rPr>
            <w:noProof/>
            <w:webHidden/>
          </w:rPr>
          <w:instrText xml:space="preserve"> PAGEREF _Toc10398454 \h </w:instrText>
        </w:r>
        <w:r w:rsidR="00917941">
          <w:rPr>
            <w:noProof/>
            <w:webHidden/>
          </w:rPr>
        </w:r>
        <w:r w:rsidR="00917941">
          <w:rPr>
            <w:noProof/>
            <w:webHidden/>
          </w:rPr>
          <w:fldChar w:fldCharType="separate"/>
        </w:r>
        <w:r w:rsidR="00D528AA">
          <w:rPr>
            <w:noProof/>
            <w:webHidden/>
          </w:rPr>
          <w:t>80</w:t>
        </w:r>
        <w:r w:rsidR="00917941">
          <w:rPr>
            <w:noProof/>
            <w:webHidden/>
          </w:rPr>
          <w:fldChar w:fldCharType="end"/>
        </w:r>
      </w:hyperlink>
    </w:p>
    <w:p w14:paraId="1EEC5BDA" w14:textId="11B0EDFC" w:rsidR="00880997" w:rsidRPr="00084431" w:rsidRDefault="009E23DC" w:rsidP="00B40F03">
      <w:pPr>
        <w:rPr>
          <w:noProof/>
        </w:rPr>
      </w:pPr>
      <w:r>
        <w:rPr>
          <w:rStyle w:val="Hyperlink"/>
          <w:rFonts w:cs="Arial"/>
          <w:noProof/>
        </w:rPr>
        <w:fldChar w:fldCharType="end"/>
      </w:r>
    </w:p>
    <w:p w14:paraId="6C8C845F" w14:textId="77777777" w:rsidR="00B23072" w:rsidRPr="0058370B" w:rsidRDefault="00B23072" w:rsidP="00FE2F59">
      <w:pPr>
        <w:rPr>
          <w:rFonts w:cs="Arial"/>
        </w:rPr>
      </w:pPr>
      <w:r w:rsidRPr="0058370B">
        <w:rPr>
          <w:rFonts w:cs="Arial"/>
          <w:b/>
        </w:rPr>
        <w:br w:type="page"/>
      </w:r>
    </w:p>
    <w:p w14:paraId="65BF29F8" w14:textId="091686DB" w:rsidR="00B23072" w:rsidRPr="0058370B" w:rsidRDefault="00B23072" w:rsidP="00FE2F59">
      <w:pPr>
        <w:rPr>
          <w:rFonts w:cs="Arial"/>
          <w:color w:val="365F91" w:themeColor="accent1" w:themeShade="BF"/>
        </w:rPr>
      </w:pPr>
      <w:r w:rsidRPr="0058370B">
        <w:rPr>
          <w:rFonts w:cs="Arial"/>
          <w:b/>
          <w:color w:val="365F91" w:themeColor="accent1" w:themeShade="BF"/>
        </w:rPr>
        <w:t xml:space="preserve">List of </w:t>
      </w:r>
      <w:r w:rsidR="00686A9D">
        <w:rPr>
          <w:rFonts w:cs="Arial"/>
          <w:b/>
          <w:color w:val="365F91" w:themeColor="accent1" w:themeShade="BF"/>
        </w:rPr>
        <w:t>a</w:t>
      </w:r>
      <w:r w:rsidR="00686A9D" w:rsidRPr="0058370B">
        <w:rPr>
          <w:rFonts w:cs="Arial"/>
          <w:b/>
          <w:color w:val="365F91" w:themeColor="accent1" w:themeShade="BF"/>
        </w:rPr>
        <w:t>cronyms</w:t>
      </w:r>
    </w:p>
    <w:p w14:paraId="71B9F9DD" w14:textId="77777777" w:rsidR="00B23072" w:rsidRPr="0058370B" w:rsidRDefault="00B23072" w:rsidP="00753A8E">
      <w:pPr>
        <w:tabs>
          <w:tab w:val="left" w:leader="dot" w:pos="1701"/>
        </w:tabs>
        <w:contextualSpacing/>
        <w:rPr>
          <w:rFonts w:cs="Arial"/>
        </w:rPr>
      </w:pPr>
      <w:r w:rsidRPr="0058370B">
        <w:rPr>
          <w:rFonts w:cs="Arial"/>
          <w:b/>
        </w:rPr>
        <w:t>AIMS</w:t>
      </w:r>
      <w:r w:rsidRPr="00ED7A5F">
        <w:rPr>
          <w:rFonts w:cs="Arial"/>
          <w:b/>
        </w:rPr>
        <w:tab/>
      </w:r>
      <w:r w:rsidRPr="0058370B">
        <w:rPr>
          <w:rFonts w:cs="Arial"/>
        </w:rPr>
        <w:t>Australian Institute of Marine Science</w:t>
      </w:r>
    </w:p>
    <w:p w14:paraId="06B38D46" w14:textId="77777777" w:rsidR="001375F7" w:rsidRPr="0058370B" w:rsidRDefault="00101995" w:rsidP="00753A8E">
      <w:pPr>
        <w:tabs>
          <w:tab w:val="left" w:leader="dot" w:pos="1701"/>
        </w:tabs>
        <w:contextualSpacing/>
        <w:rPr>
          <w:rFonts w:cs="Arial"/>
        </w:rPr>
      </w:pPr>
      <w:r>
        <w:rPr>
          <w:rFonts w:cs="Arial"/>
          <w:b/>
        </w:rPr>
        <w:t>Authority</w:t>
      </w:r>
      <w:r w:rsidR="001375F7" w:rsidRPr="00ED7A5F">
        <w:rPr>
          <w:rFonts w:cs="Arial"/>
          <w:b/>
        </w:rPr>
        <w:tab/>
      </w:r>
      <w:r w:rsidR="001375F7" w:rsidRPr="0058370B">
        <w:rPr>
          <w:rFonts w:cs="Arial"/>
        </w:rPr>
        <w:t>Great Barrier Reef Marine Park Authority</w:t>
      </w:r>
    </w:p>
    <w:p w14:paraId="313F5ED1" w14:textId="77777777" w:rsidR="00B23072" w:rsidRPr="0058370B" w:rsidRDefault="00B23072" w:rsidP="00753A8E">
      <w:pPr>
        <w:tabs>
          <w:tab w:val="left" w:pos="567"/>
          <w:tab w:val="left" w:leader="dot" w:pos="1701"/>
        </w:tabs>
        <w:ind w:left="1695" w:hanging="1695"/>
        <w:contextualSpacing/>
        <w:rPr>
          <w:rFonts w:cs="Arial"/>
        </w:rPr>
      </w:pPr>
      <w:r w:rsidRPr="0058370B">
        <w:rPr>
          <w:rFonts w:cs="Arial"/>
          <w:b/>
        </w:rPr>
        <w:t>ANZECC</w:t>
      </w:r>
      <w:r w:rsidR="00ED7A5F" w:rsidRPr="00ED7A5F">
        <w:rPr>
          <w:rFonts w:cs="Arial"/>
          <w:b/>
        </w:rPr>
        <w:t>……….</w:t>
      </w:r>
      <w:r w:rsidRPr="00ED7A5F">
        <w:rPr>
          <w:rFonts w:cs="Arial"/>
          <w:b/>
        </w:rPr>
        <w:tab/>
      </w:r>
      <w:r w:rsidR="009F4FB6">
        <w:rPr>
          <w:rFonts w:cs="Arial"/>
        </w:rPr>
        <w:tab/>
      </w:r>
      <w:r w:rsidRPr="0058370B">
        <w:rPr>
          <w:rFonts w:cs="Arial"/>
        </w:rPr>
        <w:t>Australian and New Zealand Environment and Co</w:t>
      </w:r>
      <w:r w:rsidR="00D906D6">
        <w:rPr>
          <w:rFonts w:cs="Arial"/>
        </w:rPr>
        <w:t xml:space="preserve">nservation </w:t>
      </w:r>
      <w:r w:rsidRPr="0058370B">
        <w:rPr>
          <w:rFonts w:cs="Arial"/>
        </w:rPr>
        <w:t>Council</w:t>
      </w:r>
    </w:p>
    <w:p w14:paraId="1D31C437" w14:textId="77777777" w:rsidR="00B23072" w:rsidRPr="0058370B" w:rsidRDefault="00B23072" w:rsidP="00753A8E">
      <w:pPr>
        <w:tabs>
          <w:tab w:val="left" w:leader="dot" w:pos="1701"/>
        </w:tabs>
        <w:ind w:left="1695" w:hanging="1695"/>
        <w:contextualSpacing/>
        <w:rPr>
          <w:rFonts w:cs="Arial"/>
        </w:rPr>
      </w:pPr>
      <w:r w:rsidRPr="0058370B">
        <w:rPr>
          <w:rFonts w:cs="Arial"/>
          <w:b/>
        </w:rPr>
        <w:t>ARMCANZ</w:t>
      </w:r>
      <w:r w:rsidR="00ED7A5F" w:rsidRPr="00ED7A5F">
        <w:rPr>
          <w:rFonts w:cs="Arial"/>
          <w:b/>
        </w:rPr>
        <w:t>…….</w:t>
      </w:r>
      <w:r w:rsidRPr="00ED7A5F">
        <w:rPr>
          <w:rFonts w:cs="Arial"/>
        </w:rPr>
        <w:tab/>
      </w:r>
      <w:r w:rsidRPr="0058370B">
        <w:rPr>
          <w:rFonts w:cs="Arial"/>
        </w:rPr>
        <w:t>Agriculture and Resource Management Council of Australia and New Zealand</w:t>
      </w:r>
    </w:p>
    <w:p w14:paraId="19412F20" w14:textId="02134CB6" w:rsidR="00B23072" w:rsidRPr="0058370B" w:rsidRDefault="00B23072" w:rsidP="00753A8E">
      <w:pPr>
        <w:tabs>
          <w:tab w:val="left" w:leader="dot" w:pos="1701"/>
        </w:tabs>
        <w:contextualSpacing/>
        <w:rPr>
          <w:rFonts w:cs="Arial"/>
        </w:rPr>
      </w:pPr>
      <w:r w:rsidRPr="0058370B">
        <w:rPr>
          <w:rFonts w:cs="Arial"/>
          <w:b/>
        </w:rPr>
        <w:t>CDOM</w:t>
      </w:r>
      <w:r w:rsidRPr="00ED7A5F">
        <w:rPr>
          <w:rFonts w:cs="Arial"/>
          <w:b/>
        </w:rPr>
        <w:tab/>
      </w:r>
      <w:r w:rsidRPr="0058370B">
        <w:rPr>
          <w:rFonts w:cs="Arial"/>
        </w:rPr>
        <w:t>Colored dissolved organic matter</w:t>
      </w:r>
    </w:p>
    <w:p w14:paraId="05D444FE" w14:textId="26BAABA4" w:rsidR="005E6BFB" w:rsidRPr="006B5965" w:rsidRDefault="005E6BFB" w:rsidP="005E6BFB">
      <w:pPr>
        <w:tabs>
          <w:tab w:val="left" w:leader="dot" w:pos="1701"/>
        </w:tabs>
        <w:contextualSpacing/>
        <w:rPr>
          <w:rFonts w:cs="Arial"/>
        </w:rPr>
      </w:pPr>
      <w:r w:rsidRPr="0058370B">
        <w:rPr>
          <w:rFonts w:cs="Arial"/>
          <w:b/>
        </w:rPr>
        <w:t>C</w:t>
      </w:r>
      <w:r>
        <w:rPr>
          <w:rFonts w:cs="Arial"/>
          <w:b/>
        </w:rPr>
        <w:t>hl-</w:t>
      </w:r>
      <w:r w:rsidRPr="005E6BFB">
        <w:rPr>
          <w:rFonts w:cs="Arial"/>
          <w:b/>
          <w:i/>
        </w:rPr>
        <w:t>a</w:t>
      </w:r>
      <w:r w:rsidRPr="00ED7A5F">
        <w:rPr>
          <w:rFonts w:cs="Arial"/>
          <w:b/>
        </w:rPr>
        <w:tab/>
      </w:r>
      <w:r w:rsidRPr="0058370B">
        <w:rPr>
          <w:rFonts w:cs="Arial"/>
        </w:rPr>
        <w:t>C</w:t>
      </w:r>
      <w:r>
        <w:rPr>
          <w:rFonts w:cs="Arial"/>
        </w:rPr>
        <w:t xml:space="preserve">hlorophyll </w:t>
      </w:r>
      <w:r w:rsidRPr="005E6BFB">
        <w:rPr>
          <w:rFonts w:cs="Arial"/>
          <w:i/>
        </w:rPr>
        <w:t>a</w:t>
      </w:r>
      <w:r w:rsidR="006B5965">
        <w:rPr>
          <w:rFonts w:cs="Arial"/>
        </w:rPr>
        <w:t xml:space="preserve"> concentration</w:t>
      </w:r>
    </w:p>
    <w:p w14:paraId="0F68B2A3" w14:textId="77777777" w:rsidR="00B23072" w:rsidRPr="0058370B" w:rsidRDefault="00B23072" w:rsidP="00753A8E">
      <w:pPr>
        <w:tabs>
          <w:tab w:val="left" w:leader="dot" w:pos="1701"/>
        </w:tabs>
        <w:contextualSpacing/>
        <w:rPr>
          <w:rFonts w:cs="Arial"/>
        </w:rPr>
      </w:pPr>
      <w:r w:rsidRPr="0058370B">
        <w:rPr>
          <w:rFonts w:cs="Arial"/>
          <w:b/>
        </w:rPr>
        <w:t>CSIRO</w:t>
      </w:r>
      <w:r w:rsidRPr="00ED7A5F">
        <w:rPr>
          <w:rFonts w:cs="Arial"/>
          <w:b/>
        </w:rPr>
        <w:tab/>
      </w:r>
      <w:r w:rsidRPr="0058370B">
        <w:rPr>
          <w:rFonts w:cs="Arial"/>
        </w:rPr>
        <w:t>Commonwealth Scientific and Industrial Research Organisation</w:t>
      </w:r>
    </w:p>
    <w:p w14:paraId="3E99C931" w14:textId="77777777" w:rsidR="00B23072" w:rsidRPr="0058370B" w:rsidRDefault="00B23072" w:rsidP="00753A8E">
      <w:pPr>
        <w:tabs>
          <w:tab w:val="left" w:leader="dot" w:pos="1701"/>
        </w:tabs>
        <w:contextualSpacing/>
        <w:rPr>
          <w:rFonts w:cs="Arial"/>
        </w:rPr>
      </w:pPr>
      <w:r w:rsidRPr="0058370B">
        <w:rPr>
          <w:rFonts w:cs="Arial"/>
          <w:b/>
        </w:rPr>
        <w:t>CTD</w:t>
      </w:r>
      <w:r w:rsidRPr="00ED7A5F">
        <w:rPr>
          <w:rFonts w:cs="Arial"/>
          <w:b/>
        </w:rPr>
        <w:tab/>
      </w:r>
      <w:r w:rsidRPr="0058370B">
        <w:rPr>
          <w:rFonts w:cs="Arial"/>
        </w:rPr>
        <w:t>Conductivity Temperature Depth profiler</w:t>
      </w:r>
    </w:p>
    <w:p w14:paraId="19720A45" w14:textId="6F13FBAB" w:rsidR="005E6BFB" w:rsidRDefault="005E6BFB" w:rsidP="005E6BFB">
      <w:pPr>
        <w:tabs>
          <w:tab w:val="left" w:leader="dot" w:pos="1701"/>
        </w:tabs>
        <w:contextualSpacing/>
        <w:rPr>
          <w:rFonts w:cs="Arial"/>
          <w:b/>
        </w:rPr>
      </w:pPr>
      <w:r w:rsidRPr="0058370B">
        <w:rPr>
          <w:rFonts w:cs="Arial"/>
          <w:b/>
        </w:rPr>
        <w:t>D</w:t>
      </w:r>
      <w:r>
        <w:rPr>
          <w:rFonts w:cs="Arial"/>
          <w:b/>
        </w:rPr>
        <w:t>IN</w:t>
      </w:r>
      <w:r w:rsidRPr="00412529">
        <w:rPr>
          <w:rFonts w:cs="Arial"/>
          <w:b/>
        </w:rPr>
        <w:tab/>
      </w:r>
      <w:r w:rsidRPr="00412529">
        <w:rPr>
          <w:rFonts w:cs="Arial"/>
        </w:rPr>
        <w:t xml:space="preserve">Dissolved </w:t>
      </w:r>
      <w:r>
        <w:rPr>
          <w:rFonts w:cs="Arial"/>
        </w:rPr>
        <w:t>inorganic nitrogen</w:t>
      </w:r>
      <w:r w:rsidR="006B5965">
        <w:rPr>
          <w:rFonts w:cs="Arial"/>
        </w:rPr>
        <w:t xml:space="preserve"> concentration</w:t>
      </w:r>
    </w:p>
    <w:p w14:paraId="1C352656" w14:textId="6CAAC308" w:rsidR="005E6BFB" w:rsidRDefault="005E6BFB" w:rsidP="00753A8E">
      <w:pPr>
        <w:tabs>
          <w:tab w:val="left" w:leader="dot" w:pos="1701"/>
        </w:tabs>
        <w:contextualSpacing/>
        <w:rPr>
          <w:rFonts w:cs="Arial"/>
          <w:b/>
        </w:rPr>
      </w:pPr>
      <w:r w:rsidRPr="0058370B">
        <w:rPr>
          <w:rFonts w:cs="Arial"/>
          <w:b/>
        </w:rPr>
        <w:t>D</w:t>
      </w:r>
      <w:r>
        <w:rPr>
          <w:rFonts w:cs="Arial"/>
          <w:b/>
        </w:rPr>
        <w:t>IP</w:t>
      </w:r>
      <w:r w:rsidRPr="00412529">
        <w:rPr>
          <w:rFonts w:cs="Arial"/>
          <w:b/>
        </w:rPr>
        <w:tab/>
      </w:r>
      <w:r w:rsidRPr="00412529">
        <w:rPr>
          <w:rFonts w:cs="Arial"/>
        </w:rPr>
        <w:t xml:space="preserve">Dissolved </w:t>
      </w:r>
      <w:r>
        <w:rPr>
          <w:rFonts w:cs="Arial"/>
        </w:rPr>
        <w:t>inorganic phosphorus</w:t>
      </w:r>
      <w:r w:rsidR="006B5965">
        <w:rPr>
          <w:rFonts w:cs="Arial"/>
        </w:rPr>
        <w:t xml:space="preserve"> concentration</w:t>
      </w:r>
    </w:p>
    <w:p w14:paraId="18C81909" w14:textId="6E090A1B" w:rsidR="00B23072" w:rsidRPr="00412529" w:rsidRDefault="00B23072" w:rsidP="00753A8E">
      <w:pPr>
        <w:tabs>
          <w:tab w:val="left" w:leader="dot" w:pos="1701"/>
        </w:tabs>
        <w:contextualSpacing/>
        <w:rPr>
          <w:rFonts w:cs="Arial"/>
          <w:b/>
        </w:rPr>
      </w:pPr>
      <w:r w:rsidRPr="0058370B">
        <w:rPr>
          <w:rFonts w:cs="Arial"/>
          <w:b/>
        </w:rPr>
        <w:t>DON</w:t>
      </w:r>
      <w:r w:rsidRPr="00412529">
        <w:rPr>
          <w:rFonts w:cs="Arial"/>
          <w:b/>
        </w:rPr>
        <w:tab/>
      </w:r>
      <w:r w:rsidRPr="00412529">
        <w:rPr>
          <w:rFonts w:cs="Arial"/>
        </w:rPr>
        <w:t xml:space="preserve">Dissolved </w:t>
      </w:r>
      <w:r w:rsidR="00714174">
        <w:rPr>
          <w:rFonts w:cs="Arial"/>
        </w:rPr>
        <w:t>o</w:t>
      </w:r>
      <w:r w:rsidR="00714174" w:rsidRPr="00412529">
        <w:rPr>
          <w:rFonts w:cs="Arial"/>
        </w:rPr>
        <w:t xml:space="preserve">rganic </w:t>
      </w:r>
      <w:r w:rsidR="00714174">
        <w:rPr>
          <w:rFonts w:cs="Arial"/>
        </w:rPr>
        <w:t>n</w:t>
      </w:r>
      <w:r w:rsidR="00714174" w:rsidRPr="00412529">
        <w:rPr>
          <w:rFonts w:cs="Arial"/>
        </w:rPr>
        <w:t>itrogen</w:t>
      </w:r>
      <w:r w:rsidR="006B5965">
        <w:rPr>
          <w:rFonts w:cs="Arial"/>
        </w:rPr>
        <w:t xml:space="preserve"> concentration</w:t>
      </w:r>
    </w:p>
    <w:p w14:paraId="4F753500" w14:textId="6BD5A5EB" w:rsidR="00B23072" w:rsidRPr="00412529" w:rsidRDefault="00B23072" w:rsidP="00753A8E">
      <w:pPr>
        <w:tabs>
          <w:tab w:val="left" w:leader="dot" w:pos="1701"/>
        </w:tabs>
        <w:contextualSpacing/>
        <w:rPr>
          <w:rFonts w:cs="Arial"/>
          <w:b/>
        </w:rPr>
      </w:pPr>
      <w:r w:rsidRPr="0058370B">
        <w:rPr>
          <w:rFonts w:cs="Arial"/>
          <w:b/>
        </w:rPr>
        <w:t>DOP</w:t>
      </w:r>
      <w:r w:rsidRPr="00412529">
        <w:rPr>
          <w:rFonts w:cs="Arial"/>
          <w:b/>
        </w:rPr>
        <w:tab/>
      </w:r>
      <w:r w:rsidRPr="00412529">
        <w:rPr>
          <w:rFonts w:cs="Arial"/>
        </w:rPr>
        <w:t xml:space="preserve">Dissolved </w:t>
      </w:r>
      <w:r w:rsidR="00714174">
        <w:rPr>
          <w:rFonts w:cs="Arial"/>
        </w:rPr>
        <w:t>o</w:t>
      </w:r>
      <w:r w:rsidR="00714174" w:rsidRPr="00412529">
        <w:rPr>
          <w:rFonts w:cs="Arial"/>
        </w:rPr>
        <w:t xml:space="preserve">rganic </w:t>
      </w:r>
      <w:r w:rsidR="00714174">
        <w:rPr>
          <w:rFonts w:cs="Arial"/>
        </w:rPr>
        <w:t>p</w:t>
      </w:r>
      <w:r w:rsidR="00714174" w:rsidRPr="00412529">
        <w:rPr>
          <w:rFonts w:cs="Arial"/>
        </w:rPr>
        <w:t>hosphorus</w:t>
      </w:r>
      <w:r w:rsidR="006B5965">
        <w:rPr>
          <w:rFonts w:cs="Arial"/>
        </w:rPr>
        <w:t xml:space="preserve"> concentration</w:t>
      </w:r>
    </w:p>
    <w:p w14:paraId="5E7F2CD2" w14:textId="6E2F36BC" w:rsidR="00B23072" w:rsidRPr="00412529" w:rsidRDefault="00B23072" w:rsidP="00753A8E">
      <w:pPr>
        <w:tabs>
          <w:tab w:val="left" w:leader="dot" w:pos="1701"/>
        </w:tabs>
        <w:contextualSpacing/>
        <w:rPr>
          <w:rFonts w:cs="Arial"/>
          <w:b/>
        </w:rPr>
      </w:pPr>
      <w:r w:rsidRPr="0058370B">
        <w:rPr>
          <w:rFonts w:cs="Arial"/>
          <w:b/>
        </w:rPr>
        <w:t>ED</w:t>
      </w:r>
      <w:r w:rsidRPr="00412529">
        <w:rPr>
          <w:rFonts w:cs="Arial"/>
          <w:b/>
        </w:rPr>
        <w:tab/>
      </w:r>
      <w:r w:rsidRPr="00412529">
        <w:rPr>
          <w:rFonts w:cs="Arial"/>
        </w:rPr>
        <w:t xml:space="preserve">Empore </w:t>
      </w:r>
      <w:r w:rsidR="006C255F">
        <w:rPr>
          <w:rFonts w:cs="Arial"/>
        </w:rPr>
        <w:t>d</w:t>
      </w:r>
      <w:r w:rsidR="006C255F" w:rsidRPr="00412529">
        <w:rPr>
          <w:rFonts w:cs="Arial"/>
        </w:rPr>
        <w:t>isk</w:t>
      </w:r>
    </w:p>
    <w:p w14:paraId="79DDA070" w14:textId="2453C8C7" w:rsidR="00B23072" w:rsidRPr="00412529" w:rsidRDefault="00B23072" w:rsidP="00753A8E">
      <w:pPr>
        <w:tabs>
          <w:tab w:val="left" w:leader="dot" w:pos="1701"/>
        </w:tabs>
        <w:contextualSpacing/>
        <w:rPr>
          <w:rFonts w:cs="Arial"/>
          <w:b/>
        </w:rPr>
      </w:pPr>
      <w:r w:rsidRPr="0058370B">
        <w:rPr>
          <w:rFonts w:cs="Arial"/>
          <w:b/>
        </w:rPr>
        <w:t>GC</w:t>
      </w:r>
      <w:r w:rsidRPr="00412529">
        <w:rPr>
          <w:rFonts w:cs="Arial"/>
          <w:b/>
        </w:rPr>
        <w:tab/>
      </w:r>
      <w:r w:rsidRPr="00412529">
        <w:rPr>
          <w:rFonts w:cs="Arial"/>
        </w:rPr>
        <w:t xml:space="preserve">Gas </w:t>
      </w:r>
      <w:r w:rsidR="00C11655">
        <w:rPr>
          <w:rFonts w:cs="Arial"/>
        </w:rPr>
        <w:t>c</w:t>
      </w:r>
      <w:r w:rsidR="00C11655" w:rsidRPr="00412529">
        <w:rPr>
          <w:rFonts w:cs="Arial"/>
        </w:rPr>
        <w:t>hromatography</w:t>
      </w:r>
    </w:p>
    <w:p w14:paraId="4660EA77" w14:textId="654B87E3" w:rsidR="00B23072" w:rsidRPr="00412529" w:rsidRDefault="00B23072" w:rsidP="00753A8E">
      <w:pPr>
        <w:tabs>
          <w:tab w:val="left" w:leader="dot" w:pos="1701"/>
        </w:tabs>
        <w:contextualSpacing/>
        <w:rPr>
          <w:rFonts w:cs="Arial"/>
          <w:b/>
        </w:rPr>
      </w:pPr>
      <w:r w:rsidRPr="0058370B">
        <w:rPr>
          <w:rFonts w:cs="Arial"/>
          <w:b/>
        </w:rPr>
        <w:t>GPC</w:t>
      </w:r>
      <w:r w:rsidRPr="00412529">
        <w:rPr>
          <w:rFonts w:cs="Arial"/>
          <w:b/>
        </w:rPr>
        <w:tab/>
      </w:r>
      <w:r w:rsidRPr="00412529">
        <w:rPr>
          <w:rFonts w:cs="Arial"/>
        </w:rPr>
        <w:t xml:space="preserve">Gel </w:t>
      </w:r>
      <w:r w:rsidR="00C11655">
        <w:rPr>
          <w:rFonts w:cs="Arial"/>
        </w:rPr>
        <w:t>p</w:t>
      </w:r>
      <w:r w:rsidR="00C11655" w:rsidRPr="00412529">
        <w:rPr>
          <w:rFonts w:cs="Arial"/>
        </w:rPr>
        <w:t xml:space="preserve">ermeation </w:t>
      </w:r>
      <w:r w:rsidR="00C11655">
        <w:rPr>
          <w:rFonts w:cs="Arial"/>
        </w:rPr>
        <w:t>c</w:t>
      </w:r>
      <w:r w:rsidR="00C11655" w:rsidRPr="00412529">
        <w:rPr>
          <w:rFonts w:cs="Arial"/>
        </w:rPr>
        <w:t>hromatography</w:t>
      </w:r>
    </w:p>
    <w:p w14:paraId="0F0FA1CA" w14:textId="77777777" w:rsidR="00B23072" w:rsidRPr="00412529" w:rsidRDefault="00B23072" w:rsidP="00753A8E">
      <w:pPr>
        <w:tabs>
          <w:tab w:val="left" w:leader="dot" w:pos="1701"/>
        </w:tabs>
        <w:contextualSpacing/>
        <w:rPr>
          <w:rFonts w:cs="Arial"/>
          <w:b/>
        </w:rPr>
      </w:pPr>
      <w:r w:rsidRPr="0058370B">
        <w:rPr>
          <w:rFonts w:cs="Arial"/>
          <w:b/>
        </w:rPr>
        <w:t>HCl</w:t>
      </w:r>
      <w:r w:rsidRPr="00412529">
        <w:rPr>
          <w:rFonts w:cs="Arial"/>
          <w:b/>
        </w:rPr>
        <w:tab/>
      </w:r>
      <w:r w:rsidRPr="00412529">
        <w:rPr>
          <w:rFonts w:cs="Arial"/>
        </w:rPr>
        <w:t>Hydrochloric acid</w:t>
      </w:r>
    </w:p>
    <w:p w14:paraId="65BE6B97" w14:textId="29746AA9" w:rsidR="00B23072" w:rsidRPr="00412529" w:rsidRDefault="00B23072" w:rsidP="00753A8E">
      <w:pPr>
        <w:tabs>
          <w:tab w:val="left" w:leader="dot" w:pos="1701"/>
        </w:tabs>
        <w:contextualSpacing/>
        <w:rPr>
          <w:rFonts w:cs="Arial"/>
        </w:rPr>
      </w:pPr>
      <w:r w:rsidRPr="0058370B">
        <w:rPr>
          <w:rFonts w:cs="Arial"/>
          <w:b/>
        </w:rPr>
        <w:t>HPLC</w:t>
      </w:r>
      <w:r w:rsidRPr="00412529">
        <w:rPr>
          <w:rFonts w:cs="Arial"/>
          <w:b/>
        </w:rPr>
        <w:tab/>
      </w:r>
      <w:r w:rsidRPr="00412529">
        <w:rPr>
          <w:rFonts w:cs="Arial"/>
        </w:rPr>
        <w:t>High</w:t>
      </w:r>
      <w:r w:rsidR="00C11655">
        <w:rPr>
          <w:rFonts w:cs="Arial"/>
        </w:rPr>
        <w:t>-p</w:t>
      </w:r>
      <w:r w:rsidR="00C11655" w:rsidRPr="00412529">
        <w:rPr>
          <w:rFonts w:cs="Arial"/>
        </w:rPr>
        <w:t xml:space="preserve">erformance </w:t>
      </w:r>
      <w:r w:rsidR="00C11655">
        <w:rPr>
          <w:rFonts w:cs="Arial"/>
        </w:rPr>
        <w:t>l</w:t>
      </w:r>
      <w:r w:rsidR="00C11655" w:rsidRPr="00412529">
        <w:rPr>
          <w:rFonts w:cs="Arial"/>
        </w:rPr>
        <w:t xml:space="preserve">iquid </w:t>
      </w:r>
      <w:r w:rsidR="00C11655">
        <w:rPr>
          <w:rFonts w:cs="Arial"/>
        </w:rPr>
        <w:t>ch</w:t>
      </w:r>
      <w:r w:rsidR="00C11655" w:rsidRPr="00412529">
        <w:rPr>
          <w:rFonts w:cs="Arial"/>
        </w:rPr>
        <w:t>romatography</w:t>
      </w:r>
    </w:p>
    <w:p w14:paraId="0CD7D797" w14:textId="77777777" w:rsidR="00B23072" w:rsidRPr="00412529" w:rsidRDefault="00B23072" w:rsidP="00753A8E">
      <w:pPr>
        <w:tabs>
          <w:tab w:val="left" w:leader="dot" w:pos="1701"/>
        </w:tabs>
        <w:contextualSpacing/>
        <w:rPr>
          <w:rFonts w:cs="Arial"/>
        </w:rPr>
      </w:pPr>
      <w:r w:rsidRPr="0058370B">
        <w:rPr>
          <w:rFonts w:cs="Arial"/>
          <w:b/>
        </w:rPr>
        <w:t>JCU</w:t>
      </w:r>
      <w:r w:rsidRPr="00412529">
        <w:rPr>
          <w:rFonts w:cs="Arial"/>
          <w:b/>
        </w:rPr>
        <w:tab/>
      </w:r>
      <w:r w:rsidRPr="00412529">
        <w:rPr>
          <w:rFonts w:cs="Arial"/>
        </w:rPr>
        <w:t>James Cook University</w:t>
      </w:r>
    </w:p>
    <w:p w14:paraId="4F767D1E" w14:textId="1E06E39E" w:rsidR="00B23072" w:rsidRPr="00412529" w:rsidRDefault="00B23072" w:rsidP="00753A8E">
      <w:pPr>
        <w:tabs>
          <w:tab w:val="left" w:leader="dot" w:pos="1701"/>
        </w:tabs>
        <w:contextualSpacing/>
        <w:rPr>
          <w:rFonts w:cs="Arial"/>
          <w:b/>
        </w:rPr>
      </w:pPr>
      <w:r w:rsidRPr="00412529">
        <w:rPr>
          <w:rFonts w:cs="Arial"/>
          <w:b/>
        </w:rPr>
        <w:t>LC</w:t>
      </w:r>
      <w:r w:rsidR="00C11655">
        <w:rPr>
          <w:rFonts w:cs="Arial"/>
          <w:b/>
        </w:rPr>
        <w:t>-</w:t>
      </w:r>
      <w:r w:rsidRPr="00412529">
        <w:rPr>
          <w:rFonts w:cs="Arial"/>
          <w:b/>
        </w:rPr>
        <w:t>MS</w:t>
      </w:r>
      <w:r w:rsidRPr="00412529">
        <w:rPr>
          <w:rFonts w:cs="Arial"/>
          <w:b/>
        </w:rPr>
        <w:tab/>
      </w:r>
      <w:r w:rsidRPr="00412529">
        <w:rPr>
          <w:rFonts w:cs="Arial"/>
        </w:rPr>
        <w:t xml:space="preserve">Liquid </w:t>
      </w:r>
      <w:r w:rsidR="00C11655">
        <w:rPr>
          <w:rFonts w:cs="Arial"/>
        </w:rPr>
        <w:t>c</w:t>
      </w:r>
      <w:r w:rsidR="00C11655" w:rsidRPr="00412529">
        <w:rPr>
          <w:rFonts w:cs="Arial"/>
        </w:rPr>
        <w:t>hromatography</w:t>
      </w:r>
      <w:r w:rsidRPr="00412529">
        <w:rPr>
          <w:rFonts w:cs="Arial"/>
        </w:rPr>
        <w:t>-</w:t>
      </w:r>
      <w:r w:rsidR="00C11655">
        <w:rPr>
          <w:rFonts w:cs="Arial"/>
        </w:rPr>
        <w:t>m</w:t>
      </w:r>
      <w:r w:rsidR="00C11655" w:rsidRPr="00412529">
        <w:rPr>
          <w:rFonts w:cs="Arial"/>
        </w:rPr>
        <w:t xml:space="preserve">ass </w:t>
      </w:r>
      <w:r w:rsidR="00C11655">
        <w:rPr>
          <w:rFonts w:cs="Arial"/>
        </w:rPr>
        <w:t>s</w:t>
      </w:r>
      <w:r w:rsidR="00C11655" w:rsidRPr="00412529">
        <w:rPr>
          <w:rFonts w:cs="Arial"/>
        </w:rPr>
        <w:t>pectro</w:t>
      </w:r>
      <w:r w:rsidR="00C11655">
        <w:rPr>
          <w:rFonts w:cs="Arial"/>
        </w:rPr>
        <w:t>metry</w:t>
      </w:r>
    </w:p>
    <w:p w14:paraId="0FAAC9C2" w14:textId="77777777" w:rsidR="00B23072" w:rsidRPr="00412529" w:rsidRDefault="00B23072" w:rsidP="00753A8E">
      <w:pPr>
        <w:tabs>
          <w:tab w:val="left" w:leader="dot" w:pos="1701"/>
        </w:tabs>
        <w:contextualSpacing/>
        <w:rPr>
          <w:rFonts w:cs="Arial"/>
          <w:b/>
        </w:rPr>
      </w:pPr>
      <w:r w:rsidRPr="0058370B">
        <w:rPr>
          <w:rFonts w:cs="Arial"/>
          <w:b/>
        </w:rPr>
        <w:t>MMP</w:t>
      </w:r>
      <w:r w:rsidRPr="00412529">
        <w:rPr>
          <w:rFonts w:cs="Arial"/>
          <w:b/>
        </w:rPr>
        <w:tab/>
      </w:r>
      <w:r w:rsidRPr="00412529">
        <w:rPr>
          <w:rFonts w:cs="Arial"/>
        </w:rPr>
        <w:t>Marine Monitoring Program</w:t>
      </w:r>
    </w:p>
    <w:p w14:paraId="260AD37F" w14:textId="65C98558" w:rsidR="00B23072" w:rsidRPr="00412529" w:rsidRDefault="00B23072" w:rsidP="00753A8E">
      <w:pPr>
        <w:tabs>
          <w:tab w:val="left" w:leader="dot" w:pos="1701"/>
        </w:tabs>
        <w:contextualSpacing/>
        <w:rPr>
          <w:rFonts w:cs="Arial"/>
          <w:b/>
        </w:rPr>
      </w:pPr>
      <w:r w:rsidRPr="0058370B">
        <w:rPr>
          <w:rFonts w:cs="Arial"/>
          <w:b/>
        </w:rPr>
        <w:t>MODIS</w:t>
      </w:r>
      <w:r w:rsidRPr="00412529">
        <w:rPr>
          <w:rFonts w:cs="Arial"/>
          <w:b/>
        </w:rPr>
        <w:tab/>
      </w:r>
      <w:r w:rsidRPr="00412529">
        <w:rPr>
          <w:rFonts w:cs="Arial"/>
        </w:rPr>
        <w:t xml:space="preserve">Moderate-resolution </w:t>
      </w:r>
      <w:r w:rsidR="00C11655">
        <w:rPr>
          <w:rFonts w:cs="Arial"/>
        </w:rPr>
        <w:t>i</w:t>
      </w:r>
      <w:r w:rsidR="00C11655" w:rsidRPr="00412529">
        <w:rPr>
          <w:rFonts w:cs="Arial"/>
        </w:rPr>
        <w:t xml:space="preserve">maging </w:t>
      </w:r>
      <w:r w:rsidR="00C11655">
        <w:rPr>
          <w:rFonts w:cs="Arial"/>
        </w:rPr>
        <w:t>s</w:t>
      </w:r>
      <w:r w:rsidR="00C11655" w:rsidRPr="00412529">
        <w:rPr>
          <w:rFonts w:cs="Arial"/>
        </w:rPr>
        <w:t>pectroradiometer</w:t>
      </w:r>
    </w:p>
    <w:p w14:paraId="08607593" w14:textId="7F0D6CDD" w:rsidR="00B23072" w:rsidRPr="00412529" w:rsidRDefault="00B23072" w:rsidP="00753A8E">
      <w:pPr>
        <w:tabs>
          <w:tab w:val="left" w:leader="dot" w:pos="1701"/>
        </w:tabs>
        <w:contextualSpacing/>
        <w:rPr>
          <w:rFonts w:cs="Arial"/>
          <w:b/>
        </w:rPr>
      </w:pPr>
      <w:r w:rsidRPr="0058370B">
        <w:rPr>
          <w:rFonts w:cs="Arial"/>
          <w:b/>
        </w:rPr>
        <w:t>MS</w:t>
      </w:r>
      <w:r w:rsidRPr="00412529">
        <w:rPr>
          <w:rFonts w:cs="Arial"/>
          <w:b/>
        </w:rPr>
        <w:tab/>
      </w:r>
      <w:r w:rsidRPr="00412529">
        <w:rPr>
          <w:rFonts w:cs="Arial"/>
        </w:rPr>
        <w:t xml:space="preserve">Mass </w:t>
      </w:r>
      <w:r w:rsidR="00C11655">
        <w:rPr>
          <w:rFonts w:cs="Arial"/>
        </w:rPr>
        <w:t>s</w:t>
      </w:r>
      <w:r w:rsidR="00C11655" w:rsidRPr="00412529">
        <w:rPr>
          <w:rFonts w:cs="Arial"/>
        </w:rPr>
        <w:t>pectro</w:t>
      </w:r>
      <w:r w:rsidR="00C11655">
        <w:rPr>
          <w:rFonts w:cs="Arial"/>
        </w:rPr>
        <w:t>metry</w:t>
      </w:r>
    </w:p>
    <w:p w14:paraId="778B31FC" w14:textId="77777777" w:rsidR="00B23072" w:rsidRPr="00412529" w:rsidRDefault="00B23072" w:rsidP="00753A8E">
      <w:pPr>
        <w:tabs>
          <w:tab w:val="left" w:leader="dot" w:pos="1701"/>
        </w:tabs>
        <w:contextualSpacing/>
        <w:rPr>
          <w:rFonts w:cs="Arial"/>
          <w:b/>
        </w:rPr>
      </w:pPr>
      <w:r w:rsidRPr="0058370B">
        <w:rPr>
          <w:rFonts w:cs="Arial"/>
          <w:b/>
        </w:rPr>
        <w:t>MTSRF</w:t>
      </w:r>
      <w:r w:rsidRPr="00412529">
        <w:rPr>
          <w:rFonts w:cs="Arial"/>
          <w:b/>
        </w:rPr>
        <w:tab/>
      </w:r>
      <w:r w:rsidRPr="00412529">
        <w:rPr>
          <w:rFonts w:cs="Arial"/>
        </w:rPr>
        <w:t>Marine and Tropical Sciences Research Facility</w:t>
      </w:r>
    </w:p>
    <w:p w14:paraId="3209897B" w14:textId="77777777" w:rsidR="00B23072" w:rsidRPr="00412529" w:rsidRDefault="00B23072" w:rsidP="00753A8E">
      <w:pPr>
        <w:tabs>
          <w:tab w:val="left" w:leader="dot" w:pos="1701"/>
        </w:tabs>
        <w:contextualSpacing/>
        <w:rPr>
          <w:rFonts w:cs="Arial"/>
          <w:b/>
        </w:rPr>
      </w:pPr>
      <w:r w:rsidRPr="0058370B">
        <w:rPr>
          <w:rFonts w:cs="Arial"/>
          <w:b/>
        </w:rPr>
        <w:t>NASA</w:t>
      </w:r>
      <w:r w:rsidRPr="00412529">
        <w:rPr>
          <w:rFonts w:cs="Arial"/>
          <w:b/>
        </w:rPr>
        <w:tab/>
      </w:r>
      <w:r w:rsidRPr="00412529">
        <w:rPr>
          <w:rFonts w:cs="Arial"/>
        </w:rPr>
        <w:t>National Aeronautics and Space Administration</w:t>
      </w:r>
    </w:p>
    <w:p w14:paraId="32EC141E" w14:textId="77777777" w:rsidR="00B23072" w:rsidRPr="00412529" w:rsidRDefault="00B23072" w:rsidP="00753A8E">
      <w:pPr>
        <w:tabs>
          <w:tab w:val="left" w:leader="dot" w:pos="1701"/>
        </w:tabs>
        <w:contextualSpacing/>
        <w:rPr>
          <w:rFonts w:cs="Arial"/>
          <w:b/>
        </w:rPr>
      </w:pPr>
      <w:r w:rsidRPr="0058370B">
        <w:rPr>
          <w:rFonts w:cs="Arial"/>
          <w:b/>
        </w:rPr>
        <w:t>NATA</w:t>
      </w:r>
      <w:r w:rsidRPr="00ED7A5F">
        <w:rPr>
          <w:rFonts w:cs="Arial"/>
          <w:b/>
        </w:rPr>
        <w:tab/>
      </w:r>
      <w:r w:rsidRPr="00412529">
        <w:rPr>
          <w:rFonts w:cs="Arial"/>
        </w:rPr>
        <w:t>National Association of Testing Authorities</w:t>
      </w:r>
    </w:p>
    <w:p w14:paraId="3573D9E1" w14:textId="26BD54FE" w:rsidR="0030095E" w:rsidRPr="00412529" w:rsidRDefault="0030095E" w:rsidP="0030095E">
      <w:pPr>
        <w:tabs>
          <w:tab w:val="left" w:leader="dot" w:pos="1701"/>
        </w:tabs>
        <w:contextualSpacing/>
        <w:rPr>
          <w:rFonts w:cs="Arial"/>
          <w:b/>
        </w:rPr>
      </w:pPr>
      <w:r w:rsidRPr="00412529">
        <w:rPr>
          <w:rFonts w:cs="Arial"/>
          <w:b/>
        </w:rPr>
        <w:t>NH</w:t>
      </w:r>
      <w:r>
        <w:rPr>
          <w:rFonts w:cs="Arial"/>
          <w:b/>
          <w:vertAlign w:val="subscript"/>
        </w:rPr>
        <w:t>4</w:t>
      </w:r>
      <w:r w:rsidR="001A3610" w:rsidRPr="0030095E">
        <w:rPr>
          <w:rFonts w:cs="Arial"/>
          <w:b/>
          <w:vertAlign w:val="superscript"/>
        </w:rPr>
        <w:t>+</w:t>
      </w:r>
      <w:r w:rsidRPr="00412529">
        <w:rPr>
          <w:rFonts w:cs="Arial"/>
          <w:b/>
        </w:rPr>
        <w:tab/>
      </w:r>
      <w:r w:rsidRPr="00412529">
        <w:rPr>
          <w:rFonts w:cs="Arial"/>
        </w:rPr>
        <w:t>Ammoni</w:t>
      </w:r>
      <w:r>
        <w:rPr>
          <w:rFonts w:cs="Arial"/>
        </w:rPr>
        <w:t>um concentration</w:t>
      </w:r>
    </w:p>
    <w:p w14:paraId="25CC93F9" w14:textId="7E4B08CD" w:rsidR="00B23072" w:rsidRPr="00412529" w:rsidRDefault="00B23072" w:rsidP="00753A8E">
      <w:pPr>
        <w:tabs>
          <w:tab w:val="left" w:leader="dot" w:pos="1701"/>
        </w:tabs>
        <w:contextualSpacing/>
        <w:rPr>
          <w:rFonts w:cs="Arial"/>
          <w:b/>
        </w:rPr>
      </w:pPr>
      <w:r w:rsidRPr="00412529">
        <w:rPr>
          <w:rFonts w:cs="Arial"/>
          <w:b/>
        </w:rPr>
        <w:t>NH</w:t>
      </w:r>
      <w:r w:rsidR="005E6BFB" w:rsidRPr="005E6BFB">
        <w:rPr>
          <w:rFonts w:cs="Arial"/>
          <w:b/>
          <w:vertAlign w:val="subscript"/>
        </w:rPr>
        <w:t>3</w:t>
      </w:r>
      <w:r w:rsidRPr="00412529">
        <w:rPr>
          <w:rFonts w:cs="Arial"/>
          <w:b/>
        </w:rPr>
        <w:tab/>
      </w:r>
      <w:r w:rsidRPr="00412529">
        <w:rPr>
          <w:rFonts w:cs="Arial"/>
        </w:rPr>
        <w:t>Ammonia</w:t>
      </w:r>
      <w:r w:rsidR="006B5965">
        <w:rPr>
          <w:rFonts w:cs="Arial"/>
        </w:rPr>
        <w:t xml:space="preserve"> concentration</w:t>
      </w:r>
    </w:p>
    <w:p w14:paraId="34557F77" w14:textId="1F9D97FC" w:rsidR="00B23072" w:rsidRPr="00412529" w:rsidRDefault="00B23072" w:rsidP="00753A8E">
      <w:pPr>
        <w:tabs>
          <w:tab w:val="left" w:leader="dot" w:pos="1701"/>
        </w:tabs>
        <w:contextualSpacing/>
        <w:rPr>
          <w:rFonts w:cs="Arial"/>
          <w:b/>
        </w:rPr>
      </w:pPr>
      <w:r w:rsidRPr="00412529">
        <w:rPr>
          <w:rFonts w:cs="Arial"/>
          <w:b/>
        </w:rPr>
        <w:t>NO</w:t>
      </w:r>
      <w:r w:rsidRPr="005E6BFB">
        <w:rPr>
          <w:rFonts w:cs="Arial"/>
          <w:b/>
          <w:vertAlign w:val="subscript"/>
        </w:rPr>
        <w:t>2</w:t>
      </w:r>
      <w:r w:rsidRPr="00412529">
        <w:rPr>
          <w:rFonts w:cs="Arial"/>
          <w:b/>
        </w:rPr>
        <w:tab/>
      </w:r>
      <w:r w:rsidRPr="00412529">
        <w:rPr>
          <w:rFonts w:cs="Arial"/>
        </w:rPr>
        <w:t>Nitr</w:t>
      </w:r>
      <w:r w:rsidR="005E6BFB">
        <w:rPr>
          <w:rFonts w:cs="Arial"/>
        </w:rPr>
        <w:t>ite</w:t>
      </w:r>
      <w:r w:rsidR="006B5965">
        <w:rPr>
          <w:rFonts w:cs="Arial"/>
        </w:rPr>
        <w:t xml:space="preserve"> concentration</w:t>
      </w:r>
    </w:p>
    <w:p w14:paraId="4F07C10F" w14:textId="7BDC6D98" w:rsidR="00B23072" w:rsidRPr="00412529" w:rsidRDefault="00B23072" w:rsidP="00753A8E">
      <w:pPr>
        <w:tabs>
          <w:tab w:val="left" w:leader="dot" w:pos="1701"/>
        </w:tabs>
        <w:contextualSpacing/>
        <w:rPr>
          <w:rFonts w:cs="Arial"/>
          <w:b/>
        </w:rPr>
      </w:pPr>
      <w:r w:rsidRPr="00412529">
        <w:rPr>
          <w:rFonts w:cs="Arial"/>
          <w:b/>
        </w:rPr>
        <w:t>NO</w:t>
      </w:r>
      <w:r w:rsidRPr="005E6BFB">
        <w:rPr>
          <w:rFonts w:cs="Arial"/>
          <w:b/>
          <w:vertAlign w:val="subscript"/>
        </w:rPr>
        <w:t>3</w:t>
      </w:r>
      <w:r w:rsidRPr="00412529">
        <w:rPr>
          <w:rFonts w:cs="Arial"/>
          <w:b/>
        </w:rPr>
        <w:tab/>
      </w:r>
      <w:r w:rsidRPr="00412529">
        <w:rPr>
          <w:rFonts w:cs="Arial"/>
        </w:rPr>
        <w:t>Nitrate</w:t>
      </w:r>
      <w:r w:rsidR="006B5965">
        <w:rPr>
          <w:rFonts w:cs="Arial"/>
        </w:rPr>
        <w:t xml:space="preserve"> concentration</w:t>
      </w:r>
    </w:p>
    <w:p w14:paraId="7ECF9681" w14:textId="52655242" w:rsidR="006B5965" w:rsidRDefault="006B5965" w:rsidP="00753A8E">
      <w:pPr>
        <w:tabs>
          <w:tab w:val="left" w:leader="dot" w:pos="1701"/>
        </w:tabs>
        <w:contextualSpacing/>
        <w:rPr>
          <w:rFonts w:cs="Arial"/>
          <w:b/>
        </w:rPr>
      </w:pPr>
      <w:r w:rsidRPr="00412529">
        <w:rPr>
          <w:rFonts w:cs="Arial"/>
          <w:b/>
        </w:rPr>
        <w:t>NO</w:t>
      </w:r>
      <w:r>
        <w:rPr>
          <w:rFonts w:cs="Arial"/>
          <w:b/>
          <w:vertAlign w:val="subscript"/>
        </w:rPr>
        <w:t>x</w:t>
      </w:r>
      <w:r w:rsidRPr="00412529">
        <w:rPr>
          <w:rFonts w:cs="Arial"/>
          <w:b/>
        </w:rPr>
        <w:tab/>
      </w:r>
      <w:r w:rsidRPr="00412529">
        <w:rPr>
          <w:rFonts w:cs="Arial"/>
        </w:rPr>
        <w:t>Nitrat</w:t>
      </w:r>
      <w:r>
        <w:rPr>
          <w:rFonts w:cs="Arial"/>
        </w:rPr>
        <w:t>e/nitrite (NO</w:t>
      </w:r>
      <w:r w:rsidRPr="006B5965">
        <w:rPr>
          <w:rFonts w:cs="Arial"/>
          <w:vertAlign w:val="subscript"/>
        </w:rPr>
        <w:t>3</w:t>
      </w:r>
      <w:r>
        <w:rPr>
          <w:rFonts w:cs="Arial"/>
        </w:rPr>
        <w:t xml:space="preserve"> + NO</w:t>
      </w:r>
      <w:r w:rsidRPr="006B5965">
        <w:rPr>
          <w:rFonts w:cs="Arial"/>
          <w:vertAlign w:val="subscript"/>
        </w:rPr>
        <w:t>2</w:t>
      </w:r>
      <w:r>
        <w:rPr>
          <w:rFonts w:cs="Arial"/>
        </w:rPr>
        <w:t>) concentration</w:t>
      </w:r>
    </w:p>
    <w:p w14:paraId="77864B91" w14:textId="6D3E0195" w:rsidR="00B23072" w:rsidRPr="00412529" w:rsidRDefault="00B23072" w:rsidP="00753A8E">
      <w:pPr>
        <w:tabs>
          <w:tab w:val="left" w:leader="dot" w:pos="1701"/>
        </w:tabs>
        <w:contextualSpacing/>
        <w:rPr>
          <w:rFonts w:cs="Arial"/>
          <w:b/>
        </w:rPr>
      </w:pPr>
      <w:r w:rsidRPr="00412529">
        <w:rPr>
          <w:rFonts w:cs="Arial"/>
          <w:b/>
        </w:rPr>
        <w:t>NRM</w:t>
      </w:r>
      <w:r w:rsidRPr="00412529">
        <w:rPr>
          <w:rFonts w:cs="Arial"/>
          <w:b/>
        </w:rPr>
        <w:tab/>
      </w:r>
      <w:r w:rsidRPr="00412529">
        <w:rPr>
          <w:rFonts w:cs="Arial"/>
        </w:rPr>
        <w:t xml:space="preserve">Natural </w:t>
      </w:r>
      <w:r w:rsidR="00C11655">
        <w:rPr>
          <w:rFonts w:cs="Arial"/>
        </w:rPr>
        <w:t>r</w:t>
      </w:r>
      <w:r w:rsidR="00C11655" w:rsidRPr="00412529">
        <w:rPr>
          <w:rFonts w:cs="Arial"/>
        </w:rPr>
        <w:t xml:space="preserve">esource </w:t>
      </w:r>
      <w:r w:rsidR="00C11655">
        <w:rPr>
          <w:rFonts w:cs="Arial"/>
        </w:rPr>
        <w:t>m</w:t>
      </w:r>
      <w:r w:rsidR="00C11655" w:rsidRPr="00412529">
        <w:rPr>
          <w:rFonts w:cs="Arial"/>
        </w:rPr>
        <w:t>anagement</w:t>
      </w:r>
    </w:p>
    <w:p w14:paraId="760DE1D3" w14:textId="67D91A61" w:rsidR="00B23072" w:rsidRPr="00412529" w:rsidRDefault="00B23072" w:rsidP="00753A8E">
      <w:pPr>
        <w:tabs>
          <w:tab w:val="left" w:leader="dot" w:pos="1701"/>
        </w:tabs>
        <w:contextualSpacing/>
        <w:rPr>
          <w:rFonts w:cs="Arial"/>
          <w:b/>
        </w:rPr>
      </w:pPr>
      <w:r w:rsidRPr="00412529">
        <w:rPr>
          <w:rFonts w:cs="Arial"/>
          <w:b/>
        </w:rPr>
        <w:t>PAH</w:t>
      </w:r>
      <w:r w:rsidRPr="00412529">
        <w:rPr>
          <w:rFonts w:cs="Arial"/>
          <w:b/>
        </w:rPr>
        <w:tab/>
      </w:r>
      <w:r w:rsidRPr="00412529">
        <w:rPr>
          <w:rFonts w:cs="Arial"/>
        </w:rPr>
        <w:t xml:space="preserve">Polyaromatic </w:t>
      </w:r>
      <w:r w:rsidR="00C11655">
        <w:rPr>
          <w:rFonts w:cs="Arial"/>
        </w:rPr>
        <w:t>h</w:t>
      </w:r>
      <w:r w:rsidR="00C11655" w:rsidRPr="00412529">
        <w:rPr>
          <w:rFonts w:cs="Arial"/>
        </w:rPr>
        <w:t>ydrocarbons</w:t>
      </w:r>
    </w:p>
    <w:p w14:paraId="0D9D4814" w14:textId="77777777" w:rsidR="00B23072" w:rsidRPr="00412529" w:rsidRDefault="00B23072" w:rsidP="00753A8E">
      <w:pPr>
        <w:tabs>
          <w:tab w:val="left" w:leader="dot" w:pos="1701"/>
        </w:tabs>
        <w:contextualSpacing/>
        <w:rPr>
          <w:rFonts w:cs="Arial"/>
          <w:b/>
        </w:rPr>
      </w:pPr>
      <w:r w:rsidRPr="00412529">
        <w:rPr>
          <w:rFonts w:cs="Arial"/>
          <w:b/>
        </w:rPr>
        <w:t>PDMS</w:t>
      </w:r>
      <w:r w:rsidRPr="00412529">
        <w:rPr>
          <w:rFonts w:cs="Arial"/>
          <w:b/>
        </w:rPr>
        <w:tab/>
      </w:r>
      <w:r w:rsidRPr="00412529">
        <w:rPr>
          <w:rFonts w:cs="Arial"/>
        </w:rPr>
        <w:t>Polydimethylsiloxane</w:t>
      </w:r>
    </w:p>
    <w:p w14:paraId="65E2D472" w14:textId="14119980" w:rsidR="00B23072" w:rsidRPr="00412529" w:rsidRDefault="00B23072" w:rsidP="00753A8E">
      <w:pPr>
        <w:tabs>
          <w:tab w:val="left" w:leader="dot" w:pos="1701"/>
        </w:tabs>
        <w:contextualSpacing/>
        <w:rPr>
          <w:rFonts w:cs="Arial"/>
          <w:b/>
        </w:rPr>
      </w:pPr>
      <w:r w:rsidRPr="00412529">
        <w:rPr>
          <w:rFonts w:cs="Arial"/>
          <w:b/>
        </w:rPr>
        <w:t>PN</w:t>
      </w:r>
      <w:r w:rsidRPr="00412529">
        <w:rPr>
          <w:rFonts w:cs="Arial"/>
          <w:b/>
        </w:rPr>
        <w:tab/>
      </w:r>
      <w:r w:rsidRPr="00412529">
        <w:rPr>
          <w:rFonts w:cs="Arial"/>
        </w:rPr>
        <w:t xml:space="preserve">Particulate </w:t>
      </w:r>
      <w:r w:rsidR="00C11655">
        <w:rPr>
          <w:rFonts w:cs="Arial"/>
        </w:rPr>
        <w:t>n</w:t>
      </w:r>
      <w:r w:rsidR="00C11655" w:rsidRPr="00412529">
        <w:rPr>
          <w:rFonts w:cs="Arial"/>
        </w:rPr>
        <w:t>itrogen</w:t>
      </w:r>
      <w:r w:rsidR="006B5965">
        <w:rPr>
          <w:rFonts w:cs="Arial"/>
        </w:rPr>
        <w:t xml:space="preserve"> concentration</w:t>
      </w:r>
    </w:p>
    <w:p w14:paraId="0B17D33E" w14:textId="023A9015" w:rsidR="00B23072" w:rsidRPr="00412529" w:rsidRDefault="00B23072" w:rsidP="00753A8E">
      <w:pPr>
        <w:tabs>
          <w:tab w:val="left" w:leader="dot" w:pos="1701"/>
        </w:tabs>
        <w:contextualSpacing/>
        <w:rPr>
          <w:rFonts w:cs="Arial"/>
          <w:b/>
        </w:rPr>
      </w:pPr>
      <w:r w:rsidRPr="00412529">
        <w:rPr>
          <w:rFonts w:cs="Arial"/>
          <w:b/>
        </w:rPr>
        <w:t>PP</w:t>
      </w:r>
      <w:r w:rsidRPr="00412529">
        <w:rPr>
          <w:rFonts w:cs="Arial"/>
          <w:b/>
        </w:rPr>
        <w:tab/>
      </w:r>
      <w:r w:rsidRPr="00412529">
        <w:rPr>
          <w:rFonts w:cs="Arial"/>
        </w:rPr>
        <w:t xml:space="preserve">Particulate </w:t>
      </w:r>
      <w:r w:rsidR="00C11655">
        <w:rPr>
          <w:rFonts w:cs="Arial"/>
        </w:rPr>
        <w:t>p</w:t>
      </w:r>
      <w:r w:rsidR="00C11655" w:rsidRPr="00412529">
        <w:rPr>
          <w:rFonts w:cs="Arial"/>
        </w:rPr>
        <w:t>hosphorus</w:t>
      </w:r>
      <w:r w:rsidR="006B5965">
        <w:rPr>
          <w:rFonts w:cs="Arial"/>
        </w:rPr>
        <w:t xml:space="preserve"> concentration</w:t>
      </w:r>
    </w:p>
    <w:p w14:paraId="2C0FA048" w14:textId="65B68EC2" w:rsidR="00B23072" w:rsidRPr="00412529" w:rsidRDefault="00B23072" w:rsidP="00753A8E">
      <w:pPr>
        <w:tabs>
          <w:tab w:val="left" w:leader="dot" w:pos="1701"/>
        </w:tabs>
        <w:contextualSpacing/>
        <w:rPr>
          <w:rFonts w:cs="Arial"/>
          <w:b/>
        </w:rPr>
      </w:pPr>
      <w:r w:rsidRPr="00412529">
        <w:rPr>
          <w:rFonts w:cs="Arial"/>
          <w:b/>
        </w:rPr>
        <w:t>PRC</w:t>
      </w:r>
      <w:r w:rsidRPr="00412529">
        <w:rPr>
          <w:rFonts w:cs="Arial"/>
          <w:b/>
        </w:rPr>
        <w:tab/>
      </w:r>
      <w:r w:rsidRPr="00412529">
        <w:rPr>
          <w:rFonts w:cs="Arial"/>
        </w:rPr>
        <w:t xml:space="preserve">Performance </w:t>
      </w:r>
      <w:r w:rsidR="00C11655">
        <w:rPr>
          <w:rFonts w:cs="Arial"/>
        </w:rPr>
        <w:t>r</w:t>
      </w:r>
      <w:r w:rsidR="00C11655" w:rsidRPr="00412529">
        <w:rPr>
          <w:rFonts w:cs="Arial"/>
        </w:rPr>
        <w:t xml:space="preserve">eference </w:t>
      </w:r>
      <w:r w:rsidR="00C11655">
        <w:rPr>
          <w:rFonts w:cs="Arial"/>
        </w:rPr>
        <w:t>c</w:t>
      </w:r>
      <w:r w:rsidR="00C11655" w:rsidRPr="00412529">
        <w:rPr>
          <w:rFonts w:cs="Arial"/>
        </w:rPr>
        <w:t>ompounds</w:t>
      </w:r>
    </w:p>
    <w:p w14:paraId="6E84AAD1" w14:textId="278F9E31" w:rsidR="00B23072" w:rsidRDefault="00B23072" w:rsidP="00753A8E">
      <w:pPr>
        <w:tabs>
          <w:tab w:val="left" w:leader="dot" w:pos="1701"/>
        </w:tabs>
        <w:contextualSpacing/>
        <w:rPr>
          <w:rFonts w:cs="Arial"/>
        </w:rPr>
      </w:pPr>
      <w:r w:rsidRPr="0058370B">
        <w:rPr>
          <w:rFonts w:cs="Arial"/>
          <w:b/>
        </w:rPr>
        <w:t>QA</w:t>
      </w:r>
      <w:r w:rsidRPr="00412529">
        <w:rPr>
          <w:rFonts w:cs="Arial"/>
          <w:b/>
        </w:rPr>
        <w:tab/>
      </w:r>
      <w:r w:rsidRPr="00412529">
        <w:rPr>
          <w:rFonts w:cs="Arial"/>
        </w:rPr>
        <w:t xml:space="preserve">Quality </w:t>
      </w:r>
      <w:r w:rsidR="00C11655">
        <w:rPr>
          <w:rFonts w:cs="Arial"/>
        </w:rPr>
        <w:t>a</w:t>
      </w:r>
      <w:r w:rsidR="00C11655" w:rsidRPr="00412529">
        <w:rPr>
          <w:rFonts w:cs="Arial"/>
        </w:rPr>
        <w:t>ssurance</w:t>
      </w:r>
    </w:p>
    <w:p w14:paraId="729A0AC2" w14:textId="77777777" w:rsidR="002F1129" w:rsidRPr="00412529" w:rsidRDefault="002F1129" w:rsidP="00753A8E">
      <w:pPr>
        <w:tabs>
          <w:tab w:val="left" w:leader="dot" w:pos="1701"/>
        </w:tabs>
        <w:contextualSpacing/>
        <w:rPr>
          <w:rFonts w:cs="Arial"/>
          <w:b/>
        </w:rPr>
      </w:pPr>
      <w:r>
        <w:rPr>
          <w:rFonts w:cs="Arial"/>
          <w:b/>
        </w:rPr>
        <w:t>QAEHS</w:t>
      </w:r>
      <w:r>
        <w:rPr>
          <w:rFonts w:cs="Arial"/>
          <w:b/>
        </w:rPr>
        <w:tab/>
      </w:r>
      <w:r>
        <w:rPr>
          <w:rFonts w:cs="Arial"/>
        </w:rPr>
        <w:t xml:space="preserve">Queensland Alliance for </w:t>
      </w:r>
      <w:r w:rsidR="00AA70D6">
        <w:rPr>
          <w:rFonts w:cs="Arial"/>
        </w:rPr>
        <w:t>Environmental</w:t>
      </w:r>
      <w:r>
        <w:rPr>
          <w:rFonts w:cs="Arial"/>
        </w:rPr>
        <w:t xml:space="preserve"> Health Sciences</w:t>
      </w:r>
    </w:p>
    <w:p w14:paraId="1A9BB7FA" w14:textId="4BB47EFD" w:rsidR="00B23072" w:rsidRPr="00412529" w:rsidRDefault="00B23072" w:rsidP="00753A8E">
      <w:pPr>
        <w:tabs>
          <w:tab w:val="left" w:leader="dot" w:pos="1701"/>
        </w:tabs>
        <w:contextualSpacing/>
        <w:rPr>
          <w:rFonts w:cs="Arial"/>
          <w:b/>
        </w:rPr>
      </w:pPr>
      <w:r w:rsidRPr="0058370B">
        <w:rPr>
          <w:rFonts w:cs="Arial"/>
          <w:b/>
        </w:rPr>
        <w:t>QC</w:t>
      </w:r>
      <w:r w:rsidRPr="00412529">
        <w:rPr>
          <w:rFonts w:cs="Arial"/>
          <w:b/>
        </w:rPr>
        <w:tab/>
      </w:r>
      <w:r w:rsidRPr="00412529">
        <w:rPr>
          <w:rFonts w:cs="Arial"/>
        </w:rPr>
        <w:t xml:space="preserve">Quality </w:t>
      </w:r>
      <w:r w:rsidR="00C11655">
        <w:rPr>
          <w:rFonts w:cs="Arial"/>
        </w:rPr>
        <w:t>c</w:t>
      </w:r>
      <w:r w:rsidR="00C11655" w:rsidRPr="00412529">
        <w:rPr>
          <w:rFonts w:cs="Arial"/>
        </w:rPr>
        <w:t>ontrol</w:t>
      </w:r>
    </w:p>
    <w:p w14:paraId="62EDC344" w14:textId="77777777" w:rsidR="00B23072" w:rsidRPr="00412529" w:rsidRDefault="00B23072" w:rsidP="00753A8E">
      <w:pPr>
        <w:tabs>
          <w:tab w:val="left" w:leader="dot" w:pos="1701"/>
        </w:tabs>
        <w:contextualSpacing/>
        <w:rPr>
          <w:rFonts w:cs="Arial"/>
          <w:b/>
        </w:rPr>
      </w:pPr>
      <w:r w:rsidRPr="0058370B">
        <w:rPr>
          <w:rFonts w:cs="Arial"/>
          <w:b/>
        </w:rPr>
        <w:t>QHFSS</w:t>
      </w:r>
      <w:r w:rsidRPr="00412529">
        <w:rPr>
          <w:rFonts w:cs="Arial"/>
          <w:b/>
        </w:rPr>
        <w:tab/>
      </w:r>
      <w:r w:rsidRPr="00412529">
        <w:rPr>
          <w:rFonts w:cs="Arial"/>
        </w:rPr>
        <w:t>Queensland Health Forensic &amp; Scientific Service</w:t>
      </w:r>
    </w:p>
    <w:p w14:paraId="62D62730" w14:textId="1BB61B2C" w:rsidR="00B23072" w:rsidRPr="00412529" w:rsidRDefault="00B23072" w:rsidP="00753A8E">
      <w:pPr>
        <w:tabs>
          <w:tab w:val="left" w:leader="dot" w:pos="1701"/>
        </w:tabs>
        <w:contextualSpacing/>
        <w:rPr>
          <w:rFonts w:cs="Arial"/>
          <w:b/>
        </w:rPr>
      </w:pPr>
      <w:r w:rsidRPr="0058370B">
        <w:rPr>
          <w:rFonts w:cs="Arial"/>
          <w:b/>
        </w:rPr>
        <w:t>Si(OH)</w:t>
      </w:r>
      <w:r w:rsidRPr="005E6BFB">
        <w:rPr>
          <w:rFonts w:cs="Arial"/>
          <w:b/>
          <w:vertAlign w:val="subscript"/>
        </w:rPr>
        <w:t>4</w:t>
      </w:r>
      <w:r w:rsidRPr="00412529">
        <w:rPr>
          <w:rFonts w:cs="Arial"/>
          <w:b/>
        </w:rPr>
        <w:tab/>
      </w:r>
      <w:r w:rsidRPr="00412529">
        <w:rPr>
          <w:rFonts w:cs="Arial"/>
        </w:rPr>
        <w:t>Silicate</w:t>
      </w:r>
      <w:r w:rsidR="006B5965">
        <w:rPr>
          <w:rFonts w:cs="Arial"/>
        </w:rPr>
        <w:t xml:space="preserve"> concentration</w:t>
      </w:r>
    </w:p>
    <w:p w14:paraId="3E3256F1" w14:textId="3CF4CB9D" w:rsidR="00B23072" w:rsidRPr="00412529" w:rsidRDefault="00B23072" w:rsidP="00753A8E">
      <w:pPr>
        <w:tabs>
          <w:tab w:val="left" w:leader="dot" w:pos="1701"/>
        </w:tabs>
        <w:contextualSpacing/>
        <w:rPr>
          <w:rFonts w:cs="Arial"/>
          <w:b/>
        </w:rPr>
      </w:pPr>
      <w:r w:rsidRPr="0058370B">
        <w:rPr>
          <w:rFonts w:cs="Arial"/>
          <w:b/>
        </w:rPr>
        <w:t>SOPs</w:t>
      </w:r>
      <w:r w:rsidRPr="00412529">
        <w:rPr>
          <w:rFonts w:cs="Arial"/>
          <w:b/>
        </w:rPr>
        <w:tab/>
      </w:r>
      <w:r w:rsidRPr="00412529">
        <w:rPr>
          <w:rFonts w:cs="Arial"/>
        </w:rPr>
        <w:t xml:space="preserve">Standard </w:t>
      </w:r>
      <w:r w:rsidR="00C11655">
        <w:rPr>
          <w:rFonts w:cs="Arial"/>
        </w:rPr>
        <w:t>o</w:t>
      </w:r>
      <w:r w:rsidR="00C11655" w:rsidRPr="00412529">
        <w:rPr>
          <w:rFonts w:cs="Arial"/>
        </w:rPr>
        <w:t xml:space="preserve">perating </w:t>
      </w:r>
      <w:r w:rsidR="00C11655">
        <w:rPr>
          <w:rFonts w:cs="Arial"/>
        </w:rPr>
        <w:t>p</w:t>
      </w:r>
      <w:r w:rsidR="00C11655" w:rsidRPr="00412529">
        <w:rPr>
          <w:rFonts w:cs="Arial"/>
        </w:rPr>
        <w:t>rocedures</w:t>
      </w:r>
    </w:p>
    <w:p w14:paraId="2C3E2A74" w14:textId="6966FE28" w:rsidR="00B23072" w:rsidRPr="00412529" w:rsidRDefault="00B23072" w:rsidP="00753A8E">
      <w:pPr>
        <w:tabs>
          <w:tab w:val="left" w:leader="dot" w:pos="1701"/>
        </w:tabs>
        <w:contextualSpacing/>
        <w:rPr>
          <w:rFonts w:cs="Arial"/>
          <w:b/>
        </w:rPr>
      </w:pPr>
      <w:r w:rsidRPr="0058370B">
        <w:rPr>
          <w:rFonts w:cs="Arial"/>
          <w:b/>
        </w:rPr>
        <w:t>SPMD</w:t>
      </w:r>
      <w:r w:rsidRPr="00412529">
        <w:rPr>
          <w:rFonts w:cs="Arial"/>
          <w:b/>
        </w:rPr>
        <w:tab/>
      </w:r>
      <w:r w:rsidRPr="00412529">
        <w:rPr>
          <w:rFonts w:cs="Arial"/>
        </w:rPr>
        <w:t xml:space="preserve">Semipermeable </w:t>
      </w:r>
      <w:r w:rsidR="00C11655">
        <w:rPr>
          <w:rFonts w:cs="Arial"/>
        </w:rPr>
        <w:t>m</w:t>
      </w:r>
      <w:r w:rsidR="00C11655" w:rsidRPr="00412529">
        <w:rPr>
          <w:rFonts w:cs="Arial"/>
        </w:rPr>
        <w:t xml:space="preserve">embrane </w:t>
      </w:r>
      <w:r w:rsidR="00C11655">
        <w:rPr>
          <w:rFonts w:cs="Arial"/>
        </w:rPr>
        <w:t>d</w:t>
      </w:r>
      <w:r w:rsidR="00C11655" w:rsidRPr="00412529">
        <w:rPr>
          <w:rFonts w:cs="Arial"/>
        </w:rPr>
        <w:t>evices</w:t>
      </w:r>
    </w:p>
    <w:p w14:paraId="67EF61E1" w14:textId="343D1A8A" w:rsidR="00B23072" w:rsidRPr="00412529" w:rsidRDefault="00B23072" w:rsidP="00753A8E">
      <w:pPr>
        <w:tabs>
          <w:tab w:val="left" w:leader="dot" w:pos="1701"/>
        </w:tabs>
        <w:contextualSpacing/>
        <w:rPr>
          <w:rFonts w:cs="Arial"/>
          <w:b/>
        </w:rPr>
      </w:pPr>
      <w:r w:rsidRPr="0058370B">
        <w:rPr>
          <w:rFonts w:cs="Arial"/>
          <w:b/>
        </w:rPr>
        <w:t>TDN</w:t>
      </w:r>
      <w:r w:rsidRPr="00412529">
        <w:rPr>
          <w:rFonts w:cs="Arial"/>
          <w:b/>
        </w:rPr>
        <w:tab/>
      </w:r>
      <w:r w:rsidRPr="00412529">
        <w:rPr>
          <w:rFonts w:cs="Arial"/>
        </w:rPr>
        <w:t xml:space="preserve">Total </w:t>
      </w:r>
      <w:r w:rsidR="00C11655">
        <w:rPr>
          <w:rFonts w:cs="Arial"/>
        </w:rPr>
        <w:t>d</w:t>
      </w:r>
      <w:r w:rsidR="00C11655" w:rsidRPr="00412529">
        <w:rPr>
          <w:rFonts w:cs="Arial"/>
        </w:rPr>
        <w:t xml:space="preserve">issolved </w:t>
      </w:r>
      <w:r w:rsidR="00C11655">
        <w:rPr>
          <w:rFonts w:cs="Arial"/>
        </w:rPr>
        <w:t>n</w:t>
      </w:r>
      <w:r w:rsidR="00C11655" w:rsidRPr="00412529">
        <w:rPr>
          <w:rFonts w:cs="Arial"/>
        </w:rPr>
        <w:t>itrogen</w:t>
      </w:r>
      <w:r w:rsidR="006B5965">
        <w:rPr>
          <w:rFonts w:cs="Arial"/>
        </w:rPr>
        <w:t xml:space="preserve"> concentration</w:t>
      </w:r>
    </w:p>
    <w:p w14:paraId="658AE85A" w14:textId="272FE96A" w:rsidR="00B23072" w:rsidRDefault="00B23072" w:rsidP="00753A8E">
      <w:pPr>
        <w:tabs>
          <w:tab w:val="left" w:leader="dot" w:pos="1701"/>
        </w:tabs>
        <w:contextualSpacing/>
        <w:rPr>
          <w:rFonts w:cs="Arial"/>
        </w:rPr>
      </w:pPr>
      <w:r w:rsidRPr="0058370B">
        <w:rPr>
          <w:rFonts w:cs="Arial"/>
          <w:b/>
        </w:rPr>
        <w:t>TDP</w:t>
      </w:r>
      <w:r w:rsidRPr="00412529">
        <w:rPr>
          <w:rFonts w:cs="Arial"/>
          <w:b/>
        </w:rPr>
        <w:tab/>
      </w:r>
      <w:r w:rsidRPr="00412529">
        <w:rPr>
          <w:rFonts w:cs="Arial"/>
        </w:rPr>
        <w:t xml:space="preserve">Total </w:t>
      </w:r>
      <w:r w:rsidR="00C11655">
        <w:rPr>
          <w:rFonts w:cs="Arial"/>
        </w:rPr>
        <w:t>d</w:t>
      </w:r>
      <w:r w:rsidR="00C11655" w:rsidRPr="00412529">
        <w:rPr>
          <w:rFonts w:cs="Arial"/>
        </w:rPr>
        <w:t xml:space="preserve">issolved </w:t>
      </w:r>
      <w:r w:rsidR="00C11655">
        <w:rPr>
          <w:rFonts w:cs="Arial"/>
        </w:rPr>
        <w:t>p</w:t>
      </w:r>
      <w:r w:rsidR="00C11655" w:rsidRPr="00412529">
        <w:rPr>
          <w:rFonts w:cs="Arial"/>
        </w:rPr>
        <w:t>hosphorus</w:t>
      </w:r>
      <w:r w:rsidR="006B5965">
        <w:rPr>
          <w:rFonts w:cs="Arial"/>
        </w:rPr>
        <w:t xml:space="preserve"> concentration</w:t>
      </w:r>
    </w:p>
    <w:p w14:paraId="65EEDA6D" w14:textId="741A53B5" w:rsidR="005E6BFB" w:rsidRPr="00412529" w:rsidRDefault="005E6BFB" w:rsidP="005E6BFB">
      <w:pPr>
        <w:tabs>
          <w:tab w:val="left" w:leader="dot" w:pos="1701"/>
        </w:tabs>
        <w:contextualSpacing/>
        <w:rPr>
          <w:rFonts w:cs="Arial"/>
          <w:b/>
        </w:rPr>
      </w:pPr>
      <w:r w:rsidRPr="0058370B">
        <w:rPr>
          <w:rFonts w:cs="Arial"/>
          <w:b/>
        </w:rPr>
        <w:t>TN</w:t>
      </w:r>
      <w:r w:rsidRPr="00412529">
        <w:rPr>
          <w:rFonts w:cs="Arial"/>
          <w:b/>
        </w:rPr>
        <w:tab/>
      </w:r>
      <w:r w:rsidRPr="00412529">
        <w:rPr>
          <w:rFonts w:cs="Arial"/>
        </w:rPr>
        <w:t xml:space="preserve">Total </w:t>
      </w:r>
      <w:r>
        <w:rPr>
          <w:rFonts w:cs="Arial"/>
        </w:rPr>
        <w:t>n</w:t>
      </w:r>
      <w:r w:rsidRPr="00412529">
        <w:rPr>
          <w:rFonts w:cs="Arial"/>
        </w:rPr>
        <w:t>itrogen</w:t>
      </w:r>
      <w:r w:rsidR="006B5965">
        <w:rPr>
          <w:rFonts w:cs="Arial"/>
        </w:rPr>
        <w:t xml:space="preserve"> concentration</w:t>
      </w:r>
    </w:p>
    <w:p w14:paraId="173E65A3" w14:textId="310A3C8B" w:rsidR="005E6BFB" w:rsidRPr="00412529" w:rsidRDefault="005E6BFB" w:rsidP="005E6BFB">
      <w:pPr>
        <w:tabs>
          <w:tab w:val="left" w:leader="dot" w:pos="1701"/>
        </w:tabs>
        <w:contextualSpacing/>
        <w:rPr>
          <w:rFonts w:cs="Arial"/>
          <w:b/>
        </w:rPr>
      </w:pPr>
      <w:r w:rsidRPr="0058370B">
        <w:rPr>
          <w:rFonts w:cs="Arial"/>
          <w:b/>
        </w:rPr>
        <w:t>TP</w:t>
      </w:r>
      <w:r w:rsidRPr="00412529">
        <w:rPr>
          <w:rFonts w:cs="Arial"/>
          <w:b/>
        </w:rPr>
        <w:tab/>
      </w:r>
      <w:r w:rsidRPr="00412529">
        <w:rPr>
          <w:rFonts w:cs="Arial"/>
        </w:rPr>
        <w:t xml:space="preserve">Total </w:t>
      </w:r>
      <w:r>
        <w:rPr>
          <w:rFonts w:cs="Arial"/>
        </w:rPr>
        <w:t>p</w:t>
      </w:r>
      <w:r w:rsidRPr="00412529">
        <w:rPr>
          <w:rFonts w:cs="Arial"/>
        </w:rPr>
        <w:t>hosphorus</w:t>
      </w:r>
      <w:r w:rsidR="006B5965">
        <w:rPr>
          <w:rFonts w:cs="Arial"/>
        </w:rPr>
        <w:t xml:space="preserve"> concentration</w:t>
      </w:r>
    </w:p>
    <w:p w14:paraId="1D00A8F4" w14:textId="77777777" w:rsidR="00820C48" w:rsidRDefault="00820C48" w:rsidP="00753A8E">
      <w:pPr>
        <w:tabs>
          <w:tab w:val="left" w:leader="dot" w:pos="1701"/>
        </w:tabs>
        <w:contextualSpacing/>
        <w:rPr>
          <w:rFonts w:cs="Arial"/>
          <w:b/>
        </w:rPr>
      </w:pPr>
      <w:r w:rsidRPr="00820C48">
        <w:rPr>
          <w:rFonts w:cs="Arial"/>
          <w:b/>
          <w:bCs/>
        </w:rPr>
        <w:t>TropWATER</w:t>
      </w:r>
      <w:r w:rsidRPr="00820C48">
        <w:rPr>
          <w:rFonts w:cs="Arial"/>
          <w:b/>
        </w:rPr>
        <w:t xml:space="preserve"> </w:t>
      </w:r>
      <w:r w:rsidRPr="00412529">
        <w:rPr>
          <w:rFonts w:cs="Arial"/>
          <w:b/>
        </w:rPr>
        <w:tab/>
      </w:r>
      <w:r w:rsidR="00CB4689" w:rsidRPr="00687175">
        <w:t>Centre for Tropical Water and Aquatic Ecosystem Research</w:t>
      </w:r>
    </w:p>
    <w:p w14:paraId="3D5E4D77" w14:textId="70C168A6" w:rsidR="00B23072" w:rsidRPr="00412529" w:rsidRDefault="00B23072" w:rsidP="00753A8E">
      <w:pPr>
        <w:tabs>
          <w:tab w:val="left" w:leader="dot" w:pos="1701"/>
        </w:tabs>
        <w:contextualSpacing/>
        <w:rPr>
          <w:rFonts w:cs="Arial"/>
          <w:b/>
        </w:rPr>
      </w:pPr>
      <w:r w:rsidRPr="0058370B">
        <w:rPr>
          <w:rFonts w:cs="Arial"/>
          <w:b/>
        </w:rPr>
        <w:t>TSS</w:t>
      </w:r>
      <w:r w:rsidRPr="00412529">
        <w:rPr>
          <w:rFonts w:cs="Arial"/>
          <w:b/>
        </w:rPr>
        <w:tab/>
      </w:r>
      <w:r w:rsidRPr="00412529">
        <w:rPr>
          <w:rFonts w:cs="Arial"/>
        </w:rPr>
        <w:t xml:space="preserve">Total </w:t>
      </w:r>
      <w:r w:rsidR="00C11655">
        <w:rPr>
          <w:rFonts w:cs="Arial"/>
        </w:rPr>
        <w:t>s</w:t>
      </w:r>
      <w:r w:rsidR="00C11655" w:rsidRPr="00412529">
        <w:rPr>
          <w:rFonts w:cs="Arial"/>
        </w:rPr>
        <w:t xml:space="preserve">uspended </w:t>
      </w:r>
      <w:r w:rsidR="00C11655">
        <w:rPr>
          <w:rFonts w:cs="Arial"/>
        </w:rPr>
        <w:t>s</w:t>
      </w:r>
      <w:r w:rsidR="00C11655" w:rsidRPr="00412529">
        <w:rPr>
          <w:rFonts w:cs="Arial"/>
        </w:rPr>
        <w:t>olids</w:t>
      </w:r>
      <w:r w:rsidR="006B5965">
        <w:rPr>
          <w:rFonts w:cs="Arial"/>
        </w:rPr>
        <w:t xml:space="preserve"> concentration</w:t>
      </w:r>
    </w:p>
    <w:p w14:paraId="65CEAA3E" w14:textId="62C051B5" w:rsidR="00B23072" w:rsidRPr="00412529" w:rsidRDefault="00B23072" w:rsidP="00753A8E">
      <w:pPr>
        <w:tabs>
          <w:tab w:val="left" w:leader="dot" w:pos="1701"/>
        </w:tabs>
        <w:contextualSpacing/>
        <w:rPr>
          <w:rFonts w:cs="Arial"/>
          <w:b/>
        </w:rPr>
      </w:pPr>
      <w:r w:rsidRPr="0058370B">
        <w:rPr>
          <w:rFonts w:cs="Arial"/>
          <w:b/>
        </w:rPr>
        <w:t>UQ</w:t>
      </w:r>
      <w:r w:rsidRPr="00412529">
        <w:rPr>
          <w:rFonts w:cs="Arial"/>
          <w:b/>
        </w:rPr>
        <w:tab/>
      </w:r>
      <w:r w:rsidRPr="00412529">
        <w:rPr>
          <w:rFonts w:cs="Arial"/>
        </w:rPr>
        <w:t>University of Queensland</w:t>
      </w:r>
    </w:p>
    <w:p w14:paraId="1493CBD7" w14:textId="77777777" w:rsidR="00412529" w:rsidRDefault="00412529" w:rsidP="00FE2F59">
      <w:pPr>
        <w:rPr>
          <w:rFonts w:cs="Arial"/>
        </w:rPr>
      </w:pPr>
      <w:r>
        <w:rPr>
          <w:rFonts w:cs="Arial"/>
        </w:rPr>
        <w:br w:type="page"/>
      </w:r>
    </w:p>
    <w:p w14:paraId="04FFA9D6" w14:textId="63137769" w:rsidR="00342310" w:rsidRPr="0058370B" w:rsidRDefault="00342310" w:rsidP="00374388">
      <w:pPr>
        <w:pStyle w:val="Heading1"/>
      </w:pPr>
      <w:bookmarkStart w:id="1" w:name="_Toc393784992"/>
      <w:bookmarkStart w:id="2" w:name="_Toc393792968"/>
      <w:bookmarkStart w:id="3" w:name="_Toc394061102"/>
      <w:bookmarkStart w:id="4" w:name="_Toc394061192"/>
      <w:bookmarkStart w:id="5" w:name="_Toc520727806"/>
      <w:bookmarkStart w:id="6" w:name="_Toc12365553"/>
      <w:r w:rsidRPr="0058370B">
        <w:t>Introduction</w:t>
      </w:r>
      <w:bookmarkEnd w:id="1"/>
      <w:bookmarkEnd w:id="2"/>
      <w:bookmarkEnd w:id="3"/>
      <w:bookmarkEnd w:id="4"/>
      <w:bookmarkEnd w:id="5"/>
      <w:bookmarkEnd w:id="6"/>
    </w:p>
    <w:p w14:paraId="5F232918" w14:textId="71D1FF0E" w:rsidR="00E16F05" w:rsidRPr="00E16F05" w:rsidRDefault="00E16F05" w:rsidP="00E16F05">
      <w:r>
        <w:t xml:space="preserve">This manual describes the quality assurance and quality control </w:t>
      </w:r>
      <w:r w:rsidR="001648A1">
        <w:t xml:space="preserve">(QA/QC) </w:t>
      </w:r>
      <w:r>
        <w:t>processes undertaken a</w:t>
      </w:r>
      <w:r w:rsidR="00621C2B">
        <w:t>s</w:t>
      </w:r>
      <w:r>
        <w:t xml:space="preserve"> part of the Marine Monitoring Program </w:t>
      </w:r>
      <w:r w:rsidR="00C11655">
        <w:t xml:space="preserve">(MMP) </w:t>
      </w:r>
      <w:r>
        <w:t>activities associated with the annua</w:t>
      </w:r>
      <w:r w:rsidR="00721894">
        <w:t>l technical reports for the 2017</w:t>
      </w:r>
      <w:r w:rsidR="00621C2B">
        <w:t>–</w:t>
      </w:r>
      <w:r>
        <w:t>1</w:t>
      </w:r>
      <w:r w:rsidR="00721894">
        <w:t>8</w:t>
      </w:r>
      <w:r>
        <w:t xml:space="preserve"> monitoring year.</w:t>
      </w:r>
    </w:p>
    <w:p w14:paraId="06DD41E1" w14:textId="7E8089E9" w:rsidR="00AA65AE" w:rsidRPr="0058370B" w:rsidRDefault="00AA65AE" w:rsidP="00FE2F59">
      <w:pPr>
        <w:rPr>
          <w:rFonts w:cs="Arial"/>
        </w:rPr>
      </w:pPr>
      <w:r w:rsidRPr="0058370B">
        <w:rPr>
          <w:rFonts w:cs="Arial"/>
        </w:rPr>
        <w:t xml:space="preserve">The MMP is a collaborative effort that relies on effective partnerships between governments, industry, community, scientists and managers. A conceptual model was used to identify indicators linking water quality and ecosystem health </w:t>
      </w:r>
      <w:r w:rsidR="001E697F">
        <w:rPr>
          <w:rFonts w:cs="Arial"/>
        </w:rPr>
        <w:t>which</w:t>
      </w:r>
      <w:r w:rsidRPr="0058370B">
        <w:rPr>
          <w:rFonts w:cs="Arial"/>
        </w:rPr>
        <w:t xml:space="preserve"> were refined in consultation with monitoring providers and independent experts</w:t>
      </w:r>
      <w:r w:rsidR="009052E9">
        <w:rPr>
          <w:rFonts w:cs="Arial"/>
        </w:rPr>
        <w:t xml:space="preserve">. </w:t>
      </w:r>
      <w:r w:rsidR="007B54B3">
        <w:rPr>
          <w:rFonts w:cs="Arial"/>
        </w:rPr>
        <w:t xml:space="preserve"> </w:t>
      </w:r>
      <w:r w:rsidRPr="0058370B">
        <w:rPr>
          <w:rFonts w:cs="Arial"/>
        </w:rPr>
        <w:t xml:space="preserve">The </w:t>
      </w:r>
      <w:r w:rsidR="00686A9D">
        <w:rPr>
          <w:rFonts w:cs="Arial"/>
        </w:rPr>
        <w:t xml:space="preserve">Great Barrier Reef Marine Park </w:t>
      </w:r>
      <w:r w:rsidR="00C55519">
        <w:rPr>
          <w:rFonts w:cs="Arial"/>
        </w:rPr>
        <w:t>Authority</w:t>
      </w:r>
      <w:r w:rsidR="00686A9D">
        <w:rPr>
          <w:rFonts w:cs="Arial"/>
        </w:rPr>
        <w:t xml:space="preserve"> (the Marine Park Authority)</w:t>
      </w:r>
      <w:r w:rsidRPr="0058370B">
        <w:rPr>
          <w:rFonts w:cs="Arial"/>
        </w:rPr>
        <w:t xml:space="preserve"> is responsible for the management of the MMP in partnership with monitoring providers</w:t>
      </w:r>
      <w:r w:rsidR="00107B80" w:rsidRPr="0058370B">
        <w:rPr>
          <w:rFonts w:cs="Arial"/>
        </w:rPr>
        <w:t xml:space="preserve"> including</w:t>
      </w:r>
      <w:r w:rsidRPr="0058370B">
        <w:rPr>
          <w:rFonts w:cs="Arial"/>
        </w:rPr>
        <w:t xml:space="preserve">: </w:t>
      </w:r>
    </w:p>
    <w:p w14:paraId="7135061D" w14:textId="77777777" w:rsidR="00AA65AE" w:rsidRPr="0054556E" w:rsidRDefault="00AA65AE" w:rsidP="006C7E99">
      <w:pPr>
        <w:pStyle w:val="ListParagraph"/>
        <w:numPr>
          <w:ilvl w:val="0"/>
          <w:numId w:val="17"/>
        </w:numPr>
        <w:rPr>
          <w:rFonts w:cs="Arial"/>
        </w:rPr>
      </w:pPr>
      <w:r w:rsidRPr="0054556E">
        <w:rPr>
          <w:rFonts w:cs="Arial"/>
        </w:rPr>
        <w:t>Australian Institute of Marine Science (AIMS)</w:t>
      </w:r>
    </w:p>
    <w:p w14:paraId="1A387B47" w14:textId="77777777" w:rsidR="00AA65AE" w:rsidRPr="0054556E" w:rsidRDefault="00AA65AE" w:rsidP="006C7E99">
      <w:pPr>
        <w:pStyle w:val="ListParagraph"/>
        <w:numPr>
          <w:ilvl w:val="0"/>
          <w:numId w:val="17"/>
        </w:numPr>
        <w:rPr>
          <w:rFonts w:cs="Arial"/>
        </w:rPr>
      </w:pPr>
      <w:r w:rsidRPr="0054556E">
        <w:rPr>
          <w:rFonts w:cs="Arial"/>
        </w:rPr>
        <w:t>James Cook University (JCU)</w:t>
      </w:r>
    </w:p>
    <w:p w14:paraId="03DE0646" w14:textId="77777777" w:rsidR="00107B80" w:rsidRDefault="00B34238" w:rsidP="006C7E99">
      <w:pPr>
        <w:pStyle w:val="ListParagraph"/>
        <w:numPr>
          <w:ilvl w:val="0"/>
          <w:numId w:val="17"/>
        </w:numPr>
        <w:rPr>
          <w:rFonts w:cs="Arial"/>
        </w:rPr>
      </w:pPr>
      <w:r>
        <w:rPr>
          <w:rFonts w:cs="Arial"/>
        </w:rPr>
        <w:t>University of Queensland (UQ)</w:t>
      </w:r>
    </w:p>
    <w:p w14:paraId="77A356BC" w14:textId="77777777" w:rsidR="00B34238" w:rsidRPr="0054556E" w:rsidRDefault="00B34238" w:rsidP="006C7E99">
      <w:pPr>
        <w:pStyle w:val="ListParagraph"/>
        <w:numPr>
          <w:ilvl w:val="0"/>
          <w:numId w:val="17"/>
        </w:numPr>
        <w:rPr>
          <w:rFonts w:cs="Arial"/>
        </w:rPr>
      </w:pPr>
      <w:r>
        <w:rPr>
          <w:rFonts w:cs="Arial"/>
        </w:rPr>
        <w:t>Howley Environmental Consulting</w:t>
      </w:r>
    </w:p>
    <w:p w14:paraId="50436A0D" w14:textId="6A76247D" w:rsidR="00AA65AE" w:rsidRPr="0058370B" w:rsidRDefault="00AA65AE" w:rsidP="00FE2F59">
      <w:pPr>
        <w:autoSpaceDE w:val="0"/>
        <w:autoSpaceDN w:val="0"/>
        <w:adjustRightInd w:val="0"/>
        <w:rPr>
          <w:rFonts w:cs="Arial"/>
        </w:rPr>
      </w:pPr>
      <w:r w:rsidRPr="0058370B">
        <w:rPr>
          <w:rFonts w:cs="Arial"/>
        </w:rPr>
        <w:t>The monitoring providers work together to deliver the sub-programs of the MMP</w:t>
      </w:r>
      <w:r w:rsidR="00686A9D">
        <w:rPr>
          <w:rFonts w:cs="Arial"/>
        </w:rPr>
        <w:t xml:space="preserve"> which monitor the inshore marine environment including water quality, seagrass and coral. </w:t>
      </w:r>
      <w:r w:rsidRPr="0058370B">
        <w:rPr>
          <w:rFonts w:cs="Arial"/>
        </w:rPr>
        <w:t xml:space="preserve"> </w:t>
      </w:r>
      <w:r w:rsidR="00686A9D">
        <w:rPr>
          <w:rFonts w:cs="Arial"/>
        </w:rPr>
        <w:t>T</w:t>
      </w:r>
      <w:r w:rsidR="00686A9D" w:rsidRPr="0058370B">
        <w:rPr>
          <w:rFonts w:cs="Arial"/>
        </w:rPr>
        <w:t xml:space="preserve">he </w:t>
      </w:r>
      <w:r w:rsidRPr="0058370B">
        <w:rPr>
          <w:rFonts w:cs="Arial"/>
        </w:rPr>
        <w:t xml:space="preserve">broad objectives of </w:t>
      </w:r>
      <w:r w:rsidR="00686A9D">
        <w:rPr>
          <w:rFonts w:cs="Arial"/>
        </w:rPr>
        <w:t>this monitoring includes</w:t>
      </w:r>
      <w:r w:rsidRPr="0058370B">
        <w:rPr>
          <w:rFonts w:cs="Arial"/>
        </w:rPr>
        <w:t>:</w:t>
      </w:r>
    </w:p>
    <w:p w14:paraId="45484306" w14:textId="3122ACD4" w:rsidR="00AA65AE" w:rsidRPr="0035044F" w:rsidRDefault="00AA65AE" w:rsidP="0035044F">
      <w:pPr>
        <w:pStyle w:val="ListParagraph"/>
        <w:numPr>
          <w:ilvl w:val="0"/>
          <w:numId w:val="198"/>
        </w:numPr>
        <w:rPr>
          <w:rFonts w:cs="Arial"/>
        </w:rPr>
      </w:pPr>
      <w:r w:rsidRPr="0035044F">
        <w:rPr>
          <w:rFonts w:cs="Arial"/>
          <w:b/>
        </w:rPr>
        <w:t xml:space="preserve">Inshore </w:t>
      </w:r>
      <w:r w:rsidR="00DB3546" w:rsidRPr="0035044F">
        <w:rPr>
          <w:rFonts w:cs="Arial"/>
          <w:b/>
        </w:rPr>
        <w:t>marine water quality monitoring</w:t>
      </w:r>
      <w:r w:rsidRPr="0035044F">
        <w:rPr>
          <w:rFonts w:cs="Arial"/>
          <w:b/>
        </w:rPr>
        <w:t>:</w:t>
      </w:r>
      <w:r w:rsidRPr="0035044F">
        <w:rPr>
          <w:rFonts w:cs="Arial"/>
        </w:rPr>
        <w:t xml:space="preserve"> To assess temporal and spatial trends in marine water quality in i</w:t>
      </w:r>
      <w:r w:rsidR="0035044F">
        <w:rPr>
          <w:rFonts w:cs="Arial"/>
        </w:rPr>
        <w:t>nshore areas of the Reef lagoon in both ambient and wet season flood events</w:t>
      </w:r>
      <w:r w:rsidR="00686A9D">
        <w:rPr>
          <w:rFonts w:cs="Arial"/>
        </w:rPr>
        <w:t>.</w:t>
      </w:r>
    </w:p>
    <w:p w14:paraId="00400FE8" w14:textId="19430B6E" w:rsidR="00AA65AE" w:rsidRPr="0035044F" w:rsidRDefault="00AA65AE" w:rsidP="0035044F">
      <w:pPr>
        <w:pStyle w:val="ListParagraph"/>
        <w:numPr>
          <w:ilvl w:val="0"/>
          <w:numId w:val="198"/>
        </w:numPr>
        <w:rPr>
          <w:rFonts w:cs="Arial"/>
        </w:rPr>
      </w:pPr>
      <w:r w:rsidRPr="0035044F">
        <w:rPr>
          <w:rFonts w:cs="Arial"/>
          <w:b/>
        </w:rPr>
        <w:t xml:space="preserve">Inshore </w:t>
      </w:r>
      <w:r w:rsidR="00DB3546" w:rsidRPr="0035044F">
        <w:rPr>
          <w:rFonts w:cs="Arial"/>
          <w:b/>
        </w:rPr>
        <w:t>seagrass monitoring</w:t>
      </w:r>
      <w:r w:rsidRPr="0035044F">
        <w:rPr>
          <w:rFonts w:cs="Arial"/>
          <w:b/>
        </w:rPr>
        <w:t>:</w:t>
      </w:r>
      <w:r w:rsidRPr="0035044F">
        <w:rPr>
          <w:rFonts w:cs="Arial"/>
        </w:rPr>
        <w:t xml:space="preserve"> To quantify temporal and spatial variation in the status of intertidal and subtidal seagrass meadows in relation</w:t>
      </w:r>
      <w:r w:rsidR="0035044F">
        <w:rPr>
          <w:rFonts w:cs="Arial"/>
        </w:rPr>
        <w:t xml:space="preserve"> to local water quality changes</w:t>
      </w:r>
      <w:r w:rsidR="00686A9D">
        <w:rPr>
          <w:rFonts w:cs="Arial"/>
        </w:rPr>
        <w:t>.</w:t>
      </w:r>
    </w:p>
    <w:p w14:paraId="34AED8C6" w14:textId="516F28ED" w:rsidR="00AA65AE" w:rsidRPr="0035044F" w:rsidRDefault="00AA65AE" w:rsidP="0035044F">
      <w:pPr>
        <w:pStyle w:val="ListParagraph"/>
        <w:numPr>
          <w:ilvl w:val="0"/>
          <w:numId w:val="198"/>
        </w:numPr>
        <w:rPr>
          <w:rFonts w:cs="Arial"/>
        </w:rPr>
      </w:pPr>
      <w:r w:rsidRPr="0035044F">
        <w:rPr>
          <w:rFonts w:cs="Arial"/>
          <w:b/>
        </w:rPr>
        <w:t xml:space="preserve">Inshore </w:t>
      </w:r>
      <w:r w:rsidR="00DB3546" w:rsidRPr="0035044F">
        <w:rPr>
          <w:rFonts w:cs="Arial"/>
          <w:b/>
        </w:rPr>
        <w:t>coral reef monitoring</w:t>
      </w:r>
      <w:r w:rsidRPr="0035044F">
        <w:rPr>
          <w:rFonts w:cs="Arial"/>
          <w:b/>
        </w:rPr>
        <w:t>:</w:t>
      </w:r>
      <w:r w:rsidRPr="0035044F">
        <w:rPr>
          <w:rFonts w:cs="Arial"/>
        </w:rPr>
        <w:t xml:space="preserve"> To quantify temporal and spatial variation in the status of inshore coral reef communities in relation</w:t>
      </w:r>
      <w:r w:rsidR="0035044F">
        <w:rPr>
          <w:rFonts w:cs="Arial"/>
        </w:rPr>
        <w:t xml:space="preserve"> to local water quality changes</w:t>
      </w:r>
      <w:r w:rsidR="00686A9D">
        <w:rPr>
          <w:rFonts w:cs="Arial"/>
        </w:rPr>
        <w:t>.</w:t>
      </w:r>
    </w:p>
    <w:p w14:paraId="6536E1D2" w14:textId="57CFBCB5" w:rsidR="007A30A4" w:rsidRPr="0058370B" w:rsidRDefault="00AA65AE" w:rsidP="00FE2F59">
      <w:pPr>
        <w:autoSpaceDE w:val="0"/>
        <w:autoSpaceDN w:val="0"/>
        <w:adjustRightInd w:val="0"/>
        <w:rPr>
          <w:rFonts w:cs="Arial"/>
        </w:rPr>
      </w:pPr>
      <w:r w:rsidRPr="0058370B">
        <w:rPr>
          <w:rFonts w:cs="Arial"/>
        </w:rPr>
        <w:t xml:space="preserve">Each monitoring provider has a different responsibility in the delivery of the </w:t>
      </w:r>
      <w:r w:rsidR="0015616A" w:rsidRPr="0058370B">
        <w:rPr>
          <w:rFonts w:cs="Arial"/>
        </w:rPr>
        <w:t>sub-program</w:t>
      </w:r>
      <w:r w:rsidRPr="0058370B">
        <w:rPr>
          <w:rFonts w:cs="Arial"/>
        </w:rPr>
        <w:t xml:space="preserve">s that make up the </w:t>
      </w:r>
      <w:r w:rsidR="0015616A" w:rsidRPr="0058370B">
        <w:rPr>
          <w:rFonts w:cs="Arial"/>
        </w:rPr>
        <w:t xml:space="preserve">monitoring </w:t>
      </w:r>
      <w:r w:rsidR="000209B6" w:rsidRPr="0058370B">
        <w:rPr>
          <w:rFonts w:cs="Arial"/>
        </w:rPr>
        <w:t>sub-programs</w:t>
      </w:r>
      <w:r w:rsidRPr="0058370B">
        <w:rPr>
          <w:rFonts w:cs="Arial"/>
        </w:rPr>
        <w:t xml:space="preserve"> of the MMP (</w:t>
      </w:r>
      <w:r w:rsidR="00A556F1" w:rsidRPr="001C10CB">
        <w:rPr>
          <w:rFonts w:cs="Arial"/>
          <w:highlight w:val="yellow"/>
        </w:rPr>
        <w:fldChar w:fldCharType="begin"/>
      </w:r>
      <w:r w:rsidR="00A556F1" w:rsidRPr="001C10CB">
        <w:rPr>
          <w:rFonts w:cs="Arial"/>
          <w:highlight w:val="yellow"/>
        </w:rPr>
        <w:instrText xml:space="preserve"> REF _Ref433121290 \h </w:instrText>
      </w:r>
      <w:r w:rsidR="001C10CB" w:rsidRPr="001C10CB">
        <w:rPr>
          <w:rFonts w:cs="Arial"/>
          <w:highlight w:val="yellow"/>
        </w:rPr>
        <w:instrText xml:space="preserve"> \* MERGEFORMAT </w:instrText>
      </w:r>
      <w:r w:rsidR="00A556F1" w:rsidRPr="001C10CB">
        <w:rPr>
          <w:rFonts w:cs="Arial"/>
          <w:highlight w:val="yellow"/>
        </w:rPr>
      </w:r>
      <w:r w:rsidR="00A556F1" w:rsidRPr="001C10CB">
        <w:rPr>
          <w:rFonts w:cs="Arial"/>
          <w:highlight w:val="yellow"/>
        </w:rPr>
        <w:fldChar w:fldCharType="separate"/>
      </w:r>
      <w:r w:rsidR="00D528AA" w:rsidRPr="009B6881">
        <w:t xml:space="preserve">Table </w:t>
      </w:r>
      <w:r w:rsidR="00D528AA">
        <w:rPr>
          <w:noProof/>
        </w:rPr>
        <w:t>1.1</w:t>
      </w:r>
      <w:r w:rsidR="00A556F1" w:rsidRPr="001C10CB">
        <w:rPr>
          <w:rFonts w:cs="Arial"/>
          <w:highlight w:val="yellow"/>
        </w:rPr>
        <w:fldChar w:fldCharType="end"/>
      </w:r>
      <w:r w:rsidR="00D80074" w:rsidRPr="0058370B">
        <w:rPr>
          <w:rFonts w:cs="Arial"/>
        </w:rPr>
        <w:t>)</w:t>
      </w:r>
      <w:r w:rsidR="007A30A4" w:rsidRPr="0058370B">
        <w:rPr>
          <w:rFonts w:cs="Arial"/>
        </w:rPr>
        <w:t xml:space="preserve"> including a description of the process for calculating Reef Plan Report Card scores</w:t>
      </w:r>
      <w:r w:rsidR="00D80074" w:rsidRPr="0058370B">
        <w:rPr>
          <w:rFonts w:cs="Arial"/>
        </w:rPr>
        <w:t>.</w:t>
      </w:r>
      <w:r w:rsidR="00107B80" w:rsidRPr="0058370B">
        <w:rPr>
          <w:rFonts w:cs="Arial"/>
        </w:rPr>
        <w:t xml:space="preserve"> </w:t>
      </w:r>
    </w:p>
    <w:p w14:paraId="02EB2FFF" w14:textId="6C84903B" w:rsidR="00880997" w:rsidRPr="00EF05BA" w:rsidRDefault="00880997" w:rsidP="007E5A3A">
      <w:pPr>
        <w:pStyle w:val="Caption"/>
      </w:pPr>
      <w:bookmarkStart w:id="7" w:name="_Ref433121290"/>
      <w:bookmarkStart w:id="8" w:name="_Ref433121286"/>
      <w:bookmarkStart w:id="9" w:name="_Toc10398441"/>
      <w:bookmarkStart w:id="10" w:name="_Toc393784996"/>
      <w:bookmarkStart w:id="11" w:name="_Toc394061106"/>
      <w:bookmarkStart w:id="12" w:name="_Toc394061196"/>
      <w:r w:rsidRPr="009B6881">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1</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1</w:t>
      </w:r>
      <w:r w:rsidR="006940F4">
        <w:rPr>
          <w:noProof/>
        </w:rPr>
        <w:fldChar w:fldCharType="end"/>
      </w:r>
      <w:bookmarkEnd w:id="7"/>
      <w:r w:rsidRPr="009B6881">
        <w:t>.</w:t>
      </w:r>
      <w:r w:rsidRPr="00EF05BA">
        <w:t xml:space="preserve"> </w:t>
      </w:r>
      <w:r w:rsidR="00721894">
        <w:t>C</w:t>
      </w:r>
      <w:r w:rsidRPr="00EF05BA">
        <w:t>urrent monitoring themes, sub-programs and monitoring providers</w:t>
      </w:r>
      <w:bookmarkEnd w:id="8"/>
      <w:bookmarkEnd w:id="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1.1"/>
        <w:tblDescription w:val="MMP current monitoring themes, sub-programs and monitoring providers. NOt that a project may contribute to more than one sub-program. Headings: Monitoring sub-program includes inshore marine water quality, inshore seagrass condition and inshore coral condition. Component projects include ambient water quality monitoring. pesticide monitoring, wet season monitoring, validation of remote sensing, inshore seagrass monitoring and inshore coral monitoring. Monitoring providers are AIMS, JCU, UQ, and eReefs"/>
      </w:tblPr>
      <w:tblGrid>
        <w:gridCol w:w="2174"/>
        <w:gridCol w:w="3462"/>
        <w:gridCol w:w="3380"/>
      </w:tblGrid>
      <w:tr w:rsidR="00880997" w:rsidRPr="001A4D90" w14:paraId="547D3D3E" w14:textId="77777777" w:rsidTr="00824693">
        <w:trPr>
          <w:trHeight w:val="288"/>
        </w:trPr>
        <w:tc>
          <w:tcPr>
            <w:tcW w:w="0" w:type="auto"/>
            <w:tcBorders>
              <w:top w:val="single" w:sz="4" w:space="0" w:color="auto"/>
              <w:left w:val="single" w:sz="4" w:space="0" w:color="auto"/>
              <w:bottom w:val="single" w:sz="4" w:space="0" w:color="auto"/>
              <w:right w:val="single" w:sz="4" w:space="0" w:color="auto"/>
            </w:tcBorders>
            <w:hideMark/>
          </w:tcPr>
          <w:p w14:paraId="139CF71F" w14:textId="77777777" w:rsidR="00880997" w:rsidRPr="001A4D90" w:rsidRDefault="00880997" w:rsidP="004A5DCA">
            <w:pPr>
              <w:pStyle w:val="TOC2"/>
            </w:pPr>
            <w:r w:rsidRPr="001A4D90">
              <w:t>Monitoring sub-program</w:t>
            </w:r>
          </w:p>
        </w:tc>
        <w:tc>
          <w:tcPr>
            <w:tcW w:w="0" w:type="auto"/>
            <w:tcBorders>
              <w:top w:val="single" w:sz="4" w:space="0" w:color="auto"/>
              <w:left w:val="single" w:sz="4" w:space="0" w:color="auto"/>
              <w:bottom w:val="single" w:sz="4" w:space="0" w:color="auto"/>
              <w:right w:val="single" w:sz="4" w:space="0" w:color="auto"/>
            </w:tcBorders>
            <w:hideMark/>
          </w:tcPr>
          <w:p w14:paraId="07C11D8F" w14:textId="77777777" w:rsidR="00880997" w:rsidRPr="001A4D90" w:rsidRDefault="00880997" w:rsidP="004A5DCA">
            <w:pPr>
              <w:pStyle w:val="TOC2"/>
            </w:pPr>
            <w:r w:rsidRPr="001A4D90">
              <w:t>Component project(s)</w:t>
            </w:r>
          </w:p>
        </w:tc>
        <w:tc>
          <w:tcPr>
            <w:tcW w:w="0" w:type="auto"/>
            <w:tcBorders>
              <w:top w:val="single" w:sz="4" w:space="0" w:color="auto"/>
              <w:left w:val="single" w:sz="4" w:space="0" w:color="auto"/>
              <w:bottom w:val="single" w:sz="4" w:space="0" w:color="auto"/>
              <w:right w:val="single" w:sz="4" w:space="0" w:color="auto"/>
            </w:tcBorders>
            <w:hideMark/>
          </w:tcPr>
          <w:p w14:paraId="1697B165" w14:textId="77777777" w:rsidR="00880997" w:rsidRPr="001A4D90" w:rsidRDefault="00880997" w:rsidP="004A5DCA">
            <w:pPr>
              <w:pStyle w:val="TOC2"/>
            </w:pPr>
            <w:r w:rsidRPr="001A4D90">
              <w:t>Monitoring provider</w:t>
            </w:r>
          </w:p>
        </w:tc>
      </w:tr>
      <w:tr w:rsidR="00880997" w:rsidRPr="001A4D90" w14:paraId="79291636" w14:textId="77777777" w:rsidTr="00824693">
        <w:trPr>
          <w:trHeight w:val="579"/>
        </w:trPr>
        <w:tc>
          <w:tcPr>
            <w:tcW w:w="0" w:type="auto"/>
            <w:vMerge w:val="restart"/>
            <w:tcBorders>
              <w:top w:val="single" w:sz="4" w:space="0" w:color="auto"/>
              <w:left w:val="single" w:sz="4" w:space="0" w:color="auto"/>
              <w:bottom w:val="single" w:sz="4" w:space="0" w:color="auto"/>
              <w:right w:val="single" w:sz="4" w:space="0" w:color="auto"/>
            </w:tcBorders>
            <w:hideMark/>
          </w:tcPr>
          <w:p w14:paraId="63A34D49" w14:textId="4484BEF8" w:rsidR="00880997" w:rsidRPr="007177E2" w:rsidRDefault="00880997" w:rsidP="004A5DCA">
            <w:pPr>
              <w:pStyle w:val="TOC2"/>
            </w:pPr>
            <w:r w:rsidRPr="007177E2">
              <w:t xml:space="preserve">Inshore </w:t>
            </w:r>
            <w:r w:rsidR="0026499F">
              <w:t>m</w:t>
            </w:r>
            <w:r w:rsidR="0026499F" w:rsidRPr="007177E2">
              <w:t xml:space="preserve">arine </w:t>
            </w:r>
            <w:r w:rsidR="0026499F">
              <w:t>w</w:t>
            </w:r>
            <w:r w:rsidR="0026499F" w:rsidRPr="007177E2">
              <w:t xml:space="preserve">ater </w:t>
            </w:r>
            <w:r w:rsidR="0026499F">
              <w:t>q</w:t>
            </w:r>
            <w:r w:rsidR="0026499F" w:rsidRPr="007177E2">
              <w:t>uality</w:t>
            </w:r>
          </w:p>
        </w:tc>
        <w:tc>
          <w:tcPr>
            <w:tcW w:w="0" w:type="auto"/>
            <w:tcBorders>
              <w:top w:val="single" w:sz="4" w:space="0" w:color="auto"/>
              <w:left w:val="single" w:sz="4" w:space="0" w:color="auto"/>
              <w:bottom w:val="single" w:sz="4" w:space="0" w:color="auto"/>
              <w:right w:val="single" w:sz="4" w:space="0" w:color="auto"/>
            </w:tcBorders>
            <w:hideMark/>
          </w:tcPr>
          <w:p w14:paraId="0AD8DA97" w14:textId="77777777" w:rsidR="00880997" w:rsidRPr="007177E2" w:rsidRDefault="00880997" w:rsidP="004A5DCA">
            <w:pPr>
              <w:pStyle w:val="TOC2"/>
            </w:pPr>
            <w:r w:rsidRPr="007177E2">
              <w:t>Ambient water quality monitoring</w:t>
            </w:r>
          </w:p>
        </w:tc>
        <w:tc>
          <w:tcPr>
            <w:tcW w:w="0" w:type="auto"/>
            <w:tcBorders>
              <w:top w:val="single" w:sz="4" w:space="0" w:color="auto"/>
              <w:left w:val="single" w:sz="4" w:space="0" w:color="auto"/>
              <w:bottom w:val="single" w:sz="4" w:space="0" w:color="auto"/>
              <w:right w:val="single" w:sz="4" w:space="0" w:color="auto"/>
            </w:tcBorders>
            <w:hideMark/>
          </w:tcPr>
          <w:p w14:paraId="3C468A01" w14:textId="339F159F" w:rsidR="00880997" w:rsidRPr="007177E2" w:rsidRDefault="00B34238" w:rsidP="004A5DCA">
            <w:pPr>
              <w:pStyle w:val="TOC2"/>
            </w:pPr>
            <w:r w:rsidRPr="007177E2">
              <w:t xml:space="preserve">AIMS, </w:t>
            </w:r>
            <w:r w:rsidR="00880997" w:rsidRPr="007177E2">
              <w:t>JCU</w:t>
            </w:r>
            <w:r w:rsidRPr="007177E2">
              <w:t xml:space="preserve"> and</w:t>
            </w:r>
            <w:r w:rsidR="00DB3546" w:rsidRPr="007177E2">
              <w:t xml:space="preserve"> </w:t>
            </w:r>
            <w:r w:rsidRPr="007177E2">
              <w:t>Howley Environmental Consulting</w:t>
            </w:r>
          </w:p>
        </w:tc>
      </w:tr>
      <w:tr w:rsidR="00880997" w:rsidRPr="001A4D90" w14:paraId="1032600C" w14:textId="77777777" w:rsidTr="00824693">
        <w:trPr>
          <w:trHeight w:val="34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8460B41" w14:textId="77777777" w:rsidR="00880997" w:rsidRPr="007177E2" w:rsidRDefault="00880997" w:rsidP="004A5DCA">
            <w:pPr>
              <w:pStyle w:val="TOC2"/>
            </w:pPr>
          </w:p>
        </w:tc>
        <w:tc>
          <w:tcPr>
            <w:tcW w:w="0" w:type="auto"/>
            <w:tcBorders>
              <w:top w:val="single" w:sz="4" w:space="0" w:color="auto"/>
              <w:left w:val="single" w:sz="4" w:space="0" w:color="auto"/>
              <w:bottom w:val="single" w:sz="4" w:space="0" w:color="auto"/>
              <w:right w:val="single" w:sz="4" w:space="0" w:color="auto"/>
            </w:tcBorders>
            <w:hideMark/>
          </w:tcPr>
          <w:p w14:paraId="722A9D58" w14:textId="77777777" w:rsidR="00880997" w:rsidRPr="007177E2" w:rsidRDefault="00880997" w:rsidP="004A5DCA">
            <w:pPr>
              <w:pStyle w:val="TOC2"/>
            </w:pPr>
            <w:r w:rsidRPr="007177E2">
              <w:t>Pesticide monitoring</w:t>
            </w:r>
          </w:p>
        </w:tc>
        <w:tc>
          <w:tcPr>
            <w:tcW w:w="0" w:type="auto"/>
            <w:tcBorders>
              <w:top w:val="single" w:sz="4" w:space="0" w:color="auto"/>
              <w:left w:val="single" w:sz="4" w:space="0" w:color="auto"/>
              <w:bottom w:val="single" w:sz="4" w:space="0" w:color="auto"/>
              <w:right w:val="single" w:sz="4" w:space="0" w:color="auto"/>
            </w:tcBorders>
            <w:hideMark/>
          </w:tcPr>
          <w:p w14:paraId="67E325EA" w14:textId="77777777" w:rsidR="00880997" w:rsidRPr="007177E2" w:rsidRDefault="00880997" w:rsidP="004A5DCA">
            <w:pPr>
              <w:pStyle w:val="TOC2"/>
            </w:pPr>
            <w:r w:rsidRPr="007177E2">
              <w:t>UQ</w:t>
            </w:r>
          </w:p>
        </w:tc>
      </w:tr>
      <w:tr w:rsidR="00880997" w:rsidRPr="001A4D90" w14:paraId="4F379664" w14:textId="77777777" w:rsidTr="00824693">
        <w:trPr>
          <w:trHeight w:val="16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79B5E42" w14:textId="77777777" w:rsidR="00880997" w:rsidRPr="007177E2" w:rsidRDefault="00880997" w:rsidP="004A5DCA">
            <w:pPr>
              <w:pStyle w:val="TOC2"/>
            </w:pPr>
          </w:p>
        </w:tc>
        <w:tc>
          <w:tcPr>
            <w:tcW w:w="0" w:type="auto"/>
            <w:tcBorders>
              <w:top w:val="single" w:sz="4" w:space="0" w:color="auto"/>
              <w:left w:val="single" w:sz="4" w:space="0" w:color="auto"/>
              <w:bottom w:val="single" w:sz="4" w:space="0" w:color="auto"/>
              <w:right w:val="single" w:sz="4" w:space="0" w:color="auto"/>
            </w:tcBorders>
            <w:hideMark/>
          </w:tcPr>
          <w:p w14:paraId="1E7C0922" w14:textId="77777777" w:rsidR="00880997" w:rsidRPr="007177E2" w:rsidRDefault="00880997" w:rsidP="004A5DCA">
            <w:pPr>
              <w:pStyle w:val="TOC2"/>
            </w:pPr>
            <w:r w:rsidRPr="007177E2">
              <w:t>Wet season monitoring</w:t>
            </w:r>
          </w:p>
        </w:tc>
        <w:tc>
          <w:tcPr>
            <w:tcW w:w="0" w:type="auto"/>
            <w:tcBorders>
              <w:top w:val="single" w:sz="4" w:space="0" w:color="auto"/>
              <w:left w:val="single" w:sz="4" w:space="0" w:color="auto"/>
              <w:bottom w:val="single" w:sz="4" w:space="0" w:color="auto"/>
              <w:right w:val="single" w:sz="4" w:space="0" w:color="auto"/>
            </w:tcBorders>
            <w:hideMark/>
          </w:tcPr>
          <w:p w14:paraId="17771A45" w14:textId="77777777" w:rsidR="00880997" w:rsidRPr="007177E2" w:rsidRDefault="00880997" w:rsidP="004A5DCA">
            <w:pPr>
              <w:pStyle w:val="TOC2"/>
            </w:pPr>
            <w:r w:rsidRPr="007177E2">
              <w:t>JCU</w:t>
            </w:r>
          </w:p>
        </w:tc>
      </w:tr>
      <w:tr w:rsidR="00880997" w:rsidRPr="001A4D90" w14:paraId="6D5F277B" w14:textId="77777777" w:rsidTr="00824693">
        <w:trPr>
          <w:trHeight w:val="3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291658D" w14:textId="77777777" w:rsidR="00880997" w:rsidRPr="007177E2" w:rsidRDefault="00880997" w:rsidP="004A5DCA">
            <w:pPr>
              <w:pStyle w:val="TOC2"/>
            </w:pPr>
          </w:p>
        </w:tc>
        <w:tc>
          <w:tcPr>
            <w:tcW w:w="0" w:type="auto"/>
            <w:tcBorders>
              <w:top w:val="single" w:sz="4" w:space="0" w:color="auto"/>
              <w:left w:val="single" w:sz="4" w:space="0" w:color="auto"/>
              <w:bottom w:val="single" w:sz="4" w:space="0" w:color="auto"/>
              <w:right w:val="single" w:sz="4" w:space="0" w:color="auto"/>
            </w:tcBorders>
            <w:hideMark/>
          </w:tcPr>
          <w:p w14:paraId="3EF1A94A" w14:textId="77777777" w:rsidR="00880997" w:rsidRPr="007177E2" w:rsidRDefault="00510BBE" w:rsidP="004A5DCA">
            <w:pPr>
              <w:pStyle w:val="TOC2"/>
            </w:pPr>
            <w:r w:rsidRPr="007177E2">
              <w:t>eReefs biogeochemical model and satellite images</w:t>
            </w:r>
          </w:p>
        </w:tc>
        <w:tc>
          <w:tcPr>
            <w:tcW w:w="0" w:type="auto"/>
            <w:tcBorders>
              <w:top w:val="single" w:sz="4" w:space="0" w:color="auto"/>
              <w:left w:val="single" w:sz="4" w:space="0" w:color="auto"/>
              <w:bottom w:val="single" w:sz="4" w:space="0" w:color="auto"/>
              <w:right w:val="single" w:sz="4" w:space="0" w:color="auto"/>
            </w:tcBorders>
            <w:hideMark/>
          </w:tcPr>
          <w:p w14:paraId="57F85845" w14:textId="3D967025" w:rsidR="00880997" w:rsidRPr="007177E2" w:rsidRDefault="001E697F" w:rsidP="004A5DCA">
            <w:pPr>
              <w:pStyle w:val="TOC2"/>
            </w:pPr>
            <w:r>
              <w:t>Not managed by the Authority</w:t>
            </w:r>
          </w:p>
        </w:tc>
      </w:tr>
      <w:tr w:rsidR="00880997" w:rsidRPr="001A4D90" w14:paraId="75D359DA" w14:textId="77777777" w:rsidTr="00824693">
        <w:trPr>
          <w:trHeight w:val="612"/>
        </w:trPr>
        <w:tc>
          <w:tcPr>
            <w:tcW w:w="0" w:type="auto"/>
            <w:tcBorders>
              <w:top w:val="single" w:sz="4" w:space="0" w:color="auto"/>
              <w:left w:val="single" w:sz="4" w:space="0" w:color="auto"/>
              <w:bottom w:val="single" w:sz="4" w:space="0" w:color="auto"/>
              <w:right w:val="single" w:sz="4" w:space="0" w:color="auto"/>
            </w:tcBorders>
            <w:hideMark/>
          </w:tcPr>
          <w:p w14:paraId="767A8068" w14:textId="77777777" w:rsidR="00880997" w:rsidRPr="007177E2" w:rsidRDefault="00880997" w:rsidP="004A5DCA">
            <w:pPr>
              <w:pStyle w:val="TOC2"/>
            </w:pPr>
            <w:r w:rsidRPr="007177E2">
              <w:t>Inshore seagrass condition</w:t>
            </w:r>
          </w:p>
        </w:tc>
        <w:tc>
          <w:tcPr>
            <w:tcW w:w="0" w:type="auto"/>
            <w:tcBorders>
              <w:top w:val="single" w:sz="4" w:space="0" w:color="auto"/>
              <w:left w:val="single" w:sz="4" w:space="0" w:color="auto"/>
              <w:bottom w:val="single" w:sz="4" w:space="0" w:color="auto"/>
              <w:right w:val="single" w:sz="4" w:space="0" w:color="auto"/>
            </w:tcBorders>
            <w:hideMark/>
          </w:tcPr>
          <w:p w14:paraId="549D172E" w14:textId="77777777" w:rsidR="00880997" w:rsidRPr="007177E2" w:rsidRDefault="00880997" w:rsidP="004A5DCA">
            <w:pPr>
              <w:pStyle w:val="TOC2"/>
            </w:pPr>
            <w:r w:rsidRPr="007177E2">
              <w:t>Inshore seagrass monitoring</w:t>
            </w:r>
          </w:p>
        </w:tc>
        <w:tc>
          <w:tcPr>
            <w:tcW w:w="0" w:type="auto"/>
            <w:tcBorders>
              <w:top w:val="single" w:sz="4" w:space="0" w:color="auto"/>
              <w:left w:val="single" w:sz="4" w:space="0" w:color="auto"/>
              <w:bottom w:val="single" w:sz="4" w:space="0" w:color="auto"/>
              <w:right w:val="single" w:sz="4" w:space="0" w:color="auto"/>
            </w:tcBorders>
            <w:hideMark/>
          </w:tcPr>
          <w:p w14:paraId="298F343A" w14:textId="77777777" w:rsidR="00880997" w:rsidRPr="007177E2" w:rsidRDefault="00880997" w:rsidP="004A5DCA">
            <w:pPr>
              <w:pStyle w:val="TOC2"/>
            </w:pPr>
            <w:r w:rsidRPr="007177E2">
              <w:t>JCU</w:t>
            </w:r>
          </w:p>
        </w:tc>
      </w:tr>
      <w:tr w:rsidR="00880997" w:rsidRPr="001A4D90" w14:paraId="34EB9D20" w14:textId="77777777" w:rsidTr="00824693">
        <w:trPr>
          <w:trHeight w:val="520"/>
        </w:trPr>
        <w:tc>
          <w:tcPr>
            <w:tcW w:w="0" w:type="auto"/>
            <w:tcBorders>
              <w:top w:val="single" w:sz="4" w:space="0" w:color="auto"/>
              <w:left w:val="single" w:sz="4" w:space="0" w:color="auto"/>
              <w:bottom w:val="single" w:sz="4" w:space="0" w:color="auto"/>
              <w:right w:val="single" w:sz="4" w:space="0" w:color="auto"/>
            </w:tcBorders>
            <w:hideMark/>
          </w:tcPr>
          <w:p w14:paraId="482AF6A8" w14:textId="77777777" w:rsidR="00880997" w:rsidRPr="007177E2" w:rsidRDefault="00880997" w:rsidP="004A5DCA">
            <w:pPr>
              <w:pStyle w:val="TOC2"/>
            </w:pPr>
            <w:r w:rsidRPr="007177E2">
              <w:t xml:space="preserve">Inshore coral </w:t>
            </w:r>
            <w:r w:rsidR="00DB3546" w:rsidRPr="007177E2">
              <w:t xml:space="preserve">reef </w:t>
            </w:r>
            <w:r w:rsidRPr="007177E2">
              <w:t>condition</w:t>
            </w:r>
          </w:p>
        </w:tc>
        <w:tc>
          <w:tcPr>
            <w:tcW w:w="0" w:type="auto"/>
            <w:tcBorders>
              <w:top w:val="single" w:sz="4" w:space="0" w:color="auto"/>
              <w:left w:val="single" w:sz="4" w:space="0" w:color="auto"/>
              <w:bottom w:val="single" w:sz="4" w:space="0" w:color="auto"/>
              <w:right w:val="single" w:sz="4" w:space="0" w:color="auto"/>
            </w:tcBorders>
            <w:hideMark/>
          </w:tcPr>
          <w:p w14:paraId="33456B9D" w14:textId="77777777" w:rsidR="00880997" w:rsidRPr="007177E2" w:rsidRDefault="00880997" w:rsidP="004A5DCA">
            <w:pPr>
              <w:pStyle w:val="TOC2"/>
            </w:pPr>
            <w:r w:rsidRPr="007177E2">
              <w:t>Inshore coral monitoring</w:t>
            </w:r>
          </w:p>
        </w:tc>
        <w:tc>
          <w:tcPr>
            <w:tcW w:w="0" w:type="auto"/>
            <w:tcBorders>
              <w:top w:val="single" w:sz="4" w:space="0" w:color="auto"/>
              <w:left w:val="single" w:sz="4" w:space="0" w:color="auto"/>
              <w:bottom w:val="single" w:sz="4" w:space="0" w:color="auto"/>
              <w:right w:val="single" w:sz="4" w:space="0" w:color="auto"/>
            </w:tcBorders>
            <w:hideMark/>
          </w:tcPr>
          <w:p w14:paraId="093E450C" w14:textId="77777777" w:rsidR="00880997" w:rsidRPr="007177E2" w:rsidRDefault="00880997" w:rsidP="004A5DCA">
            <w:pPr>
              <w:pStyle w:val="TOC2"/>
            </w:pPr>
            <w:r w:rsidRPr="007177E2">
              <w:t>AIMS</w:t>
            </w:r>
          </w:p>
        </w:tc>
      </w:tr>
    </w:tbl>
    <w:p w14:paraId="4DF79E34" w14:textId="6A87521B" w:rsidR="001C6437" w:rsidRPr="00880997" w:rsidRDefault="001C6437" w:rsidP="00374388">
      <w:pPr>
        <w:pStyle w:val="Heading2"/>
      </w:pPr>
      <w:bookmarkStart w:id="13" w:name="_Toc520727810"/>
      <w:bookmarkStart w:id="14" w:name="_Ref4570269"/>
      <w:bookmarkStart w:id="15" w:name="_Toc12365554"/>
      <w:r w:rsidRPr="00880997">
        <w:t xml:space="preserve">Inshore </w:t>
      </w:r>
      <w:r w:rsidR="00DB3546">
        <w:t>m</w:t>
      </w:r>
      <w:r w:rsidR="00DB3546" w:rsidRPr="00880997">
        <w:t xml:space="preserve">arine </w:t>
      </w:r>
      <w:r w:rsidR="00DB3546">
        <w:t>w</w:t>
      </w:r>
      <w:r w:rsidR="00DB3546" w:rsidRPr="00880997">
        <w:t xml:space="preserve">ater </w:t>
      </w:r>
      <w:r w:rsidR="00DB3546">
        <w:t>q</w:t>
      </w:r>
      <w:r w:rsidR="00DB3546" w:rsidRPr="00880997">
        <w:t xml:space="preserve">uality </w:t>
      </w:r>
      <w:bookmarkEnd w:id="10"/>
      <w:bookmarkEnd w:id="11"/>
      <w:bookmarkEnd w:id="12"/>
      <w:bookmarkEnd w:id="13"/>
      <w:r w:rsidR="00DB3546">
        <w:t>m</w:t>
      </w:r>
      <w:r w:rsidR="00DB3546" w:rsidRPr="00880997">
        <w:t>onitoring</w:t>
      </w:r>
      <w:bookmarkEnd w:id="14"/>
      <w:bookmarkEnd w:id="15"/>
    </w:p>
    <w:p w14:paraId="2F7D18F8" w14:textId="467EEA7D" w:rsidR="00C57B36" w:rsidRPr="0058370B" w:rsidRDefault="00C57B36" w:rsidP="00FE2F59">
      <w:pPr>
        <w:rPr>
          <w:rFonts w:cs="Arial"/>
        </w:rPr>
      </w:pPr>
      <w:r w:rsidRPr="0058370B">
        <w:rPr>
          <w:rFonts w:cs="Arial"/>
        </w:rPr>
        <w:t xml:space="preserve">Long-term </w:t>
      </w:r>
      <w:r w:rsidRPr="0058370B">
        <w:rPr>
          <w:rFonts w:cs="Arial"/>
          <w:i/>
        </w:rPr>
        <w:t>in situ</w:t>
      </w:r>
      <w:r w:rsidRPr="0058370B">
        <w:rPr>
          <w:rFonts w:cs="Arial"/>
        </w:rPr>
        <w:t xml:space="preserve"> monitoring of spatial and temporal trends in the inshore water quality of the Reef lagoon is essential to assess improvements in regional water quality that will occur as a result of reductions in pollutant loads from adjacent catchments. In addition, </w:t>
      </w:r>
      <w:r w:rsidR="000D099D">
        <w:rPr>
          <w:rFonts w:cs="Arial"/>
        </w:rPr>
        <w:t>understanding what is delivered</w:t>
      </w:r>
      <w:r w:rsidRPr="0058370B">
        <w:rPr>
          <w:rFonts w:cs="Arial"/>
        </w:rPr>
        <w:t xml:space="preserve"> by flood waters is essential to quantify the exposure of inshore ecosystems to these pollutants.</w:t>
      </w:r>
    </w:p>
    <w:p w14:paraId="6D33A108" w14:textId="504161EE" w:rsidR="00B34238" w:rsidRPr="00B34238" w:rsidRDefault="00B34238" w:rsidP="00D80344">
      <w:r w:rsidRPr="00B34238">
        <w:t xml:space="preserve">The MMP water quality design was revised in 2014 and is </w:t>
      </w:r>
      <w:r w:rsidR="00E97B88">
        <w:t xml:space="preserve">now </w:t>
      </w:r>
      <w:r w:rsidRPr="00B34238">
        <w:t xml:space="preserve">closely aligned with the Driver, Pressure, State, Impact, and Response (DPSIR) framework. The revised design supports closer integration between MMP components, leading to outputs that are expected to meet the stakeholder needs, including: </w:t>
      </w:r>
    </w:p>
    <w:p w14:paraId="70B59FEC" w14:textId="2CBAF689" w:rsidR="00B34238" w:rsidRPr="00B34238" w:rsidRDefault="0026499F" w:rsidP="00D80344">
      <w:pPr>
        <w:pStyle w:val="ListParagraph"/>
        <w:numPr>
          <w:ilvl w:val="0"/>
          <w:numId w:val="207"/>
        </w:numPr>
      </w:pPr>
      <w:r>
        <w:t>a</w:t>
      </w:r>
      <w:r w:rsidRPr="00B34238">
        <w:t xml:space="preserve"> </w:t>
      </w:r>
      <w:r w:rsidR="00B34238" w:rsidRPr="00B34238">
        <w:t>robust data foundation and continuous improvement of all reporting metrics (those in the Great Barrier Reef Report Card Tier 1 and 2 reports)</w:t>
      </w:r>
    </w:p>
    <w:p w14:paraId="02C50FDB" w14:textId="19C3447A" w:rsidR="00B34238" w:rsidRPr="00B34238" w:rsidRDefault="0026499F" w:rsidP="00D80344">
      <w:pPr>
        <w:pStyle w:val="ListParagraph"/>
        <w:numPr>
          <w:ilvl w:val="0"/>
          <w:numId w:val="207"/>
        </w:numPr>
      </w:pPr>
      <w:r>
        <w:t>i</w:t>
      </w:r>
      <w:r w:rsidRPr="00B34238">
        <w:t xml:space="preserve">mproved </w:t>
      </w:r>
      <w:r w:rsidR="00B34238" w:rsidRPr="00B34238">
        <w:t>reporting of pressure indicators via models of exposure that link marine water quality to end-of-catchment loads (</w:t>
      </w:r>
      <w:r w:rsidR="00B34238" w:rsidRPr="00D80344">
        <w:rPr>
          <w:i/>
        </w:rPr>
        <w:t>water quality as a state</w:t>
      </w:r>
      <w:r w:rsidR="00B34238" w:rsidRPr="00B34238">
        <w:t xml:space="preserve">) </w:t>
      </w:r>
    </w:p>
    <w:p w14:paraId="5CFE066B" w14:textId="316631ED" w:rsidR="00B34238" w:rsidRPr="00B34238" w:rsidRDefault="0026499F" w:rsidP="00D80344">
      <w:pPr>
        <w:pStyle w:val="ListParagraph"/>
        <w:numPr>
          <w:ilvl w:val="0"/>
          <w:numId w:val="207"/>
        </w:numPr>
      </w:pPr>
      <w:r>
        <w:t>a</w:t>
      </w:r>
      <w:r w:rsidRPr="00B34238">
        <w:t xml:space="preserve"> </w:t>
      </w:r>
      <w:r w:rsidR="00B34238" w:rsidRPr="00B34238">
        <w:t>robust data foundation for detecting, attributing and interpreting relationships between water quality and coral reef and seagrass condition (</w:t>
      </w:r>
      <w:r w:rsidR="00B34238" w:rsidRPr="00D80344">
        <w:rPr>
          <w:i/>
        </w:rPr>
        <w:t>water quality as a pressure</w:t>
      </w:r>
      <w:r w:rsidR="00B34238" w:rsidRPr="00B34238">
        <w:t>)</w:t>
      </w:r>
    </w:p>
    <w:p w14:paraId="18492A1E" w14:textId="3AFE8714" w:rsidR="00B34238" w:rsidRPr="00B34238" w:rsidRDefault="0026499F" w:rsidP="00D80344">
      <w:pPr>
        <w:pStyle w:val="ListParagraph"/>
        <w:numPr>
          <w:ilvl w:val="0"/>
          <w:numId w:val="207"/>
        </w:numPr>
      </w:pPr>
      <w:r>
        <w:t>o</w:t>
      </w:r>
      <w:r w:rsidRPr="00B34238">
        <w:t xml:space="preserve">ngoing </w:t>
      </w:r>
      <w:r w:rsidR="00B34238" w:rsidRPr="00B34238">
        <w:t xml:space="preserve">validation of the eReefs model to allow for more confident predictions of water quality in areas that are </w:t>
      </w:r>
      <w:r w:rsidR="00410AC5">
        <w:t xml:space="preserve">not </w:t>
      </w:r>
      <w:r w:rsidR="00B34238" w:rsidRPr="00B34238">
        <w:t>monitored.</w:t>
      </w:r>
    </w:p>
    <w:p w14:paraId="6903BB00" w14:textId="54733DDC" w:rsidR="00B34238" w:rsidRPr="00B34238" w:rsidRDefault="00B34238" w:rsidP="00D80344">
      <w:r w:rsidRPr="00B34238">
        <w:t>In 2015, a new sampling design for the inshore water quality monitoring program was implemented</w:t>
      </w:r>
      <w:r w:rsidR="002A2CCC">
        <w:t xml:space="preserve"> based on recommendations from a statistical review </w:t>
      </w:r>
      <w:r w:rsidR="002A2CCC">
        <w:fldChar w:fldCharType="begin"/>
      </w:r>
      <w:r w:rsidR="002A2CCC">
        <w:instrText xml:space="preserve"> ADDIN EN.CITE &lt;EndNote&gt;&lt;Cite&gt;&lt;Author&gt;Kuhnert&lt;/Author&gt;&lt;Year&gt;2015&lt;/Year&gt;&lt;RecNum&gt;1206&lt;/RecNum&gt;&lt;DisplayText&gt;(Kuhnert et al., 2015)&lt;/DisplayText&gt;&lt;record&gt;&lt;rec-number&gt;1206&lt;/rec-number&gt;&lt;foreign-keys&gt;&lt;key app="EN" db-id="zapfddtwo2e9z5e5vxoxafs7sf59wfp52rvf" timestamp="1519263681"&gt;1206&lt;/key&gt;&lt;/foreign-keys&gt;&lt;ref-type name="Report"&gt;27&lt;/ref-type&gt;&lt;contributors&gt;&lt;authors&gt;&lt;author&gt;Kuhnert, Petra M.&lt;/author&gt;&lt;author&gt;Liu, Y.&lt;/author&gt;&lt;author&gt;Henderson, B.&lt;/author&gt;&lt;author&gt;Dambacher, J.&lt;/author&gt;&lt;author&gt;Lawrence, E.&lt;/author&gt;&lt;author&gt;Kroon, F. J.&lt;/author&gt;&lt;/authors&gt;&lt;/contributors&gt;&lt;titles&gt;&lt;title&gt;Review of the Marine Monitoring Program (MMP)&lt;/title&gt;&lt;/titles&gt;&lt;pages&gt;278&lt;/pages&gt;&lt;dates&gt;&lt;year&gt;2015&lt;/year&gt;&lt;/dates&gt;&lt;pub-location&gt;Final Report for the Great Barrier Reef Marine Park Authority (GBRMPA), CSIRO, Australia&lt;/pub-location&gt;&lt;urls&gt;&lt;related-urls&gt;&lt;url&gt;https://core.ac.uk/download/pdf/50851864.pdf&lt;/url&gt;&lt;/related-urls&gt;&lt;/urls&gt;&lt;access-date&gt;27/05/2019&lt;/access-date&gt;&lt;/record&gt;&lt;/Cite&gt;&lt;/EndNote&gt;</w:instrText>
      </w:r>
      <w:r w:rsidR="002A2CCC">
        <w:fldChar w:fldCharType="separate"/>
      </w:r>
      <w:r w:rsidR="002A2CCC">
        <w:rPr>
          <w:noProof/>
        </w:rPr>
        <w:t>(Kuhnert et al., 2015)</w:t>
      </w:r>
      <w:r w:rsidR="002A2CCC">
        <w:fldChar w:fldCharType="end"/>
      </w:r>
      <w:r w:rsidR="002A2CCC">
        <w:t>.  The redesign was</w:t>
      </w:r>
      <w:r w:rsidRPr="00B34238">
        <w:t xml:space="preserve"> intended to increase the detection of links between end-of-catchment loads and marine water quality </w:t>
      </w:r>
      <w:r w:rsidR="005B1A8B">
        <w:t>through</w:t>
      </w:r>
      <w:r w:rsidR="005B1A8B" w:rsidRPr="00B34238">
        <w:t xml:space="preserve"> </w:t>
      </w:r>
      <w:r w:rsidRPr="00B34238">
        <w:t xml:space="preserve">higher frequency sampling at </w:t>
      </w:r>
      <w:r w:rsidR="005B1A8B">
        <w:t>a larger number of</w:t>
      </w:r>
      <w:r w:rsidR="005B1A8B" w:rsidRPr="00B34238">
        <w:t xml:space="preserve"> </w:t>
      </w:r>
      <w:r w:rsidRPr="00B34238">
        <w:t xml:space="preserve">sites in </w:t>
      </w:r>
      <w:r w:rsidR="0026499F">
        <w:t xml:space="preserve">the </w:t>
      </w:r>
      <w:r w:rsidRPr="00B34238">
        <w:t xml:space="preserve">focus area. The design focused on four areas </w:t>
      </w:r>
      <w:r w:rsidR="00347199">
        <w:t>—</w:t>
      </w:r>
      <w:r w:rsidRPr="00B34238">
        <w:t xml:space="preserve"> the Russell-Mulgrave, Tully</w:t>
      </w:r>
      <w:r w:rsidR="005B1A8B">
        <w:t>,</w:t>
      </w:r>
      <w:r w:rsidRPr="00B34238">
        <w:t xml:space="preserve"> Burdekin Rivers</w:t>
      </w:r>
      <w:r w:rsidR="0026499F">
        <w:t>,</w:t>
      </w:r>
      <w:r w:rsidRPr="00B34238">
        <w:t xml:space="preserve"> and </w:t>
      </w:r>
      <w:r w:rsidR="00410AC5">
        <w:t xml:space="preserve">the </w:t>
      </w:r>
      <w:r w:rsidRPr="00B34238">
        <w:t xml:space="preserve">Mackay Whitsunday region. </w:t>
      </w:r>
      <w:r w:rsidR="00383250">
        <w:t xml:space="preserve">Extra </w:t>
      </w:r>
      <w:r w:rsidRPr="00B34238">
        <w:t xml:space="preserve">reporting for the Barron-Daintree sub-region of the Wet Tropics </w:t>
      </w:r>
      <w:r w:rsidR="0026499F">
        <w:t>was</w:t>
      </w:r>
      <w:r w:rsidR="0026499F" w:rsidRPr="00B34238">
        <w:t xml:space="preserve"> </w:t>
      </w:r>
      <w:r w:rsidRPr="00B34238">
        <w:t xml:space="preserve">also included due to the continued collection of data along the long-term </w:t>
      </w:r>
      <w:r w:rsidR="00943D89">
        <w:t>‘</w:t>
      </w:r>
      <w:r w:rsidRPr="00B34238">
        <w:t>Cairns transect</w:t>
      </w:r>
      <w:r w:rsidR="00943D89">
        <w:t>’</w:t>
      </w:r>
      <w:r w:rsidRPr="00B34238">
        <w:t xml:space="preserve"> where sampling started in 1989. In 2016–17, four transects were added in the Cape York region relevant to the Pascoe, Normanby-Kennedy, Annan</w:t>
      </w:r>
      <w:r w:rsidR="0026499F">
        <w:t>-</w:t>
      </w:r>
      <w:r w:rsidRPr="00B34238">
        <w:t>Endeavour and Stewart Rivers. These transects are monitored by the Cape York Water Monitoring Partnership coordinated by Howley Environmental Consulting.</w:t>
      </w:r>
    </w:p>
    <w:p w14:paraId="4F29F053" w14:textId="2D1F5F1A" w:rsidR="00C57B36" w:rsidRPr="0058370B" w:rsidRDefault="00C57B36" w:rsidP="00FE2F59">
      <w:pPr>
        <w:rPr>
          <w:rFonts w:cs="Arial"/>
        </w:rPr>
      </w:pPr>
      <w:r w:rsidRPr="0058370B">
        <w:rPr>
          <w:rFonts w:cs="Arial"/>
        </w:rPr>
        <w:t>The sites in each focus area are located to capture water masses along cross-shelf and alongshore gradients. The site selection in the focus areas was informed by the plume frequency model</w:t>
      </w:r>
      <w:r w:rsidR="00DF46F6">
        <w:rPr>
          <w:rFonts w:cs="Arial"/>
        </w:rPr>
        <w:t xml:space="preserve"> </w:t>
      </w:r>
      <w:r w:rsidR="009B6C43">
        <w:rPr>
          <w:rFonts w:cs="Arial"/>
        </w:rPr>
        <w:fldChar w:fldCharType="begin"/>
      </w:r>
      <w:r w:rsidR="00FC7CCA">
        <w:rPr>
          <w:rFonts w:cs="Arial"/>
        </w:rPr>
        <w:instrText xml:space="preserve"> ADDIN EN.CITE &lt;EndNote&gt;&lt;Cite&gt;&lt;Author&gt;Petus&lt;/Author&gt;&lt;Year&gt;2014&lt;/Year&gt;&lt;RecNum&gt;1289&lt;/RecNum&gt;&lt;DisplayText&gt;(Petus, da Silva, et al., 2014)&lt;/DisplayText&gt;&lt;record&gt;&lt;rec-number&gt;1289&lt;/rec-number&gt;&lt;foreign-keys&gt;&lt;key app="EN" db-id="zapfddtwo2e9z5e5vxoxafs7sf59wfp52rvf" timestamp="1558654718"&gt;1289&lt;/key&gt;&lt;/foreign-keys&gt;&lt;ref-type name="Journal Article"&gt;17&lt;/ref-type&gt;&lt;contributors&gt;&lt;authors&gt;&lt;author&gt;Petus, Caroline&lt;/author&gt;&lt;author&gt;da Silva, Eduardo Teixeira&lt;/author&gt;&lt;author&gt;Devlin, Michelle&lt;/author&gt;&lt;author&gt;Wenger, Amelia S.&lt;/author&gt;&lt;author&gt;Álvarez-Romero, Jorge G.&lt;/author&gt;&lt;/authors&gt;&lt;/contributors&gt;&lt;titles&gt;&lt;title&gt;Using MODIS data for mapping of water types within river plumes in the Great Barrier Reef, Australia: Towards the production of river plume risk maps for reef and seagrass ecosystems&lt;/title&gt;&lt;secondary-title&gt;Journal of Environmental Management&lt;/secondary-title&gt;&lt;/titles&gt;&lt;periodical&gt;&lt;full-title&gt;Journal of Environmental Management&lt;/full-title&gt;&lt;/periodical&gt;&lt;pages&gt;163-177&lt;/pages&gt;&lt;volume&gt;137&lt;/volume&gt;&lt;keywords&gt;&lt;keyword&gt;Water quality&lt;/keyword&gt;&lt;keyword&gt;River plume&lt;/keyword&gt;&lt;keyword&gt;Water types&lt;/keyword&gt;&lt;keyword&gt;Risk maps&lt;/keyword&gt;&lt;keyword&gt;Ecological impact&lt;/keyword&gt;&lt;keyword&gt;Monitoring&lt;/keyword&gt;&lt;keyword&gt;Great Barrier Reef&lt;/keyword&gt;&lt;/keywords&gt;&lt;dates&gt;&lt;year&gt;2014&lt;/year&gt;&lt;pub-dates&gt;&lt;date&gt;2014/05/01/&lt;/date&gt;&lt;/pub-dates&gt;&lt;/dates&gt;&lt;isbn&gt;0301-4797&lt;/isbn&gt;&lt;urls&gt;&lt;related-urls&gt;&lt;url&gt;http://www.sciencedirect.com/science/article/pii/S0301479714000851&lt;/url&gt;&lt;/related-urls&gt;&lt;/urls&gt;&lt;electronic-resource-num&gt;https://doi.org/10.1016/j.jenvman.2013.11.050&lt;/electronic-resource-num&gt;&lt;/record&gt;&lt;/Cite&gt;&lt;/EndNote&gt;</w:instrText>
      </w:r>
      <w:r w:rsidR="009B6C43">
        <w:rPr>
          <w:rFonts w:cs="Arial"/>
        </w:rPr>
        <w:fldChar w:fldCharType="separate"/>
      </w:r>
      <w:r w:rsidR="00FC7CCA">
        <w:rPr>
          <w:rFonts w:cs="Arial"/>
          <w:noProof/>
        </w:rPr>
        <w:t>(Petus, da Silva, et al., 2014)</w:t>
      </w:r>
      <w:r w:rsidR="009B6C43">
        <w:rPr>
          <w:rFonts w:cs="Arial"/>
        </w:rPr>
        <w:fldChar w:fldCharType="end"/>
      </w:r>
      <w:r w:rsidR="00347199">
        <w:rPr>
          <w:rFonts w:cs="Arial"/>
        </w:rPr>
        <w:t xml:space="preserve"> </w:t>
      </w:r>
      <w:r w:rsidRPr="0058370B">
        <w:rPr>
          <w:rFonts w:cs="Arial"/>
        </w:rPr>
        <w:t>and the river tracer model</w:t>
      </w:r>
      <w:r w:rsidR="00F8093E">
        <w:rPr>
          <w:rFonts w:cs="Arial"/>
        </w:rPr>
        <w:t xml:space="preserve"> </w:t>
      </w:r>
      <w:r w:rsidR="009B6C43">
        <w:rPr>
          <w:rFonts w:cs="Arial"/>
        </w:rPr>
        <w:fldChar w:fldCharType="begin"/>
      </w:r>
      <w:r w:rsidR="00662E0E">
        <w:rPr>
          <w:rFonts w:cs="Arial"/>
        </w:rPr>
        <w:instrText xml:space="preserve"> ADDIN EN.CITE &lt;EndNote&gt;&lt;Cite&gt;&lt;Author&gt;Brinkman&lt;/Author&gt;&lt;Year&gt;2014&lt;/Year&gt;&lt;RecNum&gt;1290&lt;/RecNum&gt;&lt;DisplayText&gt;(Brinkman et al., 2014)&lt;/DisplayText&gt;&lt;record&gt;&lt;rec-number&gt;1290&lt;/rec-number&gt;&lt;foreign-keys&gt;&lt;key app="EN" db-id="zapfddtwo2e9z5e5vxoxafs7sf59wfp52rvf" timestamp="1558658488"&gt;1290&lt;/key&gt;&lt;/foreign-keys&gt;&lt;ref-type name="Report"&gt;27&lt;/ref-type&gt;&lt;contributors&gt;&lt;authors&gt;&lt;author&gt;Brinkman, R&lt;/author&gt;&lt;author&gt;Tonin, H&lt;/author&gt;&lt;author&gt;Furnas, M&lt;/author&gt;&lt;author&gt;Schaffelke, B&lt;/author&gt;&lt;author&gt;Fabricius, .&lt;/author&gt;&lt;/authors&gt;&lt;/contributors&gt;&lt;titles&gt;&lt;title&gt;Targeted analysis of the linkages between river runoff and risks for crown-of-thorns starfish outbreaks in the Northern GBR: Report for Terrain NRM&lt;/title&gt;&lt;/titles&gt;&lt;dates&gt;&lt;year&gt;2014&lt;/year&gt;&lt;/dates&gt;&lt;pub-location&gt;Australian Institute of Marine Science, Townsville, Queensland&lt;/pub-location&gt;&lt;urls&gt;&lt;related-urls&gt;&lt;url&gt;https://terrain.org.au/projects/water-quality-improvement-plan/studies-reports/&lt;/url&gt;&lt;/related-urls&gt;&lt;/urls&gt;&lt;access-date&gt;23/05/2019&lt;/access-date&gt;&lt;/record&gt;&lt;/Cite&gt;&lt;/EndNote&gt;</w:instrText>
      </w:r>
      <w:r w:rsidR="009B6C43">
        <w:rPr>
          <w:rFonts w:cs="Arial"/>
        </w:rPr>
        <w:fldChar w:fldCharType="separate"/>
      </w:r>
      <w:r w:rsidR="00662E0E">
        <w:rPr>
          <w:rFonts w:cs="Arial"/>
          <w:noProof/>
        </w:rPr>
        <w:t>(Brinkman et al., 2014)</w:t>
      </w:r>
      <w:r w:rsidR="009B6C43">
        <w:rPr>
          <w:rFonts w:cs="Arial"/>
        </w:rPr>
        <w:fldChar w:fldCharType="end"/>
      </w:r>
      <w:r w:rsidR="00347199">
        <w:rPr>
          <w:rFonts w:cs="Arial"/>
        </w:rPr>
        <w:t>.</w:t>
      </w:r>
      <w:r w:rsidRPr="0058370B">
        <w:rPr>
          <w:rFonts w:cs="Arial"/>
        </w:rPr>
        <w:t xml:space="preserve"> </w:t>
      </w:r>
    </w:p>
    <w:p w14:paraId="5C0FEB54" w14:textId="77777777" w:rsidR="00947511" w:rsidRDefault="00DA0B37" w:rsidP="00697912">
      <w:r w:rsidRPr="00DA0B37">
        <w:t xml:space="preserve">Monitoring includes </w:t>
      </w:r>
      <w:r w:rsidR="000E7F53">
        <w:t>measurement</w:t>
      </w:r>
      <w:r w:rsidR="000E7F53" w:rsidRPr="00DA0B37">
        <w:t xml:space="preserve"> </w:t>
      </w:r>
      <w:r w:rsidRPr="00DA0B37">
        <w:t>of dissolved and particulate nutrients</w:t>
      </w:r>
      <w:r w:rsidR="00312834">
        <w:t xml:space="preserve"> (nitrogen and phosphorus)</w:t>
      </w:r>
      <w:r w:rsidRPr="00DA0B37">
        <w:t xml:space="preserve"> and carbon, </w:t>
      </w:r>
      <w:r w:rsidR="003F69E3">
        <w:t xml:space="preserve">total </w:t>
      </w:r>
      <w:r w:rsidRPr="00DA0B37">
        <w:t>suspended solids</w:t>
      </w:r>
      <w:r w:rsidR="003F69E3">
        <w:t xml:space="preserve"> (TSS)</w:t>
      </w:r>
      <w:r w:rsidRPr="00DA0B37">
        <w:t xml:space="preserve">, chlorophyll </w:t>
      </w:r>
      <w:r w:rsidRPr="00DA0B37">
        <w:rPr>
          <w:i/>
        </w:rPr>
        <w:t xml:space="preserve">a </w:t>
      </w:r>
      <w:r w:rsidRPr="00DA0B37">
        <w:t>(Chl</w:t>
      </w:r>
      <w:r w:rsidR="006B5965">
        <w:t>-</w:t>
      </w:r>
      <w:r w:rsidRPr="006B5965">
        <w:rPr>
          <w:i/>
        </w:rPr>
        <w:t>a</w:t>
      </w:r>
      <w:r w:rsidRPr="00DA0B37">
        <w:t xml:space="preserve">), </w:t>
      </w:r>
      <w:r w:rsidR="00312834">
        <w:t xml:space="preserve">silica, </w:t>
      </w:r>
      <w:r w:rsidRPr="00DA0B37">
        <w:t xml:space="preserve">salinity, turbidity, </w:t>
      </w:r>
      <w:r w:rsidR="00347199">
        <w:t>c</w:t>
      </w:r>
      <w:r w:rsidR="00347199" w:rsidRPr="00DA0B37">
        <w:t>olor</w:t>
      </w:r>
      <w:r w:rsidR="000E7F53">
        <w:t>ed</w:t>
      </w:r>
      <w:r w:rsidR="00347199" w:rsidRPr="00DA0B37">
        <w:t xml:space="preserve"> </w:t>
      </w:r>
      <w:r w:rsidR="00347199">
        <w:t>d</w:t>
      </w:r>
      <w:r w:rsidR="00347199" w:rsidRPr="00DA0B37">
        <w:t xml:space="preserve">issolved </w:t>
      </w:r>
      <w:r w:rsidR="00347199">
        <w:t>o</w:t>
      </w:r>
      <w:r w:rsidR="00347199" w:rsidRPr="00DA0B37">
        <w:t xml:space="preserve">rganic </w:t>
      </w:r>
      <w:r w:rsidR="00347199">
        <w:t>m</w:t>
      </w:r>
      <w:r w:rsidR="00347199" w:rsidRPr="00DA0B37">
        <w:t xml:space="preserve">atter </w:t>
      </w:r>
      <w:r w:rsidRPr="00DA0B37">
        <w:t xml:space="preserve">(CDOM) and temperature. </w:t>
      </w:r>
      <w:r w:rsidR="0026499F">
        <w:t>Additionally</w:t>
      </w:r>
      <w:r w:rsidRPr="00DA0B37">
        <w:t xml:space="preserve">, during flood events samples for pesticides are collected. </w:t>
      </w:r>
    </w:p>
    <w:p w14:paraId="618015D5" w14:textId="5FE8134E" w:rsidR="00947511" w:rsidRDefault="00947511" w:rsidP="00697912"/>
    <w:p w14:paraId="65397631" w14:textId="77777777" w:rsidR="00686A9D" w:rsidRDefault="00686A9D" w:rsidP="00697912"/>
    <w:p w14:paraId="16F58DA0" w14:textId="69C3CB75" w:rsidR="00DA0B37" w:rsidRPr="00DA0B37" w:rsidRDefault="00DA0B37" w:rsidP="00697912">
      <w:r w:rsidRPr="00DA0B37">
        <w:t>Techniques used are a combination of:</w:t>
      </w:r>
    </w:p>
    <w:p w14:paraId="6546F50F" w14:textId="5B378BF0" w:rsidR="00DA0B37" w:rsidRPr="00DA0B37" w:rsidRDefault="00347199" w:rsidP="00697912">
      <w:pPr>
        <w:pStyle w:val="ListParagraph"/>
        <w:numPr>
          <w:ilvl w:val="0"/>
          <w:numId w:val="208"/>
        </w:numPr>
      </w:pPr>
      <w:r>
        <w:t>c</w:t>
      </w:r>
      <w:r w:rsidRPr="00DA0B37">
        <w:t xml:space="preserve">ontinuous </w:t>
      </w:r>
      <w:r w:rsidR="00DA0B37" w:rsidRPr="00DA0B37">
        <w:t>measurement of salinity and temperature at eight stations</w:t>
      </w:r>
    </w:p>
    <w:p w14:paraId="6E343AA8" w14:textId="7CB86A7D" w:rsidR="00DA0B37" w:rsidRPr="00DA0B37" w:rsidRDefault="00347199" w:rsidP="00697912">
      <w:pPr>
        <w:pStyle w:val="ListParagraph"/>
        <w:numPr>
          <w:ilvl w:val="0"/>
          <w:numId w:val="208"/>
        </w:numPr>
      </w:pPr>
      <w:r>
        <w:t>c</w:t>
      </w:r>
      <w:r w:rsidRPr="00DA0B37">
        <w:t xml:space="preserve">ontinuous </w:t>
      </w:r>
      <w:r w:rsidR="00DA0B37" w:rsidRPr="00DA0B37">
        <w:t xml:space="preserve">measurement of </w:t>
      </w:r>
      <w:r w:rsidR="006B5965" w:rsidRPr="00DA0B37">
        <w:t>Chl</w:t>
      </w:r>
      <w:r w:rsidR="006B5965">
        <w:t>-</w:t>
      </w:r>
      <w:r w:rsidR="006B5965" w:rsidRPr="00697912">
        <w:rPr>
          <w:i/>
        </w:rPr>
        <w:t>a</w:t>
      </w:r>
      <w:r w:rsidR="00DA0B37" w:rsidRPr="00DA0B37">
        <w:t xml:space="preserve"> and turbidity at 15 stations</w:t>
      </w:r>
    </w:p>
    <w:p w14:paraId="64BB22AF" w14:textId="2C301568" w:rsidR="00DA0B37" w:rsidRPr="00DA0B37" w:rsidRDefault="004C10FF" w:rsidP="00697912">
      <w:pPr>
        <w:pStyle w:val="ListParagraph"/>
        <w:numPr>
          <w:ilvl w:val="0"/>
          <w:numId w:val="208"/>
        </w:numPr>
      </w:pPr>
      <w:r>
        <w:t>fifty-eight</w:t>
      </w:r>
      <w:r w:rsidR="00347199" w:rsidRPr="00DA0B37">
        <w:t xml:space="preserve"> </w:t>
      </w:r>
      <w:r w:rsidR="00DA0B37" w:rsidRPr="00DA0B37">
        <w:t>stations sampled during the year with more frequent sampling during the wet season</w:t>
      </w:r>
    </w:p>
    <w:p w14:paraId="7A2E83E3" w14:textId="59A99462" w:rsidR="00DA0B37" w:rsidRPr="00DA0B37" w:rsidRDefault="004C10FF" w:rsidP="00697912">
      <w:pPr>
        <w:pStyle w:val="ListParagraph"/>
        <w:numPr>
          <w:ilvl w:val="0"/>
          <w:numId w:val="208"/>
        </w:numPr>
      </w:pPr>
      <w:r>
        <w:t xml:space="preserve">a total of seventy-seven </w:t>
      </w:r>
      <w:r w:rsidR="00DA0B37" w:rsidRPr="00DA0B37">
        <w:t>stations sampled during high flow conditions (flood response)</w:t>
      </w:r>
      <w:r>
        <w:t xml:space="preserve"> including twenty-seven</w:t>
      </w:r>
      <w:r w:rsidRPr="00DA0B37">
        <w:t xml:space="preserve"> </w:t>
      </w:r>
      <w:r>
        <w:t>stations in addition to the routine stations</w:t>
      </w:r>
      <w:r w:rsidR="00DA0B37" w:rsidRPr="00DA0B37">
        <w:t>.</w:t>
      </w:r>
    </w:p>
    <w:p w14:paraId="79A9CE72" w14:textId="71173CC7" w:rsidR="00DA0B37" w:rsidRPr="00DA0B37" w:rsidRDefault="00DA0B37" w:rsidP="00697912">
      <w:r w:rsidRPr="00DA0B37">
        <w:t>Wet season water quality conditions and the movement of flood plumes is assessed using images from remote sensing (</w:t>
      </w:r>
      <w:r w:rsidR="00347199">
        <w:t>m</w:t>
      </w:r>
      <w:r w:rsidR="00347199" w:rsidRPr="00DA0B37">
        <w:t>oderate</w:t>
      </w:r>
      <w:r w:rsidRPr="00DA0B37">
        <w:t xml:space="preserve">-resolution </w:t>
      </w:r>
      <w:r w:rsidR="00347199">
        <w:t>i</w:t>
      </w:r>
      <w:r w:rsidR="00347199" w:rsidRPr="00DA0B37">
        <w:t xml:space="preserve">maging </w:t>
      </w:r>
      <w:r w:rsidR="00347199">
        <w:t>s</w:t>
      </w:r>
      <w:r w:rsidR="00347199" w:rsidRPr="00DA0B37">
        <w:t>pectroradiometer</w:t>
      </w:r>
      <w:r w:rsidRPr="00DA0B37">
        <w:t>, MODIS) imagery (see</w:t>
      </w:r>
      <w:r w:rsidR="007E3BE0">
        <w:t xml:space="preserve"> </w:t>
      </w:r>
      <w:r w:rsidR="004F5AE3">
        <w:t>Chapter</w:t>
      </w:r>
      <w:r w:rsidRPr="00DA0B37">
        <w:t xml:space="preserve"> </w:t>
      </w:r>
      <w:r w:rsidR="007E3BE0">
        <w:fldChar w:fldCharType="begin"/>
      </w:r>
      <w:r w:rsidR="007E3BE0">
        <w:instrText xml:space="preserve"> REF _Ref9503352 \r \h </w:instrText>
      </w:r>
      <w:r w:rsidR="00697912">
        <w:instrText xml:space="preserve"> \* MERGEFORMAT </w:instrText>
      </w:r>
      <w:r w:rsidR="007E3BE0">
        <w:fldChar w:fldCharType="separate"/>
      </w:r>
      <w:r w:rsidR="00D528AA">
        <w:t>3</w:t>
      </w:r>
      <w:r w:rsidR="007E3BE0">
        <w:fldChar w:fldCharType="end"/>
      </w:r>
      <w:r w:rsidRPr="00DA0B37">
        <w:t>).</w:t>
      </w:r>
    </w:p>
    <w:p w14:paraId="0261EB3F" w14:textId="77777777" w:rsidR="00C57B36" w:rsidRPr="0058370B" w:rsidRDefault="00C57B36" w:rsidP="00FE2F59">
      <w:pPr>
        <w:rPr>
          <w:rFonts w:cs="Arial"/>
        </w:rPr>
      </w:pPr>
      <w:r w:rsidRPr="0058370B">
        <w:rPr>
          <w:rFonts w:cs="Arial"/>
        </w:rPr>
        <w:t>Other techniques may be considered over the duration of the program, depending on relevance, feasibility and funding.</w:t>
      </w:r>
    </w:p>
    <w:p w14:paraId="018A7EDF" w14:textId="4C4A90FF" w:rsidR="001C6437" w:rsidRPr="0058370B" w:rsidRDefault="001C6437" w:rsidP="00374388">
      <w:pPr>
        <w:pStyle w:val="Heading2"/>
      </w:pPr>
      <w:bookmarkStart w:id="16" w:name="_Toc393784998"/>
      <w:bookmarkStart w:id="17" w:name="_Toc394061108"/>
      <w:bookmarkStart w:id="18" w:name="_Toc394061198"/>
      <w:bookmarkStart w:id="19" w:name="_Toc520727811"/>
      <w:bookmarkStart w:id="20" w:name="_Toc12365555"/>
      <w:r w:rsidRPr="0058370B">
        <w:t>Remote sensing of water quality</w:t>
      </w:r>
      <w:bookmarkEnd w:id="16"/>
      <w:bookmarkEnd w:id="17"/>
      <w:bookmarkEnd w:id="18"/>
      <w:bookmarkEnd w:id="19"/>
      <w:bookmarkEnd w:id="20"/>
      <w:r w:rsidR="003A1160" w:rsidRPr="0058370B">
        <w:t xml:space="preserve"> </w:t>
      </w:r>
    </w:p>
    <w:p w14:paraId="3931E038" w14:textId="59AE49B1" w:rsidR="007928A4" w:rsidRPr="0058370B" w:rsidRDefault="007928A4" w:rsidP="00FE2F59">
      <w:pPr>
        <w:jc w:val="both"/>
        <w:rPr>
          <w:rFonts w:cs="Arial"/>
        </w:rPr>
      </w:pPr>
      <w:r w:rsidRPr="0058370B">
        <w:rPr>
          <w:rFonts w:cs="Arial"/>
        </w:rPr>
        <w:t xml:space="preserve">The use of remotely-sensed data in combination with </w:t>
      </w:r>
      <w:r w:rsidRPr="007177E2">
        <w:rPr>
          <w:rFonts w:cs="Arial"/>
          <w:i/>
        </w:rPr>
        <w:t>in situ</w:t>
      </w:r>
      <w:r w:rsidRPr="0058370B">
        <w:rPr>
          <w:rFonts w:cs="Arial"/>
        </w:rPr>
        <w:t xml:space="preserve"> water quality measurements provides a powerful source of data in the </w:t>
      </w:r>
      <w:r w:rsidR="00DA0B37">
        <w:rPr>
          <w:rFonts w:cs="Arial"/>
        </w:rPr>
        <w:t>assessment</w:t>
      </w:r>
      <w:r w:rsidRPr="0058370B">
        <w:rPr>
          <w:rFonts w:cs="Arial"/>
        </w:rPr>
        <w:t xml:space="preserve"> of water quality across the </w:t>
      </w:r>
      <w:r w:rsidR="00BB69ED" w:rsidRPr="0058370B">
        <w:rPr>
          <w:rFonts w:cs="Arial"/>
        </w:rPr>
        <w:t>Reef</w:t>
      </w:r>
      <w:r w:rsidRPr="0058370B">
        <w:rPr>
          <w:rFonts w:cs="Arial"/>
        </w:rPr>
        <w:t xml:space="preserve">. Remote sensing studies using derived water quality level-2 products and quasi-true colour (hereafter true colour) satellite images have been </w:t>
      </w:r>
      <w:r w:rsidR="00EC4A1F">
        <w:rPr>
          <w:rFonts w:cs="Arial"/>
        </w:rPr>
        <w:t xml:space="preserve">used </w:t>
      </w:r>
      <w:r w:rsidRPr="0058370B">
        <w:rPr>
          <w:rFonts w:cs="Arial"/>
        </w:rPr>
        <w:t xml:space="preserve">to map and characterise the spatial and temporal distribution of river plumes and understand the impact of these river plumes on </w:t>
      </w:r>
      <w:r w:rsidR="00BB69ED" w:rsidRPr="0058370B">
        <w:rPr>
          <w:rFonts w:cs="Arial"/>
        </w:rPr>
        <w:t>Reef</w:t>
      </w:r>
      <w:r w:rsidRPr="0058370B">
        <w:rPr>
          <w:rFonts w:cs="Arial"/>
        </w:rPr>
        <w:t xml:space="preserve"> ecosystems.</w:t>
      </w:r>
    </w:p>
    <w:p w14:paraId="49739F73" w14:textId="4D557FA1" w:rsidR="00DA0B37" w:rsidRPr="00DA0B37" w:rsidRDefault="00DA0B37" w:rsidP="00DA0B37">
      <w:pPr>
        <w:rPr>
          <w:rFonts w:cs="Arial"/>
        </w:rPr>
      </w:pPr>
      <w:r w:rsidRPr="00DA0B37">
        <w:rPr>
          <w:rFonts w:cs="Arial"/>
        </w:rPr>
        <w:t xml:space="preserve">To define and map wet season conditions, and the movement, composition and frequency of occurrence of wet season water quality conditions across the Reef, current remote sensing methods based on the extraction and analysis of MODIS true colour data have been tested and </w:t>
      </w:r>
      <w:r w:rsidR="000C6A48">
        <w:rPr>
          <w:rFonts w:cs="Arial"/>
        </w:rPr>
        <w:t>are described more fully in</w:t>
      </w:r>
      <w:r w:rsidRPr="00DA0B37">
        <w:rPr>
          <w:rFonts w:cs="Arial"/>
        </w:rPr>
        <w:t xml:space="preserve"> </w:t>
      </w:r>
      <w:r w:rsidR="0026499F">
        <w:rPr>
          <w:rFonts w:cs="Arial"/>
        </w:rPr>
        <w:t>Chapter</w:t>
      </w:r>
      <w:r w:rsidR="0026499F" w:rsidRPr="00DA0B37">
        <w:rPr>
          <w:rFonts w:cs="Arial"/>
        </w:rPr>
        <w:t xml:space="preserve"> </w:t>
      </w:r>
      <w:r w:rsidRPr="00DA0B37">
        <w:rPr>
          <w:rFonts w:cs="Arial"/>
        </w:rPr>
        <w:fldChar w:fldCharType="begin"/>
      </w:r>
      <w:r w:rsidRPr="00DA0B37">
        <w:rPr>
          <w:rFonts w:cs="Arial"/>
        </w:rPr>
        <w:instrText xml:space="preserve"> REF _Ref516749375 \r \h </w:instrText>
      </w:r>
      <w:r w:rsidRPr="00DA0B37">
        <w:rPr>
          <w:rFonts w:cs="Arial"/>
        </w:rPr>
      </w:r>
      <w:r w:rsidRPr="00DA0B37">
        <w:rPr>
          <w:rFonts w:cs="Arial"/>
        </w:rPr>
        <w:fldChar w:fldCharType="separate"/>
      </w:r>
      <w:r w:rsidR="00D528AA">
        <w:rPr>
          <w:rFonts w:cs="Arial"/>
        </w:rPr>
        <w:t>3</w:t>
      </w:r>
      <w:r w:rsidRPr="00DA0B37">
        <w:rPr>
          <w:rFonts w:cs="Arial"/>
        </w:rPr>
        <w:fldChar w:fldCharType="end"/>
      </w:r>
      <w:r w:rsidR="000C6A48">
        <w:rPr>
          <w:rFonts w:cs="Arial"/>
        </w:rPr>
        <w:t>.</w:t>
      </w:r>
    </w:p>
    <w:p w14:paraId="0C8DDB34" w14:textId="77777777" w:rsidR="004040CF" w:rsidRDefault="00DA0B37" w:rsidP="00DA0B37">
      <w:pPr>
        <w:rPr>
          <w:rFonts w:cs="Arial"/>
        </w:rPr>
      </w:pPr>
      <w:r w:rsidRPr="00DA0B37">
        <w:rPr>
          <w:rFonts w:cs="Arial"/>
        </w:rPr>
        <w:t>To illustrate wet season marine conditions and identify where seagrass and coral reefs may be at risk, several satellite-derived products from MODIS satellite imagery are produced. These include weekly panel maps of environmental and marine wet season conditions, frequency maps of occurrence of wet season water types</w:t>
      </w:r>
      <w:r w:rsidR="00BB0E2B">
        <w:rPr>
          <w:rFonts w:cs="Arial"/>
        </w:rPr>
        <w:t xml:space="preserve"> and</w:t>
      </w:r>
      <w:r w:rsidRPr="00DA0B37">
        <w:rPr>
          <w:rFonts w:cs="Arial"/>
        </w:rPr>
        <w:t xml:space="preserve"> exposure maps, as well as the extraction of the area (km</w:t>
      </w:r>
      <w:r w:rsidRPr="00DA0B37">
        <w:rPr>
          <w:rFonts w:cs="Arial"/>
          <w:vertAlign w:val="superscript"/>
        </w:rPr>
        <w:t>2</w:t>
      </w:r>
      <w:r w:rsidRPr="00DA0B37">
        <w:rPr>
          <w:rFonts w:cs="Arial"/>
        </w:rPr>
        <w:t xml:space="preserve">) and percentage (%) of coral reefs and seagrass meadows affected by different categories of exposure (or potential risk). </w:t>
      </w:r>
    </w:p>
    <w:p w14:paraId="73B8E713" w14:textId="391F03DA" w:rsidR="00DA0B37" w:rsidRDefault="00DA0B37" w:rsidP="00DA0B37">
      <w:pPr>
        <w:rPr>
          <w:rFonts w:cs="Arial"/>
        </w:rPr>
      </w:pPr>
      <w:r w:rsidRPr="00DA0B37">
        <w:rPr>
          <w:rFonts w:cs="Arial"/>
        </w:rPr>
        <w:t xml:space="preserve">A more detailed description of methodologies is provided in </w:t>
      </w:r>
      <w:r w:rsidR="00BB0E2B">
        <w:rPr>
          <w:rFonts w:cs="Arial"/>
        </w:rPr>
        <w:t>Chapter</w:t>
      </w:r>
      <w:r w:rsidR="00BB0E2B" w:rsidRPr="00DA0B37">
        <w:rPr>
          <w:rFonts w:cs="Arial"/>
        </w:rPr>
        <w:t xml:space="preserve"> </w:t>
      </w:r>
      <w:r w:rsidRPr="00DA0B37">
        <w:rPr>
          <w:rFonts w:cs="Arial"/>
        </w:rPr>
        <w:fldChar w:fldCharType="begin"/>
      </w:r>
      <w:r w:rsidRPr="00DA0B37">
        <w:rPr>
          <w:rFonts w:cs="Arial"/>
        </w:rPr>
        <w:instrText xml:space="preserve"> REF _Ref516749375 \r \h </w:instrText>
      </w:r>
      <w:r w:rsidRPr="00DA0B37">
        <w:rPr>
          <w:rFonts w:cs="Arial"/>
        </w:rPr>
      </w:r>
      <w:r w:rsidRPr="00DA0B37">
        <w:rPr>
          <w:rFonts w:cs="Arial"/>
        </w:rPr>
        <w:fldChar w:fldCharType="separate"/>
      </w:r>
      <w:r w:rsidR="00D528AA">
        <w:rPr>
          <w:rFonts w:cs="Arial"/>
        </w:rPr>
        <w:t>3</w:t>
      </w:r>
      <w:r w:rsidRPr="00DA0B37">
        <w:rPr>
          <w:rFonts w:cs="Arial"/>
        </w:rPr>
        <w:fldChar w:fldCharType="end"/>
      </w:r>
      <w:r w:rsidRPr="00DA0B37">
        <w:rPr>
          <w:rFonts w:cs="Arial"/>
        </w:rPr>
        <w:t xml:space="preserve">. </w:t>
      </w:r>
    </w:p>
    <w:p w14:paraId="1785BE1D" w14:textId="21238B2F" w:rsidR="001C6437" w:rsidRDefault="00DA0B37" w:rsidP="00374388">
      <w:pPr>
        <w:pStyle w:val="Heading2"/>
      </w:pPr>
      <w:bookmarkStart w:id="21" w:name="_Toc520727812"/>
      <w:bookmarkStart w:id="22" w:name="_Toc12365556"/>
      <w:r>
        <w:t>Pesticide monitoring</w:t>
      </w:r>
      <w:bookmarkEnd w:id="21"/>
      <w:bookmarkEnd w:id="22"/>
    </w:p>
    <w:p w14:paraId="00DB1BE8" w14:textId="03B4CE54" w:rsidR="00DA0B37" w:rsidRDefault="00DA0B37" w:rsidP="000C6A48">
      <w:r w:rsidRPr="0058370B">
        <w:t xml:space="preserve">The off-site transport of pesticides from land-based applications has been considered a potential risk to the Reef. Of particular concern is the potential for compounding effects that these chemicals have on the health of the inshore reef ecosystem, especially when delivered with other water quality pollutants during flood events (this project is also linked to flood plume monitoring and the collection of water samples directly from research vessels, </w:t>
      </w:r>
      <w:r w:rsidR="00416D70">
        <w:t>S</w:t>
      </w:r>
      <w:r w:rsidRPr="0058370B">
        <w:t>ection</w:t>
      </w:r>
      <w:r w:rsidR="00416D70">
        <w:t xml:space="preserve"> </w:t>
      </w:r>
      <w:r w:rsidR="00740B55">
        <w:fldChar w:fldCharType="begin"/>
      </w:r>
      <w:r w:rsidR="00740B55">
        <w:instrText xml:space="preserve"> REF _Ref4570326 \r </w:instrText>
      </w:r>
      <w:r w:rsidR="00740B55">
        <w:fldChar w:fldCharType="separate"/>
      </w:r>
      <w:r w:rsidR="00D528AA">
        <w:t>2</w:t>
      </w:r>
      <w:r w:rsidR="00740B55">
        <w:fldChar w:fldCharType="end"/>
      </w:r>
      <w:r w:rsidRPr="0058370B">
        <w:t>).</w:t>
      </w:r>
    </w:p>
    <w:p w14:paraId="70CA3DB0" w14:textId="071BB5B6" w:rsidR="00DA0B37" w:rsidRPr="0058370B" w:rsidRDefault="00DA0B37" w:rsidP="000C6A48">
      <w:pPr>
        <w:rPr>
          <w:rFonts w:eastAsia="SimSun"/>
          <w:lang w:eastAsia="zh-CN"/>
        </w:rPr>
      </w:pPr>
      <w:r w:rsidRPr="0058370B">
        <w:t>Passive samplers are used to measure the concentration of pesticides in the water column integrated over time by accumulating chemicals via passive diffusion</w:t>
      </w:r>
      <w:r w:rsidR="00195A4A">
        <w:t xml:space="preserve"> </w:t>
      </w:r>
      <w:r w:rsidRPr="0058370B">
        <w:t xml:space="preserve">. </w:t>
      </w:r>
      <w:r w:rsidR="00BB0E2B">
        <w:t>The m</w:t>
      </w:r>
      <w:r w:rsidRPr="0058370B">
        <w:t xml:space="preserve">onitoring of specific pesticides during flood events and throughout the year is essential to evaluate </w:t>
      </w:r>
      <w:r w:rsidRPr="0058370B">
        <w:rPr>
          <w:rFonts w:eastAsia="SimSun"/>
          <w:lang w:eastAsia="zh-CN"/>
        </w:rPr>
        <w:t>long-term trends in pesticide concentrations along inshore waters of the Reef. Key points include:</w:t>
      </w:r>
    </w:p>
    <w:p w14:paraId="19AD81CD" w14:textId="3AF299A2" w:rsidR="00DA0B37" w:rsidRPr="00FE2F59" w:rsidRDefault="0026499F" w:rsidP="006C7E99">
      <w:pPr>
        <w:pStyle w:val="ListParagraph"/>
        <w:numPr>
          <w:ilvl w:val="0"/>
          <w:numId w:val="15"/>
        </w:numPr>
      </w:pPr>
      <w:r>
        <w:t>p</w:t>
      </w:r>
      <w:r w:rsidRPr="00FE2F59">
        <w:t xml:space="preserve">esticide </w:t>
      </w:r>
      <w:r w:rsidR="00DA0B37" w:rsidRPr="00FE2F59">
        <w:t xml:space="preserve">concentrations are measured with passive samplers at selected sites </w:t>
      </w:r>
      <w:r w:rsidR="00DA0B37" w:rsidRPr="003F6206">
        <w:t>(</w:t>
      </w:r>
      <w:r w:rsidR="00DA0B37">
        <w:t xml:space="preserve">continuous sampling has occurred at </w:t>
      </w:r>
      <w:r w:rsidR="00BB0E2B">
        <w:t xml:space="preserve">11 </w:t>
      </w:r>
      <w:r w:rsidR="00DA0B37">
        <w:t>sites since 2014-15</w:t>
      </w:r>
      <w:r w:rsidR="00DA0B37" w:rsidRPr="003F6206">
        <w:t xml:space="preserve">) </w:t>
      </w:r>
      <w:r w:rsidR="00DA0B37" w:rsidRPr="00FE2F59">
        <w:t xml:space="preserve">at monthly intervals </w:t>
      </w:r>
      <w:r w:rsidR="00BB0E2B">
        <w:t>during</w:t>
      </w:r>
      <w:r w:rsidR="00BB0E2B" w:rsidRPr="00FE2F59">
        <w:t xml:space="preserve"> </w:t>
      </w:r>
      <w:r w:rsidR="00DA0B37" w:rsidRPr="00FE2F59">
        <w:t xml:space="preserve">the wet season and bi-monthly intervals </w:t>
      </w:r>
      <w:r w:rsidR="00BB0E2B">
        <w:t>during</w:t>
      </w:r>
      <w:r w:rsidR="00BB0E2B" w:rsidRPr="00FE2F59">
        <w:t xml:space="preserve"> </w:t>
      </w:r>
      <w:r w:rsidR="00DA0B37" w:rsidRPr="00FE2F59">
        <w:t>the dry season</w:t>
      </w:r>
    </w:p>
    <w:p w14:paraId="3059540A" w14:textId="3FA14F2F" w:rsidR="00DA0B37" w:rsidRDefault="0026499F" w:rsidP="006C7E99">
      <w:pPr>
        <w:pStyle w:val="ListParagraph"/>
        <w:numPr>
          <w:ilvl w:val="0"/>
          <w:numId w:val="15"/>
        </w:numPr>
      </w:pPr>
      <w:r>
        <w:t>p</w:t>
      </w:r>
      <w:r w:rsidRPr="00FE2F59">
        <w:t xml:space="preserve">esticide </w:t>
      </w:r>
      <w:r w:rsidR="00DA0B37" w:rsidRPr="00FE2F59">
        <w:t xml:space="preserve">concentrations are assessed against </w:t>
      </w:r>
      <w:r w:rsidR="00DA0B37">
        <w:t>relevant</w:t>
      </w:r>
      <w:r w:rsidR="00DA0B37" w:rsidRPr="003F6206">
        <w:t xml:space="preserve"> Guidelines</w:t>
      </w:r>
      <w:r w:rsidR="00F7176D">
        <w:t xml:space="preserve"> </w:t>
      </w:r>
      <w:r w:rsidR="009B6C43">
        <w:fldChar w:fldCharType="begin">
          <w:fldData xml:space="preserve">PEVuZE5vdGU+PENpdGU+PEF1dGhvcj5HcmVhdCBCYXJyaWVyIFJlZWYgTWFyaW5lIFBhcmsgQXV0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</w:fldData>
        </w:fldChar>
      </w:r>
      <w:r w:rsidR="009B6C43">
        <w:instrText xml:space="preserve"> ADDIN EN.CITE </w:instrText>
      </w:r>
      <w:r w:rsidR="009B6C43">
        <w:fldChar w:fldCharType="begin">
          <w:fldData xml:space="preserve">PEVuZE5vdGU+PENpdGU+PEF1dGhvcj5HcmVhdCBCYXJyaWVyIFJlZWYgTWFyaW5lIFBhcmsgQXV0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</w:fldData>
        </w:fldChar>
      </w:r>
      <w:r w:rsidR="009B6C43">
        <w:instrText xml:space="preserve"> ADDIN EN.CITE.DATA </w:instrText>
      </w:r>
      <w:r w:rsidR="009B6C43">
        <w:fldChar w:fldCharType="end"/>
      </w:r>
      <w:r w:rsidR="009B6C43">
        <w:fldChar w:fldCharType="separate"/>
      </w:r>
      <w:r w:rsidR="009B6C43">
        <w:rPr>
          <w:noProof/>
        </w:rPr>
        <w:t>(Australian and New Zealand Environment and Conservation Council (ANZECC) and Agriculture and Resource Management Council of Australia and New Zealand (ARMCANZ), 2000; Great Barrier Reef Marine Park Authority, 2010)</w:t>
      </w:r>
      <w:r w:rsidR="009B6C43">
        <w:fldChar w:fldCharType="end"/>
      </w:r>
      <w:r w:rsidR="00F44CF9">
        <w:t>,</w:t>
      </w:r>
      <w:r w:rsidR="00DA0B37">
        <w:t xml:space="preserve"> note that new pesticide guideline values are currently being endorsed for incorporation into the </w:t>
      </w:r>
      <w:r w:rsidR="00DA0B37" w:rsidRPr="004013F9">
        <w:t>ANZECC and ARMCANZ</w:t>
      </w:r>
      <w:r w:rsidR="00DA0B37">
        <w:t xml:space="preserve"> fresh and marine water guidelines </w:t>
      </w:r>
      <w:r w:rsidR="00DA0B37" w:rsidRPr="00FE2F59">
        <w:t>and reported as categories of sub-lethal stress defined by the published literature and taking into account mixtures of herbicides that affect photosynthesis</w:t>
      </w:r>
    </w:p>
    <w:p w14:paraId="6DF9D0CE" w14:textId="73C51821" w:rsidR="00DA0B37" w:rsidRPr="0054111B" w:rsidRDefault="0026499F" w:rsidP="006C7E99">
      <w:pPr>
        <w:pStyle w:val="ListParagraph"/>
        <w:numPr>
          <w:ilvl w:val="0"/>
          <w:numId w:val="15"/>
        </w:numPr>
      </w:pPr>
      <w:r>
        <w:t>t</w:t>
      </w:r>
      <w:r w:rsidRPr="009E123A">
        <w:t xml:space="preserve">he </w:t>
      </w:r>
      <w:r w:rsidR="00DA0B37" w:rsidRPr="009E123A">
        <w:t>continual refinement of techniques that allow a more sensitive, time-integrated and relevant approach for monitoring pollutant concentrations in the lagoon and assessment of potential effects that these pollutants may have on key biota.</w:t>
      </w:r>
    </w:p>
    <w:p w14:paraId="23CC727D" w14:textId="2AB645E2" w:rsidR="00DA0B37" w:rsidRPr="005668F9" w:rsidRDefault="00DA0B37" w:rsidP="00374388">
      <w:pPr>
        <w:pStyle w:val="Heading2"/>
      </w:pPr>
      <w:bookmarkStart w:id="23" w:name="_Toc520727813"/>
      <w:bookmarkStart w:id="24" w:name="_Toc12365557"/>
      <w:r w:rsidRPr="005668F9">
        <w:t>Inshore seagrass monitoring</w:t>
      </w:r>
      <w:bookmarkEnd w:id="23"/>
      <w:bookmarkEnd w:id="24"/>
    </w:p>
    <w:p w14:paraId="7550DE6D" w14:textId="6C010D55" w:rsidR="00AA65AE" w:rsidRPr="0058370B" w:rsidRDefault="00AA65AE" w:rsidP="00FE2F59">
      <w:pPr>
        <w:rPr>
          <w:rFonts w:cs="Arial"/>
        </w:rPr>
      </w:pPr>
      <w:r w:rsidRPr="0058370B">
        <w:rPr>
          <w:rFonts w:cs="Arial"/>
        </w:rPr>
        <w:t>Seagrasses are an important component of the marine ecosystem of the Reef. They form highly productive habitats that provide nursery grounds for many marine and estuarine species</w:t>
      </w:r>
      <w:r w:rsidR="00AC29DD" w:rsidRPr="0058370B">
        <w:rPr>
          <w:rFonts w:cs="Arial"/>
        </w:rPr>
        <w:t>.</w:t>
      </w:r>
      <w:r w:rsidR="003F6206">
        <w:rPr>
          <w:rFonts w:cs="Arial"/>
        </w:rPr>
        <w:t xml:space="preserve"> </w:t>
      </w:r>
      <w:r w:rsidRPr="0058370B">
        <w:rPr>
          <w:rFonts w:cs="Arial"/>
        </w:rPr>
        <w:t>Monitoring temporal and spatial variation in the status of in</w:t>
      </w:r>
      <w:r w:rsidR="00E16704" w:rsidRPr="0058370B">
        <w:rPr>
          <w:rFonts w:cs="Arial"/>
        </w:rPr>
        <w:t xml:space="preserve">shore </w:t>
      </w:r>
      <w:r w:rsidRPr="0058370B">
        <w:rPr>
          <w:rFonts w:cs="Arial"/>
        </w:rPr>
        <w:t xml:space="preserve">seagrass meadows in relation to changes in local water quality is essential in evaluating long-term ecosystem health. The seagrass monitoring project is closely linked to the </w:t>
      </w:r>
      <w:r w:rsidR="00D02A05">
        <w:rPr>
          <w:rFonts w:cs="Arial"/>
        </w:rPr>
        <w:t xml:space="preserve">global </w:t>
      </w:r>
      <w:r w:rsidRPr="0058370B">
        <w:rPr>
          <w:rFonts w:cs="Arial"/>
        </w:rPr>
        <w:t>Seagrass-Watch monitoring program (</w:t>
      </w:r>
      <w:hyperlink r:id="rId28" w:tooltip="More information on seagrass watch" w:history="1">
        <w:r w:rsidRPr="0058370B">
          <w:rPr>
            <w:rStyle w:val="Hyperlink"/>
            <w:rFonts w:cs="Arial"/>
          </w:rPr>
          <w:t>http://www.seagrasswatch.org/home.html</w:t>
        </w:r>
      </w:hyperlink>
      <w:r w:rsidRPr="0058370B">
        <w:rPr>
          <w:rFonts w:cs="Arial"/>
        </w:rPr>
        <w:t>).</w:t>
      </w:r>
    </w:p>
    <w:p w14:paraId="41BDD6CC" w14:textId="77777777" w:rsidR="00D02A05" w:rsidRPr="0058370B" w:rsidRDefault="00D02A05" w:rsidP="00D02A05">
      <w:pPr>
        <w:rPr>
          <w:rFonts w:cs="Arial"/>
        </w:rPr>
      </w:pPr>
      <w:bookmarkStart w:id="25" w:name="_Toc393785001"/>
      <w:bookmarkStart w:id="26" w:name="_Toc394061111"/>
      <w:bookmarkStart w:id="27" w:name="_Toc394061201"/>
      <w:bookmarkStart w:id="28" w:name="_Toc520727814"/>
      <w:r w:rsidRPr="0058370B">
        <w:rPr>
          <w:rFonts w:cs="Arial"/>
        </w:rPr>
        <w:t xml:space="preserve">Monitoring includes seagrass </w:t>
      </w:r>
      <w:r>
        <w:rPr>
          <w:rFonts w:cs="Arial"/>
        </w:rPr>
        <w:t>abundance</w:t>
      </w:r>
      <w:r w:rsidRPr="0058370B">
        <w:rPr>
          <w:rFonts w:cs="Arial"/>
        </w:rPr>
        <w:t xml:space="preserve"> (%</w:t>
      </w:r>
      <w:r>
        <w:rPr>
          <w:rFonts w:cs="Arial"/>
        </w:rPr>
        <w:t xml:space="preserve"> cover</w:t>
      </w:r>
      <w:r w:rsidRPr="0058370B">
        <w:rPr>
          <w:rFonts w:cs="Arial"/>
        </w:rPr>
        <w:t xml:space="preserve">) and species composition, macroalgal cover, epiphyte cover, canopy height, mapping of the meadow </w:t>
      </w:r>
      <w:r>
        <w:rPr>
          <w:rFonts w:cs="Arial"/>
        </w:rPr>
        <w:t>landscape (extent)</w:t>
      </w:r>
      <w:r w:rsidRPr="0058370B">
        <w:rPr>
          <w:rFonts w:cs="Arial"/>
        </w:rPr>
        <w:t xml:space="preserve"> and assessment of seagrass reproductive effort, which provide an indication of the capacity for meadows to regenerate following disturbances and changed environmental conditions. Tissue nutrient composition is assessed in the laboratory as an indicator of potential nutrient enrichment. Key points include:</w:t>
      </w:r>
    </w:p>
    <w:p w14:paraId="2AE61CC3" w14:textId="6F70255F" w:rsidR="00D02A05" w:rsidRDefault="00D02A05" w:rsidP="00D02A05">
      <w:pPr>
        <w:pStyle w:val="ListParagraph"/>
        <w:numPr>
          <w:ilvl w:val="0"/>
          <w:numId w:val="14"/>
        </w:numPr>
        <w:rPr>
          <w:rFonts w:cs="Arial"/>
        </w:rPr>
      </w:pPr>
      <w:r>
        <w:rPr>
          <w:rFonts w:cs="Arial"/>
        </w:rPr>
        <w:t>m</w:t>
      </w:r>
      <w:r w:rsidRPr="00FE2F59">
        <w:rPr>
          <w:rFonts w:cs="Arial"/>
        </w:rPr>
        <w:t>onitoring occurs at 4</w:t>
      </w:r>
      <w:r>
        <w:rPr>
          <w:rFonts w:cs="Arial"/>
        </w:rPr>
        <w:t>7</w:t>
      </w:r>
      <w:r w:rsidRPr="00FE2F59">
        <w:rPr>
          <w:rFonts w:cs="Arial"/>
        </w:rPr>
        <w:t xml:space="preserve"> sites across 2</w:t>
      </w:r>
      <w:r>
        <w:rPr>
          <w:rFonts w:cs="Arial"/>
        </w:rPr>
        <w:t>3</w:t>
      </w:r>
      <w:r w:rsidRPr="00FE2F59">
        <w:rPr>
          <w:rFonts w:cs="Arial"/>
        </w:rPr>
        <w:t xml:space="preserve"> locations, including 1</w:t>
      </w:r>
      <w:r>
        <w:rPr>
          <w:rFonts w:cs="Arial"/>
        </w:rPr>
        <w:t>3</w:t>
      </w:r>
      <w:r w:rsidRPr="00FE2F59">
        <w:rPr>
          <w:rFonts w:cs="Arial"/>
        </w:rPr>
        <w:t xml:space="preserve"> nearshore (estuarine</w:t>
      </w:r>
      <w:r>
        <w:rPr>
          <w:rFonts w:cs="Arial"/>
        </w:rPr>
        <w:t>,</w:t>
      </w:r>
      <w:r w:rsidRPr="00FE2F59">
        <w:rPr>
          <w:rFonts w:cs="Arial"/>
        </w:rPr>
        <w:t xml:space="preserve"> coastal and</w:t>
      </w:r>
      <w:r w:rsidR="00CB4154">
        <w:rPr>
          <w:rFonts w:cs="Arial"/>
        </w:rPr>
        <w:t xml:space="preserve"> </w:t>
      </w:r>
      <w:r>
        <w:rPr>
          <w:rFonts w:cs="Arial"/>
        </w:rPr>
        <w:t>fringing reef</w:t>
      </w:r>
      <w:r w:rsidRPr="00FE2F59">
        <w:rPr>
          <w:rFonts w:cs="Arial"/>
        </w:rPr>
        <w:t xml:space="preserve">) and nine offshore reef locations. </w:t>
      </w:r>
    </w:p>
    <w:p w14:paraId="58EA37B6" w14:textId="77777777" w:rsidR="00D02A05" w:rsidRPr="00FE2F59" w:rsidRDefault="00D02A05" w:rsidP="00D02A05">
      <w:pPr>
        <w:pStyle w:val="ListParagraph"/>
        <w:numPr>
          <w:ilvl w:val="0"/>
          <w:numId w:val="14"/>
        </w:numPr>
        <w:rPr>
          <w:rFonts w:cs="Arial"/>
        </w:rPr>
      </w:pPr>
      <w:r>
        <w:rPr>
          <w:rFonts w:cs="Arial"/>
        </w:rPr>
        <w:t>m</w:t>
      </w:r>
      <w:r w:rsidRPr="00FE2F59">
        <w:rPr>
          <w:rFonts w:cs="Arial"/>
        </w:rPr>
        <w:t xml:space="preserve">onitoring is conducted </w:t>
      </w:r>
      <w:r>
        <w:rPr>
          <w:rFonts w:cs="Arial"/>
        </w:rPr>
        <w:t>during</w:t>
      </w:r>
      <w:r w:rsidRPr="00FE2F59">
        <w:rPr>
          <w:rFonts w:cs="Arial"/>
        </w:rPr>
        <w:t xml:space="preserve"> the late</w:t>
      </w:r>
      <w:r>
        <w:rPr>
          <w:rFonts w:cs="Arial"/>
        </w:rPr>
        <w:t>-</w:t>
      </w:r>
      <w:r w:rsidRPr="00FE2F59">
        <w:rPr>
          <w:rFonts w:cs="Arial"/>
        </w:rPr>
        <w:t>dry</w:t>
      </w:r>
      <w:r>
        <w:rPr>
          <w:rFonts w:cs="Arial"/>
        </w:rPr>
        <w:t xml:space="preserve"> </w:t>
      </w:r>
      <w:r w:rsidRPr="00FE2F59">
        <w:rPr>
          <w:rFonts w:cs="Arial"/>
        </w:rPr>
        <w:t>season and post</w:t>
      </w:r>
      <w:r>
        <w:rPr>
          <w:rFonts w:cs="Arial"/>
        </w:rPr>
        <w:t>-</w:t>
      </w:r>
      <w:r w:rsidRPr="00FE2F59">
        <w:rPr>
          <w:rFonts w:cs="Arial"/>
        </w:rPr>
        <w:t>wet</w:t>
      </w:r>
      <w:r>
        <w:rPr>
          <w:rFonts w:cs="Arial"/>
        </w:rPr>
        <w:t xml:space="preserve"> </w:t>
      </w:r>
      <w:r w:rsidRPr="00FE2F59">
        <w:rPr>
          <w:rFonts w:cs="Arial"/>
        </w:rPr>
        <w:t xml:space="preserve">season; </w:t>
      </w:r>
      <w:r>
        <w:rPr>
          <w:rFonts w:cs="Arial"/>
        </w:rPr>
        <w:t>extra</w:t>
      </w:r>
      <w:r w:rsidRPr="00FE2F59">
        <w:rPr>
          <w:rFonts w:cs="Arial"/>
        </w:rPr>
        <w:t xml:space="preserve"> sampling is conducted at more accessible locations in the dry and monsoon</w:t>
      </w:r>
      <w:r>
        <w:rPr>
          <w:rFonts w:cs="Arial"/>
        </w:rPr>
        <w:t xml:space="preserve"> seasons</w:t>
      </w:r>
    </w:p>
    <w:p w14:paraId="2C6816E9" w14:textId="77777777" w:rsidR="00D02A05" w:rsidRDefault="00D02A05" w:rsidP="00D02A05">
      <w:pPr>
        <w:pStyle w:val="ListParagraph"/>
        <w:numPr>
          <w:ilvl w:val="0"/>
          <w:numId w:val="53"/>
        </w:numPr>
        <w:rPr>
          <w:rFonts w:cs="Arial"/>
        </w:rPr>
      </w:pPr>
      <w:r>
        <w:rPr>
          <w:rFonts w:cs="Arial"/>
        </w:rPr>
        <w:t>m</w:t>
      </w:r>
      <w:r w:rsidRPr="00FE2F59">
        <w:rPr>
          <w:rFonts w:cs="Arial"/>
        </w:rPr>
        <w:t xml:space="preserve">onitoring includes </w:t>
      </w:r>
      <w:r w:rsidRPr="00FE2F59">
        <w:rPr>
          <w:rFonts w:cs="Arial"/>
          <w:i/>
        </w:rPr>
        <w:t>in situ</w:t>
      </w:r>
      <w:r w:rsidRPr="00FE2F59">
        <w:rPr>
          <w:rFonts w:cs="Arial"/>
        </w:rPr>
        <w:t xml:space="preserve"> within canopy temperature and light levels</w:t>
      </w:r>
      <w:r w:rsidRPr="00A53C5B">
        <w:rPr>
          <w:rFonts w:cs="Arial"/>
        </w:rPr>
        <w:t xml:space="preserve"> </w:t>
      </w:r>
    </w:p>
    <w:p w14:paraId="3043C1A9" w14:textId="77777777" w:rsidR="00D02A05" w:rsidRPr="005668F9" w:rsidRDefault="00D02A05" w:rsidP="00D02A05">
      <w:pPr>
        <w:pStyle w:val="ListParagraph"/>
        <w:numPr>
          <w:ilvl w:val="0"/>
          <w:numId w:val="53"/>
        </w:numPr>
        <w:rPr>
          <w:rFonts w:cs="Arial"/>
        </w:rPr>
      </w:pPr>
      <w:r>
        <w:rPr>
          <w:rFonts w:cs="Arial"/>
        </w:rPr>
        <w:t>data is also collected annually from an additional 16 sites across nine locations by Seagrass-Watch (intertidal) and Queensland Parks and Wildlife Service (QPWS; subtidal drop-camera) during the late-dry season.</w:t>
      </w:r>
    </w:p>
    <w:p w14:paraId="5354CA3C" w14:textId="0FD0B932" w:rsidR="001C6437" w:rsidRPr="0058370B" w:rsidRDefault="001C6437" w:rsidP="00374388">
      <w:pPr>
        <w:pStyle w:val="Heading2"/>
        <w:rPr>
          <w:rFonts w:eastAsia="MS Mincho"/>
        </w:rPr>
      </w:pPr>
      <w:bookmarkStart w:id="29" w:name="_Toc12365558"/>
      <w:r w:rsidRPr="0058370B">
        <w:rPr>
          <w:rFonts w:eastAsia="MS Mincho"/>
        </w:rPr>
        <w:t>Inshore coral monitoring</w:t>
      </w:r>
      <w:bookmarkEnd w:id="25"/>
      <w:bookmarkEnd w:id="26"/>
      <w:bookmarkEnd w:id="27"/>
      <w:bookmarkEnd w:id="28"/>
      <w:bookmarkEnd w:id="29"/>
    </w:p>
    <w:p w14:paraId="76DF31D7" w14:textId="4AF67CFF" w:rsidR="00AA65AE" w:rsidRPr="0058370B" w:rsidRDefault="00AC29DD" w:rsidP="00FE2F59">
      <w:pPr>
        <w:rPr>
          <w:rFonts w:cs="Arial"/>
        </w:rPr>
      </w:pPr>
      <w:r w:rsidRPr="0058370B">
        <w:rPr>
          <w:rFonts w:cs="Arial"/>
        </w:rPr>
        <w:t>Coral r</w:t>
      </w:r>
      <w:r w:rsidR="00AA65AE" w:rsidRPr="0058370B">
        <w:rPr>
          <w:rFonts w:cs="Arial"/>
        </w:rPr>
        <w:t>eefs</w:t>
      </w:r>
      <w:r w:rsidR="005E37CE" w:rsidRPr="0058370B">
        <w:rPr>
          <w:rFonts w:cs="Arial"/>
        </w:rPr>
        <w:t xml:space="preserve"> in inshore areas of</w:t>
      </w:r>
      <w:r w:rsidR="00AA65AE" w:rsidRPr="0058370B">
        <w:rPr>
          <w:rFonts w:cs="Arial"/>
        </w:rPr>
        <w:t xml:space="preserve"> the Reef are frequently exposed to run</w:t>
      </w:r>
      <w:r w:rsidR="00BC49A8">
        <w:rPr>
          <w:rFonts w:cs="Arial"/>
        </w:rPr>
        <w:t>-</w:t>
      </w:r>
      <w:r w:rsidR="00AA65AE" w:rsidRPr="0058370B">
        <w:rPr>
          <w:rFonts w:cs="Arial"/>
        </w:rPr>
        <w:t>off</w:t>
      </w:r>
      <w:r w:rsidR="009B6C43">
        <w:rPr>
          <w:rFonts w:cs="Arial"/>
        </w:rPr>
        <w:t xml:space="preserve"> </w:t>
      </w:r>
      <w:r w:rsidR="009B6C43">
        <w:rPr>
          <w:rFonts w:cs="Arial"/>
        </w:rPr>
        <w:fldChar w:fldCharType="begin"/>
      </w:r>
      <w:r w:rsidR="00662E0E">
        <w:rPr>
          <w:rFonts w:cs="Arial"/>
        </w:rPr>
        <w:instrText xml:space="preserve"> ADDIN EN.CITE &lt;EndNote&gt;&lt;Cite&gt;&lt;Author&gt;Schaffelke&lt;/Author&gt;&lt;Year&gt;2012&lt;/Year&gt;&lt;RecNum&gt;1082&lt;/RecNum&gt;&lt;DisplayText&gt;(Schaffelke et al., 2012)&lt;/DisplayText&gt;&lt;record&gt;&lt;rec-number&gt;1082&lt;/rec-number&gt;&lt;foreign-keys&gt;&lt;key app="EN" db-id="zapfddtwo2e9z5e5vxoxafs7sf59wfp52rvf" timestamp="1486963738"&gt;1082&lt;/key&gt;&lt;/foreign-keys&gt;&lt;ref-type name="Journal Article"&gt;17&lt;/ref-type&gt;&lt;contributors&gt;&lt;authors&gt;&lt;author&gt;Schaffelke, Britta&lt;/author&gt;&lt;author&gt;Carleton, John&lt;/author&gt;&lt;author&gt;Skuza, Michele&lt;/author&gt;&lt;author&gt;Zagorskis, Irena&lt;/author&gt;&lt;author&gt;Furnas, Miles J.&lt;/author&gt;&lt;/authors&gt;&lt;/contributors&gt;&lt;titles&gt;&lt;title&gt;Water quality in the inshore Great Barrier Reef lagoon: Implications for long-term monitoring and management&lt;/title&gt;&lt;secondary-title&gt;Marine Pollution Bulletin&lt;/secondary-title&gt;&lt;/titles&gt;&lt;periodical&gt;&lt;full-title&gt;Marine Pollution Bulletin&lt;/full-title&gt;&lt;abbr-1&gt;Mar. Pollut. Bull.&lt;/abbr-1&gt;&lt;/periodical&gt;&lt;pages&gt;249-260&lt;/pages&gt;&lt;volume&gt;65&lt;/volume&gt;&lt;number&gt;4–9&lt;/number&gt;&lt;keywords&gt;&lt;keyword&gt;Great Barrier Reef&lt;/keyword&gt;&lt;keyword&gt;Water quality&lt;/keyword&gt;&lt;keyword&gt;Monitoring&lt;/keyword&gt;&lt;keyword&gt;Nutrients&lt;/keyword&gt;&lt;keyword&gt;Chlorophyll&lt;/keyword&gt;&lt;keyword&gt;Turbidity&lt;/keyword&gt;&lt;/keywords&gt;&lt;dates&gt;&lt;year&gt;2012&lt;/year&gt;&lt;/dates&gt;&lt;isbn&gt;0025-326X&lt;/isbn&gt;&lt;urls&gt;&lt;related-urls&gt;&lt;url&gt;http://www.sciencedirect.com/science/article/pii/S0025326X11005716&lt;/url&gt;&lt;/related-urls&gt;&lt;/urls&gt;&lt;electronic-resource-num&gt;http://dx.doi.org/10.1016/j.marpolbul.2011.10.031&lt;/electronic-resource-num&gt;&lt;/record&gt;&lt;/Cite&gt;&lt;/EndNote&gt;</w:instrText>
      </w:r>
      <w:r w:rsidR="009B6C43">
        <w:rPr>
          <w:rFonts w:cs="Arial"/>
        </w:rPr>
        <w:fldChar w:fldCharType="separate"/>
      </w:r>
      <w:r w:rsidR="00662E0E">
        <w:rPr>
          <w:rFonts w:cs="Arial"/>
          <w:noProof/>
        </w:rPr>
        <w:t>(Schaffelke et al., 2012)</w:t>
      </w:r>
      <w:r w:rsidR="009B6C43">
        <w:rPr>
          <w:rFonts w:cs="Arial"/>
        </w:rPr>
        <w:fldChar w:fldCharType="end"/>
      </w:r>
      <w:r w:rsidR="003F6206">
        <w:rPr>
          <w:rFonts w:cs="Arial"/>
        </w:rPr>
        <w:t>.</w:t>
      </w:r>
      <w:r w:rsidR="00851E17">
        <w:rPr>
          <w:rFonts w:cs="Arial"/>
        </w:rPr>
        <w:t xml:space="preserve"> </w:t>
      </w:r>
      <w:r w:rsidR="00AA65AE" w:rsidRPr="0058370B">
        <w:rPr>
          <w:rFonts w:cs="Arial"/>
        </w:rPr>
        <w:t xml:space="preserve">Monitoring </w:t>
      </w:r>
      <w:r w:rsidR="003F6206">
        <w:rPr>
          <w:rFonts w:cs="Arial"/>
        </w:rPr>
        <w:t>temporal and spatial variation o</w:t>
      </w:r>
      <w:r w:rsidR="00AA65AE" w:rsidRPr="0058370B">
        <w:rPr>
          <w:rFonts w:cs="Arial"/>
        </w:rPr>
        <w:t xml:space="preserve">n the status of inshore coral reef communities in relation to changes in local water quality is essential in evaluating long-term ecosystem health. </w:t>
      </w:r>
    </w:p>
    <w:p w14:paraId="6B880156" w14:textId="5252E2B8" w:rsidR="00851E17" w:rsidRPr="00A64BC2" w:rsidRDefault="00851E17" w:rsidP="00FE2F59">
      <w:pPr>
        <w:rPr>
          <w:rFonts w:cs="Arial"/>
          <w:bCs/>
        </w:rPr>
      </w:pPr>
      <w:r w:rsidRPr="00A64BC2">
        <w:rPr>
          <w:rFonts w:cs="Arial"/>
          <w:bCs/>
        </w:rPr>
        <w:t xml:space="preserve">Monitoring covers a comprehensive set of community attributes including the assessment of hard and soft coral cover, </w:t>
      </w:r>
      <w:r w:rsidR="00593055" w:rsidRPr="00A64BC2">
        <w:rPr>
          <w:rFonts w:cs="Arial"/>
          <w:bCs/>
        </w:rPr>
        <w:t>macroalga</w:t>
      </w:r>
      <w:r w:rsidR="00593055">
        <w:rPr>
          <w:rFonts w:cs="Arial"/>
          <w:bCs/>
        </w:rPr>
        <w:t>l</w:t>
      </w:r>
      <w:r w:rsidR="00593055" w:rsidRPr="00A64BC2">
        <w:rPr>
          <w:rFonts w:cs="Arial"/>
          <w:bCs/>
        </w:rPr>
        <w:t xml:space="preserve"> </w:t>
      </w:r>
      <w:r w:rsidRPr="00A64BC2">
        <w:rPr>
          <w:rFonts w:cs="Arial"/>
          <w:bCs/>
        </w:rPr>
        <w:t>cover, density of juvenile hard coral colonies, hard coral community composition and the rate of change in coral cover as an indication of the recovery potential of the reef following a disturbance</w:t>
      </w:r>
      <w:r w:rsidR="009B6C43">
        <w:rPr>
          <w:rFonts w:cs="Arial"/>
          <w:bCs/>
        </w:rPr>
        <w:t xml:space="preserve"> </w:t>
      </w:r>
      <w:r w:rsidR="009B6C43">
        <w:rPr>
          <w:rFonts w:cs="Arial"/>
          <w:bCs/>
        </w:rPr>
        <w:fldChar w:fldCharType="begin"/>
      </w:r>
      <w:r w:rsidR="00142FBE">
        <w:rPr>
          <w:rFonts w:cs="Arial"/>
          <w:bCs/>
        </w:rPr>
        <w:instrText xml:space="preserve"> ADDIN EN.CITE &lt;EndNote&gt;&lt;Cite&gt;&lt;Author&gt;Thompson&lt;/Author&gt;&lt;Year&gt;2010&lt;/Year&gt;&lt;RecNum&gt;1295&lt;/RecNum&gt;&lt;DisplayText&gt;(A. A. Thompson &amp;amp; Dolman, 2010)&lt;/DisplayText&gt;&lt;record&gt;&lt;rec-number&gt;1295&lt;/rec-number&gt;&lt;foreign-keys&gt;&lt;key app="EN" db-id="zapfddtwo2e9z5e5vxoxafs7sf59wfp52rvf" timestamp="1558670583"&gt;1295&lt;/key&gt;&lt;/foreign-keys&gt;&lt;ref-type name="Journal Article"&gt;17&lt;/ref-type&gt;&lt;contributors&gt;&lt;authors&gt;&lt;author&gt;Thompson, A. A.&lt;/author&gt;&lt;author&gt;Dolman, A. M.&lt;/author&gt;&lt;/authors&gt;&lt;/contributors&gt;&lt;titles&gt;&lt;title&gt;Coral bleaching: one disturbance too many for near-shore reefs of the Great Barrier Reef&lt;/title&gt;&lt;secondary-title&gt;Coral Reefs&lt;/secondary-title&gt;&lt;/titles&gt;&lt;periodical&gt;&lt;full-title&gt;Coral Reefs&lt;/full-title&gt;&lt;abbr-1&gt;Coral Reefs&lt;/abbr-1&gt;&lt;/periodical&gt;&lt;pages&gt;637-648&lt;/pages&gt;&lt;volume&gt;29&lt;/volume&gt;&lt;number&gt;3&lt;/number&gt;&lt;dates&gt;&lt;year&gt;2010&lt;/year&gt;&lt;pub-dates&gt;&lt;date&gt;September 01&lt;/date&gt;&lt;/pub-dates&gt;&lt;/dates&gt;&lt;isbn&gt;1432-0975&lt;/isbn&gt;&lt;label&gt;Thompson2010&lt;/label&gt;&lt;work-type&gt;journal article&lt;/work-type&gt;&lt;urls&gt;&lt;related-urls&gt;&lt;url&gt;https://doi.org/10.1007/s00338-009-0562-0&lt;/url&gt;&lt;/related-urls&gt;&lt;/urls&gt;&lt;electronic-resource-num&gt;10.1007/s00338-009-0562-0&lt;/electronic-resource-num&gt;&lt;/record&gt;&lt;/Cite&gt;&lt;/EndNote&gt;</w:instrText>
      </w:r>
      <w:r w:rsidR="009B6C43">
        <w:rPr>
          <w:rFonts w:cs="Arial"/>
          <w:bCs/>
        </w:rPr>
        <w:fldChar w:fldCharType="separate"/>
      </w:r>
      <w:r w:rsidR="00142FBE">
        <w:rPr>
          <w:rFonts w:cs="Arial"/>
          <w:bCs/>
          <w:noProof/>
        </w:rPr>
        <w:t>(A. A. Thompson &amp; Dolman, 2010)</w:t>
      </w:r>
      <w:r w:rsidR="009B6C43">
        <w:rPr>
          <w:rFonts w:cs="Arial"/>
          <w:bCs/>
        </w:rPr>
        <w:fldChar w:fldCharType="end"/>
      </w:r>
      <w:r w:rsidRPr="00A64BC2">
        <w:rPr>
          <w:rFonts w:cs="Arial"/>
          <w:bCs/>
        </w:rPr>
        <w:t xml:space="preserve">. </w:t>
      </w:r>
      <w:r w:rsidR="009B6C43">
        <w:rPr>
          <w:rFonts w:cs="Arial"/>
          <w:bCs/>
        </w:rPr>
        <w:t xml:space="preserve"> </w:t>
      </w:r>
      <w:r w:rsidRPr="00A64BC2">
        <w:rPr>
          <w:rFonts w:cs="Arial"/>
          <w:bCs/>
        </w:rPr>
        <w:t>In addition, the incidence of ongoing coral mortality is recorded and</w:t>
      </w:r>
      <w:r w:rsidR="00292049">
        <w:rPr>
          <w:rFonts w:cs="Arial"/>
          <w:bCs/>
        </w:rPr>
        <w:t>,</w:t>
      </w:r>
      <w:r w:rsidRPr="00A64BC2">
        <w:rPr>
          <w:rFonts w:cs="Arial"/>
          <w:bCs/>
        </w:rPr>
        <w:t xml:space="preserve"> where possible</w:t>
      </w:r>
      <w:r w:rsidR="00292049">
        <w:rPr>
          <w:rFonts w:cs="Arial"/>
          <w:bCs/>
        </w:rPr>
        <w:t>,</w:t>
      </w:r>
      <w:r w:rsidRPr="00A64BC2">
        <w:rPr>
          <w:rFonts w:cs="Arial"/>
          <w:bCs/>
        </w:rPr>
        <w:t xml:space="preserve"> attributed to the causative agent. Comprehensive water quality measurements are also collected at many of the coral reef sites (this project is linked to </w:t>
      </w:r>
      <w:r w:rsidRPr="00A64BC2">
        <w:rPr>
          <w:rFonts w:cs="Arial"/>
        </w:rPr>
        <w:t xml:space="preserve">inshore water quality monitoring, </w:t>
      </w:r>
      <w:r w:rsidR="009B6C43">
        <w:rPr>
          <w:rFonts w:cs="Arial"/>
        </w:rPr>
        <w:t>Chapter</w:t>
      </w:r>
      <w:r w:rsidRPr="00A64BC2">
        <w:rPr>
          <w:rFonts w:cs="Arial"/>
          <w:bCs/>
        </w:rPr>
        <w:t xml:space="preserve"> </w:t>
      </w:r>
      <w:r w:rsidR="009B6C43">
        <w:rPr>
          <w:rFonts w:cs="Arial"/>
          <w:bCs/>
        </w:rPr>
        <w:fldChar w:fldCharType="begin"/>
      </w:r>
      <w:r w:rsidR="009B6C43">
        <w:rPr>
          <w:rFonts w:cs="Arial"/>
          <w:bCs/>
        </w:rPr>
        <w:instrText xml:space="preserve"> REF _Ref9599209 \r \h </w:instrText>
      </w:r>
      <w:r w:rsidR="009B6C43">
        <w:rPr>
          <w:rFonts w:cs="Arial"/>
          <w:bCs/>
        </w:rPr>
      </w:r>
      <w:r w:rsidR="009B6C43">
        <w:rPr>
          <w:rFonts w:cs="Arial"/>
          <w:bCs/>
        </w:rPr>
        <w:fldChar w:fldCharType="separate"/>
      </w:r>
      <w:r w:rsidR="00D528AA">
        <w:rPr>
          <w:rFonts w:cs="Arial"/>
          <w:bCs/>
        </w:rPr>
        <w:t>2</w:t>
      </w:r>
      <w:r w:rsidR="009B6C43">
        <w:rPr>
          <w:rFonts w:cs="Arial"/>
          <w:bCs/>
        </w:rPr>
        <w:fldChar w:fldCharType="end"/>
      </w:r>
      <w:r w:rsidRPr="00A64BC2">
        <w:rPr>
          <w:rFonts w:cs="Arial"/>
          <w:bCs/>
        </w:rPr>
        <w:t>). Key points include:</w:t>
      </w:r>
    </w:p>
    <w:p w14:paraId="71DA23F9" w14:textId="7E28D8D8" w:rsidR="00593055" w:rsidRPr="00593055" w:rsidRDefault="00593055" w:rsidP="006C7E99">
      <w:pPr>
        <w:pStyle w:val="ListParagraph"/>
        <w:numPr>
          <w:ilvl w:val="0"/>
          <w:numId w:val="13"/>
        </w:numPr>
        <w:rPr>
          <w:rFonts w:cs="Arial"/>
        </w:rPr>
      </w:pPr>
      <w:r>
        <w:rPr>
          <w:rFonts w:cs="Arial"/>
          <w:bCs/>
        </w:rPr>
        <w:t>r</w:t>
      </w:r>
      <w:r w:rsidRPr="00FE2F59">
        <w:rPr>
          <w:rFonts w:cs="Arial"/>
          <w:bCs/>
        </w:rPr>
        <w:t xml:space="preserve">eefs </w:t>
      </w:r>
      <w:r w:rsidR="00851E17" w:rsidRPr="00FE2F59">
        <w:rPr>
          <w:rFonts w:cs="Arial"/>
          <w:bCs/>
        </w:rPr>
        <w:t xml:space="preserve">are monitored </w:t>
      </w:r>
      <w:r w:rsidR="000F4667" w:rsidRPr="00FE2F59">
        <w:rPr>
          <w:rFonts w:cs="Arial"/>
          <w:bCs/>
        </w:rPr>
        <w:t>biennially</w:t>
      </w:r>
      <w:r w:rsidR="00851E17" w:rsidRPr="00FE2F59">
        <w:rPr>
          <w:rFonts w:cs="Arial"/>
          <w:bCs/>
        </w:rPr>
        <w:t xml:space="preserve"> at 31 inshore coral reefs i</w:t>
      </w:r>
      <w:r w:rsidR="00851E17" w:rsidRPr="00FE2F59">
        <w:rPr>
          <w:rFonts w:cs="Arial"/>
        </w:rPr>
        <w:t>n the Wet Tropics, Burdekin, Mackay Whitsunday and Fitzroy regions along</w:t>
      </w:r>
      <w:r w:rsidR="00851E17" w:rsidRPr="00FE2F59">
        <w:rPr>
          <w:rFonts w:cs="Arial"/>
          <w:bCs/>
        </w:rPr>
        <w:t xml:space="preserve"> gradients of exposure to run</w:t>
      </w:r>
      <w:r w:rsidR="00BC49A8">
        <w:rPr>
          <w:rFonts w:cs="Arial"/>
          <w:bCs/>
        </w:rPr>
        <w:t>-</w:t>
      </w:r>
      <w:r w:rsidR="00851E17" w:rsidRPr="00FE2F59">
        <w:rPr>
          <w:rFonts w:cs="Arial"/>
          <w:bCs/>
        </w:rPr>
        <w:t>off from regionally important rivers</w:t>
      </w:r>
    </w:p>
    <w:p w14:paraId="5BA82060" w14:textId="429F8602" w:rsidR="00851E17" w:rsidRPr="00FE2F59" w:rsidRDefault="00593055" w:rsidP="006C7E99">
      <w:pPr>
        <w:pStyle w:val="ListParagraph"/>
        <w:numPr>
          <w:ilvl w:val="0"/>
          <w:numId w:val="13"/>
        </w:numPr>
        <w:rPr>
          <w:rFonts w:cs="Arial"/>
        </w:rPr>
      </w:pPr>
      <w:r>
        <w:rPr>
          <w:rFonts w:cs="Arial"/>
        </w:rPr>
        <w:t>a</w:t>
      </w:r>
      <w:r w:rsidRPr="00FE2F59">
        <w:rPr>
          <w:rFonts w:cs="Arial"/>
        </w:rPr>
        <w:t xml:space="preserve">t </w:t>
      </w:r>
      <w:r w:rsidR="00851E17" w:rsidRPr="00FE2F59">
        <w:rPr>
          <w:rFonts w:cs="Arial"/>
        </w:rPr>
        <w:t>each reef, two sites are monitored at two depths (</w:t>
      </w:r>
      <w:r w:rsidR="00292049">
        <w:rPr>
          <w:rFonts w:cs="Arial"/>
        </w:rPr>
        <w:t xml:space="preserve">two metres </w:t>
      </w:r>
      <w:r w:rsidR="00851E17" w:rsidRPr="00FE2F59">
        <w:rPr>
          <w:rFonts w:cs="Arial"/>
        </w:rPr>
        <w:t xml:space="preserve">and </w:t>
      </w:r>
      <w:r w:rsidR="00292049">
        <w:rPr>
          <w:rFonts w:cs="Arial"/>
        </w:rPr>
        <w:t>five metres</w:t>
      </w:r>
      <w:r w:rsidR="00851E17" w:rsidRPr="00FE2F59">
        <w:rPr>
          <w:rFonts w:cs="Arial"/>
        </w:rPr>
        <w:t>) across five replicate transects</w:t>
      </w:r>
    </w:p>
    <w:p w14:paraId="5BEEDE83" w14:textId="5D44B6F7" w:rsidR="002211B0" w:rsidRPr="00A64BC2" w:rsidRDefault="00593055" w:rsidP="006C7E99">
      <w:pPr>
        <w:pStyle w:val="ListParagraph"/>
        <w:numPr>
          <w:ilvl w:val="0"/>
          <w:numId w:val="55"/>
        </w:numPr>
        <w:rPr>
          <w:rFonts w:cs="Arial"/>
        </w:rPr>
      </w:pPr>
      <w:bookmarkStart w:id="30" w:name="_Toc393785002"/>
      <w:bookmarkStart w:id="31" w:name="_Toc394061112"/>
      <w:bookmarkStart w:id="32" w:name="_Toc394061202"/>
      <w:r>
        <w:rPr>
          <w:rFonts w:cs="Arial"/>
        </w:rPr>
        <w:t>i</w:t>
      </w:r>
      <w:r w:rsidRPr="00A64BC2">
        <w:rPr>
          <w:rFonts w:cs="Arial"/>
        </w:rPr>
        <w:t xml:space="preserve">n </w:t>
      </w:r>
      <w:r w:rsidR="002211B0" w:rsidRPr="00A64BC2">
        <w:rPr>
          <w:rFonts w:cs="Arial"/>
        </w:rPr>
        <w:t xml:space="preserve">addition to the monitoring of benthic community attributes, </w:t>
      </w:r>
      <w:r>
        <w:rPr>
          <w:rFonts w:cs="Arial"/>
        </w:rPr>
        <w:t xml:space="preserve">the measurement of </w:t>
      </w:r>
      <w:r w:rsidR="002211B0" w:rsidRPr="00A64BC2">
        <w:rPr>
          <w:rFonts w:cs="Arial"/>
        </w:rPr>
        <w:t xml:space="preserve">sea temperature as </w:t>
      </w:r>
      <w:r w:rsidR="002211B0">
        <w:rPr>
          <w:rFonts w:cs="Arial"/>
        </w:rPr>
        <w:t xml:space="preserve">an </w:t>
      </w:r>
      <w:r w:rsidR="002211B0" w:rsidRPr="00A64BC2">
        <w:rPr>
          <w:rFonts w:cs="Arial"/>
        </w:rPr>
        <w:t xml:space="preserve">indicator of </w:t>
      </w:r>
      <w:r w:rsidR="002211B0">
        <w:rPr>
          <w:rFonts w:cs="Arial"/>
        </w:rPr>
        <w:t xml:space="preserve">thermal </w:t>
      </w:r>
      <w:r w:rsidR="00C04FE0">
        <w:rPr>
          <w:rFonts w:cs="Arial"/>
        </w:rPr>
        <w:t>stress</w:t>
      </w:r>
      <w:r>
        <w:rPr>
          <w:rFonts w:cs="Arial"/>
        </w:rPr>
        <w:t xml:space="preserve"> is included</w:t>
      </w:r>
      <w:r w:rsidR="00C04FE0">
        <w:rPr>
          <w:rFonts w:cs="Arial"/>
        </w:rPr>
        <w:t>.</w:t>
      </w:r>
    </w:p>
    <w:p w14:paraId="75DB270C" w14:textId="2A7ABAE4" w:rsidR="00AA65AE" w:rsidRPr="0058370B" w:rsidRDefault="00AA65AE" w:rsidP="00374388">
      <w:pPr>
        <w:pStyle w:val="Heading2"/>
        <w:rPr>
          <w:rFonts w:eastAsia="MS Mincho"/>
        </w:rPr>
      </w:pPr>
      <w:bookmarkStart w:id="33" w:name="_Toc520727815"/>
      <w:bookmarkStart w:id="34" w:name="_Toc12365559"/>
      <w:r w:rsidRPr="0058370B">
        <w:rPr>
          <w:rFonts w:eastAsia="MS Mincho"/>
        </w:rPr>
        <w:t>Synthesis of data and integration</w:t>
      </w:r>
      <w:bookmarkEnd w:id="30"/>
      <w:bookmarkEnd w:id="31"/>
      <w:bookmarkEnd w:id="32"/>
      <w:bookmarkEnd w:id="33"/>
      <w:bookmarkEnd w:id="34"/>
    </w:p>
    <w:p w14:paraId="7375E0EE" w14:textId="20B67EC3" w:rsidR="00AA65AE" w:rsidRPr="0058370B" w:rsidRDefault="00AA65AE" w:rsidP="00FE2F59">
      <w:pPr>
        <w:rPr>
          <w:rFonts w:cs="Arial"/>
        </w:rPr>
      </w:pPr>
      <w:r w:rsidRPr="0058370B">
        <w:rPr>
          <w:rFonts w:cs="Arial"/>
        </w:rPr>
        <w:t xml:space="preserve">A comprehensive list of water quality and ecosystem health indicators are measured under the </w:t>
      </w:r>
      <w:r w:rsidR="005700B3" w:rsidRPr="0058370B">
        <w:rPr>
          <w:rFonts w:cs="Arial"/>
        </w:rPr>
        <w:t>MMP</w:t>
      </w:r>
      <w:r w:rsidRPr="0058370B">
        <w:rPr>
          <w:rFonts w:cs="Arial"/>
        </w:rPr>
        <w:t xml:space="preserve"> and a sub-set of these </w:t>
      </w:r>
      <w:r w:rsidR="00D50A08">
        <w:rPr>
          <w:rFonts w:cs="Arial"/>
        </w:rPr>
        <w:t>are</w:t>
      </w:r>
      <w:r w:rsidRPr="0058370B">
        <w:rPr>
          <w:rFonts w:cs="Arial"/>
        </w:rPr>
        <w:t xml:space="preserve"> selected to calculate </w:t>
      </w:r>
      <w:r w:rsidR="00D75A73">
        <w:rPr>
          <w:rFonts w:cs="Arial"/>
        </w:rPr>
        <w:t>w</w:t>
      </w:r>
      <w:r w:rsidRPr="0058370B">
        <w:rPr>
          <w:rFonts w:cs="Arial"/>
        </w:rPr>
        <w:t xml:space="preserve">ater quality, </w:t>
      </w:r>
      <w:r w:rsidR="00D75A73">
        <w:rPr>
          <w:rFonts w:cs="Arial"/>
        </w:rPr>
        <w:t>s</w:t>
      </w:r>
      <w:r w:rsidRPr="0058370B">
        <w:rPr>
          <w:rFonts w:cs="Arial"/>
        </w:rPr>
        <w:t xml:space="preserve">eagrass and </w:t>
      </w:r>
      <w:r w:rsidR="00D75A73">
        <w:rPr>
          <w:rFonts w:cs="Arial"/>
        </w:rPr>
        <w:t>c</w:t>
      </w:r>
      <w:r w:rsidRPr="0058370B">
        <w:rPr>
          <w:rFonts w:cs="Arial"/>
        </w:rPr>
        <w:t xml:space="preserve">oral scores for the </w:t>
      </w:r>
      <w:r w:rsidR="00DA0B37">
        <w:rPr>
          <w:rFonts w:cs="Arial"/>
        </w:rPr>
        <w:t xml:space="preserve">Great Barrier Reef </w:t>
      </w:r>
      <w:r w:rsidRPr="0058370B">
        <w:rPr>
          <w:rFonts w:cs="Arial"/>
        </w:rPr>
        <w:t>Report Card</w:t>
      </w:r>
      <w:r w:rsidR="00DA5EC0">
        <w:rPr>
          <w:rFonts w:cs="Arial"/>
        </w:rPr>
        <w:t xml:space="preserve">. </w:t>
      </w:r>
      <w:r w:rsidRPr="0058370B">
        <w:rPr>
          <w:rFonts w:cs="Arial"/>
        </w:rPr>
        <w:t xml:space="preserve">These scores </w:t>
      </w:r>
      <w:r w:rsidR="005E37CE" w:rsidRPr="0058370B">
        <w:rPr>
          <w:rFonts w:cs="Arial"/>
        </w:rPr>
        <w:t>are</w:t>
      </w:r>
      <w:r w:rsidRPr="0058370B">
        <w:rPr>
          <w:rFonts w:cs="Arial"/>
        </w:rPr>
        <w:t xml:space="preserve"> expressed on a </w:t>
      </w:r>
      <w:r w:rsidR="00C04FE0" w:rsidRPr="0058370B">
        <w:rPr>
          <w:rFonts w:cs="Arial"/>
        </w:rPr>
        <w:t>five-point</w:t>
      </w:r>
      <w:r w:rsidRPr="0058370B">
        <w:rPr>
          <w:rFonts w:cs="Arial"/>
        </w:rPr>
        <w:t xml:space="preserve"> scale using a common colour scheme and integrated into an overall score that describes the status of the Reef and each region, where</w:t>
      </w:r>
      <w:r w:rsidR="00DA5EC0">
        <w:rPr>
          <w:rFonts w:cs="Arial"/>
        </w:rPr>
        <w:t xml:space="preserve"> scores of</w:t>
      </w:r>
      <w:r w:rsidRPr="0058370B">
        <w:rPr>
          <w:rFonts w:cs="Arial"/>
        </w:rPr>
        <w:t xml:space="preserve">: </w:t>
      </w:r>
    </w:p>
    <w:p w14:paraId="0C43081F" w14:textId="5A2161FA" w:rsidR="00AA65AE" w:rsidRPr="00FE2F59" w:rsidRDefault="00AA65AE" w:rsidP="006C7E99">
      <w:pPr>
        <w:pStyle w:val="ListParagraph"/>
        <w:numPr>
          <w:ilvl w:val="0"/>
          <w:numId w:val="12"/>
        </w:numPr>
        <w:rPr>
          <w:rFonts w:cs="Arial"/>
        </w:rPr>
      </w:pPr>
      <w:r w:rsidRPr="00FE2F59">
        <w:rPr>
          <w:rFonts w:cs="Arial"/>
        </w:rPr>
        <w:t>0</w:t>
      </w:r>
      <w:r w:rsidR="00292049">
        <w:rPr>
          <w:rFonts w:cs="Arial"/>
        </w:rPr>
        <w:t>–</w:t>
      </w:r>
      <w:r w:rsidRPr="00FE2F59">
        <w:rPr>
          <w:rFonts w:cs="Arial"/>
        </w:rPr>
        <w:t xml:space="preserve">20 per cent </w:t>
      </w:r>
      <w:r w:rsidR="00292049">
        <w:rPr>
          <w:rFonts w:cs="Arial"/>
        </w:rPr>
        <w:t>are</w:t>
      </w:r>
      <w:r w:rsidR="00292049" w:rsidRPr="00FE2F59">
        <w:rPr>
          <w:rFonts w:cs="Arial"/>
        </w:rPr>
        <w:t xml:space="preserve"> </w:t>
      </w:r>
      <w:r w:rsidRPr="00FE2F59">
        <w:rPr>
          <w:rFonts w:cs="Arial"/>
        </w:rPr>
        <w:t>assessed as ‘very poor’ and coloured red</w:t>
      </w:r>
    </w:p>
    <w:p w14:paraId="029B31E8" w14:textId="3FCE33A6" w:rsidR="00AA65AE" w:rsidRPr="00FE2F59" w:rsidRDefault="00AA65AE" w:rsidP="006C7E99">
      <w:pPr>
        <w:pStyle w:val="ListParagraph"/>
        <w:numPr>
          <w:ilvl w:val="0"/>
          <w:numId w:val="12"/>
        </w:numPr>
        <w:rPr>
          <w:rFonts w:cs="Arial"/>
        </w:rPr>
      </w:pPr>
      <w:r w:rsidRPr="00FE2F59">
        <w:rPr>
          <w:rFonts w:cs="Arial"/>
        </w:rPr>
        <w:t>2</w:t>
      </w:r>
      <w:r w:rsidR="00664214" w:rsidRPr="00FE2F59">
        <w:rPr>
          <w:rFonts w:cs="Arial"/>
        </w:rPr>
        <w:t>1</w:t>
      </w:r>
      <w:r w:rsidR="00292049">
        <w:rPr>
          <w:rFonts w:cs="Arial"/>
        </w:rPr>
        <w:t>–</w:t>
      </w:r>
      <w:r w:rsidRPr="00FE2F59">
        <w:rPr>
          <w:rFonts w:cs="Arial"/>
        </w:rPr>
        <w:t>40 per cent equates to ‘poor’ and coloured orange</w:t>
      </w:r>
    </w:p>
    <w:p w14:paraId="16D63DF1" w14:textId="7185CA68" w:rsidR="00AA65AE" w:rsidRPr="00FE2F59" w:rsidRDefault="00AA65AE" w:rsidP="006C7E99">
      <w:pPr>
        <w:pStyle w:val="ListParagraph"/>
        <w:numPr>
          <w:ilvl w:val="0"/>
          <w:numId w:val="12"/>
        </w:numPr>
        <w:rPr>
          <w:rFonts w:cs="Arial"/>
        </w:rPr>
      </w:pPr>
      <w:r w:rsidRPr="00FE2F59">
        <w:rPr>
          <w:rFonts w:cs="Arial"/>
        </w:rPr>
        <w:t>4</w:t>
      </w:r>
      <w:r w:rsidR="00664214" w:rsidRPr="00FE2F59">
        <w:rPr>
          <w:rFonts w:cs="Arial"/>
        </w:rPr>
        <w:t>1</w:t>
      </w:r>
      <w:r w:rsidR="00292049">
        <w:rPr>
          <w:rFonts w:cs="Arial"/>
        </w:rPr>
        <w:t>–</w:t>
      </w:r>
      <w:r w:rsidRPr="00FE2F59">
        <w:rPr>
          <w:rFonts w:cs="Arial"/>
        </w:rPr>
        <w:t>60 per cent equates to ‘moderate’ and coloured yellow</w:t>
      </w:r>
    </w:p>
    <w:p w14:paraId="341303EC" w14:textId="4E22EFD9" w:rsidR="00AA65AE" w:rsidRPr="00FE2F59" w:rsidRDefault="00AA65AE" w:rsidP="006C7E99">
      <w:pPr>
        <w:pStyle w:val="ListParagraph"/>
        <w:numPr>
          <w:ilvl w:val="0"/>
          <w:numId w:val="12"/>
        </w:numPr>
        <w:rPr>
          <w:rFonts w:cs="Arial"/>
        </w:rPr>
      </w:pPr>
      <w:r w:rsidRPr="00FE2F59">
        <w:rPr>
          <w:rFonts w:cs="Arial"/>
        </w:rPr>
        <w:t>6</w:t>
      </w:r>
      <w:r w:rsidR="00664214" w:rsidRPr="00FE2F59">
        <w:rPr>
          <w:rFonts w:cs="Arial"/>
        </w:rPr>
        <w:t>1</w:t>
      </w:r>
      <w:r w:rsidR="00292049">
        <w:rPr>
          <w:rFonts w:cs="Arial"/>
        </w:rPr>
        <w:t>–</w:t>
      </w:r>
      <w:r w:rsidRPr="00FE2F59">
        <w:rPr>
          <w:rFonts w:cs="Arial"/>
        </w:rPr>
        <w:t>80 per cent equates to ‘good’, and coloured light green</w:t>
      </w:r>
    </w:p>
    <w:p w14:paraId="588A3625" w14:textId="2D584049" w:rsidR="00AA65AE" w:rsidRPr="00FE2F59" w:rsidRDefault="00002A7B" w:rsidP="006C7E99">
      <w:pPr>
        <w:pStyle w:val="ListParagraph"/>
        <w:numPr>
          <w:ilvl w:val="0"/>
          <w:numId w:val="12"/>
        </w:numPr>
        <w:rPr>
          <w:rFonts w:cs="Arial"/>
        </w:rPr>
      </w:pPr>
      <w:r w:rsidRPr="00FE2F59">
        <w:rPr>
          <w:rFonts w:cs="Arial"/>
        </w:rPr>
        <w:t>≥</w:t>
      </w:r>
      <w:r w:rsidR="00AA65AE" w:rsidRPr="00FE2F59">
        <w:rPr>
          <w:rFonts w:cs="Arial"/>
        </w:rPr>
        <w:t>8</w:t>
      </w:r>
      <w:r w:rsidR="00664214" w:rsidRPr="00FE2F59">
        <w:rPr>
          <w:rFonts w:cs="Arial"/>
        </w:rPr>
        <w:t>1</w:t>
      </w:r>
      <w:r w:rsidR="00AA65AE" w:rsidRPr="00FE2F59">
        <w:rPr>
          <w:rFonts w:cs="Arial"/>
        </w:rPr>
        <w:t xml:space="preserve"> per cent </w:t>
      </w:r>
      <w:r w:rsidR="00292049">
        <w:rPr>
          <w:rFonts w:cs="Arial"/>
        </w:rPr>
        <w:t>are</w:t>
      </w:r>
      <w:r w:rsidR="00292049" w:rsidRPr="00FE2F59">
        <w:rPr>
          <w:rFonts w:cs="Arial"/>
        </w:rPr>
        <w:t xml:space="preserve"> </w:t>
      </w:r>
      <w:r w:rsidR="00AA65AE" w:rsidRPr="00FE2F59">
        <w:rPr>
          <w:rFonts w:cs="Arial"/>
        </w:rPr>
        <w:t>assessed as ‘very good’ and coloured dark green.</w:t>
      </w:r>
    </w:p>
    <w:p w14:paraId="494C193C" w14:textId="77777777" w:rsidR="0083579F" w:rsidRDefault="00AA65AE" w:rsidP="00FE2F59">
      <w:pPr>
        <w:rPr>
          <w:rFonts w:cs="Arial"/>
        </w:rPr>
      </w:pPr>
      <w:r w:rsidRPr="0058370B">
        <w:rPr>
          <w:rFonts w:cs="Arial"/>
        </w:rPr>
        <w:t>More deta</w:t>
      </w:r>
      <w:r w:rsidR="0083579F">
        <w:rPr>
          <w:rFonts w:cs="Arial"/>
        </w:rPr>
        <w:t xml:space="preserve">iled information on the methods </w:t>
      </w:r>
      <w:r w:rsidRPr="0058370B">
        <w:rPr>
          <w:rFonts w:cs="Arial"/>
        </w:rPr>
        <w:t xml:space="preserve">is available from </w:t>
      </w:r>
      <w:hyperlink r:id="rId29" w:history="1">
        <w:r w:rsidR="0083579F" w:rsidRPr="00AC358D">
          <w:rPr>
            <w:rStyle w:val="Hyperlink"/>
            <w:rFonts w:cs="Arial"/>
          </w:rPr>
          <w:t>https://www.reefplan.qld.gov.au/measuring-success/methods/</w:t>
        </w:r>
      </w:hyperlink>
      <w:r w:rsidR="0083579F">
        <w:rPr>
          <w:rFonts w:cs="Arial"/>
        </w:rPr>
        <w:t>.</w:t>
      </w:r>
    </w:p>
    <w:p w14:paraId="0770ECF0" w14:textId="2EF704D9" w:rsidR="001C6437" w:rsidRPr="0058370B" w:rsidRDefault="001C6437" w:rsidP="002211B0">
      <w:pPr>
        <w:pStyle w:val="Heading2"/>
        <w:rPr>
          <w:rFonts w:eastAsia="SimSun"/>
        </w:rPr>
      </w:pPr>
      <w:bookmarkStart w:id="35" w:name="_Toc320113281"/>
      <w:bookmarkStart w:id="36" w:name="_Toc393785003"/>
      <w:bookmarkStart w:id="37" w:name="_Toc394061113"/>
      <w:bookmarkStart w:id="38" w:name="_Toc394061203"/>
      <w:bookmarkStart w:id="39" w:name="_Toc520727816"/>
      <w:bookmarkStart w:id="40" w:name="_Toc12365560"/>
      <w:r w:rsidRPr="002211B0">
        <w:rPr>
          <w:rFonts w:eastAsia="SimSun"/>
        </w:rPr>
        <w:t>Marine</w:t>
      </w:r>
      <w:r w:rsidRPr="0058370B">
        <w:rPr>
          <w:rFonts w:eastAsia="SimSun"/>
        </w:rPr>
        <w:t xml:space="preserve"> Monitoring Program </w:t>
      </w:r>
      <w:r w:rsidR="00292049">
        <w:rPr>
          <w:rFonts w:eastAsia="SimSun"/>
        </w:rPr>
        <w:t>q</w:t>
      </w:r>
      <w:r w:rsidR="00292049" w:rsidRPr="0058370B">
        <w:rPr>
          <w:rFonts w:eastAsia="SimSun"/>
        </w:rPr>
        <w:t xml:space="preserve">uality </w:t>
      </w:r>
      <w:r w:rsidR="00292049">
        <w:rPr>
          <w:rFonts w:eastAsia="SimSun"/>
        </w:rPr>
        <w:t>a</w:t>
      </w:r>
      <w:r w:rsidR="00292049" w:rsidRPr="0058370B">
        <w:rPr>
          <w:rFonts w:eastAsia="SimSun"/>
        </w:rPr>
        <w:t xml:space="preserve">ssurance </w:t>
      </w:r>
      <w:r w:rsidRPr="0058370B">
        <w:rPr>
          <w:rFonts w:eastAsia="SimSun"/>
        </w:rPr>
        <w:t xml:space="preserve">and </w:t>
      </w:r>
      <w:bookmarkEnd w:id="35"/>
      <w:r w:rsidR="00292049">
        <w:rPr>
          <w:rFonts w:eastAsia="SimSun"/>
        </w:rPr>
        <w:t>q</w:t>
      </w:r>
      <w:r w:rsidR="00292049" w:rsidRPr="0058370B">
        <w:rPr>
          <w:rFonts w:eastAsia="SimSun"/>
        </w:rPr>
        <w:t xml:space="preserve">uality </w:t>
      </w:r>
      <w:r w:rsidR="00292049">
        <w:rPr>
          <w:rFonts w:eastAsia="SimSun"/>
        </w:rPr>
        <w:t>c</w:t>
      </w:r>
      <w:r w:rsidR="00292049" w:rsidRPr="0058370B">
        <w:rPr>
          <w:rFonts w:eastAsia="SimSun"/>
        </w:rPr>
        <w:t xml:space="preserve">ontrol </w:t>
      </w:r>
      <w:r w:rsidR="00292049">
        <w:rPr>
          <w:rFonts w:eastAsia="SimSun"/>
        </w:rPr>
        <w:t>m</w:t>
      </w:r>
      <w:r w:rsidR="00292049" w:rsidRPr="0058370B">
        <w:rPr>
          <w:rFonts w:eastAsia="SimSun"/>
        </w:rPr>
        <w:t xml:space="preserve">ethods </w:t>
      </w:r>
      <w:r w:rsidRPr="0058370B">
        <w:rPr>
          <w:rFonts w:eastAsia="SimSun"/>
        </w:rPr>
        <w:t xml:space="preserve">and </w:t>
      </w:r>
      <w:bookmarkEnd w:id="36"/>
      <w:bookmarkEnd w:id="37"/>
      <w:bookmarkEnd w:id="38"/>
      <w:bookmarkEnd w:id="39"/>
      <w:r w:rsidR="00292049">
        <w:rPr>
          <w:rFonts w:eastAsia="SimSun"/>
        </w:rPr>
        <w:t>p</w:t>
      </w:r>
      <w:r w:rsidR="00292049" w:rsidRPr="0058370B">
        <w:rPr>
          <w:rFonts w:eastAsia="SimSun"/>
        </w:rPr>
        <w:t>rocedures</w:t>
      </w:r>
      <w:bookmarkEnd w:id="40"/>
    </w:p>
    <w:p w14:paraId="01E9576C" w14:textId="72B74C0D" w:rsidR="00AA65AE" w:rsidRPr="0058370B" w:rsidRDefault="00AA65AE" w:rsidP="00FE2F59">
      <w:pPr>
        <w:rPr>
          <w:rFonts w:cs="Arial"/>
        </w:rPr>
      </w:pPr>
      <w:r w:rsidRPr="0058370B">
        <w:rPr>
          <w:rFonts w:cs="Arial"/>
        </w:rPr>
        <w:t xml:space="preserve">Appropriate </w:t>
      </w:r>
      <w:r w:rsidR="00F52AB1" w:rsidRPr="0058370B">
        <w:rPr>
          <w:rFonts w:cs="Arial"/>
        </w:rPr>
        <w:t>QA/QC</w:t>
      </w:r>
      <w:r w:rsidRPr="0058370B">
        <w:rPr>
          <w:rFonts w:cs="Arial"/>
        </w:rPr>
        <w:t xml:space="preserve"> procedures are an integral component of all aspects of sample collection and analysis. The</w:t>
      </w:r>
      <w:r w:rsidR="00292049">
        <w:rPr>
          <w:rFonts w:cs="Arial"/>
        </w:rPr>
        <w:t>se</w:t>
      </w:r>
      <w:r w:rsidRPr="0058370B">
        <w:rPr>
          <w:rFonts w:cs="Arial"/>
        </w:rPr>
        <w:t xml:space="preserve"> QA/QC procedures have been approved by an expert panel convened by the </w:t>
      </w:r>
      <w:r w:rsidR="00C55519">
        <w:rPr>
          <w:rFonts w:cs="Arial"/>
        </w:rPr>
        <w:t>Authority</w:t>
      </w:r>
      <w:r w:rsidRPr="0058370B">
        <w:rPr>
          <w:rFonts w:cs="Arial"/>
        </w:rPr>
        <w:t>.</w:t>
      </w:r>
      <w:r w:rsidR="00947511">
        <w:rPr>
          <w:rFonts w:cs="Arial"/>
        </w:rPr>
        <w:t xml:space="preserve"> </w:t>
      </w:r>
      <w:r w:rsidRPr="0058370B">
        <w:rPr>
          <w:rFonts w:cs="Arial"/>
        </w:rPr>
        <w:t xml:space="preserve">The </w:t>
      </w:r>
      <w:r w:rsidR="00C55519">
        <w:rPr>
          <w:rFonts w:cs="Arial"/>
        </w:rPr>
        <w:t>Authority</w:t>
      </w:r>
      <w:r w:rsidRPr="0058370B">
        <w:rPr>
          <w:rFonts w:cs="Arial"/>
        </w:rPr>
        <w:t xml:space="preserve"> set the following guidelines for implementation by MMP </w:t>
      </w:r>
      <w:r w:rsidR="00292049">
        <w:rPr>
          <w:rFonts w:cs="Arial"/>
        </w:rPr>
        <w:t>p</w:t>
      </w:r>
      <w:r w:rsidR="00292049" w:rsidRPr="0058370B">
        <w:rPr>
          <w:rFonts w:cs="Arial"/>
        </w:rPr>
        <w:t xml:space="preserve">rogram </w:t>
      </w:r>
      <w:r w:rsidR="00292049">
        <w:rPr>
          <w:rFonts w:cs="Arial"/>
        </w:rPr>
        <w:t>l</w:t>
      </w:r>
      <w:r w:rsidR="00292049" w:rsidRPr="0058370B">
        <w:rPr>
          <w:rFonts w:cs="Arial"/>
        </w:rPr>
        <w:t>eaders</w:t>
      </w:r>
      <w:r w:rsidRPr="0058370B">
        <w:rPr>
          <w:rFonts w:cs="Arial"/>
        </w:rPr>
        <w:t>:</w:t>
      </w:r>
    </w:p>
    <w:p w14:paraId="6FCB7398" w14:textId="0042EF68" w:rsidR="00AA65AE" w:rsidRPr="00FE2F59" w:rsidRDefault="00AA65AE" w:rsidP="006C7E99">
      <w:pPr>
        <w:pStyle w:val="ListParagraph"/>
        <w:numPr>
          <w:ilvl w:val="0"/>
          <w:numId w:val="9"/>
        </w:numPr>
        <w:rPr>
          <w:rFonts w:cs="Arial"/>
        </w:rPr>
      </w:pPr>
      <w:r w:rsidRPr="00FE2F59">
        <w:rPr>
          <w:rFonts w:cs="Arial"/>
        </w:rPr>
        <w:t xml:space="preserve">Appropriate methods must be in place to </w:t>
      </w:r>
      <w:r w:rsidR="000709E8">
        <w:rPr>
          <w:rFonts w:cs="Arial"/>
        </w:rPr>
        <w:t>make sure of</w:t>
      </w:r>
      <w:r w:rsidR="000709E8" w:rsidRPr="00FE2F59">
        <w:rPr>
          <w:rFonts w:cs="Arial"/>
        </w:rPr>
        <w:t xml:space="preserve"> </w:t>
      </w:r>
      <w:r w:rsidRPr="00FE2F59">
        <w:rPr>
          <w:rFonts w:cs="Arial"/>
        </w:rPr>
        <w:t xml:space="preserve">consistency </w:t>
      </w:r>
      <w:r w:rsidR="00442C98">
        <w:rPr>
          <w:rFonts w:cs="Arial"/>
        </w:rPr>
        <w:t xml:space="preserve">of </w:t>
      </w:r>
      <w:r w:rsidRPr="00FE2F59">
        <w:rPr>
          <w:rFonts w:cs="Arial"/>
        </w:rPr>
        <w:t>in</w:t>
      </w:r>
      <w:r w:rsidR="00F4085D">
        <w:rPr>
          <w:rFonts w:cs="Arial"/>
        </w:rPr>
        <w:t>-</w:t>
      </w:r>
      <w:r w:rsidRPr="00FE2F59">
        <w:rPr>
          <w:rFonts w:cs="Arial"/>
        </w:rPr>
        <w:t>field procedures to produce robust, repeatable and comparable results, including consideration of sampling locations, replication and frequency</w:t>
      </w:r>
      <w:r w:rsidR="00292049">
        <w:rPr>
          <w:rFonts w:cs="Arial"/>
        </w:rPr>
        <w:t>.</w:t>
      </w:r>
    </w:p>
    <w:p w14:paraId="6B1E7240" w14:textId="252A1653" w:rsidR="00AA65AE" w:rsidRPr="00FE2F59" w:rsidRDefault="00AA65AE" w:rsidP="006C7E99">
      <w:pPr>
        <w:pStyle w:val="ListParagraph"/>
        <w:numPr>
          <w:ilvl w:val="0"/>
          <w:numId w:val="9"/>
        </w:numPr>
        <w:rPr>
          <w:rFonts w:cs="Arial"/>
        </w:rPr>
      </w:pPr>
      <w:r w:rsidRPr="00FE2F59">
        <w:rPr>
          <w:rFonts w:cs="Arial"/>
        </w:rPr>
        <w:t>All methods used must be fit for purpose and suited to a range of conditions</w:t>
      </w:r>
      <w:r w:rsidR="00292049">
        <w:rPr>
          <w:rFonts w:cs="Arial"/>
        </w:rPr>
        <w:t>.</w:t>
      </w:r>
    </w:p>
    <w:p w14:paraId="0A11DE8A" w14:textId="77777777" w:rsidR="00AA65AE" w:rsidRPr="00FE2F59" w:rsidRDefault="00AA65AE" w:rsidP="006C7E99">
      <w:pPr>
        <w:pStyle w:val="ListParagraph"/>
        <w:numPr>
          <w:ilvl w:val="0"/>
          <w:numId w:val="9"/>
        </w:numPr>
        <w:rPr>
          <w:rFonts w:cs="Arial"/>
        </w:rPr>
      </w:pPr>
      <w:r w:rsidRPr="00FE2F59">
        <w:rPr>
          <w:rFonts w:cs="Arial"/>
        </w:rPr>
        <w:t>Appropriate accreditation of participating laboratories or provision of standard laboratory protocols to demonstrate that appropriate laboratory QA/QC procedures are in place for sample handling and analysis.</w:t>
      </w:r>
    </w:p>
    <w:p w14:paraId="6A930D27" w14:textId="77777777" w:rsidR="00AA65AE" w:rsidRPr="00FE2F59" w:rsidRDefault="00AA65AE" w:rsidP="006C7E99">
      <w:pPr>
        <w:pStyle w:val="ListParagraph"/>
        <w:numPr>
          <w:ilvl w:val="0"/>
          <w:numId w:val="9"/>
        </w:numPr>
        <w:rPr>
          <w:rFonts w:cs="Arial"/>
        </w:rPr>
      </w:pPr>
      <w:r w:rsidRPr="00FE2F59">
        <w:rPr>
          <w:rFonts w:cs="Arial"/>
        </w:rPr>
        <w:t>Participation in inter-laboratory performance testing trials and regular exchange of replicate samples between laboratories.</w:t>
      </w:r>
    </w:p>
    <w:p w14:paraId="266C73C7" w14:textId="5AA73795" w:rsidR="00AA65AE" w:rsidRPr="00FE2F59" w:rsidRDefault="00AA65AE" w:rsidP="006C7E99">
      <w:pPr>
        <w:pStyle w:val="ListParagraph"/>
        <w:numPr>
          <w:ilvl w:val="0"/>
          <w:numId w:val="9"/>
        </w:numPr>
        <w:rPr>
          <w:rFonts w:cs="Arial"/>
        </w:rPr>
      </w:pPr>
      <w:r w:rsidRPr="00FE2F59">
        <w:rPr>
          <w:rFonts w:cs="Arial"/>
        </w:rPr>
        <w:t xml:space="preserve">Rigorous procedures to </w:t>
      </w:r>
      <w:r w:rsidR="000709E8" w:rsidRPr="00FE2F59">
        <w:rPr>
          <w:rFonts w:cs="Arial"/>
        </w:rPr>
        <w:t>guarantee</w:t>
      </w:r>
      <w:r w:rsidRPr="00FE2F59">
        <w:rPr>
          <w:rFonts w:cs="Arial"/>
        </w:rPr>
        <w:t xml:space="preserve"> ‘chain of custody’ and tracking of samples.</w:t>
      </w:r>
    </w:p>
    <w:p w14:paraId="29A24E45" w14:textId="77777777" w:rsidR="00AA65AE" w:rsidRPr="00FE2F59" w:rsidRDefault="00AA65AE" w:rsidP="006C7E99">
      <w:pPr>
        <w:pStyle w:val="ListParagraph"/>
        <w:numPr>
          <w:ilvl w:val="0"/>
          <w:numId w:val="9"/>
        </w:numPr>
        <w:rPr>
          <w:rFonts w:cs="Arial"/>
        </w:rPr>
      </w:pPr>
      <w:r w:rsidRPr="00FE2F59">
        <w:rPr>
          <w:rFonts w:cs="Arial"/>
        </w:rPr>
        <w:t>Appropriate standards and procedures for data management and storage.</w:t>
      </w:r>
    </w:p>
    <w:p w14:paraId="52A170A7" w14:textId="77777777" w:rsidR="00AA65AE" w:rsidRPr="0058370B" w:rsidRDefault="00AA65AE" w:rsidP="00FE2F59">
      <w:pPr>
        <w:rPr>
          <w:rFonts w:cs="Arial"/>
        </w:rPr>
      </w:pPr>
      <w:r w:rsidRPr="0058370B">
        <w:rPr>
          <w:rFonts w:cs="Arial"/>
        </w:rPr>
        <w:t>In addition to the QA/QC procedures outlined above, the MMP employs a proactive approach to monitoring through the continual development of new methods and the refinement of existing methods, such as the:</w:t>
      </w:r>
    </w:p>
    <w:p w14:paraId="166B8A5E" w14:textId="5998033F" w:rsidR="00AA65AE" w:rsidRPr="00FE2F59" w:rsidRDefault="00292049" w:rsidP="006C7E99">
      <w:pPr>
        <w:pStyle w:val="ListParagraph"/>
        <w:numPr>
          <w:ilvl w:val="0"/>
          <w:numId w:val="10"/>
        </w:numPr>
        <w:rPr>
          <w:rFonts w:cs="Arial"/>
        </w:rPr>
      </w:pPr>
      <w:r>
        <w:rPr>
          <w:rFonts w:cs="Arial"/>
        </w:rPr>
        <w:t>o</w:t>
      </w:r>
      <w:r w:rsidRPr="00FE2F59">
        <w:rPr>
          <w:rFonts w:cs="Arial"/>
        </w:rPr>
        <w:t xml:space="preserve">peration </w:t>
      </w:r>
      <w:r w:rsidR="00AA65AE" w:rsidRPr="00FE2F59">
        <w:rPr>
          <w:rFonts w:cs="Arial"/>
        </w:rPr>
        <w:t>and validation of autonomous environmental loggers</w:t>
      </w:r>
    </w:p>
    <w:p w14:paraId="36A7E781" w14:textId="14050942" w:rsidR="00AA65AE" w:rsidRPr="00FE2F59" w:rsidRDefault="00292049" w:rsidP="006C7E99">
      <w:pPr>
        <w:pStyle w:val="ListParagraph"/>
        <w:numPr>
          <w:ilvl w:val="0"/>
          <w:numId w:val="10"/>
        </w:numPr>
        <w:rPr>
          <w:rFonts w:cs="Arial"/>
        </w:rPr>
      </w:pPr>
      <w:r>
        <w:rPr>
          <w:rFonts w:cs="Arial"/>
        </w:rPr>
        <w:t>v</w:t>
      </w:r>
      <w:r w:rsidRPr="00FE2F59">
        <w:rPr>
          <w:rFonts w:cs="Arial"/>
        </w:rPr>
        <w:t xml:space="preserve">alidation </w:t>
      </w:r>
      <w:r w:rsidR="00AA65AE" w:rsidRPr="00FE2F59">
        <w:rPr>
          <w:rFonts w:cs="Arial"/>
        </w:rPr>
        <w:t>of algorithms used for the remote sensing of water quality</w:t>
      </w:r>
    </w:p>
    <w:p w14:paraId="626911E8" w14:textId="74DD0E39" w:rsidR="00AA65AE" w:rsidRPr="00FE2F59" w:rsidRDefault="00292049" w:rsidP="006C7E99">
      <w:pPr>
        <w:pStyle w:val="ListParagraph"/>
        <w:numPr>
          <w:ilvl w:val="0"/>
          <w:numId w:val="10"/>
        </w:numPr>
        <w:rPr>
          <w:rFonts w:cs="Arial"/>
        </w:rPr>
      </w:pPr>
      <w:r>
        <w:rPr>
          <w:rFonts w:cs="Arial"/>
        </w:rPr>
        <w:t>i</w:t>
      </w:r>
      <w:r w:rsidRPr="00FE2F59">
        <w:rPr>
          <w:rFonts w:cs="Arial"/>
        </w:rPr>
        <w:t xml:space="preserve">mprovement </w:t>
      </w:r>
      <w:r w:rsidR="00AA65AE" w:rsidRPr="00FE2F59">
        <w:rPr>
          <w:rFonts w:cs="Arial"/>
        </w:rPr>
        <w:t>of passive sampling techniques for pesticides</w:t>
      </w:r>
    </w:p>
    <w:p w14:paraId="73E0ED82" w14:textId="07D2C585" w:rsidR="00AA65AE" w:rsidRPr="00FE2F59" w:rsidRDefault="00292049" w:rsidP="006C7E99">
      <w:pPr>
        <w:pStyle w:val="ListParagraph"/>
        <w:numPr>
          <w:ilvl w:val="0"/>
          <w:numId w:val="10"/>
        </w:numPr>
        <w:rPr>
          <w:rFonts w:cs="Arial"/>
        </w:rPr>
      </w:pPr>
      <w:r>
        <w:rPr>
          <w:rFonts w:cs="Arial"/>
        </w:rPr>
        <w:t>i</w:t>
      </w:r>
      <w:r w:rsidRPr="00FE2F59">
        <w:rPr>
          <w:rFonts w:cs="Arial"/>
        </w:rPr>
        <w:t xml:space="preserve">ntroduction </w:t>
      </w:r>
      <w:r w:rsidR="00AA65AE" w:rsidRPr="00FE2F59">
        <w:rPr>
          <w:rFonts w:cs="Arial"/>
        </w:rPr>
        <w:t xml:space="preserve">of </w:t>
      </w:r>
      <w:r w:rsidR="00383250">
        <w:rPr>
          <w:rFonts w:cs="Arial"/>
        </w:rPr>
        <w:t>extra</w:t>
      </w:r>
      <w:r w:rsidR="00383250" w:rsidRPr="00FE2F59">
        <w:rPr>
          <w:rFonts w:cs="Arial"/>
        </w:rPr>
        <w:t xml:space="preserve"> </w:t>
      </w:r>
      <w:r w:rsidR="00AA65AE" w:rsidRPr="00FE2F59">
        <w:rPr>
          <w:rFonts w:cs="Arial"/>
        </w:rPr>
        <w:t xml:space="preserve">monitoring </w:t>
      </w:r>
      <w:r w:rsidR="0015616A" w:rsidRPr="00FE2F59">
        <w:rPr>
          <w:rFonts w:cs="Arial"/>
        </w:rPr>
        <w:t>sub-program</w:t>
      </w:r>
      <w:r w:rsidR="00AA65AE" w:rsidRPr="00FE2F59">
        <w:rPr>
          <w:rFonts w:cs="Arial"/>
        </w:rPr>
        <w:t>s to evaluate the condition of inshore reefs, specifically coral recruitment.</w:t>
      </w:r>
    </w:p>
    <w:p w14:paraId="17049A93" w14:textId="77777777" w:rsidR="00AA65AE" w:rsidRPr="0058370B" w:rsidRDefault="00AA65AE" w:rsidP="00FE2F59">
      <w:pPr>
        <w:rPr>
          <w:rFonts w:cs="Arial"/>
        </w:rPr>
      </w:pPr>
      <w:r w:rsidRPr="0058370B">
        <w:rPr>
          <w:rFonts w:cs="Arial"/>
        </w:rPr>
        <w:t>The monitoring providers for the MM</w:t>
      </w:r>
      <w:r w:rsidR="001D3967" w:rsidRPr="0058370B">
        <w:rPr>
          <w:rFonts w:cs="Arial"/>
        </w:rPr>
        <w:t xml:space="preserve">P have a long-standing </w:t>
      </w:r>
      <w:r w:rsidRPr="0058370B">
        <w:rPr>
          <w:rFonts w:cs="Arial"/>
        </w:rPr>
        <w:t>culture of QA/QC in their monitoring activities. Common elements across the providers include:</w:t>
      </w:r>
    </w:p>
    <w:p w14:paraId="26AAC71B" w14:textId="0ABF3191" w:rsidR="00AA65AE" w:rsidRPr="00FE2F59" w:rsidRDefault="00292049" w:rsidP="006C7E99">
      <w:pPr>
        <w:pStyle w:val="ListParagraph"/>
        <w:numPr>
          <w:ilvl w:val="0"/>
          <w:numId w:val="11"/>
        </w:numPr>
        <w:rPr>
          <w:rFonts w:cs="Arial"/>
        </w:rPr>
      </w:pPr>
      <w:r>
        <w:rPr>
          <w:rFonts w:cs="Arial"/>
        </w:rPr>
        <w:t>o</w:t>
      </w:r>
      <w:r w:rsidRPr="00FE2F59">
        <w:rPr>
          <w:rFonts w:cs="Arial"/>
        </w:rPr>
        <w:t xml:space="preserve">ngoing </w:t>
      </w:r>
      <w:r w:rsidR="00AA65AE" w:rsidRPr="00FE2F59">
        <w:rPr>
          <w:rFonts w:cs="Arial"/>
        </w:rPr>
        <w:t>training of staff (and other sampling providers) in relevant procedures</w:t>
      </w:r>
    </w:p>
    <w:p w14:paraId="00A51826" w14:textId="17B6C82D" w:rsidR="00AA65AE" w:rsidRPr="00FE2F59" w:rsidRDefault="00292049" w:rsidP="006C7E99">
      <w:pPr>
        <w:pStyle w:val="ListParagraph"/>
        <w:numPr>
          <w:ilvl w:val="0"/>
          <w:numId w:val="11"/>
        </w:numPr>
        <w:rPr>
          <w:rFonts w:cs="Arial"/>
        </w:rPr>
      </w:pPr>
      <w:r>
        <w:rPr>
          <w:rFonts w:cs="Arial"/>
        </w:rPr>
        <w:t>s</w:t>
      </w:r>
      <w:r w:rsidRPr="00FE2F59">
        <w:rPr>
          <w:rFonts w:cs="Arial"/>
        </w:rPr>
        <w:t xml:space="preserve">tandard </w:t>
      </w:r>
      <w:r>
        <w:rPr>
          <w:rFonts w:cs="Arial"/>
        </w:rPr>
        <w:t>o</w:t>
      </w:r>
      <w:r w:rsidRPr="00FE2F59">
        <w:rPr>
          <w:rFonts w:cs="Arial"/>
        </w:rPr>
        <w:t xml:space="preserve">perating </w:t>
      </w:r>
      <w:r>
        <w:rPr>
          <w:rFonts w:cs="Arial"/>
        </w:rPr>
        <w:t>pr</w:t>
      </w:r>
      <w:r w:rsidRPr="00FE2F59">
        <w:rPr>
          <w:rFonts w:cs="Arial"/>
        </w:rPr>
        <w:t xml:space="preserve">ocedures </w:t>
      </w:r>
      <w:r w:rsidR="00AA65AE" w:rsidRPr="00FE2F59">
        <w:rPr>
          <w:rFonts w:cs="Arial"/>
        </w:rPr>
        <w:t>(SOPs), both for field sampling and analytical procedures</w:t>
      </w:r>
    </w:p>
    <w:p w14:paraId="589C2C44" w14:textId="1DDCB1ED" w:rsidR="00AA65AE" w:rsidRPr="00FE2F59" w:rsidRDefault="00292049" w:rsidP="006C7E99">
      <w:pPr>
        <w:pStyle w:val="ListParagraph"/>
        <w:numPr>
          <w:ilvl w:val="0"/>
          <w:numId w:val="11"/>
        </w:numPr>
        <w:rPr>
          <w:rFonts w:cs="Arial"/>
        </w:rPr>
      </w:pPr>
      <w:r>
        <w:rPr>
          <w:rFonts w:cs="Arial"/>
        </w:rPr>
        <w:t>u</w:t>
      </w:r>
      <w:r w:rsidRPr="00FE2F59">
        <w:rPr>
          <w:rFonts w:cs="Arial"/>
        </w:rPr>
        <w:t xml:space="preserve">se </w:t>
      </w:r>
      <w:r w:rsidR="00AA65AE" w:rsidRPr="00FE2F59">
        <w:rPr>
          <w:rFonts w:cs="Arial"/>
        </w:rPr>
        <w:t>of standard methods (or development of modifications)</w:t>
      </w:r>
    </w:p>
    <w:p w14:paraId="7A5B0AF6" w14:textId="36A2A624" w:rsidR="00AA65AE" w:rsidRPr="00FE2F59" w:rsidRDefault="00292049" w:rsidP="006C7E99">
      <w:pPr>
        <w:pStyle w:val="ListParagraph"/>
        <w:numPr>
          <w:ilvl w:val="0"/>
          <w:numId w:val="11"/>
        </w:numPr>
        <w:rPr>
          <w:rFonts w:cs="Arial"/>
        </w:rPr>
      </w:pPr>
      <w:r>
        <w:rPr>
          <w:rFonts w:cs="Arial"/>
        </w:rPr>
        <w:t>p</w:t>
      </w:r>
      <w:r w:rsidRPr="00FE2F59">
        <w:rPr>
          <w:rFonts w:cs="Arial"/>
        </w:rPr>
        <w:t xml:space="preserve">ublishing </w:t>
      </w:r>
      <w:r w:rsidR="00AA65AE" w:rsidRPr="00FE2F59">
        <w:rPr>
          <w:rFonts w:cs="Arial"/>
        </w:rPr>
        <w:t>of methods and results in peer-reviewed publications</w:t>
      </w:r>
    </w:p>
    <w:p w14:paraId="11C07801" w14:textId="7B357A4E" w:rsidR="00AA65AE" w:rsidRPr="00FE2F59" w:rsidRDefault="00292049" w:rsidP="006C7E99">
      <w:pPr>
        <w:pStyle w:val="ListParagraph"/>
        <w:numPr>
          <w:ilvl w:val="0"/>
          <w:numId w:val="11"/>
        </w:numPr>
        <w:rPr>
          <w:rFonts w:cs="Arial"/>
        </w:rPr>
      </w:pPr>
      <w:r>
        <w:rPr>
          <w:rFonts w:cs="Arial"/>
        </w:rPr>
        <w:t>m</w:t>
      </w:r>
      <w:r w:rsidRPr="00FE2F59">
        <w:rPr>
          <w:rFonts w:cs="Arial"/>
        </w:rPr>
        <w:t xml:space="preserve">aintenance </w:t>
      </w:r>
      <w:r w:rsidR="00AA65AE" w:rsidRPr="00FE2F59">
        <w:rPr>
          <w:rFonts w:cs="Arial"/>
        </w:rPr>
        <w:t>of equipment</w:t>
      </w:r>
    </w:p>
    <w:p w14:paraId="1FC882ED" w14:textId="5BB29505" w:rsidR="00AA65AE" w:rsidRPr="00FE2F59" w:rsidRDefault="00292049" w:rsidP="006C7E99">
      <w:pPr>
        <w:pStyle w:val="ListParagraph"/>
        <w:numPr>
          <w:ilvl w:val="0"/>
          <w:numId w:val="11"/>
        </w:numPr>
        <w:rPr>
          <w:rFonts w:cs="Arial"/>
        </w:rPr>
      </w:pPr>
      <w:r>
        <w:rPr>
          <w:rFonts w:cs="Arial"/>
        </w:rPr>
        <w:t>c</w:t>
      </w:r>
      <w:r w:rsidRPr="00FE2F59">
        <w:rPr>
          <w:rFonts w:cs="Arial"/>
        </w:rPr>
        <w:t xml:space="preserve">alibration </w:t>
      </w:r>
      <w:r w:rsidR="00AA65AE" w:rsidRPr="00FE2F59">
        <w:rPr>
          <w:rFonts w:cs="Arial"/>
        </w:rPr>
        <w:t>procedures including participation</w:t>
      </w:r>
      <w:r>
        <w:rPr>
          <w:rFonts w:cs="Arial"/>
        </w:rPr>
        <w:t xml:space="preserve"> in</w:t>
      </w:r>
      <w:r w:rsidR="00AA65AE" w:rsidRPr="00FE2F59">
        <w:rPr>
          <w:rFonts w:cs="Arial"/>
        </w:rPr>
        <w:t xml:space="preserve"> regular inter-laboratory comparisons</w:t>
      </w:r>
    </w:p>
    <w:p w14:paraId="6A53794A" w14:textId="7618AFCB" w:rsidR="00AA65AE" w:rsidRPr="00FE2F59" w:rsidRDefault="00292049" w:rsidP="006C7E99">
      <w:pPr>
        <w:pStyle w:val="ListParagraph"/>
        <w:numPr>
          <w:ilvl w:val="0"/>
          <w:numId w:val="11"/>
        </w:numPr>
        <w:rPr>
          <w:rFonts w:cs="Arial"/>
        </w:rPr>
      </w:pPr>
      <w:r>
        <w:rPr>
          <w:rFonts w:cs="Arial"/>
        </w:rPr>
        <w:t>e</w:t>
      </w:r>
      <w:r w:rsidRPr="00FE2F59">
        <w:rPr>
          <w:rFonts w:cs="Arial"/>
        </w:rPr>
        <w:t xml:space="preserve">stablished </w:t>
      </w:r>
      <w:r w:rsidR="00AA65AE" w:rsidRPr="00FE2F59">
        <w:rPr>
          <w:rFonts w:cs="Arial"/>
        </w:rPr>
        <w:t>sample custody procedures</w:t>
      </w:r>
    </w:p>
    <w:p w14:paraId="1F60F8C2" w14:textId="2C1D0817" w:rsidR="00AA65AE" w:rsidRPr="00FE2F59" w:rsidRDefault="00AA65AE" w:rsidP="006C7E99">
      <w:pPr>
        <w:pStyle w:val="ListParagraph"/>
        <w:numPr>
          <w:ilvl w:val="0"/>
          <w:numId w:val="11"/>
        </w:numPr>
        <w:rPr>
          <w:rFonts w:cs="Arial"/>
        </w:rPr>
      </w:pPr>
      <w:r w:rsidRPr="00FE2F59">
        <w:rPr>
          <w:rFonts w:cs="Arial"/>
        </w:rPr>
        <w:t>QC checks for individual sampling regimes and analytical protocols</w:t>
      </w:r>
    </w:p>
    <w:p w14:paraId="6633DB07" w14:textId="70CC323E" w:rsidR="00AA65AE" w:rsidRPr="00FE2F59" w:rsidRDefault="00292049" w:rsidP="006C7E99">
      <w:pPr>
        <w:pStyle w:val="ListParagraph"/>
        <w:numPr>
          <w:ilvl w:val="0"/>
          <w:numId w:val="11"/>
        </w:numPr>
        <w:rPr>
          <w:rFonts w:cs="Arial"/>
        </w:rPr>
      </w:pPr>
      <w:r>
        <w:rPr>
          <w:rFonts w:cs="Arial"/>
        </w:rPr>
        <w:t>p</w:t>
      </w:r>
      <w:r w:rsidRPr="00FE2F59">
        <w:rPr>
          <w:rFonts w:cs="Arial"/>
        </w:rPr>
        <w:t xml:space="preserve">rocedures </w:t>
      </w:r>
      <w:r w:rsidR="00AA65AE" w:rsidRPr="00FE2F59">
        <w:rPr>
          <w:rFonts w:cs="Arial"/>
        </w:rPr>
        <w:t>for data entry, storage, validation and reporting.</w:t>
      </w:r>
    </w:p>
    <w:p w14:paraId="4BE0C2F5" w14:textId="77777777" w:rsidR="004040CF" w:rsidRDefault="00292049" w:rsidP="00FE2F59">
      <w:pPr>
        <w:rPr>
          <w:rFonts w:cs="Arial"/>
        </w:rPr>
      </w:pPr>
      <w:r w:rsidRPr="0058370B">
        <w:rPr>
          <w:rFonts w:cs="Arial"/>
        </w:rPr>
        <w:t>Th</w:t>
      </w:r>
      <w:r>
        <w:rPr>
          <w:rFonts w:cs="Arial"/>
        </w:rPr>
        <w:t>is</w:t>
      </w:r>
      <w:r w:rsidRPr="0058370B">
        <w:rPr>
          <w:rFonts w:cs="Arial"/>
        </w:rPr>
        <w:t xml:space="preserve"> </w:t>
      </w:r>
      <w:r w:rsidR="00AA65AE" w:rsidRPr="0058370B">
        <w:rPr>
          <w:rFonts w:cs="Arial"/>
        </w:rPr>
        <w:t xml:space="preserve">manual summarises the monitoring methods and procedures for each project. Detailed sampling manuals, </w:t>
      </w:r>
      <w:r>
        <w:rPr>
          <w:rFonts w:cs="Arial"/>
        </w:rPr>
        <w:t>SOPs,</w:t>
      </w:r>
      <w:r w:rsidR="00AA65AE" w:rsidRPr="0058370B">
        <w:rPr>
          <w:rFonts w:cs="Arial"/>
        </w:rPr>
        <w:t xml:space="preserve"> analytical procedures and other details are provided as appendices. </w:t>
      </w:r>
    </w:p>
    <w:p w14:paraId="6FBCD3B7" w14:textId="0D06816D" w:rsidR="002E600A" w:rsidRDefault="002E600A" w:rsidP="00FE2F59">
      <w:pPr>
        <w:rPr>
          <w:rFonts w:cs="Arial"/>
        </w:rPr>
      </w:pPr>
      <w:r>
        <w:rPr>
          <w:rFonts w:cs="Arial"/>
        </w:rPr>
        <w:br w:type="page"/>
      </w:r>
    </w:p>
    <w:p w14:paraId="3A12F99C" w14:textId="24BA00DE" w:rsidR="002E600A" w:rsidRPr="00A64BC2" w:rsidRDefault="002E600A" w:rsidP="00374388">
      <w:pPr>
        <w:pStyle w:val="Heading1"/>
      </w:pPr>
      <w:bookmarkStart w:id="41" w:name="_Toc393785004"/>
      <w:bookmarkStart w:id="42" w:name="_Toc393792969"/>
      <w:bookmarkStart w:id="43" w:name="_Toc394061114"/>
      <w:bookmarkStart w:id="44" w:name="_Toc394061204"/>
      <w:bookmarkStart w:id="45" w:name="_Toc433716352"/>
      <w:bookmarkStart w:id="46" w:name="_Toc520727817"/>
      <w:bookmarkStart w:id="47" w:name="_Ref4570326"/>
      <w:bookmarkStart w:id="48" w:name="_Ref9599209"/>
      <w:bookmarkStart w:id="49" w:name="_Toc12365561"/>
      <w:r w:rsidRPr="00A64BC2">
        <w:t xml:space="preserve">Inshore marine </w:t>
      </w:r>
      <w:r w:rsidRPr="00374388">
        <w:t>water</w:t>
      </w:r>
      <w:r w:rsidRPr="00A64BC2">
        <w:t xml:space="preserve"> quality monitoring</w:t>
      </w:r>
      <w:bookmarkEnd w:id="41"/>
      <w:bookmarkEnd w:id="42"/>
      <w:bookmarkEnd w:id="43"/>
      <w:bookmarkEnd w:id="44"/>
      <w:bookmarkEnd w:id="45"/>
      <w:bookmarkEnd w:id="46"/>
      <w:bookmarkEnd w:id="47"/>
      <w:bookmarkEnd w:id="48"/>
      <w:bookmarkEnd w:id="49"/>
      <w:r w:rsidRPr="00A64BC2">
        <w:t xml:space="preserve"> </w:t>
      </w:r>
    </w:p>
    <w:p w14:paraId="04FE9F55" w14:textId="202435B2" w:rsidR="002E600A" w:rsidRPr="00A64BC2" w:rsidRDefault="002E600A" w:rsidP="00FE2F59">
      <w:pPr>
        <w:pBdr>
          <w:top w:val="single" w:sz="2" w:space="1" w:color="BFBFBF"/>
          <w:left w:val="single" w:sz="2" w:space="4" w:color="BFBFBF"/>
          <w:bottom w:val="single" w:sz="2" w:space="1" w:color="BFBFBF"/>
          <w:right w:val="single" w:sz="2" w:space="4" w:color="BFBFBF"/>
        </w:pBdr>
        <w:shd w:val="clear" w:color="auto" w:fill="D9D9D9"/>
        <w:rPr>
          <w:rFonts w:cs="Arial"/>
        </w:rPr>
      </w:pPr>
      <w:r w:rsidRPr="00A64BC2">
        <w:rPr>
          <w:rFonts w:cs="Arial"/>
        </w:rPr>
        <w:t>Jane Waterhouse</w:t>
      </w:r>
      <w:r w:rsidR="0001778E">
        <w:rPr>
          <w:rFonts w:cs="Arial"/>
          <w:vertAlign w:val="superscript"/>
        </w:rPr>
        <w:t>1</w:t>
      </w:r>
      <w:r w:rsidRPr="00A64BC2">
        <w:rPr>
          <w:rFonts w:cs="Arial"/>
        </w:rPr>
        <w:t xml:space="preserve">, </w:t>
      </w:r>
      <w:r w:rsidR="00C16F6A">
        <w:rPr>
          <w:rFonts w:cs="Arial"/>
        </w:rPr>
        <w:t>Renee Gruber</w:t>
      </w:r>
      <w:r w:rsidR="00C16F6A">
        <w:rPr>
          <w:rFonts w:cs="Arial"/>
          <w:vertAlign w:val="superscript"/>
        </w:rPr>
        <w:t>2</w:t>
      </w:r>
      <w:r w:rsidRPr="00A64BC2">
        <w:rPr>
          <w:rFonts w:cs="Arial"/>
        </w:rPr>
        <w:t>, Britta Schaffelke</w:t>
      </w:r>
      <w:r w:rsidR="0001778E">
        <w:rPr>
          <w:rFonts w:cs="Arial"/>
          <w:vertAlign w:val="superscript"/>
        </w:rPr>
        <w:t>2</w:t>
      </w:r>
      <w:r w:rsidRPr="00A64BC2">
        <w:rPr>
          <w:rFonts w:cs="Arial"/>
        </w:rPr>
        <w:t>, Stephen Lewis</w:t>
      </w:r>
      <w:r w:rsidR="0001778E">
        <w:rPr>
          <w:rFonts w:cs="Arial"/>
          <w:vertAlign w:val="superscript"/>
        </w:rPr>
        <w:t>1</w:t>
      </w:r>
      <w:r w:rsidRPr="00A64BC2">
        <w:rPr>
          <w:rFonts w:cs="Arial"/>
        </w:rPr>
        <w:t>, Caroline Petus</w:t>
      </w:r>
      <w:r w:rsidR="0001778E">
        <w:rPr>
          <w:rFonts w:cs="Arial"/>
          <w:vertAlign w:val="superscript"/>
        </w:rPr>
        <w:t>1</w:t>
      </w:r>
      <w:r w:rsidRPr="00A64BC2">
        <w:rPr>
          <w:rFonts w:cs="Arial"/>
        </w:rPr>
        <w:t xml:space="preserve">, </w:t>
      </w:r>
      <w:r w:rsidR="00CB01E2" w:rsidRPr="00D11555">
        <w:t>Christina</w:t>
      </w:r>
      <w:r w:rsidR="00CB01E2">
        <w:rPr>
          <w:vertAlign w:val="superscript"/>
        </w:rPr>
        <w:t xml:space="preserve"> </w:t>
      </w:r>
      <w:r w:rsidR="00CB01E2">
        <w:t>Howley</w:t>
      </w:r>
      <w:r w:rsidR="00CB01E2" w:rsidRPr="00D11555">
        <w:rPr>
          <w:vertAlign w:val="superscript"/>
        </w:rPr>
        <w:t>3</w:t>
      </w:r>
      <w:r w:rsidR="00CB01E2" w:rsidRPr="00EA316A">
        <w:t>,</w:t>
      </w:r>
      <w:r w:rsidR="00C04FE0">
        <w:t xml:space="preserve"> </w:t>
      </w:r>
      <w:r w:rsidRPr="00A64BC2">
        <w:rPr>
          <w:rFonts w:cs="Arial"/>
        </w:rPr>
        <w:t>Michele Skuza</w:t>
      </w:r>
      <w:r w:rsidR="0001778E">
        <w:rPr>
          <w:rFonts w:cs="Arial"/>
          <w:vertAlign w:val="superscript"/>
        </w:rPr>
        <w:t>2</w:t>
      </w:r>
      <w:r w:rsidRPr="00A64BC2">
        <w:rPr>
          <w:rFonts w:cs="Arial"/>
        </w:rPr>
        <w:t>, Dieter Tracey</w:t>
      </w:r>
      <w:r w:rsidR="0001778E">
        <w:rPr>
          <w:rFonts w:cs="Arial"/>
          <w:vertAlign w:val="superscript"/>
        </w:rPr>
        <w:t>1</w:t>
      </w:r>
      <w:r w:rsidRPr="00A64BC2">
        <w:rPr>
          <w:rFonts w:cs="Arial"/>
        </w:rPr>
        <w:t>, Irena Zagorskis</w:t>
      </w:r>
      <w:r w:rsidR="0001778E">
        <w:rPr>
          <w:rFonts w:cs="Arial"/>
          <w:vertAlign w:val="superscript"/>
        </w:rPr>
        <w:t>2</w:t>
      </w:r>
      <w:r w:rsidR="00CB01E2" w:rsidRPr="00CB01E2">
        <w:rPr>
          <w:rFonts w:cs="Arial"/>
        </w:rPr>
        <w:t>,</w:t>
      </w:r>
      <w:r w:rsidR="00CB01E2" w:rsidRPr="00C16F6A">
        <w:rPr>
          <w:rFonts w:cs="Arial"/>
        </w:rPr>
        <w:t xml:space="preserve"> </w:t>
      </w:r>
      <w:r w:rsidR="00C16F6A" w:rsidRPr="00C16F6A">
        <w:rPr>
          <w:rFonts w:cs="Arial"/>
        </w:rPr>
        <w:t>and</w:t>
      </w:r>
      <w:r w:rsidR="00C16F6A">
        <w:rPr>
          <w:rFonts w:cs="Arial"/>
          <w:vertAlign w:val="superscript"/>
        </w:rPr>
        <w:t xml:space="preserve"> </w:t>
      </w:r>
      <w:r w:rsidR="00CB01E2">
        <w:t>Murray Logan</w:t>
      </w:r>
      <w:r w:rsidR="0001778E">
        <w:rPr>
          <w:vertAlign w:val="superscript"/>
        </w:rPr>
        <w:t>2</w:t>
      </w:r>
    </w:p>
    <w:p w14:paraId="37332232" w14:textId="104908D3" w:rsidR="002E600A" w:rsidRPr="00A64BC2" w:rsidRDefault="0001778E" w:rsidP="00FE2F59">
      <w:pPr>
        <w:pBdr>
          <w:top w:val="single" w:sz="2" w:space="1" w:color="BFBFBF"/>
          <w:left w:val="single" w:sz="2" w:space="4" w:color="BFBFBF"/>
          <w:bottom w:val="single" w:sz="2" w:space="1" w:color="BFBFBF"/>
          <w:right w:val="single" w:sz="2" w:space="4" w:color="BFBFBF"/>
        </w:pBdr>
        <w:shd w:val="clear" w:color="auto" w:fill="D9D9D9"/>
        <w:rPr>
          <w:rFonts w:cs="Arial"/>
          <w:sz w:val="16"/>
          <w:szCs w:val="16"/>
        </w:rPr>
      </w:pPr>
      <w:r>
        <w:rPr>
          <w:rFonts w:cs="Arial"/>
          <w:sz w:val="16"/>
          <w:szCs w:val="16"/>
          <w:vertAlign w:val="superscript"/>
        </w:rPr>
        <w:t>1</w:t>
      </w:r>
      <w:r w:rsidRPr="00A64BC2">
        <w:rPr>
          <w:rFonts w:cs="Arial"/>
          <w:sz w:val="16"/>
          <w:szCs w:val="16"/>
        </w:rPr>
        <w:t>James Cook University</w:t>
      </w:r>
      <w:r>
        <w:rPr>
          <w:rFonts w:cs="Arial"/>
          <w:sz w:val="16"/>
          <w:szCs w:val="16"/>
        </w:rPr>
        <w:t>,</w:t>
      </w:r>
      <w:r w:rsidRPr="00A64BC2">
        <w:rPr>
          <w:rFonts w:cs="Arial"/>
          <w:sz w:val="16"/>
          <w:szCs w:val="16"/>
          <w:vertAlign w:val="superscript"/>
        </w:rPr>
        <w:t xml:space="preserve"> </w:t>
      </w:r>
      <w:r>
        <w:rPr>
          <w:rFonts w:cs="Arial"/>
          <w:sz w:val="16"/>
          <w:szCs w:val="16"/>
          <w:vertAlign w:val="superscript"/>
        </w:rPr>
        <w:t>2</w:t>
      </w:r>
      <w:r w:rsidR="002E600A" w:rsidRPr="00A64BC2">
        <w:rPr>
          <w:rFonts w:cs="Arial"/>
          <w:sz w:val="16"/>
          <w:szCs w:val="16"/>
        </w:rPr>
        <w:t>Australian Institute of Marine Science,</w:t>
      </w:r>
      <w:r w:rsidR="00CB01E2">
        <w:rPr>
          <w:rFonts w:cs="Arial"/>
          <w:sz w:val="16"/>
          <w:szCs w:val="16"/>
        </w:rPr>
        <w:t xml:space="preserve"> </w:t>
      </w:r>
      <w:r w:rsidR="00CB01E2" w:rsidRPr="00CB01E2">
        <w:rPr>
          <w:rFonts w:cs="Arial"/>
          <w:sz w:val="16"/>
          <w:szCs w:val="16"/>
          <w:vertAlign w:val="superscript"/>
        </w:rPr>
        <w:t>3</w:t>
      </w:r>
      <w:r w:rsidR="00CB01E2" w:rsidRPr="00CB01E2">
        <w:rPr>
          <w:rFonts w:cs="Arial"/>
          <w:sz w:val="16"/>
          <w:szCs w:val="16"/>
        </w:rPr>
        <w:t>Howley Environmental Consulting</w:t>
      </w:r>
    </w:p>
    <w:p w14:paraId="3FB3B959" w14:textId="1909E544" w:rsidR="002E600A" w:rsidRPr="00A64BC2" w:rsidRDefault="002E600A" w:rsidP="00374388">
      <w:pPr>
        <w:pStyle w:val="Heading2"/>
      </w:pPr>
      <w:bookmarkStart w:id="50" w:name="_Toc261013256"/>
      <w:bookmarkStart w:id="51" w:name="_Toc294781678"/>
      <w:bookmarkStart w:id="52" w:name="_Toc393785005"/>
      <w:bookmarkStart w:id="53" w:name="_Toc394061115"/>
      <w:bookmarkStart w:id="54" w:name="_Toc394061205"/>
      <w:bookmarkStart w:id="55" w:name="_Toc423036747"/>
      <w:bookmarkStart w:id="56" w:name="_Toc433716353"/>
      <w:bookmarkStart w:id="57" w:name="_Toc520727818"/>
      <w:bookmarkStart w:id="58" w:name="_Toc12365562"/>
      <w:r w:rsidRPr="00374388">
        <w:t>Introduction</w:t>
      </w:r>
      <w:bookmarkEnd w:id="50"/>
      <w:bookmarkEnd w:id="51"/>
      <w:bookmarkEnd w:id="52"/>
      <w:bookmarkEnd w:id="53"/>
      <w:bookmarkEnd w:id="54"/>
      <w:bookmarkEnd w:id="55"/>
      <w:bookmarkEnd w:id="56"/>
      <w:bookmarkEnd w:id="57"/>
      <w:bookmarkEnd w:id="58"/>
    </w:p>
    <w:p w14:paraId="40266A8D" w14:textId="06E45FB7" w:rsidR="002E600A" w:rsidRPr="00A64BC2" w:rsidRDefault="001861B8" w:rsidP="00FE2F59">
      <w:pPr>
        <w:rPr>
          <w:rFonts w:cs="Arial"/>
        </w:rPr>
      </w:pPr>
      <w:r w:rsidRPr="001861B8">
        <w:rPr>
          <w:rFonts w:cs="Arial"/>
        </w:rPr>
        <w:t xml:space="preserve">The aim of water quality monitoring is to assess the concentrations and transport of terrestrially derived components, with a focus on the movement of </w:t>
      </w:r>
      <w:r w:rsidR="00FD396F">
        <w:rPr>
          <w:rFonts w:cs="Arial"/>
        </w:rPr>
        <w:t>TSS</w:t>
      </w:r>
      <w:r w:rsidRPr="001861B8">
        <w:rPr>
          <w:rFonts w:cs="Arial"/>
        </w:rPr>
        <w:t xml:space="preserve">, </w:t>
      </w:r>
      <w:r w:rsidR="006B5965" w:rsidRPr="00DA0B37">
        <w:rPr>
          <w:rFonts w:cs="Arial"/>
        </w:rPr>
        <w:t>Chl</w:t>
      </w:r>
      <w:r w:rsidR="006B5965">
        <w:rPr>
          <w:rFonts w:cs="Arial"/>
        </w:rPr>
        <w:t>-</w:t>
      </w:r>
      <w:r w:rsidR="006B5965" w:rsidRPr="006B5965">
        <w:rPr>
          <w:rFonts w:cs="Arial"/>
          <w:i/>
        </w:rPr>
        <w:t>a</w:t>
      </w:r>
      <w:r w:rsidR="004C75B1">
        <w:rPr>
          <w:rFonts w:cs="Arial"/>
        </w:rPr>
        <w:t xml:space="preserve"> </w:t>
      </w:r>
      <w:r w:rsidRPr="001861B8">
        <w:rPr>
          <w:rFonts w:cs="Arial"/>
        </w:rPr>
        <w:t xml:space="preserve">and </w:t>
      </w:r>
      <w:r w:rsidR="00850FD4">
        <w:rPr>
          <w:rFonts w:cs="Arial"/>
        </w:rPr>
        <w:t xml:space="preserve">particulate and </w:t>
      </w:r>
      <w:r w:rsidRPr="001861B8">
        <w:rPr>
          <w:rFonts w:cs="Arial"/>
        </w:rPr>
        <w:t xml:space="preserve">dissolved nutrients into the Reef. Current sampling methods include discrete water profile sampling combined with </w:t>
      </w:r>
      <w:r w:rsidR="007D4348">
        <w:rPr>
          <w:rFonts w:cs="Arial"/>
        </w:rPr>
        <w:t xml:space="preserve">analysis of </w:t>
      </w:r>
      <w:r w:rsidRPr="001861B8">
        <w:rPr>
          <w:rFonts w:cs="Arial"/>
        </w:rPr>
        <w:t xml:space="preserve">remote sensing  imagery </w:t>
      </w:r>
      <w:r w:rsidR="007D4348" w:rsidRPr="001861B8">
        <w:rPr>
          <w:rFonts w:cs="Arial"/>
        </w:rPr>
        <w:t>(MODIS)</w:t>
      </w:r>
      <w:r w:rsidR="007D4348">
        <w:rPr>
          <w:rFonts w:cs="Arial"/>
        </w:rPr>
        <w:t xml:space="preserve"> </w:t>
      </w:r>
      <w:r w:rsidRPr="001861B8">
        <w:rPr>
          <w:rFonts w:cs="Arial"/>
        </w:rPr>
        <w:t>as a tool for qualitatively assessing flood plume extent within the Reef.</w:t>
      </w:r>
      <w:r w:rsidR="00BF23B1">
        <w:rPr>
          <w:rFonts w:cs="Arial"/>
        </w:rPr>
        <w:t xml:space="preserve"> </w:t>
      </w:r>
      <w:r w:rsidRPr="001861B8">
        <w:rPr>
          <w:rFonts w:cs="Arial"/>
        </w:rPr>
        <w:t xml:space="preserve">The MMP </w:t>
      </w:r>
      <w:r w:rsidR="002C68DC">
        <w:rPr>
          <w:rFonts w:cs="Arial"/>
        </w:rPr>
        <w:t xml:space="preserve">inshore </w:t>
      </w:r>
      <w:r w:rsidRPr="001861B8">
        <w:rPr>
          <w:rFonts w:cs="Arial"/>
        </w:rPr>
        <w:t>water quality monitoring program inform</w:t>
      </w:r>
      <w:r w:rsidR="00BF23B1">
        <w:rPr>
          <w:rFonts w:cs="Arial"/>
        </w:rPr>
        <w:t>s</w:t>
      </w:r>
      <w:r w:rsidRPr="001861B8">
        <w:rPr>
          <w:rFonts w:cs="Arial"/>
        </w:rPr>
        <w:t xml:space="preserve"> the Paddock to Reef program by:</w:t>
      </w:r>
    </w:p>
    <w:p w14:paraId="1CD28CA6" w14:textId="596966D1" w:rsidR="002E600A" w:rsidRPr="00FE2F59" w:rsidRDefault="002E600A" w:rsidP="006C7E99">
      <w:pPr>
        <w:pStyle w:val="ListParagraph"/>
        <w:numPr>
          <w:ilvl w:val="0"/>
          <w:numId w:val="8"/>
        </w:numPr>
        <w:rPr>
          <w:rFonts w:cs="Arial"/>
        </w:rPr>
      </w:pPr>
      <w:r w:rsidRPr="00FE2F59">
        <w:rPr>
          <w:rFonts w:cs="Arial"/>
          <w:lang w:eastAsia="zh-CN"/>
        </w:rPr>
        <w:t xml:space="preserve">Describing spatial patterns and temporal </w:t>
      </w:r>
      <w:r w:rsidRPr="00FE2F59">
        <w:rPr>
          <w:rFonts w:cs="Arial"/>
        </w:rPr>
        <w:t xml:space="preserve">trends in inshore concentrations of sediment, </w:t>
      </w:r>
      <w:r w:rsidR="008B1FF1" w:rsidRPr="00DA0B37">
        <w:rPr>
          <w:rFonts w:cs="Arial"/>
        </w:rPr>
        <w:t>Chl</w:t>
      </w:r>
      <w:r w:rsidR="008B1FF1">
        <w:rPr>
          <w:rFonts w:cs="Arial"/>
        </w:rPr>
        <w:t>-</w:t>
      </w:r>
      <w:r w:rsidR="008B1FF1" w:rsidRPr="008341E2">
        <w:rPr>
          <w:rFonts w:cs="Arial"/>
          <w:i/>
        </w:rPr>
        <w:t>a</w:t>
      </w:r>
      <w:r w:rsidR="002C68DC">
        <w:rPr>
          <w:rFonts w:cs="Arial"/>
        </w:rPr>
        <w:t>,</w:t>
      </w:r>
      <w:r w:rsidRPr="00FE2F59">
        <w:rPr>
          <w:rFonts w:cs="Arial"/>
        </w:rPr>
        <w:t xml:space="preserve"> nutrients and pesticides, as assessed against the Guidelines (or other water quality guidelines if appropriate). </w:t>
      </w:r>
    </w:p>
    <w:p w14:paraId="546A8595" w14:textId="77777777" w:rsidR="002E600A" w:rsidRPr="00FE2F59" w:rsidRDefault="002E600A" w:rsidP="006C7E99">
      <w:pPr>
        <w:pStyle w:val="ListParagraph"/>
        <w:numPr>
          <w:ilvl w:val="0"/>
          <w:numId w:val="8"/>
        </w:numPr>
        <w:rPr>
          <w:rFonts w:cs="Arial"/>
          <w:lang w:eastAsia="zh-CN"/>
        </w:rPr>
      </w:pPr>
      <w:r w:rsidRPr="00FE2F59">
        <w:rPr>
          <w:rFonts w:cs="Arial"/>
          <w:lang w:eastAsia="zh-CN"/>
        </w:rPr>
        <w:t xml:space="preserve">Determining local water quality by autonomous instruments for high-frequency measurements at selected inshore locations. </w:t>
      </w:r>
    </w:p>
    <w:p w14:paraId="159397B2" w14:textId="4C4036C6" w:rsidR="002E600A" w:rsidRPr="00FE2F59" w:rsidRDefault="002E600A" w:rsidP="006C7E99">
      <w:pPr>
        <w:pStyle w:val="ListParagraph"/>
        <w:numPr>
          <w:ilvl w:val="0"/>
          <w:numId w:val="8"/>
        </w:numPr>
        <w:rPr>
          <w:rFonts w:cs="Arial"/>
          <w:lang w:eastAsia="en-AU"/>
        </w:rPr>
      </w:pPr>
      <w:r w:rsidRPr="00FE2F59">
        <w:rPr>
          <w:rFonts w:cs="Arial"/>
        </w:rPr>
        <w:t>Determining the fine scale water quality depth profiles by deploying continuous monitoring equipment along transects in key areas (note, only from 2015</w:t>
      </w:r>
      <w:r w:rsidR="002C68DC">
        <w:rPr>
          <w:rFonts w:cs="Arial"/>
        </w:rPr>
        <w:t>–</w:t>
      </w:r>
      <w:r w:rsidRPr="00FE2F59">
        <w:rPr>
          <w:rFonts w:cs="Arial"/>
        </w:rPr>
        <w:t xml:space="preserve">16). </w:t>
      </w:r>
      <w:r w:rsidRPr="00FE2F59">
        <w:rPr>
          <w:rFonts w:cs="Arial"/>
          <w:lang w:eastAsia="en-AU"/>
        </w:rPr>
        <w:t xml:space="preserve"> </w:t>
      </w:r>
    </w:p>
    <w:p w14:paraId="5A2F5716" w14:textId="77777777" w:rsidR="002E600A" w:rsidRPr="00FE2F59" w:rsidRDefault="002E600A" w:rsidP="006C7E99">
      <w:pPr>
        <w:pStyle w:val="ListParagraph"/>
        <w:numPr>
          <w:ilvl w:val="0"/>
          <w:numId w:val="8"/>
        </w:numPr>
        <w:rPr>
          <w:rFonts w:cs="Arial"/>
        </w:rPr>
      </w:pPr>
      <w:r w:rsidRPr="00FE2F59">
        <w:rPr>
          <w:rFonts w:cs="Arial"/>
        </w:rPr>
        <w:t>Determining the three dimensional extent and duration of flood plumes and link concentrations of suspended sediment, nutrients and pesticides to end-of-catchment loads.</w:t>
      </w:r>
    </w:p>
    <w:p w14:paraId="652CD582" w14:textId="165E2AB2" w:rsidR="002E600A" w:rsidRPr="00FE2F59" w:rsidRDefault="002E600A" w:rsidP="006C7E99">
      <w:pPr>
        <w:pStyle w:val="ListParagraph"/>
        <w:numPr>
          <w:ilvl w:val="0"/>
          <w:numId w:val="8"/>
        </w:numPr>
        <w:rPr>
          <w:rFonts w:cs="Arial"/>
        </w:rPr>
      </w:pPr>
      <w:r w:rsidRPr="00FE2F59">
        <w:rPr>
          <w:rFonts w:cs="Arial"/>
        </w:rPr>
        <w:t xml:space="preserve">Calculating the marine water quality </w:t>
      </w:r>
      <w:r w:rsidR="00850FD4">
        <w:rPr>
          <w:rFonts w:cs="Arial"/>
        </w:rPr>
        <w:t>index</w:t>
      </w:r>
      <w:r w:rsidRPr="00FE2F59">
        <w:rPr>
          <w:rFonts w:cs="Arial"/>
        </w:rPr>
        <w:t xml:space="preserve"> and site-specific metrics for nutrients, turbidity and suspended solids. </w:t>
      </w:r>
    </w:p>
    <w:p w14:paraId="0407D95C" w14:textId="5A2FE7E6" w:rsidR="002E600A" w:rsidRPr="00FE2F59" w:rsidRDefault="002C68DC" w:rsidP="006C7E99">
      <w:pPr>
        <w:pStyle w:val="ListParagraph"/>
        <w:numPr>
          <w:ilvl w:val="0"/>
          <w:numId w:val="8"/>
        </w:numPr>
        <w:rPr>
          <w:rFonts w:cs="Arial"/>
        </w:rPr>
      </w:pPr>
      <w:r>
        <w:rPr>
          <w:rFonts w:cs="Arial"/>
        </w:rPr>
        <w:t>Determining t</w:t>
      </w:r>
      <w:r w:rsidR="002E600A" w:rsidRPr="00FE2F59">
        <w:rPr>
          <w:rFonts w:cs="Arial"/>
        </w:rPr>
        <w:t xml:space="preserve">rends in turbidity and light attenuation for key Reef inshore habitats against established thresholds and/or guidelines. </w:t>
      </w:r>
    </w:p>
    <w:p w14:paraId="3C2A5EF0" w14:textId="7AE05830" w:rsidR="002E600A" w:rsidRPr="00FE2F59" w:rsidRDefault="002C68DC" w:rsidP="006C7E99">
      <w:pPr>
        <w:pStyle w:val="ListParagraph"/>
        <w:numPr>
          <w:ilvl w:val="0"/>
          <w:numId w:val="8"/>
        </w:numPr>
        <w:rPr>
          <w:rFonts w:cs="Arial"/>
        </w:rPr>
      </w:pPr>
      <w:r>
        <w:rPr>
          <w:rFonts w:cs="Arial"/>
        </w:rPr>
        <w:t xml:space="preserve">Establishing the </w:t>
      </w:r>
      <w:r w:rsidR="002E600A" w:rsidRPr="00FE2F59">
        <w:rPr>
          <w:rFonts w:cs="Arial"/>
        </w:rPr>
        <w:t>extent, frequency and intensity of impacts on Reef inshore seagrass meadows and coral reefs from flood plumes and the link to end-of-catchment loads.</w:t>
      </w:r>
    </w:p>
    <w:p w14:paraId="4088DFB9" w14:textId="17975DAB" w:rsidR="001861B8" w:rsidRPr="00A64BC2" w:rsidRDefault="001861B8" w:rsidP="001861B8">
      <w:pPr>
        <w:pStyle w:val="Heading2"/>
      </w:pPr>
      <w:bookmarkStart w:id="59" w:name="_Toc261013257"/>
      <w:bookmarkStart w:id="60" w:name="_Toc294781679"/>
      <w:bookmarkStart w:id="61" w:name="_Toc393785006"/>
      <w:bookmarkStart w:id="62" w:name="_Toc394061116"/>
      <w:bookmarkStart w:id="63" w:name="_Toc394061206"/>
      <w:bookmarkStart w:id="64" w:name="_Toc423036748"/>
      <w:bookmarkStart w:id="65" w:name="_Toc433716354"/>
      <w:bookmarkStart w:id="66" w:name="_Toc520727819"/>
      <w:bookmarkStart w:id="67" w:name="_Toc12365563"/>
      <w:r w:rsidRPr="00A64BC2">
        <w:t>Methods</w:t>
      </w:r>
      <w:bookmarkEnd w:id="59"/>
      <w:bookmarkEnd w:id="60"/>
      <w:bookmarkEnd w:id="61"/>
      <w:bookmarkEnd w:id="62"/>
      <w:bookmarkEnd w:id="63"/>
      <w:bookmarkEnd w:id="64"/>
      <w:bookmarkEnd w:id="65"/>
      <w:bookmarkEnd w:id="66"/>
      <w:bookmarkEnd w:id="67"/>
    </w:p>
    <w:p w14:paraId="5DFBA16F" w14:textId="36976CAC" w:rsidR="000D578D" w:rsidRPr="00A64BC2" w:rsidRDefault="001861B8" w:rsidP="00CC0E4D">
      <w:pPr>
        <w:rPr>
          <w:lang w:eastAsia="en-AU"/>
        </w:rPr>
      </w:pPr>
      <w:r w:rsidRPr="00A64BC2">
        <w:rPr>
          <w:lang w:eastAsia="en-AU"/>
        </w:rPr>
        <w:t xml:space="preserve">This </w:t>
      </w:r>
      <w:r w:rsidR="002C68DC">
        <w:rPr>
          <w:lang w:eastAsia="en-AU"/>
        </w:rPr>
        <w:t xml:space="preserve">Section </w:t>
      </w:r>
      <w:r w:rsidRPr="00A64BC2">
        <w:rPr>
          <w:lang w:eastAsia="en-AU"/>
        </w:rPr>
        <w:t>provides an overview of sample collection</w:t>
      </w:r>
      <w:r w:rsidR="00293921">
        <w:rPr>
          <w:lang w:eastAsia="en-AU"/>
        </w:rPr>
        <w:t xml:space="preserve"> and</w:t>
      </w:r>
      <w:r w:rsidRPr="00A64BC2">
        <w:rPr>
          <w:lang w:eastAsia="en-AU"/>
        </w:rPr>
        <w:t xml:space="preserve"> preparation</w:t>
      </w:r>
      <w:r w:rsidR="00293921">
        <w:rPr>
          <w:lang w:eastAsia="en-AU"/>
        </w:rPr>
        <w:t>,</w:t>
      </w:r>
      <w:r w:rsidRPr="00A64BC2">
        <w:rPr>
          <w:lang w:eastAsia="en-AU"/>
        </w:rPr>
        <w:t xml:space="preserve"> and analyses </w:t>
      </w:r>
      <w:r w:rsidR="00293921">
        <w:rPr>
          <w:lang w:eastAsia="en-AU"/>
        </w:rPr>
        <w:t xml:space="preserve">the </w:t>
      </w:r>
      <w:r>
        <w:rPr>
          <w:lang w:eastAsia="en-AU"/>
        </w:rPr>
        <w:t>analytical</w:t>
      </w:r>
      <w:r w:rsidR="00D1570D">
        <w:rPr>
          <w:lang w:eastAsia="en-AU"/>
        </w:rPr>
        <w:t xml:space="preserve"> methods</w:t>
      </w:r>
      <w:r w:rsidR="00293921">
        <w:rPr>
          <w:lang w:eastAsia="en-AU"/>
        </w:rPr>
        <w:t xml:space="preserve"> used</w:t>
      </w:r>
      <w:r w:rsidRPr="00A64BC2">
        <w:rPr>
          <w:lang w:eastAsia="en-AU"/>
        </w:rPr>
        <w:t>.</w:t>
      </w:r>
    </w:p>
    <w:p w14:paraId="196D0860" w14:textId="41E763B9" w:rsidR="001861B8" w:rsidRPr="001861B8" w:rsidRDefault="001861B8" w:rsidP="0067588D">
      <w:pPr>
        <w:pStyle w:val="Heading3"/>
      </w:pPr>
      <w:bookmarkStart w:id="68" w:name="_Toc261013259"/>
      <w:bookmarkStart w:id="69" w:name="_Toc294781681"/>
      <w:bookmarkStart w:id="70" w:name="_Toc393785007"/>
      <w:bookmarkStart w:id="71" w:name="_Toc394061117"/>
      <w:bookmarkStart w:id="72" w:name="_Toc394061207"/>
      <w:bookmarkStart w:id="73" w:name="_Toc423036749"/>
      <w:bookmarkStart w:id="74" w:name="_Toc433716355"/>
      <w:bookmarkStart w:id="75" w:name="_Toc520727820"/>
      <w:bookmarkStart w:id="76" w:name="_Toc12365564"/>
      <w:r w:rsidRPr="001861B8">
        <w:t>Sampling locations</w:t>
      </w:r>
      <w:bookmarkEnd w:id="68"/>
      <w:bookmarkEnd w:id="69"/>
      <w:bookmarkEnd w:id="70"/>
      <w:bookmarkEnd w:id="71"/>
      <w:bookmarkEnd w:id="72"/>
      <w:r w:rsidRPr="001861B8">
        <w:t xml:space="preserve"> and frequency</w:t>
      </w:r>
      <w:bookmarkEnd w:id="73"/>
      <w:bookmarkEnd w:id="74"/>
      <w:bookmarkEnd w:id="75"/>
      <w:bookmarkEnd w:id="76"/>
    </w:p>
    <w:p w14:paraId="16F68844" w14:textId="11558007" w:rsidR="00FE34ED" w:rsidRPr="001861B8" w:rsidRDefault="001861B8" w:rsidP="001861B8">
      <w:pPr>
        <w:rPr>
          <w:rFonts w:cs="Arial"/>
        </w:rPr>
      </w:pPr>
      <w:r w:rsidRPr="001861B8">
        <w:rPr>
          <w:rFonts w:cs="Arial"/>
        </w:rPr>
        <w:t xml:space="preserve">The current design of the joint AIMS and TropWATER sampling program comprises </w:t>
      </w:r>
      <w:r w:rsidR="00625748">
        <w:rPr>
          <w:rFonts w:cs="Arial"/>
        </w:rPr>
        <w:t>58</w:t>
      </w:r>
      <w:r w:rsidRPr="001861B8">
        <w:rPr>
          <w:rFonts w:cs="Arial"/>
        </w:rPr>
        <w:t xml:space="preserve"> fixed sampling sites during the year, with more frequent sampling during the wet season (</w:t>
      </w:r>
      <w:r w:rsidR="00625748">
        <w:rPr>
          <w:rFonts w:cs="Arial"/>
        </w:rPr>
        <w:t>77</w:t>
      </w:r>
      <w:r w:rsidRPr="001861B8">
        <w:rPr>
          <w:rFonts w:cs="Arial"/>
        </w:rPr>
        <w:t xml:space="preserve"> sites in total</w:t>
      </w:r>
      <w:r w:rsidR="00625748">
        <w:rPr>
          <w:rFonts w:cs="Arial"/>
        </w:rPr>
        <w:t xml:space="preserve"> </w:t>
      </w:r>
      <w:r w:rsidR="00850FD4">
        <w:rPr>
          <w:rFonts w:cs="Arial"/>
        </w:rPr>
        <w:t xml:space="preserve">which </w:t>
      </w:r>
      <w:r w:rsidR="00625748">
        <w:rPr>
          <w:rFonts w:cs="Arial"/>
        </w:rPr>
        <w:t>includes 27 additional stations</w:t>
      </w:r>
      <w:r w:rsidR="00850FD4">
        <w:rPr>
          <w:rFonts w:cs="Arial"/>
        </w:rPr>
        <w:t xml:space="preserve"> to the routine/fixed sites</w:t>
      </w:r>
      <w:r w:rsidRPr="001861B8">
        <w:rPr>
          <w:rFonts w:cs="Arial"/>
        </w:rPr>
        <w:t>), across the focus areas in four NRM regions: Cape York</w:t>
      </w:r>
      <w:r w:rsidR="00293921">
        <w:rPr>
          <w:rFonts w:cs="Arial"/>
        </w:rPr>
        <w:t xml:space="preserve"> —</w:t>
      </w:r>
      <w:r w:rsidRPr="001861B8">
        <w:rPr>
          <w:rFonts w:cs="Arial"/>
        </w:rPr>
        <w:t>Pascoe, Normanby-Kennedy, Annan-Endeavour</w:t>
      </w:r>
      <w:r w:rsidR="002C68DC">
        <w:rPr>
          <w:rFonts w:cs="Arial"/>
        </w:rPr>
        <w:t xml:space="preserve"> and</w:t>
      </w:r>
      <w:r w:rsidRPr="001861B8">
        <w:rPr>
          <w:rFonts w:cs="Arial"/>
        </w:rPr>
        <w:t xml:space="preserve"> Stewart</w:t>
      </w:r>
      <w:r w:rsidR="00943D89">
        <w:rPr>
          <w:rFonts w:cs="Arial"/>
        </w:rPr>
        <w:t xml:space="preserve"> Rivers</w:t>
      </w:r>
      <w:r w:rsidRPr="001861B8">
        <w:rPr>
          <w:rFonts w:cs="Arial"/>
        </w:rPr>
        <w:t>; Wet Tropics</w:t>
      </w:r>
      <w:r w:rsidR="00293921">
        <w:rPr>
          <w:rFonts w:cs="Arial"/>
        </w:rPr>
        <w:t xml:space="preserve"> — </w:t>
      </w:r>
      <w:r w:rsidRPr="001861B8">
        <w:rPr>
          <w:rFonts w:cs="Arial"/>
        </w:rPr>
        <w:t>Barron-Daintree (Cairns transect), Russell-Mulgrave</w:t>
      </w:r>
      <w:r w:rsidR="002C68DC">
        <w:rPr>
          <w:rFonts w:cs="Arial"/>
        </w:rPr>
        <w:t xml:space="preserve"> and</w:t>
      </w:r>
      <w:r w:rsidRPr="001861B8">
        <w:rPr>
          <w:rFonts w:cs="Arial"/>
        </w:rPr>
        <w:t xml:space="preserve"> Tully; Burdekin</w:t>
      </w:r>
      <w:r w:rsidR="002C68DC">
        <w:rPr>
          <w:rFonts w:cs="Arial"/>
        </w:rPr>
        <w:t xml:space="preserve"> and</w:t>
      </w:r>
      <w:r w:rsidRPr="001861B8">
        <w:rPr>
          <w:rFonts w:cs="Arial"/>
        </w:rPr>
        <w:t xml:space="preserve"> Mackay Whitsunday. These include the original 14 ‘core’ sites of the inshore coral reef monitoring and key sites under the wet season monitoring (</w:t>
      </w:r>
      <w:r w:rsidR="00E2020D">
        <w:rPr>
          <w:rFonts w:cs="Arial"/>
        </w:rPr>
        <w:fldChar w:fldCharType="begin"/>
      </w:r>
      <w:r w:rsidR="00E2020D">
        <w:rPr>
          <w:rFonts w:cs="Arial"/>
        </w:rPr>
        <w:instrText xml:space="preserve"> REF _Ref14684995 \h </w:instrText>
      </w:r>
      <w:r w:rsidR="00E2020D">
        <w:rPr>
          <w:rFonts w:cs="Arial"/>
        </w:rPr>
      </w:r>
      <w:r w:rsidR="00E2020D">
        <w:rPr>
          <w:rFonts w:cs="Arial"/>
        </w:rPr>
        <w:fldChar w:fldCharType="separate"/>
      </w:r>
      <w:r w:rsidR="00E2020D">
        <w:t xml:space="preserve">Table </w:t>
      </w:r>
      <w:r w:rsidR="00E2020D">
        <w:rPr>
          <w:noProof/>
        </w:rPr>
        <w:t>2</w:t>
      </w:r>
      <w:r w:rsidR="00E2020D">
        <w:t>.</w:t>
      </w:r>
      <w:r w:rsidR="00E2020D">
        <w:rPr>
          <w:noProof/>
        </w:rPr>
        <w:t>1</w:t>
      </w:r>
      <w:r w:rsidR="00E2020D">
        <w:rPr>
          <w:rFonts w:cs="Arial"/>
        </w:rPr>
        <w:fldChar w:fldCharType="end"/>
      </w:r>
      <w:r w:rsidR="00E2020D">
        <w:rPr>
          <w:rFonts w:cs="Arial"/>
        </w:rPr>
        <w:t xml:space="preserve"> and </w:t>
      </w:r>
      <w:r w:rsidRPr="001861B8">
        <w:rPr>
          <w:rFonts w:cs="Arial"/>
        </w:rPr>
        <w:fldChar w:fldCharType="begin"/>
      </w:r>
      <w:r w:rsidRPr="001861B8">
        <w:rPr>
          <w:rFonts w:cs="Arial"/>
        </w:rPr>
        <w:instrText xml:space="preserve"> REF _Ref433710254 \h  \* MERGEFORMAT </w:instrText>
      </w:r>
      <w:r w:rsidRPr="001861B8">
        <w:rPr>
          <w:rFonts w:cs="Arial"/>
        </w:rPr>
      </w:r>
      <w:r w:rsidRPr="001861B8">
        <w:rPr>
          <w:rFonts w:cs="Arial"/>
        </w:rPr>
        <w:fldChar w:fldCharType="separate"/>
      </w:r>
      <w:r w:rsidR="00D528AA" w:rsidRPr="00D528AA">
        <w:rPr>
          <w:rFonts w:cs="Arial"/>
        </w:rPr>
        <w:t xml:space="preserve">Figure </w:t>
      </w:r>
      <w:r w:rsidR="00D528AA" w:rsidRPr="00D528AA">
        <w:rPr>
          <w:rFonts w:cs="Arial"/>
          <w:noProof/>
        </w:rPr>
        <w:t>2</w:t>
      </w:r>
      <w:r w:rsidR="00D528AA" w:rsidRPr="00D528AA">
        <w:rPr>
          <w:rFonts w:cs="Arial"/>
          <w:noProof/>
        </w:rPr>
        <w:noBreakHyphen/>
        <w:t>4</w:t>
      </w:r>
      <w:r w:rsidRPr="001861B8">
        <w:rPr>
          <w:rFonts w:cs="Arial"/>
        </w:rPr>
        <w:fldChar w:fldCharType="end"/>
      </w:r>
      <w:r w:rsidRPr="001861B8">
        <w:rPr>
          <w:rFonts w:cs="Arial"/>
        </w:rPr>
        <w:t>). At these sites, detailed manual and instrumental water sampling is undertaken.</w:t>
      </w:r>
      <w:bookmarkStart w:id="77" w:name="_Ref420919329"/>
    </w:p>
    <w:p w14:paraId="6B188294" w14:textId="77777777" w:rsidR="001861B8" w:rsidRPr="001861B8" w:rsidRDefault="001861B8" w:rsidP="00E2020D">
      <w:pPr>
        <w:spacing w:before="120"/>
        <w:rPr>
          <w:rFonts w:eastAsiaTheme="minorEastAsia" w:cs="Arial"/>
          <w:bCs/>
          <w:color w:val="000000" w:themeColor="text1"/>
          <w:sz w:val="20"/>
          <w:szCs w:val="20"/>
          <w:lang w:eastAsia="en-AU"/>
        </w:rPr>
        <w:sectPr w:rsidR="001861B8" w:rsidRPr="001861B8" w:rsidSect="00E2020D">
          <w:pgSz w:w="11906" w:h="16838"/>
          <w:pgMar w:top="1440" w:right="1440" w:bottom="1440" w:left="1440" w:header="709" w:footer="149" w:gutter="0"/>
          <w:pgNumType w:start="1"/>
          <w:cols w:space="708"/>
          <w:docGrid w:linePitch="360"/>
        </w:sectPr>
      </w:pPr>
    </w:p>
    <w:p w14:paraId="265667E5" w14:textId="7DE37838" w:rsidR="001861B8" w:rsidRDefault="001861B8" w:rsidP="007E5A3A">
      <w:pPr>
        <w:pStyle w:val="Caption"/>
      </w:pPr>
      <w:bookmarkStart w:id="78" w:name="_Ref14684995"/>
      <w:bookmarkStart w:id="79" w:name="_Toc10398442"/>
      <w:r>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2</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1</w:t>
      </w:r>
      <w:r w:rsidR="006940F4">
        <w:rPr>
          <w:noProof/>
        </w:rPr>
        <w:fldChar w:fldCharType="end"/>
      </w:r>
      <w:bookmarkEnd w:id="78"/>
      <w:r>
        <w:t xml:space="preserve"> </w:t>
      </w:r>
      <w:r w:rsidRPr="002B545E">
        <w:t xml:space="preserve">Great Barrier Reef inshore water quality monitoring locations by NRM regions. Monitoring is a collaborative effort between </w:t>
      </w:r>
      <w:r w:rsidR="00B20EE5">
        <w:t>J</w:t>
      </w:r>
      <w:r w:rsidRPr="002B545E">
        <w:t>CU and AIMS.</w:t>
      </w:r>
      <w:bookmarkEnd w:id="79"/>
      <w:r w:rsidRPr="002B545E">
        <w:t xml:space="preserve"> </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39"/>
        <w:gridCol w:w="1133"/>
        <w:gridCol w:w="1136"/>
        <w:gridCol w:w="1166"/>
        <w:gridCol w:w="1161"/>
        <w:gridCol w:w="1103"/>
        <w:gridCol w:w="1826"/>
        <w:gridCol w:w="1908"/>
        <w:gridCol w:w="1815"/>
      </w:tblGrid>
      <w:tr w:rsidR="00B02424" w:rsidRPr="001861B8" w14:paraId="371FC16E" w14:textId="77777777" w:rsidTr="00B02424">
        <w:trPr>
          <w:trHeight w:val="440"/>
        </w:trPr>
        <w:tc>
          <w:tcPr>
            <w:tcW w:w="2146" w:type="pct"/>
            <w:gridSpan w:val="4"/>
            <w:shd w:val="clear" w:color="auto" w:fill="D9D9D9"/>
            <w:noWrap/>
            <w:tcMar>
              <w:top w:w="0" w:type="dxa"/>
              <w:left w:w="108" w:type="dxa"/>
              <w:bottom w:w="0" w:type="dxa"/>
              <w:right w:w="108" w:type="dxa"/>
            </w:tcMar>
            <w:vAlign w:val="center"/>
            <w:hideMark/>
          </w:tcPr>
          <w:p w14:paraId="5BDC870B"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DD6146">
              <w:rPr>
                <w:rFonts w:ascii="Arial Narrow" w:hAnsi="Arial Narrow"/>
                <w:b/>
                <w:bCs/>
                <w:color w:val="000000"/>
                <w:sz w:val="18"/>
                <w:lang w:eastAsia="en-AU"/>
              </w:rPr>
              <w:t> Site Location</w:t>
            </w:r>
          </w:p>
        </w:tc>
        <w:tc>
          <w:tcPr>
            <w:tcW w:w="827" w:type="pct"/>
            <w:gridSpan w:val="2"/>
            <w:shd w:val="clear" w:color="auto" w:fill="D9D9D9"/>
            <w:tcMar>
              <w:top w:w="0" w:type="dxa"/>
              <w:left w:w="108" w:type="dxa"/>
              <w:bottom w:w="0" w:type="dxa"/>
              <w:right w:w="108" w:type="dxa"/>
            </w:tcMar>
            <w:vAlign w:val="center"/>
            <w:hideMark/>
          </w:tcPr>
          <w:p w14:paraId="36359C72"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Logger Deployment</w:t>
            </w:r>
          </w:p>
        </w:tc>
        <w:tc>
          <w:tcPr>
            <w:tcW w:w="1364" w:type="pct"/>
            <w:gridSpan w:val="2"/>
            <w:shd w:val="clear" w:color="auto" w:fill="D9D9D9"/>
            <w:vAlign w:val="center"/>
          </w:tcPr>
          <w:p w14:paraId="41BF8706"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Routine grab samples at fixed sites</w:t>
            </w:r>
          </w:p>
        </w:tc>
        <w:tc>
          <w:tcPr>
            <w:tcW w:w="663" w:type="pct"/>
            <w:shd w:val="clear" w:color="auto" w:fill="D9D9D9"/>
            <w:vAlign w:val="center"/>
          </w:tcPr>
          <w:p w14:paraId="6BABC133"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Reactive flood plume sampling</w:t>
            </w:r>
          </w:p>
        </w:tc>
      </w:tr>
      <w:tr w:rsidR="00B02424" w:rsidRPr="001861B8" w14:paraId="5F45815B" w14:textId="77777777" w:rsidTr="00B02424">
        <w:tc>
          <w:tcPr>
            <w:tcW w:w="891" w:type="pct"/>
            <w:shd w:val="clear" w:color="auto" w:fill="D9D9D9"/>
            <w:noWrap/>
            <w:tcMar>
              <w:top w:w="0" w:type="dxa"/>
              <w:left w:w="108" w:type="dxa"/>
              <w:bottom w:w="0" w:type="dxa"/>
              <w:right w:w="108" w:type="dxa"/>
            </w:tcMar>
            <w:vAlign w:val="center"/>
            <w:hideMark/>
          </w:tcPr>
          <w:p w14:paraId="584C7532"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NRM Region</w:t>
            </w:r>
          </w:p>
        </w:tc>
        <w:tc>
          <w:tcPr>
            <w:tcW w:w="414" w:type="pct"/>
            <w:shd w:val="clear" w:color="auto" w:fill="D9D9D9"/>
            <w:tcMar>
              <w:top w:w="0" w:type="dxa"/>
              <w:left w:w="108" w:type="dxa"/>
              <w:bottom w:w="0" w:type="dxa"/>
              <w:right w:w="108" w:type="dxa"/>
            </w:tcMar>
            <w:vAlign w:val="center"/>
            <w:hideMark/>
          </w:tcPr>
          <w:p w14:paraId="0838F003"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Site Code</w:t>
            </w:r>
          </w:p>
        </w:tc>
        <w:tc>
          <w:tcPr>
            <w:tcW w:w="415" w:type="pct"/>
            <w:shd w:val="clear" w:color="auto" w:fill="D9D9D9"/>
            <w:noWrap/>
            <w:tcMar>
              <w:top w:w="0" w:type="dxa"/>
              <w:left w:w="108" w:type="dxa"/>
              <w:bottom w:w="0" w:type="dxa"/>
              <w:right w:w="108" w:type="dxa"/>
            </w:tcMar>
            <w:vAlign w:val="center"/>
            <w:hideMark/>
          </w:tcPr>
          <w:p w14:paraId="0B5C4556"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Longitude</w:t>
            </w:r>
          </w:p>
        </w:tc>
        <w:tc>
          <w:tcPr>
            <w:tcW w:w="426" w:type="pct"/>
            <w:shd w:val="clear" w:color="auto" w:fill="D9D9D9"/>
            <w:noWrap/>
            <w:tcMar>
              <w:top w:w="0" w:type="dxa"/>
              <w:left w:w="108" w:type="dxa"/>
              <w:bottom w:w="0" w:type="dxa"/>
              <w:right w:w="108" w:type="dxa"/>
            </w:tcMar>
            <w:vAlign w:val="center"/>
            <w:hideMark/>
          </w:tcPr>
          <w:p w14:paraId="6DDCA817"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Latitude</w:t>
            </w:r>
          </w:p>
        </w:tc>
        <w:tc>
          <w:tcPr>
            <w:tcW w:w="424" w:type="pct"/>
            <w:shd w:val="clear" w:color="auto" w:fill="D9D9D9"/>
            <w:tcMar>
              <w:top w:w="0" w:type="dxa"/>
              <w:left w:w="108" w:type="dxa"/>
              <w:bottom w:w="0" w:type="dxa"/>
              <w:right w:w="108" w:type="dxa"/>
            </w:tcMar>
            <w:vAlign w:val="center"/>
            <w:hideMark/>
          </w:tcPr>
          <w:p w14:paraId="45296EDE"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Turbidity and chlorophyll</w:t>
            </w:r>
          </w:p>
        </w:tc>
        <w:tc>
          <w:tcPr>
            <w:tcW w:w="403" w:type="pct"/>
            <w:shd w:val="clear" w:color="auto" w:fill="D9D9D9"/>
            <w:tcMar>
              <w:top w:w="0" w:type="dxa"/>
              <w:left w:w="108" w:type="dxa"/>
              <w:bottom w:w="0" w:type="dxa"/>
              <w:right w:w="108" w:type="dxa"/>
            </w:tcMar>
            <w:vAlign w:val="center"/>
            <w:hideMark/>
          </w:tcPr>
          <w:p w14:paraId="618F25DE"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Salinity</w:t>
            </w:r>
          </w:p>
        </w:tc>
        <w:tc>
          <w:tcPr>
            <w:tcW w:w="667" w:type="pct"/>
            <w:shd w:val="clear" w:color="auto" w:fill="D9D9D9"/>
            <w:tcMar>
              <w:top w:w="0" w:type="dxa"/>
              <w:left w:w="108" w:type="dxa"/>
              <w:bottom w:w="0" w:type="dxa"/>
              <w:right w:w="108" w:type="dxa"/>
            </w:tcMar>
            <w:vAlign w:val="center"/>
            <w:hideMark/>
          </w:tcPr>
          <w:p w14:paraId="4BACB314"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Number of times site is visited/year by AIMS</w:t>
            </w:r>
          </w:p>
        </w:tc>
        <w:tc>
          <w:tcPr>
            <w:tcW w:w="697" w:type="pct"/>
            <w:shd w:val="clear" w:color="auto" w:fill="D9D9D9"/>
            <w:vAlign w:val="center"/>
          </w:tcPr>
          <w:p w14:paraId="3B5EE2A7"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Number of times site is visited/year by JCU</w:t>
            </w:r>
          </w:p>
        </w:tc>
        <w:tc>
          <w:tcPr>
            <w:tcW w:w="663" w:type="pct"/>
            <w:shd w:val="clear" w:color="auto" w:fill="D9D9D9"/>
            <w:vAlign w:val="center"/>
          </w:tcPr>
          <w:p w14:paraId="4229F915" w14:textId="77777777" w:rsidR="00B02424" w:rsidRPr="001861B8" w:rsidRDefault="00B02424" w:rsidP="00B02424">
            <w:pPr>
              <w:spacing w:before="0" w:after="0" w:line="240" w:lineRule="auto"/>
              <w:contextualSpacing/>
              <w:jc w:val="center"/>
              <w:rPr>
                <w:rFonts w:ascii="Arial Narrow" w:hAnsi="Arial Narrow" w:cs="Arial"/>
                <w:b/>
                <w:bCs/>
                <w:color w:val="000000"/>
                <w:sz w:val="18"/>
                <w:lang w:eastAsia="en-AU"/>
              </w:rPr>
            </w:pPr>
            <w:r w:rsidRPr="001861B8">
              <w:rPr>
                <w:rFonts w:ascii="Arial Narrow" w:hAnsi="Arial Narrow" w:cs="Arial"/>
                <w:b/>
                <w:bCs/>
                <w:color w:val="000000"/>
                <w:sz w:val="18"/>
                <w:lang w:eastAsia="en-AU"/>
              </w:rPr>
              <w:t xml:space="preserve">Additional surface-sampling/year by JCU </w:t>
            </w:r>
          </w:p>
        </w:tc>
      </w:tr>
      <w:tr w:rsidR="00B02424" w:rsidRPr="001861B8" w14:paraId="2370A4FC" w14:textId="77777777" w:rsidTr="00B02424">
        <w:tc>
          <w:tcPr>
            <w:tcW w:w="891" w:type="pct"/>
            <w:shd w:val="clear" w:color="auto" w:fill="F2F2F2"/>
            <w:noWrap/>
            <w:tcMar>
              <w:top w:w="0" w:type="dxa"/>
              <w:left w:w="108" w:type="dxa"/>
              <w:bottom w:w="0" w:type="dxa"/>
              <w:right w:w="108" w:type="dxa"/>
            </w:tcMar>
            <w:vAlign w:val="center"/>
            <w:hideMark/>
          </w:tcPr>
          <w:p w14:paraId="08805B06" w14:textId="77777777" w:rsidR="00B02424" w:rsidRPr="001861B8" w:rsidRDefault="006E4035"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CAPE YORK</w:t>
            </w:r>
          </w:p>
        </w:tc>
        <w:tc>
          <w:tcPr>
            <w:tcW w:w="414" w:type="pct"/>
            <w:shd w:val="clear" w:color="auto" w:fill="F2F2F2"/>
            <w:tcMar>
              <w:top w:w="0" w:type="dxa"/>
              <w:left w:w="108" w:type="dxa"/>
              <w:bottom w:w="0" w:type="dxa"/>
              <w:right w:w="108" w:type="dxa"/>
            </w:tcMar>
            <w:vAlign w:val="center"/>
            <w:hideMark/>
          </w:tcPr>
          <w:p w14:paraId="3F30BC49"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15" w:type="pct"/>
            <w:shd w:val="clear" w:color="auto" w:fill="F2F2F2"/>
            <w:noWrap/>
            <w:tcMar>
              <w:top w:w="0" w:type="dxa"/>
              <w:left w:w="108" w:type="dxa"/>
              <w:bottom w:w="0" w:type="dxa"/>
              <w:right w:w="108" w:type="dxa"/>
            </w:tcMar>
            <w:vAlign w:val="center"/>
            <w:hideMark/>
          </w:tcPr>
          <w:p w14:paraId="4BB424D2"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6" w:type="pct"/>
            <w:shd w:val="clear" w:color="auto" w:fill="F2F2F2"/>
            <w:noWrap/>
            <w:tcMar>
              <w:top w:w="0" w:type="dxa"/>
              <w:left w:w="108" w:type="dxa"/>
              <w:bottom w:w="0" w:type="dxa"/>
              <w:right w:w="108" w:type="dxa"/>
            </w:tcMar>
            <w:vAlign w:val="center"/>
            <w:hideMark/>
          </w:tcPr>
          <w:p w14:paraId="58F56022"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5875DC0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3C86028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tcPr>
          <w:p w14:paraId="7C1BF20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0</w:t>
            </w:r>
          </w:p>
        </w:tc>
        <w:tc>
          <w:tcPr>
            <w:tcW w:w="697" w:type="pct"/>
            <w:shd w:val="clear" w:color="auto" w:fill="F2F2F2"/>
          </w:tcPr>
          <w:p w14:paraId="5720A91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1B04D51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FA3178A" w14:textId="77777777" w:rsidTr="00B02424">
        <w:tc>
          <w:tcPr>
            <w:tcW w:w="891" w:type="pct"/>
            <w:shd w:val="clear" w:color="auto" w:fill="F2F2F2" w:themeFill="background1" w:themeFillShade="F2"/>
            <w:tcMar>
              <w:top w:w="0" w:type="dxa"/>
              <w:left w:w="108" w:type="dxa"/>
              <w:bottom w:w="0" w:type="dxa"/>
              <w:right w:w="108" w:type="dxa"/>
            </w:tcMar>
            <w:vAlign w:val="center"/>
          </w:tcPr>
          <w:p w14:paraId="33761D28" w14:textId="77777777" w:rsidR="00B02424" w:rsidRPr="001861B8" w:rsidRDefault="00B02424" w:rsidP="00B02424">
            <w:pPr>
              <w:spacing w:before="0" w:after="0" w:line="240" w:lineRule="auto"/>
              <w:contextualSpacing/>
              <w:rPr>
                <w:rFonts w:ascii="Arial Narrow" w:hAnsi="Arial Narrow" w:cs="Arial"/>
                <w:b/>
                <w:bCs/>
                <w:i/>
                <w:color w:val="000000"/>
                <w:sz w:val="16"/>
                <w:szCs w:val="16"/>
                <w:lang w:eastAsia="en-AU"/>
              </w:rPr>
            </w:pPr>
            <w:r w:rsidRPr="001861B8">
              <w:rPr>
                <w:rFonts w:ascii="Arial Narrow" w:hAnsi="Arial Narrow" w:cs="Arial"/>
                <w:b/>
                <w:i/>
                <w:color w:val="000000"/>
                <w:sz w:val="16"/>
                <w:szCs w:val="16"/>
                <w:lang w:eastAsia="en-AU"/>
              </w:rPr>
              <w:t>Normanby-Kennedy transect</w:t>
            </w:r>
          </w:p>
        </w:tc>
        <w:tc>
          <w:tcPr>
            <w:tcW w:w="414" w:type="pct"/>
            <w:shd w:val="clear" w:color="auto" w:fill="F2F2F2" w:themeFill="background1" w:themeFillShade="F2"/>
            <w:tcMar>
              <w:top w:w="0" w:type="dxa"/>
              <w:left w:w="108" w:type="dxa"/>
              <w:bottom w:w="0" w:type="dxa"/>
              <w:right w:w="108" w:type="dxa"/>
            </w:tcMar>
          </w:tcPr>
          <w:p w14:paraId="5549578E"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p>
        </w:tc>
        <w:tc>
          <w:tcPr>
            <w:tcW w:w="415" w:type="pct"/>
            <w:shd w:val="clear" w:color="auto" w:fill="F2F2F2" w:themeFill="background1" w:themeFillShade="F2"/>
            <w:tcMar>
              <w:top w:w="0" w:type="dxa"/>
              <w:left w:w="108" w:type="dxa"/>
              <w:bottom w:w="0" w:type="dxa"/>
              <w:right w:w="108" w:type="dxa"/>
            </w:tcMar>
          </w:tcPr>
          <w:p w14:paraId="79B0BC1F"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p>
        </w:tc>
        <w:tc>
          <w:tcPr>
            <w:tcW w:w="426" w:type="pct"/>
            <w:shd w:val="clear" w:color="auto" w:fill="F2F2F2" w:themeFill="background1" w:themeFillShade="F2"/>
            <w:tcMar>
              <w:top w:w="0" w:type="dxa"/>
              <w:left w:w="108" w:type="dxa"/>
              <w:bottom w:w="0" w:type="dxa"/>
              <w:right w:w="108" w:type="dxa"/>
            </w:tcMar>
          </w:tcPr>
          <w:p w14:paraId="0C2DF3CA"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p>
        </w:tc>
        <w:tc>
          <w:tcPr>
            <w:tcW w:w="424" w:type="pct"/>
            <w:shd w:val="clear" w:color="auto" w:fill="F2F2F2" w:themeFill="background1" w:themeFillShade="F2"/>
            <w:tcMar>
              <w:top w:w="0" w:type="dxa"/>
              <w:left w:w="108" w:type="dxa"/>
              <w:bottom w:w="0" w:type="dxa"/>
              <w:right w:w="108" w:type="dxa"/>
            </w:tcMar>
          </w:tcPr>
          <w:p w14:paraId="59EE500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shd w:val="clear" w:color="auto" w:fill="F2F2F2" w:themeFill="background1" w:themeFillShade="F2"/>
            <w:tcMar>
              <w:top w:w="0" w:type="dxa"/>
              <w:left w:w="108" w:type="dxa"/>
              <w:bottom w:w="0" w:type="dxa"/>
              <w:right w:w="108" w:type="dxa"/>
            </w:tcMar>
            <w:vAlign w:val="center"/>
          </w:tcPr>
          <w:p w14:paraId="268190A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shd w:val="clear" w:color="auto" w:fill="F2F2F2" w:themeFill="background1" w:themeFillShade="F2"/>
            <w:tcMar>
              <w:top w:w="0" w:type="dxa"/>
              <w:left w:w="108" w:type="dxa"/>
              <w:bottom w:w="0" w:type="dxa"/>
              <w:right w:w="108" w:type="dxa"/>
            </w:tcMar>
            <w:vAlign w:val="center"/>
          </w:tcPr>
          <w:p w14:paraId="539774F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hemeFill="background1" w:themeFillShade="F2"/>
          </w:tcPr>
          <w:p w14:paraId="747006B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hemeFill="background1" w:themeFillShade="F2"/>
          </w:tcPr>
          <w:p w14:paraId="08BDAD04" w14:textId="3FFB5841" w:rsidR="00B02424" w:rsidRPr="001861B8" w:rsidRDefault="00EF7299" w:rsidP="006E4035">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Up to 30 surface samples</w:t>
            </w:r>
          </w:p>
        </w:tc>
      </w:tr>
      <w:tr w:rsidR="00B02424" w:rsidRPr="001861B8" w14:paraId="3D7C10C7" w14:textId="77777777" w:rsidTr="00B02424">
        <w:tc>
          <w:tcPr>
            <w:tcW w:w="891" w:type="pct"/>
            <w:tcMar>
              <w:top w:w="0" w:type="dxa"/>
              <w:left w:w="108" w:type="dxa"/>
              <w:bottom w:w="0" w:type="dxa"/>
              <w:right w:w="108" w:type="dxa"/>
            </w:tcMar>
            <w:vAlign w:val="center"/>
          </w:tcPr>
          <w:p w14:paraId="5ECB05F6"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Kennedy mouth</w:t>
            </w:r>
          </w:p>
        </w:tc>
        <w:tc>
          <w:tcPr>
            <w:tcW w:w="414" w:type="pct"/>
            <w:tcMar>
              <w:top w:w="0" w:type="dxa"/>
              <w:left w:w="108" w:type="dxa"/>
              <w:bottom w:w="0" w:type="dxa"/>
              <w:right w:w="108" w:type="dxa"/>
            </w:tcMar>
            <w:vAlign w:val="center"/>
          </w:tcPr>
          <w:p w14:paraId="2DB09FE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KR-01</w:t>
            </w:r>
          </w:p>
        </w:tc>
        <w:tc>
          <w:tcPr>
            <w:tcW w:w="415" w:type="pct"/>
            <w:tcMar>
              <w:top w:w="0" w:type="dxa"/>
              <w:left w:w="108" w:type="dxa"/>
              <w:bottom w:w="0" w:type="dxa"/>
              <w:right w:w="108" w:type="dxa"/>
            </w:tcMar>
            <w:vAlign w:val="bottom"/>
          </w:tcPr>
          <w:p w14:paraId="6BF2820E"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143.972517</w:t>
            </w:r>
          </w:p>
        </w:tc>
        <w:tc>
          <w:tcPr>
            <w:tcW w:w="426" w:type="pct"/>
            <w:tcMar>
              <w:top w:w="0" w:type="dxa"/>
              <w:left w:w="108" w:type="dxa"/>
              <w:bottom w:w="0" w:type="dxa"/>
              <w:right w:w="108" w:type="dxa"/>
            </w:tcMar>
            <w:vAlign w:val="bottom"/>
          </w:tcPr>
          <w:p w14:paraId="517454F0"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14.47245</w:t>
            </w:r>
          </w:p>
        </w:tc>
        <w:tc>
          <w:tcPr>
            <w:tcW w:w="424" w:type="pct"/>
            <w:tcMar>
              <w:top w:w="0" w:type="dxa"/>
              <w:left w:w="108" w:type="dxa"/>
              <w:bottom w:w="0" w:type="dxa"/>
              <w:right w:w="108" w:type="dxa"/>
            </w:tcMar>
            <w:vAlign w:val="center"/>
          </w:tcPr>
          <w:p w14:paraId="76EB4CC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3BED8D7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2357FA6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012DE67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(Surface sample only)</w:t>
            </w:r>
          </w:p>
        </w:tc>
        <w:tc>
          <w:tcPr>
            <w:tcW w:w="663" w:type="pct"/>
          </w:tcPr>
          <w:p w14:paraId="58EDFFD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5021A860" w14:textId="77777777" w:rsidTr="00B02424">
        <w:tc>
          <w:tcPr>
            <w:tcW w:w="891" w:type="pct"/>
            <w:tcMar>
              <w:top w:w="0" w:type="dxa"/>
              <w:left w:w="108" w:type="dxa"/>
              <w:bottom w:w="0" w:type="dxa"/>
              <w:right w:w="108" w:type="dxa"/>
            </w:tcMar>
            <w:vAlign w:val="center"/>
          </w:tcPr>
          <w:p w14:paraId="5B9C8067"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Kennedy inshore</w:t>
            </w:r>
          </w:p>
        </w:tc>
        <w:tc>
          <w:tcPr>
            <w:tcW w:w="414" w:type="pct"/>
            <w:tcMar>
              <w:top w:w="0" w:type="dxa"/>
              <w:left w:w="108" w:type="dxa"/>
              <w:bottom w:w="0" w:type="dxa"/>
              <w:right w:w="108" w:type="dxa"/>
            </w:tcMar>
            <w:vAlign w:val="center"/>
          </w:tcPr>
          <w:p w14:paraId="1DF6CEA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KR-02</w:t>
            </w:r>
          </w:p>
        </w:tc>
        <w:tc>
          <w:tcPr>
            <w:tcW w:w="415" w:type="pct"/>
            <w:tcMar>
              <w:top w:w="0" w:type="dxa"/>
              <w:left w:w="108" w:type="dxa"/>
              <w:bottom w:w="0" w:type="dxa"/>
              <w:right w:w="108" w:type="dxa"/>
            </w:tcMar>
            <w:vAlign w:val="bottom"/>
          </w:tcPr>
          <w:p w14:paraId="2062B157"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143.951246</w:t>
            </w:r>
          </w:p>
        </w:tc>
        <w:tc>
          <w:tcPr>
            <w:tcW w:w="426" w:type="pct"/>
            <w:tcMar>
              <w:top w:w="0" w:type="dxa"/>
              <w:left w:w="108" w:type="dxa"/>
              <w:bottom w:w="0" w:type="dxa"/>
              <w:right w:w="108" w:type="dxa"/>
            </w:tcMar>
            <w:vAlign w:val="bottom"/>
          </w:tcPr>
          <w:p w14:paraId="053A13D3"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14.424446</w:t>
            </w:r>
          </w:p>
        </w:tc>
        <w:tc>
          <w:tcPr>
            <w:tcW w:w="424" w:type="pct"/>
            <w:tcMar>
              <w:top w:w="0" w:type="dxa"/>
              <w:left w:w="108" w:type="dxa"/>
              <w:bottom w:w="0" w:type="dxa"/>
              <w:right w:w="108" w:type="dxa"/>
            </w:tcMar>
            <w:vAlign w:val="center"/>
          </w:tcPr>
          <w:p w14:paraId="2017487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3844BE2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03F905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61925AC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46B2B04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80F2C86" w14:textId="77777777" w:rsidTr="00B02424">
        <w:tc>
          <w:tcPr>
            <w:tcW w:w="891" w:type="pct"/>
            <w:tcMar>
              <w:top w:w="0" w:type="dxa"/>
              <w:left w:w="108" w:type="dxa"/>
              <w:bottom w:w="0" w:type="dxa"/>
              <w:right w:w="108" w:type="dxa"/>
            </w:tcMar>
            <w:vAlign w:val="center"/>
          </w:tcPr>
          <w:p w14:paraId="36454C22"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Cliff Islands</w:t>
            </w:r>
          </w:p>
        </w:tc>
        <w:tc>
          <w:tcPr>
            <w:tcW w:w="414" w:type="pct"/>
            <w:tcMar>
              <w:top w:w="0" w:type="dxa"/>
              <w:left w:w="108" w:type="dxa"/>
              <w:bottom w:w="0" w:type="dxa"/>
              <w:right w:w="108" w:type="dxa"/>
            </w:tcMar>
            <w:vAlign w:val="center"/>
          </w:tcPr>
          <w:p w14:paraId="1B86855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CL-01</w:t>
            </w:r>
          </w:p>
        </w:tc>
        <w:tc>
          <w:tcPr>
            <w:tcW w:w="415" w:type="pct"/>
            <w:tcMar>
              <w:top w:w="0" w:type="dxa"/>
              <w:left w:w="108" w:type="dxa"/>
              <w:bottom w:w="0" w:type="dxa"/>
              <w:right w:w="108" w:type="dxa"/>
            </w:tcMar>
            <w:vAlign w:val="bottom"/>
          </w:tcPr>
          <w:p w14:paraId="12B68EBC"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143.786414</w:t>
            </w:r>
          </w:p>
        </w:tc>
        <w:tc>
          <w:tcPr>
            <w:tcW w:w="426" w:type="pct"/>
            <w:tcMar>
              <w:top w:w="0" w:type="dxa"/>
              <w:left w:w="108" w:type="dxa"/>
              <w:bottom w:w="0" w:type="dxa"/>
              <w:right w:w="108" w:type="dxa"/>
            </w:tcMar>
            <w:vAlign w:val="bottom"/>
          </w:tcPr>
          <w:p w14:paraId="008E8F41"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14.24359</w:t>
            </w:r>
          </w:p>
        </w:tc>
        <w:tc>
          <w:tcPr>
            <w:tcW w:w="424" w:type="pct"/>
            <w:tcMar>
              <w:top w:w="0" w:type="dxa"/>
              <w:left w:w="108" w:type="dxa"/>
              <w:bottom w:w="0" w:type="dxa"/>
              <w:right w:w="108" w:type="dxa"/>
            </w:tcMar>
            <w:vAlign w:val="center"/>
          </w:tcPr>
          <w:p w14:paraId="781A52A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24E0D62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6084C90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6120B4C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3EC35E8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66A5357" w14:textId="77777777" w:rsidTr="00B02424">
        <w:tc>
          <w:tcPr>
            <w:tcW w:w="891" w:type="pct"/>
            <w:tcMar>
              <w:top w:w="0" w:type="dxa"/>
              <w:left w:w="108" w:type="dxa"/>
              <w:bottom w:w="0" w:type="dxa"/>
              <w:right w:w="108" w:type="dxa"/>
            </w:tcMar>
            <w:vAlign w:val="center"/>
          </w:tcPr>
          <w:p w14:paraId="292C00B3"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Bizant River mouth</w:t>
            </w:r>
          </w:p>
        </w:tc>
        <w:tc>
          <w:tcPr>
            <w:tcW w:w="414" w:type="pct"/>
            <w:tcMar>
              <w:top w:w="0" w:type="dxa"/>
              <w:left w:w="108" w:type="dxa"/>
              <w:bottom w:w="0" w:type="dxa"/>
              <w:right w:w="108" w:type="dxa"/>
            </w:tcMar>
            <w:vAlign w:val="center"/>
          </w:tcPr>
          <w:p w14:paraId="18239BB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BR-01</w:t>
            </w:r>
          </w:p>
        </w:tc>
        <w:tc>
          <w:tcPr>
            <w:tcW w:w="415" w:type="pct"/>
            <w:tcMar>
              <w:top w:w="0" w:type="dxa"/>
              <w:left w:w="108" w:type="dxa"/>
              <w:bottom w:w="0" w:type="dxa"/>
              <w:right w:w="108" w:type="dxa"/>
            </w:tcMar>
            <w:vAlign w:val="bottom"/>
          </w:tcPr>
          <w:p w14:paraId="29194FF0"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144.024967</w:t>
            </w:r>
          </w:p>
        </w:tc>
        <w:tc>
          <w:tcPr>
            <w:tcW w:w="426" w:type="pct"/>
            <w:tcMar>
              <w:top w:w="0" w:type="dxa"/>
              <w:left w:w="108" w:type="dxa"/>
              <w:bottom w:w="0" w:type="dxa"/>
              <w:right w:w="108" w:type="dxa"/>
            </w:tcMar>
            <w:vAlign w:val="bottom"/>
          </w:tcPr>
          <w:p w14:paraId="4B1C7437"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14.464033</w:t>
            </w:r>
          </w:p>
        </w:tc>
        <w:tc>
          <w:tcPr>
            <w:tcW w:w="424" w:type="pct"/>
            <w:tcMar>
              <w:top w:w="0" w:type="dxa"/>
              <w:left w:w="108" w:type="dxa"/>
              <w:bottom w:w="0" w:type="dxa"/>
              <w:right w:w="108" w:type="dxa"/>
            </w:tcMar>
            <w:vAlign w:val="center"/>
          </w:tcPr>
          <w:p w14:paraId="1DA34D8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1CE11A7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02C02CF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2189668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(Surface sample only)</w:t>
            </w:r>
          </w:p>
        </w:tc>
        <w:tc>
          <w:tcPr>
            <w:tcW w:w="663" w:type="pct"/>
          </w:tcPr>
          <w:p w14:paraId="2F302E3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46EADFD2" w14:textId="77777777" w:rsidTr="00B02424">
        <w:tc>
          <w:tcPr>
            <w:tcW w:w="891" w:type="pct"/>
            <w:tcMar>
              <w:top w:w="0" w:type="dxa"/>
              <w:left w:w="108" w:type="dxa"/>
              <w:bottom w:w="0" w:type="dxa"/>
              <w:right w:w="108" w:type="dxa"/>
            </w:tcMar>
            <w:vAlign w:val="center"/>
          </w:tcPr>
          <w:p w14:paraId="180C1C81"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Normanby River mouth</w:t>
            </w:r>
          </w:p>
        </w:tc>
        <w:tc>
          <w:tcPr>
            <w:tcW w:w="414" w:type="pct"/>
            <w:tcMar>
              <w:top w:w="0" w:type="dxa"/>
              <w:left w:w="108" w:type="dxa"/>
              <w:bottom w:w="0" w:type="dxa"/>
              <w:right w:w="108" w:type="dxa"/>
            </w:tcMar>
            <w:vAlign w:val="center"/>
          </w:tcPr>
          <w:p w14:paraId="23AE49E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NR-01</w:t>
            </w:r>
          </w:p>
        </w:tc>
        <w:tc>
          <w:tcPr>
            <w:tcW w:w="415" w:type="pct"/>
            <w:tcMar>
              <w:top w:w="0" w:type="dxa"/>
              <w:left w:w="108" w:type="dxa"/>
              <w:bottom w:w="0" w:type="dxa"/>
              <w:right w:w="108" w:type="dxa"/>
            </w:tcMar>
            <w:vAlign w:val="bottom"/>
          </w:tcPr>
          <w:p w14:paraId="70569A07"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144.143433</w:t>
            </w:r>
          </w:p>
        </w:tc>
        <w:tc>
          <w:tcPr>
            <w:tcW w:w="426" w:type="pct"/>
            <w:tcMar>
              <w:top w:w="0" w:type="dxa"/>
              <w:left w:w="108" w:type="dxa"/>
              <w:bottom w:w="0" w:type="dxa"/>
              <w:right w:w="108" w:type="dxa"/>
            </w:tcMar>
            <w:vAlign w:val="bottom"/>
          </w:tcPr>
          <w:p w14:paraId="456000B2"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14.394617</w:t>
            </w:r>
          </w:p>
        </w:tc>
        <w:tc>
          <w:tcPr>
            <w:tcW w:w="424" w:type="pct"/>
            <w:tcMar>
              <w:top w:w="0" w:type="dxa"/>
              <w:left w:w="108" w:type="dxa"/>
              <w:bottom w:w="0" w:type="dxa"/>
              <w:right w:w="108" w:type="dxa"/>
            </w:tcMar>
            <w:vAlign w:val="center"/>
          </w:tcPr>
          <w:p w14:paraId="0F0773C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2BF134D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5F85FC7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3234516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(Surface sample only)</w:t>
            </w:r>
          </w:p>
        </w:tc>
        <w:tc>
          <w:tcPr>
            <w:tcW w:w="663" w:type="pct"/>
          </w:tcPr>
          <w:p w14:paraId="1C24B2C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344F261" w14:textId="77777777" w:rsidTr="00B02424">
        <w:tc>
          <w:tcPr>
            <w:tcW w:w="891" w:type="pct"/>
            <w:tcMar>
              <w:top w:w="0" w:type="dxa"/>
              <w:left w:w="108" w:type="dxa"/>
              <w:bottom w:w="0" w:type="dxa"/>
              <w:right w:w="108" w:type="dxa"/>
            </w:tcMar>
            <w:vAlign w:val="center"/>
          </w:tcPr>
          <w:p w14:paraId="3B99543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Normanby inshore</w:t>
            </w:r>
          </w:p>
        </w:tc>
        <w:tc>
          <w:tcPr>
            <w:tcW w:w="414" w:type="pct"/>
            <w:tcMar>
              <w:top w:w="0" w:type="dxa"/>
              <w:left w:w="108" w:type="dxa"/>
              <w:bottom w:w="0" w:type="dxa"/>
              <w:right w:w="108" w:type="dxa"/>
            </w:tcMar>
            <w:vAlign w:val="center"/>
          </w:tcPr>
          <w:p w14:paraId="0441263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NR-02</w:t>
            </w:r>
          </w:p>
        </w:tc>
        <w:tc>
          <w:tcPr>
            <w:tcW w:w="415" w:type="pct"/>
            <w:tcMar>
              <w:top w:w="0" w:type="dxa"/>
              <w:left w:w="108" w:type="dxa"/>
              <w:bottom w:w="0" w:type="dxa"/>
              <w:right w:w="108" w:type="dxa"/>
            </w:tcMar>
            <w:vAlign w:val="bottom"/>
          </w:tcPr>
          <w:p w14:paraId="5263CA18"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144.115917</w:t>
            </w:r>
          </w:p>
        </w:tc>
        <w:tc>
          <w:tcPr>
            <w:tcW w:w="426" w:type="pct"/>
            <w:tcMar>
              <w:top w:w="0" w:type="dxa"/>
              <w:left w:w="108" w:type="dxa"/>
              <w:bottom w:w="0" w:type="dxa"/>
              <w:right w:w="108" w:type="dxa"/>
            </w:tcMar>
            <w:vAlign w:val="bottom"/>
          </w:tcPr>
          <w:p w14:paraId="594CEACF"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14.375583</w:t>
            </w:r>
          </w:p>
        </w:tc>
        <w:tc>
          <w:tcPr>
            <w:tcW w:w="424" w:type="pct"/>
            <w:tcMar>
              <w:top w:w="0" w:type="dxa"/>
              <w:left w:w="108" w:type="dxa"/>
              <w:bottom w:w="0" w:type="dxa"/>
              <w:right w:w="108" w:type="dxa"/>
            </w:tcMar>
            <w:vAlign w:val="center"/>
          </w:tcPr>
          <w:p w14:paraId="76D8FD3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7D76DDA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542326C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6392FCD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18FB144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A9A4D9B" w14:textId="77777777" w:rsidTr="00B02424">
        <w:tc>
          <w:tcPr>
            <w:tcW w:w="891" w:type="pct"/>
            <w:tcMar>
              <w:top w:w="0" w:type="dxa"/>
              <w:left w:w="108" w:type="dxa"/>
              <w:bottom w:w="0" w:type="dxa"/>
              <w:right w:w="108" w:type="dxa"/>
            </w:tcMar>
            <w:vAlign w:val="center"/>
          </w:tcPr>
          <w:p w14:paraId="37135B3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NR-03</w:t>
            </w:r>
          </w:p>
        </w:tc>
        <w:tc>
          <w:tcPr>
            <w:tcW w:w="414" w:type="pct"/>
            <w:tcMar>
              <w:top w:w="0" w:type="dxa"/>
              <w:left w:w="108" w:type="dxa"/>
              <w:bottom w:w="0" w:type="dxa"/>
              <w:right w:w="108" w:type="dxa"/>
            </w:tcMar>
            <w:vAlign w:val="center"/>
          </w:tcPr>
          <w:p w14:paraId="7CA0117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NR-03</w:t>
            </w:r>
          </w:p>
        </w:tc>
        <w:tc>
          <w:tcPr>
            <w:tcW w:w="415" w:type="pct"/>
            <w:tcMar>
              <w:top w:w="0" w:type="dxa"/>
              <w:left w:w="108" w:type="dxa"/>
              <w:bottom w:w="0" w:type="dxa"/>
              <w:right w:w="108" w:type="dxa"/>
            </w:tcMar>
            <w:vAlign w:val="bottom"/>
          </w:tcPr>
          <w:p w14:paraId="23CC02EA"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144.090017</w:t>
            </w:r>
          </w:p>
        </w:tc>
        <w:tc>
          <w:tcPr>
            <w:tcW w:w="426" w:type="pct"/>
            <w:tcMar>
              <w:top w:w="0" w:type="dxa"/>
              <w:left w:w="108" w:type="dxa"/>
              <w:bottom w:w="0" w:type="dxa"/>
              <w:right w:w="108" w:type="dxa"/>
            </w:tcMar>
            <w:vAlign w:val="bottom"/>
          </w:tcPr>
          <w:p w14:paraId="64989376"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14.307367</w:t>
            </w:r>
          </w:p>
        </w:tc>
        <w:tc>
          <w:tcPr>
            <w:tcW w:w="424" w:type="pct"/>
            <w:tcMar>
              <w:top w:w="0" w:type="dxa"/>
              <w:left w:w="108" w:type="dxa"/>
              <w:bottom w:w="0" w:type="dxa"/>
              <w:right w:w="108" w:type="dxa"/>
            </w:tcMar>
            <w:vAlign w:val="center"/>
          </w:tcPr>
          <w:p w14:paraId="4C5E088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4E79399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1BA44CC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0923054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1F8D4B9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BC5578E" w14:textId="77777777" w:rsidTr="00B02424">
        <w:tc>
          <w:tcPr>
            <w:tcW w:w="891" w:type="pct"/>
            <w:tcMar>
              <w:top w:w="0" w:type="dxa"/>
              <w:left w:w="108" w:type="dxa"/>
              <w:bottom w:w="0" w:type="dxa"/>
              <w:right w:w="108" w:type="dxa"/>
            </w:tcMar>
            <w:vAlign w:val="center"/>
          </w:tcPr>
          <w:p w14:paraId="5C9FF40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sz w:val="16"/>
                <w:szCs w:val="16"/>
              </w:rPr>
              <w:t>NR-04</w:t>
            </w:r>
          </w:p>
        </w:tc>
        <w:tc>
          <w:tcPr>
            <w:tcW w:w="414" w:type="pct"/>
            <w:tcMar>
              <w:top w:w="0" w:type="dxa"/>
              <w:left w:w="108" w:type="dxa"/>
              <w:bottom w:w="0" w:type="dxa"/>
              <w:right w:w="108" w:type="dxa"/>
            </w:tcMar>
            <w:vAlign w:val="center"/>
          </w:tcPr>
          <w:p w14:paraId="7F6247C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NR-04</w:t>
            </w:r>
          </w:p>
        </w:tc>
        <w:tc>
          <w:tcPr>
            <w:tcW w:w="415" w:type="pct"/>
            <w:tcMar>
              <w:top w:w="0" w:type="dxa"/>
              <w:left w:w="108" w:type="dxa"/>
              <w:bottom w:w="0" w:type="dxa"/>
              <w:right w:w="108" w:type="dxa"/>
            </w:tcMar>
            <w:vAlign w:val="bottom"/>
          </w:tcPr>
          <w:p w14:paraId="78695C56"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144.06859</w:t>
            </w:r>
          </w:p>
        </w:tc>
        <w:tc>
          <w:tcPr>
            <w:tcW w:w="426" w:type="pct"/>
            <w:tcMar>
              <w:top w:w="0" w:type="dxa"/>
              <w:left w:w="108" w:type="dxa"/>
              <w:bottom w:w="0" w:type="dxa"/>
              <w:right w:w="108" w:type="dxa"/>
            </w:tcMar>
            <w:vAlign w:val="bottom"/>
          </w:tcPr>
          <w:p w14:paraId="7D083990"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14.23984</w:t>
            </w:r>
          </w:p>
        </w:tc>
        <w:tc>
          <w:tcPr>
            <w:tcW w:w="424" w:type="pct"/>
            <w:tcMar>
              <w:top w:w="0" w:type="dxa"/>
              <w:left w:w="108" w:type="dxa"/>
              <w:bottom w:w="0" w:type="dxa"/>
              <w:right w:w="108" w:type="dxa"/>
            </w:tcMar>
            <w:vAlign w:val="center"/>
          </w:tcPr>
          <w:p w14:paraId="3F953FE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BC22F4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39BA76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45711B1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1F2A107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1D483F26" w14:textId="77777777" w:rsidTr="00B02424">
        <w:tc>
          <w:tcPr>
            <w:tcW w:w="891" w:type="pct"/>
            <w:tcMar>
              <w:top w:w="0" w:type="dxa"/>
              <w:left w:w="108" w:type="dxa"/>
              <w:bottom w:w="0" w:type="dxa"/>
              <w:right w:w="108" w:type="dxa"/>
            </w:tcMar>
            <w:vAlign w:val="center"/>
          </w:tcPr>
          <w:p w14:paraId="4CBCA54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NR-05</w:t>
            </w:r>
          </w:p>
        </w:tc>
        <w:tc>
          <w:tcPr>
            <w:tcW w:w="414" w:type="pct"/>
            <w:tcMar>
              <w:top w:w="0" w:type="dxa"/>
              <w:left w:w="108" w:type="dxa"/>
              <w:bottom w:w="0" w:type="dxa"/>
              <w:right w:w="108" w:type="dxa"/>
            </w:tcMar>
            <w:vAlign w:val="center"/>
          </w:tcPr>
          <w:p w14:paraId="7C1D3B3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NR-05</w:t>
            </w:r>
          </w:p>
        </w:tc>
        <w:tc>
          <w:tcPr>
            <w:tcW w:w="415" w:type="pct"/>
            <w:tcMar>
              <w:top w:w="0" w:type="dxa"/>
              <w:left w:w="108" w:type="dxa"/>
              <w:bottom w:w="0" w:type="dxa"/>
              <w:right w:w="108" w:type="dxa"/>
            </w:tcMar>
            <w:vAlign w:val="bottom"/>
          </w:tcPr>
          <w:p w14:paraId="0876273F"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144.04871</w:t>
            </w:r>
          </w:p>
        </w:tc>
        <w:tc>
          <w:tcPr>
            <w:tcW w:w="426" w:type="pct"/>
            <w:tcMar>
              <w:top w:w="0" w:type="dxa"/>
              <w:left w:w="108" w:type="dxa"/>
              <w:bottom w:w="0" w:type="dxa"/>
              <w:right w:w="108" w:type="dxa"/>
            </w:tcMar>
            <w:vAlign w:val="bottom"/>
          </w:tcPr>
          <w:p w14:paraId="37CC4313"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14.16915</w:t>
            </w:r>
          </w:p>
        </w:tc>
        <w:tc>
          <w:tcPr>
            <w:tcW w:w="424" w:type="pct"/>
            <w:tcMar>
              <w:top w:w="0" w:type="dxa"/>
              <w:left w:w="108" w:type="dxa"/>
              <w:bottom w:w="0" w:type="dxa"/>
              <w:right w:w="108" w:type="dxa"/>
            </w:tcMar>
            <w:vAlign w:val="center"/>
          </w:tcPr>
          <w:p w14:paraId="323609A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E1DAFD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33EF0F2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75258C1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3C7CDD7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1A0A23E1" w14:textId="77777777" w:rsidTr="00B02424">
        <w:tc>
          <w:tcPr>
            <w:tcW w:w="891" w:type="pct"/>
            <w:tcMar>
              <w:top w:w="0" w:type="dxa"/>
              <w:left w:w="108" w:type="dxa"/>
              <w:bottom w:w="0" w:type="dxa"/>
              <w:right w:w="108" w:type="dxa"/>
            </w:tcMar>
            <w:vAlign w:val="center"/>
          </w:tcPr>
          <w:p w14:paraId="77AB5B62"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Corbett Reef</w:t>
            </w:r>
          </w:p>
        </w:tc>
        <w:tc>
          <w:tcPr>
            <w:tcW w:w="414" w:type="pct"/>
            <w:tcMar>
              <w:top w:w="0" w:type="dxa"/>
              <w:left w:w="108" w:type="dxa"/>
              <w:bottom w:w="0" w:type="dxa"/>
              <w:right w:w="108" w:type="dxa"/>
            </w:tcMar>
            <w:vAlign w:val="center"/>
          </w:tcPr>
          <w:p w14:paraId="03DDC2D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NR-06</w:t>
            </w:r>
          </w:p>
        </w:tc>
        <w:tc>
          <w:tcPr>
            <w:tcW w:w="415" w:type="pct"/>
            <w:tcMar>
              <w:top w:w="0" w:type="dxa"/>
              <w:left w:w="108" w:type="dxa"/>
              <w:bottom w:w="0" w:type="dxa"/>
              <w:right w:w="108" w:type="dxa"/>
            </w:tcMar>
            <w:vAlign w:val="bottom"/>
          </w:tcPr>
          <w:p w14:paraId="6D88EF99"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144.02425</w:t>
            </w:r>
          </w:p>
        </w:tc>
        <w:tc>
          <w:tcPr>
            <w:tcW w:w="426" w:type="pct"/>
            <w:tcMar>
              <w:top w:w="0" w:type="dxa"/>
              <w:left w:w="108" w:type="dxa"/>
              <w:bottom w:w="0" w:type="dxa"/>
              <w:right w:w="108" w:type="dxa"/>
            </w:tcMar>
            <w:vAlign w:val="bottom"/>
          </w:tcPr>
          <w:p w14:paraId="395CA895"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sz w:val="16"/>
                <w:szCs w:val="16"/>
              </w:rPr>
              <w:t>14.094567</w:t>
            </w:r>
          </w:p>
        </w:tc>
        <w:tc>
          <w:tcPr>
            <w:tcW w:w="424" w:type="pct"/>
            <w:tcMar>
              <w:top w:w="0" w:type="dxa"/>
              <w:left w:w="108" w:type="dxa"/>
              <w:bottom w:w="0" w:type="dxa"/>
              <w:right w:w="108" w:type="dxa"/>
            </w:tcMar>
            <w:vAlign w:val="center"/>
          </w:tcPr>
          <w:p w14:paraId="32BC3A7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7A1BB50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13FBD60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3F4ED5A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63" w:type="pct"/>
          </w:tcPr>
          <w:p w14:paraId="4E68802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7ED4663" w14:textId="77777777" w:rsidTr="00B02424">
        <w:tc>
          <w:tcPr>
            <w:tcW w:w="891" w:type="pct"/>
            <w:shd w:val="clear" w:color="auto" w:fill="F2F2F2" w:themeFill="background1" w:themeFillShade="F2"/>
            <w:tcMar>
              <w:top w:w="0" w:type="dxa"/>
              <w:left w:w="108" w:type="dxa"/>
              <w:bottom w:w="0" w:type="dxa"/>
              <w:right w:w="108" w:type="dxa"/>
            </w:tcMar>
            <w:vAlign w:val="center"/>
          </w:tcPr>
          <w:p w14:paraId="120F26F0" w14:textId="77777777" w:rsidR="00B02424" w:rsidRPr="001861B8" w:rsidRDefault="00B02424" w:rsidP="00B02424">
            <w:pPr>
              <w:spacing w:before="0" w:after="0" w:line="240" w:lineRule="auto"/>
              <w:contextualSpacing/>
              <w:rPr>
                <w:rFonts w:ascii="Arial Narrow" w:hAnsi="Arial Narrow" w:cs="Arial"/>
                <w:b/>
                <w:bCs/>
                <w:i/>
                <w:color w:val="000000"/>
                <w:sz w:val="16"/>
                <w:szCs w:val="16"/>
                <w:lang w:eastAsia="en-AU"/>
              </w:rPr>
            </w:pPr>
            <w:r w:rsidRPr="001861B8">
              <w:rPr>
                <w:rFonts w:ascii="Arial Narrow" w:hAnsi="Arial Narrow" w:cs="Arial"/>
                <w:b/>
                <w:bCs/>
                <w:i/>
                <w:color w:val="000000"/>
                <w:sz w:val="16"/>
                <w:szCs w:val="16"/>
                <w:lang w:eastAsia="en-AU"/>
              </w:rPr>
              <w:t>Pascoe transect</w:t>
            </w:r>
          </w:p>
        </w:tc>
        <w:tc>
          <w:tcPr>
            <w:tcW w:w="414" w:type="pct"/>
            <w:shd w:val="clear" w:color="auto" w:fill="F2F2F2" w:themeFill="background1" w:themeFillShade="F2"/>
            <w:tcMar>
              <w:top w:w="0" w:type="dxa"/>
              <w:left w:w="108" w:type="dxa"/>
              <w:bottom w:w="0" w:type="dxa"/>
              <w:right w:w="108" w:type="dxa"/>
            </w:tcMar>
            <w:vAlign w:val="center"/>
          </w:tcPr>
          <w:p w14:paraId="6A55818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15" w:type="pct"/>
            <w:shd w:val="clear" w:color="auto" w:fill="F2F2F2" w:themeFill="background1" w:themeFillShade="F2"/>
            <w:tcMar>
              <w:top w:w="0" w:type="dxa"/>
              <w:left w:w="108" w:type="dxa"/>
              <w:bottom w:w="0" w:type="dxa"/>
              <w:right w:w="108" w:type="dxa"/>
            </w:tcMar>
          </w:tcPr>
          <w:p w14:paraId="6D56142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426" w:type="pct"/>
            <w:shd w:val="clear" w:color="auto" w:fill="F2F2F2" w:themeFill="background1" w:themeFillShade="F2"/>
            <w:tcMar>
              <w:top w:w="0" w:type="dxa"/>
              <w:left w:w="108" w:type="dxa"/>
              <w:bottom w:w="0" w:type="dxa"/>
              <w:right w:w="108" w:type="dxa"/>
            </w:tcMar>
            <w:vAlign w:val="center"/>
          </w:tcPr>
          <w:p w14:paraId="1A509B74"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p>
        </w:tc>
        <w:tc>
          <w:tcPr>
            <w:tcW w:w="424" w:type="pct"/>
            <w:shd w:val="clear" w:color="auto" w:fill="F2F2F2" w:themeFill="background1" w:themeFillShade="F2"/>
            <w:tcMar>
              <w:top w:w="0" w:type="dxa"/>
              <w:left w:w="108" w:type="dxa"/>
              <w:bottom w:w="0" w:type="dxa"/>
              <w:right w:w="108" w:type="dxa"/>
            </w:tcMar>
            <w:vAlign w:val="center"/>
          </w:tcPr>
          <w:p w14:paraId="21685EE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shd w:val="clear" w:color="auto" w:fill="F2F2F2" w:themeFill="background1" w:themeFillShade="F2"/>
            <w:tcMar>
              <w:top w:w="0" w:type="dxa"/>
              <w:left w:w="108" w:type="dxa"/>
              <w:bottom w:w="0" w:type="dxa"/>
              <w:right w:w="108" w:type="dxa"/>
            </w:tcMar>
            <w:vAlign w:val="center"/>
          </w:tcPr>
          <w:p w14:paraId="3C0E5CE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shd w:val="clear" w:color="auto" w:fill="F2F2F2" w:themeFill="background1" w:themeFillShade="F2"/>
            <w:tcMar>
              <w:top w:w="0" w:type="dxa"/>
              <w:left w:w="108" w:type="dxa"/>
              <w:bottom w:w="0" w:type="dxa"/>
              <w:right w:w="108" w:type="dxa"/>
            </w:tcMar>
            <w:vAlign w:val="center"/>
          </w:tcPr>
          <w:p w14:paraId="0E0EC33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hemeFill="background1" w:themeFillShade="F2"/>
          </w:tcPr>
          <w:p w14:paraId="6764D34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hemeFill="background1" w:themeFillShade="F2"/>
          </w:tcPr>
          <w:p w14:paraId="220A15A6" w14:textId="2E6C6191"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xml:space="preserve"> </w:t>
            </w:r>
            <w:r w:rsidR="00EF7299">
              <w:rPr>
                <w:rFonts w:ascii="Arial Narrow" w:hAnsi="Arial Narrow" w:cs="Arial"/>
                <w:bCs/>
                <w:color w:val="000000"/>
                <w:sz w:val="16"/>
                <w:szCs w:val="16"/>
                <w:lang w:eastAsia="en-AU"/>
              </w:rPr>
              <w:t>Up to 30 surface samples</w:t>
            </w:r>
          </w:p>
        </w:tc>
      </w:tr>
      <w:tr w:rsidR="00B02424" w:rsidRPr="001861B8" w14:paraId="194A42FB" w14:textId="77777777" w:rsidTr="00B02424">
        <w:tc>
          <w:tcPr>
            <w:tcW w:w="891" w:type="pct"/>
            <w:tcMar>
              <w:top w:w="0" w:type="dxa"/>
              <w:left w:w="108" w:type="dxa"/>
              <w:bottom w:w="0" w:type="dxa"/>
              <w:right w:w="108" w:type="dxa"/>
            </w:tcMar>
            <w:vAlign w:val="center"/>
          </w:tcPr>
          <w:p w14:paraId="64B22FE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Pascoe mouth</w:t>
            </w:r>
          </w:p>
        </w:tc>
        <w:tc>
          <w:tcPr>
            <w:tcW w:w="414" w:type="pct"/>
            <w:tcMar>
              <w:top w:w="0" w:type="dxa"/>
              <w:left w:w="108" w:type="dxa"/>
              <w:bottom w:w="0" w:type="dxa"/>
              <w:right w:w="108" w:type="dxa"/>
            </w:tcMar>
            <w:vAlign w:val="bottom"/>
          </w:tcPr>
          <w:p w14:paraId="22E5DA4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MOUTH S</w:t>
            </w:r>
          </w:p>
        </w:tc>
        <w:tc>
          <w:tcPr>
            <w:tcW w:w="415" w:type="pct"/>
            <w:tcMar>
              <w:top w:w="0" w:type="dxa"/>
              <w:left w:w="108" w:type="dxa"/>
              <w:bottom w:w="0" w:type="dxa"/>
              <w:right w:w="108" w:type="dxa"/>
            </w:tcMar>
            <w:vAlign w:val="bottom"/>
          </w:tcPr>
          <w:p w14:paraId="66F4030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143.28021</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3A24FB96"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12.49951</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37D46D6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6B74EB7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7F7939A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68A568D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(Surface sample only)</w:t>
            </w:r>
          </w:p>
        </w:tc>
        <w:tc>
          <w:tcPr>
            <w:tcW w:w="663" w:type="pct"/>
          </w:tcPr>
          <w:p w14:paraId="2CB43B0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406831B0" w14:textId="77777777" w:rsidTr="00B02424">
        <w:tc>
          <w:tcPr>
            <w:tcW w:w="891" w:type="pct"/>
            <w:tcMar>
              <w:top w:w="0" w:type="dxa"/>
              <w:left w:w="108" w:type="dxa"/>
              <w:bottom w:w="0" w:type="dxa"/>
              <w:right w:w="108" w:type="dxa"/>
            </w:tcMar>
            <w:vAlign w:val="center"/>
          </w:tcPr>
          <w:p w14:paraId="50F8682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Pascoe mouth</w:t>
            </w:r>
          </w:p>
        </w:tc>
        <w:tc>
          <w:tcPr>
            <w:tcW w:w="414" w:type="pct"/>
            <w:tcMar>
              <w:top w:w="0" w:type="dxa"/>
              <w:left w:w="108" w:type="dxa"/>
              <w:bottom w:w="0" w:type="dxa"/>
              <w:right w:w="108" w:type="dxa"/>
            </w:tcMar>
            <w:vAlign w:val="bottom"/>
          </w:tcPr>
          <w:p w14:paraId="64C1941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MOUTH N</w:t>
            </w:r>
          </w:p>
        </w:tc>
        <w:tc>
          <w:tcPr>
            <w:tcW w:w="415" w:type="pct"/>
            <w:tcMar>
              <w:top w:w="0" w:type="dxa"/>
              <w:left w:w="108" w:type="dxa"/>
              <w:bottom w:w="0" w:type="dxa"/>
              <w:right w:w="108" w:type="dxa"/>
            </w:tcMar>
            <w:vAlign w:val="bottom"/>
          </w:tcPr>
          <w:p w14:paraId="715BE97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143.280833</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6E1928CA"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12.4891</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563EB93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3F53E86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1108134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7DD7A24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(Surface sample only)</w:t>
            </w:r>
          </w:p>
        </w:tc>
        <w:tc>
          <w:tcPr>
            <w:tcW w:w="663" w:type="pct"/>
          </w:tcPr>
          <w:p w14:paraId="5478FBF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46DEAD0A" w14:textId="77777777" w:rsidTr="00B02424">
        <w:tc>
          <w:tcPr>
            <w:tcW w:w="891" w:type="pct"/>
            <w:tcMar>
              <w:top w:w="0" w:type="dxa"/>
              <w:left w:w="108" w:type="dxa"/>
              <w:bottom w:w="0" w:type="dxa"/>
              <w:right w:w="108" w:type="dxa"/>
            </w:tcMar>
            <w:vAlign w:val="center"/>
          </w:tcPr>
          <w:p w14:paraId="784714C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PR-North 02</w:t>
            </w:r>
          </w:p>
        </w:tc>
        <w:tc>
          <w:tcPr>
            <w:tcW w:w="414" w:type="pct"/>
            <w:tcMar>
              <w:top w:w="0" w:type="dxa"/>
              <w:left w:w="108" w:type="dxa"/>
              <w:bottom w:w="0" w:type="dxa"/>
              <w:right w:w="108" w:type="dxa"/>
            </w:tcMar>
            <w:vAlign w:val="bottom"/>
          </w:tcPr>
          <w:p w14:paraId="59F559C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N02</w:t>
            </w:r>
          </w:p>
        </w:tc>
        <w:tc>
          <w:tcPr>
            <w:tcW w:w="415" w:type="pct"/>
            <w:tcMar>
              <w:top w:w="0" w:type="dxa"/>
              <w:left w:w="108" w:type="dxa"/>
              <w:bottom w:w="0" w:type="dxa"/>
              <w:right w:w="108" w:type="dxa"/>
            </w:tcMar>
            <w:vAlign w:val="bottom"/>
          </w:tcPr>
          <w:p w14:paraId="348223C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143.28374</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7FA24B45"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12.46248</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102EA40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68588F0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287375C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707B222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3ED9DC2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B78DBE7" w14:textId="77777777" w:rsidTr="00B02424">
        <w:tc>
          <w:tcPr>
            <w:tcW w:w="891" w:type="pct"/>
            <w:tcMar>
              <w:top w:w="0" w:type="dxa"/>
              <w:left w:w="108" w:type="dxa"/>
              <w:bottom w:w="0" w:type="dxa"/>
              <w:right w:w="108" w:type="dxa"/>
            </w:tcMar>
            <w:vAlign w:val="center"/>
          </w:tcPr>
          <w:p w14:paraId="67A1244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PR-North 03</w:t>
            </w:r>
          </w:p>
        </w:tc>
        <w:tc>
          <w:tcPr>
            <w:tcW w:w="414" w:type="pct"/>
            <w:tcMar>
              <w:top w:w="0" w:type="dxa"/>
              <w:left w:w="108" w:type="dxa"/>
              <w:bottom w:w="0" w:type="dxa"/>
              <w:right w:w="108" w:type="dxa"/>
            </w:tcMar>
            <w:vAlign w:val="bottom"/>
          </w:tcPr>
          <w:p w14:paraId="2BFAD61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N03</w:t>
            </w:r>
          </w:p>
        </w:tc>
        <w:tc>
          <w:tcPr>
            <w:tcW w:w="415" w:type="pct"/>
            <w:tcMar>
              <w:top w:w="0" w:type="dxa"/>
              <w:left w:w="108" w:type="dxa"/>
              <w:bottom w:w="0" w:type="dxa"/>
              <w:right w:w="108" w:type="dxa"/>
            </w:tcMar>
            <w:vAlign w:val="bottom"/>
          </w:tcPr>
          <w:p w14:paraId="50F3558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143.31882</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222589A5"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12.43559</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151E31B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426725B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0A1E68E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4BA9FDD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537CF2B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ECF2289" w14:textId="77777777" w:rsidTr="00B02424">
        <w:tc>
          <w:tcPr>
            <w:tcW w:w="891" w:type="pct"/>
            <w:tcMar>
              <w:top w:w="0" w:type="dxa"/>
              <w:left w:w="108" w:type="dxa"/>
              <w:bottom w:w="0" w:type="dxa"/>
              <w:right w:w="108" w:type="dxa"/>
            </w:tcMar>
            <w:vAlign w:val="center"/>
          </w:tcPr>
          <w:p w14:paraId="6699234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PR-North 04</w:t>
            </w:r>
          </w:p>
        </w:tc>
        <w:tc>
          <w:tcPr>
            <w:tcW w:w="414" w:type="pct"/>
            <w:tcMar>
              <w:top w:w="0" w:type="dxa"/>
              <w:left w:w="108" w:type="dxa"/>
              <w:bottom w:w="0" w:type="dxa"/>
              <w:right w:w="108" w:type="dxa"/>
            </w:tcMar>
            <w:vAlign w:val="bottom"/>
          </w:tcPr>
          <w:p w14:paraId="1BEC40E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N04</w:t>
            </w:r>
          </w:p>
        </w:tc>
        <w:tc>
          <w:tcPr>
            <w:tcW w:w="415" w:type="pct"/>
            <w:tcMar>
              <w:top w:w="0" w:type="dxa"/>
              <w:left w:w="108" w:type="dxa"/>
              <w:bottom w:w="0" w:type="dxa"/>
              <w:right w:w="108" w:type="dxa"/>
            </w:tcMar>
            <w:vAlign w:val="bottom"/>
          </w:tcPr>
          <w:p w14:paraId="5181AD8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143.36966</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76EB4AA4"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12.38572</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3B9B68A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40B41F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EEE4C0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26E7F50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2BAFB56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57AC5B53" w14:textId="77777777" w:rsidTr="00B02424">
        <w:tc>
          <w:tcPr>
            <w:tcW w:w="891" w:type="pct"/>
            <w:tcMar>
              <w:top w:w="0" w:type="dxa"/>
              <w:left w:w="108" w:type="dxa"/>
              <w:bottom w:w="0" w:type="dxa"/>
              <w:right w:w="108" w:type="dxa"/>
            </w:tcMar>
            <w:vAlign w:val="center"/>
          </w:tcPr>
          <w:p w14:paraId="3B6CADBF"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Eel Reef</w:t>
            </w:r>
          </w:p>
        </w:tc>
        <w:tc>
          <w:tcPr>
            <w:tcW w:w="414" w:type="pct"/>
            <w:tcMar>
              <w:top w:w="0" w:type="dxa"/>
              <w:left w:w="108" w:type="dxa"/>
              <w:bottom w:w="0" w:type="dxa"/>
              <w:right w:w="108" w:type="dxa"/>
            </w:tcMar>
            <w:vAlign w:val="bottom"/>
          </w:tcPr>
          <w:p w14:paraId="5352594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color w:val="000000"/>
                <w:sz w:val="16"/>
                <w:szCs w:val="16"/>
              </w:rPr>
              <w:t>PR N04</w:t>
            </w:r>
          </w:p>
        </w:tc>
        <w:tc>
          <w:tcPr>
            <w:tcW w:w="415" w:type="pct"/>
            <w:tcMar>
              <w:top w:w="0" w:type="dxa"/>
              <w:left w:w="108" w:type="dxa"/>
              <w:bottom w:w="0" w:type="dxa"/>
              <w:right w:w="108" w:type="dxa"/>
            </w:tcMar>
            <w:vAlign w:val="bottom"/>
          </w:tcPr>
          <w:p w14:paraId="1937809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143.35854</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014CD024"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12.41206</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7AD999C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08EDDAB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27ED498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552A4A6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52746DF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578FFA78" w14:textId="77777777" w:rsidTr="00B02424">
        <w:tc>
          <w:tcPr>
            <w:tcW w:w="891" w:type="pct"/>
            <w:tcMar>
              <w:top w:w="0" w:type="dxa"/>
              <w:left w:w="108" w:type="dxa"/>
              <w:bottom w:w="0" w:type="dxa"/>
              <w:right w:w="108" w:type="dxa"/>
            </w:tcMar>
            <w:vAlign w:val="center"/>
          </w:tcPr>
          <w:p w14:paraId="0A3865E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Middle Reef</w:t>
            </w:r>
          </w:p>
        </w:tc>
        <w:tc>
          <w:tcPr>
            <w:tcW w:w="414" w:type="pct"/>
            <w:tcMar>
              <w:top w:w="0" w:type="dxa"/>
              <w:left w:w="108" w:type="dxa"/>
              <w:bottom w:w="0" w:type="dxa"/>
              <w:right w:w="108" w:type="dxa"/>
            </w:tcMar>
            <w:vAlign w:val="bottom"/>
          </w:tcPr>
          <w:p w14:paraId="30A943B4" w14:textId="77777777" w:rsidR="00B02424" w:rsidRPr="001861B8" w:rsidRDefault="00B02424" w:rsidP="00B02424">
            <w:pPr>
              <w:spacing w:before="0" w:after="0" w:line="240" w:lineRule="auto"/>
              <w:contextualSpacing/>
              <w:jc w:val="center"/>
              <w:rPr>
                <w:rFonts w:ascii="Arial Narrow" w:hAnsi="Arial Narrow" w:cs="Arial"/>
                <w:sz w:val="16"/>
                <w:szCs w:val="16"/>
              </w:rPr>
            </w:pPr>
            <w:r w:rsidRPr="001861B8">
              <w:rPr>
                <w:rFonts w:ascii="Arial Narrow" w:hAnsi="Arial Narrow" w:cs="Arial"/>
                <w:color w:val="000000"/>
                <w:sz w:val="16"/>
                <w:szCs w:val="16"/>
              </w:rPr>
              <w:t>PR BB</w:t>
            </w:r>
          </w:p>
        </w:tc>
        <w:tc>
          <w:tcPr>
            <w:tcW w:w="415" w:type="pct"/>
            <w:tcMar>
              <w:top w:w="0" w:type="dxa"/>
              <w:left w:w="108" w:type="dxa"/>
              <w:bottom w:w="0" w:type="dxa"/>
              <w:right w:w="108" w:type="dxa"/>
            </w:tcMar>
            <w:vAlign w:val="bottom"/>
          </w:tcPr>
          <w:p w14:paraId="6897177F" w14:textId="77777777" w:rsidR="00B02424" w:rsidRPr="001861B8" w:rsidRDefault="00B02424" w:rsidP="00B02424">
            <w:pPr>
              <w:spacing w:before="0" w:after="0" w:line="240" w:lineRule="auto"/>
              <w:contextualSpacing/>
              <w:rPr>
                <w:rFonts w:ascii="Arial Narrow" w:hAnsi="Arial Narrow" w:cs="Arial"/>
                <w:sz w:val="16"/>
                <w:szCs w:val="16"/>
              </w:rPr>
            </w:pPr>
            <w:r w:rsidRPr="001861B8">
              <w:rPr>
                <w:rFonts w:ascii="Arial Narrow" w:hAnsi="Arial Narrow" w:cs="Arial"/>
                <w:color w:val="000000"/>
                <w:sz w:val="16"/>
                <w:szCs w:val="16"/>
              </w:rPr>
              <w:t>143.37093</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076D4B7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12.51114</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06F3DB8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439D40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989339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2F8E0B0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7749716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AF51B09" w14:textId="77777777" w:rsidTr="00B02424">
        <w:tc>
          <w:tcPr>
            <w:tcW w:w="891" w:type="pct"/>
            <w:shd w:val="clear" w:color="auto" w:fill="F2F2F2" w:themeFill="background1" w:themeFillShade="F2"/>
            <w:tcMar>
              <w:top w:w="0" w:type="dxa"/>
              <w:left w:w="108" w:type="dxa"/>
              <w:bottom w:w="0" w:type="dxa"/>
              <w:right w:w="108" w:type="dxa"/>
            </w:tcMar>
            <w:vAlign w:val="center"/>
          </w:tcPr>
          <w:p w14:paraId="4988B239" w14:textId="6328D54D" w:rsidR="00B02424" w:rsidRPr="001861B8" w:rsidRDefault="00B02424" w:rsidP="00B02424">
            <w:pPr>
              <w:spacing w:before="0" w:after="0" w:line="240" w:lineRule="auto"/>
              <w:contextualSpacing/>
              <w:rPr>
                <w:rFonts w:ascii="Arial Narrow" w:hAnsi="Arial Narrow" w:cs="Arial"/>
                <w:b/>
                <w:bCs/>
                <w:i/>
                <w:color w:val="000000"/>
                <w:sz w:val="16"/>
                <w:szCs w:val="16"/>
                <w:lang w:eastAsia="en-AU"/>
              </w:rPr>
            </w:pPr>
            <w:r w:rsidRPr="001861B8">
              <w:rPr>
                <w:rFonts w:ascii="Arial Narrow" w:hAnsi="Arial Narrow" w:cs="Arial"/>
                <w:b/>
                <w:bCs/>
                <w:i/>
                <w:color w:val="000000"/>
                <w:sz w:val="16"/>
                <w:szCs w:val="16"/>
                <w:lang w:eastAsia="en-AU"/>
              </w:rPr>
              <w:t>Annan</w:t>
            </w:r>
            <w:r w:rsidR="00943D89">
              <w:rPr>
                <w:rFonts w:ascii="Arial Narrow" w:hAnsi="Arial Narrow" w:cs="Arial"/>
                <w:b/>
                <w:bCs/>
                <w:i/>
                <w:color w:val="000000"/>
                <w:sz w:val="16"/>
                <w:szCs w:val="16"/>
                <w:lang w:eastAsia="en-AU"/>
              </w:rPr>
              <w:t>-</w:t>
            </w:r>
            <w:r w:rsidRPr="001861B8">
              <w:rPr>
                <w:rFonts w:ascii="Arial Narrow" w:hAnsi="Arial Narrow" w:cs="Arial"/>
                <w:b/>
                <w:bCs/>
                <w:i/>
                <w:color w:val="000000"/>
                <w:sz w:val="16"/>
                <w:szCs w:val="16"/>
                <w:lang w:eastAsia="en-AU"/>
              </w:rPr>
              <w:t>Endeavour transect</w:t>
            </w:r>
          </w:p>
        </w:tc>
        <w:tc>
          <w:tcPr>
            <w:tcW w:w="414" w:type="pct"/>
            <w:shd w:val="clear" w:color="auto" w:fill="F2F2F2" w:themeFill="background1" w:themeFillShade="F2"/>
            <w:tcMar>
              <w:top w:w="0" w:type="dxa"/>
              <w:left w:w="108" w:type="dxa"/>
              <w:bottom w:w="0" w:type="dxa"/>
              <w:right w:w="108" w:type="dxa"/>
            </w:tcMar>
            <w:vAlign w:val="center"/>
          </w:tcPr>
          <w:p w14:paraId="1C2A0C6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15" w:type="pct"/>
            <w:shd w:val="clear" w:color="auto" w:fill="F2F2F2" w:themeFill="background1" w:themeFillShade="F2"/>
            <w:tcMar>
              <w:top w:w="0" w:type="dxa"/>
              <w:left w:w="108" w:type="dxa"/>
              <w:bottom w:w="0" w:type="dxa"/>
              <w:right w:w="108" w:type="dxa"/>
            </w:tcMar>
          </w:tcPr>
          <w:p w14:paraId="1429864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426" w:type="pct"/>
            <w:shd w:val="clear" w:color="auto" w:fill="F2F2F2" w:themeFill="background1" w:themeFillShade="F2"/>
            <w:tcMar>
              <w:top w:w="0" w:type="dxa"/>
              <w:left w:w="108" w:type="dxa"/>
              <w:bottom w:w="0" w:type="dxa"/>
              <w:right w:w="108" w:type="dxa"/>
            </w:tcMar>
            <w:vAlign w:val="center"/>
          </w:tcPr>
          <w:p w14:paraId="181155F8"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p>
        </w:tc>
        <w:tc>
          <w:tcPr>
            <w:tcW w:w="424" w:type="pct"/>
            <w:shd w:val="clear" w:color="auto" w:fill="F2F2F2" w:themeFill="background1" w:themeFillShade="F2"/>
            <w:tcMar>
              <w:top w:w="0" w:type="dxa"/>
              <w:left w:w="108" w:type="dxa"/>
              <w:bottom w:w="0" w:type="dxa"/>
              <w:right w:w="108" w:type="dxa"/>
            </w:tcMar>
            <w:vAlign w:val="center"/>
          </w:tcPr>
          <w:p w14:paraId="6C1BCE7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shd w:val="clear" w:color="auto" w:fill="F2F2F2" w:themeFill="background1" w:themeFillShade="F2"/>
            <w:tcMar>
              <w:top w:w="0" w:type="dxa"/>
              <w:left w:w="108" w:type="dxa"/>
              <w:bottom w:w="0" w:type="dxa"/>
              <w:right w:w="108" w:type="dxa"/>
            </w:tcMar>
            <w:vAlign w:val="center"/>
          </w:tcPr>
          <w:p w14:paraId="01CC1D4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shd w:val="clear" w:color="auto" w:fill="F2F2F2" w:themeFill="background1" w:themeFillShade="F2"/>
            <w:tcMar>
              <w:top w:w="0" w:type="dxa"/>
              <w:left w:w="108" w:type="dxa"/>
              <w:bottom w:w="0" w:type="dxa"/>
              <w:right w:w="108" w:type="dxa"/>
            </w:tcMar>
            <w:vAlign w:val="center"/>
          </w:tcPr>
          <w:p w14:paraId="0E8CA87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hemeFill="background1" w:themeFillShade="F2"/>
          </w:tcPr>
          <w:p w14:paraId="45282F2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hemeFill="background1" w:themeFillShade="F2"/>
          </w:tcPr>
          <w:p w14:paraId="31A6E6E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167A56C0" w14:textId="77777777" w:rsidTr="00B02424">
        <w:tc>
          <w:tcPr>
            <w:tcW w:w="891" w:type="pct"/>
            <w:tcMar>
              <w:top w:w="0" w:type="dxa"/>
              <w:left w:w="108" w:type="dxa"/>
              <w:bottom w:w="0" w:type="dxa"/>
              <w:right w:w="108" w:type="dxa"/>
            </w:tcMar>
            <w:vAlign w:val="center"/>
          </w:tcPr>
          <w:p w14:paraId="581B106B"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Annan mouth</w:t>
            </w:r>
          </w:p>
        </w:tc>
        <w:tc>
          <w:tcPr>
            <w:tcW w:w="414" w:type="pct"/>
            <w:tcMar>
              <w:top w:w="0" w:type="dxa"/>
              <w:left w:w="108" w:type="dxa"/>
              <w:bottom w:w="0" w:type="dxa"/>
              <w:right w:w="108" w:type="dxa"/>
            </w:tcMar>
            <w:vAlign w:val="center"/>
          </w:tcPr>
          <w:p w14:paraId="2151C54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sz w:val="16"/>
                <w:szCs w:val="16"/>
              </w:rPr>
              <w:t>AR-01</w:t>
            </w:r>
          </w:p>
        </w:tc>
        <w:tc>
          <w:tcPr>
            <w:tcW w:w="415" w:type="pct"/>
            <w:tcMar>
              <w:top w:w="0" w:type="dxa"/>
              <w:left w:w="108" w:type="dxa"/>
              <w:bottom w:w="0" w:type="dxa"/>
              <w:right w:w="108" w:type="dxa"/>
            </w:tcMar>
            <w:vAlign w:val="bottom"/>
          </w:tcPr>
          <w:p w14:paraId="590AA1B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145.27754</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07EAD0A9"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color w:val="000000"/>
                <w:sz w:val="16"/>
                <w:szCs w:val="16"/>
              </w:rPr>
              <w:t>15.52458</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56539B7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607F12C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0600E04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tcPr>
          <w:p w14:paraId="6AA9825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(Surface sample only)</w:t>
            </w:r>
          </w:p>
        </w:tc>
        <w:tc>
          <w:tcPr>
            <w:tcW w:w="663" w:type="pct"/>
          </w:tcPr>
          <w:p w14:paraId="03F9854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25B7AA8" w14:textId="77777777" w:rsidTr="00B02424">
        <w:tc>
          <w:tcPr>
            <w:tcW w:w="891" w:type="pct"/>
            <w:tcMar>
              <w:top w:w="0" w:type="dxa"/>
              <w:left w:w="108" w:type="dxa"/>
              <w:bottom w:w="0" w:type="dxa"/>
              <w:right w:w="108" w:type="dxa"/>
            </w:tcMar>
            <w:vAlign w:val="center"/>
          </w:tcPr>
          <w:p w14:paraId="6E5EBD71"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Walker Bay</w:t>
            </w:r>
          </w:p>
        </w:tc>
        <w:tc>
          <w:tcPr>
            <w:tcW w:w="414" w:type="pct"/>
            <w:tcMar>
              <w:top w:w="0" w:type="dxa"/>
              <w:left w:w="108" w:type="dxa"/>
              <w:bottom w:w="0" w:type="dxa"/>
              <w:right w:w="108" w:type="dxa"/>
            </w:tcMar>
            <w:vAlign w:val="center"/>
          </w:tcPr>
          <w:p w14:paraId="43969302"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AR-02</w:t>
            </w:r>
          </w:p>
        </w:tc>
        <w:tc>
          <w:tcPr>
            <w:tcW w:w="415" w:type="pct"/>
            <w:tcMar>
              <w:top w:w="0" w:type="dxa"/>
              <w:left w:w="108" w:type="dxa"/>
              <w:bottom w:w="0" w:type="dxa"/>
              <w:right w:w="108" w:type="dxa"/>
            </w:tcMar>
            <w:vAlign w:val="bottom"/>
          </w:tcPr>
          <w:p w14:paraId="0292906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145.29223</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4BBB006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15.50526</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600C789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597A462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2E1A96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662C6B1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51165F8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EBCD278" w14:textId="77777777" w:rsidTr="00B02424">
        <w:tc>
          <w:tcPr>
            <w:tcW w:w="891" w:type="pct"/>
            <w:tcMar>
              <w:top w:w="0" w:type="dxa"/>
              <w:left w:w="108" w:type="dxa"/>
              <w:bottom w:w="0" w:type="dxa"/>
              <w:right w:w="108" w:type="dxa"/>
            </w:tcMar>
            <w:vAlign w:val="center"/>
          </w:tcPr>
          <w:p w14:paraId="6A7D7D35"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Dawson Reef</w:t>
            </w:r>
          </w:p>
        </w:tc>
        <w:tc>
          <w:tcPr>
            <w:tcW w:w="414" w:type="pct"/>
            <w:tcMar>
              <w:top w:w="0" w:type="dxa"/>
              <w:left w:w="108" w:type="dxa"/>
              <w:bottom w:w="0" w:type="dxa"/>
              <w:right w:w="108" w:type="dxa"/>
            </w:tcMar>
            <w:vAlign w:val="center"/>
          </w:tcPr>
          <w:p w14:paraId="6B3955F5"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AR-03</w:t>
            </w:r>
          </w:p>
        </w:tc>
        <w:tc>
          <w:tcPr>
            <w:tcW w:w="415" w:type="pct"/>
            <w:tcMar>
              <w:top w:w="0" w:type="dxa"/>
              <w:left w:w="108" w:type="dxa"/>
              <w:bottom w:w="0" w:type="dxa"/>
              <w:right w:w="108" w:type="dxa"/>
            </w:tcMar>
            <w:vAlign w:val="bottom"/>
          </w:tcPr>
          <w:p w14:paraId="11A393F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145.32498</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4B6F227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15.48301</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01895B7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0D8694D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7F09915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2D199EA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4AE7EEB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7E7424D" w14:textId="77777777" w:rsidTr="00B02424">
        <w:tc>
          <w:tcPr>
            <w:tcW w:w="891" w:type="pct"/>
            <w:tcMar>
              <w:top w:w="0" w:type="dxa"/>
              <w:left w:w="108" w:type="dxa"/>
              <w:bottom w:w="0" w:type="dxa"/>
              <w:right w:w="108" w:type="dxa"/>
            </w:tcMar>
            <w:vAlign w:val="center"/>
          </w:tcPr>
          <w:p w14:paraId="6CE31B16"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Endeavour mouth</w:t>
            </w:r>
          </w:p>
        </w:tc>
        <w:tc>
          <w:tcPr>
            <w:tcW w:w="414" w:type="pct"/>
            <w:tcMar>
              <w:top w:w="0" w:type="dxa"/>
              <w:left w:w="108" w:type="dxa"/>
              <w:bottom w:w="0" w:type="dxa"/>
              <w:right w:w="108" w:type="dxa"/>
            </w:tcMar>
            <w:vAlign w:val="center"/>
          </w:tcPr>
          <w:p w14:paraId="5F92FE7F"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ER-01</w:t>
            </w:r>
          </w:p>
        </w:tc>
        <w:tc>
          <w:tcPr>
            <w:tcW w:w="415" w:type="pct"/>
            <w:tcMar>
              <w:top w:w="0" w:type="dxa"/>
              <w:left w:w="108" w:type="dxa"/>
              <w:bottom w:w="0" w:type="dxa"/>
              <w:right w:w="108" w:type="dxa"/>
            </w:tcMar>
            <w:vAlign w:val="bottom"/>
          </w:tcPr>
          <w:p w14:paraId="253A305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145.25027</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445E650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15.45740</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7455D5E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1BFC6A3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3D82C12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5C37D4F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(Surface sample only)</w:t>
            </w:r>
          </w:p>
        </w:tc>
        <w:tc>
          <w:tcPr>
            <w:tcW w:w="663" w:type="pct"/>
          </w:tcPr>
          <w:p w14:paraId="64F220F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590CAD1" w14:textId="77777777" w:rsidTr="00B02424">
        <w:tc>
          <w:tcPr>
            <w:tcW w:w="891" w:type="pct"/>
            <w:tcMar>
              <w:top w:w="0" w:type="dxa"/>
              <w:left w:w="108" w:type="dxa"/>
              <w:bottom w:w="0" w:type="dxa"/>
              <w:right w:w="108" w:type="dxa"/>
            </w:tcMar>
            <w:vAlign w:val="center"/>
          </w:tcPr>
          <w:p w14:paraId="3DE76202"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Endeavour north shore</w:t>
            </w:r>
          </w:p>
        </w:tc>
        <w:tc>
          <w:tcPr>
            <w:tcW w:w="414" w:type="pct"/>
            <w:tcMar>
              <w:top w:w="0" w:type="dxa"/>
              <w:left w:w="108" w:type="dxa"/>
              <w:bottom w:w="0" w:type="dxa"/>
              <w:right w:w="108" w:type="dxa"/>
            </w:tcMar>
            <w:vAlign w:val="center"/>
          </w:tcPr>
          <w:p w14:paraId="70A7BEFD"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ER-02</w:t>
            </w:r>
          </w:p>
        </w:tc>
        <w:tc>
          <w:tcPr>
            <w:tcW w:w="415" w:type="pct"/>
            <w:tcMar>
              <w:top w:w="0" w:type="dxa"/>
              <w:left w:w="108" w:type="dxa"/>
              <w:bottom w:w="0" w:type="dxa"/>
              <w:right w:w="108" w:type="dxa"/>
            </w:tcMar>
            <w:vAlign w:val="bottom"/>
          </w:tcPr>
          <w:p w14:paraId="6E56EF1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145.26870</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181E1C1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15.43170</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5628921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6D7A7B1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0ED0F44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01390AD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0460831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AE4870B" w14:textId="77777777" w:rsidTr="00B02424">
        <w:tc>
          <w:tcPr>
            <w:tcW w:w="891" w:type="pct"/>
            <w:tcMar>
              <w:top w:w="0" w:type="dxa"/>
              <w:left w:w="108" w:type="dxa"/>
              <w:bottom w:w="0" w:type="dxa"/>
              <w:right w:w="108" w:type="dxa"/>
            </w:tcMar>
            <w:vAlign w:val="center"/>
          </w:tcPr>
          <w:p w14:paraId="1EC17646"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Endeavour offshore</w:t>
            </w:r>
          </w:p>
        </w:tc>
        <w:tc>
          <w:tcPr>
            <w:tcW w:w="414" w:type="pct"/>
            <w:tcMar>
              <w:top w:w="0" w:type="dxa"/>
              <w:left w:w="108" w:type="dxa"/>
              <w:bottom w:w="0" w:type="dxa"/>
              <w:right w:w="108" w:type="dxa"/>
            </w:tcMar>
            <w:vAlign w:val="center"/>
          </w:tcPr>
          <w:p w14:paraId="7EE3146C"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ER-03</w:t>
            </w:r>
          </w:p>
        </w:tc>
        <w:tc>
          <w:tcPr>
            <w:tcW w:w="415" w:type="pct"/>
            <w:tcMar>
              <w:top w:w="0" w:type="dxa"/>
              <w:left w:w="108" w:type="dxa"/>
              <w:bottom w:w="0" w:type="dxa"/>
              <w:right w:w="108" w:type="dxa"/>
            </w:tcMar>
            <w:vAlign w:val="bottom"/>
          </w:tcPr>
          <w:p w14:paraId="68937C6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145.31630</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7D1951E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15.41452</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4F68629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7299FF2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18DEA15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2FE11BC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69F303C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D6A05C3" w14:textId="77777777" w:rsidTr="00B02424">
        <w:tc>
          <w:tcPr>
            <w:tcW w:w="891" w:type="pct"/>
            <w:tcMar>
              <w:top w:w="0" w:type="dxa"/>
              <w:left w:w="108" w:type="dxa"/>
              <w:bottom w:w="0" w:type="dxa"/>
              <w:right w:w="108" w:type="dxa"/>
            </w:tcMar>
            <w:vAlign w:val="center"/>
          </w:tcPr>
          <w:p w14:paraId="1C1D68BF"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Egret and Boulder Reef</w:t>
            </w:r>
          </w:p>
        </w:tc>
        <w:tc>
          <w:tcPr>
            <w:tcW w:w="414" w:type="pct"/>
            <w:tcMar>
              <w:top w:w="0" w:type="dxa"/>
              <w:left w:w="108" w:type="dxa"/>
              <w:bottom w:w="0" w:type="dxa"/>
              <w:right w:w="108" w:type="dxa"/>
            </w:tcMar>
            <w:vAlign w:val="center"/>
          </w:tcPr>
          <w:p w14:paraId="2F482042"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AE-04</w:t>
            </w:r>
          </w:p>
        </w:tc>
        <w:tc>
          <w:tcPr>
            <w:tcW w:w="415" w:type="pct"/>
            <w:tcMar>
              <w:top w:w="0" w:type="dxa"/>
              <w:left w:w="108" w:type="dxa"/>
              <w:bottom w:w="0" w:type="dxa"/>
              <w:right w:w="108" w:type="dxa"/>
            </w:tcMar>
            <w:vAlign w:val="bottom"/>
          </w:tcPr>
          <w:p w14:paraId="7D0A58A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145.40010</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10F7958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15.44250</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052FF89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1C609A9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1165AC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11A4932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71AE0E5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1F819BBF" w14:textId="77777777" w:rsidTr="00B02424">
        <w:tc>
          <w:tcPr>
            <w:tcW w:w="891" w:type="pct"/>
            <w:tcMar>
              <w:top w:w="0" w:type="dxa"/>
              <w:left w:w="108" w:type="dxa"/>
              <w:bottom w:w="0" w:type="dxa"/>
              <w:right w:w="108" w:type="dxa"/>
            </w:tcMar>
            <w:vAlign w:val="center"/>
          </w:tcPr>
          <w:p w14:paraId="276BECF9"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Big Unchartered Reef</w:t>
            </w:r>
          </w:p>
        </w:tc>
        <w:tc>
          <w:tcPr>
            <w:tcW w:w="414" w:type="pct"/>
            <w:tcMar>
              <w:top w:w="0" w:type="dxa"/>
              <w:left w:w="108" w:type="dxa"/>
              <w:bottom w:w="0" w:type="dxa"/>
              <w:right w:w="108" w:type="dxa"/>
            </w:tcMar>
            <w:vAlign w:val="center"/>
          </w:tcPr>
          <w:p w14:paraId="726ECBD8"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AE-05</w:t>
            </w:r>
          </w:p>
        </w:tc>
        <w:tc>
          <w:tcPr>
            <w:tcW w:w="415" w:type="pct"/>
            <w:tcMar>
              <w:top w:w="0" w:type="dxa"/>
              <w:left w:w="108" w:type="dxa"/>
              <w:bottom w:w="0" w:type="dxa"/>
              <w:right w:w="108" w:type="dxa"/>
            </w:tcMar>
            <w:vAlign w:val="bottom"/>
          </w:tcPr>
          <w:p w14:paraId="1F8F10F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145.46243</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4E89773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15.38362</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0AAF636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0584576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119079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7845268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only during large flood events</w:t>
            </w:r>
          </w:p>
        </w:tc>
        <w:tc>
          <w:tcPr>
            <w:tcW w:w="663" w:type="pct"/>
          </w:tcPr>
          <w:p w14:paraId="0FE356B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0CDE3369" w14:textId="77777777" w:rsidTr="00B02424">
        <w:tc>
          <w:tcPr>
            <w:tcW w:w="891" w:type="pct"/>
            <w:shd w:val="clear" w:color="auto" w:fill="F2F2F2" w:themeFill="background1" w:themeFillShade="F2"/>
            <w:tcMar>
              <w:top w:w="0" w:type="dxa"/>
              <w:left w:w="108" w:type="dxa"/>
              <w:bottom w:w="0" w:type="dxa"/>
              <w:right w:w="108" w:type="dxa"/>
            </w:tcMar>
            <w:vAlign w:val="center"/>
          </w:tcPr>
          <w:p w14:paraId="4A40A0E3"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Stewart transect</w:t>
            </w:r>
          </w:p>
        </w:tc>
        <w:tc>
          <w:tcPr>
            <w:tcW w:w="414" w:type="pct"/>
            <w:shd w:val="clear" w:color="auto" w:fill="F2F2F2" w:themeFill="background1" w:themeFillShade="F2"/>
            <w:tcMar>
              <w:top w:w="0" w:type="dxa"/>
              <w:left w:w="108" w:type="dxa"/>
              <w:bottom w:w="0" w:type="dxa"/>
              <w:right w:w="108" w:type="dxa"/>
            </w:tcMar>
            <w:vAlign w:val="center"/>
          </w:tcPr>
          <w:p w14:paraId="2C690EA4"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p>
        </w:tc>
        <w:tc>
          <w:tcPr>
            <w:tcW w:w="415" w:type="pct"/>
            <w:shd w:val="clear" w:color="auto" w:fill="F2F2F2" w:themeFill="background1" w:themeFillShade="F2"/>
            <w:tcMar>
              <w:top w:w="0" w:type="dxa"/>
              <w:left w:w="108" w:type="dxa"/>
              <w:bottom w:w="0" w:type="dxa"/>
              <w:right w:w="108" w:type="dxa"/>
            </w:tcMar>
            <w:vAlign w:val="center"/>
          </w:tcPr>
          <w:p w14:paraId="55636BD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426" w:type="pct"/>
            <w:shd w:val="clear" w:color="auto" w:fill="F2F2F2" w:themeFill="background1" w:themeFillShade="F2"/>
            <w:tcMar>
              <w:top w:w="0" w:type="dxa"/>
              <w:left w:w="108" w:type="dxa"/>
              <w:bottom w:w="0" w:type="dxa"/>
              <w:right w:w="108" w:type="dxa"/>
            </w:tcMar>
            <w:vAlign w:val="center"/>
          </w:tcPr>
          <w:p w14:paraId="622BFA4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424" w:type="pct"/>
            <w:shd w:val="clear" w:color="auto" w:fill="F2F2F2" w:themeFill="background1" w:themeFillShade="F2"/>
            <w:tcMar>
              <w:top w:w="0" w:type="dxa"/>
              <w:left w:w="108" w:type="dxa"/>
              <w:bottom w:w="0" w:type="dxa"/>
              <w:right w:w="108" w:type="dxa"/>
            </w:tcMar>
            <w:vAlign w:val="center"/>
          </w:tcPr>
          <w:p w14:paraId="4C2D6F5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shd w:val="clear" w:color="auto" w:fill="F2F2F2" w:themeFill="background1" w:themeFillShade="F2"/>
            <w:tcMar>
              <w:top w:w="0" w:type="dxa"/>
              <w:left w:w="108" w:type="dxa"/>
              <w:bottom w:w="0" w:type="dxa"/>
              <w:right w:w="108" w:type="dxa"/>
            </w:tcMar>
            <w:vAlign w:val="center"/>
          </w:tcPr>
          <w:p w14:paraId="0614B4D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shd w:val="clear" w:color="auto" w:fill="F2F2F2" w:themeFill="background1" w:themeFillShade="F2"/>
            <w:tcMar>
              <w:top w:w="0" w:type="dxa"/>
              <w:left w:w="108" w:type="dxa"/>
              <w:bottom w:w="0" w:type="dxa"/>
              <w:right w:w="108" w:type="dxa"/>
            </w:tcMar>
            <w:vAlign w:val="center"/>
          </w:tcPr>
          <w:p w14:paraId="6369A4D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hemeFill="background1" w:themeFillShade="F2"/>
            <w:vAlign w:val="center"/>
          </w:tcPr>
          <w:p w14:paraId="66E4DF8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hemeFill="background1" w:themeFillShade="F2"/>
          </w:tcPr>
          <w:p w14:paraId="75605D0A" w14:textId="6E018AC3" w:rsidR="00B02424" w:rsidRPr="001861B8" w:rsidRDefault="00EF7299"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Up to 30 surface samples</w:t>
            </w:r>
          </w:p>
        </w:tc>
      </w:tr>
      <w:tr w:rsidR="00B02424" w:rsidRPr="001861B8" w14:paraId="53B7B79C" w14:textId="77777777" w:rsidTr="00B02424">
        <w:tc>
          <w:tcPr>
            <w:tcW w:w="891" w:type="pct"/>
            <w:tcMar>
              <w:top w:w="0" w:type="dxa"/>
              <w:left w:w="108" w:type="dxa"/>
              <w:bottom w:w="0" w:type="dxa"/>
              <w:right w:w="108" w:type="dxa"/>
            </w:tcMar>
            <w:vAlign w:val="center"/>
          </w:tcPr>
          <w:p w14:paraId="4366F07A"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Stewart mouth</w:t>
            </w:r>
          </w:p>
        </w:tc>
        <w:tc>
          <w:tcPr>
            <w:tcW w:w="414" w:type="pct"/>
            <w:tcMar>
              <w:top w:w="0" w:type="dxa"/>
              <w:left w:w="108" w:type="dxa"/>
              <w:bottom w:w="0" w:type="dxa"/>
              <w:right w:w="108" w:type="dxa"/>
            </w:tcMar>
            <w:vAlign w:val="center"/>
          </w:tcPr>
          <w:p w14:paraId="5F244E09"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SR-01</w:t>
            </w:r>
          </w:p>
        </w:tc>
        <w:tc>
          <w:tcPr>
            <w:tcW w:w="415" w:type="pct"/>
            <w:tcMar>
              <w:top w:w="0" w:type="dxa"/>
              <w:left w:w="108" w:type="dxa"/>
              <w:bottom w:w="0" w:type="dxa"/>
              <w:right w:w="108" w:type="dxa"/>
            </w:tcMar>
            <w:vAlign w:val="bottom"/>
          </w:tcPr>
          <w:p w14:paraId="0ED2A7A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143.70085</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4277941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14.06023</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0078A34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2F1B9BE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5137C11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62F8214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(Surface sample only)</w:t>
            </w:r>
          </w:p>
        </w:tc>
        <w:tc>
          <w:tcPr>
            <w:tcW w:w="663" w:type="pct"/>
          </w:tcPr>
          <w:p w14:paraId="6420A71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1E17FC1E" w14:textId="77777777" w:rsidTr="00B02424">
        <w:tc>
          <w:tcPr>
            <w:tcW w:w="891" w:type="pct"/>
            <w:tcMar>
              <w:top w:w="0" w:type="dxa"/>
              <w:left w:w="108" w:type="dxa"/>
              <w:bottom w:w="0" w:type="dxa"/>
              <w:right w:w="108" w:type="dxa"/>
            </w:tcMar>
            <w:vAlign w:val="center"/>
          </w:tcPr>
          <w:p w14:paraId="4A0BBEBA"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S2</w:t>
            </w:r>
          </w:p>
        </w:tc>
        <w:tc>
          <w:tcPr>
            <w:tcW w:w="414" w:type="pct"/>
            <w:tcMar>
              <w:top w:w="0" w:type="dxa"/>
              <w:left w:w="108" w:type="dxa"/>
              <w:bottom w:w="0" w:type="dxa"/>
              <w:right w:w="108" w:type="dxa"/>
            </w:tcMar>
            <w:vAlign w:val="center"/>
          </w:tcPr>
          <w:p w14:paraId="3FA0C45B"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SR-02</w:t>
            </w:r>
          </w:p>
        </w:tc>
        <w:tc>
          <w:tcPr>
            <w:tcW w:w="415" w:type="pct"/>
            <w:tcMar>
              <w:top w:w="0" w:type="dxa"/>
              <w:left w:w="108" w:type="dxa"/>
              <w:bottom w:w="0" w:type="dxa"/>
              <w:right w:w="108" w:type="dxa"/>
            </w:tcMar>
            <w:vAlign w:val="bottom"/>
          </w:tcPr>
          <w:p w14:paraId="1599A84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143.69950</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42D9A81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14.04495</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3312AE0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6EAB58C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3E79850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56F193B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0CBBDCF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2F7B5EF" w14:textId="77777777" w:rsidTr="00B02424">
        <w:tc>
          <w:tcPr>
            <w:tcW w:w="891" w:type="pct"/>
            <w:tcMar>
              <w:top w:w="0" w:type="dxa"/>
              <w:left w:w="108" w:type="dxa"/>
              <w:bottom w:w="0" w:type="dxa"/>
              <w:right w:w="108" w:type="dxa"/>
            </w:tcMar>
            <w:vAlign w:val="center"/>
          </w:tcPr>
          <w:p w14:paraId="192FDA53"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S3</w:t>
            </w:r>
          </w:p>
        </w:tc>
        <w:tc>
          <w:tcPr>
            <w:tcW w:w="414" w:type="pct"/>
            <w:tcMar>
              <w:top w:w="0" w:type="dxa"/>
              <w:left w:w="108" w:type="dxa"/>
              <w:bottom w:w="0" w:type="dxa"/>
              <w:right w:w="108" w:type="dxa"/>
            </w:tcMar>
            <w:vAlign w:val="center"/>
          </w:tcPr>
          <w:p w14:paraId="5BD76A4F"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SR-03</w:t>
            </w:r>
          </w:p>
        </w:tc>
        <w:tc>
          <w:tcPr>
            <w:tcW w:w="415" w:type="pct"/>
            <w:tcMar>
              <w:top w:w="0" w:type="dxa"/>
              <w:left w:w="108" w:type="dxa"/>
              <w:bottom w:w="0" w:type="dxa"/>
              <w:right w:w="108" w:type="dxa"/>
            </w:tcMar>
            <w:vAlign w:val="bottom"/>
          </w:tcPr>
          <w:p w14:paraId="72162F7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143.71665</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5827CF1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13.98672</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0A4127C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00A00FD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178D032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17BDAFC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630E344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1BF031E" w14:textId="77777777" w:rsidTr="00B02424">
        <w:tc>
          <w:tcPr>
            <w:tcW w:w="891" w:type="pct"/>
            <w:tcMar>
              <w:top w:w="0" w:type="dxa"/>
              <w:left w:w="108" w:type="dxa"/>
              <w:bottom w:w="0" w:type="dxa"/>
              <w:right w:w="108" w:type="dxa"/>
            </w:tcMar>
            <w:vAlign w:val="center"/>
          </w:tcPr>
          <w:p w14:paraId="640B6DD6"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Burkitt Island</w:t>
            </w:r>
          </w:p>
        </w:tc>
        <w:tc>
          <w:tcPr>
            <w:tcW w:w="414" w:type="pct"/>
            <w:tcMar>
              <w:top w:w="0" w:type="dxa"/>
              <w:left w:w="108" w:type="dxa"/>
              <w:bottom w:w="0" w:type="dxa"/>
              <w:right w:w="108" w:type="dxa"/>
            </w:tcMar>
            <w:vAlign w:val="center"/>
          </w:tcPr>
          <w:p w14:paraId="258186AE"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SR-04</w:t>
            </w:r>
          </w:p>
        </w:tc>
        <w:tc>
          <w:tcPr>
            <w:tcW w:w="415" w:type="pct"/>
            <w:tcMar>
              <w:top w:w="0" w:type="dxa"/>
              <w:left w:w="108" w:type="dxa"/>
              <w:bottom w:w="0" w:type="dxa"/>
              <w:right w:w="108" w:type="dxa"/>
            </w:tcMar>
            <w:vAlign w:val="bottom"/>
          </w:tcPr>
          <w:p w14:paraId="7518962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143.73053</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4B463BC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13.92650</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6071004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6A23ED8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7F5CDA3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282C5F5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4951C9F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47B1B95F" w14:textId="77777777" w:rsidTr="00B02424">
        <w:tc>
          <w:tcPr>
            <w:tcW w:w="891" w:type="pct"/>
            <w:tcMar>
              <w:top w:w="0" w:type="dxa"/>
              <w:left w:w="108" w:type="dxa"/>
              <w:bottom w:w="0" w:type="dxa"/>
              <w:right w:w="108" w:type="dxa"/>
            </w:tcMar>
            <w:vAlign w:val="center"/>
          </w:tcPr>
          <w:p w14:paraId="77E77AAD"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Cs/>
                <w:color w:val="000000"/>
                <w:sz w:val="16"/>
                <w:szCs w:val="16"/>
                <w:lang w:eastAsia="en-AU"/>
              </w:rPr>
              <w:t>Hannah Island</w:t>
            </w:r>
          </w:p>
        </w:tc>
        <w:tc>
          <w:tcPr>
            <w:tcW w:w="414" w:type="pct"/>
            <w:tcMar>
              <w:top w:w="0" w:type="dxa"/>
              <w:left w:w="108" w:type="dxa"/>
              <w:bottom w:w="0" w:type="dxa"/>
              <w:right w:w="108" w:type="dxa"/>
            </w:tcMar>
            <w:vAlign w:val="center"/>
          </w:tcPr>
          <w:p w14:paraId="065A2474" w14:textId="77777777" w:rsidR="00B02424" w:rsidRPr="001861B8" w:rsidRDefault="00B02424" w:rsidP="00B02424">
            <w:pPr>
              <w:spacing w:before="0" w:after="0" w:line="240" w:lineRule="auto"/>
              <w:contextualSpacing/>
              <w:jc w:val="center"/>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SR-05</w:t>
            </w:r>
          </w:p>
        </w:tc>
        <w:tc>
          <w:tcPr>
            <w:tcW w:w="415" w:type="pct"/>
            <w:tcMar>
              <w:top w:w="0" w:type="dxa"/>
              <w:left w:w="108" w:type="dxa"/>
              <w:bottom w:w="0" w:type="dxa"/>
              <w:right w:w="108" w:type="dxa"/>
            </w:tcMar>
            <w:vAlign w:val="bottom"/>
          </w:tcPr>
          <w:p w14:paraId="4B35354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143.72287</w:t>
            </w:r>
            <w:r w:rsidRPr="001861B8">
              <w:rPr>
                <w:rFonts w:ascii="Arial Narrow" w:hAnsi="Arial Narrow" w:cs="Arial"/>
                <w:sz w:val="16"/>
                <w:szCs w:val="16"/>
              </w:rPr>
              <w:t>°</w:t>
            </w:r>
          </w:p>
        </w:tc>
        <w:tc>
          <w:tcPr>
            <w:tcW w:w="426" w:type="pct"/>
            <w:tcMar>
              <w:top w:w="0" w:type="dxa"/>
              <w:left w:w="108" w:type="dxa"/>
              <w:bottom w:w="0" w:type="dxa"/>
              <w:right w:w="108" w:type="dxa"/>
            </w:tcMar>
            <w:vAlign w:val="bottom"/>
          </w:tcPr>
          <w:p w14:paraId="534ACFE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color w:val="000000"/>
                <w:sz w:val="16"/>
                <w:szCs w:val="16"/>
              </w:rPr>
              <w:t>13.88200</w:t>
            </w:r>
            <w:r w:rsidRPr="001861B8">
              <w:rPr>
                <w:rFonts w:ascii="Arial Narrow" w:hAnsi="Arial Narrow" w:cs="Arial"/>
                <w:sz w:val="16"/>
                <w:szCs w:val="16"/>
              </w:rPr>
              <w:t>°</w:t>
            </w:r>
          </w:p>
        </w:tc>
        <w:tc>
          <w:tcPr>
            <w:tcW w:w="424" w:type="pct"/>
            <w:tcMar>
              <w:top w:w="0" w:type="dxa"/>
              <w:left w:w="108" w:type="dxa"/>
              <w:bottom w:w="0" w:type="dxa"/>
              <w:right w:w="108" w:type="dxa"/>
            </w:tcMar>
            <w:vAlign w:val="center"/>
          </w:tcPr>
          <w:p w14:paraId="781666D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403" w:type="pct"/>
            <w:tcMar>
              <w:top w:w="0" w:type="dxa"/>
              <w:left w:w="108" w:type="dxa"/>
              <w:bottom w:w="0" w:type="dxa"/>
              <w:right w:w="108" w:type="dxa"/>
            </w:tcMar>
            <w:vAlign w:val="center"/>
          </w:tcPr>
          <w:p w14:paraId="0E755B5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p>
        </w:tc>
        <w:tc>
          <w:tcPr>
            <w:tcW w:w="667" w:type="pct"/>
            <w:tcMar>
              <w:top w:w="0" w:type="dxa"/>
              <w:left w:w="108" w:type="dxa"/>
              <w:bottom w:w="0" w:type="dxa"/>
              <w:right w:w="108" w:type="dxa"/>
            </w:tcMar>
            <w:vAlign w:val="center"/>
          </w:tcPr>
          <w:p w14:paraId="473D184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vAlign w:val="center"/>
          </w:tcPr>
          <w:p w14:paraId="0DD849B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3D8F90C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77C88B4" w14:textId="77777777" w:rsidTr="00B02424">
        <w:tc>
          <w:tcPr>
            <w:tcW w:w="2146" w:type="pct"/>
            <w:gridSpan w:val="4"/>
            <w:shd w:val="clear" w:color="auto" w:fill="D9D9D9"/>
            <w:noWrap/>
            <w:tcMar>
              <w:top w:w="0" w:type="dxa"/>
              <w:left w:w="108" w:type="dxa"/>
              <w:bottom w:w="0" w:type="dxa"/>
              <w:right w:w="108" w:type="dxa"/>
            </w:tcMar>
            <w:vAlign w:val="center"/>
          </w:tcPr>
          <w:p w14:paraId="0821494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DD6146">
              <w:rPr>
                <w:rFonts w:ascii="Arial Narrow" w:hAnsi="Arial Narrow"/>
                <w:b/>
                <w:bCs/>
                <w:color w:val="000000"/>
                <w:sz w:val="18"/>
                <w:lang w:eastAsia="en-AU"/>
              </w:rPr>
              <w:t>Site Location</w:t>
            </w:r>
          </w:p>
        </w:tc>
        <w:tc>
          <w:tcPr>
            <w:tcW w:w="827" w:type="pct"/>
            <w:gridSpan w:val="2"/>
            <w:shd w:val="clear" w:color="auto" w:fill="D9D9D9"/>
            <w:tcMar>
              <w:top w:w="0" w:type="dxa"/>
              <w:left w:w="108" w:type="dxa"/>
              <w:bottom w:w="0" w:type="dxa"/>
              <w:right w:w="108" w:type="dxa"/>
            </w:tcMar>
            <w:vAlign w:val="center"/>
          </w:tcPr>
          <w:p w14:paraId="000410F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Logger Deployment</w:t>
            </w:r>
          </w:p>
        </w:tc>
        <w:tc>
          <w:tcPr>
            <w:tcW w:w="1364" w:type="pct"/>
            <w:gridSpan w:val="2"/>
            <w:shd w:val="clear" w:color="auto" w:fill="D9D9D9"/>
            <w:tcMar>
              <w:top w:w="0" w:type="dxa"/>
              <w:left w:w="108" w:type="dxa"/>
              <w:bottom w:w="0" w:type="dxa"/>
              <w:right w:w="108" w:type="dxa"/>
            </w:tcMar>
            <w:vAlign w:val="center"/>
          </w:tcPr>
          <w:p w14:paraId="370C939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Routine grab samples at fixed sites</w:t>
            </w:r>
          </w:p>
        </w:tc>
        <w:tc>
          <w:tcPr>
            <w:tcW w:w="663" w:type="pct"/>
            <w:shd w:val="clear" w:color="auto" w:fill="D9D9D9"/>
            <w:vAlign w:val="center"/>
          </w:tcPr>
          <w:p w14:paraId="78873EA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DD6146">
              <w:rPr>
                <w:rFonts w:ascii="Arial Narrow" w:hAnsi="Arial Narrow"/>
                <w:b/>
                <w:bCs/>
                <w:color w:val="000000"/>
                <w:sz w:val="18"/>
                <w:lang w:eastAsia="en-AU"/>
              </w:rPr>
              <w:t> </w:t>
            </w:r>
            <w:r w:rsidRPr="001861B8">
              <w:rPr>
                <w:rFonts w:ascii="Arial Narrow" w:hAnsi="Arial Narrow" w:cs="Arial"/>
                <w:b/>
                <w:bCs/>
                <w:color w:val="000000"/>
                <w:sz w:val="18"/>
                <w:lang w:eastAsia="en-AU"/>
              </w:rPr>
              <w:t>Reactive flood plume sampling</w:t>
            </w:r>
          </w:p>
        </w:tc>
      </w:tr>
      <w:tr w:rsidR="00B02424" w:rsidRPr="001861B8" w14:paraId="3EFFDFBD" w14:textId="77777777" w:rsidTr="00B02424">
        <w:tc>
          <w:tcPr>
            <w:tcW w:w="891" w:type="pct"/>
            <w:shd w:val="clear" w:color="auto" w:fill="D9D9D9"/>
            <w:noWrap/>
            <w:tcMar>
              <w:top w:w="0" w:type="dxa"/>
              <w:left w:w="108" w:type="dxa"/>
              <w:bottom w:w="0" w:type="dxa"/>
              <w:right w:w="108" w:type="dxa"/>
            </w:tcMar>
            <w:vAlign w:val="center"/>
          </w:tcPr>
          <w:p w14:paraId="7F954604"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NRM Region</w:t>
            </w:r>
          </w:p>
        </w:tc>
        <w:tc>
          <w:tcPr>
            <w:tcW w:w="414" w:type="pct"/>
            <w:shd w:val="clear" w:color="auto" w:fill="D9D9D9"/>
            <w:tcMar>
              <w:top w:w="0" w:type="dxa"/>
              <w:left w:w="108" w:type="dxa"/>
              <w:bottom w:w="0" w:type="dxa"/>
              <w:right w:w="108" w:type="dxa"/>
            </w:tcMar>
            <w:vAlign w:val="center"/>
          </w:tcPr>
          <w:p w14:paraId="1CAC058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Site Code</w:t>
            </w:r>
          </w:p>
        </w:tc>
        <w:tc>
          <w:tcPr>
            <w:tcW w:w="415" w:type="pct"/>
            <w:shd w:val="clear" w:color="auto" w:fill="D9D9D9"/>
            <w:noWrap/>
            <w:tcMar>
              <w:top w:w="0" w:type="dxa"/>
              <w:left w:w="108" w:type="dxa"/>
              <w:bottom w:w="0" w:type="dxa"/>
              <w:right w:w="108" w:type="dxa"/>
            </w:tcMar>
            <w:vAlign w:val="center"/>
          </w:tcPr>
          <w:p w14:paraId="0E5E0D67"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Longitude</w:t>
            </w:r>
          </w:p>
        </w:tc>
        <w:tc>
          <w:tcPr>
            <w:tcW w:w="426" w:type="pct"/>
            <w:shd w:val="clear" w:color="auto" w:fill="D9D9D9"/>
            <w:noWrap/>
            <w:tcMar>
              <w:top w:w="0" w:type="dxa"/>
              <w:left w:w="108" w:type="dxa"/>
              <w:bottom w:w="0" w:type="dxa"/>
              <w:right w:w="108" w:type="dxa"/>
            </w:tcMar>
            <w:vAlign w:val="center"/>
          </w:tcPr>
          <w:p w14:paraId="4934E2B6"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Latitude</w:t>
            </w:r>
          </w:p>
        </w:tc>
        <w:tc>
          <w:tcPr>
            <w:tcW w:w="424" w:type="pct"/>
            <w:shd w:val="clear" w:color="auto" w:fill="D9D9D9"/>
            <w:tcMar>
              <w:top w:w="0" w:type="dxa"/>
              <w:left w:w="108" w:type="dxa"/>
              <w:bottom w:w="0" w:type="dxa"/>
              <w:right w:w="108" w:type="dxa"/>
            </w:tcMar>
            <w:vAlign w:val="center"/>
          </w:tcPr>
          <w:p w14:paraId="0CEA461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Turbidity and chlorophyll</w:t>
            </w:r>
          </w:p>
        </w:tc>
        <w:tc>
          <w:tcPr>
            <w:tcW w:w="403" w:type="pct"/>
            <w:shd w:val="clear" w:color="auto" w:fill="D9D9D9"/>
            <w:tcMar>
              <w:top w:w="0" w:type="dxa"/>
              <w:left w:w="108" w:type="dxa"/>
              <w:bottom w:w="0" w:type="dxa"/>
              <w:right w:w="108" w:type="dxa"/>
            </w:tcMar>
            <w:vAlign w:val="center"/>
          </w:tcPr>
          <w:p w14:paraId="128FE8B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Salinity</w:t>
            </w:r>
          </w:p>
        </w:tc>
        <w:tc>
          <w:tcPr>
            <w:tcW w:w="667" w:type="pct"/>
            <w:shd w:val="clear" w:color="auto" w:fill="D9D9D9"/>
            <w:tcMar>
              <w:top w:w="0" w:type="dxa"/>
              <w:left w:w="108" w:type="dxa"/>
              <w:bottom w:w="0" w:type="dxa"/>
              <w:right w:w="108" w:type="dxa"/>
            </w:tcMar>
            <w:vAlign w:val="center"/>
          </w:tcPr>
          <w:p w14:paraId="35DFF18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Number of times site is visited/year by AIMS</w:t>
            </w:r>
          </w:p>
        </w:tc>
        <w:tc>
          <w:tcPr>
            <w:tcW w:w="697" w:type="pct"/>
            <w:shd w:val="clear" w:color="auto" w:fill="D9D9D9"/>
            <w:vAlign w:val="center"/>
          </w:tcPr>
          <w:p w14:paraId="6B41863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Number of times site is visited/year by JCU</w:t>
            </w:r>
          </w:p>
        </w:tc>
        <w:tc>
          <w:tcPr>
            <w:tcW w:w="663" w:type="pct"/>
            <w:shd w:val="clear" w:color="auto" w:fill="D9D9D9"/>
            <w:vAlign w:val="center"/>
          </w:tcPr>
          <w:p w14:paraId="4BC77C7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 xml:space="preserve">Additional surface-sampling/year by JCU </w:t>
            </w:r>
          </w:p>
        </w:tc>
      </w:tr>
      <w:tr w:rsidR="00B02424" w:rsidRPr="001861B8" w14:paraId="68B057F1" w14:textId="77777777" w:rsidTr="00B02424">
        <w:tc>
          <w:tcPr>
            <w:tcW w:w="891" w:type="pct"/>
            <w:shd w:val="clear" w:color="auto" w:fill="F2F2F2"/>
            <w:noWrap/>
            <w:tcMar>
              <w:top w:w="0" w:type="dxa"/>
              <w:left w:w="108" w:type="dxa"/>
              <w:bottom w:w="0" w:type="dxa"/>
              <w:right w:w="108" w:type="dxa"/>
            </w:tcMar>
            <w:vAlign w:val="center"/>
            <w:hideMark/>
          </w:tcPr>
          <w:p w14:paraId="79373A10" w14:textId="77777777" w:rsidR="00B02424" w:rsidRPr="001861B8" w:rsidRDefault="006E4035"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WET TROPICS</w:t>
            </w:r>
          </w:p>
        </w:tc>
        <w:tc>
          <w:tcPr>
            <w:tcW w:w="414" w:type="pct"/>
            <w:shd w:val="clear" w:color="auto" w:fill="F2F2F2"/>
            <w:tcMar>
              <w:top w:w="0" w:type="dxa"/>
              <w:left w:w="108" w:type="dxa"/>
              <w:bottom w:w="0" w:type="dxa"/>
              <w:right w:w="108" w:type="dxa"/>
            </w:tcMar>
            <w:vAlign w:val="center"/>
            <w:hideMark/>
          </w:tcPr>
          <w:p w14:paraId="56BB60F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15" w:type="pct"/>
            <w:shd w:val="clear" w:color="auto" w:fill="F2F2F2"/>
            <w:noWrap/>
            <w:tcMar>
              <w:top w:w="0" w:type="dxa"/>
              <w:left w:w="108" w:type="dxa"/>
              <w:bottom w:w="0" w:type="dxa"/>
              <w:right w:w="108" w:type="dxa"/>
            </w:tcMar>
            <w:vAlign w:val="center"/>
            <w:hideMark/>
          </w:tcPr>
          <w:p w14:paraId="6D82AB08"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6" w:type="pct"/>
            <w:shd w:val="clear" w:color="auto" w:fill="F2F2F2"/>
            <w:noWrap/>
            <w:tcMar>
              <w:top w:w="0" w:type="dxa"/>
              <w:left w:w="108" w:type="dxa"/>
              <w:bottom w:w="0" w:type="dxa"/>
              <w:right w:w="108" w:type="dxa"/>
            </w:tcMar>
            <w:vAlign w:val="center"/>
            <w:hideMark/>
          </w:tcPr>
          <w:p w14:paraId="48E83590"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0F5B9F4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48F9D84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hideMark/>
          </w:tcPr>
          <w:p w14:paraId="33EA2CA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cPr>
          <w:p w14:paraId="39C0B46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30D4A45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5824966" w14:textId="77777777" w:rsidTr="00B02424">
        <w:tc>
          <w:tcPr>
            <w:tcW w:w="891" w:type="pct"/>
            <w:shd w:val="clear" w:color="auto" w:fill="F2F2F2" w:themeFill="background1" w:themeFillShade="F2"/>
            <w:tcMar>
              <w:top w:w="0" w:type="dxa"/>
              <w:left w:w="108" w:type="dxa"/>
              <w:bottom w:w="0" w:type="dxa"/>
              <w:right w:w="108" w:type="dxa"/>
            </w:tcMar>
            <w:vAlign w:val="center"/>
            <w:hideMark/>
          </w:tcPr>
          <w:p w14:paraId="502AB24F" w14:textId="6528ABC8" w:rsidR="00B02424" w:rsidRPr="001861B8" w:rsidRDefault="00B02424" w:rsidP="00B02424">
            <w:pPr>
              <w:spacing w:before="0" w:after="0" w:line="240" w:lineRule="auto"/>
              <w:contextualSpacing/>
              <w:rPr>
                <w:rFonts w:ascii="Arial Narrow" w:hAnsi="Arial Narrow" w:cs="Arial"/>
                <w:b/>
                <w:bCs/>
                <w:i/>
                <w:color w:val="000000"/>
                <w:sz w:val="16"/>
                <w:szCs w:val="16"/>
                <w:lang w:eastAsia="en-AU"/>
              </w:rPr>
            </w:pPr>
            <w:r w:rsidRPr="001861B8">
              <w:rPr>
                <w:rFonts w:ascii="Arial Narrow" w:hAnsi="Arial Narrow" w:cs="Arial"/>
                <w:b/>
                <w:bCs/>
                <w:i/>
                <w:color w:val="000000"/>
                <w:sz w:val="16"/>
                <w:szCs w:val="16"/>
                <w:lang w:eastAsia="en-AU"/>
              </w:rPr>
              <w:t xml:space="preserve">Cairns </w:t>
            </w:r>
            <w:r w:rsidR="00943D89">
              <w:rPr>
                <w:rFonts w:ascii="Arial Narrow" w:hAnsi="Arial Narrow" w:cs="Arial"/>
                <w:b/>
                <w:bCs/>
                <w:i/>
                <w:color w:val="000000"/>
                <w:sz w:val="16"/>
                <w:szCs w:val="16"/>
                <w:lang w:eastAsia="en-AU"/>
              </w:rPr>
              <w:t>T</w:t>
            </w:r>
            <w:r w:rsidRPr="001861B8">
              <w:rPr>
                <w:rFonts w:ascii="Arial Narrow" w:hAnsi="Arial Narrow" w:cs="Arial"/>
                <w:b/>
                <w:bCs/>
                <w:i/>
                <w:color w:val="000000"/>
                <w:sz w:val="16"/>
                <w:szCs w:val="16"/>
                <w:lang w:eastAsia="en-AU"/>
              </w:rPr>
              <w:t>ransect</w:t>
            </w:r>
          </w:p>
        </w:tc>
        <w:tc>
          <w:tcPr>
            <w:tcW w:w="414" w:type="pct"/>
            <w:shd w:val="clear" w:color="auto" w:fill="F2F2F2" w:themeFill="background1" w:themeFillShade="F2"/>
            <w:tcMar>
              <w:top w:w="0" w:type="dxa"/>
              <w:left w:w="108" w:type="dxa"/>
              <w:bottom w:w="0" w:type="dxa"/>
              <w:right w:w="108" w:type="dxa"/>
            </w:tcMar>
            <w:vAlign w:val="center"/>
            <w:hideMark/>
          </w:tcPr>
          <w:p w14:paraId="110760E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15" w:type="pct"/>
            <w:shd w:val="clear" w:color="auto" w:fill="F2F2F2" w:themeFill="background1" w:themeFillShade="F2"/>
            <w:tcMar>
              <w:top w:w="0" w:type="dxa"/>
              <w:left w:w="108" w:type="dxa"/>
              <w:bottom w:w="0" w:type="dxa"/>
              <w:right w:w="108" w:type="dxa"/>
            </w:tcMar>
            <w:vAlign w:val="center"/>
            <w:hideMark/>
          </w:tcPr>
          <w:p w14:paraId="631D86CF"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6" w:type="pct"/>
            <w:shd w:val="clear" w:color="auto" w:fill="F2F2F2" w:themeFill="background1" w:themeFillShade="F2"/>
            <w:tcMar>
              <w:top w:w="0" w:type="dxa"/>
              <w:left w:w="108" w:type="dxa"/>
              <w:bottom w:w="0" w:type="dxa"/>
              <w:right w:w="108" w:type="dxa"/>
            </w:tcMar>
            <w:vAlign w:val="center"/>
            <w:hideMark/>
          </w:tcPr>
          <w:p w14:paraId="7EC9ADEE"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24" w:type="pct"/>
            <w:shd w:val="clear" w:color="auto" w:fill="F2F2F2" w:themeFill="background1" w:themeFillShade="F2"/>
            <w:tcMar>
              <w:top w:w="0" w:type="dxa"/>
              <w:left w:w="108" w:type="dxa"/>
              <w:bottom w:w="0" w:type="dxa"/>
              <w:right w:w="108" w:type="dxa"/>
            </w:tcMar>
            <w:vAlign w:val="center"/>
            <w:hideMark/>
          </w:tcPr>
          <w:p w14:paraId="1A22718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hemeFill="background1" w:themeFillShade="F2"/>
            <w:tcMar>
              <w:top w:w="0" w:type="dxa"/>
              <w:left w:w="108" w:type="dxa"/>
              <w:bottom w:w="0" w:type="dxa"/>
              <w:right w:w="108" w:type="dxa"/>
            </w:tcMar>
            <w:vAlign w:val="center"/>
            <w:hideMark/>
          </w:tcPr>
          <w:p w14:paraId="366A41C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hemeFill="background1" w:themeFillShade="F2"/>
            <w:tcMar>
              <w:top w:w="0" w:type="dxa"/>
              <w:left w:w="108" w:type="dxa"/>
              <w:bottom w:w="0" w:type="dxa"/>
              <w:right w:w="108" w:type="dxa"/>
            </w:tcMar>
            <w:vAlign w:val="center"/>
            <w:hideMark/>
          </w:tcPr>
          <w:p w14:paraId="256B35A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shd w:val="clear" w:color="auto" w:fill="F2F2F2" w:themeFill="background1" w:themeFillShade="F2"/>
          </w:tcPr>
          <w:p w14:paraId="1CF736B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0</w:t>
            </w:r>
          </w:p>
        </w:tc>
        <w:tc>
          <w:tcPr>
            <w:tcW w:w="663" w:type="pct"/>
            <w:shd w:val="clear" w:color="auto" w:fill="F2F2F2" w:themeFill="background1" w:themeFillShade="F2"/>
          </w:tcPr>
          <w:p w14:paraId="52FBEB6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E32CA21" w14:textId="77777777" w:rsidTr="00B02424">
        <w:tc>
          <w:tcPr>
            <w:tcW w:w="891" w:type="pct"/>
            <w:tcMar>
              <w:top w:w="0" w:type="dxa"/>
              <w:left w:w="108" w:type="dxa"/>
              <w:bottom w:w="0" w:type="dxa"/>
              <w:right w:w="108" w:type="dxa"/>
            </w:tcMar>
            <w:vAlign w:val="center"/>
            <w:hideMark/>
          </w:tcPr>
          <w:p w14:paraId="1246A16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Cape Tribulation</w:t>
            </w:r>
          </w:p>
        </w:tc>
        <w:tc>
          <w:tcPr>
            <w:tcW w:w="414" w:type="pct"/>
            <w:tcMar>
              <w:top w:w="0" w:type="dxa"/>
              <w:left w:w="108" w:type="dxa"/>
              <w:bottom w:w="0" w:type="dxa"/>
              <w:right w:w="108" w:type="dxa"/>
            </w:tcMar>
            <w:vAlign w:val="center"/>
            <w:hideMark/>
          </w:tcPr>
          <w:p w14:paraId="3AA9B91E"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C1</w:t>
            </w:r>
          </w:p>
        </w:tc>
        <w:tc>
          <w:tcPr>
            <w:tcW w:w="415" w:type="pct"/>
            <w:tcMar>
              <w:top w:w="0" w:type="dxa"/>
              <w:left w:w="108" w:type="dxa"/>
              <w:bottom w:w="0" w:type="dxa"/>
              <w:right w:w="108" w:type="dxa"/>
            </w:tcMar>
            <w:vAlign w:val="center"/>
            <w:hideMark/>
          </w:tcPr>
          <w:p w14:paraId="1C2F743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145.484</w:t>
            </w:r>
          </w:p>
        </w:tc>
        <w:tc>
          <w:tcPr>
            <w:tcW w:w="426" w:type="pct"/>
            <w:tcMar>
              <w:top w:w="0" w:type="dxa"/>
              <w:left w:w="108" w:type="dxa"/>
              <w:bottom w:w="0" w:type="dxa"/>
              <w:right w:w="108" w:type="dxa"/>
            </w:tcMar>
            <w:vAlign w:val="center"/>
            <w:hideMark/>
          </w:tcPr>
          <w:p w14:paraId="6389296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-16.113</w:t>
            </w:r>
          </w:p>
        </w:tc>
        <w:tc>
          <w:tcPr>
            <w:tcW w:w="424" w:type="pct"/>
            <w:tcMar>
              <w:top w:w="0" w:type="dxa"/>
              <w:left w:w="108" w:type="dxa"/>
              <w:bottom w:w="0" w:type="dxa"/>
              <w:right w:w="108" w:type="dxa"/>
            </w:tcMar>
            <w:vAlign w:val="center"/>
            <w:hideMark/>
          </w:tcPr>
          <w:p w14:paraId="2007528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3F6D32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F0F302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44B7D9E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5C2E7B0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C5CD2E0" w14:textId="77777777" w:rsidTr="00B02424">
        <w:tc>
          <w:tcPr>
            <w:tcW w:w="891" w:type="pct"/>
            <w:tcMar>
              <w:top w:w="0" w:type="dxa"/>
              <w:left w:w="108" w:type="dxa"/>
              <w:bottom w:w="0" w:type="dxa"/>
              <w:right w:w="108" w:type="dxa"/>
            </w:tcMar>
            <w:vAlign w:val="center"/>
            <w:hideMark/>
          </w:tcPr>
          <w:p w14:paraId="7D81473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Port Douglas</w:t>
            </w:r>
          </w:p>
        </w:tc>
        <w:tc>
          <w:tcPr>
            <w:tcW w:w="414" w:type="pct"/>
            <w:tcMar>
              <w:top w:w="0" w:type="dxa"/>
              <w:left w:w="108" w:type="dxa"/>
              <w:bottom w:w="0" w:type="dxa"/>
              <w:right w:w="108" w:type="dxa"/>
            </w:tcMar>
            <w:vAlign w:val="center"/>
            <w:hideMark/>
          </w:tcPr>
          <w:p w14:paraId="639663FE"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C4</w:t>
            </w:r>
          </w:p>
        </w:tc>
        <w:tc>
          <w:tcPr>
            <w:tcW w:w="415" w:type="pct"/>
            <w:tcMar>
              <w:top w:w="0" w:type="dxa"/>
              <w:left w:w="108" w:type="dxa"/>
              <w:bottom w:w="0" w:type="dxa"/>
              <w:right w:w="108" w:type="dxa"/>
            </w:tcMar>
            <w:vAlign w:val="center"/>
            <w:hideMark/>
          </w:tcPr>
          <w:p w14:paraId="1B87051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145.509</w:t>
            </w:r>
          </w:p>
        </w:tc>
        <w:tc>
          <w:tcPr>
            <w:tcW w:w="426" w:type="pct"/>
            <w:tcMar>
              <w:top w:w="0" w:type="dxa"/>
              <w:left w:w="108" w:type="dxa"/>
              <w:bottom w:w="0" w:type="dxa"/>
              <w:right w:w="108" w:type="dxa"/>
            </w:tcMar>
            <w:vAlign w:val="center"/>
            <w:hideMark/>
          </w:tcPr>
          <w:p w14:paraId="25DAA92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-16.411</w:t>
            </w:r>
          </w:p>
        </w:tc>
        <w:tc>
          <w:tcPr>
            <w:tcW w:w="424" w:type="pct"/>
            <w:tcMar>
              <w:top w:w="0" w:type="dxa"/>
              <w:left w:w="108" w:type="dxa"/>
              <w:bottom w:w="0" w:type="dxa"/>
              <w:right w:w="108" w:type="dxa"/>
            </w:tcMar>
            <w:vAlign w:val="center"/>
            <w:hideMark/>
          </w:tcPr>
          <w:p w14:paraId="5097412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5ABAA7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5B8937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04FF1BF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49DFDE3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1A8CAE1" w14:textId="77777777" w:rsidTr="00B02424">
        <w:tc>
          <w:tcPr>
            <w:tcW w:w="891" w:type="pct"/>
            <w:tcMar>
              <w:top w:w="0" w:type="dxa"/>
              <w:left w:w="108" w:type="dxa"/>
              <w:bottom w:w="0" w:type="dxa"/>
              <w:right w:w="108" w:type="dxa"/>
            </w:tcMar>
            <w:vAlign w:val="center"/>
            <w:hideMark/>
          </w:tcPr>
          <w:p w14:paraId="0012AEA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Double Island</w:t>
            </w:r>
          </w:p>
        </w:tc>
        <w:tc>
          <w:tcPr>
            <w:tcW w:w="414" w:type="pct"/>
            <w:tcMar>
              <w:top w:w="0" w:type="dxa"/>
              <w:left w:w="108" w:type="dxa"/>
              <w:bottom w:w="0" w:type="dxa"/>
              <w:right w:w="108" w:type="dxa"/>
            </w:tcMar>
            <w:vAlign w:val="center"/>
            <w:hideMark/>
          </w:tcPr>
          <w:p w14:paraId="67C1DC08"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C5</w:t>
            </w:r>
          </w:p>
        </w:tc>
        <w:tc>
          <w:tcPr>
            <w:tcW w:w="415" w:type="pct"/>
            <w:tcMar>
              <w:top w:w="0" w:type="dxa"/>
              <w:left w:w="108" w:type="dxa"/>
              <w:bottom w:w="0" w:type="dxa"/>
              <w:right w:w="108" w:type="dxa"/>
            </w:tcMar>
            <w:vAlign w:val="center"/>
            <w:hideMark/>
          </w:tcPr>
          <w:p w14:paraId="132309A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145.704</w:t>
            </w:r>
          </w:p>
        </w:tc>
        <w:tc>
          <w:tcPr>
            <w:tcW w:w="426" w:type="pct"/>
            <w:tcMar>
              <w:top w:w="0" w:type="dxa"/>
              <w:left w:w="108" w:type="dxa"/>
              <w:bottom w:w="0" w:type="dxa"/>
              <w:right w:w="108" w:type="dxa"/>
            </w:tcMar>
            <w:vAlign w:val="center"/>
            <w:hideMark/>
          </w:tcPr>
          <w:p w14:paraId="4237397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-16.664</w:t>
            </w:r>
          </w:p>
        </w:tc>
        <w:tc>
          <w:tcPr>
            <w:tcW w:w="424" w:type="pct"/>
            <w:tcMar>
              <w:top w:w="0" w:type="dxa"/>
              <w:left w:w="108" w:type="dxa"/>
              <w:bottom w:w="0" w:type="dxa"/>
              <w:right w:w="108" w:type="dxa"/>
            </w:tcMar>
            <w:vAlign w:val="center"/>
            <w:hideMark/>
          </w:tcPr>
          <w:p w14:paraId="5BA4819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10C654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39561E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74DAAFD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0498B6C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53126012" w14:textId="77777777" w:rsidTr="00B02424">
        <w:tc>
          <w:tcPr>
            <w:tcW w:w="891" w:type="pct"/>
            <w:tcMar>
              <w:top w:w="0" w:type="dxa"/>
              <w:left w:w="108" w:type="dxa"/>
              <w:bottom w:w="0" w:type="dxa"/>
              <w:right w:w="108" w:type="dxa"/>
            </w:tcMar>
            <w:vAlign w:val="center"/>
            <w:hideMark/>
          </w:tcPr>
          <w:p w14:paraId="737C0AB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Yorkey's Knob</w:t>
            </w:r>
          </w:p>
        </w:tc>
        <w:tc>
          <w:tcPr>
            <w:tcW w:w="414" w:type="pct"/>
            <w:tcMar>
              <w:top w:w="0" w:type="dxa"/>
              <w:left w:w="108" w:type="dxa"/>
              <w:bottom w:w="0" w:type="dxa"/>
              <w:right w:w="108" w:type="dxa"/>
            </w:tcMar>
            <w:vAlign w:val="center"/>
            <w:hideMark/>
          </w:tcPr>
          <w:p w14:paraId="78B47E79"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C6</w:t>
            </w:r>
          </w:p>
        </w:tc>
        <w:tc>
          <w:tcPr>
            <w:tcW w:w="415" w:type="pct"/>
            <w:tcMar>
              <w:top w:w="0" w:type="dxa"/>
              <w:left w:w="108" w:type="dxa"/>
              <w:bottom w:w="0" w:type="dxa"/>
              <w:right w:w="108" w:type="dxa"/>
            </w:tcMar>
            <w:vAlign w:val="center"/>
            <w:hideMark/>
          </w:tcPr>
          <w:p w14:paraId="3F64E05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145.748</w:t>
            </w:r>
          </w:p>
        </w:tc>
        <w:tc>
          <w:tcPr>
            <w:tcW w:w="426" w:type="pct"/>
            <w:tcMar>
              <w:top w:w="0" w:type="dxa"/>
              <w:left w:w="108" w:type="dxa"/>
              <w:bottom w:w="0" w:type="dxa"/>
              <w:right w:w="108" w:type="dxa"/>
            </w:tcMar>
            <w:vAlign w:val="center"/>
            <w:hideMark/>
          </w:tcPr>
          <w:p w14:paraId="1C004C1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-16.788</w:t>
            </w:r>
          </w:p>
        </w:tc>
        <w:tc>
          <w:tcPr>
            <w:tcW w:w="424" w:type="pct"/>
            <w:tcMar>
              <w:top w:w="0" w:type="dxa"/>
              <w:left w:w="108" w:type="dxa"/>
              <w:bottom w:w="0" w:type="dxa"/>
              <w:right w:w="108" w:type="dxa"/>
            </w:tcMar>
            <w:vAlign w:val="center"/>
            <w:hideMark/>
          </w:tcPr>
          <w:p w14:paraId="5273F54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596A13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EB3290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7A38A80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6A94371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CE0D1E1" w14:textId="77777777" w:rsidTr="00B02424">
        <w:tc>
          <w:tcPr>
            <w:tcW w:w="891" w:type="pct"/>
            <w:tcMar>
              <w:top w:w="0" w:type="dxa"/>
              <w:left w:w="108" w:type="dxa"/>
              <w:bottom w:w="0" w:type="dxa"/>
              <w:right w:w="108" w:type="dxa"/>
            </w:tcMar>
            <w:vAlign w:val="center"/>
            <w:hideMark/>
          </w:tcPr>
          <w:p w14:paraId="02FC6FE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Fairlead Buoy</w:t>
            </w:r>
          </w:p>
        </w:tc>
        <w:tc>
          <w:tcPr>
            <w:tcW w:w="414" w:type="pct"/>
            <w:tcMar>
              <w:top w:w="0" w:type="dxa"/>
              <w:left w:w="108" w:type="dxa"/>
              <w:bottom w:w="0" w:type="dxa"/>
              <w:right w:w="108" w:type="dxa"/>
            </w:tcMar>
            <w:vAlign w:val="center"/>
            <w:hideMark/>
          </w:tcPr>
          <w:p w14:paraId="295DB0D5"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C8</w:t>
            </w:r>
          </w:p>
        </w:tc>
        <w:tc>
          <w:tcPr>
            <w:tcW w:w="415" w:type="pct"/>
            <w:tcMar>
              <w:top w:w="0" w:type="dxa"/>
              <w:left w:w="108" w:type="dxa"/>
              <w:bottom w:w="0" w:type="dxa"/>
              <w:right w:w="108" w:type="dxa"/>
            </w:tcMar>
            <w:vAlign w:val="center"/>
            <w:hideMark/>
          </w:tcPr>
          <w:p w14:paraId="0A55B2E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145.837</w:t>
            </w:r>
          </w:p>
        </w:tc>
        <w:tc>
          <w:tcPr>
            <w:tcW w:w="426" w:type="pct"/>
            <w:tcMar>
              <w:top w:w="0" w:type="dxa"/>
              <w:left w:w="108" w:type="dxa"/>
              <w:bottom w:w="0" w:type="dxa"/>
              <w:right w:w="108" w:type="dxa"/>
            </w:tcMar>
            <w:vAlign w:val="center"/>
            <w:hideMark/>
          </w:tcPr>
          <w:p w14:paraId="14BCF20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-16.848</w:t>
            </w:r>
          </w:p>
        </w:tc>
        <w:tc>
          <w:tcPr>
            <w:tcW w:w="424" w:type="pct"/>
            <w:tcMar>
              <w:top w:w="0" w:type="dxa"/>
              <w:left w:w="108" w:type="dxa"/>
              <w:bottom w:w="0" w:type="dxa"/>
              <w:right w:w="108" w:type="dxa"/>
            </w:tcMar>
            <w:vAlign w:val="center"/>
            <w:hideMark/>
          </w:tcPr>
          <w:p w14:paraId="2F9DD38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4C8CBD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640E33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725A060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02A6323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4AEFC4BB" w14:textId="77777777" w:rsidTr="00B02424">
        <w:tc>
          <w:tcPr>
            <w:tcW w:w="891" w:type="pct"/>
            <w:tcMar>
              <w:top w:w="0" w:type="dxa"/>
              <w:left w:w="108" w:type="dxa"/>
              <w:bottom w:w="0" w:type="dxa"/>
              <w:right w:w="108" w:type="dxa"/>
            </w:tcMar>
            <w:vAlign w:val="center"/>
            <w:hideMark/>
          </w:tcPr>
          <w:p w14:paraId="17E0682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Green Island</w:t>
            </w:r>
          </w:p>
        </w:tc>
        <w:tc>
          <w:tcPr>
            <w:tcW w:w="414" w:type="pct"/>
            <w:tcMar>
              <w:top w:w="0" w:type="dxa"/>
              <w:left w:w="108" w:type="dxa"/>
              <w:bottom w:w="0" w:type="dxa"/>
              <w:right w:w="108" w:type="dxa"/>
            </w:tcMar>
            <w:vAlign w:val="center"/>
            <w:hideMark/>
          </w:tcPr>
          <w:p w14:paraId="1709631D"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C11</w:t>
            </w:r>
          </w:p>
        </w:tc>
        <w:tc>
          <w:tcPr>
            <w:tcW w:w="415" w:type="pct"/>
            <w:tcMar>
              <w:top w:w="0" w:type="dxa"/>
              <w:left w:w="108" w:type="dxa"/>
              <w:bottom w:w="0" w:type="dxa"/>
              <w:right w:w="108" w:type="dxa"/>
            </w:tcMar>
            <w:vAlign w:val="center"/>
            <w:hideMark/>
          </w:tcPr>
          <w:p w14:paraId="5E2BFE1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145.955</w:t>
            </w:r>
          </w:p>
        </w:tc>
        <w:tc>
          <w:tcPr>
            <w:tcW w:w="426" w:type="pct"/>
            <w:tcMar>
              <w:top w:w="0" w:type="dxa"/>
              <w:left w:w="108" w:type="dxa"/>
              <w:bottom w:w="0" w:type="dxa"/>
              <w:right w:w="108" w:type="dxa"/>
            </w:tcMar>
            <w:vAlign w:val="center"/>
            <w:hideMark/>
          </w:tcPr>
          <w:p w14:paraId="58BEA44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-16.774</w:t>
            </w:r>
          </w:p>
        </w:tc>
        <w:tc>
          <w:tcPr>
            <w:tcW w:w="424" w:type="pct"/>
            <w:tcMar>
              <w:top w:w="0" w:type="dxa"/>
              <w:left w:w="108" w:type="dxa"/>
              <w:bottom w:w="0" w:type="dxa"/>
              <w:right w:w="108" w:type="dxa"/>
            </w:tcMar>
            <w:vAlign w:val="center"/>
            <w:hideMark/>
          </w:tcPr>
          <w:p w14:paraId="24B1D47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52FF54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2BE172C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3 (Sampling 2 depths)</w:t>
            </w:r>
          </w:p>
        </w:tc>
        <w:tc>
          <w:tcPr>
            <w:tcW w:w="697" w:type="pct"/>
          </w:tcPr>
          <w:p w14:paraId="02FDB2F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59C7395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5A1E3C9E" w14:textId="77777777" w:rsidTr="00B02424">
        <w:tc>
          <w:tcPr>
            <w:tcW w:w="891" w:type="pct"/>
            <w:shd w:val="clear" w:color="auto" w:fill="F2F2F2"/>
            <w:tcMar>
              <w:top w:w="0" w:type="dxa"/>
              <w:left w:w="108" w:type="dxa"/>
              <w:bottom w:w="0" w:type="dxa"/>
              <w:right w:w="108" w:type="dxa"/>
            </w:tcMar>
            <w:vAlign w:val="center"/>
            <w:hideMark/>
          </w:tcPr>
          <w:p w14:paraId="6B5B09A8" w14:textId="7D5D8D7B" w:rsidR="00B02424" w:rsidRPr="001861B8" w:rsidRDefault="00B02424" w:rsidP="00B02424">
            <w:pPr>
              <w:spacing w:before="0" w:after="0" w:line="240" w:lineRule="auto"/>
              <w:contextualSpacing/>
              <w:rPr>
                <w:rFonts w:ascii="Arial Narrow" w:hAnsi="Arial Narrow" w:cs="Arial"/>
                <w:b/>
                <w:bCs/>
                <w:i/>
                <w:iCs/>
                <w:color w:val="000000"/>
                <w:sz w:val="16"/>
                <w:szCs w:val="16"/>
                <w:lang w:eastAsia="en-AU"/>
              </w:rPr>
            </w:pPr>
            <w:r w:rsidRPr="001861B8">
              <w:rPr>
                <w:rFonts w:ascii="Arial Narrow" w:hAnsi="Arial Narrow" w:cs="Arial"/>
                <w:b/>
                <w:bCs/>
                <w:i/>
                <w:iCs/>
                <w:color w:val="000000"/>
                <w:sz w:val="16"/>
                <w:szCs w:val="16"/>
                <w:lang w:eastAsia="en-AU"/>
              </w:rPr>
              <w:t>Russell</w:t>
            </w:r>
            <w:r w:rsidR="00943D89">
              <w:rPr>
                <w:rFonts w:ascii="Arial Narrow" w:hAnsi="Arial Narrow" w:cs="Arial"/>
                <w:b/>
                <w:bCs/>
                <w:i/>
                <w:iCs/>
                <w:color w:val="000000"/>
                <w:sz w:val="16"/>
                <w:szCs w:val="16"/>
                <w:lang w:eastAsia="en-AU"/>
              </w:rPr>
              <w:t>-</w:t>
            </w:r>
            <w:r w:rsidRPr="001861B8">
              <w:rPr>
                <w:rFonts w:ascii="Arial Narrow" w:hAnsi="Arial Narrow" w:cs="Arial"/>
                <w:b/>
                <w:bCs/>
                <w:i/>
                <w:iCs/>
                <w:color w:val="000000"/>
                <w:sz w:val="16"/>
                <w:szCs w:val="16"/>
                <w:lang w:eastAsia="en-AU"/>
              </w:rPr>
              <w:t xml:space="preserve">Mulgrave </w:t>
            </w:r>
            <w:r w:rsidR="00943D89">
              <w:rPr>
                <w:rFonts w:ascii="Arial Narrow" w:hAnsi="Arial Narrow" w:cs="Arial"/>
                <w:b/>
                <w:bCs/>
                <w:i/>
                <w:iCs/>
                <w:color w:val="000000"/>
                <w:sz w:val="16"/>
                <w:szCs w:val="16"/>
                <w:lang w:eastAsia="en-AU"/>
              </w:rPr>
              <w:t>f</w:t>
            </w:r>
            <w:r w:rsidRPr="001861B8">
              <w:rPr>
                <w:rFonts w:ascii="Arial Narrow" w:hAnsi="Arial Narrow" w:cs="Arial"/>
                <w:b/>
                <w:bCs/>
                <w:i/>
                <w:iCs/>
                <w:color w:val="000000"/>
                <w:sz w:val="16"/>
                <w:szCs w:val="16"/>
                <w:lang w:eastAsia="en-AU"/>
              </w:rPr>
              <w:t xml:space="preserve">ocus </w:t>
            </w:r>
            <w:r w:rsidR="00943D89">
              <w:rPr>
                <w:rFonts w:ascii="Arial Narrow" w:hAnsi="Arial Narrow" w:cs="Arial"/>
                <w:b/>
                <w:bCs/>
                <w:i/>
                <w:iCs/>
                <w:color w:val="000000"/>
                <w:sz w:val="16"/>
                <w:szCs w:val="16"/>
                <w:lang w:eastAsia="en-AU"/>
              </w:rPr>
              <w:t>a</w:t>
            </w:r>
            <w:r w:rsidRPr="001861B8">
              <w:rPr>
                <w:rFonts w:ascii="Arial Narrow" w:hAnsi="Arial Narrow" w:cs="Arial"/>
                <w:b/>
                <w:bCs/>
                <w:i/>
                <w:iCs/>
                <w:color w:val="000000"/>
                <w:sz w:val="16"/>
                <w:szCs w:val="16"/>
                <w:lang w:eastAsia="en-AU"/>
              </w:rPr>
              <w:t>rea</w:t>
            </w:r>
          </w:p>
        </w:tc>
        <w:tc>
          <w:tcPr>
            <w:tcW w:w="414" w:type="pct"/>
            <w:shd w:val="clear" w:color="auto" w:fill="F2F2F2"/>
            <w:tcMar>
              <w:top w:w="0" w:type="dxa"/>
              <w:left w:w="108" w:type="dxa"/>
              <w:bottom w:w="0" w:type="dxa"/>
              <w:right w:w="108" w:type="dxa"/>
            </w:tcMar>
            <w:vAlign w:val="center"/>
            <w:hideMark/>
          </w:tcPr>
          <w:p w14:paraId="1E8E5610"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55886A2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6D5DE2F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45D8F46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2F25B33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tcPr>
          <w:p w14:paraId="545938F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cPr>
          <w:p w14:paraId="7DEB62D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4A3B2599" w14:textId="20FDDAD7"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Up to 50 surface samples</w:t>
            </w:r>
          </w:p>
        </w:tc>
      </w:tr>
      <w:tr w:rsidR="00B02424" w:rsidRPr="001861B8" w14:paraId="1258AE63" w14:textId="77777777" w:rsidTr="00B02424">
        <w:tc>
          <w:tcPr>
            <w:tcW w:w="891" w:type="pct"/>
            <w:tcMar>
              <w:top w:w="0" w:type="dxa"/>
              <w:left w:w="108" w:type="dxa"/>
              <w:bottom w:w="0" w:type="dxa"/>
              <w:right w:w="108" w:type="dxa"/>
            </w:tcMar>
            <w:vAlign w:val="center"/>
            <w:hideMark/>
          </w:tcPr>
          <w:p w14:paraId="550851A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Fitzroy Island West</w:t>
            </w:r>
          </w:p>
        </w:tc>
        <w:tc>
          <w:tcPr>
            <w:tcW w:w="414" w:type="pct"/>
            <w:tcMar>
              <w:top w:w="0" w:type="dxa"/>
              <w:left w:w="108" w:type="dxa"/>
              <w:bottom w:w="0" w:type="dxa"/>
              <w:right w:w="108" w:type="dxa"/>
            </w:tcMar>
            <w:vAlign w:val="center"/>
            <w:hideMark/>
          </w:tcPr>
          <w:p w14:paraId="3B31BF8C"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RM1</w:t>
            </w:r>
          </w:p>
        </w:tc>
        <w:tc>
          <w:tcPr>
            <w:tcW w:w="415" w:type="pct"/>
            <w:tcMar>
              <w:top w:w="0" w:type="dxa"/>
              <w:left w:w="108" w:type="dxa"/>
              <w:bottom w:w="0" w:type="dxa"/>
              <w:right w:w="108" w:type="dxa"/>
            </w:tcMar>
            <w:vAlign w:val="center"/>
            <w:hideMark/>
          </w:tcPr>
          <w:p w14:paraId="7E8E411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145.996</w:t>
            </w:r>
          </w:p>
        </w:tc>
        <w:tc>
          <w:tcPr>
            <w:tcW w:w="426" w:type="pct"/>
            <w:tcMar>
              <w:top w:w="0" w:type="dxa"/>
              <w:left w:w="108" w:type="dxa"/>
              <w:bottom w:w="0" w:type="dxa"/>
              <w:right w:w="108" w:type="dxa"/>
            </w:tcMar>
            <w:vAlign w:val="center"/>
            <w:hideMark/>
          </w:tcPr>
          <w:p w14:paraId="3262EF8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-16.923</w:t>
            </w:r>
          </w:p>
        </w:tc>
        <w:tc>
          <w:tcPr>
            <w:tcW w:w="424" w:type="pct"/>
            <w:tcMar>
              <w:top w:w="0" w:type="dxa"/>
              <w:left w:w="108" w:type="dxa"/>
              <w:bottom w:w="0" w:type="dxa"/>
              <w:right w:w="108" w:type="dxa"/>
            </w:tcMar>
            <w:vAlign w:val="center"/>
            <w:hideMark/>
          </w:tcPr>
          <w:p w14:paraId="188C23D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5347335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D885FD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23D1F53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48B9936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1D6BB254" w14:textId="77777777" w:rsidTr="00B02424">
        <w:tc>
          <w:tcPr>
            <w:tcW w:w="891" w:type="pct"/>
            <w:tcMar>
              <w:top w:w="0" w:type="dxa"/>
              <w:left w:w="108" w:type="dxa"/>
              <w:bottom w:w="0" w:type="dxa"/>
              <w:right w:w="108" w:type="dxa"/>
            </w:tcMar>
            <w:vAlign w:val="center"/>
            <w:hideMark/>
          </w:tcPr>
          <w:p w14:paraId="6F26C8E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RM2</w:t>
            </w:r>
          </w:p>
        </w:tc>
        <w:tc>
          <w:tcPr>
            <w:tcW w:w="414" w:type="pct"/>
            <w:tcMar>
              <w:top w:w="0" w:type="dxa"/>
              <w:left w:w="108" w:type="dxa"/>
              <w:bottom w:w="0" w:type="dxa"/>
              <w:right w:w="108" w:type="dxa"/>
            </w:tcMar>
            <w:vAlign w:val="center"/>
            <w:hideMark/>
          </w:tcPr>
          <w:p w14:paraId="3DF5536E"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RM2</w:t>
            </w:r>
          </w:p>
        </w:tc>
        <w:tc>
          <w:tcPr>
            <w:tcW w:w="415" w:type="pct"/>
            <w:tcMar>
              <w:top w:w="0" w:type="dxa"/>
              <w:left w:w="108" w:type="dxa"/>
              <w:bottom w:w="0" w:type="dxa"/>
              <w:right w:w="108" w:type="dxa"/>
            </w:tcMar>
            <w:vAlign w:val="center"/>
            <w:hideMark/>
          </w:tcPr>
          <w:p w14:paraId="078E67D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146.01</w:t>
            </w:r>
          </w:p>
        </w:tc>
        <w:tc>
          <w:tcPr>
            <w:tcW w:w="426" w:type="pct"/>
            <w:tcMar>
              <w:top w:w="0" w:type="dxa"/>
              <w:left w:w="108" w:type="dxa"/>
              <w:bottom w:w="0" w:type="dxa"/>
              <w:right w:w="108" w:type="dxa"/>
            </w:tcMar>
            <w:vAlign w:val="center"/>
            <w:hideMark/>
          </w:tcPr>
          <w:p w14:paraId="7D31BA5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-17.042</w:t>
            </w:r>
          </w:p>
        </w:tc>
        <w:tc>
          <w:tcPr>
            <w:tcW w:w="424" w:type="pct"/>
            <w:tcMar>
              <w:top w:w="0" w:type="dxa"/>
              <w:left w:w="108" w:type="dxa"/>
              <w:bottom w:w="0" w:type="dxa"/>
              <w:right w:w="108" w:type="dxa"/>
            </w:tcMar>
            <w:vAlign w:val="center"/>
            <w:hideMark/>
          </w:tcPr>
          <w:p w14:paraId="77C7117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2AF51AE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noWrap/>
            <w:tcMar>
              <w:top w:w="0" w:type="dxa"/>
              <w:left w:w="108" w:type="dxa"/>
              <w:bottom w:w="0" w:type="dxa"/>
              <w:right w:w="108" w:type="dxa"/>
            </w:tcMar>
            <w:vAlign w:val="bottom"/>
            <w:hideMark/>
          </w:tcPr>
          <w:p w14:paraId="1815FDB1" w14:textId="77777777" w:rsidR="00B02424" w:rsidRPr="001861B8" w:rsidRDefault="00B02424" w:rsidP="00B02424">
            <w:pPr>
              <w:spacing w:before="0" w:after="0" w:line="240" w:lineRule="auto"/>
              <w:contextualSpacing/>
              <w:rPr>
                <w:rFonts w:ascii="Arial Narrow" w:hAnsi="Arial Narrow" w:cs="Arial"/>
                <w:sz w:val="16"/>
                <w:szCs w:val="16"/>
                <w:lang w:eastAsia="en-AU"/>
              </w:rPr>
            </w:pPr>
          </w:p>
        </w:tc>
        <w:tc>
          <w:tcPr>
            <w:tcW w:w="697" w:type="pct"/>
          </w:tcPr>
          <w:p w14:paraId="1EB226C0" w14:textId="77777777" w:rsidR="00B02424" w:rsidRPr="001861B8" w:rsidRDefault="00B02424" w:rsidP="00B02424">
            <w:pPr>
              <w:spacing w:before="0" w:after="0" w:line="240" w:lineRule="auto"/>
              <w:contextualSpacing/>
              <w:rPr>
                <w:rFonts w:ascii="Arial Narrow" w:hAnsi="Arial Narrow" w:cs="Arial"/>
                <w:sz w:val="16"/>
                <w:szCs w:val="16"/>
                <w:lang w:eastAsia="en-AU"/>
              </w:rPr>
            </w:pPr>
          </w:p>
        </w:tc>
        <w:tc>
          <w:tcPr>
            <w:tcW w:w="663" w:type="pct"/>
          </w:tcPr>
          <w:p w14:paraId="3385571D" w14:textId="3514AC74"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0B6423FF" w14:textId="77777777" w:rsidTr="00B02424">
        <w:tc>
          <w:tcPr>
            <w:tcW w:w="891" w:type="pct"/>
            <w:tcMar>
              <w:top w:w="0" w:type="dxa"/>
              <w:left w:w="108" w:type="dxa"/>
              <w:bottom w:w="0" w:type="dxa"/>
              <w:right w:w="108" w:type="dxa"/>
            </w:tcMar>
            <w:vAlign w:val="center"/>
            <w:hideMark/>
          </w:tcPr>
          <w:p w14:paraId="47A4FC3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RM3</w:t>
            </w:r>
          </w:p>
        </w:tc>
        <w:tc>
          <w:tcPr>
            <w:tcW w:w="414" w:type="pct"/>
            <w:tcMar>
              <w:top w:w="0" w:type="dxa"/>
              <w:left w:w="108" w:type="dxa"/>
              <w:bottom w:w="0" w:type="dxa"/>
              <w:right w:w="108" w:type="dxa"/>
            </w:tcMar>
            <w:vAlign w:val="center"/>
            <w:hideMark/>
          </w:tcPr>
          <w:p w14:paraId="1F6D5AB9"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RM3</w:t>
            </w:r>
          </w:p>
        </w:tc>
        <w:tc>
          <w:tcPr>
            <w:tcW w:w="415" w:type="pct"/>
            <w:tcMar>
              <w:top w:w="0" w:type="dxa"/>
              <w:left w:w="108" w:type="dxa"/>
              <w:bottom w:w="0" w:type="dxa"/>
              <w:right w:w="108" w:type="dxa"/>
            </w:tcMar>
            <w:vAlign w:val="center"/>
            <w:hideMark/>
          </w:tcPr>
          <w:p w14:paraId="413E254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145.994</w:t>
            </w:r>
          </w:p>
        </w:tc>
        <w:tc>
          <w:tcPr>
            <w:tcW w:w="426" w:type="pct"/>
            <w:tcMar>
              <w:top w:w="0" w:type="dxa"/>
              <w:left w:w="108" w:type="dxa"/>
              <w:bottom w:w="0" w:type="dxa"/>
              <w:right w:w="108" w:type="dxa"/>
            </w:tcMar>
            <w:vAlign w:val="center"/>
            <w:hideMark/>
          </w:tcPr>
          <w:p w14:paraId="0828E5D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-17.07</w:t>
            </w:r>
          </w:p>
        </w:tc>
        <w:tc>
          <w:tcPr>
            <w:tcW w:w="424" w:type="pct"/>
            <w:tcMar>
              <w:top w:w="0" w:type="dxa"/>
              <w:left w:w="108" w:type="dxa"/>
              <w:bottom w:w="0" w:type="dxa"/>
              <w:right w:w="108" w:type="dxa"/>
            </w:tcMar>
            <w:vAlign w:val="center"/>
            <w:hideMark/>
          </w:tcPr>
          <w:p w14:paraId="24073DA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4D51ED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F0DCD0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0F7FE0C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37DF44E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38C40C2" w14:textId="77777777" w:rsidTr="00B02424">
        <w:tc>
          <w:tcPr>
            <w:tcW w:w="891" w:type="pct"/>
            <w:tcMar>
              <w:top w:w="0" w:type="dxa"/>
              <w:left w:w="108" w:type="dxa"/>
              <w:bottom w:w="0" w:type="dxa"/>
              <w:right w:w="108" w:type="dxa"/>
            </w:tcMar>
            <w:vAlign w:val="center"/>
            <w:hideMark/>
          </w:tcPr>
          <w:p w14:paraId="1BC5B6B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RM4</w:t>
            </w:r>
          </w:p>
        </w:tc>
        <w:tc>
          <w:tcPr>
            <w:tcW w:w="414" w:type="pct"/>
            <w:tcMar>
              <w:top w:w="0" w:type="dxa"/>
              <w:left w:w="108" w:type="dxa"/>
              <w:bottom w:w="0" w:type="dxa"/>
              <w:right w:w="108" w:type="dxa"/>
            </w:tcMar>
            <w:vAlign w:val="center"/>
            <w:hideMark/>
          </w:tcPr>
          <w:p w14:paraId="0AFE81F7"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RM4</w:t>
            </w:r>
          </w:p>
        </w:tc>
        <w:tc>
          <w:tcPr>
            <w:tcW w:w="415" w:type="pct"/>
            <w:tcMar>
              <w:top w:w="0" w:type="dxa"/>
              <w:left w:w="108" w:type="dxa"/>
              <w:bottom w:w="0" w:type="dxa"/>
              <w:right w:w="108" w:type="dxa"/>
            </w:tcMar>
            <w:vAlign w:val="center"/>
            <w:hideMark/>
          </w:tcPr>
          <w:p w14:paraId="60CC962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145.991</w:t>
            </w:r>
          </w:p>
        </w:tc>
        <w:tc>
          <w:tcPr>
            <w:tcW w:w="426" w:type="pct"/>
            <w:tcMar>
              <w:top w:w="0" w:type="dxa"/>
              <w:left w:w="108" w:type="dxa"/>
              <w:bottom w:w="0" w:type="dxa"/>
              <w:right w:w="108" w:type="dxa"/>
            </w:tcMar>
            <w:vAlign w:val="center"/>
            <w:hideMark/>
          </w:tcPr>
          <w:p w14:paraId="23A9439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-17.112</w:t>
            </w:r>
          </w:p>
        </w:tc>
        <w:tc>
          <w:tcPr>
            <w:tcW w:w="424" w:type="pct"/>
            <w:tcMar>
              <w:top w:w="0" w:type="dxa"/>
              <w:left w:w="108" w:type="dxa"/>
              <w:bottom w:w="0" w:type="dxa"/>
              <w:right w:w="108" w:type="dxa"/>
            </w:tcMar>
            <w:vAlign w:val="center"/>
            <w:hideMark/>
          </w:tcPr>
          <w:p w14:paraId="2F91CCA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764ADE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C70809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4300E1A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13DD1571" w14:textId="7528B761"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EF7299" w:rsidRPr="001861B8" w14:paraId="7C33D671" w14:textId="77777777" w:rsidTr="00B02424">
        <w:tc>
          <w:tcPr>
            <w:tcW w:w="891" w:type="pct"/>
            <w:tcMar>
              <w:top w:w="0" w:type="dxa"/>
              <w:left w:w="108" w:type="dxa"/>
              <w:bottom w:w="0" w:type="dxa"/>
              <w:right w:w="108" w:type="dxa"/>
            </w:tcMar>
            <w:vAlign w:val="center"/>
            <w:hideMark/>
          </w:tcPr>
          <w:p w14:paraId="569D0880" w14:textId="77777777" w:rsidR="00EF7299" w:rsidRPr="001861B8" w:rsidRDefault="00EF7299" w:rsidP="00EF7299">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High Island East</w:t>
            </w:r>
          </w:p>
        </w:tc>
        <w:tc>
          <w:tcPr>
            <w:tcW w:w="414" w:type="pct"/>
            <w:tcMar>
              <w:top w:w="0" w:type="dxa"/>
              <w:left w:w="108" w:type="dxa"/>
              <w:bottom w:w="0" w:type="dxa"/>
              <w:right w:w="108" w:type="dxa"/>
            </w:tcMar>
            <w:vAlign w:val="center"/>
            <w:hideMark/>
          </w:tcPr>
          <w:p w14:paraId="615BEEEA" w14:textId="77777777" w:rsidR="00EF7299" w:rsidRPr="001861B8" w:rsidRDefault="00EF7299" w:rsidP="00EF7299">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RM5</w:t>
            </w:r>
          </w:p>
        </w:tc>
        <w:tc>
          <w:tcPr>
            <w:tcW w:w="415" w:type="pct"/>
            <w:tcMar>
              <w:top w:w="0" w:type="dxa"/>
              <w:left w:w="108" w:type="dxa"/>
              <w:bottom w:w="0" w:type="dxa"/>
              <w:right w:w="108" w:type="dxa"/>
            </w:tcMar>
            <w:vAlign w:val="center"/>
            <w:hideMark/>
          </w:tcPr>
          <w:p w14:paraId="1EE96DBD" w14:textId="77777777" w:rsidR="00EF7299" w:rsidRPr="001861B8" w:rsidRDefault="00EF7299" w:rsidP="00EF7299">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146.022</w:t>
            </w:r>
          </w:p>
        </w:tc>
        <w:tc>
          <w:tcPr>
            <w:tcW w:w="426" w:type="pct"/>
            <w:tcMar>
              <w:top w:w="0" w:type="dxa"/>
              <w:left w:w="108" w:type="dxa"/>
              <w:bottom w:w="0" w:type="dxa"/>
              <w:right w:w="108" w:type="dxa"/>
            </w:tcMar>
            <w:vAlign w:val="center"/>
            <w:hideMark/>
          </w:tcPr>
          <w:p w14:paraId="7C23A042" w14:textId="77777777" w:rsidR="00EF7299" w:rsidRPr="001861B8" w:rsidRDefault="00EF7299" w:rsidP="00EF7299">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-17.159</w:t>
            </w:r>
          </w:p>
        </w:tc>
        <w:tc>
          <w:tcPr>
            <w:tcW w:w="424" w:type="pct"/>
            <w:tcMar>
              <w:top w:w="0" w:type="dxa"/>
              <w:left w:w="108" w:type="dxa"/>
              <w:bottom w:w="0" w:type="dxa"/>
              <w:right w:w="108" w:type="dxa"/>
            </w:tcMar>
            <w:vAlign w:val="center"/>
            <w:hideMark/>
          </w:tcPr>
          <w:p w14:paraId="7DC7F171" w14:textId="77777777" w:rsidR="00EF7299" w:rsidRPr="001861B8" w:rsidRDefault="00EF7299" w:rsidP="00EF7299">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7A868AC9" w14:textId="77777777" w:rsidR="00EF7299" w:rsidRPr="001861B8" w:rsidRDefault="00EF7299" w:rsidP="00EF7299">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6874246" w14:textId="77777777" w:rsidR="00EF7299" w:rsidRPr="001861B8" w:rsidRDefault="00EF7299" w:rsidP="00EF7299">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5E0637A4" w14:textId="77777777" w:rsidR="00EF7299" w:rsidRPr="001861B8" w:rsidRDefault="00EF7299" w:rsidP="00EF7299">
            <w:pPr>
              <w:spacing w:before="0" w:after="0" w:line="240" w:lineRule="auto"/>
              <w:contextualSpacing/>
              <w:rPr>
                <w:rFonts w:ascii="Arial Narrow" w:hAnsi="Arial Narrow" w:cs="Arial"/>
                <w:bCs/>
                <w:color w:val="000000"/>
                <w:sz w:val="16"/>
                <w:szCs w:val="16"/>
                <w:lang w:eastAsia="en-AU"/>
              </w:rPr>
            </w:pPr>
          </w:p>
        </w:tc>
        <w:tc>
          <w:tcPr>
            <w:tcW w:w="663" w:type="pct"/>
          </w:tcPr>
          <w:p w14:paraId="2F9181F8" w14:textId="360FEAE4" w:rsidR="00EF7299" w:rsidRPr="001861B8" w:rsidRDefault="00C835FD" w:rsidP="00EF7299">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EF7299" w:rsidRPr="001861B8" w14:paraId="7F0A3585" w14:textId="77777777" w:rsidTr="00B02424">
        <w:tc>
          <w:tcPr>
            <w:tcW w:w="891" w:type="pct"/>
            <w:tcMar>
              <w:top w:w="0" w:type="dxa"/>
              <w:left w:w="108" w:type="dxa"/>
              <w:bottom w:w="0" w:type="dxa"/>
              <w:right w:w="108" w:type="dxa"/>
            </w:tcMar>
            <w:vAlign w:val="center"/>
            <w:hideMark/>
          </w:tcPr>
          <w:p w14:paraId="6BB69499" w14:textId="77777777" w:rsidR="00EF7299" w:rsidRPr="001861B8" w:rsidRDefault="00EF7299" w:rsidP="00EF7299">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Normanby Island</w:t>
            </w:r>
          </w:p>
        </w:tc>
        <w:tc>
          <w:tcPr>
            <w:tcW w:w="414" w:type="pct"/>
            <w:tcMar>
              <w:top w:w="0" w:type="dxa"/>
              <w:left w:w="108" w:type="dxa"/>
              <w:bottom w:w="0" w:type="dxa"/>
              <w:right w:w="108" w:type="dxa"/>
            </w:tcMar>
            <w:vAlign w:val="center"/>
            <w:hideMark/>
          </w:tcPr>
          <w:p w14:paraId="566FB2FB" w14:textId="77777777" w:rsidR="00EF7299" w:rsidRPr="001861B8" w:rsidRDefault="00EF7299" w:rsidP="00EF7299">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RM6</w:t>
            </w:r>
          </w:p>
        </w:tc>
        <w:tc>
          <w:tcPr>
            <w:tcW w:w="415" w:type="pct"/>
            <w:tcMar>
              <w:top w:w="0" w:type="dxa"/>
              <w:left w:w="108" w:type="dxa"/>
              <w:bottom w:w="0" w:type="dxa"/>
              <w:right w:w="108" w:type="dxa"/>
            </w:tcMar>
            <w:vAlign w:val="center"/>
            <w:hideMark/>
          </w:tcPr>
          <w:p w14:paraId="16323BB3" w14:textId="77777777" w:rsidR="00EF7299" w:rsidRPr="001861B8" w:rsidRDefault="00EF7299" w:rsidP="00EF7299">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146.052</w:t>
            </w:r>
          </w:p>
        </w:tc>
        <w:tc>
          <w:tcPr>
            <w:tcW w:w="426" w:type="pct"/>
            <w:tcMar>
              <w:top w:w="0" w:type="dxa"/>
              <w:left w:w="108" w:type="dxa"/>
              <w:bottom w:w="0" w:type="dxa"/>
              <w:right w:w="108" w:type="dxa"/>
            </w:tcMar>
            <w:vAlign w:val="center"/>
            <w:hideMark/>
          </w:tcPr>
          <w:p w14:paraId="202906D0" w14:textId="77777777" w:rsidR="00EF7299" w:rsidRPr="001861B8" w:rsidRDefault="00EF7299" w:rsidP="00EF7299">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-17.191</w:t>
            </w:r>
          </w:p>
        </w:tc>
        <w:tc>
          <w:tcPr>
            <w:tcW w:w="424" w:type="pct"/>
            <w:tcMar>
              <w:top w:w="0" w:type="dxa"/>
              <w:left w:w="108" w:type="dxa"/>
              <w:bottom w:w="0" w:type="dxa"/>
              <w:right w:w="108" w:type="dxa"/>
            </w:tcMar>
            <w:vAlign w:val="center"/>
            <w:hideMark/>
          </w:tcPr>
          <w:p w14:paraId="60F729A9" w14:textId="77777777" w:rsidR="00EF7299" w:rsidRPr="001861B8" w:rsidRDefault="00EF7299" w:rsidP="00EF7299">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50618E8" w14:textId="77777777" w:rsidR="00EF7299" w:rsidRPr="001861B8" w:rsidRDefault="00EF7299" w:rsidP="00EF7299">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5F62DF5" w14:textId="77777777" w:rsidR="00EF7299" w:rsidRPr="001861B8" w:rsidRDefault="00EF7299" w:rsidP="00EF7299">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604DFA40" w14:textId="77777777" w:rsidR="00EF7299" w:rsidRPr="001861B8" w:rsidRDefault="00EF7299" w:rsidP="00EF7299">
            <w:pPr>
              <w:spacing w:before="0" w:after="0" w:line="240" w:lineRule="auto"/>
              <w:contextualSpacing/>
              <w:rPr>
                <w:rFonts w:ascii="Arial Narrow" w:hAnsi="Arial Narrow" w:cs="Arial"/>
                <w:bCs/>
                <w:color w:val="000000"/>
                <w:sz w:val="16"/>
                <w:szCs w:val="16"/>
                <w:lang w:eastAsia="en-AU"/>
              </w:rPr>
            </w:pPr>
          </w:p>
        </w:tc>
        <w:tc>
          <w:tcPr>
            <w:tcW w:w="663" w:type="pct"/>
          </w:tcPr>
          <w:p w14:paraId="2A8658D2" w14:textId="1BB300FA" w:rsidR="00EF7299" w:rsidRPr="001861B8" w:rsidRDefault="00C835FD" w:rsidP="00EF7299">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1B6B9164" w14:textId="77777777" w:rsidTr="00B02424">
        <w:tc>
          <w:tcPr>
            <w:tcW w:w="891" w:type="pct"/>
            <w:tcMar>
              <w:top w:w="0" w:type="dxa"/>
              <w:left w:w="108" w:type="dxa"/>
              <w:bottom w:w="0" w:type="dxa"/>
              <w:right w:w="108" w:type="dxa"/>
            </w:tcMar>
            <w:vAlign w:val="center"/>
            <w:hideMark/>
          </w:tcPr>
          <w:p w14:paraId="45B4293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Frankland Group West (Russell Island)</w:t>
            </w:r>
          </w:p>
        </w:tc>
        <w:tc>
          <w:tcPr>
            <w:tcW w:w="414" w:type="pct"/>
            <w:tcMar>
              <w:top w:w="0" w:type="dxa"/>
              <w:left w:w="108" w:type="dxa"/>
              <w:bottom w:w="0" w:type="dxa"/>
              <w:right w:w="108" w:type="dxa"/>
            </w:tcMar>
            <w:vAlign w:val="center"/>
            <w:hideMark/>
          </w:tcPr>
          <w:p w14:paraId="2B9E5DEE"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RM7</w:t>
            </w:r>
          </w:p>
        </w:tc>
        <w:tc>
          <w:tcPr>
            <w:tcW w:w="415" w:type="pct"/>
            <w:tcMar>
              <w:top w:w="0" w:type="dxa"/>
              <w:left w:w="108" w:type="dxa"/>
              <w:bottom w:w="0" w:type="dxa"/>
              <w:right w:w="108" w:type="dxa"/>
            </w:tcMar>
            <w:vAlign w:val="center"/>
            <w:hideMark/>
          </w:tcPr>
          <w:p w14:paraId="75862E5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146.09</w:t>
            </w:r>
          </w:p>
        </w:tc>
        <w:tc>
          <w:tcPr>
            <w:tcW w:w="426" w:type="pct"/>
            <w:tcMar>
              <w:top w:w="0" w:type="dxa"/>
              <w:left w:w="108" w:type="dxa"/>
              <w:bottom w:w="0" w:type="dxa"/>
              <w:right w:w="108" w:type="dxa"/>
            </w:tcMar>
            <w:vAlign w:val="center"/>
            <w:hideMark/>
          </w:tcPr>
          <w:p w14:paraId="37AD2A0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-17.227</w:t>
            </w:r>
          </w:p>
        </w:tc>
        <w:tc>
          <w:tcPr>
            <w:tcW w:w="424" w:type="pct"/>
            <w:tcMar>
              <w:top w:w="0" w:type="dxa"/>
              <w:left w:w="108" w:type="dxa"/>
              <w:bottom w:w="0" w:type="dxa"/>
              <w:right w:w="108" w:type="dxa"/>
            </w:tcMar>
            <w:vAlign w:val="center"/>
            <w:hideMark/>
          </w:tcPr>
          <w:p w14:paraId="0933429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0E8D623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0FE5C0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191E712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3FE6FC5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4A256DC" w14:textId="77777777" w:rsidTr="00B02424">
        <w:tc>
          <w:tcPr>
            <w:tcW w:w="891" w:type="pct"/>
            <w:tcMar>
              <w:top w:w="0" w:type="dxa"/>
              <w:left w:w="108" w:type="dxa"/>
              <w:bottom w:w="0" w:type="dxa"/>
              <w:right w:w="108" w:type="dxa"/>
            </w:tcMar>
            <w:vAlign w:val="center"/>
            <w:hideMark/>
          </w:tcPr>
          <w:p w14:paraId="08B55F8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High Island West*</w:t>
            </w:r>
          </w:p>
        </w:tc>
        <w:tc>
          <w:tcPr>
            <w:tcW w:w="414" w:type="pct"/>
            <w:tcMar>
              <w:top w:w="0" w:type="dxa"/>
              <w:left w:w="108" w:type="dxa"/>
              <w:bottom w:w="0" w:type="dxa"/>
              <w:right w:w="108" w:type="dxa"/>
            </w:tcMar>
            <w:vAlign w:val="center"/>
            <w:hideMark/>
          </w:tcPr>
          <w:p w14:paraId="311D97DA"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RM8</w:t>
            </w:r>
          </w:p>
        </w:tc>
        <w:tc>
          <w:tcPr>
            <w:tcW w:w="415" w:type="pct"/>
            <w:tcMar>
              <w:top w:w="0" w:type="dxa"/>
              <w:left w:w="108" w:type="dxa"/>
              <w:bottom w:w="0" w:type="dxa"/>
              <w:right w:w="108" w:type="dxa"/>
            </w:tcMar>
            <w:vAlign w:val="center"/>
            <w:hideMark/>
          </w:tcPr>
          <w:p w14:paraId="575764AE" w14:textId="77777777" w:rsidR="00B02424" w:rsidRPr="001861B8" w:rsidRDefault="00B02424" w:rsidP="00B02424">
            <w:pPr>
              <w:spacing w:before="0" w:after="0" w:line="240" w:lineRule="auto"/>
              <w:contextualSpacing/>
              <w:rPr>
                <w:rFonts w:ascii="Arial Narrow" w:hAnsi="Arial Narrow" w:cs="Arial"/>
                <w:color w:val="000000"/>
                <w:sz w:val="16"/>
                <w:szCs w:val="16"/>
                <w:highlight w:val="yellow"/>
                <w:lang w:eastAsia="en-AU"/>
              </w:rPr>
            </w:pPr>
            <w:r w:rsidRPr="001861B8">
              <w:rPr>
                <w:rFonts w:ascii="Arial Narrow" w:hAnsi="Arial Narrow" w:cs="Arial"/>
                <w:color w:val="000000"/>
                <w:sz w:val="16"/>
                <w:szCs w:val="16"/>
                <w:lang w:val="en-US" w:eastAsia="en-AU"/>
              </w:rPr>
              <w:t>146.005</w:t>
            </w:r>
          </w:p>
        </w:tc>
        <w:tc>
          <w:tcPr>
            <w:tcW w:w="426" w:type="pct"/>
            <w:tcMar>
              <w:top w:w="0" w:type="dxa"/>
              <w:left w:w="108" w:type="dxa"/>
              <w:bottom w:w="0" w:type="dxa"/>
              <w:right w:w="108" w:type="dxa"/>
            </w:tcMar>
            <w:vAlign w:val="center"/>
            <w:hideMark/>
          </w:tcPr>
          <w:p w14:paraId="4EBE42EC" w14:textId="77777777" w:rsidR="00B02424" w:rsidRPr="001861B8" w:rsidRDefault="00B02424" w:rsidP="00B02424">
            <w:pPr>
              <w:spacing w:before="0" w:after="0" w:line="240" w:lineRule="auto"/>
              <w:contextualSpacing/>
              <w:rPr>
                <w:rFonts w:ascii="Arial Narrow" w:hAnsi="Arial Narrow" w:cs="Arial"/>
                <w:color w:val="000000"/>
                <w:sz w:val="16"/>
                <w:szCs w:val="16"/>
                <w:highlight w:val="yellow"/>
                <w:lang w:eastAsia="en-AU"/>
              </w:rPr>
            </w:pPr>
            <w:r w:rsidRPr="001861B8">
              <w:rPr>
                <w:rFonts w:ascii="Arial Narrow" w:hAnsi="Arial Narrow" w:cs="Arial"/>
                <w:color w:val="000000"/>
                <w:sz w:val="16"/>
                <w:szCs w:val="16"/>
                <w:lang w:val="en-US" w:eastAsia="en-AU"/>
              </w:rPr>
              <w:t>-17.163</w:t>
            </w:r>
          </w:p>
        </w:tc>
        <w:tc>
          <w:tcPr>
            <w:tcW w:w="424" w:type="pct"/>
            <w:tcMar>
              <w:top w:w="0" w:type="dxa"/>
              <w:left w:w="108" w:type="dxa"/>
              <w:bottom w:w="0" w:type="dxa"/>
              <w:right w:w="108" w:type="dxa"/>
            </w:tcMar>
            <w:vAlign w:val="center"/>
            <w:hideMark/>
          </w:tcPr>
          <w:p w14:paraId="741A3E2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2DCF905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0EE17E1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7BAE6D4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6DA3167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30E8292" w14:textId="77777777" w:rsidTr="00B02424">
        <w:tc>
          <w:tcPr>
            <w:tcW w:w="891" w:type="pct"/>
            <w:tcMar>
              <w:top w:w="0" w:type="dxa"/>
              <w:left w:w="108" w:type="dxa"/>
              <w:bottom w:w="0" w:type="dxa"/>
              <w:right w:w="108" w:type="dxa"/>
            </w:tcMar>
            <w:vAlign w:val="center"/>
            <w:hideMark/>
          </w:tcPr>
          <w:p w14:paraId="02EAF83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Palmer Point</w:t>
            </w:r>
          </w:p>
        </w:tc>
        <w:tc>
          <w:tcPr>
            <w:tcW w:w="414" w:type="pct"/>
            <w:tcMar>
              <w:top w:w="0" w:type="dxa"/>
              <w:left w:w="108" w:type="dxa"/>
              <w:bottom w:w="0" w:type="dxa"/>
              <w:right w:w="108" w:type="dxa"/>
            </w:tcMar>
            <w:vAlign w:val="center"/>
            <w:hideMark/>
          </w:tcPr>
          <w:p w14:paraId="0B41E620"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RM9</w:t>
            </w:r>
          </w:p>
        </w:tc>
        <w:tc>
          <w:tcPr>
            <w:tcW w:w="415" w:type="pct"/>
            <w:tcMar>
              <w:top w:w="0" w:type="dxa"/>
              <w:left w:w="108" w:type="dxa"/>
              <w:bottom w:w="0" w:type="dxa"/>
              <w:right w:w="108" w:type="dxa"/>
            </w:tcMar>
            <w:vAlign w:val="center"/>
            <w:hideMark/>
          </w:tcPr>
          <w:p w14:paraId="7A26024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145.992</w:t>
            </w:r>
          </w:p>
        </w:tc>
        <w:tc>
          <w:tcPr>
            <w:tcW w:w="426" w:type="pct"/>
            <w:tcMar>
              <w:top w:w="0" w:type="dxa"/>
              <w:left w:w="108" w:type="dxa"/>
              <w:bottom w:w="0" w:type="dxa"/>
              <w:right w:w="108" w:type="dxa"/>
            </w:tcMar>
            <w:vAlign w:val="center"/>
            <w:hideMark/>
          </w:tcPr>
          <w:p w14:paraId="1F3399B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-17.183</w:t>
            </w:r>
          </w:p>
        </w:tc>
        <w:tc>
          <w:tcPr>
            <w:tcW w:w="424" w:type="pct"/>
            <w:tcMar>
              <w:top w:w="0" w:type="dxa"/>
              <w:left w:w="108" w:type="dxa"/>
              <w:bottom w:w="0" w:type="dxa"/>
              <w:right w:w="108" w:type="dxa"/>
            </w:tcMar>
            <w:vAlign w:val="center"/>
            <w:hideMark/>
          </w:tcPr>
          <w:p w14:paraId="199D946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D52AB0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777F83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5079690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5CBF5436" w14:textId="3D39299F"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33A15EE7" w14:textId="77777777" w:rsidTr="00B02424">
        <w:tc>
          <w:tcPr>
            <w:tcW w:w="891" w:type="pct"/>
            <w:tcMar>
              <w:top w:w="0" w:type="dxa"/>
              <w:left w:w="108" w:type="dxa"/>
              <w:bottom w:w="0" w:type="dxa"/>
              <w:right w:w="108" w:type="dxa"/>
            </w:tcMar>
            <w:vAlign w:val="center"/>
            <w:hideMark/>
          </w:tcPr>
          <w:p w14:paraId="4EB3E48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Russell-Mulgrave River mouth mooring</w:t>
            </w:r>
          </w:p>
        </w:tc>
        <w:tc>
          <w:tcPr>
            <w:tcW w:w="414" w:type="pct"/>
            <w:tcMar>
              <w:top w:w="0" w:type="dxa"/>
              <w:left w:w="108" w:type="dxa"/>
              <w:bottom w:w="0" w:type="dxa"/>
              <w:right w:w="108" w:type="dxa"/>
            </w:tcMar>
            <w:vAlign w:val="center"/>
            <w:hideMark/>
          </w:tcPr>
          <w:p w14:paraId="6653899A"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RM10</w:t>
            </w:r>
          </w:p>
        </w:tc>
        <w:tc>
          <w:tcPr>
            <w:tcW w:w="415" w:type="pct"/>
            <w:tcMar>
              <w:top w:w="0" w:type="dxa"/>
              <w:left w:w="108" w:type="dxa"/>
              <w:bottom w:w="0" w:type="dxa"/>
              <w:right w:w="108" w:type="dxa"/>
            </w:tcMar>
            <w:vAlign w:val="center"/>
            <w:hideMark/>
          </w:tcPr>
          <w:p w14:paraId="2DD2C25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145.978</w:t>
            </w:r>
          </w:p>
        </w:tc>
        <w:tc>
          <w:tcPr>
            <w:tcW w:w="426" w:type="pct"/>
            <w:tcMar>
              <w:top w:w="0" w:type="dxa"/>
              <w:left w:w="108" w:type="dxa"/>
              <w:bottom w:w="0" w:type="dxa"/>
              <w:right w:w="108" w:type="dxa"/>
            </w:tcMar>
            <w:vAlign w:val="center"/>
            <w:hideMark/>
          </w:tcPr>
          <w:p w14:paraId="09777FC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-17.203</w:t>
            </w:r>
          </w:p>
        </w:tc>
        <w:tc>
          <w:tcPr>
            <w:tcW w:w="424" w:type="pct"/>
            <w:tcMar>
              <w:top w:w="0" w:type="dxa"/>
              <w:left w:w="108" w:type="dxa"/>
              <w:bottom w:w="0" w:type="dxa"/>
              <w:right w:w="108" w:type="dxa"/>
            </w:tcMar>
            <w:vAlign w:val="center"/>
            <w:hideMark/>
          </w:tcPr>
          <w:p w14:paraId="486E5AF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4CA3EBB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4796208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656B71A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65F2EE0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E64F37" w:rsidRPr="001861B8" w14:paraId="0F2FD8A0" w14:textId="77777777" w:rsidTr="00B02424">
        <w:tc>
          <w:tcPr>
            <w:tcW w:w="891" w:type="pct"/>
            <w:tcMar>
              <w:top w:w="0" w:type="dxa"/>
              <w:left w:w="108" w:type="dxa"/>
              <w:bottom w:w="0" w:type="dxa"/>
              <w:right w:w="108" w:type="dxa"/>
            </w:tcMar>
            <w:vAlign w:val="center"/>
            <w:hideMark/>
          </w:tcPr>
          <w:p w14:paraId="50C282C8"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Russell-Mulgrave River mouth</w:t>
            </w:r>
          </w:p>
        </w:tc>
        <w:tc>
          <w:tcPr>
            <w:tcW w:w="414" w:type="pct"/>
            <w:tcMar>
              <w:top w:w="0" w:type="dxa"/>
              <w:left w:w="108" w:type="dxa"/>
              <w:bottom w:w="0" w:type="dxa"/>
              <w:right w:w="108" w:type="dxa"/>
            </w:tcMar>
            <w:vAlign w:val="center"/>
            <w:hideMark/>
          </w:tcPr>
          <w:p w14:paraId="51201BB4"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RM11</w:t>
            </w:r>
          </w:p>
        </w:tc>
        <w:tc>
          <w:tcPr>
            <w:tcW w:w="415" w:type="pct"/>
            <w:tcMar>
              <w:top w:w="0" w:type="dxa"/>
              <w:left w:w="108" w:type="dxa"/>
              <w:bottom w:w="0" w:type="dxa"/>
              <w:right w:w="108" w:type="dxa"/>
            </w:tcMar>
            <w:vAlign w:val="center"/>
            <w:hideMark/>
          </w:tcPr>
          <w:p w14:paraId="57D3BB8E"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145.969</w:t>
            </w:r>
          </w:p>
        </w:tc>
        <w:tc>
          <w:tcPr>
            <w:tcW w:w="426" w:type="pct"/>
            <w:tcMar>
              <w:top w:w="0" w:type="dxa"/>
              <w:left w:w="108" w:type="dxa"/>
              <w:bottom w:w="0" w:type="dxa"/>
              <w:right w:w="108" w:type="dxa"/>
            </w:tcMar>
            <w:vAlign w:val="center"/>
            <w:hideMark/>
          </w:tcPr>
          <w:p w14:paraId="70CF1764"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-17.223</w:t>
            </w:r>
          </w:p>
        </w:tc>
        <w:tc>
          <w:tcPr>
            <w:tcW w:w="424" w:type="pct"/>
            <w:tcMar>
              <w:top w:w="0" w:type="dxa"/>
              <w:left w:w="108" w:type="dxa"/>
              <w:bottom w:w="0" w:type="dxa"/>
              <w:right w:w="108" w:type="dxa"/>
            </w:tcMar>
            <w:vAlign w:val="center"/>
            <w:hideMark/>
          </w:tcPr>
          <w:p w14:paraId="53C14B3E"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970635D"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27A0B875"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5BD139E4"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p>
        </w:tc>
        <w:tc>
          <w:tcPr>
            <w:tcW w:w="663" w:type="pct"/>
          </w:tcPr>
          <w:p w14:paraId="04A6D46C" w14:textId="54FE9872" w:rsidR="00E64F37" w:rsidRPr="001861B8" w:rsidRDefault="00C835FD" w:rsidP="00E64F37">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E64F37" w:rsidRPr="001861B8" w14:paraId="5EEEA088" w14:textId="77777777" w:rsidTr="00B02424">
        <w:tc>
          <w:tcPr>
            <w:tcW w:w="891" w:type="pct"/>
            <w:tcMar>
              <w:top w:w="0" w:type="dxa"/>
              <w:left w:w="108" w:type="dxa"/>
              <w:bottom w:w="0" w:type="dxa"/>
              <w:right w:w="108" w:type="dxa"/>
            </w:tcMar>
            <w:vAlign w:val="center"/>
            <w:hideMark/>
          </w:tcPr>
          <w:p w14:paraId="39963E1A"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Russell-Mulgrave junction [River]</w:t>
            </w:r>
          </w:p>
        </w:tc>
        <w:tc>
          <w:tcPr>
            <w:tcW w:w="414" w:type="pct"/>
            <w:tcMar>
              <w:top w:w="0" w:type="dxa"/>
              <w:left w:w="108" w:type="dxa"/>
              <w:bottom w:w="0" w:type="dxa"/>
              <w:right w:w="108" w:type="dxa"/>
            </w:tcMar>
            <w:vAlign w:val="center"/>
            <w:hideMark/>
          </w:tcPr>
          <w:p w14:paraId="53D94C54"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RM12</w:t>
            </w:r>
          </w:p>
        </w:tc>
        <w:tc>
          <w:tcPr>
            <w:tcW w:w="415" w:type="pct"/>
            <w:tcMar>
              <w:top w:w="0" w:type="dxa"/>
              <w:left w:w="108" w:type="dxa"/>
              <w:bottom w:w="0" w:type="dxa"/>
              <w:right w:w="108" w:type="dxa"/>
            </w:tcMar>
            <w:vAlign w:val="center"/>
            <w:hideMark/>
          </w:tcPr>
          <w:p w14:paraId="52520709"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145.953</w:t>
            </w:r>
          </w:p>
        </w:tc>
        <w:tc>
          <w:tcPr>
            <w:tcW w:w="426" w:type="pct"/>
            <w:tcMar>
              <w:top w:w="0" w:type="dxa"/>
              <w:left w:w="108" w:type="dxa"/>
              <w:bottom w:w="0" w:type="dxa"/>
              <w:right w:w="108" w:type="dxa"/>
            </w:tcMar>
            <w:vAlign w:val="center"/>
            <w:hideMark/>
          </w:tcPr>
          <w:p w14:paraId="2FE4B9EA"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-17.229</w:t>
            </w:r>
          </w:p>
        </w:tc>
        <w:tc>
          <w:tcPr>
            <w:tcW w:w="424" w:type="pct"/>
            <w:tcMar>
              <w:top w:w="0" w:type="dxa"/>
              <w:left w:w="108" w:type="dxa"/>
              <w:bottom w:w="0" w:type="dxa"/>
              <w:right w:w="108" w:type="dxa"/>
            </w:tcMar>
            <w:vAlign w:val="center"/>
            <w:hideMark/>
          </w:tcPr>
          <w:p w14:paraId="74BD1115"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144552FC"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428D46DE"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40E48AC4"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p>
        </w:tc>
        <w:tc>
          <w:tcPr>
            <w:tcW w:w="663" w:type="pct"/>
          </w:tcPr>
          <w:p w14:paraId="1AAC4C0F" w14:textId="462B2588" w:rsidR="00E64F37" w:rsidRPr="001861B8" w:rsidRDefault="00C835FD" w:rsidP="00E64F37">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73370D18" w14:textId="77777777" w:rsidTr="00B02424">
        <w:tc>
          <w:tcPr>
            <w:tcW w:w="891" w:type="pct"/>
            <w:shd w:val="clear" w:color="auto" w:fill="F2F2F2"/>
            <w:tcMar>
              <w:top w:w="0" w:type="dxa"/>
              <w:left w:w="108" w:type="dxa"/>
              <w:bottom w:w="0" w:type="dxa"/>
              <w:right w:w="108" w:type="dxa"/>
            </w:tcMar>
            <w:vAlign w:val="center"/>
            <w:hideMark/>
          </w:tcPr>
          <w:p w14:paraId="03916D62" w14:textId="51BFA9B1" w:rsidR="00B02424" w:rsidRPr="001861B8" w:rsidRDefault="00B02424" w:rsidP="00B02424">
            <w:pPr>
              <w:spacing w:before="0" w:after="0" w:line="240" w:lineRule="auto"/>
              <w:contextualSpacing/>
              <w:rPr>
                <w:rFonts w:ascii="Arial Narrow" w:hAnsi="Arial Narrow" w:cs="Arial"/>
                <w:b/>
                <w:bCs/>
                <w:i/>
                <w:iCs/>
                <w:color w:val="000000"/>
                <w:sz w:val="16"/>
                <w:szCs w:val="16"/>
                <w:lang w:eastAsia="en-AU"/>
              </w:rPr>
            </w:pPr>
            <w:r w:rsidRPr="001861B8">
              <w:rPr>
                <w:rFonts w:ascii="Arial Narrow" w:hAnsi="Arial Narrow" w:cs="Arial"/>
                <w:b/>
                <w:bCs/>
                <w:i/>
                <w:iCs/>
                <w:color w:val="000000"/>
                <w:sz w:val="16"/>
                <w:szCs w:val="16"/>
                <w:lang w:eastAsia="en-AU"/>
              </w:rPr>
              <w:t xml:space="preserve">Tully </w:t>
            </w:r>
            <w:r w:rsidR="00943D89">
              <w:rPr>
                <w:rFonts w:ascii="Arial Narrow" w:hAnsi="Arial Narrow" w:cs="Arial"/>
                <w:b/>
                <w:bCs/>
                <w:i/>
                <w:iCs/>
                <w:color w:val="000000"/>
                <w:sz w:val="16"/>
                <w:szCs w:val="16"/>
                <w:lang w:eastAsia="en-AU"/>
              </w:rPr>
              <w:t>f</w:t>
            </w:r>
            <w:r w:rsidRPr="001861B8">
              <w:rPr>
                <w:rFonts w:ascii="Arial Narrow" w:hAnsi="Arial Narrow" w:cs="Arial"/>
                <w:b/>
                <w:bCs/>
                <w:i/>
                <w:iCs/>
                <w:color w:val="000000"/>
                <w:sz w:val="16"/>
                <w:szCs w:val="16"/>
                <w:lang w:eastAsia="en-AU"/>
              </w:rPr>
              <w:t xml:space="preserve">ocus </w:t>
            </w:r>
            <w:r w:rsidR="00943D89">
              <w:rPr>
                <w:rFonts w:ascii="Arial Narrow" w:hAnsi="Arial Narrow" w:cs="Arial"/>
                <w:b/>
                <w:bCs/>
                <w:i/>
                <w:iCs/>
                <w:color w:val="000000"/>
                <w:sz w:val="16"/>
                <w:szCs w:val="16"/>
                <w:lang w:eastAsia="en-AU"/>
              </w:rPr>
              <w:t>a</w:t>
            </w:r>
            <w:r w:rsidRPr="001861B8">
              <w:rPr>
                <w:rFonts w:ascii="Arial Narrow" w:hAnsi="Arial Narrow" w:cs="Arial"/>
                <w:b/>
                <w:bCs/>
                <w:i/>
                <w:iCs/>
                <w:color w:val="000000"/>
                <w:sz w:val="16"/>
                <w:szCs w:val="16"/>
                <w:lang w:eastAsia="en-AU"/>
              </w:rPr>
              <w:t>rea</w:t>
            </w:r>
          </w:p>
        </w:tc>
        <w:tc>
          <w:tcPr>
            <w:tcW w:w="414" w:type="pct"/>
            <w:shd w:val="clear" w:color="auto" w:fill="F2F2F2"/>
            <w:tcMar>
              <w:top w:w="0" w:type="dxa"/>
              <w:left w:w="108" w:type="dxa"/>
              <w:bottom w:w="0" w:type="dxa"/>
              <w:right w:w="108" w:type="dxa"/>
            </w:tcMar>
            <w:vAlign w:val="center"/>
            <w:hideMark/>
          </w:tcPr>
          <w:p w14:paraId="7D1DF242"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00E3CDE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3E5E0CF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39249D4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4CB3670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tcPr>
          <w:p w14:paraId="1984E332" w14:textId="004B9D44"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cPr>
          <w:p w14:paraId="1A0CB29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742CBC0C" w14:textId="4432B44E"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Up to 50 surface samples</w:t>
            </w:r>
          </w:p>
        </w:tc>
      </w:tr>
      <w:tr w:rsidR="00B02424" w:rsidRPr="001861B8" w14:paraId="62715AB5" w14:textId="77777777" w:rsidTr="00B02424">
        <w:tc>
          <w:tcPr>
            <w:tcW w:w="891" w:type="pct"/>
            <w:tcMar>
              <w:top w:w="0" w:type="dxa"/>
              <w:left w:w="108" w:type="dxa"/>
              <w:bottom w:w="0" w:type="dxa"/>
              <w:right w:w="108" w:type="dxa"/>
            </w:tcMar>
            <w:vAlign w:val="center"/>
            <w:hideMark/>
          </w:tcPr>
          <w:p w14:paraId="21FE51E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King Reef</w:t>
            </w:r>
          </w:p>
        </w:tc>
        <w:tc>
          <w:tcPr>
            <w:tcW w:w="414" w:type="pct"/>
            <w:tcMar>
              <w:top w:w="0" w:type="dxa"/>
              <w:left w:w="108" w:type="dxa"/>
              <w:bottom w:w="0" w:type="dxa"/>
              <w:right w:w="108" w:type="dxa"/>
            </w:tcMar>
            <w:vAlign w:val="center"/>
            <w:hideMark/>
          </w:tcPr>
          <w:p w14:paraId="34999C7B"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TUL1</w:t>
            </w:r>
          </w:p>
        </w:tc>
        <w:tc>
          <w:tcPr>
            <w:tcW w:w="415" w:type="pct"/>
            <w:tcMar>
              <w:top w:w="0" w:type="dxa"/>
              <w:left w:w="108" w:type="dxa"/>
              <w:bottom w:w="0" w:type="dxa"/>
              <w:right w:w="108" w:type="dxa"/>
            </w:tcMar>
            <w:vAlign w:val="center"/>
            <w:hideMark/>
          </w:tcPr>
          <w:p w14:paraId="0414FB0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146.143</w:t>
            </w:r>
          </w:p>
        </w:tc>
        <w:tc>
          <w:tcPr>
            <w:tcW w:w="426" w:type="pct"/>
            <w:tcMar>
              <w:top w:w="0" w:type="dxa"/>
              <w:left w:w="108" w:type="dxa"/>
              <w:bottom w:w="0" w:type="dxa"/>
              <w:right w:w="108" w:type="dxa"/>
            </w:tcMar>
            <w:vAlign w:val="center"/>
            <w:hideMark/>
          </w:tcPr>
          <w:p w14:paraId="33EF9F1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-17.751</w:t>
            </w:r>
          </w:p>
        </w:tc>
        <w:tc>
          <w:tcPr>
            <w:tcW w:w="424" w:type="pct"/>
            <w:tcMar>
              <w:top w:w="0" w:type="dxa"/>
              <w:left w:w="108" w:type="dxa"/>
              <w:bottom w:w="0" w:type="dxa"/>
              <w:right w:w="108" w:type="dxa"/>
            </w:tcMar>
            <w:vAlign w:val="center"/>
            <w:hideMark/>
          </w:tcPr>
          <w:p w14:paraId="0AB7749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AFFF3D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083B0B3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5C2979E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3E3716C5" w14:textId="6FDCD86C"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14E6885E" w14:textId="77777777" w:rsidTr="00B02424">
        <w:tc>
          <w:tcPr>
            <w:tcW w:w="891" w:type="pct"/>
            <w:tcMar>
              <w:top w:w="0" w:type="dxa"/>
              <w:left w:w="108" w:type="dxa"/>
              <w:bottom w:w="0" w:type="dxa"/>
              <w:right w:w="108" w:type="dxa"/>
            </w:tcMar>
            <w:vAlign w:val="center"/>
            <w:hideMark/>
          </w:tcPr>
          <w:p w14:paraId="31B1B51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East Clump Point</w:t>
            </w:r>
          </w:p>
        </w:tc>
        <w:tc>
          <w:tcPr>
            <w:tcW w:w="414" w:type="pct"/>
            <w:tcMar>
              <w:top w:w="0" w:type="dxa"/>
              <w:left w:w="108" w:type="dxa"/>
              <w:bottom w:w="0" w:type="dxa"/>
              <w:right w:w="108" w:type="dxa"/>
            </w:tcMar>
            <w:vAlign w:val="center"/>
            <w:hideMark/>
          </w:tcPr>
          <w:p w14:paraId="097DC778"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TUL2</w:t>
            </w:r>
          </w:p>
        </w:tc>
        <w:tc>
          <w:tcPr>
            <w:tcW w:w="415" w:type="pct"/>
            <w:tcMar>
              <w:top w:w="0" w:type="dxa"/>
              <w:left w:w="108" w:type="dxa"/>
              <w:bottom w:w="0" w:type="dxa"/>
              <w:right w:w="108" w:type="dxa"/>
            </w:tcMar>
            <w:vAlign w:val="center"/>
            <w:hideMark/>
          </w:tcPr>
          <w:p w14:paraId="395A075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146.26</w:t>
            </w:r>
          </w:p>
        </w:tc>
        <w:tc>
          <w:tcPr>
            <w:tcW w:w="426" w:type="pct"/>
            <w:tcMar>
              <w:top w:w="0" w:type="dxa"/>
              <w:left w:w="108" w:type="dxa"/>
              <w:bottom w:w="0" w:type="dxa"/>
              <w:right w:w="108" w:type="dxa"/>
            </w:tcMar>
            <w:vAlign w:val="center"/>
            <w:hideMark/>
          </w:tcPr>
          <w:p w14:paraId="4DD81F5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-17.89</w:t>
            </w:r>
          </w:p>
        </w:tc>
        <w:tc>
          <w:tcPr>
            <w:tcW w:w="424" w:type="pct"/>
            <w:tcMar>
              <w:top w:w="0" w:type="dxa"/>
              <w:left w:w="108" w:type="dxa"/>
              <w:bottom w:w="0" w:type="dxa"/>
              <w:right w:w="108" w:type="dxa"/>
            </w:tcMar>
            <w:vAlign w:val="center"/>
            <w:hideMark/>
          </w:tcPr>
          <w:p w14:paraId="773665A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7CE6A1D7"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6DB9DC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2240D20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2BC7391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4D3D9CE" w14:textId="77777777" w:rsidTr="00B02424">
        <w:tc>
          <w:tcPr>
            <w:tcW w:w="891" w:type="pct"/>
            <w:tcMar>
              <w:top w:w="0" w:type="dxa"/>
              <w:left w:w="108" w:type="dxa"/>
              <w:bottom w:w="0" w:type="dxa"/>
              <w:right w:w="108" w:type="dxa"/>
            </w:tcMar>
            <w:vAlign w:val="center"/>
            <w:hideMark/>
          </w:tcPr>
          <w:p w14:paraId="6B0A438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Dunk Island North*</w:t>
            </w:r>
          </w:p>
        </w:tc>
        <w:tc>
          <w:tcPr>
            <w:tcW w:w="414" w:type="pct"/>
            <w:tcMar>
              <w:top w:w="0" w:type="dxa"/>
              <w:left w:w="108" w:type="dxa"/>
              <w:bottom w:w="0" w:type="dxa"/>
              <w:right w:w="108" w:type="dxa"/>
            </w:tcMar>
            <w:vAlign w:val="center"/>
            <w:hideMark/>
          </w:tcPr>
          <w:p w14:paraId="03CD99E4"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TUL3</w:t>
            </w:r>
          </w:p>
        </w:tc>
        <w:tc>
          <w:tcPr>
            <w:tcW w:w="415" w:type="pct"/>
            <w:tcMar>
              <w:top w:w="0" w:type="dxa"/>
              <w:left w:w="108" w:type="dxa"/>
              <w:bottom w:w="0" w:type="dxa"/>
              <w:right w:w="108" w:type="dxa"/>
            </w:tcMar>
            <w:vAlign w:val="center"/>
            <w:hideMark/>
          </w:tcPr>
          <w:p w14:paraId="01957F7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146.146</w:t>
            </w:r>
          </w:p>
        </w:tc>
        <w:tc>
          <w:tcPr>
            <w:tcW w:w="426" w:type="pct"/>
            <w:tcMar>
              <w:top w:w="0" w:type="dxa"/>
              <w:left w:w="108" w:type="dxa"/>
              <w:bottom w:w="0" w:type="dxa"/>
              <w:right w:w="108" w:type="dxa"/>
            </w:tcMar>
            <w:vAlign w:val="center"/>
            <w:hideMark/>
          </w:tcPr>
          <w:p w14:paraId="5F46F40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-17.926</w:t>
            </w:r>
          </w:p>
        </w:tc>
        <w:tc>
          <w:tcPr>
            <w:tcW w:w="424" w:type="pct"/>
            <w:tcMar>
              <w:top w:w="0" w:type="dxa"/>
              <w:left w:w="108" w:type="dxa"/>
              <w:bottom w:w="0" w:type="dxa"/>
              <w:right w:w="108" w:type="dxa"/>
            </w:tcMar>
            <w:vAlign w:val="center"/>
            <w:hideMark/>
          </w:tcPr>
          <w:p w14:paraId="400DAD6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67C2386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20FBE95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7B349C5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2C5E32E9" w14:textId="77777777" w:rsidR="00B02424" w:rsidRPr="001861B8" w:rsidDel="00AC0701" w:rsidRDefault="00B02424" w:rsidP="00B02424">
            <w:pPr>
              <w:spacing w:before="0" w:after="0" w:line="240" w:lineRule="auto"/>
              <w:contextualSpacing/>
              <w:rPr>
                <w:rFonts w:ascii="Arial Narrow" w:hAnsi="Arial Narrow" w:cs="Arial"/>
                <w:bCs/>
                <w:color w:val="FF0000"/>
                <w:sz w:val="16"/>
                <w:szCs w:val="16"/>
                <w:lang w:eastAsia="en-AU"/>
              </w:rPr>
            </w:pPr>
          </w:p>
        </w:tc>
      </w:tr>
      <w:tr w:rsidR="00B02424" w:rsidRPr="001861B8" w14:paraId="30802A34" w14:textId="77777777" w:rsidTr="00B02424">
        <w:tc>
          <w:tcPr>
            <w:tcW w:w="891" w:type="pct"/>
            <w:tcMar>
              <w:top w:w="0" w:type="dxa"/>
              <w:left w:w="108" w:type="dxa"/>
              <w:bottom w:w="0" w:type="dxa"/>
              <w:right w:w="108" w:type="dxa"/>
            </w:tcMar>
            <w:vAlign w:val="center"/>
            <w:hideMark/>
          </w:tcPr>
          <w:p w14:paraId="3E57806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South Mission Beach</w:t>
            </w:r>
          </w:p>
        </w:tc>
        <w:tc>
          <w:tcPr>
            <w:tcW w:w="414" w:type="pct"/>
            <w:tcMar>
              <w:top w:w="0" w:type="dxa"/>
              <w:left w:w="108" w:type="dxa"/>
              <w:bottom w:w="0" w:type="dxa"/>
              <w:right w:w="108" w:type="dxa"/>
            </w:tcMar>
            <w:vAlign w:val="center"/>
            <w:hideMark/>
          </w:tcPr>
          <w:p w14:paraId="3DE62E69"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TUL4</w:t>
            </w:r>
          </w:p>
        </w:tc>
        <w:tc>
          <w:tcPr>
            <w:tcW w:w="415" w:type="pct"/>
            <w:tcMar>
              <w:top w:w="0" w:type="dxa"/>
              <w:left w:w="108" w:type="dxa"/>
              <w:bottom w:w="0" w:type="dxa"/>
              <w:right w:w="108" w:type="dxa"/>
            </w:tcMar>
            <w:vAlign w:val="center"/>
            <w:hideMark/>
          </w:tcPr>
          <w:p w14:paraId="428F4C0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146.104</w:t>
            </w:r>
          </w:p>
        </w:tc>
        <w:tc>
          <w:tcPr>
            <w:tcW w:w="426" w:type="pct"/>
            <w:tcMar>
              <w:top w:w="0" w:type="dxa"/>
              <w:left w:w="108" w:type="dxa"/>
              <w:bottom w:w="0" w:type="dxa"/>
              <w:right w:w="108" w:type="dxa"/>
            </w:tcMar>
            <w:vAlign w:val="center"/>
            <w:hideMark/>
          </w:tcPr>
          <w:p w14:paraId="0E65B41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-17.931</w:t>
            </w:r>
          </w:p>
        </w:tc>
        <w:tc>
          <w:tcPr>
            <w:tcW w:w="424" w:type="pct"/>
            <w:tcMar>
              <w:top w:w="0" w:type="dxa"/>
              <w:left w:w="108" w:type="dxa"/>
              <w:bottom w:w="0" w:type="dxa"/>
              <w:right w:w="108" w:type="dxa"/>
            </w:tcMar>
            <w:vAlign w:val="center"/>
            <w:hideMark/>
          </w:tcPr>
          <w:p w14:paraId="6EBAAB9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A56E7B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430492E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2183801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4CD55DE6" w14:textId="06679336"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08865990" w14:textId="77777777" w:rsidTr="00B02424">
        <w:tc>
          <w:tcPr>
            <w:tcW w:w="891" w:type="pct"/>
            <w:tcMar>
              <w:top w:w="0" w:type="dxa"/>
              <w:left w:w="108" w:type="dxa"/>
              <w:bottom w:w="0" w:type="dxa"/>
              <w:right w:w="108" w:type="dxa"/>
            </w:tcMar>
            <w:vAlign w:val="center"/>
            <w:hideMark/>
          </w:tcPr>
          <w:p w14:paraId="3FDFEB1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Dunk Island South East</w:t>
            </w:r>
          </w:p>
        </w:tc>
        <w:tc>
          <w:tcPr>
            <w:tcW w:w="414" w:type="pct"/>
            <w:tcMar>
              <w:top w:w="0" w:type="dxa"/>
              <w:left w:w="108" w:type="dxa"/>
              <w:bottom w:w="0" w:type="dxa"/>
              <w:right w:w="108" w:type="dxa"/>
            </w:tcMar>
            <w:vAlign w:val="center"/>
            <w:hideMark/>
          </w:tcPr>
          <w:p w14:paraId="0C4A1E1C"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TUL5</w:t>
            </w:r>
          </w:p>
        </w:tc>
        <w:tc>
          <w:tcPr>
            <w:tcW w:w="415" w:type="pct"/>
            <w:tcMar>
              <w:top w:w="0" w:type="dxa"/>
              <w:left w:w="108" w:type="dxa"/>
              <w:bottom w:w="0" w:type="dxa"/>
              <w:right w:w="108" w:type="dxa"/>
            </w:tcMar>
            <w:vAlign w:val="center"/>
            <w:hideMark/>
          </w:tcPr>
          <w:p w14:paraId="1271C25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146.191</w:t>
            </w:r>
          </w:p>
        </w:tc>
        <w:tc>
          <w:tcPr>
            <w:tcW w:w="426" w:type="pct"/>
            <w:tcMar>
              <w:top w:w="0" w:type="dxa"/>
              <w:left w:w="108" w:type="dxa"/>
              <w:bottom w:w="0" w:type="dxa"/>
              <w:right w:w="108" w:type="dxa"/>
            </w:tcMar>
            <w:vAlign w:val="center"/>
            <w:hideMark/>
          </w:tcPr>
          <w:p w14:paraId="313A010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-17.96</w:t>
            </w:r>
          </w:p>
        </w:tc>
        <w:tc>
          <w:tcPr>
            <w:tcW w:w="424" w:type="pct"/>
            <w:tcMar>
              <w:top w:w="0" w:type="dxa"/>
              <w:left w:w="108" w:type="dxa"/>
              <w:bottom w:w="0" w:type="dxa"/>
              <w:right w:w="108" w:type="dxa"/>
            </w:tcMar>
            <w:vAlign w:val="center"/>
            <w:hideMark/>
          </w:tcPr>
          <w:p w14:paraId="1945B5C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225B0CB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A03097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018EFD4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6597B84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7B5CC23A" w14:textId="77777777" w:rsidTr="00B02424">
        <w:tc>
          <w:tcPr>
            <w:tcW w:w="891" w:type="pct"/>
            <w:tcMar>
              <w:top w:w="0" w:type="dxa"/>
              <w:left w:w="108" w:type="dxa"/>
              <w:bottom w:w="0" w:type="dxa"/>
              <w:right w:w="108" w:type="dxa"/>
            </w:tcMar>
            <w:vAlign w:val="center"/>
            <w:hideMark/>
          </w:tcPr>
          <w:p w14:paraId="2526A45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Between Tam O'Shanter and Timana</w:t>
            </w:r>
          </w:p>
        </w:tc>
        <w:tc>
          <w:tcPr>
            <w:tcW w:w="414" w:type="pct"/>
            <w:tcMar>
              <w:top w:w="0" w:type="dxa"/>
              <w:left w:w="108" w:type="dxa"/>
              <w:bottom w:w="0" w:type="dxa"/>
              <w:right w:w="108" w:type="dxa"/>
            </w:tcMar>
            <w:vAlign w:val="center"/>
            <w:hideMark/>
          </w:tcPr>
          <w:p w14:paraId="567C15FE"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TUL6</w:t>
            </w:r>
          </w:p>
        </w:tc>
        <w:tc>
          <w:tcPr>
            <w:tcW w:w="415" w:type="pct"/>
            <w:tcMar>
              <w:top w:w="0" w:type="dxa"/>
              <w:left w:w="108" w:type="dxa"/>
              <w:bottom w:w="0" w:type="dxa"/>
              <w:right w:w="108" w:type="dxa"/>
            </w:tcMar>
            <w:vAlign w:val="center"/>
            <w:hideMark/>
          </w:tcPr>
          <w:p w14:paraId="7164906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146.116</w:t>
            </w:r>
          </w:p>
        </w:tc>
        <w:tc>
          <w:tcPr>
            <w:tcW w:w="426" w:type="pct"/>
            <w:tcMar>
              <w:top w:w="0" w:type="dxa"/>
              <w:left w:w="108" w:type="dxa"/>
              <w:bottom w:w="0" w:type="dxa"/>
              <w:right w:w="108" w:type="dxa"/>
            </w:tcMar>
            <w:vAlign w:val="center"/>
            <w:hideMark/>
          </w:tcPr>
          <w:p w14:paraId="3A05C00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-17.975</w:t>
            </w:r>
          </w:p>
        </w:tc>
        <w:tc>
          <w:tcPr>
            <w:tcW w:w="424" w:type="pct"/>
            <w:tcMar>
              <w:top w:w="0" w:type="dxa"/>
              <w:left w:w="108" w:type="dxa"/>
              <w:bottom w:w="0" w:type="dxa"/>
              <w:right w:w="108" w:type="dxa"/>
            </w:tcMar>
            <w:vAlign w:val="center"/>
            <w:hideMark/>
          </w:tcPr>
          <w:p w14:paraId="09A48DF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08E6B97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664B17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2FF8E96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7B1F506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6BCC8C4F" w14:textId="77777777" w:rsidTr="00B02424">
        <w:tc>
          <w:tcPr>
            <w:tcW w:w="891" w:type="pct"/>
            <w:tcMar>
              <w:top w:w="0" w:type="dxa"/>
              <w:left w:w="108" w:type="dxa"/>
              <w:bottom w:w="0" w:type="dxa"/>
              <w:right w:w="108" w:type="dxa"/>
            </w:tcMar>
            <w:vAlign w:val="center"/>
            <w:hideMark/>
          </w:tcPr>
          <w:p w14:paraId="3094357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Hull River mouth</w:t>
            </w:r>
          </w:p>
        </w:tc>
        <w:tc>
          <w:tcPr>
            <w:tcW w:w="414" w:type="pct"/>
            <w:tcMar>
              <w:top w:w="0" w:type="dxa"/>
              <w:left w:w="108" w:type="dxa"/>
              <w:bottom w:w="0" w:type="dxa"/>
              <w:right w:w="108" w:type="dxa"/>
            </w:tcMar>
            <w:vAlign w:val="center"/>
            <w:hideMark/>
          </w:tcPr>
          <w:p w14:paraId="40D3DC97"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TUL7</w:t>
            </w:r>
          </w:p>
        </w:tc>
        <w:tc>
          <w:tcPr>
            <w:tcW w:w="415" w:type="pct"/>
            <w:tcMar>
              <w:top w:w="0" w:type="dxa"/>
              <w:left w:w="108" w:type="dxa"/>
              <w:bottom w:w="0" w:type="dxa"/>
              <w:right w:w="108" w:type="dxa"/>
            </w:tcMar>
            <w:vAlign w:val="center"/>
            <w:hideMark/>
          </w:tcPr>
          <w:p w14:paraId="1AC255D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146.079</w:t>
            </w:r>
          </w:p>
        </w:tc>
        <w:tc>
          <w:tcPr>
            <w:tcW w:w="426" w:type="pct"/>
            <w:tcMar>
              <w:top w:w="0" w:type="dxa"/>
              <w:left w:w="108" w:type="dxa"/>
              <w:bottom w:w="0" w:type="dxa"/>
              <w:right w:w="108" w:type="dxa"/>
            </w:tcMar>
            <w:vAlign w:val="center"/>
            <w:hideMark/>
          </w:tcPr>
          <w:p w14:paraId="2C63C97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-17.997</w:t>
            </w:r>
          </w:p>
        </w:tc>
        <w:tc>
          <w:tcPr>
            <w:tcW w:w="424" w:type="pct"/>
            <w:tcMar>
              <w:top w:w="0" w:type="dxa"/>
              <w:left w:w="108" w:type="dxa"/>
              <w:bottom w:w="0" w:type="dxa"/>
              <w:right w:w="108" w:type="dxa"/>
            </w:tcMar>
            <w:vAlign w:val="center"/>
            <w:hideMark/>
          </w:tcPr>
          <w:p w14:paraId="0B33873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2D7CF74"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C3E79F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43DAF1D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417CCCE0" w14:textId="4E8736BD"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6F31B59C" w14:textId="77777777" w:rsidTr="00B02424">
        <w:tc>
          <w:tcPr>
            <w:tcW w:w="891" w:type="pct"/>
            <w:tcMar>
              <w:top w:w="0" w:type="dxa"/>
              <w:left w:w="108" w:type="dxa"/>
              <w:bottom w:w="0" w:type="dxa"/>
              <w:right w:w="108" w:type="dxa"/>
            </w:tcMar>
            <w:vAlign w:val="center"/>
            <w:hideMark/>
          </w:tcPr>
          <w:p w14:paraId="212F91D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Bedarra Island</w:t>
            </w:r>
          </w:p>
        </w:tc>
        <w:tc>
          <w:tcPr>
            <w:tcW w:w="414" w:type="pct"/>
            <w:tcMar>
              <w:top w:w="0" w:type="dxa"/>
              <w:left w:w="108" w:type="dxa"/>
              <w:bottom w:w="0" w:type="dxa"/>
              <w:right w:w="108" w:type="dxa"/>
            </w:tcMar>
            <w:vAlign w:val="center"/>
            <w:hideMark/>
          </w:tcPr>
          <w:p w14:paraId="38FB72C6"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TUL8</w:t>
            </w:r>
          </w:p>
        </w:tc>
        <w:tc>
          <w:tcPr>
            <w:tcW w:w="415" w:type="pct"/>
            <w:tcMar>
              <w:top w:w="0" w:type="dxa"/>
              <w:left w:w="108" w:type="dxa"/>
              <w:bottom w:w="0" w:type="dxa"/>
              <w:right w:w="108" w:type="dxa"/>
            </w:tcMar>
            <w:vAlign w:val="center"/>
            <w:hideMark/>
          </w:tcPr>
          <w:p w14:paraId="216EE53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146.133</w:t>
            </w:r>
          </w:p>
        </w:tc>
        <w:tc>
          <w:tcPr>
            <w:tcW w:w="426" w:type="pct"/>
            <w:tcMar>
              <w:top w:w="0" w:type="dxa"/>
              <w:left w:w="108" w:type="dxa"/>
              <w:bottom w:w="0" w:type="dxa"/>
              <w:right w:w="108" w:type="dxa"/>
            </w:tcMar>
            <w:vAlign w:val="center"/>
            <w:hideMark/>
          </w:tcPr>
          <w:p w14:paraId="365BDC7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-18.014</w:t>
            </w:r>
          </w:p>
        </w:tc>
        <w:tc>
          <w:tcPr>
            <w:tcW w:w="424" w:type="pct"/>
            <w:tcMar>
              <w:top w:w="0" w:type="dxa"/>
              <w:left w:w="108" w:type="dxa"/>
              <w:bottom w:w="0" w:type="dxa"/>
              <w:right w:w="108" w:type="dxa"/>
            </w:tcMar>
            <w:vAlign w:val="center"/>
            <w:hideMark/>
          </w:tcPr>
          <w:p w14:paraId="7D25ECF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300A5D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AE7B29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65BAA07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43AA169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3403949E" w14:textId="77777777" w:rsidTr="00B02424">
        <w:tc>
          <w:tcPr>
            <w:tcW w:w="891" w:type="pct"/>
            <w:tcMar>
              <w:top w:w="0" w:type="dxa"/>
              <w:left w:w="108" w:type="dxa"/>
              <w:bottom w:w="0" w:type="dxa"/>
              <w:right w:w="108" w:type="dxa"/>
            </w:tcMar>
            <w:vAlign w:val="center"/>
            <w:hideMark/>
          </w:tcPr>
          <w:p w14:paraId="61110D3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Triplets</w:t>
            </w:r>
          </w:p>
        </w:tc>
        <w:tc>
          <w:tcPr>
            <w:tcW w:w="414" w:type="pct"/>
            <w:tcMar>
              <w:top w:w="0" w:type="dxa"/>
              <w:left w:w="108" w:type="dxa"/>
              <w:bottom w:w="0" w:type="dxa"/>
              <w:right w:w="108" w:type="dxa"/>
            </w:tcMar>
            <w:vAlign w:val="center"/>
            <w:hideMark/>
          </w:tcPr>
          <w:p w14:paraId="663403D0"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TUL9</w:t>
            </w:r>
          </w:p>
        </w:tc>
        <w:tc>
          <w:tcPr>
            <w:tcW w:w="415" w:type="pct"/>
            <w:tcMar>
              <w:top w:w="0" w:type="dxa"/>
              <w:left w:w="108" w:type="dxa"/>
              <w:bottom w:w="0" w:type="dxa"/>
              <w:right w:w="108" w:type="dxa"/>
            </w:tcMar>
            <w:vAlign w:val="center"/>
            <w:hideMark/>
          </w:tcPr>
          <w:p w14:paraId="74833BC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146.187</w:t>
            </w:r>
          </w:p>
        </w:tc>
        <w:tc>
          <w:tcPr>
            <w:tcW w:w="426" w:type="pct"/>
            <w:tcMar>
              <w:top w:w="0" w:type="dxa"/>
              <w:left w:w="108" w:type="dxa"/>
              <w:bottom w:w="0" w:type="dxa"/>
              <w:right w:w="108" w:type="dxa"/>
            </w:tcMar>
            <w:vAlign w:val="center"/>
            <w:hideMark/>
          </w:tcPr>
          <w:p w14:paraId="6999D6E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-18.056</w:t>
            </w:r>
          </w:p>
        </w:tc>
        <w:tc>
          <w:tcPr>
            <w:tcW w:w="424" w:type="pct"/>
            <w:tcMar>
              <w:top w:w="0" w:type="dxa"/>
              <w:left w:w="108" w:type="dxa"/>
              <w:bottom w:w="0" w:type="dxa"/>
              <w:right w:w="108" w:type="dxa"/>
            </w:tcMar>
            <w:vAlign w:val="center"/>
            <w:hideMark/>
          </w:tcPr>
          <w:p w14:paraId="4DD6350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2DBC667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2FB2D94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7B46B65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62CED664" w14:textId="344BCC60"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3CCE0788" w14:textId="77777777" w:rsidTr="00B02424">
        <w:tc>
          <w:tcPr>
            <w:tcW w:w="891" w:type="pct"/>
            <w:tcMar>
              <w:top w:w="0" w:type="dxa"/>
              <w:left w:w="108" w:type="dxa"/>
              <w:bottom w:w="0" w:type="dxa"/>
              <w:right w:w="108" w:type="dxa"/>
            </w:tcMar>
            <w:vAlign w:val="center"/>
            <w:hideMark/>
          </w:tcPr>
          <w:p w14:paraId="0869468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Tully River mouth mooring</w:t>
            </w:r>
          </w:p>
        </w:tc>
        <w:tc>
          <w:tcPr>
            <w:tcW w:w="414" w:type="pct"/>
            <w:tcMar>
              <w:top w:w="0" w:type="dxa"/>
              <w:left w:w="108" w:type="dxa"/>
              <w:bottom w:w="0" w:type="dxa"/>
              <w:right w:w="108" w:type="dxa"/>
            </w:tcMar>
            <w:vAlign w:val="center"/>
            <w:hideMark/>
          </w:tcPr>
          <w:p w14:paraId="49C31CFB"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TUL10</w:t>
            </w:r>
          </w:p>
        </w:tc>
        <w:tc>
          <w:tcPr>
            <w:tcW w:w="415" w:type="pct"/>
            <w:tcMar>
              <w:top w:w="0" w:type="dxa"/>
              <w:left w:w="108" w:type="dxa"/>
              <w:bottom w:w="0" w:type="dxa"/>
              <w:right w:w="108" w:type="dxa"/>
            </w:tcMar>
            <w:vAlign w:val="center"/>
            <w:hideMark/>
          </w:tcPr>
          <w:p w14:paraId="5D3B99A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146.074</w:t>
            </w:r>
          </w:p>
        </w:tc>
        <w:tc>
          <w:tcPr>
            <w:tcW w:w="426" w:type="pct"/>
            <w:tcMar>
              <w:top w:w="0" w:type="dxa"/>
              <w:left w:w="108" w:type="dxa"/>
              <w:bottom w:w="0" w:type="dxa"/>
              <w:right w:w="108" w:type="dxa"/>
            </w:tcMar>
            <w:vAlign w:val="center"/>
            <w:hideMark/>
          </w:tcPr>
          <w:p w14:paraId="52829F0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-18.023</w:t>
            </w:r>
          </w:p>
        </w:tc>
        <w:tc>
          <w:tcPr>
            <w:tcW w:w="424" w:type="pct"/>
            <w:tcMar>
              <w:top w:w="0" w:type="dxa"/>
              <w:left w:w="108" w:type="dxa"/>
              <w:bottom w:w="0" w:type="dxa"/>
              <w:right w:w="108" w:type="dxa"/>
            </w:tcMar>
            <w:vAlign w:val="center"/>
            <w:hideMark/>
          </w:tcPr>
          <w:p w14:paraId="781B464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4962F15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73D2A78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73727E1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6 (Sampling 2 depths)</w:t>
            </w:r>
          </w:p>
        </w:tc>
        <w:tc>
          <w:tcPr>
            <w:tcW w:w="663" w:type="pct"/>
          </w:tcPr>
          <w:p w14:paraId="0A5D6A9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140DF87D" w14:textId="77777777" w:rsidTr="00B02424">
        <w:tc>
          <w:tcPr>
            <w:tcW w:w="891" w:type="pct"/>
            <w:tcMar>
              <w:top w:w="0" w:type="dxa"/>
              <w:left w:w="108" w:type="dxa"/>
              <w:bottom w:w="0" w:type="dxa"/>
              <w:right w:w="108" w:type="dxa"/>
            </w:tcMar>
            <w:vAlign w:val="center"/>
            <w:hideMark/>
          </w:tcPr>
          <w:p w14:paraId="4703B17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Tully River</w:t>
            </w:r>
          </w:p>
        </w:tc>
        <w:tc>
          <w:tcPr>
            <w:tcW w:w="414" w:type="pct"/>
            <w:tcMar>
              <w:top w:w="0" w:type="dxa"/>
              <w:left w:w="108" w:type="dxa"/>
              <w:bottom w:w="0" w:type="dxa"/>
              <w:right w:w="108" w:type="dxa"/>
            </w:tcMar>
            <w:vAlign w:val="center"/>
            <w:hideMark/>
          </w:tcPr>
          <w:p w14:paraId="73BCF461"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TUL11</w:t>
            </w:r>
          </w:p>
        </w:tc>
        <w:tc>
          <w:tcPr>
            <w:tcW w:w="415" w:type="pct"/>
            <w:tcMar>
              <w:top w:w="0" w:type="dxa"/>
              <w:left w:w="108" w:type="dxa"/>
              <w:bottom w:w="0" w:type="dxa"/>
              <w:right w:w="108" w:type="dxa"/>
            </w:tcMar>
            <w:vAlign w:val="center"/>
            <w:hideMark/>
          </w:tcPr>
          <w:p w14:paraId="32F823A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146.045</w:t>
            </w:r>
          </w:p>
        </w:tc>
        <w:tc>
          <w:tcPr>
            <w:tcW w:w="426" w:type="pct"/>
            <w:tcMar>
              <w:top w:w="0" w:type="dxa"/>
              <w:left w:w="108" w:type="dxa"/>
              <w:bottom w:w="0" w:type="dxa"/>
              <w:right w:w="108" w:type="dxa"/>
            </w:tcMar>
            <w:vAlign w:val="center"/>
            <w:hideMark/>
          </w:tcPr>
          <w:p w14:paraId="747B8AA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-18.02</w:t>
            </w:r>
          </w:p>
        </w:tc>
        <w:tc>
          <w:tcPr>
            <w:tcW w:w="424" w:type="pct"/>
            <w:tcMar>
              <w:top w:w="0" w:type="dxa"/>
              <w:left w:w="108" w:type="dxa"/>
              <w:bottom w:w="0" w:type="dxa"/>
              <w:right w:w="108" w:type="dxa"/>
            </w:tcMar>
            <w:vAlign w:val="center"/>
            <w:hideMark/>
          </w:tcPr>
          <w:p w14:paraId="428377E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89C5C6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191695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328399A8"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7DAA9473" w14:textId="5AEC3EF0"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bl>
    <w:p w14:paraId="77029EDC" w14:textId="77777777" w:rsidR="006E4035" w:rsidRDefault="006E4035">
      <w:r>
        <w:br w:type="page"/>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39"/>
        <w:gridCol w:w="1133"/>
        <w:gridCol w:w="1136"/>
        <w:gridCol w:w="1166"/>
        <w:gridCol w:w="1161"/>
        <w:gridCol w:w="1103"/>
        <w:gridCol w:w="1826"/>
        <w:gridCol w:w="1908"/>
        <w:gridCol w:w="1815"/>
      </w:tblGrid>
      <w:tr w:rsidR="00B02424" w:rsidRPr="001861B8" w14:paraId="3D77CBA0" w14:textId="77777777" w:rsidTr="00B02424">
        <w:tc>
          <w:tcPr>
            <w:tcW w:w="2146" w:type="pct"/>
            <w:gridSpan w:val="4"/>
            <w:shd w:val="clear" w:color="auto" w:fill="D9D9D9"/>
            <w:tcMar>
              <w:top w:w="0" w:type="dxa"/>
              <w:left w:w="108" w:type="dxa"/>
              <w:bottom w:w="0" w:type="dxa"/>
              <w:right w:w="108" w:type="dxa"/>
            </w:tcMar>
            <w:vAlign w:val="center"/>
          </w:tcPr>
          <w:p w14:paraId="3A955AC1"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DD6146">
              <w:rPr>
                <w:rFonts w:ascii="Arial Narrow" w:hAnsi="Arial Narrow"/>
                <w:b/>
                <w:bCs/>
                <w:color w:val="000000"/>
                <w:sz w:val="18"/>
                <w:lang w:eastAsia="en-AU"/>
              </w:rPr>
              <w:t>Site Location</w:t>
            </w:r>
          </w:p>
        </w:tc>
        <w:tc>
          <w:tcPr>
            <w:tcW w:w="827" w:type="pct"/>
            <w:gridSpan w:val="2"/>
            <w:shd w:val="clear" w:color="auto" w:fill="D9D9D9"/>
            <w:tcMar>
              <w:top w:w="0" w:type="dxa"/>
              <w:left w:w="108" w:type="dxa"/>
              <w:bottom w:w="0" w:type="dxa"/>
              <w:right w:w="108" w:type="dxa"/>
            </w:tcMar>
            <w:vAlign w:val="center"/>
          </w:tcPr>
          <w:p w14:paraId="0EC76945"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Logger Deployment</w:t>
            </w:r>
          </w:p>
        </w:tc>
        <w:tc>
          <w:tcPr>
            <w:tcW w:w="1364" w:type="pct"/>
            <w:gridSpan w:val="2"/>
            <w:shd w:val="clear" w:color="auto" w:fill="D9D9D9"/>
            <w:tcMar>
              <w:top w:w="0" w:type="dxa"/>
              <w:left w:w="108" w:type="dxa"/>
              <w:bottom w:w="0" w:type="dxa"/>
              <w:right w:w="108" w:type="dxa"/>
            </w:tcMar>
            <w:vAlign w:val="center"/>
          </w:tcPr>
          <w:p w14:paraId="131E36A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Routine grab samples at fixed sites</w:t>
            </w:r>
          </w:p>
        </w:tc>
        <w:tc>
          <w:tcPr>
            <w:tcW w:w="663" w:type="pct"/>
            <w:shd w:val="clear" w:color="auto" w:fill="D9D9D9"/>
            <w:vAlign w:val="center"/>
          </w:tcPr>
          <w:p w14:paraId="0923CCE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DD6146">
              <w:rPr>
                <w:rFonts w:ascii="Arial Narrow" w:hAnsi="Arial Narrow"/>
                <w:b/>
                <w:bCs/>
                <w:color w:val="000000"/>
                <w:sz w:val="18"/>
                <w:lang w:eastAsia="en-AU"/>
              </w:rPr>
              <w:t> </w:t>
            </w:r>
            <w:r w:rsidRPr="001861B8">
              <w:rPr>
                <w:rFonts w:ascii="Arial Narrow" w:hAnsi="Arial Narrow" w:cs="Arial"/>
                <w:b/>
                <w:bCs/>
                <w:color w:val="000000"/>
                <w:sz w:val="18"/>
                <w:lang w:eastAsia="en-AU"/>
              </w:rPr>
              <w:t>Reactive flood plume sampling</w:t>
            </w:r>
          </w:p>
        </w:tc>
      </w:tr>
      <w:tr w:rsidR="00B02424" w:rsidRPr="001861B8" w14:paraId="6FCB6413" w14:textId="77777777" w:rsidTr="00B02424">
        <w:tc>
          <w:tcPr>
            <w:tcW w:w="891" w:type="pct"/>
            <w:shd w:val="clear" w:color="auto" w:fill="D9D9D9"/>
            <w:tcMar>
              <w:top w:w="0" w:type="dxa"/>
              <w:left w:w="108" w:type="dxa"/>
              <w:bottom w:w="0" w:type="dxa"/>
              <w:right w:w="108" w:type="dxa"/>
            </w:tcMar>
            <w:vAlign w:val="center"/>
          </w:tcPr>
          <w:p w14:paraId="37CB8494" w14:textId="77777777" w:rsidR="00B02424" w:rsidRPr="001861B8" w:rsidRDefault="00B02424"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NRM Region</w:t>
            </w:r>
          </w:p>
        </w:tc>
        <w:tc>
          <w:tcPr>
            <w:tcW w:w="414" w:type="pct"/>
            <w:shd w:val="clear" w:color="auto" w:fill="D9D9D9"/>
            <w:tcMar>
              <w:top w:w="0" w:type="dxa"/>
              <w:left w:w="108" w:type="dxa"/>
              <w:bottom w:w="0" w:type="dxa"/>
              <w:right w:w="108" w:type="dxa"/>
            </w:tcMar>
            <w:vAlign w:val="center"/>
          </w:tcPr>
          <w:p w14:paraId="15A9F83C"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b/>
                <w:bCs/>
                <w:color w:val="000000"/>
                <w:sz w:val="18"/>
                <w:lang w:eastAsia="en-AU"/>
              </w:rPr>
              <w:t>Site Code</w:t>
            </w:r>
          </w:p>
        </w:tc>
        <w:tc>
          <w:tcPr>
            <w:tcW w:w="415" w:type="pct"/>
            <w:shd w:val="clear" w:color="auto" w:fill="D9D9D9"/>
            <w:tcMar>
              <w:top w:w="0" w:type="dxa"/>
              <w:left w:w="108" w:type="dxa"/>
              <w:bottom w:w="0" w:type="dxa"/>
              <w:right w:w="108" w:type="dxa"/>
            </w:tcMar>
            <w:vAlign w:val="center"/>
          </w:tcPr>
          <w:p w14:paraId="34A4E0C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b/>
                <w:bCs/>
                <w:color w:val="000000"/>
                <w:sz w:val="18"/>
                <w:lang w:eastAsia="en-AU"/>
              </w:rPr>
              <w:t>Longitude</w:t>
            </w:r>
          </w:p>
        </w:tc>
        <w:tc>
          <w:tcPr>
            <w:tcW w:w="426" w:type="pct"/>
            <w:shd w:val="clear" w:color="auto" w:fill="D9D9D9"/>
            <w:tcMar>
              <w:top w:w="0" w:type="dxa"/>
              <w:left w:w="108" w:type="dxa"/>
              <w:bottom w:w="0" w:type="dxa"/>
              <w:right w:w="108" w:type="dxa"/>
            </w:tcMar>
            <w:vAlign w:val="center"/>
          </w:tcPr>
          <w:p w14:paraId="3450EB7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b/>
                <w:bCs/>
                <w:color w:val="000000"/>
                <w:sz w:val="18"/>
                <w:lang w:eastAsia="en-AU"/>
              </w:rPr>
              <w:t>Latitude</w:t>
            </w:r>
          </w:p>
        </w:tc>
        <w:tc>
          <w:tcPr>
            <w:tcW w:w="424" w:type="pct"/>
            <w:shd w:val="clear" w:color="auto" w:fill="D9D9D9"/>
            <w:tcMar>
              <w:top w:w="0" w:type="dxa"/>
              <w:left w:w="108" w:type="dxa"/>
              <w:bottom w:w="0" w:type="dxa"/>
              <w:right w:w="108" w:type="dxa"/>
            </w:tcMar>
            <w:vAlign w:val="center"/>
          </w:tcPr>
          <w:p w14:paraId="1F67248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NRM Region</w:t>
            </w:r>
          </w:p>
        </w:tc>
        <w:tc>
          <w:tcPr>
            <w:tcW w:w="403" w:type="pct"/>
            <w:shd w:val="clear" w:color="auto" w:fill="D9D9D9"/>
            <w:tcMar>
              <w:top w:w="0" w:type="dxa"/>
              <w:left w:w="108" w:type="dxa"/>
              <w:bottom w:w="0" w:type="dxa"/>
              <w:right w:w="108" w:type="dxa"/>
            </w:tcMar>
            <w:vAlign w:val="center"/>
          </w:tcPr>
          <w:p w14:paraId="52F039A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8"/>
                <w:lang w:eastAsia="en-AU"/>
              </w:rPr>
              <w:t>Turbidity and chlorophyll</w:t>
            </w:r>
          </w:p>
        </w:tc>
        <w:tc>
          <w:tcPr>
            <w:tcW w:w="667" w:type="pct"/>
            <w:shd w:val="clear" w:color="auto" w:fill="D9D9D9"/>
            <w:tcMar>
              <w:top w:w="0" w:type="dxa"/>
              <w:left w:w="108" w:type="dxa"/>
              <w:bottom w:w="0" w:type="dxa"/>
              <w:right w:w="108" w:type="dxa"/>
            </w:tcMar>
            <w:vAlign w:val="center"/>
          </w:tcPr>
          <w:p w14:paraId="64DFF4B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Salinity</w:t>
            </w:r>
          </w:p>
        </w:tc>
        <w:tc>
          <w:tcPr>
            <w:tcW w:w="697" w:type="pct"/>
            <w:shd w:val="clear" w:color="auto" w:fill="D9D9D9"/>
            <w:vAlign w:val="center"/>
          </w:tcPr>
          <w:p w14:paraId="7EBBC36E"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Number of times site is visited/year by AIMS</w:t>
            </w:r>
          </w:p>
        </w:tc>
        <w:tc>
          <w:tcPr>
            <w:tcW w:w="663" w:type="pct"/>
            <w:shd w:val="clear" w:color="auto" w:fill="D9D9D9"/>
            <w:vAlign w:val="center"/>
          </w:tcPr>
          <w:p w14:paraId="0445409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
                <w:bCs/>
                <w:color w:val="000000"/>
                <w:sz w:val="18"/>
                <w:lang w:eastAsia="en-AU"/>
              </w:rPr>
              <w:t>Number of times site is visited/year by JCU</w:t>
            </w:r>
          </w:p>
        </w:tc>
      </w:tr>
      <w:tr w:rsidR="00B02424" w:rsidRPr="001861B8" w14:paraId="50D7FA9F" w14:textId="77777777" w:rsidTr="00B02424">
        <w:tc>
          <w:tcPr>
            <w:tcW w:w="891" w:type="pct"/>
            <w:shd w:val="clear" w:color="auto" w:fill="F2F2F2"/>
            <w:tcMar>
              <w:top w:w="0" w:type="dxa"/>
              <w:left w:w="108" w:type="dxa"/>
              <w:bottom w:w="0" w:type="dxa"/>
              <w:right w:w="108" w:type="dxa"/>
            </w:tcMar>
            <w:vAlign w:val="center"/>
            <w:hideMark/>
          </w:tcPr>
          <w:p w14:paraId="68CB25D6" w14:textId="77777777" w:rsidR="00B02424" w:rsidRPr="001861B8" w:rsidRDefault="006E4035"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BURDEKIN</w:t>
            </w:r>
          </w:p>
        </w:tc>
        <w:tc>
          <w:tcPr>
            <w:tcW w:w="414" w:type="pct"/>
            <w:shd w:val="clear" w:color="auto" w:fill="F2F2F2"/>
            <w:tcMar>
              <w:top w:w="0" w:type="dxa"/>
              <w:left w:w="108" w:type="dxa"/>
              <w:bottom w:w="0" w:type="dxa"/>
              <w:right w:w="108" w:type="dxa"/>
            </w:tcMar>
            <w:vAlign w:val="center"/>
            <w:hideMark/>
          </w:tcPr>
          <w:p w14:paraId="5477632D"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0324866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2B45A53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29E1045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3870F6D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hideMark/>
          </w:tcPr>
          <w:p w14:paraId="60B98F0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shd w:val="clear" w:color="auto" w:fill="F2F2F2"/>
          </w:tcPr>
          <w:p w14:paraId="49B02CD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06B4601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1D1EBD58" w14:textId="77777777" w:rsidTr="00B02424">
        <w:tc>
          <w:tcPr>
            <w:tcW w:w="891" w:type="pct"/>
            <w:shd w:val="clear" w:color="auto" w:fill="F2F2F2"/>
            <w:tcMar>
              <w:top w:w="0" w:type="dxa"/>
              <w:left w:w="108" w:type="dxa"/>
              <w:bottom w:w="0" w:type="dxa"/>
              <w:right w:w="108" w:type="dxa"/>
            </w:tcMar>
            <w:vAlign w:val="center"/>
            <w:hideMark/>
          </w:tcPr>
          <w:p w14:paraId="08B6878C" w14:textId="18CC51A3" w:rsidR="00B02424" w:rsidRPr="001861B8" w:rsidRDefault="00B02424" w:rsidP="00B02424">
            <w:pPr>
              <w:spacing w:before="0" w:after="0" w:line="240" w:lineRule="auto"/>
              <w:contextualSpacing/>
              <w:rPr>
                <w:rFonts w:ascii="Arial Narrow" w:hAnsi="Arial Narrow" w:cs="Arial"/>
                <w:b/>
                <w:bCs/>
                <w:i/>
                <w:iCs/>
                <w:color w:val="000000"/>
                <w:sz w:val="16"/>
                <w:szCs w:val="16"/>
                <w:lang w:eastAsia="en-AU"/>
              </w:rPr>
            </w:pPr>
            <w:r w:rsidRPr="001861B8">
              <w:rPr>
                <w:rFonts w:ascii="Arial Narrow" w:hAnsi="Arial Narrow" w:cs="Arial"/>
                <w:b/>
                <w:bCs/>
                <w:i/>
                <w:iCs/>
                <w:color w:val="000000"/>
                <w:sz w:val="16"/>
                <w:szCs w:val="16"/>
                <w:lang w:eastAsia="en-AU"/>
              </w:rPr>
              <w:t xml:space="preserve">Burdekin </w:t>
            </w:r>
            <w:r w:rsidR="00943D89">
              <w:rPr>
                <w:rFonts w:ascii="Arial Narrow" w:hAnsi="Arial Narrow" w:cs="Arial"/>
                <w:b/>
                <w:bCs/>
                <w:i/>
                <w:iCs/>
                <w:color w:val="000000"/>
                <w:sz w:val="16"/>
                <w:szCs w:val="16"/>
                <w:lang w:eastAsia="en-AU"/>
              </w:rPr>
              <w:t>f</w:t>
            </w:r>
            <w:r w:rsidRPr="001861B8">
              <w:rPr>
                <w:rFonts w:ascii="Arial Narrow" w:hAnsi="Arial Narrow" w:cs="Arial"/>
                <w:b/>
                <w:bCs/>
                <w:i/>
                <w:iCs/>
                <w:color w:val="000000"/>
                <w:sz w:val="16"/>
                <w:szCs w:val="16"/>
                <w:lang w:eastAsia="en-AU"/>
              </w:rPr>
              <w:t xml:space="preserve">ocus </w:t>
            </w:r>
            <w:r w:rsidR="00943D89">
              <w:rPr>
                <w:rFonts w:ascii="Arial Narrow" w:hAnsi="Arial Narrow" w:cs="Arial"/>
                <w:b/>
                <w:bCs/>
                <w:i/>
                <w:iCs/>
                <w:color w:val="000000"/>
                <w:sz w:val="16"/>
                <w:szCs w:val="16"/>
                <w:lang w:eastAsia="en-AU"/>
              </w:rPr>
              <w:t>a</w:t>
            </w:r>
            <w:r w:rsidRPr="001861B8">
              <w:rPr>
                <w:rFonts w:ascii="Arial Narrow" w:hAnsi="Arial Narrow" w:cs="Arial"/>
                <w:b/>
                <w:bCs/>
                <w:i/>
                <w:iCs/>
                <w:color w:val="000000"/>
                <w:sz w:val="16"/>
                <w:szCs w:val="16"/>
                <w:lang w:eastAsia="en-AU"/>
              </w:rPr>
              <w:t>rea</w:t>
            </w:r>
          </w:p>
        </w:tc>
        <w:tc>
          <w:tcPr>
            <w:tcW w:w="414" w:type="pct"/>
            <w:shd w:val="clear" w:color="auto" w:fill="F2F2F2"/>
            <w:tcMar>
              <w:top w:w="0" w:type="dxa"/>
              <w:left w:w="108" w:type="dxa"/>
              <w:bottom w:w="0" w:type="dxa"/>
              <w:right w:w="108" w:type="dxa"/>
            </w:tcMar>
            <w:vAlign w:val="center"/>
            <w:hideMark/>
          </w:tcPr>
          <w:p w14:paraId="5D7ABAE8"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4861473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56F53F1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19829E8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4308E2A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hideMark/>
          </w:tcPr>
          <w:p w14:paraId="46EC2EA8" w14:textId="343762A4"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cPr>
          <w:p w14:paraId="6DC6C4E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7D7C1AD8" w14:textId="683BDEBD"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Up to 50 surface samples</w:t>
            </w:r>
          </w:p>
        </w:tc>
      </w:tr>
      <w:tr w:rsidR="00B02424" w:rsidRPr="001861B8" w14:paraId="0A9BFE05" w14:textId="77777777" w:rsidTr="00B02424">
        <w:tc>
          <w:tcPr>
            <w:tcW w:w="891" w:type="pct"/>
            <w:tcMar>
              <w:top w:w="0" w:type="dxa"/>
              <w:left w:w="108" w:type="dxa"/>
              <w:bottom w:w="0" w:type="dxa"/>
              <w:right w:w="108" w:type="dxa"/>
            </w:tcMar>
            <w:vAlign w:val="center"/>
            <w:hideMark/>
          </w:tcPr>
          <w:p w14:paraId="3F52899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Pelorus and Orpheus Island West</w:t>
            </w:r>
          </w:p>
        </w:tc>
        <w:tc>
          <w:tcPr>
            <w:tcW w:w="414" w:type="pct"/>
            <w:tcMar>
              <w:top w:w="0" w:type="dxa"/>
              <w:left w:w="108" w:type="dxa"/>
              <w:bottom w:w="0" w:type="dxa"/>
              <w:right w:w="108" w:type="dxa"/>
            </w:tcMar>
            <w:vAlign w:val="center"/>
            <w:hideMark/>
          </w:tcPr>
          <w:p w14:paraId="5C758800"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w:t>
            </w:r>
          </w:p>
        </w:tc>
        <w:tc>
          <w:tcPr>
            <w:tcW w:w="415" w:type="pct"/>
            <w:tcMar>
              <w:top w:w="0" w:type="dxa"/>
              <w:left w:w="108" w:type="dxa"/>
              <w:bottom w:w="0" w:type="dxa"/>
              <w:right w:w="108" w:type="dxa"/>
            </w:tcMar>
            <w:vAlign w:val="center"/>
            <w:hideMark/>
          </w:tcPr>
          <w:p w14:paraId="23EF448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146.489</w:t>
            </w:r>
          </w:p>
        </w:tc>
        <w:tc>
          <w:tcPr>
            <w:tcW w:w="426" w:type="pct"/>
            <w:tcMar>
              <w:top w:w="0" w:type="dxa"/>
              <w:left w:w="108" w:type="dxa"/>
              <w:bottom w:w="0" w:type="dxa"/>
              <w:right w:w="108" w:type="dxa"/>
            </w:tcMar>
            <w:vAlign w:val="center"/>
            <w:hideMark/>
          </w:tcPr>
          <w:p w14:paraId="2D25222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-18.541</w:t>
            </w:r>
          </w:p>
        </w:tc>
        <w:tc>
          <w:tcPr>
            <w:tcW w:w="424" w:type="pct"/>
            <w:tcMar>
              <w:top w:w="0" w:type="dxa"/>
              <w:left w:w="108" w:type="dxa"/>
              <w:bottom w:w="0" w:type="dxa"/>
              <w:right w:w="108" w:type="dxa"/>
            </w:tcMar>
            <w:vAlign w:val="center"/>
            <w:hideMark/>
          </w:tcPr>
          <w:p w14:paraId="049ADDC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4439C41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724D98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97" w:type="pct"/>
          </w:tcPr>
          <w:p w14:paraId="5BB935AE" w14:textId="77777777" w:rsidR="00B02424" w:rsidRPr="001861B8" w:rsidRDefault="00B02424" w:rsidP="00B02424">
            <w:pPr>
              <w:tabs>
                <w:tab w:val="left" w:pos="288"/>
              </w:tabs>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6B4D2BF3" w14:textId="77777777" w:rsidR="00B02424" w:rsidRPr="001861B8" w:rsidRDefault="00B02424" w:rsidP="00B02424">
            <w:pPr>
              <w:tabs>
                <w:tab w:val="left" w:pos="288"/>
              </w:tabs>
              <w:spacing w:before="0" w:after="0" w:line="240" w:lineRule="auto"/>
              <w:contextualSpacing/>
              <w:rPr>
                <w:rFonts w:ascii="Arial Narrow" w:hAnsi="Arial Narrow" w:cs="Arial"/>
                <w:bCs/>
                <w:color w:val="000000"/>
                <w:sz w:val="16"/>
                <w:szCs w:val="16"/>
                <w:lang w:eastAsia="en-AU"/>
              </w:rPr>
            </w:pPr>
          </w:p>
        </w:tc>
      </w:tr>
      <w:tr w:rsidR="00B02424" w:rsidRPr="001861B8" w14:paraId="7F2D595B" w14:textId="77777777" w:rsidTr="00B02424">
        <w:tc>
          <w:tcPr>
            <w:tcW w:w="891" w:type="pct"/>
            <w:tcMar>
              <w:top w:w="0" w:type="dxa"/>
              <w:left w:w="108" w:type="dxa"/>
              <w:bottom w:w="0" w:type="dxa"/>
              <w:right w:w="108" w:type="dxa"/>
            </w:tcMar>
            <w:vAlign w:val="center"/>
            <w:hideMark/>
          </w:tcPr>
          <w:p w14:paraId="1D6CB94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Pandora Reef</w:t>
            </w:r>
          </w:p>
        </w:tc>
        <w:tc>
          <w:tcPr>
            <w:tcW w:w="414" w:type="pct"/>
            <w:tcMar>
              <w:top w:w="0" w:type="dxa"/>
              <w:left w:w="108" w:type="dxa"/>
              <w:bottom w:w="0" w:type="dxa"/>
              <w:right w:w="108" w:type="dxa"/>
            </w:tcMar>
            <w:vAlign w:val="center"/>
            <w:hideMark/>
          </w:tcPr>
          <w:p w14:paraId="6F0D43EA"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BUR2</w:t>
            </w:r>
          </w:p>
        </w:tc>
        <w:tc>
          <w:tcPr>
            <w:tcW w:w="415" w:type="pct"/>
            <w:tcMar>
              <w:top w:w="0" w:type="dxa"/>
              <w:left w:w="108" w:type="dxa"/>
              <w:bottom w:w="0" w:type="dxa"/>
              <w:right w:w="108" w:type="dxa"/>
            </w:tcMar>
            <w:vAlign w:val="center"/>
            <w:hideMark/>
          </w:tcPr>
          <w:p w14:paraId="6AF367C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146.435</w:t>
            </w:r>
          </w:p>
        </w:tc>
        <w:tc>
          <w:tcPr>
            <w:tcW w:w="426" w:type="pct"/>
            <w:tcMar>
              <w:top w:w="0" w:type="dxa"/>
              <w:left w:w="108" w:type="dxa"/>
              <w:bottom w:w="0" w:type="dxa"/>
              <w:right w:w="108" w:type="dxa"/>
            </w:tcMar>
            <w:vAlign w:val="center"/>
            <w:hideMark/>
          </w:tcPr>
          <w:p w14:paraId="16E0722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-18.817</w:t>
            </w:r>
          </w:p>
        </w:tc>
        <w:tc>
          <w:tcPr>
            <w:tcW w:w="424" w:type="pct"/>
            <w:tcMar>
              <w:top w:w="0" w:type="dxa"/>
              <w:left w:w="108" w:type="dxa"/>
              <w:bottom w:w="0" w:type="dxa"/>
              <w:right w:w="108" w:type="dxa"/>
            </w:tcMar>
            <w:vAlign w:val="center"/>
            <w:hideMark/>
          </w:tcPr>
          <w:p w14:paraId="3B87A1E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5D59DD33"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B87CAA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97" w:type="pct"/>
          </w:tcPr>
          <w:p w14:paraId="0376AD2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7ADCAED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2586882" w14:textId="77777777" w:rsidTr="00B02424">
        <w:tc>
          <w:tcPr>
            <w:tcW w:w="891" w:type="pct"/>
            <w:tcMar>
              <w:top w:w="0" w:type="dxa"/>
              <w:left w:w="108" w:type="dxa"/>
              <w:bottom w:w="0" w:type="dxa"/>
              <w:right w:w="108" w:type="dxa"/>
            </w:tcMar>
            <w:vAlign w:val="center"/>
            <w:hideMark/>
          </w:tcPr>
          <w:p w14:paraId="09C9E8A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Cordelia Rocks</w:t>
            </w:r>
          </w:p>
        </w:tc>
        <w:tc>
          <w:tcPr>
            <w:tcW w:w="414" w:type="pct"/>
            <w:tcMar>
              <w:top w:w="0" w:type="dxa"/>
              <w:left w:w="108" w:type="dxa"/>
              <w:bottom w:w="0" w:type="dxa"/>
              <w:right w:w="108" w:type="dxa"/>
            </w:tcMar>
            <w:vAlign w:val="center"/>
            <w:hideMark/>
          </w:tcPr>
          <w:p w14:paraId="21F00EFD"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BUR3</w:t>
            </w:r>
          </w:p>
        </w:tc>
        <w:tc>
          <w:tcPr>
            <w:tcW w:w="415" w:type="pct"/>
            <w:tcMar>
              <w:top w:w="0" w:type="dxa"/>
              <w:left w:w="108" w:type="dxa"/>
              <w:bottom w:w="0" w:type="dxa"/>
              <w:right w:w="108" w:type="dxa"/>
            </w:tcMar>
            <w:vAlign w:val="center"/>
            <w:hideMark/>
          </w:tcPr>
          <w:p w14:paraId="117BC71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146.708</w:t>
            </w:r>
          </w:p>
        </w:tc>
        <w:tc>
          <w:tcPr>
            <w:tcW w:w="426" w:type="pct"/>
            <w:tcMar>
              <w:top w:w="0" w:type="dxa"/>
              <w:left w:w="108" w:type="dxa"/>
              <w:bottom w:w="0" w:type="dxa"/>
              <w:right w:w="108" w:type="dxa"/>
            </w:tcMar>
            <w:vAlign w:val="center"/>
            <w:hideMark/>
          </w:tcPr>
          <w:p w14:paraId="5491ACA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-18.998</w:t>
            </w:r>
          </w:p>
        </w:tc>
        <w:tc>
          <w:tcPr>
            <w:tcW w:w="424" w:type="pct"/>
            <w:tcMar>
              <w:top w:w="0" w:type="dxa"/>
              <w:left w:w="108" w:type="dxa"/>
              <w:bottom w:w="0" w:type="dxa"/>
              <w:right w:w="108" w:type="dxa"/>
            </w:tcMar>
            <w:vAlign w:val="center"/>
            <w:hideMark/>
          </w:tcPr>
          <w:p w14:paraId="739845D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3BC79D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09BD9A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55F957EC"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59AECF6D" w14:textId="4BD0052B"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42132446" w14:textId="77777777" w:rsidTr="00B02424">
        <w:tc>
          <w:tcPr>
            <w:tcW w:w="891" w:type="pct"/>
            <w:tcMar>
              <w:top w:w="0" w:type="dxa"/>
              <w:left w:w="108" w:type="dxa"/>
              <w:bottom w:w="0" w:type="dxa"/>
              <w:right w:w="108" w:type="dxa"/>
            </w:tcMar>
            <w:vAlign w:val="center"/>
            <w:hideMark/>
          </w:tcPr>
          <w:p w14:paraId="34AE09E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Magnetic Island (Geoffrey Bay)</w:t>
            </w:r>
          </w:p>
        </w:tc>
        <w:tc>
          <w:tcPr>
            <w:tcW w:w="414" w:type="pct"/>
            <w:tcMar>
              <w:top w:w="0" w:type="dxa"/>
              <w:left w:w="108" w:type="dxa"/>
              <w:bottom w:w="0" w:type="dxa"/>
              <w:right w:w="108" w:type="dxa"/>
            </w:tcMar>
            <w:vAlign w:val="center"/>
            <w:hideMark/>
          </w:tcPr>
          <w:p w14:paraId="13BE07F5"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BUR4</w:t>
            </w:r>
          </w:p>
        </w:tc>
        <w:tc>
          <w:tcPr>
            <w:tcW w:w="415" w:type="pct"/>
            <w:tcMar>
              <w:top w:w="0" w:type="dxa"/>
              <w:left w:w="108" w:type="dxa"/>
              <w:bottom w:w="0" w:type="dxa"/>
              <w:right w:w="108" w:type="dxa"/>
            </w:tcMar>
            <w:vAlign w:val="center"/>
            <w:hideMark/>
          </w:tcPr>
          <w:p w14:paraId="7C44083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146.869</w:t>
            </w:r>
          </w:p>
        </w:tc>
        <w:tc>
          <w:tcPr>
            <w:tcW w:w="426" w:type="pct"/>
            <w:tcMar>
              <w:top w:w="0" w:type="dxa"/>
              <w:left w:w="108" w:type="dxa"/>
              <w:bottom w:w="0" w:type="dxa"/>
              <w:right w:w="108" w:type="dxa"/>
            </w:tcMar>
            <w:vAlign w:val="center"/>
            <w:hideMark/>
          </w:tcPr>
          <w:p w14:paraId="58FBE10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-19.155</w:t>
            </w:r>
          </w:p>
        </w:tc>
        <w:tc>
          <w:tcPr>
            <w:tcW w:w="424" w:type="pct"/>
            <w:tcMar>
              <w:top w:w="0" w:type="dxa"/>
              <w:left w:w="108" w:type="dxa"/>
              <w:bottom w:w="0" w:type="dxa"/>
              <w:right w:w="108" w:type="dxa"/>
            </w:tcMar>
            <w:vAlign w:val="center"/>
            <w:hideMark/>
          </w:tcPr>
          <w:p w14:paraId="51F4821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2C3071B2"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986875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97" w:type="pct"/>
          </w:tcPr>
          <w:p w14:paraId="1903E27D"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451497D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E64F37" w:rsidRPr="001861B8" w14:paraId="65FCCC9C" w14:textId="77777777" w:rsidTr="00B02424">
        <w:tc>
          <w:tcPr>
            <w:tcW w:w="891" w:type="pct"/>
            <w:tcMar>
              <w:top w:w="0" w:type="dxa"/>
              <w:left w:w="108" w:type="dxa"/>
              <w:bottom w:w="0" w:type="dxa"/>
              <w:right w:w="108" w:type="dxa"/>
            </w:tcMar>
            <w:vAlign w:val="center"/>
            <w:hideMark/>
          </w:tcPr>
          <w:p w14:paraId="7363583C"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Inner Cleveland Bay</w:t>
            </w:r>
          </w:p>
        </w:tc>
        <w:tc>
          <w:tcPr>
            <w:tcW w:w="414" w:type="pct"/>
            <w:tcMar>
              <w:top w:w="0" w:type="dxa"/>
              <w:left w:w="108" w:type="dxa"/>
              <w:bottom w:w="0" w:type="dxa"/>
              <w:right w:w="108" w:type="dxa"/>
            </w:tcMar>
            <w:vAlign w:val="center"/>
            <w:hideMark/>
          </w:tcPr>
          <w:p w14:paraId="453CE896"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BUR5</w:t>
            </w:r>
          </w:p>
        </w:tc>
        <w:tc>
          <w:tcPr>
            <w:tcW w:w="415" w:type="pct"/>
            <w:tcMar>
              <w:top w:w="0" w:type="dxa"/>
              <w:left w:w="108" w:type="dxa"/>
              <w:bottom w:w="0" w:type="dxa"/>
              <w:right w:w="108" w:type="dxa"/>
            </w:tcMar>
            <w:vAlign w:val="center"/>
            <w:hideMark/>
          </w:tcPr>
          <w:p w14:paraId="4CB3A6D2"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146.853</w:t>
            </w:r>
          </w:p>
        </w:tc>
        <w:tc>
          <w:tcPr>
            <w:tcW w:w="426" w:type="pct"/>
            <w:tcMar>
              <w:top w:w="0" w:type="dxa"/>
              <w:left w:w="108" w:type="dxa"/>
              <w:bottom w:w="0" w:type="dxa"/>
              <w:right w:w="108" w:type="dxa"/>
            </w:tcMar>
            <w:vAlign w:val="center"/>
            <w:hideMark/>
          </w:tcPr>
          <w:p w14:paraId="2313A872"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-19.233</w:t>
            </w:r>
          </w:p>
        </w:tc>
        <w:tc>
          <w:tcPr>
            <w:tcW w:w="424" w:type="pct"/>
            <w:tcMar>
              <w:top w:w="0" w:type="dxa"/>
              <w:left w:w="108" w:type="dxa"/>
              <w:bottom w:w="0" w:type="dxa"/>
              <w:right w:w="108" w:type="dxa"/>
            </w:tcMar>
            <w:vAlign w:val="center"/>
            <w:hideMark/>
          </w:tcPr>
          <w:p w14:paraId="4431F54E"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B9C8DA6"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4FF2EAC0"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3524B299"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p>
        </w:tc>
        <w:tc>
          <w:tcPr>
            <w:tcW w:w="663" w:type="pct"/>
          </w:tcPr>
          <w:p w14:paraId="5BE4722B" w14:textId="0663296D" w:rsidR="00E64F37" w:rsidRPr="001861B8" w:rsidRDefault="00C835FD" w:rsidP="00E64F37">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E64F37" w:rsidRPr="001861B8" w14:paraId="7A932921" w14:textId="77777777" w:rsidTr="00B02424">
        <w:tc>
          <w:tcPr>
            <w:tcW w:w="891" w:type="pct"/>
            <w:tcMar>
              <w:top w:w="0" w:type="dxa"/>
              <w:left w:w="108" w:type="dxa"/>
              <w:bottom w:w="0" w:type="dxa"/>
              <w:right w:w="108" w:type="dxa"/>
            </w:tcMar>
            <w:vAlign w:val="center"/>
            <w:hideMark/>
          </w:tcPr>
          <w:p w14:paraId="2E427994"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Cape Cleveland</w:t>
            </w:r>
          </w:p>
        </w:tc>
        <w:tc>
          <w:tcPr>
            <w:tcW w:w="414" w:type="pct"/>
            <w:tcMar>
              <w:top w:w="0" w:type="dxa"/>
              <w:left w:w="108" w:type="dxa"/>
              <w:bottom w:w="0" w:type="dxa"/>
              <w:right w:w="108" w:type="dxa"/>
            </w:tcMar>
            <w:vAlign w:val="center"/>
            <w:hideMark/>
          </w:tcPr>
          <w:p w14:paraId="473EF4BD"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BUR6</w:t>
            </w:r>
          </w:p>
        </w:tc>
        <w:tc>
          <w:tcPr>
            <w:tcW w:w="415" w:type="pct"/>
            <w:tcMar>
              <w:top w:w="0" w:type="dxa"/>
              <w:left w:w="108" w:type="dxa"/>
              <w:bottom w:w="0" w:type="dxa"/>
              <w:right w:w="108" w:type="dxa"/>
            </w:tcMar>
            <w:vAlign w:val="center"/>
            <w:hideMark/>
          </w:tcPr>
          <w:p w14:paraId="553FC58F"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147.051</w:t>
            </w:r>
          </w:p>
        </w:tc>
        <w:tc>
          <w:tcPr>
            <w:tcW w:w="426" w:type="pct"/>
            <w:tcMar>
              <w:top w:w="0" w:type="dxa"/>
              <w:left w:w="108" w:type="dxa"/>
              <w:bottom w:w="0" w:type="dxa"/>
              <w:right w:w="108" w:type="dxa"/>
            </w:tcMar>
            <w:vAlign w:val="center"/>
            <w:hideMark/>
          </w:tcPr>
          <w:p w14:paraId="0A8AE30F"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-19.19</w:t>
            </w:r>
          </w:p>
        </w:tc>
        <w:tc>
          <w:tcPr>
            <w:tcW w:w="424" w:type="pct"/>
            <w:tcMar>
              <w:top w:w="0" w:type="dxa"/>
              <w:left w:w="108" w:type="dxa"/>
              <w:bottom w:w="0" w:type="dxa"/>
              <w:right w:w="108" w:type="dxa"/>
            </w:tcMar>
            <w:vAlign w:val="center"/>
            <w:hideMark/>
          </w:tcPr>
          <w:p w14:paraId="0D355D57"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534A907F"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E963352"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133BD32B"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p>
        </w:tc>
        <w:tc>
          <w:tcPr>
            <w:tcW w:w="663" w:type="pct"/>
          </w:tcPr>
          <w:p w14:paraId="7920CE31" w14:textId="2538F62B" w:rsidR="00E64F37" w:rsidRPr="001861B8" w:rsidRDefault="00C835FD" w:rsidP="00E64F37">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165EAE99" w14:textId="77777777" w:rsidTr="00B02424">
        <w:tc>
          <w:tcPr>
            <w:tcW w:w="891" w:type="pct"/>
            <w:tcMar>
              <w:top w:w="0" w:type="dxa"/>
              <w:left w:w="108" w:type="dxa"/>
              <w:bottom w:w="0" w:type="dxa"/>
              <w:right w:w="108" w:type="dxa"/>
            </w:tcMar>
            <w:vAlign w:val="center"/>
            <w:hideMark/>
          </w:tcPr>
          <w:p w14:paraId="7A9DD697"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Haughton 2</w:t>
            </w:r>
          </w:p>
        </w:tc>
        <w:tc>
          <w:tcPr>
            <w:tcW w:w="414" w:type="pct"/>
            <w:tcMar>
              <w:top w:w="0" w:type="dxa"/>
              <w:left w:w="108" w:type="dxa"/>
              <w:bottom w:w="0" w:type="dxa"/>
              <w:right w:w="108" w:type="dxa"/>
            </w:tcMar>
            <w:vAlign w:val="center"/>
            <w:hideMark/>
          </w:tcPr>
          <w:p w14:paraId="143E4596"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BUR7</w:t>
            </w:r>
          </w:p>
        </w:tc>
        <w:tc>
          <w:tcPr>
            <w:tcW w:w="415" w:type="pct"/>
            <w:tcMar>
              <w:top w:w="0" w:type="dxa"/>
              <w:left w:w="108" w:type="dxa"/>
              <w:bottom w:w="0" w:type="dxa"/>
              <w:right w:w="108" w:type="dxa"/>
            </w:tcMar>
            <w:vAlign w:val="center"/>
            <w:hideMark/>
          </w:tcPr>
          <w:p w14:paraId="3400402B"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147.174</w:t>
            </w:r>
          </w:p>
        </w:tc>
        <w:tc>
          <w:tcPr>
            <w:tcW w:w="426" w:type="pct"/>
            <w:tcMar>
              <w:top w:w="0" w:type="dxa"/>
              <w:left w:w="108" w:type="dxa"/>
              <w:bottom w:w="0" w:type="dxa"/>
              <w:right w:w="108" w:type="dxa"/>
            </w:tcMar>
            <w:vAlign w:val="center"/>
            <w:hideMark/>
          </w:tcPr>
          <w:p w14:paraId="08AA7FB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-19.283</w:t>
            </w:r>
          </w:p>
        </w:tc>
        <w:tc>
          <w:tcPr>
            <w:tcW w:w="424" w:type="pct"/>
            <w:tcMar>
              <w:top w:w="0" w:type="dxa"/>
              <w:left w:w="108" w:type="dxa"/>
              <w:bottom w:w="0" w:type="dxa"/>
              <w:right w:w="108" w:type="dxa"/>
            </w:tcMar>
            <w:vAlign w:val="center"/>
            <w:hideMark/>
          </w:tcPr>
          <w:p w14:paraId="0FF1B3D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68D39B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2EAF51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4 (Sampling 2 depths)</w:t>
            </w:r>
          </w:p>
        </w:tc>
        <w:tc>
          <w:tcPr>
            <w:tcW w:w="697" w:type="pct"/>
          </w:tcPr>
          <w:p w14:paraId="7AC88F1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7B26B0E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E64F37" w:rsidRPr="001861B8" w14:paraId="27D3BDDB" w14:textId="77777777" w:rsidTr="00B02424">
        <w:tc>
          <w:tcPr>
            <w:tcW w:w="891" w:type="pct"/>
            <w:tcMar>
              <w:top w:w="0" w:type="dxa"/>
              <w:left w:w="108" w:type="dxa"/>
              <w:bottom w:w="0" w:type="dxa"/>
              <w:right w:w="108" w:type="dxa"/>
            </w:tcMar>
            <w:vAlign w:val="center"/>
            <w:hideMark/>
          </w:tcPr>
          <w:p w14:paraId="495CDB1B"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Haughton River mouth</w:t>
            </w:r>
          </w:p>
        </w:tc>
        <w:tc>
          <w:tcPr>
            <w:tcW w:w="414" w:type="pct"/>
            <w:tcMar>
              <w:top w:w="0" w:type="dxa"/>
              <w:left w:w="108" w:type="dxa"/>
              <w:bottom w:w="0" w:type="dxa"/>
              <w:right w:w="108" w:type="dxa"/>
            </w:tcMar>
            <w:vAlign w:val="center"/>
            <w:hideMark/>
          </w:tcPr>
          <w:p w14:paraId="0A4E6524"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BUR8</w:t>
            </w:r>
          </w:p>
        </w:tc>
        <w:tc>
          <w:tcPr>
            <w:tcW w:w="415" w:type="pct"/>
            <w:tcMar>
              <w:top w:w="0" w:type="dxa"/>
              <w:left w:w="108" w:type="dxa"/>
              <w:bottom w:w="0" w:type="dxa"/>
              <w:right w:w="108" w:type="dxa"/>
            </w:tcMar>
            <w:vAlign w:val="center"/>
            <w:hideMark/>
          </w:tcPr>
          <w:p w14:paraId="7C8AD0BE"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147.141</w:t>
            </w:r>
          </w:p>
        </w:tc>
        <w:tc>
          <w:tcPr>
            <w:tcW w:w="426" w:type="pct"/>
            <w:tcMar>
              <w:top w:w="0" w:type="dxa"/>
              <w:left w:w="108" w:type="dxa"/>
              <w:bottom w:w="0" w:type="dxa"/>
              <w:right w:w="108" w:type="dxa"/>
            </w:tcMar>
            <w:vAlign w:val="center"/>
            <w:hideMark/>
          </w:tcPr>
          <w:p w14:paraId="747711D7"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-19.367</w:t>
            </w:r>
          </w:p>
        </w:tc>
        <w:tc>
          <w:tcPr>
            <w:tcW w:w="424" w:type="pct"/>
            <w:tcMar>
              <w:top w:w="0" w:type="dxa"/>
              <w:left w:w="108" w:type="dxa"/>
              <w:bottom w:w="0" w:type="dxa"/>
              <w:right w:w="108" w:type="dxa"/>
            </w:tcMar>
            <w:vAlign w:val="center"/>
            <w:hideMark/>
          </w:tcPr>
          <w:p w14:paraId="16F45906"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707EEA8"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465B74B4"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3D98F6C8"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p>
        </w:tc>
        <w:tc>
          <w:tcPr>
            <w:tcW w:w="663" w:type="pct"/>
          </w:tcPr>
          <w:p w14:paraId="304024E2" w14:textId="1548929C" w:rsidR="00E64F37" w:rsidRPr="001861B8" w:rsidRDefault="00C835FD" w:rsidP="00E64F37">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E64F37" w:rsidRPr="001861B8" w14:paraId="6779CE91" w14:textId="77777777" w:rsidTr="00B02424">
        <w:tc>
          <w:tcPr>
            <w:tcW w:w="891" w:type="pct"/>
            <w:tcMar>
              <w:top w:w="0" w:type="dxa"/>
              <w:left w:w="108" w:type="dxa"/>
              <w:bottom w:w="0" w:type="dxa"/>
              <w:right w:w="108" w:type="dxa"/>
            </w:tcMar>
            <w:vAlign w:val="center"/>
            <w:hideMark/>
          </w:tcPr>
          <w:p w14:paraId="0127468A"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Barratta Creek*</w:t>
            </w:r>
          </w:p>
        </w:tc>
        <w:tc>
          <w:tcPr>
            <w:tcW w:w="414" w:type="pct"/>
            <w:tcMar>
              <w:top w:w="0" w:type="dxa"/>
              <w:left w:w="108" w:type="dxa"/>
              <w:bottom w:w="0" w:type="dxa"/>
              <w:right w:w="108" w:type="dxa"/>
            </w:tcMar>
            <w:vAlign w:val="center"/>
            <w:hideMark/>
          </w:tcPr>
          <w:p w14:paraId="5AC9D6A7"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BUR9</w:t>
            </w:r>
          </w:p>
        </w:tc>
        <w:tc>
          <w:tcPr>
            <w:tcW w:w="415" w:type="pct"/>
            <w:tcMar>
              <w:top w:w="0" w:type="dxa"/>
              <w:left w:w="108" w:type="dxa"/>
              <w:bottom w:w="0" w:type="dxa"/>
              <w:right w:w="108" w:type="dxa"/>
            </w:tcMar>
            <w:vAlign w:val="center"/>
            <w:hideMark/>
          </w:tcPr>
          <w:p w14:paraId="0C3C9931"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147.249</w:t>
            </w:r>
          </w:p>
        </w:tc>
        <w:tc>
          <w:tcPr>
            <w:tcW w:w="426" w:type="pct"/>
            <w:tcMar>
              <w:top w:w="0" w:type="dxa"/>
              <w:left w:w="108" w:type="dxa"/>
              <w:bottom w:w="0" w:type="dxa"/>
              <w:right w:w="108" w:type="dxa"/>
            </w:tcMar>
            <w:vAlign w:val="center"/>
            <w:hideMark/>
          </w:tcPr>
          <w:p w14:paraId="0BCDA78C"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-19.409</w:t>
            </w:r>
          </w:p>
        </w:tc>
        <w:tc>
          <w:tcPr>
            <w:tcW w:w="424" w:type="pct"/>
            <w:tcMar>
              <w:top w:w="0" w:type="dxa"/>
              <w:left w:w="108" w:type="dxa"/>
              <w:bottom w:w="0" w:type="dxa"/>
              <w:right w:w="108" w:type="dxa"/>
            </w:tcMar>
            <w:vAlign w:val="center"/>
            <w:hideMark/>
          </w:tcPr>
          <w:p w14:paraId="6BA168EB"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2A42EF04"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4D838CE"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56081432"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p>
        </w:tc>
        <w:tc>
          <w:tcPr>
            <w:tcW w:w="663" w:type="pct"/>
          </w:tcPr>
          <w:p w14:paraId="0EFBA872" w14:textId="1C2D2CFC" w:rsidR="00E64F37" w:rsidRPr="001861B8" w:rsidRDefault="00C835FD" w:rsidP="00E64F37">
            <w:pPr>
              <w:spacing w:before="0" w:after="0" w:line="240" w:lineRule="auto"/>
              <w:contextualSpacing/>
              <w:rPr>
                <w:rFonts w:ascii="Arial Narrow" w:hAnsi="Arial Narrow" w:cs="Arial"/>
                <w:bCs/>
                <w:color w:val="FF0000"/>
                <w:sz w:val="16"/>
                <w:szCs w:val="16"/>
                <w:lang w:eastAsia="en-AU"/>
              </w:rPr>
            </w:pPr>
            <w:r>
              <w:rPr>
                <w:rFonts w:ascii="Arial Narrow" w:hAnsi="Arial Narrow" w:cs="Arial"/>
                <w:bCs/>
                <w:color w:val="000000"/>
                <w:sz w:val="16"/>
                <w:szCs w:val="16"/>
                <w:lang w:eastAsia="en-AU"/>
              </w:rPr>
              <w:t>Surface sampling only</w:t>
            </w:r>
          </w:p>
        </w:tc>
      </w:tr>
      <w:tr w:rsidR="00B02424" w:rsidRPr="001861B8" w14:paraId="64CC0A1D" w14:textId="77777777" w:rsidTr="00B02424">
        <w:tc>
          <w:tcPr>
            <w:tcW w:w="891" w:type="pct"/>
            <w:tcMar>
              <w:top w:w="0" w:type="dxa"/>
              <w:left w:w="108" w:type="dxa"/>
              <w:bottom w:w="0" w:type="dxa"/>
              <w:right w:w="108" w:type="dxa"/>
            </w:tcMar>
            <w:vAlign w:val="center"/>
            <w:hideMark/>
          </w:tcPr>
          <w:p w14:paraId="46F6708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Yongala IMOS NRS</w:t>
            </w:r>
          </w:p>
        </w:tc>
        <w:tc>
          <w:tcPr>
            <w:tcW w:w="414" w:type="pct"/>
            <w:tcMar>
              <w:top w:w="0" w:type="dxa"/>
              <w:left w:w="108" w:type="dxa"/>
              <w:bottom w:w="0" w:type="dxa"/>
              <w:right w:w="108" w:type="dxa"/>
            </w:tcMar>
            <w:vAlign w:val="center"/>
            <w:hideMark/>
          </w:tcPr>
          <w:p w14:paraId="77471147"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BUR10</w:t>
            </w:r>
          </w:p>
        </w:tc>
        <w:tc>
          <w:tcPr>
            <w:tcW w:w="415" w:type="pct"/>
            <w:tcMar>
              <w:top w:w="0" w:type="dxa"/>
              <w:left w:w="108" w:type="dxa"/>
              <w:bottom w:w="0" w:type="dxa"/>
              <w:right w:w="108" w:type="dxa"/>
            </w:tcMar>
            <w:vAlign w:val="center"/>
            <w:hideMark/>
          </w:tcPr>
          <w:p w14:paraId="7C6EB9C4"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147.622</w:t>
            </w:r>
          </w:p>
        </w:tc>
        <w:tc>
          <w:tcPr>
            <w:tcW w:w="426" w:type="pct"/>
            <w:tcMar>
              <w:top w:w="0" w:type="dxa"/>
              <w:left w:w="108" w:type="dxa"/>
              <w:bottom w:w="0" w:type="dxa"/>
              <w:right w:w="108" w:type="dxa"/>
            </w:tcMar>
            <w:vAlign w:val="center"/>
            <w:hideMark/>
          </w:tcPr>
          <w:p w14:paraId="3ED9807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-19.305</w:t>
            </w:r>
          </w:p>
        </w:tc>
        <w:tc>
          <w:tcPr>
            <w:tcW w:w="424" w:type="pct"/>
            <w:tcMar>
              <w:top w:w="0" w:type="dxa"/>
              <w:left w:w="108" w:type="dxa"/>
              <w:bottom w:w="0" w:type="dxa"/>
              <w:right w:w="108" w:type="dxa"/>
            </w:tcMar>
            <w:vAlign w:val="center"/>
            <w:hideMark/>
          </w:tcPr>
          <w:p w14:paraId="39228DE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7DABB37B"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3F117596"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12 (Sampling 2 depths)</w:t>
            </w:r>
          </w:p>
        </w:tc>
        <w:tc>
          <w:tcPr>
            <w:tcW w:w="697" w:type="pct"/>
          </w:tcPr>
          <w:p w14:paraId="1BD8D7BB"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tcPr>
          <w:p w14:paraId="68D8EB69"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E64F37" w:rsidRPr="001861B8" w14:paraId="50BA02A1" w14:textId="77777777" w:rsidTr="00B02424">
        <w:tc>
          <w:tcPr>
            <w:tcW w:w="891" w:type="pct"/>
            <w:tcMar>
              <w:top w:w="0" w:type="dxa"/>
              <w:left w:w="108" w:type="dxa"/>
              <w:bottom w:w="0" w:type="dxa"/>
              <w:right w:w="108" w:type="dxa"/>
            </w:tcMar>
            <w:vAlign w:val="center"/>
            <w:hideMark/>
          </w:tcPr>
          <w:p w14:paraId="02ACD4C1"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Cape Bowling Green</w:t>
            </w:r>
          </w:p>
        </w:tc>
        <w:tc>
          <w:tcPr>
            <w:tcW w:w="414" w:type="pct"/>
            <w:tcMar>
              <w:top w:w="0" w:type="dxa"/>
              <w:left w:w="108" w:type="dxa"/>
              <w:bottom w:w="0" w:type="dxa"/>
              <w:right w:w="108" w:type="dxa"/>
            </w:tcMar>
            <w:vAlign w:val="center"/>
            <w:hideMark/>
          </w:tcPr>
          <w:p w14:paraId="3B6A97E7"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BUR11</w:t>
            </w:r>
          </w:p>
        </w:tc>
        <w:tc>
          <w:tcPr>
            <w:tcW w:w="415" w:type="pct"/>
            <w:tcMar>
              <w:top w:w="0" w:type="dxa"/>
              <w:left w:w="108" w:type="dxa"/>
              <w:bottom w:w="0" w:type="dxa"/>
              <w:right w:w="108" w:type="dxa"/>
            </w:tcMar>
            <w:vAlign w:val="center"/>
            <w:hideMark/>
          </w:tcPr>
          <w:p w14:paraId="03523DB5"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147.488</w:t>
            </w:r>
          </w:p>
        </w:tc>
        <w:tc>
          <w:tcPr>
            <w:tcW w:w="426" w:type="pct"/>
            <w:tcMar>
              <w:top w:w="0" w:type="dxa"/>
              <w:left w:w="108" w:type="dxa"/>
              <w:bottom w:w="0" w:type="dxa"/>
              <w:right w:w="108" w:type="dxa"/>
            </w:tcMar>
            <w:vAlign w:val="center"/>
            <w:hideMark/>
          </w:tcPr>
          <w:p w14:paraId="0516097F"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-19.367</w:t>
            </w:r>
          </w:p>
        </w:tc>
        <w:tc>
          <w:tcPr>
            <w:tcW w:w="424" w:type="pct"/>
            <w:tcMar>
              <w:top w:w="0" w:type="dxa"/>
              <w:left w:w="108" w:type="dxa"/>
              <w:bottom w:w="0" w:type="dxa"/>
              <w:right w:w="108" w:type="dxa"/>
            </w:tcMar>
            <w:vAlign w:val="center"/>
            <w:hideMark/>
          </w:tcPr>
          <w:p w14:paraId="3976FE38"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250373D7"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07FD0EE"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127EFB6D"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p>
        </w:tc>
        <w:tc>
          <w:tcPr>
            <w:tcW w:w="663" w:type="pct"/>
          </w:tcPr>
          <w:p w14:paraId="2C804A95" w14:textId="0C238FE0" w:rsidR="00E64F37" w:rsidRPr="001861B8" w:rsidRDefault="00C835FD" w:rsidP="00E64F37">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E64F37" w:rsidRPr="001861B8" w14:paraId="17A85C77" w14:textId="77777777" w:rsidTr="00B02424">
        <w:tc>
          <w:tcPr>
            <w:tcW w:w="891" w:type="pct"/>
            <w:tcMar>
              <w:top w:w="0" w:type="dxa"/>
              <w:left w:w="108" w:type="dxa"/>
              <w:bottom w:w="0" w:type="dxa"/>
              <w:right w:w="108" w:type="dxa"/>
            </w:tcMar>
            <w:vAlign w:val="center"/>
            <w:hideMark/>
          </w:tcPr>
          <w:p w14:paraId="0B03C5CA"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Plantation Creek</w:t>
            </w:r>
          </w:p>
        </w:tc>
        <w:tc>
          <w:tcPr>
            <w:tcW w:w="414" w:type="pct"/>
            <w:tcMar>
              <w:top w:w="0" w:type="dxa"/>
              <w:left w:w="108" w:type="dxa"/>
              <w:bottom w:w="0" w:type="dxa"/>
              <w:right w:w="108" w:type="dxa"/>
            </w:tcMar>
            <w:vAlign w:val="center"/>
            <w:hideMark/>
          </w:tcPr>
          <w:p w14:paraId="2AC78E0E"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BUR12</w:t>
            </w:r>
          </w:p>
        </w:tc>
        <w:tc>
          <w:tcPr>
            <w:tcW w:w="415" w:type="pct"/>
            <w:tcMar>
              <w:top w:w="0" w:type="dxa"/>
              <w:left w:w="108" w:type="dxa"/>
              <w:bottom w:w="0" w:type="dxa"/>
              <w:right w:w="108" w:type="dxa"/>
            </w:tcMar>
            <w:vAlign w:val="center"/>
            <w:hideMark/>
          </w:tcPr>
          <w:p w14:paraId="44A1875A"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147.603</w:t>
            </w:r>
          </w:p>
        </w:tc>
        <w:tc>
          <w:tcPr>
            <w:tcW w:w="426" w:type="pct"/>
            <w:tcMar>
              <w:top w:w="0" w:type="dxa"/>
              <w:left w:w="108" w:type="dxa"/>
              <w:bottom w:w="0" w:type="dxa"/>
              <w:right w:w="108" w:type="dxa"/>
            </w:tcMar>
            <w:vAlign w:val="center"/>
            <w:hideMark/>
          </w:tcPr>
          <w:p w14:paraId="03D2607D"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-19.506</w:t>
            </w:r>
          </w:p>
        </w:tc>
        <w:tc>
          <w:tcPr>
            <w:tcW w:w="424" w:type="pct"/>
            <w:tcMar>
              <w:top w:w="0" w:type="dxa"/>
              <w:left w:w="108" w:type="dxa"/>
              <w:bottom w:w="0" w:type="dxa"/>
              <w:right w:w="108" w:type="dxa"/>
            </w:tcMar>
            <w:vAlign w:val="center"/>
            <w:hideMark/>
          </w:tcPr>
          <w:p w14:paraId="38CC5841"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12627BF9"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73AC86F"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55284761"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p>
        </w:tc>
        <w:tc>
          <w:tcPr>
            <w:tcW w:w="663" w:type="pct"/>
          </w:tcPr>
          <w:p w14:paraId="05473427" w14:textId="4B532D10" w:rsidR="00E64F37" w:rsidRPr="001861B8" w:rsidRDefault="00A7734A" w:rsidP="00E64F37">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4EF3EF37" w14:textId="77777777" w:rsidTr="00B02424">
        <w:tc>
          <w:tcPr>
            <w:tcW w:w="891" w:type="pct"/>
            <w:tcMar>
              <w:top w:w="0" w:type="dxa"/>
              <w:left w:w="108" w:type="dxa"/>
              <w:bottom w:w="0" w:type="dxa"/>
              <w:right w:w="108" w:type="dxa"/>
            </w:tcMar>
            <w:vAlign w:val="center"/>
            <w:hideMark/>
          </w:tcPr>
          <w:p w14:paraId="30EFFFB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Burdekin River mouth mooring</w:t>
            </w:r>
          </w:p>
        </w:tc>
        <w:tc>
          <w:tcPr>
            <w:tcW w:w="414" w:type="pct"/>
            <w:tcMar>
              <w:top w:w="0" w:type="dxa"/>
              <w:left w:w="108" w:type="dxa"/>
              <w:bottom w:w="0" w:type="dxa"/>
              <w:right w:w="108" w:type="dxa"/>
            </w:tcMar>
            <w:vAlign w:val="center"/>
            <w:hideMark/>
          </w:tcPr>
          <w:p w14:paraId="0232226B"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BUR13</w:t>
            </w:r>
          </w:p>
        </w:tc>
        <w:tc>
          <w:tcPr>
            <w:tcW w:w="415" w:type="pct"/>
            <w:tcMar>
              <w:top w:w="0" w:type="dxa"/>
              <w:left w:w="108" w:type="dxa"/>
              <w:bottom w:w="0" w:type="dxa"/>
              <w:right w:w="108" w:type="dxa"/>
            </w:tcMar>
            <w:vAlign w:val="center"/>
            <w:hideMark/>
          </w:tcPr>
          <w:p w14:paraId="585F1DEA"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147.582</w:t>
            </w:r>
          </w:p>
        </w:tc>
        <w:tc>
          <w:tcPr>
            <w:tcW w:w="426" w:type="pct"/>
            <w:tcMar>
              <w:top w:w="0" w:type="dxa"/>
              <w:left w:w="108" w:type="dxa"/>
              <w:bottom w:w="0" w:type="dxa"/>
              <w:right w:w="108" w:type="dxa"/>
            </w:tcMar>
            <w:vAlign w:val="center"/>
            <w:hideMark/>
          </w:tcPr>
          <w:p w14:paraId="540B78F2"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-19.588</w:t>
            </w:r>
          </w:p>
        </w:tc>
        <w:tc>
          <w:tcPr>
            <w:tcW w:w="424" w:type="pct"/>
            <w:tcMar>
              <w:top w:w="0" w:type="dxa"/>
              <w:left w:w="108" w:type="dxa"/>
              <w:bottom w:w="0" w:type="dxa"/>
              <w:right w:w="108" w:type="dxa"/>
            </w:tcMar>
            <w:vAlign w:val="center"/>
            <w:hideMark/>
          </w:tcPr>
          <w:p w14:paraId="572BABB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4167501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33795110"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5027953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63" w:type="pct"/>
          </w:tcPr>
          <w:p w14:paraId="19939CD2"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E64F37" w:rsidRPr="001861B8" w14:paraId="34380622" w14:textId="77777777" w:rsidTr="00B02424">
        <w:tc>
          <w:tcPr>
            <w:tcW w:w="891" w:type="pct"/>
            <w:tcMar>
              <w:top w:w="0" w:type="dxa"/>
              <w:left w:w="108" w:type="dxa"/>
              <w:bottom w:w="0" w:type="dxa"/>
              <w:right w:w="108" w:type="dxa"/>
            </w:tcMar>
            <w:vAlign w:val="center"/>
            <w:hideMark/>
          </w:tcPr>
          <w:p w14:paraId="7F2D0364"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Burdekin Mouth 2</w:t>
            </w:r>
          </w:p>
        </w:tc>
        <w:tc>
          <w:tcPr>
            <w:tcW w:w="414" w:type="pct"/>
            <w:tcMar>
              <w:top w:w="0" w:type="dxa"/>
              <w:left w:w="108" w:type="dxa"/>
              <w:bottom w:w="0" w:type="dxa"/>
              <w:right w:w="108" w:type="dxa"/>
            </w:tcMar>
            <w:vAlign w:val="center"/>
            <w:hideMark/>
          </w:tcPr>
          <w:p w14:paraId="7CE8218A"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BUR14</w:t>
            </w:r>
          </w:p>
        </w:tc>
        <w:tc>
          <w:tcPr>
            <w:tcW w:w="415" w:type="pct"/>
            <w:tcMar>
              <w:top w:w="0" w:type="dxa"/>
              <w:left w:w="108" w:type="dxa"/>
              <w:bottom w:w="0" w:type="dxa"/>
              <w:right w:w="108" w:type="dxa"/>
            </w:tcMar>
            <w:vAlign w:val="center"/>
            <w:hideMark/>
          </w:tcPr>
          <w:p w14:paraId="705BA20B"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147.597</w:t>
            </w:r>
          </w:p>
        </w:tc>
        <w:tc>
          <w:tcPr>
            <w:tcW w:w="426" w:type="pct"/>
            <w:tcMar>
              <w:top w:w="0" w:type="dxa"/>
              <w:left w:w="108" w:type="dxa"/>
              <w:bottom w:w="0" w:type="dxa"/>
              <w:right w:w="108" w:type="dxa"/>
            </w:tcMar>
            <w:vAlign w:val="center"/>
            <w:hideMark/>
          </w:tcPr>
          <w:p w14:paraId="06646407"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-19.637</w:t>
            </w:r>
          </w:p>
        </w:tc>
        <w:tc>
          <w:tcPr>
            <w:tcW w:w="424" w:type="pct"/>
            <w:tcMar>
              <w:top w:w="0" w:type="dxa"/>
              <w:left w:w="108" w:type="dxa"/>
              <w:bottom w:w="0" w:type="dxa"/>
              <w:right w:w="108" w:type="dxa"/>
            </w:tcMar>
            <w:vAlign w:val="center"/>
            <w:hideMark/>
          </w:tcPr>
          <w:p w14:paraId="545E26E6"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B0734E6"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1E853240"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76E57ACB"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p>
        </w:tc>
        <w:tc>
          <w:tcPr>
            <w:tcW w:w="663" w:type="pct"/>
          </w:tcPr>
          <w:p w14:paraId="5CA4AAC4" w14:textId="50F48A7D" w:rsidR="00E64F37" w:rsidRPr="001861B8" w:rsidRDefault="00C835FD" w:rsidP="00E64F37">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E64F37" w:rsidRPr="001861B8" w14:paraId="48826B2A" w14:textId="77777777" w:rsidTr="00B02424">
        <w:tc>
          <w:tcPr>
            <w:tcW w:w="891" w:type="pct"/>
            <w:tcMar>
              <w:top w:w="0" w:type="dxa"/>
              <w:left w:w="108" w:type="dxa"/>
              <w:bottom w:w="0" w:type="dxa"/>
              <w:right w:w="108" w:type="dxa"/>
            </w:tcMar>
            <w:vAlign w:val="center"/>
            <w:hideMark/>
          </w:tcPr>
          <w:p w14:paraId="64501387"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Burdekin Mouth 3</w:t>
            </w:r>
          </w:p>
        </w:tc>
        <w:tc>
          <w:tcPr>
            <w:tcW w:w="414" w:type="pct"/>
            <w:tcMar>
              <w:top w:w="0" w:type="dxa"/>
              <w:left w:w="108" w:type="dxa"/>
              <w:bottom w:w="0" w:type="dxa"/>
              <w:right w:w="108" w:type="dxa"/>
            </w:tcMar>
            <w:vAlign w:val="center"/>
            <w:hideMark/>
          </w:tcPr>
          <w:p w14:paraId="6F09FF53"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BUR15</w:t>
            </w:r>
          </w:p>
        </w:tc>
        <w:tc>
          <w:tcPr>
            <w:tcW w:w="415" w:type="pct"/>
            <w:tcMar>
              <w:top w:w="0" w:type="dxa"/>
              <w:left w:w="108" w:type="dxa"/>
              <w:bottom w:w="0" w:type="dxa"/>
              <w:right w:w="108" w:type="dxa"/>
            </w:tcMar>
            <w:vAlign w:val="center"/>
            <w:hideMark/>
          </w:tcPr>
          <w:p w14:paraId="6D9518D2"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147.623</w:t>
            </w:r>
          </w:p>
        </w:tc>
        <w:tc>
          <w:tcPr>
            <w:tcW w:w="426" w:type="pct"/>
            <w:tcMar>
              <w:top w:w="0" w:type="dxa"/>
              <w:left w:w="108" w:type="dxa"/>
              <w:bottom w:w="0" w:type="dxa"/>
              <w:right w:w="108" w:type="dxa"/>
            </w:tcMar>
            <w:vAlign w:val="center"/>
            <w:hideMark/>
          </w:tcPr>
          <w:p w14:paraId="0BE6324B"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-19.719</w:t>
            </w:r>
          </w:p>
        </w:tc>
        <w:tc>
          <w:tcPr>
            <w:tcW w:w="424" w:type="pct"/>
            <w:tcMar>
              <w:top w:w="0" w:type="dxa"/>
              <w:left w:w="108" w:type="dxa"/>
              <w:bottom w:w="0" w:type="dxa"/>
              <w:right w:w="108" w:type="dxa"/>
            </w:tcMar>
            <w:vAlign w:val="center"/>
            <w:hideMark/>
          </w:tcPr>
          <w:p w14:paraId="1924206B"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19FC730E"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04D68CD2"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35E518A0"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p>
        </w:tc>
        <w:tc>
          <w:tcPr>
            <w:tcW w:w="663" w:type="pct"/>
          </w:tcPr>
          <w:p w14:paraId="30EE7EC7" w14:textId="5071C8C8" w:rsidR="00E64F37" w:rsidRPr="001861B8" w:rsidRDefault="00C835FD" w:rsidP="00E64F37">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Surface sampling only</w:t>
            </w:r>
          </w:p>
        </w:tc>
      </w:tr>
      <w:tr w:rsidR="00B02424" w:rsidRPr="001861B8" w14:paraId="47A3E2BB" w14:textId="77777777" w:rsidTr="00B02424">
        <w:tc>
          <w:tcPr>
            <w:tcW w:w="891" w:type="pct"/>
            <w:shd w:val="clear" w:color="auto" w:fill="F2F2F2"/>
            <w:tcMar>
              <w:top w:w="0" w:type="dxa"/>
              <w:left w:w="108" w:type="dxa"/>
              <w:bottom w:w="0" w:type="dxa"/>
              <w:right w:w="108" w:type="dxa"/>
            </w:tcMar>
            <w:vAlign w:val="center"/>
            <w:hideMark/>
          </w:tcPr>
          <w:p w14:paraId="4E56000D" w14:textId="77777777" w:rsidR="00B02424" w:rsidRPr="001861B8" w:rsidRDefault="006E4035" w:rsidP="00B02424">
            <w:pPr>
              <w:spacing w:before="0" w:after="0" w:line="240" w:lineRule="auto"/>
              <w:contextualSpacing/>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MACKAY WHITSUNDAY</w:t>
            </w:r>
          </w:p>
        </w:tc>
        <w:tc>
          <w:tcPr>
            <w:tcW w:w="414" w:type="pct"/>
            <w:shd w:val="clear" w:color="auto" w:fill="F2F2F2"/>
            <w:tcMar>
              <w:top w:w="0" w:type="dxa"/>
              <w:left w:w="108" w:type="dxa"/>
              <w:bottom w:w="0" w:type="dxa"/>
              <w:right w:w="108" w:type="dxa"/>
            </w:tcMar>
            <w:vAlign w:val="center"/>
            <w:hideMark/>
          </w:tcPr>
          <w:p w14:paraId="544CCBB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2130E36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6B90ED2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31E6482F"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6A6BFF4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hideMark/>
          </w:tcPr>
          <w:p w14:paraId="4C2D1637"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shd w:val="clear" w:color="auto" w:fill="F2F2F2"/>
          </w:tcPr>
          <w:p w14:paraId="78BA2A7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18FD474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r>
      <w:tr w:rsidR="00B02424" w:rsidRPr="001861B8" w14:paraId="286DAFDB" w14:textId="77777777" w:rsidTr="00B02424">
        <w:tc>
          <w:tcPr>
            <w:tcW w:w="891" w:type="pct"/>
            <w:shd w:val="clear" w:color="auto" w:fill="F2F2F2"/>
            <w:tcMar>
              <w:top w:w="0" w:type="dxa"/>
              <w:left w:w="108" w:type="dxa"/>
              <w:bottom w:w="0" w:type="dxa"/>
              <w:right w:w="108" w:type="dxa"/>
            </w:tcMar>
            <w:vAlign w:val="center"/>
            <w:hideMark/>
          </w:tcPr>
          <w:p w14:paraId="753DF067" w14:textId="77777777" w:rsidR="00B02424" w:rsidRPr="001861B8" w:rsidRDefault="00B02424" w:rsidP="00B02424">
            <w:pPr>
              <w:spacing w:before="0" w:after="0" w:line="240" w:lineRule="auto"/>
              <w:contextualSpacing/>
              <w:rPr>
                <w:rFonts w:ascii="Arial Narrow" w:hAnsi="Arial Narrow" w:cs="Arial"/>
                <w:b/>
                <w:bCs/>
                <w:i/>
                <w:iCs/>
                <w:color w:val="000000"/>
                <w:sz w:val="16"/>
                <w:szCs w:val="16"/>
                <w:lang w:eastAsia="en-AU"/>
              </w:rPr>
            </w:pPr>
            <w:r w:rsidRPr="001861B8">
              <w:rPr>
                <w:rFonts w:ascii="Arial Narrow" w:hAnsi="Arial Narrow" w:cs="Arial"/>
                <w:b/>
                <w:bCs/>
                <w:i/>
                <w:iCs/>
                <w:color w:val="000000"/>
                <w:sz w:val="16"/>
                <w:szCs w:val="16"/>
                <w:lang w:eastAsia="en-AU"/>
              </w:rPr>
              <w:t>Whitsunday focus area</w:t>
            </w:r>
          </w:p>
        </w:tc>
        <w:tc>
          <w:tcPr>
            <w:tcW w:w="414" w:type="pct"/>
            <w:shd w:val="clear" w:color="auto" w:fill="F2F2F2"/>
            <w:tcMar>
              <w:top w:w="0" w:type="dxa"/>
              <w:left w:w="108" w:type="dxa"/>
              <w:bottom w:w="0" w:type="dxa"/>
              <w:right w:w="108" w:type="dxa"/>
            </w:tcMar>
            <w:vAlign w:val="center"/>
            <w:hideMark/>
          </w:tcPr>
          <w:p w14:paraId="643CA2C4"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15" w:type="pct"/>
            <w:shd w:val="clear" w:color="auto" w:fill="F2F2F2"/>
            <w:tcMar>
              <w:top w:w="0" w:type="dxa"/>
              <w:left w:w="108" w:type="dxa"/>
              <w:bottom w:w="0" w:type="dxa"/>
              <w:right w:w="108" w:type="dxa"/>
            </w:tcMar>
            <w:vAlign w:val="center"/>
            <w:hideMark/>
          </w:tcPr>
          <w:p w14:paraId="053D231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6" w:type="pct"/>
            <w:shd w:val="clear" w:color="auto" w:fill="F2F2F2"/>
            <w:tcMar>
              <w:top w:w="0" w:type="dxa"/>
              <w:left w:w="108" w:type="dxa"/>
              <w:bottom w:w="0" w:type="dxa"/>
              <w:right w:w="108" w:type="dxa"/>
            </w:tcMar>
            <w:vAlign w:val="center"/>
            <w:hideMark/>
          </w:tcPr>
          <w:p w14:paraId="157782F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 </w:t>
            </w:r>
          </w:p>
        </w:tc>
        <w:tc>
          <w:tcPr>
            <w:tcW w:w="424" w:type="pct"/>
            <w:shd w:val="clear" w:color="auto" w:fill="F2F2F2"/>
            <w:tcMar>
              <w:top w:w="0" w:type="dxa"/>
              <w:left w:w="108" w:type="dxa"/>
              <w:bottom w:w="0" w:type="dxa"/>
              <w:right w:w="108" w:type="dxa"/>
            </w:tcMar>
            <w:vAlign w:val="center"/>
            <w:hideMark/>
          </w:tcPr>
          <w:p w14:paraId="24E9241D"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shd w:val="clear" w:color="auto" w:fill="F2F2F2"/>
            <w:tcMar>
              <w:top w:w="0" w:type="dxa"/>
              <w:left w:w="108" w:type="dxa"/>
              <w:bottom w:w="0" w:type="dxa"/>
              <w:right w:w="108" w:type="dxa"/>
            </w:tcMar>
            <w:vAlign w:val="center"/>
            <w:hideMark/>
          </w:tcPr>
          <w:p w14:paraId="1F1B3E3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shd w:val="clear" w:color="auto" w:fill="F2F2F2"/>
            <w:tcMar>
              <w:top w:w="0" w:type="dxa"/>
              <w:left w:w="108" w:type="dxa"/>
              <w:bottom w:w="0" w:type="dxa"/>
              <w:right w:w="108" w:type="dxa"/>
            </w:tcMar>
            <w:vAlign w:val="center"/>
          </w:tcPr>
          <w:p w14:paraId="732E50A4"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97" w:type="pct"/>
            <w:shd w:val="clear" w:color="auto" w:fill="F2F2F2"/>
          </w:tcPr>
          <w:p w14:paraId="52D8982A"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p>
        </w:tc>
        <w:tc>
          <w:tcPr>
            <w:tcW w:w="663" w:type="pct"/>
            <w:shd w:val="clear" w:color="auto" w:fill="F2F2F2"/>
          </w:tcPr>
          <w:p w14:paraId="5A52755F" w14:textId="5BDCE0A9" w:rsidR="00B02424" w:rsidRPr="001861B8" w:rsidRDefault="00C835FD" w:rsidP="00B02424">
            <w:pPr>
              <w:spacing w:before="0" w:after="0" w:line="240" w:lineRule="auto"/>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Up to 50 surface samples</w:t>
            </w:r>
          </w:p>
        </w:tc>
      </w:tr>
      <w:tr w:rsidR="00B02424" w:rsidRPr="001861B8" w14:paraId="55ACA40D" w14:textId="77777777" w:rsidTr="00B02424">
        <w:tc>
          <w:tcPr>
            <w:tcW w:w="891" w:type="pct"/>
            <w:tcMar>
              <w:top w:w="0" w:type="dxa"/>
              <w:left w:w="108" w:type="dxa"/>
              <w:bottom w:w="0" w:type="dxa"/>
              <w:right w:w="108" w:type="dxa"/>
            </w:tcMar>
            <w:vAlign w:val="center"/>
            <w:hideMark/>
          </w:tcPr>
          <w:p w14:paraId="13001F15"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Double Cone Island</w:t>
            </w:r>
          </w:p>
        </w:tc>
        <w:tc>
          <w:tcPr>
            <w:tcW w:w="414" w:type="pct"/>
            <w:tcMar>
              <w:top w:w="0" w:type="dxa"/>
              <w:left w:w="108" w:type="dxa"/>
              <w:bottom w:w="0" w:type="dxa"/>
              <w:right w:w="108" w:type="dxa"/>
            </w:tcMar>
            <w:vAlign w:val="center"/>
            <w:hideMark/>
          </w:tcPr>
          <w:p w14:paraId="06B516CA"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WHI1</w:t>
            </w:r>
          </w:p>
        </w:tc>
        <w:tc>
          <w:tcPr>
            <w:tcW w:w="415" w:type="pct"/>
            <w:tcMar>
              <w:top w:w="0" w:type="dxa"/>
              <w:left w:w="108" w:type="dxa"/>
              <w:bottom w:w="0" w:type="dxa"/>
              <w:right w:w="108" w:type="dxa"/>
            </w:tcMar>
            <w:vAlign w:val="center"/>
            <w:hideMark/>
          </w:tcPr>
          <w:p w14:paraId="6C37F2A9"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148.722</w:t>
            </w:r>
          </w:p>
        </w:tc>
        <w:tc>
          <w:tcPr>
            <w:tcW w:w="426" w:type="pct"/>
            <w:tcMar>
              <w:top w:w="0" w:type="dxa"/>
              <w:left w:w="108" w:type="dxa"/>
              <w:bottom w:w="0" w:type="dxa"/>
              <w:right w:w="108" w:type="dxa"/>
            </w:tcMar>
            <w:vAlign w:val="center"/>
            <w:hideMark/>
          </w:tcPr>
          <w:p w14:paraId="39652ED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-20.105</w:t>
            </w:r>
          </w:p>
        </w:tc>
        <w:tc>
          <w:tcPr>
            <w:tcW w:w="424" w:type="pct"/>
            <w:tcMar>
              <w:top w:w="0" w:type="dxa"/>
              <w:left w:w="108" w:type="dxa"/>
              <w:bottom w:w="0" w:type="dxa"/>
              <w:right w:w="108" w:type="dxa"/>
            </w:tcMar>
            <w:vAlign w:val="center"/>
            <w:hideMark/>
          </w:tcPr>
          <w:p w14:paraId="79C2A1E1"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3AC9224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135139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7C3CCC0F" w14:textId="77777777" w:rsidR="00B02424" w:rsidRPr="001861B8" w:rsidRDefault="00B02424" w:rsidP="00B02424">
            <w:pPr>
              <w:spacing w:before="0" w:after="0" w:line="240" w:lineRule="auto"/>
              <w:contextualSpacing/>
              <w:rPr>
                <w:rFonts w:ascii="Arial Narrow" w:hAnsi="Arial Narrow" w:cs="Arial"/>
                <w:bCs/>
                <w:color w:val="FF0000"/>
                <w:sz w:val="16"/>
                <w:szCs w:val="16"/>
                <w:lang w:eastAsia="en-AU"/>
              </w:rPr>
            </w:pPr>
          </w:p>
        </w:tc>
        <w:tc>
          <w:tcPr>
            <w:tcW w:w="663" w:type="pct"/>
          </w:tcPr>
          <w:p w14:paraId="436D5D9A" w14:textId="77777777" w:rsidR="00B02424" w:rsidRPr="001861B8" w:rsidRDefault="00B02424" w:rsidP="00B02424">
            <w:pPr>
              <w:spacing w:before="0" w:after="0" w:line="240" w:lineRule="auto"/>
              <w:contextualSpacing/>
              <w:rPr>
                <w:rFonts w:ascii="Arial Narrow" w:hAnsi="Arial Narrow" w:cs="Arial"/>
                <w:bCs/>
                <w:color w:val="FF0000"/>
                <w:sz w:val="16"/>
                <w:szCs w:val="16"/>
                <w:lang w:eastAsia="en-AU"/>
              </w:rPr>
            </w:pPr>
          </w:p>
        </w:tc>
      </w:tr>
      <w:tr w:rsidR="00E64F37" w:rsidRPr="001861B8" w14:paraId="6031029D" w14:textId="77777777" w:rsidTr="00B02424">
        <w:tc>
          <w:tcPr>
            <w:tcW w:w="891" w:type="pct"/>
            <w:tcMar>
              <w:top w:w="0" w:type="dxa"/>
              <w:left w:w="108" w:type="dxa"/>
              <w:bottom w:w="0" w:type="dxa"/>
              <w:right w:w="108" w:type="dxa"/>
            </w:tcMar>
            <w:vAlign w:val="center"/>
            <w:hideMark/>
          </w:tcPr>
          <w:p w14:paraId="5B1E6F06"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Hook Island W</w:t>
            </w:r>
          </w:p>
        </w:tc>
        <w:tc>
          <w:tcPr>
            <w:tcW w:w="414" w:type="pct"/>
            <w:tcMar>
              <w:top w:w="0" w:type="dxa"/>
              <w:left w:w="108" w:type="dxa"/>
              <w:bottom w:w="0" w:type="dxa"/>
              <w:right w:w="108" w:type="dxa"/>
            </w:tcMar>
            <w:vAlign w:val="center"/>
            <w:hideMark/>
          </w:tcPr>
          <w:p w14:paraId="39960D06"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WHI2</w:t>
            </w:r>
          </w:p>
        </w:tc>
        <w:tc>
          <w:tcPr>
            <w:tcW w:w="415" w:type="pct"/>
            <w:tcMar>
              <w:top w:w="0" w:type="dxa"/>
              <w:left w:w="108" w:type="dxa"/>
              <w:bottom w:w="0" w:type="dxa"/>
              <w:right w:w="108" w:type="dxa"/>
            </w:tcMar>
            <w:vAlign w:val="center"/>
            <w:hideMark/>
          </w:tcPr>
          <w:p w14:paraId="4C7E82D5"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148.876</w:t>
            </w:r>
          </w:p>
        </w:tc>
        <w:tc>
          <w:tcPr>
            <w:tcW w:w="426" w:type="pct"/>
            <w:tcMar>
              <w:top w:w="0" w:type="dxa"/>
              <w:left w:w="108" w:type="dxa"/>
              <w:bottom w:w="0" w:type="dxa"/>
              <w:right w:w="108" w:type="dxa"/>
            </w:tcMar>
            <w:vAlign w:val="center"/>
            <w:hideMark/>
          </w:tcPr>
          <w:p w14:paraId="2C6E158C"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-20.16</w:t>
            </w:r>
          </w:p>
        </w:tc>
        <w:tc>
          <w:tcPr>
            <w:tcW w:w="424" w:type="pct"/>
            <w:tcMar>
              <w:top w:w="0" w:type="dxa"/>
              <w:left w:w="108" w:type="dxa"/>
              <w:bottom w:w="0" w:type="dxa"/>
              <w:right w:w="108" w:type="dxa"/>
            </w:tcMar>
            <w:vAlign w:val="center"/>
            <w:hideMark/>
          </w:tcPr>
          <w:p w14:paraId="163D727B"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E5D8B42"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5B4541E"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220BE761" w14:textId="77777777" w:rsidR="00E64F37" w:rsidRPr="001861B8" w:rsidRDefault="00E64F37" w:rsidP="00E64F37">
            <w:pPr>
              <w:spacing w:before="0" w:after="0" w:line="240" w:lineRule="auto"/>
              <w:contextualSpacing/>
              <w:rPr>
                <w:rFonts w:ascii="Arial Narrow" w:hAnsi="Arial Narrow" w:cs="Arial"/>
                <w:bCs/>
                <w:color w:val="FF0000"/>
                <w:sz w:val="16"/>
                <w:szCs w:val="16"/>
                <w:lang w:eastAsia="en-AU"/>
              </w:rPr>
            </w:pPr>
          </w:p>
        </w:tc>
        <w:tc>
          <w:tcPr>
            <w:tcW w:w="663" w:type="pct"/>
          </w:tcPr>
          <w:p w14:paraId="3DB83E0B" w14:textId="383085A9" w:rsidR="00E64F37" w:rsidRPr="001861B8" w:rsidRDefault="00C835FD" w:rsidP="00E64F37">
            <w:pPr>
              <w:spacing w:before="0" w:after="0" w:line="240" w:lineRule="auto"/>
              <w:contextualSpacing/>
              <w:rPr>
                <w:rFonts w:ascii="Arial Narrow" w:hAnsi="Arial Narrow" w:cs="Arial"/>
                <w:bCs/>
                <w:sz w:val="16"/>
                <w:szCs w:val="16"/>
                <w:lang w:eastAsia="en-AU"/>
              </w:rPr>
            </w:pPr>
            <w:r>
              <w:rPr>
                <w:rFonts w:ascii="Arial Narrow" w:hAnsi="Arial Narrow" w:cs="Arial"/>
                <w:bCs/>
                <w:color w:val="000000"/>
                <w:sz w:val="16"/>
                <w:szCs w:val="16"/>
                <w:lang w:eastAsia="en-AU"/>
              </w:rPr>
              <w:t>Surface sampling only</w:t>
            </w:r>
          </w:p>
        </w:tc>
      </w:tr>
      <w:tr w:rsidR="00E64F37" w:rsidRPr="001861B8" w14:paraId="3B5C9596" w14:textId="77777777" w:rsidTr="00B02424">
        <w:tc>
          <w:tcPr>
            <w:tcW w:w="891" w:type="pct"/>
            <w:tcMar>
              <w:top w:w="0" w:type="dxa"/>
              <w:left w:w="108" w:type="dxa"/>
              <w:bottom w:w="0" w:type="dxa"/>
              <w:right w:w="108" w:type="dxa"/>
            </w:tcMar>
            <w:vAlign w:val="center"/>
            <w:hideMark/>
          </w:tcPr>
          <w:p w14:paraId="533E19F9"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North Molle Island</w:t>
            </w:r>
          </w:p>
        </w:tc>
        <w:tc>
          <w:tcPr>
            <w:tcW w:w="414" w:type="pct"/>
            <w:tcMar>
              <w:top w:w="0" w:type="dxa"/>
              <w:left w:w="108" w:type="dxa"/>
              <w:bottom w:w="0" w:type="dxa"/>
              <w:right w:w="108" w:type="dxa"/>
            </w:tcMar>
            <w:vAlign w:val="center"/>
            <w:hideMark/>
          </w:tcPr>
          <w:p w14:paraId="1077569A"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WHI3</w:t>
            </w:r>
          </w:p>
        </w:tc>
        <w:tc>
          <w:tcPr>
            <w:tcW w:w="415" w:type="pct"/>
            <w:tcMar>
              <w:top w:w="0" w:type="dxa"/>
              <w:left w:w="108" w:type="dxa"/>
              <w:bottom w:w="0" w:type="dxa"/>
              <w:right w:w="108" w:type="dxa"/>
            </w:tcMar>
            <w:vAlign w:val="center"/>
            <w:hideMark/>
          </w:tcPr>
          <w:p w14:paraId="4D42100F"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148.778</w:t>
            </w:r>
          </w:p>
        </w:tc>
        <w:tc>
          <w:tcPr>
            <w:tcW w:w="426" w:type="pct"/>
            <w:tcMar>
              <w:top w:w="0" w:type="dxa"/>
              <w:left w:w="108" w:type="dxa"/>
              <w:bottom w:w="0" w:type="dxa"/>
              <w:right w:w="108" w:type="dxa"/>
            </w:tcMar>
            <w:vAlign w:val="center"/>
            <w:hideMark/>
          </w:tcPr>
          <w:p w14:paraId="7A6EFF8A"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-20.237</w:t>
            </w:r>
          </w:p>
        </w:tc>
        <w:tc>
          <w:tcPr>
            <w:tcW w:w="424" w:type="pct"/>
            <w:tcMar>
              <w:top w:w="0" w:type="dxa"/>
              <w:left w:w="108" w:type="dxa"/>
              <w:bottom w:w="0" w:type="dxa"/>
              <w:right w:w="108" w:type="dxa"/>
            </w:tcMar>
            <w:vAlign w:val="center"/>
            <w:hideMark/>
          </w:tcPr>
          <w:p w14:paraId="0F4E4726"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90C3394"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4238623"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11DDD099" w14:textId="77777777" w:rsidR="00E64F37" w:rsidRPr="001861B8" w:rsidRDefault="00E64F37" w:rsidP="00E64F37">
            <w:pPr>
              <w:spacing w:before="0" w:after="0" w:line="240" w:lineRule="auto"/>
              <w:contextualSpacing/>
              <w:rPr>
                <w:rFonts w:ascii="Arial Narrow" w:hAnsi="Arial Narrow" w:cs="Arial"/>
                <w:bCs/>
                <w:color w:val="FF0000"/>
                <w:sz w:val="16"/>
                <w:szCs w:val="16"/>
                <w:lang w:eastAsia="en-AU"/>
              </w:rPr>
            </w:pPr>
          </w:p>
        </w:tc>
        <w:tc>
          <w:tcPr>
            <w:tcW w:w="663" w:type="pct"/>
          </w:tcPr>
          <w:p w14:paraId="05983602" w14:textId="3884788A" w:rsidR="00E64F37" w:rsidRPr="001861B8" w:rsidRDefault="00C835FD" w:rsidP="00E64F37">
            <w:pPr>
              <w:spacing w:before="0" w:after="0" w:line="240" w:lineRule="auto"/>
              <w:contextualSpacing/>
              <w:rPr>
                <w:rFonts w:ascii="Arial Narrow" w:hAnsi="Arial Narrow" w:cs="Arial"/>
                <w:bCs/>
                <w:sz w:val="16"/>
                <w:szCs w:val="16"/>
                <w:lang w:eastAsia="en-AU"/>
              </w:rPr>
            </w:pPr>
            <w:r>
              <w:rPr>
                <w:rFonts w:ascii="Arial Narrow" w:hAnsi="Arial Narrow" w:cs="Arial"/>
                <w:bCs/>
                <w:color w:val="000000"/>
                <w:sz w:val="16"/>
                <w:szCs w:val="16"/>
                <w:lang w:eastAsia="en-AU"/>
              </w:rPr>
              <w:t>Surface sampling only</w:t>
            </w:r>
          </w:p>
        </w:tc>
      </w:tr>
      <w:tr w:rsidR="00B02424" w:rsidRPr="001861B8" w14:paraId="1E9AA577" w14:textId="77777777" w:rsidTr="00B02424">
        <w:tc>
          <w:tcPr>
            <w:tcW w:w="891" w:type="pct"/>
            <w:tcMar>
              <w:top w:w="0" w:type="dxa"/>
              <w:left w:w="108" w:type="dxa"/>
              <w:bottom w:w="0" w:type="dxa"/>
              <w:right w:w="108" w:type="dxa"/>
            </w:tcMar>
            <w:vAlign w:val="center"/>
            <w:hideMark/>
          </w:tcPr>
          <w:p w14:paraId="69E3716F"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Pine Island</w:t>
            </w:r>
          </w:p>
        </w:tc>
        <w:tc>
          <w:tcPr>
            <w:tcW w:w="414" w:type="pct"/>
            <w:tcMar>
              <w:top w:w="0" w:type="dxa"/>
              <w:left w:w="108" w:type="dxa"/>
              <w:bottom w:w="0" w:type="dxa"/>
              <w:right w:w="108" w:type="dxa"/>
            </w:tcMar>
            <w:vAlign w:val="center"/>
            <w:hideMark/>
          </w:tcPr>
          <w:p w14:paraId="55839646"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WHI4</w:t>
            </w:r>
          </w:p>
        </w:tc>
        <w:tc>
          <w:tcPr>
            <w:tcW w:w="415" w:type="pct"/>
            <w:tcMar>
              <w:top w:w="0" w:type="dxa"/>
              <w:left w:w="108" w:type="dxa"/>
              <w:bottom w:w="0" w:type="dxa"/>
              <w:right w:w="108" w:type="dxa"/>
            </w:tcMar>
            <w:vAlign w:val="center"/>
            <w:hideMark/>
          </w:tcPr>
          <w:p w14:paraId="3428EB4C"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148.888</w:t>
            </w:r>
          </w:p>
        </w:tc>
        <w:tc>
          <w:tcPr>
            <w:tcW w:w="426" w:type="pct"/>
            <w:tcMar>
              <w:top w:w="0" w:type="dxa"/>
              <w:left w:w="108" w:type="dxa"/>
              <w:bottom w:w="0" w:type="dxa"/>
              <w:right w:w="108" w:type="dxa"/>
            </w:tcMar>
            <w:vAlign w:val="center"/>
            <w:hideMark/>
          </w:tcPr>
          <w:p w14:paraId="20D7A3B8"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-20.378</w:t>
            </w:r>
          </w:p>
        </w:tc>
        <w:tc>
          <w:tcPr>
            <w:tcW w:w="424" w:type="pct"/>
            <w:tcMar>
              <w:top w:w="0" w:type="dxa"/>
              <w:left w:w="108" w:type="dxa"/>
              <w:bottom w:w="0" w:type="dxa"/>
              <w:right w:w="108" w:type="dxa"/>
            </w:tcMar>
            <w:vAlign w:val="center"/>
            <w:hideMark/>
          </w:tcPr>
          <w:p w14:paraId="0BB08CE8"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0F1A6990"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03508585"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431EE861" w14:textId="77777777" w:rsidR="00B02424" w:rsidRPr="001861B8" w:rsidRDefault="00B02424" w:rsidP="00B02424">
            <w:pPr>
              <w:spacing w:before="0" w:after="0" w:line="240" w:lineRule="auto"/>
              <w:contextualSpacing/>
              <w:rPr>
                <w:rFonts w:ascii="Arial Narrow" w:hAnsi="Arial Narrow" w:cs="Arial"/>
                <w:bCs/>
                <w:color w:val="FF0000"/>
                <w:sz w:val="16"/>
                <w:szCs w:val="16"/>
                <w:lang w:eastAsia="en-AU"/>
              </w:rPr>
            </w:pPr>
          </w:p>
        </w:tc>
        <w:tc>
          <w:tcPr>
            <w:tcW w:w="663" w:type="pct"/>
          </w:tcPr>
          <w:p w14:paraId="13C59966" w14:textId="77777777" w:rsidR="00B02424" w:rsidRPr="001861B8" w:rsidRDefault="00B02424" w:rsidP="00B02424">
            <w:pPr>
              <w:spacing w:before="0" w:after="0" w:line="240" w:lineRule="auto"/>
              <w:contextualSpacing/>
              <w:rPr>
                <w:rFonts w:ascii="Arial Narrow" w:hAnsi="Arial Narrow" w:cs="Arial"/>
                <w:bCs/>
                <w:sz w:val="16"/>
                <w:szCs w:val="16"/>
                <w:lang w:eastAsia="en-AU"/>
              </w:rPr>
            </w:pPr>
          </w:p>
        </w:tc>
      </w:tr>
      <w:tr w:rsidR="00B02424" w:rsidRPr="001861B8" w14:paraId="46ADD23C" w14:textId="77777777" w:rsidTr="00B02424">
        <w:tc>
          <w:tcPr>
            <w:tcW w:w="891" w:type="pct"/>
            <w:tcMar>
              <w:top w:w="0" w:type="dxa"/>
              <w:left w:w="108" w:type="dxa"/>
              <w:bottom w:w="0" w:type="dxa"/>
              <w:right w:w="108" w:type="dxa"/>
            </w:tcMar>
            <w:vAlign w:val="center"/>
            <w:hideMark/>
          </w:tcPr>
          <w:p w14:paraId="2DCA7DA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Seaforth Island</w:t>
            </w:r>
          </w:p>
        </w:tc>
        <w:tc>
          <w:tcPr>
            <w:tcW w:w="414" w:type="pct"/>
            <w:tcMar>
              <w:top w:w="0" w:type="dxa"/>
              <w:left w:w="108" w:type="dxa"/>
              <w:bottom w:w="0" w:type="dxa"/>
              <w:right w:w="108" w:type="dxa"/>
            </w:tcMar>
            <w:vAlign w:val="center"/>
            <w:hideMark/>
          </w:tcPr>
          <w:p w14:paraId="4C443F92"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WHI5</w:t>
            </w:r>
          </w:p>
        </w:tc>
        <w:tc>
          <w:tcPr>
            <w:tcW w:w="415" w:type="pct"/>
            <w:tcMar>
              <w:top w:w="0" w:type="dxa"/>
              <w:left w:w="108" w:type="dxa"/>
              <w:bottom w:w="0" w:type="dxa"/>
              <w:right w:w="108" w:type="dxa"/>
            </w:tcMar>
            <w:vAlign w:val="center"/>
            <w:hideMark/>
          </w:tcPr>
          <w:p w14:paraId="7147A93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149.039</w:t>
            </w:r>
          </w:p>
        </w:tc>
        <w:tc>
          <w:tcPr>
            <w:tcW w:w="426" w:type="pct"/>
            <w:tcMar>
              <w:top w:w="0" w:type="dxa"/>
              <w:left w:w="108" w:type="dxa"/>
              <w:bottom w:w="0" w:type="dxa"/>
              <w:right w:w="108" w:type="dxa"/>
            </w:tcMar>
            <w:vAlign w:val="center"/>
            <w:hideMark/>
          </w:tcPr>
          <w:p w14:paraId="65329EE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-20.468</w:t>
            </w:r>
          </w:p>
        </w:tc>
        <w:tc>
          <w:tcPr>
            <w:tcW w:w="424" w:type="pct"/>
            <w:tcMar>
              <w:top w:w="0" w:type="dxa"/>
              <w:left w:w="108" w:type="dxa"/>
              <w:bottom w:w="0" w:type="dxa"/>
              <w:right w:w="108" w:type="dxa"/>
            </w:tcMar>
            <w:vAlign w:val="center"/>
            <w:hideMark/>
          </w:tcPr>
          <w:p w14:paraId="62061519"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1E64477C"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08172D01"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7C262161" w14:textId="77777777" w:rsidR="00B02424" w:rsidRPr="001861B8" w:rsidRDefault="00B02424" w:rsidP="00B02424">
            <w:pPr>
              <w:spacing w:before="0" w:after="0" w:line="240" w:lineRule="auto"/>
              <w:contextualSpacing/>
              <w:rPr>
                <w:rFonts w:ascii="Arial Narrow" w:hAnsi="Arial Narrow" w:cs="Arial"/>
                <w:bCs/>
                <w:color w:val="FF0000"/>
                <w:sz w:val="16"/>
                <w:szCs w:val="16"/>
                <w:lang w:eastAsia="en-AU"/>
              </w:rPr>
            </w:pPr>
          </w:p>
        </w:tc>
        <w:tc>
          <w:tcPr>
            <w:tcW w:w="663" w:type="pct"/>
          </w:tcPr>
          <w:p w14:paraId="5DDB71E9" w14:textId="77777777" w:rsidR="00B02424" w:rsidRPr="001861B8" w:rsidRDefault="00B02424" w:rsidP="00B02424">
            <w:pPr>
              <w:spacing w:before="0" w:after="0" w:line="240" w:lineRule="auto"/>
              <w:contextualSpacing/>
              <w:rPr>
                <w:rFonts w:ascii="Arial Narrow" w:hAnsi="Arial Narrow" w:cs="Arial"/>
                <w:bCs/>
                <w:sz w:val="16"/>
                <w:szCs w:val="16"/>
                <w:lang w:eastAsia="en-AU"/>
              </w:rPr>
            </w:pPr>
          </w:p>
        </w:tc>
      </w:tr>
      <w:tr w:rsidR="00B02424" w:rsidRPr="001861B8" w14:paraId="656864C1" w14:textId="77777777" w:rsidTr="00B02424">
        <w:tc>
          <w:tcPr>
            <w:tcW w:w="891" w:type="pct"/>
            <w:tcMar>
              <w:top w:w="0" w:type="dxa"/>
              <w:left w:w="108" w:type="dxa"/>
              <w:bottom w:w="0" w:type="dxa"/>
              <w:right w:w="108" w:type="dxa"/>
            </w:tcMar>
            <w:vAlign w:val="center"/>
            <w:hideMark/>
          </w:tcPr>
          <w:p w14:paraId="1567126E"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OConnell River mouth</w:t>
            </w:r>
          </w:p>
        </w:tc>
        <w:tc>
          <w:tcPr>
            <w:tcW w:w="414" w:type="pct"/>
            <w:tcMar>
              <w:top w:w="0" w:type="dxa"/>
              <w:left w:w="108" w:type="dxa"/>
              <w:bottom w:w="0" w:type="dxa"/>
              <w:right w:w="108" w:type="dxa"/>
            </w:tcMar>
            <w:vAlign w:val="center"/>
            <w:hideMark/>
          </w:tcPr>
          <w:p w14:paraId="2E3AB624"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WHI6</w:t>
            </w:r>
          </w:p>
        </w:tc>
        <w:tc>
          <w:tcPr>
            <w:tcW w:w="415" w:type="pct"/>
            <w:tcMar>
              <w:top w:w="0" w:type="dxa"/>
              <w:left w:w="108" w:type="dxa"/>
              <w:bottom w:w="0" w:type="dxa"/>
              <w:right w:w="108" w:type="dxa"/>
            </w:tcMar>
            <w:vAlign w:val="center"/>
            <w:hideMark/>
          </w:tcPr>
          <w:p w14:paraId="1D6A550D"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148.71</w:t>
            </w:r>
          </w:p>
        </w:tc>
        <w:tc>
          <w:tcPr>
            <w:tcW w:w="426" w:type="pct"/>
            <w:tcMar>
              <w:top w:w="0" w:type="dxa"/>
              <w:left w:w="108" w:type="dxa"/>
              <w:bottom w:w="0" w:type="dxa"/>
              <w:right w:w="108" w:type="dxa"/>
            </w:tcMar>
            <w:vAlign w:val="center"/>
            <w:hideMark/>
          </w:tcPr>
          <w:p w14:paraId="134DA2A0"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-20.578</w:t>
            </w:r>
          </w:p>
        </w:tc>
        <w:tc>
          <w:tcPr>
            <w:tcW w:w="424" w:type="pct"/>
            <w:tcMar>
              <w:top w:w="0" w:type="dxa"/>
              <w:left w:w="108" w:type="dxa"/>
              <w:bottom w:w="0" w:type="dxa"/>
              <w:right w:w="108" w:type="dxa"/>
            </w:tcMar>
            <w:vAlign w:val="center"/>
            <w:hideMark/>
          </w:tcPr>
          <w:p w14:paraId="246491D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13CBEE6"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27461CF"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55D91D63" w14:textId="77777777" w:rsidR="00B02424" w:rsidRPr="001861B8" w:rsidRDefault="00B02424" w:rsidP="00B02424">
            <w:pPr>
              <w:spacing w:before="0" w:after="0" w:line="240" w:lineRule="auto"/>
              <w:contextualSpacing/>
              <w:rPr>
                <w:rFonts w:ascii="Arial Narrow" w:hAnsi="Arial Narrow" w:cs="Arial"/>
                <w:bCs/>
                <w:color w:val="FF0000"/>
                <w:sz w:val="16"/>
                <w:szCs w:val="16"/>
                <w:lang w:eastAsia="en-AU"/>
              </w:rPr>
            </w:pPr>
          </w:p>
        </w:tc>
        <w:tc>
          <w:tcPr>
            <w:tcW w:w="663" w:type="pct"/>
          </w:tcPr>
          <w:p w14:paraId="05493AFB" w14:textId="77777777" w:rsidR="00B02424" w:rsidRPr="001861B8" w:rsidRDefault="00B02424" w:rsidP="00B02424">
            <w:pPr>
              <w:spacing w:before="0" w:after="0" w:line="240" w:lineRule="auto"/>
              <w:contextualSpacing/>
              <w:rPr>
                <w:rFonts w:ascii="Arial Narrow" w:hAnsi="Arial Narrow" w:cs="Arial"/>
                <w:bCs/>
                <w:sz w:val="16"/>
                <w:szCs w:val="16"/>
                <w:lang w:eastAsia="en-AU"/>
              </w:rPr>
            </w:pPr>
          </w:p>
        </w:tc>
      </w:tr>
      <w:tr w:rsidR="00B02424" w:rsidRPr="001861B8" w14:paraId="45A0590D" w14:textId="77777777" w:rsidTr="00B02424">
        <w:tc>
          <w:tcPr>
            <w:tcW w:w="891" w:type="pct"/>
            <w:tcMar>
              <w:top w:w="0" w:type="dxa"/>
              <w:left w:w="108" w:type="dxa"/>
              <w:bottom w:w="0" w:type="dxa"/>
              <w:right w:w="108" w:type="dxa"/>
            </w:tcMar>
            <w:vAlign w:val="center"/>
            <w:hideMark/>
          </w:tcPr>
          <w:p w14:paraId="70EE3B71"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Repulse Islands dive mooring</w:t>
            </w:r>
          </w:p>
        </w:tc>
        <w:tc>
          <w:tcPr>
            <w:tcW w:w="414" w:type="pct"/>
            <w:tcMar>
              <w:top w:w="0" w:type="dxa"/>
              <w:left w:w="108" w:type="dxa"/>
              <w:bottom w:w="0" w:type="dxa"/>
              <w:right w:w="108" w:type="dxa"/>
            </w:tcMar>
            <w:vAlign w:val="center"/>
            <w:hideMark/>
          </w:tcPr>
          <w:p w14:paraId="7E6B5D80" w14:textId="77777777" w:rsidR="00B02424" w:rsidRPr="001861B8" w:rsidRDefault="00B02424" w:rsidP="00B02424">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WHI7</w:t>
            </w:r>
          </w:p>
        </w:tc>
        <w:tc>
          <w:tcPr>
            <w:tcW w:w="415" w:type="pct"/>
            <w:tcMar>
              <w:top w:w="0" w:type="dxa"/>
              <w:left w:w="108" w:type="dxa"/>
              <w:bottom w:w="0" w:type="dxa"/>
              <w:right w:w="108" w:type="dxa"/>
            </w:tcMar>
            <w:vAlign w:val="center"/>
            <w:hideMark/>
          </w:tcPr>
          <w:p w14:paraId="77EEF6A6"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148.861</w:t>
            </w:r>
          </w:p>
        </w:tc>
        <w:tc>
          <w:tcPr>
            <w:tcW w:w="426" w:type="pct"/>
            <w:tcMar>
              <w:top w:w="0" w:type="dxa"/>
              <w:left w:w="108" w:type="dxa"/>
              <w:bottom w:w="0" w:type="dxa"/>
              <w:right w:w="108" w:type="dxa"/>
            </w:tcMar>
            <w:vAlign w:val="center"/>
            <w:hideMark/>
          </w:tcPr>
          <w:p w14:paraId="257947F3" w14:textId="77777777" w:rsidR="00B02424" w:rsidRPr="001861B8" w:rsidRDefault="00B02424" w:rsidP="00B02424">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-20.578</w:t>
            </w:r>
          </w:p>
        </w:tc>
        <w:tc>
          <w:tcPr>
            <w:tcW w:w="424" w:type="pct"/>
            <w:tcMar>
              <w:top w:w="0" w:type="dxa"/>
              <w:left w:w="108" w:type="dxa"/>
              <w:bottom w:w="0" w:type="dxa"/>
              <w:right w:w="108" w:type="dxa"/>
            </w:tcMar>
            <w:vAlign w:val="center"/>
            <w:hideMark/>
          </w:tcPr>
          <w:p w14:paraId="38CA02AE"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403" w:type="pct"/>
            <w:tcMar>
              <w:top w:w="0" w:type="dxa"/>
              <w:left w:w="108" w:type="dxa"/>
              <w:bottom w:w="0" w:type="dxa"/>
              <w:right w:w="108" w:type="dxa"/>
            </w:tcMar>
            <w:vAlign w:val="center"/>
            <w:hideMark/>
          </w:tcPr>
          <w:p w14:paraId="38D5990A" w14:textId="77777777" w:rsidR="00B02424" w:rsidRPr="001861B8" w:rsidRDefault="00B02424" w:rsidP="00B02424">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w:t>
            </w:r>
          </w:p>
        </w:tc>
        <w:tc>
          <w:tcPr>
            <w:tcW w:w="667" w:type="pct"/>
            <w:tcMar>
              <w:top w:w="0" w:type="dxa"/>
              <w:left w:w="108" w:type="dxa"/>
              <w:bottom w:w="0" w:type="dxa"/>
              <w:right w:w="108" w:type="dxa"/>
            </w:tcMar>
            <w:vAlign w:val="center"/>
            <w:hideMark/>
          </w:tcPr>
          <w:p w14:paraId="755CE793" w14:textId="77777777" w:rsidR="00B02424" w:rsidRPr="001861B8" w:rsidRDefault="00B02424" w:rsidP="00B02424">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5 (Sampling 2 depths)</w:t>
            </w:r>
          </w:p>
        </w:tc>
        <w:tc>
          <w:tcPr>
            <w:tcW w:w="697" w:type="pct"/>
          </w:tcPr>
          <w:p w14:paraId="082CF588" w14:textId="77777777" w:rsidR="00B02424" w:rsidRPr="001861B8" w:rsidRDefault="00B02424" w:rsidP="00B02424">
            <w:pPr>
              <w:spacing w:before="0" w:after="0" w:line="240" w:lineRule="auto"/>
              <w:contextualSpacing/>
              <w:rPr>
                <w:rFonts w:ascii="Arial Narrow" w:hAnsi="Arial Narrow" w:cs="Arial"/>
                <w:bCs/>
                <w:color w:val="FF0000"/>
                <w:sz w:val="16"/>
                <w:szCs w:val="16"/>
                <w:lang w:eastAsia="en-AU"/>
              </w:rPr>
            </w:pPr>
          </w:p>
        </w:tc>
        <w:tc>
          <w:tcPr>
            <w:tcW w:w="663" w:type="pct"/>
          </w:tcPr>
          <w:p w14:paraId="3FD41116" w14:textId="77777777" w:rsidR="00B02424" w:rsidRPr="001861B8" w:rsidRDefault="00B02424" w:rsidP="00B02424">
            <w:pPr>
              <w:spacing w:before="0" w:after="0" w:line="240" w:lineRule="auto"/>
              <w:contextualSpacing/>
              <w:rPr>
                <w:rFonts w:ascii="Arial Narrow" w:hAnsi="Arial Narrow" w:cs="Arial"/>
                <w:bCs/>
                <w:sz w:val="16"/>
                <w:szCs w:val="16"/>
                <w:lang w:eastAsia="en-AU"/>
              </w:rPr>
            </w:pPr>
          </w:p>
        </w:tc>
      </w:tr>
      <w:tr w:rsidR="00E64F37" w:rsidRPr="001861B8" w14:paraId="41234EC9" w14:textId="77777777" w:rsidTr="00B02424">
        <w:tc>
          <w:tcPr>
            <w:tcW w:w="891" w:type="pct"/>
            <w:tcMar>
              <w:top w:w="0" w:type="dxa"/>
              <w:left w:w="108" w:type="dxa"/>
              <w:bottom w:w="0" w:type="dxa"/>
              <w:right w:w="108" w:type="dxa"/>
            </w:tcMar>
            <w:vAlign w:val="center"/>
            <w:hideMark/>
          </w:tcPr>
          <w:p w14:paraId="33851C51"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Rabbit Island NE</w:t>
            </w:r>
          </w:p>
        </w:tc>
        <w:tc>
          <w:tcPr>
            <w:tcW w:w="414" w:type="pct"/>
            <w:tcMar>
              <w:top w:w="0" w:type="dxa"/>
              <w:left w:w="108" w:type="dxa"/>
              <w:bottom w:w="0" w:type="dxa"/>
              <w:right w:w="108" w:type="dxa"/>
            </w:tcMar>
            <w:vAlign w:val="center"/>
            <w:hideMark/>
          </w:tcPr>
          <w:p w14:paraId="149C2C0A"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WHI8</w:t>
            </w:r>
          </w:p>
        </w:tc>
        <w:tc>
          <w:tcPr>
            <w:tcW w:w="415" w:type="pct"/>
            <w:tcMar>
              <w:top w:w="0" w:type="dxa"/>
              <w:left w:w="108" w:type="dxa"/>
              <w:bottom w:w="0" w:type="dxa"/>
              <w:right w:w="108" w:type="dxa"/>
            </w:tcMar>
            <w:vAlign w:val="center"/>
            <w:hideMark/>
          </w:tcPr>
          <w:p w14:paraId="46524297"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148.953</w:t>
            </w:r>
          </w:p>
        </w:tc>
        <w:tc>
          <w:tcPr>
            <w:tcW w:w="426" w:type="pct"/>
            <w:tcMar>
              <w:top w:w="0" w:type="dxa"/>
              <w:left w:w="108" w:type="dxa"/>
              <w:bottom w:w="0" w:type="dxa"/>
              <w:right w:w="108" w:type="dxa"/>
            </w:tcMar>
            <w:vAlign w:val="center"/>
            <w:hideMark/>
          </w:tcPr>
          <w:p w14:paraId="5CD17538"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-20.769</w:t>
            </w:r>
          </w:p>
        </w:tc>
        <w:tc>
          <w:tcPr>
            <w:tcW w:w="424" w:type="pct"/>
            <w:tcMar>
              <w:top w:w="0" w:type="dxa"/>
              <w:left w:w="108" w:type="dxa"/>
              <w:bottom w:w="0" w:type="dxa"/>
              <w:right w:w="108" w:type="dxa"/>
            </w:tcMar>
            <w:vAlign w:val="center"/>
            <w:hideMark/>
          </w:tcPr>
          <w:p w14:paraId="6A8AC16E"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682B7BDD"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673BC47E"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7AEE1599" w14:textId="77777777" w:rsidR="00E64F37" w:rsidRPr="001861B8" w:rsidRDefault="00E64F37" w:rsidP="00E64F37">
            <w:pPr>
              <w:spacing w:before="0" w:after="0" w:line="240" w:lineRule="auto"/>
              <w:contextualSpacing/>
              <w:rPr>
                <w:rFonts w:ascii="Arial Narrow" w:hAnsi="Arial Narrow" w:cs="Arial"/>
                <w:bCs/>
                <w:color w:val="FF0000"/>
                <w:sz w:val="16"/>
                <w:szCs w:val="16"/>
                <w:lang w:eastAsia="en-AU"/>
              </w:rPr>
            </w:pPr>
          </w:p>
        </w:tc>
        <w:tc>
          <w:tcPr>
            <w:tcW w:w="663" w:type="pct"/>
          </w:tcPr>
          <w:p w14:paraId="1ABF8A24" w14:textId="24EA864B" w:rsidR="00E64F37" w:rsidRPr="001861B8" w:rsidRDefault="00C835FD" w:rsidP="00E64F37">
            <w:pPr>
              <w:spacing w:before="0" w:after="0" w:line="240" w:lineRule="auto"/>
              <w:contextualSpacing/>
              <w:rPr>
                <w:rFonts w:ascii="Arial Narrow" w:hAnsi="Arial Narrow" w:cs="Arial"/>
                <w:bCs/>
                <w:sz w:val="16"/>
                <w:szCs w:val="16"/>
                <w:lang w:eastAsia="en-AU"/>
              </w:rPr>
            </w:pPr>
            <w:r>
              <w:rPr>
                <w:rFonts w:ascii="Arial Narrow" w:hAnsi="Arial Narrow" w:cs="Arial"/>
                <w:bCs/>
                <w:color w:val="000000"/>
                <w:sz w:val="16"/>
                <w:szCs w:val="16"/>
                <w:lang w:eastAsia="en-AU"/>
              </w:rPr>
              <w:t>Surface sampling only</w:t>
            </w:r>
          </w:p>
        </w:tc>
      </w:tr>
      <w:tr w:rsidR="00E64F37" w:rsidRPr="001861B8" w14:paraId="3D056828" w14:textId="77777777" w:rsidTr="00B02424">
        <w:tc>
          <w:tcPr>
            <w:tcW w:w="891" w:type="pct"/>
            <w:tcMar>
              <w:top w:w="0" w:type="dxa"/>
              <w:left w:w="108" w:type="dxa"/>
              <w:bottom w:w="0" w:type="dxa"/>
              <w:right w:w="108" w:type="dxa"/>
            </w:tcMar>
            <w:vAlign w:val="center"/>
            <w:hideMark/>
          </w:tcPr>
          <w:p w14:paraId="02924858"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Brampton Island</w:t>
            </w:r>
          </w:p>
        </w:tc>
        <w:tc>
          <w:tcPr>
            <w:tcW w:w="414" w:type="pct"/>
            <w:tcMar>
              <w:top w:w="0" w:type="dxa"/>
              <w:left w:w="108" w:type="dxa"/>
              <w:bottom w:w="0" w:type="dxa"/>
              <w:right w:w="108" w:type="dxa"/>
            </w:tcMar>
            <w:vAlign w:val="center"/>
            <w:hideMark/>
          </w:tcPr>
          <w:p w14:paraId="40EE0AD8"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WHI9</w:t>
            </w:r>
          </w:p>
        </w:tc>
        <w:tc>
          <w:tcPr>
            <w:tcW w:w="415" w:type="pct"/>
            <w:tcMar>
              <w:top w:w="0" w:type="dxa"/>
              <w:left w:w="108" w:type="dxa"/>
              <w:bottom w:w="0" w:type="dxa"/>
              <w:right w:w="108" w:type="dxa"/>
            </w:tcMar>
            <w:vAlign w:val="center"/>
            <w:hideMark/>
          </w:tcPr>
          <w:p w14:paraId="0722E720"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149.244</w:t>
            </w:r>
          </w:p>
        </w:tc>
        <w:tc>
          <w:tcPr>
            <w:tcW w:w="426" w:type="pct"/>
            <w:tcMar>
              <w:top w:w="0" w:type="dxa"/>
              <w:left w:w="108" w:type="dxa"/>
              <w:bottom w:w="0" w:type="dxa"/>
              <w:right w:w="108" w:type="dxa"/>
            </w:tcMar>
            <w:vAlign w:val="center"/>
            <w:hideMark/>
          </w:tcPr>
          <w:p w14:paraId="61097B42"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-20.799</w:t>
            </w:r>
          </w:p>
        </w:tc>
        <w:tc>
          <w:tcPr>
            <w:tcW w:w="424" w:type="pct"/>
            <w:tcMar>
              <w:top w:w="0" w:type="dxa"/>
              <w:left w:w="108" w:type="dxa"/>
              <w:bottom w:w="0" w:type="dxa"/>
              <w:right w:w="108" w:type="dxa"/>
            </w:tcMar>
            <w:vAlign w:val="center"/>
            <w:hideMark/>
          </w:tcPr>
          <w:p w14:paraId="43CA7B80"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9F0C640"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34F25C8B"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50D50B6C" w14:textId="77777777" w:rsidR="00E64F37" w:rsidRPr="001861B8" w:rsidRDefault="00E64F37" w:rsidP="00E64F37">
            <w:pPr>
              <w:spacing w:before="0" w:after="0" w:line="240" w:lineRule="auto"/>
              <w:contextualSpacing/>
              <w:rPr>
                <w:rFonts w:ascii="Arial Narrow" w:hAnsi="Arial Narrow" w:cs="Arial"/>
                <w:bCs/>
                <w:color w:val="FF0000"/>
                <w:sz w:val="16"/>
                <w:szCs w:val="16"/>
                <w:lang w:eastAsia="en-AU"/>
              </w:rPr>
            </w:pPr>
          </w:p>
        </w:tc>
        <w:tc>
          <w:tcPr>
            <w:tcW w:w="663" w:type="pct"/>
          </w:tcPr>
          <w:p w14:paraId="182420A7" w14:textId="542EC35C" w:rsidR="00E64F37" w:rsidRPr="001861B8" w:rsidRDefault="00C835FD" w:rsidP="00E64F37">
            <w:pPr>
              <w:spacing w:before="0" w:after="0" w:line="240" w:lineRule="auto"/>
              <w:contextualSpacing/>
              <w:rPr>
                <w:rFonts w:ascii="Arial Narrow" w:hAnsi="Arial Narrow" w:cs="Arial"/>
                <w:bCs/>
                <w:sz w:val="16"/>
                <w:szCs w:val="16"/>
                <w:lang w:eastAsia="en-AU"/>
              </w:rPr>
            </w:pPr>
            <w:r>
              <w:rPr>
                <w:rFonts w:ascii="Arial Narrow" w:hAnsi="Arial Narrow" w:cs="Arial"/>
                <w:bCs/>
                <w:color w:val="000000"/>
                <w:sz w:val="16"/>
                <w:szCs w:val="16"/>
                <w:lang w:eastAsia="en-AU"/>
              </w:rPr>
              <w:t>Surface sampling only</w:t>
            </w:r>
          </w:p>
        </w:tc>
      </w:tr>
      <w:tr w:rsidR="00E64F37" w:rsidRPr="001861B8" w14:paraId="13E0673D" w14:textId="77777777" w:rsidTr="00B02424">
        <w:tc>
          <w:tcPr>
            <w:tcW w:w="891" w:type="pct"/>
            <w:tcMar>
              <w:top w:w="0" w:type="dxa"/>
              <w:left w:w="108" w:type="dxa"/>
              <w:bottom w:w="0" w:type="dxa"/>
              <w:right w:w="108" w:type="dxa"/>
            </w:tcMar>
            <w:vAlign w:val="center"/>
            <w:hideMark/>
          </w:tcPr>
          <w:p w14:paraId="137996EF"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Sand Bay</w:t>
            </w:r>
          </w:p>
        </w:tc>
        <w:tc>
          <w:tcPr>
            <w:tcW w:w="414" w:type="pct"/>
            <w:tcMar>
              <w:top w:w="0" w:type="dxa"/>
              <w:left w:w="108" w:type="dxa"/>
              <w:bottom w:w="0" w:type="dxa"/>
              <w:right w:w="108" w:type="dxa"/>
            </w:tcMar>
            <w:vAlign w:val="center"/>
            <w:hideMark/>
          </w:tcPr>
          <w:p w14:paraId="3A9FFE7B"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WHI10</w:t>
            </w:r>
          </w:p>
        </w:tc>
        <w:tc>
          <w:tcPr>
            <w:tcW w:w="415" w:type="pct"/>
            <w:tcMar>
              <w:top w:w="0" w:type="dxa"/>
              <w:left w:w="108" w:type="dxa"/>
              <w:bottom w:w="0" w:type="dxa"/>
              <w:right w:w="108" w:type="dxa"/>
            </w:tcMar>
            <w:vAlign w:val="center"/>
            <w:hideMark/>
          </w:tcPr>
          <w:p w14:paraId="26F27C3E"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149.074</w:t>
            </w:r>
          </w:p>
        </w:tc>
        <w:tc>
          <w:tcPr>
            <w:tcW w:w="426" w:type="pct"/>
            <w:tcMar>
              <w:top w:w="0" w:type="dxa"/>
              <w:left w:w="108" w:type="dxa"/>
              <w:bottom w:w="0" w:type="dxa"/>
              <w:right w:w="108" w:type="dxa"/>
            </w:tcMar>
            <w:vAlign w:val="center"/>
            <w:hideMark/>
          </w:tcPr>
          <w:p w14:paraId="3F951BE8"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-20.939</w:t>
            </w:r>
          </w:p>
        </w:tc>
        <w:tc>
          <w:tcPr>
            <w:tcW w:w="424" w:type="pct"/>
            <w:tcMar>
              <w:top w:w="0" w:type="dxa"/>
              <w:left w:w="108" w:type="dxa"/>
              <w:bottom w:w="0" w:type="dxa"/>
              <w:right w:w="108" w:type="dxa"/>
            </w:tcMar>
            <w:vAlign w:val="center"/>
            <w:hideMark/>
          </w:tcPr>
          <w:p w14:paraId="565C74C3"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33F842BE"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56254E0F"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703089E3" w14:textId="77777777" w:rsidR="00E64F37" w:rsidRPr="001861B8" w:rsidRDefault="00E64F37" w:rsidP="00E64F37">
            <w:pPr>
              <w:spacing w:before="0" w:after="0" w:line="240" w:lineRule="auto"/>
              <w:contextualSpacing/>
              <w:rPr>
                <w:rFonts w:ascii="Arial Narrow" w:hAnsi="Arial Narrow" w:cs="Arial"/>
                <w:bCs/>
                <w:color w:val="FF0000"/>
                <w:sz w:val="16"/>
                <w:szCs w:val="16"/>
                <w:lang w:eastAsia="en-AU"/>
              </w:rPr>
            </w:pPr>
          </w:p>
        </w:tc>
        <w:tc>
          <w:tcPr>
            <w:tcW w:w="663" w:type="pct"/>
          </w:tcPr>
          <w:p w14:paraId="1126ADA6" w14:textId="210991A4" w:rsidR="00E64F37" w:rsidRPr="001861B8" w:rsidRDefault="00C835FD" w:rsidP="00E64F37">
            <w:pPr>
              <w:spacing w:before="0" w:after="0" w:line="240" w:lineRule="auto"/>
              <w:contextualSpacing/>
              <w:rPr>
                <w:rFonts w:ascii="Arial Narrow" w:hAnsi="Arial Narrow" w:cs="Arial"/>
                <w:bCs/>
                <w:sz w:val="16"/>
                <w:szCs w:val="16"/>
                <w:lang w:eastAsia="en-AU"/>
              </w:rPr>
            </w:pPr>
            <w:r>
              <w:rPr>
                <w:rFonts w:ascii="Arial Narrow" w:hAnsi="Arial Narrow" w:cs="Arial"/>
                <w:bCs/>
                <w:color w:val="000000"/>
                <w:sz w:val="16"/>
                <w:szCs w:val="16"/>
                <w:lang w:eastAsia="en-AU"/>
              </w:rPr>
              <w:t>Surface sampling only</w:t>
            </w:r>
          </w:p>
        </w:tc>
      </w:tr>
      <w:tr w:rsidR="00E64F37" w:rsidRPr="001861B8" w14:paraId="44DCE649" w14:textId="77777777" w:rsidTr="00B02424">
        <w:tc>
          <w:tcPr>
            <w:tcW w:w="891" w:type="pct"/>
            <w:tcMar>
              <w:top w:w="0" w:type="dxa"/>
              <w:left w:w="108" w:type="dxa"/>
              <w:bottom w:w="0" w:type="dxa"/>
              <w:right w:w="108" w:type="dxa"/>
            </w:tcMar>
            <w:vAlign w:val="center"/>
            <w:hideMark/>
          </w:tcPr>
          <w:p w14:paraId="22E54FE6"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Pioneer River mouth</w:t>
            </w:r>
          </w:p>
        </w:tc>
        <w:tc>
          <w:tcPr>
            <w:tcW w:w="414" w:type="pct"/>
            <w:tcMar>
              <w:top w:w="0" w:type="dxa"/>
              <w:left w:w="108" w:type="dxa"/>
              <w:bottom w:w="0" w:type="dxa"/>
              <w:right w:w="108" w:type="dxa"/>
            </w:tcMar>
            <w:vAlign w:val="center"/>
            <w:hideMark/>
          </w:tcPr>
          <w:p w14:paraId="523701FF" w14:textId="77777777" w:rsidR="00E64F37" w:rsidRPr="001861B8" w:rsidRDefault="00E64F37" w:rsidP="00E64F37">
            <w:pPr>
              <w:spacing w:before="0" w:after="0" w:line="240" w:lineRule="auto"/>
              <w:contextualSpacing/>
              <w:jc w:val="center"/>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WHI11</w:t>
            </w:r>
          </w:p>
        </w:tc>
        <w:tc>
          <w:tcPr>
            <w:tcW w:w="415" w:type="pct"/>
            <w:tcMar>
              <w:top w:w="0" w:type="dxa"/>
              <w:left w:w="108" w:type="dxa"/>
              <w:bottom w:w="0" w:type="dxa"/>
              <w:right w:w="108" w:type="dxa"/>
            </w:tcMar>
            <w:vAlign w:val="center"/>
            <w:hideMark/>
          </w:tcPr>
          <w:p w14:paraId="23546C81"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149.245</w:t>
            </w:r>
          </w:p>
        </w:tc>
        <w:tc>
          <w:tcPr>
            <w:tcW w:w="426" w:type="pct"/>
            <w:tcMar>
              <w:top w:w="0" w:type="dxa"/>
              <w:left w:w="108" w:type="dxa"/>
              <w:bottom w:w="0" w:type="dxa"/>
              <w:right w:w="108" w:type="dxa"/>
            </w:tcMar>
            <w:vAlign w:val="center"/>
            <w:hideMark/>
          </w:tcPr>
          <w:p w14:paraId="78D354AC" w14:textId="77777777" w:rsidR="00E64F37" w:rsidRPr="001861B8" w:rsidRDefault="00E64F37" w:rsidP="00E64F37">
            <w:pPr>
              <w:spacing w:before="0" w:after="0" w:line="240" w:lineRule="auto"/>
              <w:contextualSpacing/>
              <w:rPr>
                <w:rFonts w:ascii="Arial Narrow" w:hAnsi="Arial Narrow" w:cs="Arial"/>
                <w:color w:val="000000"/>
                <w:sz w:val="16"/>
                <w:szCs w:val="16"/>
                <w:lang w:eastAsia="en-AU"/>
              </w:rPr>
            </w:pPr>
            <w:r w:rsidRPr="001861B8">
              <w:rPr>
                <w:rFonts w:ascii="Arial Narrow" w:hAnsi="Arial Narrow" w:cs="Arial"/>
                <w:color w:val="000000"/>
                <w:sz w:val="16"/>
                <w:szCs w:val="16"/>
                <w:lang w:eastAsia="en-AU"/>
              </w:rPr>
              <w:t>-21.157</w:t>
            </w:r>
          </w:p>
        </w:tc>
        <w:tc>
          <w:tcPr>
            <w:tcW w:w="424" w:type="pct"/>
            <w:tcMar>
              <w:top w:w="0" w:type="dxa"/>
              <w:left w:w="108" w:type="dxa"/>
              <w:bottom w:w="0" w:type="dxa"/>
              <w:right w:w="108" w:type="dxa"/>
            </w:tcMar>
            <w:vAlign w:val="center"/>
            <w:hideMark/>
          </w:tcPr>
          <w:p w14:paraId="5E643315"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403" w:type="pct"/>
            <w:tcMar>
              <w:top w:w="0" w:type="dxa"/>
              <w:left w:w="108" w:type="dxa"/>
              <w:bottom w:w="0" w:type="dxa"/>
              <w:right w:w="108" w:type="dxa"/>
            </w:tcMar>
            <w:vAlign w:val="center"/>
            <w:hideMark/>
          </w:tcPr>
          <w:p w14:paraId="45089C59" w14:textId="77777777" w:rsidR="00E64F37" w:rsidRPr="001861B8" w:rsidRDefault="00E64F37" w:rsidP="00E64F37">
            <w:pPr>
              <w:spacing w:before="0" w:after="0" w:line="240" w:lineRule="auto"/>
              <w:contextualSpacing/>
              <w:jc w:val="center"/>
              <w:rPr>
                <w:rFonts w:ascii="Arial Narrow" w:hAnsi="Arial Narrow" w:cs="Arial"/>
                <w:b/>
                <w:bCs/>
                <w:color w:val="000000"/>
                <w:sz w:val="16"/>
                <w:szCs w:val="16"/>
                <w:lang w:eastAsia="en-AU"/>
              </w:rPr>
            </w:pPr>
            <w:r w:rsidRPr="001861B8">
              <w:rPr>
                <w:rFonts w:ascii="Arial Narrow" w:hAnsi="Arial Narrow" w:cs="Arial"/>
                <w:b/>
                <w:bCs/>
                <w:color w:val="000000"/>
                <w:sz w:val="16"/>
                <w:szCs w:val="16"/>
                <w:lang w:eastAsia="en-AU"/>
              </w:rPr>
              <w:t> </w:t>
            </w:r>
          </w:p>
        </w:tc>
        <w:tc>
          <w:tcPr>
            <w:tcW w:w="667" w:type="pct"/>
            <w:tcMar>
              <w:top w:w="0" w:type="dxa"/>
              <w:left w:w="108" w:type="dxa"/>
              <w:bottom w:w="0" w:type="dxa"/>
              <w:right w:w="108" w:type="dxa"/>
            </w:tcMar>
            <w:vAlign w:val="center"/>
            <w:hideMark/>
          </w:tcPr>
          <w:p w14:paraId="7662D580" w14:textId="77777777" w:rsidR="00E64F37" w:rsidRPr="001861B8" w:rsidRDefault="00E64F37" w:rsidP="00E64F37">
            <w:pPr>
              <w:spacing w:before="0" w:after="0" w:line="240" w:lineRule="auto"/>
              <w:contextualSpacing/>
              <w:rPr>
                <w:rFonts w:ascii="Arial Narrow" w:hAnsi="Arial Narrow" w:cs="Arial"/>
                <w:bCs/>
                <w:color w:val="000000"/>
                <w:sz w:val="16"/>
                <w:szCs w:val="16"/>
                <w:lang w:eastAsia="en-AU"/>
              </w:rPr>
            </w:pPr>
            <w:r w:rsidRPr="001861B8">
              <w:rPr>
                <w:rFonts w:ascii="Arial Narrow" w:hAnsi="Arial Narrow" w:cs="Arial"/>
                <w:bCs/>
                <w:color w:val="000000"/>
                <w:sz w:val="16"/>
                <w:szCs w:val="16"/>
                <w:lang w:eastAsia="en-AU"/>
              </w:rPr>
              <w:t> </w:t>
            </w:r>
          </w:p>
        </w:tc>
        <w:tc>
          <w:tcPr>
            <w:tcW w:w="697" w:type="pct"/>
          </w:tcPr>
          <w:p w14:paraId="48A5812B" w14:textId="77777777" w:rsidR="00E64F37" w:rsidRPr="001861B8" w:rsidRDefault="00E64F37" w:rsidP="00E64F37">
            <w:pPr>
              <w:spacing w:before="0" w:after="0" w:line="240" w:lineRule="auto"/>
              <w:contextualSpacing/>
              <w:rPr>
                <w:rFonts w:ascii="Arial Narrow" w:hAnsi="Arial Narrow" w:cs="Arial"/>
                <w:bCs/>
                <w:color w:val="FF0000"/>
                <w:sz w:val="16"/>
                <w:szCs w:val="16"/>
                <w:lang w:eastAsia="en-AU"/>
              </w:rPr>
            </w:pPr>
          </w:p>
        </w:tc>
        <w:tc>
          <w:tcPr>
            <w:tcW w:w="663" w:type="pct"/>
          </w:tcPr>
          <w:p w14:paraId="1059173B" w14:textId="072505AA" w:rsidR="00E64F37" w:rsidRPr="001861B8" w:rsidRDefault="00C835FD" w:rsidP="00E64F37">
            <w:pPr>
              <w:spacing w:before="0" w:after="0" w:line="240" w:lineRule="auto"/>
              <w:contextualSpacing/>
              <w:rPr>
                <w:rFonts w:ascii="Arial Narrow" w:hAnsi="Arial Narrow" w:cs="Arial"/>
                <w:bCs/>
                <w:sz w:val="16"/>
                <w:szCs w:val="16"/>
                <w:lang w:eastAsia="en-AU"/>
              </w:rPr>
            </w:pPr>
            <w:r>
              <w:rPr>
                <w:rFonts w:ascii="Arial Narrow" w:hAnsi="Arial Narrow" w:cs="Arial"/>
                <w:bCs/>
                <w:color w:val="000000"/>
                <w:sz w:val="16"/>
                <w:szCs w:val="16"/>
                <w:lang w:eastAsia="en-AU"/>
              </w:rPr>
              <w:t>Surface sampling only</w:t>
            </w:r>
          </w:p>
        </w:tc>
      </w:tr>
    </w:tbl>
    <w:bookmarkEnd w:id="77"/>
    <w:p w14:paraId="6C839BE6" w14:textId="77777777" w:rsidR="001779DA" w:rsidRPr="001861B8" w:rsidRDefault="001861B8" w:rsidP="001779DA">
      <w:pPr>
        <w:rPr>
          <w:rFonts w:cs="Arial"/>
        </w:rPr>
      </w:pPr>
      <w:r w:rsidRPr="001861B8">
        <w:rPr>
          <w:rFonts w:cs="Arial"/>
          <w:sz w:val="18"/>
          <w:szCs w:val="18"/>
        </w:rPr>
        <w:t xml:space="preserve">* </w:t>
      </w:r>
      <w:r w:rsidR="00EF7299" w:rsidRPr="00EF7299">
        <w:rPr>
          <w:rFonts w:cs="Arial"/>
          <w:sz w:val="18"/>
          <w:szCs w:val="18"/>
        </w:rPr>
        <w:t>Indicates sites where pesticide passive samplers are deployed</w:t>
      </w:r>
      <w:r w:rsidRPr="001861B8">
        <w:rPr>
          <w:rFonts w:cs="Arial"/>
          <w:sz w:val="18"/>
          <w:szCs w:val="18"/>
        </w:rPr>
        <w:t xml:space="preserve">. </w:t>
      </w:r>
      <w:r w:rsidRPr="001861B8">
        <w:rPr>
          <w:rFonts w:cs="Arial"/>
          <w:bCs/>
          <w:color w:val="000000"/>
          <w:sz w:val="18"/>
          <w:szCs w:val="18"/>
          <w:lang w:eastAsia="en-AU"/>
        </w:rPr>
        <w:t xml:space="preserve"> </w:t>
      </w:r>
      <w:bookmarkStart w:id="80" w:name="_Toc423036750"/>
      <w:bookmarkStart w:id="81" w:name="_Toc433716356"/>
      <w:bookmarkStart w:id="82" w:name="_Toc520727821"/>
    </w:p>
    <w:p w14:paraId="1000AD36" w14:textId="77777777" w:rsidR="001779DA" w:rsidRPr="001861B8" w:rsidRDefault="001779DA" w:rsidP="001779DA">
      <w:pPr>
        <w:rPr>
          <w:rFonts w:cs="Arial"/>
        </w:rPr>
        <w:sectPr w:rsidR="001779DA" w:rsidRPr="001861B8" w:rsidSect="00824693">
          <w:pgSz w:w="16838" w:h="11906" w:orient="landscape"/>
          <w:pgMar w:top="1361" w:right="1701" w:bottom="1247" w:left="1440" w:header="709" w:footer="709" w:gutter="0"/>
          <w:cols w:space="708"/>
          <w:docGrid w:linePitch="360"/>
        </w:sectPr>
      </w:pPr>
    </w:p>
    <w:p w14:paraId="05019E67" w14:textId="77777777" w:rsidR="001779DA" w:rsidRDefault="001779DA" w:rsidP="001779DA">
      <w:pPr>
        <w:rPr>
          <w:rStyle w:val="CaptionChar"/>
        </w:rPr>
      </w:pPr>
      <w:bookmarkStart w:id="83" w:name="_Ref433182669"/>
      <w:r w:rsidRPr="0008739E">
        <w:rPr>
          <w:rStyle w:val="CaptionChar"/>
          <w:noProof/>
          <w:lang w:val="en-AU" w:bidi="ar-SA"/>
        </w:rPr>
        <w:drawing>
          <wp:inline distT="0" distB="0" distL="0" distR="0" wp14:anchorId="04035B6B" wp14:editId="0FD6CD73">
            <wp:extent cx="5295900" cy="7734300"/>
            <wp:effectExtent l="0" t="0" r="0" b="0"/>
            <wp:docPr id="244" name="Picture 244" descr="Map showing MMP water quality sampling sites in the Cape York region shown with water body boundaries. " title="MMP water quality sampling sites in the Cape York region shown with water body boundaries. "/>
            <wp:cNvGraphicFramePr/>
            <a:graphic xmlns:a="http://schemas.openxmlformats.org/drawingml/2006/main">
              <a:graphicData uri="http://schemas.openxmlformats.org/drawingml/2006/picture">
                <pic:pic xmlns:pic="http://schemas.openxmlformats.org/drawingml/2006/picture">
                  <pic:nvPicPr>
                    <pic:cNvPr id="244" name="Picture 244" descr="Map showing MMP water quality sampling sites in the Cape York region shown with water body boundaries. " title="MMP water quality sampling sites in the Cape York region shown with water body boundaries. "/>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95900" cy="7734300"/>
                    </a:xfrm>
                    <a:prstGeom prst="rect">
                      <a:avLst/>
                    </a:prstGeom>
                  </pic:spPr>
                </pic:pic>
              </a:graphicData>
            </a:graphic>
          </wp:inline>
        </w:drawing>
      </w:r>
    </w:p>
    <w:p w14:paraId="2A268839" w14:textId="77777777" w:rsidR="001779DA" w:rsidRPr="00A65D7C" w:rsidRDefault="001779DA" w:rsidP="007E5A3A">
      <w:pPr>
        <w:pStyle w:val="Caption"/>
      </w:pPr>
      <w:bookmarkStart w:id="84" w:name="_Ref530141723"/>
      <w:bookmarkStart w:id="85" w:name="_Toc530141903"/>
      <w:bookmarkStart w:id="86" w:name="_Toc12361613"/>
      <w:r w:rsidRPr="005A02E4">
        <w:t xml:space="preserve">Figure </w:t>
      </w:r>
      <w:r>
        <w:rPr>
          <w:noProof/>
        </w:rPr>
        <w:fldChar w:fldCharType="begin"/>
      </w:r>
      <w:r>
        <w:rPr>
          <w:noProof/>
        </w:rPr>
        <w:instrText xml:space="preserve"> STYLEREF 1 \s </w:instrText>
      </w:r>
      <w:r>
        <w:rPr>
          <w:noProof/>
        </w:rPr>
        <w:fldChar w:fldCharType="separate"/>
      </w:r>
      <w:r w:rsidR="00D528AA">
        <w:rPr>
          <w:noProof/>
        </w:rPr>
        <w:t>2</w:t>
      </w:r>
      <w:r>
        <w:rPr>
          <w:noProof/>
        </w:rPr>
        <w:fldChar w:fldCharType="end"/>
      </w:r>
      <w:r>
        <w:noBreakHyphen/>
      </w:r>
      <w:r>
        <w:rPr>
          <w:noProof/>
        </w:rPr>
        <w:fldChar w:fldCharType="begin"/>
      </w:r>
      <w:r>
        <w:rPr>
          <w:noProof/>
        </w:rPr>
        <w:instrText xml:space="preserve"> SEQ Figure \* ARABIC \s 1 </w:instrText>
      </w:r>
      <w:r>
        <w:rPr>
          <w:noProof/>
        </w:rPr>
        <w:fldChar w:fldCharType="separate"/>
      </w:r>
      <w:r w:rsidR="00D528AA">
        <w:rPr>
          <w:noProof/>
        </w:rPr>
        <w:t>1</w:t>
      </w:r>
      <w:r>
        <w:rPr>
          <w:noProof/>
        </w:rPr>
        <w:fldChar w:fldCharType="end"/>
      </w:r>
      <w:bookmarkEnd w:id="84"/>
      <w:r w:rsidRPr="005A02E4">
        <w:t xml:space="preserve"> </w:t>
      </w:r>
      <w:r w:rsidRPr="00300B38">
        <w:t>MMP water quality sampling sites in the Cape York region shown with water body boundaries.</w:t>
      </w:r>
      <w:bookmarkEnd w:id="85"/>
      <w:bookmarkEnd w:id="86"/>
    </w:p>
    <w:p w14:paraId="2344AC07" w14:textId="77777777" w:rsidR="001779DA" w:rsidRDefault="001779DA" w:rsidP="001779DA">
      <w:pPr>
        <w:rPr>
          <w:rStyle w:val="CaptionChar"/>
        </w:rPr>
      </w:pPr>
    </w:p>
    <w:tbl>
      <w:tblPr>
        <w:tblStyle w:val="TableGrid"/>
        <w:tblW w:w="9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MMP water quality sampling sites in the Wet Tropics region including the Barron Daintree, Russell-Mulgrave and Tully focus areas, shown with water body boundaries"/>
        <w:tblDescription w:val="Three maps show extent of enclosed coastal, open coastal, midshelf and offshore water bodies."/>
      </w:tblPr>
      <w:tblGrid>
        <w:gridCol w:w="4535"/>
        <w:gridCol w:w="4581"/>
      </w:tblGrid>
      <w:tr w:rsidR="001779DA" w:rsidRPr="001861B8" w14:paraId="5656A255" w14:textId="77777777" w:rsidTr="004864FC">
        <w:trPr>
          <w:cantSplit/>
          <w:trHeight w:hRule="exact" w:val="5953"/>
          <w:tblHeader/>
        </w:trPr>
        <w:tc>
          <w:tcPr>
            <w:tcW w:w="4535" w:type="dxa"/>
          </w:tcPr>
          <w:p w14:paraId="1C8860A9" w14:textId="77777777" w:rsidR="001779DA" w:rsidRPr="001861B8" w:rsidRDefault="001779DA" w:rsidP="005A35E3">
            <w:pPr>
              <w:rPr>
                <w:sz w:val="10"/>
                <w:szCs w:val="10"/>
              </w:rPr>
            </w:pPr>
            <w:r w:rsidRPr="001861B8">
              <w:rPr>
                <w:rFonts w:cs="Arial"/>
                <w:noProof/>
                <w:sz w:val="10"/>
                <w:szCs w:val="10"/>
                <w:lang w:eastAsia="en-AU"/>
              </w:rPr>
              <w:drawing>
                <wp:anchor distT="0" distB="0" distL="114300" distR="114300" simplePos="0" relativeHeight="251659776" behindDoc="0" locked="0" layoutInCell="1" allowOverlap="1" wp14:anchorId="3E946362" wp14:editId="5DB57FB1">
                  <wp:simplePos x="0" y="0"/>
                  <wp:positionH relativeFrom="column">
                    <wp:posOffset>-68580</wp:posOffset>
                  </wp:positionH>
                  <wp:positionV relativeFrom="paragraph">
                    <wp:posOffset>0</wp:posOffset>
                  </wp:positionV>
                  <wp:extent cx="2628900" cy="3810000"/>
                  <wp:effectExtent l="0" t="0" r="0" b="0"/>
                  <wp:wrapSquare wrapText="bothSides"/>
                  <wp:docPr id="7203" name="Picture 7203" descr="Map showing MMP water quality sampling sites in the Barron Daintree sub-region shown with water body boundaries. " title="MMP water quality sampling sites in the Barron Daintree sub-region shown with water body boundaries. "/>
                  <wp:cNvGraphicFramePr/>
                  <a:graphic xmlns:a="http://schemas.openxmlformats.org/drawingml/2006/main">
                    <a:graphicData uri="http://schemas.openxmlformats.org/drawingml/2006/picture">
                      <pic:pic xmlns:pic="http://schemas.openxmlformats.org/drawingml/2006/picture">
                        <pic:nvPicPr>
                          <pic:cNvPr id="7203" name="Picture 7203" descr="Map showing MMP water quality sampling sites in the Barron Daintree sub-region shown with water body boundaries. " title="MMP water quality sampling sites in the Barron Daintree sub-region shown with water body boundaries. "/>
                          <pic:cNvPicPr/>
                        </pic:nvPicPr>
                        <pic:blipFill rotWithShape="1">
                          <a:blip r:embed="rId31" cstate="print">
                            <a:extLst>
                              <a:ext uri="{28A0092B-C50C-407E-A947-70E740481C1C}">
                                <a14:useLocalDpi xmlns:a14="http://schemas.microsoft.com/office/drawing/2010/main" val="0"/>
                              </a:ext>
                            </a:extLst>
                          </a:blip>
                          <a:srcRect/>
                          <a:stretch/>
                        </pic:blipFill>
                        <pic:spPr bwMode="auto">
                          <a:xfrm>
                            <a:off x="0" y="0"/>
                            <a:ext cx="2628900" cy="3810000"/>
                          </a:xfrm>
                          <a:prstGeom prst="rect">
                            <a:avLst/>
                          </a:prstGeom>
                          <a:ln>
                            <a:noFill/>
                          </a:ln>
                          <a:extLst>
                            <a:ext uri="{53640926-AAD7-44D8-BBD7-CCE9431645EC}">
                              <a14:shadowObscured xmlns:a14="http://schemas.microsoft.com/office/drawing/2010/main"/>
                            </a:ext>
                          </a:extLst>
                        </pic:spPr>
                      </pic:pic>
                    </a:graphicData>
                  </a:graphic>
                </wp:anchor>
              </w:drawing>
            </w:r>
          </w:p>
        </w:tc>
        <w:tc>
          <w:tcPr>
            <w:tcW w:w="4581" w:type="dxa"/>
          </w:tcPr>
          <w:p w14:paraId="36F0FE40" w14:textId="77777777" w:rsidR="001779DA" w:rsidRPr="001861B8" w:rsidRDefault="001779DA" w:rsidP="005A35E3">
            <w:pPr>
              <w:rPr>
                <w:sz w:val="10"/>
                <w:szCs w:val="10"/>
              </w:rPr>
            </w:pPr>
            <w:r w:rsidRPr="001861B8">
              <w:rPr>
                <w:rFonts w:cs="Arial"/>
                <w:noProof/>
                <w:sz w:val="10"/>
                <w:szCs w:val="10"/>
                <w:lang w:eastAsia="en-AU"/>
              </w:rPr>
              <w:drawing>
                <wp:anchor distT="0" distB="0" distL="114300" distR="114300" simplePos="0" relativeHeight="251660800" behindDoc="0" locked="0" layoutInCell="1" allowOverlap="1" wp14:anchorId="16F08205" wp14:editId="23B8AFB1">
                  <wp:simplePos x="0" y="0"/>
                  <wp:positionH relativeFrom="column">
                    <wp:posOffset>-1905</wp:posOffset>
                  </wp:positionH>
                  <wp:positionV relativeFrom="paragraph">
                    <wp:posOffset>62865</wp:posOffset>
                  </wp:positionV>
                  <wp:extent cx="2641600" cy="3733800"/>
                  <wp:effectExtent l="0" t="0" r="6350" b="0"/>
                  <wp:wrapSquare wrapText="bothSides"/>
                  <wp:docPr id="7204" name="Picture 7204" descr="Map showing MMP sampling sites in the Russell-Mulgrave focus area, shown the water body boundaries." title="MMP sampling sites in the Russell-Mulgrave focus area, shown the water body boundaries."/>
                  <wp:cNvGraphicFramePr/>
                  <a:graphic xmlns:a="http://schemas.openxmlformats.org/drawingml/2006/main">
                    <a:graphicData uri="http://schemas.openxmlformats.org/drawingml/2006/picture">
                      <pic:pic xmlns:pic="http://schemas.openxmlformats.org/drawingml/2006/picture">
                        <pic:nvPicPr>
                          <pic:cNvPr id="7204" name="Picture 7204" descr="Map showing MMP sampling sites in the Russell-Mulgrave focus area, shown the water body boundaries." title="MMP sampling sites in the Russell-Mulgrave focus area, shown the water body boundaries."/>
                          <pic:cNvPicPr/>
                        </pic:nvPicPr>
                        <pic:blipFill rotWithShape="1">
                          <a:blip r:embed="rId32" cstate="print">
                            <a:extLst>
                              <a:ext uri="{28A0092B-C50C-407E-A947-70E740481C1C}">
                                <a14:useLocalDpi xmlns:a14="http://schemas.microsoft.com/office/drawing/2010/main" val="0"/>
                              </a:ext>
                            </a:extLst>
                          </a:blip>
                          <a:srcRect r="-384"/>
                          <a:stretch/>
                        </pic:blipFill>
                        <pic:spPr bwMode="auto">
                          <a:xfrm>
                            <a:off x="0" y="0"/>
                            <a:ext cx="2641600" cy="3733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1779DA" w:rsidRPr="001861B8" w14:paraId="2F4AFEE2" w14:textId="77777777" w:rsidTr="005B7F25">
        <w:trPr>
          <w:trHeight w:hRule="exact" w:val="5953"/>
        </w:trPr>
        <w:tc>
          <w:tcPr>
            <w:tcW w:w="4535" w:type="dxa"/>
          </w:tcPr>
          <w:p w14:paraId="549E82DA" w14:textId="77777777" w:rsidR="001779DA" w:rsidRPr="001861B8" w:rsidRDefault="001779DA" w:rsidP="005A35E3">
            <w:pPr>
              <w:rPr>
                <w:rFonts w:cs="Arial"/>
                <w:noProof/>
                <w:sz w:val="10"/>
                <w:szCs w:val="10"/>
              </w:rPr>
            </w:pPr>
            <w:r w:rsidRPr="001861B8">
              <w:rPr>
                <w:rFonts w:cs="Arial"/>
                <w:noProof/>
                <w:lang w:eastAsia="en-AU"/>
              </w:rPr>
              <w:drawing>
                <wp:anchor distT="0" distB="0" distL="114300" distR="114300" simplePos="0" relativeHeight="251661824" behindDoc="0" locked="0" layoutInCell="1" allowOverlap="1" wp14:anchorId="7F38E3C7" wp14:editId="44873843">
                  <wp:simplePos x="0" y="0"/>
                  <wp:positionH relativeFrom="column">
                    <wp:posOffset>-55880</wp:posOffset>
                  </wp:positionH>
                  <wp:positionV relativeFrom="paragraph">
                    <wp:posOffset>92710</wp:posOffset>
                  </wp:positionV>
                  <wp:extent cx="2679700" cy="3632200"/>
                  <wp:effectExtent l="0" t="0" r="6350" b="6350"/>
                  <wp:wrapSquare wrapText="bothSides"/>
                  <wp:docPr id="7205" name="Picture 7205" descr="Map showing MMP sampling sites in the Tully focus area, shown with the water body boundaries" title="MMP sampling sites in the Tully focus area, shown with the water body boundaries"/>
                  <wp:cNvGraphicFramePr/>
                  <a:graphic xmlns:a="http://schemas.openxmlformats.org/drawingml/2006/main">
                    <a:graphicData uri="http://schemas.openxmlformats.org/drawingml/2006/picture">
                      <pic:pic xmlns:pic="http://schemas.openxmlformats.org/drawingml/2006/picture">
                        <pic:nvPicPr>
                          <pic:cNvPr id="7205" name="Picture 7205" descr="Map showing MMP sampling sites in the Tully focus area, shown with the water body boundaries" title="MMP sampling sites in the Tully focus area, shown with the water body boundaries"/>
                          <pic:cNvPicPr/>
                        </pic:nvPicPr>
                        <pic:blipFill rotWithShape="1">
                          <a:blip r:embed="rId33" cstate="print">
                            <a:extLst>
                              <a:ext uri="{28A0092B-C50C-407E-A947-70E740481C1C}">
                                <a14:useLocalDpi xmlns:a14="http://schemas.microsoft.com/office/drawing/2010/main" val="0"/>
                              </a:ext>
                            </a:extLst>
                          </a:blip>
                          <a:srcRect/>
                          <a:stretch/>
                        </pic:blipFill>
                        <pic:spPr bwMode="auto">
                          <a:xfrm>
                            <a:off x="0" y="0"/>
                            <a:ext cx="2679700" cy="363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581" w:type="dxa"/>
          </w:tcPr>
          <w:p w14:paraId="600EB538" w14:textId="77777777" w:rsidR="001779DA" w:rsidRPr="001861B8" w:rsidRDefault="001779DA" w:rsidP="005A35E3">
            <w:pPr>
              <w:rPr>
                <w:rFonts w:cs="Arial"/>
                <w:noProof/>
                <w:sz w:val="10"/>
                <w:szCs w:val="10"/>
              </w:rPr>
            </w:pPr>
          </w:p>
        </w:tc>
      </w:tr>
    </w:tbl>
    <w:p w14:paraId="6B210043" w14:textId="77777777" w:rsidR="001779DA" w:rsidRDefault="001779DA" w:rsidP="007E5A3A">
      <w:pPr>
        <w:pStyle w:val="Caption"/>
      </w:pPr>
      <w:bookmarkStart w:id="87" w:name="_Toc530141904"/>
      <w:bookmarkStart w:id="88" w:name="_Toc12361614"/>
      <w:r w:rsidRPr="001861B8">
        <w:t xml:space="preserve">Figure </w:t>
      </w:r>
      <w:r>
        <w:rPr>
          <w:noProof/>
        </w:rPr>
        <w:fldChar w:fldCharType="begin"/>
      </w:r>
      <w:r>
        <w:rPr>
          <w:noProof/>
        </w:rPr>
        <w:instrText xml:space="preserve"> STYLEREF 1 \s </w:instrText>
      </w:r>
      <w:r>
        <w:rPr>
          <w:noProof/>
        </w:rPr>
        <w:fldChar w:fldCharType="separate"/>
      </w:r>
      <w:r w:rsidR="00D528AA">
        <w:rPr>
          <w:noProof/>
        </w:rPr>
        <w:t>2</w:t>
      </w:r>
      <w:r>
        <w:rPr>
          <w:noProof/>
        </w:rPr>
        <w:fldChar w:fldCharType="end"/>
      </w:r>
      <w:r>
        <w:noBreakHyphen/>
      </w:r>
      <w:r>
        <w:rPr>
          <w:noProof/>
        </w:rPr>
        <w:fldChar w:fldCharType="begin"/>
      </w:r>
      <w:r>
        <w:rPr>
          <w:noProof/>
        </w:rPr>
        <w:instrText xml:space="preserve"> SEQ Figure \* ARABIC \s 1 </w:instrText>
      </w:r>
      <w:r>
        <w:rPr>
          <w:noProof/>
        </w:rPr>
        <w:fldChar w:fldCharType="separate"/>
      </w:r>
      <w:r w:rsidR="00D528AA">
        <w:rPr>
          <w:noProof/>
        </w:rPr>
        <w:t>2</w:t>
      </w:r>
      <w:r>
        <w:rPr>
          <w:noProof/>
        </w:rPr>
        <w:fldChar w:fldCharType="end"/>
      </w:r>
      <w:r w:rsidRPr="001861B8">
        <w:t xml:space="preserve"> MMP water quality sampling sites </w:t>
      </w:r>
      <w:r w:rsidRPr="001A4D90">
        <w:t>in</w:t>
      </w:r>
      <w:r w:rsidRPr="001861B8">
        <w:t xml:space="preserve"> the Wet Tropics region including the Barron Daintree, Russell-Mulgrave and Tully focus areas, shown with water body boundaries.</w:t>
      </w:r>
      <w:bookmarkEnd w:id="87"/>
      <w:bookmarkEnd w:id="88"/>
    </w:p>
    <w:tbl>
      <w:tblPr>
        <w:tblStyle w:val="TableGrid"/>
        <w:tblW w:w="9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MMP water quality sampling sites in the Wet Tropics region including the Barron Daintree, Russell-Mulgrave and Tully focus areas, shown with water body boundaries"/>
        <w:tblDescription w:val="Three maps show extent of enclosed coastal, open coastal, midshelf and offshore water bodies."/>
      </w:tblPr>
      <w:tblGrid>
        <w:gridCol w:w="9116"/>
      </w:tblGrid>
      <w:tr w:rsidR="007E5A3A" w14:paraId="0FCC0E45" w14:textId="77777777" w:rsidTr="00A374A1">
        <w:trPr>
          <w:tblHeader/>
        </w:trPr>
        <w:tc>
          <w:tcPr>
            <w:tcW w:w="9016" w:type="dxa"/>
          </w:tcPr>
          <w:p w14:paraId="002B14DD" w14:textId="12E09A65" w:rsidR="007E5A3A" w:rsidRDefault="007E5A3A" w:rsidP="007E5A3A">
            <w:pPr>
              <w:jc w:val="center"/>
              <w:rPr>
                <w:lang w:eastAsia="en-AU"/>
              </w:rPr>
            </w:pPr>
            <w:r w:rsidRPr="001A4D90">
              <w:rPr>
                <w:rStyle w:val="CaptionChar"/>
                <w:noProof/>
                <w:lang w:val="en-AU" w:bidi="ar-SA"/>
              </w:rPr>
              <w:drawing>
                <wp:anchor distT="0" distB="0" distL="114300" distR="114300" simplePos="0" relativeHeight="251776000" behindDoc="0" locked="0" layoutInCell="1" allowOverlap="1" wp14:anchorId="5FE2D3AE" wp14:editId="562B007A">
                  <wp:simplePos x="0" y="0"/>
                  <wp:positionH relativeFrom="margin">
                    <wp:align>center</wp:align>
                  </wp:positionH>
                  <wp:positionV relativeFrom="margin">
                    <wp:align>top</wp:align>
                  </wp:positionV>
                  <wp:extent cx="2517792" cy="3420000"/>
                  <wp:effectExtent l="0" t="0" r="0" b="9525"/>
                  <wp:wrapSquare wrapText="bothSides"/>
                  <wp:docPr id="7206" name="Picture 7206" descr="Map showing MMP sampling sites in the Burdekin focus area shown with the water body boundaries." title="MMP sampling sites in the Burdekin focus area shown with the water body bound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6" name="Picture 7206" descr="Map showing MMP sampling sites in the Burdekin focus area shown with the water body boundaries." title="MMP sampling sites in the Burdekin focus area shown with the water body boundaries."/>
                          <pic:cNvPicPr/>
                        </pic:nvPicPr>
                        <pic:blipFill rotWithShape="1">
                          <a:blip r:embed="rId34" cstate="print">
                            <a:extLst>
                              <a:ext uri="{28A0092B-C50C-407E-A947-70E740481C1C}">
                                <a14:useLocalDpi xmlns:a14="http://schemas.microsoft.com/office/drawing/2010/main" val="0"/>
                              </a:ext>
                            </a:extLst>
                          </a:blip>
                          <a:srcRect/>
                          <a:stretch/>
                        </pic:blipFill>
                        <pic:spPr bwMode="auto">
                          <a:xfrm>
                            <a:off x="0" y="0"/>
                            <a:ext cx="2517792" cy="3420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7E5A3A" w14:paraId="7E6FEDE5" w14:textId="77777777" w:rsidTr="00A374A1">
        <w:trPr>
          <w:tblHeader/>
        </w:trPr>
        <w:tc>
          <w:tcPr>
            <w:tcW w:w="9016" w:type="dxa"/>
          </w:tcPr>
          <w:p w14:paraId="56D9D93D" w14:textId="283A7E8B" w:rsidR="007E5A3A" w:rsidRDefault="007E5A3A" w:rsidP="007E5A3A">
            <w:pPr>
              <w:pStyle w:val="Caption"/>
            </w:pPr>
            <w:bookmarkStart w:id="89" w:name="_Toc530141905"/>
            <w:bookmarkStart w:id="90" w:name="_Toc12361615"/>
            <w:r w:rsidRPr="005A02E4">
              <w:t xml:space="preserve">Figure </w:t>
            </w:r>
            <w:r>
              <w:rPr>
                <w:noProof/>
              </w:rPr>
              <w:fldChar w:fldCharType="begin"/>
            </w:r>
            <w:r>
              <w:rPr>
                <w:noProof/>
              </w:rPr>
              <w:instrText xml:space="preserve"> STYLEREF 1 \s </w:instrText>
            </w:r>
            <w:r>
              <w:rPr>
                <w:noProof/>
              </w:rPr>
              <w:fldChar w:fldCharType="separate"/>
            </w:r>
            <w:r>
              <w:rPr>
                <w:noProof/>
              </w:rPr>
              <w:t>2</w:t>
            </w:r>
            <w:r>
              <w:rPr>
                <w:noProof/>
              </w:rPr>
              <w:fldChar w:fldCharType="end"/>
            </w:r>
            <w:r>
              <w:noBreakHyphen/>
            </w:r>
            <w:r>
              <w:rPr>
                <w:noProof/>
              </w:rPr>
              <w:fldChar w:fldCharType="begin"/>
            </w:r>
            <w:r>
              <w:rPr>
                <w:noProof/>
              </w:rPr>
              <w:instrText xml:space="preserve"> SEQ Figure \* ARABIC \s 1 </w:instrText>
            </w:r>
            <w:r>
              <w:rPr>
                <w:noProof/>
              </w:rPr>
              <w:fldChar w:fldCharType="separate"/>
            </w:r>
            <w:r>
              <w:rPr>
                <w:noProof/>
              </w:rPr>
              <w:t>3</w:t>
            </w:r>
            <w:r>
              <w:rPr>
                <w:noProof/>
              </w:rPr>
              <w:fldChar w:fldCharType="end"/>
            </w:r>
            <w:r w:rsidRPr="005A02E4">
              <w:t xml:space="preserve"> </w:t>
            </w:r>
            <w:r w:rsidRPr="00F009D3">
              <w:t>Sampling MMP sampling sites in the Burdekin focus area, shown with the water body boundaries.</w:t>
            </w:r>
            <w:bookmarkEnd w:id="89"/>
            <w:bookmarkEnd w:id="90"/>
          </w:p>
        </w:tc>
      </w:tr>
      <w:tr w:rsidR="007E5A3A" w14:paraId="343BB344" w14:textId="77777777" w:rsidTr="00A374A1">
        <w:trPr>
          <w:tblHeader/>
        </w:trPr>
        <w:tc>
          <w:tcPr>
            <w:tcW w:w="9016" w:type="dxa"/>
          </w:tcPr>
          <w:p w14:paraId="3C26B6B3" w14:textId="42527B3F" w:rsidR="007E5A3A" w:rsidRDefault="007E5A3A" w:rsidP="001779DA">
            <w:pPr>
              <w:rPr>
                <w:lang w:eastAsia="en-AU"/>
              </w:rPr>
            </w:pPr>
            <w:r w:rsidRPr="00A65D7C">
              <w:rPr>
                <w:rStyle w:val="CaptionChar"/>
                <w:b w:val="0"/>
                <w:noProof/>
                <w:lang w:val="en-AU" w:bidi="ar-SA"/>
              </w:rPr>
              <w:drawing>
                <wp:anchor distT="0" distB="0" distL="114300" distR="114300" simplePos="0" relativeHeight="251774976" behindDoc="0" locked="0" layoutInCell="1" allowOverlap="1" wp14:anchorId="714EF514" wp14:editId="43499A23">
                  <wp:simplePos x="0" y="0"/>
                  <wp:positionH relativeFrom="margin">
                    <wp:align>center</wp:align>
                  </wp:positionH>
                  <wp:positionV relativeFrom="margin">
                    <wp:align>center</wp:align>
                  </wp:positionV>
                  <wp:extent cx="2724150" cy="3420000"/>
                  <wp:effectExtent l="0" t="0" r="0" b="9525"/>
                  <wp:wrapSquare wrapText="bothSides"/>
                  <wp:docPr id="7207" name="Picture 7207" descr="Map showing MMP sampling sites in the Mackay Whitsunday focus area shown with the water body boundaries. " title="MMP sampling sites in the Mackay Whitsunday focus area shown with the water body boundaries. "/>
                  <wp:cNvGraphicFramePr/>
                  <a:graphic xmlns:a="http://schemas.openxmlformats.org/drawingml/2006/main">
                    <a:graphicData uri="http://schemas.openxmlformats.org/drawingml/2006/picture">
                      <pic:pic xmlns:pic="http://schemas.openxmlformats.org/drawingml/2006/picture">
                        <pic:nvPicPr>
                          <pic:cNvPr id="7207" name="Picture 7207" descr="Map showing MMP sampling sites in the Mackay Whitsunday focus area shown with the water body boundaries. " title="MMP sampling sites in the Mackay Whitsunday focus area shown with the water body boundaries. "/>
                          <pic:cNvPicPr/>
                        </pic:nvPicPr>
                        <pic:blipFill rotWithShape="1">
                          <a:blip r:embed="rId35" cstate="print">
                            <a:extLst>
                              <a:ext uri="{28A0092B-C50C-407E-A947-70E740481C1C}">
                                <a14:useLocalDpi xmlns:a14="http://schemas.microsoft.com/office/drawing/2010/main" val="0"/>
                              </a:ext>
                            </a:extLst>
                          </a:blip>
                          <a:srcRect/>
                          <a:stretch/>
                        </pic:blipFill>
                        <pic:spPr bwMode="auto">
                          <a:xfrm>
                            <a:off x="0" y="0"/>
                            <a:ext cx="2724150" cy="34200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tc>
      </w:tr>
      <w:tr w:rsidR="007E5A3A" w14:paraId="1FE8F238" w14:textId="77777777" w:rsidTr="00A374A1">
        <w:trPr>
          <w:tblHeader/>
        </w:trPr>
        <w:tc>
          <w:tcPr>
            <w:tcW w:w="9016" w:type="dxa"/>
          </w:tcPr>
          <w:p w14:paraId="7E8A6F9E" w14:textId="496476BD" w:rsidR="007E5A3A" w:rsidRDefault="007E5A3A" w:rsidP="007E5A3A">
            <w:pPr>
              <w:pStyle w:val="Caption"/>
            </w:pPr>
            <w:bookmarkStart w:id="91" w:name="_Ref433710254"/>
            <w:bookmarkStart w:id="92" w:name="_Toc433716421"/>
            <w:bookmarkStart w:id="93" w:name="_Toc530141906"/>
            <w:bookmarkStart w:id="94" w:name="_Toc12361616"/>
            <w:bookmarkStart w:id="95" w:name="_Ref433182677"/>
            <w:r w:rsidRPr="007E5A3A">
              <w:t xml:space="preserve">Figure </w:t>
            </w:r>
            <w:r w:rsidRPr="007E5A3A">
              <w:rPr>
                <w:noProof/>
              </w:rPr>
              <w:fldChar w:fldCharType="begin"/>
            </w:r>
            <w:r w:rsidRPr="007E5A3A">
              <w:rPr>
                <w:noProof/>
              </w:rPr>
              <w:instrText xml:space="preserve"> STYLEREF 1 \s </w:instrText>
            </w:r>
            <w:r w:rsidRPr="007E5A3A">
              <w:rPr>
                <w:noProof/>
              </w:rPr>
              <w:fldChar w:fldCharType="separate"/>
            </w:r>
            <w:r w:rsidRPr="007E5A3A">
              <w:rPr>
                <w:noProof/>
              </w:rPr>
              <w:t>2</w:t>
            </w:r>
            <w:r w:rsidRPr="007E5A3A">
              <w:rPr>
                <w:noProof/>
              </w:rPr>
              <w:fldChar w:fldCharType="end"/>
            </w:r>
            <w:r w:rsidRPr="007E5A3A">
              <w:noBreakHyphen/>
            </w:r>
            <w:r w:rsidRPr="007E5A3A">
              <w:rPr>
                <w:noProof/>
              </w:rPr>
              <w:fldChar w:fldCharType="begin"/>
            </w:r>
            <w:r w:rsidRPr="007E5A3A">
              <w:rPr>
                <w:noProof/>
              </w:rPr>
              <w:instrText xml:space="preserve"> SEQ Figure \* ARABIC \s 1 </w:instrText>
            </w:r>
            <w:r w:rsidRPr="007E5A3A">
              <w:rPr>
                <w:noProof/>
              </w:rPr>
              <w:fldChar w:fldCharType="separate"/>
            </w:r>
            <w:r w:rsidRPr="007E5A3A">
              <w:rPr>
                <w:noProof/>
              </w:rPr>
              <w:t>4</w:t>
            </w:r>
            <w:r w:rsidRPr="007E5A3A">
              <w:rPr>
                <w:noProof/>
              </w:rPr>
              <w:fldChar w:fldCharType="end"/>
            </w:r>
            <w:bookmarkEnd w:id="91"/>
            <w:r w:rsidRPr="007E5A3A">
              <w:t xml:space="preserve"> Sampling locations under the MMP inshore marine water quality task for the Mackay- Whitsunday regions</w:t>
            </w:r>
            <w:bookmarkEnd w:id="92"/>
            <w:r w:rsidRPr="007E5A3A">
              <w:t>.</w:t>
            </w:r>
            <w:bookmarkEnd w:id="93"/>
            <w:bookmarkEnd w:id="94"/>
            <w:bookmarkEnd w:id="95"/>
          </w:p>
        </w:tc>
      </w:tr>
    </w:tbl>
    <w:p w14:paraId="01B416F6" w14:textId="77777777" w:rsidR="0051554C" w:rsidRPr="001861B8" w:rsidRDefault="0051554C" w:rsidP="001779DA">
      <w:pPr>
        <w:rPr>
          <w:lang w:eastAsia="en-AU"/>
        </w:rPr>
      </w:pPr>
      <w:bookmarkStart w:id="96" w:name="_Ref433182675"/>
      <w:bookmarkEnd w:id="83"/>
    </w:p>
    <w:p w14:paraId="6486B853" w14:textId="77777777" w:rsidR="001861B8" w:rsidRPr="00293921" w:rsidRDefault="001861B8" w:rsidP="0067588D">
      <w:pPr>
        <w:pStyle w:val="Heading3"/>
      </w:pPr>
      <w:bookmarkStart w:id="97" w:name="_Toc12365565"/>
      <w:bookmarkEnd w:id="96"/>
      <w:r w:rsidRPr="00293921">
        <w:t>Sample collection, preparation and analysis (JCU)</w:t>
      </w:r>
      <w:bookmarkEnd w:id="80"/>
      <w:bookmarkEnd w:id="81"/>
      <w:bookmarkEnd w:id="82"/>
      <w:bookmarkEnd w:id="97"/>
    </w:p>
    <w:p w14:paraId="1F5A3447" w14:textId="77777777" w:rsidR="002E600A" w:rsidRPr="00A64BC2" w:rsidRDefault="002E600A" w:rsidP="00FE2F59">
      <w:pPr>
        <w:rPr>
          <w:rFonts w:cs="Arial"/>
        </w:rPr>
      </w:pPr>
      <w:r w:rsidRPr="00A64BC2">
        <w:rPr>
          <w:rFonts w:cs="Arial"/>
        </w:rPr>
        <w:t>The guidelines for water quality sampling listed in this document are based on the protocols required by the TropWATER laboratory for the collection and storage of samples.</w:t>
      </w:r>
    </w:p>
    <w:p w14:paraId="62943F63" w14:textId="7744D24C" w:rsidR="002E600A" w:rsidRPr="00A64BC2" w:rsidRDefault="002E600A" w:rsidP="00FE2F59">
      <w:pPr>
        <w:rPr>
          <w:rFonts w:cs="Arial"/>
        </w:rPr>
      </w:pPr>
      <w:r w:rsidRPr="00A64BC2">
        <w:rPr>
          <w:rFonts w:cs="Arial"/>
        </w:rPr>
        <w:t>Staff must always be accompanied by at least one other person. Staff must have conducted a risk assessment of the sampling area</w:t>
      </w:r>
      <w:r w:rsidR="00D44BF5">
        <w:rPr>
          <w:rFonts w:cs="Arial"/>
        </w:rPr>
        <w:t xml:space="preserve"> incorporating</w:t>
      </w:r>
      <w:r w:rsidRPr="00A64BC2">
        <w:rPr>
          <w:rFonts w:cs="Arial"/>
        </w:rPr>
        <w:t xml:space="preserve"> current weather conditions and have an up-to-date emergency plan. Staff must be aware of </w:t>
      </w:r>
      <w:r w:rsidR="00124D04">
        <w:rPr>
          <w:rFonts w:cs="Arial"/>
        </w:rPr>
        <w:t>the operational capabilities</w:t>
      </w:r>
      <w:r w:rsidRPr="00A64BC2">
        <w:rPr>
          <w:rFonts w:cs="Arial"/>
        </w:rPr>
        <w:t xml:space="preserve"> </w:t>
      </w:r>
      <w:r w:rsidR="00124D04">
        <w:rPr>
          <w:rFonts w:cs="Arial"/>
        </w:rPr>
        <w:t xml:space="preserve">of the </w:t>
      </w:r>
      <w:r w:rsidRPr="00A64BC2">
        <w:rPr>
          <w:rFonts w:cs="Arial"/>
        </w:rPr>
        <w:t xml:space="preserve">vessel and work through the safety protocols with the ship master. </w:t>
      </w:r>
      <w:r w:rsidR="006004B6">
        <w:rPr>
          <w:rFonts w:cs="Arial"/>
        </w:rPr>
        <w:t xml:space="preserve">The </w:t>
      </w:r>
      <w:r w:rsidRPr="00A64BC2">
        <w:rPr>
          <w:rFonts w:cs="Arial"/>
        </w:rPr>
        <w:t xml:space="preserve">following must </w:t>
      </w:r>
      <w:r w:rsidR="006004B6">
        <w:rPr>
          <w:rFonts w:cs="Arial"/>
        </w:rPr>
        <w:t xml:space="preserve">also </w:t>
      </w:r>
      <w:r w:rsidRPr="00A64BC2">
        <w:rPr>
          <w:rFonts w:cs="Arial"/>
        </w:rPr>
        <w:t>be observed:</w:t>
      </w:r>
    </w:p>
    <w:p w14:paraId="6C50B09F" w14:textId="0383CA9B" w:rsidR="002E600A" w:rsidRPr="00FE2F59" w:rsidRDefault="002E600A" w:rsidP="006C7E99">
      <w:pPr>
        <w:pStyle w:val="ListParagraph"/>
        <w:numPr>
          <w:ilvl w:val="0"/>
          <w:numId w:val="7"/>
        </w:numPr>
        <w:rPr>
          <w:rFonts w:cs="Arial"/>
        </w:rPr>
      </w:pPr>
      <w:r w:rsidRPr="00FE2F59">
        <w:rPr>
          <w:rFonts w:cs="Arial"/>
        </w:rPr>
        <w:t xml:space="preserve">PVC disposable gloves must be worn by staff </w:t>
      </w:r>
      <w:r w:rsidR="006004B6">
        <w:rPr>
          <w:rFonts w:cs="Arial"/>
        </w:rPr>
        <w:t xml:space="preserve">at </w:t>
      </w:r>
      <w:r w:rsidRPr="00FE2F59">
        <w:rPr>
          <w:rFonts w:cs="Arial"/>
        </w:rPr>
        <w:t xml:space="preserve">all times </w:t>
      </w:r>
      <w:r w:rsidR="006004B6">
        <w:rPr>
          <w:rFonts w:cs="Arial"/>
        </w:rPr>
        <w:t>during</w:t>
      </w:r>
      <w:r w:rsidR="006004B6" w:rsidRPr="00FE2F59">
        <w:rPr>
          <w:rFonts w:cs="Arial"/>
        </w:rPr>
        <w:t xml:space="preserve"> </w:t>
      </w:r>
      <w:r w:rsidRPr="00FE2F59">
        <w:rPr>
          <w:rFonts w:cs="Arial"/>
        </w:rPr>
        <w:t>sample collection and manipulation. Before sampling, staff must clean their hands thoroughly with fresh water. Grease, oils, soap, fertilisers, sunscreen, hand creams and smoking can all contribute to contamination.</w:t>
      </w:r>
    </w:p>
    <w:p w14:paraId="6E94C709" w14:textId="0FC2920D" w:rsidR="002E600A" w:rsidRPr="00FE2F59" w:rsidRDefault="003028C5" w:rsidP="006C7E99">
      <w:pPr>
        <w:pStyle w:val="ListParagraph"/>
        <w:numPr>
          <w:ilvl w:val="0"/>
          <w:numId w:val="7"/>
        </w:numPr>
        <w:rPr>
          <w:rFonts w:cs="Arial"/>
        </w:rPr>
      </w:pPr>
      <w:r>
        <w:rPr>
          <w:rFonts w:cs="Arial"/>
        </w:rPr>
        <w:t>The s</w:t>
      </w:r>
      <w:r w:rsidR="002E600A" w:rsidRPr="00FE2F59">
        <w:rPr>
          <w:rFonts w:cs="Arial"/>
        </w:rPr>
        <w:t xml:space="preserve">ampling bucket and boat bilge pump and rose must be well rinsed before sampling. Bottles must be rinsed if required by the TropWATER laboratory. </w:t>
      </w:r>
    </w:p>
    <w:p w14:paraId="5CA48719" w14:textId="5E839CA6" w:rsidR="002E600A" w:rsidRPr="00FE2F59" w:rsidRDefault="006004B6" w:rsidP="006C7E99">
      <w:pPr>
        <w:pStyle w:val="ListParagraph"/>
        <w:numPr>
          <w:ilvl w:val="0"/>
          <w:numId w:val="7"/>
        </w:numPr>
        <w:rPr>
          <w:rFonts w:cs="Arial"/>
        </w:rPr>
      </w:pPr>
      <w:r>
        <w:rPr>
          <w:rFonts w:cs="Arial"/>
        </w:rPr>
        <w:t>The</w:t>
      </w:r>
      <w:r w:rsidR="002E600A" w:rsidRPr="00FE2F59">
        <w:rPr>
          <w:rFonts w:cs="Arial"/>
        </w:rPr>
        <w:t xml:space="preserve"> filling instructions (contained in the following sections) </w:t>
      </w:r>
      <w:r>
        <w:rPr>
          <w:rFonts w:cs="Arial"/>
        </w:rPr>
        <w:t xml:space="preserve">must be </w:t>
      </w:r>
      <w:r w:rsidR="00CC1995">
        <w:rPr>
          <w:rFonts w:cs="Arial"/>
        </w:rPr>
        <w:t xml:space="preserve">adhered to </w:t>
      </w:r>
      <w:r w:rsidR="002E600A" w:rsidRPr="00FE2F59">
        <w:rPr>
          <w:rFonts w:cs="Arial"/>
        </w:rPr>
        <w:t>when filling containers.</w:t>
      </w:r>
    </w:p>
    <w:p w14:paraId="2EDFBA67" w14:textId="0EBD7C16" w:rsidR="002E600A" w:rsidRPr="00FE2F59" w:rsidRDefault="002E600A" w:rsidP="006C7E99">
      <w:pPr>
        <w:pStyle w:val="ListParagraph"/>
        <w:numPr>
          <w:ilvl w:val="0"/>
          <w:numId w:val="7"/>
        </w:numPr>
        <w:rPr>
          <w:rFonts w:cs="Arial"/>
        </w:rPr>
      </w:pPr>
      <w:r w:rsidRPr="00FE2F59">
        <w:rPr>
          <w:rFonts w:cs="Arial"/>
        </w:rPr>
        <w:t>On each sampling run</w:t>
      </w:r>
      <w:r w:rsidR="006004B6">
        <w:rPr>
          <w:rFonts w:cs="Arial"/>
        </w:rPr>
        <w:t>,</w:t>
      </w:r>
      <w:r w:rsidRPr="00FE2F59">
        <w:rPr>
          <w:rFonts w:cs="Arial"/>
        </w:rPr>
        <w:t xml:space="preserve"> the date, time</w:t>
      </w:r>
      <w:r w:rsidR="006004B6">
        <w:rPr>
          <w:rFonts w:cs="Arial"/>
        </w:rPr>
        <w:t xml:space="preserve"> and</w:t>
      </w:r>
      <w:r w:rsidRPr="00FE2F59">
        <w:rPr>
          <w:rFonts w:cs="Arial"/>
        </w:rPr>
        <w:t xml:space="preserve"> unique sampl</w:t>
      </w:r>
      <w:r w:rsidR="00CC1995">
        <w:rPr>
          <w:rFonts w:cs="Arial"/>
        </w:rPr>
        <w:t>e</w:t>
      </w:r>
      <w:r w:rsidRPr="00FE2F59">
        <w:rPr>
          <w:rFonts w:cs="Arial"/>
        </w:rPr>
        <w:t xml:space="preserve"> identification </w:t>
      </w:r>
      <w:r w:rsidR="006004B6">
        <w:rPr>
          <w:rFonts w:cs="Arial"/>
        </w:rPr>
        <w:t xml:space="preserve">must be recorded </w:t>
      </w:r>
      <w:r w:rsidRPr="00FE2F59">
        <w:rPr>
          <w:rFonts w:cs="Arial"/>
        </w:rPr>
        <w:t>on the field datasheet. Each sampling kit for each site contains sets of sampling bottles and vials</w:t>
      </w:r>
      <w:r w:rsidR="00CC1995">
        <w:rPr>
          <w:rFonts w:cs="Arial"/>
        </w:rPr>
        <w:t xml:space="preserve"> with a unique </w:t>
      </w:r>
      <w:r w:rsidR="00AF130F">
        <w:rPr>
          <w:rFonts w:cs="Arial"/>
        </w:rPr>
        <w:t xml:space="preserve">ID </w:t>
      </w:r>
      <w:r w:rsidR="00CC1995">
        <w:rPr>
          <w:rFonts w:cs="Arial"/>
        </w:rPr>
        <w:t>number</w:t>
      </w:r>
      <w:r w:rsidR="00AF130F">
        <w:rPr>
          <w:rFonts w:cs="Arial"/>
        </w:rPr>
        <w:t xml:space="preserve"> (convention is MMP-</w:t>
      </w:r>
      <w:r w:rsidR="00AF130F">
        <w:t>&lt;sample number&gt;</w:t>
      </w:r>
      <w:r w:rsidR="00AF130F">
        <w:rPr>
          <w:rFonts w:cs="Arial"/>
        </w:rPr>
        <w:t>)</w:t>
      </w:r>
      <w:r w:rsidRPr="00FE2F59">
        <w:rPr>
          <w:rFonts w:cs="Arial"/>
        </w:rPr>
        <w:t>.</w:t>
      </w:r>
    </w:p>
    <w:p w14:paraId="57FEBF9B" w14:textId="4C3FD733" w:rsidR="002E600A" w:rsidRPr="00FE2F59" w:rsidRDefault="00181F1E" w:rsidP="006C7E99">
      <w:pPr>
        <w:pStyle w:val="ListParagraph"/>
        <w:numPr>
          <w:ilvl w:val="0"/>
          <w:numId w:val="7"/>
        </w:numPr>
        <w:rPr>
          <w:rFonts w:cs="Arial"/>
        </w:rPr>
      </w:pPr>
      <w:r>
        <w:rPr>
          <w:rFonts w:cs="Arial"/>
        </w:rPr>
        <w:t>Any</w:t>
      </w:r>
      <w:r w:rsidR="002E600A" w:rsidRPr="00FE2F59">
        <w:rPr>
          <w:rFonts w:cs="Arial"/>
        </w:rPr>
        <w:t xml:space="preserve"> significant change of </w:t>
      </w:r>
      <w:r w:rsidR="00CC1995">
        <w:rPr>
          <w:rFonts w:cs="Arial"/>
        </w:rPr>
        <w:t xml:space="preserve">sampling </w:t>
      </w:r>
      <w:r w:rsidR="002E600A" w:rsidRPr="00FE2F59">
        <w:rPr>
          <w:rFonts w:cs="Arial"/>
        </w:rPr>
        <w:t>conditions</w:t>
      </w:r>
      <w:r>
        <w:rPr>
          <w:rFonts w:cs="Arial"/>
        </w:rPr>
        <w:t xml:space="preserve"> </w:t>
      </w:r>
      <w:r w:rsidR="00CC1995">
        <w:rPr>
          <w:rFonts w:cs="Arial"/>
        </w:rPr>
        <w:t xml:space="preserve">(i.e. weather and other factors which may influence the ability to collect samples) </w:t>
      </w:r>
      <w:r>
        <w:rPr>
          <w:rFonts w:cs="Arial"/>
        </w:rPr>
        <w:t>must be noted</w:t>
      </w:r>
      <w:r w:rsidR="002E600A" w:rsidRPr="00FE2F59">
        <w:rPr>
          <w:rFonts w:cs="Arial"/>
        </w:rPr>
        <w:t xml:space="preserve"> in the comments section of the record sheet. </w:t>
      </w:r>
    </w:p>
    <w:p w14:paraId="6309945E" w14:textId="4BC9A5F9" w:rsidR="002E600A" w:rsidRPr="00FE2F59" w:rsidRDefault="002E600A" w:rsidP="006C7E99">
      <w:pPr>
        <w:pStyle w:val="ListParagraph"/>
        <w:numPr>
          <w:ilvl w:val="0"/>
          <w:numId w:val="7"/>
        </w:numPr>
        <w:rPr>
          <w:rFonts w:cs="Arial"/>
        </w:rPr>
      </w:pPr>
      <w:r w:rsidRPr="00FE2F59">
        <w:rPr>
          <w:rFonts w:cs="Arial"/>
        </w:rPr>
        <w:t xml:space="preserve">If possible, a few </w:t>
      </w:r>
      <w:r w:rsidR="00181F1E" w:rsidRPr="00FE2F59">
        <w:rPr>
          <w:rFonts w:cs="Arial"/>
        </w:rPr>
        <w:t>photo</w:t>
      </w:r>
      <w:r w:rsidR="00181F1E">
        <w:rPr>
          <w:rFonts w:cs="Arial"/>
        </w:rPr>
        <w:t>graphs</w:t>
      </w:r>
      <w:r w:rsidR="00181F1E" w:rsidRPr="00FE2F59">
        <w:rPr>
          <w:rFonts w:cs="Arial"/>
        </w:rPr>
        <w:t xml:space="preserve"> </w:t>
      </w:r>
      <w:r w:rsidRPr="00FE2F59">
        <w:rPr>
          <w:rFonts w:cs="Arial"/>
        </w:rPr>
        <w:t>at each sampling site</w:t>
      </w:r>
      <w:r w:rsidR="00181F1E">
        <w:rPr>
          <w:rFonts w:cs="Arial"/>
        </w:rPr>
        <w:t xml:space="preserve"> should be taken</w:t>
      </w:r>
      <w:r w:rsidRPr="00FE2F59">
        <w:rPr>
          <w:rFonts w:cs="Arial"/>
        </w:rPr>
        <w:t xml:space="preserve">. </w:t>
      </w:r>
    </w:p>
    <w:p w14:paraId="3ED9BA83" w14:textId="6A867F72" w:rsidR="009121A3" w:rsidRPr="0060173D" w:rsidRDefault="002566C2" w:rsidP="00ED5E1F">
      <w:pPr>
        <w:rPr>
          <w:rFonts w:cs="Arial"/>
        </w:rPr>
      </w:pPr>
      <w:r w:rsidRPr="00A64BC2">
        <w:t>At each sampling station</w:t>
      </w:r>
      <w:r>
        <w:t xml:space="preserve"> in the Wet Tropics, Burdekin and Mackay Whitsunday regions</w:t>
      </w:r>
      <w:r w:rsidRPr="00A64BC2">
        <w:t xml:space="preserve">, vertical profiles of water </w:t>
      </w:r>
      <w:r w:rsidR="000923AB">
        <w:t xml:space="preserve">depth, </w:t>
      </w:r>
      <w:r w:rsidRPr="00A64BC2">
        <w:t>temperature, salinity, dissolved oxygen, light</w:t>
      </w:r>
      <w:r>
        <w:t xml:space="preserve"> and </w:t>
      </w:r>
      <w:r w:rsidR="000923AB">
        <w:t xml:space="preserve">LISST </w:t>
      </w:r>
      <w:r w:rsidR="00CC1995">
        <w:t>acoustic backscatter (measure of suspended particulate matter)</w:t>
      </w:r>
      <w:r w:rsidRPr="00A64BC2">
        <w:t xml:space="preserve"> are taken with a </w:t>
      </w:r>
      <w:r w:rsidR="00CC1995">
        <w:t xml:space="preserve">SeaBird SBE-19Plus </w:t>
      </w:r>
      <w:r w:rsidR="00181F1E" w:rsidRPr="0058370B">
        <w:rPr>
          <w:rFonts w:cs="Arial"/>
        </w:rPr>
        <w:t>Conductivity Temperature Depth profiler</w:t>
      </w:r>
      <w:r w:rsidR="00181F1E" w:rsidRPr="00A64BC2">
        <w:t xml:space="preserve"> </w:t>
      </w:r>
      <w:r w:rsidR="00181F1E">
        <w:t>(</w:t>
      </w:r>
      <w:r w:rsidRPr="00A64BC2">
        <w:t>CTD</w:t>
      </w:r>
      <w:r w:rsidR="00181F1E">
        <w:t>)</w:t>
      </w:r>
      <w:r w:rsidRPr="00A64BC2">
        <w:t xml:space="preserve">. </w:t>
      </w:r>
      <w:r>
        <w:t>In Cape York, a Cast</w:t>
      </w:r>
      <w:r w:rsidR="000923AB">
        <w:t>A</w:t>
      </w:r>
      <w:r>
        <w:t xml:space="preserve">way CTD is used to collect </w:t>
      </w:r>
      <w:r w:rsidRPr="00A64BC2">
        <w:t>vertical profiles of water temperature, salinity</w:t>
      </w:r>
      <w:r>
        <w:t xml:space="preserve"> and</w:t>
      </w:r>
      <w:r w:rsidRPr="00A64BC2">
        <w:t xml:space="preserve"> </w:t>
      </w:r>
      <w:r w:rsidR="000923AB">
        <w:t>depth</w:t>
      </w:r>
      <w:r>
        <w:t>.</w:t>
      </w:r>
      <w:r w:rsidRPr="00A64BC2">
        <w:t xml:space="preserve"> </w:t>
      </w:r>
      <w:r w:rsidR="007D4348">
        <w:t>In all cases</w:t>
      </w:r>
      <w:r w:rsidR="000923AB">
        <w:t>,</w:t>
      </w:r>
      <w:r w:rsidR="007D4348">
        <w:t xml:space="preserve"> t</w:t>
      </w:r>
      <w:r>
        <w:t xml:space="preserve">he </w:t>
      </w:r>
      <w:r w:rsidRPr="00A64BC2">
        <w:t xml:space="preserve">CTD must be deployed </w:t>
      </w:r>
      <w:r w:rsidR="00181F1E">
        <w:t>on</w:t>
      </w:r>
      <w:r w:rsidR="00181F1E" w:rsidRPr="00A64BC2">
        <w:t xml:space="preserve"> </w:t>
      </w:r>
      <w:r w:rsidRPr="00A64BC2">
        <w:t xml:space="preserve">the sunny side of the boat to avoid interference </w:t>
      </w:r>
      <w:r w:rsidR="00181F1E">
        <w:t>with</w:t>
      </w:r>
      <w:r w:rsidR="00181F1E" w:rsidRPr="00A64BC2">
        <w:t xml:space="preserve"> </w:t>
      </w:r>
      <w:r w:rsidRPr="00A64BC2">
        <w:t>light data</w:t>
      </w:r>
      <w:r w:rsidRPr="00185D5D">
        <w:t xml:space="preserve"> </w:t>
      </w:r>
      <w:r>
        <w:t xml:space="preserve">from </w:t>
      </w:r>
      <w:r w:rsidR="00181F1E">
        <w:t xml:space="preserve">the </w:t>
      </w:r>
      <w:r w:rsidRPr="00A64BC2">
        <w:t>boa</w:t>
      </w:r>
      <w:r>
        <w:t>t</w:t>
      </w:r>
      <w:r w:rsidRPr="00A64BC2">
        <w:t xml:space="preserve"> shadow. The CTD must be </w:t>
      </w:r>
      <w:r w:rsidR="00181F1E">
        <w:t>held at the surface</w:t>
      </w:r>
      <w:r w:rsidR="00181F1E" w:rsidRPr="00A64BC2">
        <w:t xml:space="preserve"> </w:t>
      </w:r>
      <w:r w:rsidRPr="00A64BC2">
        <w:t>for three minutes before performing</w:t>
      </w:r>
      <w:r w:rsidR="00181F1E">
        <w:t xml:space="preserve"> the</w:t>
      </w:r>
      <w:r w:rsidRPr="00A64BC2">
        <w:t xml:space="preserve"> downcast to allow </w:t>
      </w:r>
      <w:r w:rsidR="00181F1E">
        <w:t xml:space="preserve">for the stabilisation of the </w:t>
      </w:r>
      <w:r>
        <w:t>sensors</w:t>
      </w:r>
      <w:r w:rsidRPr="00A64BC2">
        <w:t xml:space="preserve">. </w:t>
      </w:r>
      <w:r w:rsidR="0060173D" w:rsidRPr="00A64BC2">
        <w:rPr>
          <w:rFonts w:cs="Arial"/>
        </w:rPr>
        <w:t xml:space="preserve">Secchi </w:t>
      </w:r>
      <w:r w:rsidR="0060173D">
        <w:rPr>
          <w:rFonts w:cs="Arial"/>
        </w:rPr>
        <w:t>depth</w:t>
      </w:r>
      <w:r w:rsidR="0060173D" w:rsidRPr="00A64BC2">
        <w:rPr>
          <w:rFonts w:cs="Arial"/>
        </w:rPr>
        <w:t xml:space="preserve"> is determined at each station</w:t>
      </w:r>
      <w:r w:rsidR="0060173D">
        <w:rPr>
          <w:rFonts w:cs="Arial"/>
        </w:rPr>
        <w:t xml:space="preserve"> and is </w:t>
      </w:r>
      <w:r w:rsidR="0060173D" w:rsidRPr="00A64BC2">
        <w:rPr>
          <w:rFonts w:cs="Arial"/>
        </w:rPr>
        <w:t xml:space="preserve">deployed </w:t>
      </w:r>
      <w:r w:rsidR="0060173D">
        <w:rPr>
          <w:rFonts w:cs="Arial"/>
        </w:rPr>
        <w:t>on</w:t>
      </w:r>
      <w:r w:rsidR="0060173D" w:rsidRPr="00A64BC2">
        <w:rPr>
          <w:rFonts w:cs="Arial"/>
        </w:rPr>
        <w:t xml:space="preserve"> the shady side of the boat by a person not wearing sunglasses.</w:t>
      </w:r>
    </w:p>
    <w:p w14:paraId="239A5ABF" w14:textId="247D6CA1" w:rsidR="009121A3" w:rsidRDefault="002566C2" w:rsidP="009121A3">
      <w:r w:rsidRPr="00A64BC2">
        <w:t xml:space="preserve">Immediately following the CTD cast, water samples are collected </w:t>
      </w:r>
      <w:r w:rsidR="009121A3" w:rsidRPr="00A64BC2">
        <w:rPr>
          <w:rFonts w:cs="Arial"/>
        </w:rPr>
        <w:t>up to 0.5 m</w:t>
      </w:r>
      <w:r w:rsidR="009121A3">
        <w:rPr>
          <w:rFonts w:cs="Arial"/>
        </w:rPr>
        <w:t>etres</w:t>
      </w:r>
      <w:r w:rsidR="009121A3" w:rsidRPr="00A64BC2">
        <w:rPr>
          <w:rFonts w:cs="Arial"/>
        </w:rPr>
        <w:t xml:space="preserve"> below the surface</w:t>
      </w:r>
      <w:r w:rsidR="009121A3">
        <w:t xml:space="preserve"> and </w:t>
      </w:r>
      <w:r w:rsidR="000923AB">
        <w:t xml:space="preserve">one to two metres from </w:t>
      </w:r>
      <w:r w:rsidR="009121A3">
        <w:t>the bottom</w:t>
      </w:r>
      <w:r w:rsidRPr="00A64BC2">
        <w:t xml:space="preserve">for </w:t>
      </w:r>
      <w:r w:rsidR="009121A3">
        <w:t>laboratory</w:t>
      </w:r>
      <w:r w:rsidR="009121A3" w:rsidRPr="00A64BC2">
        <w:t xml:space="preserve"> </w:t>
      </w:r>
      <w:r w:rsidRPr="00A64BC2">
        <w:t>analyses.</w:t>
      </w:r>
      <w:r w:rsidR="009121A3">
        <w:t xml:space="preserve"> </w:t>
      </w:r>
      <w:r w:rsidR="002E600A" w:rsidRPr="00A64BC2">
        <w:rPr>
          <w:rFonts w:cs="Arial"/>
        </w:rPr>
        <w:t xml:space="preserve">Surface samples are collected with a rinsed clean </w:t>
      </w:r>
      <w:r w:rsidR="000923AB">
        <w:rPr>
          <w:rFonts w:cs="Arial"/>
        </w:rPr>
        <w:t xml:space="preserve">10 L </w:t>
      </w:r>
      <w:r w:rsidR="002E600A" w:rsidRPr="00A64BC2">
        <w:rPr>
          <w:rFonts w:cs="Arial"/>
        </w:rPr>
        <w:t xml:space="preserve">sampling container. </w:t>
      </w:r>
      <w:r w:rsidR="009121A3">
        <w:rPr>
          <w:rFonts w:cs="Arial"/>
        </w:rPr>
        <w:t xml:space="preserve">Depth samples are collected using a rinsed </w:t>
      </w:r>
      <w:r w:rsidR="000923AB">
        <w:rPr>
          <w:rFonts w:cs="Arial"/>
        </w:rPr>
        <w:t xml:space="preserve">5 L </w:t>
      </w:r>
      <w:r w:rsidR="009121A3">
        <w:rPr>
          <w:rFonts w:cs="Arial"/>
        </w:rPr>
        <w:t xml:space="preserve">Niskin bottle; the ‘bottom’ is determined by </w:t>
      </w:r>
      <w:r w:rsidR="000923AB">
        <w:rPr>
          <w:rFonts w:cs="Arial"/>
        </w:rPr>
        <w:t>the depth sounder on the boat</w:t>
      </w:r>
      <w:r w:rsidR="009121A3">
        <w:rPr>
          <w:rFonts w:cs="Arial"/>
        </w:rPr>
        <w:t xml:space="preserve">. The sample is then transferred to a rinsed </w:t>
      </w:r>
      <w:r w:rsidR="000923AB">
        <w:rPr>
          <w:rFonts w:cs="Arial"/>
        </w:rPr>
        <w:t>10 L container</w:t>
      </w:r>
      <w:r w:rsidR="009121A3">
        <w:rPr>
          <w:rFonts w:cs="Arial"/>
        </w:rPr>
        <w:t xml:space="preserve"> where sub samples are taken for different </w:t>
      </w:r>
      <w:r w:rsidR="009121A3" w:rsidRPr="00A64BC2">
        <w:rPr>
          <w:rFonts w:cs="Arial"/>
        </w:rPr>
        <w:t>water quality parameters</w:t>
      </w:r>
      <w:r w:rsidR="000923AB">
        <w:rPr>
          <w:rFonts w:cs="Arial"/>
        </w:rPr>
        <w:t xml:space="preserve"> (see Appendix B1)</w:t>
      </w:r>
      <w:r w:rsidR="009121A3">
        <w:rPr>
          <w:rFonts w:cs="Arial"/>
        </w:rPr>
        <w:t xml:space="preserve">. </w:t>
      </w:r>
      <w:r w:rsidR="009121A3">
        <w:t xml:space="preserve">For the Cape York transects, samples are collected using an extended sampling pole and clean 500 mL bottle due to lack of davits for deploying Niskin samplers. </w:t>
      </w:r>
    </w:p>
    <w:p w14:paraId="4D603977" w14:textId="58AB6263" w:rsidR="009121A3" w:rsidRPr="00A64BC2" w:rsidRDefault="009121A3" w:rsidP="009121A3">
      <w:pPr>
        <w:rPr>
          <w:rFonts w:cs="Arial"/>
        </w:rPr>
      </w:pPr>
      <w:r>
        <w:rPr>
          <w:rFonts w:cs="Arial"/>
        </w:rPr>
        <w:t>The water quality parameters collected for all sites</w:t>
      </w:r>
      <w:r w:rsidRPr="00A64BC2">
        <w:rPr>
          <w:rFonts w:cs="Arial"/>
        </w:rPr>
        <w:t xml:space="preserve"> include:</w:t>
      </w:r>
    </w:p>
    <w:p w14:paraId="7F895D19" w14:textId="79359BA6" w:rsidR="009121A3" w:rsidRPr="006832C0" w:rsidRDefault="009121A3" w:rsidP="009121A3">
      <w:pPr>
        <w:pStyle w:val="ListParagraph"/>
        <w:numPr>
          <w:ilvl w:val="0"/>
          <w:numId w:val="18"/>
        </w:numPr>
        <w:rPr>
          <w:rFonts w:cs="Arial"/>
        </w:rPr>
      </w:pPr>
      <w:r>
        <w:rPr>
          <w:rFonts w:cs="Arial"/>
        </w:rPr>
        <w:t>Concentrations of nitrate/nitrite (NO</w:t>
      </w:r>
      <w:r w:rsidRPr="00124D04">
        <w:rPr>
          <w:rFonts w:cs="Arial"/>
          <w:vertAlign w:val="subscript"/>
        </w:rPr>
        <w:t>x</w:t>
      </w:r>
      <w:r>
        <w:rPr>
          <w:rFonts w:cs="Arial"/>
        </w:rPr>
        <w:t>), ammoni</w:t>
      </w:r>
      <w:r w:rsidR="00AF130F">
        <w:rPr>
          <w:rFonts w:cs="Arial"/>
        </w:rPr>
        <w:t>um</w:t>
      </w:r>
      <w:r>
        <w:rPr>
          <w:rFonts w:cs="Arial"/>
        </w:rPr>
        <w:t xml:space="preserve"> (NH</w:t>
      </w:r>
      <w:r w:rsidR="00AF130F">
        <w:rPr>
          <w:rFonts w:cs="Arial"/>
          <w:vertAlign w:val="subscript"/>
        </w:rPr>
        <w:t>4</w:t>
      </w:r>
      <w:r w:rsidR="00AF130F" w:rsidRPr="00DE7B7B">
        <w:rPr>
          <w:rFonts w:cs="Arial"/>
          <w:vertAlign w:val="superscript"/>
        </w:rPr>
        <w:t>+</w:t>
      </w:r>
      <w:r>
        <w:rPr>
          <w:rFonts w:cs="Arial"/>
        </w:rPr>
        <w:t>),</w:t>
      </w:r>
      <w:r w:rsidR="00AF130F">
        <w:rPr>
          <w:rFonts w:cs="Arial"/>
        </w:rPr>
        <w:t xml:space="preserve"> filterable reactive phosphorus</w:t>
      </w:r>
      <w:r>
        <w:rPr>
          <w:rFonts w:cs="Arial"/>
        </w:rPr>
        <w:t xml:space="preserve"> (</w:t>
      </w:r>
      <w:r w:rsidR="00AF130F">
        <w:rPr>
          <w:rFonts w:cs="Arial"/>
        </w:rPr>
        <w:t>FR</w:t>
      </w:r>
      <w:r>
        <w:rPr>
          <w:rFonts w:cs="Arial"/>
        </w:rPr>
        <w:t>P), total dissolved nitrogen (TDN), total dissolved phosphorus (TDP), total nitrogen (TN), total phosphorus (TP)</w:t>
      </w:r>
    </w:p>
    <w:p w14:paraId="53C5843D" w14:textId="77777777" w:rsidR="009121A3" w:rsidRPr="006832C0" w:rsidRDefault="009121A3" w:rsidP="009121A3">
      <w:pPr>
        <w:pStyle w:val="ListParagraph"/>
        <w:numPr>
          <w:ilvl w:val="0"/>
          <w:numId w:val="18"/>
        </w:numPr>
        <w:rPr>
          <w:rFonts w:cs="Arial"/>
        </w:rPr>
      </w:pPr>
      <w:r>
        <w:rPr>
          <w:rFonts w:cs="Arial"/>
        </w:rPr>
        <w:t xml:space="preserve">Concentrations of chlorophyll </w:t>
      </w:r>
      <w:r w:rsidRPr="00124D04">
        <w:rPr>
          <w:rFonts w:cs="Arial"/>
          <w:i/>
        </w:rPr>
        <w:t>a</w:t>
      </w:r>
      <w:r>
        <w:rPr>
          <w:rFonts w:cs="Arial"/>
        </w:rPr>
        <w:t xml:space="preserve"> (Chl-</w:t>
      </w:r>
      <w:r w:rsidRPr="00124D04">
        <w:rPr>
          <w:rFonts w:cs="Arial"/>
          <w:i/>
        </w:rPr>
        <w:t>a</w:t>
      </w:r>
      <w:r>
        <w:rPr>
          <w:rFonts w:cs="Arial"/>
        </w:rPr>
        <w:t>)</w:t>
      </w:r>
    </w:p>
    <w:p w14:paraId="5B6EF140" w14:textId="77777777" w:rsidR="009121A3" w:rsidRPr="006832C0" w:rsidRDefault="009121A3" w:rsidP="009121A3">
      <w:pPr>
        <w:pStyle w:val="ListParagraph"/>
        <w:numPr>
          <w:ilvl w:val="0"/>
          <w:numId w:val="18"/>
        </w:numPr>
        <w:rPr>
          <w:rFonts w:cs="Arial"/>
        </w:rPr>
      </w:pPr>
      <w:r>
        <w:rPr>
          <w:rFonts w:cs="Arial"/>
        </w:rPr>
        <w:t>Concentrations of total suspended solids (</w:t>
      </w:r>
      <w:r w:rsidRPr="006832C0">
        <w:rPr>
          <w:rFonts w:cs="Arial"/>
        </w:rPr>
        <w:t>TSS</w:t>
      </w:r>
      <w:r>
        <w:rPr>
          <w:rFonts w:cs="Arial"/>
        </w:rPr>
        <w:t>)</w:t>
      </w:r>
    </w:p>
    <w:p w14:paraId="4A29FCF7" w14:textId="7EE7F4E4" w:rsidR="009121A3" w:rsidRPr="006832C0" w:rsidRDefault="009121A3" w:rsidP="009121A3">
      <w:pPr>
        <w:pStyle w:val="ListParagraph"/>
        <w:numPr>
          <w:ilvl w:val="0"/>
          <w:numId w:val="18"/>
        </w:numPr>
        <w:rPr>
          <w:rFonts w:cs="Arial"/>
        </w:rPr>
      </w:pPr>
      <w:r>
        <w:rPr>
          <w:rFonts w:cs="Arial"/>
        </w:rPr>
        <w:t>Colored dissolved organic matter (</w:t>
      </w:r>
      <w:r w:rsidRPr="006832C0">
        <w:rPr>
          <w:rFonts w:cs="Arial"/>
        </w:rPr>
        <w:t>CDOM</w:t>
      </w:r>
      <w:r>
        <w:rPr>
          <w:rFonts w:cs="Arial"/>
        </w:rPr>
        <w:t>)</w:t>
      </w:r>
    </w:p>
    <w:p w14:paraId="47DA6BF8" w14:textId="2E4AFC9E" w:rsidR="009121A3" w:rsidRDefault="009121A3" w:rsidP="009121A3">
      <w:pPr>
        <w:pStyle w:val="ListParagraph"/>
        <w:numPr>
          <w:ilvl w:val="0"/>
          <w:numId w:val="18"/>
        </w:numPr>
        <w:rPr>
          <w:rFonts w:cs="Arial"/>
        </w:rPr>
      </w:pPr>
      <w:r>
        <w:rPr>
          <w:rFonts w:cs="Arial"/>
        </w:rPr>
        <w:t>S</w:t>
      </w:r>
      <w:r w:rsidRPr="006832C0">
        <w:rPr>
          <w:rFonts w:cs="Arial"/>
        </w:rPr>
        <w:t>alinity</w:t>
      </w:r>
    </w:p>
    <w:p w14:paraId="717C42E2" w14:textId="471EBB3B" w:rsidR="00AF130F" w:rsidRDefault="00AF130F" w:rsidP="009121A3">
      <w:pPr>
        <w:pStyle w:val="ListParagraph"/>
        <w:numPr>
          <w:ilvl w:val="0"/>
          <w:numId w:val="18"/>
        </w:numPr>
        <w:rPr>
          <w:rFonts w:cs="Arial"/>
        </w:rPr>
      </w:pPr>
      <w:r>
        <w:rPr>
          <w:rFonts w:cs="Arial"/>
        </w:rPr>
        <w:t>Silcia</w:t>
      </w:r>
    </w:p>
    <w:p w14:paraId="0D9B533E" w14:textId="0BD50F69" w:rsidR="002566C2" w:rsidRDefault="009121A3" w:rsidP="00ED5E1F">
      <w:r>
        <w:rPr>
          <w:rFonts w:cs="Arial"/>
        </w:rPr>
        <w:t xml:space="preserve">Additional </w:t>
      </w:r>
      <w:r>
        <w:t>grab samples are collected for p</w:t>
      </w:r>
      <w:r w:rsidRPr="006832C0">
        <w:t>esticide</w:t>
      </w:r>
      <w:r>
        <w:t xml:space="preserve"> analysis (see</w:t>
      </w:r>
      <w:r w:rsidR="0051554C">
        <w:t xml:space="preserve"> Section </w:t>
      </w:r>
      <w:r w:rsidR="0051554C">
        <w:fldChar w:fldCharType="begin"/>
      </w:r>
      <w:r w:rsidR="0051554C">
        <w:instrText xml:space="preserve"> REF _Ref14685269 \r \h </w:instrText>
      </w:r>
      <w:r w:rsidR="0051554C">
        <w:fldChar w:fldCharType="separate"/>
      </w:r>
      <w:r w:rsidR="0051554C">
        <w:t>4</w:t>
      </w:r>
      <w:r w:rsidR="0051554C">
        <w:fldChar w:fldCharType="end"/>
      </w:r>
      <w:r>
        <w:t>) at the location of passive samplers and potentially across a cross-shelf gradient, depending on the size of the event</w:t>
      </w:r>
      <w:r>
        <w:rPr>
          <w:rFonts w:cs="Arial"/>
        </w:rPr>
        <w:t>.</w:t>
      </w:r>
    </w:p>
    <w:p w14:paraId="5597B534" w14:textId="5AB5387D" w:rsidR="004666F9" w:rsidRDefault="00232FB2" w:rsidP="00ED5E1F">
      <w:r w:rsidRPr="00A64BC2">
        <w:rPr>
          <w:rFonts w:cs="Arial"/>
        </w:rPr>
        <w:t>A summary of the field processing and storage requirements are listed in</w:t>
      </w:r>
      <w:r w:rsidRPr="00AD76A5">
        <w:rPr>
          <w:rFonts w:cs="Arial"/>
        </w:rPr>
        <w:t xml:space="preserve"> </w:t>
      </w:r>
      <w:r w:rsidR="0051554C">
        <w:rPr>
          <w:rFonts w:cs="Arial"/>
        </w:rPr>
        <w:fldChar w:fldCharType="begin"/>
      </w:r>
      <w:r w:rsidR="0051554C">
        <w:rPr>
          <w:rFonts w:cs="Arial"/>
        </w:rPr>
        <w:instrText xml:space="preserve"> REF _Ref14685419 \h </w:instrText>
      </w:r>
      <w:r w:rsidR="0051554C">
        <w:rPr>
          <w:rFonts w:cs="Arial"/>
        </w:rPr>
      </w:r>
      <w:r w:rsidR="0051554C">
        <w:rPr>
          <w:rFonts w:cs="Arial"/>
        </w:rPr>
        <w:fldChar w:fldCharType="separate"/>
      </w:r>
      <w:r w:rsidR="0051554C" w:rsidRPr="00F529DD">
        <w:t xml:space="preserve">Table </w:t>
      </w:r>
      <w:r w:rsidR="0051554C">
        <w:rPr>
          <w:noProof/>
        </w:rPr>
        <w:t>2</w:t>
      </w:r>
      <w:r w:rsidR="0051554C">
        <w:t>.</w:t>
      </w:r>
      <w:r w:rsidR="0051554C">
        <w:rPr>
          <w:noProof/>
        </w:rPr>
        <w:t>2</w:t>
      </w:r>
      <w:r w:rsidR="0051554C">
        <w:rPr>
          <w:rFonts w:cs="Arial"/>
        </w:rPr>
        <w:fldChar w:fldCharType="end"/>
      </w:r>
      <w:r w:rsidR="0051554C">
        <w:rPr>
          <w:rFonts w:cs="Arial"/>
        </w:rPr>
        <w:t xml:space="preserve"> </w:t>
      </w:r>
      <w:r w:rsidR="004666F9">
        <w:t xml:space="preserve">and explained in further detail </w:t>
      </w:r>
      <w:r w:rsidR="00CE604D">
        <w:t xml:space="preserve">in Appendix B1. A summary is provided </w:t>
      </w:r>
      <w:r w:rsidR="004666F9">
        <w:t>below.</w:t>
      </w:r>
    </w:p>
    <w:p w14:paraId="06C0EEF8" w14:textId="279D3F91" w:rsidR="004666F9" w:rsidRPr="00F529DD" w:rsidRDefault="004666F9" w:rsidP="007E5A3A">
      <w:pPr>
        <w:pStyle w:val="Caption"/>
      </w:pPr>
      <w:bookmarkStart w:id="98" w:name="_Ref14685419"/>
      <w:bookmarkStart w:id="99" w:name="_Toc10398443"/>
      <w:r w:rsidRPr="00F529DD">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2</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2</w:t>
      </w:r>
      <w:r w:rsidR="006940F4">
        <w:rPr>
          <w:noProof/>
        </w:rPr>
        <w:fldChar w:fldCharType="end"/>
      </w:r>
      <w:bookmarkEnd w:id="98"/>
      <w:r w:rsidRPr="00F529DD">
        <w:t xml:space="preserve"> </w:t>
      </w:r>
      <w:r w:rsidRPr="009B6881">
        <w:t>Summary of sampling protocols with identification of post-sampling procedures needed, laboratory containers required and storage technique</w:t>
      </w:r>
      <w:r>
        <w:t>s</w:t>
      </w:r>
      <w:r w:rsidRPr="009B6881">
        <w:t>.</w:t>
      </w:r>
      <w:bookmarkEnd w:id="99"/>
    </w:p>
    <w:tbl>
      <w:tblPr>
        <w:tblW w:w="9553"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Caption w:val="Table 2.3 "/>
        <w:tblDescription w:val="Summary of the sampling protocols with identification of post-sampling procedures needed, laboratory containers required, and storage technique."/>
      </w:tblPr>
      <w:tblGrid>
        <w:gridCol w:w="1708"/>
        <w:gridCol w:w="1814"/>
        <w:gridCol w:w="1435"/>
        <w:gridCol w:w="2000"/>
        <w:gridCol w:w="1118"/>
        <w:gridCol w:w="1478"/>
      </w:tblGrid>
      <w:tr w:rsidR="00DE7B7B" w:rsidRPr="00C91FD2" w14:paraId="2912A545" w14:textId="46EACBAC" w:rsidTr="00DE7B7B">
        <w:trPr>
          <w:tblHeader/>
          <w:jc w:val="center"/>
        </w:trPr>
        <w:tc>
          <w:tcPr>
            <w:tcW w:w="1708" w:type="dxa"/>
            <w:shd w:val="clear" w:color="auto" w:fill="D9D9D9"/>
            <w:vAlign w:val="center"/>
          </w:tcPr>
          <w:p w14:paraId="329C55E5" w14:textId="77777777" w:rsidR="00DE7B7B" w:rsidRPr="00C91FD2" w:rsidRDefault="00DE7B7B" w:rsidP="001E1C5B">
            <w:pPr>
              <w:spacing w:before="0" w:after="0" w:line="240" w:lineRule="auto"/>
              <w:contextualSpacing/>
              <w:rPr>
                <w:rFonts w:cs="Arial"/>
                <w:b/>
                <w:sz w:val="20"/>
                <w:szCs w:val="20"/>
              </w:rPr>
            </w:pPr>
            <w:r w:rsidRPr="00C91FD2">
              <w:rPr>
                <w:rFonts w:cs="Arial"/>
                <w:b/>
                <w:sz w:val="20"/>
                <w:szCs w:val="20"/>
              </w:rPr>
              <w:t>Water quality parameter</w:t>
            </w:r>
          </w:p>
        </w:tc>
        <w:tc>
          <w:tcPr>
            <w:tcW w:w="1814" w:type="dxa"/>
            <w:shd w:val="clear" w:color="auto" w:fill="D9D9D9"/>
            <w:vAlign w:val="center"/>
          </w:tcPr>
          <w:p w14:paraId="3297F5B4" w14:textId="77777777" w:rsidR="00DE7B7B" w:rsidRPr="00C91FD2" w:rsidRDefault="00DE7B7B" w:rsidP="001E1C5B">
            <w:pPr>
              <w:spacing w:before="0" w:after="0" w:line="240" w:lineRule="auto"/>
              <w:contextualSpacing/>
              <w:rPr>
                <w:rFonts w:cs="Arial"/>
                <w:b/>
                <w:sz w:val="20"/>
                <w:szCs w:val="20"/>
              </w:rPr>
            </w:pPr>
            <w:r w:rsidRPr="00C91FD2">
              <w:rPr>
                <w:rFonts w:cs="Arial"/>
                <w:b/>
                <w:sz w:val="20"/>
                <w:szCs w:val="20"/>
              </w:rPr>
              <w:t>Field processing</w:t>
            </w:r>
          </w:p>
        </w:tc>
        <w:tc>
          <w:tcPr>
            <w:tcW w:w="1435" w:type="dxa"/>
            <w:shd w:val="clear" w:color="auto" w:fill="D9D9D9"/>
            <w:vAlign w:val="center"/>
          </w:tcPr>
          <w:p w14:paraId="0AB9C71F" w14:textId="77777777" w:rsidR="00DE7B7B" w:rsidRPr="00C91FD2" w:rsidRDefault="00DE7B7B" w:rsidP="001E1C5B">
            <w:pPr>
              <w:spacing w:before="0" w:after="0" w:line="240" w:lineRule="auto"/>
              <w:contextualSpacing/>
              <w:rPr>
                <w:rFonts w:cs="Arial"/>
                <w:b/>
                <w:sz w:val="20"/>
                <w:szCs w:val="20"/>
              </w:rPr>
            </w:pPr>
            <w:r w:rsidRPr="00C91FD2">
              <w:rPr>
                <w:rFonts w:cs="Arial"/>
                <w:b/>
                <w:sz w:val="20"/>
                <w:szCs w:val="20"/>
              </w:rPr>
              <w:t>Post field processing</w:t>
            </w:r>
          </w:p>
        </w:tc>
        <w:tc>
          <w:tcPr>
            <w:tcW w:w="2000" w:type="dxa"/>
            <w:shd w:val="clear" w:color="auto" w:fill="D9D9D9"/>
            <w:vAlign w:val="center"/>
          </w:tcPr>
          <w:p w14:paraId="1418A3BE" w14:textId="77777777" w:rsidR="00DE7B7B" w:rsidRPr="00C91FD2" w:rsidRDefault="00DE7B7B" w:rsidP="001E1C5B">
            <w:pPr>
              <w:spacing w:before="0" w:after="0" w:line="240" w:lineRule="auto"/>
              <w:contextualSpacing/>
              <w:rPr>
                <w:rFonts w:cs="Arial"/>
                <w:b/>
                <w:sz w:val="20"/>
                <w:szCs w:val="20"/>
              </w:rPr>
            </w:pPr>
            <w:r w:rsidRPr="00C91FD2">
              <w:rPr>
                <w:rFonts w:cs="Arial"/>
                <w:b/>
                <w:sz w:val="20"/>
                <w:szCs w:val="20"/>
              </w:rPr>
              <w:t>Laboratory container</w:t>
            </w:r>
          </w:p>
        </w:tc>
        <w:tc>
          <w:tcPr>
            <w:tcW w:w="1118" w:type="dxa"/>
            <w:shd w:val="clear" w:color="auto" w:fill="D9D9D9"/>
            <w:vAlign w:val="center"/>
          </w:tcPr>
          <w:p w14:paraId="104E5B56" w14:textId="77777777" w:rsidR="00DE7B7B" w:rsidRPr="00C91FD2" w:rsidRDefault="00DE7B7B" w:rsidP="001E1C5B">
            <w:pPr>
              <w:spacing w:before="0" w:after="0" w:line="240" w:lineRule="auto"/>
              <w:contextualSpacing/>
              <w:rPr>
                <w:rFonts w:cs="Arial"/>
                <w:b/>
                <w:sz w:val="20"/>
                <w:szCs w:val="20"/>
              </w:rPr>
            </w:pPr>
            <w:r w:rsidRPr="00C91FD2">
              <w:rPr>
                <w:rFonts w:cs="Arial"/>
                <w:b/>
                <w:sz w:val="20"/>
                <w:szCs w:val="20"/>
              </w:rPr>
              <w:t>Storage</w:t>
            </w:r>
          </w:p>
        </w:tc>
        <w:tc>
          <w:tcPr>
            <w:tcW w:w="1478" w:type="dxa"/>
            <w:shd w:val="clear" w:color="auto" w:fill="D9D9D9"/>
          </w:tcPr>
          <w:p w14:paraId="3894616D" w14:textId="2EB07B40" w:rsidR="00DE7B7B" w:rsidRPr="00C91FD2" w:rsidRDefault="00DE7B7B" w:rsidP="001E1C5B">
            <w:pPr>
              <w:spacing w:before="0" w:after="0" w:line="240" w:lineRule="auto"/>
              <w:contextualSpacing/>
              <w:rPr>
                <w:rFonts w:cs="Arial"/>
                <w:b/>
                <w:sz w:val="20"/>
                <w:szCs w:val="20"/>
              </w:rPr>
            </w:pPr>
            <w:r w:rsidRPr="00C91FD2">
              <w:rPr>
                <w:rFonts w:cs="Arial"/>
                <w:b/>
                <w:sz w:val="20"/>
                <w:szCs w:val="20"/>
              </w:rPr>
              <w:t>Laboratory method</w:t>
            </w:r>
          </w:p>
        </w:tc>
      </w:tr>
      <w:tr w:rsidR="00DE7B7B" w:rsidRPr="00C91FD2" w14:paraId="2D1E0281" w14:textId="2F6A5835" w:rsidTr="00DE7B7B">
        <w:trPr>
          <w:jc w:val="center"/>
        </w:trPr>
        <w:tc>
          <w:tcPr>
            <w:tcW w:w="1708" w:type="dxa"/>
            <w:vAlign w:val="center"/>
          </w:tcPr>
          <w:p w14:paraId="4B5B164B" w14:textId="4E2EE381" w:rsidR="00DE7B7B" w:rsidRPr="00C91FD2" w:rsidRDefault="00DE7B7B" w:rsidP="001E1C5B">
            <w:pPr>
              <w:spacing w:before="0" w:after="0" w:line="240" w:lineRule="auto"/>
              <w:contextualSpacing/>
              <w:rPr>
                <w:rFonts w:cs="Arial"/>
                <w:sz w:val="20"/>
                <w:szCs w:val="20"/>
              </w:rPr>
            </w:pPr>
            <w:r w:rsidRPr="00C91FD2">
              <w:rPr>
                <w:rFonts w:cs="Arial"/>
                <w:sz w:val="20"/>
                <w:szCs w:val="20"/>
              </w:rPr>
              <w:t>Oxidised nitrogen (nitrate + nitrite: NO</w:t>
            </w:r>
            <w:r w:rsidRPr="00C91FD2">
              <w:rPr>
                <w:rFonts w:cs="Arial"/>
                <w:sz w:val="20"/>
                <w:szCs w:val="20"/>
                <w:vertAlign w:val="subscript"/>
              </w:rPr>
              <w:t>x</w:t>
            </w:r>
            <w:r w:rsidRPr="00C91FD2">
              <w:rPr>
                <w:rFonts w:cs="Arial"/>
                <w:sz w:val="20"/>
                <w:szCs w:val="20"/>
              </w:rPr>
              <w:t>)</w:t>
            </w:r>
          </w:p>
        </w:tc>
        <w:tc>
          <w:tcPr>
            <w:tcW w:w="1814" w:type="dxa"/>
            <w:vAlign w:val="center"/>
          </w:tcPr>
          <w:p w14:paraId="00730701" w14:textId="3212F21F" w:rsidR="00DE7B7B" w:rsidRPr="00C91FD2" w:rsidRDefault="00DE7B7B" w:rsidP="001E1C5B">
            <w:pPr>
              <w:spacing w:before="0" w:after="0" w:line="240" w:lineRule="auto"/>
              <w:contextualSpacing/>
              <w:rPr>
                <w:rFonts w:cs="Arial"/>
                <w:sz w:val="20"/>
                <w:szCs w:val="20"/>
              </w:rPr>
            </w:pPr>
            <w:r w:rsidRPr="00C91FD2">
              <w:rPr>
                <w:rFonts w:cs="Arial"/>
                <w:sz w:val="20"/>
                <w:szCs w:val="20"/>
              </w:rPr>
              <w:t>Filtered sample (0.45 µm)</w:t>
            </w:r>
          </w:p>
        </w:tc>
        <w:tc>
          <w:tcPr>
            <w:tcW w:w="1435" w:type="dxa"/>
            <w:vAlign w:val="center"/>
          </w:tcPr>
          <w:p w14:paraId="57E056FA" w14:textId="77777777" w:rsidR="00DE7B7B" w:rsidRPr="00C91FD2" w:rsidRDefault="00DE7B7B" w:rsidP="001E1C5B">
            <w:pPr>
              <w:spacing w:before="0" w:after="0" w:line="240" w:lineRule="auto"/>
              <w:contextualSpacing/>
              <w:rPr>
                <w:rFonts w:cs="Arial"/>
                <w:sz w:val="20"/>
                <w:szCs w:val="20"/>
              </w:rPr>
            </w:pPr>
            <w:r w:rsidRPr="00C91FD2">
              <w:rPr>
                <w:rFonts w:cs="Arial"/>
                <w:sz w:val="20"/>
                <w:szCs w:val="20"/>
              </w:rPr>
              <w:t>n/a</w:t>
            </w:r>
          </w:p>
        </w:tc>
        <w:tc>
          <w:tcPr>
            <w:tcW w:w="2000" w:type="dxa"/>
            <w:vAlign w:val="center"/>
          </w:tcPr>
          <w:p w14:paraId="547595B4" w14:textId="77777777" w:rsidR="00DE7B7B" w:rsidRPr="00C91FD2" w:rsidRDefault="00DE7B7B" w:rsidP="001E1C5B">
            <w:pPr>
              <w:spacing w:before="0" w:after="0" w:line="240" w:lineRule="auto"/>
              <w:contextualSpacing/>
              <w:rPr>
                <w:rFonts w:cs="Arial"/>
                <w:sz w:val="20"/>
                <w:szCs w:val="20"/>
              </w:rPr>
            </w:pPr>
            <w:r w:rsidRPr="00C91FD2">
              <w:rPr>
                <w:rFonts w:cs="Arial"/>
                <w:sz w:val="20"/>
                <w:szCs w:val="20"/>
              </w:rPr>
              <w:t>10 mL plastic tube</w:t>
            </w:r>
          </w:p>
        </w:tc>
        <w:tc>
          <w:tcPr>
            <w:tcW w:w="1118" w:type="dxa"/>
            <w:vAlign w:val="center"/>
          </w:tcPr>
          <w:p w14:paraId="3DFCFA60" w14:textId="77777777" w:rsidR="00DE7B7B" w:rsidRPr="00C91FD2" w:rsidRDefault="00DE7B7B" w:rsidP="001E1C5B">
            <w:pPr>
              <w:spacing w:before="0" w:after="0" w:line="240" w:lineRule="auto"/>
              <w:contextualSpacing/>
              <w:rPr>
                <w:rFonts w:cs="Arial"/>
                <w:sz w:val="20"/>
                <w:szCs w:val="20"/>
              </w:rPr>
            </w:pPr>
            <w:r w:rsidRPr="00C91FD2">
              <w:rPr>
                <w:rFonts w:cs="Arial"/>
                <w:sz w:val="20"/>
                <w:szCs w:val="20"/>
              </w:rPr>
              <w:t>Frozen</w:t>
            </w:r>
          </w:p>
        </w:tc>
        <w:tc>
          <w:tcPr>
            <w:tcW w:w="1478" w:type="dxa"/>
          </w:tcPr>
          <w:p w14:paraId="1DC6B948" w14:textId="553B2B31" w:rsidR="00DE7B7B" w:rsidRPr="00C91FD2" w:rsidRDefault="00DE7B7B" w:rsidP="001E1C5B">
            <w:pPr>
              <w:spacing w:before="0" w:after="0" w:line="240" w:lineRule="auto"/>
              <w:contextualSpacing/>
              <w:rPr>
                <w:rFonts w:cs="Arial"/>
                <w:sz w:val="20"/>
                <w:szCs w:val="20"/>
              </w:rPr>
            </w:pPr>
            <w:r w:rsidRPr="00C91FD2">
              <w:rPr>
                <w:rFonts w:cs="Arial"/>
                <w:sz w:val="20"/>
                <w:szCs w:val="20"/>
              </w:rPr>
              <w:t>Appendix B7</w:t>
            </w:r>
          </w:p>
        </w:tc>
      </w:tr>
      <w:tr w:rsidR="00DE7B7B" w:rsidRPr="00C91FD2" w14:paraId="3BB5132D" w14:textId="6BBEB254" w:rsidTr="00DE7B7B">
        <w:trPr>
          <w:jc w:val="center"/>
        </w:trPr>
        <w:tc>
          <w:tcPr>
            <w:tcW w:w="1708" w:type="dxa"/>
            <w:vAlign w:val="center"/>
          </w:tcPr>
          <w:p w14:paraId="1E7B468A" w14:textId="6668A38C" w:rsidR="00DE7B7B" w:rsidRPr="00C91FD2" w:rsidRDefault="00DE7B7B" w:rsidP="00AF130F">
            <w:pPr>
              <w:spacing w:before="0" w:after="0" w:line="240" w:lineRule="auto"/>
              <w:contextualSpacing/>
              <w:rPr>
                <w:rFonts w:cs="Arial"/>
                <w:sz w:val="20"/>
                <w:szCs w:val="20"/>
              </w:rPr>
            </w:pPr>
            <w:r w:rsidRPr="00C91FD2">
              <w:rPr>
                <w:rFonts w:cs="Arial"/>
                <w:sz w:val="20"/>
                <w:szCs w:val="20"/>
              </w:rPr>
              <w:t>Ammonium (NH</w:t>
            </w:r>
            <w:r w:rsidRPr="00C91FD2">
              <w:rPr>
                <w:rFonts w:cs="Arial"/>
                <w:sz w:val="20"/>
                <w:szCs w:val="20"/>
                <w:vertAlign w:val="subscript"/>
              </w:rPr>
              <w:t>4</w:t>
            </w:r>
            <w:r w:rsidRPr="00C91FD2">
              <w:rPr>
                <w:rFonts w:cs="Arial"/>
                <w:sz w:val="20"/>
                <w:szCs w:val="20"/>
                <w:vertAlign w:val="superscript"/>
              </w:rPr>
              <w:t>+</w:t>
            </w:r>
            <w:r w:rsidRPr="00C91FD2">
              <w:rPr>
                <w:rFonts w:cs="Arial"/>
                <w:sz w:val="20"/>
                <w:szCs w:val="20"/>
              </w:rPr>
              <w:t>)</w:t>
            </w:r>
          </w:p>
        </w:tc>
        <w:tc>
          <w:tcPr>
            <w:tcW w:w="1814" w:type="dxa"/>
            <w:vAlign w:val="center"/>
          </w:tcPr>
          <w:p w14:paraId="7A4DD141" w14:textId="467C2162" w:rsidR="00DE7B7B" w:rsidRPr="00C91FD2" w:rsidRDefault="00DE7B7B" w:rsidP="00AF130F">
            <w:pPr>
              <w:spacing w:before="0" w:after="0" w:line="240" w:lineRule="auto"/>
              <w:contextualSpacing/>
              <w:rPr>
                <w:rFonts w:cs="Arial"/>
                <w:sz w:val="20"/>
                <w:szCs w:val="20"/>
              </w:rPr>
            </w:pPr>
            <w:r w:rsidRPr="00C91FD2">
              <w:rPr>
                <w:rFonts w:cs="Arial"/>
                <w:sz w:val="20"/>
                <w:szCs w:val="20"/>
              </w:rPr>
              <w:t>Filtered sample (0.45 µm)</w:t>
            </w:r>
          </w:p>
        </w:tc>
        <w:tc>
          <w:tcPr>
            <w:tcW w:w="1435" w:type="dxa"/>
            <w:vAlign w:val="center"/>
          </w:tcPr>
          <w:p w14:paraId="1661A280" w14:textId="5795D2CA"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2000" w:type="dxa"/>
            <w:vAlign w:val="center"/>
          </w:tcPr>
          <w:p w14:paraId="3AA3D3F4" w14:textId="29C4870C" w:rsidR="00DE7B7B" w:rsidRPr="00C91FD2" w:rsidRDefault="00DE7B7B" w:rsidP="00AF130F">
            <w:pPr>
              <w:spacing w:before="0" w:after="0" w:line="240" w:lineRule="auto"/>
              <w:contextualSpacing/>
              <w:rPr>
                <w:rFonts w:cs="Arial"/>
                <w:sz w:val="20"/>
                <w:szCs w:val="20"/>
              </w:rPr>
            </w:pPr>
            <w:r w:rsidRPr="00C91FD2">
              <w:rPr>
                <w:rFonts w:cs="Arial"/>
                <w:sz w:val="20"/>
                <w:szCs w:val="20"/>
              </w:rPr>
              <w:t>10 mL plastic tube</w:t>
            </w:r>
          </w:p>
        </w:tc>
        <w:tc>
          <w:tcPr>
            <w:tcW w:w="1118" w:type="dxa"/>
            <w:vAlign w:val="center"/>
          </w:tcPr>
          <w:p w14:paraId="3A070E1C" w14:textId="737D8DE8" w:rsidR="00DE7B7B" w:rsidRPr="00C91FD2" w:rsidRDefault="00DE7B7B" w:rsidP="00AF130F">
            <w:pPr>
              <w:spacing w:before="0" w:after="0" w:line="240" w:lineRule="auto"/>
              <w:contextualSpacing/>
              <w:rPr>
                <w:rFonts w:cs="Arial"/>
                <w:sz w:val="20"/>
                <w:szCs w:val="20"/>
              </w:rPr>
            </w:pPr>
            <w:r w:rsidRPr="00C91FD2">
              <w:rPr>
                <w:rFonts w:cs="Arial"/>
                <w:sz w:val="20"/>
                <w:szCs w:val="20"/>
              </w:rPr>
              <w:t>Frozen</w:t>
            </w:r>
          </w:p>
        </w:tc>
        <w:tc>
          <w:tcPr>
            <w:tcW w:w="1478" w:type="dxa"/>
          </w:tcPr>
          <w:p w14:paraId="0DCC430B" w14:textId="4DD09AB6" w:rsidR="00DE7B7B" w:rsidRPr="00C91FD2" w:rsidRDefault="00DE7B7B" w:rsidP="00AF130F">
            <w:pPr>
              <w:spacing w:before="0" w:after="0" w:line="240" w:lineRule="auto"/>
              <w:contextualSpacing/>
              <w:rPr>
                <w:rFonts w:cs="Arial"/>
                <w:sz w:val="20"/>
                <w:szCs w:val="20"/>
              </w:rPr>
            </w:pPr>
            <w:r w:rsidRPr="00C91FD2">
              <w:rPr>
                <w:rFonts w:cs="Arial"/>
                <w:sz w:val="20"/>
                <w:szCs w:val="20"/>
              </w:rPr>
              <w:t>Appendix B5</w:t>
            </w:r>
          </w:p>
        </w:tc>
      </w:tr>
      <w:tr w:rsidR="00DE7B7B" w:rsidRPr="00C91FD2" w14:paraId="212C6F59" w14:textId="7034C0A7" w:rsidTr="00DE7B7B">
        <w:trPr>
          <w:jc w:val="center"/>
        </w:trPr>
        <w:tc>
          <w:tcPr>
            <w:tcW w:w="1708" w:type="dxa"/>
            <w:vAlign w:val="center"/>
          </w:tcPr>
          <w:p w14:paraId="7352C93B" w14:textId="44427353" w:rsidR="00DE7B7B" w:rsidRPr="00C91FD2" w:rsidRDefault="00DE7B7B" w:rsidP="00AF130F">
            <w:pPr>
              <w:spacing w:before="0" w:after="0" w:line="240" w:lineRule="auto"/>
              <w:contextualSpacing/>
              <w:rPr>
                <w:rFonts w:cs="Arial"/>
                <w:sz w:val="20"/>
                <w:szCs w:val="20"/>
              </w:rPr>
            </w:pPr>
            <w:r w:rsidRPr="00C91FD2">
              <w:rPr>
                <w:rFonts w:cs="Arial"/>
                <w:sz w:val="20"/>
                <w:szCs w:val="20"/>
              </w:rPr>
              <w:t>Total dissolved nitrogen (TDN)</w:t>
            </w:r>
          </w:p>
        </w:tc>
        <w:tc>
          <w:tcPr>
            <w:tcW w:w="1814" w:type="dxa"/>
            <w:vAlign w:val="center"/>
          </w:tcPr>
          <w:p w14:paraId="49FEC961" w14:textId="784ED6F8" w:rsidR="00DE7B7B" w:rsidRPr="00C91FD2" w:rsidRDefault="00DE7B7B" w:rsidP="00AF130F">
            <w:pPr>
              <w:spacing w:before="0" w:after="0" w:line="240" w:lineRule="auto"/>
              <w:contextualSpacing/>
              <w:rPr>
                <w:rFonts w:cs="Arial"/>
                <w:sz w:val="20"/>
                <w:szCs w:val="20"/>
              </w:rPr>
            </w:pPr>
            <w:r w:rsidRPr="00C91FD2">
              <w:rPr>
                <w:rFonts w:cs="Arial"/>
                <w:sz w:val="20"/>
                <w:szCs w:val="20"/>
              </w:rPr>
              <w:t>Filtered sample (0.45 µm)</w:t>
            </w:r>
          </w:p>
        </w:tc>
        <w:tc>
          <w:tcPr>
            <w:tcW w:w="1435" w:type="dxa"/>
            <w:vAlign w:val="center"/>
          </w:tcPr>
          <w:p w14:paraId="4E806C46"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2000" w:type="dxa"/>
            <w:vAlign w:val="center"/>
          </w:tcPr>
          <w:p w14:paraId="2FC691B2"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10 mL plastic tube</w:t>
            </w:r>
          </w:p>
        </w:tc>
        <w:tc>
          <w:tcPr>
            <w:tcW w:w="1118" w:type="dxa"/>
            <w:vAlign w:val="center"/>
          </w:tcPr>
          <w:p w14:paraId="6FD03274"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Frozen</w:t>
            </w:r>
          </w:p>
        </w:tc>
        <w:tc>
          <w:tcPr>
            <w:tcW w:w="1478" w:type="dxa"/>
          </w:tcPr>
          <w:p w14:paraId="32CFC7B2" w14:textId="15924D3B" w:rsidR="00DE7B7B" w:rsidRPr="00C91FD2" w:rsidRDefault="00DE7B7B" w:rsidP="00AF130F">
            <w:pPr>
              <w:spacing w:before="0" w:after="0" w:line="240" w:lineRule="auto"/>
              <w:contextualSpacing/>
              <w:rPr>
                <w:rFonts w:cs="Arial"/>
                <w:sz w:val="20"/>
                <w:szCs w:val="20"/>
              </w:rPr>
            </w:pPr>
            <w:r w:rsidRPr="00C91FD2">
              <w:rPr>
                <w:rFonts w:cs="Arial"/>
                <w:sz w:val="20"/>
                <w:szCs w:val="20"/>
              </w:rPr>
              <w:t>Appendix B8</w:t>
            </w:r>
          </w:p>
        </w:tc>
      </w:tr>
      <w:tr w:rsidR="00DE7B7B" w:rsidRPr="00C91FD2" w14:paraId="02D42AF6" w14:textId="682CC969" w:rsidTr="00DE7B7B">
        <w:trPr>
          <w:jc w:val="center"/>
        </w:trPr>
        <w:tc>
          <w:tcPr>
            <w:tcW w:w="1708" w:type="dxa"/>
            <w:vAlign w:val="center"/>
          </w:tcPr>
          <w:p w14:paraId="40B86FB1" w14:textId="7FCE59B4" w:rsidR="00DE7B7B" w:rsidRPr="00C91FD2" w:rsidRDefault="00DE7B7B" w:rsidP="00AF130F">
            <w:pPr>
              <w:spacing w:before="0" w:after="0" w:line="240" w:lineRule="auto"/>
              <w:contextualSpacing/>
              <w:rPr>
                <w:rFonts w:cs="Arial"/>
                <w:sz w:val="20"/>
                <w:szCs w:val="20"/>
              </w:rPr>
            </w:pPr>
            <w:r w:rsidRPr="00C91FD2">
              <w:rPr>
                <w:rFonts w:cs="Arial"/>
                <w:sz w:val="20"/>
                <w:szCs w:val="20"/>
              </w:rPr>
              <w:t>Particulate nitrogen (PN)</w:t>
            </w:r>
          </w:p>
        </w:tc>
        <w:tc>
          <w:tcPr>
            <w:tcW w:w="1814" w:type="dxa"/>
            <w:vAlign w:val="center"/>
          </w:tcPr>
          <w:p w14:paraId="7EA1A247" w14:textId="79C91054"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1435" w:type="dxa"/>
            <w:vAlign w:val="center"/>
          </w:tcPr>
          <w:p w14:paraId="19DB7ADA" w14:textId="245B748E" w:rsidR="00DE7B7B" w:rsidRPr="00C91FD2" w:rsidRDefault="00DE7B7B" w:rsidP="00AF130F">
            <w:pPr>
              <w:spacing w:before="0" w:after="0" w:line="240" w:lineRule="auto"/>
              <w:contextualSpacing/>
              <w:rPr>
                <w:rFonts w:cs="Arial"/>
                <w:sz w:val="20"/>
                <w:szCs w:val="20"/>
              </w:rPr>
            </w:pPr>
            <w:r w:rsidRPr="00C91FD2">
              <w:rPr>
                <w:rFonts w:cs="Arial"/>
                <w:sz w:val="20"/>
                <w:szCs w:val="20"/>
              </w:rPr>
              <w:t>Calculated via difference between TN and TDN</w:t>
            </w:r>
          </w:p>
        </w:tc>
        <w:tc>
          <w:tcPr>
            <w:tcW w:w="2000" w:type="dxa"/>
            <w:vAlign w:val="center"/>
          </w:tcPr>
          <w:p w14:paraId="1404B6D1" w14:textId="33514047"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1118" w:type="dxa"/>
            <w:vAlign w:val="center"/>
          </w:tcPr>
          <w:p w14:paraId="13E63D8E" w14:textId="4F1BBA09"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1478" w:type="dxa"/>
          </w:tcPr>
          <w:p w14:paraId="1937A181" w14:textId="77777777" w:rsidR="00DE7B7B" w:rsidRPr="00C91FD2" w:rsidRDefault="00DE7B7B" w:rsidP="00AF130F">
            <w:pPr>
              <w:spacing w:before="0" w:after="0" w:line="240" w:lineRule="auto"/>
              <w:contextualSpacing/>
              <w:rPr>
                <w:rFonts w:cs="Arial"/>
                <w:sz w:val="20"/>
                <w:szCs w:val="20"/>
              </w:rPr>
            </w:pPr>
          </w:p>
        </w:tc>
      </w:tr>
      <w:tr w:rsidR="00DE7B7B" w:rsidRPr="00C91FD2" w14:paraId="7C20CA44" w14:textId="063B9BF9" w:rsidTr="00DE7B7B">
        <w:trPr>
          <w:jc w:val="center"/>
        </w:trPr>
        <w:tc>
          <w:tcPr>
            <w:tcW w:w="1708" w:type="dxa"/>
            <w:vAlign w:val="center"/>
          </w:tcPr>
          <w:p w14:paraId="2080BF97" w14:textId="5070337B" w:rsidR="00DE7B7B" w:rsidRPr="00C91FD2" w:rsidRDefault="00DE7B7B" w:rsidP="00AF130F">
            <w:pPr>
              <w:spacing w:before="0" w:after="0" w:line="240" w:lineRule="auto"/>
              <w:contextualSpacing/>
              <w:rPr>
                <w:rFonts w:cs="Arial"/>
                <w:sz w:val="20"/>
                <w:szCs w:val="20"/>
              </w:rPr>
            </w:pPr>
            <w:r w:rsidRPr="00C91FD2">
              <w:rPr>
                <w:rFonts w:cs="Arial"/>
                <w:sz w:val="20"/>
                <w:szCs w:val="20"/>
              </w:rPr>
              <w:t>Particulate phosphorus (PP)</w:t>
            </w:r>
          </w:p>
        </w:tc>
        <w:tc>
          <w:tcPr>
            <w:tcW w:w="1814" w:type="dxa"/>
            <w:vAlign w:val="center"/>
          </w:tcPr>
          <w:p w14:paraId="0642BB62" w14:textId="5415761B"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1435" w:type="dxa"/>
            <w:vAlign w:val="center"/>
          </w:tcPr>
          <w:p w14:paraId="491B5992" w14:textId="5660CC1D" w:rsidR="00DE7B7B" w:rsidRPr="00C91FD2" w:rsidRDefault="00DE7B7B" w:rsidP="00AF130F">
            <w:pPr>
              <w:spacing w:before="0" w:after="0" w:line="240" w:lineRule="auto"/>
              <w:contextualSpacing/>
              <w:rPr>
                <w:rFonts w:cs="Arial"/>
                <w:sz w:val="20"/>
                <w:szCs w:val="20"/>
              </w:rPr>
            </w:pPr>
            <w:r w:rsidRPr="00C91FD2">
              <w:rPr>
                <w:rFonts w:cs="Arial"/>
                <w:sz w:val="20"/>
                <w:szCs w:val="20"/>
              </w:rPr>
              <w:t>Calculated via difference between TP and TDP</w:t>
            </w:r>
          </w:p>
        </w:tc>
        <w:tc>
          <w:tcPr>
            <w:tcW w:w="2000" w:type="dxa"/>
            <w:vAlign w:val="center"/>
          </w:tcPr>
          <w:p w14:paraId="39480E01" w14:textId="1D6C24C2"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1118" w:type="dxa"/>
            <w:vAlign w:val="center"/>
          </w:tcPr>
          <w:p w14:paraId="1C4E1FA5" w14:textId="74DC5B3F"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1478" w:type="dxa"/>
          </w:tcPr>
          <w:p w14:paraId="37DB4539" w14:textId="77777777" w:rsidR="00DE7B7B" w:rsidRPr="00C91FD2" w:rsidRDefault="00DE7B7B" w:rsidP="00AF130F">
            <w:pPr>
              <w:spacing w:before="0" w:after="0" w:line="240" w:lineRule="auto"/>
              <w:contextualSpacing/>
              <w:rPr>
                <w:rFonts w:cs="Arial"/>
                <w:sz w:val="20"/>
                <w:szCs w:val="20"/>
              </w:rPr>
            </w:pPr>
          </w:p>
        </w:tc>
      </w:tr>
      <w:tr w:rsidR="00DE7B7B" w:rsidRPr="00C91FD2" w14:paraId="2B89FF5A" w14:textId="71FB6429" w:rsidTr="00DE7B7B">
        <w:trPr>
          <w:jc w:val="center"/>
        </w:trPr>
        <w:tc>
          <w:tcPr>
            <w:tcW w:w="1708" w:type="dxa"/>
            <w:vAlign w:val="center"/>
          </w:tcPr>
          <w:p w14:paraId="10FC7DEE" w14:textId="485E42B1" w:rsidR="00DE7B7B" w:rsidRPr="00C91FD2" w:rsidRDefault="00DE7B7B" w:rsidP="00AF130F">
            <w:pPr>
              <w:spacing w:before="0" w:after="0" w:line="240" w:lineRule="auto"/>
              <w:contextualSpacing/>
              <w:rPr>
                <w:rFonts w:cs="Arial"/>
                <w:sz w:val="20"/>
                <w:szCs w:val="20"/>
              </w:rPr>
            </w:pPr>
            <w:r w:rsidRPr="00C91FD2">
              <w:rPr>
                <w:rFonts w:cs="Arial"/>
                <w:sz w:val="20"/>
                <w:szCs w:val="20"/>
              </w:rPr>
              <w:t>Filterable reactivephosphorus (DIP)</w:t>
            </w:r>
          </w:p>
        </w:tc>
        <w:tc>
          <w:tcPr>
            <w:tcW w:w="1814" w:type="dxa"/>
            <w:vAlign w:val="center"/>
          </w:tcPr>
          <w:p w14:paraId="4177C43D" w14:textId="633168AD" w:rsidR="00DE7B7B" w:rsidRPr="00C91FD2" w:rsidRDefault="00DE7B7B" w:rsidP="00AF130F">
            <w:pPr>
              <w:spacing w:before="0" w:after="0" w:line="240" w:lineRule="auto"/>
              <w:contextualSpacing/>
              <w:rPr>
                <w:rFonts w:cs="Arial"/>
                <w:sz w:val="20"/>
                <w:szCs w:val="20"/>
              </w:rPr>
            </w:pPr>
            <w:r w:rsidRPr="00C91FD2">
              <w:rPr>
                <w:rFonts w:cs="Arial"/>
                <w:sz w:val="20"/>
                <w:szCs w:val="20"/>
              </w:rPr>
              <w:t>Filtered sample (0.45 µm)</w:t>
            </w:r>
          </w:p>
        </w:tc>
        <w:tc>
          <w:tcPr>
            <w:tcW w:w="1435" w:type="dxa"/>
            <w:vAlign w:val="center"/>
          </w:tcPr>
          <w:p w14:paraId="2AB03B84"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2000" w:type="dxa"/>
            <w:vAlign w:val="center"/>
          </w:tcPr>
          <w:p w14:paraId="45E80B3F"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10 mL plastic tube</w:t>
            </w:r>
          </w:p>
        </w:tc>
        <w:tc>
          <w:tcPr>
            <w:tcW w:w="1118" w:type="dxa"/>
            <w:vAlign w:val="center"/>
          </w:tcPr>
          <w:p w14:paraId="720456FC"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Frozen</w:t>
            </w:r>
          </w:p>
        </w:tc>
        <w:tc>
          <w:tcPr>
            <w:tcW w:w="1478" w:type="dxa"/>
          </w:tcPr>
          <w:p w14:paraId="543E6B89" w14:textId="435FAD45" w:rsidR="00DE7B7B" w:rsidRPr="00C91FD2" w:rsidRDefault="00DE7B7B" w:rsidP="00AF130F">
            <w:pPr>
              <w:spacing w:before="0" w:after="0" w:line="240" w:lineRule="auto"/>
              <w:contextualSpacing/>
              <w:rPr>
                <w:rFonts w:cs="Arial"/>
                <w:sz w:val="20"/>
                <w:szCs w:val="20"/>
              </w:rPr>
            </w:pPr>
            <w:r w:rsidRPr="00C91FD2">
              <w:rPr>
                <w:rFonts w:cs="Arial"/>
                <w:sz w:val="20"/>
                <w:szCs w:val="20"/>
              </w:rPr>
              <w:t>Appendix B6</w:t>
            </w:r>
          </w:p>
        </w:tc>
      </w:tr>
      <w:tr w:rsidR="00DE7B7B" w:rsidRPr="00C91FD2" w14:paraId="5C477208" w14:textId="79B03D4F" w:rsidTr="00DE7B7B">
        <w:trPr>
          <w:jc w:val="center"/>
        </w:trPr>
        <w:tc>
          <w:tcPr>
            <w:tcW w:w="1708" w:type="dxa"/>
            <w:vAlign w:val="center"/>
          </w:tcPr>
          <w:p w14:paraId="6815F8A2" w14:textId="33B3153E" w:rsidR="00DE7B7B" w:rsidRPr="00C91FD2" w:rsidRDefault="00DE7B7B" w:rsidP="00AF130F">
            <w:pPr>
              <w:spacing w:before="0" w:after="0" w:line="240" w:lineRule="auto"/>
              <w:contextualSpacing/>
              <w:rPr>
                <w:rFonts w:cs="Arial"/>
                <w:sz w:val="20"/>
                <w:szCs w:val="20"/>
              </w:rPr>
            </w:pPr>
            <w:r w:rsidRPr="00C91FD2">
              <w:rPr>
                <w:rFonts w:cs="Arial"/>
                <w:sz w:val="20"/>
                <w:szCs w:val="20"/>
              </w:rPr>
              <w:t>Total dissolved phosphorus (TDP)</w:t>
            </w:r>
          </w:p>
        </w:tc>
        <w:tc>
          <w:tcPr>
            <w:tcW w:w="1814" w:type="dxa"/>
            <w:vAlign w:val="center"/>
          </w:tcPr>
          <w:p w14:paraId="2DF04FFF" w14:textId="5010E5B7" w:rsidR="00DE7B7B" w:rsidRPr="00C91FD2" w:rsidRDefault="00DE7B7B" w:rsidP="00AF130F">
            <w:pPr>
              <w:spacing w:before="0" w:after="0" w:line="240" w:lineRule="auto"/>
              <w:contextualSpacing/>
              <w:rPr>
                <w:rFonts w:cs="Arial"/>
                <w:sz w:val="20"/>
                <w:szCs w:val="20"/>
              </w:rPr>
            </w:pPr>
            <w:r w:rsidRPr="00C91FD2">
              <w:rPr>
                <w:rFonts w:cs="Arial"/>
                <w:sz w:val="20"/>
                <w:szCs w:val="20"/>
              </w:rPr>
              <w:t>Filtered sample (0.45 µm)</w:t>
            </w:r>
          </w:p>
        </w:tc>
        <w:tc>
          <w:tcPr>
            <w:tcW w:w="1435" w:type="dxa"/>
            <w:vAlign w:val="center"/>
          </w:tcPr>
          <w:p w14:paraId="7739A7C0"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2000" w:type="dxa"/>
            <w:vAlign w:val="center"/>
          </w:tcPr>
          <w:p w14:paraId="79E560D7"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10 mL plastic tube</w:t>
            </w:r>
          </w:p>
        </w:tc>
        <w:tc>
          <w:tcPr>
            <w:tcW w:w="1118" w:type="dxa"/>
            <w:vAlign w:val="center"/>
          </w:tcPr>
          <w:p w14:paraId="6FC10E1D"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Frozen</w:t>
            </w:r>
          </w:p>
        </w:tc>
        <w:tc>
          <w:tcPr>
            <w:tcW w:w="1478" w:type="dxa"/>
          </w:tcPr>
          <w:p w14:paraId="792CF808" w14:textId="7474B283" w:rsidR="00DE7B7B" w:rsidRPr="00C91FD2" w:rsidRDefault="00DE7B7B" w:rsidP="00AF130F">
            <w:pPr>
              <w:spacing w:before="0" w:after="0" w:line="240" w:lineRule="auto"/>
              <w:contextualSpacing/>
              <w:rPr>
                <w:rFonts w:cs="Arial"/>
                <w:sz w:val="20"/>
                <w:szCs w:val="20"/>
              </w:rPr>
            </w:pPr>
            <w:r w:rsidRPr="00C91FD2">
              <w:rPr>
                <w:rFonts w:cs="Arial"/>
                <w:sz w:val="20"/>
                <w:szCs w:val="20"/>
              </w:rPr>
              <w:t>Appendix B9</w:t>
            </w:r>
          </w:p>
        </w:tc>
      </w:tr>
      <w:tr w:rsidR="00DE7B7B" w:rsidRPr="00C91FD2" w14:paraId="4CEEB268" w14:textId="4D344052" w:rsidTr="00DE7B7B">
        <w:trPr>
          <w:jc w:val="center"/>
        </w:trPr>
        <w:tc>
          <w:tcPr>
            <w:tcW w:w="1708" w:type="dxa"/>
            <w:vAlign w:val="center"/>
          </w:tcPr>
          <w:p w14:paraId="3BEE94B8" w14:textId="1AD3A180" w:rsidR="00DE7B7B" w:rsidRPr="00C91FD2" w:rsidRDefault="00DE7B7B" w:rsidP="00AF130F">
            <w:pPr>
              <w:spacing w:before="0" w:after="0" w:line="240" w:lineRule="auto"/>
              <w:contextualSpacing/>
              <w:rPr>
                <w:rFonts w:cs="Arial"/>
                <w:sz w:val="20"/>
                <w:szCs w:val="20"/>
              </w:rPr>
            </w:pPr>
            <w:r w:rsidRPr="00C91FD2">
              <w:rPr>
                <w:rFonts w:cs="Arial"/>
                <w:sz w:val="20"/>
                <w:szCs w:val="20"/>
              </w:rPr>
              <w:t>Total nitrogen (TN) and total phosphorus (TP)</w:t>
            </w:r>
          </w:p>
        </w:tc>
        <w:tc>
          <w:tcPr>
            <w:tcW w:w="1814" w:type="dxa"/>
            <w:vAlign w:val="center"/>
          </w:tcPr>
          <w:p w14:paraId="4ACC1B54"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Unfiltered sample</w:t>
            </w:r>
          </w:p>
        </w:tc>
        <w:tc>
          <w:tcPr>
            <w:tcW w:w="1435" w:type="dxa"/>
            <w:vAlign w:val="center"/>
          </w:tcPr>
          <w:p w14:paraId="1341401B"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2000" w:type="dxa"/>
            <w:vAlign w:val="center"/>
          </w:tcPr>
          <w:p w14:paraId="49451670"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60 mL plastic tube</w:t>
            </w:r>
          </w:p>
        </w:tc>
        <w:tc>
          <w:tcPr>
            <w:tcW w:w="1118" w:type="dxa"/>
            <w:vAlign w:val="center"/>
          </w:tcPr>
          <w:p w14:paraId="7A7A9D3A"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Frozen</w:t>
            </w:r>
          </w:p>
        </w:tc>
        <w:tc>
          <w:tcPr>
            <w:tcW w:w="1478" w:type="dxa"/>
          </w:tcPr>
          <w:p w14:paraId="6894558A" w14:textId="7E7C0331" w:rsidR="00DE7B7B" w:rsidRPr="00C91FD2" w:rsidRDefault="00DE7B7B" w:rsidP="00AF130F">
            <w:pPr>
              <w:spacing w:before="0" w:after="0" w:line="240" w:lineRule="auto"/>
              <w:contextualSpacing/>
              <w:rPr>
                <w:rFonts w:cs="Arial"/>
                <w:sz w:val="20"/>
                <w:szCs w:val="20"/>
              </w:rPr>
            </w:pPr>
            <w:r w:rsidRPr="00C91FD2">
              <w:rPr>
                <w:rFonts w:cs="Arial"/>
                <w:sz w:val="20"/>
                <w:szCs w:val="20"/>
              </w:rPr>
              <w:t>Appendix B8 and B9</w:t>
            </w:r>
          </w:p>
        </w:tc>
      </w:tr>
      <w:tr w:rsidR="00DE7B7B" w:rsidRPr="00C91FD2" w14:paraId="50BC6F15" w14:textId="1DA2817A" w:rsidTr="00DE7B7B">
        <w:trPr>
          <w:jc w:val="center"/>
        </w:trPr>
        <w:tc>
          <w:tcPr>
            <w:tcW w:w="1708" w:type="dxa"/>
            <w:vAlign w:val="center"/>
          </w:tcPr>
          <w:p w14:paraId="7C3F0ED4" w14:textId="43D61F60" w:rsidR="00DE7B7B" w:rsidRPr="00C91FD2" w:rsidRDefault="00DE7B7B" w:rsidP="00AF130F">
            <w:pPr>
              <w:spacing w:before="0" w:after="0" w:line="240" w:lineRule="auto"/>
              <w:contextualSpacing/>
              <w:rPr>
                <w:rFonts w:cs="Arial"/>
                <w:sz w:val="20"/>
                <w:szCs w:val="20"/>
              </w:rPr>
            </w:pPr>
            <w:r w:rsidRPr="00C91FD2">
              <w:rPr>
                <w:rFonts w:cs="Arial"/>
                <w:sz w:val="20"/>
                <w:szCs w:val="20"/>
              </w:rPr>
              <w:t>Chlorophyll-</w:t>
            </w:r>
            <w:r w:rsidRPr="00C91FD2">
              <w:rPr>
                <w:rFonts w:cs="Arial"/>
                <w:i/>
                <w:sz w:val="20"/>
                <w:szCs w:val="20"/>
              </w:rPr>
              <w:t>a</w:t>
            </w:r>
            <w:r w:rsidRPr="00C91FD2">
              <w:rPr>
                <w:rFonts w:cs="Arial"/>
                <w:sz w:val="20"/>
                <w:szCs w:val="20"/>
              </w:rPr>
              <w:t xml:space="preserve"> (Chl-</w:t>
            </w:r>
            <w:r w:rsidRPr="00C91FD2">
              <w:rPr>
                <w:rFonts w:cs="Arial"/>
                <w:i/>
                <w:sz w:val="20"/>
                <w:szCs w:val="20"/>
              </w:rPr>
              <w:t>a)</w:t>
            </w:r>
          </w:p>
        </w:tc>
        <w:tc>
          <w:tcPr>
            <w:tcW w:w="1814" w:type="dxa"/>
            <w:vAlign w:val="center"/>
          </w:tcPr>
          <w:p w14:paraId="1A28CD0F"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Unfiltered sample (1000 mL) in dark bottle</w:t>
            </w:r>
          </w:p>
        </w:tc>
        <w:tc>
          <w:tcPr>
            <w:tcW w:w="1435" w:type="dxa"/>
            <w:vAlign w:val="center"/>
          </w:tcPr>
          <w:p w14:paraId="2A4F7D9C" w14:textId="541786FF" w:rsidR="00DE7B7B" w:rsidRPr="00C91FD2" w:rsidRDefault="00DE7B7B" w:rsidP="00AF130F">
            <w:pPr>
              <w:spacing w:before="0" w:after="0" w:line="240" w:lineRule="auto"/>
              <w:contextualSpacing/>
              <w:rPr>
                <w:rFonts w:cs="Arial"/>
                <w:sz w:val="20"/>
                <w:szCs w:val="20"/>
              </w:rPr>
            </w:pPr>
            <w:r w:rsidRPr="00C91FD2">
              <w:rPr>
                <w:rFonts w:cs="Arial"/>
                <w:sz w:val="20"/>
                <w:szCs w:val="20"/>
              </w:rPr>
              <w:t>Filtered onto Whatman GF/F (0.7 µm) 47 mm paper within 24 hours of collection and preserved in magnesium carbonate</w:t>
            </w:r>
          </w:p>
        </w:tc>
        <w:tc>
          <w:tcPr>
            <w:tcW w:w="2000" w:type="dxa"/>
            <w:vAlign w:val="center"/>
          </w:tcPr>
          <w:p w14:paraId="46929640"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GF/F filter paper wrapped in aluminium foil</w:t>
            </w:r>
          </w:p>
        </w:tc>
        <w:tc>
          <w:tcPr>
            <w:tcW w:w="1118" w:type="dxa"/>
            <w:vAlign w:val="center"/>
          </w:tcPr>
          <w:p w14:paraId="009AE128"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Frozen</w:t>
            </w:r>
          </w:p>
        </w:tc>
        <w:tc>
          <w:tcPr>
            <w:tcW w:w="1478" w:type="dxa"/>
          </w:tcPr>
          <w:p w14:paraId="7E4DDFD6" w14:textId="1FCEE35F" w:rsidR="00DE7B7B" w:rsidRPr="00C91FD2" w:rsidRDefault="00DE7B7B" w:rsidP="00AF130F">
            <w:pPr>
              <w:spacing w:before="0" w:after="0" w:line="240" w:lineRule="auto"/>
              <w:contextualSpacing/>
              <w:rPr>
                <w:rFonts w:cs="Arial"/>
                <w:sz w:val="20"/>
                <w:szCs w:val="20"/>
              </w:rPr>
            </w:pPr>
            <w:r w:rsidRPr="00C91FD2">
              <w:rPr>
                <w:rFonts w:cs="Arial"/>
                <w:sz w:val="20"/>
                <w:szCs w:val="20"/>
              </w:rPr>
              <w:t>Appendix B10</w:t>
            </w:r>
          </w:p>
        </w:tc>
      </w:tr>
      <w:tr w:rsidR="00DE7B7B" w:rsidRPr="00C91FD2" w14:paraId="5DAAF70D" w14:textId="0C910FA1" w:rsidTr="00DE7B7B">
        <w:trPr>
          <w:jc w:val="center"/>
        </w:trPr>
        <w:tc>
          <w:tcPr>
            <w:tcW w:w="1708" w:type="dxa"/>
            <w:vAlign w:val="center"/>
          </w:tcPr>
          <w:p w14:paraId="67FE5145"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TSS</w:t>
            </w:r>
          </w:p>
        </w:tc>
        <w:tc>
          <w:tcPr>
            <w:tcW w:w="1814" w:type="dxa"/>
            <w:vAlign w:val="center"/>
          </w:tcPr>
          <w:p w14:paraId="2280A4CD"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Unfiltered sample (1000 mL) in clear bottle</w:t>
            </w:r>
          </w:p>
        </w:tc>
        <w:tc>
          <w:tcPr>
            <w:tcW w:w="1435" w:type="dxa"/>
            <w:vAlign w:val="center"/>
          </w:tcPr>
          <w:p w14:paraId="3C3F130E" w14:textId="30B15BE1" w:rsidR="00DE7B7B" w:rsidRPr="00C91FD2" w:rsidRDefault="00DE7B7B" w:rsidP="00AF130F">
            <w:pPr>
              <w:spacing w:before="0" w:after="0" w:line="240" w:lineRule="auto"/>
              <w:contextualSpacing/>
              <w:rPr>
                <w:rFonts w:cs="Arial"/>
                <w:sz w:val="20"/>
                <w:szCs w:val="20"/>
              </w:rPr>
            </w:pPr>
            <w:r w:rsidRPr="00C91FD2">
              <w:rPr>
                <w:rFonts w:cs="Arial"/>
                <w:sz w:val="20"/>
                <w:szCs w:val="20"/>
              </w:rPr>
              <w:t>Filtered onto Whatman GF/C (1.2 µm) 47 mm paper</w:t>
            </w:r>
          </w:p>
        </w:tc>
        <w:tc>
          <w:tcPr>
            <w:tcW w:w="2000" w:type="dxa"/>
            <w:vAlign w:val="center"/>
          </w:tcPr>
          <w:p w14:paraId="5ACADDF8" w14:textId="646E30D0" w:rsidR="00DE7B7B" w:rsidRPr="00C91FD2" w:rsidRDefault="00DE7B7B" w:rsidP="00AF130F">
            <w:pPr>
              <w:spacing w:before="0" w:after="0" w:line="240" w:lineRule="auto"/>
              <w:contextualSpacing/>
              <w:rPr>
                <w:rFonts w:cs="Arial"/>
                <w:sz w:val="20"/>
                <w:szCs w:val="20"/>
              </w:rPr>
            </w:pPr>
            <w:r w:rsidRPr="00C91FD2">
              <w:rPr>
                <w:rFonts w:cs="Arial"/>
                <w:sz w:val="20"/>
                <w:szCs w:val="20"/>
              </w:rPr>
              <w:t>1000 mL clear bottle</w:t>
            </w:r>
          </w:p>
        </w:tc>
        <w:tc>
          <w:tcPr>
            <w:tcW w:w="1118" w:type="dxa"/>
            <w:vAlign w:val="center"/>
          </w:tcPr>
          <w:p w14:paraId="33B263C9"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Stored at 4°C</w:t>
            </w:r>
          </w:p>
        </w:tc>
        <w:tc>
          <w:tcPr>
            <w:tcW w:w="1478" w:type="dxa"/>
          </w:tcPr>
          <w:p w14:paraId="341142C5" w14:textId="04744349" w:rsidR="00DE7B7B" w:rsidRPr="00C91FD2" w:rsidRDefault="00DE7B7B" w:rsidP="00AF130F">
            <w:pPr>
              <w:spacing w:before="0" w:after="0" w:line="240" w:lineRule="auto"/>
              <w:contextualSpacing/>
              <w:rPr>
                <w:rFonts w:cs="Arial"/>
                <w:sz w:val="20"/>
                <w:szCs w:val="20"/>
              </w:rPr>
            </w:pPr>
            <w:r w:rsidRPr="00C91FD2">
              <w:rPr>
                <w:rFonts w:cs="Arial"/>
                <w:sz w:val="20"/>
                <w:szCs w:val="20"/>
              </w:rPr>
              <w:t>Appendix B11</w:t>
            </w:r>
          </w:p>
        </w:tc>
      </w:tr>
      <w:tr w:rsidR="00DE7B7B" w:rsidRPr="00C91FD2" w14:paraId="07F1FFBD" w14:textId="153B4AA6" w:rsidTr="00DE7B7B">
        <w:trPr>
          <w:jc w:val="center"/>
        </w:trPr>
        <w:tc>
          <w:tcPr>
            <w:tcW w:w="1708" w:type="dxa"/>
            <w:vAlign w:val="center"/>
          </w:tcPr>
          <w:p w14:paraId="02D4902F"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Salinity</w:t>
            </w:r>
          </w:p>
        </w:tc>
        <w:tc>
          <w:tcPr>
            <w:tcW w:w="1814" w:type="dxa"/>
            <w:vAlign w:val="center"/>
          </w:tcPr>
          <w:p w14:paraId="2FAC021D" w14:textId="608FF605" w:rsidR="00DE7B7B" w:rsidRPr="00C91FD2" w:rsidRDefault="00DE7B7B" w:rsidP="00AF130F">
            <w:pPr>
              <w:spacing w:before="0" w:after="0" w:line="240" w:lineRule="auto"/>
              <w:contextualSpacing/>
              <w:rPr>
                <w:rFonts w:cs="Arial"/>
                <w:sz w:val="20"/>
                <w:szCs w:val="20"/>
              </w:rPr>
            </w:pPr>
            <w:r w:rsidRPr="00C91FD2">
              <w:rPr>
                <w:rFonts w:cs="Arial"/>
                <w:sz w:val="20"/>
                <w:szCs w:val="20"/>
              </w:rPr>
              <w:t>Unfiltered sample (60 mL) in a clean dry vial</w:t>
            </w:r>
          </w:p>
        </w:tc>
        <w:tc>
          <w:tcPr>
            <w:tcW w:w="1435" w:type="dxa"/>
            <w:vAlign w:val="center"/>
          </w:tcPr>
          <w:p w14:paraId="74D9DE5D"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2000" w:type="dxa"/>
            <w:vAlign w:val="center"/>
          </w:tcPr>
          <w:p w14:paraId="65347FBB" w14:textId="0DDE0FA3" w:rsidR="00DE7B7B" w:rsidRPr="00C91FD2" w:rsidRDefault="00DE7B7B" w:rsidP="00AF130F">
            <w:pPr>
              <w:spacing w:before="0" w:after="0" w:line="240" w:lineRule="auto"/>
              <w:contextualSpacing/>
              <w:rPr>
                <w:rFonts w:cs="Arial"/>
                <w:sz w:val="20"/>
                <w:szCs w:val="20"/>
              </w:rPr>
            </w:pPr>
            <w:r w:rsidRPr="00C91FD2">
              <w:rPr>
                <w:rFonts w:cs="Arial"/>
                <w:sz w:val="20"/>
                <w:szCs w:val="20"/>
              </w:rPr>
              <w:t>60 mL plastic vial</w:t>
            </w:r>
          </w:p>
        </w:tc>
        <w:tc>
          <w:tcPr>
            <w:tcW w:w="1118" w:type="dxa"/>
            <w:vAlign w:val="center"/>
          </w:tcPr>
          <w:p w14:paraId="2A152325" w14:textId="1B0A9052" w:rsidR="00DE7B7B" w:rsidRPr="00C91FD2" w:rsidRDefault="00DE7B7B" w:rsidP="00AF130F">
            <w:pPr>
              <w:spacing w:before="0" w:after="0" w:line="240" w:lineRule="auto"/>
              <w:contextualSpacing/>
              <w:rPr>
                <w:rFonts w:cs="Arial"/>
                <w:sz w:val="20"/>
                <w:szCs w:val="20"/>
              </w:rPr>
            </w:pPr>
            <w:r w:rsidRPr="00C91FD2">
              <w:rPr>
                <w:rFonts w:cs="Arial"/>
                <w:sz w:val="20"/>
                <w:szCs w:val="20"/>
              </w:rPr>
              <w:t>Stored at 4°C</w:t>
            </w:r>
          </w:p>
        </w:tc>
        <w:tc>
          <w:tcPr>
            <w:tcW w:w="1478" w:type="dxa"/>
          </w:tcPr>
          <w:p w14:paraId="1EAB75EF" w14:textId="74DAA52F" w:rsidR="00DE7B7B" w:rsidRPr="00C91FD2" w:rsidRDefault="00B951D6" w:rsidP="00AF130F">
            <w:pPr>
              <w:spacing w:before="0" w:after="0" w:line="240" w:lineRule="auto"/>
              <w:contextualSpacing/>
              <w:rPr>
                <w:rFonts w:cs="Arial"/>
                <w:sz w:val="20"/>
                <w:szCs w:val="20"/>
              </w:rPr>
            </w:pPr>
            <w:r w:rsidRPr="00C91FD2">
              <w:rPr>
                <w:rFonts w:cs="Arial"/>
                <w:sz w:val="20"/>
                <w:szCs w:val="20"/>
              </w:rPr>
              <w:t>Appendix B13</w:t>
            </w:r>
          </w:p>
        </w:tc>
      </w:tr>
      <w:tr w:rsidR="00DE7B7B" w:rsidRPr="00C91FD2" w14:paraId="0CF8506F" w14:textId="32D80B12" w:rsidTr="00DE7B7B">
        <w:trPr>
          <w:jc w:val="center"/>
        </w:trPr>
        <w:tc>
          <w:tcPr>
            <w:tcW w:w="1708" w:type="dxa"/>
            <w:vAlign w:val="center"/>
          </w:tcPr>
          <w:p w14:paraId="69EC9919" w14:textId="5419DAB3" w:rsidR="00DE7B7B" w:rsidRPr="00C91FD2" w:rsidRDefault="00DE7B7B" w:rsidP="00AF130F">
            <w:pPr>
              <w:spacing w:before="0" w:after="0" w:line="240" w:lineRule="auto"/>
              <w:contextualSpacing/>
              <w:rPr>
                <w:rFonts w:cs="Arial"/>
                <w:sz w:val="20"/>
                <w:szCs w:val="20"/>
              </w:rPr>
            </w:pPr>
            <w:r w:rsidRPr="00C91FD2">
              <w:rPr>
                <w:rFonts w:cs="Arial"/>
                <w:sz w:val="20"/>
                <w:szCs w:val="20"/>
              </w:rPr>
              <w:t>Color</w:t>
            </w:r>
            <w:r w:rsidR="00DE3976" w:rsidRPr="00C91FD2">
              <w:rPr>
                <w:rFonts w:cs="Arial"/>
                <w:sz w:val="20"/>
                <w:szCs w:val="20"/>
              </w:rPr>
              <w:t>ed</w:t>
            </w:r>
            <w:r w:rsidRPr="00C91FD2">
              <w:rPr>
                <w:rFonts w:cs="Arial"/>
                <w:sz w:val="20"/>
                <w:szCs w:val="20"/>
              </w:rPr>
              <w:t xml:space="preserve"> Dissolved Organic Matter (CDOM)</w:t>
            </w:r>
          </w:p>
        </w:tc>
        <w:tc>
          <w:tcPr>
            <w:tcW w:w="1814" w:type="dxa"/>
            <w:vAlign w:val="center"/>
          </w:tcPr>
          <w:p w14:paraId="34BA5110" w14:textId="0B4B677B" w:rsidR="00DE7B7B" w:rsidRPr="00C91FD2" w:rsidRDefault="00DE7B7B" w:rsidP="00AF130F">
            <w:pPr>
              <w:spacing w:before="0" w:after="0" w:line="240" w:lineRule="auto"/>
              <w:contextualSpacing/>
              <w:rPr>
                <w:rFonts w:cs="Arial"/>
                <w:sz w:val="20"/>
                <w:szCs w:val="20"/>
              </w:rPr>
            </w:pPr>
            <w:r w:rsidRPr="00C91FD2">
              <w:rPr>
                <w:rFonts w:cs="Arial"/>
                <w:sz w:val="20"/>
                <w:szCs w:val="20"/>
              </w:rPr>
              <w:t>Filtered sample (0.2 µm)</w:t>
            </w:r>
          </w:p>
        </w:tc>
        <w:tc>
          <w:tcPr>
            <w:tcW w:w="1435" w:type="dxa"/>
            <w:vAlign w:val="center"/>
          </w:tcPr>
          <w:p w14:paraId="6AC4ABC0"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2000" w:type="dxa"/>
            <w:vAlign w:val="center"/>
          </w:tcPr>
          <w:p w14:paraId="15FDD5E5" w14:textId="759A2FFB" w:rsidR="00DE7B7B" w:rsidRPr="00C91FD2" w:rsidRDefault="00DE7B7B" w:rsidP="00AF130F">
            <w:pPr>
              <w:spacing w:before="0" w:after="0" w:line="240" w:lineRule="auto"/>
              <w:contextualSpacing/>
              <w:rPr>
                <w:rFonts w:cs="Arial"/>
                <w:sz w:val="20"/>
                <w:szCs w:val="20"/>
              </w:rPr>
            </w:pPr>
            <w:r w:rsidRPr="00C91FD2">
              <w:rPr>
                <w:rFonts w:cs="Arial"/>
                <w:sz w:val="20"/>
                <w:szCs w:val="20"/>
              </w:rPr>
              <w:t>120 mL dark bottle</w:t>
            </w:r>
          </w:p>
        </w:tc>
        <w:tc>
          <w:tcPr>
            <w:tcW w:w="1118" w:type="dxa"/>
            <w:vAlign w:val="center"/>
          </w:tcPr>
          <w:p w14:paraId="4603704F"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Stored at 4°C</w:t>
            </w:r>
          </w:p>
        </w:tc>
        <w:tc>
          <w:tcPr>
            <w:tcW w:w="1478" w:type="dxa"/>
          </w:tcPr>
          <w:p w14:paraId="252D82B0" w14:textId="4190D612" w:rsidR="00DE7B7B" w:rsidRPr="00C91FD2" w:rsidRDefault="00DE7B7B" w:rsidP="00AF130F">
            <w:pPr>
              <w:spacing w:before="0" w:after="0" w:line="240" w:lineRule="auto"/>
              <w:contextualSpacing/>
              <w:rPr>
                <w:rFonts w:cs="Arial"/>
                <w:sz w:val="20"/>
                <w:szCs w:val="20"/>
              </w:rPr>
            </w:pPr>
            <w:r w:rsidRPr="00C91FD2">
              <w:rPr>
                <w:rFonts w:cs="Arial"/>
                <w:sz w:val="20"/>
                <w:szCs w:val="20"/>
              </w:rPr>
              <w:t>Appendix B12</w:t>
            </w:r>
          </w:p>
        </w:tc>
      </w:tr>
      <w:tr w:rsidR="00DE7B7B" w:rsidRPr="00C91FD2" w14:paraId="7763C867" w14:textId="5DFB68E9" w:rsidTr="00B951D6">
        <w:trPr>
          <w:trHeight w:val="2843"/>
          <w:jc w:val="center"/>
        </w:trPr>
        <w:tc>
          <w:tcPr>
            <w:tcW w:w="1708" w:type="dxa"/>
            <w:vAlign w:val="center"/>
          </w:tcPr>
          <w:p w14:paraId="3B09556A" w14:textId="4A0BFE12" w:rsidR="00DE7B7B" w:rsidRPr="00C91FD2" w:rsidRDefault="00DE7B7B" w:rsidP="00AF130F">
            <w:pPr>
              <w:spacing w:before="0" w:after="0" w:line="240" w:lineRule="auto"/>
              <w:contextualSpacing/>
              <w:rPr>
                <w:rFonts w:cs="Arial"/>
                <w:sz w:val="20"/>
                <w:szCs w:val="20"/>
              </w:rPr>
            </w:pPr>
            <w:r w:rsidRPr="00C91FD2">
              <w:rPr>
                <w:rFonts w:cs="Arial"/>
                <w:sz w:val="20"/>
                <w:szCs w:val="20"/>
              </w:rPr>
              <w:t>Silica</w:t>
            </w:r>
          </w:p>
        </w:tc>
        <w:tc>
          <w:tcPr>
            <w:tcW w:w="1814" w:type="dxa"/>
            <w:vAlign w:val="center"/>
          </w:tcPr>
          <w:p w14:paraId="701E9CF8" w14:textId="491ECCAF" w:rsidR="00DE7B7B" w:rsidRPr="00C91FD2" w:rsidRDefault="00DE7B7B" w:rsidP="00AF130F">
            <w:pPr>
              <w:spacing w:before="0" w:after="0" w:line="240" w:lineRule="auto"/>
              <w:contextualSpacing/>
              <w:rPr>
                <w:rFonts w:cs="Arial"/>
                <w:sz w:val="20"/>
                <w:szCs w:val="20"/>
              </w:rPr>
            </w:pPr>
            <w:r w:rsidRPr="00C91FD2">
              <w:rPr>
                <w:rFonts w:cs="Arial"/>
                <w:sz w:val="20"/>
                <w:szCs w:val="20"/>
              </w:rPr>
              <w:t>Filtered sample (0.45 µm)</w:t>
            </w:r>
          </w:p>
        </w:tc>
        <w:tc>
          <w:tcPr>
            <w:tcW w:w="1435" w:type="dxa"/>
            <w:vAlign w:val="center"/>
          </w:tcPr>
          <w:p w14:paraId="6178D1A6" w14:textId="51F617EA"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2000" w:type="dxa"/>
            <w:vAlign w:val="center"/>
          </w:tcPr>
          <w:p w14:paraId="730FBB5F" w14:textId="39533B28" w:rsidR="00DE7B7B" w:rsidRPr="00C91FD2" w:rsidRDefault="00DE7B7B" w:rsidP="00AF130F">
            <w:pPr>
              <w:spacing w:before="0" w:after="0" w:line="240" w:lineRule="auto"/>
              <w:contextualSpacing/>
              <w:rPr>
                <w:rFonts w:cs="Arial"/>
                <w:sz w:val="20"/>
                <w:szCs w:val="20"/>
              </w:rPr>
            </w:pPr>
            <w:r w:rsidRPr="00C91FD2">
              <w:rPr>
                <w:rFonts w:cs="Arial"/>
                <w:sz w:val="20"/>
                <w:szCs w:val="20"/>
              </w:rPr>
              <w:t>60 ml plastic tube</w:t>
            </w:r>
          </w:p>
        </w:tc>
        <w:tc>
          <w:tcPr>
            <w:tcW w:w="1118" w:type="dxa"/>
            <w:vAlign w:val="center"/>
          </w:tcPr>
          <w:p w14:paraId="3D942532" w14:textId="1D1BC07E" w:rsidR="00DE7B7B" w:rsidRPr="00C91FD2" w:rsidRDefault="00DE7B7B" w:rsidP="00AF130F">
            <w:pPr>
              <w:spacing w:before="0" w:after="0" w:line="240" w:lineRule="auto"/>
              <w:contextualSpacing/>
              <w:rPr>
                <w:rFonts w:cs="Arial"/>
                <w:sz w:val="20"/>
                <w:szCs w:val="20"/>
              </w:rPr>
            </w:pPr>
            <w:r w:rsidRPr="00C91FD2">
              <w:rPr>
                <w:rFonts w:cs="Arial"/>
                <w:sz w:val="20"/>
                <w:szCs w:val="20"/>
              </w:rPr>
              <w:t>Stored at 4°C</w:t>
            </w:r>
          </w:p>
        </w:tc>
        <w:tc>
          <w:tcPr>
            <w:tcW w:w="1478" w:type="dxa"/>
          </w:tcPr>
          <w:p w14:paraId="2FC63567" w14:textId="5C49728F" w:rsidR="00B951D6" w:rsidRPr="00C91FD2" w:rsidRDefault="00B951D6" w:rsidP="00B951D6">
            <w:pPr>
              <w:rPr>
                <w:rFonts w:cs="Arial"/>
                <w:sz w:val="20"/>
                <w:szCs w:val="20"/>
              </w:rPr>
            </w:pPr>
            <w:r w:rsidRPr="00C91FD2">
              <w:rPr>
                <w:rFonts w:cs="Arial"/>
                <w:sz w:val="20"/>
                <w:szCs w:val="20"/>
              </w:rPr>
              <w:t>Analysed on a Aquakem Discrete Analyser using APHA 4500-SiO</w:t>
            </w:r>
            <w:r w:rsidRPr="00C91FD2">
              <w:rPr>
                <w:rFonts w:cs="Arial"/>
                <w:sz w:val="20"/>
                <w:szCs w:val="20"/>
                <w:vertAlign w:val="subscript"/>
              </w:rPr>
              <w:t>2</w:t>
            </w:r>
            <w:r w:rsidRPr="00C91FD2">
              <w:rPr>
                <w:rFonts w:cs="Arial"/>
                <w:sz w:val="20"/>
                <w:szCs w:val="20"/>
              </w:rPr>
              <w:t xml:space="preserve"> D Heteropoly Blue Method.</w:t>
            </w:r>
          </w:p>
          <w:p w14:paraId="10F49DB8" w14:textId="77777777" w:rsidR="00DE7B7B" w:rsidRPr="00C91FD2" w:rsidRDefault="00DE7B7B" w:rsidP="00AF130F">
            <w:pPr>
              <w:spacing w:before="0" w:after="0" w:line="240" w:lineRule="auto"/>
              <w:contextualSpacing/>
              <w:rPr>
                <w:rFonts w:cs="Arial"/>
                <w:sz w:val="20"/>
                <w:szCs w:val="20"/>
              </w:rPr>
            </w:pPr>
          </w:p>
        </w:tc>
      </w:tr>
      <w:tr w:rsidR="00DE7B7B" w:rsidRPr="00C91FD2" w14:paraId="6E0F9E67" w14:textId="135364FA" w:rsidTr="00DE7B7B">
        <w:trPr>
          <w:jc w:val="center"/>
        </w:trPr>
        <w:tc>
          <w:tcPr>
            <w:tcW w:w="1708" w:type="dxa"/>
            <w:vAlign w:val="center"/>
          </w:tcPr>
          <w:p w14:paraId="2D325B9C"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Pesticides</w:t>
            </w:r>
          </w:p>
        </w:tc>
        <w:tc>
          <w:tcPr>
            <w:tcW w:w="1814" w:type="dxa"/>
            <w:vAlign w:val="center"/>
          </w:tcPr>
          <w:p w14:paraId="7FF14CBB"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Unfiltered sample</w:t>
            </w:r>
          </w:p>
        </w:tc>
        <w:tc>
          <w:tcPr>
            <w:tcW w:w="1435" w:type="dxa"/>
            <w:vAlign w:val="center"/>
          </w:tcPr>
          <w:p w14:paraId="671992B3"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n/a</w:t>
            </w:r>
          </w:p>
        </w:tc>
        <w:tc>
          <w:tcPr>
            <w:tcW w:w="2000" w:type="dxa"/>
            <w:vAlign w:val="center"/>
          </w:tcPr>
          <w:p w14:paraId="5B1DC51A"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250 mL or 1000 mL dark bottle</w:t>
            </w:r>
          </w:p>
        </w:tc>
        <w:tc>
          <w:tcPr>
            <w:tcW w:w="1118" w:type="dxa"/>
            <w:vAlign w:val="center"/>
          </w:tcPr>
          <w:p w14:paraId="201F5BC0" w14:textId="77777777" w:rsidR="00DE7B7B" w:rsidRPr="00C91FD2" w:rsidRDefault="00DE7B7B" w:rsidP="00AF130F">
            <w:pPr>
              <w:spacing w:before="0" w:after="0" w:line="240" w:lineRule="auto"/>
              <w:contextualSpacing/>
              <w:rPr>
                <w:rFonts w:cs="Arial"/>
                <w:sz w:val="20"/>
                <w:szCs w:val="20"/>
              </w:rPr>
            </w:pPr>
            <w:r w:rsidRPr="00C91FD2">
              <w:rPr>
                <w:rFonts w:cs="Arial"/>
                <w:sz w:val="20"/>
                <w:szCs w:val="20"/>
              </w:rPr>
              <w:t>Stored at 4°C</w:t>
            </w:r>
          </w:p>
        </w:tc>
        <w:tc>
          <w:tcPr>
            <w:tcW w:w="1478" w:type="dxa"/>
          </w:tcPr>
          <w:p w14:paraId="01558917" w14:textId="4FE92C4D" w:rsidR="00DE7B7B" w:rsidRPr="00C91FD2" w:rsidRDefault="00DE7B7B" w:rsidP="00AF130F">
            <w:pPr>
              <w:spacing w:before="0" w:after="0" w:line="240" w:lineRule="auto"/>
              <w:contextualSpacing/>
              <w:rPr>
                <w:rFonts w:cs="Arial"/>
                <w:sz w:val="20"/>
                <w:szCs w:val="20"/>
              </w:rPr>
            </w:pPr>
            <w:r w:rsidRPr="00C91FD2">
              <w:rPr>
                <w:rFonts w:cs="Arial"/>
                <w:sz w:val="20"/>
                <w:szCs w:val="20"/>
              </w:rPr>
              <w:t>See Chaper 4</w:t>
            </w:r>
          </w:p>
        </w:tc>
      </w:tr>
    </w:tbl>
    <w:p w14:paraId="4C014F31" w14:textId="0AC05616" w:rsidR="00CE604D" w:rsidRDefault="002E600A" w:rsidP="00FE2F59">
      <w:pPr>
        <w:rPr>
          <w:rFonts w:cs="Arial"/>
        </w:rPr>
      </w:pPr>
      <w:r w:rsidRPr="00A64BC2">
        <w:rPr>
          <w:rFonts w:cs="Arial"/>
        </w:rPr>
        <w:t>Total and dissolved nutrient</w:t>
      </w:r>
      <w:r w:rsidR="00DE3976">
        <w:rPr>
          <w:rFonts w:cs="Arial"/>
        </w:rPr>
        <w:t>, silica</w:t>
      </w:r>
      <w:r w:rsidRPr="00A64BC2">
        <w:rPr>
          <w:rFonts w:cs="Arial"/>
        </w:rPr>
        <w:t xml:space="preserve"> and CDOM samples are collected from the bucket using sterile 60 </w:t>
      </w:r>
      <w:r w:rsidR="00034C3F" w:rsidRPr="00A64BC2">
        <w:rPr>
          <w:rFonts w:cs="Arial"/>
        </w:rPr>
        <w:t>m</w:t>
      </w:r>
      <w:r w:rsidR="00034C3F">
        <w:rPr>
          <w:rFonts w:cs="Arial"/>
        </w:rPr>
        <w:t xml:space="preserve">L </w:t>
      </w:r>
      <w:r w:rsidRPr="00A64BC2">
        <w:rPr>
          <w:rFonts w:cs="Arial"/>
        </w:rPr>
        <w:t xml:space="preserve">syringes. For </w:t>
      </w:r>
      <w:r w:rsidR="003028C5">
        <w:rPr>
          <w:rFonts w:cs="Arial"/>
        </w:rPr>
        <w:t>TN</w:t>
      </w:r>
      <w:r w:rsidR="00AE6A87">
        <w:rPr>
          <w:rFonts w:cs="Arial"/>
        </w:rPr>
        <w:t xml:space="preserve"> and </w:t>
      </w:r>
      <w:r w:rsidR="003028C5">
        <w:rPr>
          <w:rFonts w:cs="Arial"/>
        </w:rPr>
        <w:t>TP</w:t>
      </w:r>
      <w:r w:rsidR="00AE6A87">
        <w:rPr>
          <w:rFonts w:cs="Arial"/>
        </w:rPr>
        <w:t xml:space="preserve"> samples</w:t>
      </w:r>
      <w:r w:rsidR="00FD396F">
        <w:rPr>
          <w:rFonts w:cs="Arial"/>
        </w:rPr>
        <w:t>,</w:t>
      </w:r>
      <w:r w:rsidRPr="00A64BC2">
        <w:rPr>
          <w:rFonts w:cs="Arial"/>
        </w:rPr>
        <w:t xml:space="preserve"> </w:t>
      </w:r>
      <w:r w:rsidR="00AE6A87">
        <w:rPr>
          <w:rFonts w:cs="Arial"/>
        </w:rPr>
        <w:t xml:space="preserve">water </w:t>
      </w:r>
      <w:r w:rsidR="008341E2">
        <w:rPr>
          <w:rFonts w:cs="Arial"/>
        </w:rPr>
        <w:t>is</w:t>
      </w:r>
      <w:r w:rsidRPr="00A64BC2">
        <w:rPr>
          <w:rFonts w:cs="Arial"/>
        </w:rPr>
        <w:t xml:space="preserve"> transferred from the 60 </w:t>
      </w:r>
      <w:r w:rsidR="00034C3F" w:rsidRPr="00A64BC2">
        <w:rPr>
          <w:rFonts w:cs="Arial"/>
        </w:rPr>
        <w:t>m</w:t>
      </w:r>
      <w:r w:rsidR="00034C3F">
        <w:rPr>
          <w:rFonts w:cs="Arial"/>
        </w:rPr>
        <w:t>L</w:t>
      </w:r>
      <w:r w:rsidR="00034C3F" w:rsidRPr="00A64BC2">
        <w:rPr>
          <w:rFonts w:cs="Arial"/>
        </w:rPr>
        <w:t xml:space="preserve"> </w:t>
      </w:r>
      <w:r w:rsidRPr="00A64BC2">
        <w:rPr>
          <w:rFonts w:cs="Arial"/>
        </w:rPr>
        <w:t xml:space="preserve">syringes into 60 </w:t>
      </w:r>
      <w:r w:rsidR="00034C3F" w:rsidRPr="00A64BC2">
        <w:rPr>
          <w:rFonts w:cs="Arial"/>
        </w:rPr>
        <w:t>m</w:t>
      </w:r>
      <w:r w:rsidR="00034C3F">
        <w:rPr>
          <w:rFonts w:cs="Arial"/>
        </w:rPr>
        <w:t>L</w:t>
      </w:r>
      <w:r w:rsidR="00034C3F" w:rsidRPr="00A64BC2">
        <w:rPr>
          <w:rFonts w:cs="Arial"/>
        </w:rPr>
        <w:t xml:space="preserve"> </w:t>
      </w:r>
      <w:r w:rsidRPr="00A64BC2">
        <w:rPr>
          <w:rFonts w:cs="Arial"/>
        </w:rPr>
        <w:t xml:space="preserve">sampling tubes without filtering. Water in the </w:t>
      </w:r>
      <w:r w:rsidR="00DE3976">
        <w:rPr>
          <w:rFonts w:cs="Arial"/>
        </w:rPr>
        <w:t>10 L container</w:t>
      </w:r>
      <w:r w:rsidRPr="00A64BC2">
        <w:rPr>
          <w:rFonts w:cs="Arial"/>
        </w:rPr>
        <w:t xml:space="preserve"> is </w:t>
      </w:r>
      <w:r w:rsidR="00DE3976">
        <w:rPr>
          <w:rFonts w:cs="Arial"/>
        </w:rPr>
        <w:t>rigor</w:t>
      </w:r>
      <w:r w:rsidR="00A514E6">
        <w:rPr>
          <w:rFonts w:cs="Arial"/>
        </w:rPr>
        <w:t>ou</w:t>
      </w:r>
      <w:r w:rsidR="00DE3976">
        <w:rPr>
          <w:rFonts w:cs="Arial"/>
        </w:rPr>
        <w:t xml:space="preserve">sly </w:t>
      </w:r>
      <w:r w:rsidRPr="00A64BC2">
        <w:rPr>
          <w:rFonts w:cs="Arial"/>
        </w:rPr>
        <w:t xml:space="preserve">stirred before </w:t>
      </w:r>
      <w:r w:rsidR="00FD396F">
        <w:rPr>
          <w:rFonts w:cs="Arial"/>
        </w:rPr>
        <w:t xml:space="preserve">being </w:t>
      </w:r>
      <w:r w:rsidR="00DE3976">
        <w:rPr>
          <w:rFonts w:cs="Arial"/>
        </w:rPr>
        <w:t xml:space="preserve">collected by the syringe to ensure it is well mixed before </w:t>
      </w:r>
      <w:r w:rsidRPr="00A64BC2">
        <w:rPr>
          <w:rFonts w:cs="Arial"/>
        </w:rPr>
        <w:t xml:space="preserve">transferred to </w:t>
      </w:r>
      <w:r w:rsidR="00FD396F">
        <w:rPr>
          <w:rFonts w:cs="Arial"/>
        </w:rPr>
        <w:t xml:space="preserve">the </w:t>
      </w:r>
      <w:r w:rsidRPr="00A64BC2">
        <w:rPr>
          <w:rFonts w:cs="Arial"/>
        </w:rPr>
        <w:t>sampling tubes. For dissolved nutrients</w:t>
      </w:r>
      <w:r w:rsidR="00FD396F">
        <w:rPr>
          <w:rFonts w:cs="Arial"/>
        </w:rPr>
        <w:t>,</w:t>
      </w:r>
      <w:r w:rsidRPr="00A64BC2">
        <w:rPr>
          <w:rFonts w:cs="Arial"/>
        </w:rPr>
        <w:t xml:space="preserve"> a 0.45 </w:t>
      </w:r>
      <w:r w:rsidR="00FD396F" w:rsidRPr="007177E2">
        <w:rPr>
          <w:rFonts w:cs="Arial"/>
        </w:rPr>
        <w:t>µ</w:t>
      </w:r>
      <w:r w:rsidRPr="00A64BC2">
        <w:rPr>
          <w:rFonts w:cs="Arial"/>
        </w:rPr>
        <w:t xml:space="preserve">m disposable membrane filter is fitted to the syringe and </w:t>
      </w:r>
      <w:r w:rsidR="00DE3976">
        <w:rPr>
          <w:rFonts w:cs="Arial"/>
        </w:rPr>
        <w:t>6</w:t>
      </w:r>
      <w:r w:rsidRPr="00A64BC2">
        <w:rPr>
          <w:rFonts w:cs="Arial"/>
        </w:rPr>
        <w:t xml:space="preserve">0 </w:t>
      </w:r>
      <w:r w:rsidR="00034C3F" w:rsidRPr="00A64BC2">
        <w:rPr>
          <w:rFonts w:cs="Arial"/>
        </w:rPr>
        <w:t>m</w:t>
      </w:r>
      <w:r w:rsidR="00034C3F">
        <w:rPr>
          <w:rFonts w:cs="Arial"/>
        </w:rPr>
        <w:t>L</w:t>
      </w:r>
      <w:r w:rsidR="00034C3F" w:rsidRPr="00A64BC2">
        <w:rPr>
          <w:rFonts w:cs="Arial"/>
        </w:rPr>
        <w:t xml:space="preserve"> </w:t>
      </w:r>
      <w:r w:rsidR="00DE3976">
        <w:rPr>
          <w:rFonts w:cs="Arial"/>
        </w:rPr>
        <w:t xml:space="preserve">of </w:t>
      </w:r>
      <w:r w:rsidRPr="00A64BC2">
        <w:rPr>
          <w:rFonts w:cs="Arial"/>
        </w:rPr>
        <w:t xml:space="preserve">sample </w:t>
      </w:r>
      <w:r w:rsidR="00DE3976">
        <w:rPr>
          <w:rFonts w:cs="Arial"/>
        </w:rPr>
        <w:t>is filtered</w:t>
      </w:r>
      <w:r w:rsidRPr="00A64BC2">
        <w:rPr>
          <w:rFonts w:cs="Arial"/>
        </w:rPr>
        <w:t xml:space="preserve"> in</w:t>
      </w:r>
      <w:r w:rsidR="00DE3976">
        <w:rPr>
          <w:rFonts w:cs="Arial"/>
        </w:rPr>
        <w:t>to six 10 mL</w:t>
      </w:r>
      <w:r w:rsidR="00FD396F">
        <w:rPr>
          <w:rFonts w:cs="Arial"/>
        </w:rPr>
        <w:t xml:space="preserve"> </w:t>
      </w:r>
      <w:r w:rsidRPr="00A64BC2">
        <w:rPr>
          <w:rFonts w:cs="Arial"/>
        </w:rPr>
        <w:t xml:space="preserve">sampling tubes. </w:t>
      </w:r>
      <w:r w:rsidR="00DE3976">
        <w:rPr>
          <w:rFonts w:cs="Arial"/>
        </w:rPr>
        <w:t xml:space="preserve">For silica, a </w:t>
      </w:r>
      <w:r w:rsidR="00DE3976" w:rsidRPr="00A64BC2">
        <w:rPr>
          <w:rFonts w:cs="Arial"/>
        </w:rPr>
        <w:t xml:space="preserve"> 0.45 </w:t>
      </w:r>
      <w:r w:rsidR="00DE3976" w:rsidRPr="007177E2">
        <w:rPr>
          <w:rFonts w:cs="Arial"/>
        </w:rPr>
        <w:t>µ</w:t>
      </w:r>
      <w:r w:rsidR="00DE3976" w:rsidRPr="00A64BC2">
        <w:rPr>
          <w:rFonts w:cs="Arial"/>
        </w:rPr>
        <w:t xml:space="preserve">m disposable membrane filter is fitted to the syringe </w:t>
      </w:r>
      <w:r w:rsidR="00DE3976">
        <w:rPr>
          <w:rFonts w:cs="Arial"/>
        </w:rPr>
        <w:t xml:space="preserve">and filtered into a 60 mL tube. </w:t>
      </w:r>
      <w:r w:rsidRPr="00A64BC2">
        <w:rPr>
          <w:rFonts w:cs="Arial"/>
        </w:rPr>
        <w:t>All sampling tubes are placed in a clean plastic bag and stored on ice in an insulated container</w:t>
      </w:r>
      <w:r w:rsidR="00CE604D">
        <w:rPr>
          <w:rFonts w:cs="Arial"/>
        </w:rPr>
        <w:t xml:space="preserve"> on the sampling vessel</w:t>
      </w:r>
      <w:r w:rsidRPr="00A64BC2">
        <w:rPr>
          <w:rFonts w:cs="Arial"/>
        </w:rPr>
        <w:t xml:space="preserve">. </w:t>
      </w:r>
      <w:r w:rsidR="00CE604D">
        <w:rPr>
          <w:rFonts w:cs="Arial"/>
        </w:rPr>
        <w:t xml:space="preserve">Samples are then </w:t>
      </w:r>
      <w:r w:rsidR="00DE3976">
        <w:rPr>
          <w:rFonts w:cs="Arial"/>
        </w:rPr>
        <w:t xml:space="preserve">stored either at 4° C or frozen (see Table 2.2) </w:t>
      </w:r>
      <w:r w:rsidR="00CE604D">
        <w:rPr>
          <w:rFonts w:cs="Arial"/>
        </w:rPr>
        <w:t xml:space="preserve"> prior to transport to the laboratory for analysis. The analysis methods are described in Appendix B5 to B9.</w:t>
      </w:r>
    </w:p>
    <w:p w14:paraId="7D04EDA9" w14:textId="5F396ED7" w:rsidR="002E600A" w:rsidRPr="00A64BC2" w:rsidRDefault="002E600A" w:rsidP="00FE2F59">
      <w:pPr>
        <w:rPr>
          <w:rFonts w:cs="Arial"/>
        </w:rPr>
      </w:pPr>
      <w:r w:rsidRPr="00A64BC2">
        <w:rPr>
          <w:rFonts w:cs="Arial"/>
        </w:rPr>
        <w:t xml:space="preserve">CDOM is collected </w:t>
      </w:r>
      <w:r w:rsidR="00FD396F">
        <w:rPr>
          <w:rFonts w:cs="Arial"/>
        </w:rPr>
        <w:t xml:space="preserve">by </w:t>
      </w:r>
      <w:r w:rsidRPr="00A64BC2">
        <w:rPr>
          <w:rFonts w:cs="Arial"/>
        </w:rPr>
        <w:t xml:space="preserve">passing 100 </w:t>
      </w:r>
      <w:r w:rsidR="00034C3F" w:rsidRPr="00A64BC2">
        <w:rPr>
          <w:rFonts w:cs="Arial"/>
        </w:rPr>
        <w:t>m</w:t>
      </w:r>
      <w:r w:rsidR="00034C3F">
        <w:rPr>
          <w:rFonts w:cs="Arial"/>
        </w:rPr>
        <w:t>L</w:t>
      </w:r>
      <w:r w:rsidR="00034C3F" w:rsidRPr="00A64BC2">
        <w:rPr>
          <w:rFonts w:cs="Arial"/>
        </w:rPr>
        <w:t xml:space="preserve"> </w:t>
      </w:r>
      <w:r w:rsidR="00FD396F">
        <w:rPr>
          <w:rFonts w:cs="Arial"/>
        </w:rPr>
        <w:t xml:space="preserve">of </w:t>
      </w:r>
      <w:r w:rsidRPr="00A64BC2">
        <w:rPr>
          <w:rFonts w:cs="Arial"/>
        </w:rPr>
        <w:t xml:space="preserve">water through a 0.2 </w:t>
      </w:r>
      <w:r w:rsidR="00FD396F" w:rsidRPr="00CD0A26">
        <w:rPr>
          <w:rFonts w:cs="Arial"/>
        </w:rPr>
        <w:t>µ</w:t>
      </w:r>
      <w:r w:rsidRPr="00A64BC2">
        <w:rPr>
          <w:rFonts w:cs="Arial"/>
        </w:rPr>
        <w:t xml:space="preserve">m disposable membrane filter into 120 </w:t>
      </w:r>
      <w:r w:rsidR="00034C3F" w:rsidRPr="00A64BC2">
        <w:rPr>
          <w:rFonts w:cs="Arial"/>
        </w:rPr>
        <w:t>m</w:t>
      </w:r>
      <w:r w:rsidR="00034C3F">
        <w:rPr>
          <w:rFonts w:cs="Arial"/>
        </w:rPr>
        <w:t>L</w:t>
      </w:r>
      <w:r w:rsidR="00034C3F" w:rsidRPr="00A64BC2">
        <w:rPr>
          <w:rFonts w:cs="Arial"/>
        </w:rPr>
        <w:t xml:space="preserve"> </w:t>
      </w:r>
      <w:r w:rsidRPr="00A64BC2">
        <w:rPr>
          <w:rFonts w:cs="Arial"/>
        </w:rPr>
        <w:t>amber glass bottle.</w:t>
      </w:r>
      <w:r w:rsidR="00CE604D">
        <w:rPr>
          <w:rFonts w:cs="Arial"/>
        </w:rPr>
        <w:t xml:space="preserve"> Samples are refridgerated prior to transport to the laboratory for analysis which must be completed within </w:t>
      </w:r>
      <w:r w:rsidR="00DE7B7B">
        <w:rPr>
          <w:rFonts w:cs="Arial"/>
        </w:rPr>
        <w:t>7</w:t>
      </w:r>
      <w:r w:rsidR="00CE604D">
        <w:rPr>
          <w:rFonts w:cs="Arial"/>
        </w:rPr>
        <w:t xml:space="preserve"> days of collection. </w:t>
      </w:r>
      <w:r w:rsidR="00CE604D" w:rsidRPr="00DE7B7B">
        <w:rPr>
          <w:rFonts w:cs="Arial"/>
        </w:rPr>
        <w:t xml:space="preserve">The analysis methods are described in Appendix </w:t>
      </w:r>
      <w:r w:rsidR="00DE7B7B" w:rsidRPr="00DE7B7B">
        <w:rPr>
          <w:rFonts w:cs="Arial"/>
        </w:rPr>
        <w:t>B12</w:t>
      </w:r>
      <w:r w:rsidR="00DE3976">
        <w:rPr>
          <w:rFonts w:cs="Arial"/>
        </w:rPr>
        <w:t>.</w:t>
      </w:r>
    </w:p>
    <w:p w14:paraId="411E712B" w14:textId="5274120A" w:rsidR="002566C2" w:rsidRPr="002566C2" w:rsidRDefault="004C75B1" w:rsidP="002566C2">
      <w:pPr>
        <w:rPr>
          <w:rFonts w:cs="Arial"/>
        </w:rPr>
      </w:pPr>
      <w:r w:rsidRPr="00DA0B37">
        <w:rPr>
          <w:rFonts w:cs="Arial"/>
        </w:rPr>
        <w:t>Chl</w:t>
      </w:r>
      <w:r w:rsidR="008341E2">
        <w:rPr>
          <w:rFonts w:cs="Arial"/>
        </w:rPr>
        <w:t>-</w:t>
      </w:r>
      <w:r w:rsidRPr="008341E2">
        <w:rPr>
          <w:rFonts w:cs="Arial"/>
          <w:i/>
        </w:rPr>
        <w:t>a</w:t>
      </w:r>
      <w:r>
        <w:rPr>
          <w:rFonts w:cs="Arial"/>
        </w:rPr>
        <w:t xml:space="preserve"> </w:t>
      </w:r>
      <w:r w:rsidR="002566C2" w:rsidRPr="002566C2">
        <w:rPr>
          <w:rFonts w:cs="Arial"/>
        </w:rPr>
        <w:t xml:space="preserve">and TSS samples are collected in pre-rinsed 1000 </w:t>
      </w:r>
      <w:r w:rsidR="00034C3F" w:rsidRPr="002566C2">
        <w:rPr>
          <w:rFonts w:cs="Arial"/>
        </w:rPr>
        <w:t>m</w:t>
      </w:r>
      <w:r w:rsidR="00034C3F">
        <w:rPr>
          <w:rFonts w:cs="Arial"/>
        </w:rPr>
        <w:t>L</w:t>
      </w:r>
      <w:r w:rsidR="00034C3F" w:rsidRPr="002566C2">
        <w:rPr>
          <w:rFonts w:cs="Arial"/>
        </w:rPr>
        <w:t xml:space="preserve"> </w:t>
      </w:r>
      <w:r w:rsidR="002566C2" w:rsidRPr="002566C2">
        <w:rPr>
          <w:rFonts w:cs="Arial"/>
        </w:rPr>
        <w:t xml:space="preserve">plastic containers </w:t>
      </w:r>
      <w:r w:rsidR="00DE3976">
        <w:rPr>
          <w:rFonts w:cs="Arial"/>
        </w:rPr>
        <w:t xml:space="preserve">either directly or </w:t>
      </w:r>
      <w:r w:rsidR="002566C2" w:rsidRPr="002566C2">
        <w:rPr>
          <w:rFonts w:cs="Arial"/>
        </w:rPr>
        <w:t xml:space="preserve">using a </w:t>
      </w:r>
      <w:r w:rsidR="00DE3976">
        <w:rPr>
          <w:rFonts w:cs="Arial"/>
        </w:rPr>
        <w:t xml:space="preserve">10 L container </w:t>
      </w:r>
      <w:r w:rsidR="002566C2" w:rsidRPr="002566C2">
        <w:rPr>
          <w:rFonts w:cs="Arial"/>
        </w:rPr>
        <w:t xml:space="preserve">. Each container is rinsed at least </w:t>
      </w:r>
      <w:r w:rsidR="00DE3976">
        <w:rPr>
          <w:rFonts w:cs="Arial"/>
        </w:rPr>
        <w:t>once</w:t>
      </w:r>
      <w:r w:rsidR="002566C2" w:rsidRPr="002566C2">
        <w:rPr>
          <w:rFonts w:cs="Arial"/>
        </w:rPr>
        <w:t xml:space="preserve"> with the sample water, taking care to avoid </w:t>
      </w:r>
      <w:r w:rsidR="00FD396F">
        <w:rPr>
          <w:rFonts w:cs="Arial"/>
        </w:rPr>
        <w:t xml:space="preserve">any </w:t>
      </w:r>
      <w:r w:rsidR="002566C2" w:rsidRPr="002566C2">
        <w:rPr>
          <w:rFonts w:cs="Arial"/>
        </w:rPr>
        <w:t xml:space="preserve">contact with the sample (gloves </w:t>
      </w:r>
      <w:r w:rsidR="00946A5C">
        <w:rPr>
          <w:rFonts w:cs="Arial"/>
        </w:rPr>
        <w:t>are</w:t>
      </w:r>
      <w:r w:rsidR="002566C2" w:rsidRPr="002566C2">
        <w:rPr>
          <w:rFonts w:cs="Arial"/>
        </w:rPr>
        <w:t xml:space="preserve"> worn </w:t>
      </w:r>
      <w:r w:rsidR="00DE3976">
        <w:rPr>
          <w:rFonts w:cs="Arial"/>
        </w:rPr>
        <w:t xml:space="preserve">at </w:t>
      </w:r>
      <w:r w:rsidR="002566C2" w:rsidRPr="002566C2">
        <w:rPr>
          <w:rFonts w:cs="Arial"/>
        </w:rPr>
        <w:t>all time</w:t>
      </w:r>
      <w:r w:rsidR="00DE3976">
        <w:rPr>
          <w:rFonts w:cs="Arial"/>
        </w:rPr>
        <w:t>s</w:t>
      </w:r>
      <w:r w:rsidR="002566C2" w:rsidRPr="002566C2">
        <w:rPr>
          <w:rFonts w:cs="Arial"/>
        </w:rPr>
        <w:t xml:space="preserve">). </w:t>
      </w:r>
      <w:r w:rsidR="008341E2" w:rsidRPr="00DA0B37">
        <w:rPr>
          <w:rFonts w:cs="Arial"/>
        </w:rPr>
        <w:t>Chl</w:t>
      </w:r>
      <w:r w:rsidR="008341E2">
        <w:rPr>
          <w:rFonts w:cs="Arial"/>
        </w:rPr>
        <w:t>-</w:t>
      </w:r>
      <w:r w:rsidR="008341E2" w:rsidRPr="008341E2">
        <w:rPr>
          <w:rFonts w:cs="Arial"/>
          <w:i/>
        </w:rPr>
        <w:t>a</w:t>
      </w:r>
      <w:r>
        <w:rPr>
          <w:rFonts w:cs="Arial"/>
        </w:rPr>
        <w:t xml:space="preserve"> </w:t>
      </w:r>
      <w:r w:rsidR="002566C2" w:rsidRPr="002566C2">
        <w:rPr>
          <w:rFonts w:cs="Arial"/>
        </w:rPr>
        <w:t xml:space="preserve">bottles are dark to reduce the effect of sunlight on the phytoplankton species in the interim between collection and filtration. Both samples are stored on ice on the sampling vessel. </w:t>
      </w:r>
      <w:r w:rsidR="00CE604D">
        <w:rPr>
          <w:rFonts w:cs="Arial"/>
        </w:rPr>
        <w:t>Once the vessel has returned to shore, the Chl-</w:t>
      </w:r>
      <w:r w:rsidR="00CE604D" w:rsidRPr="0060173D">
        <w:rPr>
          <w:rFonts w:cs="Arial"/>
          <w:i/>
        </w:rPr>
        <w:t>a</w:t>
      </w:r>
      <w:r w:rsidR="00CE604D">
        <w:rPr>
          <w:rFonts w:cs="Arial"/>
        </w:rPr>
        <w:t xml:space="preserve"> samples are filtered and frozen as soon as possible </w:t>
      </w:r>
      <w:r w:rsidR="00946A5C">
        <w:rPr>
          <w:rFonts w:cs="Arial"/>
        </w:rPr>
        <w:t>(</w:t>
      </w:r>
      <w:r w:rsidR="00946A5C" w:rsidRPr="0060173D">
        <w:rPr>
          <w:rFonts w:cs="Arial"/>
        </w:rPr>
        <w:t xml:space="preserve">but within </w:t>
      </w:r>
      <w:r w:rsidR="00DE3976" w:rsidRPr="0060173D">
        <w:rPr>
          <w:rFonts w:cs="Arial"/>
        </w:rPr>
        <w:t>24</w:t>
      </w:r>
      <w:r w:rsidR="00946A5C" w:rsidRPr="0060173D">
        <w:rPr>
          <w:rFonts w:cs="Arial"/>
        </w:rPr>
        <w:t xml:space="preserve"> hours of collection</w:t>
      </w:r>
      <w:r w:rsidR="00946A5C">
        <w:rPr>
          <w:rFonts w:cs="Arial"/>
        </w:rPr>
        <w:t xml:space="preserve">) </w:t>
      </w:r>
      <w:r w:rsidR="004D659C">
        <w:rPr>
          <w:rFonts w:cs="Arial"/>
        </w:rPr>
        <w:t xml:space="preserve">until they are sent to the laboratory for analysis </w:t>
      </w:r>
      <w:r w:rsidR="00CE604D">
        <w:rPr>
          <w:rFonts w:cs="Arial"/>
        </w:rPr>
        <w:t xml:space="preserve">(see Appendix </w:t>
      </w:r>
      <w:r w:rsidR="004D659C">
        <w:rPr>
          <w:rFonts w:cs="Arial"/>
        </w:rPr>
        <w:t>B10 for analysis methods)</w:t>
      </w:r>
      <w:r w:rsidR="00CE604D">
        <w:rPr>
          <w:rFonts w:cs="Arial"/>
        </w:rPr>
        <w:t>.</w:t>
      </w:r>
      <w:r w:rsidR="004D659C">
        <w:rPr>
          <w:rFonts w:cs="Arial"/>
        </w:rPr>
        <w:t xml:space="preserve"> The TSS samples are refridgerated and must be filtered </w:t>
      </w:r>
      <w:r w:rsidR="004D659C" w:rsidRPr="0060173D">
        <w:rPr>
          <w:rFonts w:cs="Arial"/>
        </w:rPr>
        <w:t xml:space="preserve">within </w:t>
      </w:r>
      <w:r w:rsidR="0060173D" w:rsidRPr="0060173D">
        <w:rPr>
          <w:rFonts w:cs="Arial"/>
        </w:rPr>
        <w:t>7 days</w:t>
      </w:r>
      <w:r w:rsidR="004D659C" w:rsidRPr="0060173D">
        <w:rPr>
          <w:rFonts w:cs="Arial"/>
        </w:rPr>
        <w:t xml:space="preserve"> of collection.</w:t>
      </w:r>
      <w:r w:rsidR="004D659C">
        <w:rPr>
          <w:rFonts w:cs="Arial"/>
        </w:rPr>
        <w:t xml:space="preserve"> The analysis methods are described in Appendix B11.</w:t>
      </w:r>
      <w:r w:rsidR="00CE604D">
        <w:rPr>
          <w:rFonts w:cs="Arial"/>
        </w:rPr>
        <w:t xml:space="preserve"> </w:t>
      </w:r>
      <w:r w:rsidR="002566C2" w:rsidRPr="002566C2">
        <w:rPr>
          <w:rFonts w:cs="Arial"/>
        </w:rPr>
        <w:t>For pesticide</w:t>
      </w:r>
      <w:r w:rsidR="004D659C">
        <w:rPr>
          <w:rFonts w:cs="Arial"/>
        </w:rPr>
        <w:t xml:space="preserve"> </w:t>
      </w:r>
      <w:r w:rsidR="002566C2" w:rsidRPr="002566C2">
        <w:rPr>
          <w:rFonts w:cs="Arial"/>
        </w:rPr>
        <w:t>s</w:t>
      </w:r>
      <w:r w:rsidR="004D659C">
        <w:rPr>
          <w:rFonts w:cs="Arial"/>
        </w:rPr>
        <w:t>amples</w:t>
      </w:r>
      <w:r w:rsidR="00FD396F">
        <w:rPr>
          <w:rFonts w:cs="Arial"/>
        </w:rPr>
        <w:t>,</w:t>
      </w:r>
      <w:r w:rsidR="002566C2" w:rsidRPr="002566C2">
        <w:rPr>
          <w:rFonts w:cs="Arial"/>
        </w:rPr>
        <w:t xml:space="preserve"> the procedure is the same</w:t>
      </w:r>
      <w:r w:rsidR="00FD396F">
        <w:rPr>
          <w:rFonts w:cs="Arial"/>
        </w:rPr>
        <w:t xml:space="preserve"> as that </w:t>
      </w:r>
      <w:r w:rsidR="002566C2" w:rsidRPr="002566C2">
        <w:rPr>
          <w:rFonts w:cs="Arial"/>
        </w:rPr>
        <w:t xml:space="preserve">for </w:t>
      </w:r>
      <w:r w:rsidR="008341E2" w:rsidRPr="00DA0B37">
        <w:rPr>
          <w:rFonts w:cs="Arial"/>
        </w:rPr>
        <w:t>Chl</w:t>
      </w:r>
      <w:r w:rsidR="008341E2">
        <w:rPr>
          <w:rFonts w:cs="Arial"/>
        </w:rPr>
        <w:t>-</w:t>
      </w:r>
      <w:r w:rsidR="008341E2" w:rsidRPr="008341E2">
        <w:rPr>
          <w:rFonts w:cs="Arial"/>
          <w:i/>
        </w:rPr>
        <w:t>a</w:t>
      </w:r>
      <w:r w:rsidR="002566C2" w:rsidRPr="002566C2">
        <w:rPr>
          <w:rFonts w:cs="Arial"/>
        </w:rPr>
        <w:t xml:space="preserve"> and TSS, except that </w:t>
      </w:r>
      <w:r w:rsidR="00FD396F">
        <w:rPr>
          <w:rFonts w:cs="Arial"/>
        </w:rPr>
        <w:t xml:space="preserve">the </w:t>
      </w:r>
      <w:r w:rsidR="002566C2" w:rsidRPr="002566C2">
        <w:rPr>
          <w:rFonts w:cs="Arial"/>
        </w:rPr>
        <w:t xml:space="preserve">bottles are not rinsed before filling. For salinity samples, </w:t>
      </w:r>
      <w:r w:rsidR="00034C3F">
        <w:rPr>
          <w:rFonts w:cs="Arial"/>
        </w:rPr>
        <w:t xml:space="preserve">unfiltered </w:t>
      </w:r>
      <w:r w:rsidR="002566C2" w:rsidRPr="002566C2">
        <w:rPr>
          <w:rFonts w:cs="Arial"/>
        </w:rPr>
        <w:t xml:space="preserve">water is stored in </w:t>
      </w:r>
      <w:r w:rsidR="0060173D">
        <w:rPr>
          <w:rFonts w:cs="Arial"/>
        </w:rPr>
        <w:t>6</w:t>
      </w:r>
      <w:r w:rsidR="002566C2" w:rsidRPr="002566C2">
        <w:rPr>
          <w:rFonts w:cs="Arial"/>
        </w:rPr>
        <w:t xml:space="preserve">0 </w:t>
      </w:r>
      <w:r w:rsidR="00034C3F" w:rsidRPr="002566C2">
        <w:rPr>
          <w:rFonts w:cs="Arial"/>
        </w:rPr>
        <w:t>m</w:t>
      </w:r>
      <w:r w:rsidR="00034C3F">
        <w:rPr>
          <w:rFonts w:cs="Arial"/>
        </w:rPr>
        <w:t>L</w:t>
      </w:r>
      <w:r w:rsidR="00034C3F" w:rsidRPr="002566C2">
        <w:rPr>
          <w:rFonts w:cs="Arial"/>
        </w:rPr>
        <w:t xml:space="preserve"> </w:t>
      </w:r>
      <w:r w:rsidR="002566C2" w:rsidRPr="002566C2">
        <w:rPr>
          <w:rFonts w:cs="Arial"/>
        </w:rPr>
        <w:t>bottles and stored on ice</w:t>
      </w:r>
      <w:r w:rsidR="00CE604D">
        <w:rPr>
          <w:rFonts w:cs="Arial"/>
        </w:rPr>
        <w:t xml:space="preserve"> on the sampling vessel</w:t>
      </w:r>
      <w:r w:rsidR="00B951D6">
        <w:rPr>
          <w:rFonts w:cs="Arial"/>
        </w:rPr>
        <w:t xml:space="preserve"> (see Appendix B13 for analysis methods)</w:t>
      </w:r>
      <w:r w:rsidR="002566C2" w:rsidRPr="002566C2">
        <w:rPr>
          <w:rFonts w:cs="Arial"/>
        </w:rPr>
        <w:t xml:space="preserve">. </w:t>
      </w:r>
    </w:p>
    <w:p w14:paraId="42F787F5" w14:textId="703FABE8" w:rsidR="0060173D" w:rsidRPr="00A64BC2" w:rsidRDefault="002E600A" w:rsidP="00FE2F59">
      <w:pPr>
        <w:autoSpaceDE w:val="0"/>
        <w:autoSpaceDN w:val="0"/>
        <w:adjustRightInd w:val="0"/>
        <w:rPr>
          <w:rFonts w:cs="Arial"/>
          <w:color w:val="000000"/>
          <w:lang w:eastAsia="en-AU"/>
        </w:rPr>
      </w:pPr>
      <w:r w:rsidRPr="00A64BC2">
        <w:rPr>
          <w:rFonts w:cs="Arial"/>
        </w:rPr>
        <w:t xml:space="preserve"> TropWATER laboratory takes part </w:t>
      </w:r>
      <w:r w:rsidR="00714174">
        <w:rPr>
          <w:rFonts w:cs="Arial"/>
        </w:rPr>
        <w:t>in</w:t>
      </w:r>
      <w:r w:rsidR="00714174" w:rsidRPr="00A64BC2">
        <w:rPr>
          <w:rFonts w:cs="Arial"/>
        </w:rPr>
        <w:t xml:space="preserve"> </w:t>
      </w:r>
      <w:r w:rsidRPr="00A64BC2">
        <w:rPr>
          <w:rFonts w:cs="Arial"/>
        </w:rPr>
        <w:t>an inter-calibration program</w:t>
      </w:r>
      <w:r w:rsidR="008D5F84">
        <w:rPr>
          <w:rFonts w:cs="Arial"/>
        </w:rPr>
        <w:t xml:space="preserve"> with AIMS</w:t>
      </w:r>
      <w:r w:rsidRPr="00A64BC2">
        <w:rPr>
          <w:rFonts w:cs="Arial"/>
        </w:rPr>
        <w:t xml:space="preserve">. All processed data is stored in a MS Access database. </w:t>
      </w:r>
    </w:p>
    <w:p w14:paraId="60130550" w14:textId="14721156" w:rsidR="002E600A" w:rsidRPr="00917941" w:rsidRDefault="002E600A" w:rsidP="0067588D">
      <w:pPr>
        <w:pStyle w:val="Heading3"/>
      </w:pPr>
      <w:bookmarkStart w:id="100" w:name="_Toc294781682"/>
      <w:bookmarkStart w:id="101" w:name="_Toc393785008"/>
      <w:bookmarkStart w:id="102" w:name="_Toc394061118"/>
      <w:bookmarkStart w:id="103" w:name="_Toc394061208"/>
      <w:bookmarkStart w:id="104" w:name="_Toc423036751"/>
      <w:bookmarkStart w:id="105" w:name="_Toc433716357"/>
      <w:bookmarkStart w:id="106" w:name="_Toc520727822"/>
      <w:bookmarkStart w:id="107" w:name="_Toc12365566"/>
      <w:r w:rsidRPr="00917941">
        <w:t>Sample collection, preparation and analysis</w:t>
      </w:r>
      <w:bookmarkEnd w:id="100"/>
      <w:bookmarkEnd w:id="101"/>
      <w:bookmarkEnd w:id="102"/>
      <w:bookmarkEnd w:id="103"/>
      <w:r w:rsidRPr="00917941">
        <w:t xml:space="preserve"> </w:t>
      </w:r>
      <w:r w:rsidR="00714174" w:rsidRPr="00917941">
        <w:t>(</w:t>
      </w:r>
      <w:r w:rsidRPr="00917941">
        <w:t>AIMS</w:t>
      </w:r>
      <w:bookmarkEnd w:id="104"/>
      <w:bookmarkEnd w:id="105"/>
      <w:bookmarkEnd w:id="106"/>
      <w:r w:rsidR="00714174" w:rsidRPr="00917941">
        <w:t>)</w:t>
      </w:r>
      <w:bookmarkEnd w:id="107"/>
    </w:p>
    <w:p w14:paraId="3209E6A6" w14:textId="6CBE337D" w:rsidR="00D44BF5" w:rsidRPr="00A40196" w:rsidRDefault="00D44BF5" w:rsidP="00D44BF5">
      <w:bookmarkStart w:id="108" w:name="_Toc261013261"/>
      <w:bookmarkStart w:id="109" w:name="_Toc294781683"/>
      <w:bookmarkStart w:id="110" w:name="_Toc393785009"/>
      <w:bookmarkStart w:id="111" w:name="_Toc394061119"/>
      <w:bookmarkStart w:id="112" w:name="_Toc394061209"/>
      <w:r>
        <w:t>Vertical profiles are conducted at every site using a Conductivity Temperature Depth (CTD) profiler.</w:t>
      </w:r>
      <w:r w:rsidRPr="00A40196">
        <w:t xml:space="preserve"> AIMS uses several Sea-Bird Electronics CTD profilers</w:t>
      </w:r>
      <w:r>
        <w:t xml:space="preserve"> </w:t>
      </w:r>
      <w:r w:rsidRPr="00A40196">
        <w:t>(SBE</w:t>
      </w:r>
      <w:r>
        <w:t xml:space="preserve"> 19plus</w:t>
      </w:r>
      <w:r w:rsidRPr="00A40196">
        <w:t xml:space="preserve">), which are also fitted with additional sensors such as fluorometers, transmissometers or Photosynthetically </w:t>
      </w:r>
      <w:r>
        <w:t>Active</w:t>
      </w:r>
      <w:r w:rsidRPr="00A40196">
        <w:t xml:space="preserve"> Radiation</w:t>
      </w:r>
      <w:r>
        <w:t xml:space="preserve"> (</w:t>
      </w:r>
      <w:r w:rsidRPr="00A40196">
        <w:t>PAR</w:t>
      </w:r>
      <w:r>
        <w:t>)</w:t>
      </w:r>
      <w:r w:rsidRPr="00A40196">
        <w:t xml:space="preserve"> sensors. Annual calibrations of the profiler instrumentation are carried out </w:t>
      </w:r>
      <w:r>
        <w:t>in</w:t>
      </w:r>
      <w:r w:rsidRPr="00A40196">
        <w:t xml:space="preserve"> Sea-Bird Electronics </w:t>
      </w:r>
      <w:r>
        <w:t xml:space="preserve">laboratories </w:t>
      </w:r>
      <w:r w:rsidRPr="00A40196">
        <w:t>in the USA. These calibration values are included within the SBE configuration files.</w:t>
      </w:r>
      <w:r>
        <w:t xml:space="preserve"> </w:t>
      </w:r>
      <w:r w:rsidRPr="00A40196">
        <w:t xml:space="preserve">Pre-trip CTD checks are carried out at AIMS. These include checking the physical status of the sensors and cables. The C-T (Conductivity-Temperature) cell is also kept ‘soaked’ in de-ionised water for at least 1 h prior to use. </w:t>
      </w:r>
    </w:p>
    <w:p w14:paraId="40E24E23" w14:textId="3A1F513C" w:rsidR="00D44BF5" w:rsidRPr="00A40196" w:rsidRDefault="00D44BF5" w:rsidP="00D44BF5">
      <w:r w:rsidRPr="00A40196">
        <w:t>Pre</w:t>
      </w:r>
      <w:r>
        <w:t>-</w:t>
      </w:r>
      <w:r w:rsidRPr="00A40196">
        <w:t xml:space="preserve">deployment of the CTD profiler on board the boat, the CTD is secured to the </w:t>
      </w:r>
      <w:r>
        <w:t>hydrographic wire</w:t>
      </w:r>
      <w:r w:rsidRPr="00A40196">
        <w:t xml:space="preserve">. Tygon tubing is removed from the CTD to allow flush water to drain from the C-T cell and protective caps </w:t>
      </w:r>
      <w:r>
        <w:t xml:space="preserve">are </w:t>
      </w:r>
      <w:r w:rsidRPr="00A40196">
        <w:t xml:space="preserve">removed from the other sensors. To activate logging, the magnetic switch is moved to the on position and the CTD cage is lowered into the water sitting </w:t>
      </w:r>
      <w:r w:rsidR="00E70238">
        <w:t>~0.2 m</w:t>
      </w:r>
      <w:r w:rsidRPr="00A40196">
        <w:t xml:space="preserve"> below the surface. A three minute ‘soak’ of the CTD begins, to allow sensors to equilibrate and air bubbles to be flushed by the pump.</w:t>
      </w:r>
    </w:p>
    <w:p w14:paraId="44DC7AC4" w14:textId="6C80A554" w:rsidR="00D44BF5" w:rsidRPr="00A40196" w:rsidRDefault="00D44BF5" w:rsidP="00D44BF5">
      <w:r w:rsidRPr="00A40196">
        <w:t>The profile is commenced at a rate no greater than 0.5 m s</w:t>
      </w:r>
      <w:r w:rsidRPr="00C83BA4">
        <w:rPr>
          <w:vertAlign w:val="superscript"/>
        </w:rPr>
        <w:t>-1</w:t>
      </w:r>
      <w:r>
        <w:t xml:space="preserve"> t</w:t>
      </w:r>
      <w:r w:rsidRPr="00A40196">
        <w:t>o achieve a minimum sensor scan rate of 8 scans m</w:t>
      </w:r>
      <w:r w:rsidRPr="00C83BA4">
        <w:rPr>
          <w:vertAlign w:val="superscript"/>
        </w:rPr>
        <w:t>-1</w:t>
      </w:r>
      <w:r w:rsidRPr="00A40196">
        <w:t xml:space="preserve"> vertically. The CTD is sent to near</w:t>
      </w:r>
      <w:r>
        <w:t>-</w:t>
      </w:r>
      <w:r w:rsidRPr="00A40196">
        <w:t>bottom, ensuring it does not impact with the seabed, and retrieved to the surface where the switch is turned off. After completion of casts</w:t>
      </w:r>
      <w:r>
        <w:t>,</w:t>
      </w:r>
      <w:r w:rsidRPr="00A40196">
        <w:t xml:space="preserve"> the Tygon tubing is fitted back on and the C-T cell </w:t>
      </w:r>
      <w:r>
        <w:t xml:space="preserve">is </w:t>
      </w:r>
      <w:r w:rsidRPr="00A40196">
        <w:t>filled with water.</w:t>
      </w:r>
      <w:r w:rsidR="00E70238">
        <w:t xml:space="preserve">  See Appendix A1 for details of data post-processing and storage.</w:t>
      </w:r>
    </w:p>
    <w:p w14:paraId="5ADD94F4" w14:textId="7048D4B2" w:rsidR="00073A9D" w:rsidRDefault="00073A9D" w:rsidP="00C70D93">
      <w:pPr>
        <w:rPr>
          <w:rFonts w:eastAsia="MS Mincho" w:cs="Arial"/>
        </w:rPr>
      </w:pPr>
      <w:r w:rsidRPr="00073A9D">
        <w:rPr>
          <w:rFonts w:eastAsia="MS Mincho" w:cs="Arial"/>
        </w:rPr>
        <w:t xml:space="preserve">Immediately following the CTD cast, discrete water samples </w:t>
      </w:r>
      <w:r w:rsidR="00714174">
        <w:rPr>
          <w:rFonts w:eastAsia="MS Mincho" w:cs="Arial"/>
        </w:rPr>
        <w:t>are</w:t>
      </w:r>
      <w:r w:rsidR="00714174" w:rsidRPr="00073A9D">
        <w:rPr>
          <w:rFonts w:eastAsia="MS Mincho" w:cs="Arial"/>
        </w:rPr>
        <w:t xml:space="preserve"> </w:t>
      </w:r>
      <w:r w:rsidRPr="00073A9D">
        <w:rPr>
          <w:rFonts w:eastAsia="MS Mincho" w:cs="Arial"/>
        </w:rPr>
        <w:t>collected from two depths through the water column (</w:t>
      </w:r>
      <w:r w:rsidR="008B4656">
        <w:rPr>
          <w:rFonts w:eastAsia="MS Mincho" w:cs="Arial"/>
        </w:rPr>
        <w:t xml:space="preserve">~0.5 m below the water </w:t>
      </w:r>
      <w:r w:rsidRPr="00073A9D">
        <w:rPr>
          <w:rFonts w:eastAsia="MS Mincho" w:cs="Arial"/>
        </w:rPr>
        <w:t xml:space="preserve">surface and </w:t>
      </w:r>
      <w:r w:rsidR="008B4656">
        <w:rPr>
          <w:rFonts w:eastAsia="MS Mincho" w:cs="Arial"/>
        </w:rPr>
        <w:t>~1 m above the seabed</w:t>
      </w:r>
      <w:r w:rsidRPr="00073A9D">
        <w:rPr>
          <w:rFonts w:eastAsia="MS Mincho" w:cs="Arial"/>
        </w:rPr>
        <w:t xml:space="preserve">) with Niskin bottles. Sub-samples taken from the Niskin bottles </w:t>
      </w:r>
      <w:r w:rsidR="00714174">
        <w:rPr>
          <w:rFonts w:eastAsia="MS Mincho" w:cs="Arial"/>
        </w:rPr>
        <w:t>are</w:t>
      </w:r>
      <w:r w:rsidR="00714174" w:rsidRPr="00073A9D">
        <w:rPr>
          <w:rFonts w:eastAsia="MS Mincho" w:cs="Arial"/>
        </w:rPr>
        <w:t xml:space="preserve"> </w:t>
      </w:r>
      <w:r w:rsidRPr="00073A9D">
        <w:rPr>
          <w:rFonts w:eastAsia="MS Mincho" w:cs="Arial"/>
        </w:rPr>
        <w:t xml:space="preserve">analysed for dissolved nutrients </w:t>
      </w:r>
      <w:r w:rsidR="00481760" w:rsidRPr="00073A9D">
        <w:rPr>
          <w:rFonts w:eastAsia="MS Mincho" w:cs="Arial"/>
        </w:rPr>
        <w:t>(NH</w:t>
      </w:r>
      <w:r w:rsidR="00405D4E" w:rsidRPr="00306DC7">
        <w:rPr>
          <w:rFonts w:eastAsia="MS Mincho" w:cs="Arial"/>
          <w:vertAlign w:val="subscript"/>
        </w:rPr>
        <w:t>3</w:t>
      </w:r>
      <w:r w:rsidR="00481760" w:rsidRPr="00073A9D">
        <w:rPr>
          <w:rFonts w:eastAsia="MS Mincho" w:cs="Arial"/>
        </w:rPr>
        <w:t>, NO</w:t>
      </w:r>
      <w:r w:rsidR="00481760" w:rsidRPr="00306DC7">
        <w:rPr>
          <w:rFonts w:eastAsia="MS Mincho" w:cs="Arial"/>
          <w:vertAlign w:val="subscript"/>
        </w:rPr>
        <w:t>2</w:t>
      </w:r>
      <w:r w:rsidR="00481760" w:rsidRPr="00073A9D">
        <w:rPr>
          <w:rFonts w:eastAsia="MS Mincho" w:cs="Arial"/>
        </w:rPr>
        <w:t>, NO</w:t>
      </w:r>
      <w:r w:rsidR="00481760" w:rsidRPr="00306DC7">
        <w:rPr>
          <w:rFonts w:eastAsia="MS Mincho" w:cs="Arial"/>
          <w:vertAlign w:val="subscript"/>
        </w:rPr>
        <w:t>3</w:t>
      </w:r>
      <w:r w:rsidR="00481760" w:rsidRPr="00073A9D">
        <w:rPr>
          <w:rFonts w:eastAsia="MS Mincho" w:cs="Arial"/>
        </w:rPr>
        <w:t xml:space="preserve">, </w:t>
      </w:r>
      <w:r w:rsidR="00306DC7">
        <w:rPr>
          <w:rFonts w:eastAsia="MS Mincho" w:cs="Arial"/>
        </w:rPr>
        <w:t>DIP</w:t>
      </w:r>
      <w:r w:rsidR="00481760" w:rsidRPr="00073A9D">
        <w:rPr>
          <w:rFonts w:eastAsia="MS Mincho" w:cs="Arial"/>
        </w:rPr>
        <w:t>, Si(OH)</w:t>
      </w:r>
      <w:r w:rsidR="00481760" w:rsidRPr="00306DC7">
        <w:rPr>
          <w:rFonts w:eastAsia="MS Mincho" w:cs="Arial"/>
          <w:vertAlign w:val="subscript"/>
        </w:rPr>
        <w:t>4</w:t>
      </w:r>
      <w:r w:rsidR="00481760" w:rsidRPr="00073A9D">
        <w:rPr>
          <w:rFonts w:eastAsia="MS Mincho" w:cs="Arial"/>
        </w:rPr>
        <w:t xml:space="preserve">), </w:t>
      </w:r>
      <w:r w:rsidR="00481760">
        <w:rPr>
          <w:rFonts w:eastAsia="MS Mincho" w:cs="Arial"/>
        </w:rPr>
        <w:t>dissolved</w:t>
      </w:r>
      <w:r w:rsidR="00481760" w:rsidRPr="00073A9D">
        <w:rPr>
          <w:rFonts w:eastAsia="MS Mincho" w:cs="Arial"/>
        </w:rPr>
        <w:t xml:space="preserve"> </w:t>
      </w:r>
      <w:r w:rsidRPr="00073A9D">
        <w:rPr>
          <w:rFonts w:eastAsia="MS Mincho" w:cs="Arial"/>
        </w:rPr>
        <w:t>carbon</w:t>
      </w:r>
      <w:r w:rsidR="00481760">
        <w:rPr>
          <w:rFonts w:eastAsia="MS Mincho" w:cs="Arial"/>
        </w:rPr>
        <w:t>,</w:t>
      </w:r>
      <w:r w:rsidRPr="00073A9D">
        <w:rPr>
          <w:rFonts w:eastAsia="MS Mincho" w:cs="Arial"/>
        </w:rPr>
        <w:t xml:space="preserve"> </w:t>
      </w:r>
      <w:r w:rsidR="008717D5">
        <w:rPr>
          <w:rFonts w:cs="Arial"/>
        </w:rPr>
        <w:t>d</w:t>
      </w:r>
      <w:r w:rsidR="008717D5" w:rsidRPr="00412529">
        <w:rPr>
          <w:rFonts w:cs="Arial"/>
        </w:rPr>
        <w:t xml:space="preserve">issolved </w:t>
      </w:r>
      <w:r w:rsidR="008717D5">
        <w:rPr>
          <w:rFonts w:cs="Arial"/>
        </w:rPr>
        <w:t>o</w:t>
      </w:r>
      <w:r w:rsidR="008717D5" w:rsidRPr="00412529">
        <w:rPr>
          <w:rFonts w:cs="Arial"/>
        </w:rPr>
        <w:t xml:space="preserve">rganic </w:t>
      </w:r>
      <w:r w:rsidR="008717D5">
        <w:rPr>
          <w:rFonts w:cs="Arial"/>
        </w:rPr>
        <w:t>n</w:t>
      </w:r>
      <w:r w:rsidR="008717D5" w:rsidRPr="00412529">
        <w:rPr>
          <w:rFonts w:cs="Arial"/>
        </w:rPr>
        <w:t>itrogen</w:t>
      </w:r>
      <w:r w:rsidR="008717D5">
        <w:rPr>
          <w:rFonts w:cs="Arial"/>
        </w:rPr>
        <w:t xml:space="preserve"> (</w:t>
      </w:r>
      <w:r w:rsidRPr="00073A9D">
        <w:rPr>
          <w:rFonts w:eastAsia="MS Mincho" w:cs="Arial"/>
        </w:rPr>
        <w:t>DON</w:t>
      </w:r>
      <w:r w:rsidR="008717D5">
        <w:rPr>
          <w:rFonts w:eastAsia="MS Mincho" w:cs="Arial"/>
        </w:rPr>
        <w:t>)</w:t>
      </w:r>
      <w:r w:rsidRPr="00073A9D">
        <w:rPr>
          <w:rFonts w:eastAsia="MS Mincho" w:cs="Arial"/>
        </w:rPr>
        <w:t xml:space="preserve">, </w:t>
      </w:r>
      <w:r w:rsidR="008717D5">
        <w:rPr>
          <w:rFonts w:eastAsia="MS Mincho" w:cs="Arial"/>
        </w:rPr>
        <w:t>dissolved organic phosphorus (</w:t>
      </w:r>
      <w:r w:rsidRPr="00073A9D">
        <w:rPr>
          <w:rFonts w:eastAsia="MS Mincho" w:cs="Arial"/>
        </w:rPr>
        <w:t>DOP</w:t>
      </w:r>
      <w:r w:rsidR="008717D5">
        <w:rPr>
          <w:rFonts w:eastAsia="MS Mincho" w:cs="Arial"/>
        </w:rPr>
        <w:t>)</w:t>
      </w:r>
      <w:r w:rsidRPr="00073A9D">
        <w:rPr>
          <w:rFonts w:eastAsia="MS Mincho" w:cs="Arial"/>
        </w:rPr>
        <w:t xml:space="preserve">, </w:t>
      </w:r>
      <w:r w:rsidR="008717D5">
        <w:rPr>
          <w:rFonts w:eastAsia="MS Mincho" w:cs="Arial"/>
        </w:rPr>
        <w:t>dissolved organic carbon (</w:t>
      </w:r>
      <w:r w:rsidRPr="00073A9D">
        <w:rPr>
          <w:rFonts w:eastAsia="MS Mincho" w:cs="Arial"/>
        </w:rPr>
        <w:t>DOC</w:t>
      </w:r>
      <w:r w:rsidR="008717D5">
        <w:rPr>
          <w:rFonts w:eastAsia="MS Mincho" w:cs="Arial"/>
        </w:rPr>
        <w:t>)</w:t>
      </w:r>
      <w:r w:rsidR="00481760">
        <w:rPr>
          <w:rFonts w:eastAsia="MS Mincho" w:cs="Arial"/>
        </w:rPr>
        <w:t xml:space="preserve">, </w:t>
      </w:r>
      <w:r w:rsidRPr="00073A9D">
        <w:rPr>
          <w:rFonts w:eastAsia="MS Mincho" w:cs="Arial"/>
        </w:rPr>
        <w:t xml:space="preserve">CDOM, particulate nutrients </w:t>
      </w:r>
      <w:r w:rsidR="00481760">
        <w:rPr>
          <w:rFonts w:eastAsia="MS Mincho" w:cs="Arial"/>
        </w:rPr>
        <w:t xml:space="preserve">(PN and PP), </w:t>
      </w:r>
      <w:r w:rsidR="008717D5" w:rsidRPr="00073A9D">
        <w:rPr>
          <w:rFonts w:eastAsia="MS Mincho" w:cs="Arial"/>
        </w:rPr>
        <w:t xml:space="preserve">particulate organic carbon </w:t>
      </w:r>
      <w:r w:rsidR="008717D5">
        <w:rPr>
          <w:rFonts w:eastAsia="MS Mincho" w:cs="Arial"/>
        </w:rPr>
        <w:t>(</w:t>
      </w:r>
      <w:r w:rsidRPr="00073A9D">
        <w:rPr>
          <w:rFonts w:eastAsia="MS Mincho" w:cs="Arial"/>
        </w:rPr>
        <w:t>POC</w:t>
      </w:r>
      <w:r w:rsidR="008717D5">
        <w:rPr>
          <w:rFonts w:eastAsia="MS Mincho" w:cs="Arial"/>
        </w:rPr>
        <w:t>)</w:t>
      </w:r>
      <w:r w:rsidRPr="00073A9D">
        <w:rPr>
          <w:rFonts w:eastAsia="MS Mincho" w:cs="Arial"/>
        </w:rPr>
        <w:t xml:space="preserve">, TSS and </w:t>
      </w:r>
      <w:r w:rsidR="008717D5">
        <w:rPr>
          <w:rFonts w:eastAsia="MS Mincho" w:cs="Arial"/>
        </w:rPr>
        <w:t>Chl</w:t>
      </w:r>
      <w:r w:rsidR="004F29DF">
        <w:rPr>
          <w:rFonts w:eastAsia="MS Mincho" w:cs="Arial"/>
        </w:rPr>
        <w:t>-</w:t>
      </w:r>
      <w:r w:rsidR="008717D5" w:rsidRPr="004F29DF">
        <w:rPr>
          <w:rFonts w:eastAsia="MS Mincho" w:cs="Arial"/>
          <w:i/>
        </w:rPr>
        <w:t>a</w:t>
      </w:r>
      <w:r w:rsidRPr="00073A9D">
        <w:rPr>
          <w:rFonts w:eastAsia="MS Mincho" w:cs="Arial"/>
        </w:rPr>
        <w:t xml:space="preserve">. Subsamples </w:t>
      </w:r>
      <w:r w:rsidR="008717D5">
        <w:rPr>
          <w:rFonts w:eastAsia="MS Mincho" w:cs="Arial"/>
        </w:rPr>
        <w:t xml:space="preserve">are </w:t>
      </w:r>
      <w:r w:rsidRPr="00073A9D">
        <w:rPr>
          <w:rFonts w:eastAsia="MS Mincho" w:cs="Arial"/>
        </w:rPr>
        <w:t xml:space="preserve">also taken for laboratory salinity measurements using a Portasal Model 8410A Salinometer (Appendix A2). Temperatures </w:t>
      </w:r>
      <w:r w:rsidR="009A6A66">
        <w:rPr>
          <w:rFonts w:eastAsia="MS Mincho" w:cs="Arial"/>
        </w:rPr>
        <w:t xml:space="preserve">at the location of Niskin sampling </w:t>
      </w:r>
      <w:r w:rsidR="008717D5">
        <w:rPr>
          <w:rFonts w:eastAsia="MS Mincho" w:cs="Arial"/>
        </w:rPr>
        <w:t xml:space="preserve">are </w:t>
      </w:r>
      <w:r w:rsidRPr="00073A9D">
        <w:rPr>
          <w:rFonts w:eastAsia="MS Mincho" w:cs="Arial"/>
        </w:rPr>
        <w:t xml:space="preserve">measured with reversing thermometers. </w:t>
      </w:r>
    </w:p>
    <w:p w14:paraId="01A84A6F" w14:textId="0F779DA7" w:rsidR="00073A9D" w:rsidRPr="00073A9D" w:rsidRDefault="00073A9D" w:rsidP="00073A9D">
      <w:pPr>
        <w:rPr>
          <w:rFonts w:cs="Arial"/>
        </w:rPr>
      </w:pPr>
      <w:r w:rsidRPr="00073A9D">
        <w:rPr>
          <w:rFonts w:cs="Arial"/>
        </w:rPr>
        <w:t xml:space="preserve">In addition to the ship-based sampling, water samples </w:t>
      </w:r>
      <w:r w:rsidR="008717D5">
        <w:rPr>
          <w:rFonts w:cs="Arial"/>
        </w:rPr>
        <w:t>are</w:t>
      </w:r>
      <w:r w:rsidR="008717D5" w:rsidRPr="00073A9D">
        <w:rPr>
          <w:rFonts w:cs="Arial"/>
        </w:rPr>
        <w:t xml:space="preserve"> </w:t>
      </w:r>
      <w:r w:rsidRPr="00073A9D">
        <w:rPr>
          <w:rFonts w:cs="Arial"/>
        </w:rPr>
        <w:t xml:space="preserve">collected by diver-operated Niskin bottle sampling for </w:t>
      </w:r>
      <w:r w:rsidR="004F29DF" w:rsidRPr="00DA0B37">
        <w:rPr>
          <w:rFonts w:cs="Arial"/>
        </w:rPr>
        <w:t>Chl</w:t>
      </w:r>
      <w:r w:rsidR="004F29DF">
        <w:rPr>
          <w:rFonts w:cs="Arial"/>
        </w:rPr>
        <w:t>-</w:t>
      </w:r>
      <w:r w:rsidR="004F29DF" w:rsidRPr="008341E2">
        <w:rPr>
          <w:rFonts w:cs="Arial"/>
          <w:i/>
        </w:rPr>
        <w:t>a</w:t>
      </w:r>
      <w:r w:rsidR="004C75B1">
        <w:rPr>
          <w:rFonts w:cs="Arial"/>
        </w:rPr>
        <w:t xml:space="preserve"> </w:t>
      </w:r>
      <w:r w:rsidRPr="00073A9D">
        <w:rPr>
          <w:rFonts w:cs="Arial"/>
        </w:rPr>
        <w:t xml:space="preserve">and TSS close to </w:t>
      </w:r>
      <w:r w:rsidR="008717D5">
        <w:rPr>
          <w:rFonts w:cs="Arial"/>
        </w:rPr>
        <w:t xml:space="preserve">the </w:t>
      </w:r>
      <w:r w:rsidRPr="00073A9D">
        <w:rPr>
          <w:rFonts w:cs="Arial"/>
        </w:rPr>
        <w:t xml:space="preserve">deployed fluorometers/nephelometers (WET Labs), </w:t>
      </w:r>
      <w:r w:rsidR="008717D5">
        <w:rPr>
          <w:rFonts w:cs="Arial"/>
        </w:rPr>
        <w:t xml:space="preserve">as </w:t>
      </w:r>
      <w:r w:rsidRPr="00073A9D">
        <w:rPr>
          <w:rFonts w:cs="Arial"/>
        </w:rPr>
        <w:t xml:space="preserve">described below. These samples </w:t>
      </w:r>
      <w:r w:rsidR="008717D5">
        <w:rPr>
          <w:rFonts w:cs="Arial"/>
        </w:rPr>
        <w:t>are</w:t>
      </w:r>
      <w:r w:rsidR="008717D5" w:rsidRPr="00073A9D">
        <w:rPr>
          <w:rFonts w:cs="Arial"/>
        </w:rPr>
        <w:t xml:space="preserve"> </w:t>
      </w:r>
      <w:r w:rsidRPr="00073A9D">
        <w:rPr>
          <w:rFonts w:cs="Arial"/>
        </w:rPr>
        <w:t xml:space="preserve">processed for </w:t>
      </w:r>
      <w:r w:rsidR="004F29DF" w:rsidRPr="00DA0B37">
        <w:rPr>
          <w:rFonts w:cs="Arial"/>
        </w:rPr>
        <w:t>Chl</w:t>
      </w:r>
      <w:r w:rsidR="004F29DF">
        <w:rPr>
          <w:rFonts w:cs="Arial"/>
        </w:rPr>
        <w:t>-</w:t>
      </w:r>
      <w:r w:rsidR="004F29DF" w:rsidRPr="008341E2">
        <w:rPr>
          <w:rFonts w:cs="Arial"/>
          <w:i/>
        </w:rPr>
        <w:t>a</w:t>
      </w:r>
      <w:r w:rsidR="004C75B1">
        <w:rPr>
          <w:rFonts w:cs="Arial"/>
        </w:rPr>
        <w:t xml:space="preserve"> </w:t>
      </w:r>
      <w:r w:rsidRPr="00073A9D">
        <w:rPr>
          <w:rFonts w:cs="Arial"/>
        </w:rPr>
        <w:t xml:space="preserve">concentration, TSS and salinity, using the same methods as </w:t>
      </w:r>
      <w:r w:rsidR="008717D5">
        <w:rPr>
          <w:rFonts w:cs="Arial"/>
        </w:rPr>
        <w:t xml:space="preserve">those for </w:t>
      </w:r>
      <w:r w:rsidRPr="00073A9D">
        <w:rPr>
          <w:rFonts w:cs="Arial"/>
        </w:rPr>
        <w:t>the ship-based samples.</w:t>
      </w:r>
    </w:p>
    <w:p w14:paraId="303C261E" w14:textId="73417872" w:rsidR="00073A9D" w:rsidRPr="00073A9D" w:rsidRDefault="00073A9D" w:rsidP="00073A9D">
      <w:pPr>
        <w:rPr>
          <w:rFonts w:cs="Arial"/>
        </w:rPr>
      </w:pPr>
      <w:r w:rsidRPr="00073A9D">
        <w:rPr>
          <w:rFonts w:cs="Arial"/>
        </w:rPr>
        <w:t xml:space="preserve">Samples for dissolved nutrient analysis </w:t>
      </w:r>
      <w:r w:rsidR="008717D5">
        <w:rPr>
          <w:rFonts w:cs="Arial"/>
        </w:rPr>
        <w:t>are</w:t>
      </w:r>
      <w:r w:rsidR="008717D5" w:rsidRPr="00073A9D">
        <w:rPr>
          <w:rFonts w:cs="Arial"/>
        </w:rPr>
        <w:t xml:space="preserve"> </w:t>
      </w:r>
      <w:r w:rsidRPr="00073A9D">
        <w:rPr>
          <w:rFonts w:cs="Arial"/>
        </w:rPr>
        <w:t>immediately filtered through a 0.45 µm filter cartridge (Sartorius Mini</w:t>
      </w:r>
      <w:r w:rsidR="008717D5">
        <w:rPr>
          <w:rFonts w:cs="Arial"/>
        </w:rPr>
        <w:t>s</w:t>
      </w:r>
      <w:r w:rsidRPr="00073A9D">
        <w:rPr>
          <w:rFonts w:cs="Arial"/>
        </w:rPr>
        <w:t xml:space="preserve">art N) into acid-washed, screw-cap plastic test tubes, which </w:t>
      </w:r>
      <w:r w:rsidR="008717D5">
        <w:rPr>
          <w:rFonts w:cs="Arial"/>
        </w:rPr>
        <w:t>are</w:t>
      </w:r>
      <w:r w:rsidRPr="00073A9D">
        <w:rPr>
          <w:rFonts w:cs="Arial"/>
        </w:rPr>
        <w:t xml:space="preserve"> pre-rinsed twice with filtered site water. Dissolved nutrient samples </w:t>
      </w:r>
      <w:r w:rsidR="008717D5">
        <w:rPr>
          <w:rFonts w:cs="Arial"/>
        </w:rPr>
        <w:t>are</w:t>
      </w:r>
      <w:r w:rsidR="008717D5" w:rsidRPr="00073A9D">
        <w:rPr>
          <w:rFonts w:cs="Arial"/>
        </w:rPr>
        <w:t xml:space="preserve"> </w:t>
      </w:r>
      <w:r w:rsidRPr="00073A9D">
        <w:rPr>
          <w:rFonts w:cs="Arial"/>
        </w:rPr>
        <w:t>then stored frozen (-18</w:t>
      </w:r>
      <w:r w:rsidR="00481760" w:rsidRPr="007177E2">
        <w:rPr>
          <w:rFonts w:cs="Arial"/>
          <w:lang w:val="en-GB"/>
        </w:rPr>
        <w:t>°</w:t>
      </w:r>
      <w:r w:rsidRPr="00073A9D">
        <w:rPr>
          <w:rFonts w:cs="Arial"/>
        </w:rPr>
        <w:t xml:space="preserve">C) until </w:t>
      </w:r>
      <w:r w:rsidR="008717D5">
        <w:rPr>
          <w:rFonts w:cs="Arial"/>
        </w:rPr>
        <w:t xml:space="preserve">subsequent </w:t>
      </w:r>
      <w:r w:rsidRPr="00073A9D">
        <w:rPr>
          <w:rFonts w:cs="Arial"/>
        </w:rPr>
        <w:t xml:space="preserve">analysis ashore. Separate sub-samples for DOC analysis </w:t>
      </w:r>
      <w:r w:rsidR="008717D5">
        <w:rPr>
          <w:rFonts w:cs="Arial"/>
        </w:rPr>
        <w:t>are</w:t>
      </w:r>
      <w:r w:rsidR="008717D5" w:rsidRPr="00073A9D">
        <w:rPr>
          <w:rFonts w:cs="Arial"/>
        </w:rPr>
        <w:t xml:space="preserve"> </w:t>
      </w:r>
      <w:r w:rsidRPr="00073A9D">
        <w:rPr>
          <w:rFonts w:cs="Arial"/>
        </w:rPr>
        <w:t xml:space="preserve">acidified with 100 </w:t>
      </w:r>
      <w:r w:rsidR="008717D5" w:rsidRPr="00073A9D">
        <w:rPr>
          <w:rFonts w:cs="Arial"/>
        </w:rPr>
        <w:t>μ</w:t>
      </w:r>
      <w:r w:rsidR="008717D5">
        <w:rPr>
          <w:rFonts w:cs="Arial"/>
        </w:rPr>
        <w:t>L</w:t>
      </w:r>
      <w:r w:rsidR="008717D5" w:rsidRPr="00073A9D">
        <w:rPr>
          <w:rFonts w:cs="Arial"/>
        </w:rPr>
        <w:t xml:space="preserve"> </w:t>
      </w:r>
      <w:r w:rsidRPr="00073A9D">
        <w:rPr>
          <w:rFonts w:cs="Arial"/>
        </w:rPr>
        <w:t>of AR-grade HCl and stored at 4</w:t>
      </w:r>
      <w:r w:rsidR="00481760" w:rsidRPr="006F45A2">
        <w:rPr>
          <w:rFonts w:cs="Arial"/>
          <w:lang w:val="en-GB"/>
        </w:rPr>
        <w:t>°</w:t>
      </w:r>
      <w:r w:rsidRPr="00073A9D">
        <w:rPr>
          <w:rFonts w:cs="Arial"/>
        </w:rPr>
        <w:t>C until analysis. Separate sub-samples for Si(OH)</w:t>
      </w:r>
      <w:r w:rsidRPr="00073A9D">
        <w:rPr>
          <w:rFonts w:cs="Arial"/>
          <w:vertAlign w:val="subscript"/>
        </w:rPr>
        <w:t>4</w:t>
      </w:r>
      <w:r w:rsidRPr="00073A9D">
        <w:rPr>
          <w:rFonts w:cs="Arial"/>
        </w:rPr>
        <w:t xml:space="preserve"> </w:t>
      </w:r>
      <w:r w:rsidR="008717D5">
        <w:rPr>
          <w:rFonts w:cs="Arial"/>
        </w:rPr>
        <w:t>are</w:t>
      </w:r>
      <w:r w:rsidR="008717D5" w:rsidRPr="00073A9D">
        <w:rPr>
          <w:rFonts w:cs="Arial"/>
        </w:rPr>
        <w:t xml:space="preserve"> </w:t>
      </w:r>
      <w:r w:rsidRPr="00073A9D">
        <w:rPr>
          <w:rFonts w:cs="Arial"/>
        </w:rPr>
        <w:t xml:space="preserve">filtered and stored refrigerated until analysis. Samples for CDOM analysis </w:t>
      </w:r>
      <w:r w:rsidR="008717D5">
        <w:rPr>
          <w:rFonts w:cs="Arial"/>
        </w:rPr>
        <w:t>are</w:t>
      </w:r>
      <w:r w:rsidR="008717D5" w:rsidRPr="00073A9D">
        <w:rPr>
          <w:rFonts w:cs="Arial"/>
        </w:rPr>
        <w:t xml:space="preserve"> </w:t>
      </w:r>
      <w:r w:rsidRPr="00073A9D">
        <w:rPr>
          <w:rFonts w:cs="Arial"/>
        </w:rPr>
        <w:t xml:space="preserve">filtered through a 0.2 µm filter cartridge (Pall-Acropak supor </w:t>
      </w:r>
      <w:r w:rsidR="008717D5">
        <w:rPr>
          <w:rFonts w:cs="Arial"/>
        </w:rPr>
        <w:t>m</w:t>
      </w:r>
      <w:r w:rsidR="008717D5" w:rsidRPr="00073A9D">
        <w:rPr>
          <w:rFonts w:cs="Arial"/>
        </w:rPr>
        <w:t>embrane</w:t>
      </w:r>
      <w:r w:rsidRPr="00073A9D">
        <w:rPr>
          <w:rFonts w:cs="Arial"/>
        </w:rPr>
        <w:t>) into acid-washed, amber glass bottles and stored at 4</w:t>
      </w:r>
      <w:r w:rsidR="00481760" w:rsidRPr="006F45A2">
        <w:rPr>
          <w:rFonts w:cs="Arial"/>
          <w:lang w:val="en-GB"/>
        </w:rPr>
        <w:t>°</w:t>
      </w:r>
      <w:r w:rsidRPr="00073A9D">
        <w:rPr>
          <w:rFonts w:cs="Arial"/>
        </w:rPr>
        <w:t xml:space="preserve">C until analysis. </w:t>
      </w:r>
    </w:p>
    <w:p w14:paraId="0E8F23AB" w14:textId="29883CC2" w:rsidR="00073A9D" w:rsidRPr="00073A9D" w:rsidRDefault="00073A9D" w:rsidP="00073A9D">
      <w:pPr>
        <w:autoSpaceDE w:val="0"/>
        <w:autoSpaceDN w:val="0"/>
        <w:adjustRightInd w:val="0"/>
        <w:rPr>
          <w:rFonts w:eastAsia="MS Mincho" w:cs="Arial"/>
        </w:rPr>
      </w:pPr>
      <w:r w:rsidRPr="00073A9D">
        <w:rPr>
          <w:rFonts w:eastAsia="MS Mincho" w:cs="Arial"/>
        </w:rPr>
        <w:t>Inorganic dissolved nutrient (NH</w:t>
      </w:r>
      <w:r w:rsidR="00405D4E" w:rsidRPr="00405D4E">
        <w:rPr>
          <w:rFonts w:eastAsia="MS Mincho" w:cs="Arial"/>
          <w:vertAlign w:val="subscript"/>
        </w:rPr>
        <w:t>3</w:t>
      </w:r>
      <w:r w:rsidRPr="00073A9D">
        <w:rPr>
          <w:rFonts w:eastAsia="MS Mincho" w:cs="Arial"/>
        </w:rPr>
        <w:t>, NO</w:t>
      </w:r>
      <w:r w:rsidRPr="00405D4E">
        <w:rPr>
          <w:rFonts w:eastAsia="MS Mincho" w:cs="Arial"/>
          <w:vertAlign w:val="subscript"/>
        </w:rPr>
        <w:t>2</w:t>
      </w:r>
      <w:r w:rsidRPr="00073A9D">
        <w:rPr>
          <w:rFonts w:eastAsia="MS Mincho" w:cs="Arial"/>
        </w:rPr>
        <w:t>, NO</w:t>
      </w:r>
      <w:r w:rsidRPr="00405D4E">
        <w:rPr>
          <w:rFonts w:eastAsia="MS Mincho" w:cs="Arial"/>
          <w:vertAlign w:val="subscript"/>
        </w:rPr>
        <w:t>3</w:t>
      </w:r>
      <w:r w:rsidRPr="00073A9D">
        <w:rPr>
          <w:rFonts w:eastAsia="MS Mincho" w:cs="Arial"/>
        </w:rPr>
        <w:t xml:space="preserve">, </w:t>
      </w:r>
      <w:r w:rsidR="00405D4E">
        <w:rPr>
          <w:rFonts w:eastAsia="MS Mincho" w:cs="Arial"/>
        </w:rPr>
        <w:t>DIP</w:t>
      </w:r>
      <w:r w:rsidRPr="00073A9D">
        <w:rPr>
          <w:rFonts w:eastAsia="MS Mincho" w:cs="Arial"/>
        </w:rPr>
        <w:t>, Si(OH)</w:t>
      </w:r>
      <w:r w:rsidRPr="00405D4E">
        <w:rPr>
          <w:rFonts w:eastAsia="MS Mincho" w:cs="Arial"/>
          <w:vertAlign w:val="subscript"/>
        </w:rPr>
        <w:t>4</w:t>
      </w:r>
      <w:r w:rsidRPr="00073A9D">
        <w:rPr>
          <w:rFonts w:eastAsia="MS Mincho" w:cs="Arial"/>
        </w:rPr>
        <w:t xml:space="preserve">) concentrations </w:t>
      </w:r>
      <w:r w:rsidR="008717D5">
        <w:rPr>
          <w:rFonts w:eastAsia="MS Mincho" w:cs="Arial"/>
        </w:rPr>
        <w:t>are</w:t>
      </w:r>
      <w:r w:rsidR="008717D5" w:rsidRPr="00073A9D">
        <w:rPr>
          <w:rFonts w:eastAsia="MS Mincho" w:cs="Arial"/>
        </w:rPr>
        <w:t xml:space="preserve"> </w:t>
      </w:r>
      <w:r w:rsidRPr="00073A9D">
        <w:rPr>
          <w:rFonts w:eastAsia="MS Mincho" w:cs="Arial"/>
        </w:rPr>
        <w:t>determined by standard wet chemical methods</w:t>
      </w:r>
      <w:r w:rsidR="00467C6D">
        <w:rPr>
          <w:rFonts w:eastAsia="MS Mincho" w:cs="Arial"/>
        </w:rPr>
        <w:t xml:space="preserve"> </w:t>
      </w:r>
      <w:r w:rsidR="00662E0E">
        <w:rPr>
          <w:rFonts w:eastAsia="MS Mincho" w:cs="Arial"/>
        </w:rPr>
        <w:fldChar w:fldCharType="begin"/>
      </w:r>
      <w:r w:rsidR="00662E0E">
        <w:rPr>
          <w:rFonts w:eastAsia="MS Mincho" w:cs="Arial"/>
        </w:rPr>
        <w:instrText xml:space="preserve"> ADDIN EN.CITE &lt;EndNote&gt;&lt;Cite&gt;&lt;Author&gt;Ryle&lt;/Author&gt;&lt;Year&gt;1981&lt;/Year&gt;&lt;RecNum&gt;1299&lt;/RecNum&gt;&lt;DisplayText&gt;(Ryle et al., 1981)&lt;/DisplayText&gt;&lt;record&gt;&lt;rec-number&gt;1299&lt;/rec-number&gt;&lt;foreign-keys&gt;&lt;key app="EN" db-id="zapfddtwo2e9z5e5vxoxafs7sf59wfp52rvf" timestamp="1558673392"&gt;1299&lt;/key&gt;&lt;/foreign-keys&gt;&lt;ref-type name="Government Document"&gt;46&lt;/ref-type&gt;&lt;contributors&gt;&lt;authors&gt;&lt;author&gt;Ryle, VD&lt;/author&gt;&lt;author&gt;Mueller, HR&lt;/author&gt;&lt;author&gt;Gentien, P&lt;/author&gt;&lt;/authors&gt;&lt;/contributors&gt;&lt;titles&gt;&lt;title&gt;Automated analysis of nutrients in tropical sea waters. Technical bulletin Oceanography series No. 3. AIMS-OS-81-2&lt;/title&gt;&lt;/titles&gt;&lt;dates&gt;&lt;year&gt;1981&lt;/year&gt;&lt;/dates&gt;&lt;pub-location&gt;Australian Institute of Marine Science, Townsville&lt;/pub-location&gt;&lt;urls&gt;&lt;/urls&gt;&lt;/record&gt;&lt;/Cite&gt;&lt;/EndNote&gt;</w:instrText>
      </w:r>
      <w:r w:rsidR="00662E0E">
        <w:rPr>
          <w:rFonts w:eastAsia="MS Mincho" w:cs="Arial"/>
        </w:rPr>
        <w:fldChar w:fldCharType="separate"/>
      </w:r>
      <w:r w:rsidR="00662E0E">
        <w:rPr>
          <w:rFonts w:eastAsia="MS Mincho" w:cs="Arial"/>
          <w:noProof/>
        </w:rPr>
        <w:t>(Ryle et al., 1981)</w:t>
      </w:r>
      <w:r w:rsidR="00662E0E">
        <w:rPr>
          <w:rFonts w:eastAsia="MS Mincho" w:cs="Arial"/>
        </w:rPr>
        <w:fldChar w:fldCharType="end"/>
      </w:r>
      <w:r w:rsidR="00467C6D">
        <w:rPr>
          <w:rFonts w:eastAsia="MS Mincho" w:cs="Arial"/>
        </w:rPr>
        <w:t xml:space="preserve"> </w:t>
      </w:r>
      <w:r w:rsidRPr="00073A9D">
        <w:rPr>
          <w:rFonts w:eastAsia="MS Mincho" w:cs="Arial"/>
        </w:rPr>
        <w:t>implemented on a segmented flow analyser</w:t>
      </w:r>
      <w:r w:rsidR="00467C6D">
        <w:rPr>
          <w:rFonts w:eastAsia="MS Mincho" w:cs="Arial"/>
        </w:rPr>
        <w:t xml:space="preserve"> </w:t>
      </w:r>
      <w:r w:rsidRPr="00073A9D">
        <w:rPr>
          <w:rFonts w:eastAsia="MS Mincho" w:cs="Arial"/>
        </w:rPr>
        <w:t xml:space="preserve">after return to the AIMS </w:t>
      </w:r>
      <w:r w:rsidR="008717D5" w:rsidRPr="00073A9D">
        <w:rPr>
          <w:rFonts w:eastAsia="MS Mincho" w:cs="Arial"/>
        </w:rPr>
        <w:t>laborator</w:t>
      </w:r>
      <w:r w:rsidR="008717D5">
        <w:rPr>
          <w:rFonts w:eastAsia="MS Mincho" w:cs="Arial"/>
        </w:rPr>
        <w:t xml:space="preserve">y </w:t>
      </w:r>
      <w:r w:rsidRPr="00073A9D">
        <w:rPr>
          <w:rFonts w:eastAsia="MS Mincho" w:cs="Arial"/>
        </w:rPr>
        <w:t xml:space="preserve">(Appendix A3). Analyses of total dissolved nutrients (TDN and TDP) </w:t>
      </w:r>
      <w:r w:rsidR="008717D5">
        <w:rPr>
          <w:rFonts w:eastAsia="MS Mincho" w:cs="Arial"/>
        </w:rPr>
        <w:t>are performed</w:t>
      </w:r>
      <w:r w:rsidRPr="00073A9D">
        <w:rPr>
          <w:rFonts w:eastAsia="MS Mincho" w:cs="Arial"/>
        </w:rPr>
        <w:t xml:space="preserve"> using persul</w:t>
      </w:r>
      <w:r w:rsidR="00712C10">
        <w:rPr>
          <w:rFonts w:eastAsia="MS Mincho" w:cs="Arial"/>
        </w:rPr>
        <w:t>f</w:t>
      </w:r>
      <w:r w:rsidRPr="00073A9D">
        <w:rPr>
          <w:rFonts w:eastAsia="MS Mincho" w:cs="Arial"/>
        </w:rPr>
        <w:t>ate digestion of water samples</w:t>
      </w:r>
      <w:r w:rsidR="00467C6D">
        <w:rPr>
          <w:rFonts w:eastAsia="MS Mincho" w:cs="Arial"/>
        </w:rPr>
        <w:t xml:space="preserve"> </w:t>
      </w:r>
      <w:r w:rsidR="00662E0E">
        <w:rPr>
          <w:rFonts w:eastAsia="MS Mincho" w:cs="Arial"/>
        </w:rPr>
        <w:fldChar w:fldCharType="begin"/>
      </w:r>
      <w:r w:rsidR="00662E0E">
        <w:rPr>
          <w:rFonts w:eastAsia="MS Mincho" w:cs="Arial"/>
        </w:rPr>
        <w:instrText xml:space="preserve"> ADDIN EN.CITE &lt;EndNote&gt;&lt;Cite&gt;&lt;Author&gt;Valderrama&lt;/Author&gt;&lt;Year&gt;1981&lt;/Year&gt;&lt;RecNum&gt;196&lt;/RecNum&gt;&lt;DisplayText&gt;(Valderrama, 1981)&lt;/DisplayText&gt;&lt;record&gt;&lt;rec-number&gt;196&lt;/rec-number&gt;&lt;foreign-keys&gt;&lt;key app="EN" db-id="zapfddtwo2e9z5e5vxoxafs7sf59wfp52rvf" timestamp="0"&gt;196&lt;/key&gt;&lt;key app="ENWeb" db-id="TBbWuwrtqggAACxbN8Q"&gt;177&lt;/key&gt;&lt;/foreign-keys&gt;&lt;ref-type name="Journal Article"&gt;17&lt;/ref-type&gt;&lt;contributors&gt;&lt;authors&gt;&lt;author&gt;Valderrama, J.C. &lt;/author&gt;&lt;/authors&gt;&lt;/contributors&gt;&lt;titles&gt;&lt;title&gt;The simultaneous analysis of total nitrogen and total phosphorus in natural waters&lt;/title&gt;&lt;secondary-title&gt;Marine Chemistry&lt;/secondary-title&gt;&lt;/titles&gt;&lt;periodical&gt;&lt;full-title&gt;Marine Chemistry&lt;/full-title&gt;&lt;/periodical&gt;&lt;pages&gt;109-122&lt;/pages&gt;&lt;volume&gt;10&lt;/volume&gt;&lt;dates&gt;&lt;year&gt;1981&lt;/year&gt;&lt;/dates&gt;&lt;urls&gt;&lt;/urls&gt;&lt;/record&gt;&lt;/Cite&gt;&lt;/EndNote&gt;</w:instrText>
      </w:r>
      <w:r w:rsidR="00662E0E">
        <w:rPr>
          <w:rFonts w:eastAsia="MS Mincho" w:cs="Arial"/>
        </w:rPr>
        <w:fldChar w:fldCharType="separate"/>
      </w:r>
      <w:r w:rsidR="00662E0E">
        <w:rPr>
          <w:rFonts w:eastAsia="MS Mincho" w:cs="Arial"/>
          <w:noProof/>
        </w:rPr>
        <w:t>(Valderrama, 1981)</w:t>
      </w:r>
      <w:r w:rsidR="00662E0E">
        <w:rPr>
          <w:rFonts w:eastAsia="MS Mincho" w:cs="Arial"/>
        </w:rPr>
        <w:fldChar w:fldCharType="end"/>
      </w:r>
      <w:r w:rsidRPr="00073A9D">
        <w:rPr>
          <w:rFonts w:eastAsia="MS Mincho" w:cs="Arial"/>
        </w:rPr>
        <w:t xml:space="preserve"> (Appendix A3), which are then analysed for inorganic nutrients, as above. </w:t>
      </w:r>
      <w:r w:rsidR="008B4656">
        <w:rPr>
          <w:rFonts w:eastAsia="MS Mincho" w:cs="Arial"/>
        </w:rPr>
        <w:t xml:space="preserve">Concentrations of </w:t>
      </w:r>
      <w:r w:rsidRPr="00073A9D">
        <w:rPr>
          <w:rFonts w:eastAsia="MS Mincho" w:cs="Arial"/>
        </w:rPr>
        <w:t xml:space="preserve">DON and DOP </w:t>
      </w:r>
      <w:r w:rsidR="008717D5">
        <w:rPr>
          <w:rFonts w:eastAsia="MS Mincho" w:cs="Arial"/>
        </w:rPr>
        <w:t xml:space="preserve">are </w:t>
      </w:r>
      <w:r w:rsidRPr="00073A9D">
        <w:rPr>
          <w:rFonts w:eastAsia="MS Mincho" w:cs="Arial"/>
        </w:rPr>
        <w:t xml:space="preserve">calculated by subtracting the separately measured inorganic nutrient concentrations (above) from the TDN and TDP values. </w:t>
      </w:r>
    </w:p>
    <w:p w14:paraId="24582323" w14:textId="7226D097" w:rsidR="00073A9D" w:rsidRPr="00073A9D" w:rsidRDefault="00073A9D" w:rsidP="00073A9D">
      <w:pPr>
        <w:rPr>
          <w:rFonts w:cs="Arial"/>
        </w:rPr>
      </w:pPr>
      <w:r w:rsidRPr="00073A9D">
        <w:rPr>
          <w:rFonts w:cs="Arial"/>
        </w:rPr>
        <w:t xml:space="preserve">To avoid potential contamination during transport and storage, analysis of ammonium concentrations in triplicate subsamples per Niskin bottle </w:t>
      </w:r>
      <w:r w:rsidR="008717D5">
        <w:rPr>
          <w:rFonts w:cs="Arial"/>
        </w:rPr>
        <w:t>are</w:t>
      </w:r>
      <w:r w:rsidR="008717D5" w:rsidRPr="00073A9D">
        <w:rPr>
          <w:rFonts w:cs="Arial"/>
        </w:rPr>
        <w:t xml:space="preserve"> </w:t>
      </w:r>
      <w:r w:rsidRPr="00073A9D">
        <w:rPr>
          <w:rFonts w:cs="Arial"/>
        </w:rPr>
        <w:t xml:space="preserve">immediately </w:t>
      </w:r>
      <w:r w:rsidR="008717D5">
        <w:rPr>
          <w:rFonts w:cs="Arial"/>
        </w:rPr>
        <w:t xml:space="preserve">performed during </w:t>
      </w:r>
      <w:r w:rsidRPr="00073A9D">
        <w:rPr>
          <w:rFonts w:cs="Arial"/>
        </w:rPr>
        <w:t xml:space="preserve">the Cairns transect sampling aboard </w:t>
      </w:r>
      <w:r w:rsidRPr="007177E2">
        <w:rPr>
          <w:rFonts w:cs="Arial"/>
          <w:i/>
        </w:rPr>
        <w:t>RV Cape Ferguson</w:t>
      </w:r>
      <w:r w:rsidRPr="00073A9D">
        <w:rPr>
          <w:rFonts w:cs="Arial"/>
        </w:rPr>
        <w:t xml:space="preserve"> using a fluorometric method </w:t>
      </w:r>
      <w:r w:rsidR="008717D5" w:rsidRPr="00073A9D">
        <w:rPr>
          <w:rFonts w:cs="Arial"/>
        </w:rPr>
        <w:t>base</w:t>
      </w:r>
      <w:r w:rsidR="008717D5">
        <w:rPr>
          <w:rFonts w:cs="Arial"/>
        </w:rPr>
        <w:t>d</w:t>
      </w:r>
      <w:r w:rsidR="008717D5" w:rsidRPr="00073A9D">
        <w:rPr>
          <w:rFonts w:cs="Arial"/>
        </w:rPr>
        <w:t xml:space="preserve"> </w:t>
      </w:r>
      <w:r w:rsidRPr="00073A9D">
        <w:rPr>
          <w:rFonts w:cs="Arial"/>
        </w:rPr>
        <w:t>on the reaction of ortho-phthal-dialdehyde with ammonium</w:t>
      </w:r>
      <w:r w:rsidR="003D4A6B">
        <w:rPr>
          <w:rFonts w:cs="Arial"/>
        </w:rPr>
        <w:t xml:space="preserve"> </w:t>
      </w:r>
      <w:r w:rsidR="00BB0306">
        <w:rPr>
          <w:rFonts w:cs="Arial"/>
        </w:rPr>
        <w:fldChar w:fldCharType="begin"/>
      </w:r>
      <w:r w:rsidR="00662E0E">
        <w:rPr>
          <w:rFonts w:cs="Arial"/>
        </w:rPr>
        <w:instrText xml:space="preserve"> ADDIN EN.CITE &lt;EndNote&gt;&lt;Cite&gt;&lt;Author&gt;Holmes&lt;/Author&gt;&lt;Year&gt;1999&lt;/Year&gt;&lt;RecNum&gt;1296&lt;/RecNum&gt;&lt;DisplayText&gt;(Holmes et al., 1999)&lt;/DisplayText&gt;&lt;record&gt;&lt;rec-number&gt;1296&lt;/rec-number&gt;&lt;foreign-keys&gt;&lt;key app="EN" db-id="zapfddtwo2e9z5e5vxoxafs7sf59wfp52rvf" timestamp="1558672420"&gt;1296&lt;/key&gt;&lt;/foreign-keys&gt;&lt;ref-type name="Journal Article"&gt;17&lt;/ref-type&gt;&lt;contributors&gt;&lt;authors&gt;&lt;author&gt;Holmes, Robert M.&lt;/author&gt;&lt;author&gt;Aminot, Alain&lt;/author&gt;&lt;author&gt;Kérouel, Roger&lt;/author&gt;&lt;author&gt;Hooker, Bethanie A.&lt;/author&gt;&lt;author&gt;Peterson, Bruce J.&lt;/author&gt;&lt;/authors&gt;&lt;/contributors&gt;&lt;titles&gt;&lt;title&gt;A simple and precise method for measuring ammonium in marine and freshwater ecosystems&lt;/title&gt;&lt;secondary-title&gt;Canadian Journal of Fisheries and Aquatic Sciences&lt;/secondary-title&gt;&lt;/titles&gt;&lt;periodical&gt;&lt;full-title&gt;Canadian Journal of Fisheries and Aquatic Sciences&lt;/full-title&gt;&lt;/periodical&gt;&lt;pages&gt;1801-1808&lt;/pages&gt;&lt;volume&gt;56&lt;/volume&gt;&lt;number&gt;10&lt;/number&gt;&lt;dates&gt;&lt;year&gt;1999&lt;/year&gt;&lt;pub-dates&gt;&lt;date&gt;1999/10/01&lt;/date&gt;&lt;/pub-dates&gt;&lt;/dates&gt;&lt;publisher&gt;NRC Research Press&lt;/publisher&gt;&lt;isbn&gt;0706-652X&lt;/isbn&gt;&lt;urls&gt;&lt;related-urls&gt;&lt;url&gt;https://doi.org/10.1139/f99-128&lt;/url&gt;&lt;/related-urls&gt;&lt;/urls&gt;&lt;electronic-resource-num&gt;10.1139/f99-128&lt;/electronic-resource-num&gt;&lt;access-date&gt;2019/05/23&lt;/access-date&gt;&lt;/record&gt;&lt;/Cite&gt;&lt;/EndNote&gt;</w:instrText>
      </w:r>
      <w:r w:rsidR="00BB0306">
        <w:rPr>
          <w:rFonts w:cs="Arial"/>
        </w:rPr>
        <w:fldChar w:fldCharType="separate"/>
      </w:r>
      <w:r w:rsidR="00662E0E">
        <w:rPr>
          <w:rFonts w:cs="Arial"/>
          <w:noProof/>
        </w:rPr>
        <w:t>(Holmes et al., 1999)</w:t>
      </w:r>
      <w:r w:rsidR="00BB0306">
        <w:rPr>
          <w:rFonts w:cs="Arial"/>
        </w:rPr>
        <w:fldChar w:fldCharType="end"/>
      </w:r>
      <w:r w:rsidRPr="00073A9D">
        <w:rPr>
          <w:rFonts w:cs="Arial"/>
        </w:rPr>
        <w:t xml:space="preserve">. These samples </w:t>
      </w:r>
      <w:r w:rsidR="008717D5">
        <w:rPr>
          <w:rFonts w:cs="Arial"/>
        </w:rPr>
        <w:t>are</w:t>
      </w:r>
      <w:r w:rsidR="008717D5" w:rsidRPr="00073A9D">
        <w:rPr>
          <w:rFonts w:cs="Arial"/>
        </w:rPr>
        <w:t xml:space="preserve"> </w:t>
      </w:r>
      <w:r w:rsidRPr="00073A9D">
        <w:rPr>
          <w:rFonts w:cs="Arial"/>
        </w:rPr>
        <w:t xml:space="preserve">analysed on fresh unfiltered seawater samples using specially cleaned glassware because the experience of AIMS researchers shows that the risk of contaminating ammonium samples by filtration, transport and storage is high. If available, the </w:t>
      </w:r>
      <w:r w:rsidR="008717D5">
        <w:rPr>
          <w:rFonts w:cs="Arial"/>
        </w:rPr>
        <w:t xml:space="preserve">ammonium </w:t>
      </w:r>
      <w:r w:rsidRPr="00073A9D">
        <w:rPr>
          <w:rFonts w:cs="Arial"/>
        </w:rPr>
        <w:t xml:space="preserve">values measured at sea </w:t>
      </w:r>
      <w:r w:rsidR="008717D5">
        <w:rPr>
          <w:rFonts w:cs="Arial"/>
        </w:rPr>
        <w:t>are</w:t>
      </w:r>
      <w:r w:rsidR="008717D5" w:rsidRPr="00073A9D">
        <w:rPr>
          <w:rFonts w:cs="Arial"/>
        </w:rPr>
        <w:t xml:space="preserve"> </w:t>
      </w:r>
      <w:r w:rsidRPr="00073A9D">
        <w:rPr>
          <w:rFonts w:cs="Arial"/>
        </w:rPr>
        <w:t>used for the calculation of DIN (Appendix A4).</w:t>
      </w:r>
    </w:p>
    <w:p w14:paraId="6448C6E6" w14:textId="76348F5B" w:rsidR="00073A9D" w:rsidRPr="00073A9D" w:rsidRDefault="00073A9D" w:rsidP="00073A9D">
      <w:pPr>
        <w:autoSpaceDE w:val="0"/>
        <w:autoSpaceDN w:val="0"/>
        <w:adjustRightInd w:val="0"/>
        <w:rPr>
          <w:rFonts w:eastAsia="MS Mincho" w:cs="Arial"/>
        </w:rPr>
      </w:pPr>
      <w:r w:rsidRPr="00073A9D">
        <w:rPr>
          <w:rFonts w:eastAsia="MS Mincho" w:cs="Arial"/>
        </w:rPr>
        <w:t xml:space="preserve">DOC concentrations </w:t>
      </w:r>
      <w:r w:rsidR="008717D5">
        <w:rPr>
          <w:rFonts w:eastAsia="MS Mincho" w:cs="Arial"/>
        </w:rPr>
        <w:t>are</w:t>
      </w:r>
      <w:r w:rsidR="008717D5" w:rsidRPr="00073A9D">
        <w:rPr>
          <w:rFonts w:eastAsia="MS Mincho" w:cs="Arial"/>
        </w:rPr>
        <w:t xml:space="preserve"> </w:t>
      </w:r>
      <w:r w:rsidRPr="00073A9D">
        <w:rPr>
          <w:rFonts w:eastAsia="MS Mincho" w:cs="Arial"/>
        </w:rPr>
        <w:t>measured by high temperature combustion (720</w:t>
      </w:r>
      <w:r w:rsidR="00481760" w:rsidRPr="006F45A2">
        <w:rPr>
          <w:rFonts w:cs="Arial"/>
          <w:lang w:val="en-GB"/>
        </w:rPr>
        <w:t>°</w:t>
      </w:r>
      <w:r w:rsidRPr="00073A9D">
        <w:rPr>
          <w:rFonts w:eastAsia="MS Mincho" w:cs="Arial"/>
        </w:rPr>
        <w:t xml:space="preserve">C) using a Shimadzu TOC-L carbon analyser. </w:t>
      </w:r>
      <w:r w:rsidR="00383250">
        <w:rPr>
          <w:rFonts w:eastAsia="MS Mincho" w:cs="Arial"/>
        </w:rPr>
        <w:t>Before</w:t>
      </w:r>
      <w:r w:rsidRPr="00073A9D">
        <w:rPr>
          <w:rFonts w:eastAsia="MS Mincho" w:cs="Arial"/>
        </w:rPr>
        <w:t xml:space="preserve"> analysis, CO</w:t>
      </w:r>
      <w:r w:rsidRPr="00C70D93">
        <w:rPr>
          <w:rFonts w:eastAsia="MS Mincho" w:cs="Arial"/>
          <w:vertAlign w:val="subscript"/>
        </w:rPr>
        <w:t>2</w:t>
      </w:r>
      <w:r w:rsidRPr="00073A9D">
        <w:rPr>
          <w:rFonts w:eastAsia="MS Mincho" w:cs="Arial"/>
        </w:rPr>
        <w:t xml:space="preserve"> remaining in the sample water is removed by sparging with O</w:t>
      </w:r>
      <w:r w:rsidRPr="00C70D93">
        <w:rPr>
          <w:rFonts w:eastAsia="MS Mincho" w:cs="Arial"/>
          <w:vertAlign w:val="subscript"/>
        </w:rPr>
        <w:t>2</w:t>
      </w:r>
      <w:r w:rsidRPr="00073A9D">
        <w:rPr>
          <w:rFonts w:eastAsia="MS Mincho" w:cs="Arial"/>
        </w:rPr>
        <w:t xml:space="preserve"> carrier gas (Appendix A5). </w:t>
      </w:r>
    </w:p>
    <w:p w14:paraId="57034B32" w14:textId="633E5A26" w:rsidR="00073A9D" w:rsidRPr="00073A9D" w:rsidRDefault="00073A9D" w:rsidP="00073A9D">
      <w:pPr>
        <w:autoSpaceDE w:val="0"/>
        <w:autoSpaceDN w:val="0"/>
        <w:adjustRightInd w:val="0"/>
        <w:rPr>
          <w:rFonts w:eastAsia="MS Mincho" w:cs="Arial"/>
        </w:rPr>
      </w:pPr>
      <w:r w:rsidRPr="00073A9D">
        <w:rPr>
          <w:rFonts w:eastAsia="MS Mincho" w:cs="Arial"/>
        </w:rPr>
        <w:t xml:space="preserve">CDOM samples </w:t>
      </w:r>
      <w:r w:rsidR="008717D5">
        <w:rPr>
          <w:rFonts w:eastAsia="MS Mincho" w:cs="Arial"/>
        </w:rPr>
        <w:t>are</w:t>
      </w:r>
      <w:r w:rsidR="008717D5" w:rsidRPr="00073A9D">
        <w:rPr>
          <w:rFonts w:eastAsia="MS Mincho" w:cs="Arial"/>
        </w:rPr>
        <w:t xml:space="preserve"> </w:t>
      </w:r>
      <w:r w:rsidRPr="00073A9D">
        <w:rPr>
          <w:rFonts w:eastAsia="MS Mincho" w:cs="Arial"/>
        </w:rPr>
        <w:t xml:space="preserve">measured on a Shimadzu UV Spectrophotometer equipped with 10 </w:t>
      </w:r>
      <w:r w:rsidR="008717D5">
        <w:rPr>
          <w:rFonts w:eastAsia="MS Mincho" w:cs="Arial"/>
        </w:rPr>
        <w:t>centimetre</w:t>
      </w:r>
      <w:r w:rsidR="008717D5" w:rsidRPr="00073A9D">
        <w:rPr>
          <w:rFonts w:eastAsia="MS Mincho" w:cs="Arial"/>
        </w:rPr>
        <w:t xml:space="preserve"> </w:t>
      </w:r>
      <w:r w:rsidRPr="00073A9D">
        <w:rPr>
          <w:rFonts w:eastAsia="MS Mincho" w:cs="Arial"/>
        </w:rPr>
        <w:t xml:space="preserve">quartz cells using Milli-Q water as a blank. </w:t>
      </w:r>
      <w:r w:rsidR="00383250">
        <w:rPr>
          <w:rFonts w:eastAsia="MS Mincho" w:cs="Arial"/>
        </w:rPr>
        <w:t>Before</w:t>
      </w:r>
      <w:r w:rsidRPr="00073A9D">
        <w:rPr>
          <w:rFonts w:eastAsia="MS Mincho" w:cs="Arial"/>
        </w:rPr>
        <w:t xml:space="preserve"> analysis, samples </w:t>
      </w:r>
      <w:r w:rsidR="008717D5">
        <w:rPr>
          <w:rFonts w:eastAsia="MS Mincho" w:cs="Arial"/>
        </w:rPr>
        <w:t>are</w:t>
      </w:r>
      <w:r w:rsidR="008717D5" w:rsidRPr="00073A9D">
        <w:rPr>
          <w:rFonts w:eastAsia="MS Mincho" w:cs="Arial"/>
        </w:rPr>
        <w:t xml:space="preserve"> </w:t>
      </w:r>
      <w:r w:rsidRPr="00073A9D">
        <w:rPr>
          <w:rFonts w:eastAsia="MS Mincho" w:cs="Arial"/>
        </w:rPr>
        <w:t>allowed to warm to room temperature</w:t>
      </w:r>
      <w:r w:rsidR="007B21BB">
        <w:rPr>
          <w:rFonts w:eastAsia="MS Mincho" w:cs="Arial"/>
        </w:rPr>
        <w:t xml:space="preserve"> (~25° C)</w:t>
      </w:r>
      <w:r w:rsidRPr="00073A9D">
        <w:rPr>
          <w:rFonts w:eastAsia="MS Mincho" w:cs="Arial"/>
        </w:rPr>
        <w:t xml:space="preserve"> (Appendix A5). </w:t>
      </w:r>
    </w:p>
    <w:p w14:paraId="34689308" w14:textId="253A5D23" w:rsidR="00073A9D" w:rsidRPr="00073A9D" w:rsidRDefault="00073A9D" w:rsidP="00073A9D">
      <w:pPr>
        <w:rPr>
          <w:rFonts w:cs="Arial"/>
        </w:rPr>
      </w:pPr>
      <w:r w:rsidRPr="00073A9D">
        <w:rPr>
          <w:rFonts w:cs="Arial"/>
        </w:rPr>
        <w:t xml:space="preserve">The sub-samples for </w:t>
      </w:r>
      <w:r w:rsidR="008B4656">
        <w:rPr>
          <w:rFonts w:cs="Arial"/>
        </w:rPr>
        <w:t>POC, PN, PP</w:t>
      </w:r>
      <w:r w:rsidRPr="00073A9D">
        <w:rPr>
          <w:rFonts w:cs="Arial"/>
        </w:rPr>
        <w:t xml:space="preserve"> and </w:t>
      </w:r>
      <w:r w:rsidR="008B4656">
        <w:rPr>
          <w:rFonts w:cs="Arial"/>
        </w:rPr>
        <w:t>Chl-</w:t>
      </w:r>
      <w:r w:rsidR="008B4656" w:rsidRPr="00C70D93">
        <w:rPr>
          <w:rFonts w:cs="Arial"/>
          <w:i/>
        </w:rPr>
        <w:t>a</w:t>
      </w:r>
      <w:r w:rsidRPr="00073A9D">
        <w:rPr>
          <w:rFonts w:cs="Arial"/>
        </w:rPr>
        <w:t xml:space="preserve"> </w:t>
      </w:r>
      <w:r w:rsidR="00481760">
        <w:rPr>
          <w:rFonts w:cs="Arial"/>
        </w:rPr>
        <w:t>are</w:t>
      </w:r>
      <w:r w:rsidR="00481760" w:rsidRPr="00073A9D">
        <w:rPr>
          <w:rFonts w:cs="Arial"/>
        </w:rPr>
        <w:t xml:space="preserve"> </w:t>
      </w:r>
      <w:r w:rsidRPr="00073A9D">
        <w:rPr>
          <w:rFonts w:cs="Arial"/>
        </w:rPr>
        <w:t>collected on pre-combusted (450</w:t>
      </w:r>
      <w:r w:rsidR="00481760" w:rsidRPr="006F45A2">
        <w:rPr>
          <w:rFonts w:cs="Arial"/>
          <w:lang w:val="en-GB"/>
        </w:rPr>
        <w:t>°</w:t>
      </w:r>
      <w:r w:rsidRPr="00073A9D">
        <w:rPr>
          <w:rFonts w:cs="Arial"/>
        </w:rPr>
        <w:t xml:space="preserve">C for 4 h) glass fibre filters (Whatman GF/F). Filters </w:t>
      </w:r>
      <w:r w:rsidR="00481760">
        <w:rPr>
          <w:rFonts w:cs="Arial"/>
        </w:rPr>
        <w:t>are</w:t>
      </w:r>
      <w:r w:rsidR="00481760" w:rsidRPr="00073A9D">
        <w:rPr>
          <w:rFonts w:cs="Arial"/>
        </w:rPr>
        <w:t xml:space="preserve"> </w:t>
      </w:r>
      <w:r w:rsidRPr="00073A9D">
        <w:rPr>
          <w:rFonts w:cs="Arial"/>
        </w:rPr>
        <w:t xml:space="preserve">wrapped in pre-combusted aluminium foil envelopes and stored </w:t>
      </w:r>
      <w:r w:rsidR="00662E0E">
        <w:rPr>
          <w:rFonts w:cs="Arial"/>
        </w:rPr>
        <w:t>frozen</w:t>
      </w:r>
      <w:r w:rsidRPr="00073A9D">
        <w:rPr>
          <w:rFonts w:cs="Arial"/>
        </w:rPr>
        <w:t xml:space="preserve"> </w:t>
      </w:r>
      <w:r w:rsidR="00662E0E">
        <w:rPr>
          <w:rFonts w:cs="Arial"/>
        </w:rPr>
        <w:t>(</w:t>
      </w:r>
      <w:r w:rsidRPr="00073A9D">
        <w:rPr>
          <w:rFonts w:cs="Arial"/>
        </w:rPr>
        <w:t>-18</w:t>
      </w:r>
      <w:r w:rsidR="00481760" w:rsidRPr="006F45A2">
        <w:rPr>
          <w:rFonts w:cs="Arial"/>
          <w:lang w:val="en-GB"/>
        </w:rPr>
        <w:t>°</w:t>
      </w:r>
      <w:r w:rsidRPr="00073A9D">
        <w:rPr>
          <w:rFonts w:cs="Arial"/>
        </w:rPr>
        <w:t>C</w:t>
      </w:r>
      <w:r w:rsidR="00662E0E">
        <w:rPr>
          <w:rFonts w:cs="Arial"/>
        </w:rPr>
        <w:t>)</w:t>
      </w:r>
      <w:r w:rsidRPr="00073A9D">
        <w:rPr>
          <w:rFonts w:cs="Arial"/>
        </w:rPr>
        <w:t xml:space="preserve"> until </w:t>
      </w:r>
      <w:r w:rsidR="00481760" w:rsidRPr="00073A9D">
        <w:rPr>
          <w:rFonts w:cs="Arial"/>
        </w:rPr>
        <w:t>analys</w:t>
      </w:r>
      <w:r w:rsidR="00481760">
        <w:rPr>
          <w:rFonts w:cs="Arial"/>
        </w:rPr>
        <w:t>i</w:t>
      </w:r>
      <w:r w:rsidR="00481760" w:rsidRPr="00073A9D">
        <w:rPr>
          <w:rFonts w:cs="Arial"/>
        </w:rPr>
        <w:t>s</w:t>
      </w:r>
      <w:r w:rsidRPr="00073A9D">
        <w:rPr>
          <w:rFonts w:cs="Arial"/>
        </w:rPr>
        <w:t>.</w:t>
      </w:r>
    </w:p>
    <w:p w14:paraId="2ADD79E4" w14:textId="0EA7802C" w:rsidR="00073A9D" w:rsidRPr="00073A9D" w:rsidRDefault="00073A9D" w:rsidP="00073A9D">
      <w:pPr>
        <w:rPr>
          <w:rFonts w:cs="Arial"/>
        </w:rPr>
      </w:pPr>
      <w:r w:rsidRPr="00073A9D">
        <w:rPr>
          <w:rFonts w:cs="Arial"/>
          <w:color w:val="000000"/>
        </w:rPr>
        <w:t>PP is determined spectrophotometrically as inorganic P (PO</w:t>
      </w:r>
      <w:r w:rsidRPr="00073A9D">
        <w:rPr>
          <w:rFonts w:cs="Arial"/>
          <w:color w:val="000000"/>
          <w:vertAlign w:val="subscript"/>
        </w:rPr>
        <w:t>4</w:t>
      </w:r>
      <w:r w:rsidRPr="00073A9D">
        <w:rPr>
          <w:rFonts w:cs="Arial"/>
        </w:rPr>
        <w:t>)</w:t>
      </w:r>
      <w:r w:rsidR="007842A2">
        <w:rPr>
          <w:rFonts w:cs="Arial"/>
        </w:rPr>
        <w:t xml:space="preserve"> </w:t>
      </w:r>
      <w:r w:rsidR="00E62A46">
        <w:rPr>
          <w:rFonts w:cs="Arial"/>
        </w:rPr>
        <w:fldChar w:fldCharType="begin"/>
      </w:r>
      <w:r w:rsidR="00E62A46">
        <w:rPr>
          <w:rFonts w:cs="Arial"/>
        </w:rPr>
        <w:instrText xml:space="preserve"> ADDIN EN.CITE &lt;EndNote&gt;&lt;Cite&gt;&lt;Author&gt;Parsons&lt;/Author&gt;&lt;Year&gt;1984&lt;/Year&gt;&lt;RecNum&gt;1297&lt;/RecNum&gt;&lt;DisplayText&gt;(Parsons et al., 1984)&lt;/DisplayText&gt;&lt;record&gt;&lt;rec-number&gt;1297&lt;/rec-number&gt;&lt;foreign-keys&gt;&lt;key app="EN" db-id="zapfddtwo2e9z5e5vxoxafs7sf59wfp52rvf" timestamp="1558672865"&gt;1297&lt;/key&gt;&lt;/foreign-keys&gt;&lt;ref-type name="Book"&gt;6&lt;/ref-type&gt;&lt;contributors&gt;&lt;authors&gt;&lt;author&gt;Parsons, T.R.&lt;/author&gt;&lt;author&gt;Maita, Yoshiaki&lt;/author&gt;&lt;author&gt;Lalli, C.M.&lt;/author&gt;&lt;/authors&gt;&lt;/contributors&gt;&lt;titles&gt;&lt;title&gt;A manual of chemical and biological methods for seawater analysis&lt;/title&gt;&lt;/titles&gt;&lt;dates&gt;&lt;year&gt;1984&lt;/year&gt;&lt;/dates&gt;&lt;publisher&gt;Pergamon Press, Oxford&lt;/publisher&gt;&lt;urls&gt;&lt;/urls&gt;&lt;/record&gt;&lt;/Cite&gt;&lt;/EndNote&gt;</w:instrText>
      </w:r>
      <w:r w:rsidR="00E62A46">
        <w:rPr>
          <w:rFonts w:cs="Arial"/>
        </w:rPr>
        <w:fldChar w:fldCharType="separate"/>
      </w:r>
      <w:r w:rsidR="00E62A46">
        <w:rPr>
          <w:rFonts w:cs="Arial"/>
          <w:noProof/>
        </w:rPr>
        <w:t>(Parsons et al., 1984)</w:t>
      </w:r>
      <w:r w:rsidR="00E62A46">
        <w:rPr>
          <w:rFonts w:cs="Arial"/>
        </w:rPr>
        <w:fldChar w:fldCharType="end"/>
      </w:r>
      <w:r w:rsidR="007842A2">
        <w:rPr>
          <w:rFonts w:cs="Arial"/>
        </w:rPr>
        <w:t xml:space="preserve"> </w:t>
      </w:r>
      <w:r w:rsidRPr="00073A9D">
        <w:rPr>
          <w:rFonts w:cs="Arial"/>
        </w:rPr>
        <w:t xml:space="preserve">after digesting the particulate matter in </w:t>
      </w:r>
      <w:r w:rsidR="006E7C0A">
        <w:rPr>
          <w:rFonts w:cs="Arial"/>
        </w:rPr>
        <w:t>five per cent</w:t>
      </w:r>
      <w:r w:rsidRPr="00073A9D">
        <w:rPr>
          <w:rFonts w:cs="Arial"/>
        </w:rPr>
        <w:t xml:space="preserve"> potassium persul</w:t>
      </w:r>
      <w:r w:rsidR="00CC6786">
        <w:rPr>
          <w:rFonts w:cs="Arial"/>
        </w:rPr>
        <w:t>f</w:t>
      </w:r>
      <w:r w:rsidRPr="00073A9D">
        <w:rPr>
          <w:rFonts w:cs="Arial"/>
        </w:rPr>
        <w:t>ate (Appendix A7).</w:t>
      </w:r>
      <w:r w:rsidR="0051633E">
        <w:rPr>
          <w:rFonts w:cs="Arial"/>
        </w:rPr>
        <w:t xml:space="preserve"> </w:t>
      </w:r>
      <w:r w:rsidRPr="00073A9D">
        <w:rPr>
          <w:rFonts w:cs="Arial"/>
        </w:rPr>
        <w:t xml:space="preserve"> The method is standardised using orthophosphoric acid and dissolved sugar phosphates as the primary standards.</w:t>
      </w:r>
    </w:p>
    <w:p w14:paraId="0D99ED75" w14:textId="4B13C707" w:rsidR="00073A9D" w:rsidRPr="00073A9D" w:rsidRDefault="00073A9D" w:rsidP="00073A9D">
      <w:pPr>
        <w:autoSpaceDE w:val="0"/>
        <w:autoSpaceDN w:val="0"/>
        <w:adjustRightInd w:val="0"/>
        <w:rPr>
          <w:rFonts w:eastAsia="MS Mincho" w:cs="Arial"/>
        </w:rPr>
      </w:pPr>
      <w:r w:rsidRPr="00073A9D">
        <w:rPr>
          <w:rFonts w:eastAsia="MS Mincho" w:cs="Arial"/>
        </w:rPr>
        <w:t>The POC content of material collected on filters is determined by high temperature combustion (950</w:t>
      </w:r>
      <w:r w:rsidR="00186A4E" w:rsidRPr="006F45A2">
        <w:rPr>
          <w:rFonts w:cs="Arial"/>
          <w:lang w:val="en-GB"/>
        </w:rPr>
        <w:t>°</w:t>
      </w:r>
      <w:r w:rsidRPr="00073A9D">
        <w:rPr>
          <w:rFonts w:eastAsia="MS Mincho" w:cs="Arial"/>
        </w:rPr>
        <w:t>C) using a Shimadzu TOC-V carbon analyser fitted with a SSM-5000A solid sample module (Appendix A8). Filters containing sampled material are placed in pre-combusted (950</w:t>
      </w:r>
      <w:r w:rsidR="00186A4E" w:rsidRPr="006F45A2">
        <w:rPr>
          <w:rFonts w:cs="Arial"/>
          <w:lang w:val="en-GB"/>
        </w:rPr>
        <w:t>°</w:t>
      </w:r>
      <w:r w:rsidRPr="00073A9D">
        <w:rPr>
          <w:rFonts w:eastAsia="MS Mincho" w:cs="Arial"/>
        </w:rPr>
        <w:t>C) ceramic sample boats. Inorganic C on the filters (</w:t>
      </w:r>
      <w:r w:rsidR="00186A4E">
        <w:rPr>
          <w:rFonts w:eastAsia="MS Mincho" w:cs="Arial"/>
        </w:rPr>
        <w:t>for example</w:t>
      </w:r>
      <w:r w:rsidRPr="00073A9D">
        <w:rPr>
          <w:rFonts w:eastAsia="MS Mincho" w:cs="Arial"/>
        </w:rPr>
        <w:t xml:space="preserve"> CaCO</w:t>
      </w:r>
      <w:r w:rsidRPr="00C70D93">
        <w:rPr>
          <w:rFonts w:eastAsia="MS Mincho" w:cs="Arial"/>
          <w:vertAlign w:val="subscript"/>
        </w:rPr>
        <w:t>3</w:t>
      </w:r>
      <w:r w:rsidRPr="00073A9D">
        <w:rPr>
          <w:rFonts w:eastAsia="MS Mincho" w:cs="Arial"/>
        </w:rPr>
        <w:t>) is removed by acidification of the sample with 2</w:t>
      </w:r>
      <w:r w:rsidR="0041755C">
        <w:rPr>
          <w:rFonts w:eastAsia="MS Mincho" w:cs="Arial"/>
        </w:rPr>
        <w:t xml:space="preserve"> </w:t>
      </w:r>
      <w:r w:rsidRPr="00073A9D">
        <w:rPr>
          <w:rFonts w:eastAsia="MS Mincho" w:cs="Arial"/>
        </w:rPr>
        <w:t>M hydrochloric acid. The filter is then introduced into the sample oven (950</w:t>
      </w:r>
      <w:bookmarkStart w:id="113" w:name="_Hlk510762733"/>
      <w:r w:rsidR="00186A4E" w:rsidRPr="007177E2">
        <w:rPr>
          <w:rFonts w:cs="Arial"/>
          <w:lang w:val="en-GB"/>
        </w:rPr>
        <w:t>°</w:t>
      </w:r>
      <w:bookmarkEnd w:id="113"/>
      <w:r w:rsidRPr="00073A9D">
        <w:rPr>
          <w:rFonts w:eastAsia="MS Mincho" w:cs="Arial"/>
        </w:rPr>
        <w:t>C), purged of atmospheric CO</w:t>
      </w:r>
      <w:r w:rsidRPr="00934F1E">
        <w:rPr>
          <w:rFonts w:eastAsia="MS Mincho" w:cs="Arial"/>
          <w:vertAlign w:val="subscript"/>
        </w:rPr>
        <w:t>2</w:t>
      </w:r>
      <w:r w:rsidRPr="00073A9D">
        <w:rPr>
          <w:rFonts w:eastAsia="MS Mincho" w:cs="Arial"/>
        </w:rPr>
        <w:t xml:space="preserve"> and the remaining organic carbon is combusted in an oxygen stream and quantified by </w:t>
      </w:r>
      <w:r w:rsidR="00EE767B">
        <w:rPr>
          <w:rFonts w:eastAsia="MS Mincho" w:cs="Arial"/>
        </w:rPr>
        <w:t>infrared gas analysis</w:t>
      </w:r>
      <w:r w:rsidRPr="00073A9D">
        <w:rPr>
          <w:rFonts w:eastAsia="MS Mincho" w:cs="Arial"/>
        </w:rPr>
        <w:t>. The analyses are standardised using certified reference materials (</w:t>
      </w:r>
      <w:r w:rsidR="00186A4E">
        <w:rPr>
          <w:rFonts w:eastAsia="MS Mincho" w:cs="Arial"/>
        </w:rPr>
        <w:t>for example</w:t>
      </w:r>
      <w:r w:rsidRPr="00073A9D">
        <w:rPr>
          <w:rFonts w:eastAsia="MS Mincho" w:cs="Arial"/>
        </w:rPr>
        <w:t xml:space="preserve"> NCS DC85104a).</w:t>
      </w:r>
    </w:p>
    <w:p w14:paraId="65375BDF" w14:textId="7305ECA5" w:rsidR="00073A9D" w:rsidRPr="00073A9D" w:rsidRDefault="00073A9D" w:rsidP="00073A9D">
      <w:pPr>
        <w:autoSpaceDE w:val="0"/>
        <w:autoSpaceDN w:val="0"/>
        <w:adjustRightInd w:val="0"/>
        <w:rPr>
          <w:rFonts w:eastAsia="MS Mincho" w:cs="Arial"/>
        </w:rPr>
      </w:pPr>
      <w:r w:rsidRPr="00073A9D">
        <w:rPr>
          <w:rFonts w:eastAsia="MS Mincho" w:cs="Arial"/>
        </w:rPr>
        <w:t xml:space="preserve">PN is determined using a Shimadzu </w:t>
      </w:r>
      <w:r w:rsidR="003028C5">
        <w:rPr>
          <w:rFonts w:eastAsia="MS Mincho" w:cs="Arial"/>
        </w:rPr>
        <w:t>TN</w:t>
      </w:r>
      <w:r w:rsidR="0041755C" w:rsidRPr="00073A9D">
        <w:rPr>
          <w:rFonts w:eastAsia="MS Mincho" w:cs="Arial"/>
        </w:rPr>
        <w:t xml:space="preserve"> </w:t>
      </w:r>
      <w:r w:rsidRPr="00073A9D">
        <w:rPr>
          <w:rFonts w:eastAsia="MS Mincho" w:cs="Arial"/>
        </w:rPr>
        <w:t xml:space="preserve">unit (model TNM-1) fitted in series to the aforementioned </w:t>
      </w:r>
      <w:r w:rsidR="0041755C">
        <w:rPr>
          <w:rFonts w:eastAsia="MS Mincho" w:cs="Arial"/>
        </w:rPr>
        <w:t>c</w:t>
      </w:r>
      <w:r w:rsidR="0041755C" w:rsidRPr="00073A9D">
        <w:rPr>
          <w:rFonts w:eastAsia="MS Mincho" w:cs="Arial"/>
        </w:rPr>
        <w:t xml:space="preserve">arbon </w:t>
      </w:r>
      <w:r w:rsidRPr="00073A9D">
        <w:rPr>
          <w:rFonts w:eastAsia="MS Mincho" w:cs="Arial"/>
        </w:rPr>
        <w:t xml:space="preserve">analyser. After the carrier gas stream moves from the carbon detector it enters an ozone saturated reaction chamber where </w:t>
      </w:r>
      <w:r w:rsidR="0041755C">
        <w:rPr>
          <w:rFonts w:eastAsia="MS Mincho" w:cs="Arial"/>
        </w:rPr>
        <w:t>NO</w:t>
      </w:r>
      <w:r w:rsidR="0041755C" w:rsidRPr="009E23A1">
        <w:rPr>
          <w:rFonts w:eastAsia="MS Mincho" w:cs="Arial"/>
          <w:vertAlign w:val="subscript"/>
        </w:rPr>
        <w:t>2</w:t>
      </w:r>
      <w:r w:rsidRPr="00073A9D">
        <w:rPr>
          <w:rFonts w:eastAsia="MS Mincho" w:cs="Arial"/>
        </w:rPr>
        <w:t xml:space="preserve"> reacts with ozone. This reaction generates chemiluminescence</w:t>
      </w:r>
      <w:r w:rsidR="0041755C">
        <w:rPr>
          <w:rFonts w:eastAsia="MS Mincho" w:cs="Arial"/>
        </w:rPr>
        <w:t>,</w:t>
      </w:r>
      <w:r w:rsidRPr="00073A9D">
        <w:rPr>
          <w:rFonts w:eastAsia="MS Mincho" w:cs="Arial"/>
        </w:rPr>
        <w:t xml:space="preserve"> which is then measured using a chemiluminescence detector. The analyses are standardised using certified reference materials (</w:t>
      </w:r>
      <w:r w:rsidR="00DA151B">
        <w:rPr>
          <w:rFonts w:eastAsia="MS Mincho" w:cs="Arial"/>
        </w:rPr>
        <w:t>for example</w:t>
      </w:r>
      <w:r w:rsidRPr="00073A9D">
        <w:rPr>
          <w:rFonts w:eastAsia="MS Mincho" w:cs="Arial"/>
        </w:rPr>
        <w:t xml:space="preserve"> NCS DC85104a).</w:t>
      </w:r>
    </w:p>
    <w:p w14:paraId="17CC66F6" w14:textId="564AAB98" w:rsidR="00073A9D" w:rsidRPr="00073A9D" w:rsidRDefault="004F29DF" w:rsidP="00073A9D">
      <w:pPr>
        <w:autoSpaceDE w:val="0"/>
        <w:autoSpaceDN w:val="0"/>
        <w:adjustRightInd w:val="0"/>
        <w:rPr>
          <w:rFonts w:eastAsia="MS Mincho" w:cs="Arial"/>
        </w:rPr>
      </w:pPr>
      <w:r w:rsidRPr="00DA0B37">
        <w:rPr>
          <w:rFonts w:cs="Arial"/>
        </w:rPr>
        <w:t>Chl</w:t>
      </w:r>
      <w:r>
        <w:rPr>
          <w:rFonts w:cs="Arial"/>
        </w:rPr>
        <w:t>-</w:t>
      </w:r>
      <w:r w:rsidRPr="008341E2">
        <w:rPr>
          <w:rFonts w:cs="Arial"/>
          <w:i/>
        </w:rPr>
        <w:t>a</w:t>
      </w:r>
      <w:r w:rsidR="004C75B1">
        <w:rPr>
          <w:rFonts w:cs="Arial"/>
        </w:rPr>
        <w:t xml:space="preserve"> </w:t>
      </w:r>
      <w:r w:rsidR="00073A9D" w:rsidRPr="00073A9D">
        <w:rPr>
          <w:rFonts w:eastAsia="MS Mincho" w:cs="Arial"/>
        </w:rPr>
        <w:t>concentrations are measured fluorometrically using a Turner Designs 10AU fluorometer after grinding the filters in 90</w:t>
      </w:r>
      <w:r w:rsidR="008B4656">
        <w:rPr>
          <w:rFonts w:eastAsia="MS Mincho" w:cs="Arial"/>
        </w:rPr>
        <w:t>%</w:t>
      </w:r>
      <w:r w:rsidR="00073A9D" w:rsidRPr="00073A9D">
        <w:rPr>
          <w:rFonts w:eastAsia="MS Mincho" w:cs="Arial"/>
        </w:rPr>
        <w:t xml:space="preserve"> acetone (Appendix </w:t>
      </w:r>
      <w:r w:rsidR="00A3157F">
        <w:rPr>
          <w:rFonts w:eastAsia="MS Mincho" w:cs="Arial"/>
        </w:rPr>
        <w:t>A</w:t>
      </w:r>
      <w:r w:rsidR="00073A9D" w:rsidRPr="00073A9D">
        <w:rPr>
          <w:rFonts w:eastAsia="MS Mincho" w:cs="Arial"/>
        </w:rPr>
        <w:t>9)</w:t>
      </w:r>
      <w:r w:rsidR="00CF4FBA">
        <w:rPr>
          <w:rFonts w:eastAsia="MS Mincho" w:cs="Arial"/>
        </w:rPr>
        <w:t xml:space="preserve"> </w:t>
      </w:r>
      <w:r w:rsidR="00BB0306">
        <w:rPr>
          <w:rFonts w:eastAsia="MS Mincho" w:cs="Arial"/>
        </w:rPr>
        <w:fldChar w:fldCharType="begin"/>
      </w:r>
      <w:r w:rsidR="00662E0E">
        <w:rPr>
          <w:rFonts w:eastAsia="MS Mincho" w:cs="Arial"/>
        </w:rPr>
        <w:instrText xml:space="preserve"> ADDIN EN.CITE &lt;EndNote&gt;&lt;Cite&gt;&lt;Author&gt;Parsons&lt;/Author&gt;&lt;Year&gt;1984&lt;/Year&gt;&lt;RecNum&gt;1297&lt;/RecNum&gt;&lt;DisplayText&gt;(Parsons et al., 1984)&lt;/DisplayText&gt;&lt;record&gt;&lt;rec-number&gt;1297&lt;/rec-number&gt;&lt;foreign-keys&gt;&lt;key app="EN" db-id="zapfddtwo2e9z5e5vxoxafs7sf59wfp52rvf" timestamp="1558672865"&gt;1297&lt;/key&gt;&lt;/foreign-keys&gt;&lt;ref-type name="Book"&gt;6&lt;/ref-type&gt;&lt;contributors&gt;&lt;authors&gt;&lt;author&gt;Parsons, T.R.&lt;/author&gt;&lt;author&gt;Maita, Yoshiaki&lt;/author&gt;&lt;author&gt;Lalli, C.M.&lt;/author&gt;&lt;/authors&gt;&lt;/contributors&gt;&lt;titles&gt;&lt;title&gt;A manual of chemical and biological methods for seawater analysis&lt;/title&gt;&lt;/titles&gt;&lt;dates&gt;&lt;year&gt;1984&lt;/year&gt;&lt;/dates&gt;&lt;publisher&gt;Pergamon Press, Oxford&lt;/publisher&gt;&lt;urls&gt;&lt;/urls&gt;&lt;/record&gt;&lt;/Cite&gt;&lt;/EndNote&gt;</w:instrText>
      </w:r>
      <w:r w:rsidR="00BB0306">
        <w:rPr>
          <w:rFonts w:eastAsia="MS Mincho" w:cs="Arial"/>
        </w:rPr>
        <w:fldChar w:fldCharType="separate"/>
      </w:r>
      <w:r w:rsidR="00662E0E">
        <w:rPr>
          <w:rFonts w:eastAsia="MS Mincho" w:cs="Arial"/>
          <w:noProof/>
        </w:rPr>
        <w:t>(Parsons et al., 1984)</w:t>
      </w:r>
      <w:r w:rsidR="00BB0306">
        <w:rPr>
          <w:rFonts w:eastAsia="MS Mincho" w:cs="Arial"/>
        </w:rPr>
        <w:fldChar w:fldCharType="end"/>
      </w:r>
      <w:r w:rsidR="00073A9D" w:rsidRPr="00073A9D">
        <w:rPr>
          <w:rFonts w:eastAsia="MS Mincho" w:cs="Arial"/>
        </w:rPr>
        <w:t xml:space="preserve">. </w:t>
      </w:r>
      <w:r w:rsidR="00CF4FBA">
        <w:rPr>
          <w:rFonts w:eastAsia="MS Mincho" w:cs="Arial"/>
        </w:rPr>
        <w:t xml:space="preserve"> </w:t>
      </w:r>
      <w:r w:rsidR="00073A9D" w:rsidRPr="00073A9D">
        <w:rPr>
          <w:rFonts w:eastAsia="MS Mincho" w:cs="Arial"/>
        </w:rPr>
        <w:t xml:space="preserve">The fluorometer is calibrated against </w:t>
      </w:r>
      <w:r w:rsidRPr="00DA0B37">
        <w:rPr>
          <w:rFonts w:cs="Arial"/>
        </w:rPr>
        <w:t>Chl</w:t>
      </w:r>
      <w:r>
        <w:rPr>
          <w:rFonts w:cs="Arial"/>
        </w:rPr>
        <w:t>-</w:t>
      </w:r>
      <w:r w:rsidRPr="008341E2">
        <w:rPr>
          <w:rFonts w:cs="Arial"/>
          <w:i/>
        </w:rPr>
        <w:t>a</w:t>
      </w:r>
      <w:r w:rsidR="004C75B1">
        <w:rPr>
          <w:rFonts w:cs="Arial"/>
        </w:rPr>
        <w:t xml:space="preserve"> </w:t>
      </w:r>
      <w:r w:rsidR="00073A9D" w:rsidRPr="00073A9D">
        <w:rPr>
          <w:rFonts w:eastAsia="MS Mincho" w:cs="Arial"/>
        </w:rPr>
        <w:t>extracts from log-phase diatom cultures (</w:t>
      </w:r>
      <w:r w:rsidRPr="00DA0B37">
        <w:rPr>
          <w:rFonts w:cs="Arial"/>
        </w:rPr>
        <w:t>Chl</w:t>
      </w:r>
      <w:r>
        <w:rPr>
          <w:rFonts w:cs="Arial"/>
        </w:rPr>
        <w:t>-</w:t>
      </w:r>
      <w:r w:rsidRPr="008341E2">
        <w:rPr>
          <w:rFonts w:cs="Arial"/>
          <w:i/>
        </w:rPr>
        <w:t>a</w:t>
      </w:r>
      <w:r w:rsidR="004C75B1">
        <w:rPr>
          <w:rFonts w:cs="Arial"/>
        </w:rPr>
        <w:t xml:space="preserve"> </w:t>
      </w:r>
      <w:r w:rsidR="00073A9D" w:rsidRPr="00073A9D">
        <w:rPr>
          <w:rFonts w:eastAsia="MS Mincho" w:cs="Arial"/>
        </w:rPr>
        <w:t xml:space="preserve">and </w:t>
      </w:r>
      <w:r w:rsidR="00073A9D" w:rsidRPr="009E23A1">
        <w:rPr>
          <w:rFonts w:eastAsia="MS Mincho" w:cs="Arial"/>
          <w:i/>
        </w:rPr>
        <w:t>c</w:t>
      </w:r>
      <w:r w:rsidR="00073A9D" w:rsidRPr="00073A9D">
        <w:rPr>
          <w:rFonts w:eastAsia="MS Mincho" w:cs="Arial"/>
        </w:rPr>
        <w:t xml:space="preserve">). The extract </w:t>
      </w:r>
      <w:r w:rsidR="000E7F53">
        <w:rPr>
          <w:rFonts w:eastAsia="MS Mincho" w:cs="Arial"/>
        </w:rPr>
        <w:t>Chl-</w:t>
      </w:r>
      <w:r w:rsidR="000E7F53" w:rsidRPr="00C70D93">
        <w:rPr>
          <w:rFonts w:eastAsia="MS Mincho" w:cs="Arial"/>
          <w:i/>
        </w:rPr>
        <w:t>a</w:t>
      </w:r>
      <w:r w:rsidR="000E7F53" w:rsidRPr="00073A9D">
        <w:rPr>
          <w:rFonts w:eastAsia="MS Mincho" w:cs="Arial"/>
        </w:rPr>
        <w:t xml:space="preserve"> </w:t>
      </w:r>
      <w:r w:rsidR="00073A9D" w:rsidRPr="00073A9D">
        <w:rPr>
          <w:rFonts w:eastAsia="MS Mincho" w:cs="Arial"/>
        </w:rPr>
        <w:t xml:space="preserve">concentrations are determined spectrophotometrically using the wavelengths and equation specified </w:t>
      </w:r>
      <w:r w:rsidR="00BB0306">
        <w:rPr>
          <w:rFonts w:eastAsia="MS Mincho" w:cs="Arial"/>
        </w:rPr>
        <w:t xml:space="preserve">in </w:t>
      </w:r>
      <w:r w:rsidR="00BB0306">
        <w:rPr>
          <w:rFonts w:eastAsia="MS Mincho" w:cs="Arial"/>
        </w:rPr>
        <w:fldChar w:fldCharType="begin"/>
      </w:r>
      <w:r w:rsidR="00BB0306">
        <w:rPr>
          <w:rFonts w:eastAsia="MS Mincho" w:cs="Arial"/>
        </w:rPr>
        <w:instrText xml:space="preserve"> ADDIN EN.CITE &lt;EndNote&gt;&lt;Cite AuthorYear="1"&gt;&lt;Author&gt;Jeffrey&lt;/Author&gt;&lt;Year&gt;1975&lt;/Year&gt;&lt;RecNum&gt;1298&lt;/RecNum&gt;&lt;DisplayText&gt;Jeffrey and Humphrey (1975)&lt;/DisplayText&gt;&lt;record&gt;&lt;rec-number&gt;1298&lt;/rec-number&gt;&lt;foreign-keys&gt;&lt;key app="EN" db-id="zapfddtwo2e9z5e5vxoxafs7sf59wfp52rvf" timestamp="1558672997"&gt;1298&lt;/key&gt;&lt;/foreign-keys&gt;&lt;ref-type name="Journal Article"&gt;17&lt;/ref-type&gt;&lt;contributors&gt;&lt;authors&gt;&lt;author&gt;Jeffrey, S. W.&lt;/author&gt;&lt;author&gt;Humphrey, G. F.&lt;/author&gt;&lt;/authors&gt;&lt;/contributors&gt;&lt;titles&gt;&lt;title&gt;&lt;style face="normal" font="default" size="100%"&gt;New spectrophotometric equations for determining chlorophylls &lt;/style&gt;&lt;style face="italic" font="default" size="100%"&gt;a&lt;/style&gt;&lt;style face="normal" font="default" size="100%"&gt;, &lt;/style&gt;&lt;style face="italic" font="default" size="100%"&gt;b&lt;/style&gt;&lt;style face="normal" font="default" size="100%"&gt;, &lt;/style&gt;&lt;style face="italic" font="default" size="100%"&gt;c&lt;/style&gt;&lt;style face="subscript" font="default" size="100%"&gt;1&lt;/style&gt;&lt;style face="normal" font="default" size="100%"&gt; and &lt;/style&gt;&lt;style face="italic" font="default" size="100%"&gt;c&lt;/style&gt;&lt;style face="subscript" font="default" size="100%"&gt;2&lt;/style&gt;&lt;style face="normal" font="default" size="100%"&gt; in higher plants, algae and natural phytoplankton&lt;/style&gt;&lt;/title&gt;&lt;secondary-title&gt;Biochemie und Physiologie der Pflanzen&lt;/secondary-title&gt;&lt;/titles&gt;&lt;periodical&gt;&lt;full-title&gt;Biochemie und Physiologie der Pflanzen&lt;/full-title&gt;&lt;/periodical&gt;&lt;pages&gt;191-194&lt;/pages&gt;&lt;volume&gt;167&lt;/volume&gt;&lt;number&gt;2&lt;/number&gt;&lt;keywords&gt;&lt;keyword&gt;chlorophylls&lt;/keyword&gt;&lt;keyword&gt;spectrophotometry&lt;/keyword&gt;&lt;keyword&gt;determination&lt;/keyword&gt;&lt;keyword&gt;equations&lt;/keyword&gt;&lt;/keywords&gt;&lt;dates&gt;&lt;year&gt;1975&lt;/year&gt;&lt;pub-dates&gt;&lt;date&gt;1975/01/01/&lt;/date&gt;&lt;/pub-dates&gt;&lt;/dates&gt;&lt;isbn&gt;0015-3796&lt;/isbn&gt;&lt;urls&gt;&lt;related-urls&gt;&lt;url&gt;http://www.sciencedirect.com/science/article/pii/S0015379617307783&lt;/url&gt;&lt;/related-urls&gt;&lt;/urls&gt;&lt;electronic-resource-num&gt;https://doi.org/10.1016/S0015-3796(17)30778-3&lt;/electronic-resource-num&gt;&lt;/record&gt;&lt;/Cite&gt;&lt;/EndNote&gt;</w:instrText>
      </w:r>
      <w:r w:rsidR="00BB0306">
        <w:rPr>
          <w:rFonts w:eastAsia="MS Mincho" w:cs="Arial"/>
        </w:rPr>
        <w:fldChar w:fldCharType="separate"/>
      </w:r>
      <w:r w:rsidR="00BB0306">
        <w:rPr>
          <w:rFonts w:eastAsia="MS Mincho" w:cs="Arial"/>
          <w:noProof/>
        </w:rPr>
        <w:t>Jeffrey and Humphrey (1975)</w:t>
      </w:r>
      <w:r w:rsidR="00BB0306">
        <w:rPr>
          <w:rFonts w:eastAsia="MS Mincho" w:cs="Arial"/>
        </w:rPr>
        <w:fldChar w:fldCharType="end"/>
      </w:r>
      <w:r w:rsidR="00CF4FBA">
        <w:rPr>
          <w:rFonts w:eastAsia="MS Mincho" w:cs="Arial"/>
        </w:rPr>
        <w:t xml:space="preserve">. </w:t>
      </w:r>
      <w:r w:rsidR="00EE767B" w:rsidRPr="00EE767B">
        <w:rPr>
          <w:rFonts w:cs="Plantin"/>
        </w:rPr>
        <w:t xml:space="preserve"> </w:t>
      </w:r>
      <w:r w:rsidR="00EE767B">
        <w:rPr>
          <w:rFonts w:cs="Plantin"/>
        </w:rPr>
        <w:t>The solutions were then diluted by orders of magnitude and used to produce a standard curve matching the sample concentration range and of suitable concentration for use in the fluorometer.</w:t>
      </w:r>
    </w:p>
    <w:p w14:paraId="1796A2E4" w14:textId="006686C7" w:rsidR="002E600A" w:rsidRPr="00A64BC2" w:rsidRDefault="00073A9D" w:rsidP="00073A9D">
      <w:pPr>
        <w:autoSpaceDE w:val="0"/>
        <w:autoSpaceDN w:val="0"/>
        <w:adjustRightInd w:val="0"/>
        <w:rPr>
          <w:rFonts w:cs="Arial"/>
        </w:rPr>
      </w:pPr>
      <w:r w:rsidRPr="00073A9D">
        <w:rPr>
          <w:rFonts w:eastAsia="MS Mincho" w:cs="Arial"/>
        </w:rPr>
        <w:t xml:space="preserve">Sub-samples for TSS </w:t>
      </w:r>
      <w:r w:rsidR="0041755C">
        <w:rPr>
          <w:rFonts w:eastAsia="MS Mincho" w:cs="Arial"/>
        </w:rPr>
        <w:t xml:space="preserve">are </w:t>
      </w:r>
      <w:r w:rsidRPr="00073A9D">
        <w:rPr>
          <w:rFonts w:eastAsia="MS Mincho" w:cs="Arial"/>
        </w:rPr>
        <w:t xml:space="preserve">collected on pre-weighed 0.4 µm polycarbonate filters. TSS concentrations are determined gravimetrically from the difference in weight between loaded and unloaded 0.4 µm polycarbonate filters (47 mm diameter, GE Water &amp; Process Technologies) after the filters </w:t>
      </w:r>
      <w:r w:rsidR="0041755C" w:rsidRPr="00073A9D">
        <w:rPr>
          <w:rFonts w:eastAsia="MS Mincho" w:cs="Arial"/>
        </w:rPr>
        <w:t>ha</w:t>
      </w:r>
      <w:r w:rsidR="0041755C">
        <w:rPr>
          <w:rFonts w:eastAsia="MS Mincho" w:cs="Arial"/>
        </w:rPr>
        <w:t>ve</w:t>
      </w:r>
      <w:r w:rsidR="0041755C" w:rsidRPr="00073A9D">
        <w:rPr>
          <w:rFonts w:eastAsia="MS Mincho" w:cs="Arial"/>
        </w:rPr>
        <w:t xml:space="preserve"> </w:t>
      </w:r>
      <w:r w:rsidRPr="00073A9D">
        <w:rPr>
          <w:rFonts w:eastAsia="MS Mincho" w:cs="Arial"/>
        </w:rPr>
        <w:t>been dried overnight at 60</w:t>
      </w:r>
      <w:r w:rsidR="00DA151B" w:rsidRPr="006F45A2">
        <w:rPr>
          <w:rFonts w:cs="Arial"/>
          <w:lang w:val="en-GB"/>
        </w:rPr>
        <w:t>°</w:t>
      </w:r>
      <w:r w:rsidR="009E23A1">
        <w:rPr>
          <w:rFonts w:cs="Arial"/>
          <w:lang w:val="en-GB"/>
        </w:rPr>
        <w:t xml:space="preserve"> </w:t>
      </w:r>
      <w:r w:rsidRPr="00073A9D">
        <w:rPr>
          <w:rFonts w:eastAsia="MS Mincho" w:cs="Arial"/>
        </w:rPr>
        <w:t>C (Appendix A10).</w:t>
      </w:r>
    </w:p>
    <w:p w14:paraId="08F3CF29" w14:textId="1349ECC1" w:rsidR="002E600A" w:rsidRPr="00A64BC2" w:rsidRDefault="002E600A">
      <w:pPr>
        <w:pStyle w:val="Heading3"/>
      </w:pPr>
      <w:bookmarkStart w:id="114" w:name="_Toc423036752"/>
      <w:bookmarkStart w:id="115" w:name="_Toc433716358"/>
      <w:bookmarkStart w:id="116" w:name="_Toc520727823"/>
      <w:bookmarkStart w:id="117" w:name="_Toc12365567"/>
      <w:r w:rsidRPr="00A64BC2">
        <w:t>Autonomous environmental water quality loggers</w:t>
      </w:r>
      <w:bookmarkEnd w:id="108"/>
      <w:bookmarkEnd w:id="109"/>
      <w:bookmarkEnd w:id="110"/>
      <w:bookmarkEnd w:id="111"/>
      <w:bookmarkEnd w:id="112"/>
      <w:bookmarkEnd w:id="114"/>
      <w:bookmarkEnd w:id="115"/>
      <w:bookmarkEnd w:id="116"/>
      <w:bookmarkEnd w:id="117"/>
    </w:p>
    <w:p w14:paraId="0C5F1291" w14:textId="403383E8" w:rsidR="002E600A" w:rsidRPr="00A64BC2" w:rsidRDefault="001930CA" w:rsidP="00FE2F59">
      <w:pPr>
        <w:rPr>
          <w:rFonts w:cs="Arial"/>
        </w:rPr>
      </w:pPr>
      <w:r>
        <w:rPr>
          <w:rFonts w:cs="Arial"/>
          <w:color w:val="000000"/>
          <w:lang w:eastAsia="en-AU"/>
        </w:rPr>
        <w:t>In situ autonomous</w:t>
      </w:r>
      <w:r w:rsidRPr="00A64BC2">
        <w:rPr>
          <w:rFonts w:cs="Arial"/>
          <w:color w:val="000000"/>
          <w:lang w:eastAsia="en-AU"/>
        </w:rPr>
        <w:t xml:space="preserve"> </w:t>
      </w:r>
      <w:r w:rsidR="002E600A" w:rsidRPr="00A64BC2">
        <w:rPr>
          <w:rFonts w:cs="Arial"/>
          <w:color w:val="000000"/>
          <w:lang w:eastAsia="en-AU"/>
        </w:rPr>
        <w:t>water quality monitoring is undertaken using WET Labs Environmental Characteri</w:t>
      </w:r>
      <w:r w:rsidR="002E600A">
        <w:rPr>
          <w:rFonts w:cs="Arial"/>
          <w:color w:val="000000"/>
          <w:lang w:eastAsia="en-AU"/>
        </w:rPr>
        <w:t>s</w:t>
      </w:r>
      <w:r w:rsidR="002E600A" w:rsidRPr="00A64BC2">
        <w:rPr>
          <w:rFonts w:cs="Arial"/>
          <w:color w:val="000000"/>
          <w:lang w:eastAsia="en-AU"/>
        </w:rPr>
        <w:t xml:space="preserve">ation Optics (ECO) FLNTUSB Combination Fluorometer and Turbidity Sensors. The </w:t>
      </w:r>
      <w:r w:rsidR="002E600A" w:rsidRPr="00A64BC2">
        <w:rPr>
          <w:rFonts w:cs="Arial"/>
        </w:rPr>
        <w:t xml:space="preserve">ECO FLNTUSB </w:t>
      </w:r>
      <w:r w:rsidR="002E600A" w:rsidRPr="00A64BC2">
        <w:rPr>
          <w:rFonts w:cs="Arial"/>
          <w:bCs/>
          <w:color w:val="000000"/>
        </w:rPr>
        <w:t>instruments</w:t>
      </w:r>
      <w:r w:rsidR="002E600A" w:rsidRPr="00A64BC2">
        <w:rPr>
          <w:rFonts w:cs="Arial"/>
          <w:color w:val="000000"/>
          <w:lang w:eastAsia="en-AU"/>
        </w:rPr>
        <w:t xml:space="preserve"> perform simultaneous </w:t>
      </w:r>
      <w:r w:rsidR="002E600A" w:rsidRPr="00A64BC2">
        <w:rPr>
          <w:rFonts w:cs="Arial"/>
          <w:i/>
          <w:color w:val="000000"/>
          <w:lang w:eastAsia="en-AU"/>
        </w:rPr>
        <w:t>in situ</w:t>
      </w:r>
      <w:r w:rsidR="002E600A" w:rsidRPr="00A64BC2">
        <w:rPr>
          <w:rFonts w:cs="Arial"/>
          <w:color w:val="000000"/>
          <w:lang w:eastAsia="en-AU"/>
        </w:rPr>
        <w:t xml:space="preserve"> measurements of chlorophyll fluorescence, turbidity and temperature </w:t>
      </w:r>
      <w:r w:rsidR="002E600A" w:rsidRPr="00A64BC2">
        <w:rPr>
          <w:rFonts w:cs="Arial"/>
        </w:rPr>
        <w:t xml:space="preserve">(Appendix A11). The instrument runs at 1 or 1.4 kHz (version dependent), and interleaves the fluorescence and turbidity measurements. Ambient light rejection is accomplished by measuring the difference between the detector </w:t>
      </w:r>
      <w:r w:rsidR="00AA70D6" w:rsidRPr="00A64BC2">
        <w:rPr>
          <w:rFonts w:cs="Arial"/>
        </w:rPr>
        <w:t>voltages</w:t>
      </w:r>
      <w:r w:rsidR="002E600A" w:rsidRPr="00A64BC2">
        <w:rPr>
          <w:rFonts w:cs="Arial"/>
        </w:rPr>
        <w:t xml:space="preserve"> while the LED lights are on and between the light flashes. The chlorophyll fluorescence measurement uses 470 nm LED light to stimulate the chlorophyll molecule and measures the emission response at 700 nm using a silicon photodiode behind a red interference filter. The instrument alternates the 470 nm LED flash with a 700 nm LED flash to measure the backscattering from particles calibrated with respect to formazin turbidity standards. The centroid angle of measurement of the FLNTU is 140</w:t>
      </w:r>
      <w:r w:rsidR="00DA151B" w:rsidRPr="006F45A2">
        <w:rPr>
          <w:rFonts w:cs="Arial"/>
          <w:lang w:val="en-GB"/>
        </w:rPr>
        <w:t>°</w:t>
      </w:r>
      <w:r w:rsidR="002E600A" w:rsidRPr="00A64BC2">
        <w:rPr>
          <w:rFonts w:cs="Arial"/>
        </w:rPr>
        <w:t xml:space="preserve"> from the LEDs to the detector. As fluorescence is isotropic, the angle is not significant to the chlorophyll measurement, whereas for the backscattering measurement the angle is significant and comparisons with other turbidity datasets should account for this effect.</w:t>
      </w:r>
    </w:p>
    <w:p w14:paraId="365800C5" w14:textId="459C6D72" w:rsidR="002E600A" w:rsidRPr="00A64BC2" w:rsidRDefault="002E600A" w:rsidP="00FE2F59">
      <w:pPr>
        <w:rPr>
          <w:rFonts w:cs="Arial"/>
        </w:rPr>
      </w:pPr>
      <w:r w:rsidRPr="00A64BC2">
        <w:rPr>
          <w:rFonts w:cs="Arial"/>
        </w:rPr>
        <w:t xml:space="preserve">Chlorophyll fluorescence measured </w:t>
      </w:r>
      <w:r w:rsidRPr="00C65896">
        <w:rPr>
          <w:rFonts w:cs="Arial"/>
          <w:i/>
        </w:rPr>
        <w:t>in situ</w:t>
      </w:r>
      <w:r w:rsidRPr="00A64BC2">
        <w:rPr>
          <w:rFonts w:cs="Arial"/>
        </w:rPr>
        <w:t xml:space="preserve"> is dominated by the concentration of the </w:t>
      </w:r>
      <w:r w:rsidR="004F29DF" w:rsidRPr="00DA0B37">
        <w:rPr>
          <w:rFonts w:cs="Arial"/>
        </w:rPr>
        <w:t>Chl</w:t>
      </w:r>
      <w:r w:rsidR="004F29DF">
        <w:rPr>
          <w:rFonts w:cs="Arial"/>
        </w:rPr>
        <w:t>-</w:t>
      </w:r>
      <w:r w:rsidR="004F29DF" w:rsidRPr="008341E2">
        <w:rPr>
          <w:rFonts w:cs="Arial"/>
          <w:i/>
        </w:rPr>
        <w:t>a</w:t>
      </w:r>
      <w:r w:rsidR="004C75B1">
        <w:rPr>
          <w:rFonts w:cs="Arial"/>
        </w:rPr>
        <w:t xml:space="preserve"> </w:t>
      </w:r>
      <w:r w:rsidRPr="00A64BC2">
        <w:rPr>
          <w:rFonts w:cs="Arial"/>
        </w:rPr>
        <w:t xml:space="preserve">pigment, but also includes accessory chlorophyll pigments and some degradation products. </w:t>
      </w:r>
      <w:r w:rsidR="002B4D69">
        <w:rPr>
          <w:rFonts w:cs="Arial"/>
        </w:rPr>
        <w:t>This</w:t>
      </w:r>
      <w:r w:rsidRPr="00A64BC2">
        <w:rPr>
          <w:rFonts w:cs="Arial"/>
        </w:rPr>
        <w:t xml:space="preserve"> water sampling procedure specifically measures the </w:t>
      </w:r>
      <w:r w:rsidR="004F29DF" w:rsidRPr="00DA0B37">
        <w:rPr>
          <w:rFonts w:cs="Arial"/>
        </w:rPr>
        <w:t>Chl</w:t>
      </w:r>
      <w:r w:rsidR="004F29DF">
        <w:rPr>
          <w:rFonts w:cs="Arial"/>
        </w:rPr>
        <w:t>-</w:t>
      </w:r>
      <w:r w:rsidR="004F29DF" w:rsidRPr="008341E2">
        <w:rPr>
          <w:rFonts w:cs="Arial"/>
          <w:i/>
        </w:rPr>
        <w:t>a</w:t>
      </w:r>
      <w:r w:rsidR="004C75B1">
        <w:rPr>
          <w:rFonts w:cs="Arial"/>
        </w:rPr>
        <w:t xml:space="preserve"> </w:t>
      </w:r>
      <w:r w:rsidRPr="00A64BC2">
        <w:rPr>
          <w:rFonts w:cs="Arial"/>
        </w:rPr>
        <w:t>from phytoplankton. To clarify the difference between the datasets</w:t>
      </w:r>
      <w:r w:rsidR="001648A1">
        <w:rPr>
          <w:rFonts w:cs="Arial"/>
        </w:rPr>
        <w:t>,</w:t>
      </w:r>
      <w:r w:rsidRPr="00A64BC2">
        <w:rPr>
          <w:rFonts w:cs="Arial"/>
        </w:rPr>
        <w:t xml:space="preserve"> the </w:t>
      </w:r>
      <w:r w:rsidRPr="00C65896">
        <w:rPr>
          <w:rFonts w:cs="Arial"/>
          <w:i/>
        </w:rPr>
        <w:t>in situ</w:t>
      </w:r>
      <w:r w:rsidRPr="00A64BC2">
        <w:rPr>
          <w:rFonts w:cs="Arial"/>
        </w:rPr>
        <w:t xml:space="preserve"> fluorescence measurement </w:t>
      </w:r>
      <w:r w:rsidR="001648A1">
        <w:rPr>
          <w:rFonts w:cs="Arial"/>
        </w:rPr>
        <w:t xml:space="preserve">are refrred to </w:t>
      </w:r>
      <w:r w:rsidRPr="00A64BC2">
        <w:rPr>
          <w:rFonts w:cs="Arial"/>
        </w:rPr>
        <w:t>as ‘chlorophyll’ to distinguish the fluorescence data from the direct water sampling measurement of ‘</w:t>
      </w:r>
      <w:r w:rsidR="004F29DF" w:rsidRPr="00DA0B37">
        <w:rPr>
          <w:rFonts w:cs="Arial"/>
        </w:rPr>
        <w:t>Chl</w:t>
      </w:r>
      <w:r w:rsidR="004F29DF">
        <w:rPr>
          <w:rFonts w:cs="Arial"/>
        </w:rPr>
        <w:t>-</w:t>
      </w:r>
      <w:r w:rsidR="004F29DF" w:rsidRPr="008341E2">
        <w:rPr>
          <w:rFonts w:cs="Arial"/>
          <w:i/>
        </w:rPr>
        <w:t>a</w:t>
      </w:r>
      <w:r w:rsidR="001648A1">
        <w:rPr>
          <w:rFonts w:cs="Arial"/>
        </w:rPr>
        <w:t>’</w:t>
      </w:r>
      <w:r w:rsidRPr="00A64BC2">
        <w:rPr>
          <w:rFonts w:cs="Arial"/>
        </w:rPr>
        <w:t>.</w:t>
      </w:r>
    </w:p>
    <w:p w14:paraId="692252F7" w14:textId="663C1A78" w:rsidR="002E600A" w:rsidRPr="00A64BC2" w:rsidRDefault="002E600A" w:rsidP="00FE2F59">
      <w:pPr>
        <w:rPr>
          <w:rFonts w:cs="Arial"/>
          <w:lang w:eastAsia="en-AU"/>
        </w:rPr>
      </w:pPr>
      <w:r w:rsidRPr="00A64BC2">
        <w:rPr>
          <w:rFonts w:cs="Arial"/>
        </w:rPr>
        <w:t xml:space="preserve">There are a variety of physiological and biological relationships that will alter the relationship between </w:t>
      </w:r>
      <w:r w:rsidRPr="00C65896">
        <w:rPr>
          <w:rFonts w:cs="Arial"/>
          <w:i/>
        </w:rPr>
        <w:t>in situ</w:t>
      </w:r>
      <w:r w:rsidRPr="00A64BC2">
        <w:rPr>
          <w:rFonts w:cs="Arial"/>
        </w:rPr>
        <w:t xml:space="preserve"> fluorescence and phytoplankton chlorophyll concentration, i.e. chlorophyll vs. </w:t>
      </w:r>
      <w:r w:rsidR="004F29DF" w:rsidRPr="00DA0B37">
        <w:rPr>
          <w:rFonts w:cs="Arial"/>
        </w:rPr>
        <w:t>Chl</w:t>
      </w:r>
      <w:r w:rsidR="004F29DF">
        <w:rPr>
          <w:rFonts w:cs="Arial"/>
        </w:rPr>
        <w:t>-</w:t>
      </w:r>
      <w:r w:rsidR="004F29DF" w:rsidRPr="008341E2">
        <w:rPr>
          <w:rFonts w:cs="Arial"/>
          <w:i/>
        </w:rPr>
        <w:t>a</w:t>
      </w:r>
      <w:r w:rsidRPr="00A64BC2">
        <w:rPr>
          <w:rFonts w:cs="Arial"/>
        </w:rPr>
        <w:t>. The two largest effects are changes in the phytoplankton species composition and light history. Optical interference, and hence an overestimation of the chlorophyll concentration in viable phytoplankton</w:t>
      </w:r>
      <w:r w:rsidRPr="00ED5E1F">
        <w:rPr>
          <w:rFonts w:cs="Arial"/>
        </w:rPr>
        <w:t>, can occur if fluorescent compounds in dissolved organic matter are abundant</w:t>
      </w:r>
      <w:r w:rsidR="007D73E4">
        <w:rPr>
          <w:rFonts w:cs="Arial"/>
        </w:rPr>
        <w:t xml:space="preserve"> </w:t>
      </w:r>
      <w:r w:rsidR="00E62A46">
        <w:rPr>
          <w:rFonts w:cs="Arial"/>
        </w:rPr>
        <w:fldChar w:fldCharType="begin"/>
      </w:r>
      <w:r w:rsidR="00E62A46">
        <w:rPr>
          <w:rFonts w:cs="Arial"/>
        </w:rPr>
        <w:instrText xml:space="preserve"> ADDIN EN.CITE &lt;EndNote&gt;&lt;Cite&gt;&lt;Author&gt;Roesler&lt;/Author&gt;&lt;Year&gt;2017&lt;/Year&gt;&lt;RecNum&gt;1216&lt;/RecNum&gt;&lt;DisplayText&gt;(Roesler et al., 2017)&lt;/DisplayText&gt;&lt;record&gt;&lt;rec-number&gt;1216&lt;/rec-number&gt;&lt;foreign-keys&gt;&lt;key app="EN" db-id="zapfddtwo2e9z5e5vxoxafs7sf59wfp52rvf" timestamp="1532909779"&gt;1216&lt;/key&gt;&lt;/foreign-keys&gt;&lt;ref-type name="Journal Article"&gt;17&lt;/ref-type&gt;&lt;contributors&gt;&lt;authors&gt;&lt;author&gt;Roesler, Collin&lt;/author&gt;&lt;author&gt;Uitz, Julia&lt;/author&gt;&lt;author&gt;Claustre, Hervé&lt;/author&gt;&lt;author&gt;Boss, Emmanuel&lt;/author&gt;&lt;author&gt;Xing, Xiaogang&lt;/author&gt;&lt;author&gt;Organelli, Emanuele&lt;/author&gt;&lt;author&gt;Briggs, Nathan&lt;/author&gt;&lt;author&gt;Bricaud, Annick&lt;/author&gt;&lt;author&gt;Schmechtig, Catherine&lt;/author&gt;&lt;author&gt;Poteau, Antoine&lt;/author&gt;&lt;author&gt;D&amp;apos;Ortenzio, Fabrizio&lt;/author&gt;&lt;author&gt;Ras, Josephine&lt;/author&gt;&lt;author&gt;Drapeau, Susan&lt;/author&gt;&lt;author&gt;Haëntjens, Nils&lt;/author&gt;&lt;author&gt;Barbieux, Marie&lt;/author&gt;&lt;/authors&gt;&lt;/contributors&gt;&lt;titles&gt;&lt;title&gt;Recommendations for obtaining unbiased chlorophyll estimates from in situ chlorophyll fluorometers: A global analysis of WET Labs ECO sensors&lt;/title&gt;&lt;secondary-title&gt;Limnology and Oceanography: Methods&lt;/secondary-title&gt;&lt;/titles&gt;&lt;periodical&gt;&lt;full-title&gt;Limnology and Oceanography: Methods&lt;/full-title&gt;&lt;/periodical&gt;&lt;pages&gt;572-585&lt;/pages&gt;&lt;volume&gt;15&lt;/volume&gt;&lt;number&gt;6&lt;/number&gt;&lt;dates&gt;&lt;year&gt;2017&lt;/year&gt;&lt;/dates&gt;&lt;urls&gt;&lt;related-urls&gt;&lt;url&gt;https://aslopubs.onlinelibrary.wiley.com/doi/abs/10.1002/lom3.10185&lt;/url&gt;&lt;/related-urls&gt;&lt;/urls&gt;&lt;electronic-resource-num&gt;doi:10.1002/lom3.10185&lt;/electronic-resource-num&gt;&lt;/record&gt;&lt;/Cite&gt;&lt;/EndNote&gt;</w:instrText>
      </w:r>
      <w:r w:rsidR="00E62A46">
        <w:rPr>
          <w:rFonts w:cs="Arial"/>
        </w:rPr>
        <w:fldChar w:fldCharType="separate"/>
      </w:r>
      <w:r w:rsidR="00E62A46">
        <w:rPr>
          <w:rFonts w:cs="Arial"/>
          <w:noProof/>
        </w:rPr>
        <w:t>(Roesler et al., 2017)</w:t>
      </w:r>
      <w:r w:rsidR="00E62A46">
        <w:rPr>
          <w:rFonts w:cs="Arial"/>
        </w:rPr>
        <w:fldChar w:fldCharType="end"/>
      </w:r>
      <w:r w:rsidRPr="003C7E1D">
        <w:rPr>
          <w:rFonts w:cs="Arial"/>
        </w:rPr>
        <w:t>,</w:t>
      </w:r>
      <w:r w:rsidRPr="00A64BC2">
        <w:rPr>
          <w:rFonts w:cs="Arial"/>
        </w:rPr>
        <w:t xml:space="preserve"> for example in waters affected by flood plumes.</w:t>
      </w:r>
      <w:r>
        <w:rPr>
          <w:rFonts w:cs="Arial"/>
        </w:rPr>
        <w:t xml:space="preserve"> </w:t>
      </w:r>
      <w:r w:rsidRPr="00A64BC2">
        <w:rPr>
          <w:rFonts w:cs="Arial"/>
          <w:lang w:eastAsia="en-AU"/>
        </w:rPr>
        <w:t xml:space="preserve">The instruments </w:t>
      </w:r>
      <w:r w:rsidR="001648A1">
        <w:rPr>
          <w:rFonts w:cs="Arial"/>
          <w:lang w:eastAsia="en-AU"/>
        </w:rPr>
        <w:t>are</w:t>
      </w:r>
      <w:r w:rsidR="001648A1" w:rsidRPr="00A64BC2">
        <w:rPr>
          <w:rFonts w:cs="Arial"/>
          <w:lang w:eastAsia="en-AU"/>
        </w:rPr>
        <w:t xml:space="preserve"> </w:t>
      </w:r>
      <w:r w:rsidRPr="00A64BC2">
        <w:rPr>
          <w:rFonts w:cs="Arial"/>
          <w:lang w:eastAsia="en-AU"/>
        </w:rPr>
        <w:t xml:space="preserve">used in ‘logging’ mode and record a data point every </w:t>
      </w:r>
      <w:r w:rsidR="001648A1">
        <w:rPr>
          <w:rFonts w:cs="Arial"/>
          <w:lang w:eastAsia="en-AU"/>
        </w:rPr>
        <w:t>10</w:t>
      </w:r>
      <w:r w:rsidR="001648A1" w:rsidRPr="00A64BC2">
        <w:rPr>
          <w:rFonts w:cs="Arial"/>
          <w:lang w:eastAsia="en-AU"/>
        </w:rPr>
        <w:t xml:space="preserve"> </w:t>
      </w:r>
      <w:r w:rsidRPr="00A64BC2">
        <w:rPr>
          <w:rFonts w:cs="Arial"/>
          <w:lang w:eastAsia="en-AU"/>
        </w:rPr>
        <w:t>minutes for each of the three parameters, which was a mean of 50 instantaneous readings (see Appendix A11 for detailed procedures).</w:t>
      </w:r>
    </w:p>
    <w:p w14:paraId="64D5BFEB" w14:textId="529CF0B7" w:rsidR="002E600A" w:rsidRPr="00A64BC2" w:rsidRDefault="002E600A" w:rsidP="00FE2F59">
      <w:pPr>
        <w:rPr>
          <w:rFonts w:cs="Arial"/>
        </w:rPr>
      </w:pPr>
      <w:r w:rsidRPr="00A64BC2">
        <w:rPr>
          <w:rFonts w:cs="Arial"/>
        </w:rPr>
        <w:t>Pre- and post-deployment checks of each instrument include measurements of the maximum fluorescence response</w:t>
      </w:r>
      <w:r w:rsidR="001648A1">
        <w:rPr>
          <w:rFonts w:cs="Arial"/>
        </w:rPr>
        <w:t xml:space="preserve"> and</w:t>
      </w:r>
      <w:r w:rsidRPr="00A64BC2">
        <w:rPr>
          <w:rFonts w:cs="Arial"/>
        </w:rPr>
        <w:t xml:space="preserve"> the dark count (instrument response with no external fluorescence, essentially the ‘zero’ point). </w:t>
      </w:r>
      <w:r w:rsidR="00383250">
        <w:rPr>
          <w:rFonts w:cs="Arial"/>
        </w:rPr>
        <w:t>Extra</w:t>
      </w:r>
      <w:r w:rsidR="00383250" w:rsidRPr="00A64BC2">
        <w:rPr>
          <w:rFonts w:cs="Arial"/>
        </w:rPr>
        <w:t xml:space="preserve"> </w:t>
      </w:r>
      <w:r w:rsidRPr="00A64BC2">
        <w:rPr>
          <w:rFonts w:cs="Arial"/>
        </w:rPr>
        <w:t>calibration checks, as recommended by the manufacturer, are performed less frequently (see Appendix A11 for details).</w:t>
      </w:r>
    </w:p>
    <w:p w14:paraId="773093AD" w14:textId="14055937" w:rsidR="002E600A" w:rsidRDefault="002E600A" w:rsidP="00FE2F59">
      <w:pPr>
        <w:rPr>
          <w:rFonts w:cs="Arial"/>
        </w:rPr>
      </w:pPr>
      <w:r w:rsidRPr="00A64BC2">
        <w:rPr>
          <w:rFonts w:cs="Arial"/>
        </w:rPr>
        <w:t xml:space="preserve">After retrieval from the field locations, the instruments </w:t>
      </w:r>
      <w:r w:rsidR="001648A1">
        <w:rPr>
          <w:rFonts w:cs="Arial"/>
        </w:rPr>
        <w:t>are</w:t>
      </w:r>
      <w:r w:rsidR="001648A1" w:rsidRPr="00A64BC2">
        <w:rPr>
          <w:rFonts w:cs="Arial"/>
        </w:rPr>
        <w:t xml:space="preserve"> </w:t>
      </w:r>
      <w:r w:rsidRPr="00A64BC2">
        <w:rPr>
          <w:rFonts w:cs="Arial"/>
        </w:rPr>
        <w:t>cleaned and data downloaded and converted from raw instrumental records into actual measurement units (µg L</w:t>
      </w:r>
      <w:r w:rsidRPr="00A64BC2">
        <w:rPr>
          <w:rFonts w:cs="Arial"/>
          <w:vertAlign w:val="superscript"/>
        </w:rPr>
        <w:t>-1</w:t>
      </w:r>
      <w:r w:rsidRPr="00A64BC2">
        <w:rPr>
          <w:rFonts w:cs="Arial"/>
        </w:rPr>
        <w:t xml:space="preserve"> for chlorophyll fluorescence, NTU for turbidity</w:t>
      </w:r>
      <w:r w:rsidR="001648A1">
        <w:rPr>
          <w:rFonts w:cs="Arial"/>
        </w:rPr>
        <w:t xml:space="preserve"> and</w:t>
      </w:r>
      <w:r w:rsidRPr="00A64BC2">
        <w:rPr>
          <w:rFonts w:cs="Arial"/>
        </w:rPr>
        <w:t xml:space="preserve"> ºC for temperature) according to </w:t>
      </w:r>
      <w:r w:rsidR="001648A1">
        <w:rPr>
          <w:rFonts w:cs="Arial"/>
        </w:rPr>
        <w:t xml:space="preserve">the </w:t>
      </w:r>
      <w:r w:rsidRPr="00A64BC2">
        <w:rPr>
          <w:rFonts w:cs="Arial"/>
        </w:rPr>
        <w:t xml:space="preserve">standard procedures </w:t>
      </w:r>
      <w:r w:rsidR="001648A1">
        <w:rPr>
          <w:rFonts w:cs="Arial"/>
        </w:rPr>
        <w:t>of</w:t>
      </w:r>
      <w:r w:rsidR="001648A1" w:rsidRPr="00A64BC2">
        <w:rPr>
          <w:rFonts w:cs="Arial"/>
        </w:rPr>
        <w:t xml:space="preserve"> </w:t>
      </w:r>
      <w:r w:rsidRPr="00A64BC2">
        <w:rPr>
          <w:rFonts w:cs="Arial"/>
        </w:rPr>
        <w:t xml:space="preserve">the manufacturer. Deployment information and all raw and converted instrumental records </w:t>
      </w:r>
      <w:r w:rsidR="001648A1">
        <w:rPr>
          <w:rFonts w:cs="Arial"/>
        </w:rPr>
        <w:t>are</w:t>
      </w:r>
      <w:r w:rsidR="001648A1" w:rsidRPr="00A64BC2">
        <w:rPr>
          <w:rFonts w:cs="Arial"/>
        </w:rPr>
        <w:t xml:space="preserve"> </w:t>
      </w:r>
      <w:r w:rsidRPr="00A64BC2">
        <w:rPr>
          <w:rFonts w:cs="Arial"/>
        </w:rPr>
        <w:t>stored in an Oracle-based data management system developed by AIMS. Records are quality-checked using time-series data editing software (WISKI</w:t>
      </w:r>
      <w:r w:rsidRPr="00A64BC2">
        <w:rPr>
          <w:rFonts w:cs="Arial"/>
          <w:vertAlign w:val="superscript"/>
        </w:rPr>
        <w:sym w:font="Symbol" w:char="F0D3"/>
      </w:r>
      <w:r w:rsidRPr="00A64BC2">
        <w:rPr>
          <w:rFonts w:cs="Arial"/>
        </w:rPr>
        <w:t xml:space="preserve">-TV, Kisters) and unreliable data caused by instrument problems removed (see Appendix A11 for detailed data download and quality-checking procedures). </w:t>
      </w:r>
    </w:p>
    <w:p w14:paraId="0D5067CC" w14:textId="126D06AA" w:rsidR="0091658F" w:rsidRPr="000F3970" w:rsidRDefault="0091658F" w:rsidP="0091658F">
      <w:pPr>
        <w:autoSpaceDE w:val="0"/>
        <w:autoSpaceDN w:val="0"/>
        <w:adjustRightInd w:val="0"/>
      </w:pPr>
      <w:r>
        <w:rPr>
          <w:bCs/>
        </w:rPr>
        <w:t xml:space="preserve">Instrument data are validated against concurrently-collected water samples. </w:t>
      </w:r>
      <w:r w:rsidRPr="000F3970">
        <w:t xml:space="preserve">The relationship between optically measured turbidity and total suspended solids analysed on filters </w:t>
      </w:r>
      <w:r>
        <w:t>are relatively</w:t>
      </w:r>
      <w:r w:rsidRPr="000F3970">
        <w:t xml:space="preserve"> good (</w:t>
      </w:r>
      <w:r w:rsidR="00740B55">
        <w:fldChar w:fldCharType="begin"/>
      </w:r>
      <w:r w:rsidR="00740B55">
        <w:instrText xml:space="preserve"> REF _Ref4942720 </w:instrText>
      </w:r>
      <w:r w:rsidR="00740B55">
        <w:fldChar w:fldCharType="separate"/>
      </w:r>
      <w:r w:rsidR="00D528AA">
        <w:t xml:space="preserve">Figure </w:t>
      </w:r>
      <w:r w:rsidR="00D528AA">
        <w:rPr>
          <w:noProof/>
        </w:rPr>
        <w:t>2</w:t>
      </w:r>
      <w:r w:rsidR="00D528AA">
        <w:noBreakHyphen/>
      </w:r>
      <w:r w:rsidR="00D528AA">
        <w:rPr>
          <w:noProof/>
        </w:rPr>
        <w:t>5</w:t>
      </w:r>
      <w:r w:rsidR="00740B55">
        <w:rPr>
          <w:noProof/>
        </w:rPr>
        <w:fldChar w:fldCharType="end"/>
      </w:r>
      <w:r>
        <w:t>)</w:t>
      </w:r>
      <w:r w:rsidRPr="000F3970">
        <w:t>, and the linear equation [TSS (mg</w:t>
      </w:r>
      <w:r>
        <w:t xml:space="preserve"> </w:t>
      </w:r>
      <w:r w:rsidRPr="000F3970">
        <w:t>L</w:t>
      </w:r>
      <w:r w:rsidRPr="000F3970">
        <w:rPr>
          <w:vertAlign w:val="superscript"/>
        </w:rPr>
        <w:t>-1</w:t>
      </w:r>
      <w:r w:rsidRPr="000F3970">
        <w:t xml:space="preserve">)] = 1.3 x FLNTUSB Turbidity (NTU)] has been used for conversion between these two variables. The equation has been the same </w:t>
      </w:r>
      <w:r>
        <w:t>in the</w:t>
      </w:r>
      <w:r w:rsidRPr="000F3970">
        <w:t xml:space="preserve"> last </w:t>
      </w:r>
      <w:r>
        <w:t>four year</w:t>
      </w:r>
      <w:r w:rsidRPr="000F3970">
        <w:t xml:space="preserve">s. Though these relationships are valid it should be remembered that the two variables are measures of two different things </w:t>
      </w:r>
      <w:r>
        <w:t>that</w:t>
      </w:r>
      <w:r w:rsidRPr="000F3970">
        <w:t xml:space="preserve"> do not necessarily co-vary. </w:t>
      </w:r>
    </w:p>
    <w:p w14:paraId="19F9E8C4" w14:textId="60AAA74B" w:rsidR="0091658F" w:rsidRDefault="0091658F" w:rsidP="0091658F">
      <w:r w:rsidRPr="000F3970">
        <w:t xml:space="preserve">Using this equation, the </w:t>
      </w:r>
      <w:r>
        <w:t>T</w:t>
      </w:r>
      <w:r w:rsidRPr="000F3970">
        <w:t>SS trigger value in the Guidelines of 2.0 mg L</w:t>
      </w:r>
      <w:r w:rsidRPr="000F3970">
        <w:rPr>
          <w:vertAlign w:val="superscript"/>
        </w:rPr>
        <w:t>-1</w:t>
      </w:r>
      <w:r w:rsidRPr="000F3970">
        <w:t xml:space="preserve"> (GBRMPA</w:t>
      </w:r>
      <w:r>
        <w:t>,</w:t>
      </w:r>
      <w:r w:rsidRPr="000F3970">
        <w:t xml:space="preserve"> 2010) translates into a turbidity trigger value of 1.5 NTU.</w:t>
      </w:r>
    </w:p>
    <w:p w14:paraId="3510C8DD" w14:textId="66904A42" w:rsidR="0091658F" w:rsidRDefault="0091658F" w:rsidP="0091658F">
      <w:pPr>
        <w:rPr>
          <w:rFonts w:cs="Arial"/>
        </w:rPr>
      </w:pPr>
      <w:r>
        <w:rPr>
          <w:noProof/>
          <w:lang w:eastAsia="en-AU"/>
        </w:rPr>
        <w:drawing>
          <wp:inline distT="0" distB="0" distL="0" distR="0" wp14:anchorId="487DBF36" wp14:editId="1B1D506A">
            <wp:extent cx="5669280" cy="3368040"/>
            <wp:effectExtent l="0" t="0" r="7620" b="3810"/>
            <wp:docPr id="251" name="Chart 251" descr="Match-up of instrument readings of turbidity (NTU) from field deployments of WET Labs Eco FLNTUSB Combination Fluorometer and Turbidity Sensors with values from standard laboratory analysis of concurrently collected water samples.&#10;&#10;Graph showing match-up of instrument readings of turbidity (NTU) from field deployments of WET Labs Eco FLNTUSB Combination Fluorometer and Turbidity Sensors with values from standard laboratory analysis of concurrently collected water samples."/>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FFABFDB" w14:textId="2237C0BB" w:rsidR="0091658F" w:rsidRPr="00A64BC2" w:rsidRDefault="0091658F" w:rsidP="007E5A3A">
      <w:pPr>
        <w:pStyle w:val="Caption"/>
      </w:pPr>
      <w:bookmarkStart w:id="118" w:name="_Ref4942720"/>
      <w:bookmarkStart w:id="119" w:name="_Toc269561883"/>
      <w:bookmarkStart w:id="120" w:name="_Toc302658469"/>
      <w:bookmarkStart w:id="121" w:name="_Toc334817061"/>
      <w:bookmarkStart w:id="122" w:name="_Toc373758252"/>
      <w:bookmarkStart w:id="123" w:name="_Toc373758280"/>
      <w:bookmarkStart w:id="124" w:name="_Toc374701417"/>
      <w:bookmarkStart w:id="125" w:name="_Toc405989132"/>
      <w:bookmarkStart w:id="126" w:name="_Toc498074552"/>
      <w:bookmarkStart w:id="127" w:name="_Toc517260316"/>
      <w:bookmarkStart w:id="128" w:name="_Toc12361617"/>
      <w:r>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2</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5</w:t>
      </w:r>
      <w:r w:rsidR="006940F4">
        <w:rPr>
          <w:noProof/>
        </w:rPr>
        <w:fldChar w:fldCharType="end"/>
      </w:r>
      <w:bookmarkEnd w:id="118"/>
      <w:r>
        <w:t xml:space="preserve"> Correlation</w:t>
      </w:r>
      <w:r w:rsidRPr="000F3970">
        <w:t xml:space="preserve"> </w:t>
      </w:r>
      <w:r>
        <w:t>between</w:t>
      </w:r>
      <w:r w:rsidRPr="000F3970">
        <w:t xml:space="preserve"> instrument readings of turbidity (NTU) from field deployments of WET Labs Eco FLNTUSB </w:t>
      </w:r>
      <w:r>
        <w:t xml:space="preserve">loggers </w:t>
      </w:r>
      <w:r w:rsidRPr="000F3970">
        <w:t>with values from concurrently</w:t>
      </w:r>
      <w:r>
        <w:t>-</w:t>
      </w:r>
      <w:r w:rsidRPr="000F3970">
        <w:t xml:space="preserve">collected </w:t>
      </w:r>
      <w:r>
        <w:t xml:space="preserve">total suspended solids (TSS) </w:t>
      </w:r>
      <w:r w:rsidRPr="000F3970">
        <w:t>samples.</w:t>
      </w:r>
      <w:bookmarkEnd w:id="119"/>
      <w:bookmarkEnd w:id="120"/>
      <w:bookmarkEnd w:id="121"/>
      <w:bookmarkEnd w:id="122"/>
      <w:bookmarkEnd w:id="123"/>
      <w:bookmarkEnd w:id="124"/>
      <w:bookmarkEnd w:id="125"/>
      <w:bookmarkEnd w:id="126"/>
      <w:bookmarkEnd w:id="127"/>
      <w:bookmarkEnd w:id="128"/>
    </w:p>
    <w:p w14:paraId="1D9E56F9" w14:textId="7BA8C303" w:rsidR="002E600A" w:rsidRPr="00A64BC2" w:rsidRDefault="002E600A">
      <w:pPr>
        <w:pStyle w:val="Heading3"/>
      </w:pPr>
      <w:bookmarkStart w:id="129" w:name="_Toc423036753"/>
      <w:bookmarkStart w:id="130" w:name="_Toc433716359"/>
      <w:bookmarkStart w:id="131" w:name="_Toc520727824"/>
      <w:bookmarkStart w:id="132" w:name="_Toc12365568"/>
      <w:r w:rsidRPr="00A64BC2">
        <w:t>Sample collection, preparation and analysis</w:t>
      </w:r>
      <w:r w:rsidR="001648A1">
        <w:t xml:space="preserve">: </w:t>
      </w:r>
      <w:r w:rsidRPr="00A64BC2">
        <w:t>wet season</w:t>
      </w:r>
      <w:r w:rsidR="001648A1">
        <w:t xml:space="preserve"> — </w:t>
      </w:r>
      <w:r w:rsidR="0090108E">
        <w:t>event</w:t>
      </w:r>
      <w:r w:rsidRPr="00A64BC2">
        <w:t xml:space="preserve"> response (JCU)</w:t>
      </w:r>
      <w:bookmarkEnd w:id="129"/>
      <w:bookmarkEnd w:id="130"/>
      <w:bookmarkEnd w:id="131"/>
      <w:bookmarkEnd w:id="132"/>
    </w:p>
    <w:p w14:paraId="5E7B6380" w14:textId="6F29423D" w:rsidR="0090108E" w:rsidRDefault="0090108E" w:rsidP="00ED5E1F">
      <w:bookmarkStart w:id="133" w:name="_Toc393785010"/>
      <w:bookmarkStart w:id="134" w:name="_Toc394061120"/>
      <w:bookmarkStart w:id="135" w:name="_Toc394061210"/>
      <w:bookmarkStart w:id="136" w:name="_Toc423036755"/>
      <w:bookmarkStart w:id="137" w:name="_Toc433716360"/>
      <w:r>
        <w:t xml:space="preserve">Event </w:t>
      </w:r>
      <w:r w:rsidRPr="00215414">
        <w:t xml:space="preserve">response sampling is conducted in addition to routine wet season sampling. Samples are collected at the </w:t>
      </w:r>
      <w:r>
        <w:t xml:space="preserve">fixed </w:t>
      </w:r>
      <w:r w:rsidRPr="00215414">
        <w:t>routine sites and at the r</w:t>
      </w:r>
      <w:r w:rsidRPr="00EA316A">
        <w:t>eactive flood plume sampling</w:t>
      </w:r>
      <w:r w:rsidRPr="00215414">
        <w:t xml:space="preserve"> </w:t>
      </w:r>
      <w:r w:rsidR="00DA151B">
        <w:t xml:space="preserve">sites </w:t>
      </w:r>
      <w:r w:rsidR="001648A1">
        <w:t>(</w:t>
      </w:r>
      <w:r w:rsidR="0051554C">
        <w:fldChar w:fldCharType="begin"/>
      </w:r>
      <w:r w:rsidR="0051554C">
        <w:instrText xml:space="preserve"> REF _Ref14684995 \h </w:instrText>
      </w:r>
      <w:r w:rsidR="0051554C">
        <w:fldChar w:fldCharType="separate"/>
      </w:r>
      <w:r w:rsidR="0051554C">
        <w:t xml:space="preserve">Table </w:t>
      </w:r>
      <w:r w:rsidR="0051554C">
        <w:rPr>
          <w:noProof/>
        </w:rPr>
        <w:t>2</w:t>
      </w:r>
      <w:r w:rsidR="0051554C">
        <w:t>.</w:t>
      </w:r>
      <w:r w:rsidR="0051554C">
        <w:rPr>
          <w:noProof/>
        </w:rPr>
        <w:t>1</w:t>
      </w:r>
      <w:r w:rsidR="0051554C">
        <w:fldChar w:fldCharType="end"/>
      </w:r>
      <w:r w:rsidR="001648A1">
        <w:t>)</w:t>
      </w:r>
      <w:r>
        <w:t xml:space="preserve">. </w:t>
      </w:r>
    </w:p>
    <w:p w14:paraId="3EA5058F" w14:textId="05D951BC" w:rsidR="0090108E" w:rsidRDefault="00383250" w:rsidP="00ED5E1F">
      <w:r>
        <w:t xml:space="preserve">Extra </w:t>
      </w:r>
      <w:r w:rsidR="0090108E" w:rsidRPr="00A64BC2">
        <w:t xml:space="preserve">samples </w:t>
      </w:r>
      <w:r w:rsidR="0090108E">
        <w:t xml:space="preserve">may also be collected </w:t>
      </w:r>
      <w:r w:rsidR="0090108E" w:rsidRPr="00A64BC2">
        <w:t>depend</w:t>
      </w:r>
      <w:r w:rsidR="0090108E">
        <w:t>ing</w:t>
      </w:r>
      <w:r w:rsidR="0090108E" w:rsidRPr="00A64BC2">
        <w:t xml:space="preserve"> on the extent of the plume. The majority of </w:t>
      </w:r>
      <w:r>
        <w:t xml:space="preserve">extra </w:t>
      </w:r>
      <w:r w:rsidR="0090108E" w:rsidRPr="00A64BC2">
        <w:t xml:space="preserve">samples </w:t>
      </w:r>
      <w:r w:rsidR="0090108E">
        <w:t>are</w:t>
      </w:r>
      <w:r w:rsidR="0090108E" w:rsidRPr="00A64BC2">
        <w:t xml:space="preserve"> collected inside the visible area of the plume, </w:t>
      </w:r>
      <w:r w:rsidR="001648A1">
        <w:t>al</w:t>
      </w:r>
      <w:r w:rsidR="0090108E" w:rsidRPr="00A64BC2">
        <w:t xml:space="preserve">though some samples </w:t>
      </w:r>
      <w:r w:rsidR="0090108E">
        <w:t>are</w:t>
      </w:r>
      <w:r w:rsidR="0090108E" w:rsidRPr="00A64BC2">
        <w:t xml:space="preserve"> taken outside the edge of the plume for comparison</w:t>
      </w:r>
      <w:r w:rsidR="001648A1">
        <w:t xml:space="preserve"> purposes</w:t>
      </w:r>
      <w:r w:rsidR="0090108E" w:rsidRPr="00A64BC2">
        <w:t xml:space="preserve">. </w:t>
      </w:r>
    </w:p>
    <w:p w14:paraId="5BD3138B" w14:textId="270740F6" w:rsidR="0090108E" w:rsidRDefault="0090108E" w:rsidP="00ED5E1F">
      <w:r>
        <w:t>Reactive flood sampling is conducted in the focus areas, but may also be extended to other regions in large events, such as the Fitzroy River in 2016</w:t>
      </w:r>
      <w:r w:rsidR="001648A1">
        <w:t>–</w:t>
      </w:r>
      <w:r>
        <w:t xml:space="preserve">17 with the high river flow associated </w:t>
      </w:r>
      <w:r w:rsidR="00C27461">
        <w:t>with cyclone</w:t>
      </w:r>
      <w:r w:rsidR="00DA151B">
        <w:t xml:space="preserve"> </w:t>
      </w:r>
      <w:r>
        <w:t xml:space="preserve">Debbie. </w:t>
      </w:r>
    </w:p>
    <w:p w14:paraId="4BA1981B" w14:textId="4EFA6693" w:rsidR="0090108E" w:rsidRPr="00A64BC2" w:rsidRDefault="00DA151B" w:rsidP="00ED5E1F">
      <w:r>
        <w:t>The t</w:t>
      </w:r>
      <w:r w:rsidR="0090108E" w:rsidRPr="00A64BC2">
        <w:t xml:space="preserve">iming of sampling is dependent on the type of event and how quickly boats </w:t>
      </w:r>
      <w:r w:rsidR="0090108E">
        <w:t>are</w:t>
      </w:r>
      <w:r w:rsidR="0090108E" w:rsidRPr="00A64BC2">
        <w:t xml:space="preserve"> mobilised. Sampling in flood plumes requires rapid response sampling protocols as a detailed pre-planned schedule is not possible due to the unpredictability of the river flood events. The need for a responsive, event-driven sampling strategy to sample plumes from flowing rivers is essential to capture the high flow conditions associated with these rivers</w:t>
      </w:r>
      <w:r w:rsidR="007D73E4">
        <w:t xml:space="preserve"> </w:t>
      </w:r>
      <w:r w:rsidR="00E62A46">
        <w:fldChar w:fldCharType="begin"/>
      </w:r>
      <w:r w:rsidR="00E62A46">
        <w:instrText xml:space="preserve"> ADDIN EN.CITE &lt;EndNote&gt;&lt;Cite&gt;&lt;Author&gt;Wheatcroft&lt;/Author&gt;&lt;Year&gt;2000&lt;/Year&gt;&lt;RecNum&gt;1300&lt;/RecNum&gt;&lt;DisplayText&gt;(Wheatcroft &amp;amp; Borgeld, 2000)&lt;/DisplayText&gt;&lt;record&gt;&lt;rec-number&gt;1300&lt;/rec-number&gt;&lt;foreign-keys&gt;&lt;key app="EN" db-id="zapfddtwo2e9z5e5vxoxafs7sf59wfp52rvf" timestamp="1558675122"&gt;1300&lt;/key&gt;&lt;/foreign-keys&gt;&lt;ref-type name="Journal Article"&gt;17&lt;/ref-type&gt;&lt;contributors&gt;&lt;authors&gt;&lt;author&gt;Wheatcroft, R. A.&lt;/author&gt;&lt;author&gt;Borgeld, J. C.&lt;/author&gt;&lt;/authors&gt;&lt;/contributors&gt;&lt;titles&gt;&lt;title&gt;Oceanic flood deposits on the northern California shelf: Large-scale distribution and small-scale physical properties&lt;/title&gt;&lt;secondary-title&gt;Continental Shelf Research&lt;/secondary-title&gt;&lt;/titles&gt;&lt;periodical&gt;&lt;full-title&gt;Continental Shelf Research&lt;/full-title&gt;&lt;abbr-1&gt;Cont. Shelf Res.&lt;/abbr-1&gt;&lt;/periodical&gt;&lt;pages&gt;2163-2190&lt;/pages&gt;&lt;volume&gt;20&lt;/volume&gt;&lt;number&gt;16&lt;/number&gt;&lt;keywords&gt;&lt;keyword&gt;Sediment dynamics&lt;/keyword&gt;&lt;keyword&gt;Sediment properties&lt;/keyword&gt;&lt;keyword&gt;River discharge&lt;/keyword&gt;&lt;keyword&gt;Continental shelves&lt;/keyword&gt;&lt;keyword&gt;USA&lt;/keyword&gt;&lt;keyword&gt;California&lt;/keyword&gt;&lt;/keywords&gt;&lt;dates&gt;&lt;year&gt;2000&lt;/year&gt;&lt;pub-dates&gt;&lt;date&gt;2000/12/01/&lt;/date&gt;&lt;/pub-dates&gt;&lt;/dates&gt;&lt;isbn&gt;0278-4343&lt;/isbn&gt;&lt;urls&gt;&lt;related-urls&gt;&lt;url&gt;http://www.sciencedirect.com/science/article/pii/S0278434300000662&lt;/url&gt;&lt;/related-urls&gt;&lt;/urls&gt;&lt;electronic-resource-num&gt;https://doi.org/10.1016/S0278-4343(00)00066-2&lt;/electronic-resource-num&gt;&lt;/record&gt;&lt;/Cite&gt;&lt;/EndNote&gt;</w:instrText>
      </w:r>
      <w:r w:rsidR="00E62A46">
        <w:fldChar w:fldCharType="separate"/>
      </w:r>
      <w:r w:rsidR="00E62A46">
        <w:rPr>
          <w:noProof/>
        </w:rPr>
        <w:t>(Wheatcroft &amp; Borgeld, 2000)</w:t>
      </w:r>
      <w:r w:rsidR="00E62A46">
        <w:fldChar w:fldCharType="end"/>
      </w:r>
      <w:r w:rsidR="0090108E" w:rsidRPr="00A64BC2">
        <w:t xml:space="preserve">. </w:t>
      </w:r>
    </w:p>
    <w:p w14:paraId="11553122" w14:textId="77777777" w:rsidR="002E600A" w:rsidRPr="00A64BC2" w:rsidRDefault="002E600A" w:rsidP="00FE2F59">
      <w:pPr>
        <w:pStyle w:val="Heading2"/>
        <w:ind w:left="0" w:firstLine="0"/>
        <w:rPr>
          <w:rFonts w:cs="Arial"/>
          <w:sz w:val="22"/>
          <w:szCs w:val="22"/>
        </w:rPr>
      </w:pPr>
      <w:bookmarkStart w:id="138" w:name="_Toc520727825"/>
      <w:bookmarkStart w:id="139" w:name="_Toc12365569"/>
      <w:r w:rsidRPr="00A64BC2">
        <w:rPr>
          <w:rFonts w:cs="Arial"/>
          <w:sz w:val="22"/>
          <w:szCs w:val="22"/>
        </w:rPr>
        <w:t>Data management</w:t>
      </w:r>
      <w:bookmarkEnd w:id="138"/>
      <w:bookmarkEnd w:id="139"/>
    </w:p>
    <w:p w14:paraId="0C4A995B" w14:textId="512E8A7D" w:rsidR="002E600A" w:rsidRPr="00A64BC2" w:rsidRDefault="002E600A" w:rsidP="00FE2F59">
      <w:pPr>
        <w:rPr>
          <w:rFonts w:cs="Arial"/>
        </w:rPr>
      </w:pPr>
      <w:r w:rsidRPr="00A64BC2">
        <w:rPr>
          <w:rFonts w:cs="Arial"/>
        </w:rPr>
        <w:t xml:space="preserve">Data </w:t>
      </w:r>
      <w:r w:rsidR="001648A1">
        <w:rPr>
          <w:rFonts w:cs="Arial"/>
        </w:rPr>
        <w:t>m</w:t>
      </w:r>
      <w:r w:rsidR="001648A1" w:rsidRPr="00A64BC2">
        <w:rPr>
          <w:rFonts w:cs="Arial"/>
        </w:rPr>
        <w:t xml:space="preserve">anagement </w:t>
      </w:r>
      <w:r w:rsidRPr="00A64BC2">
        <w:rPr>
          <w:rFonts w:cs="Arial"/>
        </w:rPr>
        <w:t>practices are a major contributor to the overall quality of the data collected; poor data management can lead to errors</w:t>
      </w:r>
      <w:r w:rsidR="001648A1">
        <w:rPr>
          <w:rFonts w:cs="Arial"/>
        </w:rPr>
        <w:t xml:space="preserve"> and</w:t>
      </w:r>
      <w:r w:rsidRPr="00A64BC2">
        <w:rPr>
          <w:rFonts w:cs="Arial"/>
        </w:rPr>
        <w:t xml:space="preserve"> lost data</w:t>
      </w:r>
      <w:r w:rsidR="001648A1">
        <w:rPr>
          <w:rFonts w:cs="Arial"/>
        </w:rPr>
        <w:t>,</w:t>
      </w:r>
      <w:r w:rsidRPr="00A64BC2">
        <w:rPr>
          <w:rFonts w:cs="Arial"/>
        </w:rPr>
        <w:t xml:space="preserve"> and can reduce the value of the MMP data. </w:t>
      </w:r>
    </w:p>
    <w:p w14:paraId="24E9EDC9" w14:textId="3C72CE6F" w:rsidR="002E600A" w:rsidRPr="00A64BC2" w:rsidRDefault="002E600A" w:rsidP="00FE2F59">
      <w:pPr>
        <w:rPr>
          <w:rFonts w:cs="Arial"/>
        </w:rPr>
      </w:pPr>
      <w:r w:rsidRPr="00A64BC2">
        <w:rPr>
          <w:rFonts w:cs="Arial"/>
        </w:rPr>
        <w:t xml:space="preserve">Data from the AIMS MMP inshore water quality monitoring are stored in a custom-designed data management system in Oracle </w:t>
      </w:r>
      <w:r>
        <w:rPr>
          <w:rFonts w:cs="Arial"/>
        </w:rPr>
        <w:t>11g</w:t>
      </w:r>
      <w:r w:rsidRPr="00A64BC2">
        <w:rPr>
          <w:rFonts w:cs="Arial"/>
        </w:rPr>
        <w:t xml:space="preserve"> databases to allow cross-referencing and access to related data. Once data is uploaded into the </w:t>
      </w:r>
      <w:r w:rsidR="001648A1">
        <w:rPr>
          <w:rFonts w:cs="Arial"/>
        </w:rPr>
        <w:t>O</w:t>
      </w:r>
      <w:r w:rsidR="001648A1" w:rsidRPr="00A64BC2">
        <w:rPr>
          <w:rFonts w:cs="Arial"/>
        </w:rPr>
        <w:t xml:space="preserve">racle </w:t>
      </w:r>
      <w:r w:rsidRPr="00A64BC2">
        <w:rPr>
          <w:rFonts w:cs="Arial"/>
        </w:rPr>
        <w:t xml:space="preserve">databases after the </w:t>
      </w:r>
      <w:r w:rsidR="001648A1">
        <w:rPr>
          <w:rFonts w:cs="Arial"/>
        </w:rPr>
        <w:t>QA</w:t>
      </w:r>
      <w:r w:rsidRPr="00A64BC2">
        <w:rPr>
          <w:rFonts w:cs="Arial"/>
        </w:rPr>
        <w:t xml:space="preserve"> and validation processes, they are consolidated via </w:t>
      </w:r>
      <w:r w:rsidR="001648A1">
        <w:rPr>
          <w:rFonts w:cs="Arial"/>
        </w:rPr>
        <w:t>O</w:t>
      </w:r>
      <w:r w:rsidR="001648A1" w:rsidRPr="00A64BC2">
        <w:rPr>
          <w:rFonts w:cs="Arial"/>
        </w:rPr>
        <w:t xml:space="preserve">racle </w:t>
      </w:r>
      <w:r w:rsidRPr="00A64BC2">
        <w:rPr>
          <w:rFonts w:cs="Arial"/>
        </w:rPr>
        <w:t xml:space="preserve">views. </w:t>
      </w:r>
      <w:r>
        <w:rPr>
          <w:rFonts w:cs="Arial"/>
        </w:rPr>
        <w:t xml:space="preserve">These views of the data are used as the source for importing into </w:t>
      </w:r>
      <w:r w:rsidR="00E3237A" w:rsidRPr="00CC5A54">
        <w:rPr>
          <w:rFonts w:cs="Arial"/>
        </w:rPr>
        <w:t>Spatial and Scientific Information Management for Reef</w:t>
      </w:r>
      <w:r>
        <w:t xml:space="preserve"> </w:t>
      </w:r>
      <w:r>
        <w:rPr>
          <w:rFonts w:cs="Arial"/>
        </w:rPr>
        <w:t>DARTS and SKIP systems</w:t>
      </w:r>
      <w:r w:rsidRPr="00A64BC2">
        <w:rPr>
          <w:rFonts w:cs="Arial"/>
        </w:rPr>
        <w:t xml:space="preserve"> (see Appendix A12 for details about general AIMS in-house procedures for data security, data quality checking and backup). </w:t>
      </w:r>
    </w:p>
    <w:p w14:paraId="58DA0929" w14:textId="6E130141" w:rsidR="002E600A" w:rsidRDefault="002E600A" w:rsidP="00FE2F59">
      <w:r w:rsidRPr="00A64BC2">
        <w:rPr>
          <w:rFonts w:cs="Arial"/>
        </w:rPr>
        <w:t>It is AIMS policy that all data collected have a metadata record created for it. The metadata record is created using a Metadata Entry System</w:t>
      </w:r>
      <w:r>
        <w:rPr>
          <w:rFonts w:cs="Arial"/>
        </w:rPr>
        <w:t xml:space="preserve"> (also known as the AIMS Data Catalogue)</w:t>
      </w:r>
      <w:r w:rsidRPr="00A64BC2">
        <w:rPr>
          <w:rFonts w:cs="Arial"/>
        </w:rPr>
        <w:t xml:space="preserve"> where the metadata is in the form of ISO19139.MCP XML. This is the chosen format for many agencies across Australia and the </w:t>
      </w:r>
      <w:r w:rsidR="001648A1">
        <w:rPr>
          <w:rFonts w:cs="Arial"/>
        </w:rPr>
        <w:t>i</w:t>
      </w:r>
      <w:r w:rsidR="001648A1" w:rsidRPr="00A64BC2">
        <w:rPr>
          <w:rFonts w:cs="Arial"/>
        </w:rPr>
        <w:t xml:space="preserve">nternational </w:t>
      </w:r>
      <w:r w:rsidR="001648A1">
        <w:rPr>
          <w:rFonts w:cs="Arial"/>
        </w:rPr>
        <w:t>c</w:t>
      </w:r>
      <w:r w:rsidR="001648A1" w:rsidRPr="00A64BC2">
        <w:rPr>
          <w:rFonts w:cs="Arial"/>
        </w:rPr>
        <w:t xml:space="preserve">ommunity </w:t>
      </w:r>
      <w:r w:rsidRPr="00A64BC2">
        <w:rPr>
          <w:rFonts w:cs="Arial"/>
        </w:rPr>
        <w:t xml:space="preserve">that deal with spatial scientific data. You can visit the </w:t>
      </w:r>
      <w:r>
        <w:rPr>
          <w:rFonts w:cs="Arial"/>
        </w:rPr>
        <w:t>AIMS Data Catalogue</w:t>
      </w:r>
      <w:r w:rsidRPr="00A64BC2">
        <w:rPr>
          <w:rFonts w:cs="Arial"/>
        </w:rPr>
        <w:t xml:space="preserve"> at</w:t>
      </w:r>
      <w:r>
        <w:rPr>
          <w:rFonts w:cs="Arial"/>
        </w:rPr>
        <w:t xml:space="preserve">: </w:t>
      </w:r>
      <w:hyperlink r:id="rId37" w:history="1">
        <w:r w:rsidRPr="006A66D6">
          <w:rPr>
            <w:rStyle w:val="Hyperlink"/>
          </w:rPr>
          <w:t>http://data.aims.gov.au/metadataviewer/faces/search.xhtml</w:t>
        </w:r>
      </w:hyperlink>
    </w:p>
    <w:p w14:paraId="3F9E435C" w14:textId="36B8D672" w:rsidR="002E600A" w:rsidRPr="00A64BC2" w:rsidRDefault="002E600A" w:rsidP="00FE2F59">
      <w:pPr>
        <w:rPr>
          <w:rFonts w:cs="Arial"/>
        </w:rPr>
      </w:pPr>
      <w:r w:rsidRPr="00A64BC2">
        <w:rPr>
          <w:rFonts w:cs="Arial"/>
        </w:rPr>
        <w:t>Several specific data systems have been developed for the MMP water quality monitoring to improve data management procedures (details on these are in Appendix A12):</w:t>
      </w:r>
    </w:p>
    <w:p w14:paraId="358AF59E" w14:textId="35931BE0" w:rsidR="002E600A" w:rsidRPr="006832C0" w:rsidRDefault="002E600A" w:rsidP="006C7E99">
      <w:pPr>
        <w:pStyle w:val="ListParagraph"/>
        <w:numPr>
          <w:ilvl w:val="0"/>
          <w:numId w:val="24"/>
        </w:numPr>
        <w:rPr>
          <w:rFonts w:cs="Arial"/>
        </w:rPr>
      </w:pPr>
      <w:r w:rsidRPr="006832C0">
        <w:rPr>
          <w:rFonts w:cs="Arial"/>
        </w:rPr>
        <w:t xml:space="preserve">Field Data Entry System </w:t>
      </w:r>
      <w:r w:rsidR="006832C0">
        <w:rPr>
          <w:rFonts w:cs="Arial"/>
        </w:rPr>
        <w:t>with an import Web Application</w:t>
      </w:r>
    </w:p>
    <w:p w14:paraId="2EFD7608" w14:textId="67A129CD" w:rsidR="002E600A" w:rsidRPr="006832C0" w:rsidRDefault="002E600A" w:rsidP="006C7E99">
      <w:pPr>
        <w:pStyle w:val="ListParagraph"/>
        <w:numPr>
          <w:ilvl w:val="0"/>
          <w:numId w:val="24"/>
        </w:numPr>
        <w:rPr>
          <w:rFonts w:cs="Arial"/>
        </w:rPr>
      </w:pPr>
      <w:r w:rsidRPr="006832C0">
        <w:rPr>
          <w:rFonts w:cs="Arial"/>
        </w:rPr>
        <w:t>Filter We</w:t>
      </w:r>
      <w:r w:rsidR="006832C0">
        <w:rPr>
          <w:rFonts w:cs="Arial"/>
        </w:rPr>
        <w:t>ight Management web application</w:t>
      </w:r>
    </w:p>
    <w:p w14:paraId="4CA5DD42" w14:textId="2CCD9DFA" w:rsidR="002E600A" w:rsidRPr="006832C0" w:rsidRDefault="002E600A" w:rsidP="006C7E99">
      <w:pPr>
        <w:pStyle w:val="ListParagraph"/>
        <w:numPr>
          <w:ilvl w:val="0"/>
          <w:numId w:val="24"/>
        </w:numPr>
        <w:rPr>
          <w:rFonts w:cs="Arial"/>
        </w:rPr>
      </w:pPr>
      <w:r w:rsidRPr="006832C0">
        <w:rPr>
          <w:rFonts w:cs="Arial"/>
        </w:rPr>
        <w:t>Environmental Logger Data Manage</w:t>
      </w:r>
      <w:r w:rsidR="006832C0">
        <w:rPr>
          <w:rFonts w:cs="Arial"/>
        </w:rPr>
        <w:t>ment J2EE based web application</w:t>
      </w:r>
    </w:p>
    <w:p w14:paraId="12260A57" w14:textId="67324700" w:rsidR="002E600A" w:rsidRPr="006832C0" w:rsidRDefault="002E600A" w:rsidP="006C7E99">
      <w:pPr>
        <w:pStyle w:val="ListParagraph"/>
        <w:numPr>
          <w:ilvl w:val="0"/>
          <w:numId w:val="24"/>
        </w:numPr>
        <w:rPr>
          <w:rFonts w:cs="Arial"/>
        </w:rPr>
      </w:pPr>
      <w:r w:rsidRPr="006832C0">
        <w:rPr>
          <w:rFonts w:cs="Arial"/>
        </w:rPr>
        <w:t>CTD Data Management J2EE based web services application</w:t>
      </w:r>
      <w:r w:rsidR="006832C0">
        <w:rPr>
          <w:rFonts w:cs="Arial"/>
        </w:rPr>
        <w:t>.</w:t>
      </w:r>
    </w:p>
    <w:p w14:paraId="58676B85" w14:textId="1F3F2DEB" w:rsidR="002E600A" w:rsidRPr="003302A9" w:rsidRDefault="002E600A" w:rsidP="00FE2F59">
      <w:pPr>
        <w:rPr>
          <w:rFonts w:cs="Arial"/>
        </w:rPr>
      </w:pPr>
      <w:r w:rsidRPr="003302A9">
        <w:rPr>
          <w:rFonts w:cs="Arial"/>
        </w:rPr>
        <w:t>For JCU samples, station description and details (</w:t>
      </w:r>
      <w:r w:rsidR="00186A4E">
        <w:rPr>
          <w:rFonts w:cs="Arial"/>
        </w:rPr>
        <w:t>for example</w:t>
      </w:r>
      <w:r w:rsidRPr="003302A9">
        <w:rPr>
          <w:rFonts w:cs="Arial"/>
        </w:rPr>
        <w:t xml:space="preserve"> geographical position, date, time, sampling depth, local depth, weather, surface water temperature and comments) are recorded on weatherproof field </w:t>
      </w:r>
      <w:r w:rsidR="001648A1">
        <w:rPr>
          <w:rFonts w:cs="Arial"/>
        </w:rPr>
        <w:t>data</w:t>
      </w:r>
      <w:r w:rsidRPr="003302A9">
        <w:rPr>
          <w:rFonts w:cs="Arial"/>
        </w:rPr>
        <w:t>sheets (Appendix B2) and transferred into Microsoft</w:t>
      </w:r>
      <w:r w:rsidRPr="003302A9">
        <w:rPr>
          <w:rFonts w:cs="Arial"/>
          <w:vertAlign w:val="superscript"/>
        </w:rPr>
        <w:t>®</w:t>
      </w:r>
      <w:r w:rsidRPr="003302A9">
        <w:rPr>
          <w:rFonts w:cs="Arial"/>
        </w:rPr>
        <w:t xml:space="preserve"> Excel spreadsheets. All </w:t>
      </w:r>
      <w:r w:rsidR="00DA151B">
        <w:rPr>
          <w:rFonts w:cs="Arial"/>
        </w:rPr>
        <w:t>E</w:t>
      </w:r>
      <w:r w:rsidR="00DA151B" w:rsidRPr="003302A9">
        <w:rPr>
          <w:rFonts w:cs="Arial"/>
        </w:rPr>
        <w:t xml:space="preserve">xcel </w:t>
      </w:r>
      <w:r w:rsidRPr="003302A9">
        <w:rPr>
          <w:rFonts w:cs="Arial"/>
        </w:rPr>
        <w:t>spreadsheets are collated and inputted into the TropWATER Flood Plume Monitoring database (Microsoft</w:t>
      </w:r>
      <w:r w:rsidRPr="0017255A">
        <w:rPr>
          <w:rFonts w:cs="Arial"/>
          <w:vertAlign w:val="superscript"/>
        </w:rPr>
        <w:t>®</w:t>
      </w:r>
      <w:r w:rsidRPr="003302A9">
        <w:rPr>
          <w:rFonts w:cs="Arial"/>
        </w:rPr>
        <w:t xml:space="preserve"> Access database, see Appendix B3 for metadata details). </w:t>
      </w:r>
      <w:r w:rsidR="0017255A">
        <w:rPr>
          <w:rFonts w:cs="Arial"/>
        </w:rPr>
        <w:t xml:space="preserve">The field sheets are also scanned and stored at JCU. </w:t>
      </w:r>
      <w:r w:rsidRPr="003302A9">
        <w:rPr>
          <w:rFonts w:cs="Arial"/>
        </w:rPr>
        <w:t xml:space="preserve">All water samples and filters are labelled with unique sample identifiers. The TropWATER laboratory </w:t>
      </w:r>
      <w:r w:rsidR="001648A1">
        <w:rPr>
          <w:rFonts w:cs="Arial"/>
        </w:rPr>
        <w:t>organises</w:t>
      </w:r>
      <w:r w:rsidRPr="003302A9">
        <w:rPr>
          <w:rFonts w:cs="Arial"/>
        </w:rPr>
        <w:t xml:space="preserve"> a flood sampling kit for each site </w:t>
      </w:r>
      <w:r w:rsidR="001648A1">
        <w:rPr>
          <w:rFonts w:cs="Arial"/>
        </w:rPr>
        <w:t>that</w:t>
      </w:r>
      <w:r w:rsidR="001648A1" w:rsidRPr="003302A9">
        <w:rPr>
          <w:rFonts w:cs="Arial"/>
        </w:rPr>
        <w:t xml:space="preserve"> </w:t>
      </w:r>
      <w:r w:rsidRPr="003302A9">
        <w:rPr>
          <w:rFonts w:cs="Arial"/>
        </w:rPr>
        <w:t>has the unique identifier for all dissolved and total nutrients,</w:t>
      </w:r>
      <w:r w:rsidR="0017255A">
        <w:rPr>
          <w:rFonts w:cs="Arial"/>
        </w:rPr>
        <w:t xml:space="preserve"> silica, salinity,</w:t>
      </w:r>
      <w:r w:rsidRPr="003302A9">
        <w:rPr>
          <w:rFonts w:cs="Arial"/>
        </w:rPr>
        <w:t xml:space="preserve"> </w:t>
      </w:r>
      <w:r w:rsidR="000E7F53">
        <w:rPr>
          <w:rFonts w:cs="Arial"/>
        </w:rPr>
        <w:t>Chl-</w:t>
      </w:r>
      <w:r w:rsidR="000E7F53" w:rsidRPr="0017255A">
        <w:rPr>
          <w:rFonts w:cs="Arial"/>
          <w:i/>
        </w:rPr>
        <w:t>a</w:t>
      </w:r>
      <w:r w:rsidRPr="003302A9">
        <w:rPr>
          <w:rFonts w:cs="Arial"/>
        </w:rPr>
        <w:t xml:space="preserve">, TSS, phytoplankton and CDOM bottles. When there are pesticide grab samples, </w:t>
      </w:r>
      <w:r w:rsidR="001648A1" w:rsidRPr="003302A9">
        <w:rPr>
          <w:rFonts w:cs="Arial"/>
        </w:rPr>
        <w:t>the</w:t>
      </w:r>
      <w:r w:rsidR="001648A1">
        <w:rPr>
          <w:rFonts w:cs="Arial"/>
        </w:rPr>
        <w:t>se</w:t>
      </w:r>
      <w:r w:rsidR="001648A1" w:rsidRPr="003302A9">
        <w:rPr>
          <w:rFonts w:cs="Arial"/>
        </w:rPr>
        <w:t xml:space="preserve"> </w:t>
      </w:r>
      <w:r w:rsidRPr="003302A9">
        <w:rPr>
          <w:rFonts w:cs="Arial"/>
        </w:rPr>
        <w:t xml:space="preserve">receive the same sample identification </w:t>
      </w:r>
      <w:r w:rsidR="001648A1">
        <w:rPr>
          <w:rFonts w:cs="Arial"/>
        </w:rPr>
        <w:t xml:space="preserve">as that </w:t>
      </w:r>
      <w:r w:rsidRPr="003302A9">
        <w:rPr>
          <w:rFonts w:cs="Arial"/>
        </w:rPr>
        <w:t xml:space="preserve">of the </w:t>
      </w:r>
      <w:r w:rsidR="001648A1">
        <w:rPr>
          <w:rFonts w:cs="Arial"/>
        </w:rPr>
        <w:t>water quality</w:t>
      </w:r>
      <w:r w:rsidR="001648A1" w:rsidRPr="003302A9">
        <w:rPr>
          <w:rFonts w:cs="Arial"/>
        </w:rPr>
        <w:t xml:space="preserve"> </w:t>
      </w:r>
      <w:r w:rsidRPr="003302A9">
        <w:rPr>
          <w:rFonts w:cs="Arial"/>
        </w:rPr>
        <w:t>samples.</w:t>
      </w:r>
    </w:p>
    <w:p w14:paraId="1294A4D6" w14:textId="4254E309" w:rsidR="002E600A" w:rsidRDefault="002E600A" w:rsidP="00FE2F59">
      <w:pPr>
        <w:rPr>
          <w:rFonts w:cs="Arial"/>
        </w:rPr>
      </w:pPr>
      <w:r w:rsidRPr="003302A9">
        <w:rPr>
          <w:rFonts w:cs="Arial"/>
        </w:rPr>
        <w:t xml:space="preserve">The spreadsheet data </w:t>
      </w:r>
      <w:r w:rsidR="0017255A">
        <w:rPr>
          <w:rFonts w:cs="Arial"/>
        </w:rPr>
        <w:t>are</w:t>
      </w:r>
      <w:r w:rsidRPr="003302A9">
        <w:rPr>
          <w:rFonts w:cs="Arial"/>
        </w:rPr>
        <w:t xml:space="preserve"> then transferred into the TropWATER Flood Plume Monitoring </w:t>
      </w:r>
      <w:r w:rsidR="0017255A" w:rsidRPr="003302A9">
        <w:rPr>
          <w:rFonts w:cs="Arial"/>
        </w:rPr>
        <w:t>Microsoft</w:t>
      </w:r>
      <w:r w:rsidR="0017255A" w:rsidRPr="0017255A">
        <w:rPr>
          <w:rFonts w:cs="Arial"/>
          <w:vertAlign w:val="superscript"/>
        </w:rPr>
        <w:t>®</w:t>
      </w:r>
      <w:r w:rsidR="0017255A" w:rsidRPr="003302A9">
        <w:rPr>
          <w:rFonts w:cs="Arial"/>
        </w:rPr>
        <w:t xml:space="preserve"> Access </w:t>
      </w:r>
      <w:r w:rsidRPr="003302A9">
        <w:rPr>
          <w:rFonts w:cs="Arial"/>
        </w:rPr>
        <w:t>database. Data are also relayed onto the TropWATER laboratory input sheets (</w:t>
      </w:r>
      <w:r w:rsidR="001648A1">
        <w:rPr>
          <w:rFonts w:cs="Arial"/>
        </w:rPr>
        <w:t>s</w:t>
      </w:r>
      <w:r w:rsidR="001648A1" w:rsidRPr="003302A9">
        <w:rPr>
          <w:rFonts w:cs="Arial"/>
        </w:rPr>
        <w:t xml:space="preserve">ee </w:t>
      </w:r>
      <w:r w:rsidRPr="003302A9">
        <w:rPr>
          <w:rFonts w:cs="Arial"/>
        </w:rPr>
        <w:t>Appendix B4). Data are checked before and after transfer for completeness (</w:t>
      </w:r>
      <w:r w:rsidR="00186A4E">
        <w:rPr>
          <w:rFonts w:cs="Arial"/>
        </w:rPr>
        <w:t>for example</w:t>
      </w:r>
      <w:r w:rsidRPr="003302A9">
        <w:rPr>
          <w:rFonts w:cs="Arial"/>
        </w:rPr>
        <w:t xml:space="preserve"> agreement of station and sample numbers, all samples that were collected have been analysed) and correct data entry (</w:t>
      </w:r>
      <w:r w:rsidR="00AD6DD9">
        <w:rPr>
          <w:rFonts w:cs="Arial"/>
        </w:rPr>
        <w:t xml:space="preserve">i.e. </w:t>
      </w:r>
      <w:r w:rsidRPr="003302A9">
        <w:rPr>
          <w:rFonts w:cs="Arial"/>
        </w:rPr>
        <w:t xml:space="preserve">comparison with previous data, cross-checking of data outside typical ranges with archived raw data records, for example, as hard copies or instrument files). Data are independently checked after </w:t>
      </w:r>
      <w:r w:rsidR="00AD6DD9">
        <w:rPr>
          <w:rFonts w:cs="Arial"/>
        </w:rPr>
        <w:t>entry</w:t>
      </w:r>
      <w:r w:rsidRPr="003302A9">
        <w:rPr>
          <w:rFonts w:cs="Arial"/>
        </w:rPr>
        <w:t xml:space="preserve"> into the database</w:t>
      </w:r>
      <w:r w:rsidR="0017255A">
        <w:rPr>
          <w:rFonts w:cs="Arial"/>
        </w:rPr>
        <w:t xml:space="preserve"> (</w:t>
      </w:r>
      <w:r w:rsidR="0017255A" w:rsidRPr="00C70D93">
        <w:rPr>
          <w:rFonts w:cs="Arial"/>
        </w:rPr>
        <w:t>see</w:t>
      </w:r>
      <w:r w:rsidR="00917941" w:rsidRPr="00C70D93">
        <w:rPr>
          <w:rFonts w:cs="Arial"/>
        </w:rPr>
        <w:fldChar w:fldCharType="begin"/>
      </w:r>
      <w:r w:rsidR="00917941" w:rsidRPr="00C70D93">
        <w:rPr>
          <w:rFonts w:cs="Arial"/>
        </w:rPr>
        <w:instrText xml:space="preserve"> REF _Ref10398596 \h </w:instrText>
      </w:r>
      <w:r w:rsidR="00917941">
        <w:rPr>
          <w:rFonts w:cs="Arial"/>
        </w:rPr>
        <w:instrText xml:space="preserve"> \* MERGEFORMAT </w:instrText>
      </w:r>
      <w:r w:rsidR="00917941" w:rsidRPr="00C70D93">
        <w:rPr>
          <w:rFonts w:cs="Arial"/>
        </w:rPr>
      </w:r>
      <w:r w:rsidR="00917941" w:rsidRPr="00C70D93">
        <w:rPr>
          <w:rFonts w:cs="Arial"/>
        </w:rPr>
        <w:fldChar w:fldCharType="separate"/>
      </w:r>
      <w:r w:rsidR="00D528AA">
        <w:t xml:space="preserve">Figure </w:t>
      </w:r>
      <w:r w:rsidR="00D528AA">
        <w:rPr>
          <w:noProof/>
        </w:rPr>
        <w:t>2</w:t>
      </w:r>
      <w:r w:rsidR="00D528AA">
        <w:rPr>
          <w:noProof/>
        </w:rPr>
        <w:noBreakHyphen/>
        <w:t>6</w:t>
      </w:r>
      <w:r w:rsidR="00917941" w:rsidRPr="00C70D93">
        <w:rPr>
          <w:rFonts w:cs="Arial"/>
        </w:rPr>
        <w:fldChar w:fldCharType="end"/>
      </w:r>
      <w:r w:rsidR="0017255A">
        <w:rPr>
          <w:rFonts w:cs="Arial"/>
        </w:rPr>
        <w:t>)</w:t>
      </w:r>
      <w:r w:rsidRPr="003302A9">
        <w:rPr>
          <w:rFonts w:cs="Arial"/>
        </w:rPr>
        <w:t xml:space="preserve">. </w:t>
      </w:r>
    </w:p>
    <w:p w14:paraId="55D14592" w14:textId="63FB4B80" w:rsidR="0017255A" w:rsidRDefault="0017255A" w:rsidP="00FE2F59">
      <w:pPr>
        <w:rPr>
          <w:rFonts w:cs="Arial"/>
        </w:rPr>
      </w:pPr>
      <w:r>
        <w:rPr>
          <w:rFonts w:cs="Arial"/>
          <w:noProof/>
          <w:lang w:eastAsia="en-AU"/>
        </w:rPr>
        <w:drawing>
          <wp:inline distT="0" distB="0" distL="0" distR="0" wp14:anchorId="3A8C5B6C" wp14:editId="7EDD548F">
            <wp:extent cx="5746750" cy="4087495"/>
            <wp:effectExtent l="0" t="0" r="6350" b="8255"/>
            <wp:docPr id="112" name="Picture 112" descr="Flow chart outlining the JCU procedures and QA/QC measures once samples have been collected in the field" title="Flow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rocedures.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746750" cy="4087495"/>
                    </a:xfrm>
                    <a:prstGeom prst="rect">
                      <a:avLst/>
                    </a:prstGeom>
                  </pic:spPr>
                </pic:pic>
              </a:graphicData>
            </a:graphic>
          </wp:inline>
        </w:drawing>
      </w:r>
    </w:p>
    <w:p w14:paraId="74CDEF79" w14:textId="7D803C74" w:rsidR="0017255A" w:rsidRDefault="00917941" w:rsidP="007E5A3A">
      <w:pPr>
        <w:pStyle w:val="Caption"/>
      </w:pPr>
      <w:bookmarkStart w:id="140" w:name="_Ref10398596"/>
      <w:bookmarkStart w:id="141" w:name="_Toc12361618"/>
      <w:r>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2</w:t>
      </w:r>
      <w:r w:rsidR="006940F4">
        <w:rPr>
          <w:noProof/>
        </w:rPr>
        <w:fldChar w:fldCharType="end"/>
      </w:r>
      <w:r>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6</w:t>
      </w:r>
      <w:r w:rsidR="006940F4">
        <w:rPr>
          <w:noProof/>
        </w:rPr>
        <w:fldChar w:fldCharType="end"/>
      </w:r>
      <w:bookmarkEnd w:id="140"/>
      <w:r w:rsidR="0017255A">
        <w:t xml:space="preserve"> Flow chart outlining the JCU procedures and QA/QC measures once samples have been collected in the field.</w:t>
      </w:r>
      <w:bookmarkEnd w:id="141"/>
    </w:p>
    <w:p w14:paraId="10EF5A92" w14:textId="4D96AAB5" w:rsidR="00C91FD2" w:rsidRDefault="00C91FD2" w:rsidP="00C91FD2">
      <w:pPr>
        <w:rPr>
          <w:rFonts w:cs="Arial"/>
        </w:rPr>
      </w:pPr>
      <w:r w:rsidRPr="003302A9">
        <w:rPr>
          <w:rFonts w:cs="Arial"/>
        </w:rPr>
        <w:t>For analysis of trends, data are transferred into the AIMS water quality database. Copies of the TropWATER Flood Plume Monitoring database (Microsoft</w:t>
      </w:r>
      <w:r w:rsidRPr="0017255A">
        <w:rPr>
          <w:rFonts w:cs="Arial"/>
          <w:vertAlign w:val="superscript"/>
        </w:rPr>
        <w:t>®</w:t>
      </w:r>
      <w:r w:rsidRPr="003302A9">
        <w:rPr>
          <w:rFonts w:cs="Arial"/>
        </w:rPr>
        <w:t xml:space="preserve"> Access database) are stored in external media and also on Dropbox.</w:t>
      </w:r>
    </w:p>
    <w:p w14:paraId="6B845F36" w14:textId="31D6F657" w:rsidR="002E600A" w:rsidRPr="00A64BC2" w:rsidRDefault="002E600A" w:rsidP="00FE2F59">
      <w:pPr>
        <w:pStyle w:val="Heading2"/>
        <w:ind w:left="0" w:firstLine="0"/>
        <w:rPr>
          <w:rFonts w:cs="Arial"/>
          <w:sz w:val="22"/>
          <w:szCs w:val="22"/>
        </w:rPr>
      </w:pPr>
      <w:bookmarkStart w:id="142" w:name="_Toc520727826"/>
      <w:bookmarkStart w:id="143" w:name="_Toc12365570"/>
      <w:r w:rsidRPr="00A64BC2">
        <w:rPr>
          <w:rFonts w:cs="Arial"/>
          <w:sz w:val="22"/>
          <w:szCs w:val="22"/>
        </w:rPr>
        <w:t>Summary of Quality Control measures</w:t>
      </w:r>
      <w:bookmarkEnd w:id="142"/>
      <w:bookmarkEnd w:id="143"/>
    </w:p>
    <w:p w14:paraId="504580AB" w14:textId="6639F1CC" w:rsidR="002E600A" w:rsidRPr="006832C0" w:rsidRDefault="002E600A" w:rsidP="006C7E99">
      <w:pPr>
        <w:pStyle w:val="ListParagraph"/>
        <w:numPr>
          <w:ilvl w:val="0"/>
          <w:numId w:val="25"/>
        </w:numPr>
        <w:rPr>
          <w:rFonts w:cs="Arial"/>
        </w:rPr>
      </w:pPr>
      <w:r w:rsidRPr="006832C0">
        <w:rPr>
          <w:rFonts w:cs="Arial"/>
        </w:rPr>
        <w:t>Training of field personnel, including deployment guidelines and records</w:t>
      </w:r>
    </w:p>
    <w:p w14:paraId="15660940" w14:textId="57FE0EE7" w:rsidR="002E600A" w:rsidRPr="006832C0" w:rsidRDefault="002E600A" w:rsidP="006C7E99">
      <w:pPr>
        <w:pStyle w:val="ListParagraph"/>
        <w:numPr>
          <w:ilvl w:val="0"/>
          <w:numId w:val="25"/>
        </w:numPr>
        <w:rPr>
          <w:rFonts w:cs="Arial"/>
        </w:rPr>
      </w:pPr>
      <w:r w:rsidRPr="006832C0">
        <w:rPr>
          <w:rFonts w:cs="Arial"/>
        </w:rPr>
        <w:t>Overlap of manual and instrumental sampling</w:t>
      </w:r>
    </w:p>
    <w:p w14:paraId="067D89A9" w14:textId="488E8E0E" w:rsidR="002E600A" w:rsidRPr="006832C0" w:rsidRDefault="002E600A" w:rsidP="006C7E99">
      <w:pPr>
        <w:pStyle w:val="ListParagraph"/>
        <w:numPr>
          <w:ilvl w:val="0"/>
          <w:numId w:val="25"/>
        </w:numPr>
        <w:rPr>
          <w:rFonts w:cs="Arial"/>
        </w:rPr>
      </w:pPr>
      <w:r w:rsidRPr="006832C0">
        <w:rPr>
          <w:rFonts w:cs="Arial"/>
        </w:rPr>
        <w:t>Unique sample identifiers</w:t>
      </w:r>
    </w:p>
    <w:p w14:paraId="1916CEB8" w14:textId="1FEC9CA2" w:rsidR="002E600A" w:rsidRPr="006832C0" w:rsidRDefault="002E600A" w:rsidP="006C7E99">
      <w:pPr>
        <w:pStyle w:val="ListParagraph"/>
        <w:numPr>
          <w:ilvl w:val="0"/>
          <w:numId w:val="25"/>
        </w:numPr>
        <w:rPr>
          <w:rFonts w:cs="Arial"/>
        </w:rPr>
      </w:pPr>
      <w:r w:rsidRPr="006832C0">
        <w:rPr>
          <w:rFonts w:cs="Arial"/>
        </w:rPr>
        <w:t>Sample custody</w:t>
      </w:r>
    </w:p>
    <w:p w14:paraId="1B0536C6" w14:textId="1BCCD134" w:rsidR="002E600A" w:rsidRPr="006832C0" w:rsidRDefault="002E600A" w:rsidP="006C7E99">
      <w:pPr>
        <w:pStyle w:val="ListParagraph"/>
        <w:numPr>
          <w:ilvl w:val="0"/>
          <w:numId w:val="25"/>
        </w:numPr>
        <w:rPr>
          <w:rFonts w:cs="Arial"/>
        </w:rPr>
      </w:pPr>
      <w:r w:rsidRPr="006832C0">
        <w:rPr>
          <w:rFonts w:cs="Arial"/>
        </w:rPr>
        <w:t xml:space="preserve">Analytical </w:t>
      </w:r>
      <w:r w:rsidR="00AD6DD9">
        <w:rPr>
          <w:rFonts w:cs="Arial"/>
        </w:rPr>
        <w:t>QC</w:t>
      </w:r>
      <w:r w:rsidRPr="006832C0">
        <w:rPr>
          <w:rFonts w:cs="Arial"/>
        </w:rPr>
        <w:t xml:space="preserve"> measures including inclusion of QA/QC samples (replication of sampling and procedural blanks)</w:t>
      </w:r>
    </w:p>
    <w:p w14:paraId="3212F9CF" w14:textId="052D6930" w:rsidR="002E600A" w:rsidRPr="006832C0" w:rsidRDefault="002E600A" w:rsidP="006C7E99">
      <w:pPr>
        <w:pStyle w:val="ListParagraph"/>
        <w:numPr>
          <w:ilvl w:val="0"/>
          <w:numId w:val="25"/>
        </w:numPr>
        <w:rPr>
          <w:rFonts w:cs="Arial"/>
        </w:rPr>
      </w:pPr>
      <w:r w:rsidRPr="006832C0">
        <w:rPr>
          <w:rFonts w:cs="Arial"/>
        </w:rPr>
        <w:t>Regular inter-laboratory calibration exercises</w:t>
      </w:r>
    </w:p>
    <w:p w14:paraId="1D0656AA" w14:textId="1B82758F" w:rsidR="002E600A" w:rsidRPr="006832C0" w:rsidRDefault="002E600A" w:rsidP="006C7E99">
      <w:pPr>
        <w:pStyle w:val="ListParagraph"/>
        <w:numPr>
          <w:ilvl w:val="0"/>
          <w:numId w:val="25"/>
        </w:numPr>
        <w:rPr>
          <w:rFonts w:cs="Arial"/>
        </w:rPr>
      </w:pPr>
      <w:r w:rsidRPr="006832C0">
        <w:rPr>
          <w:rFonts w:cs="Arial"/>
        </w:rPr>
        <w:t>Continual evaluation, method development and improvement of methods</w:t>
      </w:r>
    </w:p>
    <w:p w14:paraId="173770C8" w14:textId="76E4B53B" w:rsidR="002E600A" w:rsidRPr="006832C0" w:rsidRDefault="002E600A" w:rsidP="006C7E99">
      <w:pPr>
        <w:pStyle w:val="ListParagraph"/>
        <w:numPr>
          <w:ilvl w:val="0"/>
          <w:numId w:val="25"/>
        </w:numPr>
        <w:rPr>
          <w:rFonts w:cs="Arial"/>
        </w:rPr>
      </w:pPr>
      <w:r w:rsidRPr="006832C0">
        <w:rPr>
          <w:rFonts w:cs="Arial"/>
        </w:rPr>
        <w:t>Periodic servicing of sensors by manufacturer</w:t>
      </w:r>
    </w:p>
    <w:p w14:paraId="44EE64E6" w14:textId="6A9F6016" w:rsidR="002E600A" w:rsidRPr="006832C0" w:rsidRDefault="002E600A" w:rsidP="006C7E99">
      <w:pPr>
        <w:pStyle w:val="ListParagraph"/>
        <w:numPr>
          <w:ilvl w:val="0"/>
          <w:numId w:val="25"/>
        </w:numPr>
        <w:rPr>
          <w:rFonts w:cs="Arial"/>
        </w:rPr>
      </w:pPr>
      <w:r w:rsidRPr="006832C0">
        <w:rPr>
          <w:rFonts w:cs="Arial"/>
        </w:rPr>
        <w:t>Advanced data management and security procedures</w:t>
      </w:r>
    </w:p>
    <w:p w14:paraId="08A1A6E5" w14:textId="7F36127E" w:rsidR="002E600A" w:rsidRPr="006832C0" w:rsidRDefault="002E600A" w:rsidP="006C7E99">
      <w:pPr>
        <w:pStyle w:val="ListParagraph"/>
        <w:numPr>
          <w:ilvl w:val="0"/>
          <w:numId w:val="25"/>
        </w:numPr>
        <w:rPr>
          <w:rFonts w:cs="Arial"/>
        </w:rPr>
      </w:pPr>
      <w:r w:rsidRPr="006832C0">
        <w:rPr>
          <w:rFonts w:cs="Arial"/>
        </w:rPr>
        <w:t>Document control</w:t>
      </w:r>
    </w:p>
    <w:p w14:paraId="3C8C62C7" w14:textId="58705832" w:rsidR="002E600A" w:rsidRPr="006832C0" w:rsidRDefault="002E600A" w:rsidP="006C7E99">
      <w:pPr>
        <w:pStyle w:val="ListParagraph"/>
        <w:numPr>
          <w:ilvl w:val="0"/>
          <w:numId w:val="25"/>
        </w:numPr>
        <w:rPr>
          <w:rFonts w:cs="Arial"/>
        </w:rPr>
      </w:pPr>
      <w:r w:rsidRPr="006832C0">
        <w:rPr>
          <w:rFonts w:cs="Arial"/>
        </w:rPr>
        <w:t>Metadata updates</w:t>
      </w:r>
    </w:p>
    <w:p w14:paraId="70B63FFC" w14:textId="53C157FA" w:rsidR="002E600A" w:rsidRPr="00A64BC2" w:rsidRDefault="002E600A" w:rsidP="00FE2F59">
      <w:pPr>
        <w:pStyle w:val="Heading2"/>
        <w:ind w:left="0" w:firstLine="0"/>
        <w:rPr>
          <w:rFonts w:cs="Arial"/>
          <w:sz w:val="22"/>
          <w:szCs w:val="22"/>
        </w:rPr>
      </w:pPr>
      <w:bookmarkStart w:id="144" w:name="_Toc520727827"/>
      <w:bookmarkStart w:id="145" w:name="_Toc12365571"/>
      <w:bookmarkEnd w:id="133"/>
      <w:bookmarkEnd w:id="134"/>
      <w:bookmarkEnd w:id="135"/>
      <w:bookmarkEnd w:id="136"/>
      <w:bookmarkEnd w:id="137"/>
      <w:r w:rsidRPr="00DA5EC0">
        <w:rPr>
          <w:rFonts w:cs="Arial"/>
          <w:sz w:val="22"/>
          <w:szCs w:val="22"/>
        </w:rPr>
        <w:t xml:space="preserve">Comparison </w:t>
      </w:r>
      <w:r>
        <w:rPr>
          <w:rFonts w:cs="Arial"/>
          <w:sz w:val="22"/>
          <w:szCs w:val="22"/>
        </w:rPr>
        <w:t>of results obtained by AIMS and JCU</w:t>
      </w:r>
      <w:bookmarkEnd w:id="144"/>
      <w:bookmarkEnd w:id="145"/>
      <w:r>
        <w:rPr>
          <w:rFonts w:cs="Arial"/>
          <w:sz w:val="22"/>
          <w:szCs w:val="22"/>
        </w:rPr>
        <w:t xml:space="preserve"> </w:t>
      </w:r>
    </w:p>
    <w:p w14:paraId="1AC1A2A1" w14:textId="45CF1707" w:rsidR="002E600A" w:rsidRPr="003302A9" w:rsidRDefault="002E600A" w:rsidP="00600477">
      <w:pPr>
        <w:rPr>
          <w:b/>
        </w:rPr>
      </w:pPr>
      <w:r w:rsidRPr="003302A9">
        <w:t xml:space="preserve">To test whether the results obtained by the AIMS and JCU water quality monitoring are comparable, samples </w:t>
      </w:r>
      <w:r w:rsidR="00AD6DD9">
        <w:t>have been</w:t>
      </w:r>
      <w:r w:rsidR="00AD6DD9" w:rsidRPr="003302A9">
        <w:t xml:space="preserve"> </w:t>
      </w:r>
      <w:r w:rsidRPr="003302A9">
        <w:t xml:space="preserve">collected over a range of concentrations during two sampling campaigns. Samples </w:t>
      </w:r>
      <w:r w:rsidR="00AD6DD9">
        <w:t xml:space="preserve">have been </w:t>
      </w:r>
      <w:r w:rsidRPr="003302A9">
        <w:t xml:space="preserve">collected and analysed for salinity, TSS, </w:t>
      </w:r>
      <w:r w:rsidR="004F29DF" w:rsidRPr="00DA0B37">
        <w:rPr>
          <w:rFonts w:cs="Arial"/>
        </w:rPr>
        <w:t>Chl</w:t>
      </w:r>
      <w:r w:rsidR="004F29DF">
        <w:rPr>
          <w:rFonts w:cs="Arial"/>
        </w:rPr>
        <w:t>-</w:t>
      </w:r>
      <w:r w:rsidR="004F29DF" w:rsidRPr="008341E2">
        <w:rPr>
          <w:rFonts w:cs="Arial"/>
          <w:i/>
        </w:rPr>
        <w:t>a</w:t>
      </w:r>
      <w:r w:rsidRPr="003302A9">
        <w:t>, dissolved silicate, nitrate and</w:t>
      </w:r>
      <w:r w:rsidR="0017255A">
        <w:t xml:space="preserve"> filterable reactvie phosphorus</w:t>
      </w:r>
      <w:r w:rsidRPr="003302A9">
        <w:t xml:space="preserve"> (</w:t>
      </w:r>
      <w:r w:rsidR="0017255A">
        <w:t>FRP</w:t>
      </w:r>
      <w:r w:rsidRPr="003302A9">
        <w:t xml:space="preserve">). </w:t>
      </w:r>
    </w:p>
    <w:p w14:paraId="1188CC8A" w14:textId="47108993" w:rsidR="002E600A" w:rsidRDefault="002E600A" w:rsidP="009F4FB6">
      <w:pPr>
        <w:rPr>
          <w:rFonts w:cs="Arial"/>
        </w:rPr>
      </w:pPr>
      <w:r w:rsidRPr="003302A9">
        <w:rPr>
          <w:rFonts w:cs="Arial"/>
        </w:rPr>
        <w:t xml:space="preserve">The fit between the AIMS and JCU data </w:t>
      </w:r>
      <w:r w:rsidR="00AD6DD9">
        <w:rPr>
          <w:rFonts w:cs="Arial"/>
        </w:rPr>
        <w:t>has been</w:t>
      </w:r>
      <w:r w:rsidRPr="003302A9">
        <w:rPr>
          <w:rFonts w:cs="Arial"/>
        </w:rPr>
        <w:t xml:space="preserve"> tested using </w:t>
      </w:r>
      <w:r w:rsidR="00AD6DD9">
        <w:rPr>
          <w:rFonts w:cs="Arial"/>
        </w:rPr>
        <w:t>l</w:t>
      </w:r>
      <w:r w:rsidR="00AD6DD9" w:rsidRPr="003302A9">
        <w:rPr>
          <w:rFonts w:cs="Arial"/>
        </w:rPr>
        <w:t xml:space="preserve">inear </w:t>
      </w:r>
      <w:r w:rsidRPr="003302A9">
        <w:rPr>
          <w:rFonts w:cs="Arial"/>
        </w:rPr>
        <w:t>regression analyses performed using the best</w:t>
      </w:r>
      <w:r w:rsidR="00AD6DD9">
        <w:rPr>
          <w:rFonts w:cs="Arial"/>
        </w:rPr>
        <w:t>-</w:t>
      </w:r>
      <w:r w:rsidRPr="003302A9">
        <w:rPr>
          <w:rFonts w:cs="Arial"/>
        </w:rPr>
        <w:t>fit between the two variables X and Y obtained by regression model II</w:t>
      </w:r>
      <w:r w:rsidR="00D33CD2">
        <w:rPr>
          <w:rFonts w:cs="Arial"/>
        </w:rPr>
        <w:t xml:space="preserve"> (</w:t>
      </w:r>
      <w:r w:rsidR="00D33CD2">
        <w:rPr>
          <w:rFonts w:cs="Arial"/>
        </w:rPr>
        <w:fldChar w:fldCharType="begin"/>
      </w:r>
      <w:r w:rsidR="00D33CD2">
        <w:rPr>
          <w:rFonts w:cs="Arial"/>
        </w:rPr>
        <w:instrText xml:space="preserve"> REF _Ref489455511 \h </w:instrText>
      </w:r>
      <w:r w:rsidR="00D33CD2">
        <w:rPr>
          <w:rFonts w:cs="Arial"/>
        </w:rPr>
      </w:r>
      <w:r w:rsidR="00D33CD2">
        <w:rPr>
          <w:rFonts w:cs="Arial"/>
        </w:rPr>
        <w:fldChar w:fldCharType="separate"/>
      </w:r>
      <w:r w:rsidR="00D528AA">
        <w:t xml:space="preserve">Figure </w:t>
      </w:r>
      <w:r w:rsidR="00D528AA">
        <w:rPr>
          <w:noProof/>
        </w:rPr>
        <w:t>2</w:t>
      </w:r>
      <w:r w:rsidR="00D528AA">
        <w:noBreakHyphen/>
      </w:r>
      <w:r w:rsidR="00D528AA">
        <w:rPr>
          <w:noProof/>
        </w:rPr>
        <w:t>7</w:t>
      </w:r>
      <w:r w:rsidR="00D33CD2">
        <w:rPr>
          <w:rFonts w:cs="Arial"/>
        </w:rPr>
        <w:fldChar w:fldCharType="end"/>
      </w:r>
      <w:r w:rsidR="00D33CD2">
        <w:rPr>
          <w:rFonts w:cs="Arial"/>
        </w:rPr>
        <w:t>)</w:t>
      </w:r>
      <w:r w:rsidR="009E2E4B">
        <w:rPr>
          <w:rFonts w:cs="Arial"/>
        </w:rPr>
        <w:t xml:space="preserve"> </w:t>
      </w:r>
      <w:r w:rsidR="00E62A46">
        <w:rPr>
          <w:rFonts w:cs="Arial"/>
        </w:rPr>
        <w:fldChar w:fldCharType="begin"/>
      </w:r>
      <w:r w:rsidR="00E62A46">
        <w:rPr>
          <w:rFonts w:cs="Arial"/>
        </w:rPr>
        <w:instrText xml:space="preserve"> ADDIN EN.CITE &lt;EndNote&gt;&lt;Cite&gt;&lt;Author&gt;Sokal&lt;/Author&gt;&lt;Year&gt;1995&lt;/Year&gt;&lt;RecNum&gt;1301&lt;/RecNum&gt;&lt;DisplayText&gt;(Sokal &amp;amp; Rohlf, 1995)&lt;/DisplayText&gt;&lt;record&gt;&lt;rec-number&gt;1301&lt;/rec-number&gt;&lt;foreign-keys&gt;&lt;key app="EN" db-id="zapfddtwo2e9z5e5vxoxafs7sf59wfp52rvf" timestamp="1558675283"&gt;1301&lt;/key&gt;&lt;/foreign-keys&gt;&lt;ref-type name="Book"&gt;6&lt;/ref-type&gt;&lt;contributors&gt;&lt;authors&gt;&lt;author&gt;Sokal, R.&lt;/author&gt;&lt;author&gt;Rohlf, F.J.&lt;/author&gt;&lt;/authors&gt;&lt;/contributors&gt;&lt;titles&gt;&lt;title&gt;&lt;style face="normal" font="default" size="100%"&gt;Biometry 3&lt;/style&gt;&lt;style face="superscript" font="default" size="100%"&gt;rd&lt;/style&gt;&lt;style face="normal" font="default" size="100%"&gt; Ed.&lt;/style&gt;&lt;/title&gt;&lt;/titles&gt;&lt;dates&gt;&lt;year&gt;1995&lt;/year&gt;&lt;/dates&gt;&lt;pub-location&gt;Columbia, NY&lt;/pub-location&gt;&lt;urls&gt;&lt;/urls&gt;&lt;/record&gt;&lt;/Cite&gt;&lt;/EndNote&gt;</w:instrText>
      </w:r>
      <w:r w:rsidR="00E62A46">
        <w:rPr>
          <w:rFonts w:cs="Arial"/>
        </w:rPr>
        <w:fldChar w:fldCharType="separate"/>
      </w:r>
      <w:r w:rsidR="00E62A46">
        <w:rPr>
          <w:rFonts w:cs="Arial"/>
          <w:noProof/>
        </w:rPr>
        <w:t>(Sokal &amp; Rohlf, 1995)</w:t>
      </w:r>
      <w:r w:rsidR="00E62A46">
        <w:rPr>
          <w:rFonts w:cs="Arial"/>
        </w:rPr>
        <w:fldChar w:fldCharType="end"/>
      </w:r>
      <w:r w:rsidR="0071564C">
        <w:rPr>
          <w:rFonts w:cs="Arial"/>
        </w:rPr>
        <w:t xml:space="preserve">. </w:t>
      </w:r>
      <w:r w:rsidRPr="003302A9">
        <w:rPr>
          <w:rFonts w:cs="Arial"/>
        </w:rPr>
        <w:t xml:space="preserve">In the cases where the intercept was not significantly different from zero, it was set to zero and a new slope was calculated. </w:t>
      </w:r>
    </w:p>
    <w:p w14:paraId="23290DE6" w14:textId="77777777" w:rsidR="00F968D2" w:rsidRPr="00F264A4" w:rsidRDefault="00F968D2" w:rsidP="00F968D2">
      <w:pPr>
        <w:rPr>
          <w:rFonts w:cs="Arial"/>
        </w:rPr>
      </w:pPr>
      <w:r w:rsidRPr="00F264A4">
        <w:rPr>
          <w:rFonts w:cs="Arial"/>
        </w:rPr>
        <w:t>Overall</w:t>
      </w:r>
      <w:r>
        <w:rPr>
          <w:rFonts w:cs="Arial"/>
        </w:rPr>
        <w:t>,</w:t>
      </w:r>
      <w:r w:rsidRPr="00F264A4">
        <w:rPr>
          <w:rFonts w:cs="Arial"/>
        </w:rPr>
        <w:t xml:space="preserve"> the results obtained by AIMS and JCU are comparable within a very narrow range, with the exception being phosphate where no linear relationship </w:t>
      </w:r>
      <w:r>
        <w:rPr>
          <w:rFonts w:cs="Arial"/>
        </w:rPr>
        <w:t>was</w:t>
      </w:r>
      <w:r w:rsidRPr="00F264A4">
        <w:rPr>
          <w:rFonts w:cs="Arial"/>
        </w:rPr>
        <w:t xml:space="preserve"> obtained between the phosphate concentrations obtained by both </w:t>
      </w:r>
      <w:r>
        <w:rPr>
          <w:rFonts w:cs="Arial"/>
        </w:rPr>
        <w:t>laboratories</w:t>
      </w:r>
      <w:r w:rsidRPr="00F264A4">
        <w:rPr>
          <w:rFonts w:cs="Arial"/>
        </w:rPr>
        <w:t>. However, the concentration range obtained in the comparison samples (0.05</w:t>
      </w:r>
      <w:r>
        <w:rPr>
          <w:rFonts w:cs="Arial"/>
        </w:rPr>
        <w:t>–</w:t>
      </w:r>
      <w:r w:rsidRPr="00F264A4">
        <w:rPr>
          <w:rFonts w:cs="Arial"/>
        </w:rPr>
        <w:t>0.19 µmol L</w:t>
      </w:r>
      <w:r w:rsidRPr="00F264A4">
        <w:rPr>
          <w:rFonts w:cs="Arial"/>
          <w:vertAlign w:val="superscript"/>
        </w:rPr>
        <w:t>-1</w:t>
      </w:r>
      <w:r w:rsidRPr="00F264A4">
        <w:rPr>
          <w:rFonts w:cs="Arial"/>
        </w:rPr>
        <w:t xml:space="preserve">) are very low, and are potentially more comparable over larger concentration ranges. </w:t>
      </w:r>
    </w:p>
    <w:p w14:paraId="7906F82F" w14:textId="77777777" w:rsidR="00F968D2" w:rsidRDefault="00F968D2" w:rsidP="00F968D2">
      <w:pPr>
        <w:rPr>
          <w:rFonts w:cs="Arial"/>
        </w:rPr>
      </w:pPr>
      <w:r>
        <w:rPr>
          <w:rFonts w:cs="Arial"/>
        </w:rPr>
        <w:t>Overall, we conclude that the AIMS and JCU data are comparable and can reliably be joined into one dataset.</w:t>
      </w:r>
    </w:p>
    <w:p w14:paraId="19CC8638" w14:textId="77777777" w:rsidR="00F968D2" w:rsidRPr="003302A9" w:rsidRDefault="00F968D2" w:rsidP="009F4FB6">
      <w:pPr>
        <w:rPr>
          <w:rFonts w:cs="Arial"/>
        </w:rPr>
      </w:pPr>
    </w:p>
    <w:p w14:paraId="481B79A3" w14:textId="77777777" w:rsidR="002E600A" w:rsidRDefault="002E600A" w:rsidP="00FE2F59">
      <w:r>
        <w:rPr>
          <w:noProof/>
          <w:lang w:eastAsia="en-AU"/>
        </w:rPr>
        <w:drawing>
          <wp:inline distT="0" distB="0" distL="0" distR="0" wp14:anchorId="788BC2BE" wp14:editId="24BAE01F">
            <wp:extent cx="5220335" cy="7477515"/>
            <wp:effectExtent l="0" t="0" r="0" b="9525"/>
            <wp:docPr id="1" name="Picture 1" descr="Relationships between (a) salinity, (b) Total suspended solids (TSS), (c) Chlorophyll a (Chl a), (d) silicate, (e) nitrate and (f) phosphate obtained in the same and measured by AIMS and JCU respectively.  Solid lines represent the corresponding regress " title="Fig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20335" cy="7477515"/>
                    </a:xfrm>
                    <a:prstGeom prst="rect">
                      <a:avLst/>
                    </a:prstGeom>
                    <a:noFill/>
                    <a:ln>
                      <a:noFill/>
                    </a:ln>
                  </pic:spPr>
                </pic:pic>
              </a:graphicData>
            </a:graphic>
          </wp:inline>
        </w:drawing>
      </w:r>
    </w:p>
    <w:p w14:paraId="61164232" w14:textId="24AA7E46" w:rsidR="00AD76A5" w:rsidRDefault="00D33CD2" w:rsidP="007E5A3A">
      <w:pPr>
        <w:pStyle w:val="Caption"/>
      </w:pPr>
      <w:bookmarkStart w:id="146" w:name="_Ref489455511"/>
      <w:bookmarkStart w:id="147" w:name="_Toc12361619"/>
      <w:r>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2</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7</w:t>
      </w:r>
      <w:r w:rsidR="006940F4">
        <w:rPr>
          <w:noProof/>
        </w:rPr>
        <w:fldChar w:fldCharType="end"/>
      </w:r>
      <w:bookmarkEnd w:id="146"/>
      <w:r>
        <w:t xml:space="preserve"> R</w:t>
      </w:r>
      <w:r w:rsidRPr="00BF2D5A">
        <w:t xml:space="preserve">elationships between (a) salinity, (b) </w:t>
      </w:r>
      <w:r w:rsidR="00DA151B">
        <w:t>t</w:t>
      </w:r>
      <w:r w:rsidR="00DA151B" w:rsidRPr="00BF2D5A">
        <w:t xml:space="preserve">otal </w:t>
      </w:r>
      <w:r w:rsidR="00F427F4">
        <w:t>suspended solids</w:t>
      </w:r>
      <w:r w:rsidRPr="00BF2D5A">
        <w:t xml:space="preserve">, (c) </w:t>
      </w:r>
      <w:r w:rsidR="00DA151B">
        <w:t>c</w:t>
      </w:r>
      <w:r w:rsidR="00DA151B" w:rsidRPr="00BF2D5A">
        <w:t xml:space="preserve">hlorophyll </w:t>
      </w:r>
      <w:r w:rsidRPr="004F29DF">
        <w:rPr>
          <w:i/>
        </w:rPr>
        <w:t>a</w:t>
      </w:r>
      <w:r w:rsidRPr="00BF2D5A">
        <w:t>, (d) silicate, (e) nitrate and (f) phosphate</w:t>
      </w:r>
      <w:r w:rsidR="0017255A">
        <w:t xml:space="preserve"> (DIP or FRP)</w:t>
      </w:r>
      <w:r w:rsidRPr="00BF2D5A">
        <w:t xml:space="preserve"> measured by AIMS</w:t>
      </w:r>
      <w:r w:rsidR="00AD6DD9">
        <w:t xml:space="preserve"> (x-axis) </w:t>
      </w:r>
      <w:r w:rsidRPr="00BF2D5A">
        <w:t>and JCU</w:t>
      </w:r>
      <w:r w:rsidR="00AD6DD9">
        <w:t xml:space="preserve"> (y-axis)</w:t>
      </w:r>
      <w:r w:rsidRPr="00BF2D5A">
        <w:t xml:space="preserve">. Solid lines represent </w:t>
      </w:r>
      <w:r w:rsidR="00F264A4">
        <w:t>a linear regression</w:t>
      </w:r>
      <w:bookmarkEnd w:id="147"/>
      <w:r>
        <w:t xml:space="preserve"> </w:t>
      </w:r>
    </w:p>
    <w:p w14:paraId="4DE9F462" w14:textId="141F41AB" w:rsidR="00F264A4" w:rsidRPr="00F264A4" w:rsidRDefault="00F264A4" w:rsidP="00374388">
      <w:pPr>
        <w:pStyle w:val="Heading1"/>
      </w:pPr>
      <w:bookmarkStart w:id="148" w:name="_Toc393785022"/>
      <w:bookmarkStart w:id="149" w:name="_Toc393792971"/>
      <w:bookmarkStart w:id="150" w:name="_Toc394061132"/>
      <w:bookmarkStart w:id="151" w:name="_Toc394061222"/>
      <w:bookmarkStart w:id="152" w:name="_Toc489452347"/>
      <w:bookmarkStart w:id="153" w:name="_Ref516749375"/>
      <w:bookmarkStart w:id="154" w:name="_Toc520727828"/>
      <w:bookmarkStart w:id="155" w:name="_Ref9503352"/>
      <w:bookmarkStart w:id="156" w:name="_Toc12365572"/>
      <w:bookmarkStart w:id="157" w:name="_Toc393785012"/>
      <w:bookmarkStart w:id="158" w:name="_Toc393792970"/>
      <w:bookmarkStart w:id="159" w:name="_Toc394061122"/>
      <w:bookmarkStart w:id="160" w:name="_Toc394061212"/>
      <w:r w:rsidRPr="00F264A4">
        <w:t>Remote sensing of the Reef water quality</w:t>
      </w:r>
      <w:bookmarkEnd w:id="148"/>
      <w:bookmarkEnd w:id="149"/>
      <w:bookmarkEnd w:id="150"/>
      <w:bookmarkEnd w:id="151"/>
      <w:r w:rsidRPr="00F264A4">
        <w:t xml:space="preserve"> and river</w:t>
      </w:r>
      <w:r w:rsidR="004A5A69">
        <w:t xml:space="preserve"> flood</w:t>
      </w:r>
      <w:r w:rsidRPr="00F264A4">
        <w:t xml:space="preserve"> plumes</w:t>
      </w:r>
      <w:bookmarkEnd w:id="152"/>
      <w:bookmarkEnd w:id="153"/>
      <w:bookmarkEnd w:id="154"/>
      <w:bookmarkEnd w:id="155"/>
      <w:bookmarkEnd w:id="156"/>
    </w:p>
    <w:p w14:paraId="2351444C" w14:textId="77777777" w:rsidR="00D662BD" w:rsidRPr="0058370B" w:rsidRDefault="009F475B" w:rsidP="00FE2F59">
      <w:pPr>
        <w:pBdr>
          <w:top w:val="single" w:sz="2" w:space="1" w:color="BFBFBF"/>
          <w:left w:val="single" w:sz="2" w:space="4" w:color="BFBFBF"/>
          <w:bottom w:val="single" w:sz="2" w:space="1" w:color="BFBFBF"/>
          <w:right w:val="single" w:sz="2" w:space="4" w:color="BFBFBF"/>
        </w:pBdr>
        <w:shd w:val="clear" w:color="auto" w:fill="D9D9D9"/>
        <w:rPr>
          <w:rFonts w:cs="Arial"/>
        </w:rPr>
      </w:pPr>
      <w:r w:rsidRPr="0058370B">
        <w:rPr>
          <w:rFonts w:cs="Arial"/>
        </w:rPr>
        <w:t>Caroline Petus</w:t>
      </w:r>
      <w:r w:rsidR="00581704" w:rsidRPr="0058370B">
        <w:rPr>
          <w:rFonts w:cs="Arial"/>
          <w:vertAlign w:val="superscript"/>
        </w:rPr>
        <w:t>1</w:t>
      </w:r>
      <w:r w:rsidRPr="0058370B">
        <w:rPr>
          <w:rFonts w:cs="Arial"/>
        </w:rPr>
        <w:t xml:space="preserve">, </w:t>
      </w:r>
      <w:r w:rsidR="00F264A4">
        <w:t>Jane Waterhouse</w:t>
      </w:r>
      <w:r w:rsidR="00F264A4" w:rsidRPr="0058370B">
        <w:rPr>
          <w:vertAlign w:val="superscript"/>
        </w:rPr>
        <w:t>1</w:t>
      </w:r>
      <w:r w:rsidR="00F264A4" w:rsidRPr="0058370B">
        <w:t>, Dieter Tracey</w:t>
      </w:r>
      <w:r w:rsidR="00F264A4" w:rsidRPr="0058370B">
        <w:rPr>
          <w:vertAlign w:val="superscript"/>
        </w:rPr>
        <w:t>1</w:t>
      </w:r>
      <w:r w:rsidR="00F264A4" w:rsidRPr="0058370B">
        <w:t xml:space="preserve">, </w:t>
      </w:r>
      <w:r w:rsidR="00F264A4">
        <w:t>Leon Majewski</w:t>
      </w:r>
      <w:r w:rsidR="00F264A4" w:rsidRPr="00494147">
        <w:rPr>
          <w:vertAlign w:val="superscript"/>
        </w:rPr>
        <w:t>2</w:t>
      </w:r>
      <w:r w:rsidR="00F264A4">
        <w:t xml:space="preserve">, </w:t>
      </w:r>
      <w:r w:rsidR="00F264A4" w:rsidRPr="0058370B">
        <w:t>Michelle Devlin</w:t>
      </w:r>
      <w:r w:rsidR="00F264A4">
        <w:rPr>
          <w:vertAlign w:val="superscript"/>
        </w:rPr>
        <w:t>*</w:t>
      </w:r>
      <w:r w:rsidR="00F264A4">
        <w:t xml:space="preserve">, </w:t>
      </w:r>
      <w:r w:rsidR="00F264A4" w:rsidRPr="0058370B">
        <w:t>Eduardo da Silva</w:t>
      </w:r>
      <w:r w:rsidR="00F264A4">
        <w:rPr>
          <w:vertAlign w:val="superscript"/>
        </w:rPr>
        <w:t>*</w:t>
      </w:r>
      <w:r w:rsidR="00F264A4" w:rsidRPr="0058370B">
        <w:t>, and Katherine Martin</w:t>
      </w:r>
      <w:r w:rsidR="00F264A4">
        <w:rPr>
          <w:vertAlign w:val="superscript"/>
        </w:rPr>
        <w:t>3</w:t>
      </w:r>
    </w:p>
    <w:p w14:paraId="7FB5D246" w14:textId="73426B7D" w:rsidR="00581704" w:rsidRPr="00F264A4" w:rsidRDefault="00581704" w:rsidP="00FE2F59">
      <w:pPr>
        <w:pBdr>
          <w:top w:val="single" w:sz="2" w:space="1" w:color="BFBFBF"/>
          <w:left w:val="single" w:sz="2" w:space="4" w:color="BFBFBF"/>
          <w:bottom w:val="single" w:sz="2" w:space="1" w:color="BFBFBF"/>
          <w:right w:val="single" w:sz="2" w:space="4" w:color="BFBFBF"/>
        </w:pBdr>
        <w:shd w:val="clear" w:color="auto" w:fill="D9D9D9"/>
        <w:rPr>
          <w:rFonts w:cs="Arial"/>
          <w:sz w:val="16"/>
          <w:szCs w:val="16"/>
        </w:rPr>
      </w:pPr>
      <w:r w:rsidRPr="00F264A4">
        <w:rPr>
          <w:rFonts w:cs="Arial"/>
          <w:sz w:val="16"/>
          <w:szCs w:val="16"/>
          <w:vertAlign w:val="superscript"/>
        </w:rPr>
        <w:t>1</w:t>
      </w:r>
      <w:r w:rsidR="00D662BD" w:rsidRPr="00F264A4">
        <w:rPr>
          <w:rFonts w:cs="Arial"/>
          <w:sz w:val="16"/>
          <w:szCs w:val="16"/>
        </w:rPr>
        <w:t xml:space="preserve"> James Cook University</w:t>
      </w:r>
      <w:r w:rsidR="00F264A4" w:rsidRPr="00F264A4">
        <w:rPr>
          <w:rFonts w:cs="Arial"/>
          <w:sz w:val="16"/>
          <w:szCs w:val="16"/>
        </w:rPr>
        <w:t xml:space="preserve">, </w:t>
      </w:r>
      <w:r w:rsidR="00F264A4" w:rsidRPr="00F264A4">
        <w:rPr>
          <w:sz w:val="16"/>
          <w:szCs w:val="16"/>
          <w:vertAlign w:val="superscript"/>
        </w:rPr>
        <w:t>2</w:t>
      </w:r>
      <w:r w:rsidR="00E66C20">
        <w:rPr>
          <w:sz w:val="16"/>
          <w:szCs w:val="16"/>
          <w:vertAlign w:val="superscript"/>
        </w:rPr>
        <w:t xml:space="preserve"> </w:t>
      </w:r>
      <w:r w:rsidR="00F264A4" w:rsidRPr="00F264A4">
        <w:rPr>
          <w:sz w:val="16"/>
          <w:szCs w:val="16"/>
        </w:rPr>
        <w:t xml:space="preserve">Bureau of Meteorology, </w:t>
      </w:r>
      <w:r w:rsidR="00F264A4" w:rsidRPr="00F264A4">
        <w:rPr>
          <w:rFonts w:cs="Arial"/>
          <w:sz w:val="16"/>
          <w:szCs w:val="16"/>
        </w:rPr>
        <w:t xml:space="preserve">*formerly with JCU, </w:t>
      </w:r>
      <w:r w:rsidR="00F264A4" w:rsidRPr="00F264A4">
        <w:rPr>
          <w:rFonts w:cs="Arial"/>
          <w:sz w:val="16"/>
          <w:szCs w:val="16"/>
          <w:vertAlign w:val="superscript"/>
        </w:rPr>
        <w:t>3</w:t>
      </w:r>
      <w:r w:rsidRPr="00F264A4">
        <w:rPr>
          <w:rFonts w:cs="Arial"/>
          <w:sz w:val="16"/>
          <w:szCs w:val="16"/>
        </w:rPr>
        <w:t xml:space="preserve"> Great Barrier Reef Marine Park Authority</w:t>
      </w:r>
    </w:p>
    <w:p w14:paraId="7D50D03F" w14:textId="77777777" w:rsidR="00D662BD" w:rsidRDefault="00D662BD" w:rsidP="00FE2F59">
      <w:pPr>
        <w:pStyle w:val="Heading2"/>
        <w:ind w:left="0" w:firstLine="0"/>
        <w:rPr>
          <w:rFonts w:cs="Arial"/>
          <w:sz w:val="22"/>
          <w:szCs w:val="22"/>
        </w:rPr>
      </w:pPr>
      <w:bookmarkStart w:id="161" w:name="_Toc261013263"/>
      <w:bookmarkStart w:id="162" w:name="_Toc294781685"/>
      <w:bookmarkStart w:id="163" w:name="_Toc393785023"/>
      <w:bookmarkStart w:id="164" w:name="_Toc394061133"/>
      <w:bookmarkStart w:id="165" w:name="_Toc394061223"/>
      <w:bookmarkStart w:id="166" w:name="_Toc520727829"/>
      <w:bookmarkStart w:id="167" w:name="_Toc12365573"/>
      <w:r w:rsidRPr="0058370B">
        <w:rPr>
          <w:rFonts w:cs="Arial"/>
          <w:sz w:val="22"/>
          <w:szCs w:val="22"/>
        </w:rPr>
        <w:t>Introduction</w:t>
      </w:r>
      <w:bookmarkEnd w:id="161"/>
      <w:bookmarkEnd w:id="162"/>
      <w:bookmarkEnd w:id="163"/>
      <w:bookmarkEnd w:id="164"/>
      <w:bookmarkEnd w:id="165"/>
      <w:bookmarkEnd w:id="166"/>
      <w:bookmarkEnd w:id="167"/>
    </w:p>
    <w:p w14:paraId="2051F4CE" w14:textId="09E3C884" w:rsidR="000C2C06" w:rsidRPr="00CF70BA" w:rsidRDefault="000C2C06" w:rsidP="00FE2F59">
      <w:pPr>
        <w:rPr>
          <w:rFonts w:cs="Arial"/>
        </w:rPr>
      </w:pPr>
      <w:r w:rsidRPr="00CF70BA">
        <w:rPr>
          <w:rFonts w:cs="Arial"/>
        </w:rPr>
        <w:t xml:space="preserve">This component of the MMP assesses trends in the delivery of </w:t>
      </w:r>
      <w:r w:rsidR="006B360F">
        <w:rPr>
          <w:rFonts w:cs="Arial"/>
        </w:rPr>
        <w:t xml:space="preserve">land- sourced </w:t>
      </w:r>
      <w:r w:rsidRPr="00CF70BA">
        <w:rPr>
          <w:rFonts w:cs="Arial"/>
        </w:rPr>
        <w:t>pollutants to the Reef lagoon during</w:t>
      </w:r>
      <w:r w:rsidR="001450FC">
        <w:rPr>
          <w:rFonts w:cs="Arial"/>
        </w:rPr>
        <w:t xml:space="preserve"> the wet season and </w:t>
      </w:r>
      <w:r w:rsidRPr="00CF70BA">
        <w:rPr>
          <w:rFonts w:cs="Arial"/>
        </w:rPr>
        <w:t xml:space="preserve">flood events and </w:t>
      </w:r>
      <w:r w:rsidR="004A5A69">
        <w:rPr>
          <w:rFonts w:cs="Arial"/>
        </w:rPr>
        <w:t xml:space="preserve">quantifies </w:t>
      </w:r>
      <w:r w:rsidRPr="00CF70BA">
        <w:rPr>
          <w:rFonts w:cs="Arial"/>
        </w:rPr>
        <w:t>the exposure of Reef ecosystems to these pollutants using satellite imagery. It provides remotely sensed information on river flood plume areas</w:t>
      </w:r>
      <w:r w:rsidR="002E0761">
        <w:rPr>
          <w:rFonts w:cs="Arial"/>
        </w:rPr>
        <w:t xml:space="preserve"> and resuspension events</w:t>
      </w:r>
      <w:r w:rsidRPr="00CF70BA">
        <w:rPr>
          <w:rFonts w:cs="Arial"/>
        </w:rPr>
        <w:t xml:space="preserve">, frequencies and composition in the Reef as well as spatial information on the exposure and </w:t>
      </w:r>
      <w:r w:rsidR="009D0B11">
        <w:rPr>
          <w:rFonts w:cs="Arial"/>
        </w:rPr>
        <w:t xml:space="preserve">potential </w:t>
      </w:r>
      <w:r w:rsidRPr="00CF70BA">
        <w:rPr>
          <w:rFonts w:cs="Arial"/>
        </w:rPr>
        <w:t>risk of coral reefs and seagrass meadows to river plumes</w:t>
      </w:r>
      <w:r w:rsidR="002E0761">
        <w:rPr>
          <w:rFonts w:cs="Arial"/>
        </w:rPr>
        <w:t xml:space="preserve">, </w:t>
      </w:r>
      <w:r w:rsidR="00E66C20">
        <w:rPr>
          <w:rFonts w:cs="Arial"/>
        </w:rPr>
        <w:t xml:space="preserve">sediment </w:t>
      </w:r>
      <w:r w:rsidR="002E0761">
        <w:rPr>
          <w:rFonts w:cs="Arial"/>
        </w:rPr>
        <w:t>resuspension</w:t>
      </w:r>
      <w:r w:rsidRPr="00CF70BA">
        <w:rPr>
          <w:rFonts w:cs="Arial"/>
        </w:rPr>
        <w:t xml:space="preserve"> and land-sourced pollutants. </w:t>
      </w:r>
    </w:p>
    <w:p w14:paraId="03293651" w14:textId="1FC3C0C0" w:rsidR="00FE2F59" w:rsidRPr="009D0B11" w:rsidRDefault="000C2C06" w:rsidP="009D0B11">
      <w:pPr>
        <w:rPr>
          <w:rFonts w:eastAsia="Times New Roman" w:cs="Arial"/>
          <w:bCs/>
        </w:rPr>
      </w:pPr>
      <w:r w:rsidRPr="00CF70BA">
        <w:rPr>
          <w:rFonts w:cs="Arial"/>
        </w:rPr>
        <w:t>A join</w:t>
      </w:r>
      <w:r w:rsidR="00162308">
        <w:rPr>
          <w:rFonts w:cs="Arial"/>
        </w:rPr>
        <w:t>t</w:t>
      </w:r>
      <w:r w:rsidRPr="00CF70BA">
        <w:rPr>
          <w:rFonts w:cs="Arial"/>
        </w:rPr>
        <w:t xml:space="preserve"> effort has been applied among CSIRO, AIMS and TropWATER to acquire, process, validate, interpret, archive and transmit geo-corrected ocean colour imagery and required information datasets derived from MODIS satellite data (</w:t>
      </w:r>
      <w:r w:rsidRPr="00CF70BA">
        <w:rPr>
          <w:rFonts w:eastAsia="Times New Roman" w:cs="Arial"/>
          <w:bCs/>
        </w:rPr>
        <w:t>http://modis.gsfc.nasa.gov/). There have been a number of different methods within the fl</w:t>
      </w:r>
      <w:r w:rsidR="007B4F22">
        <w:rPr>
          <w:rFonts w:eastAsia="Times New Roman" w:cs="Arial"/>
          <w:bCs/>
        </w:rPr>
        <w:t>ood plume program to characteris</w:t>
      </w:r>
      <w:r w:rsidRPr="00CF70BA">
        <w:rPr>
          <w:rFonts w:eastAsia="Times New Roman" w:cs="Arial"/>
          <w:bCs/>
        </w:rPr>
        <w:t>e, map and monitor flood events in the Reef over the last 20 years</w:t>
      </w:r>
      <w:r w:rsidR="00505ECC">
        <w:rPr>
          <w:rFonts w:eastAsia="Times New Roman" w:cs="Arial"/>
          <w:bCs/>
        </w:rPr>
        <w:t xml:space="preserve"> </w:t>
      </w:r>
      <w:r w:rsidR="00FC7CCA">
        <w:rPr>
          <w:rFonts w:eastAsia="Times New Roman" w:cs="Arial"/>
          <w:bCs/>
        </w:rPr>
        <w:fldChar w:fldCharType="begin"/>
      </w:r>
      <w:r w:rsidR="00FC7CCA">
        <w:rPr>
          <w:rFonts w:eastAsia="Times New Roman" w:cs="Arial"/>
          <w:bCs/>
        </w:rPr>
        <w:instrText xml:space="preserve"> ADDIN EN.CITE &lt;EndNote&gt;&lt;Cite&gt;&lt;Author&gt;Devlin&lt;/Author&gt;&lt;Year&gt;2015&lt;/Year&gt;&lt;RecNum&gt;1302&lt;/RecNum&gt;&lt;DisplayText&gt;(Devlin et al., 2015)&lt;/DisplayText&gt;&lt;record&gt;&lt;rec-number&gt;1302&lt;/rec-number&gt;&lt;foreign-keys&gt;&lt;key app="EN" db-id="zapfddtwo2e9z5e5vxoxafs7sf59wfp52rvf" timestamp="1558910363"&gt;1302&lt;/key&gt;&lt;/foreign-keys&gt;&lt;ref-type name="Journal Article"&gt;17&lt;/ref-type&gt;&lt;contributors&gt;&lt;authors&gt;&lt;author&gt;Devlin, Michelle J.&lt;/author&gt;&lt;author&gt;Petus, Caroline&lt;/author&gt;&lt;author&gt;Da Silva, Eduardo&lt;/author&gt;&lt;author&gt;Tracey, Dieter&lt;/author&gt;&lt;author&gt;Wolff, Nicholas H.&lt;/author&gt;&lt;author&gt;Waterhouse,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-12941&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FC7CCA">
        <w:rPr>
          <w:rFonts w:eastAsia="Times New Roman" w:cs="Arial"/>
          <w:bCs/>
        </w:rPr>
        <w:fldChar w:fldCharType="separate"/>
      </w:r>
      <w:r w:rsidR="00FC7CCA">
        <w:rPr>
          <w:rFonts w:eastAsia="Times New Roman" w:cs="Arial"/>
          <w:bCs/>
          <w:noProof/>
        </w:rPr>
        <w:t>(Devlin et al., 2015)</w:t>
      </w:r>
      <w:r w:rsidR="00FC7CCA">
        <w:rPr>
          <w:rFonts w:eastAsia="Times New Roman" w:cs="Arial"/>
          <w:bCs/>
        </w:rPr>
        <w:fldChar w:fldCharType="end"/>
      </w:r>
      <w:r w:rsidRPr="00CF70BA">
        <w:rPr>
          <w:rFonts w:eastAsia="Times New Roman" w:cs="Arial"/>
          <w:bCs/>
        </w:rPr>
        <w:t>.</w:t>
      </w:r>
      <w:r w:rsidR="00FE2F59" w:rsidRPr="00F529DD">
        <w:t xml:space="preserve"> </w:t>
      </w:r>
    </w:p>
    <w:p w14:paraId="184CC69B" w14:textId="379DBBA7" w:rsidR="002A5174" w:rsidRDefault="009D0B11" w:rsidP="002A5174">
      <w:bookmarkStart w:id="168" w:name="_Toc483566455"/>
      <w:r w:rsidRPr="00EF6A4D">
        <w:t xml:space="preserve">These techniques and their resulting products evolved in complexity with time, from basic aerial photography in combination with </w:t>
      </w:r>
      <w:r w:rsidRPr="007177E2">
        <w:rPr>
          <w:i/>
        </w:rPr>
        <w:t>in</w:t>
      </w:r>
      <w:r w:rsidR="004A5A69" w:rsidRPr="007177E2">
        <w:rPr>
          <w:i/>
        </w:rPr>
        <w:t xml:space="preserve"> </w:t>
      </w:r>
      <w:r w:rsidRPr="007177E2">
        <w:rPr>
          <w:i/>
        </w:rPr>
        <w:t>situ</w:t>
      </w:r>
      <w:r w:rsidRPr="00EF6A4D">
        <w:t xml:space="preserve"> monitoring, to the application of advanced regional parameterised ocean colour algorithms, to the analyses of true colour products correlated with </w:t>
      </w:r>
      <w:r w:rsidRPr="007177E2">
        <w:rPr>
          <w:i/>
        </w:rPr>
        <w:t>in</w:t>
      </w:r>
      <w:r w:rsidR="004A5A69" w:rsidRPr="007177E2">
        <w:rPr>
          <w:i/>
        </w:rPr>
        <w:t xml:space="preserve"> </w:t>
      </w:r>
      <w:r w:rsidRPr="007177E2">
        <w:rPr>
          <w:i/>
        </w:rPr>
        <w:t>situ</w:t>
      </w:r>
      <w:r w:rsidRPr="00EF6A4D">
        <w:t xml:space="preserve"> water quality gradients (</w:t>
      </w:r>
      <w:r w:rsidR="00917941">
        <w:fldChar w:fldCharType="begin"/>
      </w:r>
      <w:r w:rsidR="00917941">
        <w:instrText xml:space="preserve"> REF _Ref10398667 \h </w:instrText>
      </w:r>
      <w:r w:rsidR="00917941">
        <w:fldChar w:fldCharType="separate"/>
      </w:r>
      <w:r w:rsidR="00D528AA">
        <w:t xml:space="preserve">Figure </w:t>
      </w:r>
      <w:r w:rsidR="00D528AA">
        <w:rPr>
          <w:noProof/>
        </w:rPr>
        <w:t>3</w:t>
      </w:r>
      <w:r w:rsidR="00D528AA">
        <w:noBreakHyphen/>
      </w:r>
      <w:r w:rsidR="00D528AA">
        <w:rPr>
          <w:noProof/>
        </w:rPr>
        <w:t>1</w:t>
      </w:r>
      <w:r w:rsidR="00917941">
        <w:fldChar w:fldCharType="end"/>
      </w:r>
      <w:r w:rsidRPr="00EF6A4D">
        <w:t>). Current work focuses on improving the integration between true colour information and water quality and ecosystem health indicators</w:t>
      </w:r>
      <w:r w:rsidR="00505ECC">
        <w:t xml:space="preserve"> </w:t>
      </w:r>
      <w:r w:rsidR="00FC7CCA">
        <w:fldChar w:fldCharType="begin">
          <w:fldData xml:space="preserve">PEVuZE5vdGU+PENpdGU+PEF1dGhvcj7DgWx2YXJlei1Sb21lcm88L0F1dGhvcj48WWVhcj4yMDEz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</w:fldData>
        </w:fldChar>
      </w:r>
      <w:r w:rsidR="00FC7CCA">
        <w:instrText xml:space="preserve"> ADDIN EN.CITE </w:instrText>
      </w:r>
      <w:r w:rsidR="00FC7CCA">
        <w:fldChar w:fldCharType="begin">
          <w:fldData xml:space="preserve">PEVuZE5vdGU+PENpdGU+PEF1dGhvcj7DgWx2YXJlei1Sb21lcm88L0F1dGhvcj48WWVhcj4yMDEz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</w:fldData>
        </w:fldChar>
      </w:r>
      <w:r w:rsidR="00FC7CCA">
        <w:instrText xml:space="preserve"> ADDIN EN.CITE.DATA </w:instrText>
      </w:r>
      <w:r w:rsidR="00FC7CCA">
        <w:fldChar w:fldCharType="end"/>
      </w:r>
      <w:r w:rsidR="00FC7CCA">
        <w:fldChar w:fldCharType="separate"/>
      </w:r>
      <w:r w:rsidR="00FC7CCA">
        <w:rPr>
          <w:noProof/>
        </w:rPr>
        <w:t>(Álvarez-Romero et al., 2013; Petus, Collier, et al., 2014; Petus et al., 2018; Petus et al., 2016)</w:t>
      </w:r>
      <w:r w:rsidR="00FC7CCA">
        <w:fldChar w:fldCharType="end"/>
      </w:r>
      <w:r w:rsidR="009521DE">
        <w:t>.</w:t>
      </w:r>
      <w:r>
        <w:t xml:space="preserve"> </w:t>
      </w:r>
    </w:p>
    <w:p w14:paraId="546BD8A3" w14:textId="47F4E253" w:rsidR="002A5174" w:rsidRPr="004F62DE" w:rsidRDefault="002A5174" w:rsidP="002A5174">
      <w:pPr>
        <w:pStyle w:val="Heading2"/>
        <w:ind w:left="0" w:firstLine="0"/>
        <w:rPr>
          <w:rFonts w:cs="Arial"/>
          <w:sz w:val="22"/>
          <w:szCs w:val="22"/>
        </w:rPr>
      </w:pPr>
      <w:bookmarkStart w:id="169" w:name="_Toc520727830"/>
      <w:bookmarkStart w:id="170" w:name="_Toc12365574"/>
      <w:r>
        <w:rPr>
          <w:rFonts w:cs="Arial"/>
        </w:rPr>
        <w:t>Methods</w:t>
      </w:r>
      <w:bookmarkEnd w:id="169"/>
      <w:bookmarkEnd w:id="170"/>
    </w:p>
    <w:p w14:paraId="4862C51F" w14:textId="77777777" w:rsidR="002A5174" w:rsidRPr="009F434E" w:rsidRDefault="002A5174" w:rsidP="0067588D">
      <w:pPr>
        <w:pStyle w:val="Heading3"/>
      </w:pPr>
      <w:bookmarkStart w:id="171" w:name="_Toc483566456"/>
      <w:bookmarkStart w:id="172" w:name="_Toc520727831"/>
      <w:bookmarkStart w:id="173" w:name="_Toc12365575"/>
      <w:r w:rsidRPr="009F434E">
        <w:t>MODIS satellite data</w:t>
      </w:r>
      <w:bookmarkEnd w:id="171"/>
      <w:bookmarkEnd w:id="172"/>
      <w:bookmarkEnd w:id="173"/>
      <w:r w:rsidRPr="009F434E">
        <w:t xml:space="preserve"> </w:t>
      </w:r>
    </w:p>
    <w:p w14:paraId="10312349" w14:textId="77777777" w:rsidR="002A5174" w:rsidRDefault="002A5174" w:rsidP="002A5174">
      <w:pPr>
        <w:rPr>
          <w:rFonts w:cs="Arial"/>
        </w:rPr>
      </w:pPr>
      <w:r>
        <w:rPr>
          <w:rFonts w:cs="Arial"/>
        </w:rPr>
        <w:t xml:space="preserve">The remote sensing component of the MMP </w:t>
      </w:r>
      <w:r w:rsidRPr="00B47CB1">
        <w:rPr>
          <w:rFonts w:cs="Arial"/>
        </w:rPr>
        <w:t>uses remotely sensed ocean-colour</w:t>
      </w:r>
      <w:r>
        <w:rPr>
          <w:rFonts w:cs="Arial"/>
        </w:rPr>
        <w:t xml:space="preserve"> </w:t>
      </w:r>
      <w:r w:rsidRPr="00B47CB1">
        <w:rPr>
          <w:rFonts w:cs="Arial"/>
        </w:rPr>
        <w:t xml:space="preserve">information from NASA’s </w:t>
      </w:r>
      <w:r>
        <w:rPr>
          <w:rFonts w:cs="Arial"/>
        </w:rPr>
        <w:t>MODIS instrument (</w:t>
      </w:r>
      <w:r w:rsidRPr="00F0722E">
        <w:rPr>
          <w:rFonts w:cs="Arial"/>
        </w:rPr>
        <w:t>https://modis.gsfc.nasa.gov/</w:t>
      </w:r>
      <w:r>
        <w:rPr>
          <w:rFonts w:cs="Arial"/>
        </w:rPr>
        <w:t xml:space="preserve">). The </w:t>
      </w:r>
      <w:r w:rsidRPr="00A64BC2">
        <w:rPr>
          <w:rFonts w:cs="Arial"/>
        </w:rPr>
        <w:t xml:space="preserve">MODIS instrument is carried by two different satellites, Terra (providing the morning overpass at approximately 10:30 am) and Aqua (providing the afternoon overpass at approximately 1:30 pm). Working in tandem to see the same area of the Earth in the morning and the afternoon, the two satellites help </w:t>
      </w:r>
      <w:r>
        <w:rPr>
          <w:rFonts w:cs="Arial"/>
        </w:rPr>
        <w:t>make sure that</w:t>
      </w:r>
      <w:r w:rsidRPr="00A64BC2">
        <w:rPr>
          <w:rFonts w:cs="Arial"/>
        </w:rPr>
        <w:t xml:space="preserve"> MODIS and other instruments </w:t>
      </w:r>
      <w:r>
        <w:rPr>
          <w:rFonts w:cs="Arial"/>
        </w:rPr>
        <w:t xml:space="preserve">are </w:t>
      </w:r>
      <w:r w:rsidRPr="00A64BC2">
        <w:rPr>
          <w:rFonts w:cs="Arial"/>
        </w:rPr>
        <w:t>measur</w:t>
      </w:r>
      <w:r>
        <w:rPr>
          <w:rFonts w:cs="Arial"/>
        </w:rPr>
        <w:t>ing</w:t>
      </w:r>
      <w:r w:rsidRPr="00A64BC2">
        <w:rPr>
          <w:rFonts w:cs="Arial"/>
        </w:rPr>
        <w:t xml:space="preserve"> accura</w:t>
      </w:r>
      <w:r>
        <w:rPr>
          <w:rFonts w:cs="Arial"/>
        </w:rPr>
        <w:t>tely</w:t>
      </w:r>
      <w:r w:rsidRPr="00A64BC2">
        <w:rPr>
          <w:rFonts w:cs="Arial"/>
        </w:rPr>
        <w:t xml:space="preserve"> by optimi</w:t>
      </w:r>
      <w:r>
        <w:rPr>
          <w:rFonts w:cs="Arial"/>
        </w:rPr>
        <w:t>s</w:t>
      </w:r>
      <w:r w:rsidRPr="00A64BC2">
        <w:rPr>
          <w:rFonts w:cs="Arial"/>
        </w:rPr>
        <w:t>ing cloud-free remote sensing of the surface and minimi</w:t>
      </w:r>
      <w:r>
        <w:rPr>
          <w:rFonts w:cs="Arial"/>
        </w:rPr>
        <w:t>s</w:t>
      </w:r>
      <w:r w:rsidRPr="00A64BC2">
        <w:rPr>
          <w:rFonts w:cs="Arial"/>
        </w:rPr>
        <w:t>ing any optical effects</w:t>
      </w:r>
      <w:r>
        <w:rPr>
          <w:rFonts w:cs="Arial"/>
        </w:rPr>
        <w:t xml:space="preserve"> </w:t>
      </w:r>
      <w:r w:rsidRPr="00A64BC2">
        <w:rPr>
          <w:rFonts w:cs="Arial"/>
        </w:rPr>
        <w:t>—</w:t>
      </w:r>
      <w:r>
        <w:rPr>
          <w:rFonts w:cs="Arial"/>
        </w:rPr>
        <w:t xml:space="preserve"> </w:t>
      </w:r>
      <w:r w:rsidRPr="00A64BC2">
        <w:rPr>
          <w:rFonts w:cs="Arial"/>
        </w:rPr>
        <w:t>like shadows or glare</w:t>
      </w:r>
      <w:r>
        <w:rPr>
          <w:rFonts w:cs="Arial"/>
        </w:rPr>
        <w:t xml:space="preserve"> </w:t>
      </w:r>
      <w:r w:rsidRPr="00A64BC2">
        <w:rPr>
          <w:rFonts w:cs="Arial"/>
        </w:rPr>
        <w:t>—</w:t>
      </w:r>
      <w:r>
        <w:rPr>
          <w:rFonts w:cs="Arial"/>
        </w:rPr>
        <w:t xml:space="preserve"> </w:t>
      </w:r>
      <w:r w:rsidRPr="00A64BC2">
        <w:rPr>
          <w:rFonts w:cs="Arial"/>
        </w:rPr>
        <w:t xml:space="preserve">that are unique to morning or afternoon sunlight. </w:t>
      </w:r>
      <w:r w:rsidRPr="00B47CB1">
        <w:rPr>
          <w:rFonts w:cs="Arial"/>
        </w:rPr>
        <w:t>The</w:t>
      </w:r>
      <w:r w:rsidRPr="00CF70BA">
        <w:rPr>
          <w:rFonts w:cs="Arial"/>
        </w:rPr>
        <w:t xml:space="preserve"> </w:t>
      </w:r>
      <w:r>
        <w:rPr>
          <w:rFonts w:cs="Arial"/>
        </w:rPr>
        <w:t>remote sensing</w:t>
      </w:r>
      <w:r w:rsidRPr="00BC3378">
        <w:rPr>
          <w:rFonts w:cs="Arial"/>
        </w:rPr>
        <w:t xml:space="preserve"> component</w:t>
      </w:r>
      <w:r>
        <w:rPr>
          <w:rFonts w:cs="Arial"/>
        </w:rPr>
        <w:t xml:space="preserve"> of the MMP (</w:t>
      </w:r>
      <w:r w:rsidRPr="00BC3378">
        <w:rPr>
          <w:rFonts w:cs="Arial"/>
        </w:rPr>
        <w:t>flood plume monitoring</w:t>
      </w:r>
      <w:r w:rsidRPr="00CF70BA">
        <w:rPr>
          <w:rFonts w:cs="Arial"/>
        </w:rPr>
        <w:t xml:space="preserve"> </w:t>
      </w:r>
      <w:r>
        <w:rPr>
          <w:rFonts w:cs="Arial"/>
        </w:rPr>
        <w:t>program and</w:t>
      </w:r>
      <w:r w:rsidRPr="00B47CB1">
        <w:rPr>
          <w:rFonts w:cs="Arial"/>
        </w:rPr>
        <w:t xml:space="preserve"> Marine Water Quality Dashboard</w:t>
      </w:r>
      <w:r>
        <w:rPr>
          <w:rFonts w:cs="Arial"/>
        </w:rPr>
        <w:t>)</w:t>
      </w:r>
      <w:r w:rsidRPr="00B47CB1">
        <w:rPr>
          <w:rFonts w:cs="Arial"/>
        </w:rPr>
        <w:t xml:space="preserve"> </w:t>
      </w:r>
      <w:r>
        <w:rPr>
          <w:rFonts w:cs="Arial"/>
        </w:rPr>
        <w:t xml:space="preserve">have </w:t>
      </w:r>
      <w:r w:rsidRPr="00BC3378">
        <w:rPr>
          <w:rFonts w:cs="Arial"/>
        </w:rPr>
        <w:t>use</w:t>
      </w:r>
      <w:r>
        <w:rPr>
          <w:rFonts w:cs="Arial"/>
        </w:rPr>
        <w:t>d</w:t>
      </w:r>
      <w:r w:rsidRPr="00BC3378">
        <w:rPr>
          <w:rFonts w:cs="Arial"/>
        </w:rPr>
        <w:t xml:space="preserve"> remotely sensed information</w:t>
      </w:r>
      <w:r w:rsidRPr="00CF70BA">
        <w:rPr>
          <w:rFonts w:cs="Arial"/>
        </w:rPr>
        <w:t xml:space="preserve"> </w:t>
      </w:r>
      <w:r w:rsidRPr="00B47CB1">
        <w:rPr>
          <w:rFonts w:cs="Arial"/>
        </w:rPr>
        <w:t xml:space="preserve">from NASA’s </w:t>
      </w:r>
      <w:r>
        <w:rPr>
          <w:rFonts w:cs="Arial"/>
        </w:rPr>
        <w:t xml:space="preserve">MODIS </w:t>
      </w:r>
      <w:r w:rsidRPr="00C722D2">
        <w:rPr>
          <w:rFonts w:cs="Arial"/>
        </w:rPr>
        <w:t>Aqua</w:t>
      </w:r>
      <w:r w:rsidRPr="00B47CB1">
        <w:rPr>
          <w:rFonts w:cs="Arial"/>
        </w:rPr>
        <w:t xml:space="preserve"> satellite</w:t>
      </w:r>
      <w:r>
        <w:rPr>
          <w:rFonts w:cs="Arial"/>
        </w:rPr>
        <w:t xml:space="preserve"> from 2002</w:t>
      </w:r>
      <w:r w:rsidRPr="00A64BC2">
        <w:rPr>
          <w:rFonts w:cs="Arial"/>
        </w:rPr>
        <w:t xml:space="preserve"> </w:t>
      </w:r>
      <w:r>
        <w:rPr>
          <w:rFonts w:cs="Arial"/>
        </w:rPr>
        <w:t>onwards.</w:t>
      </w:r>
    </w:p>
    <w:p w14:paraId="53F941B0" w14:textId="77777777" w:rsidR="009D0B11" w:rsidRDefault="009D0B11" w:rsidP="009D0B11"/>
    <w:p w14:paraId="1C59E22B" w14:textId="77777777" w:rsidR="007D0761" w:rsidRDefault="007D0761" w:rsidP="007D0761">
      <w:pPr>
        <w:keepNext/>
      </w:pPr>
      <w:r>
        <w:rPr>
          <w:noProof/>
          <w:lang w:eastAsia="en-AU"/>
        </w:rPr>
        <w:drawing>
          <wp:inline distT="0" distB="0" distL="0" distR="0" wp14:anchorId="3034CAB9" wp14:editId="3E2468A1">
            <wp:extent cx="5724525" cy="4712335"/>
            <wp:effectExtent l="0" t="0" r="9525" b="0"/>
            <wp:docPr id="16" name="Picture 16" descr="Summary description of the wet season water quality products derived from remote sensing information in the MMP illustrated using the 2016 map outputs as examples. Modified from Devlin et al. (2015)." title="Image showing range of wet season water quality produ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24525" cy="4712335"/>
                    </a:xfrm>
                    <a:prstGeom prst="rect">
                      <a:avLst/>
                    </a:prstGeom>
                    <a:noFill/>
                  </pic:spPr>
                </pic:pic>
              </a:graphicData>
            </a:graphic>
          </wp:inline>
        </w:drawing>
      </w:r>
    </w:p>
    <w:p w14:paraId="3F464E4F" w14:textId="08C2722E" w:rsidR="007D0761" w:rsidRDefault="007D0761" w:rsidP="007E5A3A">
      <w:pPr>
        <w:pStyle w:val="Caption"/>
      </w:pPr>
      <w:bookmarkStart w:id="174" w:name="_Ref10398667"/>
      <w:bookmarkStart w:id="175" w:name="_Toc12361620"/>
      <w:r>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3</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1</w:t>
      </w:r>
      <w:r w:rsidR="006940F4">
        <w:rPr>
          <w:noProof/>
        </w:rPr>
        <w:fldChar w:fldCharType="end"/>
      </w:r>
      <w:bookmarkEnd w:id="174"/>
      <w:r>
        <w:t xml:space="preserve"> Summary description of the wet season water quality products from remote sensing informatio</w:t>
      </w:r>
      <w:r w:rsidR="00E62A46">
        <w:t xml:space="preserve">n </w:t>
      </w:r>
      <w:r w:rsidR="00E62A46">
        <w:fldChar w:fldCharType="begin"/>
      </w:r>
      <w:r w:rsidR="00E62A46">
        <w:instrText xml:space="preserve"> ADDIN EN.CITE &lt;EndNote&gt;&lt;Cite&gt;&lt;Author&gt;Devlin&lt;/Author&gt;&lt;Year&gt;2015&lt;/Year&gt;&lt;RecNum&gt;1302&lt;/RecNum&gt;&lt;Prefix&gt;modified from &lt;/Prefix&gt;&lt;DisplayText&gt;(modified from Devlin et al., 2015)&lt;/DisplayText&gt;&lt;record&gt;&lt;rec-number&gt;1302&lt;/rec-number&gt;&lt;foreign-keys&gt;&lt;key app="EN" db-id="zapfddtwo2e9z5e5vxoxafs7sf59wfp52rvf" timestamp="1558910363"&gt;1302&lt;/key&gt;&lt;/foreign-keys&gt;&lt;ref-type name="Journal Article"&gt;17&lt;/ref-type&gt;&lt;contributors&gt;&lt;authors&gt;&lt;author&gt;Devlin, Michelle J.&lt;/author&gt;&lt;author&gt;Petus, Caroline&lt;/author&gt;&lt;author&gt;Da Silva, Eduardo&lt;/author&gt;&lt;author&gt;Tracey, Dieter&lt;/author&gt;&lt;author&gt;Wolff, Nicholas H.&lt;/author&gt;&lt;author&gt;Waterhouse,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-12941&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E62A46">
        <w:fldChar w:fldCharType="separate"/>
      </w:r>
      <w:r w:rsidR="00E62A46">
        <w:rPr>
          <w:noProof/>
        </w:rPr>
        <w:t>(modified from Devlin et al., 2015)</w:t>
      </w:r>
      <w:r w:rsidR="00E62A46">
        <w:fldChar w:fldCharType="end"/>
      </w:r>
      <w:r>
        <w:t>.</w:t>
      </w:r>
      <w:bookmarkEnd w:id="175"/>
    </w:p>
    <w:p w14:paraId="2CCFC928" w14:textId="10B4CC35" w:rsidR="00FE2F59" w:rsidRPr="007C0A1D" w:rsidRDefault="00FE2F59" w:rsidP="0067588D">
      <w:pPr>
        <w:pStyle w:val="Heading3"/>
      </w:pPr>
      <w:bookmarkStart w:id="176" w:name="_Toc520727832"/>
      <w:bookmarkStart w:id="177" w:name="_Toc483566458"/>
      <w:bookmarkStart w:id="178" w:name="_Ref483560669"/>
      <w:bookmarkStart w:id="179" w:name="_Toc12365576"/>
      <w:bookmarkEnd w:id="168"/>
      <w:r w:rsidRPr="00FD566C">
        <w:t>MODIS true colo</w:t>
      </w:r>
      <w:r>
        <w:t>u</w:t>
      </w:r>
      <w:r w:rsidRPr="00FD566C">
        <w:t xml:space="preserve">r </w:t>
      </w:r>
      <w:r>
        <w:t>monitoring products</w:t>
      </w:r>
      <w:bookmarkEnd w:id="176"/>
      <w:bookmarkEnd w:id="177"/>
      <w:bookmarkEnd w:id="178"/>
      <w:bookmarkEnd w:id="179"/>
      <w:r w:rsidRPr="007C0A1D">
        <w:t xml:space="preserve"> </w:t>
      </w:r>
    </w:p>
    <w:p w14:paraId="3A64E10B" w14:textId="5C9272B3" w:rsidR="00FE2F59" w:rsidRDefault="00FE2F59" w:rsidP="00FE2F59">
      <w:pPr>
        <w:rPr>
          <w:rFonts w:cs="Arial"/>
        </w:rPr>
      </w:pPr>
      <w:r>
        <w:rPr>
          <w:rFonts w:cs="Arial"/>
        </w:rPr>
        <w:t xml:space="preserve">TropWATER </w:t>
      </w:r>
      <w:r w:rsidRPr="00700B9C">
        <w:rPr>
          <w:rFonts w:cs="Arial"/>
        </w:rPr>
        <w:t xml:space="preserve">was funded by the </w:t>
      </w:r>
      <w:r w:rsidR="00C55519">
        <w:rPr>
          <w:rFonts w:cs="Arial"/>
        </w:rPr>
        <w:t xml:space="preserve">Authority </w:t>
      </w:r>
      <w:r w:rsidRPr="00700B9C">
        <w:rPr>
          <w:rFonts w:cs="Arial"/>
        </w:rPr>
        <w:t>to</w:t>
      </w:r>
      <w:r w:rsidRPr="00700B9C" w:rsidDel="00F80C95">
        <w:rPr>
          <w:rFonts w:cs="Arial"/>
        </w:rPr>
        <w:t xml:space="preserve"> </w:t>
      </w:r>
      <w:r w:rsidRPr="00700B9C">
        <w:rPr>
          <w:rFonts w:cs="Arial"/>
        </w:rPr>
        <w:t>collect information on the movement of flood plumes across inshore waters of the Reef</w:t>
      </w:r>
      <w:r>
        <w:rPr>
          <w:rFonts w:cs="Arial"/>
        </w:rPr>
        <w:t xml:space="preserve"> and </w:t>
      </w:r>
      <w:r w:rsidRPr="00F80C95">
        <w:rPr>
          <w:rFonts w:cs="Arial"/>
        </w:rPr>
        <w:t>to quantify the exposure of Reef ecosystems to</w:t>
      </w:r>
      <w:r w:rsidR="00E66C20">
        <w:rPr>
          <w:rFonts w:cs="Arial"/>
        </w:rPr>
        <w:t xml:space="preserve"> flood plumes and resuspension events, as well as </w:t>
      </w:r>
      <w:r w:rsidR="00E46A46">
        <w:rPr>
          <w:rFonts w:cs="Arial"/>
        </w:rPr>
        <w:t xml:space="preserve">to </w:t>
      </w:r>
      <w:r w:rsidR="00E66C20" w:rsidRPr="00CF70BA">
        <w:rPr>
          <w:rFonts w:cs="Arial"/>
        </w:rPr>
        <w:t>land-sourced pollutants</w:t>
      </w:r>
      <w:r w:rsidR="006940F4" w:rsidRPr="006940F4">
        <w:t xml:space="preserve"> </w:t>
      </w:r>
      <w:r w:rsidR="006940F4">
        <w:t>carried by the flood plumes,</w:t>
      </w:r>
      <w:r w:rsidR="006940F4">
        <w:rPr>
          <w:rFonts w:cs="Arial"/>
        </w:rPr>
        <w:t xml:space="preserve"> </w:t>
      </w:r>
      <w:r>
        <w:rPr>
          <w:rFonts w:cs="Arial"/>
        </w:rPr>
        <w:t xml:space="preserve">using satellite imagery. </w:t>
      </w:r>
      <w:r w:rsidRPr="00700B9C">
        <w:rPr>
          <w:rFonts w:cs="Arial"/>
        </w:rPr>
        <w:t>To detect, map</w:t>
      </w:r>
      <w:r w:rsidR="000547F6">
        <w:rPr>
          <w:rFonts w:cs="Arial"/>
        </w:rPr>
        <w:t xml:space="preserve"> </w:t>
      </w:r>
      <w:r w:rsidRPr="00700B9C">
        <w:rPr>
          <w:rFonts w:cs="Arial"/>
        </w:rPr>
        <w:t xml:space="preserve">and characterise river </w:t>
      </w:r>
      <w:r w:rsidR="000547F6">
        <w:rPr>
          <w:rFonts w:cs="Arial"/>
        </w:rPr>
        <w:t xml:space="preserve">flood </w:t>
      </w:r>
      <w:r w:rsidRPr="00700B9C">
        <w:rPr>
          <w:rFonts w:cs="Arial"/>
        </w:rPr>
        <w:t xml:space="preserve">plumes, ocean colour remote sensors can </w:t>
      </w:r>
      <w:r>
        <w:rPr>
          <w:rFonts w:cs="Arial"/>
        </w:rPr>
        <w:t>use</w:t>
      </w:r>
      <w:r w:rsidRPr="00700B9C">
        <w:rPr>
          <w:rFonts w:cs="Arial"/>
        </w:rPr>
        <w:t xml:space="preserve"> differences in</w:t>
      </w:r>
      <w:r w:rsidR="006859B1">
        <w:rPr>
          <w:rFonts w:cs="Arial"/>
        </w:rPr>
        <w:t xml:space="preserve"> water</w:t>
      </w:r>
      <w:r w:rsidRPr="00700B9C">
        <w:rPr>
          <w:rFonts w:cs="Arial"/>
        </w:rPr>
        <w:t xml:space="preserve"> </w:t>
      </w:r>
      <w:r>
        <w:rPr>
          <w:rFonts w:cs="Arial"/>
        </w:rPr>
        <w:t xml:space="preserve">colour properties between </w:t>
      </w:r>
      <w:r w:rsidRPr="00700B9C">
        <w:rPr>
          <w:rFonts w:cs="Arial"/>
        </w:rPr>
        <w:t xml:space="preserve">plumes </w:t>
      </w:r>
      <w:r>
        <w:rPr>
          <w:rFonts w:cs="Arial"/>
        </w:rPr>
        <w:t>and</w:t>
      </w:r>
      <w:r w:rsidRPr="00700B9C">
        <w:rPr>
          <w:rFonts w:cs="Arial"/>
        </w:rPr>
        <w:t xml:space="preserve"> ambient marine waters. The optical signature and colour signature of a</w:t>
      </w:r>
      <w:r>
        <w:rPr>
          <w:rFonts w:cs="Arial"/>
        </w:rPr>
        <w:t xml:space="preserve"> surface</w:t>
      </w:r>
      <w:r w:rsidRPr="00700B9C">
        <w:rPr>
          <w:rFonts w:cs="Arial"/>
        </w:rPr>
        <w:t xml:space="preserve"> </w:t>
      </w:r>
      <w:r>
        <w:rPr>
          <w:rFonts w:cs="Arial"/>
        </w:rPr>
        <w:t>water body</w:t>
      </w:r>
      <w:r w:rsidRPr="00700B9C">
        <w:rPr>
          <w:rFonts w:cs="Arial"/>
        </w:rPr>
        <w:t xml:space="preserve"> is related to the optical active constituents of the water, including the presence and combination of </w:t>
      </w:r>
      <w:r w:rsidR="004F29DF" w:rsidRPr="00DA0B37">
        <w:rPr>
          <w:rFonts w:cs="Arial"/>
        </w:rPr>
        <w:t>Chl</w:t>
      </w:r>
      <w:r w:rsidR="004F29DF">
        <w:rPr>
          <w:rFonts w:cs="Arial"/>
        </w:rPr>
        <w:t>-</w:t>
      </w:r>
      <w:r w:rsidR="004F29DF" w:rsidRPr="008341E2">
        <w:rPr>
          <w:rFonts w:cs="Arial"/>
          <w:i/>
        </w:rPr>
        <w:t>a</w:t>
      </w:r>
      <w:r w:rsidRPr="00700B9C">
        <w:rPr>
          <w:rFonts w:cs="Arial"/>
        </w:rPr>
        <w:t xml:space="preserve">, </w:t>
      </w:r>
      <w:r w:rsidR="000547F6">
        <w:rPr>
          <w:rFonts w:cs="Arial"/>
        </w:rPr>
        <w:t>CDOM</w:t>
      </w:r>
      <w:r w:rsidRPr="00700B9C">
        <w:rPr>
          <w:rFonts w:cs="Arial"/>
        </w:rPr>
        <w:t xml:space="preserve"> and </w:t>
      </w:r>
      <w:r w:rsidR="000547F6">
        <w:rPr>
          <w:rFonts w:cs="Arial"/>
        </w:rPr>
        <w:t>TSS</w:t>
      </w:r>
      <w:r w:rsidRPr="00700B9C">
        <w:rPr>
          <w:rFonts w:cs="Arial"/>
        </w:rPr>
        <w:t>. Coastal water bodies</w:t>
      </w:r>
      <w:r w:rsidR="000A1071">
        <w:rPr>
          <w:rFonts w:cs="Arial"/>
        </w:rPr>
        <w:t>, including resuspended sediments</w:t>
      </w:r>
      <w:r w:rsidRPr="00700B9C">
        <w:rPr>
          <w:rFonts w:cs="Arial"/>
        </w:rPr>
        <w:t xml:space="preserve"> and flood river plumes of the Reef during the wet season</w:t>
      </w:r>
      <w:r>
        <w:rPr>
          <w:rFonts w:cs="Arial"/>
        </w:rPr>
        <w:t xml:space="preserve"> </w:t>
      </w:r>
      <w:r w:rsidRPr="00700B9C">
        <w:rPr>
          <w:rFonts w:cs="Arial"/>
        </w:rPr>
        <w:t>are mapped using daily MODIS true colo</w:t>
      </w:r>
      <w:r>
        <w:rPr>
          <w:rFonts w:cs="Arial"/>
        </w:rPr>
        <w:t>u</w:t>
      </w:r>
      <w:r w:rsidRPr="00700B9C">
        <w:rPr>
          <w:rFonts w:cs="Arial"/>
        </w:rPr>
        <w:t>r images and an automated classification technique</w:t>
      </w:r>
      <w:r>
        <w:rPr>
          <w:rFonts w:cs="Arial"/>
        </w:rPr>
        <w:t xml:space="preserve"> clustering bodies with homogeneous surface water colour</w:t>
      </w:r>
      <w:r w:rsidR="000547F6">
        <w:rPr>
          <w:rFonts w:cs="Arial"/>
        </w:rPr>
        <w:t xml:space="preserve"> (hereafter</w:t>
      </w:r>
      <w:r w:rsidR="005F4C81">
        <w:rPr>
          <w:rFonts w:cs="Arial"/>
        </w:rPr>
        <w:t xml:space="preserve"> wet season</w:t>
      </w:r>
      <w:r w:rsidR="000547F6">
        <w:rPr>
          <w:rFonts w:cs="Arial"/>
        </w:rPr>
        <w:t xml:space="preserve"> water type maps)</w:t>
      </w:r>
      <w:r w:rsidR="00C41E32">
        <w:rPr>
          <w:rFonts w:cs="Arial"/>
        </w:rPr>
        <w:t xml:space="preserve"> </w:t>
      </w:r>
      <w:r w:rsidR="00C41E32">
        <w:rPr>
          <w:rFonts w:cs="Arial"/>
        </w:rPr>
        <w:fldChar w:fldCharType="begin"/>
      </w:r>
      <w:r w:rsidR="00C41E32">
        <w:rPr>
          <w:rFonts w:cs="Arial"/>
        </w:rPr>
        <w:instrText xml:space="preserve"> ADDIN EN.CITE &lt;EndNote&gt;&lt;Cite&gt;&lt;Author&gt;Álvarez-Romero&lt;/Author&gt;&lt;Year&gt;2013&lt;/Year&gt;&lt;RecNum&gt;1304&lt;/RecNum&gt;&lt;DisplayText&gt;(Álvarez-Romero et al., 2013)&lt;/DisplayText&gt;&lt;record&gt;&lt;rec-number&gt;1304&lt;/rec-number&gt;&lt;foreign-keys&gt;&lt;key app="EN" db-id="zapfddtwo2e9z5e5vxoxafs7sf59wfp52rvf" timestamp="1558912276"&gt;1304&lt;/key&gt;&lt;/foreign-keys&gt;&lt;ref-type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2013/04/15/&lt;/date&gt;&lt;/pub-dates&gt;&lt;/dates&gt;&lt;isbn&gt;0301-4797&lt;/isbn&gt;&lt;urls&gt;&lt;related-urls&gt;&lt;url&gt;http://www.sciencedirect.com/science/article/pii/S0301479713000789&lt;/url&gt;&lt;/related-urls&gt;&lt;/urls&gt;&lt;electronic-resource-num&gt;https://doi.org/10.1016/j.jenvman.2013.01.036&lt;/electronic-resource-num&gt;&lt;/record&gt;&lt;/Cite&gt;&lt;/EndNote&gt;</w:instrText>
      </w:r>
      <w:r w:rsidR="00C41E32">
        <w:rPr>
          <w:rFonts w:cs="Arial"/>
        </w:rPr>
        <w:fldChar w:fldCharType="separate"/>
      </w:r>
      <w:r w:rsidR="00C41E32">
        <w:rPr>
          <w:rFonts w:cs="Arial"/>
          <w:noProof/>
        </w:rPr>
        <w:t>(Álvarez-Romero et al., 2013)</w:t>
      </w:r>
      <w:r w:rsidR="00C41E32">
        <w:rPr>
          <w:rFonts w:cs="Arial"/>
        </w:rPr>
        <w:fldChar w:fldCharType="end"/>
      </w:r>
      <w:r w:rsidR="00C41E32">
        <w:rPr>
          <w:rFonts w:cs="Arial"/>
        </w:rPr>
        <w:t xml:space="preserve">.  </w:t>
      </w:r>
      <w:r w:rsidR="005F4C81">
        <w:rPr>
          <w:rFonts w:cs="Arial"/>
        </w:rPr>
        <w:t>T</w:t>
      </w:r>
      <w:r w:rsidR="005F4C81" w:rsidRPr="005F4C81">
        <w:rPr>
          <w:rFonts w:cs="Arial"/>
        </w:rPr>
        <w:t>he term “wet season waters” refers to flood river plumes and associated resuspension occurring in the GBR during the austral wet season</w:t>
      </w:r>
      <w:r w:rsidR="005F4C81">
        <w:rPr>
          <w:rFonts w:cs="Arial"/>
        </w:rPr>
        <w:t>.</w:t>
      </w:r>
    </w:p>
    <w:p w14:paraId="4B1A30D9" w14:textId="3F8D05ED" w:rsidR="00FE2F59" w:rsidRDefault="005F4C81" w:rsidP="00FE2F59">
      <w:pPr>
        <w:rPr>
          <w:rFonts w:cs="Arial"/>
        </w:rPr>
      </w:pPr>
      <w:r>
        <w:rPr>
          <w:rFonts w:cs="Arial"/>
        </w:rPr>
        <w:t>Wet season w</w:t>
      </w:r>
      <w:r w:rsidR="00FE2F59" w:rsidRPr="008C2D03">
        <w:rPr>
          <w:rFonts w:cs="Arial"/>
        </w:rPr>
        <w:t>ater type</w:t>
      </w:r>
      <w:r w:rsidR="00FE2F59">
        <w:rPr>
          <w:rFonts w:cs="Arial"/>
        </w:rPr>
        <w:t xml:space="preserve"> maps</w:t>
      </w:r>
      <w:r w:rsidR="00FE2F59" w:rsidRPr="008C2D03">
        <w:rPr>
          <w:rFonts w:cs="Arial"/>
        </w:rPr>
        <w:t xml:space="preserve"> </w:t>
      </w:r>
      <w:r w:rsidR="00FE2F59">
        <w:rPr>
          <w:rFonts w:cs="Arial"/>
        </w:rPr>
        <w:t xml:space="preserve">are linked to </w:t>
      </w:r>
      <w:r w:rsidR="00FE2F59" w:rsidRPr="008C2D03">
        <w:rPr>
          <w:rFonts w:cs="Arial"/>
        </w:rPr>
        <w:t xml:space="preserve">water </w:t>
      </w:r>
      <w:r w:rsidR="00FE2F59">
        <w:rPr>
          <w:rFonts w:cs="Arial"/>
        </w:rPr>
        <w:t xml:space="preserve">quality parameters sampled in </w:t>
      </w:r>
      <w:r w:rsidR="0028122E">
        <w:rPr>
          <w:rFonts w:cs="Arial"/>
        </w:rPr>
        <w:t>inshore</w:t>
      </w:r>
      <w:r w:rsidR="004252CE">
        <w:rPr>
          <w:rFonts w:cs="Arial"/>
        </w:rPr>
        <w:t xml:space="preserve"> waters during the wet season, including </w:t>
      </w:r>
      <w:r w:rsidR="00FE2F59">
        <w:rPr>
          <w:rFonts w:cs="Arial"/>
        </w:rPr>
        <w:t>plume waters</w:t>
      </w:r>
      <w:r w:rsidR="004252CE">
        <w:rPr>
          <w:rFonts w:cs="Arial"/>
        </w:rPr>
        <w:t>,</w:t>
      </w:r>
      <w:r w:rsidR="00FE2F59">
        <w:rPr>
          <w:rFonts w:cs="Arial"/>
        </w:rPr>
        <w:t xml:space="preserve"> and s</w:t>
      </w:r>
      <w:r w:rsidR="00FE2F59" w:rsidRPr="00700B9C">
        <w:rPr>
          <w:rFonts w:cs="Arial"/>
        </w:rPr>
        <w:t xml:space="preserve">everal </w:t>
      </w:r>
      <w:r w:rsidR="00FE2F59">
        <w:rPr>
          <w:rFonts w:cs="Arial"/>
        </w:rPr>
        <w:t xml:space="preserve">monitoring </w:t>
      </w:r>
      <w:r w:rsidR="00FE2F59" w:rsidRPr="00700B9C">
        <w:rPr>
          <w:rFonts w:cs="Arial"/>
        </w:rPr>
        <w:t xml:space="preserve">products </w:t>
      </w:r>
      <w:r w:rsidR="000547F6">
        <w:rPr>
          <w:rFonts w:cs="Arial"/>
        </w:rPr>
        <w:t>have been</w:t>
      </w:r>
      <w:r w:rsidR="000547F6" w:rsidRPr="00700B9C">
        <w:rPr>
          <w:rFonts w:cs="Arial"/>
        </w:rPr>
        <w:t xml:space="preserve"> </w:t>
      </w:r>
      <w:r w:rsidR="00FE2F59" w:rsidRPr="00700B9C">
        <w:rPr>
          <w:rFonts w:cs="Arial"/>
        </w:rPr>
        <w:t xml:space="preserve">derived from </w:t>
      </w:r>
      <w:r w:rsidR="00FE2F59">
        <w:rPr>
          <w:rFonts w:cs="Arial"/>
        </w:rPr>
        <w:t xml:space="preserve">the </w:t>
      </w:r>
      <w:r w:rsidR="00FE2F59" w:rsidRPr="00700B9C">
        <w:rPr>
          <w:rFonts w:cs="Arial"/>
        </w:rPr>
        <w:t>MODIS true colo</w:t>
      </w:r>
      <w:r w:rsidR="00E66EC7">
        <w:rPr>
          <w:rFonts w:cs="Arial"/>
        </w:rPr>
        <w:t>u</w:t>
      </w:r>
      <w:r w:rsidR="00FE2F59" w:rsidRPr="00700B9C">
        <w:rPr>
          <w:rFonts w:cs="Arial"/>
        </w:rPr>
        <w:t>r imagery</w:t>
      </w:r>
      <w:r w:rsidR="00FE2F59">
        <w:rPr>
          <w:rFonts w:cs="Arial"/>
        </w:rPr>
        <w:t>.</w:t>
      </w:r>
      <w:r w:rsidR="00FE2F59" w:rsidRPr="00700B9C">
        <w:rPr>
          <w:rFonts w:cs="Arial"/>
        </w:rPr>
        <w:t xml:space="preserve"> </w:t>
      </w:r>
      <w:r w:rsidR="00FE2F59">
        <w:rPr>
          <w:rFonts w:cs="Arial"/>
        </w:rPr>
        <w:t xml:space="preserve">These products </w:t>
      </w:r>
      <w:r w:rsidR="00FE2F59" w:rsidRPr="00700B9C">
        <w:rPr>
          <w:rFonts w:cs="Arial"/>
        </w:rPr>
        <w:t xml:space="preserve">help </w:t>
      </w:r>
      <w:r w:rsidR="000547F6" w:rsidRPr="00700B9C">
        <w:rPr>
          <w:rFonts w:cs="Arial"/>
        </w:rPr>
        <w:t>estimat</w:t>
      </w:r>
      <w:r w:rsidR="000547F6">
        <w:rPr>
          <w:rFonts w:cs="Arial"/>
        </w:rPr>
        <w:t>e</w:t>
      </w:r>
      <w:r w:rsidR="000547F6" w:rsidRPr="00700B9C">
        <w:rPr>
          <w:rFonts w:cs="Arial"/>
        </w:rPr>
        <w:t xml:space="preserve"> </w:t>
      </w:r>
      <w:r w:rsidR="00FE2F59" w:rsidRPr="00700B9C">
        <w:rPr>
          <w:rFonts w:cs="Arial"/>
        </w:rPr>
        <w:t>the exposure and</w:t>
      </w:r>
      <w:r w:rsidR="00A861E2">
        <w:rPr>
          <w:rFonts w:cs="Arial"/>
        </w:rPr>
        <w:t xml:space="preserve"> potential</w:t>
      </w:r>
      <w:r w:rsidR="00FE2F59" w:rsidRPr="00700B9C">
        <w:rPr>
          <w:rFonts w:cs="Arial"/>
        </w:rPr>
        <w:t xml:space="preserve"> risk for the Reef seagrass and coral reef ecosystems from </w:t>
      </w:r>
      <w:r w:rsidR="00A861E2" w:rsidRPr="00700B9C">
        <w:rPr>
          <w:rFonts w:cs="Arial"/>
        </w:rPr>
        <w:t xml:space="preserve">exposure </w:t>
      </w:r>
      <w:r w:rsidR="00A861E2">
        <w:rPr>
          <w:rFonts w:cs="Arial"/>
        </w:rPr>
        <w:t xml:space="preserve">to </w:t>
      </w:r>
      <w:r w:rsidR="00FE2F59" w:rsidRPr="00700B9C">
        <w:rPr>
          <w:rFonts w:cs="Arial"/>
        </w:rPr>
        <w:t>river flood plume</w:t>
      </w:r>
      <w:r w:rsidR="00A861E2">
        <w:rPr>
          <w:rFonts w:cs="Arial"/>
        </w:rPr>
        <w:t xml:space="preserve"> and sediment resuspension</w:t>
      </w:r>
      <w:r w:rsidR="00FE2F59" w:rsidRPr="00700B9C">
        <w:rPr>
          <w:rFonts w:cs="Arial"/>
        </w:rPr>
        <w:t xml:space="preserve"> </w:t>
      </w:r>
      <w:r w:rsidR="00FE2F59">
        <w:rPr>
          <w:rFonts w:cs="Arial"/>
        </w:rPr>
        <w:t>(</w:t>
      </w:r>
      <w:r w:rsidR="00095A05" w:rsidRPr="00095A05">
        <w:rPr>
          <w:rFonts w:cs="Arial"/>
        </w:rPr>
        <w:fldChar w:fldCharType="begin"/>
      </w:r>
      <w:r w:rsidR="00095A05" w:rsidRPr="00095A05">
        <w:rPr>
          <w:rFonts w:cs="Arial"/>
        </w:rPr>
        <w:instrText xml:space="preserve"> REF _Ref483564451 \h  \* MERGEFORMAT </w:instrText>
      </w:r>
      <w:r w:rsidR="00095A05" w:rsidRPr="00095A05">
        <w:rPr>
          <w:rFonts w:cs="Arial"/>
        </w:rPr>
      </w:r>
      <w:r w:rsidR="00095A05" w:rsidRPr="00095A05">
        <w:rPr>
          <w:rFonts w:cs="Arial"/>
        </w:rPr>
        <w:fldChar w:fldCharType="separate"/>
      </w:r>
      <w:r w:rsidR="00D528AA">
        <w:t xml:space="preserve">Table </w:t>
      </w:r>
      <w:r w:rsidR="00D528AA">
        <w:rPr>
          <w:noProof/>
        </w:rPr>
        <w:t>3.1.</w:t>
      </w:r>
      <w:r w:rsidR="00D528AA" w:rsidDel="00917941">
        <w:rPr>
          <w:noProof/>
        </w:rPr>
        <w:t xml:space="preserve"> </w:t>
      </w:r>
      <w:r w:rsidR="00095A05" w:rsidRPr="00095A05">
        <w:rPr>
          <w:rFonts w:cs="Arial"/>
        </w:rPr>
        <w:fldChar w:fldCharType="end"/>
      </w:r>
      <w:r w:rsidR="007D0761">
        <w:rPr>
          <w:rFonts w:cs="Arial"/>
        </w:rPr>
        <w:t xml:space="preserve"> and</w:t>
      </w:r>
      <w:r w:rsidR="00917941">
        <w:rPr>
          <w:rFonts w:cs="Arial"/>
        </w:rPr>
        <w:fldChar w:fldCharType="begin"/>
      </w:r>
      <w:r w:rsidR="00917941">
        <w:rPr>
          <w:rFonts w:cs="Arial"/>
        </w:rPr>
        <w:instrText xml:space="preserve"> REF _Ref10398667 \h </w:instrText>
      </w:r>
      <w:r w:rsidR="00917941">
        <w:rPr>
          <w:rFonts w:cs="Arial"/>
        </w:rPr>
      </w:r>
      <w:r w:rsidR="00917941">
        <w:rPr>
          <w:rFonts w:cs="Arial"/>
        </w:rPr>
        <w:fldChar w:fldCharType="separate"/>
      </w:r>
      <w:r w:rsidR="00D528AA">
        <w:t xml:space="preserve">Figure </w:t>
      </w:r>
      <w:r w:rsidR="00D528AA">
        <w:rPr>
          <w:noProof/>
        </w:rPr>
        <w:t>3</w:t>
      </w:r>
      <w:r w:rsidR="00D528AA">
        <w:noBreakHyphen/>
      </w:r>
      <w:r w:rsidR="00D528AA">
        <w:rPr>
          <w:noProof/>
        </w:rPr>
        <w:t>1</w:t>
      </w:r>
      <w:r w:rsidR="00917941">
        <w:rPr>
          <w:rFonts w:cs="Arial"/>
        </w:rPr>
        <w:fldChar w:fldCharType="end"/>
      </w:r>
      <w:r w:rsidR="00095A05">
        <w:rPr>
          <w:rFonts w:cs="Arial"/>
        </w:rPr>
        <w:t>).</w:t>
      </w:r>
    </w:p>
    <w:p w14:paraId="46D0C41B" w14:textId="46D0010D" w:rsidR="00FE2F59" w:rsidRPr="00F529DD" w:rsidRDefault="00917941" w:rsidP="007E5A3A">
      <w:pPr>
        <w:pStyle w:val="Caption"/>
      </w:pPr>
      <w:bookmarkStart w:id="180" w:name="_Ref483564451"/>
      <w:bookmarkStart w:id="181" w:name="_Toc10398444"/>
      <w:r>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3</w:t>
      </w:r>
      <w:r w:rsidR="006940F4">
        <w:rPr>
          <w:noProof/>
        </w:rPr>
        <w:fldChar w:fldCharType="end"/>
      </w:r>
      <w:r>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1</w:t>
      </w:r>
      <w:r w:rsidR="006940F4">
        <w:rPr>
          <w:noProof/>
        </w:rPr>
        <w:fldChar w:fldCharType="end"/>
      </w:r>
      <w:r>
        <w:t>.</w:t>
      </w:r>
      <w:r w:rsidDel="00917941">
        <w:rPr>
          <w:noProof/>
        </w:rPr>
        <w:t xml:space="preserve"> </w:t>
      </w:r>
      <w:bookmarkEnd w:id="180"/>
      <w:r w:rsidR="00FE2F59" w:rsidRPr="00F529DD">
        <w:t xml:space="preserve"> </w:t>
      </w:r>
      <w:r w:rsidR="00FE2F59" w:rsidRPr="009B6881">
        <w:t>M</w:t>
      </w:r>
      <w:r w:rsidR="00162308" w:rsidRPr="009B6881">
        <w:t>ODIS</w:t>
      </w:r>
      <w:r w:rsidR="00FE2F59" w:rsidRPr="009B6881">
        <w:t xml:space="preserve"> monitoring products.</w:t>
      </w:r>
      <w:bookmarkEnd w:id="181"/>
      <w:r w:rsidR="00FE2F59" w:rsidRPr="009B6881">
        <w:t xml:space="preserve"> </w:t>
      </w:r>
    </w:p>
    <w:tbl>
      <w:tblPr>
        <w:tblStyle w:val="TableGrid"/>
        <w:tblW w:w="4761"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1 "/>
        <w:tblDescription w:val="MODIS monitoring products. “Annual” refers to the wet season only (c.a., December to April, inclusive)"/>
      </w:tblPr>
      <w:tblGrid>
        <w:gridCol w:w="1517"/>
        <w:gridCol w:w="4829"/>
        <w:gridCol w:w="2239"/>
      </w:tblGrid>
      <w:tr w:rsidR="00FE2F59" w:rsidRPr="002A5174" w14:paraId="18DD9E18" w14:textId="77777777" w:rsidTr="007D0761">
        <w:trPr>
          <w:tblHeader/>
        </w:trPr>
        <w:tc>
          <w:tcPr>
            <w:tcW w:w="883" w:type="pct"/>
            <w:hideMark/>
          </w:tcPr>
          <w:p w14:paraId="52002064" w14:textId="6E538EC3" w:rsidR="00FE2F59" w:rsidRPr="002A5174" w:rsidRDefault="00FE2F59" w:rsidP="001A4D90">
            <w:pPr>
              <w:spacing w:before="0" w:after="0" w:line="240" w:lineRule="auto"/>
              <w:contextualSpacing/>
              <w:jc w:val="both"/>
              <w:rPr>
                <w:rStyle w:val="BookTitle"/>
                <w:rFonts w:ascii="Arial" w:eastAsia="Calibri" w:hAnsi="Arial" w:cs="Arial"/>
                <w:b/>
                <w:lang w:val="en-AU"/>
              </w:rPr>
            </w:pPr>
            <w:r w:rsidRPr="002A5174">
              <w:rPr>
                <w:rStyle w:val="BookTitle"/>
                <w:rFonts w:ascii="Arial" w:eastAsia="Calibri" w:hAnsi="Arial" w:cs="Arial"/>
                <w:b/>
                <w:lang w:val="en-AU"/>
              </w:rPr>
              <w:t xml:space="preserve">Product </w:t>
            </w:r>
          </w:p>
        </w:tc>
        <w:tc>
          <w:tcPr>
            <w:tcW w:w="2813" w:type="pct"/>
            <w:hideMark/>
          </w:tcPr>
          <w:p w14:paraId="69E77B56" w14:textId="77777777" w:rsidR="00FE2F59" w:rsidRPr="002A5174" w:rsidRDefault="00FE2F59" w:rsidP="001A4D90">
            <w:pPr>
              <w:spacing w:before="0" w:after="0" w:line="240" w:lineRule="auto"/>
              <w:contextualSpacing/>
              <w:jc w:val="both"/>
              <w:rPr>
                <w:rStyle w:val="BookTitle"/>
                <w:rFonts w:ascii="Arial" w:eastAsia="Calibri" w:hAnsi="Arial" w:cs="Arial"/>
                <w:b/>
                <w:lang w:val="en-AU"/>
              </w:rPr>
            </w:pPr>
            <w:r w:rsidRPr="002A5174">
              <w:rPr>
                <w:rStyle w:val="BookTitle"/>
                <w:rFonts w:ascii="Arial" w:eastAsia="Calibri" w:hAnsi="Arial" w:cs="Arial"/>
                <w:b/>
                <w:lang w:val="en-AU"/>
              </w:rPr>
              <w:t>Description</w:t>
            </w:r>
          </w:p>
        </w:tc>
        <w:tc>
          <w:tcPr>
            <w:tcW w:w="1304" w:type="pct"/>
            <w:hideMark/>
          </w:tcPr>
          <w:p w14:paraId="7073785E" w14:textId="77777777" w:rsidR="00FE2F59" w:rsidRPr="002A5174" w:rsidRDefault="00FE2F59" w:rsidP="001A4D90">
            <w:pPr>
              <w:spacing w:before="0" w:after="0" w:line="240" w:lineRule="auto"/>
              <w:contextualSpacing/>
              <w:jc w:val="both"/>
              <w:rPr>
                <w:rStyle w:val="BookTitle"/>
                <w:rFonts w:ascii="Arial" w:eastAsia="Calibri" w:hAnsi="Arial" w:cs="Arial"/>
                <w:b/>
                <w:lang w:val="en-AU"/>
              </w:rPr>
            </w:pPr>
            <w:r w:rsidRPr="002A5174">
              <w:rPr>
                <w:rStyle w:val="BookTitle"/>
                <w:rFonts w:ascii="Arial" w:eastAsia="Calibri" w:hAnsi="Arial" w:cs="Arial"/>
                <w:b/>
                <w:lang w:val="en-AU"/>
              </w:rPr>
              <w:t>Spatial and temporal resolution</w:t>
            </w:r>
          </w:p>
        </w:tc>
      </w:tr>
      <w:tr w:rsidR="007D0761" w:rsidRPr="002A5174" w14:paraId="7D8254A1" w14:textId="77777777" w:rsidTr="007D0761">
        <w:tc>
          <w:tcPr>
            <w:tcW w:w="883" w:type="pct"/>
          </w:tcPr>
          <w:p w14:paraId="0906C096" w14:textId="77777777" w:rsidR="007D0761" w:rsidRPr="002A5174" w:rsidRDefault="007D0761" w:rsidP="001A4D90">
            <w:pPr>
              <w:spacing w:before="0" w:after="0" w:line="240" w:lineRule="auto"/>
              <w:contextualSpacing/>
              <w:rPr>
                <w:rStyle w:val="BookTitle"/>
                <w:rFonts w:ascii="Arial" w:eastAsia="Calibri" w:hAnsi="Arial" w:cs="Arial"/>
                <w:lang w:val="en-AU"/>
              </w:rPr>
            </w:pPr>
            <w:r w:rsidRPr="002A5174">
              <w:rPr>
                <w:rStyle w:val="BookTitle"/>
                <w:rFonts w:ascii="Arial" w:eastAsia="Calibri" w:hAnsi="Arial" w:cs="Arial"/>
                <w:lang w:val="en-AU"/>
              </w:rPr>
              <w:t>Wet season water type maps (including plume maps)</w:t>
            </w:r>
          </w:p>
          <w:p w14:paraId="6316E101" w14:textId="77777777" w:rsidR="007D0761" w:rsidRPr="002A5174" w:rsidRDefault="007D0761" w:rsidP="001A4D90">
            <w:pPr>
              <w:spacing w:before="0" w:after="0" w:line="240" w:lineRule="auto"/>
              <w:contextualSpacing/>
              <w:jc w:val="both"/>
              <w:rPr>
                <w:rStyle w:val="BookTitle"/>
                <w:rFonts w:ascii="Arial" w:eastAsia="Calibri" w:hAnsi="Arial" w:cs="Arial"/>
                <w:lang w:val="en-AU"/>
              </w:rPr>
            </w:pPr>
          </w:p>
        </w:tc>
        <w:tc>
          <w:tcPr>
            <w:tcW w:w="2813" w:type="pct"/>
            <w:hideMark/>
          </w:tcPr>
          <w:p w14:paraId="7FC2CB23" w14:textId="77777777" w:rsidR="007D0761" w:rsidRPr="002A5174" w:rsidRDefault="007D0761" w:rsidP="001A4D90">
            <w:pPr>
              <w:spacing w:before="0" w:after="0" w:line="240" w:lineRule="auto"/>
              <w:contextualSpacing/>
              <w:rPr>
                <w:rStyle w:val="BookTitle"/>
                <w:rFonts w:ascii="Arial" w:eastAsia="Calibri" w:hAnsi="Arial" w:cs="Arial"/>
                <w:lang w:val="en-AU"/>
              </w:rPr>
            </w:pPr>
            <w:r w:rsidRPr="002A5174">
              <w:rPr>
                <w:rStyle w:val="BookTitle"/>
                <w:rFonts w:ascii="Arial" w:eastAsia="Calibri" w:hAnsi="Arial" w:cs="Arial"/>
                <w:lang w:val="en-AU"/>
              </w:rPr>
              <w:t xml:space="preserve">Illustrate the extent and movement of coastal water bodies, including riverine waters, during the wet season. </w:t>
            </w:r>
          </w:p>
          <w:p w14:paraId="6EF7ED81" w14:textId="4874592B" w:rsidR="007D0761" w:rsidRPr="002A5174" w:rsidRDefault="007D0761" w:rsidP="001A4D90">
            <w:pPr>
              <w:spacing w:before="0" w:after="0" w:line="240" w:lineRule="auto"/>
              <w:contextualSpacing/>
              <w:jc w:val="both"/>
              <w:rPr>
                <w:rFonts w:ascii="Arial" w:hAnsi="Arial" w:cs="Arial"/>
                <w:color w:val="000000" w:themeColor="text1"/>
                <w:sz w:val="20"/>
                <w:szCs w:val="20"/>
              </w:rPr>
            </w:pPr>
            <w:r w:rsidRPr="002A5174">
              <w:rPr>
                <w:rFonts w:ascii="Arial" w:hAnsi="Arial" w:cs="Arial"/>
                <w:color w:val="000000" w:themeColor="text1"/>
                <w:sz w:val="20"/>
                <w:szCs w:val="20"/>
              </w:rPr>
              <w:t>The Primary water type (colour classes 1 to 4) corresponds to the brownish to brownish-green turbid water masses typically found in near-shore areas</w:t>
            </w:r>
            <w:r w:rsidR="00363A85" w:rsidRPr="002A5174">
              <w:rPr>
                <w:rFonts w:ascii="Arial" w:hAnsi="Arial" w:cs="Arial"/>
              </w:rPr>
              <w:t xml:space="preserve"> </w:t>
            </w:r>
            <w:r w:rsidR="00363A85" w:rsidRPr="002A5174">
              <w:rPr>
                <w:rFonts w:ascii="Arial" w:hAnsi="Arial" w:cs="Arial"/>
                <w:color w:val="000000" w:themeColor="text1"/>
                <w:sz w:val="20"/>
                <w:szCs w:val="20"/>
              </w:rPr>
              <w:t>with high concentrations of suspended sediments</w:t>
            </w:r>
            <w:r w:rsidRPr="002A5174">
              <w:rPr>
                <w:rFonts w:ascii="Arial" w:hAnsi="Arial" w:cs="Arial"/>
                <w:color w:val="000000" w:themeColor="text1"/>
                <w:sz w:val="20"/>
                <w:szCs w:val="20"/>
              </w:rPr>
              <w:t xml:space="preserve"> or inshore regions of river plumes. The Secondary water type (</w:t>
            </w:r>
            <w:r w:rsidR="000547F6" w:rsidRPr="002A5174">
              <w:rPr>
                <w:rFonts w:ascii="Arial" w:hAnsi="Arial" w:cs="Arial"/>
                <w:color w:val="000000" w:themeColor="text1"/>
                <w:sz w:val="20"/>
                <w:szCs w:val="20"/>
              </w:rPr>
              <w:t xml:space="preserve">colour </w:t>
            </w:r>
            <w:r w:rsidRPr="002A5174">
              <w:rPr>
                <w:rFonts w:ascii="Arial" w:hAnsi="Arial" w:cs="Arial"/>
                <w:color w:val="000000" w:themeColor="text1"/>
                <w:sz w:val="20"/>
                <w:szCs w:val="20"/>
              </w:rPr>
              <w:t xml:space="preserve">class 5) corresponds to the greenish to greenish-blue water masses typically found in the open coastal waters as well as in the mid-water plumes where relatively high nutrient availability and increased light levels due to sedimentation favour the coastal productivity. The Tertiary water type (colour class 6) is the transitional, greenish-blue water mass typically found towards the open sea or offshore regions of river </w:t>
            </w:r>
            <w:r w:rsidR="000547F6" w:rsidRPr="002A5174">
              <w:rPr>
                <w:rFonts w:ascii="Arial" w:hAnsi="Arial" w:cs="Arial"/>
                <w:color w:val="000000" w:themeColor="text1"/>
                <w:sz w:val="20"/>
                <w:szCs w:val="20"/>
              </w:rPr>
              <w:t xml:space="preserve">flood </w:t>
            </w:r>
            <w:r w:rsidRPr="002A5174">
              <w:rPr>
                <w:rFonts w:ascii="Arial" w:hAnsi="Arial" w:cs="Arial"/>
                <w:color w:val="000000" w:themeColor="text1"/>
                <w:sz w:val="20"/>
                <w:szCs w:val="20"/>
              </w:rPr>
              <w:t>plumes.</w:t>
            </w:r>
          </w:p>
          <w:p w14:paraId="385F6E5E" w14:textId="77777777" w:rsidR="007D0761" w:rsidRPr="002A5174" w:rsidRDefault="007D0761" w:rsidP="001A4D90">
            <w:pPr>
              <w:spacing w:before="0" w:after="0" w:line="240" w:lineRule="auto"/>
              <w:contextualSpacing/>
              <w:rPr>
                <w:rStyle w:val="BookTitle"/>
                <w:rFonts w:ascii="Arial" w:eastAsia="Calibri" w:hAnsi="Arial" w:cs="Arial"/>
              </w:rPr>
            </w:pPr>
          </w:p>
        </w:tc>
        <w:tc>
          <w:tcPr>
            <w:tcW w:w="1304" w:type="pct"/>
            <w:hideMark/>
          </w:tcPr>
          <w:p w14:paraId="4019D368" w14:textId="77777777" w:rsidR="007D0761" w:rsidRPr="002A5174" w:rsidRDefault="007D0761" w:rsidP="001A4D90">
            <w:pPr>
              <w:spacing w:before="0" w:after="0" w:line="240" w:lineRule="auto"/>
              <w:contextualSpacing/>
              <w:rPr>
                <w:rStyle w:val="BookTitle"/>
                <w:rFonts w:ascii="Arial" w:eastAsia="Calibri" w:hAnsi="Arial" w:cs="Arial"/>
                <w:lang w:val="en-AU" w:bidi="ar-SA"/>
              </w:rPr>
            </w:pPr>
            <w:r w:rsidRPr="002A5174">
              <w:rPr>
                <w:rStyle w:val="BookTitle"/>
                <w:rFonts w:ascii="Arial" w:eastAsia="Calibri" w:hAnsi="Arial" w:cs="Arial"/>
              </w:rPr>
              <w:t>Reef wide and regional</w:t>
            </w:r>
          </w:p>
          <w:p w14:paraId="39D00CA8" w14:textId="77777777" w:rsidR="007D0761" w:rsidRPr="002A5174" w:rsidRDefault="007D0761" w:rsidP="001A4D90">
            <w:pPr>
              <w:pStyle w:val="ListParagraph"/>
              <w:spacing w:before="0" w:after="0" w:line="240" w:lineRule="auto"/>
              <w:ind w:left="0"/>
              <w:rPr>
                <w:rStyle w:val="BookTitle"/>
                <w:rFonts w:ascii="Arial" w:eastAsia="Calibri" w:hAnsi="Arial" w:cs="Arial"/>
                <w:lang w:val="en-AU"/>
              </w:rPr>
            </w:pPr>
            <w:r w:rsidRPr="002A5174">
              <w:rPr>
                <w:rStyle w:val="BookTitle"/>
                <w:rFonts w:ascii="Arial" w:eastAsia="Calibri" w:hAnsi="Arial" w:cs="Arial"/>
              </w:rPr>
              <w:t>Daily, weekly, annual or long-term (frequency of occurrence)</w:t>
            </w:r>
          </w:p>
        </w:tc>
      </w:tr>
      <w:tr w:rsidR="0084058F" w:rsidRPr="002A5174" w14:paraId="599B63B7" w14:textId="77777777" w:rsidTr="007D0761">
        <w:tc>
          <w:tcPr>
            <w:tcW w:w="883" w:type="pct"/>
            <w:hideMark/>
          </w:tcPr>
          <w:p w14:paraId="0BF5AF42" w14:textId="77777777" w:rsidR="0084058F" w:rsidRPr="002A5174" w:rsidRDefault="0084058F" w:rsidP="001A4D90">
            <w:pPr>
              <w:spacing w:before="0" w:after="0" w:line="240" w:lineRule="auto"/>
              <w:contextualSpacing/>
              <w:rPr>
                <w:rStyle w:val="BookTitle"/>
                <w:rFonts w:ascii="Arial" w:eastAsia="Calibri" w:hAnsi="Arial" w:cs="Arial"/>
                <w:lang w:val="en-AU" w:bidi="ar-SA"/>
              </w:rPr>
            </w:pPr>
            <w:r w:rsidRPr="002A5174">
              <w:rPr>
                <w:rStyle w:val="BookTitle"/>
                <w:rFonts w:ascii="Arial" w:eastAsia="Calibri" w:hAnsi="Arial" w:cs="Arial"/>
                <w:lang w:val="en-AU"/>
              </w:rPr>
              <w:t>Water quality</w:t>
            </w:r>
            <w:r w:rsidRPr="002A5174">
              <w:rPr>
                <w:rStyle w:val="BookTitle"/>
                <w:rFonts w:ascii="Arial" w:eastAsia="Calibri" w:hAnsi="Arial" w:cs="Arial"/>
              </w:rPr>
              <w:t xml:space="preserve"> concentrations across wet season water types</w:t>
            </w:r>
          </w:p>
          <w:p w14:paraId="6B5139BC" w14:textId="77777777" w:rsidR="0084058F" w:rsidRPr="002A5174" w:rsidRDefault="0084058F" w:rsidP="001A4D90">
            <w:pPr>
              <w:spacing w:before="0" w:after="0" w:line="240" w:lineRule="auto"/>
              <w:contextualSpacing/>
              <w:jc w:val="both"/>
              <w:rPr>
                <w:rStyle w:val="BookTitle"/>
                <w:rFonts w:ascii="Arial" w:eastAsia="Calibri" w:hAnsi="Arial" w:cs="Arial"/>
                <w:lang w:val="en-AU"/>
              </w:rPr>
            </w:pPr>
          </w:p>
        </w:tc>
        <w:tc>
          <w:tcPr>
            <w:tcW w:w="2813" w:type="pct"/>
            <w:hideMark/>
          </w:tcPr>
          <w:p w14:paraId="2620DB6F" w14:textId="34C53D58" w:rsidR="0084058F" w:rsidRPr="002A5174" w:rsidRDefault="0084058F" w:rsidP="001A4D90">
            <w:pPr>
              <w:spacing w:before="0" w:after="0" w:line="240" w:lineRule="auto"/>
              <w:contextualSpacing/>
              <w:rPr>
                <w:rStyle w:val="BookTitle"/>
                <w:rFonts w:ascii="Arial" w:eastAsia="Calibri" w:hAnsi="Arial" w:cs="Arial"/>
                <w:lang w:val="en-AU"/>
              </w:rPr>
            </w:pPr>
            <w:r w:rsidRPr="002A5174">
              <w:rPr>
                <w:rStyle w:val="BookTitle"/>
                <w:rFonts w:ascii="Arial" w:eastAsia="Calibri" w:hAnsi="Arial" w:cs="Arial"/>
                <w:i/>
                <w:lang w:val="en-AU"/>
              </w:rPr>
              <w:t>In situ</w:t>
            </w:r>
            <w:r w:rsidRPr="002A5174">
              <w:rPr>
                <w:rStyle w:val="BookTitle"/>
                <w:rFonts w:ascii="Arial" w:eastAsia="Calibri" w:hAnsi="Arial" w:cs="Arial"/>
                <w:lang w:val="en-AU"/>
              </w:rPr>
              <w:t xml:space="preserve"> water quality data collected </w:t>
            </w:r>
            <w:r w:rsidR="000547F6" w:rsidRPr="002A5174">
              <w:rPr>
                <w:rStyle w:val="BookTitle"/>
                <w:rFonts w:ascii="Arial" w:eastAsia="Calibri" w:hAnsi="Arial" w:cs="Arial"/>
                <w:lang w:val="en-AU"/>
              </w:rPr>
              <w:t>d</w:t>
            </w:r>
            <w:r w:rsidR="000547F6" w:rsidRPr="002A5174">
              <w:rPr>
                <w:rStyle w:val="BookTitle"/>
                <w:rFonts w:ascii="Arial" w:eastAsia="Calibri" w:hAnsi="Arial" w:cs="Arial"/>
              </w:rPr>
              <w:t>uring</w:t>
            </w:r>
            <w:r w:rsidR="000547F6" w:rsidRPr="002A5174">
              <w:rPr>
                <w:rStyle w:val="BookTitle"/>
                <w:rFonts w:ascii="Arial" w:eastAsia="Calibri" w:hAnsi="Arial" w:cs="Arial"/>
                <w:lang w:val="en-AU"/>
              </w:rPr>
              <w:t xml:space="preserve"> </w:t>
            </w:r>
            <w:r w:rsidRPr="002A5174">
              <w:rPr>
                <w:rStyle w:val="BookTitle"/>
                <w:rFonts w:ascii="Arial" w:eastAsia="Calibri" w:hAnsi="Arial" w:cs="Arial"/>
                <w:lang w:val="en-AU"/>
              </w:rPr>
              <w:t>the</w:t>
            </w:r>
            <w:r w:rsidR="0028122E" w:rsidRPr="002A5174">
              <w:rPr>
                <w:rStyle w:val="BookTitle"/>
                <w:rFonts w:ascii="Arial" w:eastAsia="Calibri" w:hAnsi="Arial" w:cs="Arial"/>
                <w:lang w:val="en-AU"/>
              </w:rPr>
              <w:t xml:space="preserve"> wet season through the inshore water quality </w:t>
            </w:r>
            <w:r w:rsidRPr="002A5174">
              <w:rPr>
                <w:rStyle w:val="BookTitle"/>
                <w:rFonts w:ascii="Arial" w:eastAsia="Calibri" w:hAnsi="Arial" w:cs="Arial"/>
                <w:lang w:val="en-AU"/>
              </w:rPr>
              <w:t xml:space="preserve">monitoring program are overlaid with the wet season water type maps to provide a broad-scale reporting of water constituent concentrations in the Reef marine environment. </w:t>
            </w:r>
          </w:p>
          <w:p w14:paraId="558EE7CC" w14:textId="3F17EAD2" w:rsidR="0084058F" w:rsidRPr="002A5174" w:rsidRDefault="0084058F" w:rsidP="001A4D90">
            <w:pPr>
              <w:spacing w:before="0" w:after="0" w:line="240" w:lineRule="auto"/>
              <w:contextualSpacing/>
              <w:rPr>
                <w:rStyle w:val="BookTitle"/>
                <w:rFonts w:ascii="Arial" w:eastAsia="Calibri" w:hAnsi="Arial" w:cs="Arial"/>
                <w:lang w:val="en-AU"/>
              </w:rPr>
            </w:pPr>
            <w:r w:rsidRPr="002A5174">
              <w:rPr>
                <w:rFonts w:ascii="Arial" w:hAnsi="Arial" w:cs="Arial"/>
                <w:sz w:val="20"/>
                <w:szCs w:val="20"/>
                <w:lang w:val="en-AU"/>
              </w:rPr>
              <w:t>Several land-sourced pollutants (e.g., sediments, nutrients and pesticides) and light levels are investigated and statistical summaries (average, minimum, maximum) of the seasonal and long</w:t>
            </w:r>
            <w:r w:rsidR="000547F6" w:rsidRPr="002A5174">
              <w:rPr>
                <w:rFonts w:ascii="Arial" w:hAnsi="Arial" w:cs="Arial"/>
                <w:sz w:val="20"/>
                <w:szCs w:val="20"/>
                <w:lang w:val="en-AU"/>
              </w:rPr>
              <w:t>-</w:t>
            </w:r>
            <w:r w:rsidRPr="002A5174">
              <w:rPr>
                <w:rFonts w:ascii="Arial" w:hAnsi="Arial" w:cs="Arial"/>
                <w:sz w:val="20"/>
                <w:szCs w:val="20"/>
                <w:lang w:val="en-AU"/>
              </w:rPr>
              <w:t>term water quality values associated with each water type are calculated.</w:t>
            </w:r>
          </w:p>
        </w:tc>
        <w:tc>
          <w:tcPr>
            <w:tcW w:w="1304" w:type="pct"/>
            <w:hideMark/>
          </w:tcPr>
          <w:p w14:paraId="665F58F8" w14:textId="13984A2A" w:rsidR="0084058F" w:rsidRPr="002A5174" w:rsidRDefault="0084058F" w:rsidP="001A4D90">
            <w:pPr>
              <w:spacing w:before="0" w:after="0" w:line="240" w:lineRule="auto"/>
              <w:contextualSpacing/>
              <w:rPr>
                <w:rStyle w:val="BookTitle"/>
                <w:rFonts w:ascii="Arial" w:eastAsia="Calibri" w:hAnsi="Arial" w:cs="Arial"/>
                <w:lang w:val="en-AU" w:bidi="ar-SA"/>
              </w:rPr>
            </w:pPr>
            <w:r w:rsidRPr="002A5174">
              <w:rPr>
                <w:rStyle w:val="BookTitle"/>
                <w:rFonts w:ascii="Arial" w:eastAsia="Calibri" w:hAnsi="Arial" w:cs="Arial"/>
              </w:rPr>
              <w:t>Whole-</w:t>
            </w:r>
            <w:r w:rsidR="000547F6" w:rsidRPr="002A5174">
              <w:rPr>
                <w:rStyle w:val="BookTitle"/>
                <w:rFonts w:ascii="Arial" w:eastAsia="Calibri" w:hAnsi="Arial" w:cs="Arial"/>
              </w:rPr>
              <w:t>reef</w:t>
            </w:r>
            <w:r w:rsidRPr="002A5174">
              <w:rPr>
                <w:rStyle w:val="BookTitle"/>
                <w:rFonts w:ascii="Arial" w:eastAsia="Calibri" w:hAnsi="Arial" w:cs="Arial"/>
              </w:rPr>
              <w:t>; NRM, river</w:t>
            </w:r>
          </w:p>
          <w:p w14:paraId="72E51674" w14:textId="77777777" w:rsidR="0084058F" w:rsidRPr="002A5174" w:rsidRDefault="0084058F" w:rsidP="001A4D90">
            <w:pPr>
              <w:pStyle w:val="ListParagraph"/>
              <w:spacing w:before="0" w:after="0" w:line="240" w:lineRule="auto"/>
              <w:ind w:left="0"/>
              <w:rPr>
                <w:rStyle w:val="BookTitle"/>
                <w:rFonts w:ascii="Arial" w:eastAsia="Calibri" w:hAnsi="Arial" w:cs="Arial"/>
                <w:lang w:val="en-AU"/>
              </w:rPr>
            </w:pPr>
            <w:r w:rsidRPr="002A5174">
              <w:rPr>
                <w:rStyle w:val="BookTitle"/>
                <w:rFonts w:ascii="Arial" w:eastAsia="Calibri" w:hAnsi="Arial" w:cs="Arial"/>
              </w:rPr>
              <w:t>Weekly, annual or long-term (frequency of occurrence)</w:t>
            </w:r>
          </w:p>
        </w:tc>
      </w:tr>
      <w:tr w:rsidR="0084058F" w:rsidRPr="002A5174" w14:paraId="3F424A82" w14:textId="77777777" w:rsidTr="007D0761">
        <w:tc>
          <w:tcPr>
            <w:tcW w:w="883" w:type="pct"/>
            <w:hideMark/>
          </w:tcPr>
          <w:p w14:paraId="394D3BD2" w14:textId="77777777" w:rsidR="0084058F" w:rsidRPr="002A5174" w:rsidRDefault="0084058F" w:rsidP="001A4D90">
            <w:pPr>
              <w:spacing w:before="0" w:after="0" w:line="240" w:lineRule="auto"/>
              <w:contextualSpacing/>
              <w:rPr>
                <w:rStyle w:val="BookTitle"/>
                <w:rFonts w:ascii="Arial" w:eastAsia="Calibri" w:hAnsi="Arial" w:cs="Arial"/>
                <w:lang w:val="en-AU" w:bidi="ar-SA"/>
              </w:rPr>
            </w:pPr>
            <w:r w:rsidRPr="002A5174">
              <w:rPr>
                <w:rStyle w:val="BookTitle"/>
                <w:rFonts w:ascii="Arial" w:eastAsia="Calibri" w:hAnsi="Arial" w:cs="Arial"/>
              </w:rPr>
              <w:t xml:space="preserve">Load maps of </w:t>
            </w:r>
            <w:r w:rsidRPr="002A5174">
              <w:rPr>
                <w:rStyle w:val="BookTitle"/>
                <w:rFonts w:ascii="Arial" w:eastAsia="Calibri" w:hAnsi="Arial" w:cs="Arial"/>
                <w:lang w:val="en-AU"/>
              </w:rPr>
              <w:t>river-derived</w:t>
            </w:r>
            <w:r w:rsidRPr="002A5174">
              <w:rPr>
                <w:rStyle w:val="BookTitle"/>
                <w:rFonts w:ascii="Arial" w:eastAsia="Calibri" w:hAnsi="Arial" w:cs="Arial"/>
              </w:rPr>
              <w:t xml:space="preserve"> pollutants</w:t>
            </w:r>
          </w:p>
          <w:p w14:paraId="62FCC70C" w14:textId="77777777" w:rsidR="0084058F" w:rsidRPr="002A5174" w:rsidRDefault="0084058F" w:rsidP="001A4D90">
            <w:pPr>
              <w:spacing w:before="0" w:after="0" w:line="240" w:lineRule="auto"/>
              <w:contextualSpacing/>
              <w:jc w:val="both"/>
              <w:rPr>
                <w:rStyle w:val="BookTitle"/>
                <w:rFonts w:ascii="Arial" w:eastAsia="Calibri" w:hAnsi="Arial" w:cs="Arial"/>
                <w:lang w:val="en-AU"/>
              </w:rPr>
            </w:pPr>
          </w:p>
        </w:tc>
        <w:tc>
          <w:tcPr>
            <w:tcW w:w="2813" w:type="pct"/>
            <w:hideMark/>
          </w:tcPr>
          <w:p w14:paraId="166CF672" w14:textId="5F5EB212" w:rsidR="0084058F" w:rsidRPr="002A5174" w:rsidRDefault="000547F6" w:rsidP="001A4D90">
            <w:pPr>
              <w:spacing w:before="0" w:after="0" w:line="240" w:lineRule="auto"/>
              <w:contextualSpacing/>
              <w:rPr>
                <w:rFonts w:ascii="Arial" w:hAnsi="Arial" w:cs="Arial"/>
                <w:sz w:val="20"/>
                <w:szCs w:val="20"/>
                <w:lang w:val="en-AU"/>
              </w:rPr>
            </w:pPr>
            <w:r w:rsidRPr="002A5174">
              <w:rPr>
                <w:rStyle w:val="BookTitle"/>
                <w:rFonts w:ascii="Arial" w:eastAsia="Calibri" w:hAnsi="Arial" w:cs="Arial"/>
                <w:lang w:val="en-AU"/>
              </w:rPr>
              <w:t>L</w:t>
            </w:r>
            <w:r w:rsidRPr="002A5174">
              <w:rPr>
                <w:rStyle w:val="BookTitle"/>
                <w:rFonts w:ascii="Arial" w:eastAsia="Calibri" w:hAnsi="Arial" w:cs="Arial"/>
              </w:rPr>
              <w:t>oad</w:t>
            </w:r>
            <w:r w:rsidR="0084058F" w:rsidRPr="002A5174">
              <w:rPr>
                <w:rStyle w:val="BookTitle"/>
                <w:rFonts w:ascii="Arial" w:eastAsia="Calibri" w:hAnsi="Arial" w:cs="Arial"/>
                <w:lang w:val="en-AU"/>
              </w:rPr>
              <w:t xml:space="preserve"> mapping explores the movements of pollutants </w:t>
            </w:r>
            <w:r w:rsidRPr="002A5174">
              <w:rPr>
                <w:rStyle w:val="BookTitle"/>
                <w:rFonts w:ascii="Arial" w:eastAsia="Calibri" w:hAnsi="Arial" w:cs="Arial"/>
                <w:lang w:val="en-AU"/>
              </w:rPr>
              <w:t>t</w:t>
            </w:r>
            <w:r w:rsidRPr="002A5174">
              <w:rPr>
                <w:rStyle w:val="BookTitle"/>
                <w:rFonts w:ascii="Arial" w:eastAsia="Calibri" w:hAnsi="Arial" w:cs="Arial"/>
              </w:rPr>
              <w:t>hat</w:t>
            </w:r>
            <w:r w:rsidRPr="002A5174">
              <w:rPr>
                <w:rStyle w:val="BookTitle"/>
                <w:rFonts w:ascii="Arial" w:eastAsia="Calibri" w:hAnsi="Arial" w:cs="Arial"/>
                <w:lang w:val="en-AU"/>
              </w:rPr>
              <w:t xml:space="preserve"> </w:t>
            </w:r>
            <w:r w:rsidR="0084058F" w:rsidRPr="002A5174">
              <w:rPr>
                <w:rStyle w:val="BookTitle"/>
                <w:rFonts w:ascii="Arial" w:eastAsia="Calibri" w:hAnsi="Arial" w:cs="Arial"/>
                <w:lang w:val="en-AU"/>
              </w:rPr>
              <w:t xml:space="preserve">are carried within the river plume waters. </w:t>
            </w:r>
            <w:r w:rsidR="0084058F" w:rsidRPr="002A5174">
              <w:rPr>
                <w:rFonts w:ascii="Arial" w:hAnsi="Arial" w:cs="Arial"/>
                <w:sz w:val="20"/>
                <w:szCs w:val="20"/>
                <w:lang w:val="en-AU"/>
              </w:rPr>
              <w:t xml:space="preserve">Pollutants plume load maps are produced combining </w:t>
            </w:r>
            <w:r w:rsidR="0084058F" w:rsidRPr="002A5174">
              <w:rPr>
                <w:rFonts w:ascii="Arial" w:hAnsi="Arial" w:cs="Arial"/>
                <w:i/>
                <w:sz w:val="20"/>
                <w:szCs w:val="20"/>
                <w:lang w:val="en-AU"/>
              </w:rPr>
              <w:t>in</w:t>
            </w:r>
            <w:r w:rsidR="004A5A69" w:rsidRPr="002A5174">
              <w:rPr>
                <w:rFonts w:ascii="Arial" w:hAnsi="Arial" w:cs="Arial"/>
                <w:i/>
                <w:sz w:val="20"/>
                <w:szCs w:val="20"/>
                <w:lang w:val="en-AU"/>
              </w:rPr>
              <w:t xml:space="preserve"> </w:t>
            </w:r>
            <w:r w:rsidR="0084058F" w:rsidRPr="002A5174">
              <w:rPr>
                <w:rFonts w:ascii="Arial" w:hAnsi="Arial" w:cs="Arial"/>
                <w:i/>
                <w:sz w:val="20"/>
                <w:szCs w:val="20"/>
                <w:lang w:val="en-AU"/>
              </w:rPr>
              <w:t>situ</w:t>
            </w:r>
            <w:r w:rsidR="0084058F" w:rsidRPr="002A5174">
              <w:rPr>
                <w:rFonts w:ascii="Arial" w:hAnsi="Arial" w:cs="Arial"/>
                <w:sz w:val="20"/>
                <w:szCs w:val="20"/>
                <w:lang w:val="en-AU"/>
              </w:rPr>
              <w:t xml:space="preserve"> data collected under the MMP, the wet season water type maps and monitored end-of catchment pollutant load</w:t>
            </w:r>
            <w:r w:rsidR="00C41E32" w:rsidRPr="002A5174">
              <w:rPr>
                <w:rFonts w:ascii="Arial" w:hAnsi="Arial" w:cs="Arial"/>
                <w:sz w:val="20"/>
                <w:szCs w:val="20"/>
                <w:lang w:val="en-AU"/>
              </w:rPr>
              <w:t xml:space="preserve"> </w:t>
            </w:r>
            <w:r w:rsidR="00C41E32" w:rsidRPr="002A5174">
              <w:rPr>
                <w:rFonts w:cs="Arial"/>
                <w:sz w:val="20"/>
                <w:szCs w:val="20"/>
              </w:rPr>
              <w:fldChar w:fldCharType="begin"/>
            </w:r>
            <w:r w:rsidR="00C41E32" w:rsidRPr="002A5174">
              <w:rPr>
                <w:rFonts w:ascii="Arial" w:hAnsi="Arial" w:cs="Arial"/>
                <w:sz w:val="20"/>
                <w:szCs w:val="20"/>
                <w:lang w:val="en-AU"/>
              </w:rPr>
              <w:instrText xml:space="preserve"> ADDIN EN.CITE &lt;EndNote&gt;&lt;Cite&gt;&lt;Author&gt;Waterhouse&lt;/Author&gt;&lt;Year&gt;2018&lt;/Year&gt;&lt;RecNum&gt;1236&lt;/RecNum&gt;&lt;DisplayText&gt;(Waterhouse et al., 2018)&lt;/DisplayText&gt;&lt;record&gt;&lt;rec-number&gt;1236&lt;/rec-number&gt;&lt;foreign-keys&gt;&lt;key app="EN" db-id="zapfddtwo2e9z5e5vxoxafs7sf59wfp52rvf" timestamp="1542926791"&gt;1236&lt;/key&gt;&lt;/foreign-keys&gt;&lt;ref-type name="Report"&gt;27&lt;/ref-type&gt;&lt;contributors&gt;&lt;authors&gt;&lt;author&gt;Waterhouse, J.&lt;/author&gt;&lt;author&gt;Burton, J.&lt;/author&gt;&lt;author&gt;Garzon-Garcia, A.&lt;/author&gt;&lt;author&gt;Lewis, S.&lt;/author&gt;&lt;author&gt;Brodie, J.&lt;/author&gt;&lt;author&gt;Bainbridge, Z.&lt;/author&gt;&lt;author&gt;Robson, B.&lt;/author&gt;&lt;author&gt;Burford, M. A.&lt;/author&gt;&lt;author&gt;Gruber, R. K.&lt;/author&gt;&lt;author&gt;Dougall,C.&lt;/author&gt;&lt;/authors&gt;&lt;/contributors&gt;&lt;titles&gt;&lt;title&gt;Synthesis of knowledge and concepts - Bioavailable Nutrients: Sources, delivery and impacts in the Great Barrier Reef, July 2018. Supporting Concept Paper for the Bioavailable Nutrients Workshop, 15 March 2018&lt;/title&gt;&lt;/titles&gt;&lt;pages&gt;84&lt;/pages&gt;&lt;dates&gt;&lt;year&gt;2018&lt;/year&gt;&lt;/dates&gt;&lt;pub-location&gt;Reef and Rainforest Research Centre&lt;/pub-location&gt;&lt;publisher&gt;Office of the Great Barrier Reef&amp;apos;s Queensland Reef Water Quality Program, the Australian Government National Environmental Science Program (NESP) Tropical Water Quality (TWQ) Hub and the State of Queensland&lt;/publisher&gt;&lt;urls&gt;&lt;related-urls&gt;&lt;url&gt;https://nesptropical.edu.au/wp-content/uploads/2018/11/NESP-TWQ-Bioavailability-of-Nutrients-Workshop-Concept-Paper.pdf&lt;/url&gt;&lt;/related-urls&gt;&lt;/urls&gt;&lt;access-date&gt;27/05/2019&lt;/access-date&gt;&lt;/record&gt;&lt;/Cite&gt;&lt;/EndNote&gt;</w:instrText>
            </w:r>
            <w:r w:rsidR="00C41E32" w:rsidRPr="002A5174">
              <w:rPr>
                <w:rFonts w:cs="Arial"/>
                <w:sz w:val="20"/>
                <w:szCs w:val="20"/>
              </w:rPr>
              <w:fldChar w:fldCharType="separate"/>
            </w:r>
            <w:r w:rsidR="00C41E32" w:rsidRPr="002A5174">
              <w:rPr>
                <w:rFonts w:ascii="Arial" w:hAnsi="Arial" w:cs="Arial"/>
                <w:noProof/>
                <w:sz w:val="20"/>
                <w:szCs w:val="20"/>
                <w:lang w:val="en-AU"/>
              </w:rPr>
              <w:t xml:space="preserve">(Waterhouse et al., </w:t>
            </w:r>
            <w:r w:rsidR="00917941" w:rsidRPr="002A5174">
              <w:rPr>
                <w:rFonts w:ascii="Arial" w:hAnsi="Arial" w:cs="Arial"/>
                <w:noProof/>
                <w:sz w:val="20"/>
                <w:szCs w:val="20"/>
                <w:lang w:val="en-AU"/>
              </w:rPr>
              <w:t>2017</w:t>
            </w:r>
            <w:r w:rsidR="00C41E32" w:rsidRPr="002A5174">
              <w:rPr>
                <w:rFonts w:ascii="Arial" w:hAnsi="Arial" w:cs="Arial"/>
                <w:noProof/>
                <w:sz w:val="20"/>
                <w:szCs w:val="20"/>
                <w:lang w:val="en-AU"/>
              </w:rPr>
              <w:t>)</w:t>
            </w:r>
            <w:r w:rsidR="00C41E32" w:rsidRPr="002A5174">
              <w:rPr>
                <w:rFonts w:cs="Arial"/>
                <w:sz w:val="20"/>
                <w:szCs w:val="20"/>
              </w:rPr>
              <w:fldChar w:fldCharType="end"/>
            </w:r>
            <w:r w:rsidR="00C41E32" w:rsidRPr="002A5174">
              <w:rPr>
                <w:rFonts w:ascii="Arial" w:hAnsi="Arial" w:cs="Arial"/>
                <w:sz w:val="20"/>
                <w:szCs w:val="20"/>
                <w:lang w:val="en-AU"/>
              </w:rPr>
              <w:t>.</w:t>
            </w:r>
          </w:p>
          <w:p w14:paraId="6D373A25" w14:textId="77777777" w:rsidR="0084058F" w:rsidRPr="002A5174" w:rsidRDefault="0084058F" w:rsidP="001A4D90">
            <w:pPr>
              <w:spacing w:before="0" w:after="0" w:line="240" w:lineRule="auto"/>
              <w:contextualSpacing/>
              <w:rPr>
                <w:rFonts w:ascii="Arial" w:hAnsi="Arial" w:cs="Arial"/>
                <w:sz w:val="20"/>
                <w:szCs w:val="20"/>
                <w:lang w:val="en-AU"/>
              </w:rPr>
            </w:pPr>
          </w:p>
          <w:p w14:paraId="7ABE8943" w14:textId="51775100" w:rsidR="0084058F" w:rsidRPr="002A5174" w:rsidRDefault="0084058F" w:rsidP="001A4D90">
            <w:pPr>
              <w:spacing w:before="0" w:after="0" w:line="240" w:lineRule="auto"/>
              <w:contextualSpacing/>
              <w:rPr>
                <w:rStyle w:val="BookTitle"/>
                <w:rFonts w:ascii="Arial" w:eastAsia="Calibri" w:hAnsi="Arial" w:cs="Arial"/>
                <w:lang w:val="en-AU"/>
              </w:rPr>
            </w:pPr>
            <w:r w:rsidRPr="002A5174">
              <w:rPr>
                <w:rFonts w:ascii="Arial" w:hAnsi="Arial" w:cs="Arial"/>
                <w:sz w:val="20"/>
                <w:szCs w:val="20"/>
                <w:lang w:val="en-AU"/>
              </w:rPr>
              <w:t xml:space="preserve">The river loads provide the amount of a pollutant that has been delivered along the Reef. The </w:t>
            </w:r>
            <w:r w:rsidRPr="002A5174">
              <w:rPr>
                <w:rFonts w:ascii="Arial" w:hAnsi="Arial" w:cs="Arial"/>
                <w:i/>
                <w:sz w:val="20"/>
                <w:szCs w:val="20"/>
                <w:lang w:val="en-AU"/>
              </w:rPr>
              <w:t>in</w:t>
            </w:r>
            <w:r w:rsidR="004A5A69" w:rsidRPr="002A5174">
              <w:rPr>
                <w:rFonts w:ascii="Arial" w:hAnsi="Arial" w:cs="Arial"/>
                <w:i/>
                <w:sz w:val="20"/>
                <w:szCs w:val="20"/>
                <w:lang w:val="en-AU"/>
              </w:rPr>
              <w:t xml:space="preserve"> </w:t>
            </w:r>
            <w:r w:rsidRPr="002A5174">
              <w:rPr>
                <w:rFonts w:ascii="Arial" w:hAnsi="Arial" w:cs="Arial"/>
                <w:i/>
                <w:sz w:val="20"/>
                <w:szCs w:val="20"/>
                <w:lang w:val="en-AU"/>
              </w:rPr>
              <w:t>situ</w:t>
            </w:r>
            <w:r w:rsidRPr="002A5174">
              <w:rPr>
                <w:rFonts w:ascii="Arial" w:hAnsi="Arial" w:cs="Arial"/>
                <w:sz w:val="20"/>
                <w:szCs w:val="20"/>
                <w:lang w:val="en-AU"/>
              </w:rPr>
              <w:t xml:space="preserve"> data provides the pollutant mass variation as a function of the river plume movement away from the river mouth. The satellite imagery provides the direction and intensity </w:t>
            </w:r>
            <w:r w:rsidR="000547F6" w:rsidRPr="002A5174">
              <w:rPr>
                <w:rFonts w:ascii="Arial" w:hAnsi="Arial" w:cs="Arial"/>
                <w:sz w:val="20"/>
                <w:szCs w:val="20"/>
                <w:lang w:val="en-AU"/>
              </w:rPr>
              <w:t xml:space="preserve">of the </w:t>
            </w:r>
            <w:r w:rsidRPr="002A5174">
              <w:rPr>
                <w:rFonts w:ascii="Arial" w:hAnsi="Arial" w:cs="Arial"/>
                <w:sz w:val="20"/>
                <w:szCs w:val="20"/>
                <w:lang w:val="en-AU"/>
              </w:rPr>
              <w:t xml:space="preserve">the pollutant mass </w:t>
            </w:r>
            <w:r w:rsidR="000547F6" w:rsidRPr="002A5174">
              <w:rPr>
                <w:rFonts w:ascii="Arial" w:hAnsi="Arial" w:cs="Arial"/>
                <w:sz w:val="20"/>
                <w:szCs w:val="20"/>
                <w:lang w:val="en-AU"/>
              </w:rPr>
              <w:t xml:space="preserve">as it </w:t>
            </w:r>
            <w:r w:rsidRPr="002A5174">
              <w:rPr>
                <w:rFonts w:ascii="Arial" w:hAnsi="Arial" w:cs="Arial"/>
                <w:sz w:val="20"/>
                <w:szCs w:val="20"/>
                <w:lang w:val="en-AU"/>
              </w:rPr>
              <w:t xml:space="preserve">is transported over the Reef lagoon. </w:t>
            </w:r>
            <w:r w:rsidR="000547F6" w:rsidRPr="002A5174">
              <w:rPr>
                <w:rFonts w:ascii="Arial" w:hAnsi="Arial" w:cs="Arial"/>
                <w:sz w:val="20"/>
                <w:szCs w:val="20"/>
                <w:lang w:val="en-AU"/>
              </w:rPr>
              <w:t>Therefore</w:t>
            </w:r>
            <w:r w:rsidRPr="002A5174">
              <w:rPr>
                <w:rFonts w:ascii="Arial" w:hAnsi="Arial" w:cs="Arial"/>
                <w:sz w:val="20"/>
                <w:szCs w:val="20"/>
                <w:lang w:val="en-AU"/>
              </w:rPr>
              <w:t>, this method produces maps of pollutants dispersion in the Reef waters expressed in mass per area and concentration.</w:t>
            </w:r>
            <w:r w:rsidRPr="002A5174">
              <w:rPr>
                <w:rFonts w:ascii="Arial" w:eastAsiaTheme="minorHAnsi" w:hAnsi="Arial" w:cs="Arial"/>
                <w:sz w:val="20"/>
                <w:szCs w:val="20"/>
                <w:lang w:val="en-AU"/>
              </w:rPr>
              <w:t xml:space="preserve"> </w:t>
            </w:r>
          </w:p>
        </w:tc>
        <w:tc>
          <w:tcPr>
            <w:tcW w:w="1304" w:type="pct"/>
            <w:hideMark/>
          </w:tcPr>
          <w:p w14:paraId="7AA4B7DD" w14:textId="77777777" w:rsidR="0084058F" w:rsidRPr="002A5174" w:rsidRDefault="0084058F" w:rsidP="001A4D90">
            <w:pPr>
              <w:spacing w:before="0" w:after="0" w:line="240" w:lineRule="auto"/>
              <w:contextualSpacing/>
              <w:rPr>
                <w:rStyle w:val="BookTitle"/>
                <w:rFonts w:ascii="Arial" w:eastAsia="Calibri" w:hAnsi="Arial" w:cs="Arial"/>
                <w:lang w:val="en-AU" w:bidi="ar-SA"/>
              </w:rPr>
            </w:pPr>
            <w:r w:rsidRPr="002A5174">
              <w:rPr>
                <w:rStyle w:val="BookTitle"/>
                <w:rFonts w:ascii="Arial" w:eastAsia="Calibri" w:hAnsi="Arial" w:cs="Arial"/>
              </w:rPr>
              <w:t>Reef wide and regional</w:t>
            </w:r>
          </w:p>
          <w:p w14:paraId="1C2E821D" w14:textId="77777777" w:rsidR="0084058F" w:rsidRPr="002A5174" w:rsidRDefault="0084058F" w:rsidP="001A4D90">
            <w:pPr>
              <w:pStyle w:val="ListParagraph"/>
              <w:spacing w:before="0" w:after="0" w:line="240" w:lineRule="auto"/>
              <w:ind w:left="0"/>
              <w:rPr>
                <w:rStyle w:val="BookTitle"/>
                <w:rFonts w:ascii="Arial" w:eastAsia="Calibri" w:hAnsi="Arial" w:cs="Arial"/>
                <w:lang w:val="en-AU"/>
              </w:rPr>
            </w:pPr>
            <w:r w:rsidRPr="002A5174">
              <w:rPr>
                <w:rStyle w:val="BookTitle"/>
                <w:rFonts w:ascii="Arial" w:eastAsia="Calibri" w:hAnsi="Arial" w:cs="Arial"/>
              </w:rPr>
              <w:t>Annual or long-term</w:t>
            </w:r>
          </w:p>
        </w:tc>
      </w:tr>
      <w:tr w:rsidR="0084058F" w:rsidRPr="002A5174" w14:paraId="51E6A802" w14:textId="77777777" w:rsidTr="007D0761">
        <w:tc>
          <w:tcPr>
            <w:tcW w:w="883" w:type="pct"/>
            <w:hideMark/>
          </w:tcPr>
          <w:p w14:paraId="6D312B00" w14:textId="77777777" w:rsidR="0084058F" w:rsidRPr="002A5174" w:rsidRDefault="0084058F" w:rsidP="001A4D90">
            <w:pPr>
              <w:spacing w:before="0" w:after="0" w:line="240" w:lineRule="auto"/>
              <w:contextualSpacing/>
              <w:rPr>
                <w:rStyle w:val="BookTitle"/>
                <w:rFonts w:ascii="Arial" w:eastAsia="Calibri" w:hAnsi="Arial" w:cs="Arial"/>
                <w:lang w:val="en-AU"/>
              </w:rPr>
            </w:pPr>
            <w:r w:rsidRPr="002A5174">
              <w:rPr>
                <w:rStyle w:val="BookTitle"/>
                <w:rFonts w:ascii="Arial" w:eastAsia="Calibri" w:hAnsi="Arial" w:cs="Arial"/>
                <w:lang w:val="en-AU"/>
              </w:rPr>
              <w:t xml:space="preserve">Wet season exposure maps </w:t>
            </w:r>
          </w:p>
        </w:tc>
        <w:tc>
          <w:tcPr>
            <w:tcW w:w="2813" w:type="pct"/>
            <w:hideMark/>
          </w:tcPr>
          <w:p w14:paraId="124B8DAC" w14:textId="3193C52D" w:rsidR="0084058F" w:rsidRPr="002A5174" w:rsidRDefault="0084058F" w:rsidP="001A4D90">
            <w:pPr>
              <w:spacing w:before="0" w:after="0" w:line="240" w:lineRule="auto"/>
              <w:contextualSpacing/>
              <w:rPr>
                <w:rStyle w:val="BookTitle"/>
                <w:rFonts w:ascii="Arial" w:eastAsia="Calibri" w:hAnsi="Arial" w:cs="Arial"/>
                <w:lang w:val="en-AU"/>
              </w:rPr>
            </w:pPr>
            <w:r w:rsidRPr="002A5174">
              <w:rPr>
                <w:rStyle w:val="BookTitle"/>
                <w:rFonts w:ascii="Arial" w:eastAsia="Calibri" w:hAnsi="Arial" w:cs="Arial"/>
              </w:rPr>
              <w:t>Product in development aiming to map the exposure and potential risk of Reef ecosystems from river plume</w:t>
            </w:r>
            <w:r w:rsidR="00325989" w:rsidRPr="002A5174">
              <w:rPr>
                <w:rStyle w:val="BookTitle"/>
                <w:rFonts w:ascii="Arial" w:eastAsia="Calibri" w:hAnsi="Arial" w:cs="Arial"/>
              </w:rPr>
              <w:t>, sediment resuspension</w:t>
            </w:r>
            <w:r w:rsidRPr="002A5174">
              <w:rPr>
                <w:rStyle w:val="BookTitle"/>
                <w:rFonts w:ascii="Arial" w:eastAsia="Calibri" w:hAnsi="Arial" w:cs="Arial"/>
              </w:rPr>
              <w:t xml:space="preserve"> and land-sourced pollutant exposure. </w:t>
            </w:r>
          </w:p>
          <w:p w14:paraId="7786BDE6" w14:textId="21E4D72F" w:rsidR="0084058F" w:rsidRPr="002A5174" w:rsidRDefault="0084058F" w:rsidP="001A4D90">
            <w:pPr>
              <w:spacing w:before="0" w:after="0" w:line="240" w:lineRule="auto"/>
              <w:contextualSpacing/>
              <w:rPr>
                <w:rStyle w:val="BookTitle"/>
                <w:rFonts w:ascii="Arial" w:eastAsia="Calibri" w:hAnsi="Arial" w:cs="Arial"/>
                <w:lang w:val="en-AU"/>
              </w:rPr>
            </w:pPr>
            <w:r w:rsidRPr="002A5174">
              <w:rPr>
                <w:rStyle w:val="BookTitle"/>
                <w:rFonts w:ascii="Arial" w:eastAsia="Calibri" w:hAnsi="Arial" w:cs="Arial"/>
              </w:rPr>
              <w:t xml:space="preserve">This product uses a magnitude × likelihood framework. The ‘potential risk’ corresponds to an exposure to above guideline concentrations of land-sourced pollutants during the wet season and focuses on TSS, </w:t>
            </w:r>
            <w:r w:rsidR="004F29DF" w:rsidRPr="002A5174">
              <w:rPr>
                <w:rFonts w:ascii="Arial" w:hAnsi="Arial" w:cs="Arial"/>
                <w:sz w:val="20"/>
                <w:szCs w:val="20"/>
              </w:rPr>
              <w:t>Chl-</w:t>
            </w:r>
            <w:r w:rsidR="004F29DF" w:rsidRPr="002A5174">
              <w:rPr>
                <w:rFonts w:ascii="Arial" w:hAnsi="Arial" w:cs="Arial"/>
                <w:i/>
                <w:sz w:val="20"/>
                <w:szCs w:val="20"/>
              </w:rPr>
              <w:t>a</w:t>
            </w:r>
            <w:r w:rsidRPr="002A5174">
              <w:rPr>
                <w:rStyle w:val="BookTitle"/>
                <w:rFonts w:ascii="Arial" w:eastAsia="Calibri" w:hAnsi="Arial" w:cs="Arial"/>
              </w:rPr>
              <w:t>, PP and PN concentrations. The ‘magnitude of the exposure’ corresponds to the mean wet season concentration of pollutants (proportional exceedance of the guideline) mapped through the Primary, Secondary and Tertiary water types. The ‘likelihood of the exposure’ is estimated by calculating the frequency of occurrence of each wet season water type. The exposure for each of the water quality parameters defined is the proportional exceedance of the guideline multiplied by the likelihood of exposure in each of the wet season water type</w:t>
            </w:r>
            <w:r w:rsidR="000547F6" w:rsidRPr="002A5174">
              <w:rPr>
                <w:rStyle w:val="BookTitle"/>
                <w:rFonts w:ascii="Arial" w:eastAsia="Calibri" w:hAnsi="Arial" w:cs="Arial"/>
              </w:rPr>
              <w:t>s.</w:t>
            </w:r>
          </w:p>
        </w:tc>
        <w:tc>
          <w:tcPr>
            <w:tcW w:w="1304" w:type="pct"/>
            <w:hideMark/>
          </w:tcPr>
          <w:p w14:paraId="07300629" w14:textId="77777777" w:rsidR="0084058F" w:rsidRPr="002A5174" w:rsidRDefault="0084058F" w:rsidP="001A4D90">
            <w:pPr>
              <w:spacing w:before="0" w:after="0" w:line="240" w:lineRule="auto"/>
              <w:contextualSpacing/>
              <w:rPr>
                <w:rStyle w:val="BookTitle"/>
                <w:rFonts w:ascii="Arial" w:eastAsia="Calibri" w:hAnsi="Arial" w:cs="Arial"/>
                <w:lang w:val="en-AU" w:bidi="ar-SA"/>
              </w:rPr>
            </w:pPr>
            <w:r w:rsidRPr="002A5174">
              <w:rPr>
                <w:rStyle w:val="BookTitle"/>
                <w:rFonts w:ascii="Arial" w:eastAsia="Calibri" w:hAnsi="Arial" w:cs="Arial"/>
              </w:rPr>
              <w:t>Reef wide and regional</w:t>
            </w:r>
          </w:p>
          <w:p w14:paraId="5869120F" w14:textId="77777777" w:rsidR="0084058F" w:rsidRPr="002A5174" w:rsidRDefault="0084058F" w:rsidP="001A4D90">
            <w:pPr>
              <w:pStyle w:val="ListParagraph"/>
              <w:spacing w:before="0" w:after="0" w:line="240" w:lineRule="auto"/>
              <w:ind w:left="0"/>
              <w:rPr>
                <w:rStyle w:val="BookTitle"/>
                <w:rFonts w:ascii="Arial" w:eastAsia="Calibri" w:hAnsi="Arial" w:cs="Arial"/>
                <w:lang w:val="en-AU"/>
              </w:rPr>
            </w:pPr>
            <w:r w:rsidRPr="002A5174">
              <w:rPr>
                <w:rStyle w:val="BookTitle"/>
                <w:rFonts w:ascii="Arial" w:eastAsia="Calibri" w:hAnsi="Arial" w:cs="Arial"/>
              </w:rPr>
              <w:t>Annual or long-term</w:t>
            </w:r>
          </w:p>
        </w:tc>
      </w:tr>
      <w:tr w:rsidR="007D0761" w:rsidRPr="002A5174" w14:paraId="12A7CA6B" w14:textId="77777777" w:rsidTr="007D0761">
        <w:tc>
          <w:tcPr>
            <w:tcW w:w="883" w:type="pct"/>
            <w:hideMark/>
          </w:tcPr>
          <w:p w14:paraId="18C83769" w14:textId="5E092211" w:rsidR="007D0761" w:rsidRPr="002A5174" w:rsidRDefault="007D0761" w:rsidP="001A4D90">
            <w:pPr>
              <w:spacing w:before="0" w:after="0" w:line="240" w:lineRule="auto"/>
              <w:contextualSpacing/>
              <w:rPr>
                <w:rStyle w:val="BookTitle"/>
                <w:rFonts w:ascii="Arial" w:eastAsia="Calibri" w:hAnsi="Arial" w:cs="Arial"/>
                <w:lang w:val="en-AU"/>
              </w:rPr>
            </w:pPr>
            <w:r w:rsidRPr="002A5174">
              <w:rPr>
                <w:rStyle w:val="BookTitle"/>
                <w:rFonts w:ascii="Arial" w:eastAsia="Calibri" w:hAnsi="Arial" w:cs="Arial"/>
                <w:lang w:val="en-AU"/>
              </w:rPr>
              <w:t xml:space="preserve">Exposure </w:t>
            </w:r>
            <w:r w:rsidR="000547F6" w:rsidRPr="002A5174">
              <w:rPr>
                <w:rStyle w:val="BookTitle"/>
                <w:rFonts w:ascii="Arial" w:eastAsia="Calibri" w:hAnsi="Arial" w:cs="Arial"/>
                <w:lang w:val="en-AU"/>
              </w:rPr>
              <w:t xml:space="preserve">assessment </w:t>
            </w:r>
            <w:r w:rsidRPr="002A5174">
              <w:rPr>
                <w:rStyle w:val="BookTitle"/>
                <w:rFonts w:ascii="Arial" w:eastAsia="Calibri" w:hAnsi="Arial" w:cs="Arial"/>
                <w:lang w:val="en-AU"/>
              </w:rPr>
              <w:t xml:space="preserve">of coral reefs and seagrass beds </w:t>
            </w:r>
          </w:p>
        </w:tc>
        <w:tc>
          <w:tcPr>
            <w:tcW w:w="2813" w:type="pct"/>
            <w:hideMark/>
          </w:tcPr>
          <w:p w14:paraId="54027316" w14:textId="2AE3E18E" w:rsidR="007D0761" w:rsidRPr="002A5174" w:rsidRDefault="007D0761" w:rsidP="001A4D90">
            <w:pPr>
              <w:spacing w:before="0" w:after="0" w:line="240" w:lineRule="auto"/>
              <w:contextualSpacing/>
              <w:rPr>
                <w:rStyle w:val="BookTitle"/>
                <w:rFonts w:ascii="Arial" w:eastAsia="Calibri" w:hAnsi="Arial" w:cs="Arial"/>
                <w:lang w:val="en-AU"/>
              </w:rPr>
            </w:pPr>
            <w:r w:rsidRPr="002A5174">
              <w:rPr>
                <w:rStyle w:val="BookTitle"/>
                <w:rFonts w:ascii="Arial" w:eastAsia="Calibri" w:hAnsi="Arial" w:cs="Arial"/>
                <w:lang w:val="en-AU"/>
              </w:rPr>
              <w:t>Assess the exposure of key Reef ecosystems to river plume and potential risk from this exposure. Expressed as the area (km</w:t>
            </w:r>
            <w:r w:rsidRPr="002A5174">
              <w:rPr>
                <w:rStyle w:val="BookTitle"/>
                <w:rFonts w:ascii="Arial" w:eastAsia="Calibri" w:hAnsi="Arial" w:cs="Arial"/>
                <w:vertAlign w:val="superscript"/>
                <w:lang w:val="en-AU"/>
              </w:rPr>
              <w:t>2</w:t>
            </w:r>
            <w:r w:rsidRPr="002A5174">
              <w:rPr>
                <w:rStyle w:val="BookTitle"/>
                <w:rFonts w:ascii="Arial" w:eastAsia="Calibri" w:hAnsi="Arial" w:cs="Arial"/>
                <w:lang w:val="en-AU"/>
              </w:rPr>
              <w:t>) and percentage (%) of coral reefs and seagrass meadows exposed.</w:t>
            </w:r>
          </w:p>
          <w:p w14:paraId="7D05F8D1" w14:textId="77777777" w:rsidR="007D0761" w:rsidRPr="002A5174" w:rsidRDefault="007D0761" w:rsidP="001A4D90">
            <w:pPr>
              <w:spacing w:before="0" w:after="0" w:line="240" w:lineRule="auto"/>
              <w:contextualSpacing/>
              <w:rPr>
                <w:rStyle w:val="BookTitle"/>
                <w:rFonts w:ascii="Arial" w:eastAsia="Calibri" w:hAnsi="Arial" w:cs="Arial"/>
                <w:lang w:val="en-AU"/>
              </w:rPr>
            </w:pPr>
          </w:p>
          <w:p w14:paraId="6927645B" w14:textId="0350DFED" w:rsidR="007D0761" w:rsidRPr="002A5174" w:rsidRDefault="007D0761" w:rsidP="001A4D90">
            <w:pPr>
              <w:spacing w:before="0" w:after="0" w:line="240" w:lineRule="auto"/>
              <w:contextualSpacing/>
              <w:rPr>
                <w:rStyle w:val="BookTitle"/>
                <w:rFonts w:ascii="Arial" w:eastAsia="Calibri" w:hAnsi="Arial" w:cs="Arial"/>
                <w:lang w:val="en-AU"/>
              </w:rPr>
            </w:pPr>
            <w:r w:rsidRPr="002A5174">
              <w:rPr>
                <w:rStyle w:val="BookTitle"/>
                <w:rFonts w:ascii="Arial" w:eastAsia="Calibri" w:hAnsi="Arial" w:cs="Arial"/>
                <w:lang w:val="en-AU"/>
              </w:rPr>
              <w:t>Assume</w:t>
            </w:r>
            <w:r w:rsidR="000547F6" w:rsidRPr="002A5174">
              <w:rPr>
                <w:rStyle w:val="BookTitle"/>
                <w:rFonts w:ascii="Arial" w:eastAsia="Calibri" w:hAnsi="Arial" w:cs="Arial"/>
                <w:lang w:val="en-AU"/>
              </w:rPr>
              <w:t>s</w:t>
            </w:r>
            <w:r w:rsidRPr="002A5174">
              <w:rPr>
                <w:rStyle w:val="BookTitle"/>
                <w:rFonts w:ascii="Arial" w:eastAsia="Calibri" w:hAnsi="Arial" w:cs="Arial"/>
                <w:lang w:val="en-AU"/>
              </w:rPr>
              <w:t xml:space="preserve"> that historical reef and coral shapefiles can be used to assess the coral and seagrass location (stable over years)</w:t>
            </w:r>
          </w:p>
        </w:tc>
        <w:tc>
          <w:tcPr>
            <w:tcW w:w="1304" w:type="pct"/>
            <w:hideMark/>
          </w:tcPr>
          <w:p w14:paraId="2741EFC5" w14:textId="77777777" w:rsidR="007D0761" w:rsidRPr="002A5174" w:rsidRDefault="007D0761" w:rsidP="001A4D90">
            <w:pPr>
              <w:pStyle w:val="ListParagraph"/>
              <w:spacing w:before="0" w:after="0" w:line="240" w:lineRule="auto"/>
              <w:ind w:left="0"/>
              <w:rPr>
                <w:rStyle w:val="BookTitle"/>
                <w:rFonts w:ascii="Arial" w:eastAsia="Calibri" w:hAnsi="Arial" w:cs="Arial"/>
                <w:lang w:val="en-AU"/>
              </w:rPr>
            </w:pPr>
            <w:r w:rsidRPr="002A5174">
              <w:rPr>
                <w:rStyle w:val="BookTitle"/>
                <w:rFonts w:ascii="Arial" w:eastAsia="Calibri" w:hAnsi="Arial" w:cs="Arial"/>
                <w:lang w:val="en-AU"/>
              </w:rPr>
              <w:t>Reef wide, regional, ecosystem</w:t>
            </w:r>
          </w:p>
          <w:p w14:paraId="279823F2" w14:textId="3999CB22" w:rsidR="007D0761" w:rsidRPr="002A5174" w:rsidRDefault="0063499B" w:rsidP="001A4D90">
            <w:pPr>
              <w:pStyle w:val="ListParagraph"/>
              <w:spacing w:before="0" w:after="0" w:line="240" w:lineRule="auto"/>
              <w:ind w:left="0"/>
              <w:rPr>
                <w:rStyle w:val="BookTitle"/>
                <w:rFonts w:ascii="Arial" w:eastAsia="Calibri" w:hAnsi="Arial" w:cs="Arial"/>
                <w:lang w:val="en-AU"/>
              </w:rPr>
            </w:pPr>
            <w:r w:rsidRPr="002A5174">
              <w:rPr>
                <w:rStyle w:val="BookTitle"/>
                <w:rFonts w:ascii="Arial" w:eastAsia="Calibri" w:hAnsi="Arial" w:cs="Arial"/>
                <w:lang w:val="en-AU"/>
              </w:rPr>
              <w:t>Annual or long-term</w:t>
            </w:r>
          </w:p>
        </w:tc>
      </w:tr>
    </w:tbl>
    <w:p w14:paraId="4A0D13A2" w14:textId="338570E4" w:rsidR="00FE2F59" w:rsidRPr="007177E2" w:rsidRDefault="000547F6" w:rsidP="00FE2F59">
      <w:pPr>
        <w:rPr>
          <w:rStyle w:val="BookTitle"/>
          <w:rFonts w:ascii="Arial" w:eastAsia="Calibri" w:hAnsi="Arial" w:cs="Arial"/>
          <w:sz w:val="18"/>
          <w:szCs w:val="18"/>
        </w:rPr>
      </w:pPr>
      <w:r>
        <w:t xml:space="preserve"> </w:t>
      </w:r>
      <w:r w:rsidR="00B17A11">
        <w:tab/>
      </w:r>
      <w:r w:rsidRPr="007177E2">
        <w:rPr>
          <w:sz w:val="18"/>
          <w:szCs w:val="18"/>
        </w:rPr>
        <w:t>Note: “Annual” refers to the wet season only (c.a., December to April, inclusive)</w:t>
      </w:r>
    </w:p>
    <w:p w14:paraId="72B7007F" w14:textId="77777777" w:rsidR="001F3FBC" w:rsidRPr="009D38B3" w:rsidRDefault="001F3FBC" w:rsidP="00F531E9">
      <w:pPr>
        <w:pStyle w:val="Heading2"/>
      </w:pPr>
      <w:bookmarkStart w:id="182" w:name="_Toc483566459"/>
      <w:bookmarkStart w:id="183" w:name="_Toc489452353"/>
      <w:bookmarkStart w:id="184" w:name="_Toc520727833"/>
      <w:bookmarkStart w:id="185" w:name="_Toc12365577"/>
      <w:bookmarkStart w:id="186" w:name="_Toc483566460"/>
      <w:r w:rsidRPr="00F531E9">
        <w:t>Automated</w:t>
      </w:r>
      <w:r>
        <w:t xml:space="preserve"> production</w:t>
      </w:r>
      <w:r w:rsidRPr="00FD566C">
        <w:t xml:space="preserve"> and storage of the </w:t>
      </w:r>
      <w:r w:rsidRPr="001F3FBC">
        <w:t>MODIS</w:t>
      </w:r>
      <w:r w:rsidRPr="00FD566C">
        <w:t xml:space="preserve"> </w:t>
      </w:r>
      <w:r>
        <w:t>wet season water type maps</w:t>
      </w:r>
      <w:bookmarkEnd w:id="182"/>
      <w:bookmarkEnd w:id="183"/>
      <w:bookmarkEnd w:id="184"/>
      <w:bookmarkEnd w:id="185"/>
    </w:p>
    <w:p w14:paraId="719AEF63" w14:textId="212FEA6A" w:rsidR="00FE2F59" w:rsidRPr="00FD566C" w:rsidRDefault="00FE2F59" w:rsidP="0067588D">
      <w:pPr>
        <w:pStyle w:val="Heading3"/>
      </w:pPr>
      <w:bookmarkStart w:id="187" w:name="_Toc520727834"/>
      <w:bookmarkStart w:id="188" w:name="_Toc12365578"/>
      <w:r w:rsidRPr="00FD566C">
        <w:t xml:space="preserve">From </w:t>
      </w:r>
      <w:r w:rsidR="00A50DF4">
        <w:t>raw data</w:t>
      </w:r>
      <w:r w:rsidRPr="00FD566C">
        <w:t xml:space="preserve"> to </w:t>
      </w:r>
      <w:r w:rsidRPr="001F3FBC">
        <w:t>true</w:t>
      </w:r>
      <w:r w:rsidRPr="00FD566C">
        <w:t xml:space="preserve"> colo</w:t>
      </w:r>
      <w:r>
        <w:t>u</w:t>
      </w:r>
      <w:r w:rsidRPr="00FD566C">
        <w:t>r</w:t>
      </w:r>
      <w:r>
        <w:t xml:space="preserve"> MODIS</w:t>
      </w:r>
      <w:r w:rsidRPr="00FD566C">
        <w:t xml:space="preserve"> data</w:t>
      </w:r>
      <w:bookmarkEnd w:id="186"/>
      <w:bookmarkEnd w:id="187"/>
      <w:bookmarkEnd w:id="188"/>
    </w:p>
    <w:p w14:paraId="5FDE8E7E" w14:textId="3186A5BE" w:rsidR="001F3FBC" w:rsidRDefault="001F3FBC" w:rsidP="00ED5E1F">
      <w:pPr>
        <w:contextualSpacing/>
      </w:pPr>
      <w:r>
        <w:t xml:space="preserve">Until 2016, </w:t>
      </w:r>
      <w:r w:rsidRPr="00A64BC2">
        <w:t xml:space="preserve">MODIS remote sensing L0 (raw) data </w:t>
      </w:r>
      <w:r>
        <w:t>were</w:t>
      </w:r>
      <w:r w:rsidRPr="00A64BC2">
        <w:t xml:space="preserve"> ordered from the NASA Ocean Colour website </w:t>
      </w:r>
      <w:r w:rsidR="00954C0A">
        <w:t>(</w:t>
      </w:r>
      <w:hyperlink r:id="rId41" w:history="1">
        <w:r w:rsidR="00954C0A" w:rsidRPr="00954C0A">
          <w:rPr>
            <w:rStyle w:val="Hyperlink"/>
          </w:rPr>
          <w:t>http://oceancolor.gsfc.nasa.gov/</w:t>
        </w:r>
      </w:hyperlink>
      <w:r w:rsidR="00954C0A">
        <w:rPr>
          <w:rStyle w:val="Hyperlink"/>
        </w:rPr>
        <w:t>)</w:t>
      </w:r>
      <w:r w:rsidRPr="00A64BC2">
        <w:t xml:space="preserve"> </w:t>
      </w:r>
      <w:r>
        <w:t>and processed in-house by TropWATER. A</w:t>
      </w:r>
      <w:r w:rsidRPr="00A64BC2">
        <w:t xml:space="preserve"> routine written in R </w:t>
      </w:r>
      <w:r>
        <w:t>was</w:t>
      </w:r>
      <w:r w:rsidRPr="00A64BC2">
        <w:t xml:space="preserve"> used </w:t>
      </w:r>
      <w:r>
        <w:t>to</w:t>
      </w:r>
      <w:r w:rsidRPr="00A64BC2">
        <w:t xml:space="preserve"> download </w:t>
      </w:r>
      <w:r>
        <w:t>the data and a</w:t>
      </w:r>
      <w:r w:rsidRPr="00A64BC2">
        <w:t xml:space="preserve"> set of IDL/SeaDAS (SeaWiFS Data Analysis System) routines </w:t>
      </w:r>
      <w:r>
        <w:t>was</w:t>
      </w:r>
      <w:r w:rsidRPr="00A64BC2">
        <w:t xml:space="preserve"> implemented to process MODIS Aqua data from Level-0 to true colour images</w:t>
      </w:r>
      <w:r w:rsidR="00505ECC">
        <w:t xml:space="preserve"> </w:t>
      </w:r>
      <w:r w:rsidR="00FC7CCA">
        <w:fldChar w:fldCharType="begin"/>
      </w:r>
      <w:r w:rsidR="00FC7CCA">
        <w:instrText xml:space="preserve"> ADDIN EN.CITE &lt;EndNote&gt;&lt;Cite&gt;&lt;Author&gt;Baith&lt;/Author&gt;&lt;Year&gt;2001&lt;/Year&gt;&lt;RecNum&gt;1303&lt;/RecNum&gt;&lt;DisplayText&gt;(Baith et al., 2001)&lt;/DisplayText&gt;&lt;record&gt;&lt;rec-number&gt;1303&lt;/rec-number&gt;&lt;foreign-keys&gt;&lt;key app="EN" db-id="zapfddtwo2e9z5e5vxoxafs7sf59wfp52rvf" timestamp="1558912024"&gt;1303&lt;/key&gt;&lt;/foreign-keys&gt;&lt;ref-type name="Journal Article"&gt;17&lt;/ref-type&gt;&lt;contributors&gt;&lt;authors&gt;&lt;author&gt;Baith, Karen&lt;/author&gt;&lt;author&gt;Lindsay, Robert&lt;/author&gt;&lt;author&gt;Fu, Gary&lt;/author&gt;&lt;author&gt;McClain, Charles R.&lt;/author&gt;&lt;/authors&gt;&lt;/contributors&gt;&lt;titles&gt;&lt;title&gt;Data analysis system developed for ocean color satellite sensors&lt;/title&gt;&lt;secondary-title&gt;Eos, Transactions American Geophysical Union&lt;/secondary-title&gt;&lt;/titles&gt;&lt;periodical&gt;&lt;full-title&gt;Eos, Transactions American Geophysical Union&lt;/full-title&gt;&lt;/periodical&gt;&lt;pages&gt;202-202&lt;/pages&gt;&lt;volume&gt;82&lt;/volume&gt;&lt;number&gt;18&lt;/number&gt;&lt;dates&gt;&lt;year&gt;2001&lt;/year&gt;&lt;/dates&gt;&lt;isbn&gt;0096-3941&lt;/isbn&gt;&lt;urls&gt;&lt;related-urls&gt;&lt;url&gt;https://agupubs.onlinelibrary.wiley.com/doi/abs/10.1029/01EO00109&lt;/url&gt;&lt;/related-urls&gt;&lt;/urls&gt;&lt;electronic-resource-num&gt;10.1029/01eo00109&lt;/electronic-resource-num&gt;&lt;/record&gt;&lt;/Cite&gt;&lt;/EndNote&gt;</w:instrText>
      </w:r>
      <w:r w:rsidR="00FC7CCA">
        <w:fldChar w:fldCharType="separate"/>
      </w:r>
      <w:r w:rsidR="00FC7CCA">
        <w:rPr>
          <w:noProof/>
        </w:rPr>
        <w:t>(Baith et al., 2001)</w:t>
      </w:r>
      <w:r w:rsidR="00FC7CCA">
        <w:fldChar w:fldCharType="end"/>
      </w:r>
      <w:r w:rsidRPr="00A64BC2">
        <w:rPr>
          <w:color w:val="131413"/>
        </w:rPr>
        <w:t xml:space="preserve">. </w:t>
      </w:r>
      <w:r>
        <w:t>In 2016</w:t>
      </w:r>
      <w:r w:rsidR="00954C0A">
        <w:t>–</w:t>
      </w:r>
      <w:r>
        <w:t xml:space="preserve">17, the processing of </w:t>
      </w:r>
      <w:r w:rsidR="008917AE" w:rsidRPr="008917AE">
        <w:t>true colour</w:t>
      </w:r>
      <w:r>
        <w:t xml:space="preserve"> images was handed over to the Bureau of Meteorology. MODIS-Aqua L0 data is routinely downloaded from the NASA </w:t>
      </w:r>
      <w:r w:rsidR="00954C0A">
        <w:t>Ocean Biology Processing Group (</w:t>
      </w:r>
      <w:r>
        <w:t>OBPG</w:t>
      </w:r>
      <w:r w:rsidR="00954C0A">
        <w:t>)</w:t>
      </w:r>
      <w:r>
        <w:t xml:space="preserve"> webpage (</w:t>
      </w:r>
      <w:hyperlink r:id="rId42" w:history="1">
        <w:r>
          <w:rPr>
            <w:rStyle w:val="Hyperlink"/>
          </w:rPr>
          <w:t>https://oceancolor.gsfc.nasa.gov</w:t>
        </w:r>
      </w:hyperlink>
      <w:r>
        <w:rPr>
          <w:rStyle w:val="Hyperlink"/>
        </w:rPr>
        <w:t>/</w:t>
      </w:r>
      <w:r>
        <w:t xml:space="preserve">). Downloaded data is routinely migrated to </w:t>
      </w:r>
      <w:r w:rsidR="00F6290D">
        <w:t xml:space="preserve">external drives </w:t>
      </w:r>
      <w:r>
        <w:t xml:space="preserve">. Observations within the area of interest that are not found on either the rolling or tape archives are downloaded from the OBPG webpage. The MODIS-Aqua L0 is processed using the SeaWiFS Data Analysis System (SeaDAS, version 7.4, </w:t>
      </w:r>
      <w:hyperlink r:id="rId43" w:history="1">
        <w:r>
          <w:rPr>
            <w:rStyle w:val="Hyperlink"/>
          </w:rPr>
          <w:t>https://seadas.gsfc.nasa.gov</w:t>
        </w:r>
      </w:hyperlink>
      <w:r>
        <w:rPr>
          <w:rStyle w:val="Hyperlink"/>
        </w:rPr>
        <w:t>/</w:t>
      </w:r>
      <w:r>
        <w:t>) following several steps:</w:t>
      </w:r>
    </w:p>
    <w:p w14:paraId="780D5668" w14:textId="30580E95" w:rsidR="001F3FBC" w:rsidRPr="00ED5E1F" w:rsidRDefault="001F3FBC" w:rsidP="009F5EFE">
      <w:pPr>
        <w:pStyle w:val="ListParagraph"/>
        <w:numPr>
          <w:ilvl w:val="0"/>
          <w:numId w:val="209"/>
        </w:numPr>
        <w:rPr>
          <w:rFonts w:cs="Arial"/>
        </w:rPr>
      </w:pPr>
      <w:r w:rsidRPr="00ED5E1F">
        <w:rPr>
          <w:rFonts w:cs="Arial"/>
        </w:rPr>
        <w:t xml:space="preserve">L0 data (raw radiance counts </w:t>
      </w:r>
      <w:r w:rsidR="00954C0A">
        <w:rPr>
          <w:rFonts w:cs="Arial"/>
        </w:rPr>
        <w:t xml:space="preserve">— </w:t>
      </w:r>
      <w:r w:rsidRPr="00ED5E1F">
        <w:rPr>
          <w:rFonts w:cs="Arial"/>
        </w:rPr>
        <w:t xml:space="preserve">digital numbers) are processed using the SeaDAS modis_L0_to_L1A.py tool to </w:t>
      </w:r>
      <w:r w:rsidR="003474FC">
        <w:rPr>
          <w:rFonts w:cs="Arial"/>
        </w:rPr>
        <w:t>get</w:t>
      </w:r>
      <w:r w:rsidR="00954C0A" w:rsidRPr="00ED5E1F">
        <w:rPr>
          <w:rFonts w:cs="Arial"/>
        </w:rPr>
        <w:t xml:space="preserve"> </w:t>
      </w:r>
      <w:r w:rsidRPr="00ED5E1F">
        <w:rPr>
          <w:rFonts w:cs="Arial"/>
        </w:rPr>
        <w:t>L1A data at native resolution (250, 500 and 1000</w:t>
      </w:r>
      <w:r w:rsidR="00954C0A">
        <w:rPr>
          <w:rFonts w:cs="Arial"/>
        </w:rPr>
        <w:t xml:space="preserve"> </w:t>
      </w:r>
      <w:r w:rsidRPr="00ED5E1F">
        <w:rPr>
          <w:rFonts w:cs="Arial"/>
        </w:rPr>
        <w:t xml:space="preserve">m); </w:t>
      </w:r>
      <w:r w:rsidR="00954C0A">
        <w:rPr>
          <w:rFonts w:cs="Arial"/>
        </w:rPr>
        <w:t>w</w:t>
      </w:r>
      <w:r w:rsidR="00954C0A" w:rsidRPr="00ED5E1F">
        <w:rPr>
          <w:rFonts w:cs="Arial"/>
        </w:rPr>
        <w:t xml:space="preserve">here </w:t>
      </w:r>
      <w:r w:rsidRPr="00ED5E1F">
        <w:rPr>
          <w:rFonts w:cs="Arial"/>
        </w:rPr>
        <w:t xml:space="preserve">multiple granules are required to cover the region of interest, the SeaDAS pdsmerge tool is used to merge the adjacent granules before being processed to </w:t>
      </w:r>
      <w:r w:rsidR="00383250">
        <w:rPr>
          <w:rFonts w:cs="Arial"/>
        </w:rPr>
        <w:t>make sure</w:t>
      </w:r>
      <w:r w:rsidR="00383250" w:rsidRPr="00ED5E1F">
        <w:rPr>
          <w:rFonts w:cs="Arial"/>
        </w:rPr>
        <w:t xml:space="preserve"> </w:t>
      </w:r>
      <w:r w:rsidRPr="00ED5E1F">
        <w:rPr>
          <w:rFonts w:cs="Arial"/>
        </w:rPr>
        <w:t>that there are no gaps between granules.</w:t>
      </w:r>
    </w:p>
    <w:p w14:paraId="32B8BD6E" w14:textId="3D3439B4" w:rsidR="001F3FBC" w:rsidRPr="00ED5E1F" w:rsidRDefault="001F3FBC" w:rsidP="009F5EFE">
      <w:pPr>
        <w:pStyle w:val="ListParagraph"/>
        <w:numPr>
          <w:ilvl w:val="0"/>
          <w:numId w:val="209"/>
        </w:numPr>
        <w:rPr>
          <w:rFonts w:cs="Arial"/>
        </w:rPr>
      </w:pPr>
      <w:r w:rsidRPr="00ED5E1F">
        <w:rPr>
          <w:rFonts w:cs="Arial"/>
        </w:rPr>
        <w:t>The L1A file is then used to calculate the geometry (GEO file) using the SeaDAS modis_GEO.py tool</w:t>
      </w:r>
      <w:r w:rsidR="00954C0A">
        <w:rPr>
          <w:rFonts w:cs="Arial"/>
        </w:rPr>
        <w:t>.</w:t>
      </w:r>
      <w:r w:rsidRPr="00ED5E1F">
        <w:rPr>
          <w:rFonts w:cs="Arial"/>
        </w:rPr>
        <w:t xml:space="preserve"> </w:t>
      </w:r>
    </w:p>
    <w:p w14:paraId="7448034B" w14:textId="1796847C" w:rsidR="001F3FBC" w:rsidRPr="00ED5E1F" w:rsidRDefault="001F3FBC" w:rsidP="009F5EFE">
      <w:pPr>
        <w:pStyle w:val="ListParagraph"/>
        <w:numPr>
          <w:ilvl w:val="0"/>
          <w:numId w:val="209"/>
        </w:numPr>
        <w:rPr>
          <w:rFonts w:cs="Arial"/>
        </w:rPr>
      </w:pPr>
      <w:r w:rsidRPr="00ED5E1F">
        <w:rPr>
          <w:rFonts w:cs="Arial"/>
        </w:rPr>
        <w:t>The GEO and L1A files are used to compute the calibrated top of atmosphere radiances (L1B data) using the SeaDAS modis_L1B.py tool at native resolution (250, 500 and 1000</w:t>
      </w:r>
      <w:r w:rsidR="00954C0A">
        <w:rPr>
          <w:rFonts w:cs="Arial"/>
        </w:rPr>
        <w:t xml:space="preserve"> </w:t>
      </w:r>
      <w:r w:rsidRPr="00ED5E1F">
        <w:rPr>
          <w:rFonts w:cs="Arial"/>
        </w:rPr>
        <w:t>m)</w:t>
      </w:r>
      <w:r w:rsidR="00954C0A">
        <w:rPr>
          <w:rFonts w:cs="Arial"/>
        </w:rPr>
        <w:t>.</w:t>
      </w:r>
    </w:p>
    <w:p w14:paraId="09B34863" w14:textId="45B646CA" w:rsidR="001F3FBC" w:rsidRPr="00ED5E1F" w:rsidRDefault="001F3FBC" w:rsidP="009F5EFE">
      <w:pPr>
        <w:pStyle w:val="ListParagraph"/>
        <w:numPr>
          <w:ilvl w:val="0"/>
          <w:numId w:val="209"/>
        </w:numPr>
        <w:rPr>
          <w:rFonts w:cs="Arial"/>
        </w:rPr>
      </w:pPr>
      <w:r w:rsidRPr="00ED5E1F">
        <w:rPr>
          <w:rFonts w:cs="Arial"/>
        </w:rPr>
        <w:t>The SeaDAS l1mapgen tool is then used to compute the Rayleigh corrected reflectance for MODIS bands 1 (645 nm at 250</w:t>
      </w:r>
      <w:r w:rsidR="00954C0A">
        <w:rPr>
          <w:rFonts w:cs="Arial"/>
        </w:rPr>
        <w:t xml:space="preserve"> </w:t>
      </w:r>
      <w:r w:rsidRPr="00ED5E1F">
        <w:rPr>
          <w:rFonts w:cs="Arial"/>
        </w:rPr>
        <w:t>m resolution), 4 (555 nm at 1000</w:t>
      </w:r>
      <w:r w:rsidR="00954C0A">
        <w:rPr>
          <w:rFonts w:cs="Arial"/>
        </w:rPr>
        <w:t xml:space="preserve"> </w:t>
      </w:r>
      <w:r w:rsidRPr="00ED5E1F">
        <w:rPr>
          <w:rFonts w:cs="Arial"/>
        </w:rPr>
        <w:t>m resolution) and 3 (469 nm at 1000</w:t>
      </w:r>
      <w:r w:rsidR="00954C0A">
        <w:rPr>
          <w:rFonts w:cs="Arial"/>
        </w:rPr>
        <w:t xml:space="preserve"> </w:t>
      </w:r>
      <w:r w:rsidRPr="00ED5E1F">
        <w:rPr>
          <w:rFonts w:cs="Arial"/>
        </w:rPr>
        <w:t xml:space="preserve">m resolution). </w:t>
      </w:r>
    </w:p>
    <w:p w14:paraId="3DECC66C" w14:textId="7E8BD58B" w:rsidR="001F3FBC" w:rsidRDefault="001F3FBC" w:rsidP="00ED5E1F">
      <w:pPr>
        <w:contextualSpacing/>
      </w:pPr>
      <w:r w:rsidRPr="00CA7B9A">
        <w:t xml:space="preserve">The output of the SEADAS l1mapgen tool is a true colour image in GeoTIFF format. Where multiple granules are required to cover the region of interest, the true colour GeoTIFF images are combined using the imagemagick convert tool. </w:t>
      </w:r>
      <w:r w:rsidR="00C06BE8">
        <w:t>During</w:t>
      </w:r>
      <w:r w:rsidR="00C06BE8" w:rsidRPr="00CA7B9A">
        <w:t xml:space="preserve"> </w:t>
      </w:r>
      <w:r w:rsidRPr="00CA7B9A">
        <w:t>this process</w:t>
      </w:r>
      <w:r w:rsidR="00C06BE8">
        <w:t>,</w:t>
      </w:r>
      <w:r w:rsidRPr="00CA7B9A">
        <w:t xml:space="preserve"> the GeoTIFF location tags are removed. They are added back to the GeoTIFF image </w:t>
      </w:r>
      <w:r w:rsidR="00C06BE8">
        <w:t>via</w:t>
      </w:r>
      <w:r w:rsidR="00C06BE8" w:rsidRPr="00CA7B9A">
        <w:t xml:space="preserve"> </w:t>
      </w:r>
      <w:r w:rsidRPr="00CA7B9A">
        <w:t xml:space="preserve">the use of the GDAL gdalcopyproj.py script. The argument and keywords used are </w:t>
      </w:r>
      <w:r w:rsidR="00C06BE8">
        <w:t xml:space="preserve">shown </w:t>
      </w:r>
      <w:r w:rsidRPr="00CA7B9A">
        <w:t>in</w:t>
      </w:r>
      <w:r w:rsidR="0051554C">
        <w:t xml:space="preserve"> </w:t>
      </w:r>
      <w:r w:rsidR="0051554C">
        <w:fldChar w:fldCharType="begin"/>
      </w:r>
      <w:r w:rsidR="0051554C">
        <w:instrText xml:space="preserve"> REF _Ref14685504 \h </w:instrText>
      </w:r>
      <w:r w:rsidR="0051554C">
        <w:fldChar w:fldCharType="separate"/>
      </w:r>
      <w:r w:rsidR="0051554C" w:rsidRPr="001A4D90">
        <w:t xml:space="preserve">Table </w:t>
      </w:r>
      <w:r w:rsidR="0051554C">
        <w:rPr>
          <w:noProof/>
        </w:rPr>
        <w:t>3</w:t>
      </w:r>
      <w:r w:rsidR="0051554C">
        <w:t>.</w:t>
      </w:r>
      <w:r w:rsidR="0051554C">
        <w:rPr>
          <w:noProof/>
        </w:rPr>
        <w:t>2</w:t>
      </w:r>
      <w:r w:rsidR="0051554C">
        <w:fldChar w:fldCharType="end"/>
      </w:r>
      <w:r>
        <w:t>.</w:t>
      </w:r>
    </w:p>
    <w:p w14:paraId="3F84E983" w14:textId="77777777" w:rsidR="001F3FBC" w:rsidRDefault="001F3FBC" w:rsidP="00ED5E1F">
      <w:pPr>
        <w:contextualSpacing/>
      </w:pPr>
    </w:p>
    <w:p w14:paraId="68FF1CFB" w14:textId="3452233D" w:rsidR="0065581C" w:rsidRPr="00A64BC2" w:rsidRDefault="008917AE" w:rsidP="0065581C">
      <w:pPr>
        <w:rPr>
          <w:b/>
          <w:bCs/>
        </w:rPr>
      </w:pPr>
      <w:r>
        <w:t>T</w:t>
      </w:r>
      <w:r w:rsidRPr="008917AE">
        <w:t>rue colour</w:t>
      </w:r>
      <w:r w:rsidR="0065581C">
        <w:t xml:space="preserve"> images</w:t>
      </w:r>
      <w:r w:rsidR="0065581C" w:rsidRPr="00A64BC2">
        <w:t xml:space="preserve"> </w:t>
      </w:r>
      <w:r w:rsidR="0065581C">
        <w:t xml:space="preserve">have </w:t>
      </w:r>
      <w:r w:rsidR="0065581C" w:rsidRPr="00A64BC2">
        <w:t xml:space="preserve">a spatial </w:t>
      </w:r>
      <w:r w:rsidR="0065581C" w:rsidRPr="0094286D">
        <w:t xml:space="preserve">resolution </w:t>
      </w:r>
      <w:r w:rsidR="0065581C" w:rsidRPr="00041AD1">
        <w:t>of 500 m × 500 m</w:t>
      </w:r>
      <w:r w:rsidR="0065581C" w:rsidRPr="00041AD1" w:rsidDel="00A64BC2">
        <w:t xml:space="preserve"> </w:t>
      </w:r>
      <w:r w:rsidR="0065581C" w:rsidRPr="00041AD1">
        <w:t>and</w:t>
      </w:r>
      <w:r w:rsidR="0065581C" w:rsidRPr="0094286D">
        <w:t xml:space="preserve"> combine three ocean bands (i.e. red, green and blue, RGB) in the</w:t>
      </w:r>
      <w:r w:rsidR="0065581C" w:rsidRPr="00A64BC2">
        <w:t xml:space="preserve"> visible spectrum</w:t>
      </w:r>
      <w:r w:rsidR="0065581C">
        <w:t xml:space="preserve">. </w:t>
      </w:r>
      <w:r w:rsidR="0065581C" w:rsidRPr="00A64BC2">
        <w:t xml:space="preserve">The </w:t>
      </w:r>
      <w:r>
        <w:t>t</w:t>
      </w:r>
      <w:r w:rsidRPr="008917AE">
        <w:t>rue colour</w:t>
      </w:r>
      <w:r w:rsidR="0065581C">
        <w:t>images</w:t>
      </w:r>
      <w:r w:rsidR="0065581C" w:rsidRPr="00A64BC2">
        <w:t xml:space="preserve"> </w:t>
      </w:r>
      <w:r w:rsidR="0065581C">
        <w:t>cover the wet season period (i.e. December</w:t>
      </w:r>
      <w:r w:rsidR="0065581C" w:rsidRPr="00A64BC2">
        <w:t xml:space="preserve"> to April, inclusive</w:t>
      </w:r>
      <w:r w:rsidR="0065581C">
        <w:t xml:space="preserve">) since December 2003 (MODIS mission started in March, 2002). They </w:t>
      </w:r>
      <w:r w:rsidR="0065581C" w:rsidRPr="00A64BC2">
        <w:t xml:space="preserve">have a </w:t>
      </w:r>
      <w:r w:rsidR="0065581C">
        <w:t>daily</w:t>
      </w:r>
      <w:r w:rsidR="0065581C" w:rsidRPr="00A64BC2">
        <w:t xml:space="preserve"> temporal resolution and </w:t>
      </w:r>
      <w:r w:rsidR="0065581C">
        <w:t xml:space="preserve">cover </w:t>
      </w:r>
      <w:r w:rsidR="0065581C" w:rsidRPr="00A64BC2">
        <w:t>the entire Reef area (extreme coordinates: -10.5, -27.0, 142.3 and 154.0).</w:t>
      </w:r>
    </w:p>
    <w:p w14:paraId="28813246" w14:textId="3376EB0F" w:rsidR="001F3FBC" w:rsidRPr="001A4D90" w:rsidRDefault="001F3FBC" w:rsidP="007E5A3A">
      <w:pPr>
        <w:pStyle w:val="Caption"/>
      </w:pPr>
      <w:bookmarkStart w:id="189" w:name="_Ref14685504"/>
      <w:bookmarkStart w:id="190" w:name="_Toc10398445"/>
      <w:r w:rsidRPr="001A4D90">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3</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2</w:t>
      </w:r>
      <w:r w:rsidR="006940F4">
        <w:rPr>
          <w:noProof/>
        </w:rPr>
        <w:fldChar w:fldCharType="end"/>
      </w:r>
      <w:bookmarkEnd w:id="189"/>
      <w:r w:rsidRPr="001A4D90">
        <w:t xml:space="preserve"> Keywords and justification used in SeaDAS 7.4 to process MODIS true colour images of the </w:t>
      </w:r>
      <w:r w:rsidR="00621C2B" w:rsidRPr="001A4D90">
        <w:t>G</w:t>
      </w:r>
      <w:r w:rsidR="00621C2B">
        <w:t>reat Barrier Reef</w:t>
      </w:r>
      <w:r w:rsidRPr="001A4D90">
        <w:t>.</w:t>
      </w:r>
      <w:bookmarkEnd w:id="190"/>
    </w:p>
    <w:tbl>
      <w:tblPr>
        <w:tblStyle w:val="TableGrid"/>
        <w:tblW w:w="0" w:type="auto"/>
        <w:jc w:val="center"/>
        <w:tblLook w:val="04A0" w:firstRow="1" w:lastRow="0" w:firstColumn="1" w:lastColumn="0" w:noHBand="0" w:noVBand="1"/>
        <w:tblCaption w:val="Keywords and justification used in SeaDAS 7.4 to process MODIS true colour images"/>
        <w:tblDescription w:val="Step, term and description used to process MODIS true color images"/>
      </w:tblPr>
      <w:tblGrid>
        <w:gridCol w:w="1581"/>
        <w:gridCol w:w="1340"/>
        <w:gridCol w:w="6095"/>
      </w:tblGrid>
      <w:tr w:rsidR="001F3FBC" w:rsidRPr="002D6249" w14:paraId="1A84EBC2" w14:textId="77777777" w:rsidTr="008B0A8E">
        <w:trPr>
          <w:tblHeader/>
          <w:jc w:val="center"/>
        </w:trPr>
        <w:tc>
          <w:tcPr>
            <w:tcW w:w="0" w:type="auto"/>
            <w:shd w:val="clear" w:color="auto" w:fill="D9D9D9" w:themeFill="background1" w:themeFillShade="D9"/>
            <w:vAlign w:val="center"/>
          </w:tcPr>
          <w:p w14:paraId="7F72646B" w14:textId="77777777" w:rsidR="001F3FBC" w:rsidRPr="002D6249" w:rsidRDefault="001F3FBC" w:rsidP="001A4D90">
            <w:pPr>
              <w:spacing w:before="0" w:after="0" w:line="240" w:lineRule="auto"/>
              <w:contextualSpacing/>
              <w:rPr>
                <w:rFonts w:ascii="Arial" w:hAnsi="Arial" w:cs="Arial"/>
                <w:b/>
                <w:sz w:val="20"/>
                <w:szCs w:val="20"/>
              </w:rPr>
            </w:pPr>
            <w:r w:rsidRPr="002D6249">
              <w:rPr>
                <w:rFonts w:ascii="Arial" w:hAnsi="Arial" w:cs="Arial"/>
                <w:b/>
                <w:sz w:val="20"/>
                <w:szCs w:val="20"/>
              </w:rPr>
              <w:t>Step</w:t>
            </w:r>
          </w:p>
        </w:tc>
        <w:tc>
          <w:tcPr>
            <w:tcW w:w="0" w:type="auto"/>
            <w:shd w:val="clear" w:color="auto" w:fill="D9D9D9" w:themeFill="background1" w:themeFillShade="D9"/>
            <w:vAlign w:val="center"/>
          </w:tcPr>
          <w:p w14:paraId="62835787" w14:textId="77777777" w:rsidR="001F3FBC" w:rsidRPr="002D6249" w:rsidRDefault="001F3FBC" w:rsidP="001A4D90">
            <w:pPr>
              <w:spacing w:before="0" w:after="0" w:line="240" w:lineRule="auto"/>
              <w:contextualSpacing/>
              <w:rPr>
                <w:rFonts w:ascii="Arial" w:hAnsi="Arial" w:cs="Arial"/>
                <w:b/>
                <w:sz w:val="20"/>
                <w:szCs w:val="20"/>
              </w:rPr>
            </w:pPr>
            <w:r w:rsidRPr="002D6249">
              <w:rPr>
                <w:rFonts w:ascii="Arial" w:hAnsi="Arial" w:cs="Arial"/>
                <w:b/>
                <w:sz w:val="20"/>
                <w:szCs w:val="20"/>
              </w:rPr>
              <w:t>Term</w:t>
            </w:r>
          </w:p>
        </w:tc>
        <w:tc>
          <w:tcPr>
            <w:tcW w:w="0" w:type="auto"/>
            <w:shd w:val="clear" w:color="auto" w:fill="D9D9D9" w:themeFill="background1" w:themeFillShade="D9"/>
            <w:vAlign w:val="center"/>
          </w:tcPr>
          <w:p w14:paraId="63C1BD38" w14:textId="77777777" w:rsidR="001F3FBC" w:rsidRPr="002D6249" w:rsidRDefault="001F3FBC" w:rsidP="001A4D90">
            <w:pPr>
              <w:spacing w:before="0" w:after="0" w:line="240" w:lineRule="auto"/>
              <w:contextualSpacing/>
              <w:rPr>
                <w:rFonts w:ascii="Arial" w:hAnsi="Arial" w:cs="Arial"/>
                <w:b/>
                <w:sz w:val="20"/>
                <w:szCs w:val="20"/>
              </w:rPr>
            </w:pPr>
            <w:r w:rsidRPr="002D6249">
              <w:rPr>
                <w:rFonts w:ascii="Arial" w:hAnsi="Arial" w:cs="Arial"/>
                <w:b/>
                <w:sz w:val="20"/>
                <w:szCs w:val="20"/>
              </w:rPr>
              <w:t>Description</w:t>
            </w:r>
          </w:p>
        </w:tc>
      </w:tr>
      <w:tr w:rsidR="001F3FBC" w:rsidRPr="002D6249" w14:paraId="39920665" w14:textId="77777777" w:rsidTr="008B0A8E">
        <w:trPr>
          <w:jc w:val="center"/>
        </w:trPr>
        <w:tc>
          <w:tcPr>
            <w:tcW w:w="0" w:type="auto"/>
            <w:vAlign w:val="center"/>
          </w:tcPr>
          <w:p w14:paraId="78551FDB"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Step 2: modis_GEO.py</w:t>
            </w:r>
          </w:p>
        </w:tc>
        <w:tc>
          <w:tcPr>
            <w:tcW w:w="0" w:type="auto"/>
            <w:vAlign w:val="center"/>
          </w:tcPr>
          <w:p w14:paraId="74B3FF1B"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terrain correction</w:t>
            </w:r>
          </w:p>
        </w:tc>
        <w:tc>
          <w:tcPr>
            <w:tcW w:w="0" w:type="auto"/>
            <w:vAlign w:val="center"/>
          </w:tcPr>
          <w:p w14:paraId="384E940A"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Given the area of interest is the ocean, terrain correction is not used (in modis_GEO.py the --enable-dem flag is not used)</w:t>
            </w:r>
          </w:p>
        </w:tc>
      </w:tr>
      <w:tr w:rsidR="001F3FBC" w:rsidRPr="002D6249" w14:paraId="1D7B9AD8" w14:textId="77777777" w:rsidTr="001F3FBC">
        <w:trPr>
          <w:jc w:val="center"/>
        </w:trPr>
        <w:tc>
          <w:tcPr>
            <w:tcW w:w="0" w:type="auto"/>
            <w:vAlign w:val="center"/>
          </w:tcPr>
          <w:p w14:paraId="320C2476"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Step 3: modis_L1B.py</w:t>
            </w:r>
          </w:p>
        </w:tc>
        <w:tc>
          <w:tcPr>
            <w:tcW w:w="0" w:type="auto"/>
            <w:vAlign w:val="center"/>
          </w:tcPr>
          <w:p w14:paraId="16DF9F8E"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look up table</w:t>
            </w:r>
          </w:p>
          <w:p w14:paraId="1BF8D884"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(LUT)</w:t>
            </w:r>
          </w:p>
        </w:tc>
        <w:tc>
          <w:tcPr>
            <w:tcW w:w="0" w:type="auto"/>
            <w:vAlign w:val="center"/>
          </w:tcPr>
          <w:p w14:paraId="3496EFD5"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The arguments “-l 6.1.33.4_OC -d /short/er8/packages/seadas/7.0/ocssw/run/var/modisa/cal/EVAL/” are passed to use the 6.1.33.4_OC L1B look up table.</w:t>
            </w:r>
          </w:p>
        </w:tc>
      </w:tr>
      <w:tr w:rsidR="001F3FBC" w:rsidRPr="002D6249" w14:paraId="37778E68" w14:textId="77777777" w:rsidTr="001F3FBC">
        <w:trPr>
          <w:jc w:val="center"/>
        </w:trPr>
        <w:tc>
          <w:tcPr>
            <w:tcW w:w="0" w:type="auto"/>
            <w:vMerge w:val="restart"/>
            <w:vAlign w:val="center"/>
          </w:tcPr>
          <w:p w14:paraId="29F0097E"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Step 4: l1mapgen</w:t>
            </w:r>
          </w:p>
        </w:tc>
        <w:tc>
          <w:tcPr>
            <w:tcW w:w="0" w:type="auto"/>
            <w:vAlign w:val="center"/>
          </w:tcPr>
          <w:p w14:paraId="78A8E303"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Calibration table</w:t>
            </w:r>
          </w:p>
        </w:tc>
        <w:tc>
          <w:tcPr>
            <w:tcW w:w="0" w:type="auto"/>
            <w:vAlign w:val="center"/>
          </w:tcPr>
          <w:p w14:paraId="0219EBCB"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The msl12_defaults.par was updated to use the xcal_modisa_axc39d cross-calibration files.</w:t>
            </w:r>
          </w:p>
        </w:tc>
      </w:tr>
      <w:tr w:rsidR="001F3FBC" w:rsidRPr="002D6249" w14:paraId="0E7209FD" w14:textId="77777777" w:rsidTr="001F3FBC">
        <w:trPr>
          <w:jc w:val="center"/>
        </w:trPr>
        <w:tc>
          <w:tcPr>
            <w:tcW w:w="0" w:type="auto"/>
            <w:vMerge/>
            <w:vAlign w:val="center"/>
          </w:tcPr>
          <w:p w14:paraId="009F0673" w14:textId="77777777" w:rsidR="001F3FBC" w:rsidRPr="002D6249" w:rsidRDefault="001F3FBC" w:rsidP="001A4D90">
            <w:pPr>
              <w:spacing w:before="0" w:after="0" w:line="240" w:lineRule="auto"/>
              <w:contextualSpacing/>
              <w:rPr>
                <w:rFonts w:ascii="Arial" w:hAnsi="Arial" w:cs="Arial"/>
                <w:sz w:val="20"/>
                <w:szCs w:val="20"/>
              </w:rPr>
            </w:pPr>
          </w:p>
        </w:tc>
        <w:tc>
          <w:tcPr>
            <w:tcW w:w="0" w:type="auto"/>
            <w:vAlign w:val="center"/>
          </w:tcPr>
          <w:p w14:paraId="6FC72C03"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Atmospheric correction</w:t>
            </w:r>
          </w:p>
        </w:tc>
        <w:tc>
          <w:tcPr>
            <w:tcW w:w="0" w:type="auto"/>
            <w:vAlign w:val="center"/>
          </w:tcPr>
          <w:p w14:paraId="46F05ECF" w14:textId="24C3C918"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 xml:space="preserve">The atmocor keyword was set to “on” to </w:t>
            </w:r>
            <w:r w:rsidR="00383250">
              <w:rPr>
                <w:rFonts w:ascii="Arial" w:hAnsi="Arial" w:cs="Arial"/>
                <w:sz w:val="20"/>
                <w:szCs w:val="20"/>
              </w:rPr>
              <w:t xml:space="preserve">make sure that the </w:t>
            </w:r>
            <w:r w:rsidRPr="002D6249">
              <w:rPr>
                <w:rFonts w:ascii="Arial" w:hAnsi="Arial" w:cs="Arial"/>
                <w:sz w:val="20"/>
                <w:szCs w:val="20"/>
              </w:rPr>
              <w:t>Rayleigh correction was applied.</w:t>
            </w:r>
          </w:p>
        </w:tc>
      </w:tr>
      <w:tr w:rsidR="001F3FBC" w:rsidRPr="002D6249" w14:paraId="1728F838" w14:textId="77777777" w:rsidTr="001F3FBC">
        <w:trPr>
          <w:jc w:val="center"/>
        </w:trPr>
        <w:tc>
          <w:tcPr>
            <w:tcW w:w="0" w:type="auto"/>
            <w:vMerge/>
            <w:vAlign w:val="center"/>
          </w:tcPr>
          <w:p w14:paraId="47F5D9C5" w14:textId="77777777" w:rsidR="001F3FBC" w:rsidRPr="002D6249" w:rsidRDefault="001F3FBC" w:rsidP="001A4D90">
            <w:pPr>
              <w:spacing w:before="0" w:after="0" w:line="240" w:lineRule="auto"/>
              <w:contextualSpacing/>
              <w:rPr>
                <w:rFonts w:ascii="Arial" w:hAnsi="Arial" w:cs="Arial"/>
                <w:sz w:val="20"/>
                <w:szCs w:val="20"/>
              </w:rPr>
            </w:pPr>
          </w:p>
        </w:tc>
        <w:tc>
          <w:tcPr>
            <w:tcW w:w="0" w:type="auto"/>
            <w:vAlign w:val="center"/>
          </w:tcPr>
          <w:p w14:paraId="3DB03082"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resolution</w:t>
            </w:r>
          </w:p>
        </w:tc>
        <w:tc>
          <w:tcPr>
            <w:tcW w:w="0" w:type="auto"/>
            <w:vAlign w:val="center"/>
          </w:tcPr>
          <w:p w14:paraId="2B41D22E" w14:textId="77777777" w:rsidR="001F3FBC" w:rsidRPr="002D6249" w:rsidRDefault="001F3FBC" w:rsidP="001A4D90">
            <w:pPr>
              <w:spacing w:before="0" w:after="0" w:line="240" w:lineRule="auto"/>
              <w:contextualSpacing/>
              <w:rPr>
                <w:rFonts w:ascii="Arial" w:hAnsi="Arial" w:cs="Arial"/>
                <w:sz w:val="20"/>
                <w:szCs w:val="20"/>
              </w:rPr>
            </w:pPr>
            <w:r w:rsidRPr="002D6249">
              <w:rPr>
                <w:rFonts w:ascii="Arial" w:hAnsi="Arial" w:cs="Arial"/>
                <w:sz w:val="20"/>
                <w:szCs w:val="20"/>
              </w:rPr>
              <w:t>The resolution keyword was set to “250” to use band 1 as input.</w:t>
            </w:r>
          </w:p>
        </w:tc>
      </w:tr>
    </w:tbl>
    <w:p w14:paraId="0A99306B" w14:textId="59CE4152" w:rsidR="00FE2F59" w:rsidRPr="00A64BC2" w:rsidRDefault="00FE2F59" w:rsidP="00FE2F59">
      <w:pPr>
        <w:rPr>
          <w:rFonts w:cs="Arial"/>
        </w:rPr>
      </w:pPr>
      <w:r>
        <w:rPr>
          <w:rFonts w:cs="Arial"/>
        </w:rPr>
        <w:t>P</w:t>
      </w:r>
      <w:r w:rsidRPr="00A64BC2">
        <w:rPr>
          <w:rFonts w:cs="Arial"/>
        </w:rPr>
        <w:t>rocessed</w:t>
      </w:r>
      <w:r>
        <w:rPr>
          <w:rFonts w:cs="Arial"/>
        </w:rPr>
        <w:t xml:space="preserve"> MODIS data</w:t>
      </w:r>
      <w:r w:rsidRPr="00A64BC2">
        <w:rPr>
          <w:rFonts w:cs="Arial"/>
        </w:rPr>
        <w:t xml:space="preserve"> are stored in external media and also at the national Research Data Services, </w:t>
      </w:r>
      <w:r>
        <w:rPr>
          <w:rFonts w:cs="Arial"/>
        </w:rPr>
        <w:t xml:space="preserve">which is </w:t>
      </w:r>
      <w:r w:rsidRPr="00A64BC2">
        <w:rPr>
          <w:rFonts w:cs="Arial"/>
        </w:rPr>
        <w:t>part o</w:t>
      </w:r>
      <w:r>
        <w:rPr>
          <w:rFonts w:cs="Arial"/>
        </w:rPr>
        <w:t>f Research Data Australia (</w:t>
      </w:r>
      <w:r w:rsidRPr="00A64BC2">
        <w:rPr>
          <w:rFonts w:cs="Arial"/>
        </w:rPr>
        <w:t>https://researchdata.ands.org.au/</w:t>
      </w:r>
      <w:r>
        <w:rPr>
          <w:rFonts w:cs="Arial"/>
        </w:rPr>
        <w:t>)</w:t>
      </w:r>
      <w:r w:rsidRPr="00A64BC2">
        <w:rPr>
          <w:rFonts w:cs="Arial"/>
        </w:rPr>
        <w:t xml:space="preserve">. </w:t>
      </w:r>
    </w:p>
    <w:p w14:paraId="31E34227" w14:textId="77777777" w:rsidR="00FE2F59" w:rsidRPr="00595688" w:rsidRDefault="00FE2F59" w:rsidP="0067588D">
      <w:pPr>
        <w:pStyle w:val="Heading3"/>
      </w:pPr>
      <w:bookmarkStart w:id="191" w:name="_Toc483566461"/>
      <w:bookmarkStart w:id="192" w:name="_Toc520727835"/>
      <w:bookmarkStart w:id="193" w:name="_Toc12365579"/>
      <w:r w:rsidRPr="00595688">
        <w:t>Map</w:t>
      </w:r>
      <w:r>
        <w:t>s</w:t>
      </w:r>
      <w:r w:rsidRPr="00595688">
        <w:t xml:space="preserve"> of wet season water types and flood plumes</w:t>
      </w:r>
      <w:bookmarkEnd w:id="191"/>
      <w:bookmarkEnd w:id="192"/>
      <w:bookmarkEnd w:id="193"/>
      <w:r w:rsidRPr="00595688">
        <w:t xml:space="preserve"> </w:t>
      </w:r>
    </w:p>
    <w:p w14:paraId="766D9E5E" w14:textId="43CDFE79" w:rsidR="00426349" w:rsidRDefault="00426349" w:rsidP="00426349">
      <w:bookmarkStart w:id="194" w:name="_Toc483566462"/>
      <w:r w:rsidRPr="00CF70BA">
        <w:t xml:space="preserve">A set of spatial </w:t>
      </w:r>
      <w:r>
        <w:t xml:space="preserve">analyses </w:t>
      </w:r>
      <w:r w:rsidRPr="00CF70BA">
        <w:t xml:space="preserve">(Python, ArcGIS) based on supervised classification of spectrally enhanced true colour images is used to classify </w:t>
      </w:r>
      <w:r w:rsidR="00DA151B">
        <w:t>‘</w:t>
      </w:r>
      <w:r w:rsidRPr="00CF70BA">
        <w:t>turbid</w:t>
      </w:r>
      <w:r w:rsidR="00DA151B">
        <w:t xml:space="preserve">’ </w:t>
      </w:r>
      <w:r>
        <w:t>waters</w:t>
      </w:r>
      <w:r w:rsidRPr="00CF70BA">
        <w:t xml:space="preserve">, including river </w:t>
      </w:r>
      <w:r w:rsidR="00C06BE8" w:rsidRPr="00CF70BA">
        <w:t xml:space="preserve">flood </w:t>
      </w:r>
      <w:r w:rsidRPr="00CF70BA">
        <w:t>plumes</w:t>
      </w:r>
      <w:r w:rsidR="00F04C1F">
        <w:t xml:space="preserve"> and resuspension events</w:t>
      </w:r>
      <w:r w:rsidRPr="00CF70BA">
        <w:t xml:space="preserve">, and </w:t>
      </w:r>
      <w:r w:rsidR="00DA151B">
        <w:t>‘</w:t>
      </w:r>
      <w:r w:rsidRPr="00CF70BA">
        <w:t>non-turbid</w:t>
      </w:r>
      <w:r w:rsidR="00DA151B">
        <w:t>’</w:t>
      </w:r>
      <w:r w:rsidR="00DA151B" w:rsidRPr="00CF70BA">
        <w:t xml:space="preserve"> </w:t>
      </w:r>
      <w:r w:rsidRPr="00CF70BA">
        <w:t xml:space="preserve">areas in the Reef, focusing on the wet season period. </w:t>
      </w:r>
      <w:r>
        <w:t xml:space="preserve">These are described as </w:t>
      </w:r>
      <w:r w:rsidRPr="00CF70BA">
        <w:t xml:space="preserve">six distinct colour classes </w:t>
      </w:r>
      <w:r w:rsidR="005F4C81">
        <w:t xml:space="preserve">and further reclassified to three wet season water types </w:t>
      </w:r>
      <w:r w:rsidRPr="00CF70BA">
        <w:t xml:space="preserve">defined by their colour properties </w:t>
      </w:r>
      <w:r w:rsidR="00C06BE8">
        <w:t>that are</w:t>
      </w:r>
      <w:r w:rsidR="00C06BE8" w:rsidRPr="00CF70BA">
        <w:t xml:space="preserve"> </w:t>
      </w:r>
      <w:r w:rsidRPr="00CF70BA">
        <w:t>typical of water colours and water quality gradients existing across coastal waters of the Reef during the wet season</w:t>
      </w:r>
      <w:r w:rsidR="00505ECC">
        <w:t xml:space="preserve"> </w:t>
      </w:r>
      <w:r w:rsidR="00FC7CCA">
        <w:fldChar w:fldCharType="begin"/>
      </w:r>
      <w:r w:rsidR="00FC7CCA">
        <w:instrText xml:space="preserve"> ADDIN EN.CITE &lt;EndNote&gt;&lt;Cite&gt;&lt;Author&gt;Álvarez-Romero&lt;/Author&gt;&lt;Year&gt;2013&lt;/Year&gt;&lt;RecNum&gt;1304&lt;/RecNum&gt;&lt;DisplayText&gt;(Álvarez-Romero et al., 2013)&lt;/DisplayText&gt;&lt;record&gt;&lt;rec-number&gt;1304&lt;/rec-number&gt;&lt;foreign-keys&gt;&lt;key app="EN" db-id="zapfddtwo2e9z5e5vxoxafs7sf59wfp52rvf" timestamp="1558912276"&gt;1304&lt;/key&gt;&lt;/foreign-keys&gt;&lt;ref-type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2013/04/15/&lt;/date&gt;&lt;/pub-dates&gt;&lt;/dates&gt;&lt;isbn&gt;0301-4797&lt;/isbn&gt;&lt;urls&gt;&lt;related-urls&gt;&lt;url&gt;http://www.sciencedirect.com/science/article/pii/S0301479713000789&lt;/url&gt;&lt;/related-urls&gt;&lt;/urls&gt;&lt;electronic-resource-num&gt;https://doi.org/10.1016/j.jenvman.2013.01.036&lt;/electronic-resource-num&gt;&lt;/record&gt;&lt;/Cite&gt;&lt;/EndNote&gt;</w:instrText>
      </w:r>
      <w:r w:rsidR="00FC7CCA">
        <w:fldChar w:fldCharType="separate"/>
      </w:r>
      <w:r w:rsidR="00FC7CCA">
        <w:rPr>
          <w:noProof/>
        </w:rPr>
        <w:t>(Álvarez-Romero et al., 2013)</w:t>
      </w:r>
      <w:r w:rsidR="00FC7CCA">
        <w:fldChar w:fldCharType="end"/>
      </w:r>
      <w:r w:rsidR="00C06BE8">
        <w:t>.</w:t>
      </w:r>
      <w:r w:rsidRPr="00CF70BA">
        <w:t xml:space="preserve"> </w:t>
      </w:r>
      <w:r w:rsidR="00505ECC">
        <w:t xml:space="preserve"> </w:t>
      </w:r>
      <w:r w:rsidRPr="00CF70BA">
        <w:t xml:space="preserve">In Reef studies, the six colour classes are regrouped into three water types, referred </w:t>
      </w:r>
      <w:r w:rsidR="00C06BE8">
        <w:t xml:space="preserve">to </w:t>
      </w:r>
      <w:r w:rsidRPr="00CF70BA">
        <w:t>as Primary (colour class</w:t>
      </w:r>
      <w:r w:rsidR="00C06BE8">
        <w:t>es</w:t>
      </w:r>
      <w:r w:rsidRPr="00CF70BA">
        <w:t xml:space="preserve"> 1 to 4), Secondary (colour class </w:t>
      </w:r>
      <w:r w:rsidR="00C06BE8">
        <w:t>5</w:t>
      </w:r>
      <w:r w:rsidRPr="00CF70BA">
        <w:t>) and Tertiary (colour class 6) wet season water types. Each of the six colour class/three</w:t>
      </w:r>
      <w:r>
        <w:t xml:space="preserve"> water types </w:t>
      </w:r>
      <w:r w:rsidR="00C06BE8">
        <w:t xml:space="preserve">are </w:t>
      </w:r>
      <w:r>
        <w:t>characteris</w:t>
      </w:r>
      <w:r w:rsidRPr="00CF70BA">
        <w:t>ed by different land-sourced pollutant concentrations, including particulate and dissolved nutrients concentrations, and light levels, which can vary the impact on the underlying ecological systems</w:t>
      </w:r>
      <w:r>
        <w:t xml:space="preserve"> (see description</w:t>
      </w:r>
      <w:r w:rsidR="00C06BE8">
        <w:t>s</w:t>
      </w:r>
      <w:r>
        <w:t xml:space="preserve"> in</w:t>
      </w:r>
      <w:r w:rsidR="0051554C">
        <w:t xml:space="preserve"> </w:t>
      </w:r>
      <w:r w:rsidR="0051554C">
        <w:fldChar w:fldCharType="begin"/>
      </w:r>
      <w:r w:rsidR="0051554C">
        <w:instrText xml:space="preserve"> REF _Ref10398667 \h </w:instrText>
      </w:r>
      <w:r w:rsidR="0051554C">
        <w:fldChar w:fldCharType="separate"/>
      </w:r>
      <w:r w:rsidR="0051554C">
        <w:t xml:space="preserve">Figure </w:t>
      </w:r>
      <w:r w:rsidR="0051554C">
        <w:rPr>
          <w:noProof/>
        </w:rPr>
        <w:t>3</w:t>
      </w:r>
      <w:r w:rsidR="0051554C">
        <w:noBreakHyphen/>
      </w:r>
      <w:r w:rsidR="0051554C">
        <w:rPr>
          <w:noProof/>
        </w:rPr>
        <w:t>1</w:t>
      </w:r>
      <w:r w:rsidR="0051554C">
        <w:fldChar w:fldCharType="end"/>
      </w:r>
      <w:r>
        <w:t>)</w:t>
      </w:r>
      <w:r w:rsidRPr="00CF70BA">
        <w:t xml:space="preserve">. </w:t>
      </w:r>
    </w:p>
    <w:p w14:paraId="666171EF" w14:textId="77777777" w:rsidR="00FE2F59" w:rsidRPr="00FE2F59" w:rsidRDefault="00FE2F59" w:rsidP="0067588D">
      <w:pPr>
        <w:pStyle w:val="Heading3"/>
      </w:pPr>
      <w:bookmarkStart w:id="195" w:name="_Toc520727836"/>
      <w:bookmarkStart w:id="196" w:name="_Ref9500908"/>
      <w:bookmarkStart w:id="197" w:name="_Toc12365580"/>
      <w:r w:rsidRPr="00FE2F59">
        <w:t>Derived monitoring products</w:t>
      </w:r>
      <w:bookmarkEnd w:id="194"/>
      <w:bookmarkEnd w:id="195"/>
      <w:bookmarkEnd w:id="196"/>
      <w:bookmarkEnd w:id="197"/>
      <w:r w:rsidRPr="00FE2F59">
        <w:t xml:space="preserve"> </w:t>
      </w:r>
    </w:p>
    <w:p w14:paraId="435CCC58" w14:textId="2E5BD50A" w:rsidR="00426349" w:rsidRPr="00CF70BA" w:rsidRDefault="00426349" w:rsidP="00426349">
      <w:r>
        <w:t>A</w:t>
      </w:r>
      <w:r w:rsidRPr="00CF70BA">
        <w:t xml:space="preserve"> number of monitoring products </w:t>
      </w:r>
      <w:r w:rsidR="00C06BE8">
        <w:t xml:space="preserve">have been </w:t>
      </w:r>
      <w:r w:rsidRPr="00CF70BA">
        <w:t xml:space="preserve">developed by transferring the water type maps to </w:t>
      </w:r>
      <w:r>
        <w:t>ArcMAP 10.4</w:t>
      </w:r>
      <w:r w:rsidRPr="00CF70BA">
        <w:t xml:space="preserve"> and linking them</w:t>
      </w:r>
      <w:r>
        <w:t xml:space="preserve"> through spatial analysis</w:t>
      </w:r>
      <w:r w:rsidRPr="00CF70BA">
        <w:t xml:space="preserve"> to water quality parameters sampled </w:t>
      </w:r>
      <w:r w:rsidRPr="007177E2">
        <w:rPr>
          <w:i/>
        </w:rPr>
        <w:t>in</w:t>
      </w:r>
      <w:r w:rsidR="004A5A69" w:rsidRPr="007177E2">
        <w:rPr>
          <w:i/>
        </w:rPr>
        <w:t xml:space="preserve"> </w:t>
      </w:r>
      <w:r w:rsidRPr="007177E2">
        <w:rPr>
          <w:i/>
        </w:rPr>
        <w:t>situ</w:t>
      </w:r>
      <w:r>
        <w:t xml:space="preserve"> </w:t>
      </w:r>
      <w:r w:rsidRPr="00CF70BA">
        <w:t>(</w:t>
      </w:r>
      <w:r w:rsidRPr="00CF70BA">
        <w:fldChar w:fldCharType="begin"/>
      </w:r>
      <w:r w:rsidRPr="00CF70BA">
        <w:instrText xml:space="preserve"> REF _Ref483564451 \h </w:instrText>
      </w:r>
      <w:r>
        <w:instrText xml:space="preserve"> \* MERGEFORMAT </w:instrText>
      </w:r>
      <w:r w:rsidRPr="00CF70BA">
        <w:fldChar w:fldCharType="separate"/>
      </w:r>
      <w:r w:rsidR="00D528AA">
        <w:t xml:space="preserve">Table </w:t>
      </w:r>
      <w:r w:rsidR="00D528AA">
        <w:rPr>
          <w:noProof/>
        </w:rPr>
        <w:t>3.1.</w:t>
      </w:r>
      <w:r w:rsidR="00D528AA" w:rsidDel="00917941">
        <w:rPr>
          <w:noProof/>
        </w:rPr>
        <w:t xml:space="preserve"> </w:t>
      </w:r>
      <w:r w:rsidRPr="00CF70BA">
        <w:fldChar w:fldCharType="end"/>
      </w:r>
      <w:r>
        <w:t xml:space="preserve"> and</w:t>
      </w:r>
      <w:r w:rsidR="00917941">
        <w:t xml:space="preserve"> </w:t>
      </w:r>
      <w:r w:rsidR="00917941">
        <w:fldChar w:fldCharType="begin"/>
      </w:r>
      <w:r w:rsidR="00917941">
        <w:instrText xml:space="preserve"> REF _Ref10398667 \h </w:instrText>
      </w:r>
      <w:r w:rsidR="00917941">
        <w:fldChar w:fldCharType="separate"/>
      </w:r>
      <w:r w:rsidR="00D528AA">
        <w:t xml:space="preserve">Figure </w:t>
      </w:r>
      <w:r w:rsidR="00D528AA">
        <w:rPr>
          <w:noProof/>
        </w:rPr>
        <w:t>3</w:t>
      </w:r>
      <w:r w:rsidR="00D528AA">
        <w:noBreakHyphen/>
      </w:r>
      <w:r w:rsidR="00D528AA">
        <w:rPr>
          <w:noProof/>
        </w:rPr>
        <w:t>1</w:t>
      </w:r>
      <w:r w:rsidR="00917941">
        <w:fldChar w:fldCharType="end"/>
      </w:r>
      <w:r w:rsidRPr="00CF70BA">
        <w:t xml:space="preserve">). </w:t>
      </w:r>
    </w:p>
    <w:p w14:paraId="5A1822BC" w14:textId="77777777" w:rsidR="00754D88" w:rsidRPr="009D38B3" w:rsidRDefault="005C0B79" w:rsidP="00754D88">
      <w:pPr>
        <w:pStyle w:val="Heading2"/>
        <w:ind w:left="0" w:firstLine="0"/>
        <w:rPr>
          <w:rFonts w:cs="Arial"/>
        </w:rPr>
      </w:pPr>
      <w:bookmarkStart w:id="198" w:name="_Toc520727837"/>
      <w:bookmarkStart w:id="199" w:name="_Toc12365581"/>
      <w:r>
        <w:rPr>
          <w:rFonts w:cs="Arial"/>
        </w:rPr>
        <w:t>Marine water quality metric</w:t>
      </w:r>
      <w:bookmarkEnd w:id="198"/>
      <w:bookmarkEnd w:id="199"/>
    </w:p>
    <w:p w14:paraId="6AF96D2C" w14:textId="14089D67" w:rsidR="00426349" w:rsidRPr="00410311" w:rsidRDefault="00426349" w:rsidP="00426349">
      <w:bookmarkStart w:id="200" w:name="_Hlk488063057"/>
      <w:r w:rsidRPr="00410311">
        <w:t xml:space="preserve">A revised water quality metric was developed </w:t>
      </w:r>
      <w:r>
        <w:t xml:space="preserve">as a </w:t>
      </w:r>
      <w:r w:rsidR="00186A4E">
        <w:t xml:space="preserve">National Environmental </w:t>
      </w:r>
      <w:r w:rsidR="008D5F84">
        <w:t xml:space="preserve">Science </w:t>
      </w:r>
      <w:r w:rsidR="00186A4E">
        <w:t>Programme (</w:t>
      </w:r>
      <w:r>
        <w:t>NESP</w:t>
      </w:r>
      <w:r w:rsidR="00186A4E">
        <w:t>)</w:t>
      </w:r>
      <w:r>
        <w:t xml:space="preserve"> 3.2.5 project </w:t>
      </w:r>
      <w:r w:rsidRPr="00410311">
        <w:t xml:space="preserve">in </w:t>
      </w:r>
      <w:r>
        <w:t xml:space="preserve">2017 (and implemented in the Report Card </w:t>
      </w:r>
      <w:r w:rsidRPr="00410311">
        <w:t>2016</w:t>
      </w:r>
      <w:r>
        <w:t>)</w:t>
      </w:r>
      <w:r w:rsidRPr="00410311">
        <w:t xml:space="preserve"> as an initial step towards the integration of multiple streams of data to measure and report water quality condition. The previous metric relied exclusively on satellite data. The new metric is underpinned by the eReefs biogeochemical model and integrates data from satellite images for improved accuracy in what is commonly referred to as a data assimilation process. The new metric considers all six </w:t>
      </w:r>
      <w:r>
        <w:t>NRM</w:t>
      </w:r>
      <w:r w:rsidRPr="00410311">
        <w:t xml:space="preserve"> regions in calculating the Reef</w:t>
      </w:r>
      <w:r w:rsidR="00C06BE8">
        <w:t>-</w:t>
      </w:r>
      <w:r w:rsidRPr="00410311">
        <w:t>wide score and is based on</w:t>
      </w:r>
      <w:r>
        <w:t xml:space="preserve"> results in</w:t>
      </w:r>
      <w:r w:rsidRPr="00410311">
        <w:t xml:space="preserve"> open coastal waters.</w:t>
      </w:r>
    </w:p>
    <w:p w14:paraId="7DDE19E1" w14:textId="08785A60" w:rsidR="00426349" w:rsidRPr="00426349" w:rsidRDefault="00426349" w:rsidP="00426349">
      <w:pPr>
        <w:rPr>
          <w:rFonts w:cs="Arial"/>
        </w:rPr>
      </w:pPr>
      <w:r w:rsidRPr="00426349">
        <w:rPr>
          <w:rFonts w:cs="Arial"/>
        </w:rPr>
        <w:t>The eReefs regional models include coupled hydrodynamic, sediment and biogeochemistry models for the entire Reef</w:t>
      </w:r>
      <w:r w:rsidR="00C06BE8">
        <w:rPr>
          <w:rFonts w:cs="Arial"/>
        </w:rPr>
        <w:t>; however,</w:t>
      </w:r>
      <w:r w:rsidRPr="00426349">
        <w:rPr>
          <w:rFonts w:cs="Arial"/>
        </w:rPr>
        <w:t xml:space="preserve"> the MMP focuses on results in the open coastal waters. The model allows quantification of the impacts of rivers and atmospheric forcing on circulation patterns and biogeochemical cycles (</w:t>
      </w:r>
      <w:r w:rsidR="00186A4E">
        <w:rPr>
          <w:rFonts w:cs="Arial"/>
        </w:rPr>
        <w:t>for example</w:t>
      </w:r>
      <w:r w:rsidRPr="00426349">
        <w:rPr>
          <w:rFonts w:cs="Arial"/>
        </w:rPr>
        <w:t xml:space="preserve"> water clarity, nutrients, plankton, benthic plants). The skill of the model has been assessed and improved over six years (see </w:t>
      </w:r>
      <w:hyperlink r:id="rId44" w:history="1">
        <w:r w:rsidRPr="00426349">
          <w:rPr>
            <w:rFonts w:cs="Arial"/>
            <w:color w:val="0000FF"/>
            <w:u w:val="single"/>
          </w:rPr>
          <w:t>http://ereefs.info</w:t>
        </w:r>
      </w:hyperlink>
      <w:r w:rsidRPr="00426349">
        <w:rPr>
          <w:rFonts w:cs="Arial"/>
        </w:rPr>
        <w:t>).</w:t>
      </w:r>
    </w:p>
    <w:p w14:paraId="4C93D854" w14:textId="18FA7F9D" w:rsidR="00410311" w:rsidRPr="00410311" w:rsidRDefault="00410311" w:rsidP="00410311">
      <w:pPr>
        <w:rPr>
          <w:rFonts w:cs="Arial"/>
        </w:rPr>
      </w:pPr>
      <w:r w:rsidRPr="00410311">
        <w:rPr>
          <w:rFonts w:cs="Arial"/>
        </w:rPr>
        <w:t>Data assimilation further improves the model skill and provides a single best estimate of the biogeochemical state of the Reef obtained from the combination of both modelling and observations. Data assimilation systems quantify the difference between a modelled state and an observed state</w:t>
      </w:r>
      <w:r w:rsidR="00B72554">
        <w:rPr>
          <w:rFonts w:cs="Arial"/>
        </w:rPr>
        <w:t xml:space="preserve"> (for example </w:t>
      </w:r>
      <w:r w:rsidR="00B72554" w:rsidRPr="007177E2">
        <w:rPr>
          <w:rFonts w:cs="Arial"/>
          <w:i/>
        </w:rPr>
        <w:t>in</w:t>
      </w:r>
      <w:r w:rsidR="004A5A69" w:rsidRPr="007177E2">
        <w:rPr>
          <w:rFonts w:cs="Arial"/>
          <w:i/>
        </w:rPr>
        <w:t xml:space="preserve"> </w:t>
      </w:r>
      <w:r w:rsidR="00B72554" w:rsidRPr="007177E2">
        <w:rPr>
          <w:rFonts w:cs="Arial"/>
          <w:i/>
        </w:rPr>
        <w:t>situ</w:t>
      </w:r>
      <w:r w:rsidR="00B72554">
        <w:rPr>
          <w:rFonts w:cs="Arial"/>
        </w:rPr>
        <w:t xml:space="preserve"> monitoring data)</w:t>
      </w:r>
      <w:r w:rsidRPr="00410311">
        <w:rPr>
          <w:rFonts w:cs="Arial"/>
        </w:rPr>
        <w:t xml:space="preserve"> and improve the modelled state by incorporating the observed state in the simulation.</w:t>
      </w:r>
    </w:p>
    <w:p w14:paraId="5EDEF7A3" w14:textId="3FCA0F83" w:rsidR="00410311" w:rsidRPr="00410311" w:rsidRDefault="00426349" w:rsidP="00410311">
      <w:pPr>
        <w:rPr>
          <w:rFonts w:cs="Arial"/>
        </w:rPr>
      </w:pPr>
      <w:r>
        <w:t>Across</w:t>
      </w:r>
      <w:r w:rsidRPr="00410311">
        <w:t xml:space="preserve"> the </w:t>
      </w:r>
      <w:r>
        <w:t xml:space="preserve">whole area of the </w:t>
      </w:r>
      <w:r w:rsidRPr="00410311">
        <w:t>Reef, only remote-sensing provides the</w:t>
      </w:r>
      <w:r w:rsidRPr="00410311">
        <w:rPr>
          <w:rFonts w:cs="Arial"/>
        </w:rPr>
        <w:t xml:space="preserve"> </w:t>
      </w:r>
      <w:r w:rsidR="00410311" w:rsidRPr="00410311">
        <w:rPr>
          <w:rFonts w:cs="Arial"/>
        </w:rPr>
        <w:t>density of observations required to undertake a large-scale assimilation (see</w:t>
      </w:r>
      <w:r w:rsidR="006158EB">
        <w:rPr>
          <w:rFonts w:cs="Arial"/>
        </w:rPr>
        <w:t xml:space="preserve"> </w:t>
      </w:r>
      <w:hyperlink r:id="rId45" w:history="1">
        <w:r w:rsidR="006158EB" w:rsidRPr="006158EB">
          <w:rPr>
            <w:rStyle w:val="Hyperlink"/>
            <w:rFonts w:cs="Arial"/>
          </w:rPr>
          <w:t>http://www.bom.gov.au/marinewaterquality/</w:t>
        </w:r>
      </w:hyperlink>
      <w:r w:rsidR="00410311" w:rsidRPr="00410311">
        <w:rPr>
          <w:rFonts w:cs="Arial"/>
        </w:rPr>
        <w:t xml:space="preserve">). For shallow inshore waters, using remote-sensing to estimate in-water properties is challenging, due to the interactions between chlorophyll, sediments, </w:t>
      </w:r>
      <w:r w:rsidR="00186A4E">
        <w:rPr>
          <w:rFonts w:cs="Arial"/>
        </w:rPr>
        <w:t>CDOM</w:t>
      </w:r>
      <w:r w:rsidR="00410311" w:rsidRPr="00410311">
        <w:rPr>
          <w:rFonts w:cs="Arial"/>
        </w:rPr>
        <w:t xml:space="preserve"> and benthic communities, which all absorb and scatter light in the blue and green wavebands. Instead of using remote sensing to estimate in-water properties, the water quality metric is based on the optical calculations of the biogeochemical model to simulate the normalised remote-sensing reflectance. The data assimilation system uses the mismatch between observed and modelled remote-sensing reflectance to constra</w:t>
      </w:r>
      <w:r w:rsidR="00535BA5">
        <w:rPr>
          <w:rFonts w:cs="Arial"/>
        </w:rPr>
        <w:t>in the biogeochemical model</w:t>
      </w:r>
      <w:r w:rsidR="00505ECC">
        <w:rPr>
          <w:rFonts w:cs="Arial"/>
        </w:rPr>
        <w:t xml:space="preserve"> </w:t>
      </w:r>
      <w:r w:rsidR="00FC7CCA">
        <w:rPr>
          <w:rFonts w:cs="Arial"/>
        </w:rPr>
        <w:fldChar w:fldCharType="begin"/>
      </w:r>
      <w:r w:rsidR="00FC7CCA">
        <w:rPr>
          <w:rFonts w:cs="Arial"/>
        </w:rPr>
        <w:instrText xml:space="preserve"> ADDIN EN.CITE &lt;EndNote&gt;&lt;Cite&gt;&lt;Author&gt;Robillot&lt;/Author&gt;&lt;Year&gt;2018&lt;/Year&gt;&lt;RecNum&gt;1308&lt;/RecNum&gt;&lt;DisplayText&gt;(Robillot et al., 2018)&lt;/DisplayText&gt;&lt;record&gt;&lt;rec-number&gt;1308&lt;/rec-number&gt;&lt;foreign-keys&gt;&lt;key app="EN" db-id="zapfddtwo2e9z5e5vxoxafs7sf59wfp52rvf" timestamp="1558913772"&gt;1308&lt;/key&gt;&lt;/foreign-keys&gt;&lt;ref-type name="Report"&gt;27&lt;/ref-type&gt;&lt;contributors&gt;&lt;authors&gt;&lt;author&gt;Cedric Robillot&lt;/author&gt;&lt;author&gt;Murray Logan&lt;/author&gt;&lt;author&gt;Mark Baird&lt;/author&gt;&lt;author&gt;Jane Waterhouse&lt;/author&gt;&lt;author&gt;Katherine Martin&lt;/author&gt;&lt;author&gt;Britta Schaffelke&lt;/author&gt;&lt;/authors&gt;&lt;/contributors&gt;&lt;titles&gt;&lt;title&gt;Testing and implementation of an improved water quality index for the 2016 and 2017 Great Barrier Reef Report Cards - Detailed technical report&lt;/title&gt;&lt;/titles&gt;&lt;pages&gt;150&lt;/pages&gt;&lt;dates&gt;&lt;year&gt;2018&lt;/year&gt;&lt;/dates&gt;&lt;pub-location&gt;Report to the National Environmental Science Program. Reef and Rainforest Research Centre Limited, Cairns&lt;/pub-location&gt;&lt;urls&gt;&lt;related-urls&gt;&lt;url&gt;https://nesptropical.edu.au/index.php/final-reports-round-3/&lt;/url&gt;&lt;/related-urls&gt;&lt;/urls&gt;&lt;access-date&gt;27/05/2019&lt;/access-date&gt;&lt;/record&gt;&lt;/Cite&gt;&lt;/EndNote&gt;</w:instrText>
      </w:r>
      <w:r w:rsidR="00FC7CCA">
        <w:rPr>
          <w:rFonts w:cs="Arial"/>
        </w:rPr>
        <w:fldChar w:fldCharType="separate"/>
      </w:r>
      <w:r w:rsidR="00FC7CCA">
        <w:rPr>
          <w:rFonts w:cs="Arial"/>
          <w:noProof/>
        </w:rPr>
        <w:t>(Robillot et al., 2018)</w:t>
      </w:r>
      <w:r w:rsidR="00FC7CCA">
        <w:rPr>
          <w:rFonts w:cs="Arial"/>
        </w:rPr>
        <w:fldChar w:fldCharType="end"/>
      </w:r>
      <w:r w:rsidR="00535BA5">
        <w:rPr>
          <w:rFonts w:cs="Arial"/>
        </w:rPr>
        <w:t>.</w:t>
      </w:r>
      <w:r w:rsidR="00410311" w:rsidRPr="00410311">
        <w:rPr>
          <w:rFonts w:cs="Arial"/>
        </w:rPr>
        <w:t xml:space="preserve"> </w:t>
      </w:r>
    </w:p>
    <w:p w14:paraId="2ACF2259" w14:textId="1462070B" w:rsidR="00410311" w:rsidRDefault="004F29DF" w:rsidP="00410311">
      <w:pPr>
        <w:rPr>
          <w:rFonts w:cs="Arial"/>
        </w:rPr>
      </w:pPr>
      <w:r w:rsidRPr="00DA0B37">
        <w:rPr>
          <w:rFonts w:cs="Arial"/>
        </w:rPr>
        <w:t>Chl</w:t>
      </w:r>
      <w:r>
        <w:rPr>
          <w:rFonts w:cs="Arial"/>
        </w:rPr>
        <w:t>-</w:t>
      </w:r>
      <w:r w:rsidRPr="008341E2">
        <w:rPr>
          <w:rFonts w:cs="Arial"/>
          <w:i/>
        </w:rPr>
        <w:t>a</w:t>
      </w:r>
      <w:r w:rsidR="00426349" w:rsidRPr="007B0B85">
        <w:t xml:space="preserve"> and Secchi depth (derived as the inverse of Kd (490)</w:t>
      </w:r>
      <w:r w:rsidR="00186A4E">
        <w:t>)</w:t>
      </w:r>
      <w:r w:rsidR="00426349" w:rsidRPr="007B0B85">
        <w:t xml:space="preserve"> w</w:t>
      </w:r>
      <w:r w:rsidR="00426349" w:rsidRPr="00410311">
        <w:t>ere extracted from depth layer 44 of the assimilated eReefs biogeochemical model at a 4</w:t>
      </w:r>
      <w:r w:rsidR="00186A4E">
        <w:t xml:space="preserve"> </w:t>
      </w:r>
      <w:r w:rsidR="00186A4E">
        <w:rPr>
          <w:rFonts w:cs="Arial"/>
        </w:rPr>
        <w:t>×</w:t>
      </w:r>
      <w:r w:rsidR="00186A4E">
        <w:t xml:space="preserve"> </w:t>
      </w:r>
      <w:r w:rsidR="00426349" w:rsidRPr="00410311">
        <w:t xml:space="preserve">4 </w:t>
      </w:r>
      <w:r w:rsidR="00BC5B15" w:rsidRPr="00410311">
        <w:t>k</w:t>
      </w:r>
      <w:r w:rsidR="00BC5B15">
        <w:t>ilometre</w:t>
      </w:r>
      <w:r w:rsidR="00BC5B15" w:rsidRPr="00410311">
        <w:t xml:space="preserve"> </w:t>
      </w:r>
      <w:r w:rsidR="00426349" w:rsidRPr="00410311">
        <w:t>spatial resolution and daily temporal resolution. Observations from each of these measures were partitioned temporally into Water Years (</w:t>
      </w:r>
      <w:r w:rsidR="00186A4E">
        <w:t xml:space="preserve">1 </w:t>
      </w:r>
      <w:r w:rsidR="00426349" w:rsidRPr="00410311">
        <w:t xml:space="preserve">October through to </w:t>
      </w:r>
      <w:r w:rsidR="00186A4E">
        <w:t xml:space="preserve">30 </w:t>
      </w:r>
      <w:r w:rsidR="00426349" w:rsidRPr="00410311">
        <w:t xml:space="preserve">September 30) and spatially into zones representing combinations of </w:t>
      </w:r>
      <w:r w:rsidR="00186A4E">
        <w:t>NRM</w:t>
      </w:r>
      <w:r w:rsidR="00426349" w:rsidRPr="00410311">
        <w:t xml:space="preserve"> </w:t>
      </w:r>
      <w:r w:rsidR="00186A4E">
        <w:t>r</w:t>
      </w:r>
      <w:r w:rsidR="00186A4E" w:rsidRPr="00410311">
        <w:t xml:space="preserve">egions </w:t>
      </w:r>
      <w:r w:rsidR="00426349" w:rsidRPr="00410311">
        <w:t>and cross-shelf water bodies</w:t>
      </w:r>
      <w:r w:rsidR="00505ECC">
        <w:t xml:space="preserve"> </w:t>
      </w:r>
      <w:r w:rsidR="00FC7CCA">
        <w:fldChar w:fldCharType="begin"/>
      </w:r>
      <w:r w:rsidR="00FC7CCA">
        <w:instrText xml:space="preserve"> ADDIN EN.CITE &lt;EndNote&gt;&lt;Cite&gt;&lt;Author&gt;Great Barrier Reef Marine Park Authority&lt;/Author&gt;&lt;Year&gt;2010&lt;/Year&gt;&lt;RecNum&gt;1293&lt;/RecNum&gt;&lt;DisplayText&gt;(Great Barrier Reef Marine Park Authority, 2010)&lt;/DisplayText&gt;&lt;record&gt;&lt;rec-number&gt;1293&lt;/rec-number&gt;&lt;foreign-keys&gt;&lt;key app="EN" db-id="zapfddtwo2e9z5e5vxoxafs7sf59wfp52rvf" timestamp="1558666072"&gt;1293&lt;/key&gt;&lt;/foreign-keys&gt;&lt;ref-type name="Report"&gt;27&lt;/ref-type&gt;&lt;contributors&gt;&lt;authors&gt;&lt;author&gt;Great Barrier Reef Marine Park Authority,&lt;/author&gt;&lt;/authors&gt;&lt;/contributors&gt;&lt;titles&gt;&lt;title&gt;Water quality guidelines for the Great Barrier Reef Marine Park&lt;/title&gt;&lt;/titles&gt;&lt;dates&gt;&lt;year&gt;2010&lt;/year&gt;&lt;/dates&gt;&lt;pub-location&gt;Great Barrier Reef Marine Park Authority, Townsville&lt;/pub-location&gt;&lt;urls&gt;&lt;related-urls&gt;&lt;url&gt;http://www.gbrmpa.gov.au/__data/assets/pdf_file/0017/4526/GBRMPA_WQualityGuidelinesGBRMP_RevEdition_2010.pdf&lt;/url&gt;&lt;/related-urls&gt;&lt;/urls&gt;&lt;access-date&gt;23/05/2019&lt;/access-date&gt;&lt;/record&gt;&lt;/Cite&gt;&lt;/EndNote&gt;</w:instrText>
      </w:r>
      <w:r w:rsidR="00FC7CCA">
        <w:fldChar w:fldCharType="separate"/>
      </w:r>
      <w:r w:rsidR="00FC7CCA">
        <w:rPr>
          <w:noProof/>
        </w:rPr>
        <w:t>(Great Barrier Reef Marine Park Authority, 2010)</w:t>
      </w:r>
      <w:r w:rsidR="00FC7CCA">
        <w:fldChar w:fldCharType="end"/>
      </w:r>
      <w:r w:rsidR="00186A4E">
        <w:t>.</w:t>
      </w:r>
      <w:r w:rsidR="00426349">
        <w:t xml:space="preserve"> </w:t>
      </w:r>
      <w:r w:rsidR="00426349" w:rsidRPr="00410311">
        <w:t xml:space="preserve">The </w:t>
      </w:r>
      <w:r w:rsidR="00410311" w:rsidRPr="00410311">
        <w:rPr>
          <w:rFonts w:cs="Arial"/>
        </w:rPr>
        <w:t xml:space="preserve">enclosed coastal water body was excluded due to limitations associated with the </w:t>
      </w:r>
      <w:r w:rsidR="00186A4E">
        <w:rPr>
          <w:rFonts w:cs="Arial"/>
        </w:rPr>
        <w:t>four</w:t>
      </w:r>
      <w:r w:rsidR="00B17A11">
        <w:rPr>
          <w:rFonts w:cs="Arial"/>
        </w:rPr>
        <w:t>-</w:t>
      </w:r>
      <w:r w:rsidR="00186A4E">
        <w:rPr>
          <w:rFonts w:cs="Arial"/>
        </w:rPr>
        <w:t>kilometre</w:t>
      </w:r>
      <w:r w:rsidR="00410311" w:rsidRPr="00410311">
        <w:rPr>
          <w:rFonts w:cs="Arial"/>
        </w:rPr>
        <w:t xml:space="preserve"> model resolution near the coastline. The site-level data (4</w:t>
      </w:r>
      <w:r w:rsidR="00186A4E">
        <w:rPr>
          <w:rFonts w:cs="Arial"/>
        </w:rPr>
        <w:t xml:space="preserve"> × </w:t>
      </w:r>
      <w:r w:rsidR="00410311" w:rsidRPr="00410311">
        <w:rPr>
          <w:rFonts w:cs="Arial"/>
        </w:rPr>
        <w:t xml:space="preserve">4 </w:t>
      </w:r>
      <w:r w:rsidR="00BC5B15" w:rsidRPr="00410311">
        <w:rPr>
          <w:rFonts w:cs="Arial"/>
        </w:rPr>
        <w:t>k</w:t>
      </w:r>
      <w:r w:rsidR="00BC5B15">
        <w:rPr>
          <w:rFonts w:cs="Arial"/>
        </w:rPr>
        <w:t>ilometre</w:t>
      </w:r>
      <w:r w:rsidR="00410311" w:rsidRPr="00410311">
        <w:rPr>
          <w:rFonts w:cs="Arial"/>
        </w:rPr>
        <w:t xml:space="preserve">) for each measure was standardised to indices on a continuous scale of 0 (very poor) to 100 (very good) by assessing individual values relative to the appropriate </w:t>
      </w:r>
      <w:r w:rsidR="00B72554">
        <w:rPr>
          <w:rFonts w:cs="Arial"/>
        </w:rPr>
        <w:t>Great Barrier Reef W</w:t>
      </w:r>
      <w:r w:rsidR="00410311" w:rsidRPr="00410311">
        <w:rPr>
          <w:rFonts w:cs="Arial"/>
        </w:rPr>
        <w:t xml:space="preserve">ater </w:t>
      </w:r>
      <w:r w:rsidR="00B72554">
        <w:rPr>
          <w:rFonts w:cs="Arial"/>
        </w:rPr>
        <w:t>Q</w:t>
      </w:r>
      <w:r w:rsidR="00410311" w:rsidRPr="00410311">
        <w:rPr>
          <w:rFonts w:cs="Arial"/>
        </w:rPr>
        <w:t xml:space="preserve">uality </w:t>
      </w:r>
      <w:r w:rsidR="00B72554">
        <w:rPr>
          <w:rFonts w:cs="Arial"/>
        </w:rPr>
        <w:t>G</w:t>
      </w:r>
      <w:r w:rsidR="00410311" w:rsidRPr="00410311">
        <w:rPr>
          <w:rFonts w:cs="Arial"/>
        </w:rPr>
        <w:t>uideline value</w:t>
      </w:r>
      <w:r w:rsidR="00505ECC">
        <w:rPr>
          <w:rFonts w:cs="Arial"/>
        </w:rPr>
        <w:t xml:space="preserve"> </w:t>
      </w:r>
      <w:r w:rsidR="00FC7CCA">
        <w:rPr>
          <w:rFonts w:cs="Arial"/>
        </w:rPr>
        <w:fldChar w:fldCharType="begin"/>
      </w:r>
      <w:r w:rsidR="00FC7CCA">
        <w:rPr>
          <w:rFonts w:cs="Arial"/>
        </w:rPr>
        <w:instrText xml:space="preserve"> ADDIN EN.CITE &lt;EndNote&gt;&lt;Cite&gt;&lt;Author&gt;Great Barrier Reef Marine Park Authority&lt;/Author&gt;&lt;Year&gt;2010&lt;/Year&gt;&lt;RecNum&gt;1293&lt;/RecNum&gt;&lt;DisplayText&gt;(Great Barrier Reef Marine Park Authority, 2010)&lt;/DisplayText&gt;&lt;record&gt;&lt;rec-number&gt;1293&lt;/rec-number&gt;&lt;foreign-keys&gt;&lt;key app="EN" db-id="zapfddtwo2e9z5e5vxoxafs7sf59wfp52rvf" timestamp="1558666072"&gt;1293&lt;/key&gt;&lt;/foreign-keys&gt;&lt;ref-type name="Report"&gt;27&lt;/ref-type&gt;&lt;contributors&gt;&lt;authors&gt;&lt;author&gt;Great Barrier Reef Marine Park Authority,&lt;/author&gt;&lt;/authors&gt;&lt;/contributors&gt;&lt;titles&gt;&lt;title&gt;Water quality guidelines for the Great Barrier Reef Marine Park&lt;/title&gt;&lt;/titles&gt;&lt;dates&gt;&lt;year&gt;2010&lt;/year&gt;&lt;/dates&gt;&lt;pub-location&gt;Great Barrier Reef Marine Park Authority, Townsville&lt;/pub-location&gt;&lt;urls&gt;&lt;related-urls&gt;&lt;url&gt;http://www.gbrmpa.gov.au/__data/assets/pdf_file/0017/4526/GBRMPA_WQualityGuidelinesGBRMP_RevEdition_2010.pdf&lt;/url&gt;&lt;/related-urls&gt;&lt;/urls&gt;&lt;access-date&gt;23/05/2019&lt;/access-date&gt;&lt;/record&gt;&lt;/Cite&gt;&lt;/EndNote&gt;</w:instrText>
      </w:r>
      <w:r w:rsidR="00FC7CCA">
        <w:rPr>
          <w:rFonts w:cs="Arial"/>
        </w:rPr>
        <w:fldChar w:fldCharType="separate"/>
      </w:r>
      <w:r w:rsidR="00FC7CCA">
        <w:rPr>
          <w:rFonts w:cs="Arial"/>
          <w:noProof/>
        </w:rPr>
        <w:t>(Great Barrier Reef Marine Park Authority, 2010)</w:t>
      </w:r>
      <w:r w:rsidR="00FC7CCA">
        <w:rPr>
          <w:rFonts w:cs="Arial"/>
        </w:rPr>
        <w:fldChar w:fldCharType="end"/>
      </w:r>
      <w:r w:rsidR="00410311" w:rsidRPr="00410311">
        <w:rPr>
          <w:rFonts w:cs="Arial"/>
        </w:rPr>
        <w:t xml:space="preserve"> </w:t>
      </w:r>
      <w:r w:rsidR="00FA28DE">
        <w:rPr>
          <w:rFonts w:cs="Arial"/>
        </w:rPr>
        <w:t>using</w:t>
      </w:r>
      <w:r w:rsidR="00410311" w:rsidRPr="00410311">
        <w:rPr>
          <w:rFonts w:cs="Arial"/>
        </w:rPr>
        <w:t xml:space="preserve"> a ‘modified amplitude indexation routine’ (fsMAMP: base 2 logarithm of the ratio of observed value to threshold).</w:t>
      </w:r>
    </w:p>
    <w:p w14:paraId="67658D04" w14:textId="66414B61" w:rsidR="00410311" w:rsidRPr="009716A3" w:rsidRDefault="00410311" w:rsidP="00426349">
      <w:pPr>
        <w:rPr>
          <w:highlight w:val="yellow"/>
        </w:rPr>
      </w:pPr>
      <w:r>
        <w:t>I</w:t>
      </w:r>
      <w:r w:rsidRPr="00410311">
        <w:t>ndividual daily</w:t>
      </w:r>
      <w:r w:rsidR="00B17A11">
        <w:t xml:space="preserve"> </w:t>
      </w:r>
      <w:r w:rsidRPr="00410311">
        <w:t>site-level indices for each measure were aggregated (averaged) into annual scores</w:t>
      </w:r>
      <w:r w:rsidR="006158EB">
        <w:t xml:space="preserve"> for each zone.</w:t>
      </w:r>
      <w:r w:rsidR="009C01F0">
        <w:t xml:space="preserve"> </w:t>
      </w:r>
      <w:r w:rsidRPr="00410311">
        <w:t xml:space="preserve"> </w:t>
      </w:r>
      <w:r w:rsidR="007B0B85" w:rsidRPr="007B0B85">
        <w:t>The s</w:t>
      </w:r>
      <w:r w:rsidRPr="007B0B85">
        <w:t xml:space="preserve">cores for Secchi depth </w:t>
      </w:r>
      <w:r w:rsidR="00186A4E" w:rsidRPr="007B0B85">
        <w:t>w</w:t>
      </w:r>
      <w:r w:rsidR="00186A4E">
        <w:t>ere</w:t>
      </w:r>
      <w:r w:rsidR="00186A4E" w:rsidRPr="007B0B85">
        <w:t xml:space="preserve"> </w:t>
      </w:r>
      <w:r w:rsidRPr="007B0B85">
        <w:t xml:space="preserve">then aggregated with the </w:t>
      </w:r>
      <w:r w:rsidR="004F29DF" w:rsidRPr="00DA0B37">
        <w:rPr>
          <w:rFonts w:cs="Arial"/>
        </w:rPr>
        <w:t>Chl</w:t>
      </w:r>
      <w:r w:rsidR="004F29DF">
        <w:rPr>
          <w:rFonts w:cs="Arial"/>
        </w:rPr>
        <w:t>-</w:t>
      </w:r>
      <w:r w:rsidR="004F29DF" w:rsidRPr="008341E2">
        <w:rPr>
          <w:rFonts w:cs="Arial"/>
          <w:i/>
        </w:rPr>
        <w:t>a</w:t>
      </w:r>
      <w:r w:rsidRPr="007B0B85">
        <w:t xml:space="preserve"> score to yield a single score for water quality per zone, which was weighted by the area of the open coastal waters</w:t>
      </w:r>
      <w:r w:rsidR="009C01F0">
        <w:t xml:space="preserve"> </w:t>
      </w:r>
      <w:r w:rsidR="00FC7CCA">
        <w:fldChar w:fldCharType="begin"/>
      </w:r>
      <w:r w:rsidR="00FC7CCA">
        <w:instrText xml:space="preserve"> ADDIN EN.CITE &lt;EndNote&gt;&lt;Cite&gt;&lt;Author&gt;Robillot&lt;/Author&gt;&lt;Year&gt;2018&lt;/Year&gt;&lt;RecNum&gt;1308&lt;/RecNum&gt;&lt;DisplayText&gt;(Robillot et al., 2018)&lt;/DisplayText&gt;&lt;record&gt;&lt;rec-number&gt;1308&lt;/rec-number&gt;&lt;foreign-keys&gt;&lt;key app="EN" db-id="zapfddtwo2e9z5e5vxoxafs7sf59wfp52rvf" timestamp="1558913772"&gt;1308&lt;/key&gt;&lt;/foreign-keys&gt;&lt;ref-type name="Report"&gt;27&lt;/ref-type&gt;&lt;contributors&gt;&lt;authors&gt;&lt;author&gt;Cedric Robillot&lt;/author&gt;&lt;author&gt;Murray Logan&lt;/author&gt;&lt;author&gt;Mark Baird&lt;/author&gt;&lt;author&gt;Jane Waterhouse&lt;/author&gt;&lt;author&gt;Katherine Martin&lt;/author&gt;&lt;author&gt;Britta Schaffelke&lt;/author&gt;&lt;/authors&gt;&lt;/contributors&gt;&lt;titles&gt;&lt;title&gt;Testing and implementation of an improved water quality index for the 2016 and 2017 Great Barrier Reef Report Cards - Detailed technical report&lt;/title&gt;&lt;/titles&gt;&lt;pages&gt;150&lt;/pages&gt;&lt;dates&gt;&lt;year&gt;2018&lt;/year&gt;&lt;/dates&gt;&lt;pub-location&gt;Report to the National Environmental Science Program. Reef and Rainforest Research Centre Limited, Cairns&lt;/pub-location&gt;&lt;urls&gt;&lt;related-urls&gt;&lt;url&gt;https://nesptropical.edu.au/index.php/final-reports-round-3/&lt;/url&gt;&lt;/related-urls&gt;&lt;/urls&gt;&lt;access-date&gt;27/05/2019&lt;/access-date&gt;&lt;/record&gt;&lt;/Cite&gt;&lt;/EndNote&gt;</w:instrText>
      </w:r>
      <w:r w:rsidR="00FC7CCA">
        <w:fldChar w:fldCharType="separate"/>
      </w:r>
      <w:r w:rsidR="00FC7CCA">
        <w:rPr>
          <w:noProof/>
        </w:rPr>
        <w:t>(Robillot et al., 2018)</w:t>
      </w:r>
      <w:r w:rsidR="00FC7CCA">
        <w:fldChar w:fldCharType="end"/>
      </w:r>
      <w:r w:rsidRPr="007B0B85">
        <w:t xml:space="preserve">. </w:t>
      </w:r>
    </w:p>
    <w:p w14:paraId="3DDFC6BE" w14:textId="1214F3C6" w:rsidR="00410311" w:rsidRPr="009716A3" w:rsidRDefault="00410311" w:rsidP="00426349">
      <w:r w:rsidRPr="009716A3">
        <w:t>All reported scores were mapped onto a five-point (A</w:t>
      </w:r>
      <w:r w:rsidR="00186A4E">
        <w:t>–</w:t>
      </w:r>
      <w:r w:rsidRPr="009716A3">
        <w:t>E) grading scale with associated green-red colour scheme (very good: 81</w:t>
      </w:r>
      <w:r w:rsidR="00186A4E">
        <w:t>–</w:t>
      </w:r>
      <w:r w:rsidRPr="009716A3">
        <w:t>100, good: 61</w:t>
      </w:r>
      <w:r w:rsidR="00186A4E">
        <w:t>–</w:t>
      </w:r>
      <w:r w:rsidRPr="009716A3">
        <w:t>80, moderate: 41</w:t>
      </w:r>
      <w:r w:rsidR="00186A4E">
        <w:t>–</w:t>
      </w:r>
      <w:r w:rsidRPr="009716A3">
        <w:t>60, poor: 21</w:t>
      </w:r>
      <w:r w:rsidR="00186A4E">
        <w:t>–</w:t>
      </w:r>
      <w:r w:rsidRPr="009716A3">
        <w:t>40</w:t>
      </w:r>
      <w:r w:rsidR="00186A4E">
        <w:t xml:space="preserve"> and</w:t>
      </w:r>
      <w:r w:rsidRPr="009716A3">
        <w:t xml:space="preserve"> very poor: 0</w:t>
      </w:r>
      <w:r w:rsidR="00186A4E">
        <w:t>–</w:t>
      </w:r>
      <w:r w:rsidRPr="009716A3">
        <w:t>20).</w:t>
      </w:r>
      <w:bookmarkEnd w:id="200"/>
    </w:p>
    <w:p w14:paraId="1EB3362B" w14:textId="77777777" w:rsidR="00931511" w:rsidRDefault="00931511">
      <w:pPr>
        <w:ind w:left="539" w:hanging="539"/>
        <w:rPr>
          <w:rFonts w:eastAsia="Times New Roman" w:cs="Arial"/>
          <w:bCs/>
        </w:rPr>
      </w:pPr>
      <w:r>
        <w:rPr>
          <w:rFonts w:eastAsia="Times New Roman" w:cs="Arial"/>
          <w:bCs/>
        </w:rPr>
        <w:br w:type="page"/>
      </w:r>
    </w:p>
    <w:p w14:paraId="5C31C8A4" w14:textId="27FD9EA3" w:rsidR="00CE70F8" w:rsidRPr="00162308" w:rsidRDefault="00CE70F8" w:rsidP="00374388">
      <w:pPr>
        <w:pStyle w:val="Heading1"/>
      </w:pPr>
      <w:bookmarkStart w:id="201" w:name="_Toc520727838"/>
      <w:bookmarkStart w:id="202" w:name="_Toc12365582"/>
      <w:bookmarkStart w:id="203" w:name="_Ref14685269"/>
      <w:r w:rsidRPr="00162308">
        <w:t xml:space="preserve">Pesticide </w:t>
      </w:r>
      <w:r w:rsidR="00390A52" w:rsidRPr="00162308">
        <w:t>monitoring</w:t>
      </w:r>
      <w:bookmarkEnd w:id="157"/>
      <w:bookmarkEnd w:id="158"/>
      <w:bookmarkEnd w:id="159"/>
      <w:bookmarkEnd w:id="160"/>
      <w:bookmarkEnd w:id="201"/>
      <w:bookmarkEnd w:id="202"/>
      <w:bookmarkEnd w:id="203"/>
    </w:p>
    <w:p w14:paraId="359BD18E" w14:textId="77777777" w:rsidR="00C27461" w:rsidRPr="0058370B" w:rsidRDefault="00C27461" w:rsidP="00C27461">
      <w:pPr>
        <w:pBdr>
          <w:top w:val="single" w:sz="2" w:space="1" w:color="BFBFBF"/>
          <w:left w:val="single" w:sz="2" w:space="4" w:color="BFBFBF"/>
          <w:bottom w:val="single" w:sz="2" w:space="1" w:color="BFBFBF"/>
          <w:right w:val="single" w:sz="2" w:space="4" w:color="BFBFBF"/>
        </w:pBdr>
        <w:shd w:val="clear" w:color="auto" w:fill="D9D9D9"/>
        <w:rPr>
          <w:rFonts w:cs="Arial"/>
          <w:lang w:val="de-DE"/>
        </w:rPr>
      </w:pPr>
      <w:r w:rsidRPr="0058370B">
        <w:rPr>
          <w:rFonts w:cs="Arial"/>
          <w:lang w:val="de-DE" w:eastAsia="en-AU"/>
        </w:rPr>
        <w:t>Christie Gallen, Chris Paxman, Jochen Mueller,</w:t>
      </w:r>
      <w:r>
        <w:rPr>
          <w:rFonts w:cs="Arial"/>
          <w:lang w:val="de-DE" w:eastAsia="en-AU"/>
        </w:rPr>
        <w:t xml:space="preserve"> Tim Reeks, Gabriel Elisei, </w:t>
      </w:r>
      <w:r>
        <w:rPr>
          <w:lang w:val="en-US" w:eastAsia="en-AU"/>
        </w:rPr>
        <w:t>Pritesh Prasad</w:t>
      </w:r>
    </w:p>
    <w:p w14:paraId="62F1CC69" w14:textId="77777777" w:rsidR="00C51021" w:rsidRPr="00162190" w:rsidRDefault="009449B5" w:rsidP="00FE2F59">
      <w:pPr>
        <w:pBdr>
          <w:top w:val="single" w:sz="2" w:space="1" w:color="BFBFBF"/>
          <w:left w:val="single" w:sz="2" w:space="4" w:color="BFBFBF"/>
          <w:bottom w:val="single" w:sz="2" w:space="1" w:color="BFBFBF"/>
          <w:right w:val="single" w:sz="2" w:space="4" w:color="BFBFBF"/>
        </w:pBdr>
        <w:shd w:val="clear" w:color="auto" w:fill="D9D9D9"/>
        <w:rPr>
          <w:rFonts w:cs="Arial"/>
          <w:sz w:val="16"/>
          <w:szCs w:val="16"/>
        </w:rPr>
      </w:pPr>
      <w:r>
        <w:rPr>
          <w:rFonts w:cs="Arial"/>
          <w:sz w:val="16"/>
          <w:szCs w:val="16"/>
        </w:rPr>
        <w:t xml:space="preserve">Queensland Alliance for </w:t>
      </w:r>
      <w:r w:rsidR="00AA70D6">
        <w:rPr>
          <w:rFonts w:cs="Arial"/>
          <w:sz w:val="16"/>
          <w:szCs w:val="16"/>
        </w:rPr>
        <w:t>Environmental</w:t>
      </w:r>
      <w:r>
        <w:rPr>
          <w:rFonts w:cs="Arial"/>
          <w:sz w:val="16"/>
          <w:szCs w:val="16"/>
        </w:rPr>
        <w:t xml:space="preserve"> Health Sciences (QAEHS</w:t>
      </w:r>
      <w:r w:rsidR="00DB2BB4" w:rsidRPr="00162190">
        <w:rPr>
          <w:rFonts w:cs="Arial"/>
          <w:sz w:val="16"/>
          <w:szCs w:val="16"/>
        </w:rPr>
        <w:t>)</w:t>
      </w:r>
      <w:r w:rsidR="00C51021" w:rsidRPr="00162190">
        <w:rPr>
          <w:rFonts w:cs="Arial"/>
          <w:sz w:val="16"/>
          <w:szCs w:val="16"/>
        </w:rPr>
        <w:t xml:space="preserve"> </w:t>
      </w:r>
    </w:p>
    <w:p w14:paraId="713BC22A" w14:textId="541C8A2C" w:rsidR="00BB0109" w:rsidRPr="0058370B" w:rsidRDefault="00BB0109" w:rsidP="00FE2F59">
      <w:pPr>
        <w:pStyle w:val="Heading2"/>
        <w:ind w:left="0" w:firstLine="0"/>
        <w:rPr>
          <w:rFonts w:cs="Arial"/>
          <w:sz w:val="22"/>
          <w:szCs w:val="22"/>
        </w:rPr>
      </w:pPr>
      <w:bookmarkStart w:id="204" w:name="_Toc393785013"/>
      <w:bookmarkStart w:id="205" w:name="_Toc394061123"/>
      <w:bookmarkStart w:id="206" w:name="_Toc394061213"/>
      <w:bookmarkStart w:id="207" w:name="_Toc396311979"/>
      <w:bookmarkStart w:id="208" w:name="_Toc520727839"/>
      <w:bookmarkStart w:id="209" w:name="_Toc12365583"/>
      <w:r w:rsidRPr="0058370B">
        <w:rPr>
          <w:rFonts w:cs="Arial"/>
          <w:sz w:val="22"/>
          <w:szCs w:val="22"/>
        </w:rPr>
        <w:t>Introduction</w:t>
      </w:r>
      <w:bookmarkEnd w:id="204"/>
      <w:bookmarkEnd w:id="205"/>
      <w:bookmarkEnd w:id="206"/>
      <w:bookmarkEnd w:id="207"/>
      <w:bookmarkEnd w:id="208"/>
      <w:bookmarkEnd w:id="209"/>
    </w:p>
    <w:p w14:paraId="1C94C649" w14:textId="28C0A5D4" w:rsidR="00BB0109" w:rsidRPr="0058370B" w:rsidRDefault="00BB0109" w:rsidP="00FE2F59">
      <w:pPr>
        <w:rPr>
          <w:rFonts w:cs="Arial"/>
        </w:rPr>
      </w:pPr>
      <w:r w:rsidRPr="0058370B">
        <w:rPr>
          <w:rFonts w:cs="Arial"/>
        </w:rPr>
        <w:t>The inshore waters of the Reef are impacted by the water quality of discharges from a vast catchment area</w:t>
      </w:r>
      <w:r w:rsidR="00186A4E">
        <w:rPr>
          <w:rFonts w:cs="Arial"/>
        </w:rPr>
        <w:t>,</w:t>
      </w:r>
      <w:r w:rsidRPr="0058370B">
        <w:rPr>
          <w:rFonts w:cs="Arial"/>
        </w:rPr>
        <w:t xml:space="preserve"> which can include inputs of pesticides (i.e. insecticides</w:t>
      </w:r>
      <w:r w:rsidR="002A0D3B">
        <w:rPr>
          <w:rFonts w:cs="Arial"/>
        </w:rPr>
        <w:t xml:space="preserve">, herbicides and fungicides). </w:t>
      </w:r>
      <w:r w:rsidRPr="0058370B">
        <w:rPr>
          <w:rFonts w:cs="Arial"/>
        </w:rPr>
        <w:t xml:space="preserve">The need for a long-term monitoring program on the Reef, which provides time-integrated data to assess temporal changes in environmentally relevant pollutant concentrations, was identified as a priority to address the information deficiencies </w:t>
      </w:r>
      <w:r w:rsidR="00383250">
        <w:rPr>
          <w:rFonts w:cs="Arial"/>
        </w:rPr>
        <w:t>about</w:t>
      </w:r>
      <w:r w:rsidR="00383250" w:rsidRPr="0058370B">
        <w:rPr>
          <w:rFonts w:cs="Arial"/>
        </w:rPr>
        <w:t xml:space="preserve"> </w:t>
      </w:r>
      <w:r w:rsidRPr="0058370B">
        <w:rPr>
          <w:rFonts w:cs="Arial"/>
        </w:rPr>
        <w:t>risks to the ecological integrity of this World Heritage Area in 2000</w:t>
      </w:r>
      <w:r w:rsidR="009052E9">
        <w:rPr>
          <w:rFonts w:cs="Arial"/>
        </w:rPr>
        <w:t xml:space="preserve"> </w:t>
      </w:r>
      <w:r w:rsidR="009052E9">
        <w:rPr>
          <w:rFonts w:cs="Arial"/>
        </w:rPr>
        <w:fldChar w:fldCharType="begin"/>
      </w:r>
      <w:r w:rsidR="009052E9">
        <w:rPr>
          <w:rFonts w:cs="Arial"/>
        </w:rPr>
        <w:instrText xml:space="preserve"> ADDIN EN.CITE &lt;EndNote&gt;&lt;Cite&gt;&lt;Author&gt;Haynes&lt;/Author&gt;&lt;Year&gt;2000&lt;/Year&gt;&lt;RecNum&gt;1314&lt;/RecNum&gt;&lt;DisplayText&gt;(Haynes &amp;amp; Michalek-Wagner, 2000)&lt;/DisplayText&gt;&lt;record&gt;&lt;rec-number&gt;1314&lt;/rec-number&gt;&lt;foreign-keys&gt;&lt;key app="EN" db-id="zapfddtwo2e9z5e5vxoxafs7sf59wfp52rvf" timestamp="1558921540"&gt;1314&lt;/key&gt;&lt;/foreign-keys&gt;&lt;ref-type name="Journal Article"&gt;17&lt;/ref-type&gt;&lt;contributors&gt;&lt;authors&gt;&lt;author&gt;Haynes, David&lt;/author&gt;&lt;author&gt;Michalek-Wagner, Kirsten&lt;/author&gt;&lt;/authors&gt;&lt;/contributors&gt;&lt;titles&gt;&lt;title&gt;Water quality in the Great Barrier Reef World Heritage Area: Past perspectives, current issues and new research directions&lt;/title&gt;&lt;secondary-title&gt;Marine Pollution Bulletin&lt;/secondary-title&gt;&lt;/titles&gt;&lt;periodical&gt;&lt;full-title&gt;Marine Pollution Bulletin&lt;/full-title&gt;&lt;abbr-1&gt;Mar. Pollut. Bull.&lt;/abbr-1&gt;&lt;/periodical&gt;&lt;pages&gt;428-434&lt;/pages&gt;&lt;volume&gt;41&lt;/volume&gt;&lt;number&gt;7&lt;/number&gt;&lt;keywords&gt;&lt;keyword&gt;agricultural pollution&lt;/keyword&gt;&lt;keyword&gt;ecosystem management&lt;/keyword&gt;&lt;keyword&gt;Great Barrier Reef&lt;/keyword&gt;&lt;keyword&gt;heavy metals&lt;/keyword&gt;&lt;keyword&gt;marine parks&lt;/keyword&gt;&lt;keyword&gt;pesticides&lt;/keyword&gt;&lt;/keywords&gt;&lt;dates&gt;&lt;year&gt;2000&lt;/year&gt;&lt;pub-dates&gt;&lt;date&gt;2000/01/01/&lt;/date&gt;&lt;/pub-dates&gt;&lt;/dates&gt;&lt;isbn&gt;0025-326X&lt;/isbn&gt;&lt;urls&gt;&lt;related-urls&gt;&lt;url&gt;http://www.sciencedirect.com/science/article/pii/S0025326X00001508&lt;/url&gt;&lt;/related-urls&gt;&lt;/urls&gt;&lt;electronic-resource-num&gt;https://doi.org/10.1016/S0025-326X(00)00150-8&lt;/electronic-resource-num&gt;&lt;/record&gt;&lt;/Cite&gt;&lt;/EndNote&gt;</w:instrText>
      </w:r>
      <w:r w:rsidR="009052E9">
        <w:rPr>
          <w:rFonts w:cs="Arial"/>
        </w:rPr>
        <w:fldChar w:fldCharType="separate"/>
      </w:r>
      <w:r w:rsidR="009052E9">
        <w:rPr>
          <w:rFonts w:cs="Arial"/>
          <w:noProof/>
        </w:rPr>
        <w:t>(Haynes &amp; Michalek-Wagner, 2000)</w:t>
      </w:r>
      <w:r w:rsidR="009052E9">
        <w:rPr>
          <w:rFonts w:cs="Arial"/>
        </w:rPr>
        <w:fldChar w:fldCharType="end"/>
      </w:r>
      <w:r w:rsidRPr="0058370B">
        <w:rPr>
          <w:rFonts w:cs="Arial"/>
        </w:rPr>
        <w:t>.</w:t>
      </w:r>
      <w:r w:rsidR="009052E9">
        <w:rPr>
          <w:rFonts w:cs="Arial"/>
        </w:rPr>
        <w:t xml:space="preserve"> </w:t>
      </w:r>
      <w:r w:rsidRPr="0058370B">
        <w:rPr>
          <w:rFonts w:cs="Arial"/>
        </w:rPr>
        <w:t xml:space="preserve"> The aim of this component of the MMP is to assess spatial and temporal trends in the concentrations of specific organic chemicals using time-integrated passive sampling techniques primarily through routine monitoring at specific sites.</w:t>
      </w:r>
    </w:p>
    <w:p w14:paraId="586F29A0" w14:textId="77777777" w:rsidR="00C27461" w:rsidRDefault="00C27461" w:rsidP="00C27461">
      <w:pPr>
        <w:rPr>
          <w:rFonts w:cs="Arial"/>
        </w:rPr>
      </w:pPr>
      <w:r w:rsidRPr="0058370B">
        <w:rPr>
          <w:rFonts w:cs="Arial"/>
        </w:rPr>
        <w:t xml:space="preserve">Passive samplers accumulate organic chemicals such as pesticides from water in an initially time-integrated manner until equilibrium is established between the concentration in </w:t>
      </w:r>
      <w:r>
        <w:rPr>
          <w:rFonts w:cs="Arial"/>
        </w:rPr>
        <w:t xml:space="preserve">the </w:t>
      </w:r>
      <w:r w:rsidRPr="0058370B">
        <w:rPr>
          <w:rFonts w:cs="Arial"/>
        </w:rPr>
        <w:t>water (C</w:t>
      </w:r>
      <w:r w:rsidRPr="0058370B">
        <w:rPr>
          <w:rFonts w:cs="Arial"/>
          <w:vertAlign w:val="subscript"/>
        </w:rPr>
        <w:t>W</w:t>
      </w:r>
      <w:r w:rsidRPr="0058370B">
        <w:rPr>
          <w:rFonts w:cs="Arial"/>
        </w:rPr>
        <w:t xml:space="preserve"> ng.L</w:t>
      </w:r>
      <w:r w:rsidRPr="0058370B">
        <w:rPr>
          <w:rFonts w:cs="Arial"/>
          <w:vertAlign w:val="superscript"/>
        </w:rPr>
        <w:t>-1</w:t>
      </w:r>
      <w:r w:rsidRPr="0058370B">
        <w:rPr>
          <w:rFonts w:cs="Arial"/>
        </w:rPr>
        <w:t>) and the concentration in the sampler (C</w:t>
      </w:r>
      <w:r w:rsidRPr="0058370B">
        <w:rPr>
          <w:rFonts w:cs="Arial"/>
          <w:vertAlign w:val="subscript"/>
        </w:rPr>
        <w:t>S</w:t>
      </w:r>
      <w:r w:rsidRPr="0058370B">
        <w:rPr>
          <w:rFonts w:cs="Arial"/>
        </w:rPr>
        <w:t xml:space="preserve"> ng.g</w:t>
      </w:r>
      <w:r w:rsidRPr="0058370B">
        <w:rPr>
          <w:rFonts w:cs="Arial"/>
          <w:vertAlign w:val="superscript"/>
        </w:rPr>
        <w:t>-1</w:t>
      </w:r>
      <w:r w:rsidRPr="0058370B">
        <w:rPr>
          <w:rFonts w:cs="Arial"/>
        </w:rPr>
        <w:t>). The concentration of the chemical in the water can be estimated from the amount of organic chemical accumulated within a given deployment period using calibration data obtained under controlled laboratory conditions</w:t>
      </w:r>
      <w:r>
        <w:rPr>
          <w:rFonts w:cs="Arial"/>
        </w:rPr>
        <w:t xml:space="preserve"> </w:t>
      </w:r>
      <w:r>
        <w:rPr>
          <w:rFonts w:cs="Arial"/>
        </w:rPr>
        <w:fldChar w:fldCharType="begin"/>
      </w:r>
      <w:r>
        <w:rPr>
          <w:rFonts w:cs="Arial"/>
        </w:rPr>
        <w:instrText xml:space="preserve"> ADDIN EN.CITE &lt;EndNote&gt;&lt;Cite&gt;&lt;Author&gt;Booij&lt;/Author&gt;&lt;Year&gt;2007&lt;/Year&gt;&lt;RecNum&gt;1291&lt;/RecNum&gt;&lt;DisplayText&gt;(Booij et al., 2007)&lt;/DisplayText&gt;&lt;record&gt;&lt;rec-number&gt;1291&lt;/rec-number&gt;&lt;foreign-keys&gt;&lt;key app="EN" db-id="zapfddtwo2e9z5e5vxoxafs7sf59wfp52rvf" timestamp="1558661935"&gt;1291&lt;/key&gt;&lt;/foreign-keys&gt;&lt;ref-type name="Book Section"&gt;5&lt;/ref-type&gt;&lt;contributors&gt;&lt;authors&gt;&lt;author&gt;Booij, Kees&lt;/author&gt;&lt;author&gt;Vrana, Branislav&lt;/author&gt;&lt;author&gt;Huckins, James N.&lt;/author&gt;&lt;/authors&gt;&lt;secondary-authors&gt;&lt;author&gt;Greenwood, R.&lt;/author&gt;&lt;author&gt;Mills, G.&lt;/author&gt;&lt;author&gt;Vrana, B.&lt;/author&gt;&lt;/secondary-authors&gt;&lt;/contributors&gt;&lt;titles&gt;&lt;title&gt;Theory, modelling and calibration of passive samplers used in water monitoring&lt;/title&gt;&lt;secondary-title&gt;Passive Sampling Techniques in Environmental Monitoring&lt;/secondary-title&gt;&lt;/titles&gt;&lt;pages&gt;141-169&lt;/pages&gt;&lt;volume&gt;48&lt;/volume&gt;&lt;dates&gt;&lt;year&gt;2007&lt;/year&gt;&lt;pub-dates&gt;&lt;date&gt;2007/01/01/&lt;/date&gt;&lt;/pub-dates&gt;&lt;/dates&gt;&lt;publisher&gt;Elsevier&lt;/publisher&gt;&lt;isbn&gt;0166-526X&lt;/isbn&gt;&lt;urls&gt;&lt;related-urls&gt;&lt;url&gt;http://www.sciencedirect.com/science/article/pii/S0166526X06480077&lt;/url&gt;&lt;/related-urls&gt;&lt;/urls&gt;&lt;electronic-resource-num&gt;https://doi.org/10.1016/S0166-526X(06)48007-7&lt;/electronic-resource-num&gt;&lt;/record&gt;&lt;/Cite&gt;&lt;/EndNote&gt;</w:instrText>
      </w:r>
      <w:r>
        <w:rPr>
          <w:rFonts w:cs="Arial"/>
        </w:rPr>
        <w:fldChar w:fldCharType="separate"/>
      </w:r>
      <w:r>
        <w:rPr>
          <w:rFonts w:cs="Arial"/>
          <w:noProof/>
        </w:rPr>
        <w:t>(Booij et al., 2007)</w:t>
      </w:r>
      <w:r>
        <w:rPr>
          <w:rFonts w:cs="Arial"/>
        </w:rPr>
        <w:fldChar w:fldCharType="end"/>
      </w:r>
      <w:r w:rsidRPr="0058370B">
        <w:rPr>
          <w:rFonts w:cs="Arial"/>
        </w:rPr>
        <w:t>.</w:t>
      </w:r>
    </w:p>
    <w:p w14:paraId="1287B045" w14:textId="01A15E93" w:rsidR="00BB0109" w:rsidRPr="0058370B" w:rsidRDefault="00BB0109" w:rsidP="00FE2F59">
      <w:pPr>
        <w:rPr>
          <w:rFonts w:cs="Arial"/>
        </w:rPr>
      </w:pPr>
      <w:r w:rsidRPr="0058370B">
        <w:rPr>
          <w:rFonts w:cs="Arial"/>
        </w:rPr>
        <w:t>Passive sampling techniques offer cost effective, time-integrated monitoring of both temporal and spatial variation in exposure in the often remote locations encountered on the Reef</w:t>
      </w:r>
      <w:r w:rsidR="009052E9">
        <w:rPr>
          <w:rFonts w:cs="Arial"/>
        </w:rPr>
        <w:t xml:space="preserve"> </w:t>
      </w:r>
      <w:r w:rsidR="009052E9">
        <w:rPr>
          <w:rFonts w:cs="Arial"/>
        </w:rPr>
        <w:fldChar w:fldCharType="begin"/>
      </w:r>
      <w:r w:rsidR="009052E9">
        <w:rPr>
          <w:rFonts w:cs="Arial"/>
        </w:rPr>
        <w:instrText xml:space="preserve"> ADDIN EN.CITE &lt;EndNote&gt;&lt;Cite&gt;&lt;Author&gt;Shaw&lt;/Author&gt;&lt;Year&gt;2005&lt;/Year&gt;&lt;RecNum&gt;1315&lt;/RecNum&gt;&lt;DisplayText&gt;(Shaw &amp;amp; Müller, 2005)&lt;/DisplayText&gt;&lt;record&gt;&lt;rec-number&gt;1315&lt;/rec-number&gt;&lt;foreign-keys&gt;&lt;key app="EN" db-id="zapfddtwo2e9z5e5vxoxafs7sf59wfp52rvf" timestamp="1558921661"&gt;1315&lt;/key&gt;&lt;/foreign-keys&gt;&lt;ref-type name="Journal Article"&gt;17&lt;/ref-type&gt;&lt;contributors&gt;&lt;authors&gt;&lt;author&gt;Shaw, Melanie&lt;/author&gt;&lt;author&gt;Müller, Jochen F.&lt;/author&gt;&lt;/authors&gt;&lt;/contributors&gt;&lt;titles&gt;&lt;title&gt;Preliminary evaluation of the occurrence of herbicides and PAHs in the Wet Tropics region of the Great Barrier Reef, Australia, using passive samplers&lt;/title&gt;&lt;secondary-title&gt;Marine Pollution Bulletin&lt;/secondary-title&gt;&lt;/titles&gt;&lt;periodical&gt;&lt;full-title&gt;Marine Pollution Bulletin&lt;/full-title&gt;&lt;abbr-1&gt;Mar. Pollut. Bull.&lt;/abbr-1&gt;&lt;/periodical&gt;&lt;pages&gt;876-881&lt;/pages&gt;&lt;volume&gt;51&lt;/volume&gt;&lt;number&gt;8&lt;/number&gt;&lt;keywords&gt;&lt;keyword&gt;Water quality&lt;/keyword&gt;&lt;keyword&gt;Passive sampling&lt;/keyword&gt;&lt;keyword&gt;Pollution&lt;/keyword&gt;&lt;keyword&gt;Herbicides&lt;/keyword&gt;&lt;keyword&gt;PAHs&lt;/keyword&gt;&lt;keyword&gt;Great barrier reef&lt;/keyword&gt;&lt;/keywords&gt;&lt;dates&gt;&lt;year&gt;2005&lt;/year&gt;&lt;pub-dates&gt;&lt;date&gt;2005/01/01/&lt;/date&gt;&lt;/pub-dates&gt;&lt;/dates&gt;&lt;isbn&gt;0025-326X&lt;/isbn&gt;&lt;urls&gt;&lt;related-urls&gt;&lt;url&gt;http://www.sciencedirect.com/science/article/pii/S0025326X05001566&lt;/url&gt;&lt;/related-urls&gt;&lt;/urls&gt;&lt;electronic-resource-num&gt;https://doi.org/10.1016/j.marpolbul.2005.04.015&lt;/electronic-resource-num&gt;&lt;/record&gt;&lt;/Cite&gt;&lt;/EndNote&gt;</w:instrText>
      </w:r>
      <w:r w:rsidR="009052E9">
        <w:rPr>
          <w:rFonts w:cs="Arial"/>
        </w:rPr>
        <w:fldChar w:fldCharType="separate"/>
      </w:r>
      <w:r w:rsidR="009052E9">
        <w:rPr>
          <w:rFonts w:cs="Arial"/>
          <w:noProof/>
        </w:rPr>
        <w:t>(Shaw &amp; Müller, 2005)</w:t>
      </w:r>
      <w:r w:rsidR="009052E9">
        <w:rPr>
          <w:rFonts w:cs="Arial"/>
        </w:rPr>
        <w:fldChar w:fldCharType="end"/>
      </w:r>
      <w:r w:rsidRPr="0058370B">
        <w:rPr>
          <w:rFonts w:cs="Arial"/>
        </w:rPr>
        <w:t>.</w:t>
      </w:r>
      <w:r w:rsidR="009052E9">
        <w:rPr>
          <w:rFonts w:cs="Arial"/>
        </w:rPr>
        <w:t xml:space="preserve">  </w:t>
      </w:r>
      <w:r w:rsidRPr="0058370B">
        <w:rPr>
          <w:rFonts w:cs="Arial"/>
        </w:rPr>
        <w:t>These techniques are particularly suited to large scale studies with frequently recurring pollution events</w:t>
      </w:r>
      <w:r w:rsidR="009052E9">
        <w:rPr>
          <w:rFonts w:cs="Arial"/>
        </w:rPr>
        <w:t xml:space="preserve"> </w:t>
      </w:r>
      <w:r w:rsidR="009052E9">
        <w:rPr>
          <w:rFonts w:cs="Arial"/>
        </w:rPr>
        <w:fldChar w:fldCharType="begin"/>
      </w:r>
      <w:r w:rsidR="009052E9">
        <w:rPr>
          <w:rFonts w:cs="Arial"/>
        </w:rPr>
        <w:instrText xml:space="preserve"> ADDIN EN.CITE &lt;EndNote&gt;&lt;Cite&gt;&lt;Author&gt;Schäfer&lt;/Author&gt;&lt;Year&gt;2008&lt;/Year&gt;&lt;RecNum&gt;1316&lt;/RecNum&gt;&lt;DisplayText&gt;(Schäfer et al., 2008)&lt;/DisplayText&gt;&lt;record&gt;&lt;rec-number&gt;1316&lt;/rec-number&gt;&lt;foreign-keys&gt;&lt;key app="EN" db-id="zapfddtwo2e9z5e5vxoxafs7sf59wfp52rvf" timestamp="1558921745"&gt;1316&lt;/key&gt;&lt;/foreign-keys&gt;&lt;ref-type name="Journal Article"&gt;17&lt;/ref-type&gt;&lt;contributors&gt;&lt;authors&gt;&lt;author&gt;Schäfer, Ralf Bernhard&lt;/author&gt;&lt;author&gt;Paschke, Albrecht&lt;/author&gt;&lt;author&gt;Vrana, Branislav&lt;/author&gt;&lt;author&gt;Mueller, Ralf&lt;/author&gt;&lt;author&gt;Liess, Matthias&lt;/author&gt;&lt;/authors&gt;&lt;/contributors&gt;&lt;titles&gt;&lt;title&gt;Performance of the Chemcatcher® passive sampler when used to monitor 10 polar and semi-polar pesticides in 16 Central European streams, and comparison with two other sampling methods&lt;/title&gt;&lt;secondary-title&gt;Water Research&lt;/secondary-title&gt;&lt;/titles&gt;&lt;periodical&gt;&lt;full-title&gt;Water Research&lt;/full-title&gt;&lt;/periodical&gt;&lt;pages&gt;2707-2717&lt;/pages&gt;&lt;volume&gt;42&lt;/volume&gt;&lt;number&gt;10&lt;/number&gt;&lt;keywords&gt;&lt;keyword&gt;Pesticides&lt;/keyword&gt;&lt;keyword&gt;Monitoring&lt;/keyword&gt;&lt;keyword&gt;Pollution&lt;/keyword&gt;&lt;keyword&gt;Passive sampling&lt;/keyword&gt;&lt;keyword&gt;Chemcatcher&lt;/keyword&gt;&lt;/keywords&gt;&lt;dates&gt;&lt;year&gt;2008&lt;/year&gt;&lt;pub-dates&gt;&lt;date&gt;2008/05/01/&lt;/date&gt;&lt;/pub-dates&gt;&lt;/dates&gt;&lt;isbn&gt;0043-1354&lt;/isbn&gt;&lt;urls&gt;&lt;related-urls&gt;&lt;url&gt;http://www.sciencedirect.com/science/article/pii/S0043135408000407&lt;/url&gt;&lt;/related-urls&gt;&lt;/urls&gt;&lt;electronic-resource-num&gt;https://doi.org/10.1016/j.watres.2008.01.023&lt;/electronic-resource-num&gt;&lt;/record&gt;&lt;/Cite&gt;&lt;/EndNote&gt;</w:instrText>
      </w:r>
      <w:r w:rsidR="009052E9">
        <w:rPr>
          <w:rFonts w:cs="Arial"/>
        </w:rPr>
        <w:fldChar w:fldCharType="separate"/>
      </w:r>
      <w:r w:rsidR="009052E9">
        <w:rPr>
          <w:rFonts w:cs="Arial"/>
          <w:noProof/>
        </w:rPr>
        <w:t>(Schäfer et al., 2008)</w:t>
      </w:r>
      <w:r w:rsidR="009052E9">
        <w:rPr>
          <w:rFonts w:cs="Arial"/>
        </w:rPr>
        <w:fldChar w:fldCharType="end"/>
      </w:r>
      <w:r w:rsidRPr="0058370B">
        <w:rPr>
          <w:rFonts w:cs="Arial"/>
        </w:rPr>
        <w:t xml:space="preserve"> to </w:t>
      </w:r>
      <w:r w:rsidR="00383250">
        <w:rPr>
          <w:rFonts w:cs="Arial"/>
        </w:rPr>
        <w:t>make sure</w:t>
      </w:r>
      <w:r w:rsidR="00383250" w:rsidRPr="0058370B">
        <w:rPr>
          <w:rFonts w:cs="Arial"/>
        </w:rPr>
        <w:t xml:space="preserve"> </w:t>
      </w:r>
      <w:r w:rsidR="00AC2BC2">
        <w:rPr>
          <w:rFonts w:cs="Arial"/>
        </w:rPr>
        <w:t xml:space="preserve">that </w:t>
      </w:r>
      <w:r w:rsidRPr="0058370B">
        <w:rPr>
          <w:rFonts w:cs="Arial"/>
        </w:rPr>
        <w:t>these events are captured and to allow the assessment of temporal trends in concentrations in systems over the long term</w:t>
      </w:r>
      <w:r w:rsidR="009052E9">
        <w:rPr>
          <w:rFonts w:cs="Arial"/>
        </w:rPr>
        <w:t xml:space="preserve"> </w:t>
      </w:r>
      <w:r w:rsidR="009052E9">
        <w:rPr>
          <w:rFonts w:cs="Arial"/>
        </w:rPr>
        <w:fldChar w:fldCharType="begin">
          <w:fldData xml:space="preserve">PEVuZE5vdGU+PENpdGU+PEF1dGhvcj5LZW5uZWR5PC9BdXRob3I+PFllYXI+MjAxMDwvWWVhcj48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</w:fldData>
        </w:fldChar>
      </w:r>
      <w:r w:rsidR="009052E9">
        <w:rPr>
          <w:rFonts w:cs="Arial"/>
        </w:rPr>
        <w:instrText xml:space="preserve"> ADDIN EN.CITE </w:instrText>
      </w:r>
      <w:r w:rsidR="009052E9">
        <w:rPr>
          <w:rFonts w:cs="Arial"/>
        </w:rPr>
        <w:fldChar w:fldCharType="begin">
          <w:fldData xml:space="preserve">PEVuZE5vdGU+PENpdGU+PEF1dGhvcj5LZW5uZWR5PC9BdXRob3I+PFllYXI+MjAxMDwvWWVhcj48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</w:fldData>
        </w:fldChar>
      </w:r>
      <w:r w:rsidR="009052E9">
        <w:rPr>
          <w:rFonts w:cs="Arial"/>
        </w:rPr>
        <w:instrText xml:space="preserve"> ADDIN EN.CITE.DATA </w:instrText>
      </w:r>
      <w:r w:rsidR="009052E9">
        <w:rPr>
          <w:rFonts w:cs="Arial"/>
        </w:rPr>
      </w:r>
      <w:r w:rsidR="009052E9">
        <w:rPr>
          <w:rFonts w:cs="Arial"/>
        </w:rPr>
        <w:fldChar w:fldCharType="end"/>
      </w:r>
      <w:r w:rsidR="009052E9">
        <w:rPr>
          <w:rFonts w:cs="Arial"/>
        </w:rPr>
      </w:r>
      <w:r w:rsidR="009052E9">
        <w:rPr>
          <w:rFonts w:cs="Arial"/>
        </w:rPr>
        <w:fldChar w:fldCharType="separate"/>
      </w:r>
      <w:r w:rsidR="009052E9">
        <w:rPr>
          <w:rFonts w:cs="Arial"/>
          <w:noProof/>
        </w:rPr>
        <w:t>(Kennedy et al., 2010; Mueller et al., 2011)</w:t>
      </w:r>
      <w:r w:rsidR="009052E9">
        <w:rPr>
          <w:rFonts w:cs="Arial"/>
        </w:rPr>
        <w:fldChar w:fldCharType="end"/>
      </w:r>
      <w:r w:rsidR="00B17A11">
        <w:rPr>
          <w:rFonts w:cs="Arial"/>
        </w:rPr>
        <w:t>.</w:t>
      </w:r>
      <w:r w:rsidR="009052E9" w:rsidRPr="0058370B">
        <w:rPr>
          <w:rFonts w:cs="Arial"/>
        </w:rPr>
        <w:t xml:space="preserve"> </w:t>
      </w:r>
    </w:p>
    <w:p w14:paraId="1A7DDF93" w14:textId="32113DC6" w:rsidR="00BB0109" w:rsidRPr="0058370B" w:rsidRDefault="00BB0109" w:rsidP="00FE2F59">
      <w:pPr>
        <w:rPr>
          <w:rFonts w:cs="Arial"/>
        </w:rPr>
      </w:pPr>
      <w:r w:rsidRPr="0058370B">
        <w:rPr>
          <w:rFonts w:cs="Arial"/>
        </w:rPr>
        <w:t xml:space="preserve">Different types of organic chemicals </w:t>
      </w:r>
      <w:r w:rsidR="00AC2BC2">
        <w:rPr>
          <w:rFonts w:cs="Arial"/>
        </w:rPr>
        <w:t>must</w:t>
      </w:r>
      <w:r w:rsidRPr="0058370B">
        <w:rPr>
          <w:rFonts w:cs="Arial"/>
        </w:rPr>
        <w:t xml:space="preserve"> be targeted using different passive sampling phases. The passive sampling techniques </w:t>
      </w:r>
      <w:r w:rsidR="00AC2BC2">
        <w:rPr>
          <w:rFonts w:cs="Arial"/>
        </w:rPr>
        <w:t>that</w:t>
      </w:r>
      <w:r w:rsidR="00AC2BC2" w:rsidRPr="0058370B">
        <w:rPr>
          <w:rFonts w:cs="Arial"/>
        </w:rPr>
        <w:t xml:space="preserve"> </w:t>
      </w:r>
      <w:r w:rsidRPr="0058370B">
        <w:rPr>
          <w:rFonts w:cs="Arial"/>
        </w:rPr>
        <w:t>are utilized in the MMP include:</w:t>
      </w:r>
    </w:p>
    <w:p w14:paraId="69F6D9D3" w14:textId="2FC36E46" w:rsidR="00BB0109" w:rsidRPr="006832C0" w:rsidRDefault="00BB0109" w:rsidP="00B20EE5">
      <w:pPr>
        <w:pStyle w:val="ListParagraph"/>
        <w:numPr>
          <w:ilvl w:val="0"/>
          <w:numId w:val="5"/>
        </w:numPr>
        <w:rPr>
          <w:rFonts w:cs="Arial"/>
        </w:rPr>
      </w:pPr>
      <w:r w:rsidRPr="006832C0">
        <w:rPr>
          <w:rFonts w:cs="Arial"/>
          <w:b/>
        </w:rPr>
        <w:t>SDB-RPS Empore</w:t>
      </w:r>
      <w:r w:rsidRPr="006832C0">
        <w:rPr>
          <w:rFonts w:cs="Arial"/>
          <w:b/>
          <w:vertAlign w:val="superscript"/>
        </w:rPr>
        <w:t>TM</w:t>
      </w:r>
      <w:r w:rsidRPr="006832C0">
        <w:rPr>
          <w:rFonts w:cs="Arial"/>
          <w:b/>
        </w:rPr>
        <w:t xml:space="preserve"> Disk (ED)</w:t>
      </w:r>
      <w:r w:rsidR="00B17A11">
        <w:rPr>
          <w:rFonts w:cs="Arial"/>
          <w:b/>
        </w:rPr>
        <w:t xml:space="preserve">: </w:t>
      </w:r>
      <w:r w:rsidRPr="006832C0">
        <w:rPr>
          <w:rFonts w:cs="Arial"/>
        </w:rPr>
        <w:t>passive samplers for relatively hydrophilic organic chemicals with relatively low octanol-water partition coefficients (K</w:t>
      </w:r>
      <w:r w:rsidRPr="006832C0">
        <w:rPr>
          <w:rFonts w:cs="Arial"/>
          <w:vertAlign w:val="subscript"/>
        </w:rPr>
        <w:t>ow</w:t>
      </w:r>
      <w:r w:rsidRPr="006832C0">
        <w:rPr>
          <w:rFonts w:cs="Arial"/>
        </w:rPr>
        <w:t xml:space="preserve">) such as the </w:t>
      </w:r>
      <w:r w:rsidR="000E00C1">
        <w:rPr>
          <w:rFonts w:cs="Arial"/>
        </w:rPr>
        <w:t>photosystem II (</w:t>
      </w:r>
      <w:r w:rsidRPr="006832C0">
        <w:rPr>
          <w:rFonts w:cs="Arial"/>
        </w:rPr>
        <w:t>PSII</w:t>
      </w:r>
      <w:r w:rsidR="000E00C1">
        <w:rPr>
          <w:rFonts w:cs="Arial"/>
        </w:rPr>
        <w:t>)</w:t>
      </w:r>
      <w:r w:rsidRPr="006832C0">
        <w:rPr>
          <w:rFonts w:cs="Arial"/>
        </w:rPr>
        <w:t xml:space="preserve"> herbicides (</w:t>
      </w:r>
      <w:r w:rsidR="00AC2BC2">
        <w:rPr>
          <w:rFonts w:cs="Arial"/>
        </w:rPr>
        <w:t xml:space="preserve">for </w:t>
      </w:r>
      <w:r w:rsidRPr="006832C0">
        <w:rPr>
          <w:rFonts w:cs="Arial"/>
        </w:rPr>
        <w:t xml:space="preserve">example atrazine </w:t>
      </w:r>
      <w:r w:rsidR="00AC2BC2">
        <w:rPr>
          <w:rFonts w:cs="Arial"/>
        </w:rPr>
        <w:t>—</w:t>
      </w:r>
      <w:r w:rsidRPr="006832C0">
        <w:rPr>
          <w:rFonts w:cs="Arial"/>
        </w:rPr>
        <w:t xml:space="preserve"> a triazine herbicide)</w:t>
      </w:r>
      <w:r w:rsidR="00B17A11">
        <w:rPr>
          <w:rFonts w:cs="Arial"/>
        </w:rPr>
        <w:t>;</w:t>
      </w:r>
      <w:r w:rsidRPr="006832C0">
        <w:rPr>
          <w:rFonts w:cs="Arial"/>
        </w:rPr>
        <w:t xml:space="preserve"> also referred to as polar organic chemical samplers.</w:t>
      </w:r>
    </w:p>
    <w:p w14:paraId="3E0F622C" w14:textId="60E9A7E0" w:rsidR="00BB0109" w:rsidRPr="006832C0" w:rsidRDefault="00BB0109" w:rsidP="00B20EE5">
      <w:pPr>
        <w:pStyle w:val="ListParagraph"/>
        <w:numPr>
          <w:ilvl w:val="0"/>
          <w:numId w:val="5"/>
        </w:numPr>
        <w:rPr>
          <w:rFonts w:cs="Arial"/>
        </w:rPr>
      </w:pPr>
      <w:r w:rsidRPr="006832C0">
        <w:rPr>
          <w:rFonts w:cs="Arial"/>
          <w:b/>
        </w:rPr>
        <w:t>Polydimethylsiloxane (PDMS)</w:t>
      </w:r>
      <w:r w:rsidR="00B17A11">
        <w:rPr>
          <w:rFonts w:cs="Arial"/>
          <w:b/>
        </w:rPr>
        <w:t xml:space="preserve">: </w:t>
      </w:r>
      <w:r w:rsidRPr="006832C0">
        <w:rPr>
          <w:rFonts w:cs="Arial"/>
        </w:rPr>
        <w:t xml:space="preserve">passive samplers for organic chemicals </w:t>
      </w:r>
      <w:r w:rsidR="00AC2BC2">
        <w:rPr>
          <w:rFonts w:cs="Arial"/>
        </w:rPr>
        <w:t>that</w:t>
      </w:r>
      <w:r w:rsidR="00AC2BC2" w:rsidRPr="006832C0">
        <w:rPr>
          <w:rFonts w:cs="Arial"/>
        </w:rPr>
        <w:t xml:space="preserve"> </w:t>
      </w:r>
      <w:r w:rsidRPr="006832C0">
        <w:rPr>
          <w:rFonts w:cs="Arial"/>
        </w:rPr>
        <w:t>are relatively more hydrophobic (higher K</w:t>
      </w:r>
      <w:r w:rsidRPr="006832C0">
        <w:rPr>
          <w:rFonts w:cs="Arial"/>
          <w:vertAlign w:val="subscript"/>
        </w:rPr>
        <w:t>ow</w:t>
      </w:r>
      <w:r w:rsidRPr="006832C0">
        <w:rPr>
          <w:rFonts w:cs="Arial"/>
        </w:rPr>
        <w:t>) (</w:t>
      </w:r>
      <w:r w:rsidR="00AC2BC2">
        <w:rPr>
          <w:rFonts w:cs="Arial"/>
        </w:rPr>
        <w:t xml:space="preserve">for </w:t>
      </w:r>
      <w:r w:rsidRPr="006832C0">
        <w:rPr>
          <w:rFonts w:cs="Arial"/>
        </w:rPr>
        <w:t xml:space="preserve">example </w:t>
      </w:r>
      <w:r w:rsidR="009449B5">
        <w:rPr>
          <w:rFonts w:cs="Arial"/>
        </w:rPr>
        <w:t>chlorpyrifos</w:t>
      </w:r>
      <w:r w:rsidR="00AC2BC2">
        <w:rPr>
          <w:rFonts w:cs="Arial"/>
        </w:rPr>
        <w:t xml:space="preserve"> —</w:t>
      </w:r>
      <w:r w:rsidRPr="006832C0">
        <w:rPr>
          <w:rFonts w:cs="Arial"/>
        </w:rPr>
        <w:t xml:space="preserve"> an organo</w:t>
      </w:r>
      <w:r w:rsidR="009449B5">
        <w:rPr>
          <w:rFonts w:cs="Arial"/>
        </w:rPr>
        <w:t>phosphate</w:t>
      </w:r>
      <w:r w:rsidRPr="006832C0">
        <w:rPr>
          <w:rFonts w:cs="Arial"/>
        </w:rPr>
        <w:t xml:space="preserve"> insecticide)</w:t>
      </w:r>
      <w:r w:rsidR="00B17A11">
        <w:rPr>
          <w:rFonts w:cs="Arial"/>
        </w:rPr>
        <w:t xml:space="preserve">; </w:t>
      </w:r>
      <w:r w:rsidRPr="006832C0">
        <w:rPr>
          <w:rFonts w:cs="Arial"/>
        </w:rPr>
        <w:t>also referred to as non-polar organic chemical samplers.</w:t>
      </w:r>
      <w:r w:rsidRPr="006832C0">
        <w:rPr>
          <w:rFonts w:cs="Arial"/>
          <w:b/>
        </w:rPr>
        <w:t xml:space="preserve"> </w:t>
      </w:r>
    </w:p>
    <w:p w14:paraId="6F3608C0" w14:textId="47BCF029" w:rsidR="00F8280C" w:rsidRPr="0058370B" w:rsidRDefault="00F8280C" w:rsidP="00FE2F59">
      <w:pPr>
        <w:pStyle w:val="Heading2"/>
        <w:ind w:left="0" w:firstLine="0"/>
        <w:rPr>
          <w:rFonts w:cs="Arial"/>
          <w:sz w:val="22"/>
          <w:szCs w:val="22"/>
          <w:lang w:eastAsia="en-AU"/>
        </w:rPr>
      </w:pPr>
      <w:bookmarkStart w:id="210" w:name="_Toc393785014"/>
      <w:bookmarkStart w:id="211" w:name="_Toc394061124"/>
      <w:bookmarkStart w:id="212" w:name="_Toc394061214"/>
      <w:bookmarkStart w:id="213" w:name="_Toc396311980"/>
      <w:bookmarkStart w:id="214" w:name="_Toc520727840"/>
      <w:bookmarkStart w:id="215" w:name="_Toc12365584"/>
      <w:r w:rsidRPr="0058370B">
        <w:rPr>
          <w:rFonts w:cs="Arial"/>
          <w:sz w:val="22"/>
          <w:szCs w:val="22"/>
          <w:lang w:eastAsia="en-AU"/>
        </w:rPr>
        <w:t>Methods</w:t>
      </w:r>
      <w:bookmarkEnd w:id="210"/>
      <w:bookmarkEnd w:id="211"/>
      <w:bookmarkEnd w:id="212"/>
      <w:bookmarkEnd w:id="213"/>
      <w:bookmarkEnd w:id="214"/>
      <w:bookmarkEnd w:id="215"/>
    </w:p>
    <w:p w14:paraId="06FA94A1" w14:textId="3F3DC04A" w:rsidR="00F8280C" w:rsidRPr="0058370B" w:rsidRDefault="00F8280C">
      <w:pPr>
        <w:pStyle w:val="Heading3"/>
      </w:pPr>
      <w:bookmarkStart w:id="216" w:name="_Toc393785015"/>
      <w:bookmarkStart w:id="217" w:name="_Toc394061125"/>
      <w:bookmarkStart w:id="218" w:name="_Toc394061215"/>
      <w:bookmarkStart w:id="219" w:name="_Toc396311981"/>
      <w:bookmarkStart w:id="220" w:name="_Toc520727841"/>
      <w:bookmarkStart w:id="221" w:name="_Toc12365585"/>
      <w:r w:rsidRPr="0058370B">
        <w:t xml:space="preserve">Sampling design </w:t>
      </w:r>
      <w:r w:rsidR="00AC2BC2">
        <w:t>—</w:t>
      </w:r>
      <w:r w:rsidRPr="0058370B">
        <w:t xml:space="preserve"> Passive sampling for routine monitoring</w:t>
      </w:r>
      <w:bookmarkEnd w:id="216"/>
      <w:bookmarkEnd w:id="217"/>
      <w:bookmarkEnd w:id="218"/>
      <w:bookmarkEnd w:id="219"/>
      <w:bookmarkEnd w:id="220"/>
      <w:bookmarkEnd w:id="221"/>
    </w:p>
    <w:p w14:paraId="5624A719" w14:textId="210FDB7F" w:rsidR="00F8280C" w:rsidRDefault="00383250" w:rsidP="00FE2F59">
      <w:pPr>
        <w:rPr>
          <w:rFonts w:cs="Arial"/>
          <w:lang w:eastAsia="en-AU"/>
        </w:rPr>
      </w:pPr>
      <w:r>
        <w:rPr>
          <w:rFonts w:cs="Arial"/>
          <w:lang w:eastAsia="en-AU"/>
        </w:rPr>
        <w:t>Before</w:t>
      </w:r>
      <w:r w:rsidR="00F8280C" w:rsidRPr="0058370B">
        <w:rPr>
          <w:rFonts w:cs="Arial"/>
          <w:lang w:eastAsia="en-AU"/>
        </w:rPr>
        <w:t xml:space="preserve"> the 2014</w:t>
      </w:r>
      <w:r>
        <w:rPr>
          <w:rFonts w:cs="Arial"/>
          <w:lang w:eastAsia="en-AU"/>
        </w:rPr>
        <w:t>–</w:t>
      </w:r>
      <w:r w:rsidR="00F8280C" w:rsidRPr="0058370B">
        <w:rPr>
          <w:rFonts w:cs="Arial"/>
          <w:lang w:eastAsia="en-AU"/>
        </w:rPr>
        <w:t xml:space="preserve">15 monitoring year, </w:t>
      </w:r>
      <w:r w:rsidR="00AC2BC2">
        <w:rPr>
          <w:rFonts w:cs="Arial"/>
          <w:lang w:eastAsia="en-AU"/>
        </w:rPr>
        <w:t>12</w:t>
      </w:r>
      <w:r w:rsidR="00AC2BC2" w:rsidRPr="0058370B">
        <w:rPr>
          <w:rFonts w:cs="Arial"/>
          <w:lang w:eastAsia="en-AU"/>
        </w:rPr>
        <w:t xml:space="preserve"> </w:t>
      </w:r>
      <w:r w:rsidR="00F8280C" w:rsidRPr="0058370B">
        <w:rPr>
          <w:rFonts w:cs="Arial"/>
          <w:lang w:eastAsia="en-AU"/>
        </w:rPr>
        <w:t xml:space="preserve">sites were routinely monitored across </w:t>
      </w:r>
      <w:r w:rsidR="00AC2BC2">
        <w:rPr>
          <w:rFonts w:cs="Arial"/>
          <w:lang w:eastAsia="en-AU"/>
        </w:rPr>
        <w:t xml:space="preserve">the </w:t>
      </w:r>
      <w:r w:rsidR="00F8280C" w:rsidRPr="0058370B">
        <w:rPr>
          <w:rFonts w:cs="Arial"/>
          <w:lang w:eastAsia="en-AU"/>
        </w:rPr>
        <w:t xml:space="preserve">four </w:t>
      </w:r>
      <w:r w:rsidR="009449B5">
        <w:rPr>
          <w:rFonts w:cs="Arial"/>
          <w:lang w:eastAsia="en-AU"/>
        </w:rPr>
        <w:t>NRM</w:t>
      </w:r>
      <w:r w:rsidR="00F8280C" w:rsidRPr="0058370B">
        <w:rPr>
          <w:rFonts w:cs="Arial"/>
          <w:lang w:eastAsia="en-AU"/>
        </w:rPr>
        <w:t xml:space="preserve"> regions (Wet Tropics, Burdekin, Mackay Whitsunday and Fitzroy) (see previous </w:t>
      </w:r>
      <w:r w:rsidR="00F8280C">
        <w:rPr>
          <w:rFonts w:cs="Arial"/>
          <w:lang w:eastAsia="en-AU"/>
        </w:rPr>
        <w:t>QA/QC</w:t>
      </w:r>
      <w:r w:rsidR="00F8280C" w:rsidRPr="0058370B">
        <w:rPr>
          <w:rFonts w:cs="Arial"/>
          <w:lang w:eastAsia="en-AU"/>
        </w:rPr>
        <w:t xml:space="preserve"> and annual reports). Following a review of the program in 2013 and 2014, there was a consensus to discontinue monitoring at several locations due to poor statistical power in detecting trends in pesticide concentrations, and initiate sampling in new locations that would better link end-of-catchment loads with inshore concentrations of pesticides. A total of </w:t>
      </w:r>
      <w:r w:rsidR="00AC2BC2">
        <w:rPr>
          <w:rFonts w:cs="Arial"/>
          <w:lang w:eastAsia="en-AU"/>
        </w:rPr>
        <w:t>11</w:t>
      </w:r>
      <w:r w:rsidR="00AC2BC2" w:rsidRPr="0058370B">
        <w:rPr>
          <w:rFonts w:cs="Arial"/>
          <w:lang w:eastAsia="en-AU"/>
        </w:rPr>
        <w:t xml:space="preserve"> </w:t>
      </w:r>
      <w:r w:rsidR="00F8280C" w:rsidRPr="0058370B">
        <w:rPr>
          <w:rFonts w:cs="Arial"/>
          <w:lang w:eastAsia="en-AU"/>
        </w:rPr>
        <w:t xml:space="preserve">sites </w:t>
      </w:r>
      <w:r w:rsidR="009449B5">
        <w:rPr>
          <w:rFonts w:cs="Arial"/>
          <w:lang w:eastAsia="en-AU"/>
        </w:rPr>
        <w:t xml:space="preserve">across the same four NRM regions </w:t>
      </w:r>
      <w:r w:rsidR="00F8280C" w:rsidRPr="0058370B">
        <w:rPr>
          <w:rFonts w:cs="Arial"/>
          <w:lang w:eastAsia="en-AU"/>
        </w:rPr>
        <w:t>were selected for the future monitoring progra</w:t>
      </w:r>
      <w:r w:rsidR="00F8280C" w:rsidRPr="00095A05">
        <w:rPr>
          <w:rFonts w:cs="Arial"/>
          <w:lang w:eastAsia="en-AU"/>
        </w:rPr>
        <w:t>m</w:t>
      </w:r>
      <w:r w:rsidR="009449B5" w:rsidRPr="00095A05">
        <w:rPr>
          <w:rFonts w:cs="Arial"/>
          <w:lang w:eastAsia="en-AU"/>
        </w:rPr>
        <w:t xml:space="preserve"> (</w:t>
      </w:r>
      <w:r w:rsidR="009449B5" w:rsidRPr="00095A05">
        <w:rPr>
          <w:rFonts w:cs="Arial"/>
          <w:lang w:eastAsia="en-AU"/>
        </w:rPr>
        <w:fldChar w:fldCharType="begin"/>
      </w:r>
      <w:r w:rsidR="009449B5" w:rsidRPr="00095A05">
        <w:rPr>
          <w:rFonts w:cs="Arial"/>
          <w:lang w:eastAsia="en-AU"/>
        </w:rPr>
        <w:instrText xml:space="preserve"> REF _Ref465258986 \h </w:instrText>
      </w:r>
      <w:r w:rsidR="00095A05" w:rsidRPr="00095A05">
        <w:rPr>
          <w:rFonts w:cs="Arial"/>
          <w:lang w:eastAsia="en-AU"/>
        </w:rPr>
        <w:instrText xml:space="preserve"> \* MERGEFORMAT </w:instrText>
      </w:r>
      <w:r w:rsidR="009449B5" w:rsidRPr="00095A05">
        <w:rPr>
          <w:rFonts w:cs="Arial"/>
          <w:lang w:eastAsia="en-AU"/>
        </w:rPr>
      </w:r>
      <w:r w:rsidR="009449B5" w:rsidRPr="00095A05">
        <w:rPr>
          <w:rFonts w:cs="Arial"/>
          <w:lang w:eastAsia="en-AU"/>
        </w:rPr>
        <w:fldChar w:fldCharType="separate"/>
      </w:r>
      <w:r w:rsidR="00D528AA" w:rsidRPr="00F529DD">
        <w:t xml:space="preserve">Figure </w:t>
      </w:r>
      <w:r w:rsidR="00D528AA">
        <w:rPr>
          <w:noProof/>
        </w:rPr>
        <w:t>4</w:t>
      </w:r>
      <w:r w:rsidR="00D528AA">
        <w:rPr>
          <w:noProof/>
        </w:rPr>
        <w:noBreakHyphen/>
        <w:t>1</w:t>
      </w:r>
      <w:r w:rsidR="009449B5" w:rsidRPr="00095A05">
        <w:rPr>
          <w:rFonts w:cs="Arial"/>
          <w:lang w:eastAsia="en-AU"/>
        </w:rPr>
        <w:fldChar w:fldCharType="end"/>
      </w:r>
      <w:r w:rsidR="009449B5" w:rsidRPr="00095A05">
        <w:rPr>
          <w:rFonts w:cs="Arial"/>
          <w:lang w:eastAsia="en-AU"/>
        </w:rPr>
        <w:t>), which included</w:t>
      </w:r>
      <w:r w:rsidR="00F8280C" w:rsidRPr="00095A05">
        <w:rPr>
          <w:rFonts w:cs="Arial"/>
          <w:lang w:eastAsia="en-AU"/>
        </w:rPr>
        <w:t xml:space="preserve"> five long-term sites </w:t>
      </w:r>
      <w:r w:rsidR="009449B5" w:rsidRPr="00095A05">
        <w:rPr>
          <w:rFonts w:cs="Arial"/>
          <w:lang w:eastAsia="en-AU"/>
        </w:rPr>
        <w:t xml:space="preserve">monitored since 2005–09 </w:t>
      </w:r>
      <w:r w:rsidR="00AC2BC2">
        <w:rPr>
          <w:rFonts w:cs="Arial"/>
          <w:lang w:eastAsia="en-AU"/>
        </w:rPr>
        <w:t>(</w:t>
      </w:r>
      <w:r w:rsidR="00F8280C" w:rsidRPr="00095A05">
        <w:rPr>
          <w:rFonts w:cs="Arial"/>
          <w:highlight w:val="yellow"/>
          <w:lang w:eastAsia="en-AU"/>
        </w:rPr>
        <w:fldChar w:fldCharType="begin"/>
      </w:r>
      <w:r w:rsidR="00F8280C" w:rsidRPr="00095A05">
        <w:rPr>
          <w:rFonts w:cs="Arial"/>
          <w:lang w:eastAsia="en-AU"/>
        </w:rPr>
        <w:instrText xml:space="preserve"> REF _Ref433191017 \h </w:instrText>
      </w:r>
      <w:r w:rsidR="00095A05" w:rsidRPr="00095A05">
        <w:rPr>
          <w:rFonts w:cs="Arial"/>
          <w:highlight w:val="yellow"/>
          <w:lang w:eastAsia="en-AU"/>
        </w:rPr>
        <w:instrText xml:space="preserve"> \* MERGEFORMAT </w:instrText>
      </w:r>
      <w:r w:rsidR="00F8280C" w:rsidRPr="00095A05">
        <w:rPr>
          <w:rFonts w:cs="Arial"/>
          <w:highlight w:val="yellow"/>
          <w:lang w:eastAsia="en-AU"/>
        </w:rPr>
      </w:r>
      <w:r w:rsidR="00F8280C" w:rsidRPr="00095A05">
        <w:rPr>
          <w:rFonts w:cs="Arial"/>
          <w:highlight w:val="yellow"/>
          <w:lang w:eastAsia="en-AU"/>
        </w:rPr>
        <w:fldChar w:fldCharType="separate"/>
      </w:r>
      <w:r w:rsidR="00D528AA" w:rsidRPr="00F529DD">
        <w:t xml:space="preserve">Table </w:t>
      </w:r>
      <w:r w:rsidR="00D528AA">
        <w:rPr>
          <w:noProof/>
        </w:rPr>
        <w:t>4.1</w:t>
      </w:r>
      <w:r w:rsidR="00F8280C" w:rsidRPr="00095A05">
        <w:rPr>
          <w:rFonts w:cs="Arial"/>
          <w:highlight w:val="yellow"/>
          <w:lang w:eastAsia="en-AU"/>
        </w:rPr>
        <w:fldChar w:fldCharType="end"/>
      </w:r>
      <w:r w:rsidR="00F8280C" w:rsidRPr="0058370B">
        <w:rPr>
          <w:rFonts w:cs="Arial"/>
          <w:lang w:eastAsia="en-AU"/>
        </w:rPr>
        <w:t xml:space="preserve">). </w:t>
      </w:r>
    </w:p>
    <w:p w14:paraId="572B5647" w14:textId="77777777" w:rsidR="009449B5" w:rsidRPr="0058370B" w:rsidRDefault="009449B5" w:rsidP="00FE2F59">
      <w:pPr>
        <w:rPr>
          <w:rFonts w:cs="Arial"/>
          <w:lang w:eastAsia="en-AU"/>
        </w:rPr>
      </w:pPr>
      <w:r w:rsidRPr="001A53C4">
        <w:rPr>
          <w:noProof/>
          <w:lang w:eastAsia="en-AU"/>
        </w:rPr>
        <w:drawing>
          <wp:inline distT="0" distB="0" distL="0" distR="0" wp14:anchorId="169FF46E" wp14:editId="78B3CE9A">
            <wp:extent cx="3864421" cy="5495925"/>
            <wp:effectExtent l="0" t="0" r="3175" b="0"/>
            <wp:docPr id="21" name="Picture 21" descr="Purple dots indicate the locations of the eleven inshore Reef routine monitoring sites where time-integrated sampling of pesticides occurred from the 2014 monitoring year onwards." title="Fig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875864" cy="5512200"/>
                    </a:xfrm>
                    <a:prstGeom prst="rect">
                      <a:avLst/>
                    </a:prstGeom>
                    <a:noFill/>
                    <a:ln>
                      <a:noFill/>
                    </a:ln>
                  </pic:spPr>
                </pic:pic>
              </a:graphicData>
            </a:graphic>
          </wp:inline>
        </w:drawing>
      </w:r>
    </w:p>
    <w:p w14:paraId="3499C6B9" w14:textId="08DD2E3E" w:rsidR="00BB0109" w:rsidRPr="00F529DD" w:rsidRDefault="00404B84" w:rsidP="007E5A3A">
      <w:pPr>
        <w:pStyle w:val="Caption"/>
      </w:pPr>
      <w:bookmarkStart w:id="222" w:name="_Ref465258986"/>
      <w:bookmarkStart w:id="223" w:name="_Toc12361621"/>
      <w:r w:rsidRPr="00F529DD">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4</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1</w:t>
      </w:r>
      <w:r w:rsidR="006940F4">
        <w:rPr>
          <w:noProof/>
        </w:rPr>
        <w:fldChar w:fldCharType="end"/>
      </w:r>
      <w:bookmarkEnd w:id="222"/>
      <w:r w:rsidRPr="00F529DD">
        <w:t xml:space="preserve"> </w:t>
      </w:r>
      <w:r w:rsidR="00923126">
        <w:t>L</w:t>
      </w:r>
      <w:r w:rsidRPr="009B6881">
        <w:t xml:space="preserve">ocations of the </w:t>
      </w:r>
      <w:r w:rsidR="00AC2BC2">
        <w:t>11</w:t>
      </w:r>
      <w:r w:rsidR="00AC2BC2" w:rsidRPr="009B6881">
        <w:t xml:space="preserve"> </w:t>
      </w:r>
      <w:r w:rsidRPr="009B6881">
        <w:t xml:space="preserve">inshore </w:t>
      </w:r>
      <w:r w:rsidR="00DD22A7">
        <w:t>r</w:t>
      </w:r>
      <w:r w:rsidR="00DD22A7" w:rsidRPr="009B6881">
        <w:t xml:space="preserve">eef </w:t>
      </w:r>
      <w:r w:rsidRPr="009B6881">
        <w:t xml:space="preserve">routine monitoring sites where time-integrated sampling of pesticides </w:t>
      </w:r>
      <w:r w:rsidR="00AC2BC2">
        <w:t xml:space="preserve">have </w:t>
      </w:r>
      <w:r w:rsidRPr="009B6881">
        <w:t>occurred from the 2014 monitoring year</w:t>
      </w:r>
      <w:r w:rsidR="00A0238A" w:rsidRPr="009B6881">
        <w:t xml:space="preserve"> onwards.</w:t>
      </w:r>
      <w:bookmarkEnd w:id="223"/>
    </w:p>
    <w:p w14:paraId="0AA2B0E4" w14:textId="06663935" w:rsidR="00F8280C" w:rsidRPr="0058370B" w:rsidRDefault="00F8280C" w:rsidP="00FE2F59">
      <w:pPr>
        <w:rPr>
          <w:rFonts w:cs="Arial"/>
          <w:lang w:eastAsia="en-AU"/>
        </w:rPr>
      </w:pPr>
      <w:r w:rsidRPr="0058370B">
        <w:rPr>
          <w:rFonts w:cs="Arial"/>
          <w:lang w:eastAsia="en-AU"/>
        </w:rPr>
        <w:t xml:space="preserve">The types of sampling </w:t>
      </w:r>
      <w:r w:rsidR="00AC2BC2">
        <w:rPr>
          <w:rFonts w:cs="Arial"/>
          <w:lang w:eastAsia="en-AU"/>
        </w:rPr>
        <w:t>that</w:t>
      </w:r>
      <w:r w:rsidR="00AC2BC2" w:rsidRPr="0058370B">
        <w:rPr>
          <w:rFonts w:cs="Arial"/>
          <w:lang w:eastAsia="en-AU"/>
        </w:rPr>
        <w:t xml:space="preserve"> </w:t>
      </w:r>
      <w:r w:rsidRPr="0058370B">
        <w:rPr>
          <w:rFonts w:cs="Arial"/>
          <w:lang w:eastAsia="en-AU"/>
        </w:rPr>
        <w:t xml:space="preserve">occurred at each site in either the dry (May–October) or wet (November–April) season sampling periods are indicated in </w:t>
      </w:r>
      <w:r w:rsidRPr="00095A05">
        <w:rPr>
          <w:rFonts w:cs="Arial"/>
          <w:lang w:eastAsia="en-AU"/>
        </w:rPr>
        <w:fldChar w:fldCharType="begin"/>
      </w:r>
      <w:r w:rsidRPr="00095A05">
        <w:rPr>
          <w:rFonts w:cs="Arial"/>
          <w:lang w:eastAsia="en-AU"/>
        </w:rPr>
        <w:instrText xml:space="preserve"> REF _Ref433191017 \h </w:instrText>
      </w:r>
      <w:r w:rsidR="00095A05" w:rsidRPr="00095A05">
        <w:rPr>
          <w:rFonts w:cs="Arial"/>
          <w:lang w:eastAsia="en-AU"/>
        </w:rPr>
        <w:instrText xml:space="preserve"> \* MERGEFORMAT </w:instrText>
      </w:r>
      <w:r w:rsidRPr="00095A05">
        <w:rPr>
          <w:rFonts w:cs="Arial"/>
          <w:lang w:eastAsia="en-AU"/>
        </w:rPr>
      </w:r>
      <w:r w:rsidRPr="00095A05">
        <w:rPr>
          <w:rFonts w:cs="Arial"/>
          <w:lang w:eastAsia="en-AU"/>
        </w:rPr>
        <w:fldChar w:fldCharType="separate"/>
      </w:r>
      <w:r w:rsidR="00D528AA" w:rsidRPr="00F529DD">
        <w:t xml:space="preserve">Table </w:t>
      </w:r>
      <w:r w:rsidR="00D528AA">
        <w:rPr>
          <w:noProof/>
        </w:rPr>
        <w:t>4.1</w:t>
      </w:r>
      <w:r w:rsidRPr="00095A05">
        <w:rPr>
          <w:rFonts w:cs="Arial"/>
          <w:lang w:eastAsia="en-AU"/>
        </w:rPr>
        <w:fldChar w:fldCharType="end"/>
      </w:r>
      <w:r w:rsidRPr="00095A05">
        <w:rPr>
          <w:rFonts w:cs="Arial"/>
          <w:lang w:eastAsia="en-AU"/>
        </w:rPr>
        <w:t>.</w:t>
      </w:r>
      <w:r>
        <w:rPr>
          <w:rFonts w:cs="Arial"/>
          <w:lang w:eastAsia="en-AU"/>
        </w:rPr>
        <w:t xml:space="preserve"> </w:t>
      </w:r>
      <w:r w:rsidRPr="0058370B">
        <w:rPr>
          <w:rFonts w:cs="Arial"/>
          <w:lang w:eastAsia="en-AU"/>
        </w:rPr>
        <w:t>Samplers were deployed for two months during the dry season and one month during the wet season.</w:t>
      </w:r>
    </w:p>
    <w:p w14:paraId="1E68D3C7" w14:textId="2A727BF2" w:rsidR="00D82586" w:rsidRDefault="00D82586" w:rsidP="007E5A3A">
      <w:pPr>
        <w:pStyle w:val="Caption"/>
      </w:pPr>
      <w:bookmarkStart w:id="224" w:name="_Ref433191017"/>
      <w:bookmarkStart w:id="225" w:name="_Toc10398446"/>
      <w:r w:rsidRPr="00F529DD">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4</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1</w:t>
      </w:r>
      <w:r w:rsidR="006940F4">
        <w:rPr>
          <w:noProof/>
        </w:rPr>
        <w:fldChar w:fldCharType="end"/>
      </w:r>
      <w:bookmarkEnd w:id="224"/>
      <w:r w:rsidRPr="00F529DD">
        <w:t xml:space="preserve"> </w:t>
      </w:r>
      <w:r w:rsidRPr="009B6881">
        <w:t xml:space="preserve">Types of passive sampling conducted at each of the routine monitoring sites in </w:t>
      </w:r>
      <w:r w:rsidR="009449B5" w:rsidRPr="009B6881">
        <w:t>201</w:t>
      </w:r>
      <w:r w:rsidR="00923126">
        <w:t>7</w:t>
      </w:r>
      <w:r w:rsidR="00AC2BC2" w:rsidRPr="0058370B">
        <w:t>–</w:t>
      </w:r>
      <w:r w:rsidR="00923126">
        <w:t>2018</w:t>
      </w:r>
      <w:r w:rsidR="009449B5" w:rsidRPr="009B6881">
        <w:t xml:space="preserve"> </w:t>
      </w:r>
      <w:r w:rsidRPr="009B6881">
        <w:t>during either the dry (May–October) or wet (November–April) periods</w:t>
      </w:r>
      <w:bookmarkEnd w:id="225"/>
    </w:p>
    <w:p w14:paraId="36912E91" w14:textId="292EA69C" w:rsidR="009449B5" w:rsidRPr="00162308" w:rsidRDefault="00E27B11" w:rsidP="00162308">
      <w:pPr>
        <w:rPr>
          <w:lang w:eastAsia="en-AU"/>
        </w:rPr>
      </w:pPr>
      <w:r>
        <w:rPr>
          <w:noProof/>
          <w:lang w:eastAsia="en-AU"/>
        </w:rPr>
        <w:drawing>
          <wp:inline distT="0" distB="0" distL="0" distR="0" wp14:anchorId="6DA8FED1" wp14:editId="2DE7354A">
            <wp:extent cx="5676265" cy="3856990"/>
            <wp:effectExtent l="0" t="0" r="635" b="0"/>
            <wp:docPr id="19" name="Picture 19" descr="Types of passive sampling which was conducted at each of the routine monitoring sites in 2016-2017 during either the dry (May – October) or wet (November – April) periods" title="Types of passive samp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76265" cy="3856990"/>
                    </a:xfrm>
                    <a:prstGeom prst="rect">
                      <a:avLst/>
                    </a:prstGeom>
                    <a:noFill/>
                  </pic:spPr>
                </pic:pic>
              </a:graphicData>
            </a:graphic>
          </wp:inline>
        </w:drawing>
      </w:r>
    </w:p>
    <w:p w14:paraId="7AB45022" w14:textId="77777777" w:rsidR="00BB0109" w:rsidRPr="0058370B" w:rsidRDefault="00BB0109" w:rsidP="00FE2F59">
      <w:pPr>
        <w:rPr>
          <w:rFonts w:cs="Arial"/>
        </w:rPr>
      </w:pPr>
      <w:r w:rsidRPr="0058370B">
        <w:rPr>
          <w:rFonts w:cs="Arial"/>
        </w:rPr>
        <w:t>The scientific criteria for selection of sampling sites include:</w:t>
      </w:r>
    </w:p>
    <w:p w14:paraId="727311EC" w14:textId="27E6C03C" w:rsidR="00BB0109" w:rsidRPr="006832C0" w:rsidRDefault="00DD22A7" w:rsidP="006C7E99">
      <w:pPr>
        <w:pStyle w:val="ListParagraph"/>
        <w:numPr>
          <w:ilvl w:val="0"/>
          <w:numId w:val="26"/>
        </w:numPr>
        <w:rPr>
          <w:rFonts w:cs="Arial"/>
        </w:rPr>
      </w:pPr>
      <w:r>
        <w:rPr>
          <w:rFonts w:cs="Arial"/>
        </w:rPr>
        <w:t>t</w:t>
      </w:r>
      <w:r w:rsidRPr="006832C0">
        <w:rPr>
          <w:rFonts w:cs="Arial"/>
        </w:rPr>
        <w:t xml:space="preserve">he </w:t>
      </w:r>
      <w:r w:rsidR="00BB0109" w:rsidRPr="006832C0">
        <w:rPr>
          <w:rFonts w:cs="Arial"/>
        </w:rPr>
        <w:t>site must be representative of an inshore reef location (as outlined by the initial tender document)</w:t>
      </w:r>
    </w:p>
    <w:p w14:paraId="43838864" w14:textId="1E0B0F7D" w:rsidR="00BB0109" w:rsidRPr="006832C0" w:rsidRDefault="00DD22A7" w:rsidP="006C7E99">
      <w:pPr>
        <w:pStyle w:val="ListParagraph"/>
        <w:numPr>
          <w:ilvl w:val="0"/>
          <w:numId w:val="26"/>
        </w:numPr>
        <w:rPr>
          <w:rFonts w:cs="Arial"/>
        </w:rPr>
      </w:pPr>
      <w:r>
        <w:rPr>
          <w:rFonts w:cs="Arial"/>
        </w:rPr>
        <w:t>t</w:t>
      </w:r>
      <w:r w:rsidRPr="006832C0">
        <w:rPr>
          <w:rFonts w:cs="Arial"/>
        </w:rPr>
        <w:t xml:space="preserve">he </w:t>
      </w:r>
      <w:r w:rsidR="00BB0109" w:rsidRPr="006832C0">
        <w:rPr>
          <w:rFonts w:cs="Arial"/>
        </w:rPr>
        <w:t>site is co-located in proximity to sites used by other MMP monitoring activities such as seagrass monitoring, as well as other agencies conducting related monitoring (such as end-of-catchment loads)</w:t>
      </w:r>
    </w:p>
    <w:p w14:paraId="28142F55" w14:textId="114537ED" w:rsidR="00BB0109" w:rsidRPr="006832C0" w:rsidRDefault="00DD22A7" w:rsidP="006C7E99">
      <w:pPr>
        <w:pStyle w:val="ListParagraph"/>
        <w:numPr>
          <w:ilvl w:val="0"/>
          <w:numId w:val="26"/>
        </w:numPr>
        <w:rPr>
          <w:rFonts w:cs="Arial"/>
        </w:rPr>
      </w:pPr>
      <w:r>
        <w:rPr>
          <w:rFonts w:cs="Arial"/>
        </w:rPr>
        <w:t>t</w:t>
      </w:r>
      <w:r w:rsidRPr="006832C0">
        <w:rPr>
          <w:rFonts w:cs="Arial"/>
        </w:rPr>
        <w:t xml:space="preserve">he </w:t>
      </w:r>
      <w:r w:rsidR="00BB0109" w:rsidRPr="006832C0">
        <w:rPr>
          <w:rFonts w:cs="Arial"/>
        </w:rPr>
        <w:t>site should not be impacted by specific local point sources such as anti-foulants from boats or inlets of treated or untreated wastewater</w:t>
      </w:r>
    </w:p>
    <w:p w14:paraId="2968A2E7" w14:textId="558D6588" w:rsidR="00BB0109" w:rsidRDefault="00DD22A7" w:rsidP="007177E2">
      <w:pPr>
        <w:pStyle w:val="ListParagraph"/>
        <w:numPr>
          <w:ilvl w:val="0"/>
          <w:numId w:val="26"/>
        </w:numPr>
        <w:ind w:left="714" w:hanging="357"/>
        <w:rPr>
          <w:rFonts w:cs="Arial"/>
        </w:rPr>
      </w:pPr>
      <w:r>
        <w:rPr>
          <w:rFonts w:cs="Arial"/>
        </w:rPr>
        <w:t>t</w:t>
      </w:r>
      <w:r w:rsidRPr="006832C0">
        <w:rPr>
          <w:rFonts w:cs="Arial"/>
        </w:rPr>
        <w:t xml:space="preserve">he </w:t>
      </w:r>
      <w:r w:rsidR="00BB0109" w:rsidRPr="006832C0">
        <w:rPr>
          <w:rFonts w:cs="Arial"/>
        </w:rPr>
        <w:t>sampling site can be maintained for a long period</w:t>
      </w:r>
    </w:p>
    <w:p w14:paraId="56E235E9" w14:textId="4FAB1C9E" w:rsidR="00156A26" w:rsidRPr="00156A26" w:rsidRDefault="00DD22A7" w:rsidP="007177E2">
      <w:pPr>
        <w:pStyle w:val="ListParagraph"/>
        <w:numPr>
          <w:ilvl w:val="0"/>
          <w:numId w:val="26"/>
        </w:numPr>
        <w:ind w:left="714" w:hanging="357"/>
        <w:jc w:val="both"/>
        <w:rPr>
          <w:rFonts w:cs="Arial"/>
        </w:rPr>
      </w:pPr>
      <w:r>
        <w:rPr>
          <w:rFonts w:cs="Arial"/>
        </w:rPr>
        <w:t>t</w:t>
      </w:r>
      <w:r w:rsidRPr="00950855">
        <w:rPr>
          <w:rFonts w:cs="Arial"/>
        </w:rPr>
        <w:t xml:space="preserve">he </w:t>
      </w:r>
      <w:r w:rsidR="00950855" w:rsidRPr="00950855">
        <w:rPr>
          <w:rFonts w:cs="Arial"/>
        </w:rPr>
        <w:t>site is located adjacent to catchments that have been identified as high risk for exposure to pesticides</w:t>
      </w:r>
    </w:p>
    <w:p w14:paraId="238F024B" w14:textId="2A94C3E0" w:rsidR="00950855" w:rsidRPr="00950855" w:rsidRDefault="00DD22A7" w:rsidP="007177E2">
      <w:pPr>
        <w:pStyle w:val="ListParagraph"/>
        <w:numPr>
          <w:ilvl w:val="0"/>
          <w:numId w:val="26"/>
        </w:numPr>
        <w:ind w:left="714" w:hanging="357"/>
        <w:rPr>
          <w:rFonts w:cs="Arial"/>
        </w:rPr>
      </w:pPr>
      <w:r>
        <w:rPr>
          <w:rFonts w:cs="Arial"/>
        </w:rPr>
        <w:t xml:space="preserve">the </w:t>
      </w:r>
      <w:r w:rsidR="00950855">
        <w:rPr>
          <w:rFonts w:cs="Arial"/>
        </w:rPr>
        <w:t>site must have adequate statistical power to detect trends in pesticide concentrations</w:t>
      </w:r>
    </w:p>
    <w:p w14:paraId="4057C9BE" w14:textId="1A53BACC" w:rsidR="00BB0109" w:rsidRPr="0058370B" w:rsidRDefault="00BB0109" w:rsidP="00FE2F59">
      <w:pPr>
        <w:widowControl w:val="0"/>
        <w:autoSpaceDE w:val="0"/>
        <w:autoSpaceDN w:val="0"/>
        <w:adjustRightInd w:val="0"/>
        <w:rPr>
          <w:rFonts w:cs="Arial"/>
        </w:rPr>
      </w:pPr>
      <w:r w:rsidRPr="0058370B">
        <w:rPr>
          <w:rFonts w:cs="Arial"/>
        </w:rPr>
        <w:t>In addition to the scientific requirements of the project, the selection of passive sampling deployment sites is governed by practicalities</w:t>
      </w:r>
      <w:r w:rsidR="00156A26">
        <w:rPr>
          <w:rFonts w:cs="Arial"/>
        </w:rPr>
        <w:t>,</w:t>
      </w:r>
      <w:r w:rsidRPr="0058370B">
        <w:rPr>
          <w:rFonts w:cs="Arial"/>
        </w:rPr>
        <w:t xml:space="preserve"> which include safety, security, site access and the availability of a responsible community representative to take responsibility for the maintenance of the site. Site establishment has been a collaborative effort between the </w:t>
      </w:r>
      <w:r w:rsidR="00C55519">
        <w:rPr>
          <w:rFonts w:cs="Arial"/>
        </w:rPr>
        <w:t>Authority</w:t>
      </w:r>
      <w:r w:rsidRPr="0058370B">
        <w:rPr>
          <w:rFonts w:cs="Arial"/>
        </w:rPr>
        <w:t xml:space="preserve">, AIMS, JCU and </w:t>
      </w:r>
      <w:r w:rsidR="00950855">
        <w:rPr>
          <w:rFonts w:cs="Arial"/>
        </w:rPr>
        <w:t>QAEHS</w:t>
      </w:r>
      <w:r w:rsidRPr="0058370B">
        <w:rPr>
          <w:rFonts w:cs="Arial"/>
        </w:rPr>
        <w:t>.</w:t>
      </w:r>
    </w:p>
    <w:p w14:paraId="02E35758" w14:textId="06E9CE63" w:rsidR="00BB0109" w:rsidRPr="0058370B" w:rsidRDefault="00BB0109" w:rsidP="00FE2F59">
      <w:pPr>
        <w:rPr>
          <w:rFonts w:cs="Arial"/>
        </w:rPr>
      </w:pPr>
      <w:r w:rsidRPr="0058370B">
        <w:rPr>
          <w:rFonts w:cs="Arial"/>
        </w:rPr>
        <w:t>T</w:t>
      </w:r>
      <w:r w:rsidR="00852410">
        <w:rPr>
          <w:rFonts w:cs="Arial"/>
        </w:rPr>
        <w:t xml:space="preserve">he participation of volunteers </w:t>
      </w:r>
      <w:r w:rsidRPr="0058370B">
        <w:rPr>
          <w:rFonts w:cs="Arial"/>
        </w:rPr>
        <w:t>from various community groups, agencies and tourist operations is a key feature of the routine pesticide monitoring program and</w:t>
      </w:r>
      <w:r w:rsidR="00156A26">
        <w:rPr>
          <w:rFonts w:cs="Arial"/>
        </w:rPr>
        <w:t xml:space="preserve"> is</w:t>
      </w:r>
      <w:r w:rsidRPr="0058370B">
        <w:rPr>
          <w:rFonts w:cs="Arial"/>
        </w:rPr>
        <w:t xml:space="preserve"> integral to the success of maintaining the program in often remote locations. These volunteers assist by receiving, deploying, retrieving and returning the passive samplers to </w:t>
      </w:r>
      <w:r w:rsidR="00950855">
        <w:rPr>
          <w:rFonts w:cs="Arial"/>
        </w:rPr>
        <w:t>QAEHS</w:t>
      </w:r>
      <w:r w:rsidRPr="0058370B">
        <w:rPr>
          <w:rFonts w:cs="Arial"/>
        </w:rPr>
        <w:t xml:space="preserve"> for subsequent extraction and analysis. This active participation of volunteers within the program is made possible by training from </w:t>
      </w:r>
      <w:r w:rsidR="00950855">
        <w:rPr>
          <w:rFonts w:cs="Arial"/>
        </w:rPr>
        <w:t>QAEHS</w:t>
      </w:r>
      <w:r w:rsidRPr="0058370B">
        <w:rPr>
          <w:rFonts w:cs="Arial"/>
        </w:rPr>
        <w:t xml:space="preserve"> staff in </w:t>
      </w:r>
      <w:r w:rsidR="00292049">
        <w:rPr>
          <w:rFonts w:cs="Arial"/>
        </w:rPr>
        <w:t>SOPs</w:t>
      </w:r>
      <w:r w:rsidRPr="0058370B">
        <w:rPr>
          <w:rFonts w:cs="Arial"/>
        </w:rPr>
        <w:t xml:space="preserve"> to </w:t>
      </w:r>
      <w:r w:rsidR="00383250">
        <w:rPr>
          <w:rFonts w:cs="Arial"/>
        </w:rPr>
        <w:t>make sure</w:t>
      </w:r>
      <w:r w:rsidR="00383250" w:rsidRPr="0058370B">
        <w:rPr>
          <w:rFonts w:cs="Arial"/>
        </w:rPr>
        <w:t xml:space="preserve"> </w:t>
      </w:r>
      <w:r w:rsidRPr="0058370B">
        <w:rPr>
          <w:rFonts w:cs="Arial"/>
        </w:rPr>
        <w:t>a high level of continuous sampling and high</w:t>
      </w:r>
      <w:r w:rsidR="00156A26">
        <w:rPr>
          <w:rFonts w:cs="Arial"/>
        </w:rPr>
        <w:t>-</w:t>
      </w:r>
      <w:r w:rsidRPr="0058370B">
        <w:rPr>
          <w:rFonts w:cs="Arial"/>
        </w:rPr>
        <w:t xml:space="preserve">quality usable data is obtained from these deployments.  </w:t>
      </w:r>
    </w:p>
    <w:p w14:paraId="669A6BDC" w14:textId="00E7CCF4" w:rsidR="00E37008" w:rsidRPr="0058370B" w:rsidRDefault="00E37008">
      <w:pPr>
        <w:pStyle w:val="Heading3"/>
      </w:pPr>
      <w:bookmarkStart w:id="226" w:name="_Toc520727842"/>
      <w:bookmarkStart w:id="227" w:name="_Toc12365586"/>
      <w:bookmarkStart w:id="228" w:name="_Toc433716378"/>
      <w:bookmarkStart w:id="229" w:name="_Toc393785016"/>
      <w:bookmarkStart w:id="230" w:name="_Toc394061126"/>
      <w:bookmarkStart w:id="231" w:name="_Toc394061216"/>
      <w:bookmarkStart w:id="232" w:name="_Toc396311982"/>
      <w:r w:rsidRPr="0058370B">
        <w:t>Sampling design</w:t>
      </w:r>
      <w:r w:rsidR="00156A26">
        <w:t xml:space="preserve"> — </w:t>
      </w:r>
      <w:r>
        <w:t xml:space="preserve">Flood </w:t>
      </w:r>
      <w:r w:rsidR="00156A26">
        <w:t xml:space="preserve">plume grab </w:t>
      </w:r>
      <w:r w:rsidRPr="0058370B">
        <w:t>sampling</w:t>
      </w:r>
      <w:bookmarkEnd w:id="226"/>
      <w:bookmarkEnd w:id="227"/>
      <w:r w:rsidRPr="0058370B">
        <w:t xml:space="preserve"> </w:t>
      </w:r>
      <w:bookmarkEnd w:id="228"/>
    </w:p>
    <w:p w14:paraId="4D28CD29" w14:textId="22F70ED7" w:rsidR="00647966" w:rsidRPr="0058370B" w:rsidRDefault="00647966" w:rsidP="00647966">
      <w:bookmarkStart w:id="233" w:name="_Toc393785017"/>
      <w:bookmarkStart w:id="234" w:name="_Toc394061127"/>
      <w:bookmarkStart w:id="235" w:name="_Toc394061217"/>
      <w:bookmarkStart w:id="236" w:name="_Toc396311983"/>
      <w:bookmarkEnd w:id="229"/>
      <w:bookmarkEnd w:id="230"/>
      <w:bookmarkEnd w:id="231"/>
      <w:bookmarkEnd w:id="232"/>
      <w:r>
        <w:t>Since 2014,</w:t>
      </w:r>
      <w:r w:rsidR="00156A26">
        <w:t xml:space="preserve"> the</w:t>
      </w:r>
      <w:r>
        <w:t xml:space="preserve"> collection of g</w:t>
      </w:r>
      <w:r w:rsidRPr="0058370B">
        <w:t>rab sampl</w:t>
      </w:r>
      <w:r>
        <w:t xml:space="preserve">es </w:t>
      </w:r>
      <w:r w:rsidR="00156A26">
        <w:t xml:space="preserve">from </w:t>
      </w:r>
      <w:r>
        <w:t>flood plumes has been</w:t>
      </w:r>
      <w:r w:rsidRPr="0058370B">
        <w:t xml:space="preserve"> conducted in </w:t>
      </w:r>
      <w:r>
        <w:t>the Wet Tropics, Burdekin and Mackay Whitsunday</w:t>
      </w:r>
      <w:r w:rsidRPr="0058370B">
        <w:t xml:space="preserve"> regions</w:t>
      </w:r>
      <w:r>
        <w:t xml:space="preserve">. </w:t>
      </w:r>
      <w:r w:rsidR="00383250">
        <w:t xml:space="preserve">Extra </w:t>
      </w:r>
      <w:r>
        <w:t>samples were collected in 2016</w:t>
      </w:r>
      <w:r w:rsidR="00383250">
        <w:t>–</w:t>
      </w:r>
      <w:r>
        <w:t xml:space="preserve">17 in the Fitzroy region during the flood events following </w:t>
      </w:r>
      <w:r w:rsidR="00156A26">
        <w:t xml:space="preserve">tropical cyclone </w:t>
      </w:r>
      <w:r>
        <w:t>Debbie</w:t>
      </w:r>
      <w:r w:rsidRPr="0058370B">
        <w:t xml:space="preserve">. </w:t>
      </w:r>
      <w:r>
        <w:t>S</w:t>
      </w:r>
      <w:r w:rsidRPr="0058370B">
        <w:t>amples</w:t>
      </w:r>
      <w:r>
        <w:t xml:space="preserve"> (250 mL)</w:t>
      </w:r>
      <w:r w:rsidRPr="0058370B">
        <w:t xml:space="preserve"> are </w:t>
      </w:r>
      <w:r>
        <w:t>collected</w:t>
      </w:r>
      <w:r w:rsidRPr="0058370B">
        <w:t xml:space="preserve"> </w:t>
      </w:r>
      <w:r>
        <w:t>at the location of the passive samplers and</w:t>
      </w:r>
      <w:r w:rsidR="00156A26">
        <w:t>,</w:t>
      </w:r>
      <w:r>
        <w:t xml:space="preserve"> depending on the nature of the event, </w:t>
      </w:r>
      <w:r w:rsidRPr="0058370B">
        <w:t xml:space="preserve">along transects </w:t>
      </w:r>
      <w:r>
        <w:t xml:space="preserve">extending from river mouths </w:t>
      </w:r>
      <w:r w:rsidRPr="0058370B">
        <w:t xml:space="preserve">and </w:t>
      </w:r>
      <w:r w:rsidR="00156A26">
        <w:t>during</w:t>
      </w:r>
      <w:r w:rsidR="00156A26" w:rsidRPr="0058370B">
        <w:t xml:space="preserve"> </w:t>
      </w:r>
      <w:r w:rsidRPr="0058370B">
        <w:t>the pre</w:t>
      </w:r>
      <w:r w:rsidR="00156A26">
        <w:t>-</w:t>
      </w:r>
      <w:r w:rsidRPr="0058370B">
        <w:t xml:space="preserve"> and post</w:t>
      </w:r>
      <w:r>
        <w:t>-</w:t>
      </w:r>
      <w:r w:rsidRPr="0058370B">
        <w:t>wet season</w:t>
      </w:r>
      <w:r>
        <w:t xml:space="preserve"> periods</w:t>
      </w:r>
      <w:r w:rsidRPr="0058370B">
        <w:t xml:space="preserve">. </w:t>
      </w:r>
      <w:r>
        <w:t xml:space="preserve">Smaller volumes are now collected for ease of transportation back to QAEHS in eskies containing returning passive samplers. </w:t>
      </w:r>
      <w:r w:rsidRPr="0058370B">
        <w:t xml:space="preserve">The information collected from the grab sampling will be used to validate risk models </w:t>
      </w:r>
      <w:r w:rsidR="00156A26">
        <w:t xml:space="preserve">that </w:t>
      </w:r>
      <w:r w:rsidRPr="0058370B">
        <w:t>can inform management about the areas that may be most at risk to acute and chronic exposure to pollutants resulting from river discharge.</w:t>
      </w:r>
    </w:p>
    <w:p w14:paraId="31538080" w14:textId="16DBA5E1" w:rsidR="00BB0109" w:rsidRPr="0058370B" w:rsidRDefault="00BB0109">
      <w:pPr>
        <w:pStyle w:val="Heading3"/>
      </w:pPr>
      <w:bookmarkStart w:id="237" w:name="_Toc520727843"/>
      <w:bookmarkStart w:id="238" w:name="_Toc12365587"/>
      <w:r w:rsidRPr="0058370B">
        <w:t xml:space="preserve">Target </w:t>
      </w:r>
      <w:r w:rsidR="00156A26">
        <w:t>p</w:t>
      </w:r>
      <w:r w:rsidR="00156A26" w:rsidRPr="0058370B">
        <w:t xml:space="preserve">esticides </w:t>
      </w:r>
      <w:r w:rsidRPr="0058370B">
        <w:t>in the different passive samplers</w:t>
      </w:r>
      <w:bookmarkEnd w:id="233"/>
      <w:bookmarkEnd w:id="234"/>
      <w:bookmarkEnd w:id="235"/>
      <w:bookmarkEnd w:id="236"/>
      <w:bookmarkEnd w:id="237"/>
      <w:bookmarkEnd w:id="238"/>
    </w:p>
    <w:p w14:paraId="6B7589D6" w14:textId="0CB1B6EA" w:rsidR="00BB0109" w:rsidRPr="0058370B" w:rsidRDefault="00BB0109" w:rsidP="00FE2F59">
      <w:pPr>
        <w:rPr>
          <w:rFonts w:cs="Arial"/>
        </w:rPr>
      </w:pPr>
      <w:r w:rsidRPr="0058370B">
        <w:rPr>
          <w:rFonts w:cs="Arial"/>
        </w:rPr>
        <w:t xml:space="preserve">The chemicals targeted for analysis in the different passive samplers and the </w:t>
      </w:r>
      <w:r w:rsidR="00950855">
        <w:rPr>
          <w:rFonts w:cs="Arial"/>
        </w:rPr>
        <w:t xml:space="preserve">instrument </w:t>
      </w:r>
      <w:r w:rsidRPr="0058370B">
        <w:rPr>
          <w:rFonts w:cs="Arial"/>
        </w:rPr>
        <w:t xml:space="preserve">limits of reporting (LOR) are indicated </w:t>
      </w:r>
      <w:r w:rsidRPr="00095A05">
        <w:rPr>
          <w:rFonts w:cs="Arial"/>
        </w:rPr>
        <w:t>in</w:t>
      </w:r>
      <w:r w:rsidR="009850D4" w:rsidRPr="00095A05">
        <w:rPr>
          <w:rFonts w:cs="Arial"/>
        </w:rPr>
        <w:t xml:space="preserve"> </w:t>
      </w:r>
      <w:r w:rsidR="00402206" w:rsidRPr="00095A05">
        <w:rPr>
          <w:rFonts w:cs="Arial"/>
        </w:rPr>
        <w:fldChar w:fldCharType="begin"/>
      </w:r>
      <w:r w:rsidR="00402206" w:rsidRPr="00095A05">
        <w:rPr>
          <w:rFonts w:cs="Arial"/>
        </w:rPr>
        <w:instrText xml:space="preserve"> REF _Ref433191017 \h </w:instrText>
      </w:r>
      <w:r w:rsidR="00095A05" w:rsidRPr="00095A05">
        <w:rPr>
          <w:rFonts w:cs="Arial"/>
        </w:rPr>
        <w:instrText xml:space="preserve"> \* MERGEFORMAT </w:instrText>
      </w:r>
      <w:r w:rsidR="00402206" w:rsidRPr="00095A05">
        <w:rPr>
          <w:rFonts w:cs="Arial"/>
        </w:rPr>
      </w:r>
      <w:r w:rsidR="00402206" w:rsidRPr="00095A05">
        <w:rPr>
          <w:rFonts w:cs="Arial"/>
        </w:rPr>
        <w:fldChar w:fldCharType="separate"/>
      </w:r>
      <w:r w:rsidR="00D528AA" w:rsidRPr="00F529DD">
        <w:t>Table</w:t>
      </w:r>
      <w:r w:rsidR="00D528AA" w:rsidRPr="00D528AA">
        <w:rPr>
          <w:rFonts w:cs="Arial"/>
        </w:rPr>
        <w:t xml:space="preserve"> 4.1</w:t>
      </w:r>
      <w:r w:rsidR="00402206" w:rsidRPr="00095A05">
        <w:rPr>
          <w:rFonts w:cs="Arial"/>
        </w:rPr>
        <w:fldChar w:fldCharType="end"/>
      </w:r>
      <w:r w:rsidRPr="00095A05">
        <w:rPr>
          <w:rFonts w:cs="Arial"/>
        </w:rPr>
        <w:t>.</w:t>
      </w:r>
      <w:r w:rsidRPr="0058370B">
        <w:rPr>
          <w:rFonts w:cs="Arial"/>
        </w:rPr>
        <w:t xml:space="preserve"> This list of target chemicals was derived through consultation with</w:t>
      </w:r>
      <w:r w:rsidR="005B0EB7">
        <w:rPr>
          <w:rFonts w:cs="Arial"/>
        </w:rPr>
        <w:t xml:space="preserve"> the</w:t>
      </w:r>
      <w:r w:rsidRPr="0058370B">
        <w:rPr>
          <w:rFonts w:cs="Arial"/>
        </w:rPr>
        <w:t xml:space="preserve"> </w:t>
      </w:r>
      <w:r w:rsidR="00C55519">
        <w:rPr>
          <w:rFonts w:cs="Arial"/>
        </w:rPr>
        <w:t>Authority</w:t>
      </w:r>
      <w:r w:rsidRPr="0058370B">
        <w:rPr>
          <w:rFonts w:cs="Arial"/>
        </w:rPr>
        <w:t xml:space="preserve"> with the criteria being:</w:t>
      </w:r>
    </w:p>
    <w:p w14:paraId="1735C0B2" w14:textId="091B2DD7" w:rsidR="00BB0109" w:rsidRPr="006832C0" w:rsidRDefault="00156A26" w:rsidP="006C7E99">
      <w:pPr>
        <w:pStyle w:val="ListParagraph"/>
        <w:numPr>
          <w:ilvl w:val="0"/>
          <w:numId w:val="27"/>
        </w:numPr>
        <w:rPr>
          <w:rFonts w:cs="Arial"/>
        </w:rPr>
      </w:pPr>
      <w:r>
        <w:rPr>
          <w:rFonts w:cs="Arial"/>
        </w:rPr>
        <w:t>d</w:t>
      </w:r>
      <w:r w:rsidRPr="006832C0">
        <w:rPr>
          <w:rFonts w:cs="Arial"/>
        </w:rPr>
        <w:t xml:space="preserve">etected </w:t>
      </w:r>
      <w:r w:rsidR="00BB0109" w:rsidRPr="006832C0">
        <w:rPr>
          <w:rFonts w:cs="Arial"/>
        </w:rPr>
        <w:t>in recent studies</w:t>
      </w:r>
    </w:p>
    <w:p w14:paraId="042E1A26" w14:textId="70A645A0" w:rsidR="00BB0109" w:rsidRPr="006832C0" w:rsidRDefault="00156A26" w:rsidP="006C7E99">
      <w:pPr>
        <w:pStyle w:val="ListParagraph"/>
        <w:numPr>
          <w:ilvl w:val="0"/>
          <w:numId w:val="27"/>
        </w:numPr>
        <w:rPr>
          <w:rFonts w:cs="Arial"/>
        </w:rPr>
      </w:pPr>
      <w:r>
        <w:rPr>
          <w:rFonts w:cs="Arial"/>
        </w:rPr>
        <w:t>r</w:t>
      </w:r>
      <w:r w:rsidRPr="006832C0">
        <w:rPr>
          <w:rFonts w:cs="Arial"/>
        </w:rPr>
        <w:t xml:space="preserve">ecognised </w:t>
      </w:r>
      <w:r w:rsidR="00BB0109" w:rsidRPr="006832C0">
        <w:rPr>
          <w:rFonts w:cs="Arial"/>
        </w:rPr>
        <w:t>as a potential risk (through known usage patterns, amounts and existing toxicity data)</w:t>
      </w:r>
    </w:p>
    <w:p w14:paraId="77ADE118" w14:textId="1EBA99F6" w:rsidR="00BB0109" w:rsidRPr="006832C0" w:rsidRDefault="00156A26" w:rsidP="006C7E99">
      <w:pPr>
        <w:pStyle w:val="ListParagraph"/>
        <w:numPr>
          <w:ilvl w:val="0"/>
          <w:numId w:val="27"/>
        </w:numPr>
        <w:rPr>
          <w:rFonts w:cs="Arial"/>
        </w:rPr>
      </w:pPr>
      <w:r>
        <w:rPr>
          <w:rFonts w:cs="Arial"/>
        </w:rPr>
        <w:t>a</w:t>
      </w:r>
      <w:r w:rsidRPr="006832C0">
        <w:rPr>
          <w:rFonts w:cs="Arial"/>
        </w:rPr>
        <w:t xml:space="preserve">nalytical </w:t>
      </w:r>
      <w:r w:rsidR="00BD3474" w:rsidRPr="006832C0">
        <w:rPr>
          <w:rFonts w:cs="Arial"/>
        </w:rPr>
        <w:t>affordability</w:t>
      </w:r>
    </w:p>
    <w:p w14:paraId="64A145E2" w14:textId="63A0AEA5" w:rsidR="00BB0109" w:rsidRPr="006832C0" w:rsidRDefault="00156A26" w:rsidP="006C7E99">
      <w:pPr>
        <w:pStyle w:val="ListParagraph"/>
        <w:numPr>
          <w:ilvl w:val="0"/>
          <w:numId w:val="27"/>
        </w:numPr>
        <w:rPr>
          <w:rFonts w:cs="Arial"/>
        </w:rPr>
      </w:pPr>
      <w:r>
        <w:rPr>
          <w:rFonts w:cs="Arial"/>
        </w:rPr>
        <w:t>w</w:t>
      </w:r>
      <w:r w:rsidRPr="006832C0">
        <w:rPr>
          <w:rFonts w:cs="Arial"/>
        </w:rPr>
        <w:t xml:space="preserve">ithin </w:t>
      </w:r>
      <w:r w:rsidR="00BB0109" w:rsidRPr="006832C0">
        <w:rPr>
          <w:rFonts w:cs="Arial"/>
        </w:rPr>
        <w:t xml:space="preserve">the current analytical capabilities of </w:t>
      </w:r>
      <w:r w:rsidR="00950855">
        <w:rPr>
          <w:rFonts w:cs="Arial"/>
        </w:rPr>
        <w:t>QAEHS</w:t>
      </w:r>
      <w:r w:rsidR="00BB0109" w:rsidRPr="006832C0">
        <w:rPr>
          <w:rFonts w:cs="Arial"/>
        </w:rPr>
        <w:t xml:space="preserve"> or Queensland Health Forensic and Scientific Services (QHFSS)</w:t>
      </w:r>
    </w:p>
    <w:p w14:paraId="1A02EC29" w14:textId="3ADF65B0" w:rsidR="00BB0109" w:rsidRPr="006832C0" w:rsidRDefault="00156A26" w:rsidP="006C7E99">
      <w:pPr>
        <w:pStyle w:val="ListParagraph"/>
        <w:numPr>
          <w:ilvl w:val="0"/>
          <w:numId w:val="27"/>
        </w:numPr>
        <w:rPr>
          <w:rFonts w:cs="Arial"/>
        </w:rPr>
      </w:pPr>
      <w:r>
        <w:rPr>
          <w:rFonts w:cs="Arial"/>
        </w:rPr>
        <w:t>l</w:t>
      </w:r>
      <w:r w:rsidRPr="006832C0">
        <w:rPr>
          <w:rFonts w:cs="Arial"/>
        </w:rPr>
        <w:t xml:space="preserve">ikelihood </w:t>
      </w:r>
      <w:r w:rsidR="00BB0109" w:rsidRPr="006832C0">
        <w:rPr>
          <w:rFonts w:cs="Arial"/>
        </w:rPr>
        <w:t>of accumulation in one of the passive samplers (exist as neutral species in the environment)</w:t>
      </w:r>
    </w:p>
    <w:p w14:paraId="7D2A9A70" w14:textId="49624DCC" w:rsidR="00E37008" w:rsidRPr="006832C0" w:rsidRDefault="00156A26" w:rsidP="006C7E99">
      <w:pPr>
        <w:pStyle w:val="ListParagraph"/>
        <w:numPr>
          <w:ilvl w:val="0"/>
          <w:numId w:val="27"/>
        </w:numPr>
        <w:rPr>
          <w:rFonts w:cs="Arial"/>
        </w:rPr>
      </w:pPr>
      <w:r>
        <w:rPr>
          <w:rFonts w:cs="Arial"/>
        </w:rPr>
        <w:t>a</w:t>
      </w:r>
      <w:r w:rsidRPr="006832C0">
        <w:rPr>
          <w:rFonts w:cs="Arial"/>
        </w:rPr>
        <w:t xml:space="preserve">nalysed </w:t>
      </w:r>
      <w:r w:rsidR="00E37008" w:rsidRPr="006832C0">
        <w:rPr>
          <w:rFonts w:cs="Arial"/>
        </w:rPr>
        <w:t>frequently by other complimentary Reef Plan programs such as end-of-catchment loads monitoring.</w:t>
      </w:r>
    </w:p>
    <w:p w14:paraId="6673A7B5" w14:textId="1372EE84" w:rsidR="00E37008" w:rsidRPr="00197C57" w:rsidRDefault="00E37008" w:rsidP="00FE2F59">
      <w:pPr>
        <w:jc w:val="both"/>
        <w:rPr>
          <w:rFonts w:cs="Arial"/>
        </w:rPr>
      </w:pPr>
      <w:r w:rsidRPr="0075283E">
        <w:rPr>
          <w:rFonts w:cs="Arial"/>
        </w:rPr>
        <w:t>As part of the review process and in consultation with the Pesticide Working Group, the list of target pesticides and herbicides for analysis has been modified to reflect recent changes in pesticide usage</w:t>
      </w:r>
      <w:r w:rsidRPr="005F1C3D">
        <w:rPr>
          <w:rFonts w:cs="Arial"/>
        </w:rPr>
        <w:t>, those registered for use in Reef catchments and those f</w:t>
      </w:r>
      <w:r w:rsidRPr="00197C57">
        <w:rPr>
          <w:rFonts w:cs="Arial"/>
        </w:rPr>
        <w:t>requently detected in passive samplers or water samples by the MMP or other agencies conducting monitoring in the Reef catchments (</w:t>
      </w:r>
      <w:r w:rsidR="008856BE" w:rsidRPr="00BA7837">
        <w:rPr>
          <w:rFonts w:cs="Arial"/>
          <w:color w:val="000000"/>
        </w:rPr>
        <w:t>Department of Science, Information Technology and Innovation</w:t>
      </w:r>
      <w:r w:rsidR="008856BE">
        <w:rPr>
          <w:rFonts w:cs="Arial"/>
          <w:color w:val="000000"/>
        </w:rPr>
        <w:t xml:space="preserve">, </w:t>
      </w:r>
      <w:r w:rsidRPr="00197C57">
        <w:rPr>
          <w:rFonts w:cs="Arial"/>
        </w:rPr>
        <w:t>DSITI</w:t>
      </w:r>
      <w:r w:rsidRPr="00095A05">
        <w:rPr>
          <w:rFonts w:cs="Arial"/>
        </w:rPr>
        <w:t xml:space="preserve">). </w:t>
      </w:r>
      <w:r w:rsidR="00213B2C" w:rsidRPr="00095A05">
        <w:rPr>
          <w:rFonts w:cs="Arial"/>
        </w:rPr>
        <w:fldChar w:fldCharType="begin"/>
      </w:r>
      <w:r w:rsidR="00213B2C" w:rsidRPr="00095A05">
        <w:rPr>
          <w:rFonts w:cs="Arial"/>
        </w:rPr>
        <w:instrText xml:space="preserve"> REF _Ref465256586 \h </w:instrText>
      </w:r>
      <w:r w:rsidR="00095A05" w:rsidRPr="00095A05">
        <w:rPr>
          <w:rFonts w:cs="Arial"/>
        </w:rPr>
        <w:instrText xml:space="preserve"> \* MERGEFORMAT </w:instrText>
      </w:r>
      <w:r w:rsidR="00213B2C" w:rsidRPr="00095A05">
        <w:rPr>
          <w:rFonts w:cs="Arial"/>
        </w:rPr>
      </w:r>
      <w:r w:rsidR="00213B2C" w:rsidRPr="00095A05">
        <w:rPr>
          <w:rFonts w:cs="Arial"/>
        </w:rPr>
        <w:fldChar w:fldCharType="separate"/>
      </w:r>
      <w:r w:rsidR="00D528AA" w:rsidRPr="00F529DD">
        <w:t xml:space="preserve">Table </w:t>
      </w:r>
      <w:r w:rsidR="00D528AA">
        <w:rPr>
          <w:noProof/>
        </w:rPr>
        <w:t>4.2</w:t>
      </w:r>
      <w:r w:rsidR="00213B2C" w:rsidRPr="00095A05">
        <w:rPr>
          <w:rFonts w:cs="Arial"/>
        </w:rPr>
        <w:fldChar w:fldCharType="end"/>
      </w:r>
      <w:r w:rsidR="00213B2C" w:rsidRPr="00095A05">
        <w:rPr>
          <w:rFonts w:cs="Arial"/>
        </w:rPr>
        <w:t xml:space="preserve"> </w:t>
      </w:r>
      <w:r w:rsidRPr="00095A05">
        <w:rPr>
          <w:rFonts w:cs="Arial"/>
        </w:rPr>
        <w:t xml:space="preserve">lists the proposed priority pesticides </w:t>
      </w:r>
      <w:r w:rsidR="00950855" w:rsidRPr="00095A05">
        <w:rPr>
          <w:rFonts w:cs="Arial"/>
        </w:rPr>
        <w:t xml:space="preserve">that have been </w:t>
      </w:r>
      <w:r w:rsidRPr="00095A05">
        <w:rPr>
          <w:rFonts w:cs="Arial"/>
        </w:rPr>
        <w:t xml:space="preserve">reported </w:t>
      </w:r>
      <w:r w:rsidR="00950855" w:rsidRPr="00095A05">
        <w:rPr>
          <w:rFonts w:cs="Arial"/>
        </w:rPr>
        <w:t>since</w:t>
      </w:r>
      <w:r w:rsidR="00156A26">
        <w:rPr>
          <w:rFonts w:cs="Arial"/>
        </w:rPr>
        <w:t xml:space="preserve"> </w:t>
      </w:r>
      <w:r w:rsidRPr="00095A05">
        <w:rPr>
          <w:rFonts w:cs="Arial"/>
        </w:rPr>
        <w:t xml:space="preserve">2014. Analytes </w:t>
      </w:r>
      <w:r w:rsidR="00950855" w:rsidRPr="00095A05">
        <w:rPr>
          <w:rFonts w:cs="Arial"/>
        </w:rPr>
        <w:t xml:space="preserve">for which </w:t>
      </w:r>
      <w:r w:rsidRPr="00095A05">
        <w:rPr>
          <w:rFonts w:cs="Arial"/>
        </w:rPr>
        <w:t xml:space="preserve">analytical method development is </w:t>
      </w:r>
      <w:r w:rsidR="00950855" w:rsidRPr="00095A05">
        <w:rPr>
          <w:rFonts w:cs="Arial"/>
        </w:rPr>
        <w:t>required</w:t>
      </w:r>
      <w:r w:rsidR="00162308" w:rsidRPr="00095A05">
        <w:rPr>
          <w:rFonts w:cs="Arial"/>
        </w:rPr>
        <w:t xml:space="preserve"> </w:t>
      </w:r>
      <w:r w:rsidRPr="00095A05">
        <w:rPr>
          <w:rFonts w:cs="Arial"/>
        </w:rPr>
        <w:t>are noted. Note that this list includes priority</w:t>
      </w:r>
      <w:r w:rsidRPr="00197C57">
        <w:rPr>
          <w:rFonts w:cs="Arial"/>
        </w:rPr>
        <w:t xml:space="preserve"> pesticides and herbicides </w:t>
      </w:r>
      <w:r w:rsidR="00156A26">
        <w:rPr>
          <w:rFonts w:cs="Arial"/>
        </w:rPr>
        <w:t>that</w:t>
      </w:r>
      <w:r w:rsidR="00156A26" w:rsidRPr="00197C57">
        <w:rPr>
          <w:rFonts w:cs="Arial"/>
        </w:rPr>
        <w:t xml:space="preserve"> </w:t>
      </w:r>
      <w:r w:rsidRPr="00197C57">
        <w:rPr>
          <w:rFonts w:cs="Arial"/>
        </w:rPr>
        <w:t>may not accumulate well in passive samplers due to their polarity, and may be detectable in grab samples only.</w:t>
      </w:r>
    </w:p>
    <w:p w14:paraId="7DF5AFAE" w14:textId="154C89EB" w:rsidR="005432A1" w:rsidRPr="009F54B9" w:rsidRDefault="00E37008" w:rsidP="007E5A3A">
      <w:pPr>
        <w:pStyle w:val="Caption"/>
      </w:pPr>
      <w:bookmarkStart w:id="239" w:name="_Ref465256586"/>
      <w:bookmarkStart w:id="240" w:name="_Toc10398447"/>
      <w:r w:rsidRPr="00F529DD">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4</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2</w:t>
      </w:r>
      <w:r w:rsidR="006940F4">
        <w:rPr>
          <w:noProof/>
        </w:rPr>
        <w:fldChar w:fldCharType="end"/>
      </w:r>
      <w:bookmarkEnd w:id="239"/>
      <w:r w:rsidRPr="00F529DD">
        <w:t xml:space="preserve"> </w:t>
      </w:r>
      <w:r w:rsidRPr="009B6881">
        <w:t xml:space="preserve">Pesticides for analysis in different sampler extracts and water samples </w:t>
      </w:r>
      <w:r w:rsidR="00950855" w:rsidRPr="009B6881">
        <w:t xml:space="preserve">together </w:t>
      </w:r>
      <w:r w:rsidR="00AA70D6" w:rsidRPr="009B6881">
        <w:t>with the</w:t>
      </w:r>
      <w:r w:rsidRPr="009B6881">
        <w:t xml:space="preserve"> approximate</w:t>
      </w:r>
      <w:r w:rsidR="00950855" w:rsidRPr="009B6881">
        <w:t xml:space="preserve"> instrument </w:t>
      </w:r>
      <w:r w:rsidR="00B17A11">
        <w:t>l</w:t>
      </w:r>
      <w:r w:rsidR="00B17A11" w:rsidRPr="009B6881">
        <w:t xml:space="preserve">imits </w:t>
      </w:r>
      <w:r w:rsidR="00950855" w:rsidRPr="009B6881">
        <w:t xml:space="preserve">of </w:t>
      </w:r>
      <w:r w:rsidR="00B17A11">
        <w:t>d</w:t>
      </w:r>
      <w:r w:rsidR="00B17A11" w:rsidRPr="009B6881">
        <w:t xml:space="preserve">etection </w:t>
      </w:r>
      <w:r w:rsidR="00950855" w:rsidRPr="009B6881">
        <w:t>and</w:t>
      </w:r>
      <w:r w:rsidRPr="009B6881">
        <w:t xml:space="preserve"> </w:t>
      </w:r>
      <w:r w:rsidR="00B17A11">
        <w:t>l</w:t>
      </w:r>
      <w:r w:rsidR="00B17A11" w:rsidRPr="009B6881">
        <w:t xml:space="preserve">imits </w:t>
      </w:r>
      <w:r w:rsidRPr="009B6881">
        <w:t xml:space="preserve">of </w:t>
      </w:r>
      <w:r w:rsidR="00B17A11">
        <w:t>r</w:t>
      </w:r>
      <w:r w:rsidR="00B17A11" w:rsidRPr="009B6881">
        <w:t>eporting</w:t>
      </w:r>
      <w:r w:rsidR="00950855" w:rsidRPr="009B6881">
        <w:t xml:space="preserve"> </w:t>
      </w:r>
      <w:r w:rsidR="00AA70D6" w:rsidRPr="009B6881">
        <w:t>for</w:t>
      </w:r>
      <w:r w:rsidRPr="009B6881">
        <w:t xml:space="preserve"> analytes</w:t>
      </w:r>
      <w:r w:rsidR="005432A1" w:rsidRPr="009B6881">
        <w:t>.</w:t>
      </w:r>
      <w:bookmarkEnd w:id="240"/>
    </w:p>
    <w:tbl>
      <w:tblPr>
        <w:tblW w:w="10097" w:type="dxa"/>
        <w:tblInd w:w="-709" w:type="dxa"/>
        <w:tblBorders>
          <w:top w:val="single" w:sz="4" w:space="0" w:color="auto"/>
          <w:bottom w:val="single" w:sz="4" w:space="0" w:color="auto"/>
          <w:insideH w:val="single" w:sz="4" w:space="0" w:color="auto"/>
        </w:tblBorders>
        <w:tblLayout w:type="fixed"/>
        <w:tblLook w:val="04A0" w:firstRow="1" w:lastRow="0" w:firstColumn="1" w:lastColumn="0" w:noHBand="0" w:noVBand="1"/>
        <w:tblCaption w:val="Table 4.2 "/>
        <w:tblDescription w:val="Pesticides specified under the MMP for analysis in different passive sampler extracts and water samples together with the approximate instrument Limits of Detection (LOD) and Limits of Reporting (LOR) (mg L-1) for these analytes. Pesticides are identified as ‘priority’ (proposed by PWG 18 August 2015) or ‘of interest’ to the program (feedback from the Paddock to the Reef program), and include pesticides which are not currently analysed by QAEHS and are therefore not included in the MMP."/>
      </w:tblPr>
      <w:tblGrid>
        <w:gridCol w:w="2405"/>
        <w:gridCol w:w="4145"/>
        <w:gridCol w:w="1239"/>
        <w:gridCol w:w="749"/>
        <w:gridCol w:w="20"/>
        <w:gridCol w:w="688"/>
        <w:gridCol w:w="81"/>
        <w:gridCol w:w="770"/>
      </w:tblGrid>
      <w:tr w:rsidR="005432A1" w:rsidRPr="0045293A" w14:paraId="66C460AF" w14:textId="77777777" w:rsidTr="005432A1">
        <w:trPr>
          <w:trHeight w:val="296"/>
          <w:tblHeader/>
        </w:trPr>
        <w:tc>
          <w:tcPr>
            <w:tcW w:w="2405" w:type="dxa"/>
            <w:vMerge w:val="restart"/>
            <w:shd w:val="clear" w:color="auto" w:fill="F2F2F2" w:themeFill="background1" w:themeFillShade="F2"/>
            <w:vAlign w:val="center"/>
            <w:hideMark/>
          </w:tcPr>
          <w:p w14:paraId="556199C0" w14:textId="77777777" w:rsidR="005432A1" w:rsidRPr="0045293A" w:rsidRDefault="005432A1" w:rsidP="0045293A">
            <w:pPr>
              <w:spacing w:before="0" w:after="0" w:line="240" w:lineRule="auto"/>
              <w:contextualSpacing/>
              <w:rPr>
                <w:rFonts w:eastAsia="Times New Roman" w:cs="Arial"/>
                <w:b/>
                <w:bCs/>
                <w:color w:val="000000"/>
                <w:sz w:val="20"/>
                <w:szCs w:val="20"/>
                <w:lang w:eastAsia="en-AU"/>
              </w:rPr>
            </w:pPr>
            <w:r w:rsidRPr="0045293A">
              <w:rPr>
                <w:rFonts w:eastAsia="Times New Roman" w:cs="Arial"/>
                <w:b/>
                <w:bCs/>
                <w:color w:val="000000"/>
                <w:sz w:val="20"/>
                <w:szCs w:val="20"/>
                <w:lang w:eastAsia="en-AU"/>
              </w:rPr>
              <w:t>Chemical</w:t>
            </w:r>
          </w:p>
        </w:tc>
        <w:tc>
          <w:tcPr>
            <w:tcW w:w="4145" w:type="dxa"/>
            <w:vMerge w:val="restart"/>
            <w:shd w:val="clear" w:color="auto" w:fill="F2F2F2" w:themeFill="background1" w:themeFillShade="F2"/>
            <w:vAlign w:val="center"/>
            <w:hideMark/>
          </w:tcPr>
          <w:p w14:paraId="1C543830" w14:textId="77777777" w:rsidR="005432A1" w:rsidRPr="0045293A" w:rsidRDefault="005432A1" w:rsidP="0045293A">
            <w:pPr>
              <w:spacing w:before="0" w:after="0" w:line="240" w:lineRule="auto"/>
              <w:contextualSpacing/>
              <w:rPr>
                <w:rFonts w:eastAsia="Times New Roman" w:cs="Arial"/>
                <w:b/>
                <w:bCs/>
                <w:color w:val="000000"/>
                <w:sz w:val="20"/>
                <w:szCs w:val="20"/>
                <w:lang w:eastAsia="en-AU"/>
              </w:rPr>
            </w:pPr>
            <w:r w:rsidRPr="0045293A">
              <w:rPr>
                <w:rFonts w:eastAsia="Times New Roman" w:cs="Arial"/>
                <w:b/>
                <w:bCs/>
                <w:color w:val="000000"/>
                <w:sz w:val="20"/>
                <w:szCs w:val="20"/>
                <w:lang w:eastAsia="en-AU"/>
              </w:rPr>
              <w:t>Description</w:t>
            </w:r>
          </w:p>
        </w:tc>
        <w:tc>
          <w:tcPr>
            <w:tcW w:w="1239" w:type="dxa"/>
            <w:vMerge w:val="restart"/>
            <w:shd w:val="clear" w:color="auto" w:fill="F2F2F2" w:themeFill="background1" w:themeFillShade="F2"/>
          </w:tcPr>
          <w:p w14:paraId="65FC5051" w14:textId="77777777" w:rsidR="005432A1" w:rsidRPr="0045293A" w:rsidRDefault="005432A1" w:rsidP="0045293A">
            <w:pPr>
              <w:spacing w:before="0" w:after="0" w:line="240" w:lineRule="auto"/>
              <w:contextualSpacing/>
              <w:jc w:val="center"/>
              <w:rPr>
                <w:rFonts w:eastAsia="Times New Roman" w:cs="Arial"/>
                <w:b/>
                <w:bCs/>
                <w:color w:val="000000"/>
                <w:sz w:val="20"/>
                <w:szCs w:val="20"/>
                <w:lang w:eastAsia="en-AU"/>
              </w:rPr>
            </w:pPr>
            <w:r w:rsidRPr="0045293A">
              <w:rPr>
                <w:rFonts w:eastAsia="Times New Roman" w:cs="Arial"/>
                <w:b/>
                <w:bCs/>
                <w:color w:val="000000"/>
                <w:sz w:val="20"/>
                <w:szCs w:val="20"/>
                <w:lang w:eastAsia="en-AU"/>
              </w:rPr>
              <w:t>Priority or of interest</w:t>
            </w:r>
          </w:p>
        </w:tc>
        <w:tc>
          <w:tcPr>
            <w:tcW w:w="1457" w:type="dxa"/>
            <w:gridSpan w:val="3"/>
            <w:tcBorders>
              <w:bottom w:val="single" w:sz="4" w:space="0" w:color="auto"/>
            </w:tcBorders>
            <w:shd w:val="clear" w:color="auto" w:fill="F2F2F2" w:themeFill="background1" w:themeFillShade="F2"/>
            <w:vAlign w:val="center"/>
            <w:hideMark/>
          </w:tcPr>
          <w:p w14:paraId="1BA22D30" w14:textId="77777777" w:rsidR="005432A1" w:rsidRPr="0045293A" w:rsidRDefault="005432A1" w:rsidP="0045293A">
            <w:pPr>
              <w:spacing w:before="0" w:after="0" w:line="240" w:lineRule="auto"/>
              <w:contextualSpacing/>
              <w:jc w:val="center"/>
              <w:rPr>
                <w:rFonts w:eastAsia="Times New Roman" w:cs="Arial"/>
                <w:b/>
                <w:bCs/>
                <w:color w:val="000000"/>
                <w:sz w:val="20"/>
                <w:szCs w:val="20"/>
                <w:lang w:eastAsia="en-AU"/>
              </w:rPr>
            </w:pPr>
            <w:r w:rsidRPr="0045293A">
              <w:rPr>
                <w:rFonts w:eastAsia="Times New Roman" w:cs="Arial"/>
                <w:b/>
                <w:bCs/>
                <w:color w:val="000000"/>
                <w:sz w:val="20"/>
                <w:szCs w:val="20"/>
                <w:lang w:eastAsia="en-AU"/>
              </w:rPr>
              <w:t xml:space="preserve">LC-MS/MS </w:t>
            </w:r>
          </w:p>
        </w:tc>
        <w:tc>
          <w:tcPr>
            <w:tcW w:w="851" w:type="dxa"/>
            <w:gridSpan w:val="2"/>
            <w:tcBorders>
              <w:bottom w:val="single" w:sz="4" w:space="0" w:color="auto"/>
            </w:tcBorders>
            <w:shd w:val="clear" w:color="auto" w:fill="F2F2F2" w:themeFill="background1" w:themeFillShade="F2"/>
            <w:vAlign w:val="center"/>
          </w:tcPr>
          <w:p w14:paraId="37AC4448" w14:textId="2F0F8F78" w:rsidR="005432A1" w:rsidRPr="0045293A" w:rsidRDefault="005432A1" w:rsidP="0045293A">
            <w:pPr>
              <w:spacing w:before="0" w:after="0" w:line="240" w:lineRule="auto"/>
              <w:contextualSpacing/>
              <w:jc w:val="center"/>
              <w:rPr>
                <w:rFonts w:eastAsia="Times New Roman" w:cs="Arial"/>
                <w:b/>
                <w:bCs/>
                <w:color w:val="000000"/>
                <w:sz w:val="20"/>
                <w:szCs w:val="20"/>
                <w:lang w:eastAsia="en-AU"/>
              </w:rPr>
            </w:pPr>
            <w:r w:rsidRPr="0045293A">
              <w:rPr>
                <w:rFonts w:eastAsia="Times New Roman" w:cs="Arial"/>
                <w:b/>
                <w:bCs/>
                <w:color w:val="000000"/>
                <w:sz w:val="20"/>
                <w:szCs w:val="20"/>
                <w:lang w:eastAsia="en-AU"/>
              </w:rPr>
              <w:t>GCMS</w:t>
            </w:r>
          </w:p>
        </w:tc>
      </w:tr>
      <w:tr w:rsidR="005432A1" w:rsidRPr="0045293A" w14:paraId="38D33125" w14:textId="77777777" w:rsidTr="005432A1">
        <w:trPr>
          <w:trHeight w:val="274"/>
          <w:tblHeader/>
        </w:trPr>
        <w:tc>
          <w:tcPr>
            <w:tcW w:w="2405" w:type="dxa"/>
            <w:vMerge/>
            <w:tcBorders>
              <w:bottom w:val="single" w:sz="4" w:space="0" w:color="auto"/>
            </w:tcBorders>
            <w:shd w:val="clear" w:color="auto" w:fill="F2F2F2" w:themeFill="background1" w:themeFillShade="F2"/>
            <w:vAlign w:val="center"/>
          </w:tcPr>
          <w:p w14:paraId="16BE144F" w14:textId="77777777" w:rsidR="005432A1" w:rsidRPr="0045293A" w:rsidRDefault="005432A1" w:rsidP="0045293A">
            <w:pPr>
              <w:spacing w:before="0" w:after="0" w:line="240" w:lineRule="auto"/>
              <w:contextualSpacing/>
              <w:rPr>
                <w:rFonts w:eastAsia="Times New Roman" w:cs="Arial"/>
                <w:b/>
                <w:bCs/>
                <w:color w:val="000000"/>
                <w:sz w:val="20"/>
                <w:szCs w:val="20"/>
                <w:lang w:eastAsia="en-AU"/>
              </w:rPr>
            </w:pPr>
          </w:p>
        </w:tc>
        <w:tc>
          <w:tcPr>
            <w:tcW w:w="4145" w:type="dxa"/>
            <w:vMerge/>
            <w:tcBorders>
              <w:bottom w:val="single" w:sz="4" w:space="0" w:color="auto"/>
            </w:tcBorders>
            <w:shd w:val="clear" w:color="auto" w:fill="F2F2F2" w:themeFill="background1" w:themeFillShade="F2"/>
            <w:vAlign w:val="center"/>
          </w:tcPr>
          <w:p w14:paraId="151DE269" w14:textId="77777777" w:rsidR="005432A1" w:rsidRPr="0045293A" w:rsidRDefault="005432A1" w:rsidP="0045293A">
            <w:pPr>
              <w:spacing w:before="0" w:after="0" w:line="240" w:lineRule="auto"/>
              <w:contextualSpacing/>
              <w:rPr>
                <w:rFonts w:eastAsia="Times New Roman" w:cs="Arial"/>
                <w:b/>
                <w:bCs/>
                <w:color w:val="000000"/>
                <w:sz w:val="20"/>
                <w:szCs w:val="20"/>
                <w:lang w:eastAsia="en-AU"/>
              </w:rPr>
            </w:pPr>
          </w:p>
        </w:tc>
        <w:tc>
          <w:tcPr>
            <w:tcW w:w="1239" w:type="dxa"/>
            <w:vMerge/>
            <w:tcBorders>
              <w:bottom w:val="single" w:sz="4" w:space="0" w:color="auto"/>
            </w:tcBorders>
            <w:shd w:val="clear" w:color="auto" w:fill="F2F2F2" w:themeFill="background1" w:themeFillShade="F2"/>
          </w:tcPr>
          <w:p w14:paraId="3683831A" w14:textId="77777777" w:rsidR="005432A1" w:rsidRPr="0045293A" w:rsidRDefault="005432A1" w:rsidP="0045293A">
            <w:pPr>
              <w:spacing w:before="0" w:after="0" w:line="240" w:lineRule="auto"/>
              <w:contextualSpacing/>
              <w:jc w:val="center"/>
              <w:rPr>
                <w:rFonts w:eastAsia="Times New Roman" w:cs="Arial"/>
                <w:b/>
                <w:bCs/>
                <w:color w:val="000000"/>
                <w:sz w:val="20"/>
                <w:szCs w:val="20"/>
                <w:lang w:eastAsia="en-AU"/>
              </w:rPr>
            </w:pPr>
          </w:p>
        </w:tc>
        <w:tc>
          <w:tcPr>
            <w:tcW w:w="749" w:type="dxa"/>
            <w:tcBorders>
              <w:bottom w:val="single" w:sz="4" w:space="0" w:color="auto"/>
            </w:tcBorders>
            <w:shd w:val="clear" w:color="auto" w:fill="F2F2F2" w:themeFill="background1" w:themeFillShade="F2"/>
            <w:vAlign w:val="center"/>
          </w:tcPr>
          <w:p w14:paraId="6E4955AF" w14:textId="02FFB6FB" w:rsidR="005432A1" w:rsidRPr="0045293A" w:rsidRDefault="005432A1" w:rsidP="0045293A">
            <w:pPr>
              <w:spacing w:before="0" w:after="0" w:line="240" w:lineRule="auto"/>
              <w:contextualSpacing/>
              <w:jc w:val="center"/>
              <w:rPr>
                <w:rFonts w:eastAsia="Times New Roman" w:cs="Arial"/>
                <w:b/>
                <w:bCs/>
                <w:color w:val="000000"/>
                <w:sz w:val="20"/>
                <w:szCs w:val="20"/>
                <w:lang w:eastAsia="en-AU"/>
              </w:rPr>
            </w:pPr>
            <w:r w:rsidRPr="0045293A">
              <w:rPr>
                <w:rFonts w:eastAsia="Times New Roman" w:cs="Arial"/>
                <w:b/>
                <w:bCs/>
                <w:color w:val="000000"/>
                <w:sz w:val="20"/>
                <w:szCs w:val="20"/>
                <w:lang w:eastAsia="en-AU"/>
              </w:rPr>
              <w:t>LOD</w:t>
            </w:r>
            <w:r w:rsidR="00156A26" w:rsidRPr="0045293A">
              <w:rPr>
                <w:rFonts w:eastAsia="Times New Roman" w:cs="Arial"/>
                <w:b/>
                <w:bCs/>
                <w:color w:val="000000"/>
                <w:sz w:val="20"/>
                <w:szCs w:val="20"/>
                <w:lang w:eastAsia="en-AU"/>
              </w:rPr>
              <w:t xml:space="preserve"> </w:t>
            </w:r>
            <w:r w:rsidR="00156A26" w:rsidRPr="0045293A">
              <w:rPr>
                <w:rFonts w:cs="Arial"/>
                <w:sz w:val="20"/>
                <w:szCs w:val="20"/>
              </w:rPr>
              <w:t>µg L</w:t>
            </w:r>
            <w:r w:rsidR="00156A26" w:rsidRPr="0045293A">
              <w:rPr>
                <w:rFonts w:cs="Arial"/>
                <w:sz w:val="20"/>
                <w:szCs w:val="20"/>
                <w:vertAlign w:val="superscript"/>
              </w:rPr>
              <w:t>-1</w:t>
            </w:r>
          </w:p>
        </w:tc>
        <w:tc>
          <w:tcPr>
            <w:tcW w:w="708" w:type="dxa"/>
            <w:gridSpan w:val="2"/>
            <w:tcBorders>
              <w:bottom w:val="single" w:sz="4" w:space="0" w:color="auto"/>
            </w:tcBorders>
            <w:shd w:val="clear" w:color="auto" w:fill="F2F2F2" w:themeFill="background1" w:themeFillShade="F2"/>
            <w:vAlign w:val="center"/>
          </w:tcPr>
          <w:p w14:paraId="0E69013B" w14:textId="031541CC" w:rsidR="005432A1" w:rsidRPr="0045293A" w:rsidRDefault="005432A1" w:rsidP="0045293A">
            <w:pPr>
              <w:spacing w:before="0" w:after="0" w:line="240" w:lineRule="auto"/>
              <w:contextualSpacing/>
              <w:jc w:val="center"/>
              <w:rPr>
                <w:rFonts w:eastAsia="Times New Roman" w:cs="Arial"/>
                <w:b/>
                <w:bCs/>
                <w:color w:val="000000"/>
                <w:sz w:val="20"/>
                <w:szCs w:val="20"/>
                <w:lang w:eastAsia="en-AU"/>
              </w:rPr>
            </w:pPr>
            <w:r w:rsidRPr="0045293A">
              <w:rPr>
                <w:rFonts w:eastAsia="Times New Roman" w:cs="Arial"/>
                <w:b/>
                <w:bCs/>
                <w:color w:val="000000"/>
                <w:sz w:val="20"/>
                <w:szCs w:val="20"/>
                <w:lang w:eastAsia="en-AU"/>
              </w:rPr>
              <w:t>LOR</w:t>
            </w:r>
            <w:r w:rsidR="00156A26" w:rsidRPr="0045293A">
              <w:rPr>
                <w:rFonts w:eastAsia="Times New Roman" w:cs="Arial"/>
                <w:b/>
                <w:bCs/>
                <w:color w:val="000000"/>
                <w:sz w:val="20"/>
                <w:szCs w:val="20"/>
                <w:lang w:eastAsia="en-AU"/>
              </w:rPr>
              <w:t xml:space="preserve"> </w:t>
            </w:r>
            <w:r w:rsidR="00156A26" w:rsidRPr="0045293A">
              <w:rPr>
                <w:rFonts w:cs="Arial"/>
                <w:sz w:val="20"/>
                <w:szCs w:val="20"/>
              </w:rPr>
              <w:t>µg L</w:t>
            </w:r>
            <w:r w:rsidR="00156A26" w:rsidRPr="0045293A">
              <w:rPr>
                <w:rFonts w:cs="Arial"/>
                <w:sz w:val="20"/>
                <w:szCs w:val="20"/>
                <w:vertAlign w:val="superscript"/>
              </w:rPr>
              <w:t>-1</w:t>
            </w:r>
          </w:p>
        </w:tc>
        <w:tc>
          <w:tcPr>
            <w:tcW w:w="851" w:type="dxa"/>
            <w:gridSpan w:val="2"/>
            <w:tcBorders>
              <w:bottom w:val="single" w:sz="4" w:space="0" w:color="auto"/>
            </w:tcBorders>
            <w:shd w:val="clear" w:color="auto" w:fill="F2F2F2" w:themeFill="background1" w:themeFillShade="F2"/>
            <w:vAlign w:val="center"/>
          </w:tcPr>
          <w:p w14:paraId="6D60E236" w14:textId="0367336B" w:rsidR="005432A1" w:rsidRPr="0045293A" w:rsidRDefault="005432A1" w:rsidP="0045293A">
            <w:pPr>
              <w:spacing w:before="0" w:after="0" w:line="240" w:lineRule="auto"/>
              <w:contextualSpacing/>
              <w:jc w:val="center"/>
              <w:rPr>
                <w:rFonts w:eastAsia="Times New Roman" w:cs="Arial"/>
                <w:b/>
                <w:bCs/>
                <w:color w:val="000000"/>
                <w:sz w:val="20"/>
                <w:szCs w:val="20"/>
                <w:lang w:eastAsia="en-AU"/>
              </w:rPr>
            </w:pPr>
            <w:r w:rsidRPr="0045293A">
              <w:rPr>
                <w:rFonts w:eastAsia="Times New Roman" w:cs="Arial"/>
                <w:b/>
                <w:bCs/>
                <w:color w:val="000000"/>
                <w:sz w:val="20"/>
                <w:szCs w:val="20"/>
                <w:lang w:eastAsia="en-AU"/>
              </w:rPr>
              <w:t>LOR</w:t>
            </w:r>
            <w:r w:rsidR="00156A26" w:rsidRPr="0045293A">
              <w:rPr>
                <w:rFonts w:eastAsia="Times New Roman" w:cs="Arial"/>
                <w:b/>
                <w:bCs/>
                <w:color w:val="000000"/>
                <w:sz w:val="20"/>
                <w:szCs w:val="20"/>
                <w:lang w:eastAsia="en-AU"/>
              </w:rPr>
              <w:t xml:space="preserve"> </w:t>
            </w:r>
            <w:r w:rsidR="00156A26" w:rsidRPr="0045293A">
              <w:rPr>
                <w:rFonts w:cs="Arial"/>
                <w:sz w:val="20"/>
                <w:szCs w:val="20"/>
              </w:rPr>
              <w:t>µg L</w:t>
            </w:r>
            <w:r w:rsidR="00156A26" w:rsidRPr="0045293A">
              <w:rPr>
                <w:rFonts w:cs="Arial"/>
                <w:sz w:val="20"/>
                <w:szCs w:val="20"/>
                <w:vertAlign w:val="superscript"/>
              </w:rPr>
              <w:t>-1</w:t>
            </w:r>
          </w:p>
        </w:tc>
      </w:tr>
      <w:tr w:rsidR="005432A1" w:rsidRPr="0045293A" w14:paraId="0D3F7DA3" w14:textId="77777777" w:rsidTr="005432A1">
        <w:trPr>
          <w:trHeight w:val="375"/>
        </w:trPr>
        <w:tc>
          <w:tcPr>
            <w:tcW w:w="2405" w:type="dxa"/>
            <w:tcBorders>
              <w:bottom w:val="nil"/>
            </w:tcBorders>
            <w:shd w:val="clear" w:color="auto" w:fill="DBE5F1" w:themeFill="accent1" w:themeFillTint="33"/>
            <w:noWrap/>
            <w:vAlign w:val="center"/>
            <w:hideMark/>
          </w:tcPr>
          <w:p w14:paraId="19113847"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2, 4-D</w:t>
            </w:r>
          </w:p>
        </w:tc>
        <w:tc>
          <w:tcPr>
            <w:tcW w:w="4145" w:type="dxa"/>
            <w:tcBorders>
              <w:bottom w:val="nil"/>
            </w:tcBorders>
            <w:shd w:val="clear" w:color="auto" w:fill="auto"/>
            <w:noWrap/>
            <w:vAlign w:val="center"/>
            <w:hideMark/>
          </w:tcPr>
          <w:p w14:paraId="44A8BB7B"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Phenoxy-carboxylic-acid herbicide</w:t>
            </w:r>
          </w:p>
        </w:tc>
        <w:tc>
          <w:tcPr>
            <w:tcW w:w="1239" w:type="dxa"/>
            <w:tcBorders>
              <w:bottom w:val="nil"/>
            </w:tcBorders>
            <w:vAlign w:val="center"/>
          </w:tcPr>
          <w:p w14:paraId="182D46A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bottom w:val="nil"/>
            </w:tcBorders>
            <w:shd w:val="clear" w:color="auto" w:fill="auto"/>
            <w:noWrap/>
            <w:vAlign w:val="center"/>
            <w:hideMark/>
          </w:tcPr>
          <w:p w14:paraId="1BFC873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0.03</w:t>
            </w:r>
          </w:p>
        </w:tc>
        <w:tc>
          <w:tcPr>
            <w:tcW w:w="769" w:type="dxa"/>
            <w:gridSpan w:val="2"/>
            <w:tcBorders>
              <w:bottom w:val="nil"/>
            </w:tcBorders>
            <w:shd w:val="clear" w:color="auto" w:fill="auto"/>
            <w:noWrap/>
            <w:vAlign w:val="center"/>
            <w:hideMark/>
          </w:tcPr>
          <w:p w14:paraId="41DCA100"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bottom w:val="nil"/>
            </w:tcBorders>
            <w:shd w:val="clear" w:color="000000" w:fill="FFFFFF"/>
            <w:noWrap/>
            <w:vAlign w:val="center"/>
            <w:hideMark/>
          </w:tcPr>
          <w:p w14:paraId="48194A2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4BAB15E1" w14:textId="77777777" w:rsidTr="005432A1">
        <w:trPr>
          <w:trHeight w:val="375"/>
        </w:trPr>
        <w:tc>
          <w:tcPr>
            <w:tcW w:w="2405" w:type="dxa"/>
            <w:tcBorders>
              <w:top w:val="nil"/>
              <w:bottom w:val="nil"/>
              <w:right w:val="nil"/>
            </w:tcBorders>
            <w:shd w:val="clear" w:color="auto" w:fill="auto"/>
            <w:noWrap/>
            <w:vAlign w:val="center"/>
            <w:hideMark/>
          </w:tcPr>
          <w:p w14:paraId="57C38F29"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2,4-DB</w:t>
            </w:r>
          </w:p>
        </w:tc>
        <w:tc>
          <w:tcPr>
            <w:tcW w:w="4145" w:type="dxa"/>
            <w:tcBorders>
              <w:top w:val="nil"/>
              <w:left w:val="nil"/>
              <w:bottom w:val="nil"/>
              <w:right w:val="nil"/>
            </w:tcBorders>
            <w:shd w:val="clear" w:color="auto" w:fill="auto"/>
            <w:noWrap/>
            <w:vAlign w:val="center"/>
            <w:hideMark/>
          </w:tcPr>
          <w:p w14:paraId="0457F389"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Phenoxy-carboxylic-acid herbicide</w:t>
            </w:r>
          </w:p>
        </w:tc>
        <w:tc>
          <w:tcPr>
            <w:tcW w:w="1239" w:type="dxa"/>
            <w:tcBorders>
              <w:top w:val="nil"/>
              <w:left w:val="nil"/>
              <w:bottom w:val="nil"/>
              <w:right w:val="nil"/>
            </w:tcBorders>
            <w:shd w:val="clear" w:color="auto" w:fill="auto"/>
            <w:vAlign w:val="center"/>
          </w:tcPr>
          <w:p w14:paraId="3D2687D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0A3712D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5.0</w:t>
            </w:r>
          </w:p>
        </w:tc>
        <w:tc>
          <w:tcPr>
            <w:tcW w:w="769" w:type="dxa"/>
            <w:gridSpan w:val="2"/>
            <w:tcBorders>
              <w:top w:val="nil"/>
              <w:left w:val="nil"/>
              <w:bottom w:val="nil"/>
              <w:right w:val="nil"/>
            </w:tcBorders>
            <w:shd w:val="clear" w:color="auto" w:fill="auto"/>
            <w:noWrap/>
            <w:vAlign w:val="center"/>
            <w:hideMark/>
          </w:tcPr>
          <w:p w14:paraId="7DDB5923"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15</w:t>
            </w:r>
          </w:p>
        </w:tc>
        <w:tc>
          <w:tcPr>
            <w:tcW w:w="770" w:type="dxa"/>
            <w:tcBorders>
              <w:top w:val="nil"/>
              <w:left w:val="nil"/>
              <w:bottom w:val="nil"/>
            </w:tcBorders>
            <w:shd w:val="clear" w:color="auto" w:fill="auto"/>
            <w:noWrap/>
            <w:vAlign w:val="center"/>
            <w:hideMark/>
          </w:tcPr>
          <w:p w14:paraId="62F77E0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79FD5A7C" w14:textId="77777777" w:rsidTr="005432A1">
        <w:trPr>
          <w:trHeight w:val="375"/>
        </w:trPr>
        <w:tc>
          <w:tcPr>
            <w:tcW w:w="2405" w:type="dxa"/>
            <w:tcBorders>
              <w:top w:val="nil"/>
              <w:bottom w:val="nil"/>
              <w:right w:val="nil"/>
            </w:tcBorders>
            <w:shd w:val="clear" w:color="auto" w:fill="auto"/>
            <w:noWrap/>
            <w:vAlign w:val="center"/>
            <w:hideMark/>
          </w:tcPr>
          <w:p w14:paraId="7D73472E"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Aciflurofen*</w:t>
            </w:r>
          </w:p>
        </w:tc>
        <w:tc>
          <w:tcPr>
            <w:tcW w:w="4145" w:type="dxa"/>
            <w:tcBorders>
              <w:top w:val="nil"/>
              <w:left w:val="nil"/>
              <w:bottom w:val="nil"/>
              <w:right w:val="nil"/>
            </w:tcBorders>
            <w:shd w:val="clear" w:color="auto" w:fill="auto"/>
            <w:noWrap/>
            <w:vAlign w:val="center"/>
            <w:hideMark/>
          </w:tcPr>
          <w:p w14:paraId="4A7EA5DF"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Herbicide: cell membrane disruptor</w:t>
            </w:r>
          </w:p>
        </w:tc>
        <w:tc>
          <w:tcPr>
            <w:tcW w:w="1239" w:type="dxa"/>
            <w:tcBorders>
              <w:top w:val="nil"/>
              <w:left w:val="nil"/>
              <w:bottom w:val="nil"/>
              <w:right w:val="nil"/>
            </w:tcBorders>
            <w:shd w:val="clear" w:color="auto" w:fill="auto"/>
            <w:vAlign w:val="center"/>
          </w:tcPr>
          <w:p w14:paraId="77AE471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73E9E01F"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 </w:t>
            </w:r>
          </w:p>
        </w:tc>
        <w:tc>
          <w:tcPr>
            <w:tcW w:w="769" w:type="dxa"/>
            <w:gridSpan w:val="2"/>
            <w:tcBorders>
              <w:top w:val="nil"/>
              <w:left w:val="nil"/>
              <w:bottom w:val="nil"/>
              <w:right w:val="nil"/>
            </w:tcBorders>
            <w:shd w:val="clear" w:color="auto" w:fill="auto"/>
            <w:noWrap/>
            <w:vAlign w:val="center"/>
            <w:hideMark/>
          </w:tcPr>
          <w:p w14:paraId="6E47E9E3"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 </w:t>
            </w:r>
          </w:p>
        </w:tc>
        <w:tc>
          <w:tcPr>
            <w:tcW w:w="770" w:type="dxa"/>
            <w:tcBorders>
              <w:top w:val="nil"/>
              <w:left w:val="nil"/>
              <w:bottom w:val="nil"/>
            </w:tcBorders>
            <w:shd w:val="clear" w:color="auto" w:fill="auto"/>
            <w:noWrap/>
            <w:vAlign w:val="center"/>
            <w:hideMark/>
          </w:tcPr>
          <w:p w14:paraId="57E4A79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0727D15E" w14:textId="77777777" w:rsidTr="005432A1">
        <w:trPr>
          <w:trHeight w:val="375"/>
        </w:trPr>
        <w:tc>
          <w:tcPr>
            <w:tcW w:w="2405" w:type="dxa"/>
            <w:tcBorders>
              <w:top w:val="nil"/>
              <w:bottom w:val="nil"/>
            </w:tcBorders>
            <w:shd w:val="clear" w:color="auto" w:fill="DBE5F1" w:themeFill="accent1" w:themeFillTint="33"/>
            <w:noWrap/>
            <w:vAlign w:val="center"/>
            <w:hideMark/>
          </w:tcPr>
          <w:p w14:paraId="07854E12"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Ametryn</w:t>
            </w:r>
          </w:p>
        </w:tc>
        <w:tc>
          <w:tcPr>
            <w:tcW w:w="4145" w:type="dxa"/>
            <w:tcBorders>
              <w:top w:val="nil"/>
              <w:bottom w:val="nil"/>
            </w:tcBorders>
            <w:shd w:val="clear" w:color="auto" w:fill="auto"/>
            <w:vAlign w:val="center"/>
            <w:hideMark/>
          </w:tcPr>
          <w:p w14:paraId="2010C84E"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methylthiotriazine</w:t>
            </w:r>
          </w:p>
        </w:tc>
        <w:tc>
          <w:tcPr>
            <w:tcW w:w="1239" w:type="dxa"/>
            <w:tcBorders>
              <w:top w:val="nil"/>
              <w:bottom w:val="nil"/>
            </w:tcBorders>
            <w:vAlign w:val="center"/>
          </w:tcPr>
          <w:p w14:paraId="3EE121EA"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5DDEF61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0.56</w:t>
            </w:r>
          </w:p>
        </w:tc>
        <w:tc>
          <w:tcPr>
            <w:tcW w:w="769" w:type="dxa"/>
            <w:gridSpan w:val="2"/>
            <w:tcBorders>
              <w:top w:val="nil"/>
              <w:bottom w:val="nil"/>
            </w:tcBorders>
            <w:shd w:val="clear" w:color="auto" w:fill="auto"/>
            <w:noWrap/>
            <w:vAlign w:val="center"/>
            <w:hideMark/>
          </w:tcPr>
          <w:p w14:paraId="4D9368E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1.69</w:t>
            </w:r>
          </w:p>
        </w:tc>
        <w:tc>
          <w:tcPr>
            <w:tcW w:w="770" w:type="dxa"/>
            <w:tcBorders>
              <w:top w:val="nil"/>
              <w:bottom w:val="nil"/>
            </w:tcBorders>
            <w:shd w:val="clear" w:color="000000" w:fill="FFFFFF"/>
            <w:noWrap/>
            <w:vAlign w:val="center"/>
            <w:hideMark/>
          </w:tcPr>
          <w:p w14:paraId="2B2D627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53176D02" w14:textId="77777777" w:rsidTr="005432A1">
        <w:trPr>
          <w:trHeight w:val="375"/>
        </w:trPr>
        <w:tc>
          <w:tcPr>
            <w:tcW w:w="2405" w:type="dxa"/>
            <w:tcBorders>
              <w:top w:val="nil"/>
              <w:bottom w:val="nil"/>
              <w:right w:val="nil"/>
            </w:tcBorders>
            <w:shd w:val="clear" w:color="auto" w:fill="auto"/>
            <w:noWrap/>
            <w:vAlign w:val="center"/>
            <w:hideMark/>
          </w:tcPr>
          <w:p w14:paraId="1D97BDF8"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Asulam^</w:t>
            </w:r>
          </w:p>
        </w:tc>
        <w:tc>
          <w:tcPr>
            <w:tcW w:w="4145" w:type="dxa"/>
            <w:tcBorders>
              <w:top w:val="nil"/>
              <w:left w:val="nil"/>
              <w:bottom w:val="nil"/>
              <w:right w:val="nil"/>
            </w:tcBorders>
            <w:shd w:val="clear" w:color="auto" w:fill="auto"/>
            <w:vAlign w:val="center"/>
            <w:hideMark/>
          </w:tcPr>
          <w:p w14:paraId="615F9D1F"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Herbicide: inhibition of DHP – carbamate</w:t>
            </w:r>
          </w:p>
        </w:tc>
        <w:tc>
          <w:tcPr>
            <w:tcW w:w="1239" w:type="dxa"/>
            <w:tcBorders>
              <w:top w:val="nil"/>
              <w:left w:val="nil"/>
              <w:bottom w:val="nil"/>
              <w:right w:val="nil"/>
            </w:tcBorders>
            <w:vAlign w:val="center"/>
          </w:tcPr>
          <w:p w14:paraId="2C1B99C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39E7809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0.01</w:t>
            </w:r>
          </w:p>
        </w:tc>
        <w:tc>
          <w:tcPr>
            <w:tcW w:w="769" w:type="dxa"/>
            <w:gridSpan w:val="2"/>
            <w:tcBorders>
              <w:top w:val="nil"/>
              <w:left w:val="nil"/>
              <w:bottom w:val="nil"/>
              <w:right w:val="nil"/>
            </w:tcBorders>
            <w:shd w:val="clear" w:color="auto" w:fill="auto"/>
            <w:noWrap/>
            <w:vAlign w:val="center"/>
            <w:hideMark/>
          </w:tcPr>
          <w:p w14:paraId="013D397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left w:val="nil"/>
              <w:bottom w:val="nil"/>
            </w:tcBorders>
            <w:shd w:val="clear" w:color="000000" w:fill="FFFFFF"/>
            <w:noWrap/>
            <w:vAlign w:val="center"/>
            <w:hideMark/>
          </w:tcPr>
          <w:p w14:paraId="24D323F6"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51AEAE05" w14:textId="77777777" w:rsidTr="005432A1">
        <w:trPr>
          <w:trHeight w:val="375"/>
        </w:trPr>
        <w:tc>
          <w:tcPr>
            <w:tcW w:w="2405" w:type="dxa"/>
            <w:tcBorders>
              <w:top w:val="nil"/>
              <w:bottom w:val="nil"/>
            </w:tcBorders>
            <w:shd w:val="clear" w:color="auto" w:fill="DBE5F1" w:themeFill="accent1" w:themeFillTint="33"/>
            <w:noWrap/>
            <w:vAlign w:val="center"/>
            <w:hideMark/>
          </w:tcPr>
          <w:p w14:paraId="44BDC67F"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Atrazine</w:t>
            </w:r>
          </w:p>
        </w:tc>
        <w:tc>
          <w:tcPr>
            <w:tcW w:w="4145" w:type="dxa"/>
            <w:tcBorders>
              <w:top w:val="nil"/>
              <w:bottom w:val="nil"/>
            </w:tcBorders>
            <w:shd w:val="clear" w:color="auto" w:fill="auto"/>
            <w:vAlign w:val="center"/>
            <w:hideMark/>
          </w:tcPr>
          <w:p w14:paraId="3F74D359"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chlorotriazine</w:t>
            </w:r>
          </w:p>
        </w:tc>
        <w:tc>
          <w:tcPr>
            <w:tcW w:w="1239" w:type="dxa"/>
            <w:tcBorders>
              <w:top w:val="nil"/>
              <w:bottom w:val="nil"/>
            </w:tcBorders>
            <w:vAlign w:val="center"/>
          </w:tcPr>
          <w:p w14:paraId="7FDCD5A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55FE073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0.05</w:t>
            </w:r>
          </w:p>
        </w:tc>
        <w:tc>
          <w:tcPr>
            <w:tcW w:w="769" w:type="dxa"/>
            <w:gridSpan w:val="2"/>
            <w:tcBorders>
              <w:top w:val="nil"/>
              <w:bottom w:val="nil"/>
            </w:tcBorders>
            <w:shd w:val="clear" w:color="auto" w:fill="auto"/>
            <w:noWrap/>
            <w:vAlign w:val="center"/>
            <w:hideMark/>
          </w:tcPr>
          <w:p w14:paraId="0D68B4C3"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0.15</w:t>
            </w:r>
          </w:p>
        </w:tc>
        <w:tc>
          <w:tcPr>
            <w:tcW w:w="770" w:type="dxa"/>
            <w:tcBorders>
              <w:top w:val="nil"/>
              <w:bottom w:val="nil"/>
            </w:tcBorders>
            <w:shd w:val="clear" w:color="000000" w:fill="FFFFFF"/>
            <w:noWrap/>
            <w:vAlign w:val="center"/>
            <w:hideMark/>
          </w:tcPr>
          <w:p w14:paraId="04EB4B26"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3BEBAF64" w14:textId="77777777" w:rsidTr="005432A1">
        <w:trPr>
          <w:trHeight w:val="375"/>
        </w:trPr>
        <w:tc>
          <w:tcPr>
            <w:tcW w:w="2405" w:type="dxa"/>
            <w:tcBorders>
              <w:top w:val="nil"/>
              <w:bottom w:val="nil"/>
            </w:tcBorders>
            <w:shd w:val="clear" w:color="000000" w:fill="FFFFFF"/>
            <w:noWrap/>
            <w:vAlign w:val="center"/>
            <w:hideMark/>
          </w:tcPr>
          <w:p w14:paraId="3556DF04" w14:textId="77777777" w:rsidR="005432A1" w:rsidRPr="0045293A" w:rsidRDefault="005432A1" w:rsidP="0045293A">
            <w:pPr>
              <w:spacing w:before="0" w:after="0" w:line="240" w:lineRule="auto"/>
              <w:contextualSpacing/>
              <w:rPr>
                <w:rFonts w:eastAsia="Times New Roman" w:cs="Arial"/>
                <w:sz w:val="20"/>
                <w:szCs w:val="20"/>
                <w:lang w:eastAsia="en-AU"/>
              </w:rPr>
            </w:pPr>
            <w:r w:rsidRPr="0045293A">
              <w:rPr>
                <w:rFonts w:eastAsia="Times New Roman" w:cs="Arial"/>
                <w:sz w:val="20"/>
                <w:szCs w:val="20"/>
                <w:lang w:eastAsia="en-AU"/>
              </w:rPr>
              <w:t>Atrazine – desethyl</w:t>
            </w:r>
          </w:p>
        </w:tc>
        <w:tc>
          <w:tcPr>
            <w:tcW w:w="4145" w:type="dxa"/>
            <w:tcBorders>
              <w:top w:val="nil"/>
              <w:bottom w:val="nil"/>
            </w:tcBorders>
            <w:shd w:val="clear" w:color="auto" w:fill="auto"/>
            <w:vAlign w:val="center"/>
            <w:hideMark/>
          </w:tcPr>
          <w:p w14:paraId="60B67731"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breakdown product (also active)</w:t>
            </w:r>
          </w:p>
        </w:tc>
        <w:tc>
          <w:tcPr>
            <w:tcW w:w="1239" w:type="dxa"/>
            <w:tcBorders>
              <w:top w:val="nil"/>
              <w:bottom w:val="nil"/>
            </w:tcBorders>
            <w:vAlign w:val="center"/>
          </w:tcPr>
          <w:p w14:paraId="53076B5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5EAEC37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0.005</w:t>
            </w:r>
          </w:p>
        </w:tc>
        <w:tc>
          <w:tcPr>
            <w:tcW w:w="769" w:type="dxa"/>
            <w:gridSpan w:val="2"/>
            <w:tcBorders>
              <w:top w:val="nil"/>
              <w:bottom w:val="nil"/>
            </w:tcBorders>
            <w:shd w:val="clear" w:color="auto" w:fill="auto"/>
            <w:noWrap/>
            <w:vAlign w:val="center"/>
            <w:hideMark/>
          </w:tcPr>
          <w:p w14:paraId="718CE57F"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454D275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183A3954" w14:textId="77777777" w:rsidTr="005432A1">
        <w:trPr>
          <w:trHeight w:val="375"/>
        </w:trPr>
        <w:tc>
          <w:tcPr>
            <w:tcW w:w="2405" w:type="dxa"/>
            <w:tcBorders>
              <w:top w:val="nil"/>
              <w:bottom w:val="nil"/>
            </w:tcBorders>
            <w:shd w:val="clear" w:color="000000" w:fill="FFFFFF"/>
            <w:noWrap/>
            <w:vAlign w:val="center"/>
            <w:hideMark/>
          </w:tcPr>
          <w:p w14:paraId="5BB4674B" w14:textId="77777777" w:rsidR="005432A1" w:rsidRPr="0045293A" w:rsidRDefault="005432A1" w:rsidP="0045293A">
            <w:pPr>
              <w:spacing w:before="0" w:after="0" w:line="240" w:lineRule="auto"/>
              <w:contextualSpacing/>
              <w:rPr>
                <w:rFonts w:eastAsia="Times New Roman" w:cs="Arial"/>
                <w:sz w:val="20"/>
                <w:szCs w:val="20"/>
                <w:lang w:eastAsia="en-AU"/>
              </w:rPr>
            </w:pPr>
            <w:r w:rsidRPr="0045293A">
              <w:rPr>
                <w:rFonts w:eastAsia="Times New Roman" w:cs="Arial"/>
                <w:sz w:val="20"/>
                <w:szCs w:val="20"/>
                <w:lang w:eastAsia="en-AU"/>
              </w:rPr>
              <w:t>Atrazine – desisopropyl</w:t>
            </w:r>
          </w:p>
        </w:tc>
        <w:tc>
          <w:tcPr>
            <w:tcW w:w="4145" w:type="dxa"/>
            <w:tcBorders>
              <w:top w:val="nil"/>
              <w:bottom w:val="nil"/>
            </w:tcBorders>
            <w:shd w:val="clear" w:color="auto" w:fill="auto"/>
            <w:vAlign w:val="center"/>
            <w:hideMark/>
          </w:tcPr>
          <w:p w14:paraId="32EB8B87"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breakdown product (also active)</w:t>
            </w:r>
          </w:p>
        </w:tc>
        <w:tc>
          <w:tcPr>
            <w:tcW w:w="1239" w:type="dxa"/>
            <w:tcBorders>
              <w:top w:val="nil"/>
              <w:bottom w:val="nil"/>
            </w:tcBorders>
            <w:vAlign w:val="center"/>
          </w:tcPr>
          <w:p w14:paraId="1154875F"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72DA0C5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0.02</w:t>
            </w:r>
          </w:p>
        </w:tc>
        <w:tc>
          <w:tcPr>
            <w:tcW w:w="769" w:type="dxa"/>
            <w:gridSpan w:val="2"/>
            <w:tcBorders>
              <w:top w:val="nil"/>
              <w:bottom w:val="nil"/>
            </w:tcBorders>
            <w:shd w:val="clear" w:color="auto" w:fill="auto"/>
            <w:noWrap/>
            <w:vAlign w:val="center"/>
            <w:hideMark/>
          </w:tcPr>
          <w:p w14:paraId="32196F94"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14DA5D4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79C3D8A0" w14:textId="77777777" w:rsidTr="005432A1">
        <w:trPr>
          <w:trHeight w:val="375"/>
        </w:trPr>
        <w:tc>
          <w:tcPr>
            <w:tcW w:w="2405" w:type="dxa"/>
            <w:tcBorders>
              <w:top w:val="nil"/>
              <w:bottom w:val="nil"/>
              <w:right w:val="nil"/>
            </w:tcBorders>
            <w:shd w:val="clear" w:color="000000" w:fill="FFFFFF"/>
            <w:noWrap/>
            <w:vAlign w:val="center"/>
            <w:hideMark/>
          </w:tcPr>
          <w:p w14:paraId="0CB603A4" w14:textId="77777777" w:rsidR="005432A1" w:rsidRPr="0045293A" w:rsidRDefault="005432A1" w:rsidP="0045293A">
            <w:pPr>
              <w:spacing w:before="0" w:after="0" w:line="240" w:lineRule="auto"/>
              <w:contextualSpacing/>
              <w:rPr>
                <w:rFonts w:eastAsia="Times New Roman" w:cs="Arial"/>
                <w:color w:val="C00000"/>
                <w:sz w:val="20"/>
                <w:szCs w:val="20"/>
                <w:lang w:eastAsia="en-AU"/>
              </w:rPr>
            </w:pPr>
            <w:r w:rsidRPr="0045293A">
              <w:rPr>
                <w:rFonts w:eastAsia="Times New Roman" w:cs="Arial"/>
                <w:sz w:val="20"/>
                <w:szCs w:val="20"/>
                <w:lang w:eastAsia="en-AU"/>
              </w:rPr>
              <w:t>Bromacil</w:t>
            </w:r>
          </w:p>
        </w:tc>
        <w:tc>
          <w:tcPr>
            <w:tcW w:w="4145" w:type="dxa"/>
            <w:tcBorders>
              <w:top w:val="nil"/>
              <w:left w:val="nil"/>
              <w:bottom w:val="nil"/>
              <w:right w:val="nil"/>
            </w:tcBorders>
            <w:shd w:val="clear" w:color="auto" w:fill="auto"/>
            <w:vAlign w:val="center"/>
            <w:hideMark/>
          </w:tcPr>
          <w:p w14:paraId="3DB65FED"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uracil</w:t>
            </w:r>
          </w:p>
        </w:tc>
        <w:tc>
          <w:tcPr>
            <w:tcW w:w="1239" w:type="dxa"/>
            <w:tcBorders>
              <w:top w:val="nil"/>
              <w:left w:val="nil"/>
              <w:bottom w:val="nil"/>
              <w:right w:val="nil"/>
            </w:tcBorders>
            <w:vAlign w:val="center"/>
          </w:tcPr>
          <w:p w14:paraId="188AED87"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24C7132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0.02</w:t>
            </w:r>
          </w:p>
        </w:tc>
        <w:tc>
          <w:tcPr>
            <w:tcW w:w="769" w:type="dxa"/>
            <w:gridSpan w:val="2"/>
            <w:tcBorders>
              <w:top w:val="nil"/>
              <w:left w:val="nil"/>
              <w:bottom w:val="nil"/>
              <w:right w:val="nil"/>
            </w:tcBorders>
            <w:shd w:val="clear" w:color="auto" w:fill="auto"/>
            <w:noWrap/>
            <w:vAlign w:val="center"/>
            <w:hideMark/>
          </w:tcPr>
          <w:p w14:paraId="0435D6F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left w:val="nil"/>
              <w:bottom w:val="nil"/>
            </w:tcBorders>
            <w:shd w:val="clear" w:color="000000" w:fill="FFFFFF"/>
            <w:noWrap/>
            <w:vAlign w:val="center"/>
            <w:hideMark/>
          </w:tcPr>
          <w:p w14:paraId="2083C25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3544093A" w14:textId="77777777" w:rsidTr="005432A1">
        <w:trPr>
          <w:trHeight w:val="375"/>
        </w:trPr>
        <w:tc>
          <w:tcPr>
            <w:tcW w:w="2405" w:type="dxa"/>
            <w:tcBorders>
              <w:top w:val="nil"/>
              <w:bottom w:val="nil"/>
            </w:tcBorders>
            <w:shd w:val="clear" w:color="000000" w:fill="FFFFFF"/>
            <w:noWrap/>
            <w:vAlign w:val="center"/>
            <w:hideMark/>
          </w:tcPr>
          <w:p w14:paraId="695A5B79"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Chlorothalonil*</w:t>
            </w:r>
          </w:p>
        </w:tc>
        <w:tc>
          <w:tcPr>
            <w:tcW w:w="4145" w:type="dxa"/>
            <w:tcBorders>
              <w:top w:val="nil"/>
              <w:bottom w:val="nil"/>
            </w:tcBorders>
            <w:shd w:val="clear" w:color="auto" w:fill="auto"/>
            <w:noWrap/>
            <w:vAlign w:val="center"/>
            <w:hideMark/>
          </w:tcPr>
          <w:p w14:paraId="4A7419C8"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Organochlorine fungicide</w:t>
            </w:r>
          </w:p>
        </w:tc>
        <w:tc>
          <w:tcPr>
            <w:tcW w:w="1239" w:type="dxa"/>
            <w:tcBorders>
              <w:top w:val="nil"/>
              <w:bottom w:val="nil"/>
            </w:tcBorders>
            <w:vAlign w:val="center"/>
          </w:tcPr>
          <w:p w14:paraId="630DEBEA"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28205D2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hideMark/>
          </w:tcPr>
          <w:p w14:paraId="7CA37A2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hideMark/>
          </w:tcPr>
          <w:p w14:paraId="2691750C"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3CA7B017" w14:textId="77777777" w:rsidTr="005432A1">
        <w:trPr>
          <w:trHeight w:val="375"/>
        </w:trPr>
        <w:tc>
          <w:tcPr>
            <w:tcW w:w="2405" w:type="dxa"/>
            <w:tcBorders>
              <w:top w:val="nil"/>
              <w:bottom w:val="nil"/>
            </w:tcBorders>
            <w:shd w:val="clear" w:color="000000" w:fill="FFFFFF"/>
            <w:noWrap/>
            <w:vAlign w:val="center"/>
            <w:hideMark/>
          </w:tcPr>
          <w:p w14:paraId="0E22D4EF"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Chlorpyrifos</w:t>
            </w:r>
          </w:p>
        </w:tc>
        <w:tc>
          <w:tcPr>
            <w:tcW w:w="4145" w:type="dxa"/>
            <w:tcBorders>
              <w:top w:val="nil"/>
              <w:bottom w:val="nil"/>
            </w:tcBorders>
            <w:shd w:val="clear" w:color="auto" w:fill="auto"/>
            <w:vAlign w:val="center"/>
            <w:hideMark/>
          </w:tcPr>
          <w:p w14:paraId="694F86A6"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Organophosphate insecticide</w:t>
            </w:r>
          </w:p>
        </w:tc>
        <w:tc>
          <w:tcPr>
            <w:tcW w:w="1239" w:type="dxa"/>
            <w:tcBorders>
              <w:top w:val="nil"/>
              <w:bottom w:val="nil"/>
            </w:tcBorders>
            <w:vAlign w:val="center"/>
          </w:tcPr>
          <w:p w14:paraId="2AED867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754D50BC"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hideMark/>
          </w:tcPr>
          <w:p w14:paraId="321F28A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hideMark/>
          </w:tcPr>
          <w:p w14:paraId="70670E97"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0.5</w:t>
            </w:r>
          </w:p>
        </w:tc>
      </w:tr>
      <w:tr w:rsidR="005432A1" w:rsidRPr="0045293A" w14:paraId="35278119" w14:textId="77777777" w:rsidTr="005432A1">
        <w:trPr>
          <w:trHeight w:val="375"/>
        </w:trPr>
        <w:tc>
          <w:tcPr>
            <w:tcW w:w="2405" w:type="dxa"/>
            <w:tcBorders>
              <w:top w:val="nil"/>
              <w:bottom w:val="nil"/>
              <w:right w:val="nil"/>
            </w:tcBorders>
            <w:shd w:val="clear" w:color="000000" w:fill="FFFFFF"/>
            <w:noWrap/>
            <w:vAlign w:val="center"/>
            <w:hideMark/>
          </w:tcPr>
          <w:p w14:paraId="081B384D"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Diazinon*</w:t>
            </w:r>
          </w:p>
        </w:tc>
        <w:tc>
          <w:tcPr>
            <w:tcW w:w="4145" w:type="dxa"/>
            <w:tcBorders>
              <w:top w:val="nil"/>
              <w:left w:val="nil"/>
              <w:bottom w:val="nil"/>
              <w:right w:val="nil"/>
            </w:tcBorders>
            <w:shd w:val="clear" w:color="auto" w:fill="auto"/>
            <w:vAlign w:val="center"/>
            <w:hideMark/>
          </w:tcPr>
          <w:p w14:paraId="174BA290"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Insecticide: inhibits acetylcholinesterase</w:t>
            </w:r>
          </w:p>
        </w:tc>
        <w:tc>
          <w:tcPr>
            <w:tcW w:w="1239" w:type="dxa"/>
            <w:tcBorders>
              <w:top w:val="nil"/>
              <w:left w:val="nil"/>
              <w:bottom w:val="nil"/>
              <w:right w:val="nil"/>
            </w:tcBorders>
            <w:vAlign w:val="center"/>
          </w:tcPr>
          <w:p w14:paraId="4BA837D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0F722E0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left w:val="nil"/>
              <w:bottom w:val="nil"/>
              <w:right w:val="nil"/>
            </w:tcBorders>
            <w:shd w:val="clear" w:color="auto" w:fill="auto"/>
            <w:noWrap/>
            <w:vAlign w:val="center"/>
            <w:hideMark/>
          </w:tcPr>
          <w:p w14:paraId="2A5CD25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70" w:type="dxa"/>
            <w:tcBorders>
              <w:top w:val="nil"/>
              <w:left w:val="nil"/>
              <w:bottom w:val="nil"/>
            </w:tcBorders>
            <w:shd w:val="clear" w:color="000000" w:fill="FFFFFF"/>
            <w:noWrap/>
            <w:vAlign w:val="center"/>
            <w:hideMark/>
          </w:tcPr>
          <w:p w14:paraId="45FDD02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0815F6D4" w14:textId="77777777" w:rsidTr="005432A1">
        <w:trPr>
          <w:trHeight w:val="375"/>
        </w:trPr>
        <w:tc>
          <w:tcPr>
            <w:tcW w:w="2405" w:type="dxa"/>
            <w:tcBorders>
              <w:top w:val="nil"/>
              <w:bottom w:val="nil"/>
            </w:tcBorders>
            <w:shd w:val="clear" w:color="auto" w:fill="DBE5F1" w:themeFill="accent1" w:themeFillTint="33"/>
            <w:noWrap/>
            <w:vAlign w:val="center"/>
            <w:hideMark/>
          </w:tcPr>
          <w:p w14:paraId="47906B82"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Diuron</w:t>
            </w:r>
          </w:p>
        </w:tc>
        <w:tc>
          <w:tcPr>
            <w:tcW w:w="4145" w:type="dxa"/>
            <w:tcBorders>
              <w:top w:val="nil"/>
              <w:bottom w:val="nil"/>
            </w:tcBorders>
            <w:shd w:val="clear" w:color="auto" w:fill="auto"/>
            <w:vAlign w:val="center"/>
            <w:hideMark/>
          </w:tcPr>
          <w:p w14:paraId="0A792263"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pheynylurea</w:t>
            </w:r>
          </w:p>
        </w:tc>
        <w:tc>
          <w:tcPr>
            <w:tcW w:w="1239" w:type="dxa"/>
            <w:tcBorders>
              <w:top w:val="nil"/>
              <w:bottom w:val="nil"/>
            </w:tcBorders>
            <w:vAlign w:val="center"/>
          </w:tcPr>
          <w:p w14:paraId="6428E05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0F345D07"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0.02</w:t>
            </w:r>
          </w:p>
        </w:tc>
        <w:tc>
          <w:tcPr>
            <w:tcW w:w="769" w:type="dxa"/>
            <w:gridSpan w:val="2"/>
            <w:tcBorders>
              <w:top w:val="nil"/>
              <w:bottom w:val="nil"/>
            </w:tcBorders>
            <w:shd w:val="clear" w:color="auto" w:fill="auto"/>
            <w:noWrap/>
            <w:vAlign w:val="center"/>
            <w:hideMark/>
          </w:tcPr>
          <w:p w14:paraId="66E19814"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77941C7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354D3FFC" w14:textId="77777777" w:rsidTr="005432A1">
        <w:trPr>
          <w:trHeight w:val="375"/>
        </w:trPr>
        <w:tc>
          <w:tcPr>
            <w:tcW w:w="2405" w:type="dxa"/>
            <w:tcBorders>
              <w:top w:val="nil"/>
              <w:bottom w:val="nil"/>
              <w:right w:val="nil"/>
            </w:tcBorders>
            <w:shd w:val="clear" w:color="auto" w:fill="auto"/>
            <w:noWrap/>
            <w:vAlign w:val="center"/>
            <w:hideMark/>
          </w:tcPr>
          <w:p w14:paraId="4DAAC99A"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Ethametsulfuron methyl*</w:t>
            </w:r>
          </w:p>
        </w:tc>
        <w:tc>
          <w:tcPr>
            <w:tcW w:w="4145" w:type="dxa"/>
            <w:tcBorders>
              <w:top w:val="nil"/>
              <w:left w:val="nil"/>
              <w:bottom w:val="nil"/>
              <w:right w:val="nil"/>
            </w:tcBorders>
            <w:shd w:val="clear" w:color="auto" w:fill="auto"/>
            <w:vAlign w:val="center"/>
            <w:hideMark/>
          </w:tcPr>
          <w:p w14:paraId="2C0507B1" w14:textId="77777777" w:rsidR="005432A1" w:rsidRPr="0045293A" w:rsidRDefault="005432A1" w:rsidP="0045293A">
            <w:pPr>
              <w:spacing w:before="0" w:after="0" w:line="240" w:lineRule="auto"/>
              <w:ind w:right="-106"/>
              <w:contextualSpacing/>
              <w:rPr>
                <w:rFonts w:eastAsia="Times New Roman" w:cs="Arial"/>
                <w:color w:val="000000"/>
                <w:sz w:val="20"/>
                <w:szCs w:val="20"/>
                <w:lang w:eastAsia="en-AU"/>
              </w:rPr>
            </w:pPr>
            <w:r w:rsidRPr="0045293A">
              <w:rPr>
                <w:rFonts w:eastAsia="Times New Roman" w:cs="Arial"/>
                <w:color w:val="000000"/>
                <w:sz w:val="20"/>
                <w:szCs w:val="20"/>
                <w:lang w:eastAsia="en-AU"/>
              </w:rPr>
              <w:t>Herbicide: acetolactate synthase (ALS) inhibition</w:t>
            </w:r>
          </w:p>
        </w:tc>
        <w:tc>
          <w:tcPr>
            <w:tcW w:w="1239" w:type="dxa"/>
            <w:tcBorders>
              <w:top w:val="nil"/>
              <w:left w:val="nil"/>
              <w:bottom w:val="nil"/>
              <w:right w:val="nil"/>
            </w:tcBorders>
            <w:vAlign w:val="center"/>
          </w:tcPr>
          <w:p w14:paraId="5804D69C"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4CA9F92F"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left w:val="nil"/>
              <w:bottom w:val="nil"/>
              <w:right w:val="nil"/>
            </w:tcBorders>
            <w:shd w:val="clear" w:color="auto" w:fill="auto"/>
            <w:noWrap/>
            <w:vAlign w:val="center"/>
            <w:hideMark/>
          </w:tcPr>
          <w:p w14:paraId="2FC96A1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70" w:type="dxa"/>
            <w:tcBorders>
              <w:top w:val="nil"/>
              <w:left w:val="nil"/>
              <w:bottom w:val="nil"/>
            </w:tcBorders>
            <w:shd w:val="clear" w:color="000000" w:fill="FFFFFF"/>
            <w:noWrap/>
            <w:vAlign w:val="center"/>
            <w:hideMark/>
          </w:tcPr>
          <w:p w14:paraId="5CF81BB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3F7869DD" w14:textId="77777777" w:rsidTr="005432A1">
        <w:trPr>
          <w:trHeight w:val="375"/>
        </w:trPr>
        <w:tc>
          <w:tcPr>
            <w:tcW w:w="2405" w:type="dxa"/>
            <w:tcBorders>
              <w:top w:val="nil"/>
              <w:bottom w:val="nil"/>
              <w:right w:val="nil"/>
            </w:tcBorders>
            <w:shd w:val="clear" w:color="auto" w:fill="auto"/>
            <w:noWrap/>
            <w:vAlign w:val="center"/>
            <w:hideMark/>
          </w:tcPr>
          <w:p w14:paraId="6F9C78F7"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Fipronil*</w:t>
            </w:r>
          </w:p>
        </w:tc>
        <w:tc>
          <w:tcPr>
            <w:tcW w:w="4145" w:type="dxa"/>
            <w:tcBorders>
              <w:top w:val="nil"/>
              <w:left w:val="nil"/>
              <w:bottom w:val="nil"/>
              <w:right w:val="nil"/>
            </w:tcBorders>
            <w:shd w:val="clear" w:color="auto" w:fill="auto"/>
            <w:vAlign w:val="center"/>
            <w:hideMark/>
          </w:tcPr>
          <w:p w14:paraId="60D99470"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Phenylpyrazole insecticide</w:t>
            </w:r>
          </w:p>
        </w:tc>
        <w:tc>
          <w:tcPr>
            <w:tcW w:w="1239" w:type="dxa"/>
            <w:tcBorders>
              <w:top w:val="nil"/>
              <w:left w:val="nil"/>
              <w:bottom w:val="nil"/>
              <w:right w:val="nil"/>
            </w:tcBorders>
            <w:vAlign w:val="center"/>
          </w:tcPr>
          <w:p w14:paraId="16207E8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left w:val="nil"/>
              <w:bottom w:val="nil"/>
              <w:right w:val="nil"/>
            </w:tcBorders>
            <w:shd w:val="clear" w:color="auto" w:fill="auto"/>
            <w:noWrap/>
            <w:vAlign w:val="center"/>
            <w:hideMark/>
          </w:tcPr>
          <w:p w14:paraId="77A1F154"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left w:val="nil"/>
              <w:bottom w:val="nil"/>
              <w:right w:val="nil"/>
            </w:tcBorders>
            <w:shd w:val="clear" w:color="auto" w:fill="auto"/>
            <w:noWrap/>
            <w:vAlign w:val="center"/>
            <w:hideMark/>
          </w:tcPr>
          <w:p w14:paraId="1AB414E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70" w:type="dxa"/>
            <w:tcBorders>
              <w:top w:val="nil"/>
              <w:left w:val="nil"/>
              <w:bottom w:val="nil"/>
            </w:tcBorders>
            <w:shd w:val="clear" w:color="000000" w:fill="FFFFFF"/>
            <w:noWrap/>
            <w:vAlign w:val="center"/>
            <w:hideMark/>
          </w:tcPr>
          <w:p w14:paraId="0991F533"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548DC52F" w14:textId="77777777" w:rsidTr="005432A1">
        <w:trPr>
          <w:trHeight w:val="375"/>
        </w:trPr>
        <w:tc>
          <w:tcPr>
            <w:tcW w:w="2405" w:type="dxa"/>
            <w:tcBorders>
              <w:top w:val="nil"/>
              <w:bottom w:val="nil"/>
              <w:right w:val="nil"/>
            </w:tcBorders>
            <w:shd w:val="clear" w:color="auto" w:fill="auto"/>
            <w:noWrap/>
            <w:vAlign w:val="center"/>
            <w:hideMark/>
          </w:tcPr>
          <w:p w14:paraId="09820FF1"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Fluazifop^</w:t>
            </w:r>
          </w:p>
        </w:tc>
        <w:tc>
          <w:tcPr>
            <w:tcW w:w="4145" w:type="dxa"/>
            <w:tcBorders>
              <w:top w:val="nil"/>
              <w:left w:val="nil"/>
              <w:bottom w:val="nil"/>
              <w:right w:val="nil"/>
            </w:tcBorders>
            <w:shd w:val="clear" w:color="auto" w:fill="auto"/>
            <w:vAlign w:val="center"/>
            <w:hideMark/>
          </w:tcPr>
          <w:p w14:paraId="5DAA3D0F"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Herbicide: inhibition of acetyl CoA carboxylase</w:t>
            </w:r>
          </w:p>
        </w:tc>
        <w:tc>
          <w:tcPr>
            <w:tcW w:w="1239" w:type="dxa"/>
            <w:tcBorders>
              <w:top w:val="nil"/>
              <w:left w:val="nil"/>
              <w:bottom w:val="nil"/>
              <w:right w:val="nil"/>
            </w:tcBorders>
            <w:vAlign w:val="center"/>
          </w:tcPr>
          <w:p w14:paraId="66F53E3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6961A98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0.02</w:t>
            </w:r>
          </w:p>
        </w:tc>
        <w:tc>
          <w:tcPr>
            <w:tcW w:w="769" w:type="dxa"/>
            <w:gridSpan w:val="2"/>
            <w:tcBorders>
              <w:top w:val="nil"/>
              <w:left w:val="nil"/>
              <w:bottom w:val="nil"/>
              <w:right w:val="nil"/>
            </w:tcBorders>
            <w:shd w:val="clear" w:color="auto" w:fill="auto"/>
            <w:noWrap/>
            <w:vAlign w:val="center"/>
            <w:hideMark/>
          </w:tcPr>
          <w:p w14:paraId="62B1E4E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left w:val="nil"/>
              <w:bottom w:val="nil"/>
            </w:tcBorders>
            <w:shd w:val="clear" w:color="000000" w:fill="FFFFFF"/>
            <w:noWrap/>
            <w:vAlign w:val="center"/>
            <w:hideMark/>
          </w:tcPr>
          <w:p w14:paraId="5DA66C18"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4409FF0F" w14:textId="77777777" w:rsidTr="005432A1">
        <w:trPr>
          <w:trHeight w:val="375"/>
        </w:trPr>
        <w:tc>
          <w:tcPr>
            <w:tcW w:w="2405" w:type="dxa"/>
            <w:tcBorders>
              <w:top w:val="nil"/>
              <w:bottom w:val="nil"/>
              <w:right w:val="nil"/>
            </w:tcBorders>
            <w:shd w:val="clear" w:color="auto" w:fill="auto"/>
            <w:noWrap/>
            <w:vAlign w:val="center"/>
            <w:hideMark/>
          </w:tcPr>
          <w:p w14:paraId="5DD28E90"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Fluometuron</w:t>
            </w:r>
          </w:p>
        </w:tc>
        <w:tc>
          <w:tcPr>
            <w:tcW w:w="4145" w:type="dxa"/>
            <w:tcBorders>
              <w:top w:val="nil"/>
              <w:left w:val="nil"/>
              <w:bottom w:val="nil"/>
              <w:right w:val="nil"/>
            </w:tcBorders>
            <w:shd w:val="clear" w:color="auto" w:fill="auto"/>
            <w:vAlign w:val="center"/>
            <w:hideMark/>
          </w:tcPr>
          <w:p w14:paraId="71B41921"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urea</w:t>
            </w:r>
          </w:p>
        </w:tc>
        <w:tc>
          <w:tcPr>
            <w:tcW w:w="1239" w:type="dxa"/>
            <w:tcBorders>
              <w:top w:val="nil"/>
              <w:left w:val="nil"/>
              <w:bottom w:val="nil"/>
              <w:right w:val="nil"/>
            </w:tcBorders>
            <w:vAlign w:val="center"/>
          </w:tcPr>
          <w:p w14:paraId="2534F9A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7C596C07"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0.01</w:t>
            </w:r>
          </w:p>
        </w:tc>
        <w:tc>
          <w:tcPr>
            <w:tcW w:w="769" w:type="dxa"/>
            <w:gridSpan w:val="2"/>
            <w:tcBorders>
              <w:top w:val="nil"/>
              <w:left w:val="nil"/>
              <w:bottom w:val="nil"/>
              <w:right w:val="nil"/>
            </w:tcBorders>
            <w:shd w:val="clear" w:color="auto" w:fill="auto"/>
            <w:noWrap/>
            <w:vAlign w:val="center"/>
            <w:hideMark/>
          </w:tcPr>
          <w:p w14:paraId="0D9240E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left w:val="nil"/>
              <w:bottom w:val="nil"/>
            </w:tcBorders>
            <w:shd w:val="clear" w:color="000000" w:fill="FFFFFF"/>
            <w:noWrap/>
            <w:vAlign w:val="center"/>
            <w:hideMark/>
          </w:tcPr>
          <w:p w14:paraId="3ECFC6CA"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5BC80F7C" w14:textId="77777777" w:rsidTr="005432A1">
        <w:trPr>
          <w:trHeight w:val="375"/>
        </w:trPr>
        <w:tc>
          <w:tcPr>
            <w:tcW w:w="2405" w:type="dxa"/>
            <w:tcBorders>
              <w:top w:val="nil"/>
              <w:bottom w:val="nil"/>
            </w:tcBorders>
            <w:shd w:val="clear" w:color="auto" w:fill="DBE5F1" w:themeFill="accent1" w:themeFillTint="33"/>
            <w:noWrap/>
            <w:vAlign w:val="center"/>
            <w:hideMark/>
          </w:tcPr>
          <w:p w14:paraId="4E8ACDD2" w14:textId="77777777" w:rsidR="005432A1" w:rsidRPr="0045293A" w:rsidRDefault="005432A1" w:rsidP="0045293A">
            <w:pPr>
              <w:spacing w:before="0" w:after="0" w:line="240" w:lineRule="auto"/>
              <w:contextualSpacing/>
              <w:rPr>
                <w:rFonts w:eastAsia="Times New Roman" w:cs="Arial"/>
                <w:color w:val="C0504D"/>
                <w:sz w:val="20"/>
                <w:szCs w:val="20"/>
                <w:lang w:eastAsia="en-AU"/>
              </w:rPr>
            </w:pPr>
            <w:r w:rsidRPr="0045293A">
              <w:rPr>
                <w:rFonts w:eastAsia="Times New Roman" w:cs="Arial"/>
                <w:color w:val="C00000"/>
                <w:sz w:val="20"/>
                <w:szCs w:val="20"/>
                <w:lang w:eastAsia="en-AU"/>
              </w:rPr>
              <w:t>Fluroxypyr</w:t>
            </w:r>
          </w:p>
        </w:tc>
        <w:tc>
          <w:tcPr>
            <w:tcW w:w="4145" w:type="dxa"/>
            <w:tcBorders>
              <w:top w:val="nil"/>
              <w:bottom w:val="nil"/>
            </w:tcBorders>
            <w:shd w:val="clear" w:color="auto" w:fill="auto"/>
            <w:noWrap/>
            <w:vAlign w:val="center"/>
            <w:hideMark/>
          </w:tcPr>
          <w:p w14:paraId="3E06D64B"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Pyridine carboxylic acid herbicide</w:t>
            </w:r>
          </w:p>
        </w:tc>
        <w:tc>
          <w:tcPr>
            <w:tcW w:w="1239" w:type="dxa"/>
            <w:tcBorders>
              <w:top w:val="nil"/>
              <w:bottom w:val="nil"/>
            </w:tcBorders>
            <w:vAlign w:val="center"/>
          </w:tcPr>
          <w:p w14:paraId="2757CF64"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6EBC087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0.02</w:t>
            </w:r>
          </w:p>
        </w:tc>
        <w:tc>
          <w:tcPr>
            <w:tcW w:w="769" w:type="dxa"/>
            <w:gridSpan w:val="2"/>
            <w:tcBorders>
              <w:top w:val="nil"/>
              <w:bottom w:val="nil"/>
            </w:tcBorders>
            <w:shd w:val="clear" w:color="auto" w:fill="auto"/>
            <w:noWrap/>
            <w:vAlign w:val="center"/>
            <w:hideMark/>
          </w:tcPr>
          <w:p w14:paraId="3E9EA97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67D7C5B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3ECC7C71" w14:textId="77777777" w:rsidTr="005432A1">
        <w:trPr>
          <w:trHeight w:val="375"/>
        </w:trPr>
        <w:tc>
          <w:tcPr>
            <w:tcW w:w="2405" w:type="dxa"/>
            <w:tcBorders>
              <w:top w:val="nil"/>
              <w:bottom w:val="nil"/>
            </w:tcBorders>
            <w:shd w:val="clear" w:color="auto" w:fill="DBE5F1" w:themeFill="accent1" w:themeFillTint="33"/>
            <w:noWrap/>
            <w:vAlign w:val="center"/>
            <w:hideMark/>
          </w:tcPr>
          <w:p w14:paraId="2506EF60"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Glyphosate*</w:t>
            </w:r>
          </w:p>
        </w:tc>
        <w:tc>
          <w:tcPr>
            <w:tcW w:w="4145" w:type="dxa"/>
            <w:tcBorders>
              <w:top w:val="nil"/>
              <w:bottom w:val="nil"/>
            </w:tcBorders>
            <w:shd w:val="clear" w:color="auto" w:fill="auto"/>
            <w:noWrap/>
            <w:vAlign w:val="center"/>
            <w:hideMark/>
          </w:tcPr>
          <w:p w14:paraId="1619FBDC"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Broad-spectrum systemic herbicide</w:t>
            </w:r>
          </w:p>
        </w:tc>
        <w:tc>
          <w:tcPr>
            <w:tcW w:w="1239" w:type="dxa"/>
            <w:tcBorders>
              <w:top w:val="nil"/>
              <w:bottom w:val="nil"/>
            </w:tcBorders>
            <w:vAlign w:val="center"/>
          </w:tcPr>
          <w:p w14:paraId="7DDFF36C"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2308" w:type="dxa"/>
            <w:gridSpan w:val="5"/>
            <w:tcBorders>
              <w:top w:val="nil"/>
              <w:bottom w:val="nil"/>
            </w:tcBorders>
            <w:shd w:val="clear" w:color="auto" w:fill="auto"/>
            <w:noWrap/>
            <w:vAlign w:val="center"/>
            <w:hideMark/>
          </w:tcPr>
          <w:p w14:paraId="138A618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Glyphosate-specific sampler required</w:t>
            </w:r>
          </w:p>
        </w:tc>
      </w:tr>
      <w:tr w:rsidR="005432A1" w:rsidRPr="0045293A" w14:paraId="3BBF4F45" w14:textId="77777777" w:rsidTr="005432A1">
        <w:trPr>
          <w:trHeight w:val="375"/>
        </w:trPr>
        <w:tc>
          <w:tcPr>
            <w:tcW w:w="2405" w:type="dxa"/>
            <w:tcBorders>
              <w:top w:val="nil"/>
              <w:bottom w:val="nil"/>
            </w:tcBorders>
            <w:shd w:val="clear" w:color="auto" w:fill="DBE5F1" w:themeFill="accent1" w:themeFillTint="33"/>
            <w:noWrap/>
            <w:vAlign w:val="center"/>
            <w:hideMark/>
          </w:tcPr>
          <w:p w14:paraId="45CED351"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Haloxyfop</w:t>
            </w:r>
          </w:p>
        </w:tc>
        <w:tc>
          <w:tcPr>
            <w:tcW w:w="4145" w:type="dxa"/>
            <w:tcBorders>
              <w:top w:val="nil"/>
              <w:bottom w:val="nil"/>
            </w:tcBorders>
            <w:shd w:val="clear" w:color="auto" w:fill="auto"/>
            <w:noWrap/>
            <w:vAlign w:val="center"/>
            <w:hideMark/>
          </w:tcPr>
          <w:p w14:paraId="2A8DA338"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Aryloxyphenoxy-propionate herbicide</w:t>
            </w:r>
          </w:p>
        </w:tc>
        <w:tc>
          <w:tcPr>
            <w:tcW w:w="1239" w:type="dxa"/>
            <w:tcBorders>
              <w:top w:val="nil"/>
              <w:bottom w:val="nil"/>
            </w:tcBorders>
            <w:vAlign w:val="center"/>
          </w:tcPr>
          <w:p w14:paraId="16BB5830"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2C32EFCC"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0.04</w:t>
            </w:r>
          </w:p>
        </w:tc>
        <w:tc>
          <w:tcPr>
            <w:tcW w:w="769" w:type="dxa"/>
            <w:gridSpan w:val="2"/>
            <w:tcBorders>
              <w:top w:val="nil"/>
              <w:bottom w:val="nil"/>
            </w:tcBorders>
            <w:shd w:val="clear" w:color="auto" w:fill="auto"/>
            <w:noWrap/>
            <w:vAlign w:val="center"/>
            <w:hideMark/>
          </w:tcPr>
          <w:p w14:paraId="39262E17"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0.13</w:t>
            </w:r>
          </w:p>
        </w:tc>
        <w:tc>
          <w:tcPr>
            <w:tcW w:w="770" w:type="dxa"/>
            <w:tcBorders>
              <w:top w:val="nil"/>
              <w:bottom w:val="nil"/>
            </w:tcBorders>
            <w:shd w:val="clear" w:color="000000" w:fill="FFFFFF"/>
            <w:noWrap/>
            <w:vAlign w:val="center"/>
            <w:hideMark/>
          </w:tcPr>
          <w:p w14:paraId="08C2FF0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4FF9F290" w14:textId="77777777" w:rsidTr="005432A1">
        <w:trPr>
          <w:trHeight w:val="375"/>
        </w:trPr>
        <w:tc>
          <w:tcPr>
            <w:tcW w:w="2405" w:type="dxa"/>
            <w:tcBorders>
              <w:top w:val="nil"/>
              <w:bottom w:val="nil"/>
            </w:tcBorders>
            <w:shd w:val="clear" w:color="auto" w:fill="DBE5F1" w:themeFill="accent1" w:themeFillTint="33"/>
            <w:noWrap/>
            <w:vAlign w:val="center"/>
            <w:hideMark/>
          </w:tcPr>
          <w:p w14:paraId="3550D0BA"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Hexazinone</w:t>
            </w:r>
          </w:p>
        </w:tc>
        <w:tc>
          <w:tcPr>
            <w:tcW w:w="4145" w:type="dxa"/>
            <w:tcBorders>
              <w:top w:val="nil"/>
              <w:bottom w:val="nil"/>
            </w:tcBorders>
            <w:shd w:val="clear" w:color="auto" w:fill="auto"/>
            <w:vAlign w:val="center"/>
            <w:hideMark/>
          </w:tcPr>
          <w:p w14:paraId="78642E0F"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triazinone</w:t>
            </w:r>
          </w:p>
        </w:tc>
        <w:tc>
          <w:tcPr>
            <w:tcW w:w="1239" w:type="dxa"/>
            <w:tcBorders>
              <w:top w:val="nil"/>
              <w:bottom w:val="nil"/>
            </w:tcBorders>
            <w:vAlign w:val="center"/>
          </w:tcPr>
          <w:p w14:paraId="3647E20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7EB6BB4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0.01</w:t>
            </w:r>
          </w:p>
        </w:tc>
        <w:tc>
          <w:tcPr>
            <w:tcW w:w="769" w:type="dxa"/>
            <w:gridSpan w:val="2"/>
            <w:tcBorders>
              <w:top w:val="nil"/>
              <w:bottom w:val="nil"/>
            </w:tcBorders>
            <w:shd w:val="clear" w:color="auto" w:fill="auto"/>
            <w:noWrap/>
            <w:vAlign w:val="center"/>
            <w:hideMark/>
          </w:tcPr>
          <w:p w14:paraId="433C3883"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7850D4A0"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1DC6B9E2" w14:textId="77777777" w:rsidTr="005432A1">
        <w:trPr>
          <w:trHeight w:val="375"/>
        </w:trPr>
        <w:tc>
          <w:tcPr>
            <w:tcW w:w="2405" w:type="dxa"/>
            <w:tcBorders>
              <w:top w:val="nil"/>
              <w:bottom w:val="nil"/>
            </w:tcBorders>
            <w:shd w:val="clear" w:color="auto" w:fill="DBE5F1" w:themeFill="accent1" w:themeFillTint="33"/>
            <w:noWrap/>
            <w:vAlign w:val="center"/>
            <w:hideMark/>
          </w:tcPr>
          <w:p w14:paraId="42DB62A4" w14:textId="77777777" w:rsidR="005432A1" w:rsidRPr="0045293A" w:rsidRDefault="005432A1" w:rsidP="0045293A">
            <w:pPr>
              <w:spacing w:before="0" w:after="0" w:line="240" w:lineRule="auto"/>
              <w:contextualSpacing/>
              <w:rPr>
                <w:rFonts w:eastAsia="Times New Roman" w:cs="Arial"/>
                <w:color w:val="C0504D"/>
                <w:sz w:val="20"/>
                <w:szCs w:val="20"/>
                <w:lang w:eastAsia="en-AU"/>
              </w:rPr>
            </w:pPr>
            <w:r w:rsidRPr="0045293A">
              <w:rPr>
                <w:rFonts w:eastAsia="Times New Roman" w:cs="Arial"/>
                <w:color w:val="C00000"/>
                <w:sz w:val="20"/>
                <w:szCs w:val="20"/>
                <w:lang w:eastAsia="en-AU"/>
              </w:rPr>
              <w:t>Imazapic</w:t>
            </w:r>
          </w:p>
        </w:tc>
        <w:tc>
          <w:tcPr>
            <w:tcW w:w="4145" w:type="dxa"/>
            <w:tcBorders>
              <w:top w:val="nil"/>
              <w:bottom w:val="nil"/>
            </w:tcBorders>
            <w:shd w:val="clear" w:color="auto" w:fill="auto"/>
            <w:noWrap/>
            <w:vAlign w:val="center"/>
            <w:hideMark/>
          </w:tcPr>
          <w:p w14:paraId="75640FBB"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Imidazolinone herbicide</w:t>
            </w:r>
          </w:p>
        </w:tc>
        <w:tc>
          <w:tcPr>
            <w:tcW w:w="1239" w:type="dxa"/>
            <w:tcBorders>
              <w:top w:val="nil"/>
              <w:bottom w:val="nil"/>
            </w:tcBorders>
            <w:vAlign w:val="center"/>
          </w:tcPr>
          <w:p w14:paraId="1ABC773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4B3548D3"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0.02</w:t>
            </w:r>
          </w:p>
        </w:tc>
        <w:tc>
          <w:tcPr>
            <w:tcW w:w="769" w:type="dxa"/>
            <w:gridSpan w:val="2"/>
            <w:tcBorders>
              <w:top w:val="nil"/>
              <w:bottom w:val="nil"/>
            </w:tcBorders>
            <w:shd w:val="clear" w:color="auto" w:fill="auto"/>
            <w:noWrap/>
            <w:vAlign w:val="center"/>
            <w:hideMark/>
          </w:tcPr>
          <w:p w14:paraId="56379F1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2EDE35E7"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772F351C" w14:textId="77777777" w:rsidTr="005432A1">
        <w:trPr>
          <w:trHeight w:val="375"/>
        </w:trPr>
        <w:tc>
          <w:tcPr>
            <w:tcW w:w="2405" w:type="dxa"/>
            <w:tcBorders>
              <w:top w:val="nil"/>
              <w:bottom w:val="nil"/>
            </w:tcBorders>
            <w:shd w:val="clear" w:color="000000" w:fill="FFFFFF"/>
            <w:noWrap/>
            <w:vAlign w:val="center"/>
            <w:hideMark/>
          </w:tcPr>
          <w:p w14:paraId="6BD5DA35" w14:textId="77777777" w:rsidR="005432A1" w:rsidRPr="0045293A" w:rsidRDefault="005432A1" w:rsidP="0045293A">
            <w:pPr>
              <w:spacing w:before="0" w:after="0" w:line="240" w:lineRule="auto"/>
              <w:contextualSpacing/>
              <w:rPr>
                <w:rFonts w:eastAsia="Times New Roman" w:cs="Arial"/>
                <w:color w:val="C0504D"/>
                <w:sz w:val="20"/>
                <w:szCs w:val="20"/>
                <w:lang w:eastAsia="en-AU"/>
              </w:rPr>
            </w:pPr>
            <w:r w:rsidRPr="0045293A">
              <w:rPr>
                <w:rFonts w:eastAsia="Times New Roman" w:cs="Arial"/>
                <w:color w:val="C00000"/>
                <w:sz w:val="20"/>
                <w:szCs w:val="20"/>
                <w:lang w:eastAsia="en-AU"/>
              </w:rPr>
              <w:t>Imidacloprid</w:t>
            </w:r>
          </w:p>
        </w:tc>
        <w:tc>
          <w:tcPr>
            <w:tcW w:w="4145" w:type="dxa"/>
            <w:tcBorders>
              <w:top w:val="nil"/>
              <w:bottom w:val="nil"/>
            </w:tcBorders>
            <w:shd w:val="clear" w:color="auto" w:fill="auto"/>
            <w:noWrap/>
            <w:vAlign w:val="center"/>
            <w:hideMark/>
          </w:tcPr>
          <w:p w14:paraId="06210B8F"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Neonicotinoid insecticide</w:t>
            </w:r>
          </w:p>
        </w:tc>
        <w:tc>
          <w:tcPr>
            <w:tcW w:w="1239" w:type="dxa"/>
            <w:tcBorders>
              <w:top w:val="nil"/>
              <w:bottom w:val="nil"/>
            </w:tcBorders>
            <w:vAlign w:val="center"/>
          </w:tcPr>
          <w:p w14:paraId="3CC51A6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7093D19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0.01</w:t>
            </w:r>
          </w:p>
        </w:tc>
        <w:tc>
          <w:tcPr>
            <w:tcW w:w="769" w:type="dxa"/>
            <w:gridSpan w:val="2"/>
            <w:tcBorders>
              <w:top w:val="nil"/>
              <w:bottom w:val="nil"/>
            </w:tcBorders>
            <w:shd w:val="clear" w:color="auto" w:fill="auto"/>
            <w:noWrap/>
            <w:vAlign w:val="center"/>
            <w:hideMark/>
          </w:tcPr>
          <w:p w14:paraId="71DD6433"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5559F59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6431FDE3" w14:textId="77777777" w:rsidTr="005432A1">
        <w:trPr>
          <w:trHeight w:val="375"/>
        </w:trPr>
        <w:tc>
          <w:tcPr>
            <w:tcW w:w="2405" w:type="dxa"/>
            <w:tcBorders>
              <w:top w:val="nil"/>
              <w:bottom w:val="nil"/>
            </w:tcBorders>
            <w:shd w:val="clear" w:color="auto" w:fill="DBE5F1" w:themeFill="accent1" w:themeFillTint="33"/>
            <w:noWrap/>
            <w:vAlign w:val="center"/>
            <w:hideMark/>
          </w:tcPr>
          <w:p w14:paraId="69156729"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Isoxaflutole and DKN*</w:t>
            </w:r>
          </w:p>
        </w:tc>
        <w:tc>
          <w:tcPr>
            <w:tcW w:w="4145" w:type="dxa"/>
            <w:tcBorders>
              <w:top w:val="nil"/>
              <w:bottom w:val="nil"/>
            </w:tcBorders>
            <w:shd w:val="clear" w:color="auto" w:fill="auto"/>
            <w:noWrap/>
            <w:vAlign w:val="center"/>
            <w:hideMark/>
          </w:tcPr>
          <w:p w14:paraId="752370A0"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Isoxazole herbicide</w:t>
            </w:r>
          </w:p>
        </w:tc>
        <w:tc>
          <w:tcPr>
            <w:tcW w:w="1239" w:type="dxa"/>
            <w:tcBorders>
              <w:top w:val="nil"/>
              <w:bottom w:val="nil"/>
            </w:tcBorders>
            <w:vAlign w:val="center"/>
          </w:tcPr>
          <w:p w14:paraId="6BA4971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24446B93"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0.20</w:t>
            </w:r>
          </w:p>
        </w:tc>
        <w:tc>
          <w:tcPr>
            <w:tcW w:w="769" w:type="dxa"/>
            <w:gridSpan w:val="2"/>
            <w:tcBorders>
              <w:top w:val="nil"/>
              <w:bottom w:val="nil"/>
            </w:tcBorders>
            <w:shd w:val="clear" w:color="auto" w:fill="auto"/>
            <w:noWrap/>
            <w:vAlign w:val="center"/>
            <w:hideMark/>
          </w:tcPr>
          <w:p w14:paraId="6FDFBEB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0.61</w:t>
            </w:r>
          </w:p>
        </w:tc>
        <w:tc>
          <w:tcPr>
            <w:tcW w:w="770" w:type="dxa"/>
            <w:tcBorders>
              <w:top w:val="nil"/>
              <w:bottom w:val="nil"/>
            </w:tcBorders>
            <w:shd w:val="clear" w:color="000000" w:fill="FFFFFF"/>
            <w:noWrap/>
            <w:vAlign w:val="center"/>
            <w:hideMark/>
          </w:tcPr>
          <w:p w14:paraId="75A55EC7"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1584A5F7" w14:textId="77777777" w:rsidTr="005432A1">
        <w:trPr>
          <w:trHeight w:val="375"/>
        </w:trPr>
        <w:tc>
          <w:tcPr>
            <w:tcW w:w="2405" w:type="dxa"/>
            <w:tcBorders>
              <w:top w:val="nil"/>
              <w:bottom w:val="nil"/>
            </w:tcBorders>
            <w:shd w:val="clear" w:color="auto" w:fill="DBE5F1" w:themeFill="accent1" w:themeFillTint="33"/>
            <w:noWrap/>
            <w:vAlign w:val="center"/>
            <w:hideMark/>
          </w:tcPr>
          <w:p w14:paraId="6CE5E892"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MCPA</w:t>
            </w:r>
          </w:p>
        </w:tc>
        <w:tc>
          <w:tcPr>
            <w:tcW w:w="4145" w:type="dxa"/>
            <w:tcBorders>
              <w:top w:val="nil"/>
              <w:bottom w:val="nil"/>
            </w:tcBorders>
            <w:shd w:val="clear" w:color="auto" w:fill="auto"/>
            <w:noWrap/>
            <w:vAlign w:val="center"/>
            <w:hideMark/>
          </w:tcPr>
          <w:p w14:paraId="4B181396"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Phenoxy-carboxylic-acid herbicide</w:t>
            </w:r>
          </w:p>
        </w:tc>
        <w:tc>
          <w:tcPr>
            <w:tcW w:w="1239" w:type="dxa"/>
            <w:tcBorders>
              <w:top w:val="nil"/>
              <w:bottom w:val="nil"/>
            </w:tcBorders>
            <w:vAlign w:val="center"/>
          </w:tcPr>
          <w:p w14:paraId="75B446B8"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2009E9E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0.05</w:t>
            </w:r>
          </w:p>
        </w:tc>
        <w:tc>
          <w:tcPr>
            <w:tcW w:w="769" w:type="dxa"/>
            <w:gridSpan w:val="2"/>
            <w:tcBorders>
              <w:top w:val="nil"/>
              <w:bottom w:val="nil"/>
            </w:tcBorders>
            <w:shd w:val="clear" w:color="auto" w:fill="auto"/>
            <w:noWrap/>
            <w:vAlign w:val="center"/>
            <w:hideMark/>
          </w:tcPr>
          <w:p w14:paraId="375EC32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0.14</w:t>
            </w:r>
          </w:p>
        </w:tc>
        <w:tc>
          <w:tcPr>
            <w:tcW w:w="770" w:type="dxa"/>
            <w:tcBorders>
              <w:top w:val="nil"/>
              <w:bottom w:val="nil"/>
            </w:tcBorders>
            <w:shd w:val="clear" w:color="000000" w:fill="FFFFFF"/>
            <w:noWrap/>
            <w:vAlign w:val="center"/>
            <w:hideMark/>
          </w:tcPr>
          <w:p w14:paraId="49712AD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299946D0" w14:textId="77777777" w:rsidTr="005432A1">
        <w:trPr>
          <w:trHeight w:val="375"/>
        </w:trPr>
        <w:tc>
          <w:tcPr>
            <w:tcW w:w="2405" w:type="dxa"/>
            <w:tcBorders>
              <w:top w:val="nil"/>
              <w:bottom w:val="nil"/>
              <w:right w:val="nil"/>
            </w:tcBorders>
            <w:shd w:val="clear" w:color="auto" w:fill="auto"/>
            <w:noWrap/>
            <w:vAlign w:val="center"/>
            <w:hideMark/>
          </w:tcPr>
          <w:p w14:paraId="1CDFA8E2"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Mesosulfuron methyl*</w:t>
            </w:r>
          </w:p>
        </w:tc>
        <w:tc>
          <w:tcPr>
            <w:tcW w:w="4145" w:type="dxa"/>
            <w:tcBorders>
              <w:top w:val="nil"/>
              <w:left w:val="nil"/>
              <w:bottom w:val="nil"/>
              <w:right w:val="nil"/>
            </w:tcBorders>
            <w:shd w:val="clear" w:color="auto" w:fill="auto"/>
            <w:noWrap/>
            <w:vAlign w:val="center"/>
            <w:hideMark/>
          </w:tcPr>
          <w:p w14:paraId="4B5EA9C3" w14:textId="77777777" w:rsidR="005432A1" w:rsidRPr="0045293A" w:rsidRDefault="005432A1" w:rsidP="0045293A">
            <w:pPr>
              <w:spacing w:before="0" w:after="0" w:line="240" w:lineRule="auto"/>
              <w:ind w:right="-106"/>
              <w:contextualSpacing/>
              <w:rPr>
                <w:rFonts w:eastAsia="Times New Roman" w:cs="Arial"/>
                <w:color w:val="000000"/>
                <w:sz w:val="20"/>
                <w:szCs w:val="20"/>
                <w:lang w:eastAsia="en-AU"/>
              </w:rPr>
            </w:pPr>
            <w:r w:rsidRPr="0045293A">
              <w:rPr>
                <w:rFonts w:eastAsia="Times New Roman" w:cs="Arial"/>
                <w:color w:val="000000"/>
                <w:sz w:val="20"/>
                <w:szCs w:val="20"/>
                <w:lang w:eastAsia="en-AU"/>
              </w:rPr>
              <w:t>Herbicide: acetolactate synthase (ALS) inhibition</w:t>
            </w:r>
          </w:p>
        </w:tc>
        <w:tc>
          <w:tcPr>
            <w:tcW w:w="1239" w:type="dxa"/>
            <w:tcBorders>
              <w:top w:val="nil"/>
              <w:left w:val="nil"/>
              <w:bottom w:val="nil"/>
              <w:right w:val="nil"/>
            </w:tcBorders>
            <w:shd w:val="clear" w:color="auto" w:fill="auto"/>
            <w:vAlign w:val="center"/>
          </w:tcPr>
          <w:p w14:paraId="09A3788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5F52BE7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left w:val="nil"/>
              <w:bottom w:val="nil"/>
              <w:right w:val="nil"/>
            </w:tcBorders>
            <w:shd w:val="clear" w:color="auto" w:fill="auto"/>
            <w:noWrap/>
            <w:vAlign w:val="center"/>
            <w:hideMark/>
          </w:tcPr>
          <w:p w14:paraId="0461874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70" w:type="dxa"/>
            <w:tcBorders>
              <w:top w:val="nil"/>
              <w:left w:val="nil"/>
              <w:bottom w:val="nil"/>
            </w:tcBorders>
            <w:shd w:val="clear" w:color="auto" w:fill="auto"/>
            <w:noWrap/>
            <w:vAlign w:val="center"/>
            <w:hideMark/>
          </w:tcPr>
          <w:p w14:paraId="2C8FF43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570367FD" w14:textId="77777777" w:rsidTr="005432A1">
        <w:trPr>
          <w:trHeight w:val="375"/>
        </w:trPr>
        <w:tc>
          <w:tcPr>
            <w:tcW w:w="2405" w:type="dxa"/>
            <w:tcBorders>
              <w:top w:val="nil"/>
              <w:bottom w:val="nil"/>
            </w:tcBorders>
            <w:shd w:val="clear" w:color="auto" w:fill="DBE5F1" w:themeFill="accent1" w:themeFillTint="33"/>
            <w:noWrap/>
            <w:vAlign w:val="center"/>
            <w:hideMark/>
          </w:tcPr>
          <w:p w14:paraId="783E690F"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Metolachlor</w:t>
            </w:r>
          </w:p>
        </w:tc>
        <w:tc>
          <w:tcPr>
            <w:tcW w:w="4145" w:type="dxa"/>
            <w:tcBorders>
              <w:top w:val="nil"/>
              <w:bottom w:val="nil"/>
            </w:tcBorders>
            <w:shd w:val="clear" w:color="auto" w:fill="auto"/>
            <w:vAlign w:val="center"/>
            <w:hideMark/>
          </w:tcPr>
          <w:p w14:paraId="0D5159F1"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Chloracetanilide herbicide</w:t>
            </w:r>
          </w:p>
        </w:tc>
        <w:tc>
          <w:tcPr>
            <w:tcW w:w="1239" w:type="dxa"/>
            <w:tcBorders>
              <w:top w:val="nil"/>
              <w:bottom w:val="nil"/>
            </w:tcBorders>
            <w:vAlign w:val="center"/>
          </w:tcPr>
          <w:p w14:paraId="04F41ED6"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244FB8A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0.03</w:t>
            </w:r>
          </w:p>
        </w:tc>
        <w:tc>
          <w:tcPr>
            <w:tcW w:w="769" w:type="dxa"/>
            <w:gridSpan w:val="2"/>
            <w:tcBorders>
              <w:top w:val="nil"/>
              <w:bottom w:val="nil"/>
            </w:tcBorders>
            <w:shd w:val="clear" w:color="auto" w:fill="auto"/>
            <w:noWrap/>
            <w:vAlign w:val="center"/>
            <w:hideMark/>
          </w:tcPr>
          <w:p w14:paraId="216ADDDE"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1BCE5E46"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7B03A8A5" w14:textId="77777777" w:rsidTr="005432A1">
        <w:trPr>
          <w:trHeight w:val="375"/>
        </w:trPr>
        <w:tc>
          <w:tcPr>
            <w:tcW w:w="2405" w:type="dxa"/>
            <w:tcBorders>
              <w:top w:val="nil"/>
              <w:bottom w:val="nil"/>
            </w:tcBorders>
            <w:shd w:val="clear" w:color="auto" w:fill="DBE5F1" w:themeFill="accent1" w:themeFillTint="33"/>
            <w:noWrap/>
            <w:vAlign w:val="center"/>
            <w:hideMark/>
          </w:tcPr>
          <w:p w14:paraId="38B93678" w14:textId="77777777" w:rsidR="005432A1" w:rsidRPr="0045293A" w:rsidRDefault="005432A1" w:rsidP="0045293A">
            <w:pPr>
              <w:spacing w:before="0" w:after="0" w:line="240" w:lineRule="auto"/>
              <w:contextualSpacing/>
              <w:rPr>
                <w:rFonts w:eastAsia="Times New Roman" w:cs="Arial"/>
                <w:color w:val="C00000"/>
                <w:sz w:val="20"/>
                <w:szCs w:val="20"/>
                <w:lang w:eastAsia="en-AU"/>
              </w:rPr>
            </w:pPr>
            <w:r w:rsidRPr="0045293A">
              <w:rPr>
                <w:rFonts w:eastAsia="Times New Roman" w:cs="Arial"/>
                <w:color w:val="C00000"/>
                <w:sz w:val="20"/>
                <w:szCs w:val="20"/>
                <w:lang w:eastAsia="en-AU"/>
              </w:rPr>
              <w:t>Metribuzin</w:t>
            </w:r>
          </w:p>
        </w:tc>
        <w:tc>
          <w:tcPr>
            <w:tcW w:w="4145" w:type="dxa"/>
            <w:tcBorders>
              <w:top w:val="nil"/>
              <w:bottom w:val="nil"/>
            </w:tcBorders>
            <w:shd w:val="clear" w:color="auto" w:fill="auto"/>
            <w:vAlign w:val="center"/>
            <w:hideMark/>
          </w:tcPr>
          <w:p w14:paraId="346B601A"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triazinone</w:t>
            </w:r>
          </w:p>
        </w:tc>
        <w:tc>
          <w:tcPr>
            <w:tcW w:w="1239" w:type="dxa"/>
            <w:tcBorders>
              <w:top w:val="nil"/>
              <w:bottom w:val="nil"/>
            </w:tcBorders>
            <w:vAlign w:val="center"/>
          </w:tcPr>
          <w:p w14:paraId="16529C5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7A456A3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0.03</w:t>
            </w:r>
          </w:p>
        </w:tc>
        <w:tc>
          <w:tcPr>
            <w:tcW w:w="769" w:type="dxa"/>
            <w:gridSpan w:val="2"/>
            <w:tcBorders>
              <w:top w:val="nil"/>
              <w:bottom w:val="nil"/>
            </w:tcBorders>
            <w:shd w:val="clear" w:color="auto" w:fill="auto"/>
            <w:noWrap/>
            <w:vAlign w:val="center"/>
            <w:hideMark/>
          </w:tcPr>
          <w:p w14:paraId="54096074"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06C62846"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5B6A9F07" w14:textId="77777777" w:rsidTr="005432A1">
        <w:trPr>
          <w:trHeight w:val="375"/>
        </w:trPr>
        <w:tc>
          <w:tcPr>
            <w:tcW w:w="2405" w:type="dxa"/>
            <w:tcBorders>
              <w:top w:val="nil"/>
              <w:bottom w:val="nil"/>
            </w:tcBorders>
            <w:shd w:val="clear" w:color="000000" w:fill="FFFFFF"/>
            <w:noWrap/>
            <w:vAlign w:val="center"/>
            <w:hideMark/>
          </w:tcPr>
          <w:p w14:paraId="5669AA04" w14:textId="77777777" w:rsidR="005432A1" w:rsidRPr="0045293A" w:rsidRDefault="005432A1" w:rsidP="0045293A">
            <w:pPr>
              <w:spacing w:before="0" w:after="0" w:line="240" w:lineRule="auto"/>
              <w:contextualSpacing/>
              <w:rPr>
                <w:rFonts w:eastAsia="Times New Roman" w:cs="Arial"/>
                <w:color w:val="C00000"/>
                <w:sz w:val="20"/>
                <w:szCs w:val="20"/>
                <w:lang w:eastAsia="en-AU"/>
              </w:rPr>
            </w:pPr>
            <w:r w:rsidRPr="0045293A">
              <w:rPr>
                <w:rFonts w:eastAsia="Times New Roman" w:cs="Arial"/>
                <w:color w:val="C00000"/>
                <w:sz w:val="20"/>
                <w:szCs w:val="20"/>
                <w:lang w:eastAsia="en-AU"/>
              </w:rPr>
              <w:t>Metsulfuron methyl</w:t>
            </w:r>
          </w:p>
        </w:tc>
        <w:tc>
          <w:tcPr>
            <w:tcW w:w="4145" w:type="dxa"/>
            <w:tcBorders>
              <w:top w:val="nil"/>
              <w:bottom w:val="nil"/>
            </w:tcBorders>
            <w:shd w:val="clear" w:color="auto" w:fill="auto"/>
            <w:noWrap/>
            <w:vAlign w:val="center"/>
            <w:hideMark/>
          </w:tcPr>
          <w:p w14:paraId="2EAC40D5"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Sulfonylurea herbicide</w:t>
            </w:r>
          </w:p>
        </w:tc>
        <w:tc>
          <w:tcPr>
            <w:tcW w:w="1239" w:type="dxa"/>
            <w:tcBorders>
              <w:top w:val="nil"/>
              <w:bottom w:val="nil"/>
            </w:tcBorders>
            <w:vAlign w:val="center"/>
          </w:tcPr>
          <w:p w14:paraId="213FFC0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2EB376E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0.01</w:t>
            </w:r>
          </w:p>
        </w:tc>
        <w:tc>
          <w:tcPr>
            <w:tcW w:w="769" w:type="dxa"/>
            <w:gridSpan w:val="2"/>
            <w:tcBorders>
              <w:top w:val="nil"/>
              <w:bottom w:val="nil"/>
            </w:tcBorders>
            <w:shd w:val="clear" w:color="auto" w:fill="auto"/>
            <w:noWrap/>
            <w:vAlign w:val="center"/>
            <w:hideMark/>
          </w:tcPr>
          <w:p w14:paraId="35E61D4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57FE8CC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60466A6B" w14:textId="77777777" w:rsidTr="005432A1">
        <w:trPr>
          <w:trHeight w:val="375"/>
        </w:trPr>
        <w:tc>
          <w:tcPr>
            <w:tcW w:w="2405" w:type="dxa"/>
            <w:tcBorders>
              <w:top w:val="nil"/>
              <w:bottom w:val="nil"/>
              <w:right w:val="nil"/>
            </w:tcBorders>
            <w:shd w:val="clear" w:color="auto" w:fill="auto"/>
            <w:noWrap/>
            <w:vAlign w:val="center"/>
            <w:hideMark/>
          </w:tcPr>
          <w:p w14:paraId="2463C45C" w14:textId="77777777" w:rsidR="005432A1" w:rsidRPr="0045293A" w:rsidRDefault="005432A1" w:rsidP="0045293A">
            <w:pPr>
              <w:spacing w:before="0" w:after="0" w:line="240" w:lineRule="auto"/>
              <w:contextualSpacing/>
              <w:rPr>
                <w:rFonts w:eastAsia="Times New Roman" w:cs="Arial"/>
                <w:sz w:val="20"/>
                <w:szCs w:val="20"/>
                <w:lang w:eastAsia="en-AU"/>
              </w:rPr>
            </w:pPr>
            <w:r w:rsidRPr="0045293A">
              <w:rPr>
                <w:rFonts w:eastAsia="Times New Roman" w:cs="Arial"/>
                <w:sz w:val="20"/>
                <w:szCs w:val="20"/>
                <w:lang w:eastAsia="en-AU"/>
              </w:rPr>
              <w:t>MSMA*</w:t>
            </w:r>
          </w:p>
        </w:tc>
        <w:tc>
          <w:tcPr>
            <w:tcW w:w="4145" w:type="dxa"/>
            <w:tcBorders>
              <w:top w:val="nil"/>
              <w:left w:val="nil"/>
              <w:bottom w:val="nil"/>
              <w:right w:val="nil"/>
            </w:tcBorders>
            <w:shd w:val="clear" w:color="auto" w:fill="auto"/>
            <w:noWrap/>
            <w:vAlign w:val="center"/>
            <w:hideMark/>
          </w:tcPr>
          <w:p w14:paraId="2270B7B8" w14:textId="77777777" w:rsidR="005432A1" w:rsidRPr="0045293A" w:rsidRDefault="005432A1" w:rsidP="0045293A">
            <w:pPr>
              <w:spacing w:before="0" w:after="0" w:line="240" w:lineRule="auto"/>
              <w:contextualSpacing/>
              <w:rPr>
                <w:rFonts w:eastAsia="Times New Roman" w:cs="Arial"/>
                <w:sz w:val="20"/>
                <w:szCs w:val="20"/>
                <w:lang w:eastAsia="en-AU"/>
              </w:rPr>
            </w:pPr>
            <w:r w:rsidRPr="0045293A">
              <w:rPr>
                <w:rFonts w:eastAsia="Times New Roman" w:cs="Arial"/>
                <w:sz w:val="20"/>
                <w:szCs w:val="20"/>
                <w:lang w:eastAsia="en-AU"/>
              </w:rPr>
              <w:t>Herbicide: inhibition of cell division</w:t>
            </w:r>
          </w:p>
        </w:tc>
        <w:tc>
          <w:tcPr>
            <w:tcW w:w="1239" w:type="dxa"/>
            <w:tcBorders>
              <w:top w:val="nil"/>
              <w:left w:val="nil"/>
              <w:bottom w:val="nil"/>
              <w:right w:val="nil"/>
            </w:tcBorders>
            <w:shd w:val="clear" w:color="auto" w:fill="auto"/>
            <w:vAlign w:val="center"/>
          </w:tcPr>
          <w:p w14:paraId="5944CD75" w14:textId="77777777" w:rsidR="005432A1" w:rsidRPr="0045293A" w:rsidRDefault="005432A1" w:rsidP="0045293A">
            <w:pPr>
              <w:spacing w:before="0" w:after="0" w:line="240" w:lineRule="auto"/>
              <w:contextualSpacing/>
              <w:jc w:val="center"/>
              <w:rPr>
                <w:rFonts w:eastAsia="Times New Roman" w:cs="Arial"/>
                <w:sz w:val="20"/>
                <w:szCs w:val="20"/>
                <w:lang w:eastAsia="en-AU"/>
              </w:rPr>
            </w:pPr>
            <w:r w:rsidRPr="0045293A">
              <w:rPr>
                <w:rFonts w:eastAsia="Times New Roman" w:cs="Arial"/>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3F8AE383" w14:textId="77777777" w:rsidR="005432A1" w:rsidRPr="0045293A" w:rsidRDefault="005432A1" w:rsidP="0045293A">
            <w:pPr>
              <w:spacing w:before="0" w:after="0" w:line="240" w:lineRule="auto"/>
              <w:contextualSpacing/>
              <w:jc w:val="center"/>
              <w:rPr>
                <w:rFonts w:eastAsia="Times New Roman" w:cs="Arial"/>
                <w:sz w:val="20"/>
                <w:szCs w:val="20"/>
                <w:lang w:eastAsia="en-AU"/>
              </w:rPr>
            </w:pPr>
          </w:p>
        </w:tc>
        <w:tc>
          <w:tcPr>
            <w:tcW w:w="769" w:type="dxa"/>
            <w:gridSpan w:val="2"/>
            <w:tcBorders>
              <w:top w:val="nil"/>
              <w:left w:val="nil"/>
              <w:bottom w:val="nil"/>
              <w:right w:val="nil"/>
            </w:tcBorders>
            <w:shd w:val="clear" w:color="auto" w:fill="auto"/>
            <w:noWrap/>
            <w:vAlign w:val="center"/>
            <w:hideMark/>
          </w:tcPr>
          <w:p w14:paraId="4E46E28B" w14:textId="77777777" w:rsidR="005432A1" w:rsidRPr="0045293A" w:rsidRDefault="005432A1" w:rsidP="0045293A">
            <w:pPr>
              <w:spacing w:before="0" w:after="0" w:line="240" w:lineRule="auto"/>
              <w:contextualSpacing/>
              <w:jc w:val="center"/>
              <w:rPr>
                <w:rFonts w:eastAsia="Times New Roman" w:cs="Arial"/>
                <w:sz w:val="20"/>
                <w:szCs w:val="20"/>
                <w:lang w:eastAsia="en-AU"/>
              </w:rPr>
            </w:pPr>
          </w:p>
        </w:tc>
        <w:tc>
          <w:tcPr>
            <w:tcW w:w="770" w:type="dxa"/>
            <w:tcBorders>
              <w:top w:val="nil"/>
              <w:left w:val="nil"/>
              <w:bottom w:val="nil"/>
            </w:tcBorders>
            <w:shd w:val="clear" w:color="auto" w:fill="auto"/>
            <w:noWrap/>
            <w:vAlign w:val="center"/>
            <w:hideMark/>
          </w:tcPr>
          <w:p w14:paraId="106DD30E" w14:textId="77777777" w:rsidR="005432A1" w:rsidRPr="0045293A" w:rsidRDefault="005432A1" w:rsidP="0045293A">
            <w:pPr>
              <w:spacing w:before="0" w:after="0" w:line="240" w:lineRule="auto"/>
              <w:contextualSpacing/>
              <w:jc w:val="center"/>
              <w:rPr>
                <w:rFonts w:eastAsia="Times New Roman" w:cs="Arial"/>
                <w:sz w:val="20"/>
                <w:szCs w:val="20"/>
                <w:lang w:eastAsia="en-AU"/>
              </w:rPr>
            </w:pPr>
          </w:p>
        </w:tc>
      </w:tr>
      <w:tr w:rsidR="005432A1" w:rsidRPr="0045293A" w14:paraId="16815002" w14:textId="77777777" w:rsidTr="005432A1">
        <w:trPr>
          <w:trHeight w:val="375"/>
        </w:trPr>
        <w:tc>
          <w:tcPr>
            <w:tcW w:w="2405" w:type="dxa"/>
            <w:tcBorders>
              <w:top w:val="nil"/>
              <w:bottom w:val="nil"/>
              <w:right w:val="nil"/>
            </w:tcBorders>
            <w:shd w:val="clear" w:color="auto" w:fill="auto"/>
            <w:noWrap/>
            <w:vAlign w:val="center"/>
            <w:hideMark/>
          </w:tcPr>
          <w:p w14:paraId="086D7CC4" w14:textId="77777777" w:rsidR="005432A1" w:rsidRPr="0045293A" w:rsidRDefault="005432A1" w:rsidP="0045293A">
            <w:pPr>
              <w:spacing w:before="0" w:after="0" w:line="240" w:lineRule="auto"/>
              <w:contextualSpacing/>
              <w:rPr>
                <w:rFonts w:eastAsia="Times New Roman" w:cs="Arial"/>
                <w:sz w:val="20"/>
                <w:szCs w:val="20"/>
                <w:lang w:eastAsia="en-AU"/>
              </w:rPr>
            </w:pPr>
            <w:r w:rsidRPr="0045293A">
              <w:rPr>
                <w:rFonts w:eastAsia="Times New Roman" w:cs="Arial"/>
                <w:sz w:val="20"/>
                <w:szCs w:val="20"/>
                <w:lang w:eastAsia="en-AU"/>
              </w:rPr>
              <w:t>Paraquat*</w:t>
            </w:r>
          </w:p>
        </w:tc>
        <w:tc>
          <w:tcPr>
            <w:tcW w:w="4145" w:type="dxa"/>
            <w:tcBorders>
              <w:top w:val="nil"/>
              <w:left w:val="nil"/>
              <w:bottom w:val="nil"/>
              <w:right w:val="nil"/>
            </w:tcBorders>
            <w:shd w:val="clear" w:color="auto" w:fill="auto"/>
            <w:noWrap/>
            <w:vAlign w:val="center"/>
            <w:hideMark/>
          </w:tcPr>
          <w:p w14:paraId="6B582246" w14:textId="77777777" w:rsidR="005432A1" w:rsidRPr="0045293A" w:rsidRDefault="005432A1" w:rsidP="0045293A">
            <w:pPr>
              <w:spacing w:before="0" w:after="0" w:line="240" w:lineRule="auto"/>
              <w:contextualSpacing/>
              <w:rPr>
                <w:rFonts w:eastAsia="Times New Roman" w:cs="Arial"/>
                <w:sz w:val="20"/>
                <w:szCs w:val="20"/>
                <w:lang w:eastAsia="en-AU"/>
              </w:rPr>
            </w:pPr>
            <w:r w:rsidRPr="0045293A">
              <w:rPr>
                <w:rFonts w:eastAsia="Times New Roman" w:cs="Arial"/>
                <w:sz w:val="20"/>
                <w:szCs w:val="20"/>
                <w:lang w:eastAsia="en-AU"/>
              </w:rPr>
              <w:t xml:space="preserve">Herbicide: photosystem-I-electron diversion </w:t>
            </w:r>
          </w:p>
        </w:tc>
        <w:tc>
          <w:tcPr>
            <w:tcW w:w="1239" w:type="dxa"/>
            <w:tcBorders>
              <w:top w:val="nil"/>
              <w:left w:val="nil"/>
              <w:bottom w:val="nil"/>
              <w:right w:val="nil"/>
            </w:tcBorders>
            <w:shd w:val="clear" w:color="auto" w:fill="auto"/>
            <w:vAlign w:val="center"/>
          </w:tcPr>
          <w:p w14:paraId="2F27C4AD" w14:textId="77777777" w:rsidR="005432A1" w:rsidRPr="0045293A" w:rsidRDefault="005432A1" w:rsidP="0045293A">
            <w:pPr>
              <w:spacing w:before="0" w:after="0" w:line="240" w:lineRule="auto"/>
              <w:contextualSpacing/>
              <w:jc w:val="center"/>
              <w:rPr>
                <w:rFonts w:eastAsia="Times New Roman" w:cs="Arial"/>
                <w:sz w:val="20"/>
                <w:szCs w:val="20"/>
                <w:lang w:eastAsia="en-AU"/>
              </w:rPr>
            </w:pPr>
            <w:r w:rsidRPr="0045293A">
              <w:rPr>
                <w:rFonts w:eastAsia="Times New Roman" w:cs="Arial"/>
                <w:sz w:val="20"/>
                <w:szCs w:val="20"/>
                <w:lang w:eastAsia="en-AU"/>
              </w:rPr>
              <w:t>Of interest</w:t>
            </w:r>
          </w:p>
        </w:tc>
        <w:tc>
          <w:tcPr>
            <w:tcW w:w="769" w:type="dxa"/>
            <w:gridSpan w:val="2"/>
            <w:tcBorders>
              <w:top w:val="nil"/>
              <w:left w:val="nil"/>
              <w:bottom w:val="nil"/>
              <w:right w:val="nil"/>
            </w:tcBorders>
            <w:shd w:val="clear" w:color="auto" w:fill="auto"/>
            <w:noWrap/>
            <w:vAlign w:val="center"/>
            <w:hideMark/>
          </w:tcPr>
          <w:p w14:paraId="23B0F465" w14:textId="77777777" w:rsidR="005432A1" w:rsidRPr="0045293A" w:rsidRDefault="005432A1" w:rsidP="0045293A">
            <w:pPr>
              <w:spacing w:before="0" w:after="0" w:line="240" w:lineRule="auto"/>
              <w:contextualSpacing/>
              <w:jc w:val="center"/>
              <w:rPr>
                <w:rFonts w:eastAsia="Times New Roman" w:cs="Arial"/>
                <w:sz w:val="20"/>
                <w:szCs w:val="20"/>
                <w:lang w:eastAsia="en-AU"/>
              </w:rPr>
            </w:pPr>
          </w:p>
        </w:tc>
        <w:tc>
          <w:tcPr>
            <w:tcW w:w="769" w:type="dxa"/>
            <w:gridSpan w:val="2"/>
            <w:tcBorders>
              <w:top w:val="nil"/>
              <w:left w:val="nil"/>
              <w:bottom w:val="nil"/>
              <w:right w:val="nil"/>
            </w:tcBorders>
            <w:shd w:val="clear" w:color="auto" w:fill="auto"/>
            <w:noWrap/>
            <w:vAlign w:val="center"/>
            <w:hideMark/>
          </w:tcPr>
          <w:p w14:paraId="569C8E79" w14:textId="77777777" w:rsidR="005432A1" w:rsidRPr="0045293A" w:rsidRDefault="005432A1" w:rsidP="0045293A">
            <w:pPr>
              <w:spacing w:before="0" w:after="0" w:line="240" w:lineRule="auto"/>
              <w:contextualSpacing/>
              <w:jc w:val="center"/>
              <w:rPr>
                <w:rFonts w:eastAsia="Times New Roman" w:cs="Arial"/>
                <w:sz w:val="20"/>
                <w:szCs w:val="20"/>
                <w:lang w:eastAsia="en-AU"/>
              </w:rPr>
            </w:pPr>
          </w:p>
        </w:tc>
        <w:tc>
          <w:tcPr>
            <w:tcW w:w="770" w:type="dxa"/>
            <w:tcBorders>
              <w:top w:val="nil"/>
              <w:left w:val="nil"/>
              <w:bottom w:val="nil"/>
            </w:tcBorders>
            <w:shd w:val="clear" w:color="auto" w:fill="auto"/>
            <w:noWrap/>
            <w:vAlign w:val="center"/>
            <w:hideMark/>
          </w:tcPr>
          <w:p w14:paraId="4F12923F" w14:textId="77777777" w:rsidR="005432A1" w:rsidRPr="0045293A" w:rsidRDefault="005432A1" w:rsidP="0045293A">
            <w:pPr>
              <w:spacing w:before="0" w:after="0" w:line="240" w:lineRule="auto"/>
              <w:contextualSpacing/>
              <w:jc w:val="center"/>
              <w:rPr>
                <w:rFonts w:eastAsia="Times New Roman" w:cs="Arial"/>
                <w:sz w:val="20"/>
                <w:szCs w:val="20"/>
                <w:lang w:eastAsia="en-AU"/>
              </w:rPr>
            </w:pPr>
          </w:p>
        </w:tc>
      </w:tr>
      <w:tr w:rsidR="005432A1" w:rsidRPr="0045293A" w14:paraId="5717A73F" w14:textId="77777777" w:rsidTr="005432A1">
        <w:trPr>
          <w:trHeight w:val="375"/>
        </w:trPr>
        <w:tc>
          <w:tcPr>
            <w:tcW w:w="2405" w:type="dxa"/>
            <w:tcBorders>
              <w:top w:val="nil"/>
              <w:bottom w:val="nil"/>
            </w:tcBorders>
            <w:shd w:val="clear" w:color="auto" w:fill="DBE5F1" w:themeFill="accent1" w:themeFillTint="33"/>
            <w:noWrap/>
            <w:vAlign w:val="center"/>
            <w:hideMark/>
          </w:tcPr>
          <w:p w14:paraId="79E71D63"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Pendimethalin</w:t>
            </w:r>
          </w:p>
        </w:tc>
        <w:tc>
          <w:tcPr>
            <w:tcW w:w="4145" w:type="dxa"/>
            <w:tcBorders>
              <w:top w:val="nil"/>
              <w:bottom w:val="nil"/>
            </w:tcBorders>
            <w:shd w:val="clear" w:color="auto" w:fill="auto"/>
            <w:vAlign w:val="center"/>
            <w:hideMark/>
          </w:tcPr>
          <w:p w14:paraId="325F55CD"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Dinitroaniline herbicide</w:t>
            </w:r>
          </w:p>
        </w:tc>
        <w:tc>
          <w:tcPr>
            <w:tcW w:w="1239" w:type="dxa"/>
            <w:tcBorders>
              <w:top w:val="nil"/>
              <w:bottom w:val="nil"/>
            </w:tcBorders>
            <w:vAlign w:val="center"/>
          </w:tcPr>
          <w:p w14:paraId="0E6B769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4BB2100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hideMark/>
          </w:tcPr>
          <w:p w14:paraId="091E59E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hideMark/>
          </w:tcPr>
          <w:p w14:paraId="6C6AC51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1.0</w:t>
            </w:r>
          </w:p>
        </w:tc>
      </w:tr>
      <w:tr w:rsidR="005432A1" w:rsidRPr="0045293A" w14:paraId="5626282D" w14:textId="77777777" w:rsidTr="005432A1">
        <w:trPr>
          <w:trHeight w:val="375"/>
        </w:trPr>
        <w:tc>
          <w:tcPr>
            <w:tcW w:w="2405" w:type="dxa"/>
            <w:tcBorders>
              <w:top w:val="nil"/>
              <w:bottom w:val="nil"/>
            </w:tcBorders>
            <w:shd w:val="clear" w:color="000000" w:fill="FFFFFF"/>
            <w:noWrap/>
            <w:vAlign w:val="center"/>
            <w:hideMark/>
          </w:tcPr>
          <w:p w14:paraId="4177F607"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Prometryn</w:t>
            </w:r>
          </w:p>
        </w:tc>
        <w:tc>
          <w:tcPr>
            <w:tcW w:w="4145" w:type="dxa"/>
            <w:tcBorders>
              <w:top w:val="nil"/>
              <w:bottom w:val="nil"/>
            </w:tcBorders>
            <w:shd w:val="clear" w:color="auto" w:fill="auto"/>
            <w:vAlign w:val="center"/>
            <w:hideMark/>
          </w:tcPr>
          <w:p w14:paraId="322631BA"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methylthiotriazine</w:t>
            </w:r>
          </w:p>
        </w:tc>
        <w:tc>
          <w:tcPr>
            <w:tcW w:w="1239" w:type="dxa"/>
            <w:tcBorders>
              <w:top w:val="nil"/>
              <w:bottom w:val="nil"/>
            </w:tcBorders>
            <w:vAlign w:val="center"/>
          </w:tcPr>
          <w:p w14:paraId="7E4E757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22FD990C"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0.54</w:t>
            </w:r>
          </w:p>
        </w:tc>
        <w:tc>
          <w:tcPr>
            <w:tcW w:w="769" w:type="dxa"/>
            <w:gridSpan w:val="2"/>
            <w:tcBorders>
              <w:top w:val="nil"/>
              <w:bottom w:val="nil"/>
            </w:tcBorders>
            <w:shd w:val="clear" w:color="auto" w:fill="auto"/>
            <w:noWrap/>
            <w:vAlign w:val="center"/>
            <w:hideMark/>
          </w:tcPr>
          <w:p w14:paraId="75E51F06"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1.61</w:t>
            </w:r>
          </w:p>
        </w:tc>
        <w:tc>
          <w:tcPr>
            <w:tcW w:w="770" w:type="dxa"/>
            <w:tcBorders>
              <w:top w:val="nil"/>
              <w:bottom w:val="nil"/>
            </w:tcBorders>
            <w:shd w:val="clear" w:color="000000" w:fill="FFFFFF"/>
            <w:noWrap/>
            <w:vAlign w:val="center"/>
            <w:hideMark/>
          </w:tcPr>
          <w:p w14:paraId="71E415D3"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0D034BD4" w14:textId="77777777" w:rsidTr="005432A1">
        <w:trPr>
          <w:trHeight w:val="375"/>
        </w:trPr>
        <w:tc>
          <w:tcPr>
            <w:tcW w:w="2405" w:type="dxa"/>
            <w:tcBorders>
              <w:top w:val="nil"/>
              <w:bottom w:val="nil"/>
            </w:tcBorders>
            <w:shd w:val="clear" w:color="000000" w:fill="FFFFFF"/>
            <w:noWrap/>
            <w:vAlign w:val="center"/>
            <w:hideMark/>
          </w:tcPr>
          <w:p w14:paraId="10E02F2D" w14:textId="77777777" w:rsidR="005432A1" w:rsidRPr="0045293A" w:rsidRDefault="005432A1" w:rsidP="0045293A">
            <w:pPr>
              <w:spacing w:before="0" w:after="0" w:line="240" w:lineRule="auto"/>
              <w:contextualSpacing/>
              <w:rPr>
                <w:rFonts w:eastAsia="Times New Roman" w:cs="Arial"/>
                <w:color w:val="C00000"/>
                <w:sz w:val="20"/>
                <w:szCs w:val="20"/>
                <w:lang w:eastAsia="en-AU"/>
              </w:rPr>
            </w:pPr>
            <w:r w:rsidRPr="0045293A">
              <w:rPr>
                <w:rFonts w:eastAsia="Times New Roman" w:cs="Arial"/>
                <w:color w:val="C00000"/>
                <w:sz w:val="20"/>
                <w:szCs w:val="20"/>
                <w:lang w:eastAsia="en-AU"/>
              </w:rPr>
              <w:t>Propazine</w:t>
            </w:r>
          </w:p>
        </w:tc>
        <w:tc>
          <w:tcPr>
            <w:tcW w:w="4145" w:type="dxa"/>
            <w:tcBorders>
              <w:top w:val="nil"/>
              <w:bottom w:val="nil"/>
            </w:tcBorders>
            <w:shd w:val="clear" w:color="auto" w:fill="auto"/>
            <w:vAlign w:val="center"/>
            <w:hideMark/>
          </w:tcPr>
          <w:p w14:paraId="037E8940"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chlorotriazine</w:t>
            </w:r>
          </w:p>
        </w:tc>
        <w:tc>
          <w:tcPr>
            <w:tcW w:w="1239" w:type="dxa"/>
            <w:tcBorders>
              <w:top w:val="nil"/>
              <w:bottom w:val="nil"/>
            </w:tcBorders>
            <w:vAlign w:val="center"/>
          </w:tcPr>
          <w:p w14:paraId="2863FCB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1EE20518" w14:textId="77777777" w:rsidR="005432A1" w:rsidRPr="0045293A" w:rsidRDefault="005432A1" w:rsidP="0045293A">
            <w:pPr>
              <w:spacing w:before="0" w:after="0" w:line="240" w:lineRule="auto"/>
              <w:contextualSpacing/>
              <w:jc w:val="center"/>
              <w:rPr>
                <w:rFonts w:eastAsia="Times New Roman" w:cs="Arial"/>
                <w:color w:val="000000"/>
                <w:sz w:val="20"/>
                <w:szCs w:val="20"/>
                <w:highlight w:val="yellow"/>
                <w:lang w:eastAsia="en-AU"/>
              </w:rPr>
            </w:pPr>
            <w:r w:rsidRPr="0045293A">
              <w:rPr>
                <w:rFonts w:eastAsia="Times New Roman" w:cs="Arial"/>
                <w:color w:val="000000"/>
                <w:sz w:val="20"/>
                <w:szCs w:val="20"/>
                <w:lang w:eastAsia="en-AU"/>
              </w:rPr>
              <w:t>0.06</w:t>
            </w:r>
          </w:p>
        </w:tc>
        <w:tc>
          <w:tcPr>
            <w:tcW w:w="769" w:type="dxa"/>
            <w:gridSpan w:val="2"/>
            <w:tcBorders>
              <w:top w:val="nil"/>
              <w:bottom w:val="nil"/>
            </w:tcBorders>
            <w:shd w:val="clear" w:color="auto" w:fill="auto"/>
            <w:noWrap/>
            <w:vAlign w:val="center"/>
          </w:tcPr>
          <w:p w14:paraId="5FEA27AF"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0.18</w:t>
            </w:r>
          </w:p>
        </w:tc>
        <w:tc>
          <w:tcPr>
            <w:tcW w:w="770" w:type="dxa"/>
            <w:tcBorders>
              <w:top w:val="nil"/>
              <w:bottom w:val="nil"/>
            </w:tcBorders>
            <w:shd w:val="clear" w:color="000000" w:fill="FFFFFF"/>
            <w:noWrap/>
            <w:vAlign w:val="center"/>
            <w:hideMark/>
          </w:tcPr>
          <w:p w14:paraId="350146B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699E18A5" w14:textId="77777777" w:rsidTr="005432A1">
        <w:trPr>
          <w:trHeight w:val="375"/>
        </w:trPr>
        <w:tc>
          <w:tcPr>
            <w:tcW w:w="2405" w:type="dxa"/>
            <w:tcBorders>
              <w:top w:val="nil"/>
              <w:bottom w:val="nil"/>
            </w:tcBorders>
            <w:shd w:val="clear" w:color="000000" w:fill="FFFFFF"/>
            <w:noWrap/>
            <w:vAlign w:val="center"/>
            <w:hideMark/>
          </w:tcPr>
          <w:p w14:paraId="5280B9F7" w14:textId="77777777" w:rsidR="005432A1" w:rsidRPr="0045293A" w:rsidRDefault="005432A1" w:rsidP="0045293A">
            <w:pPr>
              <w:spacing w:before="0" w:after="0" w:line="240" w:lineRule="auto"/>
              <w:contextualSpacing/>
              <w:rPr>
                <w:rFonts w:eastAsia="Times New Roman" w:cs="Arial"/>
                <w:color w:val="C00000"/>
                <w:sz w:val="20"/>
                <w:szCs w:val="20"/>
                <w:lang w:eastAsia="en-AU"/>
              </w:rPr>
            </w:pPr>
            <w:r w:rsidRPr="0045293A">
              <w:rPr>
                <w:rFonts w:eastAsia="Times New Roman" w:cs="Arial"/>
                <w:color w:val="C00000"/>
                <w:sz w:val="20"/>
                <w:szCs w:val="20"/>
                <w:lang w:eastAsia="en-AU"/>
              </w:rPr>
              <w:t>Propiconazole</w:t>
            </w:r>
          </w:p>
        </w:tc>
        <w:tc>
          <w:tcPr>
            <w:tcW w:w="4145" w:type="dxa"/>
            <w:tcBorders>
              <w:top w:val="nil"/>
              <w:bottom w:val="nil"/>
            </w:tcBorders>
            <w:shd w:val="clear" w:color="auto" w:fill="auto"/>
            <w:vAlign w:val="center"/>
            <w:hideMark/>
          </w:tcPr>
          <w:p w14:paraId="2F6B0A2E"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Conazole fungicide</w:t>
            </w:r>
          </w:p>
        </w:tc>
        <w:tc>
          <w:tcPr>
            <w:tcW w:w="1239" w:type="dxa"/>
            <w:tcBorders>
              <w:top w:val="nil"/>
              <w:bottom w:val="nil"/>
            </w:tcBorders>
            <w:vAlign w:val="center"/>
          </w:tcPr>
          <w:p w14:paraId="38724B32" w14:textId="77777777" w:rsidR="005432A1" w:rsidRPr="0045293A" w:rsidRDefault="005432A1" w:rsidP="0045293A">
            <w:pPr>
              <w:spacing w:before="0" w:after="0" w:line="240" w:lineRule="auto"/>
              <w:contextualSpacing/>
              <w:jc w:val="center"/>
              <w:rPr>
                <w:rFonts w:eastAsia="Times New Roman" w:cs="Arial"/>
                <w:color w:val="000000"/>
                <w:sz w:val="20"/>
                <w:szCs w:val="20"/>
                <w:highlight w:val="yellow"/>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tcPr>
          <w:p w14:paraId="13BB97C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tcPr>
          <w:p w14:paraId="1EB991BF"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hideMark/>
          </w:tcPr>
          <w:p w14:paraId="5018FC9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2.0</w:t>
            </w:r>
          </w:p>
        </w:tc>
      </w:tr>
      <w:tr w:rsidR="005432A1" w:rsidRPr="0045293A" w14:paraId="6C86872D" w14:textId="77777777" w:rsidTr="005432A1">
        <w:trPr>
          <w:trHeight w:val="375"/>
        </w:trPr>
        <w:tc>
          <w:tcPr>
            <w:tcW w:w="2405" w:type="dxa"/>
            <w:tcBorders>
              <w:top w:val="nil"/>
              <w:bottom w:val="nil"/>
            </w:tcBorders>
            <w:shd w:val="clear" w:color="000000" w:fill="FFFFFF"/>
            <w:noWrap/>
            <w:vAlign w:val="center"/>
          </w:tcPr>
          <w:p w14:paraId="71246734"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Prothiophos*</w:t>
            </w:r>
          </w:p>
        </w:tc>
        <w:tc>
          <w:tcPr>
            <w:tcW w:w="4145" w:type="dxa"/>
            <w:tcBorders>
              <w:top w:val="nil"/>
              <w:bottom w:val="nil"/>
            </w:tcBorders>
            <w:shd w:val="clear" w:color="auto" w:fill="auto"/>
            <w:vAlign w:val="center"/>
          </w:tcPr>
          <w:p w14:paraId="1C9819FF"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Insecticide: inhibits acetylcholinesterase</w:t>
            </w:r>
          </w:p>
        </w:tc>
        <w:tc>
          <w:tcPr>
            <w:tcW w:w="1239" w:type="dxa"/>
            <w:tcBorders>
              <w:top w:val="nil"/>
              <w:bottom w:val="nil"/>
            </w:tcBorders>
            <w:vAlign w:val="center"/>
          </w:tcPr>
          <w:p w14:paraId="122A18E4"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bottom w:val="nil"/>
            </w:tcBorders>
            <w:shd w:val="clear" w:color="auto" w:fill="auto"/>
            <w:noWrap/>
            <w:vAlign w:val="center"/>
          </w:tcPr>
          <w:p w14:paraId="7409A0B7"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tcPr>
          <w:p w14:paraId="30678E08"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tcPr>
          <w:p w14:paraId="0FC0A4FF"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3ED62EA0" w14:textId="77777777" w:rsidTr="005432A1">
        <w:trPr>
          <w:trHeight w:val="375"/>
        </w:trPr>
        <w:tc>
          <w:tcPr>
            <w:tcW w:w="2405" w:type="dxa"/>
            <w:tcBorders>
              <w:top w:val="nil"/>
              <w:bottom w:val="nil"/>
            </w:tcBorders>
            <w:shd w:val="clear" w:color="auto" w:fill="DBE5F1" w:themeFill="accent1" w:themeFillTint="33"/>
            <w:noWrap/>
            <w:vAlign w:val="center"/>
            <w:hideMark/>
          </w:tcPr>
          <w:p w14:paraId="7FFCC08E"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Simazine</w:t>
            </w:r>
          </w:p>
        </w:tc>
        <w:tc>
          <w:tcPr>
            <w:tcW w:w="4145" w:type="dxa"/>
            <w:tcBorders>
              <w:top w:val="nil"/>
              <w:bottom w:val="nil"/>
            </w:tcBorders>
            <w:shd w:val="clear" w:color="auto" w:fill="auto"/>
            <w:vAlign w:val="center"/>
            <w:hideMark/>
          </w:tcPr>
          <w:p w14:paraId="1E74077E"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chlorotriazine</w:t>
            </w:r>
          </w:p>
        </w:tc>
        <w:tc>
          <w:tcPr>
            <w:tcW w:w="1239" w:type="dxa"/>
            <w:tcBorders>
              <w:top w:val="nil"/>
              <w:bottom w:val="nil"/>
            </w:tcBorders>
            <w:vAlign w:val="center"/>
          </w:tcPr>
          <w:p w14:paraId="645022A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714E04C8"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0.08</w:t>
            </w:r>
          </w:p>
        </w:tc>
        <w:tc>
          <w:tcPr>
            <w:tcW w:w="769" w:type="dxa"/>
            <w:gridSpan w:val="2"/>
            <w:tcBorders>
              <w:top w:val="nil"/>
              <w:bottom w:val="nil"/>
            </w:tcBorders>
            <w:shd w:val="clear" w:color="auto" w:fill="auto"/>
            <w:noWrap/>
            <w:vAlign w:val="center"/>
            <w:hideMark/>
          </w:tcPr>
          <w:p w14:paraId="591A5BA0"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0.24</w:t>
            </w:r>
          </w:p>
        </w:tc>
        <w:tc>
          <w:tcPr>
            <w:tcW w:w="770" w:type="dxa"/>
            <w:tcBorders>
              <w:top w:val="nil"/>
              <w:bottom w:val="nil"/>
            </w:tcBorders>
            <w:shd w:val="clear" w:color="000000" w:fill="FFFFFF"/>
            <w:noWrap/>
            <w:vAlign w:val="center"/>
            <w:hideMark/>
          </w:tcPr>
          <w:p w14:paraId="6339E36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0FFF4C8E" w14:textId="77777777" w:rsidTr="005432A1">
        <w:trPr>
          <w:trHeight w:val="375"/>
        </w:trPr>
        <w:tc>
          <w:tcPr>
            <w:tcW w:w="2405" w:type="dxa"/>
            <w:tcBorders>
              <w:top w:val="nil"/>
              <w:bottom w:val="nil"/>
            </w:tcBorders>
            <w:shd w:val="clear" w:color="000000" w:fill="FFFFFF"/>
            <w:noWrap/>
            <w:vAlign w:val="center"/>
            <w:hideMark/>
          </w:tcPr>
          <w:p w14:paraId="39C79727" w14:textId="77777777" w:rsidR="005432A1" w:rsidRPr="0045293A" w:rsidRDefault="005432A1" w:rsidP="0045293A">
            <w:pPr>
              <w:spacing w:before="0" w:after="0" w:line="240" w:lineRule="auto"/>
              <w:contextualSpacing/>
              <w:rPr>
                <w:rFonts w:eastAsia="Times New Roman" w:cs="Arial"/>
                <w:color w:val="C0504D"/>
                <w:sz w:val="20"/>
                <w:szCs w:val="20"/>
                <w:lang w:eastAsia="en-AU"/>
              </w:rPr>
            </w:pPr>
            <w:r w:rsidRPr="0045293A">
              <w:rPr>
                <w:rFonts w:eastAsia="Times New Roman" w:cs="Arial"/>
                <w:color w:val="C00000"/>
                <w:sz w:val="20"/>
                <w:szCs w:val="20"/>
                <w:lang w:eastAsia="en-AU"/>
              </w:rPr>
              <w:t>Tebuconazole</w:t>
            </w:r>
          </w:p>
        </w:tc>
        <w:tc>
          <w:tcPr>
            <w:tcW w:w="4145" w:type="dxa"/>
            <w:tcBorders>
              <w:top w:val="nil"/>
              <w:bottom w:val="nil"/>
            </w:tcBorders>
            <w:shd w:val="clear" w:color="auto" w:fill="auto"/>
            <w:vAlign w:val="center"/>
            <w:hideMark/>
          </w:tcPr>
          <w:p w14:paraId="38FE83A4"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Conazole fungicide</w:t>
            </w:r>
          </w:p>
        </w:tc>
        <w:tc>
          <w:tcPr>
            <w:tcW w:w="1239" w:type="dxa"/>
            <w:tcBorders>
              <w:top w:val="nil"/>
              <w:bottom w:val="nil"/>
            </w:tcBorders>
            <w:vAlign w:val="center"/>
          </w:tcPr>
          <w:p w14:paraId="170D079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69E8091C"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69" w:type="dxa"/>
            <w:gridSpan w:val="2"/>
            <w:tcBorders>
              <w:top w:val="nil"/>
              <w:bottom w:val="nil"/>
            </w:tcBorders>
            <w:shd w:val="clear" w:color="auto" w:fill="auto"/>
            <w:noWrap/>
            <w:vAlign w:val="center"/>
            <w:hideMark/>
          </w:tcPr>
          <w:p w14:paraId="05B2634C"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0.31</w:t>
            </w:r>
          </w:p>
        </w:tc>
        <w:tc>
          <w:tcPr>
            <w:tcW w:w="770" w:type="dxa"/>
            <w:tcBorders>
              <w:top w:val="nil"/>
              <w:bottom w:val="nil"/>
            </w:tcBorders>
            <w:shd w:val="clear" w:color="000000" w:fill="FFFFFF"/>
            <w:noWrap/>
            <w:vAlign w:val="center"/>
            <w:hideMark/>
          </w:tcPr>
          <w:p w14:paraId="27981235"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5A6FF908" w14:textId="77777777" w:rsidTr="005432A1">
        <w:trPr>
          <w:trHeight w:val="375"/>
        </w:trPr>
        <w:tc>
          <w:tcPr>
            <w:tcW w:w="2405" w:type="dxa"/>
            <w:tcBorders>
              <w:top w:val="nil"/>
              <w:bottom w:val="nil"/>
            </w:tcBorders>
            <w:shd w:val="clear" w:color="auto" w:fill="DBE5F1" w:themeFill="accent1" w:themeFillTint="33"/>
            <w:noWrap/>
            <w:vAlign w:val="center"/>
            <w:hideMark/>
          </w:tcPr>
          <w:p w14:paraId="50289A22"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Tebuthiuron</w:t>
            </w:r>
          </w:p>
        </w:tc>
        <w:tc>
          <w:tcPr>
            <w:tcW w:w="4145" w:type="dxa"/>
            <w:tcBorders>
              <w:top w:val="nil"/>
              <w:bottom w:val="nil"/>
            </w:tcBorders>
            <w:shd w:val="clear" w:color="auto" w:fill="auto"/>
            <w:vAlign w:val="center"/>
            <w:hideMark/>
          </w:tcPr>
          <w:p w14:paraId="40ADED2F"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thiadazolurea</w:t>
            </w:r>
          </w:p>
        </w:tc>
        <w:tc>
          <w:tcPr>
            <w:tcW w:w="1239" w:type="dxa"/>
            <w:tcBorders>
              <w:top w:val="nil"/>
              <w:bottom w:val="nil"/>
            </w:tcBorders>
            <w:vAlign w:val="center"/>
          </w:tcPr>
          <w:p w14:paraId="6B70EDF4"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hideMark/>
          </w:tcPr>
          <w:p w14:paraId="66658739"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0.01</w:t>
            </w:r>
          </w:p>
        </w:tc>
        <w:tc>
          <w:tcPr>
            <w:tcW w:w="769" w:type="dxa"/>
            <w:gridSpan w:val="2"/>
            <w:tcBorders>
              <w:top w:val="nil"/>
              <w:bottom w:val="nil"/>
            </w:tcBorders>
            <w:shd w:val="clear" w:color="auto" w:fill="auto"/>
            <w:noWrap/>
            <w:vAlign w:val="center"/>
            <w:hideMark/>
          </w:tcPr>
          <w:p w14:paraId="600190F6"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0.10</w:t>
            </w:r>
          </w:p>
        </w:tc>
        <w:tc>
          <w:tcPr>
            <w:tcW w:w="770" w:type="dxa"/>
            <w:tcBorders>
              <w:top w:val="nil"/>
              <w:bottom w:val="nil"/>
            </w:tcBorders>
            <w:shd w:val="clear" w:color="000000" w:fill="FFFFFF"/>
            <w:noWrap/>
            <w:vAlign w:val="center"/>
            <w:hideMark/>
          </w:tcPr>
          <w:p w14:paraId="372325DA"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01FF2813" w14:textId="77777777" w:rsidTr="005432A1">
        <w:trPr>
          <w:trHeight w:val="375"/>
        </w:trPr>
        <w:tc>
          <w:tcPr>
            <w:tcW w:w="2405" w:type="dxa"/>
            <w:tcBorders>
              <w:top w:val="nil"/>
              <w:bottom w:val="nil"/>
            </w:tcBorders>
            <w:shd w:val="clear" w:color="auto" w:fill="DBE5F1" w:themeFill="accent1" w:themeFillTint="33"/>
            <w:noWrap/>
            <w:vAlign w:val="center"/>
            <w:hideMark/>
          </w:tcPr>
          <w:p w14:paraId="14B183C5"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Terbuthylazine*</w:t>
            </w:r>
          </w:p>
        </w:tc>
        <w:tc>
          <w:tcPr>
            <w:tcW w:w="4145" w:type="dxa"/>
            <w:tcBorders>
              <w:top w:val="nil"/>
              <w:bottom w:val="nil"/>
            </w:tcBorders>
            <w:shd w:val="clear" w:color="auto" w:fill="auto"/>
            <w:noWrap/>
            <w:vAlign w:val="center"/>
            <w:hideMark/>
          </w:tcPr>
          <w:p w14:paraId="7918EA90"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triazine</w:t>
            </w:r>
          </w:p>
        </w:tc>
        <w:tc>
          <w:tcPr>
            <w:tcW w:w="1239" w:type="dxa"/>
            <w:tcBorders>
              <w:top w:val="nil"/>
              <w:bottom w:val="nil"/>
            </w:tcBorders>
            <w:vAlign w:val="center"/>
          </w:tcPr>
          <w:p w14:paraId="4BEB99E3" w14:textId="77777777" w:rsidR="005432A1" w:rsidRPr="0045293A" w:rsidRDefault="005432A1" w:rsidP="0045293A">
            <w:pPr>
              <w:spacing w:before="0" w:after="0" w:line="240" w:lineRule="auto"/>
              <w:contextualSpacing/>
              <w:jc w:val="center"/>
              <w:rPr>
                <w:rFonts w:eastAsia="Times New Roman" w:cs="Arial"/>
                <w:color w:val="000000"/>
                <w:sz w:val="20"/>
                <w:szCs w:val="20"/>
                <w:highlight w:val="yellow"/>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tcPr>
          <w:p w14:paraId="287B71CF" w14:textId="77777777" w:rsidR="005432A1" w:rsidRPr="0045293A" w:rsidRDefault="005432A1" w:rsidP="0045293A">
            <w:pPr>
              <w:spacing w:before="0" w:after="0" w:line="240" w:lineRule="auto"/>
              <w:contextualSpacing/>
              <w:jc w:val="center"/>
              <w:rPr>
                <w:rFonts w:eastAsia="Times New Roman" w:cs="Arial"/>
                <w:color w:val="000000"/>
                <w:sz w:val="20"/>
                <w:szCs w:val="20"/>
                <w:highlight w:val="yellow"/>
                <w:lang w:eastAsia="en-AU"/>
              </w:rPr>
            </w:pPr>
          </w:p>
        </w:tc>
        <w:tc>
          <w:tcPr>
            <w:tcW w:w="769" w:type="dxa"/>
            <w:gridSpan w:val="2"/>
            <w:tcBorders>
              <w:top w:val="nil"/>
              <w:bottom w:val="nil"/>
            </w:tcBorders>
            <w:shd w:val="clear" w:color="auto" w:fill="auto"/>
            <w:noWrap/>
            <w:vAlign w:val="center"/>
          </w:tcPr>
          <w:p w14:paraId="22C9CB99" w14:textId="77777777" w:rsidR="005432A1" w:rsidRPr="0045293A" w:rsidRDefault="005432A1" w:rsidP="0045293A">
            <w:pPr>
              <w:spacing w:before="0" w:after="0" w:line="240" w:lineRule="auto"/>
              <w:contextualSpacing/>
              <w:jc w:val="center"/>
              <w:rPr>
                <w:rFonts w:eastAsia="Times New Roman" w:cs="Arial"/>
                <w:color w:val="000000"/>
                <w:sz w:val="20"/>
                <w:szCs w:val="20"/>
                <w:highlight w:val="yellow"/>
                <w:lang w:eastAsia="en-AU"/>
              </w:rPr>
            </w:pPr>
          </w:p>
        </w:tc>
        <w:tc>
          <w:tcPr>
            <w:tcW w:w="770" w:type="dxa"/>
            <w:tcBorders>
              <w:top w:val="nil"/>
              <w:bottom w:val="nil"/>
            </w:tcBorders>
            <w:shd w:val="clear" w:color="000000" w:fill="FFFFFF"/>
            <w:noWrap/>
            <w:vAlign w:val="center"/>
            <w:hideMark/>
          </w:tcPr>
          <w:p w14:paraId="3294654E" w14:textId="77777777" w:rsidR="005432A1" w:rsidRPr="0045293A" w:rsidRDefault="005432A1" w:rsidP="0045293A">
            <w:pPr>
              <w:spacing w:before="0" w:after="0" w:line="240" w:lineRule="auto"/>
              <w:contextualSpacing/>
              <w:jc w:val="center"/>
              <w:rPr>
                <w:rFonts w:eastAsia="Times New Roman" w:cs="Arial"/>
                <w:color w:val="000000"/>
                <w:sz w:val="20"/>
                <w:szCs w:val="20"/>
                <w:highlight w:val="yellow"/>
                <w:lang w:eastAsia="en-AU"/>
              </w:rPr>
            </w:pPr>
          </w:p>
        </w:tc>
      </w:tr>
      <w:tr w:rsidR="005432A1" w:rsidRPr="0045293A" w14:paraId="40E7F210" w14:textId="77777777" w:rsidTr="005432A1">
        <w:trPr>
          <w:trHeight w:val="375"/>
        </w:trPr>
        <w:tc>
          <w:tcPr>
            <w:tcW w:w="2405" w:type="dxa"/>
            <w:tcBorders>
              <w:top w:val="nil"/>
              <w:bottom w:val="nil"/>
            </w:tcBorders>
            <w:shd w:val="clear" w:color="000000" w:fill="FFFFFF"/>
            <w:noWrap/>
            <w:vAlign w:val="center"/>
          </w:tcPr>
          <w:p w14:paraId="34B10000"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Terbutryn</w:t>
            </w:r>
          </w:p>
        </w:tc>
        <w:tc>
          <w:tcPr>
            <w:tcW w:w="4145" w:type="dxa"/>
            <w:tcBorders>
              <w:top w:val="nil"/>
              <w:bottom w:val="nil"/>
            </w:tcBorders>
            <w:shd w:val="clear" w:color="auto" w:fill="auto"/>
            <w:vAlign w:val="center"/>
          </w:tcPr>
          <w:p w14:paraId="0559C218"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PSII herbicide – triazine</w:t>
            </w:r>
          </w:p>
        </w:tc>
        <w:tc>
          <w:tcPr>
            <w:tcW w:w="1239" w:type="dxa"/>
            <w:tcBorders>
              <w:top w:val="nil"/>
              <w:bottom w:val="nil"/>
            </w:tcBorders>
            <w:vAlign w:val="center"/>
          </w:tcPr>
          <w:p w14:paraId="5F77BEC6"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bottom w:val="nil"/>
            </w:tcBorders>
            <w:shd w:val="clear" w:color="auto" w:fill="auto"/>
            <w:noWrap/>
            <w:vAlign w:val="center"/>
          </w:tcPr>
          <w:p w14:paraId="0FDEAAA4"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0.55</w:t>
            </w:r>
          </w:p>
        </w:tc>
        <w:tc>
          <w:tcPr>
            <w:tcW w:w="769" w:type="dxa"/>
            <w:gridSpan w:val="2"/>
            <w:tcBorders>
              <w:top w:val="nil"/>
              <w:bottom w:val="nil"/>
            </w:tcBorders>
            <w:shd w:val="clear" w:color="auto" w:fill="auto"/>
            <w:noWrap/>
            <w:vAlign w:val="center"/>
          </w:tcPr>
          <w:p w14:paraId="6C4520F4"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1.7</w:t>
            </w:r>
          </w:p>
        </w:tc>
        <w:tc>
          <w:tcPr>
            <w:tcW w:w="770" w:type="dxa"/>
            <w:tcBorders>
              <w:top w:val="nil"/>
              <w:bottom w:val="nil"/>
            </w:tcBorders>
            <w:shd w:val="clear" w:color="000000" w:fill="FFFFFF"/>
            <w:noWrap/>
            <w:vAlign w:val="center"/>
          </w:tcPr>
          <w:p w14:paraId="330E2681"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55DA297F" w14:textId="77777777" w:rsidTr="005432A1">
        <w:trPr>
          <w:trHeight w:val="375"/>
        </w:trPr>
        <w:tc>
          <w:tcPr>
            <w:tcW w:w="2405" w:type="dxa"/>
            <w:tcBorders>
              <w:top w:val="nil"/>
              <w:bottom w:val="nil"/>
            </w:tcBorders>
            <w:shd w:val="clear" w:color="000000" w:fill="FFFFFF"/>
            <w:noWrap/>
            <w:vAlign w:val="center"/>
            <w:hideMark/>
          </w:tcPr>
          <w:p w14:paraId="1D3E296E"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Triclopyr*</w:t>
            </w:r>
          </w:p>
        </w:tc>
        <w:tc>
          <w:tcPr>
            <w:tcW w:w="4145" w:type="dxa"/>
            <w:tcBorders>
              <w:top w:val="nil"/>
              <w:bottom w:val="nil"/>
            </w:tcBorders>
            <w:shd w:val="clear" w:color="auto" w:fill="auto"/>
            <w:noWrap/>
            <w:vAlign w:val="center"/>
            <w:hideMark/>
          </w:tcPr>
          <w:p w14:paraId="74C81DBA"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Pyridine carboxylic acid herbicide</w:t>
            </w:r>
          </w:p>
        </w:tc>
        <w:tc>
          <w:tcPr>
            <w:tcW w:w="1239" w:type="dxa"/>
            <w:tcBorders>
              <w:top w:val="nil"/>
              <w:bottom w:val="nil"/>
            </w:tcBorders>
            <w:vAlign w:val="center"/>
          </w:tcPr>
          <w:p w14:paraId="3C294E53"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nil"/>
            </w:tcBorders>
            <w:shd w:val="clear" w:color="auto" w:fill="auto"/>
            <w:noWrap/>
            <w:vAlign w:val="center"/>
          </w:tcPr>
          <w:p w14:paraId="17AE9368"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nil"/>
            </w:tcBorders>
            <w:shd w:val="clear" w:color="auto" w:fill="auto"/>
            <w:noWrap/>
            <w:vAlign w:val="center"/>
          </w:tcPr>
          <w:p w14:paraId="1F59BAAD"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nil"/>
            </w:tcBorders>
            <w:shd w:val="clear" w:color="000000" w:fill="FFFFFF"/>
            <w:noWrap/>
            <w:vAlign w:val="center"/>
            <w:hideMark/>
          </w:tcPr>
          <w:p w14:paraId="505B33AC"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2C3E9AFC" w14:textId="77777777" w:rsidTr="005432A1">
        <w:trPr>
          <w:trHeight w:val="375"/>
        </w:trPr>
        <w:tc>
          <w:tcPr>
            <w:tcW w:w="2405" w:type="dxa"/>
            <w:tcBorders>
              <w:top w:val="nil"/>
              <w:bottom w:val="nil"/>
            </w:tcBorders>
            <w:shd w:val="clear" w:color="000000" w:fill="FFFFFF"/>
            <w:noWrap/>
            <w:vAlign w:val="center"/>
          </w:tcPr>
          <w:p w14:paraId="2D76C913"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Trifloxysulfuron*</w:t>
            </w:r>
          </w:p>
        </w:tc>
        <w:tc>
          <w:tcPr>
            <w:tcW w:w="4145" w:type="dxa"/>
            <w:tcBorders>
              <w:top w:val="nil"/>
              <w:bottom w:val="nil"/>
            </w:tcBorders>
            <w:shd w:val="clear" w:color="auto" w:fill="auto"/>
            <w:vAlign w:val="center"/>
          </w:tcPr>
          <w:p w14:paraId="410CB2DF"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Herbicide: inhibition of ALS – sulfonyl urea</w:t>
            </w:r>
          </w:p>
        </w:tc>
        <w:tc>
          <w:tcPr>
            <w:tcW w:w="1239" w:type="dxa"/>
            <w:tcBorders>
              <w:top w:val="nil"/>
              <w:bottom w:val="nil"/>
            </w:tcBorders>
            <w:vAlign w:val="center"/>
          </w:tcPr>
          <w:p w14:paraId="1F36EE1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Of interest</w:t>
            </w:r>
          </w:p>
        </w:tc>
        <w:tc>
          <w:tcPr>
            <w:tcW w:w="769" w:type="dxa"/>
            <w:gridSpan w:val="2"/>
            <w:tcBorders>
              <w:top w:val="nil"/>
              <w:bottom w:val="nil"/>
            </w:tcBorders>
            <w:shd w:val="clear" w:color="auto" w:fill="auto"/>
            <w:noWrap/>
            <w:vAlign w:val="bottom"/>
          </w:tcPr>
          <w:p w14:paraId="1959342A"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 </w:t>
            </w:r>
          </w:p>
        </w:tc>
        <w:tc>
          <w:tcPr>
            <w:tcW w:w="769" w:type="dxa"/>
            <w:gridSpan w:val="2"/>
            <w:tcBorders>
              <w:top w:val="nil"/>
              <w:bottom w:val="nil"/>
            </w:tcBorders>
            <w:shd w:val="clear" w:color="auto" w:fill="auto"/>
            <w:noWrap/>
            <w:vAlign w:val="bottom"/>
          </w:tcPr>
          <w:p w14:paraId="0E32E52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 </w:t>
            </w:r>
          </w:p>
        </w:tc>
        <w:tc>
          <w:tcPr>
            <w:tcW w:w="770" w:type="dxa"/>
            <w:tcBorders>
              <w:top w:val="nil"/>
              <w:bottom w:val="nil"/>
            </w:tcBorders>
            <w:shd w:val="clear" w:color="000000" w:fill="FFFFFF"/>
            <w:noWrap/>
            <w:vAlign w:val="center"/>
          </w:tcPr>
          <w:p w14:paraId="518D13D4"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r>
      <w:tr w:rsidR="005432A1" w:rsidRPr="0045293A" w14:paraId="7CC5110E" w14:textId="77777777" w:rsidTr="005432A1">
        <w:trPr>
          <w:trHeight w:val="375"/>
        </w:trPr>
        <w:tc>
          <w:tcPr>
            <w:tcW w:w="2405" w:type="dxa"/>
            <w:tcBorders>
              <w:top w:val="nil"/>
              <w:bottom w:val="single" w:sz="4" w:space="0" w:color="auto"/>
            </w:tcBorders>
            <w:shd w:val="clear" w:color="000000" w:fill="FFFFFF"/>
            <w:noWrap/>
            <w:vAlign w:val="center"/>
            <w:hideMark/>
          </w:tcPr>
          <w:p w14:paraId="78CC8FC2"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Trifluralin</w:t>
            </w:r>
          </w:p>
        </w:tc>
        <w:tc>
          <w:tcPr>
            <w:tcW w:w="4145" w:type="dxa"/>
            <w:tcBorders>
              <w:top w:val="nil"/>
              <w:bottom w:val="single" w:sz="4" w:space="0" w:color="auto"/>
            </w:tcBorders>
            <w:shd w:val="clear" w:color="auto" w:fill="auto"/>
            <w:vAlign w:val="center"/>
            <w:hideMark/>
          </w:tcPr>
          <w:p w14:paraId="5AB3F9FD" w14:textId="77777777" w:rsidR="005432A1" w:rsidRPr="0045293A" w:rsidRDefault="005432A1" w:rsidP="0045293A">
            <w:pPr>
              <w:spacing w:before="0" w:after="0" w:line="240" w:lineRule="auto"/>
              <w:contextualSpacing/>
              <w:rPr>
                <w:rFonts w:eastAsia="Times New Roman" w:cs="Arial"/>
                <w:color w:val="000000"/>
                <w:sz w:val="20"/>
                <w:szCs w:val="20"/>
                <w:lang w:eastAsia="en-AU"/>
              </w:rPr>
            </w:pPr>
            <w:r w:rsidRPr="0045293A">
              <w:rPr>
                <w:rFonts w:eastAsia="Times New Roman" w:cs="Arial"/>
                <w:color w:val="000000"/>
                <w:sz w:val="20"/>
                <w:szCs w:val="20"/>
                <w:lang w:eastAsia="en-AU"/>
              </w:rPr>
              <w:t>Herbicide – dintiroaniline</w:t>
            </w:r>
          </w:p>
        </w:tc>
        <w:tc>
          <w:tcPr>
            <w:tcW w:w="1239" w:type="dxa"/>
            <w:tcBorders>
              <w:top w:val="nil"/>
              <w:bottom w:val="single" w:sz="4" w:space="0" w:color="auto"/>
            </w:tcBorders>
            <w:vAlign w:val="center"/>
          </w:tcPr>
          <w:p w14:paraId="458A4A22"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Priority</w:t>
            </w:r>
          </w:p>
        </w:tc>
        <w:tc>
          <w:tcPr>
            <w:tcW w:w="769" w:type="dxa"/>
            <w:gridSpan w:val="2"/>
            <w:tcBorders>
              <w:top w:val="nil"/>
              <w:bottom w:val="single" w:sz="4" w:space="0" w:color="auto"/>
            </w:tcBorders>
            <w:shd w:val="clear" w:color="auto" w:fill="auto"/>
            <w:noWrap/>
            <w:vAlign w:val="center"/>
            <w:hideMark/>
          </w:tcPr>
          <w:p w14:paraId="654AD16B"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69" w:type="dxa"/>
            <w:gridSpan w:val="2"/>
            <w:tcBorders>
              <w:top w:val="nil"/>
              <w:bottom w:val="single" w:sz="4" w:space="0" w:color="auto"/>
            </w:tcBorders>
            <w:shd w:val="clear" w:color="auto" w:fill="auto"/>
            <w:noWrap/>
            <w:vAlign w:val="center"/>
            <w:hideMark/>
          </w:tcPr>
          <w:p w14:paraId="0250D243"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p>
        </w:tc>
        <w:tc>
          <w:tcPr>
            <w:tcW w:w="770" w:type="dxa"/>
            <w:tcBorders>
              <w:top w:val="nil"/>
              <w:bottom w:val="single" w:sz="4" w:space="0" w:color="auto"/>
            </w:tcBorders>
            <w:shd w:val="clear" w:color="000000" w:fill="FFFFFF"/>
            <w:noWrap/>
            <w:vAlign w:val="center"/>
            <w:hideMark/>
          </w:tcPr>
          <w:p w14:paraId="719F0664" w14:textId="77777777" w:rsidR="005432A1" w:rsidRPr="0045293A" w:rsidRDefault="005432A1" w:rsidP="0045293A">
            <w:pPr>
              <w:spacing w:before="0" w:after="0" w:line="240" w:lineRule="auto"/>
              <w:contextualSpacing/>
              <w:jc w:val="center"/>
              <w:rPr>
                <w:rFonts w:eastAsia="Times New Roman" w:cs="Arial"/>
                <w:color w:val="000000"/>
                <w:sz w:val="20"/>
                <w:szCs w:val="20"/>
                <w:lang w:eastAsia="en-AU"/>
              </w:rPr>
            </w:pPr>
            <w:r w:rsidRPr="0045293A">
              <w:rPr>
                <w:rFonts w:eastAsia="Times New Roman" w:cs="Arial"/>
                <w:color w:val="000000"/>
                <w:sz w:val="20"/>
                <w:szCs w:val="20"/>
                <w:lang w:eastAsia="en-AU"/>
              </w:rPr>
              <w:t>0.2</w:t>
            </w:r>
          </w:p>
        </w:tc>
      </w:tr>
    </w:tbl>
    <w:p w14:paraId="2F2C380E" w14:textId="77777777" w:rsidR="005432A1" w:rsidRDefault="005432A1" w:rsidP="00361E6D">
      <w:pPr>
        <w:spacing w:before="0" w:after="0"/>
        <w:rPr>
          <w:sz w:val="18"/>
        </w:rPr>
      </w:pPr>
      <w:r w:rsidRPr="00780FEA">
        <w:rPr>
          <w:sz w:val="18"/>
        </w:rPr>
        <w:t>* Not currently analysed by QAEHS</w:t>
      </w:r>
    </w:p>
    <w:p w14:paraId="4E6F2F33" w14:textId="77777777" w:rsidR="005432A1" w:rsidRPr="00780FEA" w:rsidRDefault="005432A1" w:rsidP="00361E6D">
      <w:pPr>
        <w:spacing w:before="0" w:after="0"/>
        <w:rPr>
          <w:sz w:val="18"/>
        </w:rPr>
      </w:pPr>
      <w:r w:rsidRPr="00373F6B">
        <w:rPr>
          <w:sz w:val="18"/>
        </w:rPr>
        <w:t xml:space="preserve">^ Currently analysed in grab samples, but </w:t>
      </w:r>
      <w:r>
        <w:rPr>
          <w:sz w:val="18"/>
        </w:rPr>
        <w:t>ED passive sampler</w:t>
      </w:r>
      <w:r w:rsidRPr="00373F6B">
        <w:rPr>
          <w:sz w:val="18"/>
        </w:rPr>
        <w:t xml:space="preserve"> </w:t>
      </w:r>
      <w:r w:rsidRPr="00984A08">
        <w:rPr>
          <w:sz w:val="18"/>
        </w:rPr>
        <w:t xml:space="preserve">uptake </w:t>
      </w:r>
      <w:r w:rsidRPr="00373F6B">
        <w:rPr>
          <w:sz w:val="18"/>
        </w:rPr>
        <w:t xml:space="preserve">is not adequate to quantify </w:t>
      </w:r>
      <w:r>
        <w:rPr>
          <w:sz w:val="18"/>
        </w:rPr>
        <w:t xml:space="preserve">time-averaged </w:t>
      </w:r>
      <w:r w:rsidRPr="00373F6B">
        <w:rPr>
          <w:sz w:val="18"/>
        </w:rPr>
        <w:t>water concentra</w:t>
      </w:r>
      <w:r>
        <w:rPr>
          <w:sz w:val="18"/>
        </w:rPr>
        <w:t>t</w:t>
      </w:r>
      <w:r w:rsidRPr="00373F6B">
        <w:rPr>
          <w:sz w:val="18"/>
        </w:rPr>
        <w:t>ions</w:t>
      </w:r>
    </w:p>
    <w:p w14:paraId="1A72A79F" w14:textId="271B5A21" w:rsidR="005432A1" w:rsidRPr="00780FEA" w:rsidRDefault="005432A1" w:rsidP="00361E6D">
      <w:pPr>
        <w:spacing w:before="0" w:after="0"/>
        <w:rPr>
          <w:sz w:val="18"/>
        </w:rPr>
      </w:pPr>
      <w:r w:rsidRPr="00780FEA">
        <w:rPr>
          <w:sz w:val="18"/>
        </w:rPr>
        <w:t xml:space="preserve">Shaded chemicals are included as part of the Paddock </w:t>
      </w:r>
      <w:r w:rsidR="006C255F">
        <w:rPr>
          <w:sz w:val="18"/>
        </w:rPr>
        <w:t xml:space="preserve">to </w:t>
      </w:r>
      <w:r w:rsidRPr="00780FEA">
        <w:rPr>
          <w:sz w:val="18"/>
        </w:rPr>
        <w:t>Reef Integrated Monitoring, Modelling and Reporting Program</w:t>
      </w:r>
    </w:p>
    <w:p w14:paraId="3B954E69" w14:textId="77777777" w:rsidR="005432A1" w:rsidRPr="00780FEA" w:rsidRDefault="005432A1" w:rsidP="00361E6D">
      <w:pPr>
        <w:spacing w:before="0" w:after="0"/>
        <w:rPr>
          <w:sz w:val="18"/>
        </w:rPr>
      </w:pPr>
      <w:r w:rsidRPr="00780FEA">
        <w:rPr>
          <w:sz w:val="18"/>
        </w:rPr>
        <w:t xml:space="preserve">Red text indicates that the sampling rate </w:t>
      </w:r>
      <w:r>
        <w:rPr>
          <w:sz w:val="18"/>
        </w:rPr>
        <w:t xml:space="preserve">(Rs) </w:t>
      </w:r>
      <w:r w:rsidRPr="00780FEA">
        <w:rPr>
          <w:sz w:val="18"/>
        </w:rPr>
        <w:t xml:space="preserve">of atrazine has been assumed </w:t>
      </w:r>
    </w:p>
    <w:p w14:paraId="69EDEF34" w14:textId="51411223" w:rsidR="005432A1" w:rsidRPr="00A50DF4" w:rsidRDefault="00A50DF4" w:rsidP="00361E6D">
      <w:pPr>
        <w:spacing w:before="0" w:after="0"/>
        <w:rPr>
          <w:sz w:val="18"/>
        </w:rPr>
      </w:pPr>
      <w:r w:rsidRPr="00A50DF4">
        <w:rPr>
          <w:sz w:val="18"/>
        </w:rPr>
        <w:t>Pesticides are identified as ‘priority’ (proposed by P</w:t>
      </w:r>
      <w:r>
        <w:rPr>
          <w:sz w:val="18"/>
        </w:rPr>
        <w:t xml:space="preserve">esticide Workign Group </w:t>
      </w:r>
      <w:r w:rsidRPr="00A50DF4">
        <w:rPr>
          <w:sz w:val="18"/>
        </w:rPr>
        <w:t>18 August 2015) or ‘of interest’ to the program (feedback from the Paddock to Reef program), and include pesticides that are not currently analysed by QAEHS and are therefore not included in the MMP</w:t>
      </w:r>
      <w:r>
        <w:rPr>
          <w:sz w:val="18"/>
        </w:rPr>
        <w:t>.</w:t>
      </w:r>
    </w:p>
    <w:p w14:paraId="67FE8EA8" w14:textId="77777777" w:rsidR="005432A1" w:rsidRPr="0075283E" w:rsidRDefault="005432A1" w:rsidP="00FE2F59">
      <w:pPr>
        <w:rPr>
          <w:rFonts w:cs="Arial"/>
        </w:rPr>
      </w:pPr>
    </w:p>
    <w:p w14:paraId="2BB3AB09" w14:textId="2C0FBD55" w:rsidR="00E37008" w:rsidRPr="00E37008" w:rsidRDefault="00E37008" w:rsidP="0067588D">
      <w:pPr>
        <w:pStyle w:val="Heading3"/>
      </w:pPr>
      <w:bookmarkStart w:id="241" w:name="_Toc520727844"/>
      <w:bookmarkStart w:id="242" w:name="_Toc12365588"/>
      <w:r>
        <w:t xml:space="preserve">Chemical </w:t>
      </w:r>
      <w:bookmarkEnd w:id="241"/>
      <w:r w:rsidR="00383250">
        <w:t>analysis</w:t>
      </w:r>
      <w:bookmarkEnd w:id="242"/>
    </w:p>
    <w:p w14:paraId="26B5303E" w14:textId="5BB079CB" w:rsidR="00E37008" w:rsidRDefault="00383250" w:rsidP="00FE2F59">
      <w:pPr>
        <w:rPr>
          <w:rFonts w:cs="Arial"/>
        </w:rPr>
      </w:pPr>
      <w:r>
        <w:rPr>
          <w:rFonts w:cs="Arial"/>
        </w:rPr>
        <w:t>Before</w:t>
      </w:r>
      <w:r w:rsidR="00BB0109" w:rsidRPr="0058370B">
        <w:rPr>
          <w:rFonts w:cs="Arial"/>
        </w:rPr>
        <w:t xml:space="preserve"> the 2013</w:t>
      </w:r>
      <w:r w:rsidR="006C255F">
        <w:rPr>
          <w:rFonts w:cs="Arial"/>
        </w:rPr>
        <w:t>–</w:t>
      </w:r>
      <w:r w:rsidR="00BB0109" w:rsidRPr="0058370B">
        <w:rPr>
          <w:rFonts w:cs="Arial"/>
        </w:rPr>
        <w:t xml:space="preserve">14 monitoring year, ED sampler extracts were analysed by Queensland Health using liquid chromatography mass spectrometry (LC-MS) run in positive analysis mode. From the beginning of the 2013 monitoring year, analysis of these extracts was transferred to </w:t>
      </w:r>
      <w:r w:rsidR="005432A1">
        <w:rPr>
          <w:rFonts w:cs="Arial"/>
        </w:rPr>
        <w:t>QAEHS</w:t>
      </w:r>
      <w:r w:rsidR="00BB0109" w:rsidRPr="0058370B">
        <w:rPr>
          <w:rFonts w:cs="Arial"/>
        </w:rPr>
        <w:t xml:space="preserve"> </w:t>
      </w:r>
      <w:r w:rsidR="006C255F">
        <w:rPr>
          <w:rFonts w:cs="Arial"/>
        </w:rPr>
        <w:t>and</w:t>
      </w:r>
      <w:r w:rsidR="006C255F" w:rsidRPr="0058370B">
        <w:rPr>
          <w:rFonts w:cs="Arial"/>
        </w:rPr>
        <w:t xml:space="preserve"> </w:t>
      </w:r>
      <w:r w:rsidR="00BB0109" w:rsidRPr="0058370B">
        <w:rPr>
          <w:rFonts w:cs="Arial"/>
        </w:rPr>
        <w:t xml:space="preserve">an AB Sciex QTRAP 5500 mass spectrometer (AB Sciex, Concord, Ontario, Canada) equipped with an electrospray (TurboV) interface coupled to a Shimadzu Nexera </w:t>
      </w:r>
      <w:r w:rsidR="00C11655">
        <w:rPr>
          <w:rFonts w:cs="Arial"/>
        </w:rPr>
        <w:t>high-performance liquid chromatography (</w:t>
      </w:r>
      <w:r w:rsidR="00BB0109" w:rsidRPr="0058370B">
        <w:rPr>
          <w:rFonts w:cs="Arial"/>
        </w:rPr>
        <w:t>HPLC</w:t>
      </w:r>
      <w:r w:rsidR="00C11655">
        <w:rPr>
          <w:rFonts w:cs="Arial"/>
        </w:rPr>
        <w:t>)</w:t>
      </w:r>
      <w:r w:rsidR="00BB0109" w:rsidRPr="0058370B">
        <w:rPr>
          <w:rFonts w:cs="Arial"/>
        </w:rPr>
        <w:t xml:space="preserve"> system (Shimadzu Corp., Kyoto, Japan), also run in positive mode</w:t>
      </w:r>
      <w:r w:rsidR="00B17A11">
        <w:rPr>
          <w:rFonts w:cs="Arial"/>
        </w:rPr>
        <w:t>, was used</w:t>
      </w:r>
      <w:r w:rsidR="00BB0109" w:rsidRPr="0058370B">
        <w:rPr>
          <w:rFonts w:cs="Arial"/>
        </w:rPr>
        <w:t xml:space="preserve">. </w:t>
      </w:r>
    </w:p>
    <w:p w14:paraId="1008884D" w14:textId="6B11321D" w:rsidR="00E37008" w:rsidRPr="0058370B" w:rsidRDefault="00E37008" w:rsidP="00FE2F59">
      <w:pPr>
        <w:rPr>
          <w:rFonts w:cs="Arial"/>
        </w:rPr>
      </w:pPr>
      <w:r w:rsidRPr="0058370B">
        <w:rPr>
          <w:rFonts w:cs="Arial"/>
        </w:rPr>
        <w:t>From the 2014</w:t>
      </w:r>
      <w:r w:rsidR="006C255F">
        <w:rPr>
          <w:rFonts w:cs="Arial"/>
        </w:rPr>
        <w:t>–</w:t>
      </w:r>
      <w:r w:rsidRPr="0058370B">
        <w:rPr>
          <w:rFonts w:cs="Arial"/>
        </w:rPr>
        <w:t xml:space="preserve">2015 monitoring year onwards, the analysis of ED extracts at </w:t>
      </w:r>
      <w:r w:rsidR="005432A1">
        <w:rPr>
          <w:rFonts w:cs="Arial"/>
        </w:rPr>
        <w:t>QAEHS</w:t>
      </w:r>
      <w:r w:rsidRPr="0058370B">
        <w:rPr>
          <w:rFonts w:cs="Arial"/>
        </w:rPr>
        <w:t xml:space="preserve"> </w:t>
      </w:r>
      <w:r>
        <w:rPr>
          <w:rFonts w:cs="Arial"/>
        </w:rPr>
        <w:t>was</w:t>
      </w:r>
      <w:r w:rsidRPr="0058370B">
        <w:rPr>
          <w:rFonts w:cs="Arial"/>
        </w:rPr>
        <w:t xml:space="preserve"> transferred to the AB Sciex QTRAP 6500 (a new </w:t>
      </w:r>
      <w:r w:rsidR="005432A1">
        <w:rPr>
          <w:rFonts w:cs="Arial"/>
        </w:rPr>
        <w:t xml:space="preserve">LC-MS/MS </w:t>
      </w:r>
      <w:r w:rsidRPr="0058370B">
        <w:rPr>
          <w:rFonts w:cs="Arial"/>
        </w:rPr>
        <w:t xml:space="preserve">model of the QTRAP 5500). The added advantage of this </w:t>
      </w:r>
      <w:r w:rsidR="005432A1">
        <w:rPr>
          <w:rFonts w:cs="Arial"/>
        </w:rPr>
        <w:t>instrument</w:t>
      </w:r>
      <w:r w:rsidRPr="0058370B">
        <w:rPr>
          <w:rFonts w:cs="Arial"/>
        </w:rPr>
        <w:t xml:space="preserve"> is </w:t>
      </w:r>
      <w:r w:rsidR="006C255F">
        <w:rPr>
          <w:rFonts w:cs="Arial"/>
        </w:rPr>
        <w:t xml:space="preserve">the </w:t>
      </w:r>
      <w:r w:rsidRPr="0058370B">
        <w:rPr>
          <w:rFonts w:cs="Arial"/>
        </w:rPr>
        <w:t>enhanced sensitivity of some analytes and the ability to analyse in both positive and negative mode</w:t>
      </w:r>
      <w:r w:rsidR="006C255F">
        <w:rPr>
          <w:rFonts w:cs="Arial"/>
        </w:rPr>
        <w:t>s</w:t>
      </w:r>
      <w:r w:rsidRPr="0058370B">
        <w:rPr>
          <w:rFonts w:cs="Arial"/>
        </w:rPr>
        <w:t xml:space="preserve"> in one injection (effectively halving the analysis time required). LORs of the target analytes </w:t>
      </w:r>
      <w:r>
        <w:rPr>
          <w:rFonts w:cs="Arial"/>
        </w:rPr>
        <w:t>were</w:t>
      </w:r>
      <w:r w:rsidRPr="0058370B">
        <w:rPr>
          <w:rFonts w:cs="Arial"/>
        </w:rPr>
        <w:t xml:space="preserve"> not negatively </w:t>
      </w:r>
      <w:r w:rsidR="006C255F">
        <w:rPr>
          <w:rFonts w:cs="Arial"/>
        </w:rPr>
        <w:t>influenced</w:t>
      </w:r>
      <w:r w:rsidR="006C255F" w:rsidRPr="0058370B">
        <w:rPr>
          <w:rFonts w:cs="Arial"/>
        </w:rPr>
        <w:t xml:space="preserve"> </w:t>
      </w:r>
      <w:r w:rsidRPr="0058370B">
        <w:rPr>
          <w:rFonts w:cs="Arial"/>
        </w:rPr>
        <w:t>by the change in instrumentation.</w:t>
      </w:r>
    </w:p>
    <w:p w14:paraId="3261BA48" w14:textId="006A07BE" w:rsidR="00E37008" w:rsidRPr="0058370B" w:rsidRDefault="00E37008" w:rsidP="00FE2F59">
      <w:pPr>
        <w:rPr>
          <w:rFonts w:cs="Arial"/>
        </w:rPr>
      </w:pPr>
      <w:r>
        <w:rPr>
          <w:rFonts w:cs="Arial"/>
        </w:rPr>
        <w:t>Each</w:t>
      </w:r>
      <w:r w:rsidRPr="0058370B">
        <w:rPr>
          <w:rFonts w:cs="Arial"/>
        </w:rPr>
        <w:t xml:space="preserve"> year, </w:t>
      </w:r>
      <w:r>
        <w:rPr>
          <w:rFonts w:cs="Arial"/>
        </w:rPr>
        <w:t>a selection of sample</w:t>
      </w:r>
      <w:r w:rsidRPr="0058370B">
        <w:rPr>
          <w:rFonts w:cs="Arial"/>
        </w:rPr>
        <w:t xml:space="preserve"> extracts </w:t>
      </w:r>
      <w:r w:rsidR="005432A1">
        <w:rPr>
          <w:rFonts w:cs="Arial"/>
        </w:rPr>
        <w:t>is</w:t>
      </w:r>
      <w:r w:rsidR="005432A1" w:rsidRPr="0058370B">
        <w:rPr>
          <w:rFonts w:cs="Arial"/>
        </w:rPr>
        <w:t xml:space="preserve"> </w:t>
      </w:r>
      <w:r w:rsidRPr="0058370B">
        <w:rPr>
          <w:rFonts w:cs="Arial"/>
        </w:rPr>
        <w:t xml:space="preserve">analysed by both </w:t>
      </w:r>
      <w:r w:rsidR="005432A1">
        <w:rPr>
          <w:rFonts w:cs="Arial"/>
        </w:rPr>
        <w:t>QAEHS</w:t>
      </w:r>
      <w:r>
        <w:rPr>
          <w:rFonts w:cs="Arial"/>
        </w:rPr>
        <w:t xml:space="preserve"> and </w:t>
      </w:r>
      <w:r w:rsidR="005432A1">
        <w:rPr>
          <w:rFonts w:cs="Arial"/>
        </w:rPr>
        <w:t xml:space="preserve">QHFSS </w:t>
      </w:r>
      <w:r w:rsidRPr="0058370B">
        <w:rPr>
          <w:rFonts w:cs="Arial"/>
        </w:rPr>
        <w:t xml:space="preserve">as an </w:t>
      </w:r>
      <w:r>
        <w:rPr>
          <w:rFonts w:cs="Arial"/>
        </w:rPr>
        <w:t xml:space="preserve">on-going </w:t>
      </w:r>
      <w:r w:rsidRPr="0058370B">
        <w:rPr>
          <w:rFonts w:cs="Arial"/>
        </w:rPr>
        <w:t xml:space="preserve">inter-laboratory comparison to validate the </w:t>
      </w:r>
      <w:r w:rsidR="003310CF">
        <w:rPr>
          <w:rFonts w:cs="Arial"/>
        </w:rPr>
        <w:t>QAEHS</w:t>
      </w:r>
      <w:r w:rsidR="003310CF" w:rsidRPr="0058370B">
        <w:rPr>
          <w:rFonts w:cs="Arial"/>
        </w:rPr>
        <w:t xml:space="preserve"> </w:t>
      </w:r>
      <w:r w:rsidRPr="0058370B">
        <w:rPr>
          <w:rFonts w:cs="Arial"/>
        </w:rPr>
        <w:t xml:space="preserve">analysis. </w:t>
      </w:r>
      <w:r w:rsidR="005700E4">
        <w:rPr>
          <w:rFonts w:cs="Arial"/>
        </w:rPr>
        <w:t>In 2017</w:t>
      </w:r>
      <w:r w:rsidR="006C255F">
        <w:rPr>
          <w:rFonts w:cs="Arial"/>
        </w:rPr>
        <w:t>–</w:t>
      </w:r>
      <w:r w:rsidR="005700E4">
        <w:rPr>
          <w:rFonts w:cs="Arial"/>
        </w:rPr>
        <w:t>18, at least 15 samples will be analysed by both methods.</w:t>
      </w:r>
    </w:p>
    <w:p w14:paraId="6A341A7F" w14:textId="28EF7E4E" w:rsidR="00E37008" w:rsidRPr="0058370B" w:rsidRDefault="00383250" w:rsidP="00FE2F59">
      <w:pPr>
        <w:rPr>
          <w:rFonts w:cs="Arial"/>
        </w:rPr>
      </w:pPr>
      <w:r>
        <w:rPr>
          <w:rFonts w:cs="Arial"/>
        </w:rPr>
        <w:t>Before</w:t>
      </w:r>
      <w:r w:rsidR="00E37008">
        <w:rPr>
          <w:rFonts w:cs="Arial"/>
        </w:rPr>
        <w:t xml:space="preserve"> the </w:t>
      </w:r>
      <w:r w:rsidR="00E37008" w:rsidRPr="0058370B">
        <w:rPr>
          <w:rFonts w:cs="Arial"/>
        </w:rPr>
        <w:t>2014</w:t>
      </w:r>
      <w:r>
        <w:rPr>
          <w:rFonts w:cs="Arial"/>
        </w:rPr>
        <w:t>–</w:t>
      </w:r>
      <w:r w:rsidR="00E37008" w:rsidRPr="0058370B">
        <w:rPr>
          <w:rFonts w:cs="Arial"/>
        </w:rPr>
        <w:t>15 monitoring year</w:t>
      </w:r>
      <w:r w:rsidR="00E37008">
        <w:rPr>
          <w:rFonts w:cs="Arial"/>
        </w:rPr>
        <w:t xml:space="preserve">, </w:t>
      </w:r>
      <w:r w:rsidR="00E37008" w:rsidRPr="0058370B">
        <w:rPr>
          <w:rFonts w:cs="Arial"/>
        </w:rPr>
        <w:t xml:space="preserve">PDMS sampler extracts </w:t>
      </w:r>
      <w:r w:rsidR="00E37008">
        <w:rPr>
          <w:rFonts w:cs="Arial"/>
        </w:rPr>
        <w:t>were</w:t>
      </w:r>
      <w:r w:rsidR="00E37008" w:rsidRPr="0058370B">
        <w:rPr>
          <w:rFonts w:cs="Arial"/>
        </w:rPr>
        <w:t xml:space="preserve"> analysed for pesticides using gas chromatography mass spectrometry (GCMS) by Queensland Health. </w:t>
      </w:r>
      <w:r w:rsidR="003310CF">
        <w:rPr>
          <w:rFonts w:cs="Arial"/>
        </w:rPr>
        <w:t>QAEHS</w:t>
      </w:r>
      <w:r w:rsidR="00E37008" w:rsidRPr="0058370B">
        <w:rPr>
          <w:rFonts w:cs="Arial"/>
        </w:rPr>
        <w:t xml:space="preserve"> </w:t>
      </w:r>
      <w:r w:rsidR="00E37008">
        <w:rPr>
          <w:rFonts w:cs="Arial"/>
        </w:rPr>
        <w:t>has</w:t>
      </w:r>
      <w:r w:rsidR="00E37008" w:rsidRPr="0058370B">
        <w:rPr>
          <w:rFonts w:cs="Arial"/>
        </w:rPr>
        <w:t xml:space="preserve"> develop</w:t>
      </w:r>
      <w:r w:rsidR="00E37008">
        <w:rPr>
          <w:rFonts w:cs="Arial"/>
        </w:rPr>
        <w:t>ed a</w:t>
      </w:r>
      <w:r w:rsidR="00E37008" w:rsidRPr="0058370B">
        <w:rPr>
          <w:rFonts w:cs="Arial"/>
        </w:rPr>
        <w:t xml:space="preserve"> pesticide GCMS method</w:t>
      </w:r>
      <w:r w:rsidR="00E37008">
        <w:rPr>
          <w:rFonts w:cs="Arial"/>
        </w:rPr>
        <w:t xml:space="preserve"> </w:t>
      </w:r>
      <w:r w:rsidR="006C255F">
        <w:rPr>
          <w:rFonts w:cs="Arial"/>
        </w:rPr>
        <w:t xml:space="preserve">that </w:t>
      </w:r>
      <w:r w:rsidR="00E37008">
        <w:rPr>
          <w:rFonts w:cs="Arial"/>
        </w:rPr>
        <w:t>includes five priority pesticides</w:t>
      </w:r>
      <w:r w:rsidR="00E37008" w:rsidRPr="00BB6530">
        <w:t xml:space="preserve"> </w:t>
      </w:r>
      <w:r w:rsidR="00E37008" w:rsidRPr="00BB6530">
        <w:rPr>
          <w:rFonts w:cs="Arial"/>
        </w:rPr>
        <w:t>(pendimethalin, propazine, propiconazole, trifluralin and chlorpyrifos)</w:t>
      </w:r>
      <w:r w:rsidR="00E37008">
        <w:rPr>
          <w:rFonts w:cs="Arial"/>
        </w:rPr>
        <w:t>,</w:t>
      </w:r>
      <w:r w:rsidR="00E37008" w:rsidRPr="00BB6530">
        <w:rPr>
          <w:rFonts w:cs="Arial"/>
        </w:rPr>
        <w:t xml:space="preserve"> identified by the Pesticide Working Group (Aug 2015)</w:t>
      </w:r>
      <w:r w:rsidR="00E37008">
        <w:rPr>
          <w:rFonts w:cs="Arial"/>
        </w:rPr>
        <w:t>.</w:t>
      </w:r>
      <w:r w:rsidR="00E37008" w:rsidRPr="00AE2256">
        <w:t xml:space="preserve"> </w:t>
      </w:r>
      <w:r w:rsidR="00E37008" w:rsidRPr="00AE2256">
        <w:rPr>
          <w:rFonts w:cs="Arial"/>
        </w:rPr>
        <w:t xml:space="preserve">Analysis </w:t>
      </w:r>
      <w:r w:rsidR="00E37008">
        <w:rPr>
          <w:rFonts w:cs="Arial"/>
        </w:rPr>
        <w:t>is</w:t>
      </w:r>
      <w:r w:rsidR="00E37008" w:rsidRPr="00AE2256">
        <w:rPr>
          <w:rFonts w:cs="Arial"/>
        </w:rPr>
        <w:t xml:space="preserve"> conducted on a Thermo Scientific TSQ Quantum XLS Triple Quadrupole GCMS/MS. The mass spectrometer </w:t>
      </w:r>
      <w:r w:rsidR="00E37008">
        <w:rPr>
          <w:rFonts w:cs="Arial"/>
        </w:rPr>
        <w:t>is</w:t>
      </w:r>
      <w:r w:rsidR="00E37008" w:rsidRPr="00AE2256">
        <w:rPr>
          <w:rFonts w:cs="Arial"/>
        </w:rPr>
        <w:t xml:space="preserve"> operated in positive ion, multiple </w:t>
      </w:r>
      <w:r w:rsidR="00AA70D6" w:rsidRPr="00AE2256">
        <w:rPr>
          <w:rFonts w:cs="Arial"/>
        </w:rPr>
        <w:t>reactions</w:t>
      </w:r>
      <w:r w:rsidR="00E37008" w:rsidRPr="00AE2256">
        <w:rPr>
          <w:rFonts w:cs="Arial"/>
        </w:rPr>
        <w:t xml:space="preserve"> monitoring mode, using argon as the collision gas. </w:t>
      </w:r>
      <w:r>
        <w:rPr>
          <w:rFonts w:cs="Arial"/>
        </w:rPr>
        <w:t>Before</w:t>
      </w:r>
      <w:r w:rsidR="00E37008" w:rsidRPr="00AE2256">
        <w:rPr>
          <w:rFonts w:cs="Arial"/>
        </w:rPr>
        <w:t xml:space="preserve"> introduction into the mass spectrometer, compounds </w:t>
      </w:r>
      <w:r w:rsidR="00E37008">
        <w:rPr>
          <w:rFonts w:cs="Arial"/>
        </w:rPr>
        <w:t>are</w:t>
      </w:r>
      <w:r w:rsidR="00E37008" w:rsidRPr="00AE2256">
        <w:rPr>
          <w:rFonts w:cs="Arial"/>
        </w:rPr>
        <w:t xml:space="preserve"> separated on an Agilent J &amp; W DB5-MS (25</w:t>
      </w:r>
      <w:r w:rsidR="006C255F">
        <w:rPr>
          <w:rFonts w:cs="Arial"/>
        </w:rPr>
        <w:t xml:space="preserve"> </w:t>
      </w:r>
      <w:r w:rsidR="00E37008" w:rsidRPr="00AE2256">
        <w:rPr>
          <w:rFonts w:cs="Arial"/>
        </w:rPr>
        <w:t>m; 0.25</w:t>
      </w:r>
      <w:r w:rsidR="006C255F">
        <w:rPr>
          <w:rFonts w:cs="Arial"/>
        </w:rPr>
        <w:t xml:space="preserve"> </w:t>
      </w:r>
      <w:r w:rsidR="00E37008" w:rsidRPr="00AE2256">
        <w:rPr>
          <w:rFonts w:cs="Arial"/>
        </w:rPr>
        <w:t>mm i.d.; 0.25</w:t>
      </w:r>
      <w:r w:rsidR="006C255F">
        <w:rPr>
          <w:rFonts w:cs="Arial"/>
        </w:rPr>
        <w:t xml:space="preserve"> </w:t>
      </w:r>
      <w:r w:rsidR="00E37008" w:rsidRPr="00AE2256">
        <w:rPr>
          <w:rFonts w:cs="Arial"/>
        </w:rPr>
        <w:t xml:space="preserve">µm film thickness) column. </w:t>
      </w:r>
      <w:r w:rsidR="00E37008" w:rsidRPr="009F347F">
        <w:t xml:space="preserve">A quantitative and qualitative ion transition </w:t>
      </w:r>
      <w:r w:rsidR="00E37008">
        <w:t>is</w:t>
      </w:r>
      <w:r w:rsidR="00E37008" w:rsidRPr="009F347F">
        <w:t xml:space="preserve"> monitored for each compound.</w:t>
      </w:r>
      <w:r w:rsidR="00E37008">
        <w:rPr>
          <w:rFonts w:cs="Arial"/>
        </w:rPr>
        <w:t xml:space="preserve"> </w:t>
      </w:r>
    </w:p>
    <w:p w14:paraId="6BE958C5" w14:textId="3B4A744D" w:rsidR="00E37008" w:rsidRDefault="00383250" w:rsidP="00FE2F59">
      <w:r>
        <w:rPr>
          <w:rFonts w:cs="Arial"/>
        </w:rPr>
        <w:t>Before</w:t>
      </w:r>
      <w:r w:rsidR="00E37008" w:rsidRPr="0058370B">
        <w:rPr>
          <w:rFonts w:cs="Arial"/>
        </w:rPr>
        <w:t xml:space="preserve"> the 2013</w:t>
      </w:r>
      <w:r>
        <w:rPr>
          <w:rFonts w:cs="Arial"/>
        </w:rPr>
        <w:t>–</w:t>
      </w:r>
      <w:r w:rsidR="00E37008" w:rsidRPr="0058370B">
        <w:rPr>
          <w:rFonts w:cs="Arial"/>
        </w:rPr>
        <w:t xml:space="preserve">14 monitoring year, </w:t>
      </w:r>
      <w:r w:rsidR="006C255F">
        <w:rPr>
          <w:rFonts w:cs="Arial"/>
        </w:rPr>
        <w:t>solid-phase extraction (</w:t>
      </w:r>
      <w:r w:rsidR="00E37008" w:rsidRPr="0058370B">
        <w:rPr>
          <w:rFonts w:cs="Arial"/>
        </w:rPr>
        <w:t>SPE</w:t>
      </w:r>
      <w:r w:rsidR="006C255F">
        <w:rPr>
          <w:rFonts w:cs="Arial"/>
        </w:rPr>
        <w:t>)</w:t>
      </w:r>
      <w:r w:rsidR="00E37008" w:rsidRPr="0058370B">
        <w:rPr>
          <w:rFonts w:cs="Arial"/>
        </w:rPr>
        <w:t xml:space="preserve"> and analysis of PSII herbicides in grab samples was </w:t>
      </w:r>
      <w:r w:rsidR="00A25969">
        <w:rPr>
          <w:rFonts w:cs="Arial"/>
        </w:rPr>
        <w:t>performed</w:t>
      </w:r>
      <w:r w:rsidR="00E37008" w:rsidRPr="0058370B">
        <w:rPr>
          <w:rFonts w:cs="Arial"/>
        </w:rPr>
        <w:t xml:space="preserve"> by Queensland Health. </w:t>
      </w:r>
      <w:r w:rsidR="003310CF">
        <w:rPr>
          <w:rFonts w:cs="Arial"/>
        </w:rPr>
        <w:t>QAEHS</w:t>
      </w:r>
      <w:r w:rsidR="00E37008" w:rsidRPr="0058370B">
        <w:rPr>
          <w:rFonts w:cs="Arial"/>
        </w:rPr>
        <w:t xml:space="preserve"> developed a very sensitive online SPE method that avoid</w:t>
      </w:r>
      <w:r w:rsidR="00E37008">
        <w:rPr>
          <w:rFonts w:cs="Arial"/>
        </w:rPr>
        <w:t>ed</w:t>
      </w:r>
      <w:r w:rsidR="00E37008" w:rsidRPr="0058370B">
        <w:rPr>
          <w:rFonts w:cs="Arial"/>
        </w:rPr>
        <w:t xml:space="preserve"> the need for a costly and time consuming traditional SPE and </w:t>
      </w:r>
      <w:r w:rsidR="00E37008">
        <w:rPr>
          <w:rFonts w:cs="Arial"/>
        </w:rPr>
        <w:t xml:space="preserve">the bulk </w:t>
      </w:r>
      <w:r w:rsidR="00E37008" w:rsidRPr="0058370B">
        <w:rPr>
          <w:rFonts w:cs="Arial"/>
        </w:rPr>
        <w:t xml:space="preserve">concentration of the sample. </w:t>
      </w:r>
      <w:r w:rsidR="00A65882">
        <w:rPr>
          <w:rFonts w:cs="Arial"/>
        </w:rPr>
        <w:t xml:space="preserve">Instrument </w:t>
      </w:r>
      <w:r w:rsidR="00E37008" w:rsidRPr="0058370B">
        <w:rPr>
          <w:rFonts w:cs="Arial"/>
        </w:rPr>
        <w:t xml:space="preserve">LORs are </w:t>
      </w:r>
      <w:r w:rsidR="00A65882">
        <w:rPr>
          <w:rFonts w:cs="Arial"/>
        </w:rPr>
        <w:t xml:space="preserve">in the range </w:t>
      </w:r>
      <w:r w:rsidR="00A25969">
        <w:rPr>
          <w:rFonts w:cs="Arial"/>
        </w:rPr>
        <w:t xml:space="preserve">of </w:t>
      </w:r>
      <w:r w:rsidR="00A65882">
        <w:rPr>
          <w:rFonts w:cs="Arial"/>
        </w:rPr>
        <w:t>0.</w:t>
      </w:r>
      <w:r w:rsidR="00E37008" w:rsidRPr="0058370B">
        <w:rPr>
          <w:rFonts w:cs="Arial"/>
        </w:rPr>
        <w:t>2</w:t>
      </w:r>
      <w:r w:rsidR="00A25969">
        <w:rPr>
          <w:rFonts w:cs="Arial"/>
        </w:rPr>
        <w:t>–</w:t>
      </w:r>
      <w:r w:rsidR="00A65882">
        <w:rPr>
          <w:rFonts w:cs="Arial"/>
        </w:rPr>
        <w:t>2.0</w:t>
      </w:r>
      <w:r w:rsidR="00A25969">
        <w:rPr>
          <w:rFonts w:cs="Arial"/>
        </w:rPr>
        <w:t xml:space="preserve"> </w:t>
      </w:r>
      <w:r w:rsidR="00A25969" w:rsidRPr="007177E2">
        <w:rPr>
          <w:rFonts w:cs="Arial"/>
        </w:rPr>
        <w:t>µ</w:t>
      </w:r>
      <w:r w:rsidR="00A65882" w:rsidRPr="0058370B">
        <w:rPr>
          <w:rFonts w:cs="Arial"/>
        </w:rPr>
        <w:t>g</w:t>
      </w:r>
      <w:r w:rsidR="00E817CB">
        <w:rPr>
          <w:rFonts w:cs="Arial"/>
        </w:rPr>
        <w:t xml:space="preserve"> </w:t>
      </w:r>
      <w:r w:rsidR="00E37008" w:rsidRPr="0058370B">
        <w:rPr>
          <w:rFonts w:cs="Arial"/>
        </w:rPr>
        <w:t>L</w:t>
      </w:r>
      <w:r w:rsidR="00E817CB" w:rsidRPr="00E817CB">
        <w:rPr>
          <w:rFonts w:cs="Arial"/>
          <w:vertAlign w:val="superscript"/>
        </w:rPr>
        <w:t>-1</w:t>
      </w:r>
      <w:r w:rsidR="00A25969">
        <w:rPr>
          <w:rFonts w:cs="Arial"/>
        </w:rPr>
        <w:t>,</w:t>
      </w:r>
      <w:r w:rsidR="00E37008" w:rsidRPr="0058370B">
        <w:rPr>
          <w:rFonts w:cs="Arial"/>
        </w:rPr>
        <w:t xml:space="preserve"> which </w:t>
      </w:r>
      <w:r w:rsidR="00A65882">
        <w:rPr>
          <w:rFonts w:cs="Arial"/>
        </w:rPr>
        <w:t>are up to fi</w:t>
      </w:r>
      <w:r w:rsidR="009E7B49">
        <w:rPr>
          <w:rFonts w:cs="Arial"/>
        </w:rPr>
        <w:t>v</w:t>
      </w:r>
      <w:r w:rsidR="00A65882">
        <w:rPr>
          <w:rFonts w:cs="Arial"/>
        </w:rPr>
        <w:t>e</w:t>
      </w:r>
      <w:r w:rsidR="00A25969">
        <w:rPr>
          <w:rFonts w:cs="Arial"/>
        </w:rPr>
        <w:t>-</w:t>
      </w:r>
      <w:r w:rsidR="00A65882">
        <w:rPr>
          <w:rFonts w:cs="Arial"/>
        </w:rPr>
        <w:t xml:space="preserve">fold lower than </w:t>
      </w:r>
      <w:r w:rsidR="00E37008" w:rsidRPr="0058370B">
        <w:rPr>
          <w:rFonts w:cs="Arial"/>
        </w:rPr>
        <w:t xml:space="preserve">those of Queensland Health. </w:t>
      </w:r>
      <w:r w:rsidR="00E37008">
        <w:rPr>
          <w:rFonts w:cs="Arial"/>
        </w:rPr>
        <w:t xml:space="preserve">This method </w:t>
      </w:r>
      <w:r w:rsidR="00A65882">
        <w:rPr>
          <w:rFonts w:cs="Arial"/>
        </w:rPr>
        <w:t xml:space="preserve">has been </w:t>
      </w:r>
      <w:r w:rsidR="00E37008">
        <w:rPr>
          <w:rFonts w:cs="Arial"/>
        </w:rPr>
        <w:t>employed</w:t>
      </w:r>
      <w:r w:rsidR="009E7B49">
        <w:rPr>
          <w:rFonts w:cs="Arial"/>
        </w:rPr>
        <w:t xml:space="preserve"> </w:t>
      </w:r>
      <w:r w:rsidR="00A65882">
        <w:rPr>
          <w:rFonts w:cs="Arial"/>
        </w:rPr>
        <w:t>since</w:t>
      </w:r>
      <w:r w:rsidR="00E37008">
        <w:rPr>
          <w:rFonts w:cs="Arial"/>
        </w:rPr>
        <w:t xml:space="preserve"> the 2013</w:t>
      </w:r>
      <w:r w:rsidR="00A25969">
        <w:rPr>
          <w:rFonts w:cs="Arial"/>
        </w:rPr>
        <w:t>–</w:t>
      </w:r>
      <w:r w:rsidR="00E37008">
        <w:rPr>
          <w:rFonts w:cs="Arial"/>
        </w:rPr>
        <w:t xml:space="preserve">14 monitoring year. </w:t>
      </w:r>
      <w:r w:rsidR="00A25969">
        <w:rPr>
          <w:rFonts w:cs="Arial"/>
        </w:rPr>
        <w:t xml:space="preserve">During </w:t>
      </w:r>
      <w:r w:rsidR="00E37008">
        <w:rPr>
          <w:rFonts w:cs="Arial"/>
        </w:rPr>
        <w:t>2014</w:t>
      </w:r>
      <w:r w:rsidR="00A25969">
        <w:rPr>
          <w:rFonts w:cs="Arial"/>
        </w:rPr>
        <w:t>–</w:t>
      </w:r>
      <w:r w:rsidR="00E37008">
        <w:rPr>
          <w:rFonts w:cs="Arial"/>
        </w:rPr>
        <w:t>15, a</w:t>
      </w:r>
      <w:r w:rsidR="00A65882">
        <w:rPr>
          <w:rFonts w:cs="Arial"/>
        </w:rPr>
        <w:t>n alternative</w:t>
      </w:r>
      <w:r w:rsidR="00E37008">
        <w:rPr>
          <w:rFonts w:cs="Arial"/>
        </w:rPr>
        <w:t xml:space="preserve"> direct injection method was trialled that allowed shorter analysis times, less setup of the LC</w:t>
      </w:r>
      <w:r w:rsidR="00A65882">
        <w:rPr>
          <w:rFonts w:cs="Arial"/>
        </w:rPr>
        <w:t>-</w:t>
      </w:r>
      <w:r w:rsidR="00E37008">
        <w:rPr>
          <w:rFonts w:cs="Arial"/>
        </w:rPr>
        <w:t>MS</w:t>
      </w:r>
      <w:r w:rsidR="00A65882">
        <w:rPr>
          <w:rFonts w:cs="Arial"/>
        </w:rPr>
        <w:t>/MS</w:t>
      </w:r>
      <w:r w:rsidR="00E37008">
        <w:rPr>
          <w:rFonts w:cs="Arial"/>
        </w:rPr>
        <w:t xml:space="preserve"> and smaller injection volumes of sample. </w:t>
      </w:r>
      <w:r w:rsidR="00A65882">
        <w:rPr>
          <w:rFonts w:cs="Arial"/>
        </w:rPr>
        <w:t>However, as this method resulted in higher LORs and the potential to miss the detection of some herbicides, it was decided to remain with the traditional SPE method, which requires pre-concentration of the sample but yields superior detection limits.</w:t>
      </w:r>
      <w:bookmarkStart w:id="243" w:name="_Toc433716441"/>
    </w:p>
    <w:bookmarkEnd w:id="243"/>
    <w:p w14:paraId="71FF6736" w14:textId="3495FE1F" w:rsidR="00E37008" w:rsidRDefault="00E37008" w:rsidP="00FE2F59">
      <w:pPr>
        <w:rPr>
          <w:rFonts w:cs="Arial"/>
        </w:rPr>
      </w:pPr>
      <w:r w:rsidRPr="0058370B">
        <w:rPr>
          <w:rFonts w:cs="Arial"/>
        </w:rPr>
        <w:t xml:space="preserve">The </w:t>
      </w:r>
      <w:r w:rsidR="00A25969">
        <w:rPr>
          <w:rFonts w:cs="Arial"/>
        </w:rPr>
        <w:t>LOD</w:t>
      </w:r>
      <w:r w:rsidR="00A65882">
        <w:rPr>
          <w:rFonts w:cs="Arial"/>
        </w:rPr>
        <w:t xml:space="preserve"> and </w:t>
      </w:r>
      <w:r w:rsidR="00A25969">
        <w:rPr>
          <w:rFonts w:cs="Arial"/>
        </w:rPr>
        <w:t xml:space="preserve">LOR </w:t>
      </w:r>
      <w:r w:rsidRPr="0058370B">
        <w:rPr>
          <w:rFonts w:cs="Arial"/>
        </w:rPr>
        <w:t>for the LC</w:t>
      </w:r>
      <w:r w:rsidR="00A65882">
        <w:rPr>
          <w:rFonts w:cs="Arial"/>
        </w:rPr>
        <w:t>-</w:t>
      </w:r>
      <w:r w:rsidRPr="0058370B">
        <w:rPr>
          <w:rFonts w:cs="Arial"/>
        </w:rPr>
        <w:t>MS</w:t>
      </w:r>
      <w:r w:rsidR="00A65882">
        <w:rPr>
          <w:rFonts w:cs="Arial"/>
        </w:rPr>
        <w:t>/MS</w:t>
      </w:r>
      <w:r w:rsidRPr="0058370B">
        <w:rPr>
          <w:rFonts w:cs="Arial"/>
        </w:rPr>
        <w:t xml:space="preserve"> and GCMS instrument data have been defined as follows: a very low level amount of analyte </w:t>
      </w:r>
      <w:r w:rsidR="00A65882">
        <w:rPr>
          <w:rFonts w:cs="Arial"/>
        </w:rPr>
        <w:t xml:space="preserve">is added </w:t>
      </w:r>
      <w:r w:rsidRPr="0058370B">
        <w:rPr>
          <w:rFonts w:cs="Arial"/>
        </w:rPr>
        <w:t xml:space="preserve">to a </w:t>
      </w:r>
      <w:r w:rsidR="00A65882">
        <w:rPr>
          <w:rFonts w:cs="Arial"/>
        </w:rPr>
        <w:t>range of matrices (which include saline (sea) water, MilliQ water and bore water)</w:t>
      </w:r>
      <w:r w:rsidRPr="0058370B">
        <w:rPr>
          <w:rFonts w:cs="Arial"/>
        </w:rPr>
        <w:t xml:space="preserve"> and </w:t>
      </w:r>
      <w:r w:rsidR="00A65882">
        <w:rPr>
          <w:rFonts w:cs="Arial"/>
        </w:rPr>
        <w:t>injected</w:t>
      </w:r>
      <w:r w:rsidRPr="0058370B">
        <w:rPr>
          <w:rFonts w:cs="Arial"/>
        </w:rPr>
        <w:t xml:space="preserve"> 6</w:t>
      </w:r>
      <w:r w:rsidR="00A25969">
        <w:rPr>
          <w:rFonts w:cs="Arial"/>
        </w:rPr>
        <w:t>–</w:t>
      </w:r>
      <w:r w:rsidRPr="0058370B">
        <w:rPr>
          <w:rFonts w:cs="Arial"/>
        </w:rPr>
        <w:t xml:space="preserve">7 times into the analytical instrument. The standard deviation of the resultant signals is obtained and a multiplication factor of </w:t>
      </w:r>
      <w:r w:rsidR="00A25969">
        <w:rPr>
          <w:rFonts w:cs="Arial"/>
        </w:rPr>
        <w:t xml:space="preserve">three </w:t>
      </w:r>
      <w:r w:rsidR="00A65882">
        <w:rPr>
          <w:rFonts w:cs="Arial"/>
        </w:rPr>
        <w:t xml:space="preserve">is applied to determine the LOD and a factor of </w:t>
      </w:r>
      <w:r w:rsidR="00A25969">
        <w:rPr>
          <w:rFonts w:cs="Arial"/>
        </w:rPr>
        <w:t>nine</w:t>
      </w:r>
      <w:r w:rsidR="00A25969" w:rsidRPr="0058370B">
        <w:rPr>
          <w:rFonts w:cs="Arial"/>
        </w:rPr>
        <w:t xml:space="preserve"> </w:t>
      </w:r>
      <w:r w:rsidRPr="0058370B">
        <w:rPr>
          <w:rFonts w:cs="Arial"/>
        </w:rPr>
        <w:t xml:space="preserve">is applied to </w:t>
      </w:r>
      <w:r w:rsidR="003474FC">
        <w:rPr>
          <w:rFonts w:cs="Arial"/>
        </w:rPr>
        <w:t>get</w:t>
      </w:r>
      <w:r w:rsidR="003474FC" w:rsidRPr="0058370B">
        <w:rPr>
          <w:rFonts w:cs="Arial"/>
        </w:rPr>
        <w:t xml:space="preserve"> </w:t>
      </w:r>
      <w:r w:rsidRPr="0058370B">
        <w:rPr>
          <w:rFonts w:cs="Arial"/>
        </w:rPr>
        <w:t xml:space="preserve">the LOR. A further criterion for the LOR is that the analyte value should exceed </w:t>
      </w:r>
      <w:r w:rsidR="00A25969">
        <w:rPr>
          <w:rFonts w:cs="Arial"/>
        </w:rPr>
        <w:t>three</w:t>
      </w:r>
      <w:r w:rsidR="00A25969" w:rsidRPr="0058370B">
        <w:rPr>
          <w:rFonts w:cs="Arial"/>
        </w:rPr>
        <w:t xml:space="preserve"> </w:t>
      </w:r>
      <w:r w:rsidRPr="0058370B">
        <w:rPr>
          <w:rFonts w:cs="Arial"/>
        </w:rPr>
        <w:t xml:space="preserve">times the mass detected in the blank. </w:t>
      </w:r>
      <w:r w:rsidR="00AA70D6">
        <w:rPr>
          <w:rFonts w:cs="Arial"/>
        </w:rPr>
        <w:t xml:space="preserve">It should be noted that the LODs and LORs included </w:t>
      </w:r>
      <w:r w:rsidR="00AA70D6" w:rsidRPr="00095A05">
        <w:rPr>
          <w:rFonts w:cs="Arial"/>
        </w:rPr>
        <w:t>in</w:t>
      </w:r>
      <w:r w:rsidR="00AA70D6">
        <w:rPr>
          <w:rFonts w:cs="Arial"/>
        </w:rPr>
        <w:t xml:space="preserve"> </w:t>
      </w:r>
      <w:r w:rsidR="00AA70D6" w:rsidRPr="00095A05">
        <w:rPr>
          <w:rFonts w:cs="Arial"/>
        </w:rPr>
        <w:fldChar w:fldCharType="begin"/>
      </w:r>
      <w:r w:rsidR="00AA70D6" w:rsidRPr="00095A05">
        <w:rPr>
          <w:rFonts w:cs="Arial"/>
        </w:rPr>
        <w:instrText xml:space="preserve"> REF _Ref465256586 \h  \* MERGEFORMAT </w:instrText>
      </w:r>
      <w:r w:rsidR="00AA70D6" w:rsidRPr="00095A05">
        <w:rPr>
          <w:rFonts w:cs="Arial"/>
        </w:rPr>
      </w:r>
      <w:r w:rsidR="00AA70D6" w:rsidRPr="00095A05">
        <w:rPr>
          <w:rFonts w:cs="Arial"/>
        </w:rPr>
        <w:fldChar w:fldCharType="separate"/>
      </w:r>
      <w:r w:rsidR="00D528AA" w:rsidRPr="00F529DD">
        <w:t xml:space="preserve">Table </w:t>
      </w:r>
      <w:r w:rsidR="00D528AA">
        <w:rPr>
          <w:noProof/>
        </w:rPr>
        <w:t>4.2</w:t>
      </w:r>
      <w:r w:rsidR="00AA70D6" w:rsidRPr="00095A05">
        <w:rPr>
          <w:rFonts w:cs="Arial"/>
        </w:rPr>
        <w:fldChar w:fldCharType="end"/>
      </w:r>
      <w:r w:rsidR="00AA70D6">
        <w:rPr>
          <w:rFonts w:cs="Arial"/>
        </w:rPr>
        <w:t xml:space="preserve"> </w:t>
      </w:r>
      <w:r w:rsidR="00AA70D6" w:rsidRPr="00095A05">
        <w:rPr>
          <w:rFonts w:cs="Arial"/>
        </w:rPr>
        <w:t>are</w:t>
      </w:r>
      <w:r w:rsidR="00AA70D6">
        <w:rPr>
          <w:rFonts w:cs="Arial"/>
        </w:rPr>
        <w:t xml:space="preserve"> for the analytical instrument and do not represent the reporting limits for the water concentrations determined using the passive samplers. </w:t>
      </w:r>
      <w:r w:rsidR="00A65882">
        <w:rPr>
          <w:rFonts w:cs="Arial"/>
        </w:rPr>
        <w:t>The LO</w:t>
      </w:r>
      <w:r w:rsidR="005700E4">
        <w:rPr>
          <w:rFonts w:cs="Arial"/>
        </w:rPr>
        <w:t>R</w:t>
      </w:r>
      <w:r w:rsidR="00A65882">
        <w:rPr>
          <w:rFonts w:cs="Arial"/>
        </w:rPr>
        <w:t>s relevant to a particular sample will vary according to the site’s sampling rates (i.e. sampler deployment duration and flow rate at the site)</w:t>
      </w:r>
      <w:r w:rsidRPr="0058370B">
        <w:rPr>
          <w:rFonts w:cs="Arial"/>
        </w:rPr>
        <w:t xml:space="preserve">. </w:t>
      </w:r>
    </w:p>
    <w:p w14:paraId="6E278750" w14:textId="0EE9E6A4" w:rsidR="00BB0109" w:rsidRPr="0058370B" w:rsidRDefault="00E37008" w:rsidP="00B17A11">
      <w:pPr>
        <w:rPr>
          <w:rFonts w:cs="Arial"/>
        </w:rPr>
      </w:pPr>
      <w:r w:rsidRPr="00E6166E">
        <w:rPr>
          <w:rFonts w:cs="Arial"/>
        </w:rPr>
        <w:t xml:space="preserve">Positive results </w:t>
      </w:r>
      <w:r>
        <w:rPr>
          <w:rFonts w:cs="Arial"/>
        </w:rPr>
        <w:t xml:space="preserve">at </w:t>
      </w:r>
      <w:r w:rsidR="00A65882">
        <w:rPr>
          <w:rFonts w:cs="Arial"/>
        </w:rPr>
        <w:t>QAEHS</w:t>
      </w:r>
      <w:r>
        <w:rPr>
          <w:rFonts w:cs="Arial"/>
        </w:rPr>
        <w:t xml:space="preserve"> ar</w:t>
      </w:r>
      <w:r w:rsidRPr="00E6166E">
        <w:rPr>
          <w:rFonts w:cs="Arial"/>
        </w:rPr>
        <w:t xml:space="preserve">e confirmed by retention time and by comparing transition intensity ratios between the sample and an appropriate concentration standard from the same run. Samples were reported as positive if the two transitions were present (with peaks having a signal to noise ratio greater than </w:t>
      </w:r>
      <w:r w:rsidR="00A25969">
        <w:rPr>
          <w:rFonts w:cs="Arial"/>
        </w:rPr>
        <w:t>three</w:t>
      </w:r>
      <w:r w:rsidRPr="00E6166E">
        <w:rPr>
          <w:rFonts w:cs="Arial"/>
        </w:rPr>
        <w:t>), retention time was within 0.15 minutes of the standard and the relative intensity of the confirmation transition was within 20</w:t>
      </w:r>
      <w:r w:rsidR="006E7C0A">
        <w:rPr>
          <w:rFonts w:cs="Arial"/>
        </w:rPr>
        <w:t xml:space="preserve"> per cent</w:t>
      </w:r>
      <w:r w:rsidRPr="00E6166E">
        <w:rPr>
          <w:rFonts w:cs="Arial"/>
        </w:rPr>
        <w:t xml:space="preserve"> of the expected value. The value reported was that for the quantitation transition.</w:t>
      </w:r>
    </w:p>
    <w:p w14:paraId="7D7EFC46" w14:textId="735D8397" w:rsidR="00BB0109" w:rsidRPr="0058370B" w:rsidRDefault="00BB0109">
      <w:pPr>
        <w:pStyle w:val="Heading3"/>
      </w:pPr>
      <w:bookmarkStart w:id="244" w:name="_Toc393785018"/>
      <w:bookmarkStart w:id="245" w:name="_Toc394061128"/>
      <w:bookmarkStart w:id="246" w:name="_Toc394061218"/>
      <w:bookmarkStart w:id="247" w:name="_Toc396311984"/>
      <w:bookmarkStart w:id="248" w:name="_Toc520727845"/>
      <w:bookmarkStart w:id="249" w:name="_Toc12365589"/>
      <w:r w:rsidRPr="0058370B">
        <w:t xml:space="preserve">Passive </w:t>
      </w:r>
      <w:r w:rsidR="00A25969">
        <w:t>s</w:t>
      </w:r>
      <w:r w:rsidR="00A25969" w:rsidRPr="0058370B">
        <w:t xml:space="preserve">ampling </w:t>
      </w:r>
      <w:bookmarkEnd w:id="244"/>
      <w:bookmarkEnd w:id="245"/>
      <w:bookmarkEnd w:id="246"/>
      <w:bookmarkEnd w:id="247"/>
      <w:bookmarkEnd w:id="248"/>
      <w:r w:rsidR="00A25969">
        <w:t>t</w:t>
      </w:r>
      <w:r w:rsidR="00A25969" w:rsidRPr="0058370B">
        <w:t>echniques</w:t>
      </w:r>
      <w:bookmarkEnd w:id="249"/>
      <w:r w:rsidR="00A25969" w:rsidRPr="0058370B">
        <w:t xml:space="preserve"> </w:t>
      </w:r>
    </w:p>
    <w:p w14:paraId="0BA0FF25" w14:textId="2EE3BDEC" w:rsidR="00BB0109" w:rsidRPr="0058370B" w:rsidRDefault="00BB0109" w:rsidP="00FE2F59">
      <w:pPr>
        <w:rPr>
          <w:rFonts w:cs="Arial"/>
          <w:b/>
        </w:rPr>
      </w:pPr>
      <w:r w:rsidRPr="0058370B">
        <w:rPr>
          <w:rFonts w:cs="Arial"/>
          <w:b/>
        </w:rPr>
        <w:t xml:space="preserve">SDB-RPS Empore discs </w:t>
      </w:r>
    </w:p>
    <w:p w14:paraId="59E29081" w14:textId="77777777" w:rsidR="0045293A" w:rsidRPr="0045293A" w:rsidRDefault="00BB0109" w:rsidP="00FE2F59">
      <w:pPr>
        <w:pStyle w:val="ListParagraph"/>
        <w:numPr>
          <w:ilvl w:val="0"/>
          <w:numId w:val="28"/>
        </w:numPr>
        <w:rPr>
          <w:rFonts w:cs="Arial"/>
          <w:b/>
        </w:rPr>
      </w:pPr>
      <w:r w:rsidRPr="006832C0">
        <w:rPr>
          <w:rFonts w:cs="Arial"/>
        </w:rPr>
        <w:t>3M</w:t>
      </w:r>
      <w:r w:rsidRPr="006832C0">
        <w:rPr>
          <w:rFonts w:cs="Arial"/>
          <w:vertAlign w:val="superscript"/>
        </w:rPr>
        <w:t>TM</w:t>
      </w:r>
      <w:r w:rsidRPr="006832C0">
        <w:rPr>
          <w:rFonts w:cs="Arial"/>
        </w:rPr>
        <w:t xml:space="preserve"> Empore</w:t>
      </w:r>
      <w:r w:rsidRPr="006832C0">
        <w:rPr>
          <w:rFonts w:cs="Arial"/>
          <w:vertAlign w:val="superscript"/>
        </w:rPr>
        <w:t>TM</w:t>
      </w:r>
      <w:r w:rsidRPr="006832C0">
        <w:rPr>
          <w:rFonts w:cs="Arial"/>
        </w:rPr>
        <w:t xml:space="preserve"> Extraction Disks (SDB-RPS) –</w:t>
      </w:r>
      <w:r w:rsidR="00A25969">
        <w:rPr>
          <w:rFonts w:cs="Arial"/>
        </w:rPr>
        <w:t xml:space="preserve"> </w:t>
      </w:r>
      <w:r w:rsidRPr="006832C0">
        <w:rPr>
          <w:rFonts w:cs="Arial"/>
        </w:rPr>
        <w:t>Phenomenex</w:t>
      </w:r>
      <w:r w:rsidR="00BD3474" w:rsidRPr="006832C0">
        <w:rPr>
          <w:rFonts w:cs="Arial"/>
        </w:rPr>
        <w:t>.</w:t>
      </w:r>
    </w:p>
    <w:p w14:paraId="48C70BB9" w14:textId="63CE85E5" w:rsidR="00A25969" w:rsidRPr="0045293A" w:rsidRDefault="00BB0109" w:rsidP="00FE2F59">
      <w:pPr>
        <w:pStyle w:val="ListParagraph"/>
        <w:numPr>
          <w:ilvl w:val="0"/>
          <w:numId w:val="28"/>
        </w:numPr>
        <w:rPr>
          <w:rFonts w:cs="Arial"/>
          <w:b/>
        </w:rPr>
      </w:pPr>
      <w:r w:rsidRPr="0045293A">
        <w:rPr>
          <w:rFonts w:cs="Arial"/>
        </w:rPr>
        <w:t>Deployed in a Teflon “Chemcatcher” housing</w:t>
      </w:r>
      <w:r w:rsidR="00A25969" w:rsidRPr="0045293A">
        <w:rPr>
          <w:rFonts w:cs="Arial"/>
        </w:rPr>
        <w:t xml:space="preserve"> </w:t>
      </w:r>
      <w:r w:rsidR="003D3303" w:rsidRPr="0045293A">
        <w:rPr>
          <w:rFonts w:cs="Arial"/>
        </w:rPr>
        <w:fldChar w:fldCharType="begin"/>
      </w:r>
      <w:r w:rsidR="003D3303" w:rsidRPr="0045293A">
        <w:rPr>
          <w:rFonts w:cs="Arial"/>
        </w:rPr>
        <w:instrText xml:space="preserve"> ADDIN EN.CITE &lt;EndNote&gt;&lt;Cite&gt;&lt;Author&gt;Kingston&lt;/Author&gt;&lt;Year&gt;2000&lt;/Year&gt;&lt;RecNum&gt;1335&lt;/RecNum&gt;&lt;DisplayText&gt;(Kingston et al., 2000)&lt;/DisplayText&gt;&lt;record&gt;&lt;rec-number&gt;1335&lt;/rec-number&gt;&lt;foreign-keys&gt;&lt;key app="EN" db-id="zapfddtwo2e9z5e5vxoxafs7sf59wfp52rvf" timestamp="1558929937"&gt;1335&lt;/key&gt;&lt;/foreign-keys&gt;&lt;ref-type name="Journal Article"&gt;17&lt;/ref-type&gt;&lt;contributors&gt;&lt;authors&gt;&lt;author&gt;Kingston, Jenny K.&lt;/author&gt;&lt;author&gt;Greenwood, Richard&lt;/author&gt;&lt;author&gt;Mills, Graham A.&lt;/author&gt;&lt;author&gt;Morrison, Gregory M.&lt;/author&gt;&lt;author&gt;Björklund Persson, Lena&lt;/author&gt;&lt;/authors&gt;&lt;/contributors&gt;&lt;titles&gt;&lt;title&gt;Development of a novel passive sampling system for the time-averaged measurement of a range of organic pollutants in aquatic environments&lt;/title&gt;&lt;secondary-title&gt;Journal of Environmental Monitoring&lt;/secondary-title&gt;&lt;/titles&gt;&lt;periodical&gt;&lt;full-title&gt;Journal of Environmental Monitoring&lt;/full-title&gt;&lt;abbr-1&gt;J. Environ. Monit.&lt;/abbr-1&gt;&lt;/periodical&gt;&lt;pages&gt;487-495&lt;/pages&gt;&lt;volume&gt;2&lt;/volume&gt;&lt;number&gt;5&lt;/number&gt;&lt;dates&gt;&lt;year&gt;2000&lt;/year&gt;&lt;/dates&gt;&lt;publisher&gt;The Royal Society of Chemistry&lt;/publisher&gt;&lt;isbn&gt;1464-0325&lt;/isbn&gt;&lt;work-type&gt;10.1039/B003532G&lt;/work-type&gt;&lt;urls&gt;&lt;related-urls&gt;&lt;url&gt;http://dx.doi.org/10.1039/B003532G&lt;/url&gt;&lt;/related-urls&gt;&lt;/urls&gt;&lt;electronic-resource-num&gt;10.1039/B003532G&lt;/electronic-resource-num&gt;&lt;/record&gt;&lt;/Cite&gt;&lt;/EndNote&gt;</w:instrText>
      </w:r>
      <w:r w:rsidR="003D3303" w:rsidRPr="0045293A">
        <w:rPr>
          <w:rFonts w:cs="Arial"/>
        </w:rPr>
        <w:fldChar w:fldCharType="separate"/>
      </w:r>
      <w:r w:rsidR="003D3303" w:rsidRPr="0045293A">
        <w:rPr>
          <w:rFonts w:cs="Arial"/>
          <w:noProof/>
        </w:rPr>
        <w:t>(Kingston et al., 2000)</w:t>
      </w:r>
      <w:r w:rsidR="003D3303" w:rsidRPr="0045293A">
        <w:rPr>
          <w:rFonts w:cs="Arial"/>
        </w:rPr>
        <w:fldChar w:fldCharType="end"/>
      </w:r>
      <w:r w:rsidRPr="0045293A">
        <w:rPr>
          <w:rFonts w:cs="Arial"/>
        </w:rPr>
        <w:t xml:space="preserve"> (</w:t>
      </w:r>
      <w:r w:rsidR="00402206" w:rsidRPr="0045293A">
        <w:rPr>
          <w:rFonts w:cs="Arial"/>
          <w:highlight w:val="yellow"/>
        </w:rPr>
        <w:fldChar w:fldCharType="begin"/>
      </w:r>
      <w:r w:rsidR="00402206" w:rsidRPr="0045293A">
        <w:rPr>
          <w:rFonts w:cs="Arial"/>
          <w:highlight w:val="yellow"/>
        </w:rPr>
        <w:instrText xml:space="preserve"> REF _Ref433191487 \h </w:instrText>
      </w:r>
      <w:r w:rsidR="00095A05" w:rsidRPr="0045293A">
        <w:rPr>
          <w:rFonts w:cs="Arial"/>
          <w:highlight w:val="yellow"/>
        </w:rPr>
        <w:instrText xml:space="preserve"> \* MERGEFORMAT </w:instrText>
      </w:r>
      <w:r w:rsidR="00402206" w:rsidRPr="0045293A">
        <w:rPr>
          <w:rFonts w:cs="Arial"/>
          <w:highlight w:val="yellow"/>
        </w:rPr>
      </w:r>
      <w:r w:rsidR="00402206" w:rsidRPr="0045293A">
        <w:rPr>
          <w:rFonts w:cs="Arial"/>
          <w:highlight w:val="yellow"/>
        </w:rPr>
        <w:fldChar w:fldCharType="separate"/>
      </w:r>
      <w:r w:rsidR="00D528AA" w:rsidRPr="00F529DD">
        <w:t xml:space="preserve">Figure </w:t>
      </w:r>
      <w:r w:rsidR="00D528AA">
        <w:rPr>
          <w:noProof/>
        </w:rPr>
        <w:t>4</w:t>
      </w:r>
      <w:r w:rsidR="00D528AA">
        <w:rPr>
          <w:noProof/>
        </w:rPr>
        <w:noBreakHyphen/>
        <w:t>2</w:t>
      </w:r>
      <w:r w:rsidR="00402206" w:rsidRPr="0045293A">
        <w:rPr>
          <w:rFonts w:cs="Arial"/>
          <w:highlight w:val="yellow"/>
        </w:rPr>
        <w:fldChar w:fldCharType="end"/>
      </w:r>
      <w:r w:rsidR="003E4F41" w:rsidRPr="0045293A">
        <w:rPr>
          <w:rFonts w:cs="Arial"/>
        </w:rPr>
        <w:t>)</w:t>
      </w:r>
      <w:r w:rsidR="00BD3474" w:rsidRPr="0045293A">
        <w:rPr>
          <w:rFonts w:cs="Arial"/>
        </w:rPr>
        <w:t>.</w:t>
      </w:r>
    </w:p>
    <w:p w14:paraId="08E98945" w14:textId="7D7C4429" w:rsidR="00BB0109" w:rsidRPr="006832C0" w:rsidRDefault="00BB0109" w:rsidP="007177E2">
      <w:pPr>
        <w:rPr>
          <w:b/>
        </w:rPr>
      </w:pPr>
      <w:r w:rsidRPr="006832C0">
        <w:t>Routine time integrated monitoring:</w:t>
      </w:r>
    </w:p>
    <w:p w14:paraId="0243E281" w14:textId="0A2F1D19" w:rsidR="00BB0109" w:rsidRPr="006832C0" w:rsidRDefault="00BB0109" w:rsidP="006C7E99">
      <w:pPr>
        <w:pStyle w:val="ListParagraph"/>
        <w:numPr>
          <w:ilvl w:val="0"/>
          <w:numId w:val="28"/>
        </w:numPr>
        <w:rPr>
          <w:rFonts w:cs="Arial"/>
          <w:b/>
        </w:rPr>
      </w:pPr>
      <w:r w:rsidRPr="006832C0">
        <w:rPr>
          <w:rFonts w:cs="Arial"/>
        </w:rPr>
        <w:t xml:space="preserve">Deployed with a diffusion limiting 47 mm, 0.45 µm polyether sulfone membrane for either one month or two months. From January 2012 onwards, Phenomenex membranes of the same specifications </w:t>
      </w:r>
      <w:r w:rsidR="00B17A11">
        <w:rPr>
          <w:rFonts w:cs="Arial"/>
        </w:rPr>
        <w:t>have been</w:t>
      </w:r>
      <w:r w:rsidRPr="006832C0">
        <w:rPr>
          <w:rFonts w:cs="Arial"/>
        </w:rPr>
        <w:t xml:space="preserve"> used.</w:t>
      </w:r>
    </w:p>
    <w:p w14:paraId="3F34A3DA" w14:textId="4C79C298" w:rsidR="00A25969" w:rsidRPr="006832C0" w:rsidRDefault="00BB0109" w:rsidP="006C7E99">
      <w:pPr>
        <w:pStyle w:val="ListParagraph"/>
        <w:numPr>
          <w:ilvl w:val="0"/>
          <w:numId w:val="28"/>
        </w:numPr>
        <w:rPr>
          <w:rFonts w:cs="Arial"/>
          <w:b/>
        </w:rPr>
      </w:pPr>
      <w:r w:rsidRPr="006832C0">
        <w:rPr>
          <w:rFonts w:cs="Arial"/>
        </w:rPr>
        <w:t>Deployed in a two disk configuration to extend the time</w:t>
      </w:r>
      <w:r w:rsidR="00B17A11">
        <w:rPr>
          <w:rFonts w:cs="Arial"/>
        </w:rPr>
        <w:t>-</w:t>
      </w:r>
      <w:r w:rsidRPr="006832C0">
        <w:rPr>
          <w:rFonts w:cs="Arial"/>
        </w:rPr>
        <w:t>integrated monitoring period when deployed for two months.</w:t>
      </w:r>
    </w:p>
    <w:p w14:paraId="3897C65A" w14:textId="77777777" w:rsidR="00BB0109" w:rsidRPr="00A25969" w:rsidRDefault="00BB0109" w:rsidP="007177E2">
      <w:pPr>
        <w:pStyle w:val="ListParagraph"/>
        <w:ind w:left="0"/>
        <w:rPr>
          <w:rFonts w:cs="Arial"/>
        </w:rPr>
      </w:pPr>
      <w:r w:rsidRPr="00A25969">
        <w:rPr>
          <w:rFonts w:cs="Arial"/>
        </w:rPr>
        <w:t>Preparation:</w:t>
      </w:r>
    </w:p>
    <w:p w14:paraId="31A13B9D" w14:textId="762B1AFB" w:rsidR="00BB0109" w:rsidRPr="006832C0" w:rsidRDefault="00BB0109" w:rsidP="006C7E99">
      <w:pPr>
        <w:pStyle w:val="ListParagraph"/>
        <w:numPr>
          <w:ilvl w:val="0"/>
          <w:numId w:val="28"/>
        </w:numPr>
        <w:rPr>
          <w:rFonts w:cs="Arial"/>
        </w:rPr>
      </w:pPr>
      <w:r w:rsidRPr="006832C0">
        <w:rPr>
          <w:rFonts w:cs="Arial"/>
        </w:rPr>
        <w:t xml:space="preserve">Condition in methanol for no more than </w:t>
      </w:r>
      <w:r w:rsidR="00A25969">
        <w:rPr>
          <w:rFonts w:cs="Arial"/>
        </w:rPr>
        <w:t>five</w:t>
      </w:r>
      <w:r w:rsidR="00A25969" w:rsidRPr="006832C0">
        <w:rPr>
          <w:rFonts w:cs="Arial"/>
        </w:rPr>
        <w:t xml:space="preserve"> </w:t>
      </w:r>
      <w:r w:rsidRPr="006832C0">
        <w:rPr>
          <w:rFonts w:cs="Arial"/>
        </w:rPr>
        <w:t>minutes (HPLC grade, Merck).</w:t>
      </w:r>
    </w:p>
    <w:p w14:paraId="1178C35D" w14:textId="7D9174D5" w:rsidR="00BB0109" w:rsidRPr="006832C0" w:rsidRDefault="00BB0109" w:rsidP="006C7E99">
      <w:pPr>
        <w:pStyle w:val="ListParagraph"/>
        <w:numPr>
          <w:ilvl w:val="0"/>
          <w:numId w:val="28"/>
        </w:numPr>
        <w:rPr>
          <w:rFonts w:cs="Arial"/>
        </w:rPr>
      </w:pPr>
      <w:r w:rsidRPr="006832C0">
        <w:rPr>
          <w:rFonts w:cs="Arial"/>
        </w:rPr>
        <w:t xml:space="preserve">Condition in milliQ water for a minimum of </w:t>
      </w:r>
      <w:r w:rsidR="00A25969">
        <w:rPr>
          <w:rFonts w:cs="Arial"/>
        </w:rPr>
        <w:t>five</w:t>
      </w:r>
      <w:r w:rsidR="00A25969" w:rsidRPr="006832C0">
        <w:rPr>
          <w:rFonts w:cs="Arial"/>
        </w:rPr>
        <w:t xml:space="preserve"> </w:t>
      </w:r>
      <w:r w:rsidRPr="006832C0">
        <w:rPr>
          <w:rFonts w:cs="Arial"/>
        </w:rPr>
        <w:t>minutes.</w:t>
      </w:r>
    </w:p>
    <w:p w14:paraId="60EB8BA4" w14:textId="29B941C2" w:rsidR="00BB0109" w:rsidRPr="006832C0" w:rsidRDefault="00BB0109" w:rsidP="006C7E99">
      <w:pPr>
        <w:pStyle w:val="ListParagraph"/>
        <w:numPr>
          <w:ilvl w:val="0"/>
          <w:numId w:val="28"/>
        </w:numPr>
        <w:rPr>
          <w:rFonts w:cs="Arial"/>
        </w:rPr>
      </w:pPr>
      <w:r w:rsidRPr="006832C0">
        <w:rPr>
          <w:rFonts w:cs="Arial"/>
        </w:rPr>
        <w:t xml:space="preserve">Load into acetone rinsed </w:t>
      </w:r>
      <w:r w:rsidR="000E00C1">
        <w:rPr>
          <w:rFonts w:cs="Arial"/>
        </w:rPr>
        <w:t xml:space="preserve">teflon </w:t>
      </w:r>
      <w:r w:rsidRPr="006832C0">
        <w:rPr>
          <w:rFonts w:cs="Arial"/>
        </w:rPr>
        <w:t>Chemcatcher housing.</w:t>
      </w:r>
    </w:p>
    <w:p w14:paraId="47591002" w14:textId="77777777" w:rsidR="00BB0109" w:rsidRPr="006832C0" w:rsidRDefault="00BB0109" w:rsidP="006C7E99">
      <w:pPr>
        <w:pStyle w:val="ListParagraph"/>
        <w:numPr>
          <w:ilvl w:val="0"/>
          <w:numId w:val="28"/>
        </w:numPr>
        <w:rPr>
          <w:rFonts w:cs="Arial"/>
        </w:rPr>
      </w:pPr>
      <w:r w:rsidRPr="006832C0">
        <w:rPr>
          <w:rFonts w:cs="Arial"/>
        </w:rPr>
        <w:t>Cover with membrane and solvent rinsed wire mesh.</w:t>
      </w:r>
    </w:p>
    <w:p w14:paraId="3EC7F91D" w14:textId="503C0AA3" w:rsidR="00BB0109" w:rsidRPr="006832C0" w:rsidRDefault="00BB0109" w:rsidP="006C7E99">
      <w:pPr>
        <w:pStyle w:val="ListParagraph"/>
        <w:numPr>
          <w:ilvl w:val="0"/>
          <w:numId w:val="28"/>
        </w:numPr>
        <w:rPr>
          <w:rFonts w:cs="Arial"/>
        </w:rPr>
      </w:pPr>
      <w:r w:rsidRPr="006832C0">
        <w:rPr>
          <w:rFonts w:cs="Arial"/>
        </w:rPr>
        <w:t xml:space="preserve">Fill housing with </w:t>
      </w:r>
      <w:r w:rsidR="000E00C1">
        <w:rPr>
          <w:rFonts w:cs="Arial"/>
        </w:rPr>
        <w:t>m</w:t>
      </w:r>
      <w:r w:rsidR="000E00C1" w:rsidRPr="006832C0">
        <w:rPr>
          <w:rFonts w:cs="Arial"/>
        </w:rPr>
        <w:t xml:space="preserve">illiQ </w:t>
      </w:r>
      <w:r w:rsidRPr="006832C0">
        <w:rPr>
          <w:rFonts w:cs="Arial"/>
        </w:rPr>
        <w:t>water.</w:t>
      </w:r>
    </w:p>
    <w:p w14:paraId="18ACA5F4" w14:textId="77777777" w:rsidR="00BB0109" w:rsidRPr="006832C0" w:rsidRDefault="00BB0109" w:rsidP="006C7E99">
      <w:pPr>
        <w:pStyle w:val="ListParagraph"/>
        <w:numPr>
          <w:ilvl w:val="0"/>
          <w:numId w:val="28"/>
        </w:numPr>
        <w:rPr>
          <w:rFonts w:cs="Arial"/>
        </w:rPr>
      </w:pPr>
      <w:r w:rsidRPr="006832C0">
        <w:rPr>
          <w:rFonts w:cs="Arial"/>
        </w:rPr>
        <w:t>Seal for transport.</w:t>
      </w:r>
    </w:p>
    <w:p w14:paraId="32674201" w14:textId="77777777" w:rsidR="00BB0109" w:rsidRPr="006832C0" w:rsidRDefault="00BB0109" w:rsidP="006C7E99">
      <w:pPr>
        <w:pStyle w:val="ListParagraph"/>
        <w:numPr>
          <w:ilvl w:val="0"/>
          <w:numId w:val="28"/>
        </w:numPr>
        <w:rPr>
          <w:rFonts w:cs="Arial"/>
        </w:rPr>
      </w:pPr>
      <w:r w:rsidRPr="006832C0">
        <w:rPr>
          <w:rFonts w:cs="Arial"/>
        </w:rPr>
        <w:t>Store in fridge and transport with ice packs.</w:t>
      </w:r>
    </w:p>
    <w:p w14:paraId="3E5BFB54" w14:textId="77777777" w:rsidR="00BB0109" w:rsidRPr="006832C0" w:rsidRDefault="00BB0109" w:rsidP="007177E2">
      <w:pPr>
        <w:pStyle w:val="ListParagraph"/>
        <w:ind w:left="0"/>
        <w:rPr>
          <w:rFonts w:cs="Arial"/>
        </w:rPr>
      </w:pPr>
      <w:r w:rsidRPr="006832C0">
        <w:rPr>
          <w:rFonts w:cs="Arial"/>
        </w:rPr>
        <w:t>Extraction:</w:t>
      </w:r>
    </w:p>
    <w:p w14:paraId="69C58C9F" w14:textId="2A70E16A" w:rsidR="00BB0109" w:rsidRPr="006832C0" w:rsidRDefault="00BB0109" w:rsidP="006C7E99">
      <w:pPr>
        <w:pStyle w:val="ListParagraph"/>
        <w:numPr>
          <w:ilvl w:val="0"/>
          <w:numId w:val="28"/>
        </w:numPr>
        <w:rPr>
          <w:rFonts w:cs="Arial"/>
        </w:rPr>
      </w:pPr>
      <w:r w:rsidRPr="006832C0">
        <w:rPr>
          <w:rFonts w:cs="Arial"/>
        </w:rPr>
        <w:t xml:space="preserve">Remove membrane and wipe surface of disk with </w:t>
      </w:r>
      <w:r w:rsidR="000E00C1">
        <w:rPr>
          <w:rFonts w:cs="Arial"/>
        </w:rPr>
        <w:t>K</w:t>
      </w:r>
      <w:r w:rsidR="000E00C1" w:rsidRPr="006832C0">
        <w:rPr>
          <w:rFonts w:cs="Arial"/>
        </w:rPr>
        <w:t xml:space="preserve">imwipe </w:t>
      </w:r>
      <w:r w:rsidRPr="006832C0">
        <w:rPr>
          <w:rFonts w:cs="Arial"/>
        </w:rPr>
        <w:t>to remove excess water.</w:t>
      </w:r>
    </w:p>
    <w:p w14:paraId="5AB09810" w14:textId="77777777" w:rsidR="00BB0109" w:rsidRPr="006832C0" w:rsidRDefault="00BB0109" w:rsidP="006C7E99">
      <w:pPr>
        <w:pStyle w:val="ListParagraph"/>
        <w:numPr>
          <w:ilvl w:val="0"/>
          <w:numId w:val="28"/>
        </w:numPr>
        <w:rPr>
          <w:rFonts w:cs="Arial"/>
        </w:rPr>
      </w:pPr>
      <w:r w:rsidRPr="006832C0">
        <w:rPr>
          <w:rFonts w:cs="Arial"/>
        </w:rPr>
        <w:t>Spike disk with labelled internal standard.</w:t>
      </w:r>
    </w:p>
    <w:p w14:paraId="43C671A8" w14:textId="77777777" w:rsidR="00BB0109" w:rsidRPr="006832C0" w:rsidRDefault="00BB0109" w:rsidP="006C7E99">
      <w:pPr>
        <w:pStyle w:val="ListParagraph"/>
        <w:numPr>
          <w:ilvl w:val="0"/>
          <w:numId w:val="28"/>
        </w:numPr>
        <w:rPr>
          <w:rFonts w:cs="Arial"/>
        </w:rPr>
      </w:pPr>
      <w:r w:rsidRPr="006832C0">
        <w:rPr>
          <w:rFonts w:cs="Arial"/>
        </w:rPr>
        <w:t>Extract disk using acetone and methanol in a solvent rinsed 15 mL centrifuge tube in an ultrasonic bath.</w:t>
      </w:r>
    </w:p>
    <w:p w14:paraId="2F031DB0" w14:textId="77777777" w:rsidR="005700E4" w:rsidRPr="006832C0" w:rsidRDefault="005700E4" w:rsidP="006C7E99">
      <w:pPr>
        <w:pStyle w:val="ListParagraph"/>
        <w:numPr>
          <w:ilvl w:val="0"/>
          <w:numId w:val="28"/>
        </w:numPr>
        <w:rPr>
          <w:rFonts w:cs="Arial"/>
        </w:rPr>
      </w:pPr>
      <w:r w:rsidRPr="006832C0">
        <w:rPr>
          <w:rFonts w:cs="Arial"/>
        </w:rPr>
        <w:t xml:space="preserve">Filter (0.22 µm PFTE) and concentrate to </w:t>
      </w:r>
      <w:r>
        <w:rPr>
          <w:rFonts w:cs="Arial"/>
        </w:rPr>
        <w:t>&lt;</w:t>
      </w:r>
      <w:r w:rsidRPr="006832C0">
        <w:rPr>
          <w:rFonts w:cs="Arial"/>
        </w:rPr>
        <w:t>0.5 mL using evaporation under purified N</w:t>
      </w:r>
      <w:r w:rsidRPr="006832C0">
        <w:rPr>
          <w:rFonts w:cs="Arial"/>
          <w:vertAlign w:val="subscript"/>
        </w:rPr>
        <w:t>2</w:t>
      </w:r>
      <w:r w:rsidRPr="006832C0">
        <w:rPr>
          <w:rFonts w:cs="Arial"/>
        </w:rPr>
        <w:t>.</w:t>
      </w:r>
    </w:p>
    <w:p w14:paraId="2596B2BE" w14:textId="08F1657E" w:rsidR="00BB0109" w:rsidRPr="006832C0" w:rsidRDefault="005700E4" w:rsidP="006C7E99">
      <w:pPr>
        <w:pStyle w:val="ListParagraph"/>
        <w:numPr>
          <w:ilvl w:val="0"/>
          <w:numId w:val="28"/>
        </w:numPr>
        <w:rPr>
          <w:rFonts w:cs="Arial"/>
        </w:rPr>
      </w:pPr>
      <w:r w:rsidRPr="006832C0">
        <w:rPr>
          <w:rFonts w:cs="Arial"/>
        </w:rPr>
        <w:t xml:space="preserve">Add ultra-pure water to a final volume of </w:t>
      </w:r>
      <w:r>
        <w:rPr>
          <w:rFonts w:cs="Arial"/>
        </w:rPr>
        <w:t>0.5</w:t>
      </w:r>
      <w:r w:rsidRPr="006832C0">
        <w:rPr>
          <w:rFonts w:cs="Arial"/>
        </w:rPr>
        <w:t xml:space="preserve"> </w:t>
      </w:r>
      <w:r w:rsidR="00B17A11" w:rsidRPr="006832C0">
        <w:rPr>
          <w:rFonts w:cs="Arial"/>
        </w:rPr>
        <w:t>m</w:t>
      </w:r>
      <w:r w:rsidR="00B17A11">
        <w:rPr>
          <w:rFonts w:cs="Arial"/>
        </w:rPr>
        <w:t xml:space="preserve">L </w:t>
      </w:r>
      <w:r>
        <w:rPr>
          <w:rFonts w:cs="Arial"/>
        </w:rPr>
        <w:t>existing in 20</w:t>
      </w:r>
      <w:r w:rsidR="006E7C0A">
        <w:rPr>
          <w:rFonts w:cs="Arial"/>
        </w:rPr>
        <w:t xml:space="preserve"> per cent</w:t>
      </w:r>
      <w:r>
        <w:rPr>
          <w:rFonts w:cs="Arial"/>
        </w:rPr>
        <w:t xml:space="preserve"> methanol and 80</w:t>
      </w:r>
      <w:r w:rsidR="006E7C0A">
        <w:rPr>
          <w:rFonts w:cs="Arial"/>
        </w:rPr>
        <w:t xml:space="preserve"> per cent</w:t>
      </w:r>
      <w:r>
        <w:rPr>
          <w:rFonts w:cs="Arial"/>
        </w:rPr>
        <w:t xml:space="preserve"> water solution</w:t>
      </w:r>
      <w:r w:rsidR="00BB0109" w:rsidRPr="006832C0">
        <w:rPr>
          <w:rFonts w:cs="Arial"/>
        </w:rPr>
        <w:t>.</w:t>
      </w:r>
    </w:p>
    <w:p w14:paraId="2153F9A5" w14:textId="1B5B3DB8" w:rsidR="00BB0109" w:rsidRPr="006832C0" w:rsidRDefault="00BB0109" w:rsidP="006C7E99">
      <w:pPr>
        <w:pStyle w:val="ListParagraph"/>
        <w:numPr>
          <w:ilvl w:val="0"/>
          <w:numId w:val="28"/>
        </w:numPr>
        <w:rPr>
          <w:rFonts w:cs="Arial"/>
        </w:rPr>
      </w:pPr>
      <w:r w:rsidRPr="006832C0">
        <w:rPr>
          <w:rFonts w:cs="Arial"/>
        </w:rPr>
        <w:t>Spike sample with labelled recovery standard</w:t>
      </w:r>
      <w:r w:rsidR="00B17A11">
        <w:rPr>
          <w:rFonts w:cs="Arial"/>
        </w:rPr>
        <w:t>.</w:t>
      </w:r>
    </w:p>
    <w:p w14:paraId="2D9CE185" w14:textId="073FFC9B" w:rsidR="00BB0109" w:rsidRPr="006832C0" w:rsidRDefault="00BB0109" w:rsidP="006C7E99">
      <w:pPr>
        <w:pStyle w:val="ListParagraph"/>
        <w:numPr>
          <w:ilvl w:val="0"/>
          <w:numId w:val="28"/>
        </w:numPr>
        <w:rPr>
          <w:rFonts w:cs="Arial"/>
        </w:rPr>
      </w:pPr>
      <w:r w:rsidRPr="006832C0">
        <w:rPr>
          <w:rFonts w:cs="Arial"/>
        </w:rPr>
        <w:t>Analyse using LC</w:t>
      </w:r>
      <w:r w:rsidR="00A65882">
        <w:rPr>
          <w:rFonts w:cs="Arial"/>
        </w:rPr>
        <w:t>-</w:t>
      </w:r>
      <w:r w:rsidRPr="006832C0">
        <w:rPr>
          <w:rFonts w:cs="Arial"/>
        </w:rPr>
        <w:t>MS</w:t>
      </w:r>
      <w:r w:rsidR="00A65882">
        <w:rPr>
          <w:rFonts w:cs="Arial"/>
        </w:rPr>
        <w:t>/M</w:t>
      </w:r>
      <w:r w:rsidR="00A65882" w:rsidRPr="00095A05">
        <w:rPr>
          <w:rFonts w:cs="Arial"/>
        </w:rPr>
        <w:t>S</w:t>
      </w:r>
    </w:p>
    <w:p w14:paraId="76847618" w14:textId="77777777" w:rsidR="00BB0109" w:rsidRPr="006832C0" w:rsidRDefault="00BB0109" w:rsidP="006C7E99">
      <w:pPr>
        <w:pStyle w:val="ListParagraph"/>
        <w:numPr>
          <w:ilvl w:val="0"/>
          <w:numId w:val="28"/>
        </w:numPr>
        <w:rPr>
          <w:rFonts w:cs="Arial"/>
        </w:rPr>
      </w:pPr>
      <w:r w:rsidRPr="006832C0">
        <w:rPr>
          <w:rFonts w:cs="Arial"/>
        </w:rPr>
        <w:t xml:space="preserve">Convert to concentration in water using compound specific </w:t>
      </w:r>
      <w:r w:rsidRPr="00BC49A8">
        <w:rPr>
          <w:rFonts w:cs="Arial"/>
          <w:i/>
        </w:rPr>
        <w:t>in situ</w:t>
      </w:r>
      <w:r w:rsidRPr="006832C0">
        <w:rPr>
          <w:rFonts w:cs="Arial"/>
        </w:rPr>
        <w:t xml:space="preserve"> sampling rates.</w:t>
      </w:r>
    </w:p>
    <w:p w14:paraId="52B35B32" w14:textId="77777777" w:rsidR="00EC1EF6" w:rsidRPr="00EC1EF6" w:rsidRDefault="00EC1EF6" w:rsidP="00FE2F59">
      <w:pPr>
        <w:rPr>
          <w:rFonts w:cs="Arial"/>
        </w:rPr>
      </w:pPr>
    </w:p>
    <w:p w14:paraId="45BE7D55" w14:textId="77777777" w:rsidR="00402206" w:rsidRDefault="00BB0109" w:rsidP="00FE2F59">
      <w:pPr>
        <w:pStyle w:val="ListParagraph"/>
        <w:keepNext/>
        <w:ind w:left="0"/>
        <w:jc w:val="center"/>
      </w:pPr>
      <w:r w:rsidRPr="0058370B">
        <w:rPr>
          <w:rFonts w:cs="Arial"/>
          <w:b/>
          <w:noProof/>
          <w:lang w:eastAsia="en-AU"/>
        </w:rPr>
        <w:drawing>
          <wp:inline distT="0" distB="0" distL="0" distR="0" wp14:anchorId="77451DAB" wp14:editId="31903337">
            <wp:extent cx="4304637" cy="2113808"/>
            <wp:effectExtent l="0" t="0" r="1270" b="1270"/>
            <wp:docPr id="5" name="Picture 18" descr="An Empore disk (ED) being loaded into the Teflon Chemcatcher housing (LHS) and an assembled housing ready for deployment" title="Fig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jpg"/>
                    <pic:cNvPicPr/>
                  </pic:nvPicPr>
                  <pic:blipFill>
                    <a:blip r:embed="rId48" cstate="print"/>
                    <a:srcRect r="8044" b="39756"/>
                    <a:stretch>
                      <a:fillRect/>
                    </a:stretch>
                  </pic:blipFill>
                  <pic:spPr>
                    <a:xfrm>
                      <a:off x="0" y="0"/>
                      <a:ext cx="4323363" cy="2123003"/>
                    </a:xfrm>
                    <a:prstGeom prst="rect">
                      <a:avLst/>
                    </a:prstGeom>
                  </pic:spPr>
                </pic:pic>
              </a:graphicData>
            </a:graphic>
          </wp:inline>
        </w:drawing>
      </w:r>
    </w:p>
    <w:p w14:paraId="37DAFC7F" w14:textId="598D97A9" w:rsidR="00BB0109" w:rsidRPr="00F529DD" w:rsidRDefault="00402206" w:rsidP="007E5A3A">
      <w:pPr>
        <w:pStyle w:val="Caption"/>
      </w:pPr>
      <w:bookmarkStart w:id="250" w:name="_Ref433191487"/>
      <w:bookmarkStart w:id="251" w:name="_Ref433191482"/>
      <w:bookmarkStart w:id="252" w:name="_Toc12361622"/>
      <w:r w:rsidRPr="00F529DD">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4</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2</w:t>
      </w:r>
      <w:r w:rsidR="006940F4">
        <w:rPr>
          <w:noProof/>
        </w:rPr>
        <w:fldChar w:fldCharType="end"/>
      </w:r>
      <w:bookmarkEnd w:id="250"/>
      <w:r w:rsidRPr="00F529DD">
        <w:t xml:space="preserve"> </w:t>
      </w:r>
      <w:r w:rsidRPr="009B6881">
        <w:t>An E</w:t>
      </w:r>
      <w:r w:rsidR="00923126">
        <w:t xml:space="preserve">mpore </w:t>
      </w:r>
      <w:r w:rsidRPr="009B6881">
        <w:t>D</w:t>
      </w:r>
      <w:r w:rsidR="00923126">
        <w:t>isk</w:t>
      </w:r>
      <w:r w:rsidRPr="009B6881">
        <w:t xml:space="preserve"> being loaded into the </w:t>
      </w:r>
      <w:r w:rsidR="00FC7B6F">
        <w:t>t</w:t>
      </w:r>
      <w:r w:rsidR="00FC7B6F" w:rsidRPr="009B6881">
        <w:t xml:space="preserve">eflon </w:t>
      </w:r>
      <w:r w:rsidRPr="009B6881">
        <w:t>Chemcatcher housing (LHS) and an assembled housing ready for deployment (RHS)</w:t>
      </w:r>
      <w:bookmarkEnd w:id="251"/>
      <w:bookmarkEnd w:id="252"/>
    </w:p>
    <w:p w14:paraId="2C84F8DE" w14:textId="01A974F3" w:rsidR="00D2674D" w:rsidRPr="0058370B" w:rsidRDefault="00D2674D" w:rsidP="00D2674D">
      <w:pPr>
        <w:rPr>
          <w:rFonts w:cs="Arial"/>
          <w:b/>
        </w:rPr>
      </w:pPr>
      <w:r w:rsidRPr="00BC49A8">
        <w:rPr>
          <w:rFonts w:cs="Arial"/>
          <w:b/>
          <w:i/>
        </w:rPr>
        <w:t>In situ</w:t>
      </w:r>
      <w:r w:rsidRPr="0058370B">
        <w:rPr>
          <w:rFonts w:cs="Arial"/>
          <w:b/>
        </w:rPr>
        <w:t xml:space="preserve"> </w:t>
      </w:r>
      <w:r>
        <w:rPr>
          <w:rFonts w:cs="Arial"/>
          <w:b/>
        </w:rPr>
        <w:t>flow monitoring</w:t>
      </w:r>
      <w:r w:rsidRPr="0058370B">
        <w:rPr>
          <w:rFonts w:cs="Arial"/>
          <w:b/>
        </w:rPr>
        <w:t xml:space="preserve"> </w:t>
      </w:r>
      <w:r>
        <w:rPr>
          <w:rFonts w:cs="Arial"/>
          <w:b/>
        </w:rPr>
        <w:t xml:space="preserve">for </w:t>
      </w:r>
      <w:r w:rsidRPr="0058370B">
        <w:rPr>
          <w:rFonts w:cs="Arial"/>
          <w:b/>
        </w:rPr>
        <w:t xml:space="preserve"> Empore Disks </w:t>
      </w:r>
      <w:r>
        <w:rPr>
          <w:rFonts w:cs="Arial"/>
          <w:b/>
        </w:rPr>
        <w:t>sampling rate adjusment</w:t>
      </w:r>
    </w:p>
    <w:p w14:paraId="3C06630B" w14:textId="55A6FAB9" w:rsidR="00BB0109" w:rsidRPr="0058370B" w:rsidRDefault="00BB0109" w:rsidP="00B17A11">
      <w:pPr>
        <w:rPr>
          <w:rFonts w:cs="Arial"/>
        </w:rPr>
      </w:pPr>
      <w:r w:rsidRPr="0058370B">
        <w:rPr>
          <w:rFonts w:cs="Arial"/>
        </w:rPr>
        <w:t xml:space="preserve">Compound specific sampling rates have been determined for a broad suite of herbicides and are applied to the estimation of concentrations in water. Sampling rates are influenced by </w:t>
      </w:r>
      <w:r w:rsidRPr="00BC49A8">
        <w:rPr>
          <w:rFonts w:cs="Arial"/>
          <w:i/>
        </w:rPr>
        <w:t>in situ</w:t>
      </w:r>
      <w:r w:rsidRPr="0058370B">
        <w:rPr>
          <w:rFonts w:cs="Arial"/>
        </w:rPr>
        <w:t xml:space="preserve"> environmental conditions such as flow. A passive flow monitor (PFM), comprised of dental plaster cast into a plastic holder (</w:t>
      </w:r>
      <w:r w:rsidR="00BD3474" w:rsidRPr="00095A05">
        <w:rPr>
          <w:rFonts w:cs="Arial"/>
          <w:highlight w:val="yellow"/>
        </w:rPr>
        <w:fldChar w:fldCharType="begin"/>
      </w:r>
      <w:r w:rsidR="00BD3474" w:rsidRPr="00095A05">
        <w:rPr>
          <w:rFonts w:cs="Arial"/>
        </w:rPr>
        <w:instrText xml:space="preserve"> REF _Ref433714164 \h </w:instrText>
      </w:r>
      <w:r w:rsidR="00095A05" w:rsidRPr="00095A05">
        <w:rPr>
          <w:rFonts w:cs="Arial"/>
          <w:highlight w:val="yellow"/>
        </w:rPr>
        <w:instrText xml:space="preserve"> \* MERGEFORMAT </w:instrText>
      </w:r>
      <w:r w:rsidR="00BD3474" w:rsidRPr="00095A05">
        <w:rPr>
          <w:rFonts w:cs="Arial"/>
          <w:highlight w:val="yellow"/>
        </w:rPr>
      </w:r>
      <w:r w:rsidR="00BD3474" w:rsidRPr="00095A05">
        <w:rPr>
          <w:rFonts w:cs="Arial"/>
          <w:highlight w:val="yellow"/>
        </w:rPr>
        <w:fldChar w:fldCharType="separate"/>
      </w:r>
      <w:r w:rsidR="00D528AA" w:rsidRPr="00F529DD">
        <w:t xml:space="preserve">Figure </w:t>
      </w:r>
      <w:r w:rsidR="00D528AA">
        <w:rPr>
          <w:noProof/>
        </w:rPr>
        <w:t>4</w:t>
      </w:r>
      <w:r w:rsidR="00D528AA">
        <w:rPr>
          <w:noProof/>
        </w:rPr>
        <w:noBreakHyphen/>
        <w:t>3</w:t>
      </w:r>
      <w:r w:rsidR="00BD3474" w:rsidRPr="00095A05">
        <w:rPr>
          <w:rFonts w:cs="Arial"/>
          <w:highlight w:val="yellow"/>
        </w:rPr>
        <w:fldChar w:fldCharType="end"/>
      </w:r>
      <w:r w:rsidRPr="00095A05">
        <w:rPr>
          <w:rFonts w:cs="Arial"/>
        </w:rPr>
        <w:t>),</w:t>
      </w:r>
      <w:r w:rsidRPr="0058370B">
        <w:rPr>
          <w:rFonts w:cs="Arial"/>
        </w:rPr>
        <w:t xml:space="preserve"> </w:t>
      </w:r>
      <w:r w:rsidR="000E00C1">
        <w:rPr>
          <w:rFonts w:cs="Arial"/>
        </w:rPr>
        <w:t>was</w:t>
      </w:r>
      <w:r w:rsidRPr="0058370B">
        <w:rPr>
          <w:rFonts w:cs="Arial"/>
        </w:rPr>
        <w:t xml:space="preserve"> developed during the PhD of Dominique O’Brien at </w:t>
      </w:r>
      <w:r w:rsidR="008A5D0F">
        <w:rPr>
          <w:rFonts w:cs="Arial"/>
        </w:rPr>
        <w:t>QAEHS</w:t>
      </w:r>
      <w:r w:rsidRPr="0058370B">
        <w:rPr>
          <w:rFonts w:cs="Arial"/>
        </w:rPr>
        <w:t xml:space="preserve"> as a means of flow-adjusting sampling rates using an </w:t>
      </w:r>
      <w:r w:rsidRPr="00BC49A8">
        <w:rPr>
          <w:rFonts w:cs="Arial"/>
          <w:i/>
        </w:rPr>
        <w:t>in situ</w:t>
      </w:r>
      <w:r w:rsidRPr="0058370B">
        <w:rPr>
          <w:rFonts w:cs="Arial"/>
        </w:rPr>
        <w:t xml:space="preserve"> calibration device</w:t>
      </w:r>
      <w:r w:rsidR="009052E9">
        <w:rPr>
          <w:rFonts w:cs="Arial"/>
        </w:rPr>
        <w:t xml:space="preserve"> </w:t>
      </w:r>
      <w:r w:rsidR="00093D39">
        <w:rPr>
          <w:rFonts w:cs="Arial"/>
        </w:rPr>
        <w:fldChar w:fldCharType="begin"/>
      </w:r>
      <w:r w:rsidR="00093D39">
        <w:rPr>
          <w:rFonts w:cs="Arial"/>
        </w:rPr>
        <w:instrText xml:space="preserve"> ADDIN EN.CITE &lt;EndNote&gt;&lt;Cite&gt;&lt;Author&gt;O&amp;apos;Brien&lt;/Author&gt;&lt;Year&gt;2009&lt;/Year&gt;&lt;RecNum&gt;1319&lt;/RecNum&gt;&lt;DisplayText&gt;(O&amp;apos;Brien et al., 2009)&lt;/DisplayText&gt;&lt;record&gt;&lt;rec-number&gt;1319&lt;/rec-number&gt;&lt;foreign-keys&gt;&lt;key app="EN" db-id="zapfddtwo2e9z5e5vxoxafs7sf59wfp52rvf" timestamp="1558922379"&gt;1319&lt;/key&gt;&lt;/foreign-keys&gt;&lt;ref-type name="Journal Article"&gt;17&lt;/ref-type&gt;&lt;contributors&gt;&lt;authors&gt;&lt;author&gt;O&amp;apos;Brien, Dominique Sara&lt;/author&gt;&lt;author&gt;Chiswell, Barry&lt;/author&gt;&lt;author&gt;Mueller, Jochen F&lt;/author&gt;&lt;/authors&gt;&lt;/contributors&gt;&lt;titles&gt;&lt;title&gt;&lt;style face="normal" font="default" size="100%"&gt;A novel method for the &lt;/style&gt;&lt;style face="italic" font="default" size="100%"&gt;in situ&lt;/style&gt;&lt;style face="normal" font="default" size="100%"&gt; calibration of flow effects on a phosphate passive sampler&lt;/style&gt;&lt;/title&gt;&lt;secondary-title&gt;Journal of Environmental Monitoring&lt;/secondary-title&gt;&lt;/titles&gt;&lt;periodical&gt;&lt;full-title&gt;Journal of Environmental Monitoring&lt;/full-title&gt;&lt;abbr-1&gt;J. Environ. Monit.&lt;/abbr-1&gt;&lt;/periodical&gt;&lt;pages&gt;212-219&lt;/pages&gt;&lt;volume&gt;11&lt;/volume&gt;&lt;number&gt;1&lt;/number&gt;&lt;dates&gt;&lt;year&gt;2009&lt;/year&gt;&lt;/dates&gt;&lt;urls&gt;&lt;/urls&gt;&lt;electronic-resource-num&gt;10.1039/B809901D&lt;/electronic-resource-num&gt;&lt;/record&gt;&lt;/Cite&gt;&lt;/EndNote&gt;</w:instrText>
      </w:r>
      <w:r w:rsidR="00093D39">
        <w:rPr>
          <w:rFonts w:cs="Arial"/>
        </w:rPr>
        <w:fldChar w:fldCharType="separate"/>
      </w:r>
      <w:r w:rsidR="00093D39">
        <w:rPr>
          <w:rFonts w:cs="Arial"/>
          <w:noProof/>
        </w:rPr>
        <w:t>(O'Brien et al., 2009)</w:t>
      </w:r>
      <w:r w:rsidR="00093D39">
        <w:rPr>
          <w:rFonts w:cs="Arial"/>
        </w:rPr>
        <w:fldChar w:fldCharType="end"/>
      </w:r>
      <w:r w:rsidRPr="0058370B">
        <w:rPr>
          <w:rFonts w:cs="Arial"/>
        </w:rPr>
        <w:t>. The elimination rate of dental plaster from the PFM during the deployment is proportional to flow velocity, and the influence of ionic strength (salinity) on this process has been quantified</w:t>
      </w:r>
      <w:r w:rsidR="009052E9">
        <w:rPr>
          <w:rFonts w:cs="Arial"/>
        </w:rPr>
        <w:t xml:space="preserve"> </w:t>
      </w:r>
      <w:r w:rsidR="00093D39">
        <w:rPr>
          <w:rFonts w:cs="Arial"/>
        </w:rPr>
        <w:fldChar w:fldCharType="begin"/>
      </w:r>
      <w:r w:rsidR="00093D39">
        <w:rPr>
          <w:rFonts w:cs="Arial"/>
        </w:rPr>
        <w:instrText xml:space="preserve"> ADDIN EN.CITE &lt;EndNote&gt;&lt;Cite&gt;&lt;Author&gt;O’Brien&lt;/Author&gt;&lt;Year&gt;2011&lt;/Year&gt;&lt;RecNum&gt;1320&lt;/RecNum&gt;&lt;DisplayText&gt;(D. S. O’Brien et al., 2011)&lt;/DisplayText&gt;&lt;record&gt;&lt;rec-number&gt;1320&lt;/rec-number&gt;&lt;foreign-keys&gt;&lt;key app="EN" db-id="zapfddtwo2e9z5e5vxoxafs7sf59wfp52rvf" timestamp="1558922526"&gt;1320&lt;/key&gt;&lt;/foreign-keys&gt;&lt;ref-type name="Journal Article"&gt;17&lt;/ref-type&gt;&lt;contributors&gt;&lt;authors&gt;&lt;author&gt;O’Brien, Dominique S.&lt;/author&gt;&lt;author&gt;Booij, Kees&lt;/author&gt;&lt;author&gt;Hawker, Darryl W.&lt;/author&gt;&lt;author&gt;Mueller, Jochen F.&lt;/author&gt;&lt;/authors&gt;&lt;/contributors&gt;&lt;titles&gt;&lt;title&gt;&lt;style face="normal" font="default" size="100%"&gt;Method for the &lt;/style&gt;&lt;style face="italic" font="default" size="100%"&gt;in situ&lt;/style&gt;&lt;style face="normal" font="default" size="100%"&gt; calibration of a passive phosphate sampler in estuarine and marine waters&lt;/style&gt;&lt;/title&gt;&lt;secondary-title&gt;Environmental Science &amp;amp; Technology&lt;/secondary-title&gt;&lt;/titles&gt;&lt;periodical&gt;&lt;full-title&gt;Environmental Science &amp;amp; Technology&lt;/full-title&gt;&lt;/periodical&gt;&lt;pages&gt;2871-2877&lt;/pages&gt;&lt;volume&gt;45&lt;/volume&gt;&lt;number&gt;7&lt;/number&gt;&lt;dates&gt;&lt;year&gt;2011&lt;/year&gt;&lt;pub-dates&gt;&lt;date&gt;2011/04/01&lt;/date&gt;&lt;/pub-dates&gt;&lt;/dates&gt;&lt;publisher&gt;American Chemical Society&lt;/publisher&gt;&lt;isbn&gt;0013-936X&lt;/isbn&gt;&lt;urls&gt;&lt;related-urls&gt;&lt;url&gt;https://doi.org/10.1021/es101645z&lt;/url&gt;&lt;/related-urls&gt;&lt;/urls&gt;&lt;electronic-resource-num&gt;10.1021/es101645z&lt;/electronic-resource-num&gt;&lt;/record&gt;&lt;/Cite&gt;&lt;/EndNote&gt;</w:instrText>
      </w:r>
      <w:r w:rsidR="00093D39">
        <w:rPr>
          <w:rFonts w:cs="Arial"/>
        </w:rPr>
        <w:fldChar w:fldCharType="separate"/>
      </w:r>
      <w:r w:rsidR="00093D39">
        <w:rPr>
          <w:rFonts w:cs="Arial"/>
          <w:noProof/>
        </w:rPr>
        <w:t>(D. S. O’Brien et al., 2011)</w:t>
      </w:r>
      <w:r w:rsidR="00093D39">
        <w:rPr>
          <w:rFonts w:cs="Arial"/>
        </w:rPr>
        <w:fldChar w:fldCharType="end"/>
      </w:r>
      <w:r w:rsidRPr="0058370B">
        <w:rPr>
          <w:rFonts w:cs="Arial"/>
        </w:rPr>
        <w:t>. The sampling rates of reference chemicals in the ED, such as atrazine</w:t>
      </w:r>
      <w:r w:rsidR="00B17A11">
        <w:rPr>
          <w:rFonts w:cs="Arial"/>
        </w:rPr>
        <w:t>,</w:t>
      </w:r>
      <w:r w:rsidRPr="0058370B">
        <w:rPr>
          <w:rFonts w:cs="Arial"/>
        </w:rPr>
        <w:t xml:space="preserve"> have subsequently been cross-calibrated to the loss of plaster from the PFM under varying flow conditions</w:t>
      </w:r>
      <w:r w:rsidRPr="00095A05">
        <w:rPr>
          <w:rFonts w:cs="Arial"/>
        </w:rPr>
        <w:t xml:space="preserve"> (</w:t>
      </w:r>
      <w:r w:rsidR="00BD3474" w:rsidRPr="00095A05">
        <w:rPr>
          <w:rFonts w:cs="Arial"/>
          <w:highlight w:val="yellow"/>
        </w:rPr>
        <w:fldChar w:fldCharType="begin"/>
      </w:r>
      <w:r w:rsidR="00BD3474" w:rsidRPr="00095A05">
        <w:rPr>
          <w:rFonts w:cs="Arial"/>
        </w:rPr>
        <w:instrText xml:space="preserve"> REF _Ref433714195 \h </w:instrText>
      </w:r>
      <w:r w:rsidR="00095A05" w:rsidRPr="00095A05">
        <w:rPr>
          <w:rFonts w:cs="Arial"/>
          <w:highlight w:val="yellow"/>
        </w:rPr>
        <w:instrText xml:space="preserve"> \* MERGEFORMAT </w:instrText>
      </w:r>
      <w:r w:rsidR="00BD3474" w:rsidRPr="00095A05">
        <w:rPr>
          <w:rFonts w:cs="Arial"/>
          <w:highlight w:val="yellow"/>
        </w:rPr>
      </w:r>
      <w:r w:rsidR="00BD3474" w:rsidRPr="00095A05">
        <w:rPr>
          <w:rFonts w:cs="Arial"/>
          <w:highlight w:val="yellow"/>
        </w:rPr>
        <w:fldChar w:fldCharType="separate"/>
      </w:r>
      <w:r w:rsidR="00D528AA" w:rsidRPr="00F529DD">
        <w:t xml:space="preserve">Figure </w:t>
      </w:r>
      <w:r w:rsidR="00D528AA">
        <w:rPr>
          <w:noProof/>
        </w:rPr>
        <w:t>4</w:t>
      </w:r>
      <w:r w:rsidR="00D528AA">
        <w:rPr>
          <w:noProof/>
        </w:rPr>
        <w:noBreakHyphen/>
        <w:t>4</w:t>
      </w:r>
      <w:r w:rsidR="00BD3474" w:rsidRPr="00095A05">
        <w:rPr>
          <w:rFonts w:cs="Arial"/>
          <w:highlight w:val="yellow"/>
        </w:rPr>
        <w:fldChar w:fldCharType="end"/>
      </w:r>
      <w:r w:rsidRPr="0058370B">
        <w:rPr>
          <w:rFonts w:cs="Arial"/>
        </w:rPr>
        <w:t>)</w:t>
      </w:r>
      <w:r w:rsidR="009052E9">
        <w:rPr>
          <w:rFonts w:cs="Arial"/>
        </w:rPr>
        <w:t xml:space="preserve"> </w:t>
      </w:r>
      <w:r w:rsidR="00093D39">
        <w:rPr>
          <w:rFonts w:cs="Arial"/>
        </w:rPr>
        <w:fldChar w:fldCharType="begin"/>
      </w:r>
      <w:r w:rsidR="00093D39">
        <w:rPr>
          <w:rFonts w:cs="Arial"/>
        </w:rPr>
        <w:instrText xml:space="preserve"> ADDIN EN.CITE &lt;EndNote&gt;&lt;Cite&gt;&lt;Author&gt;O’Brien&lt;/Author&gt;&lt;Year&gt;2011&lt;/Year&gt;&lt;RecNum&gt;1321&lt;/RecNum&gt;&lt;DisplayText&gt;(D. O’Brien et al., 2011)&lt;/DisplayText&gt;&lt;record&gt;&lt;rec-number&gt;1321&lt;/rec-number&gt;&lt;foreign-keys&gt;&lt;key app="EN" db-id="zapfddtwo2e9z5e5vxoxafs7sf59wfp52rvf" timestamp="1558922583"&gt;1321&lt;/key&gt;&lt;/foreign-keys&gt;&lt;ref-type name="Journal Article"&gt;17&lt;/ref-type&gt;&lt;contributors&gt;&lt;authors&gt;&lt;author&gt;O’Brien, Dominique&lt;/author&gt;&lt;author&gt;Bartkow, Michael&lt;/author&gt;&lt;author&gt;Mueller, Jochen F.&lt;/author&gt;&lt;/authors&gt;&lt;/contributors&gt;&lt;titles&gt;&lt;title&gt;Determination of deployment specific chemical uptake rates for SDB-RPD Empore disk using a passive flow monitor (PFM)&lt;/title&gt;&lt;secondary-title&gt;Chemosphere&lt;/secondary-title&gt;&lt;/titles&gt;&lt;periodical&gt;&lt;full-title&gt;Chemosphere&lt;/full-title&gt;&lt;/periodical&gt;&lt;pages&gt;1290-1295&lt;/pages&gt;&lt;volume&gt;83&lt;/volume&gt;&lt;number&gt;9&lt;/number&gt;&lt;keywords&gt;&lt;keyword&gt;Herbicide&lt;/keyword&gt;&lt;keyword&gt;Passive sampling&lt;/keyword&gt;&lt;keyword&gt;SDB-Empore&lt;/keyword&gt;&lt;keyword&gt;Chemcatcher&lt;/keyword&gt;&lt;/keywords&gt;&lt;dates&gt;&lt;year&gt;2011&lt;/year&gt;&lt;pub-dates&gt;&lt;date&gt;2011/05/01/&lt;/date&gt;&lt;/pub-dates&gt;&lt;/dates&gt;&lt;isbn&gt;0045-6535&lt;/isbn&gt;&lt;urls&gt;&lt;related-urls&gt;&lt;url&gt;http://www.sciencedirect.com/science/article/pii/S0045653511002542&lt;/url&gt;&lt;/related-urls&gt;&lt;/urls&gt;&lt;electronic-resource-num&gt;https://doi.org/10.1016/j.chemosphere.2011.02.089&lt;/electronic-resource-num&gt;&lt;/record&gt;&lt;/Cite&gt;&lt;/EndNote&gt;</w:instrText>
      </w:r>
      <w:r w:rsidR="00093D39">
        <w:rPr>
          <w:rFonts w:cs="Arial"/>
        </w:rPr>
        <w:fldChar w:fldCharType="separate"/>
      </w:r>
      <w:r w:rsidR="00093D39">
        <w:rPr>
          <w:rFonts w:cs="Arial"/>
          <w:noProof/>
        </w:rPr>
        <w:t>(D. O’Brien et al., 2011)</w:t>
      </w:r>
      <w:r w:rsidR="00093D39">
        <w:rPr>
          <w:rFonts w:cs="Arial"/>
        </w:rPr>
        <w:fldChar w:fldCharType="end"/>
      </w:r>
      <w:r w:rsidRPr="0058370B">
        <w:rPr>
          <w:rFonts w:cs="Arial"/>
        </w:rPr>
        <w:t>.</w:t>
      </w:r>
      <w:r w:rsidR="009052E9" w:rsidRPr="0058370B">
        <w:rPr>
          <w:rFonts w:cs="Arial"/>
        </w:rPr>
        <w:t xml:space="preserve"> </w:t>
      </w:r>
    </w:p>
    <w:p w14:paraId="5C128179" w14:textId="77777777" w:rsidR="001C1BFA" w:rsidRDefault="00BB0109" w:rsidP="00FE2F59">
      <w:pPr>
        <w:keepNext/>
        <w:jc w:val="center"/>
      </w:pPr>
      <w:r w:rsidRPr="0058370B">
        <w:rPr>
          <w:rFonts w:cs="Arial"/>
          <w:noProof/>
          <w:lang w:eastAsia="en-AU"/>
        </w:rPr>
        <w:drawing>
          <wp:inline distT="0" distB="0" distL="0" distR="0" wp14:anchorId="040995D5" wp14:editId="7EC5BF7A">
            <wp:extent cx="5134932" cy="2133600"/>
            <wp:effectExtent l="0" t="0" r="8890" b="0"/>
            <wp:docPr id="6" name="Picture 19" descr="Passive flow monitors (PFMS) prior to deployment (LHS) and post-deployment (RHS)" title="Fig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jpg"/>
                    <pic:cNvPicPr/>
                  </pic:nvPicPr>
                  <pic:blipFill>
                    <a:blip r:embed="rId49" cstate="print"/>
                    <a:srcRect r="7986" b="49024"/>
                    <a:stretch>
                      <a:fillRect/>
                    </a:stretch>
                  </pic:blipFill>
                  <pic:spPr>
                    <a:xfrm>
                      <a:off x="0" y="0"/>
                      <a:ext cx="5134932" cy="2133600"/>
                    </a:xfrm>
                    <a:prstGeom prst="rect">
                      <a:avLst/>
                    </a:prstGeom>
                  </pic:spPr>
                </pic:pic>
              </a:graphicData>
            </a:graphic>
          </wp:inline>
        </w:drawing>
      </w:r>
    </w:p>
    <w:p w14:paraId="4CFDEF0D" w14:textId="693A8037" w:rsidR="00BB0109" w:rsidRPr="009B6881" w:rsidRDefault="001C1BFA" w:rsidP="007E5A3A">
      <w:pPr>
        <w:pStyle w:val="Caption"/>
      </w:pPr>
      <w:bookmarkStart w:id="253" w:name="_Ref433714164"/>
      <w:bookmarkStart w:id="254" w:name="_Toc12361623"/>
      <w:r w:rsidRPr="00F529DD">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4</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3</w:t>
      </w:r>
      <w:r w:rsidR="006940F4">
        <w:rPr>
          <w:noProof/>
        </w:rPr>
        <w:fldChar w:fldCharType="end"/>
      </w:r>
      <w:bookmarkEnd w:id="253"/>
      <w:r w:rsidRPr="00F529DD">
        <w:t xml:space="preserve"> </w:t>
      </w:r>
      <w:r w:rsidRPr="009B6881">
        <w:t xml:space="preserve">Passive flow </w:t>
      </w:r>
      <w:r w:rsidR="00B66A39">
        <w:t xml:space="preserve">monitors </w:t>
      </w:r>
      <w:r w:rsidR="000E00C1">
        <w:t>pre-</w:t>
      </w:r>
      <w:r w:rsidRPr="009B6881">
        <w:t>deployment (</w:t>
      </w:r>
      <w:r w:rsidR="0045293A">
        <w:t>left</w:t>
      </w:r>
      <w:r w:rsidRPr="009B6881">
        <w:t>) and post-deployment (</w:t>
      </w:r>
      <w:r w:rsidR="0045293A">
        <w:t>right</w:t>
      </w:r>
      <w:r w:rsidRPr="009B6881">
        <w:t>)</w:t>
      </w:r>
      <w:bookmarkEnd w:id="254"/>
    </w:p>
    <w:p w14:paraId="44C8955F" w14:textId="77777777" w:rsidR="001C1BFA" w:rsidRDefault="00BB0109" w:rsidP="00FE2F59">
      <w:pPr>
        <w:keepNext/>
        <w:jc w:val="center"/>
      </w:pPr>
      <w:r w:rsidRPr="0058370B">
        <w:rPr>
          <w:rFonts w:cs="Arial"/>
          <w:noProof/>
          <w:lang w:eastAsia="en-AU"/>
        </w:rPr>
        <w:drawing>
          <wp:inline distT="0" distB="0" distL="0" distR="0" wp14:anchorId="034FA6E2" wp14:editId="21C1CD72">
            <wp:extent cx="4314825" cy="2686050"/>
            <wp:effectExtent l="19050" t="19050" r="28575" b="19050"/>
            <wp:docPr id="7" name="Picture 4" descr=" The relationship between flow and the sampling rates of specific herbicides indicating a shift from aqueous boundary layer control to diffusion limiting membrane control under higher flow conditions" title="Fig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TRAZINE &amp; PROMETRYN.jpg"/>
                    <pic:cNvPicPr>
                      <a:picLocks noChangeAspect="1" noChangeArrowheads="1"/>
                    </pic:cNvPicPr>
                  </pic:nvPicPr>
                  <pic:blipFill>
                    <a:blip r:embed="rId50" cstate="print"/>
                    <a:srcRect/>
                    <a:stretch>
                      <a:fillRect/>
                    </a:stretch>
                  </pic:blipFill>
                  <pic:spPr bwMode="auto">
                    <a:xfrm>
                      <a:off x="0" y="0"/>
                      <a:ext cx="4314825" cy="2686050"/>
                    </a:xfrm>
                    <a:prstGeom prst="rect">
                      <a:avLst/>
                    </a:prstGeom>
                    <a:noFill/>
                    <a:ln w="9525" cmpd="sng">
                      <a:solidFill>
                        <a:srgbClr val="7F7F7F"/>
                      </a:solidFill>
                      <a:miter lim="800000"/>
                      <a:headEnd/>
                      <a:tailEnd/>
                    </a:ln>
                    <a:effectLst/>
                  </pic:spPr>
                </pic:pic>
              </a:graphicData>
            </a:graphic>
          </wp:inline>
        </w:drawing>
      </w:r>
    </w:p>
    <w:p w14:paraId="5E173A92" w14:textId="30F9307C" w:rsidR="00BB0109" w:rsidRPr="00F529DD" w:rsidRDefault="001C1BFA" w:rsidP="007E5A3A">
      <w:pPr>
        <w:pStyle w:val="Caption"/>
      </w:pPr>
      <w:bookmarkStart w:id="255" w:name="_Ref433714195"/>
      <w:bookmarkStart w:id="256" w:name="_Toc12361624"/>
      <w:r w:rsidRPr="00F529DD">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4</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4</w:t>
      </w:r>
      <w:r w:rsidR="006940F4">
        <w:rPr>
          <w:noProof/>
        </w:rPr>
        <w:fldChar w:fldCharType="end"/>
      </w:r>
      <w:bookmarkEnd w:id="255"/>
      <w:r w:rsidRPr="00F529DD">
        <w:t xml:space="preserve"> </w:t>
      </w:r>
      <w:r w:rsidR="000E00C1">
        <w:t>R</w:t>
      </w:r>
      <w:r w:rsidRPr="009B6881">
        <w:t>elationship between flow and sampling rates of specific herbicides indicating a shift from aqueous boundary layer control to diffusion limiting membrane control under higher flow conditions</w:t>
      </w:r>
      <w:bookmarkEnd w:id="256"/>
    </w:p>
    <w:p w14:paraId="67B305CE" w14:textId="77777777" w:rsidR="00361E6D" w:rsidRDefault="00361E6D" w:rsidP="00FE2F59">
      <w:pPr>
        <w:rPr>
          <w:rFonts w:cs="Arial"/>
        </w:rPr>
      </w:pPr>
    </w:p>
    <w:p w14:paraId="3C2EE3CF" w14:textId="0B495C5D" w:rsidR="00BB0109" w:rsidRPr="0058370B" w:rsidRDefault="00BB0109" w:rsidP="00FE2F59">
      <w:pPr>
        <w:rPr>
          <w:rFonts w:cs="Arial"/>
        </w:rPr>
      </w:pPr>
      <w:r w:rsidRPr="0058370B">
        <w:rPr>
          <w:rFonts w:cs="Arial"/>
        </w:rPr>
        <w:t xml:space="preserve">The </w:t>
      </w:r>
      <w:r w:rsidRPr="00BC49A8">
        <w:rPr>
          <w:rFonts w:cs="Arial"/>
          <w:i/>
        </w:rPr>
        <w:t>in situ</w:t>
      </w:r>
      <w:r w:rsidRPr="0058370B">
        <w:rPr>
          <w:rFonts w:cs="Arial"/>
        </w:rPr>
        <w:t xml:space="preserve"> calibration procedure of </w:t>
      </w:r>
      <w:r w:rsidR="000E00C1">
        <w:rPr>
          <w:rFonts w:cs="Arial"/>
        </w:rPr>
        <w:t>EDs</w:t>
      </w:r>
      <w:r w:rsidRPr="0058370B">
        <w:rPr>
          <w:rFonts w:cs="Arial"/>
        </w:rPr>
        <w:t xml:space="preserve"> employed at </w:t>
      </w:r>
      <w:r w:rsidR="008A5D0F">
        <w:rPr>
          <w:rFonts w:cs="Arial"/>
        </w:rPr>
        <w:t>QAEHS</w:t>
      </w:r>
      <w:r w:rsidRPr="0058370B">
        <w:rPr>
          <w:rFonts w:cs="Arial"/>
        </w:rPr>
        <w:t xml:space="preserve"> is:</w:t>
      </w:r>
    </w:p>
    <w:p w14:paraId="6DE63DD5" w14:textId="77777777" w:rsidR="00BB0109" w:rsidRPr="0058370B" w:rsidRDefault="00BB0109" w:rsidP="006C7E99">
      <w:pPr>
        <w:pStyle w:val="ListParagraph"/>
        <w:numPr>
          <w:ilvl w:val="0"/>
          <w:numId w:val="29"/>
        </w:numPr>
        <w:rPr>
          <w:rFonts w:cs="Arial"/>
        </w:rPr>
      </w:pPr>
      <w:r w:rsidRPr="0058370B">
        <w:rPr>
          <w:rFonts w:cs="Arial"/>
        </w:rPr>
        <w:t>PFMs are co-deployed alongside EDs.</w:t>
      </w:r>
    </w:p>
    <w:p w14:paraId="34DF1914" w14:textId="77777777" w:rsidR="00BB0109" w:rsidRPr="0058370B" w:rsidRDefault="00BB0109" w:rsidP="006C7E99">
      <w:pPr>
        <w:pStyle w:val="ListParagraph"/>
        <w:numPr>
          <w:ilvl w:val="0"/>
          <w:numId w:val="29"/>
        </w:numPr>
        <w:rPr>
          <w:rFonts w:cs="Arial"/>
        </w:rPr>
      </w:pPr>
      <w:r w:rsidRPr="0058370B">
        <w:rPr>
          <w:rFonts w:cs="Arial"/>
        </w:rPr>
        <w:t>Deployment in:</w:t>
      </w:r>
    </w:p>
    <w:p w14:paraId="6DD1E21D" w14:textId="77777777" w:rsidR="00BB0109" w:rsidRPr="0058370B" w:rsidRDefault="00BB0109" w:rsidP="006C7E99">
      <w:pPr>
        <w:pStyle w:val="ListParagraph"/>
        <w:numPr>
          <w:ilvl w:val="3"/>
          <w:numId w:val="30"/>
        </w:numPr>
        <w:ind w:left="1418"/>
        <w:rPr>
          <w:rFonts w:cs="Arial"/>
        </w:rPr>
      </w:pPr>
      <w:r w:rsidRPr="0058370B">
        <w:rPr>
          <w:rFonts w:cs="Arial"/>
        </w:rPr>
        <w:t>Wet season (one month).</w:t>
      </w:r>
    </w:p>
    <w:p w14:paraId="27DC682D" w14:textId="186920F2" w:rsidR="00BB0109" w:rsidRPr="0058370B" w:rsidRDefault="00BB0109" w:rsidP="006C7E99">
      <w:pPr>
        <w:pStyle w:val="ListParagraph"/>
        <w:numPr>
          <w:ilvl w:val="3"/>
          <w:numId w:val="30"/>
        </w:numPr>
        <w:ind w:left="1418"/>
        <w:rPr>
          <w:rFonts w:cs="Arial"/>
        </w:rPr>
      </w:pPr>
      <w:r w:rsidRPr="0058370B">
        <w:rPr>
          <w:rFonts w:cs="Arial"/>
        </w:rPr>
        <w:t>Dry season (two months) – with a flow-limiting cap (reduce</w:t>
      </w:r>
      <w:r w:rsidR="00B17A11">
        <w:rPr>
          <w:rFonts w:cs="Arial"/>
        </w:rPr>
        <w:t>s</w:t>
      </w:r>
      <w:r w:rsidRPr="0058370B">
        <w:rPr>
          <w:rFonts w:cs="Arial"/>
        </w:rPr>
        <w:t xml:space="preserve"> loss rate </w:t>
      </w:r>
      <w:r w:rsidR="00AA70D6" w:rsidRPr="0058370B">
        <w:rPr>
          <w:rFonts w:cs="Arial"/>
        </w:rPr>
        <w:t>by 15</w:t>
      </w:r>
      <w:r w:rsidR="006E7C0A">
        <w:rPr>
          <w:rFonts w:cs="Arial"/>
        </w:rPr>
        <w:t xml:space="preserve"> per cent</w:t>
      </w:r>
      <w:r w:rsidRPr="0058370B">
        <w:rPr>
          <w:rFonts w:cs="Arial"/>
        </w:rPr>
        <w:t>).</w:t>
      </w:r>
    </w:p>
    <w:p w14:paraId="4D9540B7" w14:textId="77777777" w:rsidR="00BB0109" w:rsidRPr="0058370B" w:rsidRDefault="00BB0109" w:rsidP="006C7E99">
      <w:pPr>
        <w:pStyle w:val="ListParagraph"/>
        <w:numPr>
          <w:ilvl w:val="0"/>
          <w:numId w:val="29"/>
        </w:numPr>
        <w:rPr>
          <w:rFonts w:cs="Arial"/>
        </w:rPr>
      </w:pPr>
      <w:r w:rsidRPr="0058370B">
        <w:rPr>
          <w:rFonts w:cs="Arial"/>
        </w:rPr>
        <w:t>The loss rate of plaster is determined while accounting for the influence of ionic strength.</w:t>
      </w:r>
    </w:p>
    <w:p w14:paraId="71E0996C" w14:textId="77777777" w:rsidR="00BB0109" w:rsidRPr="0058370B" w:rsidRDefault="00BB0109" w:rsidP="006C7E99">
      <w:pPr>
        <w:pStyle w:val="ListParagraph"/>
        <w:numPr>
          <w:ilvl w:val="0"/>
          <w:numId w:val="29"/>
        </w:numPr>
        <w:rPr>
          <w:rFonts w:cs="Arial"/>
        </w:rPr>
      </w:pPr>
      <w:r w:rsidRPr="0058370B">
        <w:rPr>
          <w:rFonts w:cs="Arial"/>
        </w:rPr>
        <w:t>The sampling rates of atrazine and prometryn are directly predicted from the PFM loss rate using models.</w:t>
      </w:r>
    </w:p>
    <w:p w14:paraId="5E206358" w14:textId="1CE4A2F1" w:rsidR="00D2674D" w:rsidRDefault="00BB0109" w:rsidP="00D2674D">
      <w:pPr>
        <w:rPr>
          <w:rFonts w:cs="Arial"/>
        </w:rPr>
      </w:pPr>
      <w:r w:rsidRPr="0058370B">
        <w:rPr>
          <w:rFonts w:cs="Arial"/>
        </w:rPr>
        <w:t>The sampling rates of other individual herbicides are predicted based on the average ratio of the R</w:t>
      </w:r>
      <w:r w:rsidRPr="0058370B">
        <w:rPr>
          <w:rFonts w:cs="Arial"/>
          <w:vertAlign w:val="subscript"/>
        </w:rPr>
        <w:t>s</w:t>
      </w:r>
      <w:r w:rsidRPr="0058370B">
        <w:rPr>
          <w:rFonts w:cs="Arial"/>
        </w:rPr>
        <w:t xml:space="preserve"> of atrazine to the individual herbicide R</w:t>
      </w:r>
      <w:r w:rsidRPr="0058370B">
        <w:rPr>
          <w:rFonts w:cs="Arial"/>
          <w:vertAlign w:val="subscript"/>
        </w:rPr>
        <w:t>S</w:t>
      </w:r>
      <w:r w:rsidRPr="0058370B">
        <w:rPr>
          <w:rFonts w:cs="Arial"/>
        </w:rPr>
        <w:t xml:space="preserve"> across multiple calibration studies</w:t>
      </w:r>
      <w:r w:rsidR="003D3303">
        <w:rPr>
          <w:rFonts w:cs="Arial"/>
        </w:rPr>
        <w:t xml:space="preserve"> </w:t>
      </w:r>
      <w:r w:rsidR="003D3303">
        <w:rPr>
          <w:rFonts w:cs="Arial"/>
        </w:rPr>
        <w:fldChar w:fldCharType="begin">
          <w:fldData xml:space="preserve">PEVuZE5vdGU+PENpdGU+PEF1dGhvcj5P4oCZQnJpZW48L0F1dGhvcj48WWVhcj4yMDExPC9ZZWFy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</w:fldData>
        </w:fldChar>
      </w:r>
      <w:r w:rsidR="003D3303">
        <w:rPr>
          <w:rFonts w:cs="Arial"/>
        </w:rPr>
        <w:instrText xml:space="preserve"> ADDIN EN.CITE </w:instrText>
      </w:r>
      <w:r w:rsidR="003D3303">
        <w:rPr>
          <w:rFonts w:cs="Arial"/>
        </w:rPr>
        <w:fldChar w:fldCharType="begin">
          <w:fldData xml:space="preserve">PEVuZE5vdGU+PENpdGU+PEF1dGhvcj5P4oCZQnJpZW48L0F1dGhvcj48WWVhcj4yMDExPC9ZZWFy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</w:fldData>
        </w:fldChar>
      </w:r>
      <w:r w:rsidR="003D3303">
        <w:rPr>
          <w:rFonts w:cs="Arial"/>
        </w:rPr>
        <w:instrText xml:space="preserve"> ADDIN EN.CITE.DATA </w:instrText>
      </w:r>
      <w:r w:rsidR="003D3303">
        <w:rPr>
          <w:rFonts w:cs="Arial"/>
        </w:rPr>
      </w:r>
      <w:r w:rsidR="003D3303">
        <w:rPr>
          <w:rFonts w:cs="Arial"/>
        </w:rPr>
        <w:fldChar w:fldCharType="end"/>
      </w:r>
      <w:r w:rsidR="003D3303">
        <w:rPr>
          <w:rFonts w:cs="Arial"/>
        </w:rPr>
      </w:r>
      <w:r w:rsidR="003D3303">
        <w:rPr>
          <w:rFonts w:cs="Arial"/>
        </w:rPr>
        <w:fldChar w:fldCharType="separate"/>
      </w:r>
      <w:r w:rsidR="003D3303">
        <w:rPr>
          <w:rFonts w:cs="Arial"/>
          <w:noProof/>
        </w:rPr>
        <w:t>(D. S. O’Brien et al., 2011; Shaw &amp; Mueller, 2009; Stephens et al., 2009; Vermeirssen et al., 2009)</w:t>
      </w:r>
      <w:r w:rsidR="003D3303">
        <w:rPr>
          <w:rFonts w:cs="Arial"/>
        </w:rPr>
        <w:fldChar w:fldCharType="end"/>
      </w:r>
      <w:r w:rsidRPr="0058370B">
        <w:rPr>
          <w:rFonts w:cs="Arial"/>
        </w:rPr>
        <w:t xml:space="preserve">. </w:t>
      </w:r>
      <w:r w:rsidR="003D3303">
        <w:rPr>
          <w:rFonts w:cs="Arial"/>
        </w:rPr>
        <w:t xml:space="preserve"> </w:t>
      </w:r>
      <w:r w:rsidRPr="0058370B">
        <w:rPr>
          <w:rFonts w:cs="Arial"/>
        </w:rPr>
        <w:t xml:space="preserve">For newly included target herbicides where there is no calibration data available, </w:t>
      </w:r>
      <w:r w:rsidR="008A5D0F">
        <w:rPr>
          <w:rFonts w:cs="Arial"/>
        </w:rPr>
        <w:t xml:space="preserve">QAEHS </w:t>
      </w:r>
      <w:r w:rsidRPr="0058370B">
        <w:rPr>
          <w:rFonts w:cs="Arial"/>
        </w:rPr>
        <w:t>may adopt the sampling rate of atrazine (and report this consistently throughout the monitoring program to allow inter</w:t>
      </w:r>
      <w:r w:rsidR="000E00C1">
        <w:rPr>
          <w:rFonts w:cs="Arial"/>
        </w:rPr>
        <w:t>-</w:t>
      </w:r>
      <w:r w:rsidRPr="0058370B">
        <w:rPr>
          <w:rFonts w:cs="Arial"/>
        </w:rPr>
        <w:t xml:space="preserve">site and inter-year comparisons) or present the data as ng accumulated per sampler per day. </w:t>
      </w:r>
      <w:r w:rsidR="00D054D5">
        <w:rPr>
          <w:rFonts w:cs="Arial"/>
        </w:rPr>
        <w:t>Chemicals for which the R</w:t>
      </w:r>
      <w:r w:rsidR="00D054D5">
        <w:rPr>
          <w:rFonts w:cs="Arial"/>
          <w:vertAlign w:val="subscript"/>
        </w:rPr>
        <w:t>s</w:t>
      </w:r>
      <w:r w:rsidR="00D054D5">
        <w:rPr>
          <w:rFonts w:cs="Arial"/>
        </w:rPr>
        <w:t xml:space="preserve"> of atrazine </w:t>
      </w:r>
      <w:r w:rsidR="00AA70D6">
        <w:rPr>
          <w:rFonts w:cs="Arial"/>
        </w:rPr>
        <w:t>are</w:t>
      </w:r>
      <w:r w:rsidR="00D054D5">
        <w:rPr>
          <w:rFonts w:cs="Arial"/>
        </w:rPr>
        <w:t xml:space="preserve"> assumed are highlighted red in </w:t>
      </w:r>
      <w:r w:rsidR="00D054D5" w:rsidRPr="007B5F3B">
        <w:rPr>
          <w:rFonts w:cs="Arial"/>
        </w:rPr>
        <w:t xml:space="preserve">Table </w:t>
      </w:r>
      <w:r w:rsidR="008A5D0F" w:rsidRPr="007B5F3B">
        <w:rPr>
          <w:rFonts w:cs="Arial"/>
        </w:rPr>
        <w:t>4</w:t>
      </w:r>
      <w:r w:rsidR="007B5F3B" w:rsidRPr="007B5F3B">
        <w:rPr>
          <w:rFonts w:cs="Arial"/>
        </w:rPr>
        <w:t>.</w:t>
      </w:r>
      <w:r w:rsidR="008A5D0F" w:rsidRPr="007B5F3B">
        <w:rPr>
          <w:rFonts w:cs="Arial"/>
        </w:rPr>
        <w:t>2</w:t>
      </w:r>
      <w:r w:rsidR="00D054D5">
        <w:rPr>
          <w:rFonts w:cs="Arial"/>
        </w:rPr>
        <w:t>. An in-field calibration would be beneficial in determining R</w:t>
      </w:r>
      <w:r w:rsidR="00D054D5">
        <w:rPr>
          <w:rFonts w:cs="Arial"/>
          <w:vertAlign w:val="subscript"/>
        </w:rPr>
        <w:t xml:space="preserve">s </w:t>
      </w:r>
      <w:r w:rsidR="00D054D5">
        <w:rPr>
          <w:rFonts w:cs="Arial"/>
        </w:rPr>
        <w:t>for the newly included chemicals.</w:t>
      </w:r>
      <w:r w:rsidR="00D2674D" w:rsidRPr="00D2674D">
        <w:rPr>
          <w:rFonts w:cs="Arial"/>
        </w:rPr>
        <w:t xml:space="preserve"> </w:t>
      </w:r>
    </w:p>
    <w:p w14:paraId="7BD28503" w14:textId="77777777" w:rsidR="00361E6D" w:rsidRPr="0058370B" w:rsidRDefault="00361E6D" w:rsidP="00D2674D">
      <w:pPr>
        <w:rPr>
          <w:rFonts w:cs="Arial"/>
        </w:rPr>
      </w:pPr>
    </w:p>
    <w:p w14:paraId="1B900E26" w14:textId="3407B17F" w:rsidR="00D2674D" w:rsidRPr="0067588D" w:rsidRDefault="00D2674D">
      <w:pPr>
        <w:pStyle w:val="Heading3"/>
      </w:pPr>
      <w:bookmarkStart w:id="257" w:name="_Toc12365590"/>
      <w:r w:rsidRPr="00E2020D">
        <w:t>Risk assessment metrics:</w:t>
      </w:r>
      <w:bookmarkEnd w:id="257"/>
      <w:r w:rsidRPr="00E2020D">
        <w:t xml:space="preserve"> </w:t>
      </w:r>
    </w:p>
    <w:p w14:paraId="007B7FDB" w14:textId="77777777" w:rsidR="00D2674D" w:rsidRPr="0058370B" w:rsidRDefault="00D2674D" w:rsidP="007529A8">
      <w:pPr>
        <w:pStyle w:val="BodyText"/>
      </w:pPr>
      <w:r>
        <w:t xml:space="preserve">i) </w:t>
      </w:r>
      <w:r w:rsidRPr="00901B06">
        <w:t>PSII herbicide equivalent concentrations</w:t>
      </w:r>
    </w:p>
    <w:p w14:paraId="4AAE9AC8" w14:textId="282C043D" w:rsidR="00D2674D" w:rsidRPr="0058370B" w:rsidRDefault="000E00C1" w:rsidP="00D2674D">
      <w:pPr>
        <w:rPr>
          <w:rFonts w:cs="Arial"/>
        </w:rPr>
      </w:pPr>
      <w:r>
        <w:rPr>
          <w:rFonts w:cs="Arial"/>
        </w:rPr>
        <w:t xml:space="preserve">PSII </w:t>
      </w:r>
      <w:r w:rsidR="00BB0109" w:rsidRPr="0058370B">
        <w:rPr>
          <w:rFonts w:cs="Arial"/>
        </w:rPr>
        <w:t>herbicides sampled by the SDB-RPS ED are a priority focus of the MMP pesticide monitoring due to the requirements of the Reef Water Quality Protection Plan</w:t>
      </w:r>
      <w:r w:rsidR="00051F0F">
        <w:rPr>
          <w:rFonts w:cs="Arial"/>
        </w:rPr>
        <w:t xml:space="preserve"> </w:t>
      </w:r>
      <w:r w:rsidR="00093D39">
        <w:rPr>
          <w:rFonts w:cs="Arial"/>
        </w:rPr>
        <w:fldChar w:fldCharType="begin"/>
      </w:r>
      <w:r w:rsidR="00093D39">
        <w:rPr>
          <w:rFonts w:cs="Arial"/>
        </w:rPr>
        <w:instrText xml:space="preserve"> ADDIN EN.CITE &lt;EndNote&gt;&lt;Cite&gt;&lt;Author&gt;Department of Premier and Cabinet&lt;/Author&gt;&lt;Year&gt;2009&lt;/Year&gt;&lt;RecNum&gt;1322&lt;/RecNum&gt;&lt;DisplayText&gt;(Department of Premier and Cabinet, 2009)&lt;/DisplayText&gt;&lt;record&gt;&lt;rec-number&gt;1322&lt;/rec-number&gt;&lt;foreign-keys&gt;&lt;key app="EN" db-id="zapfddtwo2e9z5e5vxoxafs7sf59wfp52rvf" timestamp="1558922911"&gt;1322&lt;/key&gt;&lt;/foreign-keys&gt;&lt;ref-type name="Report"&gt;27&lt;/ref-type&gt;&lt;contributors&gt;&lt;authors&gt;&lt;author&gt;Department of Premier and Cabinet,&lt;/author&gt;&lt;/authors&gt;&lt;/contributors&gt;&lt;titles&gt;&lt;title&gt;Reef Water Quality Protection Plan 2009 for the Great Barrier Reef World Heritage Area and Adjacent Catchments&lt;/title&gt;&lt;/titles&gt;&lt;dates&gt;&lt;year&gt;2009&lt;/year&gt;&lt;/dates&gt;&lt;pub-location&gt;Reef Water Quality Protection Plan Secretariat, DPC, Brisbane&lt;/pub-location&gt;&lt;urls&gt;&lt;related-urls&gt;&lt;url&gt;http://www.reefplan.qld.gov.au/resources/assets/reef-plan-2009.pdf&lt;/url&gt;&lt;/related-urls&gt;&lt;/urls&gt;&lt;access-date&gt;27/05/2019&lt;/access-date&gt;&lt;/record&gt;&lt;/Cite&gt;&lt;/EndNote&gt;</w:instrText>
      </w:r>
      <w:r w:rsidR="00093D39">
        <w:rPr>
          <w:rFonts w:cs="Arial"/>
        </w:rPr>
        <w:fldChar w:fldCharType="separate"/>
      </w:r>
      <w:r w:rsidR="00093D39">
        <w:rPr>
          <w:rFonts w:cs="Arial"/>
          <w:noProof/>
        </w:rPr>
        <w:t>(Department of Premier and Cabinet, 2009)</w:t>
      </w:r>
      <w:r w:rsidR="00093D39">
        <w:rPr>
          <w:rFonts w:cs="Arial"/>
        </w:rPr>
        <w:fldChar w:fldCharType="end"/>
      </w:r>
      <w:r w:rsidR="00BB0109" w:rsidRPr="0058370B">
        <w:rPr>
          <w:rFonts w:cs="Arial"/>
        </w:rPr>
        <w:t>.</w:t>
      </w:r>
      <w:r w:rsidR="00FB7CB3" w:rsidRPr="0058370B">
        <w:rPr>
          <w:rFonts w:cs="Arial"/>
        </w:rPr>
        <w:t xml:space="preserve"> </w:t>
      </w:r>
      <w:r w:rsidR="00FB7CB3" w:rsidRPr="008A7C0E">
        <w:rPr>
          <w:rFonts w:cs="Arial"/>
        </w:rPr>
        <w:t>The risk of PSII inhibition to Reef species may be underestimated when concentrations of herbicides are considered individually rather than as part of a more complex mixture.</w:t>
      </w:r>
      <w:r w:rsidR="00FB7CB3">
        <w:rPr>
          <w:rFonts w:cs="Arial"/>
        </w:rPr>
        <w:t xml:space="preserve"> </w:t>
      </w:r>
      <w:r w:rsidR="00E70587">
        <w:rPr>
          <w:rFonts w:cs="Arial"/>
        </w:rPr>
        <w:t>Therefore</w:t>
      </w:r>
      <w:r w:rsidR="00383250">
        <w:rPr>
          <w:rFonts w:cs="Arial"/>
        </w:rPr>
        <w:t>,</w:t>
      </w:r>
      <w:r w:rsidR="00383250" w:rsidRPr="0058370B" w:rsidDel="00FB7CB3">
        <w:rPr>
          <w:rFonts w:cs="Arial"/>
        </w:rPr>
        <w:t xml:space="preserve"> </w:t>
      </w:r>
      <w:r w:rsidR="00FB7CB3">
        <w:rPr>
          <w:rFonts w:cs="Arial"/>
        </w:rPr>
        <w:t>t</w:t>
      </w:r>
      <w:r w:rsidR="00FB7CB3" w:rsidRPr="0058370B">
        <w:rPr>
          <w:rFonts w:cs="Arial"/>
        </w:rPr>
        <w:t xml:space="preserve">he </w:t>
      </w:r>
      <w:r w:rsidR="00BB0109" w:rsidRPr="0058370B">
        <w:rPr>
          <w:rFonts w:cs="Arial"/>
        </w:rPr>
        <w:t xml:space="preserve">concentrations of individual </w:t>
      </w:r>
      <w:r>
        <w:rPr>
          <w:rFonts w:cs="Arial"/>
        </w:rPr>
        <w:t>PS</w:t>
      </w:r>
      <w:r w:rsidR="00BB0109" w:rsidRPr="0058370B">
        <w:rPr>
          <w:rFonts w:cs="Arial"/>
        </w:rPr>
        <w:t xml:space="preserve">II herbicides (ametryn, atrazine, diuron, hexazinone, flumeturon, prometryn, simazine and tebuthiuron) and atrazine transformation products (desethyl- and desiso-propyl – atrazine) </w:t>
      </w:r>
      <w:r w:rsidR="00D2674D" w:rsidRPr="0058370B">
        <w:rPr>
          <w:rFonts w:cs="Arial"/>
        </w:rPr>
        <w:t xml:space="preserve">are also expressed as a </w:t>
      </w:r>
      <w:r w:rsidR="00D2674D">
        <w:rPr>
          <w:rFonts w:cs="Arial"/>
        </w:rPr>
        <w:t>PS</w:t>
      </w:r>
      <w:r w:rsidR="00D2674D" w:rsidRPr="0058370B">
        <w:rPr>
          <w:rFonts w:cs="Arial"/>
        </w:rPr>
        <w:t xml:space="preserve">II herbicide equivalent concentration (PSII-HEq Equation </w:t>
      </w:r>
      <w:r w:rsidR="00D2674D">
        <w:rPr>
          <w:rFonts w:cs="Arial"/>
        </w:rPr>
        <w:t>1</w:t>
      </w:r>
      <w:r w:rsidR="00D2674D" w:rsidRPr="0058370B">
        <w:rPr>
          <w:rFonts w:cs="Arial"/>
        </w:rPr>
        <w:t>) and assessed against a PSII-HEq Index described previously</w:t>
      </w:r>
      <w:r w:rsidR="00D2674D">
        <w:rPr>
          <w:rFonts w:cs="Arial"/>
        </w:rPr>
        <w:t xml:space="preserve"> </w:t>
      </w:r>
      <w:r w:rsidR="00D2674D" w:rsidRPr="0058370B">
        <w:rPr>
          <w:rFonts w:cs="Arial"/>
        </w:rPr>
        <w:t>for reporting purposes</w:t>
      </w:r>
      <w:r w:rsidR="00D2674D">
        <w:rPr>
          <w:rFonts w:cs="Arial"/>
        </w:rPr>
        <w:t xml:space="preserve"> </w:t>
      </w:r>
      <w:r w:rsidR="00D2674D">
        <w:rPr>
          <w:rFonts w:cs="Arial"/>
        </w:rPr>
        <w:fldChar w:fldCharType="begin"/>
      </w:r>
      <w:r w:rsidR="00D2674D">
        <w:rPr>
          <w:rFonts w:cs="Arial"/>
        </w:rPr>
        <w:instrText xml:space="preserve"> ADDIN EN.CITE &lt;EndNote&gt;&lt;Cite&gt;&lt;Author&gt;Kennedy&lt;/Author&gt;&lt;Year&gt;2010&lt;/Year&gt;&lt;RecNum&gt;1318&lt;/RecNum&gt;&lt;DisplayText&gt;(Kennedy et al., 2010)&lt;/DisplayText&gt;&lt;record&gt;&lt;rec-number&gt;1318&lt;/rec-number&gt;&lt;foreign-keys&gt;&lt;key app="EN" db-id="zapfddtwo2e9z5e5vxoxafs7sf59wfp52rvf" timestamp="1558922005"&gt;1318&lt;/key&gt;&lt;/foreign-keys&gt;&lt;ref-type name="Report"&gt;27&lt;/ref-type&gt;&lt;contributors&gt;&lt;authors&gt;&lt;author&gt;Kennedy, K.&lt;/author&gt;&lt;author&gt;Bentley, C.&lt;/author&gt;&lt;author&gt;Paxman, C.&lt;/author&gt;&lt;author&gt;Dunn, A.&lt;/author&gt;&lt;author&gt;Heffernan, A.&lt;/author&gt;&lt;author&gt;Kaserzon, S.&lt;/author&gt;&lt;author&gt;Mueller, J.&lt;/author&gt;&lt;/authors&gt;&lt;/contributors&gt;&lt;titles&gt;&lt;title&gt;Monitoring of organic chemicals in the Great Barrier Reef Marine Park using time integrated monitoring tools (2009-2010).&lt;/title&gt;&lt;/titles&gt;&lt;dates&gt;&lt;year&gt;2010&lt;/year&gt;&lt;/dates&gt;&lt;pub-location&gt;National Research Centre for Environmental Toxicology (EnTox), University of Queensland, Brisbane&lt;/pub-location&gt;&lt;urls&gt;&lt;related-urls&gt;&lt;url&gt;https://espace.library.uq.edu.au/data/UQ_230971/reef.pdf?Expires=1559008263&amp;amp;Signature=XtYjJr81Ja6ICSMmo-XrQSGHqoFvMQlN8ING6sBsdk8OLPWhUfH08WNgxc1nqs1sq34~2Mc9EwgdmDOjku7yR-LzrXMrCYok4rcCd~rTAqugNIZ0VUQYr5Ad7AayUGvY6oSDbmGWKdZkl~33I-YabneTN1Eb5NvEA7mp-KLRkhYN3vVJdT0nNH7kBW4fwcxcbuvmQ0Xg3elVdD4TEy7e0C85EMONtohOnz6yV39XI3fwOHMhG456B42lts9~-gdFd4Zx1-f5HBO4SYc662NMk~mf2FJ1PQixyaMf-c2rmA-a8RsQQ6Uzk7fix8xmJH-RPaL8kxaF6Og7538gGgbMAg__&amp;amp;Key-Pair-Id=APKAJKNBJ4MJBJNC6NLQ&lt;/url&gt;&lt;/related-urls&gt;&lt;/urls&gt;&lt;access-date&gt;27/05/2019&lt;/access-date&gt;&lt;/record&gt;&lt;/Cite&gt;&lt;/EndNote&gt;</w:instrText>
      </w:r>
      <w:r w:rsidR="00D2674D">
        <w:rPr>
          <w:rFonts w:cs="Arial"/>
        </w:rPr>
        <w:fldChar w:fldCharType="separate"/>
      </w:r>
      <w:r w:rsidR="00D2674D">
        <w:rPr>
          <w:rFonts w:cs="Arial"/>
          <w:noProof/>
        </w:rPr>
        <w:t>(Kennedy et al., 2010)</w:t>
      </w:r>
      <w:r w:rsidR="00D2674D">
        <w:rPr>
          <w:rFonts w:cs="Arial"/>
        </w:rPr>
        <w:fldChar w:fldCharType="end"/>
      </w:r>
      <w:r w:rsidR="00D2674D" w:rsidRPr="0058370B">
        <w:rPr>
          <w:rFonts w:cs="Arial"/>
        </w:rPr>
        <w:t xml:space="preserve">. PSII-HEq provides a quantitative assessment of PSII herbicide mixture toxicity and assumes that these herbicides </w:t>
      </w:r>
      <w:r w:rsidR="00D2674D">
        <w:rPr>
          <w:rFonts w:cs="Arial"/>
        </w:rPr>
        <w:t xml:space="preserve">have an additive toxic mode of action </w:t>
      </w:r>
      <w:r w:rsidR="00D2674D">
        <w:rPr>
          <w:rFonts w:cs="Arial"/>
        </w:rPr>
        <w:fldChar w:fldCharType="begin"/>
      </w:r>
      <w:r w:rsidR="00D2674D">
        <w:rPr>
          <w:rFonts w:cs="Arial"/>
        </w:rPr>
        <w:instrText xml:space="preserve"> ADDIN EN.CITE &lt;EndNote&gt;&lt;Cite&gt;&lt;Author&gt;Escher&lt;/Author&gt;&lt;Year&gt;2006&lt;/Year&gt;&lt;RecNum&gt;1323&lt;/RecNum&gt;&lt;DisplayText&gt;(Escher et al., 2006)&lt;/DisplayText&gt;&lt;record&gt;&lt;rec-number&gt;1323&lt;/rec-number&gt;&lt;foreign-keys&gt;&lt;key app="EN" db-id="zapfddtwo2e9z5e5vxoxafs7sf59wfp52rvf" timestamp="1558925266"&gt;1323&lt;/key&gt;&lt;/foreign-keys&gt;&lt;ref-type name="Journal Article"&gt;17&lt;/ref-type&gt;&lt;contributors&gt;&lt;authors&gt;&lt;author&gt;Escher, Beate I.&lt;/author&gt;&lt;author&gt;Quayle, Pam&lt;/author&gt;&lt;author&gt;Muller, Renee&lt;/author&gt;&lt;author&gt;Schreiber, Ulrich&lt;/author&gt;&lt;author&gt;Mueller, Jochen F.&lt;/author&gt;&lt;/authors&gt;&lt;/contributors&gt;&lt;titles&gt;&lt;title&gt;Passive sampling of herbicides combined with effect analysis in algae using a novel high-throughput phytotoxicity assay (Maxi-Imaging-PAM)&lt;/title&gt;&lt;secondary-title&gt;Journal of Environmental Monitoring&lt;/secondary-title&gt;&lt;/titles&gt;&lt;periodical&gt;&lt;full-title&gt;Journal of Environmental Monitoring&lt;/full-title&gt;&lt;abbr-1&gt;J. Environ. Monit.&lt;/abbr-1&gt;&lt;/periodical&gt;&lt;pages&gt;456-464&lt;/pages&gt;&lt;volume&gt;8&lt;/volume&gt;&lt;number&gt;4&lt;/number&gt;&lt;dates&gt;&lt;year&gt;2006&lt;/year&gt;&lt;/dates&gt;&lt;publisher&gt;The Royal Society of Chemistry&lt;/publisher&gt;&lt;isbn&gt;1464-0325&lt;/isbn&gt;&lt;work-type&gt;10.1039/B517512G&lt;/work-type&gt;&lt;urls&gt;&lt;related-urls&gt;&lt;url&gt;http://dx.doi.org/10.1039/B517512G&lt;/url&gt;&lt;/related-urls&gt;&lt;/urls&gt;&lt;electronic-resource-num&gt;10.1039/B517512G&lt;/electronic-resource-num&gt;&lt;/record&gt;&lt;/Cite&gt;&lt;/EndNote&gt;</w:instrText>
      </w:r>
      <w:r w:rsidR="00D2674D">
        <w:rPr>
          <w:rFonts w:cs="Arial"/>
        </w:rPr>
        <w:fldChar w:fldCharType="separate"/>
      </w:r>
      <w:r w:rsidR="00D2674D">
        <w:rPr>
          <w:rFonts w:cs="Arial"/>
          <w:noProof/>
        </w:rPr>
        <w:t>(Escher et al., 2006)</w:t>
      </w:r>
      <w:r w:rsidR="00D2674D">
        <w:rPr>
          <w:rFonts w:cs="Arial"/>
        </w:rPr>
        <w:fldChar w:fldCharType="end"/>
      </w:r>
      <w:r w:rsidR="00D2674D" w:rsidRPr="0058370B">
        <w:rPr>
          <w:rFonts w:cs="Arial"/>
        </w:rPr>
        <w:t xml:space="preserve">. </w:t>
      </w:r>
    </w:p>
    <w:p w14:paraId="2774C64C" w14:textId="77777777" w:rsidR="00D2674D" w:rsidRPr="0058370B" w:rsidRDefault="00D2674D" w:rsidP="00D2674D">
      <w:pPr>
        <w:rPr>
          <w:rFonts w:cs="Arial"/>
        </w:rPr>
      </w:pPr>
      <w:r w:rsidRPr="0058370B">
        <w:rPr>
          <w:rFonts w:cs="Arial"/>
          <w:noProof/>
          <w:lang w:eastAsia="en-AU"/>
        </w:rPr>
        <mc:AlternateContent>
          <mc:Choice Requires="wps">
            <w:drawing>
              <wp:inline distT="0" distB="0" distL="0" distR="0" wp14:anchorId="71EF84F6" wp14:editId="0CCCCEF3">
                <wp:extent cx="5829300" cy="1438275"/>
                <wp:effectExtent l="0" t="0" r="19050" b="28575"/>
                <wp:docPr id="51" name="Rectangle 110" descr="This diagram explains the definition of Equation 3." title="Sampling Techniqu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14382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53D752A" w14:textId="3F1FB2FB" w:rsidR="00CB53E4" w:rsidRDefault="00CB53E4" w:rsidP="00D2674D">
                            <w:pPr>
                              <w:spacing w:before="0" w:after="0" w:line="240" w:lineRule="auto"/>
                              <w:contextualSpacing/>
                              <w:rPr>
                                <w:b/>
                              </w:rPr>
                            </w:pPr>
                            <w:r w:rsidRPr="00B14AD9">
                              <w:rPr>
                                <w:b/>
                              </w:rPr>
                              <w:t xml:space="preserve">Equation </w:t>
                            </w:r>
                            <w:r>
                              <w:rPr>
                                <w:b/>
                              </w:rPr>
                              <w:t>1</w:t>
                            </w:r>
                          </w:p>
                          <w:p w14:paraId="41C48BF2" w14:textId="77777777" w:rsidR="00CB53E4" w:rsidRPr="00B14AD9" w:rsidRDefault="00CB53E4" w:rsidP="00D2674D">
                            <w:pPr>
                              <w:spacing w:before="0" w:after="0" w:line="240" w:lineRule="auto"/>
                              <w:contextualSpacing/>
                            </w:pPr>
                            <w:r w:rsidRPr="00B14AD9">
                              <w:rPr>
                                <w:position w:val="-14"/>
                              </w:rPr>
                              <w:object w:dxaOrig="2450" w:dyaOrig="376" w14:anchorId="66DDA9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PSII minus HEq equals the sum of Ci times REPi" style="width:122.25pt;height:18.75pt" o:ole="">
                                  <v:imagedata r:id="rId51" o:title=""/>
                                </v:shape>
                                <o:OLEObject Type="Embed" ProgID="Equation.3" ShapeID="_x0000_i1026" DrawAspect="Content" ObjectID="_1627721002" r:id="rId52"/>
                              </w:object>
                            </w:r>
                          </w:p>
                          <w:p w14:paraId="2C39ABE4" w14:textId="77777777" w:rsidR="00CB53E4" w:rsidRDefault="00CB53E4" w:rsidP="00D2674D">
                            <w:pPr>
                              <w:spacing w:before="0" w:after="0" w:line="240" w:lineRule="auto"/>
                              <w:contextualSpacing/>
                              <w:rPr>
                                <w:rFonts w:eastAsia="SimSun"/>
                                <w:lang w:eastAsia="zh-CN"/>
                              </w:rPr>
                            </w:pPr>
                          </w:p>
                          <w:p w14:paraId="3B840FA9" w14:textId="77777777" w:rsidR="00CB53E4" w:rsidRPr="00FC5189" w:rsidRDefault="00CB53E4" w:rsidP="00D2674D">
                            <w:pPr>
                              <w:spacing w:before="0" w:after="0" w:line="240" w:lineRule="auto"/>
                              <w:contextualSpacing/>
                              <w:rPr>
                                <w:rFonts w:eastAsia="SimSun"/>
                                <w:lang w:eastAsia="zh-CN"/>
                              </w:rPr>
                            </w:pPr>
                            <w:r w:rsidRPr="00FC5189">
                              <w:rPr>
                                <w:rFonts w:eastAsia="SimSun"/>
                                <w:lang w:eastAsia="zh-CN"/>
                              </w:rPr>
                              <w:t>Where:</w:t>
                            </w:r>
                          </w:p>
                          <w:p w14:paraId="5459AB52" w14:textId="77777777" w:rsidR="00CB53E4" w:rsidRPr="00FC5189" w:rsidRDefault="00CB53E4" w:rsidP="00D2674D">
                            <w:pPr>
                              <w:spacing w:before="0" w:after="0" w:line="240" w:lineRule="auto"/>
                              <w:ind w:firstLine="720"/>
                              <w:contextualSpacing/>
                              <w:rPr>
                                <w:rFonts w:eastAsia="SimSun"/>
                                <w:lang w:eastAsia="zh-CN"/>
                              </w:rPr>
                            </w:pPr>
                            <w:r w:rsidRPr="00FC5189">
                              <w:rPr>
                                <w:rFonts w:eastAsia="SimSun"/>
                                <w:position w:val="-12"/>
                                <w:lang w:eastAsia="zh-CN"/>
                              </w:rPr>
                              <w:object w:dxaOrig="258" w:dyaOrig="376" w14:anchorId="60CCCF60">
                                <v:shape id="_x0000_i1028" type="#_x0000_t75" alt="Ci" style="width:12.75pt;height:18.75pt" o:ole="">
                                  <v:imagedata r:id="rId53" o:title=""/>
                                </v:shape>
                                <o:OLEObject Type="Embed" ProgID="Equation.3" ShapeID="_x0000_i1028" DrawAspect="Content" ObjectID="_1627721003" r:id="rId54"/>
                              </w:object>
                            </w:r>
                            <w:r w:rsidRPr="00FC5189">
                              <w:rPr>
                                <w:rFonts w:eastAsia="SimSun"/>
                                <w:lang w:eastAsia="zh-CN"/>
                              </w:rPr>
                              <w:t>(ng.L</w:t>
                            </w:r>
                            <w:r w:rsidRPr="00FC5189">
                              <w:rPr>
                                <w:rFonts w:eastAsia="SimSun"/>
                                <w:vertAlign w:val="superscript"/>
                                <w:lang w:eastAsia="zh-CN"/>
                              </w:rPr>
                              <w:t>-1</w:t>
                            </w:r>
                            <w:r w:rsidRPr="00FC5189">
                              <w:rPr>
                                <w:rFonts w:eastAsia="SimSun"/>
                                <w:lang w:eastAsia="zh-CN"/>
                              </w:rPr>
                              <w:t>) is the concentration of the individual PSII herbicide in water</w:t>
                            </w:r>
                            <w:r>
                              <w:rPr>
                                <w:rFonts w:eastAsia="SimSun"/>
                                <w:lang w:eastAsia="zh-CN"/>
                              </w:rPr>
                              <w:t>.</w:t>
                            </w:r>
                          </w:p>
                          <w:p w14:paraId="0F0E5C55" w14:textId="77777777" w:rsidR="00CB53E4" w:rsidRPr="00FC5189" w:rsidRDefault="00CB53E4" w:rsidP="00D2674D">
                            <w:pPr>
                              <w:spacing w:before="0" w:after="0" w:line="240" w:lineRule="auto"/>
                              <w:ind w:firstLine="720"/>
                              <w:contextualSpacing/>
                              <w:rPr>
                                <w:rFonts w:eastAsia="SimSun"/>
                                <w:lang w:eastAsia="zh-CN"/>
                              </w:rPr>
                            </w:pPr>
                            <w:r w:rsidRPr="00FC5189">
                              <w:rPr>
                                <w:rFonts w:eastAsia="SimSun"/>
                                <w:position w:val="-12"/>
                                <w:lang w:eastAsia="zh-CN"/>
                              </w:rPr>
                              <w:object w:dxaOrig="527" w:dyaOrig="376" w14:anchorId="2C3C6D65">
                                <v:shape id="_x0000_i1030" type="#_x0000_t75" alt="REPi" style="width:26.25pt;height:18.75pt" o:ole="">
                                  <v:imagedata r:id="rId55" o:title=""/>
                                </v:shape>
                                <o:OLEObject Type="Embed" ProgID="Equation.3" ShapeID="_x0000_i1030" DrawAspect="Content" ObjectID="_1627721004" r:id="rId56"/>
                              </w:object>
                            </w:r>
                            <w:r w:rsidRPr="00FC5189">
                              <w:rPr>
                                <w:rFonts w:eastAsia="SimSun"/>
                                <w:lang w:eastAsia="zh-CN"/>
                              </w:rPr>
                              <w:t xml:space="preserve"> (</w:t>
                            </w:r>
                            <w:r>
                              <w:rPr>
                                <w:rFonts w:eastAsia="SimSun"/>
                                <w:lang w:eastAsia="zh-CN"/>
                              </w:rPr>
                              <w:t>d</w:t>
                            </w:r>
                            <w:r w:rsidRPr="00FC5189">
                              <w:rPr>
                                <w:rFonts w:eastAsia="SimSun"/>
                                <w:lang w:eastAsia="zh-CN"/>
                              </w:rPr>
                              <w:t xml:space="preserve">imensionless) is the average relative potency of the individual </w:t>
                            </w:r>
                          </w:p>
                          <w:p w14:paraId="34F8DFCD" w14:textId="77777777" w:rsidR="00CB53E4" w:rsidRPr="00FC5189" w:rsidRDefault="00CB53E4" w:rsidP="00D2674D">
                            <w:pPr>
                              <w:spacing w:before="0" w:after="0" w:line="240" w:lineRule="auto"/>
                              <w:ind w:firstLine="720"/>
                              <w:contextualSpacing/>
                              <w:rPr>
                                <w:rFonts w:eastAsia="SimSun"/>
                                <w:lang w:eastAsia="zh-CN"/>
                              </w:rPr>
                            </w:pPr>
                            <w:r w:rsidRPr="00FC5189">
                              <w:rPr>
                                <w:rFonts w:eastAsia="SimSun"/>
                                <w:lang w:eastAsia="zh-CN"/>
                              </w:rPr>
                              <w:t>PSII herbicide with respect to the reference PSII herbicide diuron.</w:t>
                            </w:r>
                          </w:p>
                        </w:txbxContent>
                      </wps:txbx>
                      <wps:bodyPr rot="0" vert="horz" wrap="square" lIns="91440" tIns="45720" rIns="91440" bIns="45720" anchor="t" anchorCtr="0" upright="1">
                        <a:noAutofit/>
                      </wps:bodyPr>
                    </wps:wsp>
                  </a:graphicData>
                </a:graphic>
              </wp:inline>
            </w:drawing>
          </mc:Choice>
          <mc:Fallback>
            <w:pict>
              <v:rect w14:anchorId="71EF84F6" id="Rectangle 110" o:spid="_x0000_s1030" alt="Title: Sampling Technique - Description: This diagram explains the definition of Equation 3." style="width:459pt;height:11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" filled="f">
                <v:textbox>
                  <w:txbxContent>
                    <w:p w14:paraId="253D752A" w14:textId="3F1FB2FB" w:rsidR="00CB53E4" w:rsidRDefault="00CB53E4" w:rsidP="00D2674D">
                      <w:pPr>
                        <w:spacing w:before="0" w:after="0" w:line="240" w:lineRule="auto"/>
                        <w:contextualSpacing/>
                        <w:rPr>
                          <w:b/>
                        </w:rPr>
                      </w:pPr>
                      <w:r w:rsidRPr="00B14AD9">
                        <w:rPr>
                          <w:b/>
                        </w:rPr>
                        <w:t xml:space="preserve">Equation </w:t>
                      </w:r>
                      <w:r>
                        <w:rPr>
                          <w:b/>
                        </w:rPr>
                        <w:t>1</w:t>
                      </w:r>
                    </w:p>
                    <w:p w14:paraId="41C48BF2" w14:textId="77777777" w:rsidR="00CB53E4" w:rsidRPr="00B14AD9" w:rsidRDefault="00CB53E4" w:rsidP="00D2674D">
                      <w:pPr>
                        <w:spacing w:before="0" w:after="0" w:line="240" w:lineRule="auto"/>
                        <w:contextualSpacing/>
                      </w:pPr>
                      <w:r w:rsidRPr="00B14AD9">
                        <w:rPr>
                          <w:position w:val="-14"/>
                        </w:rPr>
                        <w:object w:dxaOrig="2450" w:dyaOrig="376" w14:anchorId="66DDA9ED">
                          <v:shape id="_x0000_i1026" type="#_x0000_t75" alt="PSII minus HEq equals the sum of Ci times REPi" style="width:122.25pt;height:18.75pt" o:ole="">
                            <v:imagedata r:id="rId51" o:title=""/>
                          </v:shape>
                          <o:OLEObject Type="Embed" ProgID="Equation.3" ShapeID="_x0000_i1026" DrawAspect="Content" ObjectID="_1627721002" r:id="rId57"/>
                        </w:object>
                      </w:r>
                    </w:p>
                    <w:p w14:paraId="2C39ABE4" w14:textId="77777777" w:rsidR="00CB53E4" w:rsidRDefault="00CB53E4" w:rsidP="00D2674D">
                      <w:pPr>
                        <w:spacing w:before="0" w:after="0" w:line="240" w:lineRule="auto"/>
                        <w:contextualSpacing/>
                        <w:rPr>
                          <w:rFonts w:eastAsia="SimSun"/>
                          <w:lang w:eastAsia="zh-CN"/>
                        </w:rPr>
                      </w:pPr>
                    </w:p>
                    <w:p w14:paraId="3B840FA9" w14:textId="77777777" w:rsidR="00CB53E4" w:rsidRPr="00FC5189" w:rsidRDefault="00CB53E4" w:rsidP="00D2674D">
                      <w:pPr>
                        <w:spacing w:before="0" w:after="0" w:line="240" w:lineRule="auto"/>
                        <w:contextualSpacing/>
                        <w:rPr>
                          <w:rFonts w:eastAsia="SimSun"/>
                          <w:lang w:eastAsia="zh-CN"/>
                        </w:rPr>
                      </w:pPr>
                      <w:r w:rsidRPr="00FC5189">
                        <w:rPr>
                          <w:rFonts w:eastAsia="SimSun"/>
                          <w:lang w:eastAsia="zh-CN"/>
                        </w:rPr>
                        <w:t>Where:</w:t>
                      </w:r>
                    </w:p>
                    <w:p w14:paraId="5459AB52" w14:textId="77777777" w:rsidR="00CB53E4" w:rsidRPr="00FC5189" w:rsidRDefault="00CB53E4" w:rsidP="00D2674D">
                      <w:pPr>
                        <w:spacing w:before="0" w:after="0" w:line="240" w:lineRule="auto"/>
                        <w:ind w:firstLine="720"/>
                        <w:contextualSpacing/>
                        <w:rPr>
                          <w:rFonts w:eastAsia="SimSun"/>
                          <w:lang w:eastAsia="zh-CN"/>
                        </w:rPr>
                      </w:pPr>
                      <w:r w:rsidRPr="00FC5189">
                        <w:rPr>
                          <w:rFonts w:eastAsia="SimSun"/>
                          <w:position w:val="-12"/>
                          <w:lang w:eastAsia="zh-CN"/>
                        </w:rPr>
                        <w:object w:dxaOrig="258" w:dyaOrig="376" w14:anchorId="60CCCF60">
                          <v:shape id="_x0000_i1028" type="#_x0000_t75" alt="Ci" style="width:12.75pt;height:18.75pt" o:ole="">
                            <v:imagedata r:id="rId53" o:title=""/>
                          </v:shape>
                          <o:OLEObject Type="Embed" ProgID="Equation.3" ShapeID="_x0000_i1028" DrawAspect="Content" ObjectID="_1627721003" r:id="rId58"/>
                        </w:object>
                      </w:r>
                      <w:r w:rsidRPr="00FC5189">
                        <w:rPr>
                          <w:rFonts w:eastAsia="SimSun"/>
                          <w:lang w:eastAsia="zh-CN"/>
                        </w:rPr>
                        <w:t>(ng.L</w:t>
                      </w:r>
                      <w:r w:rsidRPr="00FC5189">
                        <w:rPr>
                          <w:rFonts w:eastAsia="SimSun"/>
                          <w:vertAlign w:val="superscript"/>
                          <w:lang w:eastAsia="zh-CN"/>
                        </w:rPr>
                        <w:t>-1</w:t>
                      </w:r>
                      <w:r w:rsidRPr="00FC5189">
                        <w:rPr>
                          <w:rFonts w:eastAsia="SimSun"/>
                          <w:lang w:eastAsia="zh-CN"/>
                        </w:rPr>
                        <w:t>) is the concentration of the individual PSII herbicide in water</w:t>
                      </w:r>
                      <w:r>
                        <w:rPr>
                          <w:rFonts w:eastAsia="SimSun"/>
                          <w:lang w:eastAsia="zh-CN"/>
                        </w:rPr>
                        <w:t>.</w:t>
                      </w:r>
                    </w:p>
                    <w:p w14:paraId="0F0E5C55" w14:textId="77777777" w:rsidR="00CB53E4" w:rsidRPr="00FC5189" w:rsidRDefault="00CB53E4" w:rsidP="00D2674D">
                      <w:pPr>
                        <w:spacing w:before="0" w:after="0" w:line="240" w:lineRule="auto"/>
                        <w:ind w:firstLine="720"/>
                        <w:contextualSpacing/>
                        <w:rPr>
                          <w:rFonts w:eastAsia="SimSun"/>
                          <w:lang w:eastAsia="zh-CN"/>
                        </w:rPr>
                      </w:pPr>
                      <w:r w:rsidRPr="00FC5189">
                        <w:rPr>
                          <w:rFonts w:eastAsia="SimSun"/>
                          <w:position w:val="-12"/>
                          <w:lang w:eastAsia="zh-CN"/>
                        </w:rPr>
                        <w:object w:dxaOrig="527" w:dyaOrig="376" w14:anchorId="2C3C6D65">
                          <v:shape id="_x0000_i1030" type="#_x0000_t75" alt="REPi" style="width:26.25pt;height:18.75pt" o:ole="">
                            <v:imagedata r:id="rId55" o:title=""/>
                          </v:shape>
                          <o:OLEObject Type="Embed" ProgID="Equation.3" ShapeID="_x0000_i1030" DrawAspect="Content" ObjectID="_1627721004" r:id="rId59"/>
                        </w:object>
                      </w:r>
                      <w:r w:rsidRPr="00FC5189">
                        <w:rPr>
                          <w:rFonts w:eastAsia="SimSun"/>
                          <w:lang w:eastAsia="zh-CN"/>
                        </w:rPr>
                        <w:t xml:space="preserve"> (</w:t>
                      </w:r>
                      <w:r>
                        <w:rPr>
                          <w:rFonts w:eastAsia="SimSun"/>
                          <w:lang w:eastAsia="zh-CN"/>
                        </w:rPr>
                        <w:t>d</w:t>
                      </w:r>
                      <w:r w:rsidRPr="00FC5189">
                        <w:rPr>
                          <w:rFonts w:eastAsia="SimSun"/>
                          <w:lang w:eastAsia="zh-CN"/>
                        </w:rPr>
                        <w:t xml:space="preserve">imensionless) is the average relative potency of the individual </w:t>
                      </w:r>
                    </w:p>
                    <w:p w14:paraId="34F8DFCD" w14:textId="77777777" w:rsidR="00CB53E4" w:rsidRPr="00FC5189" w:rsidRDefault="00CB53E4" w:rsidP="00D2674D">
                      <w:pPr>
                        <w:spacing w:before="0" w:after="0" w:line="240" w:lineRule="auto"/>
                        <w:ind w:firstLine="720"/>
                        <w:contextualSpacing/>
                        <w:rPr>
                          <w:rFonts w:eastAsia="SimSun"/>
                          <w:lang w:eastAsia="zh-CN"/>
                        </w:rPr>
                      </w:pPr>
                      <w:r w:rsidRPr="00FC5189">
                        <w:rPr>
                          <w:rFonts w:eastAsia="SimSun"/>
                          <w:lang w:eastAsia="zh-CN"/>
                        </w:rPr>
                        <w:t>PSII herbicide with respect to the reference PSII herbicide diuron.</w:t>
                      </w:r>
                    </w:p>
                  </w:txbxContent>
                </v:textbox>
                <w10:anchorlock/>
              </v:rect>
            </w:pict>
          </mc:Fallback>
        </mc:AlternateContent>
      </w:r>
    </w:p>
    <w:p w14:paraId="45E80AB4" w14:textId="3B1DDA19" w:rsidR="00D2674D" w:rsidRPr="0058370B" w:rsidRDefault="00D2674D" w:rsidP="007529A8">
      <w:pPr>
        <w:pStyle w:val="BodyText"/>
      </w:pPr>
      <w:r>
        <w:t>ii) M</w:t>
      </w:r>
      <w:r w:rsidRPr="00901B06">
        <w:t>ultisubstance</w:t>
      </w:r>
      <w:r>
        <w:t xml:space="preserve">-potentially affected fraction </w:t>
      </w:r>
    </w:p>
    <w:p w14:paraId="78C90501" w14:textId="1DDDF3C6" w:rsidR="00F03F4C" w:rsidRPr="008A7C0E" w:rsidRDefault="00D054D5" w:rsidP="00D2674D">
      <w:pPr>
        <w:rPr>
          <w:rFonts w:cs="Arial"/>
          <w:color w:val="000000"/>
        </w:rPr>
      </w:pPr>
      <w:r w:rsidRPr="00984C3E">
        <w:rPr>
          <w:rFonts w:cs="Arial"/>
        </w:rPr>
        <w:t xml:space="preserve">Despite being widely used and simple to calculate, a limitation of the PSII-HEq approach is </w:t>
      </w:r>
      <w:r w:rsidR="000E00C1">
        <w:rPr>
          <w:rFonts w:cs="Arial"/>
        </w:rPr>
        <w:t xml:space="preserve">that </w:t>
      </w:r>
      <w:r w:rsidR="00F03F4C">
        <w:t>matched datasets should ideally be used to derive the potencies relative to a reference chemical (i.e. for each species tested, all PSII herbicides should be included in the same study to assess their toxicity relative to diuron)</w:t>
      </w:r>
      <w:r w:rsidR="00F03F4C" w:rsidRPr="00984C3E">
        <w:rPr>
          <w:rFonts w:cs="Arial"/>
        </w:rPr>
        <w:t>.</w:t>
      </w:r>
      <w:r w:rsidRPr="00984C3E">
        <w:rPr>
          <w:rFonts w:cs="Arial"/>
        </w:rPr>
        <w:t xml:space="preserve"> However, this seldom occurs and</w:t>
      </w:r>
      <w:r w:rsidR="000E00C1">
        <w:rPr>
          <w:rFonts w:cs="Arial"/>
        </w:rPr>
        <w:t>,</w:t>
      </w:r>
      <w:r w:rsidRPr="00984C3E">
        <w:rPr>
          <w:rFonts w:cs="Arial"/>
        </w:rPr>
        <w:t xml:space="preserve"> typically, datasets will have data for only a few select compounds. This requirement for matched datasets dramatically reduces the amount of data suitable to derive relative potencies</w:t>
      </w:r>
      <w:r w:rsidR="00437B0B">
        <w:rPr>
          <w:rFonts w:cs="Arial"/>
        </w:rPr>
        <w:t>.</w:t>
      </w:r>
    </w:p>
    <w:p w14:paraId="52D20281" w14:textId="46D80210" w:rsidR="00F03F4C" w:rsidRDefault="00F03F4C" w:rsidP="00510BBE">
      <w:pPr>
        <w:autoSpaceDE w:val="0"/>
        <w:autoSpaceDN w:val="0"/>
        <w:adjustRightInd w:val="0"/>
        <w:rPr>
          <w:rFonts w:cs="Arial"/>
          <w:color w:val="000000"/>
        </w:rPr>
      </w:pPr>
      <w:r w:rsidRPr="008A7C0E">
        <w:rPr>
          <w:rFonts w:cs="Arial"/>
          <w:color w:val="000000"/>
        </w:rPr>
        <w:t xml:space="preserve">The </w:t>
      </w:r>
      <w:r w:rsidR="00B66A39">
        <w:rPr>
          <w:rFonts w:cs="Arial"/>
        </w:rPr>
        <w:t>m</w:t>
      </w:r>
      <w:r w:rsidR="00B66A39" w:rsidRPr="00B66A39">
        <w:rPr>
          <w:rFonts w:cs="Arial"/>
        </w:rPr>
        <w:t>ultisubstance-potentially affected fraction</w:t>
      </w:r>
      <w:r w:rsidR="00B66A39">
        <w:rPr>
          <w:rFonts w:cs="Arial"/>
          <w:b/>
        </w:rPr>
        <w:t xml:space="preserve"> </w:t>
      </w:r>
      <w:r>
        <w:rPr>
          <w:rFonts w:cs="Arial"/>
          <w:color w:val="000000"/>
        </w:rPr>
        <w:t xml:space="preserve">ms-PAF method </w:t>
      </w:r>
      <w:r w:rsidRPr="008A7C0E">
        <w:rPr>
          <w:rFonts w:cs="Arial"/>
          <w:color w:val="000000"/>
        </w:rPr>
        <w:t xml:space="preserve">has been proposed as a more </w:t>
      </w:r>
      <w:r w:rsidR="00B66A39">
        <w:rPr>
          <w:rFonts w:cs="Arial"/>
          <w:color w:val="000000"/>
        </w:rPr>
        <w:t>relevant</w:t>
      </w:r>
      <w:r w:rsidRPr="008A7C0E">
        <w:rPr>
          <w:rFonts w:cs="Arial"/>
          <w:color w:val="000000"/>
        </w:rPr>
        <w:t xml:space="preserve"> approach to quantify the overall ecological risk of mixtures of pollutants for ecological communities</w:t>
      </w:r>
      <w:r w:rsidR="00051F0F">
        <w:rPr>
          <w:rFonts w:cs="Arial"/>
          <w:color w:val="000000"/>
        </w:rPr>
        <w:t xml:space="preserve"> </w:t>
      </w:r>
      <w:r w:rsidR="00093D39">
        <w:rPr>
          <w:rFonts w:cs="Arial"/>
          <w:color w:val="000000"/>
        </w:rPr>
        <w:fldChar w:fldCharType="begin"/>
      </w:r>
      <w:r w:rsidR="00093D39">
        <w:rPr>
          <w:rFonts w:cs="Arial"/>
          <w:color w:val="000000"/>
        </w:rPr>
        <w:instrText xml:space="preserve"> ADDIN EN.CITE &lt;EndNote&gt;&lt;Cite&gt;&lt;Author&gt;Traas&lt;/Author&gt;&lt;Year&gt;2002&lt;/Year&gt;&lt;RecNum&gt;1324&lt;/RecNum&gt;&lt;DisplayText&gt;(Traas et al., 2002)&lt;/DisplayText&gt;&lt;record&gt;&lt;rec-number&gt;1324&lt;/rec-number&gt;&lt;foreign-keys&gt;&lt;key app="EN" db-id="zapfddtwo2e9z5e5vxoxafs7sf59wfp52rvf" timestamp="1558925402"&gt;1324&lt;/key&gt;&lt;/foreign-keys&gt;&lt;ref-type name="Book Section"&gt;5&lt;/ref-type&gt;&lt;contributors&gt;&lt;authors&gt;&lt;author&gt;Traas, T. P.&lt;/author&gt;&lt;author&gt;van de Meent, D.&lt;/author&gt;&lt;author&gt;Posthuma, L.&lt;/author&gt;&lt;author&gt;Hamers, T.&lt;/author&gt;&lt;author&gt;Kater, B. J.&lt;/author&gt;&lt;author&gt;de Zwart, D.&lt;/author&gt;&lt;author&gt;Aldenberg, T.&lt;/author&gt;&lt;/authors&gt;&lt;secondary-authors&gt;&lt;author&gt;Posthuma, L.&lt;/author&gt;&lt;author&gt;Suter, G. W.&lt;/author&gt;&lt;author&gt;Traas, T. P.&lt;/author&gt;&lt;/secondary-authors&gt;&lt;/contributors&gt;&lt;auth-address&gt;86,&amp;#xD;1818,&lt;/auth-address&gt;&lt;titles&gt;&lt;title&gt;The potentially affected fraction as a measure of ecological risk&lt;/title&gt;&lt;secondary-title&gt;Species sensitivity distributions in ecotoxicology&lt;/secondary-title&gt;&lt;/titles&gt;&lt;pages&gt;315-344&lt;/pages&gt;&lt;keywords&gt;&lt;keyword&gt;toxische stoffen&lt;/keyword&gt;&lt;/keywords&gt;&lt;dates&gt;&lt;year&gt;2002&lt;/year&gt;&lt;/dates&gt;&lt;pub-location&gt;Lewis Publishers, Boca Raton, FL&lt;/pub-location&gt;&lt;isbn&gt;9781566705783&lt;/isbn&gt;&lt;urls&gt;&lt;/urls&gt;&lt;/record&gt;&lt;/Cite&gt;&lt;/EndNote&gt;</w:instrText>
      </w:r>
      <w:r w:rsidR="00093D39">
        <w:rPr>
          <w:rFonts w:cs="Arial"/>
          <w:color w:val="000000"/>
        </w:rPr>
        <w:fldChar w:fldCharType="separate"/>
      </w:r>
      <w:r w:rsidR="00093D39">
        <w:rPr>
          <w:rFonts w:cs="Arial"/>
          <w:noProof/>
          <w:color w:val="000000"/>
        </w:rPr>
        <w:t>(Traas et al., 2002)</w:t>
      </w:r>
      <w:r w:rsidR="00093D39">
        <w:rPr>
          <w:rFonts w:cs="Arial"/>
          <w:color w:val="000000"/>
        </w:rPr>
        <w:fldChar w:fldCharType="end"/>
      </w:r>
      <w:r w:rsidRPr="008A7C0E">
        <w:rPr>
          <w:rFonts w:cs="Arial"/>
          <w:color w:val="000000"/>
        </w:rPr>
        <w:t xml:space="preserve">. This approach is based on </w:t>
      </w:r>
      <w:r>
        <w:rPr>
          <w:rFonts w:cs="Arial"/>
          <w:color w:val="000000"/>
        </w:rPr>
        <w:t>species sensitivity distributions (</w:t>
      </w:r>
      <w:r w:rsidRPr="008A7C0E">
        <w:rPr>
          <w:rFonts w:cs="Arial"/>
          <w:color w:val="000000"/>
        </w:rPr>
        <w:t>SSDs</w:t>
      </w:r>
      <w:r>
        <w:rPr>
          <w:rFonts w:cs="Arial"/>
          <w:color w:val="000000"/>
        </w:rPr>
        <w:t>)</w:t>
      </w:r>
      <w:r w:rsidRPr="008A7C0E">
        <w:rPr>
          <w:rFonts w:cs="Arial"/>
          <w:color w:val="000000"/>
        </w:rPr>
        <w:t xml:space="preserve"> for all chemicals in a mixture</w:t>
      </w:r>
      <w:r w:rsidR="008106E6">
        <w:rPr>
          <w:rFonts w:cs="Arial"/>
          <w:color w:val="000000"/>
        </w:rPr>
        <w:t>,</w:t>
      </w:r>
      <w:r w:rsidRPr="008A7C0E">
        <w:rPr>
          <w:rFonts w:cs="Arial"/>
          <w:color w:val="000000"/>
        </w:rPr>
        <w:t xml:space="preserve"> and thus aligns more closely with the revised methods for proposed individual </w:t>
      </w:r>
      <w:r>
        <w:rPr>
          <w:rFonts w:cs="Arial"/>
          <w:color w:val="000000"/>
        </w:rPr>
        <w:t>water quality guideline value</w:t>
      </w:r>
      <w:r w:rsidRPr="008A7C0E">
        <w:rPr>
          <w:rFonts w:cs="Arial"/>
          <w:color w:val="000000"/>
        </w:rPr>
        <w:t xml:space="preserve"> derivation, as well as the risk-based approach adopted by the Paddock to Reef program. The PAF of species, i.e. percent of species in an ecosystem that will theoretically be affected at a given mixture environmental concentration, is considered an ecologically relevant assessment end point</w:t>
      </w:r>
      <w:r w:rsidR="008106E6">
        <w:rPr>
          <w:rFonts w:cs="Arial"/>
          <w:color w:val="000000"/>
        </w:rPr>
        <w:t>,</w:t>
      </w:r>
      <w:r w:rsidRPr="008A7C0E">
        <w:rPr>
          <w:rFonts w:cs="Arial"/>
          <w:color w:val="000000"/>
        </w:rPr>
        <w:t xml:space="preserve"> which bette</w:t>
      </w:r>
      <w:r>
        <w:rPr>
          <w:rFonts w:cs="Arial"/>
          <w:color w:val="000000"/>
        </w:rPr>
        <w:t xml:space="preserve">r suits the goals of </w:t>
      </w:r>
      <w:r w:rsidR="008106E6">
        <w:rPr>
          <w:rFonts w:cs="Arial"/>
          <w:color w:val="000000"/>
        </w:rPr>
        <w:t xml:space="preserve">the </w:t>
      </w:r>
      <w:r>
        <w:rPr>
          <w:rFonts w:cs="Arial"/>
          <w:color w:val="000000"/>
        </w:rPr>
        <w:t>Reef Plan.</w:t>
      </w:r>
    </w:p>
    <w:p w14:paraId="5DB6F48A" w14:textId="60D829F1" w:rsidR="00D054D5" w:rsidRDefault="00F03F4C" w:rsidP="00510BBE">
      <w:pPr>
        <w:rPr>
          <w:rFonts w:cs="Arial"/>
        </w:rPr>
      </w:pPr>
      <w:r w:rsidRPr="008A7C0E">
        <w:rPr>
          <w:rFonts w:cs="Arial"/>
          <w:color w:val="000000"/>
        </w:rPr>
        <w:t>Unlike the HEq method,</w:t>
      </w:r>
      <w:r w:rsidR="00747A4D">
        <w:rPr>
          <w:rFonts w:cs="Arial"/>
          <w:color w:val="000000"/>
        </w:rPr>
        <w:t xml:space="preserve"> the</w:t>
      </w:r>
      <w:r w:rsidRPr="008A7C0E">
        <w:rPr>
          <w:rFonts w:cs="Arial"/>
          <w:color w:val="000000"/>
        </w:rPr>
        <w:t xml:space="preserve"> ms-PAF can account for both additive and non-additive interactions</w:t>
      </w:r>
      <w:r w:rsidR="008106E6">
        <w:rPr>
          <w:rFonts w:cs="Arial"/>
          <w:color w:val="000000"/>
        </w:rPr>
        <w:t>,</w:t>
      </w:r>
      <w:r w:rsidR="008106E6" w:rsidRPr="008A7C0E">
        <w:rPr>
          <w:rFonts w:cs="Arial"/>
          <w:color w:val="000000"/>
        </w:rPr>
        <w:t xml:space="preserve"> </w:t>
      </w:r>
      <w:r w:rsidRPr="008A7C0E">
        <w:rPr>
          <w:rFonts w:cs="Arial"/>
          <w:color w:val="000000"/>
        </w:rPr>
        <w:t>i.e. it can determine a cumulative toxicity for a mixture of chemicals with the same toxic mode of action (</w:t>
      </w:r>
      <w:r w:rsidR="008106E6">
        <w:rPr>
          <w:rFonts w:cs="Arial"/>
          <w:color w:val="000000"/>
        </w:rPr>
        <w:t>for example,</w:t>
      </w:r>
      <w:r w:rsidRPr="008A7C0E">
        <w:rPr>
          <w:rFonts w:cs="Arial"/>
          <w:color w:val="000000"/>
        </w:rPr>
        <w:t xml:space="preserve"> for PSII inhibition, effects are assumed additive for all PSII-inhibiting herbicides in a mixture), but also for a mixture of chemicals with different modes of action (non-additive model). Non-additive interactions are an important consideration given the apparent shift towards </w:t>
      </w:r>
      <w:r w:rsidR="008106E6">
        <w:rPr>
          <w:rFonts w:cs="Arial"/>
          <w:color w:val="000000"/>
        </w:rPr>
        <w:t xml:space="preserve">the </w:t>
      </w:r>
      <w:r w:rsidRPr="008A7C0E">
        <w:rPr>
          <w:rFonts w:cs="Arial"/>
          <w:color w:val="000000"/>
        </w:rPr>
        <w:t xml:space="preserve">use of alternative pesticides with different modes of action in the Reef catchments. </w:t>
      </w:r>
      <w:r>
        <w:rPr>
          <w:rFonts w:cs="Arial"/>
        </w:rPr>
        <w:t xml:space="preserve">At present, </w:t>
      </w:r>
      <w:r w:rsidR="00D054D5">
        <w:rPr>
          <w:rFonts w:cs="Arial"/>
        </w:rPr>
        <w:t>however</w:t>
      </w:r>
      <w:r w:rsidR="008106E6">
        <w:rPr>
          <w:rFonts w:cs="Arial"/>
        </w:rPr>
        <w:t>,</w:t>
      </w:r>
      <w:r w:rsidR="00D054D5" w:rsidRPr="002156E5">
        <w:rPr>
          <w:rFonts w:cs="Arial"/>
        </w:rPr>
        <w:t xml:space="preserve"> only the additive model is being implemented</w:t>
      </w:r>
      <w:r>
        <w:rPr>
          <w:rFonts w:cs="Arial"/>
        </w:rPr>
        <w:t xml:space="preserve"> (for PSII inhibiting herbicides</w:t>
      </w:r>
      <w:r w:rsidR="00D054D5" w:rsidRPr="002156E5">
        <w:rPr>
          <w:rFonts w:cs="Arial"/>
        </w:rPr>
        <w:t xml:space="preserve"> and SSDs for the full suite of priority chemicals</w:t>
      </w:r>
      <w:r w:rsidR="00D054D5">
        <w:rPr>
          <w:rFonts w:cs="Arial"/>
        </w:rPr>
        <w:t xml:space="preserve"> are currently under development)</w:t>
      </w:r>
      <w:r w:rsidR="00D054D5" w:rsidRPr="002156E5">
        <w:rPr>
          <w:rFonts w:cs="Arial"/>
        </w:rPr>
        <w:t>. The benefit</w:t>
      </w:r>
      <w:r w:rsidR="00D054D5">
        <w:rPr>
          <w:rFonts w:cs="Arial"/>
        </w:rPr>
        <w:t>s</w:t>
      </w:r>
      <w:r w:rsidR="00D054D5" w:rsidRPr="002156E5">
        <w:rPr>
          <w:rFonts w:cs="Arial"/>
        </w:rPr>
        <w:t xml:space="preserve"> </w:t>
      </w:r>
      <w:r w:rsidR="00D054D5">
        <w:rPr>
          <w:rFonts w:cs="Arial"/>
        </w:rPr>
        <w:t xml:space="preserve">and rationale </w:t>
      </w:r>
      <w:r w:rsidR="00D054D5" w:rsidRPr="002156E5">
        <w:rPr>
          <w:rFonts w:cs="Arial"/>
        </w:rPr>
        <w:t>of adopting this method</w:t>
      </w:r>
      <w:r w:rsidR="00D054D5">
        <w:rPr>
          <w:rFonts w:cs="Arial"/>
        </w:rPr>
        <w:t xml:space="preserve"> include:</w:t>
      </w:r>
      <w:r w:rsidR="00D054D5" w:rsidRPr="002156E5">
        <w:rPr>
          <w:rFonts w:cs="Arial"/>
        </w:rPr>
        <w:t xml:space="preserve"> </w:t>
      </w:r>
    </w:p>
    <w:p w14:paraId="4ED03EA1" w14:textId="5FCDEEF8" w:rsidR="00D054D5" w:rsidRPr="006832C0" w:rsidRDefault="00D054D5" w:rsidP="006C7E99">
      <w:pPr>
        <w:pStyle w:val="ListParagraph"/>
        <w:numPr>
          <w:ilvl w:val="0"/>
          <w:numId w:val="31"/>
        </w:numPr>
        <w:rPr>
          <w:rFonts w:cs="Arial"/>
        </w:rPr>
      </w:pPr>
      <w:r w:rsidRPr="006832C0">
        <w:rPr>
          <w:rFonts w:cs="Arial"/>
        </w:rPr>
        <w:t>It does not rely on matched toxicity datasets (as the HEq method does) and therefore more data can be used to generate more robust estimates of risk</w:t>
      </w:r>
      <w:r w:rsidR="008106E6">
        <w:rPr>
          <w:rFonts w:cs="Arial"/>
        </w:rPr>
        <w:t>.</w:t>
      </w:r>
    </w:p>
    <w:p w14:paraId="25FF80EE" w14:textId="26AE464B" w:rsidR="00D054D5" w:rsidRPr="006832C0" w:rsidRDefault="00D054D5" w:rsidP="006C7E99">
      <w:pPr>
        <w:pStyle w:val="ListParagraph"/>
        <w:numPr>
          <w:ilvl w:val="0"/>
          <w:numId w:val="31"/>
        </w:numPr>
        <w:rPr>
          <w:rFonts w:cs="Arial"/>
        </w:rPr>
      </w:pPr>
      <w:r w:rsidRPr="006832C0">
        <w:rPr>
          <w:rFonts w:cs="Arial"/>
        </w:rPr>
        <w:t xml:space="preserve">The use of SSDs is consistent with the Australian and New Zealand Guidelines for Fresh and Marine </w:t>
      </w:r>
      <w:r w:rsidR="008106E6">
        <w:rPr>
          <w:rFonts w:cs="Arial"/>
        </w:rPr>
        <w:t xml:space="preserve">Water </w:t>
      </w:r>
      <w:r w:rsidR="00F03F4C" w:rsidRPr="00197C57">
        <w:rPr>
          <w:rFonts w:cs="Arial"/>
        </w:rPr>
        <w:t>Quality</w:t>
      </w:r>
      <w:r w:rsidR="00051F0F">
        <w:rPr>
          <w:rFonts w:cs="Arial"/>
        </w:rPr>
        <w:t xml:space="preserve"> </w:t>
      </w:r>
      <w:r w:rsidR="00093D39">
        <w:rPr>
          <w:rFonts w:cs="Arial"/>
        </w:rPr>
        <w:fldChar w:fldCharType="begin"/>
      </w:r>
      <w:r w:rsidR="00093D39">
        <w:rPr>
          <w:rFonts w:cs="Arial"/>
        </w:rPr>
        <w:instrText xml:space="preserve"> ADDIN EN.CITE &lt;EndNote&gt;&lt;Cite&gt;&lt;Author&gt;Australian and New Zealand Environment and Conservation Council (ANZECC) and Agriculture and Resource Management Council of Australia and New Zealand (ARMCANZ)&lt;/Author&gt;&lt;Year&gt;2000&lt;/Year&gt;&lt;RecNum&gt;1294&lt;/RecNum&gt;&lt;DisplayText&gt;(Australian and New Zealand Environment and Conservation Council (ANZECC) and Agriculture and Resource Management Council of Australia and New Zealand (ARMCANZ), 2000)&lt;/DisplayText&gt;&lt;record&gt;&lt;rec-number&gt;1294&lt;/rec-number&gt;&lt;foreign-keys&gt;&lt;key app="EN" db-id="zapfddtwo2e9z5e5vxoxafs7sf59wfp52rvf" timestamp="1558666891"&gt;1294&lt;/key&gt;&lt;/foreign-keys&gt;&lt;ref-type name="Report"&gt;27&lt;/ref-type&gt;&lt;contributors&gt;&lt;authors&gt;&lt;author&gt;Australian and New Zealand Environment and Conservation Council (ANZECC) and Agriculture and Resource Management Council of Australia and New Zealand (ARMCANZ),&lt;/author&gt;&lt;/authors&gt;&lt;/contributors&gt;&lt;titles&gt;&lt;title&gt;Australian and New Zealand guidelines for fresh and marine water quality, National Water Quality Management Strategy Paper No 4&lt;/title&gt;&lt;/titles&gt;&lt;dates&gt;&lt;year&gt;2000&lt;/year&gt;&lt;/dates&gt;&lt;pub-location&gt;ANZECC and ARMCANZ, Canberra&lt;/pub-location&gt;&lt;urls&gt;&lt;related-urls&gt;&lt;url&gt;https://www.environment.gov.au/about-us/publications/archive&lt;/url&gt;&lt;/related-urls&gt;&lt;/urls&gt;&lt;access-date&gt;23/05/2019&lt;/access-date&gt;&lt;/record&gt;&lt;/Cite&gt;&lt;/EndNote&gt;</w:instrText>
      </w:r>
      <w:r w:rsidR="00093D39">
        <w:rPr>
          <w:rFonts w:cs="Arial"/>
        </w:rPr>
        <w:fldChar w:fldCharType="separate"/>
      </w:r>
      <w:r w:rsidR="00093D39">
        <w:rPr>
          <w:rFonts w:cs="Arial"/>
          <w:noProof/>
        </w:rPr>
        <w:t>(Australian and New Zealand Environment and Conservation Council (ANZECC) and Agriculture and Resource Management Council of Australia and New Zealand (ARMCANZ), 2000)</w:t>
      </w:r>
      <w:r w:rsidR="00093D39">
        <w:rPr>
          <w:rFonts w:cs="Arial"/>
        </w:rPr>
        <w:fldChar w:fldCharType="end"/>
      </w:r>
      <w:r w:rsidR="008106E6">
        <w:rPr>
          <w:rFonts w:cs="Arial"/>
        </w:rPr>
        <w:t xml:space="preserve"> </w:t>
      </w:r>
      <w:r w:rsidR="007B5F3B">
        <w:rPr>
          <w:rFonts w:cs="Arial"/>
        </w:rPr>
        <w:t>a</w:t>
      </w:r>
      <w:r w:rsidRPr="006832C0">
        <w:rPr>
          <w:rFonts w:cs="Arial"/>
        </w:rPr>
        <w:t>nd with the risk-based approach of the Paddock to Reef Program</w:t>
      </w:r>
      <w:r w:rsidR="008106E6">
        <w:rPr>
          <w:rFonts w:cs="Arial"/>
        </w:rPr>
        <w:t>.</w:t>
      </w:r>
      <w:r w:rsidR="008106E6" w:rsidRPr="006832C0">
        <w:rPr>
          <w:rFonts w:cs="Arial"/>
        </w:rPr>
        <w:t xml:space="preserve"> </w:t>
      </w:r>
    </w:p>
    <w:p w14:paraId="5601E727" w14:textId="2702F3A0" w:rsidR="00D054D5" w:rsidRPr="00F03F4C" w:rsidRDefault="00D054D5" w:rsidP="006C7E99">
      <w:pPr>
        <w:pStyle w:val="ListParagraph"/>
        <w:numPr>
          <w:ilvl w:val="0"/>
          <w:numId w:val="31"/>
        </w:numPr>
        <w:rPr>
          <w:rFonts w:cs="Arial"/>
        </w:rPr>
      </w:pPr>
      <w:r w:rsidRPr="00F03F4C">
        <w:rPr>
          <w:rFonts w:cs="Arial"/>
        </w:rPr>
        <w:t>The risk is quantified in easy to understand terms of a percentage of species that will theoretically be effected (i.e. protecting 95</w:t>
      </w:r>
      <w:r w:rsidR="006E7C0A">
        <w:rPr>
          <w:rFonts w:cs="Arial"/>
        </w:rPr>
        <w:t xml:space="preserve"> per cent</w:t>
      </w:r>
      <w:r w:rsidRPr="00F03F4C">
        <w:rPr>
          <w:rFonts w:cs="Arial"/>
        </w:rPr>
        <w:t xml:space="preserve"> of species is better than protecting 75</w:t>
      </w:r>
      <w:r w:rsidR="006E7C0A">
        <w:rPr>
          <w:rFonts w:cs="Arial"/>
        </w:rPr>
        <w:t xml:space="preserve"> per cent</w:t>
      </w:r>
      <w:r w:rsidRPr="00F03F4C">
        <w:rPr>
          <w:rFonts w:cs="Arial"/>
        </w:rPr>
        <w:t xml:space="preserve">) and again </w:t>
      </w:r>
      <w:r w:rsidR="008106E6">
        <w:rPr>
          <w:rFonts w:cs="Arial"/>
        </w:rPr>
        <w:t xml:space="preserve">is </w:t>
      </w:r>
      <w:r w:rsidRPr="00F03F4C">
        <w:rPr>
          <w:rFonts w:cs="Arial"/>
        </w:rPr>
        <w:t xml:space="preserve">consistent with the Australian and New Zealand Guidelines for Fresh and Marine </w:t>
      </w:r>
      <w:r w:rsidR="008106E6">
        <w:rPr>
          <w:rFonts w:cs="Arial"/>
        </w:rPr>
        <w:t xml:space="preserve">Water </w:t>
      </w:r>
      <w:r w:rsidR="00F03F4C" w:rsidRPr="00F03F4C">
        <w:rPr>
          <w:rFonts w:cs="Arial"/>
        </w:rPr>
        <w:t>Quality</w:t>
      </w:r>
      <w:r w:rsidR="00051F0F">
        <w:rPr>
          <w:rFonts w:cs="Arial"/>
        </w:rPr>
        <w:t xml:space="preserve"> </w:t>
      </w:r>
      <w:r w:rsidR="00093D39">
        <w:rPr>
          <w:rFonts w:cs="Arial"/>
        </w:rPr>
        <w:fldChar w:fldCharType="begin"/>
      </w:r>
      <w:r w:rsidR="00093D39">
        <w:rPr>
          <w:rFonts w:cs="Arial"/>
        </w:rPr>
        <w:instrText xml:space="preserve"> ADDIN EN.CITE &lt;EndNote&gt;&lt;Cite&gt;&lt;Author&gt;Australian and New Zealand Environment and Conservation Council (ANZECC) and Agriculture and Resource Management Council of Australia and New Zealand (ARMCANZ)&lt;/Author&gt;&lt;Year&gt;2000&lt;/Year&gt;&lt;RecNum&gt;1294&lt;/RecNum&gt;&lt;DisplayText&gt;(Australian and New Zealand Environment and Conservation Council (ANZECC) and Agriculture and Resource Management Council of Australia and New Zealand (ARMCANZ), 2000)&lt;/DisplayText&gt;&lt;record&gt;&lt;rec-number&gt;1294&lt;/rec-number&gt;&lt;foreign-keys&gt;&lt;key app="EN" db-id="zapfddtwo2e9z5e5vxoxafs7sf59wfp52rvf" timestamp="1558666891"&gt;1294&lt;/key&gt;&lt;/foreign-keys&gt;&lt;ref-type name="Report"&gt;27&lt;/ref-type&gt;&lt;contributors&gt;&lt;authors&gt;&lt;author&gt;Australian and New Zealand Environment and Conservation Council (ANZECC) and Agriculture and Resource Management Council of Australia and New Zealand (ARMCANZ),&lt;/author&gt;&lt;/authors&gt;&lt;/contributors&gt;&lt;titles&gt;&lt;title&gt;Australian and New Zealand guidelines for fresh and marine water quality, National Water Quality Management Strategy Paper No 4&lt;/title&gt;&lt;/titles&gt;&lt;dates&gt;&lt;year&gt;2000&lt;/year&gt;&lt;/dates&gt;&lt;pub-location&gt;ANZECC and ARMCANZ, Canberra&lt;/pub-location&gt;&lt;urls&gt;&lt;related-urls&gt;&lt;url&gt;https://www.environment.gov.au/about-us/publications/archive&lt;/url&gt;&lt;/related-urls&gt;&lt;/urls&gt;&lt;access-date&gt;23/05/2019&lt;/access-date&gt;&lt;/record&gt;&lt;/Cite&gt;&lt;/EndNote&gt;</w:instrText>
      </w:r>
      <w:r w:rsidR="00093D39">
        <w:rPr>
          <w:rFonts w:cs="Arial"/>
        </w:rPr>
        <w:fldChar w:fldCharType="separate"/>
      </w:r>
      <w:r w:rsidR="00093D39">
        <w:rPr>
          <w:rFonts w:cs="Arial"/>
          <w:noProof/>
        </w:rPr>
        <w:t>(Australian and New Zealand Environment and Conservation Council (ANZECC) and Agriculture and Resource Management Council of Australia and New Zealand (ARMCANZ), 2000)</w:t>
      </w:r>
      <w:r w:rsidR="00093D39">
        <w:rPr>
          <w:rFonts w:cs="Arial"/>
        </w:rPr>
        <w:fldChar w:fldCharType="end"/>
      </w:r>
      <w:r w:rsidR="00E70587">
        <w:rPr>
          <w:rFonts w:cs="Arial"/>
        </w:rPr>
        <w:t>.</w:t>
      </w:r>
      <w:r w:rsidR="00051F0F" w:rsidRPr="00F03F4C">
        <w:rPr>
          <w:rFonts w:cs="Arial"/>
        </w:rPr>
        <w:t xml:space="preserve"> </w:t>
      </w:r>
    </w:p>
    <w:p w14:paraId="220DA1F4" w14:textId="39594485" w:rsidR="00D054D5" w:rsidRPr="006832C0" w:rsidRDefault="00EA621F" w:rsidP="006C7E99">
      <w:pPr>
        <w:pStyle w:val="ListParagraph"/>
        <w:numPr>
          <w:ilvl w:val="0"/>
          <w:numId w:val="31"/>
        </w:numPr>
        <w:rPr>
          <w:rFonts w:cs="Arial"/>
        </w:rPr>
      </w:pPr>
      <w:r>
        <w:rPr>
          <w:rFonts w:cs="Arial"/>
        </w:rPr>
        <w:t>It a</w:t>
      </w:r>
      <w:r w:rsidR="00D054D5" w:rsidRPr="006832C0">
        <w:rPr>
          <w:rFonts w:cs="Arial"/>
        </w:rPr>
        <w:t>llows for aggregating risks of compounds in a mixture</w:t>
      </w:r>
      <w:r>
        <w:rPr>
          <w:rFonts w:cs="Arial"/>
        </w:rPr>
        <w:t>.</w:t>
      </w:r>
    </w:p>
    <w:p w14:paraId="000ADEDE" w14:textId="7DA55FD2" w:rsidR="00D054D5" w:rsidRPr="006832C0" w:rsidRDefault="00EA621F" w:rsidP="006C7E99">
      <w:pPr>
        <w:pStyle w:val="ListParagraph"/>
        <w:numPr>
          <w:ilvl w:val="0"/>
          <w:numId w:val="31"/>
        </w:numPr>
        <w:rPr>
          <w:rFonts w:cs="Arial"/>
        </w:rPr>
      </w:pPr>
      <w:r>
        <w:rPr>
          <w:rFonts w:cs="Arial"/>
        </w:rPr>
        <w:t>The</w:t>
      </w:r>
      <w:r w:rsidR="00D054D5" w:rsidRPr="006832C0">
        <w:rPr>
          <w:rFonts w:cs="Arial"/>
        </w:rPr>
        <w:t xml:space="preserve"> toxic effect of mixtures on multiple species</w:t>
      </w:r>
      <w:r>
        <w:rPr>
          <w:rFonts w:cs="Arial"/>
        </w:rPr>
        <w:t xml:space="preserve"> can be determined.</w:t>
      </w:r>
    </w:p>
    <w:p w14:paraId="3C149A3A" w14:textId="4C59FB57" w:rsidR="00D054D5" w:rsidRPr="006832C0" w:rsidRDefault="00EA621F" w:rsidP="006C7E99">
      <w:pPr>
        <w:pStyle w:val="ListParagraph"/>
        <w:numPr>
          <w:ilvl w:val="0"/>
          <w:numId w:val="31"/>
        </w:numPr>
        <w:rPr>
          <w:rFonts w:cs="Arial"/>
        </w:rPr>
      </w:pPr>
      <w:r>
        <w:rPr>
          <w:rFonts w:cs="Arial"/>
        </w:rPr>
        <w:t>It c</w:t>
      </w:r>
      <w:r w:rsidR="00D054D5" w:rsidRPr="006832C0">
        <w:rPr>
          <w:rFonts w:cs="Arial"/>
        </w:rPr>
        <w:t>an be used as a measure of ecological risk</w:t>
      </w:r>
      <w:r>
        <w:rPr>
          <w:rFonts w:cs="Arial"/>
        </w:rPr>
        <w:t>,</w:t>
      </w:r>
      <w:r w:rsidR="00D054D5" w:rsidRPr="006832C0">
        <w:rPr>
          <w:rFonts w:cs="Arial"/>
        </w:rPr>
        <w:t xml:space="preserve"> i.e. a certain fraction of species expected to be (potentially) affected above its no-effect level at a given environmental concentration and allows comparisons between substances, species groups, sites and regions</w:t>
      </w:r>
      <w:r>
        <w:rPr>
          <w:rFonts w:cs="Arial"/>
        </w:rPr>
        <w:t>.</w:t>
      </w:r>
    </w:p>
    <w:p w14:paraId="7D6D8A05" w14:textId="330C22C8" w:rsidR="00D054D5" w:rsidRPr="006832C0" w:rsidRDefault="00D054D5" w:rsidP="006C7E99">
      <w:pPr>
        <w:pStyle w:val="ListParagraph"/>
        <w:numPr>
          <w:ilvl w:val="0"/>
          <w:numId w:val="31"/>
        </w:numPr>
        <w:rPr>
          <w:rFonts w:cs="Arial"/>
        </w:rPr>
      </w:pPr>
      <w:r w:rsidRPr="006832C0">
        <w:rPr>
          <w:rFonts w:cs="Arial"/>
        </w:rPr>
        <w:t>Any consistent set of toxicity endpoints can be used to generate SSDs</w:t>
      </w:r>
      <w:r w:rsidR="00EA621F">
        <w:rPr>
          <w:rFonts w:cs="Arial"/>
        </w:rPr>
        <w:t>,</w:t>
      </w:r>
      <w:r w:rsidRPr="006832C0">
        <w:rPr>
          <w:rFonts w:cs="Arial"/>
        </w:rPr>
        <w:t xml:space="preserve"> e.g. no observed effect concentration (NOEC)</w:t>
      </w:r>
      <w:r w:rsidR="00EA621F">
        <w:rPr>
          <w:rFonts w:cs="Arial"/>
        </w:rPr>
        <w:t xml:space="preserve"> and</w:t>
      </w:r>
      <w:r w:rsidR="00141A86">
        <w:rPr>
          <w:rFonts w:cs="Arial"/>
        </w:rPr>
        <w:t xml:space="preserve"> half maximal effective concentration</w:t>
      </w:r>
      <w:r w:rsidR="001E0ADF">
        <w:rPr>
          <w:rFonts w:cs="Arial"/>
        </w:rPr>
        <w:t xml:space="preserve"> </w:t>
      </w:r>
      <w:r w:rsidR="00141A86">
        <w:rPr>
          <w:rFonts w:cs="Arial"/>
        </w:rPr>
        <w:t>(</w:t>
      </w:r>
      <w:r w:rsidRPr="006832C0">
        <w:rPr>
          <w:rFonts w:cs="Arial"/>
        </w:rPr>
        <w:t>EC</w:t>
      </w:r>
      <w:r w:rsidRPr="007177E2">
        <w:rPr>
          <w:rFonts w:cs="Arial"/>
          <w:vertAlign w:val="subscript"/>
        </w:rPr>
        <w:t>50</w:t>
      </w:r>
      <w:r w:rsidR="00141A86">
        <w:rPr>
          <w:rFonts w:cs="Arial"/>
        </w:rPr>
        <w:t>)</w:t>
      </w:r>
      <w:r w:rsidRPr="006832C0">
        <w:rPr>
          <w:rFonts w:cs="Arial"/>
        </w:rPr>
        <w:t>.</w:t>
      </w:r>
    </w:p>
    <w:p w14:paraId="6E54DF52" w14:textId="70B6FB64" w:rsidR="00141A86" w:rsidRDefault="00AA70D6" w:rsidP="00510BBE">
      <w:pPr>
        <w:autoSpaceDE w:val="0"/>
        <w:autoSpaceDN w:val="0"/>
        <w:adjustRightInd w:val="0"/>
        <w:rPr>
          <w:rFonts w:cs="Arial"/>
          <w:color w:val="000000"/>
        </w:rPr>
      </w:pPr>
      <w:r>
        <w:rPr>
          <w:rFonts w:cs="Arial"/>
          <w:color w:val="000000"/>
        </w:rPr>
        <w:t>T</w:t>
      </w:r>
      <w:r w:rsidRPr="00836442">
        <w:rPr>
          <w:rFonts w:cs="Arial"/>
          <w:color w:val="000000"/>
        </w:rPr>
        <w:t>o determine the ms-PAF of a field sample that contains a mixture of PSII herbicides, a multisubstance SSD for the global mix, SSD</w:t>
      </w:r>
      <w:r w:rsidRPr="00836442">
        <w:rPr>
          <w:rFonts w:cs="Arial"/>
          <w:color w:val="000000"/>
          <w:sz w:val="14"/>
          <w:szCs w:val="14"/>
        </w:rPr>
        <w:t>G</w:t>
      </w:r>
      <w:r w:rsidR="00EA621F">
        <w:rPr>
          <w:rFonts w:cs="Arial"/>
          <w:color w:val="000000"/>
          <w:sz w:val="14"/>
          <w:szCs w:val="14"/>
        </w:rPr>
        <w:t>,</w:t>
      </w:r>
      <w:r w:rsidRPr="00836442">
        <w:rPr>
          <w:rFonts w:cs="Arial"/>
          <w:color w:val="000000"/>
        </w:rPr>
        <w:t xml:space="preserve"> </w:t>
      </w:r>
      <w:r w:rsidR="00EA621F">
        <w:rPr>
          <w:rFonts w:cs="Arial"/>
          <w:color w:val="000000"/>
        </w:rPr>
        <w:t>which</w:t>
      </w:r>
      <w:r w:rsidRPr="00836442">
        <w:rPr>
          <w:rFonts w:cs="Arial"/>
          <w:color w:val="000000"/>
        </w:rPr>
        <w:t xml:space="preserve"> represents the percentage of species affected by a mixture of pesticides</w:t>
      </w:r>
      <w:r w:rsidR="00EA621F">
        <w:rPr>
          <w:rFonts w:cs="Arial"/>
          <w:color w:val="000000"/>
        </w:rPr>
        <w:t>,</w:t>
      </w:r>
      <w:r w:rsidRPr="00836442">
        <w:rPr>
          <w:rFonts w:cs="Arial"/>
          <w:color w:val="000000"/>
        </w:rPr>
        <w:t xml:space="preserve"> is determined. </w:t>
      </w:r>
      <w:r w:rsidR="00141A86" w:rsidRPr="00836442">
        <w:rPr>
          <w:rFonts w:cs="Arial"/>
          <w:color w:val="000000"/>
        </w:rPr>
        <w:t xml:space="preserve">To determine </w:t>
      </w:r>
      <w:r w:rsidR="00EA621F">
        <w:rPr>
          <w:rFonts w:cs="Arial"/>
          <w:color w:val="000000"/>
        </w:rPr>
        <w:t xml:space="preserve">the </w:t>
      </w:r>
      <w:r w:rsidR="00141A86" w:rsidRPr="00836442">
        <w:rPr>
          <w:rFonts w:cs="Arial"/>
          <w:color w:val="000000"/>
        </w:rPr>
        <w:t>SSD</w:t>
      </w:r>
      <w:r w:rsidR="00141A86" w:rsidRPr="00836442">
        <w:rPr>
          <w:rFonts w:cs="Arial"/>
          <w:color w:val="000000"/>
          <w:sz w:val="14"/>
          <w:szCs w:val="14"/>
        </w:rPr>
        <w:t xml:space="preserve">G </w:t>
      </w:r>
      <w:r w:rsidR="00141A86" w:rsidRPr="00836442">
        <w:rPr>
          <w:rFonts w:cs="Arial"/>
          <w:color w:val="000000"/>
        </w:rPr>
        <w:t xml:space="preserve">for a PSII herbicide mix, individual SSDs for each herbicide </w:t>
      </w:r>
      <w:r w:rsidR="00141A86">
        <w:rPr>
          <w:rFonts w:cs="Arial"/>
          <w:color w:val="000000"/>
        </w:rPr>
        <w:t>a</w:t>
      </w:r>
      <w:r w:rsidR="00141A86" w:rsidRPr="00836442">
        <w:rPr>
          <w:rFonts w:cs="Arial"/>
          <w:color w:val="000000"/>
        </w:rPr>
        <w:t>re normalised to a common dimensionless scale based on hazard units (HU) so that each re-scaled SSD ha</w:t>
      </w:r>
      <w:r w:rsidR="00141A86">
        <w:rPr>
          <w:rFonts w:cs="Arial"/>
          <w:color w:val="000000"/>
        </w:rPr>
        <w:t>s</w:t>
      </w:r>
      <w:r w:rsidR="00141A86" w:rsidRPr="00836442">
        <w:rPr>
          <w:rFonts w:cs="Arial"/>
          <w:color w:val="000000"/>
        </w:rPr>
        <w:t xml:space="preserve"> a PC50 (concentration at which 50</w:t>
      </w:r>
      <w:r w:rsidR="00BC5B15">
        <w:rPr>
          <w:rFonts w:cs="Arial"/>
          <w:color w:val="000000"/>
        </w:rPr>
        <w:t xml:space="preserve"> per cent</w:t>
      </w:r>
      <w:r w:rsidR="00141A86" w:rsidRPr="00836442">
        <w:rPr>
          <w:rFonts w:cs="Arial"/>
          <w:color w:val="000000"/>
        </w:rPr>
        <w:t xml:space="preserve"> of species are affected) </w:t>
      </w:r>
      <w:r w:rsidR="00D2674D">
        <w:rPr>
          <w:rFonts w:cs="Arial"/>
          <w:color w:val="000000"/>
        </w:rPr>
        <w:t>of one</w:t>
      </w:r>
      <w:r w:rsidR="00141A86" w:rsidRPr="00095A05">
        <w:rPr>
          <w:rFonts w:cs="Arial"/>
          <w:color w:val="000000"/>
        </w:rPr>
        <w:t xml:space="preserve"> HU (</w:t>
      </w:r>
      <w:r w:rsidR="00141A86" w:rsidRPr="00095A05">
        <w:rPr>
          <w:rFonts w:eastAsiaTheme="minorEastAsia" w:cstheme="minorBidi"/>
          <w:lang w:eastAsia="en-AU" w:bidi="en-US"/>
        </w:rPr>
        <w:fldChar w:fldCharType="begin"/>
      </w:r>
      <w:r w:rsidR="00141A86" w:rsidRPr="00095A05">
        <w:rPr>
          <w:rFonts w:eastAsiaTheme="minorEastAsia" w:cstheme="minorBidi"/>
          <w:lang w:eastAsia="en-AU" w:bidi="en-US"/>
        </w:rPr>
        <w:instrText xml:space="preserve"> REF _Ref465247363 \h </w:instrText>
      </w:r>
      <w:r w:rsidR="00095A05" w:rsidRPr="00095A05">
        <w:rPr>
          <w:rFonts w:eastAsiaTheme="minorEastAsia" w:cstheme="minorBidi"/>
          <w:lang w:eastAsia="en-AU" w:bidi="en-US"/>
        </w:rPr>
        <w:instrText xml:space="preserve"> \* MERGEFORMAT </w:instrText>
      </w:r>
      <w:r w:rsidR="00141A86" w:rsidRPr="00095A05">
        <w:rPr>
          <w:rFonts w:eastAsiaTheme="minorEastAsia" w:cstheme="minorBidi"/>
          <w:lang w:eastAsia="en-AU" w:bidi="en-US"/>
        </w:rPr>
      </w:r>
      <w:r w:rsidR="00141A86" w:rsidRPr="00095A05">
        <w:rPr>
          <w:rFonts w:eastAsiaTheme="minorEastAsia" w:cstheme="minorBidi"/>
          <w:lang w:eastAsia="en-AU" w:bidi="en-US"/>
        </w:rPr>
        <w:fldChar w:fldCharType="separate"/>
      </w:r>
      <w:r w:rsidR="00D528AA" w:rsidRPr="004430F1">
        <w:t xml:space="preserve">Figure </w:t>
      </w:r>
      <w:r w:rsidR="00D528AA">
        <w:rPr>
          <w:noProof/>
        </w:rPr>
        <w:t>4</w:t>
      </w:r>
      <w:r w:rsidR="00D528AA">
        <w:rPr>
          <w:noProof/>
        </w:rPr>
        <w:noBreakHyphen/>
        <w:t>5</w:t>
      </w:r>
      <w:r w:rsidR="00141A86" w:rsidRPr="00095A05">
        <w:rPr>
          <w:rFonts w:eastAsiaTheme="minorEastAsia" w:cstheme="minorBidi"/>
          <w:lang w:eastAsia="en-AU" w:bidi="en-US"/>
        </w:rPr>
        <w:fldChar w:fldCharType="end"/>
      </w:r>
      <w:r w:rsidR="00141A86" w:rsidRPr="00095A05">
        <w:rPr>
          <w:rFonts w:cs="Arial"/>
          <w:color w:val="000000"/>
        </w:rPr>
        <w:t xml:space="preserve">). To </w:t>
      </w:r>
      <w:r w:rsidR="00EA621F">
        <w:rPr>
          <w:rFonts w:cs="Arial"/>
          <w:color w:val="000000"/>
        </w:rPr>
        <w:t>achieve</w:t>
      </w:r>
      <w:r w:rsidR="00EA621F" w:rsidRPr="00095A05">
        <w:rPr>
          <w:rFonts w:cs="Arial"/>
          <w:color w:val="000000"/>
        </w:rPr>
        <w:t xml:space="preserve"> </w:t>
      </w:r>
      <w:r w:rsidR="00141A86" w:rsidRPr="00095A05">
        <w:rPr>
          <w:rFonts w:cs="Arial"/>
          <w:color w:val="000000"/>
        </w:rPr>
        <w:t>this for each data point in an individual SSD, the concentration is divided by its PC50 value (also referred to as its α (alpha) value</w:t>
      </w:r>
      <w:r w:rsidR="00EA621F">
        <w:rPr>
          <w:rFonts w:cs="Arial"/>
          <w:color w:val="000000"/>
        </w:rPr>
        <w:t>,</w:t>
      </w:r>
      <w:r w:rsidR="00141A86" w:rsidRPr="00095A05">
        <w:rPr>
          <w:rFonts w:cs="Arial"/>
          <w:color w:val="000000"/>
        </w:rPr>
        <w:t xml:space="preserve"> which is the mid-point of </w:t>
      </w:r>
      <w:r w:rsidR="00EA621F">
        <w:rPr>
          <w:rFonts w:cs="Arial"/>
          <w:color w:val="000000"/>
        </w:rPr>
        <w:t>the</w:t>
      </w:r>
      <w:r w:rsidR="00EA621F" w:rsidRPr="00095A05">
        <w:rPr>
          <w:rFonts w:cs="Arial"/>
          <w:color w:val="000000"/>
        </w:rPr>
        <w:t xml:space="preserve"> </w:t>
      </w:r>
      <w:r w:rsidR="00141A86" w:rsidRPr="00095A05">
        <w:rPr>
          <w:rFonts w:cs="Arial"/>
          <w:color w:val="000000"/>
        </w:rPr>
        <w:t>logistic cumulative frequency distribution (CFD) fitted to the SSD) and replotted. An ‘averaged’ logistic CFD is then fitted to the individual HU-scaled SSDs (</w:t>
      </w:r>
      <w:r w:rsidR="00141A86" w:rsidRPr="00095A05">
        <w:rPr>
          <w:rFonts w:eastAsiaTheme="minorEastAsia" w:cstheme="minorBidi"/>
          <w:lang w:eastAsia="en-AU" w:bidi="en-US"/>
        </w:rPr>
        <w:fldChar w:fldCharType="begin"/>
      </w:r>
      <w:r w:rsidR="00141A86" w:rsidRPr="00095A05">
        <w:rPr>
          <w:rFonts w:eastAsiaTheme="minorEastAsia" w:cstheme="minorBidi"/>
          <w:lang w:eastAsia="en-AU" w:bidi="en-US"/>
        </w:rPr>
        <w:instrText xml:space="preserve"> REF _Ref465247363 \h </w:instrText>
      </w:r>
      <w:r w:rsidR="00095A05" w:rsidRPr="00095A05">
        <w:rPr>
          <w:rFonts w:eastAsiaTheme="minorEastAsia" w:cstheme="minorBidi"/>
          <w:lang w:eastAsia="en-AU" w:bidi="en-US"/>
        </w:rPr>
        <w:instrText xml:space="preserve"> \* MERGEFORMAT </w:instrText>
      </w:r>
      <w:r w:rsidR="00141A86" w:rsidRPr="00095A05">
        <w:rPr>
          <w:rFonts w:eastAsiaTheme="minorEastAsia" w:cstheme="minorBidi"/>
          <w:lang w:eastAsia="en-AU" w:bidi="en-US"/>
        </w:rPr>
      </w:r>
      <w:r w:rsidR="00141A86" w:rsidRPr="00095A05">
        <w:rPr>
          <w:rFonts w:eastAsiaTheme="minorEastAsia" w:cstheme="minorBidi"/>
          <w:lang w:eastAsia="en-AU" w:bidi="en-US"/>
        </w:rPr>
        <w:fldChar w:fldCharType="separate"/>
      </w:r>
      <w:r w:rsidR="00D528AA" w:rsidRPr="004430F1">
        <w:t xml:space="preserve">Figure </w:t>
      </w:r>
      <w:r w:rsidR="00D528AA">
        <w:rPr>
          <w:noProof/>
        </w:rPr>
        <w:t>4</w:t>
      </w:r>
      <w:r w:rsidR="00D528AA">
        <w:rPr>
          <w:noProof/>
        </w:rPr>
        <w:noBreakHyphen/>
        <w:t>5</w:t>
      </w:r>
      <w:r w:rsidR="00141A86" w:rsidRPr="00095A05">
        <w:rPr>
          <w:rFonts w:eastAsiaTheme="minorEastAsia" w:cstheme="minorBidi"/>
          <w:lang w:eastAsia="en-AU" w:bidi="en-US"/>
        </w:rPr>
        <w:fldChar w:fldCharType="end"/>
      </w:r>
      <w:r w:rsidR="00141A86" w:rsidRPr="00095A05">
        <w:rPr>
          <w:rFonts w:cs="Arial"/>
          <w:color w:val="000000"/>
        </w:rPr>
        <w:t>, right</w:t>
      </w:r>
      <w:r w:rsidR="00141A86" w:rsidRPr="00836442">
        <w:rPr>
          <w:rFonts w:cs="Arial"/>
          <w:color w:val="000000"/>
        </w:rPr>
        <w:t xml:space="preserve"> graph) to determine a single SSD</w:t>
      </w:r>
      <w:r w:rsidR="00141A86" w:rsidRPr="00836442">
        <w:rPr>
          <w:rFonts w:cs="Arial"/>
          <w:color w:val="000000"/>
          <w:sz w:val="14"/>
          <w:szCs w:val="14"/>
        </w:rPr>
        <w:t xml:space="preserve">G </w:t>
      </w:r>
      <w:r w:rsidR="00141A86" w:rsidRPr="00836442">
        <w:rPr>
          <w:rFonts w:cs="Arial"/>
          <w:color w:val="000000"/>
        </w:rPr>
        <w:t>for the mixture defined by an average midpoint of the global distribution (α</w:t>
      </w:r>
      <w:r w:rsidR="00141A86" w:rsidRPr="00836442">
        <w:rPr>
          <w:rFonts w:cs="Arial"/>
          <w:color w:val="000000"/>
          <w:sz w:val="14"/>
          <w:szCs w:val="14"/>
        </w:rPr>
        <w:t>G</w:t>
      </w:r>
      <w:r w:rsidR="00141A86" w:rsidRPr="00836442">
        <w:rPr>
          <w:rFonts w:cs="Arial"/>
          <w:color w:val="000000"/>
        </w:rPr>
        <w:t>) and an average slope (β</w:t>
      </w:r>
      <w:r w:rsidR="00141A86" w:rsidRPr="00836442">
        <w:rPr>
          <w:rFonts w:cs="Arial"/>
          <w:color w:val="000000"/>
          <w:sz w:val="14"/>
          <w:szCs w:val="14"/>
        </w:rPr>
        <w:t>G</w:t>
      </w:r>
      <w:r w:rsidR="00141A86" w:rsidRPr="00836442">
        <w:rPr>
          <w:rFonts w:cs="Arial"/>
          <w:color w:val="000000"/>
        </w:rPr>
        <w:t>). To determine the ms-PAF for a field sample using the SSD</w:t>
      </w:r>
      <w:r w:rsidR="00141A86" w:rsidRPr="00836442">
        <w:rPr>
          <w:rFonts w:cs="Arial"/>
          <w:color w:val="000000"/>
          <w:sz w:val="14"/>
          <w:szCs w:val="14"/>
        </w:rPr>
        <w:t>G</w:t>
      </w:r>
      <w:r w:rsidR="00141A86" w:rsidRPr="00836442">
        <w:rPr>
          <w:rFonts w:cs="Arial"/>
          <w:color w:val="000000"/>
        </w:rPr>
        <w:t xml:space="preserve">, the concentration of each PSII herbicide in the sample </w:t>
      </w:r>
      <w:r w:rsidR="00141A86">
        <w:rPr>
          <w:rFonts w:cs="Arial"/>
          <w:color w:val="000000"/>
        </w:rPr>
        <w:t>i</w:t>
      </w:r>
      <w:r w:rsidR="00141A86" w:rsidRPr="00836442">
        <w:rPr>
          <w:rFonts w:cs="Arial"/>
          <w:color w:val="000000"/>
        </w:rPr>
        <w:t xml:space="preserve">s converted to </w:t>
      </w:r>
      <w:r w:rsidR="00EA621F">
        <w:rPr>
          <w:rFonts w:cs="Arial"/>
          <w:color w:val="000000"/>
        </w:rPr>
        <w:t>HUs</w:t>
      </w:r>
      <w:r w:rsidR="00141A86" w:rsidRPr="00836442">
        <w:rPr>
          <w:rFonts w:cs="Arial"/>
          <w:color w:val="000000"/>
        </w:rPr>
        <w:t xml:space="preserve"> (by dividing each concentration by the herbicide’s SSD α value (PC50)) and then summed for all PSII herbicides. This g</w:t>
      </w:r>
      <w:r w:rsidR="00141A86">
        <w:rPr>
          <w:rFonts w:cs="Arial"/>
          <w:color w:val="000000"/>
        </w:rPr>
        <w:t>i</w:t>
      </w:r>
      <w:r w:rsidR="00141A86" w:rsidRPr="00836442">
        <w:rPr>
          <w:rFonts w:cs="Arial"/>
          <w:color w:val="000000"/>
        </w:rPr>
        <w:t>ve</w:t>
      </w:r>
      <w:r w:rsidR="00141A86">
        <w:rPr>
          <w:rFonts w:cs="Arial"/>
          <w:color w:val="000000"/>
        </w:rPr>
        <w:t>s</w:t>
      </w:r>
      <w:r w:rsidR="00141A86" w:rsidRPr="00836442">
        <w:rPr>
          <w:rFonts w:cs="Arial"/>
          <w:color w:val="000000"/>
        </w:rPr>
        <w:t xml:space="preserve"> the total </w:t>
      </w:r>
      <w:r w:rsidR="00EA621F">
        <w:rPr>
          <w:rFonts w:cs="Arial"/>
          <w:color w:val="000000"/>
        </w:rPr>
        <w:t>HUs</w:t>
      </w:r>
      <w:r w:rsidR="00141A86" w:rsidRPr="00836442">
        <w:rPr>
          <w:rFonts w:cs="Arial"/>
          <w:color w:val="000000"/>
        </w:rPr>
        <w:t xml:space="preserve"> for all PSII herbicides in the sample, HU</w:t>
      </w:r>
      <w:r w:rsidR="00141A86" w:rsidRPr="00836442">
        <w:rPr>
          <w:rFonts w:cs="Arial"/>
          <w:color w:val="000000"/>
          <w:sz w:val="14"/>
          <w:szCs w:val="14"/>
        </w:rPr>
        <w:t xml:space="preserve">ms </w:t>
      </w:r>
      <w:r w:rsidR="00141A86" w:rsidRPr="00836442">
        <w:rPr>
          <w:rFonts w:cs="Arial"/>
          <w:color w:val="000000"/>
        </w:rPr>
        <w:t xml:space="preserve">= </w:t>
      </w:r>
      <w:r w:rsidR="00141A86" w:rsidRPr="00836442">
        <w:rPr>
          <w:rFonts w:ascii="Times New Roman" w:hAnsi="Times New Roman"/>
          <w:color w:val="000000"/>
        </w:rPr>
        <w:t>Σ</w:t>
      </w:r>
      <w:r w:rsidR="00141A86" w:rsidRPr="00836442">
        <w:rPr>
          <w:rFonts w:ascii="Times New Roman" w:hAnsi="Times New Roman"/>
          <w:color w:val="000000"/>
          <w:sz w:val="14"/>
          <w:szCs w:val="14"/>
        </w:rPr>
        <w:t xml:space="preserve">i </w:t>
      </w:r>
      <w:r w:rsidR="00141A86" w:rsidRPr="00836442">
        <w:rPr>
          <w:rFonts w:cs="Arial"/>
          <w:color w:val="000000"/>
        </w:rPr>
        <w:t>HU</w:t>
      </w:r>
      <w:r w:rsidR="00141A86" w:rsidRPr="00836442">
        <w:rPr>
          <w:rFonts w:cs="Arial"/>
          <w:color w:val="000000"/>
          <w:sz w:val="14"/>
          <w:szCs w:val="14"/>
        </w:rPr>
        <w:t xml:space="preserve">i </w:t>
      </w:r>
      <w:r w:rsidR="00141A86" w:rsidRPr="00836442">
        <w:rPr>
          <w:rFonts w:cs="Arial"/>
          <w:color w:val="000000"/>
        </w:rPr>
        <w:t xml:space="preserve">for each herbicide, i. The ms-PAF </w:t>
      </w:r>
      <w:r w:rsidR="00141A86">
        <w:rPr>
          <w:rFonts w:cs="Arial"/>
          <w:color w:val="000000"/>
        </w:rPr>
        <w:t>can</w:t>
      </w:r>
      <w:r w:rsidR="00141A86" w:rsidRPr="00836442">
        <w:rPr>
          <w:rFonts w:cs="Arial"/>
          <w:color w:val="000000"/>
        </w:rPr>
        <w:t xml:space="preserve"> then be determined from: </w:t>
      </w:r>
    </w:p>
    <w:p w14:paraId="49083038" w14:textId="77777777" w:rsidR="00141A86" w:rsidRPr="00836442" w:rsidRDefault="00141A86" w:rsidP="00141A86">
      <w:pPr>
        <w:spacing w:before="120" w:after="60"/>
        <w:ind w:left="567" w:hanging="567"/>
      </w:pPr>
      <m:oMathPara>
        <m:oMathParaPr>
          <m:jc m:val="left"/>
        </m:oMathParaPr>
        <m:oMath>
          <m:r>
            <w:rPr>
              <w:rFonts w:ascii="Cambria Math" w:hAnsi="Cambria Math"/>
            </w:rPr>
            <m:t>ms-PAF (%)=</m:t>
          </m:r>
          <m:f>
            <m:fPr>
              <m:ctrlPr>
                <w:rPr>
                  <w:rFonts w:ascii="Cambria Math" w:hAnsi="Cambria Math"/>
                  <w:i/>
                </w:rPr>
              </m:ctrlPr>
            </m:fPr>
            <m:num>
              <m:r>
                <w:rPr>
                  <w:rFonts w:ascii="Cambria Math" w:hAnsi="Cambria Math"/>
                </w:rPr>
                <m:t>1</m:t>
              </m:r>
            </m:num>
            <m:den>
              <m:r>
                <w:rPr>
                  <w:rFonts w:ascii="Cambria Math" w:hAnsi="Cambria Math"/>
                </w:rPr>
                <m:t>1+</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nary>
                            <m:naryPr>
                              <m:chr m:val="∑"/>
                              <m:limLoc m:val="undOvr"/>
                              <m:subHide m:val="1"/>
                              <m:supHide m:val="1"/>
                              <m:ctrlPr>
                                <w:rPr>
                                  <w:rFonts w:ascii="Cambria Math" w:hAnsi="Cambria Math"/>
                                  <w:i/>
                                </w:rPr>
                              </m:ctrlPr>
                            </m:naryPr>
                            <m:sub/>
                            <m:sup/>
                            <m:e>
                              <m:r>
                                <w:rPr>
                                  <w:rFonts w:ascii="Cambria Math" w:hAnsi="Cambria Math"/>
                                </w:rPr>
                                <m:t>HU</m:t>
                              </m:r>
                            </m:e>
                          </m:nary>
                        </m:num>
                        <m:den>
                          <m:sSub>
                            <m:sSubPr>
                              <m:ctrlPr>
                                <w:rPr>
                                  <w:rFonts w:ascii="Cambria Math" w:hAnsi="Cambria Math"/>
                                  <w:i/>
                                </w:rPr>
                              </m:ctrlPr>
                            </m:sSubPr>
                            <m:e>
                              <m:r>
                                <w:rPr>
                                  <w:rFonts w:ascii="Cambria Math" w:hAnsi="Cambria Math"/>
                                </w:rPr>
                                <m:t>α</m:t>
                              </m:r>
                            </m:e>
                            <m:sub>
                              <m:r>
                                <w:rPr>
                                  <w:rFonts w:ascii="Cambria Math" w:hAnsi="Cambria Math"/>
                                </w:rPr>
                                <m:t>G</m:t>
                              </m:r>
                            </m:sub>
                          </m:sSub>
                        </m:den>
                      </m:f>
                    </m:e>
                  </m:d>
                </m:e>
                <m:sup>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G</m:t>
                      </m:r>
                    </m:sub>
                  </m:sSub>
                </m:sup>
              </m:sSup>
            </m:den>
          </m:f>
          <m:r>
            <w:rPr>
              <w:rFonts w:ascii="Cambria Math" w:hAnsi="Cambria Math"/>
            </w:rPr>
            <m:t xml:space="preserve">                                                                Equation (1)</m:t>
          </m:r>
        </m:oMath>
      </m:oMathPara>
    </w:p>
    <w:p w14:paraId="5A2EAFAE" w14:textId="43DCB02C" w:rsidR="00141A86" w:rsidRPr="00610D27" w:rsidRDefault="00141A86" w:rsidP="00510BBE">
      <w:pPr>
        <w:rPr>
          <w:rFonts w:cs="Arial"/>
        </w:rPr>
      </w:pPr>
      <w:r w:rsidRPr="00836442">
        <w:rPr>
          <w:rFonts w:cs="Arial"/>
          <w:color w:val="000000"/>
        </w:rPr>
        <w:t xml:space="preserve">The ms-PAF method </w:t>
      </w:r>
      <w:r>
        <w:rPr>
          <w:rFonts w:cs="Arial"/>
          <w:color w:val="000000"/>
        </w:rPr>
        <w:t>evaluated</w:t>
      </w:r>
      <w:r w:rsidRPr="00836442">
        <w:rPr>
          <w:rFonts w:cs="Arial"/>
          <w:color w:val="000000"/>
        </w:rPr>
        <w:t xml:space="preserve"> </w:t>
      </w:r>
      <w:r>
        <w:rPr>
          <w:rFonts w:cs="Arial"/>
          <w:color w:val="000000"/>
        </w:rPr>
        <w:t>in the MPP report</w:t>
      </w:r>
      <w:r w:rsidRPr="00836442">
        <w:rPr>
          <w:rFonts w:cs="Arial"/>
          <w:color w:val="000000"/>
        </w:rPr>
        <w:t xml:space="preserve"> ha</w:t>
      </w:r>
      <w:r>
        <w:rPr>
          <w:rFonts w:cs="Arial"/>
          <w:color w:val="000000"/>
        </w:rPr>
        <w:t>s</w:t>
      </w:r>
      <w:r w:rsidRPr="00836442">
        <w:rPr>
          <w:rFonts w:cs="Arial"/>
          <w:color w:val="000000"/>
        </w:rPr>
        <w:t xml:space="preserve"> </w:t>
      </w:r>
      <w:r w:rsidR="00EA621F">
        <w:rPr>
          <w:rFonts w:cs="Arial"/>
          <w:color w:val="000000"/>
        </w:rPr>
        <w:t>three</w:t>
      </w:r>
      <w:r w:rsidR="00EA621F" w:rsidRPr="00836442">
        <w:rPr>
          <w:rFonts w:cs="Arial"/>
          <w:color w:val="000000"/>
        </w:rPr>
        <w:t xml:space="preserve"> </w:t>
      </w:r>
      <w:r w:rsidRPr="00836442">
        <w:rPr>
          <w:rFonts w:cs="Arial"/>
          <w:color w:val="000000"/>
        </w:rPr>
        <w:t>modifications from the method of</w:t>
      </w:r>
      <w:r w:rsidR="00093D39">
        <w:rPr>
          <w:rFonts w:cs="Arial"/>
          <w:color w:val="000000"/>
        </w:rPr>
        <w:t xml:space="preserve"> </w:t>
      </w:r>
      <w:r w:rsidR="00093D39">
        <w:rPr>
          <w:rFonts w:cs="Arial"/>
          <w:color w:val="000000"/>
        </w:rPr>
        <w:fldChar w:fldCharType="begin"/>
      </w:r>
      <w:r w:rsidR="00093D39">
        <w:rPr>
          <w:rFonts w:cs="Arial"/>
          <w:color w:val="000000"/>
        </w:rPr>
        <w:instrText xml:space="preserve"> ADDIN EN.CITE &lt;EndNote&gt;&lt;Cite AuthorYear="1"&gt;&lt;Author&gt;Traas&lt;/Author&gt;&lt;Year&gt;2002&lt;/Year&gt;&lt;RecNum&gt;1324&lt;/RecNum&gt;&lt;DisplayText&gt;Traas et al. (2002)&lt;/DisplayText&gt;&lt;record&gt;&lt;rec-number&gt;1324&lt;/rec-number&gt;&lt;foreign-keys&gt;&lt;key app="EN" db-id="zapfddtwo2e9z5e5vxoxafs7sf59wfp52rvf" timestamp="1558925402"&gt;1324&lt;/key&gt;&lt;/foreign-keys&gt;&lt;ref-type name="Book Section"&gt;5&lt;/ref-type&gt;&lt;contributors&gt;&lt;authors&gt;&lt;author&gt;Traas, T. P.&lt;/author&gt;&lt;author&gt;van de Meent, D.&lt;/author&gt;&lt;author&gt;Posthuma, L.&lt;/author&gt;&lt;author&gt;Hamers, T.&lt;/author&gt;&lt;author&gt;Kater, B. J.&lt;/author&gt;&lt;author&gt;de Zwart, D.&lt;/author&gt;&lt;author&gt;Aldenberg, T.&lt;/author&gt;&lt;/authors&gt;&lt;secondary-authors&gt;&lt;author&gt;Posthuma, L.&lt;/author&gt;&lt;author&gt;Suter, G. W.&lt;/author&gt;&lt;author&gt;Traas, T. P.&lt;/author&gt;&lt;/secondary-authors&gt;&lt;/contributors&gt;&lt;auth-address&gt;86,&amp;#xD;1818,&lt;/auth-address&gt;&lt;titles&gt;&lt;title&gt;The potentially affected fraction as a measure of ecological risk&lt;/title&gt;&lt;secondary-title&gt;Species sensitivity distributions in ecotoxicology&lt;/secondary-title&gt;&lt;/titles&gt;&lt;pages&gt;315-344&lt;/pages&gt;&lt;keywords&gt;&lt;keyword&gt;toxische stoffen&lt;/keyword&gt;&lt;/keywords&gt;&lt;dates&gt;&lt;year&gt;2002&lt;/year&gt;&lt;/dates&gt;&lt;pub-location&gt;Lewis Publishers, Boca Raton, FL&lt;/pub-location&gt;&lt;isbn&gt;9781566705783&lt;/isbn&gt;&lt;urls&gt;&lt;/urls&gt;&lt;/record&gt;&lt;/Cite&gt;&lt;/EndNote&gt;</w:instrText>
      </w:r>
      <w:r w:rsidR="00093D39">
        <w:rPr>
          <w:rFonts w:cs="Arial"/>
          <w:color w:val="000000"/>
        </w:rPr>
        <w:fldChar w:fldCharType="separate"/>
      </w:r>
      <w:r w:rsidR="00093D39">
        <w:rPr>
          <w:rFonts w:cs="Arial"/>
          <w:noProof/>
          <w:color w:val="000000"/>
        </w:rPr>
        <w:t>Traas et al. (2002)</w:t>
      </w:r>
      <w:r w:rsidR="00093D39">
        <w:rPr>
          <w:rFonts w:cs="Arial"/>
          <w:color w:val="000000"/>
        </w:rPr>
        <w:fldChar w:fldCharType="end"/>
      </w:r>
      <w:r w:rsidRPr="00836442">
        <w:rPr>
          <w:rFonts w:cs="Arial"/>
          <w:color w:val="000000"/>
        </w:rPr>
        <w:t xml:space="preserve">: (1) a logistic CFD, rather than a log-logistic CFD, </w:t>
      </w:r>
      <w:r>
        <w:rPr>
          <w:rFonts w:cs="Arial"/>
          <w:color w:val="000000"/>
        </w:rPr>
        <w:t>i</w:t>
      </w:r>
      <w:r w:rsidRPr="00836442">
        <w:rPr>
          <w:rFonts w:cs="Arial"/>
          <w:color w:val="000000"/>
        </w:rPr>
        <w:t>s fitted to the ecotoxicity data of individual herbicides to generate the individual SSDs; (2) the midpoint of the</w:t>
      </w:r>
      <w:r>
        <w:rPr>
          <w:rFonts w:cs="Arial"/>
          <w:color w:val="000000"/>
        </w:rPr>
        <w:t xml:space="preserve"> curve (α) when PAF equals 50</w:t>
      </w:r>
      <w:r w:rsidR="00EA621F">
        <w:rPr>
          <w:rFonts w:cs="Arial"/>
          <w:color w:val="000000"/>
        </w:rPr>
        <w:t xml:space="preserve"> per cent</w:t>
      </w:r>
      <w:r>
        <w:rPr>
          <w:rFonts w:cs="Arial"/>
          <w:color w:val="000000"/>
        </w:rPr>
        <w:t xml:space="preserve"> i</w:t>
      </w:r>
      <w:r w:rsidRPr="00836442">
        <w:rPr>
          <w:rFonts w:cs="Arial"/>
          <w:color w:val="000000"/>
        </w:rPr>
        <w:t>s used rather than the median to calculate the HUs; and (3) the parameters, α</w:t>
      </w:r>
      <w:r w:rsidRPr="00836442">
        <w:rPr>
          <w:rFonts w:cs="Arial"/>
          <w:color w:val="000000"/>
          <w:sz w:val="14"/>
          <w:szCs w:val="14"/>
        </w:rPr>
        <w:t xml:space="preserve">G </w:t>
      </w:r>
      <w:r w:rsidRPr="00836442">
        <w:rPr>
          <w:rFonts w:cs="Arial"/>
          <w:color w:val="000000"/>
        </w:rPr>
        <w:t>and β</w:t>
      </w:r>
      <w:r w:rsidRPr="00836442">
        <w:rPr>
          <w:rFonts w:cs="Arial"/>
          <w:color w:val="000000"/>
          <w:sz w:val="14"/>
          <w:szCs w:val="14"/>
        </w:rPr>
        <w:t>G</w:t>
      </w:r>
      <w:r w:rsidRPr="00836442">
        <w:rPr>
          <w:rFonts w:cs="Arial"/>
          <w:color w:val="000000"/>
        </w:rPr>
        <w:t xml:space="preserve">, </w:t>
      </w:r>
      <w:r>
        <w:rPr>
          <w:rFonts w:cs="Arial"/>
          <w:color w:val="000000"/>
        </w:rPr>
        <w:t>a</w:t>
      </w:r>
      <w:r w:rsidRPr="00836442">
        <w:rPr>
          <w:rFonts w:cs="Arial"/>
          <w:color w:val="000000"/>
        </w:rPr>
        <w:t>re determined by fitting a global</w:t>
      </w:r>
      <w:r>
        <w:rPr>
          <w:rFonts w:cs="Arial"/>
          <w:color w:val="000000"/>
        </w:rPr>
        <w:t xml:space="preserve"> </w:t>
      </w:r>
      <w:r w:rsidRPr="00967DB3">
        <w:rPr>
          <w:bCs/>
        </w:rPr>
        <w:t xml:space="preserve">CFD </w:t>
      </w:r>
      <w:r w:rsidRPr="000E0721">
        <w:rPr>
          <w:bCs/>
        </w:rPr>
        <w:t xml:space="preserve">using SigmaPlot 13.0 (Systat) </w:t>
      </w:r>
      <w:r>
        <w:rPr>
          <w:bCs/>
        </w:rPr>
        <w:t xml:space="preserve">rather than </w:t>
      </w:r>
      <w:r w:rsidRPr="000E0721">
        <w:rPr>
          <w:bCs/>
        </w:rPr>
        <w:t>assuming α</w:t>
      </w:r>
      <w:r w:rsidRPr="00967DB3">
        <w:rPr>
          <w:bCs/>
          <w:vertAlign w:val="subscript"/>
        </w:rPr>
        <w:t>G</w:t>
      </w:r>
      <w:r>
        <w:rPr>
          <w:bCs/>
        </w:rPr>
        <w:t xml:space="preserve"> = 1 and then determining </w:t>
      </w:r>
      <w:r w:rsidRPr="000E0721">
        <w:rPr>
          <w:bCs/>
        </w:rPr>
        <w:t>β</w:t>
      </w:r>
      <w:r w:rsidRPr="00967DB3">
        <w:rPr>
          <w:bCs/>
          <w:vertAlign w:val="subscript"/>
        </w:rPr>
        <w:t>G</w:t>
      </w:r>
      <w:r w:rsidRPr="000E0721">
        <w:rPr>
          <w:bCs/>
        </w:rPr>
        <w:t xml:space="preserve"> </w:t>
      </w:r>
      <w:r>
        <w:rPr>
          <w:bCs/>
        </w:rPr>
        <w:t xml:space="preserve">as </w:t>
      </w:r>
      <w:r w:rsidRPr="000E0721">
        <w:rPr>
          <w:bCs/>
        </w:rPr>
        <w:t xml:space="preserve">the average of the β’s from the individual </w:t>
      </w:r>
      <w:r>
        <w:rPr>
          <w:bCs/>
        </w:rPr>
        <w:t>SSDs.</w:t>
      </w:r>
    </w:p>
    <w:p w14:paraId="4C169029" w14:textId="77777777" w:rsidR="00D054D5" w:rsidRPr="001648CD" w:rsidRDefault="00D054D5" w:rsidP="00FE2F59">
      <w:pPr>
        <w:jc w:val="both"/>
        <w:rPr>
          <w:rFonts w:eastAsiaTheme="minorEastAsia" w:cstheme="minorBidi"/>
          <w:lang w:eastAsia="en-AU" w:bidi="en-US"/>
        </w:rPr>
      </w:pPr>
    </w:p>
    <w:p w14:paraId="18A54898" w14:textId="77777777" w:rsidR="00141A86" w:rsidRPr="001648CD" w:rsidRDefault="00141A86" w:rsidP="00FE2F59">
      <w:pPr>
        <w:keepNext/>
        <w:spacing w:line="360" w:lineRule="auto"/>
        <w:jc w:val="center"/>
        <w:rPr>
          <w:rFonts w:eastAsiaTheme="minorEastAsia" w:cstheme="minorBidi"/>
          <w:lang w:bidi="en-US"/>
        </w:rPr>
      </w:pPr>
      <w:r>
        <w:rPr>
          <w:noProof/>
          <w:lang w:eastAsia="en-AU"/>
        </w:rPr>
        <w:drawing>
          <wp:inline distT="0" distB="0" distL="0" distR="0" wp14:anchorId="11ECE0B9" wp14:editId="4775C7BD">
            <wp:extent cx="5206365" cy="1964797"/>
            <wp:effectExtent l="0" t="0" r="0" b="0"/>
            <wp:docPr id="26" name="Picture 26" descr="Figure 4.5 Overview of approach to determine a multi-substance species sensitivity distribution (SSD) for a mixture of herbicides with the same mode of action (concentration additive model). SSDs on a concentration basis for individual herbicides (left graph) are converted to a dimensionless hazard unit (HU) scale which normalizes all SSDs to have a PC50 value (concentration at which 50% of the species are affected) of 1 HU (right graph). An ‘average’ SSD is fitted to the individual HU scale-SSDs and the midpoint (αG) and slope (βG) of the global distribution are determined in order to calculate PAF for an environmental mixture." title="Fig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859"/>
                    <a:stretch/>
                  </pic:blipFill>
                  <pic:spPr bwMode="auto">
                    <a:xfrm>
                      <a:off x="0" y="0"/>
                      <a:ext cx="5206365" cy="1964797"/>
                    </a:xfrm>
                    <a:prstGeom prst="rect">
                      <a:avLst/>
                    </a:prstGeom>
                    <a:noFill/>
                    <a:ln>
                      <a:noFill/>
                    </a:ln>
                    <a:extLst>
                      <a:ext uri="{53640926-AAD7-44D8-BBD7-CCE9431645EC}">
                        <a14:shadowObscured xmlns:a14="http://schemas.microsoft.com/office/drawing/2010/main"/>
                      </a:ext>
                    </a:extLst>
                  </pic:spPr>
                </pic:pic>
              </a:graphicData>
            </a:graphic>
          </wp:inline>
        </w:drawing>
      </w:r>
    </w:p>
    <w:p w14:paraId="17DE9E94" w14:textId="7A9F71D5" w:rsidR="00D054D5" w:rsidRPr="004430F1" w:rsidRDefault="00D65C62" w:rsidP="007E5A3A">
      <w:pPr>
        <w:pStyle w:val="Caption"/>
      </w:pPr>
      <w:bookmarkStart w:id="258" w:name="_Ref465247363"/>
      <w:bookmarkStart w:id="259" w:name="_Toc12361625"/>
      <w:bookmarkStart w:id="260" w:name="_Toc434319648"/>
      <w:r w:rsidRPr="004430F1">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4</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5</w:t>
      </w:r>
      <w:r w:rsidR="006940F4">
        <w:rPr>
          <w:noProof/>
        </w:rPr>
        <w:fldChar w:fldCharType="end"/>
      </w:r>
      <w:bookmarkEnd w:id="258"/>
      <w:r w:rsidRPr="004430F1">
        <w:t xml:space="preserve"> </w:t>
      </w:r>
      <w:r w:rsidR="00141A86" w:rsidRPr="004430F1">
        <w:t>Overview of approach to determine a multi-substance species sensitivity distribution</w:t>
      </w:r>
      <w:r w:rsidR="00D2674D">
        <w:rPr>
          <w:rStyle w:val="CommentReference"/>
          <w:rFonts w:eastAsiaTheme="minorHAnsi" w:cs="Times New Roman"/>
          <w:b w:val="0"/>
          <w:bCs w:val="0"/>
          <w:color w:val="auto"/>
          <w:lang w:eastAsia="en-US"/>
        </w:rPr>
        <w:t xml:space="preserve"> </w:t>
      </w:r>
      <w:r w:rsidR="00141A86" w:rsidRPr="004430F1">
        <w:t>for a mixture of herbicides with the same mode of action (concentration additive model).</w:t>
      </w:r>
      <w:bookmarkEnd w:id="259"/>
      <w:r w:rsidR="00141A86" w:rsidRPr="004430F1">
        <w:t xml:space="preserve"> </w:t>
      </w:r>
      <w:bookmarkEnd w:id="260"/>
    </w:p>
    <w:p w14:paraId="0455C036" w14:textId="77777777" w:rsidR="0045293A" w:rsidRDefault="0045293A" w:rsidP="00095A05">
      <w:pPr>
        <w:rPr>
          <w:rFonts w:eastAsiaTheme="minorEastAsia" w:cstheme="minorBidi"/>
          <w:lang w:eastAsia="en-AU" w:bidi="en-US"/>
        </w:rPr>
      </w:pPr>
    </w:p>
    <w:p w14:paraId="52763F73" w14:textId="67AD22FE" w:rsidR="00D054D5" w:rsidRDefault="00D054D5" w:rsidP="00095A05">
      <w:pPr>
        <w:rPr>
          <w:rFonts w:cs="Arial"/>
        </w:rPr>
      </w:pPr>
      <w:r w:rsidRPr="00F61621">
        <w:rPr>
          <w:rFonts w:eastAsiaTheme="minorEastAsia" w:cstheme="minorBidi"/>
          <w:lang w:eastAsia="en-AU" w:bidi="en-US"/>
        </w:rPr>
        <w:t xml:space="preserve">Phototrophs are highly relevant for ecological risk assessments </w:t>
      </w:r>
      <w:r w:rsidR="00EA621F">
        <w:rPr>
          <w:rFonts w:eastAsiaTheme="minorEastAsia" w:cstheme="minorBidi"/>
          <w:lang w:eastAsia="en-AU" w:bidi="en-US"/>
        </w:rPr>
        <w:t>of</w:t>
      </w:r>
      <w:r w:rsidR="00EA621F" w:rsidRPr="00F61621">
        <w:rPr>
          <w:rFonts w:eastAsiaTheme="minorEastAsia" w:cstheme="minorBidi"/>
          <w:lang w:eastAsia="en-AU" w:bidi="en-US"/>
        </w:rPr>
        <w:t xml:space="preserve"> </w:t>
      </w:r>
      <w:r w:rsidRPr="00F61621">
        <w:rPr>
          <w:rFonts w:eastAsiaTheme="minorEastAsia" w:cstheme="minorBidi"/>
          <w:lang w:eastAsia="en-AU" w:bidi="en-US"/>
        </w:rPr>
        <w:t xml:space="preserve">Reef ecosystems </w:t>
      </w:r>
      <w:r w:rsidR="00EA621F">
        <w:rPr>
          <w:rFonts w:eastAsiaTheme="minorEastAsia" w:cstheme="minorBidi"/>
          <w:lang w:eastAsia="en-AU" w:bidi="en-US"/>
        </w:rPr>
        <w:t xml:space="preserve">because </w:t>
      </w:r>
      <w:r w:rsidRPr="00F61621">
        <w:rPr>
          <w:rFonts w:eastAsiaTheme="minorEastAsia" w:cstheme="minorBidi"/>
          <w:lang w:eastAsia="en-AU" w:bidi="en-US"/>
        </w:rPr>
        <w:t>corals</w:t>
      </w:r>
      <w:r w:rsidR="00EA621F">
        <w:rPr>
          <w:rFonts w:eastAsiaTheme="minorEastAsia" w:cstheme="minorBidi"/>
          <w:lang w:eastAsia="en-AU" w:bidi="en-US"/>
        </w:rPr>
        <w:t>, which</w:t>
      </w:r>
      <w:r w:rsidRPr="00F61621">
        <w:rPr>
          <w:rFonts w:eastAsiaTheme="minorEastAsia" w:cstheme="minorBidi"/>
          <w:lang w:eastAsia="en-AU" w:bidi="en-US"/>
        </w:rPr>
        <w:t xml:space="preserve"> contain photosynthetic zooxanthellae</w:t>
      </w:r>
      <w:r w:rsidR="00EA621F">
        <w:rPr>
          <w:rFonts w:eastAsiaTheme="minorEastAsia" w:cstheme="minorBidi"/>
          <w:lang w:eastAsia="en-AU" w:bidi="en-US"/>
        </w:rPr>
        <w:t>,</w:t>
      </w:r>
      <w:r w:rsidRPr="00F61621">
        <w:rPr>
          <w:rFonts w:eastAsiaTheme="minorEastAsia" w:cstheme="minorBidi"/>
          <w:lang w:eastAsia="en-AU" w:bidi="en-US"/>
        </w:rPr>
        <w:t xml:space="preserve"> and seagrasses</w:t>
      </w:r>
      <w:r w:rsidR="00EA621F">
        <w:rPr>
          <w:rFonts w:eastAsiaTheme="minorEastAsia" w:cstheme="minorBidi"/>
          <w:lang w:eastAsia="en-AU" w:bidi="en-US"/>
        </w:rPr>
        <w:t>, which</w:t>
      </w:r>
      <w:r w:rsidRPr="00F61621">
        <w:rPr>
          <w:rFonts w:eastAsiaTheme="minorEastAsia" w:cstheme="minorBidi"/>
          <w:lang w:eastAsia="en-AU" w:bidi="en-US"/>
        </w:rPr>
        <w:t xml:space="preserve"> are phototrophs</w:t>
      </w:r>
      <w:r w:rsidR="00EA621F">
        <w:rPr>
          <w:rFonts w:eastAsiaTheme="minorEastAsia" w:cstheme="minorBidi"/>
          <w:lang w:eastAsia="en-AU" w:bidi="en-US"/>
        </w:rPr>
        <w:t>,</w:t>
      </w:r>
      <w:r w:rsidRPr="00F61621">
        <w:rPr>
          <w:rFonts w:eastAsiaTheme="minorEastAsia" w:cstheme="minorBidi"/>
          <w:lang w:eastAsia="en-AU" w:bidi="en-US"/>
        </w:rPr>
        <w:t xml:space="preserve"> are keystone species. Additionally, phototrophs (in the form of micro-algae) form the basis of many food chains.</w:t>
      </w:r>
      <w:r>
        <w:rPr>
          <w:rFonts w:eastAsiaTheme="minorEastAsia" w:cstheme="minorBidi"/>
          <w:lang w:eastAsia="en-AU" w:bidi="en-US"/>
        </w:rPr>
        <w:t xml:space="preserve"> </w:t>
      </w:r>
      <w:r w:rsidR="00141A86">
        <w:rPr>
          <w:rFonts w:eastAsiaTheme="minorEastAsia" w:cstheme="minorBidi"/>
          <w:lang w:eastAsia="en-AU" w:bidi="en-US"/>
        </w:rPr>
        <w:t>C</w:t>
      </w:r>
      <w:r w:rsidRPr="00F61621">
        <w:rPr>
          <w:rFonts w:eastAsiaTheme="minorEastAsia" w:cstheme="minorBidi"/>
          <w:lang w:eastAsia="en-AU" w:bidi="en-US"/>
        </w:rPr>
        <w:t xml:space="preserve">hemicals that have a specific mode of action </w:t>
      </w:r>
      <w:r>
        <w:rPr>
          <w:rFonts w:eastAsiaTheme="minorEastAsia" w:cstheme="minorBidi"/>
          <w:lang w:eastAsia="en-AU" w:bidi="en-US"/>
        </w:rPr>
        <w:t>(</w:t>
      </w:r>
      <w:r w:rsidRPr="00F61621">
        <w:rPr>
          <w:rFonts w:eastAsiaTheme="minorEastAsia" w:cstheme="minorBidi"/>
          <w:lang w:eastAsia="en-AU" w:bidi="en-US"/>
        </w:rPr>
        <w:t>such as PSII herbicides</w:t>
      </w:r>
      <w:r>
        <w:rPr>
          <w:rFonts w:eastAsiaTheme="minorEastAsia" w:cstheme="minorBidi"/>
          <w:lang w:eastAsia="en-AU" w:bidi="en-US"/>
        </w:rPr>
        <w:t>)</w:t>
      </w:r>
      <w:r w:rsidRPr="00F61621">
        <w:rPr>
          <w:rFonts w:eastAsiaTheme="minorEastAsia" w:cstheme="minorBidi"/>
          <w:lang w:eastAsia="en-AU" w:bidi="en-US"/>
        </w:rPr>
        <w:t xml:space="preserve">, have a bimodal </w:t>
      </w:r>
      <w:r w:rsidR="00141A86">
        <w:rPr>
          <w:rFonts w:eastAsiaTheme="minorEastAsia" w:cstheme="minorBidi"/>
          <w:lang w:eastAsia="en-AU" w:bidi="en-US"/>
        </w:rPr>
        <w:t>SSD</w:t>
      </w:r>
      <w:r>
        <w:rPr>
          <w:rFonts w:eastAsiaTheme="minorEastAsia" w:cstheme="minorBidi"/>
          <w:lang w:eastAsia="en-AU" w:bidi="en-US"/>
        </w:rPr>
        <w:t xml:space="preserve">. That is, </w:t>
      </w:r>
      <w:r w:rsidRPr="00F61621">
        <w:rPr>
          <w:rFonts w:eastAsiaTheme="minorEastAsia" w:cstheme="minorBidi"/>
          <w:lang w:eastAsia="en-AU" w:bidi="en-US"/>
        </w:rPr>
        <w:t>a more sensitive distribution for the target organisms (phototrophs for PSII herbic</w:t>
      </w:r>
      <w:r>
        <w:rPr>
          <w:rFonts w:eastAsiaTheme="minorEastAsia" w:cstheme="minorBidi"/>
          <w:lang w:eastAsia="en-AU" w:bidi="en-US"/>
        </w:rPr>
        <w:t>i</w:t>
      </w:r>
      <w:r w:rsidRPr="00F61621">
        <w:rPr>
          <w:rFonts w:eastAsiaTheme="minorEastAsia" w:cstheme="minorBidi"/>
          <w:lang w:eastAsia="en-AU" w:bidi="en-US"/>
        </w:rPr>
        <w:t>des) and another less sensitive distribution for the non-target organisms (all non-phototrophs for PSII herbicides). In such cases</w:t>
      </w:r>
      <w:r w:rsidR="008856BE">
        <w:rPr>
          <w:rFonts w:eastAsiaTheme="minorEastAsia" w:cstheme="minorBidi"/>
          <w:lang w:eastAsia="en-AU" w:bidi="en-US"/>
        </w:rPr>
        <w:t>,</w:t>
      </w:r>
      <w:r w:rsidRPr="00F61621">
        <w:rPr>
          <w:rFonts w:eastAsiaTheme="minorEastAsia" w:cstheme="minorBidi"/>
          <w:lang w:eastAsia="en-AU" w:bidi="en-US"/>
        </w:rPr>
        <w:t xml:space="preserve"> not all the toxicity data can be used, rather only the data from the most sensitive group of organisms are used to calculate the </w:t>
      </w:r>
      <w:r w:rsidR="00141A86" w:rsidRPr="00F61621">
        <w:rPr>
          <w:rFonts w:eastAsiaTheme="minorEastAsia" w:cstheme="minorBidi"/>
          <w:lang w:eastAsia="en-AU" w:bidi="en-US"/>
        </w:rPr>
        <w:t>SSD</w:t>
      </w:r>
      <w:r w:rsidR="00873CEF">
        <w:rPr>
          <w:rFonts w:eastAsiaTheme="minorEastAsia" w:cstheme="minorBidi"/>
          <w:lang w:eastAsia="en-AU" w:bidi="en-US"/>
        </w:rPr>
        <w:t xml:space="preserve"> </w:t>
      </w:r>
      <w:r w:rsidR="00873CEF">
        <w:rPr>
          <w:rFonts w:eastAsiaTheme="minorEastAsia" w:cstheme="minorBidi"/>
          <w:lang w:eastAsia="en-AU" w:bidi="en-US"/>
        </w:rPr>
        <w:fldChar w:fldCharType="begin"/>
      </w:r>
      <w:r w:rsidR="00873CEF">
        <w:rPr>
          <w:rFonts w:eastAsiaTheme="minorEastAsia" w:cstheme="minorBidi"/>
          <w:lang w:eastAsia="en-AU" w:bidi="en-US"/>
        </w:rPr>
        <w:instrText xml:space="preserve"> ADDIN EN.CITE &lt;EndNote&gt;&lt;Cite&gt;&lt;Author&gt;Australian and New Zealand Environment and Conservation Council (ANZECC) and Agriculture and Resource Management Council of Australia and New Zealand (ARMCANZ)&lt;/Author&gt;&lt;Year&gt;2000&lt;/Year&gt;&lt;RecNum&gt;1294&lt;/RecNum&gt;&lt;DisplayText&gt;(Australian and New Zealand Environment and Conservation Council (ANZECC) and Agriculture and Resource Management Council of Australia and New Zealand (ARMCANZ), 2000)&lt;/DisplayText&gt;&lt;record&gt;&lt;rec-number&gt;1294&lt;/rec-number&gt;&lt;foreign-keys&gt;&lt;key app="EN" db-id="zapfddtwo2e9z5e5vxoxafs7sf59wfp52rvf" timestamp="1558666891"&gt;1294&lt;/key&gt;&lt;/foreign-keys&gt;&lt;ref-type name="Report"&gt;27&lt;/ref-type&gt;&lt;contributors&gt;&lt;authors&gt;&lt;author&gt;Australian and New Zealand Environment and Conservation Council (ANZECC) and Agriculture and Resource Management Council of Australia and New Zealand (ARMCANZ),&lt;/author&gt;&lt;/authors&gt;&lt;/contributors&gt;&lt;titles&gt;&lt;title&gt;Australian and New Zealand guidelines for fresh and marine water quality, National Water Quality Management Strategy Paper No 4&lt;/title&gt;&lt;/titles&gt;&lt;dates&gt;&lt;year&gt;2000&lt;/year&gt;&lt;/dates&gt;&lt;pub-location&gt;ANZECC and ARMCANZ, Canberra&lt;/pub-location&gt;&lt;urls&gt;&lt;related-urls&gt;&lt;url&gt;https://www.environment.gov.au/about-us/publications/archive&lt;/url&gt;&lt;/related-urls&gt;&lt;/urls&gt;&lt;access-date&gt;23/05/2019&lt;/access-date&gt;&lt;/record&gt;&lt;/Cite&gt;&lt;/EndNote&gt;</w:instrText>
      </w:r>
      <w:r w:rsidR="00873CEF">
        <w:rPr>
          <w:rFonts w:eastAsiaTheme="minorEastAsia" w:cstheme="minorBidi"/>
          <w:lang w:eastAsia="en-AU" w:bidi="en-US"/>
        </w:rPr>
        <w:fldChar w:fldCharType="separate"/>
      </w:r>
      <w:r w:rsidR="00873CEF">
        <w:rPr>
          <w:rFonts w:eastAsiaTheme="minorEastAsia" w:cstheme="minorBidi"/>
          <w:noProof/>
          <w:lang w:eastAsia="en-AU" w:bidi="en-US"/>
        </w:rPr>
        <w:t>(Australian and New Zealand Environment and Conservation Council (ANZECC) and Agriculture and Resource Management Council of Australia and New Zealand (ARMCANZ), 2000)</w:t>
      </w:r>
      <w:r w:rsidR="00873CEF">
        <w:rPr>
          <w:rFonts w:eastAsiaTheme="minorEastAsia" w:cstheme="minorBidi"/>
          <w:lang w:eastAsia="en-AU" w:bidi="en-US"/>
        </w:rPr>
        <w:fldChar w:fldCharType="end"/>
      </w:r>
      <w:r w:rsidR="007B5F3B">
        <w:rPr>
          <w:rFonts w:eastAsiaTheme="minorEastAsia" w:cstheme="minorBidi"/>
          <w:lang w:eastAsia="en-AU" w:bidi="en-US"/>
        </w:rPr>
        <w:t>.</w:t>
      </w:r>
      <w:r w:rsidR="007B5F3B">
        <w:rPr>
          <w:rFonts w:cs="Arial"/>
        </w:rPr>
        <w:t xml:space="preserve"> </w:t>
      </w:r>
      <w:r w:rsidRPr="00F61621">
        <w:rPr>
          <w:rFonts w:eastAsiaTheme="minorEastAsia" w:cstheme="minorBidi"/>
          <w:lang w:eastAsia="en-AU" w:bidi="en-US"/>
        </w:rPr>
        <w:t>Therefore it is appropriate to only use toxicity for phototrophs to assess the potential impact of PSII herbicides</w:t>
      </w:r>
      <w:r w:rsidR="00141A86">
        <w:rPr>
          <w:rFonts w:eastAsiaTheme="minorEastAsia" w:cstheme="minorBidi"/>
          <w:lang w:eastAsia="en-AU" w:bidi="en-US"/>
        </w:rPr>
        <w:t xml:space="preserve"> on the Reef ecosystem</w:t>
      </w:r>
      <w:r w:rsidRPr="00F61621">
        <w:rPr>
          <w:rFonts w:eastAsiaTheme="minorEastAsia" w:cstheme="minorBidi"/>
          <w:lang w:eastAsia="en-AU" w:bidi="en-US"/>
        </w:rPr>
        <w:t>.</w:t>
      </w:r>
    </w:p>
    <w:p w14:paraId="1D6CF4A6" w14:textId="77777777" w:rsidR="00D054D5" w:rsidRPr="001648CD" w:rsidRDefault="00D054D5" w:rsidP="00095A05">
      <w:pPr>
        <w:rPr>
          <w:rFonts w:eastAsiaTheme="minorEastAsia" w:cstheme="minorBidi"/>
          <w:lang w:bidi="en-US"/>
        </w:rPr>
      </w:pPr>
      <w:r w:rsidRPr="001648CD">
        <w:rPr>
          <w:rFonts w:eastAsiaTheme="minorEastAsia" w:cstheme="minorBidi"/>
          <w:lang w:bidi="en-US"/>
        </w:rPr>
        <w:t>Data (NOEC and EC</w:t>
      </w:r>
      <w:r w:rsidRPr="001648CD">
        <w:rPr>
          <w:rFonts w:eastAsiaTheme="minorEastAsia" w:cstheme="minorBidi"/>
          <w:vertAlign w:val="subscript"/>
          <w:lang w:bidi="en-US"/>
        </w:rPr>
        <w:t>50</w:t>
      </w:r>
      <w:r w:rsidRPr="001648CD">
        <w:rPr>
          <w:rFonts w:eastAsiaTheme="minorEastAsia" w:cstheme="minorBidi"/>
          <w:lang w:bidi="en-US"/>
        </w:rPr>
        <w:t xml:space="preserve"> data collated from the literature) used in the SSDs </w:t>
      </w:r>
      <w:r w:rsidR="007B5F3B">
        <w:rPr>
          <w:rFonts w:eastAsiaTheme="minorEastAsia" w:cstheme="minorBidi"/>
          <w:lang w:bidi="en-US"/>
        </w:rPr>
        <w:t>s</w:t>
      </w:r>
      <w:r w:rsidR="00141A86">
        <w:rPr>
          <w:rFonts w:eastAsiaTheme="minorEastAsia" w:cstheme="minorBidi"/>
          <w:lang w:bidi="en-US"/>
        </w:rPr>
        <w:t xml:space="preserve">hould be </w:t>
      </w:r>
      <w:r w:rsidRPr="001648CD">
        <w:rPr>
          <w:rFonts w:eastAsiaTheme="minorEastAsia" w:cstheme="minorBidi"/>
          <w:lang w:bidi="en-US"/>
        </w:rPr>
        <w:t>selected based on the following considerations:</w:t>
      </w:r>
    </w:p>
    <w:p w14:paraId="77F23DEC" w14:textId="59E9BEC2" w:rsidR="00D054D5" w:rsidRPr="006832C0" w:rsidRDefault="008856BE" w:rsidP="006C7E99">
      <w:pPr>
        <w:pStyle w:val="ListParagraph"/>
        <w:numPr>
          <w:ilvl w:val="0"/>
          <w:numId w:val="32"/>
        </w:numPr>
        <w:rPr>
          <w:rFonts w:eastAsiaTheme="minorEastAsia" w:cstheme="minorBidi"/>
          <w:lang w:bidi="en-US"/>
        </w:rPr>
      </w:pPr>
      <w:r>
        <w:rPr>
          <w:rFonts w:eastAsiaTheme="minorEastAsia" w:cstheme="minorBidi"/>
          <w:lang w:bidi="en-US"/>
        </w:rPr>
        <w:t>r</w:t>
      </w:r>
      <w:r w:rsidRPr="006832C0">
        <w:rPr>
          <w:rFonts w:eastAsiaTheme="minorEastAsia" w:cstheme="minorBidi"/>
          <w:lang w:bidi="en-US"/>
        </w:rPr>
        <w:t xml:space="preserve">elevance </w:t>
      </w:r>
      <w:r w:rsidR="00D054D5" w:rsidRPr="006832C0">
        <w:rPr>
          <w:rFonts w:eastAsiaTheme="minorEastAsia" w:cstheme="minorBidi"/>
          <w:lang w:bidi="en-US"/>
        </w:rPr>
        <w:t xml:space="preserve">of species to the </w:t>
      </w:r>
      <w:r w:rsidR="00141A86">
        <w:rPr>
          <w:rFonts w:eastAsiaTheme="minorEastAsia" w:cstheme="minorBidi"/>
          <w:lang w:bidi="en-US"/>
        </w:rPr>
        <w:t xml:space="preserve">Reef </w:t>
      </w:r>
      <w:r w:rsidR="00D054D5" w:rsidRPr="006832C0">
        <w:rPr>
          <w:rFonts w:eastAsiaTheme="minorEastAsia" w:cstheme="minorBidi"/>
          <w:lang w:bidi="en-US"/>
        </w:rPr>
        <w:t>region (i.e. phototrophs such as photosynthetic zooxanthellae, seagrasses and micro algae; keystone species of the Reef</w:t>
      </w:r>
      <w:r w:rsidRPr="006832C0">
        <w:rPr>
          <w:rFonts w:eastAsiaTheme="minorEastAsia" w:cstheme="minorBidi"/>
          <w:lang w:bidi="en-US"/>
        </w:rPr>
        <w:t>)</w:t>
      </w:r>
    </w:p>
    <w:p w14:paraId="233E7ABA" w14:textId="21697998" w:rsidR="00D054D5" w:rsidRPr="006832C0" w:rsidRDefault="008856BE" w:rsidP="006C7E99">
      <w:pPr>
        <w:pStyle w:val="ListParagraph"/>
        <w:numPr>
          <w:ilvl w:val="0"/>
          <w:numId w:val="32"/>
        </w:numPr>
        <w:rPr>
          <w:rFonts w:eastAsiaTheme="minorEastAsia" w:cstheme="minorBidi"/>
          <w:lang w:bidi="en-US"/>
        </w:rPr>
      </w:pPr>
      <w:r>
        <w:rPr>
          <w:rFonts w:eastAsiaTheme="minorEastAsia" w:cstheme="minorBidi"/>
          <w:lang w:bidi="en-US"/>
        </w:rPr>
        <w:t>a</w:t>
      </w:r>
      <w:r w:rsidRPr="006832C0">
        <w:rPr>
          <w:rFonts w:eastAsiaTheme="minorEastAsia" w:cstheme="minorBidi"/>
          <w:lang w:bidi="en-US"/>
        </w:rPr>
        <w:t xml:space="preserve">ppropriateness </w:t>
      </w:r>
      <w:r w:rsidR="00D054D5" w:rsidRPr="006832C0">
        <w:rPr>
          <w:rFonts w:eastAsiaTheme="minorEastAsia" w:cstheme="minorBidi"/>
          <w:lang w:bidi="en-US"/>
        </w:rPr>
        <w:t xml:space="preserve">of the exposure duration (toxicity data that includes both acute and chronic exposure to mimic the extensive periods of low concentrations in the dry season, and pulses in the wet season) </w:t>
      </w:r>
    </w:p>
    <w:p w14:paraId="2EF6EBF1" w14:textId="211A19FD" w:rsidR="00D054D5" w:rsidRPr="006832C0" w:rsidRDefault="008856BE" w:rsidP="006C7E99">
      <w:pPr>
        <w:pStyle w:val="ListParagraph"/>
        <w:numPr>
          <w:ilvl w:val="0"/>
          <w:numId w:val="32"/>
        </w:numPr>
        <w:rPr>
          <w:rFonts w:eastAsiaTheme="minorEastAsia" w:cstheme="minorBidi"/>
          <w:lang w:bidi="en-US"/>
        </w:rPr>
      </w:pPr>
      <w:r>
        <w:rPr>
          <w:rFonts w:eastAsiaTheme="minorEastAsia" w:cstheme="minorBidi"/>
          <w:lang w:bidi="en-US"/>
        </w:rPr>
        <w:t>r</w:t>
      </w:r>
      <w:r w:rsidRPr="006832C0">
        <w:rPr>
          <w:rFonts w:eastAsiaTheme="minorEastAsia" w:cstheme="minorBidi"/>
          <w:lang w:bidi="en-US"/>
        </w:rPr>
        <w:t xml:space="preserve">elevance </w:t>
      </w:r>
      <w:r w:rsidR="00D054D5" w:rsidRPr="006832C0">
        <w:rPr>
          <w:rFonts w:eastAsiaTheme="minorEastAsia" w:cstheme="minorBidi"/>
          <w:lang w:bidi="en-US"/>
        </w:rPr>
        <w:t xml:space="preserve">of the toxicity endpoints (i.e. those related to the long-term survival of populations, communities and </w:t>
      </w:r>
      <w:r w:rsidR="00AA70D6" w:rsidRPr="006832C0">
        <w:rPr>
          <w:rFonts w:eastAsiaTheme="minorEastAsia" w:cstheme="minorBidi"/>
          <w:lang w:bidi="en-US"/>
        </w:rPr>
        <w:t>ecosystems</w:t>
      </w:r>
      <w:r w:rsidR="00D054D5" w:rsidRPr="006832C0">
        <w:rPr>
          <w:rFonts w:eastAsiaTheme="minorEastAsia" w:cstheme="minorBidi"/>
          <w:lang w:bidi="en-US"/>
        </w:rPr>
        <w:t xml:space="preserve"> and include death, immobilisation, growth (individual or population), abundance and reproductive impairment)</w:t>
      </w:r>
    </w:p>
    <w:p w14:paraId="51C64322" w14:textId="68D090DC" w:rsidR="00D054D5" w:rsidRPr="006832C0" w:rsidRDefault="008856BE" w:rsidP="006C7E99">
      <w:pPr>
        <w:pStyle w:val="ListParagraph"/>
        <w:numPr>
          <w:ilvl w:val="0"/>
          <w:numId w:val="32"/>
        </w:numPr>
        <w:rPr>
          <w:rFonts w:eastAsiaTheme="minorEastAsia" w:cstheme="minorBidi"/>
          <w:lang w:bidi="en-US"/>
        </w:rPr>
      </w:pPr>
      <w:r>
        <w:rPr>
          <w:rFonts w:eastAsiaTheme="minorEastAsia" w:cstheme="minorBidi"/>
          <w:lang w:bidi="en-US"/>
        </w:rPr>
        <w:t>r</w:t>
      </w:r>
      <w:r w:rsidRPr="006832C0">
        <w:rPr>
          <w:rFonts w:eastAsiaTheme="minorEastAsia" w:cstheme="minorBidi"/>
          <w:lang w:bidi="en-US"/>
        </w:rPr>
        <w:t xml:space="preserve">elevance </w:t>
      </w:r>
      <w:r w:rsidR="00D054D5" w:rsidRPr="006832C0">
        <w:rPr>
          <w:rFonts w:eastAsiaTheme="minorEastAsia" w:cstheme="minorBidi"/>
          <w:lang w:bidi="en-US"/>
        </w:rPr>
        <w:t xml:space="preserve">of the measures of toxicity (toxicity data indicative of both a minor and a major risk </w:t>
      </w:r>
      <w:r>
        <w:rPr>
          <w:rFonts w:eastAsiaTheme="minorEastAsia" w:cstheme="minorBidi"/>
          <w:lang w:bidi="en-US"/>
        </w:rPr>
        <w:t>are</w:t>
      </w:r>
      <w:r w:rsidRPr="006832C0">
        <w:rPr>
          <w:rFonts w:eastAsiaTheme="minorEastAsia" w:cstheme="minorBidi"/>
          <w:lang w:bidi="en-US"/>
        </w:rPr>
        <w:t xml:space="preserve"> </w:t>
      </w:r>
      <w:r w:rsidR="00D054D5" w:rsidRPr="006832C0">
        <w:rPr>
          <w:rFonts w:eastAsiaTheme="minorEastAsia" w:cstheme="minorBidi"/>
          <w:lang w:bidi="en-US"/>
        </w:rPr>
        <w:t>used for both short-term (acute) and long-term (chronic) exposure calculations</w:t>
      </w:r>
      <w:r>
        <w:rPr>
          <w:rFonts w:eastAsiaTheme="minorEastAsia" w:cstheme="minorBidi"/>
          <w:lang w:bidi="en-US"/>
        </w:rPr>
        <w:t>)</w:t>
      </w:r>
      <w:r w:rsidR="00D054D5" w:rsidRPr="006832C0">
        <w:rPr>
          <w:rFonts w:eastAsiaTheme="minorEastAsia" w:cstheme="minorBidi"/>
          <w:lang w:bidi="en-US"/>
        </w:rPr>
        <w:t>.</w:t>
      </w:r>
    </w:p>
    <w:p w14:paraId="3E0A4D3D" w14:textId="24522EF4" w:rsidR="00D054D5" w:rsidRPr="001648CD" w:rsidRDefault="00D054D5" w:rsidP="00095A05">
      <w:pPr>
        <w:rPr>
          <w:rFonts w:eastAsiaTheme="minorEastAsia" w:cstheme="minorBidi"/>
          <w:lang w:bidi="en-US"/>
        </w:rPr>
      </w:pPr>
      <w:r w:rsidRPr="001648CD">
        <w:rPr>
          <w:rFonts w:eastAsiaTheme="minorEastAsia" w:cstheme="minorBidi"/>
          <w:lang w:bidi="en-US"/>
        </w:rPr>
        <w:t xml:space="preserve">In cases where the minimum data requirements to generate a reliable marine SSD </w:t>
      </w:r>
      <w:r w:rsidR="00141A86">
        <w:rPr>
          <w:rFonts w:eastAsiaTheme="minorEastAsia" w:cstheme="minorBidi"/>
          <w:lang w:bidi="en-US"/>
        </w:rPr>
        <w:t>are</w:t>
      </w:r>
      <w:r w:rsidR="00141A86" w:rsidRPr="001648CD">
        <w:rPr>
          <w:rFonts w:eastAsiaTheme="minorEastAsia" w:cstheme="minorBidi"/>
          <w:lang w:bidi="en-US"/>
        </w:rPr>
        <w:t xml:space="preserve"> </w:t>
      </w:r>
      <w:r w:rsidRPr="001648CD">
        <w:rPr>
          <w:rFonts w:eastAsiaTheme="minorEastAsia" w:cstheme="minorBidi"/>
          <w:lang w:bidi="en-US"/>
        </w:rPr>
        <w:t xml:space="preserve">not able to be met, freshwater and estuarine species </w:t>
      </w:r>
      <w:r w:rsidR="008856BE">
        <w:rPr>
          <w:rFonts w:eastAsiaTheme="minorEastAsia" w:cstheme="minorBidi"/>
          <w:lang w:bidi="en-US"/>
        </w:rPr>
        <w:t>can</w:t>
      </w:r>
      <w:r w:rsidR="008856BE" w:rsidRPr="001648CD">
        <w:rPr>
          <w:rFonts w:eastAsiaTheme="minorEastAsia" w:cstheme="minorBidi"/>
          <w:lang w:bidi="en-US"/>
        </w:rPr>
        <w:t xml:space="preserve"> </w:t>
      </w:r>
      <w:r w:rsidRPr="001648CD">
        <w:rPr>
          <w:rFonts w:eastAsiaTheme="minorEastAsia" w:cstheme="minorBidi"/>
          <w:lang w:bidi="en-US"/>
        </w:rPr>
        <w:t xml:space="preserve">also </w:t>
      </w:r>
      <w:r w:rsidR="008856BE">
        <w:rPr>
          <w:rFonts w:eastAsiaTheme="minorEastAsia" w:cstheme="minorBidi"/>
          <w:lang w:bidi="en-US"/>
        </w:rPr>
        <w:t xml:space="preserve">be </w:t>
      </w:r>
      <w:r w:rsidRPr="001648CD">
        <w:rPr>
          <w:rFonts w:eastAsiaTheme="minorEastAsia" w:cstheme="minorBidi"/>
          <w:lang w:bidi="en-US"/>
        </w:rPr>
        <w:t xml:space="preserve">used. </w:t>
      </w:r>
      <w:r w:rsidRPr="005732CC">
        <w:rPr>
          <w:rFonts w:eastAsiaTheme="minorEastAsia" w:cstheme="minorBidi"/>
          <w:lang w:bidi="en-US"/>
        </w:rPr>
        <w:t>The inclusion of freshwater and estuarine species in the development of SSDs suggest</w:t>
      </w:r>
      <w:r w:rsidR="008856BE">
        <w:rPr>
          <w:rFonts w:eastAsiaTheme="minorEastAsia" w:cstheme="minorBidi"/>
          <w:lang w:bidi="en-US"/>
        </w:rPr>
        <w:t>s</w:t>
      </w:r>
      <w:r w:rsidRPr="005732CC">
        <w:rPr>
          <w:rFonts w:eastAsiaTheme="minorEastAsia" w:cstheme="minorBidi"/>
          <w:lang w:bidi="en-US"/>
        </w:rPr>
        <w:t xml:space="preserve"> that the risk classes may at least in part be influenced by species irrelevant to the </w:t>
      </w:r>
      <w:r w:rsidR="00141A86">
        <w:rPr>
          <w:rFonts w:eastAsiaTheme="minorEastAsia" w:cstheme="minorBidi"/>
          <w:lang w:bidi="en-US"/>
        </w:rPr>
        <w:t>Reef</w:t>
      </w:r>
      <w:r w:rsidR="00141A86" w:rsidRPr="005732CC">
        <w:rPr>
          <w:rFonts w:eastAsiaTheme="minorEastAsia" w:cstheme="minorBidi"/>
          <w:lang w:bidi="en-US"/>
        </w:rPr>
        <w:t xml:space="preserve"> </w:t>
      </w:r>
      <w:r w:rsidRPr="005732CC">
        <w:rPr>
          <w:rFonts w:eastAsiaTheme="minorEastAsia" w:cstheme="minorBidi"/>
          <w:lang w:bidi="en-US"/>
        </w:rPr>
        <w:t>and this should be considered, including in recommendations as to which marine species and pesticides should be further investigated to develop more robust SSDs</w:t>
      </w:r>
      <w:r w:rsidR="00BC4BE0">
        <w:rPr>
          <w:rFonts w:eastAsiaTheme="minorEastAsia" w:cstheme="minorBidi"/>
          <w:lang w:bidi="en-US"/>
        </w:rPr>
        <w:t>.</w:t>
      </w:r>
      <w:r w:rsidRPr="001648CD">
        <w:rPr>
          <w:rFonts w:eastAsiaTheme="minorEastAsia" w:cstheme="minorBidi"/>
          <w:lang w:bidi="en-US"/>
        </w:rPr>
        <w:t xml:space="preserve">  </w:t>
      </w:r>
    </w:p>
    <w:p w14:paraId="491A4ABF" w14:textId="77777777" w:rsidR="00D528AA" w:rsidRPr="00D528AA" w:rsidRDefault="00D054D5" w:rsidP="009F5EFE">
      <w:r>
        <w:rPr>
          <w:rFonts w:cs="Arial"/>
        </w:rPr>
        <w:t>I</w:t>
      </w:r>
      <w:r w:rsidRPr="0058370B">
        <w:rPr>
          <w:rFonts w:cs="Arial"/>
        </w:rPr>
        <w:t>mplementing new risk classes</w:t>
      </w:r>
      <w:r>
        <w:rPr>
          <w:rFonts w:cs="Arial"/>
        </w:rPr>
        <w:t xml:space="preserve"> for the ms-PAF method is a current task of the Pesticide Working Group</w:t>
      </w:r>
      <w:r w:rsidRPr="0058370B">
        <w:rPr>
          <w:rFonts w:cs="Arial"/>
        </w:rPr>
        <w:t>.</w:t>
      </w:r>
      <w:r>
        <w:rPr>
          <w:rFonts w:cs="Arial"/>
        </w:rPr>
        <w:t xml:space="preserve"> F</w:t>
      </w:r>
      <w:r w:rsidRPr="000E506F">
        <w:rPr>
          <w:rFonts w:cs="Arial"/>
        </w:rPr>
        <w:t xml:space="preserve">ive interim risk </w:t>
      </w:r>
      <w:r>
        <w:rPr>
          <w:rFonts w:cs="Arial"/>
        </w:rPr>
        <w:t xml:space="preserve">classes </w:t>
      </w:r>
      <w:r w:rsidR="00141A86">
        <w:rPr>
          <w:rFonts w:cs="Arial"/>
        </w:rPr>
        <w:t xml:space="preserve">were </w:t>
      </w:r>
      <w:r>
        <w:rPr>
          <w:rFonts w:cs="Arial"/>
        </w:rPr>
        <w:t>implemented for the 2014</w:t>
      </w:r>
      <w:r w:rsidR="008856BE">
        <w:rPr>
          <w:rFonts w:cs="Arial"/>
        </w:rPr>
        <w:t>–</w:t>
      </w:r>
      <w:r>
        <w:rPr>
          <w:rFonts w:cs="Arial"/>
        </w:rPr>
        <w:t>15</w:t>
      </w:r>
      <w:r w:rsidR="00210396">
        <w:rPr>
          <w:rFonts w:cs="Arial"/>
        </w:rPr>
        <w:t xml:space="preserve"> and 2015</w:t>
      </w:r>
      <w:r w:rsidR="008856BE">
        <w:rPr>
          <w:rFonts w:cs="Arial"/>
        </w:rPr>
        <w:t>–</w:t>
      </w:r>
      <w:r w:rsidR="00210396">
        <w:rPr>
          <w:rFonts w:cs="Arial"/>
        </w:rPr>
        <w:t>16</w:t>
      </w:r>
      <w:r>
        <w:rPr>
          <w:rFonts w:cs="Arial"/>
        </w:rPr>
        <w:t xml:space="preserve"> reporting year</w:t>
      </w:r>
      <w:r w:rsidR="00210396">
        <w:rPr>
          <w:rFonts w:cs="Arial"/>
        </w:rPr>
        <w:t>s (</w:t>
      </w:r>
      <w:r w:rsidR="00210396" w:rsidRPr="00095A05">
        <w:rPr>
          <w:rFonts w:cs="Arial"/>
        </w:rPr>
        <w:fldChar w:fldCharType="begin"/>
      </w:r>
      <w:r w:rsidR="00210396" w:rsidRPr="00095A05">
        <w:rPr>
          <w:rFonts w:cs="Arial"/>
        </w:rPr>
        <w:instrText xml:space="preserve"> REF _Ref485569977 \h </w:instrText>
      </w:r>
      <w:r w:rsidR="00095A05" w:rsidRPr="00095A05">
        <w:rPr>
          <w:rFonts w:cs="Arial"/>
        </w:rPr>
        <w:instrText xml:space="preserve"> \* MERGEFORMAT </w:instrText>
      </w:r>
      <w:r w:rsidR="00210396" w:rsidRPr="00095A05">
        <w:rPr>
          <w:rFonts w:cs="Arial"/>
        </w:rPr>
      </w:r>
      <w:r w:rsidR="00210396" w:rsidRPr="00095A05">
        <w:rPr>
          <w:rFonts w:cs="Arial"/>
        </w:rPr>
        <w:fldChar w:fldCharType="separate"/>
      </w:r>
    </w:p>
    <w:p w14:paraId="786B9B8A" w14:textId="77777777" w:rsidR="009F5EFE" w:rsidRDefault="00D528AA" w:rsidP="009F5EFE">
      <w:pPr>
        <w:rPr>
          <w:rFonts w:cs="Arial"/>
        </w:rPr>
      </w:pPr>
      <w:r w:rsidRPr="007B5F3B">
        <w:t>Table</w:t>
      </w:r>
      <w:r w:rsidRPr="007B5F3B">
        <w:rPr>
          <w:noProof/>
        </w:rPr>
        <w:t xml:space="preserve"> </w:t>
      </w:r>
      <w:r>
        <w:rPr>
          <w:noProof/>
        </w:rPr>
        <w:t>4.3</w:t>
      </w:r>
      <w:r w:rsidR="00210396" w:rsidRPr="00095A05">
        <w:rPr>
          <w:rFonts w:cs="Arial"/>
        </w:rPr>
        <w:fldChar w:fldCharType="end"/>
      </w:r>
      <w:r w:rsidR="00210396">
        <w:rPr>
          <w:rFonts w:cs="Arial"/>
        </w:rPr>
        <w:t>)</w:t>
      </w:r>
      <w:r w:rsidR="008856BE">
        <w:rPr>
          <w:rFonts w:cs="Arial"/>
        </w:rPr>
        <w:t>;</w:t>
      </w:r>
      <w:r w:rsidR="00D054D5">
        <w:rPr>
          <w:rFonts w:cs="Arial"/>
        </w:rPr>
        <w:t xml:space="preserve"> </w:t>
      </w:r>
      <w:r w:rsidR="00D054D5" w:rsidRPr="000E506F">
        <w:rPr>
          <w:rFonts w:cs="Arial"/>
        </w:rPr>
        <w:t>however</w:t>
      </w:r>
      <w:r w:rsidR="008856BE">
        <w:rPr>
          <w:rFonts w:cs="Arial"/>
        </w:rPr>
        <w:t>,</w:t>
      </w:r>
      <w:r w:rsidR="00D054D5" w:rsidRPr="000E506F">
        <w:rPr>
          <w:rFonts w:cs="Arial"/>
        </w:rPr>
        <w:t xml:space="preserve"> it is important to note that the risk classes need to be validated against </w:t>
      </w:r>
      <w:r w:rsidR="00AA70D6">
        <w:rPr>
          <w:rFonts w:cs="Arial"/>
        </w:rPr>
        <w:t xml:space="preserve">Reef </w:t>
      </w:r>
      <w:r w:rsidR="00AA70D6" w:rsidRPr="000E506F">
        <w:rPr>
          <w:rFonts w:cs="Arial"/>
        </w:rPr>
        <w:t>species</w:t>
      </w:r>
      <w:r w:rsidR="00D054D5" w:rsidRPr="000E506F">
        <w:rPr>
          <w:rFonts w:cs="Arial"/>
        </w:rPr>
        <w:t xml:space="preserve"> to determine whether these represent meaningful tipping points</w:t>
      </w:r>
      <w:r w:rsidR="00D054D5">
        <w:rPr>
          <w:rFonts w:cs="Arial"/>
        </w:rPr>
        <w:t xml:space="preserve">. </w:t>
      </w:r>
      <w:r w:rsidR="00D054D5" w:rsidRPr="00C7122F">
        <w:rPr>
          <w:rFonts w:cs="Arial"/>
        </w:rPr>
        <w:t>Note that the</w:t>
      </w:r>
      <w:r w:rsidR="00210396">
        <w:rPr>
          <w:rFonts w:cs="Arial"/>
        </w:rPr>
        <w:t>se risk classes</w:t>
      </w:r>
      <w:r w:rsidR="00D054D5" w:rsidRPr="00C7122F">
        <w:rPr>
          <w:rFonts w:cs="Arial"/>
        </w:rPr>
        <w:t xml:space="preserve"> are for herbicides only and that different classes need to be developed for neurotoxic pesticides that cause mortality.</w:t>
      </w:r>
      <w:bookmarkStart w:id="261" w:name="_Ref485569977"/>
      <w:bookmarkStart w:id="262" w:name="_Toc485573850"/>
    </w:p>
    <w:p w14:paraId="775A8770" w14:textId="10A50A48" w:rsidR="00210396" w:rsidRPr="009B6881" w:rsidRDefault="00210396" w:rsidP="007E5A3A">
      <w:pPr>
        <w:pStyle w:val="Caption"/>
      </w:pPr>
      <w:bookmarkStart w:id="263" w:name="_Toc10398448"/>
      <w:r w:rsidRPr="007B5F3B">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4</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3</w:t>
      </w:r>
      <w:r w:rsidR="006940F4">
        <w:rPr>
          <w:noProof/>
        </w:rPr>
        <w:fldChar w:fldCharType="end"/>
      </w:r>
      <w:bookmarkEnd w:id="261"/>
      <w:r w:rsidRPr="007B5F3B">
        <w:t xml:space="preserve"> </w:t>
      </w:r>
      <w:r w:rsidR="00F75191">
        <w:t>R</w:t>
      </w:r>
      <w:r w:rsidRPr="009B6881">
        <w:t xml:space="preserve">isk classes used for </w:t>
      </w:r>
      <w:r w:rsidR="00F75191">
        <w:t>2016–17 and 2017–18</w:t>
      </w:r>
      <w:r w:rsidRPr="009B6881">
        <w:t xml:space="preserve"> reporting years for the </w:t>
      </w:r>
      <w:r w:rsidR="00F75191">
        <w:t>mixture</w:t>
      </w:r>
      <w:r w:rsidRPr="009B6881">
        <w:t xml:space="preserve"> method.</w:t>
      </w:r>
      <w:bookmarkEnd w:id="262"/>
      <w:bookmarkEnd w:id="263"/>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822"/>
        <w:gridCol w:w="3226"/>
        <w:gridCol w:w="2958"/>
      </w:tblGrid>
      <w:tr w:rsidR="00F75191" w14:paraId="72DAEAF7" w14:textId="77777777" w:rsidTr="00F75191">
        <w:tc>
          <w:tcPr>
            <w:tcW w:w="1050" w:type="pct"/>
            <w:shd w:val="clear" w:color="auto" w:fill="D9D9D9"/>
            <w:tcMar>
              <w:top w:w="0" w:type="dxa"/>
              <w:left w:w="108" w:type="dxa"/>
              <w:bottom w:w="0" w:type="dxa"/>
              <w:right w:w="108" w:type="dxa"/>
            </w:tcMar>
            <w:vAlign w:val="center"/>
            <w:hideMark/>
          </w:tcPr>
          <w:p w14:paraId="4D9EBC79" w14:textId="77777777" w:rsidR="00F75191" w:rsidRDefault="00F75191">
            <w:pPr>
              <w:pStyle w:val="NormalWeb"/>
              <w:jc w:val="center"/>
            </w:pPr>
            <w:r>
              <w:rPr>
                <w:rFonts w:ascii="Calibri" w:hAnsi="Calibri"/>
                <w:b/>
                <w:bCs/>
                <w:sz w:val="18"/>
                <w:szCs w:val="18"/>
              </w:rPr>
              <w:t>% species protected</w:t>
            </w:r>
          </w:p>
        </w:tc>
        <w:tc>
          <w:tcPr>
            <w:tcW w:w="1200" w:type="pct"/>
            <w:shd w:val="clear" w:color="auto" w:fill="D9D9D9"/>
            <w:tcMar>
              <w:top w:w="0" w:type="dxa"/>
              <w:left w:w="108" w:type="dxa"/>
              <w:bottom w:w="0" w:type="dxa"/>
              <w:right w:w="108" w:type="dxa"/>
            </w:tcMar>
            <w:vAlign w:val="center"/>
            <w:hideMark/>
          </w:tcPr>
          <w:p w14:paraId="5DB1446C" w14:textId="77777777" w:rsidR="00F75191" w:rsidRDefault="00F75191">
            <w:pPr>
              <w:pStyle w:val="NormalWeb"/>
              <w:jc w:val="center"/>
            </w:pPr>
            <w:r>
              <w:rPr>
                <w:rFonts w:ascii="Calibri" w:hAnsi="Calibri"/>
                <w:b/>
                <w:bCs/>
                <w:sz w:val="18"/>
                <w:szCs w:val="18"/>
              </w:rPr>
              <w:t>Risk Level</w:t>
            </w:r>
          </w:p>
        </w:tc>
        <w:tc>
          <w:tcPr>
            <w:tcW w:w="1100" w:type="pct"/>
            <w:shd w:val="clear" w:color="auto" w:fill="D9D9D9"/>
            <w:tcMar>
              <w:top w:w="0" w:type="dxa"/>
              <w:left w:w="108" w:type="dxa"/>
              <w:bottom w:w="0" w:type="dxa"/>
              <w:right w:w="108" w:type="dxa"/>
            </w:tcMar>
            <w:vAlign w:val="center"/>
            <w:hideMark/>
          </w:tcPr>
          <w:p w14:paraId="749AD499" w14:textId="77777777" w:rsidR="00F75191" w:rsidRDefault="00F75191">
            <w:pPr>
              <w:pStyle w:val="NormalWeb"/>
              <w:jc w:val="center"/>
            </w:pPr>
            <w:r>
              <w:rPr>
                <w:rFonts w:ascii="Calibri" w:hAnsi="Calibri"/>
                <w:b/>
                <w:bCs/>
                <w:sz w:val="18"/>
                <w:szCs w:val="18"/>
              </w:rPr>
              <w:t>Pesticides assessment</w:t>
            </w:r>
          </w:p>
        </w:tc>
      </w:tr>
      <w:tr w:rsidR="00F75191" w14:paraId="05156E1D" w14:textId="77777777" w:rsidTr="00F75191">
        <w:tc>
          <w:tcPr>
            <w:tcW w:w="1050" w:type="pct"/>
            <w:tcMar>
              <w:top w:w="0" w:type="dxa"/>
              <w:left w:w="108" w:type="dxa"/>
              <w:bottom w:w="0" w:type="dxa"/>
              <w:right w:w="108" w:type="dxa"/>
            </w:tcMar>
            <w:hideMark/>
          </w:tcPr>
          <w:p w14:paraId="5374E976" w14:textId="77777777" w:rsidR="00F75191" w:rsidRDefault="00F75191">
            <w:pPr>
              <w:pStyle w:val="NormalWeb"/>
              <w:jc w:val="center"/>
            </w:pPr>
            <w:r>
              <w:rPr>
                <w:rFonts w:ascii="Calibri" w:hAnsi="Calibri"/>
                <w:sz w:val="18"/>
                <w:szCs w:val="18"/>
              </w:rPr>
              <w:t>≥99%</w:t>
            </w:r>
          </w:p>
        </w:tc>
        <w:tc>
          <w:tcPr>
            <w:tcW w:w="1200" w:type="pct"/>
            <w:tcMar>
              <w:top w:w="0" w:type="dxa"/>
              <w:left w:w="108" w:type="dxa"/>
              <w:bottom w:w="0" w:type="dxa"/>
              <w:right w:w="108" w:type="dxa"/>
            </w:tcMar>
            <w:hideMark/>
          </w:tcPr>
          <w:p w14:paraId="472D24B7" w14:textId="77777777" w:rsidR="00F75191" w:rsidRDefault="00F75191">
            <w:pPr>
              <w:pStyle w:val="NormalWeb"/>
              <w:jc w:val="center"/>
            </w:pPr>
            <w:r>
              <w:rPr>
                <w:rFonts w:ascii="Calibri" w:hAnsi="Calibri"/>
                <w:sz w:val="18"/>
                <w:szCs w:val="18"/>
              </w:rPr>
              <w:t>Very low</w:t>
            </w:r>
          </w:p>
        </w:tc>
        <w:tc>
          <w:tcPr>
            <w:tcW w:w="1100" w:type="pct"/>
            <w:shd w:val="clear" w:color="auto" w:fill="00B050"/>
            <w:tcMar>
              <w:top w:w="0" w:type="dxa"/>
              <w:left w:w="108" w:type="dxa"/>
              <w:bottom w:w="0" w:type="dxa"/>
              <w:right w:w="108" w:type="dxa"/>
            </w:tcMar>
            <w:hideMark/>
          </w:tcPr>
          <w:p w14:paraId="29E659F2" w14:textId="77777777" w:rsidR="00F75191" w:rsidRDefault="00F75191">
            <w:pPr>
              <w:pStyle w:val="NormalWeb"/>
              <w:jc w:val="center"/>
            </w:pPr>
            <w:r>
              <w:rPr>
                <w:rFonts w:ascii="Calibri" w:hAnsi="Calibri"/>
                <w:sz w:val="18"/>
                <w:szCs w:val="18"/>
              </w:rPr>
              <w:t>Very good</w:t>
            </w:r>
          </w:p>
        </w:tc>
      </w:tr>
      <w:tr w:rsidR="00F75191" w14:paraId="1DAE7C64" w14:textId="77777777" w:rsidTr="00F75191">
        <w:tc>
          <w:tcPr>
            <w:tcW w:w="1050" w:type="pct"/>
            <w:tcMar>
              <w:top w:w="0" w:type="dxa"/>
              <w:left w:w="108" w:type="dxa"/>
              <w:bottom w:w="0" w:type="dxa"/>
              <w:right w:w="108" w:type="dxa"/>
            </w:tcMar>
            <w:hideMark/>
          </w:tcPr>
          <w:p w14:paraId="222DEFCE" w14:textId="77777777" w:rsidR="00F75191" w:rsidRDefault="00F75191">
            <w:pPr>
              <w:pStyle w:val="NormalWeb"/>
              <w:jc w:val="center"/>
            </w:pPr>
            <w:r>
              <w:rPr>
                <w:rFonts w:ascii="Calibri" w:hAnsi="Calibri"/>
                <w:sz w:val="18"/>
                <w:szCs w:val="18"/>
              </w:rPr>
              <w:t>&gt;95 </w:t>
            </w:r>
            <w:r>
              <w:rPr>
                <w:rFonts w:ascii="Calibri" w:hAnsi="Calibri"/>
                <w:b/>
                <w:bCs/>
                <w:color w:val="000000"/>
                <w:sz w:val="18"/>
                <w:szCs w:val="18"/>
              </w:rPr>
              <w:t>‒</w:t>
            </w:r>
            <w:r>
              <w:rPr>
                <w:rFonts w:ascii="Calibri" w:hAnsi="Calibri"/>
                <w:sz w:val="18"/>
                <w:szCs w:val="18"/>
              </w:rPr>
              <w:t> &lt;99%</w:t>
            </w:r>
          </w:p>
        </w:tc>
        <w:tc>
          <w:tcPr>
            <w:tcW w:w="1200" w:type="pct"/>
            <w:tcMar>
              <w:top w:w="0" w:type="dxa"/>
              <w:left w:w="108" w:type="dxa"/>
              <w:bottom w:w="0" w:type="dxa"/>
              <w:right w:w="108" w:type="dxa"/>
            </w:tcMar>
            <w:hideMark/>
          </w:tcPr>
          <w:p w14:paraId="57557E30" w14:textId="77777777" w:rsidR="00F75191" w:rsidRDefault="00F75191">
            <w:pPr>
              <w:pStyle w:val="NormalWeb"/>
              <w:jc w:val="center"/>
            </w:pPr>
            <w:r>
              <w:rPr>
                <w:rFonts w:ascii="Calibri" w:hAnsi="Calibri"/>
                <w:sz w:val="18"/>
                <w:szCs w:val="18"/>
              </w:rPr>
              <w:t>Low</w:t>
            </w:r>
          </w:p>
        </w:tc>
        <w:tc>
          <w:tcPr>
            <w:tcW w:w="1100" w:type="pct"/>
            <w:shd w:val="clear" w:color="auto" w:fill="92D050"/>
            <w:tcMar>
              <w:top w:w="0" w:type="dxa"/>
              <w:left w:w="108" w:type="dxa"/>
              <w:bottom w:w="0" w:type="dxa"/>
              <w:right w:w="108" w:type="dxa"/>
            </w:tcMar>
            <w:hideMark/>
          </w:tcPr>
          <w:p w14:paraId="05D6D4CD" w14:textId="77777777" w:rsidR="00F75191" w:rsidRDefault="00F75191">
            <w:pPr>
              <w:pStyle w:val="NormalWeb"/>
              <w:jc w:val="center"/>
            </w:pPr>
            <w:r>
              <w:rPr>
                <w:rFonts w:ascii="Calibri" w:hAnsi="Calibri"/>
                <w:sz w:val="18"/>
                <w:szCs w:val="18"/>
              </w:rPr>
              <w:t>Good</w:t>
            </w:r>
          </w:p>
        </w:tc>
      </w:tr>
      <w:tr w:rsidR="00F75191" w14:paraId="16F42057" w14:textId="77777777" w:rsidTr="00F75191">
        <w:tc>
          <w:tcPr>
            <w:tcW w:w="1050" w:type="pct"/>
            <w:tcMar>
              <w:top w:w="0" w:type="dxa"/>
              <w:left w:w="108" w:type="dxa"/>
              <w:bottom w:w="0" w:type="dxa"/>
              <w:right w:w="108" w:type="dxa"/>
            </w:tcMar>
            <w:hideMark/>
          </w:tcPr>
          <w:p w14:paraId="49E6B97B" w14:textId="77777777" w:rsidR="00F75191" w:rsidRDefault="00F75191">
            <w:pPr>
              <w:pStyle w:val="NormalWeb"/>
              <w:jc w:val="center"/>
            </w:pPr>
            <w:r>
              <w:rPr>
                <w:rFonts w:ascii="Calibri" w:hAnsi="Calibri"/>
                <w:sz w:val="18"/>
                <w:szCs w:val="18"/>
              </w:rPr>
              <w:t>&gt;90 </w:t>
            </w:r>
            <w:r>
              <w:rPr>
                <w:rFonts w:ascii="Calibri" w:hAnsi="Calibri"/>
                <w:b/>
                <w:bCs/>
                <w:color w:val="000000"/>
                <w:sz w:val="18"/>
                <w:szCs w:val="18"/>
              </w:rPr>
              <w:t>‒</w:t>
            </w:r>
            <w:r>
              <w:rPr>
                <w:rFonts w:ascii="Calibri" w:hAnsi="Calibri"/>
                <w:sz w:val="18"/>
                <w:szCs w:val="18"/>
              </w:rPr>
              <w:t> 95%</w:t>
            </w:r>
          </w:p>
        </w:tc>
        <w:tc>
          <w:tcPr>
            <w:tcW w:w="1200" w:type="pct"/>
            <w:tcMar>
              <w:top w:w="0" w:type="dxa"/>
              <w:left w:w="108" w:type="dxa"/>
              <w:bottom w:w="0" w:type="dxa"/>
              <w:right w:w="108" w:type="dxa"/>
            </w:tcMar>
            <w:hideMark/>
          </w:tcPr>
          <w:p w14:paraId="33668385" w14:textId="77777777" w:rsidR="00F75191" w:rsidRDefault="00F75191">
            <w:pPr>
              <w:pStyle w:val="NormalWeb"/>
              <w:jc w:val="center"/>
            </w:pPr>
            <w:r>
              <w:rPr>
                <w:rFonts w:ascii="Calibri" w:hAnsi="Calibri"/>
                <w:sz w:val="18"/>
                <w:szCs w:val="18"/>
              </w:rPr>
              <w:t>Moderate</w:t>
            </w:r>
          </w:p>
        </w:tc>
        <w:tc>
          <w:tcPr>
            <w:tcW w:w="1100" w:type="pct"/>
            <w:shd w:val="clear" w:color="auto" w:fill="FFFF00"/>
            <w:tcMar>
              <w:top w:w="0" w:type="dxa"/>
              <w:left w:w="108" w:type="dxa"/>
              <w:bottom w:w="0" w:type="dxa"/>
              <w:right w:w="108" w:type="dxa"/>
            </w:tcMar>
            <w:hideMark/>
          </w:tcPr>
          <w:p w14:paraId="7ED04500" w14:textId="77777777" w:rsidR="00F75191" w:rsidRDefault="00F75191">
            <w:pPr>
              <w:pStyle w:val="NormalWeb"/>
              <w:jc w:val="center"/>
            </w:pPr>
            <w:r>
              <w:rPr>
                <w:rFonts w:ascii="Calibri" w:hAnsi="Calibri"/>
                <w:sz w:val="18"/>
                <w:szCs w:val="18"/>
              </w:rPr>
              <w:t>Moderate</w:t>
            </w:r>
          </w:p>
        </w:tc>
      </w:tr>
      <w:tr w:rsidR="00F75191" w14:paraId="6F3886E3" w14:textId="77777777" w:rsidTr="00F75191">
        <w:tc>
          <w:tcPr>
            <w:tcW w:w="1050" w:type="pct"/>
            <w:tcMar>
              <w:top w:w="0" w:type="dxa"/>
              <w:left w:w="108" w:type="dxa"/>
              <w:bottom w:w="0" w:type="dxa"/>
              <w:right w:w="108" w:type="dxa"/>
            </w:tcMar>
            <w:hideMark/>
          </w:tcPr>
          <w:p w14:paraId="2E896F84" w14:textId="77777777" w:rsidR="00F75191" w:rsidRDefault="00F75191">
            <w:pPr>
              <w:pStyle w:val="NormalWeb"/>
              <w:jc w:val="center"/>
            </w:pPr>
            <w:r>
              <w:rPr>
                <w:rFonts w:ascii="Calibri" w:hAnsi="Calibri"/>
                <w:sz w:val="18"/>
                <w:szCs w:val="18"/>
              </w:rPr>
              <w:t>&gt;80 </w:t>
            </w:r>
            <w:r>
              <w:rPr>
                <w:rFonts w:ascii="Calibri" w:hAnsi="Calibri"/>
                <w:b/>
                <w:bCs/>
                <w:color w:val="000000"/>
                <w:sz w:val="18"/>
                <w:szCs w:val="18"/>
              </w:rPr>
              <w:t>‒</w:t>
            </w:r>
            <w:r>
              <w:rPr>
                <w:rFonts w:ascii="Calibri" w:hAnsi="Calibri"/>
                <w:sz w:val="18"/>
                <w:szCs w:val="18"/>
              </w:rPr>
              <w:t> 90%</w:t>
            </w:r>
          </w:p>
        </w:tc>
        <w:tc>
          <w:tcPr>
            <w:tcW w:w="1200" w:type="pct"/>
            <w:tcMar>
              <w:top w:w="0" w:type="dxa"/>
              <w:left w:w="108" w:type="dxa"/>
              <w:bottom w:w="0" w:type="dxa"/>
              <w:right w:w="108" w:type="dxa"/>
            </w:tcMar>
            <w:hideMark/>
          </w:tcPr>
          <w:p w14:paraId="6987E07C" w14:textId="77777777" w:rsidR="00F75191" w:rsidRDefault="00F75191">
            <w:pPr>
              <w:pStyle w:val="NormalWeb"/>
              <w:jc w:val="center"/>
            </w:pPr>
            <w:r>
              <w:rPr>
                <w:rFonts w:ascii="Calibri" w:hAnsi="Calibri"/>
                <w:sz w:val="18"/>
                <w:szCs w:val="18"/>
              </w:rPr>
              <w:t>High</w:t>
            </w:r>
          </w:p>
        </w:tc>
        <w:tc>
          <w:tcPr>
            <w:tcW w:w="1100" w:type="pct"/>
            <w:shd w:val="clear" w:color="auto" w:fill="FFC000"/>
            <w:tcMar>
              <w:top w:w="0" w:type="dxa"/>
              <w:left w:w="108" w:type="dxa"/>
              <w:bottom w:w="0" w:type="dxa"/>
              <w:right w:w="108" w:type="dxa"/>
            </w:tcMar>
            <w:hideMark/>
          </w:tcPr>
          <w:p w14:paraId="1CBBE478" w14:textId="77777777" w:rsidR="00F75191" w:rsidRDefault="00F75191">
            <w:pPr>
              <w:pStyle w:val="NormalWeb"/>
              <w:jc w:val="center"/>
            </w:pPr>
            <w:r>
              <w:rPr>
                <w:rFonts w:ascii="Calibri" w:hAnsi="Calibri"/>
                <w:sz w:val="18"/>
                <w:szCs w:val="18"/>
              </w:rPr>
              <w:t>Poor</w:t>
            </w:r>
          </w:p>
        </w:tc>
      </w:tr>
      <w:tr w:rsidR="00F75191" w14:paraId="05C4E01B" w14:textId="77777777" w:rsidTr="00F75191">
        <w:tc>
          <w:tcPr>
            <w:tcW w:w="1050" w:type="pct"/>
            <w:tcMar>
              <w:top w:w="0" w:type="dxa"/>
              <w:left w:w="108" w:type="dxa"/>
              <w:bottom w:w="0" w:type="dxa"/>
              <w:right w:w="108" w:type="dxa"/>
            </w:tcMar>
            <w:hideMark/>
          </w:tcPr>
          <w:p w14:paraId="669BB49D" w14:textId="77777777" w:rsidR="00F75191" w:rsidRDefault="00F75191">
            <w:pPr>
              <w:pStyle w:val="NormalWeb"/>
              <w:jc w:val="center"/>
            </w:pPr>
            <w:r>
              <w:rPr>
                <w:rFonts w:ascii="Calibri" w:hAnsi="Calibri"/>
                <w:sz w:val="18"/>
                <w:szCs w:val="18"/>
              </w:rPr>
              <w:t>≤80%</w:t>
            </w:r>
          </w:p>
        </w:tc>
        <w:tc>
          <w:tcPr>
            <w:tcW w:w="1200" w:type="pct"/>
            <w:tcMar>
              <w:top w:w="0" w:type="dxa"/>
              <w:left w:w="108" w:type="dxa"/>
              <w:bottom w:w="0" w:type="dxa"/>
              <w:right w:w="108" w:type="dxa"/>
            </w:tcMar>
            <w:hideMark/>
          </w:tcPr>
          <w:p w14:paraId="7E6CD880" w14:textId="77777777" w:rsidR="00F75191" w:rsidRDefault="00F75191">
            <w:pPr>
              <w:pStyle w:val="NormalWeb"/>
              <w:jc w:val="center"/>
            </w:pPr>
            <w:r>
              <w:rPr>
                <w:rFonts w:ascii="Calibri" w:hAnsi="Calibri"/>
                <w:sz w:val="18"/>
                <w:szCs w:val="18"/>
              </w:rPr>
              <w:t>Very high</w:t>
            </w:r>
          </w:p>
        </w:tc>
        <w:tc>
          <w:tcPr>
            <w:tcW w:w="1100" w:type="pct"/>
            <w:shd w:val="clear" w:color="auto" w:fill="FF0000"/>
            <w:tcMar>
              <w:top w:w="0" w:type="dxa"/>
              <w:left w:w="108" w:type="dxa"/>
              <w:bottom w:w="0" w:type="dxa"/>
              <w:right w:w="108" w:type="dxa"/>
            </w:tcMar>
            <w:hideMark/>
          </w:tcPr>
          <w:p w14:paraId="30BAB52A" w14:textId="77777777" w:rsidR="00F75191" w:rsidRDefault="00F75191">
            <w:pPr>
              <w:pStyle w:val="NormalWeb"/>
              <w:jc w:val="center"/>
            </w:pPr>
            <w:r>
              <w:rPr>
                <w:rFonts w:ascii="Calibri" w:hAnsi="Calibri"/>
                <w:sz w:val="18"/>
                <w:szCs w:val="18"/>
              </w:rPr>
              <w:t>Very poor</w:t>
            </w:r>
          </w:p>
        </w:tc>
      </w:tr>
    </w:tbl>
    <w:p w14:paraId="4FEB8740" w14:textId="3F868821" w:rsidR="00210396" w:rsidRDefault="00210396" w:rsidP="007A481D">
      <w:pPr>
        <w:autoSpaceDE w:val="0"/>
        <w:autoSpaceDN w:val="0"/>
        <w:adjustRightInd w:val="0"/>
        <w:jc w:val="both"/>
        <w:rPr>
          <w:rFonts w:cs="Arial"/>
        </w:rPr>
      </w:pPr>
      <w:r>
        <w:rPr>
          <w:rFonts w:cs="Arial"/>
        </w:rPr>
        <w:t xml:space="preserve">The ms-PAF </w:t>
      </w:r>
      <w:r>
        <w:rPr>
          <w:rFonts w:cs="Arial"/>
          <w:color w:val="000000"/>
        </w:rPr>
        <w:t xml:space="preserve">approach is being developed by the Queensland DSITI. This approach was first evaluated in the context of quantifying the risk associated with pesticide exposure </w:t>
      </w:r>
      <w:r w:rsidR="008856BE">
        <w:rPr>
          <w:rFonts w:cs="Arial"/>
          <w:color w:val="000000"/>
        </w:rPr>
        <w:t xml:space="preserve">to </w:t>
      </w:r>
      <w:r>
        <w:rPr>
          <w:rFonts w:cs="Arial"/>
          <w:color w:val="000000"/>
        </w:rPr>
        <w:t>the Reef ecosystem in 2014</w:t>
      </w:r>
      <w:r w:rsidR="008856BE">
        <w:t>–</w:t>
      </w:r>
      <w:r>
        <w:rPr>
          <w:rFonts w:cs="Arial"/>
          <w:color w:val="000000"/>
        </w:rPr>
        <w:t>15. As part of DSITI’s ongoing work, the overall model, as well as the number of PSII herbicides for which reliable SSDs are available, has subsequently been further developed and the model was re-evaluated in 2015</w:t>
      </w:r>
      <w:r w:rsidR="008856BE">
        <w:t>–</w:t>
      </w:r>
      <w:r>
        <w:rPr>
          <w:rFonts w:cs="Arial"/>
          <w:color w:val="000000"/>
        </w:rPr>
        <w:t xml:space="preserve">16. The ultimate aim for the MMP projects is to transition from the PSII-HEq metric to </w:t>
      </w:r>
      <w:r w:rsidR="008856BE">
        <w:rPr>
          <w:rFonts w:cs="Arial"/>
          <w:color w:val="000000"/>
        </w:rPr>
        <w:t xml:space="preserve">the </w:t>
      </w:r>
      <w:r>
        <w:rPr>
          <w:rFonts w:cs="Arial"/>
          <w:color w:val="000000"/>
        </w:rPr>
        <w:t>ms-PAF to assess risk. The ms-PAF model will be evaluated each year to determine its suitability for application to the Reef ecosystem.</w:t>
      </w:r>
    </w:p>
    <w:p w14:paraId="19B08070" w14:textId="77777777" w:rsidR="00BB0109" w:rsidRPr="0058370B" w:rsidRDefault="00BB0109" w:rsidP="00FE2F59">
      <w:pPr>
        <w:rPr>
          <w:rFonts w:cs="Arial"/>
          <w:b/>
          <w:lang w:eastAsia="zh-CN"/>
        </w:rPr>
      </w:pPr>
      <w:r w:rsidRPr="0058370B">
        <w:rPr>
          <w:rFonts w:cs="Arial"/>
          <w:b/>
        </w:rPr>
        <w:t>Polydimethylsiloxane</w:t>
      </w:r>
      <w:r w:rsidRPr="0058370B">
        <w:rPr>
          <w:rFonts w:cs="Arial"/>
          <w:b/>
          <w:lang w:eastAsia="zh-CN"/>
        </w:rPr>
        <w:t xml:space="preserve"> (PDMS) samplers</w:t>
      </w:r>
    </w:p>
    <w:p w14:paraId="233C0887" w14:textId="3F38A46A" w:rsidR="00BB0109" w:rsidRPr="0058370B" w:rsidRDefault="00BB0109" w:rsidP="006C7E99">
      <w:pPr>
        <w:pStyle w:val="ListParagraph"/>
        <w:numPr>
          <w:ilvl w:val="0"/>
          <w:numId w:val="33"/>
        </w:numPr>
        <w:rPr>
          <w:rFonts w:cs="Arial"/>
        </w:rPr>
      </w:pPr>
      <w:r w:rsidRPr="0058370B">
        <w:rPr>
          <w:rFonts w:cs="Arial"/>
        </w:rPr>
        <w:t xml:space="preserve">Silicone rubber 92 cm </w:t>
      </w:r>
      <w:r w:rsidR="008856BE">
        <w:rPr>
          <w:rFonts w:cs="Arial"/>
        </w:rPr>
        <w:t xml:space="preserve">× </w:t>
      </w:r>
      <w:r w:rsidRPr="0058370B">
        <w:rPr>
          <w:rFonts w:cs="Arial"/>
        </w:rPr>
        <w:t xml:space="preserve">2.5 cm </w:t>
      </w:r>
      <w:r w:rsidR="008856BE">
        <w:rPr>
          <w:rFonts w:cs="Arial"/>
        </w:rPr>
        <w:t>×</w:t>
      </w:r>
      <w:r w:rsidRPr="0058370B">
        <w:rPr>
          <w:rFonts w:cs="Arial"/>
        </w:rPr>
        <w:t xml:space="preserve"> 410 µm strips. </w:t>
      </w:r>
    </w:p>
    <w:p w14:paraId="511FF397" w14:textId="77777777" w:rsidR="00BB0109" w:rsidRPr="0058370B" w:rsidRDefault="00BB0109" w:rsidP="006C7E99">
      <w:pPr>
        <w:pStyle w:val="ListParagraph"/>
        <w:numPr>
          <w:ilvl w:val="0"/>
          <w:numId w:val="33"/>
        </w:numPr>
        <w:rPr>
          <w:rFonts w:cs="Arial"/>
        </w:rPr>
      </w:pPr>
      <w:r w:rsidRPr="0058370B">
        <w:rPr>
          <w:rFonts w:cs="Arial"/>
        </w:rPr>
        <w:t>Deployed in a marine grade stainless steel deployment cage</w:t>
      </w:r>
      <w:r w:rsidR="00D33CD2">
        <w:rPr>
          <w:rFonts w:cs="Arial"/>
        </w:rPr>
        <w:t xml:space="preserve"> (</w:t>
      </w:r>
      <w:r w:rsidR="00D33CD2">
        <w:rPr>
          <w:rFonts w:cs="Arial"/>
        </w:rPr>
        <w:fldChar w:fldCharType="begin"/>
      </w:r>
      <w:r w:rsidR="00D33CD2">
        <w:rPr>
          <w:rFonts w:cs="Arial"/>
        </w:rPr>
        <w:instrText xml:space="preserve"> REF _Ref489455613 \h </w:instrText>
      </w:r>
      <w:r w:rsidR="00D33CD2">
        <w:rPr>
          <w:rFonts w:cs="Arial"/>
        </w:rPr>
      </w:r>
      <w:r w:rsidR="00D33CD2">
        <w:rPr>
          <w:rFonts w:cs="Arial"/>
        </w:rPr>
        <w:fldChar w:fldCharType="separate"/>
      </w:r>
      <w:r w:rsidR="00D528AA">
        <w:t xml:space="preserve">Figure </w:t>
      </w:r>
      <w:r w:rsidR="00D528AA">
        <w:rPr>
          <w:noProof/>
        </w:rPr>
        <w:t>4</w:t>
      </w:r>
      <w:r w:rsidR="00D528AA">
        <w:noBreakHyphen/>
      </w:r>
      <w:r w:rsidR="00D528AA">
        <w:rPr>
          <w:noProof/>
        </w:rPr>
        <w:t>6</w:t>
      </w:r>
      <w:r w:rsidR="00D33CD2">
        <w:rPr>
          <w:rFonts w:cs="Arial"/>
        </w:rPr>
        <w:fldChar w:fldCharType="end"/>
      </w:r>
      <w:r w:rsidR="00D33CD2">
        <w:rPr>
          <w:rFonts w:cs="Arial"/>
        </w:rPr>
        <w:t>).</w:t>
      </w:r>
    </w:p>
    <w:p w14:paraId="51D0CBCF" w14:textId="77777777" w:rsidR="00BB0109" w:rsidRPr="0058370B" w:rsidRDefault="00BB0109" w:rsidP="006C7E99">
      <w:pPr>
        <w:pStyle w:val="ListParagraph"/>
        <w:numPr>
          <w:ilvl w:val="0"/>
          <w:numId w:val="33"/>
        </w:numPr>
        <w:rPr>
          <w:rFonts w:cs="Arial"/>
        </w:rPr>
      </w:pPr>
      <w:r w:rsidRPr="0058370B">
        <w:rPr>
          <w:rFonts w:cs="Arial"/>
        </w:rPr>
        <w:t>Routine time-integrated (and equilibrium) monitoring:</w:t>
      </w:r>
    </w:p>
    <w:p w14:paraId="5227A9E0" w14:textId="7B084002" w:rsidR="00BB0109" w:rsidRPr="0058370B" w:rsidRDefault="00BB0109" w:rsidP="006C7E99">
      <w:pPr>
        <w:pStyle w:val="ListParagraph"/>
        <w:numPr>
          <w:ilvl w:val="3"/>
          <w:numId w:val="34"/>
        </w:numPr>
        <w:ind w:left="1560"/>
        <w:rPr>
          <w:rFonts w:cs="Arial"/>
        </w:rPr>
      </w:pPr>
      <w:r w:rsidRPr="0058370B">
        <w:rPr>
          <w:rFonts w:cs="Arial"/>
        </w:rPr>
        <w:t xml:space="preserve">Deployed </w:t>
      </w:r>
      <w:r w:rsidR="001E0ADF">
        <w:rPr>
          <w:rFonts w:cs="Arial"/>
        </w:rPr>
        <w:t xml:space="preserve">each month </w:t>
      </w:r>
      <w:r w:rsidRPr="0058370B">
        <w:rPr>
          <w:rFonts w:cs="Arial"/>
        </w:rPr>
        <w:t xml:space="preserve">during the wet season at specific sites </w:t>
      </w:r>
      <w:r w:rsidRPr="00BD3474">
        <w:rPr>
          <w:rFonts w:cs="Arial"/>
        </w:rPr>
        <w:t>(</w:t>
      </w:r>
      <w:r w:rsidR="00BD3474">
        <w:rPr>
          <w:rFonts w:cs="Arial"/>
          <w:highlight w:val="yellow"/>
        </w:rPr>
        <w:fldChar w:fldCharType="begin"/>
      </w:r>
      <w:r w:rsidR="00BD3474">
        <w:rPr>
          <w:rFonts w:cs="Arial"/>
          <w:highlight w:val="yellow"/>
        </w:rPr>
        <w:instrText xml:space="preserve"> REF _Ref433191017 \h </w:instrText>
      </w:r>
      <w:r w:rsidR="00095A05">
        <w:rPr>
          <w:rFonts w:cs="Arial"/>
          <w:highlight w:val="yellow"/>
        </w:rPr>
        <w:instrText xml:space="preserve"> \* MERGEFORMAT </w:instrText>
      </w:r>
      <w:r w:rsidR="00BD3474">
        <w:rPr>
          <w:rFonts w:cs="Arial"/>
          <w:highlight w:val="yellow"/>
        </w:rPr>
      </w:r>
      <w:r w:rsidR="00BD3474">
        <w:rPr>
          <w:rFonts w:cs="Arial"/>
          <w:highlight w:val="yellow"/>
        </w:rPr>
        <w:fldChar w:fldCharType="separate"/>
      </w:r>
      <w:r w:rsidR="00D528AA" w:rsidRPr="00F529DD">
        <w:t>Table</w:t>
      </w:r>
      <w:r w:rsidR="00D528AA" w:rsidRPr="00D528AA">
        <w:rPr>
          <w:b/>
        </w:rPr>
        <w:t xml:space="preserve"> </w:t>
      </w:r>
      <w:r w:rsidR="00D528AA">
        <w:rPr>
          <w:noProof/>
        </w:rPr>
        <w:t>4.1</w:t>
      </w:r>
      <w:r w:rsidR="00BD3474">
        <w:rPr>
          <w:rFonts w:cs="Arial"/>
          <w:highlight w:val="yellow"/>
        </w:rPr>
        <w:fldChar w:fldCharType="end"/>
      </w:r>
      <w:r w:rsidRPr="0058370B">
        <w:rPr>
          <w:rFonts w:cs="Arial"/>
        </w:rPr>
        <w:t>) and</w:t>
      </w:r>
      <w:r w:rsidR="001E0ADF">
        <w:rPr>
          <w:rFonts w:cs="Arial"/>
        </w:rPr>
        <w:t xml:space="preserve"> for two months </w:t>
      </w:r>
      <w:r w:rsidR="000F44F7">
        <w:rPr>
          <w:rFonts w:cs="Arial"/>
        </w:rPr>
        <w:t xml:space="preserve">during </w:t>
      </w:r>
      <w:r w:rsidR="001E0ADF">
        <w:rPr>
          <w:rFonts w:cs="Arial"/>
        </w:rPr>
        <w:t>the dry season.</w:t>
      </w:r>
    </w:p>
    <w:p w14:paraId="56ACE2DF" w14:textId="77777777" w:rsidR="00BB0109" w:rsidRPr="0058370B" w:rsidRDefault="00BB0109" w:rsidP="006C7E99">
      <w:pPr>
        <w:pStyle w:val="ListParagraph"/>
        <w:numPr>
          <w:ilvl w:val="0"/>
          <w:numId w:val="33"/>
        </w:numPr>
        <w:rPr>
          <w:rFonts w:cs="Arial"/>
        </w:rPr>
      </w:pPr>
      <w:r w:rsidRPr="0058370B">
        <w:rPr>
          <w:rFonts w:cs="Arial"/>
        </w:rPr>
        <w:t>Preparation:</w:t>
      </w:r>
    </w:p>
    <w:p w14:paraId="41885F73" w14:textId="5A1E2B96" w:rsidR="00BB0109" w:rsidRPr="00CC2099" w:rsidRDefault="00BB0109" w:rsidP="006C7E99">
      <w:pPr>
        <w:pStyle w:val="ListParagraph"/>
        <w:numPr>
          <w:ilvl w:val="3"/>
          <w:numId w:val="35"/>
        </w:numPr>
        <w:ind w:left="1560"/>
        <w:rPr>
          <w:rFonts w:cs="Arial"/>
        </w:rPr>
      </w:pPr>
      <w:r w:rsidRPr="0058370B">
        <w:rPr>
          <w:rFonts w:cs="Arial"/>
        </w:rPr>
        <w:t xml:space="preserve">Dialysis with acetone (2 </w:t>
      </w:r>
      <w:r w:rsidR="000F44F7">
        <w:rPr>
          <w:rFonts w:cs="Arial"/>
        </w:rPr>
        <w:t>×</w:t>
      </w:r>
      <w:r w:rsidRPr="0058370B">
        <w:rPr>
          <w:rFonts w:cs="Arial"/>
        </w:rPr>
        <w:t xml:space="preserve"> 24 hours) and then hexane (2 </w:t>
      </w:r>
      <w:r w:rsidR="000F44F7">
        <w:rPr>
          <w:rFonts w:cs="Arial"/>
        </w:rPr>
        <w:t>×</w:t>
      </w:r>
      <w:r w:rsidRPr="0058370B">
        <w:rPr>
          <w:rFonts w:cs="Arial"/>
        </w:rPr>
        <w:t xml:space="preserve"> 24 hours) in solvent rinsed glass jars in batches on a shaker.</w:t>
      </w:r>
    </w:p>
    <w:p w14:paraId="27C2A1D6" w14:textId="77777777" w:rsidR="00BB0109" w:rsidRPr="0058370B" w:rsidRDefault="00BB0109" w:rsidP="006C7E99">
      <w:pPr>
        <w:pStyle w:val="ListParagraph"/>
        <w:numPr>
          <w:ilvl w:val="3"/>
          <w:numId w:val="35"/>
        </w:numPr>
        <w:ind w:left="1560"/>
        <w:rPr>
          <w:rFonts w:cs="Arial"/>
        </w:rPr>
      </w:pPr>
      <w:r w:rsidRPr="0058370B">
        <w:rPr>
          <w:rFonts w:cs="Arial"/>
        </w:rPr>
        <w:t>Stored in solvent rinsed glass jars, with Teflon-lined lids, under purified N</w:t>
      </w:r>
      <w:r w:rsidRPr="0058370B">
        <w:rPr>
          <w:rFonts w:cs="Arial"/>
          <w:vertAlign w:val="subscript"/>
        </w:rPr>
        <w:t>2</w:t>
      </w:r>
      <w:r w:rsidRPr="0058370B">
        <w:rPr>
          <w:rFonts w:cs="Arial"/>
        </w:rPr>
        <w:t>.</w:t>
      </w:r>
    </w:p>
    <w:p w14:paraId="70C74729" w14:textId="77777777" w:rsidR="00BB0109" w:rsidRPr="0058370B" w:rsidRDefault="00BB0109" w:rsidP="006C7E99">
      <w:pPr>
        <w:pStyle w:val="ListParagraph"/>
        <w:numPr>
          <w:ilvl w:val="3"/>
          <w:numId w:val="35"/>
        </w:numPr>
        <w:ind w:left="1560"/>
        <w:rPr>
          <w:rFonts w:cs="Arial"/>
        </w:rPr>
      </w:pPr>
      <w:r w:rsidRPr="0058370B">
        <w:rPr>
          <w:rFonts w:cs="Arial"/>
        </w:rPr>
        <w:t>Individual strips are wound around stainless steel spikes within the deployment cage (acetone rinsed) in a standard configuration.</w:t>
      </w:r>
    </w:p>
    <w:p w14:paraId="2801E77B" w14:textId="527B0922" w:rsidR="00BB0109" w:rsidRPr="0058370B" w:rsidRDefault="00BB0109" w:rsidP="006C7E99">
      <w:pPr>
        <w:pStyle w:val="ListParagraph"/>
        <w:numPr>
          <w:ilvl w:val="3"/>
          <w:numId w:val="35"/>
        </w:numPr>
        <w:ind w:left="1560"/>
        <w:rPr>
          <w:rFonts w:cs="Arial"/>
        </w:rPr>
      </w:pPr>
      <w:r w:rsidRPr="0058370B">
        <w:rPr>
          <w:rFonts w:cs="Arial"/>
        </w:rPr>
        <w:t>The cage is assembled and sealed inside a metal can, stored at 4</w:t>
      </w:r>
      <w:r w:rsidR="000F44F7" w:rsidRPr="007177E2">
        <w:rPr>
          <w:rFonts w:cs="Arial"/>
          <w:lang w:val="en-GB"/>
        </w:rPr>
        <w:t>°</w:t>
      </w:r>
      <w:r w:rsidRPr="0058370B">
        <w:rPr>
          <w:rFonts w:cs="Arial"/>
        </w:rPr>
        <w:t>C and transported with ice packs.</w:t>
      </w:r>
    </w:p>
    <w:p w14:paraId="6C1A2FA0" w14:textId="551A4FEA" w:rsidR="00BB0109" w:rsidRPr="0058370B" w:rsidRDefault="00BB0109" w:rsidP="006C7E99">
      <w:pPr>
        <w:pStyle w:val="ListParagraph"/>
        <w:numPr>
          <w:ilvl w:val="0"/>
          <w:numId w:val="33"/>
        </w:numPr>
        <w:rPr>
          <w:rFonts w:cs="Arial"/>
        </w:rPr>
      </w:pPr>
      <w:r w:rsidRPr="0058370B">
        <w:rPr>
          <w:rFonts w:cs="Arial"/>
        </w:rPr>
        <w:t xml:space="preserve">Extraction </w:t>
      </w:r>
      <w:r w:rsidR="000F44F7">
        <w:rPr>
          <w:rFonts w:cs="Arial"/>
        </w:rPr>
        <w:t>and</w:t>
      </w:r>
      <w:r w:rsidR="000F44F7" w:rsidRPr="0058370B">
        <w:rPr>
          <w:rFonts w:cs="Arial"/>
        </w:rPr>
        <w:t xml:space="preserve"> </w:t>
      </w:r>
      <w:r w:rsidRPr="0058370B">
        <w:rPr>
          <w:rFonts w:cs="Arial"/>
        </w:rPr>
        <w:t>purification:</w:t>
      </w:r>
    </w:p>
    <w:p w14:paraId="43A1F414" w14:textId="77777777" w:rsidR="00BB0109" w:rsidRPr="0058370B" w:rsidRDefault="00BB0109" w:rsidP="006C7E99">
      <w:pPr>
        <w:pStyle w:val="ListParagraph"/>
        <w:numPr>
          <w:ilvl w:val="3"/>
          <w:numId w:val="36"/>
        </w:numPr>
        <w:ind w:left="1560"/>
        <w:rPr>
          <w:rFonts w:cs="Arial"/>
        </w:rPr>
      </w:pPr>
      <w:r w:rsidRPr="0058370B">
        <w:rPr>
          <w:rFonts w:cs="Arial"/>
        </w:rPr>
        <w:t>Biofouling is removed from each strip by scrubbing with water.</w:t>
      </w:r>
    </w:p>
    <w:p w14:paraId="371D6CEC" w14:textId="6D78B9CB" w:rsidR="00BB0109" w:rsidRPr="0058370B" w:rsidRDefault="00BB0109" w:rsidP="006C7E99">
      <w:pPr>
        <w:pStyle w:val="ListParagraph"/>
        <w:numPr>
          <w:ilvl w:val="3"/>
          <w:numId w:val="36"/>
        </w:numPr>
        <w:ind w:left="1560"/>
        <w:rPr>
          <w:rFonts w:cs="Arial"/>
        </w:rPr>
      </w:pPr>
      <w:r w:rsidRPr="0058370B">
        <w:rPr>
          <w:rFonts w:cs="Arial"/>
        </w:rPr>
        <w:t xml:space="preserve">Each strip is then dried with </w:t>
      </w:r>
      <w:r w:rsidR="000F44F7">
        <w:rPr>
          <w:rFonts w:cs="Arial"/>
        </w:rPr>
        <w:t>K</w:t>
      </w:r>
      <w:r w:rsidR="000F44F7" w:rsidRPr="0058370B">
        <w:rPr>
          <w:rFonts w:cs="Arial"/>
        </w:rPr>
        <w:t xml:space="preserve">imwipes </w:t>
      </w:r>
      <w:r w:rsidRPr="0058370B">
        <w:rPr>
          <w:rFonts w:cs="Arial"/>
        </w:rPr>
        <w:t>and spiked with a surrogate standard.</w:t>
      </w:r>
    </w:p>
    <w:p w14:paraId="7EE86269" w14:textId="2DF5B4A5" w:rsidR="00BB0109" w:rsidRPr="0058370B" w:rsidRDefault="00BB0109" w:rsidP="006C7E99">
      <w:pPr>
        <w:pStyle w:val="ListParagraph"/>
        <w:numPr>
          <w:ilvl w:val="3"/>
          <w:numId w:val="36"/>
        </w:numPr>
        <w:ind w:left="1560"/>
        <w:rPr>
          <w:rFonts w:cs="Arial"/>
        </w:rPr>
      </w:pPr>
      <w:r w:rsidRPr="0058370B">
        <w:rPr>
          <w:rFonts w:cs="Arial"/>
        </w:rPr>
        <w:t>Each strip is dialysed with 200 mL of</w:t>
      </w:r>
      <w:r w:rsidR="00210396">
        <w:rPr>
          <w:rFonts w:cs="Arial"/>
        </w:rPr>
        <w:t xml:space="preserve"> a 1:1 ratio of acetone and </w:t>
      </w:r>
      <w:r w:rsidRPr="0058370B">
        <w:rPr>
          <w:rFonts w:cs="Arial"/>
        </w:rPr>
        <w:t xml:space="preserve">hexane (2 </w:t>
      </w:r>
      <w:r w:rsidR="000F44F7">
        <w:rPr>
          <w:rFonts w:cs="Arial"/>
        </w:rPr>
        <w:t>–</w:t>
      </w:r>
      <w:r w:rsidRPr="0058370B">
        <w:rPr>
          <w:rFonts w:cs="Arial"/>
        </w:rPr>
        <w:t xml:space="preserve"> 24 hours)</w:t>
      </w:r>
      <w:r w:rsidR="00210396">
        <w:rPr>
          <w:rFonts w:cs="Arial"/>
        </w:rPr>
        <w:t xml:space="preserve"> (tests in 2015</w:t>
      </w:r>
      <w:r w:rsidR="000F44F7">
        <w:t>–</w:t>
      </w:r>
      <w:r w:rsidR="00210396">
        <w:rPr>
          <w:rFonts w:cs="Arial"/>
        </w:rPr>
        <w:t>16 indicated that recoveries using a 1:1 mixture of acetone and hexane resulted in improved recoveries, 92</w:t>
      </w:r>
      <w:r w:rsidR="000F44F7">
        <w:t>–</w:t>
      </w:r>
      <w:r w:rsidR="00210396">
        <w:rPr>
          <w:rFonts w:cs="Arial"/>
        </w:rPr>
        <w:t>120</w:t>
      </w:r>
      <w:r w:rsidR="00BC5B15">
        <w:rPr>
          <w:rFonts w:cs="Arial"/>
        </w:rPr>
        <w:t xml:space="preserve"> per cent</w:t>
      </w:r>
      <w:r w:rsidR="00210396">
        <w:rPr>
          <w:rFonts w:cs="Arial"/>
        </w:rPr>
        <w:t xml:space="preserve"> acr</w:t>
      </w:r>
      <w:r w:rsidR="00014A28">
        <w:rPr>
          <w:rFonts w:cs="Arial"/>
        </w:rPr>
        <w:t xml:space="preserve">oss the five compounds compared to hexame alone </w:t>
      </w:r>
      <w:r w:rsidR="000F44F7">
        <w:rPr>
          <w:rFonts w:cs="Arial"/>
        </w:rPr>
        <w:t>(</w:t>
      </w:r>
      <w:r w:rsidR="00014A28">
        <w:rPr>
          <w:rFonts w:cs="Arial"/>
        </w:rPr>
        <w:t>3</w:t>
      </w:r>
      <w:r w:rsidR="000F44F7">
        <w:t>–</w:t>
      </w:r>
      <w:r w:rsidR="00014A28">
        <w:rPr>
          <w:rFonts w:cs="Arial"/>
        </w:rPr>
        <w:t>106</w:t>
      </w:r>
      <w:r w:rsidR="00BC5B15">
        <w:rPr>
          <w:rFonts w:cs="Arial"/>
        </w:rPr>
        <w:t xml:space="preserve"> per cent</w:t>
      </w:r>
      <w:r w:rsidR="000F44F7">
        <w:rPr>
          <w:rFonts w:cs="Arial"/>
        </w:rPr>
        <w:t>)</w:t>
      </w:r>
      <w:r w:rsidR="001E0ADF">
        <w:rPr>
          <w:rFonts w:cs="Arial"/>
        </w:rPr>
        <w:t>.</w:t>
      </w:r>
    </w:p>
    <w:p w14:paraId="34145DB1" w14:textId="24ECAF12" w:rsidR="00BB0109" w:rsidRPr="0058370B" w:rsidRDefault="00BB0109" w:rsidP="006C7E99">
      <w:pPr>
        <w:pStyle w:val="ListParagraph"/>
        <w:numPr>
          <w:ilvl w:val="3"/>
          <w:numId w:val="36"/>
        </w:numPr>
        <w:ind w:left="1560"/>
        <w:rPr>
          <w:rFonts w:cs="Arial"/>
        </w:rPr>
      </w:pPr>
      <w:r w:rsidRPr="0058370B">
        <w:rPr>
          <w:rFonts w:cs="Arial"/>
        </w:rPr>
        <w:t>Sample extracts are rotary evaporated, further evaporated under purified N</w:t>
      </w:r>
      <w:r w:rsidRPr="0058370B">
        <w:rPr>
          <w:rFonts w:cs="Arial"/>
          <w:vertAlign w:val="subscript"/>
        </w:rPr>
        <w:t>2</w:t>
      </w:r>
      <w:r w:rsidRPr="0058370B">
        <w:rPr>
          <w:rFonts w:cs="Arial"/>
        </w:rPr>
        <w:t>, dried using Na</w:t>
      </w:r>
      <w:r w:rsidRPr="0058370B">
        <w:rPr>
          <w:rFonts w:cs="Arial"/>
          <w:vertAlign w:val="subscript"/>
        </w:rPr>
        <w:t>2</w:t>
      </w:r>
      <w:r w:rsidRPr="0058370B">
        <w:rPr>
          <w:rFonts w:cs="Arial"/>
        </w:rPr>
        <w:t>SO</w:t>
      </w:r>
      <w:r w:rsidRPr="0058370B">
        <w:rPr>
          <w:rFonts w:cs="Arial"/>
          <w:vertAlign w:val="subscript"/>
        </w:rPr>
        <w:t>4</w:t>
      </w:r>
      <w:r w:rsidRPr="0058370B">
        <w:rPr>
          <w:rFonts w:cs="Arial"/>
        </w:rPr>
        <w:t xml:space="preserve"> columns and filtered (0.45 µm PTFE)</w:t>
      </w:r>
      <w:r w:rsidR="00CC2099">
        <w:rPr>
          <w:rFonts w:cs="Arial"/>
        </w:rPr>
        <w:t xml:space="preserve"> and reduced to 1 mL final volume</w:t>
      </w:r>
      <w:r w:rsidRPr="0058370B">
        <w:rPr>
          <w:rFonts w:cs="Arial"/>
        </w:rPr>
        <w:t>.</w:t>
      </w:r>
    </w:p>
    <w:p w14:paraId="0C5B1969" w14:textId="056F64C1" w:rsidR="00BB0109" w:rsidRPr="00CC2099" w:rsidRDefault="00CC2099" w:rsidP="006C7E99">
      <w:pPr>
        <w:pStyle w:val="ListParagraph"/>
        <w:numPr>
          <w:ilvl w:val="3"/>
          <w:numId w:val="36"/>
        </w:numPr>
        <w:ind w:left="1560"/>
        <w:rPr>
          <w:rFonts w:cs="Arial"/>
        </w:rPr>
      </w:pPr>
      <w:r>
        <w:rPr>
          <w:rFonts w:cs="Arial"/>
        </w:rPr>
        <w:t>Up until 2016</w:t>
      </w:r>
      <w:r w:rsidR="000F44F7">
        <w:t>–</w:t>
      </w:r>
      <w:r>
        <w:rPr>
          <w:rFonts w:cs="Arial"/>
        </w:rPr>
        <w:t>17, s</w:t>
      </w:r>
      <w:r w:rsidRPr="0058370B">
        <w:rPr>
          <w:rFonts w:cs="Arial"/>
        </w:rPr>
        <w:t xml:space="preserve">amples </w:t>
      </w:r>
      <w:r>
        <w:rPr>
          <w:rFonts w:cs="Arial"/>
        </w:rPr>
        <w:t>were</w:t>
      </w:r>
      <w:r w:rsidRPr="0058370B">
        <w:rPr>
          <w:rFonts w:cs="Arial"/>
        </w:rPr>
        <w:t xml:space="preserve"> made up to 10 </w:t>
      </w:r>
      <w:r w:rsidR="000F44F7" w:rsidRPr="0058370B">
        <w:rPr>
          <w:rFonts w:cs="Arial"/>
        </w:rPr>
        <w:t>m</w:t>
      </w:r>
      <w:r w:rsidR="000F44F7">
        <w:rPr>
          <w:rFonts w:cs="Arial"/>
        </w:rPr>
        <w:t>L</w:t>
      </w:r>
      <w:r w:rsidR="000F44F7" w:rsidRPr="0058370B">
        <w:rPr>
          <w:rFonts w:cs="Arial"/>
        </w:rPr>
        <w:t xml:space="preserve"> </w:t>
      </w:r>
      <w:r w:rsidRPr="0058370B">
        <w:rPr>
          <w:rFonts w:cs="Arial"/>
        </w:rPr>
        <w:t>using dichloromethane and subjected to gel permeation chromatography (GPC).</w:t>
      </w:r>
      <w:r>
        <w:rPr>
          <w:rFonts w:cs="Arial"/>
        </w:rPr>
        <w:t xml:space="preserve"> Due to the relocation of </w:t>
      </w:r>
      <w:r w:rsidR="000F44F7">
        <w:rPr>
          <w:rFonts w:cs="Arial"/>
        </w:rPr>
        <w:t xml:space="preserve">the </w:t>
      </w:r>
      <w:r>
        <w:rPr>
          <w:rFonts w:cs="Arial"/>
        </w:rPr>
        <w:t xml:space="preserve">QAEHS </w:t>
      </w:r>
      <w:r w:rsidR="000F44F7">
        <w:rPr>
          <w:rFonts w:cs="Arial"/>
        </w:rPr>
        <w:t xml:space="preserve">laboratory </w:t>
      </w:r>
      <w:r>
        <w:rPr>
          <w:rFonts w:cs="Arial"/>
        </w:rPr>
        <w:t xml:space="preserve">in 2018, the use of GPC will no longer be available. Tests conducted comparing samples cleaned up by GPC </w:t>
      </w:r>
      <w:r w:rsidRPr="00CC2099">
        <w:rPr>
          <w:rFonts w:cs="Arial"/>
        </w:rPr>
        <w:t>versus</w:t>
      </w:r>
      <w:r>
        <w:rPr>
          <w:rFonts w:cs="Arial"/>
          <w:i/>
        </w:rPr>
        <w:t xml:space="preserve"> </w:t>
      </w:r>
      <w:r>
        <w:rPr>
          <w:rFonts w:cs="Arial"/>
        </w:rPr>
        <w:t xml:space="preserve">those that were not </w:t>
      </w:r>
      <w:r w:rsidR="000F44F7">
        <w:rPr>
          <w:rFonts w:cs="Arial"/>
        </w:rPr>
        <w:t xml:space="preserve">have </w:t>
      </w:r>
      <w:r>
        <w:rPr>
          <w:rFonts w:cs="Arial"/>
        </w:rPr>
        <w:t>show</w:t>
      </w:r>
      <w:r w:rsidR="000F44F7">
        <w:rPr>
          <w:rFonts w:cs="Arial"/>
        </w:rPr>
        <w:t>n</w:t>
      </w:r>
      <w:r>
        <w:rPr>
          <w:rFonts w:cs="Arial"/>
        </w:rPr>
        <w:t xml:space="preserve"> no appreciable differences in analysis.</w:t>
      </w:r>
    </w:p>
    <w:p w14:paraId="1DEA76E9" w14:textId="77777777" w:rsidR="00BB0109" w:rsidRPr="0058370B" w:rsidRDefault="00BD3474" w:rsidP="006C7E99">
      <w:pPr>
        <w:pStyle w:val="ListParagraph"/>
        <w:numPr>
          <w:ilvl w:val="0"/>
          <w:numId w:val="33"/>
        </w:numPr>
        <w:rPr>
          <w:rFonts w:eastAsia="SimSun" w:cs="Arial"/>
          <w:lang w:eastAsia="zh-CN"/>
        </w:rPr>
      </w:pPr>
      <w:r>
        <w:rPr>
          <w:rFonts w:cs="Arial"/>
        </w:rPr>
        <w:t>Chemical analysis – GCMS.</w:t>
      </w:r>
      <w:r w:rsidR="00BB0109" w:rsidRPr="0058370B">
        <w:rPr>
          <w:rFonts w:cs="Arial"/>
        </w:rPr>
        <w:tab/>
      </w:r>
    </w:p>
    <w:p w14:paraId="46E0911A" w14:textId="77777777" w:rsidR="001C1BFA" w:rsidRDefault="00BB0109" w:rsidP="00FE2F59">
      <w:pPr>
        <w:keepNext/>
        <w:jc w:val="center"/>
      </w:pPr>
      <w:r w:rsidRPr="0058370B">
        <w:rPr>
          <w:rFonts w:cs="Arial"/>
          <w:b/>
          <w:noProof/>
          <w:lang w:eastAsia="en-AU"/>
        </w:rPr>
        <w:drawing>
          <wp:inline distT="0" distB="0" distL="0" distR="0" wp14:anchorId="0C7C6FC9" wp14:editId="1CD9287F">
            <wp:extent cx="2717032" cy="2018282"/>
            <wp:effectExtent l="76200" t="76200" r="140970" b="134620"/>
            <wp:docPr id="23" name="Picture 8" descr="PDMS passive samplers loaded onto stainless steel sampler supports which sits within the deployment cage and is sealed in place with wing nuts" title="Figur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Documents and Settings\uqkkenne\Local Settings\Temporary Internet Files\Content.Word\SPMD cage.jpg"/>
                    <pic:cNvPicPr>
                      <a:picLocks noChangeAspect="1" noChangeArrowheads="1"/>
                    </pic:cNvPicPr>
                  </pic:nvPicPr>
                  <pic:blipFill>
                    <a:blip r:embed="rId61" cstate="print">
                      <a:extLst/>
                    </a:blip>
                    <a:srcRect/>
                    <a:stretch>
                      <a:fillRect/>
                    </a:stretch>
                  </pic:blipFill>
                  <pic:spPr bwMode="auto">
                    <a:xfrm>
                      <a:off x="0" y="0"/>
                      <a:ext cx="2717032" cy="2018282"/>
                    </a:xfrm>
                    <a:prstGeom prst="rect">
                      <a:avLst/>
                    </a:prstGeom>
                    <a:ln w="38100" cap="sq">
                      <a:solidFill>
                        <a:schemeClr val="tx1">
                          <a:lumMod val="50000"/>
                          <a:lumOff val="50000"/>
                        </a:schemeClr>
                      </a:solidFill>
                      <a:prstDash val="solid"/>
                      <a:miter lim="800000"/>
                    </a:ln>
                    <a:effectLst>
                      <a:outerShdw blurRad="50800" dist="38100" dir="2700000" algn="tl" rotWithShape="0">
                        <a:srgbClr val="000000">
                          <a:alpha val="43000"/>
                        </a:srgbClr>
                      </a:outerShdw>
                    </a:effectLst>
                  </pic:spPr>
                </pic:pic>
              </a:graphicData>
            </a:graphic>
          </wp:inline>
        </w:drawing>
      </w:r>
    </w:p>
    <w:p w14:paraId="302B5EB9" w14:textId="3772EC91" w:rsidR="00BB0109" w:rsidRPr="00F529DD" w:rsidRDefault="00620C94" w:rsidP="007E5A3A">
      <w:pPr>
        <w:pStyle w:val="Caption"/>
      </w:pPr>
      <w:bookmarkStart w:id="264" w:name="_Ref433714225"/>
      <w:bookmarkStart w:id="265" w:name="_Ref489455613"/>
      <w:bookmarkStart w:id="266" w:name="_Toc12361626"/>
      <w:bookmarkEnd w:id="264"/>
      <w:r>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4</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6</w:t>
      </w:r>
      <w:r w:rsidR="006940F4">
        <w:rPr>
          <w:noProof/>
        </w:rPr>
        <w:fldChar w:fldCharType="end"/>
      </w:r>
      <w:bookmarkEnd w:id="265"/>
      <w:r>
        <w:t xml:space="preserve"> </w:t>
      </w:r>
      <w:r w:rsidR="00085B47">
        <w:t>PDMS</w:t>
      </w:r>
      <w:r w:rsidR="001C3697" w:rsidRPr="009B6881">
        <w:t xml:space="preserve"> </w:t>
      </w:r>
      <w:r w:rsidR="001C1BFA" w:rsidRPr="009B6881">
        <w:t xml:space="preserve">passive samplers loaded onto stainless steel sampler supports </w:t>
      </w:r>
      <w:r w:rsidR="000F44F7">
        <w:t xml:space="preserve">that </w:t>
      </w:r>
      <w:r w:rsidR="001C1BFA" w:rsidRPr="009B6881">
        <w:t>sits within the deployment cage and is sealed in place with wing nuts</w:t>
      </w:r>
      <w:bookmarkEnd w:id="266"/>
    </w:p>
    <w:p w14:paraId="29EA7B99" w14:textId="789ACA1D" w:rsidR="0060039A" w:rsidRPr="0058370B" w:rsidRDefault="0060039A" w:rsidP="0060039A">
      <w:pPr>
        <w:rPr>
          <w:rFonts w:cs="Arial"/>
          <w:b/>
        </w:rPr>
      </w:pPr>
      <w:r>
        <w:rPr>
          <w:rFonts w:cs="Arial"/>
          <w:b/>
          <w:i/>
        </w:rPr>
        <w:t>I</w:t>
      </w:r>
      <w:r w:rsidR="00BB0109" w:rsidRPr="00DD22A7">
        <w:rPr>
          <w:rFonts w:cs="Arial"/>
          <w:b/>
          <w:i/>
        </w:rPr>
        <w:t>n situ</w:t>
      </w:r>
      <w:r w:rsidR="00BB0109" w:rsidRPr="0056167A">
        <w:rPr>
          <w:rFonts w:cs="Arial"/>
          <w:b/>
        </w:rPr>
        <w:t xml:space="preserve"> </w:t>
      </w:r>
      <w:r w:rsidR="00BB0109" w:rsidRPr="0058370B">
        <w:rPr>
          <w:rFonts w:cs="Arial"/>
          <w:b/>
        </w:rPr>
        <w:t xml:space="preserve">calibration </w:t>
      </w:r>
      <w:r>
        <w:rPr>
          <w:rFonts w:cs="Arial"/>
          <w:b/>
        </w:rPr>
        <w:t>sampling rate adjustment</w:t>
      </w:r>
      <w:r w:rsidRPr="0058370B">
        <w:rPr>
          <w:rFonts w:cs="Arial"/>
          <w:b/>
        </w:rPr>
        <w:t xml:space="preserve"> of PDMS </w:t>
      </w:r>
      <w:r>
        <w:rPr>
          <w:rFonts w:cs="Arial"/>
          <w:b/>
        </w:rPr>
        <w:t xml:space="preserve">passive samplers </w:t>
      </w:r>
      <w:r w:rsidRPr="0058370B">
        <w:rPr>
          <w:rFonts w:cs="Arial"/>
          <w:b/>
        </w:rPr>
        <w:t>using PFMs</w:t>
      </w:r>
    </w:p>
    <w:p w14:paraId="4240CF95" w14:textId="2E450C02" w:rsidR="00BB0109" w:rsidRPr="0058370B" w:rsidRDefault="00873CEF" w:rsidP="00FE2F59">
      <w:pPr>
        <w:rPr>
          <w:rFonts w:cs="Arial"/>
        </w:rPr>
      </w:pPr>
      <w:r>
        <w:rPr>
          <w:rFonts w:cs="Arial"/>
        </w:rPr>
        <w:t>Previous work has</w:t>
      </w:r>
      <w:r w:rsidR="00BB0109" w:rsidRPr="0058370B">
        <w:rPr>
          <w:rFonts w:cs="Arial"/>
        </w:rPr>
        <w:t xml:space="preserve"> demonstrated the usefulness of the PFM for the </w:t>
      </w:r>
      <w:r w:rsidR="00BB0109" w:rsidRPr="00BC49A8">
        <w:rPr>
          <w:rFonts w:cs="Arial"/>
          <w:i/>
        </w:rPr>
        <w:t>in situ</w:t>
      </w:r>
      <w:r w:rsidR="00BB0109" w:rsidRPr="0058370B">
        <w:rPr>
          <w:rFonts w:cs="Arial"/>
        </w:rPr>
        <w:t xml:space="preserve"> calibration of herbicides in the ED</w:t>
      </w:r>
      <w:r>
        <w:rPr>
          <w:rFonts w:cs="Arial"/>
        </w:rPr>
        <w:t xml:space="preserve"> </w:t>
      </w:r>
      <w:r>
        <w:rPr>
          <w:rFonts w:cs="Arial"/>
        </w:rPr>
        <w:fldChar w:fldCharType="begin">
          <w:fldData xml:space="preserve">PEVuZE5vdGU+PENpdGU+PEF1dGhvcj5P4oCZQnJpZW48L0F1dGhvcj48WWVhcj4yMDExPC9ZZWFy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</w:fldData>
        </w:fldChar>
      </w:r>
      <w:r>
        <w:rPr>
          <w:rFonts w:cs="Arial"/>
        </w:rPr>
        <w:instrText xml:space="preserve"> ADDIN EN.CITE </w:instrText>
      </w:r>
      <w:r>
        <w:rPr>
          <w:rFonts w:cs="Arial"/>
        </w:rPr>
        <w:fldChar w:fldCharType="begin">
          <w:fldData xml:space="preserve">PEVuZE5vdGU+PENpdGU+PEF1dGhvcj5P4oCZQnJpZW48L0F1dGhvcj48WWVhcj4yMDExPC9ZZWFy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</w:fldData>
        </w:fldChar>
      </w:r>
      <w:r>
        <w:rPr>
          <w:rFonts w:cs="Arial"/>
        </w:rPr>
        <w:instrText xml:space="preserve"> ADDIN EN.CITE.DATA </w:instrText>
      </w:r>
      <w:r>
        <w:rPr>
          <w:rFonts w:cs="Arial"/>
        </w:rPr>
      </w:r>
      <w:r>
        <w:rPr>
          <w:rFonts w:cs="Arial"/>
        </w:rPr>
        <w:fldChar w:fldCharType="end"/>
      </w:r>
      <w:r>
        <w:rPr>
          <w:rFonts w:cs="Arial"/>
        </w:rPr>
      </w:r>
      <w:r>
        <w:rPr>
          <w:rFonts w:cs="Arial"/>
        </w:rPr>
        <w:fldChar w:fldCharType="separate"/>
      </w:r>
      <w:r>
        <w:rPr>
          <w:rFonts w:cs="Arial"/>
          <w:noProof/>
        </w:rPr>
        <w:t>(O'Brien et al., 2009; D. O’Brien et al., 2011)</w:t>
      </w:r>
      <w:r>
        <w:rPr>
          <w:rFonts w:cs="Arial"/>
        </w:rPr>
        <w:fldChar w:fldCharType="end"/>
      </w:r>
      <w:r w:rsidR="00BB0109" w:rsidRPr="0058370B">
        <w:rPr>
          <w:rFonts w:cs="Arial"/>
        </w:rPr>
        <w:t xml:space="preserve">. Furthermore, </w:t>
      </w:r>
      <w:r>
        <w:rPr>
          <w:rFonts w:cs="Arial"/>
        </w:rPr>
        <w:fldChar w:fldCharType="begin"/>
      </w:r>
      <w:r>
        <w:rPr>
          <w:rFonts w:cs="Arial"/>
        </w:rPr>
        <w:instrText xml:space="preserve"> ADDIN EN.CITE &lt;EndNote&gt;&lt;Cite&gt;&lt;Author&gt;O’Brien&lt;/Author&gt;&lt;Year&gt;2012&lt;/Year&gt;&lt;RecNum&gt;1328&lt;/RecNum&gt;&lt;DisplayText&gt;(O’Brien et al., 2012)&lt;/DisplayText&gt;&lt;record&gt;&lt;rec-number&gt;1328&lt;/rec-number&gt;&lt;foreign-keys&gt;&lt;key app="EN" db-id="zapfddtwo2e9z5e5vxoxafs7sf59wfp52rvf" timestamp="1558926942"&gt;1328&lt;/key&gt;&lt;/foreign-keys&gt;&lt;ref-type name="Journal Article"&gt;17&lt;/ref-type&gt;&lt;contributors&gt;&lt;authors&gt;&lt;author&gt;O’Brien, Dominique&lt;/author&gt;&lt;author&gt;Komarova, Tatiana&lt;/author&gt;&lt;author&gt;Mueller, Jochen F.&lt;/author&gt;&lt;/authors&gt;&lt;/contributors&gt;&lt;titles&gt;&lt;title&gt;Determination of deployment specific chemical uptake rates for SPMD and PDMS using a passive flow monitor&lt;/title&gt;&lt;secondary-title&gt;Marine Pollution Bulletin&lt;/secondary-title&gt;&lt;/titles&gt;&lt;periodical&gt;&lt;full-title&gt;Marine Pollution Bulletin&lt;/full-title&gt;&lt;abbr-1&gt;Mar. Pollut. Bull.&lt;/abbr-1&gt;&lt;/periodical&gt;&lt;pages&gt;1005-1011&lt;/pages&gt;&lt;volume&gt;64&lt;/volume&gt;&lt;number&gt;5&lt;/number&gt;&lt;keywords&gt;&lt;keyword&gt;Herbicide&lt;/keyword&gt;&lt;keyword&gt;Passive sampling&lt;/keyword&gt;&lt;keyword&gt;SPMD&lt;/keyword&gt;&lt;keyword&gt;PDMS&lt;/keyword&gt;&lt;keyword&gt;Flow&lt;/keyword&gt;&lt;keyword&gt;Calibration&lt;/keyword&gt;&lt;/keywords&gt;&lt;dates&gt;&lt;year&gt;2012&lt;/year&gt;&lt;pub-dates&gt;&lt;date&gt;2012/05/01/&lt;/date&gt;&lt;/pub-dates&gt;&lt;/dates&gt;&lt;isbn&gt;0025-326X&lt;/isbn&gt;&lt;urls&gt;&lt;related-urls&gt;&lt;url&gt;http://www.sciencedirect.com/science/article/pii/S0025326X12000707&lt;/url&gt;&lt;/related-urls&gt;&lt;/urls&gt;&lt;electronic-resource-num&gt;https://doi.org/10.1016/j.marpolbul.2012.02.004&lt;/electronic-resource-num&gt;&lt;/record&gt;&lt;/Cite&gt;&lt;/EndNote&gt;</w:instrText>
      </w:r>
      <w:r>
        <w:rPr>
          <w:rFonts w:cs="Arial"/>
        </w:rPr>
        <w:fldChar w:fldCharType="separate"/>
      </w:r>
      <w:r>
        <w:rPr>
          <w:rFonts w:cs="Arial"/>
          <w:noProof/>
        </w:rPr>
        <w:t>(O’Brien et al., 2012)</w:t>
      </w:r>
      <w:r>
        <w:rPr>
          <w:rFonts w:cs="Arial"/>
        </w:rPr>
        <w:fldChar w:fldCharType="end"/>
      </w:r>
      <w:r>
        <w:rPr>
          <w:rFonts w:cs="Arial"/>
        </w:rPr>
        <w:t xml:space="preserve"> </w:t>
      </w:r>
      <w:r w:rsidR="0056167A" w:rsidRPr="0058370B">
        <w:rPr>
          <w:rFonts w:cs="Arial"/>
        </w:rPr>
        <w:t>ha</w:t>
      </w:r>
      <w:r w:rsidR="0056167A">
        <w:rPr>
          <w:rFonts w:cs="Arial"/>
        </w:rPr>
        <w:t>ve</w:t>
      </w:r>
      <w:r w:rsidR="0056167A" w:rsidRPr="0058370B">
        <w:rPr>
          <w:rFonts w:cs="Arial"/>
        </w:rPr>
        <w:t xml:space="preserve"> </w:t>
      </w:r>
      <w:r w:rsidR="00BB0109" w:rsidRPr="0058370B">
        <w:rPr>
          <w:rFonts w:cs="Arial"/>
        </w:rPr>
        <w:t>demonstrated that the loss of plaster from the PFM can be applied to predict changes in R</w:t>
      </w:r>
      <w:r w:rsidR="00BB0109" w:rsidRPr="0058370B">
        <w:rPr>
          <w:rFonts w:cs="Arial"/>
          <w:vertAlign w:val="subscript"/>
        </w:rPr>
        <w:t>s</w:t>
      </w:r>
      <w:r w:rsidR="00BB0109" w:rsidRPr="0058370B">
        <w:rPr>
          <w:rFonts w:cs="Arial"/>
        </w:rPr>
        <w:t xml:space="preserve"> dependant on flow and turbulence, when deploying PDMS samplers.</w:t>
      </w:r>
    </w:p>
    <w:p w14:paraId="4B686264" w14:textId="129BE778" w:rsidR="00BB0109" w:rsidRPr="0058370B" w:rsidRDefault="00BB0109" w:rsidP="00FE2F59">
      <w:pPr>
        <w:rPr>
          <w:rFonts w:cs="Arial"/>
        </w:rPr>
      </w:pPr>
      <w:r w:rsidRPr="0058370B">
        <w:rPr>
          <w:rFonts w:cs="Arial"/>
        </w:rPr>
        <w:t>The uptake of bifenthrin, dieldrin, oxadiazon, pendimethalin, permethrin, prothiophos and trifluralin were investigated as a function of water velocity (determined from r</w:t>
      </w:r>
      <w:r w:rsidRPr="0058370B">
        <w:rPr>
          <w:rFonts w:cs="Arial"/>
          <w:vertAlign w:val="subscript"/>
        </w:rPr>
        <w:t>PFM</w:t>
      </w:r>
      <w:r w:rsidRPr="0058370B">
        <w:rPr>
          <w:rFonts w:cs="Arial"/>
        </w:rPr>
        <w:t>) at flows between 0 and 24</w:t>
      </w:r>
      <w:r w:rsidR="0056167A">
        <w:rPr>
          <w:rFonts w:cs="Arial"/>
        </w:rPr>
        <w:t xml:space="preserve"> </w:t>
      </w:r>
      <w:r w:rsidRPr="0058370B">
        <w:rPr>
          <w:rFonts w:cs="Arial"/>
        </w:rPr>
        <w:t xml:space="preserve">cm </w:t>
      </w:r>
      <w:r w:rsidRPr="00095A05">
        <w:rPr>
          <w:rFonts w:cs="Arial"/>
        </w:rPr>
        <w:t>s</w:t>
      </w:r>
      <w:r w:rsidRPr="00095A05">
        <w:rPr>
          <w:rFonts w:cs="Arial"/>
          <w:vertAlign w:val="superscript"/>
        </w:rPr>
        <w:t>-1</w:t>
      </w:r>
      <w:r w:rsidRPr="00095A05">
        <w:rPr>
          <w:rFonts w:cs="Arial"/>
        </w:rPr>
        <w:t xml:space="preserve"> (</w:t>
      </w:r>
      <w:r w:rsidR="00014A28" w:rsidRPr="00095A05">
        <w:rPr>
          <w:rFonts w:cs="Arial"/>
          <w:highlight w:val="yellow"/>
        </w:rPr>
        <w:fldChar w:fldCharType="begin"/>
      </w:r>
      <w:r w:rsidR="00014A28" w:rsidRPr="00095A05">
        <w:rPr>
          <w:rFonts w:cs="Arial"/>
        </w:rPr>
        <w:instrText xml:space="preserve"> REF _Ref433714379 \h </w:instrText>
      </w:r>
      <w:r w:rsidR="00095A05" w:rsidRPr="00095A05">
        <w:rPr>
          <w:rFonts w:cs="Arial"/>
          <w:highlight w:val="yellow"/>
        </w:rPr>
        <w:instrText xml:space="preserve"> \* MERGEFORMAT </w:instrText>
      </w:r>
      <w:r w:rsidR="00014A28" w:rsidRPr="00095A05">
        <w:rPr>
          <w:rFonts w:cs="Arial"/>
          <w:highlight w:val="yellow"/>
        </w:rPr>
      </w:r>
      <w:r w:rsidR="00014A28" w:rsidRPr="00095A05">
        <w:rPr>
          <w:rFonts w:cs="Arial"/>
          <w:highlight w:val="yellow"/>
        </w:rPr>
        <w:fldChar w:fldCharType="separate"/>
      </w:r>
      <w:r w:rsidR="00D528AA" w:rsidRPr="00F529DD">
        <w:t xml:space="preserve">Figure </w:t>
      </w:r>
      <w:r w:rsidR="00D528AA">
        <w:rPr>
          <w:noProof/>
        </w:rPr>
        <w:t>4</w:t>
      </w:r>
      <w:r w:rsidR="00D528AA">
        <w:rPr>
          <w:noProof/>
        </w:rPr>
        <w:noBreakHyphen/>
        <w:t>7</w:t>
      </w:r>
      <w:r w:rsidR="00014A28" w:rsidRPr="00095A05">
        <w:rPr>
          <w:rFonts w:cs="Arial"/>
          <w:highlight w:val="yellow"/>
        </w:rPr>
        <w:fldChar w:fldCharType="end"/>
      </w:r>
      <w:r w:rsidRPr="00095A05">
        <w:rPr>
          <w:rFonts w:cs="Arial"/>
        </w:rPr>
        <w:t>).</w:t>
      </w:r>
      <w:r w:rsidRPr="0058370B">
        <w:rPr>
          <w:rFonts w:cs="Arial"/>
        </w:rPr>
        <w:t xml:space="preserve"> A one phase association describing this relationship between R</w:t>
      </w:r>
      <w:r w:rsidRPr="0058370B">
        <w:rPr>
          <w:rFonts w:cs="Arial"/>
          <w:vertAlign w:val="subscript"/>
        </w:rPr>
        <w:t>s</w:t>
      </w:r>
      <w:r w:rsidRPr="0058370B">
        <w:rPr>
          <w:rFonts w:cs="Arial"/>
        </w:rPr>
        <w:t xml:space="preserve"> and flow for ea</w:t>
      </w:r>
      <w:r w:rsidR="00F8280C">
        <w:rPr>
          <w:rFonts w:cs="Arial"/>
        </w:rPr>
        <w:t xml:space="preserve">ch chemical is </w:t>
      </w:r>
      <w:r w:rsidR="0056167A">
        <w:rPr>
          <w:rFonts w:cs="Arial"/>
        </w:rPr>
        <w:t xml:space="preserve">shown in </w:t>
      </w:r>
      <w:r w:rsidR="00F8280C">
        <w:rPr>
          <w:rFonts w:cs="Arial"/>
        </w:rPr>
        <w:t xml:space="preserve">Equation </w:t>
      </w:r>
      <w:r w:rsidR="0060039A">
        <w:rPr>
          <w:rFonts w:cs="Arial"/>
        </w:rPr>
        <w:t>2</w:t>
      </w:r>
      <w:r w:rsidRPr="0058370B">
        <w:rPr>
          <w:rFonts w:cs="Arial"/>
        </w:rPr>
        <w:t xml:space="preserve">. </w:t>
      </w:r>
    </w:p>
    <w:p w14:paraId="7E93794E" w14:textId="77777777" w:rsidR="00BB0109" w:rsidRPr="0058370B" w:rsidRDefault="00BB0109" w:rsidP="00FE2F59">
      <w:pPr>
        <w:rPr>
          <w:rFonts w:cs="Arial"/>
        </w:rPr>
      </w:pPr>
      <w:r w:rsidRPr="0058370B">
        <w:rPr>
          <w:rFonts w:cs="Arial"/>
          <w:noProof/>
          <w:lang w:eastAsia="en-AU"/>
        </w:rPr>
        <mc:AlternateContent>
          <mc:Choice Requires="wps">
            <w:drawing>
              <wp:inline distT="0" distB="0" distL="0" distR="0" wp14:anchorId="51F345A2" wp14:editId="7CC34C36">
                <wp:extent cx="5286375" cy="1495425"/>
                <wp:effectExtent l="0" t="0" r="28575" b="28575"/>
                <wp:docPr id="61" name="Text Box 61" descr="This diagram explains the definition of Equation 7" title="Sampling Technique"/>
                <wp:cNvGraphicFramePr/>
                <a:graphic xmlns:a="http://schemas.openxmlformats.org/drawingml/2006/main">
                  <a:graphicData uri="http://schemas.microsoft.com/office/word/2010/wordprocessingShape">
                    <wps:wsp>
                      <wps:cNvSpPr txBox="1"/>
                      <wps:spPr>
                        <a:xfrm>
                          <a:off x="0" y="0"/>
                          <a:ext cx="5286375" cy="1495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56D2846" w14:textId="68A1DDB5" w:rsidR="00CB53E4" w:rsidRDefault="00CB53E4" w:rsidP="00CC5A54">
                            <w:pPr>
                              <w:spacing w:before="0" w:after="0" w:line="240" w:lineRule="auto"/>
                              <w:contextualSpacing/>
                              <w:rPr>
                                <w:rStyle w:val="fcodeexample"/>
                                <w:b/>
                              </w:rPr>
                            </w:pPr>
                            <w:r>
                              <w:rPr>
                                <w:rStyle w:val="fcodeexample"/>
                                <w:b/>
                              </w:rPr>
                              <w:t>Equation 2</w:t>
                            </w:r>
                          </w:p>
                          <w:p w14:paraId="77AEF2BF" w14:textId="77777777" w:rsidR="00CB53E4" w:rsidRDefault="00CB53E4" w:rsidP="00CC5A54">
                            <w:pPr>
                              <w:spacing w:before="0" w:after="0" w:line="240" w:lineRule="auto"/>
                              <w:contextualSpacing/>
                              <w:rPr>
                                <w:rStyle w:val="fcodeexample"/>
                                <w:b/>
                              </w:rPr>
                            </w:pPr>
                            <w:r>
                              <w:rPr>
                                <w:rStyle w:val="fcodeexample"/>
                              </w:rPr>
                              <w:t>R</w:t>
                            </w:r>
                            <w:r w:rsidRPr="004A1319">
                              <w:rPr>
                                <w:rStyle w:val="fcodeexample"/>
                                <w:vertAlign w:val="subscript"/>
                              </w:rPr>
                              <w:t>s</w:t>
                            </w:r>
                            <w:r>
                              <w:rPr>
                                <w:rStyle w:val="fcodeexample"/>
                              </w:rPr>
                              <w:t xml:space="preserve">= </w:t>
                            </w:r>
                            <w:r w:rsidRPr="00F067FF">
                              <w:rPr>
                                <w:rStyle w:val="fcodeexample"/>
                              </w:rPr>
                              <w:t>R</w:t>
                            </w:r>
                            <w:r>
                              <w:rPr>
                                <w:rStyle w:val="fcodeexample"/>
                                <w:vertAlign w:val="subscript"/>
                              </w:rPr>
                              <w:t>s(0 cm/s)</w:t>
                            </w:r>
                            <w:r>
                              <w:rPr>
                                <w:rStyle w:val="fcodeexample"/>
                              </w:rPr>
                              <w:t xml:space="preserve"> + (</w:t>
                            </w:r>
                            <w:r w:rsidRPr="00F067FF">
                              <w:rPr>
                                <w:rStyle w:val="fcodeexample"/>
                              </w:rPr>
                              <w:t>R</w:t>
                            </w:r>
                            <w:r>
                              <w:rPr>
                                <w:rStyle w:val="fcodeexample"/>
                                <w:vertAlign w:val="subscript"/>
                              </w:rPr>
                              <w:t>s(max)</w:t>
                            </w:r>
                            <w:r>
                              <w:rPr>
                                <w:rStyle w:val="fcodeexample"/>
                              </w:rPr>
                              <w:t xml:space="preserve">- </w:t>
                            </w:r>
                            <w:r w:rsidRPr="00F067FF">
                              <w:rPr>
                                <w:rStyle w:val="fcodeexample"/>
                              </w:rPr>
                              <w:t>R</w:t>
                            </w:r>
                            <w:r>
                              <w:rPr>
                                <w:rStyle w:val="fcodeexample"/>
                                <w:vertAlign w:val="subscript"/>
                              </w:rPr>
                              <w:t>s(0 cm/s)</w:t>
                            </w:r>
                            <w:r>
                              <w:rPr>
                                <w:rStyle w:val="fcodeexample"/>
                              </w:rPr>
                              <w:t>)*(1-exp(-Kr</w:t>
                            </w:r>
                            <w:r w:rsidRPr="00B76ECC">
                              <w:rPr>
                                <w:rStyle w:val="fcodeexample"/>
                                <w:vertAlign w:val="subscript"/>
                              </w:rPr>
                              <w:t>PFM</w:t>
                            </w:r>
                            <w:r>
                              <w:rPr>
                                <w:rStyle w:val="fcodeexample"/>
                                <w:vertAlign w:val="subscript"/>
                              </w:rPr>
                              <w:t xml:space="preserve"> </w:t>
                            </w:r>
                            <w:r>
                              <w:rPr>
                                <w:rStyle w:val="fcodeexample"/>
                              </w:rPr>
                              <w:t>*</w:t>
                            </w:r>
                            <w:r w:rsidRPr="00535572">
                              <w:rPr>
                                <w:rStyle w:val="fcodeexample"/>
                              </w:rPr>
                              <w:t>r</w:t>
                            </w:r>
                            <w:r w:rsidRPr="00535572">
                              <w:rPr>
                                <w:rStyle w:val="fcodeexample"/>
                                <w:vertAlign w:val="subscript"/>
                              </w:rPr>
                              <w:t>PFM</w:t>
                            </w:r>
                            <w:r>
                              <w:rPr>
                                <w:rStyle w:val="fcodeexample"/>
                              </w:rPr>
                              <w:t>))</w:t>
                            </w:r>
                            <w:r>
                              <w:rPr>
                                <w:rStyle w:val="fcodeexample"/>
                              </w:rPr>
                              <w:tab/>
                            </w:r>
                            <w:r>
                              <w:rPr>
                                <w:rStyle w:val="fcodeexample"/>
                              </w:rPr>
                              <w:tab/>
                            </w:r>
                          </w:p>
                          <w:p w14:paraId="0DA38A31" w14:textId="77777777" w:rsidR="00CB53E4" w:rsidRDefault="00CB53E4" w:rsidP="00CC5A54">
                            <w:pPr>
                              <w:spacing w:before="0" w:after="0" w:line="240" w:lineRule="auto"/>
                              <w:contextualSpacing/>
                              <w:rPr>
                                <w:rStyle w:val="fcodeexample"/>
                              </w:rPr>
                            </w:pPr>
                          </w:p>
                          <w:p w14:paraId="55F93691" w14:textId="77777777" w:rsidR="00CB53E4" w:rsidRDefault="00CB53E4" w:rsidP="00CC5A54">
                            <w:pPr>
                              <w:spacing w:before="0" w:after="0" w:line="240" w:lineRule="auto"/>
                              <w:contextualSpacing/>
                              <w:rPr>
                                <w:rStyle w:val="fcodeexample"/>
                              </w:rPr>
                            </w:pPr>
                            <w:r>
                              <w:rPr>
                                <w:rStyle w:val="fcodeexample"/>
                              </w:rPr>
                              <w:t>Where:</w:t>
                            </w:r>
                          </w:p>
                          <w:p w14:paraId="54AF3E6D" w14:textId="6F3AF2E9" w:rsidR="00CB53E4" w:rsidRDefault="00CB53E4" w:rsidP="00CC5A54">
                            <w:pPr>
                              <w:spacing w:before="0" w:after="0" w:line="240" w:lineRule="auto"/>
                              <w:ind w:firstLine="720"/>
                              <w:contextualSpacing/>
                              <w:rPr>
                                <w:rStyle w:val="fcodeexample"/>
                              </w:rPr>
                            </w:pPr>
                            <w:r w:rsidRPr="00F067FF">
                              <w:rPr>
                                <w:rStyle w:val="fcodeexample"/>
                              </w:rPr>
                              <w:t>R</w:t>
                            </w:r>
                            <w:r>
                              <w:rPr>
                                <w:rStyle w:val="fcodeexample"/>
                                <w:vertAlign w:val="subscript"/>
                              </w:rPr>
                              <w:t>s(0 cm/s)</w:t>
                            </w:r>
                            <w:r>
                              <w:rPr>
                                <w:rStyle w:val="fcodeexample"/>
                              </w:rPr>
                              <w:t xml:space="preserve"> is the </w:t>
                            </w:r>
                            <w:r w:rsidRPr="0085294F">
                              <w:rPr>
                                <w:rStyle w:val="fcodeexample"/>
                              </w:rPr>
                              <w:t>R</w:t>
                            </w:r>
                            <w:r w:rsidRPr="0085294F">
                              <w:rPr>
                                <w:rStyle w:val="fcodeexample"/>
                                <w:vertAlign w:val="subscript"/>
                              </w:rPr>
                              <w:t>s</w:t>
                            </w:r>
                            <w:r>
                              <w:rPr>
                                <w:rStyle w:val="fcodeexample"/>
                              </w:rPr>
                              <w:t xml:space="preserve"> of the chemical of interest when exposed to still waters</w:t>
                            </w:r>
                          </w:p>
                          <w:p w14:paraId="61FACF0F" w14:textId="77777777" w:rsidR="00CB53E4" w:rsidRDefault="00CB53E4" w:rsidP="00CC5A54">
                            <w:pPr>
                              <w:spacing w:before="0" w:after="0" w:line="240" w:lineRule="auto"/>
                              <w:ind w:firstLine="720"/>
                              <w:contextualSpacing/>
                              <w:rPr>
                                <w:rStyle w:val="fcodeexample"/>
                              </w:rPr>
                            </w:pPr>
                            <w:r>
                              <w:rPr>
                                <w:rStyle w:val="fcodeexample"/>
                              </w:rPr>
                              <w:t>R</w:t>
                            </w:r>
                            <w:r>
                              <w:rPr>
                                <w:rStyle w:val="fcodeexample"/>
                                <w:vertAlign w:val="subscript"/>
                              </w:rPr>
                              <w:t>s(max)</w:t>
                            </w:r>
                            <w:r>
                              <w:rPr>
                                <w:rStyle w:val="fcodeexample"/>
                              </w:rPr>
                              <w:t xml:space="preserve"> is the maximum </w:t>
                            </w:r>
                            <w:r w:rsidRPr="0085294F">
                              <w:rPr>
                                <w:rStyle w:val="fcodeexample"/>
                              </w:rPr>
                              <w:t>R</w:t>
                            </w:r>
                            <w:r w:rsidRPr="0085294F">
                              <w:rPr>
                                <w:rStyle w:val="fcodeexample"/>
                                <w:vertAlign w:val="subscript"/>
                              </w:rPr>
                              <w:t>s</w:t>
                            </w:r>
                            <w:r>
                              <w:rPr>
                                <w:rStyle w:val="fcodeexample"/>
                              </w:rPr>
                              <w:t xml:space="preserve"> for the chemical of interest </w:t>
                            </w:r>
                          </w:p>
                          <w:p w14:paraId="6DE66F21" w14:textId="77777777" w:rsidR="00CB53E4" w:rsidRDefault="00CB53E4" w:rsidP="00CC5A54">
                            <w:pPr>
                              <w:spacing w:before="0" w:after="0" w:line="240" w:lineRule="auto"/>
                              <w:ind w:firstLine="720"/>
                              <w:contextualSpacing/>
                            </w:pPr>
                            <w:r>
                              <w:rPr>
                                <w:rStyle w:val="fcodeexample"/>
                              </w:rPr>
                              <w:t>Kr</w:t>
                            </w:r>
                            <w:r w:rsidRPr="00B76ECC">
                              <w:rPr>
                                <w:rStyle w:val="fcodeexample"/>
                                <w:vertAlign w:val="subscript"/>
                              </w:rPr>
                              <w:t>PFM</w:t>
                            </w:r>
                            <w:r>
                              <w:rPr>
                                <w:rStyle w:val="fcodeexample"/>
                                <w:vertAlign w:val="subscript"/>
                              </w:rPr>
                              <w:t xml:space="preserve"> </w:t>
                            </w:r>
                            <w:r>
                              <w:rPr>
                                <w:rStyle w:val="fcodeexample"/>
                              </w:rPr>
                              <w:t xml:space="preserve">is a rate constant expressed in reciprocal of the units of </w:t>
                            </w:r>
                            <w:r w:rsidRPr="00B76ECC">
                              <w:rPr>
                                <w:rStyle w:val="fcodeexample"/>
                                <w:i/>
                              </w:rPr>
                              <w:t>r</w:t>
                            </w:r>
                            <w:r w:rsidRPr="00B76ECC">
                              <w:rPr>
                                <w:rStyle w:val="fcodeexample"/>
                                <w:vertAlign w:val="subscript"/>
                              </w:rPr>
                              <w:t>PFM</w:t>
                            </w:r>
                          </w:p>
                          <w:p w14:paraId="3C42286B" w14:textId="77777777" w:rsidR="00CB53E4" w:rsidRDefault="00CB53E4" w:rsidP="00CC5A54">
                            <w:pPr>
                              <w:spacing w:before="0" w:after="0" w:line="240" w:lineRule="auto"/>
                              <w:ind w:firstLine="720"/>
                              <w:contextualSpacing/>
                              <w:rPr>
                                <w:rStyle w:val="fcodeexample"/>
                              </w:rPr>
                            </w:pPr>
                            <w:r w:rsidRPr="00535572">
                              <w:rPr>
                                <w:rStyle w:val="fcodeexample"/>
                              </w:rPr>
                              <w:t>r</w:t>
                            </w:r>
                            <w:r w:rsidRPr="00535572">
                              <w:rPr>
                                <w:rStyle w:val="fcodeexample"/>
                                <w:vertAlign w:val="subscript"/>
                              </w:rPr>
                              <w:t>PFM</w:t>
                            </w:r>
                            <w:r>
                              <w:rPr>
                                <w:rStyle w:val="fcodeexample"/>
                                <w:vertAlign w:val="subscript"/>
                              </w:rPr>
                              <w:t xml:space="preserve"> </w:t>
                            </w:r>
                            <w:r>
                              <w:rPr>
                                <w:rStyle w:val="fcodeexample"/>
                              </w:rPr>
                              <w:t xml:space="preserve">is the loss rate of the PFM in g/day. </w:t>
                            </w:r>
                          </w:p>
                          <w:p w14:paraId="51156C35" w14:textId="77777777" w:rsidR="00CB53E4" w:rsidRDefault="00CB53E4" w:rsidP="00BB010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1F345A2" id="Text Box 61" o:spid="_x0000_s1031" type="#_x0000_t202" alt="Title: Sampling Technique - Description: This diagram explains the definition of Equation 7" style="width:416.25pt;height:11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" fillcolor="white [3201]" strokeweight=".5pt">
                <v:textbox>
                  <w:txbxContent>
                    <w:p w14:paraId="756D2846" w14:textId="68A1DDB5" w:rsidR="00CB53E4" w:rsidRDefault="00CB53E4" w:rsidP="00CC5A54">
                      <w:pPr>
                        <w:spacing w:before="0" w:after="0" w:line="240" w:lineRule="auto"/>
                        <w:contextualSpacing/>
                        <w:rPr>
                          <w:rStyle w:val="fcodeexample"/>
                          <w:b/>
                        </w:rPr>
                      </w:pPr>
                      <w:r>
                        <w:rPr>
                          <w:rStyle w:val="fcodeexample"/>
                          <w:b/>
                        </w:rPr>
                        <w:t>Equation 2</w:t>
                      </w:r>
                    </w:p>
                    <w:p w14:paraId="77AEF2BF" w14:textId="77777777" w:rsidR="00CB53E4" w:rsidRDefault="00CB53E4" w:rsidP="00CC5A54">
                      <w:pPr>
                        <w:spacing w:before="0" w:after="0" w:line="240" w:lineRule="auto"/>
                        <w:contextualSpacing/>
                        <w:rPr>
                          <w:rStyle w:val="fcodeexample"/>
                          <w:b/>
                        </w:rPr>
                      </w:pPr>
                      <w:r>
                        <w:rPr>
                          <w:rStyle w:val="fcodeexample"/>
                        </w:rPr>
                        <w:t>R</w:t>
                      </w:r>
                      <w:r w:rsidRPr="004A1319">
                        <w:rPr>
                          <w:rStyle w:val="fcodeexample"/>
                          <w:vertAlign w:val="subscript"/>
                        </w:rPr>
                        <w:t>s</w:t>
                      </w:r>
                      <w:r>
                        <w:rPr>
                          <w:rStyle w:val="fcodeexample"/>
                        </w:rPr>
                        <w:t xml:space="preserve">= </w:t>
                      </w:r>
                      <w:r w:rsidRPr="00F067FF">
                        <w:rPr>
                          <w:rStyle w:val="fcodeexample"/>
                        </w:rPr>
                        <w:t>R</w:t>
                      </w:r>
                      <w:r>
                        <w:rPr>
                          <w:rStyle w:val="fcodeexample"/>
                          <w:vertAlign w:val="subscript"/>
                        </w:rPr>
                        <w:t>s(0 cm/s)</w:t>
                      </w:r>
                      <w:r>
                        <w:rPr>
                          <w:rStyle w:val="fcodeexample"/>
                        </w:rPr>
                        <w:t xml:space="preserve"> + (</w:t>
                      </w:r>
                      <w:r w:rsidRPr="00F067FF">
                        <w:rPr>
                          <w:rStyle w:val="fcodeexample"/>
                        </w:rPr>
                        <w:t>R</w:t>
                      </w:r>
                      <w:r>
                        <w:rPr>
                          <w:rStyle w:val="fcodeexample"/>
                          <w:vertAlign w:val="subscript"/>
                        </w:rPr>
                        <w:t>s(max)</w:t>
                      </w:r>
                      <w:r>
                        <w:rPr>
                          <w:rStyle w:val="fcodeexample"/>
                        </w:rPr>
                        <w:t xml:space="preserve">- </w:t>
                      </w:r>
                      <w:r w:rsidRPr="00F067FF">
                        <w:rPr>
                          <w:rStyle w:val="fcodeexample"/>
                        </w:rPr>
                        <w:t>R</w:t>
                      </w:r>
                      <w:r>
                        <w:rPr>
                          <w:rStyle w:val="fcodeexample"/>
                          <w:vertAlign w:val="subscript"/>
                        </w:rPr>
                        <w:t>s(0 cm/s)</w:t>
                      </w:r>
                      <w:r>
                        <w:rPr>
                          <w:rStyle w:val="fcodeexample"/>
                        </w:rPr>
                        <w:t>)*(1-exp(-Kr</w:t>
                      </w:r>
                      <w:r w:rsidRPr="00B76ECC">
                        <w:rPr>
                          <w:rStyle w:val="fcodeexample"/>
                          <w:vertAlign w:val="subscript"/>
                        </w:rPr>
                        <w:t>PFM</w:t>
                      </w:r>
                      <w:r>
                        <w:rPr>
                          <w:rStyle w:val="fcodeexample"/>
                          <w:vertAlign w:val="subscript"/>
                        </w:rPr>
                        <w:t xml:space="preserve"> </w:t>
                      </w:r>
                      <w:r>
                        <w:rPr>
                          <w:rStyle w:val="fcodeexample"/>
                        </w:rPr>
                        <w:t>*</w:t>
                      </w:r>
                      <w:r w:rsidRPr="00535572">
                        <w:rPr>
                          <w:rStyle w:val="fcodeexample"/>
                        </w:rPr>
                        <w:t>r</w:t>
                      </w:r>
                      <w:r w:rsidRPr="00535572">
                        <w:rPr>
                          <w:rStyle w:val="fcodeexample"/>
                          <w:vertAlign w:val="subscript"/>
                        </w:rPr>
                        <w:t>PFM</w:t>
                      </w:r>
                      <w:r>
                        <w:rPr>
                          <w:rStyle w:val="fcodeexample"/>
                        </w:rPr>
                        <w:t>))</w:t>
                      </w:r>
                      <w:r>
                        <w:rPr>
                          <w:rStyle w:val="fcodeexample"/>
                        </w:rPr>
                        <w:tab/>
                      </w:r>
                      <w:r>
                        <w:rPr>
                          <w:rStyle w:val="fcodeexample"/>
                        </w:rPr>
                        <w:tab/>
                      </w:r>
                    </w:p>
                    <w:p w14:paraId="0DA38A31" w14:textId="77777777" w:rsidR="00CB53E4" w:rsidRDefault="00CB53E4" w:rsidP="00CC5A54">
                      <w:pPr>
                        <w:spacing w:before="0" w:after="0" w:line="240" w:lineRule="auto"/>
                        <w:contextualSpacing/>
                        <w:rPr>
                          <w:rStyle w:val="fcodeexample"/>
                        </w:rPr>
                      </w:pPr>
                    </w:p>
                    <w:p w14:paraId="55F93691" w14:textId="77777777" w:rsidR="00CB53E4" w:rsidRDefault="00CB53E4" w:rsidP="00CC5A54">
                      <w:pPr>
                        <w:spacing w:before="0" w:after="0" w:line="240" w:lineRule="auto"/>
                        <w:contextualSpacing/>
                        <w:rPr>
                          <w:rStyle w:val="fcodeexample"/>
                        </w:rPr>
                      </w:pPr>
                      <w:r>
                        <w:rPr>
                          <w:rStyle w:val="fcodeexample"/>
                        </w:rPr>
                        <w:t>Where:</w:t>
                      </w:r>
                    </w:p>
                    <w:p w14:paraId="54AF3E6D" w14:textId="6F3AF2E9" w:rsidR="00CB53E4" w:rsidRDefault="00CB53E4" w:rsidP="00CC5A54">
                      <w:pPr>
                        <w:spacing w:before="0" w:after="0" w:line="240" w:lineRule="auto"/>
                        <w:ind w:firstLine="720"/>
                        <w:contextualSpacing/>
                        <w:rPr>
                          <w:rStyle w:val="fcodeexample"/>
                        </w:rPr>
                      </w:pPr>
                      <w:r w:rsidRPr="00F067FF">
                        <w:rPr>
                          <w:rStyle w:val="fcodeexample"/>
                        </w:rPr>
                        <w:t>R</w:t>
                      </w:r>
                      <w:r>
                        <w:rPr>
                          <w:rStyle w:val="fcodeexample"/>
                          <w:vertAlign w:val="subscript"/>
                        </w:rPr>
                        <w:t>s(0 cm/s)</w:t>
                      </w:r>
                      <w:r>
                        <w:rPr>
                          <w:rStyle w:val="fcodeexample"/>
                        </w:rPr>
                        <w:t xml:space="preserve"> is the </w:t>
                      </w:r>
                      <w:r w:rsidRPr="0085294F">
                        <w:rPr>
                          <w:rStyle w:val="fcodeexample"/>
                        </w:rPr>
                        <w:t>R</w:t>
                      </w:r>
                      <w:r w:rsidRPr="0085294F">
                        <w:rPr>
                          <w:rStyle w:val="fcodeexample"/>
                          <w:vertAlign w:val="subscript"/>
                        </w:rPr>
                        <w:t>s</w:t>
                      </w:r>
                      <w:r>
                        <w:rPr>
                          <w:rStyle w:val="fcodeexample"/>
                        </w:rPr>
                        <w:t xml:space="preserve"> of the chemical of interest when exposed to still waters</w:t>
                      </w:r>
                    </w:p>
                    <w:p w14:paraId="61FACF0F" w14:textId="77777777" w:rsidR="00CB53E4" w:rsidRDefault="00CB53E4" w:rsidP="00CC5A54">
                      <w:pPr>
                        <w:spacing w:before="0" w:after="0" w:line="240" w:lineRule="auto"/>
                        <w:ind w:firstLine="720"/>
                        <w:contextualSpacing/>
                        <w:rPr>
                          <w:rStyle w:val="fcodeexample"/>
                        </w:rPr>
                      </w:pPr>
                      <w:r>
                        <w:rPr>
                          <w:rStyle w:val="fcodeexample"/>
                        </w:rPr>
                        <w:t>R</w:t>
                      </w:r>
                      <w:r>
                        <w:rPr>
                          <w:rStyle w:val="fcodeexample"/>
                          <w:vertAlign w:val="subscript"/>
                        </w:rPr>
                        <w:t>s(max)</w:t>
                      </w:r>
                      <w:r>
                        <w:rPr>
                          <w:rStyle w:val="fcodeexample"/>
                        </w:rPr>
                        <w:t xml:space="preserve"> is the maximum </w:t>
                      </w:r>
                      <w:r w:rsidRPr="0085294F">
                        <w:rPr>
                          <w:rStyle w:val="fcodeexample"/>
                        </w:rPr>
                        <w:t>R</w:t>
                      </w:r>
                      <w:r w:rsidRPr="0085294F">
                        <w:rPr>
                          <w:rStyle w:val="fcodeexample"/>
                          <w:vertAlign w:val="subscript"/>
                        </w:rPr>
                        <w:t>s</w:t>
                      </w:r>
                      <w:r>
                        <w:rPr>
                          <w:rStyle w:val="fcodeexample"/>
                        </w:rPr>
                        <w:t xml:space="preserve"> for the chemical of interest </w:t>
                      </w:r>
                    </w:p>
                    <w:p w14:paraId="6DE66F21" w14:textId="77777777" w:rsidR="00CB53E4" w:rsidRDefault="00CB53E4" w:rsidP="00CC5A54">
                      <w:pPr>
                        <w:spacing w:before="0" w:after="0" w:line="240" w:lineRule="auto"/>
                        <w:ind w:firstLine="720"/>
                        <w:contextualSpacing/>
                      </w:pPr>
                      <w:r>
                        <w:rPr>
                          <w:rStyle w:val="fcodeexample"/>
                        </w:rPr>
                        <w:t>Kr</w:t>
                      </w:r>
                      <w:r w:rsidRPr="00B76ECC">
                        <w:rPr>
                          <w:rStyle w:val="fcodeexample"/>
                          <w:vertAlign w:val="subscript"/>
                        </w:rPr>
                        <w:t>PFM</w:t>
                      </w:r>
                      <w:r>
                        <w:rPr>
                          <w:rStyle w:val="fcodeexample"/>
                          <w:vertAlign w:val="subscript"/>
                        </w:rPr>
                        <w:t xml:space="preserve"> </w:t>
                      </w:r>
                      <w:r>
                        <w:rPr>
                          <w:rStyle w:val="fcodeexample"/>
                        </w:rPr>
                        <w:t xml:space="preserve">is a rate constant expressed in reciprocal of the units of </w:t>
                      </w:r>
                      <w:r w:rsidRPr="00B76ECC">
                        <w:rPr>
                          <w:rStyle w:val="fcodeexample"/>
                          <w:i/>
                        </w:rPr>
                        <w:t>r</w:t>
                      </w:r>
                      <w:r w:rsidRPr="00B76ECC">
                        <w:rPr>
                          <w:rStyle w:val="fcodeexample"/>
                          <w:vertAlign w:val="subscript"/>
                        </w:rPr>
                        <w:t>PFM</w:t>
                      </w:r>
                    </w:p>
                    <w:p w14:paraId="3C42286B" w14:textId="77777777" w:rsidR="00CB53E4" w:rsidRDefault="00CB53E4" w:rsidP="00CC5A54">
                      <w:pPr>
                        <w:spacing w:before="0" w:after="0" w:line="240" w:lineRule="auto"/>
                        <w:ind w:firstLine="720"/>
                        <w:contextualSpacing/>
                        <w:rPr>
                          <w:rStyle w:val="fcodeexample"/>
                        </w:rPr>
                      </w:pPr>
                      <w:r w:rsidRPr="00535572">
                        <w:rPr>
                          <w:rStyle w:val="fcodeexample"/>
                        </w:rPr>
                        <w:t>r</w:t>
                      </w:r>
                      <w:r w:rsidRPr="00535572">
                        <w:rPr>
                          <w:rStyle w:val="fcodeexample"/>
                          <w:vertAlign w:val="subscript"/>
                        </w:rPr>
                        <w:t>PFM</w:t>
                      </w:r>
                      <w:r>
                        <w:rPr>
                          <w:rStyle w:val="fcodeexample"/>
                          <w:vertAlign w:val="subscript"/>
                        </w:rPr>
                        <w:t xml:space="preserve"> </w:t>
                      </w:r>
                      <w:r>
                        <w:rPr>
                          <w:rStyle w:val="fcodeexample"/>
                        </w:rPr>
                        <w:t xml:space="preserve">is the loss rate of the PFM in g/day. </w:t>
                      </w:r>
                    </w:p>
                    <w:p w14:paraId="51156C35" w14:textId="77777777" w:rsidR="00CB53E4" w:rsidRDefault="00CB53E4" w:rsidP="00BB0109"/>
                  </w:txbxContent>
                </v:textbox>
                <w10:anchorlock/>
              </v:shape>
            </w:pict>
          </mc:Fallback>
        </mc:AlternateContent>
      </w:r>
    </w:p>
    <w:p w14:paraId="7AA1A383" w14:textId="77777777" w:rsidR="001C1BFA" w:rsidRDefault="00BB0109" w:rsidP="0045293A">
      <w:pPr>
        <w:keepNext/>
        <w:jc w:val="center"/>
      </w:pPr>
      <w:r w:rsidRPr="0058370B">
        <w:rPr>
          <w:rFonts w:cs="Arial"/>
          <w:b/>
          <w:noProof/>
          <w:lang w:eastAsia="en-AU"/>
        </w:rPr>
        <w:drawing>
          <wp:inline distT="0" distB="0" distL="0" distR="0" wp14:anchorId="6B4FB730" wp14:editId="6C33AB24">
            <wp:extent cx="4923790" cy="3407410"/>
            <wp:effectExtent l="0" t="0" r="0" b="2540"/>
            <wp:docPr id="3" name="Picture 0" descr="PDMS and SPMD sampling rates (Rs) as a function of water velocity rPFM" title="Fig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3.7.jpg"/>
                    <pic:cNvPicPr/>
                  </pic:nvPicPr>
                  <pic:blipFill>
                    <a:blip r:embed="rId62" cstate="print">
                      <a:extLst>
                        <a:ext uri="{28A0092B-C50C-407E-A947-70E740481C1C}">
                          <a14:useLocalDpi xmlns:a14="http://schemas.microsoft.com/office/drawing/2010/main" val="0"/>
                        </a:ext>
                      </a:extLst>
                    </a:blip>
                    <a:srcRect t="7925"/>
                    <a:stretch>
                      <a:fillRect/>
                    </a:stretch>
                  </pic:blipFill>
                  <pic:spPr>
                    <a:xfrm>
                      <a:off x="0" y="0"/>
                      <a:ext cx="4923790" cy="3407410"/>
                    </a:xfrm>
                    <a:prstGeom prst="rect">
                      <a:avLst/>
                    </a:prstGeom>
                  </pic:spPr>
                </pic:pic>
              </a:graphicData>
            </a:graphic>
          </wp:inline>
        </w:drawing>
      </w:r>
    </w:p>
    <w:p w14:paraId="260AD44C" w14:textId="74FF7ABA" w:rsidR="00BB0109" w:rsidRPr="009B6881" w:rsidRDefault="001C1BFA" w:rsidP="007E5A3A">
      <w:pPr>
        <w:pStyle w:val="Caption"/>
      </w:pPr>
      <w:bookmarkStart w:id="267" w:name="_Ref433714379"/>
      <w:bookmarkStart w:id="268" w:name="_Toc12361627"/>
      <w:r w:rsidRPr="00F529DD">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4</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7</w:t>
      </w:r>
      <w:r w:rsidR="006940F4">
        <w:rPr>
          <w:noProof/>
        </w:rPr>
        <w:fldChar w:fldCharType="end"/>
      </w:r>
      <w:bookmarkEnd w:id="267"/>
      <w:r w:rsidRPr="00F529DD">
        <w:t xml:space="preserve"> </w:t>
      </w:r>
      <w:r w:rsidR="00085B47">
        <w:t>PDMS</w:t>
      </w:r>
      <w:r w:rsidR="00855B0E" w:rsidRPr="009B6881">
        <w:t xml:space="preserve"> </w:t>
      </w:r>
      <w:r w:rsidRPr="009B6881">
        <w:t xml:space="preserve">and </w:t>
      </w:r>
      <w:r w:rsidR="0056167A">
        <w:t>s</w:t>
      </w:r>
      <w:r w:rsidR="0056167A" w:rsidRPr="00412529">
        <w:t xml:space="preserve">emipermeable </w:t>
      </w:r>
      <w:r w:rsidR="0056167A">
        <w:t>m</w:t>
      </w:r>
      <w:r w:rsidR="0056167A" w:rsidRPr="00412529">
        <w:t xml:space="preserve">embrane </w:t>
      </w:r>
      <w:r w:rsidR="0056167A">
        <w:t>d</w:t>
      </w:r>
      <w:r w:rsidR="0056167A" w:rsidRPr="00412529">
        <w:t>evices</w:t>
      </w:r>
      <w:r w:rsidRPr="009B6881">
        <w:t xml:space="preserve"> sampling rates (Rs) as a function of water velocity </w:t>
      </w:r>
      <w:r w:rsidR="00855B0E">
        <w:t>(</w:t>
      </w:r>
      <w:r w:rsidRPr="009B6881">
        <w:t>rPFM</w:t>
      </w:r>
      <w:r w:rsidR="00855B0E">
        <w:t>)</w:t>
      </w:r>
      <w:bookmarkEnd w:id="268"/>
    </w:p>
    <w:p w14:paraId="087F3D42" w14:textId="77777777" w:rsidR="00BB0109" w:rsidRPr="0058370B" w:rsidRDefault="00BB0109" w:rsidP="00FE2F59">
      <w:pPr>
        <w:rPr>
          <w:rFonts w:cs="Arial"/>
        </w:rPr>
      </w:pPr>
      <w:r w:rsidRPr="0058370B">
        <w:rPr>
          <w:rFonts w:cs="Arial"/>
        </w:rPr>
        <w:t xml:space="preserve">The </w:t>
      </w:r>
      <w:r w:rsidRPr="007177E2">
        <w:rPr>
          <w:rFonts w:cs="Arial"/>
          <w:i/>
        </w:rPr>
        <w:t>in situ</w:t>
      </w:r>
      <w:r w:rsidRPr="0058370B">
        <w:rPr>
          <w:rFonts w:cs="Arial"/>
        </w:rPr>
        <w:t xml:space="preserve"> calibration procedure of PDMS using PFMs employed at </w:t>
      </w:r>
      <w:r w:rsidR="00014A28">
        <w:rPr>
          <w:rFonts w:cs="Arial"/>
        </w:rPr>
        <w:t>QAEHS</w:t>
      </w:r>
      <w:r w:rsidRPr="0058370B">
        <w:rPr>
          <w:rFonts w:cs="Arial"/>
        </w:rPr>
        <w:t xml:space="preserve"> is:</w:t>
      </w:r>
    </w:p>
    <w:p w14:paraId="145DB1B2" w14:textId="77777777" w:rsidR="00BB0109" w:rsidRPr="006832C0" w:rsidRDefault="00BB0109" w:rsidP="006C7E99">
      <w:pPr>
        <w:pStyle w:val="ListParagraph"/>
        <w:numPr>
          <w:ilvl w:val="0"/>
          <w:numId w:val="37"/>
        </w:numPr>
        <w:rPr>
          <w:rFonts w:cs="Arial"/>
        </w:rPr>
      </w:pPr>
      <w:r w:rsidRPr="006832C0">
        <w:rPr>
          <w:rFonts w:cs="Arial"/>
        </w:rPr>
        <w:t>PFMs are co-deployed alongside marine cages containing PDMS</w:t>
      </w:r>
      <w:r w:rsidR="00D33CD2">
        <w:rPr>
          <w:rFonts w:cs="Arial"/>
        </w:rPr>
        <w:t xml:space="preserve"> (</w:t>
      </w:r>
      <w:r w:rsidR="00D33CD2">
        <w:rPr>
          <w:rFonts w:cs="Arial"/>
        </w:rPr>
        <w:fldChar w:fldCharType="begin"/>
      </w:r>
      <w:r w:rsidR="00D33CD2">
        <w:rPr>
          <w:rFonts w:cs="Arial"/>
        </w:rPr>
        <w:instrText xml:space="preserve"> REF _Ref489455663 \h </w:instrText>
      </w:r>
      <w:r w:rsidR="00D33CD2">
        <w:rPr>
          <w:rFonts w:cs="Arial"/>
        </w:rPr>
      </w:r>
      <w:r w:rsidR="00D33CD2">
        <w:rPr>
          <w:rFonts w:cs="Arial"/>
        </w:rPr>
        <w:fldChar w:fldCharType="separate"/>
      </w:r>
      <w:r w:rsidR="00D528AA" w:rsidRPr="00F529DD">
        <w:t xml:space="preserve">Figure </w:t>
      </w:r>
      <w:r w:rsidR="00D528AA">
        <w:rPr>
          <w:noProof/>
        </w:rPr>
        <w:t>4</w:t>
      </w:r>
      <w:r w:rsidR="00D528AA">
        <w:noBreakHyphen/>
      </w:r>
      <w:r w:rsidR="00D528AA">
        <w:rPr>
          <w:noProof/>
        </w:rPr>
        <w:t>8</w:t>
      </w:r>
      <w:r w:rsidR="00D33CD2">
        <w:rPr>
          <w:rFonts w:cs="Arial"/>
        </w:rPr>
        <w:fldChar w:fldCharType="end"/>
      </w:r>
      <w:r w:rsidR="00D33CD2">
        <w:rPr>
          <w:rFonts w:cs="Arial"/>
        </w:rPr>
        <w:t>)</w:t>
      </w:r>
      <w:r w:rsidRPr="006832C0">
        <w:rPr>
          <w:rFonts w:cs="Arial"/>
        </w:rPr>
        <w:t>.</w:t>
      </w:r>
    </w:p>
    <w:p w14:paraId="6976AD4A" w14:textId="77777777" w:rsidR="00BB0109" w:rsidRPr="006832C0" w:rsidRDefault="00BB0109" w:rsidP="006C7E99">
      <w:pPr>
        <w:pStyle w:val="ListParagraph"/>
        <w:numPr>
          <w:ilvl w:val="0"/>
          <w:numId w:val="37"/>
        </w:numPr>
        <w:rPr>
          <w:rFonts w:cs="Arial"/>
        </w:rPr>
      </w:pPr>
      <w:r w:rsidRPr="006832C0">
        <w:rPr>
          <w:rFonts w:cs="Arial"/>
        </w:rPr>
        <w:t>Deployment in:</w:t>
      </w:r>
    </w:p>
    <w:p w14:paraId="08E2CF7F" w14:textId="6BC0BB60" w:rsidR="00BB0109" w:rsidRPr="0058370B" w:rsidRDefault="00BB0109" w:rsidP="003474FC">
      <w:pPr>
        <w:pStyle w:val="ListParagraph"/>
        <w:numPr>
          <w:ilvl w:val="3"/>
          <w:numId w:val="2"/>
        </w:numPr>
        <w:ind w:left="1276" w:hanging="425"/>
        <w:rPr>
          <w:rFonts w:cs="Arial"/>
        </w:rPr>
      </w:pPr>
      <w:r w:rsidRPr="0058370B">
        <w:rPr>
          <w:rFonts w:cs="Arial"/>
        </w:rPr>
        <w:t xml:space="preserve">Wet season (one month) – </w:t>
      </w:r>
      <w:r w:rsidR="00D65C62">
        <w:rPr>
          <w:rFonts w:cs="Arial"/>
        </w:rPr>
        <w:t>previously with no</w:t>
      </w:r>
      <w:r w:rsidR="0056167A" w:rsidRPr="0056167A">
        <w:rPr>
          <w:rFonts w:cs="Arial"/>
        </w:rPr>
        <w:t xml:space="preserve"> </w:t>
      </w:r>
      <w:r w:rsidR="0056167A" w:rsidRPr="0058370B">
        <w:rPr>
          <w:rFonts w:cs="Arial"/>
        </w:rPr>
        <w:t>flow limiting</w:t>
      </w:r>
      <w:r w:rsidR="00D65C62">
        <w:rPr>
          <w:rFonts w:cs="Arial"/>
        </w:rPr>
        <w:t xml:space="preserve"> cap. From the 2015</w:t>
      </w:r>
      <w:r w:rsidR="0056167A">
        <w:rPr>
          <w:rFonts w:cs="Arial"/>
        </w:rPr>
        <w:t>–</w:t>
      </w:r>
      <w:r w:rsidR="00D65C62">
        <w:rPr>
          <w:rFonts w:cs="Arial"/>
        </w:rPr>
        <w:t>16 monitoring year onwards</w:t>
      </w:r>
      <w:r w:rsidR="0056167A">
        <w:rPr>
          <w:rFonts w:cs="Arial"/>
        </w:rPr>
        <w:t>,</w:t>
      </w:r>
      <w:r w:rsidR="00D65C62">
        <w:rPr>
          <w:rFonts w:cs="Arial"/>
        </w:rPr>
        <w:t xml:space="preserve"> a</w:t>
      </w:r>
      <w:r w:rsidR="00D65C62" w:rsidRPr="0058370B">
        <w:rPr>
          <w:rFonts w:cs="Arial"/>
        </w:rPr>
        <w:t xml:space="preserve"> flow limiting cap (red</w:t>
      </w:r>
      <w:r w:rsidR="00D65C62">
        <w:rPr>
          <w:rFonts w:cs="Arial"/>
        </w:rPr>
        <w:t xml:space="preserve">uces plaster loss rate by 15 </w:t>
      </w:r>
      <w:r w:rsidR="0056167A">
        <w:rPr>
          <w:rFonts w:cs="Arial"/>
        </w:rPr>
        <w:t xml:space="preserve">per cent) </w:t>
      </w:r>
      <w:r w:rsidR="00D65C62">
        <w:rPr>
          <w:rFonts w:cs="Arial"/>
        </w:rPr>
        <w:t xml:space="preserve">has been used to limit the number of PFMs that return to </w:t>
      </w:r>
      <w:r w:rsidR="00685EAC">
        <w:rPr>
          <w:rFonts w:cs="Arial"/>
        </w:rPr>
        <w:t>QAEHS</w:t>
      </w:r>
      <w:r w:rsidR="00D65C62">
        <w:rPr>
          <w:rFonts w:cs="Arial"/>
        </w:rPr>
        <w:t xml:space="preserve"> empty (and </w:t>
      </w:r>
      <w:r w:rsidR="0056167A">
        <w:rPr>
          <w:rFonts w:cs="Arial"/>
        </w:rPr>
        <w:t xml:space="preserve">provides </w:t>
      </w:r>
      <w:r w:rsidR="00D65C62">
        <w:rPr>
          <w:rFonts w:cs="Arial"/>
        </w:rPr>
        <w:t>an estimate of flow used) due to high flow rates.</w:t>
      </w:r>
    </w:p>
    <w:p w14:paraId="003EE5ED" w14:textId="77777777" w:rsidR="00BB0109" w:rsidRPr="0058370B" w:rsidRDefault="00BB0109" w:rsidP="003474FC">
      <w:pPr>
        <w:pStyle w:val="ListParagraph"/>
        <w:numPr>
          <w:ilvl w:val="3"/>
          <w:numId w:val="2"/>
        </w:numPr>
        <w:ind w:left="1276" w:hanging="425"/>
        <w:rPr>
          <w:rFonts w:cs="Arial"/>
        </w:rPr>
      </w:pPr>
      <w:r w:rsidRPr="0058370B">
        <w:rPr>
          <w:rFonts w:cs="Arial"/>
        </w:rPr>
        <w:t>Dry season (two months) – with a flow limiting cap.</w:t>
      </w:r>
    </w:p>
    <w:p w14:paraId="08075DB6" w14:textId="77777777" w:rsidR="00BB0109" w:rsidRPr="0058370B" w:rsidRDefault="00BB0109" w:rsidP="006C7E99">
      <w:pPr>
        <w:pStyle w:val="ListParagraph"/>
        <w:numPr>
          <w:ilvl w:val="0"/>
          <w:numId w:val="38"/>
        </w:numPr>
        <w:rPr>
          <w:rFonts w:cs="Arial"/>
        </w:rPr>
      </w:pPr>
      <w:r w:rsidRPr="0058370B">
        <w:rPr>
          <w:rFonts w:cs="Arial"/>
        </w:rPr>
        <w:t>The loss rate of plaster is determined while accounting for the influence of ionic strength.</w:t>
      </w:r>
    </w:p>
    <w:p w14:paraId="1DA2D3D5" w14:textId="77777777" w:rsidR="00BB0109" w:rsidRPr="0058370B" w:rsidRDefault="00BB0109" w:rsidP="006C7E99">
      <w:pPr>
        <w:pStyle w:val="ListParagraph"/>
        <w:numPr>
          <w:ilvl w:val="0"/>
          <w:numId w:val="38"/>
        </w:numPr>
        <w:rPr>
          <w:rFonts w:cs="Arial"/>
        </w:rPr>
      </w:pPr>
      <w:r w:rsidRPr="0058370B">
        <w:rPr>
          <w:rFonts w:cs="Arial"/>
        </w:rPr>
        <w:t>Chemical analysis (GCMS) of samplers.</w:t>
      </w:r>
    </w:p>
    <w:p w14:paraId="0AA54387" w14:textId="0AA6CC70" w:rsidR="00BB0109" w:rsidRPr="0058370B" w:rsidRDefault="00BB0109" w:rsidP="006C7E99">
      <w:pPr>
        <w:pStyle w:val="ListParagraph"/>
        <w:numPr>
          <w:ilvl w:val="0"/>
          <w:numId w:val="38"/>
        </w:numPr>
        <w:rPr>
          <w:rFonts w:cs="Arial"/>
        </w:rPr>
      </w:pPr>
      <w:r w:rsidRPr="0058370B">
        <w:rPr>
          <w:rFonts w:cs="Arial"/>
        </w:rPr>
        <w:t>R</w:t>
      </w:r>
      <w:r w:rsidRPr="0058370B">
        <w:rPr>
          <w:rFonts w:cs="Arial"/>
          <w:vertAlign w:val="subscript"/>
        </w:rPr>
        <w:t>s</w:t>
      </w:r>
      <w:r w:rsidRPr="0058370B">
        <w:rPr>
          <w:rFonts w:cs="Arial"/>
        </w:rPr>
        <w:t xml:space="preserve"> of ‘reference’ chemicals </w:t>
      </w:r>
      <w:r w:rsidR="0056167A">
        <w:rPr>
          <w:rFonts w:cs="Arial"/>
        </w:rPr>
        <w:t>—</w:t>
      </w:r>
      <w:r w:rsidRPr="0058370B">
        <w:rPr>
          <w:rFonts w:cs="Arial"/>
        </w:rPr>
        <w:t xml:space="preserve"> bifenthrin, dieldin, oxadizon, pendimethalin and permethrin (prothiophos and trifluralin</w:t>
      </w:r>
      <w:r w:rsidR="0056167A">
        <w:rPr>
          <w:rFonts w:cs="Arial"/>
        </w:rPr>
        <w:t>)</w:t>
      </w:r>
      <w:r w:rsidRPr="0058370B">
        <w:rPr>
          <w:rFonts w:cs="Arial"/>
        </w:rPr>
        <w:t xml:space="preserve"> were excluded </w:t>
      </w:r>
      <w:r w:rsidR="0056167A">
        <w:rPr>
          <w:rFonts w:cs="Arial"/>
        </w:rPr>
        <w:t>—</w:t>
      </w:r>
      <w:r w:rsidRPr="0058370B">
        <w:rPr>
          <w:rFonts w:cs="Arial"/>
        </w:rPr>
        <w:t xml:space="preserve"> are calculated for each site at their </w:t>
      </w:r>
      <w:r w:rsidR="00AA70D6" w:rsidRPr="0058370B">
        <w:rPr>
          <w:rFonts w:cs="Arial"/>
        </w:rPr>
        <w:t>specific</w:t>
      </w:r>
      <w:r w:rsidRPr="0058370B">
        <w:rPr>
          <w:rFonts w:cs="Arial"/>
        </w:rPr>
        <w:t xml:space="preserve"> </w:t>
      </w:r>
      <w:r w:rsidRPr="0058370B">
        <w:rPr>
          <w:rFonts w:cs="Arial"/>
          <w:i/>
        </w:rPr>
        <w:t>r</w:t>
      </w:r>
      <w:r w:rsidRPr="0058370B">
        <w:rPr>
          <w:rFonts w:cs="Arial"/>
          <w:vertAlign w:val="subscript"/>
        </w:rPr>
        <w:t>PFM</w:t>
      </w:r>
      <w:r w:rsidRPr="0058370B">
        <w:rPr>
          <w:rFonts w:cs="Arial"/>
        </w:rPr>
        <w:t xml:space="preserve"> using Equatio</w:t>
      </w:r>
      <w:r w:rsidR="00F8280C">
        <w:rPr>
          <w:rFonts w:cs="Arial"/>
        </w:rPr>
        <w:t>n 4</w:t>
      </w:r>
      <w:r w:rsidRPr="0058370B">
        <w:rPr>
          <w:rFonts w:cs="Arial"/>
        </w:rPr>
        <w:t>.</w:t>
      </w:r>
    </w:p>
    <w:p w14:paraId="011C3C45" w14:textId="3BFD9205" w:rsidR="00BB0109" w:rsidRPr="0058370B" w:rsidRDefault="00BB0109" w:rsidP="006C7E99">
      <w:pPr>
        <w:pStyle w:val="ListParagraph"/>
        <w:numPr>
          <w:ilvl w:val="0"/>
          <w:numId w:val="38"/>
        </w:numPr>
        <w:rPr>
          <w:rFonts w:cs="Arial"/>
        </w:rPr>
      </w:pPr>
      <w:r w:rsidRPr="0058370B">
        <w:rPr>
          <w:rFonts w:cs="Arial"/>
        </w:rPr>
        <w:t>Log K</w:t>
      </w:r>
      <w:r w:rsidRPr="0058370B">
        <w:rPr>
          <w:rFonts w:cs="Arial"/>
          <w:vertAlign w:val="subscript"/>
        </w:rPr>
        <w:t>ow</w:t>
      </w:r>
      <w:r w:rsidRPr="0058370B">
        <w:rPr>
          <w:rFonts w:cs="Arial"/>
        </w:rPr>
        <w:t xml:space="preserve"> of the </w:t>
      </w:r>
      <w:r w:rsidR="0056167A">
        <w:rPr>
          <w:rFonts w:cs="Arial"/>
        </w:rPr>
        <w:t>seven</w:t>
      </w:r>
      <w:r w:rsidR="0056167A" w:rsidRPr="0058370B">
        <w:rPr>
          <w:rFonts w:cs="Arial"/>
        </w:rPr>
        <w:t xml:space="preserve"> </w:t>
      </w:r>
      <w:r w:rsidRPr="0058370B">
        <w:rPr>
          <w:rFonts w:cs="Arial"/>
        </w:rPr>
        <w:t>reference chemicals are plotted against their R</w:t>
      </w:r>
      <w:r w:rsidRPr="0058370B">
        <w:rPr>
          <w:rFonts w:cs="Arial"/>
          <w:vertAlign w:val="subscript"/>
        </w:rPr>
        <w:t>s</w:t>
      </w:r>
      <w:r w:rsidR="009850D4">
        <w:rPr>
          <w:rFonts w:cs="Arial"/>
          <w:vertAlign w:val="subscript"/>
        </w:rPr>
        <w:t>.</w:t>
      </w:r>
    </w:p>
    <w:p w14:paraId="3340D0F6" w14:textId="30101CD1" w:rsidR="00BB0109" w:rsidRPr="009B6881" w:rsidRDefault="0056167A" w:rsidP="006C7E99">
      <w:pPr>
        <w:pStyle w:val="ListParagraph"/>
        <w:numPr>
          <w:ilvl w:val="0"/>
          <w:numId w:val="38"/>
        </w:numPr>
        <w:rPr>
          <w:rFonts w:cs="Arial"/>
        </w:rPr>
      </w:pPr>
      <w:r>
        <w:rPr>
          <w:rFonts w:cs="Arial"/>
        </w:rPr>
        <w:t xml:space="preserve">The </w:t>
      </w:r>
      <w:r w:rsidR="00BB0109" w:rsidRPr="0058370B">
        <w:rPr>
          <w:rFonts w:cs="Arial"/>
        </w:rPr>
        <w:t>R</w:t>
      </w:r>
      <w:r w:rsidR="00BB0109" w:rsidRPr="0058370B">
        <w:rPr>
          <w:rFonts w:cs="Arial"/>
          <w:vertAlign w:val="subscript"/>
        </w:rPr>
        <w:t>s</w:t>
      </w:r>
      <w:r w:rsidR="00BB0109" w:rsidRPr="0058370B">
        <w:rPr>
          <w:rFonts w:cs="Arial"/>
        </w:rPr>
        <w:t xml:space="preserve"> of accumulated chemicals</w:t>
      </w:r>
      <w:r>
        <w:rPr>
          <w:rFonts w:cs="Arial"/>
        </w:rPr>
        <w:t xml:space="preserve"> is</w:t>
      </w:r>
      <w:r w:rsidR="00BB0109" w:rsidRPr="0058370B">
        <w:rPr>
          <w:rFonts w:cs="Arial"/>
        </w:rPr>
        <w:t xml:space="preserve"> predicted using </w:t>
      </w:r>
      <w:r>
        <w:rPr>
          <w:rFonts w:cs="Arial"/>
        </w:rPr>
        <w:t xml:space="preserve">the </w:t>
      </w:r>
      <w:r w:rsidR="00BB0109" w:rsidRPr="0058370B">
        <w:rPr>
          <w:rFonts w:cs="Arial"/>
        </w:rPr>
        <w:t>relationship between Log K</w:t>
      </w:r>
      <w:r w:rsidR="00BB0109" w:rsidRPr="0058370B">
        <w:rPr>
          <w:rFonts w:cs="Arial"/>
          <w:vertAlign w:val="subscript"/>
        </w:rPr>
        <w:t>ow</w:t>
      </w:r>
      <w:r w:rsidR="00BB0109" w:rsidRPr="0058370B">
        <w:rPr>
          <w:rFonts w:cs="Arial"/>
        </w:rPr>
        <w:t xml:space="preserve"> </w:t>
      </w:r>
      <w:bookmarkStart w:id="269" w:name="_Toc393721310"/>
      <w:r w:rsidR="00BB0109" w:rsidRPr="009B6881">
        <w:t>and R</w:t>
      </w:r>
      <w:r w:rsidRPr="0058370B">
        <w:rPr>
          <w:rFonts w:cs="Arial"/>
          <w:vertAlign w:val="subscript"/>
        </w:rPr>
        <w:t>s</w:t>
      </w:r>
      <w:r w:rsidR="00BB0109" w:rsidRPr="009B6881">
        <w:t xml:space="preserve"> of </w:t>
      </w:r>
      <w:r>
        <w:t>the seven</w:t>
      </w:r>
      <w:r w:rsidRPr="009B6881">
        <w:t xml:space="preserve"> </w:t>
      </w:r>
      <w:r w:rsidR="00BB0109" w:rsidRPr="009B6881">
        <w:t>reference chemicals</w:t>
      </w:r>
      <w:bookmarkEnd w:id="269"/>
      <w:r w:rsidR="00BB0109" w:rsidRPr="0058370B">
        <w:t>.</w:t>
      </w:r>
    </w:p>
    <w:p w14:paraId="589D3DCD" w14:textId="159F69F7" w:rsidR="00BB0109" w:rsidRPr="0058370B" w:rsidRDefault="00BB0109" w:rsidP="006C7E99">
      <w:pPr>
        <w:pStyle w:val="ListParagraph"/>
        <w:numPr>
          <w:ilvl w:val="0"/>
          <w:numId w:val="38"/>
        </w:numPr>
        <w:rPr>
          <w:rFonts w:cs="Arial"/>
        </w:rPr>
      </w:pPr>
      <w:r w:rsidRPr="0058370B">
        <w:rPr>
          <w:rFonts w:cs="Arial"/>
        </w:rPr>
        <w:t>Using R</w:t>
      </w:r>
      <w:r w:rsidRPr="0058370B">
        <w:rPr>
          <w:rFonts w:cs="Arial"/>
          <w:vertAlign w:val="subscript"/>
        </w:rPr>
        <w:t>s</w:t>
      </w:r>
      <w:r w:rsidRPr="0058370B">
        <w:rPr>
          <w:rFonts w:cs="Arial"/>
        </w:rPr>
        <w:t>, estimate C</w:t>
      </w:r>
      <w:r w:rsidRPr="0058370B">
        <w:rPr>
          <w:rFonts w:cs="Arial"/>
          <w:vertAlign w:val="subscript"/>
        </w:rPr>
        <w:t>w</w:t>
      </w:r>
      <w:r w:rsidRPr="0058370B">
        <w:rPr>
          <w:rFonts w:cs="Arial"/>
        </w:rPr>
        <w:t xml:space="preserve"> using Equation 1.</w:t>
      </w:r>
    </w:p>
    <w:p w14:paraId="2358D9A9" w14:textId="77777777" w:rsidR="00BB0109" w:rsidRPr="0058370B" w:rsidRDefault="00BB0109" w:rsidP="006C7E99">
      <w:pPr>
        <w:pStyle w:val="ListParagraph"/>
        <w:numPr>
          <w:ilvl w:val="0"/>
          <w:numId w:val="38"/>
        </w:numPr>
        <w:rPr>
          <w:rFonts w:cs="Arial"/>
        </w:rPr>
      </w:pPr>
      <w:r w:rsidRPr="0058370B">
        <w:rPr>
          <w:rFonts w:cs="Arial"/>
        </w:rPr>
        <w:t>For accumulated chemicals with Log K</w:t>
      </w:r>
      <w:r w:rsidRPr="0058370B">
        <w:rPr>
          <w:rFonts w:cs="Arial"/>
          <w:vertAlign w:val="subscript"/>
        </w:rPr>
        <w:t>ow</w:t>
      </w:r>
      <w:r w:rsidRPr="0058370B">
        <w:rPr>
          <w:rFonts w:cs="Arial"/>
        </w:rPr>
        <w:t xml:space="preserve"> &lt; 4.</w:t>
      </w:r>
    </w:p>
    <w:p w14:paraId="22A2E95C" w14:textId="77777777" w:rsidR="00BB0109" w:rsidRPr="0058370B" w:rsidRDefault="00BB0109" w:rsidP="007177E2">
      <w:pPr>
        <w:pStyle w:val="ListParagraph"/>
        <w:numPr>
          <w:ilvl w:val="1"/>
          <w:numId w:val="196"/>
        </w:numPr>
        <w:ind w:left="1276" w:hanging="425"/>
        <w:rPr>
          <w:rFonts w:cs="Arial"/>
        </w:rPr>
      </w:pPr>
      <w:r w:rsidRPr="0058370B">
        <w:rPr>
          <w:rFonts w:cs="Arial"/>
        </w:rPr>
        <w:t>Equilibrium phase sampling is assumed.</w:t>
      </w:r>
    </w:p>
    <w:p w14:paraId="5EDF3467" w14:textId="662AF648" w:rsidR="00BB0109" w:rsidRPr="0058370B" w:rsidRDefault="00BB0109" w:rsidP="007177E2">
      <w:pPr>
        <w:pStyle w:val="ListParagraph"/>
        <w:numPr>
          <w:ilvl w:val="1"/>
          <w:numId w:val="196"/>
        </w:numPr>
        <w:ind w:left="1276" w:hanging="425"/>
        <w:rPr>
          <w:rFonts w:cs="Arial"/>
        </w:rPr>
      </w:pPr>
      <w:r w:rsidRPr="0058370B">
        <w:rPr>
          <w:rFonts w:cs="Arial"/>
        </w:rPr>
        <w:t>Measured Log K</w:t>
      </w:r>
      <w:r w:rsidRPr="0058370B">
        <w:rPr>
          <w:rFonts w:cs="Arial"/>
          <w:vertAlign w:val="subscript"/>
        </w:rPr>
        <w:t>sw</w:t>
      </w:r>
      <w:r w:rsidRPr="0058370B">
        <w:rPr>
          <w:rFonts w:cs="Arial"/>
        </w:rPr>
        <w:t xml:space="preserve"> (from unpublished collaborative experiment with </w:t>
      </w:r>
      <w:r w:rsidR="00085B47">
        <w:rPr>
          <w:rFonts w:cs="Arial"/>
        </w:rPr>
        <w:t>DES</w:t>
      </w:r>
      <w:r w:rsidR="0056167A">
        <w:rPr>
          <w:rFonts w:cs="Arial"/>
        </w:rPr>
        <w:t xml:space="preserve"> in</w:t>
      </w:r>
      <w:r w:rsidRPr="0058370B">
        <w:rPr>
          <w:rFonts w:cs="Arial"/>
        </w:rPr>
        <w:t xml:space="preserve"> 2010) </w:t>
      </w:r>
      <w:r w:rsidR="0056167A">
        <w:rPr>
          <w:rFonts w:cs="Arial"/>
        </w:rPr>
        <w:t>is</w:t>
      </w:r>
      <w:r w:rsidRPr="0058370B">
        <w:rPr>
          <w:rFonts w:cs="Arial"/>
        </w:rPr>
        <w:t xml:space="preserve"> used to estimate a C</w:t>
      </w:r>
      <w:r w:rsidRPr="0058370B">
        <w:rPr>
          <w:rFonts w:cs="Arial"/>
          <w:vertAlign w:val="subscript"/>
        </w:rPr>
        <w:t xml:space="preserve">w </w:t>
      </w:r>
      <w:r w:rsidRPr="0058370B">
        <w:rPr>
          <w:rFonts w:cs="Arial"/>
        </w:rPr>
        <w:t>using Equation 2.</w:t>
      </w:r>
    </w:p>
    <w:p w14:paraId="33EA4649" w14:textId="04D5E71C" w:rsidR="00BB0109" w:rsidRPr="0058370B" w:rsidRDefault="00BB0109" w:rsidP="007177E2">
      <w:pPr>
        <w:pStyle w:val="ListParagraph"/>
        <w:numPr>
          <w:ilvl w:val="1"/>
          <w:numId w:val="196"/>
        </w:numPr>
        <w:ind w:left="1276" w:hanging="425"/>
        <w:rPr>
          <w:rFonts w:cs="Arial"/>
        </w:rPr>
      </w:pPr>
      <w:r w:rsidRPr="0058370B">
        <w:rPr>
          <w:rFonts w:cs="Arial"/>
        </w:rPr>
        <w:t xml:space="preserve"> If no measured log K</w:t>
      </w:r>
      <w:r w:rsidRPr="0058370B">
        <w:rPr>
          <w:rFonts w:cs="Arial"/>
          <w:vertAlign w:val="subscript"/>
        </w:rPr>
        <w:t>sw</w:t>
      </w:r>
      <w:r w:rsidRPr="0058370B">
        <w:rPr>
          <w:rFonts w:cs="Arial"/>
        </w:rPr>
        <w:t xml:space="preserve"> value is available, the Log K</w:t>
      </w:r>
      <w:r w:rsidRPr="0058370B">
        <w:rPr>
          <w:rFonts w:cs="Arial"/>
          <w:vertAlign w:val="subscript"/>
        </w:rPr>
        <w:t>sw</w:t>
      </w:r>
      <w:r w:rsidRPr="0058370B">
        <w:rPr>
          <w:rFonts w:cs="Arial"/>
        </w:rPr>
        <w:t xml:space="preserve"> </w:t>
      </w:r>
      <w:r w:rsidR="0056167A">
        <w:rPr>
          <w:rFonts w:cs="Arial"/>
        </w:rPr>
        <w:t>is</w:t>
      </w:r>
      <w:r w:rsidRPr="0058370B">
        <w:rPr>
          <w:rFonts w:cs="Arial"/>
        </w:rPr>
        <w:t xml:space="preserve"> predicted from the relationship between Log K</w:t>
      </w:r>
      <w:r w:rsidRPr="0058370B">
        <w:rPr>
          <w:rFonts w:cs="Arial"/>
          <w:vertAlign w:val="subscript"/>
        </w:rPr>
        <w:t xml:space="preserve">ow </w:t>
      </w:r>
      <w:r w:rsidRPr="0058370B">
        <w:rPr>
          <w:rFonts w:cs="Arial"/>
        </w:rPr>
        <w:t>and Log K</w:t>
      </w:r>
      <w:r w:rsidRPr="0058370B">
        <w:rPr>
          <w:rFonts w:cs="Arial"/>
          <w:vertAlign w:val="subscript"/>
        </w:rPr>
        <w:t>sw</w:t>
      </w:r>
      <w:r w:rsidR="009850D4">
        <w:rPr>
          <w:rFonts w:cs="Arial"/>
        </w:rPr>
        <w:t xml:space="preserve"> </w:t>
      </w:r>
      <w:r w:rsidRPr="0058370B">
        <w:rPr>
          <w:rFonts w:cs="Arial"/>
        </w:rPr>
        <w:t>and the Cw estimated using Equation 2.</w:t>
      </w:r>
    </w:p>
    <w:p w14:paraId="3D972374" w14:textId="1D0FCEB4" w:rsidR="00BB0109" w:rsidRPr="006832C0" w:rsidRDefault="00BB0109" w:rsidP="006C7E99">
      <w:pPr>
        <w:pStyle w:val="ListParagraph"/>
        <w:numPr>
          <w:ilvl w:val="0"/>
          <w:numId w:val="39"/>
        </w:numPr>
        <w:rPr>
          <w:rFonts w:cs="Arial"/>
        </w:rPr>
      </w:pPr>
      <w:r w:rsidRPr="006832C0">
        <w:rPr>
          <w:rFonts w:cs="Arial"/>
        </w:rPr>
        <w:t>For accumulated chemicals with Log K</w:t>
      </w:r>
      <w:r w:rsidRPr="006832C0">
        <w:rPr>
          <w:rFonts w:cs="Arial"/>
          <w:vertAlign w:val="subscript"/>
        </w:rPr>
        <w:t>ow</w:t>
      </w:r>
      <w:r w:rsidRPr="006832C0">
        <w:rPr>
          <w:rFonts w:cs="Arial"/>
        </w:rPr>
        <w:t xml:space="preserve"> &gt; 4, unless otherwise specified, PFM-adjusted R</w:t>
      </w:r>
      <w:r w:rsidRPr="006832C0">
        <w:rPr>
          <w:rFonts w:cs="Arial"/>
          <w:vertAlign w:val="subscript"/>
        </w:rPr>
        <w:t>s</w:t>
      </w:r>
      <w:r w:rsidRPr="006832C0">
        <w:rPr>
          <w:rFonts w:cs="Arial"/>
        </w:rPr>
        <w:t xml:space="preserve"> </w:t>
      </w:r>
      <w:r w:rsidR="0056167A">
        <w:rPr>
          <w:rFonts w:cs="Arial"/>
        </w:rPr>
        <w:t>is</w:t>
      </w:r>
      <w:r w:rsidRPr="006832C0">
        <w:rPr>
          <w:rFonts w:cs="Arial"/>
        </w:rPr>
        <w:t xml:space="preserve"> used to estimate C</w:t>
      </w:r>
      <w:r w:rsidRPr="006832C0">
        <w:rPr>
          <w:rFonts w:cs="Arial"/>
          <w:vertAlign w:val="subscript"/>
        </w:rPr>
        <w:t>w</w:t>
      </w:r>
      <w:r w:rsidRPr="006832C0">
        <w:rPr>
          <w:rFonts w:cs="Arial"/>
        </w:rPr>
        <w:t>.</w:t>
      </w:r>
    </w:p>
    <w:p w14:paraId="6A37F72C" w14:textId="669BDB92" w:rsidR="00BB0109" w:rsidRPr="0058370B" w:rsidRDefault="00BB0109" w:rsidP="00FE2F59">
      <w:pPr>
        <w:rPr>
          <w:rFonts w:cs="Arial"/>
        </w:rPr>
      </w:pPr>
      <w:r w:rsidRPr="0058370B">
        <w:rPr>
          <w:rFonts w:cs="Arial"/>
        </w:rPr>
        <w:t>The PFM method to predict</w:t>
      </w:r>
      <w:r w:rsidR="0056167A">
        <w:rPr>
          <w:rFonts w:cs="Arial"/>
        </w:rPr>
        <w:t xml:space="preserve"> the</w:t>
      </w:r>
      <w:r w:rsidRPr="0058370B">
        <w:rPr>
          <w:rFonts w:cs="Arial"/>
        </w:rPr>
        <w:t xml:space="preserve"> R</w:t>
      </w:r>
      <w:r w:rsidRPr="0058370B">
        <w:rPr>
          <w:rFonts w:cs="Arial"/>
          <w:vertAlign w:val="subscript"/>
        </w:rPr>
        <w:t>s</w:t>
      </w:r>
      <w:r w:rsidRPr="0058370B">
        <w:rPr>
          <w:rFonts w:cs="Arial"/>
        </w:rPr>
        <w:t xml:space="preserve"> of chemicals accumulated by PDMS samplers is now routinely used.</w:t>
      </w:r>
    </w:p>
    <w:p w14:paraId="0012519E" w14:textId="77777777" w:rsidR="001C1BFA" w:rsidRPr="001E0ADF" w:rsidRDefault="00685EAC" w:rsidP="0045293A">
      <w:pPr>
        <w:jc w:val="center"/>
        <w:rPr>
          <w:rFonts w:cs="Arial"/>
          <w:b/>
        </w:rPr>
      </w:pPr>
      <w:r>
        <w:rPr>
          <w:noProof/>
          <w:lang w:eastAsia="en-AU"/>
        </w:rPr>
        <w:drawing>
          <wp:inline distT="0" distB="0" distL="0" distR="0" wp14:anchorId="153963EA" wp14:editId="720E59B2">
            <wp:extent cx="2755900" cy="2956560"/>
            <wp:effectExtent l="0" t="0" r="6350" b="0"/>
            <wp:docPr id="29" name="Picture 29" descr="A schematic for the deployment of passive samplers (Empore disc in Chemcatcher housings, and /PDMS cages) together with the passive flow monitors (PFMS) for in-situ calibration of flow effects, in the field." title="Figure 4.8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755900" cy="2956560"/>
                    </a:xfrm>
                    <a:prstGeom prst="rect">
                      <a:avLst/>
                    </a:prstGeom>
                    <a:noFill/>
                  </pic:spPr>
                </pic:pic>
              </a:graphicData>
            </a:graphic>
          </wp:inline>
        </w:drawing>
      </w:r>
    </w:p>
    <w:p w14:paraId="59D1CCD3" w14:textId="537243EB" w:rsidR="00BB0109" w:rsidRPr="00F529DD" w:rsidRDefault="001C1BFA" w:rsidP="007E5A3A">
      <w:pPr>
        <w:pStyle w:val="Caption"/>
      </w:pPr>
      <w:bookmarkStart w:id="270" w:name="_Ref489455663"/>
      <w:bookmarkStart w:id="271" w:name="_Toc12361628"/>
      <w:r w:rsidRPr="00F529DD">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4</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8</w:t>
      </w:r>
      <w:r w:rsidR="006940F4">
        <w:rPr>
          <w:noProof/>
        </w:rPr>
        <w:fldChar w:fldCharType="end"/>
      </w:r>
      <w:bookmarkEnd w:id="270"/>
      <w:r w:rsidRPr="00F529DD">
        <w:t xml:space="preserve"> </w:t>
      </w:r>
      <w:r w:rsidRPr="009B6881">
        <w:t xml:space="preserve">A schematic for the deployment of passive samplers (Empore disc in Chemcatcher housings, and </w:t>
      </w:r>
      <w:r w:rsidR="00855B0E" w:rsidRPr="001C3697">
        <w:t>Polydimethylsiloxane</w:t>
      </w:r>
      <w:r w:rsidR="00855B0E" w:rsidRPr="009B6881">
        <w:t xml:space="preserve"> </w:t>
      </w:r>
      <w:r w:rsidRPr="009B6881">
        <w:t xml:space="preserve">cages) together with the passive flow monitors for </w:t>
      </w:r>
      <w:r w:rsidRPr="007177E2">
        <w:rPr>
          <w:i/>
        </w:rPr>
        <w:t>in</w:t>
      </w:r>
      <w:r w:rsidR="004A5A69" w:rsidRPr="007177E2">
        <w:rPr>
          <w:i/>
        </w:rPr>
        <w:t xml:space="preserve"> </w:t>
      </w:r>
      <w:r w:rsidRPr="007177E2">
        <w:rPr>
          <w:i/>
        </w:rPr>
        <w:t xml:space="preserve">situ </w:t>
      </w:r>
      <w:r w:rsidRPr="009B6881">
        <w:t>calibration of flow effects in the field.</w:t>
      </w:r>
      <w:bookmarkEnd w:id="271"/>
    </w:p>
    <w:p w14:paraId="60AB9DDB" w14:textId="12DA8741" w:rsidR="00BB0109" w:rsidRPr="0058370B" w:rsidRDefault="00BB0109">
      <w:pPr>
        <w:pStyle w:val="Heading3"/>
      </w:pPr>
      <w:bookmarkStart w:id="272" w:name="_Toc393785019"/>
      <w:bookmarkStart w:id="273" w:name="_Toc394061129"/>
      <w:bookmarkStart w:id="274" w:name="_Toc394061219"/>
      <w:bookmarkStart w:id="275" w:name="_Toc396311985"/>
      <w:bookmarkStart w:id="276" w:name="_Toc520727846"/>
      <w:bookmarkStart w:id="277" w:name="_Toc12365591"/>
      <w:r w:rsidRPr="0058370B">
        <w:t>QA/QC procedures in the pesticide monitoring program</w:t>
      </w:r>
      <w:bookmarkEnd w:id="272"/>
      <w:bookmarkEnd w:id="273"/>
      <w:bookmarkEnd w:id="274"/>
      <w:bookmarkEnd w:id="275"/>
      <w:bookmarkEnd w:id="276"/>
      <w:bookmarkEnd w:id="277"/>
    </w:p>
    <w:p w14:paraId="32D3D4EB" w14:textId="5AD8FE66" w:rsidR="00BB0109" w:rsidRPr="0058370B" w:rsidRDefault="00BB0109" w:rsidP="00FE2F59">
      <w:pPr>
        <w:rPr>
          <w:rFonts w:cs="Arial"/>
        </w:rPr>
      </w:pPr>
      <w:r w:rsidRPr="0058370B">
        <w:rPr>
          <w:rFonts w:cs="Arial"/>
        </w:rPr>
        <w:t xml:space="preserve">The development, calibration, field application and validation of passive sampling for monitoring water has been a research focus of </w:t>
      </w:r>
      <w:r w:rsidR="00A37400">
        <w:rPr>
          <w:rFonts w:cs="Arial"/>
        </w:rPr>
        <w:t xml:space="preserve">QAEHS </w:t>
      </w:r>
      <w:r w:rsidRPr="0058370B">
        <w:rPr>
          <w:rFonts w:cs="Arial"/>
        </w:rPr>
        <w:t>over many years</w:t>
      </w:r>
      <w:r w:rsidR="002C3CAA">
        <w:rPr>
          <w:rFonts w:cs="Arial"/>
        </w:rPr>
        <w:t>.</w:t>
      </w:r>
      <w:r w:rsidR="0056167A">
        <w:rPr>
          <w:rFonts w:cs="Arial"/>
        </w:rPr>
        <w:t xml:space="preserve"> </w:t>
      </w:r>
      <w:r w:rsidRPr="0058370B">
        <w:rPr>
          <w:rFonts w:cs="Arial"/>
        </w:rPr>
        <w:t>The methods described above have been developed as a result of this work in collaboration with analytical method development by QHFSS. These methods are formalized as SOPs</w:t>
      </w:r>
      <w:r w:rsidR="0056167A">
        <w:rPr>
          <w:rFonts w:cs="Arial"/>
        </w:rPr>
        <w:t>,</w:t>
      </w:r>
      <w:r w:rsidRPr="0058370B">
        <w:rPr>
          <w:rFonts w:cs="Arial"/>
        </w:rPr>
        <w:t xml:space="preserve"> which describe the preparation, extraction and analysis of each type of passive sampler used in the MMP. </w:t>
      </w:r>
      <w:r w:rsidR="00D65C62">
        <w:rPr>
          <w:rFonts w:cs="Arial"/>
        </w:rPr>
        <w:t xml:space="preserve">Considering the number of new target pesticides and herbicides included as priorities under the </w:t>
      </w:r>
      <w:r w:rsidR="0056167A">
        <w:rPr>
          <w:rFonts w:cs="Arial"/>
        </w:rPr>
        <w:t>MMP</w:t>
      </w:r>
      <w:r w:rsidR="00D65C62">
        <w:rPr>
          <w:rFonts w:cs="Arial"/>
        </w:rPr>
        <w:t>, an in-field calibration study would be beneficial to determine chemical uptake kinetics.</w:t>
      </w:r>
    </w:p>
    <w:p w14:paraId="039C069A" w14:textId="77777777" w:rsidR="00BB0109" w:rsidRPr="0058370B" w:rsidRDefault="00BB0109" w:rsidP="00FE2F59">
      <w:pPr>
        <w:rPr>
          <w:rFonts w:cs="Arial"/>
        </w:rPr>
      </w:pPr>
      <w:r w:rsidRPr="0058370B">
        <w:rPr>
          <w:rFonts w:cs="Arial"/>
        </w:rPr>
        <w:t xml:space="preserve">QA/QC procedures routinely employed by </w:t>
      </w:r>
      <w:r w:rsidR="00A37400">
        <w:rPr>
          <w:rFonts w:cs="Arial"/>
        </w:rPr>
        <w:t>QAEHS</w:t>
      </w:r>
      <w:r w:rsidRPr="0058370B">
        <w:rPr>
          <w:rFonts w:cs="Arial"/>
        </w:rPr>
        <w:t xml:space="preserve"> in the MMP include:</w:t>
      </w:r>
    </w:p>
    <w:p w14:paraId="13B60383" w14:textId="003DE839" w:rsidR="00BB0109" w:rsidRPr="006832C0" w:rsidRDefault="00BB0109" w:rsidP="006C7E99">
      <w:pPr>
        <w:pStyle w:val="ListParagraph"/>
        <w:numPr>
          <w:ilvl w:val="0"/>
          <w:numId w:val="39"/>
        </w:numPr>
        <w:rPr>
          <w:rFonts w:cs="Arial"/>
        </w:rPr>
      </w:pPr>
      <w:r w:rsidRPr="006832C0">
        <w:rPr>
          <w:rFonts w:cs="Arial"/>
        </w:rPr>
        <w:t>SOPs for the preparation, deployment, extraction and analysis of passive samplers</w:t>
      </w:r>
    </w:p>
    <w:p w14:paraId="48B16998" w14:textId="144A5D1D" w:rsidR="00BB0109" w:rsidRPr="006832C0" w:rsidRDefault="00E70587" w:rsidP="006C7E99">
      <w:pPr>
        <w:pStyle w:val="ListParagraph"/>
        <w:numPr>
          <w:ilvl w:val="0"/>
          <w:numId w:val="39"/>
        </w:numPr>
        <w:rPr>
          <w:rFonts w:cs="Arial"/>
        </w:rPr>
      </w:pPr>
      <w:r>
        <w:rPr>
          <w:rFonts w:cs="Arial"/>
        </w:rPr>
        <w:t>s</w:t>
      </w:r>
      <w:r w:rsidRPr="006832C0">
        <w:rPr>
          <w:rFonts w:cs="Arial"/>
        </w:rPr>
        <w:t xml:space="preserve">taff </w:t>
      </w:r>
      <w:r w:rsidR="00BB0109" w:rsidRPr="006832C0">
        <w:rPr>
          <w:rFonts w:cs="Arial"/>
        </w:rPr>
        <w:t>training in these SOPs (laboratory) and a record of this training is maintained</w:t>
      </w:r>
    </w:p>
    <w:p w14:paraId="592CBE1D" w14:textId="339EFCE5" w:rsidR="00BB0109" w:rsidRPr="006832C0" w:rsidRDefault="00E70587" w:rsidP="006C7E99">
      <w:pPr>
        <w:pStyle w:val="ListParagraph"/>
        <w:numPr>
          <w:ilvl w:val="0"/>
          <w:numId w:val="39"/>
        </w:numPr>
        <w:rPr>
          <w:rFonts w:cs="Arial"/>
        </w:rPr>
      </w:pPr>
      <w:r>
        <w:rPr>
          <w:rFonts w:cs="Arial"/>
        </w:rPr>
        <w:t>d</w:t>
      </w:r>
      <w:r w:rsidRPr="006832C0">
        <w:rPr>
          <w:rFonts w:cs="Arial"/>
        </w:rPr>
        <w:t xml:space="preserve">eployment </w:t>
      </w:r>
      <w:r w:rsidR="00BB0109" w:rsidRPr="006832C0">
        <w:rPr>
          <w:rFonts w:cs="Arial"/>
        </w:rPr>
        <w:t xml:space="preserve">guides for the training of field staff </w:t>
      </w:r>
      <w:r w:rsidR="00A37400">
        <w:rPr>
          <w:rFonts w:cs="Arial"/>
        </w:rPr>
        <w:t>and</w:t>
      </w:r>
      <w:r w:rsidR="00BB0109" w:rsidRPr="006832C0">
        <w:rPr>
          <w:rFonts w:cs="Arial"/>
        </w:rPr>
        <w:t xml:space="preserve"> volunteers</w:t>
      </w:r>
    </w:p>
    <w:p w14:paraId="24864CD5" w14:textId="67B1BCBB" w:rsidR="00BB0109" w:rsidRPr="006832C0" w:rsidRDefault="00E70587" w:rsidP="006C7E99">
      <w:pPr>
        <w:pStyle w:val="ListParagraph"/>
        <w:numPr>
          <w:ilvl w:val="0"/>
          <w:numId w:val="39"/>
        </w:numPr>
        <w:rPr>
          <w:rFonts w:cs="Arial"/>
        </w:rPr>
      </w:pPr>
      <w:r>
        <w:rPr>
          <w:rFonts w:cs="Arial"/>
        </w:rPr>
        <w:t>g</w:t>
      </w:r>
      <w:r w:rsidRPr="006832C0">
        <w:rPr>
          <w:rFonts w:cs="Arial"/>
        </w:rPr>
        <w:t xml:space="preserve">eneration </w:t>
      </w:r>
      <w:r w:rsidR="00BB0109" w:rsidRPr="006832C0">
        <w:rPr>
          <w:rFonts w:cs="Arial"/>
        </w:rPr>
        <w:t>of a unique alphanumeric identifier code for each passive sampler</w:t>
      </w:r>
    </w:p>
    <w:p w14:paraId="4F3E493E" w14:textId="4F21076D" w:rsidR="00BB0109" w:rsidRPr="006832C0" w:rsidRDefault="00E70587" w:rsidP="006C7E99">
      <w:pPr>
        <w:pStyle w:val="ListParagraph"/>
        <w:numPr>
          <w:ilvl w:val="0"/>
          <w:numId w:val="39"/>
        </w:numPr>
        <w:rPr>
          <w:rFonts w:cs="Arial"/>
        </w:rPr>
      </w:pPr>
      <w:r>
        <w:rPr>
          <w:rFonts w:cs="Arial"/>
        </w:rPr>
        <w:t>p</w:t>
      </w:r>
      <w:r w:rsidRPr="006832C0">
        <w:rPr>
          <w:rFonts w:cs="Arial"/>
        </w:rPr>
        <w:t>reparation</w:t>
      </w:r>
      <w:r w:rsidR="00BB0109" w:rsidRPr="006832C0">
        <w:rPr>
          <w:rFonts w:cs="Arial"/>
        </w:rPr>
        <w:t>, extraction, storage (4</w:t>
      </w:r>
      <w:r w:rsidR="0056167A" w:rsidRPr="007177E2">
        <w:rPr>
          <w:rFonts w:cs="Arial"/>
          <w:lang w:val="en-GB"/>
        </w:rPr>
        <w:t>°</w:t>
      </w:r>
      <w:r w:rsidR="00BB0109" w:rsidRPr="006832C0">
        <w:rPr>
          <w:rFonts w:cs="Arial"/>
        </w:rPr>
        <w:t>C or -20</w:t>
      </w:r>
      <w:r w:rsidR="0056167A" w:rsidRPr="006F45A2">
        <w:rPr>
          <w:rFonts w:cs="Arial"/>
          <w:lang w:val="en-GB"/>
        </w:rPr>
        <w:t>°</w:t>
      </w:r>
      <w:r w:rsidR="00BB0109" w:rsidRPr="006832C0">
        <w:rPr>
          <w:rFonts w:cs="Arial"/>
        </w:rPr>
        <w:t>C) and subsequent analysis of procedural blank passive samplers with each batch of exposed passive samplers</w:t>
      </w:r>
    </w:p>
    <w:p w14:paraId="238C9C67" w14:textId="0851EF44" w:rsidR="00BB0109" w:rsidRPr="006832C0" w:rsidRDefault="00BB0109" w:rsidP="006C7E99">
      <w:pPr>
        <w:pStyle w:val="ListParagraph"/>
        <w:numPr>
          <w:ilvl w:val="0"/>
          <w:numId w:val="39"/>
        </w:numPr>
        <w:rPr>
          <w:rFonts w:cs="Arial"/>
        </w:rPr>
      </w:pPr>
      <w:r w:rsidRPr="006832C0">
        <w:rPr>
          <w:rFonts w:cs="Arial"/>
        </w:rPr>
        <w:t>use of labelled internal standards or other surrogate standards to evaluate or correct for recovery or instrument sensitivity throughout the extraction and within the analysis process respectively</w:t>
      </w:r>
    </w:p>
    <w:p w14:paraId="6458DCD4" w14:textId="72FDE732" w:rsidR="00BB0109" w:rsidRPr="006832C0" w:rsidRDefault="00BB0109" w:rsidP="006C7E99">
      <w:pPr>
        <w:pStyle w:val="ListParagraph"/>
        <w:numPr>
          <w:ilvl w:val="0"/>
          <w:numId w:val="39"/>
        </w:numPr>
        <w:rPr>
          <w:rFonts w:cs="Arial"/>
        </w:rPr>
      </w:pPr>
      <w:r w:rsidRPr="006832C0">
        <w:rPr>
          <w:rFonts w:cs="Arial"/>
        </w:rPr>
        <w:t xml:space="preserve">exposure of replicate samplers during each deployment </w:t>
      </w:r>
      <w:r w:rsidR="0056167A">
        <w:rPr>
          <w:rFonts w:cs="Arial"/>
        </w:rPr>
        <w:t>that</w:t>
      </w:r>
      <w:r w:rsidR="0056167A" w:rsidRPr="006832C0">
        <w:rPr>
          <w:rFonts w:cs="Arial"/>
        </w:rPr>
        <w:t xml:space="preserve"> </w:t>
      </w:r>
      <w:r w:rsidRPr="006832C0">
        <w:rPr>
          <w:rFonts w:cs="Arial"/>
        </w:rPr>
        <w:t xml:space="preserve">are extracted and archived in </w:t>
      </w:r>
      <w:r w:rsidR="00596691">
        <w:rPr>
          <w:rFonts w:cs="Arial"/>
        </w:rPr>
        <w:t>QAEHS</w:t>
      </w:r>
      <w:r w:rsidRPr="006832C0">
        <w:rPr>
          <w:rFonts w:cs="Arial"/>
        </w:rPr>
        <w:t xml:space="preserve"> specimen bank </w:t>
      </w:r>
      <w:r w:rsidR="009850D4" w:rsidRPr="006832C0">
        <w:rPr>
          <w:rFonts w:cs="Arial"/>
        </w:rPr>
        <w:t>at</w:t>
      </w:r>
      <w:r w:rsidRPr="006832C0">
        <w:rPr>
          <w:rFonts w:cs="Arial"/>
        </w:rPr>
        <w:t xml:space="preserve"> -80</w:t>
      </w:r>
      <w:r w:rsidR="00E6151A" w:rsidRPr="006F45A2">
        <w:rPr>
          <w:rFonts w:cs="Arial"/>
          <w:lang w:val="en-GB"/>
        </w:rPr>
        <w:t>°</w:t>
      </w:r>
      <w:r w:rsidRPr="006832C0">
        <w:rPr>
          <w:rFonts w:cs="Arial"/>
        </w:rPr>
        <w:t xml:space="preserve">C. </w:t>
      </w:r>
    </w:p>
    <w:p w14:paraId="401CA0CF" w14:textId="49831FF0" w:rsidR="00BB0109" w:rsidRPr="0058370B" w:rsidRDefault="00BB0109" w:rsidP="00FE2F59">
      <w:pPr>
        <w:rPr>
          <w:rFonts w:cs="Arial"/>
        </w:rPr>
      </w:pPr>
      <w:r w:rsidRPr="0058370B">
        <w:rPr>
          <w:rFonts w:cs="Arial"/>
        </w:rPr>
        <w:t xml:space="preserve">QHFSS laboratories are accredited by the National Association of Standards Testing. Details of QHFSS accreditation can be found </w:t>
      </w:r>
      <w:r w:rsidR="00E6151A">
        <w:rPr>
          <w:rFonts w:cs="Arial"/>
        </w:rPr>
        <w:t xml:space="preserve">on </w:t>
      </w:r>
      <w:r w:rsidRPr="0058370B">
        <w:rPr>
          <w:rFonts w:cs="Arial"/>
        </w:rPr>
        <w:t xml:space="preserve">the National Association of Testing Authorities (NATA) website </w:t>
      </w:r>
      <w:r w:rsidR="00E6151A">
        <w:rPr>
          <w:rFonts w:cs="Arial"/>
        </w:rPr>
        <w:t>(</w:t>
      </w:r>
      <w:hyperlink r:id="rId64" w:history="1">
        <w:r w:rsidR="00E6151A" w:rsidRPr="00E6151A">
          <w:rPr>
            <w:rStyle w:val="Hyperlink"/>
            <w:rFonts w:cs="Arial"/>
          </w:rPr>
          <w:t>http://www.nata.asn.au/</w:t>
        </w:r>
      </w:hyperlink>
      <w:r w:rsidRPr="0058370B">
        <w:rPr>
          <w:rFonts w:cs="Arial"/>
        </w:rPr>
        <w:t xml:space="preserve">). Sample receipting, handling, analysis and data reporting at QHFSS </w:t>
      </w:r>
      <w:r w:rsidR="00E6151A">
        <w:rPr>
          <w:rFonts w:cs="Arial"/>
        </w:rPr>
        <w:t>are</w:t>
      </w:r>
      <w:r w:rsidRPr="0058370B">
        <w:rPr>
          <w:rFonts w:cs="Arial"/>
        </w:rPr>
        <w:t xml:space="preserve"> based on NATA certified methods. The NATA accreditation held by the QHFSS includes a wide variety of QA/QC procedures covering the registration and identification of samples with specific codes and the regular calibration of all quantitative laboratory equipment required for the analysis.</w:t>
      </w:r>
    </w:p>
    <w:p w14:paraId="2551FF57" w14:textId="68514AEF" w:rsidR="00BB0109" w:rsidRPr="0058370B" w:rsidRDefault="00BB0109" w:rsidP="00FE2F59">
      <w:pPr>
        <w:pStyle w:val="Heading2"/>
        <w:ind w:left="0" w:firstLine="0"/>
        <w:rPr>
          <w:rFonts w:cs="Arial"/>
          <w:sz w:val="22"/>
          <w:szCs w:val="22"/>
        </w:rPr>
      </w:pPr>
      <w:bookmarkStart w:id="278" w:name="_Toc393785020"/>
      <w:bookmarkStart w:id="279" w:name="_Toc394061130"/>
      <w:bookmarkStart w:id="280" w:name="_Toc394061220"/>
      <w:bookmarkStart w:id="281" w:name="_Toc396311986"/>
      <w:bookmarkStart w:id="282" w:name="_Toc520727847"/>
      <w:bookmarkStart w:id="283" w:name="_Toc12365592"/>
      <w:r w:rsidRPr="0058370B">
        <w:rPr>
          <w:rFonts w:cs="Arial"/>
          <w:sz w:val="22"/>
          <w:szCs w:val="22"/>
        </w:rPr>
        <w:t xml:space="preserve">Data </w:t>
      </w:r>
      <w:r w:rsidR="00E6151A">
        <w:rPr>
          <w:rFonts w:cs="Arial"/>
          <w:sz w:val="22"/>
          <w:szCs w:val="22"/>
        </w:rPr>
        <w:t>m</w:t>
      </w:r>
      <w:r w:rsidR="00E6151A" w:rsidRPr="0058370B">
        <w:rPr>
          <w:rFonts w:cs="Arial"/>
          <w:sz w:val="22"/>
          <w:szCs w:val="22"/>
        </w:rPr>
        <w:t xml:space="preserve">anagement </w:t>
      </w:r>
      <w:r w:rsidR="00E6151A">
        <w:rPr>
          <w:rFonts w:cs="Arial"/>
          <w:sz w:val="22"/>
          <w:szCs w:val="22"/>
        </w:rPr>
        <w:t>and</w:t>
      </w:r>
      <w:r w:rsidR="00E6151A" w:rsidRPr="0058370B">
        <w:rPr>
          <w:rFonts w:cs="Arial"/>
          <w:sz w:val="22"/>
          <w:szCs w:val="22"/>
        </w:rPr>
        <w:t xml:space="preserve"> </w:t>
      </w:r>
      <w:r w:rsidR="00E6151A">
        <w:rPr>
          <w:rFonts w:cs="Arial"/>
          <w:sz w:val="22"/>
          <w:szCs w:val="22"/>
        </w:rPr>
        <w:t>s</w:t>
      </w:r>
      <w:r w:rsidRPr="0058370B">
        <w:rPr>
          <w:rFonts w:cs="Arial"/>
          <w:sz w:val="22"/>
          <w:szCs w:val="22"/>
        </w:rPr>
        <w:t>ecurity</w:t>
      </w:r>
      <w:bookmarkEnd w:id="278"/>
      <w:bookmarkEnd w:id="279"/>
      <w:bookmarkEnd w:id="280"/>
      <w:bookmarkEnd w:id="281"/>
      <w:bookmarkEnd w:id="282"/>
      <w:bookmarkEnd w:id="283"/>
    </w:p>
    <w:p w14:paraId="55BD73C9" w14:textId="066C236C" w:rsidR="00BB0109" w:rsidRPr="0058370B" w:rsidRDefault="00BB0109" w:rsidP="00FE2F59">
      <w:pPr>
        <w:rPr>
          <w:rFonts w:cs="Arial"/>
        </w:rPr>
      </w:pPr>
      <w:r w:rsidRPr="0058370B">
        <w:rPr>
          <w:rFonts w:cs="Arial"/>
        </w:rPr>
        <w:t xml:space="preserve">The data management protocols for </w:t>
      </w:r>
      <w:r w:rsidR="00A37400">
        <w:rPr>
          <w:rFonts w:cs="Arial"/>
        </w:rPr>
        <w:t>QAEHS</w:t>
      </w:r>
      <w:r w:rsidRPr="0058370B">
        <w:rPr>
          <w:rFonts w:cs="Arial"/>
        </w:rPr>
        <w:t xml:space="preserve"> are outlined below and include documentation of all steps within the sampling program: passive sampler identification, transport, deployment, transfer of samples to QHFSS for chemical analysis, analytical results, data manipulation, storage and access. This protocol may be </w:t>
      </w:r>
      <w:r w:rsidR="00E6151A" w:rsidRPr="0058370B">
        <w:rPr>
          <w:rFonts w:cs="Arial"/>
        </w:rPr>
        <w:t>summari</w:t>
      </w:r>
      <w:r w:rsidR="00E6151A">
        <w:rPr>
          <w:rFonts w:cs="Arial"/>
        </w:rPr>
        <w:t>s</w:t>
      </w:r>
      <w:r w:rsidR="00E6151A" w:rsidRPr="0058370B">
        <w:rPr>
          <w:rFonts w:cs="Arial"/>
        </w:rPr>
        <w:t xml:space="preserve">ed </w:t>
      </w:r>
      <w:r w:rsidRPr="0058370B">
        <w:rPr>
          <w:rFonts w:cs="Arial"/>
        </w:rPr>
        <w:t>as:</w:t>
      </w:r>
    </w:p>
    <w:p w14:paraId="600FD549" w14:textId="77777777" w:rsidR="00BB0109" w:rsidRPr="006832C0" w:rsidRDefault="00BB0109" w:rsidP="006C7E99">
      <w:pPr>
        <w:pStyle w:val="ListParagraph"/>
        <w:numPr>
          <w:ilvl w:val="0"/>
          <w:numId w:val="40"/>
        </w:numPr>
        <w:rPr>
          <w:rFonts w:cs="Arial"/>
        </w:rPr>
      </w:pPr>
      <w:r w:rsidRPr="006832C0">
        <w:rPr>
          <w:rFonts w:cs="Arial"/>
        </w:rPr>
        <w:t xml:space="preserve">The unique alphanumeric identifier code attached to each passive sampler is applied to all subsequent </w:t>
      </w:r>
      <w:r w:rsidRPr="006832C0">
        <w:rPr>
          <w:rFonts w:eastAsia="SimSun" w:cs="Arial"/>
          <w:lang w:eastAsia="zh-CN"/>
        </w:rPr>
        <w:t>daughter</w:t>
      </w:r>
      <w:r w:rsidRPr="006832C0">
        <w:rPr>
          <w:rFonts w:cs="Arial"/>
        </w:rPr>
        <w:t xml:space="preserve"> samples and results, ensuring a reliable link with the original sample. </w:t>
      </w:r>
    </w:p>
    <w:p w14:paraId="5A76479B" w14:textId="018E3A46" w:rsidR="00BB0109" w:rsidRPr="006832C0" w:rsidRDefault="00BB0109" w:rsidP="006C7E99">
      <w:pPr>
        <w:pStyle w:val="ListParagraph"/>
        <w:numPr>
          <w:ilvl w:val="0"/>
          <w:numId w:val="40"/>
        </w:numPr>
        <w:rPr>
          <w:rFonts w:cs="Arial"/>
        </w:rPr>
      </w:pPr>
      <w:r w:rsidRPr="006832C0">
        <w:rPr>
          <w:rFonts w:cs="Arial"/>
        </w:rPr>
        <w:t xml:space="preserve">Deployment </w:t>
      </w:r>
      <w:r w:rsidR="00E6151A">
        <w:rPr>
          <w:rFonts w:cs="Arial"/>
        </w:rPr>
        <w:t>r</w:t>
      </w:r>
      <w:r w:rsidR="00E6151A" w:rsidRPr="006832C0">
        <w:rPr>
          <w:rFonts w:cs="Arial"/>
        </w:rPr>
        <w:t xml:space="preserve">ecords </w:t>
      </w:r>
      <w:r w:rsidRPr="006832C0">
        <w:rPr>
          <w:rFonts w:cs="Arial"/>
        </w:rPr>
        <w:t xml:space="preserve">are sent with the sampling devices, and include information on the unique sampling device </w:t>
      </w:r>
      <w:r w:rsidRPr="006832C0">
        <w:rPr>
          <w:rFonts w:eastAsia="SimSun" w:cs="Arial"/>
          <w:lang w:eastAsia="zh-CN"/>
        </w:rPr>
        <w:t>identifier</w:t>
      </w:r>
      <w:r w:rsidRPr="006832C0">
        <w:rPr>
          <w:rFonts w:cs="Arial"/>
        </w:rPr>
        <w:t xml:space="preserve">, deployment identifier, name of the staff/volunteer who performed the operation, storage location, destination site, important dates, details of sample treatment and any problems that may have occurred. When returned, the information is entered into Excel spreadsheets and stored on the </w:t>
      </w:r>
      <w:r w:rsidR="00AA70D6">
        <w:rPr>
          <w:rFonts w:cs="Arial"/>
        </w:rPr>
        <w:t>QAEHS</w:t>
      </w:r>
      <w:r w:rsidRPr="006832C0">
        <w:rPr>
          <w:rFonts w:cs="Arial"/>
        </w:rPr>
        <w:t xml:space="preserve"> main server with a back-up on one local hard drive.</w:t>
      </w:r>
    </w:p>
    <w:p w14:paraId="06A5E957" w14:textId="7D65E060" w:rsidR="00BB0109" w:rsidRPr="006832C0" w:rsidRDefault="00BB0109" w:rsidP="006C7E99">
      <w:pPr>
        <w:pStyle w:val="ListParagraph"/>
        <w:numPr>
          <w:ilvl w:val="0"/>
          <w:numId w:val="40"/>
        </w:numPr>
        <w:rPr>
          <w:rFonts w:cs="Arial"/>
        </w:rPr>
      </w:pPr>
      <w:r w:rsidRPr="006832C0">
        <w:rPr>
          <w:rFonts w:cs="Arial"/>
        </w:rPr>
        <w:t xml:space="preserve">Detailed </w:t>
      </w:r>
      <w:r w:rsidR="00E6151A">
        <w:rPr>
          <w:rFonts w:cs="Arial"/>
        </w:rPr>
        <w:t>c</w:t>
      </w:r>
      <w:r w:rsidR="00E6151A" w:rsidRPr="006832C0">
        <w:rPr>
          <w:rFonts w:cs="Arial"/>
        </w:rPr>
        <w:t xml:space="preserve">hain </w:t>
      </w:r>
      <w:r w:rsidRPr="006832C0">
        <w:rPr>
          <w:rFonts w:cs="Arial"/>
        </w:rPr>
        <w:t xml:space="preserve">of </w:t>
      </w:r>
      <w:r w:rsidR="00E6151A">
        <w:rPr>
          <w:rFonts w:cs="Arial"/>
        </w:rPr>
        <w:t>c</w:t>
      </w:r>
      <w:r w:rsidR="00E6151A" w:rsidRPr="006832C0">
        <w:rPr>
          <w:rFonts w:cs="Arial"/>
        </w:rPr>
        <w:t xml:space="preserve">ustody </w:t>
      </w:r>
      <w:r w:rsidRPr="006832C0">
        <w:rPr>
          <w:rFonts w:cs="Arial"/>
        </w:rPr>
        <w:t xml:space="preserve">records are kept with the samplers at all times. Devices are couriered directly to </w:t>
      </w:r>
      <w:r w:rsidRPr="006832C0">
        <w:rPr>
          <w:rFonts w:eastAsia="SimSun" w:cs="Arial"/>
          <w:lang w:eastAsia="zh-CN"/>
        </w:rPr>
        <w:t>the</w:t>
      </w:r>
      <w:r w:rsidRPr="006832C0">
        <w:rPr>
          <w:rFonts w:cs="Arial"/>
        </w:rPr>
        <w:t xml:space="preserve"> tourism operators/community member and monitored via a tracking system. Delivery records are maintained by </w:t>
      </w:r>
      <w:r w:rsidR="00A37400">
        <w:rPr>
          <w:rFonts w:cs="Arial"/>
        </w:rPr>
        <w:t>QAEHS</w:t>
      </w:r>
      <w:r w:rsidRPr="006832C0">
        <w:rPr>
          <w:rFonts w:cs="Arial"/>
        </w:rPr>
        <w:t xml:space="preserve"> to </w:t>
      </w:r>
      <w:r w:rsidR="000709E8" w:rsidRPr="006832C0">
        <w:rPr>
          <w:rFonts w:cs="Arial"/>
        </w:rPr>
        <w:t>guarantee</w:t>
      </w:r>
      <w:r w:rsidRPr="006832C0">
        <w:rPr>
          <w:rFonts w:cs="Arial"/>
        </w:rPr>
        <w:t xml:space="preserve"> traceability of samples.</w:t>
      </w:r>
    </w:p>
    <w:p w14:paraId="25F574E4" w14:textId="6EEE1BB4" w:rsidR="00BB0109" w:rsidRPr="006832C0" w:rsidRDefault="00BB0109" w:rsidP="006C7E99">
      <w:pPr>
        <w:pStyle w:val="ListParagraph"/>
        <w:numPr>
          <w:ilvl w:val="0"/>
          <w:numId w:val="40"/>
        </w:numPr>
        <w:rPr>
          <w:rFonts w:eastAsia="Times New Roman" w:cs="Arial"/>
          <w:b/>
          <w:bCs/>
        </w:rPr>
      </w:pPr>
      <w:r w:rsidRPr="006832C0">
        <w:rPr>
          <w:rFonts w:cs="Arial"/>
        </w:rPr>
        <w:t xml:space="preserve">Hard copy records </w:t>
      </w:r>
      <w:r w:rsidR="00E6151A">
        <w:rPr>
          <w:rFonts w:cs="Arial"/>
        </w:rPr>
        <w:t xml:space="preserve">are </w:t>
      </w:r>
      <w:r w:rsidRPr="006832C0">
        <w:rPr>
          <w:rFonts w:cs="Arial"/>
        </w:rPr>
        <w:t>maintained of all sample submission forms provided to QHFSS for analysis.</w:t>
      </w:r>
    </w:p>
    <w:p w14:paraId="549210D7" w14:textId="77777777" w:rsidR="00BB0109" w:rsidRPr="006832C0" w:rsidRDefault="00BB0109" w:rsidP="006C7E99">
      <w:pPr>
        <w:pStyle w:val="ListParagraph"/>
        <w:numPr>
          <w:ilvl w:val="0"/>
          <w:numId w:val="40"/>
        </w:numPr>
        <w:rPr>
          <w:rFonts w:eastAsia="Times New Roman" w:cs="Arial"/>
          <w:b/>
          <w:bCs/>
        </w:rPr>
      </w:pPr>
      <w:r w:rsidRPr="006832C0">
        <w:rPr>
          <w:rFonts w:cs="Arial"/>
        </w:rPr>
        <w:t xml:space="preserve">Results files provided by QHFSS along with a unique identifier code are transferred from the instrumentation computer to the Entox server and archived on the QHFSS network using an established data management system. </w:t>
      </w:r>
    </w:p>
    <w:p w14:paraId="029CE2EC" w14:textId="517EB7AA" w:rsidR="00BB0109" w:rsidRPr="006832C0" w:rsidRDefault="00BB0109" w:rsidP="006C7E99">
      <w:pPr>
        <w:pStyle w:val="ListParagraph"/>
        <w:numPr>
          <w:ilvl w:val="0"/>
          <w:numId w:val="40"/>
        </w:numPr>
        <w:rPr>
          <w:rFonts w:cs="Arial"/>
        </w:rPr>
      </w:pPr>
      <w:r w:rsidRPr="006832C0">
        <w:rPr>
          <w:rFonts w:cs="Arial"/>
        </w:rPr>
        <w:t xml:space="preserve">Excel spreadsheets used for data manipulation and a summary results file (concentration in water estimates) are stored on the </w:t>
      </w:r>
      <w:r w:rsidR="00A37400">
        <w:rPr>
          <w:rFonts w:cs="Arial"/>
        </w:rPr>
        <w:t xml:space="preserve">QAEHS </w:t>
      </w:r>
      <w:r w:rsidRPr="006832C0">
        <w:rPr>
          <w:rFonts w:cs="Arial"/>
        </w:rPr>
        <w:t xml:space="preserve">server. Access to the </w:t>
      </w:r>
      <w:r w:rsidR="00A37400">
        <w:rPr>
          <w:rFonts w:cs="Arial"/>
        </w:rPr>
        <w:t>QAEHS</w:t>
      </w:r>
      <w:r w:rsidRPr="006832C0">
        <w:rPr>
          <w:rFonts w:cs="Arial"/>
        </w:rPr>
        <w:t xml:space="preserve"> server is restricted to authorised personnel only via a password protection system. Provision of data to a third party only occurs at the consent or request of the </w:t>
      </w:r>
      <w:r w:rsidR="00E6151A">
        <w:rPr>
          <w:rFonts w:cs="Arial"/>
        </w:rPr>
        <w:t>p</w:t>
      </w:r>
      <w:r w:rsidR="00E6151A" w:rsidRPr="006832C0">
        <w:rPr>
          <w:rFonts w:cs="Arial"/>
        </w:rPr>
        <w:t xml:space="preserve">rogram </w:t>
      </w:r>
      <w:r w:rsidR="00E6151A">
        <w:rPr>
          <w:rFonts w:cs="Arial"/>
        </w:rPr>
        <w:t>m</w:t>
      </w:r>
      <w:r w:rsidR="00E6151A" w:rsidRPr="006832C0">
        <w:rPr>
          <w:rFonts w:cs="Arial"/>
        </w:rPr>
        <w:t>anager</w:t>
      </w:r>
      <w:r w:rsidRPr="006832C0">
        <w:rPr>
          <w:rFonts w:cs="Arial"/>
        </w:rPr>
        <w:t>.</w:t>
      </w:r>
    </w:p>
    <w:p w14:paraId="57BA30E7" w14:textId="350A000E" w:rsidR="00BB0109" w:rsidRPr="0058370B" w:rsidRDefault="00BB0109" w:rsidP="00FE2F59">
      <w:pPr>
        <w:pStyle w:val="Heading2"/>
        <w:ind w:left="0" w:firstLine="0"/>
        <w:rPr>
          <w:rFonts w:cs="Arial"/>
          <w:sz w:val="22"/>
          <w:szCs w:val="22"/>
        </w:rPr>
      </w:pPr>
      <w:bookmarkStart w:id="284" w:name="_Toc393785021"/>
      <w:bookmarkStart w:id="285" w:name="_Toc394061131"/>
      <w:bookmarkStart w:id="286" w:name="_Toc394061221"/>
      <w:bookmarkStart w:id="287" w:name="_Toc396311987"/>
      <w:bookmarkStart w:id="288" w:name="_Toc520727848"/>
      <w:bookmarkStart w:id="289" w:name="_Toc12365593"/>
      <w:r w:rsidRPr="0058370B">
        <w:rPr>
          <w:rFonts w:cs="Arial"/>
          <w:sz w:val="22"/>
          <w:szCs w:val="22"/>
        </w:rPr>
        <w:t>Summary</w:t>
      </w:r>
      <w:bookmarkEnd w:id="284"/>
      <w:bookmarkEnd w:id="285"/>
      <w:bookmarkEnd w:id="286"/>
      <w:bookmarkEnd w:id="287"/>
      <w:bookmarkEnd w:id="288"/>
      <w:bookmarkEnd w:id="289"/>
      <w:r w:rsidRPr="0058370B">
        <w:rPr>
          <w:rFonts w:cs="Arial"/>
          <w:sz w:val="22"/>
          <w:szCs w:val="22"/>
        </w:rPr>
        <w:t xml:space="preserve"> </w:t>
      </w:r>
    </w:p>
    <w:p w14:paraId="1CF2FE77" w14:textId="73A7FB46" w:rsidR="002C3CAA" w:rsidRPr="00486AC2" w:rsidRDefault="002C3CAA" w:rsidP="00FE2F59">
      <w:r>
        <w:t>In summary, the following QA</w:t>
      </w:r>
      <w:r w:rsidR="00E6151A">
        <w:t>/</w:t>
      </w:r>
      <w:r>
        <w:t xml:space="preserve">QC measures </w:t>
      </w:r>
      <w:r w:rsidR="006A510D">
        <w:t xml:space="preserve">are </w:t>
      </w:r>
      <w:r>
        <w:t>employed within t</w:t>
      </w:r>
      <w:r w:rsidR="006A510D">
        <w:t>he Pesticide Monitoring Program:</w:t>
      </w:r>
    </w:p>
    <w:p w14:paraId="3118DEF8" w14:textId="394E4886" w:rsidR="00BB0109" w:rsidRPr="006832C0" w:rsidRDefault="00E6151A" w:rsidP="006C7E99">
      <w:pPr>
        <w:pStyle w:val="ListParagraph"/>
        <w:numPr>
          <w:ilvl w:val="0"/>
          <w:numId w:val="41"/>
        </w:numPr>
        <w:rPr>
          <w:rFonts w:cs="Arial"/>
        </w:rPr>
      </w:pPr>
      <w:r>
        <w:rPr>
          <w:rFonts w:cs="Arial"/>
        </w:rPr>
        <w:t>u</w:t>
      </w:r>
      <w:r w:rsidRPr="006832C0">
        <w:rPr>
          <w:rFonts w:cs="Arial"/>
        </w:rPr>
        <w:t xml:space="preserve">nique </w:t>
      </w:r>
      <w:r w:rsidR="00BB0109" w:rsidRPr="006832C0">
        <w:rPr>
          <w:rFonts w:cs="Arial"/>
        </w:rPr>
        <w:t>sample identifiers</w:t>
      </w:r>
    </w:p>
    <w:p w14:paraId="222E8B5D" w14:textId="77C4AE2B" w:rsidR="00BB0109" w:rsidRPr="006832C0" w:rsidRDefault="00E6151A" w:rsidP="006C7E99">
      <w:pPr>
        <w:pStyle w:val="ListParagraph"/>
        <w:numPr>
          <w:ilvl w:val="0"/>
          <w:numId w:val="41"/>
        </w:numPr>
        <w:rPr>
          <w:rFonts w:cs="Arial"/>
        </w:rPr>
      </w:pPr>
      <w:r>
        <w:rPr>
          <w:rFonts w:cs="Arial"/>
        </w:rPr>
        <w:t>c</w:t>
      </w:r>
      <w:r w:rsidRPr="006832C0">
        <w:rPr>
          <w:rFonts w:cs="Arial"/>
        </w:rPr>
        <w:t xml:space="preserve">omprehensive </w:t>
      </w:r>
      <w:r>
        <w:rPr>
          <w:rFonts w:cs="Arial"/>
        </w:rPr>
        <w:t>r</w:t>
      </w:r>
      <w:r w:rsidRPr="006832C0">
        <w:rPr>
          <w:rFonts w:cs="Arial"/>
        </w:rPr>
        <w:t xml:space="preserve">ecords </w:t>
      </w:r>
      <w:r w:rsidR="00BB0109" w:rsidRPr="006832C0">
        <w:rPr>
          <w:rFonts w:cs="Arial"/>
        </w:rPr>
        <w:t xml:space="preserve">and </w:t>
      </w:r>
      <w:r>
        <w:rPr>
          <w:rFonts w:cs="Arial"/>
        </w:rPr>
        <w:t>c</w:t>
      </w:r>
      <w:r w:rsidRPr="006832C0">
        <w:rPr>
          <w:rFonts w:cs="Arial"/>
        </w:rPr>
        <w:t xml:space="preserve">hain </w:t>
      </w:r>
      <w:r w:rsidR="00BB0109" w:rsidRPr="006832C0">
        <w:rPr>
          <w:rFonts w:cs="Arial"/>
        </w:rPr>
        <w:t xml:space="preserve">of </w:t>
      </w:r>
      <w:r>
        <w:rPr>
          <w:rFonts w:cs="Arial"/>
        </w:rPr>
        <w:t>c</w:t>
      </w:r>
      <w:r w:rsidRPr="006832C0">
        <w:rPr>
          <w:rFonts w:cs="Arial"/>
        </w:rPr>
        <w:t xml:space="preserve">ustody </w:t>
      </w:r>
      <w:r w:rsidR="00BB0109" w:rsidRPr="006832C0">
        <w:rPr>
          <w:rFonts w:cs="Arial"/>
        </w:rPr>
        <w:t>paperwork across all components</w:t>
      </w:r>
    </w:p>
    <w:p w14:paraId="6EA53C42" w14:textId="0A8DEA6C" w:rsidR="00BB0109" w:rsidRPr="006832C0" w:rsidRDefault="00E6151A" w:rsidP="006C7E99">
      <w:pPr>
        <w:pStyle w:val="ListParagraph"/>
        <w:numPr>
          <w:ilvl w:val="0"/>
          <w:numId w:val="41"/>
        </w:numPr>
        <w:rPr>
          <w:rFonts w:cs="Arial"/>
        </w:rPr>
      </w:pPr>
      <w:r>
        <w:rPr>
          <w:rFonts w:cs="Arial"/>
        </w:rPr>
        <w:t>t</w:t>
      </w:r>
      <w:r w:rsidRPr="006832C0">
        <w:rPr>
          <w:rFonts w:cs="Arial"/>
        </w:rPr>
        <w:t xml:space="preserve">raining </w:t>
      </w:r>
      <w:r w:rsidR="00BB0109" w:rsidRPr="006832C0">
        <w:rPr>
          <w:rFonts w:cs="Arial"/>
        </w:rPr>
        <w:t xml:space="preserve">of field personnel, including deployment guidelines </w:t>
      </w:r>
      <w:r>
        <w:rPr>
          <w:rFonts w:cs="Arial"/>
        </w:rPr>
        <w:t>and</w:t>
      </w:r>
      <w:r w:rsidRPr="006832C0">
        <w:rPr>
          <w:rFonts w:cs="Arial"/>
        </w:rPr>
        <w:t xml:space="preserve"> </w:t>
      </w:r>
      <w:r w:rsidR="00BB0109" w:rsidRPr="006832C0">
        <w:rPr>
          <w:rFonts w:cs="Arial"/>
        </w:rPr>
        <w:t>records</w:t>
      </w:r>
    </w:p>
    <w:p w14:paraId="5405A922" w14:textId="3B6E3DFE" w:rsidR="00BB0109" w:rsidRPr="006832C0" w:rsidRDefault="00E6151A" w:rsidP="006C7E99">
      <w:pPr>
        <w:pStyle w:val="ListParagraph"/>
        <w:numPr>
          <w:ilvl w:val="0"/>
          <w:numId w:val="41"/>
        </w:numPr>
        <w:rPr>
          <w:rFonts w:cs="Arial"/>
        </w:rPr>
      </w:pPr>
      <w:r>
        <w:rPr>
          <w:rFonts w:cs="Arial"/>
        </w:rPr>
        <w:t>a</w:t>
      </w:r>
      <w:r w:rsidRPr="006832C0">
        <w:rPr>
          <w:rFonts w:cs="Arial"/>
        </w:rPr>
        <w:t xml:space="preserve">nalytical </w:t>
      </w:r>
      <w:r>
        <w:rPr>
          <w:rFonts w:cs="Arial"/>
        </w:rPr>
        <w:t>q</w:t>
      </w:r>
      <w:r w:rsidRPr="006832C0">
        <w:rPr>
          <w:rFonts w:cs="Arial"/>
        </w:rPr>
        <w:t xml:space="preserve">uality </w:t>
      </w:r>
      <w:r>
        <w:rPr>
          <w:rFonts w:cs="Arial"/>
        </w:rPr>
        <w:t>c</w:t>
      </w:r>
      <w:r w:rsidRPr="006832C0">
        <w:rPr>
          <w:rFonts w:cs="Arial"/>
        </w:rPr>
        <w:t xml:space="preserve">ontrol </w:t>
      </w:r>
      <w:r w:rsidR="00BB0109" w:rsidRPr="006832C0">
        <w:rPr>
          <w:rFonts w:cs="Arial"/>
        </w:rPr>
        <w:t>measures</w:t>
      </w:r>
    </w:p>
    <w:p w14:paraId="7836729C" w14:textId="1A9B3471" w:rsidR="00BB0109" w:rsidRPr="006832C0" w:rsidRDefault="00E6151A" w:rsidP="006C7E99">
      <w:pPr>
        <w:pStyle w:val="ListParagraph"/>
        <w:numPr>
          <w:ilvl w:val="0"/>
          <w:numId w:val="41"/>
        </w:numPr>
        <w:rPr>
          <w:rFonts w:cs="Arial"/>
        </w:rPr>
      </w:pPr>
      <w:r>
        <w:rPr>
          <w:rFonts w:cs="Arial"/>
        </w:rPr>
        <w:t>p</w:t>
      </w:r>
      <w:r w:rsidRPr="006832C0">
        <w:rPr>
          <w:rFonts w:cs="Arial"/>
        </w:rPr>
        <w:t xml:space="preserve">rocedural </w:t>
      </w:r>
      <w:r w:rsidR="00BB0109" w:rsidRPr="006832C0">
        <w:rPr>
          <w:rFonts w:cs="Arial"/>
        </w:rPr>
        <w:t>QA/QC for the preparation, extraction and analysis of passive samplers including SOPs</w:t>
      </w:r>
    </w:p>
    <w:p w14:paraId="5BD7D523" w14:textId="4F37A060" w:rsidR="00BB0109" w:rsidRPr="006832C0" w:rsidRDefault="00E6151A" w:rsidP="006C7E99">
      <w:pPr>
        <w:pStyle w:val="ListParagraph"/>
        <w:numPr>
          <w:ilvl w:val="0"/>
          <w:numId w:val="41"/>
        </w:numPr>
        <w:rPr>
          <w:rFonts w:cs="Arial"/>
        </w:rPr>
      </w:pPr>
      <w:r>
        <w:rPr>
          <w:rFonts w:cs="Arial"/>
        </w:rPr>
        <w:t>i</w:t>
      </w:r>
      <w:r w:rsidRPr="006832C0">
        <w:rPr>
          <w:rFonts w:cs="Arial"/>
        </w:rPr>
        <w:t xml:space="preserve">nclusion </w:t>
      </w:r>
      <w:r w:rsidR="00BB0109" w:rsidRPr="006832C0">
        <w:rPr>
          <w:rFonts w:cs="Arial"/>
        </w:rPr>
        <w:t>of QA/QC samples (replication of sampling and procedural blanks)</w:t>
      </w:r>
    </w:p>
    <w:p w14:paraId="02189355" w14:textId="255C8C27" w:rsidR="00BB0109" w:rsidRPr="006832C0" w:rsidRDefault="00E6151A" w:rsidP="006C7E99">
      <w:pPr>
        <w:pStyle w:val="ListParagraph"/>
        <w:numPr>
          <w:ilvl w:val="0"/>
          <w:numId w:val="41"/>
        </w:numPr>
        <w:rPr>
          <w:rFonts w:cs="Arial"/>
        </w:rPr>
      </w:pPr>
      <w:r>
        <w:rPr>
          <w:rFonts w:cs="Arial"/>
        </w:rPr>
        <w:t>c</w:t>
      </w:r>
      <w:r w:rsidRPr="006832C0">
        <w:rPr>
          <w:rFonts w:cs="Arial"/>
        </w:rPr>
        <w:t xml:space="preserve">ontinual </w:t>
      </w:r>
      <w:r w:rsidR="00BB0109" w:rsidRPr="006832C0">
        <w:rPr>
          <w:rFonts w:cs="Arial"/>
        </w:rPr>
        <w:t xml:space="preserve">evaluation, method development and improvement of methods for sampler processing </w:t>
      </w:r>
      <w:r>
        <w:rPr>
          <w:rFonts w:cs="Arial"/>
        </w:rPr>
        <w:t>and</w:t>
      </w:r>
      <w:r w:rsidRPr="006832C0">
        <w:rPr>
          <w:rFonts w:cs="Arial"/>
        </w:rPr>
        <w:t xml:space="preserve"> </w:t>
      </w:r>
      <w:r w:rsidR="00BB0109" w:rsidRPr="006832C0">
        <w:rPr>
          <w:rFonts w:cs="Arial"/>
        </w:rPr>
        <w:t>estimation of concentration in water.</w:t>
      </w:r>
    </w:p>
    <w:p w14:paraId="03D8E1C6" w14:textId="06A1E9F4" w:rsidR="002C3CAA" w:rsidRDefault="002C3CAA" w:rsidP="00FE2F59">
      <w:pPr>
        <w:rPr>
          <w:rFonts w:cs="Arial"/>
        </w:rPr>
      </w:pPr>
      <w:r>
        <w:rPr>
          <w:rFonts w:cs="Arial"/>
        </w:rPr>
        <w:t xml:space="preserve">In addition to these measures, </w:t>
      </w:r>
      <w:r w:rsidR="006A510D">
        <w:rPr>
          <w:rFonts w:cs="Arial"/>
        </w:rPr>
        <w:t>QAEHS</w:t>
      </w:r>
      <w:r>
        <w:rPr>
          <w:rFonts w:cs="Arial"/>
        </w:rPr>
        <w:t xml:space="preserve"> has recently undertaken an independent and comprehensive internal review of its processes, with the objective</w:t>
      </w:r>
      <w:r w:rsidR="00E6151A">
        <w:rPr>
          <w:rFonts w:cs="Arial"/>
        </w:rPr>
        <w:t xml:space="preserve"> being</w:t>
      </w:r>
      <w:r>
        <w:rPr>
          <w:rFonts w:cs="Arial"/>
        </w:rPr>
        <w:t xml:space="preserve"> </w:t>
      </w:r>
      <w:r w:rsidR="00E6151A">
        <w:rPr>
          <w:rFonts w:cs="Arial"/>
        </w:rPr>
        <w:t xml:space="preserve">to </w:t>
      </w:r>
      <w:r w:rsidR="003474FC">
        <w:rPr>
          <w:rFonts w:cs="Arial"/>
        </w:rPr>
        <w:t>guarantee</w:t>
      </w:r>
      <w:r w:rsidR="00E6151A">
        <w:rPr>
          <w:rFonts w:cs="Arial"/>
        </w:rPr>
        <w:t xml:space="preserve"> and improve</w:t>
      </w:r>
      <w:r>
        <w:rPr>
          <w:rFonts w:cs="Arial"/>
        </w:rPr>
        <w:t xml:space="preserve"> consistency and quality of work. This review (conducted in February 2016) was assessed by a retired chemist from </w:t>
      </w:r>
      <w:r w:rsidRPr="00676F8C">
        <w:rPr>
          <w:rFonts w:cs="Arial"/>
        </w:rPr>
        <w:t>SAS Laboratories (Queensland Urban Utilities) with 40 years of experience in public and private sector analysis and consulting</w:t>
      </w:r>
      <w:r>
        <w:rPr>
          <w:rFonts w:cs="Arial"/>
        </w:rPr>
        <w:t xml:space="preserve">. The review consisted of </w:t>
      </w:r>
      <w:r w:rsidRPr="007E566F">
        <w:rPr>
          <w:rFonts w:cs="Arial"/>
        </w:rPr>
        <w:t>tracking a sample/sample batch from receipt to reporting (i.e. entire lifecycle from receipt, storage, processing, extraction, analysis, data interpretation/validation and reporting</w:t>
      </w:r>
      <w:r>
        <w:rPr>
          <w:rFonts w:cs="Arial"/>
        </w:rPr>
        <w:t xml:space="preserve">). </w:t>
      </w:r>
      <w:r w:rsidR="00383250">
        <w:rPr>
          <w:rFonts w:cs="Arial"/>
        </w:rPr>
        <w:t xml:space="preserve">While </w:t>
      </w:r>
      <w:r>
        <w:rPr>
          <w:rFonts w:cs="Arial"/>
        </w:rPr>
        <w:t>the review did not centre around the MMP specifically, the recommendations from the review could be directly transferrable and help</w:t>
      </w:r>
      <w:r w:rsidR="00E6151A">
        <w:rPr>
          <w:rFonts w:cs="Arial"/>
        </w:rPr>
        <w:t>ed</w:t>
      </w:r>
      <w:r>
        <w:rPr>
          <w:rFonts w:cs="Arial"/>
        </w:rPr>
        <w:t xml:space="preserve"> to streamline and improve aspects of this program including updating documentation of training and SOPs, improved record keeping of equipment calibration and maintenance, automation of spreadsheets (through the use of macros and hyperlinks) to avoid human error involved in excessive copy and pasting</w:t>
      </w:r>
      <w:r w:rsidR="00E6151A">
        <w:rPr>
          <w:rFonts w:cs="Arial"/>
        </w:rPr>
        <w:t>,</w:t>
      </w:r>
      <w:r>
        <w:rPr>
          <w:rFonts w:cs="Arial"/>
        </w:rPr>
        <w:t xml:space="preserve"> and simplification of sample labelling. </w:t>
      </w:r>
      <w:r w:rsidR="00E6151A">
        <w:rPr>
          <w:rFonts w:cs="Arial"/>
        </w:rPr>
        <w:t xml:space="preserve">Using </w:t>
      </w:r>
      <w:r>
        <w:rPr>
          <w:rFonts w:cs="Arial"/>
        </w:rPr>
        <w:t>the reviewer</w:t>
      </w:r>
      <w:r w:rsidR="00E6151A">
        <w:rPr>
          <w:rFonts w:cs="Arial"/>
        </w:rPr>
        <w:t>’</w:t>
      </w:r>
      <w:r>
        <w:rPr>
          <w:rFonts w:cs="Arial"/>
        </w:rPr>
        <w:t xml:space="preserve">s input, </w:t>
      </w:r>
      <w:r w:rsidR="006A510D">
        <w:rPr>
          <w:rFonts w:cs="Arial"/>
        </w:rPr>
        <w:t>QAEHS</w:t>
      </w:r>
      <w:r>
        <w:rPr>
          <w:rFonts w:cs="Arial"/>
        </w:rPr>
        <w:t xml:space="preserve"> seeks to implement many of their recommendations throughout the current monitoring year.</w:t>
      </w:r>
    </w:p>
    <w:p w14:paraId="4634681E" w14:textId="77777777" w:rsidR="0040286C" w:rsidRPr="0058370B" w:rsidRDefault="0040286C" w:rsidP="00FE2F59">
      <w:pPr>
        <w:rPr>
          <w:rFonts w:cs="Arial"/>
        </w:rPr>
        <w:sectPr w:rsidR="0040286C" w:rsidRPr="0058370B" w:rsidSect="00361E6D">
          <w:headerReference w:type="default" r:id="rId65"/>
          <w:footerReference w:type="default" r:id="rId66"/>
          <w:pgSz w:w="11906" w:h="16838"/>
          <w:pgMar w:top="1440" w:right="1440" w:bottom="1440" w:left="1440" w:header="708" w:footer="708" w:gutter="0"/>
          <w:cols w:space="708"/>
          <w:docGrid w:linePitch="360"/>
        </w:sectPr>
      </w:pPr>
      <w:bookmarkStart w:id="290" w:name="_Toc258919392"/>
    </w:p>
    <w:p w14:paraId="638B30E2" w14:textId="77777777" w:rsidR="0002590D" w:rsidRPr="0058370B" w:rsidRDefault="006D5B41" w:rsidP="00374388">
      <w:pPr>
        <w:pStyle w:val="Heading1"/>
      </w:pPr>
      <w:bookmarkStart w:id="291" w:name="_Toc393785051"/>
      <w:bookmarkStart w:id="292" w:name="_Toc393792973"/>
      <w:bookmarkStart w:id="293" w:name="_Toc394061156"/>
      <w:bookmarkStart w:id="294" w:name="_Toc394061246"/>
      <w:bookmarkStart w:id="295" w:name="_Toc520727849"/>
      <w:bookmarkStart w:id="296" w:name="_Toc12365594"/>
      <w:r w:rsidRPr="0058370B">
        <w:t>Inshore coral reef monitoring</w:t>
      </w:r>
      <w:bookmarkEnd w:id="291"/>
      <w:bookmarkEnd w:id="292"/>
      <w:bookmarkEnd w:id="293"/>
      <w:bookmarkEnd w:id="294"/>
      <w:bookmarkEnd w:id="295"/>
      <w:bookmarkEnd w:id="296"/>
    </w:p>
    <w:p w14:paraId="6DDF387F" w14:textId="77777777" w:rsidR="0002590D" w:rsidRPr="0058370B" w:rsidRDefault="0002590D" w:rsidP="00FE2F59">
      <w:pPr>
        <w:pBdr>
          <w:top w:val="single" w:sz="4" w:space="0" w:color="A6A6A6"/>
          <w:left w:val="single" w:sz="4" w:space="4" w:color="A6A6A6"/>
          <w:bottom w:val="single" w:sz="4" w:space="1" w:color="A6A6A6"/>
          <w:right w:val="single" w:sz="4" w:space="4" w:color="A6A6A6"/>
        </w:pBdr>
        <w:shd w:val="clear" w:color="auto" w:fill="D9D9D9"/>
        <w:rPr>
          <w:rFonts w:cs="Arial"/>
        </w:rPr>
      </w:pPr>
      <w:r w:rsidRPr="0058370B">
        <w:rPr>
          <w:rFonts w:cs="Arial"/>
        </w:rPr>
        <w:t>Angus Thompson, Johnston Davidson, Paul Costello</w:t>
      </w:r>
    </w:p>
    <w:p w14:paraId="27875DA5" w14:textId="77777777" w:rsidR="0002590D" w:rsidRPr="00162190" w:rsidRDefault="0002590D" w:rsidP="00FE2F59">
      <w:pPr>
        <w:pBdr>
          <w:top w:val="single" w:sz="4" w:space="0" w:color="A6A6A6"/>
          <w:left w:val="single" w:sz="4" w:space="4" w:color="A6A6A6"/>
          <w:bottom w:val="single" w:sz="4" w:space="1" w:color="A6A6A6"/>
          <w:right w:val="single" w:sz="4" w:space="4" w:color="A6A6A6"/>
        </w:pBdr>
        <w:shd w:val="clear" w:color="auto" w:fill="D9D9D9"/>
        <w:rPr>
          <w:rFonts w:cs="Arial"/>
          <w:sz w:val="16"/>
          <w:szCs w:val="16"/>
        </w:rPr>
      </w:pPr>
      <w:r w:rsidRPr="00162190">
        <w:rPr>
          <w:rFonts w:cs="Arial"/>
          <w:sz w:val="16"/>
          <w:szCs w:val="16"/>
        </w:rPr>
        <w:t>Australian Institute of Marine Science</w:t>
      </w:r>
    </w:p>
    <w:p w14:paraId="0F204003" w14:textId="77777777" w:rsidR="0002590D" w:rsidRPr="0058370B" w:rsidRDefault="0002590D" w:rsidP="00FE2F59">
      <w:pPr>
        <w:pStyle w:val="Heading2"/>
        <w:ind w:left="0" w:firstLine="0"/>
        <w:rPr>
          <w:rFonts w:cs="Arial"/>
          <w:sz w:val="22"/>
          <w:szCs w:val="22"/>
        </w:rPr>
      </w:pPr>
      <w:bookmarkStart w:id="297" w:name="_Toc261013296"/>
      <w:bookmarkStart w:id="298" w:name="_Toc294781714"/>
      <w:bookmarkStart w:id="299" w:name="_Toc393785052"/>
      <w:bookmarkStart w:id="300" w:name="_Toc394061157"/>
      <w:bookmarkStart w:id="301" w:name="_Toc394061247"/>
      <w:bookmarkStart w:id="302" w:name="_Toc423036768"/>
      <w:bookmarkStart w:id="303" w:name="_Toc520727850"/>
      <w:bookmarkStart w:id="304" w:name="_Toc12365595"/>
      <w:r w:rsidRPr="0058370B">
        <w:rPr>
          <w:rFonts w:cs="Arial"/>
          <w:sz w:val="22"/>
          <w:szCs w:val="22"/>
        </w:rPr>
        <w:t>Introduction</w:t>
      </w:r>
      <w:bookmarkEnd w:id="297"/>
      <w:bookmarkEnd w:id="298"/>
      <w:bookmarkEnd w:id="299"/>
      <w:bookmarkEnd w:id="300"/>
      <w:bookmarkEnd w:id="301"/>
      <w:bookmarkEnd w:id="302"/>
      <w:bookmarkEnd w:id="303"/>
      <w:bookmarkEnd w:id="304"/>
    </w:p>
    <w:p w14:paraId="634467FD" w14:textId="635EBC9C" w:rsidR="0002590D" w:rsidRPr="0058370B" w:rsidRDefault="0002590D" w:rsidP="00FE2F59">
      <w:pPr>
        <w:rPr>
          <w:rFonts w:cs="Arial"/>
          <w:color w:val="000000"/>
        </w:rPr>
      </w:pPr>
      <w:r w:rsidRPr="0058370B">
        <w:rPr>
          <w:rFonts w:cs="Arial"/>
          <w:color w:val="000000"/>
        </w:rPr>
        <w:t>The objective of the biological monitoring of inshore reefs is to document spatial and temporal trends in the benthic reef communities. Changes in these communities may be due to acute disturbances such as cyclonic winds, bleaching and crown-of-thorns starfish as well as more chronic disturbances such as those related to run</w:t>
      </w:r>
      <w:r w:rsidR="00BC49A8">
        <w:rPr>
          <w:rFonts w:cs="Arial"/>
          <w:color w:val="000000"/>
        </w:rPr>
        <w:t>-</w:t>
      </w:r>
      <w:r w:rsidRPr="0058370B">
        <w:rPr>
          <w:rFonts w:cs="Arial"/>
          <w:color w:val="000000"/>
        </w:rPr>
        <w:t>off (</w:t>
      </w:r>
      <w:r w:rsidR="00DC2F94">
        <w:rPr>
          <w:rFonts w:cs="Arial"/>
          <w:color w:val="000000"/>
        </w:rPr>
        <w:t>for example</w:t>
      </w:r>
      <w:r w:rsidRPr="0058370B">
        <w:rPr>
          <w:rFonts w:cs="Arial"/>
          <w:color w:val="000000"/>
        </w:rPr>
        <w:t xml:space="preserve"> increased sedimentation and nutrient loads), which disrupt processes of recovery such as recruitment and growth. A subset of reef monitoring sites are co-located with the sampling locations for lagoon water quality, enabling the assessment of </w:t>
      </w:r>
      <w:r w:rsidR="00E3237A">
        <w:rPr>
          <w:rFonts w:cs="Arial"/>
          <w:color w:val="000000"/>
        </w:rPr>
        <w:t xml:space="preserve">the </w:t>
      </w:r>
      <w:r w:rsidRPr="0058370B">
        <w:rPr>
          <w:rFonts w:cs="Arial"/>
          <w:color w:val="000000"/>
        </w:rPr>
        <w:t>relationship between reef communities and water quality as well as other, more acute</w:t>
      </w:r>
      <w:r w:rsidR="00E3237A">
        <w:rPr>
          <w:rFonts w:cs="Arial"/>
          <w:color w:val="000000"/>
        </w:rPr>
        <w:t>,</w:t>
      </w:r>
      <w:r w:rsidRPr="0058370B">
        <w:rPr>
          <w:rFonts w:cs="Arial"/>
          <w:color w:val="000000"/>
        </w:rPr>
        <w:t xml:space="preserve"> impacts. </w:t>
      </w:r>
    </w:p>
    <w:p w14:paraId="525637E4" w14:textId="00494854" w:rsidR="0002590D" w:rsidRPr="0058370B" w:rsidRDefault="00E3237A" w:rsidP="00FE2F59">
      <w:pPr>
        <w:rPr>
          <w:rFonts w:cs="Arial"/>
          <w:color w:val="000000"/>
        </w:rPr>
      </w:pPr>
      <w:r>
        <w:rPr>
          <w:rFonts w:cs="Arial"/>
          <w:color w:val="000000"/>
        </w:rPr>
        <w:t>Salient</w:t>
      </w:r>
      <w:r w:rsidR="0002590D" w:rsidRPr="0058370B">
        <w:rPr>
          <w:rFonts w:cs="Arial"/>
          <w:color w:val="000000"/>
        </w:rPr>
        <w:t xml:space="preserve"> attribute</w:t>
      </w:r>
      <w:r>
        <w:rPr>
          <w:rFonts w:cs="Arial"/>
          <w:color w:val="000000"/>
        </w:rPr>
        <w:t>s</w:t>
      </w:r>
      <w:r w:rsidR="0002590D" w:rsidRPr="0058370B">
        <w:rPr>
          <w:rFonts w:cs="Arial"/>
          <w:color w:val="000000"/>
        </w:rPr>
        <w:t xml:space="preserve"> of a healthy ecological community </w:t>
      </w:r>
      <w:r>
        <w:rPr>
          <w:rFonts w:cs="Arial"/>
          <w:color w:val="000000"/>
        </w:rPr>
        <w:t>are</w:t>
      </w:r>
      <w:r w:rsidRPr="0058370B">
        <w:rPr>
          <w:rFonts w:cs="Arial"/>
          <w:color w:val="000000"/>
        </w:rPr>
        <w:t xml:space="preserve"> </w:t>
      </w:r>
      <w:r w:rsidR="0002590D" w:rsidRPr="0058370B">
        <w:rPr>
          <w:rFonts w:cs="Arial"/>
          <w:color w:val="000000"/>
        </w:rPr>
        <w:t>that it should be self-perpetuating and ‘resilient’, that is able to recover from</w:t>
      </w:r>
      <w:r w:rsidR="00693C45">
        <w:rPr>
          <w:rFonts w:cs="Arial"/>
          <w:color w:val="000000"/>
        </w:rPr>
        <w:t>, or resist,</w:t>
      </w:r>
      <w:r w:rsidR="0002590D" w:rsidRPr="0058370B">
        <w:rPr>
          <w:rFonts w:cs="Arial"/>
          <w:color w:val="000000"/>
        </w:rPr>
        <w:t xml:space="preserve"> disturbance. One of the ways in which water quality is most likely to shape reef communities is through effects on coral reproduction and recruitment. Laboratory and field studies </w:t>
      </w:r>
      <w:r>
        <w:rPr>
          <w:rFonts w:cs="Arial"/>
          <w:color w:val="000000"/>
        </w:rPr>
        <w:t xml:space="preserve">have </w:t>
      </w:r>
      <w:r w:rsidR="0002590D" w:rsidRPr="0058370B">
        <w:rPr>
          <w:rFonts w:cs="Arial"/>
          <w:color w:val="000000"/>
        </w:rPr>
        <w:t>show</w:t>
      </w:r>
      <w:r>
        <w:rPr>
          <w:rFonts w:cs="Arial"/>
          <w:color w:val="000000"/>
        </w:rPr>
        <w:t>n</w:t>
      </w:r>
      <w:r w:rsidR="0002590D" w:rsidRPr="0058370B">
        <w:rPr>
          <w:rFonts w:cs="Arial"/>
          <w:color w:val="000000"/>
        </w:rPr>
        <w:t xml:space="preserve"> that elevated concentrations of nutrients and other agrichemicals and levels of suspended sediment and turbidity can affect one or more of gametogenesis, fertilisation, planulation, egg size and embryonic development in some coral species</w:t>
      </w:r>
      <w:r w:rsidR="00142FBE">
        <w:rPr>
          <w:rFonts w:cs="Arial"/>
          <w:color w:val="000000"/>
        </w:rPr>
        <w:t xml:space="preserve"> </w:t>
      </w:r>
      <w:r w:rsidR="00142FBE">
        <w:rPr>
          <w:rFonts w:cs="Arial"/>
          <w:color w:val="000000"/>
        </w:rPr>
        <w:fldChar w:fldCharType="begin"/>
      </w:r>
      <w:r w:rsidR="00142FBE">
        <w:rPr>
          <w:rFonts w:cs="Arial"/>
          <w:color w:val="000000"/>
        </w:rPr>
        <w:instrText xml:space="preserve"> ADDIN EN.CITE &lt;EndNote&gt;&lt;Cite&gt;&lt;Author&gt;Fabricius&lt;/Author&gt;&lt;Year&gt;2005&lt;/Year&gt;&lt;RecNum&gt;753&lt;/RecNum&gt;&lt;DisplayText&gt;(Fabricius, 2005)&lt;/DisplayText&gt;&lt;record&gt;&lt;rec-number&gt;753&lt;/rec-number&gt;&lt;foreign-keys&gt;&lt;key app="EN" db-id="zapfddtwo2e9z5e5vxoxafs7sf59wfp52rvf" timestamp="1353306900"&gt;753&lt;/key&gt;&lt;/foreign-keys&gt;&lt;ref-type name="Journal Article"&gt;17&lt;/ref-type&gt;&lt;contributors&gt;&lt;authors&gt;&lt;author&gt;Fabricius, Katharina E.&lt;/author&gt;&lt;/authors&gt;&lt;/contributors&gt;&lt;titles&gt;&lt;title&gt;Effects of terrestrial runoff on the ecology of corals and coral reefs: review and synthesis&lt;/title&gt;&lt;secondary-title&gt;Marine Pollution Bulletin&lt;/secondary-title&gt;&lt;/titles&gt;&lt;periodical&gt;&lt;full-title&gt;Marine Pollution Bulletin&lt;/full-title&gt;&lt;abbr-1&gt;Mar. Pollut. Bull.&lt;/abbr-1&gt;&lt;/periodical&gt;&lt;pages&gt;125-146&lt;/pages&gt;&lt;volume&gt;50&lt;/volume&gt;&lt;number&gt;2&lt;/number&gt;&lt;keywords&gt;&lt;keyword&gt;Nutrients&lt;/keyword&gt;&lt;keyword&gt;Particulate organic matter&lt;/keyword&gt;&lt;keyword&gt;Turbidity&lt;/keyword&gt;&lt;keyword&gt;Sedimentation&lt;/keyword&gt;&lt;keyword&gt;Coral reef&lt;/keyword&gt;&lt;keyword&gt;Calcification&lt;/keyword&gt;&lt;keyword&gt;Recruitment&lt;/keyword&gt;&lt;keyword&gt;Competition&lt;/keyword&gt;&lt;/keywords&gt;&lt;dates&gt;&lt;year&gt;2005&lt;/year&gt;&lt;/dates&gt;&lt;isbn&gt;0025-326X&lt;/isbn&gt;&lt;urls&gt;&lt;related-urls&gt;&lt;url&gt;http://www.sciencedirect.com/science/article/pii/S0025326X04004497&lt;/url&gt;&lt;/related-urls&gt;&lt;/urls&gt;&lt;electronic-resource-num&gt;10.1016/j.marpolbul.2004.11.028&lt;/electronic-resource-num&gt;&lt;/record&gt;&lt;/Cite&gt;&lt;/EndNote&gt;</w:instrText>
      </w:r>
      <w:r w:rsidR="00142FBE">
        <w:rPr>
          <w:rFonts w:cs="Arial"/>
          <w:color w:val="000000"/>
        </w:rPr>
        <w:fldChar w:fldCharType="separate"/>
      </w:r>
      <w:r w:rsidR="00142FBE">
        <w:rPr>
          <w:rFonts w:cs="Arial"/>
          <w:noProof/>
          <w:color w:val="000000"/>
        </w:rPr>
        <w:t>(Fabricius, 2005)</w:t>
      </w:r>
      <w:r w:rsidR="00142FBE">
        <w:rPr>
          <w:rFonts w:cs="Arial"/>
          <w:color w:val="000000"/>
        </w:rPr>
        <w:fldChar w:fldCharType="end"/>
      </w:r>
      <w:r w:rsidR="00142FBE">
        <w:rPr>
          <w:rFonts w:cs="Arial"/>
          <w:color w:val="000000"/>
        </w:rPr>
        <w:t xml:space="preserve">. </w:t>
      </w:r>
      <w:r w:rsidR="0002590D" w:rsidRPr="0058370B">
        <w:rPr>
          <w:rFonts w:cs="Arial"/>
          <w:color w:val="000000"/>
        </w:rPr>
        <w:t xml:space="preserve"> High levels of sedimentation can affect larval settlement or net recruitment of corals. Similar levels of these factors may have sub-lethal effects on established adult colonies. Because adult corals can tolerate poorer water quality than recruits and colonies are potentially long-lived, reefs may retain high coral cover even under conditions of declining water quality, but have low resilience. Some high-cover coral communities may be relic communities formed by adult colonies that became established under more favourable conditions. Such relic communities would persist until a major disturbance</w:t>
      </w:r>
      <w:r>
        <w:rPr>
          <w:rFonts w:cs="Arial"/>
          <w:color w:val="000000"/>
        </w:rPr>
        <w:t>; however,</w:t>
      </w:r>
      <w:r w:rsidR="0002590D" w:rsidRPr="0058370B">
        <w:rPr>
          <w:rFonts w:cs="Arial"/>
          <w:color w:val="000000"/>
        </w:rPr>
        <w:t xml:space="preserve"> subsequent recovery may be slow if recruitment is reduced or non-existent. This would lead to long</w:t>
      </w:r>
      <w:r>
        <w:rPr>
          <w:rFonts w:cs="Arial"/>
          <w:color w:val="000000"/>
        </w:rPr>
        <w:t>-</w:t>
      </w:r>
      <w:r w:rsidR="0002590D" w:rsidRPr="0058370B">
        <w:rPr>
          <w:rFonts w:cs="Arial"/>
          <w:color w:val="000000"/>
        </w:rPr>
        <w:t xml:space="preserve">term degradation of reefs, </w:t>
      </w:r>
      <w:r>
        <w:rPr>
          <w:rFonts w:cs="Arial"/>
          <w:color w:val="000000"/>
        </w:rPr>
        <w:t>because</w:t>
      </w:r>
      <w:r w:rsidRPr="0058370B">
        <w:rPr>
          <w:rFonts w:cs="Arial"/>
          <w:color w:val="000000"/>
        </w:rPr>
        <w:t xml:space="preserve"> </w:t>
      </w:r>
      <w:r w:rsidR="0002590D" w:rsidRPr="0058370B">
        <w:rPr>
          <w:rFonts w:cs="Arial"/>
          <w:color w:val="000000"/>
        </w:rPr>
        <w:t>extended recovery time increases the likelihood that further disturbances will occur before recovery is complete</w:t>
      </w:r>
      <w:r w:rsidR="00142FBE">
        <w:rPr>
          <w:rFonts w:cs="Arial"/>
          <w:color w:val="000000"/>
        </w:rPr>
        <w:t xml:space="preserve"> </w:t>
      </w:r>
      <w:r w:rsidR="00142FBE">
        <w:rPr>
          <w:rFonts w:cs="Arial"/>
          <w:color w:val="000000"/>
        </w:rPr>
        <w:fldChar w:fldCharType="begin"/>
      </w:r>
      <w:r w:rsidR="00142FBE">
        <w:rPr>
          <w:rFonts w:cs="Arial"/>
          <w:color w:val="000000"/>
        </w:rPr>
        <w:instrText xml:space="preserve"> ADDIN EN.CITE &lt;EndNote&gt;&lt;Cite&gt;&lt;Author&gt;McCook&lt;/Author&gt;&lt;Year&gt;2000&lt;/Year&gt;&lt;RecNum&gt;1329&lt;/RecNum&gt;&lt;DisplayText&gt;(McCook et al., 2000)&lt;/DisplayText&gt;&lt;record&gt;&lt;rec-number&gt;1329&lt;/rec-number&gt;&lt;foreign-keys&gt;&lt;key app="EN" db-id="zapfddtwo2e9z5e5vxoxafs7sf59wfp52rvf" timestamp="1558927639"&gt;1329&lt;/key&gt;&lt;/foreign-keys&gt;&lt;ref-type name="Book Section"&gt;5&lt;/ref-type&gt;&lt;contributors&gt;&lt;authors&gt;&lt;author&gt;McCook, Laurence J&lt;/author&gt;&lt;author&gt;Wolanski, Eric&lt;/author&gt;&lt;author&gt;Spagnol, Simon&lt;/author&gt;&lt;/authors&gt;&lt;secondary-authors&gt;&lt;author&gt;Wolanski, E&lt;/author&gt;&lt;/secondary-authors&gt;&lt;/contributors&gt;&lt;titles&gt;&lt;title&gt;Modelling and visualising interactions between natural disturbances and eutrophication as causes of coral reef degradation&lt;/title&gt;&lt;secondary-title&gt;Oceanographic Processes of Coral Reefs: Physical and biological links in the Great Barrier Reef&lt;/secondary-title&gt;&lt;/titles&gt;&lt;pages&gt;133-146&lt;/pages&gt;&lt;dates&gt;&lt;year&gt;2000&lt;/year&gt;&lt;/dates&gt;&lt;publisher&gt;CRC Press&lt;/publisher&gt;&lt;urls&gt;&lt;/urls&gt;&lt;/record&gt;&lt;/Cite&gt;&lt;/EndNote&gt;</w:instrText>
      </w:r>
      <w:r w:rsidR="00142FBE">
        <w:rPr>
          <w:rFonts w:cs="Arial"/>
          <w:color w:val="000000"/>
        </w:rPr>
        <w:fldChar w:fldCharType="separate"/>
      </w:r>
      <w:r w:rsidR="00142FBE">
        <w:rPr>
          <w:rFonts w:cs="Arial"/>
          <w:noProof/>
          <w:color w:val="000000"/>
        </w:rPr>
        <w:t>(McCook et al., 2000)</w:t>
      </w:r>
      <w:r w:rsidR="00142FBE">
        <w:rPr>
          <w:rFonts w:cs="Arial"/>
          <w:color w:val="000000"/>
        </w:rPr>
        <w:fldChar w:fldCharType="end"/>
      </w:r>
      <w:r w:rsidR="0002590D" w:rsidRPr="0058370B">
        <w:rPr>
          <w:rFonts w:cs="Arial"/>
          <w:color w:val="000000"/>
        </w:rPr>
        <w:t>.</w:t>
      </w:r>
      <w:r w:rsidR="00142FBE">
        <w:rPr>
          <w:rFonts w:cs="Arial"/>
          <w:color w:val="000000"/>
        </w:rPr>
        <w:t xml:space="preserve"> </w:t>
      </w:r>
      <w:r w:rsidR="0002590D" w:rsidRPr="0058370B">
        <w:rPr>
          <w:rFonts w:cs="Arial"/>
          <w:color w:val="000000"/>
        </w:rPr>
        <w:t xml:space="preserve"> For this reason, the </w:t>
      </w:r>
      <w:r w:rsidRPr="0058370B">
        <w:rPr>
          <w:rFonts w:cs="Arial"/>
          <w:color w:val="000000"/>
        </w:rPr>
        <w:t xml:space="preserve">MMP </w:t>
      </w:r>
      <w:r w:rsidR="0002590D" w:rsidRPr="0058370B">
        <w:rPr>
          <w:rFonts w:cs="Arial"/>
          <w:color w:val="000000"/>
        </w:rPr>
        <w:t xml:space="preserve">surveys estimate cover of various coral taxa and also collect information on the abundance of juvenile colonies as evidence for the extent of ongoing recruitment. </w:t>
      </w:r>
    </w:p>
    <w:p w14:paraId="50AAFDA5" w14:textId="0D238F78" w:rsidR="0002590D" w:rsidRPr="0058370B" w:rsidRDefault="0002590D" w:rsidP="00FE2F59">
      <w:pPr>
        <w:rPr>
          <w:rFonts w:eastAsia="MS Mincho" w:cs="Arial"/>
        </w:rPr>
      </w:pPr>
      <w:r w:rsidRPr="0058370B">
        <w:rPr>
          <w:rFonts w:eastAsia="MS Mincho" w:cs="Arial"/>
        </w:rPr>
        <w:t>This component of the MMP aims to accurately quantify temporal and spatial variation in inshore coral reef community status in relation to variations in local reef water quality. A detailed report linked the consistent spatial patterns in coral community composition observed over the first three years of the project with environmental parameters</w:t>
      </w:r>
      <w:r w:rsidR="00142FBE">
        <w:rPr>
          <w:rFonts w:eastAsia="MS Mincho" w:cs="Arial"/>
        </w:rPr>
        <w:t xml:space="preserve"> </w:t>
      </w:r>
      <w:r w:rsidR="00142FBE">
        <w:rPr>
          <w:rFonts w:eastAsia="MS Mincho" w:cs="Arial"/>
        </w:rPr>
        <w:fldChar w:fldCharType="begin"/>
      </w:r>
      <w:r w:rsidR="00142FBE">
        <w:rPr>
          <w:rFonts w:eastAsia="MS Mincho" w:cs="Arial"/>
        </w:rPr>
        <w:instrText xml:space="preserve"> ADDIN EN.CITE &lt;EndNote&gt;&lt;Cite&gt;&lt;Author&gt;Thompson&lt;/Author&gt;&lt;Year&gt;2010&lt;/Year&gt;&lt;RecNum&gt;1330&lt;/RecNum&gt;&lt;DisplayText&gt;(A. Thompson et al., 2010)&lt;/DisplayText&gt;&lt;record&gt;&lt;rec-number&gt;1330&lt;/rec-number&gt;&lt;foreign-keys&gt;&lt;key app="EN" db-id="zapfddtwo2e9z5e5vxoxafs7sf59wfp52rvf" timestamp="1558927884"&gt;1330&lt;/key&gt;&lt;/foreign-keys&gt;&lt;ref-type name="Report"&gt;27&lt;/ref-type&gt;&lt;contributors&gt;&lt;authors&gt;&lt;author&gt;Thompson, A&lt;/author&gt;&lt;author&gt;Schaffelke, B&lt;/author&gt;&lt;author&gt;De’ath, G&lt;/author&gt;&lt;author&gt;Cripps, E&lt;/author&gt;&lt;author&gt;Sweatman, H&lt;/author&gt;&lt;/authors&gt;&lt;/contributors&gt;&lt;titles&gt;&lt;title&gt;Water Quality and Ecosystem Monitoring Programme - Reef Water Quality Protection Plan: Synthesis and spatial analysis of inshore monitoring data 2005-08&lt;/title&gt;&lt;/titles&gt;&lt;pages&gt;78&lt;/pages&gt;&lt;dates&gt;&lt;year&gt;2010&lt;/year&gt;&lt;/dates&gt;&lt;pub-location&gt;Australian Institute of Marine Science, Townsville&lt;/pub-location&gt;&lt;urls&gt;&lt;related-urls&gt;&lt;url&gt;http://www.gbrmpa.gov.au/__data/assets/pdf_file/0011/7688/Reef_Plan_MMP_2008_Stats_report_Jan2010.pdf&lt;/url&gt;&lt;/related-urls&gt;&lt;/urls&gt;&lt;access-date&gt;27/05/2019&lt;/access-date&gt;&lt;/record&gt;&lt;/Cite&gt;&lt;/EndNote&gt;</w:instrText>
      </w:r>
      <w:r w:rsidR="00142FBE">
        <w:rPr>
          <w:rFonts w:eastAsia="MS Mincho" w:cs="Arial"/>
        </w:rPr>
        <w:fldChar w:fldCharType="separate"/>
      </w:r>
      <w:r w:rsidR="00142FBE">
        <w:rPr>
          <w:rFonts w:eastAsia="MS Mincho" w:cs="Arial"/>
          <w:noProof/>
        </w:rPr>
        <w:t>(A. Thompson et al., 2010)</w:t>
      </w:r>
      <w:r w:rsidR="00142FBE">
        <w:rPr>
          <w:rFonts w:eastAsia="MS Mincho" w:cs="Arial"/>
        </w:rPr>
        <w:fldChar w:fldCharType="end"/>
      </w:r>
      <w:r w:rsidRPr="0058370B">
        <w:rPr>
          <w:rFonts w:eastAsia="MS Mincho" w:cs="Arial"/>
        </w:rPr>
        <w:t xml:space="preserve">. As the temporal span of this project </w:t>
      </w:r>
      <w:r w:rsidR="00E3237A">
        <w:rPr>
          <w:rFonts w:eastAsia="MS Mincho" w:cs="Arial"/>
        </w:rPr>
        <w:t xml:space="preserve">has </w:t>
      </w:r>
      <w:r w:rsidR="00E3237A" w:rsidRPr="0058370B">
        <w:rPr>
          <w:rFonts w:eastAsia="MS Mincho" w:cs="Arial"/>
        </w:rPr>
        <w:t>extend</w:t>
      </w:r>
      <w:r w:rsidR="00E3237A">
        <w:rPr>
          <w:rFonts w:eastAsia="MS Mincho" w:cs="Arial"/>
        </w:rPr>
        <w:t>ed</w:t>
      </w:r>
      <w:r w:rsidRPr="0058370B">
        <w:rPr>
          <w:rFonts w:eastAsia="MS Mincho" w:cs="Arial"/>
        </w:rPr>
        <w:t>, there has been a natural shift in the focus toward understanding and documenting the differences in community dynamics (status) across the spatial extent of the sampling rather than reiterating spatial differences in composition.</w:t>
      </w:r>
    </w:p>
    <w:p w14:paraId="4AD17849" w14:textId="7C89D765" w:rsidR="0002590D" w:rsidRPr="0058370B" w:rsidRDefault="00E3237A" w:rsidP="00FE2F59">
      <w:pPr>
        <w:rPr>
          <w:rFonts w:eastAsia="MS Mincho" w:cs="Arial"/>
        </w:rPr>
      </w:pPr>
      <w:r>
        <w:rPr>
          <w:rFonts w:eastAsia="MS Mincho" w:cs="Arial"/>
        </w:rPr>
        <w:t>To</w:t>
      </w:r>
      <w:r w:rsidR="0002590D" w:rsidRPr="0058370B">
        <w:rPr>
          <w:rFonts w:eastAsia="MS Mincho" w:cs="Arial"/>
        </w:rPr>
        <w:t xml:space="preserve"> quantify inshore coral reef community status in relation to variations in local reef water quality, this </w:t>
      </w:r>
      <w:r w:rsidR="00C210EF">
        <w:rPr>
          <w:rFonts w:eastAsia="MS Mincho" w:cs="Arial"/>
        </w:rPr>
        <w:t xml:space="preserve">section of the </w:t>
      </w:r>
      <w:r w:rsidR="0002590D" w:rsidRPr="0058370B">
        <w:rPr>
          <w:rFonts w:eastAsia="MS Mincho" w:cs="Arial"/>
        </w:rPr>
        <w:t>project has several key objectives:</w:t>
      </w:r>
    </w:p>
    <w:p w14:paraId="61005E16" w14:textId="1449550B" w:rsidR="00CD3E87" w:rsidRPr="000551FA" w:rsidRDefault="00CD3E87" w:rsidP="006C7E99">
      <w:pPr>
        <w:pStyle w:val="ListParagraph"/>
        <w:numPr>
          <w:ilvl w:val="0"/>
          <w:numId w:val="42"/>
        </w:numPr>
        <w:ind w:left="714" w:hanging="357"/>
        <w:rPr>
          <w:rFonts w:cs="Arial"/>
          <w:iCs/>
        </w:rPr>
      </w:pPr>
      <w:r w:rsidRPr="000551FA">
        <w:rPr>
          <w:rFonts w:cs="Arial"/>
          <w:iCs/>
        </w:rPr>
        <w:t xml:space="preserve">Identify </w:t>
      </w:r>
      <w:r w:rsidR="00E3237A">
        <w:rPr>
          <w:rFonts w:cs="Arial"/>
          <w:iCs/>
        </w:rPr>
        <w:t xml:space="preserve">the </w:t>
      </w:r>
      <w:r w:rsidRPr="000551FA">
        <w:rPr>
          <w:rFonts w:cs="Arial"/>
          <w:iCs/>
        </w:rPr>
        <w:t>trends in the condition and composition of benthic communities for Great Barrier Reef inshore coral reefs against desired outcomes along identified or expe</w:t>
      </w:r>
      <w:r w:rsidR="006832C0">
        <w:rPr>
          <w:rFonts w:cs="Arial"/>
          <w:iCs/>
        </w:rPr>
        <w:t>cted gradients in water quality</w:t>
      </w:r>
      <w:r w:rsidR="00E3237A">
        <w:rPr>
          <w:rFonts w:cs="Arial"/>
          <w:iCs/>
        </w:rPr>
        <w:t>.</w:t>
      </w:r>
    </w:p>
    <w:p w14:paraId="66265C77" w14:textId="4F1935CD" w:rsidR="00CD3E87" w:rsidRPr="000551FA" w:rsidRDefault="00CD3E87" w:rsidP="006C7E99">
      <w:pPr>
        <w:pStyle w:val="ListParagraph"/>
        <w:numPr>
          <w:ilvl w:val="0"/>
          <w:numId w:val="42"/>
        </w:numPr>
        <w:ind w:left="714" w:hanging="357"/>
        <w:rPr>
          <w:rFonts w:cs="Arial"/>
          <w:iCs/>
        </w:rPr>
      </w:pPr>
      <w:r w:rsidRPr="000551FA">
        <w:rPr>
          <w:rFonts w:cs="Arial"/>
          <w:iCs/>
        </w:rPr>
        <w:t>Assess the extent, frequency and intensity of acute and chronic impacts on the condition</w:t>
      </w:r>
      <w:r w:rsidR="00E3237A">
        <w:rPr>
          <w:rFonts w:cs="Arial"/>
          <w:iCs/>
        </w:rPr>
        <w:t xml:space="preserve"> of</w:t>
      </w:r>
      <w:r w:rsidRPr="000551FA">
        <w:rPr>
          <w:rFonts w:cs="Arial"/>
          <w:iCs/>
        </w:rPr>
        <w:t xml:space="preserve"> inshore coral reefs associated with sediments and n</w:t>
      </w:r>
      <w:r w:rsidR="0006725A">
        <w:rPr>
          <w:rFonts w:cs="Arial"/>
          <w:iCs/>
        </w:rPr>
        <w:t>utrients transported by run</w:t>
      </w:r>
      <w:r w:rsidR="00BC49A8">
        <w:rPr>
          <w:rFonts w:cs="Arial"/>
          <w:iCs/>
        </w:rPr>
        <w:t>-</w:t>
      </w:r>
      <w:r w:rsidR="0006725A">
        <w:rPr>
          <w:rFonts w:cs="Arial"/>
          <w:iCs/>
        </w:rPr>
        <w:t>off</w:t>
      </w:r>
      <w:r w:rsidR="00E3237A">
        <w:rPr>
          <w:rFonts w:cs="Arial"/>
          <w:iCs/>
        </w:rPr>
        <w:t>.</w:t>
      </w:r>
    </w:p>
    <w:p w14:paraId="68B61F57" w14:textId="1531D9E9" w:rsidR="00CD3E87" w:rsidRPr="000551FA" w:rsidRDefault="00CD3E87" w:rsidP="006C7E99">
      <w:pPr>
        <w:pStyle w:val="ListParagraph"/>
        <w:numPr>
          <w:ilvl w:val="0"/>
          <w:numId w:val="42"/>
        </w:numPr>
        <w:ind w:left="714" w:hanging="357"/>
        <w:rPr>
          <w:rFonts w:cs="Arial"/>
          <w:iCs/>
        </w:rPr>
      </w:pPr>
      <w:r w:rsidRPr="000551FA">
        <w:rPr>
          <w:rFonts w:cs="Arial"/>
          <w:iCs/>
        </w:rPr>
        <w:t xml:space="preserve">Identify </w:t>
      </w:r>
      <w:r w:rsidR="00E3237A">
        <w:rPr>
          <w:rFonts w:cs="Arial"/>
          <w:iCs/>
        </w:rPr>
        <w:t xml:space="preserve">the </w:t>
      </w:r>
      <w:r w:rsidRPr="000551FA">
        <w:rPr>
          <w:rFonts w:cs="Arial"/>
          <w:iCs/>
        </w:rPr>
        <w:t>trajectories of recovery for inshore coral reef communities following impacts resulting from exposure to flood plumes (and associated sediments and nutrients), cyclones and thermal bleaching events</w:t>
      </w:r>
      <w:r w:rsidR="00E3237A">
        <w:rPr>
          <w:rFonts w:cs="Arial"/>
          <w:iCs/>
        </w:rPr>
        <w:t>.</w:t>
      </w:r>
    </w:p>
    <w:p w14:paraId="2DDD2BD7" w14:textId="27CC4D4D" w:rsidR="00CC5A54" w:rsidRDefault="00CD3E87" w:rsidP="006C7E99">
      <w:pPr>
        <w:pStyle w:val="ListParagraph"/>
        <w:numPr>
          <w:ilvl w:val="0"/>
          <w:numId w:val="42"/>
        </w:numPr>
        <w:ind w:left="714" w:hanging="357"/>
        <w:rPr>
          <w:rFonts w:cs="Arial"/>
        </w:rPr>
      </w:pPr>
      <w:r w:rsidRPr="00CC5A54">
        <w:rPr>
          <w:rFonts w:cs="Arial"/>
        </w:rPr>
        <w:t xml:space="preserve">Identify </w:t>
      </w:r>
      <w:r w:rsidR="00E3237A">
        <w:rPr>
          <w:rFonts w:cs="Arial"/>
        </w:rPr>
        <w:t xml:space="preserve">the </w:t>
      </w:r>
      <w:r w:rsidRPr="00CC5A54">
        <w:rPr>
          <w:rFonts w:cs="Arial"/>
        </w:rPr>
        <w:t xml:space="preserve">key drivers of coral mortality and </w:t>
      </w:r>
      <w:r w:rsidR="00E3237A">
        <w:rPr>
          <w:rFonts w:cs="Arial"/>
        </w:rPr>
        <w:t xml:space="preserve">the </w:t>
      </w:r>
      <w:r w:rsidRPr="00CC5A54">
        <w:rPr>
          <w:rFonts w:cs="Arial"/>
        </w:rPr>
        <w:t>trends in coral reef resilience indicators on inshore reefs</w:t>
      </w:r>
      <w:r w:rsidR="00E3237A">
        <w:rPr>
          <w:rFonts w:cs="Arial"/>
        </w:rPr>
        <w:t>.</w:t>
      </w:r>
    </w:p>
    <w:p w14:paraId="18E7ABC7" w14:textId="63BE3B8B" w:rsidR="00CC5A54" w:rsidRDefault="00CD3E87" w:rsidP="006C7E99">
      <w:pPr>
        <w:pStyle w:val="ListParagraph"/>
        <w:numPr>
          <w:ilvl w:val="0"/>
          <w:numId w:val="42"/>
        </w:numPr>
        <w:ind w:left="714" w:hanging="357"/>
        <w:rPr>
          <w:rFonts w:cs="Arial"/>
        </w:rPr>
      </w:pPr>
      <w:r w:rsidRPr="00CC5A54">
        <w:rPr>
          <w:rFonts w:cs="Arial"/>
        </w:rPr>
        <w:t>Provide information about sea temperature as a potential driver of environmen</w:t>
      </w:r>
      <w:r w:rsidR="006832C0" w:rsidRPr="00CC5A54">
        <w:rPr>
          <w:rFonts w:cs="Arial"/>
        </w:rPr>
        <w:t>tal conditions at inshore reefs</w:t>
      </w:r>
      <w:r w:rsidR="00E3237A">
        <w:rPr>
          <w:rFonts w:cs="Arial"/>
        </w:rPr>
        <w:t>.</w:t>
      </w:r>
    </w:p>
    <w:p w14:paraId="0AB5AE83" w14:textId="13FF22A8" w:rsidR="00CC5A54" w:rsidRDefault="00CD3E87" w:rsidP="006C7E99">
      <w:pPr>
        <w:pStyle w:val="ListParagraph"/>
        <w:numPr>
          <w:ilvl w:val="0"/>
          <w:numId w:val="42"/>
        </w:numPr>
        <w:ind w:left="714" w:hanging="357"/>
        <w:rPr>
          <w:rFonts w:cs="Arial"/>
        </w:rPr>
      </w:pPr>
      <w:r w:rsidRPr="00CC5A54">
        <w:rPr>
          <w:rFonts w:cs="Arial"/>
        </w:rPr>
        <w:t>Provide an integrated assessment of coral community condition for the inshore reefs monitored to serve as a report card against which chan</w:t>
      </w:r>
      <w:r w:rsidR="006832C0" w:rsidRPr="00CC5A54">
        <w:rPr>
          <w:rFonts w:cs="Arial"/>
        </w:rPr>
        <w:t>ges in condition can be tracked</w:t>
      </w:r>
      <w:r w:rsidR="00E3237A">
        <w:rPr>
          <w:rFonts w:cs="Arial"/>
        </w:rPr>
        <w:t>.</w:t>
      </w:r>
    </w:p>
    <w:p w14:paraId="76F49A6C" w14:textId="63D9ED10" w:rsidR="00CD3E87" w:rsidRPr="00CC5A54" w:rsidRDefault="00CD3E87" w:rsidP="006C7E99">
      <w:pPr>
        <w:pStyle w:val="ListParagraph"/>
        <w:numPr>
          <w:ilvl w:val="0"/>
          <w:numId w:val="42"/>
        </w:numPr>
        <w:ind w:left="714" w:hanging="357"/>
        <w:rPr>
          <w:rFonts w:cs="Arial"/>
        </w:rPr>
      </w:pPr>
      <w:r w:rsidRPr="00CC5A54">
        <w:rPr>
          <w:rFonts w:cs="Arial"/>
        </w:rPr>
        <w:t>Maintain a local database of all sample data and associated metadata and data summaries, with relevant excerpts provided for storage in the Spatial and Scientific Information Manag</w:t>
      </w:r>
      <w:r w:rsidR="006832C0" w:rsidRPr="00CC5A54">
        <w:rPr>
          <w:rFonts w:cs="Arial"/>
        </w:rPr>
        <w:t>ement for Reef database.</w:t>
      </w:r>
    </w:p>
    <w:p w14:paraId="20D52257" w14:textId="77777777" w:rsidR="0002590D" w:rsidRPr="0058370B" w:rsidRDefault="0002590D" w:rsidP="00FE2F59">
      <w:pPr>
        <w:pStyle w:val="Heading2"/>
        <w:ind w:left="0" w:firstLine="0"/>
        <w:rPr>
          <w:rFonts w:cs="Arial"/>
          <w:sz w:val="22"/>
          <w:szCs w:val="22"/>
        </w:rPr>
      </w:pPr>
      <w:bookmarkStart w:id="305" w:name="_Toc261013297"/>
      <w:bookmarkStart w:id="306" w:name="_Toc294781715"/>
      <w:bookmarkStart w:id="307" w:name="_Toc393785053"/>
      <w:bookmarkStart w:id="308" w:name="_Toc394061158"/>
      <w:bookmarkStart w:id="309" w:name="_Toc394061248"/>
      <w:bookmarkStart w:id="310" w:name="_Toc423036769"/>
      <w:bookmarkStart w:id="311" w:name="_Toc520727851"/>
      <w:bookmarkStart w:id="312" w:name="_Toc12365596"/>
      <w:r w:rsidRPr="0058370B">
        <w:rPr>
          <w:rFonts w:cs="Arial"/>
          <w:sz w:val="22"/>
          <w:szCs w:val="22"/>
        </w:rPr>
        <w:t>Methods</w:t>
      </w:r>
      <w:bookmarkEnd w:id="305"/>
      <w:bookmarkEnd w:id="306"/>
      <w:bookmarkEnd w:id="307"/>
      <w:bookmarkEnd w:id="308"/>
      <w:bookmarkEnd w:id="309"/>
      <w:bookmarkEnd w:id="310"/>
      <w:bookmarkEnd w:id="311"/>
      <w:bookmarkEnd w:id="312"/>
    </w:p>
    <w:p w14:paraId="2B9315E2" w14:textId="77777777" w:rsidR="0002590D" w:rsidRPr="0058370B" w:rsidRDefault="0002590D">
      <w:pPr>
        <w:pStyle w:val="Heading3"/>
      </w:pPr>
      <w:bookmarkStart w:id="313" w:name="_Toc261013298"/>
      <w:bookmarkStart w:id="314" w:name="_Toc294781716"/>
      <w:bookmarkStart w:id="315" w:name="_Toc393785054"/>
      <w:bookmarkStart w:id="316" w:name="_Toc394061159"/>
      <w:bookmarkStart w:id="317" w:name="_Toc394061249"/>
      <w:bookmarkStart w:id="318" w:name="_Toc423036770"/>
      <w:bookmarkStart w:id="319" w:name="_Toc520727852"/>
      <w:bookmarkStart w:id="320" w:name="_Toc12365597"/>
      <w:r w:rsidRPr="0058370B">
        <w:t>Sampling design</w:t>
      </w:r>
      <w:bookmarkEnd w:id="313"/>
      <w:bookmarkEnd w:id="314"/>
      <w:bookmarkEnd w:id="315"/>
      <w:bookmarkEnd w:id="316"/>
      <w:bookmarkEnd w:id="317"/>
      <w:bookmarkEnd w:id="318"/>
      <w:bookmarkEnd w:id="319"/>
      <w:bookmarkEnd w:id="320"/>
    </w:p>
    <w:p w14:paraId="44BB545F" w14:textId="3A686E02" w:rsidR="0002590D" w:rsidRPr="0058370B" w:rsidRDefault="0002590D" w:rsidP="00FE2F59">
      <w:pPr>
        <w:rPr>
          <w:rFonts w:cs="Arial"/>
          <w:color w:val="000000"/>
        </w:rPr>
      </w:pPr>
      <w:r w:rsidRPr="0058370B">
        <w:rPr>
          <w:rFonts w:cs="Arial"/>
        </w:rPr>
        <w:t xml:space="preserve">The sampling design </w:t>
      </w:r>
      <w:r w:rsidRPr="0058370B">
        <w:rPr>
          <w:rFonts w:cs="Arial"/>
          <w:color w:val="000000"/>
        </w:rPr>
        <w:t xml:space="preserve">was </w:t>
      </w:r>
      <w:r w:rsidRPr="0058370B">
        <w:rPr>
          <w:rFonts w:cs="Arial"/>
        </w:rPr>
        <w:t xml:space="preserve">selected for the detection of change in benthic communities on inshore reefs </w:t>
      </w:r>
      <w:r w:rsidRPr="0058370B">
        <w:rPr>
          <w:rFonts w:cs="Arial"/>
          <w:color w:val="000000"/>
        </w:rPr>
        <w:t>in</w:t>
      </w:r>
      <w:r w:rsidRPr="0058370B">
        <w:rPr>
          <w:rFonts w:cs="Arial"/>
        </w:rPr>
        <w:t xml:space="preserve"> response to improvements in water quality parameters </w:t>
      </w:r>
      <w:r w:rsidR="00C210EF">
        <w:rPr>
          <w:rFonts w:cs="Arial"/>
        </w:rPr>
        <w:t>relevant</w:t>
      </w:r>
      <w:r w:rsidRPr="0058370B">
        <w:rPr>
          <w:rFonts w:cs="Arial"/>
        </w:rPr>
        <w:t xml:space="preserve"> to specific catchments</w:t>
      </w:r>
      <w:r w:rsidRPr="0058370B">
        <w:rPr>
          <w:rFonts w:cs="Arial"/>
          <w:color w:val="000000"/>
        </w:rPr>
        <w:t>,</w:t>
      </w:r>
      <w:r w:rsidRPr="0058370B">
        <w:rPr>
          <w:rFonts w:cs="Arial"/>
        </w:rPr>
        <w:t xml:space="preserve"> or groups of catchments (Region</w:t>
      </w:r>
      <w:r w:rsidRPr="0058370B">
        <w:rPr>
          <w:rFonts w:cs="Arial"/>
          <w:color w:val="000000"/>
        </w:rPr>
        <w:t xml:space="preserve">), and to disturbance events. </w:t>
      </w:r>
      <w:r w:rsidRPr="0058370B">
        <w:rPr>
          <w:rFonts w:cs="Arial"/>
        </w:rPr>
        <w:t xml:space="preserve">Within each Region, reefs are selected </w:t>
      </w:r>
      <w:r w:rsidRPr="0058370B">
        <w:rPr>
          <w:rFonts w:cs="Arial"/>
          <w:color w:val="000000"/>
        </w:rPr>
        <w:t>along</w:t>
      </w:r>
      <w:r w:rsidRPr="0058370B">
        <w:rPr>
          <w:rFonts w:cs="Arial"/>
        </w:rPr>
        <w:t xml:space="preserve"> a gradient </w:t>
      </w:r>
      <w:r w:rsidR="002359B2">
        <w:rPr>
          <w:rFonts w:cs="Arial"/>
        </w:rPr>
        <w:t>of</w:t>
      </w:r>
      <w:r w:rsidR="002359B2" w:rsidRPr="0058370B">
        <w:rPr>
          <w:rFonts w:cs="Arial"/>
        </w:rPr>
        <w:t xml:space="preserve"> </w:t>
      </w:r>
      <w:r w:rsidRPr="0058370B">
        <w:rPr>
          <w:rFonts w:cs="Arial"/>
        </w:rPr>
        <w:t xml:space="preserve">exposure to </w:t>
      </w:r>
      <w:r w:rsidRPr="0058370B">
        <w:rPr>
          <w:rFonts w:cs="Arial"/>
          <w:color w:val="000000"/>
        </w:rPr>
        <w:t>run-off</w:t>
      </w:r>
      <w:r w:rsidRPr="0058370B">
        <w:rPr>
          <w:rFonts w:cs="Arial"/>
        </w:rPr>
        <w:t xml:space="preserve">, largely determined as increasing distance from </w:t>
      </w:r>
      <w:r w:rsidRPr="0058370B">
        <w:rPr>
          <w:rFonts w:cs="Arial"/>
          <w:color w:val="000000"/>
        </w:rPr>
        <w:t xml:space="preserve">a </w:t>
      </w:r>
      <w:r w:rsidRPr="0058370B">
        <w:rPr>
          <w:rFonts w:cs="Arial"/>
        </w:rPr>
        <w:t>river mouth in a northerly direction</w:t>
      </w:r>
      <w:r w:rsidRPr="0058370B">
        <w:rPr>
          <w:rFonts w:cs="Arial"/>
          <w:color w:val="000000"/>
        </w:rPr>
        <w:t>.</w:t>
      </w:r>
      <w:r w:rsidRPr="0058370B">
        <w:rPr>
          <w:rFonts w:cs="Arial"/>
        </w:rPr>
        <w:t xml:space="preserve"> To account for spatial heterogeneity of benthic communities within reefs, two sites were selected </w:t>
      </w:r>
      <w:r w:rsidRPr="0058370B">
        <w:rPr>
          <w:rFonts w:cs="Arial"/>
          <w:color w:val="000000"/>
        </w:rPr>
        <w:t>at each reef (</w:t>
      </w:r>
      <w:r w:rsidR="009850D4" w:rsidRPr="00095A05">
        <w:rPr>
          <w:rFonts w:cs="Arial"/>
          <w:color w:val="000000"/>
          <w:highlight w:val="yellow"/>
        </w:rPr>
        <w:fldChar w:fldCharType="begin"/>
      </w:r>
      <w:r w:rsidR="009850D4" w:rsidRPr="00095A05">
        <w:rPr>
          <w:rFonts w:cs="Arial"/>
          <w:color w:val="000000"/>
        </w:rPr>
        <w:instrText xml:space="preserve"> REF _Ref433715039 \h </w:instrText>
      </w:r>
      <w:r w:rsidR="00095A05" w:rsidRPr="00095A05">
        <w:rPr>
          <w:rFonts w:cs="Arial"/>
          <w:color w:val="000000"/>
          <w:highlight w:val="yellow"/>
        </w:rPr>
        <w:instrText xml:space="preserve"> \* MERGEFORMAT </w:instrText>
      </w:r>
      <w:r w:rsidR="009850D4" w:rsidRPr="00095A05">
        <w:rPr>
          <w:rFonts w:cs="Arial"/>
          <w:color w:val="000000"/>
          <w:highlight w:val="yellow"/>
        </w:rPr>
      </w:r>
      <w:r w:rsidR="009850D4" w:rsidRPr="00095A05">
        <w:rPr>
          <w:rFonts w:cs="Arial"/>
          <w:color w:val="000000"/>
          <w:highlight w:val="yellow"/>
        </w:rPr>
        <w:fldChar w:fldCharType="separate"/>
      </w:r>
      <w:r w:rsidR="00D528AA" w:rsidRPr="00EF05BA">
        <w:t xml:space="preserve">Figure </w:t>
      </w:r>
      <w:r w:rsidR="00D528AA">
        <w:rPr>
          <w:noProof/>
        </w:rPr>
        <w:t>5</w:t>
      </w:r>
      <w:r w:rsidR="00D528AA">
        <w:rPr>
          <w:noProof/>
        </w:rPr>
        <w:noBreakHyphen/>
        <w:t>1</w:t>
      </w:r>
      <w:r w:rsidR="009850D4" w:rsidRPr="00095A05">
        <w:rPr>
          <w:rFonts w:cs="Arial"/>
          <w:color w:val="000000"/>
          <w:highlight w:val="yellow"/>
        </w:rPr>
        <w:fldChar w:fldCharType="end"/>
      </w:r>
      <w:r w:rsidRPr="00095A05">
        <w:rPr>
          <w:rFonts w:cs="Arial"/>
          <w:color w:val="000000"/>
        </w:rPr>
        <w:t>).</w:t>
      </w:r>
      <w:r w:rsidRPr="0058370B">
        <w:rPr>
          <w:rFonts w:cs="Arial"/>
          <w:color w:val="000000"/>
        </w:rPr>
        <w:t xml:space="preserve"> </w:t>
      </w:r>
    </w:p>
    <w:p w14:paraId="61A08F1C" w14:textId="54651247" w:rsidR="00780C6B" w:rsidRPr="0058370B" w:rsidRDefault="00780C6B" w:rsidP="00FE2F59">
      <w:pPr>
        <w:rPr>
          <w:rFonts w:cs="Arial"/>
        </w:rPr>
      </w:pPr>
      <w:r w:rsidRPr="0058370B">
        <w:rPr>
          <w:rFonts w:cs="Arial"/>
        </w:rPr>
        <w:t xml:space="preserve">Observations on a number of </w:t>
      </w:r>
      <w:r w:rsidRPr="0058370B">
        <w:rPr>
          <w:rFonts w:cs="Arial"/>
          <w:color w:val="000000"/>
        </w:rPr>
        <w:t>inshore</w:t>
      </w:r>
      <w:r w:rsidRPr="0058370B">
        <w:rPr>
          <w:rFonts w:cs="Arial"/>
        </w:rPr>
        <w:t xml:space="preserve"> reefs undertaken by AIMS in 2004 </w:t>
      </w:r>
      <w:r w:rsidRPr="0058370B">
        <w:rPr>
          <w:rFonts w:cs="Arial"/>
          <w:color w:val="000000"/>
        </w:rPr>
        <w:t>during the pilot study to the current monitoring program</w:t>
      </w:r>
      <w:r w:rsidR="003D3303">
        <w:rPr>
          <w:rFonts w:cs="Arial"/>
          <w:color w:val="000000"/>
        </w:rPr>
        <w:t xml:space="preserve"> </w:t>
      </w:r>
      <w:r w:rsidR="002A2CCC">
        <w:rPr>
          <w:rFonts w:cs="Arial"/>
          <w:color w:val="000000"/>
        </w:rPr>
        <w:fldChar w:fldCharType="begin"/>
      </w:r>
      <w:r w:rsidR="002A2CCC">
        <w:rPr>
          <w:rFonts w:cs="Arial"/>
          <w:color w:val="000000"/>
        </w:rPr>
        <w:instrText xml:space="preserve"> ADDIN EN.CITE &lt;EndNote&gt;&lt;Cite&gt;&lt;Author&gt;Sweatman&lt;/Author&gt;&lt;Year&gt;2007&lt;/Year&gt;&lt;RecNum&gt;1331&lt;/RecNum&gt;&lt;DisplayText&gt;(Sweatman et al., 2007)&lt;/DisplayText&gt;&lt;record&gt;&lt;rec-number&gt;1331&lt;/rec-number&gt;&lt;foreign-keys&gt;&lt;key app="EN" db-id="zapfddtwo2e9z5e5vxoxafs7sf59wfp52rvf" timestamp="1558928893"&gt;1331&lt;/key&gt;&lt;/foreign-keys&gt;&lt;ref-type name="Report"&gt;27&lt;/ref-type&gt;&lt;contributors&gt;&lt;authors&gt;&lt;author&gt;Sweatman, H.&lt;/author&gt;&lt;author&gt;Thompson, A.&lt;/author&gt;&lt;author&gt;Delean, S.&lt;/author&gt;&lt;author&gt;Davidson, J.&lt;/author&gt;&lt;author&gt;Neale, S.&lt;/author&gt;&lt;/authors&gt;&lt;/contributors&gt;&lt;titles&gt;&lt;title&gt;Status of Near-Shore Reefs of the Great Barrier Reef 2004&lt;/title&gt;&lt;secondary-title&gt;Marine and Tropical Sciences Research Facility Research Report Series&lt;/secondary-title&gt;&lt;/titles&gt;&lt;pages&gt;169&lt;/pages&gt;&lt;dates&gt;&lt;year&gt;2007&lt;/year&gt;&lt;/dates&gt;&lt;pub-location&gt;Reef and Rainforest Research Centre Limited, Cairns&lt;/pub-location&gt;&lt;urls&gt;&lt;related-urls&gt;&lt;url&gt;http://rrrc.org.au/wp-content/uploads/2014/06/Final-Status-of-Near-Shore-Reefs-120707.pdf&lt;/url&gt;&lt;/related-urls&gt;&lt;/urls&gt;&lt;access-date&gt;27/05/2019&lt;/access-date&gt;&lt;/record&gt;&lt;/Cite&gt;&lt;/EndNote&gt;</w:instrText>
      </w:r>
      <w:r w:rsidR="002A2CCC">
        <w:rPr>
          <w:rFonts w:cs="Arial"/>
          <w:color w:val="000000"/>
        </w:rPr>
        <w:fldChar w:fldCharType="separate"/>
      </w:r>
      <w:r w:rsidR="002A2CCC">
        <w:rPr>
          <w:rFonts w:cs="Arial"/>
          <w:noProof/>
          <w:color w:val="000000"/>
        </w:rPr>
        <w:t>(Sweatman et al., 2007)</w:t>
      </w:r>
      <w:r w:rsidR="002A2CCC">
        <w:rPr>
          <w:rFonts w:cs="Arial"/>
          <w:color w:val="000000"/>
        </w:rPr>
        <w:fldChar w:fldCharType="end"/>
      </w:r>
      <w:r w:rsidRPr="0058370B">
        <w:rPr>
          <w:rFonts w:cs="Arial"/>
          <w:color w:val="000000"/>
        </w:rPr>
        <w:t xml:space="preserve"> </w:t>
      </w:r>
      <w:r w:rsidRPr="0058370B">
        <w:rPr>
          <w:rFonts w:cs="Arial"/>
        </w:rPr>
        <w:t>highlighted marked differences in community structure and exposure to perturbations with depth</w:t>
      </w:r>
      <w:r w:rsidRPr="0058370B">
        <w:rPr>
          <w:rFonts w:cs="Arial"/>
          <w:color w:val="000000"/>
        </w:rPr>
        <w:t>; hence</w:t>
      </w:r>
      <w:r w:rsidRPr="0058370B">
        <w:rPr>
          <w:rFonts w:cs="Arial"/>
        </w:rPr>
        <w:t xml:space="preserve"> sampling within sites is stratified by depth</w:t>
      </w:r>
      <w:r w:rsidRPr="0058370B">
        <w:rPr>
          <w:rFonts w:cs="Arial"/>
          <w:color w:val="000000"/>
        </w:rPr>
        <w:t>.</w:t>
      </w:r>
      <w:r w:rsidRPr="0058370B">
        <w:rPr>
          <w:rFonts w:cs="Arial"/>
        </w:rPr>
        <w:t xml:space="preserve"> Within each site and depth</w:t>
      </w:r>
      <w:r w:rsidRPr="0058370B">
        <w:rPr>
          <w:rFonts w:cs="Arial"/>
          <w:color w:val="000000"/>
        </w:rPr>
        <w:t>,</w:t>
      </w:r>
      <w:r w:rsidRPr="0058370B">
        <w:rPr>
          <w:rFonts w:cs="Arial"/>
        </w:rPr>
        <w:t xml:space="preserve"> fine scale spatial variability is accounted for by the use of five replicate transects</w:t>
      </w:r>
      <w:r w:rsidRPr="0058370B">
        <w:rPr>
          <w:rFonts w:cs="Arial"/>
          <w:color w:val="000000"/>
        </w:rPr>
        <w:t>.</w:t>
      </w:r>
      <w:r w:rsidRPr="0058370B">
        <w:rPr>
          <w:rFonts w:cs="Arial"/>
        </w:rPr>
        <w:t xml:space="preserve"> </w:t>
      </w:r>
    </w:p>
    <w:p w14:paraId="679F13C4" w14:textId="77777777" w:rsidR="0002590D" w:rsidRPr="0058370B" w:rsidRDefault="0002590D" w:rsidP="00FE2F59">
      <w:pPr>
        <w:rPr>
          <w:rFonts w:cs="Arial"/>
        </w:rPr>
      </w:pPr>
    </w:p>
    <w:p w14:paraId="5CC623F0" w14:textId="77777777" w:rsidR="00C210EF" w:rsidRPr="00C210EF" w:rsidRDefault="00C210EF" w:rsidP="00FE2F59">
      <w:pPr>
        <w:keepNext/>
        <w:jc w:val="center"/>
      </w:pPr>
    </w:p>
    <w:p w14:paraId="385D90F2" w14:textId="77777777" w:rsidR="00C210EF" w:rsidRPr="00C210EF" w:rsidRDefault="00C210EF" w:rsidP="00FE2F59">
      <w:pPr>
        <w:keepNext/>
        <w:jc w:val="center"/>
      </w:pPr>
      <w:r w:rsidRPr="00C210EF">
        <w:rPr>
          <w:noProof/>
          <w:lang w:eastAsia="en-AU"/>
        </w:rPr>
        <w:drawing>
          <wp:inline distT="0" distB="0" distL="0" distR="0" wp14:anchorId="798EC082" wp14:editId="6ED07AC8">
            <wp:extent cx="2286000" cy="2446556"/>
            <wp:effectExtent l="0" t="0" r="0" b="0"/>
            <wp:docPr id="8" name="Picture 8" descr="Nested sampling design for coral reef benthic community monitoring - by site at a transect, site, reef, region, and by depth, and by time. " title="Fig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7" cstate="print">
                      <a:extLst>
                        <a:ext uri="{28A0092B-C50C-407E-A947-70E740481C1C}">
                          <a14:useLocalDpi xmlns:a14="http://schemas.microsoft.com/office/drawing/2010/main" val="0"/>
                        </a:ext>
                      </a:extLst>
                    </a:blip>
                    <a:stretch>
                      <a:fillRect/>
                    </a:stretch>
                  </pic:blipFill>
                  <pic:spPr bwMode="auto">
                    <a:xfrm>
                      <a:off x="0" y="0"/>
                      <a:ext cx="2294033" cy="2455153"/>
                    </a:xfrm>
                    <a:prstGeom prst="rect">
                      <a:avLst/>
                    </a:prstGeom>
                    <a:noFill/>
                    <a:ln>
                      <a:noFill/>
                    </a:ln>
                  </pic:spPr>
                </pic:pic>
              </a:graphicData>
            </a:graphic>
          </wp:inline>
        </w:drawing>
      </w:r>
    </w:p>
    <w:p w14:paraId="788E56D2" w14:textId="51E24080" w:rsidR="0002590D" w:rsidRPr="00EF05BA" w:rsidRDefault="001C1BFA" w:rsidP="007E5A3A">
      <w:pPr>
        <w:pStyle w:val="Caption"/>
      </w:pPr>
      <w:bookmarkStart w:id="321" w:name="_Ref433715039"/>
      <w:bookmarkStart w:id="322" w:name="_Toc12361629"/>
      <w:r w:rsidRPr="00EF05BA">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5</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1</w:t>
      </w:r>
      <w:r w:rsidR="006940F4">
        <w:rPr>
          <w:noProof/>
        </w:rPr>
        <w:fldChar w:fldCharType="end"/>
      </w:r>
      <w:bookmarkEnd w:id="321"/>
      <w:r w:rsidRPr="00EF05BA">
        <w:t xml:space="preserve"> </w:t>
      </w:r>
      <w:r w:rsidRPr="009B6881">
        <w:t>Sampling design for coral reef benthic community monitoring. Terms within brackets are nested within the term appearing</w:t>
      </w:r>
      <w:bookmarkEnd w:id="322"/>
    </w:p>
    <w:p w14:paraId="07A5BE5D" w14:textId="77777777" w:rsidR="0002590D" w:rsidRPr="0058370B" w:rsidRDefault="0002590D">
      <w:pPr>
        <w:pStyle w:val="Heading3"/>
      </w:pPr>
      <w:bookmarkStart w:id="323" w:name="_Toc261013299"/>
      <w:bookmarkStart w:id="324" w:name="_Toc294781717"/>
      <w:bookmarkStart w:id="325" w:name="_Toc393785055"/>
      <w:bookmarkStart w:id="326" w:name="_Toc394061160"/>
      <w:bookmarkStart w:id="327" w:name="_Toc394061250"/>
      <w:bookmarkStart w:id="328" w:name="_Toc423036771"/>
      <w:bookmarkStart w:id="329" w:name="_Toc520727853"/>
      <w:bookmarkStart w:id="330" w:name="_Toc12365598"/>
      <w:r w:rsidRPr="0058370B">
        <w:t>Site selection</w:t>
      </w:r>
      <w:bookmarkEnd w:id="323"/>
      <w:bookmarkEnd w:id="324"/>
      <w:bookmarkEnd w:id="325"/>
      <w:bookmarkEnd w:id="326"/>
      <w:bookmarkEnd w:id="327"/>
      <w:bookmarkEnd w:id="328"/>
      <w:bookmarkEnd w:id="329"/>
      <w:bookmarkEnd w:id="330"/>
    </w:p>
    <w:p w14:paraId="7C84A3DD" w14:textId="77777777" w:rsidR="0002590D" w:rsidRPr="0058370B" w:rsidRDefault="0002590D" w:rsidP="00FE2F59">
      <w:pPr>
        <w:rPr>
          <w:rFonts w:cs="Arial"/>
        </w:rPr>
      </w:pPr>
      <w:r w:rsidRPr="0058370B">
        <w:rPr>
          <w:rFonts w:cs="Arial"/>
        </w:rPr>
        <w:t xml:space="preserve">The reefs monitored were selected by the </w:t>
      </w:r>
      <w:r w:rsidR="00C55519">
        <w:rPr>
          <w:rFonts w:cs="Arial"/>
        </w:rPr>
        <w:t>Authority</w:t>
      </w:r>
      <w:r w:rsidRPr="0058370B">
        <w:rPr>
          <w:rFonts w:cs="Arial"/>
        </w:rPr>
        <w:t>, using advice from expert working groups. The selection of reefs was based upon two primary considerations:</w:t>
      </w:r>
    </w:p>
    <w:p w14:paraId="078F4A54" w14:textId="673255D5" w:rsidR="0002590D" w:rsidRPr="006832C0" w:rsidRDefault="00E70587" w:rsidP="006C7E99">
      <w:pPr>
        <w:pStyle w:val="ListParagraph"/>
        <w:numPr>
          <w:ilvl w:val="0"/>
          <w:numId w:val="43"/>
        </w:numPr>
        <w:rPr>
          <w:rFonts w:cs="Arial"/>
        </w:rPr>
      </w:pPr>
      <w:r>
        <w:rPr>
          <w:rFonts w:cs="Arial"/>
        </w:rPr>
        <w:t>T</w:t>
      </w:r>
      <w:r w:rsidR="003474FC" w:rsidRPr="006832C0">
        <w:rPr>
          <w:rFonts w:cs="Arial"/>
        </w:rPr>
        <w:t>o</w:t>
      </w:r>
      <w:r w:rsidR="000709E8">
        <w:rPr>
          <w:rFonts w:cs="Arial"/>
        </w:rPr>
        <w:t xml:space="preserve"> make sure that</w:t>
      </w:r>
      <w:r w:rsidR="0002590D" w:rsidRPr="006832C0">
        <w:rPr>
          <w:rFonts w:cs="Arial"/>
        </w:rPr>
        <w:t xml:space="preserve"> </w:t>
      </w:r>
      <w:r>
        <w:rPr>
          <w:rFonts w:cs="Arial"/>
        </w:rPr>
        <w:t xml:space="preserve">the </w:t>
      </w:r>
      <w:r w:rsidR="0002590D" w:rsidRPr="006832C0">
        <w:rPr>
          <w:rFonts w:cs="Arial"/>
        </w:rPr>
        <w:t>sampling locations in each catchment of interest were spread along a perceived gradient of influence from river output</w:t>
      </w:r>
      <w:r>
        <w:rPr>
          <w:rFonts w:cs="Arial"/>
        </w:rPr>
        <w:t>.</w:t>
      </w:r>
    </w:p>
    <w:p w14:paraId="1F232181" w14:textId="7ACE7F30" w:rsidR="0002590D" w:rsidRPr="006832C0" w:rsidRDefault="00E70587" w:rsidP="006C7E99">
      <w:pPr>
        <w:pStyle w:val="ListParagraph"/>
        <w:numPr>
          <w:ilvl w:val="0"/>
          <w:numId w:val="43"/>
        </w:numPr>
        <w:rPr>
          <w:rFonts w:cs="Arial"/>
        </w:rPr>
      </w:pPr>
      <w:r>
        <w:rPr>
          <w:rFonts w:cs="Arial"/>
        </w:rPr>
        <w:t>E</w:t>
      </w:r>
      <w:r w:rsidR="0002590D" w:rsidRPr="006832C0">
        <w:rPr>
          <w:rFonts w:cs="Arial"/>
        </w:rPr>
        <w:t>vidence (in the form of carbonate-based substrate) that coral reef communities had been viable (net positive accretion of a carbonate substrate) in the past.</w:t>
      </w:r>
    </w:p>
    <w:p w14:paraId="21C9130E" w14:textId="05E84316" w:rsidR="0002590D" w:rsidRPr="0058370B" w:rsidRDefault="0002590D" w:rsidP="00FE2F59">
      <w:pPr>
        <w:rPr>
          <w:rFonts w:cs="Arial"/>
        </w:rPr>
      </w:pPr>
      <w:r w:rsidRPr="0058370B">
        <w:rPr>
          <w:rFonts w:cs="Arial"/>
        </w:rPr>
        <w:t xml:space="preserve">Where well-developed reefs existed on more than one aspect of an island, two reefs </w:t>
      </w:r>
      <w:r w:rsidR="002359B2">
        <w:rPr>
          <w:rFonts w:cs="Arial"/>
        </w:rPr>
        <w:t>were</w:t>
      </w:r>
      <w:r w:rsidR="002359B2" w:rsidRPr="0058370B">
        <w:rPr>
          <w:rFonts w:cs="Arial"/>
        </w:rPr>
        <w:t xml:space="preserve"> </w:t>
      </w:r>
      <w:r w:rsidRPr="0058370B">
        <w:rPr>
          <w:rFonts w:cs="Arial"/>
        </w:rPr>
        <w:t xml:space="preserve">included in the design </w:t>
      </w:r>
      <w:r w:rsidR="002359B2">
        <w:rPr>
          <w:rFonts w:cs="Arial"/>
        </w:rPr>
        <w:t xml:space="preserve">because, </w:t>
      </w:r>
      <w:r w:rsidRPr="0058370B">
        <w:rPr>
          <w:rFonts w:cs="Arial"/>
        </w:rPr>
        <w:t>although position relative to run</w:t>
      </w:r>
      <w:r w:rsidR="00BC49A8">
        <w:rPr>
          <w:rFonts w:cs="Arial"/>
        </w:rPr>
        <w:t>-</w:t>
      </w:r>
      <w:r w:rsidRPr="0058370B">
        <w:rPr>
          <w:rFonts w:cs="Arial"/>
        </w:rPr>
        <w:t xml:space="preserve">off exposure </w:t>
      </w:r>
      <w:r w:rsidR="002359B2">
        <w:rPr>
          <w:rFonts w:cs="Arial"/>
        </w:rPr>
        <w:t>would be</w:t>
      </w:r>
      <w:r w:rsidR="002359B2" w:rsidRPr="0058370B">
        <w:rPr>
          <w:rFonts w:cs="Arial"/>
        </w:rPr>
        <w:t xml:space="preserve"> </w:t>
      </w:r>
      <w:r w:rsidRPr="0058370B">
        <w:rPr>
          <w:rFonts w:cs="Arial"/>
        </w:rPr>
        <w:t xml:space="preserve">similar, often quite different communities exist on windward compared to leeward reefs. </w:t>
      </w:r>
    </w:p>
    <w:p w14:paraId="39ECB49D" w14:textId="3B33CE31" w:rsidR="0002590D" w:rsidRDefault="0002590D" w:rsidP="00FE2F59">
      <w:pPr>
        <w:rPr>
          <w:rFonts w:cs="Arial"/>
        </w:rPr>
      </w:pPr>
      <w:r w:rsidRPr="0058370B">
        <w:rPr>
          <w:rFonts w:cs="Arial"/>
        </w:rPr>
        <w:t>Over time</w:t>
      </w:r>
      <w:r w:rsidR="002359B2">
        <w:rPr>
          <w:rFonts w:cs="Arial"/>
        </w:rPr>
        <w:t>,</w:t>
      </w:r>
      <w:r w:rsidRPr="0058370B">
        <w:rPr>
          <w:rFonts w:cs="Arial"/>
        </w:rPr>
        <w:t xml:space="preserve"> there have been some adjustments </w:t>
      </w:r>
      <w:r w:rsidR="002359B2">
        <w:rPr>
          <w:rFonts w:cs="Arial"/>
        </w:rPr>
        <w:t xml:space="preserve">made </w:t>
      </w:r>
      <w:r w:rsidRPr="0058370B">
        <w:rPr>
          <w:rFonts w:cs="Arial"/>
        </w:rPr>
        <w:t xml:space="preserve">to the sampling </w:t>
      </w:r>
      <w:r w:rsidRPr="00095A05">
        <w:rPr>
          <w:rFonts w:cs="Arial"/>
        </w:rPr>
        <w:t>design (</w:t>
      </w:r>
      <w:r w:rsidR="00103CD6" w:rsidRPr="00095A05">
        <w:rPr>
          <w:rFonts w:cs="Arial"/>
          <w:highlight w:val="yellow"/>
        </w:rPr>
        <w:fldChar w:fldCharType="begin"/>
      </w:r>
      <w:r w:rsidR="00103CD6" w:rsidRPr="00095A05">
        <w:rPr>
          <w:rFonts w:cs="Arial"/>
        </w:rPr>
        <w:instrText xml:space="preserve"> REF _Ref433715120 \h </w:instrText>
      </w:r>
      <w:r w:rsidR="00095A05" w:rsidRPr="00095A05">
        <w:rPr>
          <w:rFonts w:cs="Arial"/>
          <w:highlight w:val="yellow"/>
        </w:rPr>
        <w:instrText xml:space="preserve"> \* MERGEFORMAT </w:instrText>
      </w:r>
      <w:r w:rsidR="00103CD6" w:rsidRPr="00095A05">
        <w:rPr>
          <w:rFonts w:cs="Arial"/>
          <w:highlight w:val="yellow"/>
        </w:rPr>
      </w:r>
      <w:r w:rsidR="00103CD6" w:rsidRPr="00095A05">
        <w:rPr>
          <w:rFonts w:cs="Arial"/>
          <w:highlight w:val="yellow"/>
        </w:rPr>
        <w:fldChar w:fldCharType="separate"/>
      </w:r>
      <w:r w:rsidR="00D528AA" w:rsidRPr="00EF05BA">
        <w:t xml:space="preserve">Table </w:t>
      </w:r>
      <w:r w:rsidR="00D528AA">
        <w:rPr>
          <w:noProof/>
        </w:rPr>
        <w:t>5.1</w:t>
      </w:r>
      <w:r w:rsidR="00103CD6" w:rsidRPr="00095A05">
        <w:rPr>
          <w:rFonts w:cs="Arial"/>
          <w:highlight w:val="yellow"/>
        </w:rPr>
        <w:fldChar w:fldCharType="end"/>
      </w:r>
      <w:r w:rsidRPr="00095A05">
        <w:rPr>
          <w:rFonts w:cs="Arial"/>
        </w:rPr>
        <w:t>). For the first two years of the project (2005 and 2006)</w:t>
      </w:r>
      <w:r w:rsidR="002359B2">
        <w:rPr>
          <w:rFonts w:cs="Arial"/>
        </w:rPr>
        <w:t>,</w:t>
      </w:r>
      <w:r w:rsidRPr="00095A05">
        <w:rPr>
          <w:rFonts w:cs="Arial"/>
        </w:rPr>
        <w:t xml:space="preserve"> 35 reefs were surveyed each year. In 2007 to 201</w:t>
      </w:r>
      <w:r w:rsidR="000E27E3">
        <w:rPr>
          <w:rFonts w:cs="Arial"/>
        </w:rPr>
        <w:t>4</w:t>
      </w:r>
      <w:r w:rsidRPr="00095A05">
        <w:rPr>
          <w:rFonts w:cs="Arial"/>
        </w:rPr>
        <w:t xml:space="preserve"> the fringing reefs along the Cape Tribulation coast were no longer surveyed due to concerns over crocodile attack. In addition</w:t>
      </w:r>
      <w:r w:rsidR="00693C45">
        <w:rPr>
          <w:rFonts w:cs="Arial"/>
        </w:rPr>
        <w:t>,</w:t>
      </w:r>
      <w:r w:rsidRPr="00095A05">
        <w:rPr>
          <w:rFonts w:cs="Arial"/>
        </w:rPr>
        <w:t xml:space="preserve"> the sampling frequency changed so that only a subset of “core” reefs were surveyed every year with the remaining “cycle” reefs surveyed every other year (</w:t>
      </w:r>
      <w:r w:rsidR="00103CD6" w:rsidRPr="00095A05">
        <w:rPr>
          <w:rFonts w:cs="Arial"/>
          <w:highlight w:val="yellow"/>
        </w:rPr>
        <w:fldChar w:fldCharType="begin"/>
      </w:r>
      <w:r w:rsidR="00103CD6" w:rsidRPr="00095A05">
        <w:rPr>
          <w:rFonts w:cs="Arial"/>
        </w:rPr>
        <w:instrText xml:space="preserve"> REF _Ref433715120 \h </w:instrText>
      </w:r>
      <w:r w:rsidR="00095A05" w:rsidRPr="00095A05">
        <w:rPr>
          <w:rFonts w:cs="Arial"/>
          <w:highlight w:val="yellow"/>
        </w:rPr>
        <w:instrText xml:space="preserve"> \* MERGEFORMAT </w:instrText>
      </w:r>
      <w:r w:rsidR="00103CD6" w:rsidRPr="00095A05">
        <w:rPr>
          <w:rFonts w:cs="Arial"/>
          <w:highlight w:val="yellow"/>
        </w:rPr>
      </w:r>
      <w:r w:rsidR="00103CD6" w:rsidRPr="00095A05">
        <w:rPr>
          <w:rFonts w:cs="Arial"/>
          <w:highlight w:val="yellow"/>
        </w:rPr>
        <w:fldChar w:fldCharType="separate"/>
      </w:r>
      <w:r w:rsidR="00D528AA" w:rsidRPr="00EF05BA">
        <w:t xml:space="preserve">Table </w:t>
      </w:r>
      <w:r w:rsidR="00D528AA">
        <w:rPr>
          <w:noProof/>
        </w:rPr>
        <w:t>5.1</w:t>
      </w:r>
      <w:r w:rsidR="00103CD6" w:rsidRPr="00095A05">
        <w:rPr>
          <w:rFonts w:cs="Arial"/>
          <w:highlight w:val="yellow"/>
        </w:rPr>
        <w:fldChar w:fldCharType="end"/>
      </w:r>
      <w:r w:rsidRPr="00095A05">
        <w:rPr>
          <w:rFonts w:cs="Arial"/>
        </w:rPr>
        <w:t xml:space="preserve">). </w:t>
      </w:r>
      <w:r w:rsidR="00015EF7" w:rsidRPr="00095A05">
        <w:rPr>
          <w:rFonts w:cs="Arial"/>
        </w:rPr>
        <w:t>From 2015</w:t>
      </w:r>
      <w:r w:rsidR="002359B2">
        <w:rPr>
          <w:rFonts w:cs="Arial"/>
        </w:rPr>
        <w:t>,</w:t>
      </w:r>
      <w:r w:rsidR="00015EF7" w:rsidRPr="00095A05">
        <w:rPr>
          <w:rFonts w:cs="Arial"/>
        </w:rPr>
        <w:t xml:space="preserve"> the sampling changed again with King Reef replaced by Bedarra Island in the Tully Catchment and all reefs now surveyed biannually. In addition to these adjustments, as of 2015 data from inshore reef sites surveyed under the Long Term Monitoring Program (LTMP) are now included in the analysis and reporting of inshore coral reef condition</w:t>
      </w:r>
      <w:r w:rsidR="00015EF7" w:rsidRPr="00095A05" w:rsidDel="00015EF7">
        <w:rPr>
          <w:rFonts w:cs="Arial"/>
        </w:rPr>
        <w:t xml:space="preserve"> </w:t>
      </w:r>
      <w:r w:rsidRPr="00095A05">
        <w:rPr>
          <w:rFonts w:cs="Arial"/>
        </w:rPr>
        <w:t>(</w:t>
      </w:r>
      <w:r w:rsidR="00103CD6" w:rsidRPr="00095A05">
        <w:rPr>
          <w:rFonts w:cs="Arial"/>
          <w:highlight w:val="yellow"/>
        </w:rPr>
        <w:fldChar w:fldCharType="begin"/>
      </w:r>
      <w:r w:rsidR="00103CD6" w:rsidRPr="00095A05">
        <w:rPr>
          <w:rFonts w:cs="Arial"/>
        </w:rPr>
        <w:instrText xml:space="preserve"> REF _Ref433715120 \h </w:instrText>
      </w:r>
      <w:r w:rsidR="00095A05" w:rsidRPr="00095A05">
        <w:rPr>
          <w:rFonts w:cs="Arial"/>
          <w:highlight w:val="yellow"/>
        </w:rPr>
        <w:instrText xml:space="preserve"> \* MERGEFORMAT </w:instrText>
      </w:r>
      <w:r w:rsidR="00103CD6" w:rsidRPr="00095A05">
        <w:rPr>
          <w:rFonts w:cs="Arial"/>
          <w:highlight w:val="yellow"/>
        </w:rPr>
      </w:r>
      <w:r w:rsidR="00103CD6" w:rsidRPr="00095A05">
        <w:rPr>
          <w:rFonts w:cs="Arial"/>
          <w:highlight w:val="yellow"/>
        </w:rPr>
        <w:fldChar w:fldCharType="separate"/>
      </w:r>
      <w:r w:rsidR="00D528AA" w:rsidRPr="00EF05BA">
        <w:t xml:space="preserve">Table </w:t>
      </w:r>
      <w:r w:rsidR="00D528AA">
        <w:rPr>
          <w:noProof/>
        </w:rPr>
        <w:t>5.1</w:t>
      </w:r>
      <w:r w:rsidR="00103CD6" w:rsidRPr="00095A05">
        <w:rPr>
          <w:rFonts w:cs="Arial"/>
          <w:highlight w:val="yellow"/>
        </w:rPr>
        <w:fldChar w:fldCharType="end"/>
      </w:r>
      <w:r w:rsidRPr="00095A05">
        <w:rPr>
          <w:rFonts w:cs="Arial"/>
        </w:rPr>
        <w:t xml:space="preserve">). A </w:t>
      </w:r>
      <w:r w:rsidR="00103CD6" w:rsidRPr="00095A05">
        <w:rPr>
          <w:rFonts w:cs="Arial"/>
        </w:rPr>
        <w:t>m</w:t>
      </w:r>
      <w:r w:rsidRPr="00095A05">
        <w:rPr>
          <w:rFonts w:cs="Arial"/>
        </w:rPr>
        <w:t xml:space="preserve">ap of sites included from 2015 is presented </w:t>
      </w:r>
      <w:r w:rsidR="00E70587">
        <w:rPr>
          <w:rFonts w:cs="Arial"/>
        </w:rPr>
        <w:t>in</w:t>
      </w:r>
      <w:r w:rsidR="00E70587" w:rsidRPr="00095A05">
        <w:rPr>
          <w:rFonts w:cs="Arial"/>
        </w:rPr>
        <w:t xml:space="preserve"> </w:t>
      </w:r>
      <w:r w:rsidR="00103CD6" w:rsidRPr="00095A05">
        <w:rPr>
          <w:rFonts w:cs="Arial"/>
          <w:highlight w:val="yellow"/>
        </w:rPr>
        <w:fldChar w:fldCharType="begin"/>
      </w:r>
      <w:r w:rsidR="00103CD6" w:rsidRPr="00095A05">
        <w:rPr>
          <w:rFonts w:cs="Arial"/>
        </w:rPr>
        <w:instrText xml:space="preserve"> REF _Ref433715383 \h </w:instrText>
      </w:r>
      <w:r w:rsidR="00095A05" w:rsidRPr="00095A05">
        <w:rPr>
          <w:rFonts w:cs="Arial"/>
          <w:highlight w:val="yellow"/>
        </w:rPr>
        <w:instrText xml:space="preserve"> \* MERGEFORMAT </w:instrText>
      </w:r>
      <w:r w:rsidR="00103CD6" w:rsidRPr="00095A05">
        <w:rPr>
          <w:rFonts w:cs="Arial"/>
          <w:highlight w:val="yellow"/>
        </w:rPr>
      </w:r>
      <w:r w:rsidR="00103CD6" w:rsidRPr="00095A05">
        <w:rPr>
          <w:rFonts w:cs="Arial"/>
          <w:highlight w:val="yellow"/>
        </w:rPr>
        <w:fldChar w:fldCharType="separate"/>
      </w:r>
      <w:r w:rsidR="00D528AA" w:rsidRPr="00F529DD">
        <w:t xml:space="preserve">Figure </w:t>
      </w:r>
      <w:r w:rsidR="00D528AA">
        <w:rPr>
          <w:noProof/>
        </w:rPr>
        <w:t>5</w:t>
      </w:r>
      <w:r w:rsidR="00D528AA">
        <w:rPr>
          <w:noProof/>
        </w:rPr>
        <w:noBreakHyphen/>
        <w:t>2</w:t>
      </w:r>
      <w:r w:rsidR="00103CD6" w:rsidRPr="00095A05">
        <w:rPr>
          <w:rFonts w:cs="Arial"/>
          <w:highlight w:val="yellow"/>
        </w:rPr>
        <w:fldChar w:fldCharType="end"/>
      </w:r>
      <w:r w:rsidR="00103CD6" w:rsidRPr="00095A05">
        <w:rPr>
          <w:rFonts w:cs="Arial"/>
        </w:rPr>
        <w:t>.</w:t>
      </w:r>
    </w:p>
    <w:p w14:paraId="4F033893" w14:textId="77777777" w:rsidR="00361E6D" w:rsidRPr="0058370B" w:rsidRDefault="00361E6D" w:rsidP="00FE2F59">
      <w:pPr>
        <w:rPr>
          <w:rFonts w:cs="Arial"/>
        </w:rPr>
      </w:pPr>
    </w:p>
    <w:p w14:paraId="79A20A02" w14:textId="77777777" w:rsidR="001C1BFA" w:rsidRDefault="00862086" w:rsidP="00FE2F59">
      <w:pPr>
        <w:keepNext/>
      </w:pPr>
      <w:r w:rsidRPr="00A64BC2">
        <w:rPr>
          <w:noProof/>
          <w:lang w:eastAsia="en-AU"/>
        </w:rPr>
        <w:drawing>
          <wp:inline distT="0" distB="0" distL="0" distR="0" wp14:anchorId="59632659" wp14:editId="4BC31B65">
            <wp:extent cx="5206365" cy="6318885"/>
            <wp:effectExtent l="0" t="0" r="0" b="5715"/>
            <wp:docPr id="250" name="Picture 250" descr="Coral community sampling locations as at 2015. Map shows location of the six NRM regions with coral sites monitored in odd and even years and sites surveyed under the AIMS Long Term Monitoring Program." title="Coral community sampling locations as at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 24reefs for Angus plus LTMP [Converted].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206365" cy="6318885"/>
                    </a:xfrm>
                    <a:prstGeom prst="rect">
                      <a:avLst/>
                    </a:prstGeom>
                  </pic:spPr>
                </pic:pic>
              </a:graphicData>
            </a:graphic>
          </wp:inline>
        </w:drawing>
      </w:r>
    </w:p>
    <w:p w14:paraId="5866E2A4" w14:textId="6DEEF0A1" w:rsidR="0002590D" w:rsidRPr="0058370B" w:rsidRDefault="001C1BFA" w:rsidP="007E5A3A">
      <w:pPr>
        <w:pStyle w:val="Caption"/>
        <w:rPr>
          <w:rFonts w:eastAsia="Times New Roman"/>
          <w:lang w:val="en-GB"/>
        </w:rPr>
      </w:pPr>
      <w:bookmarkStart w:id="331" w:name="_Ref433715383"/>
      <w:bookmarkStart w:id="332" w:name="_Toc12361630"/>
      <w:r w:rsidRPr="00F529DD">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5</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2</w:t>
      </w:r>
      <w:r w:rsidR="006940F4">
        <w:rPr>
          <w:noProof/>
        </w:rPr>
        <w:fldChar w:fldCharType="end"/>
      </w:r>
      <w:bookmarkEnd w:id="331"/>
      <w:r w:rsidRPr="00F529DD">
        <w:t xml:space="preserve"> </w:t>
      </w:r>
      <w:r w:rsidR="00862086" w:rsidRPr="009B6881">
        <w:t>Coral community sampling locations as at 2015</w:t>
      </w:r>
      <w:bookmarkStart w:id="333" w:name="_Toc167177625"/>
      <w:bookmarkStart w:id="334" w:name="_Toc204651852"/>
      <w:bookmarkStart w:id="335" w:name="_Toc246150069"/>
      <w:bookmarkEnd w:id="332"/>
      <w:r w:rsidR="0002590D" w:rsidRPr="0058370B">
        <w:br w:type="page"/>
      </w:r>
    </w:p>
    <w:p w14:paraId="0184E58C" w14:textId="69F34AD7" w:rsidR="0065581C" w:rsidRPr="00EF05BA" w:rsidRDefault="0065581C" w:rsidP="007E5A3A">
      <w:pPr>
        <w:pStyle w:val="Caption"/>
      </w:pPr>
      <w:bookmarkStart w:id="336" w:name="_Ref433715120"/>
      <w:bookmarkStart w:id="337" w:name="_Toc10398449"/>
      <w:bookmarkEnd w:id="333"/>
      <w:bookmarkEnd w:id="334"/>
      <w:bookmarkEnd w:id="335"/>
      <w:r w:rsidRPr="00EF05BA">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5</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1</w:t>
      </w:r>
      <w:r w:rsidR="006940F4">
        <w:rPr>
          <w:noProof/>
        </w:rPr>
        <w:fldChar w:fldCharType="end"/>
      </w:r>
      <w:bookmarkEnd w:id="336"/>
      <w:r w:rsidRPr="00EF05BA">
        <w:t xml:space="preserve"> </w:t>
      </w:r>
      <w:r w:rsidRPr="009B6881">
        <w:t>Sites selected for inshore reef monitoring</w:t>
      </w:r>
      <w:bookmarkEnd w:id="337"/>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left w:w="0" w:type="dxa"/>
          <w:right w:w="0" w:type="dxa"/>
        </w:tblCellMar>
        <w:tblLook w:val="0000" w:firstRow="0" w:lastRow="0" w:firstColumn="0" w:lastColumn="0" w:noHBand="0" w:noVBand="0"/>
        <w:tblCaption w:val="Table 5.1"/>
        <w:tblDescription w:val="Sites selected for inshore reef monitoring.&#10;&#10;For sites sampled in 2005-2014 those  in bold were core reefs surveyed every year, those in regular font were cycle reefs surveyed every other year, those in italic where not surveyed post 2006, and all reefs were surveyed in 2005 and 2006. From 2015 the sampling frequency reduced to once every two years for all reefs with those in bold sampled in odd numbered years and those in regular font in even numbered years. Sites in italic for 2015 on are surveyed biannually under the Long Term Monitoring Program (LTMP).&#10;"/>
      </w:tblPr>
      <w:tblGrid>
        <w:gridCol w:w="1271"/>
        <w:gridCol w:w="1418"/>
        <w:gridCol w:w="2551"/>
        <w:gridCol w:w="2537"/>
        <w:gridCol w:w="1239"/>
      </w:tblGrid>
      <w:tr w:rsidR="000E27E3" w:rsidRPr="00361E6D" w14:paraId="202945D7" w14:textId="77777777" w:rsidTr="00FE09C6">
        <w:trPr>
          <w:trHeight w:val="383"/>
          <w:tblHeader/>
        </w:trPr>
        <w:tc>
          <w:tcPr>
            <w:tcW w:w="1271" w:type="dxa"/>
            <w:shd w:val="clear" w:color="auto" w:fill="D9D9D9"/>
            <w:tcMar>
              <w:top w:w="57" w:type="dxa"/>
              <w:left w:w="57" w:type="dxa"/>
              <w:bottom w:w="57" w:type="dxa"/>
              <w:right w:w="57" w:type="dxa"/>
            </w:tcMar>
            <w:vAlign w:val="center"/>
          </w:tcPr>
          <w:p w14:paraId="5E29026F" w14:textId="77777777" w:rsidR="000E27E3" w:rsidRPr="00361E6D" w:rsidRDefault="000E27E3" w:rsidP="00361E6D">
            <w:pPr>
              <w:pStyle w:val="TableContents"/>
              <w:spacing w:before="0" w:after="0" w:line="240" w:lineRule="auto"/>
              <w:contextualSpacing/>
              <w:jc w:val="center"/>
              <w:rPr>
                <w:rFonts w:ascii="Arial" w:eastAsia="Arial Unicode MS" w:hAnsi="Arial" w:cs="Arial"/>
                <w:b/>
                <w:sz w:val="20"/>
              </w:rPr>
            </w:pPr>
            <w:r w:rsidRPr="00361E6D">
              <w:rPr>
                <w:rFonts w:ascii="Arial" w:hAnsi="Arial" w:cs="Arial"/>
                <w:b/>
                <w:sz w:val="20"/>
              </w:rPr>
              <w:t>NRM Region</w:t>
            </w:r>
          </w:p>
        </w:tc>
        <w:tc>
          <w:tcPr>
            <w:tcW w:w="1418" w:type="dxa"/>
            <w:shd w:val="clear" w:color="auto" w:fill="D9D9D9"/>
            <w:tcMar>
              <w:top w:w="57" w:type="dxa"/>
              <w:left w:w="57" w:type="dxa"/>
              <w:bottom w:w="57" w:type="dxa"/>
              <w:right w:w="57" w:type="dxa"/>
            </w:tcMar>
            <w:vAlign w:val="center"/>
          </w:tcPr>
          <w:p w14:paraId="664F528F" w14:textId="77777777" w:rsidR="000E27E3" w:rsidRPr="00361E6D" w:rsidRDefault="000E27E3" w:rsidP="00361E6D">
            <w:pPr>
              <w:pStyle w:val="TableContents"/>
              <w:spacing w:before="0" w:after="0" w:line="240" w:lineRule="auto"/>
              <w:contextualSpacing/>
              <w:jc w:val="center"/>
              <w:rPr>
                <w:rFonts w:ascii="Arial" w:eastAsia="Arial Unicode MS" w:hAnsi="Arial" w:cs="Arial"/>
                <w:b/>
                <w:sz w:val="20"/>
              </w:rPr>
            </w:pPr>
            <w:r w:rsidRPr="00361E6D">
              <w:rPr>
                <w:rFonts w:ascii="Arial" w:hAnsi="Arial" w:cs="Arial"/>
                <w:b/>
                <w:sz w:val="20"/>
              </w:rPr>
              <w:t>Catchment</w:t>
            </w:r>
          </w:p>
        </w:tc>
        <w:tc>
          <w:tcPr>
            <w:tcW w:w="2551" w:type="dxa"/>
            <w:shd w:val="clear" w:color="auto" w:fill="D9D9D9"/>
            <w:tcMar>
              <w:top w:w="57" w:type="dxa"/>
              <w:left w:w="57" w:type="dxa"/>
              <w:bottom w:w="57" w:type="dxa"/>
              <w:right w:w="57" w:type="dxa"/>
            </w:tcMar>
            <w:vAlign w:val="center"/>
          </w:tcPr>
          <w:p w14:paraId="0C1F29EB" w14:textId="77777777" w:rsidR="000E27E3" w:rsidRPr="00361E6D" w:rsidRDefault="000E27E3" w:rsidP="00361E6D">
            <w:pPr>
              <w:pStyle w:val="TableContents"/>
              <w:spacing w:before="0" w:after="0" w:line="240" w:lineRule="auto"/>
              <w:contextualSpacing/>
              <w:jc w:val="center"/>
              <w:rPr>
                <w:rFonts w:ascii="Arial" w:eastAsia="Arial Unicode MS" w:hAnsi="Arial" w:cs="Arial"/>
                <w:b/>
                <w:sz w:val="20"/>
              </w:rPr>
            </w:pPr>
            <w:r w:rsidRPr="00361E6D">
              <w:rPr>
                <w:rFonts w:ascii="Arial" w:hAnsi="Arial" w:cs="Arial"/>
                <w:b/>
                <w:sz w:val="20"/>
              </w:rPr>
              <w:t>2005–2014</w:t>
            </w:r>
          </w:p>
        </w:tc>
        <w:tc>
          <w:tcPr>
            <w:tcW w:w="2537" w:type="dxa"/>
            <w:shd w:val="clear" w:color="auto" w:fill="D9D9D9"/>
            <w:vAlign w:val="center"/>
          </w:tcPr>
          <w:p w14:paraId="2297DA6A" w14:textId="77777777" w:rsidR="000E27E3" w:rsidRPr="00361E6D" w:rsidRDefault="000E27E3" w:rsidP="00361E6D">
            <w:pPr>
              <w:pStyle w:val="TableContents"/>
              <w:spacing w:before="0" w:after="0" w:line="240" w:lineRule="auto"/>
              <w:contextualSpacing/>
              <w:jc w:val="center"/>
              <w:rPr>
                <w:rFonts w:ascii="Arial" w:hAnsi="Arial" w:cs="Arial"/>
                <w:b/>
                <w:sz w:val="20"/>
              </w:rPr>
            </w:pPr>
            <w:r w:rsidRPr="00361E6D">
              <w:rPr>
                <w:rFonts w:ascii="Arial" w:hAnsi="Arial" w:cs="Arial"/>
                <w:b/>
                <w:sz w:val="20"/>
              </w:rPr>
              <w:t>2015 to present</w:t>
            </w:r>
          </w:p>
        </w:tc>
        <w:tc>
          <w:tcPr>
            <w:tcW w:w="0" w:type="auto"/>
            <w:shd w:val="clear" w:color="auto" w:fill="D9D9D9"/>
            <w:tcMar>
              <w:top w:w="57" w:type="dxa"/>
              <w:left w:w="57" w:type="dxa"/>
              <w:bottom w:w="57" w:type="dxa"/>
              <w:right w:w="57" w:type="dxa"/>
            </w:tcMar>
            <w:vAlign w:val="center"/>
          </w:tcPr>
          <w:p w14:paraId="36A2D745" w14:textId="77777777" w:rsidR="000E27E3" w:rsidRPr="00361E6D" w:rsidRDefault="000E27E3" w:rsidP="00361E6D">
            <w:pPr>
              <w:pStyle w:val="TableContents"/>
              <w:spacing w:before="0" w:after="0" w:line="240" w:lineRule="auto"/>
              <w:contextualSpacing/>
              <w:jc w:val="center"/>
              <w:rPr>
                <w:rFonts w:ascii="Arial" w:hAnsi="Arial" w:cs="Arial"/>
                <w:b/>
                <w:sz w:val="20"/>
              </w:rPr>
            </w:pPr>
            <w:r w:rsidRPr="00361E6D">
              <w:rPr>
                <w:rFonts w:ascii="Arial" w:hAnsi="Arial" w:cs="Arial"/>
                <w:b/>
                <w:sz w:val="20"/>
              </w:rPr>
              <w:t>Team</w:t>
            </w:r>
          </w:p>
        </w:tc>
      </w:tr>
      <w:tr w:rsidR="000E27E3" w:rsidRPr="00361E6D" w14:paraId="768B892E" w14:textId="77777777" w:rsidTr="00FE09C6">
        <w:trPr>
          <w:trHeight w:val="1197"/>
        </w:trPr>
        <w:tc>
          <w:tcPr>
            <w:tcW w:w="1271" w:type="dxa"/>
            <w:vMerge w:val="restart"/>
            <w:tcBorders>
              <w:bottom w:val="single" w:sz="4" w:space="0" w:color="808080"/>
            </w:tcBorders>
            <w:shd w:val="clear" w:color="auto" w:fill="DBE5F1"/>
            <w:tcMar>
              <w:top w:w="57" w:type="dxa"/>
              <w:left w:w="57" w:type="dxa"/>
              <w:bottom w:w="57" w:type="dxa"/>
              <w:right w:w="57" w:type="dxa"/>
            </w:tcMar>
            <w:vAlign w:val="center"/>
          </w:tcPr>
          <w:p w14:paraId="6A68FF6D"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b/>
                <w:sz w:val="20"/>
              </w:rPr>
              <w:t>Wet Tropics</w:t>
            </w:r>
          </w:p>
        </w:tc>
        <w:tc>
          <w:tcPr>
            <w:tcW w:w="1418" w:type="dxa"/>
            <w:tcBorders>
              <w:bottom w:val="single" w:sz="4" w:space="0" w:color="808080"/>
            </w:tcBorders>
            <w:shd w:val="clear" w:color="auto" w:fill="DBE5F1"/>
            <w:tcMar>
              <w:top w:w="57" w:type="dxa"/>
              <w:left w:w="57" w:type="dxa"/>
              <w:bottom w:w="57" w:type="dxa"/>
              <w:right w:w="57" w:type="dxa"/>
            </w:tcMar>
          </w:tcPr>
          <w:p w14:paraId="591BECE3"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b/>
                <w:sz w:val="20"/>
              </w:rPr>
              <w:t>Daintree</w:t>
            </w:r>
          </w:p>
        </w:tc>
        <w:tc>
          <w:tcPr>
            <w:tcW w:w="2551" w:type="dxa"/>
            <w:tcBorders>
              <w:bottom w:val="single" w:sz="4" w:space="0" w:color="808080"/>
            </w:tcBorders>
            <w:shd w:val="clear" w:color="auto" w:fill="DBE5F1"/>
            <w:tcMar>
              <w:top w:w="57" w:type="dxa"/>
              <w:left w:w="57" w:type="dxa"/>
              <w:bottom w:w="57" w:type="dxa"/>
              <w:right w:w="57" w:type="dxa"/>
            </w:tcMar>
          </w:tcPr>
          <w:p w14:paraId="1F5B96B6"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 xml:space="preserve">Cape Tribulation (North) </w:t>
            </w:r>
            <w:r w:rsidRPr="00361E6D">
              <w:rPr>
                <w:rFonts w:ascii="Arial" w:hAnsi="Arial" w:cs="Arial"/>
                <w:sz w:val="20"/>
                <w:vertAlign w:val="superscript"/>
              </w:rPr>
              <w:t>#</w:t>
            </w:r>
          </w:p>
          <w:p w14:paraId="17B17A38"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 xml:space="preserve">Cape Tribulation (Mid) </w:t>
            </w:r>
            <w:r w:rsidRPr="00361E6D">
              <w:rPr>
                <w:rFonts w:ascii="Arial" w:hAnsi="Arial" w:cs="Arial"/>
                <w:sz w:val="20"/>
                <w:vertAlign w:val="superscript"/>
              </w:rPr>
              <w:t>#</w:t>
            </w:r>
          </w:p>
          <w:p w14:paraId="0EAA6F5E"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 xml:space="preserve">Cape Tribulation (South) </w:t>
            </w:r>
            <w:r w:rsidRPr="00361E6D">
              <w:rPr>
                <w:rFonts w:ascii="Arial" w:hAnsi="Arial" w:cs="Arial"/>
                <w:sz w:val="20"/>
                <w:vertAlign w:val="superscript"/>
              </w:rPr>
              <w:t>#</w:t>
            </w:r>
          </w:p>
          <w:p w14:paraId="3B7F2564"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Snapper Island (North)*</w:t>
            </w:r>
          </w:p>
          <w:p w14:paraId="17CA48AB"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Snapper Island (South)</w:t>
            </w:r>
          </w:p>
        </w:tc>
        <w:tc>
          <w:tcPr>
            <w:tcW w:w="2537" w:type="dxa"/>
            <w:tcBorders>
              <w:bottom w:val="single" w:sz="4" w:space="0" w:color="808080"/>
            </w:tcBorders>
            <w:shd w:val="clear" w:color="auto" w:fill="DBE5F1"/>
          </w:tcPr>
          <w:p w14:paraId="46528BB5"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Snapper Island (North)**</w:t>
            </w:r>
          </w:p>
          <w:p w14:paraId="67C67272"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Snapper Island (South)</w:t>
            </w:r>
          </w:p>
        </w:tc>
        <w:tc>
          <w:tcPr>
            <w:tcW w:w="0" w:type="auto"/>
            <w:tcBorders>
              <w:bottom w:val="single" w:sz="4" w:space="0" w:color="808080"/>
            </w:tcBorders>
            <w:shd w:val="clear" w:color="auto" w:fill="DBE5F1"/>
            <w:tcMar>
              <w:top w:w="57" w:type="dxa"/>
              <w:left w:w="57" w:type="dxa"/>
              <w:bottom w:w="57" w:type="dxa"/>
              <w:right w:w="57" w:type="dxa"/>
            </w:tcMar>
          </w:tcPr>
          <w:p w14:paraId="43217B7F"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b/>
                <w:sz w:val="20"/>
              </w:rPr>
              <w:t>Sea Research</w:t>
            </w:r>
          </w:p>
        </w:tc>
      </w:tr>
      <w:tr w:rsidR="000E27E3" w:rsidRPr="00361E6D" w14:paraId="44C54568" w14:textId="77777777" w:rsidTr="00FE09C6">
        <w:trPr>
          <w:trHeight w:val="591"/>
        </w:trPr>
        <w:tc>
          <w:tcPr>
            <w:tcW w:w="1271" w:type="dxa"/>
            <w:vMerge/>
            <w:shd w:val="clear" w:color="auto" w:fill="DBE5F1"/>
            <w:tcMar>
              <w:top w:w="57" w:type="dxa"/>
              <w:left w:w="57" w:type="dxa"/>
              <w:bottom w:w="57" w:type="dxa"/>
              <w:right w:w="57" w:type="dxa"/>
            </w:tcMar>
            <w:vAlign w:val="center"/>
          </w:tcPr>
          <w:p w14:paraId="621AA5F1" w14:textId="77777777" w:rsidR="000E27E3" w:rsidRPr="00361E6D" w:rsidRDefault="000E27E3" w:rsidP="00361E6D">
            <w:pPr>
              <w:pStyle w:val="TableContents"/>
              <w:spacing w:before="0" w:after="0" w:line="240" w:lineRule="auto"/>
              <w:contextualSpacing/>
              <w:jc w:val="center"/>
              <w:rPr>
                <w:rFonts w:ascii="Arial" w:eastAsia="Arial Unicode MS" w:hAnsi="Arial" w:cs="Arial"/>
                <w:b/>
                <w:sz w:val="20"/>
              </w:rPr>
            </w:pPr>
          </w:p>
        </w:tc>
        <w:tc>
          <w:tcPr>
            <w:tcW w:w="1418" w:type="dxa"/>
            <w:shd w:val="clear" w:color="auto" w:fill="DBE5F1"/>
            <w:tcMar>
              <w:top w:w="57" w:type="dxa"/>
              <w:left w:w="57" w:type="dxa"/>
              <w:bottom w:w="57" w:type="dxa"/>
              <w:right w:w="57" w:type="dxa"/>
            </w:tcMar>
          </w:tcPr>
          <w:p w14:paraId="335CEEAF" w14:textId="77777777" w:rsidR="000E27E3" w:rsidRPr="00361E6D" w:rsidRDefault="000E27E3" w:rsidP="00361E6D">
            <w:pPr>
              <w:pStyle w:val="TableContents"/>
              <w:spacing w:before="0" w:after="0" w:line="240" w:lineRule="auto"/>
              <w:contextualSpacing/>
              <w:rPr>
                <w:rFonts w:ascii="Arial" w:eastAsia="Arial Unicode MS" w:hAnsi="Arial" w:cs="Arial"/>
                <w:b/>
                <w:sz w:val="20"/>
              </w:rPr>
            </w:pPr>
            <w:r w:rsidRPr="00361E6D">
              <w:rPr>
                <w:rFonts w:ascii="Arial" w:hAnsi="Arial" w:cs="Arial"/>
                <w:b/>
                <w:sz w:val="20"/>
              </w:rPr>
              <w:t>Russell / Mulgrave Johnstone</w:t>
            </w:r>
          </w:p>
        </w:tc>
        <w:tc>
          <w:tcPr>
            <w:tcW w:w="2551" w:type="dxa"/>
            <w:shd w:val="clear" w:color="auto" w:fill="DBE5F1"/>
            <w:tcMar>
              <w:top w:w="57" w:type="dxa"/>
              <w:left w:w="57" w:type="dxa"/>
              <w:bottom w:w="57" w:type="dxa"/>
              <w:right w:w="57" w:type="dxa"/>
            </w:tcMar>
          </w:tcPr>
          <w:p w14:paraId="0F3D8B24"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Fitzroy Island (East)</w:t>
            </w:r>
          </w:p>
          <w:p w14:paraId="470F9634"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Fitzroy Island (West)</w:t>
            </w:r>
            <w:r w:rsidRPr="00361E6D">
              <w:rPr>
                <w:rFonts w:ascii="Arial" w:hAnsi="Arial" w:cs="Arial"/>
                <w:b/>
                <w:sz w:val="20"/>
              </w:rPr>
              <w:t>*</w:t>
            </w:r>
          </w:p>
          <w:p w14:paraId="3C023696"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Frankland Island Group (East)</w:t>
            </w:r>
          </w:p>
          <w:p w14:paraId="3BF4EF56"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Frankland Island Group (West)</w:t>
            </w:r>
            <w:r w:rsidRPr="00361E6D">
              <w:rPr>
                <w:rFonts w:ascii="Arial" w:hAnsi="Arial" w:cs="Arial"/>
                <w:b/>
                <w:sz w:val="20"/>
              </w:rPr>
              <w:t>*</w:t>
            </w:r>
          </w:p>
          <w:p w14:paraId="3E8E7DB9"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High Island (East)</w:t>
            </w:r>
          </w:p>
          <w:p w14:paraId="7B7A06FB" w14:textId="77777777" w:rsidR="000E27E3" w:rsidRPr="00361E6D" w:rsidRDefault="000E27E3" w:rsidP="00361E6D">
            <w:pPr>
              <w:pStyle w:val="TableContents"/>
              <w:spacing w:before="0" w:after="0" w:line="240" w:lineRule="auto"/>
              <w:contextualSpacing/>
              <w:rPr>
                <w:rFonts w:ascii="Arial" w:eastAsia="Arial Unicode MS" w:hAnsi="Arial" w:cs="Arial"/>
                <w:sz w:val="20"/>
              </w:rPr>
            </w:pPr>
            <w:r w:rsidRPr="00361E6D">
              <w:rPr>
                <w:rFonts w:ascii="Arial" w:hAnsi="Arial" w:cs="Arial"/>
                <w:sz w:val="20"/>
              </w:rPr>
              <w:t>High Island (West)</w:t>
            </w:r>
          </w:p>
        </w:tc>
        <w:tc>
          <w:tcPr>
            <w:tcW w:w="2537" w:type="dxa"/>
            <w:shd w:val="clear" w:color="auto" w:fill="DBE5F1"/>
          </w:tcPr>
          <w:p w14:paraId="136AD727"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Fitzroy Island (East)</w:t>
            </w:r>
          </w:p>
          <w:p w14:paraId="04CCB256"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Fitzroy Island (West)**</w:t>
            </w:r>
          </w:p>
          <w:p w14:paraId="3BE24570" w14:textId="66F55C9A"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Frankland Is</w:t>
            </w:r>
            <w:r w:rsidR="00FE09C6">
              <w:rPr>
                <w:rFonts w:ascii="Arial" w:hAnsi="Arial" w:cs="Arial"/>
                <w:sz w:val="20"/>
              </w:rPr>
              <w:t>.</w:t>
            </w:r>
            <w:r w:rsidRPr="00361E6D">
              <w:rPr>
                <w:rFonts w:ascii="Arial" w:hAnsi="Arial" w:cs="Arial"/>
                <w:sz w:val="20"/>
              </w:rPr>
              <w:t xml:space="preserve"> Group (East)**</w:t>
            </w:r>
          </w:p>
          <w:p w14:paraId="728EBC5E" w14:textId="26A61CB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Frankland Is</w:t>
            </w:r>
            <w:r w:rsidR="00FE09C6">
              <w:rPr>
                <w:rFonts w:ascii="Arial" w:hAnsi="Arial" w:cs="Arial"/>
                <w:sz w:val="20"/>
              </w:rPr>
              <w:t>.</w:t>
            </w:r>
            <w:r w:rsidRPr="00361E6D">
              <w:rPr>
                <w:rFonts w:ascii="Arial" w:hAnsi="Arial" w:cs="Arial"/>
                <w:sz w:val="20"/>
              </w:rPr>
              <w:t xml:space="preserve"> Group (West)</w:t>
            </w:r>
          </w:p>
          <w:p w14:paraId="68DD4474"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High Island (East)**</w:t>
            </w:r>
          </w:p>
          <w:p w14:paraId="0B97FBF9"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High Island (West)</w:t>
            </w:r>
          </w:p>
          <w:p w14:paraId="60AA2D29" w14:textId="77777777" w:rsidR="000E27E3" w:rsidRPr="00361E6D" w:rsidRDefault="000E27E3" w:rsidP="00361E6D">
            <w:pPr>
              <w:pStyle w:val="TableContents"/>
              <w:spacing w:before="0" w:after="0" w:line="240" w:lineRule="auto"/>
              <w:contextualSpacing/>
              <w:rPr>
                <w:rFonts w:ascii="Arial" w:hAnsi="Arial" w:cs="Arial"/>
                <w:i/>
                <w:sz w:val="20"/>
              </w:rPr>
            </w:pPr>
            <w:r w:rsidRPr="00361E6D">
              <w:rPr>
                <w:rFonts w:ascii="Arial" w:hAnsi="Arial" w:cs="Arial"/>
                <w:i/>
                <w:sz w:val="20"/>
              </w:rPr>
              <w:t>Fitzroy Island (West)</w:t>
            </w:r>
          </w:p>
          <w:p w14:paraId="7B937673" w14:textId="77777777" w:rsidR="000E27E3" w:rsidRPr="00361E6D" w:rsidRDefault="000E27E3" w:rsidP="00361E6D">
            <w:pPr>
              <w:pStyle w:val="TableContents"/>
              <w:spacing w:before="0" w:after="0" w:line="240" w:lineRule="auto"/>
              <w:contextualSpacing/>
              <w:rPr>
                <w:rFonts w:ascii="Arial" w:hAnsi="Arial" w:cs="Arial"/>
                <w:i/>
                <w:sz w:val="20"/>
              </w:rPr>
            </w:pPr>
            <w:r w:rsidRPr="00361E6D">
              <w:rPr>
                <w:rFonts w:ascii="Arial" w:hAnsi="Arial" w:cs="Arial"/>
                <w:i/>
                <w:sz w:val="20"/>
              </w:rPr>
              <w:t>Green Island</w:t>
            </w:r>
          </w:p>
          <w:p w14:paraId="633423F1" w14:textId="77777777" w:rsidR="000E27E3" w:rsidRPr="00361E6D" w:rsidRDefault="000E27E3" w:rsidP="00361E6D">
            <w:pPr>
              <w:pStyle w:val="TableContents"/>
              <w:spacing w:before="0" w:after="0" w:line="240" w:lineRule="auto"/>
              <w:contextualSpacing/>
              <w:rPr>
                <w:rFonts w:ascii="Arial" w:hAnsi="Arial" w:cs="Arial"/>
                <w:b/>
                <w:i/>
                <w:sz w:val="20"/>
              </w:rPr>
            </w:pPr>
            <w:r w:rsidRPr="00361E6D">
              <w:rPr>
                <w:rFonts w:ascii="Arial" w:hAnsi="Arial" w:cs="Arial"/>
                <w:i/>
                <w:sz w:val="20"/>
              </w:rPr>
              <w:t>Low Isles</w:t>
            </w:r>
          </w:p>
        </w:tc>
        <w:tc>
          <w:tcPr>
            <w:tcW w:w="0" w:type="auto"/>
            <w:shd w:val="clear" w:color="auto" w:fill="DBE5F1"/>
            <w:tcMar>
              <w:top w:w="57" w:type="dxa"/>
              <w:left w:w="57" w:type="dxa"/>
              <w:bottom w:w="57" w:type="dxa"/>
              <w:right w:w="57" w:type="dxa"/>
            </w:tcMar>
          </w:tcPr>
          <w:p w14:paraId="6253D2A7"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b/>
                <w:sz w:val="20"/>
              </w:rPr>
              <w:t>AIMS</w:t>
            </w:r>
          </w:p>
        </w:tc>
      </w:tr>
      <w:tr w:rsidR="000E27E3" w:rsidRPr="00361E6D" w14:paraId="6D957E9E" w14:textId="77777777" w:rsidTr="00FE09C6">
        <w:trPr>
          <w:trHeight w:val="500"/>
        </w:trPr>
        <w:tc>
          <w:tcPr>
            <w:tcW w:w="1271" w:type="dxa"/>
            <w:vMerge/>
            <w:shd w:val="clear" w:color="auto" w:fill="DBE5F1"/>
            <w:tcMar>
              <w:top w:w="57" w:type="dxa"/>
              <w:left w:w="57" w:type="dxa"/>
              <w:bottom w:w="57" w:type="dxa"/>
              <w:right w:w="57" w:type="dxa"/>
            </w:tcMar>
            <w:vAlign w:val="center"/>
          </w:tcPr>
          <w:p w14:paraId="5F048078" w14:textId="77777777" w:rsidR="000E27E3" w:rsidRPr="00361E6D" w:rsidRDefault="000E27E3" w:rsidP="00361E6D">
            <w:pPr>
              <w:pStyle w:val="TableContents"/>
              <w:spacing w:before="0" w:after="0" w:line="240" w:lineRule="auto"/>
              <w:contextualSpacing/>
              <w:jc w:val="center"/>
              <w:rPr>
                <w:rFonts w:ascii="Arial" w:eastAsia="Arial Unicode MS" w:hAnsi="Arial" w:cs="Arial"/>
                <w:b/>
                <w:sz w:val="20"/>
              </w:rPr>
            </w:pPr>
          </w:p>
        </w:tc>
        <w:tc>
          <w:tcPr>
            <w:tcW w:w="1418" w:type="dxa"/>
            <w:shd w:val="clear" w:color="auto" w:fill="DBE5F1"/>
            <w:tcMar>
              <w:top w:w="57" w:type="dxa"/>
              <w:left w:w="57" w:type="dxa"/>
              <w:bottom w:w="57" w:type="dxa"/>
              <w:right w:w="57" w:type="dxa"/>
            </w:tcMar>
          </w:tcPr>
          <w:p w14:paraId="4AC165B1" w14:textId="77777777" w:rsidR="000E27E3" w:rsidRPr="00361E6D" w:rsidRDefault="000E27E3" w:rsidP="00361E6D">
            <w:pPr>
              <w:pStyle w:val="TableContents"/>
              <w:spacing w:before="0" w:after="0" w:line="240" w:lineRule="auto"/>
              <w:contextualSpacing/>
              <w:rPr>
                <w:rFonts w:ascii="Arial" w:eastAsia="Arial Unicode MS" w:hAnsi="Arial" w:cs="Arial"/>
                <w:b/>
                <w:sz w:val="20"/>
              </w:rPr>
            </w:pPr>
            <w:r w:rsidRPr="00361E6D">
              <w:rPr>
                <w:rFonts w:ascii="Arial" w:hAnsi="Arial" w:cs="Arial"/>
                <w:b/>
                <w:sz w:val="20"/>
              </w:rPr>
              <w:t>Tully</w:t>
            </w:r>
          </w:p>
        </w:tc>
        <w:tc>
          <w:tcPr>
            <w:tcW w:w="2551" w:type="dxa"/>
            <w:shd w:val="clear" w:color="auto" w:fill="DBE5F1"/>
            <w:tcMar>
              <w:top w:w="57" w:type="dxa"/>
              <w:left w:w="57" w:type="dxa"/>
              <w:bottom w:w="57" w:type="dxa"/>
              <w:right w:w="57" w:type="dxa"/>
            </w:tcMar>
          </w:tcPr>
          <w:p w14:paraId="786718EE"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Dunk Island (North)</w:t>
            </w:r>
            <w:r w:rsidRPr="00361E6D">
              <w:rPr>
                <w:rFonts w:ascii="Arial" w:hAnsi="Arial" w:cs="Arial"/>
                <w:b/>
                <w:sz w:val="20"/>
              </w:rPr>
              <w:t>*</w:t>
            </w:r>
          </w:p>
          <w:p w14:paraId="2634564D"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Dunk Island (South)</w:t>
            </w:r>
          </w:p>
          <w:p w14:paraId="40DF9AEB"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North Barnard Group</w:t>
            </w:r>
          </w:p>
          <w:p w14:paraId="5D470621" w14:textId="77777777" w:rsidR="000E27E3" w:rsidRPr="00361E6D" w:rsidRDefault="000E27E3" w:rsidP="00361E6D">
            <w:pPr>
              <w:pStyle w:val="TableContents"/>
              <w:spacing w:before="0" w:after="0" w:line="240" w:lineRule="auto"/>
              <w:contextualSpacing/>
              <w:rPr>
                <w:rFonts w:ascii="Arial" w:eastAsia="Arial Unicode MS" w:hAnsi="Arial" w:cs="Arial"/>
                <w:sz w:val="20"/>
              </w:rPr>
            </w:pPr>
            <w:r w:rsidRPr="00361E6D">
              <w:rPr>
                <w:rFonts w:ascii="Arial" w:hAnsi="Arial" w:cs="Arial"/>
                <w:sz w:val="20"/>
              </w:rPr>
              <w:t>King Reef</w:t>
            </w:r>
          </w:p>
        </w:tc>
        <w:tc>
          <w:tcPr>
            <w:tcW w:w="2537" w:type="dxa"/>
            <w:shd w:val="clear" w:color="auto" w:fill="DBE5F1"/>
          </w:tcPr>
          <w:p w14:paraId="08C31B40"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Dunk Island (North)</w:t>
            </w:r>
          </w:p>
          <w:p w14:paraId="3FF91202"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Dunk Island (South)</w:t>
            </w:r>
          </w:p>
          <w:p w14:paraId="5134B390"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North Barnard Group**</w:t>
            </w:r>
          </w:p>
          <w:p w14:paraId="6DD9772C"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Bedarra Island</w:t>
            </w:r>
            <w:r w:rsidRPr="00361E6D">
              <w:rPr>
                <w:rFonts w:ascii="Arial" w:hAnsi="Arial" w:cs="Arial"/>
                <w:b/>
                <w:sz w:val="20"/>
              </w:rPr>
              <w:t>**</w:t>
            </w:r>
          </w:p>
        </w:tc>
        <w:tc>
          <w:tcPr>
            <w:tcW w:w="0" w:type="auto"/>
            <w:shd w:val="clear" w:color="auto" w:fill="DBE5F1"/>
            <w:tcMar>
              <w:top w:w="57" w:type="dxa"/>
              <w:left w:w="57" w:type="dxa"/>
              <w:bottom w:w="57" w:type="dxa"/>
              <w:right w:w="57" w:type="dxa"/>
            </w:tcMar>
          </w:tcPr>
          <w:p w14:paraId="4ABDC759"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b/>
                <w:sz w:val="20"/>
              </w:rPr>
              <w:t>AIMS</w:t>
            </w:r>
          </w:p>
        </w:tc>
      </w:tr>
      <w:tr w:rsidR="000E27E3" w:rsidRPr="00361E6D" w14:paraId="0AE43EF8" w14:textId="77777777" w:rsidTr="00FE09C6">
        <w:trPr>
          <w:trHeight w:val="396"/>
        </w:trPr>
        <w:tc>
          <w:tcPr>
            <w:tcW w:w="1271" w:type="dxa"/>
            <w:vMerge w:val="restart"/>
            <w:shd w:val="clear" w:color="auto" w:fill="F2DBDB"/>
            <w:tcMar>
              <w:top w:w="57" w:type="dxa"/>
              <w:left w:w="57" w:type="dxa"/>
              <w:bottom w:w="57" w:type="dxa"/>
              <w:right w:w="57" w:type="dxa"/>
            </w:tcMar>
            <w:vAlign w:val="center"/>
          </w:tcPr>
          <w:p w14:paraId="1B2752B6" w14:textId="77777777" w:rsidR="000E27E3" w:rsidRPr="00361E6D" w:rsidRDefault="000E27E3" w:rsidP="00361E6D">
            <w:pPr>
              <w:pStyle w:val="TableContents"/>
              <w:spacing w:before="0" w:after="0" w:line="240" w:lineRule="auto"/>
              <w:contextualSpacing/>
              <w:jc w:val="center"/>
              <w:rPr>
                <w:rFonts w:ascii="Arial" w:eastAsia="Arial Unicode MS" w:hAnsi="Arial" w:cs="Arial"/>
                <w:sz w:val="20"/>
              </w:rPr>
            </w:pPr>
            <w:r w:rsidRPr="00361E6D">
              <w:rPr>
                <w:rFonts w:ascii="Arial" w:hAnsi="Arial" w:cs="Arial"/>
                <w:sz w:val="20"/>
              </w:rPr>
              <w:t>Burdekin</w:t>
            </w:r>
          </w:p>
        </w:tc>
        <w:tc>
          <w:tcPr>
            <w:tcW w:w="1418" w:type="dxa"/>
            <w:shd w:val="clear" w:color="auto" w:fill="F2DBDB"/>
            <w:tcMar>
              <w:top w:w="57" w:type="dxa"/>
              <w:left w:w="57" w:type="dxa"/>
              <w:bottom w:w="57" w:type="dxa"/>
              <w:right w:w="57" w:type="dxa"/>
            </w:tcMar>
          </w:tcPr>
          <w:p w14:paraId="4E9CC564" w14:textId="77777777" w:rsidR="000E27E3" w:rsidRPr="00361E6D" w:rsidRDefault="000E27E3" w:rsidP="00361E6D">
            <w:pPr>
              <w:pStyle w:val="TableContents"/>
              <w:spacing w:before="0" w:after="0" w:line="240" w:lineRule="auto"/>
              <w:contextualSpacing/>
              <w:rPr>
                <w:rFonts w:ascii="Arial" w:eastAsia="Arial Unicode MS" w:hAnsi="Arial" w:cs="Arial"/>
                <w:sz w:val="20"/>
              </w:rPr>
            </w:pPr>
            <w:r w:rsidRPr="00361E6D">
              <w:rPr>
                <w:rFonts w:ascii="Arial" w:eastAsia="Arial Unicode MS" w:hAnsi="Arial" w:cs="Arial"/>
                <w:sz w:val="20"/>
              </w:rPr>
              <w:t>Herbert</w:t>
            </w:r>
          </w:p>
        </w:tc>
        <w:tc>
          <w:tcPr>
            <w:tcW w:w="2551" w:type="dxa"/>
            <w:shd w:val="clear" w:color="auto" w:fill="F2DBDB"/>
            <w:tcMar>
              <w:top w:w="57" w:type="dxa"/>
              <w:left w:w="57" w:type="dxa"/>
              <w:bottom w:w="57" w:type="dxa"/>
              <w:right w:w="57" w:type="dxa"/>
            </w:tcMar>
          </w:tcPr>
          <w:p w14:paraId="6F4D6CC9"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Lady Elliot Reef</w:t>
            </w:r>
          </w:p>
          <w:p w14:paraId="08534499"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Orpheus Island (East)</w:t>
            </w:r>
          </w:p>
          <w:p w14:paraId="7D7B5282" w14:textId="77777777" w:rsidR="000E27E3" w:rsidRPr="00361E6D" w:rsidRDefault="000E27E3" w:rsidP="00361E6D">
            <w:pPr>
              <w:pStyle w:val="TableContents"/>
              <w:spacing w:before="0" w:after="0" w:line="240" w:lineRule="auto"/>
              <w:contextualSpacing/>
              <w:rPr>
                <w:rFonts w:ascii="Arial" w:eastAsia="Arial Unicode MS" w:hAnsi="Arial" w:cs="Arial"/>
                <w:sz w:val="20"/>
              </w:rPr>
            </w:pPr>
            <w:r w:rsidRPr="00361E6D">
              <w:rPr>
                <w:rFonts w:ascii="Arial" w:hAnsi="Arial" w:cs="Arial"/>
                <w:sz w:val="20"/>
              </w:rPr>
              <w:t>Pelorus Is &amp; Orpheus Is (West)*</w:t>
            </w:r>
          </w:p>
        </w:tc>
        <w:tc>
          <w:tcPr>
            <w:tcW w:w="2537" w:type="dxa"/>
            <w:shd w:val="clear" w:color="auto" w:fill="F2DBDB"/>
          </w:tcPr>
          <w:p w14:paraId="7F193684"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Lady Elliot Reef</w:t>
            </w:r>
          </w:p>
          <w:p w14:paraId="054D585F"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Orpheus Island (East)</w:t>
            </w:r>
          </w:p>
          <w:p w14:paraId="0343F614"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Pelorus Is &amp; Orpheus Is (West</w:t>
            </w:r>
            <w:r w:rsidRPr="00361E6D">
              <w:rPr>
                <w:rFonts w:ascii="Arial" w:hAnsi="Arial" w:cs="Arial"/>
                <w:b/>
                <w:sz w:val="20"/>
              </w:rPr>
              <w:t>)**</w:t>
            </w:r>
          </w:p>
        </w:tc>
        <w:tc>
          <w:tcPr>
            <w:tcW w:w="0" w:type="auto"/>
            <w:shd w:val="clear" w:color="auto" w:fill="F2DBDB"/>
            <w:tcMar>
              <w:top w:w="57" w:type="dxa"/>
              <w:left w:w="57" w:type="dxa"/>
              <w:bottom w:w="57" w:type="dxa"/>
              <w:right w:w="57" w:type="dxa"/>
            </w:tcMar>
          </w:tcPr>
          <w:p w14:paraId="61440E44"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AIMS</w:t>
            </w:r>
          </w:p>
        </w:tc>
      </w:tr>
      <w:tr w:rsidR="000E27E3" w:rsidRPr="00361E6D" w14:paraId="290C3F65" w14:textId="77777777" w:rsidTr="00FE09C6">
        <w:trPr>
          <w:trHeight w:val="510"/>
        </w:trPr>
        <w:tc>
          <w:tcPr>
            <w:tcW w:w="1271" w:type="dxa"/>
            <w:vMerge/>
            <w:shd w:val="clear" w:color="auto" w:fill="F2DBDB"/>
            <w:tcMar>
              <w:top w:w="57" w:type="dxa"/>
              <w:left w:w="57" w:type="dxa"/>
              <w:bottom w:w="57" w:type="dxa"/>
              <w:right w:w="57" w:type="dxa"/>
            </w:tcMar>
            <w:vAlign w:val="center"/>
          </w:tcPr>
          <w:p w14:paraId="715068A9" w14:textId="77777777" w:rsidR="000E27E3" w:rsidRPr="00361E6D" w:rsidRDefault="000E27E3" w:rsidP="00361E6D">
            <w:pPr>
              <w:pStyle w:val="TableContents"/>
              <w:spacing w:before="0" w:after="0" w:line="240" w:lineRule="auto"/>
              <w:contextualSpacing/>
              <w:jc w:val="center"/>
              <w:rPr>
                <w:rFonts w:ascii="Arial" w:eastAsia="Arial Unicode MS" w:hAnsi="Arial" w:cs="Arial"/>
                <w:sz w:val="20"/>
              </w:rPr>
            </w:pPr>
          </w:p>
        </w:tc>
        <w:tc>
          <w:tcPr>
            <w:tcW w:w="1418" w:type="dxa"/>
            <w:shd w:val="clear" w:color="auto" w:fill="F2DBDB"/>
            <w:tcMar>
              <w:top w:w="57" w:type="dxa"/>
              <w:left w:w="57" w:type="dxa"/>
              <w:bottom w:w="57" w:type="dxa"/>
              <w:right w:w="57" w:type="dxa"/>
            </w:tcMar>
          </w:tcPr>
          <w:p w14:paraId="34CC20EB" w14:textId="77777777" w:rsidR="000E27E3" w:rsidRPr="00361E6D" w:rsidRDefault="000E27E3" w:rsidP="00361E6D">
            <w:pPr>
              <w:pStyle w:val="TableContents"/>
              <w:spacing w:before="0" w:after="0" w:line="240" w:lineRule="auto"/>
              <w:contextualSpacing/>
              <w:rPr>
                <w:rFonts w:ascii="Arial" w:eastAsia="Arial Unicode MS" w:hAnsi="Arial" w:cs="Arial"/>
                <w:sz w:val="20"/>
              </w:rPr>
            </w:pPr>
            <w:r w:rsidRPr="00361E6D">
              <w:rPr>
                <w:rFonts w:ascii="Arial" w:hAnsi="Arial" w:cs="Arial"/>
                <w:sz w:val="20"/>
              </w:rPr>
              <w:t>Burdekin</w:t>
            </w:r>
          </w:p>
        </w:tc>
        <w:tc>
          <w:tcPr>
            <w:tcW w:w="2551" w:type="dxa"/>
            <w:shd w:val="clear" w:color="auto" w:fill="F2DBDB"/>
            <w:tcMar>
              <w:top w:w="57" w:type="dxa"/>
              <w:left w:w="57" w:type="dxa"/>
              <w:bottom w:w="57" w:type="dxa"/>
              <w:right w:w="57" w:type="dxa"/>
            </w:tcMar>
          </w:tcPr>
          <w:p w14:paraId="1617A539"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Geoffrey Bay</w:t>
            </w:r>
            <w:r w:rsidRPr="00361E6D">
              <w:rPr>
                <w:rFonts w:ascii="Arial" w:hAnsi="Arial" w:cs="Arial"/>
                <w:b/>
                <w:sz w:val="20"/>
              </w:rPr>
              <w:t>*</w:t>
            </w:r>
          </w:p>
          <w:p w14:paraId="242A4AFC"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Middle Reef</w:t>
            </w:r>
          </w:p>
          <w:p w14:paraId="058B5FC5"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Pandora Reef</w:t>
            </w:r>
            <w:r w:rsidRPr="00361E6D">
              <w:rPr>
                <w:rFonts w:ascii="Arial" w:hAnsi="Arial" w:cs="Arial"/>
                <w:b/>
                <w:sz w:val="20"/>
              </w:rPr>
              <w:t>*</w:t>
            </w:r>
          </w:p>
          <w:p w14:paraId="4EE5C136" w14:textId="77777777" w:rsidR="000E27E3" w:rsidRPr="00361E6D" w:rsidRDefault="000E27E3" w:rsidP="00361E6D">
            <w:pPr>
              <w:pStyle w:val="TableContents"/>
              <w:spacing w:before="0" w:after="0" w:line="240" w:lineRule="auto"/>
              <w:contextualSpacing/>
              <w:rPr>
                <w:rFonts w:ascii="Arial" w:eastAsia="Arial Unicode MS" w:hAnsi="Arial" w:cs="Arial"/>
                <w:sz w:val="20"/>
              </w:rPr>
            </w:pPr>
            <w:r w:rsidRPr="00361E6D">
              <w:rPr>
                <w:rFonts w:ascii="Arial" w:hAnsi="Arial" w:cs="Arial"/>
                <w:sz w:val="20"/>
              </w:rPr>
              <w:t>Havannah Island</w:t>
            </w:r>
          </w:p>
        </w:tc>
        <w:tc>
          <w:tcPr>
            <w:tcW w:w="2537" w:type="dxa"/>
            <w:shd w:val="clear" w:color="auto" w:fill="F2DBDB"/>
          </w:tcPr>
          <w:p w14:paraId="5F321ABE"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Geoffrey Bay</w:t>
            </w:r>
            <w:r w:rsidRPr="00361E6D">
              <w:rPr>
                <w:rFonts w:ascii="Arial" w:hAnsi="Arial" w:cs="Arial"/>
                <w:b/>
                <w:sz w:val="20"/>
              </w:rPr>
              <w:t>**</w:t>
            </w:r>
          </w:p>
          <w:p w14:paraId="2038DAF8"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Pandora Reef</w:t>
            </w:r>
          </w:p>
          <w:p w14:paraId="40351DCE"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Havannah Island</w:t>
            </w:r>
            <w:r w:rsidRPr="00361E6D">
              <w:rPr>
                <w:rFonts w:ascii="Arial" w:hAnsi="Arial" w:cs="Arial"/>
                <w:b/>
                <w:sz w:val="20"/>
              </w:rPr>
              <w:t>**</w:t>
            </w:r>
          </w:p>
          <w:p w14:paraId="50C54D23" w14:textId="77777777" w:rsidR="000E27E3" w:rsidRPr="00361E6D" w:rsidRDefault="000E27E3" w:rsidP="00361E6D">
            <w:pPr>
              <w:pStyle w:val="TableContents"/>
              <w:spacing w:before="0" w:after="0" w:line="240" w:lineRule="auto"/>
              <w:contextualSpacing/>
              <w:rPr>
                <w:rFonts w:ascii="Arial" w:hAnsi="Arial" w:cs="Arial"/>
                <w:i/>
                <w:sz w:val="20"/>
              </w:rPr>
            </w:pPr>
            <w:r w:rsidRPr="00361E6D">
              <w:rPr>
                <w:rFonts w:ascii="Arial" w:hAnsi="Arial" w:cs="Arial"/>
                <w:i/>
                <w:sz w:val="20"/>
              </w:rPr>
              <w:t>Havannah North</w:t>
            </w:r>
          </w:p>
          <w:p w14:paraId="3C2D27BC" w14:textId="77777777" w:rsidR="000E27E3" w:rsidRPr="00361E6D" w:rsidRDefault="000E27E3" w:rsidP="00361E6D">
            <w:pPr>
              <w:pStyle w:val="TableContents"/>
              <w:spacing w:before="0" w:after="0" w:line="240" w:lineRule="auto"/>
              <w:contextualSpacing/>
              <w:rPr>
                <w:rFonts w:ascii="Arial" w:hAnsi="Arial" w:cs="Arial"/>
                <w:i/>
                <w:sz w:val="20"/>
              </w:rPr>
            </w:pPr>
            <w:r w:rsidRPr="00361E6D">
              <w:rPr>
                <w:rFonts w:ascii="Arial" w:hAnsi="Arial" w:cs="Arial"/>
                <w:i/>
                <w:sz w:val="20"/>
              </w:rPr>
              <w:t>Pandora North</w:t>
            </w:r>
          </w:p>
          <w:p w14:paraId="2B5A1FFB" w14:textId="77777777" w:rsidR="000E27E3" w:rsidRPr="00361E6D" w:rsidRDefault="000E27E3" w:rsidP="00361E6D">
            <w:pPr>
              <w:pStyle w:val="TableContents"/>
              <w:spacing w:before="0" w:after="0" w:line="240" w:lineRule="auto"/>
              <w:contextualSpacing/>
              <w:rPr>
                <w:rFonts w:ascii="Arial" w:hAnsi="Arial" w:cs="Arial"/>
                <w:i/>
                <w:sz w:val="20"/>
              </w:rPr>
            </w:pPr>
            <w:r w:rsidRPr="00361E6D">
              <w:rPr>
                <w:rFonts w:ascii="Arial" w:hAnsi="Arial" w:cs="Arial"/>
                <w:i/>
                <w:sz w:val="20"/>
              </w:rPr>
              <w:t>Middle Reef</w:t>
            </w:r>
          </w:p>
        </w:tc>
        <w:tc>
          <w:tcPr>
            <w:tcW w:w="0" w:type="auto"/>
            <w:shd w:val="clear" w:color="auto" w:fill="F2DBDB"/>
            <w:tcMar>
              <w:top w:w="57" w:type="dxa"/>
              <w:left w:w="57" w:type="dxa"/>
              <w:bottom w:w="57" w:type="dxa"/>
              <w:right w:w="57" w:type="dxa"/>
            </w:tcMar>
          </w:tcPr>
          <w:p w14:paraId="3B899B01"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AIMS</w:t>
            </w:r>
          </w:p>
        </w:tc>
      </w:tr>
      <w:tr w:rsidR="000E27E3" w:rsidRPr="00361E6D" w14:paraId="0FEAEF20" w14:textId="77777777" w:rsidTr="00FE09C6">
        <w:trPr>
          <w:trHeight w:val="765"/>
        </w:trPr>
        <w:tc>
          <w:tcPr>
            <w:tcW w:w="1271" w:type="dxa"/>
            <w:shd w:val="clear" w:color="auto" w:fill="E5DFEC"/>
            <w:tcMar>
              <w:top w:w="57" w:type="dxa"/>
              <w:left w:w="57" w:type="dxa"/>
              <w:bottom w:w="57" w:type="dxa"/>
              <w:right w:w="57" w:type="dxa"/>
            </w:tcMar>
            <w:vAlign w:val="center"/>
          </w:tcPr>
          <w:p w14:paraId="55E8CAD9" w14:textId="77777777" w:rsidR="000E27E3" w:rsidRPr="00361E6D" w:rsidRDefault="000E27E3" w:rsidP="00361E6D">
            <w:pPr>
              <w:pStyle w:val="TableContents"/>
              <w:spacing w:before="0" w:after="0" w:line="240" w:lineRule="auto"/>
              <w:contextualSpacing/>
              <w:jc w:val="center"/>
              <w:rPr>
                <w:rFonts w:ascii="Arial" w:eastAsia="Arial Unicode MS" w:hAnsi="Arial" w:cs="Arial"/>
                <w:sz w:val="20"/>
              </w:rPr>
            </w:pPr>
            <w:r w:rsidRPr="00361E6D">
              <w:rPr>
                <w:rFonts w:ascii="Arial" w:hAnsi="Arial" w:cs="Arial"/>
                <w:sz w:val="20"/>
              </w:rPr>
              <w:t>Mackay Whitsunday</w:t>
            </w:r>
          </w:p>
        </w:tc>
        <w:tc>
          <w:tcPr>
            <w:tcW w:w="1418" w:type="dxa"/>
            <w:shd w:val="clear" w:color="auto" w:fill="E5DFEC"/>
            <w:tcMar>
              <w:top w:w="57" w:type="dxa"/>
              <w:left w:w="57" w:type="dxa"/>
              <w:bottom w:w="57" w:type="dxa"/>
              <w:right w:w="57" w:type="dxa"/>
            </w:tcMar>
          </w:tcPr>
          <w:p w14:paraId="5EBAD9C5" w14:textId="77777777" w:rsidR="000E27E3" w:rsidRPr="00361E6D" w:rsidRDefault="000E27E3" w:rsidP="00361E6D">
            <w:pPr>
              <w:pStyle w:val="TableContents"/>
              <w:spacing w:before="0" w:after="0" w:line="240" w:lineRule="auto"/>
              <w:contextualSpacing/>
              <w:rPr>
                <w:rFonts w:ascii="Arial" w:eastAsia="Arial Unicode MS" w:hAnsi="Arial" w:cs="Arial"/>
                <w:sz w:val="20"/>
              </w:rPr>
            </w:pPr>
            <w:r w:rsidRPr="00361E6D">
              <w:rPr>
                <w:rFonts w:ascii="Arial" w:hAnsi="Arial" w:cs="Arial"/>
                <w:sz w:val="20"/>
              </w:rPr>
              <w:t>Proserpine</w:t>
            </w:r>
          </w:p>
        </w:tc>
        <w:tc>
          <w:tcPr>
            <w:tcW w:w="2551" w:type="dxa"/>
            <w:shd w:val="clear" w:color="auto" w:fill="E5DFEC"/>
            <w:tcMar>
              <w:top w:w="57" w:type="dxa"/>
              <w:left w:w="57" w:type="dxa"/>
              <w:bottom w:w="57" w:type="dxa"/>
              <w:right w:w="57" w:type="dxa"/>
            </w:tcMar>
          </w:tcPr>
          <w:p w14:paraId="41414CD5"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Pine Island</w:t>
            </w:r>
            <w:r w:rsidRPr="00361E6D">
              <w:rPr>
                <w:rFonts w:ascii="Arial" w:hAnsi="Arial" w:cs="Arial"/>
                <w:b/>
                <w:sz w:val="20"/>
              </w:rPr>
              <w:t>*</w:t>
            </w:r>
          </w:p>
          <w:p w14:paraId="012D614C"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Shute Island</w:t>
            </w:r>
          </w:p>
          <w:p w14:paraId="44FA52E3"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Daydream Island</w:t>
            </w:r>
            <w:r w:rsidRPr="00361E6D">
              <w:rPr>
                <w:rFonts w:ascii="Arial" w:hAnsi="Arial" w:cs="Arial"/>
                <w:b/>
                <w:sz w:val="20"/>
              </w:rPr>
              <w:t>*</w:t>
            </w:r>
          </w:p>
          <w:p w14:paraId="524AA3BC"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Double Cone Island</w:t>
            </w:r>
            <w:r w:rsidRPr="00361E6D">
              <w:rPr>
                <w:rFonts w:ascii="Arial" w:hAnsi="Arial" w:cs="Arial"/>
                <w:b/>
                <w:sz w:val="20"/>
              </w:rPr>
              <w:t>*</w:t>
            </w:r>
          </w:p>
          <w:p w14:paraId="14783D5D"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Seaforth Island</w:t>
            </w:r>
          </w:p>
          <w:p w14:paraId="63D6D8FF"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Dent Island</w:t>
            </w:r>
          </w:p>
          <w:p w14:paraId="444FA207" w14:textId="77777777" w:rsidR="000E27E3" w:rsidRPr="00361E6D" w:rsidRDefault="000E27E3" w:rsidP="00361E6D">
            <w:pPr>
              <w:pStyle w:val="TableContents"/>
              <w:spacing w:before="0" w:after="0" w:line="240" w:lineRule="auto"/>
              <w:contextualSpacing/>
              <w:rPr>
                <w:rFonts w:ascii="Arial" w:eastAsia="Arial Unicode MS" w:hAnsi="Arial" w:cs="Arial"/>
                <w:sz w:val="20"/>
              </w:rPr>
            </w:pPr>
            <w:r w:rsidRPr="00361E6D">
              <w:rPr>
                <w:rFonts w:ascii="Arial" w:hAnsi="Arial" w:cs="Arial"/>
                <w:sz w:val="20"/>
              </w:rPr>
              <w:t>Hook Island</w:t>
            </w:r>
          </w:p>
        </w:tc>
        <w:tc>
          <w:tcPr>
            <w:tcW w:w="2537" w:type="dxa"/>
            <w:shd w:val="clear" w:color="auto" w:fill="E5DFEC"/>
          </w:tcPr>
          <w:p w14:paraId="3E07B5E4"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Pine Island</w:t>
            </w:r>
            <w:r w:rsidRPr="00361E6D">
              <w:rPr>
                <w:rFonts w:ascii="Arial" w:hAnsi="Arial" w:cs="Arial"/>
                <w:b/>
                <w:sz w:val="20"/>
              </w:rPr>
              <w:t>**</w:t>
            </w:r>
          </w:p>
          <w:p w14:paraId="48D9D361"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Shute Island</w:t>
            </w:r>
          </w:p>
          <w:p w14:paraId="678F0B20"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Daydream Island</w:t>
            </w:r>
          </w:p>
          <w:p w14:paraId="75AAB120"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Double Cone Island</w:t>
            </w:r>
          </w:p>
          <w:p w14:paraId="305A050C"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Seaforth Island</w:t>
            </w:r>
            <w:r w:rsidRPr="00361E6D">
              <w:rPr>
                <w:rFonts w:ascii="Arial" w:hAnsi="Arial" w:cs="Arial"/>
                <w:b/>
                <w:sz w:val="20"/>
              </w:rPr>
              <w:t>**</w:t>
            </w:r>
          </w:p>
          <w:p w14:paraId="088070E8"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Dent Island</w:t>
            </w:r>
            <w:r w:rsidRPr="00361E6D">
              <w:rPr>
                <w:rFonts w:ascii="Arial" w:hAnsi="Arial" w:cs="Arial"/>
                <w:b/>
                <w:sz w:val="20"/>
              </w:rPr>
              <w:t>**</w:t>
            </w:r>
          </w:p>
          <w:p w14:paraId="42783C10"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Hook Island</w:t>
            </w:r>
          </w:p>
          <w:p w14:paraId="19A50C1B" w14:textId="77777777" w:rsidR="000E27E3" w:rsidRPr="00361E6D" w:rsidRDefault="000E27E3" w:rsidP="00361E6D">
            <w:pPr>
              <w:pStyle w:val="TableContents"/>
              <w:spacing w:before="0" w:after="0" w:line="240" w:lineRule="auto"/>
              <w:contextualSpacing/>
              <w:rPr>
                <w:rFonts w:ascii="Arial" w:hAnsi="Arial" w:cs="Arial"/>
                <w:i/>
                <w:sz w:val="20"/>
              </w:rPr>
            </w:pPr>
            <w:r w:rsidRPr="00361E6D">
              <w:rPr>
                <w:rFonts w:ascii="Arial" w:hAnsi="Arial" w:cs="Arial"/>
                <w:i/>
                <w:sz w:val="20"/>
              </w:rPr>
              <w:t>Hayman Island</w:t>
            </w:r>
          </w:p>
          <w:p w14:paraId="6BCE1690" w14:textId="77777777" w:rsidR="000E27E3" w:rsidRPr="00361E6D" w:rsidRDefault="000E27E3" w:rsidP="00361E6D">
            <w:pPr>
              <w:pStyle w:val="TableContents"/>
              <w:spacing w:before="0" w:after="0" w:line="240" w:lineRule="auto"/>
              <w:contextualSpacing/>
              <w:rPr>
                <w:rFonts w:ascii="Arial" w:hAnsi="Arial" w:cs="Arial"/>
                <w:i/>
                <w:sz w:val="20"/>
              </w:rPr>
            </w:pPr>
            <w:r w:rsidRPr="00361E6D">
              <w:rPr>
                <w:rFonts w:ascii="Arial" w:hAnsi="Arial" w:cs="Arial"/>
                <w:i/>
                <w:sz w:val="20"/>
              </w:rPr>
              <w:t>Langford Island</w:t>
            </w:r>
          </w:p>
          <w:p w14:paraId="5C447956" w14:textId="77777777" w:rsidR="000E27E3" w:rsidRPr="00361E6D" w:rsidRDefault="000E27E3" w:rsidP="00361E6D">
            <w:pPr>
              <w:pStyle w:val="TableContents"/>
              <w:spacing w:before="0" w:after="0" w:line="240" w:lineRule="auto"/>
              <w:contextualSpacing/>
              <w:rPr>
                <w:rFonts w:ascii="Arial" w:hAnsi="Arial" w:cs="Arial"/>
                <w:i/>
                <w:sz w:val="20"/>
              </w:rPr>
            </w:pPr>
            <w:r w:rsidRPr="00361E6D">
              <w:rPr>
                <w:rFonts w:ascii="Arial" w:hAnsi="Arial" w:cs="Arial"/>
                <w:i/>
                <w:sz w:val="20"/>
              </w:rPr>
              <w:t>Border Island</w:t>
            </w:r>
          </w:p>
        </w:tc>
        <w:tc>
          <w:tcPr>
            <w:tcW w:w="0" w:type="auto"/>
            <w:shd w:val="clear" w:color="auto" w:fill="E5DFEC"/>
            <w:tcMar>
              <w:top w:w="57" w:type="dxa"/>
              <w:left w:w="57" w:type="dxa"/>
              <w:bottom w:w="57" w:type="dxa"/>
              <w:right w:w="57" w:type="dxa"/>
            </w:tcMar>
          </w:tcPr>
          <w:p w14:paraId="49EFCF27"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AIMS</w:t>
            </w:r>
          </w:p>
        </w:tc>
      </w:tr>
      <w:tr w:rsidR="000E27E3" w:rsidRPr="00361E6D" w14:paraId="53F608B2" w14:textId="77777777" w:rsidTr="00FE09C6">
        <w:trPr>
          <w:trHeight w:val="510"/>
        </w:trPr>
        <w:tc>
          <w:tcPr>
            <w:tcW w:w="1271" w:type="dxa"/>
            <w:shd w:val="clear" w:color="auto" w:fill="D6E3BC"/>
            <w:tcMar>
              <w:top w:w="57" w:type="dxa"/>
              <w:left w:w="57" w:type="dxa"/>
              <w:bottom w:w="57" w:type="dxa"/>
              <w:right w:w="57" w:type="dxa"/>
            </w:tcMar>
            <w:vAlign w:val="center"/>
          </w:tcPr>
          <w:p w14:paraId="42E45DF1" w14:textId="77777777" w:rsidR="000E27E3" w:rsidRPr="00361E6D" w:rsidRDefault="000E27E3" w:rsidP="00361E6D">
            <w:pPr>
              <w:pStyle w:val="TableContents"/>
              <w:spacing w:before="0" w:after="0" w:line="240" w:lineRule="auto"/>
              <w:contextualSpacing/>
              <w:jc w:val="center"/>
              <w:rPr>
                <w:rFonts w:ascii="Arial" w:eastAsia="Arial Unicode MS" w:hAnsi="Arial" w:cs="Arial"/>
                <w:b/>
                <w:sz w:val="20"/>
              </w:rPr>
            </w:pPr>
            <w:r w:rsidRPr="00361E6D">
              <w:rPr>
                <w:rFonts w:ascii="Arial" w:hAnsi="Arial" w:cs="Arial"/>
                <w:b/>
                <w:sz w:val="20"/>
              </w:rPr>
              <w:t>Fitzroy</w:t>
            </w:r>
          </w:p>
        </w:tc>
        <w:tc>
          <w:tcPr>
            <w:tcW w:w="1418" w:type="dxa"/>
            <w:shd w:val="clear" w:color="auto" w:fill="D6E3BC"/>
            <w:tcMar>
              <w:top w:w="57" w:type="dxa"/>
              <w:left w:w="57" w:type="dxa"/>
              <w:bottom w:w="57" w:type="dxa"/>
              <w:right w:w="57" w:type="dxa"/>
            </w:tcMar>
          </w:tcPr>
          <w:p w14:paraId="4DF4ACAF" w14:textId="77777777" w:rsidR="000E27E3" w:rsidRPr="00361E6D" w:rsidRDefault="000E27E3" w:rsidP="00361E6D">
            <w:pPr>
              <w:pStyle w:val="TableContents"/>
              <w:spacing w:before="0" w:after="0" w:line="240" w:lineRule="auto"/>
              <w:contextualSpacing/>
              <w:rPr>
                <w:rFonts w:ascii="Arial" w:eastAsia="Arial Unicode MS" w:hAnsi="Arial" w:cs="Arial"/>
                <w:b/>
                <w:sz w:val="20"/>
              </w:rPr>
            </w:pPr>
            <w:r w:rsidRPr="00361E6D">
              <w:rPr>
                <w:rFonts w:ascii="Arial" w:hAnsi="Arial" w:cs="Arial"/>
                <w:b/>
                <w:sz w:val="20"/>
              </w:rPr>
              <w:t>Fitzroy</w:t>
            </w:r>
          </w:p>
        </w:tc>
        <w:tc>
          <w:tcPr>
            <w:tcW w:w="2551" w:type="dxa"/>
            <w:shd w:val="clear" w:color="auto" w:fill="D6E3BC"/>
            <w:tcMar>
              <w:top w:w="57" w:type="dxa"/>
              <w:left w:w="57" w:type="dxa"/>
              <w:bottom w:w="57" w:type="dxa"/>
              <w:right w:w="57" w:type="dxa"/>
            </w:tcMar>
          </w:tcPr>
          <w:p w14:paraId="3E919003"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Peak Island</w:t>
            </w:r>
          </w:p>
          <w:p w14:paraId="714EA624"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Pelican Island*</w:t>
            </w:r>
          </w:p>
          <w:p w14:paraId="7148B839"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Humpy &amp; Halfway Islands</w:t>
            </w:r>
            <w:r w:rsidRPr="00361E6D">
              <w:rPr>
                <w:rFonts w:ascii="Arial" w:hAnsi="Arial" w:cs="Arial"/>
                <w:b/>
                <w:sz w:val="20"/>
              </w:rPr>
              <w:t>*</w:t>
            </w:r>
          </w:p>
          <w:p w14:paraId="0DD05A5F"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Middle Island</w:t>
            </w:r>
          </w:p>
          <w:p w14:paraId="0D27A523"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North Keppel Island</w:t>
            </w:r>
          </w:p>
          <w:p w14:paraId="44F6F326" w14:textId="77777777" w:rsidR="000E27E3" w:rsidRPr="00361E6D" w:rsidRDefault="000E27E3" w:rsidP="00361E6D">
            <w:pPr>
              <w:pStyle w:val="TableContents"/>
              <w:spacing w:before="0" w:after="0" w:line="240" w:lineRule="auto"/>
              <w:contextualSpacing/>
              <w:rPr>
                <w:rFonts w:ascii="Arial" w:eastAsia="Arial Unicode MS" w:hAnsi="Arial" w:cs="Arial"/>
                <w:b/>
                <w:sz w:val="20"/>
              </w:rPr>
            </w:pPr>
            <w:r w:rsidRPr="00361E6D">
              <w:rPr>
                <w:rFonts w:ascii="Arial" w:hAnsi="Arial" w:cs="Arial"/>
                <w:sz w:val="20"/>
              </w:rPr>
              <w:t>Barren Island</w:t>
            </w:r>
            <w:r w:rsidRPr="00361E6D">
              <w:rPr>
                <w:rFonts w:ascii="Arial" w:hAnsi="Arial" w:cs="Arial"/>
                <w:b/>
                <w:sz w:val="20"/>
              </w:rPr>
              <w:t>*</w:t>
            </w:r>
          </w:p>
        </w:tc>
        <w:tc>
          <w:tcPr>
            <w:tcW w:w="2537" w:type="dxa"/>
            <w:shd w:val="clear" w:color="auto" w:fill="D6E3BC"/>
          </w:tcPr>
          <w:p w14:paraId="50DAE4ED"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Peak Island</w:t>
            </w:r>
          </w:p>
          <w:p w14:paraId="788D360E"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Pelican Island</w:t>
            </w:r>
            <w:r w:rsidRPr="00361E6D">
              <w:rPr>
                <w:rFonts w:ascii="Arial" w:hAnsi="Arial" w:cs="Arial"/>
                <w:b/>
                <w:sz w:val="20"/>
              </w:rPr>
              <w:t>**</w:t>
            </w:r>
          </w:p>
          <w:p w14:paraId="5C5FAEBF"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Humpy &amp; Halfway Islands</w:t>
            </w:r>
          </w:p>
          <w:p w14:paraId="5DBFB25F"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Middle Island</w:t>
            </w:r>
          </w:p>
          <w:p w14:paraId="1E2AD050" w14:textId="77777777" w:rsidR="000E27E3" w:rsidRPr="00361E6D" w:rsidRDefault="000E27E3" w:rsidP="00361E6D">
            <w:pPr>
              <w:pStyle w:val="TableContents"/>
              <w:spacing w:before="0" w:after="0" w:line="240" w:lineRule="auto"/>
              <w:contextualSpacing/>
              <w:rPr>
                <w:rFonts w:ascii="Arial" w:hAnsi="Arial" w:cs="Arial"/>
                <w:sz w:val="20"/>
              </w:rPr>
            </w:pPr>
            <w:r w:rsidRPr="00361E6D">
              <w:rPr>
                <w:rFonts w:ascii="Arial" w:hAnsi="Arial" w:cs="Arial"/>
                <w:sz w:val="20"/>
              </w:rPr>
              <w:t>North Keppel Island**</w:t>
            </w:r>
          </w:p>
          <w:p w14:paraId="6B8652D2"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sz w:val="20"/>
              </w:rPr>
              <w:t>Barren Island</w:t>
            </w:r>
            <w:r w:rsidRPr="00361E6D">
              <w:rPr>
                <w:rFonts w:ascii="Arial" w:hAnsi="Arial" w:cs="Arial"/>
                <w:b/>
                <w:sz w:val="20"/>
              </w:rPr>
              <w:t>**</w:t>
            </w:r>
          </w:p>
        </w:tc>
        <w:tc>
          <w:tcPr>
            <w:tcW w:w="0" w:type="auto"/>
            <w:shd w:val="clear" w:color="auto" w:fill="D6E3BC"/>
            <w:tcMar>
              <w:top w:w="57" w:type="dxa"/>
              <w:left w:w="57" w:type="dxa"/>
              <w:bottom w:w="57" w:type="dxa"/>
              <w:right w:w="57" w:type="dxa"/>
            </w:tcMar>
          </w:tcPr>
          <w:p w14:paraId="1B242040" w14:textId="77777777" w:rsidR="000E27E3" w:rsidRPr="00361E6D" w:rsidRDefault="000E27E3" w:rsidP="00361E6D">
            <w:pPr>
              <w:pStyle w:val="TableContents"/>
              <w:spacing w:before="0" w:after="0" w:line="240" w:lineRule="auto"/>
              <w:contextualSpacing/>
              <w:rPr>
                <w:rFonts w:ascii="Arial" w:hAnsi="Arial" w:cs="Arial"/>
                <w:b/>
                <w:sz w:val="20"/>
              </w:rPr>
            </w:pPr>
            <w:r w:rsidRPr="00361E6D">
              <w:rPr>
                <w:rFonts w:ascii="Arial" w:hAnsi="Arial" w:cs="Arial"/>
                <w:b/>
                <w:sz w:val="20"/>
              </w:rPr>
              <w:t>AIMS</w:t>
            </w:r>
          </w:p>
        </w:tc>
      </w:tr>
    </w:tbl>
    <w:p w14:paraId="4A1EB707" w14:textId="77777777" w:rsidR="000E27E3" w:rsidRDefault="000E27E3" w:rsidP="00361E6D">
      <w:pPr>
        <w:spacing w:before="0" w:after="0"/>
        <w:rPr>
          <w:rFonts w:cs="Arial"/>
          <w:sz w:val="18"/>
          <w:szCs w:val="18"/>
        </w:rPr>
      </w:pPr>
      <w:r w:rsidRPr="009548AE">
        <w:rPr>
          <w:rFonts w:cs="Arial"/>
          <w:sz w:val="18"/>
          <w:szCs w:val="18"/>
          <w:vertAlign w:val="superscript"/>
        </w:rPr>
        <w:t>#</w:t>
      </w:r>
      <w:r>
        <w:rPr>
          <w:rFonts w:cs="Arial"/>
          <w:sz w:val="18"/>
          <w:szCs w:val="18"/>
        </w:rPr>
        <w:t xml:space="preserve"> Sampling discontinuded after 2006</w:t>
      </w:r>
    </w:p>
    <w:p w14:paraId="17607491" w14:textId="77777777" w:rsidR="000E27E3" w:rsidRDefault="000E27E3" w:rsidP="00361E6D">
      <w:pPr>
        <w:spacing w:before="0" w:after="0"/>
        <w:rPr>
          <w:rFonts w:cs="Arial"/>
          <w:sz w:val="18"/>
          <w:szCs w:val="18"/>
        </w:rPr>
      </w:pPr>
      <w:r w:rsidRPr="001861B8">
        <w:rPr>
          <w:rFonts w:cs="Arial"/>
          <w:sz w:val="18"/>
          <w:szCs w:val="18"/>
        </w:rPr>
        <w:t xml:space="preserve">* </w:t>
      </w:r>
      <w:r>
        <w:rPr>
          <w:rFonts w:cs="Arial"/>
          <w:sz w:val="18"/>
          <w:szCs w:val="18"/>
        </w:rPr>
        <w:t>Reefs designated as ‘core reefs’ and sampled annually</w:t>
      </w:r>
    </w:p>
    <w:p w14:paraId="6A649D2A" w14:textId="77777777" w:rsidR="000E27E3" w:rsidRDefault="000E27E3" w:rsidP="00361E6D">
      <w:pPr>
        <w:spacing w:before="0" w:after="0"/>
        <w:rPr>
          <w:rFonts w:cs="Arial"/>
          <w:sz w:val="18"/>
          <w:szCs w:val="18"/>
        </w:rPr>
      </w:pPr>
      <w:r w:rsidRPr="001861B8">
        <w:rPr>
          <w:rFonts w:cs="Arial"/>
          <w:sz w:val="18"/>
          <w:szCs w:val="18"/>
        </w:rPr>
        <w:t>*</w:t>
      </w:r>
      <w:r>
        <w:rPr>
          <w:rFonts w:cs="Arial"/>
          <w:sz w:val="18"/>
          <w:szCs w:val="18"/>
        </w:rPr>
        <w:t>*</w:t>
      </w:r>
      <w:r w:rsidRPr="001861B8">
        <w:rPr>
          <w:rFonts w:cs="Arial"/>
          <w:sz w:val="18"/>
          <w:szCs w:val="18"/>
        </w:rPr>
        <w:t xml:space="preserve"> </w:t>
      </w:r>
      <w:r>
        <w:rPr>
          <w:rFonts w:cs="Arial"/>
          <w:sz w:val="18"/>
          <w:szCs w:val="18"/>
        </w:rPr>
        <w:t>Reefs sampled in odd numbered years under the biennial sampling design</w:t>
      </w:r>
    </w:p>
    <w:p w14:paraId="30EE40D5" w14:textId="77777777" w:rsidR="000E27E3" w:rsidRDefault="000E27E3" w:rsidP="00361E6D">
      <w:pPr>
        <w:spacing w:before="0" w:after="0"/>
        <w:rPr>
          <w:rFonts w:cs="Arial"/>
          <w:sz w:val="18"/>
          <w:szCs w:val="18"/>
        </w:rPr>
      </w:pPr>
      <w:r>
        <w:rPr>
          <w:rFonts w:cs="Arial"/>
          <w:sz w:val="18"/>
          <w:szCs w:val="18"/>
        </w:rPr>
        <w:t>Italics identifieds reefs surveyed by the AIMS long-term monitoring program</w:t>
      </w:r>
    </w:p>
    <w:p w14:paraId="04A2E3BF" w14:textId="77777777" w:rsidR="00361E6D" w:rsidRPr="00556F20" w:rsidRDefault="00361E6D" w:rsidP="00361E6D">
      <w:pPr>
        <w:spacing w:before="0" w:after="0"/>
        <w:rPr>
          <w:rFonts w:cs="Arial"/>
          <w:sz w:val="18"/>
          <w:szCs w:val="18"/>
        </w:rPr>
      </w:pPr>
    </w:p>
    <w:p w14:paraId="1C548DE5" w14:textId="6A13D5E8" w:rsidR="001C1BFA" w:rsidRPr="00EF05BA" w:rsidRDefault="001C1BFA" w:rsidP="007E5A3A">
      <w:pPr>
        <w:pStyle w:val="Caption"/>
      </w:pPr>
      <w:bookmarkStart w:id="338" w:name="_Ref489456051"/>
      <w:bookmarkStart w:id="339" w:name="_Toc10398450"/>
      <w:r w:rsidRPr="00EF05BA">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5</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2</w:t>
      </w:r>
      <w:r w:rsidR="006940F4">
        <w:rPr>
          <w:noProof/>
        </w:rPr>
        <w:fldChar w:fldCharType="end"/>
      </w:r>
      <w:bookmarkEnd w:id="338"/>
      <w:r w:rsidRPr="00EF05BA">
        <w:t xml:space="preserve"> </w:t>
      </w:r>
      <w:r w:rsidRPr="009B6881">
        <w:t>Distribution of sampling effort</w:t>
      </w:r>
      <w:bookmarkEnd w:id="339"/>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Caption w:val="Table 5.2"/>
        <w:tblDescription w:val="Table 5.2 Distribution of sampling effort"/>
      </w:tblPr>
      <w:tblGrid>
        <w:gridCol w:w="1572"/>
        <w:gridCol w:w="1970"/>
        <w:gridCol w:w="2697"/>
        <w:gridCol w:w="1699"/>
      </w:tblGrid>
      <w:tr w:rsidR="00590F0A" w:rsidRPr="00780C6B" w14:paraId="6AD51B04" w14:textId="77777777" w:rsidTr="00590F0A">
        <w:trPr>
          <w:jc w:val="center"/>
        </w:trPr>
        <w:tc>
          <w:tcPr>
            <w:tcW w:w="990" w:type="pct"/>
            <w:shd w:val="clear" w:color="auto" w:fill="D9D9D9"/>
            <w:vAlign w:val="center"/>
          </w:tcPr>
          <w:p w14:paraId="72D43B31" w14:textId="77777777" w:rsidR="00590F0A" w:rsidRPr="00780C6B" w:rsidRDefault="00590F0A" w:rsidP="00CC5A54">
            <w:pPr>
              <w:spacing w:before="0" w:after="0" w:line="240" w:lineRule="auto"/>
              <w:contextualSpacing/>
              <w:jc w:val="center"/>
              <w:rPr>
                <w:rFonts w:cs="Arial"/>
                <w:b/>
                <w:sz w:val="20"/>
                <w:szCs w:val="20"/>
              </w:rPr>
            </w:pPr>
            <w:bookmarkStart w:id="340" w:name="_Toc234214896"/>
            <w:r w:rsidRPr="00780C6B">
              <w:rPr>
                <w:rFonts w:cs="Arial"/>
                <w:b/>
                <w:sz w:val="20"/>
                <w:szCs w:val="20"/>
              </w:rPr>
              <w:t>Survey Method</w:t>
            </w:r>
          </w:p>
        </w:tc>
        <w:tc>
          <w:tcPr>
            <w:tcW w:w="1241" w:type="pct"/>
            <w:shd w:val="clear" w:color="auto" w:fill="D9D9D9"/>
            <w:vAlign w:val="center"/>
          </w:tcPr>
          <w:p w14:paraId="52EFBF0F" w14:textId="77777777" w:rsidR="00590F0A" w:rsidRPr="00780C6B" w:rsidRDefault="00590F0A" w:rsidP="00CC5A54">
            <w:pPr>
              <w:spacing w:before="0" w:after="0" w:line="240" w:lineRule="auto"/>
              <w:contextualSpacing/>
              <w:rPr>
                <w:rFonts w:cs="Arial"/>
                <w:b/>
                <w:sz w:val="20"/>
                <w:szCs w:val="20"/>
              </w:rPr>
            </w:pPr>
            <w:r w:rsidRPr="00780C6B">
              <w:rPr>
                <w:rFonts w:cs="Arial"/>
                <w:b/>
                <w:sz w:val="20"/>
                <w:szCs w:val="20"/>
              </w:rPr>
              <w:t>Information provided</w:t>
            </w:r>
          </w:p>
        </w:tc>
        <w:tc>
          <w:tcPr>
            <w:tcW w:w="1699" w:type="pct"/>
            <w:shd w:val="clear" w:color="auto" w:fill="D9D9D9"/>
            <w:vAlign w:val="center"/>
          </w:tcPr>
          <w:p w14:paraId="528190D1" w14:textId="77777777" w:rsidR="00590F0A" w:rsidRPr="00780C6B" w:rsidRDefault="00590F0A" w:rsidP="00CC5A54">
            <w:pPr>
              <w:spacing w:before="0" w:after="0" w:line="240" w:lineRule="auto"/>
              <w:contextualSpacing/>
              <w:rPr>
                <w:rFonts w:cs="Arial"/>
                <w:b/>
                <w:sz w:val="20"/>
                <w:szCs w:val="20"/>
              </w:rPr>
            </w:pPr>
            <w:r w:rsidRPr="00780C6B">
              <w:rPr>
                <w:rFonts w:cs="Arial"/>
                <w:b/>
                <w:sz w:val="20"/>
                <w:szCs w:val="20"/>
              </w:rPr>
              <w:t>Transect coverage</w:t>
            </w:r>
          </w:p>
        </w:tc>
        <w:tc>
          <w:tcPr>
            <w:tcW w:w="1070" w:type="pct"/>
            <w:shd w:val="clear" w:color="auto" w:fill="D9D9D9"/>
            <w:vAlign w:val="center"/>
          </w:tcPr>
          <w:p w14:paraId="4F9D911E" w14:textId="77777777" w:rsidR="00590F0A" w:rsidRPr="00780C6B" w:rsidRDefault="00590F0A" w:rsidP="00CC5A54">
            <w:pPr>
              <w:spacing w:before="0" w:after="0" w:line="240" w:lineRule="auto"/>
              <w:contextualSpacing/>
              <w:rPr>
                <w:rFonts w:cs="Arial"/>
                <w:b/>
                <w:sz w:val="20"/>
                <w:szCs w:val="20"/>
              </w:rPr>
            </w:pPr>
            <w:r w:rsidRPr="00780C6B">
              <w:rPr>
                <w:rFonts w:cs="Arial"/>
                <w:b/>
                <w:sz w:val="20"/>
                <w:szCs w:val="20"/>
              </w:rPr>
              <w:t>Spatial coverage</w:t>
            </w:r>
          </w:p>
        </w:tc>
      </w:tr>
      <w:tr w:rsidR="00590F0A" w:rsidRPr="00780C6B" w14:paraId="7049EACF" w14:textId="77777777" w:rsidTr="00590F0A">
        <w:trPr>
          <w:jc w:val="center"/>
        </w:trPr>
        <w:tc>
          <w:tcPr>
            <w:tcW w:w="990" w:type="pct"/>
          </w:tcPr>
          <w:p w14:paraId="0C7A509B" w14:textId="6D826C3E" w:rsidR="00590F0A" w:rsidRPr="00780C6B" w:rsidRDefault="00590F0A" w:rsidP="00CC5A54">
            <w:pPr>
              <w:spacing w:before="0" w:after="0" w:line="240" w:lineRule="auto"/>
              <w:contextualSpacing/>
              <w:rPr>
                <w:rFonts w:cs="Arial"/>
                <w:sz w:val="20"/>
                <w:szCs w:val="20"/>
              </w:rPr>
            </w:pPr>
            <w:r w:rsidRPr="00780C6B">
              <w:rPr>
                <w:rFonts w:cs="Arial"/>
                <w:sz w:val="20"/>
                <w:szCs w:val="20"/>
              </w:rPr>
              <w:t xml:space="preserve">Photo </w:t>
            </w:r>
            <w:r w:rsidR="00134D1D">
              <w:rPr>
                <w:rFonts w:cs="Arial"/>
                <w:sz w:val="20"/>
                <w:szCs w:val="20"/>
              </w:rPr>
              <w:t>p</w:t>
            </w:r>
            <w:r w:rsidR="00134D1D" w:rsidRPr="00780C6B">
              <w:rPr>
                <w:rFonts w:cs="Arial"/>
                <w:sz w:val="20"/>
                <w:szCs w:val="20"/>
              </w:rPr>
              <w:t xml:space="preserve">oint </w:t>
            </w:r>
            <w:r w:rsidR="00134D1D">
              <w:rPr>
                <w:rFonts w:cs="Arial"/>
                <w:sz w:val="20"/>
                <w:szCs w:val="20"/>
              </w:rPr>
              <w:t>i</w:t>
            </w:r>
            <w:r w:rsidR="00134D1D" w:rsidRPr="00780C6B">
              <w:rPr>
                <w:rFonts w:cs="Arial"/>
                <w:sz w:val="20"/>
                <w:szCs w:val="20"/>
              </w:rPr>
              <w:t>ntercept</w:t>
            </w:r>
          </w:p>
        </w:tc>
        <w:tc>
          <w:tcPr>
            <w:tcW w:w="1241" w:type="pct"/>
          </w:tcPr>
          <w:p w14:paraId="4B73105E" w14:textId="3F7F82AE" w:rsidR="00590F0A" w:rsidRPr="00780C6B" w:rsidRDefault="00590F0A" w:rsidP="00CC5A54">
            <w:pPr>
              <w:spacing w:before="0" w:after="0" w:line="240" w:lineRule="auto"/>
              <w:contextualSpacing/>
              <w:rPr>
                <w:rFonts w:cs="Arial"/>
                <w:sz w:val="20"/>
                <w:szCs w:val="20"/>
              </w:rPr>
            </w:pPr>
            <w:r w:rsidRPr="00780C6B">
              <w:rPr>
                <w:rFonts w:cs="Arial"/>
                <w:sz w:val="20"/>
                <w:szCs w:val="20"/>
              </w:rPr>
              <w:t>Percentage cover of the substrate for major benthic habitat components</w:t>
            </w:r>
          </w:p>
        </w:tc>
        <w:tc>
          <w:tcPr>
            <w:tcW w:w="1699" w:type="pct"/>
          </w:tcPr>
          <w:p w14:paraId="1847B99F" w14:textId="3B5B30B0" w:rsidR="00590F0A" w:rsidRPr="00780C6B" w:rsidRDefault="00590F0A" w:rsidP="00CC5A54">
            <w:pPr>
              <w:spacing w:before="0" w:after="0" w:line="240" w:lineRule="auto"/>
              <w:contextualSpacing/>
              <w:rPr>
                <w:rFonts w:cs="Arial"/>
                <w:sz w:val="20"/>
                <w:szCs w:val="20"/>
              </w:rPr>
            </w:pPr>
            <w:r w:rsidRPr="00780C6B">
              <w:rPr>
                <w:rFonts w:cs="Arial"/>
                <w:sz w:val="20"/>
                <w:szCs w:val="20"/>
              </w:rPr>
              <w:t xml:space="preserve">Approximately 25 cm belt along upslope side of transect </w:t>
            </w:r>
            <w:r w:rsidR="00134D1D">
              <w:rPr>
                <w:rFonts w:cs="Arial"/>
                <w:sz w:val="20"/>
                <w:szCs w:val="20"/>
              </w:rPr>
              <w:t>from</w:t>
            </w:r>
            <w:r w:rsidR="00134D1D" w:rsidRPr="00780C6B">
              <w:rPr>
                <w:rFonts w:cs="Arial"/>
                <w:sz w:val="20"/>
                <w:szCs w:val="20"/>
              </w:rPr>
              <w:t xml:space="preserve"> </w:t>
            </w:r>
            <w:r w:rsidRPr="00780C6B">
              <w:rPr>
                <w:rFonts w:cs="Arial"/>
                <w:sz w:val="20"/>
                <w:szCs w:val="20"/>
              </w:rPr>
              <w:t xml:space="preserve">which 160 points are sampled </w:t>
            </w:r>
          </w:p>
        </w:tc>
        <w:tc>
          <w:tcPr>
            <w:tcW w:w="1070" w:type="pct"/>
          </w:tcPr>
          <w:p w14:paraId="12A8C994"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Full sampling design</w:t>
            </w:r>
          </w:p>
        </w:tc>
      </w:tr>
      <w:tr w:rsidR="00590F0A" w:rsidRPr="00780C6B" w14:paraId="16A9E5E7" w14:textId="77777777" w:rsidTr="00590F0A">
        <w:trPr>
          <w:jc w:val="center"/>
        </w:trPr>
        <w:tc>
          <w:tcPr>
            <w:tcW w:w="990" w:type="pct"/>
          </w:tcPr>
          <w:p w14:paraId="5EC2024E" w14:textId="77B4E878" w:rsidR="00590F0A" w:rsidRPr="00780C6B" w:rsidRDefault="000E27E3" w:rsidP="00CC5A54">
            <w:pPr>
              <w:spacing w:before="0" w:after="0" w:line="240" w:lineRule="auto"/>
              <w:contextualSpacing/>
              <w:rPr>
                <w:rFonts w:cs="Arial"/>
                <w:sz w:val="20"/>
                <w:szCs w:val="20"/>
              </w:rPr>
            </w:pPr>
            <w:r>
              <w:rPr>
                <w:rFonts w:cs="Arial"/>
                <w:sz w:val="20"/>
                <w:szCs w:val="20"/>
              </w:rPr>
              <w:t>Juvenile counts</w:t>
            </w:r>
          </w:p>
        </w:tc>
        <w:tc>
          <w:tcPr>
            <w:tcW w:w="1241" w:type="pct"/>
          </w:tcPr>
          <w:p w14:paraId="53DF54F5"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Size structure of coral communities, density post settlement recruitment</w:t>
            </w:r>
          </w:p>
        </w:tc>
        <w:tc>
          <w:tcPr>
            <w:tcW w:w="1699" w:type="pct"/>
          </w:tcPr>
          <w:p w14:paraId="39CB270D" w14:textId="3467AC2D" w:rsidR="00590F0A" w:rsidRPr="00780C6B" w:rsidRDefault="00134D1D" w:rsidP="00CC5A54">
            <w:pPr>
              <w:spacing w:before="0" w:after="0" w:line="240" w:lineRule="auto"/>
              <w:contextualSpacing/>
              <w:rPr>
                <w:rFonts w:cs="Arial"/>
                <w:sz w:val="20"/>
                <w:szCs w:val="20"/>
              </w:rPr>
            </w:pPr>
            <w:r>
              <w:rPr>
                <w:rFonts w:cs="Arial"/>
                <w:sz w:val="20"/>
                <w:szCs w:val="20"/>
              </w:rPr>
              <w:t xml:space="preserve">A </w:t>
            </w:r>
            <w:r w:rsidR="00590F0A" w:rsidRPr="00780C6B">
              <w:rPr>
                <w:rFonts w:cs="Arial"/>
                <w:sz w:val="20"/>
                <w:szCs w:val="20"/>
              </w:rPr>
              <w:t>34 cm belt along the upslope side of each transect</w:t>
            </w:r>
          </w:p>
        </w:tc>
        <w:tc>
          <w:tcPr>
            <w:tcW w:w="1070" w:type="pct"/>
          </w:tcPr>
          <w:p w14:paraId="41A5F4B7"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Full sampling design</w:t>
            </w:r>
          </w:p>
        </w:tc>
      </w:tr>
      <w:tr w:rsidR="00590F0A" w:rsidRPr="00780C6B" w14:paraId="06E8AF71" w14:textId="77777777" w:rsidTr="00590F0A">
        <w:trPr>
          <w:jc w:val="center"/>
        </w:trPr>
        <w:tc>
          <w:tcPr>
            <w:tcW w:w="990" w:type="pct"/>
          </w:tcPr>
          <w:p w14:paraId="0EE58518" w14:textId="084504D5" w:rsidR="00590F0A" w:rsidRPr="00780C6B" w:rsidRDefault="00590F0A" w:rsidP="00CC5A54">
            <w:pPr>
              <w:spacing w:before="0" w:after="0" w:line="240" w:lineRule="auto"/>
              <w:contextualSpacing/>
              <w:rPr>
                <w:rFonts w:cs="Arial"/>
                <w:sz w:val="20"/>
                <w:szCs w:val="20"/>
              </w:rPr>
            </w:pPr>
            <w:r w:rsidRPr="00780C6B">
              <w:rPr>
                <w:rFonts w:cs="Arial"/>
                <w:sz w:val="20"/>
                <w:szCs w:val="20"/>
              </w:rPr>
              <w:t xml:space="preserve">Scuba </w:t>
            </w:r>
            <w:r w:rsidR="00134D1D">
              <w:rPr>
                <w:rFonts w:cs="Arial"/>
                <w:sz w:val="20"/>
                <w:szCs w:val="20"/>
              </w:rPr>
              <w:t>s</w:t>
            </w:r>
            <w:r w:rsidR="00134D1D" w:rsidRPr="00780C6B">
              <w:rPr>
                <w:rFonts w:cs="Arial"/>
                <w:sz w:val="20"/>
                <w:szCs w:val="20"/>
              </w:rPr>
              <w:t>earch</w:t>
            </w:r>
          </w:p>
        </w:tc>
        <w:tc>
          <w:tcPr>
            <w:tcW w:w="1241" w:type="pct"/>
          </w:tcPr>
          <w:p w14:paraId="162FA9B6"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Incidence of factors causing coral mortality</w:t>
            </w:r>
          </w:p>
        </w:tc>
        <w:tc>
          <w:tcPr>
            <w:tcW w:w="1699" w:type="pct"/>
          </w:tcPr>
          <w:p w14:paraId="3D8E633D" w14:textId="77777777" w:rsidR="00590F0A" w:rsidRPr="00FE379C" w:rsidRDefault="00590F0A" w:rsidP="00CC5A54">
            <w:pPr>
              <w:spacing w:before="0" w:after="0" w:line="240" w:lineRule="auto"/>
              <w:contextualSpacing/>
              <w:rPr>
                <w:rFonts w:cs="Arial"/>
                <w:sz w:val="20"/>
                <w:szCs w:val="20"/>
              </w:rPr>
            </w:pPr>
            <w:r w:rsidRPr="00FE379C">
              <w:rPr>
                <w:rFonts w:cs="Arial"/>
                <w:sz w:val="20"/>
                <w:szCs w:val="20"/>
              </w:rPr>
              <w:t>Two-metre belt centred on transect</w:t>
            </w:r>
          </w:p>
        </w:tc>
        <w:tc>
          <w:tcPr>
            <w:tcW w:w="1070" w:type="pct"/>
          </w:tcPr>
          <w:p w14:paraId="1A81F6E0" w14:textId="77777777" w:rsidR="00590F0A" w:rsidRPr="00780C6B" w:rsidRDefault="00590F0A" w:rsidP="00CC5A54">
            <w:pPr>
              <w:spacing w:before="0" w:after="0" w:line="240" w:lineRule="auto"/>
              <w:contextualSpacing/>
              <w:rPr>
                <w:rFonts w:cs="Arial"/>
                <w:sz w:val="20"/>
                <w:szCs w:val="20"/>
              </w:rPr>
            </w:pPr>
            <w:r w:rsidRPr="00780C6B">
              <w:rPr>
                <w:rFonts w:cs="Arial"/>
                <w:sz w:val="20"/>
                <w:szCs w:val="20"/>
              </w:rPr>
              <w:t>Full sampling design</w:t>
            </w:r>
          </w:p>
        </w:tc>
      </w:tr>
    </w:tbl>
    <w:p w14:paraId="1841EE41" w14:textId="77777777" w:rsidR="00361E6D" w:rsidRPr="0058370B" w:rsidRDefault="00361E6D" w:rsidP="0067588D">
      <w:pPr>
        <w:pStyle w:val="Heading3"/>
      </w:pPr>
      <w:bookmarkStart w:id="341" w:name="_Toc261013300"/>
      <w:bookmarkStart w:id="342" w:name="_Toc294781718"/>
      <w:bookmarkStart w:id="343" w:name="_Toc393785056"/>
      <w:bookmarkStart w:id="344" w:name="_Toc394061161"/>
      <w:bookmarkStart w:id="345" w:name="_Toc394061251"/>
      <w:bookmarkStart w:id="346" w:name="_Toc423036772"/>
      <w:bookmarkStart w:id="347" w:name="_Toc520727854"/>
      <w:bookmarkStart w:id="348" w:name="_Toc12365599"/>
      <w:r w:rsidRPr="0058370B">
        <w:t>Depth selection</w:t>
      </w:r>
      <w:bookmarkEnd w:id="341"/>
      <w:bookmarkEnd w:id="342"/>
      <w:bookmarkEnd w:id="343"/>
      <w:bookmarkEnd w:id="344"/>
      <w:bookmarkEnd w:id="345"/>
      <w:bookmarkEnd w:id="346"/>
      <w:bookmarkEnd w:id="347"/>
      <w:bookmarkEnd w:id="348"/>
    </w:p>
    <w:p w14:paraId="345DE0A5" w14:textId="77777777" w:rsidR="00361E6D" w:rsidRPr="00FE379C" w:rsidRDefault="00361E6D" w:rsidP="00361E6D">
      <w:pPr>
        <w:rPr>
          <w:rFonts w:cs="Arial"/>
        </w:rPr>
      </w:pPr>
      <w:r w:rsidRPr="0058370B">
        <w:rPr>
          <w:rFonts w:cs="Arial"/>
        </w:rPr>
        <w:t xml:space="preserve">From observations of a number of </w:t>
      </w:r>
      <w:r w:rsidRPr="0058370B">
        <w:rPr>
          <w:rFonts w:cs="Arial"/>
          <w:color w:val="000000"/>
        </w:rPr>
        <w:t>inshore</w:t>
      </w:r>
      <w:r w:rsidRPr="0058370B">
        <w:rPr>
          <w:rFonts w:cs="Arial"/>
        </w:rPr>
        <w:t xml:space="preserve"> reefs undertaken by AIMS in 2004</w:t>
      </w:r>
      <w:r>
        <w:rPr>
          <w:rFonts w:cs="Arial"/>
        </w:rPr>
        <w:t xml:space="preserve">, </w:t>
      </w:r>
      <w:r w:rsidRPr="0058370B">
        <w:rPr>
          <w:rFonts w:cs="Arial"/>
        </w:rPr>
        <w:t>marked differences in community structure and exposure to perturbations with depth were noted</w:t>
      </w:r>
      <w:r>
        <w:rPr>
          <w:rFonts w:cs="Arial"/>
        </w:rPr>
        <w:t xml:space="preserve"> </w:t>
      </w:r>
      <w:r>
        <w:rPr>
          <w:rFonts w:cs="Arial"/>
        </w:rPr>
        <w:fldChar w:fldCharType="begin"/>
      </w:r>
      <w:r>
        <w:rPr>
          <w:rFonts w:cs="Arial"/>
        </w:rPr>
        <w:instrText xml:space="preserve"> ADDIN EN.CITE &lt;EndNote&gt;&lt;Cite&gt;&lt;Author&gt;Sweatman&lt;/Author&gt;&lt;Year&gt;2007&lt;/Year&gt;&lt;RecNum&gt;1331&lt;/RecNum&gt;&lt;DisplayText&gt;(Sweatman et al., 2007)&lt;/DisplayText&gt;&lt;record&gt;&lt;rec-number&gt;1331&lt;/rec-number&gt;&lt;foreign-keys&gt;&lt;key app="EN" db-id="zapfddtwo2e9z5e5vxoxafs7sf59wfp52rvf" timestamp="1558928893"&gt;1331&lt;/key&gt;&lt;/foreign-keys&gt;&lt;ref-type name="Report"&gt;27&lt;/ref-type&gt;&lt;contributors&gt;&lt;authors&gt;&lt;author&gt;Sweatman, H.&lt;/author&gt;&lt;author&gt;Thompson, A.&lt;/author&gt;&lt;author&gt;Delean, S.&lt;/author&gt;&lt;author&gt;Davidson, J.&lt;/author&gt;&lt;author&gt;Neale, S.&lt;/author&gt;&lt;/authors&gt;&lt;/contributors&gt;&lt;titles&gt;&lt;title&gt;Status of Near-Shore Reefs of the Great Barrier Reef 2004&lt;/title&gt;&lt;secondary-title&gt;Marine and Tropical Sciences Research Facility Research Report Series&lt;/secondary-title&gt;&lt;/titles&gt;&lt;pages&gt;169&lt;/pages&gt;&lt;dates&gt;&lt;year&gt;2007&lt;/year&gt;&lt;/dates&gt;&lt;pub-location&gt;Reef and Rainforest Research Centre Limited, Cairns&lt;/pub-location&gt;&lt;urls&gt;&lt;related-urls&gt;&lt;url&gt;http://rrrc.org.au/wp-content/uploads/2014/06/Final-Status-of-Near-Shore-Reefs-120707.pdf&lt;/url&gt;&lt;/related-urls&gt;&lt;/urls&gt;&lt;access-date&gt;27/05/2019&lt;/access-date&gt;&lt;/record&gt;&lt;/Cite&gt;&lt;/EndNote&gt;</w:instrText>
      </w:r>
      <w:r>
        <w:rPr>
          <w:rFonts w:cs="Arial"/>
        </w:rPr>
        <w:fldChar w:fldCharType="separate"/>
      </w:r>
      <w:r>
        <w:rPr>
          <w:rFonts w:cs="Arial"/>
          <w:noProof/>
        </w:rPr>
        <w:t>(Sweatman et al., 2007)</w:t>
      </w:r>
      <w:r>
        <w:rPr>
          <w:rFonts w:cs="Arial"/>
        </w:rPr>
        <w:fldChar w:fldCharType="end"/>
      </w:r>
      <w:r w:rsidRPr="0058370B">
        <w:rPr>
          <w:rFonts w:cs="Arial"/>
        </w:rPr>
        <w:t xml:space="preserve">. The lower limit </w:t>
      </w:r>
      <w:r w:rsidRPr="0058370B">
        <w:rPr>
          <w:rFonts w:cs="Arial"/>
          <w:color w:val="000000"/>
        </w:rPr>
        <w:t xml:space="preserve">for the inshore coral surveys was </w:t>
      </w:r>
      <w:r w:rsidRPr="00FE379C">
        <w:rPr>
          <w:rFonts w:cs="Arial"/>
        </w:rPr>
        <w:t xml:space="preserve">selected </w:t>
      </w:r>
      <w:r w:rsidRPr="00FE379C">
        <w:rPr>
          <w:rFonts w:cs="Arial"/>
          <w:color w:val="000000"/>
        </w:rPr>
        <w:t>at five metres</w:t>
      </w:r>
      <w:r w:rsidRPr="00FE379C">
        <w:rPr>
          <w:rFonts w:cs="Arial"/>
        </w:rPr>
        <w:t xml:space="preserve"> below datum </w:t>
      </w:r>
      <w:r w:rsidRPr="00FE379C">
        <w:rPr>
          <w:rFonts w:cs="Arial"/>
          <w:color w:val="000000"/>
        </w:rPr>
        <w:t>because</w:t>
      </w:r>
      <w:r w:rsidRPr="00FE379C">
        <w:rPr>
          <w:rFonts w:cs="Arial"/>
        </w:rPr>
        <w:t xml:space="preserve"> coral </w:t>
      </w:r>
      <w:r w:rsidRPr="00FE379C">
        <w:rPr>
          <w:rFonts w:cs="Arial"/>
          <w:color w:val="000000"/>
        </w:rPr>
        <w:t>communities</w:t>
      </w:r>
      <w:r w:rsidRPr="00FE379C">
        <w:rPr>
          <w:rFonts w:cs="Arial"/>
        </w:rPr>
        <w:t xml:space="preserve"> rapidly </w:t>
      </w:r>
      <w:r w:rsidRPr="00FE379C">
        <w:rPr>
          <w:rFonts w:cs="Arial"/>
          <w:color w:val="000000"/>
        </w:rPr>
        <w:t>diminish</w:t>
      </w:r>
      <w:r w:rsidRPr="00FE379C">
        <w:rPr>
          <w:rFonts w:cs="Arial"/>
        </w:rPr>
        <w:t xml:space="preserve"> below this depth at many reefs; </w:t>
      </w:r>
      <w:r w:rsidRPr="00FE379C">
        <w:rPr>
          <w:rFonts w:cs="Arial"/>
          <w:color w:val="000000"/>
        </w:rPr>
        <w:t>two metres</w:t>
      </w:r>
      <w:r w:rsidRPr="00FE379C">
        <w:rPr>
          <w:rFonts w:cs="Arial"/>
        </w:rPr>
        <w:t xml:space="preserve"> below datum was selected as the shallow depth as this allowed </w:t>
      </w:r>
      <w:r w:rsidRPr="00FE379C">
        <w:rPr>
          <w:rFonts w:cs="Arial"/>
          <w:color w:val="000000"/>
        </w:rPr>
        <w:t>surveys</w:t>
      </w:r>
      <w:r w:rsidRPr="00FE379C">
        <w:rPr>
          <w:rFonts w:cs="Arial"/>
        </w:rPr>
        <w:t xml:space="preserve"> of the reef crest. Shallower depths were considered </w:t>
      </w:r>
      <w:r w:rsidRPr="00FE379C">
        <w:rPr>
          <w:rFonts w:cs="Arial"/>
          <w:color w:val="000000"/>
        </w:rPr>
        <w:t>but</w:t>
      </w:r>
      <w:r w:rsidRPr="00FE379C">
        <w:rPr>
          <w:rFonts w:cs="Arial"/>
        </w:rPr>
        <w:t xml:space="preserve"> discounted for logistical reasons, including</w:t>
      </w:r>
      <w:r w:rsidRPr="00FE379C">
        <w:rPr>
          <w:rFonts w:cs="Arial"/>
          <w:color w:val="000000"/>
        </w:rPr>
        <w:t xml:space="preserve"> the</w:t>
      </w:r>
      <w:r w:rsidRPr="00FE379C">
        <w:rPr>
          <w:rFonts w:cs="Arial"/>
        </w:rPr>
        <w:t xml:space="preserve"> inability to use the photo technique in very shallow water, site markers creating a danger to navigation and difficulty in </w:t>
      </w:r>
      <w:r w:rsidRPr="00FE379C">
        <w:rPr>
          <w:rFonts w:cs="Arial"/>
          <w:color w:val="000000"/>
        </w:rPr>
        <w:t>locating</w:t>
      </w:r>
      <w:r w:rsidRPr="00FE379C">
        <w:rPr>
          <w:rFonts w:cs="Arial"/>
        </w:rPr>
        <w:t xml:space="preserve"> a depth contour on very shallow sloping </w:t>
      </w:r>
      <w:r w:rsidRPr="00FE379C">
        <w:rPr>
          <w:rFonts w:cs="Arial"/>
          <w:color w:val="000000"/>
        </w:rPr>
        <w:t>substrata</w:t>
      </w:r>
      <w:r w:rsidRPr="00FE379C">
        <w:rPr>
          <w:rFonts w:cs="Arial"/>
        </w:rPr>
        <w:t xml:space="preserve"> typical of reef flats. Sites surveyed under the LTMP are only surveyed at five metres below datum.</w:t>
      </w:r>
    </w:p>
    <w:p w14:paraId="107FFA27" w14:textId="77777777" w:rsidR="00361E6D" w:rsidRPr="00FE379C" w:rsidRDefault="00361E6D" w:rsidP="0067588D">
      <w:pPr>
        <w:pStyle w:val="Heading3"/>
      </w:pPr>
      <w:bookmarkStart w:id="349" w:name="_Toc261013301"/>
      <w:bookmarkStart w:id="350" w:name="_Toc294781719"/>
      <w:bookmarkStart w:id="351" w:name="_Toc393785057"/>
      <w:bookmarkStart w:id="352" w:name="_Toc394061162"/>
      <w:bookmarkStart w:id="353" w:name="_Toc394061252"/>
      <w:bookmarkStart w:id="354" w:name="_Toc423036773"/>
      <w:bookmarkStart w:id="355" w:name="_Toc520727855"/>
      <w:bookmarkStart w:id="356" w:name="_Toc12365600"/>
      <w:r w:rsidRPr="00FE379C">
        <w:t>Field survey methods</w:t>
      </w:r>
      <w:bookmarkEnd w:id="349"/>
      <w:bookmarkEnd w:id="350"/>
      <w:bookmarkEnd w:id="351"/>
      <w:bookmarkEnd w:id="352"/>
      <w:bookmarkEnd w:id="353"/>
      <w:bookmarkEnd w:id="354"/>
      <w:bookmarkEnd w:id="355"/>
      <w:bookmarkEnd w:id="356"/>
    </w:p>
    <w:p w14:paraId="18AC6657" w14:textId="77777777" w:rsidR="00361E6D" w:rsidRPr="00FE379C" w:rsidRDefault="00361E6D" w:rsidP="00361E6D">
      <w:pPr>
        <w:rPr>
          <w:rFonts w:cs="Arial"/>
          <w:b/>
        </w:rPr>
      </w:pPr>
      <w:r w:rsidRPr="00FE379C">
        <w:rPr>
          <w:rFonts w:cs="Arial"/>
          <w:b/>
        </w:rPr>
        <w:t>Site marking</w:t>
      </w:r>
    </w:p>
    <w:p w14:paraId="28DEC59D" w14:textId="77777777" w:rsidR="00361E6D" w:rsidRPr="0058370B" w:rsidRDefault="00361E6D" w:rsidP="00361E6D">
      <w:pPr>
        <w:rPr>
          <w:rFonts w:cs="Arial"/>
        </w:rPr>
      </w:pPr>
      <w:r w:rsidRPr="00FE379C">
        <w:rPr>
          <w:rFonts w:cs="Arial"/>
        </w:rPr>
        <w:t>Each selected reef site is permanently marked with steel fence posts at the beginning of each 20-metre transect and smaller (10 mm diameter) steel rods at the 10-metre mark and end of each transect. Compass bearings coupled with distance along transects record the transect path between these permanent markers. Transects were set initially by running two 60-metre fibreglass tape measures out along the desired five- or two-metre depth contours. Digital depth gauges are used along with tide heights from the closest location included in ‘Seafarer Tides’ electronic tide charts produced by the Australian Hydrographic Service. There are five-metre gaps between each consecutive 20-metre transect. The position of the first picket of each site is recorded with a Global Po</w:t>
      </w:r>
      <w:r w:rsidRPr="0058370B">
        <w:rPr>
          <w:rFonts w:cs="Arial"/>
        </w:rPr>
        <w:t xml:space="preserve">sitioning </w:t>
      </w:r>
      <w:r w:rsidRPr="0058370B">
        <w:rPr>
          <w:rFonts w:cs="Arial"/>
          <w:lang w:eastAsia="en-AU"/>
        </w:rPr>
        <w:t>System</w:t>
      </w:r>
      <w:r w:rsidRPr="0058370B">
        <w:rPr>
          <w:rFonts w:cs="Arial"/>
        </w:rPr>
        <w:t xml:space="preserve"> </w:t>
      </w:r>
      <w:r>
        <w:rPr>
          <w:rFonts w:cs="Arial"/>
        </w:rPr>
        <w:t>(</w:t>
      </w:r>
      <w:r w:rsidRPr="0058370B">
        <w:rPr>
          <w:rFonts w:cs="Arial"/>
        </w:rPr>
        <w:t>GPS</w:t>
      </w:r>
      <w:r>
        <w:rPr>
          <w:rFonts w:cs="Arial"/>
        </w:rPr>
        <w:t>)</w:t>
      </w:r>
      <w:r w:rsidRPr="0058370B">
        <w:rPr>
          <w:rFonts w:cs="Arial"/>
        </w:rPr>
        <w:t>.</w:t>
      </w:r>
    </w:p>
    <w:p w14:paraId="054FDFBF" w14:textId="77777777" w:rsidR="00361E6D" w:rsidRPr="0058370B" w:rsidRDefault="00361E6D" w:rsidP="00361E6D">
      <w:pPr>
        <w:rPr>
          <w:rFonts w:cs="Arial"/>
          <w:b/>
        </w:rPr>
      </w:pPr>
      <w:r w:rsidRPr="0058370B">
        <w:rPr>
          <w:rFonts w:cs="Arial"/>
          <w:b/>
        </w:rPr>
        <w:t>Sampling methods</w:t>
      </w:r>
    </w:p>
    <w:p w14:paraId="64474F58" w14:textId="77777777" w:rsidR="00361E6D" w:rsidRPr="0058370B" w:rsidRDefault="00361E6D" w:rsidP="00361E6D">
      <w:pPr>
        <w:rPr>
          <w:rFonts w:cs="Arial"/>
        </w:rPr>
      </w:pPr>
      <w:r w:rsidRPr="0058370B">
        <w:rPr>
          <w:rFonts w:cs="Arial"/>
        </w:rPr>
        <w:t>Three separate sampling methodologies are used to describe the benthic communities of inshore coral reefs</w:t>
      </w:r>
      <w:r>
        <w:rPr>
          <w:rFonts w:cs="Arial"/>
        </w:rPr>
        <w:t xml:space="preserve"> (</w:t>
      </w:r>
      <w:r>
        <w:rPr>
          <w:rFonts w:cs="Arial"/>
        </w:rPr>
        <w:fldChar w:fldCharType="begin"/>
      </w:r>
      <w:r>
        <w:rPr>
          <w:rFonts w:cs="Arial"/>
        </w:rPr>
        <w:instrText xml:space="preserve"> REF _Ref489456051 \h </w:instrText>
      </w:r>
      <w:r>
        <w:rPr>
          <w:rFonts w:cs="Arial"/>
        </w:rPr>
      </w:r>
      <w:r>
        <w:rPr>
          <w:rFonts w:cs="Arial"/>
        </w:rPr>
        <w:fldChar w:fldCharType="separate"/>
      </w:r>
      <w:r w:rsidR="00D528AA" w:rsidRPr="00EF05BA">
        <w:t xml:space="preserve">Table </w:t>
      </w:r>
      <w:r w:rsidR="00D528AA">
        <w:rPr>
          <w:noProof/>
        </w:rPr>
        <w:t>5</w:t>
      </w:r>
      <w:r w:rsidR="00D528AA">
        <w:t>.</w:t>
      </w:r>
      <w:r w:rsidR="00D528AA">
        <w:rPr>
          <w:noProof/>
        </w:rPr>
        <w:t>2</w:t>
      </w:r>
      <w:r>
        <w:rPr>
          <w:rFonts w:cs="Arial"/>
        </w:rPr>
        <w:fldChar w:fldCharType="end"/>
      </w:r>
      <w:r>
        <w:rPr>
          <w:rFonts w:cs="Arial"/>
        </w:rPr>
        <w:t>)</w:t>
      </w:r>
      <w:r w:rsidRPr="0058370B">
        <w:rPr>
          <w:rFonts w:cs="Arial"/>
        </w:rPr>
        <w:t>. These are each conducted along the fixed transects identified in the sampling design</w:t>
      </w:r>
      <w:r>
        <w:rPr>
          <w:rFonts w:cs="Arial"/>
        </w:rPr>
        <w:t>,</w:t>
      </w:r>
      <w:r w:rsidRPr="0058370B">
        <w:rPr>
          <w:rFonts w:cs="Arial"/>
        </w:rPr>
        <w:t xml:space="preserve"> </w:t>
      </w:r>
      <w:r>
        <w:rPr>
          <w:rFonts w:cs="Arial"/>
        </w:rPr>
        <w:t>al</w:t>
      </w:r>
      <w:r w:rsidRPr="0058370B">
        <w:rPr>
          <w:rFonts w:cs="Arial"/>
        </w:rPr>
        <w:t xml:space="preserve">though there are subtle </w:t>
      </w:r>
      <w:r w:rsidRPr="00095A05">
        <w:rPr>
          <w:rFonts w:cs="Arial"/>
        </w:rPr>
        <w:t xml:space="preserve">differences in width or length of transect or spatial extent of the datasets as listed in </w:t>
      </w:r>
      <w:r w:rsidRPr="00095A05">
        <w:rPr>
          <w:rFonts w:cs="Arial"/>
          <w:highlight w:val="yellow"/>
        </w:rPr>
        <w:fldChar w:fldCharType="begin"/>
      </w:r>
      <w:r w:rsidRPr="00095A05">
        <w:rPr>
          <w:rFonts w:cs="Arial"/>
        </w:rPr>
        <w:instrText xml:space="preserve"> REF _Ref433715120 \h </w:instrText>
      </w:r>
      <w:r w:rsidRPr="00095A05">
        <w:rPr>
          <w:rFonts w:cs="Arial"/>
          <w:highlight w:val="yellow"/>
        </w:rPr>
        <w:instrText xml:space="preserve"> \* MERGEFORMAT </w:instrText>
      </w:r>
      <w:r w:rsidRPr="00095A05">
        <w:rPr>
          <w:rFonts w:cs="Arial"/>
          <w:highlight w:val="yellow"/>
        </w:rPr>
      </w:r>
      <w:r w:rsidRPr="00095A05">
        <w:rPr>
          <w:rFonts w:cs="Arial"/>
          <w:highlight w:val="yellow"/>
        </w:rPr>
        <w:fldChar w:fldCharType="separate"/>
      </w:r>
      <w:r w:rsidR="00D528AA" w:rsidRPr="00EF05BA">
        <w:t xml:space="preserve">Table </w:t>
      </w:r>
      <w:r w:rsidR="00D528AA">
        <w:rPr>
          <w:noProof/>
        </w:rPr>
        <w:t>5.1</w:t>
      </w:r>
      <w:r w:rsidRPr="00095A05">
        <w:rPr>
          <w:rFonts w:cs="Arial"/>
          <w:highlight w:val="yellow"/>
        </w:rPr>
        <w:fldChar w:fldCharType="end"/>
      </w:r>
      <w:r w:rsidRPr="00095A05">
        <w:rPr>
          <w:rFonts w:cs="Arial"/>
        </w:rPr>
        <w:t>.</w:t>
      </w:r>
      <w:r w:rsidRPr="0058370B">
        <w:rPr>
          <w:rFonts w:cs="Arial"/>
        </w:rPr>
        <w:t xml:space="preserve"> </w:t>
      </w:r>
    </w:p>
    <w:p w14:paraId="1EBBBC36" w14:textId="77777777" w:rsidR="00361E6D" w:rsidRPr="0058370B" w:rsidRDefault="00361E6D" w:rsidP="00361E6D">
      <w:pPr>
        <w:rPr>
          <w:rFonts w:cs="Arial"/>
          <w:b/>
        </w:rPr>
      </w:pPr>
      <w:bookmarkStart w:id="357" w:name="_Toc234214895"/>
      <w:r w:rsidRPr="0058370B">
        <w:rPr>
          <w:rFonts w:cs="Arial"/>
          <w:b/>
        </w:rPr>
        <w:t xml:space="preserve">Photo </w:t>
      </w:r>
      <w:r>
        <w:rPr>
          <w:rFonts w:cs="Arial"/>
          <w:b/>
        </w:rPr>
        <w:t>p</w:t>
      </w:r>
      <w:r w:rsidRPr="0058370B">
        <w:rPr>
          <w:rFonts w:cs="Arial"/>
          <w:b/>
        </w:rPr>
        <w:t xml:space="preserve">oint </w:t>
      </w:r>
      <w:r>
        <w:rPr>
          <w:rFonts w:cs="Arial"/>
          <w:b/>
        </w:rPr>
        <w:t>i</w:t>
      </w:r>
      <w:r w:rsidRPr="0058370B">
        <w:rPr>
          <w:rFonts w:cs="Arial"/>
          <w:b/>
        </w:rPr>
        <w:t xml:space="preserve">ntercept </w:t>
      </w:r>
      <w:r>
        <w:rPr>
          <w:rFonts w:cs="Arial"/>
          <w:b/>
        </w:rPr>
        <w:t>m</w:t>
      </w:r>
      <w:r w:rsidRPr="0058370B">
        <w:rPr>
          <w:rFonts w:cs="Arial"/>
          <w:b/>
        </w:rPr>
        <w:t xml:space="preserve">ethod </w:t>
      </w:r>
      <w:bookmarkEnd w:id="357"/>
    </w:p>
    <w:p w14:paraId="233023E8" w14:textId="77777777" w:rsidR="00361E6D" w:rsidRPr="0058370B" w:rsidRDefault="00361E6D" w:rsidP="00361E6D">
      <w:pPr>
        <w:rPr>
          <w:rFonts w:cs="Arial"/>
        </w:rPr>
      </w:pPr>
      <w:r w:rsidRPr="0058370B">
        <w:rPr>
          <w:rFonts w:cs="Arial"/>
        </w:rPr>
        <w:t xml:space="preserve">This method is used to gain estimates of the per cent cover of benthic community components. The method follows closely </w:t>
      </w:r>
      <w:r>
        <w:rPr>
          <w:rFonts w:cs="Arial"/>
        </w:rPr>
        <w:t xml:space="preserve">SOP </w:t>
      </w:r>
      <w:r w:rsidRPr="0058370B">
        <w:rPr>
          <w:rFonts w:cs="Arial"/>
        </w:rPr>
        <w:t xml:space="preserve">Number 10 of the AIMS </w:t>
      </w:r>
      <w:r>
        <w:rPr>
          <w:rFonts w:cs="Arial"/>
        </w:rPr>
        <w:t xml:space="preserve">LTMP </w:t>
      </w:r>
      <w:r>
        <w:rPr>
          <w:rFonts w:cs="Arial"/>
        </w:rPr>
        <w:fldChar w:fldCharType="begin"/>
      </w:r>
      <w:r>
        <w:rPr>
          <w:rFonts w:cs="Arial"/>
        </w:rPr>
        <w:instrText xml:space="preserve"> ADDIN EN.CITE &lt;EndNote&gt;&lt;Cite&gt;&lt;Author&gt;Jonker&lt;/Author&gt;&lt;Year&gt;2008&lt;/Year&gt;&lt;RecNum&gt;1332&lt;/RecNum&gt;&lt;DisplayText&gt;(Jonker et al., 2008)&lt;/DisplayText&gt;&lt;record&gt;&lt;rec-number&gt;1332&lt;/rec-number&gt;&lt;foreign-keys&gt;&lt;key app="EN" db-id="zapfddtwo2e9z5e5vxoxafs7sf59wfp52rvf" timestamp="1558929028"&gt;1332&lt;/key&gt;&lt;/foreign-keys&gt;&lt;ref-type name="Report"&gt;27&lt;/ref-type&gt;&lt;contributors&gt;&lt;authors&gt;&lt;author&gt;Jonker, Michelle M&lt;/author&gt;&lt;author&gt;Johns, Kerryn K&lt;/author&gt;&lt;author&gt;Osborne, Kate K&lt;/author&gt;&lt;/authors&gt;&lt;/contributors&gt;&lt;titles&gt;&lt;title&gt;Surveys of benthic reef communities using underwater digital photography and counts of juvenile corals. Long-term Monitoring of the Great Barrier Reef. Standard Operational Procedure No. 10&lt;/title&gt;&lt;/titles&gt;&lt;dates&gt;&lt;year&gt;2008&lt;/year&gt;&lt;/dates&gt;&lt;pub-location&gt;Australian Institute of Marine Science, Townsville&lt;/pub-location&gt;&lt;urls&gt;&lt;related-urls&gt;&lt;url&gt;http://epubs.aims.gov.au/11068/8019&lt;/url&gt;&lt;/related-urls&gt;&lt;/urls&gt;&lt;access-date&gt;27/05/2019&lt;/access-date&gt;&lt;/record&gt;&lt;/Cite&gt;&lt;/EndNote&gt;</w:instrText>
      </w:r>
      <w:r>
        <w:rPr>
          <w:rFonts w:cs="Arial"/>
        </w:rPr>
        <w:fldChar w:fldCharType="separate"/>
      </w:r>
      <w:r>
        <w:rPr>
          <w:rFonts w:cs="Arial"/>
          <w:noProof/>
        </w:rPr>
        <w:t>(Jonker et al., 2008)</w:t>
      </w:r>
      <w:r>
        <w:rPr>
          <w:rFonts w:cs="Arial"/>
        </w:rPr>
        <w:fldChar w:fldCharType="end"/>
      </w:r>
      <w:r w:rsidRPr="0058370B">
        <w:rPr>
          <w:rFonts w:cs="Arial"/>
        </w:rPr>
        <w:t>. In short, digital photographs are taken at 50</w:t>
      </w:r>
      <w:r>
        <w:rPr>
          <w:rFonts w:cs="Arial"/>
        </w:rPr>
        <w:t>-</w:t>
      </w:r>
      <w:r w:rsidRPr="0058370B">
        <w:rPr>
          <w:rFonts w:cs="Arial"/>
        </w:rPr>
        <w:t>centimetre intervals along each 20</w:t>
      </w:r>
      <w:r>
        <w:rPr>
          <w:rFonts w:cs="Arial"/>
        </w:rPr>
        <w:t>-</w:t>
      </w:r>
      <w:r w:rsidRPr="0058370B">
        <w:rPr>
          <w:rFonts w:cs="Arial"/>
        </w:rPr>
        <w:t>metre transect. Estimation of cover of benthic community components is derived from the identification of the benthos lying beneath points overlaid onto these images. For the majority of hard and soft corals</w:t>
      </w:r>
      <w:r>
        <w:rPr>
          <w:rFonts w:cs="Arial"/>
        </w:rPr>
        <w:t>,</w:t>
      </w:r>
      <w:r w:rsidRPr="0058370B">
        <w:rPr>
          <w:rFonts w:cs="Arial"/>
        </w:rPr>
        <w:t xml:space="preserve"> at least genus level identification is achieved. The categories used for identification of benthos are listed in</w:t>
      </w:r>
      <w:r>
        <w:rPr>
          <w:rFonts w:cs="Arial"/>
        </w:rPr>
        <w:t xml:space="preserve"> </w:t>
      </w:r>
      <w:r>
        <w:rPr>
          <w:rFonts w:cs="Arial"/>
        </w:rPr>
        <w:fldChar w:fldCharType="begin"/>
      </w:r>
      <w:r>
        <w:rPr>
          <w:rFonts w:cs="Arial"/>
        </w:rPr>
        <w:instrText xml:space="preserve"> ADDIN EN.CITE &lt;EndNote&gt;&lt;Cite AuthorYear="1"&gt;&lt;Author&gt;Jonker&lt;/Author&gt;&lt;Year&gt;2008&lt;/Year&gt;&lt;RecNum&gt;1332&lt;/RecNum&gt;&lt;DisplayText&gt;Jonker et al. (2008)&lt;/DisplayText&gt;&lt;record&gt;&lt;rec-number&gt;1332&lt;/rec-number&gt;&lt;foreign-keys&gt;&lt;key app="EN" db-id="zapfddtwo2e9z5e5vxoxafs7sf59wfp52rvf" timestamp="1558929028"&gt;1332&lt;/key&gt;&lt;/foreign-keys&gt;&lt;ref-type name="Report"&gt;27&lt;/ref-type&gt;&lt;contributors&gt;&lt;authors&gt;&lt;author&gt;Jonker, Michelle M&lt;/author&gt;&lt;author&gt;Johns, Kerryn K&lt;/author&gt;&lt;author&gt;Osborne, Kate K&lt;/author&gt;&lt;/authors&gt;&lt;/contributors&gt;&lt;titles&gt;&lt;title&gt;Surveys of benthic reef communities using underwater digital photography and counts of juvenile corals. Long-term Monitoring of the Great Barrier Reef. Standard Operational Procedure No. 10&lt;/title&gt;&lt;/titles&gt;&lt;dates&gt;&lt;year&gt;2008&lt;/year&gt;&lt;/dates&gt;&lt;pub-location&gt;Australian Institute of Marine Science, Townsville&lt;/pub-location&gt;&lt;urls&gt;&lt;related-urls&gt;&lt;url&gt;http://epubs.aims.gov.au/11068/8019&lt;/url&gt;&lt;/related-urls&gt;&lt;/urls&gt;&lt;access-date&gt;27/05/2019&lt;/access-date&gt;&lt;/record&gt;&lt;/Cite&gt;&lt;/EndNote&gt;</w:instrText>
      </w:r>
      <w:r>
        <w:rPr>
          <w:rFonts w:cs="Arial"/>
        </w:rPr>
        <w:fldChar w:fldCharType="separate"/>
      </w:r>
      <w:r>
        <w:rPr>
          <w:rFonts w:cs="Arial"/>
          <w:noProof/>
        </w:rPr>
        <w:t>Jonker et al. (2008)</w:t>
      </w:r>
      <w:r>
        <w:rPr>
          <w:rFonts w:cs="Arial"/>
        </w:rPr>
        <w:fldChar w:fldCharType="end"/>
      </w:r>
      <w:r w:rsidRPr="0058370B">
        <w:rPr>
          <w:rFonts w:cs="Arial"/>
        </w:rPr>
        <w:t xml:space="preserve">. </w:t>
      </w:r>
    </w:p>
    <w:p w14:paraId="08DE4F48" w14:textId="77777777" w:rsidR="00361E6D" w:rsidRPr="0058370B" w:rsidRDefault="00361E6D" w:rsidP="00361E6D">
      <w:pPr>
        <w:rPr>
          <w:rFonts w:cs="Arial"/>
        </w:rPr>
      </w:pPr>
      <w:r w:rsidRPr="0058370B">
        <w:rPr>
          <w:rFonts w:cs="Arial"/>
        </w:rPr>
        <w:t xml:space="preserve">The primary difference in the application of the method in this project from that described in </w:t>
      </w:r>
      <w:r>
        <w:rPr>
          <w:rFonts w:cs="Arial"/>
        </w:rPr>
        <w:fldChar w:fldCharType="begin"/>
      </w:r>
      <w:r>
        <w:rPr>
          <w:rFonts w:cs="Arial"/>
        </w:rPr>
        <w:instrText xml:space="preserve"> ADDIN EN.CITE &lt;EndNote&gt;&lt;Cite AuthorYear="1"&gt;&lt;Author&gt;Jonker&lt;/Author&gt;&lt;Year&gt;2008&lt;/Year&gt;&lt;RecNum&gt;1332&lt;/RecNum&gt;&lt;DisplayText&gt;Jonker et al. (2008)&lt;/DisplayText&gt;&lt;record&gt;&lt;rec-number&gt;1332&lt;/rec-number&gt;&lt;foreign-keys&gt;&lt;key app="EN" db-id="zapfddtwo2e9z5e5vxoxafs7sf59wfp52rvf" timestamp="1558929028"&gt;1332&lt;/key&gt;&lt;/foreign-keys&gt;&lt;ref-type name="Report"&gt;27&lt;/ref-type&gt;&lt;contributors&gt;&lt;authors&gt;&lt;author&gt;Jonker, Michelle M&lt;/author&gt;&lt;author&gt;Johns, Kerryn K&lt;/author&gt;&lt;author&gt;Osborne, Kate K&lt;/author&gt;&lt;/authors&gt;&lt;/contributors&gt;&lt;titles&gt;&lt;title&gt;Surveys of benthic reef communities using underwater digital photography and counts of juvenile corals. Long-term Monitoring of the Great Barrier Reef. Standard Operational Procedure No. 10&lt;/title&gt;&lt;/titles&gt;&lt;dates&gt;&lt;year&gt;2008&lt;/year&gt;&lt;/dates&gt;&lt;pub-location&gt;Australian Institute of Marine Science, Townsville&lt;/pub-location&gt;&lt;urls&gt;&lt;related-urls&gt;&lt;url&gt;http://epubs.aims.gov.au/11068/8019&lt;/url&gt;&lt;/related-urls&gt;&lt;/urls&gt;&lt;access-date&gt;27/05/2019&lt;/access-date&gt;&lt;/record&gt;&lt;/Cite&gt;&lt;/EndNote&gt;</w:instrText>
      </w:r>
      <w:r>
        <w:rPr>
          <w:rFonts w:cs="Arial"/>
        </w:rPr>
        <w:fldChar w:fldCharType="separate"/>
      </w:r>
      <w:r>
        <w:rPr>
          <w:rFonts w:cs="Arial"/>
          <w:noProof/>
        </w:rPr>
        <w:t>Jonker et al. (2008)</w:t>
      </w:r>
      <w:r>
        <w:rPr>
          <w:rFonts w:cs="Arial"/>
        </w:rPr>
        <w:fldChar w:fldCharType="end"/>
      </w:r>
      <w:r>
        <w:rPr>
          <w:rFonts w:cs="Arial"/>
        </w:rPr>
        <w:t xml:space="preserve"> </w:t>
      </w:r>
      <w:r w:rsidRPr="0058370B">
        <w:rPr>
          <w:rFonts w:cs="Arial"/>
        </w:rPr>
        <w:t xml:space="preserve">is in the sampling design. </w:t>
      </w:r>
      <w:r w:rsidRPr="00A64BC2">
        <w:rPr>
          <w:rFonts w:cs="Arial"/>
        </w:rPr>
        <w:t>Sampling for this project is based on 20-metre transects, rather than 50-metre transects. To compensate for transects being shorter than in the standard method, the density of frames per unit area of transect is doubled (images captured at 0.5 m</w:t>
      </w:r>
      <w:r>
        <w:rPr>
          <w:rFonts w:cs="Arial"/>
        </w:rPr>
        <w:t>etres</w:t>
      </w:r>
      <w:r w:rsidRPr="00A64BC2">
        <w:rPr>
          <w:rFonts w:cs="Arial"/>
        </w:rPr>
        <w:t xml:space="preserve"> rather than </w:t>
      </w:r>
      <w:r>
        <w:rPr>
          <w:rFonts w:cs="Arial"/>
        </w:rPr>
        <w:t xml:space="preserve">at </w:t>
      </w:r>
      <w:r w:rsidRPr="00A64BC2">
        <w:rPr>
          <w:rFonts w:cs="Arial"/>
        </w:rPr>
        <w:t xml:space="preserve">one-metre intervals). This alteration to the standard technique was adopted </w:t>
      </w:r>
      <w:r>
        <w:rPr>
          <w:rFonts w:cs="Arial"/>
        </w:rPr>
        <w:t>owing</w:t>
      </w:r>
      <w:r w:rsidRPr="00A64BC2">
        <w:rPr>
          <w:rFonts w:cs="Arial"/>
        </w:rPr>
        <w:t xml:space="preserve"> to the limited size of some </w:t>
      </w:r>
      <w:r>
        <w:rPr>
          <w:rFonts w:cs="Arial"/>
        </w:rPr>
        <w:t xml:space="preserve">of the </w:t>
      </w:r>
      <w:r w:rsidRPr="00A64BC2">
        <w:rPr>
          <w:rFonts w:cs="Arial"/>
        </w:rPr>
        <w:t>reefs sampled. This modification in methodology of course does not apply to the sites monitored under the LTMP</w:t>
      </w:r>
      <w:r>
        <w:rPr>
          <w:rFonts w:cs="Arial"/>
        </w:rPr>
        <w:t>,</w:t>
      </w:r>
      <w:r w:rsidRPr="00A64BC2">
        <w:rPr>
          <w:rFonts w:cs="Arial"/>
        </w:rPr>
        <w:t xml:space="preserve"> which use the 50</w:t>
      </w:r>
      <w:r>
        <w:rPr>
          <w:rFonts w:cs="Arial"/>
        </w:rPr>
        <w:t>-</w:t>
      </w:r>
      <w:r w:rsidRPr="00A64BC2">
        <w:rPr>
          <w:rFonts w:cs="Arial"/>
        </w:rPr>
        <w:t>m</w:t>
      </w:r>
      <w:r>
        <w:rPr>
          <w:rFonts w:cs="Arial"/>
        </w:rPr>
        <w:t>etre</w:t>
      </w:r>
      <w:r w:rsidRPr="00A64BC2">
        <w:rPr>
          <w:rFonts w:cs="Arial"/>
        </w:rPr>
        <w:t xml:space="preserve"> transects and one image per meter.</w:t>
      </w:r>
    </w:p>
    <w:p w14:paraId="2392D9AC" w14:textId="5AD7019F" w:rsidR="0002590D" w:rsidRPr="0058370B" w:rsidRDefault="0002590D" w:rsidP="00FE2F59">
      <w:pPr>
        <w:rPr>
          <w:rFonts w:cs="Arial"/>
          <w:b/>
        </w:rPr>
      </w:pPr>
      <w:r w:rsidRPr="0058370B">
        <w:rPr>
          <w:rFonts w:cs="Arial"/>
          <w:b/>
        </w:rPr>
        <w:t>Juvenile coral survey</w:t>
      </w:r>
      <w:r w:rsidR="00F4085D">
        <w:rPr>
          <w:rFonts w:cs="Arial"/>
          <w:b/>
        </w:rPr>
        <w:t>s</w:t>
      </w:r>
      <w:bookmarkEnd w:id="340"/>
      <w:r w:rsidRPr="0058370B">
        <w:rPr>
          <w:rFonts w:cs="Arial"/>
          <w:b/>
        </w:rPr>
        <w:t xml:space="preserve"> </w:t>
      </w:r>
    </w:p>
    <w:p w14:paraId="53B55BEC" w14:textId="7B0CA33D" w:rsidR="00590F0A" w:rsidRPr="00590F0A" w:rsidRDefault="00F4085D" w:rsidP="00FE2F59">
      <w:pPr>
        <w:rPr>
          <w:rFonts w:cs="Arial"/>
        </w:rPr>
      </w:pPr>
      <w:r w:rsidRPr="00590F0A">
        <w:rPr>
          <w:rFonts w:cs="Arial"/>
        </w:rPr>
        <w:t>Th</w:t>
      </w:r>
      <w:r>
        <w:rPr>
          <w:rFonts w:cs="Arial"/>
        </w:rPr>
        <w:t>ese</w:t>
      </w:r>
      <w:r w:rsidRPr="00590F0A">
        <w:rPr>
          <w:rFonts w:cs="Arial"/>
        </w:rPr>
        <w:t xml:space="preserve"> </w:t>
      </w:r>
      <w:r w:rsidR="00590F0A" w:rsidRPr="00590F0A">
        <w:rPr>
          <w:rFonts w:cs="Arial"/>
        </w:rPr>
        <w:t>survey</w:t>
      </w:r>
      <w:r>
        <w:rPr>
          <w:rFonts w:cs="Arial"/>
        </w:rPr>
        <w:t>s</w:t>
      </w:r>
      <w:r w:rsidR="00590F0A" w:rsidRPr="00590F0A">
        <w:rPr>
          <w:rFonts w:cs="Arial"/>
        </w:rPr>
        <w:t xml:space="preserve"> aim to provide an estimate of the number of coral colonies that were successfully recruiting and surviving early post-settlement pressures. In the first year of sampling under this program</w:t>
      </w:r>
      <w:r>
        <w:rPr>
          <w:rFonts w:cs="Arial"/>
        </w:rPr>
        <w:t>,</w:t>
      </w:r>
      <w:r w:rsidR="00590F0A" w:rsidRPr="00590F0A">
        <w:rPr>
          <w:rFonts w:cs="Arial"/>
        </w:rPr>
        <w:t xml:space="preserve"> these juvenile coral colonies were counted as part of a demographic survey that counted the number of individuals falling into a broader range of size classes. As the focus narrowed to just juvenile colonies</w:t>
      </w:r>
      <w:r>
        <w:rPr>
          <w:rFonts w:cs="Arial"/>
        </w:rPr>
        <w:t>,</w:t>
      </w:r>
      <w:r w:rsidR="00590F0A" w:rsidRPr="00590F0A">
        <w:rPr>
          <w:rFonts w:cs="Arial"/>
        </w:rPr>
        <w:t xml:space="preserve"> the number of size classes reduced allowing an increase in the spatial coverage of sampling.</w:t>
      </w:r>
    </w:p>
    <w:p w14:paraId="6F944EAA" w14:textId="6A008FFE" w:rsidR="0002590D" w:rsidRPr="00693C45" w:rsidRDefault="00693C45" w:rsidP="00FE2F59">
      <w:pPr>
        <w:rPr>
          <w:rFonts w:eastAsia="Calibri" w:cs="Arial"/>
        </w:rPr>
      </w:pPr>
      <w:r w:rsidRPr="00693C45">
        <w:rPr>
          <w:rFonts w:eastAsia="Calibri" w:cs="Arial"/>
        </w:rPr>
        <w:t>From 2006 to 2017</w:t>
      </w:r>
      <w:r w:rsidR="00F4085D">
        <w:rPr>
          <w:rFonts w:eastAsia="Calibri" w:cs="Arial"/>
        </w:rPr>
        <w:t>,</w:t>
      </w:r>
      <w:r w:rsidRPr="00693C45">
        <w:rPr>
          <w:rFonts w:eastAsia="Calibri" w:cs="Arial"/>
        </w:rPr>
        <w:t xml:space="preserve"> coral colonies less than </w:t>
      </w:r>
      <w:r w:rsidR="00F4085D">
        <w:rPr>
          <w:rFonts w:eastAsia="Calibri" w:cs="Arial"/>
        </w:rPr>
        <w:t>10</w:t>
      </w:r>
      <w:r w:rsidR="00F4085D" w:rsidRPr="00693C45">
        <w:rPr>
          <w:rFonts w:eastAsia="Calibri" w:cs="Arial"/>
        </w:rPr>
        <w:t xml:space="preserve"> </w:t>
      </w:r>
      <w:r w:rsidRPr="00693C45">
        <w:rPr>
          <w:rFonts w:eastAsia="Calibri" w:cs="Arial"/>
        </w:rPr>
        <w:t>centimetres in diameter were counted within a belt 34</w:t>
      </w:r>
      <w:r w:rsidR="00F4085D">
        <w:rPr>
          <w:rFonts w:eastAsia="Calibri" w:cs="Arial"/>
        </w:rPr>
        <w:t>-</w:t>
      </w:r>
      <w:r w:rsidR="00F4085D" w:rsidRPr="00693C45">
        <w:rPr>
          <w:rFonts w:eastAsia="Calibri" w:cs="Arial"/>
        </w:rPr>
        <w:t>centimetres</w:t>
      </w:r>
      <w:r w:rsidRPr="00693C45">
        <w:rPr>
          <w:rFonts w:eastAsia="Calibri" w:cs="Arial"/>
        </w:rPr>
        <w:t xml:space="preserve"> wide (data slate length) along the upslope side of each 20-metre transect. Each colony was identified to genus and assigned to a size class of 0</w:t>
      </w:r>
      <w:r w:rsidR="00F4085D">
        <w:rPr>
          <w:rFonts w:eastAsia="Calibri" w:cs="Arial"/>
        </w:rPr>
        <w:t>–</w:t>
      </w:r>
      <w:r w:rsidRPr="00693C45">
        <w:rPr>
          <w:rFonts w:eastAsia="Calibri" w:cs="Arial"/>
        </w:rPr>
        <w:t>2 cm, &gt;2</w:t>
      </w:r>
      <w:r w:rsidR="00F4085D">
        <w:rPr>
          <w:rFonts w:eastAsia="Calibri" w:cs="Arial"/>
        </w:rPr>
        <w:t>–</w:t>
      </w:r>
      <w:r w:rsidRPr="00693C45">
        <w:rPr>
          <w:rFonts w:eastAsia="Calibri" w:cs="Arial"/>
        </w:rPr>
        <w:t>5 cm or &gt;5</w:t>
      </w:r>
      <w:r w:rsidR="00F4085D">
        <w:rPr>
          <w:rFonts w:eastAsia="Calibri" w:cs="Arial"/>
        </w:rPr>
        <w:t>–</w:t>
      </w:r>
      <w:r w:rsidRPr="00693C45">
        <w:rPr>
          <w:rFonts w:eastAsia="Calibri" w:cs="Arial"/>
        </w:rPr>
        <w:t>10 cm. Importantly</w:t>
      </w:r>
      <w:r w:rsidR="00F4085D">
        <w:rPr>
          <w:rFonts w:eastAsia="Calibri" w:cs="Arial"/>
        </w:rPr>
        <w:t>,</w:t>
      </w:r>
      <w:r w:rsidRPr="00693C45">
        <w:rPr>
          <w:rFonts w:eastAsia="Calibri" w:cs="Arial"/>
        </w:rPr>
        <w:t xml:space="preserve"> this method aims </w:t>
      </w:r>
      <w:r w:rsidR="00183DFE">
        <w:rPr>
          <w:rFonts w:eastAsia="Calibri" w:cs="Arial"/>
        </w:rPr>
        <w:t xml:space="preserve">to estimate </w:t>
      </w:r>
      <w:r w:rsidRPr="00693C45">
        <w:rPr>
          <w:rFonts w:eastAsia="Calibri" w:cs="Arial"/>
        </w:rPr>
        <w:t xml:space="preserve">the number of juvenile colonies that result from the settlement and subsequent survival and growth of coral larvae rather than small coral colonies resulting from fragmentation or partial mortality of larger colonies. With the exception of the transect dimension and the size classes used, this method is consistent with </w:t>
      </w:r>
      <w:r w:rsidR="00F4085D">
        <w:rPr>
          <w:rFonts w:eastAsia="Calibri" w:cs="Arial"/>
        </w:rPr>
        <w:t>SOP</w:t>
      </w:r>
      <w:r w:rsidRPr="00693C45">
        <w:rPr>
          <w:rFonts w:eastAsia="Calibri" w:cs="Arial"/>
        </w:rPr>
        <w:t xml:space="preserve"> Number 10 of the AIMS </w:t>
      </w:r>
      <w:r w:rsidR="00F4085D">
        <w:rPr>
          <w:rFonts w:eastAsia="Calibri" w:cs="Arial"/>
        </w:rPr>
        <w:t>LTMP,</w:t>
      </w:r>
      <w:r w:rsidRPr="00693C45">
        <w:rPr>
          <w:rFonts w:eastAsia="Calibri" w:cs="Arial"/>
        </w:rPr>
        <w:t xml:space="preserve"> Part 2, in which further detail relating to juvenile/fragment differentiation can be found</w:t>
      </w:r>
      <w:r w:rsidR="00142FBE">
        <w:rPr>
          <w:rFonts w:eastAsia="Calibri" w:cs="Arial"/>
        </w:rPr>
        <w:t xml:space="preserve"> </w:t>
      </w:r>
      <w:r w:rsidR="009970A5">
        <w:rPr>
          <w:rFonts w:eastAsia="Calibri" w:cs="Arial"/>
        </w:rPr>
        <w:fldChar w:fldCharType="begin"/>
      </w:r>
      <w:r w:rsidR="009970A5">
        <w:rPr>
          <w:rFonts w:eastAsia="Calibri" w:cs="Arial"/>
        </w:rPr>
        <w:instrText xml:space="preserve"> ADDIN EN.CITE &lt;EndNote&gt;&lt;Cite&gt;&lt;Author&gt;Jonker&lt;/Author&gt;&lt;Year&gt;2008&lt;/Year&gt;&lt;RecNum&gt;1332&lt;/RecNum&gt;&lt;DisplayText&gt;(Jonker et al., 2008)&lt;/DisplayText&gt;&lt;record&gt;&lt;rec-number&gt;1332&lt;/rec-number&gt;&lt;foreign-keys&gt;&lt;key app="EN" db-id="zapfddtwo2e9z5e5vxoxafs7sf59wfp52rvf" timestamp="1558929028"&gt;1332&lt;/key&gt;&lt;/foreign-keys&gt;&lt;ref-type name="Report"&gt;27&lt;/ref-type&gt;&lt;contributors&gt;&lt;authors&gt;&lt;author&gt;Jonker, Michelle M&lt;/author&gt;&lt;author&gt;Johns, Kerryn K&lt;/author&gt;&lt;author&gt;Osborne, Kate K&lt;/author&gt;&lt;/authors&gt;&lt;/contributors&gt;&lt;titles&gt;&lt;title&gt;Surveys of benthic reef communities using underwater digital photography and counts of juvenile corals. Long-term Monitoring of the Great Barrier Reef. Standard Operational Procedure No. 10&lt;/title&gt;&lt;/titles&gt;&lt;dates&gt;&lt;year&gt;2008&lt;/year&gt;&lt;/dates&gt;&lt;pub-location&gt;Australian Institute of Marine Science, Townsville&lt;/pub-location&gt;&lt;urls&gt;&lt;related-urls&gt;&lt;url&gt;http://epubs.aims.gov.au/11068/8019&lt;/url&gt;&lt;/related-urls&gt;&lt;/urls&gt;&lt;access-date&gt;27/05/2019&lt;/access-date&gt;&lt;/record&gt;&lt;/Cite&gt;&lt;/EndNote&gt;</w:instrText>
      </w:r>
      <w:r w:rsidR="009970A5">
        <w:rPr>
          <w:rFonts w:eastAsia="Calibri" w:cs="Arial"/>
        </w:rPr>
        <w:fldChar w:fldCharType="separate"/>
      </w:r>
      <w:r w:rsidR="009970A5">
        <w:rPr>
          <w:rFonts w:eastAsia="Calibri" w:cs="Arial"/>
          <w:noProof/>
        </w:rPr>
        <w:t>(Jonker et al., 2008)</w:t>
      </w:r>
      <w:r w:rsidR="009970A5">
        <w:rPr>
          <w:rFonts w:eastAsia="Calibri" w:cs="Arial"/>
        </w:rPr>
        <w:fldChar w:fldCharType="end"/>
      </w:r>
      <w:r w:rsidRPr="00693C45">
        <w:rPr>
          <w:rFonts w:eastAsia="Calibri" w:cs="Arial"/>
        </w:rPr>
        <w:t xml:space="preserve">. Data on juvenile density provided by the LTMP for the relevant sites listed in </w:t>
      </w:r>
      <w:r w:rsidR="00F4085D">
        <w:rPr>
          <w:rFonts w:eastAsia="Calibri" w:cs="Arial"/>
        </w:rPr>
        <w:fldChar w:fldCharType="begin"/>
      </w:r>
      <w:r w:rsidR="00F4085D">
        <w:rPr>
          <w:rFonts w:eastAsia="Calibri" w:cs="Arial"/>
        </w:rPr>
        <w:instrText xml:space="preserve"> REF _Ref433715120 \h </w:instrText>
      </w:r>
      <w:r w:rsidR="00F4085D">
        <w:rPr>
          <w:rFonts w:eastAsia="Calibri" w:cs="Arial"/>
        </w:rPr>
      </w:r>
      <w:r w:rsidR="00F4085D">
        <w:rPr>
          <w:rFonts w:eastAsia="Calibri" w:cs="Arial"/>
        </w:rPr>
        <w:fldChar w:fldCharType="separate"/>
      </w:r>
      <w:r w:rsidR="00D528AA" w:rsidRPr="00EF05BA">
        <w:t xml:space="preserve">Table </w:t>
      </w:r>
      <w:r w:rsidR="00D528AA">
        <w:rPr>
          <w:noProof/>
        </w:rPr>
        <w:t>5</w:t>
      </w:r>
      <w:r w:rsidR="00D528AA">
        <w:t>.</w:t>
      </w:r>
      <w:r w:rsidR="00D528AA">
        <w:rPr>
          <w:noProof/>
        </w:rPr>
        <w:t>1</w:t>
      </w:r>
      <w:r w:rsidR="00F4085D">
        <w:rPr>
          <w:rFonts w:eastAsia="Calibri" w:cs="Arial"/>
        </w:rPr>
        <w:fldChar w:fldCharType="end"/>
      </w:r>
      <w:r w:rsidR="00F4085D">
        <w:rPr>
          <w:rFonts w:eastAsia="Calibri" w:cs="Arial"/>
        </w:rPr>
        <w:t xml:space="preserve"> are</w:t>
      </w:r>
      <w:r w:rsidR="00F4085D" w:rsidRPr="00693C45">
        <w:rPr>
          <w:rFonts w:eastAsia="Calibri" w:cs="Arial"/>
        </w:rPr>
        <w:t xml:space="preserve"> </w:t>
      </w:r>
      <w:r w:rsidRPr="00693C45">
        <w:rPr>
          <w:rFonts w:eastAsia="Calibri" w:cs="Arial"/>
        </w:rPr>
        <w:t xml:space="preserve">collected according to these procedures with no modification. </w:t>
      </w:r>
    </w:p>
    <w:p w14:paraId="279AB91C" w14:textId="14AD67C8" w:rsidR="0002590D" w:rsidRPr="0058370B" w:rsidRDefault="0002590D" w:rsidP="00FE2F59">
      <w:pPr>
        <w:rPr>
          <w:rFonts w:cs="Arial"/>
          <w:b/>
        </w:rPr>
      </w:pPr>
      <w:bookmarkStart w:id="358" w:name="_Toc234214897"/>
      <w:r w:rsidRPr="0058370B">
        <w:rPr>
          <w:rFonts w:cs="Arial"/>
          <w:b/>
        </w:rPr>
        <w:t xml:space="preserve">Scuba </w:t>
      </w:r>
      <w:r w:rsidR="00134D1D">
        <w:rPr>
          <w:rFonts w:cs="Arial"/>
          <w:b/>
        </w:rPr>
        <w:t>s</w:t>
      </w:r>
      <w:r w:rsidR="00134D1D" w:rsidRPr="0058370B">
        <w:rPr>
          <w:rFonts w:cs="Arial"/>
          <w:b/>
        </w:rPr>
        <w:t xml:space="preserve">earch </w:t>
      </w:r>
      <w:bookmarkEnd w:id="358"/>
      <w:r w:rsidR="00134D1D">
        <w:rPr>
          <w:rFonts w:cs="Arial"/>
          <w:b/>
        </w:rPr>
        <w:t>tr</w:t>
      </w:r>
      <w:r w:rsidR="00134D1D" w:rsidRPr="0058370B">
        <w:rPr>
          <w:rFonts w:cs="Arial"/>
          <w:b/>
        </w:rPr>
        <w:t>ansects</w:t>
      </w:r>
    </w:p>
    <w:p w14:paraId="75BC29A1" w14:textId="4B1F2B7D" w:rsidR="0002590D" w:rsidRPr="0058370B" w:rsidRDefault="00E95212" w:rsidP="00FE2F59">
      <w:pPr>
        <w:rPr>
          <w:rFonts w:cs="Arial"/>
        </w:rPr>
      </w:pPr>
      <w:r w:rsidRPr="00A64BC2">
        <w:rPr>
          <w:rFonts w:cs="Arial"/>
        </w:rPr>
        <w:t xml:space="preserve">Scuba search transects document the incidence of agents causing coral mortality or disease. Tracking of these </w:t>
      </w:r>
      <w:r w:rsidR="00F4085D">
        <w:rPr>
          <w:rFonts w:cs="Arial"/>
        </w:rPr>
        <w:t xml:space="preserve">mortality </w:t>
      </w:r>
      <w:r w:rsidRPr="00A64BC2">
        <w:rPr>
          <w:rFonts w:cs="Arial"/>
        </w:rPr>
        <w:t xml:space="preserve">agents is important </w:t>
      </w:r>
      <w:r w:rsidR="00F4085D">
        <w:rPr>
          <w:rFonts w:cs="Arial"/>
        </w:rPr>
        <w:t>because</w:t>
      </w:r>
      <w:r w:rsidR="00F4085D" w:rsidRPr="00A64BC2">
        <w:rPr>
          <w:rFonts w:cs="Arial"/>
        </w:rPr>
        <w:t xml:space="preserve"> </w:t>
      </w:r>
      <w:r w:rsidRPr="00A64BC2">
        <w:rPr>
          <w:rFonts w:cs="Arial"/>
        </w:rPr>
        <w:t xml:space="preserve">declines due to these agents must be carefully considered as covariates for possible trends associated with response to outcomes. The method used follows closely </w:t>
      </w:r>
      <w:r w:rsidR="00F4085D">
        <w:rPr>
          <w:rFonts w:cs="Arial"/>
        </w:rPr>
        <w:t>SOP</w:t>
      </w:r>
      <w:r w:rsidRPr="00A64BC2">
        <w:rPr>
          <w:rFonts w:cs="Arial"/>
        </w:rPr>
        <w:t xml:space="preserve"> Number 9 of the AIMS </w:t>
      </w:r>
      <w:r w:rsidR="00F4085D">
        <w:rPr>
          <w:rFonts w:cs="Arial"/>
        </w:rPr>
        <w:t>LTMP,</w:t>
      </w:r>
      <w:r w:rsidRPr="00A64BC2">
        <w:rPr>
          <w:rFonts w:cs="Arial"/>
        </w:rPr>
        <w:t xml:space="preserve"> Part 2</w:t>
      </w:r>
      <w:r w:rsidR="00142FBE">
        <w:rPr>
          <w:rFonts w:cs="Arial"/>
        </w:rPr>
        <w:t xml:space="preserve"> </w:t>
      </w:r>
      <w:r w:rsidR="009970A5">
        <w:rPr>
          <w:rFonts w:cs="Arial"/>
        </w:rPr>
        <w:fldChar w:fldCharType="begin"/>
      </w:r>
      <w:r w:rsidR="009970A5">
        <w:rPr>
          <w:rFonts w:cs="Arial"/>
        </w:rPr>
        <w:instrText xml:space="preserve"> ADDIN EN.CITE &lt;EndNote&gt;&lt;Cite&gt;&lt;Author&gt;Miller&lt;/Author&gt;&lt;Year&gt;2009&lt;/Year&gt;&lt;RecNum&gt;1333&lt;/RecNum&gt;&lt;DisplayText&gt;(Miller et al., 2009)&lt;/DisplayText&gt;&lt;record&gt;&lt;rec-number&gt;1333&lt;/rec-number&gt;&lt;foreign-keys&gt;&lt;key app="EN" db-id="zapfddtwo2e9z5e5vxoxafs7sf59wfp52rvf" timestamp="1558929242"&gt;1333&lt;/key&gt;&lt;/foreign-keys&gt;&lt;ref-type name="Book"&gt;6&lt;/ref-type&gt;&lt;contributors&gt;&lt;authors&gt;&lt;author&gt;Miller, I.R.&lt;/author&gt;&lt;author&gt;Jonker, M.&lt;/author&gt;&lt;author&gt;Coleman, G.&lt;/author&gt;&lt;/authors&gt;&lt;/contributors&gt;&lt;titles&gt;&lt;title&gt;Crown-of-thorns starfish and coral surveys using the manta tow and SCUBA search techniques&lt;/title&gt;&lt;secondary-title&gt;Long-term Monitoring of the Great Barrier Reef Standard Operation Procedure Number 9 Edition 3&lt;/secondary-title&gt;&lt;/titles&gt;&lt;dates&gt;&lt;year&gt;2009&lt;/year&gt;&lt;/dates&gt;&lt;pub-location&gt;Australian Institute of Marine Science, Townsville&lt;/pub-location&gt;&lt;urls&gt;&lt;related-urls&gt;&lt;url&gt;https://www.aims.gov.au/documents/30301/20e3bf4f-4b3b-4808-ac02-c15c2912c3f2&lt;/url&gt;&lt;/related-urls&gt;&lt;/urls&gt;&lt;/record&gt;&lt;/Cite&gt;&lt;/EndNote&gt;</w:instrText>
      </w:r>
      <w:r w:rsidR="009970A5">
        <w:rPr>
          <w:rFonts w:cs="Arial"/>
        </w:rPr>
        <w:fldChar w:fldCharType="separate"/>
      </w:r>
      <w:r w:rsidR="009970A5">
        <w:rPr>
          <w:rFonts w:cs="Arial"/>
          <w:noProof/>
        </w:rPr>
        <w:t>(Miller et al., 2009)</w:t>
      </w:r>
      <w:r w:rsidR="009970A5">
        <w:rPr>
          <w:rFonts w:cs="Arial"/>
        </w:rPr>
        <w:fldChar w:fldCharType="end"/>
      </w:r>
      <w:r w:rsidRPr="00A64BC2">
        <w:rPr>
          <w:rFonts w:cs="Arial"/>
        </w:rPr>
        <w:t xml:space="preserve">. In short, a search is made of a two-metre wide belt (one metre either side of the transect midline) for any recent scars, bleaching, disease or damage to coral colonies. An </w:t>
      </w:r>
      <w:r w:rsidR="00383250">
        <w:rPr>
          <w:rFonts w:cs="Arial"/>
        </w:rPr>
        <w:t>extra</w:t>
      </w:r>
      <w:r w:rsidR="00383250" w:rsidRPr="00A64BC2">
        <w:rPr>
          <w:rFonts w:cs="Arial"/>
        </w:rPr>
        <w:t xml:space="preserve"> </w:t>
      </w:r>
      <w:r w:rsidRPr="00A64BC2">
        <w:rPr>
          <w:rFonts w:cs="Arial"/>
        </w:rPr>
        <w:t xml:space="preserve">category not included in the standard procedure is physical damage. This is recorded on the same five-point scale as coral bleaching and describes the proportion of the coral community that has been physically damaged, as indicated by toppled or broken colonies. This category may include anchor as well as storm damage. Scuba search data provided by the LTMP for the relevant sites listed in </w:t>
      </w:r>
      <w:r w:rsidRPr="00095A05">
        <w:rPr>
          <w:rFonts w:cs="Arial"/>
        </w:rPr>
        <w:fldChar w:fldCharType="begin"/>
      </w:r>
      <w:r w:rsidRPr="00095A05">
        <w:rPr>
          <w:rFonts w:cs="Arial"/>
        </w:rPr>
        <w:instrText xml:space="preserve"> REF _Ref433715120 \h </w:instrText>
      </w:r>
      <w:r w:rsidR="00095A05" w:rsidRPr="00095A05">
        <w:rPr>
          <w:rFonts w:cs="Arial"/>
        </w:rPr>
        <w:instrText xml:space="preserve"> \* MERGEFORMAT </w:instrText>
      </w:r>
      <w:r w:rsidRPr="00095A05">
        <w:rPr>
          <w:rFonts w:cs="Arial"/>
        </w:rPr>
      </w:r>
      <w:r w:rsidRPr="00095A05">
        <w:rPr>
          <w:rFonts w:cs="Arial"/>
        </w:rPr>
        <w:fldChar w:fldCharType="separate"/>
      </w:r>
      <w:r w:rsidR="00D528AA" w:rsidRPr="00EF05BA">
        <w:t xml:space="preserve">Table </w:t>
      </w:r>
      <w:r w:rsidR="00D528AA">
        <w:rPr>
          <w:noProof/>
        </w:rPr>
        <w:t>5.1</w:t>
      </w:r>
      <w:r w:rsidRPr="00095A05">
        <w:rPr>
          <w:rFonts w:cs="Arial"/>
        </w:rPr>
        <w:fldChar w:fldCharType="end"/>
      </w:r>
      <w:r w:rsidRPr="00095A05">
        <w:rPr>
          <w:rFonts w:cs="Arial"/>
        </w:rPr>
        <w:t xml:space="preserve"> is</w:t>
      </w:r>
      <w:r w:rsidRPr="00A64BC2">
        <w:rPr>
          <w:rFonts w:cs="Arial"/>
        </w:rPr>
        <w:t xml:space="preserve"> collected with strict adherence to </w:t>
      </w:r>
      <w:r w:rsidR="00F4085D">
        <w:rPr>
          <w:rFonts w:cs="Arial"/>
        </w:rPr>
        <w:t>SOP</w:t>
      </w:r>
      <w:r w:rsidRPr="00A64BC2">
        <w:rPr>
          <w:rFonts w:cs="Arial"/>
        </w:rPr>
        <w:t xml:space="preserve"> Number 9 of the AIMS </w:t>
      </w:r>
      <w:r w:rsidR="00F4085D">
        <w:rPr>
          <w:rFonts w:cs="Arial"/>
        </w:rPr>
        <w:t>LTMP,</w:t>
      </w:r>
      <w:r w:rsidRPr="00A64BC2">
        <w:rPr>
          <w:rFonts w:cs="Arial"/>
        </w:rPr>
        <w:t xml:space="preserve"> Part 2</w:t>
      </w:r>
      <w:r w:rsidR="00142FBE">
        <w:rPr>
          <w:rFonts w:cs="Arial"/>
        </w:rPr>
        <w:t xml:space="preserve"> </w:t>
      </w:r>
      <w:r w:rsidR="009970A5">
        <w:rPr>
          <w:rFonts w:cs="Arial"/>
        </w:rPr>
        <w:fldChar w:fldCharType="begin"/>
      </w:r>
      <w:r w:rsidR="009970A5">
        <w:rPr>
          <w:rFonts w:cs="Arial"/>
        </w:rPr>
        <w:instrText xml:space="preserve"> ADDIN EN.CITE &lt;EndNote&gt;&lt;Cite&gt;&lt;Author&gt;Miller&lt;/Author&gt;&lt;Year&gt;2009&lt;/Year&gt;&lt;RecNum&gt;1333&lt;/RecNum&gt;&lt;DisplayText&gt;(Miller et al., 2009)&lt;/DisplayText&gt;&lt;record&gt;&lt;rec-number&gt;1333&lt;/rec-number&gt;&lt;foreign-keys&gt;&lt;key app="EN" db-id="zapfddtwo2e9z5e5vxoxafs7sf59wfp52rvf" timestamp="1558929242"&gt;1333&lt;/key&gt;&lt;/foreign-keys&gt;&lt;ref-type name="Book"&gt;6&lt;/ref-type&gt;&lt;contributors&gt;&lt;authors&gt;&lt;author&gt;Miller, I.R.&lt;/author&gt;&lt;author&gt;Jonker, M.&lt;/author&gt;&lt;author&gt;Coleman, G.&lt;/author&gt;&lt;/authors&gt;&lt;/contributors&gt;&lt;titles&gt;&lt;title&gt;Crown-of-thorns starfish and coral surveys using the manta tow and SCUBA search techniques&lt;/title&gt;&lt;secondary-title&gt;Long-term Monitoring of the Great Barrier Reef Standard Operation Procedure Number 9 Edition 3&lt;/secondary-title&gt;&lt;/titles&gt;&lt;dates&gt;&lt;year&gt;2009&lt;/year&gt;&lt;/dates&gt;&lt;pub-location&gt;Australian Institute of Marine Science, Townsville&lt;/pub-location&gt;&lt;urls&gt;&lt;related-urls&gt;&lt;url&gt;https://www.aims.gov.au/documents/30301/20e3bf4f-4b3b-4808-ac02-c15c2912c3f2&lt;/url&gt;&lt;/related-urls&gt;&lt;/urls&gt;&lt;/record&gt;&lt;/Cite&gt;&lt;/EndNote&gt;</w:instrText>
      </w:r>
      <w:r w:rsidR="009970A5">
        <w:rPr>
          <w:rFonts w:cs="Arial"/>
        </w:rPr>
        <w:fldChar w:fldCharType="separate"/>
      </w:r>
      <w:r w:rsidR="009970A5">
        <w:rPr>
          <w:rFonts w:cs="Arial"/>
          <w:noProof/>
        </w:rPr>
        <w:t>(Miller et al., 2009)</w:t>
      </w:r>
      <w:r w:rsidR="009970A5">
        <w:rPr>
          <w:rFonts w:cs="Arial"/>
        </w:rPr>
        <w:fldChar w:fldCharType="end"/>
      </w:r>
      <w:r w:rsidRPr="00A64BC2">
        <w:rPr>
          <w:rFonts w:cs="Arial"/>
        </w:rPr>
        <w:t>.</w:t>
      </w:r>
    </w:p>
    <w:p w14:paraId="4E960A1C" w14:textId="77777777" w:rsidR="0002590D" w:rsidRPr="0058370B" w:rsidRDefault="0002590D" w:rsidP="0067588D">
      <w:pPr>
        <w:pStyle w:val="Heading3"/>
      </w:pPr>
      <w:bookmarkStart w:id="359" w:name="_Toc261013303"/>
      <w:bookmarkStart w:id="360" w:name="_Toc294781721"/>
      <w:bookmarkStart w:id="361" w:name="_Toc393785058"/>
      <w:bookmarkStart w:id="362" w:name="_Toc394061163"/>
      <w:bookmarkStart w:id="363" w:name="_Toc394061253"/>
      <w:bookmarkStart w:id="364" w:name="_Toc423036774"/>
      <w:bookmarkStart w:id="365" w:name="_Toc520727856"/>
      <w:bookmarkStart w:id="366" w:name="_Toc12365601"/>
      <w:r w:rsidRPr="0058370B">
        <w:t>Observer training</w:t>
      </w:r>
      <w:bookmarkEnd w:id="359"/>
      <w:bookmarkEnd w:id="360"/>
      <w:bookmarkEnd w:id="361"/>
      <w:bookmarkEnd w:id="362"/>
      <w:bookmarkEnd w:id="363"/>
      <w:bookmarkEnd w:id="364"/>
      <w:bookmarkEnd w:id="365"/>
      <w:bookmarkEnd w:id="366"/>
    </w:p>
    <w:p w14:paraId="6D0EC17D" w14:textId="77777777" w:rsidR="0002590D" w:rsidRPr="0058370B" w:rsidRDefault="0002590D" w:rsidP="00FE2F59">
      <w:pPr>
        <w:rPr>
          <w:rFonts w:cs="Arial"/>
        </w:rPr>
      </w:pPr>
      <w:r w:rsidRPr="0058370B">
        <w:rPr>
          <w:rFonts w:cs="Arial"/>
        </w:rPr>
        <w:t xml:space="preserve">The AIMS personnel collecting data in association with this project are without exception highly experienced in the collection of benthic monitoring data. Each observer was employed specifically for their skills in benthic monitoring and </w:t>
      </w:r>
      <w:r w:rsidR="0047339C">
        <w:rPr>
          <w:rFonts w:cs="Arial"/>
        </w:rPr>
        <w:t>intercept</w:t>
      </w:r>
      <w:r w:rsidRPr="0058370B">
        <w:rPr>
          <w:rFonts w:cs="Arial"/>
        </w:rPr>
        <w:t xml:space="preserve"> analysis.</w:t>
      </w:r>
    </w:p>
    <w:p w14:paraId="6A21D922" w14:textId="77E5885F" w:rsidR="0002590D" w:rsidRPr="0058370B" w:rsidRDefault="0002590D" w:rsidP="00FE2F59">
      <w:pPr>
        <w:rPr>
          <w:rFonts w:cs="Arial"/>
        </w:rPr>
      </w:pPr>
      <w:r w:rsidRPr="0058370B">
        <w:rPr>
          <w:rFonts w:cs="Arial"/>
        </w:rPr>
        <w:t xml:space="preserve">Ongoing standardisation of observers is achieved </w:t>
      </w:r>
      <w:r w:rsidR="00F4085D">
        <w:rPr>
          <w:rFonts w:cs="Arial"/>
        </w:rPr>
        <w:t>by</w:t>
      </w:r>
      <w:r w:rsidR="00F4085D" w:rsidRPr="0058370B">
        <w:rPr>
          <w:rFonts w:cs="Arial"/>
        </w:rPr>
        <w:t xml:space="preserve"> </w:t>
      </w:r>
      <w:r w:rsidRPr="0058370B">
        <w:rPr>
          <w:rFonts w:cs="Arial"/>
        </w:rPr>
        <w:t>in</w:t>
      </w:r>
      <w:r w:rsidR="00F4085D">
        <w:rPr>
          <w:rFonts w:cs="Arial"/>
        </w:rPr>
        <w:t>-</w:t>
      </w:r>
      <w:r w:rsidRPr="0058370B">
        <w:rPr>
          <w:rFonts w:cs="Arial"/>
        </w:rPr>
        <w:t>field and photo based comparisons that for the most mitigate inconsistencies in identification. As a final step in reducing bias in sampling</w:t>
      </w:r>
      <w:r w:rsidR="00F4085D">
        <w:rPr>
          <w:rFonts w:cs="Arial"/>
        </w:rPr>
        <w:t>,</w:t>
      </w:r>
      <w:r w:rsidRPr="0058370B">
        <w:rPr>
          <w:rFonts w:cs="Arial"/>
        </w:rPr>
        <w:t xml:space="preserve"> all photo transect identifications are double checked by a single observer.</w:t>
      </w:r>
    </w:p>
    <w:p w14:paraId="2F93EFF4" w14:textId="111BC0A4" w:rsidR="0002590D" w:rsidRPr="0058370B" w:rsidRDefault="0002590D" w:rsidP="00FE2F59">
      <w:pPr>
        <w:rPr>
          <w:rFonts w:cs="Arial"/>
        </w:rPr>
      </w:pPr>
      <w:r w:rsidRPr="0058370B">
        <w:rPr>
          <w:rFonts w:cs="Arial"/>
        </w:rPr>
        <w:t xml:space="preserve">In the event that new observers enter the team, training in each sampling method is by direct tuition with an experienced observer. New observers must meet the standards listed </w:t>
      </w:r>
      <w:r w:rsidRPr="00095A05">
        <w:rPr>
          <w:rFonts w:cs="Arial"/>
        </w:rPr>
        <w:t xml:space="preserve">in </w:t>
      </w:r>
      <w:r w:rsidR="00103CD6" w:rsidRPr="00095A05">
        <w:rPr>
          <w:rFonts w:cs="Arial"/>
          <w:highlight w:val="yellow"/>
        </w:rPr>
        <w:fldChar w:fldCharType="begin"/>
      </w:r>
      <w:r w:rsidR="00103CD6" w:rsidRPr="00095A05">
        <w:rPr>
          <w:rFonts w:cs="Arial"/>
        </w:rPr>
        <w:instrText xml:space="preserve"> REF _Ref433715482 \h </w:instrText>
      </w:r>
      <w:r w:rsidR="00095A05" w:rsidRPr="00095A05">
        <w:rPr>
          <w:rFonts w:cs="Arial"/>
          <w:highlight w:val="yellow"/>
        </w:rPr>
        <w:instrText xml:space="preserve"> \* MERGEFORMAT </w:instrText>
      </w:r>
      <w:r w:rsidR="00103CD6" w:rsidRPr="00095A05">
        <w:rPr>
          <w:rFonts w:cs="Arial"/>
          <w:highlight w:val="yellow"/>
        </w:rPr>
      </w:r>
      <w:r w:rsidR="00103CD6" w:rsidRPr="00095A05">
        <w:rPr>
          <w:rFonts w:cs="Arial"/>
          <w:highlight w:val="yellow"/>
        </w:rPr>
        <w:fldChar w:fldCharType="separate"/>
      </w:r>
      <w:r w:rsidR="00D528AA" w:rsidRPr="00EF05BA">
        <w:t xml:space="preserve">Table </w:t>
      </w:r>
      <w:r w:rsidR="00D528AA">
        <w:rPr>
          <w:noProof/>
        </w:rPr>
        <w:t>5.3</w:t>
      </w:r>
      <w:r w:rsidR="00103CD6" w:rsidRPr="00095A05">
        <w:rPr>
          <w:rFonts w:cs="Arial"/>
          <w:highlight w:val="yellow"/>
        </w:rPr>
        <w:fldChar w:fldCharType="end"/>
      </w:r>
      <w:r w:rsidR="00103CD6" w:rsidRPr="00095A05">
        <w:rPr>
          <w:rFonts w:cs="Arial"/>
        </w:rPr>
        <w:t xml:space="preserve"> </w:t>
      </w:r>
      <w:r w:rsidR="00383250">
        <w:rPr>
          <w:rFonts w:cs="Arial"/>
        </w:rPr>
        <w:t>before</w:t>
      </w:r>
      <w:r w:rsidRPr="0058370B">
        <w:rPr>
          <w:rFonts w:cs="Arial"/>
        </w:rPr>
        <w:t xml:space="preserve"> collecting data for the project.</w:t>
      </w:r>
    </w:p>
    <w:p w14:paraId="333BD5DD" w14:textId="460D8043" w:rsidR="001C1BFA" w:rsidRPr="00EF05BA" w:rsidRDefault="001C1BFA" w:rsidP="007E5A3A">
      <w:pPr>
        <w:pStyle w:val="Caption"/>
      </w:pPr>
      <w:bookmarkStart w:id="367" w:name="_Ref433715482"/>
      <w:bookmarkStart w:id="368" w:name="_Toc10398451"/>
      <w:r w:rsidRPr="00EF05BA">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5</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3</w:t>
      </w:r>
      <w:r w:rsidR="006940F4">
        <w:rPr>
          <w:noProof/>
        </w:rPr>
        <w:fldChar w:fldCharType="end"/>
      </w:r>
      <w:bookmarkEnd w:id="367"/>
      <w:r w:rsidRPr="00EF05BA">
        <w:t xml:space="preserve"> </w:t>
      </w:r>
      <w:r w:rsidRPr="009B6881">
        <w:t>Observer training methods and quality measures</w:t>
      </w:r>
      <w:bookmarkEnd w:id="368"/>
    </w:p>
    <w:tbl>
      <w:tblPr>
        <w:tblW w:w="7584"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Caption w:val="Table 5.3 "/>
        <w:tblDescription w:val="Observer training methods and quality measures"/>
      </w:tblPr>
      <w:tblGrid>
        <w:gridCol w:w="1356"/>
        <w:gridCol w:w="2849"/>
        <w:gridCol w:w="3379"/>
      </w:tblGrid>
      <w:tr w:rsidR="0002590D" w:rsidRPr="00780C6B" w14:paraId="4E571998" w14:textId="77777777" w:rsidTr="00693C45">
        <w:trPr>
          <w:trHeight w:val="527"/>
          <w:tblHeader/>
          <w:jc w:val="center"/>
        </w:trPr>
        <w:tc>
          <w:tcPr>
            <w:tcW w:w="894" w:type="pct"/>
            <w:shd w:val="clear" w:color="auto" w:fill="D9D9D9"/>
          </w:tcPr>
          <w:p w14:paraId="19884D70" w14:textId="77777777" w:rsidR="0002590D" w:rsidRPr="00780C6B" w:rsidRDefault="0002590D" w:rsidP="00CC5A54">
            <w:pPr>
              <w:spacing w:before="0" w:after="0" w:line="240" w:lineRule="auto"/>
              <w:contextualSpacing/>
              <w:rPr>
                <w:rFonts w:cs="Arial"/>
                <w:b/>
                <w:sz w:val="20"/>
                <w:szCs w:val="20"/>
              </w:rPr>
            </w:pPr>
            <w:r w:rsidRPr="00780C6B">
              <w:rPr>
                <w:rFonts w:cs="Arial"/>
                <w:b/>
                <w:sz w:val="20"/>
                <w:szCs w:val="20"/>
              </w:rPr>
              <w:t>Monitoring method</w:t>
            </w:r>
          </w:p>
        </w:tc>
        <w:tc>
          <w:tcPr>
            <w:tcW w:w="1878" w:type="pct"/>
            <w:shd w:val="clear" w:color="auto" w:fill="D9D9D9"/>
            <w:vAlign w:val="center"/>
          </w:tcPr>
          <w:p w14:paraId="1D0F8679" w14:textId="77777777" w:rsidR="0002590D" w:rsidRPr="00780C6B" w:rsidRDefault="0002590D" w:rsidP="00CC5A54">
            <w:pPr>
              <w:spacing w:before="0" w:after="0" w:line="240" w:lineRule="auto"/>
              <w:contextualSpacing/>
              <w:rPr>
                <w:rFonts w:cs="Arial"/>
                <w:b/>
                <w:sz w:val="20"/>
                <w:szCs w:val="20"/>
              </w:rPr>
            </w:pPr>
            <w:r w:rsidRPr="00780C6B">
              <w:rPr>
                <w:rFonts w:cs="Arial"/>
                <w:b/>
                <w:sz w:val="20"/>
                <w:szCs w:val="20"/>
              </w:rPr>
              <w:t>Training method</w:t>
            </w:r>
          </w:p>
        </w:tc>
        <w:tc>
          <w:tcPr>
            <w:tcW w:w="2228" w:type="pct"/>
            <w:shd w:val="clear" w:color="auto" w:fill="D9D9D9"/>
            <w:vAlign w:val="center"/>
          </w:tcPr>
          <w:p w14:paraId="77A6A00D" w14:textId="20C848A6" w:rsidR="0002590D" w:rsidRPr="00780C6B" w:rsidRDefault="0002590D" w:rsidP="00CC5A54">
            <w:pPr>
              <w:spacing w:before="0" w:after="0" w:line="240" w:lineRule="auto"/>
              <w:contextualSpacing/>
              <w:rPr>
                <w:rFonts w:cs="Arial"/>
                <w:b/>
                <w:sz w:val="20"/>
                <w:szCs w:val="20"/>
              </w:rPr>
            </w:pPr>
            <w:r w:rsidRPr="00780C6B">
              <w:rPr>
                <w:rFonts w:cs="Arial"/>
                <w:b/>
                <w:sz w:val="20"/>
                <w:szCs w:val="20"/>
              </w:rPr>
              <w:t>Quality measure</w:t>
            </w:r>
          </w:p>
        </w:tc>
      </w:tr>
      <w:tr w:rsidR="0002590D" w:rsidRPr="00780C6B" w14:paraId="13A4DF9F" w14:textId="77777777" w:rsidTr="009575EF">
        <w:trPr>
          <w:trHeight w:val="1472"/>
          <w:jc w:val="center"/>
        </w:trPr>
        <w:tc>
          <w:tcPr>
            <w:tcW w:w="894" w:type="pct"/>
          </w:tcPr>
          <w:p w14:paraId="7E7DB442" w14:textId="0A6D18F1" w:rsidR="0002590D" w:rsidRPr="00780C6B" w:rsidRDefault="0002590D" w:rsidP="00CC5A54">
            <w:pPr>
              <w:spacing w:before="0" w:after="0" w:line="240" w:lineRule="auto"/>
              <w:contextualSpacing/>
              <w:rPr>
                <w:rFonts w:cs="Arial"/>
                <w:sz w:val="20"/>
                <w:szCs w:val="20"/>
              </w:rPr>
            </w:pPr>
            <w:r w:rsidRPr="00780C6B">
              <w:rPr>
                <w:rFonts w:cs="Arial"/>
                <w:sz w:val="20"/>
                <w:szCs w:val="20"/>
              </w:rPr>
              <w:t xml:space="preserve">Photo </w:t>
            </w:r>
            <w:r w:rsidR="00F4085D">
              <w:rPr>
                <w:rFonts w:cs="Arial"/>
                <w:sz w:val="20"/>
                <w:szCs w:val="20"/>
              </w:rPr>
              <w:t>p</w:t>
            </w:r>
            <w:r w:rsidR="00F4085D" w:rsidRPr="00780C6B">
              <w:rPr>
                <w:rFonts w:cs="Arial"/>
                <w:sz w:val="20"/>
                <w:szCs w:val="20"/>
              </w:rPr>
              <w:t xml:space="preserve">oint </w:t>
            </w:r>
            <w:r w:rsidR="00F4085D">
              <w:rPr>
                <w:rFonts w:cs="Arial"/>
                <w:sz w:val="20"/>
                <w:szCs w:val="20"/>
              </w:rPr>
              <w:t>i</w:t>
            </w:r>
            <w:r w:rsidR="00F4085D" w:rsidRPr="00780C6B">
              <w:rPr>
                <w:rFonts w:cs="Arial"/>
                <w:sz w:val="20"/>
                <w:szCs w:val="20"/>
              </w:rPr>
              <w:t>ntercept</w:t>
            </w:r>
          </w:p>
        </w:tc>
        <w:tc>
          <w:tcPr>
            <w:tcW w:w="1878" w:type="pct"/>
            <w:vAlign w:val="center"/>
          </w:tcPr>
          <w:p w14:paraId="3779323A"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In-field identification of benthic components.</w:t>
            </w:r>
          </w:p>
          <w:p w14:paraId="3F88A46D"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On screen classification of photo points.</w:t>
            </w:r>
          </w:p>
          <w:p w14:paraId="7818BCC4"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 xml:space="preserve">In-field tuition on photographic protocol. </w:t>
            </w:r>
          </w:p>
        </w:tc>
        <w:tc>
          <w:tcPr>
            <w:tcW w:w="2228" w:type="pct"/>
          </w:tcPr>
          <w:p w14:paraId="680E9CDE"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All identifications double checked.</w:t>
            </w:r>
          </w:p>
        </w:tc>
      </w:tr>
      <w:tr w:rsidR="0002590D" w:rsidRPr="00780C6B" w14:paraId="0AA327CF" w14:textId="77777777" w:rsidTr="009575EF">
        <w:trPr>
          <w:trHeight w:val="932"/>
          <w:jc w:val="center"/>
        </w:trPr>
        <w:tc>
          <w:tcPr>
            <w:tcW w:w="894" w:type="pct"/>
          </w:tcPr>
          <w:p w14:paraId="37238A9D"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Juvenile counts</w:t>
            </w:r>
          </w:p>
        </w:tc>
        <w:tc>
          <w:tcPr>
            <w:tcW w:w="1878" w:type="pct"/>
            <w:vAlign w:val="center"/>
          </w:tcPr>
          <w:p w14:paraId="6989772F" w14:textId="16628FEC" w:rsidR="0002590D" w:rsidRPr="00780C6B" w:rsidRDefault="0002590D" w:rsidP="00CC5A54">
            <w:pPr>
              <w:spacing w:before="0" w:after="0" w:line="240" w:lineRule="auto"/>
              <w:contextualSpacing/>
              <w:rPr>
                <w:rFonts w:cs="Arial"/>
                <w:sz w:val="20"/>
                <w:szCs w:val="20"/>
              </w:rPr>
            </w:pPr>
            <w:r w:rsidRPr="00780C6B">
              <w:rPr>
                <w:rFonts w:cs="Arial"/>
                <w:sz w:val="20"/>
                <w:szCs w:val="20"/>
              </w:rPr>
              <w:t>In-field identification of corals to genus level and application of technique with experienced observer supervision</w:t>
            </w:r>
            <w:r w:rsidR="009575EF" w:rsidRPr="00780C6B">
              <w:rPr>
                <w:rFonts w:cs="Arial"/>
                <w:sz w:val="20"/>
                <w:szCs w:val="20"/>
              </w:rPr>
              <w:t>.</w:t>
            </w:r>
          </w:p>
        </w:tc>
        <w:tc>
          <w:tcPr>
            <w:tcW w:w="2228" w:type="pct"/>
            <w:vAlign w:val="center"/>
          </w:tcPr>
          <w:p w14:paraId="59AE3138" w14:textId="5E381751" w:rsidR="0002590D" w:rsidRPr="00780C6B" w:rsidRDefault="0002590D" w:rsidP="00CC5A54">
            <w:pPr>
              <w:spacing w:before="0" w:after="0" w:line="240" w:lineRule="auto"/>
              <w:contextualSpacing/>
              <w:rPr>
                <w:rFonts w:cs="Arial"/>
                <w:sz w:val="20"/>
                <w:szCs w:val="20"/>
              </w:rPr>
            </w:pPr>
            <w:r w:rsidRPr="00780C6B">
              <w:rPr>
                <w:rFonts w:cs="Arial"/>
                <w:sz w:val="20"/>
                <w:szCs w:val="20"/>
              </w:rPr>
              <w:t xml:space="preserve">No greater than </w:t>
            </w:r>
            <w:r w:rsidR="00F4085D">
              <w:rPr>
                <w:rFonts w:cs="Arial"/>
                <w:sz w:val="20"/>
                <w:szCs w:val="20"/>
              </w:rPr>
              <w:t>10</w:t>
            </w:r>
            <w:r w:rsidR="00F4085D" w:rsidRPr="00780C6B">
              <w:rPr>
                <w:rFonts w:cs="Arial"/>
                <w:sz w:val="20"/>
                <w:szCs w:val="20"/>
              </w:rPr>
              <w:t xml:space="preserve"> </w:t>
            </w:r>
            <w:r w:rsidRPr="00780C6B">
              <w:rPr>
                <w:rFonts w:cs="Arial"/>
                <w:sz w:val="20"/>
                <w:szCs w:val="20"/>
              </w:rPr>
              <w:t>per</w:t>
            </w:r>
            <w:r w:rsidR="00F4085D">
              <w:rPr>
                <w:rFonts w:cs="Arial"/>
                <w:sz w:val="20"/>
                <w:szCs w:val="20"/>
              </w:rPr>
              <w:t xml:space="preserve"> </w:t>
            </w:r>
            <w:r w:rsidRPr="00780C6B">
              <w:rPr>
                <w:rFonts w:cs="Arial"/>
                <w:sz w:val="20"/>
                <w:szCs w:val="20"/>
              </w:rPr>
              <w:t>cent of colonies misidentified, overlooked or misclassified in size during supervised demographic surveys of two sites.</w:t>
            </w:r>
          </w:p>
        </w:tc>
      </w:tr>
      <w:tr w:rsidR="0002590D" w:rsidRPr="00780C6B" w14:paraId="3251B807" w14:textId="77777777" w:rsidTr="009575EF">
        <w:trPr>
          <w:trHeight w:val="945"/>
          <w:jc w:val="center"/>
        </w:trPr>
        <w:tc>
          <w:tcPr>
            <w:tcW w:w="894" w:type="pct"/>
          </w:tcPr>
          <w:p w14:paraId="303AEA58" w14:textId="28E35C50" w:rsidR="0002590D" w:rsidRPr="00780C6B" w:rsidRDefault="0002590D" w:rsidP="00CC5A54">
            <w:pPr>
              <w:spacing w:before="0" w:after="0" w:line="240" w:lineRule="auto"/>
              <w:contextualSpacing/>
              <w:rPr>
                <w:rFonts w:cs="Arial"/>
                <w:sz w:val="20"/>
                <w:szCs w:val="20"/>
              </w:rPr>
            </w:pPr>
            <w:r w:rsidRPr="00780C6B">
              <w:rPr>
                <w:rFonts w:cs="Arial"/>
                <w:sz w:val="20"/>
                <w:szCs w:val="20"/>
              </w:rPr>
              <w:t xml:space="preserve">Scuba </w:t>
            </w:r>
            <w:r w:rsidR="00F4085D">
              <w:rPr>
                <w:rFonts w:cs="Arial"/>
                <w:sz w:val="20"/>
                <w:szCs w:val="20"/>
              </w:rPr>
              <w:t>s</w:t>
            </w:r>
            <w:r w:rsidR="00F4085D" w:rsidRPr="00780C6B">
              <w:rPr>
                <w:rFonts w:cs="Arial"/>
                <w:sz w:val="20"/>
                <w:szCs w:val="20"/>
              </w:rPr>
              <w:t>earch</w:t>
            </w:r>
          </w:p>
        </w:tc>
        <w:tc>
          <w:tcPr>
            <w:tcW w:w="1878" w:type="pct"/>
            <w:vAlign w:val="center"/>
          </w:tcPr>
          <w:p w14:paraId="5F3D0A02" w14:textId="77777777" w:rsidR="0002590D" w:rsidRPr="00780C6B" w:rsidRDefault="0002590D" w:rsidP="00CC5A54">
            <w:pPr>
              <w:spacing w:before="0" w:after="0" w:line="240" w:lineRule="auto"/>
              <w:contextualSpacing/>
              <w:rPr>
                <w:rFonts w:cs="Arial"/>
                <w:sz w:val="20"/>
                <w:szCs w:val="20"/>
              </w:rPr>
            </w:pPr>
            <w:r w:rsidRPr="00780C6B">
              <w:rPr>
                <w:rFonts w:cs="Arial"/>
                <w:sz w:val="20"/>
                <w:szCs w:val="20"/>
              </w:rPr>
              <w:t>In-field tuition in the classification of coral scars and damage.</w:t>
            </w:r>
          </w:p>
        </w:tc>
        <w:tc>
          <w:tcPr>
            <w:tcW w:w="2228" w:type="pct"/>
            <w:vAlign w:val="center"/>
          </w:tcPr>
          <w:p w14:paraId="43B5D8FA" w14:textId="35593364" w:rsidR="0002590D" w:rsidRPr="00780C6B" w:rsidRDefault="0002590D" w:rsidP="00CC5A54">
            <w:pPr>
              <w:spacing w:before="0" w:after="0" w:line="240" w:lineRule="auto"/>
              <w:contextualSpacing/>
              <w:rPr>
                <w:rFonts w:cs="Arial"/>
                <w:sz w:val="20"/>
                <w:szCs w:val="20"/>
              </w:rPr>
            </w:pPr>
            <w:r w:rsidRPr="00780C6B">
              <w:rPr>
                <w:rFonts w:cs="Arial"/>
                <w:sz w:val="20"/>
                <w:szCs w:val="20"/>
              </w:rPr>
              <w:t xml:space="preserve">Observation of at least </w:t>
            </w:r>
            <w:r w:rsidR="00F4085D">
              <w:rPr>
                <w:rFonts w:cs="Arial"/>
                <w:sz w:val="20"/>
                <w:szCs w:val="20"/>
              </w:rPr>
              <w:t>90</w:t>
            </w:r>
            <w:r w:rsidR="00F4085D" w:rsidRPr="00780C6B">
              <w:rPr>
                <w:rFonts w:cs="Arial"/>
                <w:sz w:val="20"/>
                <w:szCs w:val="20"/>
              </w:rPr>
              <w:t xml:space="preserve"> </w:t>
            </w:r>
            <w:r w:rsidRPr="00780C6B">
              <w:rPr>
                <w:rFonts w:cs="Arial"/>
                <w:sz w:val="20"/>
                <w:szCs w:val="20"/>
              </w:rPr>
              <w:t>per</w:t>
            </w:r>
            <w:r w:rsidR="00F4085D">
              <w:rPr>
                <w:rFonts w:cs="Arial"/>
                <w:sz w:val="20"/>
                <w:szCs w:val="20"/>
              </w:rPr>
              <w:t xml:space="preserve"> </w:t>
            </w:r>
            <w:r w:rsidRPr="00780C6B">
              <w:rPr>
                <w:rFonts w:cs="Arial"/>
                <w:sz w:val="20"/>
                <w:szCs w:val="20"/>
              </w:rPr>
              <w:t>cent of damaged colonies and their correct classification during supervised surveys of two sites of damaged colonies.</w:t>
            </w:r>
          </w:p>
        </w:tc>
      </w:tr>
    </w:tbl>
    <w:p w14:paraId="38B3DF65" w14:textId="77777777" w:rsidR="00FE09C6" w:rsidRPr="0058370B" w:rsidRDefault="00FE09C6" w:rsidP="00FE09C6">
      <w:pPr>
        <w:rPr>
          <w:rFonts w:cs="Arial"/>
        </w:rPr>
      </w:pPr>
      <w:bookmarkStart w:id="369" w:name="_Toc261013306"/>
      <w:bookmarkStart w:id="370" w:name="_Toc294781724"/>
      <w:bookmarkStart w:id="371" w:name="_Toc393785061"/>
      <w:bookmarkStart w:id="372" w:name="_Toc394061166"/>
      <w:bookmarkStart w:id="373" w:name="_Toc394061256"/>
      <w:bookmarkStart w:id="374" w:name="_Toc423036775"/>
      <w:bookmarkStart w:id="375" w:name="_Toc520727857"/>
      <w:r w:rsidRPr="0058370B">
        <w:rPr>
          <w:rFonts w:cs="Arial"/>
        </w:rPr>
        <w:t xml:space="preserve">Classification to genus level underwater is augmented by the use of a small digital camera to take images for post-dive scrutiny of difficult to identify colonies. </w:t>
      </w:r>
      <w:r>
        <w:rPr>
          <w:rFonts w:cs="Arial"/>
        </w:rPr>
        <w:t>However,</w:t>
      </w:r>
      <w:r w:rsidRPr="0058370B">
        <w:rPr>
          <w:rFonts w:cs="Arial"/>
        </w:rPr>
        <w:t xml:space="preserve"> some small juvenile corals are difficult to differentiate in the field and</w:t>
      </w:r>
      <w:r>
        <w:rPr>
          <w:rFonts w:cs="Arial"/>
        </w:rPr>
        <w:t>,</w:t>
      </w:r>
      <w:r w:rsidRPr="0058370B">
        <w:rPr>
          <w:rFonts w:cs="Arial"/>
        </w:rPr>
        <w:t xml:space="preserve"> while </w:t>
      </w:r>
      <w:r>
        <w:rPr>
          <w:rFonts w:cs="Arial"/>
        </w:rPr>
        <w:t xml:space="preserve">they are </w:t>
      </w:r>
      <w:r w:rsidRPr="0058370B">
        <w:rPr>
          <w:rFonts w:cs="Arial"/>
        </w:rPr>
        <w:t>identified to genus level</w:t>
      </w:r>
      <w:r>
        <w:rPr>
          <w:rFonts w:cs="Arial"/>
        </w:rPr>
        <w:t>, they</w:t>
      </w:r>
      <w:r w:rsidRPr="0058370B">
        <w:rPr>
          <w:rFonts w:cs="Arial"/>
        </w:rPr>
        <w:t xml:space="preserve"> are typically merged with similar genera for analysis and reporting.</w:t>
      </w:r>
    </w:p>
    <w:p w14:paraId="678E06F2" w14:textId="77777777" w:rsidR="00FE09C6" w:rsidRPr="0058370B" w:rsidRDefault="00FE09C6" w:rsidP="00FE09C6">
      <w:pPr>
        <w:rPr>
          <w:rFonts w:cs="Arial"/>
          <w:b/>
        </w:rPr>
      </w:pPr>
      <w:r w:rsidRPr="0058370B">
        <w:rPr>
          <w:rFonts w:cs="Arial"/>
        </w:rPr>
        <w:t>Sea Research is responsible for surveys in the Daintree catchment. The Sea Research observer, Tony Ayling, is the most experienced individual in Australia in surveying the benthic communities of near-shore coral reefs. He has 30-years</w:t>
      </w:r>
      <w:r>
        <w:rPr>
          <w:rFonts w:cs="Arial"/>
        </w:rPr>
        <w:t>’</w:t>
      </w:r>
      <w:r w:rsidRPr="0058370B">
        <w:rPr>
          <w:rFonts w:cs="Arial"/>
        </w:rPr>
        <w:t xml:space="preserve"> experience surveying the sites in this catchment, amongst many others. His taxonomic skills are undoubted at genus level and</w:t>
      </w:r>
      <w:r>
        <w:rPr>
          <w:rFonts w:cs="Arial"/>
        </w:rPr>
        <w:t>,</w:t>
      </w:r>
      <w:r w:rsidRPr="0058370B">
        <w:rPr>
          <w:rFonts w:cs="Arial"/>
        </w:rPr>
        <w:t xml:space="preserve"> as such</w:t>
      </w:r>
      <w:r>
        <w:rPr>
          <w:rFonts w:cs="Arial"/>
        </w:rPr>
        <w:t>,</w:t>
      </w:r>
      <w:r w:rsidRPr="0058370B">
        <w:rPr>
          <w:rFonts w:cs="Arial"/>
        </w:rPr>
        <w:t xml:space="preserve"> observer standardisation for demography and scuba search surveys are limited to detailed discussion of methodologies with AIMS observers and explicit following of the protocols listed here. Sea Research also use the same pre-printed datasheets and data entry programs. Analysis of video footage collected by Sea Research </w:t>
      </w:r>
      <w:r>
        <w:rPr>
          <w:rFonts w:cs="Arial"/>
        </w:rPr>
        <w:t>is</w:t>
      </w:r>
      <w:r w:rsidRPr="0058370B">
        <w:rPr>
          <w:rFonts w:cs="Arial"/>
        </w:rPr>
        <w:t xml:space="preserve"> undertaken by AIMS.</w:t>
      </w:r>
    </w:p>
    <w:p w14:paraId="040DA9C8" w14:textId="77777777" w:rsidR="0002590D" w:rsidRPr="0058370B" w:rsidRDefault="0002590D" w:rsidP="0067588D">
      <w:pPr>
        <w:pStyle w:val="Heading3"/>
      </w:pPr>
      <w:bookmarkStart w:id="376" w:name="_Toc12365602"/>
      <w:r w:rsidRPr="0058370B">
        <w:t>Temperature monitoring</w:t>
      </w:r>
      <w:bookmarkEnd w:id="369"/>
      <w:bookmarkEnd w:id="370"/>
      <w:bookmarkEnd w:id="371"/>
      <w:bookmarkEnd w:id="372"/>
      <w:bookmarkEnd w:id="373"/>
      <w:bookmarkEnd w:id="374"/>
      <w:bookmarkEnd w:id="375"/>
      <w:bookmarkEnd w:id="376"/>
    </w:p>
    <w:p w14:paraId="1B370AD7" w14:textId="363255EF" w:rsidR="00E95212" w:rsidRPr="00A64BC2" w:rsidRDefault="00E95212" w:rsidP="00FE2F59">
      <w:pPr>
        <w:rPr>
          <w:rFonts w:cs="Arial"/>
          <w:color w:val="558ED5"/>
          <w:lang w:eastAsia="en-AU"/>
        </w:rPr>
      </w:pPr>
      <w:r w:rsidRPr="00A64BC2">
        <w:rPr>
          <w:rFonts w:cs="Arial"/>
          <w:color w:val="000000"/>
        </w:rPr>
        <w:t xml:space="preserve">Temperature loggers are deployed at, or in close proximity to, all locations at both two-metre and five-metre depths and routinely exchanged either at the time of the coral surveys (i.e. every 24 months) or every three months at sites where FLNTU loggers are </w:t>
      </w:r>
      <w:r w:rsidR="000E27E3" w:rsidRPr="00A64BC2">
        <w:rPr>
          <w:rFonts w:cs="Arial"/>
          <w:color w:val="000000"/>
        </w:rPr>
        <w:t>co-located (</w:t>
      </w:r>
      <w:r w:rsidR="000E27E3">
        <w:rPr>
          <w:rFonts w:cs="Arial"/>
          <w:color w:val="000000"/>
        </w:rPr>
        <w:t>Table 2.1</w:t>
      </w:r>
      <w:r w:rsidR="000E27E3" w:rsidRPr="00A64BC2">
        <w:rPr>
          <w:rFonts w:cs="Arial"/>
          <w:color w:val="000000"/>
        </w:rPr>
        <w:t xml:space="preserve">). </w:t>
      </w:r>
      <w:r w:rsidRPr="00A64BC2">
        <w:rPr>
          <w:rFonts w:cs="Arial"/>
          <w:color w:val="000000"/>
        </w:rPr>
        <w:t>Three types of temperature loggers have been used for the sea surface temperature logger program. The first type</w:t>
      </w:r>
      <w:r w:rsidRPr="00A64BC2">
        <w:rPr>
          <w:rFonts w:cs="Arial"/>
          <w:color w:val="0000FF"/>
        </w:rPr>
        <w:t xml:space="preserve"> </w:t>
      </w:r>
      <w:r w:rsidRPr="00A64BC2">
        <w:rPr>
          <w:rFonts w:cs="Arial"/>
          <w:color w:val="000000"/>
        </w:rPr>
        <w:t>was the Odyssey temperature loggers (</w:t>
      </w:r>
      <w:hyperlink r:id="rId69" w:tooltip="moer information on Odyssey temperature loggers" w:history="1">
        <w:r w:rsidRPr="00A64BC2">
          <w:rPr>
            <w:rStyle w:val="Hyperlink"/>
            <w:rFonts w:cs="Arial"/>
            <w:color w:val="000000"/>
          </w:rPr>
          <w:t>http://www.odysseydatarecording.com/</w:t>
        </w:r>
      </w:hyperlink>
      <w:r w:rsidRPr="00A64BC2">
        <w:rPr>
          <w:rFonts w:cs="Arial"/>
          <w:color w:val="000000"/>
        </w:rPr>
        <w:t>)</w:t>
      </w:r>
      <w:r w:rsidR="0070190E">
        <w:rPr>
          <w:rFonts w:cs="Arial"/>
          <w:color w:val="000000"/>
        </w:rPr>
        <w:t>, which</w:t>
      </w:r>
      <w:r w:rsidRPr="00A64BC2">
        <w:rPr>
          <w:rFonts w:cs="Arial"/>
          <w:color w:val="000000"/>
        </w:rPr>
        <w:t xml:space="preserve"> were superseded by the Sensus Ultra Temperature logger (</w:t>
      </w:r>
      <w:hyperlink r:id="rId70" w:tooltip="more information on Sensus Ultra Temperature logger" w:history="1">
        <w:r w:rsidRPr="00A64BC2">
          <w:rPr>
            <w:rStyle w:val="Hyperlink"/>
            <w:rFonts w:cs="Arial"/>
            <w:color w:val="auto"/>
          </w:rPr>
          <w:t>http://reefnet.ca/products/sensus/</w:t>
        </w:r>
      </w:hyperlink>
      <w:r w:rsidRPr="00A64BC2">
        <w:rPr>
          <w:rFonts w:cs="Arial"/>
        </w:rPr>
        <w:t>). In 2015</w:t>
      </w:r>
      <w:r w:rsidR="0070190E">
        <w:rPr>
          <w:rFonts w:cs="Arial"/>
        </w:rPr>
        <w:t>,</w:t>
      </w:r>
      <w:r w:rsidRPr="00A64BC2">
        <w:rPr>
          <w:rFonts w:cs="Arial"/>
        </w:rPr>
        <w:t xml:space="preserve"> Vemco minilog temperature loggers (</w:t>
      </w:r>
      <w:hyperlink r:id="rId71" w:history="1">
        <w:r w:rsidRPr="00A64BC2">
          <w:rPr>
            <w:rStyle w:val="Hyperlink"/>
            <w:rFonts w:cs="Arial"/>
            <w:color w:val="auto"/>
          </w:rPr>
          <w:t>http://vemco.com/products/minilog-ii-t/</w:t>
        </w:r>
      </w:hyperlink>
      <w:r w:rsidRPr="00A64BC2">
        <w:rPr>
          <w:rFonts w:cs="Arial"/>
        </w:rPr>
        <w:t>) began to replace aging Sensus loggers</w:t>
      </w:r>
      <w:r w:rsidR="0070190E">
        <w:rPr>
          <w:rFonts w:cs="Arial"/>
        </w:rPr>
        <w:t>.</w:t>
      </w:r>
      <w:r w:rsidRPr="00A64BC2">
        <w:rPr>
          <w:rFonts w:cs="Arial"/>
        </w:rPr>
        <w:t xml:space="preserve"> </w:t>
      </w:r>
    </w:p>
    <w:p w14:paraId="29A7A1E3" w14:textId="3470B8E8" w:rsidR="00E95212" w:rsidRPr="00A64BC2" w:rsidRDefault="00E95212" w:rsidP="00FE2F59">
      <w:pPr>
        <w:rPr>
          <w:rFonts w:cs="Arial"/>
          <w:color w:val="000000"/>
        </w:rPr>
      </w:pPr>
      <w:r w:rsidRPr="00A64BC2">
        <w:rPr>
          <w:rFonts w:cs="Arial"/>
          <w:color w:val="000000"/>
        </w:rPr>
        <w:t xml:space="preserve">The Odyssey loggers were set to take readings every </w:t>
      </w:r>
      <w:r w:rsidR="0070190E">
        <w:rPr>
          <w:rFonts w:cs="Arial"/>
          <w:color w:val="000000"/>
        </w:rPr>
        <w:t>30</w:t>
      </w:r>
      <w:r w:rsidR="0070190E" w:rsidRPr="00A64BC2">
        <w:rPr>
          <w:rFonts w:cs="Arial"/>
          <w:color w:val="000000"/>
        </w:rPr>
        <w:t xml:space="preserve"> </w:t>
      </w:r>
      <w:r w:rsidRPr="00A64BC2">
        <w:rPr>
          <w:rFonts w:cs="Arial"/>
          <w:color w:val="000000"/>
        </w:rPr>
        <w:t xml:space="preserve">minutes. The Sensus and Vemco loggers were set to take readings every 10 minutes. Loggers were calibrated against a certified reference thermometer after each deployment and generally accurate to ± 0.2°C. </w:t>
      </w:r>
    </w:p>
    <w:p w14:paraId="1EFA5BC1" w14:textId="77777777" w:rsidR="0002590D" w:rsidRPr="0058370B" w:rsidRDefault="0002590D" w:rsidP="00FE2F59">
      <w:pPr>
        <w:rPr>
          <w:rFonts w:cs="Arial"/>
          <w:bCs/>
        </w:rPr>
      </w:pPr>
      <w:r w:rsidRPr="0058370B">
        <w:rPr>
          <w:rFonts w:cs="Arial"/>
          <w:color w:val="000000"/>
        </w:rPr>
        <w:t>Detailed data download, quality checks and data management methods are described in Appendix A12.</w:t>
      </w:r>
    </w:p>
    <w:p w14:paraId="059ED03C" w14:textId="77777777" w:rsidR="0002590D" w:rsidRPr="0058370B" w:rsidRDefault="0002590D" w:rsidP="00FE2F59">
      <w:pPr>
        <w:pStyle w:val="Heading2"/>
        <w:ind w:left="0" w:firstLine="0"/>
        <w:rPr>
          <w:rFonts w:cs="Arial"/>
          <w:sz w:val="22"/>
          <w:szCs w:val="22"/>
        </w:rPr>
      </w:pPr>
      <w:bookmarkStart w:id="377" w:name="_Toc393785062"/>
      <w:bookmarkStart w:id="378" w:name="_Toc394061167"/>
      <w:bookmarkStart w:id="379" w:name="_Toc394061257"/>
      <w:bookmarkStart w:id="380" w:name="_Toc423036776"/>
      <w:bookmarkStart w:id="381" w:name="_Toc520727858"/>
      <w:bookmarkStart w:id="382" w:name="_Toc12365603"/>
      <w:bookmarkStart w:id="383" w:name="_Toc261013304"/>
      <w:bookmarkStart w:id="384" w:name="_Toc294781722"/>
      <w:r w:rsidRPr="0058370B">
        <w:rPr>
          <w:rFonts w:cs="Arial"/>
          <w:sz w:val="22"/>
          <w:szCs w:val="22"/>
        </w:rPr>
        <w:t>Data management</w:t>
      </w:r>
      <w:bookmarkEnd w:id="377"/>
      <w:bookmarkEnd w:id="378"/>
      <w:bookmarkEnd w:id="379"/>
      <w:bookmarkEnd w:id="380"/>
      <w:bookmarkEnd w:id="381"/>
      <w:bookmarkEnd w:id="382"/>
    </w:p>
    <w:p w14:paraId="38A74E76" w14:textId="06BB2047" w:rsidR="00693C45" w:rsidRPr="00A64BC2" w:rsidRDefault="00693C45" w:rsidP="00693C45">
      <w:pPr>
        <w:rPr>
          <w:rFonts w:cs="Arial"/>
        </w:rPr>
      </w:pPr>
      <w:r w:rsidRPr="00A64BC2">
        <w:rPr>
          <w:rFonts w:cs="Arial"/>
        </w:rPr>
        <w:t xml:space="preserve">Data </w:t>
      </w:r>
      <w:r w:rsidR="0070190E">
        <w:rPr>
          <w:rFonts w:cs="Arial"/>
        </w:rPr>
        <w:t>m</w:t>
      </w:r>
      <w:r w:rsidR="0070190E" w:rsidRPr="00A64BC2">
        <w:rPr>
          <w:rFonts w:cs="Arial"/>
        </w:rPr>
        <w:t xml:space="preserve">anagement </w:t>
      </w:r>
      <w:r w:rsidRPr="00A64BC2">
        <w:rPr>
          <w:rFonts w:cs="Arial"/>
        </w:rPr>
        <w:t>practices are a major contributor to the overall quality of the data collected; poor data management can lead to errors</w:t>
      </w:r>
      <w:r w:rsidR="0070190E">
        <w:rPr>
          <w:rFonts w:cs="Arial"/>
        </w:rPr>
        <w:t xml:space="preserve"> and</w:t>
      </w:r>
      <w:r w:rsidRPr="00A64BC2">
        <w:rPr>
          <w:rFonts w:cs="Arial"/>
        </w:rPr>
        <w:t xml:space="preserve"> lost data</w:t>
      </w:r>
      <w:r w:rsidR="0070190E">
        <w:rPr>
          <w:rFonts w:cs="Arial"/>
        </w:rPr>
        <w:t>,</w:t>
      </w:r>
      <w:r w:rsidRPr="00A64BC2">
        <w:rPr>
          <w:rFonts w:cs="Arial"/>
        </w:rPr>
        <w:t xml:space="preserve"> and can reduce the value of the Reef Plan MMP data. Data from the AIMS MMP inshore coral reef monitoring are stored in a custom-designed MMP data management system in Oracle databases to allow cross-referencing and access to related data (see Appendix A12 for details about general AIMS in-house procedures for data security, data quality checking and backup). </w:t>
      </w:r>
    </w:p>
    <w:p w14:paraId="0579D558" w14:textId="37DFD10F" w:rsidR="00693C45" w:rsidRDefault="0002590D" w:rsidP="00693C45">
      <w:pPr>
        <w:rPr>
          <w:rFonts w:cs="Arial"/>
        </w:rPr>
      </w:pPr>
      <w:r w:rsidRPr="0058370B">
        <w:rPr>
          <w:rFonts w:cs="Arial"/>
        </w:rPr>
        <w:t xml:space="preserve">It is AIMS policy that all data collected have a metadata record created for it. The metadata record is created using a Metadata Entry System where the metadata is in the form of ISO19139 XML. This is the chosen format for many agencies across Australia and the </w:t>
      </w:r>
      <w:r w:rsidR="0070190E">
        <w:rPr>
          <w:rFonts w:cs="Arial"/>
        </w:rPr>
        <w:t>i</w:t>
      </w:r>
      <w:r w:rsidR="0070190E" w:rsidRPr="0058370B">
        <w:rPr>
          <w:rFonts w:cs="Arial"/>
        </w:rPr>
        <w:t xml:space="preserve">nternational </w:t>
      </w:r>
      <w:r w:rsidR="0070190E">
        <w:rPr>
          <w:rFonts w:cs="Arial"/>
        </w:rPr>
        <w:t>c</w:t>
      </w:r>
      <w:r w:rsidR="0070190E" w:rsidRPr="0058370B">
        <w:rPr>
          <w:rFonts w:cs="Arial"/>
        </w:rPr>
        <w:t xml:space="preserve">ommunity </w:t>
      </w:r>
      <w:r w:rsidRPr="0058370B">
        <w:rPr>
          <w:rFonts w:cs="Arial"/>
        </w:rPr>
        <w:t xml:space="preserve">that deal with spatial scientific data. </w:t>
      </w:r>
    </w:p>
    <w:p w14:paraId="2DFA4798" w14:textId="690D0B19" w:rsidR="00693C45" w:rsidRDefault="00FE379C" w:rsidP="00693C45">
      <w:pPr>
        <w:rPr>
          <w:rFonts w:cs="Arial"/>
        </w:rPr>
      </w:pPr>
      <w:r>
        <w:rPr>
          <w:rFonts w:cs="Arial"/>
        </w:rPr>
        <w:t>M</w:t>
      </w:r>
      <w:r w:rsidR="00693C45">
        <w:rPr>
          <w:rFonts w:cs="Arial"/>
        </w:rPr>
        <w:t>etadata is available here</w:t>
      </w:r>
      <w:r w:rsidR="00693C45" w:rsidRPr="00A64BC2">
        <w:rPr>
          <w:rFonts w:cs="Arial"/>
        </w:rPr>
        <w:t>:</w:t>
      </w:r>
    </w:p>
    <w:p w14:paraId="759955A7" w14:textId="77777777" w:rsidR="00693C45" w:rsidRDefault="00740B55" w:rsidP="00693C45">
      <w:pPr>
        <w:rPr>
          <w:rFonts w:cs="Arial"/>
        </w:rPr>
      </w:pPr>
      <w:hyperlink r:id="rId72" w:history="1">
        <w:r w:rsidR="00693C45" w:rsidRPr="00693C45">
          <w:rPr>
            <w:rStyle w:val="Hyperlink"/>
            <w:rFonts w:cs="Arial"/>
          </w:rPr>
          <w:t>https://apps.aims.gov.au/metadata/view/c30cfb2d-46be-4837-9733-9bb60489b65b</w:t>
        </w:r>
      </w:hyperlink>
      <w:r w:rsidR="00693C45" w:rsidRPr="00A64BC2" w:rsidDel="00B91102">
        <w:rPr>
          <w:rFonts w:cs="Arial"/>
        </w:rPr>
        <w:t xml:space="preserve"> </w:t>
      </w:r>
    </w:p>
    <w:p w14:paraId="1677D3CB" w14:textId="61A54A06" w:rsidR="0002590D" w:rsidRPr="0058370B" w:rsidRDefault="0002590D" w:rsidP="00693C45">
      <w:pPr>
        <w:rPr>
          <w:rFonts w:cs="Arial"/>
        </w:rPr>
      </w:pPr>
      <w:r w:rsidRPr="0058370B">
        <w:rPr>
          <w:rFonts w:cs="Arial"/>
        </w:rPr>
        <w:t xml:space="preserve">All coral monitoring field data is recorded on pre-printed datasheets. The use of standard datasheets aids in ensuring standard recording of attributes and </w:t>
      </w:r>
      <w:r w:rsidR="003474FC">
        <w:rPr>
          <w:rFonts w:cs="Arial"/>
        </w:rPr>
        <w:t xml:space="preserve">makes sure </w:t>
      </w:r>
      <w:r w:rsidR="0070190E">
        <w:rPr>
          <w:rFonts w:cs="Arial"/>
        </w:rPr>
        <w:t xml:space="preserve">that </w:t>
      </w:r>
      <w:r w:rsidRPr="0058370B">
        <w:rPr>
          <w:rFonts w:cs="Arial"/>
        </w:rPr>
        <w:t xml:space="preserve">required data are collected. </w:t>
      </w:r>
    </w:p>
    <w:p w14:paraId="0E04CA6C" w14:textId="61BBEE13" w:rsidR="00693C45" w:rsidRPr="00693C45" w:rsidRDefault="00693C45" w:rsidP="00693C45">
      <w:pPr>
        <w:rPr>
          <w:rFonts w:eastAsia="Calibri" w:cs="Arial"/>
        </w:rPr>
      </w:pPr>
      <w:r w:rsidRPr="00693C45">
        <w:rPr>
          <w:rFonts w:eastAsia="Calibri" w:cs="Arial"/>
        </w:rPr>
        <w:t xml:space="preserve">On return from the field, all data is entered on the same day </w:t>
      </w:r>
      <w:r w:rsidR="0070190E">
        <w:rPr>
          <w:rFonts w:eastAsia="Calibri" w:cs="Arial"/>
        </w:rPr>
        <w:t>in</w:t>
      </w:r>
      <w:r w:rsidRPr="00693C45">
        <w:rPr>
          <w:rFonts w:eastAsia="Calibri" w:cs="Arial"/>
        </w:rPr>
        <w:t xml:space="preserve">to a SQLite database using a custom written data entry program. Each field on the data entry program forms mirror those on </w:t>
      </w:r>
      <w:r w:rsidR="0070190E">
        <w:rPr>
          <w:rFonts w:eastAsia="Calibri" w:cs="Arial"/>
        </w:rPr>
        <w:t xml:space="preserve">the </w:t>
      </w:r>
      <w:r w:rsidRPr="00693C45">
        <w:rPr>
          <w:rFonts w:eastAsia="Calibri" w:cs="Arial"/>
        </w:rPr>
        <w:t>pre-printed datasheets and include</w:t>
      </w:r>
      <w:r w:rsidR="0070190E">
        <w:rPr>
          <w:rFonts w:eastAsia="Calibri" w:cs="Arial"/>
        </w:rPr>
        <w:t>s</w:t>
      </w:r>
      <w:r w:rsidRPr="00693C45">
        <w:rPr>
          <w:rFonts w:eastAsia="Calibri" w:cs="Arial"/>
        </w:rPr>
        <w:t xml:space="preserve"> lookup fields to </w:t>
      </w:r>
      <w:r w:rsidR="003474FC">
        <w:rPr>
          <w:rFonts w:eastAsia="Calibri" w:cs="Arial"/>
        </w:rPr>
        <w:t>make sure that</w:t>
      </w:r>
      <w:r w:rsidR="003474FC" w:rsidRPr="00693C45">
        <w:rPr>
          <w:rFonts w:eastAsia="Calibri" w:cs="Arial"/>
        </w:rPr>
        <w:t xml:space="preserve"> </w:t>
      </w:r>
      <w:r w:rsidRPr="00693C45">
        <w:rPr>
          <w:rFonts w:eastAsia="Calibri" w:cs="Arial"/>
        </w:rPr>
        <w:t xml:space="preserve">data entered is of </w:t>
      </w:r>
      <w:r w:rsidR="003474FC">
        <w:rPr>
          <w:rFonts w:eastAsia="Calibri" w:cs="Arial"/>
        </w:rPr>
        <w:t xml:space="preserve">the </w:t>
      </w:r>
      <w:r w:rsidRPr="00693C45">
        <w:rPr>
          <w:rFonts w:eastAsia="Calibri" w:cs="Arial"/>
        </w:rPr>
        <w:t>appropriate structure or within predetermined limits. For example, entry of genera to the demography data table must match a pre-determined list of coral genera.</w:t>
      </w:r>
    </w:p>
    <w:p w14:paraId="68D64322" w14:textId="4411C9A0" w:rsidR="00693C45" w:rsidRPr="00693C45" w:rsidRDefault="00693C45" w:rsidP="00693C45">
      <w:pPr>
        <w:rPr>
          <w:rFonts w:eastAsia="Calibri" w:cs="Arial"/>
        </w:rPr>
      </w:pPr>
      <w:r w:rsidRPr="00693C45">
        <w:rPr>
          <w:rFonts w:eastAsia="Calibri" w:cs="Arial"/>
        </w:rPr>
        <w:t xml:space="preserve">On return to the office, the data is uploaded to an Oracle Database using a custom written </w:t>
      </w:r>
      <w:r w:rsidR="0070190E" w:rsidRPr="00693C45">
        <w:rPr>
          <w:rFonts w:eastAsia="Calibri" w:cs="Arial"/>
        </w:rPr>
        <w:t>synchroni</w:t>
      </w:r>
      <w:r w:rsidR="0070190E">
        <w:rPr>
          <w:rFonts w:eastAsia="Calibri" w:cs="Arial"/>
        </w:rPr>
        <w:t>s</w:t>
      </w:r>
      <w:r w:rsidR="0070190E" w:rsidRPr="00693C45">
        <w:rPr>
          <w:rFonts w:eastAsia="Calibri" w:cs="Arial"/>
        </w:rPr>
        <w:t xml:space="preserve">ation </w:t>
      </w:r>
      <w:r w:rsidRPr="00693C45">
        <w:rPr>
          <w:rFonts w:eastAsia="Calibri" w:cs="Arial"/>
        </w:rPr>
        <w:t xml:space="preserve">process. All keyed data is printed and checked against field datasheets </w:t>
      </w:r>
      <w:r w:rsidR="00383250">
        <w:rPr>
          <w:rFonts w:eastAsia="Calibri" w:cs="Arial"/>
        </w:rPr>
        <w:t>before</w:t>
      </w:r>
      <w:r w:rsidRPr="00693C45">
        <w:rPr>
          <w:rFonts w:eastAsia="Calibri" w:cs="Arial"/>
        </w:rPr>
        <w:t xml:space="preserve"> final logical checking (ensuring all expected fields are included and tally with </w:t>
      </w:r>
      <w:r w:rsidR="0070190E">
        <w:rPr>
          <w:rFonts w:eastAsia="Calibri" w:cs="Arial"/>
        </w:rPr>
        <w:t xml:space="preserve">the </w:t>
      </w:r>
      <w:r w:rsidRPr="00693C45">
        <w:rPr>
          <w:rFonts w:eastAsia="Calibri" w:cs="Arial"/>
        </w:rPr>
        <w:t xml:space="preserve">number of surveys). Photo images are also stored on a server that is included in a routine automatic backup schedule. Photo images are </w:t>
      </w:r>
      <w:r w:rsidR="0070190E" w:rsidRPr="00693C45">
        <w:rPr>
          <w:rFonts w:eastAsia="Calibri" w:cs="Arial"/>
        </w:rPr>
        <w:t>copie</w:t>
      </w:r>
      <w:r w:rsidR="0070190E">
        <w:rPr>
          <w:rFonts w:eastAsia="Calibri" w:cs="Arial"/>
        </w:rPr>
        <w:t>d</w:t>
      </w:r>
      <w:r w:rsidR="0070190E" w:rsidRPr="00693C45">
        <w:rPr>
          <w:rFonts w:eastAsia="Calibri" w:cs="Arial"/>
        </w:rPr>
        <w:t xml:space="preserve"> </w:t>
      </w:r>
      <w:r w:rsidRPr="00693C45">
        <w:rPr>
          <w:rFonts w:eastAsia="Calibri" w:cs="Arial"/>
        </w:rPr>
        <w:t xml:space="preserve">to an external hard drive </w:t>
      </w:r>
      <w:r w:rsidR="00383250">
        <w:rPr>
          <w:rFonts w:eastAsia="Calibri" w:cs="Arial"/>
        </w:rPr>
        <w:t>before</w:t>
      </w:r>
      <w:r w:rsidRPr="00693C45">
        <w:rPr>
          <w:rFonts w:eastAsia="Calibri" w:cs="Arial"/>
        </w:rPr>
        <w:t xml:space="preserve"> analysis as a second backup.</w:t>
      </w:r>
    </w:p>
    <w:p w14:paraId="7EDA6E80" w14:textId="4E608686" w:rsidR="0002590D" w:rsidRPr="0058370B" w:rsidRDefault="0002590D" w:rsidP="00FE2F59">
      <w:pPr>
        <w:rPr>
          <w:rFonts w:cs="Arial"/>
        </w:rPr>
      </w:pPr>
      <w:r w:rsidRPr="0058370B">
        <w:rPr>
          <w:rFonts w:cs="Arial"/>
        </w:rPr>
        <w:t xml:space="preserve">Image analysis of reef monitoring photos is performed within the AIMS monitoring data entry package “reefmon”. This software contains logical checks to all keyed data and is directly linked to a database to </w:t>
      </w:r>
      <w:r w:rsidR="003474FC" w:rsidRPr="0058370B">
        <w:rPr>
          <w:rFonts w:cs="Arial"/>
        </w:rPr>
        <w:t>guarantee</w:t>
      </w:r>
      <w:r w:rsidRPr="0058370B">
        <w:rPr>
          <w:rFonts w:cs="Arial"/>
        </w:rPr>
        <w:t xml:space="preserve"> data integrity. The directory path to transect images is recorded in the database. This functionality allows the checking of benthic category identification. All photo transect data is checked by a second experienced observer </w:t>
      </w:r>
      <w:r w:rsidR="00383250">
        <w:rPr>
          <w:rFonts w:cs="Arial"/>
        </w:rPr>
        <w:t>before</w:t>
      </w:r>
      <w:r w:rsidR="0070190E">
        <w:rPr>
          <w:rFonts w:cs="Arial"/>
        </w:rPr>
        <w:t xml:space="preserve"> </w:t>
      </w:r>
      <w:r w:rsidRPr="0058370B">
        <w:rPr>
          <w:rFonts w:cs="Arial"/>
        </w:rPr>
        <w:t>data analysis and reporting of results.</w:t>
      </w:r>
    </w:p>
    <w:p w14:paraId="1CCE2E12" w14:textId="027B6558" w:rsidR="0002590D" w:rsidRPr="0058370B" w:rsidRDefault="0002590D" w:rsidP="00FE2F59">
      <w:pPr>
        <w:pStyle w:val="Heading2"/>
        <w:ind w:left="0" w:firstLine="0"/>
        <w:rPr>
          <w:rFonts w:cs="Arial"/>
          <w:color w:val="000000"/>
          <w:sz w:val="22"/>
          <w:szCs w:val="22"/>
        </w:rPr>
      </w:pPr>
      <w:bookmarkStart w:id="385" w:name="_Toc393785063"/>
      <w:bookmarkStart w:id="386" w:name="_Toc394061168"/>
      <w:bookmarkStart w:id="387" w:name="_Toc394061258"/>
      <w:bookmarkStart w:id="388" w:name="_Toc423036777"/>
      <w:bookmarkStart w:id="389" w:name="_Toc520727859"/>
      <w:bookmarkStart w:id="390" w:name="_Toc12365604"/>
      <w:r w:rsidRPr="0058370B">
        <w:rPr>
          <w:rFonts w:cs="Arial"/>
          <w:sz w:val="22"/>
          <w:szCs w:val="22"/>
        </w:rPr>
        <w:t>Summary</w:t>
      </w:r>
      <w:bookmarkEnd w:id="385"/>
      <w:bookmarkEnd w:id="386"/>
      <w:bookmarkEnd w:id="387"/>
      <w:r w:rsidRPr="0058370B">
        <w:rPr>
          <w:rFonts w:cs="Arial"/>
          <w:sz w:val="22"/>
          <w:szCs w:val="22"/>
        </w:rPr>
        <w:t xml:space="preserve"> </w:t>
      </w:r>
      <w:bookmarkEnd w:id="383"/>
      <w:bookmarkEnd w:id="384"/>
      <w:r w:rsidRPr="0058370B">
        <w:rPr>
          <w:rFonts w:cs="Arial"/>
          <w:sz w:val="22"/>
          <w:szCs w:val="22"/>
        </w:rPr>
        <w:t>of Quality Control measures</w:t>
      </w:r>
      <w:bookmarkEnd w:id="388"/>
      <w:bookmarkEnd w:id="389"/>
      <w:bookmarkEnd w:id="390"/>
    </w:p>
    <w:p w14:paraId="084FBDBD" w14:textId="77777777" w:rsidR="000E27E3" w:rsidRPr="003314B3" w:rsidRDefault="000E27E3" w:rsidP="000E27E3">
      <w:pPr>
        <w:rPr>
          <w:rFonts w:cs="Arial"/>
        </w:rPr>
      </w:pPr>
      <w:r>
        <w:rPr>
          <w:rFonts w:cs="Arial"/>
        </w:rPr>
        <w:t>Quality control is achieved by:</w:t>
      </w:r>
    </w:p>
    <w:p w14:paraId="2CCA2EE6" w14:textId="6815AA4E" w:rsidR="0002590D" w:rsidRPr="006832C0" w:rsidRDefault="0002590D" w:rsidP="006C7E99">
      <w:pPr>
        <w:pStyle w:val="ListParagraph"/>
        <w:numPr>
          <w:ilvl w:val="0"/>
          <w:numId w:val="44"/>
        </w:numPr>
        <w:rPr>
          <w:rFonts w:cs="Arial"/>
        </w:rPr>
      </w:pPr>
      <w:r w:rsidRPr="006832C0">
        <w:rPr>
          <w:rFonts w:cs="Arial"/>
        </w:rPr>
        <w:t xml:space="preserve">Use of published </w:t>
      </w:r>
      <w:r w:rsidR="0070190E">
        <w:rPr>
          <w:rFonts w:cs="Arial"/>
        </w:rPr>
        <w:t>SOPs</w:t>
      </w:r>
      <w:r w:rsidR="009575EF" w:rsidRPr="006832C0">
        <w:rPr>
          <w:rFonts w:cs="Arial"/>
        </w:rPr>
        <w:t>.</w:t>
      </w:r>
    </w:p>
    <w:p w14:paraId="6375F688" w14:textId="5D59D781" w:rsidR="0002590D" w:rsidRPr="006832C0" w:rsidRDefault="0070190E" w:rsidP="006C7E99">
      <w:pPr>
        <w:pStyle w:val="ListParagraph"/>
        <w:numPr>
          <w:ilvl w:val="0"/>
          <w:numId w:val="44"/>
        </w:numPr>
        <w:rPr>
          <w:rFonts w:cs="Arial"/>
        </w:rPr>
      </w:pPr>
      <w:r>
        <w:rPr>
          <w:rFonts w:cs="Arial"/>
        </w:rPr>
        <w:t>Data</w:t>
      </w:r>
      <w:r w:rsidR="0002590D" w:rsidRPr="006832C0">
        <w:rPr>
          <w:rFonts w:cs="Arial"/>
        </w:rPr>
        <w:t xml:space="preserve"> collection staff are trained and assessed by experienced observers </w:t>
      </w:r>
      <w:r>
        <w:rPr>
          <w:rFonts w:cs="Arial"/>
        </w:rPr>
        <w:t xml:space="preserve">before commencing field work </w:t>
      </w:r>
      <w:r w:rsidR="0002590D" w:rsidRPr="006832C0">
        <w:rPr>
          <w:rFonts w:cs="Arial"/>
        </w:rPr>
        <w:t xml:space="preserve">to </w:t>
      </w:r>
      <w:r w:rsidR="003474FC">
        <w:rPr>
          <w:rFonts w:cs="Arial"/>
        </w:rPr>
        <w:t>make sure that</w:t>
      </w:r>
      <w:r w:rsidR="003474FC" w:rsidRPr="006832C0">
        <w:rPr>
          <w:rFonts w:cs="Arial"/>
        </w:rPr>
        <w:t xml:space="preserve"> </w:t>
      </w:r>
      <w:r w:rsidR="0002590D" w:rsidRPr="006832C0">
        <w:rPr>
          <w:rFonts w:cs="Arial"/>
        </w:rPr>
        <w:t>their identification skills are consistent with the resolution required</w:t>
      </w:r>
      <w:r w:rsidR="009575EF" w:rsidRPr="006832C0">
        <w:rPr>
          <w:rFonts w:cs="Arial"/>
        </w:rPr>
        <w:t>.</w:t>
      </w:r>
    </w:p>
    <w:p w14:paraId="3F7FBC76" w14:textId="77777777" w:rsidR="0002590D" w:rsidRPr="006832C0" w:rsidRDefault="0002590D" w:rsidP="006C7E99">
      <w:pPr>
        <w:pStyle w:val="ListParagraph"/>
        <w:numPr>
          <w:ilvl w:val="0"/>
          <w:numId w:val="44"/>
        </w:numPr>
        <w:rPr>
          <w:rFonts w:cs="Arial"/>
        </w:rPr>
      </w:pPr>
      <w:r w:rsidRPr="006832C0">
        <w:rPr>
          <w:rFonts w:cs="Arial"/>
        </w:rPr>
        <w:t>Data entry via database forms that include logical checking on format and content of entered fields, and confirma</w:t>
      </w:r>
      <w:r w:rsidR="009575EF" w:rsidRPr="006832C0">
        <w:rPr>
          <w:rFonts w:cs="Arial"/>
        </w:rPr>
        <w:t>tion of data by second observer.</w:t>
      </w:r>
    </w:p>
    <w:p w14:paraId="226DDAC7" w14:textId="77777777" w:rsidR="0002590D" w:rsidRPr="006832C0" w:rsidRDefault="0002590D" w:rsidP="006C7E99">
      <w:pPr>
        <w:pStyle w:val="ListParagraph"/>
        <w:numPr>
          <w:ilvl w:val="0"/>
          <w:numId w:val="44"/>
        </w:numPr>
        <w:rPr>
          <w:rFonts w:cs="Arial"/>
        </w:rPr>
      </w:pPr>
      <w:r w:rsidRPr="006832C0">
        <w:rPr>
          <w:rFonts w:cs="Arial"/>
        </w:rPr>
        <w:t>Continual evaluation, method development and improvement of methods</w:t>
      </w:r>
      <w:r w:rsidR="009575EF" w:rsidRPr="006832C0">
        <w:rPr>
          <w:rFonts w:cs="Arial"/>
        </w:rPr>
        <w:t>.</w:t>
      </w:r>
      <w:r w:rsidRPr="006832C0">
        <w:rPr>
          <w:rFonts w:cs="Arial"/>
        </w:rPr>
        <w:t xml:space="preserve"> </w:t>
      </w:r>
    </w:p>
    <w:p w14:paraId="6B6ECAF3" w14:textId="77777777" w:rsidR="0002590D" w:rsidRPr="006832C0" w:rsidRDefault="0002590D" w:rsidP="006C7E99">
      <w:pPr>
        <w:pStyle w:val="ListParagraph"/>
        <w:numPr>
          <w:ilvl w:val="0"/>
          <w:numId w:val="44"/>
        </w:numPr>
        <w:rPr>
          <w:rFonts w:cs="Arial"/>
        </w:rPr>
      </w:pPr>
      <w:r w:rsidRPr="006832C0">
        <w:rPr>
          <w:rFonts w:cs="Arial"/>
        </w:rPr>
        <w:t>Advanced data management and security procedures</w:t>
      </w:r>
      <w:r w:rsidR="009575EF" w:rsidRPr="006832C0">
        <w:rPr>
          <w:rFonts w:cs="Arial"/>
        </w:rPr>
        <w:t>.</w:t>
      </w:r>
    </w:p>
    <w:p w14:paraId="146CB122" w14:textId="77777777" w:rsidR="006D5B41" w:rsidRPr="0058370B" w:rsidRDefault="006D5B41" w:rsidP="00FE2F59">
      <w:r w:rsidRPr="0058370B">
        <w:br w:type="page"/>
      </w:r>
    </w:p>
    <w:p w14:paraId="28D42BB6" w14:textId="125024F2" w:rsidR="00DB1C57" w:rsidRPr="003505CC" w:rsidRDefault="00095A05" w:rsidP="00374388">
      <w:pPr>
        <w:pStyle w:val="Heading1"/>
        <w:numPr>
          <w:ilvl w:val="0"/>
          <w:numId w:val="6"/>
        </w:numPr>
      </w:pPr>
      <w:bookmarkStart w:id="391" w:name="_Toc321383791"/>
      <w:bookmarkStart w:id="392" w:name="_Toc393785064"/>
      <w:bookmarkStart w:id="393" w:name="_Toc393792974"/>
      <w:bookmarkStart w:id="394" w:name="_Toc394061169"/>
      <w:bookmarkStart w:id="395" w:name="_Toc394061259"/>
      <w:bookmarkStart w:id="396" w:name="_Toc520727860"/>
      <w:bookmarkStart w:id="397" w:name="_Toc12365605"/>
      <w:bookmarkEnd w:id="290"/>
      <w:r>
        <w:t>In</w:t>
      </w:r>
      <w:r w:rsidR="00D76935">
        <w:t>shore</w:t>
      </w:r>
      <w:r w:rsidR="00D76935" w:rsidRPr="003505CC">
        <w:t xml:space="preserve"> </w:t>
      </w:r>
      <w:r w:rsidR="00DB1C57" w:rsidRPr="003505CC">
        <w:t>seagrass monitoring</w:t>
      </w:r>
      <w:bookmarkEnd w:id="391"/>
      <w:bookmarkEnd w:id="392"/>
      <w:bookmarkEnd w:id="393"/>
      <w:bookmarkEnd w:id="394"/>
      <w:bookmarkEnd w:id="395"/>
      <w:bookmarkEnd w:id="396"/>
      <w:bookmarkEnd w:id="397"/>
    </w:p>
    <w:p w14:paraId="6E9DAE18" w14:textId="77777777" w:rsidR="00531525" w:rsidRPr="0058370B" w:rsidRDefault="00531525" w:rsidP="00FE2F59">
      <w:pPr>
        <w:pBdr>
          <w:top w:val="single" w:sz="4" w:space="0" w:color="A6A6A6"/>
          <w:left w:val="single" w:sz="4" w:space="4" w:color="A6A6A6"/>
          <w:bottom w:val="single" w:sz="4" w:space="1" w:color="A6A6A6"/>
          <w:right w:val="single" w:sz="4" w:space="4" w:color="A6A6A6"/>
        </w:pBdr>
        <w:shd w:val="clear" w:color="auto" w:fill="D9D9D9"/>
        <w:rPr>
          <w:rFonts w:cs="Arial"/>
        </w:rPr>
      </w:pPr>
      <w:r w:rsidRPr="0058370B">
        <w:rPr>
          <w:rFonts w:cs="Arial"/>
          <w:vertAlign w:val="superscript"/>
        </w:rPr>
        <w:t>1</w:t>
      </w:r>
      <w:r w:rsidRPr="0058370B">
        <w:rPr>
          <w:rFonts w:cs="Arial"/>
        </w:rPr>
        <w:t>Len McKenz</w:t>
      </w:r>
      <w:r w:rsidR="00103CD6">
        <w:rPr>
          <w:rFonts w:cs="Arial"/>
        </w:rPr>
        <w:t xml:space="preserve">ie, </w:t>
      </w:r>
      <w:r w:rsidRPr="0058370B">
        <w:rPr>
          <w:rFonts w:cs="Arial"/>
          <w:vertAlign w:val="superscript"/>
        </w:rPr>
        <w:t>2</w:t>
      </w:r>
      <w:r w:rsidRPr="0058370B">
        <w:rPr>
          <w:rFonts w:cs="Arial"/>
        </w:rPr>
        <w:t xml:space="preserve">Michelle Waycott, </w:t>
      </w:r>
      <w:r w:rsidRPr="0058370B">
        <w:rPr>
          <w:rFonts w:cs="Arial"/>
          <w:vertAlign w:val="superscript"/>
        </w:rPr>
        <w:t>3</w:t>
      </w:r>
      <w:r w:rsidRPr="0058370B">
        <w:rPr>
          <w:rFonts w:cs="Arial"/>
        </w:rPr>
        <w:t xml:space="preserve">Richard Unsworth, </w:t>
      </w:r>
      <w:r w:rsidRPr="0058370B">
        <w:rPr>
          <w:rFonts w:cs="Arial"/>
          <w:vertAlign w:val="superscript"/>
        </w:rPr>
        <w:t>1</w:t>
      </w:r>
      <w:r w:rsidRPr="0058370B">
        <w:rPr>
          <w:rFonts w:cs="Arial"/>
        </w:rPr>
        <w:t>Catherine Collier</w:t>
      </w:r>
    </w:p>
    <w:p w14:paraId="322CCBC6" w14:textId="77777777" w:rsidR="00531525" w:rsidRPr="009575EF" w:rsidRDefault="00531525" w:rsidP="00FE2F59">
      <w:pPr>
        <w:pBdr>
          <w:top w:val="single" w:sz="4" w:space="0" w:color="A6A6A6"/>
          <w:left w:val="single" w:sz="4" w:space="4" w:color="A6A6A6"/>
          <w:bottom w:val="single" w:sz="4" w:space="1" w:color="A6A6A6"/>
          <w:right w:val="single" w:sz="4" w:space="4" w:color="A6A6A6"/>
        </w:pBdr>
        <w:shd w:val="clear" w:color="auto" w:fill="D9D9D9"/>
        <w:rPr>
          <w:rFonts w:cs="Arial"/>
          <w:sz w:val="16"/>
          <w:szCs w:val="16"/>
        </w:rPr>
      </w:pPr>
      <w:r w:rsidRPr="009575EF">
        <w:rPr>
          <w:rFonts w:cs="Arial"/>
          <w:sz w:val="16"/>
          <w:szCs w:val="16"/>
          <w:vertAlign w:val="superscript"/>
        </w:rPr>
        <w:t>1</w:t>
      </w:r>
      <w:r w:rsidRPr="009575EF">
        <w:rPr>
          <w:rFonts w:cs="Arial"/>
          <w:sz w:val="16"/>
          <w:szCs w:val="16"/>
        </w:rPr>
        <w:t>Centre for Tropical Water &amp; Aquatic Ecosystem Research (TropWATER), James Cook University, Cairns, QLD</w:t>
      </w:r>
    </w:p>
    <w:p w14:paraId="7B924AE9" w14:textId="77777777" w:rsidR="00531525" w:rsidRPr="009575EF" w:rsidRDefault="00531525" w:rsidP="00FE2F59">
      <w:pPr>
        <w:pBdr>
          <w:top w:val="single" w:sz="4" w:space="0" w:color="A6A6A6"/>
          <w:left w:val="single" w:sz="4" w:space="4" w:color="A6A6A6"/>
          <w:bottom w:val="single" w:sz="4" w:space="1" w:color="A6A6A6"/>
          <w:right w:val="single" w:sz="4" w:space="4" w:color="A6A6A6"/>
        </w:pBdr>
        <w:shd w:val="clear" w:color="auto" w:fill="D9D9D9"/>
        <w:rPr>
          <w:rFonts w:cs="Arial"/>
          <w:sz w:val="16"/>
          <w:szCs w:val="16"/>
        </w:rPr>
      </w:pPr>
      <w:r w:rsidRPr="009575EF">
        <w:rPr>
          <w:rFonts w:cs="Arial"/>
          <w:sz w:val="16"/>
          <w:szCs w:val="16"/>
          <w:vertAlign w:val="superscript"/>
        </w:rPr>
        <w:t>2</w:t>
      </w:r>
      <w:r w:rsidRPr="009575EF">
        <w:rPr>
          <w:rFonts w:cs="Arial"/>
          <w:sz w:val="16"/>
          <w:szCs w:val="16"/>
        </w:rPr>
        <w:t xml:space="preserve"> University of Adelaide / Plant Biodiversity Centre, Department of Environment and Natural Resources, Adelaide, SA </w:t>
      </w:r>
    </w:p>
    <w:p w14:paraId="3650C0A2" w14:textId="77777777" w:rsidR="00531525" w:rsidRPr="009575EF" w:rsidRDefault="00531525" w:rsidP="00FE2F59">
      <w:pPr>
        <w:pBdr>
          <w:top w:val="single" w:sz="4" w:space="0" w:color="A6A6A6"/>
          <w:left w:val="single" w:sz="4" w:space="4" w:color="A6A6A6"/>
          <w:bottom w:val="single" w:sz="4" w:space="1" w:color="A6A6A6"/>
          <w:right w:val="single" w:sz="4" w:space="4" w:color="A6A6A6"/>
        </w:pBdr>
        <w:shd w:val="clear" w:color="auto" w:fill="D9D9D9"/>
        <w:rPr>
          <w:rFonts w:cs="Arial"/>
          <w:sz w:val="16"/>
          <w:szCs w:val="16"/>
        </w:rPr>
      </w:pPr>
      <w:r w:rsidRPr="009575EF">
        <w:rPr>
          <w:rFonts w:cs="Arial"/>
          <w:sz w:val="16"/>
          <w:szCs w:val="16"/>
          <w:vertAlign w:val="superscript"/>
        </w:rPr>
        <w:t>3</w:t>
      </w:r>
      <w:r w:rsidRPr="009575EF">
        <w:rPr>
          <w:rFonts w:cs="Arial"/>
          <w:sz w:val="16"/>
          <w:szCs w:val="16"/>
        </w:rPr>
        <w:t>Seagrass Ecosystem Research Group, College of Science, Wallace Building, Swansea University SA2 8PP, UK</w:t>
      </w:r>
    </w:p>
    <w:p w14:paraId="52FAE795" w14:textId="03A25EB5" w:rsidR="00531525" w:rsidRPr="0058370B" w:rsidRDefault="00531525" w:rsidP="00FE2F59">
      <w:pPr>
        <w:pStyle w:val="Heading2"/>
        <w:ind w:left="0" w:firstLine="0"/>
        <w:rPr>
          <w:rFonts w:cs="Arial"/>
          <w:sz w:val="22"/>
          <w:szCs w:val="22"/>
        </w:rPr>
      </w:pPr>
      <w:bookmarkStart w:id="398" w:name="_Toc261013308"/>
      <w:bookmarkStart w:id="399" w:name="_Toc294781726"/>
      <w:bookmarkStart w:id="400" w:name="_Toc321383792"/>
      <w:bookmarkStart w:id="401" w:name="_Toc393785065"/>
      <w:bookmarkStart w:id="402" w:name="_Toc394061170"/>
      <w:bookmarkStart w:id="403" w:name="_Toc394061260"/>
      <w:bookmarkStart w:id="404" w:name="_Toc396312026"/>
      <w:bookmarkStart w:id="405" w:name="_Toc520727861"/>
      <w:bookmarkStart w:id="406" w:name="_Toc12365606"/>
      <w:r w:rsidRPr="0058370B">
        <w:rPr>
          <w:rFonts w:cs="Arial"/>
          <w:sz w:val="22"/>
          <w:szCs w:val="22"/>
        </w:rPr>
        <w:t>Introduction</w:t>
      </w:r>
      <w:bookmarkEnd w:id="398"/>
      <w:bookmarkEnd w:id="399"/>
      <w:bookmarkEnd w:id="400"/>
      <w:bookmarkEnd w:id="401"/>
      <w:bookmarkEnd w:id="402"/>
      <w:bookmarkEnd w:id="403"/>
      <w:bookmarkEnd w:id="404"/>
      <w:bookmarkEnd w:id="405"/>
      <w:bookmarkEnd w:id="406"/>
    </w:p>
    <w:p w14:paraId="7E932C12" w14:textId="29C48000" w:rsidR="00531525" w:rsidRPr="0058370B" w:rsidRDefault="00531525" w:rsidP="00FE2F59">
      <w:pPr>
        <w:rPr>
          <w:rFonts w:cs="Arial"/>
        </w:rPr>
      </w:pPr>
      <w:r w:rsidRPr="0058370B">
        <w:rPr>
          <w:rFonts w:cs="Arial"/>
        </w:rPr>
        <w:t xml:space="preserve">Approximately 3063 square kilometres of inshore seagrass meadows </w:t>
      </w:r>
      <w:r w:rsidR="00655DEC" w:rsidRPr="0058370B">
        <w:rPr>
          <w:rFonts w:cs="Arial"/>
        </w:rPr>
        <w:t>ha</w:t>
      </w:r>
      <w:r w:rsidR="00655DEC">
        <w:rPr>
          <w:rFonts w:cs="Arial"/>
        </w:rPr>
        <w:t>ve</w:t>
      </w:r>
      <w:r w:rsidR="00655DEC" w:rsidRPr="0058370B">
        <w:rPr>
          <w:rFonts w:cs="Arial"/>
        </w:rPr>
        <w:t xml:space="preserve"> </w:t>
      </w:r>
      <w:r w:rsidRPr="0058370B">
        <w:rPr>
          <w:rFonts w:cs="Arial"/>
        </w:rPr>
        <w:t>been mapped in Great Ba</w:t>
      </w:r>
      <w:r w:rsidR="00BB69ED" w:rsidRPr="0058370B">
        <w:rPr>
          <w:rFonts w:cs="Arial"/>
        </w:rPr>
        <w:t xml:space="preserve">rrier Reef World Heritage Area </w:t>
      </w:r>
      <w:r w:rsidRPr="0058370B">
        <w:rPr>
          <w:rFonts w:cs="Arial"/>
        </w:rPr>
        <w:t xml:space="preserve">waters shallower than 15 metres, relatively close to the coast, and in locations that can potentially be influenced by adjacent land use practices. Monitoring of the major marine ecosystem types most at risk from land-based sources of pollutants is being conducted to </w:t>
      </w:r>
      <w:r w:rsidR="003474FC">
        <w:rPr>
          <w:rFonts w:cs="Arial"/>
        </w:rPr>
        <w:t>make sure</w:t>
      </w:r>
      <w:r w:rsidR="003474FC" w:rsidRPr="0058370B">
        <w:rPr>
          <w:rFonts w:cs="Arial"/>
        </w:rPr>
        <w:t xml:space="preserve"> </w:t>
      </w:r>
      <w:r w:rsidRPr="0058370B">
        <w:rPr>
          <w:rFonts w:cs="Arial"/>
        </w:rPr>
        <w:t xml:space="preserve">that any change in their status is identified. Seagrass monitoring sites are associated with the river mouth and inshore marine water quality monitoring tasks in the MMP to enable correlation </w:t>
      </w:r>
      <w:r w:rsidR="00655DEC">
        <w:rPr>
          <w:rFonts w:cs="Arial"/>
        </w:rPr>
        <w:t xml:space="preserve">with </w:t>
      </w:r>
      <w:r w:rsidRPr="0058370B">
        <w:rPr>
          <w:rFonts w:cs="Arial"/>
        </w:rPr>
        <w:t>concurrently collected water quality information.</w:t>
      </w:r>
    </w:p>
    <w:p w14:paraId="6F0EB2C9" w14:textId="77777777" w:rsidR="00531525" w:rsidRPr="0058370B" w:rsidRDefault="00531525" w:rsidP="00FE2F59">
      <w:pPr>
        <w:rPr>
          <w:rFonts w:cs="Arial"/>
        </w:rPr>
      </w:pPr>
      <w:r w:rsidRPr="0058370B">
        <w:rPr>
          <w:rFonts w:cs="Arial"/>
        </w:rPr>
        <w:t>The key aims of the inshore seagrass monitoring under the MMP are to:</w:t>
      </w:r>
    </w:p>
    <w:p w14:paraId="21EDB9CA" w14:textId="329A5884" w:rsidR="00D76935" w:rsidRPr="00A73112" w:rsidRDefault="00183DFE" w:rsidP="006C7E99">
      <w:pPr>
        <w:pStyle w:val="ListParagraph"/>
        <w:numPr>
          <w:ilvl w:val="0"/>
          <w:numId w:val="45"/>
        </w:numPr>
        <w:rPr>
          <w:rFonts w:cs="Arial"/>
        </w:rPr>
      </w:pPr>
      <w:r>
        <w:rPr>
          <w:rFonts w:cs="Arial"/>
        </w:rPr>
        <w:t>M</w:t>
      </w:r>
      <w:r w:rsidRPr="00A73112">
        <w:rPr>
          <w:rFonts w:cs="Arial"/>
        </w:rPr>
        <w:t>onitor</w:t>
      </w:r>
      <w:r w:rsidR="00D76935" w:rsidRPr="00A73112">
        <w:rPr>
          <w:rFonts w:cs="Arial"/>
        </w:rPr>
        <w:t xml:space="preserve">, assess and report </w:t>
      </w:r>
      <w:r w:rsidR="00655DEC">
        <w:rPr>
          <w:rFonts w:cs="Arial"/>
        </w:rPr>
        <w:t xml:space="preserve">the </w:t>
      </w:r>
      <w:r w:rsidR="00D76935" w:rsidRPr="00A73112">
        <w:rPr>
          <w:rFonts w:cs="Arial"/>
        </w:rPr>
        <w:t>condition and trend of Great Barrier Reef inshore seagrass meadows against desired outcomes along identified or expected gradients in water quality</w:t>
      </w:r>
      <w:r>
        <w:rPr>
          <w:rFonts w:cs="Arial"/>
        </w:rPr>
        <w:t>.</w:t>
      </w:r>
    </w:p>
    <w:p w14:paraId="37FD3C19" w14:textId="206F7C52" w:rsidR="00D76935" w:rsidRPr="00A73112" w:rsidRDefault="00183DFE" w:rsidP="006C7E99">
      <w:pPr>
        <w:pStyle w:val="ListParagraph"/>
        <w:numPr>
          <w:ilvl w:val="0"/>
          <w:numId w:val="45"/>
        </w:numPr>
        <w:rPr>
          <w:rFonts w:cs="Arial"/>
        </w:rPr>
      </w:pPr>
      <w:r>
        <w:rPr>
          <w:rFonts w:cs="Arial"/>
        </w:rPr>
        <w:t>M</w:t>
      </w:r>
      <w:r w:rsidRPr="00A73112">
        <w:rPr>
          <w:rFonts w:cs="Arial"/>
        </w:rPr>
        <w:t>onitor</w:t>
      </w:r>
      <w:r w:rsidR="00D76935" w:rsidRPr="00A73112">
        <w:rPr>
          <w:rFonts w:cs="Arial"/>
        </w:rPr>
        <w:t>, assess and report the extent, frequency and intensity of acute and chronic impacts on the condition of Great Barrier Reef inshore seagrass meadows from sediments, nutrients and pesticides</w:t>
      </w:r>
      <w:r>
        <w:rPr>
          <w:rFonts w:cs="Arial"/>
        </w:rPr>
        <w:t>.</w:t>
      </w:r>
    </w:p>
    <w:p w14:paraId="08F74A07" w14:textId="775C52DE" w:rsidR="00D76935" w:rsidRPr="006832C0" w:rsidRDefault="00183DFE" w:rsidP="006C7E99">
      <w:pPr>
        <w:pStyle w:val="ListParagraph"/>
        <w:numPr>
          <w:ilvl w:val="0"/>
          <w:numId w:val="45"/>
        </w:numPr>
        <w:rPr>
          <w:rFonts w:cs="Arial"/>
        </w:rPr>
      </w:pPr>
      <w:r>
        <w:rPr>
          <w:rFonts w:cs="Arial"/>
        </w:rPr>
        <w:t>M</w:t>
      </w:r>
      <w:r w:rsidRPr="00A73112">
        <w:rPr>
          <w:rFonts w:cs="Arial"/>
        </w:rPr>
        <w:t>onitor</w:t>
      </w:r>
      <w:r w:rsidR="00D76935" w:rsidRPr="00A73112">
        <w:rPr>
          <w:rFonts w:cs="Arial"/>
        </w:rPr>
        <w:t xml:space="preserve">, assess and report recovery of Great Barrier Reef </w:t>
      </w:r>
      <w:r w:rsidR="00655DEC">
        <w:rPr>
          <w:rFonts w:cs="Arial"/>
        </w:rPr>
        <w:t>i</w:t>
      </w:r>
      <w:r w:rsidR="00D76935" w:rsidRPr="00A73112">
        <w:rPr>
          <w:rFonts w:cs="Arial"/>
        </w:rPr>
        <w:t>nshore seagrass meadows from exposure to flood plumes, sediments, nutrients and pesticides</w:t>
      </w:r>
      <w:r>
        <w:rPr>
          <w:rFonts w:cs="Arial"/>
        </w:rPr>
        <w:t>.</w:t>
      </w:r>
    </w:p>
    <w:p w14:paraId="11DF91D6" w14:textId="71FB73A7" w:rsidR="00531525" w:rsidRPr="0058370B" w:rsidRDefault="00531525" w:rsidP="00FE2F59">
      <w:pPr>
        <w:pStyle w:val="Heading2"/>
        <w:ind w:left="0" w:firstLine="0"/>
        <w:rPr>
          <w:rFonts w:cs="Arial"/>
          <w:sz w:val="22"/>
          <w:szCs w:val="22"/>
        </w:rPr>
      </w:pPr>
      <w:bookmarkStart w:id="407" w:name="_Toc393785066"/>
      <w:bookmarkStart w:id="408" w:name="_Toc394061171"/>
      <w:bookmarkStart w:id="409" w:name="_Toc394061261"/>
      <w:bookmarkStart w:id="410" w:name="_Toc396312027"/>
      <w:bookmarkStart w:id="411" w:name="_Toc520727862"/>
      <w:bookmarkStart w:id="412" w:name="_Toc12365607"/>
      <w:bookmarkStart w:id="413" w:name="_Toc261013309"/>
      <w:bookmarkStart w:id="414" w:name="_Toc294781727"/>
      <w:bookmarkStart w:id="415" w:name="_Toc321383793"/>
      <w:r w:rsidRPr="0058370B">
        <w:rPr>
          <w:rFonts w:cs="Arial"/>
          <w:sz w:val="22"/>
          <w:szCs w:val="22"/>
        </w:rPr>
        <w:t>Methods</w:t>
      </w:r>
      <w:bookmarkEnd w:id="407"/>
      <w:bookmarkEnd w:id="408"/>
      <w:bookmarkEnd w:id="409"/>
      <w:bookmarkEnd w:id="410"/>
      <w:bookmarkEnd w:id="411"/>
      <w:bookmarkEnd w:id="412"/>
      <w:r w:rsidRPr="0058370B">
        <w:rPr>
          <w:rFonts w:cs="Arial"/>
          <w:sz w:val="22"/>
          <w:szCs w:val="22"/>
        </w:rPr>
        <w:t xml:space="preserve"> </w:t>
      </w:r>
      <w:bookmarkEnd w:id="413"/>
      <w:bookmarkEnd w:id="414"/>
      <w:bookmarkEnd w:id="415"/>
    </w:p>
    <w:p w14:paraId="48EA876C" w14:textId="0448AA22" w:rsidR="00531525" w:rsidRPr="0058370B" w:rsidRDefault="00531525" w:rsidP="0067588D">
      <w:pPr>
        <w:pStyle w:val="Heading3"/>
      </w:pPr>
      <w:bookmarkStart w:id="416" w:name="_Toc261013310"/>
      <w:bookmarkStart w:id="417" w:name="_Toc294781728"/>
      <w:bookmarkStart w:id="418" w:name="_Toc321383794"/>
      <w:bookmarkStart w:id="419" w:name="_Toc393785067"/>
      <w:bookmarkStart w:id="420" w:name="_Toc394061172"/>
      <w:bookmarkStart w:id="421" w:name="_Toc394061262"/>
      <w:bookmarkStart w:id="422" w:name="_Toc396312028"/>
      <w:bookmarkStart w:id="423" w:name="_Toc520727863"/>
      <w:bookmarkStart w:id="424" w:name="_Toc12365608"/>
      <w:r w:rsidRPr="0058370B">
        <w:t>Sampling design</w:t>
      </w:r>
      <w:bookmarkEnd w:id="416"/>
      <w:bookmarkEnd w:id="417"/>
      <w:bookmarkEnd w:id="418"/>
      <w:bookmarkEnd w:id="419"/>
      <w:bookmarkEnd w:id="420"/>
      <w:bookmarkEnd w:id="421"/>
      <w:bookmarkEnd w:id="422"/>
      <w:bookmarkEnd w:id="423"/>
      <w:bookmarkEnd w:id="424"/>
    </w:p>
    <w:p w14:paraId="685A1B6A" w14:textId="7959ADC8" w:rsidR="00531525" w:rsidRPr="0058370B" w:rsidRDefault="00E450E5" w:rsidP="00FE2F59">
      <w:pPr>
        <w:rPr>
          <w:rFonts w:cs="Arial"/>
        </w:rPr>
      </w:pPr>
      <w:r w:rsidRPr="0058370B">
        <w:rPr>
          <w:rFonts w:cs="Arial"/>
        </w:rPr>
        <w:t>The sampling design was selected to detect change</w:t>
      </w:r>
      <w:r w:rsidR="00655DEC">
        <w:rPr>
          <w:rFonts w:cs="Arial"/>
        </w:rPr>
        <w:t>s</w:t>
      </w:r>
      <w:r w:rsidRPr="0058370B">
        <w:rPr>
          <w:rFonts w:cs="Arial"/>
        </w:rPr>
        <w:t xml:space="preserve"> in inshore seagrass </w:t>
      </w:r>
      <w:r>
        <w:rPr>
          <w:rFonts w:cs="Arial"/>
        </w:rPr>
        <w:t xml:space="preserve">meadows in response to improvements in </w:t>
      </w:r>
      <w:r w:rsidRPr="0058370B">
        <w:rPr>
          <w:rFonts w:cs="Arial"/>
        </w:rPr>
        <w:t>water quality</w:t>
      </w:r>
      <w:r>
        <w:rPr>
          <w:rFonts w:cs="Arial"/>
        </w:rPr>
        <w:t xml:space="preserve"> associated with</w:t>
      </w:r>
      <w:r w:rsidRPr="0058370B">
        <w:rPr>
          <w:rFonts w:cs="Arial"/>
        </w:rPr>
        <w:t xml:space="preserve"> specific catchments or groups of catchments (NRM region)</w:t>
      </w:r>
      <w:r>
        <w:rPr>
          <w:rFonts w:cs="Arial"/>
        </w:rPr>
        <w:t xml:space="preserve"> and to disturbance events</w:t>
      </w:r>
      <w:r w:rsidRPr="0058370B">
        <w:rPr>
          <w:rFonts w:cs="Arial"/>
        </w:rPr>
        <w:t>. Within each region,</w:t>
      </w:r>
      <w:r w:rsidR="00531525" w:rsidRPr="0058370B">
        <w:rPr>
          <w:rFonts w:cs="Arial"/>
        </w:rPr>
        <w:t xml:space="preserve"> a relatively homogenous section of a representative seagrass meadow is selected to represent each of the seagrass habitats present (estuarine, coastal, reef). Meadow selection was informed using mapping surveys across the regions </w:t>
      </w:r>
      <w:r w:rsidR="00383250">
        <w:rPr>
          <w:rFonts w:cs="Arial"/>
        </w:rPr>
        <w:t>before</w:t>
      </w:r>
      <w:r w:rsidR="00531525" w:rsidRPr="0058370B">
        <w:rPr>
          <w:rFonts w:cs="Arial"/>
        </w:rPr>
        <w:t xml:space="preserve"> site establishment and by the </w:t>
      </w:r>
      <w:r w:rsidR="00C55519">
        <w:rPr>
          <w:rFonts w:cs="Arial"/>
        </w:rPr>
        <w:t>Authority</w:t>
      </w:r>
      <w:r w:rsidR="00531525" w:rsidRPr="0058370B">
        <w:rPr>
          <w:rFonts w:cs="Arial"/>
        </w:rPr>
        <w:t>, using advice from expert working groups. To account for spatial heterogeneity, two sites are selected within each location (Site [Habitat (Region)]). Subtidal sites are not replicated within</w:t>
      </w:r>
      <w:r w:rsidR="00D76935">
        <w:rPr>
          <w:rFonts w:cs="Arial"/>
        </w:rPr>
        <w:t xml:space="preserve"> </w:t>
      </w:r>
      <w:r w:rsidR="005D1328">
        <w:rPr>
          <w:rFonts w:cs="Arial"/>
        </w:rPr>
        <w:t>some</w:t>
      </w:r>
      <w:r w:rsidR="00531525" w:rsidRPr="0058370B">
        <w:rPr>
          <w:rFonts w:cs="Arial"/>
        </w:rPr>
        <w:t xml:space="preserve"> locations. Within each site, finer scale variability is accounted for by </w:t>
      </w:r>
      <w:r w:rsidR="00D76935">
        <w:rPr>
          <w:rFonts w:cs="Arial"/>
        </w:rPr>
        <w:t>assessing 33 quadrats</w:t>
      </w:r>
      <w:r w:rsidR="00531525" w:rsidRPr="0058370B">
        <w:rPr>
          <w:rFonts w:cs="Arial"/>
        </w:rPr>
        <w:t xml:space="preserve">. </w:t>
      </w:r>
      <w:r w:rsidR="00CB4154" w:rsidRPr="0058370B">
        <w:rPr>
          <w:rFonts w:cs="Arial"/>
        </w:rPr>
        <w:t>The final constraint on site selection</w:t>
      </w:r>
      <w:r w:rsidR="00CB4154">
        <w:rPr>
          <w:rFonts w:cs="Arial"/>
        </w:rPr>
        <w:t xml:space="preserve"> </w:t>
      </w:r>
      <w:r w:rsidR="00CB4154" w:rsidRPr="0058370B">
        <w:rPr>
          <w:rFonts w:cs="Arial"/>
        </w:rPr>
        <w:t xml:space="preserve">is that the </w:t>
      </w:r>
      <w:r w:rsidR="00CB4154">
        <w:rPr>
          <w:rFonts w:cs="Arial"/>
        </w:rPr>
        <w:t>m</w:t>
      </w:r>
      <w:r w:rsidR="00CB4154" w:rsidRPr="0058370B">
        <w:rPr>
          <w:rFonts w:cs="Arial"/>
        </w:rPr>
        <w:t xml:space="preserve">inimum </w:t>
      </w:r>
      <w:r w:rsidR="00CB4154">
        <w:rPr>
          <w:rFonts w:cs="Arial"/>
        </w:rPr>
        <w:t>d</w:t>
      </w:r>
      <w:r w:rsidR="00CB4154" w:rsidRPr="0058370B">
        <w:rPr>
          <w:rFonts w:cs="Arial"/>
        </w:rPr>
        <w:t xml:space="preserve">etectable </w:t>
      </w:r>
      <w:r w:rsidR="00CB4154">
        <w:rPr>
          <w:rFonts w:cs="Arial"/>
        </w:rPr>
        <w:t>relative d</w:t>
      </w:r>
      <w:r w:rsidR="00CB4154" w:rsidRPr="0058370B">
        <w:rPr>
          <w:rFonts w:cs="Arial"/>
        </w:rPr>
        <w:t>ifference (MD</w:t>
      </w:r>
      <w:r w:rsidR="00CB4154">
        <w:rPr>
          <w:rFonts w:cs="Arial"/>
        </w:rPr>
        <w:t>R</w:t>
      </w:r>
      <w:r w:rsidR="00CB4154" w:rsidRPr="0058370B">
        <w:rPr>
          <w:rFonts w:cs="Arial"/>
        </w:rPr>
        <w:t>D) must be below 20</w:t>
      </w:r>
      <w:r w:rsidR="00CB4154">
        <w:rPr>
          <w:rFonts w:cs="Arial"/>
        </w:rPr>
        <w:t xml:space="preserve"> per cent</w:t>
      </w:r>
      <w:r w:rsidR="00CB4154" w:rsidRPr="0058370B">
        <w:rPr>
          <w:rFonts w:cs="Arial"/>
        </w:rPr>
        <w:t xml:space="preserve"> (at the 5</w:t>
      </w:r>
      <w:r w:rsidR="00CB4154">
        <w:rPr>
          <w:rFonts w:cs="Arial"/>
        </w:rPr>
        <w:t xml:space="preserve"> per cent</w:t>
      </w:r>
      <w:r w:rsidR="00CB4154" w:rsidRPr="0058370B">
        <w:rPr>
          <w:rFonts w:cs="Arial"/>
        </w:rPr>
        <w:t xml:space="preserve"> level of significance with 80</w:t>
      </w:r>
      <w:r w:rsidR="00CB4154">
        <w:rPr>
          <w:rFonts w:cs="Arial"/>
        </w:rPr>
        <w:t xml:space="preserve"> per cent</w:t>
      </w:r>
      <w:r w:rsidR="00CB4154" w:rsidRPr="0058370B">
        <w:rPr>
          <w:rFonts w:cs="Arial"/>
        </w:rPr>
        <w:t xml:space="preserve"> power). </w:t>
      </w:r>
      <w:r w:rsidR="00CB4154" w:rsidRPr="00EB7436">
        <w:rPr>
          <w:rFonts w:cs="Segoe UI"/>
        </w:rPr>
        <w:t xml:space="preserve">An intertidal site is defined as a </w:t>
      </w:r>
      <w:r w:rsidR="00CB4154">
        <w:rPr>
          <w:rFonts w:cs="Segoe UI"/>
        </w:rPr>
        <w:t xml:space="preserve">5.5 hectare area and in the centre of each site a </w:t>
      </w:r>
      <w:r w:rsidR="00CB4154" w:rsidRPr="00EB7436">
        <w:rPr>
          <w:rFonts w:cs="Segoe UI"/>
        </w:rPr>
        <w:t>50</w:t>
      </w:r>
      <w:r w:rsidR="00CB4154">
        <w:rPr>
          <w:rFonts w:cs="Segoe UI"/>
        </w:rPr>
        <w:t xml:space="preserve"> </w:t>
      </w:r>
      <w:r w:rsidR="00CB4154" w:rsidRPr="00EB7436">
        <w:rPr>
          <w:rFonts w:cs="Segoe UI"/>
        </w:rPr>
        <w:t>m</w:t>
      </w:r>
      <w:r w:rsidR="00CB4154">
        <w:rPr>
          <w:rFonts w:cs="Segoe UI"/>
        </w:rPr>
        <w:t xml:space="preserve"> </w:t>
      </w:r>
      <w:r w:rsidR="00CB4154">
        <w:rPr>
          <w:rFonts w:cs="Arial"/>
        </w:rPr>
        <w:t>×</w:t>
      </w:r>
      <w:r w:rsidR="00CB4154">
        <w:rPr>
          <w:rFonts w:cs="Segoe UI"/>
        </w:rPr>
        <w:t xml:space="preserve"> </w:t>
      </w:r>
      <w:r w:rsidR="00CB4154" w:rsidRPr="00EB7436">
        <w:rPr>
          <w:rFonts w:cs="Segoe UI"/>
        </w:rPr>
        <w:t>50</w:t>
      </w:r>
      <w:r w:rsidR="00CB4154">
        <w:rPr>
          <w:rFonts w:cs="Segoe UI"/>
        </w:rPr>
        <w:t xml:space="preserve"> </w:t>
      </w:r>
      <w:r w:rsidR="00CB4154" w:rsidRPr="00EB7436">
        <w:rPr>
          <w:rFonts w:cs="Segoe UI"/>
        </w:rPr>
        <w:t>m area</w:t>
      </w:r>
      <w:r w:rsidR="00CB4154">
        <w:rPr>
          <w:rFonts w:cs="Segoe UI"/>
        </w:rPr>
        <w:t xml:space="preserve"> is examined using 33 quadrats (50 cm </w:t>
      </w:r>
      <w:r w:rsidR="00CB4154">
        <w:rPr>
          <w:rFonts w:cs="Arial"/>
        </w:rPr>
        <w:t>×</w:t>
      </w:r>
      <w:r w:rsidR="00CB4154">
        <w:rPr>
          <w:rFonts w:cs="Segoe UI"/>
        </w:rPr>
        <w:t xml:space="preserve"> 50 cm), placed </w:t>
      </w:r>
      <w:r w:rsidR="00CB4154" w:rsidRPr="00FE379C">
        <w:rPr>
          <w:rFonts w:cs="Segoe UI"/>
        </w:rPr>
        <w:t>every five metres along each of the 50 metre transects, placed 25 metres apart</w:t>
      </w:r>
      <w:r w:rsidR="00CB4154" w:rsidRPr="00FE379C">
        <w:rPr>
          <w:rFonts w:cs="Arial"/>
        </w:rPr>
        <w:t xml:space="preserve">. </w:t>
      </w:r>
      <w:r w:rsidR="00CB4154">
        <w:rPr>
          <w:rFonts w:cs="Arial"/>
        </w:rPr>
        <w:t xml:space="preserve">A pilot assessment is conducted prior to establishing long-term monitoring to ensure </w:t>
      </w:r>
      <w:r w:rsidR="00CB4154" w:rsidRPr="00984BEB">
        <w:rPr>
          <w:rFonts w:cs="Arial"/>
        </w:rPr>
        <w:t>no spatial autocorrelation within or between transects</w:t>
      </w:r>
      <w:r w:rsidR="00CB4154">
        <w:rPr>
          <w:rFonts w:cs="Arial"/>
        </w:rPr>
        <w:t xml:space="preserve">. </w:t>
      </w:r>
      <w:r w:rsidR="00CB4154" w:rsidRPr="00FE379C">
        <w:rPr>
          <w:rFonts w:cs="Arial"/>
        </w:rPr>
        <w:t xml:space="preserve">The sampling strategy for subtidal sites is modified depending on whether assessments were conducted using </w:t>
      </w:r>
      <w:r w:rsidR="00CB4154">
        <w:rPr>
          <w:rFonts w:cs="Arial"/>
        </w:rPr>
        <w:t>SCUBA</w:t>
      </w:r>
      <w:r w:rsidR="00CB4154" w:rsidRPr="00FE379C">
        <w:rPr>
          <w:rFonts w:cs="Arial"/>
        </w:rPr>
        <w:t xml:space="preserve"> </w:t>
      </w:r>
      <w:r w:rsidR="00CB4154">
        <w:rPr>
          <w:rFonts w:cs="Arial"/>
        </w:rPr>
        <w:t>or drop-camera</w:t>
      </w:r>
      <w:r w:rsidR="00D76935" w:rsidRPr="00FE379C">
        <w:rPr>
          <w:rFonts w:cs="Arial"/>
        </w:rPr>
        <w:t xml:space="preserve">. </w:t>
      </w:r>
      <w:r w:rsidR="00F83792" w:rsidRPr="00FE379C">
        <w:rPr>
          <w:rFonts w:cs="Arial"/>
        </w:rPr>
        <w:t xml:space="preserve">Owing </w:t>
      </w:r>
      <w:r w:rsidR="00D76935" w:rsidRPr="00FE379C">
        <w:rPr>
          <w:rFonts w:cs="Arial"/>
        </w:rPr>
        <w:t xml:space="preserve">to logistical </w:t>
      </w:r>
      <w:r w:rsidR="00F83792" w:rsidRPr="00FE379C">
        <w:rPr>
          <w:rFonts w:cs="Arial"/>
        </w:rPr>
        <w:t xml:space="preserve">problems with </w:t>
      </w:r>
      <w:r w:rsidR="00183DFE" w:rsidRPr="00FE379C">
        <w:rPr>
          <w:rFonts w:cs="Arial"/>
        </w:rPr>
        <w:t xml:space="preserve">scuba </w:t>
      </w:r>
      <w:r w:rsidR="00D76935" w:rsidRPr="00FE379C">
        <w:rPr>
          <w:rFonts w:cs="Arial"/>
        </w:rPr>
        <w:t xml:space="preserve">diving in often poor visibility, </w:t>
      </w:r>
      <w:r w:rsidR="00531525" w:rsidRPr="00FE379C">
        <w:rPr>
          <w:rFonts w:cs="Arial"/>
        </w:rPr>
        <w:t>sampl</w:t>
      </w:r>
      <w:r w:rsidR="00D76935" w:rsidRPr="00FE379C">
        <w:rPr>
          <w:rFonts w:cs="Arial"/>
        </w:rPr>
        <w:t>ing is conducted</w:t>
      </w:r>
      <w:r w:rsidR="00531525" w:rsidRPr="00FE379C">
        <w:rPr>
          <w:rFonts w:cs="Arial"/>
        </w:rPr>
        <w:t xml:space="preserve"> along 50</w:t>
      </w:r>
      <w:r w:rsidR="00F83792" w:rsidRPr="00FE379C">
        <w:rPr>
          <w:rFonts w:cs="Arial"/>
        </w:rPr>
        <w:t>-</w:t>
      </w:r>
      <w:r w:rsidR="00531525" w:rsidRPr="00FE379C">
        <w:rPr>
          <w:rFonts w:cs="Arial"/>
        </w:rPr>
        <w:t>m</w:t>
      </w:r>
      <w:r w:rsidR="00F83792" w:rsidRPr="00FE379C">
        <w:rPr>
          <w:rFonts w:cs="Arial"/>
        </w:rPr>
        <w:t>etre</w:t>
      </w:r>
      <w:r w:rsidR="00531525" w:rsidRPr="00FE379C">
        <w:rPr>
          <w:rFonts w:cs="Arial"/>
        </w:rPr>
        <w:t xml:space="preserve"> transects </w:t>
      </w:r>
      <w:r w:rsidR="00FE379C">
        <w:rPr>
          <w:rFonts w:cs="Arial"/>
        </w:rPr>
        <w:t>two–three</w:t>
      </w:r>
      <w:r w:rsidR="00531525" w:rsidRPr="00FE379C">
        <w:rPr>
          <w:rFonts w:cs="Arial"/>
        </w:rPr>
        <w:t xml:space="preserve"> m</w:t>
      </w:r>
      <w:r w:rsidR="00F83792" w:rsidRPr="00FE379C">
        <w:rPr>
          <w:rFonts w:cs="Arial"/>
        </w:rPr>
        <w:t>etres</w:t>
      </w:r>
      <w:r w:rsidR="00531525" w:rsidRPr="00FE379C">
        <w:rPr>
          <w:rFonts w:cs="Arial"/>
        </w:rPr>
        <w:t xml:space="preserve"> apart</w:t>
      </w:r>
      <w:r w:rsidR="00531525" w:rsidRPr="0058370B">
        <w:rPr>
          <w:rFonts w:cs="Arial"/>
        </w:rPr>
        <w:t xml:space="preserve"> (aligned along the depth contour). </w:t>
      </w:r>
      <w:r w:rsidR="00D76935">
        <w:rPr>
          <w:rFonts w:cs="Arial"/>
        </w:rPr>
        <w:t xml:space="preserve">Drop-camera sampling is conducted from a surface vessel </w:t>
      </w:r>
      <w:r w:rsidR="00D76935" w:rsidRPr="00392D58">
        <w:rPr>
          <w:rFonts w:cs="Arial"/>
        </w:rPr>
        <w:t>using a real-time underwater GoPro</w:t>
      </w:r>
      <w:r w:rsidR="00D76935" w:rsidRPr="00CB5AB9">
        <w:rPr>
          <w:rFonts w:cs="Arial"/>
          <w:vertAlign w:val="superscript"/>
        </w:rPr>
        <w:t>®</w:t>
      </w:r>
      <w:r w:rsidR="00D76935" w:rsidRPr="00392D58">
        <w:rPr>
          <w:rFonts w:cs="Arial"/>
        </w:rPr>
        <w:t xml:space="preserve"> camera mounted to a frame with a 0.25 m</w:t>
      </w:r>
      <w:r w:rsidR="00D76935" w:rsidRPr="00CB5AB9">
        <w:rPr>
          <w:rFonts w:cs="Arial"/>
          <w:vertAlign w:val="superscript"/>
        </w:rPr>
        <w:t>2</w:t>
      </w:r>
      <w:r w:rsidR="00D76935" w:rsidRPr="00392D58">
        <w:rPr>
          <w:rFonts w:cs="Arial"/>
        </w:rPr>
        <w:t xml:space="preserve"> quadrat in the field of view. </w:t>
      </w:r>
      <w:r w:rsidR="00D76935">
        <w:rPr>
          <w:rFonts w:cs="Arial"/>
        </w:rPr>
        <w:t xml:space="preserve">The drop-camera is deployed within </w:t>
      </w:r>
      <w:r w:rsidR="00F83792">
        <w:rPr>
          <w:rFonts w:cs="Arial"/>
        </w:rPr>
        <w:t>a</w:t>
      </w:r>
      <w:r w:rsidR="00D76935">
        <w:rPr>
          <w:rFonts w:cs="Arial"/>
        </w:rPr>
        <w:t xml:space="preserve"> 50</w:t>
      </w:r>
      <w:r w:rsidR="00F83792">
        <w:rPr>
          <w:rFonts w:cs="Arial"/>
        </w:rPr>
        <w:t xml:space="preserve"> </w:t>
      </w:r>
      <w:r w:rsidR="00D76935">
        <w:rPr>
          <w:rFonts w:cs="Arial"/>
        </w:rPr>
        <w:t>m</w:t>
      </w:r>
      <w:r w:rsidR="00F83792">
        <w:rPr>
          <w:rFonts w:cs="Arial"/>
        </w:rPr>
        <w:t>etre</w:t>
      </w:r>
      <w:r w:rsidR="00D76935">
        <w:rPr>
          <w:rFonts w:cs="Arial"/>
        </w:rPr>
        <w:t xml:space="preserve"> radius of permanent waypoints, using vertical drops and the footage recorded for post-field analysis. A </w:t>
      </w:r>
      <w:r w:rsidR="00D76935" w:rsidRPr="00392D58">
        <w:rPr>
          <w:rFonts w:cs="Arial"/>
        </w:rPr>
        <w:t xml:space="preserve">van Veen grab </w:t>
      </w:r>
      <w:r w:rsidR="00D76935">
        <w:rPr>
          <w:rFonts w:cs="Arial"/>
        </w:rPr>
        <w:t xml:space="preserve">is used </w:t>
      </w:r>
      <w:r w:rsidR="00D76935" w:rsidRPr="00392D58">
        <w:rPr>
          <w:rFonts w:cs="Arial"/>
        </w:rPr>
        <w:t>in conjunction with the visual assessment to confirm seagrass taxonomy and sediment ty</w:t>
      </w:r>
      <w:r w:rsidR="00D76935">
        <w:rPr>
          <w:rFonts w:cs="Arial"/>
        </w:rPr>
        <w:t xml:space="preserve">pe. </w:t>
      </w:r>
      <w:r w:rsidR="00531525" w:rsidRPr="0058370B">
        <w:rPr>
          <w:rFonts w:cs="Arial"/>
        </w:rPr>
        <w:t xml:space="preserve">At each site, monitoring is conducted during the late-monsoon (April) and late-dry (October) periods each year; </w:t>
      </w:r>
      <w:r w:rsidR="00383250">
        <w:rPr>
          <w:rFonts w:cs="Arial"/>
        </w:rPr>
        <w:t xml:space="preserve">extra </w:t>
      </w:r>
      <w:r w:rsidR="00531525" w:rsidRPr="0058370B">
        <w:rPr>
          <w:rFonts w:cs="Arial"/>
        </w:rPr>
        <w:t>sampling is conducted at more accessible locations in the dry (July) and monsoon (January)</w:t>
      </w:r>
      <w:r w:rsidR="00F83792">
        <w:rPr>
          <w:rFonts w:cs="Arial"/>
        </w:rPr>
        <w:t xml:space="preserve"> periods</w:t>
      </w:r>
      <w:r w:rsidR="00531525" w:rsidRPr="0058370B">
        <w:rPr>
          <w:rFonts w:cs="Arial"/>
        </w:rPr>
        <w:t>.</w:t>
      </w:r>
    </w:p>
    <w:p w14:paraId="63DAA1E6" w14:textId="437F3085" w:rsidR="00531525" w:rsidRPr="0058370B" w:rsidRDefault="00531525" w:rsidP="0067588D">
      <w:pPr>
        <w:pStyle w:val="Heading3"/>
      </w:pPr>
      <w:bookmarkStart w:id="425" w:name="_Toc261013311"/>
      <w:bookmarkStart w:id="426" w:name="_Toc294781729"/>
      <w:bookmarkStart w:id="427" w:name="_Toc321383795"/>
      <w:bookmarkStart w:id="428" w:name="_Toc393785068"/>
      <w:bookmarkStart w:id="429" w:name="_Toc394061173"/>
      <w:bookmarkStart w:id="430" w:name="_Toc394061263"/>
      <w:bookmarkStart w:id="431" w:name="_Toc396312029"/>
      <w:bookmarkStart w:id="432" w:name="_Toc520727864"/>
      <w:bookmarkStart w:id="433" w:name="_Toc12365609"/>
      <w:r w:rsidRPr="0058370B">
        <w:t>Field survey methods</w:t>
      </w:r>
      <w:bookmarkEnd w:id="425"/>
      <w:bookmarkEnd w:id="426"/>
      <w:bookmarkEnd w:id="427"/>
      <w:r w:rsidRPr="0058370B">
        <w:t xml:space="preserve"> </w:t>
      </w:r>
      <w:r w:rsidR="00F83792">
        <w:t>—</w:t>
      </w:r>
      <w:r w:rsidRPr="0058370B">
        <w:t xml:space="preserve"> Inshore seagrass meadow abundance, community structure and reproductive health</w:t>
      </w:r>
      <w:bookmarkEnd w:id="428"/>
      <w:bookmarkEnd w:id="429"/>
      <w:bookmarkEnd w:id="430"/>
      <w:bookmarkEnd w:id="431"/>
      <w:bookmarkEnd w:id="432"/>
      <w:bookmarkEnd w:id="433"/>
    </w:p>
    <w:p w14:paraId="5581E013" w14:textId="77777777" w:rsidR="00531525" w:rsidRPr="0058370B" w:rsidRDefault="00531525" w:rsidP="00FE2F59">
      <w:pPr>
        <w:rPr>
          <w:rFonts w:cs="Arial"/>
          <w:b/>
        </w:rPr>
      </w:pPr>
      <w:r w:rsidRPr="0058370B">
        <w:rPr>
          <w:rFonts w:cs="Arial"/>
          <w:b/>
        </w:rPr>
        <w:t>Site marking</w:t>
      </w:r>
    </w:p>
    <w:p w14:paraId="727E2BD7" w14:textId="006CC5CD" w:rsidR="00854167" w:rsidRDefault="00854167" w:rsidP="00854167">
      <w:pPr>
        <w:rPr>
          <w:rFonts w:cs="Arial"/>
        </w:rPr>
      </w:pPr>
      <w:r w:rsidRPr="0058370B">
        <w:rPr>
          <w:rFonts w:cs="Arial"/>
        </w:rPr>
        <w:t xml:space="preserve">The sampling locations for this program are </w:t>
      </w:r>
      <w:r w:rsidR="005003F7">
        <w:rPr>
          <w:rFonts w:cs="Arial"/>
        </w:rPr>
        <w:t xml:space="preserve">shown </w:t>
      </w:r>
      <w:r w:rsidRPr="0058370B">
        <w:rPr>
          <w:rFonts w:cs="Arial"/>
        </w:rPr>
        <w:t xml:space="preserve">in </w:t>
      </w:r>
      <w:r>
        <w:rPr>
          <w:rFonts w:cs="Arial"/>
        </w:rPr>
        <w:fldChar w:fldCharType="begin"/>
      </w:r>
      <w:r>
        <w:rPr>
          <w:rFonts w:cs="Arial"/>
        </w:rPr>
        <w:instrText xml:space="preserve"> REF _Ref433715952 \h </w:instrText>
      </w:r>
      <w:r>
        <w:rPr>
          <w:rFonts w:cs="Arial"/>
        </w:rPr>
      </w:r>
      <w:r>
        <w:rPr>
          <w:rFonts w:cs="Arial"/>
        </w:rPr>
        <w:fldChar w:fldCharType="separate"/>
      </w:r>
      <w:r w:rsidR="00D528AA" w:rsidRPr="00620C94">
        <w:t xml:space="preserve">Figure </w:t>
      </w:r>
      <w:r w:rsidR="00D528AA">
        <w:rPr>
          <w:noProof/>
        </w:rPr>
        <w:t>6</w:t>
      </w:r>
      <w:r w:rsidR="00D528AA">
        <w:noBreakHyphen/>
      </w:r>
      <w:r w:rsidR="00D528AA">
        <w:rPr>
          <w:noProof/>
        </w:rPr>
        <w:t>1</w:t>
      </w:r>
      <w:r>
        <w:rPr>
          <w:rFonts w:cs="Arial"/>
        </w:rPr>
        <w:fldChar w:fldCharType="end"/>
      </w:r>
      <w:r w:rsidRPr="0037693C">
        <w:rPr>
          <w:rFonts w:cs="Arial"/>
        </w:rPr>
        <w:t xml:space="preserve"> and </w:t>
      </w:r>
      <w:r w:rsidR="005003F7">
        <w:rPr>
          <w:rFonts w:cs="Arial"/>
        </w:rPr>
        <w:t xml:space="preserve">listed in </w:t>
      </w:r>
      <w:r>
        <w:rPr>
          <w:rFonts w:cs="Arial"/>
          <w:highlight w:val="yellow"/>
        </w:rPr>
        <w:fldChar w:fldCharType="begin"/>
      </w:r>
      <w:r>
        <w:rPr>
          <w:rFonts w:cs="Arial"/>
          <w:highlight w:val="yellow"/>
        </w:rPr>
        <w:instrText xml:space="preserve"> REF _Ref433716004 \h </w:instrText>
      </w:r>
      <w:r>
        <w:rPr>
          <w:rFonts w:cs="Arial"/>
          <w:highlight w:val="yellow"/>
        </w:rPr>
      </w:r>
      <w:r>
        <w:rPr>
          <w:rFonts w:cs="Arial"/>
          <w:highlight w:val="yellow"/>
        </w:rPr>
        <w:fldChar w:fldCharType="separate"/>
      </w:r>
      <w:r w:rsidR="00D528AA" w:rsidRPr="00620C94">
        <w:t xml:space="preserve">Table </w:t>
      </w:r>
      <w:r w:rsidR="00D528AA">
        <w:rPr>
          <w:noProof/>
        </w:rPr>
        <w:t>6</w:t>
      </w:r>
      <w:r w:rsidR="00D528AA">
        <w:t>.</w:t>
      </w:r>
      <w:r w:rsidR="00D528AA">
        <w:rPr>
          <w:noProof/>
        </w:rPr>
        <w:t>1</w:t>
      </w:r>
      <w:r>
        <w:rPr>
          <w:rFonts w:cs="Arial"/>
          <w:highlight w:val="yellow"/>
        </w:rPr>
        <w:fldChar w:fldCharType="end"/>
      </w:r>
      <w:r w:rsidRPr="0058370B">
        <w:rPr>
          <w:rFonts w:cs="Arial"/>
        </w:rPr>
        <w:t xml:space="preserve">. </w:t>
      </w:r>
      <w:r>
        <w:rPr>
          <w:rFonts w:cs="Arial"/>
        </w:rPr>
        <w:t>Where possible, e</w:t>
      </w:r>
      <w:r w:rsidRPr="0058370B">
        <w:rPr>
          <w:rFonts w:cs="Arial"/>
        </w:rPr>
        <w:t xml:space="preserve">ach selected inshore seagrass site is permanently marked with </w:t>
      </w:r>
      <w:r>
        <w:rPr>
          <w:rFonts w:cs="Arial"/>
        </w:rPr>
        <w:t xml:space="preserve">a </w:t>
      </w:r>
      <w:r w:rsidRPr="0058370B">
        <w:rPr>
          <w:rFonts w:cs="Arial"/>
        </w:rPr>
        <w:t xml:space="preserve">plastic star picket at the </w:t>
      </w:r>
      <w:r>
        <w:rPr>
          <w:rFonts w:cs="Arial"/>
        </w:rPr>
        <w:t>start</w:t>
      </w:r>
      <w:r w:rsidRPr="0058370B">
        <w:rPr>
          <w:rFonts w:cs="Arial"/>
        </w:rPr>
        <w:t xml:space="preserve"> of the centre transect. Labels identifying the sites and contact details for the program are attached to these pickets. Positions of </w:t>
      </w:r>
      <w:r w:rsidR="00FE379C">
        <w:rPr>
          <w:rFonts w:cs="Arial"/>
        </w:rPr>
        <w:t>zero</w:t>
      </w:r>
      <w:r w:rsidRPr="00FE379C">
        <w:rPr>
          <w:rFonts w:cs="Arial"/>
        </w:rPr>
        <w:t xml:space="preserve"> m</w:t>
      </w:r>
      <w:r w:rsidR="00FE379C" w:rsidRPr="00FE379C">
        <w:rPr>
          <w:rFonts w:cs="Arial"/>
        </w:rPr>
        <w:t>etre</w:t>
      </w:r>
      <w:r w:rsidRPr="00FE379C">
        <w:rPr>
          <w:rFonts w:cs="Arial"/>
        </w:rPr>
        <w:t xml:space="preserve"> and 50 m</w:t>
      </w:r>
      <w:r w:rsidR="00FE379C" w:rsidRPr="00FE379C">
        <w:rPr>
          <w:rFonts w:cs="Arial"/>
        </w:rPr>
        <w:t>etre</w:t>
      </w:r>
      <w:r w:rsidRPr="00FE379C">
        <w:rPr>
          <w:rFonts w:cs="Arial"/>
        </w:rPr>
        <w:t xml:space="preserve"> points for all transects at a site are also noted using GPS</w:t>
      </w:r>
      <w:r w:rsidRPr="0058370B">
        <w:rPr>
          <w:rFonts w:cs="Arial"/>
        </w:rPr>
        <w:t xml:space="preserve"> (accuracy </w:t>
      </w:r>
      <w:r w:rsidRPr="00FE379C">
        <w:rPr>
          <w:rFonts w:cs="Arial"/>
        </w:rPr>
        <w:t xml:space="preserve">±3 m). This </w:t>
      </w:r>
      <w:r w:rsidR="003474FC" w:rsidRPr="00FE379C">
        <w:rPr>
          <w:rFonts w:cs="Arial"/>
        </w:rPr>
        <w:t>guarantees</w:t>
      </w:r>
      <w:r w:rsidRPr="00FE379C">
        <w:rPr>
          <w:rFonts w:cs="Arial"/>
        </w:rPr>
        <w:t xml:space="preserve"> that the same site is monitored </w:t>
      </w:r>
      <w:r w:rsidR="003474FC" w:rsidRPr="00FE379C">
        <w:rPr>
          <w:rFonts w:cs="Arial"/>
        </w:rPr>
        <w:t xml:space="preserve">at </w:t>
      </w:r>
      <w:r w:rsidRPr="00FE379C">
        <w:rPr>
          <w:rFonts w:cs="Arial"/>
        </w:rPr>
        <w:t>each event.</w:t>
      </w:r>
    </w:p>
    <w:p w14:paraId="4FE277B3" w14:textId="77777777" w:rsidR="00A1609D" w:rsidRPr="0058370B" w:rsidRDefault="00A1609D" w:rsidP="00A1609D">
      <w:pPr>
        <w:rPr>
          <w:rFonts w:cs="Arial"/>
          <w:b/>
        </w:rPr>
      </w:pPr>
      <w:r w:rsidRPr="0058370B">
        <w:rPr>
          <w:rFonts w:cs="Arial"/>
          <w:b/>
        </w:rPr>
        <w:t>Seagrass cover and species composition</w:t>
      </w:r>
    </w:p>
    <w:p w14:paraId="3E16E6AB" w14:textId="77777777" w:rsidR="00A1609D" w:rsidRPr="0058370B" w:rsidRDefault="00A1609D" w:rsidP="00A1609D">
      <w:pPr>
        <w:rPr>
          <w:rFonts w:cs="Arial"/>
        </w:rPr>
      </w:pPr>
      <w:r w:rsidRPr="0058370B">
        <w:rPr>
          <w:rFonts w:cs="Arial"/>
        </w:rPr>
        <w:t>Survey methodology follows standard</w:t>
      </w:r>
      <w:r>
        <w:rPr>
          <w:rFonts w:cs="Arial"/>
        </w:rPr>
        <w:t xml:space="preserve">ised protocols </w:t>
      </w:r>
      <w:r w:rsidRPr="0058370B">
        <w:rPr>
          <w:rFonts w:cs="Arial"/>
        </w:rPr>
        <w:t>(</w:t>
      </w:r>
      <w:r>
        <w:rPr>
          <w:color w:val="000000"/>
        </w:rPr>
        <w:t xml:space="preserve">weblink </w:t>
      </w:r>
      <w:hyperlink r:id="rId73" w:history="1">
        <w:r>
          <w:rPr>
            <w:rStyle w:val="Hyperlink"/>
          </w:rPr>
          <w:t>http://www.seagrasswatch.org/monitoring.html</w:t>
        </w:r>
      </w:hyperlink>
      <w:r w:rsidRPr="0058370B">
        <w:rPr>
          <w:rFonts w:cs="Arial"/>
        </w:rPr>
        <w:t>). A site is defined as an area within a relatively homogenous section of a representative seagrass community/meadow</w:t>
      </w:r>
      <w:r>
        <w:rPr>
          <w:rFonts w:cs="Arial"/>
        </w:rPr>
        <w:t xml:space="preserve"> </w:t>
      </w:r>
      <w:r>
        <w:rPr>
          <w:rFonts w:cs="Arial"/>
        </w:rPr>
        <w:fldChar w:fldCharType="begin"/>
      </w:r>
      <w:r>
        <w:rPr>
          <w:rFonts w:cs="Arial"/>
        </w:rPr>
        <w:instrText xml:space="preserve"> ADDIN EN.CITE &lt;EndNote&gt;&lt;Cite&gt;&lt;Author&gt;McKenzie&lt;/Author&gt;&lt;Year&gt;2000&lt;/Year&gt;&lt;RecNum&gt;1309&lt;/RecNum&gt;&lt;DisplayText&gt;(LJ McKenzie et al., 2000)&lt;/DisplayText&gt;&lt;record&gt;&lt;rec-number&gt;1309&lt;/rec-number&gt;&lt;foreign-keys&gt;&lt;key app="EN" db-id="zapfddtwo2e9z5e5vxoxafs7sf59wfp52rvf" timestamp="1558915148"&gt;1309&lt;/key&gt;&lt;/foreign-keys&gt;&lt;ref-type name="Journal Article"&gt;17&lt;/ref-type&gt;&lt;contributors&gt;&lt;authors&gt;&lt;author&gt;McKenzie, LJ&lt;/author&gt;&lt;author&gt;Long, Lee&lt;/author&gt;&lt;author&gt;Coles, RG&lt;/author&gt;&lt;author&gt;Roder, CA&lt;/author&gt;&lt;/authors&gt;&lt;/contributors&gt;&lt;titles&gt;&lt;title&gt;Seagrass-Watch: Community based monitoring of seagrass resources&lt;/title&gt;&lt;secondary-title&gt;Biologia marina mediterranea&lt;/secondary-title&gt;&lt;/titles&gt;&lt;periodical&gt;&lt;full-title&gt;Biologia marina mediterranea&lt;/full-title&gt;&lt;/periodical&gt;&lt;pages&gt;393-396&lt;/pages&gt;&lt;volume&gt;7&lt;/volume&gt;&lt;number&gt;2&lt;/number&gt;&lt;dates&gt;&lt;year&gt;2000&lt;/year&gt;&lt;/dates&gt;&lt;isbn&gt;1123-4245&lt;/isbn&gt;&lt;urls&gt;&lt;/urls&gt;&lt;/record&gt;&lt;/Cite&gt;&lt;/EndNote&gt;</w:instrText>
      </w:r>
      <w:r>
        <w:rPr>
          <w:rFonts w:cs="Arial"/>
        </w:rPr>
        <w:fldChar w:fldCharType="separate"/>
      </w:r>
      <w:r>
        <w:rPr>
          <w:rFonts w:cs="Arial"/>
          <w:noProof/>
        </w:rPr>
        <w:t>(LJ McKenzie et al., 2000)</w:t>
      </w:r>
      <w:r>
        <w:rPr>
          <w:rFonts w:cs="Arial"/>
        </w:rPr>
        <w:fldChar w:fldCharType="end"/>
      </w:r>
      <w:r w:rsidRPr="0058370B">
        <w:rPr>
          <w:rFonts w:cs="Arial"/>
        </w:rPr>
        <w:t>.</w:t>
      </w:r>
    </w:p>
    <w:p w14:paraId="0F9C0365" w14:textId="77777777" w:rsidR="00A1609D" w:rsidRPr="0058370B" w:rsidRDefault="00A1609D" w:rsidP="00A1609D">
      <w:pPr>
        <w:rPr>
          <w:rFonts w:cs="Arial"/>
        </w:rPr>
      </w:pPr>
      <w:r w:rsidRPr="0058370B">
        <w:rPr>
          <w:rFonts w:cs="Arial"/>
        </w:rPr>
        <w:t>Monitoring at the 4</w:t>
      </w:r>
      <w:r>
        <w:rPr>
          <w:rFonts w:cs="Arial"/>
        </w:rPr>
        <w:t>7</w:t>
      </w:r>
      <w:r w:rsidRPr="0058370B">
        <w:rPr>
          <w:rFonts w:cs="Arial"/>
        </w:rPr>
        <w:t xml:space="preserve"> sites identified for the MMP long-term inshore monitoring </w:t>
      </w:r>
      <w:bookmarkStart w:id="434" w:name="OLE_LINK25"/>
      <w:r w:rsidRPr="0058370B">
        <w:rPr>
          <w:rFonts w:cs="Arial"/>
        </w:rPr>
        <w:t xml:space="preserve">in late-monsoon (April) and late-dry season (October) of each year </w:t>
      </w:r>
      <w:bookmarkEnd w:id="434"/>
      <w:r w:rsidRPr="0058370B">
        <w:rPr>
          <w:rFonts w:cs="Arial"/>
        </w:rPr>
        <w:t xml:space="preserve">is conducted by qualified </w:t>
      </w:r>
      <w:r w:rsidRPr="0058370B">
        <w:rPr>
          <w:rFonts w:cs="Arial"/>
          <w:color w:val="000000"/>
        </w:rPr>
        <w:t xml:space="preserve">and trained </w:t>
      </w:r>
      <w:r w:rsidRPr="0058370B">
        <w:rPr>
          <w:rFonts w:cs="Arial"/>
        </w:rPr>
        <w:t xml:space="preserve">scientists who have demonstrated competency in the methods (see </w:t>
      </w:r>
      <w:r>
        <w:rPr>
          <w:rFonts w:cs="Arial"/>
        </w:rPr>
        <w:t xml:space="preserve">Sub-section </w:t>
      </w:r>
      <w:r w:rsidRPr="0058370B">
        <w:rPr>
          <w:rFonts w:cs="Arial"/>
        </w:rPr>
        <w:fldChar w:fldCharType="begin"/>
      </w:r>
      <w:r w:rsidRPr="0058370B">
        <w:rPr>
          <w:rFonts w:cs="Arial"/>
        </w:rPr>
        <w:instrText xml:space="preserve"> REF _Ref387589130 \r \h  \* MERGEFORMAT </w:instrText>
      </w:r>
      <w:r w:rsidRPr="0058370B">
        <w:rPr>
          <w:rFonts w:cs="Arial"/>
        </w:rPr>
      </w:r>
      <w:r w:rsidRPr="0058370B">
        <w:rPr>
          <w:rFonts w:cs="Arial"/>
        </w:rPr>
        <w:fldChar w:fldCharType="separate"/>
      </w:r>
      <w:r w:rsidR="00D528AA">
        <w:rPr>
          <w:rFonts w:cs="Arial"/>
        </w:rPr>
        <w:t>6.2.3</w:t>
      </w:r>
      <w:r w:rsidRPr="0058370B">
        <w:rPr>
          <w:rFonts w:cs="Arial"/>
        </w:rPr>
        <w:fldChar w:fldCharType="end"/>
      </w:r>
      <w:r w:rsidRPr="0058370B">
        <w:rPr>
          <w:rFonts w:cs="Arial"/>
        </w:rPr>
        <w:t>). Monitoring conducted outside these periods is also conducted by a trained scientist and</w:t>
      </w:r>
      <w:r>
        <w:rPr>
          <w:rFonts w:cs="Arial"/>
        </w:rPr>
        <w:t>,</w:t>
      </w:r>
      <w:r w:rsidRPr="0058370B">
        <w:rPr>
          <w:rFonts w:cs="Arial"/>
        </w:rPr>
        <w:t xml:space="preserve"> at </w:t>
      </w:r>
      <w:r>
        <w:rPr>
          <w:rFonts w:cs="Arial"/>
        </w:rPr>
        <w:t>two</w:t>
      </w:r>
      <w:r w:rsidRPr="0058370B">
        <w:rPr>
          <w:rFonts w:cs="Arial"/>
        </w:rPr>
        <w:t xml:space="preserve"> locations (Magnetic Island</w:t>
      </w:r>
      <w:r>
        <w:rPr>
          <w:rFonts w:cs="Arial"/>
        </w:rPr>
        <w:t xml:space="preserve"> and </w:t>
      </w:r>
      <w:r w:rsidRPr="0058370B">
        <w:rPr>
          <w:rFonts w:cs="Arial"/>
        </w:rPr>
        <w:t>Townsville)</w:t>
      </w:r>
      <w:r>
        <w:rPr>
          <w:rFonts w:cs="Arial"/>
        </w:rPr>
        <w:t>,</w:t>
      </w:r>
      <w:r w:rsidRPr="0058370B">
        <w:rPr>
          <w:rFonts w:cs="Arial"/>
        </w:rPr>
        <w:t xml:space="preserve"> is assisted by volunteers.</w:t>
      </w:r>
    </w:p>
    <w:p w14:paraId="127B5C22" w14:textId="77777777" w:rsidR="00A1609D" w:rsidRPr="0058370B" w:rsidRDefault="00A1609D" w:rsidP="00854167">
      <w:pPr>
        <w:rPr>
          <w:rFonts w:cs="Arial"/>
        </w:rPr>
      </w:pPr>
    </w:p>
    <w:p w14:paraId="6D64C95E" w14:textId="77777777" w:rsidR="0037693C" w:rsidRDefault="00531525" w:rsidP="00FE2F59">
      <w:pPr>
        <w:keepNext/>
        <w:jc w:val="center"/>
      </w:pPr>
      <w:r w:rsidRPr="0058370B">
        <w:rPr>
          <w:rFonts w:cs="Arial"/>
          <w:noProof/>
          <w:lang w:eastAsia="en-AU"/>
        </w:rPr>
        <w:drawing>
          <wp:inline distT="0" distB="0" distL="0" distR="0" wp14:anchorId="16FEBD39" wp14:editId="45ADEAC8">
            <wp:extent cx="5072932" cy="7543314"/>
            <wp:effectExtent l="0" t="0" r="0" b="635"/>
            <wp:docPr id="15" name="Picture 15" descr="Intertidal seagrass monitoring sites, along the Great Barrier Reef,  for the Marine Monitoring Program" title="Fig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8" descr="Figure 7.1. Intertidal seagrass monitoring sites, along the Great Barrier Reef,  for the Reef Rescue Marine Monitoring Program"/>
                    <pic:cNvPicPr>
                      <a:picLocks noChangeAspect="1" noChangeArrowheads="1"/>
                    </pic:cNvPicPr>
                  </pic:nvPicPr>
                  <pic:blipFill>
                    <a:blip r:embed="rId74" cstate="print">
                      <a:extLst>
                        <a:ext uri="{28A0092B-C50C-407E-A947-70E740481C1C}">
                          <a14:useLocalDpi xmlns:a14="http://schemas.microsoft.com/office/drawing/2010/main" val="0"/>
                        </a:ext>
                      </a:extLst>
                    </a:blip>
                    <a:srcRect l="12398" t="10931" r="11406" b="12080"/>
                    <a:stretch>
                      <a:fillRect/>
                    </a:stretch>
                  </pic:blipFill>
                  <pic:spPr bwMode="auto">
                    <a:xfrm>
                      <a:off x="0" y="0"/>
                      <a:ext cx="5073969" cy="7544856"/>
                    </a:xfrm>
                    <a:prstGeom prst="rect">
                      <a:avLst/>
                    </a:prstGeom>
                    <a:noFill/>
                    <a:ln>
                      <a:noFill/>
                    </a:ln>
                  </pic:spPr>
                </pic:pic>
              </a:graphicData>
            </a:graphic>
          </wp:inline>
        </w:drawing>
      </w:r>
    </w:p>
    <w:p w14:paraId="4E8E1B80" w14:textId="25EC3BB9" w:rsidR="00531525" w:rsidRPr="009B6881" w:rsidRDefault="0037693C" w:rsidP="007E5A3A">
      <w:pPr>
        <w:pStyle w:val="Caption"/>
      </w:pPr>
      <w:bookmarkStart w:id="435" w:name="_Ref433715952"/>
      <w:bookmarkStart w:id="436" w:name="_Toc12361631"/>
      <w:r w:rsidRPr="00620C94">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6</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1</w:t>
      </w:r>
      <w:r w:rsidR="006940F4">
        <w:rPr>
          <w:noProof/>
        </w:rPr>
        <w:fldChar w:fldCharType="end"/>
      </w:r>
      <w:bookmarkEnd w:id="435"/>
      <w:r w:rsidRPr="00F529DD">
        <w:t xml:space="preserve"> </w:t>
      </w:r>
      <w:r w:rsidRPr="009B6881">
        <w:t>Inshore seagrass monitoring sites</w:t>
      </w:r>
      <w:bookmarkEnd w:id="436"/>
      <w:r w:rsidRPr="009B6881">
        <w:t xml:space="preserve"> </w:t>
      </w:r>
    </w:p>
    <w:p w14:paraId="3CC1DD2F" w14:textId="77777777" w:rsidR="00531525" w:rsidRPr="0058370B" w:rsidRDefault="00531525" w:rsidP="00FE2F59">
      <w:pPr>
        <w:rPr>
          <w:rFonts w:cs="Arial"/>
          <w:bCs/>
        </w:rPr>
        <w:sectPr w:rsidR="00531525" w:rsidRPr="0058370B" w:rsidSect="00361E6D">
          <w:pgSz w:w="11906" w:h="16838"/>
          <w:pgMar w:top="1440" w:right="1440" w:bottom="1440" w:left="1440" w:header="708" w:footer="708" w:gutter="0"/>
          <w:cols w:space="708"/>
          <w:docGrid w:linePitch="360"/>
        </w:sectPr>
      </w:pPr>
    </w:p>
    <w:p w14:paraId="744F2C30" w14:textId="197340F5" w:rsidR="00A22105" w:rsidRPr="00F529DD" w:rsidRDefault="00A22105" w:rsidP="007E5A3A">
      <w:pPr>
        <w:pStyle w:val="Caption"/>
      </w:pPr>
      <w:bookmarkStart w:id="437" w:name="_Ref433716004"/>
      <w:bookmarkStart w:id="438" w:name="_Toc10398452"/>
      <w:bookmarkStart w:id="439" w:name="_Toc261013312"/>
      <w:bookmarkStart w:id="440" w:name="_Toc294781730"/>
      <w:bookmarkStart w:id="441" w:name="_Toc321383796"/>
      <w:bookmarkStart w:id="442" w:name="_Toc393785070"/>
      <w:bookmarkStart w:id="443" w:name="_Toc394061175"/>
      <w:bookmarkStart w:id="444" w:name="_Toc394061265"/>
      <w:bookmarkStart w:id="445" w:name="_Toc396312031"/>
      <w:r w:rsidRPr="00620C94">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6</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1</w:t>
      </w:r>
      <w:r w:rsidR="006940F4">
        <w:rPr>
          <w:noProof/>
        </w:rPr>
        <w:fldChar w:fldCharType="end"/>
      </w:r>
      <w:bookmarkEnd w:id="437"/>
      <w:r w:rsidRPr="00F529DD">
        <w:t xml:space="preserve"> </w:t>
      </w:r>
      <w:r w:rsidR="00FE379C">
        <w:t>I</w:t>
      </w:r>
      <w:r w:rsidRPr="009B6881">
        <w:t>nshore seagrass long-term monitoring sites</w:t>
      </w:r>
      <w:bookmarkEnd w:id="438"/>
    </w:p>
    <w:p w14:paraId="1C5F1EA8" w14:textId="29258112" w:rsidR="00A22105" w:rsidRPr="00945406" w:rsidDel="00D76935" w:rsidRDefault="00CB4154" w:rsidP="00A22105">
      <w:pPr>
        <w:pStyle w:val="Table"/>
        <w:spacing w:before="240"/>
        <w:rPr>
          <w:rFonts w:cs="Arial"/>
          <w:lang w:val="en-AU"/>
        </w:rPr>
      </w:pPr>
      <w:r w:rsidRPr="007177E2">
        <w:rPr>
          <w:rFonts w:cs="Arial"/>
          <w:sz w:val="18"/>
          <w:szCs w:val="18"/>
        </w:rPr>
        <w:t>NRM region from www.nrm.gov.au. * = intertidal, ^=subtidal.</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Caption w:val="Table 6.1 "/>
        <w:tblDescription w:val="MMP inshore seagrass long-term monitoring sites"/>
      </w:tblPr>
      <w:tblGrid>
        <w:gridCol w:w="762"/>
        <w:gridCol w:w="1656"/>
        <w:gridCol w:w="1021"/>
        <w:gridCol w:w="1593"/>
        <w:gridCol w:w="637"/>
        <w:gridCol w:w="1701"/>
        <w:gridCol w:w="460"/>
        <w:gridCol w:w="798"/>
        <w:gridCol w:w="549"/>
        <w:gridCol w:w="798"/>
        <w:gridCol w:w="3963"/>
      </w:tblGrid>
      <w:tr w:rsidR="0036236F" w:rsidRPr="00A374A1" w14:paraId="75A18D7D" w14:textId="77777777" w:rsidTr="00A374A1">
        <w:trPr>
          <w:trHeight w:val="559"/>
          <w:jc w:val="center"/>
        </w:trPr>
        <w:tc>
          <w:tcPr>
            <w:tcW w:w="0" w:type="auto"/>
            <w:shd w:val="clear" w:color="auto" w:fill="E6E6E6"/>
            <w:vAlign w:val="center"/>
          </w:tcPr>
          <w:p w14:paraId="1B62873E" w14:textId="77777777" w:rsidR="0036236F" w:rsidRPr="00A374A1" w:rsidRDefault="0036236F" w:rsidP="00386ADA">
            <w:pPr>
              <w:spacing w:before="0" w:after="0" w:line="240" w:lineRule="auto"/>
              <w:contextualSpacing/>
              <w:jc w:val="center"/>
              <w:rPr>
                <w:rFonts w:cs="Arial"/>
                <w:b/>
                <w:bCs/>
                <w:color w:val="000000"/>
                <w:sz w:val="18"/>
                <w:szCs w:val="18"/>
              </w:rPr>
            </w:pPr>
            <w:r w:rsidRPr="00A374A1">
              <w:rPr>
                <w:rFonts w:cs="Arial"/>
                <w:b/>
                <w:bCs/>
                <w:color w:val="000000"/>
                <w:sz w:val="18"/>
                <w:szCs w:val="18"/>
              </w:rPr>
              <w:t>Region</w:t>
            </w:r>
          </w:p>
        </w:tc>
        <w:tc>
          <w:tcPr>
            <w:tcW w:w="0" w:type="auto"/>
            <w:shd w:val="clear" w:color="auto" w:fill="E6E6E6"/>
            <w:noWrap/>
            <w:vAlign w:val="center"/>
          </w:tcPr>
          <w:p w14:paraId="2DEB2240" w14:textId="77777777" w:rsidR="0036236F" w:rsidRPr="00A374A1" w:rsidRDefault="0036236F" w:rsidP="00386ADA">
            <w:pPr>
              <w:spacing w:before="0" w:after="0" w:line="240" w:lineRule="auto"/>
              <w:contextualSpacing/>
              <w:jc w:val="center"/>
              <w:rPr>
                <w:rFonts w:cs="Arial"/>
                <w:b/>
                <w:bCs/>
                <w:color w:val="000000"/>
                <w:sz w:val="18"/>
                <w:szCs w:val="18"/>
              </w:rPr>
            </w:pPr>
            <w:r w:rsidRPr="00A374A1">
              <w:rPr>
                <w:rFonts w:cs="Arial"/>
                <w:b/>
                <w:bCs/>
                <w:color w:val="000000"/>
                <w:sz w:val="18"/>
                <w:szCs w:val="18"/>
              </w:rPr>
              <w:t>NRM region</w:t>
            </w:r>
          </w:p>
        </w:tc>
        <w:tc>
          <w:tcPr>
            <w:tcW w:w="0" w:type="auto"/>
            <w:shd w:val="clear" w:color="auto" w:fill="E6E6E6"/>
            <w:vAlign w:val="center"/>
          </w:tcPr>
          <w:p w14:paraId="308DCB17" w14:textId="77777777" w:rsidR="0036236F" w:rsidRPr="00A374A1" w:rsidRDefault="0036236F" w:rsidP="00386ADA">
            <w:pPr>
              <w:spacing w:before="0" w:after="0" w:line="240" w:lineRule="auto"/>
              <w:contextualSpacing/>
              <w:jc w:val="center"/>
              <w:rPr>
                <w:rFonts w:cs="Arial"/>
                <w:b/>
                <w:bCs/>
                <w:color w:val="000000"/>
                <w:sz w:val="18"/>
                <w:szCs w:val="18"/>
              </w:rPr>
            </w:pPr>
            <w:r w:rsidRPr="00A374A1">
              <w:rPr>
                <w:rFonts w:cs="Arial"/>
                <w:b/>
                <w:bCs/>
                <w:color w:val="000000"/>
                <w:sz w:val="18"/>
                <w:szCs w:val="18"/>
              </w:rPr>
              <w:t>Basin</w:t>
            </w:r>
          </w:p>
        </w:tc>
        <w:tc>
          <w:tcPr>
            <w:tcW w:w="0" w:type="auto"/>
            <w:shd w:val="clear" w:color="auto" w:fill="E6E6E6"/>
            <w:vAlign w:val="center"/>
          </w:tcPr>
          <w:p w14:paraId="4AB50307" w14:textId="77777777" w:rsidR="0036236F" w:rsidRPr="00A374A1" w:rsidRDefault="0036236F" w:rsidP="00386ADA">
            <w:pPr>
              <w:spacing w:before="0" w:after="0" w:line="240" w:lineRule="auto"/>
              <w:contextualSpacing/>
              <w:jc w:val="center"/>
              <w:rPr>
                <w:rFonts w:cs="Arial"/>
                <w:b/>
                <w:bCs/>
                <w:color w:val="000000"/>
                <w:sz w:val="18"/>
                <w:szCs w:val="18"/>
              </w:rPr>
            </w:pPr>
            <w:r w:rsidRPr="00A374A1">
              <w:rPr>
                <w:rFonts w:cs="Arial"/>
                <w:b/>
                <w:bCs/>
                <w:color w:val="000000"/>
                <w:sz w:val="18"/>
                <w:szCs w:val="18"/>
              </w:rPr>
              <w:t>Monitoring location</w:t>
            </w:r>
          </w:p>
        </w:tc>
        <w:tc>
          <w:tcPr>
            <w:tcW w:w="0" w:type="auto"/>
            <w:gridSpan w:val="2"/>
            <w:shd w:val="clear" w:color="auto" w:fill="E6E6E6"/>
            <w:noWrap/>
            <w:vAlign w:val="center"/>
          </w:tcPr>
          <w:p w14:paraId="1D41FCEF" w14:textId="77777777" w:rsidR="0036236F" w:rsidRPr="00A374A1" w:rsidRDefault="0036236F" w:rsidP="00386ADA">
            <w:pPr>
              <w:spacing w:before="0" w:after="0" w:line="240" w:lineRule="auto"/>
              <w:contextualSpacing/>
              <w:jc w:val="center"/>
              <w:rPr>
                <w:rFonts w:cs="Arial"/>
                <w:b/>
                <w:bCs/>
                <w:color w:val="000000"/>
                <w:sz w:val="18"/>
                <w:szCs w:val="18"/>
              </w:rPr>
            </w:pPr>
            <w:r w:rsidRPr="00A374A1">
              <w:rPr>
                <w:rFonts w:cs="Arial"/>
                <w:b/>
                <w:bCs/>
                <w:color w:val="000000"/>
                <w:sz w:val="18"/>
                <w:szCs w:val="18"/>
              </w:rPr>
              <w:t>Site</w:t>
            </w:r>
          </w:p>
        </w:tc>
        <w:tc>
          <w:tcPr>
            <w:tcW w:w="0" w:type="auto"/>
            <w:gridSpan w:val="2"/>
            <w:shd w:val="clear" w:color="auto" w:fill="E6E6E6"/>
            <w:noWrap/>
            <w:vAlign w:val="center"/>
          </w:tcPr>
          <w:p w14:paraId="07912B0E" w14:textId="77777777" w:rsidR="0036236F" w:rsidRPr="00A374A1" w:rsidRDefault="0036236F" w:rsidP="00386ADA">
            <w:pPr>
              <w:spacing w:before="0" w:after="0" w:line="240" w:lineRule="auto"/>
              <w:contextualSpacing/>
              <w:jc w:val="center"/>
              <w:rPr>
                <w:rFonts w:cs="Arial"/>
                <w:b/>
                <w:bCs/>
                <w:color w:val="000000"/>
                <w:sz w:val="18"/>
                <w:szCs w:val="18"/>
              </w:rPr>
            </w:pPr>
            <w:r w:rsidRPr="00A374A1">
              <w:rPr>
                <w:rFonts w:cs="Arial"/>
                <w:b/>
                <w:bCs/>
                <w:color w:val="000000"/>
                <w:sz w:val="18"/>
                <w:szCs w:val="18"/>
              </w:rPr>
              <w:t>Latitude</w:t>
            </w:r>
          </w:p>
        </w:tc>
        <w:tc>
          <w:tcPr>
            <w:tcW w:w="0" w:type="auto"/>
            <w:gridSpan w:val="2"/>
            <w:shd w:val="clear" w:color="auto" w:fill="E6E6E6"/>
            <w:noWrap/>
            <w:vAlign w:val="center"/>
          </w:tcPr>
          <w:p w14:paraId="672D5D79" w14:textId="77777777" w:rsidR="0036236F" w:rsidRPr="00A374A1" w:rsidRDefault="0036236F" w:rsidP="00386ADA">
            <w:pPr>
              <w:spacing w:before="0" w:after="0" w:line="240" w:lineRule="auto"/>
              <w:contextualSpacing/>
              <w:jc w:val="center"/>
              <w:rPr>
                <w:rFonts w:cs="Arial"/>
                <w:b/>
                <w:bCs/>
                <w:color w:val="000000"/>
                <w:sz w:val="18"/>
                <w:szCs w:val="18"/>
              </w:rPr>
            </w:pPr>
            <w:r w:rsidRPr="00A374A1">
              <w:rPr>
                <w:rFonts w:cs="Arial"/>
                <w:b/>
                <w:bCs/>
                <w:color w:val="000000"/>
                <w:sz w:val="18"/>
                <w:szCs w:val="18"/>
              </w:rPr>
              <w:t>Longitude</w:t>
            </w:r>
          </w:p>
        </w:tc>
        <w:tc>
          <w:tcPr>
            <w:tcW w:w="0" w:type="auto"/>
            <w:shd w:val="clear" w:color="auto" w:fill="E6E6E6"/>
            <w:noWrap/>
            <w:vAlign w:val="center"/>
          </w:tcPr>
          <w:p w14:paraId="5267DD4C" w14:textId="77777777" w:rsidR="0036236F" w:rsidRPr="00A374A1" w:rsidRDefault="0036236F" w:rsidP="00386ADA">
            <w:pPr>
              <w:spacing w:before="0" w:after="0" w:line="240" w:lineRule="auto"/>
              <w:contextualSpacing/>
              <w:jc w:val="center"/>
              <w:rPr>
                <w:rFonts w:cs="Arial"/>
                <w:b/>
                <w:color w:val="000000"/>
                <w:sz w:val="18"/>
                <w:szCs w:val="18"/>
              </w:rPr>
            </w:pPr>
            <w:r w:rsidRPr="00A374A1">
              <w:rPr>
                <w:rFonts w:cs="Arial"/>
                <w:b/>
                <w:color w:val="000000"/>
                <w:sz w:val="18"/>
                <w:szCs w:val="18"/>
              </w:rPr>
              <w:t>Seagrass community type</w:t>
            </w:r>
          </w:p>
        </w:tc>
      </w:tr>
      <w:tr w:rsidR="0036236F" w:rsidRPr="00A374A1" w14:paraId="6D22239A" w14:textId="77777777" w:rsidTr="00A374A1">
        <w:trPr>
          <w:trHeight w:val="170"/>
          <w:jc w:val="center"/>
        </w:trPr>
        <w:tc>
          <w:tcPr>
            <w:tcW w:w="0" w:type="auto"/>
            <w:vMerge w:val="restart"/>
            <w:noWrap/>
            <w:textDirection w:val="btLr"/>
            <w:vAlign w:val="center"/>
          </w:tcPr>
          <w:p w14:paraId="51BDEF4B" w14:textId="77777777" w:rsidR="0036236F" w:rsidRPr="00A374A1" w:rsidRDefault="0036236F" w:rsidP="00386ADA">
            <w:pPr>
              <w:spacing w:before="0" w:after="0" w:line="240" w:lineRule="auto"/>
              <w:ind w:left="113" w:right="113"/>
              <w:contextualSpacing/>
              <w:jc w:val="center"/>
              <w:rPr>
                <w:rFonts w:cs="Arial"/>
                <w:color w:val="000000"/>
                <w:sz w:val="18"/>
                <w:szCs w:val="18"/>
              </w:rPr>
            </w:pPr>
            <w:r w:rsidRPr="00A374A1">
              <w:rPr>
                <w:rFonts w:cs="Arial"/>
                <w:color w:val="000000"/>
                <w:sz w:val="18"/>
                <w:szCs w:val="18"/>
              </w:rPr>
              <w:t>Far Northern</w:t>
            </w:r>
          </w:p>
        </w:tc>
        <w:tc>
          <w:tcPr>
            <w:tcW w:w="0" w:type="auto"/>
            <w:vMerge w:val="restart"/>
            <w:shd w:val="clear" w:color="auto" w:fill="E7F3F4"/>
            <w:noWrap/>
            <w:vAlign w:val="center"/>
          </w:tcPr>
          <w:p w14:paraId="7E91E5E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Cape York</w:t>
            </w:r>
          </w:p>
        </w:tc>
        <w:tc>
          <w:tcPr>
            <w:tcW w:w="0" w:type="auto"/>
            <w:vMerge w:val="restart"/>
            <w:shd w:val="clear" w:color="auto" w:fill="E7F3F4"/>
            <w:vAlign w:val="center"/>
          </w:tcPr>
          <w:p w14:paraId="3E2D26E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Jacky Jacky / Olive-Pascoe</w:t>
            </w:r>
          </w:p>
        </w:tc>
        <w:tc>
          <w:tcPr>
            <w:tcW w:w="0" w:type="auto"/>
            <w:vMerge w:val="restart"/>
            <w:shd w:val="clear" w:color="auto" w:fill="E7F3F4"/>
            <w:noWrap/>
            <w:vAlign w:val="center"/>
          </w:tcPr>
          <w:p w14:paraId="653A6C6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Shelburne Bay</w:t>
            </w:r>
          </w:p>
          <w:p w14:paraId="0D5E326B"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coastal</w:t>
            </w:r>
          </w:p>
        </w:tc>
        <w:tc>
          <w:tcPr>
            <w:tcW w:w="0" w:type="auto"/>
            <w:shd w:val="clear" w:color="auto" w:fill="E7F3F4"/>
            <w:noWrap/>
            <w:vAlign w:val="center"/>
          </w:tcPr>
          <w:p w14:paraId="71C0FBC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SR1*</w:t>
            </w:r>
          </w:p>
        </w:tc>
        <w:tc>
          <w:tcPr>
            <w:tcW w:w="0" w:type="auto"/>
            <w:shd w:val="clear" w:color="auto" w:fill="E7F3F4"/>
            <w:noWrap/>
            <w:vAlign w:val="center"/>
          </w:tcPr>
          <w:p w14:paraId="1387D10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Shelburne Bay</w:t>
            </w:r>
          </w:p>
        </w:tc>
        <w:tc>
          <w:tcPr>
            <w:tcW w:w="0" w:type="auto"/>
            <w:shd w:val="clear" w:color="auto" w:fill="E7F3F4"/>
            <w:noWrap/>
            <w:vAlign w:val="bottom"/>
          </w:tcPr>
          <w:p w14:paraId="5C6A6A7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11°</w:t>
            </w:r>
          </w:p>
        </w:tc>
        <w:tc>
          <w:tcPr>
            <w:tcW w:w="0" w:type="auto"/>
            <w:shd w:val="clear" w:color="auto" w:fill="E7F3F4"/>
            <w:noWrap/>
            <w:vAlign w:val="bottom"/>
          </w:tcPr>
          <w:p w14:paraId="7983DD5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53.233</w:t>
            </w:r>
          </w:p>
        </w:tc>
        <w:tc>
          <w:tcPr>
            <w:tcW w:w="0" w:type="auto"/>
            <w:shd w:val="clear" w:color="auto" w:fill="E7F3F4"/>
            <w:noWrap/>
            <w:vAlign w:val="bottom"/>
          </w:tcPr>
          <w:p w14:paraId="52CEC7E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142°</w:t>
            </w:r>
          </w:p>
        </w:tc>
        <w:tc>
          <w:tcPr>
            <w:tcW w:w="0" w:type="auto"/>
            <w:shd w:val="clear" w:color="auto" w:fill="E7F3F4"/>
            <w:noWrap/>
            <w:vAlign w:val="bottom"/>
          </w:tcPr>
          <w:p w14:paraId="61D750B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54.851</w:t>
            </w:r>
          </w:p>
        </w:tc>
        <w:tc>
          <w:tcPr>
            <w:tcW w:w="0" w:type="auto"/>
            <w:shd w:val="clear" w:color="auto" w:fill="E7F3F4"/>
            <w:noWrap/>
            <w:vAlign w:val="center"/>
          </w:tcPr>
          <w:p w14:paraId="1C4062FC"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ovalis with H. uninervis/T. hemprichii</w:t>
            </w:r>
          </w:p>
        </w:tc>
      </w:tr>
      <w:tr w:rsidR="0036236F" w:rsidRPr="00A374A1" w14:paraId="70A8C29F" w14:textId="77777777" w:rsidTr="00A374A1">
        <w:trPr>
          <w:trHeight w:val="170"/>
          <w:jc w:val="center"/>
        </w:trPr>
        <w:tc>
          <w:tcPr>
            <w:tcW w:w="0" w:type="auto"/>
            <w:vMerge/>
            <w:noWrap/>
            <w:vAlign w:val="center"/>
          </w:tcPr>
          <w:p w14:paraId="51BCC4C7"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51D5ED9E"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1709B2BF"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6A1B15E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2C2390C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SR2*</w:t>
            </w:r>
          </w:p>
        </w:tc>
        <w:tc>
          <w:tcPr>
            <w:tcW w:w="0" w:type="auto"/>
            <w:shd w:val="clear" w:color="auto" w:fill="E7F3F4"/>
            <w:noWrap/>
            <w:vAlign w:val="center"/>
          </w:tcPr>
          <w:p w14:paraId="6B7566D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Shelburne Bay</w:t>
            </w:r>
          </w:p>
        </w:tc>
        <w:tc>
          <w:tcPr>
            <w:tcW w:w="0" w:type="auto"/>
            <w:shd w:val="clear" w:color="auto" w:fill="E7F3F4"/>
            <w:noWrap/>
            <w:vAlign w:val="bottom"/>
          </w:tcPr>
          <w:p w14:paraId="11F877A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11°</w:t>
            </w:r>
          </w:p>
        </w:tc>
        <w:tc>
          <w:tcPr>
            <w:tcW w:w="0" w:type="auto"/>
            <w:shd w:val="clear" w:color="auto" w:fill="E7F3F4"/>
            <w:noWrap/>
            <w:vAlign w:val="bottom"/>
          </w:tcPr>
          <w:p w14:paraId="0412A78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53.251</w:t>
            </w:r>
          </w:p>
        </w:tc>
        <w:tc>
          <w:tcPr>
            <w:tcW w:w="0" w:type="auto"/>
            <w:shd w:val="clear" w:color="auto" w:fill="E7F3F4"/>
            <w:noWrap/>
            <w:vAlign w:val="bottom"/>
          </w:tcPr>
          <w:p w14:paraId="5AB1641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142°</w:t>
            </w:r>
          </w:p>
        </w:tc>
        <w:tc>
          <w:tcPr>
            <w:tcW w:w="0" w:type="auto"/>
            <w:shd w:val="clear" w:color="auto" w:fill="E7F3F4"/>
            <w:noWrap/>
            <w:vAlign w:val="bottom"/>
          </w:tcPr>
          <w:p w14:paraId="6259D13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54.938</w:t>
            </w:r>
          </w:p>
        </w:tc>
        <w:tc>
          <w:tcPr>
            <w:tcW w:w="0" w:type="auto"/>
            <w:shd w:val="clear" w:color="auto" w:fill="E7F3F4"/>
            <w:noWrap/>
            <w:vAlign w:val="center"/>
          </w:tcPr>
          <w:p w14:paraId="2ABB5B42"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ovalis with H. uninervis/T. hemprichii</w:t>
            </w:r>
          </w:p>
        </w:tc>
      </w:tr>
      <w:tr w:rsidR="0036236F" w:rsidRPr="00A374A1" w14:paraId="3E004107" w14:textId="77777777" w:rsidTr="00A374A1">
        <w:trPr>
          <w:trHeight w:val="170"/>
          <w:jc w:val="center"/>
        </w:trPr>
        <w:tc>
          <w:tcPr>
            <w:tcW w:w="0" w:type="auto"/>
            <w:vMerge/>
            <w:noWrap/>
            <w:vAlign w:val="center"/>
          </w:tcPr>
          <w:p w14:paraId="153F5130"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391A68FE"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453AA7D9"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E7F3F4"/>
            <w:noWrap/>
            <w:vAlign w:val="center"/>
          </w:tcPr>
          <w:p w14:paraId="764605E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Piper Reef</w:t>
            </w:r>
          </w:p>
          <w:p w14:paraId="775E239F"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reef</w:t>
            </w:r>
          </w:p>
        </w:tc>
        <w:tc>
          <w:tcPr>
            <w:tcW w:w="0" w:type="auto"/>
            <w:shd w:val="clear" w:color="auto" w:fill="E7F3F4"/>
            <w:noWrap/>
            <w:vAlign w:val="center"/>
          </w:tcPr>
          <w:p w14:paraId="7189726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FR1*</w:t>
            </w:r>
          </w:p>
        </w:tc>
        <w:tc>
          <w:tcPr>
            <w:tcW w:w="0" w:type="auto"/>
            <w:shd w:val="clear" w:color="auto" w:fill="E7F3F4"/>
            <w:noWrap/>
            <w:vAlign w:val="center"/>
          </w:tcPr>
          <w:p w14:paraId="40F621E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Farmer Is.</w:t>
            </w:r>
          </w:p>
        </w:tc>
        <w:tc>
          <w:tcPr>
            <w:tcW w:w="0" w:type="auto"/>
            <w:shd w:val="clear" w:color="auto" w:fill="E7F3F4"/>
            <w:noWrap/>
            <w:vAlign w:val="bottom"/>
          </w:tcPr>
          <w:p w14:paraId="3D7F379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12°</w:t>
            </w:r>
          </w:p>
        </w:tc>
        <w:tc>
          <w:tcPr>
            <w:tcW w:w="0" w:type="auto"/>
            <w:shd w:val="clear" w:color="auto" w:fill="E7F3F4"/>
            <w:noWrap/>
            <w:vAlign w:val="bottom"/>
          </w:tcPr>
          <w:p w14:paraId="548571A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15.352</w:t>
            </w:r>
          </w:p>
        </w:tc>
        <w:tc>
          <w:tcPr>
            <w:tcW w:w="0" w:type="auto"/>
            <w:shd w:val="clear" w:color="auto" w:fill="E7F3F4"/>
            <w:noWrap/>
            <w:vAlign w:val="bottom"/>
          </w:tcPr>
          <w:p w14:paraId="1E66EC6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143°</w:t>
            </w:r>
          </w:p>
        </w:tc>
        <w:tc>
          <w:tcPr>
            <w:tcW w:w="0" w:type="auto"/>
            <w:shd w:val="clear" w:color="auto" w:fill="E7F3F4"/>
            <w:noWrap/>
            <w:vAlign w:val="bottom"/>
          </w:tcPr>
          <w:p w14:paraId="6D886DE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14.020</w:t>
            </w:r>
          </w:p>
        </w:tc>
        <w:tc>
          <w:tcPr>
            <w:tcW w:w="0" w:type="auto"/>
            <w:shd w:val="clear" w:color="auto" w:fill="E7F3F4"/>
            <w:noWrap/>
            <w:vAlign w:val="center"/>
          </w:tcPr>
          <w:p w14:paraId="25EE31FB"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T. hemprichii with C. rotundata/H. ovalis</w:t>
            </w:r>
          </w:p>
        </w:tc>
      </w:tr>
      <w:tr w:rsidR="0036236F" w:rsidRPr="00A374A1" w14:paraId="1786E3C9" w14:textId="77777777" w:rsidTr="00A374A1">
        <w:trPr>
          <w:trHeight w:val="170"/>
          <w:jc w:val="center"/>
        </w:trPr>
        <w:tc>
          <w:tcPr>
            <w:tcW w:w="0" w:type="auto"/>
            <w:vMerge/>
            <w:noWrap/>
            <w:vAlign w:val="center"/>
          </w:tcPr>
          <w:p w14:paraId="2ACB7107"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59BBD7F5"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1658B79C"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64889AD6"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67A8E24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FR2*</w:t>
            </w:r>
          </w:p>
        </w:tc>
        <w:tc>
          <w:tcPr>
            <w:tcW w:w="0" w:type="auto"/>
            <w:shd w:val="clear" w:color="auto" w:fill="E7F3F4"/>
            <w:noWrap/>
            <w:vAlign w:val="center"/>
          </w:tcPr>
          <w:p w14:paraId="54FE86A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Farmer Is.</w:t>
            </w:r>
          </w:p>
        </w:tc>
        <w:tc>
          <w:tcPr>
            <w:tcW w:w="0" w:type="auto"/>
            <w:shd w:val="clear" w:color="auto" w:fill="E7F3F4"/>
            <w:noWrap/>
            <w:vAlign w:val="bottom"/>
          </w:tcPr>
          <w:p w14:paraId="438096F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12°</w:t>
            </w:r>
          </w:p>
        </w:tc>
        <w:tc>
          <w:tcPr>
            <w:tcW w:w="0" w:type="auto"/>
            <w:shd w:val="clear" w:color="auto" w:fill="E7F3F4"/>
            <w:noWrap/>
            <w:vAlign w:val="bottom"/>
          </w:tcPr>
          <w:p w14:paraId="372CB44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15.448</w:t>
            </w:r>
          </w:p>
        </w:tc>
        <w:tc>
          <w:tcPr>
            <w:tcW w:w="0" w:type="auto"/>
            <w:shd w:val="clear" w:color="auto" w:fill="E7F3F4"/>
            <w:noWrap/>
            <w:vAlign w:val="bottom"/>
          </w:tcPr>
          <w:p w14:paraId="490D289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143°</w:t>
            </w:r>
          </w:p>
        </w:tc>
        <w:tc>
          <w:tcPr>
            <w:tcW w:w="0" w:type="auto"/>
            <w:shd w:val="clear" w:color="auto" w:fill="E7F3F4"/>
            <w:noWrap/>
            <w:vAlign w:val="bottom"/>
          </w:tcPr>
          <w:p w14:paraId="18DAFB0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14.185</w:t>
            </w:r>
          </w:p>
        </w:tc>
        <w:tc>
          <w:tcPr>
            <w:tcW w:w="0" w:type="auto"/>
            <w:shd w:val="clear" w:color="auto" w:fill="E7F3F4"/>
            <w:noWrap/>
            <w:vAlign w:val="center"/>
          </w:tcPr>
          <w:p w14:paraId="23DE0587"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T. hemprichii with C. rotundata/H. ovalis</w:t>
            </w:r>
          </w:p>
        </w:tc>
      </w:tr>
      <w:tr w:rsidR="0036236F" w:rsidRPr="00A374A1" w14:paraId="7566AC86" w14:textId="77777777" w:rsidTr="00A374A1">
        <w:trPr>
          <w:trHeight w:val="170"/>
          <w:jc w:val="center"/>
        </w:trPr>
        <w:tc>
          <w:tcPr>
            <w:tcW w:w="0" w:type="auto"/>
            <w:vMerge/>
            <w:noWrap/>
            <w:vAlign w:val="center"/>
          </w:tcPr>
          <w:p w14:paraId="2CDD6465"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44615061"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E7F3F4"/>
            <w:vAlign w:val="center"/>
          </w:tcPr>
          <w:p w14:paraId="6455835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Normanby / Jeannie</w:t>
            </w:r>
          </w:p>
        </w:tc>
        <w:tc>
          <w:tcPr>
            <w:tcW w:w="0" w:type="auto"/>
            <w:vMerge w:val="restart"/>
            <w:shd w:val="clear" w:color="auto" w:fill="E7F3F4"/>
            <w:noWrap/>
            <w:vAlign w:val="center"/>
          </w:tcPr>
          <w:p w14:paraId="3F9C5BE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Stanley Island</w:t>
            </w:r>
          </w:p>
          <w:p w14:paraId="6C7D6DD9"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reef</w:t>
            </w:r>
          </w:p>
        </w:tc>
        <w:tc>
          <w:tcPr>
            <w:tcW w:w="0" w:type="auto"/>
            <w:shd w:val="clear" w:color="auto" w:fill="E7F3F4"/>
            <w:noWrap/>
            <w:vAlign w:val="center"/>
          </w:tcPr>
          <w:p w14:paraId="22EC16F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ST1*</w:t>
            </w:r>
          </w:p>
        </w:tc>
        <w:tc>
          <w:tcPr>
            <w:tcW w:w="0" w:type="auto"/>
            <w:shd w:val="clear" w:color="auto" w:fill="E7F3F4"/>
            <w:noWrap/>
            <w:vAlign w:val="center"/>
          </w:tcPr>
          <w:p w14:paraId="563ADD2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Stanley Island</w:t>
            </w:r>
          </w:p>
        </w:tc>
        <w:tc>
          <w:tcPr>
            <w:tcW w:w="0" w:type="auto"/>
            <w:shd w:val="clear" w:color="auto" w:fill="E7F3F4"/>
            <w:noWrap/>
            <w:vAlign w:val="bottom"/>
          </w:tcPr>
          <w:p w14:paraId="2B43C51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w:t>
            </w:r>
          </w:p>
        </w:tc>
        <w:tc>
          <w:tcPr>
            <w:tcW w:w="0" w:type="auto"/>
            <w:shd w:val="clear" w:color="auto" w:fill="E7F3F4"/>
            <w:noWrap/>
            <w:vAlign w:val="bottom"/>
          </w:tcPr>
          <w:p w14:paraId="61ECD09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8.576</w:t>
            </w:r>
          </w:p>
        </w:tc>
        <w:tc>
          <w:tcPr>
            <w:tcW w:w="0" w:type="auto"/>
            <w:shd w:val="clear" w:color="auto" w:fill="E7F3F4"/>
            <w:noWrap/>
            <w:vAlign w:val="bottom"/>
          </w:tcPr>
          <w:p w14:paraId="550BAE9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144°</w:t>
            </w:r>
          </w:p>
        </w:tc>
        <w:tc>
          <w:tcPr>
            <w:tcW w:w="0" w:type="auto"/>
            <w:shd w:val="clear" w:color="auto" w:fill="E7F3F4"/>
            <w:noWrap/>
            <w:vAlign w:val="bottom"/>
          </w:tcPr>
          <w:p w14:paraId="3C34A58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14.680</w:t>
            </w:r>
          </w:p>
        </w:tc>
        <w:tc>
          <w:tcPr>
            <w:tcW w:w="0" w:type="auto"/>
            <w:shd w:val="clear" w:color="auto" w:fill="E7F3F4"/>
            <w:noWrap/>
            <w:vAlign w:val="center"/>
          </w:tcPr>
          <w:p w14:paraId="4ABDFB83"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ovalis/H. uninervis with T. hemprichii/C. rotundata</w:t>
            </w:r>
          </w:p>
        </w:tc>
      </w:tr>
      <w:tr w:rsidR="0036236F" w:rsidRPr="00A374A1" w14:paraId="60D002E1" w14:textId="77777777" w:rsidTr="00A374A1">
        <w:trPr>
          <w:trHeight w:val="170"/>
          <w:jc w:val="center"/>
        </w:trPr>
        <w:tc>
          <w:tcPr>
            <w:tcW w:w="0" w:type="auto"/>
            <w:vMerge/>
            <w:noWrap/>
            <w:vAlign w:val="center"/>
          </w:tcPr>
          <w:p w14:paraId="7EF58C02"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2D092855"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535D053E"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329EF67D"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1762E08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ST2*</w:t>
            </w:r>
          </w:p>
        </w:tc>
        <w:tc>
          <w:tcPr>
            <w:tcW w:w="0" w:type="auto"/>
            <w:shd w:val="clear" w:color="auto" w:fill="E7F3F4"/>
            <w:noWrap/>
            <w:vAlign w:val="center"/>
          </w:tcPr>
          <w:p w14:paraId="474C1041"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Stanley Island</w:t>
            </w:r>
          </w:p>
        </w:tc>
        <w:tc>
          <w:tcPr>
            <w:tcW w:w="0" w:type="auto"/>
            <w:shd w:val="clear" w:color="auto" w:fill="E7F3F4"/>
            <w:noWrap/>
            <w:vAlign w:val="bottom"/>
          </w:tcPr>
          <w:p w14:paraId="4C18617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w:t>
            </w:r>
          </w:p>
        </w:tc>
        <w:tc>
          <w:tcPr>
            <w:tcW w:w="0" w:type="auto"/>
            <w:shd w:val="clear" w:color="auto" w:fill="E7F3F4"/>
            <w:noWrap/>
            <w:vAlign w:val="bottom"/>
          </w:tcPr>
          <w:p w14:paraId="5E5FA92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8.547</w:t>
            </w:r>
          </w:p>
        </w:tc>
        <w:tc>
          <w:tcPr>
            <w:tcW w:w="0" w:type="auto"/>
            <w:shd w:val="clear" w:color="auto" w:fill="E7F3F4"/>
            <w:noWrap/>
            <w:vAlign w:val="bottom"/>
          </w:tcPr>
          <w:p w14:paraId="16E953B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144°</w:t>
            </w:r>
          </w:p>
        </w:tc>
        <w:tc>
          <w:tcPr>
            <w:tcW w:w="0" w:type="auto"/>
            <w:shd w:val="clear" w:color="auto" w:fill="E7F3F4"/>
            <w:noWrap/>
            <w:vAlign w:val="bottom"/>
          </w:tcPr>
          <w:p w14:paraId="103CD0A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14.588</w:t>
            </w:r>
          </w:p>
        </w:tc>
        <w:tc>
          <w:tcPr>
            <w:tcW w:w="0" w:type="auto"/>
            <w:shd w:val="clear" w:color="auto" w:fill="E7F3F4"/>
            <w:noWrap/>
            <w:vAlign w:val="center"/>
          </w:tcPr>
          <w:p w14:paraId="081D22E3"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ovalis/H. uninervis with T. hemprichii/C. rotundata</w:t>
            </w:r>
          </w:p>
        </w:tc>
      </w:tr>
      <w:tr w:rsidR="0036236F" w:rsidRPr="00A374A1" w14:paraId="30486E41" w14:textId="77777777" w:rsidTr="00A374A1">
        <w:trPr>
          <w:trHeight w:val="170"/>
          <w:jc w:val="center"/>
        </w:trPr>
        <w:tc>
          <w:tcPr>
            <w:tcW w:w="0" w:type="auto"/>
            <w:vMerge/>
            <w:noWrap/>
            <w:vAlign w:val="center"/>
          </w:tcPr>
          <w:p w14:paraId="270B5638"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78F76C12"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46F9E48D"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E7F3F4"/>
            <w:noWrap/>
            <w:vAlign w:val="center"/>
          </w:tcPr>
          <w:p w14:paraId="7BC1D25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Bathurst Bay</w:t>
            </w:r>
          </w:p>
          <w:p w14:paraId="55AFE4CB"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coastal</w:t>
            </w:r>
          </w:p>
        </w:tc>
        <w:tc>
          <w:tcPr>
            <w:tcW w:w="0" w:type="auto"/>
            <w:shd w:val="clear" w:color="auto" w:fill="E7F3F4"/>
            <w:noWrap/>
            <w:vAlign w:val="center"/>
          </w:tcPr>
          <w:p w14:paraId="57E923C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BY1*</w:t>
            </w:r>
          </w:p>
        </w:tc>
        <w:tc>
          <w:tcPr>
            <w:tcW w:w="0" w:type="auto"/>
            <w:shd w:val="clear" w:color="auto" w:fill="E7F3F4"/>
            <w:noWrap/>
            <w:vAlign w:val="center"/>
          </w:tcPr>
          <w:p w14:paraId="260E4F9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Bathurst Bay</w:t>
            </w:r>
          </w:p>
        </w:tc>
        <w:tc>
          <w:tcPr>
            <w:tcW w:w="0" w:type="auto"/>
            <w:shd w:val="clear" w:color="auto" w:fill="E7F3F4"/>
            <w:noWrap/>
            <w:vAlign w:val="bottom"/>
          </w:tcPr>
          <w:p w14:paraId="0E0FA2C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w:t>
            </w:r>
          </w:p>
        </w:tc>
        <w:tc>
          <w:tcPr>
            <w:tcW w:w="0" w:type="auto"/>
            <w:shd w:val="clear" w:color="auto" w:fill="E7F3F4"/>
            <w:noWrap/>
            <w:vAlign w:val="bottom"/>
          </w:tcPr>
          <w:p w14:paraId="08E4871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16.082</w:t>
            </w:r>
          </w:p>
        </w:tc>
        <w:tc>
          <w:tcPr>
            <w:tcW w:w="0" w:type="auto"/>
            <w:shd w:val="clear" w:color="auto" w:fill="E7F3F4"/>
            <w:noWrap/>
            <w:vAlign w:val="bottom"/>
          </w:tcPr>
          <w:p w14:paraId="421FF65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144°</w:t>
            </w:r>
          </w:p>
        </w:tc>
        <w:tc>
          <w:tcPr>
            <w:tcW w:w="0" w:type="auto"/>
            <w:shd w:val="clear" w:color="auto" w:fill="E7F3F4"/>
            <w:noWrap/>
            <w:vAlign w:val="bottom"/>
          </w:tcPr>
          <w:p w14:paraId="5F3A582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13.961</w:t>
            </w:r>
          </w:p>
        </w:tc>
        <w:tc>
          <w:tcPr>
            <w:tcW w:w="0" w:type="auto"/>
            <w:shd w:val="clear" w:color="auto" w:fill="E7F3F4"/>
            <w:noWrap/>
            <w:vAlign w:val="center"/>
          </w:tcPr>
          <w:p w14:paraId="5C547CE6"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 with H. ovalis/T. hemprichii/C. rotundata</w:t>
            </w:r>
          </w:p>
        </w:tc>
      </w:tr>
      <w:tr w:rsidR="0036236F" w:rsidRPr="00A374A1" w14:paraId="2319498A" w14:textId="77777777" w:rsidTr="00A374A1">
        <w:trPr>
          <w:trHeight w:val="170"/>
          <w:jc w:val="center"/>
        </w:trPr>
        <w:tc>
          <w:tcPr>
            <w:tcW w:w="0" w:type="auto"/>
            <w:vMerge/>
            <w:noWrap/>
            <w:vAlign w:val="center"/>
          </w:tcPr>
          <w:p w14:paraId="65BA804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3ED7839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6CDF7431"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53797B2E"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7677657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BY2*</w:t>
            </w:r>
          </w:p>
        </w:tc>
        <w:tc>
          <w:tcPr>
            <w:tcW w:w="0" w:type="auto"/>
            <w:shd w:val="clear" w:color="auto" w:fill="E7F3F4"/>
            <w:noWrap/>
            <w:vAlign w:val="center"/>
          </w:tcPr>
          <w:p w14:paraId="5D7C19D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Bathurst Bay</w:t>
            </w:r>
          </w:p>
        </w:tc>
        <w:tc>
          <w:tcPr>
            <w:tcW w:w="0" w:type="auto"/>
            <w:shd w:val="clear" w:color="auto" w:fill="E7F3F4"/>
            <w:noWrap/>
            <w:vAlign w:val="bottom"/>
          </w:tcPr>
          <w:p w14:paraId="7CF8FD8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w:t>
            </w:r>
          </w:p>
        </w:tc>
        <w:tc>
          <w:tcPr>
            <w:tcW w:w="0" w:type="auto"/>
            <w:shd w:val="clear" w:color="auto" w:fill="E7F3F4"/>
            <w:noWrap/>
            <w:vAlign w:val="bottom"/>
          </w:tcPr>
          <w:p w14:paraId="7723713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16.062</w:t>
            </w:r>
          </w:p>
        </w:tc>
        <w:tc>
          <w:tcPr>
            <w:tcW w:w="0" w:type="auto"/>
            <w:shd w:val="clear" w:color="auto" w:fill="E7F3F4"/>
            <w:noWrap/>
            <w:vAlign w:val="bottom"/>
          </w:tcPr>
          <w:p w14:paraId="25BA71E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144°</w:t>
            </w:r>
          </w:p>
        </w:tc>
        <w:tc>
          <w:tcPr>
            <w:tcW w:w="0" w:type="auto"/>
            <w:shd w:val="clear" w:color="auto" w:fill="E7F3F4"/>
            <w:noWrap/>
            <w:vAlign w:val="bottom"/>
          </w:tcPr>
          <w:p w14:paraId="7CB012D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13.896</w:t>
            </w:r>
          </w:p>
        </w:tc>
        <w:tc>
          <w:tcPr>
            <w:tcW w:w="0" w:type="auto"/>
            <w:shd w:val="clear" w:color="auto" w:fill="E7F3F4"/>
            <w:noWrap/>
            <w:vAlign w:val="center"/>
          </w:tcPr>
          <w:p w14:paraId="09D09CBA"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 with H. ovalis/T. hemprichii/C. rotundata</w:t>
            </w:r>
          </w:p>
        </w:tc>
      </w:tr>
      <w:tr w:rsidR="0036236F" w:rsidRPr="00A374A1" w14:paraId="2E5CAD65" w14:textId="77777777" w:rsidTr="00A374A1">
        <w:trPr>
          <w:trHeight w:val="170"/>
          <w:jc w:val="center"/>
        </w:trPr>
        <w:tc>
          <w:tcPr>
            <w:tcW w:w="0" w:type="auto"/>
            <w:vMerge/>
            <w:noWrap/>
            <w:vAlign w:val="center"/>
          </w:tcPr>
          <w:p w14:paraId="1C26EEEE"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1CA8D1FE"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E7F3F4"/>
            <w:vAlign w:val="center"/>
          </w:tcPr>
          <w:p w14:paraId="138CB33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Endeavour</w:t>
            </w:r>
          </w:p>
        </w:tc>
        <w:tc>
          <w:tcPr>
            <w:tcW w:w="0" w:type="auto"/>
            <w:vMerge w:val="restart"/>
            <w:shd w:val="clear" w:color="auto" w:fill="E7F3F4"/>
            <w:noWrap/>
            <w:vAlign w:val="center"/>
          </w:tcPr>
          <w:p w14:paraId="17C4632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Cooktown</w:t>
            </w:r>
          </w:p>
          <w:p w14:paraId="641CBA0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reef</w:t>
            </w:r>
          </w:p>
        </w:tc>
        <w:tc>
          <w:tcPr>
            <w:tcW w:w="0" w:type="auto"/>
            <w:shd w:val="clear" w:color="auto" w:fill="E7F3F4"/>
            <w:noWrap/>
            <w:vAlign w:val="center"/>
          </w:tcPr>
          <w:p w14:paraId="3D19060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AP1*</w:t>
            </w:r>
          </w:p>
        </w:tc>
        <w:tc>
          <w:tcPr>
            <w:tcW w:w="0" w:type="auto"/>
            <w:shd w:val="clear" w:color="auto" w:fill="E7F3F4"/>
            <w:noWrap/>
            <w:vAlign w:val="center"/>
          </w:tcPr>
          <w:p w14:paraId="04099EA1"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Archer Point</w:t>
            </w:r>
          </w:p>
        </w:tc>
        <w:tc>
          <w:tcPr>
            <w:tcW w:w="0" w:type="auto"/>
            <w:shd w:val="clear" w:color="auto" w:fill="E7F3F4"/>
            <w:noWrap/>
            <w:vAlign w:val="center"/>
          </w:tcPr>
          <w:p w14:paraId="001736A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w:t>
            </w:r>
          </w:p>
        </w:tc>
        <w:tc>
          <w:tcPr>
            <w:tcW w:w="0" w:type="auto"/>
            <w:shd w:val="clear" w:color="auto" w:fill="E7F3F4"/>
            <w:noWrap/>
            <w:vAlign w:val="center"/>
          </w:tcPr>
          <w:p w14:paraId="1599101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36.500</w:t>
            </w:r>
          </w:p>
        </w:tc>
        <w:tc>
          <w:tcPr>
            <w:tcW w:w="0" w:type="auto"/>
            <w:shd w:val="clear" w:color="auto" w:fill="E7F3F4"/>
            <w:noWrap/>
            <w:vAlign w:val="center"/>
          </w:tcPr>
          <w:p w14:paraId="2C0B379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145°</w:t>
            </w:r>
          </w:p>
        </w:tc>
        <w:tc>
          <w:tcPr>
            <w:tcW w:w="0" w:type="auto"/>
            <w:shd w:val="clear" w:color="auto" w:fill="E7F3F4"/>
            <w:noWrap/>
            <w:vAlign w:val="center"/>
          </w:tcPr>
          <w:p w14:paraId="45619A2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19.143</w:t>
            </w:r>
          </w:p>
        </w:tc>
        <w:tc>
          <w:tcPr>
            <w:tcW w:w="0" w:type="auto"/>
            <w:shd w:val="clear" w:color="auto" w:fill="E7F3F4"/>
            <w:noWrap/>
            <w:vAlign w:val="center"/>
          </w:tcPr>
          <w:p w14:paraId="4C63DE8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H. univervis/ H. ovalis</w:t>
            </w:r>
            <w:r w:rsidRPr="00A374A1">
              <w:rPr>
                <w:rFonts w:cs="Arial"/>
                <w:color w:val="000000"/>
                <w:sz w:val="18"/>
                <w:szCs w:val="18"/>
              </w:rPr>
              <w:t xml:space="preserve"> with </w:t>
            </w:r>
            <w:r w:rsidRPr="00A374A1">
              <w:rPr>
                <w:rFonts w:cs="Arial"/>
                <w:i/>
                <w:color w:val="000000"/>
                <w:sz w:val="18"/>
                <w:szCs w:val="18"/>
              </w:rPr>
              <w:t>Cymodocea/T. hemprichii</w:t>
            </w:r>
          </w:p>
        </w:tc>
      </w:tr>
      <w:tr w:rsidR="0036236F" w:rsidRPr="00A374A1" w14:paraId="1A2EBF34" w14:textId="77777777" w:rsidTr="00A374A1">
        <w:trPr>
          <w:trHeight w:val="170"/>
          <w:jc w:val="center"/>
        </w:trPr>
        <w:tc>
          <w:tcPr>
            <w:tcW w:w="0" w:type="auto"/>
            <w:vMerge/>
            <w:noWrap/>
            <w:vAlign w:val="center"/>
          </w:tcPr>
          <w:p w14:paraId="3474D90E"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01B7AE01"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7E9B0D8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1D6260C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6227FC1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AP2*</w:t>
            </w:r>
          </w:p>
        </w:tc>
        <w:tc>
          <w:tcPr>
            <w:tcW w:w="0" w:type="auto"/>
            <w:shd w:val="clear" w:color="auto" w:fill="E7F3F4"/>
            <w:noWrap/>
            <w:vAlign w:val="center"/>
          </w:tcPr>
          <w:p w14:paraId="32FE44D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Archer Point</w:t>
            </w:r>
          </w:p>
        </w:tc>
        <w:tc>
          <w:tcPr>
            <w:tcW w:w="0" w:type="auto"/>
            <w:shd w:val="clear" w:color="auto" w:fill="E7F3F4"/>
            <w:vAlign w:val="center"/>
          </w:tcPr>
          <w:p w14:paraId="5FA2A63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w:t>
            </w:r>
          </w:p>
        </w:tc>
        <w:tc>
          <w:tcPr>
            <w:tcW w:w="0" w:type="auto"/>
            <w:shd w:val="clear" w:color="auto" w:fill="E7F3F4"/>
            <w:vAlign w:val="center"/>
          </w:tcPr>
          <w:p w14:paraId="7DCF973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36.525</w:t>
            </w:r>
          </w:p>
        </w:tc>
        <w:tc>
          <w:tcPr>
            <w:tcW w:w="0" w:type="auto"/>
            <w:shd w:val="clear" w:color="auto" w:fill="E7F3F4"/>
            <w:vAlign w:val="center"/>
          </w:tcPr>
          <w:p w14:paraId="1FE845B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145°</w:t>
            </w:r>
          </w:p>
        </w:tc>
        <w:tc>
          <w:tcPr>
            <w:tcW w:w="0" w:type="auto"/>
            <w:shd w:val="clear" w:color="auto" w:fill="E7F3F4"/>
            <w:vAlign w:val="center"/>
          </w:tcPr>
          <w:p w14:paraId="2CC81EC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19.108</w:t>
            </w:r>
          </w:p>
        </w:tc>
        <w:tc>
          <w:tcPr>
            <w:tcW w:w="0" w:type="auto"/>
            <w:shd w:val="clear" w:color="auto" w:fill="E7F3F4"/>
            <w:noWrap/>
            <w:vAlign w:val="center"/>
          </w:tcPr>
          <w:p w14:paraId="14519E3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H. univervis/H. ovalis</w:t>
            </w:r>
            <w:r w:rsidRPr="00A374A1">
              <w:rPr>
                <w:rFonts w:cs="Arial"/>
                <w:color w:val="000000"/>
                <w:sz w:val="18"/>
                <w:szCs w:val="18"/>
              </w:rPr>
              <w:t xml:space="preserve"> with </w:t>
            </w:r>
            <w:r w:rsidRPr="00A374A1">
              <w:rPr>
                <w:rFonts w:cs="Arial"/>
                <w:i/>
                <w:color w:val="000000"/>
                <w:sz w:val="18"/>
                <w:szCs w:val="18"/>
              </w:rPr>
              <w:t>C. rotundata</w:t>
            </w:r>
          </w:p>
        </w:tc>
      </w:tr>
      <w:tr w:rsidR="0036236F" w:rsidRPr="00A374A1" w14:paraId="11DAB03D" w14:textId="77777777" w:rsidTr="00A374A1">
        <w:trPr>
          <w:trHeight w:val="170"/>
          <w:jc w:val="center"/>
        </w:trPr>
        <w:tc>
          <w:tcPr>
            <w:tcW w:w="0" w:type="auto"/>
            <w:vMerge w:val="restart"/>
            <w:noWrap/>
            <w:textDirection w:val="btLr"/>
            <w:vAlign w:val="center"/>
          </w:tcPr>
          <w:p w14:paraId="0E69FBF8" w14:textId="77777777" w:rsidR="0036236F" w:rsidRPr="00A374A1" w:rsidRDefault="0036236F" w:rsidP="00386ADA">
            <w:pPr>
              <w:spacing w:before="0" w:after="0" w:line="240" w:lineRule="auto"/>
              <w:ind w:left="113" w:right="113"/>
              <w:contextualSpacing/>
              <w:jc w:val="center"/>
              <w:rPr>
                <w:rFonts w:cs="Arial"/>
                <w:color w:val="000000"/>
                <w:sz w:val="18"/>
                <w:szCs w:val="18"/>
              </w:rPr>
            </w:pPr>
            <w:r w:rsidRPr="00A374A1">
              <w:rPr>
                <w:rFonts w:cs="Arial"/>
                <w:color w:val="000000"/>
                <w:sz w:val="18"/>
                <w:szCs w:val="18"/>
              </w:rPr>
              <w:t>Northern</w:t>
            </w:r>
          </w:p>
        </w:tc>
        <w:tc>
          <w:tcPr>
            <w:tcW w:w="0" w:type="auto"/>
            <w:vMerge w:val="restart"/>
            <w:shd w:val="clear" w:color="auto" w:fill="F3F9FA"/>
            <w:noWrap/>
            <w:vAlign w:val="center"/>
          </w:tcPr>
          <w:p w14:paraId="12F416E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Wet Tropics</w:t>
            </w:r>
          </w:p>
        </w:tc>
        <w:tc>
          <w:tcPr>
            <w:tcW w:w="0" w:type="auto"/>
            <w:vMerge w:val="restart"/>
            <w:shd w:val="clear" w:color="auto" w:fill="F3F9FA"/>
            <w:vAlign w:val="center"/>
          </w:tcPr>
          <w:p w14:paraId="391FBCD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Daintree</w:t>
            </w:r>
          </w:p>
        </w:tc>
        <w:tc>
          <w:tcPr>
            <w:tcW w:w="0" w:type="auto"/>
            <w:vMerge w:val="restart"/>
            <w:shd w:val="clear" w:color="auto" w:fill="F3F9FA"/>
            <w:noWrap/>
            <w:vAlign w:val="center"/>
          </w:tcPr>
          <w:p w14:paraId="119D4A6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Low Isles</w:t>
            </w:r>
          </w:p>
          <w:p w14:paraId="5A3CC66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reef</w:t>
            </w:r>
          </w:p>
        </w:tc>
        <w:tc>
          <w:tcPr>
            <w:tcW w:w="0" w:type="auto"/>
            <w:shd w:val="clear" w:color="auto" w:fill="F3F9FA"/>
            <w:noWrap/>
            <w:vAlign w:val="center"/>
          </w:tcPr>
          <w:p w14:paraId="689568D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LI1*</w:t>
            </w:r>
          </w:p>
        </w:tc>
        <w:tc>
          <w:tcPr>
            <w:tcW w:w="0" w:type="auto"/>
            <w:shd w:val="clear" w:color="auto" w:fill="F3F9FA"/>
            <w:noWrap/>
            <w:vAlign w:val="center"/>
          </w:tcPr>
          <w:p w14:paraId="46E2E14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Low Isles</w:t>
            </w:r>
          </w:p>
        </w:tc>
        <w:tc>
          <w:tcPr>
            <w:tcW w:w="0" w:type="auto"/>
            <w:shd w:val="clear" w:color="auto" w:fill="F3F9FA"/>
            <w:noWrap/>
            <w:vAlign w:val="center"/>
          </w:tcPr>
          <w:p w14:paraId="08E877D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16°</w:t>
            </w:r>
          </w:p>
        </w:tc>
        <w:tc>
          <w:tcPr>
            <w:tcW w:w="0" w:type="auto"/>
            <w:shd w:val="clear" w:color="auto" w:fill="F3F9FA"/>
            <w:noWrap/>
            <w:vAlign w:val="center"/>
          </w:tcPr>
          <w:p w14:paraId="59497AC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23.11</w:t>
            </w:r>
          </w:p>
        </w:tc>
        <w:tc>
          <w:tcPr>
            <w:tcW w:w="0" w:type="auto"/>
            <w:shd w:val="clear" w:color="auto" w:fill="F3F9FA"/>
            <w:noWrap/>
            <w:vAlign w:val="center"/>
          </w:tcPr>
          <w:p w14:paraId="72F7BC5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145°</w:t>
            </w:r>
          </w:p>
        </w:tc>
        <w:tc>
          <w:tcPr>
            <w:tcW w:w="0" w:type="auto"/>
            <w:shd w:val="clear" w:color="auto" w:fill="F3F9FA"/>
            <w:noWrap/>
            <w:vAlign w:val="center"/>
          </w:tcPr>
          <w:p w14:paraId="2501619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33.88</w:t>
            </w:r>
          </w:p>
        </w:tc>
        <w:tc>
          <w:tcPr>
            <w:tcW w:w="0" w:type="auto"/>
            <w:shd w:val="clear" w:color="auto" w:fill="F3F9FA"/>
            <w:noWrap/>
            <w:vAlign w:val="center"/>
          </w:tcPr>
          <w:p w14:paraId="41090391"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H.ovalis/H.uninervis</w:t>
            </w:r>
          </w:p>
        </w:tc>
      </w:tr>
      <w:tr w:rsidR="0036236F" w:rsidRPr="00A374A1" w14:paraId="17E57826" w14:textId="77777777" w:rsidTr="00A374A1">
        <w:trPr>
          <w:trHeight w:val="170"/>
          <w:jc w:val="center"/>
        </w:trPr>
        <w:tc>
          <w:tcPr>
            <w:tcW w:w="0" w:type="auto"/>
            <w:vMerge/>
            <w:noWrap/>
            <w:vAlign w:val="center"/>
          </w:tcPr>
          <w:p w14:paraId="0DA7D07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79F5BA9F"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630571F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62F171C9"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63A7052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LI2^</w:t>
            </w:r>
          </w:p>
        </w:tc>
        <w:tc>
          <w:tcPr>
            <w:tcW w:w="0" w:type="auto"/>
            <w:shd w:val="clear" w:color="auto" w:fill="F3F9FA"/>
            <w:noWrap/>
            <w:vAlign w:val="center"/>
          </w:tcPr>
          <w:p w14:paraId="197EBBC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Low Isles</w:t>
            </w:r>
          </w:p>
        </w:tc>
        <w:tc>
          <w:tcPr>
            <w:tcW w:w="0" w:type="auto"/>
            <w:shd w:val="clear" w:color="auto" w:fill="F3F9FA"/>
            <w:noWrap/>
            <w:vAlign w:val="center"/>
          </w:tcPr>
          <w:p w14:paraId="2DF5D99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16°</w:t>
            </w:r>
          </w:p>
        </w:tc>
        <w:tc>
          <w:tcPr>
            <w:tcW w:w="0" w:type="auto"/>
            <w:shd w:val="clear" w:color="auto" w:fill="F3F9FA"/>
            <w:noWrap/>
            <w:vAlign w:val="center"/>
          </w:tcPr>
          <w:p w14:paraId="4BA9671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22.97</w:t>
            </w:r>
          </w:p>
        </w:tc>
        <w:tc>
          <w:tcPr>
            <w:tcW w:w="0" w:type="auto"/>
            <w:shd w:val="clear" w:color="auto" w:fill="F3F9FA"/>
            <w:noWrap/>
            <w:vAlign w:val="center"/>
          </w:tcPr>
          <w:p w14:paraId="3CE408F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145°</w:t>
            </w:r>
          </w:p>
        </w:tc>
        <w:tc>
          <w:tcPr>
            <w:tcW w:w="0" w:type="auto"/>
            <w:shd w:val="clear" w:color="auto" w:fill="F3F9FA"/>
            <w:noWrap/>
            <w:vAlign w:val="center"/>
          </w:tcPr>
          <w:p w14:paraId="1339978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33.85</w:t>
            </w:r>
          </w:p>
        </w:tc>
        <w:tc>
          <w:tcPr>
            <w:tcW w:w="0" w:type="auto"/>
            <w:shd w:val="clear" w:color="auto" w:fill="F3F9FA"/>
            <w:noWrap/>
            <w:vAlign w:val="center"/>
          </w:tcPr>
          <w:p w14:paraId="23769958"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H.ovalis/H.uninervis</w:t>
            </w:r>
          </w:p>
        </w:tc>
      </w:tr>
      <w:tr w:rsidR="0036236F" w:rsidRPr="00A374A1" w14:paraId="43E2A2AF" w14:textId="77777777" w:rsidTr="00A374A1">
        <w:trPr>
          <w:trHeight w:val="170"/>
          <w:jc w:val="center"/>
        </w:trPr>
        <w:tc>
          <w:tcPr>
            <w:tcW w:w="0" w:type="auto"/>
            <w:vMerge/>
            <w:noWrap/>
            <w:vAlign w:val="center"/>
          </w:tcPr>
          <w:p w14:paraId="593EFF9A"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60E0A0D1"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F3F9FA"/>
            <w:vAlign w:val="center"/>
          </w:tcPr>
          <w:p w14:paraId="2486650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Mossman /</w:t>
            </w:r>
          </w:p>
          <w:p w14:paraId="52DE244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Barron /</w:t>
            </w:r>
          </w:p>
          <w:p w14:paraId="2F2322E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Mulgrave-Russell /</w:t>
            </w:r>
          </w:p>
          <w:p w14:paraId="71FF6AC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Johnstone</w:t>
            </w:r>
          </w:p>
        </w:tc>
        <w:tc>
          <w:tcPr>
            <w:tcW w:w="0" w:type="auto"/>
            <w:vMerge w:val="restart"/>
            <w:shd w:val="clear" w:color="auto" w:fill="F3F9FA"/>
            <w:noWrap/>
            <w:vAlign w:val="center"/>
          </w:tcPr>
          <w:p w14:paraId="6EAF891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Yule Point</w:t>
            </w:r>
          </w:p>
          <w:p w14:paraId="5F2A1CE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coastal </w:t>
            </w:r>
          </w:p>
        </w:tc>
        <w:tc>
          <w:tcPr>
            <w:tcW w:w="0" w:type="auto"/>
            <w:shd w:val="clear" w:color="auto" w:fill="F3F9FA"/>
            <w:noWrap/>
            <w:vAlign w:val="center"/>
          </w:tcPr>
          <w:p w14:paraId="6DA4A28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YP1*</w:t>
            </w:r>
          </w:p>
        </w:tc>
        <w:tc>
          <w:tcPr>
            <w:tcW w:w="0" w:type="auto"/>
            <w:shd w:val="clear" w:color="auto" w:fill="F3F9FA"/>
            <w:noWrap/>
            <w:vAlign w:val="center"/>
          </w:tcPr>
          <w:p w14:paraId="5FFB637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Yule Point</w:t>
            </w:r>
          </w:p>
        </w:tc>
        <w:tc>
          <w:tcPr>
            <w:tcW w:w="0" w:type="auto"/>
            <w:shd w:val="clear" w:color="auto" w:fill="F3F9FA"/>
            <w:noWrap/>
            <w:vAlign w:val="center"/>
          </w:tcPr>
          <w:p w14:paraId="4A22B69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16°</w:t>
            </w:r>
          </w:p>
        </w:tc>
        <w:tc>
          <w:tcPr>
            <w:tcW w:w="0" w:type="auto"/>
            <w:shd w:val="clear" w:color="auto" w:fill="F3F9FA"/>
            <w:noWrap/>
            <w:vAlign w:val="center"/>
          </w:tcPr>
          <w:p w14:paraId="30C3EF8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34.159</w:t>
            </w:r>
          </w:p>
        </w:tc>
        <w:tc>
          <w:tcPr>
            <w:tcW w:w="0" w:type="auto"/>
            <w:shd w:val="clear" w:color="auto" w:fill="F3F9FA"/>
            <w:noWrap/>
            <w:vAlign w:val="center"/>
          </w:tcPr>
          <w:p w14:paraId="67C9407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145°</w:t>
            </w:r>
          </w:p>
        </w:tc>
        <w:tc>
          <w:tcPr>
            <w:tcW w:w="0" w:type="auto"/>
            <w:shd w:val="clear" w:color="auto" w:fill="F3F9FA"/>
            <w:noWrap/>
            <w:vAlign w:val="center"/>
          </w:tcPr>
          <w:p w14:paraId="2EBA41E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30.744</w:t>
            </w:r>
          </w:p>
        </w:tc>
        <w:tc>
          <w:tcPr>
            <w:tcW w:w="0" w:type="auto"/>
            <w:shd w:val="clear" w:color="auto" w:fill="F3F9FA"/>
            <w:noWrap/>
            <w:vAlign w:val="center"/>
          </w:tcPr>
          <w:p w14:paraId="3A7F621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73BBD89C" w14:textId="77777777" w:rsidTr="00A374A1">
        <w:trPr>
          <w:trHeight w:val="170"/>
          <w:jc w:val="center"/>
        </w:trPr>
        <w:tc>
          <w:tcPr>
            <w:tcW w:w="0" w:type="auto"/>
            <w:vMerge/>
            <w:noWrap/>
            <w:vAlign w:val="center"/>
          </w:tcPr>
          <w:p w14:paraId="6887F25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426984A5"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651283E2"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125A5C0E"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2F8A4E9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YP2*</w:t>
            </w:r>
          </w:p>
        </w:tc>
        <w:tc>
          <w:tcPr>
            <w:tcW w:w="0" w:type="auto"/>
            <w:shd w:val="clear" w:color="auto" w:fill="F3F9FA"/>
            <w:noWrap/>
            <w:vAlign w:val="center"/>
          </w:tcPr>
          <w:p w14:paraId="67F5D7F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Yule Point</w:t>
            </w:r>
          </w:p>
        </w:tc>
        <w:tc>
          <w:tcPr>
            <w:tcW w:w="0" w:type="auto"/>
            <w:shd w:val="clear" w:color="auto" w:fill="F3F9FA"/>
            <w:noWrap/>
            <w:vAlign w:val="center"/>
          </w:tcPr>
          <w:p w14:paraId="5D6AE1C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16°</w:t>
            </w:r>
          </w:p>
        </w:tc>
        <w:tc>
          <w:tcPr>
            <w:tcW w:w="0" w:type="auto"/>
            <w:shd w:val="clear" w:color="auto" w:fill="F3F9FA"/>
            <w:noWrap/>
            <w:vAlign w:val="center"/>
          </w:tcPr>
          <w:p w14:paraId="6864F20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33.832</w:t>
            </w:r>
          </w:p>
        </w:tc>
        <w:tc>
          <w:tcPr>
            <w:tcW w:w="0" w:type="auto"/>
            <w:shd w:val="clear" w:color="auto" w:fill="F3F9FA"/>
            <w:noWrap/>
            <w:vAlign w:val="center"/>
          </w:tcPr>
          <w:p w14:paraId="03A5C2C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145°</w:t>
            </w:r>
          </w:p>
        </w:tc>
        <w:tc>
          <w:tcPr>
            <w:tcW w:w="0" w:type="auto"/>
            <w:shd w:val="clear" w:color="auto" w:fill="F3F9FA"/>
            <w:noWrap/>
            <w:vAlign w:val="center"/>
          </w:tcPr>
          <w:p w14:paraId="092CE8D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30.555</w:t>
            </w:r>
          </w:p>
        </w:tc>
        <w:tc>
          <w:tcPr>
            <w:tcW w:w="0" w:type="auto"/>
            <w:shd w:val="clear" w:color="auto" w:fill="F3F9FA"/>
            <w:noWrap/>
            <w:vAlign w:val="center"/>
          </w:tcPr>
          <w:p w14:paraId="1AEC3BB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541CE997" w14:textId="77777777" w:rsidTr="00A374A1">
        <w:trPr>
          <w:trHeight w:val="170"/>
          <w:jc w:val="center"/>
        </w:trPr>
        <w:tc>
          <w:tcPr>
            <w:tcW w:w="0" w:type="auto"/>
            <w:vMerge/>
            <w:noWrap/>
            <w:vAlign w:val="center"/>
          </w:tcPr>
          <w:p w14:paraId="0871BF8D"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0ECE46D6"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1A804594"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F3F9FA"/>
            <w:noWrap/>
            <w:vAlign w:val="center"/>
          </w:tcPr>
          <w:p w14:paraId="45F9FD5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Green Island</w:t>
            </w:r>
          </w:p>
          <w:p w14:paraId="2278730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reef</w:t>
            </w:r>
          </w:p>
        </w:tc>
        <w:tc>
          <w:tcPr>
            <w:tcW w:w="0" w:type="auto"/>
            <w:shd w:val="clear" w:color="auto" w:fill="F3F9FA"/>
            <w:noWrap/>
            <w:vAlign w:val="center"/>
          </w:tcPr>
          <w:p w14:paraId="01E2BD6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GI1*</w:t>
            </w:r>
          </w:p>
        </w:tc>
        <w:tc>
          <w:tcPr>
            <w:tcW w:w="0" w:type="auto"/>
            <w:shd w:val="clear" w:color="auto" w:fill="F3F9FA"/>
            <w:noWrap/>
            <w:vAlign w:val="center"/>
          </w:tcPr>
          <w:p w14:paraId="7287C4D1"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Green Island</w:t>
            </w:r>
          </w:p>
        </w:tc>
        <w:tc>
          <w:tcPr>
            <w:tcW w:w="0" w:type="auto"/>
            <w:shd w:val="clear" w:color="auto" w:fill="F3F9FA"/>
            <w:noWrap/>
            <w:vAlign w:val="center"/>
          </w:tcPr>
          <w:p w14:paraId="5D9687E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16°</w:t>
            </w:r>
          </w:p>
        </w:tc>
        <w:tc>
          <w:tcPr>
            <w:tcW w:w="0" w:type="auto"/>
            <w:shd w:val="clear" w:color="auto" w:fill="F3F9FA"/>
            <w:noWrap/>
            <w:vAlign w:val="center"/>
          </w:tcPr>
          <w:p w14:paraId="72E9858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45.789</w:t>
            </w:r>
          </w:p>
        </w:tc>
        <w:tc>
          <w:tcPr>
            <w:tcW w:w="0" w:type="auto"/>
            <w:shd w:val="clear" w:color="auto" w:fill="F3F9FA"/>
            <w:noWrap/>
            <w:vAlign w:val="center"/>
          </w:tcPr>
          <w:p w14:paraId="03B59F7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145°</w:t>
            </w:r>
          </w:p>
        </w:tc>
        <w:tc>
          <w:tcPr>
            <w:tcW w:w="0" w:type="auto"/>
            <w:shd w:val="clear" w:color="auto" w:fill="F3F9FA"/>
            <w:noWrap/>
            <w:vAlign w:val="center"/>
          </w:tcPr>
          <w:p w14:paraId="69B3238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58.31</w:t>
            </w:r>
          </w:p>
        </w:tc>
        <w:tc>
          <w:tcPr>
            <w:tcW w:w="0" w:type="auto"/>
            <w:shd w:val="clear" w:color="auto" w:fill="F3F9FA"/>
            <w:noWrap/>
            <w:vAlign w:val="center"/>
          </w:tcPr>
          <w:p w14:paraId="186775B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C. rotundata/T. hemprichii</w:t>
            </w:r>
            <w:r w:rsidRPr="00A374A1">
              <w:rPr>
                <w:rFonts w:cs="Arial"/>
                <w:color w:val="000000"/>
                <w:sz w:val="18"/>
                <w:szCs w:val="18"/>
              </w:rPr>
              <w:t xml:space="preserve"> with </w:t>
            </w:r>
            <w:r w:rsidRPr="00A374A1">
              <w:rPr>
                <w:rFonts w:cs="Arial"/>
                <w:i/>
                <w:color w:val="000000"/>
                <w:sz w:val="18"/>
                <w:szCs w:val="18"/>
              </w:rPr>
              <w:t>H. uninervis/H. ovalis</w:t>
            </w:r>
          </w:p>
        </w:tc>
      </w:tr>
      <w:tr w:rsidR="0036236F" w:rsidRPr="00A374A1" w14:paraId="5C096557" w14:textId="77777777" w:rsidTr="00A374A1">
        <w:trPr>
          <w:trHeight w:val="170"/>
          <w:jc w:val="center"/>
        </w:trPr>
        <w:tc>
          <w:tcPr>
            <w:tcW w:w="0" w:type="auto"/>
            <w:vMerge/>
            <w:noWrap/>
            <w:vAlign w:val="center"/>
          </w:tcPr>
          <w:p w14:paraId="743A317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778802AF"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37DBE1C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09720A15"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76F9793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GI2*</w:t>
            </w:r>
          </w:p>
        </w:tc>
        <w:tc>
          <w:tcPr>
            <w:tcW w:w="0" w:type="auto"/>
            <w:shd w:val="clear" w:color="auto" w:fill="F3F9FA"/>
            <w:noWrap/>
            <w:vAlign w:val="center"/>
          </w:tcPr>
          <w:p w14:paraId="5BACAFB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Green Island</w:t>
            </w:r>
          </w:p>
        </w:tc>
        <w:tc>
          <w:tcPr>
            <w:tcW w:w="0" w:type="auto"/>
            <w:shd w:val="clear" w:color="auto" w:fill="F3F9FA"/>
            <w:noWrap/>
            <w:vAlign w:val="center"/>
          </w:tcPr>
          <w:p w14:paraId="0ADDCCE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16°</w:t>
            </w:r>
          </w:p>
        </w:tc>
        <w:tc>
          <w:tcPr>
            <w:tcW w:w="0" w:type="auto"/>
            <w:shd w:val="clear" w:color="auto" w:fill="F3F9FA"/>
            <w:noWrap/>
            <w:vAlign w:val="center"/>
          </w:tcPr>
          <w:p w14:paraId="7A09C5E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45.776</w:t>
            </w:r>
          </w:p>
        </w:tc>
        <w:tc>
          <w:tcPr>
            <w:tcW w:w="0" w:type="auto"/>
            <w:shd w:val="clear" w:color="auto" w:fill="F3F9FA"/>
            <w:noWrap/>
            <w:vAlign w:val="center"/>
          </w:tcPr>
          <w:p w14:paraId="63FB0E6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145°</w:t>
            </w:r>
          </w:p>
        </w:tc>
        <w:tc>
          <w:tcPr>
            <w:tcW w:w="0" w:type="auto"/>
            <w:shd w:val="clear" w:color="auto" w:fill="F3F9FA"/>
            <w:noWrap/>
            <w:vAlign w:val="center"/>
          </w:tcPr>
          <w:p w14:paraId="3164889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58.501</w:t>
            </w:r>
          </w:p>
        </w:tc>
        <w:tc>
          <w:tcPr>
            <w:tcW w:w="0" w:type="auto"/>
            <w:shd w:val="clear" w:color="auto" w:fill="F3F9FA"/>
            <w:noWrap/>
            <w:vAlign w:val="center"/>
          </w:tcPr>
          <w:p w14:paraId="78D9F14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C. rotundata/T. hemprichii </w:t>
            </w:r>
            <w:r w:rsidRPr="00A374A1">
              <w:rPr>
                <w:rFonts w:cs="Arial"/>
                <w:color w:val="000000"/>
                <w:sz w:val="18"/>
                <w:szCs w:val="18"/>
              </w:rPr>
              <w:t xml:space="preserve">with </w:t>
            </w:r>
            <w:r w:rsidRPr="00A374A1">
              <w:rPr>
                <w:rFonts w:cs="Arial"/>
                <w:i/>
                <w:color w:val="000000"/>
                <w:sz w:val="18"/>
                <w:szCs w:val="18"/>
              </w:rPr>
              <w:t>H. uninervis/H. ovalis</w:t>
            </w:r>
          </w:p>
        </w:tc>
      </w:tr>
      <w:tr w:rsidR="0036236F" w:rsidRPr="00A374A1" w14:paraId="69E5C4B7" w14:textId="77777777" w:rsidTr="00A374A1">
        <w:trPr>
          <w:trHeight w:val="170"/>
          <w:jc w:val="center"/>
        </w:trPr>
        <w:tc>
          <w:tcPr>
            <w:tcW w:w="0" w:type="auto"/>
            <w:vMerge/>
            <w:noWrap/>
            <w:vAlign w:val="center"/>
          </w:tcPr>
          <w:p w14:paraId="6F8197E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59ACE52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58DF4B5A"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095A9B28"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73FF10B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GI3^</w:t>
            </w:r>
          </w:p>
        </w:tc>
        <w:tc>
          <w:tcPr>
            <w:tcW w:w="0" w:type="auto"/>
            <w:shd w:val="clear" w:color="auto" w:fill="F3F9FA"/>
            <w:noWrap/>
            <w:vAlign w:val="center"/>
          </w:tcPr>
          <w:p w14:paraId="1B32203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Green Island</w:t>
            </w:r>
          </w:p>
        </w:tc>
        <w:tc>
          <w:tcPr>
            <w:tcW w:w="0" w:type="auto"/>
            <w:shd w:val="clear" w:color="auto" w:fill="F3F9FA"/>
            <w:noWrap/>
            <w:vAlign w:val="center"/>
          </w:tcPr>
          <w:p w14:paraId="6D0BAE7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16°</w:t>
            </w:r>
          </w:p>
        </w:tc>
        <w:tc>
          <w:tcPr>
            <w:tcW w:w="0" w:type="auto"/>
            <w:shd w:val="clear" w:color="auto" w:fill="F3F9FA"/>
            <w:noWrap/>
            <w:vAlign w:val="center"/>
          </w:tcPr>
          <w:p w14:paraId="74319B3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45.29</w:t>
            </w:r>
          </w:p>
        </w:tc>
        <w:tc>
          <w:tcPr>
            <w:tcW w:w="0" w:type="auto"/>
            <w:shd w:val="clear" w:color="auto" w:fill="F3F9FA"/>
            <w:noWrap/>
            <w:vAlign w:val="center"/>
          </w:tcPr>
          <w:p w14:paraId="2E1C9AF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145°</w:t>
            </w:r>
          </w:p>
        </w:tc>
        <w:tc>
          <w:tcPr>
            <w:tcW w:w="0" w:type="auto"/>
            <w:shd w:val="clear" w:color="auto" w:fill="F3F9FA"/>
            <w:noWrap/>
            <w:vAlign w:val="center"/>
          </w:tcPr>
          <w:p w14:paraId="1A71FE0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58.38</w:t>
            </w:r>
          </w:p>
        </w:tc>
        <w:tc>
          <w:tcPr>
            <w:tcW w:w="0" w:type="auto"/>
            <w:shd w:val="clear" w:color="auto" w:fill="F3F9FA"/>
            <w:noWrap/>
            <w:vAlign w:val="center"/>
          </w:tcPr>
          <w:p w14:paraId="222B158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C. rotundata/</w:t>
            </w:r>
            <w:r w:rsidRPr="00A374A1">
              <w:rPr>
                <w:rFonts w:cs="Arial"/>
                <w:color w:val="000000"/>
                <w:sz w:val="18"/>
                <w:szCs w:val="18"/>
              </w:rPr>
              <w:t xml:space="preserve"> </w:t>
            </w:r>
            <w:r w:rsidRPr="00A374A1">
              <w:rPr>
                <w:rFonts w:cs="Arial"/>
                <w:i/>
                <w:color w:val="000000"/>
                <w:sz w:val="18"/>
                <w:szCs w:val="18"/>
              </w:rPr>
              <w:t>H. uninervis/C.serrulata/S.isoetifolium</w:t>
            </w:r>
          </w:p>
        </w:tc>
      </w:tr>
      <w:tr w:rsidR="0036236F" w:rsidRPr="00A374A1" w14:paraId="0AC3F223" w14:textId="77777777" w:rsidTr="00A374A1">
        <w:trPr>
          <w:trHeight w:val="170"/>
          <w:jc w:val="center"/>
        </w:trPr>
        <w:tc>
          <w:tcPr>
            <w:tcW w:w="0" w:type="auto"/>
            <w:vMerge/>
            <w:noWrap/>
            <w:vAlign w:val="center"/>
          </w:tcPr>
          <w:p w14:paraId="2EB8972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7A8C1BA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F3F9FA"/>
            <w:vAlign w:val="center"/>
          </w:tcPr>
          <w:p w14:paraId="6C0E612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Tully / Murray / Herbert</w:t>
            </w:r>
          </w:p>
        </w:tc>
        <w:tc>
          <w:tcPr>
            <w:tcW w:w="0" w:type="auto"/>
            <w:vMerge w:val="restart"/>
            <w:shd w:val="clear" w:color="auto" w:fill="F3F9FA"/>
            <w:noWrap/>
            <w:vAlign w:val="center"/>
          </w:tcPr>
          <w:p w14:paraId="7EB24D6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Mission Beach</w:t>
            </w:r>
          </w:p>
          <w:p w14:paraId="1950CE87"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 xml:space="preserve">coastal </w:t>
            </w:r>
          </w:p>
        </w:tc>
        <w:tc>
          <w:tcPr>
            <w:tcW w:w="0" w:type="auto"/>
            <w:shd w:val="clear" w:color="auto" w:fill="F3F9FA"/>
            <w:noWrap/>
            <w:vAlign w:val="center"/>
          </w:tcPr>
          <w:p w14:paraId="4C0FBDA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LB1*</w:t>
            </w:r>
          </w:p>
        </w:tc>
        <w:tc>
          <w:tcPr>
            <w:tcW w:w="0" w:type="auto"/>
            <w:shd w:val="clear" w:color="auto" w:fill="F3F9FA"/>
            <w:noWrap/>
            <w:vAlign w:val="center"/>
          </w:tcPr>
          <w:p w14:paraId="12EA7FE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Lugger Bay</w:t>
            </w:r>
          </w:p>
        </w:tc>
        <w:tc>
          <w:tcPr>
            <w:tcW w:w="0" w:type="auto"/>
            <w:shd w:val="clear" w:color="auto" w:fill="F3F9FA"/>
            <w:noWrap/>
            <w:vAlign w:val="center"/>
          </w:tcPr>
          <w:p w14:paraId="4938FC5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17°</w:t>
            </w:r>
          </w:p>
        </w:tc>
        <w:tc>
          <w:tcPr>
            <w:tcW w:w="0" w:type="auto"/>
            <w:shd w:val="clear" w:color="auto" w:fill="F3F9FA"/>
            <w:noWrap/>
            <w:vAlign w:val="center"/>
          </w:tcPr>
          <w:p w14:paraId="2A36278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57.645</w:t>
            </w:r>
          </w:p>
        </w:tc>
        <w:tc>
          <w:tcPr>
            <w:tcW w:w="0" w:type="auto"/>
            <w:shd w:val="clear" w:color="auto" w:fill="F3F9FA"/>
            <w:noWrap/>
            <w:vAlign w:val="center"/>
          </w:tcPr>
          <w:p w14:paraId="7A97DC5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146°</w:t>
            </w:r>
          </w:p>
        </w:tc>
        <w:tc>
          <w:tcPr>
            <w:tcW w:w="0" w:type="auto"/>
            <w:shd w:val="clear" w:color="auto" w:fill="F3F9FA"/>
            <w:noWrap/>
            <w:vAlign w:val="center"/>
          </w:tcPr>
          <w:p w14:paraId="2EEC84B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5.61</w:t>
            </w:r>
          </w:p>
        </w:tc>
        <w:tc>
          <w:tcPr>
            <w:tcW w:w="0" w:type="auto"/>
            <w:shd w:val="clear" w:color="auto" w:fill="F3F9FA"/>
            <w:noWrap/>
            <w:vAlign w:val="center"/>
          </w:tcPr>
          <w:p w14:paraId="42AD3B2C"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p>
        </w:tc>
      </w:tr>
      <w:tr w:rsidR="0036236F" w:rsidRPr="00A374A1" w14:paraId="0B376AE0" w14:textId="77777777" w:rsidTr="00A374A1">
        <w:trPr>
          <w:trHeight w:val="170"/>
          <w:jc w:val="center"/>
        </w:trPr>
        <w:tc>
          <w:tcPr>
            <w:tcW w:w="0" w:type="auto"/>
            <w:vMerge/>
            <w:noWrap/>
            <w:vAlign w:val="center"/>
          </w:tcPr>
          <w:p w14:paraId="1A2CD274"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44926649"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3F6AD690"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00B61634"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647E6BBB" w14:textId="77777777" w:rsidR="0036236F" w:rsidRPr="00A374A1" w:rsidRDefault="0036236F" w:rsidP="00386ADA">
            <w:pPr>
              <w:spacing w:before="0" w:after="0" w:line="240" w:lineRule="auto"/>
              <w:contextualSpacing/>
              <w:jc w:val="center"/>
              <w:rPr>
                <w:rFonts w:cs="Arial"/>
                <w:iCs/>
                <w:color w:val="000000"/>
                <w:sz w:val="18"/>
                <w:szCs w:val="18"/>
              </w:rPr>
            </w:pPr>
            <w:r w:rsidRPr="00A374A1">
              <w:rPr>
                <w:rFonts w:cs="Arial"/>
                <w:iCs/>
                <w:color w:val="000000"/>
                <w:sz w:val="18"/>
                <w:szCs w:val="18"/>
              </w:rPr>
              <w:t>LB2*</w:t>
            </w:r>
          </w:p>
        </w:tc>
        <w:tc>
          <w:tcPr>
            <w:tcW w:w="0" w:type="auto"/>
            <w:shd w:val="clear" w:color="auto" w:fill="F3F9FA"/>
            <w:noWrap/>
            <w:vAlign w:val="center"/>
          </w:tcPr>
          <w:p w14:paraId="60F7D08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Lugger Bay</w:t>
            </w:r>
          </w:p>
        </w:tc>
        <w:tc>
          <w:tcPr>
            <w:tcW w:w="0" w:type="auto"/>
            <w:shd w:val="clear" w:color="auto" w:fill="F3F9FA"/>
            <w:noWrap/>
            <w:vAlign w:val="center"/>
          </w:tcPr>
          <w:p w14:paraId="1E07D06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17°</w:t>
            </w:r>
          </w:p>
        </w:tc>
        <w:tc>
          <w:tcPr>
            <w:tcW w:w="0" w:type="auto"/>
            <w:shd w:val="clear" w:color="auto" w:fill="F3F9FA"/>
            <w:noWrap/>
            <w:vAlign w:val="center"/>
          </w:tcPr>
          <w:p w14:paraId="2CD358A3" w14:textId="77777777" w:rsidR="0036236F" w:rsidRPr="00A374A1" w:rsidRDefault="0036236F" w:rsidP="00386ADA">
            <w:pPr>
              <w:spacing w:before="0" w:after="0" w:line="240" w:lineRule="auto"/>
              <w:contextualSpacing/>
              <w:jc w:val="center"/>
              <w:rPr>
                <w:rFonts w:cs="Arial"/>
                <w:color w:val="000000"/>
                <w:sz w:val="18"/>
                <w:szCs w:val="18"/>
                <w:highlight w:val="yellow"/>
              </w:rPr>
            </w:pPr>
            <w:r w:rsidRPr="00A374A1">
              <w:rPr>
                <w:rFonts w:cs="Arial"/>
                <w:color w:val="000000"/>
                <w:sz w:val="18"/>
                <w:szCs w:val="18"/>
              </w:rPr>
              <w:t>57.674</w:t>
            </w:r>
          </w:p>
        </w:tc>
        <w:tc>
          <w:tcPr>
            <w:tcW w:w="0" w:type="auto"/>
            <w:shd w:val="clear" w:color="auto" w:fill="F3F9FA"/>
            <w:noWrap/>
            <w:vAlign w:val="center"/>
          </w:tcPr>
          <w:p w14:paraId="42FC2EC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146°</w:t>
            </w:r>
          </w:p>
        </w:tc>
        <w:tc>
          <w:tcPr>
            <w:tcW w:w="0" w:type="auto"/>
            <w:shd w:val="clear" w:color="auto" w:fill="F3F9FA"/>
            <w:noWrap/>
            <w:vAlign w:val="center"/>
          </w:tcPr>
          <w:p w14:paraId="5F9C09D2" w14:textId="77777777" w:rsidR="0036236F" w:rsidRPr="00A374A1" w:rsidRDefault="0036236F" w:rsidP="00386ADA">
            <w:pPr>
              <w:spacing w:before="0" w:after="0" w:line="240" w:lineRule="auto"/>
              <w:contextualSpacing/>
              <w:jc w:val="center"/>
              <w:rPr>
                <w:rFonts w:cs="Arial"/>
                <w:color w:val="000000"/>
                <w:sz w:val="18"/>
                <w:szCs w:val="18"/>
                <w:highlight w:val="yellow"/>
              </w:rPr>
            </w:pPr>
            <w:r w:rsidRPr="00A374A1">
              <w:rPr>
                <w:rFonts w:cs="Arial"/>
                <w:color w:val="000000"/>
                <w:sz w:val="18"/>
                <w:szCs w:val="18"/>
              </w:rPr>
              <w:t>5.612</w:t>
            </w:r>
          </w:p>
        </w:tc>
        <w:tc>
          <w:tcPr>
            <w:tcW w:w="0" w:type="auto"/>
            <w:shd w:val="clear" w:color="auto" w:fill="F3F9FA"/>
            <w:noWrap/>
            <w:vAlign w:val="center"/>
          </w:tcPr>
          <w:p w14:paraId="0031A299"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p>
        </w:tc>
      </w:tr>
      <w:tr w:rsidR="0036236F" w:rsidRPr="00A374A1" w14:paraId="582AAE6F" w14:textId="77777777" w:rsidTr="00A374A1">
        <w:trPr>
          <w:trHeight w:val="170"/>
          <w:jc w:val="center"/>
        </w:trPr>
        <w:tc>
          <w:tcPr>
            <w:tcW w:w="0" w:type="auto"/>
            <w:vMerge/>
            <w:noWrap/>
            <w:vAlign w:val="center"/>
          </w:tcPr>
          <w:p w14:paraId="680BDC0E"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2A05F4A5"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41873A41"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F3F9FA"/>
            <w:noWrap/>
            <w:vAlign w:val="center"/>
          </w:tcPr>
          <w:p w14:paraId="7BD2A10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Dunk Island</w:t>
            </w:r>
          </w:p>
          <w:p w14:paraId="5A79A74C"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reef</w:t>
            </w:r>
          </w:p>
        </w:tc>
        <w:tc>
          <w:tcPr>
            <w:tcW w:w="0" w:type="auto"/>
            <w:shd w:val="clear" w:color="auto" w:fill="F3F9FA"/>
            <w:noWrap/>
            <w:vAlign w:val="center"/>
          </w:tcPr>
          <w:p w14:paraId="0813E95A" w14:textId="77777777" w:rsidR="0036236F" w:rsidRPr="00A374A1" w:rsidRDefault="0036236F" w:rsidP="00386ADA">
            <w:pPr>
              <w:spacing w:before="0" w:after="0" w:line="240" w:lineRule="auto"/>
              <w:contextualSpacing/>
              <w:jc w:val="center"/>
              <w:rPr>
                <w:rFonts w:cs="Arial"/>
                <w:iCs/>
                <w:color w:val="000000"/>
                <w:sz w:val="18"/>
                <w:szCs w:val="18"/>
              </w:rPr>
            </w:pPr>
            <w:r w:rsidRPr="00A374A1">
              <w:rPr>
                <w:rFonts w:cs="Arial"/>
                <w:iCs/>
                <w:color w:val="000000"/>
                <w:sz w:val="18"/>
                <w:szCs w:val="18"/>
              </w:rPr>
              <w:t>DI1*</w:t>
            </w:r>
          </w:p>
        </w:tc>
        <w:tc>
          <w:tcPr>
            <w:tcW w:w="0" w:type="auto"/>
            <w:shd w:val="clear" w:color="auto" w:fill="F3F9FA"/>
            <w:noWrap/>
            <w:vAlign w:val="center"/>
          </w:tcPr>
          <w:p w14:paraId="7EEBD3E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Dunk Island</w:t>
            </w:r>
          </w:p>
        </w:tc>
        <w:tc>
          <w:tcPr>
            <w:tcW w:w="0" w:type="auto"/>
            <w:shd w:val="clear" w:color="auto" w:fill="F3F9FA"/>
            <w:noWrap/>
            <w:vAlign w:val="center"/>
          </w:tcPr>
          <w:p w14:paraId="382CECD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17°</w:t>
            </w:r>
          </w:p>
        </w:tc>
        <w:tc>
          <w:tcPr>
            <w:tcW w:w="0" w:type="auto"/>
            <w:shd w:val="clear" w:color="auto" w:fill="F3F9FA"/>
            <w:noWrap/>
            <w:vAlign w:val="center"/>
          </w:tcPr>
          <w:p w14:paraId="2E87605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56.6496</w:t>
            </w:r>
          </w:p>
        </w:tc>
        <w:tc>
          <w:tcPr>
            <w:tcW w:w="0" w:type="auto"/>
            <w:shd w:val="clear" w:color="auto" w:fill="F3F9FA"/>
            <w:noWrap/>
            <w:vAlign w:val="center"/>
          </w:tcPr>
          <w:p w14:paraId="1A8851E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146°</w:t>
            </w:r>
          </w:p>
        </w:tc>
        <w:tc>
          <w:tcPr>
            <w:tcW w:w="0" w:type="auto"/>
            <w:shd w:val="clear" w:color="auto" w:fill="F3F9FA"/>
            <w:noWrap/>
            <w:vAlign w:val="center"/>
          </w:tcPr>
          <w:p w14:paraId="7ABA283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8.4654</w:t>
            </w:r>
          </w:p>
        </w:tc>
        <w:tc>
          <w:tcPr>
            <w:tcW w:w="0" w:type="auto"/>
            <w:shd w:val="clear" w:color="auto" w:fill="F3F9FA"/>
            <w:noWrap/>
            <w:vAlign w:val="center"/>
          </w:tcPr>
          <w:p w14:paraId="52A67D88"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T. hemprichii/ C. rotundata</w:t>
            </w:r>
          </w:p>
        </w:tc>
      </w:tr>
      <w:tr w:rsidR="0036236F" w:rsidRPr="00A374A1" w14:paraId="0E725889" w14:textId="77777777" w:rsidTr="00A374A1">
        <w:trPr>
          <w:trHeight w:val="170"/>
          <w:jc w:val="center"/>
        </w:trPr>
        <w:tc>
          <w:tcPr>
            <w:tcW w:w="0" w:type="auto"/>
            <w:vMerge/>
            <w:noWrap/>
            <w:vAlign w:val="center"/>
          </w:tcPr>
          <w:p w14:paraId="7872C4F8"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65FB4678"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73CB447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580F092F"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53E03C7F" w14:textId="77777777" w:rsidR="0036236F" w:rsidRPr="00A374A1" w:rsidRDefault="0036236F" w:rsidP="00386ADA">
            <w:pPr>
              <w:spacing w:before="0" w:after="0" w:line="240" w:lineRule="auto"/>
              <w:contextualSpacing/>
              <w:jc w:val="center"/>
              <w:rPr>
                <w:rFonts w:cs="Arial"/>
                <w:iCs/>
                <w:color w:val="000000"/>
                <w:sz w:val="18"/>
                <w:szCs w:val="18"/>
              </w:rPr>
            </w:pPr>
            <w:r w:rsidRPr="00A374A1">
              <w:rPr>
                <w:rFonts w:cs="Arial"/>
                <w:iCs/>
                <w:color w:val="000000"/>
                <w:sz w:val="18"/>
                <w:szCs w:val="18"/>
              </w:rPr>
              <w:t>DI2*</w:t>
            </w:r>
          </w:p>
        </w:tc>
        <w:tc>
          <w:tcPr>
            <w:tcW w:w="0" w:type="auto"/>
            <w:shd w:val="clear" w:color="auto" w:fill="F3F9FA"/>
            <w:noWrap/>
            <w:vAlign w:val="center"/>
          </w:tcPr>
          <w:p w14:paraId="5C7DA79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Dunk Island</w:t>
            </w:r>
          </w:p>
        </w:tc>
        <w:tc>
          <w:tcPr>
            <w:tcW w:w="0" w:type="auto"/>
            <w:shd w:val="clear" w:color="auto" w:fill="F3F9FA"/>
            <w:noWrap/>
            <w:vAlign w:val="center"/>
          </w:tcPr>
          <w:p w14:paraId="5B93CC7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17°</w:t>
            </w:r>
          </w:p>
        </w:tc>
        <w:tc>
          <w:tcPr>
            <w:tcW w:w="0" w:type="auto"/>
            <w:shd w:val="clear" w:color="auto" w:fill="F3F9FA"/>
            <w:noWrap/>
            <w:vAlign w:val="center"/>
          </w:tcPr>
          <w:p w14:paraId="50188F7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56.7396</w:t>
            </w:r>
          </w:p>
        </w:tc>
        <w:tc>
          <w:tcPr>
            <w:tcW w:w="0" w:type="auto"/>
            <w:shd w:val="clear" w:color="auto" w:fill="F3F9FA"/>
            <w:noWrap/>
            <w:vAlign w:val="center"/>
          </w:tcPr>
          <w:p w14:paraId="5944503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146°</w:t>
            </w:r>
          </w:p>
        </w:tc>
        <w:tc>
          <w:tcPr>
            <w:tcW w:w="0" w:type="auto"/>
            <w:shd w:val="clear" w:color="auto" w:fill="F3F9FA"/>
            <w:noWrap/>
            <w:vAlign w:val="center"/>
          </w:tcPr>
          <w:p w14:paraId="2CC76B7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8.4624</w:t>
            </w:r>
          </w:p>
        </w:tc>
        <w:tc>
          <w:tcPr>
            <w:tcW w:w="0" w:type="auto"/>
            <w:shd w:val="clear" w:color="auto" w:fill="F3F9FA"/>
            <w:noWrap/>
            <w:vAlign w:val="center"/>
          </w:tcPr>
          <w:p w14:paraId="79716666"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T. hemprichii/ C. rotundata</w:t>
            </w:r>
          </w:p>
        </w:tc>
      </w:tr>
      <w:tr w:rsidR="0036236F" w:rsidRPr="00A374A1" w14:paraId="142EC135" w14:textId="77777777" w:rsidTr="00A374A1">
        <w:trPr>
          <w:trHeight w:val="170"/>
          <w:jc w:val="center"/>
        </w:trPr>
        <w:tc>
          <w:tcPr>
            <w:tcW w:w="0" w:type="auto"/>
            <w:vMerge/>
            <w:noWrap/>
            <w:vAlign w:val="center"/>
          </w:tcPr>
          <w:p w14:paraId="53BB2E7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4EF1D1D6"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2E0BD356"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16B766D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14F1A685" w14:textId="77777777" w:rsidR="0036236F" w:rsidRPr="00A374A1" w:rsidRDefault="0036236F" w:rsidP="00386ADA">
            <w:pPr>
              <w:spacing w:before="0" w:after="0" w:line="240" w:lineRule="auto"/>
              <w:contextualSpacing/>
              <w:jc w:val="center"/>
              <w:rPr>
                <w:rFonts w:cs="Arial"/>
                <w:iCs/>
                <w:color w:val="000000"/>
                <w:sz w:val="18"/>
                <w:szCs w:val="18"/>
              </w:rPr>
            </w:pPr>
            <w:r w:rsidRPr="00A374A1">
              <w:rPr>
                <w:rFonts w:cs="Arial"/>
                <w:iCs/>
                <w:color w:val="000000"/>
                <w:sz w:val="18"/>
                <w:szCs w:val="18"/>
              </w:rPr>
              <w:t>DI3^</w:t>
            </w:r>
          </w:p>
        </w:tc>
        <w:tc>
          <w:tcPr>
            <w:tcW w:w="0" w:type="auto"/>
            <w:shd w:val="clear" w:color="auto" w:fill="F3F9FA"/>
            <w:noWrap/>
            <w:vAlign w:val="center"/>
          </w:tcPr>
          <w:p w14:paraId="158DF05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Dunk Island</w:t>
            </w:r>
          </w:p>
        </w:tc>
        <w:tc>
          <w:tcPr>
            <w:tcW w:w="0" w:type="auto"/>
            <w:shd w:val="clear" w:color="auto" w:fill="F3F9FA"/>
            <w:noWrap/>
            <w:vAlign w:val="center"/>
          </w:tcPr>
          <w:p w14:paraId="01492F8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17°</w:t>
            </w:r>
          </w:p>
        </w:tc>
        <w:tc>
          <w:tcPr>
            <w:tcW w:w="0" w:type="auto"/>
            <w:shd w:val="clear" w:color="auto" w:fill="F3F9FA"/>
            <w:noWrap/>
            <w:vAlign w:val="center"/>
          </w:tcPr>
          <w:p w14:paraId="6FB0977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55.91</w:t>
            </w:r>
          </w:p>
        </w:tc>
        <w:tc>
          <w:tcPr>
            <w:tcW w:w="0" w:type="auto"/>
            <w:shd w:val="clear" w:color="auto" w:fill="F3F9FA"/>
            <w:noWrap/>
            <w:vAlign w:val="center"/>
          </w:tcPr>
          <w:p w14:paraId="64B0B3F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146°</w:t>
            </w:r>
          </w:p>
        </w:tc>
        <w:tc>
          <w:tcPr>
            <w:tcW w:w="0" w:type="auto"/>
            <w:shd w:val="clear" w:color="auto" w:fill="F3F9FA"/>
            <w:noWrap/>
            <w:vAlign w:val="center"/>
          </w:tcPr>
          <w:p w14:paraId="69F5AF9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08.42</w:t>
            </w:r>
          </w:p>
        </w:tc>
        <w:tc>
          <w:tcPr>
            <w:tcW w:w="0" w:type="auto"/>
            <w:shd w:val="clear" w:color="auto" w:fill="F3F9FA"/>
            <w:noWrap/>
            <w:vAlign w:val="center"/>
          </w:tcPr>
          <w:p w14:paraId="115F683E"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r w:rsidRPr="00A374A1">
              <w:rPr>
                <w:rFonts w:cs="Arial"/>
                <w:color w:val="000000"/>
                <w:sz w:val="18"/>
                <w:szCs w:val="18"/>
              </w:rPr>
              <w:t xml:space="preserve"> /</w:t>
            </w:r>
            <w:r w:rsidRPr="00A374A1">
              <w:rPr>
                <w:rFonts w:cs="Arial"/>
                <w:i/>
                <w:color w:val="000000"/>
                <w:sz w:val="18"/>
                <w:szCs w:val="18"/>
              </w:rPr>
              <w:t xml:space="preserve"> H. ovalis/H.decipiens/C. serrulata</w:t>
            </w:r>
          </w:p>
        </w:tc>
      </w:tr>
      <w:tr w:rsidR="0036236F" w:rsidRPr="00A374A1" w14:paraId="3648208E" w14:textId="77777777" w:rsidTr="00A374A1">
        <w:trPr>
          <w:trHeight w:val="170"/>
          <w:jc w:val="center"/>
        </w:trPr>
        <w:tc>
          <w:tcPr>
            <w:tcW w:w="0" w:type="auto"/>
            <w:vMerge w:val="restart"/>
            <w:noWrap/>
            <w:textDirection w:val="btLr"/>
            <w:vAlign w:val="center"/>
          </w:tcPr>
          <w:p w14:paraId="60B6C7F2" w14:textId="77777777" w:rsidR="0036236F" w:rsidRPr="00A374A1" w:rsidRDefault="0036236F" w:rsidP="00386ADA">
            <w:pPr>
              <w:spacing w:before="0" w:after="0" w:line="240" w:lineRule="auto"/>
              <w:ind w:left="113" w:right="113"/>
              <w:contextualSpacing/>
              <w:jc w:val="center"/>
              <w:rPr>
                <w:rFonts w:cs="Arial"/>
                <w:color w:val="000000"/>
                <w:sz w:val="18"/>
                <w:szCs w:val="18"/>
              </w:rPr>
            </w:pPr>
            <w:r w:rsidRPr="00A374A1">
              <w:rPr>
                <w:rFonts w:cs="Arial"/>
                <w:color w:val="000000"/>
                <w:sz w:val="18"/>
                <w:szCs w:val="18"/>
              </w:rPr>
              <w:t>Central</w:t>
            </w:r>
          </w:p>
        </w:tc>
        <w:tc>
          <w:tcPr>
            <w:tcW w:w="0" w:type="auto"/>
            <w:vMerge w:val="restart"/>
            <w:shd w:val="clear" w:color="auto" w:fill="E7F3F4"/>
            <w:noWrap/>
            <w:vAlign w:val="center"/>
          </w:tcPr>
          <w:p w14:paraId="5F2189D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Burdekin</w:t>
            </w:r>
          </w:p>
        </w:tc>
        <w:tc>
          <w:tcPr>
            <w:tcW w:w="0" w:type="auto"/>
            <w:vMerge w:val="restart"/>
            <w:shd w:val="clear" w:color="auto" w:fill="E7F3F4"/>
            <w:vAlign w:val="center"/>
          </w:tcPr>
          <w:p w14:paraId="24B30CA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Ross / Burdekin</w:t>
            </w:r>
          </w:p>
        </w:tc>
        <w:tc>
          <w:tcPr>
            <w:tcW w:w="0" w:type="auto"/>
            <w:vMerge w:val="restart"/>
            <w:shd w:val="clear" w:color="auto" w:fill="E7F3F4"/>
            <w:noWrap/>
            <w:vAlign w:val="center"/>
          </w:tcPr>
          <w:p w14:paraId="03F81D1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Magnetic Island</w:t>
            </w:r>
          </w:p>
          <w:p w14:paraId="608088F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reef</w:t>
            </w:r>
          </w:p>
        </w:tc>
        <w:tc>
          <w:tcPr>
            <w:tcW w:w="0" w:type="auto"/>
            <w:shd w:val="clear" w:color="auto" w:fill="E7F3F4"/>
            <w:noWrap/>
            <w:vAlign w:val="center"/>
          </w:tcPr>
          <w:p w14:paraId="3E14545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MI1*</w:t>
            </w:r>
          </w:p>
        </w:tc>
        <w:tc>
          <w:tcPr>
            <w:tcW w:w="0" w:type="auto"/>
            <w:shd w:val="clear" w:color="auto" w:fill="E7F3F4"/>
            <w:noWrap/>
            <w:vAlign w:val="center"/>
          </w:tcPr>
          <w:p w14:paraId="2CF5305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Picnic Bay</w:t>
            </w:r>
          </w:p>
        </w:tc>
        <w:tc>
          <w:tcPr>
            <w:tcW w:w="0" w:type="auto"/>
            <w:shd w:val="clear" w:color="auto" w:fill="E7F3F4"/>
            <w:noWrap/>
            <w:vAlign w:val="center"/>
          </w:tcPr>
          <w:p w14:paraId="554BD75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19°</w:t>
            </w:r>
          </w:p>
        </w:tc>
        <w:tc>
          <w:tcPr>
            <w:tcW w:w="0" w:type="auto"/>
            <w:shd w:val="clear" w:color="auto" w:fill="E7F3F4"/>
            <w:noWrap/>
            <w:vAlign w:val="center"/>
          </w:tcPr>
          <w:p w14:paraId="5991E44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10.734</w:t>
            </w:r>
          </w:p>
        </w:tc>
        <w:tc>
          <w:tcPr>
            <w:tcW w:w="0" w:type="auto"/>
            <w:shd w:val="clear" w:color="auto" w:fill="E7F3F4"/>
            <w:noWrap/>
            <w:vAlign w:val="center"/>
          </w:tcPr>
          <w:p w14:paraId="4CEE4071"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146°</w:t>
            </w:r>
          </w:p>
        </w:tc>
        <w:tc>
          <w:tcPr>
            <w:tcW w:w="0" w:type="auto"/>
            <w:shd w:val="clear" w:color="auto" w:fill="E7F3F4"/>
            <w:noWrap/>
            <w:vAlign w:val="center"/>
          </w:tcPr>
          <w:p w14:paraId="6B2B1D0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50.468</w:t>
            </w:r>
          </w:p>
        </w:tc>
        <w:tc>
          <w:tcPr>
            <w:tcW w:w="0" w:type="auto"/>
            <w:shd w:val="clear" w:color="auto" w:fill="E7F3F4"/>
            <w:noWrap/>
            <w:vAlign w:val="center"/>
          </w:tcPr>
          <w:p w14:paraId="700621B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H. ovalis &amp; Zostera/T. hemprichii</w:t>
            </w:r>
          </w:p>
        </w:tc>
      </w:tr>
      <w:tr w:rsidR="0036236F" w:rsidRPr="00A374A1" w14:paraId="71057B72" w14:textId="77777777" w:rsidTr="00A374A1">
        <w:trPr>
          <w:trHeight w:val="170"/>
          <w:jc w:val="center"/>
        </w:trPr>
        <w:tc>
          <w:tcPr>
            <w:tcW w:w="0" w:type="auto"/>
            <w:vMerge/>
            <w:noWrap/>
            <w:vAlign w:val="center"/>
          </w:tcPr>
          <w:p w14:paraId="0815AE8C"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42D5E4DC"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22B9A80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476F37A2"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10B612B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MI2*</w:t>
            </w:r>
          </w:p>
        </w:tc>
        <w:tc>
          <w:tcPr>
            <w:tcW w:w="0" w:type="auto"/>
            <w:shd w:val="clear" w:color="auto" w:fill="E7F3F4"/>
            <w:noWrap/>
            <w:vAlign w:val="center"/>
          </w:tcPr>
          <w:p w14:paraId="33F8367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Cockle Bay</w:t>
            </w:r>
          </w:p>
        </w:tc>
        <w:tc>
          <w:tcPr>
            <w:tcW w:w="0" w:type="auto"/>
            <w:shd w:val="clear" w:color="auto" w:fill="E7F3F4"/>
            <w:noWrap/>
            <w:vAlign w:val="center"/>
          </w:tcPr>
          <w:p w14:paraId="544F54F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19°</w:t>
            </w:r>
          </w:p>
        </w:tc>
        <w:tc>
          <w:tcPr>
            <w:tcW w:w="0" w:type="auto"/>
            <w:shd w:val="clear" w:color="auto" w:fill="E7F3F4"/>
            <w:noWrap/>
            <w:vAlign w:val="center"/>
          </w:tcPr>
          <w:p w14:paraId="027B75B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10.612</w:t>
            </w:r>
          </w:p>
        </w:tc>
        <w:tc>
          <w:tcPr>
            <w:tcW w:w="0" w:type="auto"/>
            <w:shd w:val="clear" w:color="auto" w:fill="E7F3F4"/>
            <w:noWrap/>
            <w:vAlign w:val="center"/>
          </w:tcPr>
          <w:p w14:paraId="55602CE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146°</w:t>
            </w:r>
          </w:p>
        </w:tc>
        <w:tc>
          <w:tcPr>
            <w:tcW w:w="0" w:type="auto"/>
            <w:shd w:val="clear" w:color="auto" w:fill="E7F3F4"/>
            <w:noWrap/>
            <w:vAlign w:val="center"/>
          </w:tcPr>
          <w:p w14:paraId="65A8371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49.737</w:t>
            </w:r>
          </w:p>
        </w:tc>
        <w:tc>
          <w:tcPr>
            <w:tcW w:w="0" w:type="auto"/>
            <w:shd w:val="clear" w:color="auto" w:fill="E7F3F4"/>
            <w:noWrap/>
            <w:vAlign w:val="center"/>
          </w:tcPr>
          <w:p w14:paraId="01569101"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C. serrulata/ H. uninervis</w:t>
            </w:r>
            <w:r w:rsidRPr="00A374A1">
              <w:rPr>
                <w:rFonts w:cs="Arial"/>
                <w:color w:val="000000"/>
                <w:sz w:val="18"/>
                <w:szCs w:val="18"/>
              </w:rPr>
              <w:t xml:space="preserve"> with </w:t>
            </w:r>
            <w:r w:rsidRPr="00A374A1">
              <w:rPr>
                <w:rFonts w:cs="Arial"/>
                <w:i/>
                <w:color w:val="000000"/>
                <w:sz w:val="18"/>
                <w:szCs w:val="18"/>
              </w:rPr>
              <w:t>T. hemprichii/H. ovalis</w:t>
            </w:r>
          </w:p>
        </w:tc>
      </w:tr>
      <w:tr w:rsidR="0036236F" w:rsidRPr="00A374A1" w14:paraId="497C2C53" w14:textId="77777777" w:rsidTr="00A374A1">
        <w:trPr>
          <w:trHeight w:val="170"/>
          <w:jc w:val="center"/>
        </w:trPr>
        <w:tc>
          <w:tcPr>
            <w:tcW w:w="0" w:type="auto"/>
            <w:vMerge/>
            <w:noWrap/>
            <w:vAlign w:val="center"/>
          </w:tcPr>
          <w:p w14:paraId="7A5DCB6F"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7B5252D6"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2040E324"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7456983E"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391B7D4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MI3^</w:t>
            </w:r>
          </w:p>
        </w:tc>
        <w:tc>
          <w:tcPr>
            <w:tcW w:w="0" w:type="auto"/>
            <w:shd w:val="clear" w:color="auto" w:fill="E7F3F4"/>
            <w:noWrap/>
            <w:vAlign w:val="center"/>
          </w:tcPr>
          <w:p w14:paraId="6EA114D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Picnic Bay</w:t>
            </w:r>
          </w:p>
        </w:tc>
        <w:tc>
          <w:tcPr>
            <w:tcW w:w="0" w:type="auto"/>
            <w:shd w:val="clear" w:color="auto" w:fill="E7F3F4"/>
            <w:noWrap/>
            <w:vAlign w:val="center"/>
          </w:tcPr>
          <w:p w14:paraId="34A910A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19°</w:t>
            </w:r>
          </w:p>
        </w:tc>
        <w:tc>
          <w:tcPr>
            <w:tcW w:w="0" w:type="auto"/>
            <w:shd w:val="clear" w:color="auto" w:fill="E7F3F4"/>
            <w:noWrap/>
            <w:vAlign w:val="center"/>
          </w:tcPr>
          <w:p w14:paraId="54F00E5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10.734</w:t>
            </w:r>
          </w:p>
        </w:tc>
        <w:tc>
          <w:tcPr>
            <w:tcW w:w="0" w:type="auto"/>
            <w:shd w:val="clear" w:color="auto" w:fill="E7F3F4"/>
            <w:noWrap/>
            <w:vAlign w:val="center"/>
          </w:tcPr>
          <w:p w14:paraId="1863D4C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146°</w:t>
            </w:r>
          </w:p>
        </w:tc>
        <w:tc>
          <w:tcPr>
            <w:tcW w:w="0" w:type="auto"/>
            <w:shd w:val="clear" w:color="auto" w:fill="E7F3F4"/>
            <w:noWrap/>
            <w:vAlign w:val="center"/>
          </w:tcPr>
          <w:p w14:paraId="48E6018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50.468</w:t>
            </w:r>
          </w:p>
        </w:tc>
        <w:tc>
          <w:tcPr>
            <w:tcW w:w="0" w:type="auto"/>
            <w:shd w:val="clear" w:color="auto" w:fill="E7F3F4"/>
            <w:noWrap/>
            <w:vAlign w:val="center"/>
          </w:tcPr>
          <w:p w14:paraId="3AD6475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H. ovalis &amp; Zostera/T. hemprichii</w:t>
            </w:r>
          </w:p>
        </w:tc>
      </w:tr>
      <w:tr w:rsidR="0036236F" w:rsidRPr="00A374A1" w14:paraId="7ED20412" w14:textId="77777777" w:rsidTr="00A374A1">
        <w:trPr>
          <w:trHeight w:val="170"/>
          <w:jc w:val="center"/>
        </w:trPr>
        <w:tc>
          <w:tcPr>
            <w:tcW w:w="0" w:type="auto"/>
            <w:vMerge/>
            <w:noWrap/>
            <w:vAlign w:val="center"/>
          </w:tcPr>
          <w:p w14:paraId="3BBD43D2"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66DF96B2"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2AA5087A"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E7F3F4"/>
            <w:noWrap/>
            <w:vAlign w:val="center"/>
          </w:tcPr>
          <w:p w14:paraId="1842F3A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Townsville</w:t>
            </w:r>
          </w:p>
          <w:p w14:paraId="5B8B3F5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coastal </w:t>
            </w:r>
          </w:p>
        </w:tc>
        <w:tc>
          <w:tcPr>
            <w:tcW w:w="0" w:type="auto"/>
            <w:shd w:val="clear" w:color="auto" w:fill="E7F3F4"/>
            <w:noWrap/>
            <w:vAlign w:val="center"/>
          </w:tcPr>
          <w:p w14:paraId="080AB4D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SB1*</w:t>
            </w:r>
          </w:p>
        </w:tc>
        <w:tc>
          <w:tcPr>
            <w:tcW w:w="0" w:type="auto"/>
            <w:shd w:val="clear" w:color="auto" w:fill="E7F3F4"/>
            <w:noWrap/>
            <w:vAlign w:val="center"/>
          </w:tcPr>
          <w:p w14:paraId="1DC9799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Shelley Beach</w:t>
            </w:r>
          </w:p>
        </w:tc>
        <w:tc>
          <w:tcPr>
            <w:tcW w:w="0" w:type="auto"/>
            <w:shd w:val="clear" w:color="auto" w:fill="E7F3F4"/>
            <w:noWrap/>
            <w:vAlign w:val="center"/>
          </w:tcPr>
          <w:p w14:paraId="5549B67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19°</w:t>
            </w:r>
          </w:p>
        </w:tc>
        <w:tc>
          <w:tcPr>
            <w:tcW w:w="0" w:type="auto"/>
            <w:shd w:val="clear" w:color="auto" w:fill="E7F3F4"/>
            <w:noWrap/>
            <w:vAlign w:val="center"/>
          </w:tcPr>
          <w:p w14:paraId="07EA110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11.046</w:t>
            </w:r>
          </w:p>
        </w:tc>
        <w:tc>
          <w:tcPr>
            <w:tcW w:w="0" w:type="auto"/>
            <w:shd w:val="clear" w:color="auto" w:fill="E7F3F4"/>
            <w:noWrap/>
            <w:vAlign w:val="center"/>
          </w:tcPr>
          <w:p w14:paraId="399C27E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146°</w:t>
            </w:r>
          </w:p>
        </w:tc>
        <w:tc>
          <w:tcPr>
            <w:tcW w:w="0" w:type="auto"/>
            <w:shd w:val="clear" w:color="auto" w:fill="E7F3F4"/>
            <w:noWrap/>
            <w:vAlign w:val="center"/>
          </w:tcPr>
          <w:p w14:paraId="36B404D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45.697</w:t>
            </w:r>
          </w:p>
        </w:tc>
        <w:tc>
          <w:tcPr>
            <w:tcW w:w="0" w:type="auto"/>
            <w:shd w:val="clear" w:color="auto" w:fill="E7F3F4"/>
            <w:noWrap/>
            <w:vAlign w:val="center"/>
          </w:tcPr>
          <w:p w14:paraId="332A74D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46A51140" w14:textId="77777777" w:rsidTr="00A374A1">
        <w:trPr>
          <w:trHeight w:val="170"/>
          <w:jc w:val="center"/>
        </w:trPr>
        <w:tc>
          <w:tcPr>
            <w:tcW w:w="0" w:type="auto"/>
            <w:vMerge/>
            <w:noWrap/>
            <w:vAlign w:val="center"/>
          </w:tcPr>
          <w:p w14:paraId="59F312CF"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5D257B2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01F3170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65C68144"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0B59E9D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BB1*</w:t>
            </w:r>
          </w:p>
        </w:tc>
        <w:tc>
          <w:tcPr>
            <w:tcW w:w="0" w:type="auto"/>
            <w:shd w:val="clear" w:color="auto" w:fill="E7F3F4"/>
            <w:noWrap/>
            <w:vAlign w:val="center"/>
          </w:tcPr>
          <w:p w14:paraId="136DC42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Bushland Beach</w:t>
            </w:r>
          </w:p>
        </w:tc>
        <w:tc>
          <w:tcPr>
            <w:tcW w:w="0" w:type="auto"/>
            <w:shd w:val="clear" w:color="auto" w:fill="E7F3F4"/>
            <w:noWrap/>
            <w:vAlign w:val="center"/>
          </w:tcPr>
          <w:p w14:paraId="750B42E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19°</w:t>
            </w:r>
          </w:p>
        </w:tc>
        <w:tc>
          <w:tcPr>
            <w:tcW w:w="0" w:type="auto"/>
            <w:shd w:val="clear" w:color="auto" w:fill="E7F3F4"/>
            <w:noWrap/>
            <w:vAlign w:val="center"/>
          </w:tcPr>
          <w:p w14:paraId="4C130C0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11.028</w:t>
            </w:r>
          </w:p>
        </w:tc>
        <w:tc>
          <w:tcPr>
            <w:tcW w:w="0" w:type="auto"/>
            <w:shd w:val="clear" w:color="auto" w:fill="E7F3F4"/>
            <w:noWrap/>
            <w:vAlign w:val="center"/>
          </w:tcPr>
          <w:p w14:paraId="11C1870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146°</w:t>
            </w:r>
          </w:p>
        </w:tc>
        <w:tc>
          <w:tcPr>
            <w:tcW w:w="0" w:type="auto"/>
            <w:shd w:val="clear" w:color="auto" w:fill="E7F3F4"/>
            <w:noWrap/>
            <w:vAlign w:val="center"/>
          </w:tcPr>
          <w:p w14:paraId="486584D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40.951</w:t>
            </w:r>
          </w:p>
        </w:tc>
        <w:tc>
          <w:tcPr>
            <w:tcW w:w="0" w:type="auto"/>
            <w:shd w:val="clear" w:color="auto" w:fill="E7F3F4"/>
            <w:noWrap/>
            <w:vAlign w:val="center"/>
          </w:tcPr>
          <w:p w14:paraId="79A4E9A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03EFBBE6" w14:textId="77777777" w:rsidTr="00A374A1">
        <w:trPr>
          <w:trHeight w:val="170"/>
          <w:jc w:val="center"/>
        </w:trPr>
        <w:tc>
          <w:tcPr>
            <w:tcW w:w="0" w:type="auto"/>
            <w:vMerge/>
            <w:noWrap/>
            <w:vAlign w:val="center"/>
          </w:tcPr>
          <w:p w14:paraId="45938CB5"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4889C808"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68CBB14C"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E7F3F4"/>
            <w:noWrap/>
            <w:vAlign w:val="center"/>
          </w:tcPr>
          <w:p w14:paraId="695D9B01"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Bowling Green Bay</w:t>
            </w:r>
          </w:p>
          <w:p w14:paraId="471072DE"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coastal</w:t>
            </w:r>
          </w:p>
        </w:tc>
        <w:tc>
          <w:tcPr>
            <w:tcW w:w="0" w:type="auto"/>
            <w:shd w:val="clear" w:color="auto" w:fill="E7F3F4"/>
            <w:noWrap/>
            <w:vAlign w:val="center"/>
          </w:tcPr>
          <w:p w14:paraId="5D13920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JR1*</w:t>
            </w:r>
          </w:p>
        </w:tc>
        <w:tc>
          <w:tcPr>
            <w:tcW w:w="0" w:type="auto"/>
            <w:shd w:val="clear" w:color="auto" w:fill="E7F3F4"/>
            <w:noWrap/>
            <w:vAlign w:val="center"/>
          </w:tcPr>
          <w:p w14:paraId="52D504A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Jerona (Barratta CK)</w:t>
            </w:r>
          </w:p>
        </w:tc>
        <w:tc>
          <w:tcPr>
            <w:tcW w:w="0" w:type="auto"/>
            <w:shd w:val="clear" w:color="auto" w:fill="E7F3F4"/>
            <w:noWrap/>
          </w:tcPr>
          <w:p w14:paraId="5120882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19°</w:t>
            </w:r>
          </w:p>
        </w:tc>
        <w:tc>
          <w:tcPr>
            <w:tcW w:w="0" w:type="auto"/>
            <w:shd w:val="clear" w:color="auto" w:fill="E7F3F4"/>
            <w:noWrap/>
          </w:tcPr>
          <w:p w14:paraId="681357C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25.380</w:t>
            </w:r>
          </w:p>
        </w:tc>
        <w:tc>
          <w:tcPr>
            <w:tcW w:w="0" w:type="auto"/>
            <w:shd w:val="clear" w:color="auto" w:fill="E7F3F4"/>
            <w:noWrap/>
          </w:tcPr>
          <w:p w14:paraId="491BDF9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147°</w:t>
            </w:r>
          </w:p>
        </w:tc>
        <w:tc>
          <w:tcPr>
            <w:tcW w:w="0" w:type="auto"/>
            <w:shd w:val="clear" w:color="auto" w:fill="E7F3F4"/>
            <w:noWrap/>
          </w:tcPr>
          <w:p w14:paraId="4D5E4DD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14.480</w:t>
            </w:r>
          </w:p>
        </w:tc>
        <w:tc>
          <w:tcPr>
            <w:tcW w:w="0" w:type="auto"/>
            <w:shd w:val="clear" w:color="auto" w:fill="E7F3F4"/>
            <w:noWrap/>
            <w:vAlign w:val="center"/>
          </w:tcPr>
          <w:p w14:paraId="35DD4012"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Zostera/H. ovalis</w:t>
            </w:r>
          </w:p>
        </w:tc>
      </w:tr>
      <w:tr w:rsidR="0036236F" w:rsidRPr="00A374A1" w14:paraId="2307D955" w14:textId="77777777" w:rsidTr="00A374A1">
        <w:trPr>
          <w:trHeight w:val="170"/>
          <w:jc w:val="center"/>
        </w:trPr>
        <w:tc>
          <w:tcPr>
            <w:tcW w:w="0" w:type="auto"/>
            <w:vMerge/>
            <w:noWrap/>
            <w:vAlign w:val="center"/>
          </w:tcPr>
          <w:p w14:paraId="1F08135D"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13DBA217"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6BE614E2"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74BC1BB5"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6F7FE77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JR2*</w:t>
            </w:r>
          </w:p>
        </w:tc>
        <w:tc>
          <w:tcPr>
            <w:tcW w:w="0" w:type="auto"/>
            <w:shd w:val="clear" w:color="auto" w:fill="E7F3F4"/>
            <w:noWrap/>
            <w:vAlign w:val="center"/>
          </w:tcPr>
          <w:p w14:paraId="18DF8BB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Jerona (Barratta CK)</w:t>
            </w:r>
          </w:p>
        </w:tc>
        <w:tc>
          <w:tcPr>
            <w:tcW w:w="0" w:type="auto"/>
            <w:shd w:val="clear" w:color="auto" w:fill="E7F3F4"/>
            <w:noWrap/>
          </w:tcPr>
          <w:p w14:paraId="52FE8F1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19°</w:t>
            </w:r>
          </w:p>
        </w:tc>
        <w:tc>
          <w:tcPr>
            <w:tcW w:w="0" w:type="auto"/>
            <w:shd w:val="clear" w:color="auto" w:fill="E7F3F4"/>
            <w:noWrap/>
          </w:tcPr>
          <w:p w14:paraId="0AC543E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25.281</w:t>
            </w:r>
          </w:p>
        </w:tc>
        <w:tc>
          <w:tcPr>
            <w:tcW w:w="0" w:type="auto"/>
            <w:shd w:val="clear" w:color="auto" w:fill="E7F3F4"/>
            <w:noWrap/>
          </w:tcPr>
          <w:p w14:paraId="4CC990E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147°</w:t>
            </w:r>
          </w:p>
        </w:tc>
        <w:tc>
          <w:tcPr>
            <w:tcW w:w="0" w:type="auto"/>
            <w:shd w:val="clear" w:color="auto" w:fill="E7F3F4"/>
            <w:noWrap/>
          </w:tcPr>
          <w:p w14:paraId="6BC91EB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14.425</w:t>
            </w:r>
          </w:p>
        </w:tc>
        <w:tc>
          <w:tcPr>
            <w:tcW w:w="0" w:type="auto"/>
            <w:shd w:val="clear" w:color="auto" w:fill="E7F3F4"/>
            <w:noWrap/>
            <w:vAlign w:val="center"/>
          </w:tcPr>
          <w:p w14:paraId="1DAD7901"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Zostera/H. ovalis</w:t>
            </w:r>
          </w:p>
        </w:tc>
      </w:tr>
      <w:tr w:rsidR="0036236F" w:rsidRPr="00A374A1" w14:paraId="1E1B198D" w14:textId="77777777" w:rsidTr="00A374A1">
        <w:trPr>
          <w:trHeight w:val="170"/>
          <w:jc w:val="center"/>
        </w:trPr>
        <w:tc>
          <w:tcPr>
            <w:tcW w:w="0" w:type="auto"/>
            <w:vMerge/>
            <w:noWrap/>
            <w:vAlign w:val="center"/>
          </w:tcPr>
          <w:p w14:paraId="7F294DA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F3F9FA"/>
            <w:noWrap/>
            <w:vAlign w:val="center"/>
          </w:tcPr>
          <w:p w14:paraId="6E95975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Mackay Whitsunday</w:t>
            </w:r>
          </w:p>
        </w:tc>
        <w:tc>
          <w:tcPr>
            <w:tcW w:w="0" w:type="auto"/>
            <w:vMerge w:val="restart"/>
            <w:shd w:val="clear" w:color="auto" w:fill="F3F9FA"/>
            <w:vAlign w:val="center"/>
          </w:tcPr>
          <w:p w14:paraId="7BDD1A4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Proserpine / O'Connell</w:t>
            </w:r>
          </w:p>
        </w:tc>
        <w:tc>
          <w:tcPr>
            <w:tcW w:w="0" w:type="auto"/>
            <w:vMerge w:val="restart"/>
            <w:shd w:val="clear" w:color="auto" w:fill="F3F9FA"/>
            <w:noWrap/>
            <w:vAlign w:val="center"/>
          </w:tcPr>
          <w:p w14:paraId="6C4554D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Repulse Bay</w:t>
            </w:r>
          </w:p>
          <w:p w14:paraId="3AD436C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coastal </w:t>
            </w:r>
          </w:p>
        </w:tc>
        <w:tc>
          <w:tcPr>
            <w:tcW w:w="0" w:type="auto"/>
            <w:shd w:val="clear" w:color="auto" w:fill="F3F9FA"/>
            <w:noWrap/>
            <w:vAlign w:val="center"/>
          </w:tcPr>
          <w:p w14:paraId="7A469AE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LN1^</w:t>
            </w:r>
          </w:p>
        </w:tc>
        <w:tc>
          <w:tcPr>
            <w:tcW w:w="0" w:type="auto"/>
            <w:shd w:val="clear" w:color="auto" w:fill="F3F9FA"/>
            <w:noWrap/>
            <w:vAlign w:val="center"/>
          </w:tcPr>
          <w:p w14:paraId="01B1809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Lindeman Is.</w:t>
            </w:r>
          </w:p>
        </w:tc>
        <w:tc>
          <w:tcPr>
            <w:tcW w:w="0" w:type="auto"/>
            <w:shd w:val="clear" w:color="auto" w:fill="F3F9FA"/>
            <w:noWrap/>
          </w:tcPr>
          <w:p w14:paraId="119FC1B5" w14:textId="77777777" w:rsidR="0036236F" w:rsidRPr="00A374A1" w:rsidRDefault="0036236F" w:rsidP="00386ADA">
            <w:pPr>
              <w:spacing w:before="0" w:after="0" w:line="240" w:lineRule="auto"/>
              <w:contextualSpacing/>
              <w:jc w:val="center"/>
              <w:rPr>
                <w:sz w:val="18"/>
                <w:szCs w:val="18"/>
              </w:rPr>
            </w:pPr>
            <w:r w:rsidRPr="00A374A1">
              <w:rPr>
                <w:sz w:val="18"/>
                <w:szCs w:val="18"/>
              </w:rPr>
              <w:t>20°</w:t>
            </w:r>
          </w:p>
        </w:tc>
        <w:tc>
          <w:tcPr>
            <w:tcW w:w="0" w:type="auto"/>
            <w:shd w:val="clear" w:color="auto" w:fill="F3F9FA"/>
            <w:noWrap/>
          </w:tcPr>
          <w:p w14:paraId="38D6F8D9" w14:textId="77777777" w:rsidR="0036236F" w:rsidRPr="00A374A1" w:rsidRDefault="0036236F" w:rsidP="00386ADA">
            <w:pPr>
              <w:spacing w:before="0" w:after="0" w:line="240" w:lineRule="auto"/>
              <w:contextualSpacing/>
              <w:jc w:val="center"/>
              <w:rPr>
                <w:sz w:val="18"/>
                <w:szCs w:val="18"/>
              </w:rPr>
            </w:pPr>
            <w:r w:rsidRPr="00A374A1">
              <w:rPr>
                <w:sz w:val="18"/>
                <w:szCs w:val="18"/>
              </w:rPr>
              <w:t>26.293</w:t>
            </w:r>
          </w:p>
        </w:tc>
        <w:tc>
          <w:tcPr>
            <w:tcW w:w="0" w:type="auto"/>
            <w:shd w:val="clear" w:color="auto" w:fill="F3F9FA"/>
            <w:noWrap/>
          </w:tcPr>
          <w:p w14:paraId="2A15813D" w14:textId="77777777" w:rsidR="0036236F" w:rsidRPr="00A374A1" w:rsidRDefault="0036236F" w:rsidP="00386ADA">
            <w:pPr>
              <w:spacing w:before="0" w:after="0" w:line="240" w:lineRule="auto"/>
              <w:contextualSpacing/>
              <w:jc w:val="center"/>
              <w:rPr>
                <w:sz w:val="18"/>
                <w:szCs w:val="18"/>
              </w:rPr>
            </w:pPr>
            <w:r w:rsidRPr="00A374A1">
              <w:rPr>
                <w:rFonts w:cs="Arial"/>
                <w:color w:val="000000"/>
                <w:sz w:val="18"/>
                <w:szCs w:val="18"/>
              </w:rPr>
              <w:t>149°</w:t>
            </w:r>
          </w:p>
        </w:tc>
        <w:tc>
          <w:tcPr>
            <w:tcW w:w="0" w:type="auto"/>
            <w:shd w:val="clear" w:color="auto" w:fill="F3F9FA"/>
            <w:noWrap/>
          </w:tcPr>
          <w:p w14:paraId="160BC3ED" w14:textId="77777777" w:rsidR="0036236F" w:rsidRPr="00A374A1" w:rsidRDefault="0036236F" w:rsidP="00386ADA">
            <w:pPr>
              <w:spacing w:before="0" w:after="0" w:line="240" w:lineRule="auto"/>
              <w:contextualSpacing/>
              <w:jc w:val="center"/>
              <w:rPr>
                <w:sz w:val="18"/>
                <w:szCs w:val="18"/>
              </w:rPr>
            </w:pPr>
            <w:r w:rsidRPr="00A374A1">
              <w:rPr>
                <w:sz w:val="18"/>
                <w:szCs w:val="18"/>
              </w:rPr>
              <w:t>1.691</w:t>
            </w:r>
          </w:p>
        </w:tc>
        <w:tc>
          <w:tcPr>
            <w:tcW w:w="0" w:type="auto"/>
            <w:shd w:val="clear" w:color="auto" w:fill="F3F9FA"/>
            <w:noWrap/>
            <w:vAlign w:val="center"/>
          </w:tcPr>
          <w:p w14:paraId="5C680881"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61D7580E" w14:textId="77777777" w:rsidTr="00A374A1">
        <w:trPr>
          <w:trHeight w:val="170"/>
          <w:jc w:val="center"/>
        </w:trPr>
        <w:tc>
          <w:tcPr>
            <w:tcW w:w="0" w:type="auto"/>
            <w:vMerge/>
            <w:noWrap/>
            <w:vAlign w:val="center"/>
          </w:tcPr>
          <w:p w14:paraId="10B00427"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4B9BFC0C"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3A2134D2"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26F43BAD"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02A2181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LN2^</w:t>
            </w:r>
          </w:p>
        </w:tc>
        <w:tc>
          <w:tcPr>
            <w:tcW w:w="0" w:type="auto"/>
            <w:shd w:val="clear" w:color="auto" w:fill="F3F9FA"/>
            <w:noWrap/>
            <w:vAlign w:val="center"/>
          </w:tcPr>
          <w:p w14:paraId="1F8305B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Lindeman Is.</w:t>
            </w:r>
          </w:p>
        </w:tc>
        <w:tc>
          <w:tcPr>
            <w:tcW w:w="0" w:type="auto"/>
            <w:shd w:val="clear" w:color="auto" w:fill="F3F9FA"/>
            <w:noWrap/>
          </w:tcPr>
          <w:p w14:paraId="007E4142" w14:textId="77777777" w:rsidR="0036236F" w:rsidRPr="00A374A1" w:rsidRDefault="0036236F" w:rsidP="00386ADA">
            <w:pPr>
              <w:spacing w:before="0" w:after="0" w:line="240" w:lineRule="auto"/>
              <w:contextualSpacing/>
              <w:jc w:val="center"/>
              <w:rPr>
                <w:sz w:val="18"/>
                <w:szCs w:val="18"/>
              </w:rPr>
            </w:pPr>
            <w:r w:rsidRPr="00A374A1">
              <w:rPr>
                <w:sz w:val="18"/>
                <w:szCs w:val="18"/>
              </w:rPr>
              <w:t>20°</w:t>
            </w:r>
          </w:p>
        </w:tc>
        <w:tc>
          <w:tcPr>
            <w:tcW w:w="0" w:type="auto"/>
            <w:shd w:val="clear" w:color="auto" w:fill="F3F9FA"/>
            <w:noWrap/>
          </w:tcPr>
          <w:p w14:paraId="069A1EF4" w14:textId="77777777" w:rsidR="0036236F" w:rsidRPr="00A374A1" w:rsidRDefault="0036236F" w:rsidP="00386ADA">
            <w:pPr>
              <w:spacing w:before="0" w:after="0" w:line="240" w:lineRule="auto"/>
              <w:contextualSpacing/>
              <w:jc w:val="center"/>
              <w:rPr>
                <w:sz w:val="18"/>
                <w:szCs w:val="18"/>
              </w:rPr>
            </w:pPr>
            <w:r w:rsidRPr="00A374A1">
              <w:rPr>
                <w:sz w:val="18"/>
                <w:szCs w:val="18"/>
              </w:rPr>
              <w:t>26.014</w:t>
            </w:r>
          </w:p>
        </w:tc>
        <w:tc>
          <w:tcPr>
            <w:tcW w:w="0" w:type="auto"/>
            <w:shd w:val="clear" w:color="auto" w:fill="F3F9FA"/>
            <w:noWrap/>
          </w:tcPr>
          <w:p w14:paraId="61A21CEE" w14:textId="77777777" w:rsidR="0036236F" w:rsidRPr="00A374A1" w:rsidRDefault="0036236F" w:rsidP="00386ADA">
            <w:pPr>
              <w:spacing w:before="0" w:after="0" w:line="240" w:lineRule="auto"/>
              <w:contextualSpacing/>
              <w:jc w:val="center"/>
              <w:rPr>
                <w:sz w:val="18"/>
                <w:szCs w:val="18"/>
              </w:rPr>
            </w:pPr>
            <w:r w:rsidRPr="00A374A1">
              <w:rPr>
                <w:rFonts w:cs="Arial"/>
                <w:color w:val="000000"/>
                <w:sz w:val="18"/>
                <w:szCs w:val="18"/>
              </w:rPr>
              <w:t>149°</w:t>
            </w:r>
          </w:p>
        </w:tc>
        <w:tc>
          <w:tcPr>
            <w:tcW w:w="0" w:type="auto"/>
            <w:shd w:val="clear" w:color="auto" w:fill="F3F9FA"/>
            <w:noWrap/>
          </w:tcPr>
          <w:p w14:paraId="233CB4D5" w14:textId="77777777" w:rsidR="0036236F" w:rsidRPr="00A374A1" w:rsidRDefault="0036236F" w:rsidP="00386ADA">
            <w:pPr>
              <w:spacing w:before="0" w:after="0" w:line="240" w:lineRule="auto"/>
              <w:contextualSpacing/>
              <w:jc w:val="center"/>
              <w:rPr>
                <w:sz w:val="18"/>
                <w:szCs w:val="18"/>
              </w:rPr>
            </w:pPr>
            <w:r w:rsidRPr="00A374A1">
              <w:rPr>
                <w:sz w:val="18"/>
                <w:szCs w:val="18"/>
              </w:rPr>
              <w:t>1.923</w:t>
            </w:r>
          </w:p>
        </w:tc>
        <w:tc>
          <w:tcPr>
            <w:tcW w:w="0" w:type="auto"/>
            <w:shd w:val="clear" w:color="auto" w:fill="F3F9FA"/>
            <w:noWrap/>
            <w:vAlign w:val="center"/>
          </w:tcPr>
          <w:p w14:paraId="6AF205D9"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313763B5" w14:textId="77777777" w:rsidTr="00A374A1">
        <w:trPr>
          <w:trHeight w:val="170"/>
          <w:jc w:val="center"/>
        </w:trPr>
        <w:tc>
          <w:tcPr>
            <w:tcW w:w="0" w:type="auto"/>
            <w:vMerge/>
            <w:noWrap/>
            <w:vAlign w:val="center"/>
          </w:tcPr>
          <w:p w14:paraId="1D5A059A"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2195A9B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059D3B09"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7BEE8269"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080DF48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MP2*</w:t>
            </w:r>
          </w:p>
        </w:tc>
        <w:tc>
          <w:tcPr>
            <w:tcW w:w="0" w:type="auto"/>
            <w:shd w:val="clear" w:color="auto" w:fill="F3F9FA"/>
            <w:noWrap/>
            <w:vAlign w:val="center"/>
          </w:tcPr>
          <w:p w14:paraId="1A6B892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Midge Point</w:t>
            </w:r>
          </w:p>
        </w:tc>
        <w:tc>
          <w:tcPr>
            <w:tcW w:w="0" w:type="auto"/>
            <w:shd w:val="clear" w:color="auto" w:fill="F3F9FA"/>
            <w:noWrap/>
          </w:tcPr>
          <w:p w14:paraId="2A7AA040" w14:textId="77777777" w:rsidR="0036236F" w:rsidRPr="00A374A1" w:rsidRDefault="0036236F" w:rsidP="00386ADA">
            <w:pPr>
              <w:spacing w:before="0" w:after="0" w:line="240" w:lineRule="auto"/>
              <w:contextualSpacing/>
              <w:jc w:val="center"/>
              <w:rPr>
                <w:rFonts w:cs="Arial"/>
                <w:color w:val="000000"/>
                <w:sz w:val="18"/>
                <w:szCs w:val="18"/>
              </w:rPr>
            </w:pPr>
            <w:r w:rsidRPr="00A374A1">
              <w:rPr>
                <w:sz w:val="18"/>
                <w:szCs w:val="18"/>
              </w:rPr>
              <w:t>20°</w:t>
            </w:r>
          </w:p>
        </w:tc>
        <w:tc>
          <w:tcPr>
            <w:tcW w:w="0" w:type="auto"/>
            <w:shd w:val="clear" w:color="auto" w:fill="F3F9FA"/>
            <w:noWrap/>
          </w:tcPr>
          <w:p w14:paraId="3D62785D" w14:textId="77777777" w:rsidR="0036236F" w:rsidRPr="00A374A1" w:rsidRDefault="0036236F" w:rsidP="00386ADA">
            <w:pPr>
              <w:spacing w:before="0" w:after="0" w:line="240" w:lineRule="auto"/>
              <w:contextualSpacing/>
              <w:jc w:val="center"/>
              <w:rPr>
                <w:rFonts w:cs="Arial"/>
                <w:color w:val="000000"/>
                <w:sz w:val="18"/>
                <w:szCs w:val="18"/>
              </w:rPr>
            </w:pPr>
            <w:r w:rsidRPr="00A374A1">
              <w:rPr>
                <w:sz w:val="18"/>
                <w:szCs w:val="18"/>
              </w:rPr>
              <w:t>38.099</w:t>
            </w:r>
          </w:p>
        </w:tc>
        <w:tc>
          <w:tcPr>
            <w:tcW w:w="0" w:type="auto"/>
            <w:shd w:val="clear" w:color="auto" w:fill="F3F9FA"/>
            <w:noWrap/>
          </w:tcPr>
          <w:p w14:paraId="05B05BB5" w14:textId="77777777" w:rsidR="0036236F" w:rsidRPr="00A374A1" w:rsidRDefault="0036236F" w:rsidP="00386ADA">
            <w:pPr>
              <w:spacing w:before="0" w:after="0" w:line="240" w:lineRule="auto"/>
              <w:contextualSpacing/>
              <w:jc w:val="center"/>
              <w:rPr>
                <w:rFonts w:cs="Arial"/>
                <w:color w:val="000000"/>
                <w:sz w:val="18"/>
                <w:szCs w:val="18"/>
              </w:rPr>
            </w:pPr>
            <w:r w:rsidRPr="00A374A1">
              <w:rPr>
                <w:sz w:val="18"/>
                <w:szCs w:val="18"/>
              </w:rPr>
              <w:t>148°</w:t>
            </w:r>
          </w:p>
        </w:tc>
        <w:tc>
          <w:tcPr>
            <w:tcW w:w="0" w:type="auto"/>
            <w:shd w:val="clear" w:color="auto" w:fill="F3F9FA"/>
            <w:noWrap/>
          </w:tcPr>
          <w:p w14:paraId="59BAF303" w14:textId="77777777" w:rsidR="0036236F" w:rsidRPr="00A374A1" w:rsidRDefault="0036236F" w:rsidP="00386ADA">
            <w:pPr>
              <w:spacing w:before="0" w:after="0" w:line="240" w:lineRule="auto"/>
              <w:contextualSpacing/>
              <w:jc w:val="center"/>
              <w:rPr>
                <w:rFonts w:cs="Arial"/>
                <w:color w:val="000000"/>
                <w:sz w:val="18"/>
                <w:szCs w:val="18"/>
              </w:rPr>
            </w:pPr>
            <w:r w:rsidRPr="00A374A1">
              <w:rPr>
                <w:sz w:val="18"/>
                <w:szCs w:val="18"/>
              </w:rPr>
              <w:t>42.108</w:t>
            </w:r>
          </w:p>
        </w:tc>
        <w:tc>
          <w:tcPr>
            <w:tcW w:w="0" w:type="auto"/>
            <w:shd w:val="clear" w:color="auto" w:fill="F3F9FA"/>
            <w:noWrap/>
            <w:vAlign w:val="center"/>
          </w:tcPr>
          <w:p w14:paraId="7409A62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Zostera </w:t>
            </w:r>
            <w:r w:rsidRPr="00A374A1">
              <w:rPr>
                <w:rFonts w:cs="Arial"/>
                <w:color w:val="000000"/>
                <w:sz w:val="18"/>
                <w:szCs w:val="18"/>
              </w:rPr>
              <w:t xml:space="preserve">with </w:t>
            </w:r>
            <w:r w:rsidRPr="00A374A1">
              <w:rPr>
                <w:rFonts w:cs="Arial"/>
                <w:i/>
                <w:color w:val="000000"/>
                <w:sz w:val="18"/>
                <w:szCs w:val="18"/>
              </w:rPr>
              <w:t>H. uninervis/H. ovalis</w:t>
            </w:r>
          </w:p>
        </w:tc>
      </w:tr>
      <w:tr w:rsidR="0036236F" w:rsidRPr="00A374A1" w14:paraId="68654C49" w14:textId="77777777" w:rsidTr="00A374A1">
        <w:trPr>
          <w:trHeight w:val="170"/>
          <w:jc w:val="center"/>
        </w:trPr>
        <w:tc>
          <w:tcPr>
            <w:tcW w:w="0" w:type="auto"/>
            <w:vMerge/>
            <w:noWrap/>
            <w:vAlign w:val="center"/>
          </w:tcPr>
          <w:p w14:paraId="34F8EC40"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4C8C1064"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345DAE8F"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08FE82D0"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26ED176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MP3*</w:t>
            </w:r>
          </w:p>
        </w:tc>
        <w:tc>
          <w:tcPr>
            <w:tcW w:w="0" w:type="auto"/>
            <w:shd w:val="clear" w:color="auto" w:fill="F3F9FA"/>
            <w:noWrap/>
            <w:vAlign w:val="center"/>
          </w:tcPr>
          <w:p w14:paraId="70A7292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Midge Point</w:t>
            </w:r>
          </w:p>
        </w:tc>
        <w:tc>
          <w:tcPr>
            <w:tcW w:w="0" w:type="auto"/>
            <w:shd w:val="clear" w:color="auto" w:fill="F3F9FA"/>
            <w:noWrap/>
          </w:tcPr>
          <w:p w14:paraId="57E27E21" w14:textId="77777777" w:rsidR="0036236F" w:rsidRPr="00A374A1" w:rsidRDefault="0036236F" w:rsidP="00386ADA">
            <w:pPr>
              <w:spacing w:before="0" w:after="0" w:line="240" w:lineRule="auto"/>
              <w:contextualSpacing/>
              <w:jc w:val="center"/>
              <w:rPr>
                <w:rFonts w:cs="Arial"/>
                <w:color w:val="000000"/>
                <w:sz w:val="18"/>
                <w:szCs w:val="18"/>
              </w:rPr>
            </w:pPr>
            <w:r w:rsidRPr="00A374A1">
              <w:rPr>
                <w:sz w:val="18"/>
                <w:szCs w:val="18"/>
              </w:rPr>
              <w:t>20°</w:t>
            </w:r>
          </w:p>
        </w:tc>
        <w:tc>
          <w:tcPr>
            <w:tcW w:w="0" w:type="auto"/>
            <w:shd w:val="clear" w:color="auto" w:fill="F3F9FA"/>
            <w:noWrap/>
          </w:tcPr>
          <w:p w14:paraId="270DA469" w14:textId="77777777" w:rsidR="0036236F" w:rsidRPr="00A374A1" w:rsidRDefault="0036236F" w:rsidP="00386ADA">
            <w:pPr>
              <w:spacing w:before="0" w:after="0" w:line="240" w:lineRule="auto"/>
              <w:contextualSpacing/>
              <w:jc w:val="center"/>
              <w:rPr>
                <w:rFonts w:cs="Arial"/>
                <w:color w:val="000000"/>
                <w:sz w:val="18"/>
                <w:szCs w:val="18"/>
              </w:rPr>
            </w:pPr>
            <w:r w:rsidRPr="00A374A1">
              <w:rPr>
                <w:sz w:val="18"/>
                <w:szCs w:val="18"/>
              </w:rPr>
              <w:t>38.080</w:t>
            </w:r>
          </w:p>
        </w:tc>
        <w:tc>
          <w:tcPr>
            <w:tcW w:w="0" w:type="auto"/>
            <w:shd w:val="clear" w:color="auto" w:fill="F3F9FA"/>
            <w:noWrap/>
          </w:tcPr>
          <w:p w14:paraId="5169239D" w14:textId="77777777" w:rsidR="0036236F" w:rsidRPr="00A374A1" w:rsidRDefault="0036236F" w:rsidP="00386ADA">
            <w:pPr>
              <w:spacing w:before="0" w:after="0" w:line="240" w:lineRule="auto"/>
              <w:contextualSpacing/>
              <w:jc w:val="center"/>
              <w:rPr>
                <w:rFonts w:cs="Arial"/>
                <w:color w:val="000000"/>
                <w:sz w:val="18"/>
                <w:szCs w:val="18"/>
              </w:rPr>
            </w:pPr>
            <w:r w:rsidRPr="00A374A1">
              <w:rPr>
                <w:sz w:val="18"/>
                <w:szCs w:val="18"/>
              </w:rPr>
              <w:t>148°</w:t>
            </w:r>
          </w:p>
        </w:tc>
        <w:tc>
          <w:tcPr>
            <w:tcW w:w="0" w:type="auto"/>
            <w:shd w:val="clear" w:color="auto" w:fill="F3F9FA"/>
            <w:noWrap/>
          </w:tcPr>
          <w:p w14:paraId="49882536" w14:textId="77777777" w:rsidR="0036236F" w:rsidRPr="00A374A1" w:rsidRDefault="0036236F" w:rsidP="00386ADA">
            <w:pPr>
              <w:spacing w:before="0" w:after="0" w:line="240" w:lineRule="auto"/>
              <w:contextualSpacing/>
              <w:jc w:val="center"/>
              <w:rPr>
                <w:rFonts w:cs="Arial"/>
                <w:color w:val="000000"/>
                <w:sz w:val="18"/>
                <w:szCs w:val="18"/>
              </w:rPr>
            </w:pPr>
            <w:r w:rsidRPr="00A374A1">
              <w:rPr>
                <w:sz w:val="18"/>
                <w:szCs w:val="18"/>
              </w:rPr>
              <w:t>42.280</w:t>
            </w:r>
          </w:p>
        </w:tc>
        <w:tc>
          <w:tcPr>
            <w:tcW w:w="0" w:type="auto"/>
            <w:shd w:val="clear" w:color="auto" w:fill="F3F9FA"/>
            <w:noWrap/>
            <w:vAlign w:val="center"/>
          </w:tcPr>
          <w:p w14:paraId="0708670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Zostera </w:t>
            </w:r>
            <w:r w:rsidRPr="00A374A1">
              <w:rPr>
                <w:rFonts w:cs="Arial"/>
                <w:color w:val="000000"/>
                <w:sz w:val="18"/>
                <w:szCs w:val="18"/>
              </w:rPr>
              <w:t xml:space="preserve">with </w:t>
            </w:r>
            <w:r w:rsidRPr="00A374A1">
              <w:rPr>
                <w:rFonts w:cs="Arial"/>
                <w:i/>
                <w:color w:val="000000"/>
                <w:sz w:val="18"/>
                <w:szCs w:val="18"/>
              </w:rPr>
              <w:t>H. uninervis/H. ovalis</w:t>
            </w:r>
          </w:p>
        </w:tc>
      </w:tr>
      <w:tr w:rsidR="0036236F" w:rsidRPr="00A374A1" w14:paraId="0D704A86" w14:textId="77777777" w:rsidTr="00A374A1">
        <w:trPr>
          <w:trHeight w:val="170"/>
          <w:jc w:val="center"/>
        </w:trPr>
        <w:tc>
          <w:tcPr>
            <w:tcW w:w="0" w:type="auto"/>
            <w:vMerge/>
            <w:noWrap/>
            <w:vAlign w:val="center"/>
          </w:tcPr>
          <w:p w14:paraId="112C7712"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71E0AC40"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533D14BA"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F3F9FA"/>
            <w:noWrap/>
            <w:vAlign w:val="center"/>
          </w:tcPr>
          <w:p w14:paraId="6950F89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Whitsundays</w:t>
            </w:r>
          </w:p>
          <w:p w14:paraId="625E7F1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reef</w:t>
            </w:r>
          </w:p>
        </w:tc>
        <w:tc>
          <w:tcPr>
            <w:tcW w:w="0" w:type="auto"/>
            <w:shd w:val="clear" w:color="auto" w:fill="F3F9FA"/>
            <w:noWrap/>
            <w:vAlign w:val="center"/>
          </w:tcPr>
          <w:p w14:paraId="5E3E905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HM1*</w:t>
            </w:r>
          </w:p>
        </w:tc>
        <w:tc>
          <w:tcPr>
            <w:tcW w:w="0" w:type="auto"/>
            <w:shd w:val="clear" w:color="auto" w:fill="F3F9FA"/>
            <w:noWrap/>
            <w:vAlign w:val="center"/>
          </w:tcPr>
          <w:p w14:paraId="213329A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Hamilton Island</w:t>
            </w:r>
          </w:p>
        </w:tc>
        <w:tc>
          <w:tcPr>
            <w:tcW w:w="0" w:type="auto"/>
            <w:shd w:val="clear" w:color="auto" w:fill="F3F9FA"/>
            <w:noWrap/>
            <w:vAlign w:val="bottom"/>
          </w:tcPr>
          <w:p w14:paraId="42D298C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20°</w:t>
            </w:r>
          </w:p>
        </w:tc>
        <w:tc>
          <w:tcPr>
            <w:tcW w:w="0" w:type="auto"/>
            <w:shd w:val="clear" w:color="auto" w:fill="F3F9FA"/>
            <w:noWrap/>
            <w:vAlign w:val="bottom"/>
          </w:tcPr>
          <w:p w14:paraId="243CF13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20.7396</w:t>
            </w:r>
          </w:p>
        </w:tc>
        <w:tc>
          <w:tcPr>
            <w:tcW w:w="0" w:type="auto"/>
            <w:shd w:val="clear" w:color="auto" w:fill="F3F9FA"/>
            <w:noWrap/>
            <w:vAlign w:val="bottom"/>
          </w:tcPr>
          <w:p w14:paraId="50FE0D9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148°</w:t>
            </w:r>
          </w:p>
        </w:tc>
        <w:tc>
          <w:tcPr>
            <w:tcW w:w="0" w:type="auto"/>
            <w:shd w:val="clear" w:color="auto" w:fill="F3F9FA"/>
            <w:noWrap/>
            <w:vAlign w:val="bottom"/>
          </w:tcPr>
          <w:p w14:paraId="3D5D22F1"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57.5658</w:t>
            </w:r>
          </w:p>
        </w:tc>
        <w:tc>
          <w:tcPr>
            <w:tcW w:w="0" w:type="auto"/>
            <w:shd w:val="clear" w:color="auto" w:fill="F3F9FA"/>
            <w:noWrap/>
            <w:vAlign w:val="center"/>
          </w:tcPr>
          <w:p w14:paraId="39124866"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4BA21791" w14:textId="77777777" w:rsidTr="00A374A1">
        <w:trPr>
          <w:trHeight w:val="170"/>
          <w:jc w:val="center"/>
        </w:trPr>
        <w:tc>
          <w:tcPr>
            <w:tcW w:w="0" w:type="auto"/>
            <w:vMerge/>
            <w:noWrap/>
            <w:vAlign w:val="center"/>
          </w:tcPr>
          <w:p w14:paraId="27E7A58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7CC55A38"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3A23090F"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6D1F61E2"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67FB085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HM2*</w:t>
            </w:r>
          </w:p>
        </w:tc>
        <w:tc>
          <w:tcPr>
            <w:tcW w:w="0" w:type="auto"/>
            <w:shd w:val="clear" w:color="auto" w:fill="F3F9FA"/>
            <w:noWrap/>
            <w:vAlign w:val="center"/>
          </w:tcPr>
          <w:p w14:paraId="247C11E1"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color w:val="000000"/>
                <w:sz w:val="18"/>
                <w:szCs w:val="18"/>
              </w:rPr>
              <w:t>Hamilton Island</w:t>
            </w:r>
          </w:p>
        </w:tc>
        <w:tc>
          <w:tcPr>
            <w:tcW w:w="0" w:type="auto"/>
            <w:shd w:val="clear" w:color="auto" w:fill="F3F9FA"/>
            <w:noWrap/>
            <w:vAlign w:val="center"/>
          </w:tcPr>
          <w:p w14:paraId="46C6AC8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20°</w:t>
            </w:r>
          </w:p>
        </w:tc>
        <w:tc>
          <w:tcPr>
            <w:tcW w:w="0" w:type="auto"/>
            <w:shd w:val="clear" w:color="auto" w:fill="F3F9FA"/>
            <w:noWrap/>
            <w:vAlign w:val="center"/>
          </w:tcPr>
          <w:p w14:paraId="4ED5449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20.802</w:t>
            </w:r>
          </w:p>
        </w:tc>
        <w:tc>
          <w:tcPr>
            <w:tcW w:w="0" w:type="auto"/>
            <w:shd w:val="clear" w:color="auto" w:fill="F3F9FA"/>
            <w:noWrap/>
            <w:vAlign w:val="center"/>
          </w:tcPr>
          <w:p w14:paraId="66B5C36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148°</w:t>
            </w:r>
          </w:p>
        </w:tc>
        <w:tc>
          <w:tcPr>
            <w:tcW w:w="0" w:type="auto"/>
            <w:shd w:val="clear" w:color="auto" w:fill="F3F9FA"/>
            <w:noWrap/>
            <w:vAlign w:val="center"/>
          </w:tcPr>
          <w:p w14:paraId="6617139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58.246</w:t>
            </w:r>
          </w:p>
        </w:tc>
        <w:tc>
          <w:tcPr>
            <w:tcW w:w="0" w:type="auto"/>
            <w:shd w:val="clear" w:color="auto" w:fill="F3F9FA"/>
            <w:noWrap/>
            <w:vAlign w:val="center"/>
          </w:tcPr>
          <w:p w14:paraId="1E58B19A"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 xml:space="preserve">Z. muelleri </w:t>
            </w:r>
            <w:r w:rsidRPr="00A374A1">
              <w:rPr>
                <w:rFonts w:cs="Arial"/>
                <w:color w:val="000000"/>
                <w:sz w:val="18"/>
                <w:szCs w:val="18"/>
              </w:rPr>
              <w:t xml:space="preserve">with </w:t>
            </w:r>
            <w:r w:rsidRPr="00A374A1">
              <w:rPr>
                <w:rFonts w:cs="Arial"/>
                <w:i/>
                <w:color w:val="000000"/>
                <w:sz w:val="18"/>
                <w:szCs w:val="18"/>
              </w:rPr>
              <w:t>H. ovalis/H. uninervis</w:t>
            </w:r>
          </w:p>
        </w:tc>
      </w:tr>
      <w:tr w:rsidR="0036236F" w:rsidRPr="00A374A1" w14:paraId="4594F603" w14:textId="77777777" w:rsidTr="00A374A1">
        <w:trPr>
          <w:trHeight w:val="170"/>
          <w:jc w:val="center"/>
        </w:trPr>
        <w:tc>
          <w:tcPr>
            <w:tcW w:w="0" w:type="auto"/>
            <w:vMerge/>
            <w:noWrap/>
            <w:vAlign w:val="center"/>
          </w:tcPr>
          <w:p w14:paraId="246EFF7A"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514BB114"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F3F9FA"/>
            <w:vAlign w:val="center"/>
          </w:tcPr>
          <w:p w14:paraId="5FD52A3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Plane</w:t>
            </w:r>
          </w:p>
        </w:tc>
        <w:tc>
          <w:tcPr>
            <w:tcW w:w="0" w:type="auto"/>
            <w:vMerge w:val="restart"/>
            <w:shd w:val="clear" w:color="auto" w:fill="F3F9FA"/>
            <w:noWrap/>
            <w:vAlign w:val="center"/>
          </w:tcPr>
          <w:p w14:paraId="0FC1C45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Mackay</w:t>
            </w:r>
          </w:p>
          <w:p w14:paraId="1797271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estuarine </w:t>
            </w:r>
          </w:p>
        </w:tc>
        <w:tc>
          <w:tcPr>
            <w:tcW w:w="0" w:type="auto"/>
            <w:shd w:val="clear" w:color="auto" w:fill="F3F9FA"/>
            <w:noWrap/>
            <w:vAlign w:val="center"/>
          </w:tcPr>
          <w:p w14:paraId="1CC24D4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SI1*</w:t>
            </w:r>
          </w:p>
        </w:tc>
        <w:tc>
          <w:tcPr>
            <w:tcW w:w="0" w:type="auto"/>
            <w:shd w:val="clear" w:color="auto" w:fill="F3F9FA"/>
            <w:noWrap/>
            <w:vAlign w:val="center"/>
          </w:tcPr>
          <w:p w14:paraId="651B8D0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Sarina Inlet</w:t>
            </w:r>
          </w:p>
        </w:tc>
        <w:tc>
          <w:tcPr>
            <w:tcW w:w="0" w:type="auto"/>
            <w:shd w:val="clear" w:color="auto" w:fill="F3F9FA"/>
            <w:noWrap/>
            <w:vAlign w:val="center"/>
          </w:tcPr>
          <w:p w14:paraId="6CFE6FD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21°</w:t>
            </w:r>
          </w:p>
        </w:tc>
        <w:tc>
          <w:tcPr>
            <w:tcW w:w="0" w:type="auto"/>
            <w:shd w:val="clear" w:color="auto" w:fill="F3F9FA"/>
            <w:noWrap/>
            <w:vAlign w:val="center"/>
          </w:tcPr>
          <w:p w14:paraId="7815F96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23.76</w:t>
            </w:r>
          </w:p>
        </w:tc>
        <w:tc>
          <w:tcPr>
            <w:tcW w:w="0" w:type="auto"/>
            <w:shd w:val="clear" w:color="auto" w:fill="F3F9FA"/>
            <w:noWrap/>
            <w:vAlign w:val="center"/>
          </w:tcPr>
          <w:p w14:paraId="7E0CC96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149°</w:t>
            </w:r>
          </w:p>
        </w:tc>
        <w:tc>
          <w:tcPr>
            <w:tcW w:w="0" w:type="auto"/>
            <w:shd w:val="clear" w:color="auto" w:fill="F3F9FA"/>
            <w:noWrap/>
            <w:vAlign w:val="center"/>
          </w:tcPr>
          <w:p w14:paraId="4B96E25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18.2</w:t>
            </w:r>
          </w:p>
        </w:tc>
        <w:tc>
          <w:tcPr>
            <w:tcW w:w="0" w:type="auto"/>
            <w:shd w:val="clear" w:color="auto" w:fill="F3F9FA"/>
            <w:noWrap/>
            <w:vAlign w:val="center"/>
          </w:tcPr>
          <w:p w14:paraId="7676C5F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Z. muelleri </w:t>
            </w:r>
            <w:r w:rsidRPr="00A374A1">
              <w:rPr>
                <w:rFonts w:cs="Arial"/>
                <w:color w:val="000000"/>
                <w:sz w:val="18"/>
                <w:szCs w:val="18"/>
              </w:rPr>
              <w:t xml:space="preserve">with </w:t>
            </w:r>
            <w:r w:rsidRPr="00A374A1">
              <w:rPr>
                <w:rFonts w:cs="Arial"/>
                <w:i/>
                <w:color w:val="000000"/>
                <w:sz w:val="18"/>
                <w:szCs w:val="18"/>
              </w:rPr>
              <w:t>H. ovalis (H. uninervis)</w:t>
            </w:r>
          </w:p>
        </w:tc>
      </w:tr>
      <w:tr w:rsidR="0036236F" w:rsidRPr="00A374A1" w14:paraId="2E7C1873" w14:textId="77777777" w:rsidTr="00A374A1">
        <w:trPr>
          <w:trHeight w:val="170"/>
          <w:jc w:val="center"/>
        </w:trPr>
        <w:tc>
          <w:tcPr>
            <w:tcW w:w="0" w:type="auto"/>
            <w:vMerge/>
            <w:noWrap/>
            <w:vAlign w:val="center"/>
          </w:tcPr>
          <w:p w14:paraId="7EAE98F1"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0B2E5D2D"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0CB93223"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37C51154"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1E36883A" w14:textId="77777777" w:rsidR="0036236F" w:rsidRPr="00A374A1" w:rsidRDefault="0036236F" w:rsidP="00386ADA">
            <w:pPr>
              <w:spacing w:before="0" w:after="0" w:line="240" w:lineRule="auto"/>
              <w:contextualSpacing/>
              <w:jc w:val="center"/>
              <w:rPr>
                <w:rFonts w:cs="Arial"/>
                <w:iCs/>
                <w:color w:val="000000"/>
                <w:sz w:val="18"/>
                <w:szCs w:val="18"/>
              </w:rPr>
            </w:pPr>
            <w:r w:rsidRPr="00A374A1">
              <w:rPr>
                <w:rFonts w:cs="Arial"/>
                <w:iCs/>
                <w:color w:val="000000"/>
                <w:sz w:val="18"/>
                <w:szCs w:val="18"/>
              </w:rPr>
              <w:t>SI2*</w:t>
            </w:r>
          </w:p>
        </w:tc>
        <w:tc>
          <w:tcPr>
            <w:tcW w:w="0" w:type="auto"/>
            <w:shd w:val="clear" w:color="auto" w:fill="F3F9FA"/>
            <w:noWrap/>
            <w:vAlign w:val="center"/>
          </w:tcPr>
          <w:p w14:paraId="2D14E23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Sarina Inlet</w:t>
            </w:r>
          </w:p>
        </w:tc>
        <w:tc>
          <w:tcPr>
            <w:tcW w:w="0" w:type="auto"/>
            <w:shd w:val="clear" w:color="auto" w:fill="F3F9FA"/>
            <w:noWrap/>
            <w:vAlign w:val="center"/>
          </w:tcPr>
          <w:p w14:paraId="1536A32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21°</w:t>
            </w:r>
          </w:p>
        </w:tc>
        <w:tc>
          <w:tcPr>
            <w:tcW w:w="0" w:type="auto"/>
            <w:shd w:val="clear" w:color="auto" w:fill="F3F9FA"/>
            <w:noWrap/>
            <w:vAlign w:val="center"/>
          </w:tcPr>
          <w:p w14:paraId="6C1E0D3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23.712</w:t>
            </w:r>
          </w:p>
        </w:tc>
        <w:tc>
          <w:tcPr>
            <w:tcW w:w="0" w:type="auto"/>
            <w:shd w:val="clear" w:color="auto" w:fill="F3F9FA"/>
            <w:noWrap/>
            <w:vAlign w:val="center"/>
          </w:tcPr>
          <w:p w14:paraId="57ED24E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149°</w:t>
            </w:r>
          </w:p>
        </w:tc>
        <w:tc>
          <w:tcPr>
            <w:tcW w:w="0" w:type="auto"/>
            <w:shd w:val="clear" w:color="auto" w:fill="F3F9FA"/>
            <w:noWrap/>
            <w:vAlign w:val="center"/>
          </w:tcPr>
          <w:p w14:paraId="3FAEC2B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18.276</w:t>
            </w:r>
          </w:p>
        </w:tc>
        <w:tc>
          <w:tcPr>
            <w:tcW w:w="0" w:type="auto"/>
            <w:shd w:val="clear" w:color="auto" w:fill="F3F9FA"/>
            <w:noWrap/>
            <w:vAlign w:val="center"/>
          </w:tcPr>
          <w:p w14:paraId="2E708A73"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 xml:space="preserve">Z. muelleri </w:t>
            </w:r>
            <w:r w:rsidRPr="00A374A1">
              <w:rPr>
                <w:rFonts w:cs="Arial"/>
                <w:color w:val="000000"/>
                <w:sz w:val="18"/>
                <w:szCs w:val="18"/>
              </w:rPr>
              <w:t xml:space="preserve">with </w:t>
            </w:r>
            <w:r w:rsidRPr="00A374A1">
              <w:rPr>
                <w:rFonts w:cs="Arial"/>
                <w:i/>
                <w:color w:val="000000"/>
                <w:sz w:val="18"/>
                <w:szCs w:val="18"/>
              </w:rPr>
              <w:t>H. ovalis (H. uninervis)</w:t>
            </w:r>
          </w:p>
        </w:tc>
      </w:tr>
      <w:tr w:rsidR="0036236F" w:rsidRPr="00A374A1" w14:paraId="1B8E5932" w14:textId="77777777" w:rsidTr="00A374A1">
        <w:trPr>
          <w:trHeight w:val="170"/>
          <w:jc w:val="center"/>
        </w:trPr>
        <w:tc>
          <w:tcPr>
            <w:tcW w:w="0" w:type="auto"/>
            <w:vMerge w:val="restart"/>
            <w:noWrap/>
            <w:textDirection w:val="btLr"/>
            <w:vAlign w:val="center"/>
          </w:tcPr>
          <w:p w14:paraId="69C2AFDE" w14:textId="77777777" w:rsidR="0036236F" w:rsidRPr="00A374A1" w:rsidRDefault="0036236F" w:rsidP="00386ADA">
            <w:pPr>
              <w:spacing w:before="0" w:after="0" w:line="240" w:lineRule="auto"/>
              <w:ind w:left="113" w:right="113"/>
              <w:contextualSpacing/>
              <w:jc w:val="center"/>
              <w:rPr>
                <w:rFonts w:cs="Arial"/>
                <w:color w:val="000000"/>
                <w:sz w:val="18"/>
                <w:szCs w:val="18"/>
              </w:rPr>
            </w:pPr>
            <w:r w:rsidRPr="00A374A1">
              <w:rPr>
                <w:rFonts w:cs="Arial"/>
                <w:color w:val="000000"/>
                <w:sz w:val="18"/>
                <w:szCs w:val="18"/>
              </w:rPr>
              <w:t>Southern</w:t>
            </w:r>
          </w:p>
        </w:tc>
        <w:tc>
          <w:tcPr>
            <w:tcW w:w="0" w:type="auto"/>
            <w:vMerge w:val="restart"/>
            <w:shd w:val="clear" w:color="auto" w:fill="E7F3F4"/>
            <w:noWrap/>
            <w:vAlign w:val="center"/>
          </w:tcPr>
          <w:p w14:paraId="6CE1CB6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Fitzroy</w:t>
            </w:r>
          </w:p>
        </w:tc>
        <w:tc>
          <w:tcPr>
            <w:tcW w:w="0" w:type="auto"/>
            <w:vMerge w:val="restart"/>
            <w:shd w:val="clear" w:color="auto" w:fill="E7F3F4"/>
            <w:vAlign w:val="center"/>
          </w:tcPr>
          <w:p w14:paraId="2D456D5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Shoalwater / Fitzroy</w:t>
            </w:r>
          </w:p>
        </w:tc>
        <w:tc>
          <w:tcPr>
            <w:tcW w:w="0" w:type="auto"/>
            <w:vMerge w:val="restart"/>
            <w:shd w:val="clear" w:color="auto" w:fill="E7F3F4"/>
            <w:noWrap/>
            <w:vAlign w:val="center"/>
          </w:tcPr>
          <w:p w14:paraId="5B804F3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Shoalwater Bay</w:t>
            </w:r>
          </w:p>
          <w:p w14:paraId="646AC13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coastal </w:t>
            </w:r>
          </w:p>
        </w:tc>
        <w:tc>
          <w:tcPr>
            <w:tcW w:w="0" w:type="auto"/>
            <w:shd w:val="clear" w:color="auto" w:fill="E7F3F4"/>
            <w:noWrap/>
            <w:vAlign w:val="center"/>
          </w:tcPr>
          <w:p w14:paraId="6E82966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RC1*</w:t>
            </w:r>
          </w:p>
        </w:tc>
        <w:tc>
          <w:tcPr>
            <w:tcW w:w="0" w:type="auto"/>
            <w:shd w:val="clear" w:color="auto" w:fill="E7F3F4"/>
            <w:noWrap/>
            <w:vAlign w:val="center"/>
          </w:tcPr>
          <w:p w14:paraId="22D17F5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Ross Creek</w:t>
            </w:r>
          </w:p>
        </w:tc>
        <w:tc>
          <w:tcPr>
            <w:tcW w:w="0" w:type="auto"/>
            <w:shd w:val="clear" w:color="auto" w:fill="E7F3F4"/>
            <w:noWrap/>
            <w:vAlign w:val="center"/>
          </w:tcPr>
          <w:p w14:paraId="5A0FA2E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22°</w:t>
            </w:r>
          </w:p>
        </w:tc>
        <w:tc>
          <w:tcPr>
            <w:tcW w:w="0" w:type="auto"/>
            <w:shd w:val="clear" w:color="auto" w:fill="E7F3F4"/>
            <w:noWrap/>
            <w:vAlign w:val="center"/>
          </w:tcPr>
          <w:p w14:paraId="24E9070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22.953</w:t>
            </w:r>
          </w:p>
        </w:tc>
        <w:tc>
          <w:tcPr>
            <w:tcW w:w="0" w:type="auto"/>
            <w:shd w:val="clear" w:color="auto" w:fill="E7F3F4"/>
            <w:noWrap/>
            <w:vAlign w:val="center"/>
          </w:tcPr>
          <w:p w14:paraId="1AC0721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150°</w:t>
            </w:r>
          </w:p>
        </w:tc>
        <w:tc>
          <w:tcPr>
            <w:tcW w:w="0" w:type="auto"/>
            <w:shd w:val="clear" w:color="auto" w:fill="E7F3F4"/>
            <w:noWrap/>
            <w:vAlign w:val="center"/>
          </w:tcPr>
          <w:p w14:paraId="63E5933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12.685</w:t>
            </w:r>
          </w:p>
        </w:tc>
        <w:tc>
          <w:tcPr>
            <w:tcW w:w="0" w:type="auto"/>
            <w:shd w:val="clear" w:color="auto" w:fill="E7F3F4"/>
            <w:noWrap/>
            <w:vAlign w:val="center"/>
          </w:tcPr>
          <w:p w14:paraId="794D0A3A"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Zostera muelleri</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18905D2C" w14:textId="77777777" w:rsidTr="00A374A1">
        <w:trPr>
          <w:trHeight w:val="170"/>
          <w:jc w:val="center"/>
        </w:trPr>
        <w:tc>
          <w:tcPr>
            <w:tcW w:w="0" w:type="auto"/>
            <w:vMerge/>
            <w:noWrap/>
            <w:vAlign w:val="center"/>
          </w:tcPr>
          <w:p w14:paraId="3F008C09"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130909F1"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5CCF1FC4"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11028B68"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29AAC92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WH1*</w:t>
            </w:r>
          </w:p>
        </w:tc>
        <w:tc>
          <w:tcPr>
            <w:tcW w:w="0" w:type="auto"/>
            <w:shd w:val="clear" w:color="auto" w:fill="E7F3F4"/>
            <w:noWrap/>
            <w:vAlign w:val="center"/>
          </w:tcPr>
          <w:p w14:paraId="17F3DC1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Wheelans Hut</w:t>
            </w:r>
          </w:p>
        </w:tc>
        <w:tc>
          <w:tcPr>
            <w:tcW w:w="0" w:type="auto"/>
            <w:shd w:val="clear" w:color="auto" w:fill="E7F3F4"/>
            <w:noWrap/>
            <w:vAlign w:val="center"/>
          </w:tcPr>
          <w:p w14:paraId="014F796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22°</w:t>
            </w:r>
          </w:p>
        </w:tc>
        <w:tc>
          <w:tcPr>
            <w:tcW w:w="0" w:type="auto"/>
            <w:shd w:val="clear" w:color="auto" w:fill="E7F3F4"/>
            <w:noWrap/>
            <w:vAlign w:val="center"/>
          </w:tcPr>
          <w:p w14:paraId="60F0775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23.926</w:t>
            </w:r>
          </w:p>
        </w:tc>
        <w:tc>
          <w:tcPr>
            <w:tcW w:w="0" w:type="auto"/>
            <w:shd w:val="clear" w:color="auto" w:fill="E7F3F4"/>
            <w:noWrap/>
            <w:vAlign w:val="center"/>
          </w:tcPr>
          <w:p w14:paraId="041E730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150°</w:t>
            </w:r>
          </w:p>
        </w:tc>
        <w:tc>
          <w:tcPr>
            <w:tcW w:w="0" w:type="auto"/>
            <w:shd w:val="clear" w:color="auto" w:fill="E7F3F4"/>
            <w:noWrap/>
            <w:vAlign w:val="center"/>
          </w:tcPr>
          <w:p w14:paraId="1F2F007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16.366</w:t>
            </w:r>
          </w:p>
        </w:tc>
        <w:tc>
          <w:tcPr>
            <w:tcW w:w="0" w:type="auto"/>
            <w:shd w:val="clear" w:color="auto" w:fill="E7F3F4"/>
            <w:noWrap/>
            <w:vAlign w:val="center"/>
          </w:tcPr>
          <w:p w14:paraId="693104C1"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Zostera muelleri</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71E598EC" w14:textId="77777777" w:rsidTr="00A374A1">
        <w:trPr>
          <w:trHeight w:val="170"/>
          <w:jc w:val="center"/>
        </w:trPr>
        <w:tc>
          <w:tcPr>
            <w:tcW w:w="0" w:type="auto"/>
            <w:vMerge/>
            <w:noWrap/>
            <w:vAlign w:val="center"/>
          </w:tcPr>
          <w:p w14:paraId="75531A87"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102D9A11"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407C3CBE"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E7F3F4"/>
            <w:noWrap/>
            <w:vAlign w:val="center"/>
          </w:tcPr>
          <w:p w14:paraId="7933123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Keppel Islands</w:t>
            </w:r>
          </w:p>
          <w:p w14:paraId="374E0BD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reef</w:t>
            </w:r>
          </w:p>
        </w:tc>
        <w:tc>
          <w:tcPr>
            <w:tcW w:w="0" w:type="auto"/>
            <w:shd w:val="clear" w:color="auto" w:fill="E7F3F4"/>
            <w:noWrap/>
            <w:vAlign w:val="center"/>
          </w:tcPr>
          <w:p w14:paraId="482809F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GK1*</w:t>
            </w:r>
          </w:p>
        </w:tc>
        <w:tc>
          <w:tcPr>
            <w:tcW w:w="0" w:type="auto"/>
            <w:shd w:val="clear" w:color="auto" w:fill="E7F3F4"/>
            <w:noWrap/>
            <w:vAlign w:val="bottom"/>
          </w:tcPr>
          <w:p w14:paraId="43126B8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Great Keppel Is.</w:t>
            </w:r>
          </w:p>
        </w:tc>
        <w:tc>
          <w:tcPr>
            <w:tcW w:w="0" w:type="auto"/>
            <w:shd w:val="clear" w:color="auto" w:fill="E7F3F4"/>
            <w:noWrap/>
            <w:vAlign w:val="bottom"/>
          </w:tcPr>
          <w:p w14:paraId="34B3A8A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23°</w:t>
            </w:r>
          </w:p>
        </w:tc>
        <w:tc>
          <w:tcPr>
            <w:tcW w:w="0" w:type="auto"/>
            <w:shd w:val="clear" w:color="auto" w:fill="E7F3F4"/>
            <w:noWrap/>
            <w:vAlign w:val="bottom"/>
          </w:tcPr>
          <w:p w14:paraId="6B59F89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11.783</w:t>
            </w:r>
          </w:p>
        </w:tc>
        <w:tc>
          <w:tcPr>
            <w:tcW w:w="0" w:type="auto"/>
            <w:shd w:val="clear" w:color="auto" w:fill="E7F3F4"/>
            <w:noWrap/>
            <w:vAlign w:val="bottom"/>
          </w:tcPr>
          <w:p w14:paraId="75A3991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150°</w:t>
            </w:r>
          </w:p>
        </w:tc>
        <w:tc>
          <w:tcPr>
            <w:tcW w:w="0" w:type="auto"/>
            <w:shd w:val="clear" w:color="auto" w:fill="E7F3F4"/>
            <w:noWrap/>
            <w:vAlign w:val="bottom"/>
          </w:tcPr>
          <w:p w14:paraId="2035038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56.3682</w:t>
            </w:r>
          </w:p>
        </w:tc>
        <w:tc>
          <w:tcPr>
            <w:tcW w:w="0" w:type="auto"/>
            <w:shd w:val="clear" w:color="auto" w:fill="E7F3F4"/>
            <w:noWrap/>
            <w:vAlign w:val="center"/>
          </w:tcPr>
          <w:p w14:paraId="2CD491AE"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3EA1836F" w14:textId="77777777" w:rsidTr="00A374A1">
        <w:trPr>
          <w:trHeight w:val="170"/>
          <w:jc w:val="center"/>
        </w:trPr>
        <w:tc>
          <w:tcPr>
            <w:tcW w:w="0" w:type="auto"/>
            <w:vMerge/>
            <w:noWrap/>
            <w:vAlign w:val="center"/>
          </w:tcPr>
          <w:p w14:paraId="10289856"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0068E5CD"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534492AF"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08BC19AC"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3331920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GK2*</w:t>
            </w:r>
          </w:p>
        </w:tc>
        <w:tc>
          <w:tcPr>
            <w:tcW w:w="0" w:type="auto"/>
            <w:shd w:val="clear" w:color="auto" w:fill="E7F3F4"/>
            <w:noWrap/>
            <w:vAlign w:val="center"/>
          </w:tcPr>
          <w:p w14:paraId="0FBC1FB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Great Keppel Is.</w:t>
            </w:r>
          </w:p>
        </w:tc>
        <w:tc>
          <w:tcPr>
            <w:tcW w:w="0" w:type="auto"/>
            <w:shd w:val="clear" w:color="auto" w:fill="E7F3F4"/>
            <w:noWrap/>
            <w:vAlign w:val="center"/>
          </w:tcPr>
          <w:p w14:paraId="3F1A5F8A"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23°</w:t>
            </w:r>
          </w:p>
        </w:tc>
        <w:tc>
          <w:tcPr>
            <w:tcW w:w="0" w:type="auto"/>
            <w:shd w:val="clear" w:color="auto" w:fill="E7F3F4"/>
            <w:noWrap/>
            <w:vAlign w:val="center"/>
          </w:tcPr>
          <w:p w14:paraId="71D00EB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11.637</w:t>
            </w:r>
          </w:p>
        </w:tc>
        <w:tc>
          <w:tcPr>
            <w:tcW w:w="0" w:type="auto"/>
            <w:shd w:val="clear" w:color="auto" w:fill="E7F3F4"/>
            <w:noWrap/>
            <w:vAlign w:val="center"/>
          </w:tcPr>
          <w:p w14:paraId="55D17DA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150°</w:t>
            </w:r>
          </w:p>
        </w:tc>
        <w:tc>
          <w:tcPr>
            <w:tcW w:w="0" w:type="auto"/>
            <w:shd w:val="clear" w:color="auto" w:fill="E7F3F4"/>
            <w:noWrap/>
            <w:vAlign w:val="center"/>
          </w:tcPr>
          <w:p w14:paraId="60CEADE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56.3778</w:t>
            </w:r>
          </w:p>
        </w:tc>
        <w:tc>
          <w:tcPr>
            <w:tcW w:w="0" w:type="auto"/>
            <w:shd w:val="clear" w:color="auto" w:fill="E7F3F4"/>
            <w:noWrap/>
            <w:vAlign w:val="center"/>
          </w:tcPr>
          <w:p w14:paraId="73F2A499"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i/>
                <w:color w:val="000000"/>
                <w:sz w:val="18"/>
                <w:szCs w:val="18"/>
              </w:rPr>
              <w:t>H. uninervis</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5EB1A905" w14:textId="77777777" w:rsidTr="00A374A1">
        <w:trPr>
          <w:trHeight w:val="170"/>
          <w:jc w:val="center"/>
        </w:trPr>
        <w:tc>
          <w:tcPr>
            <w:tcW w:w="0" w:type="auto"/>
            <w:vMerge/>
            <w:noWrap/>
            <w:vAlign w:val="center"/>
          </w:tcPr>
          <w:p w14:paraId="553C0AEC"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7B7BD227"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E7F3F4"/>
            <w:vAlign w:val="center"/>
          </w:tcPr>
          <w:p w14:paraId="583A1AE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Calliope / Boyne</w:t>
            </w:r>
          </w:p>
        </w:tc>
        <w:tc>
          <w:tcPr>
            <w:tcW w:w="0" w:type="auto"/>
            <w:vMerge w:val="restart"/>
            <w:shd w:val="clear" w:color="auto" w:fill="E7F3F4"/>
            <w:noWrap/>
            <w:vAlign w:val="center"/>
          </w:tcPr>
          <w:p w14:paraId="4825F531"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Gladstone Harbour</w:t>
            </w:r>
          </w:p>
          <w:p w14:paraId="733C2F4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estuarine </w:t>
            </w:r>
          </w:p>
        </w:tc>
        <w:tc>
          <w:tcPr>
            <w:tcW w:w="0" w:type="auto"/>
            <w:shd w:val="clear" w:color="auto" w:fill="E7F3F4"/>
            <w:noWrap/>
            <w:vAlign w:val="center"/>
          </w:tcPr>
          <w:p w14:paraId="66EE3511"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GH1*</w:t>
            </w:r>
          </w:p>
        </w:tc>
        <w:tc>
          <w:tcPr>
            <w:tcW w:w="0" w:type="auto"/>
            <w:shd w:val="clear" w:color="auto" w:fill="E7F3F4"/>
            <w:noWrap/>
            <w:vAlign w:val="center"/>
          </w:tcPr>
          <w:p w14:paraId="5B76C6A2"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Gladstone Hbr</w:t>
            </w:r>
          </w:p>
        </w:tc>
        <w:tc>
          <w:tcPr>
            <w:tcW w:w="0" w:type="auto"/>
            <w:shd w:val="clear" w:color="auto" w:fill="E7F3F4"/>
            <w:noWrap/>
            <w:vAlign w:val="center"/>
          </w:tcPr>
          <w:p w14:paraId="76AF1F8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23°</w:t>
            </w:r>
          </w:p>
        </w:tc>
        <w:tc>
          <w:tcPr>
            <w:tcW w:w="0" w:type="auto"/>
            <w:shd w:val="clear" w:color="auto" w:fill="E7F3F4"/>
            <w:noWrap/>
            <w:vAlign w:val="center"/>
          </w:tcPr>
          <w:p w14:paraId="375A30E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46.005</w:t>
            </w:r>
          </w:p>
        </w:tc>
        <w:tc>
          <w:tcPr>
            <w:tcW w:w="0" w:type="auto"/>
            <w:shd w:val="clear" w:color="auto" w:fill="E7F3F4"/>
            <w:noWrap/>
            <w:vAlign w:val="center"/>
          </w:tcPr>
          <w:p w14:paraId="1A11D45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151°</w:t>
            </w:r>
          </w:p>
        </w:tc>
        <w:tc>
          <w:tcPr>
            <w:tcW w:w="0" w:type="auto"/>
            <w:shd w:val="clear" w:color="auto" w:fill="E7F3F4"/>
            <w:noWrap/>
            <w:vAlign w:val="center"/>
          </w:tcPr>
          <w:p w14:paraId="390B2A8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18.052</w:t>
            </w:r>
          </w:p>
        </w:tc>
        <w:tc>
          <w:tcPr>
            <w:tcW w:w="0" w:type="auto"/>
            <w:shd w:val="clear" w:color="auto" w:fill="E7F3F4"/>
            <w:noWrap/>
            <w:vAlign w:val="center"/>
          </w:tcPr>
          <w:p w14:paraId="7C6C381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Zostera muelleri</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740254C2" w14:textId="77777777" w:rsidTr="00A374A1">
        <w:trPr>
          <w:trHeight w:val="170"/>
          <w:jc w:val="center"/>
        </w:trPr>
        <w:tc>
          <w:tcPr>
            <w:tcW w:w="0" w:type="auto"/>
            <w:vMerge/>
            <w:noWrap/>
            <w:vAlign w:val="center"/>
          </w:tcPr>
          <w:p w14:paraId="60AE01A7"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0E823F89"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vAlign w:val="center"/>
          </w:tcPr>
          <w:p w14:paraId="35CC1268"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E7F3F4"/>
            <w:noWrap/>
            <w:vAlign w:val="center"/>
          </w:tcPr>
          <w:p w14:paraId="70EAFCFD"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E7F3F4"/>
            <w:noWrap/>
            <w:vAlign w:val="center"/>
          </w:tcPr>
          <w:p w14:paraId="01F8749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GH2*</w:t>
            </w:r>
          </w:p>
        </w:tc>
        <w:tc>
          <w:tcPr>
            <w:tcW w:w="0" w:type="auto"/>
            <w:shd w:val="clear" w:color="auto" w:fill="E7F3F4"/>
            <w:noWrap/>
            <w:vAlign w:val="center"/>
          </w:tcPr>
          <w:p w14:paraId="339E8ADF" w14:textId="77777777" w:rsidR="0036236F" w:rsidRPr="00A374A1" w:rsidRDefault="0036236F" w:rsidP="00386ADA">
            <w:pPr>
              <w:spacing w:before="0" w:after="0" w:line="240" w:lineRule="auto"/>
              <w:contextualSpacing/>
              <w:jc w:val="center"/>
              <w:rPr>
                <w:rFonts w:cs="Arial"/>
                <w:i/>
                <w:color w:val="000000"/>
                <w:sz w:val="18"/>
                <w:szCs w:val="18"/>
              </w:rPr>
            </w:pPr>
            <w:r w:rsidRPr="00A374A1">
              <w:rPr>
                <w:rFonts w:cs="Arial"/>
                <w:color w:val="000000"/>
                <w:sz w:val="18"/>
                <w:szCs w:val="18"/>
              </w:rPr>
              <w:t>Gladstone Hbr</w:t>
            </w:r>
          </w:p>
        </w:tc>
        <w:tc>
          <w:tcPr>
            <w:tcW w:w="0" w:type="auto"/>
            <w:shd w:val="clear" w:color="auto" w:fill="E7F3F4"/>
            <w:noWrap/>
            <w:vAlign w:val="center"/>
          </w:tcPr>
          <w:p w14:paraId="64424CB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23°</w:t>
            </w:r>
          </w:p>
        </w:tc>
        <w:tc>
          <w:tcPr>
            <w:tcW w:w="0" w:type="auto"/>
            <w:shd w:val="clear" w:color="auto" w:fill="E7F3F4"/>
            <w:noWrap/>
            <w:vAlign w:val="center"/>
          </w:tcPr>
          <w:p w14:paraId="5E856F01"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45.874</w:t>
            </w:r>
          </w:p>
        </w:tc>
        <w:tc>
          <w:tcPr>
            <w:tcW w:w="0" w:type="auto"/>
            <w:shd w:val="clear" w:color="auto" w:fill="E7F3F4"/>
            <w:noWrap/>
            <w:vAlign w:val="center"/>
          </w:tcPr>
          <w:p w14:paraId="40005C7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151°</w:t>
            </w:r>
          </w:p>
        </w:tc>
        <w:tc>
          <w:tcPr>
            <w:tcW w:w="0" w:type="auto"/>
            <w:shd w:val="clear" w:color="auto" w:fill="E7F3F4"/>
            <w:noWrap/>
            <w:vAlign w:val="center"/>
          </w:tcPr>
          <w:p w14:paraId="68E9338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18.224</w:t>
            </w:r>
          </w:p>
        </w:tc>
        <w:tc>
          <w:tcPr>
            <w:tcW w:w="0" w:type="auto"/>
            <w:shd w:val="clear" w:color="auto" w:fill="E7F3F4"/>
            <w:noWrap/>
            <w:vAlign w:val="center"/>
          </w:tcPr>
          <w:p w14:paraId="556A8F2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Zostera muelleri</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24C3F4D6" w14:textId="77777777" w:rsidTr="00A374A1">
        <w:trPr>
          <w:trHeight w:val="170"/>
          <w:jc w:val="center"/>
        </w:trPr>
        <w:tc>
          <w:tcPr>
            <w:tcW w:w="0" w:type="auto"/>
            <w:vMerge/>
            <w:noWrap/>
            <w:vAlign w:val="center"/>
          </w:tcPr>
          <w:p w14:paraId="187A79E9"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F3F9FA"/>
            <w:noWrap/>
            <w:vAlign w:val="center"/>
          </w:tcPr>
          <w:p w14:paraId="2DA3949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Burnett Mary</w:t>
            </w:r>
          </w:p>
        </w:tc>
        <w:tc>
          <w:tcPr>
            <w:tcW w:w="0" w:type="auto"/>
            <w:vMerge w:val="restart"/>
            <w:shd w:val="clear" w:color="auto" w:fill="F3F9FA"/>
            <w:vAlign w:val="center"/>
          </w:tcPr>
          <w:p w14:paraId="77895B58"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Baffle</w:t>
            </w:r>
          </w:p>
        </w:tc>
        <w:tc>
          <w:tcPr>
            <w:tcW w:w="0" w:type="auto"/>
            <w:vMerge w:val="restart"/>
            <w:shd w:val="clear" w:color="auto" w:fill="F3F9FA"/>
            <w:noWrap/>
            <w:vAlign w:val="center"/>
          </w:tcPr>
          <w:p w14:paraId="6B82390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Rodds Bay</w:t>
            </w:r>
          </w:p>
          <w:p w14:paraId="7DD2975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estuarine </w:t>
            </w:r>
          </w:p>
        </w:tc>
        <w:tc>
          <w:tcPr>
            <w:tcW w:w="0" w:type="auto"/>
            <w:shd w:val="clear" w:color="auto" w:fill="F3F9FA"/>
            <w:noWrap/>
            <w:vAlign w:val="center"/>
          </w:tcPr>
          <w:p w14:paraId="13049756" w14:textId="77777777" w:rsidR="0036236F" w:rsidRPr="00A374A1" w:rsidRDefault="0036236F" w:rsidP="00386ADA">
            <w:pPr>
              <w:spacing w:before="0" w:after="0" w:line="240" w:lineRule="auto"/>
              <w:contextualSpacing/>
              <w:jc w:val="center"/>
              <w:rPr>
                <w:rFonts w:cs="Arial"/>
                <w:iCs/>
                <w:color w:val="000000"/>
                <w:sz w:val="18"/>
                <w:szCs w:val="18"/>
              </w:rPr>
            </w:pPr>
            <w:r w:rsidRPr="00A374A1">
              <w:rPr>
                <w:rFonts w:cs="Arial"/>
                <w:iCs/>
                <w:color w:val="000000"/>
                <w:sz w:val="18"/>
                <w:szCs w:val="18"/>
              </w:rPr>
              <w:t>RD1*</w:t>
            </w:r>
          </w:p>
        </w:tc>
        <w:tc>
          <w:tcPr>
            <w:tcW w:w="0" w:type="auto"/>
            <w:shd w:val="clear" w:color="auto" w:fill="F3F9FA"/>
            <w:noWrap/>
            <w:vAlign w:val="center"/>
          </w:tcPr>
          <w:p w14:paraId="322E70AC"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Rodds Bay</w:t>
            </w:r>
          </w:p>
        </w:tc>
        <w:tc>
          <w:tcPr>
            <w:tcW w:w="0" w:type="auto"/>
            <w:shd w:val="clear" w:color="auto" w:fill="F3F9FA"/>
            <w:noWrap/>
            <w:vAlign w:val="center"/>
          </w:tcPr>
          <w:p w14:paraId="3AA53354"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24°</w:t>
            </w:r>
          </w:p>
        </w:tc>
        <w:tc>
          <w:tcPr>
            <w:tcW w:w="0" w:type="auto"/>
            <w:shd w:val="clear" w:color="auto" w:fill="F3F9FA"/>
            <w:noWrap/>
            <w:vAlign w:val="center"/>
          </w:tcPr>
          <w:p w14:paraId="6EAEE3DF"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3.4812</w:t>
            </w:r>
          </w:p>
        </w:tc>
        <w:tc>
          <w:tcPr>
            <w:tcW w:w="0" w:type="auto"/>
            <w:shd w:val="clear" w:color="auto" w:fill="F3F9FA"/>
            <w:noWrap/>
            <w:vAlign w:val="center"/>
          </w:tcPr>
          <w:p w14:paraId="4668D15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151°</w:t>
            </w:r>
          </w:p>
        </w:tc>
        <w:tc>
          <w:tcPr>
            <w:tcW w:w="0" w:type="auto"/>
            <w:shd w:val="clear" w:color="auto" w:fill="F3F9FA"/>
            <w:noWrap/>
            <w:vAlign w:val="center"/>
          </w:tcPr>
          <w:p w14:paraId="3E3466E7"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39.3288</w:t>
            </w:r>
          </w:p>
        </w:tc>
        <w:tc>
          <w:tcPr>
            <w:tcW w:w="0" w:type="auto"/>
            <w:shd w:val="clear" w:color="auto" w:fill="F3F9FA"/>
            <w:noWrap/>
            <w:vAlign w:val="center"/>
          </w:tcPr>
          <w:p w14:paraId="7B5C736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Zostera muelleri</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7499A8DD" w14:textId="77777777" w:rsidTr="00A374A1">
        <w:trPr>
          <w:trHeight w:val="170"/>
          <w:jc w:val="center"/>
        </w:trPr>
        <w:tc>
          <w:tcPr>
            <w:tcW w:w="0" w:type="auto"/>
            <w:vMerge/>
            <w:noWrap/>
            <w:vAlign w:val="center"/>
          </w:tcPr>
          <w:p w14:paraId="0C94750F"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365B8695"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vAlign w:val="center"/>
          </w:tcPr>
          <w:p w14:paraId="7046DC91"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698889BB"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3618A9DE" w14:textId="77777777" w:rsidR="0036236F" w:rsidRPr="00A374A1" w:rsidRDefault="0036236F" w:rsidP="00386ADA">
            <w:pPr>
              <w:spacing w:before="0" w:after="0" w:line="240" w:lineRule="auto"/>
              <w:contextualSpacing/>
              <w:jc w:val="center"/>
              <w:rPr>
                <w:rFonts w:cs="Arial"/>
                <w:iCs/>
                <w:color w:val="000000"/>
                <w:sz w:val="18"/>
                <w:szCs w:val="18"/>
              </w:rPr>
            </w:pPr>
            <w:r w:rsidRPr="00A374A1">
              <w:rPr>
                <w:rFonts w:cs="Arial"/>
                <w:iCs/>
                <w:color w:val="000000"/>
                <w:sz w:val="18"/>
                <w:szCs w:val="18"/>
              </w:rPr>
              <w:t>RD2*</w:t>
            </w:r>
          </w:p>
        </w:tc>
        <w:tc>
          <w:tcPr>
            <w:tcW w:w="0" w:type="auto"/>
            <w:shd w:val="clear" w:color="auto" w:fill="F3F9FA"/>
            <w:noWrap/>
            <w:vAlign w:val="center"/>
          </w:tcPr>
          <w:p w14:paraId="6B3988CE"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Rodds Bay</w:t>
            </w:r>
          </w:p>
        </w:tc>
        <w:tc>
          <w:tcPr>
            <w:tcW w:w="0" w:type="auto"/>
            <w:shd w:val="clear" w:color="auto" w:fill="F3F9FA"/>
            <w:noWrap/>
            <w:vAlign w:val="center"/>
          </w:tcPr>
          <w:p w14:paraId="19423AE7" w14:textId="77777777" w:rsidR="0036236F" w:rsidRPr="00A374A1" w:rsidRDefault="0036236F" w:rsidP="00386ADA">
            <w:pPr>
              <w:spacing w:before="0" w:after="0" w:line="240" w:lineRule="auto"/>
              <w:contextualSpacing/>
              <w:jc w:val="center"/>
              <w:rPr>
                <w:rFonts w:cs="Arial"/>
                <w:color w:val="000000"/>
                <w:sz w:val="18"/>
                <w:szCs w:val="18"/>
                <w:highlight w:val="yellow"/>
              </w:rPr>
            </w:pPr>
            <w:r w:rsidRPr="00A374A1">
              <w:rPr>
                <w:rFonts w:cs="Arial"/>
                <w:color w:val="000000"/>
                <w:sz w:val="18"/>
                <w:szCs w:val="18"/>
              </w:rPr>
              <w:t>24°</w:t>
            </w:r>
          </w:p>
        </w:tc>
        <w:tc>
          <w:tcPr>
            <w:tcW w:w="0" w:type="auto"/>
            <w:shd w:val="clear" w:color="auto" w:fill="F3F9FA"/>
            <w:noWrap/>
            <w:vAlign w:val="center"/>
          </w:tcPr>
          <w:p w14:paraId="1CDA715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4.866</w:t>
            </w:r>
          </w:p>
        </w:tc>
        <w:tc>
          <w:tcPr>
            <w:tcW w:w="0" w:type="auto"/>
            <w:shd w:val="clear" w:color="auto" w:fill="F3F9FA"/>
            <w:noWrap/>
            <w:vAlign w:val="center"/>
          </w:tcPr>
          <w:p w14:paraId="033A935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151°</w:t>
            </w:r>
          </w:p>
        </w:tc>
        <w:tc>
          <w:tcPr>
            <w:tcW w:w="0" w:type="auto"/>
            <w:shd w:val="clear" w:color="auto" w:fill="F3F9FA"/>
            <w:noWrap/>
            <w:vAlign w:val="center"/>
          </w:tcPr>
          <w:p w14:paraId="793217D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39.7584</w:t>
            </w:r>
          </w:p>
        </w:tc>
        <w:tc>
          <w:tcPr>
            <w:tcW w:w="0" w:type="auto"/>
            <w:shd w:val="clear" w:color="auto" w:fill="F3F9FA"/>
            <w:noWrap/>
            <w:vAlign w:val="center"/>
          </w:tcPr>
          <w:p w14:paraId="11C95A4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Zostera muelleri</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1746D850" w14:textId="77777777" w:rsidTr="00A374A1">
        <w:trPr>
          <w:trHeight w:val="170"/>
          <w:jc w:val="center"/>
        </w:trPr>
        <w:tc>
          <w:tcPr>
            <w:tcW w:w="0" w:type="auto"/>
            <w:vMerge/>
            <w:noWrap/>
            <w:vAlign w:val="center"/>
          </w:tcPr>
          <w:p w14:paraId="45F01A46"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272CD02A"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val="restart"/>
            <w:shd w:val="clear" w:color="auto" w:fill="F3F9FA"/>
            <w:vAlign w:val="center"/>
          </w:tcPr>
          <w:p w14:paraId="7D3AA1D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Mary</w:t>
            </w:r>
          </w:p>
        </w:tc>
        <w:tc>
          <w:tcPr>
            <w:tcW w:w="0" w:type="auto"/>
            <w:vMerge w:val="restart"/>
            <w:shd w:val="clear" w:color="auto" w:fill="F3F9FA"/>
            <w:noWrap/>
            <w:vAlign w:val="center"/>
          </w:tcPr>
          <w:p w14:paraId="4D5F92F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Hervey Bay</w:t>
            </w:r>
          </w:p>
          <w:p w14:paraId="6696E4A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 xml:space="preserve">estuarine </w:t>
            </w:r>
          </w:p>
        </w:tc>
        <w:tc>
          <w:tcPr>
            <w:tcW w:w="0" w:type="auto"/>
            <w:shd w:val="clear" w:color="auto" w:fill="F3F9FA"/>
            <w:noWrap/>
            <w:vAlign w:val="center"/>
          </w:tcPr>
          <w:p w14:paraId="45CFA8D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UG1*</w:t>
            </w:r>
          </w:p>
        </w:tc>
        <w:tc>
          <w:tcPr>
            <w:tcW w:w="0" w:type="auto"/>
            <w:shd w:val="clear" w:color="auto" w:fill="F3F9FA"/>
            <w:noWrap/>
            <w:vAlign w:val="center"/>
          </w:tcPr>
          <w:p w14:paraId="4A8D6B2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Urangan</w:t>
            </w:r>
          </w:p>
        </w:tc>
        <w:tc>
          <w:tcPr>
            <w:tcW w:w="0" w:type="auto"/>
            <w:shd w:val="clear" w:color="auto" w:fill="F3F9FA"/>
            <w:noWrap/>
            <w:vAlign w:val="center"/>
          </w:tcPr>
          <w:p w14:paraId="2E551E6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25°</w:t>
            </w:r>
          </w:p>
        </w:tc>
        <w:tc>
          <w:tcPr>
            <w:tcW w:w="0" w:type="auto"/>
            <w:shd w:val="clear" w:color="auto" w:fill="F3F9FA"/>
            <w:noWrap/>
            <w:vAlign w:val="center"/>
          </w:tcPr>
          <w:p w14:paraId="127BF75D"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18.053</w:t>
            </w:r>
          </w:p>
        </w:tc>
        <w:tc>
          <w:tcPr>
            <w:tcW w:w="0" w:type="auto"/>
            <w:shd w:val="clear" w:color="auto" w:fill="F3F9FA"/>
            <w:noWrap/>
            <w:vAlign w:val="center"/>
          </w:tcPr>
          <w:p w14:paraId="38CD692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152°</w:t>
            </w:r>
          </w:p>
        </w:tc>
        <w:tc>
          <w:tcPr>
            <w:tcW w:w="0" w:type="auto"/>
            <w:shd w:val="clear" w:color="auto" w:fill="F3F9FA"/>
            <w:noWrap/>
            <w:vAlign w:val="center"/>
          </w:tcPr>
          <w:p w14:paraId="3B46CF4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54.409</w:t>
            </w:r>
          </w:p>
        </w:tc>
        <w:tc>
          <w:tcPr>
            <w:tcW w:w="0" w:type="auto"/>
            <w:shd w:val="clear" w:color="auto" w:fill="F3F9FA"/>
            <w:noWrap/>
            <w:vAlign w:val="center"/>
          </w:tcPr>
          <w:p w14:paraId="268A00A1"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Zostera muelleri</w:t>
            </w:r>
            <w:r w:rsidRPr="00A374A1">
              <w:rPr>
                <w:rFonts w:cs="Arial"/>
                <w:color w:val="000000"/>
                <w:sz w:val="18"/>
                <w:szCs w:val="18"/>
              </w:rPr>
              <w:t xml:space="preserve"> with </w:t>
            </w:r>
            <w:r w:rsidRPr="00A374A1">
              <w:rPr>
                <w:rFonts w:cs="Arial"/>
                <w:i/>
                <w:color w:val="000000"/>
                <w:sz w:val="18"/>
                <w:szCs w:val="18"/>
              </w:rPr>
              <w:t>H. ovalis</w:t>
            </w:r>
          </w:p>
        </w:tc>
      </w:tr>
      <w:tr w:rsidR="0036236F" w:rsidRPr="00A374A1" w14:paraId="15D5F6CC" w14:textId="77777777" w:rsidTr="00A374A1">
        <w:trPr>
          <w:trHeight w:val="170"/>
          <w:jc w:val="center"/>
        </w:trPr>
        <w:tc>
          <w:tcPr>
            <w:tcW w:w="0" w:type="auto"/>
            <w:vMerge/>
            <w:noWrap/>
            <w:vAlign w:val="center"/>
          </w:tcPr>
          <w:p w14:paraId="13E534E8" w14:textId="77777777" w:rsidR="0036236F" w:rsidRPr="00A374A1" w:rsidRDefault="0036236F" w:rsidP="00386ADA">
            <w:pPr>
              <w:spacing w:before="0" w:after="0" w:line="240" w:lineRule="auto"/>
              <w:ind w:firstLine="560"/>
              <w:contextualSpacing/>
              <w:jc w:val="center"/>
              <w:rPr>
                <w:rFonts w:cs="Arial"/>
                <w:color w:val="000000"/>
                <w:sz w:val="18"/>
                <w:szCs w:val="18"/>
              </w:rPr>
            </w:pPr>
          </w:p>
        </w:tc>
        <w:tc>
          <w:tcPr>
            <w:tcW w:w="0" w:type="auto"/>
            <w:vMerge/>
            <w:shd w:val="clear" w:color="auto" w:fill="F3F9FA"/>
            <w:noWrap/>
            <w:vAlign w:val="center"/>
          </w:tcPr>
          <w:p w14:paraId="5B2B5277"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28078330"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vMerge/>
            <w:shd w:val="clear" w:color="auto" w:fill="F3F9FA"/>
            <w:noWrap/>
            <w:vAlign w:val="center"/>
          </w:tcPr>
          <w:p w14:paraId="434087C1" w14:textId="77777777" w:rsidR="0036236F" w:rsidRPr="00A374A1" w:rsidRDefault="0036236F" w:rsidP="00386ADA">
            <w:pPr>
              <w:spacing w:before="0" w:after="0" w:line="240" w:lineRule="auto"/>
              <w:contextualSpacing/>
              <w:jc w:val="center"/>
              <w:rPr>
                <w:rFonts w:cs="Arial"/>
                <w:color w:val="000000"/>
                <w:sz w:val="18"/>
                <w:szCs w:val="18"/>
              </w:rPr>
            </w:pPr>
          </w:p>
        </w:tc>
        <w:tc>
          <w:tcPr>
            <w:tcW w:w="0" w:type="auto"/>
            <w:shd w:val="clear" w:color="auto" w:fill="F3F9FA"/>
            <w:noWrap/>
            <w:vAlign w:val="center"/>
          </w:tcPr>
          <w:p w14:paraId="1DA4BD4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UG2*</w:t>
            </w:r>
          </w:p>
        </w:tc>
        <w:tc>
          <w:tcPr>
            <w:tcW w:w="0" w:type="auto"/>
            <w:shd w:val="clear" w:color="auto" w:fill="F3F9FA"/>
            <w:noWrap/>
            <w:vAlign w:val="center"/>
          </w:tcPr>
          <w:p w14:paraId="53FCF453"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Urangan</w:t>
            </w:r>
          </w:p>
        </w:tc>
        <w:tc>
          <w:tcPr>
            <w:tcW w:w="0" w:type="auto"/>
            <w:shd w:val="clear" w:color="auto" w:fill="F3F9FA"/>
            <w:noWrap/>
            <w:vAlign w:val="center"/>
          </w:tcPr>
          <w:p w14:paraId="2A35F736"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25°</w:t>
            </w:r>
          </w:p>
        </w:tc>
        <w:tc>
          <w:tcPr>
            <w:tcW w:w="0" w:type="auto"/>
            <w:shd w:val="clear" w:color="auto" w:fill="F3F9FA"/>
            <w:noWrap/>
            <w:vAlign w:val="center"/>
          </w:tcPr>
          <w:p w14:paraId="73598B09"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18.197</w:t>
            </w:r>
          </w:p>
        </w:tc>
        <w:tc>
          <w:tcPr>
            <w:tcW w:w="0" w:type="auto"/>
            <w:shd w:val="clear" w:color="auto" w:fill="F3F9FA"/>
            <w:noWrap/>
            <w:vAlign w:val="center"/>
          </w:tcPr>
          <w:p w14:paraId="4D37CFDB"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152°</w:t>
            </w:r>
          </w:p>
        </w:tc>
        <w:tc>
          <w:tcPr>
            <w:tcW w:w="0" w:type="auto"/>
            <w:shd w:val="clear" w:color="auto" w:fill="F3F9FA"/>
            <w:noWrap/>
            <w:vAlign w:val="center"/>
          </w:tcPr>
          <w:p w14:paraId="712DDA80"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color w:val="000000"/>
                <w:sz w:val="18"/>
                <w:szCs w:val="18"/>
              </w:rPr>
              <w:t>54.364</w:t>
            </w:r>
          </w:p>
        </w:tc>
        <w:tc>
          <w:tcPr>
            <w:tcW w:w="0" w:type="auto"/>
            <w:shd w:val="clear" w:color="auto" w:fill="F3F9FA"/>
            <w:noWrap/>
            <w:vAlign w:val="center"/>
          </w:tcPr>
          <w:p w14:paraId="07244775" w14:textId="77777777" w:rsidR="0036236F" w:rsidRPr="00A374A1" w:rsidRDefault="0036236F" w:rsidP="00386ADA">
            <w:pPr>
              <w:spacing w:before="0" w:after="0" w:line="240" w:lineRule="auto"/>
              <w:contextualSpacing/>
              <w:jc w:val="center"/>
              <w:rPr>
                <w:rFonts w:cs="Arial"/>
                <w:color w:val="000000"/>
                <w:sz w:val="18"/>
                <w:szCs w:val="18"/>
              </w:rPr>
            </w:pPr>
            <w:r w:rsidRPr="00A374A1">
              <w:rPr>
                <w:rFonts w:cs="Arial"/>
                <w:i/>
                <w:color w:val="000000"/>
                <w:sz w:val="18"/>
                <w:szCs w:val="18"/>
              </w:rPr>
              <w:t>Zostera muelleri</w:t>
            </w:r>
            <w:r w:rsidRPr="00A374A1">
              <w:rPr>
                <w:rFonts w:cs="Arial"/>
                <w:color w:val="000000"/>
                <w:sz w:val="18"/>
                <w:szCs w:val="18"/>
              </w:rPr>
              <w:t xml:space="preserve"> with </w:t>
            </w:r>
            <w:r w:rsidRPr="00A374A1">
              <w:rPr>
                <w:rFonts w:cs="Arial"/>
                <w:i/>
                <w:color w:val="000000"/>
                <w:sz w:val="18"/>
                <w:szCs w:val="18"/>
              </w:rPr>
              <w:t>H. ovalis</w:t>
            </w:r>
          </w:p>
        </w:tc>
      </w:tr>
    </w:tbl>
    <w:p w14:paraId="1A223666" w14:textId="5357A70F" w:rsidR="00A22105" w:rsidRDefault="00A22105" w:rsidP="00A22105">
      <w:pPr>
        <w:tabs>
          <w:tab w:val="left" w:pos="5655"/>
        </w:tabs>
        <w:rPr>
          <w:rFonts w:cs="Arial"/>
        </w:rPr>
      </w:pPr>
    </w:p>
    <w:p w14:paraId="64B0CAF4" w14:textId="3F5F785C" w:rsidR="00A374A1" w:rsidRDefault="00A374A1" w:rsidP="00A22105">
      <w:pPr>
        <w:tabs>
          <w:tab w:val="left" w:pos="5655"/>
        </w:tabs>
        <w:rPr>
          <w:rFonts w:cs="Arial"/>
        </w:rPr>
      </w:pPr>
    </w:p>
    <w:p w14:paraId="4C994081" w14:textId="52B3549A" w:rsidR="00A374A1" w:rsidRDefault="00A374A1" w:rsidP="00A22105">
      <w:pPr>
        <w:tabs>
          <w:tab w:val="left" w:pos="5655"/>
        </w:tabs>
        <w:rPr>
          <w:rFonts w:cs="Arial"/>
        </w:rPr>
      </w:pPr>
    </w:p>
    <w:p w14:paraId="44C175E8" w14:textId="289538B8" w:rsidR="00A374A1" w:rsidRDefault="00A374A1" w:rsidP="00A22105">
      <w:pPr>
        <w:tabs>
          <w:tab w:val="left" w:pos="5655"/>
        </w:tabs>
        <w:rPr>
          <w:rFonts w:cs="Arial"/>
        </w:rPr>
      </w:pPr>
    </w:p>
    <w:p w14:paraId="7FADC55B" w14:textId="77777777" w:rsidR="00A374A1" w:rsidRDefault="00A374A1" w:rsidP="00A22105">
      <w:pPr>
        <w:tabs>
          <w:tab w:val="left" w:pos="5655"/>
        </w:tabs>
        <w:rPr>
          <w:rFonts w:cs="Arial"/>
        </w:rPr>
      </w:pPr>
    </w:p>
    <w:p w14:paraId="2D8DB55B" w14:textId="4E8E890D" w:rsidR="00A22105" w:rsidRPr="00F529DD" w:rsidRDefault="00A22105" w:rsidP="007E5A3A">
      <w:pPr>
        <w:pStyle w:val="Caption"/>
      </w:pPr>
      <w:bookmarkStart w:id="446" w:name="_Ref524436744"/>
      <w:bookmarkStart w:id="447" w:name="_Toc10398453"/>
      <w:r w:rsidRPr="00620C94">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6</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2</w:t>
      </w:r>
      <w:r w:rsidR="006940F4">
        <w:rPr>
          <w:noProof/>
        </w:rPr>
        <w:fldChar w:fldCharType="end"/>
      </w:r>
      <w:bookmarkEnd w:id="446"/>
      <w:r w:rsidRPr="00F529DD">
        <w:t xml:space="preserve"> </w:t>
      </w:r>
      <w:r w:rsidR="00383250">
        <w:t>Extra</w:t>
      </w:r>
      <w:r w:rsidR="00383250" w:rsidRPr="00C02655">
        <w:t xml:space="preserve"> </w:t>
      </w:r>
      <w:r w:rsidRPr="00C02655">
        <w:t xml:space="preserve">inshore seagrass long-term monitoring sites from the Seagrass-Watch and </w:t>
      </w:r>
      <w:r w:rsidR="00FE379C">
        <w:t>Queensland Parks and Wildlife</w:t>
      </w:r>
      <w:r w:rsidRPr="00C02655">
        <w:t xml:space="preserve"> drop-camera programs</w:t>
      </w:r>
      <w:bookmarkEnd w:id="447"/>
      <w:r w:rsidRPr="00C02655">
        <w:t xml:space="preserve"> </w:t>
      </w:r>
    </w:p>
    <w:p w14:paraId="307336C8" w14:textId="77777777" w:rsidR="00A22105" w:rsidRDefault="00A22105" w:rsidP="00A22105">
      <w:pPr>
        <w:pStyle w:val="Table"/>
        <w:spacing w:before="240"/>
        <w:rPr>
          <w:rFonts w:cs="Arial"/>
        </w:rPr>
      </w:pPr>
      <w:r w:rsidRPr="0058370B">
        <w:rPr>
          <w:rFonts w:cs="Arial"/>
          <w:sz w:val="22"/>
          <w:szCs w:val="22"/>
          <w:lang w:val="en-AU"/>
        </w:rPr>
        <w:t>NRM region from www.nrm.gov.au. * = intertidal, ^=subtidal.</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Caption w:val="Table 6.1 "/>
        <w:tblDescription w:val="MMP inshore seagrass long-term monitoring sites"/>
      </w:tblPr>
      <w:tblGrid>
        <w:gridCol w:w="1141"/>
        <w:gridCol w:w="1675"/>
        <w:gridCol w:w="1005"/>
        <w:gridCol w:w="1448"/>
        <w:gridCol w:w="628"/>
        <w:gridCol w:w="1321"/>
        <w:gridCol w:w="463"/>
        <w:gridCol w:w="805"/>
        <w:gridCol w:w="553"/>
        <w:gridCol w:w="715"/>
        <w:gridCol w:w="4184"/>
      </w:tblGrid>
      <w:tr w:rsidR="00A22105" w:rsidRPr="009465B0" w14:paraId="1C82109A" w14:textId="77777777" w:rsidTr="00A374A1">
        <w:trPr>
          <w:trHeight w:val="559"/>
          <w:jc w:val="center"/>
        </w:trPr>
        <w:tc>
          <w:tcPr>
            <w:tcW w:w="0" w:type="auto"/>
            <w:shd w:val="clear" w:color="auto" w:fill="E6E6E6"/>
            <w:vAlign w:val="center"/>
          </w:tcPr>
          <w:p w14:paraId="4F095E83"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Region</w:t>
            </w:r>
          </w:p>
        </w:tc>
        <w:tc>
          <w:tcPr>
            <w:tcW w:w="0" w:type="auto"/>
            <w:shd w:val="clear" w:color="auto" w:fill="E6E6E6"/>
            <w:noWrap/>
            <w:vAlign w:val="center"/>
          </w:tcPr>
          <w:p w14:paraId="357BA8D9"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NRM region</w:t>
            </w:r>
          </w:p>
        </w:tc>
        <w:tc>
          <w:tcPr>
            <w:tcW w:w="0" w:type="auto"/>
            <w:shd w:val="clear" w:color="auto" w:fill="E6E6E6"/>
            <w:vAlign w:val="center"/>
          </w:tcPr>
          <w:p w14:paraId="64095DD4"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Basin</w:t>
            </w:r>
          </w:p>
        </w:tc>
        <w:tc>
          <w:tcPr>
            <w:tcW w:w="0" w:type="auto"/>
            <w:shd w:val="clear" w:color="auto" w:fill="E6E6E6"/>
            <w:vAlign w:val="center"/>
          </w:tcPr>
          <w:p w14:paraId="5661756A"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Monitoring location</w:t>
            </w:r>
          </w:p>
        </w:tc>
        <w:tc>
          <w:tcPr>
            <w:tcW w:w="0" w:type="auto"/>
            <w:gridSpan w:val="2"/>
            <w:shd w:val="clear" w:color="auto" w:fill="E6E6E6"/>
            <w:noWrap/>
            <w:vAlign w:val="center"/>
          </w:tcPr>
          <w:p w14:paraId="73E256D2"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Site</w:t>
            </w:r>
          </w:p>
        </w:tc>
        <w:tc>
          <w:tcPr>
            <w:tcW w:w="0" w:type="auto"/>
            <w:gridSpan w:val="2"/>
            <w:shd w:val="clear" w:color="auto" w:fill="E6E6E6"/>
            <w:noWrap/>
            <w:vAlign w:val="center"/>
          </w:tcPr>
          <w:p w14:paraId="4D29A508"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Latitude</w:t>
            </w:r>
          </w:p>
        </w:tc>
        <w:tc>
          <w:tcPr>
            <w:tcW w:w="0" w:type="auto"/>
            <w:gridSpan w:val="2"/>
            <w:shd w:val="clear" w:color="auto" w:fill="E6E6E6"/>
            <w:noWrap/>
            <w:vAlign w:val="center"/>
          </w:tcPr>
          <w:p w14:paraId="51AD0FBA" w14:textId="77777777" w:rsidR="00A22105" w:rsidRPr="009465B0" w:rsidRDefault="00A22105" w:rsidP="00CC5A54">
            <w:pPr>
              <w:spacing w:before="0" w:after="0" w:line="240" w:lineRule="auto"/>
              <w:contextualSpacing/>
              <w:jc w:val="center"/>
              <w:rPr>
                <w:rFonts w:cs="Arial"/>
                <w:b/>
                <w:bCs/>
                <w:color w:val="000000"/>
                <w:sz w:val="20"/>
                <w:szCs w:val="20"/>
              </w:rPr>
            </w:pPr>
            <w:r w:rsidRPr="009465B0">
              <w:rPr>
                <w:rFonts w:cs="Arial"/>
                <w:b/>
                <w:bCs/>
                <w:color w:val="000000"/>
                <w:sz w:val="20"/>
                <w:szCs w:val="20"/>
              </w:rPr>
              <w:t>Longitude</w:t>
            </w:r>
          </w:p>
        </w:tc>
        <w:tc>
          <w:tcPr>
            <w:tcW w:w="0" w:type="auto"/>
            <w:shd w:val="clear" w:color="auto" w:fill="E6E6E6"/>
            <w:noWrap/>
            <w:vAlign w:val="center"/>
          </w:tcPr>
          <w:p w14:paraId="77413B04" w14:textId="77777777" w:rsidR="00A22105" w:rsidRPr="009465B0" w:rsidRDefault="00A22105" w:rsidP="00CC5A54">
            <w:pPr>
              <w:spacing w:before="0" w:after="0" w:line="240" w:lineRule="auto"/>
              <w:contextualSpacing/>
              <w:jc w:val="center"/>
              <w:rPr>
                <w:rFonts w:cs="Arial"/>
                <w:b/>
                <w:color w:val="000000"/>
                <w:sz w:val="20"/>
                <w:szCs w:val="20"/>
              </w:rPr>
            </w:pPr>
            <w:r w:rsidRPr="009465B0">
              <w:rPr>
                <w:rFonts w:cs="Arial"/>
                <w:b/>
                <w:color w:val="000000"/>
                <w:sz w:val="20"/>
                <w:szCs w:val="20"/>
              </w:rPr>
              <w:t>Seagrass community type</w:t>
            </w:r>
          </w:p>
        </w:tc>
      </w:tr>
      <w:tr w:rsidR="00A22105" w:rsidRPr="009465B0" w14:paraId="07E7C728" w14:textId="77777777" w:rsidTr="00A374A1">
        <w:trPr>
          <w:trHeight w:val="170"/>
          <w:jc w:val="center"/>
        </w:trPr>
        <w:tc>
          <w:tcPr>
            <w:tcW w:w="0" w:type="auto"/>
            <w:vMerge w:val="restart"/>
            <w:shd w:val="clear" w:color="auto" w:fill="auto"/>
            <w:noWrap/>
            <w:vAlign w:val="center"/>
          </w:tcPr>
          <w:p w14:paraId="44C39912"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Far Northern</w:t>
            </w:r>
          </w:p>
        </w:tc>
        <w:tc>
          <w:tcPr>
            <w:tcW w:w="0" w:type="auto"/>
            <w:vMerge w:val="restart"/>
            <w:shd w:val="clear" w:color="auto" w:fill="E7F3F4"/>
            <w:noWrap/>
            <w:vAlign w:val="center"/>
          </w:tcPr>
          <w:p w14:paraId="1ED41910"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Cape York</w:t>
            </w:r>
          </w:p>
        </w:tc>
        <w:tc>
          <w:tcPr>
            <w:tcW w:w="0" w:type="auto"/>
            <w:vMerge w:val="restart"/>
            <w:shd w:val="clear" w:color="auto" w:fill="E7F3F4"/>
            <w:vAlign w:val="center"/>
          </w:tcPr>
          <w:p w14:paraId="49D24644"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Lockhart</w:t>
            </w:r>
          </w:p>
        </w:tc>
        <w:tc>
          <w:tcPr>
            <w:tcW w:w="0" w:type="auto"/>
            <w:shd w:val="clear" w:color="auto" w:fill="E7F3F4"/>
            <w:noWrap/>
            <w:vAlign w:val="center"/>
          </w:tcPr>
          <w:p w14:paraId="22DE752C" w14:textId="77777777" w:rsidR="00A22105" w:rsidRPr="00C02655" w:rsidRDefault="00A22105" w:rsidP="00CC5A54">
            <w:pPr>
              <w:spacing w:before="0" w:after="0" w:line="240" w:lineRule="auto"/>
              <w:contextualSpacing/>
              <w:jc w:val="center"/>
              <w:rPr>
                <w:rFonts w:cs="Arial"/>
                <w:color w:val="000000"/>
                <w:sz w:val="20"/>
                <w:szCs w:val="20"/>
              </w:rPr>
            </w:pPr>
            <w:r w:rsidRPr="00C02655">
              <w:rPr>
                <w:rFonts w:cs="Arial"/>
                <w:color w:val="000000"/>
                <w:sz w:val="20"/>
                <w:szCs w:val="20"/>
              </w:rPr>
              <w:t>Weymouth Bay</w:t>
            </w:r>
          </w:p>
          <w:p w14:paraId="4B41E3FD" w14:textId="77777777" w:rsidR="00A22105" w:rsidRPr="00C02655" w:rsidRDefault="00A22105" w:rsidP="00CC5A54">
            <w:pPr>
              <w:spacing w:before="0" w:after="0" w:line="240" w:lineRule="auto"/>
              <w:contextualSpacing/>
              <w:jc w:val="center"/>
              <w:rPr>
                <w:rFonts w:cs="Arial"/>
                <w:i/>
                <w:color w:val="000000"/>
                <w:sz w:val="20"/>
                <w:szCs w:val="20"/>
              </w:rPr>
            </w:pPr>
            <w:r w:rsidRPr="00C02655">
              <w:rPr>
                <w:rFonts w:cs="Arial"/>
                <w:i/>
                <w:color w:val="000000"/>
                <w:sz w:val="20"/>
                <w:szCs w:val="20"/>
              </w:rPr>
              <w:t>reef</w:t>
            </w:r>
          </w:p>
        </w:tc>
        <w:tc>
          <w:tcPr>
            <w:tcW w:w="0" w:type="auto"/>
            <w:shd w:val="clear" w:color="auto" w:fill="E7F3F4"/>
            <w:noWrap/>
            <w:vAlign w:val="center"/>
          </w:tcPr>
          <w:p w14:paraId="39D433EE" w14:textId="77777777" w:rsidR="00A22105" w:rsidRPr="00CB5AB9" w:rsidRDefault="00A22105" w:rsidP="00CC5A54">
            <w:pPr>
              <w:spacing w:before="0" w:after="0" w:line="240" w:lineRule="auto"/>
              <w:contextualSpacing/>
              <w:jc w:val="center"/>
              <w:rPr>
                <w:sz w:val="20"/>
                <w:szCs w:val="20"/>
              </w:rPr>
            </w:pPr>
            <w:r>
              <w:rPr>
                <w:sz w:val="20"/>
                <w:szCs w:val="20"/>
              </w:rPr>
              <w:t>YY1*</w:t>
            </w:r>
          </w:p>
        </w:tc>
        <w:tc>
          <w:tcPr>
            <w:tcW w:w="0" w:type="auto"/>
            <w:shd w:val="clear" w:color="auto" w:fill="E7F3F4"/>
            <w:noWrap/>
            <w:vAlign w:val="center"/>
          </w:tcPr>
          <w:p w14:paraId="1CD91531" w14:textId="77777777" w:rsidR="00A22105" w:rsidRPr="00CB5AB9" w:rsidRDefault="00A22105" w:rsidP="00CC5A54">
            <w:pPr>
              <w:spacing w:before="0" w:after="0" w:line="240" w:lineRule="auto"/>
              <w:contextualSpacing/>
              <w:jc w:val="center"/>
              <w:rPr>
                <w:sz w:val="20"/>
                <w:szCs w:val="20"/>
              </w:rPr>
            </w:pPr>
            <w:r w:rsidRPr="00C02655">
              <w:rPr>
                <w:sz w:val="20"/>
                <w:szCs w:val="20"/>
              </w:rPr>
              <w:t>Yum Yum Bch</w:t>
            </w:r>
          </w:p>
        </w:tc>
        <w:tc>
          <w:tcPr>
            <w:tcW w:w="0" w:type="auto"/>
            <w:shd w:val="clear" w:color="auto" w:fill="E7F3F4"/>
            <w:noWrap/>
            <w:vAlign w:val="center"/>
          </w:tcPr>
          <w:p w14:paraId="4F0EC993" w14:textId="77777777" w:rsidR="00A22105" w:rsidRPr="00CB5AB9" w:rsidRDefault="00A22105" w:rsidP="00CC5A54">
            <w:pPr>
              <w:spacing w:before="0" w:after="0" w:line="240" w:lineRule="auto"/>
              <w:contextualSpacing/>
              <w:jc w:val="center"/>
              <w:rPr>
                <w:sz w:val="20"/>
                <w:szCs w:val="20"/>
              </w:rPr>
            </w:pPr>
            <w:r w:rsidRPr="00C02655">
              <w:rPr>
                <w:sz w:val="20"/>
                <w:szCs w:val="20"/>
              </w:rPr>
              <w:t>12°</w:t>
            </w:r>
          </w:p>
        </w:tc>
        <w:tc>
          <w:tcPr>
            <w:tcW w:w="0" w:type="auto"/>
            <w:shd w:val="clear" w:color="auto" w:fill="E7F3F4"/>
            <w:noWrap/>
            <w:vAlign w:val="center"/>
          </w:tcPr>
          <w:p w14:paraId="0557DEE7" w14:textId="77777777" w:rsidR="00A22105" w:rsidRPr="00CB5AB9" w:rsidRDefault="00A22105" w:rsidP="00CC5A54">
            <w:pPr>
              <w:spacing w:before="0" w:after="0" w:line="240" w:lineRule="auto"/>
              <w:contextualSpacing/>
              <w:jc w:val="center"/>
              <w:rPr>
                <w:sz w:val="20"/>
                <w:szCs w:val="20"/>
              </w:rPr>
            </w:pPr>
            <w:r w:rsidRPr="00C02655">
              <w:rPr>
                <w:sz w:val="20"/>
                <w:szCs w:val="20"/>
              </w:rPr>
              <w:t>34.247</w:t>
            </w:r>
          </w:p>
        </w:tc>
        <w:tc>
          <w:tcPr>
            <w:tcW w:w="0" w:type="auto"/>
            <w:shd w:val="clear" w:color="auto" w:fill="E7F3F4"/>
            <w:noWrap/>
            <w:vAlign w:val="center"/>
          </w:tcPr>
          <w:p w14:paraId="170EF6DF" w14:textId="77777777" w:rsidR="00A22105" w:rsidRPr="00CB5AB9" w:rsidRDefault="00A22105" w:rsidP="00CC5A54">
            <w:pPr>
              <w:spacing w:before="0" w:after="0" w:line="240" w:lineRule="auto"/>
              <w:contextualSpacing/>
              <w:jc w:val="center"/>
              <w:rPr>
                <w:sz w:val="20"/>
                <w:szCs w:val="20"/>
              </w:rPr>
            </w:pPr>
            <w:r w:rsidRPr="00C02655">
              <w:rPr>
                <w:sz w:val="20"/>
                <w:szCs w:val="20"/>
              </w:rPr>
              <w:t>143°</w:t>
            </w:r>
          </w:p>
        </w:tc>
        <w:tc>
          <w:tcPr>
            <w:tcW w:w="0" w:type="auto"/>
            <w:shd w:val="clear" w:color="auto" w:fill="E7F3F4"/>
            <w:noWrap/>
            <w:vAlign w:val="center"/>
          </w:tcPr>
          <w:p w14:paraId="34219045" w14:textId="77777777" w:rsidR="00A22105" w:rsidRPr="00CB5AB9" w:rsidRDefault="00A22105" w:rsidP="00CC5A54">
            <w:pPr>
              <w:spacing w:before="0" w:after="0" w:line="240" w:lineRule="auto"/>
              <w:contextualSpacing/>
              <w:jc w:val="center"/>
              <w:rPr>
                <w:sz w:val="20"/>
                <w:szCs w:val="20"/>
              </w:rPr>
            </w:pPr>
            <w:r w:rsidRPr="00C02655">
              <w:rPr>
                <w:sz w:val="20"/>
                <w:szCs w:val="20"/>
              </w:rPr>
              <w:t>21.639</w:t>
            </w:r>
          </w:p>
        </w:tc>
        <w:tc>
          <w:tcPr>
            <w:tcW w:w="0" w:type="auto"/>
            <w:shd w:val="clear" w:color="auto" w:fill="E7F3F4"/>
            <w:noWrap/>
            <w:vAlign w:val="center"/>
          </w:tcPr>
          <w:p w14:paraId="06A876F2" w14:textId="77777777" w:rsidR="00A22105" w:rsidRPr="00C02655" w:rsidRDefault="00A22105" w:rsidP="00CC5A54">
            <w:pPr>
              <w:spacing w:before="0" w:after="0" w:line="240" w:lineRule="auto"/>
              <w:contextualSpacing/>
              <w:jc w:val="center"/>
              <w:rPr>
                <w:sz w:val="20"/>
                <w:szCs w:val="20"/>
              </w:rPr>
            </w:pPr>
            <w:r w:rsidRPr="00CB5AB9">
              <w:rPr>
                <w:rFonts w:cs="Arial"/>
                <w:i/>
                <w:color w:val="000000"/>
                <w:sz w:val="20"/>
                <w:szCs w:val="20"/>
              </w:rPr>
              <w:t>H. uninervis</w:t>
            </w:r>
            <w:r>
              <w:rPr>
                <w:rFonts w:cs="Arial"/>
                <w:i/>
                <w:color w:val="000000"/>
                <w:sz w:val="20"/>
                <w:szCs w:val="20"/>
              </w:rPr>
              <w:t xml:space="preserve"> </w:t>
            </w:r>
            <w:r w:rsidRPr="00CB5AB9">
              <w:rPr>
                <w:rFonts w:cs="Arial"/>
                <w:i/>
                <w:color w:val="000000"/>
                <w:sz w:val="20"/>
                <w:szCs w:val="20"/>
              </w:rPr>
              <w:t>/</w:t>
            </w:r>
            <w:r>
              <w:rPr>
                <w:rFonts w:cs="Arial"/>
                <w:i/>
                <w:color w:val="000000"/>
                <w:sz w:val="20"/>
                <w:szCs w:val="20"/>
              </w:rPr>
              <w:t xml:space="preserve"> C. rotundata / </w:t>
            </w:r>
            <w:r w:rsidRPr="003B3E71">
              <w:rPr>
                <w:rFonts w:cs="Arial"/>
                <w:i/>
                <w:color w:val="000000"/>
                <w:sz w:val="20"/>
                <w:szCs w:val="20"/>
              </w:rPr>
              <w:t>T. hemprichii</w:t>
            </w:r>
            <w:r>
              <w:rPr>
                <w:rFonts w:cs="Arial"/>
                <w:i/>
                <w:color w:val="000000"/>
                <w:sz w:val="20"/>
                <w:szCs w:val="20"/>
              </w:rPr>
              <w:t xml:space="preserve"> with </w:t>
            </w:r>
            <w:r w:rsidRPr="00CB5AB9">
              <w:rPr>
                <w:rFonts w:cs="Arial"/>
                <w:i/>
                <w:color w:val="000000"/>
                <w:sz w:val="20"/>
                <w:szCs w:val="20"/>
              </w:rPr>
              <w:t>H. ovalis</w:t>
            </w:r>
          </w:p>
        </w:tc>
      </w:tr>
      <w:tr w:rsidR="00A22105" w:rsidRPr="009465B0" w14:paraId="4AC4E9E1" w14:textId="77777777" w:rsidTr="00A374A1">
        <w:trPr>
          <w:trHeight w:val="170"/>
          <w:jc w:val="center"/>
        </w:trPr>
        <w:tc>
          <w:tcPr>
            <w:tcW w:w="0" w:type="auto"/>
            <w:vMerge/>
            <w:shd w:val="clear" w:color="auto" w:fill="auto"/>
            <w:noWrap/>
            <w:vAlign w:val="center"/>
          </w:tcPr>
          <w:p w14:paraId="61D00792"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noWrap/>
            <w:vAlign w:val="center"/>
          </w:tcPr>
          <w:p w14:paraId="04BF552B"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vAlign w:val="center"/>
          </w:tcPr>
          <w:p w14:paraId="3B330007"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val="restart"/>
            <w:shd w:val="clear" w:color="auto" w:fill="E7F3F4"/>
            <w:noWrap/>
            <w:vAlign w:val="center"/>
          </w:tcPr>
          <w:p w14:paraId="2E94E93B"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Lloyd Bay</w:t>
            </w:r>
          </w:p>
          <w:p w14:paraId="21C44A5C" w14:textId="77777777" w:rsidR="00A22105" w:rsidRPr="009465B0" w:rsidRDefault="00A22105" w:rsidP="00CC5A54">
            <w:pPr>
              <w:spacing w:before="0" w:after="0" w:line="240" w:lineRule="auto"/>
              <w:contextualSpacing/>
              <w:jc w:val="center"/>
              <w:rPr>
                <w:rFonts w:cs="Arial"/>
                <w:i/>
                <w:color w:val="000000"/>
                <w:sz w:val="20"/>
                <w:szCs w:val="20"/>
              </w:rPr>
            </w:pPr>
            <w:r w:rsidRPr="009465B0">
              <w:rPr>
                <w:rFonts w:cs="Arial"/>
                <w:i/>
                <w:color w:val="000000"/>
                <w:sz w:val="20"/>
                <w:szCs w:val="20"/>
              </w:rPr>
              <w:t>coastal</w:t>
            </w:r>
          </w:p>
        </w:tc>
        <w:tc>
          <w:tcPr>
            <w:tcW w:w="0" w:type="auto"/>
            <w:shd w:val="clear" w:color="auto" w:fill="E7F3F4"/>
            <w:noWrap/>
            <w:vAlign w:val="center"/>
          </w:tcPr>
          <w:p w14:paraId="026581AB"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LR1^</w:t>
            </w:r>
          </w:p>
        </w:tc>
        <w:tc>
          <w:tcPr>
            <w:tcW w:w="0" w:type="auto"/>
            <w:shd w:val="clear" w:color="auto" w:fill="E7F3F4"/>
            <w:noWrap/>
            <w:vAlign w:val="center"/>
          </w:tcPr>
          <w:p w14:paraId="0B2C3339"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Lloyd Bay</w:t>
            </w:r>
          </w:p>
        </w:tc>
        <w:tc>
          <w:tcPr>
            <w:tcW w:w="0" w:type="auto"/>
            <w:shd w:val="clear" w:color="auto" w:fill="E7F3F4"/>
            <w:noWrap/>
            <w:vAlign w:val="center"/>
          </w:tcPr>
          <w:p w14:paraId="39B5CABB"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12°</w:t>
            </w:r>
          </w:p>
        </w:tc>
        <w:tc>
          <w:tcPr>
            <w:tcW w:w="0" w:type="auto"/>
            <w:shd w:val="clear" w:color="auto" w:fill="E7F3F4"/>
            <w:noWrap/>
            <w:vAlign w:val="center"/>
          </w:tcPr>
          <w:p w14:paraId="0E2F3B2C"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47.788</w:t>
            </w:r>
          </w:p>
        </w:tc>
        <w:tc>
          <w:tcPr>
            <w:tcW w:w="0" w:type="auto"/>
            <w:shd w:val="clear" w:color="auto" w:fill="E7F3F4"/>
            <w:noWrap/>
            <w:vAlign w:val="center"/>
          </w:tcPr>
          <w:p w14:paraId="44FDC9F8"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143°</w:t>
            </w:r>
          </w:p>
        </w:tc>
        <w:tc>
          <w:tcPr>
            <w:tcW w:w="0" w:type="auto"/>
            <w:shd w:val="clear" w:color="auto" w:fill="E7F3F4"/>
            <w:noWrap/>
            <w:vAlign w:val="center"/>
          </w:tcPr>
          <w:p w14:paraId="573A17C4"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29.117</w:t>
            </w:r>
          </w:p>
        </w:tc>
        <w:tc>
          <w:tcPr>
            <w:tcW w:w="0" w:type="auto"/>
            <w:vMerge w:val="restart"/>
            <w:shd w:val="clear" w:color="auto" w:fill="E7F3F4"/>
            <w:noWrap/>
            <w:vAlign w:val="center"/>
          </w:tcPr>
          <w:p w14:paraId="6AAEB0E3" w14:textId="77777777" w:rsidR="00A22105" w:rsidRPr="00CB5AB9" w:rsidRDefault="00A22105" w:rsidP="00CC5A54">
            <w:pPr>
              <w:spacing w:before="0" w:after="0" w:line="240" w:lineRule="auto"/>
              <w:contextualSpacing/>
              <w:jc w:val="center"/>
              <w:rPr>
                <w:rFonts w:cs="Arial"/>
                <w:i/>
                <w:color w:val="000000"/>
                <w:sz w:val="20"/>
                <w:szCs w:val="20"/>
              </w:rPr>
            </w:pPr>
            <w:r w:rsidRPr="00435202">
              <w:rPr>
                <w:rFonts w:cs="Arial"/>
                <w:i/>
                <w:color w:val="000000"/>
                <w:sz w:val="20"/>
                <w:szCs w:val="20"/>
              </w:rPr>
              <w:t>H. uninervis</w:t>
            </w:r>
            <w:r>
              <w:rPr>
                <w:rFonts w:cs="Arial"/>
                <w:i/>
                <w:color w:val="000000"/>
                <w:sz w:val="20"/>
                <w:szCs w:val="20"/>
              </w:rPr>
              <w:t xml:space="preserve"> / </w:t>
            </w:r>
            <w:r w:rsidRPr="00CB5AB9">
              <w:rPr>
                <w:rFonts w:cs="Arial"/>
                <w:i/>
                <w:color w:val="000000"/>
                <w:sz w:val="20"/>
                <w:szCs w:val="20"/>
              </w:rPr>
              <w:t xml:space="preserve">H. ovalis with </w:t>
            </w:r>
            <w:r>
              <w:rPr>
                <w:rFonts w:cs="Arial"/>
                <w:i/>
                <w:color w:val="000000"/>
                <w:sz w:val="20"/>
                <w:szCs w:val="20"/>
              </w:rPr>
              <w:t>H. spinulosa</w:t>
            </w:r>
          </w:p>
        </w:tc>
      </w:tr>
      <w:tr w:rsidR="00A22105" w:rsidRPr="009465B0" w14:paraId="3ABD6025" w14:textId="77777777" w:rsidTr="00A374A1">
        <w:trPr>
          <w:trHeight w:val="170"/>
          <w:jc w:val="center"/>
        </w:trPr>
        <w:tc>
          <w:tcPr>
            <w:tcW w:w="0" w:type="auto"/>
            <w:vMerge/>
            <w:shd w:val="clear" w:color="auto" w:fill="auto"/>
            <w:noWrap/>
            <w:vAlign w:val="center"/>
          </w:tcPr>
          <w:p w14:paraId="7F4D286A"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noWrap/>
            <w:vAlign w:val="center"/>
          </w:tcPr>
          <w:p w14:paraId="4E1455E1"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vAlign w:val="center"/>
          </w:tcPr>
          <w:p w14:paraId="7D2F7DD0"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noWrap/>
            <w:vAlign w:val="center"/>
          </w:tcPr>
          <w:p w14:paraId="21FA960A"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shd w:val="clear" w:color="auto" w:fill="E7F3F4"/>
            <w:noWrap/>
            <w:vAlign w:val="center"/>
          </w:tcPr>
          <w:p w14:paraId="255AD2AE"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LR2^</w:t>
            </w:r>
          </w:p>
        </w:tc>
        <w:tc>
          <w:tcPr>
            <w:tcW w:w="0" w:type="auto"/>
            <w:shd w:val="clear" w:color="auto" w:fill="E7F3F4"/>
            <w:noWrap/>
            <w:vAlign w:val="center"/>
          </w:tcPr>
          <w:p w14:paraId="285116E8"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Lloyd Bay</w:t>
            </w:r>
          </w:p>
        </w:tc>
        <w:tc>
          <w:tcPr>
            <w:tcW w:w="0" w:type="auto"/>
            <w:shd w:val="clear" w:color="auto" w:fill="E7F3F4"/>
            <w:noWrap/>
            <w:vAlign w:val="center"/>
          </w:tcPr>
          <w:p w14:paraId="49E896E0"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12°</w:t>
            </w:r>
          </w:p>
        </w:tc>
        <w:tc>
          <w:tcPr>
            <w:tcW w:w="0" w:type="auto"/>
            <w:shd w:val="clear" w:color="auto" w:fill="E7F3F4"/>
            <w:noWrap/>
            <w:vAlign w:val="center"/>
          </w:tcPr>
          <w:p w14:paraId="7AF0EBFC"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49.488</w:t>
            </w:r>
          </w:p>
        </w:tc>
        <w:tc>
          <w:tcPr>
            <w:tcW w:w="0" w:type="auto"/>
            <w:shd w:val="clear" w:color="auto" w:fill="E7F3F4"/>
            <w:noWrap/>
            <w:vAlign w:val="center"/>
          </w:tcPr>
          <w:p w14:paraId="079A0FDF"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143°</w:t>
            </w:r>
          </w:p>
        </w:tc>
        <w:tc>
          <w:tcPr>
            <w:tcW w:w="0" w:type="auto"/>
            <w:shd w:val="clear" w:color="auto" w:fill="E7F3F4"/>
            <w:noWrap/>
            <w:vAlign w:val="center"/>
          </w:tcPr>
          <w:p w14:paraId="3C5F9216"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28.500</w:t>
            </w:r>
          </w:p>
        </w:tc>
        <w:tc>
          <w:tcPr>
            <w:tcW w:w="0" w:type="auto"/>
            <w:vMerge/>
            <w:shd w:val="clear" w:color="auto" w:fill="E7F3F4"/>
            <w:noWrap/>
            <w:vAlign w:val="center"/>
          </w:tcPr>
          <w:p w14:paraId="3974390C"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6095D11E" w14:textId="77777777" w:rsidTr="00A374A1">
        <w:trPr>
          <w:trHeight w:val="170"/>
          <w:jc w:val="center"/>
        </w:trPr>
        <w:tc>
          <w:tcPr>
            <w:tcW w:w="0" w:type="auto"/>
            <w:vMerge/>
            <w:shd w:val="clear" w:color="auto" w:fill="auto"/>
            <w:noWrap/>
            <w:vAlign w:val="center"/>
          </w:tcPr>
          <w:p w14:paraId="0E1E3CAB"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noWrap/>
            <w:vAlign w:val="center"/>
          </w:tcPr>
          <w:p w14:paraId="390A1BB4"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val="restart"/>
            <w:shd w:val="clear" w:color="auto" w:fill="E7F3F4"/>
            <w:vAlign w:val="center"/>
          </w:tcPr>
          <w:p w14:paraId="53D588FA" w14:textId="77777777" w:rsidR="00A22105" w:rsidRPr="009465B0" w:rsidRDefault="00A22105" w:rsidP="00CC5A54">
            <w:pPr>
              <w:spacing w:before="0" w:after="0" w:line="240" w:lineRule="auto"/>
              <w:contextualSpacing/>
              <w:jc w:val="center"/>
              <w:rPr>
                <w:rFonts w:cs="Arial"/>
                <w:color w:val="000000"/>
                <w:sz w:val="20"/>
                <w:szCs w:val="20"/>
              </w:rPr>
            </w:pPr>
            <w:r w:rsidRPr="00C02655">
              <w:rPr>
                <w:rFonts w:cs="Arial"/>
                <w:color w:val="000000"/>
                <w:sz w:val="20"/>
                <w:szCs w:val="20"/>
              </w:rPr>
              <w:t>Normanby / Jeannie</w:t>
            </w:r>
          </w:p>
        </w:tc>
        <w:tc>
          <w:tcPr>
            <w:tcW w:w="0" w:type="auto"/>
            <w:vMerge w:val="restart"/>
            <w:shd w:val="clear" w:color="auto" w:fill="E7F3F4"/>
            <w:noWrap/>
            <w:vAlign w:val="center"/>
          </w:tcPr>
          <w:p w14:paraId="41F4CEB0" w14:textId="77777777" w:rsidR="00A22105" w:rsidRPr="00C02655" w:rsidRDefault="00A22105" w:rsidP="00CC5A54">
            <w:pPr>
              <w:spacing w:before="0" w:after="0" w:line="240" w:lineRule="auto"/>
              <w:contextualSpacing/>
              <w:jc w:val="center"/>
              <w:rPr>
                <w:rFonts w:cs="Arial"/>
                <w:color w:val="000000"/>
                <w:sz w:val="20"/>
                <w:szCs w:val="20"/>
              </w:rPr>
            </w:pPr>
            <w:r w:rsidRPr="00C02655">
              <w:rPr>
                <w:rFonts w:cs="Arial"/>
                <w:color w:val="000000"/>
                <w:sz w:val="20"/>
                <w:szCs w:val="20"/>
              </w:rPr>
              <w:t>Flinders Group</w:t>
            </w:r>
          </w:p>
          <w:p w14:paraId="67AA170B" w14:textId="77777777" w:rsidR="00A22105" w:rsidRPr="00C02655" w:rsidRDefault="00A22105" w:rsidP="00CC5A54">
            <w:pPr>
              <w:spacing w:before="0" w:after="0" w:line="240" w:lineRule="auto"/>
              <w:contextualSpacing/>
              <w:jc w:val="center"/>
              <w:rPr>
                <w:rFonts w:cs="Arial"/>
                <w:i/>
                <w:color w:val="000000"/>
                <w:sz w:val="20"/>
                <w:szCs w:val="20"/>
              </w:rPr>
            </w:pPr>
            <w:r w:rsidRPr="00C02655">
              <w:rPr>
                <w:rFonts w:cs="Arial"/>
                <w:i/>
                <w:color w:val="000000"/>
                <w:sz w:val="20"/>
                <w:szCs w:val="20"/>
              </w:rPr>
              <w:t>reef</w:t>
            </w:r>
          </w:p>
        </w:tc>
        <w:tc>
          <w:tcPr>
            <w:tcW w:w="0" w:type="auto"/>
            <w:shd w:val="clear" w:color="auto" w:fill="E7F3F4"/>
            <w:noWrap/>
            <w:vAlign w:val="center"/>
          </w:tcPr>
          <w:p w14:paraId="0342EA6D" w14:textId="77777777" w:rsidR="00A22105" w:rsidRPr="00CB5AB9" w:rsidRDefault="00A22105" w:rsidP="00CC5A54">
            <w:pPr>
              <w:spacing w:before="0" w:after="0" w:line="240" w:lineRule="auto"/>
              <w:contextualSpacing/>
              <w:jc w:val="center"/>
              <w:rPr>
                <w:sz w:val="20"/>
                <w:szCs w:val="20"/>
              </w:rPr>
            </w:pPr>
            <w:r w:rsidRPr="00C02655">
              <w:rPr>
                <w:sz w:val="20"/>
                <w:szCs w:val="20"/>
              </w:rPr>
              <w:t>FG1^</w:t>
            </w:r>
          </w:p>
        </w:tc>
        <w:tc>
          <w:tcPr>
            <w:tcW w:w="0" w:type="auto"/>
            <w:shd w:val="clear" w:color="auto" w:fill="E7F3F4"/>
            <w:noWrap/>
            <w:vAlign w:val="center"/>
          </w:tcPr>
          <w:p w14:paraId="3927FA84" w14:textId="77777777" w:rsidR="00A22105" w:rsidRPr="00CB5AB9" w:rsidRDefault="00A22105" w:rsidP="00CC5A54">
            <w:pPr>
              <w:spacing w:before="0" w:after="0" w:line="240" w:lineRule="auto"/>
              <w:contextualSpacing/>
              <w:jc w:val="center"/>
              <w:rPr>
                <w:sz w:val="20"/>
                <w:szCs w:val="20"/>
              </w:rPr>
            </w:pPr>
            <w:r w:rsidRPr="00C02655">
              <w:rPr>
                <w:sz w:val="20"/>
                <w:szCs w:val="20"/>
              </w:rPr>
              <w:t>Flinders Island</w:t>
            </w:r>
          </w:p>
        </w:tc>
        <w:tc>
          <w:tcPr>
            <w:tcW w:w="0" w:type="auto"/>
            <w:shd w:val="clear" w:color="auto" w:fill="E7F3F4"/>
            <w:noWrap/>
            <w:vAlign w:val="center"/>
          </w:tcPr>
          <w:p w14:paraId="4DC26628" w14:textId="77777777" w:rsidR="00A22105" w:rsidRPr="00CB5AB9" w:rsidRDefault="00A22105" w:rsidP="00CC5A54">
            <w:pPr>
              <w:spacing w:before="0" w:after="0" w:line="240" w:lineRule="auto"/>
              <w:contextualSpacing/>
              <w:jc w:val="center"/>
              <w:rPr>
                <w:sz w:val="20"/>
                <w:szCs w:val="20"/>
              </w:rPr>
            </w:pPr>
            <w:r w:rsidRPr="00C02655">
              <w:rPr>
                <w:sz w:val="20"/>
                <w:szCs w:val="20"/>
              </w:rPr>
              <w:t>14°</w:t>
            </w:r>
          </w:p>
        </w:tc>
        <w:tc>
          <w:tcPr>
            <w:tcW w:w="0" w:type="auto"/>
            <w:shd w:val="clear" w:color="auto" w:fill="E7F3F4"/>
            <w:noWrap/>
            <w:vAlign w:val="center"/>
          </w:tcPr>
          <w:p w14:paraId="35D5F2F6" w14:textId="77777777" w:rsidR="00A22105" w:rsidRPr="00CB5AB9" w:rsidRDefault="00A22105" w:rsidP="00CC5A54">
            <w:pPr>
              <w:spacing w:before="0" w:after="0" w:line="240" w:lineRule="auto"/>
              <w:contextualSpacing/>
              <w:jc w:val="center"/>
              <w:rPr>
                <w:sz w:val="20"/>
                <w:szCs w:val="20"/>
              </w:rPr>
            </w:pPr>
            <w:r w:rsidRPr="00C02655">
              <w:rPr>
                <w:sz w:val="20"/>
                <w:szCs w:val="20"/>
              </w:rPr>
              <w:t>10.9464</w:t>
            </w:r>
          </w:p>
        </w:tc>
        <w:tc>
          <w:tcPr>
            <w:tcW w:w="0" w:type="auto"/>
            <w:shd w:val="clear" w:color="auto" w:fill="E7F3F4"/>
            <w:noWrap/>
            <w:vAlign w:val="center"/>
          </w:tcPr>
          <w:p w14:paraId="6BD68674" w14:textId="77777777" w:rsidR="00A22105" w:rsidRPr="00CB5AB9" w:rsidRDefault="00A22105" w:rsidP="00CC5A54">
            <w:pPr>
              <w:spacing w:before="0" w:after="0" w:line="240" w:lineRule="auto"/>
              <w:contextualSpacing/>
              <w:jc w:val="center"/>
              <w:rPr>
                <w:sz w:val="20"/>
                <w:szCs w:val="20"/>
              </w:rPr>
            </w:pPr>
            <w:r w:rsidRPr="00C02655">
              <w:rPr>
                <w:sz w:val="20"/>
                <w:szCs w:val="20"/>
              </w:rPr>
              <w:t>144°</w:t>
            </w:r>
          </w:p>
        </w:tc>
        <w:tc>
          <w:tcPr>
            <w:tcW w:w="0" w:type="auto"/>
            <w:shd w:val="clear" w:color="auto" w:fill="E7F3F4"/>
            <w:noWrap/>
            <w:vAlign w:val="center"/>
          </w:tcPr>
          <w:p w14:paraId="1FF10E19" w14:textId="77777777" w:rsidR="00A22105" w:rsidRPr="00CB5AB9" w:rsidRDefault="00A22105" w:rsidP="00CC5A54">
            <w:pPr>
              <w:spacing w:before="0" w:after="0" w:line="240" w:lineRule="auto"/>
              <w:contextualSpacing/>
              <w:jc w:val="center"/>
              <w:rPr>
                <w:sz w:val="20"/>
                <w:szCs w:val="20"/>
              </w:rPr>
            </w:pPr>
            <w:r w:rsidRPr="00C02655">
              <w:rPr>
                <w:sz w:val="20"/>
                <w:szCs w:val="20"/>
              </w:rPr>
              <w:t>13.522</w:t>
            </w:r>
          </w:p>
        </w:tc>
        <w:tc>
          <w:tcPr>
            <w:tcW w:w="0" w:type="auto"/>
            <w:vMerge w:val="restart"/>
            <w:shd w:val="clear" w:color="auto" w:fill="E7F3F4"/>
            <w:noWrap/>
            <w:vAlign w:val="center"/>
          </w:tcPr>
          <w:p w14:paraId="7DB69598" w14:textId="77777777" w:rsidR="00A22105" w:rsidRPr="00CB5AB9" w:rsidRDefault="00A22105" w:rsidP="00CC5A54">
            <w:pPr>
              <w:spacing w:before="0" w:after="0" w:line="240" w:lineRule="auto"/>
              <w:contextualSpacing/>
              <w:jc w:val="center"/>
              <w:rPr>
                <w:rFonts w:cs="Arial"/>
                <w:i/>
                <w:color w:val="000000"/>
                <w:sz w:val="20"/>
                <w:szCs w:val="20"/>
              </w:rPr>
            </w:pPr>
            <w:r w:rsidRPr="00435202">
              <w:rPr>
                <w:rFonts w:cs="Arial"/>
                <w:i/>
                <w:color w:val="000000"/>
                <w:sz w:val="20"/>
                <w:szCs w:val="20"/>
              </w:rPr>
              <w:t>H. uninervis</w:t>
            </w:r>
            <w:r>
              <w:rPr>
                <w:rFonts w:cs="Arial"/>
                <w:i/>
                <w:color w:val="000000"/>
                <w:sz w:val="20"/>
                <w:szCs w:val="20"/>
              </w:rPr>
              <w:t xml:space="preserve"> / </w:t>
            </w:r>
            <w:r w:rsidRPr="00CB5AB9">
              <w:rPr>
                <w:rFonts w:cs="Arial"/>
                <w:i/>
                <w:color w:val="000000"/>
                <w:sz w:val="20"/>
                <w:szCs w:val="20"/>
              </w:rPr>
              <w:t xml:space="preserve">H. ovalis with </w:t>
            </w:r>
            <w:r>
              <w:rPr>
                <w:rFonts w:cs="Arial"/>
                <w:i/>
                <w:color w:val="000000"/>
                <w:sz w:val="20"/>
                <w:szCs w:val="20"/>
              </w:rPr>
              <w:t>H. spinulosa</w:t>
            </w:r>
          </w:p>
        </w:tc>
      </w:tr>
      <w:tr w:rsidR="00A22105" w:rsidRPr="009465B0" w14:paraId="523959B0" w14:textId="77777777" w:rsidTr="00A374A1">
        <w:trPr>
          <w:trHeight w:val="170"/>
          <w:jc w:val="center"/>
        </w:trPr>
        <w:tc>
          <w:tcPr>
            <w:tcW w:w="0" w:type="auto"/>
            <w:vMerge/>
            <w:shd w:val="clear" w:color="auto" w:fill="auto"/>
            <w:noWrap/>
            <w:vAlign w:val="center"/>
          </w:tcPr>
          <w:p w14:paraId="6E845120"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noWrap/>
            <w:vAlign w:val="center"/>
          </w:tcPr>
          <w:p w14:paraId="652921AC"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vAlign w:val="center"/>
          </w:tcPr>
          <w:p w14:paraId="75FDB6CC"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noWrap/>
            <w:vAlign w:val="center"/>
          </w:tcPr>
          <w:p w14:paraId="215A9EDB"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shd w:val="clear" w:color="auto" w:fill="E7F3F4"/>
            <w:noWrap/>
            <w:vAlign w:val="center"/>
          </w:tcPr>
          <w:p w14:paraId="2C8CFD05" w14:textId="77777777" w:rsidR="00A22105" w:rsidRPr="00CB5AB9" w:rsidRDefault="00A22105" w:rsidP="00CC5A54">
            <w:pPr>
              <w:spacing w:before="0" w:after="0" w:line="240" w:lineRule="auto"/>
              <w:contextualSpacing/>
              <w:jc w:val="center"/>
              <w:rPr>
                <w:sz w:val="20"/>
                <w:szCs w:val="20"/>
              </w:rPr>
            </w:pPr>
            <w:r w:rsidRPr="00C02655">
              <w:rPr>
                <w:sz w:val="20"/>
                <w:szCs w:val="20"/>
              </w:rPr>
              <w:t>FG2^</w:t>
            </w:r>
          </w:p>
        </w:tc>
        <w:tc>
          <w:tcPr>
            <w:tcW w:w="0" w:type="auto"/>
            <w:shd w:val="clear" w:color="auto" w:fill="E7F3F4"/>
            <w:noWrap/>
            <w:vAlign w:val="center"/>
          </w:tcPr>
          <w:p w14:paraId="37D36AE7" w14:textId="77777777" w:rsidR="00A22105" w:rsidRPr="00CB5AB9" w:rsidRDefault="00A22105" w:rsidP="00CC5A54">
            <w:pPr>
              <w:spacing w:before="0" w:after="0" w:line="240" w:lineRule="auto"/>
              <w:contextualSpacing/>
              <w:jc w:val="center"/>
              <w:rPr>
                <w:sz w:val="20"/>
                <w:szCs w:val="20"/>
              </w:rPr>
            </w:pPr>
            <w:r w:rsidRPr="00C02655">
              <w:rPr>
                <w:sz w:val="20"/>
                <w:szCs w:val="20"/>
              </w:rPr>
              <w:t>Flinders Island</w:t>
            </w:r>
          </w:p>
        </w:tc>
        <w:tc>
          <w:tcPr>
            <w:tcW w:w="0" w:type="auto"/>
            <w:shd w:val="clear" w:color="auto" w:fill="E7F3F4"/>
            <w:noWrap/>
            <w:vAlign w:val="center"/>
          </w:tcPr>
          <w:p w14:paraId="44B901B3" w14:textId="77777777" w:rsidR="00A22105" w:rsidRPr="00CB5AB9" w:rsidRDefault="00A22105" w:rsidP="00CC5A54">
            <w:pPr>
              <w:spacing w:before="0" w:after="0" w:line="240" w:lineRule="auto"/>
              <w:contextualSpacing/>
              <w:jc w:val="center"/>
              <w:rPr>
                <w:sz w:val="20"/>
                <w:szCs w:val="20"/>
              </w:rPr>
            </w:pPr>
            <w:r w:rsidRPr="00C02655">
              <w:rPr>
                <w:sz w:val="20"/>
                <w:szCs w:val="20"/>
              </w:rPr>
              <w:t>14°</w:t>
            </w:r>
          </w:p>
        </w:tc>
        <w:tc>
          <w:tcPr>
            <w:tcW w:w="0" w:type="auto"/>
            <w:shd w:val="clear" w:color="auto" w:fill="E7F3F4"/>
            <w:noWrap/>
            <w:vAlign w:val="center"/>
          </w:tcPr>
          <w:p w14:paraId="08830B72" w14:textId="77777777" w:rsidR="00A22105" w:rsidRPr="00CB5AB9" w:rsidRDefault="00A22105" w:rsidP="00CC5A54">
            <w:pPr>
              <w:spacing w:before="0" w:after="0" w:line="240" w:lineRule="auto"/>
              <w:contextualSpacing/>
              <w:jc w:val="center"/>
              <w:rPr>
                <w:sz w:val="20"/>
                <w:szCs w:val="20"/>
              </w:rPr>
            </w:pPr>
            <w:r w:rsidRPr="00C02655">
              <w:rPr>
                <w:sz w:val="20"/>
                <w:szCs w:val="20"/>
              </w:rPr>
              <w:t>10.932</w:t>
            </w:r>
          </w:p>
        </w:tc>
        <w:tc>
          <w:tcPr>
            <w:tcW w:w="0" w:type="auto"/>
            <w:shd w:val="clear" w:color="auto" w:fill="E7F3F4"/>
            <w:noWrap/>
            <w:vAlign w:val="center"/>
          </w:tcPr>
          <w:p w14:paraId="265AB89B" w14:textId="77777777" w:rsidR="00A22105" w:rsidRPr="00CB5AB9" w:rsidRDefault="00A22105" w:rsidP="00CC5A54">
            <w:pPr>
              <w:spacing w:before="0" w:after="0" w:line="240" w:lineRule="auto"/>
              <w:contextualSpacing/>
              <w:jc w:val="center"/>
              <w:rPr>
                <w:sz w:val="20"/>
                <w:szCs w:val="20"/>
              </w:rPr>
            </w:pPr>
            <w:r w:rsidRPr="00C02655">
              <w:rPr>
                <w:sz w:val="20"/>
                <w:szCs w:val="20"/>
              </w:rPr>
              <w:t>144°</w:t>
            </w:r>
          </w:p>
        </w:tc>
        <w:tc>
          <w:tcPr>
            <w:tcW w:w="0" w:type="auto"/>
            <w:shd w:val="clear" w:color="auto" w:fill="E7F3F4"/>
            <w:noWrap/>
            <w:vAlign w:val="center"/>
          </w:tcPr>
          <w:p w14:paraId="0168E1E3" w14:textId="77777777" w:rsidR="00A22105" w:rsidRPr="00CB5AB9" w:rsidRDefault="00A22105" w:rsidP="00CC5A54">
            <w:pPr>
              <w:spacing w:before="0" w:after="0" w:line="240" w:lineRule="auto"/>
              <w:contextualSpacing/>
              <w:jc w:val="center"/>
              <w:rPr>
                <w:sz w:val="20"/>
                <w:szCs w:val="20"/>
              </w:rPr>
            </w:pPr>
            <w:r w:rsidRPr="00C02655">
              <w:rPr>
                <w:sz w:val="20"/>
                <w:szCs w:val="20"/>
              </w:rPr>
              <w:t>13.522</w:t>
            </w:r>
          </w:p>
        </w:tc>
        <w:tc>
          <w:tcPr>
            <w:tcW w:w="0" w:type="auto"/>
            <w:vMerge/>
            <w:shd w:val="clear" w:color="auto" w:fill="E7F3F4"/>
            <w:noWrap/>
            <w:vAlign w:val="center"/>
          </w:tcPr>
          <w:p w14:paraId="2FAE7132"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0BE277C4" w14:textId="77777777" w:rsidTr="00A374A1">
        <w:trPr>
          <w:trHeight w:val="170"/>
          <w:jc w:val="center"/>
        </w:trPr>
        <w:tc>
          <w:tcPr>
            <w:tcW w:w="0" w:type="auto"/>
            <w:vMerge w:val="restart"/>
            <w:shd w:val="clear" w:color="auto" w:fill="auto"/>
            <w:noWrap/>
            <w:vAlign w:val="center"/>
          </w:tcPr>
          <w:p w14:paraId="7D32A810" w14:textId="77777777" w:rsidR="00A22105" w:rsidRPr="009465B0" w:rsidRDefault="00A22105" w:rsidP="00CC5A54">
            <w:pPr>
              <w:spacing w:before="0" w:after="0" w:line="240" w:lineRule="auto"/>
              <w:contextualSpacing/>
              <w:jc w:val="center"/>
              <w:rPr>
                <w:rFonts w:cs="Arial"/>
                <w:color w:val="000000"/>
                <w:sz w:val="20"/>
                <w:szCs w:val="20"/>
              </w:rPr>
            </w:pPr>
            <w:r>
              <w:rPr>
                <w:rFonts w:cs="Arial"/>
                <w:color w:val="000000"/>
                <w:sz w:val="20"/>
                <w:szCs w:val="20"/>
              </w:rPr>
              <w:t>Northern</w:t>
            </w:r>
          </w:p>
        </w:tc>
        <w:tc>
          <w:tcPr>
            <w:tcW w:w="0" w:type="auto"/>
            <w:vMerge w:val="restart"/>
            <w:shd w:val="clear" w:color="auto" w:fill="F3F9FA"/>
            <w:noWrap/>
            <w:vAlign w:val="center"/>
          </w:tcPr>
          <w:p w14:paraId="1B665E5B"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Wet Tropics</w:t>
            </w:r>
          </w:p>
        </w:tc>
        <w:tc>
          <w:tcPr>
            <w:tcW w:w="0" w:type="auto"/>
            <w:vMerge w:val="restart"/>
            <w:shd w:val="clear" w:color="auto" w:fill="F3F9FA"/>
            <w:vAlign w:val="center"/>
          </w:tcPr>
          <w:p w14:paraId="413E9C4E"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Tully / Murray / Herbert</w:t>
            </w:r>
          </w:p>
        </w:tc>
        <w:tc>
          <w:tcPr>
            <w:tcW w:w="0" w:type="auto"/>
            <w:shd w:val="clear" w:color="auto" w:fill="F3F9FA"/>
            <w:noWrap/>
            <w:vAlign w:val="center"/>
          </w:tcPr>
          <w:p w14:paraId="19FF2E9C"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Rockingham Bay</w:t>
            </w:r>
          </w:p>
          <w:p w14:paraId="6DABDB14" w14:textId="77777777" w:rsidR="00A22105" w:rsidRPr="00C5454F" w:rsidRDefault="00A22105" w:rsidP="00CC5A54">
            <w:pPr>
              <w:spacing w:before="0" w:after="0" w:line="240" w:lineRule="auto"/>
              <w:contextualSpacing/>
              <w:jc w:val="center"/>
              <w:rPr>
                <w:rFonts w:cs="Arial"/>
                <w:i/>
                <w:color w:val="000000"/>
                <w:sz w:val="20"/>
                <w:szCs w:val="20"/>
              </w:rPr>
            </w:pPr>
            <w:r w:rsidRPr="00CB5AB9">
              <w:rPr>
                <w:rFonts w:cs="Arial"/>
                <w:i/>
                <w:color w:val="000000"/>
                <w:sz w:val="20"/>
                <w:szCs w:val="20"/>
              </w:rPr>
              <w:t>reef</w:t>
            </w:r>
          </w:p>
        </w:tc>
        <w:tc>
          <w:tcPr>
            <w:tcW w:w="0" w:type="auto"/>
            <w:shd w:val="clear" w:color="auto" w:fill="F3F9FA"/>
            <w:noWrap/>
            <w:vAlign w:val="center"/>
          </w:tcPr>
          <w:p w14:paraId="7500883F" w14:textId="77777777" w:rsidR="00A22105" w:rsidRPr="00CB5AB9" w:rsidRDefault="00A22105" w:rsidP="00CC5A54">
            <w:pPr>
              <w:spacing w:before="0" w:after="0" w:line="240" w:lineRule="auto"/>
              <w:contextualSpacing/>
              <w:jc w:val="center"/>
              <w:rPr>
                <w:sz w:val="20"/>
                <w:szCs w:val="20"/>
              </w:rPr>
            </w:pPr>
            <w:r w:rsidRPr="00CB5AB9">
              <w:rPr>
                <w:sz w:val="20"/>
                <w:szCs w:val="20"/>
              </w:rPr>
              <w:t>GO1</w:t>
            </w:r>
          </w:p>
        </w:tc>
        <w:tc>
          <w:tcPr>
            <w:tcW w:w="0" w:type="auto"/>
            <w:shd w:val="clear" w:color="auto" w:fill="F3F9FA"/>
            <w:noWrap/>
            <w:vAlign w:val="center"/>
          </w:tcPr>
          <w:p w14:paraId="3077CE00" w14:textId="77777777" w:rsidR="00A22105" w:rsidRPr="00CB5AB9" w:rsidRDefault="00A22105" w:rsidP="00CC5A54">
            <w:pPr>
              <w:spacing w:before="0" w:after="0" w:line="240" w:lineRule="auto"/>
              <w:contextualSpacing/>
              <w:jc w:val="center"/>
              <w:rPr>
                <w:sz w:val="20"/>
                <w:szCs w:val="20"/>
              </w:rPr>
            </w:pPr>
            <w:r w:rsidRPr="00CB5AB9">
              <w:rPr>
                <w:sz w:val="20"/>
                <w:szCs w:val="20"/>
              </w:rPr>
              <w:t>Goold Island</w:t>
            </w:r>
          </w:p>
        </w:tc>
        <w:tc>
          <w:tcPr>
            <w:tcW w:w="0" w:type="auto"/>
            <w:shd w:val="clear" w:color="auto" w:fill="F3F9FA"/>
            <w:noWrap/>
            <w:vAlign w:val="center"/>
          </w:tcPr>
          <w:p w14:paraId="7F26AC3D" w14:textId="77777777" w:rsidR="00A22105" w:rsidRPr="00CB5AB9" w:rsidRDefault="00A22105" w:rsidP="00CC5A54">
            <w:pPr>
              <w:spacing w:before="0" w:after="0" w:line="240" w:lineRule="auto"/>
              <w:contextualSpacing/>
              <w:jc w:val="center"/>
              <w:rPr>
                <w:sz w:val="20"/>
                <w:szCs w:val="20"/>
              </w:rPr>
            </w:pPr>
            <w:r w:rsidRPr="00CB5AB9">
              <w:rPr>
                <w:sz w:val="20"/>
                <w:szCs w:val="20"/>
              </w:rPr>
              <w:t>18°</w:t>
            </w:r>
          </w:p>
        </w:tc>
        <w:tc>
          <w:tcPr>
            <w:tcW w:w="0" w:type="auto"/>
            <w:shd w:val="clear" w:color="auto" w:fill="F3F9FA"/>
            <w:noWrap/>
            <w:vAlign w:val="center"/>
          </w:tcPr>
          <w:p w14:paraId="09AAA2FD" w14:textId="77777777" w:rsidR="00A22105" w:rsidRPr="00CB5AB9" w:rsidRDefault="00A22105" w:rsidP="00CC5A54">
            <w:pPr>
              <w:spacing w:before="0" w:after="0" w:line="240" w:lineRule="auto"/>
              <w:contextualSpacing/>
              <w:jc w:val="center"/>
              <w:rPr>
                <w:sz w:val="20"/>
                <w:szCs w:val="20"/>
              </w:rPr>
            </w:pPr>
            <w:r w:rsidRPr="00CB5AB9">
              <w:rPr>
                <w:sz w:val="20"/>
                <w:szCs w:val="20"/>
              </w:rPr>
              <w:t>10.437</w:t>
            </w:r>
          </w:p>
        </w:tc>
        <w:tc>
          <w:tcPr>
            <w:tcW w:w="0" w:type="auto"/>
            <w:shd w:val="clear" w:color="auto" w:fill="F3F9FA"/>
            <w:noWrap/>
            <w:vAlign w:val="center"/>
          </w:tcPr>
          <w:p w14:paraId="723B7D14" w14:textId="77777777" w:rsidR="00A22105" w:rsidRPr="00CB5AB9" w:rsidRDefault="00A22105" w:rsidP="00CC5A54">
            <w:pPr>
              <w:spacing w:before="0" w:after="0" w:line="240" w:lineRule="auto"/>
              <w:contextualSpacing/>
              <w:jc w:val="center"/>
              <w:rPr>
                <w:sz w:val="20"/>
                <w:szCs w:val="20"/>
              </w:rPr>
            </w:pPr>
            <w:r w:rsidRPr="00CB5AB9">
              <w:rPr>
                <w:sz w:val="20"/>
                <w:szCs w:val="20"/>
              </w:rPr>
              <w:t>146°</w:t>
            </w:r>
          </w:p>
        </w:tc>
        <w:tc>
          <w:tcPr>
            <w:tcW w:w="0" w:type="auto"/>
            <w:shd w:val="clear" w:color="auto" w:fill="F3F9FA"/>
            <w:noWrap/>
            <w:vAlign w:val="center"/>
          </w:tcPr>
          <w:p w14:paraId="6F3A58CE" w14:textId="77777777" w:rsidR="00A22105" w:rsidRPr="00CB5AB9" w:rsidRDefault="00A22105" w:rsidP="00CC5A54">
            <w:pPr>
              <w:spacing w:before="0" w:after="0" w:line="240" w:lineRule="auto"/>
              <w:contextualSpacing/>
              <w:jc w:val="center"/>
              <w:rPr>
                <w:sz w:val="20"/>
                <w:szCs w:val="20"/>
              </w:rPr>
            </w:pPr>
            <w:r w:rsidRPr="00CB5AB9">
              <w:rPr>
                <w:sz w:val="20"/>
                <w:szCs w:val="20"/>
              </w:rPr>
              <w:t>9.196</w:t>
            </w:r>
          </w:p>
        </w:tc>
        <w:tc>
          <w:tcPr>
            <w:tcW w:w="0" w:type="auto"/>
            <w:shd w:val="clear" w:color="auto" w:fill="F3F9FA"/>
            <w:noWrap/>
            <w:vAlign w:val="center"/>
          </w:tcPr>
          <w:p w14:paraId="2C6DD072" w14:textId="77777777" w:rsidR="00A22105" w:rsidRPr="00CB5AB9" w:rsidRDefault="00A22105" w:rsidP="00CC5A54">
            <w:pPr>
              <w:spacing w:before="0" w:after="0" w:line="240" w:lineRule="auto"/>
              <w:contextualSpacing/>
              <w:jc w:val="center"/>
              <w:rPr>
                <w:rFonts w:cs="Arial"/>
                <w:i/>
                <w:color w:val="000000"/>
                <w:sz w:val="20"/>
                <w:szCs w:val="20"/>
              </w:rPr>
            </w:pPr>
            <w:r>
              <w:rPr>
                <w:rFonts w:cs="Arial"/>
                <w:i/>
                <w:color w:val="000000"/>
                <w:sz w:val="20"/>
                <w:szCs w:val="20"/>
              </w:rPr>
              <w:t xml:space="preserve">C. serrulata / </w:t>
            </w:r>
            <w:r w:rsidRPr="00CB5AB9">
              <w:rPr>
                <w:rFonts w:cs="Arial"/>
                <w:i/>
                <w:color w:val="000000"/>
                <w:sz w:val="20"/>
                <w:szCs w:val="20"/>
              </w:rPr>
              <w:t>H. uninervis</w:t>
            </w:r>
            <w:r>
              <w:rPr>
                <w:rFonts w:cs="Arial"/>
                <w:i/>
                <w:color w:val="000000"/>
                <w:sz w:val="20"/>
                <w:szCs w:val="20"/>
              </w:rPr>
              <w:t xml:space="preserve"> </w:t>
            </w:r>
            <w:r w:rsidRPr="003B3E71">
              <w:rPr>
                <w:rFonts w:cs="Arial"/>
                <w:color w:val="000000"/>
                <w:sz w:val="20"/>
                <w:szCs w:val="20"/>
              </w:rPr>
              <w:t xml:space="preserve">with </w:t>
            </w:r>
            <w:r w:rsidRPr="003B3E71">
              <w:rPr>
                <w:rFonts w:cs="Arial"/>
                <w:i/>
                <w:color w:val="000000"/>
                <w:sz w:val="20"/>
                <w:szCs w:val="20"/>
              </w:rPr>
              <w:t>H. ovalis</w:t>
            </w:r>
          </w:p>
        </w:tc>
      </w:tr>
      <w:tr w:rsidR="00A22105" w:rsidRPr="009465B0" w14:paraId="7D9457DA" w14:textId="77777777" w:rsidTr="00A374A1">
        <w:trPr>
          <w:trHeight w:val="170"/>
          <w:jc w:val="center"/>
        </w:trPr>
        <w:tc>
          <w:tcPr>
            <w:tcW w:w="0" w:type="auto"/>
            <w:vMerge/>
            <w:shd w:val="clear" w:color="auto" w:fill="auto"/>
            <w:noWrap/>
            <w:vAlign w:val="center"/>
          </w:tcPr>
          <w:p w14:paraId="0A193F39"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noWrap/>
            <w:vAlign w:val="center"/>
          </w:tcPr>
          <w:p w14:paraId="059B16D9"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vAlign w:val="center"/>
          </w:tcPr>
          <w:p w14:paraId="29C82B98"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val="restart"/>
            <w:shd w:val="clear" w:color="auto" w:fill="F3F9FA"/>
            <w:noWrap/>
            <w:vAlign w:val="center"/>
          </w:tcPr>
          <w:p w14:paraId="7F3D38DC"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Missionary Bay</w:t>
            </w:r>
          </w:p>
          <w:p w14:paraId="6ABB5D89" w14:textId="77777777" w:rsidR="00A22105" w:rsidRPr="009465B0" w:rsidRDefault="00A22105" w:rsidP="00CC5A54">
            <w:pPr>
              <w:spacing w:before="0" w:after="0" w:line="240" w:lineRule="auto"/>
              <w:contextualSpacing/>
              <w:jc w:val="center"/>
              <w:rPr>
                <w:rFonts w:cs="Arial"/>
                <w:i/>
                <w:color w:val="000000"/>
                <w:sz w:val="20"/>
                <w:szCs w:val="20"/>
              </w:rPr>
            </w:pPr>
            <w:r w:rsidRPr="00CB5AB9">
              <w:rPr>
                <w:rFonts w:cs="Arial"/>
                <w:i/>
                <w:color w:val="000000"/>
                <w:sz w:val="20"/>
                <w:szCs w:val="20"/>
              </w:rPr>
              <w:t>coastal</w:t>
            </w:r>
          </w:p>
        </w:tc>
        <w:tc>
          <w:tcPr>
            <w:tcW w:w="0" w:type="auto"/>
            <w:shd w:val="clear" w:color="auto" w:fill="F3F9FA"/>
            <w:noWrap/>
            <w:vAlign w:val="center"/>
          </w:tcPr>
          <w:p w14:paraId="3100364C" w14:textId="77777777" w:rsidR="00A22105" w:rsidRPr="009465B0" w:rsidRDefault="00A22105" w:rsidP="00CC5A54">
            <w:pPr>
              <w:spacing w:before="0" w:after="0" w:line="240" w:lineRule="auto"/>
              <w:contextualSpacing/>
              <w:jc w:val="center"/>
              <w:rPr>
                <w:rFonts w:cs="Arial"/>
                <w:iCs/>
                <w:color w:val="000000"/>
                <w:sz w:val="20"/>
                <w:szCs w:val="20"/>
              </w:rPr>
            </w:pPr>
            <w:r w:rsidRPr="00CB5AB9">
              <w:rPr>
                <w:sz w:val="20"/>
                <w:szCs w:val="20"/>
              </w:rPr>
              <w:t>MS1^</w:t>
            </w:r>
          </w:p>
        </w:tc>
        <w:tc>
          <w:tcPr>
            <w:tcW w:w="0" w:type="auto"/>
            <w:shd w:val="clear" w:color="auto" w:fill="F3F9FA"/>
            <w:noWrap/>
            <w:vAlign w:val="center"/>
          </w:tcPr>
          <w:p w14:paraId="702FE02B"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Missionary Bay</w:t>
            </w:r>
          </w:p>
        </w:tc>
        <w:tc>
          <w:tcPr>
            <w:tcW w:w="0" w:type="auto"/>
            <w:shd w:val="clear" w:color="auto" w:fill="F3F9FA"/>
            <w:noWrap/>
            <w:vAlign w:val="center"/>
          </w:tcPr>
          <w:p w14:paraId="77B7B44C"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18°</w:t>
            </w:r>
          </w:p>
        </w:tc>
        <w:tc>
          <w:tcPr>
            <w:tcW w:w="0" w:type="auto"/>
            <w:shd w:val="clear" w:color="auto" w:fill="F3F9FA"/>
            <w:noWrap/>
            <w:vAlign w:val="center"/>
          </w:tcPr>
          <w:p w14:paraId="5D8CD05A"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12.950</w:t>
            </w:r>
          </w:p>
        </w:tc>
        <w:tc>
          <w:tcPr>
            <w:tcW w:w="0" w:type="auto"/>
            <w:shd w:val="clear" w:color="auto" w:fill="F3F9FA"/>
            <w:noWrap/>
            <w:vAlign w:val="center"/>
          </w:tcPr>
          <w:p w14:paraId="7E21F990"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146°</w:t>
            </w:r>
          </w:p>
        </w:tc>
        <w:tc>
          <w:tcPr>
            <w:tcW w:w="0" w:type="auto"/>
            <w:shd w:val="clear" w:color="auto" w:fill="F3F9FA"/>
            <w:noWrap/>
            <w:vAlign w:val="center"/>
          </w:tcPr>
          <w:p w14:paraId="78700697"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12.753</w:t>
            </w:r>
          </w:p>
        </w:tc>
        <w:tc>
          <w:tcPr>
            <w:tcW w:w="0" w:type="auto"/>
            <w:vMerge w:val="restart"/>
            <w:shd w:val="clear" w:color="auto" w:fill="F3F9FA"/>
            <w:noWrap/>
            <w:vAlign w:val="center"/>
          </w:tcPr>
          <w:p w14:paraId="7CB9C3AA" w14:textId="77777777" w:rsidR="00A22105" w:rsidRPr="00CB5AB9" w:rsidRDefault="00A22105" w:rsidP="00CC5A54">
            <w:pPr>
              <w:spacing w:before="0" w:after="0" w:line="240" w:lineRule="auto"/>
              <w:contextualSpacing/>
              <w:jc w:val="center"/>
              <w:rPr>
                <w:rFonts w:cs="Arial"/>
                <w:i/>
                <w:color w:val="000000"/>
                <w:sz w:val="20"/>
                <w:szCs w:val="20"/>
              </w:rPr>
            </w:pPr>
            <w:r w:rsidRPr="00CB5AB9">
              <w:rPr>
                <w:rFonts w:cs="Arial"/>
                <w:i/>
                <w:color w:val="000000"/>
                <w:sz w:val="20"/>
                <w:szCs w:val="20"/>
              </w:rPr>
              <w:t>H. uninervis</w:t>
            </w:r>
            <w:r w:rsidRPr="00CB5AB9">
              <w:rPr>
                <w:rFonts w:cs="Arial"/>
                <w:color w:val="000000"/>
                <w:sz w:val="20"/>
                <w:szCs w:val="20"/>
              </w:rPr>
              <w:t xml:space="preserve"> with </w:t>
            </w:r>
            <w:r w:rsidRPr="003B3E71">
              <w:rPr>
                <w:rFonts w:cs="Arial"/>
                <w:i/>
                <w:color w:val="000000"/>
                <w:sz w:val="20"/>
                <w:szCs w:val="20"/>
              </w:rPr>
              <w:t>H. ovalis</w:t>
            </w:r>
          </w:p>
        </w:tc>
      </w:tr>
      <w:tr w:rsidR="00A22105" w:rsidRPr="009465B0" w14:paraId="6C2D39E0" w14:textId="77777777" w:rsidTr="00A374A1">
        <w:trPr>
          <w:trHeight w:val="170"/>
          <w:jc w:val="center"/>
        </w:trPr>
        <w:tc>
          <w:tcPr>
            <w:tcW w:w="0" w:type="auto"/>
            <w:vMerge/>
            <w:shd w:val="clear" w:color="auto" w:fill="auto"/>
            <w:noWrap/>
            <w:vAlign w:val="center"/>
          </w:tcPr>
          <w:p w14:paraId="3EFB3337"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auto"/>
            <w:noWrap/>
            <w:vAlign w:val="center"/>
          </w:tcPr>
          <w:p w14:paraId="45E8A9E9"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auto"/>
            <w:vAlign w:val="center"/>
          </w:tcPr>
          <w:p w14:paraId="09CB1CD3"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auto"/>
            <w:noWrap/>
            <w:vAlign w:val="center"/>
          </w:tcPr>
          <w:p w14:paraId="501D8193"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shd w:val="clear" w:color="auto" w:fill="F3F9FA"/>
            <w:noWrap/>
            <w:vAlign w:val="center"/>
          </w:tcPr>
          <w:p w14:paraId="1700C3B7" w14:textId="77777777" w:rsidR="00A22105" w:rsidRPr="009465B0" w:rsidRDefault="00A22105" w:rsidP="00CC5A54">
            <w:pPr>
              <w:spacing w:before="0" w:after="0" w:line="240" w:lineRule="auto"/>
              <w:contextualSpacing/>
              <w:jc w:val="center"/>
              <w:rPr>
                <w:rFonts w:cs="Arial"/>
                <w:iCs/>
                <w:color w:val="000000"/>
                <w:sz w:val="20"/>
                <w:szCs w:val="20"/>
              </w:rPr>
            </w:pPr>
            <w:r w:rsidRPr="00CB5AB9">
              <w:rPr>
                <w:sz w:val="20"/>
                <w:szCs w:val="20"/>
              </w:rPr>
              <w:t>MS2^</w:t>
            </w:r>
          </w:p>
        </w:tc>
        <w:tc>
          <w:tcPr>
            <w:tcW w:w="0" w:type="auto"/>
            <w:shd w:val="clear" w:color="auto" w:fill="F3F9FA"/>
            <w:noWrap/>
            <w:vAlign w:val="center"/>
          </w:tcPr>
          <w:p w14:paraId="1360F8C2"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Missionary Bay</w:t>
            </w:r>
          </w:p>
        </w:tc>
        <w:tc>
          <w:tcPr>
            <w:tcW w:w="0" w:type="auto"/>
            <w:shd w:val="clear" w:color="auto" w:fill="F3F9FA"/>
            <w:noWrap/>
            <w:vAlign w:val="center"/>
          </w:tcPr>
          <w:p w14:paraId="0A33E393"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18°</w:t>
            </w:r>
          </w:p>
        </w:tc>
        <w:tc>
          <w:tcPr>
            <w:tcW w:w="0" w:type="auto"/>
            <w:shd w:val="clear" w:color="auto" w:fill="F3F9FA"/>
            <w:noWrap/>
            <w:vAlign w:val="center"/>
          </w:tcPr>
          <w:p w14:paraId="03AE419E"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12.316</w:t>
            </w:r>
          </w:p>
        </w:tc>
        <w:tc>
          <w:tcPr>
            <w:tcW w:w="0" w:type="auto"/>
            <w:shd w:val="clear" w:color="auto" w:fill="F3F9FA"/>
            <w:noWrap/>
            <w:vAlign w:val="center"/>
          </w:tcPr>
          <w:p w14:paraId="4F17FB40"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146°</w:t>
            </w:r>
          </w:p>
        </w:tc>
        <w:tc>
          <w:tcPr>
            <w:tcW w:w="0" w:type="auto"/>
            <w:shd w:val="clear" w:color="auto" w:fill="F3F9FA"/>
            <w:noWrap/>
            <w:vAlign w:val="center"/>
          </w:tcPr>
          <w:p w14:paraId="660EB092"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13.010</w:t>
            </w:r>
          </w:p>
        </w:tc>
        <w:tc>
          <w:tcPr>
            <w:tcW w:w="0" w:type="auto"/>
            <w:vMerge/>
            <w:shd w:val="clear" w:color="auto" w:fill="auto"/>
            <w:noWrap/>
            <w:vAlign w:val="center"/>
          </w:tcPr>
          <w:p w14:paraId="5C98C793"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206AE9B3" w14:textId="77777777" w:rsidTr="00A374A1">
        <w:trPr>
          <w:trHeight w:val="170"/>
          <w:jc w:val="center"/>
        </w:trPr>
        <w:tc>
          <w:tcPr>
            <w:tcW w:w="0" w:type="auto"/>
            <w:vMerge w:val="restart"/>
            <w:shd w:val="clear" w:color="auto" w:fill="auto"/>
            <w:noWrap/>
            <w:vAlign w:val="center"/>
          </w:tcPr>
          <w:p w14:paraId="1E1240A9" w14:textId="77777777" w:rsidR="00A22105" w:rsidRPr="009465B0" w:rsidRDefault="00A22105" w:rsidP="00CC5A54">
            <w:pPr>
              <w:spacing w:before="0" w:after="0" w:line="240" w:lineRule="auto"/>
              <w:contextualSpacing/>
              <w:jc w:val="center"/>
              <w:rPr>
                <w:rFonts w:cs="Arial"/>
                <w:color w:val="000000"/>
                <w:sz w:val="20"/>
                <w:szCs w:val="20"/>
              </w:rPr>
            </w:pPr>
            <w:r>
              <w:rPr>
                <w:rFonts w:cs="Arial"/>
                <w:color w:val="000000"/>
                <w:sz w:val="20"/>
                <w:szCs w:val="20"/>
              </w:rPr>
              <w:t>Central</w:t>
            </w:r>
          </w:p>
        </w:tc>
        <w:tc>
          <w:tcPr>
            <w:tcW w:w="0" w:type="auto"/>
            <w:shd w:val="clear" w:color="auto" w:fill="E7F3F4"/>
            <w:noWrap/>
            <w:vAlign w:val="center"/>
          </w:tcPr>
          <w:p w14:paraId="3D4757A8"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Burdekin</w:t>
            </w:r>
          </w:p>
        </w:tc>
        <w:tc>
          <w:tcPr>
            <w:tcW w:w="0" w:type="auto"/>
            <w:shd w:val="clear" w:color="auto" w:fill="E7F3F4"/>
            <w:vAlign w:val="center"/>
          </w:tcPr>
          <w:p w14:paraId="74FA8DB6"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Ross / Burdekin</w:t>
            </w:r>
          </w:p>
        </w:tc>
        <w:tc>
          <w:tcPr>
            <w:tcW w:w="0" w:type="auto"/>
            <w:shd w:val="clear" w:color="auto" w:fill="E7F3F4"/>
            <w:noWrap/>
            <w:vAlign w:val="center"/>
          </w:tcPr>
          <w:p w14:paraId="4B1B7C79"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Townsville</w:t>
            </w:r>
          </w:p>
          <w:p w14:paraId="78830372"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i/>
                <w:color w:val="000000"/>
                <w:sz w:val="20"/>
                <w:szCs w:val="20"/>
              </w:rPr>
              <w:t>coastal</w:t>
            </w:r>
          </w:p>
        </w:tc>
        <w:tc>
          <w:tcPr>
            <w:tcW w:w="0" w:type="auto"/>
            <w:shd w:val="clear" w:color="auto" w:fill="E7F3F4"/>
            <w:noWrap/>
            <w:vAlign w:val="center"/>
          </w:tcPr>
          <w:p w14:paraId="55283648"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SB2*</w:t>
            </w:r>
          </w:p>
        </w:tc>
        <w:tc>
          <w:tcPr>
            <w:tcW w:w="0" w:type="auto"/>
            <w:shd w:val="clear" w:color="auto" w:fill="E7F3F4"/>
            <w:noWrap/>
            <w:vAlign w:val="center"/>
          </w:tcPr>
          <w:p w14:paraId="02B74A64"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Shelley Beach</w:t>
            </w:r>
          </w:p>
        </w:tc>
        <w:tc>
          <w:tcPr>
            <w:tcW w:w="0" w:type="auto"/>
            <w:shd w:val="clear" w:color="auto" w:fill="E7F3F4"/>
            <w:noWrap/>
            <w:vAlign w:val="center"/>
          </w:tcPr>
          <w:p w14:paraId="4CAD96D3" w14:textId="77777777" w:rsidR="00A22105" w:rsidRPr="00CB5AB9" w:rsidRDefault="00A22105" w:rsidP="00CC5A54">
            <w:pPr>
              <w:spacing w:before="0" w:after="0" w:line="240" w:lineRule="auto"/>
              <w:contextualSpacing/>
              <w:jc w:val="center"/>
              <w:rPr>
                <w:sz w:val="20"/>
                <w:szCs w:val="20"/>
              </w:rPr>
            </w:pPr>
            <w:r w:rsidRPr="00CB5AB9">
              <w:rPr>
                <w:sz w:val="20"/>
                <w:szCs w:val="20"/>
              </w:rPr>
              <w:t>19°</w:t>
            </w:r>
          </w:p>
        </w:tc>
        <w:tc>
          <w:tcPr>
            <w:tcW w:w="0" w:type="auto"/>
            <w:shd w:val="clear" w:color="auto" w:fill="E7F3F4"/>
            <w:noWrap/>
            <w:vAlign w:val="center"/>
          </w:tcPr>
          <w:p w14:paraId="3A7FF4D9" w14:textId="77777777" w:rsidR="00A22105" w:rsidRPr="00CB5AB9" w:rsidRDefault="00A22105" w:rsidP="00CC5A54">
            <w:pPr>
              <w:spacing w:before="0" w:after="0" w:line="240" w:lineRule="auto"/>
              <w:contextualSpacing/>
              <w:jc w:val="center"/>
              <w:rPr>
                <w:sz w:val="20"/>
                <w:szCs w:val="20"/>
              </w:rPr>
            </w:pPr>
            <w:r w:rsidRPr="00CB5AB9">
              <w:rPr>
                <w:sz w:val="20"/>
                <w:szCs w:val="20"/>
              </w:rPr>
              <w:t>10.953</w:t>
            </w:r>
          </w:p>
        </w:tc>
        <w:tc>
          <w:tcPr>
            <w:tcW w:w="0" w:type="auto"/>
            <w:shd w:val="clear" w:color="auto" w:fill="E7F3F4"/>
            <w:noWrap/>
            <w:vAlign w:val="center"/>
          </w:tcPr>
          <w:p w14:paraId="59E0EB4B" w14:textId="77777777" w:rsidR="00A22105" w:rsidRPr="00CB5AB9" w:rsidRDefault="00A22105" w:rsidP="00CC5A54">
            <w:pPr>
              <w:spacing w:before="0" w:after="0" w:line="240" w:lineRule="auto"/>
              <w:contextualSpacing/>
              <w:jc w:val="center"/>
              <w:rPr>
                <w:sz w:val="20"/>
                <w:szCs w:val="20"/>
              </w:rPr>
            </w:pPr>
            <w:r w:rsidRPr="00CB5AB9">
              <w:rPr>
                <w:sz w:val="20"/>
                <w:szCs w:val="20"/>
              </w:rPr>
              <w:t>146°</w:t>
            </w:r>
          </w:p>
        </w:tc>
        <w:tc>
          <w:tcPr>
            <w:tcW w:w="0" w:type="auto"/>
            <w:shd w:val="clear" w:color="auto" w:fill="E7F3F4"/>
            <w:noWrap/>
            <w:vAlign w:val="center"/>
          </w:tcPr>
          <w:p w14:paraId="24AF7A82" w14:textId="77777777" w:rsidR="00A22105" w:rsidRPr="00CB5AB9" w:rsidRDefault="00A22105" w:rsidP="00CC5A54">
            <w:pPr>
              <w:spacing w:before="0" w:after="0" w:line="240" w:lineRule="auto"/>
              <w:contextualSpacing/>
              <w:jc w:val="center"/>
              <w:rPr>
                <w:sz w:val="20"/>
                <w:szCs w:val="20"/>
              </w:rPr>
            </w:pPr>
            <w:r w:rsidRPr="00CB5AB9">
              <w:rPr>
                <w:sz w:val="20"/>
                <w:szCs w:val="20"/>
              </w:rPr>
              <w:t>45.764</w:t>
            </w:r>
          </w:p>
        </w:tc>
        <w:tc>
          <w:tcPr>
            <w:tcW w:w="0" w:type="auto"/>
            <w:shd w:val="clear" w:color="auto" w:fill="E7F3F4"/>
            <w:noWrap/>
            <w:vAlign w:val="center"/>
          </w:tcPr>
          <w:p w14:paraId="7AFB9408" w14:textId="77777777" w:rsidR="00A22105" w:rsidRPr="00CB5AB9" w:rsidRDefault="00A22105" w:rsidP="00CC5A54">
            <w:pPr>
              <w:spacing w:before="0" w:after="0" w:line="240" w:lineRule="auto"/>
              <w:contextualSpacing/>
              <w:jc w:val="center"/>
              <w:rPr>
                <w:rFonts w:cs="Arial"/>
                <w:i/>
                <w:color w:val="000000"/>
                <w:sz w:val="20"/>
                <w:szCs w:val="20"/>
              </w:rPr>
            </w:pPr>
            <w:r w:rsidRPr="00CB5AB9">
              <w:rPr>
                <w:rFonts w:cs="Arial"/>
                <w:i/>
                <w:color w:val="000000"/>
                <w:sz w:val="20"/>
                <w:szCs w:val="20"/>
              </w:rPr>
              <w:t>H. uninervis</w:t>
            </w:r>
            <w:r w:rsidRPr="00CB5AB9">
              <w:rPr>
                <w:rFonts w:cs="Arial"/>
                <w:color w:val="000000"/>
                <w:sz w:val="20"/>
                <w:szCs w:val="20"/>
              </w:rPr>
              <w:t xml:space="preserve"> with </w:t>
            </w:r>
            <w:r w:rsidRPr="00CB5AB9">
              <w:rPr>
                <w:rFonts w:cs="Arial"/>
                <w:i/>
                <w:color w:val="000000"/>
                <w:sz w:val="20"/>
                <w:szCs w:val="20"/>
              </w:rPr>
              <w:t>H. ovalis</w:t>
            </w:r>
          </w:p>
        </w:tc>
      </w:tr>
      <w:tr w:rsidR="00A22105" w:rsidRPr="009465B0" w14:paraId="75C667C2" w14:textId="77777777" w:rsidTr="00A374A1">
        <w:trPr>
          <w:trHeight w:val="170"/>
          <w:jc w:val="center"/>
        </w:trPr>
        <w:tc>
          <w:tcPr>
            <w:tcW w:w="0" w:type="auto"/>
            <w:vMerge/>
            <w:shd w:val="clear" w:color="auto" w:fill="auto"/>
            <w:noWrap/>
            <w:vAlign w:val="center"/>
          </w:tcPr>
          <w:p w14:paraId="409435FE"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val="restart"/>
            <w:shd w:val="clear" w:color="auto" w:fill="F3F9FA"/>
            <w:noWrap/>
            <w:vAlign w:val="center"/>
          </w:tcPr>
          <w:p w14:paraId="10E8336F"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Mackay Whitsunday</w:t>
            </w:r>
          </w:p>
        </w:tc>
        <w:tc>
          <w:tcPr>
            <w:tcW w:w="0" w:type="auto"/>
            <w:vMerge w:val="restart"/>
            <w:shd w:val="clear" w:color="auto" w:fill="F3F9FA"/>
            <w:vAlign w:val="center"/>
          </w:tcPr>
          <w:p w14:paraId="3709DADA"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Don</w:t>
            </w:r>
          </w:p>
        </w:tc>
        <w:tc>
          <w:tcPr>
            <w:tcW w:w="0" w:type="auto"/>
            <w:vMerge w:val="restart"/>
            <w:shd w:val="clear" w:color="auto" w:fill="F3F9FA"/>
            <w:noWrap/>
            <w:vAlign w:val="center"/>
          </w:tcPr>
          <w:p w14:paraId="101DB983"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Shoal Bay</w:t>
            </w:r>
          </w:p>
          <w:p w14:paraId="5F6281AC"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i/>
                <w:color w:val="000000"/>
                <w:sz w:val="20"/>
                <w:szCs w:val="20"/>
              </w:rPr>
              <w:t>reef</w:t>
            </w:r>
          </w:p>
        </w:tc>
        <w:tc>
          <w:tcPr>
            <w:tcW w:w="0" w:type="auto"/>
            <w:shd w:val="clear" w:color="auto" w:fill="F3F9FA"/>
            <w:noWrap/>
            <w:vAlign w:val="center"/>
          </w:tcPr>
          <w:p w14:paraId="61158E55"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HB1*</w:t>
            </w:r>
          </w:p>
        </w:tc>
        <w:tc>
          <w:tcPr>
            <w:tcW w:w="0" w:type="auto"/>
            <w:shd w:val="clear" w:color="auto" w:fill="F3F9FA"/>
            <w:noWrap/>
            <w:vAlign w:val="center"/>
          </w:tcPr>
          <w:p w14:paraId="13022D78"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Hydeaway Bay</w:t>
            </w:r>
          </w:p>
        </w:tc>
        <w:tc>
          <w:tcPr>
            <w:tcW w:w="0" w:type="auto"/>
            <w:shd w:val="clear" w:color="auto" w:fill="F3F9FA"/>
            <w:noWrap/>
            <w:vAlign w:val="center"/>
          </w:tcPr>
          <w:p w14:paraId="55971F39"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20°</w:t>
            </w:r>
          </w:p>
        </w:tc>
        <w:tc>
          <w:tcPr>
            <w:tcW w:w="0" w:type="auto"/>
            <w:shd w:val="clear" w:color="auto" w:fill="F3F9FA"/>
            <w:noWrap/>
            <w:vAlign w:val="center"/>
          </w:tcPr>
          <w:p w14:paraId="2195A440"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4.487</w:t>
            </w:r>
          </w:p>
        </w:tc>
        <w:tc>
          <w:tcPr>
            <w:tcW w:w="0" w:type="auto"/>
            <w:shd w:val="clear" w:color="auto" w:fill="F3F9FA"/>
            <w:noWrap/>
            <w:vAlign w:val="center"/>
          </w:tcPr>
          <w:p w14:paraId="04CAFD3A"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148°</w:t>
            </w:r>
          </w:p>
        </w:tc>
        <w:tc>
          <w:tcPr>
            <w:tcW w:w="0" w:type="auto"/>
            <w:shd w:val="clear" w:color="auto" w:fill="F3F9FA"/>
            <w:noWrap/>
            <w:vAlign w:val="center"/>
          </w:tcPr>
          <w:p w14:paraId="7A61429A"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28.930</w:t>
            </w:r>
          </w:p>
        </w:tc>
        <w:tc>
          <w:tcPr>
            <w:tcW w:w="0" w:type="auto"/>
            <w:vMerge w:val="restart"/>
            <w:shd w:val="clear" w:color="auto" w:fill="F3F9FA"/>
            <w:noWrap/>
            <w:vAlign w:val="center"/>
          </w:tcPr>
          <w:p w14:paraId="0045186B" w14:textId="77777777" w:rsidR="00A22105" w:rsidRPr="00CB5AB9" w:rsidRDefault="00A22105" w:rsidP="00CC5A54">
            <w:pPr>
              <w:spacing w:before="0" w:after="0" w:line="240" w:lineRule="auto"/>
              <w:contextualSpacing/>
              <w:jc w:val="center"/>
              <w:rPr>
                <w:rFonts w:cs="Arial"/>
                <w:color w:val="000000"/>
                <w:sz w:val="20"/>
                <w:szCs w:val="20"/>
              </w:rPr>
            </w:pPr>
            <w:r w:rsidRPr="00CB5AB9">
              <w:rPr>
                <w:rFonts w:cs="Arial"/>
                <w:i/>
                <w:color w:val="000000"/>
                <w:sz w:val="20"/>
                <w:szCs w:val="20"/>
              </w:rPr>
              <w:t>H. uninervis</w:t>
            </w:r>
            <w:r>
              <w:rPr>
                <w:rFonts w:cs="Arial"/>
                <w:i/>
                <w:color w:val="000000"/>
                <w:sz w:val="20"/>
                <w:szCs w:val="20"/>
              </w:rPr>
              <w:t xml:space="preserve"> </w:t>
            </w:r>
            <w:r w:rsidRPr="00CB5AB9">
              <w:rPr>
                <w:rFonts w:cs="Arial"/>
                <w:i/>
                <w:color w:val="000000"/>
                <w:sz w:val="20"/>
                <w:szCs w:val="20"/>
              </w:rPr>
              <w:t>/</w:t>
            </w:r>
            <w:r>
              <w:rPr>
                <w:rFonts w:cs="Arial"/>
                <w:i/>
                <w:color w:val="000000"/>
                <w:sz w:val="20"/>
                <w:szCs w:val="20"/>
              </w:rPr>
              <w:t xml:space="preserve"> C. rotundata / </w:t>
            </w:r>
            <w:r w:rsidRPr="003B3E71">
              <w:rPr>
                <w:rFonts w:cs="Arial"/>
                <w:i/>
                <w:color w:val="000000"/>
                <w:sz w:val="20"/>
                <w:szCs w:val="20"/>
              </w:rPr>
              <w:t>T. hemprichii</w:t>
            </w:r>
            <w:r>
              <w:rPr>
                <w:rFonts w:cs="Arial"/>
                <w:i/>
                <w:color w:val="000000"/>
                <w:sz w:val="20"/>
                <w:szCs w:val="20"/>
              </w:rPr>
              <w:t xml:space="preserve"> with </w:t>
            </w:r>
            <w:r w:rsidRPr="00CB5AB9">
              <w:rPr>
                <w:rFonts w:cs="Arial"/>
                <w:i/>
                <w:color w:val="000000"/>
                <w:sz w:val="20"/>
                <w:szCs w:val="20"/>
              </w:rPr>
              <w:t>H. ovalis</w:t>
            </w:r>
          </w:p>
        </w:tc>
      </w:tr>
      <w:tr w:rsidR="00A22105" w:rsidRPr="009465B0" w14:paraId="67BFE11E" w14:textId="77777777" w:rsidTr="00A374A1">
        <w:trPr>
          <w:trHeight w:val="170"/>
          <w:jc w:val="center"/>
        </w:trPr>
        <w:tc>
          <w:tcPr>
            <w:tcW w:w="0" w:type="auto"/>
            <w:vMerge/>
            <w:shd w:val="clear" w:color="auto" w:fill="auto"/>
            <w:noWrap/>
            <w:vAlign w:val="center"/>
          </w:tcPr>
          <w:p w14:paraId="578761BB"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noWrap/>
            <w:vAlign w:val="center"/>
          </w:tcPr>
          <w:p w14:paraId="7FBD2C81"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vAlign w:val="center"/>
          </w:tcPr>
          <w:p w14:paraId="17614E72"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noWrap/>
            <w:vAlign w:val="center"/>
          </w:tcPr>
          <w:p w14:paraId="0B0B2F61"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shd w:val="clear" w:color="auto" w:fill="F3F9FA"/>
            <w:noWrap/>
            <w:vAlign w:val="center"/>
          </w:tcPr>
          <w:p w14:paraId="4725460C"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HB2*</w:t>
            </w:r>
          </w:p>
        </w:tc>
        <w:tc>
          <w:tcPr>
            <w:tcW w:w="0" w:type="auto"/>
            <w:shd w:val="clear" w:color="auto" w:fill="F3F9FA"/>
            <w:noWrap/>
            <w:vAlign w:val="center"/>
          </w:tcPr>
          <w:p w14:paraId="7BFD21D5"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Hydeaway Bay</w:t>
            </w:r>
          </w:p>
        </w:tc>
        <w:tc>
          <w:tcPr>
            <w:tcW w:w="0" w:type="auto"/>
            <w:shd w:val="clear" w:color="auto" w:fill="F3F9FA"/>
            <w:noWrap/>
            <w:vAlign w:val="center"/>
          </w:tcPr>
          <w:p w14:paraId="3907E2AA"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20°</w:t>
            </w:r>
          </w:p>
        </w:tc>
        <w:tc>
          <w:tcPr>
            <w:tcW w:w="0" w:type="auto"/>
            <w:shd w:val="clear" w:color="auto" w:fill="F3F9FA"/>
            <w:noWrap/>
            <w:vAlign w:val="center"/>
          </w:tcPr>
          <w:p w14:paraId="7E8F5804"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4.297</w:t>
            </w:r>
          </w:p>
        </w:tc>
        <w:tc>
          <w:tcPr>
            <w:tcW w:w="0" w:type="auto"/>
            <w:shd w:val="clear" w:color="auto" w:fill="F3F9FA"/>
            <w:noWrap/>
            <w:vAlign w:val="center"/>
          </w:tcPr>
          <w:p w14:paraId="5C307D80"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148°</w:t>
            </w:r>
          </w:p>
        </w:tc>
        <w:tc>
          <w:tcPr>
            <w:tcW w:w="0" w:type="auto"/>
            <w:shd w:val="clear" w:color="auto" w:fill="F3F9FA"/>
            <w:noWrap/>
            <w:vAlign w:val="center"/>
          </w:tcPr>
          <w:p w14:paraId="4B4B6EA4" w14:textId="77777777" w:rsidR="00A22105" w:rsidRPr="009465B0" w:rsidRDefault="00A22105" w:rsidP="00CC5A54">
            <w:pPr>
              <w:spacing w:before="0" w:after="0" w:line="240" w:lineRule="auto"/>
              <w:contextualSpacing/>
              <w:jc w:val="center"/>
              <w:rPr>
                <w:rFonts w:cs="Arial"/>
                <w:color w:val="000000"/>
                <w:sz w:val="20"/>
                <w:szCs w:val="20"/>
              </w:rPr>
            </w:pPr>
            <w:r w:rsidRPr="00CB5AB9">
              <w:rPr>
                <w:sz w:val="20"/>
                <w:szCs w:val="20"/>
              </w:rPr>
              <w:t>28.846</w:t>
            </w:r>
          </w:p>
        </w:tc>
        <w:tc>
          <w:tcPr>
            <w:tcW w:w="0" w:type="auto"/>
            <w:vMerge/>
            <w:shd w:val="clear" w:color="auto" w:fill="F3F9FA"/>
            <w:noWrap/>
            <w:vAlign w:val="center"/>
          </w:tcPr>
          <w:p w14:paraId="27E06CEF" w14:textId="77777777" w:rsidR="00A22105" w:rsidRPr="00CB5AB9" w:rsidRDefault="00A22105" w:rsidP="00CC5A54">
            <w:pPr>
              <w:spacing w:before="0" w:after="0" w:line="240" w:lineRule="auto"/>
              <w:contextualSpacing/>
              <w:jc w:val="center"/>
              <w:rPr>
                <w:rFonts w:cs="Arial"/>
                <w:color w:val="000000"/>
                <w:sz w:val="20"/>
                <w:szCs w:val="20"/>
              </w:rPr>
            </w:pPr>
          </w:p>
        </w:tc>
      </w:tr>
      <w:tr w:rsidR="00A22105" w:rsidRPr="009465B0" w14:paraId="1324B3DB" w14:textId="77777777" w:rsidTr="00A374A1">
        <w:trPr>
          <w:trHeight w:val="170"/>
          <w:jc w:val="center"/>
        </w:trPr>
        <w:tc>
          <w:tcPr>
            <w:tcW w:w="0" w:type="auto"/>
            <w:vMerge/>
            <w:shd w:val="clear" w:color="auto" w:fill="auto"/>
            <w:noWrap/>
            <w:vAlign w:val="center"/>
          </w:tcPr>
          <w:p w14:paraId="472C2300"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noWrap/>
            <w:vAlign w:val="center"/>
          </w:tcPr>
          <w:p w14:paraId="03478E72"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val="restart"/>
            <w:shd w:val="clear" w:color="auto" w:fill="F3F9FA"/>
            <w:vAlign w:val="center"/>
          </w:tcPr>
          <w:p w14:paraId="6B305DEA"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Proserpine</w:t>
            </w:r>
          </w:p>
        </w:tc>
        <w:tc>
          <w:tcPr>
            <w:tcW w:w="0" w:type="auto"/>
            <w:vMerge w:val="restart"/>
            <w:shd w:val="clear" w:color="auto" w:fill="F3F9FA"/>
            <w:noWrap/>
            <w:vAlign w:val="center"/>
          </w:tcPr>
          <w:p w14:paraId="398FC42F"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Pioneer Bay</w:t>
            </w:r>
          </w:p>
          <w:p w14:paraId="5B661850"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i/>
                <w:color w:val="000000"/>
                <w:sz w:val="20"/>
                <w:szCs w:val="20"/>
              </w:rPr>
              <w:t>coastal</w:t>
            </w:r>
          </w:p>
        </w:tc>
        <w:tc>
          <w:tcPr>
            <w:tcW w:w="0" w:type="auto"/>
            <w:shd w:val="clear" w:color="auto" w:fill="F3F9FA"/>
            <w:noWrap/>
            <w:vAlign w:val="center"/>
          </w:tcPr>
          <w:p w14:paraId="76BF9BB6"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PI2*</w:t>
            </w:r>
          </w:p>
        </w:tc>
        <w:tc>
          <w:tcPr>
            <w:tcW w:w="0" w:type="auto"/>
            <w:shd w:val="clear" w:color="auto" w:fill="F3F9FA"/>
            <w:noWrap/>
            <w:vAlign w:val="center"/>
          </w:tcPr>
          <w:p w14:paraId="2FC58F7A"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Pioneer Bay</w:t>
            </w:r>
          </w:p>
        </w:tc>
        <w:tc>
          <w:tcPr>
            <w:tcW w:w="0" w:type="auto"/>
            <w:shd w:val="clear" w:color="auto" w:fill="F3F9FA"/>
            <w:noWrap/>
            <w:vAlign w:val="center"/>
          </w:tcPr>
          <w:p w14:paraId="491E069F"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0" w:type="auto"/>
            <w:shd w:val="clear" w:color="auto" w:fill="F3F9FA"/>
            <w:noWrap/>
            <w:vAlign w:val="center"/>
          </w:tcPr>
          <w:p w14:paraId="1FF0F0A8"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16.176</w:t>
            </w:r>
          </w:p>
        </w:tc>
        <w:tc>
          <w:tcPr>
            <w:tcW w:w="0" w:type="auto"/>
            <w:shd w:val="clear" w:color="auto" w:fill="F3F9FA"/>
            <w:noWrap/>
            <w:vAlign w:val="center"/>
          </w:tcPr>
          <w:p w14:paraId="794D3046"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148°</w:t>
            </w:r>
          </w:p>
        </w:tc>
        <w:tc>
          <w:tcPr>
            <w:tcW w:w="0" w:type="auto"/>
            <w:shd w:val="clear" w:color="auto" w:fill="F3F9FA"/>
            <w:noWrap/>
            <w:vAlign w:val="center"/>
          </w:tcPr>
          <w:p w14:paraId="2141E611"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41.586</w:t>
            </w:r>
          </w:p>
        </w:tc>
        <w:tc>
          <w:tcPr>
            <w:tcW w:w="0" w:type="auto"/>
            <w:vMerge w:val="restart"/>
            <w:shd w:val="clear" w:color="auto" w:fill="F3F9FA"/>
            <w:noWrap/>
            <w:vAlign w:val="center"/>
          </w:tcPr>
          <w:p w14:paraId="7823DEBB" w14:textId="77777777" w:rsidR="00A22105" w:rsidRPr="00CB5AB9" w:rsidRDefault="00A22105" w:rsidP="00CC5A54">
            <w:pPr>
              <w:spacing w:before="0" w:after="0" w:line="240" w:lineRule="auto"/>
              <w:contextualSpacing/>
              <w:jc w:val="center"/>
              <w:rPr>
                <w:rFonts w:cs="Arial"/>
                <w:color w:val="000000"/>
                <w:sz w:val="20"/>
                <w:szCs w:val="20"/>
              </w:rPr>
            </w:pPr>
            <w:r w:rsidRPr="00CB5AB9">
              <w:rPr>
                <w:rFonts w:cs="Arial"/>
                <w:i/>
                <w:color w:val="000000"/>
                <w:sz w:val="20"/>
                <w:szCs w:val="20"/>
              </w:rPr>
              <w:t>Z</w:t>
            </w:r>
            <w:r>
              <w:rPr>
                <w:rFonts w:cs="Arial"/>
                <w:i/>
                <w:color w:val="000000"/>
                <w:sz w:val="20"/>
                <w:szCs w:val="20"/>
              </w:rPr>
              <w:t>ostera /</w:t>
            </w:r>
            <w:r w:rsidRPr="00CB5AB9">
              <w:rPr>
                <w:rFonts w:cs="Arial"/>
                <w:i/>
                <w:color w:val="000000"/>
                <w:sz w:val="20"/>
                <w:szCs w:val="20"/>
              </w:rPr>
              <w:t xml:space="preserve"> </w:t>
            </w:r>
            <w:r w:rsidRPr="008717A0">
              <w:rPr>
                <w:rFonts w:cs="Arial"/>
                <w:i/>
                <w:color w:val="000000"/>
                <w:sz w:val="20"/>
                <w:szCs w:val="20"/>
              </w:rPr>
              <w:t>H. uninervis</w:t>
            </w:r>
            <w:r w:rsidRPr="009465B0">
              <w:rPr>
                <w:rFonts w:cs="Arial"/>
                <w:color w:val="000000"/>
                <w:sz w:val="20"/>
                <w:szCs w:val="20"/>
              </w:rPr>
              <w:t xml:space="preserve"> </w:t>
            </w:r>
            <w:r w:rsidRPr="00CB5AB9">
              <w:rPr>
                <w:rFonts w:cs="Arial"/>
                <w:color w:val="000000"/>
                <w:sz w:val="20"/>
                <w:szCs w:val="20"/>
              </w:rPr>
              <w:t xml:space="preserve">with </w:t>
            </w:r>
            <w:r>
              <w:rPr>
                <w:rFonts w:cs="Arial"/>
                <w:i/>
                <w:color w:val="000000"/>
                <w:sz w:val="20"/>
                <w:szCs w:val="20"/>
              </w:rPr>
              <w:t>H. ovalis</w:t>
            </w:r>
          </w:p>
        </w:tc>
      </w:tr>
      <w:tr w:rsidR="00A22105" w:rsidRPr="009465B0" w14:paraId="135210CF" w14:textId="77777777" w:rsidTr="00A374A1">
        <w:trPr>
          <w:trHeight w:val="170"/>
          <w:jc w:val="center"/>
        </w:trPr>
        <w:tc>
          <w:tcPr>
            <w:tcW w:w="0" w:type="auto"/>
            <w:vMerge/>
            <w:shd w:val="clear" w:color="auto" w:fill="auto"/>
            <w:noWrap/>
            <w:vAlign w:val="center"/>
          </w:tcPr>
          <w:p w14:paraId="02149F38"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noWrap/>
            <w:vAlign w:val="center"/>
          </w:tcPr>
          <w:p w14:paraId="6C2CE5D5"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vAlign w:val="center"/>
          </w:tcPr>
          <w:p w14:paraId="117A08F5"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noWrap/>
            <w:vAlign w:val="center"/>
          </w:tcPr>
          <w:p w14:paraId="11B64AB1"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shd w:val="clear" w:color="auto" w:fill="F3F9FA"/>
            <w:noWrap/>
            <w:vAlign w:val="center"/>
          </w:tcPr>
          <w:p w14:paraId="195C17CF" w14:textId="77777777" w:rsidR="00A22105" w:rsidRPr="009465B0" w:rsidRDefault="00A22105" w:rsidP="00CC5A54">
            <w:pPr>
              <w:spacing w:before="0" w:after="0" w:line="240" w:lineRule="auto"/>
              <w:contextualSpacing/>
              <w:jc w:val="center"/>
              <w:rPr>
                <w:rFonts w:cs="Arial"/>
                <w:iCs/>
                <w:color w:val="000000"/>
                <w:sz w:val="20"/>
                <w:szCs w:val="20"/>
              </w:rPr>
            </w:pPr>
            <w:r w:rsidRPr="009465B0">
              <w:rPr>
                <w:rFonts w:cs="Arial"/>
                <w:color w:val="000000"/>
                <w:sz w:val="20"/>
                <w:szCs w:val="20"/>
              </w:rPr>
              <w:t>PI3*</w:t>
            </w:r>
          </w:p>
        </w:tc>
        <w:tc>
          <w:tcPr>
            <w:tcW w:w="0" w:type="auto"/>
            <w:shd w:val="clear" w:color="auto" w:fill="F3F9FA"/>
            <w:noWrap/>
            <w:vAlign w:val="center"/>
          </w:tcPr>
          <w:p w14:paraId="7D0A19D1"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Pioneer Bay</w:t>
            </w:r>
          </w:p>
        </w:tc>
        <w:tc>
          <w:tcPr>
            <w:tcW w:w="0" w:type="auto"/>
            <w:shd w:val="clear" w:color="auto" w:fill="F3F9FA"/>
            <w:noWrap/>
            <w:vAlign w:val="center"/>
          </w:tcPr>
          <w:p w14:paraId="078D5AEB"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0" w:type="auto"/>
            <w:shd w:val="clear" w:color="auto" w:fill="F3F9FA"/>
            <w:noWrap/>
            <w:vAlign w:val="center"/>
          </w:tcPr>
          <w:p w14:paraId="54E5A3BD"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16.248</w:t>
            </w:r>
          </w:p>
        </w:tc>
        <w:tc>
          <w:tcPr>
            <w:tcW w:w="0" w:type="auto"/>
            <w:shd w:val="clear" w:color="auto" w:fill="F3F9FA"/>
            <w:noWrap/>
            <w:vAlign w:val="center"/>
          </w:tcPr>
          <w:p w14:paraId="08C7769C"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148°</w:t>
            </w:r>
          </w:p>
        </w:tc>
        <w:tc>
          <w:tcPr>
            <w:tcW w:w="0" w:type="auto"/>
            <w:shd w:val="clear" w:color="auto" w:fill="F3F9FA"/>
            <w:noWrap/>
            <w:vAlign w:val="center"/>
          </w:tcPr>
          <w:p w14:paraId="671DF631"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41.844</w:t>
            </w:r>
          </w:p>
        </w:tc>
        <w:tc>
          <w:tcPr>
            <w:tcW w:w="0" w:type="auto"/>
            <w:vMerge/>
            <w:shd w:val="clear" w:color="auto" w:fill="F3F9FA"/>
            <w:noWrap/>
            <w:vAlign w:val="center"/>
          </w:tcPr>
          <w:p w14:paraId="037AA67F"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160831DE" w14:textId="77777777" w:rsidTr="00A374A1">
        <w:trPr>
          <w:trHeight w:val="170"/>
          <w:jc w:val="center"/>
        </w:trPr>
        <w:tc>
          <w:tcPr>
            <w:tcW w:w="0" w:type="auto"/>
            <w:vMerge/>
            <w:shd w:val="clear" w:color="auto" w:fill="auto"/>
            <w:noWrap/>
            <w:vAlign w:val="center"/>
          </w:tcPr>
          <w:p w14:paraId="4E5B914B"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noWrap/>
            <w:vAlign w:val="center"/>
          </w:tcPr>
          <w:p w14:paraId="29E1B7A6"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val="restart"/>
            <w:shd w:val="clear" w:color="auto" w:fill="F3F9FA"/>
            <w:vAlign w:val="center"/>
          </w:tcPr>
          <w:p w14:paraId="534F2722"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Proserpine / O'Connell</w:t>
            </w:r>
          </w:p>
        </w:tc>
        <w:tc>
          <w:tcPr>
            <w:tcW w:w="0" w:type="auto"/>
            <w:vMerge w:val="restart"/>
            <w:shd w:val="clear" w:color="auto" w:fill="F3F9FA"/>
            <w:noWrap/>
            <w:vAlign w:val="center"/>
          </w:tcPr>
          <w:p w14:paraId="1E9D164D" w14:textId="77777777" w:rsidR="00A22105" w:rsidRPr="009465B0" w:rsidRDefault="00A22105" w:rsidP="00CC5A54">
            <w:pPr>
              <w:spacing w:before="0" w:after="0" w:line="240" w:lineRule="auto"/>
              <w:contextualSpacing/>
              <w:jc w:val="center"/>
              <w:rPr>
                <w:rFonts w:cs="Arial"/>
                <w:i/>
                <w:color w:val="000000"/>
                <w:sz w:val="20"/>
                <w:szCs w:val="20"/>
              </w:rPr>
            </w:pPr>
            <w:r w:rsidRPr="009465B0">
              <w:rPr>
                <w:rFonts w:cs="Arial"/>
                <w:color w:val="000000"/>
                <w:sz w:val="20"/>
                <w:szCs w:val="20"/>
              </w:rPr>
              <w:t>Whitsunday</w:t>
            </w:r>
            <w:r>
              <w:rPr>
                <w:rFonts w:cs="Arial"/>
                <w:color w:val="000000"/>
                <w:sz w:val="20"/>
                <w:szCs w:val="20"/>
              </w:rPr>
              <w:t>s</w:t>
            </w:r>
          </w:p>
          <w:p w14:paraId="0B6D3E60"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i/>
                <w:color w:val="000000"/>
                <w:sz w:val="20"/>
                <w:szCs w:val="20"/>
              </w:rPr>
              <w:t>reef</w:t>
            </w:r>
          </w:p>
        </w:tc>
        <w:tc>
          <w:tcPr>
            <w:tcW w:w="0" w:type="auto"/>
            <w:shd w:val="clear" w:color="auto" w:fill="F3F9FA"/>
            <w:noWrap/>
            <w:vAlign w:val="center"/>
          </w:tcPr>
          <w:p w14:paraId="78FE9767" w14:textId="77777777" w:rsidR="00A22105" w:rsidRPr="009465B0" w:rsidRDefault="00A22105" w:rsidP="00CC5A54">
            <w:pPr>
              <w:spacing w:before="0" w:after="0" w:line="240" w:lineRule="auto"/>
              <w:contextualSpacing/>
              <w:jc w:val="center"/>
              <w:rPr>
                <w:rFonts w:cs="Arial"/>
                <w:iCs/>
                <w:color w:val="000000"/>
                <w:sz w:val="20"/>
                <w:szCs w:val="20"/>
              </w:rPr>
            </w:pPr>
            <w:r w:rsidRPr="009465B0">
              <w:rPr>
                <w:rFonts w:cs="Arial"/>
                <w:color w:val="000000"/>
                <w:sz w:val="20"/>
                <w:szCs w:val="20"/>
              </w:rPr>
              <w:t>TO1^</w:t>
            </w:r>
          </w:p>
        </w:tc>
        <w:tc>
          <w:tcPr>
            <w:tcW w:w="0" w:type="auto"/>
            <w:shd w:val="clear" w:color="auto" w:fill="F3F9FA"/>
            <w:noWrap/>
            <w:vAlign w:val="center"/>
          </w:tcPr>
          <w:p w14:paraId="5A0342E7"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Tongue Bay</w:t>
            </w:r>
          </w:p>
        </w:tc>
        <w:tc>
          <w:tcPr>
            <w:tcW w:w="0" w:type="auto"/>
            <w:shd w:val="clear" w:color="auto" w:fill="F3F9FA"/>
            <w:noWrap/>
            <w:vAlign w:val="center"/>
          </w:tcPr>
          <w:p w14:paraId="4A2A74C1"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0" w:type="auto"/>
            <w:shd w:val="clear" w:color="auto" w:fill="F3F9FA"/>
            <w:noWrap/>
            <w:vAlign w:val="center"/>
          </w:tcPr>
          <w:p w14:paraId="59CDEBF9"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14.399</w:t>
            </w:r>
          </w:p>
        </w:tc>
        <w:tc>
          <w:tcPr>
            <w:tcW w:w="0" w:type="auto"/>
            <w:shd w:val="clear" w:color="auto" w:fill="F3F9FA"/>
            <w:noWrap/>
            <w:vAlign w:val="center"/>
          </w:tcPr>
          <w:p w14:paraId="4BE2A3D2"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149°</w:t>
            </w:r>
          </w:p>
        </w:tc>
        <w:tc>
          <w:tcPr>
            <w:tcW w:w="0" w:type="auto"/>
            <w:shd w:val="clear" w:color="auto" w:fill="F3F9FA"/>
            <w:noWrap/>
            <w:vAlign w:val="center"/>
          </w:tcPr>
          <w:p w14:paraId="50B38C80"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0.931</w:t>
            </w:r>
          </w:p>
        </w:tc>
        <w:tc>
          <w:tcPr>
            <w:tcW w:w="0" w:type="auto"/>
            <w:vMerge w:val="restart"/>
            <w:shd w:val="clear" w:color="auto" w:fill="F3F9FA"/>
            <w:noWrap/>
            <w:vAlign w:val="center"/>
          </w:tcPr>
          <w:p w14:paraId="1321E2D8" w14:textId="77777777" w:rsidR="00A22105" w:rsidRPr="00CB5AB9" w:rsidRDefault="00A22105" w:rsidP="00CC5A54">
            <w:pPr>
              <w:spacing w:before="0" w:after="0" w:line="240" w:lineRule="auto"/>
              <w:contextualSpacing/>
              <w:jc w:val="center"/>
              <w:rPr>
                <w:rFonts w:cs="Arial"/>
                <w:i/>
                <w:color w:val="000000"/>
                <w:sz w:val="20"/>
                <w:szCs w:val="20"/>
              </w:rPr>
            </w:pPr>
            <w:r w:rsidRPr="00B5549E">
              <w:rPr>
                <w:rFonts w:cs="Arial"/>
                <w:i/>
                <w:color w:val="000000"/>
                <w:sz w:val="20"/>
                <w:szCs w:val="20"/>
              </w:rPr>
              <w:t>H. uninervis</w:t>
            </w:r>
            <w:r>
              <w:rPr>
                <w:rFonts w:cs="Arial"/>
                <w:i/>
                <w:color w:val="000000"/>
                <w:sz w:val="20"/>
                <w:szCs w:val="20"/>
              </w:rPr>
              <w:t xml:space="preserve"> / </w:t>
            </w:r>
            <w:r w:rsidRPr="003B3E71">
              <w:rPr>
                <w:rFonts w:cs="Arial"/>
                <w:i/>
                <w:color w:val="000000"/>
                <w:sz w:val="20"/>
                <w:szCs w:val="20"/>
              </w:rPr>
              <w:t>T. hemprichii</w:t>
            </w:r>
            <w:r w:rsidRPr="00B5549E">
              <w:rPr>
                <w:rFonts w:cs="Arial"/>
                <w:i/>
                <w:color w:val="000000"/>
                <w:sz w:val="20"/>
                <w:szCs w:val="20"/>
              </w:rPr>
              <w:t xml:space="preserve"> </w:t>
            </w:r>
            <w:r>
              <w:rPr>
                <w:rFonts w:cs="Arial"/>
                <w:i/>
                <w:color w:val="000000"/>
                <w:sz w:val="20"/>
                <w:szCs w:val="20"/>
              </w:rPr>
              <w:t xml:space="preserve">with </w:t>
            </w:r>
            <w:r w:rsidRPr="00B5549E">
              <w:rPr>
                <w:rFonts w:cs="Arial"/>
                <w:i/>
                <w:color w:val="000000"/>
                <w:sz w:val="20"/>
                <w:szCs w:val="20"/>
              </w:rPr>
              <w:t>H. ovalis</w:t>
            </w:r>
          </w:p>
        </w:tc>
      </w:tr>
      <w:tr w:rsidR="00A22105" w:rsidRPr="009465B0" w14:paraId="0C7D6D30" w14:textId="77777777" w:rsidTr="00A374A1">
        <w:trPr>
          <w:trHeight w:val="170"/>
          <w:jc w:val="center"/>
        </w:trPr>
        <w:tc>
          <w:tcPr>
            <w:tcW w:w="0" w:type="auto"/>
            <w:vMerge/>
            <w:shd w:val="clear" w:color="auto" w:fill="auto"/>
            <w:noWrap/>
            <w:vAlign w:val="center"/>
          </w:tcPr>
          <w:p w14:paraId="536DCA5E"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noWrap/>
            <w:vAlign w:val="center"/>
          </w:tcPr>
          <w:p w14:paraId="35F9653F"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vAlign w:val="center"/>
          </w:tcPr>
          <w:p w14:paraId="3BADE759"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noWrap/>
            <w:vAlign w:val="center"/>
          </w:tcPr>
          <w:p w14:paraId="1991036C"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shd w:val="clear" w:color="auto" w:fill="F3F9FA"/>
            <w:noWrap/>
            <w:vAlign w:val="center"/>
          </w:tcPr>
          <w:p w14:paraId="6B3D01A6" w14:textId="77777777" w:rsidR="00A22105" w:rsidRPr="009465B0" w:rsidRDefault="00A22105" w:rsidP="00CC5A54">
            <w:pPr>
              <w:spacing w:before="0" w:after="0" w:line="240" w:lineRule="auto"/>
              <w:contextualSpacing/>
              <w:jc w:val="center"/>
              <w:rPr>
                <w:rFonts w:cs="Arial"/>
                <w:iCs/>
                <w:color w:val="000000"/>
                <w:sz w:val="20"/>
                <w:szCs w:val="20"/>
              </w:rPr>
            </w:pPr>
            <w:r w:rsidRPr="009465B0">
              <w:rPr>
                <w:rFonts w:cs="Arial"/>
                <w:color w:val="000000"/>
                <w:sz w:val="20"/>
                <w:szCs w:val="20"/>
              </w:rPr>
              <w:t>TO2^</w:t>
            </w:r>
          </w:p>
        </w:tc>
        <w:tc>
          <w:tcPr>
            <w:tcW w:w="0" w:type="auto"/>
            <w:shd w:val="clear" w:color="auto" w:fill="F3F9FA"/>
            <w:noWrap/>
            <w:vAlign w:val="center"/>
          </w:tcPr>
          <w:p w14:paraId="1E753F15"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Tongue Bay</w:t>
            </w:r>
          </w:p>
        </w:tc>
        <w:tc>
          <w:tcPr>
            <w:tcW w:w="0" w:type="auto"/>
            <w:shd w:val="clear" w:color="auto" w:fill="F3F9FA"/>
            <w:noWrap/>
            <w:vAlign w:val="center"/>
          </w:tcPr>
          <w:p w14:paraId="1301D330"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0" w:type="auto"/>
            <w:shd w:val="clear" w:color="auto" w:fill="F3F9FA"/>
            <w:noWrap/>
            <w:vAlign w:val="center"/>
          </w:tcPr>
          <w:p w14:paraId="480F81A6"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14.197</w:t>
            </w:r>
          </w:p>
        </w:tc>
        <w:tc>
          <w:tcPr>
            <w:tcW w:w="0" w:type="auto"/>
            <w:shd w:val="clear" w:color="auto" w:fill="F3F9FA"/>
            <w:noWrap/>
            <w:vAlign w:val="center"/>
          </w:tcPr>
          <w:p w14:paraId="15ED9366"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149°</w:t>
            </w:r>
          </w:p>
        </w:tc>
        <w:tc>
          <w:tcPr>
            <w:tcW w:w="0" w:type="auto"/>
            <w:shd w:val="clear" w:color="auto" w:fill="F3F9FA"/>
            <w:noWrap/>
            <w:vAlign w:val="center"/>
          </w:tcPr>
          <w:p w14:paraId="563C7E94"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0.697</w:t>
            </w:r>
          </w:p>
        </w:tc>
        <w:tc>
          <w:tcPr>
            <w:tcW w:w="0" w:type="auto"/>
            <w:vMerge/>
            <w:shd w:val="clear" w:color="auto" w:fill="F3F9FA"/>
            <w:noWrap/>
            <w:vAlign w:val="center"/>
          </w:tcPr>
          <w:p w14:paraId="69D0DB64"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46C532E6" w14:textId="77777777" w:rsidTr="00A374A1">
        <w:trPr>
          <w:trHeight w:val="170"/>
          <w:jc w:val="center"/>
        </w:trPr>
        <w:tc>
          <w:tcPr>
            <w:tcW w:w="0" w:type="auto"/>
            <w:vMerge/>
            <w:shd w:val="clear" w:color="auto" w:fill="auto"/>
            <w:noWrap/>
            <w:vAlign w:val="center"/>
          </w:tcPr>
          <w:p w14:paraId="42D28675"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noWrap/>
            <w:vAlign w:val="center"/>
          </w:tcPr>
          <w:p w14:paraId="217CFCF0"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F3F9FA"/>
            <w:vAlign w:val="center"/>
          </w:tcPr>
          <w:p w14:paraId="53005323"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val="restart"/>
            <w:shd w:val="clear" w:color="auto" w:fill="F3F9FA"/>
            <w:noWrap/>
            <w:vAlign w:val="center"/>
          </w:tcPr>
          <w:p w14:paraId="4E823849"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Newry Islands</w:t>
            </w:r>
          </w:p>
          <w:p w14:paraId="74B628CD"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i/>
                <w:color w:val="000000"/>
                <w:sz w:val="20"/>
                <w:szCs w:val="20"/>
              </w:rPr>
              <w:t>coastal</w:t>
            </w:r>
          </w:p>
        </w:tc>
        <w:tc>
          <w:tcPr>
            <w:tcW w:w="0" w:type="auto"/>
            <w:shd w:val="clear" w:color="auto" w:fill="F3F9FA"/>
            <w:noWrap/>
            <w:vAlign w:val="center"/>
          </w:tcPr>
          <w:p w14:paraId="0B4829FA" w14:textId="77777777" w:rsidR="00A22105" w:rsidRPr="009465B0" w:rsidRDefault="00A22105" w:rsidP="00CC5A54">
            <w:pPr>
              <w:spacing w:before="0" w:after="0" w:line="240" w:lineRule="auto"/>
              <w:contextualSpacing/>
              <w:jc w:val="center"/>
              <w:rPr>
                <w:rFonts w:cs="Arial"/>
                <w:iCs/>
                <w:color w:val="000000"/>
                <w:sz w:val="20"/>
                <w:szCs w:val="20"/>
              </w:rPr>
            </w:pPr>
            <w:r w:rsidRPr="009465B0">
              <w:rPr>
                <w:rFonts w:cs="Arial"/>
                <w:color w:val="000000"/>
                <w:sz w:val="20"/>
                <w:szCs w:val="20"/>
              </w:rPr>
              <w:t>NB1^</w:t>
            </w:r>
          </w:p>
        </w:tc>
        <w:tc>
          <w:tcPr>
            <w:tcW w:w="0" w:type="auto"/>
            <w:shd w:val="clear" w:color="auto" w:fill="F3F9FA"/>
            <w:noWrap/>
            <w:vAlign w:val="center"/>
          </w:tcPr>
          <w:p w14:paraId="6A7F05B4"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Newry Bay</w:t>
            </w:r>
          </w:p>
        </w:tc>
        <w:tc>
          <w:tcPr>
            <w:tcW w:w="0" w:type="auto"/>
            <w:shd w:val="clear" w:color="auto" w:fill="F3F9FA"/>
            <w:noWrap/>
            <w:vAlign w:val="center"/>
          </w:tcPr>
          <w:p w14:paraId="260AB8D6"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0" w:type="auto"/>
            <w:shd w:val="clear" w:color="auto" w:fill="F3F9FA"/>
            <w:noWrap/>
            <w:vAlign w:val="center"/>
          </w:tcPr>
          <w:p w14:paraId="0461B98B"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52.057</w:t>
            </w:r>
          </w:p>
        </w:tc>
        <w:tc>
          <w:tcPr>
            <w:tcW w:w="0" w:type="auto"/>
            <w:shd w:val="clear" w:color="auto" w:fill="F3F9FA"/>
            <w:noWrap/>
            <w:vAlign w:val="center"/>
          </w:tcPr>
          <w:p w14:paraId="3417CE22"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148°</w:t>
            </w:r>
          </w:p>
        </w:tc>
        <w:tc>
          <w:tcPr>
            <w:tcW w:w="0" w:type="auto"/>
            <w:shd w:val="clear" w:color="auto" w:fill="F3F9FA"/>
            <w:noWrap/>
            <w:vAlign w:val="center"/>
          </w:tcPr>
          <w:p w14:paraId="104BB084"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55.531</w:t>
            </w:r>
          </w:p>
        </w:tc>
        <w:tc>
          <w:tcPr>
            <w:tcW w:w="0" w:type="auto"/>
            <w:vMerge w:val="restart"/>
            <w:shd w:val="clear" w:color="auto" w:fill="F3F9FA"/>
            <w:noWrap/>
            <w:vAlign w:val="center"/>
          </w:tcPr>
          <w:p w14:paraId="42BF7A57" w14:textId="77777777" w:rsidR="00A22105" w:rsidRPr="00CB5AB9" w:rsidRDefault="00A22105" w:rsidP="00CC5A54">
            <w:pPr>
              <w:spacing w:before="0" w:after="0" w:line="240" w:lineRule="auto"/>
              <w:contextualSpacing/>
              <w:jc w:val="center"/>
              <w:rPr>
                <w:rFonts w:cs="Arial"/>
                <w:i/>
                <w:color w:val="000000"/>
                <w:sz w:val="20"/>
                <w:szCs w:val="20"/>
              </w:rPr>
            </w:pPr>
            <w:r w:rsidRPr="00B5549E">
              <w:rPr>
                <w:rFonts w:cs="Arial"/>
                <w:i/>
                <w:color w:val="000000"/>
                <w:sz w:val="20"/>
                <w:szCs w:val="20"/>
              </w:rPr>
              <w:t>H. uninervis</w:t>
            </w:r>
            <w:r>
              <w:rPr>
                <w:rFonts w:cs="Arial"/>
                <w:i/>
                <w:color w:val="000000"/>
                <w:sz w:val="20"/>
                <w:szCs w:val="20"/>
              </w:rPr>
              <w:t xml:space="preserve"> with </w:t>
            </w:r>
            <w:r w:rsidRPr="00B5549E">
              <w:rPr>
                <w:rFonts w:cs="Arial"/>
                <w:i/>
                <w:color w:val="000000"/>
                <w:sz w:val="20"/>
                <w:szCs w:val="20"/>
              </w:rPr>
              <w:t>H. ovalis</w:t>
            </w:r>
            <w:r>
              <w:rPr>
                <w:rFonts w:cs="Arial"/>
                <w:i/>
                <w:color w:val="000000"/>
                <w:sz w:val="20"/>
                <w:szCs w:val="20"/>
              </w:rPr>
              <w:t xml:space="preserve"> / H. spinulosa</w:t>
            </w:r>
          </w:p>
        </w:tc>
      </w:tr>
      <w:tr w:rsidR="00A22105" w:rsidRPr="009465B0" w14:paraId="001ABC68" w14:textId="77777777" w:rsidTr="00A374A1">
        <w:trPr>
          <w:trHeight w:val="170"/>
          <w:jc w:val="center"/>
        </w:trPr>
        <w:tc>
          <w:tcPr>
            <w:tcW w:w="0" w:type="auto"/>
            <w:vMerge/>
            <w:shd w:val="clear" w:color="auto" w:fill="auto"/>
            <w:noWrap/>
            <w:vAlign w:val="center"/>
          </w:tcPr>
          <w:p w14:paraId="163E6C7C"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auto"/>
            <w:noWrap/>
            <w:vAlign w:val="center"/>
          </w:tcPr>
          <w:p w14:paraId="73D49D19"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auto"/>
            <w:vAlign w:val="center"/>
          </w:tcPr>
          <w:p w14:paraId="3E9BAFEF"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auto"/>
            <w:noWrap/>
            <w:vAlign w:val="center"/>
          </w:tcPr>
          <w:p w14:paraId="75B9345F"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shd w:val="clear" w:color="auto" w:fill="F3F9FA"/>
            <w:noWrap/>
            <w:vAlign w:val="center"/>
          </w:tcPr>
          <w:p w14:paraId="5D1B0477" w14:textId="77777777" w:rsidR="00A22105" w:rsidRPr="009465B0" w:rsidRDefault="00A22105" w:rsidP="00CC5A54">
            <w:pPr>
              <w:spacing w:before="0" w:after="0" w:line="240" w:lineRule="auto"/>
              <w:contextualSpacing/>
              <w:jc w:val="center"/>
              <w:rPr>
                <w:rFonts w:cs="Arial"/>
                <w:iCs/>
                <w:color w:val="000000"/>
                <w:sz w:val="20"/>
                <w:szCs w:val="20"/>
              </w:rPr>
            </w:pPr>
            <w:r w:rsidRPr="009465B0">
              <w:rPr>
                <w:rFonts w:cs="Arial"/>
                <w:color w:val="000000"/>
                <w:sz w:val="20"/>
                <w:szCs w:val="20"/>
              </w:rPr>
              <w:t>NB2^</w:t>
            </w:r>
          </w:p>
        </w:tc>
        <w:tc>
          <w:tcPr>
            <w:tcW w:w="0" w:type="auto"/>
            <w:shd w:val="clear" w:color="auto" w:fill="F3F9FA"/>
            <w:noWrap/>
            <w:vAlign w:val="center"/>
          </w:tcPr>
          <w:p w14:paraId="70872F0E"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Newry Bay</w:t>
            </w:r>
          </w:p>
        </w:tc>
        <w:tc>
          <w:tcPr>
            <w:tcW w:w="0" w:type="auto"/>
            <w:shd w:val="clear" w:color="auto" w:fill="F3F9FA"/>
            <w:noWrap/>
            <w:vAlign w:val="center"/>
          </w:tcPr>
          <w:p w14:paraId="0D252686"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20°</w:t>
            </w:r>
          </w:p>
        </w:tc>
        <w:tc>
          <w:tcPr>
            <w:tcW w:w="0" w:type="auto"/>
            <w:shd w:val="clear" w:color="auto" w:fill="F3F9FA"/>
            <w:noWrap/>
            <w:vAlign w:val="center"/>
          </w:tcPr>
          <w:p w14:paraId="65438EA9"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52.328</w:t>
            </w:r>
          </w:p>
        </w:tc>
        <w:tc>
          <w:tcPr>
            <w:tcW w:w="0" w:type="auto"/>
            <w:shd w:val="clear" w:color="auto" w:fill="F3F9FA"/>
            <w:noWrap/>
            <w:vAlign w:val="center"/>
          </w:tcPr>
          <w:p w14:paraId="6BC4DB22"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148°</w:t>
            </w:r>
          </w:p>
        </w:tc>
        <w:tc>
          <w:tcPr>
            <w:tcW w:w="0" w:type="auto"/>
            <w:shd w:val="clear" w:color="auto" w:fill="F3F9FA"/>
            <w:noWrap/>
            <w:vAlign w:val="center"/>
          </w:tcPr>
          <w:p w14:paraId="7A179D36"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55.436</w:t>
            </w:r>
          </w:p>
        </w:tc>
        <w:tc>
          <w:tcPr>
            <w:tcW w:w="0" w:type="auto"/>
            <w:vMerge/>
            <w:shd w:val="clear" w:color="auto" w:fill="auto"/>
            <w:noWrap/>
            <w:vAlign w:val="center"/>
          </w:tcPr>
          <w:p w14:paraId="76F7162D" w14:textId="77777777" w:rsidR="00A22105" w:rsidRPr="00CB5AB9" w:rsidRDefault="00A22105" w:rsidP="00CC5A54">
            <w:pPr>
              <w:spacing w:before="0" w:after="0" w:line="240" w:lineRule="auto"/>
              <w:contextualSpacing/>
              <w:jc w:val="center"/>
              <w:rPr>
                <w:rFonts w:cs="Arial"/>
                <w:i/>
                <w:color w:val="000000"/>
                <w:sz w:val="20"/>
                <w:szCs w:val="20"/>
              </w:rPr>
            </w:pPr>
          </w:p>
        </w:tc>
      </w:tr>
      <w:tr w:rsidR="00A22105" w:rsidRPr="009465B0" w14:paraId="537E635D" w14:textId="77777777" w:rsidTr="00A374A1">
        <w:trPr>
          <w:trHeight w:val="170"/>
          <w:jc w:val="center"/>
        </w:trPr>
        <w:tc>
          <w:tcPr>
            <w:tcW w:w="0" w:type="auto"/>
            <w:vMerge w:val="restart"/>
            <w:shd w:val="clear" w:color="auto" w:fill="auto"/>
            <w:noWrap/>
            <w:vAlign w:val="center"/>
          </w:tcPr>
          <w:p w14:paraId="1CBA7F3B" w14:textId="77777777" w:rsidR="00A22105" w:rsidRPr="009465B0" w:rsidRDefault="00A22105" w:rsidP="00CC5A54">
            <w:pPr>
              <w:spacing w:before="0" w:after="0" w:line="240" w:lineRule="auto"/>
              <w:contextualSpacing/>
              <w:jc w:val="center"/>
              <w:rPr>
                <w:rFonts w:cs="Arial"/>
                <w:color w:val="000000"/>
                <w:sz w:val="20"/>
                <w:szCs w:val="20"/>
              </w:rPr>
            </w:pPr>
            <w:r w:rsidRPr="009465B0">
              <w:rPr>
                <w:rFonts w:cs="Arial"/>
                <w:color w:val="000000"/>
                <w:sz w:val="20"/>
                <w:szCs w:val="20"/>
              </w:rPr>
              <w:t>Southern</w:t>
            </w:r>
          </w:p>
        </w:tc>
        <w:tc>
          <w:tcPr>
            <w:tcW w:w="0" w:type="auto"/>
            <w:vMerge w:val="restart"/>
            <w:shd w:val="clear" w:color="auto" w:fill="E7F3F4"/>
            <w:noWrap/>
            <w:vAlign w:val="center"/>
          </w:tcPr>
          <w:p w14:paraId="39AFBCAC" w14:textId="77777777" w:rsidR="00A22105" w:rsidRPr="009465B0" w:rsidRDefault="00A22105" w:rsidP="00CC5A54">
            <w:pPr>
              <w:spacing w:before="0" w:after="0" w:line="240" w:lineRule="auto"/>
              <w:contextualSpacing/>
              <w:jc w:val="center"/>
              <w:rPr>
                <w:rFonts w:cs="Arial"/>
                <w:color w:val="000000"/>
                <w:sz w:val="20"/>
                <w:szCs w:val="20"/>
              </w:rPr>
            </w:pPr>
            <w:r w:rsidRPr="00780C6B">
              <w:rPr>
                <w:rFonts w:cs="Arial"/>
                <w:color w:val="000000"/>
                <w:sz w:val="20"/>
                <w:szCs w:val="20"/>
              </w:rPr>
              <w:t>Burnett Mary</w:t>
            </w:r>
          </w:p>
        </w:tc>
        <w:tc>
          <w:tcPr>
            <w:tcW w:w="0" w:type="auto"/>
            <w:vMerge w:val="restart"/>
            <w:shd w:val="clear" w:color="auto" w:fill="E7F3F4"/>
            <w:vAlign w:val="center"/>
          </w:tcPr>
          <w:p w14:paraId="25E5EA3A"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Burrum</w:t>
            </w:r>
          </w:p>
        </w:tc>
        <w:tc>
          <w:tcPr>
            <w:tcW w:w="0" w:type="auto"/>
            <w:vMerge w:val="restart"/>
            <w:shd w:val="clear" w:color="auto" w:fill="E7F3F4"/>
            <w:noWrap/>
            <w:vAlign w:val="center"/>
          </w:tcPr>
          <w:p w14:paraId="00578173" w14:textId="77777777" w:rsidR="00A22105" w:rsidRPr="00CB5AB9"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Hervey Bay</w:t>
            </w:r>
          </w:p>
          <w:p w14:paraId="380DCC1B" w14:textId="77777777" w:rsidR="00A22105" w:rsidRPr="00CB5AB9" w:rsidRDefault="00A22105" w:rsidP="00CC5A54">
            <w:pPr>
              <w:spacing w:before="0" w:after="0" w:line="240" w:lineRule="auto"/>
              <w:contextualSpacing/>
              <w:jc w:val="center"/>
              <w:rPr>
                <w:rFonts w:cs="Arial"/>
                <w:i/>
                <w:color w:val="000000"/>
                <w:sz w:val="20"/>
                <w:szCs w:val="20"/>
              </w:rPr>
            </w:pPr>
            <w:r w:rsidRPr="00CB5AB9">
              <w:rPr>
                <w:rFonts w:cs="Arial"/>
                <w:i/>
                <w:color w:val="000000"/>
                <w:sz w:val="20"/>
                <w:szCs w:val="20"/>
              </w:rPr>
              <w:t>coastal</w:t>
            </w:r>
          </w:p>
        </w:tc>
        <w:tc>
          <w:tcPr>
            <w:tcW w:w="0" w:type="auto"/>
            <w:shd w:val="clear" w:color="auto" w:fill="E7F3F4"/>
            <w:noWrap/>
            <w:vAlign w:val="center"/>
          </w:tcPr>
          <w:p w14:paraId="045BEB8D"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BH1*</w:t>
            </w:r>
          </w:p>
        </w:tc>
        <w:tc>
          <w:tcPr>
            <w:tcW w:w="0" w:type="auto"/>
            <w:shd w:val="clear" w:color="auto" w:fill="E7F3F4"/>
            <w:noWrap/>
            <w:vAlign w:val="center"/>
          </w:tcPr>
          <w:p w14:paraId="55682383"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Burrum Heads</w:t>
            </w:r>
          </w:p>
        </w:tc>
        <w:tc>
          <w:tcPr>
            <w:tcW w:w="0" w:type="auto"/>
            <w:shd w:val="clear" w:color="auto" w:fill="E7F3F4"/>
            <w:noWrap/>
            <w:vAlign w:val="center"/>
          </w:tcPr>
          <w:p w14:paraId="172747A3"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25°</w:t>
            </w:r>
          </w:p>
        </w:tc>
        <w:tc>
          <w:tcPr>
            <w:tcW w:w="0" w:type="auto"/>
            <w:shd w:val="clear" w:color="auto" w:fill="E7F3F4"/>
            <w:noWrap/>
            <w:vAlign w:val="center"/>
          </w:tcPr>
          <w:p w14:paraId="58F3F308"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11.290</w:t>
            </w:r>
          </w:p>
        </w:tc>
        <w:tc>
          <w:tcPr>
            <w:tcW w:w="0" w:type="auto"/>
            <w:shd w:val="clear" w:color="auto" w:fill="E7F3F4"/>
            <w:noWrap/>
            <w:vAlign w:val="center"/>
          </w:tcPr>
          <w:p w14:paraId="21BF6A4D"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152°</w:t>
            </w:r>
          </w:p>
        </w:tc>
        <w:tc>
          <w:tcPr>
            <w:tcW w:w="0" w:type="auto"/>
            <w:shd w:val="clear" w:color="auto" w:fill="E7F3F4"/>
            <w:noWrap/>
            <w:vAlign w:val="center"/>
          </w:tcPr>
          <w:p w14:paraId="475DD122"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37.532</w:t>
            </w:r>
          </w:p>
        </w:tc>
        <w:tc>
          <w:tcPr>
            <w:tcW w:w="0" w:type="auto"/>
            <w:vMerge w:val="restart"/>
            <w:shd w:val="clear" w:color="auto" w:fill="E7F3F4"/>
            <w:noWrap/>
            <w:vAlign w:val="center"/>
          </w:tcPr>
          <w:p w14:paraId="752CD1ED" w14:textId="77777777" w:rsidR="00A22105" w:rsidRPr="00CB5AB9" w:rsidRDefault="00A22105" w:rsidP="00CC5A54">
            <w:pPr>
              <w:spacing w:before="0" w:after="0" w:line="240" w:lineRule="auto"/>
              <w:contextualSpacing/>
              <w:jc w:val="center"/>
              <w:rPr>
                <w:rFonts w:cs="Arial"/>
                <w:i/>
                <w:color w:val="000000"/>
                <w:sz w:val="20"/>
                <w:szCs w:val="20"/>
              </w:rPr>
            </w:pPr>
            <w:r w:rsidRPr="00B5549E">
              <w:rPr>
                <w:rFonts w:cs="Arial"/>
                <w:i/>
                <w:color w:val="000000"/>
                <w:sz w:val="20"/>
                <w:szCs w:val="20"/>
              </w:rPr>
              <w:t>H. uninervis</w:t>
            </w:r>
            <w:r>
              <w:rPr>
                <w:rFonts w:cs="Arial"/>
                <w:i/>
                <w:color w:val="000000"/>
                <w:sz w:val="20"/>
                <w:szCs w:val="20"/>
              </w:rPr>
              <w:t xml:space="preserve"> / </w:t>
            </w:r>
            <w:r w:rsidRPr="00B5549E">
              <w:rPr>
                <w:rFonts w:cs="Arial"/>
                <w:i/>
                <w:color w:val="000000"/>
                <w:sz w:val="20"/>
                <w:szCs w:val="20"/>
              </w:rPr>
              <w:t xml:space="preserve">Zostera </w:t>
            </w:r>
            <w:r>
              <w:rPr>
                <w:rFonts w:cs="Arial"/>
                <w:i/>
                <w:color w:val="000000"/>
                <w:sz w:val="20"/>
                <w:szCs w:val="20"/>
              </w:rPr>
              <w:t xml:space="preserve">with </w:t>
            </w:r>
            <w:r w:rsidRPr="00B5549E">
              <w:rPr>
                <w:rFonts w:cs="Arial"/>
                <w:i/>
                <w:color w:val="000000"/>
                <w:sz w:val="20"/>
                <w:szCs w:val="20"/>
              </w:rPr>
              <w:t>H. ovalis</w:t>
            </w:r>
          </w:p>
        </w:tc>
      </w:tr>
      <w:tr w:rsidR="00A22105" w:rsidRPr="009465B0" w14:paraId="48099DD9" w14:textId="77777777" w:rsidTr="00A374A1">
        <w:trPr>
          <w:trHeight w:val="170"/>
          <w:jc w:val="center"/>
        </w:trPr>
        <w:tc>
          <w:tcPr>
            <w:tcW w:w="0" w:type="auto"/>
            <w:vMerge/>
            <w:noWrap/>
            <w:vAlign w:val="center"/>
          </w:tcPr>
          <w:p w14:paraId="32B6C0C6"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noWrap/>
            <w:vAlign w:val="center"/>
          </w:tcPr>
          <w:p w14:paraId="280E4B8A"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vAlign w:val="center"/>
          </w:tcPr>
          <w:p w14:paraId="4774BE48"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vMerge/>
            <w:shd w:val="clear" w:color="auto" w:fill="E7F3F4"/>
            <w:noWrap/>
            <w:vAlign w:val="center"/>
          </w:tcPr>
          <w:p w14:paraId="64B49F21" w14:textId="77777777" w:rsidR="00A22105" w:rsidRPr="009465B0" w:rsidRDefault="00A22105" w:rsidP="00CC5A54">
            <w:pPr>
              <w:spacing w:before="0" w:after="0" w:line="240" w:lineRule="auto"/>
              <w:contextualSpacing/>
              <w:jc w:val="center"/>
              <w:rPr>
                <w:rFonts w:cs="Arial"/>
                <w:color w:val="000000"/>
                <w:sz w:val="20"/>
                <w:szCs w:val="20"/>
              </w:rPr>
            </w:pPr>
          </w:p>
        </w:tc>
        <w:tc>
          <w:tcPr>
            <w:tcW w:w="0" w:type="auto"/>
            <w:shd w:val="clear" w:color="auto" w:fill="E7F3F4"/>
            <w:noWrap/>
            <w:vAlign w:val="center"/>
          </w:tcPr>
          <w:p w14:paraId="0049A011"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BH3*</w:t>
            </w:r>
          </w:p>
        </w:tc>
        <w:tc>
          <w:tcPr>
            <w:tcW w:w="0" w:type="auto"/>
            <w:shd w:val="clear" w:color="auto" w:fill="E7F3F4"/>
            <w:noWrap/>
            <w:vAlign w:val="center"/>
          </w:tcPr>
          <w:p w14:paraId="238E4EF2"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Burrum Heads</w:t>
            </w:r>
          </w:p>
        </w:tc>
        <w:tc>
          <w:tcPr>
            <w:tcW w:w="0" w:type="auto"/>
            <w:shd w:val="clear" w:color="auto" w:fill="E7F3F4"/>
            <w:noWrap/>
            <w:vAlign w:val="center"/>
          </w:tcPr>
          <w:p w14:paraId="2577582F"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25°</w:t>
            </w:r>
          </w:p>
        </w:tc>
        <w:tc>
          <w:tcPr>
            <w:tcW w:w="0" w:type="auto"/>
            <w:shd w:val="clear" w:color="auto" w:fill="E7F3F4"/>
            <w:noWrap/>
            <w:vAlign w:val="center"/>
          </w:tcPr>
          <w:p w14:paraId="6E7EC2C3"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12.620</w:t>
            </w:r>
          </w:p>
        </w:tc>
        <w:tc>
          <w:tcPr>
            <w:tcW w:w="0" w:type="auto"/>
            <w:shd w:val="clear" w:color="auto" w:fill="E7F3F4"/>
            <w:noWrap/>
            <w:vAlign w:val="center"/>
          </w:tcPr>
          <w:p w14:paraId="10029BD1"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152°</w:t>
            </w:r>
          </w:p>
        </w:tc>
        <w:tc>
          <w:tcPr>
            <w:tcW w:w="0" w:type="auto"/>
            <w:shd w:val="clear" w:color="auto" w:fill="E7F3F4"/>
            <w:noWrap/>
            <w:vAlign w:val="center"/>
          </w:tcPr>
          <w:p w14:paraId="4F2066D5" w14:textId="77777777" w:rsidR="00A22105" w:rsidRPr="009465B0" w:rsidRDefault="00A22105" w:rsidP="00CC5A54">
            <w:pPr>
              <w:spacing w:before="0" w:after="0" w:line="240" w:lineRule="auto"/>
              <w:contextualSpacing/>
              <w:jc w:val="center"/>
              <w:rPr>
                <w:rFonts w:cs="Arial"/>
                <w:color w:val="000000"/>
                <w:sz w:val="20"/>
                <w:szCs w:val="20"/>
              </w:rPr>
            </w:pPr>
            <w:r w:rsidRPr="00CB5AB9">
              <w:rPr>
                <w:rFonts w:cs="Arial"/>
                <w:color w:val="000000"/>
                <w:sz w:val="20"/>
                <w:szCs w:val="20"/>
              </w:rPr>
              <w:t>38.359</w:t>
            </w:r>
          </w:p>
        </w:tc>
        <w:tc>
          <w:tcPr>
            <w:tcW w:w="0" w:type="auto"/>
            <w:vMerge/>
            <w:shd w:val="clear" w:color="auto" w:fill="E7F3F4"/>
            <w:noWrap/>
            <w:vAlign w:val="center"/>
          </w:tcPr>
          <w:p w14:paraId="2915E547" w14:textId="77777777" w:rsidR="00A22105" w:rsidRPr="00CB5AB9" w:rsidRDefault="00A22105" w:rsidP="00CC5A54">
            <w:pPr>
              <w:spacing w:before="0" w:after="0" w:line="240" w:lineRule="auto"/>
              <w:contextualSpacing/>
              <w:jc w:val="center"/>
              <w:rPr>
                <w:rFonts w:cs="Arial"/>
                <w:i/>
                <w:color w:val="000000"/>
                <w:sz w:val="20"/>
                <w:szCs w:val="20"/>
              </w:rPr>
            </w:pPr>
          </w:p>
        </w:tc>
      </w:tr>
    </w:tbl>
    <w:p w14:paraId="33F96B7E" w14:textId="77777777" w:rsidR="00A22105" w:rsidRDefault="00A22105" w:rsidP="00A22105">
      <w:pPr>
        <w:tabs>
          <w:tab w:val="left" w:pos="5655"/>
        </w:tabs>
        <w:rPr>
          <w:rFonts w:cs="Arial"/>
        </w:rPr>
        <w:sectPr w:rsidR="00A22105" w:rsidSect="006D5B41">
          <w:pgSz w:w="16838" w:h="11906" w:orient="landscape"/>
          <w:pgMar w:top="1440" w:right="1440" w:bottom="1440" w:left="1440" w:header="709" w:footer="709" w:gutter="0"/>
          <w:cols w:space="708"/>
          <w:docGrid w:linePitch="360"/>
        </w:sectPr>
      </w:pPr>
    </w:p>
    <w:p w14:paraId="253324F2" w14:textId="6AF992EB" w:rsidR="00322094" w:rsidRDefault="00780C6B" w:rsidP="00322094">
      <w:pPr>
        <w:rPr>
          <w:rFonts w:cs="Arial"/>
        </w:rPr>
      </w:pPr>
      <w:r w:rsidRPr="0058370B">
        <w:rPr>
          <w:rFonts w:cs="Arial"/>
        </w:rPr>
        <w:t>At each site, during each survey, observers record the per</w:t>
      </w:r>
      <w:r w:rsidR="00C74BCF">
        <w:rPr>
          <w:rFonts w:cs="Arial"/>
        </w:rPr>
        <w:t xml:space="preserve"> </w:t>
      </w:r>
      <w:r w:rsidRPr="0058370B">
        <w:rPr>
          <w:rFonts w:cs="Arial"/>
        </w:rPr>
        <w:t xml:space="preserve">cent seagrass cover within a 50 cm </w:t>
      </w:r>
      <w:r w:rsidR="00C74BCF">
        <w:rPr>
          <w:rFonts w:cs="Arial"/>
        </w:rPr>
        <w:t>×</w:t>
      </w:r>
      <w:r w:rsidRPr="0058370B">
        <w:rPr>
          <w:rFonts w:cs="Arial"/>
        </w:rPr>
        <w:t xml:space="preserve"> </w:t>
      </w:r>
      <w:r w:rsidRPr="00FE379C">
        <w:rPr>
          <w:rFonts w:cs="Arial"/>
        </w:rPr>
        <w:t xml:space="preserve">50 cm quadrat every </w:t>
      </w:r>
      <w:r w:rsidR="00FE379C" w:rsidRPr="00FE379C">
        <w:rPr>
          <w:rFonts w:cs="Arial"/>
        </w:rPr>
        <w:t xml:space="preserve">five </w:t>
      </w:r>
      <w:r w:rsidRPr="00FE379C">
        <w:rPr>
          <w:rFonts w:cs="Arial"/>
        </w:rPr>
        <w:t>m</w:t>
      </w:r>
      <w:r w:rsidR="00FE379C" w:rsidRPr="00FE379C">
        <w:rPr>
          <w:rFonts w:cs="Arial"/>
        </w:rPr>
        <w:t>etres</w:t>
      </w:r>
      <w:r w:rsidRPr="00FE379C">
        <w:rPr>
          <w:rFonts w:cs="Arial"/>
        </w:rPr>
        <w:t xml:space="preserve"> along three 50</w:t>
      </w:r>
      <w:r w:rsidR="00C74BCF" w:rsidRPr="00FE379C">
        <w:rPr>
          <w:rFonts w:cs="Arial"/>
        </w:rPr>
        <w:t xml:space="preserve"> </w:t>
      </w:r>
      <w:r w:rsidRPr="00FE379C">
        <w:rPr>
          <w:rFonts w:cs="Arial"/>
        </w:rPr>
        <w:t>m</w:t>
      </w:r>
      <w:r w:rsidR="00C74BCF" w:rsidRPr="00FE379C">
        <w:rPr>
          <w:rFonts w:cs="Arial"/>
        </w:rPr>
        <w:t>etre</w:t>
      </w:r>
      <w:r w:rsidRPr="00FE379C">
        <w:rPr>
          <w:rFonts w:cs="Arial"/>
        </w:rPr>
        <w:t xml:space="preserve"> transects, placed 25</w:t>
      </w:r>
      <w:r w:rsidR="00C74BCF" w:rsidRPr="00FE379C">
        <w:rPr>
          <w:rFonts w:cs="Arial"/>
        </w:rPr>
        <w:t xml:space="preserve"> </w:t>
      </w:r>
      <w:r w:rsidRPr="00FE379C">
        <w:rPr>
          <w:rFonts w:cs="Arial"/>
        </w:rPr>
        <w:t>m</w:t>
      </w:r>
      <w:r w:rsidR="00C74BCF" w:rsidRPr="00FE379C">
        <w:rPr>
          <w:rFonts w:cs="Arial"/>
        </w:rPr>
        <w:t>etres</w:t>
      </w:r>
      <w:r w:rsidRPr="00FE379C">
        <w:rPr>
          <w:rFonts w:cs="Arial"/>
        </w:rPr>
        <w:t xml:space="preserve"> apart. A total of 33 quadrats are sampled per site. Seagrass abundance is visually estimated as the fraction of the seabed (substrate) obscured by the seagrass species </w:t>
      </w:r>
      <w:r w:rsidR="0036236F">
        <w:rPr>
          <w:rFonts w:cs="Arial"/>
        </w:rPr>
        <w:t xml:space="preserve">leaves (living) </w:t>
      </w:r>
      <w:r w:rsidRPr="00FE379C">
        <w:rPr>
          <w:rFonts w:cs="Arial"/>
        </w:rPr>
        <w:t>when submerged and viewed from above. This method is used because the technique has wider application and is very quick, requiring only minutes at each quadrat; yet it is robust and highly repeatable, thereby minimising among-observer differences. Quadrat per</w:t>
      </w:r>
      <w:r w:rsidR="00C74BCF" w:rsidRPr="00FE379C">
        <w:rPr>
          <w:rFonts w:cs="Arial"/>
        </w:rPr>
        <w:t xml:space="preserve"> </w:t>
      </w:r>
      <w:r w:rsidRPr="00FE379C">
        <w:rPr>
          <w:rFonts w:cs="Arial"/>
        </w:rPr>
        <w:t>cent cover measurements have also been found to be far more efficient in detecting differences in seagrass abundance than seagrass blade counts or measures of above- or below-ground biomass. To improve resolution and allow greater differentiation at very low percentage covers (e.g. &lt;</w:t>
      </w:r>
      <w:r w:rsidR="00C74BCF" w:rsidRPr="00FE379C">
        <w:rPr>
          <w:rFonts w:cs="Arial"/>
        </w:rPr>
        <w:t xml:space="preserve"> three per cent</w:t>
      </w:r>
      <w:r w:rsidRPr="00FE379C">
        <w:rPr>
          <w:rFonts w:cs="Arial"/>
        </w:rPr>
        <w:t xml:space="preserve">), shoot counts based on global species density maxima are used. For example: 1 pair of </w:t>
      </w:r>
      <w:r w:rsidRPr="00FE379C">
        <w:rPr>
          <w:rFonts w:cs="Arial"/>
          <w:i/>
        </w:rPr>
        <w:t>Halophila ovalis</w:t>
      </w:r>
      <w:r w:rsidRPr="00FE379C">
        <w:rPr>
          <w:rFonts w:cs="Arial"/>
        </w:rPr>
        <w:t xml:space="preserve"> leaves in a quadrat = 0.1%; 1 shoot/ramet of </w:t>
      </w:r>
      <w:r w:rsidRPr="00FE379C">
        <w:rPr>
          <w:rFonts w:cs="Arial"/>
          <w:i/>
        </w:rPr>
        <w:t>Zostera</w:t>
      </w:r>
      <w:r w:rsidRPr="00FE379C">
        <w:rPr>
          <w:rFonts w:cs="Arial"/>
        </w:rPr>
        <w:t xml:space="preserve"> in a quadrat = 0.2%. </w:t>
      </w:r>
      <w:r w:rsidR="00383250" w:rsidRPr="00FE379C">
        <w:rPr>
          <w:rFonts w:cs="Arial"/>
        </w:rPr>
        <w:t xml:space="preserve">Extra </w:t>
      </w:r>
      <w:r w:rsidRPr="00FE379C">
        <w:rPr>
          <w:rFonts w:cs="Arial"/>
        </w:rPr>
        <w:t>information is collected at the quadrat level, including seagrass canopy height of the dominant strap leaved species;</w:t>
      </w:r>
      <w:r w:rsidRPr="0058370B">
        <w:rPr>
          <w:rFonts w:cs="Arial"/>
        </w:rPr>
        <w:t xml:space="preserve"> macrofaunal abundance; abundance of burrows, as a measure of bioturbation; presence of herbivory (</w:t>
      </w:r>
      <w:r w:rsidR="00C74BCF">
        <w:rPr>
          <w:rFonts w:cs="Arial"/>
        </w:rPr>
        <w:t>for example</w:t>
      </w:r>
      <w:r w:rsidRPr="0058370B">
        <w:rPr>
          <w:rFonts w:cs="Arial"/>
        </w:rPr>
        <w:t xml:space="preserve"> dugong and sea turtle); a visual/tactile assessment of sediment composition </w:t>
      </w:r>
      <w:r w:rsidR="00310A9A">
        <w:rPr>
          <w:rFonts w:cs="Arial"/>
        </w:rPr>
        <w:fldChar w:fldCharType="begin"/>
      </w:r>
      <w:r w:rsidR="00310A9A">
        <w:rPr>
          <w:rFonts w:cs="Arial"/>
        </w:rPr>
        <w:instrText xml:space="preserve"> ADDIN EN.CITE &lt;EndNote&gt;&lt;Cite&gt;&lt;Author&gt;McKenzie&lt;/Author&gt;&lt;Year&gt;2007&lt;/Year&gt;&lt;RecNum&gt;1310&lt;/RecNum&gt;&lt;DisplayText&gt;(L. McKenzie, 2007)&lt;/DisplayText&gt;&lt;record&gt;&lt;rec-number&gt;1310&lt;/rec-number&gt;&lt;foreign-keys&gt;&lt;key app="EN" db-id="zapfddtwo2e9z5e5vxoxafs7sf59wfp52rvf" timestamp="1558919244"&gt;1310&lt;/key&gt;&lt;/foreign-keys&gt;&lt;ref-type name="Report"&gt;27&lt;/ref-type&gt;&lt;contributors&gt;&lt;authors&gt;&lt;author&gt;McKenzie, L.&lt;/author&gt;&lt;/authors&gt;&lt;/contributors&gt;&lt;titles&gt;&lt;title&gt;Relationships between seagrass communities and sediment properties along the Queensland coast. Progress report to the Marine and Tropical Sciences Research Facility.&lt;/title&gt;&lt;/titles&gt;&lt;pages&gt;25&lt;/pages&gt;&lt;dates&gt;&lt;year&gt;2007&lt;/year&gt;&lt;/dates&gt;&lt;pub-location&gt;Reef and Rainforest Research Centre Ltd, Cairns&lt;/pub-location&gt;&lt;urls&gt;&lt;related-urls&gt;&lt;url&gt;https://rrrc.org.au/wp-content/uploads/2014/06/371-DPI-McKenzie-L-2007-Seagrass-Communities-Sediments.pdf&lt;/url&gt;&lt;/related-urls&gt;&lt;/urls&gt;&lt;access-date&gt;27/05/2019&lt;/access-date&gt;&lt;/record&gt;&lt;/Cite&gt;&lt;/EndNote&gt;</w:instrText>
      </w:r>
      <w:r w:rsidR="00310A9A">
        <w:rPr>
          <w:rFonts w:cs="Arial"/>
        </w:rPr>
        <w:fldChar w:fldCharType="separate"/>
      </w:r>
      <w:r w:rsidR="00310A9A">
        <w:rPr>
          <w:rFonts w:cs="Arial"/>
          <w:noProof/>
        </w:rPr>
        <w:t>(L. McKenzie, 2007)</w:t>
      </w:r>
      <w:r w:rsidR="00310A9A">
        <w:rPr>
          <w:rFonts w:cs="Arial"/>
        </w:rPr>
        <w:fldChar w:fldCharType="end"/>
      </w:r>
      <w:r w:rsidR="00C74BCF">
        <w:rPr>
          <w:rFonts w:cs="Arial"/>
        </w:rPr>
        <w:t xml:space="preserve"> </w:t>
      </w:r>
      <w:r w:rsidRPr="0058370B">
        <w:rPr>
          <w:rFonts w:cs="Arial"/>
        </w:rPr>
        <w:t>and observations on the presence of superficial sediment structures such as ripples and sand waves to provide evidence of physical processes in the area</w:t>
      </w:r>
      <w:r w:rsidR="00FC7CCA">
        <w:rPr>
          <w:rFonts w:cs="Arial"/>
        </w:rPr>
        <w:t xml:space="preserve"> </w:t>
      </w:r>
      <w:r w:rsidR="00310A9A">
        <w:rPr>
          <w:rFonts w:cs="Arial"/>
        </w:rPr>
        <w:fldChar w:fldCharType="begin"/>
      </w:r>
      <w:r w:rsidR="00310A9A">
        <w:rPr>
          <w:rFonts w:cs="Arial"/>
        </w:rPr>
        <w:instrText xml:space="preserve"> ADDIN EN.CITE &lt;EndNote&gt;&lt;Cite&gt;&lt;Author&gt;Koch&lt;/Author&gt;&lt;Year&gt;2001&lt;/Year&gt;&lt;RecNum&gt;54&lt;/RecNum&gt;&lt;DisplayText&gt;(Koch, 2001)&lt;/DisplayText&gt;&lt;record&gt;&lt;rec-number&gt;54&lt;/rec-number&gt;&lt;foreign-keys&gt;&lt;key app="EN" db-id="zapfddtwo2e9z5e5vxoxafs7sf59wfp52rvf" timestamp="0"&gt;54&lt;/key&gt;&lt;key app="ENWeb" db-id="TBbWuwrtqggAACxbN8Q"&gt;47&lt;/key&gt;&lt;/foreign-keys&gt;&lt;ref-type name="Journal Article"&gt;17&lt;/ref-type&gt;&lt;contributors&gt;&lt;authors&gt;&lt;author&gt;Koch, E. W.&lt;/author&gt;&lt;/authors&gt;&lt;/contributors&gt;&lt;titles&gt;&lt;title&gt;Beyond light:  Physical, geological, and geochemical parameters as possible submersed aquatic vegetation habitat requirements&lt;/title&gt;&lt;secondary-title&gt;Estuaries and Coasts&lt;/secondary-title&gt;&lt;/titles&gt;&lt;periodical&gt;&lt;full-title&gt;Estuaries and Coasts&lt;/full-title&gt;&lt;/periodical&gt;&lt;pages&gt;1-17&lt;/pages&gt;&lt;volume&gt;24&lt;/volume&gt;&lt;number&gt;1&lt;/number&gt;&lt;dates&gt;&lt;year&gt;2001&lt;/year&gt;&lt;/dates&gt;&lt;urls&gt;&lt;/urls&gt;&lt;/record&gt;&lt;/Cite&gt;&lt;/EndNote&gt;</w:instrText>
      </w:r>
      <w:r w:rsidR="00310A9A">
        <w:rPr>
          <w:rFonts w:cs="Arial"/>
        </w:rPr>
        <w:fldChar w:fldCharType="separate"/>
      </w:r>
      <w:r w:rsidR="00310A9A">
        <w:rPr>
          <w:rFonts w:cs="Arial"/>
          <w:noProof/>
        </w:rPr>
        <w:t>(Koch, 2001)</w:t>
      </w:r>
      <w:r w:rsidR="00310A9A">
        <w:rPr>
          <w:rFonts w:cs="Arial"/>
        </w:rPr>
        <w:fldChar w:fldCharType="end"/>
      </w:r>
      <w:r w:rsidRPr="0058370B">
        <w:rPr>
          <w:rFonts w:cs="Arial"/>
        </w:rPr>
        <w:t>.</w:t>
      </w:r>
      <w:r w:rsidR="00322094" w:rsidRPr="00322094">
        <w:rPr>
          <w:rFonts w:cs="Arial"/>
        </w:rPr>
        <w:t xml:space="preserve"> </w:t>
      </w:r>
    </w:p>
    <w:p w14:paraId="361D0BC4" w14:textId="7C370131" w:rsidR="00780C6B" w:rsidRPr="0058370B" w:rsidRDefault="00322094" w:rsidP="00322094">
      <w:pPr>
        <w:rPr>
          <w:rFonts w:cs="Arial"/>
        </w:rPr>
      </w:pPr>
      <w:r>
        <w:rPr>
          <w:rFonts w:cs="Arial"/>
        </w:rPr>
        <w:t xml:space="preserve">Monitoring at an </w:t>
      </w:r>
      <w:r w:rsidR="00383250">
        <w:rPr>
          <w:rFonts w:cs="Arial"/>
        </w:rPr>
        <w:t xml:space="preserve">extra </w:t>
      </w:r>
      <w:r>
        <w:rPr>
          <w:rFonts w:cs="Arial"/>
        </w:rPr>
        <w:t xml:space="preserve">16 sites is conducted </w:t>
      </w:r>
      <w:r w:rsidR="00C74BCF">
        <w:rPr>
          <w:rFonts w:cs="Arial"/>
        </w:rPr>
        <w:t xml:space="preserve">during </w:t>
      </w:r>
      <w:r>
        <w:rPr>
          <w:rFonts w:cs="Arial"/>
        </w:rPr>
        <w:t xml:space="preserve">the late-dry season by </w:t>
      </w:r>
      <w:r w:rsidRPr="0058370B">
        <w:rPr>
          <w:rFonts w:cs="Arial"/>
          <w:color w:val="000000"/>
        </w:rPr>
        <w:t xml:space="preserve">trained </w:t>
      </w:r>
      <w:r>
        <w:rPr>
          <w:rFonts w:cs="Arial"/>
        </w:rPr>
        <w:t xml:space="preserve">Seagrass-Watch observers </w:t>
      </w:r>
      <w:r w:rsidR="00B0535B">
        <w:rPr>
          <w:rFonts w:cs="Arial"/>
        </w:rPr>
        <w:t>(</w:t>
      </w:r>
      <w:r w:rsidR="00B0535B" w:rsidRPr="0058370B">
        <w:rPr>
          <w:rFonts w:cs="Arial"/>
        </w:rPr>
        <w:t>scientists</w:t>
      </w:r>
      <w:r w:rsidR="00B0535B">
        <w:rPr>
          <w:rFonts w:cs="Arial"/>
        </w:rPr>
        <w:t xml:space="preserve"> assisted by community volunteers</w:t>
      </w:r>
      <w:r>
        <w:rPr>
          <w:rFonts w:cs="Arial"/>
        </w:rPr>
        <w:t xml:space="preserve">) or QPWS rangers </w:t>
      </w:r>
      <w:r w:rsidRPr="0058370B">
        <w:rPr>
          <w:rFonts w:cs="Arial"/>
        </w:rPr>
        <w:t xml:space="preserve">who have demonstrated competency in the methods (see </w:t>
      </w:r>
      <w:r w:rsidR="00C74BCF">
        <w:rPr>
          <w:rFonts w:cs="Arial"/>
        </w:rPr>
        <w:t xml:space="preserve">Sub-section </w:t>
      </w:r>
      <w:r w:rsidRPr="0058370B">
        <w:rPr>
          <w:rFonts w:cs="Arial"/>
        </w:rPr>
        <w:fldChar w:fldCharType="begin"/>
      </w:r>
      <w:r w:rsidRPr="0058370B">
        <w:rPr>
          <w:rFonts w:cs="Arial"/>
        </w:rPr>
        <w:instrText xml:space="preserve"> REF _Ref387589130 \r \h  \* MERGEFORMAT </w:instrText>
      </w:r>
      <w:r w:rsidRPr="0058370B">
        <w:rPr>
          <w:rFonts w:cs="Arial"/>
        </w:rPr>
      </w:r>
      <w:r w:rsidRPr="0058370B">
        <w:rPr>
          <w:rFonts w:cs="Arial"/>
        </w:rPr>
        <w:fldChar w:fldCharType="separate"/>
      </w:r>
      <w:r w:rsidR="00D528AA">
        <w:rPr>
          <w:rFonts w:cs="Arial"/>
        </w:rPr>
        <w:t>6.2.3</w:t>
      </w:r>
      <w:r w:rsidRPr="0058370B">
        <w:rPr>
          <w:rFonts w:cs="Arial"/>
        </w:rPr>
        <w:fldChar w:fldCharType="end"/>
      </w:r>
      <w:r w:rsidR="00D87540">
        <w:rPr>
          <w:rFonts w:cs="Arial"/>
        </w:rPr>
        <w:t xml:space="preserve">; </w:t>
      </w:r>
      <w:r w:rsidR="00D87540">
        <w:rPr>
          <w:rFonts w:cs="Arial"/>
        </w:rPr>
        <w:fldChar w:fldCharType="begin"/>
      </w:r>
      <w:r w:rsidR="00D87540">
        <w:rPr>
          <w:rFonts w:cs="Arial"/>
        </w:rPr>
        <w:instrText xml:space="preserve"> REF _Ref524436744 \h </w:instrText>
      </w:r>
      <w:r w:rsidR="00D87540">
        <w:rPr>
          <w:rFonts w:cs="Arial"/>
        </w:rPr>
      </w:r>
      <w:r w:rsidR="00D87540">
        <w:rPr>
          <w:rFonts w:cs="Arial"/>
        </w:rPr>
        <w:fldChar w:fldCharType="separate"/>
      </w:r>
      <w:r w:rsidR="00D528AA" w:rsidRPr="00620C94">
        <w:t xml:space="preserve">Table </w:t>
      </w:r>
      <w:r w:rsidR="00D528AA">
        <w:rPr>
          <w:noProof/>
        </w:rPr>
        <w:t>6</w:t>
      </w:r>
      <w:r w:rsidR="00D528AA">
        <w:t>.</w:t>
      </w:r>
      <w:r w:rsidR="00D528AA">
        <w:rPr>
          <w:noProof/>
        </w:rPr>
        <w:t>2</w:t>
      </w:r>
      <w:r w:rsidR="00D87540">
        <w:rPr>
          <w:rFonts w:cs="Arial"/>
        </w:rPr>
        <w:fldChar w:fldCharType="end"/>
      </w:r>
      <w:r w:rsidRPr="0058370B">
        <w:rPr>
          <w:rFonts w:cs="Arial"/>
        </w:rPr>
        <w:t>).</w:t>
      </w:r>
      <w:r>
        <w:rPr>
          <w:rFonts w:cs="Arial"/>
        </w:rPr>
        <w:t xml:space="preserve"> Seagrass-Watch observers monitor sites using standard </w:t>
      </w:r>
      <w:r w:rsidR="00AA70D6">
        <w:rPr>
          <w:rFonts w:cs="Arial"/>
        </w:rPr>
        <w:t>protocols;</w:t>
      </w:r>
      <w:r>
        <w:rPr>
          <w:rFonts w:cs="Arial"/>
        </w:rPr>
        <w:t xml:space="preserve"> however</w:t>
      </w:r>
      <w:r w:rsidR="00C74BCF">
        <w:rPr>
          <w:rFonts w:cs="Arial"/>
        </w:rPr>
        <w:t>,</w:t>
      </w:r>
      <w:r>
        <w:rPr>
          <w:rFonts w:cs="Arial"/>
        </w:rPr>
        <w:t xml:space="preserve"> QPWS rangers use drop-cameras to collect basic site data and field imagery </w:t>
      </w:r>
      <w:r w:rsidR="00C74BCF">
        <w:rPr>
          <w:rFonts w:cs="Arial"/>
        </w:rPr>
        <w:t xml:space="preserve">that </w:t>
      </w:r>
      <w:r>
        <w:rPr>
          <w:rFonts w:cs="Arial"/>
        </w:rPr>
        <w:t>is submitted to JCU scientists for post-field assessments. D</w:t>
      </w:r>
      <w:r w:rsidRPr="008D79E0">
        <w:rPr>
          <w:rFonts w:cs="Arial"/>
        </w:rPr>
        <w:t>igital video footage</w:t>
      </w:r>
      <w:r>
        <w:rPr>
          <w:rFonts w:cs="Arial"/>
        </w:rPr>
        <w:t xml:space="preserve"> is examined post-field and s</w:t>
      </w:r>
      <w:r w:rsidRPr="0058370B">
        <w:rPr>
          <w:rFonts w:cs="Arial"/>
        </w:rPr>
        <w:t>eagrass abundance is visually estimated as the fraction of the seabed (substrate) obscured by the seagrass species</w:t>
      </w:r>
      <w:r>
        <w:rPr>
          <w:rFonts w:cs="Arial"/>
        </w:rPr>
        <w:t xml:space="preserve"> for each clearly </w:t>
      </w:r>
      <w:r w:rsidR="00AA70D6">
        <w:rPr>
          <w:rFonts w:cs="Arial"/>
        </w:rPr>
        <w:t>visible</w:t>
      </w:r>
      <w:r>
        <w:rPr>
          <w:rFonts w:cs="Arial"/>
        </w:rPr>
        <w:t xml:space="preserve"> drop to the sea bed. </w:t>
      </w:r>
      <w:r w:rsidRPr="008D79E0">
        <w:rPr>
          <w:rFonts w:cs="Arial"/>
        </w:rPr>
        <w:t xml:space="preserve">Due to the turbid/low light conditions in the field, some post-processing </w:t>
      </w:r>
      <w:r>
        <w:rPr>
          <w:rFonts w:cs="Arial"/>
        </w:rPr>
        <w:t xml:space="preserve">may be </w:t>
      </w:r>
      <w:r w:rsidRPr="008D79E0">
        <w:rPr>
          <w:rFonts w:cs="Arial"/>
        </w:rPr>
        <w:t>necessary to enhance image features and improve assessments.</w:t>
      </w:r>
      <w:r>
        <w:rPr>
          <w:rFonts w:cs="Arial"/>
        </w:rPr>
        <w:t xml:space="preserve"> Species </w:t>
      </w:r>
      <w:r w:rsidR="00AA70D6">
        <w:rPr>
          <w:rFonts w:cs="Arial"/>
        </w:rPr>
        <w:t>visible</w:t>
      </w:r>
      <w:r>
        <w:rPr>
          <w:rFonts w:cs="Arial"/>
        </w:rPr>
        <w:t xml:space="preserve"> in imagery are verified from van Veen grab samples.</w:t>
      </w:r>
    </w:p>
    <w:p w14:paraId="13592C5B" w14:textId="77777777" w:rsidR="00780C6B" w:rsidRPr="0058370B" w:rsidRDefault="00780C6B" w:rsidP="008A66E4">
      <w:pPr>
        <w:keepNext/>
        <w:rPr>
          <w:rFonts w:cs="Arial"/>
          <w:b/>
        </w:rPr>
      </w:pPr>
      <w:r w:rsidRPr="0058370B">
        <w:rPr>
          <w:rFonts w:cs="Arial"/>
          <w:b/>
        </w:rPr>
        <w:t>Seagrass reproductive health</w:t>
      </w:r>
    </w:p>
    <w:p w14:paraId="5F0763D7" w14:textId="6535C004" w:rsidR="00780C6B" w:rsidRPr="0058370B" w:rsidRDefault="00780C6B" w:rsidP="008A66E4">
      <w:pPr>
        <w:keepNext/>
        <w:rPr>
          <w:rFonts w:cs="Arial"/>
        </w:rPr>
      </w:pPr>
      <w:r w:rsidRPr="0058370B">
        <w:rPr>
          <w:rFonts w:cs="Arial"/>
        </w:rPr>
        <w:t xml:space="preserve">An assessment of seagrass reproductive health at locations identified in </w:t>
      </w:r>
      <w:r>
        <w:rPr>
          <w:rFonts w:cs="Arial"/>
          <w:highlight w:val="yellow"/>
        </w:rPr>
        <w:fldChar w:fldCharType="begin"/>
      </w:r>
      <w:r>
        <w:rPr>
          <w:rFonts w:cs="Arial"/>
        </w:rPr>
        <w:instrText xml:space="preserve"> REF _Ref433716004 \h </w:instrText>
      </w:r>
      <w:r>
        <w:rPr>
          <w:rFonts w:cs="Arial"/>
          <w:highlight w:val="yellow"/>
        </w:rPr>
      </w:r>
      <w:r>
        <w:rPr>
          <w:rFonts w:cs="Arial"/>
          <w:highlight w:val="yellow"/>
        </w:rPr>
        <w:fldChar w:fldCharType="separate"/>
      </w:r>
      <w:r w:rsidR="00D528AA" w:rsidRPr="00620C94">
        <w:t xml:space="preserve">Table </w:t>
      </w:r>
      <w:r w:rsidR="00D528AA">
        <w:rPr>
          <w:noProof/>
        </w:rPr>
        <w:t>6</w:t>
      </w:r>
      <w:r w:rsidR="00D528AA">
        <w:t>.</w:t>
      </w:r>
      <w:r w:rsidR="00D528AA">
        <w:rPr>
          <w:noProof/>
        </w:rPr>
        <w:t>1</w:t>
      </w:r>
      <w:r>
        <w:rPr>
          <w:rFonts w:cs="Arial"/>
          <w:highlight w:val="yellow"/>
        </w:rPr>
        <w:fldChar w:fldCharType="end"/>
      </w:r>
      <w:r>
        <w:rPr>
          <w:rFonts w:cs="Arial"/>
        </w:rPr>
        <w:t xml:space="preserve"> </w:t>
      </w:r>
      <w:r w:rsidRPr="0058370B">
        <w:rPr>
          <w:rFonts w:cs="Arial"/>
        </w:rPr>
        <w:t xml:space="preserve">via flower production and seed bank monitoring is conducted in late-dry season (October) of each year at each site. </w:t>
      </w:r>
      <w:r w:rsidR="00383250">
        <w:rPr>
          <w:rFonts w:cs="Arial"/>
        </w:rPr>
        <w:t>Extra</w:t>
      </w:r>
      <w:r w:rsidR="00383250" w:rsidRPr="0058370B">
        <w:rPr>
          <w:rFonts w:cs="Arial"/>
        </w:rPr>
        <w:t xml:space="preserve"> </w:t>
      </w:r>
      <w:r w:rsidRPr="0058370B">
        <w:rPr>
          <w:rFonts w:cs="Arial"/>
        </w:rPr>
        <w:t>collections are also conducted in late-monsoon (April) where possible.</w:t>
      </w:r>
    </w:p>
    <w:p w14:paraId="398E2591" w14:textId="54917B27" w:rsidR="00780C6B" w:rsidRPr="0058370B" w:rsidRDefault="00780C6B" w:rsidP="00FE2F59">
      <w:pPr>
        <w:rPr>
          <w:rFonts w:cs="Arial"/>
        </w:rPr>
      </w:pPr>
      <w:r w:rsidRPr="0058370B">
        <w:rPr>
          <w:rFonts w:cs="Arial"/>
        </w:rPr>
        <w:t>In the field, 15 haphazardly placed cores (100</w:t>
      </w:r>
      <w:r w:rsidR="00D87540">
        <w:rPr>
          <w:rFonts w:cs="Arial"/>
        </w:rPr>
        <w:t xml:space="preserve"> </w:t>
      </w:r>
      <w:r w:rsidRPr="0058370B">
        <w:rPr>
          <w:rFonts w:cs="Arial"/>
        </w:rPr>
        <w:t xml:space="preserve">mm diameter </w:t>
      </w:r>
      <w:r w:rsidR="00D87540">
        <w:rPr>
          <w:rFonts w:cs="Arial"/>
        </w:rPr>
        <w:t>×</w:t>
      </w:r>
      <w:r w:rsidR="00FC7CCA">
        <w:rPr>
          <w:rFonts w:cs="Arial"/>
        </w:rPr>
        <w:t xml:space="preserve"> </w:t>
      </w:r>
      <w:r w:rsidRPr="0058370B">
        <w:rPr>
          <w:rFonts w:cs="Arial"/>
        </w:rPr>
        <w:t>100</w:t>
      </w:r>
      <w:r w:rsidR="00D87540">
        <w:rPr>
          <w:rFonts w:cs="Arial"/>
        </w:rPr>
        <w:t xml:space="preserve"> </w:t>
      </w:r>
      <w:r w:rsidRPr="0058370B">
        <w:rPr>
          <w:rFonts w:cs="Arial"/>
        </w:rPr>
        <w:t>mm depth) of seagrass are collected from an area adjacent, of similar cover and species composition, to each monitoring site. All samples collected are given a unique sample code/identifier providing a custodial trail from the field sample to the analytical outcome.</w:t>
      </w:r>
    </w:p>
    <w:p w14:paraId="1D440C30" w14:textId="7C2ABBF6" w:rsidR="00780C6B" w:rsidRPr="0058370B" w:rsidRDefault="00780C6B" w:rsidP="00FE2F59">
      <w:pPr>
        <w:rPr>
          <w:rFonts w:cs="Arial"/>
        </w:rPr>
      </w:pPr>
      <w:r w:rsidRPr="0058370B">
        <w:rPr>
          <w:rFonts w:cs="Arial"/>
        </w:rPr>
        <w:t xml:space="preserve">Seeds banks and </w:t>
      </w:r>
      <w:r w:rsidR="00D87540">
        <w:rPr>
          <w:rFonts w:cs="Arial"/>
        </w:rPr>
        <w:t xml:space="preserve">the </w:t>
      </w:r>
      <w:r w:rsidRPr="0058370B">
        <w:rPr>
          <w:rFonts w:cs="Arial"/>
        </w:rPr>
        <w:t>abundance of germinated seeds are sampled according to standard methods by sieving (2</w:t>
      </w:r>
      <w:r w:rsidR="00D87540">
        <w:rPr>
          <w:rFonts w:cs="Arial"/>
        </w:rPr>
        <w:t xml:space="preserve"> </w:t>
      </w:r>
      <w:r w:rsidRPr="0058370B">
        <w:rPr>
          <w:rFonts w:cs="Arial"/>
        </w:rPr>
        <w:t>mm mesh) 30 cores (50</w:t>
      </w:r>
      <w:r w:rsidR="00D87540">
        <w:rPr>
          <w:rFonts w:cs="Arial"/>
        </w:rPr>
        <w:t xml:space="preserve"> </w:t>
      </w:r>
      <w:r w:rsidRPr="0058370B">
        <w:rPr>
          <w:rFonts w:cs="Arial"/>
        </w:rPr>
        <w:t>mm diameter, 100</w:t>
      </w:r>
      <w:r w:rsidR="00D87540">
        <w:rPr>
          <w:rFonts w:cs="Arial"/>
        </w:rPr>
        <w:t xml:space="preserve"> </w:t>
      </w:r>
      <w:r w:rsidRPr="0058370B">
        <w:rPr>
          <w:rFonts w:cs="Arial"/>
        </w:rPr>
        <w:t>mm depth) of sediment collected across each site and counting the seeds retained in each</w:t>
      </w:r>
      <w:r w:rsidR="00FC7CCA">
        <w:rPr>
          <w:rFonts w:cs="Arial"/>
        </w:rPr>
        <w:t xml:space="preserve"> </w:t>
      </w:r>
      <w:r w:rsidR="00310A9A">
        <w:rPr>
          <w:rFonts w:cs="Arial"/>
        </w:rPr>
        <w:fldChar w:fldCharType="begin"/>
      </w:r>
      <w:r w:rsidR="00310A9A">
        <w:rPr>
          <w:rFonts w:cs="Arial"/>
        </w:rPr>
        <w:instrText xml:space="preserve"> ADDIN EN.CITE &lt;EndNote&gt;&lt;Cite&gt;&lt;Author&gt;McKenzie&lt;/Author&gt;&lt;Year&gt;2000&lt;/Year&gt;&lt;RecNum&gt;1309&lt;/RecNum&gt;&lt;DisplayText&gt;(LJ McKenzie et al., 2000)&lt;/DisplayText&gt;&lt;record&gt;&lt;rec-number&gt;1309&lt;/rec-number&gt;&lt;foreign-keys&gt;&lt;key app="EN" db-id="zapfddtwo2e9z5e5vxoxafs7sf59wfp52rvf" timestamp="1558915148"&gt;1309&lt;/key&gt;&lt;/foreign-keys&gt;&lt;ref-type name="Journal Article"&gt;17&lt;/ref-type&gt;&lt;contributors&gt;&lt;authors&gt;&lt;author&gt;McKenzie, LJ&lt;/author&gt;&lt;author&gt;Long, Lee&lt;/author&gt;&lt;author&gt;Coles, RG&lt;/author&gt;&lt;author&gt;Roder, CA&lt;/author&gt;&lt;/authors&gt;&lt;/contributors&gt;&lt;titles&gt;&lt;title&gt;Seagrass-Watch: Community based monitoring of seagrass resources&lt;/title&gt;&lt;secondary-title&gt;Biologia marina mediterranea&lt;/secondary-title&gt;&lt;/titles&gt;&lt;periodical&gt;&lt;full-title&gt;Biologia marina mediterranea&lt;/full-title&gt;&lt;/periodical&gt;&lt;pages&gt;393-396&lt;/pages&gt;&lt;volume&gt;7&lt;/volume&gt;&lt;number&gt;2&lt;/number&gt;&lt;dates&gt;&lt;year&gt;2000&lt;/year&gt;&lt;/dates&gt;&lt;isbn&gt;1123-4245&lt;/isbn&gt;&lt;urls&gt;&lt;/urls&gt;&lt;/record&gt;&lt;/Cite&gt;&lt;/EndNote&gt;</w:instrText>
      </w:r>
      <w:r w:rsidR="00310A9A">
        <w:rPr>
          <w:rFonts w:cs="Arial"/>
        </w:rPr>
        <w:fldChar w:fldCharType="separate"/>
      </w:r>
      <w:r w:rsidR="00310A9A">
        <w:rPr>
          <w:rFonts w:cs="Arial"/>
          <w:noProof/>
        </w:rPr>
        <w:t>(LJ McKenzie et al., 2000)</w:t>
      </w:r>
      <w:r w:rsidR="00310A9A">
        <w:rPr>
          <w:rFonts w:cs="Arial"/>
        </w:rPr>
        <w:fldChar w:fldCharType="end"/>
      </w:r>
      <w:r w:rsidRPr="0058370B">
        <w:rPr>
          <w:rFonts w:cs="Arial"/>
        </w:rPr>
        <w:t xml:space="preserve">. For </w:t>
      </w:r>
      <w:r w:rsidRPr="0058370B">
        <w:rPr>
          <w:rFonts w:cs="Arial"/>
          <w:i/>
        </w:rPr>
        <w:t xml:space="preserve">Zostera muelleri </w:t>
      </w:r>
      <w:r w:rsidRPr="0058370B">
        <w:rPr>
          <w:rFonts w:cs="Arial"/>
        </w:rPr>
        <w:t>subsp</w:t>
      </w:r>
      <w:r w:rsidRPr="0058370B">
        <w:rPr>
          <w:rFonts w:cs="Arial"/>
          <w:i/>
        </w:rPr>
        <w:t>. capricorni</w:t>
      </w:r>
      <w:r w:rsidRPr="0058370B">
        <w:rPr>
          <w:rFonts w:cs="Arial"/>
        </w:rPr>
        <w:t>, where the seeds are &lt;1</w:t>
      </w:r>
      <w:r w:rsidR="00D87540">
        <w:rPr>
          <w:rFonts w:cs="Arial"/>
        </w:rPr>
        <w:t xml:space="preserve"> </w:t>
      </w:r>
      <w:r w:rsidRPr="0058370B">
        <w:rPr>
          <w:rFonts w:cs="Arial"/>
        </w:rPr>
        <w:t>mm diameter, intact cores (18) are collected and returned to the laboratory where they are washed through a 710</w:t>
      </w:r>
      <w:r w:rsidR="00D87540">
        <w:rPr>
          <w:rFonts w:cs="Arial"/>
        </w:rPr>
        <w:t xml:space="preserve"> </w:t>
      </w:r>
      <w:r w:rsidRPr="0058370B">
        <w:rPr>
          <w:rFonts w:cs="Arial"/>
        </w:rPr>
        <w:t>µm sieve and seeds identified using a hand lens/microscope.</w:t>
      </w:r>
    </w:p>
    <w:p w14:paraId="56943F1D" w14:textId="77777777" w:rsidR="00780C6B" w:rsidRPr="0058370B" w:rsidRDefault="00780C6B" w:rsidP="00FE2F59">
      <w:pPr>
        <w:rPr>
          <w:rFonts w:cs="Arial"/>
          <w:b/>
        </w:rPr>
      </w:pPr>
      <w:r w:rsidRPr="0058370B">
        <w:rPr>
          <w:rFonts w:cs="Arial"/>
          <w:b/>
        </w:rPr>
        <w:t>Seagrass tissue nutrients</w:t>
      </w:r>
    </w:p>
    <w:p w14:paraId="104625C9" w14:textId="508753FB" w:rsidR="00780C6B" w:rsidRPr="0058370B" w:rsidRDefault="00D87540" w:rsidP="00FE2F59">
      <w:pPr>
        <w:rPr>
          <w:rFonts w:cs="Arial"/>
        </w:rPr>
      </w:pPr>
      <w:r>
        <w:rPr>
          <w:rFonts w:cs="Arial"/>
        </w:rPr>
        <w:t>The c</w:t>
      </w:r>
      <w:r w:rsidR="00780C6B" w:rsidRPr="0058370B">
        <w:rPr>
          <w:rFonts w:cs="Arial"/>
        </w:rPr>
        <w:t xml:space="preserve">ollection of seagrass leaf tissue (targeted foundation genus include </w:t>
      </w:r>
      <w:r w:rsidR="00780C6B" w:rsidRPr="0058370B">
        <w:rPr>
          <w:rFonts w:cs="Arial"/>
          <w:i/>
        </w:rPr>
        <w:t>Halodule</w:t>
      </w:r>
      <w:r w:rsidR="00780C6B" w:rsidRPr="0058370B">
        <w:rPr>
          <w:rFonts w:cs="Arial"/>
        </w:rPr>
        <w:t xml:space="preserve">, </w:t>
      </w:r>
      <w:r w:rsidR="00780C6B" w:rsidRPr="0058370B">
        <w:rPr>
          <w:rFonts w:cs="Arial"/>
          <w:i/>
        </w:rPr>
        <w:t xml:space="preserve">Zostera </w:t>
      </w:r>
      <w:r w:rsidR="00780C6B" w:rsidRPr="0058370B">
        <w:rPr>
          <w:rFonts w:cs="Arial"/>
        </w:rPr>
        <w:t>and</w:t>
      </w:r>
      <w:r w:rsidR="00780C6B" w:rsidRPr="0058370B">
        <w:rPr>
          <w:rFonts w:cs="Arial"/>
          <w:i/>
        </w:rPr>
        <w:t xml:space="preserve"> Cymodocea</w:t>
      </w:r>
      <w:r w:rsidR="00780C6B" w:rsidRPr="0058370B">
        <w:rPr>
          <w:rFonts w:cs="Arial"/>
        </w:rPr>
        <w:t xml:space="preserve">) for </w:t>
      </w:r>
      <w:r>
        <w:rPr>
          <w:rFonts w:cs="Arial"/>
        </w:rPr>
        <w:t xml:space="preserve">the </w:t>
      </w:r>
      <w:r w:rsidR="00780C6B" w:rsidRPr="0058370B">
        <w:rPr>
          <w:rFonts w:cs="Arial"/>
        </w:rPr>
        <w:t>analysis of tissue nutrients (C, N, P, δ</w:t>
      </w:r>
      <w:r w:rsidR="00780C6B" w:rsidRPr="0058370B">
        <w:rPr>
          <w:rFonts w:cs="Arial"/>
          <w:vertAlign w:val="superscript"/>
        </w:rPr>
        <w:t>15</w:t>
      </w:r>
      <w:r w:rsidR="00780C6B" w:rsidRPr="0058370B">
        <w:rPr>
          <w:rFonts w:cs="Arial"/>
        </w:rPr>
        <w:t>N, δ</w:t>
      </w:r>
      <w:r w:rsidR="00780C6B" w:rsidRPr="0058370B">
        <w:rPr>
          <w:rFonts w:cs="Arial"/>
          <w:vertAlign w:val="superscript"/>
        </w:rPr>
        <w:t>13</w:t>
      </w:r>
      <w:r w:rsidR="00780C6B" w:rsidRPr="0058370B">
        <w:rPr>
          <w:rFonts w:cs="Arial"/>
        </w:rPr>
        <w:t xml:space="preserve">C) is conducted </w:t>
      </w:r>
      <w:r>
        <w:rPr>
          <w:rFonts w:cs="Arial"/>
        </w:rPr>
        <w:t>during</w:t>
      </w:r>
      <w:r w:rsidRPr="0058370B">
        <w:rPr>
          <w:rFonts w:cs="Arial"/>
        </w:rPr>
        <w:t xml:space="preserve"> </w:t>
      </w:r>
      <w:r w:rsidR="00780C6B" w:rsidRPr="0058370B">
        <w:rPr>
          <w:rFonts w:cs="Arial"/>
        </w:rPr>
        <w:t xml:space="preserve">the late-dry season (October) sampling period at regions identified in </w:t>
      </w:r>
      <w:r w:rsidR="00780C6B">
        <w:rPr>
          <w:rFonts w:cs="Arial"/>
          <w:highlight w:val="yellow"/>
        </w:rPr>
        <w:fldChar w:fldCharType="begin"/>
      </w:r>
      <w:r w:rsidR="00780C6B">
        <w:rPr>
          <w:rFonts w:cs="Arial"/>
        </w:rPr>
        <w:instrText xml:space="preserve"> REF _Ref433716004 \h </w:instrText>
      </w:r>
      <w:r w:rsidR="00780C6B">
        <w:rPr>
          <w:rFonts w:cs="Arial"/>
          <w:highlight w:val="yellow"/>
        </w:rPr>
      </w:r>
      <w:r w:rsidR="00780C6B">
        <w:rPr>
          <w:rFonts w:cs="Arial"/>
          <w:highlight w:val="yellow"/>
        </w:rPr>
        <w:fldChar w:fldCharType="separate"/>
      </w:r>
      <w:r w:rsidR="00D528AA" w:rsidRPr="00620C94">
        <w:t xml:space="preserve">Table </w:t>
      </w:r>
      <w:r w:rsidR="00D528AA">
        <w:rPr>
          <w:noProof/>
        </w:rPr>
        <w:t>6</w:t>
      </w:r>
      <w:r w:rsidR="00D528AA">
        <w:t>.</w:t>
      </w:r>
      <w:r w:rsidR="00D528AA">
        <w:rPr>
          <w:noProof/>
        </w:rPr>
        <w:t>1</w:t>
      </w:r>
      <w:r w:rsidR="00780C6B">
        <w:rPr>
          <w:rFonts w:cs="Arial"/>
          <w:highlight w:val="yellow"/>
        </w:rPr>
        <w:fldChar w:fldCharType="end"/>
      </w:r>
      <w:r w:rsidR="00780C6B" w:rsidRPr="0037693C">
        <w:rPr>
          <w:rFonts w:cs="Arial"/>
        </w:rPr>
        <w:t>.</w:t>
      </w:r>
      <w:r w:rsidR="00780C6B" w:rsidRPr="0058370B">
        <w:rPr>
          <w:rFonts w:cs="Arial"/>
        </w:rPr>
        <w:t xml:space="preserve"> Approximately five</w:t>
      </w:r>
      <w:r w:rsidR="00FE379C">
        <w:rPr>
          <w:rFonts w:cs="Arial"/>
        </w:rPr>
        <w:t>–</w:t>
      </w:r>
      <w:r w:rsidR="00780C6B" w:rsidRPr="0058370B">
        <w:rPr>
          <w:rFonts w:cs="Arial"/>
        </w:rPr>
        <w:t>10 g wet weight of seagrass leaves is harvested from three to six haphazardly chosen plots (two to three m</w:t>
      </w:r>
      <w:r>
        <w:rPr>
          <w:rFonts w:cs="Arial"/>
        </w:rPr>
        <w:t>etres</w:t>
      </w:r>
      <w:r w:rsidR="00780C6B" w:rsidRPr="0058370B">
        <w:rPr>
          <w:rFonts w:cs="Arial"/>
        </w:rPr>
        <w:t xml:space="preserve"> apart) in an area adjacent, of similar cover and species composition, to each monitoring site. All samples collected are given a unique sample code/identifier providing a custodial trail from the field sample to the analytical outcome.</w:t>
      </w:r>
    </w:p>
    <w:p w14:paraId="6E245939" w14:textId="77777777" w:rsidR="00780C6B" w:rsidRPr="0058370B" w:rsidRDefault="00780C6B" w:rsidP="0067588D">
      <w:pPr>
        <w:pStyle w:val="Heading3"/>
      </w:pPr>
      <w:bookmarkStart w:id="448" w:name="_Toc335144666"/>
      <w:bookmarkStart w:id="449" w:name="_Ref387589130"/>
      <w:bookmarkStart w:id="450" w:name="_Toc387600768"/>
      <w:bookmarkStart w:id="451" w:name="_Toc393785069"/>
      <w:bookmarkStart w:id="452" w:name="_Toc394061174"/>
      <w:bookmarkStart w:id="453" w:name="_Toc394061264"/>
      <w:bookmarkStart w:id="454" w:name="_Toc396312030"/>
      <w:bookmarkStart w:id="455" w:name="_Toc520727865"/>
      <w:bookmarkStart w:id="456" w:name="_Toc12365610"/>
      <w:r w:rsidRPr="0058370B">
        <w:t>Observer training</w:t>
      </w:r>
      <w:bookmarkEnd w:id="448"/>
      <w:bookmarkEnd w:id="449"/>
      <w:bookmarkEnd w:id="450"/>
      <w:bookmarkEnd w:id="451"/>
      <w:bookmarkEnd w:id="452"/>
      <w:bookmarkEnd w:id="453"/>
      <w:bookmarkEnd w:id="454"/>
      <w:bookmarkEnd w:id="455"/>
      <w:bookmarkEnd w:id="456"/>
    </w:p>
    <w:p w14:paraId="037FCB4F" w14:textId="77777777" w:rsidR="00780C6B" w:rsidRPr="0058370B" w:rsidRDefault="00780C6B" w:rsidP="00FE2F59">
      <w:pPr>
        <w:rPr>
          <w:rFonts w:cs="Arial"/>
        </w:rPr>
      </w:pPr>
      <w:r w:rsidRPr="0058370B">
        <w:rPr>
          <w:rFonts w:cs="Arial"/>
        </w:rPr>
        <w:t>The JCU personnel collecting data in association with this project are without exception highly experienced in the collection of seagrass monitoring data. The majority of observers have been involved in seagrass monitoring for at least a decade and were employed specifically for their skills associated with the tasks required.</w:t>
      </w:r>
    </w:p>
    <w:p w14:paraId="58A742E1" w14:textId="230B48CA" w:rsidR="00780C6B" w:rsidRPr="0058370B" w:rsidRDefault="00780C6B" w:rsidP="00FE2F59">
      <w:pPr>
        <w:rPr>
          <w:rFonts w:cs="Arial"/>
        </w:rPr>
      </w:pPr>
      <w:r w:rsidRPr="0058370B">
        <w:rPr>
          <w:rFonts w:cs="Arial"/>
        </w:rPr>
        <w:t xml:space="preserve">All observers have successfully completed a Level 1 Seagrass-Watch training course (seagrasswatch.org/training.html) and have demonstrated competency across </w:t>
      </w:r>
      <w:r w:rsidR="00587BCF">
        <w:rPr>
          <w:rFonts w:cs="Arial"/>
        </w:rPr>
        <w:t>nine</w:t>
      </w:r>
      <w:r w:rsidR="00D87540" w:rsidRPr="0058370B">
        <w:rPr>
          <w:rFonts w:cs="Arial"/>
        </w:rPr>
        <w:t xml:space="preserve"> </w:t>
      </w:r>
      <w:r w:rsidRPr="0058370B">
        <w:rPr>
          <w:rFonts w:cs="Arial"/>
        </w:rPr>
        <w:t>core units</w:t>
      </w:r>
      <w:r w:rsidR="00D87540">
        <w:rPr>
          <w:rFonts w:cs="Arial"/>
        </w:rPr>
        <w:t>,</w:t>
      </w:r>
      <w:r w:rsidR="00D87540" w:rsidRPr="0058370B">
        <w:rPr>
          <w:rFonts w:cs="Arial"/>
        </w:rPr>
        <w:t xml:space="preserve"> </w:t>
      </w:r>
      <w:r w:rsidRPr="0058370B">
        <w:rPr>
          <w:rFonts w:cs="Arial"/>
        </w:rPr>
        <w:t>achieved 80</w:t>
      </w:r>
      <w:r w:rsidR="00BC5B15">
        <w:rPr>
          <w:rFonts w:cs="Arial"/>
        </w:rPr>
        <w:t xml:space="preserve"> per cent</w:t>
      </w:r>
      <w:r w:rsidRPr="0058370B">
        <w:rPr>
          <w:rFonts w:cs="Arial"/>
        </w:rPr>
        <w:t xml:space="preserve"> of formal assessment (classroom and laboratory) (5 units) and demonstrated competency in the field both during the worksh</w:t>
      </w:r>
      <w:r w:rsidR="00587BCF">
        <w:rPr>
          <w:rFonts w:cs="Arial"/>
        </w:rPr>
        <w:t>op (1 unit) and post workshop (3</w:t>
      </w:r>
      <w:r w:rsidRPr="0058370B">
        <w:rPr>
          <w:rFonts w:cs="Arial"/>
        </w:rPr>
        <w:t xml:space="preserve"> unit</w:t>
      </w:r>
      <w:r w:rsidR="00587BCF">
        <w:rPr>
          <w:rFonts w:cs="Arial"/>
        </w:rPr>
        <w:t>s</w:t>
      </w:r>
      <w:r w:rsidRPr="0058370B">
        <w:rPr>
          <w:rFonts w:cs="Arial"/>
        </w:rPr>
        <w:t xml:space="preserve"> = successful completion of 3 monitoring events/periods within 12 months). Volunteers who assist JCU scientists have also successfully completed a Level 1 training course.</w:t>
      </w:r>
    </w:p>
    <w:p w14:paraId="23BD9FE3" w14:textId="3BE70A6A" w:rsidR="00780C6B" w:rsidRPr="0058370B" w:rsidRDefault="00780C6B" w:rsidP="00FE2F59">
      <w:pPr>
        <w:rPr>
          <w:rFonts w:cs="Arial"/>
        </w:rPr>
      </w:pPr>
      <w:r w:rsidRPr="0058370B">
        <w:rPr>
          <w:rFonts w:cs="Arial"/>
        </w:rPr>
        <w:t xml:space="preserve">Technical issues concerning </w:t>
      </w:r>
      <w:r w:rsidR="00D87540">
        <w:rPr>
          <w:rFonts w:cs="Arial"/>
        </w:rPr>
        <w:t>QC</w:t>
      </w:r>
      <w:r w:rsidRPr="0058370B">
        <w:rPr>
          <w:rFonts w:cs="Arial"/>
        </w:rPr>
        <w:t xml:space="preserve"> of data are important and are resolved by using standard methods </w:t>
      </w:r>
      <w:r w:rsidR="00D87540">
        <w:rPr>
          <w:rFonts w:cs="Arial"/>
        </w:rPr>
        <w:t xml:space="preserve">that </w:t>
      </w:r>
      <w:r w:rsidR="003474FC">
        <w:rPr>
          <w:rFonts w:cs="Arial"/>
        </w:rPr>
        <w:t>make sure of</w:t>
      </w:r>
      <w:r w:rsidR="003474FC" w:rsidRPr="0058370B">
        <w:rPr>
          <w:rFonts w:cs="Arial"/>
        </w:rPr>
        <w:t xml:space="preserve"> </w:t>
      </w:r>
      <w:r w:rsidRPr="0058370B">
        <w:rPr>
          <w:rFonts w:cs="Arial"/>
        </w:rPr>
        <w:t xml:space="preserve">completeness in the field (the comparison between the amounts of valid or useable data originally planned to collect versus how much </w:t>
      </w:r>
      <w:r w:rsidR="00D87540" w:rsidRPr="0058370B">
        <w:rPr>
          <w:rFonts w:cs="Arial"/>
        </w:rPr>
        <w:t>w</w:t>
      </w:r>
      <w:r w:rsidR="00D87540">
        <w:rPr>
          <w:rFonts w:cs="Arial"/>
        </w:rPr>
        <w:t>ere</w:t>
      </w:r>
      <w:r w:rsidR="00D87540" w:rsidRPr="0058370B">
        <w:rPr>
          <w:rFonts w:cs="Arial"/>
        </w:rPr>
        <w:t xml:space="preserve"> </w:t>
      </w:r>
      <w:r w:rsidRPr="0058370B">
        <w:rPr>
          <w:rFonts w:cs="Arial"/>
        </w:rPr>
        <w:t xml:space="preserve">collected); using standard seagrass cover calibration sheets to </w:t>
      </w:r>
      <w:r w:rsidR="003474FC" w:rsidRPr="0058370B">
        <w:rPr>
          <w:rFonts w:cs="Arial"/>
        </w:rPr>
        <w:t>guarantee</w:t>
      </w:r>
      <w:r w:rsidRPr="0058370B">
        <w:rPr>
          <w:rFonts w:cs="Arial"/>
        </w:rPr>
        <w:t xml:space="preserve"> precision (the degree of agreement among repeated measurements of the same characteristic at the same place and the same time) and consistency between observers and across sites at monitoring times. Ongoing standardisation of observers is achieved through routine comparisons during sampling events. Any discrepancy is used to identify and subsequently mitigate bias. For the most part</w:t>
      </w:r>
      <w:r w:rsidR="00D87540">
        <w:rPr>
          <w:rFonts w:cs="Arial"/>
        </w:rPr>
        <w:t>,</w:t>
      </w:r>
      <w:r w:rsidRPr="0058370B">
        <w:rPr>
          <w:rFonts w:cs="Arial"/>
        </w:rPr>
        <w:t xml:space="preserve"> however</w:t>
      </w:r>
      <w:r w:rsidR="00D87540">
        <w:rPr>
          <w:rFonts w:cs="Arial"/>
        </w:rPr>
        <w:t>,</w:t>
      </w:r>
      <w:r w:rsidRPr="0058370B">
        <w:rPr>
          <w:rFonts w:cs="Arial"/>
        </w:rPr>
        <w:t xml:space="preserve"> uncertainties in per</w:t>
      </w:r>
      <w:r w:rsidR="00D87540">
        <w:rPr>
          <w:rFonts w:cs="Arial"/>
        </w:rPr>
        <w:t xml:space="preserve"> </w:t>
      </w:r>
      <w:r w:rsidRPr="0058370B">
        <w:rPr>
          <w:rFonts w:cs="Arial"/>
        </w:rPr>
        <w:t xml:space="preserve">cent cover or species identification are mitigated in the field via direct communication or </w:t>
      </w:r>
      <w:r w:rsidR="00D87540">
        <w:rPr>
          <w:rFonts w:cs="Arial"/>
        </w:rPr>
        <w:t xml:space="preserve">by </w:t>
      </w:r>
      <w:r w:rsidRPr="0058370B">
        <w:rPr>
          <w:rFonts w:cs="Arial"/>
        </w:rPr>
        <w:t xml:space="preserve">the collection of voucher specimens (to be checked under </w:t>
      </w:r>
      <w:r w:rsidR="00D87540">
        <w:rPr>
          <w:rFonts w:cs="Arial"/>
        </w:rPr>
        <w:t xml:space="preserve">a </w:t>
      </w:r>
      <w:r w:rsidRPr="0058370B">
        <w:rPr>
          <w:rFonts w:cs="Arial"/>
        </w:rPr>
        <w:t xml:space="preserve">microscope and pressed in </w:t>
      </w:r>
      <w:r w:rsidR="00D87540">
        <w:rPr>
          <w:rFonts w:cs="Arial"/>
        </w:rPr>
        <w:t xml:space="preserve">the </w:t>
      </w:r>
      <w:r w:rsidRPr="0058370B">
        <w:rPr>
          <w:rFonts w:cs="Arial"/>
        </w:rPr>
        <w:t xml:space="preserve">herbarium) and the use of a digital camera to record images (protocol requires </w:t>
      </w:r>
      <w:r w:rsidR="00D87540">
        <w:rPr>
          <w:rFonts w:cs="Arial"/>
        </w:rPr>
        <w:t xml:space="preserve">that </w:t>
      </w:r>
      <w:r>
        <w:rPr>
          <w:rFonts w:cs="Arial"/>
        </w:rPr>
        <w:t>all</w:t>
      </w:r>
      <w:r w:rsidRPr="0058370B">
        <w:rPr>
          <w:rFonts w:cs="Arial"/>
        </w:rPr>
        <w:t xml:space="preserve"> quadrats are photographed) for later identification and discussion. Evidence of competency is securely filed on a secure server at </w:t>
      </w:r>
      <w:r w:rsidR="00D87540">
        <w:rPr>
          <w:rFonts w:cs="Arial"/>
        </w:rPr>
        <w:t>JCU Cairns</w:t>
      </w:r>
      <w:r w:rsidR="00D74CED">
        <w:rPr>
          <w:rFonts w:cs="Arial"/>
        </w:rPr>
        <w:t xml:space="preserve"> campus</w:t>
      </w:r>
      <w:r w:rsidR="00D87540">
        <w:rPr>
          <w:rFonts w:cs="Arial"/>
        </w:rPr>
        <w:t>.</w:t>
      </w:r>
    </w:p>
    <w:p w14:paraId="3CAB7B64" w14:textId="13414FF2" w:rsidR="00531525" w:rsidRPr="0058370B" w:rsidRDefault="00531525" w:rsidP="009F1EA2">
      <w:pPr>
        <w:pStyle w:val="Heading3"/>
      </w:pPr>
      <w:bookmarkStart w:id="457" w:name="_Toc520727866"/>
      <w:bookmarkStart w:id="458" w:name="_Toc12365611"/>
      <w:r w:rsidRPr="0058370B">
        <w:t>Laboratory analysis</w:t>
      </w:r>
      <w:bookmarkEnd w:id="439"/>
      <w:bookmarkEnd w:id="440"/>
      <w:bookmarkEnd w:id="441"/>
      <w:r w:rsidRPr="0058370B">
        <w:t xml:space="preserve"> </w:t>
      </w:r>
      <w:r w:rsidR="00D87540">
        <w:t>—</w:t>
      </w:r>
      <w:r w:rsidRPr="0058370B">
        <w:t xml:space="preserve"> Inshore seagrass meadow abundance, community structure and reproductive health</w:t>
      </w:r>
      <w:bookmarkEnd w:id="442"/>
      <w:bookmarkEnd w:id="443"/>
      <w:bookmarkEnd w:id="444"/>
      <w:bookmarkEnd w:id="445"/>
      <w:bookmarkEnd w:id="457"/>
      <w:bookmarkEnd w:id="458"/>
    </w:p>
    <w:p w14:paraId="19A98073" w14:textId="77777777" w:rsidR="00531525" w:rsidRPr="0058370B" w:rsidRDefault="00531525" w:rsidP="00FE2F59">
      <w:pPr>
        <w:rPr>
          <w:rFonts w:cs="Arial"/>
          <w:b/>
        </w:rPr>
      </w:pPr>
      <w:r w:rsidRPr="0058370B">
        <w:rPr>
          <w:rFonts w:cs="Arial"/>
          <w:b/>
        </w:rPr>
        <w:t>Seagrass reproductive health</w:t>
      </w:r>
    </w:p>
    <w:p w14:paraId="16B17C71" w14:textId="2B85245E" w:rsidR="00531525" w:rsidRPr="0058370B" w:rsidRDefault="00531525" w:rsidP="00FE2F59">
      <w:pPr>
        <w:rPr>
          <w:rFonts w:cs="Arial"/>
        </w:rPr>
      </w:pPr>
      <w:bookmarkStart w:id="459" w:name="_Toc175991046"/>
      <w:r w:rsidRPr="0058370B">
        <w:rPr>
          <w:rFonts w:cs="Arial"/>
        </w:rPr>
        <w:t xml:space="preserve">In the </w:t>
      </w:r>
      <w:r w:rsidRPr="00095A05">
        <w:rPr>
          <w:rFonts w:cs="Arial"/>
        </w:rPr>
        <w:t>laboratory, reproductive structures (spathes, fruit</w:t>
      </w:r>
      <w:r w:rsidR="00587BCF">
        <w:rPr>
          <w:rFonts w:cs="Arial"/>
        </w:rPr>
        <w:t>s</w:t>
      </w:r>
      <w:r w:rsidRPr="00095A05">
        <w:rPr>
          <w:rFonts w:cs="Arial"/>
        </w:rPr>
        <w:t>, female flower</w:t>
      </w:r>
      <w:r w:rsidR="00587BCF">
        <w:rPr>
          <w:rFonts w:cs="Arial"/>
        </w:rPr>
        <w:t>s</w:t>
      </w:r>
      <w:r w:rsidRPr="00095A05">
        <w:rPr>
          <w:rFonts w:cs="Arial"/>
        </w:rPr>
        <w:t xml:space="preserve"> or male flowers; </w:t>
      </w:r>
      <w:r w:rsidR="00620C94" w:rsidRPr="00095A05">
        <w:rPr>
          <w:rFonts w:cs="Arial"/>
        </w:rPr>
        <w:fldChar w:fldCharType="begin"/>
      </w:r>
      <w:r w:rsidR="00620C94" w:rsidRPr="00095A05">
        <w:rPr>
          <w:rFonts w:cs="Arial"/>
        </w:rPr>
        <w:instrText xml:space="preserve"> REF _Ref489452876 \h </w:instrText>
      </w:r>
      <w:r w:rsidR="00095A05" w:rsidRPr="00095A05">
        <w:rPr>
          <w:rFonts w:cs="Arial"/>
        </w:rPr>
        <w:instrText xml:space="preserve"> \* MERGEFORMAT </w:instrText>
      </w:r>
      <w:r w:rsidR="00620C94" w:rsidRPr="00095A05">
        <w:rPr>
          <w:rFonts w:cs="Arial"/>
        </w:rPr>
      </w:r>
      <w:r w:rsidR="00620C94" w:rsidRPr="00095A05">
        <w:rPr>
          <w:rFonts w:cs="Arial"/>
        </w:rPr>
        <w:fldChar w:fldCharType="separate"/>
      </w:r>
      <w:r w:rsidR="00D528AA" w:rsidRPr="00620C94">
        <w:t xml:space="preserve">Figure </w:t>
      </w:r>
      <w:r w:rsidR="00D528AA">
        <w:rPr>
          <w:noProof/>
        </w:rPr>
        <w:t>6</w:t>
      </w:r>
      <w:r w:rsidR="00D528AA">
        <w:rPr>
          <w:noProof/>
        </w:rPr>
        <w:noBreakHyphen/>
        <w:t>2</w:t>
      </w:r>
      <w:r w:rsidR="00620C94" w:rsidRPr="00095A05">
        <w:rPr>
          <w:rFonts w:cs="Arial"/>
        </w:rPr>
        <w:fldChar w:fldCharType="end"/>
      </w:r>
      <w:r w:rsidR="0037693C" w:rsidRPr="00095A05">
        <w:rPr>
          <w:rFonts w:cs="Arial"/>
          <w:highlight w:val="yellow"/>
        </w:rPr>
        <w:fldChar w:fldCharType="begin"/>
      </w:r>
      <w:r w:rsidR="0037693C" w:rsidRPr="00095A05">
        <w:rPr>
          <w:rFonts w:cs="Arial"/>
        </w:rPr>
        <w:instrText xml:space="preserve"> REF _Ref433716078 \h </w:instrText>
      </w:r>
      <w:r w:rsidR="00095A05" w:rsidRPr="00095A05">
        <w:rPr>
          <w:rFonts w:cs="Arial"/>
          <w:highlight w:val="yellow"/>
        </w:rPr>
        <w:instrText xml:space="preserve"> \* MERGEFORMAT </w:instrText>
      </w:r>
      <w:r w:rsidR="0037693C" w:rsidRPr="00095A05">
        <w:rPr>
          <w:rFonts w:cs="Arial"/>
          <w:highlight w:val="yellow"/>
        </w:rPr>
      </w:r>
      <w:r w:rsidR="0037693C" w:rsidRPr="00095A05">
        <w:rPr>
          <w:rFonts w:cs="Arial"/>
          <w:highlight w:val="yellow"/>
        </w:rPr>
        <w:fldChar w:fldCharType="end"/>
      </w:r>
      <w:r w:rsidR="00BF1E6A" w:rsidRPr="00095A05">
        <w:rPr>
          <w:rFonts w:cs="Arial"/>
        </w:rPr>
        <w:t>)</w:t>
      </w:r>
      <w:r w:rsidRPr="0058370B">
        <w:rPr>
          <w:rFonts w:cs="Arial"/>
        </w:rPr>
        <w:t xml:space="preserve"> of plants from each core are </w:t>
      </w:r>
      <w:bookmarkEnd w:id="459"/>
      <w:r w:rsidRPr="0058370B">
        <w:rPr>
          <w:rFonts w:cs="Arial"/>
        </w:rPr>
        <w:t xml:space="preserve">identified and counted for each sample and species. If </w:t>
      </w:r>
      <w:r w:rsidRPr="0058370B">
        <w:rPr>
          <w:rFonts w:cs="Arial"/>
          <w:i/>
        </w:rPr>
        <w:t>Halodule uninervis</w:t>
      </w:r>
      <w:r w:rsidRPr="0058370B">
        <w:rPr>
          <w:rFonts w:cs="Arial"/>
        </w:rPr>
        <w:t xml:space="preserve"> seeds (brown green colour) are still attached to the rhizome, they are counted as fruits. Seed estimates are not recorded for </w:t>
      </w:r>
      <w:r w:rsidRPr="0058370B">
        <w:rPr>
          <w:rFonts w:cs="Arial"/>
          <w:i/>
        </w:rPr>
        <w:t>Halophila ovalis</w:t>
      </w:r>
      <w:r w:rsidRPr="0058370B">
        <w:rPr>
          <w:rFonts w:cs="Arial"/>
        </w:rPr>
        <w:t xml:space="preserve"> due to time constraints (if time is available post this first pass of the samples, fruits </w:t>
      </w:r>
      <w:r w:rsidR="00D87540">
        <w:rPr>
          <w:rFonts w:cs="Arial"/>
        </w:rPr>
        <w:t>are</w:t>
      </w:r>
      <w:r w:rsidRPr="0058370B">
        <w:rPr>
          <w:rFonts w:cs="Arial"/>
        </w:rPr>
        <w:t xml:space="preserve"> dissected and seeds counted). For </w:t>
      </w:r>
      <w:r w:rsidRPr="0058370B">
        <w:rPr>
          <w:rFonts w:cs="Arial"/>
          <w:i/>
        </w:rPr>
        <w:t xml:space="preserve">Zostera muelleri </w:t>
      </w:r>
      <w:r w:rsidRPr="0058370B">
        <w:rPr>
          <w:rFonts w:cs="Arial"/>
        </w:rPr>
        <w:t>subsp</w:t>
      </w:r>
      <w:r w:rsidRPr="0058370B">
        <w:rPr>
          <w:rFonts w:cs="Arial"/>
          <w:i/>
        </w:rPr>
        <w:t>. capricorni</w:t>
      </w:r>
      <w:r w:rsidRPr="0058370B">
        <w:rPr>
          <w:rFonts w:cs="Arial"/>
        </w:rPr>
        <w:t xml:space="preserve">, the number of spathes is recorded, </w:t>
      </w:r>
      <w:r w:rsidR="00D87540">
        <w:rPr>
          <w:rFonts w:cs="Arial"/>
        </w:rPr>
        <w:t xml:space="preserve">and </w:t>
      </w:r>
      <w:r w:rsidRPr="0058370B">
        <w:rPr>
          <w:rFonts w:cs="Arial"/>
        </w:rPr>
        <w:t xml:space="preserve">male and female flowers and seeds </w:t>
      </w:r>
      <w:r w:rsidR="00D87540">
        <w:rPr>
          <w:rFonts w:cs="Arial"/>
        </w:rPr>
        <w:t xml:space="preserve">are </w:t>
      </w:r>
      <w:r w:rsidRPr="0058370B">
        <w:rPr>
          <w:rFonts w:cs="Arial"/>
        </w:rPr>
        <w:t xml:space="preserve">counted during dissection if there is time after the initial pass of the samples. </w:t>
      </w:r>
      <w:r w:rsidR="00B0535B" w:rsidRPr="0058370B">
        <w:rPr>
          <w:rFonts w:cs="Arial"/>
        </w:rPr>
        <w:t xml:space="preserve">Apical meristems are counted if possible. </w:t>
      </w:r>
      <w:r w:rsidRPr="0058370B">
        <w:rPr>
          <w:rFonts w:cs="Arial"/>
        </w:rPr>
        <w:t xml:space="preserve">The number of nodes for each species is counted, and for each species present in the sample, 10 random internode lengths and 10 random leaf widths are measured. Approximately </w:t>
      </w:r>
      <w:r w:rsidR="00D87540">
        <w:rPr>
          <w:rFonts w:cs="Arial"/>
        </w:rPr>
        <w:t>five per cent</w:t>
      </w:r>
      <w:r w:rsidRPr="0058370B">
        <w:rPr>
          <w:rFonts w:cs="Arial"/>
        </w:rPr>
        <w:t xml:space="preserve"> of samples are cross-calibrated between technicians. All samples, including flowers and spathes and fruits/fruiting bodies are kept and re-frozen in the site bags for approximately </w:t>
      </w:r>
      <w:r w:rsidR="00D87540">
        <w:rPr>
          <w:rFonts w:cs="Arial"/>
        </w:rPr>
        <w:t>two</w:t>
      </w:r>
      <w:r w:rsidR="00D87540" w:rsidRPr="0058370B">
        <w:rPr>
          <w:rFonts w:cs="Arial"/>
        </w:rPr>
        <w:t xml:space="preserve"> </w:t>
      </w:r>
      <w:r w:rsidRPr="0058370B">
        <w:rPr>
          <w:rFonts w:cs="Arial"/>
        </w:rPr>
        <w:t>year</w:t>
      </w:r>
      <w:r w:rsidR="00472A55">
        <w:rPr>
          <w:rFonts w:cs="Arial"/>
        </w:rPr>
        <w:t xml:space="preserve">s for revalidation if required. </w:t>
      </w:r>
      <w:r w:rsidRPr="0058370B">
        <w:rPr>
          <w:rFonts w:cs="Arial"/>
        </w:rPr>
        <w:t>Reproductive effort is calculated as the number of reproductive structures per core.</w:t>
      </w:r>
    </w:p>
    <w:p w14:paraId="31FFCB86" w14:textId="77777777" w:rsidR="001C1BFA" w:rsidRDefault="00531525" w:rsidP="00620C94">
      <w:pPr>
        <w:keepNext/>
      </w:pPr>
      <w:r w:rsidRPr="0058370B">
        <w:rPr>
          <w:rFonts w:cs="Arial"/>
          <w:noProof/>
          <w:lang w:eastAsia="en-AU"/>
        </w:rPr>
        <w:drawing>
          <wp:inline distT="0" distB="0" distL="0" distR="0" wp14:anchorId="3C14C18A" wp14:editId="03519E88">
            <wp:extent cx="5762625" cy="2191385"/>
            <wp:effectExtent l="19050" t="19050" r="28575" b="18415"/>
            <wp:docPr id="11" name="Picture 11" descr="Form and size of reproductive structure of the seagrasses collected: Halophila ovalis, Halodule uninervis and Zostera muelleri subsp. capricorni" title="Fig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descr="Figure 7.2. Form and size of reproductive structure of the three seagrasses collected: Halophila ovalis, Halodule uninervis and Zostera muelleri ssp. capricorni"/>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w="9525" cmpd="sng">
                      <a:solidFill>
                        <a:srgbClr val="7F7F7F"/>
                      </a:solidFill>
                      <a:miter lim="800000"/>
                      <a:headEnd/>
                      <a:tailEnd/>
                    </a:ln>
                    <a:effectLst/>
                  </pic:spPr>
                </pic:pic>
              </a:graphicData>
            </a:graphic>
          </wp:inline>
        </w:drawing>
      </w:r>
    </w:p>
    <w:p w14:paraId="3D2FB0AB" w14:textId="635D5698" w:rsidR="00531525" w:rsidRPr="007177E2" w:rsidRDefault="00620C94" w:rsidP="007E5A3A">
      <w:pPr>
        <w:pStyle w:val="Caption"/>
        <w:rPr>
          <w:i/>
        </w:rPr>
      </w:pPr>
      <w:bookmarkStart w:id="460" w:name="_Ref433716078"/>
      <w:bookmarkStart w:id="461" w:name="_Ref489452876"/>
      <w:bookmarkStart w:id="462" w:name="_Toc12361632"/>
      <w:bookmarkEnd w:id="460"/>
      <w:r w:rsidRPr="00620C94">
        <w:t xml:space="preserve">Figure </w:t>
      </w:r>
      <w:r w:rsidR="006940F4">
        <w:rPr>
          <w:noProof/>
        </w:rPr>
        <w:fldChar w:fldCharType="begin"/>
      </w:r>
      <w:r w:rsidR="006940F4">
        <w:rPr>
          <w:noProof/>
        </w:rPr>
        <w:instrText xml:space="preserve"> STYLEREF 1 \s </w:instrText>
      </w:r>
      <w:r w:rsidR="006940F4">
        <w:rPr>
          <w:noProof/>
        </w:rPr>
        <w:fldChar w:fldCharType="separate"/>
      </w:r>
      <w:r w:rsidR="00D528AA">
        <w:rPr>
          <w:noProof/>
        </w:rPr>
        <w:t>6</w:t>
      </w:r>
      <w:r w:rsidR="006940F4">
        <w:rPr>
          <w:noProof/>
        </w:rPr>
        <w:fldChar w:fldCharType="end"/>
      </w:r>
      <w:r w:rsidR="00917941">
        <w:noBreakHyphen/>
      </w:r>
      <w:r w:rsidR="006940F4">
        <w:rPr>
          <w:noProof/>
        </w:rPr>
        <w:fldChar w:fldCharType="begin"/>
      </w:r>
      <w:r w:rsidR="006940F4">
        <w:rPr>
          <w:noProof/>
        </w:rPr>
        <w:instrText xml:space="preserve"> SEQ Figure \* ARABIC \s 1 </w:instrText>
      </w:r>
      <w:r w:rsidR="006940F4">
        <w:rPr>
          <w:noProof/>
        </w:rPr>
        <w:fldChar w:fldCharType="separate"/>
      </w:r>
      <w:r w:rsidR="00D528AA">
        <w:rPr>
          <w:noProof/>
        </w:rPr>
        <w:t>2</w:t>
      </w:r>
      <w:r w:rsidR="006940F4">
        <w:rPr>
          <w:noProof/>
        </w:rPr>
        <w:fldChar w:fldCharType="end"/>
      </w:r>
      <w:bookmarkEnd w:id="461"/>
      <w:r w:rsidR="001C1BFA" w:rsidRPr="00F529DD">
        <w:t xml:space="preserve"> </w:t>
      </w:r>
      <w:r w:rsidR="001C1BFA" w:rsidRPr="009B6881">
        <w:t xml:space="preserve">Form and size of reproductive structure of the seagrasses collected: </w:t>
      </w:r>
      <w:r w:rsidR="001C1BFA" w:rsidRPr="007177E2">
        <w:rPr>
          <w:i/>
        </w:rPr>
        <w:t>Halophila ovalis</w:t>
      </w:r>
      <w:r w:rsidR="001C1BFA" w:rsidRPr="009B6881">
        <w:t xml:space="preserve">, </w:t>
      </w:r>
      <w:r w:rsidR="001C1BFA" w:rsidRPr="007177E2">
        <w:rPr>
          <w:i/>
        </w:rPr>
        <w:t>Halodule uninervis</w:t>
      </w:r>
      <w:r w:rsidR="001C1BFA" w:rsidRPr="009B6881">
        <w:t xml:space="preserve"> and </w:t>
      </w:r>
      <w:r w:rsidR="001C1BFA" w:rsidRPr="007177E2">
        <w:rPr>
          <w:i/>
        </w:rPr>
        <w:t>Zostera muelleri</w:t>
      </w:r>
      <w:r w:rsidR="001C1BFA" w:rsidRPr="009B6881">
        <w:t xml:space="preserve"> subsp. </w:t>
      </w:r>
      <w:r w:rsidR="001C1BFA" w:rsidRPr="007177E2">
        <w:rPr>
          <w:i/>
        </w:rPr>
        <w:t>capricorni</w:t>
      </w:r>
      <w:bookmarkEnd w:id="462"/>
    </w:p>
    <w:p w14:paraId="3A275AB5" w14:textId="77777777" w:rsidR="00531525" w:rsidRPr="0058370B" w:rsidRDefault="00531525" w:rsidP="00FE2F59">
      <w:pPr>
        <w:rPr>
          <w:rFonts w:cs="Arial"/>
          <w:b/>
        </w:rPr>
      </w:pPr>
      <w:r w:rsidRPr="0058370B">
        <w:rPr>
          <w:rFonts w:cs="Arial"/>
          <w:b/>
        </w:rPr>
        <w:t>Seagrass tissue nutrients</w:t>
      </w:r>
    </w:p>
    <w:p w14:paraId="12CFAFB8" w14:textId="0EC79B55" w:rsidR="00531525" w:rsidRPr="0058370B" w:rsidRDefault="00531525" w:rsidP="00FE2F59">
      <w:pPr>
        <w:rPr>
          <w:rFonts w:cs="Arial"/>
        </w:rPr>
      </w:pPr>
      <w:r w:rsidRPr="0058370B">
        <w:rPr>
          <w:rFonts w:cs="Arial"/>
        </w:rPr>
        <w:t xml:space="preserve">Leaves are separated in the laboratory into seagrass species and epiphytic algae </w:t>
      </w:r>
      <w:r w:rsidR="00D87540">
        <w:rPr>
          <w:rFonts w:cs="Arial"/>
        </w:rPr>
        <w:t xml:space="preserve">is </w:t>
      </w:r>
      <w:r w:rsidRPr="0058370B">
        <w:rPr>
          <w:rFonts w:cs="Arial"/>
        </w:rPr>
        <w:t xml:space="preserve">removed by gently scraping the leaf surface. Samples are oven dried at 60°C to weight constancy. Dried biomass samples of leaves are then homogenised by milling to fine powders </w:t>
      </w:r>
      <w:r w:rsidR="00383250">
        <w:rPr>
          <w:rFonts w:cs="Arial"/>
        </w:rPr>
        <w:t>before</w:t>
      </w:r>
      <w:r w:rsidRPr="0058370B">
        <w:rPr>
          <w:rFonts w:cs="Arial"/>
        </w:rPr>
        <w:t xml:space="preserve"> nutrient analyses and stored in sealed vials. </w:t>
      </w:r>
    </w:p>
    <w:p w14:paraId="4494D0C7" w14:textId="083BCFCD" w:rsidR="00531525" w:rsidRPr="0058370B" w:rsidRDefault="00531525" w:rsidP="00FE2F59">
      <w:pPr>
        <w:rPr>
          <w:rFonts w:cs="Arial"/>
        </w:rPr>
      </w:pPr>
      <w:r w:rsidRPr="0058370B">
        <w:rPr>
          <w:rFonts w:cs="Arial"/>
        </w:rPr>
        <w:t xml:space="preserve">The ground tissue samples are sent to Chemcentre (Western Australia) for analysis. Chemcentre holds NATA accreditation for constituents of the environment including soil, sediments, waters and wastewaters (details of Chemcentre accreditation can be found at the NATA website: </w:t>
      </w:r>
      <w:hyperlink r:id="rId76" w:tooltip="more information" w:history="1">
        <w:r w:rsidRPr="0058370B">
          <w:rPr>
            <w:rFonts w:cs="Arial"/>
          </w:rPr>
          <w:t>http://www.nata.asn.au/</w:t>
        </w:r>
      </w:hyperlink>
      <w:r w:rsidRPr="0058370B">
        <w:rPr>
          <w:rFonts w:cs="Arial"/>
        </w:rPr>
        <w:t>). NATA accreditation held by the ChemCentre includes a wide variety of QA/QC procedures covering the registration and identification of samples with unique codes and the regular calibration of all quantitative laboratory equipment required for the analysis. ChemCentre has developed appropriate analytical techniques including QA/QC procedures and detection of nutrients. These procedures include blanks, duplicates where practical and internal use of standards. In 2010, QA/QC also included an inter-lab</w:t>
      </w:r>
      <w:r w:rsidR="003474FC">
        <w:rPr>
          <w:rFonts w:cs="Arial"/>
        </w:rPr>
        <w:t>oratory</w:t>
      </w:r>
      <w:r w:rsidRPr="0058370B">
        <w:rPr>
          <w:rFonts w:cs="Arial"/>
        </w:rPr>
        <w:t xml:space="preserve"> comparison (using Queensland Health and Scientific Services – </w:t>
      </w:r>
      <w:r w:rsidR="003474FC">
        <w:rPr>
          <w:rFonts w:cs="Arial"/>
        </w:rPr>
        <w:t xml:space="preserve">also </w:t>
      </w:r>
      <w:r w:rsidRPr="0058370B">
        <w:rPr>
          <w:rFonts w:cs="Arial"/>
        </w:rPr>
        <w:t xml:space="preserve">a NATA accredited laboratory) and an </w:t>
      </w:r>
      <w:r w:rsidR="00383250">
        <w:rPr>
          <w:rFonts w:cs="Arial"/>
        </w:rPr>
        <w:t>extra</w:t>
      </w:r>
      <w:r w:rsidR="00383250" w:rsidRPr="0058370B">
        <w:rPr>
          <w:rFonts w:cs="Arial"/>
        </w:rPr>
        <w:t xml:space="preserve"> </w:t>
      </w:r>
      <w:r w:rsidRPr="0058370B">
        <w:rPr>
          <w:rFonts w:cs="Arial"/>
        </w:rPr>
        <w:t>blind internal comparison.</w:t>
      </w:r>
    </w:p>
    <w:p w14:paraId="1C1A3F35" w14:textId="098893E2" w:rsidR="00531525" w:rsidRPr="0058370B" w:rsidRDefault="00531525" w:rsidP="00FE2F59">
      <w:pPr>
        <w:rPr>
          <w:rFonts w:cs="Arial"/>
        </w:rPr>
      </w:pPr>
      <w:r w:rsidRPr="0058370B">
        <w:rPr>
          <w:rFonts w:cs="Arial"/>
        </w:rPr>
        <w:t xml:space="preserve">Nitrogen and phosphorus are extracted using a </w:t>
      </w:r>
      <w:r w:rsidR="003474FC" w:rsidRPr="0058370B">
        <w:rPr>
          <w:rFonts w:cs="Arial"/>
        </w:rPr>
        <w:t>standardi</w:t>
      </w:r>
      <w:r w:rsidR="003474FC">
        <w:rPr>
          <w:rFonts w:cs="Arial"/>
        </w:rPr>
        <w:t>s</w:t>
      </w:r>
      <w:r w:rsidR="003474FC" w:rsidRPr="0058370B">
        <w:rPr>
          <w:rFonts w:cs="Arial"/>
        </w:rPr>
        <w:t xml:space="preserve">ed </w:t>
      </w:r>
      <w:r w:rsidRPr="0058370B">
        <w:rPr>
          <w:rFonts w:cs="Arial"/>
        </w:rPr>
        <w:t>selenium Kjeldahl digest and the concentrations determined with an automatic analyser using standard techniques at Chemcentre in Western Australia. Percent</w:t>
      </w:r>
      <w:r w:rsidR="0034050C">
        <w:rPr>
          <w:rFonts w:cs="Arial"/>
        </w:rPr>
        <w:t>age of</w:t>
      </w:r>
      <w:r w:rsidRPr="0058370B">
        <w:rPr>
          <w:rFonts w:cs="Arial"/>
        </w:rPr>
        <w:t xml:space="preserve"> C </w:t>
      </w:r>
      <w:r w:rsidR="003474FC">
        <w:rPr>
          <w:rFonts w:cs="Arial"/>
        </w:rPr>
        <w:t>is</w:t>
      </w:r>
      <w:r w:rsidR="003474FC" w:rsidRPr="0058370B">
        <w:rPr>
          <w:rFonts w:cs="Arial"/>
        </w:rPr>
        <w:t xml:space="preserve"> </w:t>
      </w:r>
      <w:r w:rsidRPr="0058370B">
        <w:rPr>
          <w:rFonts w:cs="Arial"/>
        </w:rPr>
        <w:t>determined using atomic absorption, also at Chemcentre. Elemental ratios (C:N:P) are then calculated on a mole:mole basis using atomic weights (i.e., C</w:t>
      </w:r>
      <w:r w:rsidR="003474FC">
        <w:rPr>
          <w:rFonts w:cs="Arial"/>
        </w:rPr>
        <w:t xml:space="preserve"> </w:t>
      </w:r>
      <w:r w:rsidRPr="0058370B">
        <w:rPr>
          <w:rFonts w:cs="Arial"/>
        </w:rPr>
        <w:t>=</w:t>
      </w:r>
      <w:r w:rsidR="003474FC">
        <w:rPr>
          <w:rFonts w:cs="Arial"/>
        </w:rPr>
        <w:t xml:space="preserve"> </w:t>
      </w:r>
      <w:r w:rsidRPr="0058370B">
        <w:rPr>
          <w:rFonts w:cs="Arial"/>
        </w:rPr>
        <w:t>12, N</w:t>
      </w:r>
      <w:r w:rsidR="003474FC">
        <w:rPr>
          <w:rFonts w:cs="Arial"/>
        </w:rPr>
        <w:t xml:space="preserve"> </w:t>
      </w:r>
      <w:r w:rsidRPr="0058370B">
        <w:rPr>
          <w:rFonts w:cs="Arial"/>
        </w:rPr>
        <w:t>=</w:t>
      </w:r>
      <w:r w:rsidR="003474FC">
        <w:rPr>
          <w:rFonts w:cs="Arial"/>
        </w:rPr>
        <w:t xml:space="preserve"> </w:t>
      </w:r>
      <w:r w:rsidRPr="0058370B">
        <w:rPr>
          <w:rFonts w:cs="Arial"/>
        </w:rPr>
        <w:t>14, P</w:t>
      </w:r>
      <w:r w:rsidR="003474FC">
        <w:rPr>
          <w:rFonts w:cs="Arial"/>
        </w:rPr>
        <w:t xml:space="preserve"> </w:t>
      </w:r>
      <w:r w:rsidRPr="0058370B">
        <w:rPr>
          <w:rFonts w:cs="Arial"/>
        </w:rPr>
        <w:t>=</w:t>
      </w:r>
      <w:r w:rsidR="003474FC">
        <w:rPr>
          <w:rFonts w:cs="Arial"/>
        </w:rPr>
        <w:t xml:space="preserve"> </w:t>
      </w:r>
      <w:r w:rsidRPr="0058370B">
        <w:rPr>
          <w:rFonts w:cs="Arial"/>
        </w:rPr>
        <w:t xml:space="preserve">31). Analysis of all seagrass tissue nutrient data is based </w:t>
      </w:r>
      <w:r w:rsidR="003474FC">
        <w:rPr>
          <w:rFonts w:cs="Arial"/>
        </w:rPr>
        <w:t>on</w:t>
      </w:r>
      <w:r w:rsidR="003474FC" w:rsidRPr="0058370B">
        <w:rPr>
          <w:rFonts w:cs="Arial"/>
        </w:rPr>
        <w:t xml:space="preserve"> </w:t>
      </w:r>
      <w:r w:rsidRPr="0058370B">
        <w:rPr>
          <w:rFonts w:cs="Arial"/>
        </w:rPr>
        <w:t>the calculation of the atomic ratios of C:N:P.</w:t>
      </w:r>
    </w:p>
    <w:p w14:paraId="35F790B9" w14:textId="71FA109B" w:rsidR="00531525" w:rsidRPr="0058370B" w:rsidRDefault="00531525" w:rsidP="00FE2F59">
      <w:pPr>
        <w:rPr>
          <w:rFonts w:cs="Arial"/>
        </w:rPr>
      </w:pPr>
      <w:r w:rsidRPr="0058370B">
        <w:rPr>
          <w:rFonts w:cs="Arial"/>
        </w:rPr>
        <w:t>To determine per cent carbon, dried and milled seagrass leaf tissue material is combusted at 1400°C in a controlled atmosphere (</w:t>
      </w:r>
      <w:r w:rsidR="003474FC">
        <w:rPr>
          <w:rFonts w:cs="Arial"/>
        </w:rPr>
        <w:t>for example</w:t>
      </w:r>
      <w:r w:rsidRPr="0058370B">
        <w:rPr>
          <w:rFonts w:cs="Arial"/>
        </w:rPr>
        <w:t xml:space="preserve"> </w:t>
      </w:r>
      <w:r w:rsidR="003474FC">
        <w:rPr>
          <w:rFonts w:cs="Arial"/>
        </w:rPr>
        <w:t xml:space="preserve">a </w:t>
      </w:r>
      <w:r w:rsidR="003474FC" w:rsidRPr="0058370B">
        <w:rPr>
          <w:rFonts w:cs="Arial"/>
        </w:rPr>
        <w:t>L</w:t>
      </w:r>
      <w:r w:rsidR="003474FC">
        <w:rPr>
          <w:rFonts w:cs="Arial"/>
        </w:rPr>
        <w:t>ECO analyser</w:t>
      </w:r>
      <w:r w:rsidRPr="0058370B">
        <w:rPr>
          <w:rFonts w:cs="Arial"/>
        </w:rPr>
        <w:t>). This converts all carbon containing compounds to carbon dioxide. Water and oxygen is then removed from the system and the gaseous product is determined spectrophotometrically.</w:t>
      </w:r>
    </w:p>
    <w:p w14:paraId="74F392A8" w14:textId="0E430100" w:rsidR="004741A2" w:rsidRPr="0058370B" w:rsidRDefault="00531525" w:rsidP="00FE2F59">
      <w:pPr>
        <w:rPr>
          <w:rFonts w:cs="Arial"/>
        </w:rPr>
      </w:pPr>
      <w:r w:rsidRPr="0058370B">
        <w:rPr>
          <w:rFonts w:cs="Arial"/>
        </w:rPr>
        <w:t>Samples are digested in a mixture of sulphuric acid, potassium sul</w:t>
      </w:r>
      <w:r w:rsidR="00CC6786">
        <w:rPr>
          <w:rFonts w:cs="Arial"/>
        </w:rPr>
        <w:t>f</w:t>
      </w:r>
      <w:r w:rsidRPr="0058370B">
        <w:rPr>
          <w:rFonts w:cs="Arial"/>
        </w:rPr>
        <w:t>ate and a copper sul</w:t>
      </w:r>
      <w:r w:rsidR="00CC6786">
        <w:rPr>
          <w:rFonts w:cs="Arial"/>
        </w:rPr>
        <w:t>f</w:t>
      </w:r>
      <w:r w:rsidRPr="0058370B">
        <w:rPr>
          <w:rFonts w:cs="Arial"/>
        </w:rPr>
        <w:t>ate catalyst (cf. Kjeldahl). This converts all forms of nitrogen to the ammonium form and all forms of phosphorus to the orthophosphate form. The digest is diluted and any potentially interfering metals present are complexed with citrate and tartrate. For the nitrogen determination</w:t>
      </w:r>
      <w:r w:rsidR="003474FC">
        <w:rPr>
          <w:rFonts w:cs="Arial"/>
        </w:rPr>
        <w:t>,</w:t>
      </w:r>
      <w:r w:rsidRPr="0058370B">
        <w:rPr>
          <w:rFonts w:cs="Arial"/>
        </w:rPr>
        <w:t xml:space="preserve"> an aliquot is taken and the ammonium ions are determined colorimetrically following reduction with hydrazine to the nitrate ion, followed by diazotisation of 1-naphthylenediamine and subsequent coupling with sulphanilamide. For </w:t>
      </w:r>
      <w:r w:rsidR="003028C5">
        <w:rPr>
          <w:rFonts w:cs="Arial"/>
        </w:rPr>
        <w:t>TP</w:t>
      </w:r>
      <w:r w:rsidR="003474FC">
        <w:rPr>
          <w:rFonts w:cs="Arial"/>
        </w:rPr>
        <w:t>,</w:t>
      </w:r>
      <w:r w:rsidRPr="0058370B">
        <w:rPr>
          <w:rFonts w:cs="Arial"/>
        </w:rPr>
        <w:t xml:space="preserve"> an aliquot of the digest solution is diluted and P </w:t>
      </w:r>
      <w:r w:rsidR="003474FC">
        <w:rPr>
          <w:rFonts w:cs="Arial"/>
        </w:rPr>
        <w:t xml:space="preserve">is </w:t>
      </w:r>
      <w:r w:rsidRPr="0058370B">
        <w:rPr>
          <w:rFonts w:cs="Arial"/>
        </w:rPr>
        <w:t xml:space="preserve">determined as the phosphomolybdenum blue complex </w:t>
      </w:r>
      <w:r w:rsidR="00310A9A">
        <w:rPr>
          <w:rFonts w:cs="Arial"/>
        </w:rPr>
        <w:fldChar w:fldCharType="begin"/>
      </w:r>
      <w:r w:rsidR="00310A9A">
        <w:rPr>
          <w:rFonts w:cs="Arial"/>
        </w:rPr>
        <w:instrText xml:space="preserve"> ADDIN EN.CITE &lt;EndNote&gt;&lt;Cite&gt;&lt;Author&gt;Murphy&lt;/Author&gt;&lt;Year&gt;1962&lt;/Year&gt;&lt;RecNum&gt;1311&lt;/RecNum&gt;&lt;Prefix&gt;modified from &lt;/Prefix&gt;&lt;DisplayText&gt;(modified from Murphy &amp;amp; Riley, 1962)&lt;/DisplayText&gt;&lt;record&gt;&lt;rec-number&gt;1311&lt;/rec-number&gt;&lt;foreign-keys&gt;&lt;key app="EN" db-id="zapfddtwo2e9z5e5vxoxafs7sf59wfp52rvf" timestamp="1558919632"&gt;1311&lt;/key&gt;&lt;/foreign-keys&gt;&lt;ref-type name="Journal Article"&gt;17&lt;/ref-type&gt;&lt;contributors&gt;&lt;authors&gt;&lt;author&gt;Murphy, J.&lt;/author&gt;&lt;author&gt;Riley, J. P.&lt;/author&gt;&lt;/authors&gt;&lt;/contributors&gt;&lt;titles&gt;&lt;title&gt;A modified single solution method for the determination of phosphate in natural waters&lt;/title&gt;&lt;secondary-title&gt;Analytica Chimica Acta&lt;/secondary-title&gt;&lt;/titles&gt;&lt;periodical&gt;&lt;full-title&gt;Analytica Chimica Acta&lt;/full-title&gt;&lt;abbr-1&gt;Anal. Chim. Acta&lt;/abbr-1&gt;&lt;/periodical&gt;&lt;pages&gt;31-36&lt;/pages&gt;&lt;volume&gt;27&lt;/volume&gt;&lt;dates&gt;&lt;year&gt;1962&lt;/year&gt;&lt;pub-dates&gt;&lt;date&gt;1962/01/01/&lt;/date&gt;&lt;/pub-dates&gt;&lt;/dates&gt;&lt;isbn&gt;0003-2670&lt;/isbn&gt;&lt;urls&gt;&lt;related-urls&gt;&lt;url&gt;http://www.sciencedirect.com/science/article/pii/S0003267000884445&lt;/url&gt;&lt;/related-urls&gt;&lt;/urls&gt;&lt;electronic-resource-num&gt;https://doi.org/10.1016/S0003-2670(00)88444-5&lt;/electronic-resource-num&gt;&lt;/record&gt;&lt;/Cite&gt;&lt;/EndNote&gt;</w:instrText>
      </w:r>
      <w:r w:rsidR="00310A9A">
        <w:rPr>
          <w:rFonts w:cs="Arial"/>
        </w:rPr>
        <w:fldChar w:fldCharType="separate"/>
      </w:r>
      <w:r w:rsidR="00310A9A">
        <w:rPr>
          <w:rFonts w:cs="Arial"/>
          <w:noProof/>
        </w:rPr>
        <w:t>(modified from Murphy &amp; Riley, 1962)</w:t>
      </w:r>
      <w:r w:rsidR="00310A9A">
        <w:rPr>
          <w:rFonts w:cs="Arial"/>
        </w:rPr>
        <w:fldChar w:fldCharType="end"/>
      </w:r>
      <w:r w:rsidR="00310A9A">
        <w:rPr>
          <w:rFonts w:cs="Arial"/>
        </w:rPr>
        <w:t>.</w:t>
      </w:r>
    </w:p>
    <w:p w14:paraId="3F4E2F84" w14:textId="77777777" w:rsidR="00531525" w:rsidRPr="0058370B" w:rsidRDefault="00531525" w:rsidP="00FE2F59">
      <w:pPr>
        <w:rPr>
          <w:rFonts w:cs="Arial"/>
          <w:b/>
        </w:rPr>
      </w:pPr>
      <w:r w:rsidRPr="0058370B">
        <w:rPr>
          <w:rFonts w:cs="Arial"/>
          <w:b/>
        </w:rPr>
        <w:t>Seagrass leaf isotopes</w:t>
      </w:r>
    </w:p>
    <w:p w14:paraId="3581B7CA" w14:textId="263D73AE" w:rsidR="00531525" w:rsidRPr="0058370B" w:rsidRDefault="00531525" w:rsidP="00FE2F59">
      <w:pPr>
        <w:rPr>
          <w:rFonts w:cs="Arial"/>
        </w:rPr>
      </w:pPr>
      <w:r w:rsidRPr="0058370B">
        <w:rPr>
          <w:rFonts w:cs="Arial"/>
        </w:rPr>
        <w:t>A subset of each ground tissue sample is sent to UC Davis Stable Isotope Facility (California, USA) for δ</w:t>
      </w:r>
      <w:r w:rsidRPr="0058370B">
        <w:rPr>
          <w:rFonts w:cs="Arial"/>
          <w:vertAlign w:val="superscript"/>
        </w:rPr>
        <w:t>15</w:t>
      </w:r>
      <w:r w:rsidRPr="0058370B">
        <w:rPr>
          <w:rFonts w:cs="Arial"/>
        </w:rPr>
        <w:t>N and δ</w:t>
      </w:r>
      <w:r w:rsidRPr="0058370B">
        <w:rPr>
          <w:rFonts w:cs="Arial"/>
          <w:vertAlign w:val="superscript"/>
        </w:rPr>
        <w:t>13</w:t>
      </w:r>
      <w:r w:rsidRPr="0058370B">
        <w:rPr>
          <w:rFonts w:cs="Arial"/>
        </w:rPr>
        <w:t xml:space="preserve">C analysis. The samples are weighed into tin capsules and combusted by </w:t>
      </w:r>
      <w:r w:rsidR="00025CDC">
        <w:rPr>
          <w:rFonts w:cs="Arial"/>
        </w:rPr>
        <w:t xml:space="preserve">an </w:t>
      </w:r>
      <w:r w:rsidRPr="0058370B">
        <w:rPr>
          <w:rFonts w:cs="Arial"/>
        </w:rPr>
        <w:t>elemental analyser (ANCA-SL, SerCon Limited, Crewe, United Kingdom) to N</w:t>
      </w:r>
      <w:r w:rsidRPr="0058370B">
        <w:rPr>
          <w:rFonts w:cs="Arial"/>
          <w:vertAlign w:val="subscript"/>
        </w:rPr>
        <w:t>2</w:t>
      </w:r>
      <w:r w:rsidRPr="0058370B">
        <w:rPr>
          <w:rFonts w:cs="Arial"/>
        </w:rPr>
        <w:t xml:space="preserve"> and CO</w:t>
      </w:r>
      <w:r w:rsidRPr="0058370B">
        <w:rPr>
          <w:rFonts w:cs="Arial"/>
          <w:vertAlign w:val="subscript"/>
        </w:rPr>
        <w:t>2</w:t>
      </w:r>
      <w:r w:rsidRPr="0058370B">
        <w:rPr>
          <w:rFonts w:cs="Arial"/>
        </w:rPr>
        <w:t>. The N</w:t>
      </w:r>
      <w:r w:rsidRPr="0058370B">
        <w:rPr>
          <w:rFonts w:cs="Arial"/>
          <w:vertAlign w:val="subscript"/>
        </w:rPr>
        <w:t>2</w:t>
      </w:r>
      <w:r w:rsidRPr="0058370B">
        <w:rPr>
          <w:rFonts w:cs="Arial"/>
        </w:rPr>
        <w:t xml:space="preserve"> and CO</w:t>
      </w:r>
      <w:r w:rsidRPr="0058370B">
        <w:rPr>
          <w:rFonts w:cs="Arial"/>
          <w:vertAlign w:val="subscript"/>
        </w:rPr>
        <w:t>2</w:t>
      </w:r>
      <w:r w:rsidRPr="0058370B">
        <w:rPr>
          <w:rFonts w:cs="Arial"/>
        </w:rPr>
        <w:t xml:space="preserve"> are purified by gas chromatography and the nitrogen and carbon elemental composition and isotope ratios </w:t>
      </w:r>
      <w:r w:rsidR="005415AF">
        <w:rPr>
          <w:rFonts w:cs="Arial"/>
        </w:rPr>
        <w:t xml:space="preserve">are </w:t>
      </w:r>
      <w:r w:rsidRPr="0058370B">
        <w:rPr>
          <w:rFonts w:cs="Arial"/>
        </w:rPr>
        <w:t>determined by continuous flow isotope ratio mass spectrometry (20-22 IRMS,</w:t>
      </w:r>
      <w:r w:rsidR="00587BCF">
        <w:rPr>
          <w:rFonts w:cs="Arial"/>
        </w:rPr>
        <w:t xml:space="preserve"> SerCon Limited</w:t>
      </w:r>
      <w:r w:rsidRPr="0058370B">
        <w:rPr>
          <w:rFonts w:cs="Arial"/>
        </w:rPr>
        <w:t>). Reference materials of know elemental composition and isotopic ratios are interspaced with the samples for calibration.</w:t>
      </w:r>
    </w:p>
    <w:p w14:paraId="4C749C3F" w14:textId="547814EA" w:rsidR="00531525" w:rsidRPr="0058370B" w:rsidRDefault="00531525" w:rsidP="00FE2F59">
      <w:pPr>
        <w:rPr>
          <w:rFonts w:cs="Arial"/>
        </w:rPr>
      </w:pPr>
      <w:r w:rsidRPr="0058370B">
        <w:rPr>
          <w:rFonts w:cs="Arial"/>
        </w:rPr>
        <w:t xml:space="preserve">Raw nitrogen and carbon elemental composition and isotope ratio data are corrected for instrument drift and blank contribution using Callisto software </w:t>
      </w:r>
      <w:r w:rsidR="005415AF">
        <w:rPr>
          <w:rFonts w:cs="Arial"/>
        </w:rPr>
        <w:t>(</w:t>
      </w:r>
      <w:r w:rsidR="00587BCF">
        <w:rPr>
          <w:rFonts w:cs="Arial"/>
        </w:rPr>
        <w:t>SerCon Limited</w:t>
      </w:r>
      <w:r w:rsidRPr="0058370B">
        <w:rPr>
          <w:rFonts w:cs="Arial"/>
        </w:rPr>
        <w:t xml:space="preserve">). A standard </w:t>
      </w:r>
      <w:r w:rsidR="005415AF">
        <w:rPr>
          <w:rFonts w:cs="Arial"/>
        </w:rPr>
        <w:t xml:space="preserve">is </w:t>
      </w:r>
      <w:r w:rsidRPr="0058370B">
        <w:rPr>
          <w:rFonts w:cs="Arial"/>
        </w:rPr>
        <w:t xml:space="preserve">analysed at variable weights </w:t>
      </w:r>
      <w:r w:rsidR="005415AF">
        <w:rPr>
          <w:rFonts w:cs="Arial"/>
        </w:rPr>
        <w:t xml:space="preserve">to </w:t>
      </w:r>
      <w:r w:rsidRPr="0058370B">
        <w:rPr>
          <w:rFonts w:cs="Arial"/>
        </w:rPr>
        <w:t>correct for instrument linearity,</w:t>
      </w:r>
      <w:r w:rsidR="005415AF">
        <w:rPr>
          <w:rFonts w:cs="Arial"/>
        </w:rPr>
        <w:t xml:space="preserve"> for example</w:t>
      </w:r>
      <w:r w:rsidRPr="0058370B">
        <w:rPr>
          <w:rFonts w:cs="Arial"/>
        </w:rPr>
        <w:t xml:space="preserve"> IAEA-N-2 and IAEA-N-1 </w:t>
      </w:r>
      <w:r w:rsidR="005415AF">
        <w:rPr>
          <w:rFonts w:cs="Arial"/>
        </w:rPr>
        <w:t xml:space="preserve">are </w:t>
      </w:r>
      <w:r w:rsidRPr="0058370B">
        <w:rPr>
          <w:rFonts w:cs="Arial"/>
        </w:rPr>
        <w:t xml:space="preserve">used to normalise the nitrogen isotope ratio, </w:t>
      </w:r>
      <w:r w:rsidR="005415AF">
        <w:rPr>
          <w:rFonts w:cs="Arial"/>
        </w:rPr>
        <w:t xml:space="preserve">and </w:t>
      </w:r>
      <w:r w:rsidRPr="0058370B">
        <w:rPr>
          <w:rFonts w:cs="Arial"/>
        </w:rPr>
        <w:t>IAEA-CH-6 and IAEA-CH-7 normalise the carbon isotope ratio, such that IAEA-N-2 (δ</w:t>
      </w:r>
      <w:r w:rsidRPr="0058370B">
        <w:rPr>
          <w:rFonts w:cs="Arial"/>
          <w:vertAlign w:val="superscript"/>
        </w:rPr>
        <w:t>15</w:t>
      </w:r>
      <w:r w:rsidRPr="0058370B">
        <w:rPr>
          <w:rFonts w:cs="Arial"/>
        </w:rPr>
        <w:t>N = 20.32‰), IAEA-N-1 (δ</w:t>
      </w:r>
      <w:r w:rsidRPr="0058370B">
        <w:rPr>
          <w:rFonts w:cs="Arial"/>
          <w:vertAlign w:val="superscript"/>
        </w:rPr>
        <w:t>15</w:t>
      </w:r>
      <w:r w:rsidRPr="0058370B">
        <w:rPr>
          <w:rFonts w:cs="Arial"/>
        </w:rPr>
        <w:t>N = 0.43‰), IAEA-CH-6 (δ</w:t>
      </w:r>
      <w:r w:rsidRPr="0058370B">
        <w:rPr>
          <w:rFonts w:cs="Arial"/>
          <w:vertAlign w:val="superscript"/>
        </w:rPr>
        <w:t>13</w:t>
      </w:r>
      <w:r w:rsidRPr="0058370B">
        <w:rPr>
          <w:rFonts w:cs="Arial"/>
        </w:rPr>
        <w:t>C = -10.45‰) and IAEA-CH-7 δ</w:t>
      </w:r>
      <w:r w:rsidRPr="0058370B">
        <w:rPr>
          <w:rFonts w:cs="Arial"/>
          <w:vertAlign w:val="superscript"/>
        </w:rPr>
        <w:t>13</w:t>
      </w:r>
      <w:r w:rsidRPr="0058370B">
        <w:rPr>
          <w:rFonts w:cs="Arial"/>
        </w:rPr>
        <w:t>C = -32.15‰).</w:t>
      </w:r>
    </w:p>
    <w:p w14:paraId="309AEAE3" w14:textId="5A866797" w:rsidR="00531525" w:rsidRPr="0058370B" w:rsidRDefault="00531525" w:rsidP="00FE2F59">
      <w:pPr>
        <w:rPr>
          <w:rFonts w:cs="Arial"/>
        </w:rPr>
      </w:pPr>
      <w:r w:rsidRPr="0058370B">
        <w:rPr>
          <w:rFonts w:cs="Arial"/>
        </w:rPr>
        <w:t xml:space="preserve">Nitrogen isotope ratios are reported in parts per thousand (per mil) relative to </w:t>
      </w:r>
      <w:r w:rsidR="00C41E32">
        <w:rPr>
          <w:rFonts w:cs="Arial"/>
        </w:rPr>
        <w:t>N</w:t>
      </w:r>
      <w:r w:rsidR="00C41E32" w:rsidRPr="00C41E32">
        <w:rPr>
          <w:rFonts w:cs="Arial"/>
          <w:vertAlign w:val="subscript"/>
        </w:rPr>
        <w:t>2</w:t>
      </w:r>
      <w:r w:rsidRPr="0058370B">
        <w:rPr>
          <w:rFonts w:cs="Arial"/>
        </w:rPr>
        <w:t xml:space="preserve"> in air. The nitrogen bearing internationally distributed isotope reference material N</w:t>
      </w:r>
      <w:r w:rsidRPr="0058370B">
        <w:rPr>
          <w:rFonts w:cs="Arial"/>
          <w:vertAlign w:val="subscript"/>
        </w:rPr>
        <w:t>2</w:t>
      </w:r>
      <w:r w:rsidRPr="0058370B">
        <w:rPr>
          <w:rFonts w:cs="Arial"/>
        </w:rPr>
        <w:t xml:space="preserve"> in air </w:t>
      </w:r>
      <w:r w:rsidR="005415AF" w:rsidRPr="0058370B">
        <w:rPr>
          <w:rFonts w:cs="Arial"/>
        </w:rPr>
        <w:t>ha</w:t>
      </w:r>
      <w:r w:rsidR="005415AF">
        <w:rPr>
          <w:rFonts w:cs="Arial"/>
        </w:rPr>
        <w:t xml:space="preserve">s </w:t>
      </w:r>
      <w:r w:rsidRPr="0058370B">
        <w:rPr>
          <w:rFonts w:cs="Arial"/>
        </w:rPr>
        <w:t xml:space="preserve">a given value of 0‰ (exactly). Carbon isotope ratios are reported in parts per thousand (per </w:t>
      </w:r>
      <w:bookmarkStart w:id="463" w:name="OLE_LINK3"/>
      <w:bookmarkStart w:id="464" w:name="OLE_LINK4"/>
      <w:r w:rsidRPr="0058370B">
        <w:rPr>
          <w:rFonts w:cs="Arial"/>
        </w:rPr>
        <w:t>millilitre</w:t>
      </w:r>
      <w:bookmarkEnd w:id="463"/>
      <w:bookmarkEnd w:id="464"/>
      <w:r w:rsidRPr="0058370B">
        <w:rPr>
          <w:rFonts w:cs="Arial"/>
        </w:rPr>
        <w:t xml:space="preserve">) relative to V-PDB. The carbon bearing internationally distributed isotope reference materials NBS19 and L-SVEC </w:t>
      </w:r>
      <w:r w:rsidR="005415AF" w:rsidRPr="0058370B">
        <w:rPr>
          <w:rFonts w:cs="Arial"/>
        </w:rPr>
        <w:t>ha</w:t>
      </w:r>
      <w:r w:rsidR="005415AF">
        <w:rPr>
          <w:rFonts w:cs="Arial"/>
        </w:rPr>
        <w:t>s</w:t>
      </w:r>
      <w:r w:rsidR="005415AF" w:rsidRPr="0058370B">
        <w:rPr>
          <w:rFonts w:cs="Arial"/>
        </w:rPr>
        <w:t xml:space="preserve"> </w:t>
      </w:r>
      <w:r w:rsidRPr="0058370B">
        <w:rPr>
          <w:rFonts w:cs="Arial"/>
        </w:rPr>
        <w:t>a given value of +1.95‰ (exactly) and -46.6‰ (exactly)</w:t>
      </w:r>
      <w:r w:rsidR="005415AF">
        <w:rPr>
          <w:rFonts w:cs="Arial"/>
        </w:rPr>
        <w:t>, respectively</w:t>
      </w:r>
      <w:r w:rsidRPr="0058370B">
        <w:rPr>
          <w:rFonts w:cs="Arial"/>
        </w:rPr>
        <w:t>. Compositional values are reported as percent nitrogen and percent carbon present in the sample analysed.</w:t>
      </w:r>
    </w:p>
    <w:p w14:paraId="4231E3AD" w14:textId="4C61810E" w:rsidR="00531525" w:rsidRPr="0058370B" w:rsidRDefault="00531525" w:rsidP="009F1EA2">
      <w:pPr>
        <w:pStyle w:val="Heading3"/>
      </w:pPr>
      <w:bookmarkStart w:id="465" w:name="_Toc261013316"/>
      <w:bookmarkStart w:id="466" w:name="_Toc294781734"/>
      <w:bookmarkStart w:id="467" w:name="_Toc321383800"/>
      <w:bookmarkStart w:id="468" w:name="_Toc393785071"/>
      <w:bookmarkStart w:id="469" w:name="_Toc394061176"/>
      <w:bookmarkStart w:id="470" w:name="_Toc394061266"/>
      <w:bookmarkStart w:id="471" w:name="_Toc396312032"/>
      <w:bookmarkStart w:id="472" w:name="_Toc520727867"/>
      <w:bookmarkStart w:id="473" w:name="_Toc12365612"/>
      <w:r w:rsidRPr="0058370B">
        <w:t xml:space="preserve">Sampling design </w:t>
      </w:r>
      <w:bookmarkEnd w:id="465"/>
      <w:bookmarkEnd w:id="466"/>
      <w:bookmarkEnd w:id="467"/>
      <w:r w:rsidR="005415AF">
        <w:t>–</w:t>
      </w:r>
      <w:r w:rsidRPr="0058370B">
        <w:t xml:space="preserve"> Inshore seagrass meadow </w:t>
      </w:r>
      <w:r w:rsidR="00587BCF">
        <w:t>landscape/</w:t>
      </w:r>
      <w:r w:rsidRPr="0058370B">
        <w:t>boundary mapping</w:t>
      </w:r>
      <w:bookmarkEnd w:id="468"/>
      <w:bookmarkEnd w:id="469"/>
      <w:bookmarkEnd w:id="470"/>
      <w:bookmarkEnd w:id="471"/>
      <w:bookmarkEnd w:id="472"/>
      <w:bookmarkEnd w:id="473"/>
    </w:p>
    <w:p w14:paraId="0EF83C31" w14:textId="7B832E5D" w:rsidR="00531525" w:rsidRPr="0058370B" w:rsidRDefault="00531525" w:rsidP="00FE2F59">
      <w:pPr>
        <w:rPr>
          <w:rFonts w:cs="Arial"/>
        </w:rPr>
      </w:pPr>
      <w:r w:rsidRPr="0058370B">
        <w:rPr>
          <w:rFonts w:cs="Arial"/>
        </w:rPr>
        <w:t xml:space="preserve">Mapping the edge of the seagrass meadow within each monitoring site (i.e. </w:t>
      </w:r>
      <w:r w:rsidR="00247787">
        <w:rPr>
          <w:rFonts w:cs="Arial"/>
        </w:rPr>
        <w:t>5.</w:t>
      </w:r>
      <w:r w:rsidRPr="0058370B">
        <w:rPr>
          <w:rFonts w:cs="Arial"/>
        </w:rPr>
        <w:t>5 hectares) is conducted in both the late</w:t>
      </w:r>
      <w:r w:rsidR="005415AF">
        <w:rPr>
          <w:rFonts w:cs="Arial"/>
        </w:rPr>
        <w:t>-</w:t>
      </w:r>
      <w:r w:rsidRPr="0058370B">
        <w:rPr>
          <w:rFonts w:cs="Arial"/>
        </w:rPr>
        <w:t>dry (October) and late</w:t>
      </w:r>
      <w:r w:rsidR="005415AF">
        <w:rPr>
          <w:rFonts w:cs="Arial"/>
        </w:rPr>
        <w:t>-</w:t>
      </w:r>
      <w:r w:rsidRPr="0058370B">
        <w:rPr>
          <w:rFonts w:cs="Arial"/>
        </w:rPr>
        <w:t>monsoon (April) monitoring periods at all sites</w:t>
      </w:r>
      <w:r w:rsidRPr="0058370B">
        <w:rPr>
          <w:rFonts w:cs="Arial"/>
          <w:bCs/>
        </w:rPr>
        <w:t xml:space="preserve"> identified in </w:t>
      </w:r>
      <w:r w:rsidR="0037693C">
        <w:rPr>
          <w:rFonts w:cs="Arial"/>
          <w:bCs/>
          <w:highlight w:val="yellow"/>
        </w:rPr>
        <w:fldChar w:fldCharType="begin"/>
      </w:r>
      <w:r w:rsidR="0037693C">
        <w:rPr>
          <w:rFonts w:cs="Arial"/>
          <w:bCs/>
        </w:rPr>
        <w:instrText xml:space="preserve"> REF _Ref433716004 \h </w:instrText>
      </w:r>
      <w:r w:rsidR="0037693C">
        <w:rPr>
          <w:rFonts w:cs="Arial"/>
          <w:bCs/>
          <w:highlight w:val="yellow"/>
        </w:rPr>
      </w:r>
      <w:r w:rsidR="0037693C">
        <w:rPr>
          <w:rFonts w:cs="Arial"/>
          <w:bCs/>
          <w:highlight w:val="yellow"/>
        </w:rPr>
        <w:fldChar w:fldCharType="separate"/>
      </w:r>
      <w:r w:rsidR="00D528AA" w:rsidRPr="00620C94">
        <w:t xml:space="preserve">Table </w:t>
      </w:r>
      <w:r w:rsidR="00D528AA">
        <w:rPr>
          <w:noProof/>
        </w:rPr>
        <w:t>6</w:t>
      </w:r>
      <w:r w:rsidR="00D528AA">
        <w:t>.</w:t>
      </w:r>
      <w:r w:rsidR="00D528AA">
        <w:rPr>
          <w:noProof/>
        </w:rPr>
        <w:t>1</w:t>
      </w:r>
      <w:r w:rsidR="0037693C">
        <w:rPr>
          <w:rFonts w:cs="Arial"/>
          <w:bCs/>
          <w:highlight w:val="yellow"/>
        </w:rPr>
        <w:fldChar w:fldCharType="end"/>
      </w:r>
      <w:r w:rsidRPr="0058370B">
        <w:rPr>
          <w:rFonts w:cs="Arial"/>
          <w:bCs/>
        </w:rPr>
        <w:t xml:space="preserve">. </w:t>
      </w:r>
      <w:r w:rsidRPr="0058370B">
        <w:rPr>
          <w:rFonts w:cs="Arial"/>
        </w:rPr>
        <w:t>Training and equipment (GPS) are provided to personnel involved in the edge mapping.</w:t>
      </w:r>
    </w:p>
    <w:p w14:paraId="6429DD32" w14:textId="5CA34B15" w:rsidR="00531525" w:rsidRPr="0058370B" w:rsidRDefault="00531525" w:rsidP="00FE2F59">
      <w:pPr>
        <w:rPr>
          <w:rFonts w:cs="Arial"/>
        </w:rPr>
      </w:pPr>
      <w:r w:rsidRPr="0058370B">
        <w:rPr>
          <w:rFonts w:cs="Arial"/>
        </w:rPr>
        <w:t>Mapping methodology follows standard methodology</w:t>
      </w:r>
      <w:r w:rsidR="000F4761">
        <w:rPr>
          <w:rFonts w:cs="Arial"/>
        </w:rPr>
        <w:t xml:space="preserve"> (</w:t>
      </w:r>
      <w:r w:rsidR="00466057">
        <w:rPr>
          <w:color w:val="000000"/>
        </w:rPr>
        <w:t xml:space="preserve">weblink </w:t>
      </w:r>
      <w:hyperlink r:id="rId77" w:history="1">
        <w:r w:rsidR="00466057">
          <w:rPr>
            <w:rStyle w:val="Hyperlink"/>
          </w:rPr>
          <w:t>http://www.seagrasswatch.org/monitoring.html</w:t>
        </w:r>
      </w:hyperlink>
      <w:r w:rsidRPr="0058370B">
        <w:rPr>
          <w:rFonts w:cs="Arial"/>
        </w:rPr>
        <w:t>)</w:t>
      </w:r>
      <w:r w:rsidR="00C41E32">
        <w:rPr>
          <w:rFonts w:cs="Arial"/>
        </w:rPr>
        <w:t xml:space="preserve"> </w:t>
      </w:r>
      <w:r w:rsidR="00C41E32">
        <w:rPr>
          <w:rFonts w:cs="Arial"/>
        </w:rPr>
        <w:fldChar w:fldCharType="begin"/>
      </w:r>
      <w:r w:rsidR="00C41E32">
        <w:rPr>
          <w:rFonts w:cs="Arial"/>
        </w:rPr>
        <w:instrText xml:space="preserve"> ADDIN EN.CITE &lt;EndNote&gt;&lt;Cite&gt;&lt;Author&gt;McKenzie&lt;/Author&gt;&lt;Year&gt;2001&lt;/Year&gt;&lt;RecNum&gt;1312&lt;/RecNum&gt;&lt;DisplayText&gt;(L. J. McKenzie et al., 2001)&lt;/DisplayText&gt;&lt;record&gt;&lt;rec-number&gt;1312&lt;/rec-number&gt;&lt;foreign-keys&gt;&lt;key app="EN" db-id="zapfddtwo2e9z5e5vxoxafs7sf59wfp52rvf" timestamp="1558919832"&gt;1312&lt;/key&gt;&lt;/foreign-keys&gt;&lt;ref-type name="Book Section"&gt;5&lt;/ref-type&gt;&lt;contributors&gt;&lt;authors&gt;&lt;author&gt;McKenzie, Len J&lt;/author&gt;&lt;author&gt;Finkbeiner, Mark A&lt;/author&gt;&lt;author&gt;Kirkman, Hugh&lt;/author&gt;&lt;/authors&gt;&lt;secondary-authors&gt;&lt;author&gt;Short, F. T.&lt;/author&gt;&lt;author&gt;Coles, R.G.&lt;/author&gt;&lt;/secondary-authors&gt;&lt;/contributors&gt;&lt;titles&gt;&lt;title&gt;Methods for mapping seagrass distribution&lt;/title&gt;&lt;secondary-title&gt;Global seagrass research methods&lt;/secondary-title&gt;&lt;/titles&gt;&lt;periodical&gt;&lt;full-title&gt;Global seagrass research methods&lt;/full-title&gt;&lt;/periodical&gt;&lt;pages&gt;101-121&lt;/pages&gt;&lt;dates&gt;&lt;year&gt;2001&lt;/year&gt;&lt;/dates&gt;&lt;publisher&gt;Elsevier&lt;/publisher&gt;&lt;urls&gt;&lt;/urls&gt;&lt;/record&gt;&lt;/Cite&gt;&lt;/EndNote&gt;</w:instrText>
      </w:r>
      <w:r w:rsidR="00C41E32">
        <w:rPr>
          <w:rFonts w:cs="Arial"/>
        </w:rPr>
        <w:fldChar w:fldCharType="separate"/>
      </w:r>
      <w:r w:rsidR="00C41E32">
        <w:rPr>
          <w:rFonts w:cs="Arial"/>
          <w:noProof/>
        </w:rPr>
        <w:t>(L. J. McKenzie et al., 2001)</w:t>
      </w:r>
      <w:r w:rsidR="00C41E32">
        <w:rPr>
          <w:rFonts w:cs="Arial"/>
        </w:rPr>
        <w:fldChar w:fldCharType="end"/>
      </w:r>
      <w:r w:rsidRPr="0058370B">
        <w:rPr>
          <w:rFonts w:cs="Arial"/>
        </w:rPr>
        <w:t xml:space="preserve">. </w:t>
      </w:r>
      <w:r w:rsidR="00247787">
        <w:rPr>
          <w:rFonts w:cs="Arial"/>
        </w:rPr>
        <w:t>Meadow, patch or scar e</w:t>
      </w:r>
      <w:r w:rsidRPr="0058370B">
        <w:rPr>
          <w:rFonts w:cs="Arial"/>
          <w:lang w:eastAsia="en-AU"/>
        </w:rPr>
        <w:t xml:space="preserve">dges are recorded as </w:t>
      </w:r>
      <w:r w:rsidRPr="00CE2623">
        <w:rPr>
          <w:rFonts w:cs="Arial"/>
          <w:lang w:eastAsia="en-AU"/>
        </w:rPr>
        <w:t>tracks (</w:t>
      </w:r>
      <w:r w:rsidR="005415AF" w:rsidRPr="00CE2623">
        <w:rPr>
          <w:rFonts w:cs="Arial"/>
          <w:lang w:eastAsia="en-AU"/>
        </w:rPr>
        <w:t xml:space="preserve">one </w:t>
      </w:r>
      <w:r w:rsidRPr="00CE2623">
        <w:rPr>
          <w:rFonts w:cs="Arial"/>
          <w:lang w:eastAsia="en-AU"/>
        </w:rPr>
        <w:t xml:space="preserve">second polling) or a series of waypoints in the field using a </w:t>
      </w:r>
      <w:r w:rsidRPr="00CE2623">
        <w:rPr>
          <w:rFonts w:cs="Arial"/>
        </w:rPr>
        <w:t xml:space="preserve">portable </w:t>
      </w:r>
      <w:r w:rsidR="005415AF" w:rsidRPr="00CE2623">
        <w:rPr>
          <w:rFonts w:cs="Arial"/>
        </w:rPr>
        <w:t xml:space="preserve">GPS </w:t>
      </w:r>
      <w:r w:rsidRPr="00CE2623">
        <w:rPr>
          <w:rFonts w:cs="Arial"/>
          <w:lang w:eastAsia="en-AU"/>
        </w:rPr>
        <w:t>receiver (i.e. Garmin GPSmap</w:t>
      </w:r>
      <w:r w:rsidRPr="00CE2623">
        <w:rPr>
          <w:rFonts w:cs="Arial"/>
          <w:vertAlign w:val="superscript"/>
          <w:lang w:eastAsia="en-AU"/>
        </w:rPr>
        <w:sym w:font="Symbol" w:char="F0D2"/>
      </w:r>
      <w:r w:rsidRPr="00CE2623">
        <w:rPr>
          <w:rFonts w:cs="Arial"/>
          <w:lang w:eastAsia="en-AU"/>
        </w:rPr>
        <w:t xml:space="preserve"> 60CSx or 62s). </w:t>
      </w:r>
      <w:r w:rsidRPr="00CE2623">
        <w:rPr>
          <w:rFonts w:cs="Arial"/>
        </w:rPr>
        <w:t>Accuracy in the field is dependent on the portable GPS</w:t>
      </w:r>
      <w:r w:rsidRPr="00CE2623">
        <w:rPr>
          <w:rFonts w:cs="Arial"/>
          <w:lang w:eastAsia="en-AU"/>
        </w:rPr>
        <w:t xml:space="preserve"> receiver (Garmin GPSmap</w:t>
      </w:r>
      <w:r w:rsidRPr="00CE2623">
        <w:rPr>
          <w:rFonts w:cs="Arial"/>
          <w:vertAlign w:val="superscript"/>
          <w:lang w:eastAsia="en-AU"/>
        </w:rPr>
        <w:sym w:font="Symbol" w:char="F0D2"/>
      </w:r>
      <w:r w:rsidRPr="00CE2623">
        <w:rPr>
          <w:rFonts w:cs="Arial"/>
          <w:lang w:eastAsia="en-AU"/>
        </w:rPr>
        <w:t xml:space="preserve"> 60CSx is &lt;15</w:t>
      </w:r>
      <w:r w:rsidR="005415AF" w:rsidRPr="00CE2623">
        <w:rPr>
          <w:rFonts w:cs="Arial"/>
          <w:lang w:eastAsia="en-AU"/>
        </w:rPr>
        <w:t xml:space="preserve"> </w:t>
      </w:r>
      <w:r w:rsidRPr="00CE2623">
        <w:rPr>
          <w:rFonts w:cs="Arial"/>
          <w:lang w:eastAsia="en-AU"/>
        </w:rPr>
        <w:t>m</w:t>
      </w:r>
      <w:r w:rsidR="005415AF" w:rsidRPr="00CE2623">
        <w:rPr>
          <w:rFonts w:cs="Arial"/>
          <w:lang w:eastAsia="en-AU"/>
        </w:rPr>
        <w:t>etres</w:t>
      </w:r>
      <w:r w:rsidRPr="00CE2623">
        <w:rPr>
          <w:rFonts w:cs="Arial"/>
          <w:lang w:eastAsia="en-AU"/>
        </w:rPr>
        <w:t xml:space="preserve"> RMS95</w:t>
      </w:r>
      <w:r w:rsidR="005415AF" w:rsidRPr="00CE2623">
        <w:rPr>
          <w:rFonts w:cs="Arial"/>
          <w:lang w:eastAsia="en-AU"/>
        </w:rPr>
        <w:t xml:space="preserve"> per cent</w:t>
      </w:r>
      <w:r w:rsidRPr="00CE2623">
        <w:rPr>
          <w:rFonts w:cs="Arial"/>
          <w:lang w:eastAsia="en-AU"/>
        </w:rPr>
        <w:t xml:space="preserve"> (DGPS (USCG) accuracy: </w:t>
      </w:r>
      <w:r w:rsidR="00CE2623" w:rsidRPr="00CE2623">
        <w:rPr>
          <w:rFonts w:cs="Arial"/>
          <w:lang w:eastAsia="en-AU"/>
        </w:rPr>
        <w:t>three–five</w:t>
      </w:r>
      <w:r w:rsidR="005415AF" w:rsidRPr="00CE2623">
        <w:rPr>
          <w:rFonts w:cs="Arial"/>
          <w:lang w:eastAsia="en-AU"/>
        </w:rPr>
        <w:t xml:space="preserve"> </w:t>
      </w:r>
      <w:r w:rsidRPr="00CE2623">
        <w:rPr>
          <w:rFonts w:cs="Arial"/>
          <w:lang w:eastAsia="en-AU"/>
        </w:rPr>
        <w:t>m</w:t>
      </w:r>
      <w:r w:rsidR="005415AF" w:rsidRPr="00CE2623">
        <w:rPr>
          <w:rFonts w:cs="Arial"/>
          <w:lang w:eastAsia="en-AU"/>
        </w:rPr>
        <w:t>etres</w:t>
      </w:r>
      <w:r w:rsidRPr="00CE2623">
        <w:rPr>
          <w:rFonts w:cs="Arial"/>
          <w:lang w:eastAsia="en-AU"/>
        </w:rPr>
        <w:t>, 95</w:t>
      </w:r>
      <w:r w:rsidR="005415AF" w:rsidRPr="00CE2623">
        <w:rPr>
          <w:rFonts w:cs="Arial"/>
          <w:lang w:eastAsia="en-AU"/>
        </w:rPr>
        <w:t xml:space="preserve"> per cent </w:t>
      </w:r>
      <w:r w:rsidRPr="00CE2623">
        <w:rPr>
          <w:rFonts w:cs="Arial"/>
          <w:lang w:eastAsia="en-AU"/>
        </w:rPr>
        <w:t>typical) and how well the edge of the meadow is defined. Generally</w:t>
      </w:r>
      <w:r w:rsidR="005415AF" w:rsidRPr="00CE2623">
        <w:rPr>
          <w:rFonts w:cs="Arial"/>
          <w:lang w:eastAsia="en-AU"/>
        </w:rPr>
        <w:t>,</w:t>
      </w:r>
      <w:r w:rsidRPr="00CE2623">
        <w:rPr>
          <w:rFonts w:cs="Arial"/>
          <w:lang w:eastAsia="en-AU"/>
        </w:rPr>
        <w:t xml:space="preserve"> accuracy is within that of the GPS (i.e. t</w:t>
      </w:r>
      <w:r w:rsidR="00CE2623" w:rsidRPr="00CE2623">
        <w:rPr>
          <w:rFonts w:cs="Arial"/>
          <w:lang w:eastAsia="en-AU"/>
        </w:rPr>
        <w:t>hree–</w:t>
      </w:r>
      <w:r w:rsidRPr="00CE2623">
        <w:rPr>
          <w:rFonts w:cs="Arial"/>
          <w:lang w:eastAsia="en-AU"/>
        </w:rPr>
        <w:t xml:space="preserve">five metres) and datum used is WGS84. Tracks and waypoints are downloaded from the GPS to </w:t>
      </w:r>
      <w:r w:rsidR="005415AF" w:rsidRPr="00CE2623">
        <w:rPr>
          <w:rFonts w:cs="Arial"/>
          <w:lang w:eastAsia="en-AU"/>
        </w:rPr>
        <w:t xml:space="preserve">a </w:t>
      </w:r>
      <w:r w:rsidRPr="00CE2623">
        <w:rPr>
          <w:rFonts w:cs="Arial"/>
          <w:lang w:eastAsia="en-AU"/>
        </w:rPr>
        <w:t>portable computer using MapSource or</w:t>
      </w:r>
      <w:r w:rsidRPr="0058370B">
        <w:rPr>
          <w:rFonts w:cs="Arial"/>
          <w:lang w:eastAsia="en-AU"/>
        </w:rPr>
        <w:t xml:space="preserve"> BaseCamp software as soon as practicable (preferably on returning from the day’s activity) and exported as *.dxf files to ESRI</w:t>
      </w:r>
      <w:r w:rsidRPr="0058370B">
        <w:rPr>
          <w:rFonts w:cs="Arial"/>
          <w:vertAlign w:val="superscript"/>
        </w:rPr>
        <w:sym w:font="Symbol" w:char="F0E2"/>
      </w:r>
      <w:r w:rsidRPr="0058370B">
        <w:rPr>
          <w:rFonts w:cs="Arial"/>
          <w:lang w:eastAsia="en-AU"/>
        </w:rPr>
        <w:t xml:space="preserve"> ArcGIS™</w:t>
      </w:r>
      <w:r w:rsidRPr="0058370B">
        <w:rPr>
          <w:rFonts w:cs="Arial"/>
        </w:rPr>
        <w:t xml:space="preserve">. </w:t>
      </w:r>
    </w:p>
    <w:p w14:paraId="3517A640" w14:textId="3242A28C" w:rsidR="00531525" w:rsidRPr="0058370B" w:rsidRDefault="00531525" w:rsidP="00FE2F59">
      <w:pPr>
        <w:rPr>
          <w:rFonts w:cs="Arial"/>
          <w:lang w:eastAsia="en-AU"/>
        </w:rPr>
      </w:pPr>
      <w:r w:rsidRPr="0058370B">
        <w:rPr>
          <w:rFonts w:cs="Arial"/>
          <w:lang w:eastAsia="en-AU"/>
        </w:rPr>
        <w:t xml:space="preserve">Field mapping procedures at subtidal sites are altered to suit the low visibility conditions and the requirement to map by </w:t>
      </w:r>
      <w:r w:rsidR="00587BCF">
        <w:rPr>
          <w:rFonts w:cs="Arial"/>
          <w:lang w:eastAsia="en-AU"/>
        </w:rPr>
        <w:t>SCUBA</w:t>
      </w:r>
      <w:r w:rsidRPr="0058370B">
        <w:rPr>
          <w:rFonts w:cs="Arial"/>
          <w:lang w:eastAsia="en-AU"/>
        </w:rPr>
        <w:t>. From the central picket (deployment location of light and turbidity loggers) straight lines of 50</w:t>
      </w:r>
      <w:r w:rsidR="00C41E32">
        <w:rPr>
          <w:rFonts w:cs="Arial"/>
          <w:lang w:eastAsia="en-AU"/>
        </w:rPr>
        <w:t xml:space="preserve"> </w:t>
      </w:r>
      <w:r w:rsidRPr="0058370B">
        <w:rPr>
          <w:rFonts w:cs="Arial"/>
          <w:lang w:eastAsia="en-AU"/>
        </w:rPr>
        <w:t>m length</w:t>
      </w:r>
      <w:r w:rsidR="00B54926">
        <w:rPr>
          <w:rFonts w:cs="Arial"/>
          <w:lang w:eastAsia="en-AU"/>
        </w:rPr>
        <w:t>s</w:t>
      </w:r>
      <w:r w:rsidRPr="0058370B">
        <w:rPr>
          <w:rFonts w:cs="Arial"/>
          <w:lang w:eastAsia="en-AU"/>
        </w:rPr>
        <w:t xml:space="preserve"> are swum at an angle of 45 degrees from each other. The locations where the edges of the seagrass meadows/patches intercept the line are recorded. A GPS is attached to a flotation device at the surface of the water and fastened to the </w:t>
      </w:r>
      <w:r w:rsidR="00183DFE">
        <w:rPr>
          <w:rFonts w:cs="Arial"/>
          <w:lang w:eastAsia="en-AU"/>
        </w:rPr>
        <w:t>scuba</w:t>
      </w:r>
      <w:r w:rsidR="00183DFE" w:rsidRPr="0058370B">
        <w:rPr>
          <w:rFonts w:cs="Arial"/>
          <w:lang w:eastAsia="en-AU"/>
        </w:rPr>
        <w:t xml:space="preserve"> </w:t>
      </w:r>
      <w:r w:rsidRPr="0058370B">
        <w:rPr>
          <w:rFonts w:cs="Arial"/>
          <w:lang w:eastAsia="en-AU"/>
        </w:rPr>
        <w:t>diver to record travelling distance and transect orientation. Eight lines at 45 degrees are performed, with the first following the orientation of the monitoring transects; the others are undertaken at 45 degree angles from the first.</w:t>
      </w:r>
    </w:p>
    <w:p w14:paraId="6751ABFB" w14:textId="147207EF" w:rsidR="00531525" w:rsidRPr="0058370B" w:rsidRDefault="00531525" w:rsidP="00FE2F59">
      <w:pPr>
        <w:rPr>
          <w:rFonts w:cs="Arial"/>
          <w:lang w:eastAsia="en-AU"/>
        </w:rPr>
      </w:pPr>
      <w:r w:rsidRPr="0058370B">
        <w:rPr>
          <w:rFonts w:cs="Arial"/>
          <w:lang w:eastAsia="en-AU"/>
        </w:rPr>
        <w:t>Mapping is conducted by trained and experienced scientists using ESRI</w:t>
      </w:r>
      <w:r w:rsidRPr="0058370B">
        <w:rPr>
          <w:rFonts w:cs="Arial"/>
          <w:vertAlign w:val="superscript"/>
        </w:rPr>
        <w:sym w:font="Symbol" w:char="F0E2"/>
      </w:r>
      <w:r w:rsidRPr="0058370B">
        <w:rPr>
          <w:rFonts w:cs="Arial"/>
          <w:lang w:eastAsia="en-AU"/>
        </w:rPr>
        <w:t xml:space="preserve"> ArcMap™ </w:t>
      </w:r>
      <w:r w:rsidR="00322094">
        <w:rPr>
          <w:rFonts w:cs="Arial"/>
          <w:lang w:eastAsia="en-AU"/>
        </w:rPr>
        <w:t>10</w:t>
      </w:r>
      <w:r w:rsidR="00322094" w:rsidRPr="0058370B">
        <w:rPr>
          <w:rFonts w:cs="Arial"/>
          <w:lang w:eastAsia="en-AU"/>
        </w:rPr>
        <w:t>.</w:t>
      </w:r>
      <w:r w:rsidR="00322094">
        <w:rPr>
          <w:rFonts w:cs="Arial"/>
          <w:lang w:eastAsia="en-AU"/>
        </w:rPr>
        <w:t>4.1</w:t>
      </w:r>
      <w:r w:rsidR="00322094" w:rsidRPr="0058370B">
        <w:rPr>
          <w:rFonts w:cs="Arial"/>
          <w:lang w:eastAsia="en-AU"/>
        </w:rPr>
        <w:t xml:space="preserve"> </w:t>
      </w:r>
      <w:r w:rsidRPr="0058370B">
        <w:rPr>
          <w:rFonts w:cs="Arial"/>
          <w:lang w:eastAsia="en-AU"/>
        </w:rPr>
        <w:t xml:space="preserve">(Environmental Systems Research Institute, ArcGIS™ Desktop </w:t>
      </w:r>
      <w:r w:rsidR="00322094">
        <w:rPr>
          <w:rFonts w:cs="Arial"/>
          <w:lang w:eastAsia="en-AU"/>
        </w:rPr>
        <w:t>10.4.1</w:t>
      </w:r>
      <w:r w:rsidRPr="0058370B">
        <w:rPr>
          <w:rFonts w:cs="Arial"/>
          <w:lang w:eastAsia="en-AU"/>
        </w:rPr>
        <w:t>). Boundaries of meadows</w:t>
      </w:r>
      <w:r w:rsidR="00247787">
        <w:rPr>
          <w:rFonts w:cs="Arial"/>
          <w:lang w:eastAsia="en-AU"/>
        </w:rPr>
        <w:t>/patches</w:t>
      </w:r>
      <w:r w:rsidRPr="0058370B">
        <w:rPr>
          <w:rFonts w:cs="Arial"/>
          <w:lang w:eastAsia="en-AU"/>
        </w:rPr>
        <w:t xml:space="preserve"> are determined based on the positions of survey </w:t>
      </w:r>
      <w:r w:rsidR="006C704D">
        <w:rPr>
          <w:rFonts w:cs="Arial"/>
          <w:lang w:eastAsia="en-AU"/>
        </w:rPr>
        <w:t>t</w:t>
      </w:r>
      <w:r w:rsidR="006C704D" w:rsidRPr="0058370B">
        <w:rPr>
          <w:rFonts w:cs="Arial"/>
          <w:lang w:eastAsia="en-AU"/>
        </w:rPr>
        <w:t xml:space="preserve">racks </w:t>
      </w:r>
      <w:r w:rsidRPr="0058370B">
        <w:rPr>
          <w:rFonts w:cs="Arial"/>
          <w:lang w:eastAsia="en-AU"/>
        </w:rPr>
        <w:t xml:space="preserve">and/or </w:t>
      </w:r>
      <w:r w:rsidR="006C704D">
        <w:rPr>
          <w:rFonts w:cs="Arial"/>
          <w:lang w:eastAsia="en-AU"/>
        </w:rPr>
        <w:t>w</w:t>
      </w:r>
      <w:r w:rsidR="006C704D" w:rsidRPr="0058370B">
        <w:rPr>
          <w:rFonts w:cs="Arial"/>
          <w:lang w:eastAsia="en-AU"/>
        </w:rPr>
        <w:t xml:space="preserve">aypoints </w:t>
      </w:r>
      <w:r w:rsidRPr="0058370B">
        <w:rPr>
          <w:rFonts w:cs="Arial"/>
          <w:lang w:eastAsia="en-AU"/>
        </w:rPr>
        <w:t>and the presence of seagrass. Edges are mapped using the polyline feature to create a polyline (i.e. ‘join the dots’)</w:t>
      </w:r>
      <w:r w:rsidR="006C704D">
        <w:rPr>
          <w:rFonts w:cs="Arial"/>
          <w:lang w:eastAsia="en-AU"/>
        </w:rPr>
        <w:t>,</w:t>
      </w:r>
      <w:r w:rsidRPr="0058370B">
        <w:rPr>
          <w:rFonts w:cs="Arial"/>
          <w:lang w:eastAsia="en-AU"/>
        </w:rPr>
        <w:t xml:space="preserve"> which is then smoothed using the B-spline algorithm. The smoothed polyline is then converted to a polygon and saved as a shapefile. </w:t>
      </w:r>
      <w:r w:rsidR="006C704D">
        <w:rPr>
          <w:rFonts w:cs="Arial"/>
          <w:lang w:eastAsia="en-AU"/>
        </w:rPr>
        <w:t>The c</w:t>
      </w:r>
      <w:r w:rsidRPr="0058370B">
        <w:rPr>
          <w:rFonts w:cs="Arial"/>
          <w:lang w:eastAsia="en-AU"/>
        </w:rPr>
        <w:t xml:space="preserve">oordinate system (map datum) used for projecting </w:t>
      </w:r>
      <w:r w:rsidR="006C704D">
        <w:rPr>
          <w:rFonts w:cs="Arial"/>
          <w:lang w:eastAsia="en-AU"/>
        </w:rPr>
        <w:t xml:space="preserve">the </w:t>
      </w:r>
      <w:r w:rsidRPr="0058370B">
        <w:rPr>
          <w:rFonts w:cs="Arial"/>
          <w:lang w:eastAsia="en-AU"/>
        </w:rPr>
        <w:t>shapefile is AGD94.</w:t>
      </w:r>
    </w:p>
    <w:p w14:paraId="433FA801" w14:textId="75A71B83" w:rsidR="00531525" w:rsidRPr="0058370B" w:rsidRDefault="00531525" w:rsidP="00FE2F59">
      <w:pPr>
        <w:rPr>
          <w:rFonts w:cs="Arial"/>
          <w:lang w:eastAsia="en-AU"/>
        </w:rPr>
      </w:pPr>
      <w:r w:rsidRPr="0058370B">
        <w:rPr>
          <w:rFonts w:cs="Arial"/>
          <w:lang w:eastAsia="en-AU"/>
        </w:rPr>
        <w:t>In certain cases</w:t>
      </w:r>
      <w:r w:rsidR="006C704D">
        <w:rPr>
          <w:rFonts w:cs="Arial"/>
          <w:lang w:eastAsia="en-AU"/>
        </w:rPr>
        <w:t>,</w:t>
      </w:r>
      <w:r w:rsidRPr="0058370B">
        <w:rPr>
          <w:rFonts w:cs="Arial"/>
          <w:lang w:eastAsia="en-AU"/>
        </w:rPr>
        <w:t xml:space="preserve"> seagrass meadows form very distinct edges that remain consistent over many growing seasons. However, in other cases the seagrass landscape tends to grade from dense continuous cover to no cover over a continuum that includes small patches and shoots of decreasing density. Boundary edges in patchy meadows are vulnerable to interpreter variation, </w:t>
      </w:r>
      <w:r w:rsidR="006C704D">
        <w:rPr>
          <w:rFonts w:cs="Arial"/>
          <w:lang w:eastAsia="en-AU"/>
        </w:rPr>
        <w:t xml:space="preserve">however, </w:t>
      </w:r>
      <w:r w:rsidRPr="0058370B">
        <w:rPr>
          <w:rFonts w:cs="Arial"/>
          <w:lang w:eastAsia="en-AU"/>
        </w:rPr>
        <w:t>the general rule is that a boundary edge is determined where there is a gap with the distance of more than three metres (i.e. accuracy of the GPS). Final shapefiles are overlayed with aerial photographs and base maps (AusLig</w:t>
      </w:r>
      <w:r w:rsidRPr="0058370B">
        <w:rPr>
          <w:rFonts w:cs="Arial"/>
          <w:vertAlign w:val="superscript"/>
          <w:lang w:eastAsia="en-AU"/>
        </w:rPr>
        <w:t>™</w:t>
      </w:r>
      <w:r w:rsidRPr="0058370B">
        <w:rPr>
          <w:rFonts w:cs="Arial"/>
          <w:lang w:eastAsia="en-AU"/>
        </w:rPr>
        <w:t xml:space="preserve">) to assist with illustration/presentation. </w:t>
      </w:r>
    </w:p>
    <w:p w14:paraId="7C1D16CF" w14:textId="21EF696A" w:rsidR="00531525" w:rsidRPr="0058370B" w:rsidRDefault="00531525" w:rsidP="00FE2F59">
      <w:pPr>
        <w:rPr>
          <w:rFonts w:cs="Arial"/>
          <w:lang w:eastAsia="en-AU"/>
        </w:rPr>
      </w:pPr>
      <w:r w:rsidRPr="0058370B">
        <w:rPr>
          <w:rFonts w:cs="Arial"/>
          <w:lang w:eastAsia="en-AU"/>
        </w:rPr>
        <w:t xml:space="preserve">The expected accuracy of the map product gives some level of confidence in using the data. Using GIS, meadow boundaries are assigned a quality value based on the type and range of mapping information available for each site and determined by the distance between waypoints and GPS position fixing error. These meadow boundary errors are used to estimate the likely range of area for each meadow mapped </w:t>
      </w:r>
      <w:r w:rsidR="00C41E32">
        <w:rPr>
          <w:rFonts w:cs="Arial"/>
          <w:lang w:eastAsia="en-AU"/>
        </w:rPr>
        <w:fldChar w:fldCharType="begin"/>
      </w:r>
      <w:r w:rsidR="00C41E32">
        <w:rPr>
          <w:rFonts w:cs="Arial"/>
          <w:lang w:eastAsia="en-AU"/>
        </w:rPr>
        <w:instrText xml:space="preserve"> ADDIN EN.CITE &lt;EndNote&gt;&lt;Cite&gt;&lt;Author&gt;Lee Long&lt;/Author&gt;&lt;Year&gt;1997&lt;/Year&gt;&lt;RecNum&gt;1313&lt;/RecNum&gt;&lt;DisplayText&gt;(Lee Long et al., 1997)&lt;/DisplayText&gt;&lt;record&gt;&lt;rec-number&gt;1313&lt;/rec-number&gt;&lt;foreign-keys&gt;&lt;key app="EN" db-id="zapfddtwo2e9z5e5vxoxafs7sf59wfp52rvf" timestamp="1558920214"&gt;1313&lt;/key&gt;&lt;/foreign-keys&gt;&lt;ref-type name="Report"&gt;27&lt;/ref-type&gt;&lt;contributors&gt;&lt;authors&gt;&lt;author&gt;Lee Long, W.J.&lt;/author&gt;&lt;author&gt;McKenzie, L.J.&lt;/author&gt;&lt;author&gt;Coles, R.G.&lt;/author&gt;&lt;/authors&gt;&lt;/contributors&gt;&lt;titles&gt;&lt;title&gt;Seagrass communities in the Shoalwater Bay region, Queensland: Spring (September) 1995 and Autumn (April) 1996&lt;/title&gt;&lt;/titles&gt;&lt;dates&gt;&lt;year&gt;1997&lt;/year&gt;&lt;/dates&gt;&lt;pub-location&gt;Great Barrier Reef Marine Park Authority, Townsville&lt;/pub-location&gt;&lt;urls&gt;&lt;related-urls&gt;&lt;url&gt;http://hdl.handle.net/11017/306&lt;/url&gt;&lt;/related-urls&gt;&lt;/urls&gt;&lt;access-date&gt;27/05/2019&lt;/access-date&gt;&lt;/record&gt;&lt;/Cite&gt;&lt;/EndNote&gt;</w:instrText>
      </w:r>
      <w:r w:rsidR="00C41E32">
        <w:rPr>
          <w:rFonts w:cs="Arial"/>
          <w:lang w:eastAsia="en-AU"/>
        </w:rPr>
        <w:fldChar w:fldCharType="separate"/>
      </w:r>
      <w:r w:rsidR="00C41E32">
        <w:rPr>
          <w:rFonts w:cs="Arial"/>
          <w:noProof/>
          <w:lang w:eastAsia="en-AU"/>
        </w:rPr>
        <w:t>(Lee Long et al., 1997)</w:t>
      </w:r>
      <w:r w:rsidR="00C41E32">
        <w:rPr>
          <w:rFonts w:cs="Arial"/>
          <w:lang w:eastAsia="en-AU"/>
        </w:rPr>
        <w:fldChar w:fldCharType="end"/>
      </w:r>
      <w:r w:rsidRPr="0058370B">
        <w:rPr>
          <w:rFonts w:cs="Arial"/>
          <w:lang w:eastAsia="en-AU"/>
        </w:rPr>
        <w:t>.</w:t>
      </w:r>
    </w:p>
    <w:p w14:paraId="03010B59" w14:textId="712CE21D" w:rsidR="00531525" w:rsidRPr="0058370B" w:rsidRDefault="00531525" w:rsidP="009F1EA2">
      <w:pPr>
        <w:pStyle w:val="Heading3"/>
      </w:pPr>
      <w:bookmarkStart w:id="474" w:name="_Toc261013320"/>
      <w:bookmarkStart w:id="475" w:name="_Toc294781738"/>
      <w:bookmarkStart w:id="476" w:name="_Toc321383804"/>
      <w:bookmarkStart w:id="477" w:name="_Toc393785072"/>
      <w:bookmarkStart w:id="478" w:name="_Toc394061177"/>
      <w:bookmarkStart w:id="479" w:name="_Toc394061267"/>
      <w:bookmarkStart w:id="480" w:name="_Toc396312033"/>
      <w:bookmarkStart w:id="481" w:name="_Toc520727868"/>
      <w:bookmarkStart w:id="482" w:name="_Toc12365613"/>
      <w:r w:rsidRPr="0058370B">
        <w:t xml:space="preserve">Sampling design </w:t>
      </w:r>
      <w:bookmarkEnd w:id="474"/>
      <w:bookmarkEnd w:id="475"/>
      <w:bookmarkEnd w:id="476"/>
      <w:r w:rsidR="006C704D">
        <w:t>—</w:t>
      </w:r>
      <w:r w:rsidRPr="0058370B">
        <w:t xml:space="preserve"> Within seagrass canopy temperature loggers</w:t>
      </w:r>
      <w:bookmarkEnd w:id="477"/>
      <w:bookmarkEnd w:id="478"/>
      <w:bookmarkEnd w:id="479"/>
      <w:bookmarkEnd w:id="480"/>
      <w:bookmarkEnd w:id="481"/>
      <w:bookmarkEnd w:id="482"/>
    </w:p>
    <w:p w14:paraId="5A1D0A74" w14:textId="0B07CC03" w:rsidR="00531525" w:rsidRPr="0058370B" w:rsidRDefault="00531525" w:rsidP="00FE2F59">
      <w:pPr>
        <w:rPr>
          <w:rFonts w:cs="Arial"/>
        </w:rPr>
      </w:pPr>
      <w:r w:rsidRPr="0058370B">
        <w:rPr>
          <w:rFonts w:cs="Arial"/>
        </w:rPr>
        <w:t>Autonomous iBTag</w:t>
      </w:r>
      <w:r w:rsidRPr="0058370B">
        <w:rPr>
          <w:rFonts w:cs="Arial"/>
          <w:vertAlign w:val="superscript"/>
        </w:rPr>
        <w:t>™</w:t>
      </w:r>
      <w:r w:rsidRPr="0058370B">
        <w:rPr>
          <w:rFonts w:cs="Arial"/>
        </w:rPr>
        <w:t xml:space="preserve"> submersible temperature loggers are deployed at all </w:t>
      </w:r>
      <w:r w:rsidRPr="0058370B">
        <w:rPr>
          <w:rFonts w:cs="Arial"/>
          <w:bCs/>
        </w:rPr>
        <w:t xml:space="preserve">sites identified in </w:t>
      </w:r>
      <w:r w:rsidR="0037693C">
        <w:rPr>
          <w:rFonts w:cs="Arial"/>
          <w:bCs/>
          <w:highlight w:val="yellow"/>
        </w:rPr>
        <w:fldChar w:fldCharType="begin"/>
      </w:r>
      <w:r w:rsidR="0037693C">
        <w:rPr>
          <w:rFonts w:cs="Arial"/>
          <w:bCs/>
        </w:rPr>
        <w:instrText xml:space="preserve"> REF _Ref433716004 \h </w:instrText>
      </w:r>
      <w:r w:rsidR="0037693C">
        <w:rPr>
          <w:rFonts w:cs="Arial"/>
          <w:bCs/>
          <w:highlight w:val="yellow"/>
        </w:rPr>
      </w:r>
      <w:r w:rsidR="0037693C">
        <w:rPr>
          <w:rFonts w:cs="Arial"/>
          <w:bCs/>
          <w:highlight w:val="yellow"/>
        </w:rPr>
        <w:fldChar w:fldCharType="separate"/>
      </w:r>
      <w:r w:rsidR="00D528AA" w:rsidRPr="00620C94">
        <w:t xml:space="preserve">Table </w:t>
      </w:r>
      <w:r w:rsidR="00D528AA">
        <w:rPr>
          <w:noProof/>
        </w:rPr>
        <w:t>6</w:t>
      </w:r>
      <w:r w:rsidR="00D528AA">
        <w:t>.</w:t>
      </w:r>
      <w:r w:rsidR="00D528AA">
        <w:rPr>
          <w:noProof/>
        </w:rPr>
        <w:t>1</w:t>
      </w:r>
      <w:r w:rsidR="0037693C">
        <w:rPr>
          <w:rFonts w:cs="Arial"/>
          <w:bCs/>
          <w:highlight w:val="yellow"/>
        </w:rPr>
        <w:fldChar w:fldCharType="end"/>
      </w:r>
      <w:r w:rsidRPr="0058370B">
        <w:rPr>
          <w:rFonts w:cs="Arial"/>
          <w:bCs/>
        </w:rPr>
        <w:t>. The loggers record</w:t>
      </w:r>
      <w:r w:rsidRPr="0058370B">
        <w:rPr>
          <w:rFonts w:cs="Arial"/>
        </w:rPr>
        <w:t xml:space="preserve"> temperature (degrees Celsius) within the seagrass canopy every 30 to 90 minutes (depending on </w:t>
      </w:r>
      <w:r w:rsidR="006C704D">
        <w:rPr>
          <w:rFonts w:cs="Arial"/>
        </w:rPr>
        <w:t xml:space="preserve">the </w:t>
      </w:r>
      <w:r w:rsidRPr="0058370B">
        <w:rPr>
          <w:rFonts w:cs="Arial"/>
        </w:rPr>
        <w:t>duration of deployment and logger storage capacity) and store data in an inbuilt memory</w:t>
      </w:r>
      <w:r w:rsidR="006C704D">
        <w:rPr>
          <w:rFonts w:cs="Arial"/>
        </w:rPr>
        <w:t>,</w:t>
      </w:r>
      <w:r w:rsidRPr="0058370B">
        <w:rPr>
          <w:rFonts w:cs="Arial"/>
        </w:rPr>
        <w:t xml:space="preserve"> which is downloaded every three to six months, depending on the site. </w:t>
      </w:r>
    </w:p>
    <w:p w14:paraId="2726FC08" w14:textId="075C03D4" w:rsidR="00531525" w:rsidRPr="0058370B" w:rsidRDefault="006C704D" w:rsidP="00FE2F59">
      <w:pPr>
        <w:rPr>
          <w:rFonts w:cs="Arial"/>
        </w:rPr>
      </w:pPr>
      <w:r>
        <w:rPr>
          <w:rFonts w:cs="Arial"/>
        </w:rPr>
        <w:t xml:space="preserve">The </w:t>
      </w:r>
      <w:r w:rsidR="00531525" w:rsidRPr="0058370B">
        <w:rPr>
          <w:rFonts w:cs="Arial"/>
        </w:rPr>
        <w:t>iBCod 22L model of iBTag</w:t>
      </w:r>
      <w:r w:rsidR="00531525" w:rsidRPr="0058370B">
        <w:rPr>
          <w:rFonts w:cs="Arial"/>
          <w:vertAlign w:val="superscript"/>
        </w:rPr>
        <w:t>™</w:t>
      </w:r>
      <w:r w:rsidR="00531525" w:rsidRPr="0058370B">
        <w:rPr>
          <w:rFonts w:cs="Arial"/>
        </w:rPr>
        <w:t xml:space="preserve"> loggers </w:t>
      </w:r>
      <w:r>
        <w:rPr>
          <w:rFonts w:cs="Arial"/>
        </w:rPr>
        <w:t>is</w:t>
      </w:r>
      <w:r w:rsidRPr="0058370B">
        <w:rPr>
          <w:rFonts w:cs="Arial"/>
        </w:rPr>
        <w:t xml:space="preserve"> </w:t>
      </w:r>
      <w:r w:rsidR="00531525" w:rsidRPr="0058370B">
        <w:rPr>
          <w:rFonts w:cs="Arial"/>
        </w:rPr>
        <w:t xml:space="preserve">used as </w:t>
      </w:r>
      <w:r>
        <w:rPr>
          <w:rFonts w:cs="Arial"/>
        </w:rPr>
        <w:t>it</w:t>
      </w:r>
      <w:r w:rsidRPr="0058370B">
        <w:rPr>
          <w:rFonts w:cs="Arial"/>
        </w:rPr>
        <w:t xml:space="preserve"> </w:t>
      </w:r>
      <w:r w:rsidR="00531525" w:rsidRPr="0058370B">
        <w:rPr>
          <w:rFonts w:cs="Arial"/>
        </w:rPr>
        <w:t xml:space="preserve">can withstand prolonged immersion in salt water to a depth of 600 metres. It is reinforced with solid titanium plates and over molded in a tough polyurethane casing that can take a lot of rough handling. </w:t>
      </w:r>
    </w:p>
    <w:p w14:paraId="1D9F7B00" w14:textId="700B8F44" w:rsidR="00531525" w:rsidRPr="0058370B" w:rsidRDefault="006C704D" w:rsidP="0065581C">
      <w:pPr>
        <w:keepNext/>
        <w:rPr>
          <w:rFonts w:cs="Arial"/>
        </w:rPr>
      </w:pPr>
      <w:r>
        <w:rPr>
          <w:rFonts w:cs="Arial"/>
        </w:rPr>
        <w:t>The m</w:t>
      </w:r>
      <w:r w:rsidR="00531525" w:rsidRPr="0058370B">
        <w:rPr>
          <w:rFonts w:cs="Arial"/>
        </w:rPr>
        <w:t>ain features of the iBCod 22L include:</w:t>
      </w:r>
    </w:p>
    <w:p w14:paraId="0A3E7C68" w14:textId="1206FF36" w:rsidR="00531525" w:rsidRPr="006832C0" w:rsidRDefault="006C704D" w:rsidP="006C7E99">
      <w:pPr>
        <w:pStyle w:val="ListParagraph"/>
        <w:keepNext/>
        <w:numPr>
          <w:ilvl w:val="0"/>
          <w:numId w:val="46"/>
        </w:numPr>
        <w:rPr>
          <w:rFonts w:cs="Arial"/>
        </w:rPr>
      </w:pPr>
      <w:r>
        <w:rPr>
          <w:rFonts w:cs="Arial"/>
        </w:rPr>
        <w:t>o</w:t>
      </w:r>
      <w:r w:rsidRPr="006832C0">
        <w:rPr>
          <w:rFonts w:cs="Arial"/>
        </w:rPr>
        <w:t xml:space="preserve">perating </w:t>
      </w:r>
      <w:r w:rsidR="00531525" w:rsidRPr="006832C0">
        <w:rPr>
          <w:rFonts w:cs="Arial"/>
        </w:rPr>
        <w:t>temperature range: -40 to +85°C</w:t>
      </w:r>
    </w:p>
    <w:p w14:paraId="1A37473F" w14:textId="19A40A5A" w:rsidR="00531525" w:rsidRPr="006832C0" w:rsidRDefault="006C704D" w:rsidP="006C7E99">
      <w:pPr>
        <w:pStyle w:val="ListParagraph"/>
        <w:numPr>
          <w:ilvl w:val="0"/>
          <w:numId w:val="46"/>
        </w:numPr>
        <w:rPr>
          <w:rFonts w:cs="Arial"/>
        </w:rPr>
      </w:pPr>
      <w:r>
        <w:rPr>
          <w:rFonts w:cs="Arial"/>
        </w:rPr>
        <w:t>r</w:t>
      </w:r>
      <w:r w:rsidRPr="006832C0">
        <w:rPr>
          <w:rFonts w:cs="Arial"/>
        </w:rPr>
        <w:t xml:space="preserve">esolution </w:t>
      </w:r>
      <w:r w:rsidR="00531525" w:rsidRPr="006832C0">
        <w:rPr>
          <w:rFonts w:cs="Arial"/>
        </w:rPr>
        <w:t>of readings: 0.5°C or 0.0625°C</w:t>
      </w:r>
    </w:p>
    <w:p w14:paraId="55B50ED5" w14:textId="0B630276" w:rsidR="00531525" w:rsidRPr="006832C0" w:rsidRDefault="006C704D" w:rsidP="006C7E99">
      <w:pPr>
        <w:pStyle w:val="ListParagraph"/>
        <w:numPr>
          <w:ilvl w:val="0"/>
          <w:numId w:val="46"/>
        </w:numPr>
        <w:rPr>
          <w:rFonts w:cs="Arial"/>
        </w:rPr>
      </w:pPr>
      <w:r>
        <w:rPr>
          <w:rFonts w:cs="Arial"/>
        </w:rPr>
        <w:t>a</w:t>
      </w:r>
      <w:r w:rsidRPr="006832C0">
        <w:rPr>
          <w:rFonts w:cs="Arial"/>
        </w:rPr>
        <w:t>ccuracy</w:t>
      </w:r>
      <w:r w:rsidR="00531525" w:rsidRPr="006832C0">
        <w:rPr>
          <w:rFonts w:cs="Arial"/>
        </w:rPr>
        <w:t>: ±0.5°C from -10°C to +65°C</w:t>
      </w:r>
    </w:p>
    <w:p w14:paraId="1E06DE24" w14:textId="7D2E616D" w:rsidR="00531525" w:rsidRPr="006832C0" w:rsidRDefault="006C704D" w:rsidP="006C7E99">
      <w:pPr>
        <w:pStyle w:val="ListParagraph"/>
        <w:numPr>
          <w:ilvl w:val="0"/>
          <w:numId w:val="46"/>
        </w:numPr>
        <w:rPr>
          <w:rFonts w:cs="Arial"/>
        </w:rPr>
      </w:pPr>
      <w:r>
        <w:rPr>
          <w:rFonts w:cs="Arial"/>
        </w:rPr>
        <w:t>s</w:t>
      </w:r>
      <w:r w:rsidRPr="006832C0">
        <w:rPr>
          <w:rFonts w:cs="Arial"/>
        </w:rPr>
        <w:t xml:space="preserve">ampling </w:t>
      </w:r>
      <w:r w:rsidR="00531525" w:rsidRPr="006832C0">
        <w:rPr>
          <w:rFonts w:cs="Arial"/>
        </w:rPr>
        <w:t>Rate: 1 second to 273 hours</w:t>
      </w:r>
    </w:p>
    <w:p w14:paraId="0884DFFA" w14:textId="3D486FC1" w:rsidR="00531525" w:rsidRPr="006832C0" w:rsidRDefault="006C704D" w:rsidP="006C7E99">
      <w:pPr>
        <w:pStyle w:val="ListParagraph"/>
        <w:numPr>
          <w:ilvl w:val="0"/>
          <w:numId w:val="46"/>
        </w:numPr>
        <w:rPr>
          <w:rFonts w:cs="Arial"/>
        </w:rPr>
      </w:pPr>
      <w:r>
        <w:rPr>
          <w:rFonts w:cs="Arial"/>
        </w:rPr>
        <w:t>n</w:t>
      </w:r>
      <w:r w:rsidRPr="006832C0">
        <w:rPr>
          <w:rFonts w:cs="Arial"/>
        </w:rPr>
        <w:t xml:space="preserve">umber </w:t>
      </w:r>
      <w:r w:rsidR="00531525" w:rsidRPr="006832C0">
        <w:rPr>
          <w:rFonts w:cs="Arial"/>
        </w:rPr>
        <w:t>of readings: 4096 or 8192 depending on configuration</w:t>
      </w:r>
    </w:p>
    <w:p w14:paraId="6C912593" w14:textId="1EF406AC" w:rsidR="00531525" w:rsidRPr="006832C0" w:rsidRDefault="006C704D" w:rsidP="006C7E99">
      <w:pPr>
        <w:pStyle w:val="ListParagraph"/>
        <w:numPr>
          <w:ilvl w:val="0"/>
          <w:numId w:val="46"/>
        </w:numPr>
        <w:rPr>
          <w:rFonts w:cs="Arial"/>
        </w:rPr>
      </w:pPr>
      <w:r>
        <w:rPr>
          <w:rFonts w:cs="Arial"/>
        </w:rPr>
        <w:t>p</w:t>
      </w:r>
      <w:r w:rsidRPr="006832C0">
        <w:rPr>
          <w:rFonts w:cs="Arial"/>
        </w:rPr>
        <w:t xml:space="preserve">assword </w:t>
      </w:r>
      <w:r w:rsidR="00531525" w:rsidRPr="006832C0">
        <w:rPr>
          <w:rFonts w:cs="Arial"/>
        </w:rPr>
        <w:t>protection, with separate passwords for read only and full access. </w:t>
      </w:r>
    </w:p>
    <w:p w14:paraId="175B7B9B" w14:textId="77777777" w:rsidR="00531525" w:rsidRPr="0058370B" w:rsidRDefault="00531525" w:rsidP="00FE2F59">
      <w:pPr>
        <w:rPr>
          <w:rFonts w:cs="Arial"/>
        </w:rPr>
      </w:pPr>
      <w:r w:rsidRPr="0058370B">
        <w:rPr>
          <w:rFonts w:cs="Arial"/>
        </w:rPr>
        <w:t>The large capacity of this logger allows the collection of 171 days of readings at 30 minute intervals.</w:t>
      </w:r>
    </w:p>
    <w:p w14:paraId="2BA19EE2" w14:textId="00CFE6E5" w:rsidR="00531525" w:rsidRPr="0058370B" w:rsidRDefault="006C704D" w:rsidP="00FE2F59">
      <w:pPr>
        <w:rPr>
          <w:rFonts w:cs="Arial"/>
        </w:rPr>
      </w:pPr>
      <w:r>
        <w:rPr>
          <w:rFonts w:cs="Arial"/>
        </w:rPr>
        <w:t xml:space="preserve">The </w:t>
      </w:r>
      <w:r w:rsidR="00531525" w:rsidRPr="0058370B">
        <w:rPr>
          <w:rFonts w:cs="Arial"/>
        </w:rPr>
        <w:t>iBCod 22</w:t>
      </w:r>
      <w:r>
        <w:rPr>
          <w:rFonts w:cs="Arial"/>
        </w:rPr>
        <w:t xml:space="preserve"> litre</w:t>
      </w:r>
      <w:r w:rsidRPr="0058370B">
        <w:rPr>
          <w:rFonts w:cs="Arial"/>
        </w:rPr>
        <w:t xml:space="preserve"> </w:t>
      </w:r>
      <w:r w:rsidR="00531525" w:rsidRPr="0058370B">
        <w:rPr>
          <w:rFonts w:cs="Arial"/>
        </w:rPr>
        <w:t xml:space="preserve">submersible temperature loggers are placed at </w:t>
      </w:r>
      <w:r>
        <w:rPr>
          <w:rFonts w:cs="Arial"/>
        </w:rPr>
        <w:t>a</w:t>
      </w:r>
      <w:r w:rsidRPr="0058370B">
        <w:rPr>
          <w:rFonts w:cs="Arial"/>
        </w:rPr>
        <w:t xml:space="preserve"> </w:t>
      </w:r>
      <w:r w:rsidR="00531525" w:rsidRPr="0058370B">
        <w:rPr>
          <w:rFonts w:cs="Arial"/>
        </w:rPr>
        <w:t xml:space="preserve">permanent marker at each site for three to six months (depending on monitoring frequency). Loggers are attached to the permanent station marker using cable ties, above the sediment-water interface. This location </w:t>
      </w:r>
      <w:r w:rsidR="003474FC">
        <w:rPr>
          <w:rFonts w:cs="Arial"/>
        </w:rPr>
        <w:t>makes sure</w:t>
      </w:r>
      <w:r w:rsidR="003474FC" w:rsidRPr="0058370B">
        <w:rPr>
          <w:rFonts w:cs="Arial"/>
        </w:rPr>
        <w:t xml:space="preserve"> </w:t>
      </w:r>
      <w:r w:rsidR="00531525" w:rsidRPr="0058370B">
        <w:rPr>
          <w:rFonts w:cs="Arial"/>
        </w:rPr>
        <w:t>that the sensors are not exposed to air unless the seagrass meadow is completely drained and places them out of sight of curious people.</w:t>
      </w:r>
    </w:p>
    <w:p w14:paraId="72591911" w14:textId="42D993DE" w:rsidR="00531525" w:rsidRPr="0058370B" w:rsidRDefault="00531525" w:rsidP="00FE2F59">
      <w:pPr>
        <w:rPr>
          <w:rFonts w:cs="Arial"/>
        </w:rPr>
      </w:pPr>
      <w:r w:rsidRPr="0058370B">
        <w:rPr>
          <w:rFonts w:cs="Arial"/>
        </w:rPr>
        <w:t xml:space="preserve">Each logger has a unique serial number </w:t>
      </w:r>
      <w:r w:rsidR="006C704D">
        <w:rPr>
          <w:rFonts w:cs="Arial"/>
        </w:rPr>
        <w:t>that</w:t>
      </w:r>
      <w:r w:rsidR="006C704D" w:rsidRPr="0058370B">
        <w:rPr>
          <w:rFonts w:cs="Arial"/>
        </w:rPr>
        <w:t xml:space="preserve"> </w:t>
      </w:r>
      <w:r w:rsidRPr="0058370B">
        <w:rPr>
          <w:rFonts w:cs="Arial"/>
        </w:rPr>
        <w:t>is recorded within a central secure database. The logger number is recorded on the monitoring site datasheet with the time of deployment and collection. At each monitoring event (every three to six months)</w:t>
      </w:r>
      <w:r w:rsidR="006C704D">
        <w:rPr>
          <w:rFonts w:cs="Arial"/>
        </w:rPr>
        <w:t>,</w:t>
      </w:r>
      <w:r w:rsidRPr="0058370B">
        <w:rPr>
          <w:rFonts w:cs="Arial"/>
        </w:rPr>
        <w:t xml:space="preserve"> the iBTag™ temperature loggers are removed and replaced with a fresh logger (these are dispatched close to the monitoring visit). After collection, details of the logger number, field datasheet (with date and time) and logger are returned for downloading. </w:t>
      </w:r>
    </w:p>
    <w:p w14:paraId="5F23A0A1" w14:textId="300A79BA" w:rsidR="00531525" w:rsidRPr="0058370B" w:rsidRDefault="00531525" w:rsidP="00FE2F59">
      <w:pPr>
        <w:rPr>
          <w:rFonts w:cs="Arial"/>
        </w:rPr>
      </w:pPr>
      <w:r w:rsidRPr="0058370B">
        <w:rPr>
          <w:rFonts w:cs="Arial"/>
        </w:rPr>
        <w:t xml:space="preserve">Logger deployment and data retrieval </w:t>
      </w:r>
      <w:r w:rsidR="006C704D">
        <w:rPr>
          <w:rFonts w:cs="Arial"/>
        </w:rPr>
        <w:t>are</w:t>
      </w:r>
      <w:r w:rsidR="006C704D" w:rsidRPr="0058370B">
        <w:rPr>
          <w:rFonts w:cs="Arial"/>
        </w:rPr>
        <w:t xml:space="preserve"> </w:t>
      </w:r>
      <w:r w:rsidRPr="0058370B">
        <w:rPr>
          <w:rFonts w:cs="Arial"/>
        </w:rPr>
        <w:t xml:space="preserve">carried out by JCU professional and technical personnel who have been trained in the applied methods. Methods and procedures documents are available to relevant staff and are collectively kept up-to-date. Changes to procedures are developed and discussed and recorded in metadata records. </w:t>
      </w:r>
    </w:p>
    <w:p w14:paraId="74D61947" w14:textId="4B15C5B9" w:rsidR="00531525" w:rsidRPr="0058370B" w:rsidRDefault="00531525" w:rsidP="009F1EA2">
      <w:pPr>
        <w:pStyle w:val="Heading3"/>
      </w:pPr>
      <w:bookmarkStart w:id="483" w:name="_Toc261013324"/>
      <w:bookmarkStart w:id="484" w:name="_Toc294781742"/>
      <w:bookmarkStart w:id="485" w:name="_Toc321383808"/>
      <w:bookmarkStart w:id="486" w:name="_Toc393785073"/>
      <w:bookmarkStart w:id="487" w:name="_Toc394061178"/>
      <w:bookmarkStart w:id="488" w:name="_Toc394061268"/>
      <w:bookmarkStart w:id="489" w:name="_Toc396312034"/>
      <w:bookmarkStart w:id="490" w:name="_Toc520727869"/>
      <w:bookmarkStart w:id="491" w:name="_Toc12365614"/>
      <w:r w:rsidRPr="0058370B">
        <w:t>Sampling design and logistics</w:t>
      </w:r>
      <w:bookmarkEnd w:id="483"/>
      <w:bookmarkEnd w:id="484"/>
      <w:bookmarkEnd w:id="485"/>
      <w:r w:rsidRPr="0058370B">
        <w:t xml:space="preserve"> </w:t>
      </w:r>
      <w:r w:rsidR="006C704D">
        <w:t>—</w:t>
      </w:r>
      <w:r w:rsidRPr="0058370B">
        <w:t xml:space="preserve"> Seagrass meadow canopy light loggers</w:t>
      </w:r>
      <w:bookmarkEnd w:id="486"/>
      <w:bookmarkEnd w:id="487"/>
      <w:bookmarkEnd w:id="488"/>
      <w:bookmarkEnd w:id="489"/>
      <w:bookmarkEnd w:id="490"/>
      <w:bookmarkEnd w:id="491"/>
    </w:p>
    <w:p w14:paraId="54949BFF" w14:textId="235BAB24" w:rsidR="00531525" w:rsidRPr="0058370B" w:rsidRDefault="00531525" w:rsidP="00FE2F59">
      <w:pPr>
        <w:rPr>
          <w:rFonts w:cs="Arial"/>
        </w:rPr>
      </w:pPr>
      <w:r w:rsidRPr="0058370B">
        <w:rPr>
          <w:rFonts w:cs="Arial"/>
        </w:rPr>
        <w:t xml:space="preserve">Autonomous light loggers are deployed at selected nearshore and offshore seagrass sites in all regions </w:t>
      </w:r>
      <w:r w:rsidRPr="00095A05">
        <w:rPr>
          <w:rFonts w:cs="Arial"/>
        </w:rPr>
        <w:t>monitored</w:t>
      </w:r>
      <w:r w:rsidRPr="00095A05" w:rsidDel="003E410B">
        <w:rPr>
          <w:rFonts w:cs="Arial"/>
        </w:rPr>
        <w:t xml:space="preserve"> </w:t>
      </w:r>
      <w:r w:rsidRPr="00095A05">
        <w:rPr>
          <w:rFonts w:cs="Arial"/>
        </w:rPr>
        <w:t>(</w:t>
      </w:r>
      <w:r w:rsidR="006C704D">
        <w:rPr>
          <w:rFonts w:cs="Arial"/>
          <w:highlight w:val="yellow"/>
        </w:rPr>
        <w:fldChar w:fldCharType="begin"/>
      </w:r>
      <w:r w:rsidR="006C704D">
        <w:rPr>
          <w:rFonts w:cs="Arial"/>
        </w:rPr>
        <w:instrText xml:space="preserve"> REF _Ref433716131 \h </w:instrText>
      </w:r>
      <w:r w:rsidR="006C704D">
        <w:rPr>
          <w:rFonts w:cs="Arial"/>
          <w:highlight w:val="yellow"/>
        </w:rPr>
      </w:r>
      <w:r w:rsidR="006C704D">
        <w:rPr>
          <w:rFonts w:cs="Arial"/>
          <w:highlight w:val="yellow"/>
        </w:rPr>
        <w:fldChar w:fldCharType="separate"/>
      </w:r>
      <w:r w:rsidR="00D528AA" w:rsidRPr="00F529DD">
        <w:t xml:space="preserve">Table </w:t>
      </w:r>
      <w:r w:rsidR="00D528AA">
        <w:rPr>
          <w:noProof/>
        </w:rPr>
        <w:t>6</w:t>
      </w:r>
      <w:r w:rsidR="00D528AA">
        <w:t>.</w:t>
      </w:r>
      <w:r w:rsidR="00D528AA">
        <w:rPr>
          <w:noProof/>
        </w:rPr>
        <w:t>3</w:t>
      </w:r>
      <w:r w:rsidR="006C704D">
        <w:rPr>
          <w:rFonts w:cs="Arial"/>
          <w:highlight w:val="yellow"/>
        </w:rPr>
        <w:fldChar w:fldCharType="end"/>
      </w:r>
      <w:r w:rsidRPr="00095A05">
        <w:rPr>
          <w:rFonts w:cs="Arial"/>
        </w:rPr>
        <w:t>).</w:t>
      </w:r>
      <w:r w:rsidRPr="0058370B">
        <w:rPr>
          <w:rFonts w:cs="Arial"/>
        </w:rPr>
        <w:t xml:space="preserve"> </w:t>
      </w:r>
    </w:p>
    <w:p w14:paraId="6431725B" w14:textId="77777777" w:rsidR="004741A2" w:rsidRPr="0058370B" w:rsidRDefault="004741A2" w:rsidP="00FE2F59">
      <w:pPr>
        <w:rPr>
          <w:rFonts w:cs="Arial"/>
        </w:rPr>
      </w:pPr>
      <w:r w:rsidRPr="0058370B">
        <w:rPr>
          <w:rFonts w:cs="Arial"/>
        </w:rPr>
        <w:t>Submersible Odyssey</w:t>
      </w:r>
      <w:r w:rsidRPr="0058370B">
        <w:rPr>
          <w:rFonts w:cs="Arial"/>
          <w:vertAlign w:val="superscript"/>
        </w:rPr>
        <w:t>™</w:t>
      </w:r>
      <w:r w:rsidRPr="0058370B">
        <w:rPr>
          <w:rFonts w:cs="Arial"/>
        </w:rPr>
        <w:t xml:space="preserve"> photosynthetic irradiance loggers are placed at the permanent marker at each of the sites for three to six month periods (depending on monitoring frequency). </w:t>
      </w:r>
    </w:p>
    <w:p w14:paraId="57FCFC67" w14:textId="66BEC650" w:rsidR="004741A2" w:rsidRPr="0058370B" w:rsidRDefault="004741A2" w:rsidP="00FE2F59">
      <w:pPr>
        <w:autoSpaceDE w:val="0"/>
        <w:autoSpaceDN w:val="0"/>
        <w:adjustRightInd w:val="0"/>
        <w:rPr>
          <w:rFonts w:cs="Arial"/>
        </w:rPr>
      </w:pPr>
      <w:r w:rsidRPr="0058370B">
        <w:rPr>
          <w:rFonts w:cs="Arial"/>
        </w:rPr>
        <w:t>Odyssey</w:t>
      </w:r>
      <w:r w:rsidRPr="0058370B">
        <w:rPr>
          <w:rFonts w:cs="Arial"/>
          <w:vertAlign w:val="superscript"/>
        </w:rPr>
        <w:t>™</w:t>
      </w:r>
      <w:r w:rsidRPr="0058370B">
        <w:rPr>
          <w:rFonts w:cs="Arial"/>
        </w:rPr>
        <w:t xml:space="preserve"> data loggers (Odyssey, Christchurch, New Zealand) record </w:t>
      </w:r>
      <w:r w:rsidR="006C704D">
        <w:rPr>
          <w:rFonts w:cs="Arial"/>
        </w:rPr>
        <w:t>p</w:t>
      </w:r>
      <w:r w:rsidR="006C704D" w:rsidRPr="0058370B">
        <w:rPr>
          <w:rFonts w:cs="Arial"/>
        </w:rPr>
        <w:t xml:space="preserve">hotosynthetically </w:t>
      </w:r>
      <w:r w:rsidR="006C704D">
        <w:rPr>
          <w:rFonts w:cs="Arial"/>
        </w:rPr>
        <w:t>a</w:t>
      </w:r>
      <w:r w:rsidR="006C704D" w:rsidRPr="0058370B">
        <w:rPr>
          <w:rFonts w:cs="Arial"/>
        </w:rPr>
        <w:t xml:space="preserve">ctive </w:t>
      </w:r>
      <w:r w:rsidR="006C704D">
        <w:rPr>
          <w:rFonts w:cs="Arial"/>
        </w:rPr>
        <w:t>r</w:t>
      </w:r>
      <w:r w:rsidR="006C704D" w:rsidRPr="0058370B">
        <w:rPr>
          <w:rFonts w:cs="Arial"/>
        </w:rPr>
        <w:t xml:space="preserve">adiation </w:t>
      </w:r>
      <w:r w:rsidRPr="0058370B">
        <w:rPr>
          <w:rFonts w:cs="Arial"/>
        </w:rPr>
        <w:t>(400</w:t>
      </w:r>
      <w:r w:rsidR="006C704D">
        <w:rPr>
          <w:rFonts w:cs="Arial"/>
        </w:rPr>
        <w:t>–</w:t>
      </w:r>
      <w:r w:rsidRPr="0058370B">
        <w:rPr>
          <w:rFonts w:cs="Arial"/>
        </w:rPr>
        <w:t>1100</w:t>
      </w:r>
      <w:r w:rsidR="006C704D">
        <w:rPr>
          <w:rFonts w:cs="Arial"/>
        </w:rPr>
        <w:t xml:space="preserve"> </w:t>
      </w:r>
      <w:r w:rsidRPr="0058370B">
        <w:rPr>
          <w:rFonts w:cs="Arial"/>
        </w:rPr>
        <w:t>nm) and store data in an inbuilt memory</w:t>
      </w:r>
      <w:r w:rsidR="006C704D">
        <w:rPr>
          <w:rFonts w:cs="Arial"/>
        </w:rPr>
        <w:t>,</w:t>
      </w:r>
      <w:r w:rsidRPr="0058370B">
        <w:rPr>
          <w:rFonts w:cs="Arial"/>
        </w:rPr>
        <w:t xml:space="preserve"> which is retrieved every three to six months, depending on the site. Each logger has the following technical specifications: </w:t>
      </w:r>
    </w:p>
    <w:p w14:paraId="1F6BD21D" w14:textId="162A09A2" w:rsidR="004741A2" w:rsidRPr="006832C0" w:rsidRDefault="006C704D" w:rsidP="006C7E99">
      <w:pPr>
        <w:pStyle w:val="ListParagraph"/>
        <w:numPr>
          <w:ilvl w:val="0"/>
          <w:numId w:val="47"/>
        </w:numPr>
        <w:rPr>
          <w:rFonts w:cs="Arial"/>
          <w:bCs/>
        </w:rPr>
      </w:pPr>
      <w:r>
        <w:rPr>
          <w:rFonts w:cs="Arial"/>
          <w:bCs/>
        </w:rPr>
        <w:t>c</w:t>
      </w:r>
      <w:r w:rsidRPr="006832C0">
        <w:rPr>
          <w:rFonts w:cs="Arial"/>
          <w:bCs/>
        </w:rPr>
        <w:t xml:space="preserve">osine </w:t>
      </w:r>
      <w:r w:rsidR="004741A2" w:rsidRPr="006832C0">
        <w:rPr>
          <w:rFonts w:cs="Arial"/>
          <w:bCs/>
        </w:rPr>
        <w:t>corrected photosynthetic irradiance sensor 400</w:t>
      </w:r>
      <w:r>
        <w:rPr>
          <w:rFonts w:cs="Arial"/>
        </w:rPr>
        <w:t>–</w:t>
      </w:r>
      <w:r w:rsidR="004741A2" w:rsidRPr="006832C0">
        <w:rPr>
          <w:rFonts w:cs="Arial"/>
          <w:bCs/>
        </w:rPr>
        <w:t>700 nm</w:t>
      </w:r>
    </w:p>
    <w:p w14:paraId="06685C15" w14:textId="66F856A6" w:rsidR="004741A2" w:rsidRPr="006832C0" w:rsidRDefault="006C704D" w:rsidP="006C7E99">
      <w:pPr>
        <w:pStyle w:val="ListParagraph"/>
        <w:numPr>
          <w:ilvl w:val="0"/>
          <w:numId w:val="47"/>
        </w:numPr>
        <w:rPr>
          <w:rFonts w:cs="Arial"/>
          <w:bCs/>
        </w:rPr>
      </w:pPr>
      <w:r>
        <w:rPr>
          <w:rFonts w:cs="Arial"/>
          <w:bCs/>
        </w:rPr>
        <w:t>c</w:t>
      </w:r>
      <w:r w:rsidRPr="006832C0">
        <w:rPr>
          <w:rFonts w:cs="Arial"/>
          <w:bCs/>
        </w:rPr>
        <w:t xml:space="preserve">osine </w:t>
      </w:r>
      <w:r w:rsidR="004741A2" w:rsidRPr="006832C0">
        <w:rPr>
          <w:rFonts w:cs="Arial"/>
          <w:bCs/>
        </w:rPr>
        <w:t>corrected solar irradiance sensor 400</w:t>
      </w:r>
      <w:r>
        <w:rPr>
          <w:rFonts w:cs="Arial"/>
        </w:rPr>
        <w:t>–</w:t>
      </w:r>
      <w:r w:rsidR="004741A2" w:rsidRPr="006832C0">
        <w:rPr>
          <w:rFonts w:cs="Arial"/>
          <w:bCs/>
        </w:rPr>
        <w:t>1100 nm</w:t>
      </w:r>
    </w:p>
    <w:p w14:paraId="6CA15849" w14:textId="700F84BE" w:rsidR="004741A2" w:rsidRPr="006832C0" w:rsidRDefault="006C704D" w:rsidP="006C7E99">
      <w:pPr>
        <w:pStyle w:val="ListParagraph"/>
        <w:numPr>
          <w:ilvl w:val="0"/>
          <w:numId w:val="47"/>
        </w:numPr>
        <w:rPr>
          <w:rFonts w:cs="Arial"/>
          <w:bCs/>
        </w:rPr>
      </w:pPr>
      <w:r>
        <w:rPr>
          <w:rFonts w:cs="Arial"/>
          <w:bCs/>
        </w:rPr>
        <w:t>i</w:t>
      </w:r>
      <w:r w:rsidRPr="006832C0">
        <w:rPr>
          <w:rFonts w:cs="Arial"/>
          <w:bCs/>
        </w:rPr>
        <w:t xml:space="preserve">ntegrated </w:t>
      </w:r>
      <w:r w:rsidR="004741A2" w:rsidRPr="006832C0">
        <w:rPr>
          <w:rFonts w:cs="Arial"/>
          <w:bCs/>
        </w:rPr>
        <w:t>count output recorded by Odyssey data recorder</w:t>
      </w:r>
    </w:p>
    <w:p w14:paraId="04C4CD61" w14:textId="0CAB283C" w:rsidR="004741A2" w:rsidRPr="006832C0" w:rsidRDefault="006C704D" w:rsidP="006C7E99">
      <w:pPr>
        <w:pStyle w:val="ListParagraph"/>
        <w:numPr>
          <w:ilvl w:val="0"/>
          <w:numId w:val="47"/>
        </w:numPr>
        <w:rPr>
          <w:rFonts w:cs="Arial"/>
          <w:bCs/>
        </w:rPr>
      </w:pPr>
      <w:r>
        <w:rPr>
          <w:rFonts w:cs="Arial"/>
          <w:bCs/>
        </w:rPr>
        <w:t>u</w:t>
      </w:r>
      <w:r w:rsidRPr="006832C0">
        <w:rPr>
          <w:rFonts w:cs="Arial"/>
          <w:bCs/>
        </w:rPr>
        <w:t xml:space="preserve">ser </w:t>
      </w:r>
      <w:r w:rsidR="004741A2" w:rsidRPr="006832C0">
        <w:rPr>
          <w:rFonts w:cs="Arial"/>
          <w:bCs/>
        </w:rPr>
        <w:t>defined integration period</w:t>
      </w:r>
    </w:p>
    <w:p w14:paraId="0D07A23C" w14:textId="53EF0428" w:rsidR="004741A2" w:rsidRPr="006832C0" w:rsidRDefault="006C704D" w:rsidP="006C7E99">
      <w:pPr>
        <w:pStyle w:val="ListParagraph"/>
        <w:numPr>
          <w:ilvl w:val="0"/>
          <w:numId w:val="47"/>
        </w:numPr>
        <w:rPr>
          <w:rFonts w:cs="Arial"/>
          <w:bCs/>
        </w:rPr>
      </w:pPr>
      <w:r>
        <w:rPr>
          <w:rFonts w:cs="Arial"/>
          <w:bCs/>
        </w:rPr>
        <w:t>s</w:t>
      </w:r>
      <w:r w:rsidRPr="006832C0">
        <w:rPr>
          <w:rFonts w:cs="Arial"/>
          <w:bCs/>
        </w:rPr>
        <w:t xml:space="preserve">ubmersible </w:t>
      </w:r>
      <w:r w:rsidR="004741A2" w:rsidRPr="006832C0">
        <w:rPr>
          <w:rFonts w:cs="Arial"/>
          <w:bCs/>
        </w:rPr>
        <w:t>to 20</w:t>
      </w:r>
      <w:r>
        <w:rPr>
          <w:rFonts w:cs="Arial"/>
          <w:bCs/>
        </w:rPr>
        <w:t>-</w:t>
      </w:r>
      <w:r w:rsidR="004741A2" w:rsidRPr="006832C0">
        <w:rPr>
          <w:rFonts w:cs="Arial"/>
          <w:bCs/>
        </w:rPr>
        <w:t>m</w:t>
      </w:r>
      <w:r>
        <w:rPr>
          <w:rFonts w:cs="Arial"/>
          <w:bCs/>
        </w:rPr>
        <w:t>etre</w:t>
      </w:r>
      <w:r w:rsidR="004741A2" w:rsidRPr="006832C0">
        <w:rPr>
          <w:rFonts w:cs="Arial"/>
          <w:bCs/>
        </w:rPr>
        <w:t xml:space="preserve"> water depth</w:t>
      </w:r>
    </w:p>
    <w:p w14:paraId="78E7A0C6" w14:textId="7419314F" w:rsidR="004741A2" w:rsidRPr="006832C0" w:rsidRDefault="004741A2" w:rsidP="006C7E99">
      <w:pPr>
        <w:pStyle w:val="ListParagraph"/>
        <w:numPr>
          <w:ilvl w:val="0"/>
          <w:numId w:val="47"/>
        </w:numPr>
        <w:rPr>
          <w:rFonts w:cs="Arial"/>
          <w:bCs/>
        </w:rPr>
      </w:pPr>
      <w:r w:rsidRPr="006832C0">
        <w:rPr>
          <w:rFonts w:cs="Arial"/>
          <w:bCs/>
        </w:rPr>
        <w:t>64</w:t>
      </w:r>
      <w:r w:rsidR="006C704D">
        <w:rPr>
          <w:rFonts w:cs="Arial"/>
          <w:bCs/>
        </w:rPr>
        <w:t xml:space="preserve"> </w:t>
      </w:r>
      <w:r w:rsidRPr="006832C0">
        <w:rPr>
          <w:rFonts w:cs="Arial"/>
          <w:bCs/>
        </w:rPr>
        <w:t>k memory.</w:t>
      </w:r>
    </w:p>
    <w:p w14:paraId="690FC8FC" w14:textId="209F27DC" w:rsidR="00531525" w:rsidRPr="0058370B" w:rsidRDefault="00531525" w:rsidP="00FE2F59">
      <w:pPr>
        <w:rPr>
          <w:rFonts w:cs="Arial"/>
          <w:b/>
        </w:rPr>
      </w:pPr>
    </w:p>
    <w:p w14:paraId="1D9E4B88" w14:textId="6B6D96C6" w:rsidR="001C1BFA" w:rsidRDefault="001C1BFA" w:rsidP="007E5A3A">
      <w:pPr>
        <w:pStyle w:val="Caption"/>
      </w:pPr>
      <w:bookmarkStart w:id="492" w:name="_Ref433716131"/>
      <w:bookmarkStart w:id="493" w:name="_Toc10398454"/>
      <w:r w:rsidRPr="00F529DD">
        <w:t xml:space="preserve">Table </w:t>
      </w:r>
      <w:r w:rsidR="006940F4">
        <w:rPr>
          <w:noProof/>
        </w:rPr>
        <w:fldChar w:fldCharType="begin"/>
      </w:r>
      <w:r w:rsidR="006940F4">
        <w:rPr>
          <w:noProof/>
        </w:rPr>
        <w:instrText xml:space="preserve"> STYLEREF 1 \s </w:instrText>
      </w:r>
      <w:r w:rsidR="006940F4">
        <w:rPr>
          <w:noProof/>
        </w:rPr>
        <w:fldChar w:fldCharType="separate"/>
      </w:r>
      <w:r w:rsidR="00D528AA">
        <w:rPr>
          <w:noProof/>
        </w:rPr>
        <w:t>6</w:t>
      </w:r>
      <w:r w:rsidR="006940F4">
        <w:rPr>
          <w:noProof/>
        </w:rPr>
        <w:fldChar w:fldCharType="end"/>
      </w:r>
      <w:r w:rsidR="00917941">
        <w:t>.</w:t>
      </w:r>
      <w:r w:rsidR="006940F4">
        <w:rPr>
          <w:noProof/>
        </w:rPr>
        <w:fldChar w:fldCharType="begin"/>
      </w:r>
      <w:r w:rsidR="006940F4">
        <w:rPr>
          <w:noProof/>
        </w:rPr>
        <w:instrText xml:space="preserve"> SEQ Table \* ARABIC \s 1 </w:instrText>
      </w:r>
      <w:r w:rsidR="006940F4">
        <w:rPr>
          <w:noProof/>
        </w:rPr>
        <w:fldChar w:fldCharType="separate"/>
      </w:r>
      <w:r w:rsidR="00D528AA">
        <w:rPr>
          <w:noProof/>
        </w:rPr>
        <w:t>3</w:t>
      </w:r>
      <w:r w:rsidR="006940F4">
        <w:rPr>
          <w:noProof/>
        </w:rPr>
        <w:fldChar w:fldCharType="end"/>
      </w:r>
      <w:bookmarkEnd w:id="492"/>
      <w:r w:rsidRPr="00F529DD">
        <w:t xml:space="preserve"> </w:t>
      </w:r>
      <w:r w:rsidRPr="009B6881">
        <w:t>Monitoring sites selected for light logger data collection</w:t>
      </w:r>
      <w:bookmarkEnd w:id="493"/>
      <w:r w:rsidRPr="009B6881">
        <w:t xml:space="preserve"> </w:t>
      </w:r>
    </w:p>
    <w:tbl>
      <w:tblPr>
        <w:tblW w:w="9416"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Look w:val="0000" w:firstRow="0" w:lastRow="0" w:firstColumn="0" w:lastColumn="0" w:noHBand="0" w:noVBand="0"/>
        <w:tblCaption w:val="Table 6.2 "/>
        <w:tblDescription w:val="Monitoring sites selected for light logger data collection in the Marine Monitoring Program"/>
      </w:tblPr>
      <w:tblGrid>
        <w:gridCol w:w="1242"/>
        <w:gridCol w:w="1560"/>
        <w:gridCol w:w="1546"/>
        <w:gridCol w:w="1559"/>
        <w:gridCol w:w="660"/>
        <w:gridCol w:w="1183"/>
        <w:gridCol w:w="674"/>
        <w:gridCol w:w="992"/>
      </w:tblGrid>
      <w:tr w:rsidR="001D21AE" w:rsidRPr="00C00762" w14:paraId="24B3E7A4" w14:textId="77777777" w:rsidTr="00386ADA">
        <w:trPr>
          <w:cantSplit/>
          <w:trHeight w:val="251"/>
          <w:tblHeader/>
        </w:trPr>
        <w:tc>
          <w:tcPr>
            <w:tcW w:w="1242" w:type="dxa"/>
            <w:shd w:val="clear" w:color="auto" w:fill="D9D9D9"/>
            <w:vAlign w:val="center"/>
          </w:tcPr>
          <w:p w14:paraId="52393C03" w14:textId="77777777" w:rsidR="001D21AE" w:rsidRPr="00C00762" w:rsidRDefault="001D21AE" w:rsidP="00386ADA">
            <w:pPr>
              <w:autoSpaceDE w:val="0"/>
              <w:autoSpaceDN w:val="0"/>
              <w:adjustRightInd w:val="0"/>
              <w:spacing w:before="0" w:after="0" w:line="240" w:lineRule="auto"/>
              <w:contextualSpacing/>
              <w:rPr>
                <w:rFonts w:cs="Arial"/>
                <w:b/>
                <w:sz w:val="20"/>
                <w:szCs w:val="20"/>
              </w:rPr>
            </w:pPr>
            <w:r w:rsidRPr="00C00762">
              <w:rPr>
                <w:rFonts w:cs="Arial"/>
                <w:b/>
                <w:sz w:val="20"/>
                <w:szCs w:val="20"/>
              </w:rPr>
              <w:t>Region</w:t>
            </w:r>
          </w:p>
        </w:tc>
        <w:tc>
          <w:tcPr>
            <w:tcW w:w="1560" w:type="dxa"/>
            <w:shd w:val="clear" w:color="auto" w:fill="D9D9D9"/>
            <w:vAlign w:val="center"/>
          </w:tcPr>
          <w:p w14:paraId="78C02E48" w14:textId="77777777" w:rsidR="001D21AE" w:rsidRPr="00C00762" w:rsidRDefault="001D21AE" w:rsidP="00386ADA">
            <w:pPr>
              <w:autoSpaceDE w:val="0"/>
              <w:autoSpaceDN w:val="0"/>
              <w:adjustRightInd w:val="0"/>
              <w:spacing w:before="0" w:after="0" w:line="240" w:lineRule="auto"/>
              <w:contextualSpacing/>
              <w:rPr>
                <w:rFonts w:cs="Arial"/>
                <w:b/>
                <w:sz w:val="20"/>
                <w:szCs w:val="20"/>
              </w:rPr>
            </w:pPr>
            <w:r>
              <w:rPr>
                <w:rFonts w:cs="Arial"/>
                <w:b/>
                <w:sz w:val="20"/>
                <w:szCs w:val="20"/>
              </w:rPr>
              <w:t>Basin</w:t>
            </w:r>
          </w:p>
        </w:tc>
        <w:tc>
          <w:tcPr>
            <w:tcW w:w="1546" w:type="dxa"/>
            <w:shd w:val="clear" w:color="auto" w:fill="D9D9D9"/>
            <w:vAlign w:val="center"/>
          </w:tcPr>
          <w:p w14:paraId="7FBC6F45" w14:textId="77777777" w:rsidR="001D21AE" w:rsidRPr="00C00762" w:rsidRDefault="001D21AE" w:rsidP="00386ADA">
            <w:pPr>
              <w:autoSpaceDE w:val="0"/>
              <w:autoSpaceDN w:val="0"/>
              <w:adjustRightInd w:val="0"/>
              <w:spacing w:before="0" w:after="0" w:line="240" w:lineRule="auto"/>
              <w:contextualSpacing/>
              <w:rPr>
                <w:rFonts w:cs="Arial"/>
                <w:b/>
                <w:sz w:val="20"/>
                <w:szCs w:val="20"/>
              </w:rPr>
            </w:pPr>
            <w:r>
              <w:rPr>
                <w:rFonts w:cs="Arial"/>
                <w:b/>
                <w:sz w:val="20"/>
                <w:szCs w:val="20"/>
              </w:rPr>
              <w:t>Water body</w:t>
            </w:r>
          </w:p>
        </w:tc>
        <w:tc>
          <w:tcPr>
            <w:tcW w:w="1559" w:type="dxa"/>
            <w:shd w:val="clear" w:color="auto" w:fill="D9D9D9"/>
            <w:noWrap/>
            <w:vAlign w:val="center"/>
          </w:tcPr>
          <w:p w14:paraId="7B05B8A7" w14:textId="77777777" w:rsidR="001D21AE" w:rsidRPr="00C00762" w:rsidRDefault="001D21AE" w:rsidP="00386ADA">
            <w:pPr>
              <w:autoSpaceDE w:val="0"/>
              <w:autoSpaceDN w:val="0"/>
              <w:adjustRightInd w:val="0"/>
              <w:spacing w:before="0" w:after="0" w:line="240" w:lineRule="auto"/>
              <w:contextualSpacing/>
              <w:rPr>
                <w:rFonts w:cs="Arial"/>
                <w:b/>
                <w:sz w:val="20"/>
                <w:szCs w:val="20"/>
              </w:rPr>
            </w:pPr>
            <w:r w:rsidRPr="00C00762">
              <w:rPr>
                <w:rFonts w:cs="Arial"/>
                <w:b/>
                <w:sz w:val="20"/>
                <w:szCs w:val="20"/>
              </w:rPr>
              <w:t>Site</w:t>
            </w:r>
          </w:p>
        </w:tc>
        <w:tc>
          <w:tcPr>
            <w:tcW w:w="1843" w:type="dxa"/>
            <w:gridSpan w:val="2"/>
            <w:shd w:val="clear" w:color="auto" w:fill="D9D9D9"/>
            <w:noWrap/>
            <w:vAlign w:val="center"/>
          </w:tcPr>
          <w:p w14:paraId="2589D1FC" w14:textId="77777777" w:rsidR="001D21AE" w:rsidRPr="00C00762" w:rsidRDefault="001D21AE" w:rsidP="00386ADA">
            <w:pPr>
              <w:autoSpaceDE w:val="0"/>
              <w:autoSpaceDN w:val="0"/>
              <w:adjustRightInd w:val="0"/>
              <w:spacing w:before="0" w:after="0" w:line="240" w:lineRule="auto"/>
              <w:contextualSpacing/>
              <w:rPr>
                <w:rFonts w:cs="Arial"/>
                <w:b/>
                <w:sz w:val="20"/>
                <w:szCs w:val="20"/>
              </w:rPr>
            </w:pPr>
            <w:r w:rsidRPr="00C00762">
              <w:rPr>
                <w:rFonts w:cs="Arial"/>
                <w:b/>
                <w:sz w:val="20"/>
                <w:szCs w:val="20"/>
              </w:rPr>
              <w:t>Latitude</w:t>
            </w:r>
          </w:p>
        </w:tc>
        <w:tc>
          <w:tcPr>
            <w:tcW w:w="1666" w:type="dxa"/>
            <w:gridSpan w:val="2"/>
            <w:shd w:val="clear" w:color="auto" w:fill="D9D9D9"/>
            <w:noWrap/>
            <w:vAlign w:val="center"/>
          </w:tcPr>
          <w:p w14:paraId="33497901" w14:textId="77777777" w:rsidR="001D21AE" w:rsidRPr="00C00762" w:rsidRDefault="001D21AE" w:rsidP="00386ADA">
            <w:pPr>
              <w:autoSpaceDE w:val="0"/>
              <w:autoSpaceDN w:val="0"/>
              <w:adjustRightInd w:val="0"/>
              <w:spacing w:before="0" w:after="0" w:line="240" w:lineRule="auto"/>
              <w:contextualSpacing/>
              <w:rPr>
                <w:rFonts w:cs="Arial"/>
                <w:b/>
                <w:sz w:val="20"/>
                <w:szCs w:val="20"/>
              </w:rPr>
            </w:pPr>
            <w:r w:rsidRPr="00C00762">
              <w:rPr>
                <w:rFonts w:cs="Arial"/>
                <w:b/>
                <w:sz w:val="20"/>
                <w:szCs w:val="20"/>
              </w:rPr>
              <w:t>Longitude</w:t>
            </w:r>
          </w:p>
        </w:tc>
      </w:tr>
      <w:tr w:rsidR="001D21AE" w:rsidRPr="00C00762" w14:paraId="1A21B4E2" w14:textId="77777777" w:rsidTr="00386ADA">
        <w:trPr>
          <w:cantSplit/>
          <w:trHeight w:val="251"/>
        </w:trPr>
        <w:tc>
          <w:tcPr>
            <w:tcW w:w="1242" w:type="dxa"/>
            <w:vMerge w:val="restart"/>
            <w:vAlign w:val="center"/>
          </w:tcPr>
          <w:p w14:paraId="24CA54F9"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Pr>
                <w:rFonts w:cs="Arial"/>
                <w:sz w:val="20"/>
                <w:szCs w:val="20"/>
              </w:rPr>
              <w:t>Cape York</w:t>
            </w:r>
          </w:p>
        </w:tc>
        <w:tc>
          <w:tcPr>
            <w:tcW w:w="1560" w:type="dxa"/>
            <w:vMerge w:val="restart"/>
            <w:vAlign w:val="center"/>
          </w:tcPr>
          <w:p w14:paraId="012A987F"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703F47">
              <w:rPr>
                <w:rFonts w:cs="Arial"/>
                <w:sz w:val="20"/>
                <w:szCs w:val="20"/>
              </w:rPr>
              <w:t>Jacky Jacky / Olive-Pascoe</w:t>
            </w:r>
          </w:p>
        </w:tc>
        <w:tc>
          <w:tcPr>
            <w:tcW w:w="1546" w:type="dxa"/>
            <w:vAlign w:val="center"/>
          </w:tcPr>
          <w:p w14:paraId="5A28F0EA"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703F47">
              <w:rPr>
                <w:rFonts w:cs="Arial"/>
                <w:sz w:val="20"/>
                <w:szCs w:val="20"/>
              </w:rPr>
              <w:t>Enclosed Coastal</w:t>
            </w:r>
            <w:r>
              <w:rPr>
                <w:rFonts w:cs="Arial"/>
                <w:sz w:val="20"/>
                <w:szCs w:val="20"/>
              </w:rPr>
              <w:t xml:space="preserve"> intertidal</w:t>
            </w:r>
          </w:p>
        </w:tc>
        <w:tc>
          <w:tcPr>
            <w:tcW w:w="1559" w:type="dxa"/>
            <w:noWrap/>
            <w:vAlign w:val="center"/>
          </w:tcPr>
          <w:p w14:paraId="6FAF245C"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Shelburne Bay</w:t>
            </w:r>
          </w:p>
        </w:tc>
        <w:tc>
          <w:tcPr>
            <w:tcW w:w="660" w:type="dxa"/>
            <w:noWrap/>
            <w:vAlign w:val="center"/>
          </w:tcPr>
          <w:p w14:paraId="2D12E38C"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11°</w:t>
            </w:r>
          </w:p>
        </w:tc>
        <w:tc>
          <w:tcPr>
            <w:tcW w:w="1183" w:type="dxa"/>
            <w:noWrap/>
            <w:vAlign w:val="center"/>
          </w:tcPr>
          <w:p w14:paraId="48B02ABB"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53.251</w:t>
            </w:r>
          </w:p>
        </w:tc>
        <w:tc>
          <w:tcPr>
            <w:tcW w:w="674" w:type="dxa"/>
            <w:noWrap/>
            <w:vAlign w:val="center"/>
          </w:tcPr>
          <w:p w14:paraId="29641C9B"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142°</w:t>
            </w:r>
          </w:p>
        </w:tc>
        <w:tc>
          <w:tcPr>
            <w:tcW w:w="992" w:type="dxa"/>
            <w:noWrap/>
            <w:vAlign w:val="center"/>
          </w:tcPr>
          <w:p w14:paraId="00AA2387"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54.938</w:t>
            </w:r>
          </w:p>
        </w:tc>
      </w:tr>
      <w:tr w:rsidR="001D21AE" w:rsidRPr="00C00762" w14:paraId="44837775" w14:textId="77777777" w:rsidTr="00386ADA">
        <w:trPr>
          <w:cantSplit/>
          <w:trHeight w:val="251"/>
        </w:trPr>
        <w:tc>
          <w:tcPr>
            <w:tcW w:w="1242" w:type="dxa"/>
            <w:vMerge/>
            <w:vAlign w:val="center"/>
          </w:tcPr>
          <w:p w14:paraId="1A24F67B"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p>
        </w:tc>
        <w:tc>
          <w:tcPr>
            <w:tcW w:w="1560" w:type="dxa"/>
            <w:vMerge/>
            <w:vAlign w:val="center"/>
          </w:tcPr>
          <w:p w14:paraId="17108A64"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p>
        </w:tc>
        <w:tc>
          <w:tcPr>
            <w:tcW w:w="1546" w:type="dxa"/>
            <w:vAlign w:val="center"/>
          </w:tcPr>
          <w:p w14:paraId="7099D4E9"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Midshelf</w:t>
            </w:r>
            <w:r w:rsidRPr="00C00762">
              <w:rPr>
                <w:rFonts w:cs="Arial"/>
                <w:sz w:val="20"/>
                <w:szCs w:val="20"/>
              </w:rPr>
              <w:t xml:space="preserve"> intertidal</w:t>
            </w:r>
          </w:p>
        </w:tc>
        <w:tc>
          <w:tcPr>
            <w:tcW w:w="1559" w:type="dxa"/>
            <w:noWrap/>
            <w:vAlign w:val="center"/>
          </w:tcPr>
          <w:p w14:paraId="5889E824"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Piper Reef</w:t>
            </w:r>
          </w:p>
        </w:tc>
        <w:tc>
          <w:tcPr>
            <w:tcW w:w="660" w:type="dxa"/>
            <w:noWrap/>
            <w:vAlign w:val="center"/>
          </w:tcPr>
          <w:p w14:paraId="3D9B881E"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12°</w:t>
            </w:r>
          </w:p>
        </w:tc>
        <w:tc>
          <w:tcPr>
            <w:tcW w:w="1183" w:type="dxa"/>
            <w:noWrap/>
            <w:vAlign w:val="center"/>
          </w:tcPr>
          <w:p w14:paraId="12C1B4FA"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15.352</w:t>
            </w:r>
          </w:p>
        </w:tc>
        <w:tc>
          <w:tcPr>
            <w:tcW w:w="674" w:type="dxa"/>
            <w:noWrap/>
            <w:vAlign w:val="center"/>
          </w:tcPr>
          <w:p w14:paraId="2C4898A3"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143°</w:t>
            </w:r>
          </w:p>
        </w:tc>
        <w:tc>
          <w:tcPr>
            <w:tcW w:w="992" w:type="dxa"/>
            <w:noWrap/>
            <w:vAlign w:val="center"/>
          </w:tcPr>
          <w:p w14:paraId="7814796E"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14.020</w:t>
            </w:r>
          </w:p>
        </w:tc>
      </w:tr>
      <w:tr w:rsidR="001D21AE" w:rsidRPr="00C00762" w14:paraId="72E9C031" w14:textId="77777777" w:rsidTr="00386ADA">
        <w:trPr>
          <w:cantSplit/>
          <w:trHeight w:val="323"/>
        </w:trPr>
        <w:tc>
          <w:tcPr>
            <w:tcW w:w="1242" w:type="dxa"/>
            <w:vMerge/>
            <w:vAlign w:val="center"/>
          </w:tcPr>
          <w:p w14:paraId="028A9F25"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p>
        </w:tc>
        <w:tc>
          <w:tcPr>
            <w:tcW w:w="1560" w:type="dxa"/>
            <w:vMerge w:val="restart"/>
            <w:vAlign w:val="center"/>
          </w:tcPr>
          <w:p w14:paraId="1B08078A"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Normanby</w:t>
            </w:r>
            <w:r>
              <w:rPr>
                <w:rFonts w:cs="Arial"/>
                <w:sz w:val="20"/>
                <w:szCs w:val="20"/>
              </w:rPr>
              <w:t xml:space="preserve"> </w:t>
            </w:r>
            <w:r w:rsidRPr="00703F47">
              <w:rPr>
                <w:rFonts w:cs="Arial"/>
                <w:sz w:val="20"/>
                <w:szCs w:val="20"/>
              </w:rPr>
              <w:t>/ Jeannie</w:t>
            </w:r>
          </w:p>
        </w:tc>
        <w:tc>
          <w:tcPr>
            <w:tcW w:w="1546" w:type="dxa"/>
            <w:vMerge w:val="restart"/>
            <w:vAlign w:val="center"/>
          </w:tcPr>
          <w:p w14:paraId="1E15FC59"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Open coastal</w:t>
            </w:r>
            <w:r w:rsidRPr="00C00762">
              <w:rPr>
                <w:rFonts w:cs="Arial"/>
                <w:sz w:val="20"/>
                <w:szCs w:val="20"/>
              </w:rPr>
              <w:t xml:space="preserve"> intertidal</w:t>
            </w:r>
          </w:p>
        </w:tc>
        <w:tc>
          <w:tcPr>
            <w:tcW w:w="1559" w:type="dxa"/>
            <w:noWrap/>
            <w:vAlign w:val="center"/>
          </w:tcPr>
          <w:p w14:paraId="4C7EAA30"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Stanley Island</w:t>
            </w:r>
          </w:p>
        </w:tc>
        <w:tc>
          <w:tcPr>
            <w:tcW w:w="660" w:type="dxa"/>
            <w:noWrap/>
            <w:vAlign w:val="center"/>
          </w:tcPr>
          <w:p w14:paraId="3253D4B2"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w:t>
            </w:r>
          </w:p>
        </w:tc>
        <w:tc>
          <w:tcPr>
            <w:tcW w:w="1183" w:type="dxa"/>
            <w:noWrap/>
            <w:vAlign w:val="center"/>
          </w:tcPr>
          <w:p w14:paraId="551381A9"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8.576</w:t>
            </w:r>
          </w:p>
        </w:tc>
        <w:tc>
          <w:tcPr>
            <w:tcW w:w="674" w:type="dxa"/>
            <w:noWrap/>
            <w:vAlign w:val="center"/>
          </w:tcPr>
          <w:p w14:paraId="686217CB"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144°</w:t>
            </w:r>
          </w:p>
        </w:tc>
        <w:tc>
          <w:tcPr>
            <w:tcW w:w="992" w:type="dxa"/>
            <w:noWrap/>
            <w:vAlign w:val="center"/>
          </w:tcPr>
          <w:p w14:paraId="1637BA10"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14.680</w:t>
            </w:r>
          </w:p>
        </w:tc>
      </w:tr>
      <w:tr w:rsidR="001D21AE" w:rsidRPr="00C00762" w14:paraId="237AD744" w14:textId="77777777" w:rsidTr="00386ADA">
        <w:trPr>
          <w:cantSplit/>
          <w:trHeight w:val="251"/>
        </w:trPr>
        <w:tc>
          <w:tcPr>
            <w:tcW w:w="1242" w:type="dxa"/>
            <w:vMerge/>
            <w:vAlign w:val="center"/>
          </w:tcPr>
          <w:p w14:paraId="0C7F037A"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p>
        </w:tc>
        <w:tc>
          <w:tcPr>
            <w:tcW w:w="1560" w:type="dxa"/>
            <w:vMerge/>
            <w:vAlign w:val="center"/>
          </w:tcPr>
          <w:p w14:paraId="7FB5138B"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p>
        </w:tc>
        <w:tc>
          <w:tcPr>
            <w:tcW w:w="1546" w:type="dxa"/>
            <w:vMerge/>
            <w:vAlign w:val="center"/>
          </w:tcPr>
          <w:p w14:paraId="60BBAC7C"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59" w:type="dxa"/>
            <w:noWrap/>
            <w:vAlign w:val="center"/>
          </w:tcPr>
          <w:p w14:paraId="1AD50DF4"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Bathurst Bay</w:t>
            </w:r>
          </w:p>
        </w:tc>
        <w:tc>
          <w:tcPr>
            <w:tcW w:w="660" w:type="dxa"/>
            <w:noWrap/>
            <w:vAlign w:val="center"/>
          </w:tcPr>
          <w:p w14:paraId="7A851B9C"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w:t>
            </w:r>
          </w:p>
        </w:tc>
        <w:tc>
          <w:tcPr>
            <w:tcW w:w="1183" w:type="dxa"/>
            <w:noWrap/>
            <w:vAlign w:val="center"/>
          </w:tcPr>
          <w:p w14:paraId="5F8124EF"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16.062</w:t>
            </w:r>
          </w:p>
        </w:tc>
        <w:tc>
          <w:tcPr>
            <w:tcW w:w="674" w:type="dxa"/>
            <w:noWrap/>
            <w:vAlign w:val="center"/>
          </w:tcPr>
          <w:p w14:paraId="7872C900"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144°</w:t>
            </w:r>
          </w:p>
        </w:tc>
        <w:tc>
          <w:tcPr>
            <w:tcW w:w="992" w:type="dxa"/>
            <w:noWrap/>
            <w:vAlign w:val="center"/>
          </w:tcPr>
          <w:p w14:paraId="6695FF95"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13.896</w:t>
            </w:r>
          </w:p>
        </w:tc>
      </w:tr>
      <w:tr w:rsidR="001D21AE" w:rsidRPr="00C00762" w14:paraId="24919B76" w14:textId="77777777" w:rsidTr="00386ADA">
        <w:trPr>
          <w:cantSplit/>
          <w:trHeight w:val="251"/>
        </w:trPr>
        <w:tc>
          <w:tcPr>
            <w:tcW w:w="1242" w:type="dxa"/>
            <w:vMerge/>
            <w:vAlign w:val="center"/>
          </w:tcPr>
          <w:p w14:paraId="3AA100E7"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p>
        </w:tc>
        <w:tc>
          <w:tcPr>
            <w:tcW w:w="1560" w:type="dxa"/>
            <w:vAlign w:val="center"/>
          </w:tcPr>
          <w:p w14:paraId="4DAC7668"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703F47">
              <w:rPr>
                <w:rFonts w:cs="Arial"/>
                <w:sz w:val="20"/>
                <w:szCs w:val="20"/>
              </w:rPr>
              <w:t>Endeavour</w:t>
            </w:r>
          </w:p>
        </w:tc>
        <w:tc>
          <w:tcPr>
            <w:tcW w:w="1546" w:type="dxa"/>
            <w:vAlign w:val="center"/>
          </w:tcPr>
          <w:p w14:paraId="6C476179"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703F47">
              <w:rPr>
                <w:rFonts w:cs="Arial"/>
                <w:sz w:val="20"/>
                <w:szCs w:val="20"/>
              </w:rPr>
              <w:t>Enclosed Coastal</w:t>
            </w:r>
            <w:r>
              <w:rPr>
                <w:rFonts w:cs="Arial"/>
                <w:sz w:val="20"/>
                <w:szCs w:val="20"/>
              </w:rPr>
              <w:t xml:space="preserve"> intertidal</w:t>
            </w:r>
          </w:p>
        </w:tc>
        <w:tc>
          <w:tcPr>
            <w:tcW w:w="1559" w:type="dxa"/>
            <w:noWrap/>
            <w:vAlign w:val="center"/>
          </w:tcPr>
          <w:p w14:paraId="09735C2A"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Pr>
                <w:rFonts w:cs="Arial"/>
                <w:sz w:val="20"/>
                <w:szCs w:val="20"/>
              </w:rPr>
              <w:t>Archer Point</w:t>
            </w:r>
          </w:p>
        </w:tc>
        <w:tc>
          <w:tcPr>
            <w:tcW w:w="660" w:type="dxa"/>
            <w:noWrap/>
            <w:vAlign w:val="center"/>
          </w:tcPr>
          <w:p w14:paraId="29A37ED1" w14:textId="77777777" w:rsidR="001D21AE" w:rsidRPr="00703F47" w:rsidRDefault="001D21AE" w:rsidP="00386ADA">
            <w:pPr>
              <w:autoSpaceDE w:val="0"/>
              <w:autoSpaceDN w:val="0"/>
              <w:adjustRightInd w:val="0"/>
              <w:spacing w:before="0" w:after="0" w:line="240" w:lineRule="auto"/>
              <w:contextualSpacing/>
              <w:jc w:val="center"/>
              <w:rPr>
                <w:rFonts w:cs="Arial"/>
                <w:sz w:val="20"/>
                <w:szCs w:val="20"/>
              </w:rPr>
            </w:pPr>
            <w:r w:rsidRPr="00CB5AB9">
              <w:rPr>
                <w:sz w:val="20"/>
                <w:szCs w:val="20"/>
              </w:rPr>
              <w:t>15°</w:t>
            </w:r>
          </w:p>
        </w:tc>
        <w:tc>
          <w:tcPr>
            <w:tcW w:w="1183" w:type="dxa"/>
            <w:noWrap/>
            <w:vAlign w:val="center"/>
          </w:tcPr>
          <w:p w14:paraId="0044DD50" w14:textId="77777777" w:rsidR="001D21AE" w:rsidRPr="00703F47" w:rsidRDefault="001D21AE" w:rsidP="00386ADA">
            <w:pPr>
              <w:autoSpaceDE w:val="0"/>
              <w:autoSpaceDN w:val="0"/>
              <w:adjustRightInd w:val="0"/>
              <w:spacing w:before="0" w:after="0" w:line="240" w:lineRule="auto"/>
              <w:contextualSpacing/>
              <w:jc w:val="center"/>
              <w:rPr>
                <w:rFonts w:cs="Arial"/>
                <w:sz w:val="20"/>
                <w:szCs w:val="20"/>
              </w:rPr>
            </w:pPr>
            <w:r w:rsidRPr="00CB5AB9">
              <w:rPr>
                <w:sz w:val="20"/>
                <w:szCs w:val="20"/>
              </w:rPr>
              <w:t>36.525</w:t>
            </w:r>
          </w:p>
        </w:tc>
        <w:tc>
          <w:tcPr>
            <w:tcW w:w="674" w:type="dxa"/>
            <w:noWrap/>
            <w:vAlign w:val="center"/>
          </w:tcPr>
          <w:p w14:paraId="6CEB012E" w14:textId="77777777" w:rsidR="001D21AE" w:rsidRPr="00703F47" w:rsidRDefault="001D21AE" w:rsidP="00386ADA">
            <w:pPr>
              <w:autoSpaceDE w:val="0"/>
              <w:autoSpaceDN w:val="0"/>
              <w:adjustRightInd w:val="0"/>
              <w:spacing w:before="0" w:after="0" w:line="240" w:lineRule="auto"/>
              <w:contextualSpacing/>
              <w:jc w:val="center"/>
              <w:rPr>
                <w:rFonts w:cs="Arial"/>
                <w:sz w:val="20"/>
                <w:szCs w:val="20"/>
              </w:rPr>
            </w:pPr>
            <w:r w:rsidRPr="00CB5AB9">
              <w:rPr>
                <w:sz w:val="20"/>
                <w:szCs w:val="20"/>
              </w:rPr>
              <w:t>145°</w:t>
            </w:r>
          </w:p>
        </w:tc>
        <w:tc>
          <w:tcPr>
            <w:tcW w:w="992" w:type="dxa"/>
            <w:noWrap/>
            <w:vAlign w:val="center"/>
          </w:tcPr>
          <w:p w14:paraId="0E99279E" w14:textId="77777777" w:rsidR="001D21AE" w:rsidRPr="00703F47" w:rsidRDefault="001D21AE" w:rsidP="00386ADA">
            <w:pPr>
              <w:autoSpaceDE w:val="0"/>
              <w:autoSpaceDN w:val="0"/>
              <w:adjustRightInd w:val="0"/>
              <w:spacing w:before="0" w:after="0" w:line="240" w:lineRule="auto"/>
              <w:contextualSpacing/>
              <w:jc w:val="center"/>
              <w:rPr>
                <w:rFonts w:cs="Arial"/>
                <w:sz w:val="20"/>
                <w:szCs w:val="20"/>
              </w:rPr>
            </w:pPr>
            <w:r w:rsidRPr="00CB5AB9">
              <w:rPr>
                <w:sz w:val="20"/>
                <w:szCs w:val="20"/>
              </w:rPr>
              <w:t>19.108</w:t>
            </w:r>
          </w:p>
        </w:tc>
      </w:tr>
      <w:tr w:rsidR="001D21AE" w:rsidRPr="00C00762" w14:paraId="2690C0A0" w14:textId="77777777" w:rsidTr="00386ADA">
        <w:trPr>
          <w:cantSplit/>
          <w:trHeight w:val="251"/>
        </w:trPr>
        <w:tc>
          <w:tcPr>
            <w:tcW w:w="1242" w:type="dxa"/>
            <w:vMerge w:val="restart"/>
            <w:vAlign w:val="center"/>
          </w:tcPr>
          <w:p w14:paraId="0105C727"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North</w:t>
            </w:r>
          </w:p>
        </w:tc>
        <w:tc>
          <w:tcPr>
            <w:tcW w:w="1560" w:type="dxa"/>
            <w:vAlign w:val="center"/>
          </w:tcPr>
          <w:p w14:paraId="55B5C90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Daintree</w:t>
            </w:r>
          </w:p>
        </w:tc>
        <w:tc>
          <w:tcPr>
            <w:tcW w:w="1546" w:type="dxa"/>
            <w:vAlign w:val="center"/>
          </w:tcPr>
          <w:p w14:paraId="39ED2127"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Midshelf</w:t>
            </w:r>
            <w:r w:rsidRPr="00C00762">
              <w:rPr>
                <w:rFonts w:cs="Arial"/>
                <w:sz w:val="20"/>
                <w:szCs w:val="20"/>
              </w:rPr>
              <w:t xml:space="preserve"> intertidal &amp; subtidal</w:t>
            </w:r>
          </w:p>
        </w:tc>
        <w:tc>
          <w:tcPr>
            <w:tcW w:w="1559" w:type="dxa"/>
            <w:noWrap/>
            <w:vAlign w:val="center"/>
          </w:tcPr>
          <w:p w14:paraId="591DA8C9"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Low Isles</w:t>
            </w:r>
          </w:p>
        </w:tc>
        <w:tc>
          <w:tcPr>
            <w:tcW w:w="660" w:type="dxa"/>
            <w:noWrap/>
            <w:vAlign w:val="center"/>
          </w:tcPr>
          <w:p w14:paraId="61E11C2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16°</w:t>
            </w:r>
          </w:p>
        </w:tc>
        <w:tc>
          <w:tcPr>
            <w:tcW w:w="1183" w:type="dxa"/>
            <w:noWrap/>
            <w:vAlign w:val="center"/>
          </w:tcPr>
          <w:p w14:paraId="14011A86"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23.11</w:t>
            </w:r>
          </w:p>
        </w:tc>
        <w:tc>
          <w:tcPr>
            <w:tcW w:w="674" w:type="dxa"/>
            <w:noWrap/>
            <w:vAlign w:val="center"/>
          </w:tcPr>
          <w:p w14:paraId="096335D0"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145°</w:t>
            </w:r>
          </w:p>
        </w:tc>
        <w:tc>
          <w:tcPr>
            <w:tcW w:w="992" w:type="dxa"/>
            <w:noWrap/>
            <w:vAlign w:val="center"/>
          </w:tcPr>
          <w:p w14:paraId="3E1429B4"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33.88</w:t>
            </w:r>
          </w:p>
        </w:tc>
      </w:tr>
      <w:tr w:rsidR="001D21AE" w:rsidRPr="00C00762" w14:paraId="5A1DC6BB" w14:textId="77777777" w:rsidTr="00386ADA">
        <w:trPr>
          <w:cantSplit/>
          <w:trHeight w:val="251"/>
        </w:trPr>
        <w:tc>
          <w:tcPr>
            <w:tcW w:w="1242" w:type="dxa"/>
            <w:vMerge/>
            <w:vAlign w:val="center"/>
          </w:tcPr>
          <w:p w14:paraId="1A3A72A0"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Merge w:val="restart"/>
            <w:vAlign w:val="center"/>
          </w:tcPr>
          <w:p w14:paraId="4F4C15F4"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567B5D">
              <w:rPr>
                <w:rFonts w:cs="Arial"/>
                <w:sz w:val="20"/>
                <w:szCs w:val="20"/>
              </w:rPr>
              <w:t>Mossman /</w:t>
            </w:r>
            <w:r>
              <w:rPr>
                <w:rFonts w:cs="Arial"/>
                <w:sz w:val="20"/>
                <w:szCs w:val="20"/>
              </w:rPr>
              <w:br/>
            </w:r>
            <w:r w:rsidRPr="00567B5D">
              <w:rPr>
                <w:rFonts w:cs="Arial"/>
                <w:sz w:val="20"/>
                <w:szCs w:val="20"/>
              </w:rPr>
              <w:t>Barron /</w:t>
            </w:r>
            <w:r>
              <w:rPr>
                <w:rFonts w:cs="Arial"/>
                <w:sz w:val="20"/>
                <w:szCs w:val="20"/>
              </w:rPr>
              <w:br/>
            </w:r>
            <w:r w:rsidRPr="00567B5D">
              <w:rPr>
                <w:rFonts w:cs="Arial"/>
                <w:sz w:val="20"/>
                <w:szCs w:val="20"/>
              </w:rPr>
              <w:t>Mulgrave-Russell /</w:t>
            </w:r>
            <w:r>
              <w:rPr>
                <w:rFonts w:cs="Arial"/>
                <w:sz w:val="20"/>
                <w:szCs w:val="20"/>
              </w:rPr>
              <w:br/>
            </w:r>
            <w:r w:rsidRPr="00567B5D">
              <w:rPr>
                <w:rFonts w:cs="Arial"/>
                <w:sz w:val="20"/>
                <w:szCs w:val="20"/>
              </w:rPr>
              <w:t>Johnstone</w:t>
            </w:r>
          </w:p>
        </w:tc>
        <w:tc>
          <w:tcPr>
            <w:tcW w:w="1546" w:type="dxa"/>
            <w:vAlign w:val="center"/>
          </w:tcPr>
          <w:p w14:paraId="34F30377"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Midshelf</w:t>
            </w:r>
            <w:r w:rsidRPr="00C00762">
              <w:rPr>
                <w:rFonts w:cs="Arial"/>
                <w:sz w:val="20"/>
                <w:szCs w:val="20"/>
              </w:rPr>
              <w:t xml:space="preserve"> intertidal &amp; subtidal</w:t>
            </w:r>
          </w:p>
        </w:tc>
        <w:tc>
          <w:tcPr>
            <w:tcW w:w="1559" w:type="dxa"/>
            <w:noWrap/>
            <w:vAlign w:val="center"/>
          </w:tcPr>
          <w:p w14:paraId="69D8AD3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Green Island</w:t>
            </w:r>
          </w:p>
        </w:tc>
        <w:tc>
          <w:tcPr>
            <w:tcW w:w="660" w:type="dxa"/>
            <w:noWrap/>
            <w:vAlign w:val="center"/>
          </w:tcPr>
          <w:p w14:paraId="38791D26"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16°</w:t>
            </w:r>
          </w:p>
        </w:tc>
        <w:tc>
          <w:tcPr>
            <w:tcW w:w="1183" w:type="dxa"/>
            <w:noWrap/>
            <w:vAlign w:val="center"/>
          </w:tcPr>
          <w:p w14:paraId="1960074F"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45.789</w:t>
            </w:r>
          </w:p>
        </w:tc>
        <w:tc>
          <w:tcPr>
            <w:tcW w:w="674" w:type="dxa"/>
            <w:noWrap/>
            <w:vAlign w:val="center"/>
          </w:tcPr>
          <w:p w14:paraId="140526A3"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145°</w:t>
            </w:r>
          </w:p>
        </w:tc>
        <w:tc>
          <w:tcPr>
            <w:tcW w:w="992" w:type="dxa"/>
            <w:noWrap/>
            <w:vAlign w:val="center"/>
          </w:tcPr>
          <w:p w14:paraId="24A7F2E3"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58.31</w:t>
            </w:r>
          </w:p>
        </w:tc>
      </w:tr>
      <w:tr w:rsidR="001D21AE" w:rsidRPr="00C00762" w14:paraId="168A643D" w14:textId="77777777" w:rsidTr="00386ADA">
        <w:trPr>
          <w:cantSplit/>
          <w:trHeight w:val="251"/>
        </w:trPr>
        <w:tc>
          <w:tcPr>
            <w:tcW w:w="1242" w:type="dxa"/>
            <w:vMerge/>
            <w:vAlign w:val="center"/>
          </w:tcPr>
          <w:p w14:paraId="435DCCB9"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Merge/>
            <w:vAlign w:val="center"/>
          </w:tcPr>
          <w:p w14:paraId="0083B86B"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46" w:type="dxa"/>
            <w:vAlign w:val="center"/>
          </w:tcPr>
          <w:p w14:paraId="584680DD"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703F47">
              <w:rPr>
                <w:rFonts w:cs="Arial"/>
                <w:sz w:val="20"/>
                <w:szCs w:val="20"/>
              </w:rPr>
              <w:t>Enclosed Coastal</w:t>
            </w:r>
            <w:r>
              <w:rPr>
                <w:rFonts w:cs="Arial"/>
                <w:sz w:val="20"/>
                <w:szCs w:val="20"/>
              </w:rPr>
              <w:t xml:space="preserve"> </w:t>
            </w:r>
            <w:r w:rsidRPr="00C00762">
              <w:rPr>
                <w:rFonts w:cs="Arial"/>
                <w:sz w:val="20"/>
                <w:szCs w:val="20"/>
              </w:rPr>
              <w:t>intertidal</w:t>
            </w:r>
          </w:p>
        </w:tc>
        <w:tc>
          <w:tcPr>
            <w:tcW w:w="1559" w:type="dxa"/>
            <w:noWrap/>
            <w:vAlign w:val="center"/>
          </w:tcPr>
          <w:p w14:paraId="23CA8DA2"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Yule Point</w:t>
            </w:r>
          </w:p>
        </w:tc>
        <w:tc>
          <w:tcPr>
            <w:tcW w:w="660" w:type="dxa"/>
            <w:noWrap/>
            <w:vAlign w:val="center"/>
          </w:tcPr>
          <w:p w14:paraId="2CA83BA5"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16°</w:t>
            </w:r>
          </w:p>
        </w:tc>
        <w:tc>
          <w:tcPr>
            <w:tcW w:w="1183" w:type="dxa"/>
            <w:noWrap/>
            <w:vAlign w:val="center"/>
          </w:tcPr>
          <w:p w14:paraId="4D0500D5"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34.159</w:t>
            </w:r>
          </w:p>
        </w:tc>
        <w:tc>
          <w:tcPr>
            <w:tcW w:w="674" w:type="dxa"/>
            <w:noWrap/>
            <w:vAlign w:val="center"/>
          </w:tcPr>
          <w:p w14:paraId="53FDC7B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145°</w:t>
            </w:r>
          </w:p>
        </w:tc>
        <w:tc>
          <w:tcPr>
            <w:tcW w:w="992" w:type="dxa"/>
            <w:noWrap/>
            <w:vAlign w:val="center"/>
          </w:tcPr>
          <w:p w14:paraId="49E2A2BF"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30.744</w:t>
            </w:r>
          </w:p>
        </w:tc>
      </w:tr>
      <w:tr w:rsidR="001D21AE" w:rsidRPr="00C00762" w14:paraId="05F7B7EB" w14:textId="77777777" w:rsidTr="00386ADA">
        <w:trPr>
          <w:cantSplit/>
          <w:trHeight w:val="251"/>
        </w:trPr>
        <w:tc>
          <w:tcPr>
            <w:tcW w:w="1242" w:type="dxa"/>
            <w:vMerge/>
            <w:vAlign w:val="center"/>
          </w:tcPr>
          <w:p w14:paraId="56342C62"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Align w:val="center"/>
          </w:tcPr>
          <w:p w14:paraId="2A979C98"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567B5D">
              <w:rPr>
                <w:rFonts w:cs="Arial"/>
                <w:sz w:val="20"/>
                <w:szCs w:val="20"/>
              </w:rPr>
              <w:t>Tully / Murray / Herbert</w:t>
            </w:r>
          </w:p>
        </w:tc>
        <w:tc>
          <w:tcPr>
            <w:tcW w:w="1546" w:type="dxa"/>
            <w:vAlign w:val="center"/>
          </w:tcPr>
          <w:p w14:paraId="155F49C4"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 xml:space="preserve">Open coastal </w:t>
            </w:r>
            <w:r w:rsidRPr="00C00762">
              <w:rPr>
                <w:rFonts w:cs="Arial"/>
                <w:sz w:val="20"/>
                <w:szCs w:val="20"/>
              </w:rPr>
              <w:t>intertidal &amp; subtidal</w:t>
            </w:r>
          </w:p>
        </w:tc>
        <w:tc>
          <w:tcPr>
            <w:tcW w:w="1559" w:type="dxa"/>
            <w:noWrap/>
            <w:vAlign w:val="center"/>
          </w:tcPr>
          <w:p w14:paraId="039D8FD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Dunk Island</w:t>
            </w:r>
          </w:p>
        </w:tc>
        <w:tc>
          <w:tcPr>
            <w:tcW w:w="660" w:type="dxa"/>
            <w:noWrap/>
            <w:vAlign w:val="center"/>
          </w:tcPr>
          <w:p w14:paraId="4EA2ED76"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17°</w:t>
            </w:r>
          </w:p>
        </w:tc>
        <w:tc>
          <w:tcPr>
            <w:tcW w:w="1183" w:type="dxa"/>
            <w:noWrap/>
            <w:vAlign w:val="center"/>
          </w:tcPr>
          <w:p w14:paraId="5B7CABF8"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56.75</w:t>
            </w:r>
          </w:p>
        </w:tc>
        <w:tc>
          <w:tcPr>
            <w:tcW w:w="674" w:type="dxa"/>
            <w:noWrap/>
            <w:vAlign w:val="center"/>
          </w:tcPr>
          <w:p w14:paraId="58DE3CB5"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146°</w:t>
            </w:r>
          </w:p>
        </w:tc>
        <w:tc>
          <w:tcPr>
            <w:tcW w:w="992" w:type="dxa"/>
            <w:noWrap/>
            <w:vAlign w:val="center"/>
          </w:tcPr>
          <w:p w14:paraId="60CBD002"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08.45</w:t>
            </w:r>
          </w:p>
        </w:tc>
      </w:tr>
      <w:tr w:rsidR="001D21AE" w:rsidRPr="00C00762" w14:paraId="4688C98E" w14:textId="77777777" w:rsidTr="00386ADA">
        <w:trPr>
          <w:cantSplit/>
          <w:trHeight w:val="515"/>
        </w:trPr>
        <w:tc>
          <w:tcPr>
            <w:tcW w:w="1242" w:type="dxa"/>
            <w:vMerge w:val="restart"/>
            <w:vAlign w:val="center"/>
          </w:tcPr>
          <w:p w14:paraId="0B576806"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Central</w:t>
            </w:r>
          </w:p>
        </w:tc>
        <w:tc>
          <w:tcPr>
            <w:tcW w:w="1560" w:type="dxa"/>
            <w:vMerge w:val="restart"/>
            <w:vAlign w:val="center"/>
          </w:tcPr>
          <w:p w14:paraId="333E63C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ED771C">
              <w:rPr>
                <w:rFonts w:cs="Arial"/>
                <w:sz w:val="20"/>
                <w:szCs w:val="20"/>
              </w:rPr>
              <w:t xml:space="preserve">Ross / </w:t>
            </w:r>
            <w:r w:rsidRPr="00C00762">
              <w:rPr>
                <w:rFonts w:cs="Arial"/>
                <w:sz w:val="20"/>
                <w:szCs w:val="20"/>
              </w:rPr>
              <w:t>Burdekin</w:t>
            </w:r>
          </w:p>
        </w:tc>
        <w:tc>
          <w:tcPr>
            <w:tcW w:w="1546" w:type="dxa"/>
            <w:vMerge w:val="restart"/>
            <w:vAlign w:val="center"/>
          </w:tcPr>
          <w:p w14:paraId="7B85B814"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Open coastal</w:t>
            </w:r>
            <w:r w:rsidRPr="00C00762">
              <w:rPr>
                <w:rFonts w:cs="Arial"/>
                <w:sz w:val="20"/>
                <w:szCs w:val="20"/>
              </w:rPr>
              <w:t xml:space="preserve"> intertidal &amp; subtidal</w:t>
            </w:r>
          </w:p>
        </w:tc>
        <w:tc>
          <w:tcPr>
            <w:tcW w:w="1559" w:type="dxa"/>
            <w:noWrap/>
            <w:vAlign w:val="center"/>
          </w:tcPr>
          <w:p w14:paraId="53F3D6B8"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Picnic Bay</w:t>
            </w:r>
          </w:p>
        </w:tc>
        <w:tc>
          <w:tcPr>
            <w:tcW w:w="660" w:type="dxa"/>
            <w:noWrap/>
            <w:vAlign w:val="center"/>
          </w:tcPr>
          <w:p w14:paraId="4C8129A2"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19°</w:t>
            </w:r>
          </w:p>
        </w:tc>
        <w:tc>
          <w:tcPr>
            <w:tcW w:w="1183" w:type="dxa"/>
            <w:noWrap/>
            <w:vAlign w:val="center"/>
          </w:tcPr>
          <w:p w14:paraId="12270F0F"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10.734</w:t>
            </w:r>
          </w:p>
        </w:tc>
        <w:tc>
          <w:tcPr>
            <w:tcW w:w="674" w:type="dxa"/>
            <w:noWrap/>
            <w:vAlign w:val="center"/>
          </w:tcPr>
          <w:p w14:paraId="7F7978CE"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146°</w:t>
            </w:r>
          </w:p>
        </w:tc>
        <w:tc>
          <w:tcPr>
            <w:tcW w:w="992" w:type="dxa"/>
            <w:noWrap/>
            <w:vAlign w:val="center"/>
          </w:tcPr>
          <w:p w14:paraId="721C662D"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50.468</w:t>
            </w:r>
          </w:p>
        </w:tc>
      </w:tr>
      <w:tr w:rsidR="001D21AE" w:rsidRPr="00C00762" w14:paraId="6F31E04D" w14:textId="77777777" w:rsidTr="00386ADA">
        <w:trPr>
          <w:cantSplit/>
          <w:trHeight w:val="251"/>
        </w:trPr>
        <w:tc>
          <w:tcPr>
            <w:tcW w:w="1242" w:type="dxa"/>
            <w:vMerge/>
            <w:vAlign w:val="center"/>
          </w:tcPr>
          <w:p w14:paraId="08A91425"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Merge/>
            <w:vAlign w:val="center"/>
          </w:tcPr>
          <w:p w14:paraId="597694D3"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46" w:type="dxa"/>
            <w:vMerge/>
            <w:vAlign w:val="center"/>
          </w:tcPr>
          <w:p w14:paraId="35384423"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59" w:type="dxa"/>
            <w:noWrap/>
            <w:vAlign w:val="center"/>
          </w:tcPr>
          <w:p w14:paraId="4A9AB24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Cockle Bay</w:t>
            </w:r>
          </w:p>
        </w:tc>
        <w:tc>
          <w:tcPr>
            <w:tcW w:w="660" w:type="dxa"/>
            <w:noWrap/>
            <w:vAlign w:val="center"/>
          </w:tcPr>
          <w:p w14:paraId="2BB542A7"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19°</w:t>
            </w:r>
          </w:p>
        </w:tc>
        <w:tc>
          <w:tcPr>
            <w:tcW w:w="1183" w:type="dxa"/>
            <w:noWrap/>
            <w:vAlign w:val="center"/>
          </w:tcPr>
          <w:p w14:paraId="63CACEBE"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10.612</w:t>
            </w:r>
          </w:p>
        </w:tc>
        <w:tc>
          <w:tcPr>
            <w:tcW w:w="674" w:type="dxa"/>
            <w:noWrap/>
            <w:vAlign w:val="center"/>
          </w:tcPr>
          <w:p w14:paraId="766A3333"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146°</w:t>
            </w:r>
          </w:p>
        </w:tc>
        <w:tc>
          <w:tcPr>
            <w:tcW w:w="992" w:type="dxa"/>
            <w:noWrap/>
            <w:vAlign w:val="center"/>
          </w:tcPr>
          <w:p w14:paraId="633B261C"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49.737</w:t>
            </w:r>
          </w:p>
        </w:tc>
      </w:tr>
      <w:tr w:rsidR="001D21AE" w:rsidRPr="00C00762" w14:paraId="788701EB" w14:textId="77777777" w:rsidTr="00386ADA">
        <w:trPr>
          <w:cantSplit/>
          <w:trHeight w:val="251"/>
        </w:trPr>
        <w:tc>
          <w:tcPr>
            <w:tcW w:w="1242" w:type="dxa"/>
            <w:vMerge/>
            <w:vAlign w:val="center"/>
          </w:tcPr>
          <w:p w14:paraId="6776EBE5"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Merge/>
            <w:vAlign w:val="center"/>
          </w:tcPr>
          <w:p w14:paraId="5844AF32"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46" w:type="dxa"/>
            <w:vMerge w:val="restart"/>
            <w:vAlign w:val="center"/>
          </w:tcPr>
          <w:p w14:paraId="5E01E66E"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09F1FEED"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Bushland Beach</w:t>
            </w:r>
          </w:p>
        </w:tc>
        <w:tc>
          <w:tcPr>
            <w:tcW w:w="660" w:type="dxa"/>
            <w:noWrap/>
            <w:vAlign w:val="center"/>
          </w:tcPr>
          <w:p w14:paraId="23CD9255"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19°</w:t>
            </w:r>
          </w:p>
        </w:tc>
        <w:tc>
          <w:tcPr>
            <w:tcW w:w="1183" w:type="dxa"/>
            <w:noWrap/>
            <w:vAlign w:val="center"/>
          </w:tcPr>
          <w:p w14:paraId="20737E4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11.028</w:t>
            </w:r>
          </w:p>
        </w:tc>
        <w:tc>
          <w:tcPr>
            <w:tcW w:w="674" w:type="dxa"/>
            <w:noWrap/>
            <w:vAlign w:val="center"/>
          </w:tcPr>
          <w:p w14:paraId="09BF4002"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146°</w:t>
            </w:r>
          </w:p>
        </w:tc>
        <w:tc>
          <w:tcPr>
            <w:tcW w:w="992" w:type="dxa"/>
            <w:noWrap/>
            <w:vAlign w:val="center"/>
          </w:tcPr>
          <w:p w14:paraId="09074FA4"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40.951</w:t>
            </w:r>
          </w:p>
        </w:tc>
      </w:tr>
      <w:tr w:rsidR="001D21AE" w:rsidRPr="00C00762" w14:paraId="0EE40883" w14:textId="77777777" w:rsidTr="00386ADA">
        <w:trPr>
          <w:cantSplit/>
          <w:trHeight w:val="251"/>
        </w:trPr>
        <w:tc>
          <w:tcPr>
            <w:tcW w:w="1242" w:type="dxa"/>
            <w:vMerge/>
            <w:vAlign w:val="center"/>
          </w:tcPr>
          <w:p w14:paraId="6E618F2D"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Merge/>
            <w:vAlign w:val="center"/>
          </w:tcPr>
          <w:p w14:paraId="2FBEA676"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46" w:type="dxa"/>
            <w:vMerge/>
            <w:vAlign w:val="center"/>
          </w:tcPr>
          <w:p w14:paraId="4004D31C" w14:textId="77777777" w:rsidR="001D21AE" w:rsidRPr="00C00762" w:rsidDel="00964F12" w:rsidRDefault="001D21AE" w:rsidP="00386ADA">
            <w:pPr>
              <w:autoSpaceDE w:val="0"/>
              <w:autoSpaceDN w:val="0"/>
              <w:adjustRightInd w:val="0"/>
              <w:spacing w:before="0" w:after="0" w:line="240" w:lineRule="auto"/>
              <w:contextualSpacing/>
              <w:rPr>
                <w:rFonts w:cs="Arial"/>
                <w:sz w:val="20"/>
                <w:szCs w:val="20"/>
              </w:rPr>
            </w:pPr>
          </w:p>
        </w:tc>
        <w:tc>
          <w:tcPr>
            <w:tcW w:w="1559" w:type="dxa"/>
            <w:noWrap/>
            <w:vAlign w:val="center"/>
          </w:tcPr>
          <w:p w14:paraId="1423B5A3"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Barratta Creek</w:t>
            </w:r>
          </w:p>
        </w:tc>
        <w:tc>
          <w:tcPr>
            <w:tcW w:w="660" w:type="dxa"/>
            <w:noWrap/>
            <w:vAlign w:val="center"/>
          </w:tcPr>
          <w:p w14:paraId="38FBE73C"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19°</w:t>
            </w:r>
          </w:p>
        </w:tc>
        <w:tc>
          <w:tcPr>
            <w:tcW w:w="1183" w:type="dxa"/>
            <w:noWrap/>
            <w:vAlign w:val="center"/>
          </w:tcPr>
          <w:p w14:paraId="32E2CB67"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25.380</w:t>
            </w:r>
          </w:p>
        </w:tc>
        <w:tc>
          <w:tcPr>
            <w:tcW w:w="674" w:type="dxa"/>
            <w:noWrap/>
            <w:vAlign w:val="center"/>
          </w:tcPr>
          <w:p w14:paraId="41A209C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147°</w:t>
            </w:r>
          </w:p>
        </w:tc>
        <w:tc>
          <w:tcPr>
            <w:tcW w:w="992" w:type="dxa"/>
            <w:noWrap/>
            <w:vAlign w:val="center"/>
          </w:tcPr>
          <w:p w14:paraId="005D1B1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14.480</w:t>
            </w:r>
          </w:p>
        </w:tc>
      </w:tr>
      <w:tr w:rsidR="001D21AE" w:rsidRPr="00C00762" w14:paraId="24F51B48" w14:textId="77777777" w:rsidTr="00386ADA">
        <w:trPr>
          <w:cantSplit/>
          <w:trHeight w:val="251"/>
        </w:trPr>
        <w:tc>
          <w:tcPr>
            <w:tcW w:w="1242" w:type="dxa"/>
            <w:vMerge/>
            <w:vAlign w:val="center"/>
          </w:tcPr>
          <w:p w14:paraId="5D2738F2"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Merge w:val="restart"/>
            <w:vAlign w:val="center"/>
          </w:tcPr>
          <w:p w14:paraId="44C07C54"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Proserpine</w:t>
            </w:r>
            <w:r>
              <w:rPr>
                <w:rFonts w:cs="Arial"/>
                <w:sz w:val="20"/>
                <w:szCs w:val="20"/>
              </w:rPr>
              <w:t xml:space="preserve"> </w:t>
            </w:r>
            <w:r w:rsidRPr="00ED771C">
              <w:rPr>
                <w:rFonts w:cs="Arial"/>
                <w:sz w:val="20"/>
                <w:szCs w:val="20"/>
              </w:rPr>
              <w:t>/ O'Connell</w:t>
            </w:r>
          </w:p>
        </w:tc>
        <w:tc>
          <w:tcPr>
            <w:tcW w:w="1546" w:type="dxa"/>
            <w:vMerge w:val="restart"/>
            <w:vAlign w:val="center"/>
          </w:tcPr>
          <w:p w14:paraId="276E7B75"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Open coastal</w:t>
            </w:r>
            <w:r w:rsidRPr="00C00762">
              <w:rPr>
                <w:rFonts w:cs="Arial"/>
                <w:sz w:val="20"/>
                <w:szCs w:val="20"/>
              </w:rPr>
              <w:t xml:space="preserve"> intertidal</w:t>
            </w:r>
            <w:r>
              <w:rPr>
                <w:rFonts w:cs="Arial"/>
                <w:sz w:val="20"/>
                <w:szCs w:val="20"/>
              </w:rPr>
              <w:t xml:space="preserve"> &amp; subtidal</w:t>
            </w:r>
          </w:p>
        </w:tc>
        <w:tc>
          <w:tcPr>
            <w:tcW w:w="1559" w:type="dxa"/>
            <w:noWrap/>
            <w:vAlign w:val="center"/>
          </w:tcPr>
          <w:p w14:paraId="54830248"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Hamilton Island</w:t>
            </w:r>
          </w:p>
        </w:tc>
        <w:tc>
          <w:tcPr>
            <w:tcW w:w="660" w:type="dxa"/>
            <w:noWrap/>
            <w:vAlign w:val="center"/>
          </w:tcPr>
          <w:p w14:paraId="40FB68A3"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20°</w:t>
            </w:r>
          </w:p>
        </w:tc>
        <w:tc>
          <w:tcPr>
            <w:tcW w:w="1183" w:type="dxa"/>
            <w:noWrap/>
            <w:vAlign w:val="center"/>
          </w:tcPr>
          <w:p w14:paraId="07E9FEF3"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20.802</w:t>
            </w:r>
          </w:p>
        </w:tc>
        <w:tc>
          <w:tcPr>
            <w:tcW w:w="674" w:type="dxa"/>
            <w:noWrap/>
            <w:vAlign w:val="center"/>
          </w:tcPr>
          <w:p w14:paraId="36E65990"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148°</w:t>
            </w:r>
          </w:p>
        </w:tc>
        <w:tc>
          <w:tcPr>
            <w:tcW w:w="992" w:type="dxa"/>
            <w:noWrap/>
            <w:vAlign w:val="center"/>
          </w:tcPr>
          <w:p w14:paraId="3E06C660"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58.246</w:t>
            </w:r>
          </w:p>
        </w:tc>
      </w:tr>
      <w:tr w:rsidR="001D21AE" w:rsidRPr="00C00762" w14:paraId="0E750DD7" w14:textId="77777777" w:rsidTr="00386ADA">
        <w:trPr>
          <w:cantSplit/>
          <w:trHeight w:val="251"/>
        </w:trPr>
        <w:tc>
          <w:tcPr>
            <w:tcW w:w="1242" w:type="dxa"/>
            <w:vMerge/>
            <w:vAlign w:val="center"/>
          </w:tcPr>
          <w:p w14:paraId="6A245ACB"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Merge/>
            <w:vAlign w:val="center"/>
          </w:tcPr>
          <w:p w14:paraId="0FBBFC16"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46" w:type="dxa"/>
            <w:vMerge/>
            <w:vAlign w:val="center"/>
          </w:tcPr>
          <w:p w14:paraId="39C27F68" w14:textId="77777777" w:rsidR="001D21AE" w:rsidRDefault="001D21AE" w:rsidP="00386ADA">
            <w:pPr>
              <w:autoSpaceDE w:val="0"/>
              <w:autoSpaceDN w:val="0"/>
              <w:adjustRightInd w:val="0"/>
              <w:spacing w:before="0" w:after="0" w:line="240" w:lineRule="auto"/>
              <w:contextualSpacing/>
              <w:rPr>
                <w:rFonts w:cs="Arial"/>
                <w:sz w:val="20"/>
                <w:szCs w:val="20"/>
              </w:rPr>
            </w:pPr>
          </w:p>
        </w:tc>
        <w:tc>
          <w:tcPr>
            <w:tcW w:w="1559" w:type="dxa"/>
            <w:noWrap/>
            <w:vAlign w:val="center"/>
          </w:tcPr>
          <w:p w14:paraId="759E8116"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Lindeman Island</w:t>
            </w:r>
          </w:p>
        </w:tc>
        <w:tc>
          <w:tcPr>
            <w:tcW w:w="660" w:type="dxa"/>
            <w:noWrap/>
            <w:vAlign w:val="center"/>
          </w:tcPr>
          <w:p w14:paraId="5CCB0DB2"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B5AB9">
              <w:rPr>
                <w:sz w:val="20"/>
                <w:szCs w:val="20"/>
              </w:rPr>
              <w:t>20°</w:t>
            </w:r>
          </w:p>
        </w:tc>
        <w:tc>
          <w:tcPr>
            <w:tcW w:w="1183" w:type="dxa"/>
            <w:noWrap/>
            <w:vAlign w:val="center"/>
          </w:tcPr>
          <w:p w14:paraId="74D9444C"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26.293</w:t>
            </w:r>
          </w:p>
        </w:tc>
        <w:tc>
          <w:tcPr>
            <w:tcW w:w="674" w:type="dxa"/>
            <w:noWrap/>
            <w:vAlign w:val="center"/>
          </w:tcPr>
          <w:p w14:paraId="4E1E0142"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149°</w:t>
            </w:r>
          </w:p>
        </w:tc>
        <w:tc>
          <w:tcPr>
            <w:tcW w:w="992" w:type="dxa"/>
            <w:noWrap/>
            <w:vAlign w:val="center"/>
          </w:tcPr>
          <w:p w14:paraId="70231F4F"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1.691</w:t>
            </w:r>
          </w:p>
        </w:tc>
      </w:tr>
      <w:tr w:rsidR="001D21AE" w:rsidRPr="00C00762" w14:paraId="615B3564" w14:textId="77777777" w:rsidTr="00386ADA">
        <w:trPr>
          <w:cantSplit/>
          <w:trHeight w:val="251"/>
        </w:trPr>
        <w:tc>
          <w:tcPr>
            <w:tcW w:w="1242" w:type="dxa"/>
            <w:vMerge/>
            <w:vAlign w:val="center"/>
          </w:tcPr>
          <w:p w14:paraId="3BA0B990"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Merge/>
            <w:vAlign w:val="center"/>
          </w:tcPr>
          <w:p w14:paraId="1FFB9597"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46" w:type="dxa"/>
            <w:vAlign w:val="center"/>
          </w:tcPr>
          <w:p w14:paraId="11A69840"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3F2B9349"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Midge Point</w:t>
            </w:r>
          </w:p>
        </w:tc>
        <w:tc>
          <w:tcPr>
            <w:tcW w:w="660" w:type="dxa"/>
            <w:noWrap/>
            <w:vAlign w:val="center"/>
          </w:tcPr>
          <w:p w14:paraId="05BE2EAA" w14:textId="77777777" w:rsidR="001D21AE" w:rsidRPr="00ED771C" w:rsidRDefault="001D21AE" w:rsidP="00386ADA">
            <w:pPr>
              <w:autoSpaceDE w:val="0"/>
              <w:autoSpaceDN w:val="0"/>
              <w:adjustRightInd w:val="0"/>
              <w:spacing w:before="0" w:after="0" w:line="240" w:lineRule="auto"/>
              <w:contextualSpacing/>
              <w:jc w:val="center"/>
              <w:rPr>
                <w:rFonts w:cs="Arial"/>
                <w:sz w:val="20"/>
                <w:szCs w:val="20"/>
              </w:rPr>
            </w:pPr>
            <w:r w:rsidRPr="00CB5AB9">
              <w:rPr>
                <w:sz w:val="20"/>
                <w:szCs w:val="20"/>
              </w:rPr>
              <w:t>20°</w:t>
            </w:r>
          </w:p>
        </w:tc>
        <w:tc>
          <w:tcPr>
            <w:tcW w:w="1183" w:type="dxa"/>
            <w:noWrap/>
            <w:vAlign w:val="center"/>
          </w:tcPr>
          <w:p w14:paraId="6C10ECBF" w14:textId="77777777" w:rsidR="001D21AE" w:rsidRPr="00ED771C" w:rsidRDefault="001D21AE" w:rsidP="00386ADA">
            <w:pPr>
              <w:autoSpaceDE w:val="0"/>
              <w:autoSpaceDN w:val="0"/>
              <w:adjustRightInd w:val="0"/>
              <w:spacing w:before="0" w:after="0" w:line="240" w:lineRule="auto"/>
              <w:contextualSpacing/>
              <w:jc w:val="center"/>
              <w:rPr>
                <w:rFonts w:cs="Arial"/>
                <w:sz w:val="20"/>
                <w:szCs w:val="20"/>
              </w:rPr>
            </w:pPr>
            <w:r w:rsidRPr="00CB5AB9">
              <w:rPr>
                <w:sz w:val="20"/>
                <w:szCs w:val="20"/>
              </w:rPr>
              <w:t>38.099</w:t>
            </w:r>
          </w:p>
        </w:tc>
        <w:tc>
          <w:tcPr>
            <w:tcW w:w="674" w:type="dxa"/>
            <w:noWrap/>
            <w:vAlign w:val="center"/>
          </w:tcPr>
          <w:p w14:paraId="6057560B" w14:textId="77777777" w:rsidR="001D21AE" w:rsidRPr="00ED771C" w:rsidRDefault="001D21AE" w:rsidP="00386ADA">
            <w:pPr>
              <w:autoSpaceDE w:val="0"/>
              <w:autoSpaceDN w:val="0"/>
              <w:adjustRightInd w:val="0"/>
              <w:spacing w:before="0" w:after="0" w:line="240" w:lineRule="auto"/>
              <w:contextualSpacing/>
              <w:jc w:val="center"/>
              <w:rPr>
                <w:rFonts w:cs="Arial"/>
                <w:sz w:val="20"/>
                <w:szCs w:val="20"/>
              </w:rPr>
            </w:pPr>
            <w:r w:rsidRPr="00CB5AB9">
              <w:rPr>
                <w:sz w:val="20"/>
                <w:szCs w:val="20"/>
              </w:rPr>
              <w:t>148°</w:t>
            </w:r>
          </w:p>
        </w:tc>
        <w:tc>
          <w:tcPr>
            <w:tcW w:w="992" w:type="dxa"/>
            <w:noWrap/>
            <w:vAlign w:val="center"/>
          </w:tcPr>
          <w:p w14:paraId="118CCB2D" w14:textId="77777777" w:rsidR="001D21AE" w:rsidRPr="00ED771C" w:rsidRDefault="001D21AE" w:rsidP="00386ADA">
            <w:pPr>
              <w:autoSpaceDE w:val="0"/>
              <w:autoSpaceDN w:val="0"/>
              <w:adjustRightInd w:val="0"/>
              <w:spacing w:before="0" w:after="0" w:line="240" w:lineRule="auto"/>
              <w:contextualSpacing/>
              <w:jc w:val="center"/>
              <w:rPr>
                <w:rFonts w:cs="Arial"/>
                <w:sz w:val="20"/>
                <w:szCs w:val="20"/>
              </w:rPr>
            </w:pPr>
            <w:r w:rsidRPr="00CB5AB9">
              <w:rPr>
                <w:sz w:val="20"/>
                <w:szCs w:val="20"/>
              </w:rPr>
              <w:t>42.108</w:t>
            </w:r>
          </w:p>
        </w:tc>
      </w:tr>
      <w:tr w:rsidR="001D21AE" w:rsidRPr="00C00762" w14:paraId="5B3BD2DF" w14:textId="77777777" w:rsidTr="00386ADA">
        <w:trPr>
          <w:cantSplit/>
          <w:trHeight w:val="251"/>
        </w:trPr>
        <w:tc>
          <w:tcPr>
            <w:tcW w:w="1242" w:type="dxa"/>
            <w:vMerge/>
            <w:vAlign w:val="center"/>
          </w:tcPr>
          <w:p w14:paraId="031C3870"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Align w:val="center"/>
          </w:tcPr>
          <w:p w14:paraId="6CADE4DF"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664B29">
              <w:rPr>
                <w:rFonts w:cs="Arial"/>
                <w:color w:val="000000"/>
                <w:sz w:val="20"/>
                <w:szCs w:val="20"/>
              </w:rPr>
              <w:t>Plane</w:t>
            </w:r>
          </w:p>
        </w:tc>
        <w:tc>
          <w:tcPr>
            <w:tcW w:w="1546" w:type="dxa"/>
            <w:vAlign w:val="center"/>
          </w:tcPr>
          <w:p w14:paraId="66322417" w14:textId="77777777" w:rsidR="001D21AE" w:rsidRPr="00C00762" w:rsidDel="00964F1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2C9F7879"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Sarina Inlet</w:t>
            </w:r>
          </w:p>
        </w:tc>
        <w:tc>
          <w:tcPr>
            <w:tcW w:w="660" w:type="dxa"/>
            <w:noWrap/>
            <w:vAlign w:val="center"/>
          </w:tcPr>
          <w:p w14:paraId="7CDD85EE"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21°</w:t>
            </w:r>
          </w:p>
        </w:tc>
        <w:tc>
          <w:tcPr>
            <w:tcW w:w="1183" w:type="dxa"/>
            <w:noWrap/>
            <w:vAlign w:val="center"/>
          </w:tcPr>
          <w:p w14:paraId="596802B5"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23.76</w:t>
            </w:r>
          </w:p>
        </w:tc>
        <w:tc>
          <w:tcPr>
            <w:tcW w:w="674" w:type="dxa"/>
            <w:noWrap/>
            <w:vAlign w:val="center"/>
          </w:tcPr>
          <w:p w14:paraId="063CAE5A"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149°</w:t>
            </w:r>
          </w:p>
        </w:tc>
        <w:tc>
          <w:tcPr>
            <w:tcW w:w="992" w:type="dxa"/>
            <w:noWrap/>
            <w:vAlign w:val="center"/>
          </w:tcPr>
          <w:p w14:paraId="60F968F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18.2</w:t>
            </w:r>
          </w:p>
        </w:tc>
      </w:tr>
      <w:tr w:rsidR="001D21AE" w:rsidRPr="00C00762" w14:paraId="2775D41D" w14:textId="77777777" w:rsidTr="00386ADA">
        <w:trPr>
          <w:cantSplit/>
          <w:trHeight w:val="251"/>
        </w:trPr>
        <w:tc>
          <w:tcPr>
            <w:tcW w:w="1242" w:type="dxa"/>
            <w:vMerge w:val="restart"/>
            <w:vAlign w:val="center"/>
          </w:tcPr>
          <w:p w14:paraId="21158F61" w14:textId="77777777" w:rsidR="001D21AE" w:rsidRPr="00C00762" w:rsidRDefault="001D21AE" w:rsidP="00386ADA">
            <w:pPr>
              <w:autoSpaceDE w:val="0"/>
              <w:autoSpaceDN w:val="0"/>
              <w:adjustRightInd w:val="0"/>
              <w:spacing w:before="0" w:after="0" w:line="240" w:lineRule="auto"/>
              <w:contextualSpacing/>
              <w:jc w:val="center"/>
              <w:rPr>
                <w:rFonts w:cs="Arial"/>
                <w:sz w:val="20"/>
                <w:szCs w:val="20"/>
              </w:rPr>
            </w:pPr>
            <w:r w:rsidRPr="00C00762">
              <w:rPr>
                <w:rFonts w:cs="Arial"/>
                <w:sz w:val="20"/>
                <w:szCs w:val="20"/>
              </w:rPr>
              <w:t>Southern</w:t>
            </w:r>
          </w:p>
        </w:tc>
        <w:tc>
          <w:tcPr>
            <w:tcW w:w="1560" w:type="dxa"/>
            <w:vMerge w:val="restart"/>
            <w:vAlign w:val="center"/>
          </w:tcPr>
          <w:p w14:paraId="532A31F6"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ED771C">
              <w:rPr>
                <w:rFonts w:cs="Arial"/>
                <w:sz w:val="20"/>
                <w:szCs w:val="20"/>
              </w:rPr>
              <w:t xml:space="preserve">Shoalwater / </w:t>
            </w:r>
            <w:r w:rsidRPr="00C00762">
              <w:rPr>
                <w:rFonts w:cs="Arial"/>
                <w:sz w:val="20"/>
                <w:szCs w:val="20"/>
              </w:rPr>
              <w:t>Fitzroy</w:t>
            </w:r>
          </w:p>
        </w:tc>
        <w:tc>
          <w:tcPr>
            <w:tcW w:w="1546" w:type="dxa"/>
            <w:vAlign w:val="center"/>
          </w:tcPr>
          <w:p w14:paraId="14CB8D47"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696424">
              <w:rPr>
                <w:rFonts w:cs="Arial"/>
                <w:sz w:val="20"/>
                <w:szCs w:val="20"/>
              </w:rPr>
              <w:t xml:space="preserve">Open coastal </w:t>
            </w:r>
            <w:r w:rsidRPr="00C00762">
              <w:rPr>
                <w:rFonts w:cs="Arial"/>
                <w:sz w:val="20"/>
                <w:szCs w:val="20"/>
              </w:rPr>
              <w:t>intertidal</w:t>
            </w:r>
          </w:p>
        </w:tc>
        <w:tc>
          <w:tcPr>
            <w:tcW w:w="1559" w:type="dxa"/>
            <w:noWrap/>
            <w:vAlign w:val="center"/>
          </w:tcPr>
          <w:p w14:paraId="5FF78747"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Great Keppel Island</w:t>
            </w:r>
          </w:p>
        </w:tc>
        <w:tc>
          <w:tcPr>
            <w:tcW w:w="660" w:type="dxa"/>
            <w:noWrap/>
            <w:vAlign w:val="center"/>
          </w:tcPr>
          <w:p w14:paraId="360D8842"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23°</w:t>
            </w:r>
          </w:p>
        </w:tc>
        <w:tc>
          <w:tcPr>
            <w:tcW w:w="1183" w:type="dxa"/>
            <w:noWrap/>
            <w:vAlign w:val="center"/>
          </w:tcPr>
          <w:p w14:paraId="4031212C"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11.7834</w:t>
            </w:r>
          </w:p>
        </w:tc>
        <w:tc>
          <w:tcPr>
            <w:tcW w:w="674" w:type="dxa"/>
            <w:noWrap/>
            <w:vAlign w:val="center"/>
          </w:tcPr>
          <w:p w14:paraId="37D25C9E"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150°</w:t>
            </w:r>
          </w:p>
        </w:tc>
        <w:tc>
          <w:tcPr>
            <w:tcW w:w="992" w:type="dxa"/>
            <w:noWrap/>
            <w:vAlign w:val="center"/>
          </w:tcPr>
          <w:p w14:paraId="1C37E5C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56.3682</w:t>
            </w:r>
          </w:p>
        </w:tc>
      </w:tr>
      <w:tr w:rsidR="001D21AE" w:rsidRPr="00C00762" w14:paraId="05E2B0F5" w14:textId="77777777" w:rsidTr="00386ADA">
        <w:trPr>
          <w:cantSplit/>
          <w:trHeight w:val="251"/>
        </w:trPr>
        <w:tc>
          <w:tcPr>
            <w:tcW w:w="1242" w:type="dxa"/>
            <w:vMerge/>
            <w:vAlign w:val="center"/>
          </w:tcPr>
          <w:p w14:paraId="6E571C72"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Merge/>
            <w:vAlign w:val="center"/>
          </w:tcPr>
          <w:p w14:paraId="1EEB3F4C"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46" w:type="dxa"/>
            <w:vAlign w:val="center"/>
          </w:tcPr>
          <w:p w14:paraId="41E80014"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696424">
              <w:rPr>
                <w:rFonts w:cs="Arial"/>
                <w:sz w:val="20"/>
                <w:szCs w:val="20"/>
              </w:rPr>
              <w:t xml:space="preserve">Macro </w:t>
            </w:r>
            <w:r>
              <w:rPr>
                <w:rFonts w:cs="Arial"/>
                <w:sz w:val="20"/>
                <w:szCs w:val="20"/>
              </w:rPr>
              <w:t>t</w:t>
            </w:r>
            <w:r w:rsidRPr="00696424">
              <w:rPr>
                <w:rFonts w:cs="Arial"/>
                <w:sz w:val="20"/>
                <w:szCs w:val="20"/>
              </w:rPr>
              <w:t xml:space="preserve">idal Enclosed </w:t>
            </w:r>
            <w:r>
              <w:rPr>
                <w:rFonts w:cs="Arial"/>
                <w:sz w:val="20"/>
                <w:szCs w:val="20"/>
              </w:rPr>
              <w:t>c</w:t>
            </w:r>
            <w:r w:rsidRPr="00696424">
              <w:rPr>
                <w:rFonts w:cs="Arial"/>
                <w:sz w:val="20"/>
                <w:szCs w:val="20"/>
              </w:rPr>
              <w:t>oastal</w:t>
            </w:r>
            <w:r w:rsidRPr="00696424" w:rsidDel="00696424">
              <w:rPr>
                <w:rFonts w:cs="Arial"/>
                <w:sz w:val="20"/>
                <w:szCs w:val="20"/>
              </w:rPr>
              <w:t xml:space="preserve"> </w:t>
            </w:r>
            <w:r w:rsidRPr="00C00762">
              <w:rPr>
                <w:rFonts w:cs="Arial"/>
                <w:sz w:val="20"/>
                <w:szCs w:val="20"/>
              </w:rPr>
              <w:t>intertidal</w:t>
            </w:r>
          </w:p>
        </w:tc>
        <w:tc>
          <w:tcPr>
            <w:tcW w:w="1559" w:type="dxa"/>
            <w:noWrap/>
            <w:vAlign w:val="center"/>
          </w:tcPr>
          <w:p w14:paraId="7C57E55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Shoalwater Bay</w:t>
            </w:r>
          </w:p>
        </w:tc>
        <w:tc>
          <w:tcPr>
            <w:tcW w:w="660" w:type="dxa"/>
            <w:noWrap/>
            <w:vAlign w:val="center"/>
          </w:tcPr>
          <w:p w14:paraId="53053D66"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22°</w:t>
            </w:r>
          </w:p>
        </w:tc>
        <w:tc>
          <w:tcPr>
            <w:tcW w:w="1183" w:type="dxa"/>
            <w:noWrap/>
            <w:vAlign w:val="center"/>
          </w:tcPr>
          <w:p w14:paraId="0B115E54"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23.926</w:t>
            </w:r>
          </w:p>
        </w:tc>
        <w:tc>
          <w:tcPr>
            <w:tcW w:w="674" w:type="dxa"/>
            <w:noWrap/>
            <w:vAlign w:val="center"/>
          </w:tcPr>
          <w:p w14:paraId="345C820D"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150°</w:t>
            </w:r>
          </w:p>
        </w:tc>
        <w:tc>
          <w:tcPr>
            <w:tcW w:w="992" w:type="dxa"/>
            <w:noWrap/>
            <w:vAlign w:val="center"/>
          </w:tcPr>
          <w:p w14:paraId="5BF5F5C7"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16.366</w:t>
            </w:r>
          </w:p>
        </w:tc>
      </w:tr>
      <w:tr w:rsidR="001D21AE" w:rsidRPr="00C00762" w14:paraId="360CF18F" w14:textId="77777777" w:rsidTr="00386ADA">
        <w:trPr>
          <w:cantSplit/>
          <w:trHeight w:val="251"/>
        </w:trPr>
        <w:tc>
          <w:tcPr>
            <w:tcW w:w="1242" w:type="dxa"/>
            <w:vMerge/>
            <w:vAlign w:val="center"/>
          </w:tcPr>
          <w:p w14:paraId="64AB5C6D"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Align w:val="center"/>
          </w:tcPr>
          <w:p w14:paraId="1D05AEFF"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696424">
              <w:rPr>
                <w:rFonts w:cs="Arial"/>
                <w:sz w:val="20"/>
                <w:szCs w:val="20"/>
              </w:rPr>
              <w:t xml:space="preserve">Calliope / </w:t>
            </w:r>
            <w:r w:rsidRPr="00C00762">
              <w:rPr>
                <w:rFonts w:cs="Arial"/>
                <w:sz w:val="20"/>
                <w:szCs w:val="20"/>
              </w:rPr>
              <w:t>Boyne</w:t>
            </w:r>
          </w:p>
        </w:tc>
        <w:tc>
          <w:tcPr>
            <w:tcW w:w="1546" w:type="dxa"/>
            <w:vAlign w:val="center"/>
          </w:tcPr>
          <w:p w14:paraId="7E17279A" w14:textId="77777777" w:rsidR="001D21AE" w:rsidRPr="00C00762" w:rsidDel="00964F1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59573D46"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Gladstone Hbr</w:t>
            </w:r>
          </w:p>
        </w:tc>
        <w:tc>
          <w:tcPr>
            <w:tcW w:w="660" w:type="dxa"/>
            <w:noWrap/>
            <w:vAlign w:val="center"/>
          </w:tcPr>
          <w:p w14:paraId="02D689DD"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23°</w:t>
            </w:r>
          </w:p>
        </w:tc>
        <w:tc>
          <w:tcPr>
            <w:tcW w:w="1183" w:type="dxa"/>
            <w:noWrap/>
            <w:vAlign w:val="center"/>
          </w:tcPr>
          <w:p w14:paraId="7B73982E"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46.005</w:t>
            </w:r>
          </w:p>
        </w:tc>
        <w:tc>
          <w:tcPr>
            <w:tcW w:w="674" w:type="dxa"/>
            <w:noWrap/>
            <w:vAlign w:val="center"/>
          </w:tcPr>
          <w:p w14:paraId="1CA2260F"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151°</w:t>
            </w:r>
          </w:p>
        </w:tc>
        <w:tc>
          <w:tcPr>
            <w:tcW w:w="992" w:type="dxa"/>
            <w:noWrap/>
            <w:vAlign w:val="center"/>
          </w:tcPr>
          <w:p w14:paraId="139AD5E8"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18.052</w:t>
            </w:r>
          </w:p>
        </w:tc>
      </w:tr>
      <w:tr w:rsidR="001D21AE" w:rsidRPr="00C00762" w14:paraId="31606B81" w14:textId="77777777" w:rsidTr="00386ADA">
        <w:trPr>
          <w:cantSplit/>
          <w:trHeight w:val="251"/>
        </w:trPr>
        <w:tc>
          <w:tcPr>
            <w:tcW w:w="1242" w:type="dxa"/>
            <w:vMerge/>
            <w:vAlign w:val="center"/>
          </w:tcPr>
          <w:p w14:paraId="299BD158"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Align w:val="center"/>
          </w:tcPr>
          <w:p w14:paraId="59BAE10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696424">
              <w:rPr>
                <w:rFonts w:cs="Arial"/>
                <w:sz w:val="20"/>
                <w:szCs w:val="20"/>
              </w:rPr>
              <w:t>Baffle</w:t>
            </w:r>
          </w:p>
        </w:tc>
        <w:tc>
          <w:tcPr>
            <w:tcW w:w="1546" w:type="dxa"/>
            <w:vAlign w:val="center"/>
          </w:tcPr>
          <w:p w14:paraId="7156BA81"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273DCA38"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Rodds Bay</w:t>
            </w:r>
          </w:p>
        </w:tc>
        <w:tc>
          <w:tcPr>
            <w:tcW w:w="660" w:type="dxa"/>
            <w:noWrap/>
            <w:vAlign w:val="center"/>
          </w:tcPr>
          <w:p w14:paraId="08839ACB"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24°</w:t>
            </w:r>
          </w:p>
        </w:tc>
        <w:tc>
          <w:tcPr>
            <w:tcW w:w="1183" w:type="dxa"/>
            <w:noWrap/>
            <w:vAlign w:val="center"/>
          </w:tcPr>
          <w:p w14:paraId="3BD6060F"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4.866</w:t>
            </w:r>
          </w:p>
        </w:tc>
        <w:tc>
          <w:tcPr>
            <w:tcW w:w="674" w:type="dxa"/>
            <w:noWrap/>
            <w:vAlign w:val="center"/>
          </w:tcPr>
          <w:p w14:paraId="1CB33CA7"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151°</w:t>
            </w:r>
          </w:p>
        </w:tc>
        <w:tc>
          <w:tcPr>
            <w:tcW w:w="992" w:type="dxa"/>
            <w:noWrap/>
            <w:vAlign w:val="center"/>
          </w:tcPr>
          <w:p w14:paraId="232A85EC"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39.7584</w:t>
            </w:r>
          </w:p>
        </w:tc>
      </w:tr>
      <w:tr w:rsidR="001D21AE" w:rsidRPr="00C00762" w14:paraId="01953EE8" w14:textId="77777777" w:rsidTr="00386ADA">
        <w:trPr>
          <w:cantSplit/>
          <w:trHeight w:val="251"/>
        </w:trPr>
        <w:tc>
          <w:tcPr>
            <w:tcW w:w="1242" w:type="dxa"/>
            <w:vMerge/>
            <w:vAlign w:val="center"/>
          </w:tcPr>
          <w:p w14:paraId="5B08F340" w14:textId="77777777" w:rsidR="001D21AE" w:rsidRPr="00C00762" w:rsidRDefault="001D21AE" w:rsidP="00386ADA">
            <w:pPr>
              <w:autoSpaceDE w:val="0"/>
              <w:autoSpaceDN w:val="0"/>
              <w:adjustRightInd w:val="0"/>
              <w:spacing w:before="0" w:after="0" w:line="240" w:lineRule="auto"/>
              <w:contextualSpacing/>
              <w:rPr>
                <w:rFonts w:cs="Arial"/>
                <w:sz w:val="20"/>
                <w:szCs w:val="20"/>
              </w:rPr>
            </w:pPr>
          </w:p>
        </w:tc>
        <w:tc>
          <w:tcPr>
            <w:tcW w:w="1560" w:type="dxa"/>
            <w:vAlign w:val="center"/>
          </w:tcPr>
          <w:p w14:paraId="0168D1B8"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Mary</w:t>
            </w:r>
          </w:p>
        </w:tc>
        <w:tc>
          <w:tcPr>
            <w:tcW w:w="1546" w:type="dxa"/>
            <w:vAlign w:val="center"/>
          </w:tcPr>
          <w:p w14:paraId="2D422FCD" w14:textId="77777777" w:rsidR="001D21AE" w:rsidRPr="00C00762" w:rsidDel="00964F12" w:rsidRDefault="001D21AE" w:rsidP="00386ADA">
            <w:pPr>
              <w:autoSpaceDE w:val="0"/>
              <w:autoSpaceDN w:val="0"/>
              <w:adjustRightInd w:val="0"/>
              <w:spacing w:before="0" w:after="0" w:line="240" w:lineRule="auto"/>
              <w:contextualSpacing/>
              <w:rPr>
                <w:rFonts w:cs="Arial"/>
                <w:sz w:val="20"/>
                <w:szCs w:val="20"/>
              </w:rPr>
            </w:pPr>
            <w:r>
              <w:rPr>
                <w:rFonts w:cs="Arial"/>
                <w:sz w:val="20"/>
                <w:szCs w:val="20"/>
              </w:rPr>
              <w:t>Enclosed coastal</w:t>
            </w:r>
            <w:r w:rsidRPr="00C00762">
              <w:rPr>
                <w:rFonts w:cs="Arial"/>
                <w:sz w:val="20"/>
                <w:szCs w:val="20"/>
              </w:rPr>
              <w:t xml:space="preserve"> intertidal</w:t>
            </w:r>
          </w:p>
        </w:tc>
        <w:tc>
          <w:tcPr>
            <w:tcW w:w="1559" w:type="dxa"/>
            <w:noWrap/>
            <w:vAlign w:val="center"/>
          </w:tcPr>
          <w:p w14:paraId="5F30888A"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Urangan</w:t>
            </w:r>
          </w:p>
        </w:tc>
        <w:tc>
          <w:tcPr>
            <w:tcW w:w="660" w:type="dxa"/>
            <w:noWrap/>
            <w:vAlign w:val="center"/>
          </w:tcPr>
          <w:p w14:paraId="63F2FCE5"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25°</w:t>
            </w:r>
          </w:p>
        </w:tc>
        <w:tc>
          <w:tcPr>
            <w:tcW w:w="1183" w:type="dxa"/>
            <w:noWrap/>
            <w:vAlign w:val="center"/>
          </w:tcPr>
          <w:p w14:paraId="7BDCCEC8"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18.197</w:t>
            </w:r>
          </w:p>
        </w:tc>
        <w:tc>
          <w:tcPr>
            <w:tcW w:w="674" w:type="dxa"/>
            <w:noWrap/>
            <w:vAlign w:val="center"/>
          </w:tcPr>
          <w:p w14:paraId="60F5B695"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152°</w:t>
            </w:r>
          </w:p>
        </w:tc>
        <w:tc>
          <w:tcPr>
            <w:tcW w:w="992" w:type="dxa"/>
            <w:noWrap/>
            <w:vAlign w:val="center"/>
          </w:tcPr>
          <w:p w14:paraId="4D6A4992" w14:textId="77777777" w:rsidR="001D21AE" w:rsidRPr="00C00762" w:rsidRDefault="001D21AE" w:rsidP="00386ADA">
            <w:pPr>
              <w:autoSpaceDE w:val="0"/>
              <w:autoSpaceDN w:val="0"/>
              <w:adjustRightInd w:val="0"/>
              <w:spacing w:before="0" w:after="0" w:line="240" w:lineRule="auto"/>
              <w:contextualSpacing/>
              <w:rPr>
                <w:rFonts w:cs="Arial"/>
                <w:sz w:val="20"/>
                <w:szCs w:val="20"/>
              </w:rPr>
            </w:pPr>
            <w:r w:rsidRPr="00C00762">
              <w:rPr>
                <w:rFonts w:cs="Arial"/>
                <w:sz w:val="20"/>
                <w:szCs w:val="20"/>
              </w:rPr>
              <w:t>54.364</w:t>
            </w:r>
          </w:p>
        </w:tc>
      </w:tr>
    </w:tbl>
    <w:p w14:paraId="08D57232" w14:textId="77777777" w:rsidR="00322094" w:rsidRPr="00D6407C" w:rsidRDefault="00322094" w:rsidP="00D6407C">
      <w:pPr>
        <w:rPr>
          <w:lang w:eastAsia="en-AU"/>
        </w:rPr>
      </w:pPr>
    </w:p>
    <w:p w14:paraId="7F8A8BFA" w14:textId="688C9196" w:rsidR="00531525" w:rsidRPr="0058370B" w:rsidRDefault="00531525" w:rsidP="00FE2F59">
      <w:pPr>
        <w:autoSpaceDE w:val="0"/>
        <w:autoSpaceDN w:val="0"/>
        <w:adjustRightInd w:val="0"/>
        <w:rPr>
          <w:rFonts w:cs="Arial"/>
        </w:rPr>
      </w:pPr>
      <w:r w:rsidRPr="0058370B">
        <w:rPr>
          <w:rFonts w:cs="Arial"/>
        </w:rPr>
        <w:t xml:space="preserve">The logger is self-contained in a pressure-housing with batteries providing sufficient power for deployments of longer than six months. For field deployment, loggers are attached to a permanent station marker using cable ties; this is above the sediment-water interface at the bottom of the seagrass canopy. </w:t>
      </w:r>
      <w:r w:rsidR="006C704D">
        <w:rPr>
          <w:rFonts w:cs="Arial"/>
        </w:rPr>
        <w:t xml:space="preserve">Similar to the </w:t>
      </w:r>
      <w:r w:rsidR="006C704D" w:rsidRPr="0058370B">
        <w:rPr>
          <w:rFonts w:cs="Arial"/>
        </w:rPr>
        <w:t>submersible temperature loggers</w:t>
      </w:r>
      <w:r w:rsidR="006C704D">
        <w:rPr>
          <w:rFonts w:cs="Arial"/>
        </w:rPr>
        <w:t>, this</w:t>
      </w:r>
      <w:r w:rsidR="006C704D" w:rsidRPr="0058370B">
        <w:rPr>
          <w:rFonts w:cs="Arial"/>
        </w:rPr>
        <w:t xml:space="preserve"> </w:t>
      </w:r>
      <w:r w:rsidRPr="0058370B">
        <w:rPr>
          <w:rFonts w:cs="Arial"/>
        </w:rPr>
        <w:t xml:space="preserve">location </w:t>
      </w:r>
      <w:r w:rsidR="003474FC">
        <w:rPr>
          <w:rFonts w:cs="Arial"/>
        </w:rPr>
        <w:t>makes sure</w:t>
      </w:r>
      <w:r w:rsidR="003474FC" w:rsidRPr="0058370B">
        <w:rPr>
          <w:rFonts w:cs="Arial"/>
        </w:rPr>
        <w:t xml:space="preserve"> </w:t>
      </w:r>
      <w:r w:rsidRPr="0058370B">
        <w:rPr>
          <w:rFonts w:cs="Arial"/>
        </w:rPr>
        <w:t xml:space="preserve">that the sensors are not exposed to air unless the seagrass meadow is almost completely drained and places them out of sight of curious people. At subtidal sites, the loggers are deployed on the sediment surface (attached to a permanent marker) with the sensor at seagrass canopy height. Two loggers are deployed at subtidal sites as there is an increased chance of logger fouling, and the dual logger set-up offers a redundant dataset in the instance that one logger fouls completely. Where possible, </w:t>
      </w:r>
      <w:r w:rsidR="00383250">
        <w:rPr>
          <w:rFonts w:cs="Arial"/>
        </w:rPr>
        <w:t>extra</w:t>
      </w:r>
      <w:r w:rsidR="00383250" w:rsidRPr="0058370B">
        <w:rPr>
          <w:rFonts w:cs="Arial"/>
        </w:rPr>
        <w:t xml:space="preserve"> </w:t>
      </w:r>
      <w:r w:rsidRPr="0058370B">
        <w:rPr>
          <w:rFonts w:cs="Arial"/>
        </w:rPr>
        <w:t xml:space="preserve">light loggers are deployed at subtidal sites 80 </w:t>
      </w:r>
      <w:r w:rsidR="00D74CED">
        <w:rPr>
          <w:rFonts w:cs="Arial"/>
        </w:rPr>
        <w:t>centimetres</w:t>
      </w:r>
      <w:r w:rsidR="00D74CED" w:rsidRPr="0058370B">
        <w:rPr>
          <w:rFonts w:cs="Arial"/>
        </w:rPr>
        <w:t xml:space="preserve"> </w:t>
      </w:r>
      <w:r w:rsidRPr="0058370B">
        <w:rPr>
          <w:rFonts w:cs="Arial"/>
        </w:rPr>
        <w:t xml:space="preserve">from the sediment surface. Data from this logger, together with data from the logger at canopy height, is used for calculation of the light attenuation co-efficient. Furthermore, another logger is deployed above the water surface at each of the subtidal monitoring stations. These </w:t>
      </w:r>
      <w:r w:rsidR="00383250">
        <w:rPr>
          <w:rFonts w:cs="Arial"/>
        </w:rPr>
        <w:t xml:space="preserve">extra </w:t>
      </w:r>
      <w:r w:rsidRPr="0058370B">
        <w:rPr>
          <w:rFonts w:cs="Arial"/>
        </w:rPr>
        <w:t>loggers (surface and subtidal higher in the water column) allow comparison of water quality indices for some of the time.</w:t>
      </w:r>
    </w:p>
    <w:p w14:paraId="0128EF49" w14:textId="7F29E9CC" w:rsidR="00531525" w:rsidRPr="0058370B" w:rsidRDefault="00531525" w:rsidP="00FE2F59">
      <w:pPr>
        <w:autoSpaceDE w:val="0"/>
        <w:autoSpaceDN w:val="0"/>
        <w:adjustRightInd w:val="0"/>
        <w:rPr>
          <w:rFonts w:cs="Arial"/>
        </w:rPr>
      </w:pPr>
      <w:r w:rsidRPr="0058370B">
        <w:rPr>
          <w:rFonts w:cs="Arial"/>
        </w:rPr>
        <w:t xml:space="preserve">Measurements are recorded by the logger every 30 minutes (this is a cumulative 30 minute reading). Experiments </w:t>
      </w:r>
      <w:r w:rsidR="00D74CED" w:rsidRPr="0058370B">
        <w:rPr>
          <w:rFonts w:cs="Arial"/>
        </w:rPr>
        <w:t>utili</w:t>
      </w:r>
      <w:r w:rsidR="00D74CED">
        <w:rPr>
          <w:rFonts w:cs="Arial"/>
        </w:rPr>
        <w:t>s</w:t>
      </w:r>
      <w:r w:rsidR="00D74CED" w:rsidRPr="0058370B">
        <w:rPr>
          <w:rFonts w:cs="Arial"/>
        </w:rPr>
        <w:t xml:space="preserve">ing </w:t>
      </w:r>
      <w:r w:rsidRPr="0058370B">
        <w:rPr>
          <w:rFonts w:cs="Arial"/>
        </w:rPr>
        <w:t xml:space="preserve">loggers with and without wipers </w:t>
      </w:r>
      <w:r w:rsidR="00D74CED">
        <w:rPr>
          <w:rFonts w:cs="Arial"/>
        </w:rPr>
        <w:t xml:space="preserve">have been </w:t>
      </w:r>
      <w:r w:rsidRPr="0058370B">
        <w:rPr>
          <w:rFonts w:cs="Arial"/>
        </w:rPr>
        <w:t xml:space="preserve">conducted to determine the benefits of wiper use and it was confirmed that the wipers improved the quality of the data by keeping the sensor free from fouling. Automatic wiper brushes are attached to each logger to clean the optical surface of the sensor every </w:t>
      </w:r>
      <w:r w:rsidR="00322094">
        <w:rPr>
          <w:rFonts w:cs="Arial"/>
        </w:rPr>
        <w:t>15</w:t>
      </w:r>
      <w:r w:rsidR="00322094" w:rsidRPr="0058370B">
        <w:rPr>
          <w:rFonts w:cs="Arial"/>
        </w:rPr>
        <w:t xml:space="preserve"> </w:t>
      </w:r>
      <w:r w:rsidRPr="0058370B">
        <w:rPr>
          <w:rFonts w:cs="Arial"/>
        </w:rPr>
        <w:t xml:space="preserve">minutes to prevent marine organisms </w:t>
      </w:r>
      <w:r w:rsidR="00D74CED" w:rsidRPr="0058370B">
        <w:rPr>
          <w:rFonts w:cs="Arial"/>
        </w:rPr>
        <w:t>fo</w:t>
      </w:r>
      <w:r w:rsidR="00D74CED">
        <w:rPr>
          <w:rFonts w:cs="Arial"/>
        </w:rPr>
        <w:t>u</w:t>
      </w:r>
      <w:r w:rsidR="00D74CED" w:rsidRPr="0058370B">
        <w:rPr>
          <w:rFonts w:cs="Arial"/>
        </w:rPr>
        <w:t xml:space="preserve">ling </w:t>
      </w:r>
      <w:r w:rsidRPr="0058370B">
        <w:rPr>
          <w:rFonts w:cs="Arial"/>
        </w:rPr>
        <w:t>the sensor or sediment settling on the sensor, both of which diminish the light reading.</w:t>
      </w:r>
    </w:p>
    <w:p w14:paraId="1A706192" w14:textId="12FE58F2" w:rsidR="00531525" w:rsidRPr="0058370B" w:rsidRDefault="00531525" w:rsidP="00FE2F59">
      <w:pPr>
        <w:autoSpaceDE w:val="0"/>
        <w:autoSpaceDN w:val="0"/>
        <w:adjustRightInd w:val="0"/>
        <w:rPr>
          <w:rFonts w:cs="Arial"/>
        </w:rPr>
      </w:pPr>
      <w:r w:rsidRPr="0058370B">
        <w:rPr>
          <w:rFonts w:cs="Arial"/>
        </w:rPr>
        <w:t xml:space="preserve">Each light logger has a unique serial number </w:t>
      </w:r>
      <w:r w:rsidR="00D74CED">
        <w:rPr>
          <w:rFonts w:cs="Arial"/>
        </w:rPr>
        <w:t>that</w:t>
      </w:r>
      <w:r w:rsidRPr="0058370B">
        <w:rPr>
          <w:rFonts w:cs="Arial"/>
        </w:rPr>
        <w:t xml:space="preserve"> is recorded within a central secure database. The logger number is recorded on the monitoring site datasheet with the time of deployment and collection. At each monitoring event (every three to six months) the light loggers are removed and replaced with a ‘fresh’ logger. At subtidal monitoring sites, the loggers are checked by </w:t>
      </w:r>
      <w:r w:rsidR="00183DFE">
        <w:rPr>
          <w:rFonts w:cs="Arial"/>
        </w:rPr>
        <w:t>scuba</w:t>
      </w:r>
      <w:r w:rsidR="00183DFE" w:rsidRPr="0058370B">
        <w:rPr>
          <w:rFonts w:cs="Arial"/>
        </w:rPr>
        <w:t xml:space="preserve"> </w:t>
      </w:r>
      <w:r w:rsidRPr="0058370B">
        <w:rPr>
          <w:rFonts w:cs="Arial"/>
        </w:rPr>
        <w:t xml:space="preserve">by JCU </w:t>
      </w:r>
      <w:r w:rsidR="00D74CED">
        <w:rPr>
          <w:rFonts w:cs="Arial"/>
        </w:rPr>
        <w:t xml:space="preserve">personnel </w:t>
      </w:r>
      <w:r w:rsidRPr="0058370B">
        <w:rPr>
          <w:rFonts w:cs="Arial"/>
        </w:rPr>
        <w:t xml:space="preserve">(and replaced if fouled) every </w:t>
      </w:r>
      <w:r w:rsidR="00322094">
        <w:rPr>
          <w:rFonts w:cs="Arial"/>
        </w:rPr>
        <w:t>three months</w:t>
      </w:r>
      <w:r w:rsidRPr="0058370B">
        <w:rPr>
          <w:rFonts w:cs="Arial"/>
        </w:rPr>
        <w:t xml:space="preserve"> due to the increased fouling rates at permanently submerged sites. After collection, details of the logger number, field datasheet (with date and time) and logger are returned to JCU for downloading. </w:t>
      </w:r>
    </w:p>
    <w:p w14:paraId="645BCB4C" w14:textId="12947CC2" w:rsidR="00531525" w:rsidRPr="0058370B" w:rsidRDefault="00531525" w:rsidP="00FE2F59">
      <w:pPr>
        <w:autoSpaceDE w:val="0"/>
        <w:autoSpaceDN w:val="0"/>
        <w:adjustRightInd w:val="0"/>
        <w:rPr>
          <w:rFonts w:cs="Arial"/>
        </w:rPr>
      </w:pPr>
      <w:r w:rsidRPr="0058370B">
        <w:rPr>
          <w:rFonts w:cs="Arial"/>
        </w:rPr>
        <w:t xml:space="preserve">Photographs of the light sensor and/or notes on the condition of the sensor are recorded at logger collection. If fouling is major (e.g. wiper failure), data are truncated to included only that data before fouling began </w:t>
      </w:r>
      <w:r w:rsidR="00D74CED">
        <w:rPr>
          <w:rFonts w:cs="Arial"/>
        </w:rPr>
        <w:t>—</w:t>
      </w:r>
      <w:r w:rsidRPr="0058370B">
        <w:rPr>
          <w:rFonts w:cs="Arial"/>
        </w:rPr>
        <w:t xml:space="preserve"> usually one to two weeks. If fouling was minor (up to ~25</w:t>
      </w:r>
      <w:r w:rsidR="00D74CED">
        <w:rPr>
          <w:rFonts w:cs="Arial"/>
        </w:rPr>
        <w:t xml:space="preserve"> per cent</w:t>
      </w:r>
      <w:r w:rsidRPr="0058370B">
        <w:rPr>
          <w:rFonts w:cs="Arial"/>
        </w:rPr>
        <w:t xml:space="preserve"> of the sen</w:t>
      </w:r>
      <w:r w:rsidR="00D74CED">
        <w:rPr>
          <w:rFonts w:cs="Arial"/>
        </w:rPr>
        <w:t>s</w:t>
      </w:r>
      <w:r w:rsidRPr="0058370B">
        <w:rPr>
          <w:rFonts w:cs="Arial"/>
        </w:rPr>
        <w:t xml:space="preserve">or covered), back corrections to the data are made to allow for a linear rate of fouling (linear because with minor fouling it is assumed that the wiper was retarding algal growth rates, but not fully inhibiting them). </w:t>
      </w:r>
    </w:p>
    <w:p w14:paraId="3092FCDD" w14:textId="7EB3E170" w:rsidR="00531525" w:rsidRPr="0058370B" w:rsidRDefault="00531525" w:rsidP="009F1EA2">
      <w:pPr>
        <w:pStyle w:val="Heading3"/>
      </w:pPr>
      <w:bookmarkStart w:id="494" w:name="_Toc393785074"/>
      <w:bookmarkStart w:id="495" w:name="_Toc394061179"/>
      <w:bookmarkStart w:id="496" w:name="_Toc394061269"/>
      <w:bookmarkStart w:id="497" w:name="_Toc396312035"/>
      <w:bookmarkStart w:id="498" w:name="_Toc520727870"/>
      <w:bookmarkStart w:id="499" w:name="_Toc12365615"/>
      <w:r w:rsidRPr="0058370B">
        <w:t xml:space="preserve">Calibration procedures </w:t>
      </w:r>
      <w:r w:rsidR="00D74CED">
        <w:t>—</w:t>
      </w:r>
      <w:r w:rsidRPr="0058370B">
        <w:t xml:space="preserve"> Seagrass meadow canopy light loggers</w:t>
      </w:r>
      <w:bookmarkEnd w:id="494"/>
      <w:bookmarkEnd w:id="495"/>
      <w:bookmarkEnd w:id="496"/>
      <w:bookmarkEnd w:id="497"/>
      <w:bookmarkEnd w:id="498"/>
      <w:bookmarkEnd w:id="499"/>
    </w:p>
    <w:p w14:paraId="11FB68C7" w14:textId="68716D23" w:rsidR="00531525" w:rsidRPr="0058370B" w:rsidRDefault="00531525" w:rsidP="00FE2F59">
      <w:pPr>
        <w:autoSpaceDE w:val="0"/>
        <w:autoSpaceDN w:val="0"/>
        <w:adjustRightInd w:val="0"/>
        <w:rPr>
          <w:rFonts w:cs="Arial"/>
        </w:rPr>
      </w:pPr>
      <w:r w:rsidRPr="0058370B">
        <w:rPr>
          <w:rFonts w:cs="Arial"/>
        </w:rPr>
        <w:t xml:space="preserve">Loggers are calibrated against a certified reference </w:t>
      </w:r>
      <w:r w:rsidR="00D74CED">
        <w:rPr>
          <w:rFonts w:cs="Arial"/>
        </w:rPr>
        <w:t>p</w:t>
      </w:r>
      <w:r w:rsidR="00D74CED" w:rsidRPr="0058370B">
        <w:rPr>
          <w:rFonts w:cs="Arial"/>
        </w:rPr>
        <w:t xml:space="preserve">hotosynthetically </w:t>
      </w:r>
      <w:r w:rsidR="00D74CED">
        <w:rPr>
          <w:rFonts w:cs="Arial"/>
        </w:rPr>
        <w:t>a</w:t>
      </w:r>
      <w:r w:rsidR="00D74CED" w:rsidRPr="0058370B">
        <w:rPr>
          <w:rFonts w:cs="Arial"/>
        </w:rPr>
        <w:t xml:space="preserve">ctive </w:t>
      </w:r>
      <w:r w:rsidR="00D74CED">
        <w:rPr>
          <w:rFonts w:cs="Arial"/>
        </w:rPr>
        <w:t>r</w:t>
      </w:r>
      <w:r w:rsidR="00D74CED" w:rsidRPr="0058370B">
        <w:rPr>
          <w:rFonts w:cs="Arial"/>
        </w:rPr>
        <w:t xml:space="preserve">adiation </w:t>
      </w:r>
      <w:r w:rsidRPr="0058370B">
        <w:rPr>
          <w:rFonts w:cs="Arial"/>
        </w:rPr>
        <w:t>sensor (Li-Cor</w:t>
      </w:r>
      <w:r w:rsidRPr="0058370B">
        <w:rPr>
          <w:rFonts w:cs="Arial"/>
          <w:vertAlign w:val="superscript"/>
        </w:rPr>
        <w:t>™</w:t>
      </w:r>
      <w:r w:rsidRPr="0058370B">
        <w:rPr>
          <w:rFonts w:cs="Arial"/>
        </w:rPr>
        <w:t xml:space="preserve"> Li-192SB Underwater Quantum Sensor) against a Li-Cor light source </w:t>
      </w:r>
      <w:r w:rsidR="00D74CED">
        <w:rPr>
          <w:rFonts w:cs="Arial"/>
        </w:rPr>
        <w:t>under</w:t>
      </w:r>
      <w:r w:rsidR="00D74CED" w:rsidRPr="0058370B">
        <w:rPr>
          <w:rFonts w:cs="Arial"/>
        </w:rPr>
        <w:t xml:space="preserve"> </w:t>
      </w:r>
      <w:r w:rsidRPr="0058370B">
        <w:rPr>
          <w:rFonts w:cs="Arial"/>
        </w:rPr>
        <w:t>controlled laboratory conditions.</w:t>
      </w:r>
    </w:p>
    <w:p w14:paraId="74EF607F" w14:textId="77777777" w:rsidR="00531525" w:rsidRPr="0058370B" w:rsidRDefault="00531525" w:rsidP="00FE2F59">
      <w:pPr>
        <w:autoSpaceDE w:val="0"/>
        <w:autoSpaceDN w:val="0"/>
        <w:adjustRightInd w:val="0"/>
        <w:rPr>
          <w:rFonts w:cs="Arial"/>
        </w:rPr>
      </w:pPr>
      <w:r w:rsidRPr="0058370B">
        <w:rPr>
          <w:rFonts w:cs="Arial"/>
        </w:rPr>
        <w:t>The Li-192SB sensor is cosine corrected and specifications are:</w:t>
      </w:r>
    </w:p>
    <w:p w14:paraId="1E55EFE9" w14:textId="20ABD375" w:rsidR="00531525" w:rsidRPr="006832C0" w:rsidRDefault="00183DFE" w:rsidP="006C7E99">
      <w:pPr>
        <w:pStyle w:val="ListParagraph"/>
        <w:numPr>
          <w:ilvl w:val="0"/>
          <w:numId w:val="48"/>
        </w:numPr>
        <w:rPr>
          <w:rFonts w:cs="Arial"/>
        </w:rPr>
      </w:pPr>
      <w:r>
        <w:rPr>
          <w:rFonts w:cs="Arial"/>
        </w:rPr>
        <w:t>a</w:t>
      </w:r>
      <w:r w:rsidRPr="006832C0">
        <w:rPr>
          <w:rFonts w:cs="Arial"/>
        </w:rPr>
        <w:t xml:space="preserve">bsolute </w:t>
      </w:r>
      <w:r w:rsidR="00531525" w:rsidRPr="006832C0">
        <w:rPr>
          <w:rFonts w:cs="Arial"/>
          <w:bCs/>
        </w:rPr>
        <w:t>calibration</w:t>
      </w:r>
      <w:r w:rsidR="00531525" w:rsidRPr="006832C0">
        <w:rPr>
          <w:rFonts w:cs="Arial"/>
        </w:rPr>
        <w:t>: ±</w:t>
      </w:r>
      <w:r w:rsidR="00D74CED">
        <w:rPr>
          <w:rFonts w:cs="Arial"/>
        </w:rPr>
        <w:t xml:space="preserve"> </w:t>
      </w:r>
      <w:r w:rsidR="00531525" w:rsidRPr="006832C0">
        <w:rPr>
          <w:rFonts w:cs="Arial"/>
        </w:rPr>
        <w:t>5</w:t>
      </w:r>
      <w:r w:rsidR="00D74CED">
        <w:rPr>
          <w:rFonts w:cs="Arial"/>
        </w:rPr>
        <w:t xml:space="preserve"> per cent</w:t>
      </w:r>
      <w:r w:rsidR="00531525" w:rsidRPr="006832C0">
        <w:rPr>
          <w:rFonts w:cs="Arial"/>
        </w:rPr>
        <w:t xml:space="preserve"> in air</w:t>
      </w:r>
    </w:p>
    <w:p w14:paraId="61E17637" w14:textId="78F88E4A" w:rsidR="00531525" w:rsidRPr="006832C0" w:rsidRDefault="00183DFE" w:rsidP="006C7E99">
      <w:pPr>
        <w:pStyle w:val="ListParagraph"/>
        <w:numPr>
          <w:ilvl w:val="0"/>
          <w:numId w:val="48"/>
        </w:numPr>
        <w:rPr>
          <w:rFonts w:cs="Arial"/>
        </w:rPr>
      </w:pPr>
      <w:r>
        <w:rPr>
          <w:rFonts w:cs="Arial"/>
        </w:rPr>
        <w:t>r</w:t>
      </w:r>
      <w:r w:rsidRPr="006832C0">
        <w:rPr>
          <w:rFonts w:cs="Arial"/>
        </w:rPr>
        <w:t xml:space="preserve">elative </w:t>
      </w:r>
      <w:r w:rsidR="00531525" w:rsidRPr="006832C0">
        <w:rPr>
          <w:rFonts w:cs="Arial"/>
        </w:rPr>
        <w:t>error: &lt;±</w:t>
      </w:r>
      <w:r w:rsidR="00D74CED">
        <w:rPr>
          <w:rFonts w:cs="Arial"/>
        </w:rPr>
        <w:t xml:space="preserve"> </w:t>
      </w:r>
      <w:r w:rsidR="00531525" w:rsidRPr="006832C0">
        <w:rPr>
          <w:rFonts w:cs="Arial"/>
        </w:rPr>
        <w:t>5</w:t>
      </w:r>
      <w:r w:rsidR="00D74CED">
        <w:rPr>
          <w:rFonts w:cs="Arial"/>
        </w:rPr>
        <w:t xml:space="preserve"> per cent</w:t>
      </w:r>
      <w:r w:rsidR="00D74CED" w:rsidRPr="006832C0">
        <w:rPr>
          <w:rFonts w:cs="Arial"/>
        </w:rPr>
        <w:t xml:space="preserve"> </w:t>
      </w:r>
      <w:r w:rsidR="00531525" w:rsidRPr="006832C0">
        <w:rPr>
          <w:rFonts w:cs="Arial"/>
        </w:rPr>
        <w:t>under most conditions</w:t>
      </w:r>
    </w:p>
    <w:p w14:paraId="2180FB24" w14:textId="49A2BCA1" w:rsidR="00531525" w:rsidRPr="006832C0" w:rsidRDefault="00183DFE" w:rsidP="006C7E99">
      <w:pPr>
        <w:pStyle w:val="ListParagraph"/>
        <w:numPr>
          <w:ilvl w:val="0"/>
          <w:numId w:val="48"/>
        </w:numPr>
        <w:rPr>
          <w:rFonts w:cs="Arial"/>
        </w:rPr>
      </w:pPr>
      <w:r>
        <w:rPr>
          <w:rFonts w:cs="Arial"/>
        </w:rPr>
        <w:t>s</w:t>
      </w:r>
      <w:r w:rsidRPr="006832C0">
        <w:rPr>
          <w:rFonts w:cs="Arial"/>
        </w:rPr>
        <w:t>ensitivity</w:t>
      </w:r>
      <w:r w:rsidR="00531525" w:rsidRPr="006832C0">
        <w:rPr>
          <w:rFonts w:cs="Arial"/>
        </w:rPr>
        <w:t>: typically 3</w:t>
      </w:r>
      <w:r w:rsidR="00D74CED">
        <w:rPr>
          <w:rFonts w:cs="Arial"/>
        </w:rPr>
        <w:t xml:space="preserve"> </w:t>
      </w:r>
      <w:r w:rsidR="00531525" w:rsidRPr="006832C0">
        <w:rPr>
          <w:rFonts w:cs="Arial"/>
        </w:rPr>
        <w:t>μA per 1000</w:t>
      </w:r>
      <w:r w:rsidR="00D74CED">
        <w:rPr>
          <w:rFonts w:cs="Arial"/>
        </w:rPr>
        <w:t xml:space="preserve"> </w:t>
      </w:r>
      <w:r w:rsidR="00531525" w:rsidRPr="006832C0">
        <w:rPr>
          <w:rFonts w:cs="Arial"/>
        </w:rPr>
        <w:t>μE s</w:t>
      </w:r>
      <w:r w:rsidR="00531525" w:rsidRPr="006832C0">
        <w:rPr>
          <w:rFonts w:cs="Arial"/>
          <w:vertAlign w:val="superscript"/>
        </w:rPr>
        <w:t>-1</w:t>
      </w:r>
      <w:r w:rsidR="00531525" w:rsidRPr="006832C0">
        <w:rPr>
          <w:rFonts w:cs="Arial"/>
        </w:rPr>
        <w:t> m</w:t>
      </w:r>
      <w:r w:rsidR="00531525" w:rsidRPr="006832C0">
        <w:rPr>
          <w:rFonts w:cs="Arial"/>
          <w:vertAlign w:val="superscript"/>
        </w:rPr>
        <w:t>-2</w:t>
      </w:r>
      <w:r w:rsidR="00531525" w:rsidRPr="006832C0">
        <w:rPr>
          <w:rFonts w:cs="Arial"/>
        </w:rPr>
        <w:t xml:space="preserve"> in water</w:t>
      </w:r>
      <w:r>
        <w:rPr>
          <w:rFonts w:cs="Arial"/>
        </w:rPr>
        <w:t>.</w:t>
      </w:r>
    </w:p>
    <w:p w14:paraId="6C2F61C7" w14:textId="1A3E2830" w:rsidR="00531525" w:rsidRPr="0058370B" w:rsidRDefault="00531525" w:rsidP="00FE2F59">
      <w:pPr>
        <w:rPr>
          <w:rFonts w:cs="Arial"/>
        </w:rPr>
      </w:pPr>
      <w:r w:rsidRPr="0058370B">
        <w:rPr>
          <w:rFonts w:cs="Arial"/>
        </w:rPr>
        <w:t xml:space="preserve">The reference light sensor is calibrated before deployment by JCU. The calibration of each logger is </w:t>
      </w:r>
      <w:r w:rsidR="001D21AE">
        <w:rPr>
          <w:rFonts w:cs="Arial"/>
        </w:rPr>
        <w:t>recorded within</w:t>
      </w:r>
      <w:r w:rsidRPr="0058370B">
        <w:rPr>
          <w:rFonts w:cs="Arial"/>
        </w:rPr>
        <w:t xml:space="preserve"> metadata and corresponds to the serial numbers attached to each logger. The calibration is performed in air and a 1.33 conversion factor is applied to the data to allow for the difference in light transmission to the sensor between air and water</w:t>
      </w:r>
      <w:r w:rsidR="009970A5">
        <w:rPr>
          <w:rFonts w:cs="Arial"/>
        </w:rPr>
        <w:t xml:space="preserve"> </w:t>
      </w:r>
      <w:r w:rsidR="009970A5">
        <w:rPr>
          <w:rFonts w:cs="Arial"/>
        </w:rPr>
        <w:fldChar w:fldCharType="begin"/>
      </w:r>
      <w:r w:rsidR="009970A5">
        <w:rPr>
          <w:rFonts w:cs="Arial"/>
        </w:rPr>
        <w:instrText xml:space="preserve"> ADDIN EN.CITE &lt;EndNote&gt;&lt;Cite&gt;&lt;Author&gt;Kirk&lt;/Author&gt;&lt;Year&gt;1994&lt;/Year&gt;&lt;RecNum&gt;1334&lt;/RecNum&gt;&lt;DisplayText&gt;(Kirk, 1994)&lt;/DisplayText&gt;&lt;record&gt;&lt;rec-number&gt;1334&lt;/rec-number&gt;&lt;foreign-keys&gt;&lt;key app="EN" db-id="zapfddtwo2e9z5e5vxoxafs7sf59wfp52rvf" timestamp="1558929702"&gt;1334&lt;/key&gt;&lt;/foreign-keys&gt;&lt;ref-type name="Book"&gt;6&lt;/ref-type&gt;&lt;contributors&gt;&lt;authors&gt;&lt;author&gt;Kirk, John TO&lt;/author&gt;&lt;/authors&gt;&lt;/contributors&gt;&lt;titles&gt;&lt;title&gt;Light and photosynthesis in aquatic ecosystems&lt;/title&gt;&lt;/titles&gt;&lt;section&gt;509&lt;/section&gt;&lt;dates&gt;&lt;year&gt;1994&lt;/year&gt;&lt;/dates&gt;&lt;publisher&gt;Cambridge University Press&lt;/publisher&gt;&lt;isbn&gt;0521459664&lt;/isbn&gt;&lt;urls&gt;&lt;/urls&gt;&lt;/record&gt;&lt;/Cite&gt;&lt;/EndNote&gt;</w:instrText>
      </w:r>
      <w:r w:rsidR="009970A5">
        <w:rPr>
          <w:rFonts w:cs="Arial"/>
        </w:rPr>
        <w:fldChar w:fldCharType="separate"/>
      </w:r>
      <w:r w:rsidR="009970A5">
        <w:rPr>
          <w:rFonts w:cs="Arial"/>
          <w:noProof/>
        </w:rPr>
        <w:t>(Kirk, 1994)</w:t>
      </w:r>
      <w:r w:rsidR="009970A5">
        <w:rPr>
          <w:rFonts w:cs="Arial"/>
        </w:rPr>
        <w:fldChar w:fldCharType="end"/>
      </w:r>
      <w:r w:rsidRPr="0058370B">
        <w:rPr>
          <w:rFonts w:cs="Arial"/>
        </w:rPr>
        <w:t xml:space="preserve">. This factor is not applied when the sensor is immersed at low tide and emersion is estimated from actual sea level data provided by Maritime Safety Queensland. </w:t>
      </w:r>
    </w:p>
    <w:p w14:paraId="70C6F6FE" w14:textId="77777777" w:rsidR="00531525" w:rsidRPr="0058370B" w:rsidRDefault="00531525" w:rsidP="00FE2F59">
      <w:pPr>
        <w:autoSpaceDE w:val="0"/>
        <w:autoSpaceDN w:val="0"/>
        <w:adjustRightInd w:val="0"/>
        <w:rPr>
          <w:rFonts w:cs="Arial"/>
        </w:rPr>
      </w:pPr>
      <w:r w:rsidRPr="0058370B">
        <w:rPr>
          <w:rFonts w:cs="Arial"/>
        </w:rPr>
        <w:t xml:space="preserve">Logger deployment and data retrieval is carried out by scientific personnel who have been trained in the applied methods. Methods and procedures documents are available to relevant staff and are collectively kept up-to-date. Changes to procedures are developed and discussed and recorded in metadata records. </w:t>
      </w:r>
    </w:p>
    <w:p w14:paraId="1BFE571A" w14:textId="38A7A7D9" w:rsidR="00531525" w:rsidRPr="0058370B" w:rsidRDefault="00531525" w:rsidP="00FE2F59">
      <w:pPr>
        <w:pStyle w:val="Heading2"/>
        <w:ind w:left="0" w:firstLine="0"/>
        <w:rPr>
          <w:rFonts w:cs="Arial"/>
          <w:sz w:val="22"/>
          <w:szCs w:val="22"/>
        </w:rPr>
      </w:pPr>
      <w:bookmarkStart w:id="500" w:name="_Toc393785076"/>
      <w:bookmarkStart w:id="501" w:name="_Toc394061181"/>
      <w:bookmarkStart w:id="502" w:name="_Toc394061271"/>
      <w:bookmarkStart w:id="503" w:name="_Toc396312037"/>
      <w:bookmarkStart w:id="504" w:name="_Toc520727871"/>
      <w:bookmarkStart w:id="505" w:name="_Toc12365616"/>
      <w:r w:rsidRPr="0058370B">
        <w:rPr>
          <w:rFonts w:cs="Arial"/>
          <w:sz w:val="22"/>
          <w:szCs w:val="22"/>
        </w:rPr>
        <w:t>Data management</w:t>
      </w:r>
      <w:bookmarkEnd w:id="500"/>
      <w:bookmarkEnd w:id="501"/>
      <w:bookmarkEnd w:id="502"/>
      <w:bookmarkEnd w:id="503"/>
      <w:bookmarkEnd w:id="504"/>
      <w:bookmarkEnd w:id="505"/>
    </w:p>
    <w:p w14:paraId="0760386C" w14:textId="4160AD41" w:rsidR="00531525" w:rsidRPr="0058370B" w:rsidRDefault="00531525" w:rsidP="009F1EA2">
      <w:pPr>
        <w:pStyle w:val="Heading3"/>
      </w:pPr>
      <w:bookmarkStart w:id="506" w:name="_Toc393785077"/>
      <w:bookmarkStart w:id="507" w:name="_Toc394061182"/>
      <w:bookmarkStart w:id="508" w:name="_Toc394061272"/>
      <w:bookmarkStart w:id="509" w:name="_Toc396312038"/>
      <w:bookmarkStart w:id="510" w:name="_Toc520727872"/>
      <w:bookmarkStart w:id="511" w:name="_Toc12365617"/>
      <w:r w:rsidRPr="0058370B">
        <w:t>Inshore seagrass meadow abundance, community structure and reproductive health</w:t>
      </w:r>
      <w:bookmarkEnd w:id="506"/>
      <w:bookmarkEnd w:id="507"/>
      <w:bookmarkEnd w:id="508"/>
      <w:bookmarkEnd w:id="509"/>
      <w:bookmarkEnd w:id="510"/>
      <w:bookmarkEnd w:id="511"/>
    </w:p>
    <w:p w14:paraId="11612EA6" w14:textId="6209270B" w:rsidR="00531525" w:rsidRPr="0058370B" w:rsidRDefault="00531525" w:rsidP="00FE2F59">
      <w:pPr>
        <w:rPr>
          <w:rFonts w:cs="Arial"/>
        </w:rPr>
      </w:pPr>
      <w:r w:rsidRPr="0058370B">
        <w:rPr>
          <w:rFonts w:cs="Arial"/>
        </w:rPr>
        <w:t xml:space="preserve">TropWATER (JCU) has systems in place to manage the way MMP data is collected, organised, documented, evaluated and secured. All data is collected and collated in a standard format. Seagrass-Watch HQ (JCU) has implemented a </w:t>
      </w:r>
      <w:r w:rsidR="00D74CED">
        <w:rPr>
          <w:rFonts w:cs="Arial"/>
        </w:rPr>
        <w:t>QA</w:t>
      </w:r>
      <w:r w:rsidRPr="0058370B">
        <w:rPr>
          <w:rFonts w:cs="Arial"/>
        </w:rPr>
        <w:t xml:space="preserve"> management system to </w:t>
      </w:r>
      <w:r w:rsidR="000709E8">
        <w:rPr>
          <w:rFonts w:cs="Arial"/>
        </w:rPr>
        <w:t>make sure</w:t>
      </w:r>
      <w:r w:rsidR="000709E8" w:rsidRPr="0058370B">
        <w:rPr>
          <w:rFonts w:cs="Arial"/>
        </w:rPr>
        <w:t xml:space="preserve"> </w:t>
      </w:r>
      <w:r w:rsidRPr="0058370B">
        <w:rPr>
          <w:rFonts w:cs="Arial"/>
        </w:rPr>
        <w:t>that</w:t>
      </w:r>
      <w:r w:rsidR="00D74CED">
        <w:rPr>
          <w:rFonts w:cs="Arial"/>
        </w:rPr>
        <w:t xml:space="preserve"> the</w:t>
      </w:r>
      <w:r w:rsidRPr="0058370B">
        <w:rPr>
          <w:rFonts w:cs="Arial"/>
        </w:rPr>
        <w:t xml:space="preserve"> data collected </w:t>
      </w:r>
      <w:r w:rsidR="00D74CED">
        <w:rPr>
          <w:rFonts w:cs="Arial"/>
        </w:rPr>
        <w:t>are</w:t>
      </w:r>
      <w:r w:rsidR="00D74CED" w:rsidRPr="0058370B">
        <w:rPr>
          <w:rFonts w:cs="Arial"/>
        </w:rPr>
        <w:t xml:space="preserve"> </w:t>
      </w:r>
      <w:r w:rsidRPr="0058370B">
        <w:rPr>
          <w:rFonts w:cs="Arial"/>
        </w:rPr>
        <w:t xml:space="preserve">organised and stored and able to be </w:t>
      </w:r>
      <w:r w:rsidR="00D74CED">
        <w:rPr>
          <w:rFonts w:cs="Arial"/>
        </w:rPr>
        <w:t xml:space="preserve">easily </w:t>
      </w:r>
      <w:r w:rsidRPr="0058370B">
        <w:rPr>
          <w:rFonts w:cs="Arial"/>
        </w:rPr>
        <w:t xml:space="preserve">used. </w:t>
      </w:r>
    </w:p>
    <w:p w14:paraId="58475E9C" w14:textId="788C8414" w:rsidR="00531525" w:rsidRPr="0058370B" w:rsidRDefault="00531525" w:rsidP="00FE2F59">
      <w:pPr>
        <w:rPr>
          <w:rFonts w:cs="Arial"/>
        </w:rPr>
      </w:pPr>
      <w:r w:rsidRPr="0058370B">
        <w:rPr>
          <w:rFonts w:cs="Arial"/>
        </w:rPr>
        <w:t xml:space="preserve">All data (datasheets and photographs) received are entered </w:t>
      </w:r>
      <w:r w:rsidR="00D74CED">
        <w:rPr>
          <w:rFonts w:cs="Arial"/>
        </w:rPr>
        <w:t>i</w:t>
      </w:r>
      <w:r w:rsidR="00D74CED" w:rsidRPr="0058370B">
        <w:rPr>
          <w:rFonts w:cs="Arial"/>
        </w:rPr>
        <w:t xml:space="preserve">nto </w:t>
      </w:r>
      <w:r w:rsidRPr="0058370B">
        <w:rPr>
          <w:rFonts w:cs="Arial"/>
        </w:rPr>
        <w:t xml:space="preserve">a relational database on a secure server at </w:t>
      </w:r>
      <w:r w:rsidR="00D74CED">
        <w:rPr>
          <w:rFonts w:cs="Arial"/>
        </w:rPr>
        <w:t>JCU</w:t>
      </w:r>
      <w:r w:rsidRPr="0058370B">
        <w:rPr>
          <w:rFonts w:cs="Arial"/>
        </w:rPr>
        <w:t xml:space="preserve">, Cairns campus. Receipt of all original data hardcopies is documented and filed within the Seagrass-Watch HQ File Management System, a formally organised and secure system. The database is routinely backed up (in multiple places). Seagrass-Watch HQ (JCU) operates as custodian of data collected and provides an evaluation and analysis of the data for reporting purposes. Access to the IT system and databases is restricted to only authorised personnel. </w:t>
      </w:r>
    </w:p>
    <w:p w14:paraId="45056B60" w14:textId="7483ECC7" w:rsidR="00531525" w:rsidRPr="0058370B" w:rsidRDefault="00531525" w:rsidP="00FE2F59">
      <w:pPr>
        <w:rPr>
          <w:rFonts w:cs="Arial"/>
        </w:rPr>
      </w:pPr>
      <w:r w:rsidRPr="0058370B">
        <w:rPr>
          <w:rFonts w:cs="Arial"/>
        </w:rPr>
        <w:t>Seagrass-Watch HQ (JCU) performs a quality check on the data. Seagrass-Watch HQ provides validation of data and attempts to correct incidental/understandable errors where possible (</w:t>
      </w:r>
      <w:r w:rsidR="00D74CED">
        <w:rPr>
          <w:rFonts w:cs="Arial"/>
        </w:rPr>
        <w:t>for example</w:t>
      </w:r>
      <w:r w:rsidRPr="0058370B">
        <w:rPr>
          <w:rFonts w:cs="Arial"/>
        </w:rPr>
        <w:t xml:space="preserve"> blanks are entered as -1 or if monospecific meadow percentage composition = 100</w:t>
      </w:r>
      <w:r w:rsidR="00D74CED">
        <w:rPr>
          <w:rFonts w:cs="Arial"/>
        </w:rPr>
        <w:t xml:space="preserve"> per cent</w:t>
      </w:r>
      <w:r w:rsidRPr="0058370B">
        <w:rPr>
          <w:rFonts w:cs="Arial"/>
        </w:rPr>
        <w:t>) (</w:t>
      </w:r>
      <w:hyperlink r:id="rId78" w:history="1">
        <w:r w:rsidRPr="0058370B">
          <w:rPr>
            <w:rStyle w:val="Hyperlink"/>
            <w:rFonts w:cs="Arial"/>
          </w:rPr>
          <w:t>seagrasswatch.org/data_entry.html</w:t>
        </w:r>
      </w:hyperlink>
      <w:r w:rsidRPr="0058370B">
        <w:rPr>
          <w:rFonts w:cs="Arial"/>
        </w:rPr>
        <w:t xml:space="preserve">). Validation is provided by checking observations against photographic records to </w:t>
      </w:r>
      <w:r w:rsidR="00D74CED">
        <w:rPr>
          <w:rFonts w:cs="Arial"/>
        </w:rPr>
        <w:t>make sure of the</w:t>
      </w:r>
      <w:r w:rsidRPr="0058370B">
        <w:rPr>
          <w:rFonts w:cs="Arial"/>
        </w:rPr>
        <w:t xml:space="preserve"> consistency of observers and by identification of voucher specimens submitted.</w:t>
      </w:r>
    </w:p>
    <w:p w14:paraId="7BF52082" w14:textId="5FAC1730" w:rsidR="00531525" w:rsidRPr="0058370B" w:rsidRDefault="00383250" w:rsidP="00FE2F59">
      <w:pPr>
        <w:rPr>
          <w:rFonts w:cs="Arial"/>
        </w:rPr>
      </w:pPr>
      <w:r>
        <w:rPr>
          <w:rFonts w:cs="Arial"/>
        </w:rPr>
        <w:t>Keeping to</w:t>
      </w:r>
      <w:r w:rsidR="00531525" w:rsidRPr="0058370B">
        <w:rPr>
          <w:rFonts w:cs="Arial"/>
        </w:rPr>
        <w:t xml:space="preserve"> QA/QC protocols, Seagrass-Watch HQ </w:t>
      </w:r>
      <w:r>
        <w:rPr>
          <w:rFonts w:cs="Arial"/>
        </w:rPr>
        <w:t>tells</w:t>
      </w:r>
      <w:r w:rsidRPr="0058370B">
        <w:rPr>
          <w:rFonts w:cs="Arial"/>
        </w:rPr>
        <w:t xml:space="preserve"> </w:t>
      </w:r>
      <w:r w:rsidR="00531525" w:rsidRPr="0058370B">
        <w:rPr>
          <w:rFonts w:cs="Arial"/>
        </w:rPr>
        <w:t xml:space="preserve">observers via an official </w:t>
      </w:r>
      <w:r w:rsidR="00036574">
        <w:rPr>
          <w:rFonts w:cs="Arial"/>
        </w:rPr>
        <w:t>d</w:t>
      </w:r>
      <w:r w:rsidR="00036574" w:rsidRPr="0058370B">
        <w:rPr>
          <w:rFonts w:cs="Arial"/>
        </w:rPr>
        <w:t xml:space="preserve">ata </w:t>
      </w:r>
      <w:r w:rsidR="00036574">
        <w:rPr>
          <w:rFonts w:cs="Arial"/>
        </w:rPr>
        <w:t>e</w:t>
      </w:r>
      <w:r w:rsidR="00036574" w:rsidRPr="0058370B">
        <w:rPr>
          <w:rFonts w:cs="Arial"/>
        </w:rPr>
        <w:t xml:space="preserve">rror </w:t>
      </w:r>
      <w:r w:rsidR="00036574">
        <w:rPr>
          <w:rFonts w:cs="Arial"/>
        </w:rPr>
        <w:t>n</w:t>
      </w:r>
      <w:r w:rsidR="00036574" w:rsidRPr="0058370B">
        <w:rPr>
          <w:rFonts w:cs="Arial"/>
        </w:rPr>
        <w:t xml:space="preserve">otification </w:t>
      </w:r>
      <w:r w:rsidR="00531525" w:rsidRPr="0058370B">
        <w:rPr>
          <w:rFonts w:cs="Arial"/>
        </w:rPr>
        <w:t xml:space="preserve">of any errors encountered/identified and provides an opportunity for correction/clarification (this may include </w:t>
      </w:r>
      <w:r>
        <w:rPr>
          <w:rFonts w:cs="Arial"/>
        </w:rPr>
        <w:t xml:space="preserve">extra </w:t>
      </w:r>
      <w:r w:rsidR="00531525" w:rsidRPr="0058370B">
        <w:rPr>
          <w:rFonts w:cs="Arial"/>
        </w:rPr>
        <w:t>training</w:t>
      </w:r>
      <w:r w:rsidR="008C3170">
        <w:rPr>
          <w:rFonts w:cs="Arial"/>
        </w:rPr>
        <w:t xml:space="preserve">). </w:t>
      </w:r>
      <w:r w:rsidR="001D21AE" w:rsidRPr="0058370B">
        <w:rPr>
          <w:rFonts w:cs="Arial"/>
        </w:rPr>
        <w:t xml:space="preserve">Any data </w:t>
      </w:r>
      <w:r w:rsidR="001D21AE">
        <w:rPr>
          <w:rFonts w:cs="Arial"/>
        </w:rPr>
        <w:t>which does not pass QA/QC</w:t>
      </w:r>
      <w:r w:rsidR="001D21AE" w:rsidRPr="0058370B">
        <w:rPr>
          <w:rFonts w:cs="Arial"/>
        </w:rPr>
        <w:t xml:space="preserve"> is quarantined or removed from the database.</w:t>
      </w:r>
    </w:p>
    <w:p w14:paraId="05ED04E1" w14:textId="66694577" w:rsidR="00531525" w:rsidRPr="0058370B" w:rsidRDefault="00531525" w:rsidP="009F1EA2">
      <w:pPr>
        <w:pStyle w:val="Heading3"/>
      </w:pPr>
      <w:bookmarkStart w:id="512" w:name="_Toc393785078"/>
      <w:bookmarkStart w:id="513" w:name="_Toc394061183"/>
      <w:bookmarkStart w:id="514" w:name="_Toc394061273"/>
      <w:bookmarkStart w:id="515" w:name="_Toc396312039"/>
      <w:bookmarkStart w:id="516" w:name="_Toc520727873"/>
      <w:bookmarkStart w:id="517" w:name="_Toc12365618"/>
      <w:r w:rsidRPr="0058370B">
        <w:t>Inshore seagrass meadow boundary mapping</w:t>
      </w:r>
      <w:bookmarkEnd w:id="512"/>
      <w:bookmarkEnd w:id="513"/>
      <w:bookmarkEnd w:id="514"/>
      <w:bookmarkEnd w:id="515"/>
      <w:bookmarkEnd w:id="516"/>
      <w:bookmarkEnd w:id="517"/>
    </w:p>
    <w:p w14:paraId="70E0E3B5" w14:textId="7609487F" w:rsidR="00531525" w:rsidRPr="0058370B" w:rsidRDefault="00531525" w:rsidP="00FE2F59">
      <w:pPr>
        <w:rPr>
          <w:rFonts w:cs="Arial"/>
        </w:rPr>
      </w:pPr>
      <w:r w:rsidRPr="0058370B">
        <w:rPr>
          <w:rFonts w:cs="Arial"/>
        </w:rPr>
        <w:t xml:space="preserve">After field collection, data points are downloaded </w:t>
      </w:r>
      <w:r w:rsidRPr="0058370B">
        <w:rPr>
          <w:rFonts w:cs="Arial"/>
          <w:lang w:eastAsia="en-AU"/>
        </w:rPr>
        <w:t xml:space="preserve">from the GPS </w:t>
      </w:r>
      <w:r w:rsidRPr="0058370B">
        <w:rPr>
          <w:rFonts w:cs="Arial"/>
        </w:rPr>
        <w:t xml:space="preserve">into computer memory and the data </w:t>
      </w:r>
      <w:r w:rsidRPr="0058370B">
        <w:rPr>
          <w:rFonts w:cs="Arial"/>
          <w:lang w:eastAsia="en-AU"/>
        </w:rPr>
        <w:t>exported to ESRI</w:t>
      </w:r>
      <w:r w:rsidRPr="0058370B">
        <w:rPr>
          <w:rFonts w:cs="Arial"/>
          <w:vertAlign w:val="superscript"/>
        </w:rPr>
        <w:sym w:font="Symbol" w:char="F0E2"/>
      </w:r>
      <w:r w:rsidRPr="0058370B">
        <w:rPr>
          <w:rFonts w:cs="Arial"/>
          <w:lang w:eastAsia="en-AU"/>
        </w:rPr>
        <w:t xml:space="preserve"> ArcGIS</w:t>
      </w:r>
      <w:r w:rsidRPr="0058370B">
        <w:rPr>
          <w:rFonts w:cs="Arial"/>
          <w:vertAlign w:val="superscript"/>
          <w:lang w:eastAsia="en-AU"/>
        </w:rPr>
        <w:t>™</w:t>
      </w:r>
      <w:r w:rsidRPr="0058370B">
        <w:rPr>
          <w:rFonts w:cs="Arial"/>
        </w:rPr>
        <w:t xml:space="preserve">. An administration file (*.gdb) is generated by the MapSource software that contains metadata information about the tracks, waypoints, dates and times of the measurements, </w:t>
      </w:r>
      <w:r w:rsidR="00C000A4">
        <w:rPr>
          <w:rFonts w:cs="Arial"/>
        </w:rPr>
        <w:t>as well as</w:t>
      </w:r>
      <w:r w:rsidR="00C000A4" w:rsidRPr="0058370B">
        <w:rPr>
          <w:rFonts w:cs="Arial"/>
        </w:rPr>
        <w:t xml:space="preserve"> </w:t>
      </w:r>
      <w:r w:rsidRPr="0058370B">
        <w:rPr>
          <w:rFonts w:cs="Arial"/>
        </w:rPr>
        <w:t xml:space="preserve">general comments. Data and metadata are stored on the </w:t>
      </w:r>
      <w:r w:rsidRPr="0058370B">
        <w:rPr>
          <w:rFonts w:cs="Arial"/>
          <w:lang w:eastAsia="en-AU"/>
        </w:rPr>
        <w:t>TropWATER (JCU, Cairns</w:t>
      </w:r>
      <w:r w:rsidR="00C000A4">
        <w:rPr>
          <w:rFonts w:cs="Arial"/>
          <w:lang w:eastAsia="en-AU"/>
        </w:rPr>
        <w:t xml:space="preserve"> campus</w:t>
      </w:r>
      <w:r w:rsidRPr="0058370B">
        <w:rPr>
          <w:rFonts w:cs="Arial"/>
          <w:lang w:eastAsia="en-AU"/>
        </w:rPr>
        <w:t>)</w:t>
      </w:r>
      <w:r w:rsidRPr="0058370B">
        <w:rPr>
          <w:rFonts w:cs="Arial"/>
        </w:rPr>
        <w:t xml:space="preserve"> secure server. </w:t>
      </w:r>
    </w:p>
    <w:p w14:paraId="7E8C8AE4" w14:textId="20DA5006" w:rsidR="00531525" w:rsidRPr="0058370B" w:rsidRDefault="00531525" w:rsidP="009F1EA2">
      <w:pPr>
        <w:pStyle w:val="Heading3"/>
      </w:pPr>
      <w:bookmarkStart w:id="518" w:name="_Toc393785079"/>
      <w:bookmarkStart w:id="519" w:name="_Toc394061184"/>
      <w:bookmarkStart w:id="520" w:name="_Toc394061274"/>
      <w:bookmarkStart w:id="521" w:name="_Toc396312040"/>
      <w:bookmarkStart w:id="522" w:name="_Toc520727874"/>
      <w:bookmarkStart w:id="523" w:name="_Toc12365619"/>
      <w:r w:rsidRPr="0058370B">
        <w:t>Within seagrass canopy temperature loggers</w:t>
      </w:r>
      <w:bookmarkEnd w:id="518"/>
      <w:bookmarkEnd w:id="519"/>
      <w:bookmarkEnd w:id="520"/>
      <w:bookmarkEnd w:id="521"/>
      <w:bookmarkEnd w:id="522"/>
      <w:bookmarkEnd w:id="523"/>
    </w:p>
    <w:p w14:paraId="70B93BA5" w14:textId="7FBE7A10" w:rsidR="00531525" w:rsidRPr="0058370B" w:rsidRDefault="00531525" w:rsidP="00FE2F59">
      <w:pPr>
        <w:rPr>
          <w:rFonts w:cs="Arial"/>
        </w:rPr>
      </w:pPr>
      <w:r w:rsidRPr="0058370B">
        <w:rPr>
          <w:rFonts w:cs="Arial"/>
        </w:rPr>
        <w:t>After retrieval, data are downloaded into computer memory and the data are displayed as graphs to allow visual identification of outliers. These outliers are then tagged and removed from the datasets (</w:t>
      </w:r>
      <w:r w:rsidR="009025BB">
        <w:rPr>
          <w:rFonts w:cs="Arial"/>
        </w:rPr>
        <w:t>for example</w:t>
      </w:r>
      <w:r w:rsidRPr="0058370B">
        <w:rPr>
          <w:rFonts w:cs="Arial"/>
        </w:rPr>
        <w:t xml:space="preserve"> a temperature spike below -10°C or above 65°C). Other data adjustments </w:t>
      </w:r>
      <w:r w:rsidR="009025BB">
        <w:rPr>
          <w:rFonts w:cs="Arial"/>
        </w:rPr>
        <w:t>include</w:t>
      </w:r>
      <w:r w:rsidRPr="0058370B">
        <w:rPr>
          <w:rFonts w:cs="Arial"/>
        </w:rPr>
        <w:t xml:space="preserve"> </w:t>
      </w:r>
      <w:r w:rsidR="009025BB">
        <w:rPr>
          <w:rFonts w:cs="Arial"/>
        </w:rPr>
        <w:t xml:space="preserve">the </w:t>
      </w:r>
      <w:r w:rsidRPr="0058370B">
        <w:rPr>
          <w:rFonts w:cs="Arial"/>
        </w:rPr>
        <w:t xml:space="preserve">removal of data points from the beginning and end of the data series, </w:t>
      </w:r>
      <w:r w:rsidR="009025BB">
        <w:rPr>
          <w:rFonts w:cs="Arial"/>
        </w:rPr>
        <w:t>for example</w:t>
      </w:r>
      <w:r w:rsidRPr="0058370B">
        <w:rPr>
          <w:rFonts w:cs="Arial"/>
        </w:rPr>
        <w:t xml:space="preserve"> when the logger was not attached to the permanent peg. An administration file is generated by the logger software that contains metadata information about the deployment site, dates and times of the start and stop of measurements, </w:t>
      </w:r>
      <w:r w:rsidR="009025BB">
        <w:rPr>
          <w:rFonts w:cs="Arial"/>
        </w:rPr>
        <w:t>as well as</w:t>
      </w:r>
      <w:r w:rsidR="009025BB" w:rsidRPr="0058370B">
        <w:rPr>
          <w:rFonts w:cs="Arial"/>
        </w:rPr>
        <w:t xml:space="preserve"> </w:t>
      </w:r>
      <w:r w:rsidRPr="0058370B">
        <w:rPr>
          <w:rFonts w:cs="Arial"/>
        </w:rPr>
        <w:t>general comments. Data and metadata are stored in a temporary Microsoft</w:t>
      </w:r>
      <w:r w:rsidRPr="0058370B">
        <w:rPr>
          <w:rFonts w:cs="Arial"/>
          <w:vertAlign w:val="superscript"/>
        </w:rPr>
        <w:t>®</w:t>
      </w:r>
      <w:r w:rsidRPr="0058370B">
        <w:rPr>
          <w:rFonts w:cs="Arial"/>
        </w:rPr>
        <w:t xml:space="preserve"> Access database. </w:t>
      </w:r>
    </w:p>
    <w:p w14:paraId="0D321BA9" w14:textId="77777777" w:rsidR="00531525" w:rsidRPr="0058370B" w:rsidRDefault="00531525" w:rsidP="00FE2F59">
      <w:pPr>
        <w:rPr>
          <w:rFonts w:cs="Arial"/>
        </w:rPr>
      </w:pPr>
      <w:r w:rsidRPr="0058370B">
        <w:rPr>
          <w:rFonts w:cs="Arial"/>
        </w:rPr>
        <w:t xml:space="preserve">Loggers are then launched for the next deployment. All data are transferred into the existing </w:t>
      </w:r>
      <w:r w:rsidRPr="0058370B">
        <w:rPr>
          <w:rFonts w:cs="Arial"/>
          <w:lang w:eastAsia="en-AU"/>
        </w:rPr>
        <w:t xml:space="preserve">TropWATER (JCU) </w:t>
      </w:r>
      <w:r w:rsidRPr="0058370B">
        <w:rPr>
          <w:rFonts w:cs="Arial"/>
        </w:rPr>
        <w:t xml:space="preserve">database. </w:t>
      </w:r>
    </w:p>
    <w:p w14:paraId="565BD977" w14:textId="69E44239" w:rsidR="00531525" w:rsidRPr="0058370B" w:rsidRDefault="00531525" w:rsidP="009F1EA2">
      <w:pPr>
        <w:pStyle w:val="Heading3"/>
      </w:pPr>
      <w:bookmarkStart w:id="524" w:name="_Toc393785080"/>
      <w:bookmarkStart w:id="525" w:name="_Toc394061185"/>
      <w:bookmarkStart w:id="526" w:name="_Toc394061275"/>
      <w:bookmarkStart w:id="527" w:name="_Toc396312041"/>
      <w:bookmarkStart w:id="528" w:name="_Toc520727875"/>
      <w:bookmarkStart w:id="529" w:name="_Toc12365620"/>
      <w:r w:rsidRPr="0058370B">
        <w:t>Seagrass meadow canopy light loggers</w:t>
      </w:r>
      <w:bookmarkEnd w:id="524"/>
      <w:bookmarkEnd w:id="525"/>
      <w:bookmarkEnd w:id="526"/>
      <w:bookmarkEnd w:id="527"/>
      <w:bookmarkEnd w:id="528"/>
      <w:bookmarkEnd w:id="529"/>
    </w:p>
    <w:p w14:paraId="1CB2977A" w14:textId="495DAC40" w:rsidR="00531525" w:rsidRPr="0058370B" w:rsidRDefault="00531525" w:rsidP="00FE2F59">
      <w:pPr>
        <w:autoSpaceDE w:val="0"/>
        <w:autoSpaceDN w:val="0"/>
        <w:adjustRightInd w:val="0"/>
        <w:rPr>
          <w:rFonts w:cs="Arial"/>
        </w:rPr>
      </w:pPr>
      <w:r w:rsidRPr="0058370B">
        <w:rPr>
          <w:rFonts w:cs="Arial"/>
        </w:rPr>
        <w:t xml:space="preserve">After retrieval, data are downloaded into computer memory and the data are displayed as graphs to allow visual identification of outliers. These outliers are then tagged and removed from the datasets; </w:t>
      </w:r>
      <w:r w:rsidR="009025BB">
        <w:rPr>
          <w:rFonts w:cs="Arial"/>
        </w:rPr>
        <w:t xml:space="preserve">however, </w:t>
      </w:r>
      <w:r w:rsidRPr="0058370B">
        <w:rPr>
          <w:rFonts w:cs="Arial"/>
        </w:rPr>
        <w:t xml:space="preserve">such outliers have mostly not been present. During the placement and retrieval of the logger, the site or logger may suffer a short disturbance from the technician; adjustments are made to the data to remove a small number of data points from the beginning and end of the data series to account for this. </w:t>
      </w:r>
    </w:p>
    <w:p w14:paraId="0A69F6B8" w14:textId="29A5F795" w:rsidR="00531525" w:rsidRPr="0058370B" w:rsidRDefault="00531525" w:rsidP="00FE2F59">
      <w:pPr>
        <w:autoSpaceDE w:val="0"/>
        <w:autoSpaceDN w:val="0"/>
        <w:adjustRightInd w:val="0"/>
        <w:rPr>
          <w:rFonts w:cs="Arial"/>
        </w:rPr>
      </w:pPr>
      <w:r w:rsidRPr="0058370B">
        <w:rPr>
          <w:rFonts w:cs="Arial"/>
        </w:rPr>
        <w:t xml:space="preserve">An administration file is generated by the logger software that contains metadata information about the deployment site, dates and times of the start and stop of measurements, </w:t>
      </w:r>
      <w:r w:rsidR="009025BB">
        <w:rPr>
          <w:rFonts w:cs="Arial"/>
        </w:rPr>
        <w:t>as well as</w:t>
      </w:r>
      <w:r w:rsidR="009025BB" w:rsidRPr="0058370B">
        <w:rPr>
          <w:rFonts w:cs="Arial"/>
        </w:rPr>
        <w:t xml:space="preserve"> </w:t>
      </w:r>
      <w:r w:rsidRPr="0058370B">
        <w:rPr>
          <w:rFonts w:cs="Arial"/>
        </w:rPr>
        <w:t>general comments. Data and metadata are stored in a temporary Microsoft</w:t>
      </w:r>
      <w:r w:rsidRPr="0058370B">
        <w:rPr>
          <w:rFonts w:cs="Arial"/>
          <w:vertAlign w:val="superscript"/>
        </w:rPr>
        <w:t>®</w:t>
      </w:r>
      <w:r w:rsidRPr="0058370B">
        <w:rPr>
          <w:rFonts w:cs="Arial"/>
        </w:rPr>
        <w:t xml:space="preserve"> Access database. </w:t>
      </w:r>
    </w:p>
    <w:p w14:paraId="1E2AAAB1" w14:textId="15F454AF" w:rsidR="00531525" w:rsidRPr="0058370B" w:rsidRDefault="00531525" w:rsidP="00FE2F59">
      <w:pPr>
        <w:autoSpaceDE w:val="0"/>
        <w:autoSpaceDN w:val="0"/>
        <w:adjustRightInd w:val="0"/>
        <w:rPr>
          <w:rFonts w:cs="Arial"/>
        </w:rPr>
      </w:pPr>
      <w:r w:rsidRPr="0058370B">
        <w:rPr>
          <w:rFonts w:cs="Arial"/>
        </w:rPr>
        <w:t xml:space="preserve">Loggers are then launched for the next deployment. All data are transferred into the existing </w:t>
      </w:r>
      <w:r w:rsidR="001D21AE">
        <w:rPr>
          <w:rFonts w:cs="Arial"/>
        </w:rPr>
        <w:t>TropWater (</w:t>
      </w:r>
      <w:r w:rsidRPr="0058370B">
        <w:rPr>
          <w:rFonts w:cs="Arial"/>
        </w:rPr>
        <w:t>JCU</w:t>
      </w:r>
      <w:r w:rsidR="001D21AE">
        <w:rPr>
          <w:rFonts w:cs="Arial"/>
        </w:rPr>
        <w:t>)</w:t>
      </w:r>
      <w:r w:rsidRPr="0058370B">
        <w:rPr>
          <w:rFonts w:cs="Arial"/>
        </w:rPr>
        <w:t xml:space="preserve"> database. </w:t>
      </w:r>
    </w:p>
    <w:p w14:paraId="65E30477" w14:textId="77777777" w:rsidR="00531525" w:rsidRPr="0058370B" w:rsidRDefault="00531525" w:rsidP="00FE2F59">
      <w:pPr>
        <w:rPr>
          <w:rFonts w:cs="Arial"/>
        </w:rPr>
      </w:pPr>
      <w:r w:rsidRPr="0058370B">
        <w:rPr>
          <w:rFonts w:cs="Arial"/>
        </w:rPr>
        <w:t>JCU is also working on assigning values to the level of confidence in the data. For example, sometimes corrections are made to light data to account for minor fouling. We would like to add a code to the data that indicates that we have reduced confidence in it because we have made adjustments.</w:t>
      </w:r>
    </w:p>
    <w:p w14:paraId="512F43F6" w14:textId="634D77D4" w:rsidR="00531525" w:rsidRPr="0058370B" w:rsidRDefault="00531525" w:rsidP="00FE2F59">
      <w:pPr>
        <w:pStyle w:val="Heading2"/>
        <w:ind w:left="0" w:firstLine="0"/>
        <w:rPr>
          <w:rFonts w:cs="Arial"/>
          <w:sz w:val="22"/>
          <w:szCs w:val="22"/>
        </w:rPr>
      </w:pPr>
      <w:bookmarkStart w:id="530" w:name="_Toc393785081"/>
      <w:bookmarkStart w:id="531" w:name="_Toc394061186"/>
      <w:bookmarkStart w:id="532" w:name="_Toc394061276"/>
      <w:bookmarkStart w:id="533" w:name="_Toc396312042"/>
      <w:bookmarkStart w:id="534" w:name="_Toc520727876"/>
      <w:bookmarkStart w:id="535" w:name="_Toc12365621"/>
      <w:r w:rsidRPr="0058370B">
        <w:rPr>
          <w:rFonts w:cs="Arial"/>
          <w:sz w:val="22"/>
          <w:szCs w:val="22"/>
        </w:rPr>
        <w:t>Summary of Quality Control measures</w:t>
      </w:r>
      <w:bookmarkEnd w:id="530"/>
      <w:bookmarkEnd w:id="531"/>
      <w:bookmarkEnd w:id="532"/>
      <w:bookmarkEnd w:id="533"/>
      <w:bookmarkEnd w:id="534"/>
      <w:bookmarkEnd w:id="535"/>
    </w:p>
    <w:p w14:paraId="1D4F2270" w14:textId="37683228" w:rsidR="00531525" w:rsidRPr="0058370B" w:rsidRDefault="00531525">
      <w:pPr>
        <w:pStyle w:val="Heading3"/>
      </w:pPr>
      <w:bookmarkStart w:id="536" w:name="_Toc393785082"/>
      <w:bookmarkStart w:id="537" w:name="_Toc394061187"/>
      <w:bookmarkStart w:id="538" w:name="_Toc394061277"/>
      <w:bookmarkStart w:id="539" w:name="_Toc396312043"/>
      <w:bookmarkStart w:id="540" w:name="_Toc520727877"/>
      <w:bookmarkStart w:id="541" w:name="_Toc12365622"/>
      <w:r w:rsidRPr="0058370B">
        <w:t>Inshore seagrass meadow abundance, community structure and reproductive health</w:t>
      </w:r>
      <w:bookmarkEnd w:id="536"/>
      <w:bookmarkEnd w:id="537"/>
      <w:bookmarkEnd w:id="538"/>
      <w:bookmarkEnd w:id="539"/>
      <w:bookmarkEnd w:id="540"/>
      <w:bookmarkEnd w:id="541"/>
    </w:p>
    <w:p w14:paraId="7FE8F601" w14:textId="5F17CAEC" w:rsidR="00531525" w:rsidRPr="006832C0" w:rsidRDefault="00531525" w:rsidP="006C7E99">
      <w:pPr>
        <w:pStyle w:val="ListParagraph"/>
        <w:numPr>
          <w:ilvl w:val="0"/>
          <w:numId w:val="49"/>
        </w:numPr>
        <w:rPr>
          <w:rFonts w:cs="Arial"/>
        </w:rPr>
      </w:pPr>
      <w:r w:rsidRPr="006832C0">
        <w:rPr>
          <w:rFonts w:cs="Arial"/>
        </w:rPr>
        <w:t>Training of field staff</w:t>
      </w:r>
    </w:p>
    <w:p w14:paraId="273283F8" w14:textId="2ED097A0" w:rsidR="00531525" w:rsidRPr="006832C0" w:rsidRDefault="00531525" w:rsidP="006C7E99">
      <w:pPr>
        <w:pStyle w:val="ListParagraph"/>
        <w:numPr>
          <w:ilvl w:val="0"/>
          <w:numId w:val="49"/>
        </w:numPr>
        <w:rPr>
          <w:rFonts w:cs="Arial"/>
        </w:rPr>
      </w:pPr>
      <w:r w:rsidRPr="006832C0">
        <w:rPr>
          <w:rFonts w:cs="Arial"/>
        </w:rPr>
        <w:t>Sampling guidelines</w:t>
      </w:r>
    </w:p>
    <w:p w14:paraId="57FD8175" w14:textId="1355B171" w:rsidR="00531525" w:rsidRPr="006832C0" w:rsidRDefault="00531525" w:rsidP="006C7E99">
      <w:pPr>
        <w:pStyle w:val="ListParagraph"/>
        <w:numPr>
          <w:ilvl w:val="0"/>
          <w:numId w:val="49"/>
        </w:numPr>
        <w:rPr>
          <w:rFonts w:cs="Arial"/>
        </w:rPr>
      </w:pPr>
      <w:r w:rsidRPr="006832C0">
        <w:rPr>
          <w:rFonts w:cs="Arial"/>
        </w:rPr>
        <w:t>Document control</w:t>
      </w:r>
    </w:p>
    <w:p w14:paraId="335C4078" w14:textId="5AA3EE33" w:rsidR="00531525" w:rsidRPr="006832C0" w:rsidRDefault="00531525" w:rsidP="006C7E99">
      <w:pPr>
        <w:pStyle w:val="ListParagraph"/>
        <w:numPr>
          <w:ilvl w:val="0"/>
          <w:numId w:val="49"/>
        </w:numPr>
        <w:rPr>
          <w:rFonts w:cs="Arial"/>
        </w:rPr>
      </w:pPr>
      <w:r w:rsidRPr="006832C0">
        <w:rPr>
          <w:rFonts w:cs="Arial"/>
        </w:rPr>
        <w:t xml:space="preserve">Analytical </w:t>
      </w:r>
      <w:r w:rsidR="00D87540">
        <w:rPr>
          <w:rFonts w:cs="Arial"/>
        </w:rPr>
        <w:t>QC</w:t>
      </w:r>
      <w:r w:rsidRPr="006832C0">
        <w:rPr>
          <w:rFonts w:cs="Arial"/>
        </w:rPr>
        <w:t xml:space="preserve"> measures</w:t>
      </w:r>
    </w:p>
    <w:p w14:paraId="752202B3" w14:textId="3FC94A87" w:rsidR="00531525" w:rsidRPr="006832C0" w:rsidRDefault="00D87540" w:rsidP="006C7E99">
      <w:pPr>
        <w:pStyle w:val="ListParagraph"/>
        <w:numPr>
          <w:ilvl w:val="0"/>
          <w:numId w:val="49"/>
        </w:numPr>
        <w:rPr>
          <w:rFonts w:cs="Arial"/>
        </w:rPr>
      </w:pPr>
      <w:r>
        <w:rPr>
          <w:rFonts w:cs="Arial"/>
        </w:rPr>
        <w:t xml:space="preserve">QC of data </w:t>
      </w:r>
      <w:r w:rsidR="00531525" w:rsidRPr="006832C0">
        <w:rPr>
          <w:rFonts w:cs="Arial"/>
        </w:rPr>
        <w:t>entr</w:t>
      </w:r>
      <w:r>
        <w:rPr>
          <w:rFonts w:cs="Arial"/>
        </w:rPr>
        <w:t>y</w:t>
      </w:r>
    </w:p>
    <w:p w14:paraId="34CE7554" w14:textId="596BFF13" w:rsidR="00531525" w:rsidRPr="0058370B" w:rsidRDefault="00531525">
      <w:pPr>
        <w:pStyle w:val="Heading3"/>
      </w:pPr>
      <w:bookmarkStart w:id="542" w:name="_Toc393785083"/>
      <w:bookmarkStart w:id="543" w:name="_Toc394061188"/>
      <w:bookmarkStart w:id="544" w:name="_Toc394061278"/>
      <w:bookmarkStart w:id="545" w:name="_Toc396312044"/>
      <w:bookmarkStart w:id="546" w:name="_Toc520727878"/>
      <w:bookmarkStart w:id="547" w:name="_Toc12365623"/>
      <w:r w:rsidRPr="0058370B">
        <w:t>Inshore seagrass meadow boundary mapping</w:t>
      </w:r>
      <w:bookmarkEnd w:id="542"/>
      <w:bookmarkEnd w:id="543"/>
      <w:bookmarkEnd w:id="544"/>
      <w:bookmarkEnd w:id="545"/>
      <w:bookmarkEnd w:id="546"/>
      <w:bookmarkEnd w:id="547"/>
    </w:p>
    <w:p w14:paraId="6F77EB5C" w14:textId="283CF396" w:rsidR="00531525" w:rsidRPr="006832C0" w:rsidRDefault="00531525" w:rsidP="006C7E99">
      <w:pPr>
        <w:pStyle w:val="ListParagraph"/>
        <w:numPr>
          <w:ilvl w:val="0"/>
          <w:numId w:val="50"/>
        </w:numPr>
        <w:rPr>
          <w:rFonts w:cs="Arial"/>
        </w:rPr>
      </w:pPr>
      <w:r w:rsidRPr="006832C0">
        <w:rPr>
          <w:rFonts w:cs="Arial"/>
        </w:rPr>
        <w:t>Training of deployment and retrieval staff</w:t>
      </w:r>
    </w:p>
    <w:p w14:paraId="668D0C13" w14:textId="45599377" w:rsidR="00531525" w:rsidRPr="006832C0" w:rsidRDefault="00531525" w:rsidP="006C7E99">
      <w:pPr>
        <w:pStyle w:val="ListParagraph"/>
        <w:numPr>
          <w:ilvl w:val="0"/>
          <w:numId w:val="50"/>
        </w:numPr>
        <w:rPr>
          <w:rFonts w:cs="Arial"/>
        </w:rPr>
      </w:pPr>
      <w:r w:rsidRPr="006832C0">
        <w:rPr>
          <w:rFonts w:cs="Arial"/>
        </w:rPr>
        <w:t>Data download control</w:t>
      </w:r>
    </w:p>
    <w:p w14:paraId="4C152538" w14:textId="187B0B22" w:rsidR="00531525" w:rsidRPr="006832C0" w:rsidRDefault="00531525" w:rsidP="006C7E99">
      <w:pPr>
        <w:pStyle w:val="ListParagraph"/>
        <w:numPr>
          <w:ilvl w:val="0"/>
          <w:numId w:val="50"/>
        </w:numPr>
        <w:rPr>
          <w:rFonts w:cs="Arial"/>
        </w:rPr>
      </w:pPr>
      <w:r w:rsidRPr="006832C0">
        <w:rPr>
          <w:rFonts w:cs="Arial"/>
        </w:rPr>
        <w:t>Training of staff using ESRI</w:t>
      </w:r>
      <w:r w:rsidRPr="0058370B">
        <w:rPr>
          <w:vertAlign w:val="superscript"/>
        </w:rPr>
        <w:sym w:font="Symbol" w:char="F0E2"/>
      </w:r>
      <w:r w:rsidRPr="006832C0">
        <w:rPr>
          <w:rFonts w:cs="Arial"/>
        </w:rPr>
        <w:t xml:space="preserve"> ArcGIS™ Desktop </w:t>
      </w:r>
      <w:r w:rsidR="00322094">
        <w:rPr>
          <w:rFonts w:cs="Arial"/>
        </w:rPr>
        <w:t>10</w:t>
      </w:r>
      <w:r w:rsidR="00322094" w:rsidRPr="0058370B">
        <w:rPr>
          <w:rFonts w:cs="Arial"/>
        </w:rPr>
        <w:t>.</w:t>
      </w:r>
      <w:r w:rsidR="00322094">
        <w:rPr>
          <w:rFonts w:cs="Arial"/>
        </w:rPr>
        <w:t>4.1</w:t>
      </w:r>
      <w:r w:rsidR="00322094" w:rsidRPr="0058370B">
        <w:rPr>
          <w:rFonts w:cs="Arial"/>
        </w:rPr>
        <w:t xml:space="preserve"> </w:t>
      </w:r>
      <w:r w:rsidRPr="006832C0">
        <w:rPr>
          <w:rFonts w:cs="Arial"/>
        </w:rPr>
        <w:t>software</w:t>
      </w:r>
    </w:p>
    <w:p w14:paraId="6241B9E5" w14:textId="6608C771" w:rsidR="00531525" w:rsidRPr="0058370B" w:rsidRDefault="00531525">
      <w:pPr>
        <w:pStyle w:val="Heading3"/>
      </w:pPr>
      <w:bookmarkStart w:id="548" w:name="_Toc393785084"/>
      <w:bookmarkStart w:id="549" w:name="_Toc394061189"/>
      <w:bookmarkStart w:id="550" w:name="_Toc394061279"/>
      <w:bookmarkStart w:id="551" w:name="_Toc396312045"/>
      <w:bookmarkStart w:id="552" w:name="_Toc520727879"/>
      <w:bookmarkStart w:id="553" w:name="_Toc12365624"/>
      <w:r w:rsidRPr="0058370B">
        <w:t>Within seagrass canopy temperature loggers</w:t>
      </w:r>
      <w:bookmarkEnd w:id="548"/>
      <w:bookmarkEnd w:id="549"/>
      <w:bookmarkEnd w:id="550"/>
      <w:bookmarkEnd w:id="551"/>
      <w:bookmarkEnd w:id="552"/>
      <w:bookmarkEnd w:id="553"/>
    </w:p>
    <w:p w14:paraId="0E857D41" w14:textId="4366D518" w:rsidR="00531525" w:rsidRPr="006832C0" w:rsidRDefault="00531525" w:rsidP="006C7E99">
      <w:pPr>
        <w:pStyle w:val="ListParagraph"/>
        <w:numPr>
          <w:ilvl w:val="0"/>
          <w:numId w:val="51"/>
        </w:numPr>
        <w:rPr>
          <w:rFonts w:cs="Arial"/>
        </w:rPr>
      </w:pPr>
      <w:r w:rsidRPr="006832C0">
        <w:rPr>
          <w:rFonts w:cs="Arial"/>
        </w:rPr>
        <w:t>Training of deployment and retrieval staff</w:t>
      </w:r>
    </w:p>
    <w:p w14:paraId="3222F224" w14:textId="5B09C6F8" w:rsidR="00531525" w:rsidRPr="006832C0" w:rsidRDefault="00531525" w:rsidP="006C7E99">
      <w:pPr>
        <w:pStyle w:val="ListParagraph"/>
        <w:numPr>
          <w:ilvl w:val="0"/>
          <w:numId w:val="51"/>
        </w:numPr>
        <w:rPr>
          <w:rFonts w:cs="Arial"/>
        </w:rPr>
      </w:pPr>
      <w:r w:rsidRPr="006832C0">
        <w:rPr>
          <w:rFonts w:cs="Arial"/>
        </w:rPr>
        <w:t>Use of serial numbers to provide unique identification to individual loggers</w:t>
      </w:r>
    </w:p>
    <w:p w14:paraId="01B02C85" w14:textId="2122FC5A" w:rsidR="00531525" w:rsidRPr="006832C0" w:rsidRDefault="00531525" w:rsidP="006C7E99">
      <w:pPr>
        <w:pStyle w:val="ListParagraph"/>
        <w:numPr>
          <w:ilvl w:val="0"/>
          <w:numId w:val="51"/>
        </w:numPr>
        <w:rPr>
          <w:rFonts w:cs="Arial"/>
        </w:rPr>
      </w:pPr>
      <w:r w:rsidRPr="006832C0">
        <w:rPr>
          <w:rFonts w:cs="Arial"/>
        </w:rPr>
        <w:t>Data download control</w:t>
      </w:r>
    </w:p>
    <w:p w14:paraId="5EA88AD5" w14:textId="336E7354" w:rsidR="00531525" w:rsidRPr="006832C0" w:rsidRDefault="00D87540" w:rsidP="006C7E99">
      <w:pPr>
        <w:pStyle w:val="ListParagraph"/>
        <w:numPr>
          <w:ilvl w:val="0"/>
          <w:numId w:val="51"/>
        </w:numPr>
        <w:rPr>
          <w:rFonts w:cs="Arial"/>
        </w:rPr>
      </w:pPr>
      <w:r>
        <w:rPr>
          <w:rFonts w:cs="Arial"/>
        </w:rPr>
        <w:t xml:space="preserve">QC of data </w:t>
      </w:r>
      <w:r w:rsidRPr="006832C0">
        <w:rPr>
          <w:rFonts w:cs="Arial"/>
        </w:rPr>
        <w:t>entry</w:t>
      </w:r>
    </w:p>
    <w:p w14:paraId="02E30725" w14:textId="2E2BFF95" w:rsidR="00531525" w:rsidRPr="0058370B" w:rsidRDefault="00531525">
      <w:pPr>
        <w:pStyle w:val="Heading3"/>
      </w:pPr>
      <w:bookmarkStart w:id="554" w:name="_Toc393785085"/>
      <w:bookmarkStart w:id="555" w:name="_Toc394061190"/>
      <w:bookmarkStart w:id="556" w:name="_Toc394061280"/>
      <w:bookmarkStart w:id="557" w:name="_Toc396312046"/>
      <w:bookmarkStart w:id="558" w:name="_Toc520727880"/>
      <w:bookmarkStart w:id="559" w:name="_Toc12365625"/>
      <w:r w:rsidRPr="0058370B">
        <w:t>Seagrass meadow canopy light loggers</w:t>
      </w:r>
      <w:bookmarkEnd w:id="554"/>
      <w:bookmarkEnd w:id="555"/>
      <w:bookmarkEnd w:id="556"/>
      <w:bookmarkEnd w:id="557"/>
      <w:bookmarkEnd w:id="558"/>
      <w:bookmarkEnd w:id="559"/>
    </w:p>
    <w:p w14:paraId="5A95C0ED" w14:textId="2F4B3974" w:rsidR="00531525" w:rsidRPr="006832C0" w:rsidRDefault="00531525" w:rsidP="006C7E99">
      <w:pPr>
        <w:pStyle w:val="ListParagraph"/>
        <w:numPr>
          <w:ilvl w:val="0"/>
          <w:numId w:val="52"/>
        </w:numPr>
        <w:rPr>
          <w:rFonts w:cs="Arial"/>
        </w:rPr>
      </w:pPr>
      <w:r w:rsidRPr="006832C0">
        <w:rPr>
          <w:rFonts w:cs="Arial"/>
        </w:rPr>
        <w:t>Use of serial numbers to provide unique identification to individual loggers</w:t>
      </w:r>
    </w:p>
    <w:p w14:paraId="3E171D91" w14:textId="73E7EC1B" w:rsidR="00531525" w:rsidRPr="006832C0" w:rsidRDefault="00531525" w:rsidP="006C7E99">
      <w:pPr>
        <w:pStyle w:val="ListParagraph"/>
        <w:numPr>
          <w:ilvl w:val="0"/>
          <w:numId w:val="52"/>
        </w:numPr>
        <w:rPr>
          <w:rFonts w:cs="Arial"/>
        </w:rPr>
      </w:pPr>
      <w:r w:rsidRPr="006832C0">
        <w:rPr>
          <w:rFonts w:cs="Arial"/>
        </w:rPr>
        <w:t>Training of deployment and retrieval staff</w:t>
      </w:r>
    </w:p>
    <w:p w14:paraId="17D60983" w14:textId="2359C744" w:rsidR="00531525" w:rsidRPr="006832C0" w:rsidRDefault="00531525" w:rsidP="006C7E99">
      <w:pPr>
        <w:pStyle w:val="ListParagraph"/>
        <w:numPr>
          <w:ilvl w:val="0"/>
          <w:numId w:val="52"/>
        </w:numPr>
        <w:rPr>
          <w:rFonts w:cs="Arial"/>
        </w:rPr>
      </w:pPr>
      <w:r w:rsidRPr="006832C0">
        <w:rPr>
          <w:rFonts w:cs="Arial"/>
        </w:rPr>
        <w:t>Calibration of loggers with certified reference light sensor</w:t>
      </w:r>
    </w:p>
    <w:p w14:paraId="0937A529" w14:textId="76F4C385" w:rsidR="00531525" w:rsidRPr="006832C0" w:rsidRDefault="00D87540" w:rsidP="006C7E99">
      <w:pPr>
        <w:pStyle w:val="ListParagraph"/>
        <w:numPr>
          <w:ilvl w:val="0"/>
          <w:numId w:val="52"/>
        </w:numPr>
        <w:rPr>
          <w:rFonts w:cs="Arial"/>
        </w:rPr>
      </w:pPr>
      <w:r>
        <w:rPr>
          <w:rFonts w:cs="Arial"/>
        </w:rPr>
        <w:t xml:space="preserve">QC of data </w:t>
      </w:r>
      <w:r w:rsidR="00531525" w:rsidRPr="006832C0">
        <w:rPr>
          <w:rFonts w:cs="Arial"/>
        </w:rPr>
        <w:t>entry</w:t>
      </w:r>
    </w:p>
    <w:p w14:paraId="36C7BCB5" w14:textId="77777777" w:rsidR="00531525" w:rsidRPr="0058370B" w:rsidRDefault="00531525" w:rsidP="00FE2F59">
      <w:pPr>
        <w:rPr>
          <w:rFonts w:cs="Arial"/>
        </w:rPr>
      </w:pPr>
      <w:r w:rsidRPr="0058370B">
        <w:rPr>
          <w:rFonts w:cs="Arial"/>
        </w:rPr>
        <w:br w:type="page"/>
      </w:r>
    </w:p>
    <w:p w14:paraId="279F490B" w14:textId="2BB6B053" w:rsidR="000D084D" w:rsidRPr="0058370B" w:rsidRDefault="000D084D" w:rsidP="00374388">
      <w:pPr>
        <w:pStyle w:val="Heading1"/>
      </w:pPr>
      <w:bookmarkStart w:id="560" w:name="_Toc393785086"/>
      <w:bookmarkStart w:id="561" w:name="_Toc393792975"/>
      <w:bookmarkStart w:id="562" w:name="_Toc394061191"/>
      <w:bookmarkStart w:id="563" w:name="_Toc394061281"/>
      <w:bookmarkStart w:id="564" w:name="_Toc520727881"/>
      <w:bookmarkStart w:id="565" w:name="_Toc12365626"/>
      <w:r w:rsidRPr="0058370B">
        <w:t>References</w:t>
      </w:r>
      <w:bookmarkEnd w:id="560"/>
      <w:bookmarkEnd w:id="561"/>
      <w:bookmarkEnd w:id="562"/>
      <w:bookmarkEnd w:id="563"/>
      <w:bookmarkEnd w:id="564"/>
      <w:bookmarkEnd w:id="565"/>
    </w:p>
    <w:p w14:paraId="04B1BEC4" w14:textId="37D5553E" w:rsidR="002A2CCC" w:rsidRPr="002A2CCC" w:rsidRDefault="007B54B3" w:rsidP="002A2CCC">
      <w:pPr>
        <w:pStyle w:val="EndNoteBibliography"/>
        <w:spacing w:after="0"/>
        <w:ind w:left="720" w:hanging="720"/>
      </w:pPr>
      <w:r>
        <w:fldChar w:fldCharType="begin"/>
      </w:r>
      <w:r>
        <w:instrText xml:space="preserve"> ADDIN EN.REFLIST </w:instrText>
      </w:r>
      <w:r>
        <w:fldChar w:fldCharType="separate"/>
      </w:r>
      <w:r w:rsidR="002A2CCC" w:rsidRPr="002A2CCC">
        <w:t xml:space="preserve">Álvarez-Romero, J. G., Devlin, M., Teixeira da Silva, E., Petus, C., Ban, N. C., Pressey, R. L., . . . Brodie, J. (2013). A novel approach to model exposure of coastal-marine ecosystems to riverine flood plumes based on remote sensing techniques. </w:t>
      </w:r>
      <w:r w:rsidR="002A2CCC" w:rsidRPr="002A2CCC">
        <w:rPr>
          <w:i/>
        </w:rPr>
        <w:t>Journal of Environmental Management, 119</w:t>
      </w:r>
      <w:r w:rsidR="002A2CCC" w:rsidRPr="002A2CCC">
        <w:t>, 194-207. doi:</w:t>
      </w:r>
      <w:hyperlink r:id="rId79" w:history="1">
        <w:r w:rsidR="002A2CCC" w:rsidRPr="002A2CCC">
          <w:rPr>
            <w:rStyle w:val="Hyperlink"/>
          </w:rPr>
          <w:t>https://doi.org/10.1016/j.jenvman.2013.01.036</w:t>
        </w:r>
      </w:hyperlink>
    </w:p>
    <w:p w14:paraId="202463B3" w14:textId="2860CF67" w:rsidR="002A2CCC" w:rsidRPr="002A2CCC" w:rsidRDefault="002A2CCC" w:rsidP="002A2CCC">
      <w:pPr>
        <w:pStyle w:val="EndNoteBibliography"/>
        <w:spacing w:after="0"/>
        <w:ind w:left="720" w:hanging="720"/>
      </w:pPr>
      <w:r w:rsidRPr="002A2CCC">
        <w:t xml:space="preserve">Australian and New Zealand Environment and Conservation Council (ANZECC) and Agriculture and Resource Management Council of Australia and New Zealand (ARMCANZ). (2000). </w:t>
      </w:r>
      <w:r w:rsidRPr="002A2CCC">
        <w:rPr>
          <w:i/>
        </w:rPr>
        <w:t>Australian and New Zealand guidelines for fresh and marine water quality, National Water Quality Management Strategy Paper No 4</w:t>
      </w:r>
      <w:r w:rsidRPr="002A2CCC">
        <w:t xml:space="preserve">. ANZECC and ARMCANZ, Canberra. Retrieved on 23/05/2019 from </w:t>
      </w:r>
      <w:hyperlink r:id="rId80" w:history="1">
        <w:r w:rsidRPr="002A2CCC">
          <w:rPr>
            <w:rStyle w:val="Hyperlink"/>
          </w:rPr>
          <w:t>https://www.environment.gov.au/about-us/publications/archive</w:t>
        </w:r>
      </w:hyperlink>
    </w:p>
    <w:p w14:paraId="51F676C3" w14:textId="77777777" w:rsidR="002A2CCC" w:rsidRPr="002A2CCC" w:rsidRDefault="002A2CCC" w:rsidP="002A2CCC">
      <w:pPr>
        <w:pStyle w:val="EndNoteBibliography"/>
        <w:spacing w:after="0"/>
        <w:ind w:left="720" w:hanging="720"/>
      </w:pPr>
      <w:r w:rsidRPr="002A2CCC">
        <w:t xml:space="preserve">Baith, K., Lindsay, R., Fu, G., &amp; McClain, C. R. (2001). Data analysis system developed for ocean color satellite sensors. </w:t>
      </w:r>
      <w:r w:rsidRPr="002A2CCC">
        <w:rPr>
          <w:i/>
        </w:rPr>
        <w:t>Eos, Transactions American Geophysical Union, 82</w:t>
      </w:r>
      <w:r w:rsidRPr="002A2CCC">
        <w:t>(18), 202-202. doi:10.1029/01eo00109</w:t>
      </w:r>
    </w:p>
    <w:p w14:paraId="7D8BFF13" w14:textId="77777777" w:rsidR="002A2CCC" w:rsidRPr="002A2CCC" w:rsidRDefault="002A2CCC" w:rsidP="002A2CCC">
      <w:pPr>
        <w:pStyle w:val="EndNoteBibliography"/>
        <w:spacing w:after="0"/>
        <w:ind w:left="720" w:hanging="720"/>
      </w:pPr>
      <w:r w:rsidRPr="002A2CCC">
        <w:t xml:space="preserve">Booij, K., &amp; Smedes, F. (2010). An improved method for estimating </w:t>
      </w:r>
      <w:r w:rsidRPr="002A2CCC">
        <w:rPr>
          <w:i/>
        </w:rPr>
        <w:t>in situ</w:t>
      </w:r>
      <w:r w:rsidRPr="002A2CCC">
        <w:t xml:space="preserve"> sampling rates of nonpolar passive samplers. </w:t>
      </w:r>
      <w:r w:rsidRPr="002A2CCC">
        <w:rPr>
          <w:i/>
        </w:rPr>
        <w:t>Environmental Science &amp; Technology, 44</w:t>
      </w:r>
      <w:r w:rsidRPr="002A2CCC">
        <w:t>(17), 6789-6794. doi:10.1021/es101321v</w:t>
      </w:r>
    </w:p>
    <w:p w14:paraId="40CDE140" w14:textId="517CF0B8" w:rsidR="002A2CCC" w:rsidRPr="002A2CCC" w:rsidRDefault="002A2CCC" w:rsidP="002A2CCC">
      <w:pPr>
        <w:pStyle w:val="EndNoteBibliography"/>
        <w:spacing w:after="0"/>
        <w:ind w:left="720" w:hanging="720"/>
      </w:pPr>
      <w:r w:rsidRPr="002A2CCC">
        <w:t xml:space="preserve">Booij, K., Smedes, F., &amp; van Weerlee, E. M. (2002). Spiking of performance reference compounds in low density polyethylene and silicone passive water samplers. </w:t>
      </w:r>
      <w:r w:rsidRPr="002A2CCC">
        <w:rPr>
          <w:i/>
        </w:rPr>
        <w:t>Chemosphere, 46</w:t>
      </w:r>
      <w:r w:rsidRPr="002A2CCC">
        <w:t>(8), 1157-1161. doi:</w:t>
      </w:r>
      <w:hyperlink r:id="rId81" w:history="1">
        <w:r w:rsidRPr="002A2CCC">
          <w:rPr>
            <w:rStyle w:val="Hyperlink"/>
          </w:rPr>
          <w:t>https://doi.org/10.1016/S0045-6535(01)00200-4</w:t>
        </w:r>
      </w:hyperlink>
    </w:p>
    <w:p w14:paraId="3380026E" w14:textId="77777777" w:rsidR="002A2CCC" w:rsidRPr="002A2CCC" w:rsidRDefault="002A2CCC" w:rsidP="002A2CCC">
      <w:pPr>
        <w:pStyle w:val="EndNoteBibliography"/>
        <w:spacing w:after="0"/>
        <w:ind w:left="720" w:hanging="720"/>
      </w:pPr>
      <w:r w:rsidRPr="002A2CCC">
        <w:t xml:space="preserve">Booij, K., Vrana, B., &amp; Huckins, J. N. (2007). Theory, modelling and calibration of passive samplers used in water monitoring. In R. Greenwood, G. Mills, &amp; B. Vrana (Eds.), </w:t>
      </w:r>
      <w:r w:rsidRPr="002A2CCC">
        <w:rPr>
          <w:i/>
        </w:rPr>
        <w:t>Passive Sampling Techniques in Environmental Monitoring</w:t>
      </w:r>
      <w:r w:rsidRPr="002A2CCC">
        <w:t xml:space="preserve"> (Vol. 48, pp. 141-169): Elsevier.</w:t>
      </w:r>
    </w:p>
    <w:p w14:paraId="536429AA" w14:textId="6E463EEF" w:rsidR="002A2CCC" w:rsidRPr="002A2CCC" w:rsidRDefault="002A2CCC" w:rsidP="002A2CCC">
      <w:pPr>
        <w:pStyle w:val="EndNoteBibliography"/>
        <w:spacing w:after="0"/>
        <w:ind w:left="720" w:hanging="720"/>
      </w:pPr>
      <w:r w:rsidRPr="002A2CCC">
        <w:t xml:space="preserve">Brinkman, R., Tonin, H., Furnas, M., Schaffelke, B., &amp; Fabricius. (2014). </w:t>
      </w:r>
      <w:r w:rsidRPr="002A2CCC">
        <w:rPr>
          <w:i/>
        </w:rPr>
        <w:t>Targeted analysis of the linkages between river runoff and risks for crown-of-thorns starfish outbreaks in the Northern GBR: Report for Terrain NRM</w:t>
      </w:r>
      <w:r w:rsidRPr="002A2CCC">
        <w:t xml:space="preserve">. Australian Institute of Marine Science, Townsville, Queensland. Retrieved on 23/05/2019 from </w:t>
      </w:r>
      <w:hyperlink r:id="rId82" w:history="1">
        <w:r w:rsidRPr="002A2CCC">
          <w:rPr>
            <w:rStyle w:val="Hyperlink"/>
          </w:rPr>
          <w:t>https://terrain.org.au/projects/water-quality-improvement-plan/studies-reports/</w:t>
        </w:r>
      </w:hyperlink>
    </w:p>
    <w:p w14:paraId="1C543A29" w14:textId="5C0F674D" w:rsidR="002A2CCC" w:rsidRPr="002A2CCC" w:rsidRDefault="002A2CCC" w:rsidP="002A2CCC">
      <w:pPr>
        <w:pStyle w:val="EndNoteBibliography"/>
        <w:spacing w:after="0"/>
        <w:ind w:left="720" w:hanging="720"/>
      </w:pPr>
      <w:r w:rsidRPr="002A2CCC">
        <w:t xml:space="preserve">Department of Premier and Cabinet. (2009). </w:t>
      </w:r>
      <w:r w:rsidRPr="002A2CCC">
        <w:rPr>
          <w:i/>
        </w:rPr>
        <w:t>Reef Water Quality Protection Plan 2009 for the Great Barrier Reef World Heritage Area and Adjacent Catchments</w:t>
      </w:r>
      <w:r w:rsidRPr="002A2CCC">
        <w:t xml:space="preserve">. Reef Water Quality Protection Plan Secretariat, DPC, Brisbane. Retrieved on 27/05/2019 from </w:t>
      </w:r>
      <w:hyperlink r:id="rId83" w:history="1">
        <w:r w:rsidRPr="002A2CCC">
          <w:rPr>
            <w:rStyle w:val="Hyperlink"/>
          </w:rPr>
          <w:t>http://www.reefplan.qld.gov.au/resources/assets/reef-plan-2009.pdf</w:t>
        </w:r>
      </w:hyperlink>
    </w:p>
    <w:p w14:paraId="6423C834" w14:textId="77777777" w:rsidR="002A2CCC" w:rsidRPr="002A2CCC" w:rsidRDefault="002A2CCC" w:rsidP="002A2CCC">
      <w:pPr>
        <w:pStyle w:val="EndNoteBibliography"/>
        <w:spacing w:after="0"/>
        <w:ind w:left="720" w:hanging="720"/>
      </w:pPr>
      <w:r w:rsidRPr="002A2CCC">
        <w:t xml:space="preserve">Devlin, M. J., Petus, C., Da Silva, E., Tracey, D., Wolff, N. H., Waterhouse, J., &amp; Brodie, J. (2015). Water quality and river plume monitoring in the Great Barrier Reef: An overview of methods based on ocean colour satellite data. </w:t>
      </w:r>
      <w:r w:rsidRPr="002A2CCC">
        <w:rPr>
          <w:i/>
        </w:rPr>
        <w:t>Remote Sensing, 7</w:t>
      </w:r>
      <w:r w:rsidRPr="002A2CCC">
        <w:t xml:space="preserve">(10), 12909-12941. </w:t>
      </w:r>
    </w:p>
    <w:p w14:paraId="04555855" w14:textId="77777777" w:rsidR="002A2CCC" w:rsidRPr="002A2CCC" w:rsidRDefault="002A2CCC" w:rsidP="002A2CCC">
      <w:pPr>
        <w:pStyle w:val="EndNoteBibliography"/>
        <w:spacing w:after="0"/>
        <w:ind w:left="720" w:hanging="720"/>
      </w:pPr>
      <w:r w:rsidRPr="002A2CCC">
        <w:t xml:space="preserve">Escher, B. I., Quayle, P., Muller, R., Schreiber, U., &amp; Mueller, J. F. (2006). Passive sampling of herbicides combined with effect analysis in algae using a novel high-throughput phytotoxicity assay (Maxi-Imaging-PAM). </w:t>
      </w:r>
      <w:r w:rsidRPr="002A2CCC">
        <w:rPr>
          <w:i/>
        </w:rPr>
        <w:t>Journal of Environmental Monitoring, 8</w:t>
      </w:r>
      <w:r w:rsidRPr="002A2CCC">
        <w:t>(4), 456-464. doi:10.1039/B517512G</w:t>
      </w:r>
    </w:p>
    <w:p w14:paraId="4FA63A68" w14:textId="77777777" w:rsidR="002A2CCC" w:rsidRPr="002A2CCC" w:rsidRDefault="002A2CCC" w:rsidP="002A2CCC">
      <w:pPr>
        <w:pStyle w:val="EndNoteBibliography"/>
        <w:spacing w:after="0"/>
        <w:ind w:left="720" w:hanging="720"/>
      </w:pPr>
      <w:r w:rsidRPr="002A2CCC">
        <w:t xml:space="preserve">Fabricius, K. E. (2005). Effects of terrestrial runoff on the ecology of corals and coral reefs: review and synthesis. </w:t>
      </w:r>
      <w:r w:rsidRPr="002A2CCC">
        <w:rPr>
          <w:i/>
        </w:rPr>
        <w:t>Marine Pollution Bulletin, 50</w:t>
      </w:r>
      <w:r w:rsidRPr="002A2CCC">
        <w:t>(2), 125-146. doi:10.1016/j.marpolbul.2004.11.028</w:t>
      </w:r>
    </w:p>
    <w:p w14:paraId="04369C12" w14:textId="23B95EE2" w:rsidR="002A2CCC" w:rsidRPr="002A2CCC" w:rsidRDefault="002A2CCC" w:rsidP="002A2CCC">
      <w:pPr>
        <w:pStyle w:val="EndNoteBibliography"/>
        <w:spacing w:after="0"/>
        <w:ind w:left="720" w:hanging="720"/>
      </w:pPr>
      <w:r w:rsidRPr="002A2CCC">
        <w:t xml:space="preserve">Great Barrier Reef Marine Park Authority. (2010). </w:t>
      </w:r>
      <w:r w:rsidRPr="002A2CCC">
        <w:rPr>
          <w:i/>
        </w:rPr>
        <w:t>Water quality guidelines for the Great Barrier Reef Marine Park</w:t>
      </w:r>
      <w:r w:rsidRPr="002A2CCC">
        <w:t xml:space="preserve">. Great Barrier Reef Marine Park Authority, Townsville. Retrieved on 23/05/2019 from </w:t>
      </w:r>
      <w:hyperlink r:id="rId84" w:history="1">
        <w:r w:rsidRPr="002A2CCC">
          <w:rPr>
            <w:rStyle w:val="Hyperlink"/>
          </w:rPr>
          <w:t>http://www.gbrmpa.gov.au/__data/assets/pdf_file/0017/4526/GBRMPA_WQualityGuidelinesGBRMP_RevEdition_2010.pdf</w:t>
        </w:r>
      </w:hyperlink>
    </w:p>
    <w:p w14:paraId="0D2D78AF" w14:textId="36B5222B" w:rsidR="002A2CCC" w:rsidRPr="002A2CCC" w:rsidRDefault="002A2CCC" w:rsidP="002A2CCC">
      <w:pPr>
        <w:pStyle w:val="EndNoteBibliography"/>
        <w:spacing w:after="0"/>
        <w:ind w:left="720" w:hanging="720"/>
      </w:pPr>
      <w:r w:rsidRPr="002A2CCC">
        <w:t xml:space="preserve">Haynes, D., &amp; Michalek-Wagner, K. (2000). Water quality in the Great Barrier Reef World Heritage Area: Past perspectives, current issues and new research directions. </w:t>
      </w:r>
      <w:r w:rsidRPr="002A2CCC">
        <w:rPr>
          <w:i/>
        </w:rPr>
        <w:t>Marine Pollution Bulletin, 41</w:t>
      </w:r>
      <w:r w:rsidRPr="002A2CCC">
        <w:t>(7), 428-434. doi:</w:t>
      </w:r>
      <w:hyperlink r:id="rId85" w:history="1">
        <w:r w:rsidRPr="002A2CCC">
          <w:rPr>
            <w:rStyle w:val="Hyperlink"/>
          </w:rPr>
          <w:t>https://doi.org/10.1016/S0025-326X(00)00150-8</w:t>
        </w:r>
      </w:hyperlink>
    </w:p>
    <w:p w14:paraId="74D62D63" w14:textId="77777777" w:rsidR="002A2CCC" w:rsidRPr="002A2CCC" w:rsidRDefault="002A2CCC" w:rsidP="002A2CCC">
      <w:pPr>
        <w:pStyle w:val="EndNoteBibliography"/>
        <w:spacing w:after="0"/>
        <w:ind w:left="720" w:hanging="720"/>
      </w:pPr>
      <w:r w:rsidRPr="002A2CCC">
        <w:t xml:space="preserve">Holmes, R. M., Aminot, A., Kérouel, R., Hooker, B. A., &amp; Peterson, B. J. (1999). A simple and precise method for measuring ammonium in marine and freshwater ecosystems. </w:t>
      </w:r>
      <w:r w:rsidRPr="002A2CCC">
        <w:rPr>
          <w:i/>
        </w:rPr>
        <w:t>Canadian Journal of Fisheries and Aquatic Sciences, 56</w:t>
      </w:r>
      <w:r w:rsidRPr="002A2CCC">
        <w:t>(10), 1801-1808. doi:10.1139/f99-128</w:t>
      </w:r>
    </w:p>
    <w:p w14:paraId="16E5D127" w14:textId="77777777" w:rsidR="002A2CCC" w:rsidRPr="002A2CCC" w:rsidRDefault="002A2CCC" w:rsidP="002A2CCC">
      <w:pPr>
        <w:pStyle w:val="EndNoteBibliography"/>
        <w:spacing w:after="0"/>
        <w:ind w:left="720" w:hanging="720"/>
      </w:pPr>
      <w:r w:rsidRPr="002A2CCC">
        <w:t xml:space="preserve">Huckins, J. N., Petty, J. D., Prest, H. F., Clark, R. C., Alvarez, D. A., Orazio, C., . . . Johnson, B. T. (2002). A guide for the use of semipermeable membrane devices (SPMDs) as samplers of waterborne hydrophobic organic contaminants. </w:t>
      </w:r>
      <w:r w:rsidRPr="002A2CCC">
        <w:rPr>
          <w:i/>
        </w:rPr>
        <w:t>American Petroleum Institute Publication, 4690</w:t>
      </w:r>
      <w:r w:rsidRPr="002A2CCC">
        <w:t xml:space="preserve">, 1-192. </w:t>
      </w:r>
    </w:p>
    <w:p w14:paraId="30ED30F7" w14:textId="05AEE25F" w:rsidR="002A2CCC" w:rsidRPr="002A2CCC" w:rsidRDefault="002A2CCC" w:rsidP="002A2CCC">
      <w:pPr>
        <w:pStyle w:val="EndNoteBibliography"/>
        <w:spacing w:after="0"/>
        <w:ind w:left="720" w:hanging="720"/>
      </w:pPr>
      <w:r w:rsidRPr="002A2CCC">
        <w:t xml:space="preserve">Jeffrey, S. W., &amp; Humphrey, G. F. (1975). New spectrophotometric equations for determining chlorophylls </w:t>
      </w:r>
      <w:r w:rsidRPr="002A2CCC">
        <w:rPr>
          <w:i/>
        </w:rPr>
        <w:t>a</w:t>
      </w:r>
      <w:r w:rsidRPr="002A2CCC">
        <w:t xml:space="preserve">, </w:t>
      </w:r>
      <w:r w:rsidRPr="002A2CCC">
        <w:rPr>
          <w:i/>
        </w:rPr>
        <w:t>b</w:t>
      </w:r>
      <w:r w:rsidRPr="002A2CCC">
        <w:t xml:space="preserve">, </w:t>
      </w:r>
      <w:r w:rsidRPr="002A2CCC">
        <w:rPr>
          <w:i/>
        </w:rPr>
        <w:t>c</w:t>
      </w:r>
      <w:r w:rsidRPr="002A2CCC">
        <w:rPr>
          <w:vertAlign w:val="subscript"/>
        </w:rPr>
        <w:t>1</w:t>
      </w:r>
      <w:r w:rsidRPr="002A2CCC">
        <w:t xml:space="preserve"> and </w:t>
      </w:r>
      <w:r w:rsidRPr="002A2CCC">
        <w:rPr>
          <w:i/>
        </w:rPr>
        <w:t>c</w:t>
      </w:r>
      <w:r w:rsidRPr="002A2CCC">
        <w:rPr>
          <w:vertAlign w:val="subscript"/>
        </w:rPr>
        <w:t>2</w:t>
      </w:r>
      <w:r w:rsidRPr="002A2CCC">
        <w:t xml:space="preserve"> in higher plants, algae and natural phytoplankton. </w:t>
      </w:r>
      <w:r w:rsidRPr="002A2CCC">
        <w:rPr>
          <w:i/>
        </w:rPr>
        <w:t>Biochemie und Physiologie der Pflanzen, 167</w:t>
      </w:r>
      <w:r w:rsidRPr="002A2CCC">
        <w:t>(2), 191-194. doi:</w:t>
      </w:r>
      <w:hyperlink r:id="rId86" w:history="1">
        <w:r w:rsidRPr="002A2CCC">
          <w:rPr>
            <w:rStyle w:val="Hyperlink"/>
          </w:rPr>
          <w:t>https://doi.org/10.1016/S0015-3796(17)30778-3</w:t>
        </w:r>
      </w:hyperlink>
    </w:p>
    <w:p w14:paraId="10C885BE" w14:textId="43ED29E4" w:rsidR="002A2CCC" w:rsidRPr="002A2CCC" w:rsidRDefault="002A2CCC" w:rsidP="002A2CCC">
      <w:pPr>
        <w:pStyle w:val="EndNoteBibliography"/>
        <w:spacing w:after="0"/>
        <w:ind w:left="720" w:hanging="720"/>
      </w:pPr>
      <w:r w:rsidRPr="002A2CCC">
        <w:t xml:space="preserve">Jonker, M. M., Johns, K. K., &amp; Osborne, K. K. (2008). </w:t>
      </w:r>
      <w:r w:rsidRPr="002A2CCC">
        <w:rPr>
          <w:i/>
        </w:rPr>
        <w:t>Surveys of benthic reef communities using underwater digital photography and counts of juvenile corals. Long-term Monitoring of the Great Barrier Reef. Standard Operational Procedure No. 10</w:t>
      </w:r>
      <w:r w:rsidRPr="002A2CCC">
        <w:t xml:space="preserve">. Australian Institute of Marine Science, Townsville. Retrieved on 27/05/2019 from </w:t>
      </w:r>
      <w:hyperlink r:id="rId87" w:history="1">
        <w:r w:rsidRPr="002A2CCC">
          <w:rPr>
            <w:rStyle w:val="Hyperlink"/>
          </w:rPr>
          <w:t>http://epubs.aims.gov.au/11068/8019</w:t>
        </w:r>
      </w:hyperlink>
    </w:p>
    <w:p w14:paraId="7AF2FADD" w14:textId="3E9EE459" w:rsidR="002A2CCC" w:rsidRPr="002A2CCC" w:rsidRDefault="002A2CCC" w:rsidP="002A2CCC">
      <w:pPr>
        <w:pStyle w:val="EndNoteBibliography"/>
        <w:spacing w:after="0"/>
        <w:ind w:left="720" w:hanging="720"/>
      </w:pPr>
      <w:r w:rsidRPr="002A2CCC">
        <w:t xml:space="preserve">Kennedy, K., Bentley, C., Paxman, C., Dunn, A., Heffernan, A., Kaserzon, S., &amp; Mueller, J. (2010). </w:t>
      </w:r>
      <w:r w:rsidRPr="002A2CCC">
        <w:rPr>
          <w:i/>
        </w:rPr>
        <w:t>Monitoring of organic chemicals in the Great Barrier Reef Marine Park using time integrated monitoring tools (2009-2010).</w:t>
      </w:r>
      <w:r w:rsidRPr="002A2CCC">
        <w:t xml:space="preserve"> National Research Centre for Environmental Toxicology (EnTox), University of Queensland, Brisbane. Retrieved on 27/05/2019 from </w:t>
      </w:r>
      <w:hyperlink r:id="rId88" w:history="1">
        <w:r w:rsidRPr="002A2CCC">
          <w:rPr>
            <w:rStyle w:val="Hyperlink"/>
          </w:rPr>
          <w:t>https://espace.library.uq.edu.au/data/UQ_230971/reef.pdf?Expires=1559008263&amp;Signature=XtYjJr81Ja6ICSMmo-XrQSGHqoFvMQlN8ING6sBsdk8OLPWhUfH08WNgxc1nqs1sq34~2Mc9EwgdmDOjku7yR-LzrXMrCYok4rcCd~rTAqugNIZ0VUQYr5Ad7AayUGvY6oSDbmGWKdZkl~33I-YabneTN1Eb5NvEA7mp-KLRkhYN3vVJdT0nNH7kBW4fwcxcbuvmQ0Xg3elVdD4TEy7e0C85EMONtohOnz6yV39XI3fwOHMhG456B42lts9~-gdFd4Zx1-f5HBO4SYc662NMk~mf2FJ1PQixyaMf-c2rmA-a8RsQQ6Uzk7fix8xmJH-RPaL8kxaF6Og7538gGgbMAg__&amp;Key-Pair-Id=APKAJKNBJ4MJBJNC6NLQ</w:t>
        </w:r>
      </w:hyperlink>
    </w:p>
    <w:p w14:paraId="571F5AEF" w14:textId="77777777" w:rsidR="002A2CCC" w:rsidRPr="002A2CCC" w:rsidRDefault="002A2CCC" w:rsidP="002A2CCC">
      <w:pPr>
        <w:pStyle w:val="EndNoteBibliography"/>
        <w:spacing w:after="0"/>
        <w:ind w:left="720" w:hanging="720"/>
      </w:pPr>
      <w:r w:rsidRPr="002A2CCC">
        <w:t xml:space="preserve">Kingston, J. K., Greenwood, R., Mills, G. A., Morrison, G. M., &amp; Björklund Persson, L. (2000). Development of a novel passive sampling system for the time-averaged measurement of a range of organic pollutants in aquatic environments. </w:t>
      </w:r>
      <w:r w:rsidRPr="002A2CCC">
        <w:rPr>
          <w:i/>
        </w:rPr>
        <w:t>Journal of Environmental Monitoring, 2</w:t>
      </w:r>
      <w:r w:rsidRPr="002A2CCC">
        <w:t>(5), 487-495. doi:10.1039/B003532G</w:t>
      </w:r>
    </w:p>
    <w:p w14:paraId="6AB4D9AF" w14:textId="77777777" w:rsidR="002A2CCC" w:rsidRPr="002A2CCC" w:rsidRDefault="002A2CCC" w:rsidP="002A2CCC">
      <w:pPr>
        <w:pStyle w:val="EndNoteBibliography"/>
        <w:spacing w:after="0"/>
        <w:ind w:left="720" w:hanging="720"/>
      </w:pPr>
      <w:r w:rsidRPr="002A2CCC">
        <w:t xml:space="preserve">Kirk, J. T. (1994). </w:t>
      </w:r>
      <w:r w:rsidRPr="002A2CCC">
        <w:rPr>
          <w:i/>
        </w:rPr>
        <w:t>Light and photosynthesis in aquatic ecosystems</w:t>
      </w:r>
      <w:r w:rsidRPr="002A2CCC">
        <w:t>: Cambridge University Press.</w:t>
      </w:r>
    </w:p>
    <w:p w14:paraId="5099DA5B" w14:textId="77777777" w:rsidR="002A2CCC" w:rsidRPr="002A2CCC" w:rsidRDefault="002A2CCC" w:rsidP="002A2CCC">
      <w:pPr>
        <w:pStyle w:val="EndNoteBibliography"/>
        <w:spacing w:after="0"/>
        <w:ind w:left="720" w:hanging="720"/>
      </w:pPr>
      <w:r w:rsidRPr="002A2CCC">
        <w:t xml:space="preserve">Koch, E. W. (2001). Beyond light:  Physical, geological, and geochemical parameters as possible submersed aquatic vegetation habitat requirements. </w:t>
      </w:r>
      <w:r w:rsidRPr="002A2CCC">
        <w:rPr>
          <w:i/>
        </w:rPr>
        <w:t>Estuaries and Coasts, 24</w:t>
      </w:r>
      <w:r w:rsidRPr="002A2CCC">
        <w:t xml:space="preserve">(1), 1-17. </w:t>
      </w:r>
    </w:p>
    <w:p w14:paraId="0F9C038F" w14:textId="4A88E494" w:rsidR="002A2CCC" w:rsidRPr="002A2CCC" w:rsidRDefault="002A2CCC" w:rsidP="002A2CCC">
      <w:pPr>
        <w:pStyle w:val="EndNoteBibliography"/>
        <w:spacing w:after="0"/>
        <w:ind w:left="720" w:hanging="720"/>
      </w:pPr>
      <w:r w:rsidRPr="002A2CCC">
        <w:t xml:space="preserve">Kuhnert, P. M., Liu, Y., Henderson, B., Dambacher, J., Lawrence, E., &amp; Kroon, F. J. (2015). </w:t>
      </w:r>
      <w:r w:rsidRPr="002A2CCC">
        <w:rPr>
          <w:i/>
        </w:rPr>
        <w:t>Review of the Marine Monitoring Program (MMP)</w:t>
      </w:r>
      <w:r w:rsidRPr="002A2CCC">
        <w:t xml:space="preserve">. Final Report for the Great Barrier Reef Marine Park Authority (GBRMPA), CSIRO, Australia. Retrieved on 27/05/2019 from </w:t>
      </w:r>
      <w:hyperlink r:id="rId89" w:history="1">
        <w:r w:rsidRPr="002A2CCC">
          <w:rPr>
            <w:rStyle w:val="Hyperlink"/>
          </w:rPr>
          <w:t>https://core.ac.uk/download/pdf/50851864.pdf</w:t>
        </w:r>
      </w:hyperlink>
    </w:p>
    <w:p w14:paraId="0FAA64EC" w14:textId="6258EAE0" w:rsidR="002A2CCC" w:rsidRPr="002A2CCC" w:rsidRDefault="002A2CCC" w:rsidP="002A2CCC">
      <w:pPr>
        <w:pStyle w:val="EndNoteBibliography"/>
        <w:spacing w:after="0"/>
        <w:ind w:left="720" w:hanging="720"/>
      </w:pPr>
      <w:r w:rsidRPr="002A2CCC">
        <w:t xml:space="preserve">Lee Long, W. J., McKenzie, L. J., &amp; Coles, R. G. (1997). </w:t>
      </w:r>
      <w:r w:rsidRPr="002A2CCC">
        <w:rPr>
          <w:i/>
        </w:rPr>
        <w:t>Seagrass communities in the Shoalwater Bay region, Queensland: Spring (September) 1995 and Autumn (April) 1996</w:t>
      </w:r>
      <w:r w:rsidRPr="002A2CCC">
        <w:t xml:space="preserve">. Great Barrier Reef Marine Park Authority, Townsville. Retrieved on 27/05/2019 from </w:t>
      </w:r>
      <w:hyperlink r:id="rId90" w:history="1">
        <w:r w:rsidRPr="002A2CCC">
          <w:rPr>
            <w:rStyle w:val="Hyperlink"/>
          </w:rPr>
          <w:t>http://hdl.handle.net/11017/306</w:t>
        </w:r>
      </w:hyperlink>
    </w:p>
    <w:p w14:paraId="049E4407" w14:textId="77777777" w:rsidR="002A2CCC" w:rsidRPr="002A2CCC" w:rsidRDefault="002A2CCC" w:rsidP="002A2CCC">
      <w:pPr>
        <w:pStyle w:val="EndNoteBibliography"/>
        <w:spacing w:after="0"/>
        <w:ind w:left="720" w:hanging="720"/>
      </w:pPr>
      <w:r w:rsidRPr="002A2CCC">
        <w:t xml:space="preserve">McCook, L. J., Wolanski, E., &amp; Spagnol, S. (2000). Modelling and visualising interactions between natural disturbances and eutrophication as causes of coral reef degradation. In E. Wolanski (Ed.), </w:t>
      </w:r>
      <w:r w:rsidRPr="002A2CCC">
        <w:rPr>
          <w:i/>
        </w:rPr>
        <w:t>Oceanographic Processes of Coral Reefs: Physical and biological links in the Great Barrier Reef</w:t>
      </w:r>
      <w:r w:rsidRPr="002A2CCC">
        <w:t xml:space="preserve"> (pp. 133-146): CRC Press.</w:t>
      </w:r>
    </w:p>
    <w:p w14:paraId="24B3217F" w14:textId="553FE4E2" w:rsidR="002A2CCC" w:rsidRPr="002A2CCC" w:rsidRDefault="002A2CCC" w:rsidP="002A2CCC">
      <w:pPr>
        <w:pStyle w:val="EndNoteBibliography"/>
        <w:spacing w:after="0"/>
        <w:ind w:left="720" w:hanging="720"/>
      </w:pPr>
      <w:r w:rsidRPr="002A2CCC">
        <w:t xml:space="preserve">McKenzie, L. (2007). </w:t>
      </w:r>
      <w:r w:rsidRPr="002A2CCC">
        <w:rPr>
          <w:i/>
        </w:rPr>
        <w:t>Relationships between seagrass communities and sediment properties along the Queensland coast. Progress report to the Marine and Tropical Sciences Research Facility.</w:t>
      </w:r>
      <w:r w:rsidRPr="002A2CCC">
        <w:t xml:space="preserve"> Reef and Rainforest Research Centre Ltd, Cairns. Retrieved on 27/05/2019 from </w:t>
      </w:r>
      <w:hyperlink r:id="rId91" w:history="1">
        <w:r w:rsidRPr="002A2CCC">
          <w:rPr>
            <w:rStyle w:val="Hyperlink"/>
          </w:rPr>
          <w:t>https://rrrc.org.au/wp-content/uploads/2014/06/371-DPI-McKenzie-L-2007-Seagrass-Communities-Sediments.pdf</w:t>
        </w:r>
      </w:hyperlink>
    </w:p>
    <w:p w14:paraId="33559E9F" w14:textId="77777777" w:rsidR="002A2CCC" w:rsidRPr="002A2CCC" w:rsidRDefault="002A2CCC" w:rsidP="002A2CCC">
      <w:pPr>
        <w:pStyle w:val="EndNoteBibliography"/>
        <w:spacing w:after="0"/>
        <w:ind w:left="720" w:hanging="720"/>
      </w:pPr>
      <w:r w:rsidRPr="002A2CCC">
        <w:t xml:space="preserve">McKenzie, L., Long, L., Coles, R., &amp; Roder, C. (2000). Seagrass-Watch: Community based monitoring of seagrass resources. </w:t>
      </w:r>
      <w:r w:rsidRPr="002A2CCC">
        <w:rPr>
          <w:i/>
        </w:rPr>
        <w:t>Biologia marina mediterranea, 7</w:t>
      </w:r>
      <w:r w:rsidRPr="002A2CCC">
        <w:t xml:space="preserve">(2), 393-396. </w:t>
      </w:r>
    </w:p>
    <w:p w14:paraId="30D20128" w14:textId="77777777" w:rsidR="002A2CCC" w:rsidRPr="002A2CCC" w:rsidRDefault="002A2CCC" w:rsidP="002A2CCC">
      <w:pPr>
        <w:pStyle w:val="EndNoteBibliography"/>
        <w:spacing w:after="0"/>
        <w:ind w:left="720" w:hanging="720"/>
      </w:pPr>
      <w:r w:rsidRPr="002A2CCC">
        <w:t xml:space="preserve">McKenzie, L. J., Finkbeiner, M. A., &amp; Kirkman, H. (2001). Methods for mapping seagrass distribution. In F. T. Short &amp; R. G. Coles (Eds.), </w:t>
      </w:r>
      <w:r w:rsidRPr="002A2CCC">
        <w:rPr>
          <w:i/>
        </w:rPr>
        <w:t>Global seagrass research methods</w:t>
      </w:r>
      <w:r w:rsidRPr="002A2CCC">
        <w:t xml:space="preserve"> (pp. 101-121): Elsevier.</w:t>
      </w:r>
    </w:p>
    <w:p w14:paraId="58535555" w14:textId="77777777" w:rsidR="002A2CCC" w:rsidRPr="002A2CCC" w:rsidRDefault="002A2CCC" w:rsidP="002A2CCC">
      <w:pPr>
        <w:pStyle w:val="EndNoteBibliography"/>
        <w:spacing w:after="0"/>
        <w:ind w:left="720" w:hanging="720"/>
      </w:pPr>
      <w:r w:rsidRPr="002A2CCC">
        <w:t xml:space="preserve">Miller, I. R., Jonker, M., &amp; Coleman, G. (2009). </w:t>
      </w:r>
      <w:r w:rsidRPr="002A2CCC">
        <w:rPr>
          <w:i/>
        </w:rPr>
        <w:t>Crown-of-thorns starfish and coral surveys using the manta tow and SCUBA search techniques</w:t>
      </w:r>
      <w:r w:rsidRPr="002A2CCC">
        <w:t>. Australian Institute of Marine Science, Townsville.</w:t>
      </w:r>
    </w:p>
    <w:p w14:paraId="70C1088D" w14:textId="6C39CA29" w:rsidR="002A2CCC" w:rsidRPr="002A2CCC" w:rsidRDefault="002A2CCC" w:rsidP="002A2CCC">
      <w:pPr>
        <w:pStyle w:val="EndNoteBibliography"/>
        <w:spacing w:after="0"/>
        <w:ind w:left="720" w:hanging="720"/>
      </w:pPr>
      <w:r w:rsidRPr="002A2CCC">
        <w:t xml:space="preserve">Mueller, J. F., Mortimer, M. R., O’Brien, J., Komarova, T., &amp; Carter, S. (2011). A cleaner river: Long term use of semipermeable membrane devices demonstrate that concentrations of selected organochlorines and PAHs in the Brisbane River estuary, Queensland have reduced substantially over the past decade. </w:t>
      </w:r>
      <w:r w:rsidRPr="002A2CCC">
        <w:rPr>
          <w:i/>
        </w:rPr>
        <w:t>Marine Pollution Bulletin, 63</w:t>
      </w:r>
      <w:r w:rsidRPr="002A2CCC">
        <w:t>(5), 73-76. doi:</w:t>
      </w:r>
      <w:hyperlink r:id="rId92" w:history="1">
        <w:r w:rsidRPr="002A2CCC">
          <w:rPr>
            <w:rStyle w:val="Hyperlink"/>
          </w:rPr>
          <w:t>https://doi.org/10.1016/j.marpolbul.2011.03.026</w:t>
        </w:r>
      </w:hyperlink>
    </w:p>
    <w:p w14:paraId="54976E8D" w14:textId="24FD8450" w:rsidR="002A2CCC" w:rsidRPr="002A2CCC" w:rsidRDefault="002A2CCC" w:rsidP="002A2CCC">
      <w:pPr>
        <w:pStyle w:val="EndNoteBibliography"/>
        <w:spacing w:after="0"/>
        <w:ind w:left="720" w:hanging="720"/>
      </w:pPr>
      <w:r w:rsidRPr="002A2CCC">
        <w:t xml:space="preserve">Murphy, J., &amp; Riley, J. P. (1962). A modified single solution method for the determination of phosphate in natural waters. </w:t>
      </w:r>
      <w:r w:rsidRPr="002A2CCC">
        <w:rPr>
          <w:i/>
        </w:rPr>
        <w:t>Analytica Chimica Acta, 27</w:t>
      </w:r>
      <w:r w:rsidRPr="002A2CCC">
        <w:t>, 31-36. doi:</w:t>
      </w:r>
      <w:hyperlink r:id="rId93" w:history="1">
        <w:r w:rsidRPr="002A2CCC">
          <w:rPr>
            <w:rStyle w:val="Hyperlink"/>
          </w:rPr>
          <w:t>https://doi.org/10.1016/S0003-2670(00)88444-5</w:t>
        </w:r>
      </w:hyperlink>
    </w:p>
    <w:p w14:paraId="0B0EE13B" w14:textId="77777777" w:rsidR="002A2CCC" w:rsidRPr="002A2CCC" w:rsidRDefault="002A2CCC" w:rsidP="002A2CCC">
      <w:pPr>
        <w:pStyle w:val="EndNoteBibliography"/>
        <w:spacing w:after="0"/>
        <w:ind w:left="720" w:hanging="720"/>
      </w:pPr>
      <w:r w:rsidRPr="002A2CCC">
        <w:t xml:space="preserve">O'Brien, D. S., Chiswell, B., &amp; Mueller, J. F. (2009). A novel method for the </w:t>
      </w:r>
      <w:r w:rsidRPr="002A2CCC">
        <w:rPr>
          <w:i/>
        </w:rPr>
        <w:t>in situ</w:t>
      </w:r>
      <w:r w:rsidRPr="002A2CCC">
        <w:t xml:space="preserve"> calibration of flow effects on a phosphate passive sampler. </w:t>
      </w:r>
      <w:r w:rsidRPr="002A2CCC">
        <w:rPr>
          <w:i/>
        </w:rPr>
        <w:t>Journal of Environmental Monitoring, 11</w:t>
      </w:r>
      <w:r w:rsidRPr="002A2CCC">
        <w:t>(1), 212-219. doi:10.1039/B809901D</w:t>
      </w:r>
    </w:p>
    <w:p w14:paraId="74B994AA" w14:textId="2A2DC007" w:rsidR="002A2CCC" w:rsidRPr="002A2CCC" w:rsidRDefault="002A2CCC" w:rsidP="002A2CCC">
      <w:pPr>
        <w:pStyle w:val="EndNoteBibliography"/>
        <w:spacing w:after="0"/>
        <w:ind w:left="720" w:hanging="720"/>
      </w:pPr>
      <w:r w:rsidRPr="002A2CCC">
        <w:t xml:space="preserve">O’Brien, D., Bartkow, M., &amp; Mueller, J. F. (2011). Determination of deployment specific chemical uptake rates for SDB-RPD Empore disk using a passive flow monitor (PFM). </w:t>
      </w:r>
      <w:r w:rsidRPr="002A2CCC">
        <w:rPr>
          <w:i/>
        </w:rPr>
        <w:t>Chemosphere, 83</w:t>
      </w:r>
      <w:r w:rsidRPr="002A2CCC">
        <w:t>(9), 1290-1295. doi:</w:t>
      </w:r>
      <w:hyperlink r:id="rId94" w:history="1">
        <w:r w:rsidRPr="002A2CCC">
          <w:rPr>
            <w:rStyle w:val="Hyperlink"/>
          </w:rPr>
          <w:t>https://doi.org/10.1016/j.chemosphere.2011.02.089</w:t>
        </w:r>
      </w:hyperlink>
    </w:p>
    <w:p w14:paraId="4A78E423" w14:textId="0EFF4C85" w:rsidR="002A2CCC" w:rsidRPr="002A2CCC" w:rsidRDefault="002A2CCC" w:rsidP="002A2CCC">
      <w:pPr>
        <w:pStyle w:val="EndNoteBibliography"/>
        <w:spacing w:after="0"/>
        <w:ind w:left="720" w:hanging="720"/>
      </w:pPr>
      <w:r w:rsidRPr="002A2CCC">
        <w:t xml:space="preserve">O’Brien, D., Komarova, T., &amp; Mueller, J. F. (2012). Determination of deployment specific chemical uptake rates for SPMD and PDMS using a passive flow monitor. </w:t>
      </w:r>
      <w:r w:rsidRPr="002A2CCC">
        <w:rPr>
          <w:i/>
        </w:rPr>
        <w:t>Marine Pollution Bulletin, 64</w:t>
      </w:r>
      <w:r w:rsidRPr="002A2CCC">
        <w:t>(5), 1005-1011. doi:</w:t>
      </w:r>
      <w:hyperlink r:id="rId95" w:history="1">
        <w:r w:rsidRPr="002A2CCC">
          <w:rPr>
            <w:rStyle w:val="Hyperlink"/>
          </w:rPr>
          <w:t>https://doi.org/10.1016/j.marpolbul.2012.02.004</w:t>
        </w:r>
      </w:hyperlink>
    </w:p>
    <w:p w14:paraId="6F71D194" w14:textId="77777777" w:rsidR="002A2CCC" w:rsidRPr="002A2CCC" w:rsidRDefault="002A2CCC" w:rsidP="002A2CCC">
      <w:pPr>
        <w:pStyle w:val="EndNoteBibliography"/>
        <w:spacing w:after="0"/>
        <w:ind w:left="720" w:hanging="720"/>
      </w:pPr>
      <w:r w:rsidRPr="002A2CCC">
        <w:t xml:space="preserve">O’Brien, D. S., Booij, K., Hawker, D. W., &amp; Mueller, J. F. (2011). Method for the </w:t>
      </w:r>
      <w:r w:rsidRPr="002A2CCC">
        <w:rPr>
          <w:i/>
        </w:rPr>
        <w:t>in situ</w:t>
      </w:r>
      <w:r w:rsidRPr="002A2CCC">
        <w:t xml:space="preserve"> calibration of a passive phosphate sampler in estuarine and marine waters. </w:t>
      </w:r>
      <w:r w:rsidRPr="002A2CCC">
        <w:rPr>
          <w:i/>
        </w:rPr>
        <w:t>Environmental Science &amp; Technology, 45</w:t>
      </w:r>
      <w:r w:rsidRPr="002A2CCC">
        <w:t>(7), 2871-2877. doi:10.1021/es101645z</w:t>
      </w:r>
    </w:p>
    <w:p w14:paraId="26A1EA39" w14:textId="77777777" w:rsidR="002A2CCC" w:rsidRPr="002A2CCC" w:rsidRDefault="002A2CCC" w:rsidP="002A2CCC">
      <w:pPr>
        <w:pStyle w:val="EndNoteBibliography"/>
        <w:spacing w:after="0"/>
        <w:ind w:left="720" w:hanging="720"/>
      </w:pPr>
      <w:r w:rsidRPr="002A2CCC">
        <w:t xml:space="preserve">Parsons, T. R., Maita, Y., &amp; Lalli, C. M. (1984). </w:t>
      </w:r>
      <w:r w:rsidRPr="002A2CCC">
        <w:rPr>
          <w:i/>
        </w:rPr>
        <w:t>A manual of chemical and biological methods for seawater analysis</w:t>
      </w:r>
      <w:r w:rsidRPr="002A2CCC">
        <w:t>: Pergamon Press, Oxford.</w:t>
      </w:r>
    </w:p>
    <w:p w14:paraId="65906397" w14:textId="3FC6A2E0" w:rsidR="002A2CCC" w:rsidRPr="002A2CCC" w:rsidRDefault="002A2CCC" w:rsidP="002A2CCC">
      <w:pPr>
        <w:pStyle w:val="EndNoteBibliography"/>
        <w:spacing w:after="0"/>
        <w:ind w:left="720" w:hanging="720"/>
      </w:pPr>
      <w:r w:rsidRPr="002A2CCC">
        <w:t xml:space="preserve">Petus, C., Collier, C., Devlin, M., Rasheed, M., &amp; McKenna, S. (2014). Using MODIS data for understanding changes in seagrass meadow health: A case study in the Great Barrier Reef (Australia). </w:t>
      </w:r>
      <w:r w:rsidRPr="002A2CCC">
        <w:rPr>
          <w:i/>
        </w:rPr>
        <w:t>Marine Environmental Research, 98</w:t>
      </w:r>
      <w:r w:rsidRPr="002A2CCC">
        <w:t>, 68-85. doi:</w:t>
      </w:r>
      <w:hyperlink r:id="rId96" w:history="1">
        <w:r w:rsidRPr="002A2CCC">
          <w:rPr>
            <w:rStyle w:val="Hyperlink"/>
          </w:rPr>
          <w:t>https://doi.org/10.1016/j.marenvres.2014.03.006</w:t>
        </w:r>
      </w:hyperlink>
    </w:p>
    <w:p w14:paraId="5B2769C1" w14:textId="38A17A79" w:rsidR="002A2CCC" w:rsidRPr="002A2CCC" w:rsidRDefault="002A2CCC" w:rsidP="002A2CCC">
      <w:pPr>
        <w:pStyle w:val="EndNoteBibliography"/>
        <w:spacing w:after="0"/>
        <w:ind w:left="720" w:hanging="720"/>
      </w:pPr>
      <w:r w:rsidRPr="002A2CCC">
        <w:t xml:space="preserve">Petus, C., da Silva, E. T., Devlin, M., Wenger, A. S., &amp; Álvarez-Romero, J. G. (2014). Using MODIS data for mapping of water types within river plumes in the Great Barrier Reef, Australia: Towards the production of river plume risk maps for reef and seagrass ecosystems. </w:t>
      </w:r>
      <w:r w:rsidRPr="002A2CCC">
        <w:rPr>
          <w:i/>
        </w:rPr>
        <w:t>Journal of Environmental Management, 137</w:t>
      </w:r>
      <w:r w:rsidRPr="002A2CCC">
        <w:t>, 163-177. doi:</w:t>
      </w:r>
      <w:hyperlink r:id="rId97" w:history="1">
        <w:r w:rsidRPr="002A2CCC">
          <w:rPr>
            <w:rStyle w:val="Hyperlink"/>
          </w:rPr>
          <w:t>https://doi.org/10.1016/j.jenvman.2013.11.050</w:t>
        </w:r>
      </w:hyperlink>
    </w:p>
    <w:p w14:paraId="1241D322" w14:textId="5CCF1BDB" w:rsidR="002A2CCC" w:rsidRPr="002A2CCC" w:rsidRDefault="002A2CCC" w:rsidP="002A2CCC">
      <w:pPr>
        <w:pStyle w:val="EndNoteBibliography"/>
        <w:spacing w:after="0"/>
        <w:ind w:left="720" w:hanging="720"/>
      </w:pPr>
      <w:r w:rsidRPr="002A2CCC">
        <w:t xml:space="preserve">Petus, C., Devlin, M., Teixera da Silva, E., Lewis, S., Waterhouse, J., Wenger, A., . . . Tracey, D. (2018). Defining wet season water quality target concentrations for ecosystem conservation using empirical light attenuation models: A case study in the Great Barrier Reef (Australia). </w:t>
      </w:r>
      <w:r w:rsidRPr="002A2CCC">
        <w:rPr>
          <w:i/>
        </w:rPr>
        <w:t>Journal of Environmental Management, 213</w:t>
      </w:r>
      <w:r w:rsidRPr="002A2CCC">
        <w:t>, 451-466. doi:</w:t>
      </w:r>
      <w:hyperlink r:id="rId98" w:history="1">
        <w:r w:rsidRPr="002A2CCC">
          <w:rPr>
            <w:rStyle w:val="Hyperlink"/>
          </w:rPr>
          <w:t>https://doi.org/10.1016/j.jenvman.2018.02.028</w:t>
        </w:r>
      </w:hyperlink>
    </w:p>
    <w:p w14:paraId="6FF2AF31" w14:textId="77777777" w:rsidR="002A2CCC" w:rsidRPr="002A2CCC" w:rsidRDefault="002A2CCC" w:rsidP="002A2CCC">
      <w:pPr>
        <w:pStyle w:val="EndNoteBibliography"/>
        <w:spacing w:after="0"/>
        <w:ind w:left="720" w:hanging="720"/>
      </w:pPr>
      <w:r w:rsidRPr="002A2CCC">
        <w:t xml:space="preserve">Petus, C., Devlin, M., Thompson, A., McKenzie, L., Teixeira da Silva, E., Collier, C., . . . Martin, K. (2016). Estimating the exposure of coral reefs and seagrass meadows to land-sourced contaminants in river flood plumes of the Great Barrier Reef: Validating a simple satellite risk framework with environmental data. </w:t>
      </w:r>
      <w:r w:rsidRPr="002A2CCC">
        <w:rPr>
          <w:i/>
        </w:rPr>
        <w:t>Remote Sensing, 8</w:t>
      </w:r>
      <w:r w:rsidRPr="002A2CCC">
        <w:t xml:space="preserve">(3), 210. </w:t>
      </w:r>
    </w:p>
    <w:p w14:paraId="74549C82" w14:textId="0C9CA47D" w:rsidR="002A2CCC" w:rsidRPr="002A2CCC" w:rsidRDefault="002A2CCC" w:rsidP="002A2CCC">
      <w:pPr>
        <w:pStyle w:val="EndNoteBibliography"/>
        <w:spacing w:after="0"/>
        <w:ind w:left="720" w:hanging="720"/>
      </w:pPr>
      <w:r w:rsidRPr="002A2CCC">
        <w:t xml:space="preserve">Robillot, C., Logan, M., Baird, M., Waterhouse, J., Martin, K., &amp; Schaffelke, B. (2018). </w:t>
      </w:r>
      <w:r w:rsidRPr="002A2CCC">
        <w:rPr>
          <w:i/>
        </w:rPr>
        <w:t>Testing and implementation of an improved water quality index for the 2016 and 2017 Great Barrier Reef Report Cards - Detailed technical report</w:t>
      </w:r>
      <w:r w:rsidRPr="002A2CCC">
        <w:t xml:space="preserve">. Report to the National Environmental Science Program. Reef and Rainforest Research Centre Limited, Cairns. Retrieved on 27/05/2019 from </w:t>
      </w:r>
      <w:hyperlink r:id="rId99" w:history="1">
        <w:r w:rsidRPr="002A2CCC">
          <w:rPr>
            <w:rStyle w:val="Hyperlink"/>
          </w:rPr>
          <w:t>https://nesptropical.edu.au/index.php/final-reports-round-3/</w:t>
        </w:r>
      </w:hyperlink>
    </w:p>
    <w:p w14:paraId="38EFE4B9" w14:textId="77777777" w:rsidR="002A2CCC" w:rsidRPr="002A2CCC" w:rsidRDefault="002A2CCC" w:rsidP="002A2CCC">
      <w:pPr>
        <w:pStyle w:val="EndNoteBibliography"/>
        <w:spacing w:after="0"/>
        <w:ind w:left="720" w:hanging="720"/>
      </w:pPr>
      <w:r w:rsidRPr="002A2CCC">
        <w:t xml:space="preserve">Roesler, C., Uitz, J., Claustre, H., Boss, E., Xing, X., Organelli, E., . . . Barbieux, M. (2017). Recommendations for obtaining unbiased chlorophyll estimates from in situ chlorophyll fluorometers: A global analysis of WET Labs ECO sensors. </w:t>
      </w:r>
      <w:r w:rsidRPr="002A2CCC">
        <w:rPr>
          <w:i/>
        </w:rPr>
        <w:t>Limnology and Oceanography: Methods, 15</w:t>
      </w:r>
      <w:r w:rsidRPr="002A2CCC">
        <w:t>(6), 572-585. doi:doi:10.1002/lom3.10185</w:t>
      </w:r>
    </w:p>
    <w:p w14:paraId="6B06E09F" w14:textId="77777777" w:rsidR="002A2CCC" w:rsidRPr="002A2CCC" w:rsidRDefault="002A2CCC" w:rsidP="002A2CCC">
      <w:pPr>
        <w:pStyle w:val="EndNoteBibliography"/>
        <w:spacing w:after="0"/>
        <w:ind w:left="720" w:hanging="720"/>
      </w:pPr>
      <w:r w:rsidRPr="002A2CCC">
        <w:t xml:space="preserve">Ryle, V., Mueller, H., &amp; Gentien, P. (1981). </w:t>
      </w:r>
      <w:r w:rsidRPr="002A2CCC">
        <w:rPr>
          <w:i/>
        </w:rPr>
        <w:t>Automated analysis of nutrients in tropical sea waters. Technical bulletin Oceanography series No. 3. AIMS-OS-81-2</w:t>
      </w:r>
      <w:r w:rsidRPr="002A2CCC">
        <w:t>. Australian Institute of Marine Science, Townsville.</w:t>
      </w:r>
    </w:p>
    <w:p w14:paraId="774212D0" w14:textId="69E0E470" w:rsidR="002A2CCC" w:rsidRPr="002A2CCC" w:rsidRDefault="002A2CCC" w:rsidP="002A2CCC">
      <w:pPr>
        <w:pStyle w:val="EndNoteBibliography"/>
        <w:spacing w:after="0"/>
        <w:ind w:left="720" w:hanging="720"/>
      </w:pPr>
      <w:r w:rsidRPr="002A2CCC">
        <w:t xml:space="preserve">Schäfer, R. B., Paschke, A., Vrana, B., Mueller, R., &amp; Liess, M. (2008). Performance of the Chemcatcher® passive sampler when used to monitor 10 polar and semi-polar pesticides in 16 Central European streams, and comparison with two other sampling methods. </w:t>
      </w:r>
      <w:r w:rsidRPr="002A2CCC">
        <w:rPr>
          <w:i/>
        </w:rPr>
        <w:t>Water Research, 42</w:t>
      </w:r>
      <w:r w:rsidRPr="002A2CCC">
        <w:t>(10), 2707-2717. doi:</w:t>
      </w:r>
      <w:hyperlink r:id="rId100" w:history="1">
        <w:r w:rsidRPr="002A2CCC">
          <w:rPr>
            <w:rStyle w:val="Hyperlink"/>
          </w:rPr>
          <w:t>https://doi.org/10.1016/j.watres.2008.01.023</w:t>
        </w:r>
      </w:hyperlink>
    </w:p>
    <w:p w14:paraId="0F399FC4" w14:textId="17AEE19B" w:rsidR="002A2CCC" w:rsidRPr="002A2CCC" w:rsidRDefault="002A2CCC" w:rsidP="002A2CCC">
      <w:pPr>
        <w:pStyle w:val="EndNoteBibliography"/>
        <w:spacing w:after="0"/>
        <w:ind w:left="720" w:hanging="720"/>
      </w:pPr>
      <w:r w:rsidRPr="002A2CCC">
        <w:t xml:space="preserve">Schaffelke, B., Carleton, J., Skuza, M., Zagorskis, I., &amp; Furnas, M. J. (2012). Water quality in the inshore Great Barrier Reef lagoon: Implications for long-term monitoring and management. </w:t>
      </w:r>
      <w:r w:rsidRPr="002A2CCC">
        <w:rPr>
          <w:i/>
        </w:rPr>
        <w:t>Marine Pollution Bulletin, 65</w:t>
      </w:r>
      <w:r w:rsidRPr="002A2CCC">
        <w:t>(4–9), 249-260. doi:</w:t>
      </w:r>
      <w:hyperlink r:id="rId101" w:history="1">
        <w:r w:rsidRPr="002A2CCC">
          <w:rPr>
            <w:rStyle w:val="Hyperlink"/>
          </w:rPr>
          <w:t>http://dx.doi.org/10.1016/j.marpolbul.2011.10.031</w:t>
        </w:r>
      </w:hyperlink>
    </w:p>
    <w:p w14:paraId="0A13D418" w14:textId="77777777" w:rsidR="002A2CCC" w:rsidRPr="002A2CCC" w:rsidRDefault="002A2CCC" w:rsidP="002A2CCC">
      <w:pPr>
        <w:pStyle w:val="EndNoteBibliography"/>
        <w:spacing w:after="0"/>
        <w:ind w:left="720" w:hanging="720"/>
      </w:pPr>
      <w:r w:rsidRPr="002A2CCC">
        <w:t xml:space="preserve">Shaw, M., &amp; Mueller, J. F. (2009). Time integrative passive sampling: How well do Chemcatchers integrate fluctuating pollutant concentrations? </w:t>
      </w:r>
      <w:r w:rsidRPr="002A2CCC">
        <w:rPr>
          <w:i/>
        </w:rPr>
        <w:t>Environmental Science &amp; Technology, 43</w:t>
      </w:r>
      <w:r w:rsidRPr="002A2CCC">
        <w:t>(5), 1443-1448. doi:10.1021/es8021446</w:t>
      </w:r>
    </w:p>
    <w:p w14:paraId="1E06C30F" w14:textId="56CD0457" w:rsidR="002A2CCC" w:rsidRPr="002A2CCC" w:rsidRDefault="002A2CCC" w:rsidP="002A2CCC">
      <w:pPr>
        <w:pStyle w:val="EndNoteBibliography"/>
        <w:spacing w:after="0"/>
        <w:ind w:left="720" w:hanging="720"/>
      </w:pPr>
      <w:r w:rsidRPr="002A2CCC">
        <w:t xml:space="preserve">Shaw, M., &amp; Müller, J. F. (2005). Preliminary evaluation of the occurrence of herbicides and PAHs in the Wet Tropics region of the Great Barrier Reef, Australia, using passive samplers. </w:t>
      </w:r>
      <w:r w:rsidRPr="002A2CCC">
        <w:rPr>
          <w:i/>
        </w:rPr>
        <w:t>Marine Pollution Bulletin, 51</w:t>
      </w:r>
      <w:r w:rsidRPr="002A2CCC">
        <w:t>(8), 876-881. doi:</w:t>
      </w:r>
      <w:hyperlink r:id="rId102" w:history="1">
        <w:r w:rsidRPr="002A2CCC">
          <w:rPr>
            <w:rStyle w:val="Hyperlink"/>
          </w:rPr>
          <w:t>https://doi.org/10.1016/j.marpolbul.2005.04.015</w:t>
        </w:r>
      </w:hyperlink>
    </w:p>
    <w:p w14:paraId="38BBB925" w14:textId="77777777" w:rsidR="002A2CCC" w:rsidRPr="002A2CCC" w:rsidRDefault="002A2CCC" w:rsidP="002A2CCC">
      <w:pPr>
        <w:pStyle w:val="EndNoteBibliography"/>
        <w:spacing w:after="0"/>
        <w:ind w:left="720" w:hanging="720"/>
      </w:pPr>
      <w:r w:rsidRPr="002A2CCC">
        <w:t xml:space="preserve">Sokal, R., &amp; Rohlf, F. J. (1995). </w:t>
      </w:r>
      <w:r w:rsidRPr="002A2CCC">
        <w:rPr>
          <w:i/>
        </w:rPr>
        <w:t>Biometry 3</w:t>
      </w:r>
      <w:r w:rsidRPr="002A2CCC">
        <w:rPr>
          <w:i/>
          <w:vertAlign w:val="superscript"/>
        </w:rPr>
        <w:t>rd</w:t>
      </w:r>
      <w:r w:rsidRPr="002A2CCC">
        <w:rPr>
          <w:i/>
        </w:rPr>
        <w:t xml:space="preserve"> Ed.</w:t>
      </w:r>
      <w:r w:rsidRPr="002A2CCC">
        <w:t xml:space="preserve"> Columbia, NY.</w:t>
      </w:r>
    </w:p>
    <w:p w14:paraId="50374020" w14:textId="3CBE942A" w:rsidR="002A2CCC" w:rsidRPr="002A2CCC" w:rsidRDefault="002A2CCC" w:rsidP="002A2CCC">
      <w:pPr>
        <w:pStyle w:val="EndNoteBibliography"/>
        <w:spacing w:after="0"/>
        <w:ind w:left="720" w:hanging="720"/>
      </w:pPr>
      <w:r w:rsidRPr="002A2CCC">
        <w:t xml:space="preserve">Stephens, B. S., Kapernick, A. P., Eaglesham, G., &amp; Mueller, J. F. (2009). Event monitoring of herbicides with naked and membrane-covered Empore disk integrative passive sampling devices. </w:t>
      </w:r>
      <w:r w:rsidRPr="002A2CCC">
        <w:rPr>
          <w:i/>
        </w:rPr>
        <w:t>Marine Pollution Bulletin, 58</w:t>
      </w:r>
      <w:r w:rsidRPr="002A2CCC">
        <w:t>(8), 1116-1122. doi:</w:t>
      </w:r>
      <w:hyperlink r:id="rId103" w:history="1">
        <w:r w:rsidRPr="002A2CCC">
          <w:rPr>
            <w:rStyle w:val="Hyperlink"/>
          </w:rPr>
          <w:t>https://doi.org/10.1016/j.marpolbul.2009.04.012</w:t>
        </w:r>
      </w:hyperlink>
    </w:p>
    <w:p w14:paraId="385580EE" w14:textId="69A51852" w:rsidR="002A2CCC" w:rsidRPr="002A2CCC" w:rsidRDefault="002A2CCC" w:rsidP="002A2CCC">
      <w:pPr>
        <w:pStyle w:val="EndNoteBibliography"/>
        <w:spacing w:after="0"/>
        <w:ind w:left="720" w:hanging="720"/>
      </w:pPr>
      <w:r w:rsidRPr="002A2CCC">
        <w:t xml:space="preserve">Sweatman, H., Thompson, A., Delean, S., Davidson, J., &amp; Neale, S. (2007). </w:t>
      </w:r>
      <w:r w:rsidRPr="002A2CCC">
        <w:rPr>
          <w:i/>
        </w:rPr>
        <w:t>Status of Near-Shore Reefs of the Great Barrier Reef 2004</w:t>
      </w:r>
      <w:r w:rsidRPr="002A2CCC">
        <w:t xml:space="preserve">. Reef and Rainforest Research Centre Limited, Cairns. Retrieved on 27/05/2019 from </w:t>
      </w:r>
      <w:hyperlink r:id="rId104" w:history="1">
        <w:r w:rsidRPr="002A2CCC">
          <w:rPr>
            <w:rStyle w:val="Hyperlink"/>
          </w:rPr>
          <w:t>http://rrrc.org.au/wp-content/uploads/2014/06/Final-Status-of-Near-Shore-Reefs-120707.pdf</w:t>
        </w:r>
      </w:hyperlink>
    </w:p>
    <w:p w14:paraId="32513777" w14:textId="4DAB63CB" w:rsidR="002A2CCC" w:rsidRPr="002A2CCC" w:rsidRDefault="002A2CCC" w:rsidP="002A2CCC">
      <w:pPr>
        <w:pStyle w:val="EndNoteBibliography"/>
        <w:spacing w:after="0"/>
        <w:ind w:left="720" w:hanging="720"/>
      </w:pPr>
      <w:r w:rsidRPr="002A2CCC">
        <w:t xml:space="preserve">Thompson, A., Schaffelke, B., De’ath, G., Cripps, E., &amp; Sweatman, H. (2010). </w:t>
      </w:r>
      <w:r w:rsidRPr="002A2CCC">
        <w:rPr>
          <w:i/>
        </w:rPr>
        <w:t>Water Quality and Ecosystem Monitoring Programme - Reef Water Quality Protection Plan: Synthesis and spatial analysis of inshore monitoring data 2005-08</w:t>
      </w:r>
      <w:r w:rsidRPr="002A2CCC">
        <w:t xml:space="preserve">. Australian Institute of Marine Science, Townsville. Retrieved on 27/05/2019 from </w:t>
      </w:r>
      <w:hyperlink r:id="rId105" w:history="1">
        <w:r w:rsidRPr="002A2CCC">
          <w:rPr>
            <w:rStyle w:val="Hyperlink"/>
          </w:rPr>
          <w:t>http://www.gbrmpa.gov.au/__data/assets/pdf_file/0011/7688/Reef_Plan_MMP_2008_Stats_report_Jan2010.pdf</w:t>
        </w:r>
      </w:hyperlink>
    </w:p>
    <w:p w14:paraId="0485B668" w14:textId="77777777" w:rsidR="002A2CCC" w:rsidRPr="002A2CCC" w:rsidRDefault="002A2CCC" w:rsidP="002A2CCC">
      <w:pPr>
        <w:pStyle w:val="EndNoteBibliography"/>
        <w:spacing w:after="0"/>
        <w:ind w:left="720" w:hanging="720"/>
      </w:pPr>
      <w:r w:rsidRPr="002A2CCC">
        <w:t xml:space="preserve">Thompson, A. A., &amp; Dolman, A. M. (2010). Coral bleaching: one disturbance too many for near-shore reefs of the Great Barrier Reef. </w:t>
      </w:r>
      <w:r w:rsidRPr="002A2CCC">
        <w:rPr>
          <w:i/>
        </w:rPr>
        <w:t>Coral Reefs, 29</w:t>
      </w:r>
      <w:r w:rsidRPr="002A2CCC">
        <w:t>(3), 637-648. doi:10.1007/s00338-009-0562-0</w:t>
      </w:r>
    </w:p>
    <w:p w14:paraId="6A500746" w14:textId="77777777" w:rsidR="002A2CCC" w:rsidRPr="002A2CCC" w:rsidRDefault="002A2CCC" w:rsidP="002A2CCC">
      <w:pPr>
        <w:pStyle w:val="EndNoteBibliography"/>
        <w:spacing w:after="0"/>
        <w:ind w:left="720" w:hanging="720"/>
      </w:pPr>
      <w:r w:rsidRPr="002A2CCC">
        <w:t xml:space="preserve">Traas, T. P., van de Meent, D., Posthuma, L., Hamers, T., Kater, B. J., de Zwart, D., &amp; Aldenberg, T. (2002). The potentially affected fraction as a measure of ecological risk. In L. Posthuma, G. W. Suter, &amp; T. P. Traas (Eds.), </w:t>
      </w:r>
      <w:r w:rsidRPr="002A2CCC">
        <w:rPr>
          <w:i/>
        </w:rPr>
        <w:t>Species sensitivity distributions in ecotoxicology</w:t>
      </w:r>
      <w:r w:rsidRPr="002A2CCC">
        <w:t xml:space="preserve"> (pp. 315-344). Lewis Publishers, Boca Raton, FL.</w:t>
      </w:r>
    </w:p>
    <w:p w14:paraId="0BBF147E" w14:textId="77777777" w:rsidR="002A2CCC" w:rsidRPr="002A2CCC" w:rsidRDefault="002A2CCC" w:rsidP="002A2CCC">
      <w:pPr>
        <w:pStyle w:val="EndNoteBibliography"/>
        <w:spacing w:after="0"/>
        <w:ind w:left="720" w:hanging="720"/>
      </w:pPr>
      <w:r w:rsidRPr="002A2CCC">
        <w:t xml:space="preserve">Valderrama, J. C. (1981). The simultaneous analysis of total nitrogen and total phosphorus in natural waters. </w:t>
      </w:r>
      <w:r w:rsidRPr="002A2CCC">
        <w:rPr>
          <w:i/>
        </w:rPr>
        <w:t>Marine Chemistry, 10</w:t>
      </w:r>
      <w:r w:rsidRPr="002A2CCC">
        <w:t xml:space="preserve">, 109-122. </w:t>
      </w:r>
    </w:p>
    <w:p w14:paraId="7C38CB2F" w14:textId="4EC7CC4B" w:rsidR="002A2CCC" w:rsidRDefault="002A2CCC" w:rsidP="002A2CCC">
      <w:pPr>
        <w:pStyle w:val="EndNoteBibliography"/>
        <w:spacing w:after="0"/>
        <w:ind w:left="720" w:hanging="720"/>
        <w:rPr>
          <w:rStyle w:val="Hyperlink"/>
        </w:rPr>
      </w:pPr>
      <w:r w:rsidRPr="002A2CCC">
        <w:t xml:space="preserve">Vermeirssen, E. L. M., Bramaz, N., Hollender, J., Singer, H., &amp; Escher, B. I. (2009). Passive sampling combined with ecotoxicological and chemical analysis of pharmaceuticals and biocides – evaluation of three Chemcatcher™ configurations. </w:t>
      </w:r>
      <w:r w:rsidRPr="002A2CCC">
        <w:rPr>
          <w:i/>
        </w:rPr>
        <w:t>Water Research, 43</w:t>
      </w:r>
      <w:r w:rsidRPr="002A2CCC">
        <w:t>(4), 903-914. doi:</w:t>
      </w:r>
      <w:hyperlink r:id="rId106" w:history="1">
        <w:r w:rsidRPr="002A2CCC">
          <w:rPr>
            <w:rStyle w:val="Hyperlink"/>
          </w:rPr>
          <w:t>https://doi.org/10.1016/j.watres.2008.11.026</w:t>
        </w:r>
      </w:hyperlink>
    </w:p>
    <w:p w14:paraId="61F54272" w14:textId="6DC3C440" w:rsidR="00855CF1" w:rsidRPr="002A2CCC" w:rsidRDefault="007F469A" w:rsidP="002A2CCC">
      <w:pPr>
        <w:pStyle w:val="EndNoteBibliography"/>
        <w:spacing w:after="0"/>
        <w:ind w:left="720" w:hanging="720"/>
      </w:pPr>
      <w:r w:rsidRPr="00C70D93">
        <w:t>Waterhouse</w:t>
      </w:r>
      <w:r>
        <w:t>,</w:t>
      </w:r>
      <w:r w:rsidRPr="00C70D93">
        <w:t xml:space="preserve"> J</w:t>
      </w:r>
      <w:r>
        <w:t>.</w:t>
      </w:r>
      <w:r w:rsidRPr="00C70D93">
        <w:t>, Brodie</w:t>
      </w:r>
      <w:r>
        <w:t>,</w:t>
      </w:r>
      <w:r w:rsidRPr="00C70D93">
        <w:t xml:space="preserve"> J</w:t>
      </w:r>
      <w:r>
        <w:t>.</w:t>
      </w:r>
      <w:r w:rsidRPr="00C70D93">
        <w:t>, Tracey</w:t>
      </w:r>
      <w:r>
        <w:t>,</w:t>
      </w:r>
      <w:r w:rsidRPr="00C70D93">
        <w:t xml:space="preserve"> D</w:t>
      </w:r>
      <w:r>
        <w:t>.</w:t>
      </w:r>
      <w:r w:rsidRPr="00C70D93">
        <w:t>, Smith</w:t>
      </w:r>
      <w:r>
        <w:t>,</w:t>
      </w:r>
      <w:r w:rsidRPr="00C70D93">
        <w:t xml:space="preserve"> R</w:t>
      </w:r>
      <w:r>
        <w:t>.</w:t>
      </w:r>
      <w:r w:rsidRPr="00C70D93">
        <w:t>, Vandergragt</w:t>
      </w:r>
      <w:r>
        <w:t>,</w:t>
      </w:r>
      <w:r w:rsidRPr="00C70D93">
        <w:t xml:space="preserve"> M</w:t>
      </w:r>
      <w:r>
        <w:t>.</w:t>
      </w:r>
      <w:r w:rsidRPr="00C70D93">
        <w:t>, Collier</w:t>
      </w:r>
      <w:r>
        <w:t>,</w:t>
      </w:r>
      <w:r w:rsidRPr="00C70D93">
        <w:t xml:space="preserve"> C</w:t>
      </w:r>
      <w:r>
        <w:t>.</w:t>
      </w:r>
      <w:r w:rsidRPr="00C70D93">
        <w:t>, Petus</w:t>
      </w:r>
      <w:r>
        <w:t>,</w:t>
      </w:r>
      <w:r w:rsidRPr="00C70D93">
        <w:t xml:space="preserve"> C</w:t>
      </w:r>
      <w:r>
        <w:t>.</w:t>
      </w:r>
      <w:r w:rsidRPr="00C70D93">
        <w:t>, Baird</w:t>
      </w:r>
      <w:r>
        <w:t>,</w:t>
      </w:r>
      <w:r w:rsidRPr="00C70D93">
        <w:t xml:space="preserve"> M</w:t>
      </w:r>
      <w:r>
        <w:t>.</w:t>
      </w:r>
      <w:r w:rsidRPr="00C70D93">
        <w:t>, Kroon</w:t>
      </w:r>
      <w:r>
        <w:t>,</w:t>
      </w:r>
      <w:r w:rsidRPr="00C70D93">
        <w:t xml:space="preserve"> F</w:t>
      </w:r>
      <w:r>
        <w:t>.</w:t>
      </w:r>
      <w:r w:rsidRPr="00C70D93">
        <w:t>, Mann</w:t>
      </w:r>
      <w:r>
        <w:t>,</w:t>
      </w:r>
      <w:r w:rsidRPr="00C70D93">
        <w:t xml:space="preserve"> R</w:t>
      </w:r>
      <w:r>
        <w:t>.</w:t>
      </w:r>
      <w:r w:rsidRPr="00C70D93">
        <w:t>, Sutcliffe</w:t>
      </w:r>
      <w:r>
        <w:t>,</w:t>
      </w:r>
      <w:r w:rsidRPr="00C70D93">
        <w:t xml:space="preserve"> T</w:t>
      </w:r>
      <w:r>
        <w:t>.</w:t>
      </w:r>
      <w:r w:rsidRPr="00C70D93">
        <w:t>, Waters</w:t>
      </w:r>
      <w:r>
        <w:t>,</w:t>
      </w:r>
      <w:r w:rsidRPr="00C70D93">
        <w:t xml:space="preserve"> D</w:t>
      </w:r>
      <w:r>
        <w:t>.</w:t>
      </w:r>
      <w:r w:rsidRPr="00C70D93">
        <w:t>, Adame</w:t>
      </w:r>
      <w:r>
        <w:t>,</w:t>
      </w:r>
      <w:r w:rsidRPr="00C70D93">
        <w:t xml:space="preserve"> F</w:t>
      </w:r>
      <w:r>
        <w:t>.</w:t>
      </w:r>
      <w:r w:rsidRPr="00C70D93">
        <w:t xml:space="preserve"> (2017). Scientific Consensus Statement 2017: A synthesis of the science of land-based water quality impacts on the Great Barrier Reef, Chapter 3: The risk from anthropogenic pollutants to Great Barrier Reef coastal and marine ecosystems. State of Queensland, 2017.</w:t>
      </w:r>
    </w:p>
    <w:p w14:paraId="7D003B2B" w14:textId="400809C3" w:rsidR="002A2CCC" w:rsidRPr="002A2CCC" w:rsidRDefault="002A2CCC" w:rsidP="002A2CCC">
      <w:pPr>
        <w:pStyle w:val="EndNoteBibliography"/>
        <w:spacing w:after="0"/>
        <w:ind w:left="720" w:hanging="720"/>
      </w:pPr>
      <w:r w:rsidRPr="002A2CCC">
        <w:t xml:space="preserve">Waterhouse, J., Burton, J., Garzon-Garcia, A., Lewis, S., Brodie, J., Bainbridge, Z., . . . Dougall, C. (2018). </w:t>
      </w:r>
      <w:r w:rsidRPr="002A2CCC">
        <w:rPr>
          <w:i/>
        </w:rPr>
        <w:t>Synthesis of knowledge and concepts - Bioavailable Nutrients: Sources, delivery and impacts in the Great Barrier Reef, July 2018. Supporting Concept Paper for the Bioavailable Nutrients Workshop, 15 March 2018</w:t>
      </w:r>
      <w:r w:rsidRPr="002A2CCC">
        <w:t xml:space="preserve">. Reef and Rainforest Research Centre. Retrieved on 27/05/2019 from </w:t>
      </w:r>
      <w:hyperlink r:id="rId107" w:history="1">
        <w:r w:rsidRPr="002A2CCC">
          <w:rPr>
            <w:rStyle w:val="Hyperlink"/>
          </w:rPr>
          <w:t>https://nesptropical.edu.au/wp-content/uploads/2018/11/NESP-TWQ-Bioavailability-of-Nutrients-Workshop-Concept-Paper.pdf</w:t>
        </w:r>
      </w:hyperlink>
    </w:p>
    <w:p w14:paraId="6C390B9D" w14:textId="523CA546" w:rsidR="002A2CCC" w:rsidRPr="002A2CCC" w:rsidRDefault="002A2CCC" w:rsidP="002A2CCC">
      <w:pPr>
        <w:pStyle w:val="EndNoteBibliography"/>
        <w:ind w:left="720" w:hanging="720"/>
      </w:pPr>
      <w:r w:rsidRPr="002A2CCC">
        <w:t xml:space="preserve">Wheatcroft, R. A., &amp; Borgeld, J. C. (2000). Oceanic flood deposits on the northern California shelf: Large-scale distribution and small-scale physical properties. </w:t>
      </w:r>
      <w:r w:rsidRPr="002A2CCC">
        <w:rPr>
          <w:i/>
        </w:rPr>
        <w:t>Continental Shelf Research, 20</w:t>
      </w:r>
      <w:r w:rsidRPr="002A2CCC">
        <w:t>(16), 2163-2190. doi:</w:t>
      </w:r>
      <w:hyperlink r:id="rId108" w:history="1">
        <w:r w:rsidRPr="002A2CCC">
          <w:rPr>
            <w:rStyle w:val="Hyperlink"/>
          </w:rPr>
          <w:t>https://doi.org/10.1016/S0278-4343(00)00066-2</w:t>
        </w:r>
      </w:hyperlink>
    </w:p>
    <w:p w14:paraId="3B1AC19D" w14:textId="28194356" w:rsidR="0031675F" w:rsidRDefault="007B54B3" w:rsidP="0031675F">
      <w:pPr>
        <w:rPr>
          <w:rFonts w:cs="Arial"/>
        </w:rPr>
      </w:pPr>
      <w:r>
        <w:rPr>
          <w:rFonts w:cs="Arial"/>
        </w:rPr>
        <w:fldChar w:fldCharType="end"/>
      </w:r>
      <w:r w:rsidR="0031675F">
        <w:rPr>
          <w:rFonts w:cs="Arial"/>
        </w:rPr>
        <w:br w:type="page"/>
      </w:r>
    </w:p>
    <w:p w14:paraId="2BA550C9" w14:textId="77777777" w:rsidR="0031675F" w:rsidRPr="0031675F" w:rsidRDefault="0031675F" w:rsidP="0031675F">
      <w:pPr>
        <w:rPr>
          <w:rFonts w:ascii="Times New Roman" w:eastAsia="Times New Roman" w:hAnsi="Times New Roman"/>
          <w:sz w:val="20"/>
          <w:szCs w:val="20"/>
        </w:rPr>
      </w:pPr>
    </w:p>
    <w:p w14:paraId="00190005" w14:textId="77777777" w:rsidR="0031675F" w:rsidRPr="0031675F" w:rsidRDefault="0031675F" w:rsidP="0031675F">
      <w:pPr>
        <w:rPr>
          <w:rFonts w:ascii="Times New Roman" w:eastAsia="Times New Roman" w:hAnsi="Times New Roman"/>
          <w:sz w:val="20"/>
          <w:szCs w:val="20"/>
        </w:rPr>
      </w:pPr>
    </w:p>
    <w:p w14:paraId="5A2280DA" w14:textId="77777777" w:rsidR="0031675F" w:rsidRPr="0031675F" w:rsidRDefault="0031675F" w:rsidP="0031675F">
      <w:pPr>
        <w:rPr>
          <w:rFonts w:ascii="Times New Roman" w:eastAsia="Times New Roman" w:hAnsi="Times New Roman"/>
          <w:sz w:val="20"/>
          <w:szCs w:val="20"/>
        </w:rPr>
      </w:pPr>
    </w:p>
    <w:p w14:paraId="78B61E82" w14:textId="77777777" w:rsidR="0031675F" w:rsidRPr="0031675F" w:rsidRDefault="0031675F" w:rsidP="0031675F">
      <w:pPr>
        <w:rPr>
          <w:rFonts w:ascii="Times New Roman" w:eastAsia="Times New Roman" w:hAnsi="Times New Roman"/>
          <w:sz w:val="20"/>
          <w:szCs w:val="20"/>
        </w:rPr>
      </w:pPr>
    </w:p>
    <w:p w14:paraId="7DBD5D9B" w14:textId="77777777" w:rsidR="0031675F" w:rsidRPr="0031675F" w:rsidRDefault="0031675F" w:rsidP="0031675F">
      <w:pPr>
        <w:rPr>
          <w:rFonts w:ascii="Times New Roman" w:eastAsia="Times New Roman" w:hAnsi="Times New Roman"/>
          <w:sz w:val="20"/>
          <w:szCs w:val="20"/>
        </w:rPr>
      </w:pPr>
    </w:p>
    <w:p w14:paraId="64BCF13A" w14:textId="77777777" w:rsidR="0031675F" w:rsidRPr="0031675F" w:rsidRDefault="0031675F" w:rsidP="0031675F">
      <w:pPr>
        <w:rPr>
          <w:rFonts w:ascii="Times New Roman" w:eastAsia="Times New Roman" w:hAnsi="Times New Roman"/>
          <w:sz w:val="20"/>
          <w:szCs w:val="20"/>
        </w:rPr>
      </w:pPr>
    </w:p>
    <w:p w14:paraId="3F7F29E4" w14:textId="77777777" w:rsidR="0031675F" w:rsidRPr="0031675F" w:rsidRDefault="0031675F" w:rsidP="0031675F">
      <w:pPr>
        <w:rPr>
          <w:rFonts w:ascii="Times New Roman" w:eastAsia="Times New Roman" w:hAnsi="Times New Roman"/>
          <w:sz w:val="20"/>
          <w:szCs w:val="20"/>
        </w:rPr>
      </w:pPr>
    </w:p>
    <w:p w14:paraId="0C76F848" w14:textId="77777777" w:rsidR="0031675F" w:rsidRPr="0031675F" w:rsidRDefault="0031675F" w:rsidP="0031675F">
      <w:pPr>
        <w:rPr>
          <w:rFonts w:ascii="Times New Roman" w:eastAsia="Times New Roman" w:hAnsi="Times New Roman"/>
          <w:sz w:val="20"/>
          <w:szCs w:val="20"/>
        </w:rPr>
      </w:pPr>
    </w:p>
    <w:p w14:paraId="4B1F9D93" w14:textId="77777777" w:rsidR="0031675F" w:rsidRPr="0031675F" w:rsidRDefault="0031675F" w:rsidP="0031675F">
      <w:pPr>
        <w:rPr>
          <w:rFonts w:ascii="Times New Roman" w:eastAsia="Times New Roman" w:hAnsi="Times New Roman"/>
          <w:sz w:val="20"/>
          <w:szCs w:val="20"/>
        </w:rPr>
      </w:pPr>
    </w:p>
    <w:p w14:paraId="16ECEBD1" w14:textId="77777777" w:rsidR="0031675F" w:rsidRPr="0031675F" w:rsidRDefault="0031675F" w:rsidP="0031675F">
      <w:pPr>
        <w:rPr>
          <w:rFonts w:ascii="Times New Roman" w:eastAsia="Times New Roman" w:hAnsi="Times New Roman"/>
          <w:sz w:val="20"/>
          <w:szCs w:val="20"/>
        </w:rPr>
      </w:pPr>
    </w:p>
    <w:p w14:paraId="1A1F7B7B" w14:textId="77777777" w:rsidR="0031675F" w:rsidRPr="0031675F" w:rsidRDefault="0031675F" w:rsidP="0031675F">
      <w:pPr>
        <w:rPr>
          <w:rFonts w:ascii="Times New Roman" w:eastAsia="Times New Roman" w:hAnsi="Times New Roman"/>
          <w:sz w:val="20"/>
          <w:szCs w:val="20"/>
        </w:rPr>
      </w:pPr>
    </w:p>
    <w:p w14:paraId="44D0ED42" w14:textId="649ECD4C" w:rsidR="0031675F" w:rsidRPr="0031675F" w:rsidRDefault="0031675F" w:rsidP="0031675F">
      <w:pPr>
        <w:keepNext/>
        <w:keepLines/>
        <w:tabs>
          <w:tab w:val="left" w:pos="680"/>
        </w:tabs>
        <w:ind w:left="432"/>
        <w:outlineLvl w:val="0"/>
        <w:rPr>
          <w:rFonts w:eastAsia="Times New Roman" w:cs="Calibri"/>
          <w:b/>
          <w:bCs/>
          <w:color w:val="365F91" w:themeColor="accent1" w:themeShade="BF"/>
          <w:sz w:val="28"/>
          <w:szCs w:val="28"/>
        </w:rPr>
      </w:pPr>
      <w:bookmarkStart w:id="566" w:name="_Toc523905372"/>
      <w:bookmarkStart w:id="567" w:name="_Toc12365627"/>
      <w:r w:rsidRPr="0031675F">
        <w:rPr>
          <w:rFonts w:eastAsia="Times New Roman"/>
          <w:b/>
          <w:bCs/>
          <w:color w:val="365F91" w:themeColor="accent1" w:themeShade="BF"/>
          <w:sz w:val="28"/>
          <w:szCs w:val="28"/>
        </w:rPr>
        <w:t>Appendix</w:t>
      </w:r>
      <w:r w:rsidRPr="0031675F">
        <w:rPr>
          <w:rFonts w:eastAsia="Times New Roman"/>
          <w:b/>
          <w:bCs/>
          <w:color w:val="365F91" w:themeColor="accent1" w:themeShade="BF"/>
          <w:spacing w:val="-14"/>
          <w:sz w:val="28"/>
          <w:szCs w:val="28"/>
        </w:rPr>
        <w:t xml:space="preserve"> </w:t>
      </w:r>
      <w:r w:rsidRPr="0031675F">
        <w:rPr>
          <w:rFonts w:eastAsia="Times New Roman"/>
          <w:b/>
          <w:bCs/>
          <w:color w:val="365F91" w:themeColor="accent1" w:themeShade="BF"/>
          <w:sz w:val="28"/>
          <w:szCs w:val="28"/>
        </w:rPr>
        <w:t>A</w:t>
      </w:r>
      <w:r w:rsidRPr="0031675F">
        <w:rPr>
          <w:rFonts w:eastAsia="Times New Roman"/>
          <w:b/>
          <w:bCs/>
          <w:color w:val="365F91" w:themeColor="accent1" w:themeShade="BF"/>
          <w:spacing w:val="25"/>
          <w:w w:val="99"/>
          <w:sz w:val="28"/>
          <w:szCs w:val="28"/>
        </w:rPr>
        <w:t xml:space="preserve"> </w:t>
      </w:r>
      <w:r w:rsidRPr="0031675F">
        <w:rPr>
          <w:rFonts w:eastAsia="Times New Roman"/>
          <w:b/>
          <w:bCs/>
          <w:color w:val="365F91" w:themeColor="accent1" w:themeShade="BF"/>
          <w:sz w:val="28"/>
          <w:szCs w:val="28"/>
        </w:rPr>
        <w:t>Detailed</w:t>
      </w:r>
      <w:r w:rsidRPr="0031675F">
        <w:rPr>
          <w:rFonts w:eastAsia="Times New Roman"/>
          <w:b/>
          <w:bCs/>
          <w:color w:val="365F91" w:themeColor="accent1" w:themeShade="BF"/>
          <w:spacing w:val="-12"/>
          <w:sz w:val="28"/>
          <w:szCs w:val="28"/>
        </w:rPr>
        <w:t xml:space="preserve"> </w:t>
      </w:r>
      <w:r w:rsidRPr="0031675F">
        <w:rPr>
          <w:rFonts w:eastAsia="Times New Roman"/>
          <w:b/>
          <w:bCs/>
          <w:color w:val="365F91" w:themeColor="accent1" w:themeShade="BF"/>
          <w:sz w:val="28"/>
          <w:szCs w:val="28"/>
        </w:rPr>
        <w:t>AIMS</w:t>
      </w:r>
      <w:r w:rsidRPr="0031675F">
        <w:rPr>
          <w:rFonts w:eastAsia="Times New Roman"/>
          <w:b/>
          <w:bCs/>
          <w:color w:val="365F91" w:themeColor="accent1" w:themeShade="BF"/>
          <w:spacing w:val="-13"/>
          <w:sz w:val="28"/>
          <w:szCs w:val="28"/>
        </w:rPr>
        <w:t xml:space="preserve"> </w:t>
      </w:r>
      <w:r w:rsidRPr="0031675F">
        <w:rPr>
          <w:rFonts w:eastAsia="Times New Roman"/>
          <w:b/>
          <w:bCs/>
          <w:color w:val="365F91" w:themeColor="accent1" w:themeShade="BF"/>
          <w:sz w:val="28"/>
          <w:szCs w:val="28"/>
        </w:rPr>
        <w:t>Manuals</w:t>
      </w:r>
      <w:r w:rsidRPr="0031675F">
        <w:rPr>
          <w:rFonts w:eastAsia="Times New Roman"/>
          <w:b/>
          <w:bCs/>
          <w:color w:val="365F91" w:themeColor="accent1" w:themeShade="BF"/>
          <w:spacing w:val="-12"/>
          <w:sz w:val="28"/>
          <w:szCs w:val="28"/>
        </w:rPr>
        <w:t xml:space="preserve"> a</w:t>
      </w:r>
      <w:r w:rsidRPr="0031675F">
        <w:rPr>
          <w:rFonts w:eastAsia="Times New Roman"/>
          <w:b/>
          <w:bCs/>
          <w:color w:val="365F91" w:themeColor="accent1" w:themeShade="BF"/>
          <w:sz w:val="28"/>
          <w:szCs w:val="36"/>
        </w:rPr>
        <w:t>nd Standard</w:t>
      </w:r>
      <w:r w:rsidRPr="0031675F">
        <w:rPr>
          <w:rFonts w:eastAsia="Times New Roman"/>
          <w:b/>
          <w:bCs/>
          <w:color w:val="365F91" w:themeColor="accent1" w:themeShade="BF"/>
          <w:spacing w:val="-17"/>
          <w:sz w:val="28"/>
          <w:szCs w:val="36"/>
        </w:rPr>
        <w:t xml:space="preserve"> </w:t>
      </w:r>
      <w:r w:rsidRPr="0031675F">
        <w:rPr>
          <w:rFonts w:eastAsia="Times New Roman"/>
          <w:b/>
          <w:bCs/>
          <w:color w:val="365F91" w:themeColor="accent1" w:themeShade="BF"/>
          <w:spacing w:val="-1"/>
          <w:sz w:val="28"/>
          <w:szCs w:val="36"/>
        </w:rPr>
        <w:t>Operational</w:t>
      </w:r>
      <w:r w:rsidRPr="0031675F">
        <w:rPr>
          <w:rFonts w:eastAsia="Times New Roman"/>
          <w:b/>
          <w:bCs/>
          <w:color w:val="365F91" w:themeColor="accent1" w:themeShade="BF"/>
          <w:spacing w:val="-16"/>
          <w:sz w:val="28"/>
          <w:szCs w:val="36"/>
        </w:rPr>
        <w:t xml:space="preserve"> </w:t>
      </w:r>
      <w:r w:rsidRPr="0031675F">
        <w:rPr>
          <w:rFonts w:eastAsia="Times New Roman"/>
          <w:b/>
          <w:bCs/>
          <w:color w:val="365F91" w:themeColor="accent1" w:themeShade="BF"/>
          <w:spacing w:val="-1"/>
          <w:sz w:val="28"/>
          <w:szCs w:val="36"/>
        </w:rPr>
        <w:t>Procedures</w:t>
      </w:r>
      <w:bookmarkEnd w:id="566"/>
      <w:bookmarkEnd w:id="567"/>
    </w:p>
    <w:p w14:paraId="1E2AD312" w14:textId="77777777" w:rsidR="0031675F" w:rsidRPr="0031675F" w:rsidRDefault="0031675F" w:rsidP="0031675F">
      <w:pPr>
        <w:rPr>
          <w:rFonts w:cs="Calibri"/>
          <w:b/>
          <w:bCs/>
          <w:sz w:val="36"/>
          <w:szCs w:val="36"/>
        </w:rPr>
      </w:pPr>
    </w:p>
    <w:p w14:paraId="6BF02810" w14:textId="77777777" w:rsidR="0031675F" w:rsidRPr="0031675F" w:rsidRDefault="0031675F" w:rsidP="0031675F">
      <w:pPr>
        <w:spacing w:before="12"/>
        <w:rPr>
          <w:rFonts w:cs="Calibri"/>
          <w:b/>
          <w:bCs/>
          <w:sz w:val="29"/>
          <w:szCs w:val="29"/>
        </w:rPr>
      </w:pPr>
    </w:p>
    <w:p w14:paraId="773DD56F" w14:textId="77777777" w:rsidR="0031675F" w:rsidRPr="0031675F" w:rsidRDefault="0031675F" w:rsidP="0031675F">
      <w:pPr>
        <w:ind w:left="6"/>
        <w:jc w:val="center"/>
        <w:rPr>
          <w:rFonts w:cs="Calibri"/>
          <w:sz w:val="24"/>
          <w:szCs w:val="24"/>
        </w:rPr>
      </w:pPr>
      <w:r w:rsidRPr="0031675F">
        <w:rPr>
          <w:spacing w:val="-1"/>
          <w:sz w:val="24"/>
        </w:rPr>
        <w:t>Prepared</w:t>
      </w:r>
      <w:r w:rsidRPr="0031675F">
        <w:rPr>
          <w:spacing w:val="-12"/>
          <w:sz w:val="24"/>
        </w:rPr>
        <w:t xml:space="preserve"> </w:t>
      </w:r>
      <w:r w:rsidRPr="0031675F">
        <w:rPr>
          <w:sz w:val="24"/>
        </w:rPr>
        <w:t>by</w:t>
      </w:r>
    </w:p>
    <w:p w14:paraId="1A320B9F" w14:textId="77777777" w:rsidR="0031675F" w:rsidRPr="0031675F" w:rsidRDefault="0031675F" w:rsidP="0031675F">
      <w:pPr>
        <w:spacing w:before="8"/>
        <w:rPr>
          <w:rFonts w:cs="Calibri"/>
          <w:sz w:val="19"/>
          <w:szCs w:val="19"/>
        </w:rPr>
      </w:pPr>
    </w:p>
    <w:p w14:paraId="0CF495D3" w14:textId="6328ACC1" w:rsidR="0031675F" w:rsidRPr="0031675F" w:rsidRDefault="0031675F" w:rsidP="0031675F">
      <w:pPr>
        <w:ind w:left="3"/>
        <w:jc w:val="center"/>
        <w:rPr>
          <w:rFonts w:cs="Calibri"/>
          <w:sz w:val="24"/>
          <w:szCs w:val="24"/>
        </w:rPr>
      </w:pPr>
      <w:r w:rsidRPr="0031675F">
        <w:rPr>
          <w:spacing w:val="-1"/>
          <w:sz w:val="24"/>
        </w:rPr>
        <w:t>Britta</w:t>
      </w:r>
      <w:r w:rsidRPr="0031675F">
        <w:rPr>
          <w:spacing w:val="-4"/>
          <w:sz w:val="24"/>
        </w:rPr>
        <w:t xml:space="preserve"> </w:t>
      </w:r>
      <w:r w:rsidRPr="0031675F">
        <w:rPr>
          <w:spacing w:val="-1"/>
          <w:sz w:val="24"/>
        </w:rPr>
        <w:t xml:space="preserve">Schaffelke, Michele Skuza, </w:t>
      </w:r>
      <w:r w:rsidR="00695BEE">
        <w:rPr>
          <w:spacing w:val="-1"/>
          <w:sz w:val="24"/>
        </w:rPr>
        <w:t>Renee Gruber</w:t>
      </w:r>
      <w:r w:rsidRPr="0031675F">
        <w:rPr>
          <w:spacing w:val="-1"/>
          <w:sz w:val="24"/>
        </w:rPr>
        <w:t>, Irena Zagorskis, Kevin Gunn</w:t>
      </w:r>
    </w:p>
    <w:p w14:paraId="1E2488EF" w14:textId="77777777" w:rsidR="0031675F" w:rsidRPr="0031675F" w:rsidRDefault="0031675F" w:rsidP="0031675F">
      <w:pPr>
        <w:rPr>
          <w:rFonts w:cs="Calibri"/>
          <w:sz w:val="20"/>
          <w:szCs w:val="20"/>
        </w:rPr>
      </w:pPr>
    </w:p>
    <w:p w14:paraId="7AA60506" w14:textId="77777777" w:rsidR="0031675F" w:rsidRPr="0031675F" w:rsidRDefault="0031675F" w:rsidP="0031675F">
      <w:pPr>
        <w:rPr>
          <w:rFonts w:cs="Calibri"/>
          <w:sz w:val="20"/>
          <w:szCs w:val="20"/>
        </w:rPr>
      </w:pPr>
    </w:p>
    <w:p w14:paraId="4E1BACF7" w14:textId="77777777" w:rsidR="0031675F" w:rsidRPr="0031675F" w:rsidRDefault="0031675F" w:rsidP="0031675F">
      <w:pPr>
        <w:rPr>
          <w:rFonts w:cs="Calibri"/>
          <w:sz w:val="26"/>
          <w:szCs w:val="26"/>
        </w:rPr>
      </w:pPr>
    </w:p>
    <w:p w14:paraId="16C76E41" w14:textId="77777777" w:rsidR="0031675F" w:rsidRPr="0031675F" w:rsidRDefault="0031675F" w:rsidP="0031675F">
      <w:pPr>
        <w:spacing w:line="200" w:lineRule="atLeast"/>
        <w:ind w:left="2641"/>
        <w:rPr>
          <w:rFonts w:cs="Calibri"/>
          <w:sz w:val="20"/>
          <w:szCs w:val="20"/>
        </w:rPr>
      </w:pPr>
      <w:r w:rsidRPr="0031675F">
        <w:rPr>
          <w:rFonts w:cs="Calibri"/>
          <w:noProof/>
          <w:sz w:val="20"/>
          <w:szCs w:val="20"/>
          <w:lang w:eastAsia="en-AU"/>
        </w:rPr>
        <w:drawing>
          <wp:inline distT="0" distB="0" distL="0" distR="0" wp14:anchorId="69826C80" wp14:editId="127C7ACB">
            <wp:extent cx="2581275" cy="609600"/>
            <wp:effectExtent l="0" t="0" r="9525" b="0"/>
            <wp:docPr id="41" name="image1.jpeg" descr="Australian Insitute of Marine Science logo"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2581275" cy="609600"/>
                    </a:xfrm>
                    <a:prstGeom prst="rect">
                      <a:avLst/>
                    </a:prstGeom>
                    <a:noFill/>
                    <a:ln>
                      <a:noFill/>
                    </a:ln>
                  </pic:spPr>
                </pic:pic>
              </a:graphicData>
            </a:graphic>
          </wp:inline>
        </w:drawing>
      </w:r>
    </w:p>
    <w:p w14:paraId="7BDD6403" w14:textId="77777777" w:rsidR="0031675F" w:rsidRPr="0031675F" w:rsidRDefault="0031675F" w:rsidP="0031675F">
      <w:pPr>
        <w:rPr>
          <w:rFonts w:cs="Calibri"/>
          <w:sz w:val="20"/>
          <w:szCs w:val="20"/>
        </w:rPr>
      </w:pPr>
    </w:p>
    <w:p w14:paraId="7752D454" w14:textId="77777777" w:rsidR="0031675F" w:rsidRPr="0031675F" w:rsidRDefault="0031675F" w:rsidP="0031675F">
      <w:pPr>
        <w:spacing w:before="9"/>
        <w:rPr>
          <w:rFonts w:cs="Calibri"/>
          <w:sz w:val="23"/>
          <w:szCs w:val="23"/>
        </w:rPr>
      </w:pPr>
    </w:p>
    <w:p w14:paraId="3FA8837E" w14:textId="77777777" w:rsidR="0031675F" w:rsidRPr="0031675F" w:rsidRDefault="0031675F" w:rsidP="0031675F">
      <w:pPr>
        <w:tabs>
          <w:tab w:val="left" w:pos="3249"/>
          <w:tab w:val="left" w:pos="6459"/>
        </w:tabs>
        <w:spacing w:line="200" w:lineRule="atLeast"/>
        <w:ind w:left="147"/>
        <w:rPr>
          <w:rFonts w:cs="Calibri"/>
          <w:sz w:val="20"/>
          <w:szCs w:val="20"/>
        </w:rPr>
      </w:pPr>
      <w:r w:rsidRPr="0031675F">
        <w:rPr>
          <w:position w:val="5"/>
          <w:sz w:val="20"/>
        </w:rPr>
        <w:tab/>
      </w:r>
      <w:r w:rsidRPr="0031675F">
        <w:rPr>
          <w:sz w:val="20"/>
        </w:rPr>
        <w:tab/>
      </w:r>
    </w:p>
    <w:p w14:paraId="3EC93EAF" w14:textId="77777777" w:rsidR="0031675F" w:rsidRPr="0031675F" w:rsidRDefault="0031675F" w:rsidP="0031675F">
      <w:pPr>
        <w:rPr>
          <w:rFonts w:cs="Calibri"/>
          <w:strike/>
          <w:sz w:val="18"/>
          <w:szCs w:val="18"/>
        </w:rPr>
      </w:pPr>
    </w:p>
    <w:p w14:paraId="4976851C" w14:textId="77777777" w:rsidR="0031675F" w:rsidRPr="0031675F" w:rsidRDefault="0031675F" w:rsidP="0031675F">
      <w:pPr>
        <w:rPr>
          <w:rFonts w:cs="Calibri"/>
          <w:strike/>
          <w:sz w:val="18"/>
          <w:szCs w:val="18"/>
        </w:rPr>
      </w:pPr>
    </w:p>
    <w:p w14:paraId="62DD4C3A" w14:textId="77777777" w:rsidR="0031675F" w:rsidRPr="0031675F" w:rsidRDefault="0031675F" w:rsidP="0031675F">
      <w:pPr>
        <w:rPr>
          <w:rFonts w:cs="Calibri"/>
          <w:strike/>
          <w:sz w:val="18"/>
          <w:szCs w:val="18"/>
        </w:rPr>
      </w:pPr>
    </w:p>
    <w:p w14:paraId="5EC22ABB" w14:textId="77777777" w:rsidR="0031675F" w:rsidRPr="0031675F" w:rsidRDefault="0031675F" w:rsidP="0031675F">
      <w:pPr>
        <w:rPr>
          <w:rFonts w:cs="Calibri"/>
          <w:strike/>
          <w:sz w:val="18"/>
          <w:szCs w:val="18"/>
        </w:rPr>
      </w:pPr>
    </w:p>
    <w:p w14:paraId="59EE23B8" w14:textId="77777777" w:rsidR="0031675F" w:rsidRPr="0031675F" w:rsidRDefault="0031675F" w:rsidP="0031675F">
      <w:pPr>
        <w:rPr>
          <w:rFonts w:cs="Calibri"/>
          <w:strike/>
          <w:sz w:val="18"/>
          <w:szCs w:val="18"/>
        </w:rPr>
      </w:pPr>
    </w:p>
    <w:p w14:paraId="1FDD373E" w14:textId="77777777" w:rsidR="0031675F" w:rsidRPr="0031675F" w:rsidRDefault="0031675F" w:rsidP="0031675F">
      <w:pPr>
        <w:rPr>
          <w:rFonts w:cs="Calibri"/>
          <w:strike/>
          <w:sz w:val="18"/>
          <w:szCs w:val="18"/>
        </w:rPr>
      </w:pPr>
    </w:p>
    <w:p w14:paraId="049D007F" w14:textId="77777777" w:rsidR="0031675F" w:rsidRPr="0031675F" w:rsidRDefault="0031675F" w:rsidP="0031675F">
      <w:pPr>
        <w:rPr>
          <w:rFonts w:cs="Calibri"/>
          <w:strike/>
          <w:sz w:val="18"/>
          <w:szCs w:val="18"/>
        </w:rPr>
      </w:pPr>
    </w:p>
    <w:p w14:paraId="1628B9BE" w14:textId="77777777" w:rsidR="0031675F" w:rsidRPr="0031675F" w:rsidRDefault="0031675F" w:rsidP="0031675F">
      <w:pPr>
        <w:rPr>
          <w:rFonts w:cs="Calibri"/>
          <w:strike/>
          <w:sz w:val="18"/>
          <w:szCs w:val="18"/>
        </w:rPr>
      </w:pPr>
    </w:p>
    <w:p w14:paraId="336A6AF1" w14:textId="77777777" w:rsidR="0031675F" w:rsidRPr="0031675F" w:rsidRDefault="0031675F" w:rsidP="0031675F">
      <w:pPr>
        <w:rPr>
          <w:rFonts w:cs="Calibri"/>
          <w:strike/>
          <w:sz w:val="18"/>
          <w:szCs w:val="18"/>
        </w:rPr>
      </w:pPr>
    </w:p>
    <w:p w14:paraId="14956CE1" w14:textId="77777777" w:rsidR="0031675F" w:rsidRPr="0031675F" w:rsidRDefault="0031675F" w:rsidP="0031675F">
      <w:pPr>
        <w:rPr>
          <w:rFonts w:cs="Calibri"/>
          <w:strike/>
          <w:sz w:val="18"/>
          <w:szCs w:val="18"/>
        </w:rPr>
      </w:pPr>
    </w:p>
    <w:p w14:paraId="437EB899" w14:textId="77777777" w:rsidR="0031675F" w:rsidRPr="0031675F" w:rsidRDefault="0031675F" w:rsidP="0031675F">
      <w:pPr>
        <w:rPr>
          <w:rFonts w:cs="Calibri"/>
          <w:strike/>
          <w:sz w:val="18"/>
          <w:szCs w:val="18"/>
        </w:rPr>
      </w:pPr>
    </w:p>
    <w:p w14:paraId="6F7C9CA5" w14:textId="77777777" w:rsidR="0031675F" w:rsidRPr="0031675F" w:rsidRDefault="0031675F" w:rsidP="0031675F">
      <w:pPr>
        <w:rPr>
          <w:rFonts w:cs="Calibri"/>
          <w:strike/>
          <w:sz w:val="18"/>
          <w:szCs w:val="18"/>
        </w:rPr>
      </w:pPr>
    </w:p>
    <w:p w14:paraId="1A9268B2" w14:textId="77777777" w:rsidR="0031675F" w:rsidRPr="0031675F" w:rsidRDefault="0031675F" w:rsidP="0031675F">
      <w:pPr>
        <w:rPr>
          <w:rFonts w:cs="Calibri"/>
          <w:strike/>
          <w:sz w:val="18"/>
          <w:szCs w:val="18"/>
        </w:rPr>
      </w:pPr>
    </w:p>
    <w:p w14:paraId="7DC726CA" w14:textId="77777777" w:rsidR="0031675F" w:rsidRPr="0031675F" w:rsidRDefault="0031675F" w:rsidP="0031675F">
      <w:pPr>
        <w:rPr>
          <w:rFonts w:cs="Calibri"/>
          <w:strike/>
          <w:sz w:val="18"/>
          <w:szCs w:val="18"/>
        </w:rPr>
      </w:pPr>
    </w:p>
    <w:p w14:paraId="5C280114" w14:textId="77777777" w:rsidR="0031675F" w:rsidRPr="0031675F" w:rsidRDefault="0031675F" w:rsidP="0031675F">
      <w:pPr>
        <w:rPr>
          <w:rFonts w:cs="Calibri"/>
          <w:strike/>
          <w:sz w:val="18"/>
          <w:szCs w:val="18"/>
        </w:rPr>
      </w:pPr>
    </w:p>
    <w:p w14:paraId="05BE331D" w14:textId="77777777" w:rsidR="0031675F" w:rsidRPr="0031675F" w:rsidRDefault="0031675F" w:rsidP="0031675F">
      <w:pPr>
        <w:spacing w:before="9"/>
        <w:rPr>
          <w:rFonts w:cs="Calibri"/>
          <w:sz w:val="17"/>
          <w:szCs w:val="17"/>
        </w:rPr>
      </w:pPr>
    </w:p>
    <w:p w14:paraId="6CBB80A7" w14:textId="77777777" w:rsidR="0031675F" w:rsidRPr="0031675F" w:rsidRDefault="0031675F" w:rsidP="0031675F">
      <w:pPr>
        <w:ind w:left="118" w:right="6150"/>
        <w:rPr>
          <w:rFonts w:cs="Calibri"/>
          <w:sz w:val="18"/>
          <w:szCs w:val="18"/>
        </w:rPr>
      </w:pPr>
      <w:r w:rsidRPr="0031675F">
        <w:rPr>
          <w:spacing w:val="-1"/>
          <w:sz w:val="18"/>
        </w:rPr>
        <w:t>Australian</w:t>
      </w:r>
      <w:r w:rsidRPr="0031675F">
        <w:rPr>
          <w:spacing w:val="-4"/>
          <w:sz w:val="18"/>
        </w:rPr>
        <w:t xml:space="preserve"> </w:t>
      </w:r>
      <w:r w:rsidRPr="0031675F">
        <w:rPr>
          <w:sz w:val="18"/>
        </w:rPr>
        <w:t>Institute</w:t>
      </w:r>
      <w:r w:rsidRPr="0031675F">
        <w:rPr>
          <w:spacing w:val="-3"/>
          <w:sz w:val="18"/>
        </w:rPr>
        <w:t xml:space="preserve"> </w:t>
      </w:r>
      <w:r w:rsidRPr="0031675F">
        <w:rPr>
          <w:sz w:val="18"/>
        </w:rPr>
        <w:t>of</w:t>
      </w:r>
      <w:r w:rsidRPr="0031675F">
        <w:rPr>
          <w:spacing w:val="-3"/>
          <w:sz w:val="18"/>
        </w:rPr>
        <w:t xml:space="preserve"> </w:t>
      </w:r>
      <w:r w:rsidRPr="0031675F">
        <w:rPr>
          <w:sz w:val="18"/>
        </w:rPr>
        <w:t>Marine</w:t>
      </w:r>
      <w:r w:rsidRPr="0031675F">
        <w:rPr>
          <w:spacing w:val="-3"/>
          <w:sz w:val="18"/>
        </w:rPr>
        <w:t xml:space="preserve"> </w:t>
      </w:r>
      <w:r w:rsidRPr="0031675F">
        <w:rPr>
          <w:spacing w:val="-1"/>
          <w:sz w:val="18"/>
        </w:rPr>
        <w:t>Science</w:t>
      </w:r>
      <w:r w:rsidRPr="0031675F">
        <w:rPr>
          <w:spacing w:val="25"/>
          <w:w w:val="99"/>
          <w:sz w:val="18"/>
        </w:rPr>
        <w:t xml:space="preserve"> </w:t>
      </w:r>
      <w:r w:rsidRPr="0031675F">
        <w:rPr>
          <w:sz w:val="18"/>
        </w:rPr>
        <w:t>Private</w:t>
      </w:r>
      <w:r w:rsidRPr="0031675F">
        <w:rPr>
          <w:spacing w:val="-5"/>
          <w:sz w:val="18"/>
        </w:rPr>
        <w:t xml:space="preserve"> </w:t>
      </w:r>
      <w:r w:rsidRPr="0031675F">
        <w:rPr>
          <w:spacing w:val="-1"/>
          <w:sz w:val="18"/>
        </w:rPr>
        <w:t>Mail</w:t>
      </w:r>
      <w:r w:rsidRPr="0031675F">
        <w:rPr>
          <w:spacing w:val="-4"/>
          <w:sz w:val="18"/>
        </w:rPr>
        <w:t xml:space="preserve"> </w:t>
      </w:r>
      <w:r w:rsidRPr="0031675F">
        <w:rPr>
          <w:sz w:val="18"/>
        </w:rPr>
        <w:t>Bag</w:t>
      </w:r>
      <w:r w:rsidRPr="0031675F">
        <w:rPr>
          <w:spacing w:val="-4"/>
          <w:sz w:val="18"/>
        </w:rPr>
        <w:t xml:space="preserve"> </w:t>
      </w:r>
      <w:r w:rsidRPr="0031675F">
        <w:rPr>
          <w:sz w:val="18"/>
        </w:rPr>
        <w:t>3</w:t>
      </w:r>
    </w:p>
    <w:p w14:paraId="70436B72" w14:textId="77777777" w:rsidR="0031675F" w:rsidRPr="0031675F" w:rsidRDefault="0031675F" w:rsidP="0031675F">
      <w:pPr>
        <w:spacing w:line="218" w:lineRule="exact"/>
        <w:ind w:left="118"/>
        <w:rPr>
          <w:rFonts w:cs="Calibri"/>
          <w:sz w:val="18"/>
          <w:szCs w:val="18"/>
        </w:rPr>
      </w:pPr>
      <w:r w:rsidRPr="0031675F">
        <w:rPr>
          <w:spacing w:val="-1"/>
          <w:sz w:val="18"/>
        </w:rPr>
        <w:t>TOWNSVILLE</w:t>
      </w:r>
      <w:r w:rsidRPr="0031675F">
        <w:rPr>
          <w:spacing w:val="38"/>
          <w:sz w:val="18"/>
        </w:rPr>
        <w:t xml:space="preserve"> </w:t>
      </w:r>
      <w:r w:rsidRPr="0031675F">
        <w:rPr>
          <w:spacing w:val="-1"/>
          <w:sz w:val="18"/>
        </w:rPr>
        <w:t>QLD</w:t>
      </w:r>
      <w:r w:rsidRPr="0031675F">
        <w:rPr>
          <w:spacing w:val="36"/>
          <w:sz w:val="18"/>
        </w:rPr>
        <w:t xml:space="preserve"> </w:t>
      </w:r>
      <w:r w:rsidRPr="0031675F">
        <w:rPr>
          <w:sz w:val="18"/>
        </w:rPr>
        <w:t>4810</w:t>
      </w:r>
    </w:p>
    <w:p w14:paraId="657DDA17" w14:textId="77777777" w:rsidR="0031675F" w:rsidRPr="0031675F" w:rsidRDefault="00740B55" w:rsidP="0031675F">
      <w:pPr>
        <w:spacing w:before="1"/>
        <w:ind w:left="118"/>
        <w:rPr>
          <w:rFonts w:cs="Calibri"/>
          <w:sz w:val="18"/>
          <w:szCs w:val="18"/>
        </w:rPr>
      </w:pPr>
      <w:hyperlink r:id="rId110">
        <w:r w:rsidR="0031675F" w:rsidRPr="0031675F">
          <w:rPr>
            <w:color w:val="0000FF"/>
            <w:spacing w:val="-1"/>
            <w:sz w:val="18"/>
            <w:u w:val="single" w:color="0000FF"/>
          </w:rPr>
          <w:t>http://www.aims.gov.au/</w:t>
        </w:r>
      </w:hyperlink>
    </w:p>
    <w:p w14:paraId="282490EE" w14:textId="77777777" w:rsidR="0031675F" w:rsidRPr="0031675F" w:rsidRDefault="0031675F" w:rsidP="0031675F">
      <w:pPr>
        <w:spacing w:before="9"/>
        <w:rPr>
          <w:rFonts w:cs="Calibri"/>
          <w:sz w:val="12"/>
          <w:szCs w:val="12"/>
        </w:rPr>
      </w:pPr>
    </w:p>
    <w:p w14:paraId="1DD8B582" w14:textId="77777777" w:rsidR="0031675F" w:rsidRPr="0031675F" w:rsidRDefault="0031675F" w:rsidP="0031675F">
      <w:pPr>
        <w:spacing w:before="63"/>
        <w:ind w:left="118"/>
        <w:jc w:val="both"/>
        <w:rPr>
          <w:rFonts w:cs="Calibri"/>
          <w:sz w:val="18"/>
          <w:szCs w:val="18"/>
        </w:rPr>
      </w:pPr>
      <w:r w:rsidRPr="0031675F">
        <w:rPr>
          <w:b/>
          <w:spacing w:val="-1"/>
          <w:sz w:val="18"/>
        </w:rPr>
        <w:t>Disclaimer</w:t>
      </w:r>
    </w:p>
    <w:p w14:paraId="1DB7F4CD" w14:textId="77777777" w:rsidR="0031675F" w:rsidRPr="0031675F" w:rsidRDefault="0031675F" w:rsidP="0031675F">
      <w:pPr>
        <w:spacing w:before="1"/>
        <w:ind w:left="118" w:right="114"/>
        <w:jc w:val="both"/>
        <w:rPr>
          <w:spacing w:val="-1"/>
          <w:sz w:val="18"/>
        </w:rPr>
        <w:sectPr w:rsidR="0031675F" w:rsidRPr="0031675F" w:rsidSect="004A5C83">
          <w:headerReference w:type="default" r:id="rId111"/>
          <w:footerReference w:type="default" r:id="rId112"/>
          <w:pgSz w:w="11910" w:h="16850"/>
          <w:pgMar w:top="720" w:right="1281" w:bottom="697" w:left="1281" w:header="520" w:footer="500" w:gutter="0"/>
          <w:paperSrc w:first="7" w:other="7"/>
          <w:cols w:space="720"/>
          <w:titlePg/>
          <w:docGrid w:linePitch="299"/>
        </w:sectPr>
      </w:pPr>
      <w:r w:rsidRPr="0031675F">
        <w:rPr>
          <w:spacing w:val="-1"/>
          <w:sz w:val="18"/>
        </w:rPr>
        <w:t>This</w:t>
      </w:r>
      <w:r w:rsidRPr="0031675F">
        <w:rPr>
          <w:spacing w:val="9"/>
          <w:sz w:val="18"/>
        </w:rPr>
        <w:t xml:space="preserve"> </w:t>
      </w:r>
      <w:r w:rsidRPr="0031675F">
        <w:rPr>
          <w:spacing w:val="-1"/>
          <w:sz w:val="18"/>
        </w:rPr>
        <w:t>report</w:t>
      </w:r>
      <w:r w:rsidRPr="0031675F">
        <w:rPr>
          <w:spacing w:val="10"/>
          <w:sz w:val="18"/>
        </w:rPr>
        <w:t xml:space="preserve"> </w:t>
      </w:r>
      <w:r w:rsidRPr="0031675F">
        <w:rPr>
          <w:spacing w:val="-1"/>
          <w:sz w:val="18"/>
        </w:rPr>
        <w:t>has</w:t>
      </w:r>
      <w:r w:rsidRPr="0031675F">
        <w:rPr>
          <w:spacing w:val="10"/>
          <w:sz w:val="18"/>
        </w:rPr>
        <w:t xml:space="preserve"> </w:t>
      </w:r>
      <w:r w:rsidRPr="0031675F">
        <w:rPr>
          <w:spacing w:val="-1"/>
          <w:sz w:val="18"/>
        </w:rPr>
        <w:t>been</w:t>
      </w:r>
      <w:r w:rsidRPr="0031675F">
        <w:rPr>
          <w:spacing w:val="9"/>
          <w:sz w:val="18"/>
        </w:rPr>
        <w:t xml:space="preserve"> </w:t>
      </w:r>
      <w:r w:rsidRPr="0031675F">
        <w:rPr>
          <w:spacing w:val="-1"/>
          <w:sz w:val="18"/>
        </w:rPr>
        <w:t>produced</w:t>
      </w:r>
      <w:r w:rsidRPr="0031675F">
        <w:rPr>
          <w:spacing w:val="9"/>
          <w:sz w:val="18"/>
        </w:rPr>
        <w:t xml:space="preserve"> </w:t>
      </w:r>
      <w:r w:rsidRPr="0031675F">
        <w:rPr>
          <w:sz w:val="18"/>
        </w:rPr>
        <w:t>for</w:t>
      </w:r>
      <w:r w:rsidRPr="0031675F">
        <w:rPr>
          <w:spacing w:val="10"/>
          <w:sz w:val="18"/>
        </w:rPr>
        <w:t xml:space="preserve"> </w:t>
      </w:r>
      <w:r w:rsidRPr="0031675F">
        <w:rPr>
          <w:spacing w:val="-1"/>
          <w:sz w:val="18"/>
        </w:rPr>
        <w:t>the</w:t>
      </w:r>
      <w:r w:rsidRPr="0031675F">
        <w:rPr>
          <w:spacing w:val="10"/>
          <w:sz w:val="18"/>
        </w:rPr>
        <w:t xml:space="preserve"> </w:t>
      </w:r>
      <w:r w:rsidRPr="0031675F">
        <w:rPr>
          <w:spacing w:val="-1"/>
          <w:sz w:val="18"/>
        </w:rPr>
        <w:t>sole</w:t>
      </w:r>
      <w:r w:rsidRPr="0031675F">
        <w:rPr>
          <w:spacing w:val="10"/>
          <w:sz w:val="18"/>
        </w:rPr>
        <w:t xml:space="preserve"> </w:t>
      </w:r>
      <w:r w:rsidRPr="0031675F">
        <w:rPr>
          <w:spacing w:val="-1"/>
          <w:sz w:val="18"/>
        </w:rPr>
        <w:t>use</w:t>
      </w:r>
      <w:r w:rsidRPr="0031675F">
        <w:rPr>
          <w:spacing w:val="10"/>
          <w:sz w:val="18"/>
        </w:rPr>
        <w:t xml:space="preserve"> </w:t>
      </w:r>
      <w:r w:rsidRPr="0031675F">
        <w:rPr>
          <w:sz w:val="18"/>
        </w:rPr>
        <w:t>of</w:t>
      </w:r>
      <w:r w:rsidRPr="0031675F">
        <w:rPr>
          <w:spacing w:val="11"/>
          <w:sz w:val="18"/>
        </w:rPr>
        <w:t xml:space="preserve"> </w:t>
      </w:r>
      <w:r w:rsidRPr="0031675F">
        <w:rPr>
          <w:spacing w:val="-1"/>
          <w:sz w:val="18"/>
        </w:rPr>
        <w:t>the</w:t>
      </w:r>
      <w:r w:rsidRPr="0031675F">
        <w:rPr>
          <w:spacing w:val="10"/>
          <w:sz w:val="18"/>
        </w:rPr>
        <w:t xml:space="preserve"> </w:t>
      </w:r>
      <w:r w:rsidRPr="0031675F">
        <w:rPr>
          <w:spacing w:val="-1"/>
          <w:sz w:val="18"/>
        </w:rPr>
        <w:t>party</w:t>
      </w:r>
      <w:r w:rsidRPr="0031675F">
        <w:rPr>
          <w:spacing w:val="11"/>
          <w:sz w:val="18"/>
        </w:rPr>
        <w:t xml:space="preserve"> </w:t>
      </w:r>
      <w:r w:rsidRPr="0031675F">
        <w:rPr>
          <w:spacing w:val="-1"/>
          <w:sz w:val="18"/>
        </w:rPr>
        <w:t>who</w:t>
      </w:r>
      <w:r w:rsidRPr="0031675F">
        <w:rPr>
          <w:spacing w:val="9"/>
          <w:sz w:val="18"/>
        </w:rPr>
        <w:t xml:space="preserve"> </w:t>
      </w:r>
      <w:r w:rsidRPr="0031675F">
        <w:rPr>
          <w:spacing w:val="-1"/>
          <w:sz w:val="18"/>
        </w:rPr>
        <w:t>requested</w:t>
      </w:r>
      <w:r w:rsidRPr="0031675F">
        <w:rPr>
          <w:spacing w:val="9"/>
          <w:sz w:val="18"/>
        </w:rPr>
        <w:t xml:space="preserve"> </w:t>
      </w:r>
      <w:r w:rsidRPr="0031675F">
        <w:rPr>
          <w:spacing w:val="-1"/>
          <w:sz w:val="18"/>
        </w:rPr>
        <w:t>it.</w:t>
      </w:r>
      <w:r w:rsidRPr="0031675F">
        <w:rPr>
          <w:spacing w:val="10"/>
          <w:sz w:val="18"/>
        </w:rPr>
        <w:t xml:space="preserve"> </w:t>
      </w:r>
      <w:r w:rsidRPr="0031675F">
        <w:rPr>
          <w:spacing w:val="-1"/>
          <w:sz w:val="18"/>
        </w:rPr>
        <w:t>The</w:t>
      </w:r>
      <w:r w:rsidRPr="0031675F">
        <w:rPr>
          <w:spacing w:val="10"/>
          <w:sz w:val="18"/>
        </w:rPr>
        <w:t xml:space="preserve"> </w:t>
      </w:r>
      <w:r w:rsidRPr="0031675F">
        <w:rPr>
          <w:spacing w:val="-1"/>
          <w:sz w:val="18"/>
        </w:rPr>
        <w:t>application</w:t>
      </w:r>
      <w:r w:rsidRPr="0031675F">
        <w:rPr>
          <w:spacing w:val="9"/>
          <w:sz w:val="18"/>
        </w:rPr>
        <w:t xml:space="preserve"> </w:t>
      </w:r>
      <w:r w:rsidRPr="0031675F">
        <w:rPr>
          <w:sz w:val="18"/>
        </w:rPr>
        <w:t>or</w:t>
      </w:r>
      <w:r w:rsidRPr="0031675F">
        <w:rPr>
          <w:spacing w:val="10"/>
          <w:sz w:val="18"/>
        </w:rPr>
        <w:t xml:space="preserve"> </w:t>
      </w:r>
      <w:r w:rsidRPr="0031675F">
        <w:rPr>
          <w:spacing w:val="-1"/>
          <w:sz w:val="18"/>
        </w:rPr>
        <w:t>use</w:t>
      </w:r>
      <w:r w:rsidRPr="0031675F">
        <w:rPr>
          <w:spacing w:val="10"/>
          <w:sz w:val="18"/>
        </w:rPr>
        <w:t xml:space="preserve"> </w:t>
      </w:r>
      <w:r w:rsidRPr="0031675F">
        <w:rPr>
          <w:sz w:val="18"/>
        </w:rPr>
        <w:t>of</w:t>
      </w:r>
      <w:r w:rsidRPr="0031675F">
        <w:rPr>
          <w:spacing w:val="11"/>
          <w:sz w:val="18"/>
        </w:rPr>
        <w:t xml:space="preserve"> </w:t>
      </w:r>
      <w:r w:rsidRPr="0031675F">
        <w:rPr>
          <w:spacing w:val="-1"/>
          <w:sz w:val="18"/>
        </w:rPr>
        <w:t>this</w:t>
      </w:r>
      <w:r w:rsidRPr="0031675F">
        <w:rPr>
          <w:spacing w:val="10"/>
          <w:sz w:val="18"/>
        </w:rPr>
        <w:t xml:space="preserve"> </w:t>
      </w:r>
      <w:r w:rsidRPr="0031675F">
        <w:rPr>
          <w:spacing w:val="-1"/>
          <w:sz w:val="18"/>
        </w:rPr>
        <w:t>report</w:t>
      </w:r>
      <w:r w:rsidRPr="0031675F">
        <w:rPr>
          <w:spacing w:val="10"/>
          <w:sz w:val="18"/>
        </w:rPr>
        <w:t xml:space="preserve"> </w:t>
      </w:r>
      <w:r w:rsidRPr="0031675F">
        <w:rPr>
          <w:spacing w:val="-1"/>
          <w:sz w:val="18"/>
        </w:rPr>
        <w:t>and</w:t>
      </w:r>
      <w:r w:rsidRPr="0031675F">
        <w:rPr>
          <w:spacing w:val="9"/>
          <w:sz w:val="18"/>
        </w:rPr>
        <w:t xml:space="preserve"> </w:t>
      </w:r>
      <w:r w:rsidRPr="0031675F">
        <w:rPr>
          <w:sz w:val="18"/>
        </w:rPr>
        <w:t>of</w:t>
      </w:r>
      <w:r w:rsidRPr="0031675F">
        <w:rPr>
          <w:spacing w:val="99"/>
          <w:sz w:val="18"/>
        </w:rPr>
        <w:t xml:space="preserve"> </w:t>
      </w:r>
      <w:r w:rsidRPr="0031675F">
        <w:rPr>
          <w:spacing w:val="-1"/>
          <w:sz w:val="18"/>
        </w:rPr>
        <w:t>any</w:t>
      </w:r>
      <w:r w:rsidRPr="0031675F">
        <w:rPr>
          <w:spacing w:val="7"/>
          <w:sz w:val="18"/>
        </w:rPr>
        <w:t xml:space="preserve"> </w:t>
      </w:r>
      <w:r w:rsidRPr="0031675F">
        <w:rPr>
          <w:spacing w:val="-1"/>
          <w:sz w:val="18"/>
        </w:rPr>
        <w:t>data</w:t>
      </w:r>
      <w:r w:rsidRPr="0031675F">
        <w:rPr>
          <w:spacing w:val="7"/>
          <w:sz w:val="18"/>
        </w:rPr>
        <w:t xml:space="preserve"> </w:t>
      </w:r>
      <w:r w:rsidRPr="0031675F">
        <w:rPr>
          <w:sz w:val="18"/>
        </w:rPr>
        <w:t>or</w:t>
      </w:r>
      <w:r w:rsidRPr="0031675F">
        <w:rPr>
          <w:spacing w:val="8"/>
          <w:sz w:val="18"/>
        </w:rPr>
        <w:t xml:space="preserve"> </w:t>
      </w:r>
      <w:r w:rsidRPr="0031675F">
        <w:rPr>
          <w:spacing w:val="-1"/>
          <w:sz w:val="18"/>
        </w:rPr>
        <w:t>information</w:t>
      </w:r>
      <w:r w:rsidRPr="0031675F">
        <w:rPr>
          <w:spacing w:val="6"/>
          <w:sz w:val="18"/>
        </w:rPr>
        <w:t xml:space="preserve"> </w:t>
      </w:r>
      <w:r w:rsidRPr="0031675F">
        <w:rPr>
          <w:spacing w:val="-1"/>
          <w:sz w:val="18"/>
        </w:rPr>
        <w:t>(including</w:t>
      </w:r>
      <w:r w:rsidRPr="0031675F">
        <w:rPr>
          <w:spacing w:val="7"/>
          <w:sz w:val="18"/>
        </w:rPr>
        <w:t xml:space="preserve"> </w:t>
      </w:r>
      <w:r w:rsidRPr="0031675F">
        <w:rPr>
          <w:spacing w:val="-1"/>
          <w:sz w:val="18"/>
        </w:rPr>
        <w:t>results</w:t>
      </w:r>
      <w:r w:rsidRPr="0031675F">
        <w:rPr>
          <w:spacing w:val="8"/>
          <w:sz w:val="18"/>
        </w:rPr>
        <w:t xml:space="preserve"> </w:t>
      </w:r>
      <w:r w:rsidRPr="0031675F">
        <w:rPr>
          <w:sz w:val="18"/>
        </w:rPr>
        <w:t>of</w:t>
      </w:r>
      <w:r w:rsidRPr="0031675F">
        <w:rPr>
          <w:spacing w:val="7"/>
          <w:sz w:val="18"/>
        </w:rPr>
        <w:t xml:space="preserve"> </w:t>
      </w:r>
      <w:r w:rsidRPr="0031675F">
        <w:rPr>
          <w:spacing w:val="-1"/>
          <w:sz w:val="18"/>
        </w:rPr>
        <w:t>experiments,</w:t>
      </w:r>
      <w:r w:rsidRPr="0031675F">
        <w:rPr>
          <w:spacing w:val="13"/>
          <w:sz w:val="18"/>
        </w:rPr>
        <w:t xml:space="preserve"> </w:t>
      </w:r>
      <w:r w:rsidRPr="0031675F">
        <w:rPr>
          <w:spacing w:val="-1"/>
          <w:sz w:val="18"/>
        </w:rPr>
        <w:t>conclusions,</w:t>
      </w:r>
      <w:r w:rsidRPr="0031675F">
        <w:rPr>
          <w:spacing w:val="8"/>
          <w:sz w:val="18"/>
        </w:rPr>
        <w:t xml:space="preserve"> </w:t>
      </w:r>
      <w:r w:rsidRPr="0031675F">
        <w:rPr>
          <w:spacing w:val="-1"/>
          <w:sz w:val="18"/>
        </w:rPr>
        <w:t>and</w:t>
      </w:r>
      <w:r w:rsidRPr="0031675F">
        <w:rPr>
          <w:spacing w:val="8"/>
          <w:sz w:val="18"/>
        </w:rPr>
        <w:t xml:space="preserve"> </w:t>
      </w:r>
      <w:r w:rsidRPr="0031675F">
        <w:rPr>
          <w:spacing w:val="-1"/>
          <w:sz w:val="18"/>
        </w:rPr>
        <w:t>recommendations)</w:t>
      </w:r>
      <w:r w:rsidRPr="0031675F">
        <w:rPr>
          <w:spacing w:val="9"/>
          <w:sz w:val="18"/>
        </w:rPr>
        <w:t xml:space="preserve"> </w:t>
      </w:r>
      <w:r w:rsidRPr="0031675F">
        <w:rPr>
          <w:spacing w:val="-1"/>
          <w:sz w:val="18"/>
        </w:rPr>
        <w:t>contained</w:t>
      </w:r>
      <w:r w:rsidRPr="0031675F">
        <w:rPr>
          <w:spacing w:val="8"/>
          <w:sz w:val="18"/>
        </w:rPr>
        <w:t xml:space="preserve"> </w:t>
      </w:r>
      <w:r w:rsidRPr="0031675F">
        <w:rPr>
          <w:spacing w:val="-1"/>
          <w:sz w:val="18"/>
        </w:rPr>
        <w:t>within</w:t>
      </w:r>
      <w:r w:rsidRPr="0031675F">
        <w:rPr>
          <w:spacing w:val="7"/>
          <w:sz w:val="18"/>
        </w:rPr>
        <w:t xml:space="preserve"> </w:t>
      </w:r>
      <w:r w:rsidRPr="0031675F">
        <w:rPr>
          <w:spacing w:val="-1"/>
          <w:sz w:val="18"/>
        </w:rPr>
        <w:t>it</w:t>
      </w:r>
      <w:r w:rsidRPr="0031675F">
        <w:rPr>
          <w:spacing w:val="9"/>
          <w:sz w:val="18"/>
        </w:rPr>
        <w:t xml:space="preserve"> </w:t>
      </w:r>
      <w:r w:rsidRPr="0031675F">
        <w:rPr>
          <w:spacing w:val="-1"/>
          <w:sz w:val="18"/>
        </w:rPr>
        <w:t>shall</w:t>
      </w:r>
      <w:r w:rsidRPr="0031675F">
        <w:rPr>
          <w:spacing w:val="7"/>
          <w:sz w:val="18"/>
        </w:rPr>
        <w:t xml:space="preserve"> </w:t>
      </w:r>
      <w:r w:rsidRPr="0031675F">
        <w:rPr>
          <w:sz w:val="18"/>
        </w:rPr>
        <w:t>be</w:t>
      </w:r>
      <w:r w:rsidRPr="0031675F">
        <w:rPr>
          <w:spacing w:val="139"/>
          <w:w w:val="99"/>
          <w:sz w:val="18"/>
        </w:rPr>
        <w:t xml:space="preserve"> </w:t>
      </w:r>
      <w:r w:rsidRPr="0031675F">
        <w:rPr>
          <w:sz w:val="18"/>
        </w:rPr>
        <w:t>at</w:t>
      </w:r>
      <w:r w:rsidRPr="0031675F">
        <w:rPr>
          <w:spacing w:val="2"/>
          <w:sz w:val="18"/>
        </w:rPr>
        <w:t xml:space="preserve"> </w:t>
      </w:r>
      <w:r w:rsidRPr="0031675F">
        <w:rPr>
          <w:spacing w:val="-1"/>
          <w:sz w:val="18"/>
        </w:rPr>
        <w:t>the</w:t>
      </w:r>
      <w:r w:rsidRPr="0031675F">
        <w:rPr>
          <w:spacing w:val="2"/>
          <w:sz w:val="18"/>
        </w:rPr>
        <w:t xml:space="preserve"> </w:t>
      </w:r>
      <w:r w:rsidRPr="0031675F">
        <w:rPr>
          <w:sz w:val="18"/>
        </w:rPr>
        <w:t>sole</w:t>
      </w:r>
      <w:r w:rsidRPr="0031675F">
        <w:rPr>
          <w:spacing w:val="2"/>
          <w:sz w:val="18"/>
        </w:rPr>
        <w:t xml:space="preserve"> </w:t>
      </w:r>
      <w:r w:rsidRPr="0031675F">
        <w:rPr>
          <w:spacing w:val="-1"/>
          <w:sz w:val="18"/>
        </w:rPr>
        <w:t>risk</w:t>
      </w:r>
      <w:r w:rsidRPr="0031675F">
        <w:rPr>
          <w:spacing w:val="4"/>
          <w:sz w:val="18"/>
        </w:rPr>
        <w:t xml:space="preserve"> </w:t>
      </w:r>
      <w:r w:rsidRPr="0031675F">
        <w:rPr>
          <w:spacing w:val="-1"/>
          <w:sz w:val="18"/>
        </w:rPr>
        <w:t>and</w:t>
      </w:r>
      <w:r w:rsidRPr="0031675F">
        <w:rPr>
          <w:spacing w:val="2"/>
          <w:sz w:val="18"/>
        </w:rPr>
        <w:t xml:space="preserve"> </w:t>
      </w:r>
      <w:r w:rsidRPr="0031675F">
        <w:rPr>
          <w:spacing w:val="-1"/>
          <w:sz w:val="18"/>
        </w:rPr>
        <w:t>responsibility</w:t>
      </w:r>
      <w:r w:rsidRPr="0031675F">
        <w:rPr>
          <w:spacing w:val="5"/>
          <w:sz w:val="18"/>
        </w:rPr>
        <w:t xml:space="preserve"> </w:t>
      </w:r>
      <w:r w:rsidRPr="0031675F">
        <w:rPr>
          <w:sz w:val="18"/>
        </w:rPr>
        <w:t>of</w:t>
      </w:r>
      <w:r w:rsidRPr="0031675F">
        <w:rPr>
          <w:spacing w:val="3"/>
          <w:sz w:val="18"/>
        </w:rPr>
        <w:t xml:space="preserve"> </w:t>
      </w:r>
      <w:r w:rsidRPr="0031675F">
        <w:rPr>
          <w:spacing w:val="-1"/>
          <w:sz w:val="18"/>
        </w:rPr>
        <w:t>that</w:t>
      </w:r>
      <w:r w:rsidRPr="0031675F">
        <w:rPr>
          <w:spacing w:val="3"/>
          <w:sz w:val="18"/>
        </w:rPr>
        <w:t xml:space="preserve"> </w:t>
      </w:r>
      <w:r w:rsidRPr="0031675F">
        <w:rPr>
          <w:spacing w:val="-1"/>
          <w:sz w:val="18"/>
        </w:rPr>
        <w:t>party.</w:t>
      </w:r>
      <w:r w:rsidRPr="0031675F">
        <w:rPr>
          <w:spacing w:val="7"/>
          <w:sz w:val="18"/>
        </w:rPr>
        <w:t xml:space="preserve"> </w:t>
      </w:r>
      <w:r w:rsidRPr="0031675F">
        <w:rPr>
          <w:spacing w:val="-1"/>
          <w:sz w:val="18"/>
        </w:rPr>
        <w:t>The</w:t>
      </w:r>
      <w:r w:rsidRPr="0031675F">
        <w:rPr>
          <w:spacing w:val="4"/>
          <w:sz w:val="18"/>
        </w:rPr>
        <w:t xml:space="preserve"> </w:t>
      </w:r>
      <w:r w:rsidRPr="0031675F">
        <w:rPr>
          <w:spacing w:val="-1"/>
          <w:sz w:val="18"/>
        </w:rPr>
        <w:t>AIMS</w:t>
      </w:r>
      <w:r w:rsidRPr="0031675F">
        <w:rPr>
          <w:spacing w:val="5"/>
          <w:sz w:val="18"/>
        </w:rPr>
        <w:t xml:space="preserve"> </w:t>
      </w:r>
      <w:r w:rsidRPr="0031675F">
        <w:rPr>
          <w:spacing w:val="-1"/>
          <w:sz w:val="18"/>
        </w:rPr>
        <w:t>does</w:t>
      </w:r>
      <w:r w:rsidRPr="0031675F">
        <w:rPr>
          <w:spacing w:val="2"/>
          <w:sz w:val="18"/>
        </w:rPr>
        <w:t xml:space="preserve"> </w:t>
      </w:r>
      <w:r w:rsidRPr="0031675F">
        <w:rPr>
          <w:sz w:val="18"/>
        </w:rPr>
        <w:t>not</w:t>
      </w:r>
      <w:r w:rsidRPr="0031675F">
        <w:rPr>
          <w:spacing w:val="2"/>
          <w:sz w:val="18"/>
        </w:rPr>
        <w:t xml:space="preserve"> </w:t>
      </w:r>
      <w:r w:rsidRPr="0031675F">
        <w:rPr>
          <w:spacing w:val="-1"/>
          <w:sz w:val="18"/>
        </w:rPr>
        <w:t>provide</w:t>
      </w:r>
      <w:r w:rsidRPr="0031675F">
        <w:rPr>
          <w:spacing w:val="2"/>
          <w:sz w:val="18"/>
        </w:rPr>
        <w:t xml:space="preserve"> </w:t>
      </w:r>
      <w:r w:rsidRPr="0031675F">
        <w:rPr>
          <w:sz w:val="18"/>
        </w:rPr>
        <w:t>any</w:t>
      </w:r>
      <w:r w:rsidRPr="0031675F">
        <w:rPr>
          <w:spacing w:val="3"/>
          <w:sz w:val="18"/>
        </w:rPr>
        <w:t xml:space="preserve"> </w:t>
      </w:r>
      <w:r w:rsidRPr="0031675F">
        <w:rPr>
          <w:spacing w:val="-1"/>
          <w:sz w:val="18"/>
        </w:rPr>
        <w:t>warranty</w:t>
      </w:r>
      <w:r w:rsidRPr="0031675F">
        <w:rPr>
          <w:spacing w:val="2"/>
          <w:sz w:val="18"/>
        </w:rPr>
        <w:t xml:space="preserve"> </w:t>
      </w:r>
      <w:r w:rsidRPr="0031675F">
        <w:rPr>
          <w:sz w:val="18"/>
        </w:rPr>
        <w:t>or</w:t>
      </w:r>
      <w:r w:rsidRPr="0031675F">
        <w:rPr>
          <w:spacing w:val="3"/>
          <w:sz w:val="18"/>
        </w:rPr>
        <w:t xml:space="preserve"> </w:t>
      </w:r>
      <w:r w:rsidRPr="0031675F">
        <w:rPr>
          <w:spacing w:val="-1"/>
          <w:sz w:val="18"/>
        </w:rPr>
        <w:t>assurance</w:t>
      </w:r>
      <w:r w:rsidRPr="0031675F">
        <w:rPr>
          <w:spacing w:val="2"/>
          <w:sz w:val="18"/>
        </w:rPr>
        <w:t xml:space="preserve"> </w:t>
      </w:r>
      <w:r w:rsidRPr="0031675F">
        <w:rPr>
          <w:sz w:val="18"/>
        </w:rPr>
        <w:t>as</w:t>
      </w:r>
      <w:r w:rsidRPr="0031675F">
        <w:rPr>
          <w:spacing w:val="2"/>
          <w:sz w:val="18"/>
        </w:rPr>
        <w:t xml:space="preserve"> </w:t>
      </w:r>
      <w:r w:rsidRPr="0031675F">
        <w:rPr>
          <w:sz w:val="18"/>
        </w:rPr>
        <w:t>to</w:t>
      </w:r>
      <w:r w:rsidRPr="0031675F">
        <w:rPr>
          <w:spacing w:val="4"/>
          <w:sz w:val="18"/>
        </w:rPr>
        <w:t xml:space="preserve"> </w:t>
      </w:r>
      <w:r w:rsidRPr="0031675F">
        <w:rPr>
          <w:sz w:val="18"/>
        </w:rPr>
        <w:t>the</w:t>
      </w:r>
      <w:r w:rsidRPr="0031675F">
        <w:rPr>
          <w:spacing w:val="2"/>
          <w:sz w:val="18"/>
        </w:rPr>
        <w:t xml:space="preserve"> </w:t>
      </w:r>
      <w:r w:rsidRPr="0031675F">
        <w:rPr>
          <w:spacing w:val="-1"/>
          <w:sz w:val="18"/>
        </w:rPr>
        <w:t>accuracy</w:t>
      </w:r>
      <w:r w:rsidRPr="0031675F">
        <w:rPr>
          <w:spacing w:val="3"/>
          <w:sz w:val="18"/>
        </w:rPr>
        <w:t xml:space="preserve"> </w:t>
      </w:r>
      <w:r w:rsidRPr="0031675F">
        <w:rPr>
          <w:sz w:val="18"/>
        </w:rPr>
        <w:t>or</w:t>
      </w:r>
      <w:r w:rsidRPr="0031675F">
        <w:rPr>
          <w:spacing w:val="113"/>
          <w:w w:val="99"/>
          <w:sz w:val="18"/>
        </w:rPr>
        <w:t xml:space="preserve"> </w:t>
      </w:r>
      <w:r w:rsidRPr="0031675F">
        <w:rPr>
          <w:spacing w:val="-1"/>
          <w:sz w:val="18"/>
        </w:rPr>
        <w:t>suitability</w:t>
      </w:r>
      <w:r w:rsidRPr="0031675F">
        <w:rPr>
          <w:spacing w:val="-2"/>
          <w:sz w:val="18"/>
        </w:rPr>
        <w:t xml:space="preserve"> </w:t>
      </w:r>
      <w:r w:rsidRPr="0031675F">
        <w:rPr>
          <w:sz w:val="18"/>
        </w:rPr>
        <w:t>of</w:t>
      </w:r>
      <w:r w:rsidRPr="0031675F">
        <w:rPr>
          <w:spacing w:val="-2"/>
          <w:sz w:val="18"/>
        </w:rPr>
        <w:t xml:space="preserve"> </w:t>
      </w:r>
      <w:r w:rsidRPr="0031675F">
        <w:rPr>
          <w:sz w:val="18"/>
        </w:rPr>
        <w:t>the</w:t>
      </w:r>
      <w:r w:rsidRPr="0031675F">
        <w:rPr>
          <w:spacing w:val="-2"/>
          <w:sz w:val="18"/>
        </w:rPr>
        <w:t xml:space="preserve"> </w:t>
      </w:r>
      <w:r w:rsidRPr="0031675F">
        <w:rPr>
          <w:spacing w:val="-1"/>
          <w:sz w:val="18"/>
        </w:rPr>
        <w:t>whole</w:t>
      </w:r>
      <w:r w:rsidRPr="0031675F">
        <w:rPr>
          <w:spacing w:val="-2"/>
          <w:sz w:val="18"/>
        </w:rPr>
        <w:t xml:space="preserve"> </w:t>
      </w:r>
      <w:r w:rsidRPr="0031675F">
        <w:rPr>
          <w:sz w:val="18"/>
        </w:rPr>
        <w:t>or</w:t>
      </w:r>
      <w:r w:rsidRPr="0031675F">
        <w:rPr>
          <w:spacing w:val="-1"/>
          <w:sz w:val="18"/>
        </w:rPr>
        <w:t xml:space="preserve"> any </w:t>
      </w:r>
      <w:r w:rsidRPr="0031675F">
        <w:rPr>
          <w:sz w:val="18"/>
        </w:rPr>
        <w:t>part</w:t>
      </w:r>
      <w:r w:rsidRPr="0031675F">
        <w:rPr>
          <w:spacing w:val="-3"/>
          <w:sz w:val="18"/>
        </w:rPr>
        <w:t xml:space="preserve"> </w:t>
      </w:r>
      <w:r w:rsidRPr="0031675F">
        <w:rPr>
          <w:sz w:val="18"/>
        </w:rPr>
        <w:t>of</w:t>
      </w:r>
      <w:r w:rsidRPr="0031675F">
        <w:rPr>
          <w:spacing w:val="-2"/>
          <w:sz w:val="18"/>
        </w:rPr>
        <w:t xml:space="preserve"> </w:t>
      </w:r>
      <w:r w:rsidRPr="0031675F">
        <w:rPr>
          <w:spacing w:val="-1"/>
          <w:sz w:val="18"/>
        </w:rPr>
        <w:t>the</w:t>
      </w:r>
      <w:r w:rsidRPr="0031675F">
        <w:rPr>
          <w:spacing w:val="-2"/>
          <w:sz w:val="18"/>
        </w:rPr>
        <w:t xml:space="preserve"> </w:t>
      </w:r>
      <w:r w:rsidRPr="0031675F">
        <w:rPr>
          <w:spacing w:val="-1"/>
          <w:sz w:val="18"/>
        </w:rPr>
        <w:t xml:space="preserve">report, </w:t>
      </w:r>
      <w:r w:rsidRPr="0031675F">
        <w:rPr>
          <w:sz w:val="18"/>
        </w:rPr>
        <w:t>for</w:t>
      </w:r>
      <w:r w:rsidRPr="0031675F">
        <w:rPr>
          <w:spacing w:val="-1"/>
          <w:sz w:val="18"/>
        </w:rPr>
        <w:t xml:space="preserve"> any </w:t>
      </w:r>
      <w:r w:rsidRPr="0031675F">
        <w:rPr>
          <w:sz w:val="18"/>
        </w:rPr>
        <w:t xml:space="preserve">particular </w:t>
      </w:r>
      <w:r w:rsidRPr="0031675F">
        <w:rPr>
          <w:spacing w:val="-1"/>
          <w:sz w:val="18"/>
        </w:rPr>
        <w:t>purpose</w:t>
      </w:r>
      <w:r w:rsidRPr="0031675F">
        <w:rPr>
          <w:spacing w:val="-2"/>
          <w:sz w:val="18"/>
        </w:rPr>
        <w:t xml:space="preserve"> </w:t>
      </w:r>
      <w:r w:rsidRPr="0031675F">
        <w:rPr>
          <w:sz w:val="18"/>
        </w:rPr>
        <w:t>or</w:t>
      </w:r>
      <w:r w:rsidRPr="0031675F">
        <w:rPr>
          <w:spacing w:val="-1"/>
          <w:sz w:val="18"/>
        </w:rPr>
        <w:t xml:space="preserve"> application.</w:t>
      </w:r>
      <w:r w:rsidRPr="0031675F">
        <w:rPr>
          <w:spacing w:val="-2"/>
          <w:sz w:val="18"/>
        </w:rPr>
        <w:t xml:space="preserve"> </w:t>
      </w:r>
      <w:r w:rsidRPr="0031675F">
        <w:rPr>
          <w:spacing w:val="-1"/>
          <w:sz w:val="18"/>
        </w:rPr>
        <w:t>Subject</w:t>
      </w:r>
      <w:r w:rsidRPr="0031675F">
        <w:rPr>
          <w:spacing w:val="1"/>
          <w:sz w:val="18"/>
        </w:rPr>
        <w:t xml:space="preserve"> </w:t>
      </w:r>
      <w:r w:rsidRPr="0031675F">
        <w:rPr>
          <w:spacing w:val="-1"/>
          <w:sz w:val="18"/>
        </w:rPr>
        <w:t>only</w:t>
      </w:r>
      <w:r w:rsidRPr="0031675F">
        <w:rPr>
          <w:spacing w:val="-2"/>
          <w:sz w:val="18"/>
        </w:rPr>
        <w:t xml:space="preserve"> </w:t>
      </w:r>
      <w:r w:rsidRPr="0031675F">
        <w:rPr>
          <w:sz w:val="18"/>
        </w:rPr>
        <w:t>to</w:t>
      </w:r>
      <w:r w:rsidRPr="0031675F">
        <w:rPr>
          <w:spacing w:val="-1"/>
          <w:sz w:val="18"/>
        </w:rPr>
        <w:t xml:space="preserve"> any contrary </w:t>
      </w:r>
      <w:r w:rsidRPr="0031675F">
        <w:rPr>
          <w:sz w:val="18"/>
        </w:rPr>
        <w:t>non-</w:t>
      </w:r>
      <w:r w:rsidRPr="0031675F">
        <w:rPr>
          <w:spacing w:val="101"/>
          <w:sz w:val="18"/>
        </w:rPr>
        <w:t xml:space="preserve"> </w:t>
      </w:r>
      <w:r w:rsidRPr="0031675F">
        <w:rPr>
          <w:spacing w:val="-1"/>
          <w:sz w:val="18"/>
        </w:rPr>
        <w:t>excludable</w:t>
      </w:r>
      <w:r w:rsidRPr="0031675F">
        <w:rPr>
          <w:spacing w:val="16"/>
          <w:sz w:val="18"/>
        </w:rPr>
        <w:t xml:space="preserve"> </w:t>
      </w:r>
      <w:r w:rsidRPr="0031675F">
        <w:rPr>
          <w:spacing w:val="-1"/>
          <w:sz w:val="18"/>
        </w:rPr>
        <w:t>statutory</w:t>
      </w:r>
      <w:r w:rsidRPr="0031675F">
        <w:rPr>
          <w:spacing w:val="14"/>
          <w:sz w:val="18"/>
        </w:rPr>
        <w:t xml:space="preserve"> </w:t>
      </w:r>
      <w:r w:rsidRPr="0031675F">
        <w:rPr>
          <w:spacing w:val="-1"/>
          <w:sz w:val="18"/>
        </w:rPr>
        <w:t>obligations</w:t>
      </w:r>
      <w:r w:rsidRPr="0031675F">
        <w:rPr>
          <w:spacing w:val="17"/>
          <w:sz w:val="18"/>
        </w:rPr>
        <w:t xml:space="preserve"> </w:t>
      </w:r>
      <w:r w:rsidRPr="0031675F">
        <w:rPr>
          <w:spacing w:val="-1"/>
          <w:sz w:val="18"/>
        </w:rPr>
        <w:t>neither</w:t>
      </w:r>
      <w:r w:rsidRPr="0031675F">
        <w:rPr>
          <w:spacing w:val="14"/>
          <w:sz w:val="18"/>
        </w:rPr>
        <w:t xml:space="preserve"> </w:t>
      </w:r>
      <w:r w:rsidRPr="0031675F">
        <w:rPr>
          <w:sz w:val="18"/>
        </w:rPr>
        <w:t>AIMS</w:t>
      </w:r>
      <w:r w:rsidRPr="0031675F">
        <w:rPr>
          <w:spacing w:val="14"/>
          <w:sz w:val="18"/>
        </w:rPr>
        <w:t xml:space="preserve"> </w:t>
      </w:r>
      <w:r w:rsidRPr="0031675F">
        <w:rPr>
          <w:spacing w:val="-1"/>
          <w:sz w:val="18"/>
        </w:rPr>
        <w:t>nor</w:t>
      </w:r>
      <w:r w:rsidRPr="0031675F">
        <w:rPr>
          <w:spacing w:val="14"/>
          <w:sz w:val="18"/>
        </w:rPr>
        <w:t xml:space="preserve"> </w:t>
      </w:r>
      <w:r w:rsidRPr="0031675F">
        <w:rPr>
          <w:spacing w:val="-1"/>
          <w:sz w:val="18"/>
        </w:rPr>
        <w:t>its</w:t>
      </w:r>
      <w:r w:rsidRPr="0031675F">
        <w:rPr>
          <w:spacing w:val="15"/>
          <w:sz w:val="18"/>
        </w:rPr>
        <w:t xml:space="preserve"> </w:t>
      </w:r>
      <w:r w:rsidRPr="0031675F">
        <w:rPr>
          <w:spacing w:val="-1"/>
          <w:sz w:val="18"/>
        </w:rPr>
        <w:t>personnel</w:t>
      </w:r>
      <w:r w:rsidRPr="0031675F">
        <w:rPr>
          <w:spacing w:val="17"/>
          <w:sz w:val="18"/>
        </w:rPr>
        <w:t xml:space="preserve"> </w:t>
      </w:r>
      <w:r w:rsidRPr="0031675F">
        <w:rPr>
          <w:spacing w:val="-1"/>
          <w:sz w:val="18"/>
        </w:rPr>
        <w:t>will</w:t>
      </w:r>
      <w:r w:rsidRPr="0031675F">
        <w:rPr>
          <w:spacing w:val="14"/>
          <w:sz w:val="18"/>
        </w:rPr>
        <w:t xml:space="preserve"> </w:t>
      </w:r>
      <w:r w:rsidRPr="0031675F">
        <w:rPr>
          <w:spacing w:val="-1"/>
          <w:sz w:val="18"/>
        </w:rPr>
        <w:t>be</w:t>
      </w:r>
      <w:r w:rsidRPr="0031675F">
        <w:rPr>
          <w:spacing w:val="14"/>
          <w:sz w:val="18"/>
        </w:rPr>
        <w:t xml:space="preserve"> </w:t>
      </w:r>
      <w:r w:rsidRPr="0031675F">
        <w:rPr>
          <w:spacing w:val="-1"/>
          <w:sz w:val="18"/>
        </w:rPr>
        <w:t>responsible</w:t>
      </w:r>
      <w:r w:rsidRPr="0031675F">
        <w:rPr>
          <w:spacing w:val="13"/>
          <w:sz w:val="18"/>
        </w:rPr>
        <w:t xml:space="preserve"> </w:t>
      </w:r>
      <w:r w:rsidRPr="0031675F">
        <w:rPr>
          <w:sz w:val="18"/>
        </w:rPr>
        <w:t>to</w:t>
      </w:r>
      <w:r w:rsidRPr="0031675F">
        <w:rPr>
          <w:spacing w:val="16"/>
          <w:sz w:val="18"/>
        </w:rPr>
        <w:t xml:space="preserve"> </w:t>
      </w:r>
      <w:r w:rsidRPr="0031675F">
        <w:rPr>
          <w:sz w:val="18"/>
        </w:rPr>
        <w:t>the</w:t>
      </w:r>
      <w:r w:rsidRPr="0031675F">
        <w:rPr>
          <w:spacing w:val="13"/>
          <w:sz w:val="18"/>
        </w:rPr>
        <w:t xml:space="preserve"> </w:t>
      </w:r>
      <w:r w:rsidRPr="0031675F">
        <w:rPr>
          <w:spacing w:val="-1"/>
          <w:sz w:val="18"/>
        </w:rPr>
        <w:t>party</w:t>
      </w:r>
      <w:r w:rsidRPr="0031675F">
        <w:rPr>
          <w:spacing w:val="17"/>
          <w:sz w:val="18"/>
        </w:rPr>
        <w:t xml:space="preserve"> </w:t>
      </w:r>
      <w:r w:rsidRPr="0031675F">
        <w:rPr>
          <w:spacing w:val="-1"/>
          <w:sz w:val="18"/>
        </w:rPr>
        <w:t>requesting</w:t>
      </w:r>
      <w:r w:rsidRPr="0031675F">
        <w:rPr>
          <w:spacing w:val="15"/>
          <w:sz w:val="18"/>
        </w:rPr>
        <w:t xml:space="preserve"> </w:t>
      </w:r>
      <w:r w:rsidRPr="0031675F">
        <w:rPr>
          <w:sz w:val="18"/>
        </w:rPr>
        <w:t>the</w:t>
      </w:r>
      <w:r w:rsidRPr="0031675F">
        <w:rPr>
          <w:spacing w:val="13"/>
          <w:sz w:val="18"/>
        </w:rPr>
        <w:t xml:space="preserve"> </w:t>
      </w:r>
      <w:r w:rsidRPr="0031675F">
        <w:rPr>
          <w:spacing w:val="-1"/>
          <w:sz w:val="18"/>
        </w:rPr>
        <w:t>report,</w:t>
      </w:r>
      <w:r w:rsidRPr="0031675F">
        <w:rPr>
          <w:spacing w:val="16"/>
          <w:sz w:val="18"/>
        </w:rPr>
        <w:t xml:space="preserve"> </w:t>
      </w:r>
      <w:r w:rsidRPr="0031675F">
        <w:rPr>
          <w:sz w:val="18"/>
        </w:rPr>
        <w:t>or</w:t>
      </w:r>
      <w:r w:rsidRPr="0031675F">
        <w:rPr>
          <w:spacing w:val="107"/>
          <w:w w:val="99"/>
          <w:sz w:val="18"/>
        </w:rPr>
        <w:t xml:space="preserve"> </w:t>
      </w:r>
      <w:r w:rsidRPr="0031675F">
        <w:rPr>
          <w:spacing w:val="-1"/>
          <w:sz w:val="18"/>
        </w:rPr>
        <w:t>any</w:t>
      </w:r>
      <w:r w:rsidRPr="0031675F">
        <w:rPr>
          <w:spacing w:val="-2"/>
          <w:sz w:val="18"/>
        </w:rPr>
        <w:t xml:space="preserve"> </w:t>
      </w:r>
      <w:r w:rsidRPr="0031675F">
        <w:rPr>
          <w:spacing w:val="-1"/>
          <w:sz w:val="18"/>
        </w:rPr>
        <w:t>other</w:t>
      </w:r>
      <w:r w:rsidRPr="0031675F">
        <w:rPr>
          <w:spacing w:val="-2"/>
          <w:sz w:val="18"/>
        </w:rPr>
        <w:t xml:space="preserve"> </w:t>
      </w:r>
      <w:r w:rsidRPr="0031675F">
        <w:rPr>
          <w:spacing w:val="-1"/>
          <w:sz w:val="18"/>
        </w:rPr>
        <w:t>person</w:t>
      </w:r>
      <w:r w:rsidRPr="0031675F">
        <w:rPr>
          <w:spacing w:val="-2"/>
          <w:sz w:val="18"/>
        </w:rPr>
        <w:t xml:space="preserve"> </w:t>
      </w:r>
      <w:r w:rsidRPr="0031675F">
        <w:rPr>
          <w:spacing w:val="-1"/>
          <w:sz w:val="18"/>
        </w:rPr>
        <w:t>claiming</w:t>
      </w:r>
      <w:r w:rsidRPr="0031675F">
        <w:rPr>
          <w:spacing w:val="-3"/>
          <w:sz w:val="18"/>
        </w:rPr>
        <w:t xml:space="preserve"> </w:t>
      </w:r>
      <w:r w:rsidRPr="0031675F">
        <w:rPr>
          <w:sz w:val="18"/>
        </w:rPr>
        <w:t>through</w:t>
      </w:r>
      <w:r w:rsidRPr="0031675F">
        <w:rPr>
          <w:spacing w:val="-2"/>
          <w:sz w:val="18"/>
        </w:rPr>
        <w:t xml:space="preserve"> </w:t>
      </w:r>
      <w:r w:rsidRPr="0031675F">
        <w:rPr>
          <w:spacing w:val="-1"/>
          <w:sz w:val="18"/>
        </w:rPr>
        <w:t>that</w:t>
      </w:r>
      <w:r w:rsidRPr="0031675F">
        <w:rPr>
          <w:spacing w:val="-2"/>
          <w:sz w:val="18"/>
        </w:rPr>
        <w:t xml:space="preserve"> </w:t>
      </w:r>
      <w:r w:rsidRPr="0031675F">
        <w:rPr>
          <w:sz w:val="18"/>
        </w:rPr>
        <w:t>party,</w:t>
      </w:r>
      <w:r w:rsidRPr="0031675F">
        <w:rPr>
          <w:spacing w:val="-2"/>
          <w:sz w:val="18"/>
        </w:rPr>
        <w:t xml:space="preserve"> </w:t>
      </w:r>
      <w:r w:rsidRPr="0031675F">
        <w:rPr>
          <w:sz w:val="18"/>
        </w:rPr>
        <w:t>for</w:t>
      </w:r>
      <w:r w:rsidRPr="0031675F">
        <w:rPr>
          <w:spacing w:val="-1"/>
          <w:sz w:val="18"/>
        </w:rPr>
        <w:t xml:space="preserve"> any</w:t>
      </w:r>
      <w:r w:rsidRPr="0031675F">
        <w:rPr>
          <w:spacing w:val="-2"/>
          <w:sz w:val="18"/>
        </w:rPr>
        <w:t xml:space="preserve"> </w:t>
      </w:r>
      <w:r w:rsidRPr="0031675F">
        <w:rPr>
          <w:spacing w:val="-1"/>
          <w:sz w:val="18"/>
        </w:rPr>
        <w:t>consequences</w:t>
      </w:r>
      <w:r w:rsidRPr="0031675F">
        <w:rPr>
          <w:spacing w:val="-3"/>
          <w:sz w:val="18"/>
        </w:rPr>
        <w:t xml:space="preserve"> </w:t>
      </w:r>
      <w:r w:rsidRPr="0031675F">
        <w:rPr>
          <w:sz w:val="18"/>
        </w:rPr>
        <w:t>of</w:t>
      </w:r>
      <w:r w:rsidRPr="0031675F">
        <w:rPr>
          <w:spacing w:val="-2"/>
          <w:sz w:val="18"/>
        </w:rPr>
        <w:t xml:space="preserve"> </w:t>
      </w:r>
      <w:r w:rsidRPr="0031675F">
        <w:rPr>
          <w:sz w:val="18"/>
        </w:rPr>
        <w:t>its</w:t>
      </w:r>
      <w:r w:rsidRPr="0031675F">
        <w:rPr>
          <w:spacing w:val="1"/>
          <w:sz w:val="18"/>
        </w:rPr>
        <w:t xml:space="preserve"> </w:t>
      </w:r>
      <w:r w:rsidRPr="0031675F">
        <w:rPr>
          <w:sz w:val="18"/>
        </w:rPr>
        <w:t>use</w:t>
      </w:r>
      <w:r w:rsidRPr="0031675F">
        <w:rPr>
          <w:spacing w:val="-2"/>
          <w:sz w:val="18"/>
        </w:rPr>
        <w:t xml:space="preserve"> </w:t>
      </w:r>
      <w:r w:rsidRPr="0031675F">
        <w:rPr>
          <w:sz w:val="18"/>
        </w:rPr>
        <w:t>or</w:t>
      </w:r>
      <w:r w:rsidRPr="0031675F">
        <w:rPr>
          <w:spacing w:val="-2"/>
          <w:sz w:val="18"/>
        </w:rPr>
        <w:t xml:space="preserve"> </w:t>
      </w:r>
      <w:r w:rsidRPr="0031675F">
        <w:rPr>
          <w:spacing w:val="-1"/>
          <w:sz w:val="18"/>
        </w:rPr>
        <w:t>application</w:t>
      </w:r>
      <w:r w:rsidRPr="0031675F">
        <w:rPr>
          <w:spacing w:val="-3"/>
          <w:sz w:val="18"/>
        </w:rPr>
        <w:t xml:space="preserve"> </w:t>
      </w:r>
      <w:r w:rsidRPr="0031675F">
        <w:rPr>
          <w:sz w:val="18"/>
        </w:rPr>
        <w:t>(whether</w:t>
      </w:r>
      <w:r w:rsidRPr="0031675F">
        <w:rPr>
          <w:spacing w:val="-1"/>
          <w:sz w:val="18"/>
        </w:rPr>
        <w:t xml:space="preserve"> in</w:t>
      </w:r>
      <w:r w:rsidRPr="0031675F">
        <w:rPr>
          <w:spacing w:val="-3"/>
          <w:sz w:val="18"/>
        </w:rPr>
        <w:t xml:space="preserve"> </w:t>
      </w:r>
      <w:r w:rsidRPr="0031675F">
        <w:rPr>
          <w:sz w:val="18"/>
        </w:rPr>
        <w:t>whole</w:t>
      </w:r>
      <w:r w:rsidRPr="0031675F">
        <w:rPr>
          <w:spacing w:val="-2"/>
          <w:sz w:val="18"/>
        </w:rPr>
        <w:t xml:space="preserve"> </w:t>
      </w:r>
      <w:r w:rsidRPr="0031675F">
        <w:rPr>
          <w:sz w:val="18"/>
        </w:rPr>
        <w:t>or</w:t>
      </w:r>
      <w:r w:rsidRPr="0031675F">
        <w:rPr>
          <w:spacing w:val="-2"/>
          <w:sz w:val="18"/>
        </w:rPr>
        <w:t xml:space="preserve"> </w:t>
      </w:r>
      <w:r w:rsidRPr="0031675F">
        <w:rPr>
          <w:spacing w:val="-1"/>
          <w:sz w:val="18"/>
        </w:rPr>
        <w:t>part).</w:t>
      </w:r>
    </w:p>
    <w:p w14:paraId="35371545" w14:textId="77777777" w:rsidR="0031675F" w:rsidRPr="0031675F" w:rsidRDefault="0031675F" w:rsidP="0031675F">
      <w:pPr>
        <w:rPr>
          <w:rFonts w:cs="Calibri"/>
          <w:sz w:val="18"/>
          <w:szCs w:val="18"/>
        </w:rPr>
      </w:pPr>
    </w:p>
    <w:p w14:paraId="1D37C5C5" w14:textId="77777777" w:rsidR="0031675F" w:rsidRPr="0031675F" w:rsidRDefault="0031675F" w:rsidP="0031675F">
      <w:pPr>
        <w:rPr>
          <w:rFonts w:cs="Calibri"/>
          <w:sz w:val="20"/>
          <w:szCs w:val="20"/>
        </w:rPr>
      </w:pPr>
    </w:p>
    <w:p w14:paraId="7FAAD7E6" w14:textId="77777777" w:rsidR="0031675F" w:rsidRPr="0031675F" w:rsidRDefault="0031675F" w:rsidP="0031675F">
      <w:pPr>
        <w:tabs>
          <w:tab w:val="left" w:pos="284"/>
          <w:tab w:val="right" w:leader="dot" w:pos="9061"/>
          <w:tab w:val="right" w:leader="dot" w:pos="9338"/>
        </w:tabs>
        <w:spacing w:before="120" w:after="120"/>
        <w:ind w:left="284" w:hanging="284"/>
        <w:rPr>
          <w:b/>
          <w:noProof/>
          <w:sz w:val="28"/>
        </w:rPr>
      </w:pPr>
      <w:r w:rsidRPr="0031675F">
        <w:rPr>
          <w:b/>
          <w:noProof/>
          <w:sz w:val="28"/>
        </w:rPr>
        <w:t>Table of Contents</w:t>
      </w:r>
    </w:p>
    <w:p w14:paraId="5829A1BE" w14:textId="77777777" w:rsidR="0031675F" w:rsidRPr="0031675F" w:rsidRDefault="0031675F" w:rsidP="0031675F">
      <w:pPr>
        <w:widowControl w:val="0"/>
        <w:tabs>
          <w:tab w:val="right" w:leader="dot" w:pos="9338"/>
        </w:tabs>
        <w:spacing w:before="41" w:after="0" w:line="240" w:lineRule="auto"/>
        <w:ind w:left="7"/>
        <w:rPr>
          <w:rFonts w:ascii="Calibri" w:eastAsia="Calibri" w:hAnsi="Calibri"/>
          <w:b/>
          <w:noProof/>
        </w:rPr>
      </w:pPr>
    </w:p>
    <w:p w14:paraId="502ED45C" w14:textId="77777777" w:rsidR="0031675F" w:rsidRPr="0031675F" w:rsidRDefault="0031675F" w:rsidP="0031675F">
      <w:pPr>
        <w:widowControl w:val="0"/>
        <w:tabs>
          <w:tab w:val="right" w:leader="dot" w:pos="9338"/>
        </w:tabs>
        <w:spacing w:before="41" w:after="0" w:line="240" w:lineRule="auto"/>
        <w:ind w:left="7"/>
        <w:rPr>
          <w:rFonts w:ascii="Calibri" w:eastAsia="Calibri" w:hAnsi="Calibri"/>
          <w:b/>
          <w:noProof/>
        </w:rPr>
      </w:pPr>
      <w:r w:rsidRPr="0031675F">
        <w:rPr>
          <w:rFonts w:ascii="Calibri" w:eastAsia="Calibri" w:hAnsi="Calibri"/>
          <w:b/>
          <w:noProof/>
        </w:rPr>
        <w:fldChar w:fldCharType="begin"/>
      </w:r>
      <w:r w:rsidRPr="0031675F">
        <w:rPr>
          <w:rFonts w:ascii="Calibri" w:eastAsia="Calibri" w:hAnsi="Calibri"/>
          <w:b/>
          <w:noProof/>
        </w:rPr>
        <w:instrText xml:space="preserve"> TOC \o "1-1" \h \z \u </w:instrText>
      </w:r>
      <w:r w:rsidRPr="0031675F">
        <w:rPr>
          <w:rFonts w:ascii="Calibri" w:eastAsia="Calibri" w:hAnsi="Calibri"/>
          <w:b/>
          <w:noProof/>
        </w:rPr>
        <w:fldChar w:fldCharType="separate"/>
      </w:r>
      <w:hyperlink w:anchor="_Toc423356987" w:history="1">
        <w:r w:rsidRPr="0031675F">
          <w:rPr>
            <w:rFonts w:ascii="Calibri" w:eastAsia="Calibri" w:hAnsi="Calibri"/>
            <w:b/>
            <w:noProof/>
            <w:u w:val="single"/>
          </w:rPr>
          <w:t>Section A1: Operating instructions for the AIMS Sea-Bird CTD</w:t>
        </w:r>
        <w:r w:rsidRPr="0031675F">
          <w:rPr>
            <w:rFonts w:ascii="Calibri" w:eastAsia="Calibri" w:hAnsi="Calibri"/>
            <w:b/>
            <w:noProof/>
            <w:webHidden/>
          </w:rPr>
          <w:tab/>
        </w:r>
        <w:r w:rsidRPr="0031675F">
          <w:rPr>
            <w:rFonts w:ascii="Calibri" w:eastAsia="Calibri" w:hAnsi="Calibri"/>
            <w:b/>
            <w:noProof/>
            <w:webHidden/>
          </w:rPr>
          <w:fldChar w:fldCharType="begin"/>
        </w:r>
        <w:r w:rsidRPr="0031675F">
          <w:rPr>
            <w:rFonts w:ascii="Calibri" w:eastAsia="Calibri" w:hAnsi="Calibri"/>
            <w:b/>
            <w:noProof/>
            <w:webHidden/>
          </w:rPr>
          <w:instrText xml:space="preserve"> PAGEREF _Toc423356987 \h </w:instrText>
        </w:r>
        <w:r w:rsidRPr="0031675F">
          <w:rPr>
            <w:rFonts w:ascii="Calibri" w:eastAsia="Calibri" w:hAnsi="Calibri"/>
            <w:b/>
            <w:noProof/>
            <w:webHidden/>
          </w:rPr>
        </w:r>
        <w:r w:rsidRPr="0031675F">
          <w:rPr>
            <w:rFonts w:ascii="Calibri" w:eastAsia="Calibri" w:hAnsi="Calibri"/>
            <w:b/>
            <w:noProof/>
            <w:webHidden/>
          </w:rPr>
          <w:fldChar w:fldCharType="separate"/>
        </w:r>
        <w:r w:rsidR="00D528AA">
          <w:rPr>
            <w:rFonts w:ascii="Calibri" w:eastAsia="Calibri" w:hAnsi="Calibri"/>
            <w:b/>
            <w:noProof/>
            <w:webHidden/>
          </w:rPr>
          <w:t>2</w:t>
        </w:r>
        <w:r w:rsidRPr="0031675F">
          <w:rPr>
            <w:rFonts w:ascii="Calibri" w:eastAsia="Calibri" w:hAnsi="Calibri"/>
            <w:b/>
            <w:noProof/>
            <w:webHidden/>
          </w:rPr>
          <w:fldChar w:fldCharType="end"/>
        </w:r>
      </w:hyperlink>
    </w:p>
    <w:p w14:paraId="2F959B33" w14:textId="77777777" w:rsidR="0031675F" w:rsidRPr="0031675F" w:rsidRDefault="00740B55" w:rsidP="0031675F">
      <w:pPr>
        <w:widowControl w:val="0"/>
        <w:tabs>
          <w:tab w:val="right" w:leader="dot" w:pos="9338"/>
        </w:tabs>
        <w:spacing w:before="41" w:after="0" w:line="240" w:lineRule="auto"/>
        <w:ind w:left="7"/>
        <w:rPr>
          <w:rFonts w:ascii="Calibri" w:eastAsia="Calibri" w:hAnsi="Calibri"/>
          <w:b/>
          <w:noProof/>
        </w:rPr>
      </w:pPr>
      <w:hyperlink w:anchor="_Toc423356988" w:history="1">
        <w:r w:rsidR="0031675F" w:rsidRPr="0031675F">
          <w:rPr>
            <w:rFonts w:ascii="Calibri" w:eastAsia="Calibri" w:hAnsi="Calibri"/>
            <w:b/>
            <w:noProof/>
            <w:u w:val="single"/>
          </w:rPr>
          <w:t>Section A2: Salinity measurements using Guildline Portasal Salinometer Model 8410A</w:t>
        </w:r>
        <w:r w:rsidR="0031675F" w:rsidRPr="0031675F">
          <w:rPr>
            <w:rFonts w:ascii="Calibri" w:eastAsia="Calibri" w:hAnsi="Calibri"/>
            <w:b/>
            <w:noProof/>
            <w:webHidden/>
          </w:rPr>
          <w:tab/>
        </w:r>
        <w:r w:rsidR="0031675F" w:rsidRPr="0031675F">
          <w:rPr>
            <w:rFonts w:ascii="Calibri" w:eastAsia="Calibri" w:hAnsi="Calibri"/>
            <w:b/>
            <w:noProof/>
            <w:webHidden/>
          </w:rPr>
          <w:fldChar w:fldCharType="begin"/>
        </w:r>
        <w:r w:rsidR="0031675F" w:rsidRPr="0031675F">
          <w:rPr>
            <w:rFonts w:ascii="Calibri" w:eastAsia="Calibri" w:hAnsi="Calibri"/>
            <w:b/>
            <w:noProof/>
            <w:webHidden/>
          </w:rPr>
          <w:instrText xml:space="preserve"> PAGEREF _Toc423356988 \h </w:instrText>
        </w:r>
        <w:r w:rsidR="0031675F" w:rsidRPr="0031675F">
          <w:rPr>
            <w:rFonts w:ascii="Calibri" w:eastAsia="Calibri" w:hAnsi="Calibri"/>
            <w:b/>
            <w:noProof/>
            <w:webHidden/>
          </w:rPr>
        </w:r>
        <w:r w:rsidR="0031675F" w:rsidRPr="0031675F">
          <w:rPr>
            <w:rFonts w:ascii="Calibri" w:eastAsia="Calibri" w:hAnsi="Calibri"/>
            <w:b/>
            <w:noProof/>
            <w:webHidden/>
          </w:rPr>
          <w:fldChar w:fldCharType="separate"/>
        </w:r>
        <w:r w:rsidR="00D528AA">
          <w:rPr>
            <w:rFonts w:ascii="Calibri" w:eastAsia="Calibri" w:hAnsi="Calibri"/>
            <w:b/>
            <w:noProof/>
            <w:webHidden/>
          </w:rPr>
          <w:t>7</w:t>
        </w:r>
        <w:r w:rsidR="0031675F" w:rsidRPr="0031675F">
          <w:rPr>
            <w:rFonts w:ascii="Calibri" w:eastAsia="Calibri" w:hAnsi="Calibri"/>
            <w:b/>
            <w:noProof/>
            <w:webHidden/>
          </w:rPr>
          <w:fldChar w:fldCharType="end"/>
        </w:r>
      </w:hyperlink>
    </w:p>
    <w:p w14:paraId="196FBBD6" w14:textId="77777777" w:rsidR="0031675F" w:rsidRPr="0031675F" w:rsidRDefault="00740B55" w:rsidP="0031675F">
      <w:pPr>
        <w:widowControl w:val="0"/>
        <w:tabs>
          <w:tab w:val="right" w:leader="dot" w:pos="9338"/>
        </w:tabs>
        <w:spacing w:before="41" w:after="0" w:line="240" w:lineRule="auto"/>
        <w:ind w:left="7"/>
        <w:rPr>
          <w:rFonts w:ascii="Calibri" w:eastAsia="Calibri" w:hAnsi="Calibri"/>
          <w:b/>
          <w:noProof/>
        </w:rPr>
      </w:pPr>
      <w:hyperlink w:anchor="_Toc423356989" w:history="1">
        <w:r w:rsidR="0031675F" w:rsidRPr="0031675F">
          <w:rPr>
            <w:rFonts w:ascii="Calibri" w:eastAsia="Calibri" w:hAnsi="Calibri"/>
            <w:b/>
            <w:noProof/>
            <w:u w:val="single"/>
          </w:rPr>
          <w:t>Section A3: Automated analysis of dissolved nutrients in seawater</w:t>
        </w:r>
        <w:r w:rsidR="0031675F" w:rsidRPr="0031675F">
          <w:rPr>
            <w:rFonts w:ascii="Calibri" w:eastAsia="Calibri" w:hAnsi="Calibri"/>
            <w:b/>
            <w:noProof/>
            <w:webHidden/>
          </w:rPr>
          <w:tab/>
        </w:r>
        <w:r w:rsidR="0031675F" w:rsidRPr="0031675F">
          <w:rPr>
            <w:rFonts w:ascii="Calibri" w:eastAsia="Calibri" w:hAnsi="Calibri"/>
            <w:b/>
            <w:noProof/>
            <w:webHidden/>
          </w:rPr>
          <w:fldChar w:fldCharType="begin"/>
        </w:r>
        <w:r w:rsidR="0031675F" w:rsidRPr="0031675F">
          <w:rPr>
            <w:rFonts w:ascii="Calibri" w:eastAsia="Calibri" w:hAnsi="Calibri"/>
            <w:b/>
            <w:noProof/>
            <w:webHidden/>
          </w:rPr>
          <w:instrText xml:space="preserve"> PAGEREF _Toc423356989 \h </w:instrText>
        </w:r>
        <w:r w:rsidR="0031675F" w:rsidRPr="0031675F">
          <w:rPr>
            <w:rFonts w:ascii="Calibri" w:eastAsia="Calibri" w:hAnsi="Calibri"/>
            <w:b/>
            <w:noProof/>
            <w:webHidden/>
          </w:rPr>
        </w:r>
        <w:r w:rsidR="0031675F" w:rsidRPr="0031675F">
          <w:rPr>
            <w:rFonts w:ascii="Calibri" w:eastAsia="Calibri" w:hAnsi="Calibri"/>
            <w:b/>
            <w:noProof/>
            <w:webHidden/>
          </w:rPr>
          <w:fldChar w:fldCharType="separate"/>
        </w:r>
        <w:r w:rsidR="00D528AA">
          <w:rPr>
            <w:rFonts w:ascii="Calibri" w:eastAsia="Calibri" w:hAnsi="Calibri"/>
            <w:b/>
            <w:noProof/>
            <w:webHidden/>
          </w:rPr>
          <w:t>14</w:t>
        </w:r>
        <w:r w:rsidR="0031675F" w:rsidRPr="0031675F">
          <w:rPr>
            <w:rFonts w:ascii="Calibri" w:eastAsia="Calibri" w:hAnsi="Calibri"/>
            <w:b/>
            <w:noProof/>
            <w:webHidden/>
          </w:rPr>
          <w:fldChar w:fldCharType="end"/>
        </w:r>
      </w:hyperlink>
    </w:p>
    <w:p w14:paraId="6E85BF14" w14:textId="77777777" w:rsidR="0031675F" w:rsidRPr="0031675F" w:rsidRDefault="00740B55" w:rsidP="0031675F">
      <w:pPr>
        <w:widowControl w:val="0"/>
        <w:tabs>
          <w:tab w:val="right" w:leader="dot" w:pos="9338"/>
        </w:tabs>
        <w:spacing w:before="41" w:after="0" w:line="240" w:lineRule="auto"/>
        <w:ind w:left="7"/>
        <w:rPr>
          <w:rFonts w:ascii="Calibri" w:eastAsia="Calibri" w:hAnsi="Calibri"/>
          <w:b/>
          <w:noProof/>
        </w:rPr>
      </w:pPr>
      <w:hyperlink w:anchor="_Toc423356990" w:history="1">
        <w:r w:rsidR="0031675F" w:rsidRPr="0031675F">
          <w:rPr>
            <w:rFonts w:ascii="Calibri" w:eastAsia="Calibri" w:hAnsi="Calibri"/>
            <w:b/>
            <w:noProof/>
            <w:u w:val="single"/>
          </w:rPr>
          <w:t>Section A4: Ship board ammonium analysis using the OPA method</w:t>
        </w:r>
        <w:r w:rsidR="0031675F" w:rsidRPr="0031675F">
          <w:rPr>
            <w:rFonts w:ascii="Calibri" w:eastAsia="Calibri" w:hAnsi="Calibri"/>
            <w:b/>
            <w:noProof/>
            <w:webHidden/>
          </w:rPr>
          <w:tab/>
        </w:r>
        <w:r w:rsidR="0031675F" w:rsidRPr="0031675F">
          <w:rPr>
            <w:rFonts w:ascii="Calibri" w:eastAsia="Calibri" w:hAnsi="Calibri"/>
            <w:b/>
            <w:noProof/>
            <w:webHidden/>
          </w:rPr>
          <w:fldChar w:fldCharType="begin"/>
        </w:r>
        <w:r w:rsidR="0031675F" w:rsidRPr="0031675F">
          <w:rPr>
            <w:rFonts w:ascii="Calibri" w:eastAsia="Calibri" w:hAnsi="Calibri"/>
            <w:b/>
            <w:noProof/>
            <w:webHidden/>
          </w:rPr>
          <w:instrText xml:space="preserve"> PAGEREF _Toc423356990 \h </w:instrText>
        </w:r>
        <w:r w:rsidR="0031675F" w:rsidRPr="0031675F">
          <w:rPr>
            <w:rFonts w:ascii="Calibri" w:eastAsia="Calibri" w:hAnsi="Calibri"/>
            <w:b/>
            <w:noProof/>
            <w:webHidden/>
          </w:rPr>
        </w:r>
        <w:r w:rsidR="0031675F" w:rsidRPr="0031675F">
          <w:rPr>
            <w:rFonts w:ascii="Calibri" w:eastAsia="Calibri" w:hAnsi="Calibri"/>
            <w:b/>
            <w:noProof/>
            <w:webHidden/>
          </w:rPr>
          <w:fldChar w:fldCharType="separate"/>
        </w:r>
        <w:r w:rsidR="00D528AA">
          <w:rPr>
            <w:rFonts w:ascii="Calibri" w:eastAsia="Calibri" w:hAnsi="Calibri"/>
            <w:b/>
            <w:noProof/>
            <w:webHidden/>
          </w:rPr>
          <w:t>22</w:t>
        </w:r>
        <w:r w:rsidR="0031675F" w:rsidRPr="0031675F">
          <w:rPr>
            <w:rFonts w:ascii="Calibri" w:eastAsia="Calibri" w:hAnsi="Calibri"/>
            <w:b/>
            <w:noProof/>
            <w:webHidden/>
          </w:rPr>
          <w:fldChar w:fldCharType="end"/>
        </w:r>
      </w:hyperlink>
    </w:p>
    <w:p w14:paraId="1C006744" w14:textId="77777777" w:rsidR="0031675F" w:rsidRPr="0031675F" w:rsidRDefault="00740B55" w:rsidP="0031675F">
      <w:pPr>
        <w:widowControl w:val="0"/>
        <w:tabs>
          <w:tab w:val="right" w:leader="dot" w:pos="9338"/>
        </w:tabs>
        <w:spacing w:before="41" w:after="0" w:line="240" w:lineRule="auto"/>
        <w:ind w:left="7"/>
        <w:rPr>
          <w:rFonts w:ascii="Calibri" w:eastAsia="Calibri" w:hAnsi="Calibri"/>
          <w:b/>
          <w:noProof/>
        </w:rPr>
      </w:pPr>
      <w:hyperlink w:anchor="_Toc423356991" w:history="1">
        <w:r w:rsidR="0031675F" w:rsidRPr="0031675F">
          <w:rPr>
            <w:rFonts w:ascii="Calibri" w:eastAsia="Calibri" w:hAnsi="Calibri"/>
            <w:b/>
            <w:noProof/>
            <w:u w:val="single"/>
          </w:rPr>
          <w:t>Section A5: Analysis of dissolved organic carbon</w:t>
        </w:r>
        <w:r w:rsidR="0031675F" w:rsidRPr="0031675F">
          <w:rPr>
            <w:rFonts w:ascii="Calibri" w:eastAsia="Calibri" w:hAnsi="Calibri"/>
            <w:b/>
            <w:noProof/>
            <w:webHidden/>
          </w:rPr>
          <w:tab/>
        </w:r>
        <w:r w:rsidR="0031675F" w:rsidRPr="0031675F">
          <w:rPr>
            <w:rFonts w:ascii="Calibri" w:eastAsia="Calibri" w:hAnsi="Calibri"/>
            <w:b/>
            <w:noProof/>
            <w:webHidden/>
          </w:rPr>
          <w:fldChar w:fldCharType="begin"/>
        </w:r>
        <w:r w:rsidR="0031675F" w:rsidRPr="0031675F">
          <w:rPr>
            <w:rFonts w:ascii="Calibri" w:eastAsia="Calibri" w:hAnsi="Calibri"/>
            <w:b/>
            <w:noProof/>
            <w:webHidden/>
          </w:rPr>
          <w:instrText xml:space="preserve"> PAGEREF _Toc423356991 \h </w:instrText>
        </w:r>
        <w:r w:rsidR="0031675F" w:rsidRPr="0031675F">
          <w:rPr>
            <w:rFonts w:ascii="Calibri" w:eastAsia="Calibri" w:hAnsi="Calibri"/>
            <w:b/>
            <w:noProof/>
            <w:webHidden/>
          </w:rPr>
        </w:r>
        <w:r w:rsidR="0031675F" w:rsidRPr="0031675F">
          <w:rPr>
            <w:rFonts w:ascii="Calibri" w:eastAsia="Calibri" w:hAnsi="Calibri"/>
            <w:b/>
            <w:noProof/>
            <w:webHidden/>
          </w:rPr>
          <w:fldChar w:fldCharType="separate"/>
        </w:r>
        <w:r w:rsidR="00D528AA">
          <w:rPr>
            <w:rFonts w:ascii="Calibri" w:eastAsia="Calibri" w:hAnsi="Calibri"/>
            <w:b/>
            <w:noProof/>
            <w:webHidden/>
          </w:rPr>
          <w:t>38</w:t>
        </w:r>
        <w:r w:rsidR="0031675F" w:rsidRPr="0031675F">
          <w:rPr>
            <w:rFonts w:ascii="Calibri" w:eastAsia="Calibri" w:hAnsi="Calibri"/>
            <w:b/>
            <w:noProof/>
            <w:webHidden/>
          </w:rPr>
          <w:fldChar w:fldCharType="end"/>
        </w:r>
      </w:hyperlink>
    </w:p>
    <w:p w14:paraId="56865F10" w14:textId="77777777" w:rsidR="0031675F" w:rsidRPr="0031675F" w:rsidRDefault="00740B55" w:rsidP="0031675F">
      <w:pPr>
        <w:widowControl w:val="0"/>
        <w:tabs>
          <w:tab w:val="right" w:leader="dot" w:pos="9338"/>
        </w:tabs>
        <w:spacing w:before="41" w:after="0" w:line="240" w:lineRule="auto"/>
        <w:ind w:left="7"/>
        <w:rPr>
          <w:rFonts w:ascii="Calibri" w:eastAsia="Calibri" w:hAnsi="Calibri"/>
          <w:b/>
          <w:noProof/>
        </w:rPr>
      </w:pPr>
      <w:hyperlink w:anchor="_Toc423356992" w:history="1">
        <w:r w:rsidR="0031675F" w:rsidRPr="0031675F">
          <w:rPr>
            <w:rFonts w:ascii="Calibri" w:eastAsia="Calibri" w:hAnsi="Calibri"/>
            <w:b/>
            <w:noProof/>
            <w:u w:val="single"/>
          </w:rPr>
          <w:t>Section A6: Analysis of Chromophoric Dissolved Ocean Matter (CDOM) in marine waters</w:t>
        </w:r>
        <w:r w:rsidR="0031675F" w:rsidRPr="0031675F">
          <w:rPr>
            <w:rFonts w:ascii="Calibri" w:eastAsia="Calibri" w:hAnsi="Calibri"/>
            <w:b/>
            <w:noProof/>
            <w:webHidden/>
          </w:rPr>
          <w:tab/>
        </w:r>
        <w:r w:rsidR="0031675F" w:rsidRPr="0031675F">
          <w:rPr>
            <w:rFonts w:ascii="Calibri" w:eastAsia="Calibri" w:hAnsi="Calibri"/>
            <w:b/>
            <w:noProof/>
            <w:webHidden/>
          </w:rPr>
          <w:fldChar w:fldCharType="begin"/>
        </w:r>
        <w:r w:rsidR="0031675F" w:rsidRPr="0031675F">
          <w:rPr>
            <w:rFonts w:ascii="Calibri" w:eastAsia="Calibri" w:hAnsi="Calibri"/>
            <w:b/>
            <w:noProof/>
            <w:webHidden/>
          </w:rPr>
          <w:instrText xml:space="preserve"> PAGEREF _Toc423356992 \h </w:instrText>
        </w:r>
        <w:r w:rsidR="0031675F" w:rsidRPr="0031675F">
          <w:rPr>
            <w:rFonts w:ascii="Calibri" w:eastAsia="Calibri" w:hAnsi="Calibri"/>
            <w:b/>
            <w:noProof/>
            <w:webHidden/>
          </w:rPr>
        </w:r>
        <w:r w:rsidR="0031675F" w:rsidRPr="0031675F">
          <w:rPr>
            <w:rFonts w:ascii="Calibri" w:eastAsia="Calibri" w:hAnsi="Calibri"/>
            <w:b/>
            <w:noProof/>
            <w:webHidden/>
          </w:rPr>
          <w:fldChar w:fldCharType="separate"/>
        </w:r>
        <w:r w:rsidR="00D528AA">
          <w:rPr>
            <w:rFonts w:ascii="Calibri" w:eastAsia="Calibri" w:hAnsi="Calibri"/>
            <w:b/>
            <w:noProof/>
            <w:webHidden/>
          </w:rPr>
          <w:t>44</w:t>
        </w:r>
        <w:r w:rsidR="0031675F" w:rsidRPr="0031675F">
          <w:rPr>
            <w:rFonts w:ascii="Calibri" w:eastAsia="Calibri" w:hAnsi="Calibri"/>
            <w:b/>
            <w:noProof/>
            <w:webHidden/>
          </w:rPr>
          <w:fldChar w:fldCharType="end"/>
        </w:r>
      </w:hyperlink>
    </w:p>
    <w:p w14:paraId="7BF9CDF6" w14:textId="77777777" w:rsidR="0031675F" w:rsidRPr="0031675F" w:rsidRDefault="00740B55" w:rsidP="0031675F">
      <w:pPr>
        <w:widowControl w:val="0"/>
        <w:tabs>
          <w:tab w:val="right" w:leader="dot" w:pos="9338"/>
        </w:tabs>
        <w:spacing w:before="41" w:after="0" w:line="240" w:lineRule="auto"/>
        <w:ind w:left="7"/>
        <w:rPr>
          <w:rFonts w:ascii="Calibri" w:eastAsia="Calibri" w:hAnsi="Calibri"/>
          <w:b/>
          <w:noProof/>
        </w:rPr>
      </w:pPr>
      <w:hyperlink w:anchor="_Toc423356993" w:history="1">
        <w:r w:rsidR="0031675F" w:rsidRPr="0031675F">
          <w:rPr>
            <w:rFonts w:ascii="Calibri" w:eastAsia="Calibri" w:hAnsi="Calibri"/>
            <w:b/>
            <w:noProof/>
            <w:u w:val="single"/>
          </w:rPr>
          <w:t>Section A7: Analysis of particulate phosphorus in marine waters</w:t>
        </w:r>
        <w:r w:rsidR="0031675F" w:rsidRPr="0031675F">
          <w:rPr>
            <w:rFonts w:ascii="Calibri" w:eastAsia="Calibri" w:hAnsi="Calibri"/>
            <w:b/>
            <w:noProof/>
            <w:webHidden/>
          </w:rPr>
          <w:tab/>
        </w:r>
        <w:r w:rsidR="0031675F" w:rsidRPr="0031675F">
          <w:rPr>
            <w:rFonts w:ascii="Calibri" w:eastAsia="Calibri" w:hAnsi="Calibri"/>
            <w:b/>
            <w:noProof/>
            <w:webHidden/>
          </w:rPr>
          <w:fldChar w:fldCharType="begin"/>
        </w:r>
        <w:r w:rsidR="0031675F" w:rsidRPr="0031675F">
          <w:rPr>
            <w:rFonts w:ascii="Calibri" w:eastAsia="Calibri" w:hAnsi="Calibri"/>
            <w:b/>
            <w:noProof/>
            <w:webHidden/>
          </w:rPr>
          <w:instrText xml:space="preserve"> PAGEREF _Toc423356993 \h </w:instrText>
        </w:r>
        <w:r w:rsidR="0031675F" w:rsidRPr="0031675F">
          <w:rPr>
            <w:rFonts w:ascii="Calibri" w:eastAsia="Calibri" w:hAnsi="Calibri"/>
            <w:b/>
            <w:noProof/>
            <w:webHidden/>
          </w:rPr>
        </w:r>
        <w:r w:rsidR="0031675F" w:rsidRPr="0031675F">
          <w:rPr>
            <w:rFonts w:ascii="Calibri" w:eastAsia="Calibri" w:hAnsi="Calibri"/>
            <w:b/>
            <w:noProof/>
            <w:webHidden/>
          </w:rPr>
          <w:fldChar w:fldCharType="separate"/>
        </w:r>
        <w:r w:rsidR="00D528AA">
          <w:rPr>
            <w:rFonts w:ascii="Calibri" w:eastAsia="Calibri" w:hAnsi="Calibri"/>
            <w:b/>
            <w:noProof/>
            <w:webHidden/>
          </w:rPr>
          <w:t>48</w:t>
        </w:r>
        <w:r w:rsidR="0031675F" w:rsidRPr="0031675F">
          <w:rPr>
            <w:rFonts w:ascii="Calibri" w:eastAsia="Calibri" w:hAnsi="Calibri"/>
            <w:b/>
            <w:noProof/>
            <w:webHidden/>
          </w:rPr>
          <w:fldChar w:fldCharType="end"/>
        </w:r>
      </w:hyperlink>
    </w:p>
    <w:p w14:paraId="395F5ED0" w14:textId="77777777" w:rsidR="0031675F" w:rsidRPr="0031675F" w:rsidRDefault="00740B55" w:rsidP="0031675F">
      <w:pPr>
        <w:widowControl w:val="0"/>
        <w:tabs>
          <w:tab w:val="right" w:leader="dot" w:pos="9338"/>
        </w:tabs>
        <w:spacing w:before="41" w:after="0" w:line="240" w:lineRule="auto"/>
        <w:ind w:left="7"/>
        <w:rPr>
          <w:rFonts w:ascii="Calibri" w:eastAsia="Calibri" w:hAnsi="Calibri"/>
          <w:b/>
          <w:noProof/>
        </w:rPr>
      </w:pPr>
      <w:hyperlink w:anchor="_Toc423356994" w:history="1">
        <w:r w:rsidR="0031675F" w:rsidRPr="0031675F">
          <w:rPr>
            <w:rFonts w:ascii="Calibri" w:eastAsia="Calibri" w:hAnsi="Calibri"/>
            <w:b/>
            <w:noProof/>
            <w:u w:val="single"/>
          </w:rPr>
          <w:t>Section A8: Analysis of particulate organic carbon and particulate nitrogen in marine waters</w:t>
        </w:r>
        <w:r w:rsidR="0031675F" w:rsidRPr="0031675F">
          <w:rPr>
            <w:rFonts w:ascii="Calibri" w:eastAsia="Calibri" w:hAnsi="Calibri"/>
            <w:b/>
            <w:noProof/>
            <w:webHidden/>
          </w:rPr>
          <w:tab/>
        </w:r>
        <w:r w:rsidR="0031675F" w:rsidRPr="0031675F">
          <w:rPr>
            <w:rFonts w:ascii="Calibri" w:eastAsia="Calibri" w:hAnsi="Calibri"/>
            <w:b/>
            <w:noProof/>
            <w:webHidden/>
          </w:rPr>
          <w:fldChar w:fldCharType="begin"/>
        </w:r>
        <w:r w:rsidR="0031675F" w:rsidRPr="0031675F">
          <w:rPr>
            <w:rFonts w:ascii="Calibri" w:eastAsia="Calibri" w:hAnsi="Calibri"/>
            <w:b/>
            <w:noProof/>
            <w:webHidden/>
          </w:rPr>
          <w:instrText xml:space="preserve"> PAGEREF _Toc423356994 \h </w:instrText>
        </w:r>
        <w:r w:rsidR="0031675F" w:rsidRPr="0031675F">
          <w:rPr>
            <w:rFonts w:ascii="Calibri" w:eastAsia="Calibri" w:hAnsi="Calibri"/>
            <w:b/>
            <w:noProof/>
            <w:webHidden/>
          </w:rPr>
        </w:r>
        <w:r w:rsidR="0031675F" w:rsidRPr="0031675F">
          <w:rPr>
            <w:rFonts w:ascii="Calibri" w:eastAsia="Calibri" w:hAnsi="Calibri"/>
            <w:b/>
            <w:noProof/>
            <w:webHidden/>
          </w:rPr>
          <w:fldChar w:fldCharType="separate"/>
        </w:r>
        <w:r w:rsidR="00D528AA">
          <w:rPr>
            <w:rFonts w:ascii="Calibri" w:eastAsia="Calibri" w:hAnsi="Calibri"/>
            <w:b/>
            <w:noProof/>
            <w:webHidden/>
          </w:rPr>
          <w:t>57</w:t>
        </w:r>
        <w:r w:rsidR="0031675F" w:rsidRPr="0031675F">
          <w:rPr>
            <w:rFonts w:ascii="Calibri" w:eastAsia="Calibri" w:hAnsi="Calibri"/>
            <w:b/>
            <w:noProof/>
            <w:webHidden/>
          </w:rPr>
          <w:fldChar w:fldCharType="end"/>
        </w:r>
      </w:hyperlink>
    </w:p>
    <w:p w14:paraId="1AC52290" w14:textId="77777777" w:rsidR="0031675F" w:rsidRPr="0031675F" w:rsidRDefault="00740B55" w:rsidP="0031675F">
      <w:pPr>
        <w:widowControl w:val="0"/>
        <w:tabs>
          <w:tab w:val="right" w:leader="dot" w:pos="9338"/>
        </w:tabs>
        <w:spacing w:before="41" w:after="0" w:line="240" w:lineRule="auto"/>
        <w:ind w:left="7"/>
        <w:rPr>
          <w:rFonts w:ascii="Calibri" w:eastAsia="Calibri" w:hAnsi="Calibri"/>
          <w:b/>
          <w:noProof/>
        </w:rPr>
      </w:pPr>
      <w:hyperlink w:anchor="_Toc423356995" w:history="1">
        <w:r w:rsidR="0031675F" w:rsidRPr="0031675F">
          <w:rPr>
            <w:rFonts w:ascii="Calibri" w:eastAsia="Calibri" w:hAnsi="Calibri"/>
            <w:b/>
            <w:noProof/>
            <w:u w:val="single"/>
          </w:rPr>
          <w:t>Section A9: Analysis of chlorophyll a in marine waters</w:t>
        </w:r>
        <w:r w:rsidR="0031675F" w:rsidRPr="0031675F">
          <w:rPr>
            <w:rFonts w:ascii="Calibri" w:eastAsia="Calibri" w:hAnsi="Calibri"/>
            <w:b/>
            <w:noProof/>
            <w:webHidden/>
          </w:rPr>
          <w:tab/>
        </w:r>
        <w:r w:rsidR="0031675F" w:rsidRPr="0031675F">
          <w:rPr>
            <w:rFonts w:ascii="Calibri" w:eastAsia="Calibri" w:hAnsi="Calibri"/>
            <w:b/>
            <w:noProof/>
            <w:webHidden/>
          </w:rPr>
          <w:fldChar w:fldCharType="begin"/>
        </w:r>
        <w:r w:rsidR="0031675F" w:rsidRPr="0031675F">
          <w:rPr>
            <w:rFonts w:ascii="Calibri" w:eastAsia="Calibri" w:hAnsi="Calibri"/>
            <w:b/>
            <w:noProof/>
            <w:webHidden/>
          </w:rPr>
          <w:instrText xml:space="preserve"> PAGEREF _Toc423356995 \h </w:instrText>
        </w:r>
        <w:r w:rsidR="0031675F" w:rsidRPr="0031675F">
          <w:rPr>
            <w:rFonts w:ascii="Calibri" w:eastAsia="Calibri" w:hAnsi="Calibri"/>
            <w:b/>
            <w:noProof/>
            <w:webHidden/>
          </w:rPr>
        </w:r>
        <w:r w:rsidR="0031675F" w:rsidRPr="0031675F">
          <w:rPr>
            <w:rFonts w:ascii="Calibri" w:eastAsia="Calibri" w:hAnsi="Calibri"/>
            <w:b/>
            <w:noProof/>
            <w:webHidden/>
          </w:rPr>
          <w:fldChar w:fldCharType="separate"/>
        </w:r>
        <w:r w:rsidR="00D528AA">
          <w:rPr>
            <w:rFonts w:ascii="Calibri" w:eastAsia="Calibri" w:hAnsi="Calibri"/>
            <w:b/>
            <w:noProof/>
            <w:webHidden/>
          </w:rPr>
          <w:t>67</w:t>
        </w:r>
        <w:r w:rsidR="0031675F" w:rsidRPr="0031675F">
          <w:rPr>
            <w:rFonts w:ascii="Calibri" w:eastAsia="Calibri" w:hAnsi="Calibri"/>
            <w:b/>
            <w:noProof/>
            <w:webHidden/>
          </w:rPr>
          <w:fldChar w:fldCharType="end"/>
        </w:r>
      </w:hyperlink>
    </w:p>
    <w:p w14:paraId="17CBAF5A" w14:textId="77777777" w:rsidR="0031675F" w:rsidRPr="0031675F" w:rsidRDefault="00740B55" w:rsidP="0031675F">
      <w:pPr>
        <w:widowControl w:val="0"/>
        <w:tabs>
          <w:tab w:val="right" w:leader="dot" w:pos="9338"/>
        </w:tabs>
        <w:spacing w:before="41" w:after="0" w:line="240" w:lineRule="auto"/>
        <w:ind w:left="7"/>
        <w:rPr>
          <w:rFonts w:ascii="Calibri" w:eastAsia="Calibri" w:hAnsi="Calibri"/>
          <w:b/>
          <w:noProof/>
        </w:rPr>
      </w:pPr>
      <w:hyperlink w:anchor="_Toc423356996" w:history="1">
        <w:r w:rsidR="0031675F" w:rsidRPr="0031675F">
          <w:rPr>
            <w:rFonts w:ascii="Calibri" w:eastAsia="Calibri" w:hAnsi="Calibri"/>
            <w:b/>
            <w:noProof/>
            <w:u w:val="single"/>
          </w:rPr>
          <w:t>Section A10: Determination of total suspended solids in marine waters</w:t>
        </w:r>
        <w:r w:rsidR="0031675F" w:rsidRPr="0031675F">
          <w:rPr>
            <w:rFonts w:ascii="Calibri" w:eastAsia="Calibri" w:hAnsi="Calibri"/>
            <w:b/>
            <w:noProof/>
            <w:webHidden/>
          </w:rPr>
          <w:tab/>
        </w:r>
        <w:r w:rsidR="0031675F" w:rsidRPr="0031675F">
          <w:rPr>
            <w:rFonts w:ascii="Calibri" w:eastAsia="Calibri" w:hAnsi="Calibri"/>
            <w:b/>
            <w:noProof/>
            <w:webHidden/>
          </w:rPr>
          <w:fldChar w:fldCharType="begin"/>
        </w:r>
        <w:r w:rsidR="0031675F" w:rsidRPr="0031675F">
          <w:rPr>
            <w:rFonts w:ascii="Calibri" w:eastAsia="Calibri" w:hAnsi="Calibri"/>
            <w:b/>
            <w:noProof/>
            <w:webHidden/>
          </w:rPr>
          <w:instrText xml:space="preserve"> PAGEREF _Toc423356996 \h </w:instrText>
        </w:r>
        <w:r w:rsidR="0031675F" w:rsidRPr="0031675F">
          <w:rPr>
            <w:rFonts w:ascii="Calibri" w:eastAsia="Calibri" w:hAnsi="Calibri"/>
            <w:b/>
            <w:noProof/>
            <w:webHidden/>
          </w:rPr>
        </w:r>
        <w:r w:rsidR="0031675F" w:rsidRPr="0031675F">
          <w:rPr>
            <w:rFonts w:ascii="Calibri" w:eastAsia="Calibri" w:hAnsi="Calibri"/>
            <w:b/>
            <w:noProof/>
            <w:webHidden/>
          </w:rPr>
          <w:fldChar w:fldCharType="separate"/>
        </w:r>
        <w:r w:rsidR="00D528AA">
          <w:rPr>
            <w:rFonts w:ascii="Calibri" w:eastAsia="Calibri" w:hAnsi="Calibri"/>
            <w:b/>
            <w:noProof/>
            <w:webHidden/>
          </w:rPr>
          <w:t>81</w:t>
        </w:r>
        <w:r w:rsidR="0031675F" w:rsidRPr="0031675F">
          <w:rPr>
            <w:rFonts w:ascii="Calibri" w:eastAsia="Calibri" w:hAnsi="Calibri"/>
            <w:b/>
            <w:noProof/>
            <w:webHidden/>
          </w:rPr>
          <w:fldChar w:fldCharType="end"/>
        </w:r>
      </w:hyperlink>
    </w:p>
    <w:p w14:paraId="7C12DCA5" w14:textId="77777777" w:rsidR="0031675F" w:rsidRPr="0031675F" w:rsidRDefault="00740B55" w:rsidP="0031675F">
      <w:pPr>
        <w:widowControl w:val="0"/>
        <w:tabs>
          <w:tab w:val="right" w:leader="dot" w:pos="9338"/>
        </w:tabs>
        <w:spacing w:before="41" w:after="0" w:line="240" w:lineRule="auto"/>
        <w:ind w:left="7"/>
        <w:rPr>
          <w:rFonts w:ascii="Calibri" w:eastAsia="Calibri" w:hAnsi="Calibri"/>
          <w:b/>
          <w:noProof/>
        </w:rPr>
      </w:pPr>
      <w:hyperlink w:anchor="_Toc423356997" w:history="1">
        <w:r w:rsidR="0031675F" w:rsidRPr="0031675F">
          <w:rPr>
            <w:rFonts w:ascii="Calibri" w:eastAsia="Calibri" w:hAnsi="Calibri"/>
            <w:b/>
            <w:noProof/>
            <w:u w:val="single"/>
          </w:rPr>
          <w:t>Section A11: AIMS In-house procedures for WET labs FLNTUSB ECO logger</w:t>
        </w:r>
        <w:r w:rsidR="0031675F" w:rsidRPr="0031675F">
          <w:rPr>
            <w:rFonts w:ascii="Calibri" w:eastAsia="Calibri" w:hAnsi="Calibri"/>
            <w:b/>
            <w:noProof/>
            <w:webHidden/>
          </w:rPr>
          <w:tab/>
        </w:r>
        <w:r w:rsidR="0031675F" w:rsidRPr="0031675F">
          <w:rPr>
            <w:rFonts w:ascii="Calibri" w:eastAsia="Calibri" w:hAnsi="Calibri"/>
            <w:b/>
            <w:noProof/>
            <w:webHidden/>
          </w:rPr>
          <w:fldChar w:fldCharType="begin"/>
        </w:r>
        <w:r w:rsidR="0031675F" w:rsidRPr="0031675F">
          <w:rPr>
            <w:rFonts w:ascii="Calibri" w:eastAsia="Calibri" w:hAnsi="Calibri"/>
            <w:b/>
            <w:noProof/>
            <w:webHidden/>
          </w:rPr>
          <w:instrText xml:space="preserve"> PAGEREF _Toc423356997 \h </w:instrText>
        </w:r>
        <w:r w:rsidR="0031675F" w:rsidRPr="0031675F">
          <w:rPr>
            <w:rFonts w:ascii="Calibri" w:eastAsia="Calibri" w:hAnsi="Calibri"/>
            <w:b/>
            <w:noProof/>
            <w:webHidden/>
          </w:rPr>
        </w:r>
        <w:r w:rsidR="0031675F" w:rsidRPr="0031675F">
          <w:rPr>
            <w:rFonts w:ascii="Calibri" w:eastAsia="Calibri" w:hAnsi="Calibri"/>
            <w:b/>
            <w:noProof/>
            <w:webHidden/>
          </w:rPr>
          <w:fldChar w:fldCharType="separate"/>
        </w:r>
        <w:r w:rsidR="00D528AA">
          <w:rPr>
            <w:rFonts w:ascii="Calibri" w:eastAsia="Calibri" w:hAnsi="Calibri"/>
            <w:b/>
            <w:noProof/>
            <w:webHidden/>
          </w:rPr>
          <w:t>89</w:t>
        </w:r>
        <w:r w:rsidR="0031675F" w:rsidRPr="0031675F">
          <w:rPr>
            <w:rFonts w:ascii="Calibri" w:eastAsia="Calibri" w:hAnsi="Calibri"/>
            <w:b/>
            <w:noProof/>
            <w:webHidden/>
          </w:rPr>
          <w:fldChar w:fldCharType="end"/>
        </w:r>
      </w:hyperlink>
    </w:p>
    <w:p w14:paraId="7AA794AF" w14:textId="77777777" w:rsidR="0031675F" w:rsidRPr="0031675F" w:rsidRDefault="00740B55" w:rsidP="0031675F">
      <w:pPr>
        <w:widowControl w:val="0"/>
        <w:tabs>
          <w:tab w:val="right" w:leader="dot" w:pos="9338"/>
        </w:tabs>
        <w:spacing w:before="41" w:after="0" w:line="240" w:lineRule="auto"/>
        <w:ind w:left="7"/>
        <w:rPr>
          <w:rFonts w:ascii="Calibri" w:eastAsia="Calibri" w:hAnsi="Calibri"/>
          <w:b/>
          <w:noProof/>
        </w:rPr>
      </w:pPr>
      <w:hyperlink w:anchor="_Toc423356998" w:history="1">
        <w:r w:rsidR="0031675F" w:rsidRPr="0031675F">
          <w:rPr>
            <w:rFonts w:ascii="Calibri" w:eastAsia="Calibri" w:hAnsi="Calibri"/>
            <w:b/>
            <w:noProof/>
            <w:u w:val="single"/>
          </w:rPr>
          <w:t>Section A12: AIMS Data Management Procedures for the Reef Rescue Marine Monitoring Program</w:t>
        </w:r>
        <w:r w:rsidR="0031675F" w:rsidRPr="0031675F">
          <w:rPr>
            <w:rFonts w:ascii="Calibri" w:eastAsia="Calibri" w:hAnsi="Calibri"/>
            <w:b/>
            <w:noProof/>
            <w:webHidden/>
          </w:rPr>
          <w:tab/>
        </w:r>
        <w:r w:rsidR="0031675F" w:rsidRPr="0031675F">
          <w:rPr>
            <w:rFonts w:ascii="Calibri" w:eastAsia="Calibri" w:hAnsi="Calibri"/>
            <w:b/>
            <w:noProof/>
            <w:webHidden/>
          </w:rPr>
          <w:fldChar w:fldCharType="begin"/>
        </w:r>
        <w:r w:rsidR="0031675F" w:rsidRPr="0031675F">
          <w:rPr>
            <w:rFonts w:ascii="Calibri" w:eastAsia="Calibri" w:hAnsi="Calibri"/>
            <w:b/>
            <w:noProof/>
            <w:webHidden/>
          </w:rPr>
          <w:instrText xml:space="preserve"> PAGEREF _Toc423356998 \h </w:instrText>
        </w:r>
        <w:r w:rsidR="0031675F" w:rsidRPr="0031675F">
          <w:rPr>
            <w:rFonts w:ascii="Calibri" w:eastAsia="Calibri" w:hAnsi="Calibri"/>
            <w:b/>
            <w:noProof/>
            <w:webHidden/>
          </w:rPr>
        </w:r>
        <w:r w:rsidR="0031675F" w:rsidRPr="0031675F">
          <w:rPr>
            <w:rFonts w:ascii="Calibri" w:eastAsia="Calibri" w:hAnsi="Calibri"/>
            <w:b/>
            <w:noProof/>
            <w:webHidden/>
          </w:rPr>
          <w:fldChar w:fldCharType="separate"/>
        </w:r>
        <w:r w:rsidR="00D528AA">
          <w:rPr>
            <w:rFonts w:ascii="Calibri" w:eastAsia="Calibri" w:hAnsi="Calibri"/>
            <w:b/>
            <w:noProof/>
            <w:webHidden/>
          </w:rPr>
          <w:t>174</w:t>
        </w:r>
        <w:r w:rsidR="0031675F" w:rsidRPr="0031675F">
          <w:rPr>
            <w:rFonts w:ascii="Calibri" w:eastAsia="Calibri" w:hAnsi="Calibri"/>
            <w:b/>
            <w:noProof/>
            <w:webHidden/>
          </w:rPr>
          <w:fldChar w:fldCharType="end"/>
        </w:r>
      </w:hyperlink>
    </w:p>
    <w:p w14:paraId="09FFE966" w14:textId="77777777" w:rsidR="0031675F" w:rsidRPr="0031675F" w:rsidRDefault="0031675F" w:rsidP="0031675F">
      <w:pPr>
        <w:widowControl w:val="0"/>
        <w:tabs>
          <w:tab w:val="right" w:leader="dot" w:pos="9338"/>
        </w:tabs>
        <w:spacing w:before="41" w:after="0" w:line="240" w:lineRule="auto"/>
        <w:ind w:left="7"/>
        <w:rPr>
          <w:rFonts w:ascii="Calibri" w:eastAsia="Calibri" w:hAnsi="Calibri"/>
          <w:b/>
          <w:noProof/>
        </w:rPr>
        <w:sectPr w:rsidR="0031675F" w:rsidRPr="0031675F" w:rsidSect="004A5C83">
          <w:type w:val="nextColumn"/>
          <w:pgSz w:w="11910" w:h="16850"/>
          <w:pgMar w:top="720" w:right="1281" w:bottom="697" w:left="1281" w:header="520" w:footer="500" w:gutter="0"/>
          <w:paperSrc w:first="7" w:other="7"/>
          <w:pgNumType w:start="1"/>
          <w:cols w:space="720"/>
        </w:sectPr>
      </w:pPr>
      <w:r w:rsidRPr="0031675F">
        <w:rPr>
          <w:rFonts w:ascii="Calibri" w:eastAsia="Calibri" w:hAnsi="Calibri"/>
          <w:b/>
          <w:noProof/>
        </w:rPr>
        <w:fldChar w:fldCharType="end"/>
      </w:r>
      <w:r w:rsidRPr="0031675F">
        <w:rPr>
          <w:rFonts w:ascii="Calibri" w:eastAsia="Calibri" w:hAnsi="Calibri"/>
          <w:b/>
          <w:noProof/>
        </w:rPr>
        <w:t xml:space="preserve"> </w:t>
      </w:r>
    </w:p>
    <w:p w14:paraId="39A9B038" w14:textId="77777777" w:rsidR="0031675F" w:rsidRPr="0031675F" w:rsidRDefault="0031675F" w:rsidP="0031675F">
      <w:pPr>
        <w:rPr>
          <w:rFonts w:cs="Calibri"/>
          <w:sz w:val="20"/>
          <w:szCs w:val="20"/>
        </w:rPr>
      </w:pPr>
    </w:p>
    <w:p w14:paraId="3DDA16BB" w14:textId="04243170" w:rsidR="0031675F" w:rsidRPr="0031675F" w:rsidRDefault="0031675F" w:rsidP="005A35E3">
      <w:pPr>
        <w:pStyle w:val="Heading2"/>
        <w:numPr>
          <w:ilvl w:val="0"/>
          <w:numId w:val="0"/>
        </w:numPr>
        <w:ind w:left="284"/>
      </w:pPr>
      <w:bookmarkStart w:id="568" w:name="_Toc423356987"/>
      <w:bookmarkStart w:id="569" w:name="_Toc523830545"/>
      <w:bookmarkStart w:id="570" w:name="_Toc523905131"/>
      <w:bookmarkStart w:id="571" w:name="_Toc523905373"/>
      <w:bookmarkStart w:id="572" w:name="_Toc534968684"/>
      <w:bookmarkStart w:id="573" w:name="_Toc12365628"/>
      <w:r w:rsidRPr="00FF3C2F">
        <w:t>Section A1: Operating instructions for the AIMS Sea-Bird CTD</w:t>
      </w:r>
      <w:bookmarkEnd w:id="568"/>
      <w:bookmarkEnd w:id="569"/>
      <w:bookmarkEnd w:id="570"/>
      <w:bookmarkEnd w:id="571"/>
      <w:bookmarkEnd w:id="572"/>
      <w:bookmarkEnd w:id="573"/>
    </w:p>
    <w:p w14:paraId="72A6DB39" w14:textId="77777777" w:rsidR="0031675F" w:rsidRPr="0031675F" w:rsidRDefault="0031675F" w:rsidP="0031675F">
      <w:pPr>
        <w:spacing w:before="3"/>
        <w:rPr>
          <w:rFonts w:cs="Calibri"/>
          <w:sz w:val="17"/>
          <w:szCs w:val="17"/>
        </w:rPr>
      </w:pPr>
    </w:p>
    <w:p w14:paraId="06350B01" w14:textId="77777777" w:rsidR="0031675F" w:rsidRPr="0031675F" w:rsidRDefault="0031675F" w:rsidP="0031675F">
      <w:pPr>
        <w:widowControl w:val="0"/>
        <w:numPr>
          <w:ilvl w:val="1"/>
          <w:numId w:val="143"/>
        </w:numPr>
        <w:tabs>
          <w:tab w:val="left" w:pos="706"/>
        </w:tabs>
        <w:spacing w:before="0" w:after="0" w:line="240" w:lineRule="auto"/>
        <w:jc w:val="both"/>
        <w:rPr>
          <w:rFonts w:eastAsia="Arial" w:cs="Arial"/>
          <w:sz w:val="24"/>
          <w:szCs w:val="24"/>
        </w:rPr>
      </w:pPr>
      <w:bookmarkStart w:id="574" w:name="_TOC_250098"/>
      <w:r w:rsidRPr="0031675F">
        <w:rPr>
          <w:b/>
          <w:spacing w:val="-1"/>
          <w:sz w:val="24"/>
        </w:rPr>
        <w:t>Objective</w:t>
      </w:r>
      <w:bookmarkEnd w:id="574"/>
    </w:p>
    <w:p w14:paraId="3BF3CB0E" w14:textId="77777777" w:rsidR="0031675F" w:rsidRPr="0031675F" w:rsidRDefault="0031675F" w:rsidP="0031675F">
      <w:pPr>
        <w:spacing w:before="11"/>
        <w:rPr>
          <w:rFonts w:eastAsia="Arial" w:cs="Arial"/>
          <w:b/>
          <w:bCs/>
          <w:sz w:val="20"/>
          <w:szCs w:val="20"/>
        </w:rPr>
      </w:pPr>
    </w:p>
    <w:p w14:paraId="12C19994" w14:textId="2C59F030" w:rsidR="0031675F" w:rsidRPr="0031675F" w:rsidRDefault="0031675F" w:rsidP="0031675F">
      <w:pPr>
        <w:spacing w:after="120"/>
        <w:ind w:left="138" w:right="132"/>
        <w:jc w:val="both"/>
      </w:pPr>
      <w:r w:rsidRPr="0031675F">
        <w:rPr>
          <w:spacing w:val="-1"/>
        </w:rPr>
        <w:t>To</w:t>
      </w:r>
      <w:r w:rsidRPr="0031675F">
        <w:rPr>
          <w:spacing w:val="16"/>
        </w:rPr>
        <w:t xml:space="preserve"> </w:t>
      </w:r>
      <w:r w:rsidRPr="0031675F">
        <w:rPr>
          <w:spacing w:val="-1"/>
        </w:rPr>
        <w:t>conduct</w:t>
      </w:r>
      <w:r w:rsidRPr="0031675F">
        <w:rPr>
          <w:spacing w:val="13"/>
        </w:rPr>
        <w:t xml:space="preserve"> </w:t>
      </w:r>
      <w:r w:rsidRPr="0031675F">
        <w:rPr>
          <w:spacing w:val="-1"/>
        </w:rPr>
        <w:t>vertical</w:t>
      </w:r>
      <w:r w:rsidRPr="0031675F">
        <w:rPr>
          <w:spacing w:val="12"/>
        </w:rPr>
        <w:t xml:space="preserve"> </w:t>
      </w:r>
      <w:r w:rsidRPr="0031675F">
        <w:rPr>
          <w:spacing w:val="-1"/>
        </w:rPr>
        <w:t>measurements</w:t>
      </w:r>
      <w:r w:rsidRPr="0031675F">
        <w:rPr>
          <w:spacing w:val="13"/>
        </w:rPr>
        <w:t xml:space="preserve"> </w:t>
      </w:r>
      <w:r w:rsidRPr="0031675F">
        <w:t>of</w:t>
      </w:r>
      <w:r w:rsidRPr="0031675F">
        <w:rPr>
          <w:spacing w:val="14"/>
        </w:rPr>
        <w:t xml:space="preserve"> </w:t>
      </w:r>
      <w:r w:rsidRPr="0031675F">
        <w:rPr>
          <w:spacing w:val="-1"/>
        </w:rPr>
        <w:t>water</w:t>
      </w:r>
      <w:r w:rsidRPr="0031675F">
        <w:rPr>
          <w:spacing w:val="14"/>
        </w:rPr>
        <w:t xml:space="preserve"> </w:t>
      </w:r>
      <w:r w:rsidRPr="0031675F">
        <w:rPr>
          <w:spacing w:val="-1"/>
        </w:rPr>
        <w:t>temperature,</w:t>
      </w:r>
      <w:r w:rsidRPr="0031675F">
        <w:rPr>
          <w:spacing w:val="15"/>
        </w:rPr>
        <w:t xml:space="preserve"> </w:t>
      </w:r>
      <w:r w:rsidRPr="0031675F">
        <w:rPr>
          <w:spacing w:val="-1"/>
        </w:rPr>
        <w:t>salinity</w:t>
      </w:r>
      <w:r w:rsidRPr="0031675F">
        <w:rPr>
          <w:spacing w:val="15"/>
        </w:rPr>
        <w:t xml:space="preserve"> </w:t>
      </w:r>
      <w:r w:rsidRPr="0031675F">
        <w:rPr>
          <w:spacing w:val="-1"/>
        </w:rPr>
        <w:t>and</w:t>
      </w:r>
      <w:r w:rsidRPr="0031675F">
        <w:rPr>
          <w:spacing w:val="14"/>
        </w:rPr>
        <w:t xml:space="preserve"> </w:t>
      </w:r>
      <w:r w:rsidRPr="0031675F">
        <w:rPr>
          <w:spacing w:val="-1"/>
        </w:rPr>
        <w:t>other</w:t>
      </w:r>
      <w:r w:rsidRPr="0031675F">
        <w:rPr>
          <w:spacing w:val="14"/>
        </w:rPr>
        <w:t xml:space="preserve"> </w:t>
      </w:r>
      <w:r w:rsidRPr="0031675F">
        <w:rPr>
          <w:spacing w:val="-1"/>
        </w:rPr>
        <w:t>parameters</w:t>
      </w:r>
      <w:r w:rsidRPr="0031675F">
        <w:rPr>
          <w:spacing w:val="12"/>
        </w:rPr>
        <w:t xml:space="preserve"> </w:t>
      </w:r>
      <w:r w:rsidRPr="0031675F">
        <w:rPr>
          <w:spacing w:val="-1"/>
        </w:rPr>
        <w:t>throughout</w:t>
      </w:r>
      <w:r w:rsidRPr="0031675F">
        <w:rPr>
          <w:spacing w:val="79"/>
        </w:rPr>
        <w:t xml:space="preserve"> </w:t>
      </w:r>
      <w:r w:rsidRPr="0031675F">
        <w:t>the</w:t>
      </w:r>
      <w:r w:rsidRPr="0031675F">
        <w:rPr>
          <w:spacing w:val="6"/>
        </w:rPr>
        <w:t xml:space="preserve"> </w:t>
      </w:r>
      <w:r w:rsidRPr="0031675F">
        <w:t>water</w:t>
      </w:r>
      <w:r w:rsidRPr="0031675F">
        <w:rPr>
          <w:spacing w:val="6"/>
        </w:rPr>
        <w:t xml:space="preserve"> </w:t>
      </w:r>
      <w:r w:rsidRPr="0031675F">
        <w:rPr>
          <w:spacing w:val="-1"/>
        </w:rPr>
        <w:t>column</w:t>
      </w:r>
      <w:r w:rsidRPr="0031675F">
        <w:rPr>
          <w:spacing w:val="5"/>
        </w:rPr>
        <w:t xml:space="preserve"> </w:t>
      </w:r>
      <w:r w:rsidRPr="0031675F">
        <w:rPr>
          <w:spacing w:val="-1"/>
        </w:rPr>
        <w:t>to</w:t>
      </w:r>
      <w:r w:rsidRPr="0031675F">
        <w:rPr>
          <w:spacing w:val="6"/>
        </w:rPr>
        <w:t xml:space="preserve"> </w:t>
      </w:r>
      <w:r w:rsidRPr="0031675F">
        <w:rPr>
          <w:spacing w:val="-1"/>
        </w:rPr>
        <w:t>obtain</w:t>
      </w:r>
      <w:r w:rsidRPr="0031675F">
        <w:rPr>
          <w:spacing w:val="4"/>
        </w:rPr>
        <w:t xml:space="preserve"> </w:t>
      </w:r>
      <w:r w:rsidRPr="0031675F">
        <w:rPr>
          <w:spacing w:val="-1"/>
        </w:rPr>
        <w:t>depth</w:t>
      </w:r>
      <w:r w:rsidRPr="0031675F">
        <w:rPr>
          <w:spacing w:val="7"/>
        </w:rPr>
        <w:t xml:space="preserve"> </w:t>
      </w:r>
      <w:r w:rsidRPr="0031675F">
        <w:rPr>
          <w:spacing w:val="-1"/>
        </w:rPr>
        <w:t>profiles</w:t>
      </w:r>
      <w:r w:rsidRPr="0031675F">
        <w:rPr>
          <w:spacing w:val="6"/>
        </w:rPr>
        <w:t xml:space="preserve"> </w:t>
      </w:r>
      <w:r w:rsidRPr="0031675F">
        <w:t>of</w:t>
      </w:r>
      <w:r w:rsidRPr="0031675F">
        <w:rPr>
          <w:spacing w:val="5"/>
        </w:rPr>
        <w:t xml:space="preserve"> </w:t>
      </w:r>
      <w:r w:rsidRPr="0031675F">
        <w:rPr>
          <w:spacing w:val="-1"/>
        </w:rPr>
        <w:t>water</w:t>
      </w:r>
      <w:r w:rsidRPr="0031675F">
        <w:rPr>
          <w:spacing w:val="6"/>
        </w:rPr>
        <w:t xml:space="preserve"> </w:t>
      </w:r>
      <w:r w:rsidRPr="0031675F">
        <w:rPr>
          <w:spacing w:val="-1"/>
        </w:rPr>
        <w:t>quality</w:t>
      </w:r>
      <w:r w:rsidRPr="0031675F">
        <w:rPr>
          <w:spacing w:val="6"/>
        </w:rPr>
        <w:t xml:space="preserve"> </w:t>
      </w:r>
      <w:r w:rsidRPr="0031675F">
        <w:rPr>
          <w:spacing w:val="-1"/>
        </w:rPr>
        <w:t>characteristics</w:t>
      </w:r>
      <w:r w:rsidRPr="0031675F">
        <w:rPr>
          <w:spacing w:val="3"/>
        </w:rPr>
        <w:t xml:space="preserve"> </w:t>
      </w:r>
      <w:r w:rsidRPr="0031675F">
        <w:t>with</w:t>
      </w:r>
      <w:r w:rsidRPr="0031675F">
        <w:rPr>
          <w:spacing w:val="5"/>
        </w:rPr>
        <w:t xml:space="preserve"> </w:t>
      </w:r>
      <w:r w:rsidRPr="0031675F">
        <w:t>a</w:t>
      </w:r>
      <w:r w:rsidRPr="0031675F">
        <w:rPr>
          <w:spacing w:val="8"/>
        </w:rPr>
        <w:t xml:space="preserve"> </w:t>
      </w:r>
      <w:r w:rsidRPr="0031675F">
        <w:rPr>
          <w:spacing w:val="-1"/>
        </w:rPr>
        <w:t>Conductivity</w:t>
      </w:r>
      <w:r w:rsidRPr="0031675F">
        <w:rPr>
          <w:spacing w:val="79"/>
        </w:rPr>
        <w:t xml:space="preserve"> </w:t>
      </w:r>
      <w:r w:rsidRPr="0031675F">
        <w:rPr>
          <w:spacing w:val="-1"/>
        </w:rPr>
        <w:t>Temperature</w:t>
      </w:r>
      <w:r w:rsidRPr="0031675F">
        <w:rPr>
          <w:spacing w:val="-3"/>
        </w:rPr>
        <w:t xml:space="preserve"> </w:t>
      </w:r>
      <w:r w:rsidRPr="0031675F">
        <w:rPr>
          <w:spacing w:val="-1"/>
        </w:rPr>
        <w:t xml:space="preserve">Depth </w:t>
      </w:r>
      <w:r w:rsidRPr="0031675F">
        <w:rPr>
          <w:spacing w:val="-2"/>
        </w:rPr>
        <w:t>profiler</w:t>
      </w:r>
      <w:r w:rsidRPr="0031675F">
        <w:t xml:space="preserve"> </w:t>
      </w:r>
      <w:r w:rsidRPr="0031675F">
        <w:rPr>
          <w:spacing w:val="-1"/>
        </w:rPr>
        <w:t>(CTD)</w:t>
      </w:r>
      <w:r w:rsidRPr="0031675F">
        <w:t xml:space="preserve"> </w:t>
      </w:r>
      <w:r w:rsidRPr="0031675F">
        <w:rPr>
          <w:spacing w:val="-1"/>
        </w:rPr>
        <w:t xml:space="preserve">(Sea-Bird </w:t>
      </w:r>
      <w:r w:rsidR="009D155C">
        <w:rPr>
          <w:spacing w:val="-1"/>
        </w:rPr>
        <w:t>Electronics</w:t>
      </w:r>
      <w:r w:rsidRPr="0031675F">
        <w:t xml:space="preserve"> </w:t>
      </w:r>
      <w:r w:rsidRPr="0031675F">
        <w:rPr>
          <w:spacing w:val="-1"/>
        </w:rPr>
        <w:t>SBE19</w:t>
      </w:r>
      <w:r w:rsidR="009D155C">
        <w:rPr>
          <w:spacing w:val="-1"/>
        </w:rPr>
        <w:t>plus</w:t>
      </w:r>
      <w:r w:rsidRPr="0031675F">
        <w:rPr>
          <w:spacing w:val="-1"/>
        </w:rPr>
        <w:t>).</w:t>
      </w:r>
    </w:p>
    <w:p w14:paraId="282D6CCD" w14:textId="77777777" w:rsidR="0031675F" w:rsidRPr="0031675F" w:rsidRDefault="0031675F" w:rsidP="0031675F">
      <w:pPr>
        <w:spacing w:before="11"/>
        <w:rPr>
          <w:rFonts w:cs="Calibri"/>
          <w:sz w:val="21"/>
          <w:szCs w:val="21"/>
        </w:rPr>
      </w:pPr>
    </w:p>
    <w:p w14:paraId="71B3CA7D" w14:textId="77777777" w:rsidR="0031675F" w:rsidRPr="0031675F" w:rsidRDefault="0031675F" w:rsidP="0031675F">
      <w:pPr>
        <w:widowControl w:val="0"/>
        <w:numPr>
          <w:ilvl w:val="1"/>
          <w:numId w:val="143"/>
        </w:numPr>
        <w:tabs>
          <w:tab w:val="left" w:pos="706"/>
        </w:tabs>
        <w:spacing w:before="0" w:after="0" w:line="240" w:lineRule="auto"/>
        <w:jc w:val="both"/>
        <w:rPr>
          <w:rFonts w:eastAsia="Arial" w:cs="Arial"/>
          <w:sz w:val="24"/>
          <w:szCs w:val="24"/>
        </w:rPr>
      </w:pPr>
      <w:bookmarkStart w:id="575" w:name="_TOC_250097"/>
      <w:r w:rsidRPr="0031675F">
        <w:rPr>
          <w:b/>
          <w:spacing w:val="-1"/>
          <w:sz w:val="24"/>
        </w:rPr>
        <w:t xml:space="preserve">Materials </w:t>
      </w:r>
      <w:r w:rsidRPr="0031675F">
        <w:rPr>
          <w:b/>
          <w:sz w:val="24"/>
        </w:rPr>
        <w:t xml:space="preserve">and </w:t>
      </w:r>
      <w:r w:rsidRPr="0031675F">
        <w:rPr>
          <w:b/>
          <w:spacing w:val="-1"/>
          <w:sz w:val="24"/>
        </w:rPr>
        <w:t>equipment</w:t>
      </w:r>
      <w:bookmarkEnd w:id="575"/>
    </w:p>
    <w:p w14:paraId="196C0B55" w14:textId="77777777" w:rsidR="0031675F" w:rsidRPr="0031675F" w:rsidRDefault="0031675F" w:rsidP="0031675F">
      <w:pPr>
        <w:spacing w:before="11"/>
        <w:rPr>
          <w:rFonts w:eastAsia="Arial" w:cs="Arial"/>
          <w:b/>
          <w:bCs/>
          <w:sz w:val="20"/>
          <w:szCs w:val="20"/>
        </w:rPr>
      </w:pPr>
    </w:p>
    <w:p w14:paraId="60FB8156" w14:textId="2B9AFBF0" w:rsidR="0031675F" w:rsidRPr="0031675F" w:rsidRDefault="0031675F" w:rsidP="0031675F">
      <w:pPr>
        <w:spacing w:after="120"/>
        <w:ind w:left="138" w:right="130"/>
        <w:jc w:val="both"/>
      </w:pPr>
      <w:r w:rsidRPr="0031675F">
        <w:t>As</w:t>
      </w:r>
      <w:r w:rsidRPr="0031675F">
        <w:rPr>
          <w:spacing w:val="26"/>
        </w:rPr>
        <w:t xml:space="preserve"> </w:t>
      </w:r>
      <w:r w:rsidRPr="0031675F">
        <w:rPr>
          <w:spacing w:val="-1"/>
        </w:rPr>
        <w:t>currentl</w:t>
      </w:r>
      <w:r w:rsidRPr="0031675F">
        <w:rPr>
          <w:rFonts w:cs="Calibri"/>
          <w:spacing w:val="-1"/>
        </w:rPr>
        <w:t>y</w:t>
      </w:r>
      <w:r w:rsidRPr="0031675F">
        <w:rPr>
          <w:rFonts w:cs="Calibri"/>
          <w:spacing w:val="28"/>
        </w:rPr>
        <w:t xml:space="preserve"> </w:t>
      </w:r>
      <w:r w:rsidRPr="0031675F">
        <w:rPr>
          <w:rFonts w:cs="Calibri"/>
          <w:spacing w:val="-1"/>
        </w:rPr>
        <w:t>configured,</w:t>
      </w:r>
      <w:r w:rsidRPr="0031675F">
        <w:rPr>
          <w:rFonts w:cs="Calibri"/>
          <w:spacing w:val="24"/>
        </w:rPr>
        <w:t xml:space="preserve"> </w:t>
      </w:r>
      <w:r w:rsidRPr="0031675F">
        <w:rPr>
          <w:rFonts w:cs="Calibri"/>
        </w:rPr>
        <w:t>the</w:t>
      </w:r>
      <w:r w:rsidRPr="0031675F">
        <w:rPr>
          <w:rFonts w:cs="Calibri"/>
          <w:spacing w:val="28"/>
        </w:rPr>
        <w:t xml:space="preserve"> </w:t>
      </w:r>
      <w:r w:rsidR="00A10F14">
        <w:rPr>
          <w:rFonts w:cs="Calibri"/>
          <w:spacing w:val="28"/>
        </w:rPr>
        <w:t xml:space="preserve">AIMS </w:t>
      </w:r>
      <w:r w:rsidRPr="0031675F">
        <w:rPr>
          <w:rFonts w:cs="Calibri"/>
          <w:spacing w:val="-1"/>
        </w:rPr>
        <w:t>SBE19</w:t>
      </w:r>
      <w:r w:rsidR="00A10F14">
        <w:rPr>
          <w:rFonts w:cs="Calibri"/>
          <w:spacing w:val="-1"/>
        </w:rPr>
        <w:t>plus</w:t>
      </w:r>
      <w:r w:rsidRPr="0031675F">
        <w:rPr>
          <w:rFonts w:cs="Calibri"/>
          <w:spacing w:val="-1"/>
        </w:rPr>
        <w:t>’</w:t>
      </w:r>
      <w:r w:rsidRPr="0031675F">
        <w:rPr>
          <w:rFonts w:cs="Calibri"/>
          <w:spacing w:val="26"/>
        </w:rPr>
        <w:t xml:space="preserve"> </w:t>
      </w:r>
      <w:r w:rsidRPr="0031675F">
        <w:rPr>
          <w:rFonts w:cs="Calibri"/>
        </w:rPr>
        <w:t>are</w:t>
      </w:r>
      <w:r w:rsidRPr="0031675F">
        <w:rPr>
          <w:rFonts w:cs="Calibri"/>
          <w:spacing w:val="27"/>
        </w:rPr>
        <w:t xml:space="preserve"> </w:t>
      </w:r>
      <w:r w:rsidRPr="0031675F">
        <w:rPr>
          <w:rFonts w:cs="Calibri"/>
          <w:spacing w:val="-1"/>
        </w:rPr>
        <w:t>set</w:t>
      </w:r>
      <w:r w:rsidRPr="0031675F">
        <w:rPr>
          <w:rFonts w:cs="Calibri"/>
          <w:spacing w:val="28"/>
        </w:rPr>
        <w:t xml:space="preserve"> </w:t>
      </w:r>
      <w:r w:rsidRPr="0031675F">
        <w:rPr>
          <w:rFonts w:cs="Calibri"/>
          <w:spacing w:val="-1"/>
        </w:rPr>
        <w:t>up</w:t>
      </w:r>
      <w:r w:rsidRPr="0031675F">
        <w:rPr>
          <w:rFonts w:cs="Calibri"/>
          <w:spacing w:val="27"/>
        </w:rPr>
        <w:t xml:space="preserve"> </w:t>
      </w:r>
      <w:r w:rsidRPr="0031675F">
        <w:rPr>
          <w:rFonts w:cs="Calibri"/>
        </w:rPr>
        <w:t>to</w:t>
      </w:r>
      <w:r w:rsidRPr="0031675F">
        <w:rPr>
          <w:rFonts w:cs="Calibri"/>
          <w:spacing w:val="25"/>
        </w:rPr>
        <w:t xml:space="preserve"> </w:t>
      </w:r>
      <w:r w:rsidRPr="0031675F">
        <w:rPr>
          <w:rFonts w:cs="Calibri"/>
          <w:spacing w:val="-1"/>
        </w:rPr>
        <w:t>measure:</w:t>
      </w:r>
      <w:r w:rsidRPr="0031675F">
        <w:rPr>
          <w:rFonts w:cs="Calibri"/>
          <w:spacing w:val="28"/>
        </w:rPr>
        <w:t xml:space="preserve"> </w:t>
      </w:r>
      <w:r w:rsidRPr="0031675F">
        <w:rPr>
          <w:rFonts w:cs="Calibri"/>
          <w:spacing w:val="-1"/>
        </w:rPr>
        <w:t>Pressure</w:t>
      </w:r>
      <w:r w:rsidRPr="0031675F">
        <w:rPr>
          <w:rFonts w:cs="Calibri"/>
          <w:spacing w:val="27"/>
        </w:rPr>
        <w:t xml:space="preserve"> </w:t>
      </w:r>
      <w:r w:rsidRPr="0031675F">
        <w:rPr>
          <w:rFonts w:cs="Calibri"/>
          <w:spacing w:val="-1"/>
        </w:rPr>
        <w:t>(depth),</w:t>
      </w:r>
      <w:r w:rsidRPr="0031675F">
        <w:rPr>
          <w:rFonts w:cs="Calibri"/>
          <w:spacing w:val="26"/>
        </w:rPr>
        <w:t xml:space="preserve"> </w:t>
      </w:r>
      <w:r w:rsidRPr="0031675F">
        <w:rPr>
          <w:rFonts w:cs="Calibri"/>
          <w:spacing w:val="-1"/>
        </w:rPr>
        <w:t>temperature,</w:t>
      </w:r>
      <w:r w:rsidRPr="0031675F">
        <w:rPr>
          <w:rFonts w:cs="Calibri"/>
          <w:spacing w:val="77"/>
        </w:rPr>
        <w:t xml:space="preserve"> </w:t>
      </w:r>
      <w:r w:rsidRPr="0031675F">
        <w:rPr>
          <w:spacing w:val="-1"/>
        </w:rPr>
        <w:t>conductivity</w:t>
      </w:r>
      <w:r w:rsidRPr="0031675F">
        <w:rPr>
          <w:spacing w:val="39"/>
        </w:rPr>
        <w:t xml:space="preserve"> </w:t>
      </w:r>
      <w:r w:rsidRPr="0031675F">
        <w:rPr>
          <w:spacing w:val="-1"/>
        </w:rPr>
        <w:t>(salinity),</w:t>
      </w:r>
      <w:r w:rsidRPr="0031675F">
        <w:rPr>
          <w:spacing w:val="37"/>
        </w:rPr>
        <w:t xml:space="preserve"> </w:t>
      </w:r>
      <w:r w:rsidRPr="0031675F">
        <w:t>PAR</w:t>
      </w:r>
      <w:r w:rsidRPr="0031675F">
        <w:rPr>
          <w:spacing w:val="36"/>
        </w:rPr>
        <w:t xml:space="preserve"> </w:t>
      </w:r>
      <w:r w:rsidRPr="0031675F">
        <w:rPr>
          <w:spacing w:val="-1"/>
        </w:rPr>
        <w:t>(either</w:t>
      </w:r>
      <w:r w:rsidRPr="0031675F">
        <w:rPr>
          <w:spacing w:val="38"/>
        </w:rPr>
        <w:t xml:space="preserve"> </w:t>
      </w:r>
      <w:r w:rsidRPr="0031675F">
        <w:rPr>
          <w:spacing w:val="-1"/>
        </w:rPr>
        <w:t>downwelling</w:t>
      </w:r>
      <w:r w:rsidRPr="0031675F">
        <w:rPr>
          <w:spacing w:val="38"/>
        </w:rPr>
        <w:t xml:space="preserve"> </w:t>
      </w:r>
      <w:r w:rsidRPr="0031675F">
        <w:t>[2</w:t>
      </w:r>
      <w:r w:rsidRPr="0031675F">
        <w:rPr>
          <w:rFonts w:cs="Calibri"/>
        </w:rPr>
        <w:t>π</w:t>
      </w:r>
      <w:r w:rsidRPr="0031675F">
        <w:t>]</w:t>
      </w:r>
      <w:r w:rsidRPr="0031675F">
        <w:rPr>
          <w:spacing w:val="36"/>
        </w:rPr>
        <w:t xml:space="preserve"> </w:t>
      </w:r>
      <w:r w:rsidRPr="0031675F">
        <w:t>or</w:t>
      </w:r>
      <w:r w:rsidRPr="0031675F">
        <w:rPr>
          <w:spacing w:val="38"/>
        </w:rPr>
        <w:t xml:space="preserve"> </w:t>
      </w:r>
      <w:r w:rsidRPr="0031675F">
        <w:rPr>
          <w:spacing w:val="-1"/>
        </w:rPr>
        <w:t>scalar</w:t>
      </w:r>
      <w:r w:rsidRPr="0031675F">
        <w:rPr>
          <w:spacing w:val="37"/>
        </w:rPr>
        <w:t xml:space="preserve"> </w:t>
      </w:r>
      <w:r w:rsidRPr="0031675F">
        <w:t>[4</w:t>
      </w:r>
      <w:r w:rsidRPr="0031675F">
        <w:rPr>
          <w:rFonts w:cs="Calibri"/>
        </w:rPr>
        <w:t>π</w:t>
      </w:r>
      <w:r w:rsidRPr="0031675F">
        <w:t>],</w:t>
      </w:r>
      <w:r w:rsidRPr="0031675F">
        <w:rPr>
          <w:spacing w:val="38"/>
        </w:rPr>
        <w:t xml:space="preserve"> </w:t>
      </w:r>
      <w:r w:rsidRPr="0031675F">
        <w:rPr>
          <w:spacing w:val="-1"/>
        </w:rPr>
        <w:t>depending</w:t>
      </w:r>
      <w:r w:rsidRPr="0031675F">
        <w:rPr>
          <w:spacing w:val="36"/>
        </w:rPr>
        <w:t xml:space="preserve"> </w:t>
      </w:r>
      <w:r w:rsidRPr="0031675F">
        <w:t>on</w:t>
      </w:r>
      <w:r w:rsidRPr="0031675F">
        <w:rPr>
          <w:spacing w:val="37"/>
        </w:rPr>
        <w:t xml:space="preserve"> </w:t>
      </w:r>
      <w:r w:rsidRPr="0031675F">
        <w:t>which</w:t>
      </w:r>
      <w:r w:rsidRPr="0031675F">
        <w:rPr>
          <w:spacing w:val="37"/>
        </w:rPr>
        <w:t xml:space="preserve"> </w:t>
      </w:r>
      <w:r w:rsidRPr="0031675F">
        <w:t>one</w:t>
      </w:r>
      <w:r w:rsidRPr="0031675F">
        <w:rPr>
          <w:spacing w:val="39"/>
        </w:rPr>
        <w:t xml:space="preserve"> </w:t>
      </w:r>
      <w:r w:rsidRPr="0031675F">
        <w:rPr>
          <w:spacing w:val="-1"/>
        </w:rPr>
        <w:t>you</w:t>
      </w:r>
      <w:r w:rsidRPr="0031675F">
        <w:rPr>
          <w:spacing w:val="65"/>
        </w:rPr>
        <w:t xml:space="preserve"> </w:t>
      </w:r>
      <w:r w:rsidRPr="0031675F">
        <w:t>take),</w:t>
      </w:r>
      <w:r w:rsidRPr="0031675F">
        <w:rPr>
          <w:spacing w:val="38"/>
        </w:rPr>
        <w:t xml:space="preserve"> </w:t>
      </w:r>
      <w:r w:rsidRPr="0031675F">
        <w:rPr>
          <w:spacing w:val="-1"/>
        </w:rPr>
        <w:t>chlorophyll</w:t>
      </w:r>
      <w:r w:rsidRPr="0031675F">
        <w:rPr>
          <w:spacing w:val="38"/>
        </w:rPr>
        <w:t xml:space="preserve"> </w:t>
      </w:r>
      <w:r w:rsidRPr="0031675F">
        <w:rPr>
          <w:spacing w:val="-1"/>
        </w:rPr>
        <w:t>fluorescence</w:t>
      </w:r>
      <w:r w:rsidRPr="0031675F">
        <w:rPr>
          <w:spacing w:val="41"/>
        </w:rPr>
        <w:t xml:space="preserve"> </w:t>
      </w:r>
      <w:r w:rsidRPr="0031675F">
        <w:t>(</w:t>
      </w:r>
      <w:r w:rsidRPr="0031675F">
        <w:rPr>
          <w:rFonts w:cs="Calibri"/>
          <w:i/>
        </w:rPr>
        <w:t>in</w:t>
      </w:r>
      <w:r w:rsidRPr="0031675F">
        <w:rPr>
          <w:rFonts w:cs="Calibri"/>
          <w:i/>
          <w:spacing w:val="36"/>
        </w:rPr>
        <w:t xml:space="preserve"> </w:t>
      </w:r>
      <w:r w:rsidRPr="0031675F">
        <w:rPr>
          <w:rFonts w:cs="Calibri"/>
          <w:i/>
          <w:spacing w:val="-1"/>
        </w:rPr>
        <w:t>situ</w:t>
      </w:r>
      <w:r w:rsidRPr="0031675F">
        <w:rPr>
          <w:rFonts w:cs="Calibri"/>
          <w:i/>
          <w:spacing w:val="39"/>
        </w:rPr>
        <w:t xml:space="preserve"> </w:t>
      </w:r>
      <w:r w:rsidRPr="0031675F">
        <w:rPr>
          <w:spacing w:val="-1"/>
        </w:rPr>
        <w:t>fluorometer</w:t>
      </w:r>
      <w:r w:rsidRPr="0031675F">
        <w:rPr>
          <w:spacing w:val="36"/>
        </w:rPr>
        <w:t xml:space="preserve"> </w:t>
      </w:r>
      <w:r w:rsidRPr="0031675F">
        <w:rPr>
          <w:spacing w:val="-1"/>
        </w:rPr>
        <w:t>for</w:t>
      </w:r>
      <w:r w:rsidRPr="0031675F">
        <w:rPr>
          <w:spacing w:val="38"/>
        </w:rPr>
        <w:t xml:space="preserve"> </w:t>
      </w:r>
      <w:r w:rsidRPr="0031675F">
        <w:rPr>
          <w:spacing w:val="-1"/>
        </w:rPr>
        <w:t>chlorophyll</w:t>
      </w:r>
      <w:r w:rsidRPr="0031675F">
        <w:rPr>
          <w:spacing w:val="39"/>
        </w:rPr>
        <w:t xml:space="preserve"> </w:t>
      </w:r>
      <w:r w:rsidRPr="0031675F">
        <w:rPr>
          <w:rFonts w:cs="Calibri"/>
          <w:i/>
          <w:spacing w:val="-1"/>
        </w:rPr>
        <w:t>a</w:t>
      </w:r>
      <w:r w:rsidRPr="0031675F">
        <w:rPr>
          <w:spacing w:val="-1"/>
        </w:rPr>
        <w:t>,</w:t>
      </w:r>
      <w:r w:rsidRPr="0031675F">
        <w:rPr>
          <w:spacing w:val="39"/>
        </w:rPr>
        <w:t xml:space="preserve"> </w:t>
      </w:r>
      <w:r w:rsidRPr="0031675F">
        <w:t>WET</w:t>
      </w:r>
      <w:r w:rsidRPr="0031675F">
        <w:rPr>
          <w:spacing w:val="39"/>
        </w:rPr>
        <w:t xml:space="preserve"> </w:t>
      </w:r>
      <w:r w:rsidRPr="0031675F">
        <w:rPr>
          <w:spacing w:val="-1"/>
        </w:rPr>
        <w:t>Labs),</w:t>
      </w:r>
      <w:r w:rsidRPr="0031675F">
        <w:rPr>
          <w:spacing w:val="38"/>
        </w:rPr>
        <w:t xml:space="preserve"> </w:t>
      </w:r>
      <w:r w:rsidRPr="0031675F">
        <w:rPr>
          <w:spacing w:val="-1"/>
        </w:rPr>
        <w:t>turbidity</w:t>
      </w:r>
      <w:r w:rsidRPr="0031675F">
        <w:rPr>
          <w:spacing w:val="40"/>
        </w:rPr>
        <w:t xml:space="preserve"> </w:t>
      </w:r>
      <w:r w:rsidRPr="0031675F">
        <w:rPr>
          <w:spacing w:val="-1"/>
        </w:rPr>
        <w:t>(beam</w:t>
      </w:r>
      <w:r w:rsidRPr="0031675F">
        <w:rPr>
          <w:spacing w:val="67"/>
        </w:rPr>
        <w:t xml:space="preserve"> </w:t>
      </w:r>
      <w:r w:rsidRPr="0031675F">
        <w:rPr>
          <w:spacing w:val="-1"/>
        </w:rPr>
        <w:t>transmissometer,</w:t>
      </w:r>
      <w:r w:rsidRPr="0031675F">
        <w:t xml:space="preserve"> </w:t>
      </w:r>
      <w:r w:rsidRPr="0031675F">
        <w:rPr>
          <w:spacing w:val="-1"/>
        </w:rPr>
        <w:t>Sea</w:t>
      </w:r>
      <w:r w:rsidRPr="0031675F">
        <w:t xml:space="preserve"> </w:t>
      </w:r>
      <w:r w:rsidRPr="0031675F">
        <w:rPr>
          <w:spacing w:val="-2"/>
        </w:rPr>
        <w:t>Tech,</w:t>
      </w:r>
      <w:r w:rsidRPr="0031675F">
        <w:t xml:space="preserve"> </w:t>
      </w:r>
      <w:r w:rsidRPr="0031675F">
        <w:rPr>
          <w:spacing w:val="-1"/>
        </w:rPr>
        <w:t>25cm,</w:t>
      </w:r>
      <w:r w:rsidRPr="0031675F">
        <w:t xml:space="preserve"> </w:t>
      </w:r>
      <w:r w:rsidRPr="0031675F">
        <w:rPr>
          <w:spacing w:val="-1"/>
        </w:rPr>
        <w:t>660nm)</w:t>
      </w:r>
      <w:r w:rsidRPr="0031675F">
        <w:t xml:space="preserve"> </w:t>
      </w:r>
      <w:r w:rsidRPr="0031675F">
        <w:rPr>
          <w:spacing w:val="-1"/>
        </w:rPr>
        <w:t>and either</w:t>
      </w:r>
      <w:r w:rsidRPr="0031675F">
        <w:rPr>
          <w:spacing w:val="-2"/>
        </w:rPr>
        <w:t xml:space="preserve"> </w:t>
      </w:r>
      <w:r w:rsidRPr="0031675F">
        <w:rPr>
          <w:spacing w:val="-1"/>
        </w:rPr>
        <w:t>oxygen</w:t>
      </w:r>
      <w:r w:rsidRPr="0031675F">
        <w:t xml:space="preserve"> or</w:t>
      </w:r>
      <w:r w:rsidRPr="0031675F">
        <w:rPr>
          <w:spacing w:val="-3"/>
        </w:rPr>
        <w:t xml:space="preserve"> </w:t>
      </w:r>
      <w:r w:rsidRPr="0031675F">
        <w:rPr>
          <w:spacing w:val="-1"/>
        </w:rPr>
        <w:t>optical</w:t>
      </w:r>
      <w:r w:rsidRPr="0031675F">
        <w:t xml:space="preserve"> </w:t>
      </w:r>
      <w:r w:rsidRPr="0031675F">
        <w:rPr>
          <w:spacing w:val="-1"/>
        </w:rPr>
        <w:t>backscatter.</w:t>
      </w:r>
    </w:p>
    <w:p w14:paraId="5A5D7015" w14:textId="1EA552F7" w:rsidR="0031675F" w:rsidRPr="0031675F" w:rsidRDefault="0031675F" w:rsidP="0031675F">
      <w:pPr>
        <w:spacing w:after="120"/>
        <w:ind w:left="138"/>
        <w:jc w:val="both"/>
      </w:pPr>
      <w:r w:rsidRPr="0031675F">
        <w:rPr>
          <w:spacing w:val="-1"/>
        </w:rPr>
        <w:t>The</w:t>
      </w:r>
      <w:r w:rsidRPr="0031675F">
        <w:t xml:space="preserve"> </w:t>
      </w:r>
      <w:r w:rsidRPr="0031675F">
        <w:rPr>
          <w:spacing w:val="-1"/>
        </w:rPr>
        <w:t>Sea-Bird</w:t>
      </w:r>
      <w:r w:rsidRPr="0031675F">
        <w:rPr>
          <w:spacing w:val="-2"/>
        </w:rPr>
        <w:t xml:space="preserve"> </w:t>
      </w:r>
      <w:r w:rsidRPr="0031675F">
        <w:rPr>
          <w:spacing w:val="-1"/>
        </w:rPr>
        <w:t>SBE19</w:t>
      </w:r>
      <w:r w:rsidRPr="0031675F">
        <w:rPr>
          <w:spacing w:val="-2"/>
        </w:rPr>
        <w:t xml:space="preserve"> </w:t>
      </w:r>
      <w:r w:rsidRPr="0031675F">
        <w:rPr>
          <w:spacing w:val="-1"/>
        </w:rPr>
        <w:t>CTD</w:t>
      </w:r>
      <w:r w:rsidRPr="0031675F">
        <w:rPr>
          <w:spacing w:val="1"/>
        </w:rPr>
        <w:t xml:space="preserve"> </w:t>
      </w:r>
      <w:r w:rsidRPr="0031675F">
        <w:rPr>
          <w:spacing w:val="-2"/>
        </w:rPr>
        <w:t>profiler</w:t>
      </w:r>
      <w:r w:rsidRPr="0031675F">
        <w:t xml:space="preserve"> is</w:t>
      </w:r>
      <w:r w:rsidRPr="0031675F">
        <w:rPr>
          <w:spacing w:val="-3"/>
        </w:rPr>
        <w:t xml:space="preserve"> </w:t>
      </w:r>
      <w:r w:rsidRPr="0031675F">
        <w:rPr>
          <w:spacing w:val="-1"/>
        </w:rPr>
        <w:t>operated</w:t>
      </w:r>
      <w:r w:rsidRPr="0031675F">
        <w:t xml:space="preserve"> </w:t>
      </w:r>
      <w:r w:rsidRPr="0031675F">
        <w:rPr>
          <w:spacing w:val="-1"/>
        </w:rPr>
        <w:t>through two</w:t>
      </w:r>
      <w:r w:rsidRPr="0031675F">
        <w:rPr>
          <w:spacing w:val="1"/>
        </w:rPr>
        <w:t xml:space="preserve"> </w:t>
      </w:r>
      <w:r w:rsidRPr="0031675F">
        <w:rPr>
          <w:spacing w:val="-1"/>
        </w:rPr>
        <w:t>pieces</w:t>
      </w:r>
      <w:r w:rsidRPr="0031675F">
        <w:rPr>
          <w:spacing w:val="-3"/>
        </w:rPr>
        <w:t xml:space="preserve"> </w:t>
      </w:r>
      <w:r w:rsidRPr="0031675F">
        <w:t>of</w:t>
      </w:r>
      <w:r w:rsidRPr="0031675F">
        <w:rPr>
          <w:spacing w:val="-3"/>
        </w:rPr>
        <w:t xml:space="preserve"> </w:t>
      </w:r>
      <w:r w:rsidRPr="0031675F">
        <w:rPr>
          <w:spacing w:val="-1"/>
        </w:rPr>
        <w:t>software</w:t>
      </w:r>
      <w:r w:rsidR="00373F05">
        <w:rPr>
          <w:spacing w:val="-1"/>
        </w:rPr>
        <w:t>, which may be downloaded from www.seabird.com</w:t>
      </w:r>
      <w:r w:rsidRPr="0031675F">
        <w:rPr>
          <w:spacing w:val="-1"/>
        </w:rPr>
        <w:t>:</w:t>
      </w:r>
    </w:p>
    <w:p w14:paraId="4DA1B10A" w14:textId="476C931D" w:rsidR="0031675F" w:rsidRPr="0031675F" w:rsidRDefault="0031675F" w:rsidP="0031675F">
      <w:pPr>
        <w:widowControl w:val="0"/>
        <w:numPr>
          <w:ilvl w:val="0"/>
          <w:numId w:val="142"/>
        </w:numPr>
        <w:tabs>
          <w:tab w:val="left" w:pos="423"/>
        </w:tabs>
        <w:spacing w:before="60" w:after="0" w:line="240" w:lineRule="auto"/>
        <w:ind w:right="133"/>
        <w:jc w:val="both"/>
      </w:pPr>
      <w:r w:rsidRPr="0031675F">
        <w:rPr>
          <w:rFonts w:cs="Calibri"/>
          <w:b/>
          <w:bCs/>
          <w:spacing w:val="-1"/>
        </w:rPr>
        <w:t>SeaTerm</w:t>
      </w:r>
      <w:r w:rsidRPr="0031675F">
        <w:rPr>
          <w:rFonts w:cs="Calibri"/>
          <w:b/>
          <w:bCs/>
          <w:spacing w:val="11"/>
        </w:rPr>
        <w:t xml:space="preserve"> </w:t>
      </w:r>
      <w:r w:rsidR="00373F05">
        <w:rPr>
          <w:rFonts w:cs="Calibri"/>
          <w:b/>
          <w:bCs/>
          <w:spacing w:val="11"/>
        </w:rPr>
        <w:t xml:space="preserve">V2 </w:t>
      </w:r>
      <w:r w:rsidRPr="0031675F">
        <w:rPr>
          <w:rFonts w:cs="Calibri"/>
        </w:rPr>
        <w:t>–</w:t>
      </w:r>
      <w:r w:rsidRPr="0031675F">
        <w:rPr>
          <w:rFonts w:cs="Calibri"/>
          <w:spacing w:val="9"/>
        </w:rPr>
        <w:t xml:space="preserve"> </w:t>
      </w:r>
      <w:r w:rsidRPr="0031675F">
        <w:t>a</w:t>
      </w:r>
      <w:r w:rsidRPr="0031675F">
        <w:rPr>
          <w:spacing w:val="10"/>
        </w:rPr>
        <w:t xml:space="preserve"> </w:t>
      </w:r>
      <w:r w:rsidRPr="0031675F">
        <w:rPr>
          <w:spacing w:val="-1"/>
        </w:rPr>
        <w:t>terminal</w:t>
      </w:r>
      <w:r w:rsidRPr="0031675F">
        <w:rPr>
          <w:spacing w:val="10"/>
        </w:rPr>
        <w:t xml:space="preserve"> </w:t>
      </w:r>
      <w:r w:rsidRPr="0031675F">
        <w:rPr>
          <w:spacing w:val="-1"/>
        </w:rPr>
        <w:t>program</w:t>
      </w:r>
      <w:r w:rsidRPr="0031675F">
        <w:rPr>
          <w:spacing w:val="9"/>
        </w:rPr>
        <w:t xml:space="preserve"> </w:t>
      </w:r>
      <w:r w:rsidRPr="0031675F">
        <w:t>which</w:t>
      </w:r>
      <w:r w:rsidRPr="0031675F">
        <w:rPr>
          <w:spacing w:val="9"/>
        </w:rPr>
        <w:t xml:space="preserve"> </w:t>
      </w:r>
      <w:r w:rsidRPr="0031675F">
        <w:rPr>
          <w:spacing w:val="-1"/>
        </w:rPr>
        <w:t>communicates</w:t>
      </w:r>
      <w:r w:rsidRPr="0031675F">
        <w:rPr>
          <w:spacing w:val="11"/>
        </w:rPr>
        <w:t xml:space="preserve"> </w:t>
      </w:r>
      <w:r w:rsidRPr="0031675F">
        <w:rPr>
          <w:spacing w:val="-1"/>
        </w:rPr>
        <w:t>with</w:t>
      </w:r>
      <w:r w:rsidRPr="0031675F">
        <w:rPr>
          <w:spacing w:val="10"/>
        </w:rPr>
        <w:t xml:space="preserve"> </w:t>
      </w:r>
      <w:r w:rsidRPr="0031675F">
        <w:t>the</w:t>
      </w:r>
      <w:r w:rsidRPr="0031675F">
        <w:rPr>
          <w:spacing w:val="8"/>
        </w:rPr>
        <w:t xml:space="preserve"> </w:t>
      </w:r>
      <w:r w:rsidRPr="0031675F">
        <w:rPr>
          <w:spacing w:val="-1"/>
        </w:rPr>
        <w:t>CTD</w:t>
      </w:r>
      <w:r w:rsidRPr="0031675F">
        <w:rPr>
          <w:spacing w:val="9"/>
        </w:rPr>
        <w:t xml:space="preserve"> </w:t>
      </w:r>
      <w:r w:rsidRPr="0031675F">
        <w:rPr>
          <w:spacing w:val="-1"/>
        </w:rPr>
        <w:t>and</w:t>
      </w:r>
      <w:r w:rsidRPr="0031675F">
        <w:rPr>
          <w:spacing w:val="10"/>
        </w:rPr>
        <w:t xml:space="preserve"> </w:t>
      </w:r>
      <w:r w:rsidRPr="0031675F">
        <w:rPr>
          <w:spacing w:val="-1"/>
        </w:rPr>
        <w:t>controls</w:t>
      </w:r>
      <w:r w:rsidRPr="0031675F">
        <w:rPr>
          <w:spacing w:val="7"/>
        </w:rPr>
        <w:t xml:space="preserve"> </w:t>
      </w:r>
      <w:r w:rsidRPr="0031675F">
        <w:t>many</w:t>
      </w:r>
      <w:r w:rsidRPr="0031675F">
        <w:rPr>
          <w:spacing w:val="9"/>
        </w:rPr>
        <w:t xml:space="preserve"> </w:t>
      </w:r>
      <w:r w:rsidRPr="0031675F">
        <w:rPr>
          <w:spacing w:val="-2"/>
        </w:rPr>
        <w:t>CTD</w:t>
      </w:r>
      <w:r w:rsidRPr="0031675F">
        <w:rPr>
          <w:spacing w:val="39"/>
        </w:rPr>
        <w:t xml:space="preserve"> </w:t>
      </w:r>
      <w:r w:rsidRPr="0031675F">
        <w:rPr>
          <w:spacing w:val="-1"/>
        </w:rPr>
        <w:t>functions,</w:t>
      </w:r>
      <w:r w:rsidRPr="0031675F">
        <w:t xml:space="preserve"> and</w:t>
      </w:r>
    </w:p>
    <w:p w14:paraId="4F11BD8D" w14:textId="2B54A105" w:rsidR="0031675F" w:rsidRPr="0031675F" w:rsidRDefault="0031675F" w:rsidP="0031675F">
      <w:pPr>
        <w:widowControl w:val="0"/>
        <w:numPr>
          <w:ilvl w:val="0"/>
          <w:numId w:val="142"/>
        </w:numPr>
        <w:tabs>
          <w:tab w:val="left" w:pos="423"/>
        </w:tabs>
        <w:spacing w:before="60" w:after="0" w:line="240" w:lineRule="auto"/>
        <w:jc w:val="both"/>
      </w:pPr>
      <w:r w:rsidRPr="0031675F">
        <w:rPr>
          <w:rFonts w:cs="Calibri"/>
          <w:b/>
          <w:bCs/>
          <w:spacing w:val="-2"/>
        </w:rPr>
        <w:t>SeaSave</w:t>
      </w:r>
      <w:r w:rsidRPr="0031675F">
        <w:rPr>
          <w:rFonts w:cs="Calibri"/>
          <w:b/>
          <w:bCs/>
        </w:rPr>
        <w:t xml:space="preserve"> </w:t>
      </w:r>
      <w:r w:rsidR="00373F05">
        <w:rPr>
          <w:rFonts w:cs="Calibri"/>
          <w:b/>
          <w:bCs/>
        </w:rPr>
        <w:t xml:space="preserve">V7 </w:t>
      </w:r>
      <w:r w:rsidRPr="0031675F">
        <w:rPr>
          <w:rFonts w:cs="Calibri"/>
        </w:rPr>
        <w:t>–</w:t>
      </w:r>
      <w:r w:rsidRPr="0031675F">
        <w:rPr>
          <w:rFonts w:cs="Calibri"/>
          <w:spacing w:val="1"/>
        </w:rPr>
        <w:t xml:space="preserve"> </w:t>
      </w:r>
      <w:r w:rsidRPr="0031675F">
        <w:t xml:space="preserve">a </w:t>
      </w:r>
      <w:r w:rsidRPr="0031675F">
        <w:rPr>
          <w:spacing w:val="-1"/>
        </w:rPr>
        <w:t xml:space="preserve">plotting program </w:t>
      </w:r>
      <w:r w:rsidRPr="0031675F">
        <w:t>which</w:t>
      </w:r>
      <w:r w:rsidRPr="0031675F">
        <w:rPr>
          <w:spacing w:val="-2"/>
        </w:rPr>
        <w:t xml:space="preserve"> </w:t>
      </w:r>
      <w:r w:rsidRPr="0031675F">
        <w:rPr>
          <w:spacing w:val="-1"/>
        </w:rPr>
        <w:t>displays</w:t>
      </w:r>
      <w:r w:rsidRPr="0031675F">
        <w:rPr>
          <w:spacing w:val="-2"/>
        </w:rPr>
        <w:t xml:space="preserve"> </w:t>
      </w:r>
      <w:r w:rsidRPr="0031675F">
        <w:t xml:space="preserve">the </w:t>
      </w:r>
      <w:r w:rsidRPr="0031675F">
        <w:rPr>
          <w:spacing w:val="-1"/>
        </w:rPr>
        <w:t>data.</w:t>
      </w:r>
    </w:p>
    <w:p w14:paraId="76A199CB" w14:textId="77777777" w:rsidR="0031675F" w:rsidRPr="0031675F" w:rsidRDefault="0031675F" w:rsidP="0031675F">
      <w:pPr>
        <w:spacing w:before="8"/>
        <w:rPr>
          <w:rFonts w:cs="Calibri"/>
          <w:sz w:val="26"/>
          <w:szCs w:val="26"/>
        </w:rPr>
      </w:pPr>
    </w:p>
    <w:p w14:paraId="3095FD34" w14:textId="77777777" w:rsidR="0031675F" w:rsidRPr="0031675F" w:rsidRDefault="0031675F" w:rsidP="0031675F">
      <w:pPr>
        <w:widowControl w:val="0"/>
        <w:numPr>
          <w:ilvl w:val="1"/>
          <w:numId w:val="143"/>
        </w:numPr>
        <w:tabs>
          <w:tab w:val="left" w:pos="706"/>
        </w:tabs>
        <w:spacing w:before="0" w:after="0" w:line="240" w:lineRule="auto"/>
        <w:jc w:val="both"/>
        <w:rPr>
          <w:rFonts w:eastAsia="Arial" w:cs="Arial"/>
          <w:sz w:val="24"/>
          <w:szCs w:val="24"/>
        </w:rPr>
      </w:pPr>
      <w:bookmarkStart w:id="576" w:name="_TOC_250096"/>
      <w:r w:rsidRPr="0031675F">
        <w:rPr>
          <w:b/>
          <w:sz w:val="24"/>
        </w:rPr>
        <w:t xml:space="preserve">Operating </w:t>
      </w:r>
      <w:r w:rsidRPr="0031675F">
        <w:rPr>
          <w:b/>
          <w:spacing w:val="-1"/>
          <w:sz w:val="24"/>
        </w:rPr>
        <w:t>the</w:t>
      </w:r>
      <w:r w:rsidRPr="0031675F">
        <w:rPr>
          <w:b/>
          <w:sz w:val="24"/>
        </w:rPr>
        <w:t xml:space="preserve"> CTD</w:t>
      </w:r>
      <w:bookmarkEnd w:id="576"/>
    </w:p>
    <w:p w14:paraId="051F827F" w14:textId="77777777" w:rsidR="0031675F" w:rsidRPr="0031675F" w:rsidRDefault="0031675F" w:rsidP="0031675F">
      <w:pPr>
        <w:spacing w:before="11"/>
        <w:rPr>
          <w:rFonts w:eastAsia="Arial" w:cs="Arial"/>
          <w:b/>
          <w:bCs/>
          <w:sz w:val="20"/>
          <w:szCs w:val="20"/>
        </w:rPr>
      </w:pPr>
    </w:p>
    <w:p w14:paraId="24DDE402" w14:textId="77777777" w:rsidR="0031675F" w:rsidRPr="0031675F" w:rsidRDefault="0031675F" w:rsidP="0031675F">
      <w:pPr>
        <w:ind w:left="138"/>
        <w:jc w:val="both"/>
        <w:rPr>
          <w:rFonts w:cs="Calibri"/>
        </w:rPr>
      </w:pPr>
      <w:r w:rsidRPr="0031675F">
        <w:rPr>
          <w:b/>
          <w:spacing w:val="-1"/>
        </w:rPr>
        <w:t xml:space="preserve">Before </w:t>
      </w:r>
      <w:r w:rsidRPr="0031675F">
        <w:rPr>
          <w:b/>
        </w:rPr>
        <w:t>you</w:t>
      </w:r>
      <w:r w:rsidRPr="0031675F">
        <w:rPr>
          <w:b/>
          <w:spacing w:val="-3"/>
        </w:rPr>
        <w:t xml:space="preserve"> </w:t>
      </w:r>
      <w:r w:rsidRPr="0031675F">
        <w:rPr>
          <w:b/>
          <w:spacing w:val="-1"/>
        </w:rPr>
        <w:t>start</w:t>
      </w:r>
      <w:r w:rsidRPr="0031675F">
        <w:rPr>
          <w:b/>
        </w:rPr>
        <w:t xml:space="preserve"> a</w:t>
      </w:r>
      <w:r w:rsidRPr="0031675F">
        <w:rPr>
          <w:b/>
          <w:spacing w:val="-3"/>
        </w:rPr>
        <w:t xml:space="preserve"> </w:t>
      </w:r>
      <w:r w:rsidRPr="0031675F">
        <w:rPr>
          <w:b/>
          <w:spacing w:val="-1"/>
        </w:rPr>
        <w:t>cast:</w:t>
      </w:r>
    </w:p>
    <w:p w14:paraId="6F80D819" w14:textId="77777777" w:rsidR="0031675F" w:rsidRPr="0031675F" w:rsidRDefault="0031675F" w:rsidP="0031675F">
      <w:pPr>
        <w:widowControl w:val="0"/>
        <w:numPr>
          <w:ilvl w:val="0"/>
          <w:numId w:val="141"/>
        </w:numPr>
        <w:tabs>
          <w:tab w:val="left" w:pos="423"/>
        </w:tabs>
        <w:spacing w:before="60" w:after="0" w:line="240" w:lineRule="auto"/>
        <w:ind w:right="133"/>
        <w:jc w:val="both"/>
      </w:pPr>
      <w:r w:rsidRPr="0031675F">
        <w:rPr>
          <w:spacing w:val="-1"/>
        </w:rPr>
        <w:t>Connect</w:t>
      </w:r>
      <w:r w:rsidRPr="0031675F">
        <w:rPr>
          <w:spacing w:val="34"/>
        </w:rPr>
        <w:t xml:space="preserve"> </w:t>
      </w:r>
      <w:r w:rsidRPr="0031675F">
        <w:rPr>
          <w:spacing w:val="-1"/>
        </w:rPr>
        <w:t>the</w:t>
      </w:r>
      <w:r w:rsidRPr="0031675F">
        <w:rPr>
          <w:spacing w:val="34"/>
        </w:rPr>
        <w:t xml:space="preserve"> </w:t>
      </w:r>
      <w:r w:rsidRPr="0031675F">
        <w:rPr>
          <w:spacing w:val="-2"/>
        </w:rPr>
        <w:t>CTD</w:t>
      </w:r>
      <w:r w:rsidRPr="0031675F">
        <w:rPr>
          <w:spacing w:val="35"/>
        </w:rPr>
        <w:t xml:space="preserve"> </w:t>
      </w:r>
      <w:r w:rsidRPr="0031675F">
        <w:t>to</w:t>
      </w:r>
      <w:r w:rsidRPr="0031675F">
        <w:rPr>
          <w:spacing w:val="34"/>
        </w:rPr>
        <w:t xml:space="preserve"> </w:t>
      </w:r>
      <w:r w:rsidRPr="0031675F">
        <w:rPr>
          <w:spacing w:val="-1"/>
        </w:rPr>
        <w:t>the</w:t>
      </w:r>
      <w:r w:rsidRPr="0031675F">
        <w:rPr>
          <w:spacing w:val="34"/>
        </w:rPr>
        <w:t xml:space="preserve"> </w:t>
      </w:r>
      <w:r w:rsidRPr="0031675F">
        <w:rPr>
          <w:spacing w:val="-1"/>
        </w:rPr>
        <w:t>computer:</w:t>
      </w:r>
      <w:r w:rsidRPr="0031675F">
        <w:rPr>
          <w:spacing w:val="36"/>
        </w:rPr>
        <w:t xml:space="preserve"> </w:t>
      </w:r>
      <w:r w:rsidRPr="0031675F">
        <w:rPr>
          <w:spacing w:val="-1"/>
        </w:rPr>
        <w:t>The CTD</w:t>
      </w:r>
      <w:r w:rsidRPr="0031675F">
        <w:rPr>
          <w:spacing w:val="34"/>
        </w:rPr>
        <w:t xml:space="preserve"> </w:t>
      </w:r>
      <w:r w:rsidRPr="0031675F">
        <w:rPr>
          <w:spacing w:val="-1"/>
        </w:rPr>
        <w:t>communications</w:t>
      </w:r>
      <w:r w:rsidRPr="0031675F">
        <w:rPr>
          <w:spacing w:val="34"/>
        </w:rPr>
        <w:t xml:space="preserve"> </w:t>
      </w:r>
      <w:r w:rsidRPr="0031675F">
        <w:rPr>
          <w:spacing w:val="-1"/>
        </w:rPr>
        <w:t>cable</w:t>
      </w:r>
      <w:r w:rsidRPr="0031675F">
        <w:rPr>
          <w:spacing w:val="34"/>
        </w:rPr>
        <w:t xml:space="preserve"> </w:t>
      </w:r>
      <w:r w:rsidRPr="0031675F">
        <w:t>has a</w:t>
      </w:r>
      <w:r w:rsidRPr="0031675F">
        <w:rPr>
          <w:spacing w:val="5"/>
        </w:rPr>
        <w:t xml:space="preserve"> </w:t>
      </w:r>
      <w:r w:rsidRPr="0031675F">
        <w:t>DB9</w:t>
      </w:r>
      <w:r w:rsidRPr="0031675F">
        <w:rPr>
          <w:spacing w:val="5"/>
        </w:rPr>
        <w:t xml:space="preserve"> </w:t>
      </w:r>
      <w:r w:rsidRPr="0031675F">
        <w:rPr>
          <w:spacing w:val="-1"/>
        </w:rPr>
        <w:t>serial</w:t>
      </w:r>
      <w:r w:rsidRPr="0031675F">
        <w:rPr>
          <w:spacing w:val="5"/>
        </w:rPr>
        <w:t xml:space="preserve"> </w:t>
      </w:r>
      <w:r w:rsidRPr="0031675F">
        <w:rPr>
          <w:spacing w:val="-1"/>
        </w:rPr>
        <w:t>connector at the computer end.</w:t>
      </w:r>
    </w:p>
    <w:p w14:paraId="3CEF19D7" w14:textId="5EDCD507" w:rsidR="0031675F" w:rsidRPr="0031675F" w:rsidRDefault="00373F05" w:rsidP="0031675F">
      <w:pPr>
        <w:widowControl w:val="0"/>
        <w:numPr>
          <w:ilvl w:val="0"/>
          <w:numId w:val="141"/>
        </w:numPr>
        <w:tabs>
          <w:tab w:val="left" w:pos="423"/>
        </w:tabs>
        <w:spacing w:before="60" w:after="0" w:line="239" w:lineRule="auto"/>
        <w:ind w:right="129"/>
        <w:jc w:val="both"/>
        <w:rPr>
          <w:rFonts w:cs="Calibri"/>
        </w:rPr>
      </w:pPr>
      <w:r>
        <w:rPr>
          <w:rFonts w:cs="Calibri"/>
        </w:rPr>
        <w:t>At the CTD end both</w:t>
      </w:r>
      <w:r>
        <w:rPr>
          <w:rFonts w:cs="Calibri"/>
          <w:spacing w:val="19"/>
        </w:rPr>
        <w:t xml:space="preserve"> </w:t>
      </w:r>
      <w:r>
        <w:rPr>
          <w:rFonts w:cs="Calibri"/>
        </w:rPr>
        <w:t>the</w:t>
      </w:r>
      <w:r>
        <w:rPr>
          <w:rFonts w:cs="Calibri"/>
          <w:spacing w:val="19"/>
        </w:rPr>
        <w:t xml:space="preserve"> </w:t>
      </w:r>
      <w:r>
        <w:rPr>
          <w:rFonts w:cs="Calibri"/>
          <w:spacing w:val="-2"/>
        </w:rPr>
        <w:t>CTD</w:t>
      </w:r>
      <w:r>
        <w:rPr>
          <w:rFonts w:cs="Calibri"/>
          <w:spacing w:val="20"/>
        </w:rPr>
        <w:t xml:space="preserve"> </w:t>
      </w:r>
      <w:r>
        <w:rPr>
          <w:rFonts w:cs="Calibri"/>
          <w:spacing w:val="-1"/>
        </w:rPr>
        <w:t>communications</w:t>
      </w:r>
      <w:r>
        <w:rPr>
          <w:rFonts w:cs="Calibri"/>
          <w:spacing w:val="19"/>
        </w:rPr>
        <w:t xml:space="preserve"> </w:t>
      </w:r>
      <w:r>
        <w:rPr>
          <w:rFonts w:cs="Calibri"/>
          <w:spacing w:val="-1"/>
        </w:rPr>
        <w:t>cable</w:t>
      </w:r>
      <w:r>
        <w:rPr>
          <w:rFonts w:cs="Calibri"/>
          <w:spacing w:val="20"/>
        </w:rPr>
        <w:t xml:space="preserve"> </w:t>
      </w:r>
      <w:r>
        <w:rPr>
          <w:rFonts w:cs="Calibri"/>
          <w:spacing w:val="1"/>
        </w:rPr>
        <w:t>(4</w:t>
      </w:r>
      <w:r>
        <w:rPr>
          <w:rFonts w:cs="Calibri"/>
          <w:spacing w:val="20"/>
        </w:rPr>
        <w:t xml:space="preserve"> </w:t>
      </w:r>
      <w:r>
        <w:rPr>
          <w:rFonts w:cs="Calibri"/>
          <w:spacing w:val="-1"/>
        </w:rPr>
        <w:t>conductor)</w:t>
      </w:r>
      <w:r>
        <w:rPr>
          <w:rFonts w:cs="Calibri"/>
          <w:spacing w:val="19"/>
        </w:rPr>
        <w:t xml:space="preserve"> </w:t>
      </w:r>
      <w:r>
        <w:rPr>
          <w:rFonts w:cs="Calibri"/>
          <w:spacing w:val="-1"/>
        </w:rPr>
        <w:t>and</w:t>
      </w:r>
      <w:r>
        <w:rPr>
          <w:rFonts w:cs="Calibri"/>
          <w:spacing w:val="18"/>
        </w:rPr>
        <w:t xml:space="preserve"> </w:t>
      </w:r>
      <w:r>
        <w:rPr>
          <w:rFonts w:cs="Calibri"/>
        </w:rPr>
        <w:t>the</w:t>
      </w:r>
      <w:r>
        <w:rPr>
          <w:rFonts w:cs="Calibri"/>
          <w:spacing w:val="19"/>
        </w:rPr>
        <w:t xml:space="preserve"> </w:t>
      </w:r>
      <w:r>
        <w:rPr>
          <w:rFonts w:cs="Calibri"/>
          <w:spacing w:val="-1"/>
        </w:rPr>
        <w:t xml:space="preserve">bulkhead connector plug </w:t>
      </w:r>
      <w:r>
        <w:rPr>
          <w:rFonts w:cs="Calibri"/>
        </w:rPr>
        <w:t>on</w:t>
      </w:r>
      <w:r>
        <w:rPr>
          <w:rFonts w:cs="Calibri"/>
          <w:spacing w:val="18"/>
        </w:rPr>
        <w:t xml:space="preserve"> </w:t>
      </w:r>
      <w:r>
        <w:rPr>
          <w:rFonts w:cs="Calibri"/>
        </w:rPr>
        <w:t>the</w:t>
      </w:r>
      <w:r>
        <w:rPr>
          <w:rFonts w:cs="Calibri"/>
          <w:spacing w:val="19"/>
        </w:rPr>
        <w:t xml:space="preserve"> </w:t>
      </w:r>
      <w:r>
        <w:rPr>
          <w:rFonts w:cs="Calibri"/>
          <w:spacing w:val="-2"/>
        </w:rPr>
        <w:t>CTD</w:t>
      </w:r>
      <w:r>
        <w:rPr>
          <w:rFonts w:cs="Calibri"/>
          <w:spacing w:val="20"/>
        </w:rPr>
        <w:t xml:space="preserve"> </w:t>
      </w:r>
      <w:r>
        <w:rPr>
          <w:rFonts w:cs="Calibri"/>
          <w:spacing w:val="-1"/>
        </w:rPr>
        <w:t>have</w:t>
      </w:r>
      <w:r>
        <w:rPr>
          <w:rFonts w:cs="Calibri"/>
          <w:spacing w:val="20"/>
        </w:rPr>
        <w:t xml:space="preserve"> </w:t>
      </w:r>
      <w:r>
        <w:rPr>
          <w:rFonts w:cs="Calibri"/>
          <w:spacing w:val="-1"/>
        </w:rPr>
        <w:t>watertight</w:t>
      </w:r>
      <w:r>
        <w:rPr>
          <w:rFonts w:cs="Calibri"/>
          <w:spacing w:val="67"/>
        </w:rPr>
        <w:t xml:space="preserve"> </w:t>
      </w:r>
      <w:r>
        <w:rPr>
          <w:rFonts w:cs="Calibri"/>
          <w:spacing w:val="-1"/>
        </w:rPr>
        <w:t>rubber</w:t>
      </w:r>
      <w:r>
        <w:rPr>
          <w:rFonts w:cs="Calibri"/>
          <w:spacing w:val="17"/>
        </w:rPr>
        <w:t xml:space="preserve"> </w:t>
      </w:r>
      <w:r>
        <w:rPr>
          <w:rFonts w:cs="Calibri"/>
          <w:spacing w:val="-1"/>
        </w:rPr>
        <w:t>dummy</w:t>
      </w:r>
      <w:r>
        <w:rPr>
          <w:rFonts w:cs="Calibri"/>
          <w:spacing w:val="16"/>
        </w:rPr>
        <w:t xml:space="preserve"> </w:t>
      </w:r>
      <w:r>
        <w:rPr>
          <w:rFonts w:cs="Calibri"/>
          <w:spacing w:val="-1"/>
        </w:rPr>
        <w:t>plugs.</w:t>
      </w:r>
      <w:r>
        <w:rPr>
          <w:rFonts w:cs="Calibri"/>
          <w:spacing w:val="18"/>
        </w:rPr>
        <w:t xml:space="preserve"> </w:t>
      </w:r>
      <w:r>
        <w:rPr>
          <w:rFonts w:cs="Calibri"/>
          <w:spacing w:val="-1"/>
        </w:rPr>
        <w:t>Remove</w:t>
      </w:r>
      <w:r>
        <w:rPr>
          <w:rFonts w:cs="Calibri"/>
          <w:spacing w:val="15"/>
        </w:rPr>
        <w:t xml:space="preserve"> </w:t>
      </w:r>
      <w:r>
        <w:rPr>
          <w:rFonts w:cs="Calibri"/>
          <w:spacing w:val="-1"/>
        </w:rPr>
        <w:t>them</w:t>
      </w:r>
      <w:r>
        <w:rPr>
          <w:rFonts w:cs="Calibri"/>
          <w:spacing w:val="18"/>
        </w:rPr>
        <w:t xml:space="preserve"> </w:t>
      </w:r>
      <w:r>
        <w:rPr>
          <w:rFonts w:cs="Calibri"/>
          <w:spacing w:val="-1"/>
        </w:rPr>
        <w:t>and</w:t>
      </w:r>
      <w:r>
        <w:rPr>
          <w:rFonts w:cs="Calibri"/>
          <w:spacing w:val="16"/>
        </w:rPr>
        <w:t xml:space="preserve"> </w:t>
      </w:r>
      <w:r>
        <w:rPr>
          <w:rFonts w:cs="Calibri"/>
          <w:spacing w:val="-1"/>
        </w:rPr>
        <w:t>plug</w:t>
      </w:r>
      <w:r>
        <w:rPr>
          <w:rFonts w:cs="Calibri"/>
          <w:spacing w:val="16"/>
        </w:rPr>
        <w:t xml:space="preserve"> </w:t>
      </w:r>
      <w:r>
        <w:rPr>
          <w:rFonts w:cs="Calibri"/>
          <w:spacing w:val="-1"/>
        </w:rPr>
        <w:t>the</w:t>
      </w:r>
      <w:r>
        <w:rPr>
          <w:rFonts w:cs="Calibri"/>
          <w:spacing w:val="17"/>
        </w:rPr>
        <w:t xml:space="preserve"> </w:t>
      </w:r>
      <w:r>
        <w:rPr>
          <w:rFonts w:cs="Calibri"/>
          <w:spacing w:val="-1"/>
        </w:rPr>
        <w:t>communications</w:t>
      </w:r>
      <w:r>
        <w:rPr>
          <w:rFonts w:cs="Calibri"/>
          <w:spacing w:val="16"/>
        </w:rPr>
        <w:t xml:space="preserve"> </w:t>
      </w:r>
      <w:r>
        <w:rPr>
          <w:rFonts w:cs="Calibri"/>
          <w:spacing w:val="-1"/>
        </w:rPr>
        <w:t>cable</w:t>
      </w:r>
      <w:r>
        <w:rPr>
          <w:rFonts w:cs="Calibri"/>
          <w:spacing w:val="14"/>
        </w:rPr>
        <w:t xml:space="preserve"> </w:t>
      </w:r>
      <w:r>
        <w:rPr>
          <w:rFonts w:cs="Calibri"/>
          <w:spacing w:val="-1"/>
        </w:rPr>
        <w:t>into</w:t>
      </w:r>
      <w:r>
        <w:rPr>
          <w:rFonts w:cs="Calibri"/>
          <w:spacing w:val="18"/>
        </w:rPr>
        <w:t xml:space="preserve"> </w:t>
      </w:r>
      <w:r>
        <w:rPr>
          <w:rFonts w:cs="Calibri"/>
        </w:rPr>
        <w:t>the</w:t>
      </w:r>
      <w:r>
        <w:rPr>
          <w:rFonts w:cs="Calibri"/>
          <w:spacing w:val="14"/>
        </w:rPr>
        <w:t xml:space="preserve"> </w:t>
      </w:r>
      <w:r>
        <w:rPr>
          <w:rFonts w:cs="Calibri"/>
          <w:spacing w:val="-1"/>
        </w:rPr>
        <w:t>CTD plug.</w:t>
      </w:r>
      <w:r>
        <w:rPr>
          <w:rFonts w:cs="Calibri"/>
          <w:spacing w:val="22"/>
        </w:rPr>
        <w:t xml:space="preserve"> </w:t>
      </w:r>
      <w:r>
        <w:rPr>
          <w:rFonts w:cs="Calibri"/>
          <w:spacing w:val="-1"/>
        </w:rPr>
        <w:t>Check</w:t>
      </w:r>
      <w:r>
        <w:rPr>
          <w:rFonts w:cs="Calibri"/>
          <w:spacing w:val="15"/>
        </w:rPr>
        <w:t xml:space="preserve"> </w:t>
      </w:r>
      <w:r>
        <w:rPr>
          <w:rFonts w:cs="Calibri"/>
        </w:rPr>
        <w:t>to</w:t>
      </w:r>
      <w:r>
        <w:rPr>
          <w:rFonts w:cs="Calibri"/>
          <w:spacing w:val="16"/>
        </w:rPr>
        <w:t xml:space="preserve"> </w:t>
      </w:r>
      <w:r>
        <w:rPr>
          <w:rFonts w:cs="Calibri"/>
          <w:spacing w:val="-1"/>
        </w:rPr>
        <w:t>see</w:t>
      </w:r>
      <w:r>
        <w:rPr>
          <w:rFonts w:cs="Calibri"/>
          <w:spacing w:val="47"/>
        </w:rPr>
        <w:t xml:space="preserve"> </w:t>
      </w:r>
      <w:r>
        <w:rPr>
          <w:rFonts w:cs="Calibri"/>
        </w:rPr>
        <w:t>that</w:t>
      </w:r>
      <w:r>
        <w:rPr>
          <w:rFonts w:cs="Calibri"/>
          <w:spacing w:val="2"/>
        </w:rPr>
        <w:t xml:space="preserve"> </w:t>
      </w:r>
      <w:r>
        <w:rPr>
          <w:rFonts w:cs="Calibri"/>
        </w:rPr>
        <w:t>the</w:t>
      </w:r>
      <w:r>
        <w:rPr>
          <w:rFonts w:cs="Calibri"/>
          <w:spacing w:val="3"/>
        </w:rPr>
        <w:t xml:space="preserve"> </w:t>
      </w:r>
      <w:r>
        <w:rPr>
          <w:rFonts w:cs="Calibri"/>
          <w:spacing w:val="-1"/>
        </w:rPr>
        <w:t>4 connector pins</w:t>
      </w:r>
      <w:r>
        <w:rPr>
          <w:rFonts w:cs="Calibri"/>
          <w:spacing w:val="2"/>
        </w:rPr>
        <w:t xml:space="preserve"> </w:t>
      </w:r>
      <w:r>
        <w:rPr>
          <w:rFonts w:cs="Calibri"/>
          <w:spacing w:val="-2"/>
        </w:rPr>
        <w:t>(CTD</w:t>
      </w:r>
      <w:r>
        <w:rPr>
          <w:rFonts w:cs="Calibri"/>
          <w:spacing w:val="4"/>
        </w:rPr>
        <w:t xml:space="preserve"> </w:t>
      </w:r>
      <w:r>
        <w:rPr>
          <w:rFonts w:cs="Calibri"/>
          <w:spacing w:val="-2"/>
        </w:rPr>
        <w:t>side)</w:t>
      </w:r>
      <w:r>
        <w:rPr>
          <w:rFonts w:cs="Calibri"/>
        </w:rPr>
        <w:t xml:space="preserve"> and</w:t>
      </w:r>
      <w:r>
        <w:rPr>
          <w:rFonts w:cs="Calibri"/>
          <w:spacing w:val="1"/>
        </w:rPr>
        <w:t xml:space="preserve"> </w:t>
      </w:r>
      <w:r>
        <w:rPr>
          <w:rFonts w:cs="Calibri"/>
        </w:rPr>
        <w:t>the</w:t>
      </w:r>
      <w:r>
        <w:rPr>
          <w:rFonts w:cs="Calibri"/>
          <w:spacing w:val="3"/>
        </w:rPr>
        <w:t xml:space="preserve"> corresponding </w:t>
      </w:r>
      <w:r>
        <w:rPr>
          <w:rFonts w:cs="Calibri"/>
          <w:spacing w:val="-1"/>
        </w:rPr>
        <w:t>socket</w:t>
      </w:r>
      <w:r>
        <w:rPr>
          <w:rFonts w:cs="Calibri"/>
          <w:spacing w:val="3"/>
        </w:rPr>
        <w:t xml:space="preserve"> </w:t>
      </w:r>
      <w:r>
        <w:rPr>
          <w:rFonts w:cs="Calibri"/>
          <w:spacing w:val="-1"/>
        </w:rPr>
        <w:t>holes</w:t>
      </w:r>
      <w:r>
        <w:rPr>
          <w:rFonts w:cs="Calibri"/>
          <w:spacing w:val="2"/>
        </w:rPr>
        <w:t xml:space="preserve"> </w:t>
      </w:r>
      <w:r>
        <w:rPr>
          <w:rFonts w:cs="Calibri"/>
          <w:spacing w:val="-2"/>
        </w:rPr>
        <w:t>(cable</w:t>
      </w:r>
      <w:r>
        <w:rPr>
          <w:rFonts w:cs="Calibri"/>
        </w:rPr>
        <w:t xml:space="preserve"> </w:t>
      </w:r>
      <w:r>
        <w:rPr>
          <w:rFonts w:cs="Calibri"/>
          <w:spacing w:val="-1"/>
        </w:rPr>
        <w:t>side)</w:t>
      </w:r>
      <w:r>
        <w:rPr>
          <w:rFonts w:cs="Calibri"/>
          <w:spacing w:val="3"/>
        </w:rPr>
        <w:t xml:space="preserve"> </w:t>
      </w:r>
      <w:r>
        <w:rPr>
          <w:rFonts w:cs="Calibri"/>
        </w:rPr>
        <w:t>are</w:t>
      </w:r>
      <w:r>
        <w:rPr>
          <w:rFonts w:cs="Calibri"/>
          <w:spacing w:val="3"/>
        </w:rPr>
        <w:t xml:space="preserve"> </w:t>
      </w:r>
      <w:r>
        <w:rPr>
          <w:rFonts w:cs="Calibri"/>
          <w:spacing w:val="-1"/>
        </w:rPr>
        <w:t>clean.</w:t>
      </w:r>
      <w:r>
        <w:rPr>
          <w:rFonts w:cs="Calibri"/>
          <w:spacing w:val="6"/>
        </w:rPr>
        <w:t xml:space="preserve"> </w:t>
      </w:r>
      <w:r>
        <w:rPr>
          <w:rFonts w:cs="Calibri"/>
        </w:rPr>
        <w:t>When</w:t>
      </w:r>
      <w:r>
        <w:rPr>
          <w:rFonts w:cs="Calibri"/>
          <w:spacing w:val="1"/>
        </w:rPr>
        <w:t xml:space="preserve"> </w:t>
      </w:r>
      <w:r>
        <w:rPr>
          <w:rFonts w:cs="Calibri"/>
          <w:spacing w:val="-1"/>
        </w:rPr>
        <w:t>making</w:t>
      </w:r>
      <w:r>
        <w:rPr>
          <w:rFonts w:cs="Calibri"/>
          <w:spacing w:val="2"/>
        </w:rPr>
        <w:t xml:space="preserve"> </w:t>
      </w:r>
      <w:r>
        <w:rPr>
          <w:rFonts w:cs="Calibri"/>
        </w:rPr>
        <w:t>a</w:t>
      </w:r>
      <w:r>
        <w:rPr>
          <w:rFonts w:cs="Calibri"/>
          <w:spacing w:val="67"/>
        </w:rPr>
        <w:t xml:space="preserve"> </w:t>
      </w:r>
      <w:r>
        <w:rPr>
          <w:rFonts w:cs="Calibri"/>
          <w:spacing w:val="-1"/>
        </w:rPr>
        <w:t>connection,</w:t>
      </w:r>
      <w:r>
        <w:rPr>
          <w:rFonts w:cs="Calibri"/>
          <w:spacing w:val="10"/>
        </w:rPr>
        <w:t xml:space="preserve"> </w:t>
      </w:r>
      <w:r>
        <w:rPr>
          <w:rFonts w:cs="Calibri"/>
          <w:b/>
          <w:bCs/>
          <w:spacing w:val="-1"/>
        </w:rPr>
        <w:t>make</w:t>
      </w:r>
      <w:r>
        <w:rPr>
          <w:rFonts w:cs="Calibri"/>
          <w:b/>
          <w:bCs/>
          <w:spacing w:val="9"/>
        </w:rPr>
        <w:t xml:space="preserve"> </w:t>
      </w:r>
      <w:r>
        <w:rPr>
          <w:rFonts w:cs="Calibri"/>
          <w:b/>
          <w:bCs/>
          <w:spacing w:val="-1"/>
        </w:rPr>
        <w:t>sure</w:t>
      </w:r>
      <w:r>
        <w:rPr>
          <w:rFonts w:cs="Calibri"/>
          <w:b/>
          <w:bCs/>
          <w:spacing w:val="9"/>
        </w:rPr>
        <w:t xml:space="preserve"> </w:t>
      </w:r>
      <w:r>
        <w:rPr>
          <w:rFonts w:cs="Calibri"/>
          <w:b/>
          <w:bCs/>
          <w:spacing w:val="-1"/>
        </w:rPr>
        <w:t>the</w:t>
      </w:r>
      <w:r>
        <w:rPr>
          <w:rFonts w:cs="Calibri"/>
          <w:b/>
          <w:bCs/>
          <w:spacing w:val="10"/>
        </w:rPr>
        <w:t xml:space="preserve"> </w:t>
      </w:r>
      <w:r>
        <w:rPr>
          <w:rFonts w:cs="Calibri"/>
          <w:b/>
          <w:bCs/>
          <w:spacing w:val="-1"/>
        </w:rPr>
        <w:t>thickest pin</w:t>
      </w:r>
      <w:r>
        <w:rPr>
          <w:rFonts w:cs="Calibri"/>
          <w:b/>
          <w:bCs/>
          <w:spacing w:val="10"/>
        </w:rPr>
        <w:t xml:space="preserve"> </w:t>
      </w:r>
      <w:r>
        <w:rPr>
          <w:rFonts w:cs="Calibri"/>
          <w:b/>
          <w:bCs/>
          <w:spacing w:val="-1"/>
        </w:rPr>
        <w:t>of</w:t>
      </w:r>
      <w:r>
        <w:rPr>
          <w:rFonts w:cs="Calibri"/>
          <w:b/>
          <w:bCs/>
          <w:spacing w:val="9"/>
        </w:rPr>
        <w:t xml:space="preserve"> </w:t>
      </w:r>
      <w:r>
        <w:rPr>
          <w:rFonts w:cs="Calibri"/>
          <w:b/>
          <w:bCs/>
          <w:spacing w:val="-1"/>
        </w:rPr>
        <w:t>the</w:t>
      </w:r>
      <w:r>
        <w:rPr>
          <w:rFonts w:cs="Calibri"/>
          <w:b/>
          <w:bCs/>
          <w:spacing w:val="9"/>
        </w:rPr>
        <w:t xml:space="preserve"> </w:t>
      </w:r>
      <w:r>
        <w:rPr>
          <w:rFonts w:cs="Calibri"/>
          <w:b/>
          <w:bCs/>
        </w:rPr>
        <w:t>CTD</w:t>
      </w:r>
      <w:r>
        <w:rPr>
          <w:rFonts w:cs="Calibri"/>
          <w:b/>
          <w:bCs/>
          <w:spacing w:val="10"/>
        </w:rPr>
        <w:t xml:space="preserve"> </w:t>
      </w:r>
      <w:r>
        <w:rPr>
          <w:rFonts w:cs="Calibri"/>
          <w:b/>
          <w:bCs/>
          <w:spacing w:val="-1"/>
        </w:rPr>
        <w:t>plug</w:t>
      </w:r>
      <w:r>
        <w:rPr>
          <w:rFonts w:cs="Calibri"/>
          <w:b/>
          <w:bCs/>
          <w:spacing w:val="10"/>
        </w:rPr>
        <w:t xml:space="preserve"> </w:t>
      </w:r>
      <w:r>
        <w:rPr>
          <w:rFonts w:cs="Calibri"/>
          <w:b/>
          <w:bCs/>
          <w:spacing w:val="-1"/>
        </w:rPr>
        <w:t>aligns</w:t>
      </w:r>
      <w:r>
        <w:rPr>
          <w:rFonts w:cs="Calibri"/>
          <w:b/>
          <w:bCs/>
          <w:spacing w:val="9"/>
        </w:rPr>
        <w:t xml:space="preserve"> </w:t>
      </w:r>
      <w:r>
        <w:rPr>
          <w:rFonts w:cs="Calibri"/>
          <w:b/>
          <w:bCs/>
        </w:rPr>
        <w:t>with</w:t>
      </w:r>
      <w:r>
        <w:rPr>
          <w:rFonts w:cs="Calibri"/>
          <w:b/>
          <w:bCs/>
          <w:spacing w:val="9"/>
        </w:rPr>
        <w:t xml:space="preserve"> </w:t>
      </w:r>
      <w:r>
        <w:rPr>
          <w:rFonts w:cs="Calibri"/>
          <w:b/>
          <w:bCs/>
          <w:spacing w:val="-1"/>
        </w:rPr>
        <w:t>the</w:t>
      </w:r>
      <w:r>
        <w:rPr>
          <w:rFonts w:cs="Calibri"/>
          <w:b/>
          <w:bCs/>
          <w:spacing w:val="13"/>
        </w:rPr>
        <w:t xml:space="preserve"> </w:t>
      </w:r>
      <w:r>
        <w:rPr>
          <w:rFonts w:cs="Calibri"/>
          <w:b/>
          <w:bCs/>
          <w:spacing w:val="-1"/>
        </w:rPr>
        <w:t>larger</w:t>
      </w:r>
      <w:r>
        <w:rPr>
          <w:rFonts w:cs="Calibri"/>
          <w:b/>
          <w:bCs/>
          <w:spacing w:val="8"/>
        </w:rPr>
        <w:t xml:space="preserve"> </w:t>
      </w:r>
      <w:r>
        <w:rPr>
          <w:rFonts w:cs="Calibri"/>
          <w:b/>
          <w:bCs/>
          <w:spacing w:val="-1"/>
        </w:rPr>
        <w:t>hole</w:t>
      </w:r>
      <w:r>
        <w:rPr>
          <w:rFonts w:cs="Calibri"/>
          <w:b/>
          <w:bCs/>
          <w:spacing w:val="9"/>
        </w:rPr>
        <w:t xml:space="preserve"> </w:t>
      </w:r>
      <w:r>
        <w:rPr>
          <w:rFonts w:cs="Calibri"/>
          <w:b/>
          <w:bCs/>
          <w:spacing w:val="-1"/>
        </w:rPr>
        <w:t>on</w:t>
      </w:r>
      <w:r>
        <w:rPr>
          <w:rFonts w:cs="Calibri"/>
          <w:b/>
          <w:bCs/>
          <w:spacing w:val="9"/>
        </w:rPr>
        <w:t xml:space="preserve"> </w:t>
      </w:r>
      <w:r>
        <w:rPr>
          <w:rFonts w:cs="Calibri"/>
          <w:b/>
          <w:bCs/>
        </w:rPr>
        <w:t>the</w:t>
      </w:r>
      <w:r>
        <w:rPr>
          <w:rFonts w:cs="Calibri"/>
          <w:b/>
          <w:bCs/>
          <w:spacing w:val="9"/>
        </w:rPr>
        <w:t xml:space="preserve"> </w:t>
      </w:r>
      <w:r>
        <w:rPr>
          <w:rFonts w:cs="Calibri"/>
          <w:b/>
          <w:bCs/>
        </w:rPr>
        <w:t>CTD</w:t>
      </w:r>
      <w:r>
        <w:rPr>
          <w:rFonts w:cs="Calibri"/>
          <w:b/>
          <w:bCs/>
          <w:spacing w:val="73"/>
        </w:rPr>
        <w:t xml:space="preserve"> </w:t>
      </w:r>
      <w:r>
        <w:rPr>
          <w:rFonts w:cs="Calibri"/>
          <w:b/>
          <w:bCs/>
          <w:spacing w:val="-1"/>
        </w:rPr>
        <w:t>comms</w:t>
      </w:r>
      <w:r>
        <w:rPr>
          <w:rFonts w:cs="Calibri"/>
          <w:b/>
          <w:bCs/>
          <w:spacing w:val="13"/>
        </w:rPr>
        <w:t xml:space="preserve"> </w:t>
      </w:r>
      <w:r>
        <w:rPr>
          <w:rFonts w:cs="Calibri"/>
          <w:b/>
          <w:bCs/>
          <w:spacing w:val="-1"/>
        </w:rPr>
        <w:t>cable</w:t>
      </w:r>
      <w:r>
        <w:rPr>
          <w:rFonts w:cs="Calibri"/>
          <w:b/>
          <w:bCs/>
          <w:spacing w:val="9"/>
        </w:rPr>
        <w:t xml:space="preserve"> </w:t>
      </w:r>
      <w:r>
        <w:rPr>
          <w:rFonts w:cs="Calibri"/>
          <w:b/>
          <w:bCs/>
          <w:spacing w:val="-1"/>
        </w:rPr>
        <w:t>socket</w:t>
      </w:r>
      <w:r>
        <w:rPr>
          <w:rFonts w:cs="Calibri"/>
          <w:spacing w:val="-1"/>
        </w:rPr>
        <w:t>.</w:t>
      </w:r>
      <w:r>
        <w:rPr>
          <w:rFonts w:cs="Calibri"/>
          <w:spacing w:val="11"/>
        </w:rPr>
        <w:t xml:space="preserve"> </w:t>
      </w:r>
      <w:r>
        <w:rPr>
          <w:rFonts w:cs="Calibri"/>
          <w:spacing w:val="-1"/>
        </w:rPr>
        <w:t>The</w:t>
      </w:r>
      <w:r>
        <w:rPr>
          <w:rFonts w:cs="Calibri"/>
          <w:spacing w:val="10"/>
        </w:rPr>
        <w:t xml:space="preserve"> </w:t>
      </w:r>
      <w:r>
        <w:rPr>
          <w:rFonts w:cs="Calibri"/>
          <w:spacing w:val="-1"/>
        </w:rPr>
        <w:t>bump</w:t>
      </w:r>
      <w:r>
        <w:rPr>
          <w:rFonts w:cs="Calibri"/>
          <w:spacing w:val="12"/>
        </w:rPr>
        <w:t xml:space="preserve"> </w:t>
      </w:r>
      <w:r>
        <w:rPr>
          <w:rFonts w:cs="Calibri"/>
        </w:rPr>
        <w:t>on</w:t>
      </w:r>
      <w:r>
        <w:rPr>
          <w:rFonts w:cs="Calibri"/>
          <w:spacing w:val="11"/>
        </w:rPr>
        <w:t xml:space="preserve"> </w:t>
      </w:r>
      <w:r>
        <w:rPr>
          <w:rFonts w:cs="Calibri"/>
          <w:spacing w:val="-1"/>
        </w:rPr>
        <w:t>the</w:t>
      </w:r>
      <w:r>
        <w:rPr>
          <w:rFonts w:cs="Calibri"/>
          <w:spacing w:val="13"/>
        </w:rPr>
        <w:t xml:space="preserve"> </w:t>
      </w:r>
      <w:r>
        <w:rPr>
          <w:rFonts w:cs="Calibri"/>
          <w:spacing w:val="-1"/>
        </w:rPr>
        <w:t>outside</w:t>
      </w:r>
      <w:r>
        <w:rPr>
          <w:rFonts w:cs="Calibri"/>
          <w:spacing w:val="9"/>
        </w:rPr>
        <w:t xml:space="preserve"> </w:t>
      </w:r>
      <w:r>
        <w:rPr>
          <w:rFonts w:cs="Calibri"/>
        </w:rPr>
        <w:t>of</w:t>
      </w:r>
      <w:r>
        <w:rPr>
          <w:rFonts w:cs="Calibri"/>
          <w:spacing w:val="12"/>
        </w:rPr>
        <w:t xml:space="preserve"> </w:t>
      </w:r>
      <w:r>
        <w:rPr>
          <w:rFonts w:cs="Calibri"/>
          <w:spacing w:val="-1"/>
        </w:rPr>
        <w:t>the</w:t>
      </w:r>
      <w:r>
        <w:rPr>
          <w:rFonts w:cs="Calibri"/>
          <w:spacing w:val="13"/>
        </w:rPr>
        <w:t xml:space="preserve"> </w:t>
      </w:r>
      <w:r>
        <w:rPr>
          <w:rFonts w:cs="Calibri"/>
          <w:spacing w:val="-1"/>
        </w:rPr>
        <w:t>comms</w:t>
      </w:r>
      <w:r>
        <w:rPr>
          <w:rFonts w:cs="Calibri"/>
          <w:spacing w:val="12"/>
        </w:rPr>
        <w:t xml:space="preserve"> </w:t>
      </w:r>
      <w:r>
        <w:rPr>
          <w:rFonts w:cs="Calibri"/>
          <w:spacing w:val="-1"/>
        </w:rPr>
        <w:t>cable</w:t>
      </w:r>
      <w:r>
        <w:rPr>
          <w:rFonts w:cs="Calibri"/>
          <w:spacing w:val="13"/>
        </w:rPr>
        <w:t xml:space="preserve"> </w:t>
      </w:r>
      <w:r>
        <w:rPr>
          <w:rFonts w:cs="Calibri"/>
          <w:spacing w:val="-1"/>
        </w:rPr>
        <w:t>socket</w:t>
      </w:r>
      <w:r>
        <w:rPr>
          <w:rFonts w:cs="Calibri"/>
          <w:spacing w:val="13"/>
        </w:rPr>
        <w:t xml:space="preserve"> </w:t>
      </w:r>
      <w:r>
        <w:rPr>
          <w:rFonts w:cs="Calibri"/>
          <w:spacing w:val="-1"/>
        </w:rPr>
        <w:t>identifies</w:t>
      </w:r>
      <w:r>
        <w:rPr>
          <w:rFonts w:cs="Calibri"/>
          <w:spacing w:val="13"/>
        </w:rPr>
        <w:t xml:space="preserve"> </w:t>
      </w:r>
      <w:r>
        <w:rPr>
          <w:rFonts w:cs="Calibri"/>
        </w:rPr>
        <w:t>the</w:t>
      </w:r>
      <w:r>
        <w:rPr>
          <w:rFonts w:cs="Calibri"/>
          <w:spacing w:val="12"/>
        </w:rPr>
        <w:t xml:space="preserve"> </w:t>
      </w:r>
      <w:r>
        <w:rPr>
          <w:rFonts w:cs="Calibri"/>
        </w:rPr>
        <w:t>location</w:t>
      </w:r>
      <w:r>
        <w:rPr>
          <w:rFonts w:cs="Calibri"/>
          <w:spacing w:val="55"/>
        </w:rPr>
        <w:t xml:space="preserve"> </w:t>
      </w:r>
      <w:r>
        <w:rPr>
          <w:rFonts w:cs="Calibri"/>
        </w:rPr>
        <w:t>of</w:t>
      </w:r>
      <w:r>
        <w:rPr>
          <w:rFonts w:cs="Calibri"/>
          <w:spacing w:val="30"/>
        </w:rPr>
        <w:t xml:space="preserve"> </w:t>
      </w:r>
      <w:r>
        <w:rPr>
          <w:rFonts w:cs="Calibri"/>
        </w:rPr>
        <w:t>the</w:t>
      </w:r>
      <w:r>
        <w:rPr>
          <w:rFonts w:cs="Calibri"/>
          <w:spacing w:val="32"/>
        </w:rPr>
        <w:t xml:space="preserve"> </w:t>
      </w:r>
      <w:r>
        <w:rPr>
          <w:rFonts w:cs="Calibri"/>
          <w:spacing w:val="-2"/>
        </w:rPr>
        <w:t>larger</w:t>
      </w:r>
      <w:r>
        <w:rPr>
          <w:rFonts w:cs="Calibri"/>
          <w:spacing w:val="32"/>
        </w:rPr>
        <w:t xml:space="preserve"> </w:t>
      </w:r>
      <w:r>
        <w:rPr>
          <w:rFonts w:cs="Calibri"/>
          <w:spacing w:val="-1"/>
        </w:rPr>
        <w:t>socket</w:t>
      </w:r>
      <w:r>
        <w:rPr>
          <w:rFonts w:cs="Calibri"/>
          <w:spacing w:val="31"/>
        </w:rPr>
        <w:t xml:space="preserve"> </w:t>
      </w:r>
      <w:r>
        <w:rPr>
          <w:rFonts w:cs="Calibri"/>
        </w:rPr>
        <w:t>hole.</w:t>
      </w:r>
      <w:r>
        <w:rPr>
          <w:rFonts w:cs="Calibri"/>
          <w:spacing w:val="31"/>
        </w:rPr>
        <w:t xml:space="preserve"> </w:t>
      </w:r>
      <w:r>
        <w:rPr>
          <w:rFonts w:cs="Calibri"/>
          <w:spacing w:val="-1"/>
        </w:rPr>
        <w:t>When</w:t>
      </w:r>
      <w:r>
        <w:rPr>
          <w:rFonts w:cs="Calibri"/>
          <w:spacing w:val="31"/>
        </w:rPr>
        <w:t xml:space="preserve"> </w:t>
      </w:r>
      <w:r>
        <w:rPr>
          <w:rFonts w:cs="Calibri"/>
        </w:rPr>
        <w:t>you</w:t>
      </w:r>
      <w:r>
        <w:rPr>
          <w:rFonts w:cs="Calibri"/>
          <w:spacing w:val="31"/>
        </w:rPr>
        <w:t xml:space="preserve"> </w:t>
      </w:r>
      <w:r>
        <w:rPr>
          <w:rFonts w:cs="Calibri"/>
          <w:spacing w:val="-1"/>
        </w:rPr>
        <w:t>plug</w:t>
      </w:r>
      <w:r>
        <w:rPr>
          <w:rFonts w:cs="Calibri"/>
          <w:spacing w:val="30"/>
        </w:rPr>
        <w:t xml:space="preserve"> </w:t>
      </w:r>
      <w:r>
        <w:rPr>
          <w:rFonts w:cs="Calibri"/>
        </w:rPr>
        <w:t>the</w:t>
      </w:r>
      <w:r>
        <w:rPr>
          <w:rFonts w:cs="Calibri"/>
          <w:spacing w:val="32"/>
        </w:rPr>
        <w:t xml:space="preserve"> </w:t>
      </w:r>
      <w:r>
        <w:rPr>
          <w:rFonts w:cs="Calibri"/>
          <w:spacing w:val="-1"/>
        </w:rPr>
        <w:t>cables</w:t>
      </w:r>
      <w:r>
        <w:rPr>
          <w:rFonts w:cs="Calibri"/>
          <w:spacing w:val="32"/>
        </w:rPr>
        <w:t xml:space="preserve"> </w:t>
      </w:r>
      <w:r>
        <w:rPr>
          <w:rFonts w:cs="Calibri"/>
          <w:spacing w:val="-1"/>
        </w:rPr>
        <w:t>together,</w:t>
      </w:r>
      <w:r>
        <w:rPr>
          <w:rFonts w:cs="Calibri"/>
          <w:spacing w:val="33"/>
        </w:rPr>
        <w:t xml:space="preserve"> </w:t>
      </w:r>
      <w:r>
        <w:rPr>
          <w:rFonts w:cs="Calibri"/>
          <w:b/>
          <w:bCs/>
          <w:spacing w:val="-1"/>
        </w:rPr>
        <w:t>don’t</w:t>
      </w:r>
      <w:r>
        <w:rPr>
          <w:rFonts w:cs="Calibri"/>
          <w:b/>
          <w:bCs/>
          <w:spacing w:val="32"/>
        </w:rPr>
        <w:t xml:space="preserve"> </w:t>
      </w:r>
      <w:r>
        <w:rPr>
          <w:rFonts w:cs="Calibri"/>
          <w:b/>
          <w:bCs/>
          <w:spacing w:val="-1"/>
        </w:rPr>
        <w:t>force or twist</w:t>
      </w:r>
      <w:r>
        <w:rPr>
          <w:rFonts w:cs="Calibri"/>
          <w:b/>
          <w:bCs/>
          <w:spacing w:val="31"/>
        </w:rPr>
        <w:t xml:space="preserve"> </w:t>
      </w:r>
      <w:r>
        <w:rPr>
          <w:rFonts w:cs="Calibri"/>
          <w:b/>
          <w:bCs/>
          <w:spacing w:val="-1"/>
        </w:rPr>
        <w:t>the</w:t>
      </w:r>
      <w:r>
        <w:rPr>
          <w:rFonts w:cs="Calibri"/>
          <w:b/>
          <w:bCs/>
          <w:spacing w:val="31"/>
        </w:rPr>
        <w:t xml:space="preserve"> </w:t>
      </w:r>
      <w:r>
        <w:rPr>
          <w:rFonts w:cs="Calibri"/>
          <w:b/>
          <w:bCs/>
          <w:spacing w:val="-1"/>
        </w:rPr>
        <w:t>connection</w:t>
      </w:r>
      <w:r>
        <w:rPr>
          <w:rFonts w:cs="Calibri"/>
          <w:spacing w:val="-1"/>
        </w:rPr>
        <w:t>.</w:t>
      </w:r>
      <w:r>
        <w:rPr>
          <w:rFonts w:cs="Calibri"/>
          <w:spacing w:val="31"/>
        </w:rPr>
        <w:t xml:space="preserve"> </w:t>
      </w:r>
      <w:r>
        <w:rPr>
          <w:rFonts w:cs="Calibri"/>
          <w:spacing w:val="-1"/>
        </w:rPr>
        <w:t>They</w:t>
      </w:r>
      <w:r>
        <w:rPr>
          <w:rFonts w:cs="Calibri"/>
          <w:spacing w:val="46"/>
        </w:rPr>
        <w:t xml:space="preserve"> </w:t>
      </w:r>
      <w:r>
        <w:rPr>
          <w:rFonts w:cs="Calibri"/>
          <w:spacing w:val="-1"/>
        </w:rPr>
        <w:t>should</w:t>
      </w:r>
      <w:r>
        <w:rPr>
          <w:rFonts w:cs="Calibri"/>
          <w:spacing w:val="-2"/>
        </w:rPr>
        <w:t xml:space="preserve"> </w:t>
      </w:r>
      <w:r>
        <w:rPr>
          <w:rFonts w:cs="Calibri"/>
          <w:spacing w:val="-1"/>
        </w:rPr>
        <w:t>push</w:t>
      </w:r>
      <w:r>
        <w:rPr>
          <w:rFonts w:cs="Calibri"/>
        </w:rPr>
        <w:t xml:space="preserve"> </w:t>
      </w:r>
      <w:r>
        <w:rPr>
          <w:rFonts w:cs="Calibri"/>
          <w:spacing w:val="-1"/>
        </w:rPr>
        <w:t>together</w:t>
      </w:r>
      <w:r>
        <w:rPr>
          <w:rFonts w:cs="Calibri"/>
          <w:spacing w:val="-2"/>
        </w:rPr>
        <w:t xml:space="preserve"> </w:t>
      </w:r>
      <w:r>
        <w:rPr>
          <w:rFonts w:cs="Calibri"/>
        </w:rPr>
        <w:t>with</w:t>
      </w:r>
      <w:r>
        <w:rPr>
          <w:rFonts w:cs="Calibri"/>
          <w:spacing w:val="-2"/>
        </w:rPr>
        <w:t xml:space="preserve"> </w:t>
      </w:r>
      <w:r>
        <w:rPr>
          <w:rFonts w:cs="Calibri"/>
        </w:rPr>
        <w:t>a little ‘</w:t>
      </w:r>
      <w:r>
        <w:rPr>
          <w:rFonts w:cs="Calibri"/>
          <w:spacing w:val="-1"/>
        </w:rPr>
        <w:t>pop’.</w:t>
      </w:r>
    </w:p>
    <w:p w14:paraId="3BBF102B" w14:textId="3651B8C6" w:rsidR="0031675F" w:rsidRPr="0031675F" w:rsidRDefault="00373F05" w:rsidP="0031675F">
      <w:pPr>
        <w:widowControl w:val="0"/>
        <w:numPr>
          <w:ilvl w:val="0"/>
          <w:numId w:val="141"/>
        </w:numPr>
        <w:tabs>
          <w:tab w:val="left" w:pos="423"/>
        </w:tabs>
        <w:spacing w:before="61" w:after="0" w:line="240" w:lineRule="auto"/>
        <w:ind w:right="133"/>
        <w:jc w:val="both"/>
      </w:pPr>
      <w:r>
        <w:rPr>
          <w:spacing w:val="-1"/>
        </w:rPr>
        <w:t>Check</w:t>
      </w:r>
      <w:r>
        <w:rPr>
          <w:spacing w:val="48"/>
        </w:rPr>
        <w:t xml:space="preserve"> </w:t>
      </w:r>
      <w:r>
        <w:t xml:space="preserve">to </w:t>
      </w:r>
      <w:r>
        <w:rPr>
          <w:spacing w:val="-1"/>
        </w:rPr>
        <w:t>see</w:t>
      </w:r>
      <w:r>
        <w:rPr>
          <w:spacing w:val="49"/>
        </w:rPr>
        <w:t xml:space="preserve"> </w:t>
      </w:r>
      <w:r>
        <w:t>that</w:t>
      </w:r>
      <w:r>
        <w:rPr>
          <w:spacing w:val="48"/>
        </w:rPr>
        <w:t xml:space="preserve"> </w:t>
      </w:r>
      <w:r>
        <w:t>the</w:t>
      </w:r>
      <w:r>
        <w:rPr>
          <w:spacing w:val="45"/>
        </w:rPr>
        <w:t xml:space="preserve"> </w:t>
      </w:r>
      <w:r>
        <w:rPr>
          <w:spacing w:val="-1"/>
        </w:rPr>
        <w:t>magnetic</w:t>
      </w:r>
      <w:r>
        <w:rPr>
          <w:spacing w:val="48"/>
        </w:rPr>
        <w:t xml:space="preserve"> </w:t>
      </w:r>
      <w:r>
        <w:rPr>
          <w:spacing w:val="-1"/>
        </w:rPr>
        <w:t>slider</w:t>
      </w:r>
      <w:r>
        <w:rPr>
          <w:spacing w:val="48"/>
        </w:rPr>
        <w:t xml:space="preserve"> </w:t>
      </w:r>
      <w:r>
        <w:rPr>
          <w:spacing w:val="-1"/>
        </w:rPr>
        <w:t>switch</w:t>
      </w:r>
      <w:r>
        <w:rPr>
          <w:spacing w:val="48"/>
        </w:rPr>
        <w:t xml:space="preserve"> </w:t>
      </w:r>
      <w:r>
        <w:t>on</w:t>
      </w:r>
      <w:r>
        <w:rPr>
          <w:spacing w:val="47"/>
        </w:rPr>
        <w:t xml:space="preserve"> </w:t>
      </w:r>
      <w:r>
        <w:rPr>
          <w:spacing w:val="-1"/>
        </w:rPr>
        <w:t>the</w:t>
      </w:r>
      <w:r>
        <w:rPr>
          <w:spacing w:val="49"/>
        </w:rPr>
        <w:t xml:space="preserve"> </w:t>
      </w:r>
      <w:r>
        <w:rPr>
          <w:spacing w:val="-1"/>
        </w:rPr>
        <w:t>side</w:t>
      </w:r>
      <w:r>
        <w:rPr>
          <w:spacing w:val="49"/>
        </w:rPr>
        <w:t xml:space="preserve"> </w:t>
      </w:r>
      <w:r>
        <w:t>of</w:t>
      </w:r>
      <w:r>
        <w:rPr>
          <w:spacing w:val="47"/>
        </w:rPr>
        <w:t xml:space="preserve"> </w:t>
      </w:r>
      <w:r>
        <w:t>the</w:t>
      </w:r>
      <w:r>
        <w:rPr>
          <w:spacing w:val="48"/>
        </w:rPr>
        <w:t xml:space="preserve"> </w:t>
      </w:r>
      <w:r>
        <w:rPr>
          <w:spacing w:val="-1"/>
        </w:rPr>
        <w:t>CTD</w:t>
      </w:r>
      <w:r>
        <w:rPr>
          <w:spacing w:val="49"/>
        </w:rPr>
        <w:t xml:space="preserve"> </w:t>
      </w:r>
      <w:r>
        <w:t>is</w:t>
      </w:r>
      <w:r>
        <w:rPr>
          <w:spacing w:val="48"/>
        </w:rPr>
        <w:t xml:space="preserve"> </w:t>
      </w:r>
      <w:r>
        <w:t>in</w:t>
      </w:r>
      <w:r>
        <w:rPr>
          <w:spacing w:val="46"/>
        </w:rPr>
        <w:t xml:space="preserve"> </w:t>
      </w:r>
      <w:r>
        <w:t>the</w:t>
      </w:r>
      <w:r>
        <w:rPr>
          <w:spacing w:val="5"/>
        </w:rPr>
        <w:t xml:space="preserve"> </w:t>
      </w:r>
      <w:r>
        <w:rPr>
          <w:b/>
          <w:spacing w:val="-1"/>
        </w:rPr>
        <w:t>OFF</w:t>
      </w:r>
      <w:r>
        <w:rPr>
          <w:b/>
          <w:spacing w:val="48"/>
        </w:rPr>
        <w:t xml:space="preserve"> </w:t>
      </w:r>
      <w:r>
        <w:rPr>
          <w:spacing w:val="-1"/>
        </w:rPr>
        <w:t>position</w:t>
      </w:r>
      <w:r>
        <w:rPr>
          <w:spacing w:val="39"/>
        </w:rPr>
        <w:t xml:space="preserve"> </w:t>
      </w:r>
      <w:r>
        <w:rPr>
          <w:spacing w:val="-1"/>
        </w:rPr>
        <w:t>(</w:t>
      </w:r>
      <w:r>
        <w:rPr>
          <w:b/>
          <w:spacing w:val="-1"/>
        </w:rPr>
        <w:t>down</w:t>
      </w:r>
      <w:r>
        <w:rPr>
          <w:spacing w:val="-1"/>
        </w:rPr>
        <w:t>).</w:t>
      </w:r>
      <w:r>
        <w:rPr>
          <w:spacing w:val="49"/>
        </w:rPr>
        <w:t xml:space="preserve"> </w:t>
      </w:r>
      <w:r>
        <w:rPr>
          <w:spacing w:val="-1"/>
        </w:rPr>
        <w:t>This</w:t>
      </w:r>
      <w:r>
        <w:t xml:space="preserve"> </w:t>
      </w:r>
      <w:r>
        <w:rPr>
          <w:spacing w:val="-1"/>
        </w:rPr>
        <w:t>puts</w:t>
      </w:r>
      <w:r>
        <w:rPr>
          <w:spacing w:val="-2"/>
        </w:rPr>
        <w:t xml:space="preserve"> </w:t>
      </w:r>
      <w:r>
        <w:rPr>
          <w:spacing w:val="-1"/>
        </w:rPr>
        <w:t>the</w:t>
      </w:r>
      <w:r>
        <w:rPr>
          <w:spacing w:val="-2"/>
        </w:rPr>
        <w:t xml:space="preserve"> </w:t>
      </w:r>
      <w:r>
        <w:rPr>
          <w:spacing w:val="-1"/>
        </w:rPr>
        <w:t xml:space="preserve">CTD </w:t>
      </w:r>
      <w:r>
        <w:t>in</w:t>
      </w:r>
      <w:r>
        <w:rPr>
          <w:spacing w:val="-1"/>
        </w:rPr>
        <w:t xml:space="preserve"> the</w:t>
      </w:r>
      <w:r>
        <w:t xml:space="preserve"> </w:t>
      </w:r>
      <w:r>
        <w:rPr>
          <w:spacing w:val="-1"/>
        </w:rPr>
        <w:t>sleep</w:t>
      </w:r>
      <w:r>
        <w:rPr>
          <w:spacing w:val="-3"/>
        </w:rPr>
        <w:t xml:space="preserve"> </w:t>
      </w:r>
      <w:r>
        <w:t>mode</w:t>
      </w:r>
      <w:r>
        <w:rPr>
          <w:spacing w:val="-1"/>
        </w:rPr>
        <w:t>.</w:t>
      </w:r>
    </w:p>
    <w:p w14:paraId="339B0C1F" w14:textId="77777777" w:rsidR="0031675F" w:rsidRPr="0031675F" w:rsidRDefault="0031675F" w:rsidP="0031675F">
      <w:pPr>
        <w:spacing w:before="9"/>
        <w:rPr>
          <w:rFonts w:cs="Calibri"/>
          <w:sz w:val="26"/>
          <w:szCs w:val="26"/>
        </w:rPr>
      </w:pPr>
    </w:p>
    <w:p w14:paraId="5E2CD0AF" w14:textId="77777777" w:rsidR="0031675F" w:rsidRPr="0031675F" w:rsidRDefault="0031675F" w:rsidP="0031675F">
      <w:pPr>
        <w:ind w:left="138"/>
        <w:jc w:val="both"/>
        <w:rPr>
          <w:rFonts w:cs="Calibri"/>
        </w:rPr>
      </w:pPr>
      <w:r w:rsidRPr="0031675F">
        <w:rPr>
          <w:b/>
          <w:spacing w:val="-1"/>
        </w:rPr>
        <w:t>Communicating</w:t>
      </w:r>
      <w:r w:rsidRPr="0031675F">
        <w:rPr>
          <w:b/>
          <w:spacing w:val="-2"/>
        </w:rPr>
        <w:t xml:space="preserve"> </w:t>
      </w:r>
      <w:r w:rsidRPr="0031675F">
        <w:rPr>
          <w:b/>
        </w:rPr>
        <w:t>with</w:t>
      </w:r>
      <w:r w:rsidRPr="0031675F">
        <w:rPr>
          <w:b/>
          <w:spacing w:val="-3"/>
        </w:rPr>
        <w:t xml:space="preserve"> </w:t>
      </w:r>
      <w:r w:rsidRPr="0031675F">
        <w:rPr>
          <w:b/>
          <w:spacing w:val="-1"/>
        </w:rPr>
        <w:t>the CTD:</w:t>
      </w:r>
    </w:p>
    <w:p w14:paraId="784EB817" w14:textId="347FE6A4" w:rsidR="0031675F" w:rsidRPr="0031675F" w:rsidRDefault="00373F05" w:rsidP="0031675F">
      <w:pPr>
        <w:widowControl w:val="0"/>
        <w:numPr>
          <w:ilvl w:val="0"/>
          <w:numId w:val="140"/>
        </w:numPr>
        <w:tabs>
          <w:tab w:val="left" w:pos="423"/>
        </w:tabs>
        <w:spacing w:before="60" w:after="0" w:line="240" w:lineRule="auto"/>
        <w:jc w:val="both"/>
      </w:pPr>
      <w:r>
        <w:rPr>
          <w:spacing w:val="-1"/>
        </w:rPr>
        <w:t>Start</w:t>
      </w:r>
      <w:r>
        <w:rPr>
          <w:spacing w:val="1"/>
        </w:rPr>
        <w:t xml:space="preserve"> </w:t>
      </w:r>
      <w:r>
        <w:rPr>
          <w:spacing w:val="-1"/>
        </w:rPr>
        <w:t>up the</w:t>
      </w:r>
      <w:r>
        <w:rPr>
          <w:spacing w:val="-2"/>
        </w:rPr>
        <w:t xml:space="preserve"> </w:t>
      </w:r>
      <w:r>
        <w:rPr>
          <w:spacing w:val="-1"/>
        </w:rPr>
        <w:t>computer, launch Seaterm V2 and connect the CTD cable.</w:t>
      </w:r>
    </w:p>
    <w:p w14:paraId="199884F6" w14:textId="77777777" w:rsidR="00373F05" w:rsidRPr="00373F05" w:rsidRDefault="00373F05" w:rsidP="0031675F">
      <w:pPr>
        <w:widowControl w:val="0"/>
        <w:numPr>
          <w:ilvl w:val="0"/>
          <w:numId w:val="140"/>
        </w:numPr>
        <w:tabs>
          <w:tab w:val="left" w:pos="423"/>
        </w:tabs>
        <w:spacing w:before="12" w:after="0" w:line="240" w:lineRule="auto"/>
        <w:ind w:right="133"/>
        <w:jc w:val="both"/>
        <w:rPr>
          <w:rFonts w:cs="Calibri"/>
          <w:sz w:val="16"/>
          <w:szCs w:val="16"/>
        </w:rPr>
      </w:pPr>
      <w:r>
        <w:rPr>
          <w:spacing w:val="-1"/>
        </w:rPr>
        <w:t xml:space="preserve">Click the </w:t>
      </w:r>
      <w:r w:rsidRPr="00C614C6">
        <w:rPr>
          <w:b/>
          <w:spacing w:val="-1"/>
        </w:rPr>
        <w:t>Instruments</w:t>
      </w:r>
      <w:r w:rsidRPr="00C614C6">
        <w:rPr>
          <w:spacing w:val="-1"/>
        </w:rPr>
        <w:t xml:space="preserve"> </w:t>
      </w:r>
      <w:r>
        <w:rPr>
          <w:spacing w:val="-1"/>
        </w:rPr>
        <w:t xml:space="preserve">menu </w:t>
      </w:r>
      <w:r w:rsidRPr="00C614C6">
        <w:rPr>
          <w:spacing w:val="-1"/>
        </w:rPr>
        <w:t>on the</w:t>
      </w:r>
      <w:r>
        <w:rPr>
          <w:spacing w:val="-1"/>
        </w:rPr>
        <w:t xml:space="preserve"> </w:t>
      </w:r>
      <w:r w:rsidRPr="00DB3A4D">
        <w:rPr>
          <w:spacing w:val="-1"/>
        </w:rPr>
        <w:t>Sea</w:t>
      </w:r>
      <w:r>
        <w:rPr>
          <w:spacing w:val="-1"/>
        </w:rPr>
        <w:t>t</w:t>
      </w:r>
      <w:r w:rsidRPr="00DB3A4D">
        <w:rPr>
          <w:spacing w:val="-1"/>
        </w:rPr>
        <w:t>erm</w:t>
      </w:r>
      <w:r>
        <w:rPr>
          <w:spacing w:val="-1"/>
        </w:rPr>
        <w:t>V2</w:t>
      </w:r>
      <w:r>
        <w:t xml:space="preserve"> </w:t>
      </w:r>
      <w:r w:rsidRPr="00DB3A4D">
        <w:rPr>
          <w:spacing w:val="-1"/>
        </w:rPr>
        <w:t>window</w:t>
      </w:r>
      <w:r>
        <w:rPr>
          <w:spacing w:val="-1"/>
        </w:rPr>
        <w:t xml:space="preserve">, and select </w:t>
      </w:r>
      <w:r w:rsidRPr="00C614C6">
        <w:rPr>
          <w:b/>
          <w:spacing w:val="-1"/>
        </w:rPr>
        <w:t>C. SBE 19plus V2</w:t>
      </w:r>
      <w:r>
        <w:rPr>
          <w:spacing w:val="-1"/>
        </w:rPr>
        <w:t xml:space="preserve"> from the drop-down list</w:t>
      </w:r>
      <w:r w:rsidRPr="00DB3A4D">
        <w:rPr>
          <w:spacing w:val="-1"/>
        </w:rPr>
        <w:t>.</w:t>
      </w:r>
      <w:r w:rsidRPr="00DB3A4D">
        <w:rPr>
          <w:spacing w:val="1"/>
        </w:rPr>
        <w:t xml:space="preserve"> </w:t>
      </w:r>
      <w:r>
        <w:rPr>
          <w:spacing w:val="1"/>
        </w:rPr>
        <w:t xml:space="preserve">Seaterm automatically connects to the instrument if the </w:t>
      </w:r>
      <w:r w:rsidRPr="00C614C6">
        <w:rPr>
          <w:b/>
          <w:spacing w:val="1"/>
        </w:rPr>
        <w:t>Options</w:t>
      </w:r>
      <w:r>
        <w:rPr>
          <w:spacing w:val="1"/>
        </w:rPr>
        <w:t xml:space="preserve"> tab has </w:t>
      </w:r>
      <w:r w:rsidRPr="00C614C6">
        <w:rPr>
          <w:b/>
          <w:spacing w:val="1"/>
        </w:rPr>
        <w:t>Connect at startup</w:t>
      </w:r>
      <w:r>
        <w:rPr>
          <w:spacing w:val="1"/>
        </w:rPr>
        <w:t xml:space="preserve"> enabled. </w:t>
      </w:r>
      <w:r>
        <w:t xml:space="preserve">The program may cycle through several baud rates if not already configured to 9600 under </w:t>
      </w:r>
      <w:r w:rsidRPr="00C614C6">
        <w:rPr>
          <w:b/>
        </w:rPr>
        <w:t>Configure</w:t>
      </w:r>
      <w:r>
        <w:t xml:space="preserve"> in the </w:t>
      </w:r>
      <w:r w:rsidRPr="00C614C6">
        <w:rPr>
          <w:b/>
        </w:rPr>
        <w:t>Communications</w:t>
      </w:r>
      <w:r>
        <w:t xml:space="preserve"> menu. Once connected, the</w:t>
      </w:r>
      <w:r>
        <w:rPr>
          <w:spacing w:val="46"/>
        </w:rPr>
        <w:t xml:space="preserve"> </w:t>
      </w:r>
      <w:r>
        <w:rPr>
          <w:spacing w:val="-2"/>
        </w:rPr>
        <w:t>CTD</w:t>
      </w:r>
      <w:r>
        <w:rPr>
          <w:spacing w:val="43"/>
        </w:rPr>
        <w:t xml:space="preserve"> </w:t>
      </w:r>
      <w:r>
        <w:rPr>
          <w:spacing w:val="-1"/>
        </w:rPr>
        <w:t xml:space="preserve">prompt will appear in the main window as </w:t>
      </w:r>
      <w:r w:rsidRPr="00C614C6">
        <w:rPr>
          <w:b/>
          <w:spacing w:val="-1"/>
        </w:rPr>
        <w:t>S&gt;</w:t>
      </w:r>
      <w:r>
        <w:rPr>
          <w:spacing w:val="-1"/>
        </w:rPr>
        <w:t xml:space="preserve"> or </w:t>
      </w:r>
      <w:r w:rsidRPr="00ED57FC">
        <w:rPr>
          <w:b/>
          <w:spacing w:val="-1"/>
        </w:rPr>
        <w:t>&lt;Exec</w:t>
      </w:r>
      <w:r w:rsidRPr="00C614C6">
        <w:rPr>
          <w:b/>
          <w:spacing w:val="-1"/>
        </w:rPr>
        <w:t>uted/&gt;</w:t>
      </w:r>
      <w:r>
        <w:rPr>
          <w:spacing w:val="-1"/>
        </w:rPr>
        <w:t>.</w:t>
      </w:r>
      <w:r>
        <w:rPr>
          <w:rFonts w:cs="Calibri"/>
          <w:spacing w:val="12"/>
        </w:rPr>
        <w:t xml:space="preserve"> </w:t>
      </w:r>
      <w:r>
        <w:rPr>
          <w:spacing w:val="-1"/>
        </w:rPr>
        <w:t>The</w:t>
      </w:r>
      <w:r>
        <w:rPr>
          <w:spacing w:val="15"/>
        </w:rPr>
        <w:t xml:space="preserve"> </w:t>
      </w:r>
      <w:r>
        <w:rPr>
          <w:spacing w:val="-1"/>
        </w:rPr>
        <w:t>top</w:t>
      </w:r>
      <w:r>
        <w:rPr>
          <w:spacing w:val="15"/>
        </w:rPr>
        <w:t xml:space="preserve"> </w:t>
      </w:r>
      <w:r>
        <w:rPr>
          <w:spacing w:val="-1"/>
        </w:rPr>
        <w:t>status</w:t>
      </w:r>
      <w:r>
        <w:rPr>
          <w:spacing w:val="14"/>
        </w:rPr>
        <w:t xml:space="preserve"> </w:t>
      </w:r>
      <w:r>
        <w:rPr>
          <w:spacing w:val="-1"/>
        </w:rPr>
        <w:t>bar</w:t>
      </w:r>
      <w:r>
        <w:rPr>
          <w:spacing w:val="14"/>
        </w:rPr>
        <w:t xml:space="preserve"> </w:t>
      </w:r>
      <w:r>
        <w:rPr>
          <w:spacing w:val="-1"/>
        </w:rPr>
        <w:t>displays Serial Port</w:t>
      </w:r>
      <w:r>
        <w:rPr>
          <w:spacing w:val="14"/>
        </w:rPr>
        <w:t xml:space="preserve"> - </w:t>
      </w:r>
      <w:r>
        <w:rPr>
          <w:spacing w:val="-1"/>
        </w:rPr>
        <w:t>COM1,</w:t>
      </w:r>
      <w:r>
        <w:rPr>
          <w:spacing w:val="12"/>
        </w:rPr>
        <w:t xml:space="preserve"> </w:t>
      </w:r>
      <w:r>
        <w:rPr>
          <w:spacing w:val="-1"/>
        </w:rPr>
        <w:t>Baud Rate 9600.</w:t>
      </w:r>
      <w:r w:rsidR="0031675F" w:rsidRPr="0031675F">
        <w:rPr>
          <w:spacing w:val="-1"/>
        </w:rPr>
        <w:t>Click</w:t>
      </w:r>
      <w:r w:rsidR="0031675F" w:rsidRPr="0031675F">
        <w:rPr>
          <w:spacing w:val="48"/>
        </w:rPr>
        <w:t xml:space="preserve"> </w:t>
      </w:r>
      <w:r w:rsidR="0031675F" w:rsidRPr="0031675F">
        <w:t>the</w:t>
      </w:r>
      <w:r w:rsidR="0031675F" w:rsidRPr="0031675F">
        <w:rPr>
          <w:spacing w:val="49"/>
        </w:rPr>
        <w:t xml:space="preserve"> </w:t>
      </w:r>
      <w:r w:rsidR="0031675F" w:rsidRPr="0031675F">
        <w:rPr>
          <w:b/>
          <w:spacing w:val="-1"/>
        </w:rPr>
        <w:t>CONNECT</w:t>
      </w:r>
      <w:r w:rsidR="0031675F" w:rsidRPr="0031675F">
        <w:rPr>
          <w:b/>
        </w:rPr>
        <w:t xml:space="preserve"> </w:t>
      </w:r>
      <w:r w:rsidR="0031675F" w:rsidRPr="0031675F">
        <w:rPr>
          <w:spacing w:val="-1"/>
        </w:rPr>
        <w:t>button</w:t>
      </w:r>
      <w:r w:rsidR="0031675F" w:rsidRPr="0031675F">
        <w:rPr>
          <w:spacing w:val="48"/>
        </w:rPr>
        <w:t xml:space="preserve"> </w:t>
      </w:r>
      <w:r w:rsidR="0031675F" w:rsidRPr="0031675F">
        <w:t>on</w:t>
      </w:r>
      <w:r w:rsidR="0031675F" w:rsidRPr="0031675F">
        <w:rPr>
          <w:spacing w:val="47"/>
        </w:rPr>
        <w:t xml:space="preserve"> </w:t>
      </w:r>
      <w:r w:rsidR="0031675F" w:rsidRPr="0031675F">
        <w:t>the</w:t>
      </w:r>
      <w:r w:rsidR="0031675F" w:rsidRPr="0031675F">
        <w:rPr>
          <w:spacing w:val="48"/>
        </w:rPr>
        <w:t xml:space="preserve"> </w:t>
      </w:r>
      <w:r w:rsidR="0031675F" w:rsidRPr="0031675F">
        <w:rPr>
          <w:spacing w:val="-1"/>
        </w:rPr>
        <w:t>SeaTerm</w:t>
      </w:r>
      <w:r w:rsidR="0031675F" w:rsidRPr="0031675F">
        <w:t xml:space="preserve"> </w:t>
      </w:r>
      <w:r w:rsidR="0031675F" w:rsidRPr="0031675F">
        <w:rPr>
          <w:spacing w:val="-1"/>
        </w:rPr>
        <w:t>window.</w:t>
      </w:r>
      <w:r w:rsidR="0031675F" w:rsidRPr="0031675F">
        <w:rPr>
          <w:spacing w:val="1"/>
        </w:rPr>
        <w:t xml:space="preserve"> </w:t>
      </w:r>
      <w:r w:rsidR="0031675F" w:rsidRPr="0031675F">
        <w:t>You</w:t>
      </w:r>
      <w:r w:rsidR="0031675F" w:rsidRPr="0031675F">
        <w:rPr>
          <w:spacing w:val="48"/>
        </w:rPr>
        <w:t xml:space="preserve"> </w:t>
      </w:r>
      <w:r w:rsidR="0031675F" w:rsidRPr="0031675F">
        <w:rPr>
          <w:spacing w:val="-1"/>
        </w:rPr>
        <w:t>should</w:t>
      </w:r>
      <w:r w:rsidR="0031675F" w:rsidRPr="0031675F">
        <w:rPr>
          <w:spacing w:val="47"/>
        </w:rPr>
        <w:t xml:space="preserve"> </w:t>
      </w:r>
      <w:r w:rsidR="0031675F" w:rsidRPr="0031675F">
        <w:rPr>
          <w:spacing w:val="-1"/>
        </w:rPr>
        <w:t>get</w:t>
      </w:r>
      <w:r w:rsidR="0031675F" w:rsidRPr="0031675F">
        <w:rPr>
          <w:spacing w:val="48"/>
        </w:rPr>
        <w:t xml:space="preserve"> </w:t>
      </w:r>
      <w:r w:rsidR="0031675F" w:rsidRPr="0031675F">
        <w:t>a</w:t>
      </w:r>
      <w:r w:rsidR="0031675F" w:rsidRPr="0031675F">
        <w:rPr>
          <w:spacing w:val="48"/>
        </w:rPr>
        <w:t xml:space="preserve"> </w:t>
      </w:r>
      <w:r w:rsidR="0031675F" w:rsidRPr="0031675F">
        <w:rPr>
          <w:spacing w:val="-1"/>
        </w:rPr>
        <w:t>little</w:t>
      </w:r>
      <w:r w:rsidR="0031675F" w:rsidRPr="0031675F">
        <w:rPr>
          <w:spacing w:val="48"/>
        </w:rPr>
        <w:t xml:space="preserve"> </w:t>
      </w:r>
      <w:r w:rsidR="0031675F" w:rsidRPr="0031675F">
        <w:rPr>
          <w:spacing w:val="-1"/>
        </w:rPr>
        <w:t>window</w:t>
      </w:r>
      <w:r w:rsidR="0031675F" w:rsidRPr="0031675F">
        <w:rPr>
          <w:spacing w:val="48"/>
        </w:rPr>
        <w:t xml:space="preserve"> </w:t>
      </w:r>
      <w:r w:rsidR="0031675F" w:rsidRPr="0031675F">
        <w:t>with</w:t>
      </w:r>
      <w:r w:rsidR="0031675F" w:rsidRPr="0031675F">
        <w:rPr>
          <w:spacing w:val="48"/>
        </w:rPr>
        <w:t xml:space="preserve"> </w:t>
      </w:r>
      <w:r w:rsidR="0031675F" w:rsidRPr="0031675F">
        <w:t>a</w:t>
      </w:r>
      <w:r w:rsidR="0031675F" w:rsidRPr="0031675F">
        <w:rPr>
          <w:spacing w:val="39"/>
        </w:rPr>
        <w:t xml:space="preserve"> </w:t>
      </w:r>
      <w:r w:rsidR="0031675F" w:rsidRPr="0031675F">
        <w:rPr>
          <w:spacing w:val="-1"/>
        </w:rPr>
        <w:t>windows</w:t>
      </w:r>
      <w:r w:rsidR="0031675F" w:rsidRPr="0031675F">
        <w:rPr>
          <w:spacing w:val="8"/>
        </w:rPr>
        <w:t xml:space="preserve"> </w:t>
      </w:r>
      <w:r w:rsidR="0031675F" w:rsidRPr="0031675F">
        <w:rPr>
          <w:spacing w:val="-1"/>
        </w:rPr>
        <w:t>moving</w:t>
      </w:r>
      <w:r w:rsidR="0031675F" w:rsidRPr="0031675F">
        <w:rPr>
          <w:spacing w:val="9"/>
        </w:rPr>
        <w:t xml:space="preserve"> </w:t>
      </w:r>
      <w:r w:rsidR="0031675F" w:rsidRPr="0031675F">
        <w:rPr>
          <w:spacing w:val="-1"/>
        </w:rPr>
        <w:t>bar</w:t>
      </w:r>
      <w:r w:rsidR="0031675F" w:rsidRPr="0031675F">
        <w:rPr>
          <w:spacing w:val="9"/>
        </w:rPr>
        <w:t xml:space="preserve"> </w:t>
      </w:r>
      <w:r w:rsidR="0031675F" w:rsidRPr="0031675F">
        <w:t>that</w:t>
      </w:r>
      <w:r w:rsidR="0031675F" w:rsidRPr="0031675F">
        <w:rPr>
          <w:spacing w:val="10"/>
        </w:rPr>
        <w:t xml:space="preserve"> </w:t>
      </w:r>
      <w:r w:rsidR="0031675F" w:rsidRPr="0031675F">
        <w:rPr>
          <w:spacing w:val="-1"/>
        </w:rPr>
        <w:t>says</w:t>
      </w:r>
      <w:r w:rsidR="0031675F" w:rsidRPr="0031675F">
        <w:rPr>
          <w:spacing w:val="10"/>
        </w:rPr>
        <w:t xml:space="preserve"> </w:t>
      </w:r>
      <w:r w:rsidR="0031675F" w:rsidRPr="0031675F">
        <w:rPr>
          <w:spacing w:val="-1"/>
        </w:rPr>
        <w:t>you</w:t>
      </w:r>
      <w:r w:rsidR="0031675F" w:rsidRPr="0031675F">
        <w:rPr>
          <w:spacing w:val="9"/>
        </w:rPr>
        <w:t xml:space="preserve"> </w:t>
      </w:r>
      <w:r w:rsidR="0031675F" w:rsidRPr="0031675F">
        <w:t>are</w:t>
      </w:r>
      <w:r w:rsidR="0031675F" w:rsidRPr="0031675F">
        <w:rPr>
          <w:spacing w:val="10"/>
        </w:rPr>
        <w:t xml:space="preserve"> </w:t>
      </w:r>
      <w:r w:rsidR="0031675F" w:rsidRPr="0031675F">
        <w:rPr>
          <w:spacing w:val="-1"/>
        </w:rPr>
        <w:t>trying</w:t>
      </w:r>
      <w:r w:rsidR="0031675F" w:rsidRPr="0031675F">
        <w:rPr>
          <w:spacing w:val="9"/>
        </w:rPr>
        <w:t xml:space="preserve"> </w:t>
      </w:r>
      <w:r w:rsidR="0031675F" w:rsidRPr="0031675F">
        <w:rPr>
          <w:spacing w:val="-1"/>
        </w:rPr>
        <w:t>to</w:t>
      </w:r>
      <w:r w:rsidR="0031675F" w:rsidRPr="0031675F">
        <w:rPr>
          <w:spacing w:val="11"/>
        </w:rPr>
        <w:t xml:space="preserve"> </w:t>
      </w:r>
      <w:r w:rsidR="0031675F" w:rsidRPr="0031675F">
        <w:rPr>
          <w:spacing w:val="-1"/>
        </w:rPr>
        <w:t>connect</w:t>
      </w:r>
      <w:r w:rsidR="0031675F" w:rsidRPr="0031675F">
        <w:rPr>
          <w:spacing w:val="10"/>
        </w:rPr>
        <w:t xml:space="preserve"> </w:t>
      </w:r>
      <w:r w:rsidR="0031675F" w:rsidRPr="0031675F">
        <w:t>at</w:t>
      </w:r>
      <w:r w:rsidR="0031675F" w:rsidRPr="0031675F">
        <w:rPr>
          <w:spacing w:val="10"/>
        </w:rPr>
        <w:t xml:space="preserve"> </w:t>
      </w:r>
      <w:r w:rsidR="0031675F" w:rsidRPr="0031675F">
        <w:rPr>
          <w:spacing w:val="-1"/>
        </w:rPr>
        <w:t>9600</w:t>
      </w:r>
      <w:r w:rsidR="0031675F" w:rsidRPr="0031675F">
        <w:rPr>
          <w:spacing w:val="10"/>
        </w:rPr>
        <w:t xml:space="preserve"> </w:t>
      </w:r>
      <w:r w:rsidR="0031675F" w:rsidRPr="0031675F">
        <w:rPr>
          <w:spacing w:val="-1"/>
        </w:rPr>
        <w:t>baud.</w:t>
      </w:r>
      <w:r w:rsidR="0031675F" w:rsidRPr="0031675F">
        <w:t xml:space="preserve"> </w:t>
      </w:r>
      <w:r w:rsidR="0031675F" w:rsidRPr="0031675F">
        <w:rPr>
          <w:spacing w:val="15"/>
        </w:rPr>
        <w:t xml:space="preserve"> </w:t>
      </w:r>
    </w:p>
    <w:p w14:paraId="107F43BC" w14:textId="2CDAF0AA" w:rsidR="0031675F" w:rsidRPr="0031675F" w:rsidRDefault="00373F05" w:rsidP="0031675F">
      <w:pPr>
        <w:widowControl w:val="0"/>
        <w:numPr>
          <w:ilvl w:val="0"/>
          <w:numId w:val="140"/>
        </w:numPr>
        <w:tabs>
          <w:tab w:val="left" w:pos="403"/>
        </w:tabs>
        <w:spacing w:before="60" w:after="0" w:line="239" w:lineRule="auto"/>
        <w:ind w:left="402" w:right="110"/>
        <w:jc w:val="both"/>
      </w:pPr>
      <w:r>
        <w:rPr>
          <w:spacing w:val="-1"/>
        </w:rPr>
        <w:t xml:space="preserve">In the </w:t>
      </w:r>
      <w:r w:rsidRPr="00C614C6">
        <w:rPr>
          <w:b/>
          <w:spacing w:val="-1"/>
        </w:rPr>
        <w:t>Send Commands</w:t>
      </w:r>
      <w:r>
        <w:rPr>
          <w:spacing w:val="-1"/>
        </w:rPr>
        <w:t xml:space="preserve"> window, click </w:t>
      </w:r>
      <w:r w:rsidRPr="00C614C6">
        <w:rPr>
          <w:b/>
          <w:spacing w:val="-1"/>
        </w:rPr>
        <w:t>Status</w:t>
      </w:r>
      <w:r>
        <w:rPr>
          <w:spacing w:val="-1"/>
        </w:rPr>
        <w:t xml:space="preserve"> and select the </w:t>
      </w:r>
      <w:r w:rsidRPr="00C614C6">
        <w:rPr>
          <w:b/>
          <w:spacing w:val="-1"/>
        </w:rPr>
        <w:t>Display status and configuration parameters</w:t>
      </w:r>
      <w:r>
        <w:rPr>
          <w:spacing w:val="-1"/>
        </w:rPr>
        <w:t xml:space="preserve"> command, then press the </w:t>
      </w:r>
      <w:r w:rsidRPr="00C614C6">
        <w:rPr>
          <w:b/>
          <w:spacing w:val="-1"/>
        </w:rPr>
        <w:t>Execute</w:t>
      </w:r>
      <w:r>
        <w:rPr>
          <w:spacing w:val="-1"/>
        </w:rPr>
        <w:t xml:space="preserve"> button. Alternately type </w:t>
      </w:r>
      <w:r w:rsidRPr="00C614C6">
        <w:rPr>
          <w:b/>
          <w:spacing w:val="-1"/>
        </w:rPr>
        <w:t>ds</w:t>
      </w:r>
      <w:r>
        <w:rPr>
          <w:spacing w:val="-1"/>
        </w:rPr>
        <w:t xml:space="preserve"> (for display status) in the main display window. </w:t>
      </w:r>
      <w:r>
        <w:rPr>
          <w:rFonts w:cs="Calibri"/>
        </w:rPr>
        <w:t xml:space="preserve">The information displayed includes battery voltage, check to see </w:t>
      </w:r>
      <w:r>
        <w:t>that</w:t>
      </w:r>
      <w:r>
        <w:rPr>
          <w:spacing w:val="12"/>
        </w:rPr>
        <w:t xml:space="preserve"> </w:t>
      </w:r>
      <w:r>
        <w:rPr>
          <w:rFonts w:cs="Calibri"/>
          <w:b/>
          <w:bCs/>
          <w:spacing w:val="-1"/>
        </w:rPr>
        <w:t>vbatt</w:t>
      </w:r>
      <w:r>
        <w:rPr>
          <w:rFonts w:cs="Calibri"/>
          <w:b/>
          <w:bCs/>
          <w:spacing w:val="10"/>
        </w:rPr>
        <w:t xml:space="preserve"> </w:t>
      </w:r>
      <w:r>
        <w:rPr>
          <w:rFonts w:cs="Calibri"/>
          <w:b/>
          <w:bCs/>
        </w:rPr>
        <w:t>&gt;</w:t>
      </w:r>
      <w:r>
        <w:rPr>
          <w:rFonts w:cs="Calibri"/>
          <w:b/>
          <w:bCs/>
          <w:spacing w:val="8"/>
        </w:rPr>
        <w:t xml:space="preserve"> </w:t>
      </w:r>
      <w:r>
        <w:rPr>
          <w:rFonts w:cs="Calibri"/>
          <w:b/>
          <w:bCs/>
          <w:spacing w:val="-1"/>
        </w:rPr>
        <w:t>12</w:t>
      </w:r>
      <w:r>
        <w:rPr>
          <w:rFonts w:cs="Calibri"/>
          <w:b/>
          <w:bCs/>
          <w:spacing w:val="11"/>
        </w:rPr>
        <w:t xml:space="preserve"> </w:t>
      </w:r>
      <w:r>
        <w:rPr>
          <w:spacing w:val="-1"/>
        </w:rPr>
        <w:t>volts.</w:t>
      </w:r>
      <w:r>
        <w:rPr>
          <w:spacing w:val="8"/>
        </w:rPr>
        <w:t xml:space="preserve"> </w:t>
      </w:r>
      <w:r>
        <w:rPr>
          <w:spacing w:val="-1"/>
        </w:rPr>
        <w:t>With</w:t>
      </w:r>
      <w:r>
        <w:rPr>
          <w:spacing w:val="9"/>
        </w:rPr>
        <w:t xml:space="preserve"> </w:t>
      </w:r>
      <w:r>
        <w:rPr>
          <w:spacing w:val="-1"/>
        </w:rPr>
        <w:t>new</w:t>
      </w:r>
      <w:r>
        <w:rPr>
          <w:spacing w:val="10"/>
        </w:rPr>
        <w:t xml:space="preserve"> </w:t>
      </w:r>
      <w:r>
        <w:rPr>
          <w:spacing w:val="-1"/>
        </w:rPr>
        <w:t>batteries,</w:t>
      </w:r>
      <w:r>
        <w:rPr>
          <w:spacing w:val="10"/>
        </w:rPr>
        <w:t xml:space="preserve"> </w:t>
      </w:r>
      <w:r>
        <w:t>it</w:t>
      </w:r>
      <w:r>
        <w:rPr>
          <w:spacing w:val="10"/>
        </w:rPr>
        <w:t xml:space="preserve"> </w:t>
      </w:r>
      <w:r>
        <w:rPr>
          <w:spacing w:val="-1"/>
        </w:rPr>
        <w:t>should</w:t>
      </w:r>
      <w:r>
        <w:rPr>
          <w:spacing w:val="6"/>
        </w:rPr>
        <w:t xml:space="preserve"> </w:t>
      </w:r>
      <w:r>
        <w:rPr>
          <w:spacing w:val="-1"/>
        </w:rPr>
        <w:t>read</w:t>
      </w:r>
      <w:r>
        <w:rPr>
          <w:spacing w:val="10"/>
        </w:rPr>
        <w:t xml:space="preserve"> </w:t>
      </w:r>
      <w:r>
        <w:t>&gt;</w:t>
      </w:r>
      <w:r>
        <w:rPr>
          <w:spacing w:val="10"/>
        </w:rPr>
        <w:t xml:space="preserve"> </w:t>
      </w:r>
      <w:r>
        <w:rPr>
          <w:spacing w:val="-1"/>
        </w:rPr>
        <w:t>13.5 volts</w:t>
      </w:r>
      <w:r>
        <w:rPr>
          <w:spacing w:val="7"/>
        </w:rPr>
        <w:t>.</w:t>
      </w:r>
    </w:p>
    <w:p w14:paraId="7D56429C" w14:textId="77777777" w:rsidR="0031675F" w:rsidRPr="0031675F" w:rsidRDefault="0031675F" w:rsidP="0031675F">
      <w:pPr>
        <w:spacing w:before="12"/>
        <w:rPr>
          <w:rFonts w:cs="Calibri"/>
          <w:sz w:val="26"/>
          <w:szCs w:val="26"/>
        </w:rPr>
      </w:pPr>
    </w:p>
    <w:p w14:paraId="30251710" w14:textId="60FBD0AC" w:rsidR="0031675F" w:rsidRPr="0031675F" w:rsidRDefault="00DA32C5" w:rsidP="0031675F">
      <w:pPr>
        <w:ind w:left="118"/>
        <w:rPr>
          <w:rFonts w:cs="Calibri"/>
        </w:rPr>
      </w:pPr>
      <w:r>
        <w:rPr>
          <w:b/>
          <w:spacing w:val="-1"/>
        </w:rPr>
        <w:t>Performing a CTD cast</w:t>
      </w:r>
      <w:r w:rsidR="0031675F" w:rsidRPr="0031675F">
        <w:rPr>
          <w:b/>
          <w:spacing w:val="-1"/>
        </w:rPr>
        <w:t>:</w:t>
      </w:r>
    </w:p>
    <w:p w14:paraId="6A6CE204" w14:textId="110FEC85" w:rsidR="00DA32C5" w:rsidRDefault="00DA32C5" w:rsidP="00DA32C5">
      <w:pPr>
        <w:pStyle w:val="BodyText"/>
        <w:numPr>
          <w:ilvl w:val="0"/>
          <w:numId w:val="199"/>
        </w:numPr>
        <w:spacing w:before="60"/>
        <w:ind w:right="113"/>
        <w:jc w:val="both"/>
      </w:pPr>
      <w:r>
        <w:rPr>
          <w:spacing w:val="-1"/>
        </w:rPr>
        <w:t>Connect</w:t>
      </w:r>
      <w:r>
        <w:rPr>
          <w:spacing w:val="-2"/>
        </w:rPr>
        <w:t xml:space="preserve"> </w:t>
      </w:r>
      <w:r>
        <w:rPr>
          <w:spacing w:val="-1"/>
        </w:rPr>
        <w:t>to</w:t>
      </w:r>
      <w:r>
        <w:rPr>
          <w:spacing w:val="1"/>
        </w:rPr>
        <w:t xml:space="preserve"> </w:t>
      </w:r>
      <w:r>
        <w:rPr>
          <w:spacing w:val="-1"/>
        </w:rPr>
        <w:t>the</w:t>
      </w:r>
      <w:r>
        <w:rPr>
          <w:spacing w:val="-2"/>
        </w:rPr>
        <w:t xml:space="preserve"> </w:t>
      </w:r>
      <w:r>
        <w:rPr>
          <w:spacing w:val="-1"/>
        </w:rPr>
        <w:t>CTD</w:t>
      </w:r>
      <w:r>
        <w:rPr>
          <w:spacing w:val="1"/>
        </w:rPr>
        <w:t xml:space="preserve"> </w:t>
      </w:r>
      <w:r>
        <w:rPr>
          <w:spacing w:val="-1"/>
        </w:rPr>
        <w:t>as above, and check the battery voltage is &gt;12 volts via Seaterm V2.</w:t>
      </w:r>
    </w:p>
    <w:p w14:paraId="6E27A86A" w14:textId="502090A8" w:rsidR="00DA32C5" w:rsidRPr="00DA32C5" w:rsidRDefault="00DA32C5" w:rsidP="00DA32C5">
      <w:pPr>
        <w:pStyle w:val="ListParagraph"/>
        <w:numPr>
          <w:ilvl w:val="0"/>
          <w:numId w:val="199"/>
        </w:numPr>
        <w:spacing w:before="60" w:line="240" w:lineRule="auto"/>
        <w:ind w:right="113"/>
        <w:jc w:val="both"/>
        <w:rPr>
          <w:rFonts w:cs="Calibri"/>
        </w:rPr>
      </w:pPr>
      <w:r w:rsidRPr="00DA32C5">
        <w:rPr>
          <w:rFonts w:cs="Calibri"/>
          <w:spacing w:val="-1"/>
        </w:rPr>
        <w:t>To clear</w:t>
      </w:r>
      <w:r w:rsidRPr="00DA32C5">
        <w:rPr>
          <w:rFonts w:cs="Calibri"/>
        </w:rPr>
        <w:t xml:space="preserve"> the</w:t>
      </w:r>
      <w:r w:rsidRPr="00DA32C5">
        <w:rPr>
          <w:rFonts w:cs="Calibri"/>
          <w:spacing w:val="-3"/>
        </w:rPr>
        <w:t xml:space="preserve"> </w:t>
      </w:r>
      <w:r w:rsidRPr="00DA32C5">
        <w:rPr>
          <w:rFonts w:cs="Calibri"/>
          <w:spacing w:val="-1"/>
        </w:rPr>
        <w:t>CTD memory</w:t>
      </w:r>
      <w:r w:rsidRPr="00DA32C5">
        <w:rPr>
          <w:rFonts w:cs="Calibri"/>
          <w:spacing w:val="1"/>
        </w:rPr>
        <w:t xml:space="preserve"> </w:t>
      </w:r>
      <w:r w:rsidRPr="00DA32C5">
        <w:rPr>
          <w:rFonts w:cs="Calibri"/>
          <w:spacing w:val="-2"/>
        </w:rPr>
        <w:t xml:space="preserve">prior to the cast, select </w:t>
      </w:r>
      <w:r w:rsidRPr="00DA32C5">
        <w:rPr>
          <w:rFonts w:cs="Calibri"/>
          <w:b/>
          <w:spacing w:val="-2"/>
        </w:rPr>
        <w:t>General Setup</w:t>
      </w:r>
      <w:r w:rsidRPr="00DA32C5">
        <w:rPr>
          <w:rFonts w:cs="Calibri"/>
          <w:spacing w:val="-2"/>
        </w:rPr>
        <w:t xml:space="preserve"> from the </w:t>
      </w:r>
      <w:r w:rsidRPr="00DA32C5">
        <w:rPr>
          <w:rFonts w:cs="Calibri"/>
          <w:b/>
          <w:spacing w:val="-2"/>
        </w:rPr>
        <w:t>Send Commands</w:t>
      </w:r>
      <w:r w:rsidRPr="00DA32C5">
        <w:rPr>
          <w:rFonts w:cs="Calibri"/>
          <w:spacing w:val="-2"/>
        </w:rPr>
        <w:t xml:space="preserve"> menu of Seaterm V2 and select </w:t>
      </w:r>
      <w:r w:rsidRPr="00DA32C5">
        <w:rPr>
          <w:rFonts w:cs="Calibri"/>
          <w:b/>
          <w:spacing w:val="-2"/>
        </w:rPr>
        <w:t>Initialize Logging</w:t>
      </w:r>
      <w:r w:rsidRPr="00DA32C5">
        <w:rPr>
          <w:rFonts w:cs="Calibri"/>
          <w:spacing w:val="-2"/>
        </w:rPr>
        <w:t xml:space="preserve">. The </w:t>
      </w:r>
      <w:r w:rsidRPr="00DA32C5">
        <w:rPr>
          <w:rFonts w:cs="Calibri"/>
          <w:b/>
          <w:spacing w:val="-2"/>
        </w:rPr>
        <w:t>Execute</w:t>
      </w:r>
      <w:r w:rsidRPr="00DA32C5">
        <w:rPr>
          <w:rFonts w:cs="Calibri"/>
          <w:spacing w:val="-2"/>
        </w:rPr>
        <w:t xml:space="preserve"> button must be clicked twice to take efffect.</w:t>
      </w:r>
    </w:p>
    <w:p w14:paraId="0274D91B" w14:textId="057BF184" w:rsidR="00DA32C5" w:rsidRPr="00C614C6" w:rsidRDefault="00DA32C5" w:rsidP="00DA32C5">
      <w:pPr>
        <w:pStyle w:val="BodyText"/>
        <w:numPr>
          <w:ilvl w:val="0"/>
          <w:numId w:val="199"/>
        </w:numPr>
        <w:spacing w:before="60"/>
        <w:ind w:right="113"/>
        <w:jc w:val="both"/>
        <w:rPr>
          <w:spacing w:val="-1"/>
        </w:rPr>
      </w:pPr>
      <w:r>
        <w:rPr>
          <w:spacing w:val="-1"/>
        </w:rPr>
        <w:t>Check</w:t>
      </w:r>
      <w:r>
        <w:t xml:space="preserve"> the</w:t>
      </w:r>
      <w:r>
        <w:rPr>
          <w:spacing w:val="3"/>
        </w:rPr>
        <w:t xml:space="preserve"> </w:t>
      </w:r>
      <w:r>
        <w:rPr>
          <w:spacing w:val="-1"/>
        </w:rPr>
        <w:t>depth</w:t>
      </w:r>
      <w:r>
        <w:rPr>
          <w:spacing w:val="2"/>
        </w:rPr>
        <w:t xml:space="preserve"> </w:t>
      </w:r>
      <w:r>
        <w:rPr>
          <w:spacing w:val="-1"/>
        </w:rPr>
        <w:t>under</w:t>
      </w:r>
      <w:r>
        <w:rPr>
          <w:spacing w:val="3"/>
        </w:rPr>
        <w:t xml:space="preserve"> </w:t>
      </w:r>
      <w:r>
        <w:t xml:space="preserve">the </w:t>
      </w:r>
      <w:r>
        <w:rPr>
          <w:spacing w:val="-1"/>
        </w:rPr>
        <w:t>keel, and manoeuver</w:t>
      </w:r>
      <w:r>
        <w:t xml:space="preserve"> the</w:t>
      </w:r>
      <w:r>
        <w:rPr>
          <w:spacing w:val="3"/>
        </w:rPr>
        <w:t xml:space="preserve"> </w:t>
      </w:r>
      <w:r>
        <w:rPr>
          <w:spacing w:val="-1"/>
        </w:rPr>
        <w:t>ship</w:t>
      </w:r>
      <w:r>
        <w:rPr>
          <w:spacing w:val="2"/>
        </w:rPr>
        <w:t xml:space="preserve"> </w:t>
      </w:r>
      <w:r>
        <w:rPr>
          <w:spacing w:val="-2"/>
        </w:rPr>
        <w:t>so</w:t>
      </w:r>
      <w:r>
        <w:rPr>
          <w:spacing w:val="3"/>
        </w:rPr>
        <w:t xml:space="preserve"> </w:t>
      </w:r>
      <w:r>
        <w:rPr>
          <w:spacing w:val="-2"/>
        </w:rPr>
        <w:t>it</w:t>
      </w:r>
      <w:r>
        <w:rPr>
          <w:spacing w:val="51"/>
        </w:rPr>
        <w:t xml:space="preserve"> </w:t>
      </w:r>
      <w:r>
        <w:t xml:space="preserve">is </w:t>
      </w:r>
      <w:r>
        <w:rPr>
          <w:spacing w:val="-1"/>
        </w:rPr>
        <w:t>facing upwind</w:t>
      </w:r>
      <w:r>
        <w:rPr>
          <w:spacing w:val="-2"/>
        </w:rPr>
        <w:t xml:space="preserve"> </w:t>
      </w:r>
      <w:r>
        <w:t>and</w:t>
      </w:r>
      <w:r>
        <w:rPr>
          <w:spacing w:val="-2"/>
        </w:rPr>
        <w:t xml:space="preserve"> </w:t>
      </w:r>
      <w:r>
        <w:rPr>
          <w:spacing w:val="-1"/>
        </w:rPr>
        <w:t>the</w:t>
      </w:r>
      <w:r>
        <w:rPr>
          <w:spacing w:val="-2"/>
        </w:rPr>
        <w:t xml:space="preserve"> </w:t>
      </w:r>
      <w:r>
        <w:rPr>
          <w:spacing w:val="-1"/>
        </w:rPr>
        <w:t>CTD</w:t>
      </w:r>
      <w:r>
        <w:rPr>
          <w:spacing w:val="1"/>
        </w:rPr>
        <w:t xml:space="preserve"> </w:t>
      </w:r>
      <w:r>
        <w:rPr>
          <w:spacing w:val="-1"/>
        </w:rPr>
        <w:t>side</w:t>
      </w:r>
      <w:r>
        <w:rPr>
          <w:spacing w:val="-2"/>
        </w:rPr>
        <w:t xml:space="preserve"> </w:t>
      </w:r>
      <w:r>
        <w:rPr>
          <w:spacing w:val="-1"/>
        </w:rPr>
        <w:t>faces</w:t>
      </w:r>
      <w:r>
        <w:rPr>
          <w:spacing w:val="-2"/>
        </w:rPr>
        <w:t xml:space="preserve"> </w:t>
      </w:r>
      <w:r>
        <w:rPr>
          <w:spacing w:val="-1"/>
        </w:rPr>
        <w:t>the</w:t>
      </w:r>
      <w:r>
        <w:rPr>
          <w:spacing w:val="-2"/>
        </w:rPr>
        <w:t xml:space="preserve"> </w:t>
      </w:r>
      <w:r>
        <w:rPr>
          <w:spacing w:val="-1"/>
        </w:rPr>
        <w:t>sun.</w:t>
      </w:r>
    </w:p>
    <w:p w14:paraId="57B9982E" w14:textId="77777777" w:rsidR="00DA32C5" w:rsidRDefault="00DA32C5" w:rsidP="00DA32C5">
      <w:pPr>
        <w:pStyle w:val="BodyText"/>
        <w:widowControl w:val="0"/>
        <w:numPr>
          <w:ilvl w:val="0"/>
          <w:numId w:val="199"/>
        </w:numPr>
        <w:tabs>
          <w:tab w:val="left" w:pos="403"/>
        </w:tabs>
        <w:spacing w:before="60" w:after="0" w:line="240" w:lineRule="auto"/>
        <w:ind w:right="113"/>
        <w:jc w:val="both"/>
        <w:rPr>
          <w:rFonts w:cs="Calibri"/>
        </w:rPr>
      </w:pPr>
      <w:r>
        <w:rPr>
          <w:spacing w:val="-1"/>
        </w:rPr>
        <w:t>Connect</w:t>
      </w:r>
      <w:r>
        <w:rPr>
          <w:spacing w:val="-2"/>
        </w:rPr>
        <w:t xml:space="preserve"> </w:t>
      </w:r>
      <w:r>
        <w:t xml:space="preserve">the </w:t>
      </w:r>
      <w:r>
        <w:rPr>
          <w:spacing w:val="-1"/>
        </w:rPr>
        <w:t>CTD</w:t>
      </w:r>
      <w:r>
        <w:rPr>
          <w:spacing w:val="1"/>
        </w:rPr>
        <w:t xml:space="preserve"> </w:t>
      </w:r>
      <w:r>
        <w:rPr>
          <w:spacing w:val="-1"/>
        </w:rPr>
        <w:t>to</w:t>
      </w:r>
      <w:r>
        <w:rPr>
          <w:spacing w:val="1"/>
        </w:rPr>
        <w:t xml:space="preserve"> </w:t>
      </w:r>
      <w:r>
        <w:rPr>
          <w:spacing w:val="-2"/>
        </w:rPr>
        <w:t>the</w:t>
      </w:r>
      <w:r>
        <w:t xml:space="preserve"> </w:t>
      </w:r>
      <w:r>
        <w:rPr>
          <w:spacing w:val="-1"/>
        </w:rPr>
        <w:t>hydrographic</w:t>
      </w:r>
      <w:r>
        <w:rPr>
          <w:rFonts w:cs="Calibri"/>
          <w:spacing w:val="-1"/>
        </w:rPr>
        <w:t xml:space="preserve"> </w:t>
      </w:r>
      <w:r>
        <w:rPr>
          <w:rFonts w:cs="Calibri"/>
        </w:rPr>
        <w:t>wire</w:t>
      </w:r>
      <w:r>
        <w:rPr>
          <w:rFonts w:cs="Calibri"/>
          <w:spacing w:val="-3"/>
        </w:rPr>
        <w:t>.</w:t>
      </w:r>
    </w:p>
    <w:p w14:paraId="060FFF79" w14:textId="77777777" w:rsidR="00DA32C5" w:rsidRDefault="00DA32C5" w:rsidP="00DA32C5">
      <w:pPr>
        <w:pStyle w:val="BodyText"/>
        <w:widowControl w:val="0"/>
        <w:numPr>
          <w:ilvl w:val="0"/>
          <w:numId w:val="199"/>
        </w:numPr>
        <w:tabs>
          <w:tab w:val="left" w:pos="403"/>
        </w:tabs>
        <w:spacing w:before="60" w:after="0" w:line="240" w:lineRule="auto"/>
        <w:ind w:right="113"/>
        <w:jc w:val="both"/>
        <w:rPr>
          <w:rFonts w:cs="Calibri"/>
        </w:rPr>
      </w:pPr>
      <w:r>
        <w:rPr>
          <w:spacing w:val="-1"/>
        </w:rPr>
        <w:t>Unplug</w:t>
      </w:r>
      <w:r>
        <w:rPr>
          <w:spacing w:val="25"/>
        </w:rPr>
        <w:t xml:space="preserve"> </w:t>
      </w:r>
      <w:r>
        <w:t>the</w:t>
      </w:r>
      <w:r>
        <w:rPr>
          <w:spacing w:val="27"/>
        </w:rPr>
        <w:t xml:space="preserve"> </w:t>
      </w:r>
      <w:r>
        <w:rPr>
          <w:spacing w:val="-1"/>
        </w:rPr>
        <w:t>communications</w:t>
      </w:r>
      <w:r>
        <w:rPr>
          <w:spacing w:val="27"/>
        </w:rPr>
        <w:t xml:space="preserve"> </w:t>
      </w:r>
      <w:r>
        <w:rPr>
          <w:spacing w:val="-1"/>
        </w:rPr>
        <w:t>cable</w:t>
      </w:r>
      <w:r>
        <w:rPr>
          <w:spacing w:val="24"/>
        </w:rPr>
        <w:t xml:space="preserve"> </w:t>
      </w:r>
      <w:r>
        <w:rPr>
          <w:spacing w:val="-1"/>
        </w:rPr>
        <w:t>and</w:t>
      </w:r>
      <w:r>
        <w:rPr>
          <w:spacing w:val="25"/>
        </w:rPr>
        <w:t xml:space="preserve"> </w:t>
      </w:r>
      <w:r>
        <w:rPr>
          <w:spacing w:val="-1"/>
        </w:rPr>
        <w:t xml:space="preserve">install the dummy plug and lock collar on </w:t>
      </w:r>
      <w:r>
        <w:t xml:space="preserve">the </w:t>
      </w:r>
      <w:r>
        <w:rPr>
          <w:spacing w:val="-1"/>
        </w:rPr>
        <w:t>CTD connector.</w:t>
      </w:r>
    </w:p>
    <w:p w14:paraId="2EC87882" w14:textId="77777777" w:rsidR="00DA32C5" w:rsidRDefault="00DA32C5" w:rsidP="00DA32C5">
      <w:pPr>
        <w:pStyle w:val="BodyText"/>
        <w:widowControl w:val="0"/>
        <w:numPr>
          <w:ilvl w:val="0"/>
          <w:numId w:val="199"/>
        </w:numPr>
        <w:tabs>
          <w:tab w:val="left" w:pos="403"/>
        </w:tabs>
        <w:spacing w:before="60" w:after="0" w:line="240" w:lineRule="auto"/>
        <w:ind w:right="113"/>
        <w:jc w:val="both"/>
      </w:pPr>
      <w:r>
        <w:rPr>
          <w:spacing w:val="-1"/>
        </w:rPr>
        <w:t>Slide</w:t>
      </w:r>
      <w:r>
        <w:t xml:space="preserve"> the</w:t>
      </w:r>
      <w:r>
        <w:rPr>
          <w:spacing w:val="-2"/>
        </w:rPr>
        <w:t xml:space="preserve"> </w:t>
      </w:r>
      <w:r>
        <w:rPr>
          <w:spacing w:val="-1"/>
        </w:rPr>
        <w:t>magnetic</w:t>
      </w:r>
      <w:r>
        <w:t xml:space="preserve"> </w:t>
      </w:r>
      <w:r>
        <w:rPr>
          <w:spacing w:val="-1"/>
        </w:rPr>
        <w:t>switch</w:t>
      </w:r>
      <w:r>
        <w:rPr>
          <w:spacing w:val="-2"/>
        </w:rPr>
        <w:t xml:space="preserve"> </w:t>
      </w:r>
      <w:r>
        <w:rPr>
          <w:spacing w:val="-1"/>
        </w:rPr>
        <w:t>on the</w:t>
      </w:r>
      <w:r>
        <w:t xml:space="preserve"> </w:t>
      </w:r>
      <w:r>
        <w:rPr>
          <w:spacing w:val="-1"/>
        </w:rPr>
        <w:t>side</w:t>
      </w:r>
      <w:r>
        <w:rPr>
          <w:spacing w:val="-2"/>
        </w:rPr>
        <w:t xml:space="preserve"> </w:t>
      </w:r>
      <w:r>
        <w:t>of</w:t>
      </w:r>
      <w:r>
        <w:rPr>
          <w:spacing w:val="-2"/>
        </w:rPr>
        <w:t xml:space="preserve"> </w:t>
      </w:r>
      <w:r>
        <w:t xml:space="preserve">the </w:t>
      </w:r>
      <w:r>
        <w:rPr>
          <w:spacing w:val="-1"/>
        </w:rPr>
        <w:t>CTD to</w:t>
      </w:r>
      <w:r>
        <w:rPr>
          <w:spacing w:val="1"/>
        </w:rPr>
        <w:t xml:space="preserve"> </w:t>
      </w:r>
      <w:r>
        <w:rPr>
          <w:spacing w:val="-1"/>
        </w:rPr>
        <w:t>the</w:t>
      </w:r>
      <w:r>
        <w:rPr>
          <w:spacing w:val="1"/>
        </w:rPr>
        <w:t xml:space="preserve"> </w:t>
      </w:r>
      <w:r>
        <w:rPr>
          <w:b/>
          <w:spacing w:val="-1"/>
        </w:rPr>
        <w:t>ON</w:t>
      </w:r>
      <w:r>
        <w:rPr>
          <w:b/>
          <w:spacing w:val="1"/>
        </w:rPr>
        <w:t xml:space="preserve"> </w:t>
      </w:r>
      <w:r>
        <w:rPr>
          <w:spacing w:val="-1"/>
        </w:rPr>
        <w:t>position (</w:t>
      </w:r>
      <w:r>
        <w:rPr>
          <w:b/>
          <w:spacing w:val="-1"/>
        </w:rPr>
        <w:t>up</w:t>
      </w:r>
      <w:r>
        <w:rPr>
          <w:spacing w:val="-1"/>
        </w:rPr>
        <w:t>).</w:t>
      </w:r>
    </w:p>
    <w:p w14:paraId="5BC3EBDE" w14:textId="77777777" w:rsidR="00DA32C5" w:rsidRDefault="00DA32C5" w:rsidP="00DA32C5">
      <w:pPr>
        <w:pStyle w:val="BodyText"/>
        <w:widowControl w:val="0"/>
        <w:numPr>
          <w:ilvl w:val="0"/>
          <w:numId w:val="199"/>
        </w:numPr>
        <w:tabs>
          <w:tab w:val="left" w:pos="403"/>
        </w:tabs>
        <w:spacing w:before="60" w:after="0" w:line="240" w:lineRule="auto"/>
        <w:ind w:right="113"/>
        <w:jc w:val="both"/>
        <w:rPr>
          <w:rFonts w:cs="Calibri"/>
        </w:rPr>
      </w:pPr>
      <w:r>
        <w:rPr>
          <w:spacing w:val="-1"/>
        </w:rPr>
        <w:t>Steady the</w:t>
      </w:r>
      <w:r>
        <w:rPr>
          <w:spacing w:val="1"/>
        </w:rPr>
        <w:t xml:space="preserve"> </w:t>
      </w:r>
      <w:r>
        <w:rPr>
          <w:spacing w:val="-1"/>
        </w:rPr>
        <w:t>CTD by hand</w:t>
      </w:r>
      <w:r>
        <w:rPr>
          <w:spacing w:val="2"/>
        </w:rPr>
        <w:t xml:space="preserve"> </w:t>
      </w:r>
      <w:r>
        <w:rPr>
          <w:spacing w:val="-1"/>
        </w:rPr>
        <w:t>to</w:t>
      </w:r>
      <w:r>
        <w:rPr>
          <w:spacing w:val="2"/>
        </w:rPr>
        <w:t xml:space="preserve"> </w:t>
      </w:r>
      <w:r>
        <w:t>stop it</w:t>
      </w:r>
      <w:r>
        <w:rPr>
          <w:spacing w:val="1"/>
        </w:rPr>
        <w:t xml:space="preserve"> </w:t>
      </w:r>
      <w:r>
        <w:rPr>
          <w:spacing w:val="-1"/>
        </w:rPr>
        <w:t>swinging</w:t>
      </w:r>
      <w:r>
        <w:t xml:space="preserve"> </w:t>
      </w:r>
      <w:r>
        <w:rPr>
          <w:spacing w:val="-1"/>
        </w:rPr>
        <w:t>against</w:t>
      </w:r>
      <w:r>
        <w:rPr>
          <w:spacing w:val="1"/>
        </w:rPr>
        <w:t xml:space="preserve"> </w:t>
      </w:r>
      <w:r>
        <w:t>the</w:t>
      </w:r>
      <w:r>
        <w:rPr>
          <w:spacing w:val="1"/>
        </w:rPr>
        <w:t xml:space="preserve"> </w:t>
      </w:r>
      <w:r>
        <w:rPr>
          <w:spacing w:val="-1"/>
        </w:rPr>
        <w:t>boat. Lower</w:t>
      </w:r>
      <w:r>
        <w:t xml:space="preserve"> the</w:t>
      </w:r>
      <w:r>
        <w:rPr>
          <w:spacing w:val="3"/>
        </w:rPr>
        <w:t xml:space="preserve"> </w:t>
      </w:r>
      <w:r>
        <w:rPr>
          <w:spacing w:val="-2"/>
        </w:rPr>
        <w:t>CTD</w:t>
      </w:r>
      <w:r>
        <w:rPr>
          <w:spacing w:val="3"/>
        </w:rPr>
        <w:t xml:space="preserve"> </w:t>
      </w:r>
      <w:r>
        <w:rPr>
          <w:spacing w:val="-1"/>
        </w:rPr>
        <w:t>into</w:t>
      </w:r>
      <w:r>
        <w:rPr>
          <w:spacing w:val="1"/>
        </w:rPr>
        <w:t xml:space="preserve"> </w:t>
      </w:r>
      <w:r>
        <w:rPr>
          <w:spacing w:val="-1"/>
        </w:rPr>
        <w:t>the</w:t>
      </w:r>
      <w:r>
        <w:t xml:space="preserve"> water </w:t>
      </w:r>
      <w:r>
        <w:rPr>
          <w:spacing w:val="-1"/>
        </w:rPr>
        <w:t>with</w:t>
      </w:r>
      <w:r>
        <w:rPr>
          <w:spacing w:val="2"/>
        </w:rPr>
        <w:t xml:space="preserve"> </w:t>
      </w:r>
      <w:r>
        <w:t xml:space="preserve">the </w:t>
      </w:r>
      <w:r>
        <w:rPr>
          <w:spacing w:val="-2"/>
        </w:rPr>
        <w:t>CTD</w:t>
      </w:r>
      <w:r>
        <w:rPr>
          <w:spacing w:val="1"/>
        </w:rPr>
        <w:t xml:space="preserve"> </w:t>
      </w:r>
      <w:r>
        <w:rPr>
          <w:spacing w:val="-1"/>
        </w:rPr>
        <w:t>winch</w:t>
      </w:r>
      <w:r>
        <w:rPr>
          <w:spacing w:val="2"/>
        </w:rPr>
        <w:t xml:space="preserve"> </w:t>
      </w:r>
      <w:r>
        <w:rPr>
          <w:spacing w:val="-2"/>
        </w:rPr>
        <w:t>so</w:t>
      </w:r>
      <w:r>
        <w:rPr>
          <w:spacing w:val="3"/>
        </w:rPr>
        <w:t xml:space="preserve"> </w:t>
      </w:r>
      <w:r>
        <w:t>the</w:t>
      </w:r>
      <w:r>
        <w:rPr>
          <w:spacing w:val="-3"/>
        </w:rPr>
        <w:t xml:space="preserve"> </w:t>
      </w:r>
      <w:r>
        <w:rPr>
          <w:spacing w:val="-1"/>
        </w:rPr>
        <w:t>ring</w:t>
      </w:r>
      <w:r>
        <w:rPr>
          <w:spacing w:val="2"/>
        </w:rPr>
        <w:t xml:space="preserve"> </w:t>
      </w:r>
      <w:r>
        <w:t>at</w:t>
      </w:r>
      <w:r>
        <w:rPr>
          <w:spacing w:val="3"/>
        </w:rPr>
        <w:t xml:space="preserve"> </w:t>
      </w:r>
      <w:r>
        <w:t xml:space="preserve">the </w:t>
      </w:r>
      <w:r>
        <w:rPr>
          <w:spacing w:val="-1"/>
        </w:rPr>
        <w:t xml:space="preserve">top </w:t>
      </w:r>
      <w:r>
        <w:t>of</w:t>
      </w:r>
      <w:r>
        <w:rPr>
          <w:spacing w:val="51"/>
        </w:rPr>
        <w:t xml:space="preserve"> </w:t>
      </w:r>
      <w:r>
        <w:t>the</w:t>
      </w:r>
      <w:r>
        <w:rPr>
          <w:spacing w:val="24"/>
        </w:rPr>
        <w:t xml:space="preserve"> </w:t>
      </w:r>
      <w:r>
        <w:rPr>
          <w:spacing w:val="-1"/>
        </w:rPr>
        <w:t>cage</w:t>
      </w:r>
      <w:r>
        <w:rPr>
          <w:spacing w:val="24"/>
        </w:rPr>
        <w:t xml:space="preserve"> </w:t>
      </w:r>
      <w:r>
        <w:t>is</w:t>
      </w:r>
      <w:r>
        <w:rPr>
          <w:spacing w:val="24"/>
        </w:rPr>
        <w:t xml:space="preserve"> </w:t>
      </w:r>
      <w:r>
        <w:rPr>
          <w:spacing w:val="-1"/>
        </w:rPr>
        <w:t>just</w:t>
      </w:r>
      <w:r>
        <w:rPr>
          <w:spacing w:val="25"/>
        </w:rPr>
        <w:t xml:space="preserve"> </w:t>
      </w:r>
      <w:r>
        <w:t>at</w:t>
      </w:r>
      <w:r>
        <w:rPr>
          <w:spacing w:val="24"/>
        </w:rPr>
        <w:t xml:space="preserve"> </w:t>
      </w:r>
      <w:r>
        <w:t>the sea</w:t>
      </w:r>
      <w:r>
        <w:rPr>
          <w:spacing w:val="24"/>
        </w:rPr>
        <w:t xml:space="preserve"> </w:t>
      </w:r>
      <w:r>
        <w:rPr>
          <w:spacing w:val="-1"/>
        </w:rPr>
        <w:t>surface</w:t>
      </w:r>
      <w:r>
        <w:rPr>
          <w:spacing w:val="25"/>
        </w:rPr>
        <w:t xml:space="preserve"> </w:t>
      </w:r>
      <w:r>
        <w:rPr>
          <w:spacing w:val="-1"/>
        </w:rPr>
        <w:t>and</w:t>
      </w:r>
      <w:r>
        <w:rPr>
          <w:spacing w:val="23"/>
        </w:rPr>
        <w:t xml:space="preserve"> </w:t>
      </w:r>
      <w:r>
        <w:t>the</w:t>
      </w:r>
      <w:r>
        <w:rPr>
          <w:spacing w:val="24"/>
        </w:rPr>
        <w:t xml:space="preserve"> </w:t>
      </w:r>
      <w:r>
        <w:t>PAR</w:t>
      </w:r>
      <w:r>
        <w:rPr>
          <w:spacing w:val="23"/>
        </w:rPr>
        <w:t xml:space="preserve"> </w:t>
      </w:r>
      <w:r>
        <w:rPr>
          <w:spacing w:val="-1"/>
        </w:rPr>
        <w:t>sensor</w:t>
      </w:r>
      <w:r>
        <w:rPr>
          <w:spacing w:val="24"/>
        </w:rPr>
        <w:t xml:space="preserve"> </w:t>
      </w:r>
      <w:r>
        <w:t>is</w:t>
      </w:r>
      <w:r>
        <w:rPr>
          <w:spacing w:val="21"/>
        </w:rPr>
        <w:t xml:space="preserve"> </w:t>
      </w:r>
      <w:r>
        <w:rPr>
          <w:spacing w:val="-1"/>
        </w:rPr>
        <w:t>just</w:t>
      </w:r>
      <w:r>
        <w:rPr>
          <w:spacing w:val="24"/>
        </w:rPr>
        <w:t xml:space="preserve"> </w:t>
      </w:r>
      <w:r>
        <w:rPr>
          <w:spacing w:val="-1"/>
        </w:rPr>
        <w:t>under</w:t>
      </w:r>
      <w:r>
        <w:rPr>
          <w:spacing w:val="24"/>
        </w:rPr>
        <w:t xml:space="preserve"> </w:t>
      </w:r>
      <w:r>
        <w:t>the</w:t>
      </w:r>
      <w:r>
        <w:rPr>
          <w:spacing w:val="24"/>
        </w:rPr>
        <w:t xml:space="preserve"> </w:t>
      </w:r>
      <w:r>
        <w:t>surface.</w:t>
      </w:r>
      <w:r>
        <w:rPr>
          <w:spacing w:val="25"/>
        </w:rPr>
        <w:t xml:space="preserve"> </w:t>
      </w:r>
      <w:r>
        <w:rPr>
          <w:i/>
          <w:spacing w:val="-1"/>
        </w:rPr>
        <w:t>Some</w:t>
      </w:r>
      <w:r>
        <w:rPr>
          <w:i/>
          <w:spacing w:val="25"/>
        </w:rPr>
        <w:t xml:space="preserve"> </w:t>
      </w:r>
      <w:r>
        <w:rPr>
          <w:i/>
          <w:spacing w:val="-1"/>
        </w:rPr>
        <w:t>bubbles</w:t>
      </w:r>
      <w:r>
        <w:rPr>
          <w:i/>
          <w:spacing w:val="24"/>
        </w:rPr>
        <w:t xml:space="preserve"> </w:t>
      </w:r>
      <w:r>
        <w:rPr>
          <w:i/>
        </w:rPr>
        <w:t>will</w:t>
      </w:r>
      <w:r>
        <w:rPr>
          <w:i/>
          <w:spacing w:val="37"/>
        </w:rPr>
        <w:t xml:space="preserve"> </w:t>
      </w:r>
      <w:r>
        <w:rPr>
          <w:i/>
          <w:spacing w:val="-1"/>
        </w:rPr>
        <w:t>be expelled</w:t>
      </w:r>
      <w:r>
        <w:rPr>
          <w:i/>
          <w:spacing w:val="1"/>
        </w:rPr>
        <w:t xml:space="preserve"> </w:t>
      </w:r>
      <w:r>
        <w:rPr>
          <w:i/>
          <w:spacing w:val="-1"/>
        </w:rPr>
        <w:t>from</w:t>
      </w:r>
      <w:r>
        <w:rPr>
          <w:i/>
          <w:spacing w:val="1"/>
        </w:rPr>
        <w:t xml:space="preserve"> </w:t>
      </w:r>
      <w:r>
        <w:rPr>
          <w:i/>
        </w:rPr>
        <w:t>the</w:t>
      </w:r>
      <w:r>
        <w:rPr>
          <w:i/>
          <w:spacing w:val="-3"/>
        </w:rPr>
        <w:t xml:space="preserve"> </w:t>
      </w:r>
      <w:r>
        <w:rPr>
          <w:i/>
          <w:spacing w:val="-1"/>
        </w:rPr>
        <w:t>tubing at</w:t>
      </w:r>
      <w:r>
        <w:rPr>
          <w:i/>
        </w:rPr>
        <w:t xml:space="preserve"> </w:t>
      </w:r>
      <w:r>
        <w:rPr>
          <w:i/>
          <w:spacing w:val="-1"/>
        </w:rPr>
        <w:t>the</w:t>
      </w:r>
      <w:r>
        <w:rPr>
          <w:i/>
        </w:rPr>
        <w:t xml:space="preserve"> </w:t>
      </w:r>
      <w:r>
        <w:rPr>
          <w:i/>
          <w:spacing w:val="-1"/>
        </w:rPr>
        <w:t>top of</w:t>
      </w:r>
      <w:r>
        <w:rPr>
          <w:i/>
        </w:rPr>
        <w:t xml:space="preserve"> </w:t>
      </w:r>
      <w:r>
        <w:rPr>
          <w:i/>
          <w:spacing w:val="-2"/>
        </w:rPr>
        <w:t>the</w:t>
      </w:r>
      <w:r>
        <w:rPr>
          <w:i/>
        </w:rPr>
        <w:t xml:space="preserve"> </w:t>
      </w:r>
      <w:r>
        <w:rPr>
          <w:i/>
          <w:spacing w:val="-1"/>
        </w:rPr>
        <w:t>CTD.</w:t>
      </w:r>
    </w:p>
    <w:p w14:paraId="063C78EC" w14:textId="4C5A25D1" w:rsidR="00DA32C5" w:rsidRPr="00DA32C5" w:rsidRDefault="00DA32C5" w:rsidP="00DA32C5">
      <w:pPr>
        <w:pStyle w:val="ListParagraph"/>
        <w:numPr>
          <w:ilvl w:val="0"/>
          <w:numId w:val="199"/>
        </w:numPr>
        <w:spacing w:before="60"/>
        <w:ind w:right="113"/>
        <w:jc w:val="both"/>
        <w:rPr>
          <w:rFonts w:cs="Calibri"/>
        </w:rPr>
      </w:pPr>
      <w:r w:rsidRPr="00DA32C5">
        <w:rPr>
          <w:rFonts w:cs="Calibri"/>
        </w:rPr>
        <w:t>Whilst keeping the CTD at the top of the profile, wait</w:t>
      </w:r>
      <w:r w:rsidRPr="00DA32C5">
        <w:rPr>
          <w:rFonts w:cs="Calibri"/>
          <w:spacing w:val="10"/>
        </w:rPr>
        <w:t xml:space="preserve"> </w:t>
      </w:r>
      <w:r w:rsidRPr="00DA32C5">
        <w:rPr>
          <w:rFonts w:cs="Calibri"/>
          <w:b/>
          <w:bCs/>
          <w:spacing w:val="-1"/>
        </w:rPr>
        <w:t>3 minutes</w:t>
      </w:r>
      <w:r w:rsidRPr="00DA32C5">
        <w:rPr>
          <w:rFonts w:cs="Calibri"/>
          <w:b/>
          <w:bCs/>
          <w:spacing w:val="11"/>
        </w:rPr>
        <w:t xml:space="preserve"> </w:t>
      </w:r>
      <w:r w:rsidRPr="00DA32C5">
        <w:rPr>
          <w:rFonts w:cs="Calibri"/>
          <w:spacing w:val="-1"/>
        </w:rPr>
        <w:t>for</w:t>
      </w:r>
      <w:r w:rsidRPr="00DA32C5">
        <w:rPr>
          <w:rFonts w:cs="Calibri"/>
          <w:spacing w:val="9"/>
        </w:rPr>
        <w:t xml:space="preserve"> </w:t>
      </w:r>
      <w:r w:rsidRPr="00DA32C5">
        <w:rPr>
          <w:rFonts w:cs="Calibri"/>
        </w:rPr>
        <w:t>the</w:t>
      </w:r>
      <w:r w:rsidRPr="00DA32C5">
        <w:rPr>
          <w:rFonts w:cs="Calibri"/>
          <w:spacing w:val="7"/>
        </w:rPr>
        <w:t xml:space="preserve"> </w:t>
      </w:r>
      <w:r w:rsidRPr="00DA32C5">
        <w:rPr>
          <w:rFonts w:cs="Calibri"/>
          <w:spacing w:val="-1"/>
        </w:rPr>
        <w:t>CTD</w:t>
      </w:r>
      <w:r w:rsidRPr="00DA32C5">
        <w:rPr>
          <w:rFonts w:cs="Calibri"/>
          <w:spacing w:val="11"/>
        </w:rPr>
        <w:t xml:space="preserve"> </w:t>
      </w:r>
      <w:r w:rsidRPr="00DA32C5">
        <w:rPr>
          <w:rFonts w:cs="Calibri"/>
          <w:spacing w:val="-1"/>
        </w:rPr>
        <w:t>to</w:t>
      </w:r>
      <w:r w:rsidRPr="00DA32C5">
        <w:rPr>
          <w:rFonts w:cs="Calibri"/>
          <w:spacing w:val="11"/>
        </w:rPr>
        <w:t xml:space="preserve"> </w:t>
      </w:r>
      <w:r w:rsidRPr="00DA32C5">
        <w:rPr>
          <w:rFonts w:cs="Calibri"/>
          <w:spacing w:val="-1"/>
        </w:rPr>
        <w:t>start</w:t>
      </w:r>
      <w:r w:rsidRPr="00DA32C5">
        <w:rPr>
          <w:rFonts w:cs="Calibri"/>
          <w:spacing w:val="10"/>
        </w:rPr>
        <w:t xml:space="preserve"> </w:t>
      </w:r>
      <w:r w:rsidRPr="00DA32C5">
        <w:rPr>
          <w:rFonts w:cs="Calibri"/>
          <w:spacing w:val="-1"/>
        </w:rPr>
        <w:t>pumping</w:t>
      </w:r>
      <w:r w:rsidRPr="00DA32C5">
        <w:rPr>
          <w:rFonts w:cs="Calibri"/>
          <w:spacing w:val="9"/>
        </w:rPr>
        <w:t xml:space="preserve"> </w:t>
      </w:r>
      <w:r w:rsidRPr="00DA32C5">
        <w:rPr>
          <w:rFonts w:cs="Calibri"/>
          <w:spacing w:val="-1"/>
        </w:rPr>
        <w:t>and</w:t>
      </w:r>
      <w:r w:rsidRPr="00DA32C5">
        <w:rPr>
          <w:rFonts w:cs="Calibri"/>
          <w:spacing w:val="9"/>
        </w:rPr>
        <w:t xml:space="preserve"> </w:t>
      </w:r>
      <w:r w:rsidRPr="00DA32C5">
        <w:rPr>
          <w:rFonts w:cs="Calibri"/>
          <w:spacing w:val="-1"/>
        </w:rPr>
        <w:t>purge</w:t>
      </w:r>
      <w:r w:rsidRPr="00DA32C5">
        <w:rPr>
          <w:rFonts w:cs="Calibri"/>
          <w:spacing w:val="10"/>
        </w:rPr>
        <w:t xml:space="preserve"> </w:t>
      </w:r>
      <w:r w:rsidRPr="00DA32C5">
        <w:rPr>
          <w:rFonts w:cs="Calibri"/>
        </w:rPr>
        <w:t>the</w:t>
      </w:r>
      <w:r w:rsidRPr="00DA32C5">
        <w:rPr>
          <w:rFonts w:cs="Calibri"/>
          <w:spacing w:val="10"/>
        </w:rPr>
        <w:t xml:space="preserve"> </w:t>
      </w:r>
      <w:r w:rsidRPr="00DA32C5">
        <w:rPr>
          <w:rFonts w:cs="Calibri"/>
        </w:rPr>
        <w:t>air</w:t>
      </w:r>
      <w:r w:rsidRPr="00DA32C5">
        <w:rPr>
          <w:rFonts w:cs="Calibri"/>
          <w:spacing w:val="9"/>
        </w:rPr>
        <w:t xml:space="preserve"> </w:t>
      </w:r>
      <w:r w:rsidRPr="00DA32C5">
        <w:rPr>
          <w:rFonts w:cs="Calibri"/>
          <w:spacing w:val="-1"/>
        </w:rPr>
        <w:t>and</w:t>
      </w:r>
      <w:r w:rsidRPr="00DA32C5">
        <w:rPr>
          <w:rFonts w:cs="Calibri"/>
          <w:spacing w:val="9"/>
        </w:rPr>
        <w:t xml:space="preserve"> </w:t>
      </w:r>
      <w:r w:rsidRPr="00DA32C5">
        <w:rPr>
          <w:rFonts w:cs="Calibri"/>
        </w:rPr>
        <w:t>water</w:t>
      </w:r>
      <w:r w:rsidRPr="00DA32C5">
        <w:rPr>
          <w:rFonts w:cs="Calibri"/>
          <w:spacing w:val="7"/>
        </w:rPr>
        <w:t xml:space="preserve"> </w:t>
      </w:r>
      <w:r w:rsidRPr="00DA32C5">
        <w:rPr>
          <w:rFonts w:cs="Calibri"/>
        </w:rPr>
        <w:t>out</w:t>
      </w:r>
      <w:r w:rsidRPr="00DA32C5">
        <w:rPr>
          <w:rFonts w:cs="Calibri"/>
          <w:spacing w:val="8"/>
        </w:rPr>
        <w:t xml:space="preserve"> </w:t>
      </w:r>
      <w:r w:rsidRPr="00DA32C5">
        <w:rPr>
          <w:rFonts w:cs="Calibri"/>
        </w:rPr>
        <w:t>of</w:t>
      </w:r>
      <w:r w:rsidRPr="00DA32C5">
        <w:rPr>
          <w:rFonts w:cs="Calibri"/>
          <w:spacing w:val="9"/>
        </w:rPr>
        <w:t xml:space="preserve"> </w:t>
      </w:r>
      <w:r w:rsidRPr="00DA32C5">
        <w:rPr>
          <w:rFonts w:cs="Calibri"/>
          <w:spacing w:val="-1"/>
        </w:rPr>
        <w:t>the</w:t>
      </w:r>
      <w:r w:rsidRPr="00DA32C5">
        <w:rPr>
          <w:rFonts w:cs="Calibri"/>
          <w:spacing w:val="41"/>
        </w:rPr>
        <w:t xml:space="preserve"> </w:t>
      </w:r>
      <w:r w:rsidRPr="00DA32C5">
        <w:rPr>
          <w:rFonts w:cs="Calibri"/>
          <w:spacing w:val="-1"/>
        </w:rPr>
        <w:t>salinity</w:t>
      </w:r>
      <w:r w:rsidRPr="00DA32C5">
        <w:rPr>
          <w:rFonts w:cs="Calibri"/>
          <w:spacing w:val="17"/>
        </w:rPr>
        <w:t xml:space="preserve"> </w:t>
      </w:r>
      <w:r w:rsidRPr="00DA32C5">
        <w:rPr>
          <w:rFonts w:cs="Calibri"/>
        </w:rPr>
        <w:t>cell, and to equilibrate the temperature of the sensors.</w:t>
      </w:r>
      <w:r w:rsidRPr="00DA32C5">
        <w:rPr>
          <w:rFonts w:cs="Calibri"/>
          <w:spacing w:val="16"/>
        </w:rPr>
        <w:t xml:space="preserve"> </w:t>
      </w:r>
      <w:r w:rsidRPr="00DA32C5">
        <w:rPr>
          <w:rFonts w:cs="Calibri"/>
          <w:spacing w:val="-1"/>
        </w:rPr>
        <w:t>(</w:t>
      </w:r>
      <w:r w:rsidRPr="00DA32C5">
        <w:rPr>
          <w:rFonts w:cs="Calibri"/>
          <w:i/>
          <w:spacing w:val="-1"/>
        </w:rPr>
        <w:t>The</w:t>
      </w:r>
      <w:r w:rsidRPr="00DA32C5">
        <w:rPr>
          <w:rFonts w:cs="Calibri"/>
          <w:i/>
          <w:spacing w:val="17"/>
        </w:rPr>
        <w:t xml:space="preserve"> </w:t>
      </w:r>
      <w:r w:rsidRPr="00DA32C5">
        <w:rPr>
          <w:rFonts w:cs="Calibri"/>
          <w:i/>
          <w:spacing w:val="-1"/>
        </w:rPr>
        <w:t>CTD</w:t>
      </w:r>
      <w:r w:rsidRPr="00DA32C5">
        <w:rPr>
          <w:rFonts w:cs="Calibri"/>
          <w:i/>
          <w:spacing w:val="16"/>
        </w:rPr>
        <w:t xml:space="preserve"> </w:t>
      </w:r>
      <w:r w:rsidRPr="00DA32C5">
        <w:rPr>
          <w:rFonts w:cs="Calibri"/>
          <w:i/>
          <w:spacing w:val="-2"/>
        </w:rPr>
        <w:t>has</w:t>
      </w:r>
      <w:r w:rsidRPr="00DA32C5">
        <w:rPr>
          <w:rFonts w:cs="Calibri"/>
          <w:i/>
          <w:spacing w:val="17"/>
        </w:rPr>
        <w:t xml:space="preserve"> </w:t>
      </w:r>
      <w:r w:rsidRPr="00DA32C5">
        <w:rPr>
          <w:rFonts w:cs="Calibri"/>
          <w:i/>
          <w:spacing w:val="-1"/>
        </w:rPr>
        <w:t>an</w:t>
      </w:r>
      <w:r w:rsidRPr="00DA32C5">
        <w:rPr>
          <w:rFonts w:cs="Calibri"/>
          <w:i/>
          <w:spacing w:val="16"/>
        </w:rPr>
        <w:t xml:space="preserve"> </w:t>
      </w:r>
      <w:r w:rsidRPr="00DA32C5">
        <w:rPr>
          <w:rFonts w:cs="Calibri"/>
          <w:i/>
          <w:spacing w:val="-1"/>
        </w:rPr>
        <w:t>internal</w:t>
      </w:r>
      <w:r w:rsidRPr="00DA32C5">
        <w:rPr>
          <w:rFonts w:cs="Calibri"/>
          <w:i/>
          <w:spacing w:val="17"/>
        </w:rPr>
        <w:t xml:space="preserve"> </w:t>
      </w:r>
      <w:r w:rsidRPr="00DA32C5">
        <w:rPr>
          <w:rFonts w:cs="Calibri"/>
          <w:i/>
          <w:spacing w:val="-1"/>
        </w:rPr>
        <w:t>pump</w:t>
      </w:r>
      <w:r w:rsidRPr="00DA32C5">
        <w:rPr>
          <w:rFonts w:cs="Calibri"/>
          <w:i/>
          <w:spacing w:val="17"/>
        </w:rPr>
        <w:t xml:space="preserve"> </w:t>
      </w:r>
      <w:r w:rsidRPr="00DA32C5">
        <w:rPr>
          <w:rFonts w:cs="Calibri"/>
          <w:i/>
          <w:spacing w:val="-1"/>
        </w:rPr>
        <w:t>which</w:t>
      </w:r>
      <w:r w:rsidRPr="00DA32C5">
        <w:rPr>
          <w:rFonts w:cs="Calibri"/>
          <w:i/>
          <w:spacing w:val="18"/>
        </w:rPr>
        <w:t xml:space="preserve"> </w:t>
      </w:r>
      <w:r w:rsidRPr="00DA32C5">
        <w:rPr>
          <w:rFonts w:cs="Calibri"/>
          <w:i/>
          <w:spacing w:val="-1"/>
        </w:rPr>
        <w:t>pumps</w:t>
      </w:r>
      <w:r w:rsidRPr="00DA32C5">
        <w:rPr>
          <w:rFonts w:cs="Calibri"/>
          <w:i/>
          <w:spacing w:val="17"/>
        </w:rPr>
        <w:t xml:space="preserve"> </w:t>
      </w:r>
      <w:r w:rsidRPr="00DA32C5">
        <w:rPr>
          <w:rFonts w:cs="Calibri"/>
          <w:i/>
        </w:rPr>
        <w:t>water</w:t>
      </w:r>
      <w:r w:rsidRPr="00DA32C5">
        <w:rPr>
          <w:rFonts w:cs="Calibri"/>
          <w:i/>
          <w:spacing w:val="18"/>
        </w:rPr>
        <w:t xml:space="preserve"> </w:t>
      </w:r>
      <w:r w:rsidRPr="00DA32C5">
        <w:rPr>
          <w:rFonts w:cs="Calibri"/>
          <w:i/>
          <w:spacing w:val="-1"/>
        </w:rPr>
        <w:t>through</w:t>
      </w:r>
      <w:r w:rsidRPr="00DA32C5">
        <w:rPr>
          <w:rFonts w:cs="Calibri"/>
          <w:i/>
          <w:spacing w:val="16"/>
        </w:rPr>
        <w:t xml:space="preserve"> </w:t>
      </w:r>
      <w:r w:rsidRPr="00DA32C5">
        <w:rPr>
          <w:rFonts w:cs="Calibri"/>
          <w:i/>
        </w:rPr>
        <w:t>the</w:t>
      </w:r>
      <w:r w:rsidRPr="00DA32C5">
        <w:rPr>
          <w:rFonts w:cs="Calibri"/>
          <w:i/>
          <w:spacing w:val="14"/>
        </w:rPr>
        <w:t xml:space="preserve"> </w:t>
      </w:r>
      <w:r w:rsidRPr="00DA32C5">
        <w:rPr>
          <w:rFonts w:cs="Calibri"/>
          <w:i/>
          <w:spacing w:val="-1"/>
        </w:rPr>
        <w:t>conductivity</w:t>
      </w:r>
      <w:r w:rsidRPr="00DA32C5">
        <w:rPr>
          <w:rFonts w:cs="Calibri"/>
          <w:i/>
          <w:spacing w:val="16"/>
        </w:rPr>
        <w:t xml:space="preserve"> </w:t>
      </w:r>
      <w:r w:rsidRPr="00DA32C5">
        <w:rPr>
          <w:rFonts w:cs="Calibri"/>
          <w:i/>
        </w:rPr>
        <w:t>cell</w:t>
      </w:r>
      <w:r w:rsidRPr="00DA32C5">
        <w:rPr>
          <w:rFonts w:cs="Calibri"/>
          <w:i/>
          <w:spacing w:val="8"/>
        </w:rPr>
        <w:t xml:space="preserve"> </w:t>
      </w:r>
      <w:r w:rsidRPr="00DA32C5">
        <w:rPr>
          <w:rFonts w:cs="Calibri"/>
          <w:i/>
          <w:spacing w:val="-1"/>
        </w:rPr>
        <w:t>at</w:t>
      </w:r>
      <w:r w:rsidRPr="00DA32C5">
        <w:rPr>
          <w:rFonts w:cs="Calibri"/>
          <w:i/>
          <w:spacing w:val="5"/>
        </w:rPr>
        <w:t xml:space="preserve"> </w:t>
      </w:r>
      <w:r w:rsidRPr="00DA32C5">
        <w:rPr>
          <w:rFonts w:cs="Calibri"/>
          <w:i/>
        </w:rPr>
        <w:t>a</w:t>
      </w:r>
      <w:r w:rsidRPr="00DA32C5">
        <w:rPr>
          <w:rFonts w:cs="Calibri"/>
          <w:i/>
          <w:spacing w:val="7"/>
        </w:rPr>
        <w:t xml:space="preserve"> </w:t>
      </w:r>
      <w:r w:rsidRPr="00DA32C5">
        <w:rPr>
          <w:rFonts w:cs="Calibri"/>
          <w:i/>
          <w:spacing w:val="-1"/>
        </w:rPr>
        <w:t>constant</w:t>
      </w:r>
      <w:r w:rsidRPr="00DA32C5">
        <w:rPr>
          <w:rFonts w:cs="Calibri"/>
          <w:i/>
          <w:spacing w:val="8"/>
        </w:rPr>
        <w:t xml:space="preserve"> </w:t>
      </w:r>
      <w:r w:rsidRPr="00DA32C5">
        <w:rPr>
          <w:rFonts w:cs="Calibri"/>
          <w:i/>
          <w:spacing w:val="-1"/>
        </w:rPr>
        <w:t>rate</w:t>
      </w:r>
      <w:r w:rsidRPr="00DA32C5">
        <w:rPr>
          <w:rFonts w:cs="Calibri"/>
          <w:i/>
          <w:spacing w:val="5"/>
        </w:rPr>
        <w:t xml:space="preserve"> </w:t>
      </w:r>
      <w:r w:rsidRPr="00DA32C5">
        <w:rPr>
          <w:rFonts w:cs="Calibri"/>
          <w:i/>
          <w:spacing w:val="-1"/>
        </w:rPr>
        <w:t>for</w:t>
      </w:r>
      <w:r w:rsidRPr="00DA32C5">
        <w:rPr>
          <w:rFonts w:cs="Calibri"/>
          <w:i/>
          <w:spacing w:val="8"/>
        </w:rPr>
        <w:t xml:space="preserve"> </w:t>
      </w:r>
      <w:r w:rsidRPr="00DA32C5">
        <w:rPr>
          <w:rFonts w:cs="Calibri"/>
          <w:i/>
          <w:spacing w:val="-1"/>
        </w:rPr>
        <w:t>high</w:t>
      </w:r>
      <w:r w:rsidRPr="00DA32C5">
        <w:rPr>
          <w:rFonts w:cs="Calibri"/>
          <w:i/>
          <w:spacing w:val="7"/>
        </w:rPr>
        <w:t xml:space="preserve"> </w:t>
      </w:r>
      <w:r w:rsidRPr="00DA32C5">
        <w:rPr>
          <w:rFonts w:cs="Calibri"/>
          <w:i/>
          <w:spacing w:val="-1"/>
        </w:rPr>
        <w:t>accuracy</w:t>
      </w:r>
      <w:r w:rsidRPr="00DA32C5">
        <w:rPr>
          <w:rFonts w:cs="Calibri"/>
          <w:i/>
          <w:spacing w:val="6"/>
        </w:rPr>
        <w:t xml:space="preserve"> </w:t>
      </w:r>
      <w:r w:rsidRPr="00DA32C5">
        <w:rPr>
          <w:rFonts w:cs="Calibri"/>
          <w:i/>
          <w:spacing w:val="-1"/>
        </w:rPr>
        <w:t>salinity</w:t>
      </w:r>
      <w:r w:rsidRPr="00DA32C5">
        <w:rPr>
          <w:rFonts w:cs="Calibri"/>
          <w:i/>
          <w:spacing w:val="7"/>
        </w:rPr>
        <w:t xml:space="preserve"> </w:t>
      </w:r>
      <w:r w:rsidRPr="00DA32C5">
        <w:rPr>
          <w:rFonts w:cs="Calibri"/>
          <w:i/>
          <w:spacing w:val="-1"/>
        </w:rPr>
        <w:t>measurements.</w:t>
      </w:r>
      <w:r w:rsidRPr="00DA32C5">
        <w:rPr>
          <w:rFonts w:cs="Calibri"/>
          <w:i/>
          <w:spacing w:val="10"/>
        </w:rPr>
        <w:t xml:space="preserve"> </w:t>
      </w:r>
      <w:r w:rsidRPr="00DA32C5">
        <w:rPr>
          <w:rFonts w:cs="Calibri"/>
          <w:i/>
          <w:spacing w:val="-1"/>
        </w:rPr>
        <w:t>The</w:t>
      </w:r>
      <w:r w:rsidRPr="00DA32C5">
        <w:rPr>
          <w:rFonts w:cs="Calibri"/>
          <w:i/>
          <w:spacing w:val="7"/>
        </w:rPr>
        <w:t xml:space="preserve"> </w:t>
      </w:r>
      <w:r w:rsidRPr="00DA32C5">
        <w:rPr>
          <w:rFonts w:cs="Calibri"/>
          <w:i/>
          <w:spacing w:val="-1"/>
        </w:rPr>
        <w:t>pump</w:t>
      </w:r>
      <w:r w:rsidRPr="00DA32C5">
        <w:rPr>
          <w:rFonts w:cs="Calibri"/>
          <w:i/>
          <w:spacing w:val="7"/>
        </w:rPr>
        <w:t xml:space="preserve"> </w:t>
      </w:r>
      <w:r w:rsidRPr="00DA32C5">
        <w:rPr>
          <w:rFonts w:cs="Calibri"/>
          <w:i/>
          <w:spacing w:val="-1"/>
        </w:rPr>
        <w:t>starts</w:t>
      </w:r>
      <w:r w:rsidRPr="00DA32C5">
        <w:rPr>
          <w:rFonts w:cs="Calibri"/>
          <w:i/>
          <w:spacing w:val="53"/>
        </w:rPr>
        <w:t xml:space="preserve"> </w:t>
      </w:r>
      <w:r w:rsidRPr="00DA32C5">
        <w:rPr>
          <w:rFonts w:cs="Calibri"/>
          <w:i/>
        </w:rPr>
        <w:t>when</w:t>
      </w:r>
      <w:r w:rsidRPr="00DA32C5">
        <w:rPr>
          <w:rFonts w:cs="Calibri"/>
          <w:i/>
          <w:spacing w:val="37"/>
        </w:rPr>
        <w:t xml:space="preserve"> </w:t>
      </w:r>
      <w:r w:rsidRPr="00DA32C5">
        <w:rPr>
          <w:rFonts w:cs="Calibri"/>
          <w:i/>
        </w:rPr>
        <w:t>the</w:t>
      </w:r>
      <w:r w:rsidRPr="00DA32C5">
        <w:rPr>
          <w:rFonts w:cs="Calibri"/>
          <w:i/>
          <w:spacing w:val="38"/>
        </w:rPr>
        <w:t xml:space="preserve"> </w:t>
      </w:r>
      <w:r w:rsidRPr="00DA32C5">
        <w:rPr>
          <w:rFonts w:cs="Calibri"/>
          <w:i/>
          <w:spacing w:val="-1"/>
        </w:rPr>
        <w:t>conductivity</w:t>
      </w:r>
      <w:r w:rsidRPr="00DA32C5">
        <w:rPr>
          <w:rFonts w:cs="Calibri"/>
          <w:i/>
          <w:spacing w:val="38"/>
        </w:rPr>
        <w:t xml:space="preserve"> </w:t>
      </w:r>
      <w:r w:rsidRPr="00DA32C5">
        <w:rPr>
          <w:rFonts w:cs="Calibri"/>
          <w:i/>
          <w:spacing w:val="-1"/>
        </w:rPr>
        <w:t>circuitry</w:t>
      </w:r>
      <w:r w:rsidRPr="00DA32C5">
        <w:rPr>
          <w:rFonts w:cs="Calibri"/>
          <w:i/>
          <w:spacing w:val="37"/>
        </w:rPr>
        <w:t xml:space="preserve"> </w:t>
      </w:r>
      <w:r w:rsidRPr="00DA32C5">
        <w:rPr>
          <w:rFonts w:cs="Calibri"/>
          <w:i/>
          <w:spacing w:val="-1"/>
        </w:rPr>
        <w:t>determines</w:t>
      </w:r>
      <w:r w:rsidRPr="00DA32C5">
        <w:rPr>
          <w:rFonts w:cs="Calibri"/>
          <w:i/>
          <w:spacing w:val="39"/>
        </w:rPr>
        <w:t xml:space="preserve"> </w:t>
      </w:r>
      <w:r w:rsidRPr="00DA32C5">
        <w:rPr>
          <w:rFonts w:cs="Calibri"/>
          <w:i/>
        </w:rPr>
        <w:t>it</w:t>
      </w:r>
      <w:r w:rsidRPr="00DA32C5">
        <w:rPr>
          <w:rFonts w:cs="Calibri"/>
          <w:i/>
          <w:spacing w:val="38"/>
        </w:rPr>
        <w:t xml:space="preserve"> </w:t>
      </w:r>
      <w:r w:rsidRPr="00DA32C5">
        <w:rPr>
          <w:rFonts w:cs="Calibri"/>
          <w:i/>
        </w:rPr>
        <w:t>is</w:t>
      </w:r>
      <w:r w:rsidRPr="00DA32C5">
        <w:rPr>
          <w:rFonts w:cs="Calibri"/>
          <w:i/>
          <w:spacing w:val="39"/>
        </w:rPr>
        <w:t xml:space="preserve"> </w:t>
      </w:r>
      <w:r w:rsidRPr="00DA32C5">
        <w:rPr>
          <w:rFonts w:cs="Calibri"/>
          <w:i/>
          <w:spacing w:val="-2"/>
        </w:rPr>
        <w:t>in</w:t>
      </w:r>
      <w:r w:rsidRPr="00DA32C5">
        <w:rPr>
          <w:rFonts w:cs="Calibri"/>
          <w:i/>
          <w:spacing w:val="38"/>
        </w:rPr>
        <w:t xml:space="preserve"> </w:t>
      </w:r>
      <w:r w:rsidRPr="00DA32C5">
        <w:rPr>
          <w:rFonts w:cs="Calibri"/>
          <w:i/>
          <w:spacing w:val="-1"/>
        </w:rPr>
        <w:t>salt</w:t>
      </w:r>
      <w:r w:rsidRPr="00DA32C5">
        <w:rPr>
          <w:rFonts w:cs="Calibri"/>
          <w:i/>
          <w:spacing w:val="38"/>
        </w:rPr>
        <w:t xml:space="preserve"> </w:t>
      </w:r>
      <w:r w:rsidRPr="00DA32C5">
        <w:rPr>
          <w:rFonts w:cs="Calibri"/>
          <w:i/>
        </w:rPr>
        <w:t>water.</w:t>
      </w:r>
      <w:r w:rsidRPr="00DA32C5">
        <w:rPr>
          <w:rFonts w:cs="Calibri"/>
          <w:i/>
          <w:spacing w:val="41"/>
        </w:rPr>
        <w:t xml:space="preserve"> </w:t>
      </w:r>
      <w:r w:rsidRPr="00DA32C5">
        <w:rPr>
          <w:rFonts w:cs="Calibri"/>
          <w:i/>
        </w:rPr>
        <w:t>It</w:t>
      </w:r>
      <w:r w:rsidRPr="00DA32C5">
        <w:rPr>
          <w:rFonts w:cs="Calibri"/>
          <w:i/>
          <w:spacing w:val="39"/>
        </w:rPr>
        <w:t xml:space="preserve"> </w:t>
      </w:r>
      <w:r w:rsidRPr="00DA32C5">
        <w:rPr>
          <w:rFonts w:cs="Calibri"/>
          <w:i/>
          <w:spacing w:val="-1"/>
        </w:rPr>
        <w:t>needs</w:t>
      </w:r>
      <w:r w:rsidRPr="00DA32C5">
        <w:rPr>
          <w:rFonts w:cs="Calibri"/>
          <w:i/>
          <w:spacing w:val="38"/>
        </w:rPr>
        <w:t xml:space="preserve"> </w:t>
      </w:r>
      <w:r w:rsidRPr="00DA32C5">
        <w:rPr>
          <w:rFonts w:cs="Calibri"/>
          <w:i/>
          <w:spacing w:val="-1"/>
        </w:rPr>
        <w:t>at</w:t>
      </w:r>
      <w:r w:rsidRPr="00DA32C5">
        <w:rPr>
          <w:rFonts w:cs="Calibri"/>
          <w:i/>
          <w:spacing w:val="36"/>
        </w:rPr>
        <w:t xml:space="preserve"> </w:t>
      </w:r>
      <w:r w:rsidRPr="00DA32C5">
        <w:rPr>
          <w:rFonts w:cs="Calibri"/>
          <w:i/>
          <w:spacing w:val="-1"/>
        </w:rPr>
        <w:t>least</w:t>
      </w:r>
      <w:r w:rsidRPr="00DA32C5">
        <w:rPr>
          <w:rFonts w:cs="Calibri"/>
          <w:i/>
          <w:spacing w:val="39"/>
        </w:rPr>
        <w:t xml:space="preserve"> </w:t>
      </w:r>
      <w:r w:rsidRPr="00DA32C5">
        <w:rPr>
          <w:rFonts w:cs="Calibri"/>
          <w:i/>
          <w:spacing w:val="-1"/>
        </w:rPr>
        <w:t>30</w:t>
      </w:r>
      <w:r w:rsidRPr="00DA32C5">
        <w:rPr>
          <w:rFonts w:cs="Calibri"/>
          <w:i/>
          <w:spacing w:val="39"/>
        </w:rPr>
        <w:t xml:space="preserve"> </w:t>
      </w:r>
      <w:r w:rsidRPr="00DA32C5">
        <w:rPr>
          <w:rFonts w:cs="Calibri"/>
          <w:i/>
          <w:spacing w:val="-1"/>
        </w:rPr>
        <w:t>seconds</w:t>
      </w:r>
      <w:r w:rsidRPr="00DA32C5">
        <w:rPr>
          <w:rFonts w:cs="Calibri"/>
          <w:i/>
          <w:spacing w:val="47"/>
        </w:rPr>
        <w:t xml:space="preserve"> </w:t>
      </w:r>
      <w:r w:rsidRPr="00DA32C5">
        <w:rPr>
          <w:rFonts w:cs="Calibri"/>
          <w:i/>
          <w:spacing w:val="-1"/>
        </w:rPr>
        <w:t xml:space="preserve">thereafter </w:t>
      </w:r>
      <w:r w:rsidRPr="00DA32C5">
        <w:rPr>
          <w:rFonts w:cs="Calibri"/>
          <w:i/>
        </w:rPr>
        <w:t xml:space="preserve">to </w:t>
      </w:r>
      <w:r w:rsidRPr="00DA32C5">
        <w:rPr>
          <w:rFonts w:cs="Calibri"/>
          <w:i/>
          <w:spacing w:val="-1"/>
        </w:rPr>
        <w:t>purge</w:t>
      </w:r>
      <w:r w:rsidRPr="00DA32C5">
        <w:rPr>
          <w:rFonts w:cs="Calibri"/>
          <w:i/>
          <w:spacing w:val="-3"/>
        </w:rPr>
        <w:t xml:space="preserve"> </w:t>
      </w:r>
      <w:r w:rsidRPr="00DA32C5">
        <w:rPr>
          <w:rFonts w:cs="Calibri"/>
          <w:i/>
          <w:spacing w:val="-1"/>
        </w:rPr>
        <w:t>the</w:t>
      </w:r>
      <w:r w:rsidRPr="00DA32C5">
        <w:rPr>
          <w:rFonts w:cs="Calibri"/>
          <w:i/>
        </w:rPr>
        <w:t xml:space="preserve"> </w:t>
      </w:r>
      <w:r w:rsidRPr="00DA32C5">
        <w:rPr>
          <w:rFonts w:cs="Calibri"/>
          <w:i/>
          <w:spacing w:val="-1"/>
        </w:rPr>
        <w:t>lines.</w:t>
      </w:r>
      <w:r w:rsidRPr="00DA32C5">
        <w:rPr>
          <w:rFonts w:cs="Calibri"/>
          <w:spacing w:val="-1"/>
        </w:rPr>
        <w:t>).</w:t>
      </w:r>
    </w:p>
    <w:p w14:paraId="5658F4FA" w14:textId="77777777" w:rsidR="00DA32C5" w:rsidRPr="00DA32C5" w:rsidRDefault="00DA32C5" w:rsidP="00DA32C5">
      <w:pPr>
        <w:pStyle w:val="ListParagraph"/>
        <w:numPr>
          <w:ilvl w:val="0"/>
          <w:numId w:val="199"/>
        </w:numPr>
        <w:spacing w:before="60"/>
        <w:ind w:right="113"/>
        <w:jc w:val="both"/>
        <w:rPr>
          <w:rFonts w:cs="Calibri"/>
        </w:rPr>
      </w:pPr>
      <w:r>
        <w:t>After</w:t>
      </w:r>
      <w:r w:rsidRPr="00DA32C5">
        <w:rPr>
          <w:spacing w:val="2"/>
        </w:rPr>
        <w:t xml:space="preserve"> </w:t>
      </w:r>
      <w:r>
        <w:t>3 minutes,</w:t>
      </w:r>
      <w:r w:rsidRPr="00DA32C5">
        <w:rPr>
          <w:spacing w:val="4"/>
        </w:rPr>
        <w:t xml:space="preserve"> </w:t>
      </w:r>
      <w:r w:rsidRPr="00DA32C5">
        <w:rPr>
          <w:spacing w:val="-1"/>
        </w:rPr>
        <w:t>lower</w:t>
      </w:r>
      <w:r w:rsidRPr="00DA32C5">
        <w:rPr>
          <w:spacing w:val="3"/>
        </w:rPr>
        <w:t xml:space="preserve"> </w:t>
      </w:r>
      <w:r>
        <w:t>the</w:t>
      </w:r>
      <w:r w:rsidRPr="00DA32C5">
        <w:rPr>
          <w:spacing w:val="3"/>
        </w:rPr>
        <w:t xml:space="preserve"> </w:t>
      </w:r>
      <w:r w:rsidRPr="00DA32C5">
        <w:rPr>
          <w:spacing w:val="-2"/>
        </w:rPr>
        <w:t>CTD</w:t>
      </w:r>
      <w:r w:rsidRPr="00DA32C5">
        <w:rPr>
          <w:spacing w:val="4"/>
        </w:rPr>
        <w:t xml:space="preserve"> </w:t>
      </w:r>
      <w:r w:rsidRPr="00DA32C5">
        <w:rPr>
          <w:spacing w:val="-1"/>
        </w:rPr>
        <w:t>to</w:t>
      </w:r>
      <w:r w:rsidRPr="00DA32C5">
        <w:rPr>
          <w:spacing w:val="3"/>
        </w:rPr>
        <w:t xml:space="preserve"> </w:t>
      </w:r>
      <w:r>
        <w:t>within</w:t>
      </w:r>
      <w:r w:rsidRPr="00DA32C5">
        <w:rPr>
          <w:spacing w:val="1"/>
        </w:rPr>
        <w:t xml:space="preserve"> </w:t>
      </w:r>
      <w:r>
        <w:t>2-3 m</w:t>
      </w:r>
      <w:r w:rsidRPr="00DA32C5">
        <w:rPr>
          <w:spacing w:val="4"/>
        </w:rPr>
        <w:t xml:space="preserve"> </w:t>
      </w:r>
      <w:r>
        <w:t>of</w:t>
      </w:r>
      <w:r w:rsidRPr="00DA32C5">
        <w:rPr>
          <w:spacing w:val="2"/>
        </w:rPr>
        <w:t xml:space="preserve"> </w:t>
      </w:r>
      <w:r>
        <w:t>the</w:t>
      </w:r>
      <w:r w:rsidRPr="00DA32C5">
        <w:rPr>
          <w:spacing w:val="3"/>
        </w:rPr>
        <w:t xml:space="preserve"> </w:t>
      </w:r>
      <w:r w:rsidRPr="00DA32C5">
        <w:rPr>
          <w:spacing w:val="-2"/>
        </w:rPr>
        <w:t>bottom</w:t>
      </w:r>
      <w:r w:rsidRPr="00DA32C5">
        <w:rPr>
          <w:spacing w:val="3"/>
        </w:rPr>
        <w:t xml:space="preserve"> </w:t>
      </w:r>
      <w:r>
        <w:t>at</w:t>
      </w:r>
      <w:r w:rsidRPr="00DA32C5">
        <w:rPr>
          <w:spacing w:val="3"/>
        </w:rPr>
        <w:t xml:space="preserve"> </w:t>
      </w:r>
      <w:r w:rsidRPr="00DA32C5">
        <w:rPr>
          <w:spacing w:val="-1"/>
        </w:rPr>
        <w:t>no</w:t>
      </w:r>
      <w:r w:rsidRPr="00DA32C5">
        <w:rPr>
          <w:spacing w:val="3"/>
        </w:rPr>
        <w:t xml:space="preserve"> </w:t>
      </w:r>
      <w:r w:rsidRPr="00DA32C5">
        <w:rPr>
          <w:spacing w:val="-1"/>
        </w:rPr>
        <w:t>more</w:t>
      </w:r>
      <w:r w:rsidRPr="00DA32C5">
        <w:rPr>
          <w:spacing w:val="3"/>
        </w:rPr>
        <w:t xml:space="preserve"> </w:t>
      </w:r>
      <w:r>
        <w:t>than</w:t>
      </w:r>
      <w:r w:rsidRPr="00DA32C5">
        <w:rPr>
          <w:spacing w:val="1"/>
        </w:rPr>
        <w:t xml:space="preserve"> </w:t>
      </w:r>
      <w:r>
        <w:t>1 m</w:t>
      </w:r>
      <w:r w:rsidRPr="00DA32C5">
        <w:rPr>
          <w:spacing w:val="4"/>
        </w:rPr>
        <w:t xml:space="preserve"> </w:t>
      </w:r>
      <w:r w:rsidRPr="00DA32C5">
        <w:rPr>
          <w:spacing w:val="-1"/>
        </w:rPr>
        <w:t>per</w:t>
      </w:r>
      <w:r w:rsidRPr="00DA32C5">
        <w:rPr>
          <w:spacing w:val="3"/>
        </w:rPr>
        <w:t xml:space="preserve"> </w:t>
      </w:r>
      <w:r w:rsidRPr="00DA32C5">
        <w:rPr>
          <w:spacing w:val="-1"/>
        </w:rPr>
        <w:t>sec.</w:t>
      </w:r>
      <w:r w:rsidRPr="00DA32C5">
        <w:rPr>
          <w:spacing w:val="8"/>
        </w:rPr>
        <w:t xml:space="preserve"> </w:t>
      </w:r>
      <w:r w:rsidRPr="00DA32C5">
        <w:rPr>
          <w:spacing w:val="-1"/>
        </w:rPr>
        <w:t>Slightly</w:t>
      </w:r>
      <w:r w:rsidRPr="00DA32C5">
        <w:rPr>
          <w:spacing w:val="45"/>
        </w:rPr>
        <w:t xml:space="preserve"> </w:t>
      </w:r>
      <w:r w:rsidRPr="00DA32C5">
        <w:rPr>
          <w:spacing w:val="-1"/>
        </w:rPr>
        <w:t>slower</w:t>
      </w:r>
      <w:r>
        <w:t xml:space="preserve"> is </w:t>
      </w:r>
      <w:r w:rsidRPr="00DA32C5">
        <w:rPr>
          <w:spacing w:val="-1"/>
        </w:rPr>
        <w:t>preferred.</w:t>
      </w:r>
      <w:r w:rsidRPr="00DA32C5">
        <w:rPr>
          <w:spacing w:val="1"/>
        </w:rPr>
        <w:t xml:space="preserve"> </w:t>
      </w:r>
      <w:r w:rsidRPr="00DA32C5">
        <w:rPr>
          <w:i/>
          <w:spacing w:val="-2"/>
        </w:rPr>
        <w:t>[The</w:t>
      </w:r>
      <w:r w:rsidRPr="00DA32C5">
        <w:rPr>
          <w:i/>
        </w:rPr>
        <w:t xml:space="preserve"> </w:t>
      </w:r>
      <w:r w:rsidRPr="00DA32C5">
        <w:rPr>
          <w:i/>
          <w:spacing w:val="-1"/>
        </w:rPr>
        <w:t>SBE19</w:t>
      </w:r>
      <w:r w:rsidRPr="00DA32C5">
        <w:rPr>
          <w:i/>
        </w:rPr>
        <w:t xml:space="preserve"> </w:t>
      </w:r>
      <w:r w:rsidRPr="00DA32C5">
        <w:rPr>
          <w:i/>
          <w:spacing w:val="-1"/>
        </w:rPr>
        <w:t>samples</w:t>
      </w:r>
      <w:r w:rsidRPr="00DA32C5">
        <w:rPr>
          <w:i/>
          <w:spacing w:val="1"/>
        </w:rPr>
        <w:t xml:space="preserve"> </w:t>
      </w:r>
      <w:r w:rsidRPr="00DA32C5">
        <w:rPr>
          <w:i/>
        </w:rPr>
        <w:t xml:space="preserve">@ 4 </w:t>
      </w:r>
      <w:r w:rsidRPr="00DA32C5">
        <w:rPr>
          <w:i/>
          <w:spacing w:val="-1"/>
        </w:rPr>
        <w:t>Hz,</w:t>
      </w:r>
      <w:r w:rsidRPr="00DA32C5">
        <w:rPr>
          <w:i/>
          <w:spacing w:val="-2"/>
        </w:rPr>
        <w:t xml:space="preserve"> </w:t>
      </w:r>
      <w:r w:rsidRPr="00DA32C5">
        <w:rPr>
          <w:i/>
          <w:spacing w:val="-1"/>
        </w:rPr>
        <w:t>so</w:t>
      </w:r>
      <w:r w:rsidRPr="00DA32C5">
        <w:rPr>
          <w:i/>
        </w:rPr>
        <w:t xml:space="preserve"> a </w:t>
      </w:r>
      <w:r w:rsidRPr="00DA32C5">
        <w:rPr>
          <w:i/>
          <w:spacing w:val="-1"/>
        </w:rPr>
        <w:t>slower</w:t>
      </w:r>
      <w:r w:rsidRPr="00DA32C5">
        <w:rPr>
          <w:i/>
          <w:spacing w:val="1"/>
        </w:rPr>
        <w:t xml:space="preserve"> speed </w:t>
      </w:r>
      <w:r w:rsidRPr="00DA32C5">
        <w:rPr>
          <w:i/>
          <w:spacing w:val="-1"/>
        </w:rPr>
        <w:t>allows</w:t>
      </w:r>
      <w:r w:rsidRPr="00DA32C5">
        <w:rPr>
          <w:i/>
          <w:spacing w:val="1"/>
        </w:rPr>
        <w:t xml:space="preserve"> </w:t>
      </w:r>
      <w:r w:rsidRPr="00DA32C5">
        <w:rPr>
          <w:i/>
          <w:spacing w:val="-1"/>
        </w:rPr>
        <w:t xml:space="preserve">you </w:t>
      </w:r>
      <w:r w:rsidRPr="00DA32C5">
        <w:rPr>
          <w:i/>
        </w:rPr>
        <w:t>to</w:t>
      </w:r>
      <w:r w:rsidRPr="00DA32C5">
        <w:rPr>
          <w:i/>
          <w:spacing w:val="-3"/>
        </w:rPr>
        <w:t xml:space="preserve"> </w:t>
      </w:r>
      <w:r w:rsidRPr="00DA32C5">
        <w:rPr>
          <w:i/>
          <w:spacing w:val="-1"/>
        </w:rPr>
        <w:t>average</w:t>
      </w:r>
      <w:r w:rsidRPr="00DA32C5">
        <w:rPr>
          <w:i/>
          <w:spacing w:val="-2"/>
        </w:rPr>
        <w:t xml:space="preserve"> </w:t>
      </w:r>
      <w:r w:rsidRPr="00DA32C5">
        <w:rPr>
          <w:i/>
          <w:spacing w:val="-1"/>
        </w:rPr>
        <w:t>more</w:t>
      </w:r>
      <w:r w:rsidRPr="00DA32C5">
        <w:rPr>
          <w:i/>
        </w:rPr>
        <w:t xml:space="preserve"> </w:t>
      </w:r>
      <w:r w:rsidRPr="00DA32C5">
        <w:rPr>
          <w:i/>
          <w:spacing w:val="-1"/>
        </w:rPr>
        <w:t>readings</w:t>
      </w:r>
      <w:r w:rsidRPr="00DA32C5">
        <w:rPr>
          <w:i/>
          <w:spacing w:val="1"/>
        </w:rPr>
        <w:t xml:space="preserve"> </w:t>
      </w:r>
      <w:r w:rsidRPr="00DA32C5">
        <w:rPr>
          <w:i/>
          <w:spacing w:val="-1"/>
        </w:rPr>
        <w:t xml:space="preserve">per </w:t>
      </w:r>
      <w:r w:rsidRPr="00DA32C5">
        <w:rPr>
          <w:i/>
        </w:rPr>
        <w:t>1</w:t>
      </w:r>
      <w:r w:rsidRPr="00DA32C5">
        <w:rPr>
          <w:i/>
          <w:spacing w:val="45"/>
        </w:rPr>
        <w:t xml:space="preserve"> </w:t>
      </w:r>
      <w:r w:rsidRPr="00DA32C5">
        <w:rPr>
          <w:i/>
        </w:rPr>
        <w:t>metre</w:t>
      </w:r>
      <w:r w:rsidRPr="00DA32C5">
        <w:rPr>
          <w:i/>
          <w:spacing w:val="1"/>
        </w:rPr>
        <w:t xml:space="preserve"> </w:t>
      </w:r>
      <w:r w:rsidRPr="00DA32C5">
        <w:rPr>
          <w:i/>
          <w:spacing w:val="-1"/>
        </w:rPr>
        <w:t>depth bin</w:t>
      </w:r>
      <w:r w:rsidRPr="00DA32C5">
        <w:rPr>
          <w:i/>
          <w:spacing w:val="-2"/>
        </w:rPr>
        <w:t xml:space="preserve"> </w:t>
      </w:r>
      <w:r w:rsidRPr="00DA32C5">
        <w:rPr>
          <w:i/>
        </w:rPr>
        <w:t>in</w:t>
      </w:r>
      <w:r w:rsidRPr="00DA32C5">
        <w:rPr>
          <w:i/>
          <w:spacing w:val="-3"/>
        </w:rPr>
        <w:t xml:space="preserve"> </w:t>
      </w:r>
      <w:r w:rsidRPr="00DA32C5">
        <w:rPr>
          <w:i/>
        </w:rPr>
        <w:t xml:space="preserve">the </w:t>
      </w:r>
      <w:r w:rsidRPr="00DA32C5">
        <w:rPr>
          <w:i/>
          <w:spacing w:val="-1"/>
        </w:rPr>
        <w:t>later</w:t>
      </w:r>
      <w:r w:rsidRPr="00DA32C5">
        <w:rPr>
          <w:i/>
          <w:spacing w:val="1"/>
        </w:rPr>
        <w:t xml:space="preserve"> </w:t>
      </w:r>
      <w:r w:rsidRPr="00DA32C5">
        <w:rPr>
          <w:i/>
          <w:spacing w:val="-1"/>
        </w:rPr>
        <w:t>processing step]</w:t>
      </w:r>
    </w:p>
    <w:p w14:paraId="2E7421B0" w14:textId="2DBAF4F6" w:rsidR="00DA32C5" w:rsidRPr="00DA32C5" w:rsidRDefault="00DA32C5" w:rsidP="00DA32C5">
      <w:pPr>
        <w:pStyle w:val="ListParagraph"/>
        <w:numPr>
          <w:ilvl w:val="0"/>
          <w:numId w:val="199"/>
        </w:numPr>
        <w:spacing w:before="60"/>
        <w:ind w:right="113"/>
        <w:jc w:val="both"/>
        <w:rPr>
          <w:rFonts w:cs="Calibri"/>
        </w:rPr>
      </w:pPr>
      <w:r>
        <w:t>Reel in</w:t>
      </w:r>
      <w:r w:rsidRPr="00DA32C5">
        <w:rPr>
          <w:spacing w:val="-3"/>
        </w:rPr>
        <w:t xml:space="preserve"> </w:t>
      </w:r>
      <w:r>
        <w:t xml:space="preserve">the </w:t>
      </w:r>
      <w:r w:rsidRPr="00DA32C5">
        <w:rPr>
          <w:spacing w:val="-1"/>
        </w:rPr>
        <w:t xml:space="preserve">CTD </w:t>
      </w:r>
      <w:r>
        <w:t xml:space="preserve">at </w:t>
      </w:r>
      <w:r w:rsidRPr="00DA32C5">
        <w:rPr>
          <w:spacing w:val="-1"/>
        </w:rPr>
        <w:t>the</w:t>
      </w:r>
      <w:r>
        <w:t xml:space="preserve"> </w:t>
      </w:r>
      <w:r w:rsidRPr="00DA32C5">
        <w:rPr>
          <w:spacing w:val="-2"/>
        </w:rPr>
        <w:t>same</w:t>
      </w:r>
      <w:r>
        <w:t xml:space="preserve"> speed </w:t>
      </w:r>
      <w:r w:rsidRPr="00DA32C5">
        <w:rPr>
          <w:spacing w:val="-1"/>
        </w:rPr>
        <w:t>and retrieve</w:t>
      </w:r>
      <w:r>
        <w:t xml:space="preserve"> </w:t>
      </w:r>
      <w:r w:rsidRPr="00DA32C5">
        <w:rPr>
          <w:spacing w:val="-1"/>
        </w:rPr>
        <w:t>to</w:t>
      </w:r>
      <w:r w:rsidRPr="00DA32C5">
        <w:rPr>
          <w:spacing w:val="1"/>
        </w:rPr>
        <w:t xml:space="preserve"> the </w:t>
      </w:r>
      <w:r w:rsidRPr="00DA32C5">
        <w:rPr>
          <w:spacing w:val="-1"/>
        </w:rPr>
        <w:t>deck.</w:t>
      </w:r>
    </w:p>
    <w:p w14:paraId="383D3AAC" w14:textId="7BD6D0FD" w:rsidR="00DA32C5" w:rsidRDefault="00DA32C5" w:rsidP="00DA32C5">
      <w:pPr>
        <w:pStyle w:val="BodyText"/>
        <w:numPr>
          <w:ilvl w:val="0"/>
          <w:numId w:val="199"/>
        </w:numPr>
        <w:spacing w:before="60" w:line="240" w:lineRule="auto"/>
        <w:ind w:right="113"/>
        <w:jc w:val="both"/>
      </w:pPr>
      <w:r>
        <w:rPr>
          <w:spacing w:val="-1"/>
        </w:rPr>
        <w:t>Switch</w:t>
      </w:r>
      <w:r>
        <w:rPr>
          <w:spacing w:val="-2"/>
        </w:rPr>
        <w:t xml:space="preserve"> </w:t>
      </w:r>
      <w:r>
        <w:t>the</w:t>
      </w:r>
      <w:r>
        <w:rPr>
          <w:spacing w:val="-2"/>
        </w:rPr>
        <w:t xml:space="preserve"> CTD </w:t>
      </w:r>
      <w:r>
        <w:rPr>
          <w:spacing w:val="-1"/>
        </w:rPr>
        <w:t>slider</w:t>
      </w:r>
      <w:r>
        <w:t xml:space="preserve"> </w:t>
      </w:r>
      <w:r>
        <w:rPr>
          <w:spacing w:val="-1"/>
        </w:rPr>
        <w:t>switch</w:t>
      </w:r>
      <w:r>
        <w:rPr>
          <w:spacing w:val="-5"/>
        </w:rPr>
        <w:t xml:space="preserve"> </w:t>
      </w:r>
      <w:r w:rsidRPr="00E54DFF">
        <w:rPr>
          <w:b/>
        </w:rPr>
        <w:t>OFF</w:t>
      </w:r>
      <w:r>
        <w:t xml:space="preserve"> </w:t>
      </w:r>
      <w:r>
        <w:rPr>
          <w:spacing w:val="-1"/>
        </w:rPr>
        <w:t>(</w:t>
      </w:r>
      <w:r>
        <w:rPr>
          <w:b/>
          <w:spacing w:val="-1"/>
        </w:rPr>
        <w:t>down</w:t>
      </w:r>
      <w:r>
        <w:rPr>
          <w:spacing w:val="-1"/>
        </w:rPr>
        <w:t>) and secure the instrument.</w:t>
      </w:r>
    </w:p>
    <w:p w14:paraId="129AA480" w14:textId="7B1C75EA" w:rsidR="0031675F" w:rsidRPr="00FE34ED" w:rsidRDefault="00DA32C5" w:rsidP="00DA32C5">
      <w:pPr>
        <w:pStyle w:val="ListParagraph"/>
        <w:numPr>
          <w:ilvl w:val="0"/>
          <w:numId w:val="199"/>
        </w:numPr>
        <w:rPr>
          <w:rFonts w:cs="Calibri"/>
          <w:sz w:val="20"/>
          <w:szCs w:val="20"/>
        </w:rPr>
      </w:pPr>
      <w:r>
        <w:t>Pull</w:t>
      </w:r>
      <w:r w:rsidRPr="00DA32C5">
        <w:rPr>
          <w:spacing w:val="-1"/>
        </w:rPr>
        <w:t xml:space="preserve"> </w:t>
      </w:r>
      <w:r>
        <w:t>the dummy plug off</w:t>
      </w:r>
      <w:r w:rsidRPr="00DA32C5">
        <w:rPr>
          <w:spacing w:val="-1"/>
        </w:rPr>
        <w:t xml:space="preserve"> the</w:t>
      </w:r>
      <w:r>
        <w:t xml:space="preserve"> </w:t>
      </w:r>
      <w:r w:rsidRPr="00DA32C5">
        <w:rPr>
          <w:spacing w:val="-2"/>
        </w:rPr>
        <w:t>CTD</w:t>
      </w:r>
      <w:r w:rsidRPr="00DA32C5">
        <w:rPr>
          <w:spacing w:val="1"/>
        </w:rPr>
        <w:t xml:space="preserve"> </w:t>
      </w:r>
      <w:r w:rsidRPr="00DA32C5">
        <w:rPr>
          <w:spacing w:val="-2"/>
        </w:rPr>
        <w:t>bulkhead connector,</w:t>
      </w:r>
      <w:r>
        <w:t xml:space="preserve"> </w:t>
      </w:r>
      <w:r w:rsidRPr="00DA32C5">
        <w:rPr>
          <w:spacing w:val="-1"/>
        </w:rPr>
        <w:t>and re-connect</w:t>
      </w:r>
      <w:r w:rsidRPr="00DA32C5">
        <w:rPr>
          <w:spacing w:val="-2"/>
        </w:rPr>
        <w:t xml:space="preserve"> </w:t>
      </w:r>
      <w:r w:rsidRPr="00DA32C5">
        <w:rPr>
          <w:spacing w:val="-1"/>
        </w:rPr>
        <w:t>the</w:t>
      </w:r>
      <w:r w:rsidRPr="00DA32C5">
        <w:rPr>
          <w:spacing w:val="-2"/>
        </w:rPr>
        <w:t xml:space="preserve"> </w:t>
      </w:r>
      <w:r w:rsidRPr="00DA32C5">
        <w:rPr>
          <w:spacing w:val="-1"/>
        </w:rPr>
        <w:t>communications</w:t>
      </w:r>
      <w:r>
        <w:t xml:space="preserve"> </w:t>
      </w:r>
      <w:r w:rsidRPr="00DA32C5">
        <w:rPr>
          <w:spacing w:val="-1"/>
        </w:rPr>
        <w:t>cable.</w:t>
      </w:r>
    </w:p>
    <w:p w14:paraId="40E45AA9" w14:textId="7ABCD6BE" w:rsidR="00FE34ED" w:rsidRDefault="00FE34ED" w:rsidP="00FE34ED"/>
    <w:p w14:paraId="74304465" w14:textId="77777777" w:rsidR="00FE34ED" w:rsidRPr="00FE34ED" w:rsidRDefault="00FE34ED" w:rsidP="00FE34ED">
      <w:pPr>
        <w:rPr>
          <w:rFonts w:cs="Calibri"/>
          <w:sz w:val="20"/>
          <w:szCs w:val="20"/>
        </w:rPr>
      </w:pPr>
    </w:p>
    <w:p w14:paraId="51A571A1" w14:textId="77777777" w:rsidR="0031675F" w:rsidRPr="0031675F" w:rsidRDefault="0031675F" w:rsidP="0031675F">
      <w:pPr>
        <w:widowControl w:val="0"/>
        <w:numPr>
          <w:ilvl w:val="1"/>
          <w:numId w:val="143"/>
        </w:numPr>
        <w:tabs>
          <w:tab w:val="left" w:pos="686"/>
        </w:tabs>
        <w:spacing w:before="206" w:after="0" w:line="240" w:lineRule="auto"/>
        <w:ind w:left="685"/>
        <w:rPr>
          <w:rFonts w:eastAsia="Arial" w:cs="Arial"/>
          <w:sz w:val="24"/>
          <w:szCs w:val="24"/>
        </w:rPr>
      </w:pPr>
      <w:bookmarkStart w:id="577" w:name="_TOC_250095"/>
      <w:r w:rsidRPr="0031675F">
        <w:rPr>
          <w:b/>
          <w:sz w:val="24"/>
        </w:rPr>
        <w:t xml:space="preserve">Data </w:t>
      </w:r>
      <w:r w:rsidRPr="0031675F">
        <w:rPr>
          <w:b/>
          <w:spacing w:val="-1"/>
          <w:sz w:val="24"/>
        </w:rPr>
        <w:t>retrieval</w:t>
      </w:r>
      <w:r w:rsidRPr="0031675F">
        <w:rPr>
          <w:b/>
          <w:sz w:val="24"/>
        </w:rPr>
        <w:t xml:space="preserve"> and </w:t>
      </w:r>
      <w:r w:rsidRPr="0031675F">
        <w:rPr>
          <w:b/>
          <w:spacing w:val="-1"/>
          <w:sz w:val="24"/>
        </w:rPr>
        <w:t>management</w:t>
      </w:r>
      <w:bookmarkEnd w:id="577"/>
    </w:p>
    <w:p w14:paraId="530510FE" w14:textId="77777777" w:rsidR="0031675F" w:rsidRPr="0031675F" w:rsidRDefault="0031675F" w:rsidP="0031675F">
      <w:pPr>
        <w:spacing w:before="11"/>
        <w:rPr>
          <w:rFonts w:eastAsia="Arial" w:cs="Arial"/>
          <w:b/>
          <w:bCs/>
          <w:sz w:val="20"/>
          <w:szCs w:val="20"/>
        </w:rPr>
      </w:pPr>
    </w:p>
    <w:p w14:paraId="0469C282" w14:textId="77777777" w:rsidR="0031675F" w:rsidRPr="0031675F" w:rsidRDefault="0031675F" w:rsidP="0031675F">
      <w:pPr>
        <w:ind w:left="118"/>
        <w:rPr>
          <w:rFonts w:cs="Calibri"/>
        </w:rPr>
      </w:pPr>
      <w:r w:rsidRPr="0031675F">
        <w:rPr>
          <w:b/>
          <w:spacing w:val="-1"/>
        </w:rPr>
        <w:t>Retrieving</w:t>
      </w:r>
      <w:r w:rsidRPr="0031675F">
        <w:rPr>
          <w:b/>
        </w:rPr>
        <w:t xml:space="preserve"> </w:t>
      </w:r>
      <w:r w:rsidRPr="0031675F">
        <w:rPr>
          <w:b/>
          <w:spacing w:val="-1"/>
        </w:rPr>
        <w:t>the data:</w:t>
      </w:r>
    </w:p>
    <w:p w14:paraId="090CA27A" w14:textId="77777777" w:rsidR="004A3C40" w:rsidRDefault="004A3C40" w:rsidP="004A3C40">
      <w:pPr>
        <w:pStyle w:val="BodyText"/>
        <w:numPr>
          <w:ilvl w:val="0"/>
          <w:numId w:val="201"/>
        </w:numPr>
        <w:spacing w:before="60"/>
      </w:pPr>
      <w:r>
        <w:rPr>
          <w:spacing w:val="-1"/>
        </w:rPr>
        <w:t>Electronically capture the</w:t>
      </w:r>
      <w:r>
        <w:t xml:space="preserve"> </w:t>
      </w:r>
      <w:r>
        <w:rPr>
          <w:spacing w:val="-1"/>
        </w:rPr>
        <w:t>position</w:t>
      </w:r>
      <w:r>
        <w:rPr>
          <w:spacing w:val="-3"/>
        </w:rPr>
        <w:t xml:space="preserve"> </w:t>
      </w:r>
      <w:r>
        <w:rPr>
          <w:spacing w:val="-1"/>
        </w:rPr>
        <w:t>of</w:t>
      </w:r>
      <w:r>
        <w:t xml:space="preserve"> </w:t>
      </w:r>
      <w:r>
        <w:rPr>
          <w:spacing w:val="-2"/>
        </w:rPr>
        <w:t>the</w:t>
      </w:r>
      <w:r>
        <w:t xml:space="preserve"> CTD </w:t>
      </w:r>
      <w:r>
        <w:rPr>
          <w:spacing w:val="-1"/>
        </w:rPr>
        <w:t>cast</w:t>
      </w:r>
      <w:r>
        <w:t xml:space="preserve"> using the Access Field Data Entry System database</w:t>
      </w:r>
      <w:r>
        <w:rPr>
          <w:spacing w:val="-1"/>
        </w:rPr>
        <w:t>, or record it on the field data sheets.</w:t>
      </w:r>
    </w:p>
    <w:p w14:paraId="44C1E2D5" w14:textId="720F2AC5" w:rsidR="004A3C40" w:rsidRPr="004A3C40" w:rsidRDefault="004A3C40" w:rsidP="004A3C40">
      <w:pPr>
        <w:pStyle w:val="ListParagraph"/>
        <w:numPr>
          <w:ilvl w:val="0"/>
          <w:numId w:val="201"/>
        </w:numPr>
        <w:spacing w:before="61" w:line="239" w:lineRule="auto"/>
        <w:ind w:right="112"/>
        <w:jc w:val="both"/>
        <w:rPr>
          <w:rFonts w:cs="Calibri"/>
        </w:rPr>
      </w:pPr>
      <w:r w:rsidRPr="004A3C40">
        <w:rPr>
          <w:rFonts w:cs="Calibri"/>
        </w:rPr>
        <w:t>Re</w:t>
      </w:r>
      <w:r w:rsidRPr="004A3C40">
        <w:rPr>
          <w:rFonts w:cs="Calibri"/>
          <w:spacing w:val="-1"/>
        </w:rPr>
        <w:t>-establish</w:t>
      </w:r>
      <w:r w:rsidRPr="004A3C40">
        <w:rPr>
          <w:rFonts w:cs="Calibri"/>
          <w:spacing w:val="28"/>
        </w:rPr>
        <w:t xml:space="preserve"> </w:t>
      </w:r>
      <w:r w:rsidRPr="004A3C40">
        <w:rPr>
          <w:rFonts w:cs="Calibri"/>
          <w:spacing w:val="-1"/>
        </w:rPr>
        <w:t>communications</w:t>
      </w:r>
      <w:r w:rsidRPr="004A3C40">
        <w:rPr>
          <w:rFonts w:cs="Calibri"/>
          <w:spacing w:val="27"/>
        </w:rPr>
        <w:t xml:space="preserve"> </w:t>
      </w:r>
      <w:r w:rsidRPr="004A3C40">
        <w:rPr>
          <w:rFonts w:cs="Calibri"/>
        </w:rPr>
        <w:t>with</w:t>
      </w:r>
      <w:r w:rsidRPr="004A3C40">
        <w:rPr>
          <w:rFonts w:cs="Calibri"/>
          <w:spacing w:val="25"/>
        </w:rPr>
        <w:t xml:space="preserve"> </w:t>
      </w:r>
      <w:r w:rsidRPr="004A3C40">
        <w:rPr>
          <w:rFonts w:cs="Calibri"/>
        </w:rPr>
        <w:t>the</w:t>
      </w:r>
      <w:r w:rsidRPr="004A3C40">
        <w:rPr>
          <w:rFonts w:cs="Calibri"/>
          <w:spacing w:val="27"/>
        </w:rPr>
        <w:t xml:space="preserve"> </w:t>
      </w:r>
      <w:r w:rsidRPr="004A3C40">
        <w:rPr>
          <w:rFonts w:cs="Calibri"/>
          <w:spacing w:val="-2"/>
        </w:rPr>
        <w:t>CTD using Seaterm V2, once the cable is connected.</w:t>
      </w:r>
      <w:r w:rsidRPr="004A3C40">
        <w:rPr>
          <w:rFonts w:cs="Calibri"/>
          <w:spacing w:val="30"/>
        </w:rPr>
        <w:t xml:space="preserve"> </w:t>
      </w:r>
      <w:r w:rsidRPr="004A3C40">
        <w:rPr>
          <w:rFonts w:cs="Calibri"/>
        </w:rPr>
        <w:t>You</w:t>
      </w:r>
      <w:r w:rsidRPr="004A3C40">
        <w:rPr>
          <w:rFonts w:cs="Calibri"/>
          <w:spacing w:val="33"/>
        </w:rPr>
        <w:t xml:space="preserve"> </w:t>
      </w:r>
      <w:r w:rsidRPr="004A3C40">
        <w:rPr>
          <w:rFonts w:cs="Calibri"/>
          <w:spacing w:val="-1"/>
        </w:rPr>
        <w:t>should</w:t>
      </w:r>
      <w:r w:rsidRPr="004A3C40">
        <w:rPr>
          <w:rFonts w:cs="Calibri"/>
          <w:spacing w:val="32"/>
        </w:rPr>
        <w:t xml:space="preserve"> </w:t>
      </w:r>
      <w:r w:rsidRPr="004A3C40">
        <w:rPr>
          <w:rFonts w:cs="Calibri"/>
          <w:spacing w:val="-1"/>
        </w:rPr>
        <w:t>get</w:t>
      </w:r>
      <w:r w:rsidRPr="004A3C40">
        <w:rPr>
          <w:rFonts w:cs="Calibri"/>
          <w:spacing w:val="34"/>
        </w:rPr>
        <w:t xml:space="preserve"> </w:t>
      </w:r>
      <w:r w:rsidRPr="004A3C40">
        <w:rPr>
          <w:rFonts w:cs="Calibri"/>
        </w:rPr>
        <w:t>the</w:t>
      </w:r>
      <w:r w:rsidRPr="004A3C40">
        <w:rPr>
          <w:rFonts w:cs="Calibri"/>
          <w:spacing w:val="36"/>
        </w:rPr>
        <w:t xml:space="preserve"> </w:t>
      </w:r>
      <w:r w:rsidRPr="004A3C40">
        <w:rPr>
          <w:rFonts w:cs="Calibri"/>
          <w:b/>
          <w:spacing w:val="-1"/>
        </w:rPr>
        <w:t>S&gt;</w:t>
      </w:r>
      <w:r w:rsidRPr="004A3C40">
        <w:rPr>
          <w:rFonts w:cs="Calibri"/>
          <w:spacing w:val="35"/>
        </w:rPr>
        <w:t xml:space="preserve"> </w:t>
      </w:r>
      <w:r w:rsidRPr="004A3C40">
        <w:rPr>
          <w:rFonts w:cs="Calibri"/>
          <w:spacing w:val="-1"/>
        </w:rPr>
        <w:t xml:space="preserve">prompt, but if Seaterm display window indicates ‘time out’ you may need to select the </w:t>
      </w:r>
      <w:r w:rsidRPr="004A3C40">
        <w:rPr>
          <w:rFonts w:cs="Calibri"/>
          <w:b/>
          <w:spacing w:val="-1"/>
        </w:rPr>
        <w:t>Instruments</w:t>
      </w:r>
      <w:r w:rsidRPr="004A3C40">
        <w:rPr>
          <w:rFonts w:cs="Calibri"/>
          <w:spacing w:val="-1"/>
        </w:rPr>
        <w:t xml:space="preserve"> menu and click on </w:t>
      </w:r>
      <w:r w:rsidRPr="004A3C40">
        <w:rPr>
          <w:rFonts w:cs="Calibri"/>
          <w:b/>
          <w:spacing w:val="-1"/>
        </w:rPr>
        <w:t>Disconnect and reconnect</w:t>
      </w:r>
      <w:r w:rsidRPr="004A3C40">
        <w:rPr>
          <w:rFonts w:cs="Calibri"/>
          <w:spacing w:val="-1"/>
        </w:rPr>
        <w:t>.</w:t>
      </w:r>
      <w:r w:rsidRPr="004A3C40">
        <w:rPr>
          <w:rFonts w:cs="Calibri"/>
          <w:spacing w:val="34"/>
        </w:rPr>
        <w:t xml:space="preserve"> </w:t>
      </w:r>
      <w:r w:rsidRPr="004A3C40">
        <w:rPr>
          <w:rFonts w:cs="Calibri"/>
          <w:i/>
        </w:rPr>
        <w:t>If</w:t>
      </w:r>
      <w:r w:rsidRPr="004A3C40">
        <w:rPr>
          <w:rFonts w:cs="Calibri"/>
          <w:i/>
          <w:spacing w:val="31"/>
        </w:rPr>
        <w:t xml:space="preserve"> </w:t>
      </w:r>
      <w:r w:rsidRPr="004A3C40">
        <w:rPr>
          <w:rFonts w:cs="Calibri"/>
          <w:i/>
        </w:rPr>
        <w:t>the</w:t>
      </w:r>
      <w:r w:rsidRPr="004A3C40">
        <w:rPr>
          <w:rFonts w:cs="Calibri"/>
          <w:i/>
          <w:spacing w:val="34"/>
        </w:rPr>
        <w:t xml:space="preserve"> </w:t>
      </w:r>
      <w:r w:rsidRPr="004A3C40">
        <w:rPr>
          <w:rFonts w:cs="Calibri"/>
          <w:i/>
          <w:spacing w:val="-1"/>
        </w:rPr>
        <w:t>display</w:t>
      </w:r>
      <w:r w:rsidRPr="004A3C40">
        <w:rPr>
          <w:rFonts w:cs="Calibri"/>
          <w:i/>
          <w:spacing w:val="32"/>
        </w:rPr>
        <w:t xml:space="preserve"> </w:t>
      </w:r>
      <w:r w:rsidRPr="004A3C40">
        <w:rPr>
          <w:rFonts w:cs="Calibri"/>
          <w:i/>
          <w:spacing w:val="-1"/>
        </w:rPr>
        <w:t>starts</w:t>
      </w:r>
      <w:r w:rsidRPr="004A3C40">
        <w:rPr>
          <w:rFonts w:cs="Calibri"/>
          <w:i/>
          <w:spacing w:val="34"/>
        </w:rPr>
        <w:t xml:space="preserve"> </w:t>
      </w:r>
      <w:r w:rsidRPr="004A3C40">
        <w:rPr>
          <w:rFonts w:cs="Calibri"/>
          <w:i/>
          <w:spacing w:val="-1"/>
        </w:rPr>
        <w:t>scrolling</w:t>
      </w:r>
      <w:r w:rsidRPr="004A3C40">
        <w:rPr>
          <w:rFonts w:cs="Calibri"/>
          <w:i/>
          <w:spacing w:val="32"/>
        </w:rPr>
        <w:t xml:space="preserve"> </w:t>
      </w:r>
      <w:r w:rsidRPr="004A3C40">
        <w:rPr>
          <w:rFonts w:cs="Calibri"/>
          <w:i/>
          <w:spacing w:val="-1"/>
        </w:rPr>
        <w:t>out</w:t>
      </w:r>
      <w:r w:rsidRPr="004A3C40">
        <w:rPr>
          <w:rFonts w:cs="Calibri"/>
          <w:i/>
          <w:spacing w:val="34"/>
        </w:rPr>
        <w:t xml:space="preserve"> </w:t>
      </w:r>
      <w:r w:rsidRPr="004A3C40">
        <w:rPr>
          <w:rFonts w:cs="Calibri"/>
          <w:i/>
          <w:spacing w:val="-1"/>
        </w:rPr>
        <w:t>lines</w:t>
      </w:r>
      <w:r w:rsidRPr="004A3C40">
        <w:rPr>
          <w:rFonts w:cs="Calibri"/>
          <w:i/>
          <w:spacing w:val="33"/>
        </w:rPr>
        <w:t xml:space="preserve"> </w:t>
      </w:r>
      <w:r w:rsidRPr="004A3C40">
        <w:rPr>
          <w:rFonts w:cs="Calibri"/>
          <w:i/>
          <w:spacing w:val="-1"/>
        </w:rPr>
        <w:t>of</w:t>
      </w:r>
      <w:r w:rsidRPr="004A3C40">
        <w:rPr>
          <w:rFonts w:cs="Calibri"/>
          <w:i/>
          <w:spacing w:val="33"/>
        </w:rPr>
        <w:t xml:space="preserve"> </w:t>
      </w:r>
      <w:r w:rsidRPr="004A3C40">
        <w:rPr>
          <w:rFonts w:cs="Calibri"/>
          <w:i/>
          <w:spacing w:val="-1"/>
        </w:rPr>
        <w:t>HEX</w:t>
      </w:r>
      <w:r w:rsidRPr="004A3C40">
        <w:rPr>
          <w:rFonts w:cs="Calibri"/>
          <w:i/>
          <w:spacing w:val="44"/>
        </w:rPr>
        <w:t xml:space="preserve"> </w:t>
      </w:r>
      <w:r w:rsidRPr="004A3C40">
        <w:rPr>
          <w:rFonts w:cs="Calibri"/>
          <w:i/>
          <w:spacing w:val="-1"/>
        </w:rPr>
        <w:t>characters,</w:t>
      </w:r>
      <w:r w:rsidRPr="004A3C40">
        <w:rPr>
          <w:rFonts w:cs="Calibri"/>
          <w:i/>
          <w:spacing w:val="-2"/>
        </w:rPr>
        <w:t xml:space="preserve"> </w:t>
      </w:r>
      <w:r w:rsidRPr="004A3C40">
        <w:rPr>
          <w:rFonts w:cs="Calibri"/>
          <w:i/>
          <w:spacing w:val="-1"/>
        </w:rPr>
        <w:t>you’ve</w:t>
      </w:r>
      <w:r w:rsidRPr="004A3C40">
        <w:rPr>
          <w:rFonts w:cs="Calibri"/>
          <w:i/>
        </w:rPr>
        <w:t xml:space="preserve"> </w:t>
      </w:r>
      <w:r w:rsidRPr="004A3C40">
        <w:rPr>
          <w:rFonts w:cs="Calibri"/>
          <w:i/>
          <w:spacing w:val="-1"/>
        </w:rPr>
        <w:t xml:space="preserve">forgotten </w:t>
      </w:r>
      <w:r w:rsidRPr="004A3C40">
        <w:rPr>
          <w:rFonts w:cs="Calibri"/>
          <w:i/>
        </w:rPr>
        <w:t xml:space="preserve">to </w:t>
      </w:r>
      <w:r w:rsidRPr="004A3C40">
        <w:rPr>
          <w:rFonts w:cs="Calibri"/>
          <w:i/>
          <w:spacing w:val="-1"/>
        </w:rPr>
        <w:t>switch the</w:t>
      </w:r>
      <w:r w:rsidRPr="004A3C40">
        <w:rPr>
          <w:rFonts w:cs="Calibri"/>
          <w:i/>
          <w:spacing w:val="-3"/>
        </w:rPr>
        <w:t xml:space="preserve"> </w:t>
      </w:r>
      <w:r w:rsidRPr="004A3C40">
        <w:rPr>
          <w:rFonts w:cs="Calibri"/>
          <w:i/>
          <w:spacing w:val="-1"/>
        </w:rPr>
        <w:t>CTD off.</w:t>
      </w:r>
    </w:p>
    <w:p w14:paraId="5D27EE47" w14:textId="77777777" w:rsidR="004A3C40" w:rsidRDefault="004A3C40" w:rsidP="004A3C40">
      <w:pPr>
        <w:widowControl w:val="0"/>
        <w:numPr>
          <w:ilvl w:val="0"/>
          <w:numId w:val="201"/>
        </w:numPr>
        <w:tabs>
          <w:tab w:val="left" w:pos="403"/>
        </w:tabs>
        <w:spacing w:before="60" w:after="0" w:line="240" w:lineRule="auto"/>
        <w:ind w:right="110"/>
        <w:jc w:val="both"/>
        <w:rPr>
          <w:rFonts w:cs="Calibri"/>
        </w:rPr>
      </w:pPr>
      <w:r>
        <w:rPr>
          <w:rFonts w:cs="Calibri"/>
          <w:spacing w:val="-1"/>
        </w:rPr>
        <w:t>Click</w:t>
      </w:r>
      <w:r>
        <w:rPr>
          <w:rFonts w:cs="Calibri"/>
          <w:spacing w:val="3"/>
        </w:rPr>
        <w:t xml:space="preserve"> </w:t>
      </w:r>
      <w:r>
        <w:rPr>
          <w:rFonts w:cs="Calibri"/>
        </w:rPr>
        <w:t>the</w:t>
      </w:r>
      <w:r>
        <w:rPr>
          <w:rFonts w:cs="Calibri"/>
          <w:spacing w:val="3"/>
        </w:rPr>
        <w:t xml:space="preserve"> </w:t>
      </w:r>
      <w:r w:rsidRPr="00C614C6">
        <w:rPr>
          <w:rFonts w:cs="Calibri"/>
          <w:b/>
          <w:spacing w:val="-1"/>
        </w:rPr>
        <w:t>Upload…</w:t>
      </w:r>
      <w:r w:rsidRPr="00C92706">
        <w:rPr>
          <w:rFonts w:cs="Calibri"/>
          <w:spacing w:val="4"/>
        </w:rPr>
        <w:t xml:space="preserve"> </w:t>
      </w:r>
      <w:r>
        <w:rPr>
          <w:rFonts w:cs="Calibri"/>
          <w:spacing w:val="-1"/>
        </w:rPr>
        <w:t>menu</w:t>
      </w:r>
      <w:r>
        <w:rPr>
          <w:rFonts w:cs="Calibri"/>
          <w:spacing w:val="2"/>
        </w:rPr>
        <w:t xml:space="preserve"> </w:t>
      </w:r>
      <w:r>
        <w:rPr>
          <w:rFonts w:cs="Calibri"/>
          <w:spacing w:val="-1"/>
        </w:rPr>
        <w:t>on</w:t>
      </w:r>
      <w:r>
        <w:rPr>
          <w:rFonts w:cs="Calibri"/>
          <w:spacing w:val="2"/>
        </w:rPr>
        <w:t xml:space="preserve"> </w:t>
      </w:r>
      <w:r>
        <w:rPr>
          <w:rFonts w:cs="Calibri"/>
          <w:spacing w:val="-1"/>
        </w:rPr>
        <w:t>Seaterm V2.</w:t>
      </w:r>
      <w:r>
        <w:rPr>
          <w:rFonts w:cs="Calibri"/>
          <w:spacing w:val="2"/>
        </w:rPr>
        <w:t xml:space="preserve"> </w:t>
      </w:r>
      <w:r>
        <w:rPr>
          <w:rFonts w:cs="Calibri"/>
          <w:i/>
          <w:spacing w:val="-1"/>
        </w:rPr>
        <w:t>The</w:t>
      </w:r>
      <w:r>
        <w:rPr>
          <w:rFonts w:cs="Calibri"/>
          <w:i/>
          <w:spacing w:val="2"/>
        </w:rPr>
        <w:t xml:space="preserve"> </w:t>
      </w:r>
      <w:r>
        <w:rPr>
          <w:rFonts w:cs="Calibri"/>
          <w:i/>
          <w:spacing w:val="-1"/>
        </w:rPr>
        <w:t>screen</w:t>
      </w:r>
      <w:r>
        <w:rPr>
          <w:rFonts w:cs="Calibri"/>
          <w:i/>
          <w:spacing w:val="2"/>
        </w:rPr>
        <w:t xml:space="preserve"> </w:t>
      </w:r>
      <w:r>
        <w:rPr>
          <w:rFonts w:cs="Calibri"/>
          <w:i/>
          <w:spacing w:val="-1"/>
        </w:rPr>
        <w:t>will</w:t>
      </w:r>
      <w:r>
        <w:rPr>
          <w:rFonts w:cs="Calibri"/>
          <w:i/>
          <w:spacing w:val="1"/>
        </w:rPr>
        <w:t xml:space="preserve"> </w:t>
      </w:r>
      <w:r>
        <w:rPr>
          <w:rFonts w:cs="Calibri"/>
          <w:i/>
          <w:spacing w:val="-1"/>
        </w:rPr>
        <w:t>display</w:t>
      </w:r>
      <w:r>
        <w:rPr>
          <w:rFonts w:cs="Calibri"/>
          <w:i/>
          <w:spacing w:val="3"/>
        </w:rPr>
        <w:t xml:space="preserve"> </w:t>
      </w:r>
      <w:r>
        <w:rPr>
          <w:rFonts w:cs="Calibri"/>
          <w:i/>
        </w:rPr>
        <w:t>a</w:t>
      </w:r>
      <w:r>
        <w:rPr>
          <w:rFonts w:cs="Calibri"/>
          <w:i/>
          <w:spacing w:val="2"/>
        </w:rPr>
        <w:t xml:space="preserve"> </w:t>
      </w:r>
      <w:r>
        <w:rPr>
          <w:rFonts w:cs="Calibri"/>
          <w:i/>
          <w:spacing w:val="-1"/>
        </w:rPr>
        <w:t>header</w:t>
      </w:r>
      <w:r>
        <w:rPr>
          <w:rFonts w:cs="Calibri"/>
          <w:i/>
          <w:spacing w:val="3"/>
        </w:rPr>
        <w:t xml:space="preserve"> </w:t>
      </w:r>
      <w:r>
        <w:rPr>
          <w:rFonts w:cs="Calibri"/>
          <w:i/>
          <w:spacing w:val="-1"/>
        </w:rPr>
        <w:t>for</w:t>
      </w:r>
      <w:r>
        <w:rPr>
          <w:rFonts w:cs="Calibri"/>
          <w:i/>
          <w:spacing w:val="3"/>
        </w:rPr>
        <w:t xml:space="preserve"> </w:t>
      </w:r>
      <w:r>
        <w:rPr>
          <w:rFonts w:cs="Calibri"/>
          <w:i/>
        </w:rPr>
        <w:t>the</w:t>
      </w:r>
      <w:r>
        <w:rPr>
          <w:rFonts w:cs="Calibri"/>
          <w:i/>
          <w:spacing w:val="2"/>
        </w:rPr>
        <w:t xml:space="preserve"> </w:t>
      </w:r>
      <w:r>
        <w:rPr>
          <w:rFonts w:cs="Calibri"/>
          <w:i/>
          <w:spacing w:val="-1"/>
        </w:rPr>
        <w:t>CTD</w:t>
      </w:r>
      <w:r>
        <w:rPr>
          <w:rFonts w:cs="Calibri"/>
          <w:i/>
          <w:spacing w:val="3"/>
        </w:rPr>
        <w:t xml:space="preserve"> </w:t>
      </w:r>
      <w:r>
        <w:rPr>
          <w:rFonts w:cs="Calibri"/>
          <w:i/>
          <w:spacing w:val="-1"/>
        </w:rPr>
        <w:t>cast, giving</w:t>
      </w:r>
      <w:r>
        <w:rPr>
          <w:rFonts w:cs="Calibri"/>
          <w:i/>
          <w:spacing w:val="2"/>
        </w:rPr>
        <w:t xml:space="preserve"> </w:t>
      </w:r>
      <w:r>
        <w:rPr>
          <w:rFonts w:cs="Calibri"/>
          <w:i/>
        </w:rPr>
        <w:t>a</w:t>
      </w:r>
      <w:r>
        <w:rPr>
          <w:rFonts w:cs="Calibri"/>
          <w:i/>
          <w:spacing w:val="2"/>
        </w:rPr>
        <w:t xml:space="preserve"> </w:t>
      </w:r>
      <w:r>
        <w:rPr>
          <w:rFonts w:cs="Calibri"/>
          <w:i/>
          <w:spacing w:val="-1"/>
        </w:rPr>
        <w:t>range</w:t>
      </w:r>
      <w:r>
        <w:rPr>
          <w:rFonts w:cs="Calibri"/>
          <w:i/>
        </w:rPr>
        <w:t xml:space="preserve"> </w:t>
      </w:r>
      <w:r>
        <w:rPr>
          <w:rFonts w:cs="Calibri"/>
          <w:i/>
          <w:spacing w:val="-1"/>
        </w:rPr>
        <w:t>of</w:t>
      </w:r>
      <w:r>
        <w:rPr>
          <w:rFonts w:cs="Calibri"/>
          <w:i/>
          <w:spacing w:val="2"/>
        </w:rPr>
        <w:t xml:space="preserve"> </w:t>
      </w:r>
      <w:r>
        <w:rPr>
          <w:rFonts w:cs="Calibri"/>
          <w:i/>
          <w:spacing w:val="-1"/>
        </w:rPr>
        <w:t>metadata</w:t>
      </w:r>
      <w:r>
        <w:rPr>
          <w:rFonts w:cs="Calibri"/>
          <w:i/>
        </w:rPr>
        <w:t xml:space="preserve"> </w:t>
      </w:r>
      <w:r>
        <w:rPr>
          <w:rFonts w:cs="Calibri"/>
          <w:i/>
          <w:spacing w:val="-2"/>
        </w:rPr>
        <w:t>for</w:t>
      </w:r>
      <w:r>
        <w:rPr>
          <w:rFonts w:cs="Calibri"/>
          <w:i/>
          <w:spacing w:val="3"/>
        </w:rPr>
        <w:t xml:space="preserve"> </w:t>
      </w:r>
      <w:r>
        <w:rPr>
          <w:rFonts w:cs="Calibri"/>
          <w:i/>
        </w:rPr>
        <w:t>the</w:t>
      </w:r>
      <w:r>
        <w:rPr>
          <w:rFonts w:cs="Calibri"/>
          <w:i/>
          <w:spacing w:val="2"/>
        </w:rPr>
        <w:t xml:space="preserve"> </w:t>
      </w:r>
      <w:r>
        <w:rPr>
          <w:rFonts w:cs="Calibri"/>
          <w:i/>
          <w:spacing w:val="-1"/>
        </w:rPr>
        <w:t>cast which</w:t>
      </w:r>
      <w:r>
        <w:rPr>
          <w:rFonts w:cs="Calibri"/>
          <w:i/>
          <w:spacing w:val="3"/>
        </w:rPr>
        <w:t xml:space="preserve"> </w:t>
      </w:r>
      <w:r>
        <w:rPr>
          <w:rFonts w:cs="Calibri"/>
          <w:i/>
        </w:rPr>
        <w:t xml:space="preserve">is </w:t>
      </w:r>
      <w:r>
        <w:rPr>
          <w:rFonts w:cs="Calibri"/>
          <w:i/>
          <w:spacing w:val="-1"/>
        </w:rPr>
        <w:t>saved</w:t>
      </w:r>
      <w:r>
        <w:rPr>
          <w:rFonts w:cs="Calibri"/>
          <w:i/>
          <w:spacing w:val="2"/>
        </w:rPr>
        <w:t xml:space="preserve"> </w:t>
      </w:r>
      <w:r>
        <w:rPr>
          <w:rFonts w:cs="Calibri"/>
          <w:i/>
          <w:spacing w:val="-1"/>
        </w:rPr>
        <w:t>at</w:t>
      </w:r>
      <w:r>
        <w:rPr>
          <w:rFonts w:cs="Calibri"/>
          <w:i/>
          <w:spacing w:val="3"/>
        </w:rPr>
        <w:t xml:space="preserve"> </w:t>
      </w:r>
      <w:r>
        <w:rPr>
          <w:rFonts w:cs="Calibri"/>
          <w:i/>
        </w:rPr>
        <w:t>the</w:t>
      </w:r>
      <w:r>
        <w:rPr>
          <w:rFonts w:cs="Calibri"/>
          <w:i/>
          <w:spacing w:val="2"/>
        </w:rPr>
        <w:t xml:space="preserve"> </w:t>
      </w:r>
      <w:r>
        <w:rPr>
          <w:rFonts w:cs="Calibri"/>
          <w:i/>
        </w:rPr>
        <w:t>top</w:t>
      </w:r>
      <w:r>
        <w:rPr>
          <w:rFonts w:cs="Calibri"/>
          <w:i/>
          <w:spacing w:val="-1"/>
        </w:rPr>
        <w:t xml:space="preserve"> of</w:t>
      </w:r>
      <w:r>
        <w:rPr>
          <w:rFonts w:cs="Calibri"/>
          <w:i/>
          <w:spacing w:val="2"/>
        </w:rPr>
        <w:t xml:space="preserve"> </w:t>
      </w:r>
      <w:r>
        <w:rPr>
          <w:rFonts w:cs="Calibri"/>
          <w:i/>
        </w:rPr>
        <w:t>the</w:t>
      </w:r>
      <w:r>
        <w:rPr>
          <w:rFonts w:cs="Calibri"/>
          <w:i/>
          <w:spacing w:val="2"/>
        </w:rPr>
        <w:t xml:space="preserve"> </w:t>
      </w:r>
      <w:r>
        <w:rPr>
          <w:rFonts w:cs="Calibri"/>
          <w:i/>
          <w:spacing w:val="-1"/>
        </w:rPr>
        <w:t>uploaded</w:t>
      </w:r>
      <w:r>
        <w:rPr>
          <w:rFonts w:cs="Calibri"/>
          <w:i/>
          <w:spacing w:val="2"/>
        </w:rPr>
        <w:t xml:space="preserve"> </w:t>
      </w:r>
      <w:r>
        <w:rPr>
          <w:rFonts w:cs="Calibri"/>
          <w:i/>
          <w:spacing w:val="-1"/>
        </w:rPr>
        <w:t>file.</w:t>
      </w:r>
      <w:r>
        <w:rPr>
          <w:rFonts w:cs="Calibri"/>
          <w:i/>
          <w:spacing w:val="8"/>
        </w:rPr>
        <w:t xml:space="preserve"> </w:t>
      </w:r>
      <w:r>
        <w:rPr>
          <w:rFonts w:cs="Calibri"/>
          <w:i/>
          <w:spacing w:val="-1"/>
        </w:rPr>
        <w:t>Note the</w:t>
      </w:r>
      <w:r>
        <w:rPr>
          <w:rFonts w:cs="Calibri"/>
          <w:i/>
          <w:spacing w:val="2"/>
        </w:rPr>
        <w:t xml:space="preserve"> </w:t>
      </w:r>
      <w:r>
        <w:rPr>
          <w:rFonts w:cs="Calibri"/>
          <w:i/>
        </w:rPr>
        <w:t>text</w:t>
      </w:r>
      <w:r>
        <w:rPr>
          <w:rFonts w:cs="Calibri"/>
          <w:i/>
          <w:spacing w:val="3"/>
        </w:rPr>
        <w:t xml:space="preserve"> </w:t>
      </w:r>
      <w:r>
        <w:rPr>
          <w:rFonts w:cs="Calibri"/>
          <w:i/>
          <w:spacing w:val="-1"/>
        </w:rPr>
        <w:t>specifying the number</w:t>
      </w:r>
      <w:r>
        <w:rPr>
          <w:rFonts w:cs="Calibri"/>
          <w:i/>
        </w:rPr>
        <w:t xml:space="preserve"> </w:t>
      </w:r>
      <w:r>
        <w:rPr>
          <w:rFonts w:cs="Calibri"/>
          <w:i/>
          <w:spacing w:val="-1"/>
        </w:rPr>
        <w:t>of</w:t>
      </w:r>
      <w:r>
        <w:rPr>
          <w:rFonts w:cs="Calibri"/>
          <w:i/>
          <w:spacing w:val="2"/>
        </w:rPr>
        <w:t xml:space="preserve"> </w:t>
      </w:r>
      <w:r>
        <w:rPr>
          <w:rFonts w:cs="Calibri"/>
          <w:i/>
          <w:spacing w:val="-1"/>
        </w:rPr>
        <w:t>samples to confirm data has been captured.</w:t>
      </w:r>
      <w:r w:rsidRPr="00C614C6">
        <w:rPr>
          <w:rFonts w:cs="Calibri"/>
          <w:spacing w:val="5"/>
        </w:rPr>
        <w:t xml:space="preserve"> </w:t>
      </w:r>
      <w:r w:rsidRPr="00C614C6">
        <w:rPr>
          <w:rFonts w:cs="Calibri"/>
        </w:rPr>
        <w:t xml:space="preserve">A </w:t>
      </w:r>
      <w:r w:rsidRPr="00C614C6">
        <w:rPr>
          <w:rFonts w:cs="Calibri"/>
          <w:b/>
        </w:rPr>
        <w:t>Save As</w:t>
      </w:r>
      <w:r>
        <w:rPr>
          <w:rFonts w:cs="Calibri"/>
        </w:rPr>
        <w:t xml:space="preserve"> </w:t>
      </w:r>
      <w:r w:rsidRPr="00C614C6">
        <w:rPr>
          <w:rFonts w:cs="Calibri"/>
        </w:rPr>
        <w:t>dialog</w:t>
      </w:r>
      <w:r>
        <w:rPr>
          <w:rFonts w:cs="Calibri"/>
        </w:rPr>
        <w:t xml:space="preserve"> box will open, then navigate to </w:t>
      </w:r>
      <w:r>
        <w:rPr>
          <w:rFonts w:cs="Calibri"/>
          <w:i/>
          <w:spacing w:val="-1"/>
        </w:rPr>
        <w:t>C:\Field\CTD files\</w:t>
      </w:r>
      <w:r>
        <w:rPr>
          <w:rFonts w:cs="Calibri"/>
          <w:i/>
          <w:spacing w:val="9"/>
        </w:rPr>
        <w:t xml:space="preserve"> </w:t>
      </w:r>
      <w:r>
        <w:rPr>
          <w:rFonts w:cs="Calibri"/>
          <w:spacing w:val="-1"/>
        </w:rPr>
        <w:t>folder</w:t>
      </w:r>
      <w:r>
        <w:rPr>
          <w:rFonts w:cs="Calibri"/>
          <w:spacing w:val="10"/>
        </w:rPr>
        <w:t xml:space="preserve"> </w:t>
      </w:r>
      <w:r>
        <w:rPr>
          <w:rFonts w:cs="Calibri"/>
        </w:rPr>
        <w:t>to store the file. Whilst the default file name includes the serial number and date, we type in the unique station identifier as the file name.</w:t>
      </w:r>
    </w:p>
    <w:p w14:paraId="5FECFF05" w14:textId="77777777" w:rsidR="004A3C40" w:rsidRDefault="004A3C40" w:rsidP="004A3C40">
      <w:pPr>
        <w:widowControl w:val="0"/>
        <w:numPr>
          <w:ilvl w:val="0"/>
          <w:numId w:val="201"/>
        </w:numPr>
        <w:tabs>
          <w:tab w:val="left" w:pos="403"/>
        </w:tabs>
        <w:spacing w:before="60" w:after="0" w:line="239" w:lineRule="auto"/>
        <w:ind w:right="111"/>
        <w:jc w:val="both"/>
        <w:rPr>
          <w:rFonts w:cs="Calibri"/>
        </w:rPr>
      </w:pPr>
      <w:r>
        <w:rPr>
          <w:rFonts w:cs="Calibri"/>
          <w:spacing w:val="-1"/>
        </w:rPr>
        <w:t>Navigate</w:t>
      </w:r>
      <w:r>
        <w:rPr>
          <w:rFonts w:cs="Calibri"/>
          <w:spacing w:val="10"/>
        </w:rPr>
        <w:t xml:space="preserve"> </w:t>
      </w:r>
      <w:r>
        <w:rPr>
          <w:rFonts w:cs="Calibri"/>
        </w:rPr>
        <w:t>the</w:t>
      </w:r>
      <w:r>
        <w:rPr>
          <w:rFonts w:cs="Calibri"/>
          <w:spacing w:val="7"/>
        </w:rPr>
        <w:t xml:space="preserve"> </w:t>
      </w:r>
      <w:r>
        <w:rPr>
          <w:rFonts w:cs="Calibri"/>
          <w:spacing w:val="-1"/>
        </w:rPr>
        <w:t>window</w:t>
      </w:r>
      <w:r>
        <w:rPr>
          <w:rFonts w:cs="Calibri"/>
          <w:spacing w:val="8"/>
        </w:rPr>
        <w:t xml:space="preserve"> </w:t>
      </w:r>
      <w:r>
        <w:rPr>
          <w:rFonts w:cs="Calibri"/>
        </w:rPr>
        <w:t>to</w:t>
      </w:r>
      <w:r>
        <w:rPr>
          <w:rFonts w:cs="Calibri"/>
          <w:spacing w:val="11"/>
        </w:rPr>
        <w:t xml:space="preserve"> </w:t>
      </w:r>
      <w:r>
        <w:rPr>
          <w:rFonts w:cs="Calibri"/>
          <w:spacing w:val="-1"/>
        </w:rPr>
        <w:t>the</w:t>
      </w:r>
      <w:r>
        <w:rPr>
          <w:rFonts w:cs="Calibri"/>
          <w:spacing w:val="12"/>
        </w:rPr>
        <w:t xml:space="preserve"> </w:t>
      </w:r>
      <w:r>
        <w:rPr>
          <w:rFonts w:cs="Calibri"/>
          <w:spacing w:val="-1"/>
        </w:rPr>
        <w:t>and</w:t>
      </w:r>
      <w:r>
        <w:rPr>
          <w:rFonts w:cs="Calibri"/>
          <w:spacing w:val="9"/>
        </w:rPr>
        <w:t xml:space="preserve"> </w:t>
      </w:r>
      <w:r>
        <w:rPr>
          <w:rFonts w:cs="Calibri"/>
          <w:spacing w:val="-1"/>
        </w:rPr>
        <w:t>type</w:t>
      </w:r>
      <w:r>
        <w:rPr>
          <w:rFonts w:cs="Calibri"/>
          <w:spacing w:val="10"/>
        </w:rPr>
        <w:t xml:space="preserve"> </w:t>
      </w:r>
      <w:r>
        <w:rPr>
          <w:rFonts w:cs="Calibri"/>
          <w:spacing w:val="-1"/>
        </w:rPr>
        <w:t>your</w:t>
      </w:r>
      <w:r>
        <w:rPr>
          <w:rFonts w:cs="Calibri"/>
          <w:spacing w:val="9"/>
        </w:rPr>
        <w:t xml:space="preserve"> </w:t>
      </w:r>
      <w:r>
        <w:rPr>
          <w:rFonts w:cs="Calibri"/>
          <w:spacing w:val="-1"/>
        </w:rPr>
        <w:t>desired</w:t>
      </w:r>
      <w:r>
        <w:rPr>
          <w:rFonts w:cs="Calibri"/>
          <w:spacing w:val="7"/>
        </w:rPr>
        <w:t xml:space="preserve"> </w:t>
      </w:r>
      <w:r>
        <w:rPr>
          <w:rFonts w:cs="Calibri"/>
          <w:spacing w:val="-1"/>
        </w:rPr>
        <w:t>output</w:t>
      </w:r>
      <w:r>
        <w:rPr>
          <w:rFonts w:cs="Calibri"/>
          <w:spacing w:val="10"/>
        </w:rPr>
        <w:t xml:space="preserve"> </w:t>
      </w:r>
      <w:r>
        <w:rPr>
          <w:rFonts w:cs="Calibri"/>
          <w:spacing w:val="-1"/>
        </w:rPr>
        <w:t>filename</w:t>
      </w:r>
      <w:r>
        <w:rPr>
          <w:rFonts w:cs="Calibri"/>
          <w:spacing w:val="77"/>
        </w:rPr>
        <w:t xml:space="preserve"> </w:t>
      </w:r>
      <w:r>
        <w:rPr>
          <w:rFonts w:cs="Calibri"/>
          <w:spacing w:val="-1"/>
        </w:rPr>
        <w:t>into</w:t>
      </w:r>
      <w:r>
        <w:rPr>
          <w:rFonts w:cs="Calibri"/>
          <w:spacing w:val="6"/>
        </w:rPr>
        <w:t xml:space="preserve"> </w:t>
      </w:r>
      <w:r>
        <w:rPr>
          <w:rFonts w:cs="Calibri"/>
        </w:rPr>
        <w:t>the</w:t>
      </w:r>
      <w:r>
        <w:rPr>
          <w:rFonts w:cs="Calibri"/>
          <w:spacing w:val="5"/>
        </w:rPr>
        <w:t xml:space="preserve"> </w:t>
      </w:r>
      <w:r>
        <w:rPr>
          <w:rFonts w:cs="Calibri"/>
          <w:spacing w:val="-1"/>
        </w:rPr>
        <w:t>box.</w:t>
      </w:r>
      <w:r>
        <w:rPr>
          <w:rFonts w:cs="Calibri"/>
          <w:spacing w:val="6"/>
        </w:rPr>
        <w:t xml:space="preserve"> </w:t>
      </w:r>
      <w:r>
        <w:rPr>
          <w:rFonts w:cs="Calibri"/>
          <w:i/>
          <w:spacing w:val="-1"/>
        </w:rPr>
        <w:t>The</w:t>
      </w:r>
      <w:r>
        <w:rPr>
          <w:rFonts w:cs="Calibri"/>
          <w:i/>
          <w:spacing w:val="5"/>
        </w:rPr>
        <w:t xml:space="preserve"> </w:t>
      </w:r>
      <w:r>
        <w:rPr>
          <w:rFonts w:cs="Calibri"/>
          <w:i/>
          <w:spacing w:val="-2"/>
        </w:rPr>
        <w:t>program</w:t>
      </w:r>
      <w:r>
        <w:rPr>
          <w:rFonts w:cs="Calibri"/>
          <w:i/>
          <w:spacing w:val="3"/>
        </w:rPr>
        <w:t xml:space="preserve"> </w:t>
      </w:r>
      <w:r>
        <w:rPr>
          <w:rFonts w:cs="Calibri"/>
          <w:i/>
        </w:rPr>
        <w:t>will</w:t>
      </w:r>
      <w:r>
        <w:rPr>
          <w:rFonts w:cs="Calibri"/>
          <w:i/>
          <w:spacing w:val="4"/>
        </w:rPr>
        <w:t xml:space="preserve"> </w:t>
      </w:r>
      <w:r>
        <w:rPr>
          <w:rFonts w:cs="Calibri"/>
          <w:i/>
          <w:spacing w:val="-1"/>
        </w:rPr>
        <w:t>automatically</w:t>
      </w:r>
      <w:r>
        <w:rPr>
          <w:rFonts w:cs="Calibri"/>
          <w:i/>
          <w:spacing w:val="5"/>
        </w:rPr>
        <w:t xml:space="preserve"> </w:t>
      </w:r>
      <w:r>
        <w:rPr>
          <w:rFonts w:cs="Calibri"/>
          <w:i/>
          <w:spacing w:val="-1"/>
        </w:rPr>
        <w:t>append</w:t>
      </w:r>
      <w:r>
        <w:rPr>
          <w:rFonts w:cs="Calibri"/>
          <w:i/>
          <w:spacing w:val="8"/>
        </w:rPr>
        <w:t xml:space="preserve"> </w:t>
      </w:r>
      <w:r>
        <w:rPr>
          <w:rFonts w:cs="Calibri"/>
          <w:i/>
        </w:rPr>
        <w:t>a</w:t>
      </w:r>
      <w:r>
        <w:rPr>
          <w:rFonts w:cs="Calibri"/>
          <w:i/>
          <w:spacing w:val="4"/>
        </w:rPr>
        <w:t xml:space="preserve"> </w:t>
      </w:r>
      <w:r>
        <w:rPr>
          <w:rFonts w:cs="Calibri"/>
          <w:i/>
          <w:spacing w:val="-1"/>
        </w:rPr>
        <w:t>.HEX</w:t>
      </w:r>
      <w:r>
        <w:rPr>
          <w:rFonts w:cs="Calibri"/>
          <w:i/>
          <w:spacing w:val="5"/>
        </w:rPr>
        <w:t xml:space="preserve"> </w:t>
      </w:r>
      <w:r>
        <w:rPr>
          <w:rFonts w:cs="Calibri"/>
          <w:i/>
          <w:spacing w:val="-1"/>
        </w:rPr>
        <w:t>delimiter</w:t>
      </w:r>
      <w:r>
        <w:rPr>
          <w:rFonts w:cs="Calibri"/>
          <w:i/>
          <w:spacing w:val="7"/>
        </w:rPr>
        <w:t xml:space="preserve"> </w:t>
      </w:r>
      <w:r>
        <w:rPr>
          <w:rFonts w:cs="Calibri"/>
          <w:i/>
        </w:rPr>
        <w:t>to</w:t>
      </w:r>
      <w:r>
        <w:rPr>
          <w:rFonts w:cs="Calibri"/>
          <w:i/>
          <w:spacing w:val="5"/>
        </w:rPr>
        <w:t xml:space="preserve"> </w:t>
      </w:r>
      <w:r>
        <w:rPr>
          <w:rFonts w:cs="Calibri"/>
          <w:i/>
        </w:rPr>
        <w:t>the</w:t>
      </w:r>
      <w:r>
        <w:rPr>
          <w:rFonts w:cs="Calibri"/>
          <w:i/>
          <w:spacing w:val="5"/>
        </w:rPr>
        <w:t xml:space="preserve"> </w:t>
      </w:r>
      <w:r>
        <w:rPr>
          <w:rFonts w:cs="Calibri"/>
          <w:i/>
          <w:spacing w:val="-1"/>
        </w:rPr>
        <w:t>filename.</w:t>
      </w:r>
      <w:r>
        <w:rPr>
          <w:rFonts w:cs="Calibri"/>
          <w:i/>
          <w:spacing w:val="10"/>
        </w:rPr>
        <w:t xml:space="preserve"> </w:t>
      </w:r>
      <w:r>
        <w:rPr>
          <w:rFonts w:cs="Calibri"/>
          <w:i/>
          <w:spacing w:val="-1"/>
        </w:rPr>
        <w:t>A</w:t>
      </w:r>
      <w:r>
        <w:rPr>
          <w:rFonts w:cs="Calibri"/>
          <w:i/>
          <w:spacing w:val="14"/>
        </w:rPr>
        <w:t xml:space="preserve"> </w:t>
      </w:r>
      <w:r>
        <w:rPr>
          <w:rFonts w:cs="Calibri"/>
          <w:i/>
          <w:spacing w:val="-1"/>
        </w:rPr>
        <w:t>small</w:t>
      </w:r>
      <w:r>
        <w:rPr>
          <w:rFonts w:cs="Calibri"/>
          <w:i/>
          <w:spacing w:val="12"/>
        </w:rPr>
        <w:t xml:space="preserve"> </w:t>
      </w:r>
      <w:r>
        <w:rPr>
          <w:rFonts w:cs="Calibri"/>
          <w:i/>
          <w:spacing w:val="-1"/>
        </w:rPr>
        <w:t>window</w:t>
      </w:r>
      <w:r>
        <w:rPr>
          <w:rFonts w:cs="Calibri"/>
          <w:i/>
          <w:spacing w:val="15"/>
        </w:rPr>
        <w:t xml:space="preserve"> </w:t>
      </w:r>
      <w:r>
        <w:rPr>
          <w:rFonts w:cs="Calibri"/>
          <w:i/>
          <w:spacing w:val="-1"/>
        </w:rPr>
        <w:t xml:space="preserve">ask </w:t>
      </w:r>
      <w:r>
        <w:rPr>
          <w:rFonts w:cs="Calibri"/>
          <w:i/>
          <w:spacing w:val="15"/>
        </w:rPr>
        <w:t xml:space="preserve">which </w:t>
      </w:r>
      <w:r>
        <w:rPr>
          <w:rFonts w:cs="Calibri"/>
          <w:i/>
          <w:spacing w:val="-2"/>
        </w:rPr>
        <w:t>cast</w:t>
      </w:r>
      <w:r>
        <w:rPr>
          <w:rFonts w:cs="Calibri"/>
          <w:i/>
          <w:spacing w:val="15"/>
        </w:rPr>
        <w:t xml:space="preserve"> </w:t>
      </w:r>
      <w:r>
        <w:rPr>
          <w:rFonts w:cs="Calibri"/>
          <w:i/>
          <w:spacing w:val="-1"/>
        </w:rPr>
        <w:t>number</w:t>
      </w:r>
      <w:r>
        <w:rPr>
          <w:rFonts w:cs="Calibri"/>
          <w:i/>
          <w:spacing w:val="15"/>
        </w:rPr>
        <w:t xml:space="preserve"> </w:t>
      </w:r>
      <w:r>
        <w:rPr>
          <w:rFonts w:cs="Calibri"/>
          <w:i/>
          <w:spacing w:val="-1"/>
        </w:rPr>
        <w:t>you</w:t>
      </w:r>
      <w:r>
        <w:rPr>
          <w:rFonts w:cs="Calibri"/>
          <w:i/>
          <w:spacing w:val="14"/>
        </w:rPr>
        <w:t xml:space="preserve"> </w:t>
      </w:r>
      <w:r>
        <w:rPr>
          <w:rFonts w:cs="Calibri"/>
          <w:i/>
          <w:spacing w:val="-1"/>
        </w:rPr>
        <w:t>want</w:t>
      </w:r>
      <w:r>
        <w:rPr>
          <w:rFonts w:cs="Calibri"/>
          <w:i/>
          <w:spacing w:val="12"/>
        </w:rPr>
        <w:t xml:space="preserve"> </w:t>
      </w:r>
      <w:r>
        <w:rPr>
          <w:rFonts w:cs="Calibri"/>
          <w:i/>
        </w:rPr>
        <w:t>to</w:t>
      </w:r>
      <w:r>
        <w:rPr>
          <w:rFonts w:cs="Calibri"/>
          <w:i/>
          <w:spacing w:val="14"/>
        </w:rPr>
        <w:t xml:space="preserve"> </w:t>
      </w:r>
      <w:r>
        <w:rPr>
          <w:rFonts w:cs="Calibri"/>
          <w:i/>
          <w:spacing w:val="-1"/>
        </w:rPr>
        <w:t>download</w:t>
      </w:r>
      <w:r>
        <w:rPr>
          <w:rFonts w:cs="Calibri"/>
          <w:spacing w:val="-1"/>
        </w:rPr>
        <w:t>.</w:t>
      </w:r>
      <w:r>
        <w:rPr>
          <w:rFonts w:cs="Calibri"/>
          <w:spacing w:val="15"/>
        </w:rPr>
        <w:t xml:space="preserve"> </w:t>
      </w:r>
      <w:r>
        <w:rPr>
          <w:rFonts w:cs="Calibri"/>
          <w:spacing w:val="-1"/>
        </w:rPr>
        <w:t>Type</w:t>
      </w:r>
      <w:r>
        <w:rPr>
          <w:rFonts w:cs="Calibri"/>
          <w:spacing w:val="12"/>
        </w:rPr>
        <w:t xml:space="preserve"> </w:t>
      </w:r>
      <w:r>
        <w:rPr>
          <w:rFonts w:cs="Calibri"/>
        </w:rPr>
        <w:t>in</w:t>
      </w:r>
      <w:r>
        <w:rPr>
          <w:rFonts w:cs="Calibri"/>
          <w:spacing w:val="63"/>
        </w:rPr>
        <w:t xml:space="preserve"> </w:t>
      </w:r>
      <w:r>
        <w:rPr>
          <w:rFonts w:cs="Calibri"/>
          <w:spacing w:val="-1"/>
        </w:rPr>
        <w:t>“1”</w:t>
      </w:r>
      <w:r>
        <w:rPr>
          <w:rFonts w:cs="Calibri"/>
          <w:spacing w:val="18"/>
        </w:rPr>
        <w:t xml:space="preserve"> </w:t>
      </w:r>
      <w:r>
        <w:rPr>
          <w:rFonts w:cs="Calibri"/>
          <w:spacing w:val="-1"/>
        </w:rPr>
        <w:t>to</w:t>
      </w:r>
      <w:r>
        <w:rPr>
          <w:rFonts w:cs="Calibri"/>
          <w:spacing w:val="18"/>
        </w:rPr>
        <w:t xml:space="preserve"> </w:t>
      </w:r>
      <w:r>
        <w:rPr>
          <w:rFonts w:cs="Calibri"/>
          <w:spacing w:val="-1"/>
        </w:rPr>
        <w:t>download</w:t>
      </w:r>
      <w:r>
        <w:rPr>
          <w:rFonts w:cs="Calibri"/>
          <w:spacing w:val="16"/>
        </w:rPr>
        <w:t xml:space="preserve"> </w:t>
      </w:r>
      <w:r>
        <w:rPr>
          <w:rFonts w:cs="Calibri"/>
          <w:spacing w:val="-1"/>
        </w:rPr>
        <w:t>the</w:t>
      </w:r>
      <w:r>
        <w:rPr>
          <w:rFonts w:cs="Calibri"/>
          <w:spacing w:val="17"/>
        </w:rPr>
        <w:t xml:space="preserve"> </w:t>
      </w:r>
      <w:r>
        <w:rPr>
          <w:rFonts w:cs="Calibri"/>
          <w:spacing w:val="-1"/>
        </w:rPr>
        <w:t>first</w:t>
      </w:r>
      <w:r>
        <w:rPr>
          <w:rFonts w:cs="Calibri"/>
          <w:spacing w:val="17"/>
        </w:rPr>
        <w:t xml:space="preserve"> </w:t>
      </w:r>
      <w:r>
        <w:rPr>
          <w:rFonts w:cs="Calibri"/>
          <w:spacing w:val="-1"/>
        </w:rPr>
        <w:t>cast</w:t>
      </w:r>
      <w:r>
        <w:rPr>
          <w:rFonts w:cs="Calibri"/>
          <w:spacing w:val="17"/>
        </w:rPr>
        <w:t xml:space="preserve"> </w:t>
      </w:r>
      <w:r>
        <w:rPr>
          <w:rFonts w:cs="Calibri"/>
        </w:rPr>
        <w:t>in</w:t>
      </w:r>
      <w:r>
        <w:rPr>
          <w:rFonts w:cs="Calibri"/>
          <w:spacing w:val="16"/>
        </w:rPr>
        <w:t xml:space="preserve"> </w:t>
      </w:r>
      <w:r>
        <w:rPr>
          <w:rFonts w:cs="Calibri"/>
          <w:spacing w:val="-1"/>
        </w:rPr>
        <w:t>memory.</w:t>
      </w:r>
      <w:r>
        <w:rPr>
          <w:rFonts w:cs="Calibri"/>
          <w:spacing w:val="21"/>
        </w:rPr>
        <w:t xml:space="preserve"> </w:t>
      </w:r>
      <w:r>
        <w:rPr>
          <w:rFonts w:cs="Calibri"/>
          <w:i/>
          <w:spacing w:val="-2"/>
        </w:rPr>
        <w:t>You</w:t>
      </w:r>
      <w:r>
        <w:rPr>
          <w:rFonts w:cs="Calibri"/>
          <w:i/>
          <w:spacing w:val="16"/>
        </w:rPr>
        <w:t xml:space="preserve"> </w:t>
      </w:r>
      <w:r>
        <w:rPr>
          <w:rFonts w:cs="Calibri"/>
          <w:i/>
          <w:spacing w:val="-1"/>
        </w:rPr>
        <w:t>should</w:t>
      </w:r>
      <w:r>
        <w:rPr>
          <w:rFonts w:cs="Calibri"/>
          <w:i/>
          <w:spacing w:val="16"/>
        </w:rPr>
        <w:t xml:space="preserve"> </w:t>
      </w:r>
      <w:r>
        <w:rPr>
          <w:rFonts w:cs="Calibri"/>
          <w:i/>
        </w:rPr>
        <w:t>then</w:t>
      </w:r>
      <w:r>
        <w:rPr>
          <w:rFonts w:cs="Calibri"/>
          <w:i/>
          <w:spacing w:val="16"/>
        </w:rPr>
        <w:t xml:space="preserve"> </w:t>
      </w:r>
      <w:r>
        <w:rPr>
          <w:rFonts w:cs="Calibri"/>
          <w:i/>
          <w:spacing w:val="-1"/>
        </w:rPr>
        <w:t>get</w:t>
      </w:r>
      <w:r>
        <w:rPr>
          <w:rFonts w:cs="Calibri"/>
          <w:i/>
          <w:spacing w:val="17"/>
        </w:rPr>
        <w:t xml:space="preserve"> </w:t>
      </w:r>
      <w:r>
        <w:rPr>
          <w:rFonts w:cs="Calibri"/>
          <w:i/>
        </w:rPr>
        <w:t>a</w:t>
      </w:r>
      <w:r>
        <w:rPr>
          <w:rFonts w:cs="Calibri"/>
          <w:i/>
          <w:spacing w:val="16"/>
        </w:rPr>
        <w:t xml:space="preserve"> </w:t>
      </w:r>
      <w:r>
        <w:rPr>
          <w:rFonts w:cs="Calibri"/>
          <w:i/>
          <w:spacing w:val="-1"/>
        </w:rPr>
        <w:t>progress</w:t>
      </w:r>
      <w:r>
        <w:rPr>
          <w:rFonts w:cs="Calibri"/>
          <w:i/>
          <w:spacing w:val="18"/>
        </w:rPr>
        <w:t xml:space="preserve"> </w:t>
      </w:r>
      <w:r>
        <w:rPr>
          <w:rFonts w:cs="Calibri"/>
          <w:i/>
          <w:spacing w:val="-1"/>
        </w:rPr>
        <w:t>window</w:t>
      </w:r>
      <w:r>
        <w:rPr>
          <w:rFonts w:cs="Calibri"/>
          <w:i/>
          <w:spacing w:val="15"/>
        </w:rPr>
        <w:t xml:space="preserve"> </w:t>
      </w:r>
      <w:r>
        <w:rPr>
          <w:rFonts w:cs="Calibri"/>
          <w:i/>
        </w:rPr>
        <w:t>with</w:t>
      </w:r>
      <w:r>
        <w:rPr>
          <w:rFonts w:cs="Calibri"/>
          <w:i/>
          <w:spacing w:val="17"/>
        </w:rPr>
        <w:t xml:space="preserve"> </w:t>
      </w:r>
      <w:r>
        <w:rPr>
          <w:rFonts w:cs="Calibri"/>
          <w:i/>
        </w:rPr>
        <w:t>a</w:t>
      </w:r>
      <w:r>
        <w:rPr>
          <w:rFonts w:cs="Calibri"/>
          <w:i/>
          <w:spacing w:val="53"/>
        </w:rPr>
        <w:t xml:space="preserve"> </w:t>
      </w:r>
      <w:r>
        <w:rPr>
          <w:rFonts w:cs="Calibri"/>
          <w:i/>
          <w:spacing w:val="-1"/>
        </w:rPr>
        <w:t>moving bar</w:t>
      </w:r>
      <w:r>
        <w:rPr>
          <w:rFonts w:cs="Calibri"/>
          <w:i/>
          <w:spacing w:val="1"/>
        </w:rPr>
        <w:t xml:space="preserve"> </w:t>
      </w:r>
      <w:r>
        <w:rPr>
          <w:rFonts w:cs="Calibri"/>
          <w:i/>
          <w:spacing w:val="-1"/>
        </w:rPr>
        <w:t>that</w:t>
      </w:r>
      <w:r>
        <w:rPr>
          <w:rFonts w:cs="Calibri"/>
          <w:i/>
          <w:spacing w:val="-2"/>
        </w:rPr>
        <w:t xml:space="preserve"> </w:t>
      </w:r>
      <w:r>
        <w:rPr>
          <w:rFonts w:cs="Calibri"/>
          <w:i/>
          <w:spacing w:val="-1"/>
        </w:rPr>
        <w:t>counts</w:t>
      </w:r>
      <w:r>
        <w:rPr>
          <w:rFonts w:cs="Calibri"/>
          <w:i/>
        </w:rPr>
        <w:t xml:space="preserve"> </w:t>
      </w:r>
      <w:r>
        <w:rPr>
          <w:rFonts w:cs="Calibri"/>
          <w:i/>
          <w:spacing w:val="-2"/>
        </w:rPr>
        <w:t>the</w:t>
      </w:r>
      <w:r>
        <w:rPr>
          <w:rFonts w:cs="Calibri"/>
          <w:i/>
          <w:spacing w:val="-3"/>
        </w:rPr>
        <w:t xml:space="preserve"> </w:t>
      </w:r>
      <w:r>
        <w:rPr>
          <w:rFonts w:cs="Calibri"/>
          <w:i/>
          <w:spacing w:val="-1"/>
        </w:rPr>
        <w:t>bytes transferred.</w:t>
      </w:r>
    </w:p>
    <w:p w14:paraId="2782D661" w14:textId="01B5BBB8" w:rsidR="0031675F" w:rsidRPr="004A3C40" w:rsidRDefault="004A3C40" w:rsidP="004A3C40">
      <w:pPr>
        <w:pStyle w:val="ListParagraph"/>
        <w:numPr>
          <w:ilvl w:val="0"/>
          <w:numId w:val="201"/>
        </w:numPr>
        <w:rPr>
          <w:rFonts w:cs="Calibri"/>
          <w:i/>
        </w:rPr>
      </w:pPr>
      <w:r w:rsidRPr="004A3C40">
        <w:rPr>
          <w:rFonts w:cs="Calibri"/>
        </w:rPr>
        <w:t>When</w:t>
      </w:r>
      <w:r w:rsidRPr="004A3C40">
        <w:rPr>
          <w:rFonts w:cs="Calibri"/>
          <w:spacing w:val="11"/>
        </w:rPr>
        <w:t xml:space="preserve"> </w:t>
      </w:r>
      <w:r w:rsidRPr="004A3C40">
        <w:rPr>
          <w:rFonts w:cs="Calibri"/>
        </w:rPr>
        <w:t>it’s</w:t>
      </w:r>
      <w:r w:rsidRPr="004A3C40">
        <w:rPr>
          <w:rFonts w:cs="Calibri"/>
          <w:spacing w:val="12"/>
        </w:rPr>
        <w:t xml:space="preserve"> </w:t>
      </w:r>
      <w:r w:rsidRPr="004A3C40">
        <w:rPr>
          <w:rFonts w:cs="Calibri"/>
          <w:spacing w:val="-1"/>
        </w:rPr>
        <w:t>complete,</w:t>
      </w:r>
      <w:r w:rsidRPr="004A3C40">
        <w:rPr>
          <w:rFonts w:cs="Calibri"/>
          <w:spacing w:val="13"/>
        </w:rPr>
        <w:t xml:space="preserve"> </w:t>
      </w:r>
      <w:r w:rsidRPr="004A3C40">
        <w:rPr>
          <w:rFonts w:cs="Calibri"/>
        </w:rPr>
        <w:t>the CTD file</w:t>
      </w:r>
      <w:r w:rsidRPr="004A3C40">
        <w:rPr>
          <w:rFonts w:cs="Calibri"/>
          <w:spacing w:val="12"/>
        </w:rPr>
        <w:t xml:space="preserve"> is now </w:t>
      </w:r>
      <w:r w:rsidRPr="004A3C40">
        <w:rPr>
          <w:rFonts w:cs="Calibri"/>
        </w:rPr>
        <w:t>saved</w:t>
      </w:r>
      <w:r w:rsidRPr="004A3C40">
        <w:rPr>
          <w:rFonts w:cs="Calibri"/>
          <w:spacing w:val="12"/>
        </w:rPr>
        <w:t xml:space="preserve"> </w:t>
      </w:r>
      <w:r w:rsidRPr="004A3C40">
        <w:rPr>
          <w:rFonts w:cs="Calibri"/>
        </w:rPr>
        <w:t>on</w:t>
      </w:r>
      <w:r w:rsidRPr="004A3C40">
        <w:rPr>
          <w:rFonts w:cs="Calibri"/>
          <w:spacing w:val="11"/>
        </w:rPr>
        <w:t xml:space="preserve"> </w:t>
      </w:r>
      <w:r w:rsidRPr="004A3C40">
        <w:rPr>
          <w:rFonts w:cs="Calibri"/>
        </w:rPr>
        <w:t>the</w:t>
      </w:r>
      <w:r w:rsidRPr="004A3C40">
        <w:rPr>
          <w:rFonts w:cs="Calibri"/>
          <w:spacing w:val="12"/>
        </w:rPr>
        <w:t xml:space="preserve"> </w:t>
      </w:r>
      <w:r w:rsidRPr="004A3C40">
        <w:rPr>
          <w:rFonts w:cs="Calibri"/>
          <w:spacing w:val="-1"/>
        </w:rPr>
        <w:t>computer.</w:t>
      </w:r>
      <w:r w:rsidRPr="004A3C40">
        <w:rPr>
          <w:rFonts w:cs="Calibri"/>
          <w:spacing w:val="15"/>
        </w:rPr>
        <w:t xml:space="preserve"> </w:t>
      </w:r>
      <w:r w:rsidRPr="004A3C40">
        <w:rPr>
          <w:rFonts w:cs="Calibri"/>
        </w:rPr>
        <w:t>Use Windows</w:t>
      </w:r>
      <w:r w:rsidRPr="004A3C40">
        <w:rPr>
          <w:rFonts w:cs="Calibri"/>
          <w:spacing w:val="12"/>
        </w:rPr>
        <w:t xml:space="preserve"> </w:t>
      </w:r>
      <w:r w:rsidRPr="004A3C40">
        <w:rPr>
          <w:rFonts w:cs="Calibri"/>
          <w:spacing w:val="-1"/>
        </w:rPr>
        <w:t>Explorer</w:t>
      </w:r>
      <w:r w:rsidRPr="004A3C40">
        <w:rPr>
          <w:rFonts w:cs="Calibri"/>
          <w:spacing w:val="12"/>
        </w:rPr>
        <w:t xml:space="preserve"> </w:t>
      </w:r>
      <w:r w:rsidRPr="004A3C40">
        <w:rPr>
          <w:rFonts w:cs="Calibri"/>
        </w:rPr>
        <w:t>if</w:t>
      </w:r>
      <w:r w:rsidRPr="004A3C40">
        <w:rPr>
          <w:rFonts w:cs="Calibri"/>
          <w:spacing w:val="11"/>
        </w:rPr>
        <w:t xml:space="preserve"> </w:t>
      </w:r>
      <w:r w:rsidRPr="004A3C40">
        <w:rPr>
          <w:rFonts w:cs="Calibri"/>
        </w:rPr>
        <w:t>you</w:t>
      </w:r>
      <w:r w:rsidRPr="004A3C40">
        <w:rPr>
          <w:rFonts w:cs="Calibri"/>
          <w:spacing w:val="9"/>
        </w:rPr>
        <w:t xml:space="preserve"> </w:t>
      </w:r>
      <w:r w:rsidRPr="004A3C40">
        <w:rPr>
          <w:rFonts w:cs="Calibri"/>
        </w:rPr>
        <w:t>want</w:t>
      </w:r>
      <w:r w:rsidRPr="004A3C40">
        <w:rPr>
          <w:rFonts w:cs="Calibri"/>
          <w:spacing w:val="12"/>
        </w:rPr>
        <w:t xml:space="preserve"> </w:t>
      </w:r>
      <w:r w:rsidRPr="004A3C40">
        <w:rPr>
          <w:rFonts w:cs="Calibri"/>
        </w:rPr>
        <w:t>to</w:t>
      </w:r>
      <w:r w:rsidRPr="004A3C40">
        <w:rPr>
          <w:rFonts w:cs="Calibri"/>
          <w:spacing w:val="14"/>
        </w:rPr>
        <w:t xml:space="preserve"> </w:t>
      </w:r>
      <w:r w:rsidRPr="004A3C40">
        <w:rPr>
          <w:rFonts w:cs="Calibri"/>
          <w:spacing w:val="-1"/>
        </w:rPr>
        <w:t>check</w:t>
      </w:r>
      <w:r w:rsidRPr="004A3C40">
        <w:rPr>
          <w:rFonts w:cs="Calibri"/>
          <w:spacing w:val="13"/>
        </w:rPr>
        <w:t xml:space="preserve"> </w:t>
      </w:r>
      <w:r w:rsidRPr="004A3C40">
        <w:rPr>
          <w:rFonts w:cs="Calibri"/>
        </w:rPr>
        <w:t>that</w:t>
      </w:r>
      <w:r w:rsidRPr="004A3C40">
        <w:rPr>
          <w:rFonts w:cs="Calibri"/>
          <w:spacing w:val="47"/>
        </w:rPr>
        <w:t xml:space="preserve"> </w:t>
      </w:r>
      <w:r w:rsidRPr="004A3C40">
        <w:rPr>
          <w:rFonts w:cs="Calibri"/>
        </w:rPr>
        <w:t>the</w:t>
      </w:r>
      <w:r w:rsidRPr="004A3C40">
        <w:rPr>
          <w:rFonts w:cs="Calibri"/>
          <w:spacing w:val="7"/>
        </w:rPr>
        <w:t xml:space="preserve"> </w:t>
      </w:r>
      <w:r w:rsidRPr="004A3C40">
        <w:rPr>
          <w:rFonts w:cs="Calibri"/>
          <w:spacing w:val="-1"/>
        </w:rPr>
        <w:t>datafile</w:t>
      </w:r>
      <w:r w:rsidRPr="004A3C40">
        <w:rPr>
          <w:rFonts w:cs="Calibri"/>
          <w:spacing w:val="8"/>
        </w:rPr>
        <w:t xml:space="preserve"> </w:t>
      </w:r>
      <w:r w:rsidRPr="004A3C40">
        <w:rPr>
          <w:rFonts w:cs="Calibri"/>
        </w:rPr>
        <w:t>is</w:t>
      </w:r>
      <w:r w:rsidRPr="004A3C40">
        <w:rPr>
          <w:rFonts w:cs="Calibri"/>
          <w:spacing w:val="4"/>
        </w:rPr>
        <w:t xml:space="preserve"> </w:t>
      </w:r>
      <w:r w:rsidRPr="004A3C40">
        <w:rPr>
          <w:rFonts w:cs="Calibri"/>
          <w:spacing w:val="-1"/>
        </w:rPr>
        <w:t>stored</w:t>
      </w:r>
      <w:r w:rsidRPr="004A3C40">
        <w:rPr>
          <w:rFonts w:cs="Calibri"/>
          <w:spacing w:val="4"/>
        </w:rPr>
        <w:t xml:space="preserve"> </w:t>
      </w:r>
      <w:r w:rsidRPr="004A3C40">
        <w:rPr>
          <w:rFonts w:cs="Calibri"/>
          <w:spacing w:val="-1"/>
        </w:rPr>
        <w:t>in the correct location.</w:t>
      </w:r>
    </w:p>
    <w:p w14:paraId="61670C2C" w14:textId="77777777" w:rsidR="0031675F" w:rsidRPr="0031675F" w:rsidRDefault="0031675F" w:rsidP="0031675F">
      <w:pPr>
        <w:spacing w:before="180"/>
        <w:ind w:left="118"/>
        <w:rPr>
          <w:rFonts w:cs="Calibri"/>
        </w:rPr>
      </w:pPr>
      <w:r w:rsidRPr="0031675F">
        <w:rPr>
          <w:b/>
          <w:spacing w:val="-1"/>
        </w:rPr>
        <w:t>Plotting</w:t>
      </w:r>
      <w:r w:rsidRPr="0031675F">
        <w:rPr>
          <w:b/>
        </w:rPr>
        <w:t xml:space="preserve"> </w:t>
      </w:r>
      <w:r w:rsidRPr="0031675F">
        <w:rPr>
          <w:b/>
          <w:spacing w:val="-1"/>
        </w:rPr>
        <w:t>the Data</w:t>
      </w:r>
    </w:p>
    <w:p w14:paraId="676250C1" w14:textId="77777777" w:rsidR="004A3C40" w:rsidRDefault="004A3C40" w:rsidP="004A3C40">
      <w:pPr>
        <w:pStyle w:val="BodyText"/>
        <w:widowControl w:val="0"/>
        <w:numPr>
          <w:ilvl w:val="0"/>
          <w:numId w:val="136"/>
        </w:numPr>
        <w:tabs>
          <w:tab w:val="left" w:pos="403"/>
        </w:tabs>
        <w:spacing w:before="120" w:after="0" w:line="240" w:lineRule="auto"/>
      </w:pPr>
      <w:r>
        <w:rPr>
          <w:spacing w:val="-1"/>
        </w:rPr>
        <w:t>Launch</w:t>
      </w:r>
      <w:r>
        <w:t xml:space="preserve"> </w:t>
      </w:r>
      <w:r>
        <w:rPr>
          <w:spacing w:val="-1"/>
        </w:rPr>
        <w:t>SeaSave V7</w:t>
      </w:r>
      <w:r>
        <w:rPr>
          <w:spacing w:val="1"/>
        </w:rPr>
        <w:t xml:space="preserve"> </w:t>
      </w:r>
      <w:r>
        <w:rPr>
          <w:spacing w:val="-2"/>
        </w:rPr>
        <w:t>on the computer</w:t>
      </w:r>
      <w:r>
        <w:rPr>
          <w:spacing w:val="-1"/>
        </w:rPr>
        <w:t>.</w:t>
      </w:r>
      <w:r>
        <w:rPr>
          <w:spacing w:val="2"/>
        </w:rPr>
        <w:t xml:space="preserve"> </w:t>
      </w:r>
      <w:r>
        <w:rPr>
          <w:spacing w:val="-1"/>
        </w:rPr>
        <w:t>Normally</w:t>
      </w:r>
      <w:r>
        <w:t xml:space="preserve"> </w:t>
      </w:r>
      <w:r>
        <w:rPr>
          <w:spacing w:val="-1"/>
        </w:rPr>
        <w:t>for</w:t>
      </w:r>
      <w:r>
        <w:t xml:space="preserve"> </w:t>
      </w:r>
      <w:r>
        <w:rPr>
          <w:spacing w:val="-2"/>
        </w:rPr>
        <w:t>CTD</w:t>
      </w:r>
      <w:r>
        <w:rPr>
          <w:spacing w:val="-1"/>
        </w:rPr>
        <w:t xml:space="preserve"> plots,</w:t>
      </w:r>
      <w:r>
        <w:t xml:space="preserve"> </w:t>
      </w:r>
      <w:r>
        <w:rPr>
          <w:spacing w:val="-1"/>
        </w:rPr>
        <w:t>the</w:t>
      </w:r>
      <w:r>
        <w:rPr>
          <w:spacing w:val="-2"/>
        </w:rPr>
        <w:t xml:space="preserve"> </w:t>
      </w:r>
      <w:r>
        <w:rPr>
          <w:spacing w:val="-1"/>
        </w:rPr>
        <w:t>vertical</w:t>
      </w:r>
      <w:r>
        <w:t xml:space="preserve"> </w:t>
      </w:r>
      <w:r>
        <w:rPr>
          <w:spacing w:val="-1"/>
        </w:rPr>
        <w:t>scale</w:t>
      </w:r>
      <w:r>
        <w:t xml:space="preserve"> is</w:t>
      </w:r>
      <w:r>
        <w:rPr>
          <w:spacing w:val="-3"/>
        </w:rPr>
        <w:t xml:space="preserve"> </w:t>
      </w:r>
      <w:r>
        <w:rPr>
          <w:spacing w:val="-2"/>
        </w:rPr>
        <w:t>depth</w:t>
      </w:r>
      <w:r>
        <w:rPr>
          <w:spacing w:val="-1"/>
        </w:rPr>
        <w:t xml:space="preserve"> (m).</w:t>
      </w:r>
    </w:p>
    <w:p w14:paraId="41C0EA1C" w14:textId="77777777" w:rsidR="004A3C40" w:rsidRDefault="004A3C40" w:rsidP="004A3C40">
      <w:pPr>
        <w:pStyle w:val="BodyText"/>
        <w:widowControl w:val="0"/>
        <w:numPr>
          <w:ilvl w:val="0"/>
          <w:numId w:val="136"/>
        </w:numPr>
        <w:tabs>
          <w:tab w:val="left" w:pos="403"/>
        </w:tabs>
        <w:spacing w:before="61" w:after="0" w:line="239" w:lineRule="auto"/>
        <w:ind w:right="111"/>
        <w:jc w:val="both"/>
      </w:pPr>
      <w:r>
        <w:rPr>
          <w:spacing w:val="-1"/>
        </w:rPr>
        <w:t>Click</w:t>
      </w:r>
      <w:r>
        <w:rPr>
          <w:spacing w:val="5"/>
        </w:rPr>
        <w:t xml:space="preserve"> </w:t>
      </w:r>
      <w:r>
        <w:t>the</w:t>
      </w:r>
      <w:r>
        <w:rPr>
          <w:spacing w:val="3"/>
        </w:rPr>
        <w:t xml:space="preserve"> </w:t>
      </w:r>
      <w:r>
        <w:rPr>
          <w:spacing w:val="-1"/>
        </w:rPr>
        <w:t>ArchiveData</w:t>
      </w:r>
      <w:r>
        <w:rPr>
          <w:spacing w:val="6"/>
        </w:rPr>
        <w:t xml:space="preserve"> </w:t>
      </w:r>
      <w:r>
        <w:t>tab</w:t>
      </w:r>
      <w:r>
        <w:rPr>
          <w:spacing w:val="2"/>
        </w:rPr>
        <w:t xml:space="preserve"> </w:t>
      </w:r>
      <w:r>
        <w:rPr>
          <w:spacing w:val="-2"/>
        </w:rPr>
        <w:t>and</w:t>
      </w:r>
      <w:r>
        <w:rPr>
          <w:spacing w:val="4"/>
        </w:rPr>
        <w:t xml:space="preserve"> </w:t>
      </w:r>
      <w:r>
        <w:t>then</w:t>
      </w:r>
      <w:r>
        <w:rPr>
          <w:spacing w:val="5"/>
        </w:rPr>
        <w:t xml:space="preserve"> </w:t>
      </w:r>
      <w:r>
        <w:rPr>
          <w:spacing w:val="-1"/>
        </w:rPr>
        <w:t>Start</w:t>
      </w:r>
      <w:r>
        <w:rPr>
          <w:spacing w:val="3"/>
        </w:rPr>
        <w:t xml:space="preserve"> </w:t>
      </w:r>
      <w:r>
        <w:rPr>
          <w:spacing w:val="-1"/>
        </w:rPr>
        <w:t>opens</w:t>
      </w:r>
      <w:r>
        <w:rPr>
          <w:spacing w:val="6"/>
        </w:rPr>
        <w:t xml:space="preserve"> </w:t>
      </w:r>
      <w:r>
        <w:t>an</w:t>
      </w:r>
      <w:r>
        <w:rPr>
          <w:spacing w:val="4"/>
        </w:rPr>
        <w:t xml:space="preserve"> </w:t>
      </w:r>
      <w:r>
        <w:rPr>
          <w:spacing w:val="-1"/>
        </w:rPr>
        <w:t>input</w:t>
      </w:r>
      <w:r>
        <w:rPr>
          <w:spacing w:val="3"/>
        </w:rPr>
        <w:t xml:space="preserve"> </w:t>
      </w:r>
      <w:r>
        <w:rPr>
          <w:spacing w:val="-1"/>
        </w:rPr>
        <w:t>window</w:t>
      </w:r>
      <w:r>
        <w:rPr>
          <w:spacing w:val="3"/>
        </w:rPr>
        <w:t xml:space="preserve"> </w:t>
      </w:r>
      <w:r>
        <w:t>that</w:t>
      </w:r>
      <w:r>
        <w:rPr>
          <w:spacing w:val="5"/>
        </w:rPr>
        <w:t xml:space="preserve"> </w:t>
      </w:r>
      <w:r>
        <w:rPr>
          <w:spacing w:val="-2"/>
        </w:rPr>
        <w:t>lets</w:t>
      </w:r>
      <w:r>
        <w:rPr>
          <w:spacing w:val="5"/>
        </w:rPr>
        <w:t xml:space="preserve"> </w:t>
      </w:r>
      <w:r>
        <w:rPr>
          <w:spacing w:val="-1"/>
        </w:rPr>
        <w:t>you</w:t>
      </w:r>
      <w:r>
        <w:rPr>
          <w:spacing w:val="4"/>
        </w:rPr>
        <w:t xml:space="preserve"> </w:t>
      </w:r>
      <w:r>
        <w:rPr>
          <w:spacing w:val="-1"/>
        </w:rPr>
        <w:t>select</w:t>
      </w:r>
      <w:r>
        <w:rPr>
          <w:spacing w:val="6"/>
        </w:rPr>
        <w:t xml:space="preserve"> </w:t>
      </w:r>
      <w:r>
        <w:t>a</w:t>
      </w:r>
      <w:r>
        <w:rPr>
          <w:spacing w:val="2"/>
        </w:rPr>
        <w:t xml:space="preserve"> </w:t>
      </w:r>
      <w:r>
        <w:rPr>
          <w:spacing w:val="-1"/>
        </w:rPr>
        <w:t>file</w:t>
      </w:r>
      <w:r>
        <w:rPr>
          <w:spacing w:val="61"/>
        </w:rPr>
        <w:t xml:space="preserve"> </w:t>
      </w:r>
      <w:r>
        <w:t>to</w:t>
      </w:r>
      <w:r>
        <w:rPr>
          <w:spacing w:val="6"/>
        </w:rPr>
        <w:t xml:space="preserve"> </w:t>
      </w:r>
      <w:r>
        <w:rPr>
          <w:spacing w:val="-1"/>
        </w:rPr>
        <w:t>plot.</w:t>
      </w:r>
      <w:r>
        <w:rPr>
          <w:spacing w:val="4"/>
        </w:rPr>
        <w:t xml:space="preserve"> </w:t>
      </w:r>
      <w:r>
        <w:rPr>
          <w:spacing w:val="-1"/>
        </w:rPr>
        <w:t>Navigate</w:t>
      </w:r>
      <w:r>
        <w:rPr>
          <w:spacing w:val="5"/>
        </w:rPr>
        <w:t xml:space="preserve"> </w:t>
      </w:r>
      <w:r>
        <w:rPr>
          <w:spacing w:val="-1"/>
        </w:rPr>
        <w:t>to</w:t>
      </w:r>
      <w:r>
        <w:rPr>
          <w:spacing w:val="6"/>
        </w:rPr>
        <w:t xml:space="preserve"> </w:t>
      </w:r>
      <w:r>
        <w:rPr>
          <w:spacing w:val="-1"/>
        </w:rPr>
        <w:t>your</w:t>
      </w:r>
      <w:r>
        <w:rPr>
          <w:spacing w:val="5"/>
        </w:rPr>
        <w:t xml:space="preserve"> </w:t>
      </w:r>
      <w:r>
        <w:rPr>
          <w:spacing w:val="-1"/>
        </w:rPr>
        <w:t>datafile</w:t>
      </w:r>
      <w:r>
        <w:rPr>
          <w:spacing w:val="5"/>
        </w:rPr>
        <w:t xml:space="preserve"> </w:t>
      </w:r>
      <w:r>
        <w:rPr>
          <w:spacing w:val="-1"/>
        </w:rPr>
        <w:t>using</w:t>
      </w:r>
      <w:r>
        <w:rPr>
          <w:spacing w:val="4"/>
        </w:rPr>
        <w:t xml:space="preserve"> </w:t>
      </w:r>
      <w:r>
        <w:t>the</w:t>
      </w:r>
      <w:r>
        <w:rPr>
          <w:spacing w:val="8"/>
        </w:rPr>
        <w:t xml:space="preserve"> </w:t>
      </w:r>
      <w:r>
        <w:rPr>
          <w:spacing w:val="-1"/>
        </w:rPr>
        <w:t>Select</w:t>
      </w:r>
      <w:r>
        <w:rPr>
          <w:spacing w:val="4"/>
        </w:rPr>
        <w:t xml:space="preserve"> </w:t>
      </w:r>
      <w:r>
        <w:rPr>
          <w:spacing w:val="-1"/>
        </w:rPr>
        <w:t>Data</w:t>
      </w:r>
      <w:r>
        <w:rPr>
          <w:spacing w:val="5"/>
        </w:rPr>
        <w:t xml:space="preserve"> </w:t>
      </w:r>
      <w:r>
        <w:rPr>
          <w:spacing w:val="-1"/>
        </w:rPr>
        <w:t>File</w:t>
      </w:r>
      <w:r>
        <w:rPr>
          <w:spacing w:val="6"/>
        </w:rPr>
        <w:t xml:space="preserve"> </w:t>
      </w:r>
      <w:r>
        <w:rPr>
          <w:spacing w:val="-1"/>
        </w:rPr>
        <w:t>button</w:t>
      </w:r>
      <w:r>
        <w:rPr>
          <w:spacing w:val="4"/>
        </w:rPr>
        <w:t xml:space="preserve"> </w:t>
      </w:r>
      <w:r>
        <w:t>in</w:t>
      </w:r>
      <w:r>
        <w:rPr>
          <w:spacing w:val="4"/>
        </w:rPr>
        <w:t xml:space="preserve"> </w:t>
      </w:r>
      <w:r>
        <w:t>the</w:t>
      </w:r>
      <w:r>
        <w:rPr>
          <w:spacing w:val="5"/>
        </w:rPr>
        <w:t xml:space="preserve"> </w:t>
      </w:r>
      <w:r>
        <w:rPr>
          <w:spacing w:val="-1"/>
        </w:rPr>
        <w:t>usual</w:t>
      </w:r>
      <w:r>
        <w:rPr>
          <w:spacing w:val="4"/>
        </w:rPr>
        <w:t xml:space="preserve"> </w:t>
      </w:r>
      <w:r>
        <w:rPr>
          <w:spacing w:val="-1"/>
        </w:rPr>
        <w:t>Windows</w:t>
      </w:r>
      <w:r>
        <w:rPr>
          <w:spacing w:val="3"/>
        </w:rPr>
        <w:t xml:space="preserve"> </w:t>
      </w:r>
      <w:r>
        <w:t>way</w:t>
      </w:r>
      <w:r>
        <w:rPr>
          <w:spacing w:val="6"/>
        </w:rPr>
        <w:t xml:space="preserve"> </w:t>
      </w:r>
      <w:r>
        <w:t>and</w:t>
      </w:r>
      <w:r>
        <w:rPr>
          <w:spacing w:val="69"/>
        </w:rPr>
        <w:t xml:space="preserve"> </w:t>
      </w:r>
      <w:r>
        <w:t>click</w:t>
      </w:r>
      <w:r>
        <w:rPr>
          <w:spacing w:val="-2"/>
        </w:rPr>
        <w:t xml:space="preserve"> </w:t>
      </w:r>
      <w:r>
        <w:t>on</w:t>
      </w:r>
      <w:r>
        <w:rPr>
          <w:spacing w:val="-1"/>
        </w:rPr>
        <w:t xml:space="preserve"> </w:t>
      </w:r>
      <w:r>
        <w:t>it</w:t>
      </w:r>
      <w:r>
        <w:rPr>
          <w:spacing w:val="-2"/>
        </w:rPr>
        <w:t xml:space="preserve"> </w:t>
      </w:r>
      <w:r>
        <w:t>to</w:t>
      </w:r>
      <w:r>
        <w:rPr>
          <w:spacing w:val="-1"/>
        </w:rPr>
        <w:t xml:space="preserve"> select</w:t>
      </w:r>
      <w:r>
        <w:rPr>
          <w:spacing w:val="1"/>
        </w:rPr>
        <w:t xml:space="preserve"> </w:t>
      </w:r>
      <w:r>
        <w:t>it.</w:t>
      </w:r>
    </w:p>
    <w:p w14:paraId="20E20087" w14:textId="77777777" w:rsidR="004A3C40" w:rsidRDefault="004A3C40" w:rsidP="004A3C40">
      <w:pPr>
        <w:pStyle w:val="BodyText"/>
        <w:widowControl w:val="0"/>
        <w:numPr>
          <w:ilvl w:val="0"/>
          <w:numId w:val="136"/>
        </w:numPr>
        <w:tabs>
          <w:tab w:val="left" w:pos="403"/>
        </w:tabs>
        <w:spacing w:before="60" w:after="0" w:line="240" w:lineRule="auto"/>
        <w:ind w:right="112"/>
        <w:jc w:val="both"/>
      </w:pPr>
      <w:r>
        <w:rPr>
          <w:spacing w:val="-1"/>
        </w:rPr>
        <w:t>Click</w:t>
      </w:r>
      <w:r>
        <w:rPr>
          <w:spacing w:val="1"/>
        </w:rPr>
        <w:t xml:space="preserve"> </w:t>
      </w:r>
      <w:r>
        <w:t>on</w:t>
      </w:r>
      <w:r>
        <w:rPr>
          <w:spacing w:val="-1"/>
        </w:rPr>
        <w:t xml:space="preserve"> the</w:t>
      </w:r>
      <w:r>
        <w:t xml:space="preserve"> </w:t>
      </w:r>
      <w:r>
        <w:rPr>
          <w:spacing w:val="-1"/>
        </w:rPr>
        <w:t xml:space="preserve">button </w:t>
      </w:r>
      <w:r>
        <w:t xml:space="preserve">at </w:t>
      </w:r>
      <w:r>
        <w:rPr>
          <w:spacing w:val="-1"/>
        </w:rPr>
        <w:t>the</w:t>
      </w:r>
      <w:r>
        <w:t xml:space="preserve"> </w:t>
      </w:r>
      <w:r>
        <w:rPr>
          <w:spacing w:val="-1"/>
        </w:rPr>
        <w:t xml:space="preserve">bottom </w:t>
      </w:r>
      <w:r>
        <w:t xml:space="preserve">of </w:t>
      </w:r>
      <w:r>
        <w:rPr>
          <w:spacing w:val="-1"/>
        </w:rPr>
        <w:t>the</w:t>
      </w:r>
      <w:r>
        <w:t xml:space="preserve"> </w:t>
      </w:r>
      <w:r>
        <w:rPr>
          <w:spacing w:val="-1"/>
        </w:rPr>
        <w:t>input</w:t>
      </w:r>
      <w:r>
        <w:t xml:space="preserve"> </w:t>
      </w:r>
      <w:r>
        <w:rPr>
          <w:spacing w:val="-1"/>
        </w:rPr>
        <w:t>box</w:t>
      </w:r>
      <w:r>
        <w:t xml:space="preserve"> </w:t>
      </w:r>
      <w:r>
        <w:rPr>
          <w:spacing w:val="-1"/>
        </w:rPr>
        <w:t>(Start</w:t>
      </w:r>
      <w:r>
        <w:t xml:space="preserve"> </w:t>
      </w:r>
      <w:r>
        <w:rPr>
          <w:spacing w:val="-1"/>
        </w:rPr>
        <w:t>Display)</w:t>
      </w:r>
      <w:r>
        <w:t xml:space="preserve"> </w:t>
      </w:r>
      <w:r>
        <w:rPr>
          <w:spacing w:val="-1"/>
        </w:rPr>
        <w:t>to</w:t>
      </w:r>
      <w:r>
        <w:rPr>
          <w:spacing w:val="1"/>
        </w:rPr>
        <w:t xml:space="preserve"> </w:t>
      </w:r>
      <w:r>
        <w:rPr>
          <w:spacing w:val="-1"/>
        </w:rPr>
        <w:t>plot</w:t>
      </w:r>
      <w:r>
        <w:rPr>
          <w:spacing w:val="-2"/>
        </w:rPr>
        <w:t xml:space="preserve"> </w:t>
      </w:r>
      <w:r>
        <w:rPr>
          <w:spacing w:val="-1"/>
        </w:rPr>
        <w:t>your</w:t>
      </w:r>
      <w:r>
        <w:t xml:space="preserve"> </w:t>
      </w:r>
      <w:r>
        <w:rPr>
          <w:spacing w:val="-1"/>
        </w:rPr>
        <w:t>data</w:t>
      </w:r>
      <w:r>
        <w:t xml:space="preserve"> </w:t>
      </w:r>
      <w:r>
        <w:rPr>
          <w:spacing w:val="-1"/>
        </w:rPr>
        <w:t>using</w:t>
      </w:r>
      <w:r>
        <w:t xml:space="preserve"> the</w:t>
      </w:r>
      <w:r>
        <w:rPr>
          <w:spacing w:val="65"/>
        </w:rPr>
        <w:t xml:space="preserve"> </w:t>
      </w:r>
      <w:r>
        <w:rPr>
          <w:spacing w:val="-1"/>
        </w:rPr>
        <w:t>default</w:t>
      </w:r>
      <w:r>
        <w:t xml:space="preserve"> </w:t>
      </w:r>
      <w:r>
        <w:rPr>
          <w:spacing w:val="-1"/>
        </w:rPr>
        <w:t>plot</w:t>
      </w:r>
      <w:r>
        <w:rPr>
          <w:spacing w:val="-2"/>
        </w:rPr>
        <w:t xml:space="preserve"> </w:t>
      </w:r>
      <w:r>
        <w:rPr>
          <w:spacing w:val="-1"/>
        </w:rPr>
        <w:t>parameters</w:t>
      </w:r>
      <w:r>
        <w:t xml:space="preserve"> </w:t>
      </w:r>
      <w:r>
        <w:rPr>
          <w:spacing w:val="-1"/>
        </w:rPr>
        <w:t xml:space="preserve">stored </w:t>
      </w:r>
      <w:r>
        <w:t>in</w:t>
      </w:r>
      <w:r>
        <w:rPr>
          <w:spacing w:val="-1"/>
        </w:rPr>
        <w:t xml:space="preserve"> the</w:t>
      </w:r>
      <w:r>
        <w:rPr>
          <w:spacing w:val="-2"/>
        </w:rPr>
        <w:t xml:space="preserve"> </w:t>
      </w:r>
      <w:r>
        <w:rPr>
          <w:spacing w:val="-1"/>
        </w:rPr>
        <w:t>computer.</w:t>
      </w:r>
    </w:p>
    <w:p w14:paraId="193AF20B" w14:textId="77777777" w:rsidR="004A3C40" w:rsidRDefault="004A3C40" w:rsidP="004A3C40">
      <w:pPr>
        <w:pStyle w:val="BodyText"/>
        <w:widowControl w:val="0"/>
        <w:numPr>
          <w:ilvl w:val="0"/>
          <w:numId w:val="136"/>
        </w:numPr>
        <w:tabs>
          <w:tab w:val="left" w:pos="403"/>
        </w:tabs>
        <w:spacing w:before="60" w:after="0" w:line="240" w:lineRule="auto"/>
        <w:ind w:right="110"/>
        <w:jc w:val="both"/>
      </w:pPr>
      <w:r>
        <w:rPr>
          <w:spacing w:val="-1"/>
        </w:rPr>
        <w:t>To</w:t>
      </w:r>
      <w:r>
        <w:rPr>
          <w:spacing w:val="14"/>
        </w:rPr>
        <w:t xml:space="preserve"> </w:t>
      </w:r>
      <w:r>
        <w:rPr>
          <w:spacing w:val="-1"/>
        </w:rPr>
        <w:t>change</w:t>
      </w:r>
      <w:r>
        <w:rPr>
          <w:spacing w:val="13"/>
        </w:rPr>
        <w:t xml:space="preserve"> </w:t>
      </w:r>
      <w:r>
        <w:rPr>
          <w:spacing w:val="-1"/>
        </w:rPr>
        <w:t>the</w:t>
      </w:r>
      <w:r>
        <w:rPr>
          <w:spacing w:val="13"/>
        </w:rPr>
        <w:t xml:space="preserve"> </w:t>
      </w:r>
      <w:r>
        <w:rPr>
          <w:spacing w:val="-1"/>
        </w:rPr>
        <w:t>plot</w:t>
      </w:r>
      <w:r>
        <w:rPr>
          <w:spacing w:val="13"/>
        </w:rPr>
        <w:t xml:space="preserve"> </w:t>
      </w:r>
      <w:r>
        <w:rPr>
          <w:spacing w:val="-1"/>
        </w:rPr>
        <w:t>parameters,</w:t>
      </w:r>
      <w:r>
        <w:rPr>
          <w:spacing w:val="13"/>
        </w:rPr>
        <w:t xml:space="preserve"> </w:t>
      </w:r>
      <w:r>
        <w:rPr>
          <w:spacing w:val="-1"/>
        </w:rPr>
        <w:t>use</w:t>
      </w:r>
      <w:r>
        <w:rPr>
          <w:spacing w:val="11"/>
        </w:rPr>
        <w:t xml:space="preserve"> </w:t>
      </w:r>
      <w:r>
        <w:t>the</w:t>
      </w:r>
      <w:r>
        <w:rPr>
          <w:spacing w:val="15"/>
        </w:rPr>
        <w:t xml:space="preserve"> </w:t>
      </w:r>
      <w:r>
        <w:rPr>
          <w:spacing w:val="-1"/>
        </w:rPr>
        <w:t>ScreenDisplay</w:t>
      </w:r>
      <w:r>
        <w:rPr>
          <w:spacing w:val="14"/>
        </w:rPr>
        <w:t xml:space="preserve"> </w:t>
      </w:r>
      <w:r>
        <w:rPr>
          <w:rFonts w:cs="Calibri"/>
        </w:rPr>
        <w:t>tab</w:t>
      </w:r>
      <w:r>
        <w:rPr>
          <w:rFonts w:cs="Calibri"/>
          <w:spacing w:val="12"/>
        </w:rPr>
        <w:t xml:space="preserve"> </w:t>
      </w:r>
      <w:r>
        <w:rPr>
          <w:rFonts w:cs="Calibri"/>
          <w:spacing w:val="-1"/>
        </w:rPr>
        <w:t>to</w:t>
      </w:r>
      <w:r>
        <w:rPr>
          <w:rFonts w:cs="Calibri"/>
          <w:spacing w:val="14"/>
        </w:rPr>
        <w:t xml:space="preserve"> </w:t>
      </w:r>
      <w:r>
        <w:rPr>
          <w:rFonts w:cs="Calibri"/>
          <w:spacing w:val="-1"/>
        </w:rPr>
        <w:t>select</w:t>
      </w:r>
      <w:r>
        <w:rPr>
          <w:rFonts w:cs="Calibri"/>
          <w:spacing w:val="13"/>
        </w:rPr>
        <w:t xml:space="preserve"> </w:t>
      </w:r>
      <w:r>
        <w:rPr>
          <w:rFonts w:cs="Calibri"/>
          <w:spacing w:val="-1"/>
        </w:rPr>
        <w:t>“</w:t>
      </w:r>
      <w:r>
        <w:rPr>
          <w:spacing w:val="-1"/>
        </w:rPr>
        <w:t>Edit</w:t>
      </w:r>
      <w:r>
        <w:rPr>
          <w:spacing w:val="11"/>
        </w:rPr>
        <w:t xml:space="preserve"> </w:t>
      </w:r>
      <w:r>
        <w:rPr>
          <w:spacing w:val="-1"/>
        </w:rPr>
        <w:t>Selected</w:t>
      </w:r>
      <w:r>
        <w:rPr>
          <w:spacing w:val="10"/>
        </w:rPr>
        <w:t xml:space="preserve"> </w:t>
      </w:r>
      <w:r>
        <w:rPr>
          <w:spacing w:val="-1"/>
        </w:rPr>
        <w:t>Display</w:t>
      </w:r>
      <w:r>
        <w:rPr>
          <w:spacing w:val="59"/>
        </w:rPr>
        <w:t xml:space="preserve"> </w:t>
      </w:r>
      <w:r>
        <w:rPr>
          <w:spacing w:val="-1"/>
        </w:rPr>
        <w:t>Window</w:t>
      </w:r>
      <w:r>
        <w:rPr>
          <w:rFonts w:cs="Calibri"/>
          <w:spacing w:val="-1"/>
        </w:rPr>
        <w:t>”.</w:t>
      </w:r>
      <w:r>
        <w:rPr>
          <w:rFonts w:cs="Calibri"/>
          <w:spacing w:val="41"/>
        </w:rPr>
        <w:t xml:space="preserve"> </w:t>
      </w:r>
      <w:r>
        <w:rPr>
          <w:spacing w:val="-1"/>
        </w:rPr>
        <w:t>This</w:t>
      </w:r>
      <w:r>
        <w:rPr>
          <w:spacing w:val="43"/>
        </w:rPr>
        <w:t xml:space="preserve"> </w:t>
      </w:r>
      <w:r>
        <w:t>will</w:t>
      </w:r>
      <w:r>
        <w:rPr>
          <w:spacing w:val="41"/>
        </w:rPr>
        <w:t xml:space="preserve"> </w:t>
      </w:r>
      <w:r>
        <w:rPr>
          <w:spacing w:val="-1"/>
        </w:rPr>
        <w:t>allow</w:t>
      </w:r>
      <w:r>
        <w:rPr>
          <w:spacing w:val="41"/>
        </w:rPr>
        <w:t xml:space="preserve"> </w:t>
      </w:r>
      <w:r>
        <w:t>you</w:t>
      </w:r>
      <w:r>
        <w:rPr>
          <w:spacing w:val="40"/>
        </w:rPr>
        <w:t xml:space="preserve"> </w:t>
      </w:r>
      <w:r>
        <w:rPr>
          <w:spacing w:val="-1"/>
        </w:rPr>
        <w:t>to</w:t>
      </w:r>
      <w:r>
        <w:rPr>
          <w:spacing w:val="45"/>
        </w:rPr>
        <w:t xml:space="preserve"> </w:t>
      </w:r>
      <w:r>
        <w:rPr>
          <w:spacing w:val="-1"/>
        </w:rPr>
        <w:t>load</w:t>
      </w:r>
      <w:r>
        <w:rPr>
          <w:spacing w:val="43"/>
        </w:rPr>
        <w:t xml:space="preserve"> </w:t>
      </w:r>
      <w:r>
        <w:rPr>
          <w:spacing w:val="-1"/>
        </w:rPr>
        <w:t>another</w:t>
      </w:r>
      <w:r>
        <w:rPr>
          <w:spacing w:val="42"/>
        </w:rPr>
        <w:t xml:space="preserve"> </w:t>
      </w:r>
      <w:r>
        <w:rPr>
          <w:spacing w:val="-1"/>
        </w:rPr>
        <w:t>plot</w:t>
      </w:r>
      <w:r>
        <w:rPr>
          <w:spacing w:val="41"/>
        </w:rPr>
        <w:t xml:space="preserve"> </w:t>
      </w:r>
      <w:r>
        <w:rPr>
          <w:spacing w:val="-1"/>
        </w:rPr>
        <w:t>parameter</w:t>
      </w:r>
      <w:r>
        <w:rPr>
          <w:spacing w:val="41"/>
        </w:rPr>
        <w:t xml:space="preserve"> </w:t>
      </w:r>
      <w:r>
        <w:rPr>
          <w:spacing w:val="-1"/>
        </w:rPr>
        <w:t>file</w:t>
      </w:r>
      <w:r>
        <w:rPr>
          <w:spacing w:val="43"/>
        </w:rPr>
        <w:t xml:space="preserve"> </w:t>
      </w:r>
      <w:r>
        <w:rPr>
          <w:spacing w:val="-1"/>
        </w:rPr>
        <w:t>(.dso)</w:t>
      </w:r>
      <w:r>
        <w:rPr>
          <w:spacing w:val="41"/>
        </w:rPr>
        <w:t xml:space="preserve"> </w:t>
      </w:r>
      <w:r>
        <w:rPr>
          <w:spacing w:val="-1"/>
        </w:rPr>
        <w:t>that</w:t>
      </w:r>
      <w:r>
        <w:rPr>
          <w:spacing w:val="44"/>
        </w:rPr>
        <w:t xml:space="preserve"> </w:t>
      </w:r>
      <w:r>
        <w:rPr>
          <w:spacing w:val="-1"/>
        </w:rPr>
        <w:t>might</w:t>
      </w:r>
      <w:r>
        <w:rPr>
          <w:spacing w:val="42"/>
        </w:rPr>
        <w:t xml:space="preserve"> </w:t>
      </w:r>
      <w:r>
        <w:rPr>
          <w:spacing w:val="-1"/>
        </w:rPr>
        <w:t>be</w:t>
      </w:r>
      <w:r>
        <w:rPr>
          <w:spacing w:val="41"/>
        </w:rPr>
        <w:t xml:space="preserve"> </w:t>
      </w:r>
      <w:r>
        <w:rPr>
          <w:spacing w:val="-1"/>
        </w:rPr>
        <w:t>more</w:t>
      </w:r>
      <w:r>
        <w:rPr>
          <w:spacing w:val="65"/>
        </w:rPr>
        <w:t xml:space="preserve"> </w:t>
      </w:r>
      <w:r>
        <w:rPr>
          <w:spacing w:val="-1"/>
        </w:rPr>
        <w:t>appropriate</w:t>
      </w:r>
      <w:r>
        <w:rPr>
          <w:spacing w:val="48"/>
        </w:rPr>
        <w:t xml:space="preserve"> </w:t>
      </w:r>
      <w:r>
        <w:t xml:space="preserve">to </w:t>
      </w:r>
      <w:r>
        <w:rPr>
          <w:spacing w:val="-1"/>
        </w:rPr>
        <w:t>your</w:t>
      </w:r>
      <w:r>
        <w:t xml:space="preserve"> </w:t>
      </w:r>
      <w:r>
        <w:rPr>
          <w:spacing w:val="-1"/>
        </w:rPr>
        <w:t>data</w:t>
      </w:r>
      <w:r>
        <w:rPr>
          <w:spacing w:val="49"/>
        </w:rPr>
        <w:t xml:space="preserve"> </w:t>
      </w:r>
      <w:r>
        <w:rPr>
          <w:spacing w:val="-1"/>
        </w:rPr>
        <w:t>set,</w:t>
      </w:r>
      <w:r>
        <w:rPr>
          <w:spacing w:val="1"/>
        </w:rPr>
        <w:t xml:space="preserve"> </w:t>
      </w:r>
      <w:r>
        <w:rPr>
          <w:spacing w:val="-1"/>
        </w:rPr>
        <w:t>to</w:t>
      </w:r>
      <w:r>
        <w:rPr>
          <w:spacing w:val="2"/>
        </w:rPr>
        <w:t xml:space="preserve"> </w:t>
      </w:r>
      <w:r>
        <w:rPr>
          <w:spacing w:val="-1"/>
        </w:rPr>
        <w:t>directly</w:t>
      </w:r>
      <w:r>
        <w:rPr>
          <w:spacing w:val="47"/>
        </w:rPr>
        <w:t xml:space="preserve"> </w:t>
      </w:r>
      <w:r>
        <w:rPr>
          <w:spacing w:val="-1"/>
        </w:rPr>
        <w:t>modify</w:t>
      </w:r>
      <w:r>
        <w:rPr>
          <w:spacing w:val="2"/>
        </w:rPr>
        <w:t xml:space="preserve"> </w:t>
      </w:r>
      <w:r>
        <w:rPr>
          <w:spacing w:val="-1"/>
        </w:rPr>
        <w:t>the</w:t>
      </w:r>
      <w:r>
        <w:rPr>
          <w:spacing w:val="1"/>
        </w:rPr>
        <w:t xml:space="preserve"> </w:t>
      </w:r>
      <w:r>
        <w:rPr>
          <w:spacing w:val="-1"/>
        </w:rPr>
        <w:t>plot</w:t>
      </w:r>
      <w:r>
        <w:rPr>
          <w:spacing w:val="48"/>
        </w:rPr>
        <w:t xml:space="preserve"> </w:t>
      </w:r>
      <w:r>
        <w:rPr>
          <w:spacing w:val="-1"/>
        </w:rPr>
        <w:t>you</w:t>
      </w:r>
      <w:r>
        <w:t xml:space="preserve"> </w:t>
      </w:r>
      <w:r>
        <w:rPr>
          <w:spacing w:val="-1"/>
        </w:rPr>
        <w:t>already</w:t>
      </w:r>
      <w:r>
        <w:rPr>
          <w:spacing w:val="49"/>
        </w:rPr>
        <w:t xml:space="preserve"> </w:t>
      </w:r>
      <w:r>
        <w:rPr>
          <w:spacing w:val="-1"/>
        </w:rPr>
        <w:t>have</w:t>
      </w:r>
      <w:r>
        <w:rPr>
          <w:spacing w:val="1"/>
        </w:rPr>
        <w:t xml:space="preserve"> </w:t>
      </w:r>
      <w:r>
        <w:t>or</w:t>
      </w:r>
      <w:r>
        <w:rPr>
          <w:spacing w:val="48"/>
        </w:rPr>
        <w:t xml:space="preserve"> </w:t>
      </w:r>
      <w:r>
        <w:rPr>
          <w:spacing w:val="-1"/>
        </w:rPr>
        <w:t>save</w:t>
      </w:r>
      <w:r>
        <w:rPr>
          <w:spacing w:val="49"/>
        </w:rPr>
        <w:t xml:space="preserve"> </w:t>
      </w:r>
      <w:r>
        <w:t>the</w:t>
      </w:r>
      <w:r>
        <w:rPr>
          <w:spacing w:val="1"/>
        </w:rPr>
        <w:t xml:space="preserve"> </w:t>
      </w:r>
      <w:r>
        <w:rPr>
          <w:spacing w:val="-1"/>
        </w:rPr>
        <w:t>plot</w:t>
      </w:r>
      <w:r>
        <w:rPr>
          <w:spacing w:val="59"/>
        </w:rPr>
        <w:t xml:space="preserve"> </w:t>
      </w:r>
      <w:r>
        <w:rPr>
          <w:spacing w:val="-1"/>
        </w:rPr>
        <w:t>parameters</w:t>
      </w:r>
      <w:r>
        <w:rPr>
          <w:spacing w:val="33"/>
        </w:rPr>
        <w:t xml:space="preserve"> </w:t>
      </w:r>
      <w:r>
        <w:rPr>
          <w:spacing w:val="-1"/>
        </w:rPr>
        <w:t>for</w:t>
      </w:r>
      <w:r>
        <w:rPr>
          <w:spacing w:val="34"/>
        </w:rPr>
        <w:t xml:space="preserve"> </w:t>
      </w:r>
      <w:r>
        <w:rPr>
          <w:spacing w:val="-1"/>
        </w:rPr>
        <w:t>future</w:t>
      </w:r>
      <w:r>
        <w:rPr>
          <w:spacing w:val="34"/>
        </w:rPr>
        <w:t xml:space="preserve"> </w:t>
      </w:r>
      <w:r>
        <w:rPr>
          <w:spacing w:val="-1"/>
        </w:rPr>
        <w:t>use.</w:t>
      </w:r>
      <w:r>
        <w:rPr>
          <w:spacing w:val="35"/>
        </w:rPr>
        <w:t xml:space="preserve"> </w:t>
      </w:r>
      <w:r>
        <w:rPr>
          <w:spacing w:val="-1"/>
        </w:rPr>
        <w:t>There</w:t>
      </w:r>
      <w:r>
        <w:rPr>
          <w:spacing w:val="35"/>
        </w:rPr>
        <w:t xml:space="preserve"> </w:t>
      </w:r>
      <w:r>
        <w:t>are</w:t>
      </w:r>
      <w:r>
        <w:rPr>
          <w:spacing w:val="34"/>
        </w:rPr>
        <w:t xml:space="preserve"> </w:t>
      </w:r>
      <w:r>
        <w:t>a</w:t>
      </w:r>
      <w:r>
        <w:rPr>
          <w:spacing w:val="34"/>
        </w:rPr>
        <w:t xml:space="preserve"> </w:t>
      </w:r>
      <w:r>
        <w:rPr>
          <w:spacing w:val="-1"/>
        </w:rPr>
        <w:t>number</w:t>
      </w:r>
      <w:r>
        <w:rPr>
          <w:spacing w:val="33"/>
        </w:rPr>
        <w:t xml:space="preserve"> </w:t>
      </w:r>
      <w:r>
        <w:t>of</w:t>
      </w:r>
      <w:r>
        <w:rPr>
          <w:spacing w:val="31"/>
        </w:rPr>
        <w:t xml:space="preserve"> </w:t>
      </w:r>
      <w:r>
        <w:rPr>
          <w:spacing w:val="-1"/>
        </w:rPr>
        <w:t>.dso</w:t>
      </w:r>
      <w:r>
        <w:rPr>
          <w:spacing w:val="35"/>
        </w:rPr>
        <w:t xml:space="preserve"> </w:t>
      </w:r>
      <w:r>
        <w:rPr>
          <w:spacing w:val="-1"/>
        </w:rPr>
        <w:t>files</w:t>
      </w:r>
      <w:r>
        <w:rPr>
          <w:spacing w:val="33"/>
        </w:rPr>
        <w:t xml:space="preserve"> </w:t>
      </w:r>
      <w:r>
        <w:t>on</w:t>
      </w:r>
      <w:r>
        <w:rPr>
          <w:spacing w:val="33"/>
        </w:rPr>
        <w:t xml:space="preserve"> </w:t>
      </w:r>
      <w:r>
        <w:t>the</w:t>
      </w:r>
      <w:r>
        <w:rPr>
          <w:spacing w:val="34"/>
        </w:rPr>
        <w:t xml:space="preserve"> </w:t>
      </w:r>
      <w:r>
        <w:rPr>
          <w:spacing w:val="-1"/>
        </w:rPr>
        <w:t>pathway</w:t>
      </w:r>
      <w:r>
        <w:rPr>
          <w:spacing w:val="32"/>
        </w:rPr>
        <w:t xml:space="preserve"> </w:t>
      </w:r>
      <w:r>
        <w:t>in</w:t>
      </w:r>
      <w:r>
        <w:rPr>
          <w:spacing w:val="32"/>
        </w:rPr>
        <w:t xml:space="preserve"> </w:t>
      </w:r>
      <w:r>
        <w:t>the</w:t>
      </w:r>
      <w:r>
        <w:rPr>
          <w:spacing w:val="34"/>
        </w:rPr>
        <w:t xml:space="preserve"> </w:t>
      </w:r>
      <w:r>
        <w:rPr>
          <w:spacing w:val="-1"/>
        </w:rPr>
        <w:t>box.</w:t>
      </w:r>
      <w:r>
        <w:rPr>
          <w:spacing w:val="37"/>
        </w:rPr>
        <w:t xml:space="preserve"> </w:t>
      </w:r>
      <w:r>
        <w:rPr>
          <w:spacing w:val="-1"/>
        </w:rPr>
        <w:t>The</w:t>
      </w:r>
      <w:r>
        <w:rPr>
          <w:spacing w:val="60"/>
        </w:rPr>
        <w:t xml:space="preserve"> </w:t>
      </w:r>
      <w:r>
        <w:rPr>
          <w:spacing w:val="-1"/>
        </w:rPr>
        <w:t>plotname</w:t>
      </w:r>
      <w:r>
        <w:t xml:space="preserve"> </w:t>
      </w:r>
      <w:r>
        <w:rPr>
          <w:spacing w:val="-1"/>
        </w:rPr>
        <w:t>usually</w:t>
      </w:r>
      <w:r>
        <w:rPr>
          <w:spacing w:val="-2"/>
        </w:rPr>
        <w:t xml:space="preserve"> </w:t>
      </w:r>
      <w:r>
        <w:rPr>
          <w:spacing w:val="-1"/>
        </w:rPr>
        <w:t>gives</w:t>
      </w:r>
      <w:r>
        <w:t xml:space="preserve"> </w:t>
      </w:r>
      <w:r>
        <w:rPr>
          <w:spacing w:val="-1"/>
        </w:rPr>
        <w:t>the</w:t>
      </w:r>
      <w:r>
        <w:rPr>
          <w:spacing w:val="-4"/>
        </w:rPr>
        <w:t xml:space="preserve"> </w:t>
      </w:r>
      <w:r>
        <w:rPr>
          <w:spacing w:val="-1"/>
        </w:rPr>
        <w:t>depth range.</w:t>
      </w:r>
    </w:p>
    <w:p w14:paraId="05644FEA" w14:textId="77777777" w:rsidR="004A3C40" w:rsidRDefault="004A3C40" w:rsidP="004A3C40">
      <w:pPr>
        <w:pStyle w:val="BodyText"/>
        <w:widowControl w:val="0"/>
        <w:numPr>
          <w:ilvl w:val="0"/>
          <w:numId w:val="136"/>
        </w:numPr>
        <w:tabs>
          <w:tab w:val="left" w:pos="403"/>
        </w:tabs>
        <w:spacing w:before="60" w:after="0" w:line="239" w:lineRule="auto"/>
        <w:ind w:right="109"/>
        <w:jc w:val="both"/>
      </w:pPr>
      <w:r>
        <w:t>If</w:t>
      </w:r>
      <w:r>
        <w:rPr>
          <w:spacing w:val="4"/>
        </w:rPr>
        <w:t xml:space="preserve"> </w:t>
      </w:r>
      <w:r>
        <w:t>you</w:t>
      </w:r>
      <w:r>
        <w:rPr>
          <w:spacing w:val="4"/>
        </w:rPr>
        <w:t xml:space="preserve"> </w:t>
      </w:r>
      <w:r>
        <w:rPr>
          <w:spacing w:val="-1"/>
        </w:rPr>
        <w:t>select</w:t>
      </w:r>
      <w:r>
        <w:rPr>
          <w:spacing w:val="5"/>
        </w:rPr>
        <w:t xml:space="preserve"> </w:t>
      </w:r>
      <w:r>
        <w:rPr>
          <w:spacing w:val="-1"/>
        </w:rPr>
        <w:t>to</w:t>
      </w:r>
      <w:r>
        <w:rPr>
          <w:spacing w:val="7"/>
        </w:rPr>
        <w:t xml:space="preserve"> </w:t>
      </w:r>
      <w:r>
        <w:rPr>
          <w:spacing w:val="-1"/>
        </w:rPr>
        <w:t>Modify</w:t>
      </w:r>
      <w:r>
        <w:rPr>
          <w:spacing w:val="2"/>
        </w:rPr>
        <w:t xml:space="preserve"> </w:t>
      </w:r>
      <w:r>
        <w:rPr>
          <w:spacing w:val="-1"/>
        </w:rPr>
        <w:t>Display</w:t>
      </w:r>
      <w:r>
        <w:rPr>
          <w:spacing w:val="5"/>
        </w:rPr>
        <w:t xml:space="preserve"> </w:t>
      </w:r>
      <w:r>
        <w:rPr>
          <w:spacing w:val="-1"/>
        </w:rPr>
        <w:t>Parameters,</w:t>
      </w:r>
      <w:r>
        <w:rPr>
          <w:spacing w:val="2"/>
        </w:rPr>
        <w:t xml:space="preserve"> </w:t>
      </w:r>
      <w:r>
        <w:t>you</w:t>
      </w:r>
      <w:r>
        <w:rPr>
          <w:spacing w:val="4"/>
        </w:rPr>
        <w:t xml:space="preserve"> </w:t>
      </w:r>
      <w:r>
        <w:t>will</w:t>
      </w:r>
      <w:r>
        <w:rPr>
          <w:spacing w:val="4"/>
        </w:rPr>
        <w:t xml:space="preserve"> </w:t>
      </w:r>
      <w:r>
        <w:rPr>
          <w:spacing w:val="-2"/>
        </w:rPr>
        <w:t>get</w:t>
      </w:r>
      <w:r>
        <w:rPr>
          <w:spacing w:val="5"/>
        </w:rPr>
        <w:t xml:space="preserve"> </w:t>
      </w:r>
      <w:r>
        <w:t>a</w:t>
      </w:r>
      <w:r>
        <w:rPr>
          <w:spacing w:val="5"/>
        </w:rPr>
        <w:t xml:space="preserve"> </w:t>
      </w:r>
      <w:r>
        <w:rPr>
          <w:spacing w:val="-1"/>
        </w:rPr>
        <w:t>menu</w:t>
      </w:r>
      <w:r>
        <w:rPr>
          <w:spacing w:val="6"/>
        </w:rPr>
        <w:t xml:space="preserve"> </w:t>
      </w:r>
      <w:r>
        <w:t>to</w:t>
      </w:r>
      <w:r>
        <w:rPr>
          <w:spacing w:val="6"/>
        </w:rPr>
        <w:t xml:space="preserve"> </w:t>
      </w:r>
      <w:r>
        <w:rPr>
          <w:spacing w:val="-1"/>
        </w:rPr>
        <w:t>change</w:t>
      </w:r>
      <w:r>
        <w:rPr>
          <w:spacing w:val="5"/>
        </w:rPr>
        <w:t xml:space="preserve"> </w:t>
      </w:r>
      <w:r>
        <w:t>the</w:t>
      </w:r>
      <w:r>
        <w:rPr>
          <w:spacing w:val="3"/>
        </w:rPr>
        <w:t xml:space="preserve"> </w:t>
      </w:r>
      <w:r>
        <w:rPr>
          <w:spacing w:val="-1"/>
        </w:rPr>
        <w:t>output</w:t>
      </w:r>
      <w:r>
        <w:rPr>
          <w:spacing w:val="5"/>
        </w:rPr>
        <w:t xml:space="preserve"> </w:t>
      </w:r>
      <w:r>
        <w:t>style.</w:t>
      </w:r>
      <w:r>
        <w:rPr>
          <w:spacing w:val="3"/>
        </w:rPr>
        <w:t xml:space="preserve"> </w:t>
      </w:r>
      <w:r>
        <w:rPr>
          <w:spacing w:val="-1"/>
        </w:rPr>
        <w:t>The</w:t>
      </w:r>
      <w:r>
        <w:rPr>
          <w:spacing w:val="5"/>
        </w:rPr>
        <w:t xml:space="preserve"> </w:t>
      </w:r>
      <w:r>
        <w:t>Y</w:t>
      </w:r>
      <w:r>
        <w:rPr>
          <w:spacing w:val="53"/>
        </w:rPr>
        <w:t xml:space="preserve"> </w:t>
      </w:r>
      <w:r>
        <w:t>axis</w:t>
      </w:r>
      <w:r>
        <w:rPr>
          <w:spacing w:val="40"/>
        </w:rPr>
        <w:t xml:space="preserve"> </w:t>
      </w:r>
      <w:r>
        <w:t>is</w:t>
      </w:r>
      <w:r>
        <w:rPr>
          <w:spacing w:val="41"/>
        </w:rPr>
        <w:t xml:space="preserve"> </w:t>
      </w:r>
      <w:r>
        <w:rPr>
          <w:spacing w:val="-1"/>
        </w:rPr>
        <w:t>normally</w:t>
      </w:r>
      <w:r>
        <w:rPr>
          <w:spacing w:val="40"/>
        </w:rPr>
        <w:t xml:space="preserve"> </w:t>
      </w:r>
      <w:r>
        <w:rPr>
          <w:spacing w:val="-1"/>
        </w:rPr>
        <w:t>depth</w:t>
      </w:r>
      <w:r>
        <w:rPr>
          <w:spacing w:val="37"/>
        </w:rPr>
        <w:t xml:space="preserve"> </w:t>
      </w:r>
      <w:r>
        <w:t>on</w:t>
      </w:r>
      <w:r>
        <w:rPr>
          <w:spacing w:val="38"/>
        </w:rPr>
        <w:t xml:space="preserve"> </w:t>
      </w:r>
      <w:r>
        <w:t>the</w:t>
      </w:r>
      <w:r>
        <w:rPr>
          <w:spacing w:val="41"/>
        </w:rPr>
        <w:t xml:space="preserve"> </w:t>
      </w:r>
      <w:r>
        <w:rPr>
          <w:spacing w:val="-2"/>
        </w:rPr>
        <w:t>CTD</w:t>
      </w:r>
      <w:r>
        <w:rPr>
          <w:spacing w:val="40"/>
        </w:rPr>
        <w:t xml:space="preserve"> </w:t>
      </w:r>
      <w:r>
        <w:rPr>
          <w:spacing w:val="-1"/>
        </w:rPr>
        <w:t>computer.</w:t>
      </w:r>
      <w:r>
        <w:rPr>
          <w:spacing w:val="40"/>
        </w:rPr>
        <w:t xml:space="preserve"> </w:t>
      </w:r>
      <w:r>
        <w:rPr>
          <w:spacing w:val="-1"/>
        </w:rPr>
        <w:t>The</w:t>
      </w:r>
      <w:r>
        <w:rPr>
          <w:spacing w:val="40"/>
        </w:rPr>
        <w:t xml:space="preserve"> </w:t>
      </w:r>
      <w:r>
        <w:rPr>
          <w:spacing w:val="-1"/>
        </w:rPr>
        <w:t>Select</w:t>
      </w:r>
      <w:r>
        <w:rPr>
          <w:spacing w:val="40"/>
        </w:rPr>
        <w:t xml:space="preserve"> </w:t>
      </w:r>
      <w:r>
        <w:rPr>
          <w:spacing w:val="-1"/>
        </w:rPr>
        <w:t>Variable</w:t>
      </w:r>
      <w:r>
        <w:rPr>
          <w:spacing w:val="41"/>
        </w:rPr>
        <w:t xml:space="preserve"> </w:t>
      </w:r>
      <w:r>
        <w:rPr>
          <w:spacing w:val="-1"/>
        </w:rPr>
        <w:t>button</w:t>
      </w:r>
      <w:r>
        <w:rPr>
          <w:spacing w:val="38"/>
        </w:rPr>
        <w:t xml:space="preserve"> </w:t>
      </w:r>
      <w:r>
        <w:rPr>
          <w:spacing w:val="-1"/>
        </w:rPr>
        <w:t>puts</w:t>
      </w:r>
      <w:r>
        <w:rPr>
          <w:spacing w:val="41"/>
        </w:rPr>
        <w:t xml:space="preserve"> </w:t>
      </w:r>
      <w:r>
        <w:rPr>
          <w:spacing w:val="-1"/>
        </w:rPr>
        <w:t>you</w:t>
      </w:r>
      <w:r>
        <w:rPr>
          <w:spacing w:val="42"/>
        </w:rPr>
        <w:t xml:space="preserve"> </w:t>
      </w:r>
      <w:r>
        <w:t>in</w:t>
      </w:r>
      <w:r>
        <w:rPr>
          <w:spacing w:val="36"/>
        </w:rPr>
        <w:t xml:space="preserve"> </w:t>
      </w:r>
      <w:r>
        <w:t>a</w:t>
      </w:r>
      <w:r>
        <w:rPr>
          <w:spacing w:val="41"/>
        </w:rPr>
        <w:t xml:space="preserve"> </w:t>
      </w:r>
      <w:r>
        <w:rPr>
          <w:spacing w:val="-1"/>
        </w:rPr>
        <w:t>small</w:t>
      </w:r>
      <w:r>
        <w:rPr>
          <w:spacing w:val="49"/>
        </w:rPr>
        <w:t xml:space="preserve"> </w:t>
      </w:r>
      <w:r>
        <w:rPr>
          <w:spacing w:val="-1"/>
        </w:rPr>
        <w:t>window</w:t>
      </w:r>
      <w:r>
        <w:rPr>
          <w:spacing w:val="31"/>
        </w:rPr>
        <w:t xml:space="preserve"> </w:t>
      </w:r>
      <w:r>
        <w:t>that</w:t>
      </w:r>
      <w:r>
        <w:rPr>
          <w:spacing w:val="34"/>
        </w:rPr>
        <w:t xml:space="preserve"> </w:t>
      </w:r>
      <w:r>
        <w:rPr>
          <w:spacing w:val="-1"/>
        </w:rPr>
        <w:t>lets</w:t>
      </w:r>
      <w:r>
        <w:rPr>
          <w:spacing w:val="32"/>
        </w:rPr>
        <w:t xml:space="preserve"> </w:t>
      </w:r>
      <w:r>
        <w:t>you</w:t>
      </w:r>
      <w:r>
        <w:rPr>
          <w:spacing w:val="32"/>
        </w:rPr>
        <w:t xml:space="preserve"> </w:t>
      </w:r>
      <w:r>
        <w:rPr>
          <w:spacing w:val="-1"/>
        </w:rPr>
        <w:t>select</w:t>
      </w:r>
      <w:r>
        <w:rPr>
          <w:spacing w:val="34"/>
        </w:rPr>
        <w:t xml:space="preserve"> </w:t>
      </w:r>
      <w:r>
        <w:t>the</w:t>
      </w:r>
      <w:r>
        <w:rPr>
          <w:spacing w:val="32"/>
        </w:rPr>
        <w:t xml:space="preserve"> </w:t>
      </w:r>
      <w:r>
        <w:rPr>
          <w:spacing w:val="-1"/>
        </w:rPr>
        <w:t>variable</w:t>
      </w:r>
      <w:r>
        <w:rPr>
          <w:spacing w:val="31"/>
        </w:rPr>
        <w:t xml:space="preserve"> </w:t>
      </w:r>
      <w:r>
        <w:rPr>
          <w:spacing w:val="-1"/>
        </w:rPr>
        <w:t>(from</w:t>
      </w:r>
      <w:r>
        <w:rPr>
          <w:spacing w:val="31"/>
        </w:rPr>
        <w:t xml:space="preserve"> </w:t>
      </w:r>
      <w:r>
        <w:t>a</w:t>
      </w:r>
      <w:r>
        <w:rPr>
          <w:spacing w:val="34"/>
        </w:rPr>
        <w:t xml:space="preserve"> </w:t>
      </w:r>
      <w:r>
        <w:rPr>
          <w:spacing w:val="-1"/>
        </w:rPr>
        <w:t>particular</w:t>
      </w:r>
      <w:r>
        <w:rPr>
          <w:spacing w:val="33"/>
        </w:rPr>
        <w:t xml:space="preserve"> </w:t>
      </w:r>
      <w:r>
        <w:rPr>
          <w:spacing w:val="-1"/>
        </w:rPr>
        <w:t>instrument</w:t>
      </w:r>
      <w:r>
        <w:rPr>
          <w:spacing w:val="30"/>
        </w:rPr>
        <w:t xml:space="preserve"> </w:t>
      </w:r>
      <w:r>
        <w:rPr>
          <w:spacing w:val="-1"/>
        </w:rPr>
        <w:t>type)</w:t>
      </w:r>
      <w:r>
        <w:rPr>
          <w:spacing w:val="32"/>
        </w:rPr>
        <w:t xml:space="preserve"> </w:t>
      </w:r>
      <w:r>
        <w:rPr>
          <w:spacing w:val="-1"/>
        </w:rPr>
        <w:t>that</w:t>
      </w:r>
      <w:r>
        <w:rPr>
          <w:spacing w:val="34"/>
        </w:rPr>
        <w:t xml:space="preserve"> </w:t>
      </w:r>
      <w:r>
        <w:rPr>
          <w:spacing w:val="-1"/>
        </w:rPr>
        <w:t>you</w:t>
      </w:r>
      <w:r>
        <w:rPr>
          <w:spacing w:val="33"/>
        </w:rPr>
        <w:t xml:space="preserve"> </w:t>
      </w:r>
      <w:r>
        <w:t>want</w:t>
      </w:r>
      <w:r>
        <w:rPr>
          <w:spacing w:val="30"/>
        </w:rPr>
        <w:t xml:space="preserve"> </w:t>
      </w:r>
      <w:r>
        <w:t>to</w:t>
      </w:r>
      <w:r>
        <w:rPr>
          <w:spacing w:val="59"/>
        </w:rPr>
        <w:t xml:space="preserve"> </w:t>
      </w:r>
      <w:r>
        <w:rPr>
          <w:spacing w:val="-1"/>
        </w:rPr>
        <w:t>plot.</w:t>
      </w:r>
    </w:p>
    <w:p w14:paraId="745A7528" w14:textId="77777777" w:rsidR="004A3C40" w:rsidRDefault="004A3C40" w:rsidP="004A3C40">
      <w:pPr>
        <w:pStyle w:val="BodyText"/>
        <w:widowControl w:val="0"/>
        <w:numPr>
          <w:ilvl w:val="0"/>
          <w:numId w:val="136"/>
        </w:numPr>
        <w:tabs>
          <w:tab w:val="left" w:pos="403"/>
        </w:tabs>
        <w:spacing w:before="61" w:after="0" w:line="240" w:lineRule="auto"/>
        <w:ind w:right="111"/>
        <w:jc w:val="both"/>
      </w:pPr>
      <w:r>
        <w:rPr>
          <w:spacing w:val="-1"/>
        </w:rPr>
        <w:t>Save</w:t>
      </w:r>
      <w:r>
        <w:rPr>
          <w:spacing w:val="13"/>
        </w:rPr>
        <w:t xml:space="preserve"> </w:t>
      </w:r>
      <w:r>
        <w:t>the</w:t>
      </w:r>
      <w:r>
        <w:rPr>
          <w:spacing w:val="15"/>
        </w:rPr>
        <w:t xml:space="preserve"> </w:t>
      </w:r>
      <w:r>
        <w:rPr>
          <w:spacing w:val="-1"/>
        </w:rPr>
        <w:t>plot</w:t>
      </w:r>
      <w:r>
        <w:rPr>
          <w:spacing w:val="15"/>
        </w:rPr>
        <w:t xml:space="preserve"> </w:t>
      </w:r>
      <w:r>
        <w:t>as</w:t>
      </w:r>
      <w:r>
        <w:rPr>
          <w:spacing w:val="12"/>
        </w:rPr>
        <w:t xml:space="preserve"> </w:t>
      </w:r>
      <w:r>
        <w:t>a</w:t>
      </w:r>
      <w:r>
        <w:rPr>
          <w:spacing w:val="29"/>
        </w:rPr>
        <w:t xml:space="preserve"> </w:t>
      </w:r>
      <w:r>
        <w:rPr>
          <w:spacing w:val="-2"/>
        </w:rPr>
        <w:t>.dso</w:t>
      </w:r>
      <w:r>
        <w:rPr>
          <w:spacing w:val="15"/>
        </w:rPr>
        <w:t xml:space="preserve"> </w:t>
      </w:r>
      <w:r>
        <w:rPr>
          <w:spacing w:val="-2"/>
        </w:rPr>
        <w:t>file</w:t>
      </w:r>
      <w:r>
        <w:rPr>
          <w:spacing w:val="15"/>
        </w:rPr>
        <w:t xml:space="preserve"> </w:t>
      </w:r>
      <w:r>
        <w:t>if</w:t>
      </w:r>
      <w:r>
        <w:rPr>
          <w:spacing w:val="14"/>
        </w:rPr>
        <w:t xml:space="preserve"> </w:t>
      </w:r>
      <w:r>
        <w:rPr>
          <w:spacing w:val="-1"/>
        </w:rPr>
        <w:t>you</w:t>
      </w:r>
      <w:r>
        <w:rPr>
          <w:spacing w:val="11"/>
        </w:rPr>
        <w:t xml:space="preserve"> </w:t>
      </w:r>
      <w:r>
        <w:t>want</w:t>
      </w:r>
      <w:r>
        <w:rPr>
          <w:spacing w:val="14"/>
        </w:rPr>
        <w:t xml:space="preserve"> </w:t>
      </w:r>
      <w:r>
        <w:rPr>
          <w:spacing w:val="-1"/>
        </w:rPr>
        <w:t>to</w:t>
      </w:r>
      <w:r>
        <w:rPr>
          <w:spacing w:val="13"/>
        </w:rPr>
        <w:t xml:space="preserve"> </w:t>
      </w:r>
      <w:r>
        <w:rPr>
          <w:spacing w:val="-1"/>
        </w:rPr>
        <w:t>shut</w:t>
      </w:r>
      <w:r>
        <w:rPr>
          <w:spacing w:val="15"/>
        </w:rPr>
        <w:t xml:space="preserve"> </w:t>
      </w:r>
      <w:r>
        <w:rPr>
          <w:spacing w:val="-2"/>
        </w:rPr>
        <w:t>down</w:t>
      </w:r>
      <w:r>
        <w:rPr>
          <w:spacing w:val="14"/>
        </w:rPr>
        <w:t xml:space="preserve"> </w:t>
      </w:r>
      <w:r>
        <w:t>the</w:t>
      </w:r>
      <w:r>
        <w:rPr>
          <w:spacing w:val="14"/>
        </w:rPr>
        <w:t xml:space="preserve"> </w:t>
      </w:r>
      <w:r>
        <w:rPr>
          <w:spacing w:val="-1"/>
        </w:rPr>
        <w:t>laptop</w:t>
      </w:r>
      <w:r>
        <w:rPr>
          <w:spacing w:val="14"/>
        </w:rPr>
        <w:t xml:space="preserve"> </w:t>
      </w:r>
      <w:r>
        <w:rPr>
          <w:spacing w:val="-1"/>
        </w:rPr>
        <w:t>and</w:t>
      </w:r>
      <w:r>
        <w:rPr>
          <w:spacing w:val="14"/>
        </w:rPr>
        <w:t xml:space="preserve"> </w:t>
      </w:r>
      <w:r>
        <w:rPr>
          <w:spacing w:val="-1"/>
        </w:rPr>
        <w:t>use</w:t>
      </w:r>
      <w:r>
        <w:rPr>
          <w:spacing w:val="15"/>
        </w:rPr>
        <w:t xml:space="preserve"> </w:t>
      </w:r>
      <w:r>
        <w:t>it</w:t>
      </w:r>
      <w:r>
        <w:rPr>
          <w:spacing w:val="12"/>
        </w:rPr>
        <w:t xml:space="preserve"> </w:t>
      </w:r>
      <w:r>
        <w:rPr>
          <w:spacing w:val="-1"/>
        </w:rPr>
        <w:t>again</w:t>
      </w:r>
      <w:r>
        <w:rPr>
          <w:spacing w:val="14"/>
        </w:rPr>
        <w:t xml:space="preserve"> </w:t>
      </w:r>
      <w:r>
        <w:t>later.</w:t>
      </w:r>
      <w:r>
        <w:rPr>
          <w:spacing w:val="20"/>
        </w:rPr>
        <w:t xml:space="preserve"> </w:t>
      </w:r>
      <w:r>
        <w:rPr>
          <w:spacing w:val="-1"/>
        </w:rPr>
        <w:t>After</w:t>
      </w:r>
      <w:r>
        <w:rPr>
          <w:spacing w:val="12"/>
        </w:rPr>
        <w:t xml:space="preserve"> </w:t>
      </w:r>
      <w:r>
        <w:t>you</w:t>
      </w:r>
      <w:r>
        <w:rPr>
          <w:spacing w:val="43"/>
        </w:rPr>
        <w:t xml:space="preserve"> </w:t>
      </w:r>
      <w:r>
        <w:rPr>
          <w:rFonts w:cs="Calibri"/>
        </w:rPr>
        <w:t>click</w:t>
      </w:r>
      <w:r>
        <w:rPr>
          <w:rFonts w:cs="Calibri"/>
          <w:spacing w:val="-2"/>
        </w:rPr>
        <w:t xml:space="preserve"> </w:t>
      </w:r>
      <w:r>
        <w:rPr>
          <w:rFonts w:cs="Calibri"/>
          <w:spacing w:val="-1"/>
        </w:rPr>
        <w:t>“</w:t>
      </w:r>
      <w:r>
        <w:rPr>
          <w:spacing w:val="-1"/>
        </w:rPr>
        <w:t>OK</w:t>
      </w:r>
      <w:r>
        <w:rPr>
          <w:rFonts w:cs="Calibri"/>
          <w:spacing w:val="-1"/>
        </w:rPr>
        <w:t>”</w:t>
      </w:r>
      <w:r>
        <w:rPr>
          <w:rFonts w:cs="Calibri"/>
          <w:spacing w:val="1"/>
        </w:rPr>
        <w:t xml:space="preserve"> </w:t>
      </w:r>
      <w:r>
        <w:rPr>
          <w:rFonts w:cs="Calibri"/>
          <w:spacing w:val="-1"/>
        </w:rPr>
        <w:t>to</w:t>
      </w:r>
      <w:r>
        <w:rPr>
          <w:rFonts w:cs="Calibri"/>
          <w:spacing w:val="1"/>
        </w:rPr>
        <w:t xml:space="preserve"> </w:t>
      </w:r>
      <w:r>
        <w:rPr>
          <w:rFonts w:cs="Calibri"/>
          <w:spacing w:val="-1"/>
        </w:rPr>
        <w:t>close</w:t>
      </w:r>
      <w:r>
        <w:rPr>
          <w:rFonts w:cs="Calibri"/>
        </w:rPr>
        <w:t xml:space="preserve"> the</w:t>
      </w:r>
      <w:r>
        <w:rPr>
          <w:rFonts w:cs="Calibri"/>
          <w:spacing w:val="-3"/>
        </w:rPr>
        <w:t xml:space="preserve"> </w:t>
      </w:r>
      <w:r>
        <w:rPr>
          <w:rFonts w:cs="Calibri"/>
          <w:spacing w:val="-1"/>
        </w:rPr>
        <w:t>above</w:t>
      </w:r>
      <w:r>
        <w:rPr>
          <w:rFonts w:cs="Calibri"/>
          <w:spacing w:val="-2"/>
        </w:rPr>
        <w:t xml:space="preserve"> </w:t>
      </w:r>
      <w:r>
        <w:rPr>
          <w:rFonts w:cs="Calibri"/>
          <w:spacing w:val="-1"/>
        </w:rPr>
        <w:t>window,</w:t>
      </w:r>
      <w:r>
        <w:rPr>
          <w:rFonts w:cs="Calibri"/>
          <w:spacing w:val="-2"/>
        </w:rPr>
        <w:t xml:space="preserve"> </w:t>
      </w:r>
      <w:r>
        <w:rPr>
          <w:rFonts w:cs="Calibri"/>
        </w:rPr>
        <w:t>y</w:t>
      </w:r>
      <w:r>
        <w:t>ou</w:t>
      </w:r>
      <w:r>
        <w:rPr>
          <w:spacing w:val="-1"/>
        </w:rPr>
        <w:t xml:space="preserve"> will</w:t>
      </w:r>
      <w:r>
        <w:t xml:space="preserve"> </w:t>
      </w:r>
      <w:r>
        <w:rPr>
          <w:spacing w:val="-1"/>
        </w:rPr>
        <w:t>be</w:t>
      </w:r>
      <w:r>
        <w:rPr>
          <w:spacing w:val="-3"/>
        </w:rPr>
        <w:t xml:space="preserve"> </w:t>
      </w:r>
      <w:r>
        <w:rPr>
          <w:spacing w:val="-2"/>
        </w:rPr>
        <w:t>in</w:t>
      </w:r>
      <w:r>
        <w:rPr>
          <w:spacing w:val="-1"/>
        </w:rPr>
        <w:t xml:space="preserve"> the</w:t>
      </w:r>
      <w:r>
        <w:t xml:space="preserve"> </w:t>
      </w:r>
      <w:r>
        <w:rPr>
          <w:spacing w:val="-1"/>
        </w:rPr>
        <w:t>previous</w:t>
      </w:r>
      <w:r>
        <w:rPr>
          <w:spacing w:val="-3"/>
        </w:rPr>
        <w:t xml:space="preserve"> </w:t>
      </w:r>
      <w:r>
        <w:rPr>
          <w:spacing w:val="-1"/>
        </w:rPr>
        <w:t>dialog</w:t>
      </w:r>
      <w:r>
        <w:rPr>
          <w:spacing w:val="-3"/>
        </w:rPr>
        <w:t xml:space="preserve"> </w:t>
      </w:r>
      <w:r>
        <w:t>which</w:t>
      </w:r>
      <w:r>
        <w:rPr>
          <w:spacing w:val="-4"/>
        </w:rPr>
        <w:t xml:space="preserve"> </w:t>
      </w:r>
      <w:r>
        <w:t>lets</w:t>
      </w:r>
      <w:r>
        <w:rPr>
          <w:spacing w:val="-2"/>
        </w:rPr>
        <w:t xml:space="preserve"> </w:t>
      </w:r>
      <w:r>
        <w:t>you</w:t>
      </w:r>
      <w:r>
        <w:rPr>
          <w:spacing w:val="-3"/>
        </w:rPr>
        <w:t xml:space="preserve"> </w:t>
      </w:r>
      <w:r>
        <w:rPr>
          <w:spacing w:val="-1"/>
        </w:rPr>
        <w:t>save</w:t>
      </w:r>
      <w:r>
        <w:t xml:space="preserve"> </w:t>
      </w:r>
      <w:r>
        <w:rPr>
          <w:spacing w:val="-1"/>
        </w:rPr>
        <w:t>the</w:t>
      </w:r>
      <w:r>
        <w:rPr>
          <w:spacing w:val="47"/>
        </w:rPr>
        <w:t xml:space="preserve"> </w:t>
      </w:r>
      <w:r>
        <w:rPr>
          <w:spacing w:val="-1"/>
        </w:rPr>
        <w:t>parameters</w:t>
      </w:r>
      <w:r>
        <w:t xml:space="preserve"> in</w:t>
      </w:r>
      <w:r>
        <w:rPr>
          <w:spacing w:val="-3"/>
        </w:rPr>
        <w:t xml:space="preserve"> </w:t>
      </w:r>
      <w:r>
        <w:t xml:space="preserve">a </w:t>
      </w:r>
      <w:r>
        <w:rPr>
          <w:spacing w:val="-1"/>
        </w:rPr>
        <w:t>.dso file.</w:t>
      </w:r>
      <w:r>
        <w:t xml:space="preserve">  </w:t>
      </w:r>
      <w:r>
        <w:rPr>
          <w:spacing w:val="-2"/>
        </w:rPr>
        <w:t>Exit</w:t>
      </w:r>
      <w:r>
        <w:rPr>
          <w:spacing w:val="1"/>
        </w:rPr>
        <w:t xml:space="preserve"> </w:t>
      </w:r>
      <w:r>
        <w:t>that</w:t>
      </w:r>
      <w:r>
        <w:rPr>
          <w:spacing w:val="-3"/>
        </w:rPr>
        <w:t xml:space="preserve"> </w:t>
      </w:r>
      <w:r>
        <w:rPr>
          <w:spacing w:val="-1"/>
        </w:rPr>
        <w:t>box</w:t>
      </w:r>
      <w:r>
        <w:rPr>
          <w:spacing w:val="-2"/>
        </w:rPr>
        <w:t xml:space="preserve"> </w:t>
      </w:r>
      <w:r>
        <w:t>and</w:t>
      </w:r>
      <w:r>
        <w:rPr>
          <w:spacing w:val="-2"/>
        </w:rPr>
        <w:t xml:space="preserve"> </w:t>
      </w:r>
      <w:r>
        <w:rPr>
          <w:spacing w:val="-1"/>
        </w:rPr>
        <w:t>you will</w:t>
      </w:r>
      <w:r>
        <w:rPr>
          <w:spacing w:val="-3"/>
        </w:rPr>
        <w:t xml:space="preserve"> </w:t>
      </w:r>
      <w:r>
        <w:rPr>
          <w:spacing w:val="-1"/>
        </w:rPr>
        <w:t>be</w:t>
      </w:r>
      <w:r>
        <w:rPr>
          <w:spacing w:val="-2"/>
        </w:rPr>
        <w:t xml:space="preserve"> </w:t>
      </w:r>
      <w:r>
        <w:rPr>
          <w:spacing w:val="-1"/>
        </w:rPr>
        <w:t xml:space="preserve">looking </w:t>
      </w:r>
      <w:r>
        <w:t>at</w:t>
      </w:r>
      <w:r>
        <w:rPr>
          <w:spacing w:val="-2"/>
        </w:rPr>
        <w:t xml:space="preserve"> </w:t>
      </w:r>
      <w:r>
        <w:t xml:space="preserve">a </w:t>
      </w:r>
      <w:r>
        <w:rPr>
          <w:spacing w:val="-1"/>
        </w:rPr>
        <w:t>changed, but</w:t>
      </w:r>
      <w:r>
        <w:rPr>
          <w:spacing w:val="-4"/>
        </w:rPr>
        <w:t xml:space="preserve"> </w:t>
      </w:r>
      <w:r>
        <w:rPr>
          <w:spacing w:val="-1"/>
        </w:rPr>
        <w:t>blank</w:t>
      </w:r>
      <w:r>
        <w:t xml:space="preserve"> </w:t>
      </w:r>
      <w:r>
        <w:rPr>
          <w:spacing w:val="-1"/>
        </w:rPr>
        <w:t>plot.</w:t>
      </w:r>
    </w:p>
    <w:p w14:paraId="4D4D85BA" w14:textId="77777777" w:rsidR="004A3C40" w:rsidRDefault="004A3C40" w:rsidP="004A3C40">
      <w:pPr>
        <w:pStyle w:val="BodyText"/>
        <w:widowControl w:val="0"/>
        <w:numPr>
          <w:ilvl w:val="0"/>
          <w:numId w:val="136"/>
        </w:numPr>
        <w:tabs>
          <w:tab w:val="left" w:pos="403"/>
        </w:tabs>
        <w:spacing w:before="60" w:after="0" w:line="240" w:lineRule="auto"/>
        <w:ind w:right="111"/>
        <w:jc w:val="both"/>
      </w:pPr>
      <w:r>
        <w:rPr>
          <w:spacing w:val="-1"/>
        </w:rPr>
        <w:t>To</w:t>
      </w:r>
      <w:r>
        <w:rPr>
          <w:spacing w:val="32"/>
        </w:rPr>
        <w:t xml:space="preserve"> </w:t>
      </w:r>
      <w:r>
        <w:rPr>
          <w:spacing w:val="-1"/>
        </w:rPr>
        <w:t>replot</w:t>
      </w:r>
      <w:r>
        <w:rPr>
          <w:spacing w:val="32"/>
        </w:rPr>
        <w:t xml:space="preserve"> </w:t>
      </w:r>
      <w:r>
        <w:t>the</w:t>
      </w:r>
      <w:r>
        <w:rPr>
          <w:spacing w:val="32"/>
        </w:rPr>
        <w:t xml:space="preserve"> </w:t>
      </w:r>
      <w:r>
        <w:rPr>
          <w:spacing w:val="-1"/>
        </w:rPr>
        <w:t>data,</w:t>
      </w:r>
      <w:r>
        <w:rPr>
          <w:spacing w:val="31"/>
        </w:rPr>
        <w:t xml:space="preserve"> </w:t>
      </w:r>
      <w:r>
        <w:rPr>
          <w:spacing w:val="-1"/>
        </w:rPr>
        <w:t>select</w:t>
      </w:r>
      <w:r>
        <w:rPr>
          <w:spacing w:val="30"/>
        </w:rPr>
        <w:t xml:space="preserve"> </w:t>
      </w:r>
      <w:r>
        <w:t>the</w:t>
      </w:r>
      <w:r>
        <w:rPr>
          <w:spacing w:val="34"/>
        </w:rPr>
        <w:t xml:space="preserve"> </w:t>
      </w:r>
      <w:r>
        <w:rPr>
          <w:spacing w:val="-1"/>
        </w:rPr>
        <w:t>ArchiveData</w:t>
      </w:r>
      <w:r>
        <w:rPr>
          <w:spacing w:val="32"/>
        </w:rPr>
        <w:t xml:space="preserve"> </w:t>
      </w:r>
      <w:r>
        <w:t>tab</w:t>
      </w:r>
      <w:r>
        <w:rPr>
          <w:spacing w:val="30"/>
        </w:rPr>
        <w:t xml:space="preserve"> </w:t>
      </w:r>
      <w:r>
        <w:rPr>
          <w:spacing w:val="-1"/>
        </w:rPr>
        <w:t>and</w:t>
      </w:r>
      <w:r>
        <w:rPr>
          <w:spacing w:val="31"/>
        </w:rPr>
        <w:t xml:space="preserve"> </w:t>
      </w:r>
      <w:r>
        <w:rPr>
          <w:spacing w:val="-1"/>
        </w:rPr>
        <w:t>Start,</w:t>
      </w:r>
      <w:r>
        <w:rPr>
          <w:spacing w:val="33"/>
        </w:rPr>
        <w:t xml:space="preserve"> </w:t>
      </w:r>
      <w:r>
        <w:rPr>
          <w:spacing w:val="-1"/>
        </w:rPr>
        <w:t>check</w:t>
      </w:r>
      <w:r>
        <w:rPr>
          <w:spacing w:val="31"/>
        </w:rPr>
        <w:t xml:space="preserve"> </w:t>
      </w:r>
      <w:r>
        <w:t>the</w:t>
      </w:r>
      <w:r>
        <w:rPr>
          <w:spacing w:val="32"/>
        </w:rPr>
        <w:t xml:space="preserve"> </w:t>
      </w:r>
      <w:r>
        <w:rPr>
          <w:spacing w:val="-1"/>
        </w:rPr>
        <w:t>input</w:t>
      </w:r>
      <w:r>
        <w:rPr>
          <w:spacing w:val="32"/>
        </w:rPr>
        <w:t xml:space="preserve"> </w:t>
      </w:r>
      <w:r>
        <w:rPr>
          <w:spacing w:val="-1"/>
        </w:rPr>
        <w:t>filename</w:t>
      </w:r>
      <w:r>
        <w:rPr>
          <w:spacing w:val="32"/>
        </w:rPr>
        <w:t xml:space="preserve"> </w:t>
      </w:r>
      <w:r>
        <w:t>in</w:t>
      </w:r>
      <w:r>
        <w:rPr>
          <w:spacing w:val="29"/>
        </w:rPr>
        <w:t xml:space="preserve"> </w:t>
      </w:r>
      <w:r>
        <w:t>the</w:t>
      </w:r>
      <w:r>
        <w:rPr>
          <w:spacing w:val="32"/>
        </w:rPr>
        <w:t xml:space="preserve"> </w:t>
      </w:r>
      <w:r>
        <w:rPr>
          <w:spacing w:val="-1"/>
        </w:rPr>
        <w:t>next</w:t>
      </w:r>
      <w:r>
        <w:rPr>
          <w:spacing w:val="61"/>
        </w:rPr>
        <w:t xml:space="preserve"> </w:t>
      </w:r>
      <w:r>
        <w:rPr>
          <w:spacing w:val="-1"/>
        </w:rPr>
        <w:t>dialog</w:t>
      </w:r>
      <w:r>
        <w:rPr>
          <w:spacing w:val="7"/>
        </w:rPr>
        <w:t xml:space="preserve"> </w:t>
      </w:r>
      <w:r>
        <w:t>box</w:t>
      </w:r>
      <w:r>
        <w:rPr>
          <w:spacing w:val="5"/>
        </w:rPr>
        <w:t xml:space="preserve"> </w:t>
      </w:r>
      <w:r>
        <w:rPr>
          <w:spacing w:val="-1"/>
        </w:rPr>
        <w:t>and</w:t>
      </w:r>
      <w:r>
        <w:rPr>
          <w:spacing w:val="6"/>
        </w:rPr>
        <w:t xml:space="preserve"> </w:t>
      </w:r>
      <w:r>
        <w:t>click</w:t>
      </w:r>
      <w:r>
        <w:rPr>
          <w:spacing w:val="5"/>
        </w:rPr>
        <w:t xml:space="preserve"> </w:t>
      </w:r>
      <w:r>
        <w:t>the</w:t>
      </w:r>
      <w:r>
        <w:rPr>
          <w:spacing w:val="7"/>
        </w:rPr>
        <w:t xml:space="preserve"> </w:t>
      </w:r>
      <w:r>
        <w:rPr>
          <w:spacing w:val="-1"/>
        </w:rPr>
        <w:t>Start</w:t>
      </w:r>
      <w:r>
        <w:rPr>
          <w:spacing w:val="5"/>
        </w:rPr>
        <w:t xml:space="preserve"> </w:t>
      </w:r>
      <w:r>
        <w:rPr>
          <w:spacing w:val="-1"/>
        </w:rPr>
        <w:t>Display</w:t>
      </w:r>
      <w:r>
        <w:rPr>
          <w:spacing w:val="8"/>
        </w:rPr>
        <w:t xml:space="preserve"> </w:t>
      </w:r>
      <w:r>
        <w:rPr>
          <w:spacing w:val="-1"/>
        </w:rPr>
        <w:t>button</w:t>
      </w:r>
      <w:r>
        <w:rPr>
          <w:spacing w:val="6"/>
        </w:rPr>
        <w:t xml:space="preserve"> </w:t>
      </w:r>
      <w:r>
        <w:rPr>
          <w:spacing w:val="-1"/>
        </w:rPr>
        <w:t>again</w:t>
      </w:r>
      <w:r>
        <w:rPr>
          <w:spacing w:val="6"/>
        </w:rPr>
        <w:t xml:space="preserve"> </w:t>
      </w:r>
      <w:r>
        <w:t>to</w:t>
      </w:r>
      <w:r>
        <w:rPr>
          <w:spacing w:val="9"/>
        </w:rPr>
        <w:t xml:space="preserve"> </w:t>
      </w:r>
      <w:r>
        <w:rPr>
          <w:spacing w:val="-1"/>
        </w:rPr>
        <w:t>see</w:t>
      </w:r>
      <w:r>
        <w:rPr>
          <w:spacing w:val="6"/>
        </w:rPr>
        <w:t xml:space="preserve"> </w:t>
      </w:r>
      <w:r>
        <w:t>the</w:t>
      </w:r>
      <w:r>
        <w:rPr>
          <w:spacing w:val="7"/>
        </w:rPr>
        <w:t xml:space="preserve"> </w:t>
      </w:r>
      <w:r>
        <w:rPr>
          <w:spacing w:val="-1"/>
        </w:rPr>
        <w:t>plot.</w:t>
      </w:r>
      <w:r>
        <w:rPr>
          <w:spacing w:val="10"/>
        </w:rPr>
        <w:t xml:space="preserve"> </w:t>
      </w:r>
      <w:r>
        <w:t>If</w:t>
      </w:r>
      <w:r>
        <w:rPr>
          <w:spacing w:val="4"/>
        </w:rPr>
        <w:t xml:space="preserve"> </w:t>
      </w:r>
      <w:r>
        <w:t>you</w:t>
      </w:r>
      <w:r>
        <w:rPr>
          <w:spacing w:val="4"/>
        </w:rPr>
        <w:t xml:space="preserve"> </w:t>
      </w:r>
      <w:r>
        <w:t>are</w:t>
      </w:r>
      <w:r>
        <w:rPr>
          <w:spacing w:val="7"/>
        </w:rPr>
        <w:t xml:space="preserve"> </w:t>
      </w:r>
      <w:r>
        <w:t>not</w:t>
      </w:r>
      <w:r>
        <w:rPr>
          <w:spacing w:val="5"/>
        </w:rPr>
        <w:t xml:space="preserve"> </w:t>
      </w:r>
      <w:r>
        <w:rPr>
          <w:spacing w:val="-1"/>
        </w:rPr>
        <w:t>happy,</w:t>
      </w:r>
      <w:r>
        <w:rPr>
          <w:spacing w:val="7"/>
        </w:rPr>
        <w:t xml:space="preserve"> </w:t>
      </w:r>
      <w:r>
        <w:rPr>
          <w:spacing w:val="-2"/>
        </w:rPr>
        <w:t>go</w:t>
      </w:r>
      <w:r>
        <w:rPr>
          <w:spacing w:val="43"/>
        </w:rPr>
        <w:t xml:space="preserve"> </w:t>
      </w:r>
      <w:r>
        <w:rPr>
          <w:spacing w:val="-1"/>
        </w:rPr>
        <w:t>back</w:t>
      </w:r>
      <w:r>
        <w:t xml:space="preserve"> </w:t>
      </w:r>
      <w:r>
        <w:rPr>
          <w:spacing w:val="-1"/>
        </w:rPr>
        <w:t>to</w:t>
      </w:r>
      <w:r>
        <w:rPr>
          <w:spacing w:val="1"/>
        </w:rPr>
        <w:t xml:space="preserve"> </w:t>
      </w:r>
      <w:r>
        <w:rPr>
          <w:spacing w:val="-1"/>
        </w:rPr>
        <w:t>step</w:t>
      </w:r>
      <w:r>
        <w:t xml:space="preserve"> 4</w:t>
      </w:r>
      <w:r>
        <w:rPr>
          <w:spacing w:val="-2"/>
        </w:rPr>
        <w:t xml:space="preserve"> </w:t>
      </w:r>
      <w:r>
        <w:t>and</w:t>
      </w:r>
      <w:r>
        <w:rPr>
          <w:spacing w:val="-2"/>
        </w:rPr>
        <w:t xml:space="preserve"> </w:t>
      </w:r>
      <w:r>
        <w:rPr>
          <w:spacing w:val="-1"/>
        </w:rPr>
        <w:t>try</w:t>
      </w:r>
      <w:r>
        <w:t xml:space="preserve"> </w:t>
      </w:r>
      <w:r>
        <w:rPr>
          <w:spacing w:val="-1"/>
        </w:rPr>
        <w:t>again.</w:t>
      </w:r>
    </w:p>
    <w:p w14:paraId="00CE4A40" w14:textId="2E439A9C" w:rsidR="0031675F" w:rsidRPr="0031675F" w:rsidRDefault="004A3C40" w:rsidP="004A3C40">
      <w:pPr>
        <w:widowControl w:val="0"/>
        <w:numPr>
          <w:ilvl w:val="0"/>
          <w:numId w:val="136"/>
        </w:numPr>
        <w:tabs>
          <w:tab w:val="left" w:pos="403"/>
        </w:tabs>
        <w:spacing w:before="61" w:after="0" w:line="239" w:lineRule="auto"/>
        <w:ind w:right="110"/>
        <w:jc w:val="both"/>
        <w:rPr>
          <w:rFonts w:cs="Calibri"/>
          <w:sz w:val="20"/>
          <w:szCs w:val="20"/>
        </w:rPr>
      </w:pPr>
      <w:r w:rsidRPr="00DB3A4D">
        <w:rPr>
          <w:spacing w:val="-1"/>
        </w:rPr>
        <w:t>Save</w:t>
      </w:r>
      <w:r w:rsidRPr="00DB3A4D">
        <w:rPr>
          <w:spacing w:val="3"/>
        </w:rPr>
        <w:t xml:space="preserve"> </w:t>
      </w:r>
      <w:r>
        <w:t>all</w:t>
      </w:r>
      <w:r w:rsidRPr="00DB3A4D">
        <w:rPr>
          <w:spacing w:val="2"/>
        </w:rPr>
        <w:t xml:space="preserve"> </w:t>
      </w:r>
      <w:r w:rsidRPr="00DB3A4D">
        <w:rPr>
          <w:spacing w:val="-1"/>
        </w:rPr>
        <w:t>data</w:t>
      </w:r>
      <w:r w:rsidRPr="00DB3A4D">
        <w:rPr>
          <w:spacing w:val="3"/>
        </w:rPr>
        <w:t xml:space="preserve"> </w:t>
      </w:r>
      <w:r>
        <w:t>on</w:t>
      </w:r>
      <w:r w:rsidRPr="00DB3A4D">
        <w:rPr>
          <w:spacing w:val="2"/>
        </w:rPr>
        <w:t xml:space="preserve"> </w:t>
      </w:r>
      <w:r>
        <w:t>the</w:t>
      </w:r>
      <w:r w:rsidRPr="00DB3A4D">
        <w:rPr>
          <w:spacing w:val="3"/>
        </w:rPr>
        <w:t xml:space="preserve"> </w:t>
      </w:r>
      <w:r w:rsidRPr="00DB3A4D">
        <w:rPr>
          <w:spacing w:val="-1"/>
        </w:rPr>
        <w:t>hard</w:t>
      </w:r>
      <w:r w:rsidRPr="00DB3A4D">
        <w:rPr>
          <w:spacing w:val="1"/>
        </w:rPr>
        <w:t xml:space="preserve"> </w:t>
      </w:r>
      <w:r>
        <w:t>drive</w:t>
      </w:r>
      <w:r w:rsidRPr="00DB3A4D">
        <w:rPr>
          <w:spacing w:val="3"/>
        </w:rPr>
        <w:t xml:space="preserve"> </w:t>
      </w:r>
      <w:r w:rsidRPr="00DB3A4D">
        <w:rPr>
          <w:spacing w:val="-1"/>
        </w:rPr>
        <w:t>and</w:t>
      </w:r>
      <w:r w:rsidRPr="00DB3A4D">
        <w:rPr>
          <w:spacing w:val="2"/>
        </w:rPr>
        <w:t xml:space="preserve"> </w:t>
      </w:r>
      <w:r>
        <w:t>the</w:t>
      </w:r>
      <w:r w:rsidRPr="00DB3A4D">
        <w:rPr>
          <w:spacing w:val="3"/>
        </w:rPr>
        <w:t xml:space="preserve"> back up </w:t>
      </w:r>
      <w:r w:rsidRPr="00DB3A4D">
        <w:rPr>
          <w:spacing w:val="-1"/>
        </w:rPr>
        <w:t>external</w:t>
      </w:r>
      <w:r w:rsidRPr="00DB3A4D">
        <w:rPr>
          <w:spacing w:val="2"/>
        </w:rPr>
        <w:t xml:space="preserve"> </w:t>
      </w:r>
      <w:r w:rsidRPr="00DB3A4D">
        <w:rPr>
          <w:spacing w:val="-1"/>
        </w:rPr>
        <w:t>hard</w:t>
      </w:r>
      <w:r w:rsidRPr="00DB3A4D">
        <w:rPr>
          <w:spacing w:val="1"/>
        </w:rPr>
        <w:t xml:space="preserve"> </w:t>
      </w:r>
      <w:r w:rsidRPr="00DB3A4D">
        <w:rPr>
          <w:spacing w:val="-1"/>
        </w:rPr>
        <w:t>drive</w:t>
      </w:r>
      <w:r>
        <w:t>.</w:t>
      </w:r>
      <w:r w:rsidRPr="00DB3A4D">
        <w:rPr>
          <w:spacing w:val="2"/>
        </w:rPr>
        <w:t xml:space="preserve"> </w:t>
      </w:r>
      <w:r w:rsidRPr="00DB3A4D">
        <w:rPr>
          <w:spacing w:val="-1"/>
        </w:rPr>
        <w:t>Immediately</w:t>
      </w:r>
      <w:r w:rsidRPr="00DB3A4D">
        <w:rPr>
          <w:spacing w:val="3"/>
        </w:rPr>
        <w:t xml:space="preserve"> </w:t>
      </w:r>
      <w:r w:rsidRPr="00DB3A4D">
        <w:rPr>
          <w:spacing w:val="-1"/>
        </w:rPr>
        <w:t>upon</w:t>
      </w:r>
      <w:r w:rsidRPr="00DB3A4D">
        <w:rPr>
          <w:spacing w:val="2"/>
        </w:rPr>
        <w:t xml:space="preserve"> </w:t>
      </w:r>
      <w:r>
        <w:t>return</w:t>
      </w:r>
      <w:r w:rsidRPr="00DB3A4D">
        <w:rPr>
          <w:spacing w:val="73"/>
        </w:rPr>
        <w:t xml:space="preserve"> </w:t>
      </w:r>
      <w:r>
        <w:t>to</w:t>
      </w:r>
      <w:r w:rsidRPr="00DB3A4D">
        <w:rPr>
          <w:spacing w:val="14"/>
        </w:rPr>
        <w:t xml:space="preserve"> </w:t>
      </w:r>
      <w:r w:rsidRPr="00DB3A4D">
        <w:rPr>
          <w:spacing w:val="-1"/>
        </w:rPr>
        <w:t>AIMS</w:t>
      </w:r>
      <w:r w:rsidRPr="00DB3A4D">
        <w:rPr>
          <w:spacing w:val="11"/>
        </w:rPr>
        <w:t xml:space="preserve"> </w:t>
      </w:r>
      <w:r w:rsidRPr="00DB3A4D">
        <w:rPr>
          <w:spacing w:val="-1"/>
        </w:rPr>
        <w:t>transfer</w:t>
      </w:r>
      <w:r w:rsidRPr="00DB3A4D">
        <w:rPr>
          <w:spacing w:val="12"/>
        </w:rPr>
        <w:t xml:space="preserve"> </w:t>
      </w:r>
      <w:r>
        <w:t>all</w:t>
      </w:r>
      <w:r w:rsidRPr="00DB3A4D">
        <w:rPr>
          <w:spacing w:val="9"/>
        </w:rPr>
        <w:t xml:space="preserve"> </w:t>
      </w:r>
      <w:r w:rsidRPr="00DB3A4D">
        <w:rPr>
          <w:spacing w:val="-1"/>
        </w:rPr>
        <w:t>data</w:t>
      </w:r>
      <w:r w:rsidRPr="00DB3A4D">
        <w:rPr>
          <w:spacing w:val="10"/>
        </w:rPr>
        <w:t xml:space="preserve"> </w:t>
      </w:r>
      <w:r w:rsidRPr="00DB3A4D">
        <w:rPr>
          <w:spacing w:val="-1"/>
        </w:rPr>
        <w:t>to</w:t>
      </w:r>
      <w:r w:rsidRPr="00DB3A4D">
        <w:rPr>
          <w:spacing w:val="13"/>
        </w:rPr>
        <w:t xml:space="preserve"> </w:t>
      </w:r>
      <w:r w:rsidRPr="00DB3A4D">
        <w:rPr>
          <w:spacing w:val="-1"/>
        </w:rPr>
        <w:t>the</w:t>
      </w:r>
      <w:r w:rsidRPr="00DB3A4D">
        <w:rPr>
          <w:spacing w:val="15"/>
        </w:rPr>
        <w:t xml:space="preserve"> </w:t>
      </w:r>
      <w:r w:rsidRPr="00DB3A4D">
        <w:rPr>
          <w:spacing w:val="-1"/>
        </w:rPr>
        <w:t>Reef</w:t>
      </w:r>
      <w:r w:rsidRPr="00DB3A4D">
        <w:rPr>
          <w:spacing w:val="9"/>
        </w:rPr>
        <w:t xml:space="preserve"> </w:t>
      </w:r>
      <w:r w:rsidRPr="00DB3A4D">
        <w:rPr>
          <w:spacing w:val="-1"/>
        </w:rPr>
        <w:t>Rescue</w:t>
      </w:r>
      <w:r w:rsidRPr="00DB3A4D">
        <w:rPr>
          <w:spacing w:val="10"/>
        </w:rPr>
        <w:t xml:space="preserve"> </w:t>
      </w:r>
      <w:r w:rsidRPr="00DB3A4D">
        <w:rPr>
          <w:spacing w:val="-1"/>
        </w:rPr>
        <w:t>MMP</w:t>
      </w:r>
      <w:r w:rsidRPr="00DB3A4D">
        <w:rPr>
          <w:spacing w:val="13"/>
        </w:rPr>
        <w:t xml:space="preserve"> </w:t>
      </w:r>
      <w:r w:rsidRPr="00DB3A4D">
        <w:rPr>
          <w:spacing w:val="-1"/>
        </w:rPr>
        <w:t>shared</w:t>
      </w:r>
      <w:r w:rsidRPr="00DB3A4D">
        <w:rPr>
          <w:spacing w:val="11"/>
        </w:rPr>
        <w:t xml:space="preserve"> </w:t>
      </w:r>
      <w:r w:rsidRPr="00DB3A4D">
        <w:rPr>
          <w:spacing w:val="-1"/>
        </w:rPr>
        <w:t>file</w:t>
      </w:r>
      <w:r w:rsidRPr="00DB3A4D">
        <w:rPr>
          <w:spacing w:val="10"/>
        </w:rPr>
        <w:t xml:space="preserve"> </w:t>
      </w:r>
      <w:r>
        <w:t>area</w:t>
      </w:r>
      <w:r w:rsidRPr="00DB3A4D">
        <w:rPr>
          <w:spacing w:val="10"/>
        </w:rPr>
        <w:t xml:space="preserve"> </w:t>
      </w:r>
      <w:r>
        <w:t>on</w:t>
      </w:r>
      <w:r w:rsidRPr="00DB3A4D">
        <w:rPr>
          <w:spacing w:val="9"/>
        </w:rPr>
        <w:t xml:space="preserve"> </w:t>
      </w:r>
      <w:r>
        <w:t>the</w:t>
      </w:r>
      <w:r w:rsidRPr="00DB3A4D">
        <w:rPr>
          <w:spacing w:val="12"/>
        </w:rPr>
        <w:t xml:space="preserve"> </w:t>
      </w:r>
      <w:r w:rsidRPr="00DB3A4D">
        <w:rPr>
          <w:spacing w:val="-1"/>
        </w:rPr>
        <w:t>AIMS</w:t>
      </w:r>
      <w:r w:rsidRPr="00DB3A4D">
        <w:rPr>
          <w:spacing w:val="9"/>
        </w:rPr>
        <w:t xml:space="preserve"> </w:t>
      </w:r>
      <w:r w:rsidRPr="00DB3A4D">
        <w:rPr>
          <w:spacing w:val="-1"/>
        </w:rPr>
        <w:t>Server.</w:t>
      </w:r>
      <w:r w:rsidRPr="00DB3A4D">
        <w:rPr>
          <w:spacing w:val="13"/>
        </w:rPr>
        <w:t xml:space="preserve"> </w:t>
      </w:r>
      <w:r w:rsidRPr="00DB3A4D">
        <w:rPr>
          <w:spacing w:val="-1"/>
        </w:rPr>
        <w:t>For</w:t>
      </w:r>
      <w:r w:rsidRPr="00DB3A4D">
        <w:rPr>
          <w:spacing w:val="9"/>
        </w:rPr>
        <w:t xml:space="preserve"> </w:t>
      </w:r>
      <w:r w:rsidRPr="00DB3A4D">
        <w:rPr>
          <w:spacing w:val="-1"/>
        </w:rPr>
        <w:t>more</w:t>
      </w:r>
      <w:r w:rsidRPr="00DB3A4D">
        <w:rPr>
          <w:spacing w:val="41"/>
        </w:rPr>
        <w:t xml:space="preserve"> </w:t>
      </w:r>
      <w:r w:rsidRPr="00DB3A4D">
        <w:rPr>
          <w:spacing w:val="-1"/>
        </w:rPr>
        <w:t>details</w:t>
      </w:r>
      <w:r>
        <w:t xml:space="preserve"> </w:t>
      </w:r>
      <w:r w:rsidRPr="00DB3A4D">
        <w:rPr>
          <w:spacing w:val="-1"/>
        </w:rPr>
        <w:t>about</w:t>
      </w:r>
      <w:r>
        <w:t xml:space="preserve"> </w:t>
      </w:r>
      <w:r w:rsidRPr="00DB3A4D">
        <w:rPr>
          <w:spacing w:val="-1"/>
        </w:rPr>
        <w:t>AIMS</w:t>
      </w:r>
      <w:r w:rsidRPr="00DB3A4D">
        <w:rPr>
          <w:spacing w:val="-3"/>
        </w:rPr>
        <w:t xml:space="preserve"> </w:t>
      </w:r>
      <w:r w:rsidRPr="00DB3A4D">
        <w:rPr>
          <w:spacing w:val="-1"/>
        </w:rPr>
        <w:t>Data</w:t>
      </w:r>
      <w:r w:rsidRPr="00DB3A4D">
        <w:rPr>
          <w:spacing w:val="-2"/>
        </w:rPr>
        <w:t xml:space="preserve"> </w:t>
      </w:r>
      <w:r w:rsidRPr="00DB3A4D">
        <w:rPr>
          <w:spacing w:val="-1"/>
        </w:rPr>
        <w:t>Management</w:t>
      </w:r>
      <w:r>
        <w:t xml:space="preserve"> </w:t>
      </w:r>
      <w:r w:rsidRPr="00DB3A4D">
        <w:rPr>
          <w:spacing w:val="-1"/>
        </w:rPr>
        <w:t>procedures</w:t>
      </w:r>
      <w:r>
        <w:t xml:space="preserve"> </w:t>
      </w:r>
      <w:r w:rsidRPr="00DB3A4D">
        <w:rPr>
          <w:spacing w:val="-1"/>
        </w:rPr>
        <w:t>for</w:t>
      </w:r>
      <w:r w:rsidRPr="00DB3A4D">
        <w:rPr>
          <w:spacing w:val="-2"/>
        </w:rPr>
        <w:t xml:space="preserve"> </w:t>
      </w:r>
      <w:r>
        <w:t>Reef</w:t>
      </w:r>
      <w:r w:rsidRPr="00DB3A4D">
        <w:rPr>
          <w:spacing w:val="-2"/>
        </w:rPr>
        <w:t xml:space="preserve"> </w:t>
      </w:r>
      <w:r w:rsidRPr="00DB3A4D">
        <w:rPr>
          <w:spacing w:val="-1"/>
        </w:rPr>
        <w:t>Rescue</w:t>
      </w:r>
      <w:r>
        <w:t xml:space="preserve"> </w:t>
      </w:r>
      <w:r w:rsidRPr="00DB3A4D">
        <w:rPr>
          <w:spacing w:val="-2"/>
        </w:rPr>
        <w:t>MMP</w:t>
      </w:r>
      <w:r w:rsidRPr="00DB3A4D">
        <w:rPr>
          <w:spacing w:val="1"/>
        </w:rPr>
        <w:t xml:space="preserve"> </w:t>
      </w:r>
      <w:r w:rsidRPr="00DB3A4D">
        <w:rPr>
          <w:spacing w:val="-1"/>
        </w:rPr>
        <w:t>refer</w:t>
      </w:r>
      <w:r>
        <w:t xml:space="preserve"> </w:t>
      </w:r>
      <w:r w:rsidRPr="00DB3A4D">
        <w:rPr>
          <w:spacing w:val="-1"/>
        </w:rPr>
        <w:t xml:space="preserve">to </w:t>
      </w:r>
      <w:r>
        <w:rPr>
          <w:spacing w:val="-1"/>
        </w:rPr>
        <w:t>Section A</w:t>
      </w:r>
      <w:r>
        <w:rPr>
          <w:spacing w:val="-3"/>
        </w:rPr>
        <w:t>12</w:t>
      </w:r>
      <w:r w:rsidRPr="00DB3A4D">
        <w:rPr>
          <w:spacing w:val="-1"/>
        </w:rPr>
        <w:t>.</w:t>
      </w:r>
    </w:p>
    <w:p w14:paraId="05031CC5" w14:textId="77777777" w:rsidR="0031675F" w:rsidRPr="0031675F" w:rsidRDefault="0031675F" w:rsidP="0031675F">
      <w:pPr>
        <w:rPr>
          <w:rFonts w:cs="Calibri"/>
          <w:sz w:val="20"/>
          <w:szCs w:val="20"/>
        </w:rPr>
      </w:pPr>
    </w:p>
    <w:p w14:paraId="637368CA" w14:textId="77777777" w:rsidR="0031675F" w:rsidRPr="0031675F" w:rsidRDefault="0031675F" w:rsidP="0031675F">
      <w:pPr>
        <w:widowControl w:val="0"/>
        <w:numPr>
          <w:ilvl w:val="1"/>
          <w:numId w:val="143"/>
        </w:numPr>
        <w:tabs>
          <w:tab w:val="left" w:pos="686"/>
        </w:tabs>
        <w:spacing w:before="206" w:after="0" w:line="240" w:lineRule="auto"/>
        <w:ind w:left="685"/>
        <w:rPr>
          <w:rFonts w:eastAsia="Arial" w:cs="Arial"/>
          <w:sz w:val="24"/>
          <w:szCs w:val="24"/>
        </w:rPr>
      </w:pPr>
      <w:bookmarkStart w:id="578" w:name="_TOC_250094"/>
      <w:r w:rsidRPr="0031675F">
        <w:rPr>
          <w:b/>
          <w:spacing w:val="-1"/>
          <w:sz w:val="24"/>
        </w:rPr>
        <w:t>Maintenance</w:t>
      </w:r>
      <w:bookmarkEnd w:id="578"/>
    </w:p>
    <w:p w14:paraId="5D87EDB2" w14:textId="77777777" w:rsidR="0031675F" w:rsidRPr="0031675F" w:rsidRDefault="0031675F" w:rsidP="0031675F">
      <w:pPr>
        <w:spacing w:before="11"/>
        <w:rPr>
          <w:rFonts w:eastAsia="Arial" w:cs="Arial"/>
          <w:b/>
          <w:bCs/>
          <w:sz w:val="20"/>
          <w:szCs w:val="20"/>
        </w:rPr>
      </w:pPr>
    </w:p>
    <w:p w14:paraId="0C02866C" w14:textId="77777777" w:rsidR="009843F9" w:rsidRDefault="009843F9" w:rsidP="009843F9">
      <w:pPr>
        <w:pStyle w:val="BodyText"/>
      </w:pPr>
      <w:r>
        <w:rPr>
          <w:spacing w:val="-1"/>
        </w:rPr>
        <w:t>After</w:t>
      </w:r>
      <w:r>
        <w:t xml:space="preserve"> the</w:t>
      </w:r>
      <w:r>
        <w:rPr>
          <w:spacing w:val="-3"/>
        </w:rPr>
        <w:t xml:space="preserve"> </w:t>
      </w:r>
      <w:r>
        <w:rPr>
          <w:spacing w:val="-1"/>
        </w:rPr>
        <w:t>CTD profiles are completed:</w:t>
      </w:r>
    </w:p>
    <w:p w14:paraId="57EB8AB7" w14:textId="77777777" w:rsidR="009843F9" w:rsidRDefault="009843F9" w:rsidP="009843F9">
      <w:pPr>
        <w:pStyle w:val="BodyText"/>
        <w:widowControl w:val="0"/>
        <w:numPr>
          <w:ilvl w:val="0"/>
          <w:numId w:val="135"/>
        </w:numPr>
        <w:tabs>
          <w:tab w:val="left" w:pos="403"/>
        </w:tabs>
        <w:spacing w:before="120" w:after="0" w:line="240" w:lineRule="auto"/>
        <w:ind w:right="119"/>
      </w:pPr>
      <w:r>
        <w:rPr>
          <w:spacing w:val="-1"/>
        </w:rPr>
        <w:t>Disconnect</w:t>
      </w:r>
      <w:r>
        <w:rPr>
          <w:spacing w:val="6"/>
        </w:rPr>
        <w:t xml:space="preserve"> </w:t>
      </w:r>
      <w:r>
        <w:rPr>
          <w:spacing w:val="-1"/>
        </w:rPr>
        <w:t>the</w:t>
      </w:r>
      <w:r>
        <w:rPr>
          <w:spacing w:val="5"/>
        </w:rPr>
        <w:t xml:space="preserve"> </w:t>
      </w:r>
      <w:r>
        <w:rPr>
          <w:spacing w:val="-1"/>
        </w:rPr>
        <w:t>CTD</w:t>
      </w:r>
      <w:r>
        <w:rPr>
          <w:spacing w:val="6"/>
        </w:rPr>
        <w:t xml:space="preserve"> </w:t>
      </w:r>
      <w:r>
        <w:rPr>
          <w:spacing w:val="-2"/>
        </w:rPr>
        <w:t>from</w:t>
      </w:r>
      <w:r>
        <w:rPr>
          <w:spacing w:val="6"/>
        </w:rPr>
        <w:t xml:space="preserve"> </w:t>
      </w:r>
      <w:r>
        <w:rPr>
          <w:spacing w:val="-1"/>
        </w:rPr>
        <w:t>the</w:t>
      </w:r>
      <w:r>
        <w:rPr>
          <w:spacing w:val="5"/>
        </w:rPr>
        <w:t xml:space="preserve"> </w:t>
      </w:r>
      <w:r>
        <w:rPr>
          <w:spacing w:val="-1"/>
        </w:rPr>
        <w:t>communications</w:t>
      </w:r>
      <w:r>
        <w:rPr>
          <w:spacing w:val="5"/>
        </w:rPr>
        <w:t xml:space="preserve"> </w:t>
      </w:r>
      <w:r>
        <w:rPr>
          <w:spacing w:val="-1"/>
        </w:rPr>
        <w:t>cable</w:t>
      </w:r>
      <w:r>
        <w:rPr>
          <w:spacing w:val="5"/>
        </w:rPr>
        <w:t xml:space="preserve"> </w:t>
      </w:r>
      <w:r>
        <w:rPr>
          <w:spacing w:val="-1"/>
        </w:rPr>
        <w:t>and</w:t>
      </w:r>
      <w:r>
        <w:rPr>
          <w:spacing w:val="4"/>
        </w:rPr>
        <w:t xml:space="preserve"> </w:t>
      </w:r>
      <w:r>
        <w:rPr>
          <w:spacing w:val="-1"/>
        </w:rPr>
        <w:t>reattach</w:t>
      </w:r>
      <w:r>
        <w:rPr>
          <w:spacing w:val="5"/>
        </w:rPr>
        <w:t xml:space="preserve"> </w:t>
      </w:r>
      <w:r>
        <w:t>the</w:t>
      </w:r>
      <w:r>
        <w:rPr>
          <w:spacing w:val="5"/>
        </w:rPr>
        <w:t xml:space="preserve"> </w:t>
      </w:r>
      <w:r>
        <w:rPr>
          <w:spacing w:val="-1"/>
        </w:rPr>
        <w:t>dummy</w:t>
      </w:r>
      <w:r>
        <w:rPr>
          <w:spacing w:val="4"/>
        </w:rPr>
        <w:t xml:space="preserve"> </w:t>
      </w:r>
      <w:r>
        <w:rPr>
          <w:spacing w:val="-1"/>
        </w:rPr>
        <w:t>plugs</w:t>
      </w:r>
      <w:r>
        <w:rPr>
          <w:spacing w:val="5"/>
        </w:rPr>
        <w:t xml:space="preserve"> </w:t>
      </w:r>
      <w:r>
        <w:t>on</w:t>
      </w:r>
      <w:r>
        <w:rPr>
          <w:spacing w:val="4"/>
        </w:rPr>
        <w:t xml:space="preserve"> </w:t>
      </w:r>
      <w:r>
        <w:t>both</w:t>
      </w:r>
      <w:r>
        <w:rPr>
          <w:spacing w:val="4"/>
        </w:rPr>
        <w:t xml:space="preserve"> </w:t>
      </w:r>
      <w:r>
        <w:rPr>
          <w:spacing w:val="-1"/>
        </w:rPr>
        <w:t>ends.</w:t>
      </w:r>
    </w:p>
    <w:p w14:paraId="1BE69455" w14:textId="02357224" w:rsidR="0031675F" w:rsidRPr="0031675F" w:rsidRDefault="009843F9" w:rsidP="009843F9">
      <w:pPr>
        <w:widowControl w:val="0"/>
        <w:numPr>
          <w:ilvl w:val="0"/>
          <w:numId w:val="135"/>
        </w:numPr>
        <w:tabs>
          <w:tab w:val="left" w:pos="403"/>
        </w:tabs>
        <w:spacing w:before="60" w:after="0" w:line="240" w:lineRule="auto"/>
      </w:pPr>
      <w:r>
        <w:t>Wash</w:t>
      </w:r>
      <w:r>
        <w:rPr>
          <w:spacing w:val="-1"/>
        </w:rPr>
        <w:t xml:space="preserve"> </w:t>
      </w:r>
      <w:r>
        <w:t>the</w:t>
      </w:r>
      <w:r>
        <w:rPr>
          <w:spacing w:val="-3"/>
        </w:rPr>
        <w:t xml:space="preserve"> </w:t>
      </w:r>
      <w:r>
        <w:rPr>
          <w:spacing w:val="-1"/>
        </w:rPr>
        <w:t>CTD</w:t>
      </w:r>
      <w:r>
        <w:rPr>
          <w:spacing w:val="1"/>
        </w:rPr>
        <w:t xml:space="preserve"> </w:t>
      </w:r>
      <w:r>
        <w:rPr>
          <w:spacing w:val="-1"/>
        </w:rPr>
        <w:t>thoroughly</w:t>
      </w:r>
      <w:r>
        <w:rPr>
          <w:spacing w:val="-4"/>
        </w:rPr>
        <w:t xml:space="preserve"> </w:t>
      </w:r>
      <w:r>
        <w:t xml:space="preserve">with </w:t>
      </w:r>
      <w:r>
        <w:rPr>
          <w:spacing w:val="-1"/>
        </w:rPr>
        <w:t>fresh</w:t>
      </w:r>
      <w:r>
        <w:rPr>
          <w:spacing w:val="-3"/>
        </w:rPr>
        <w:t xml:space="preserve"> </w:t>
      </w:r>
      <w:r>
        <w:rPr>
          <w:spacing w:val="-1"/>
        </w:rPr>
        <w:t>water.</w:t>
      </w:r>
    </w:p>
    <w:p w14:paraId="77D53B2C" w14:textId="77777777" w:rsidR="0031675F" w:rsidRPr="0031675F" w:rsidRDefault="0031675F" w:rsidP="0031675F">
      <w:pPr>
        <w:spacing w:before="10"/>
        <w:rPr>
          <w:rFonts w:cs="Calibri"/>
          <w:sz w:val="26"/>
          <w:szCs w:val="26"/>
        </w:rPr>
      </w:pPr>
    </w:p>
    <w:p w14:paraId="4A4BECF6" w14:textId="77777777" w:rsidR="0031675F" w:rsidRPr="0031675F" w:rsidRDefault="0031675F" w:rsidP="0031675F">
      <w:pPr>
        <w:widowControl w:val="0"/>
        <w:numPr>
          <w:ilvl w:val="1"/>
          <w:numId w:val="143"/>
        </w:numPr>
        <w:tabs>
          <w:tab w:val="left" w:pos="686"/>
        </w:tabs>
        <w:spacing w:before="0" w:after="0" w:line="240" w:lineRule="auto"/>
        <w:ind w:left="685"/>
        <w:rPr>
          <w:rFonts w:eastAsia="Arial" w:cs="Arial"/>
          <w:sz w:val="24"/>
          <w:szCs w:val="24"/>
        </w:rPr>
      </w:pPr>
      <w:bookmarkStart w:id="579" w:name="_TOC_250093"/>
      <w:r w:rsidRPr="0031675F">
        <w:rPr>
          <w:b/>
          <w:sz w:val="24"/>
        </w:rPr>
        <w:t>Quality</w:t>
      </w:r>
      <w:r w:rsidRPr="0031675F">
        <w:rPr>
          <w:b/>
          <w:spacing w:val="-7"/>
          <w:sz w:val="24"/>
        </w:rPr>
        <w:t xml:space="preserve"> </w:t>
      </w:r>
      <w:r w:rsidRPr="0031675F">
        <w:rPr>
          <w:b/>
          <w:spacing w:val="-1"/>
          <w:sz w:val="24"/>
        </w:rPr>
        <w:t>control</w:t>
      </w:r>
      <w:bookmarkEnd w:id="579"/>
    </w:p>
    <w:p w14:paraId="5DCE7B72" w14:textId="77777777" w:rsidR="0031675F" w:rsidRPr="0031675F" w:rsidRDefault="0031675F" w:rsidP="0031675F">
      <w:pPr>
        <w:spacing w:before="1"/>
        <w:rPr>
          <w:rFonts w:eastAsia="Arial" w:cs="Arial"/>
          <w:b/>
          <w:bCs/>
          <w:sz w:val="21"/>
          <w:szCs w:val="21"/>
        </w:rPr>
      </w:pPr>
    </w:p>
    <w:p w14:paraId="2A6ACD58" w14:textId="6338CDB2" w:rsidR="009843F9" w:rsidRDefault="009843F9" w:rsidP="009843F9">
      <w:pPr>
        <w:pStyle w:val="BodyText"/>
        <w:widowControl w:val="0"/>
        <w:numPr>
          <w:ilvl w:val="0"/>
          <w:numId w:val="142"/>
        </w:numPr>
        <w:tabs>
          <w:tab w:val="left" w:pos="403"/>
        </w:tabs>
        <w:spacing w:before="0" w:after="0" w:line="240" w:lineRule="auto"/>
        <w:ind w:left="402" w:right="119"/>
      </w:pPr>
      <w:r>
        <w:rPr>
          <w:spacing w:val="-1"/>
        </w:rPr>
        <w:t>When on board RV Cape Ferguson, CTD</w:t>
      </w:r>
      <w:r>
        <w:rPr>
          <w:spacing w:val="8"/>
        </w:rPr>
        <w:t xml:space="preserve"> </w:t>
      </w:r>
      <w:r>
        <w:rPr>
          <w:spacing w:val="-1"/>
        </w:rPr>
        <w:t>cast</w:t>
      </w:r>
      <w:r>
        <w:rPr>
          <w:spacing w:val="7"/>
        </w:rPr>
        <w:t xml:space="preserve"> </w:t>
      </w:r>
      <w:r>
        <w:rPr>
          <w:spacing w:val="-1"/>
        </w:rPr>
        <w:t>data</w:t>
      </w:r>
      <w:r>
        <w:rPr>
          <w:spacing w:val="7"/>
        </w:rPr>
        <w:t xml:space="preserve"> </w:t>
      </w:r>
      <w:r>
        <w:rPr>
          <w:spacing w:val="-1"/>
        </w:rPr>
        <w:t>are</w:t>
      </w:r>
      <w:r>
        <w:rPr>
          <w:spacing w:val="8"/>
        </w:rPr>
        <w:t xml:space="preserve"> </w:t>
      </w:r>
      <w:r>
        <w:rPr>
          <w:spacing w:val="-1"/>
        </w:rPr>
        <w:t>immediately</w:t>
      </w:r>
      <w:r>
        <w:rPr>
          <w:spacing w:val="5"/>
        </w:rPr>
        <w:t xml:space="preserve"> </w:t>
      </w:r>
      <w:r>
        <w:rPr>
          <w:spacing w:val="-1"/>
        </w:rPr>
        <w:t>plotted and</w:t>
      </w:r>
      <w:r>
        <w:rPr>
          <w:spacing w:val="8"/>
        </w:rPr>
        <w:t xml:space="preserve"> </w:t>
      </w:r>
      <w:r>
        <w:rPr>
          <w:spacing w:val="-1"/>
        </w:rPr>
        <w:t>checked</w:t>
      </w:r>
      <w:r>
        <w:rPr>
          <w:spacing w:val="4"/>
        </w:rPr>
        <w:t xml:space="preserve"> </w:t>
      </w:r>
      <w:r>
        <w:rPr>
          <w:spacing w:val="-1"/>
        </w:rPr>
        <w:t>so</w:t>
      </w:r>
      <w:r>
        <w:rPr>
          <w:spacing w:val="6"/>
        </w:rPr>
        <w:t xml:space="preserve"> </w:t>
      </w:r>
      <w:r>
        <w:rPr>
          <w:spacing w:val="-1"/>
        </w:rPr>
        <w:t>the</w:t>
      </w:r>
      <w:r>
        <w:rPr>
          <w:spacing w:val="8"/>
        </w:rPr>
        <w:t xml:space="preserve"> </w:t>
      </w:r>
      <w:r>
        <w:t>cast</w:t>
      </w:r>
      <w:r>
        <w:rPr>
          <w:spacing w:val="5"/>
        </w:rPr>
        <w:t xml:space="preserve"> can be </w:t>
      </w:r>
      <w:r>
        <w:rPr>
          <w:spacing w:val="-1"/>
        </w:rPr>
        <w:t>repeated</w:t>
      </w:r>
      <w:r>
        <w:rPr>
          <w:spacing w:val="6"/>
        </w:rPr>
        <w:t xml:space="preserve"> </w:t>
      </w:r>
      <w:r>
        <w:t>if</w:t>
      </w:r>
      <w:r>
        <w:rPr>
          <w:spacing w:val="4"/>
        </w:rPr>
        <w:t xml:space="preserve"> </w:t>
      </w:r>
      <w:r>
        <w:rPr>
          <w:spacing w:val="-1"/>
        </w:rPr>
        <w:t>there</w:t>
      </w:r>
      <w:r>
        <w:rPr>
          <w:spacing w:val="5"/>
        </w:rPr>
        <w:t xml:space="preserve"> </w:t>
      </w:r>
      <w:r>
        <w:rPr>
          <w:spacing w:val="-1"/>
        </w:rPr>
        <w:t>were</w:t>
      </w:r>
      <w:r>
        <w:rPr>
          <w:spacing w:val="8"/>
        </w:rPr>
        <w:t xml:space="preserve"> </w:t>
      </w:r>
      <w:r>
        <w:rPr>
          <w:spacing w:val="-1"/>
        </w:rPr>
        <w:t>erroneous</w:t>
      </w:r>
      <w:r>
        <w:t xml:space="preserve"> </w:t>
      </w:r>
      <w:r>
        <w:rPr>
          <w:spacing w:val="-1"/>
        </w:rPr>
        <w:t>readings</w:t>
      </w:r>
      <w:r>
        <w:t xml:space="preserve"> or</w:t>
      </w:r>
      <w:r>
        <w:rPr>
          <w:spacing w:val="-2"/>
        </w:rPr>
        <w:t xml:space="preserve"> </w:t>
      </w:r>
      <w:r>
        <w:t>other</w:t>
      </w:r>
      <w:r>
        <w:rPr>
          <w:spacing w:val="-3"/>
        </w:rPr>
        <w:t xml:space="preserve"> </w:t>
      </w:r>
      <w:r>
        <w:rPr>
          <w:spacing w:val="-1"/>
        </w:rPr>
        <w:t>technical</w:t>
      </w:r>
      <w:r>
        <w:rPr>
          <w:spacing w:val="-3"/>
        </w:rPr>
        <w:t xml:space="preserve"> </w:t>
      </w:r>
      <w:r>
        <w:rPr>
          <w:spacing w:val="-1"/>
        </w:rPr>
        <w:t>problems.</w:t>
      </w:r>
    </w:p>
    <w:p w14:paraId="5E5463C9" w14:textId="77777777" w:rsidR="009843F9" w:rsidRDefault="009843F9" w:rsidP="009843F9">
      <w:pPr>
        <w:pStyle w:val="BodyText"/>
        <w:widowControl w:val="0"/>
        <w:numPr>
          <w:ilvl w:val="0"/>
          <w:numId w:val="142"/>
        </w:numPr>
        <w:tabs>
          <w:tab w:val="left" w:pos="403"/>
        </w:tabs>
        <w:spacing w:before="69" w:after="0" w:line="266" w:lineRule="exact"/>
        <w:ind w:right="120"/>
      </w:pPr>
      <w:r>
        <w:rPr>
          <w:spacing w:val="-1"/>
        </w:rPr>
        <w:t>The CTD</w:t>
      </w:r>
      <w:r>
        <w:rPr>
          <w:spacing w:val="17"/>
        </w:rPr>
        <w:t xml:space="preserve"> </w:t>
      </w:r>
      <w:r>
        <w:rPr>
          <w:spacing w:val="-1"/>
        </w:rPr>
        <w:t>sensors</w:t>
      </w:r>
      <w:r>
        <w:rPr>
          <w:spacing w:val="16"/>
        </w:rPr>
        <w:t xml:space="preserve"> </w:t>
      </w:r>
      <w:r>
        <w:t>are</w:t>
      </w:r>
      <w:r>
        <w:rPr>
          <w:spacing w:val="17"/>
        </w:rPr>
        <w:t xml:space="preserve"> </w:t>
      </w:r>
      <w:r>
        <w:rPr>
          <w:spacing w:val="-1"/>
        </w:rPr>
        <w:t>regularly</w:t>
      </w:r>
      <w:r>
        <w:rPr>
          <w:spacing w:val="16"/>
        </w:rPr>
        <w:t xml:space="preserve"> </w:t>
      </w:r>
      <w:r>
        <w:rPr>
          <w:spacing w:val="-1"/>
        </w:rPr>
        <w:t>sent</w:t>
      </w:r>
      <w:r>
        <w:rPr>
          <w:spacing w:val="16"/>
        </w:rPr>
        <w:t xml:space="preserve"> </w:t>
      </w:r>
      <w:r>
        <w:t>to either</w:t>
      </w:r>
      <w:r>
        <w:rPr>
          <w:spacing w:val="18"/>
        </w:rPr>
        <w:t xml:space="preserve"> </w:t>
      </w:r>
      <w:r>
        <w:t>the</w:t>
      </w:r>
      <w:r>
        <w:rPr>
          <w:spacing w:val="14"/>
        </w:rPr>
        <w:t xml:space="preserve"> </w:t>
      </w:r>
      <w:r>
        <w:t xml:space="preserve">manufacturer or CSIRO </w:t>
      </w:r>
      <w:r w:rsidRPr="00DE3304">
        <w:t>Oceans and Atmosphere Oceanographic Calibration Facility</w:t>
      </w:r>
      <w:r>
        <w:rPr>
          <w:spacing w:val="14"/>
        </w:rPr>
        <w:t xml:space="preserve"> </w:t>
      </w:r>
      <w:r>
        <w:rPr>
          <w:spacing w:val="-1"/>
        </w:rPr>
        <w:t>for</w:t>
      </w:r>
      <w:r>
        <w:rPr>
          <w:spacing w:val="17"/>
        </w:rPr>
        <w:t xml:space="preserve"> </w:t>
      </w:r>
      <w:r>
        <w:rPr>
          <w:spacing w:val="-1"/>
        </w:rPr>
        <w:t>calibration</w:t>
      </w:r>
      <w:r>
        <w:rPr>
          <w:spacing w:val="16"/>
        </w:rPr>
        <w:t xml:space="preserve"> </w:t>
      </w:r>
      <w:r>
        <w:rPr>
          <w:spacing w:val="-1"/>
        </w:rPr>
        <w:t>(generally</w:t>
      </w:r>
      <w:r>
        <w:t xml:space="preserve"> </w:t>
      </w:r>
      <w:r>
        <w:rPr>
          <w:spacing w:val="-1"/>
        </w:rPr>
        <w:t>annually).</w:t>
      </w:r>
    </w:p>
    <w:p w14:paraId="66850669" w14:textId="77777777" w:rsidR="009843F9" w:rsidRDefault="009843F9" w:rsidP="009843F9">
      <w:pPr>
        <w:pStyle w:val="BodyText"/>
        <w:widowControl w:val="0"/>
        <w:numPr>
          <w:ilvl w:val="0"/>
          <w:numId w:val="142"/>
        </w:numPr>
        <w:tabs>
          <w:tab w:val="left" w:pos="403"/>
        </w:tabs>
        <w:spacing w:before="66" w:after="0" w:line="240" w:lineRule="auto"/>
        <w:ind w:left="402" w:right="120"/>
      </w:pPr>
      <w:r>
        <w:rPr>
          <w:spacing w:val="-1"/>
        </w:rPr>
        <w:t>Salinity</w:t>
      </w:r>
      <w:r>
        <w:rPr>
          <w:spacing w:val="8"/>
        </w:rPr>
        <w:t xml:space="preserve"> </w:t>
      </w:r>
      <w:r>
        <w:rPr>
          <w:spacing w:val="-1"/>
        </w:rPr>
        <w:t>and</w:t>
      </w:r>
      <w:r>
        <w:rPr>
          <w:spacing w:val="6"/>
        </w:rPr>
        <w:t xml:space="preserve"> </w:t>
      </w:r>
      <w:r>
        <w:rPr>
          <w:spacing w:val="-1"/>
        </w:rPr>
        <w:t>chlorophyll</w:t>
      </w:r>
      <w:r>
        <w:rPr>
          <w:spacing w:val="7"/>
        </w:rPr>
        <w:t xml:space="preserve"> </w:t>
      </w:r>
      <w:r>
        <w:rPr>
          <w:spacing w:val="-1"/>
        </w:rPr>
        <w:t>readings</w:t>
      </w:r>
      <w:r>
        <w:rPr>
          <w:spacing w:val="7"/>
        </w:rPr>
        <w:t xml:space="preserve"> </w:t>
      </w:r>
      <w:r>
        <w:rPr>
          <w:spacing w:val="-1"/>
        </w:rPr>
        <w:t>from</w:t>
      </w:r>
      <w:r>
        <w:rPr>
          <w:spacing w:val="6"/>
        </w:rPr>
        <w:t xml:space="preserve"> </w:t>
      </w:r>
      <w:r>
        <w:rPr>
          <w:spacing w:val="-2"/>
        </w:rPr>
        <w:t>CTD</w:t>
      </w:r>
      <w:r>
        <w:rPr>
          <w:spacing w:val="8"/>
        </w:rPr>
        <w:t xml:space="preserve"> </w:t>
      </w:r>
      <w:r>
        <w:rPr>
          <w:spacing w:val="-1"/>
        </w:rPr>
        <w:t>sensors</w:t>
      </w:r>
      <w:r>
        <w:rPr>
          <w:spacing w:val="7"/>
        </w:rPr>
        <w:t xml:space="preserve"> </w:t>
      </w:r>
      <w:r>
        <w:rPr>
          <w:spacing w:val="-1"/>
        </w:rPr>
        <w:t>are</w:t>
      </w:r>
      <w:r>
        <w:rPr>
          <w:spacing w:val="8"/>
        </w:rPr>
        <w:t xml:space="preserve"> </w:t>
      </w:r>
      <w:r>
        <w:rPr>
          <w:spacing w:val="-1"/>
        </w:rPr>
        <w:t>validated</w:t>
      </w:r>
      <w:r>
        <w:rPr>
          <w:spacing w:val="6"/>
        </w:rPr>
        <w:t xml:space="preserve"> </w:t>
      </w:r>
      <w:r>
        <w:rPr>
          <w:spacing w:val="-1"/>
        </w:rPr>
        <w:t>against</w:t>
      </w:r>
      <w:r>
        <w:rPr>
          <w:spacing w:val="5"/>
        </w:rPr>
        <w:t xml:space="preserve"> </w:t>
      </w:r>
      <w:r>
        <w:rPr>
          <w:spacing w:val="-1"/>
        </w:rPr>
        <w:t>results</w:t>
      </w:r>
      <w:r>
        <w:rPr>
          <w:spacing w:val="5"/>
        </w:rPr>
        <w:t xml:space="preserve"> </w:t>
      </w:r>
      <w:r>
        <w:rPr>
          <w:spacing w:val="-1"/>
        </w:rPr>
        <w:t>from</w:t>
      </w:r>
      <w:r>
        <w:rPr>
          <w:spacing w:val="6"/>
        </w:rPr>
        <w:t xml:space="preserve"> </w:t>
      </w:r>
      <w:r>
        <w:rPr>
          <w:spacing w:val="-1"/>
        </w:rPr>
        <w:t>direct</w:t>
      </w:r>
      <w:r>
        <w:rPr>
          <w:spacing w:val="8"/>
        </w:rPr>
        <w:t xml:space="preserve"> </w:t>
      </w:r>
      <w:r>
        <w:rPr>
          <w:spacing w:val="-1"/>
        </w:rPr>
        <w:t>water</w:t>
      </w:r>
      <w:r>
        <w:rPr>
          <w:spacing w:val="65"/>
        </w:rPr>
        <w:t xml:space="preserve"> </w:t>
      </w:r>
      <w:r>
        <w:rPr>
          <w:spacing w:val="-1"/>
        </w:rPr>
        <w:t>sampling using Niskin bottles</w:t>
      </w:r>
      <w:r>
        <w:t xml:space="preserve"> </w:t>
      </w:r>
      <w:r>
        <w:rPr>
          <w:spacing w:val="-1"/>
        </w:rPr>
        <w:t>conducted immediately after</w:t>
      </w:r>
      <w:r>
        <w:rPr>
          <w:spacing w:val="-2"/>
        </w:rPr>
        <w:t xml:space="preserve"> </w:t>
      </w:r>
      <w:r>
        <w:t xml:space="preserve">the </w:t>
      </w:r>
      <w:r>
        <w:rPr>
          <w:spacing w:val="-1"/>
        </w:rPr>
        <w:t xml:space="preserve">CTD </w:t>
      </w:r>
      <w:r>
        <w:t>cast.</w:t>
      </w:r>
    </w:p>
    <w:p w14:paraId="18773A8F" w14:textId="1853D5AB" w:rsidR="0031675F" w:rsidRPr="0031675F" w:rsidRDefault="009843F9" w:rsidP="009843F9">
      <w:pPr>
        <w:widowControl w:val="0"/>
        <w:numPr>
          <w:ilvl w:val="0"/>
          <w:numId w:val="142"/>
        </w:numPr>
        <w:tabs>
          <w:tab w:val="left" w:pos="403"/>
        </w:tabs>
        <w:spacing w:before="60" w:after="0" w:line="240" w:lineRule="auto"/>
        <w:ind w:left="402" w:right="119"/>
      </w:pPr>
      <w:r>
        <w:rPr>
          <w:spacing w:val="-1"/>
        </w:rPr>
        <w:t>Temperature</w:t>
      </w:r>
      <w:r>
        <w:rPr>
          <w:spacing w:val="29"/>
        </w:rPr>
        <w:t xml:space="preserve"> </w:t>
      </w:r>
      <w:r>
        <w:rPr>
          <w:spacing w:val="-1"/>
        </w:rPr>
        <w:t>readings</w:t>
      </w:r>
      <w:r>
        <w:rPr>
          <w:spacing w:val="32"/>
        </w:rPr>
        <w:t xml:space="preserve"> </w:t>
      </w:r>
      <w:r>
        <w:rPr>
          <w:spacing w:val="-1"/>
        </w:rPr>
        <w:t>from</w:t>
      </w:r>
      <w:r>
        <w:rPr>
          <w:spacing w:val="32"/>
        </w:rPr>
        <w:t xml:space="preserve"> </w:t>
      </w:r>
      <w:r>
        <w:rPr>
          <w:spacing w:val="-2"/>
        </w:rPr>
        <w:t>CTD</w:t>
      </w:r>
      <w:r>
        <w:rPr>
          <w:spacing w:val="31"/>
        </w:rPr>
        <w:t xml:space="preserve"> </w:t>
      </w:r>
      <w:r>
        <w:rPr>
          <w:spacing w:val="-1"/>
        </w:rPr>
        <w:t>sensors</w:t>
      </w:r>
      <w:r>
        <w:rPr>
          <w:spacing w:val="31"/>
        </w:rPr>
        <w:t xml:space="preserve"> </w:t>
      </w:r>
      <w:r>
        <w:rPr>
          <w:spacing w:val="-1"/>
        </w:rPr>
        <w:t>are</w:t>
      </w:r>
      <w:r>
        <w:rPr>
          <w:spacing w:val="29"/>
        </w:rPr>
        <w:t xml:space="preserve"> </w:t>
      </w:r>
      <w:r>
        <w:rPr>
          <w:spacing w:val="-1"/>
        </w:rPr>
        <w:t>validated</w:t>
      </w:r>
      <w:r>
        <w:rPr>
          <w:spacing w:val="31"/>
        </w:rPr>
        <w:t xml:space="preserve"> </w:t>
      </w:r>
      <w:r>
        <w:rPr>
          <w:spacing w:val="-1"/>
        </w:rPr>
        <w:t>against</w:t>
      </w:r>
      <w:r>
        <w:rPr>
          <w:spacing w:val="31"/>
        </w:rPr>
        <w:t xml:space="preserve"> </w:t>
      </w:r>
      <w:r>
        <w:rPr>
          <w:spacing w:val="-1"/>
        </w:rPr>
        <w:t>temperature</w:t>
      </w:r>
      <w:r>
        <w:rPr>
          <w:spacing w:val="31"/>
        </w:rPr>
        <w:t xml:space="preserve"> </w:t>
      </w:r>
      <w:r>
        <w:rPr>
          <w:spacing w:val="-1"/>
        </w:rPr>
        <w:t>readings</w:t>
      </w:r>
      <w:r>
        <w:rPr>
          <w:spacing w:val="32"/>
        </w:rPr>
        <w:t xml:space="preserve"> </w:t>
      </w:r>
      <w:r>
        <w:rPr>
          <w:spacing w:val="-1"/>
        </w:rPr>
        <w:t>from</w:t>
      </w:r>
      <w:r>
        <w:rPr>
          <w:spacing w:val="31"/>
        </w:rPr>
        <w:t xml:space="preserve"> </w:t>
      </w:r>
      <w:r>
        <w:rPr>
          <w:spacing w:val="-1"/>
        </w:rPr>
        <w:t>high</w:t>
      </w:r>
      <w:r>
        <w:rPr>
          <w:spacing w:val="59"/>
        </w:rPr>
        <w:t xml:space="preserve"> </w:t>
      </w:r>
      <w:r>
        <w:rPr>
          <w:spacing w:val="-1"/>
        </w:rPr>
        <w:t>quality</w:t>
      </w:r>
      <w:r>
        <w:rPr>
          <w:spacing w:val="1"/>
        </w:rPr>
        <w:t xml:space="preserve"> </w:t>
      </w:r>
      <w:r>
        <w:rPr>
          <w:spacing w:val="-1"/>
        </w:rPr>
        <w:t>reversing</w:t>
      </w:r>
      <w:r>
        <w:rPr>
          <w:spacing w:val="-3"/>
        </w:rPr>
        <w:t xml:space="preserve"> </w:t>
      </w:r>
      <w:r>
        <w:rPr>
          <w:spacing w:val="-1"/>
        </w:rPr>
        <w:t>thermometers</w:t>
      </w:r>
      <w:r>
        <w:rPr>
          <w:spacing w:val="-3"/>
        </w:rPr>
        <w:t xml:space="preserve"> </w:t>
      </w:r>
      <w:r>
        <w:rPr>
          <w:spacing w:val="-1"/>
        </w:rPr>
        <w:t>attached to</w:t>
      </w:r>
      <w:r>
        <w:rPr>
          <w:spacing w:val="1"/>
        </w:rPr>
        <w:t xml:space="preserve"> </w:t>
      </w:r>
      <w:r>
        <w:rPr>
          <w:spacing w:val="-2"/>
        </w:rPr>
        <w:t>the</w:t>
      </w:r>
      <w:r>
        <w:t xml:space="preserve"> </w:t>
      </w:r>
      <w:r>
        <w:rPr>
          <w:spacing w:val="-1"/>
        </w:rPr>
        <w:t>surface</w:t>
      </w:r>
      <w:r>
        <w:rPr>
          <w:spacing w:val="1"/>
        </w:rPr>
        <w:t xml:space="preserve"> </w:t>
      </w:r>
      <w:r>
        <w:rPr>
          <w:spacing w:val="-1"/>
        </w:rPr>
        <w:t>and bottom</w:t>
      </w:r>
      <w:r>
        <w:rPr>
          <w:spacing w:val="-2"/>
        </w:rPr>
        <w:t xml:space="preserve"> </w:t>
      </w:r>
      <w:r>
        <w:rPr>
          <w:spacing w:val="-1"/>
        </w:rPr>
        <w:t>Niskin bottles.</w:t>
      </w:r>
    </w:p>
    <w:p w14:paraId="310E48C8" w14:textId="77777777" w:rsidR="0031675F" w:rsidRPr="0031675F" w:rsidRDefault="0031675F" w:rsidP="0031675F">
      <w:pPr>
        <w:rPr>
          <w:rFonts w:cs="Calibri"/>
          <w:sz w:val="20"/>
          <w:szCs w:val="20"/>
        </w:rPr>
      </w:pPr>
      <w:r w:rsidRPr="0031675F">
        <w:rPr>
          <w:rFonts w:cs="Calibri"/>
          <w:sz w:val="20"/>
          <w:szCs w:val="20"/>
        </w:rPr>
        <w:br w:type="page"/>
      </w:r>
    </w:p>
    <w:p w14:paraId="0C0AE96A" w14:textId="77777777" w:rsidR="0031675F" w:rsidRPr="0031675F" w:rsidRDefault="0031675F" w:rsidP="0031675F">
      <w:pPr>
        <w:rPr>
          <w:rFonts w:cs="Calibri"/>
          <w:sz w:val="20"/>
          <w:szCs w:val="20"/>
        </w:rPr>
      </w:pPr>
    </w:p>
    <w:p w14:paraId="19A9494C" w14:textId="3522120B" w:rsidR="0031675F" w:rsidRPr="0031675F" w:rsidRDefault="0031675F" w:rsidP="005A35E3">
      <w:pPr>
        <w:pStyle w:val="Heading2"/>
        <w:numPr>
          <w:ilvl w:val="0"/>
          <w:numId w:val="0"/>
        </w:numPr>
        <w:ind w:left="284"/>
      </w:pPr>
      <w:bookmarkStart w:id="580" w:name="_Toc423356988"/>
      <w:bookmarkStart w:id="581" w:name="_Toc523830546"/>
      <w:bookmarkStart w:id="582" w:name="_Toc523905132"/>
      <w:bookmarkStart w:id="583" w:name="_Toc523905374"/>
      <w:bookmarkStart w:id="584" w:name="_Toc534968685"/>
      <w:bookmarkStart w:id="585" w:name="_Toc12365629"/>
      <w:r w:rsidRPr="00FF3C2F">
        <w:t>Section A2: Salinity measurements using Guildline Portasal Salinometer Model 8410A</w:t>
      </w:r>
      <w:bookmarkEnd w:id="580"/>
      <w:bookmarkEnd w:id="581"/>
      <w:bookmarkEnd w:id="582"/>
      <w:bookmarkEnd w:id="583"/>
      <w:bookmarkEnd w:id="584"/>
      <w:bookmarkEnd w:id="585"/>
    </w:p>
    <w:p w14:paraId="0E6DAE85" w14:textId="77777777" w:rsidR="0031675F" w:rsidRPr="0031675F" w:rsidRDefault="0031675F" w:rsidP="0031675F">
      <w:pPr>
        <w:spacing w:before="3"/>
        <w:rPr>
          <w:rFonts w:cs="Calibri"/>
          <w:sz w:val="17"/>
          <w:szCs w:val="17"/>
        </w:rPr>
      </w:pPr>
    </w:p>
    <w:p w14:paraId="20CCE9DA" w14:textId="77777777" w:rsidR="0031675F" w:rsidRPr="0031675F" w:rsidRDefault="0031675F" w:rsidP="0031675F">
      <w:pPr>
        <w:widowControl w:val="0"/>
        <w:numPr>
          <w:ilvl w:val="1"/>
          <w:numId w:val="134"/>
        </w:numPr>
        <w:tabs>
          <w:tab w:val="left" w:pos="706"/>
        </w:tabs>
        <w:spacing w:before="69" w:after="0" w:line="240" w:lineRule="auto"/>
        <w:jc w:val="both"/>
        <w:rPr>
          <w:rFonts w:eastAsia="Arial" w:cs="Arial"/>
          <w:sz w:val="24"/>
          <w:szCs w:val="24"/>
        </w:rPr>
      </w:pPr>
      <w:bookmarkStart w:id="586" w:name="_TOC_250092"/>
      <w:r w:rsidRPr="0031675F">
        <w:rPr>
          <w:b/>
          <w:spacing w:val="-1"/>
          <w:sz w:val="24"/>
        </w:rPr>
        <w:t>Objective</w:t>
      </w:r>
      <w:bookmarkEnd w:id="586"/>
    </w:p>
    <w:p w14:paraId="7034193F" w14:textId="77777777" w:rsidR="0031675F" w:rsidRPr="0031675F" w:rsidRDefault="0031675F" w:rsidP="0031675F">
      <w:pPr>
        <w:spacing w:before="11"/>
        <w:rPr>
          <w:rFonts w:eastAsia="Arial" w:cs="Arial"/>
          <w:b/>
          <w:bCs/>
          <w:sz w:val="20"/>
          <w:szCs w:val="20"/>
        </w:rPr>
      </w:pPr>
    </w:p>
    <w:p w14:paraId="19B989EA" w14:textId="77777777" w:rsidR="0031675F" w:rsidRPr="0031675F" w:rsidRDefault="0031675F" w:rsidP="0031675F">
      <w:pPr>
        <w:spacing w:after="120"/>
        <w:ind w:left="138"/>
        <w:jc w:val="both"/>
      </w:pPr>
      <w:r w:rsidRPr="0031675F">
        <w:rPr>
          <w:spacing w:val="-1"/>
        </w:rPr>
        <w:t>To measure</w:t>
      </w:r>
      <w:r w:rsidRPr="0031675F">
        <w:t xml:space="preserve"> </w:t>
      </w:r>
      <w:r w:rsidRPr="0031675F">
        <w:rPr>
          <w:spacing w:val="-1"/>
        </w:rPr>
        <w:t>the</w:t>
      </w:r>
      <w:r w:rsidRPr="0031675F">
        <w:t xml:space="preserve"> </w:t>
      </w:r>
      <w:r w:rsidRPr="0031675F">
        <w:rPr>
          <w:spacing w:val="-1"/>
        </w:rPr>
        <w:t>salinity</w:t>
      </w:r>
      <w:r w:rsidRPr="0031675F">
        <w:rPr>
          <w:spacing w:val="-2"/>
        </w:rPr>
        <w:t xml:space="preserve"> </w:t>
      </w:r>
      <w:r w:rsidRPr="0031675F">
        <w:t xml:space="preserve">of </w:t>
      </w:r>
      <w:r w:rsidRPr="0031675F">
        <w:rPr>
          <w:spacing w:val="-1"/>
        </w:rPr>
        <w:t>seawater</w:t>
      </w:r>
      <w:r w:rsidRPr="0031675F">
        <w:t xml:space="preserve"> </w:t>
      </w:r>
      <w:r w:rsidRPr="0031675F">
        <w:rPr>
          <w:spacing w:val="-1"/>
        </w:rPr>
        <w:t>samples.</w:t>
      </w:r>
    </w:p>
    <w:p w14:paraId="7DEC8B94" w14:textId="77777777" w:rsidR="0031675F" w:rsidRPr="0031675F" w:rsidRDefault="0031675F" w:rsidP="0031675F">
      <w:pPr>
        <w:spacing w:before="11"/>
        <w:rPr>
          <w:rFonts w:cs="Calibri"/>
          <w:sz w:val="21"/>
          <w:szCs w:val="21"/>
        </w:rPr>
      </w:pPr>
    </w:p>
    <w:p w14:paraId="76B3A818" w14:textId="77777777" w:rsidR="0031675F" w:rsidRPr="0031675F" w:rsidRDefault="0031675F" w:rsidP="0031675F">
      <w:pPr>
        <w:widowControl w:val="0"/>
        <w:numPr>
          <w:ilvl w:val="1"/>
          <w:numId w:val="134"/>
        </w:numPr>
        <w:tabs>
          <w:tab w:val="left" w:pos="706"/>
        </w:tabs>
        <w:spacing w:before="0" w:after="0" w:line="240" w:lineRule="auto"/>
        <w:jc w:val="both"/>
        <w:rPr>
          <w:rFonts w:eastAsia="Arial" w:cs="Arial"/>
          <w:sz w:val="24"/>
          <w:szCs w:val="24"/>
        </w:rPr>
      </w:pPr>
      <w:bookmarkStart w:id="587" w:name="_TOC_250091"/>
      <w:r w:rsidRPr="0031675F">
        <w:rPr>
          <w:b/>
          <w:spacing w:val="-1"/>
          <w:sz w:val="24"/>
        </w:rPr>
        <w:t>Principle</w:t>
      </w:r>
      <w:r w:rsidRPr="0031675F">
        <w:rPr>
          <w:b/>
          <w:sz w:val="24"/>
        </w:rPr>
        <w:t xml:space="preserve"> of </w:t>
      </w:r>
      <w:r w:rsidRPr="0031675F">
        <w:rPr>
          <w:b/>
          <w:spacing w:val="-1"/>
          <w:sz w:val="24"/>
        </w:rPr>
        <w:t>analysis</w:t>
      </w:r>
      <w:bookmarkEnd w:id="587"/>
    </w:p>
    <w:p w14:paraId="6544A052" w14:textId="77777777" w:rsidR="0031675F" w:rsidRPr="0031675F" w:rsidRDefault="0031675F" w:rsidP="0031675F">
      <w:pPr>
        <w:spacing w:before="6"/>
        <w:rPr>
          <w:rFonts w:eastAsia="Arial" w:cs="Arial"/>
          <w:b/>
          <w:bCs/>
          <w:sz w:val="20"/>
          <w:szCs w:val="20"/>
        </w:rPr>
      </w:pPr>
    </w:p>
    <w:p w14:paraId="14C75085" w14:textId="2B824715" w:rsidR="0031675F" w:rsidRPr="0031675F" w:rsidRDefault="0031675F" w:rsidP="0031675F">
      <w:pPr>
        <w:spacing w:after="120" w:line="268" w:lineRule="exact"/>
        <w:ind w:left="138" w:right="131"/>
        <w:jc w:val="both"/>
      </w:pPr>
      <w:r w:rsidRPr="0031675F">
        <w:rPr>
          <w:spacing w:val="-1"/>
        </w:rPr>
        <w:t>This</w:t>
      </w:r>
      <w:r w:rsidRPr="0031675F">
        <w:rPr>
          <w:spacing w:val="3"/>
        </w:rPr>
        <w:t xml:space="preserve"> </w:t>
      </w:r>
      <w:r w:rsidRPr="0031675F">
        <w:rPr>
          <w:spacing w:val="-1"/>
        </w:rPr>
        <w:t>method</w:t>
      </w:r>
      <w:r w:rsidRPr="0031675F">
        <w:rPr>
          <w:spacing w:val="2"/>
        </w:rPr>
        <w:t xml:space="preserve"> </w:t>
      </w:r>
      <w:r w:rsidRPr="0031675F">
        <w:rPr>
          <w:spacing w:val="-1"/>
        </w:rPr>
        <w:t>outlines</w:t>
      </w:r>
      <w:r w:rsidRPr="0031675F">
        <w:rPr>
          <w:spacing w:val="4"/>
        </w:rPr>
        <w:t xml:space="preserve"> </w:t>
      </w:r>
      <w:r w:rsidRPr="0031675F">
        <w:t>the</w:t>
      </w:r>
      <w:r w:rsidRPr="0031675F">
        <w:rPr>
          <w:spacing w:val="1"/>
        </w:rPr>
        <w:t xml:space="preserve"> </w:t>
      </w:r>
      <w:r w:rsidRPr="0031675F">
        <w:rPr>
          <w:spacing w:val="-1"/>
        </w:rPr>
        <w:t>operational</w:t>
      </w:r>
      <w:r w:rsidRPr="0031675F">
        <w:rPr>
          <w:spacing w:val="3"/>
        </w:rPr>
        <w:t xml:space="preserve"> </w:t>
      </w:r>
      <w:r w:rsidRPr="0031675F">
        <w:rPr>
          <w:spacing w:val="-1"/>
        </w:rPr>
        <w:t>and</w:t>
      </w:r>
      <w:r w:rsidRPr="0031675F">
        <w:rPr>
          <w:spacing w:val="2"/>
        </w:rPr>
        <w:t xml:space="preserve"> </w:t>
      </w:r>
      <w:r w:rsidRPr="0031675F">
        <w:rPr>
          <w:spacing w:val="-1"/>
        </w:rPr>
        <w:t>calibration</w:t>
      </w:r>
      <w:r w:rsidRPr="0031675F">
        <w:rPr>
          <w:spacing w:val="6"/>
        </w:rPr>
        <w:t xml:space="preserve"> </w:t>
      </w:r>
      <w:r w:rsidRPr="0031675F">
        <w:rPr>
          <w:spacing w:val="-1"/>
        </w:rPr>
        <w:t>procedures</w:t>
      </w:r>
      <w:r w:rsidRPr="0031675F">
        <w:rPr>
          <w:spacing w:val="4"/>
        </w:rPr>
        <w:t xml:space="preserve"> </w:t>
      </w:r>
      <w:r w:rsidRPr="0031675F">
        <w:rPr>
          <w:spacing w:val="-1"/>
        </w:rPr>
        <w:t>for</w:t>
      </w:r>
      <w:r w:rsidRPr="0031675F">
        <w:rPr>
          <w:spacing w:val="49"/>
        </w:rPr>
        <w:t xml:space="preserve"> </w:t>
      </w:r>
      <w:r w:rsidRPr="0031675F">
        <w:rPr>
          <w:spacing w:val="-1"/>
        </w:rPr>
        <w:t>measuring</w:t>
      </w:r>
      <w:r w:rsidRPr="0031675F">
        <w:rPr>
          <w:spacing w:val="2"/>
        </w:rPr>
        <w:t xml:space="preserve"> </w:t>
      </w:r>
      <w:r w:rsidRPr="0031675F">
        <w:rPr>
          <w:spacing w:val="-1"/>
        </w:rPr>
        <w:t>salinity</w:t>
      </w:r>
      <w:r w:rsidRPr="0031675F">
        <w:rPr>
          <w:spacing w:val="4"/>
        </w:rPr>
        <w:t xml:space="preserve"> </w:t>
      </w:r>
      <w:r w:rsidRPr="0031675F">
        <w:rPr>
          <w:spacing w:val="-1"/>
        </w:rPr>
        <w:t>using</w:t>
      </w:r>
      <w:r w:rsidRPr="0031675F">
        <w:rPr>
          <w:spacing w:val="2"/>
        </w:rPr>
        <w:t xml:space="preserve"> </w:t>
      </w:r>
      <w:r w:rsidRPr="0031675F">
        <w:t>a</w:t>
      </w:r>
      <w:r w:rsidRPr="0031675F">
        <w:rPr>
          <w:spacing w:val="81"/>
        </w:rPr>
        <w:t xml:space="preserve"> </w:t>
      </w:r>
      <w:r w:rsidRPr="0031675F">
        <w:rPr>
          <w:rFonts w:cs="Calibri"/>
          <w:spacing w:val="-1"/>
        </w:rPr>
        <w:t>Guildline</w:t>
      </w:r>
      <w:r w:rsidRPr="0031675F">
        <w:rPr>
          <w:rFonts w:cs="Calibri"/>
          <w:spacing w:val="7"/>
        </w:rPr>
        <w:t xml:space="preserve"> </w:t>
      </w:r>
      <w:r w:rsidRPr="0031675F">
        <w:rPr>
          <w:rFonts w:cs="Calibri"/>
          <w:spacing w:val="-1"/>
        </w:rPr>
        <w:t>Portasal</w:t>
      </w:r>
      <w:r w:rsidRPr="0031675F">
        <w:rPr>
          <w:rFonts w:cs="Calibri"/>
          <w:spacing w:val="7"/>
        </w:rPr>
        <w:t xml:space="preserve"> </w:t>
      </w:r>
      <w:r w:rsidRPr="0031675F">
        <w:rPr>
          <w:rFonts w:cs="Calibri"/>
          <w:spacing w:val="-1"/>
        </w:rPr>
        <w:t>Salinometer</w:t>
      </w:r>
      <w:r w:rsidRPr="0031675F">
        <w:rPr>
          <w:rFonts w:cs="Calibri"/>
          <w:spacing w:val="5"/>
        </w:rPr>
        <w:t xml:space="preserve"> </w:t>
      </w:r>
      <w:r w:rsidRPr="0031675F">
        <w:rPr>
          <w:rFonts w:cs="Calibri"/>
          <w:spacing w:val="-1"/>
        </w:rPr>
        <w:t>model</w:t>
      </w:r>
      <w:r w:rsidRPr="0031675F">
        <w:rPr>
          <w:rFonts w:cs="Calibri"/>
          <w:spacing w:val="5"/>
        </w:rPr>
        <w:t xml:space="preserve"> </w:t>
      </w:r>
      <w:r w:rsidRPr="0031675F">
        <w:rPr>
          <w:rFonts w:cs="Calibri"/>
          <w:spacing w:val="-1"/>
        </w:rPr>
        <w:t>8410A.</w:t>
      </w:r>
      <w:r w:rsidRPr="0031675F">
        <w:rPr>
          <w:rFonts w:cs="Calibri"/>
          <w:spacing w:val="19"/>
        </w:rPr>
        <w:t xml:space="preserve"> </w:t>
      </w:r>
      <w:r w:rsidRPr="0031675F">
        <w:rPr>
          <w:rFonts w:cs="Calibri"/>
        </w:rPr>
        <w:t>It</w:t>
      </w:r>
      <w:r w:rsidRPr="0031675F">
        <w:rPr>
          <w:rFonts w:cs="Calibri"/>
          <w:spacing w:val="5"/>
        </w:rPr>
        <w:t xml:space="preserve"> </w:t>
      </w:r>
      <w:r w:rsidRPr="0031675F">
        <w:rPr>
          <w:rFonts w:cs="Calibri"/>
          <w:spacing w:val="-1"/>
        </w:rPr>
        <w:t>contains</w:t>
      </w:r>
      <w:r w:rsidRPr="0031675F">
        <w:rPr>
          <w:rFonts w:cs="Calibri"/>
          <w:spacing w:val="7"/>
        </w:rPr>
        <w:t xml:space="preserve"> </w:t>
      </w:r>
      <w:r w:rsidRPr="0031675F">
        <w:rPr>
          <w:rFonts w:cs="Calibri"/>
          <w:spacing w:val="-1"/>
        </w:rPr>
        <w:t>large</w:t>
      </w:r>
      <w:r w:rsidRPr="0031675F">
        <w:rPr>
          <w:rFonts w:cs="Calibri"/>
          <w:spacing w:val="8"/>
        </w:rPr>
        <w:t xml:space="preserve"> </w:t>
      </w:r>
      <w:r w:rsidRPr="0031675F">
        <w:rPr>
          <w:rFonts w:cs="Calibri"/>
          <w:spacing w:val="-1"/>
        </w:rPr>
        <w:t>excerpts</w:t>
      </w:r>
      <w:r w:rsidRPr="0031675F">
        <w:rPr>
          <w:rFonts w:cs="Calibri"/>
          <w:spacing w:val="7"/>
        </w:rPr>
        <w:t xml:space="preserve"> </w:t>
      </w:r>
      <w:r w:rsidRPr="0031675F">
        <w:rPr>
          <w:rFonts w:cs="Calibri"/>
          <w:spacing w:val="-1"/>
        </w:rPr>
        <w:t>from</w:t>
      </w:r>
      <w:r w:rsidRPr="0031675F">
        <w:rPr>
          <w:rFonts w:cs="Calibri"/>
          <w:spacing w:val="6"/>
        </w:rPr>
        <w:t xml:space="preserve"> </w:t>
      </w:r>
      <w:r w:rsidRPr="0031675F">
        <w:rPr>
          <w:rFonts w:cs="Calibri"/>
          <w:spacing w:val="-1"/>
        </w:rPr>
        <w:t>the</w:t>
      </w:r>
      <w:r w:rsidRPr="0031675F">
        <w:rPr>
          <w:rFonts w:cs="Calibri"/>
          <w:spacing w:val="8"/>
        </w:rPr>
        <w:t xml:space="preserve"> </w:t>
      </w:r>
      <w:r w:rsidRPr="0031675F">
        <w:rPr>
          <w:rFonts w:cs="Calibri"/>
          <w:spacing w:val="-1"/>
        </w:rPr>
        <w:t>machine’s</w:t>
      </w:r>
      <w:r w:rsidRPr="0031675F">
        <w:rPr>
          <w:rFonts w:cs="Calibri"/>
          <w:spacing w:val="5"/>
        </w:rPr>
        <w:t xml:space="preserve"> </w:t>
      </w:r>
      <w:r w:rsidRPr="0031675F">
        <w:rPr>
          <w:rFonts w:cs="Calibri"/>
        </w:rPr>
        <w:t>manual</w:t>
      </w:r>
      <w:r w:rsidRPr="0031675F">
        <w:rPr>
          <w:spacing w:val="75"/>
          <w:w w:val="99"/>
          <w:position w:val="10"/>
          <w:sz w:val="14"/>
          <w:szCs w:val="14"/>
        </w:rPr>
        <w:t xml:space="preserve"> </w:t>
      </w:r>
      <w:r w:rsidRPr="0031675F">
        <w:rPr>
          <w:spacing w:val="-1"/>
        </w:rPr>
        <w:t>(TM8410A-F-00)</w:t>
      </w:r>
      <w:r w:rsidRPr="0031675F">
        <w:rPr>
          <w:spacing w:val="-3"/>
        </w:rPr>
        <w:t xml:space="preserve"> </w:t>
      </w:r>
      <w:r w:rsidRPr="0031675F">
        <w:rPr>
          <w:spacing w:val="-1"/>
        </w:rPr>
        <w:t>where</w:t>
      </w:r>
      <w:r w:rsidRPr="0031675F">
        <w:rPr>
          <w:spacing w:val="-2"/>
        </w:rPr>
        <w:t xml:space="preserve"> </w:t>
      </w:r>
      <w:r w:rsidRPr="0031675F">
        <w:rPr>
          <w:spacing w:val="-1"/>
        </w:rPr>
        <w:t>more</w:t>
      </w:r>
      <w:r w:rsidRPr="0031675F">
        <w:t xml:space="preserve"> </w:t>
      </w:r>
      <w:r w:rsidRPr="0031675F">
        <w:rPr>
          <w:spacing w:val="-1"/>
        </w:rPr>
        <w:t>detailed</w:t>
      </w:r>
      <w:r w:rsidRPr="0031675F">
        <w:t xml:space="preserve"> </w:t>
      </w:r>
      <w:r w:rsidRPr="0031675F">
        <w:rPr>
          <w:spacing w:val="-1"/>
        </w:rPr>
        <w:t>operational</w:t>
      </w:r>
      <w:r w:rsidRPr="0031675F">
        <w:t xml:space="preserve"> </w:t>
      </w:r>
      <w:r w:rsidRPr="0031675F">
        <w:rPr>
          <w:spacing w:val="-1"/>
        </w:rPr>
        <w:t>instructions</w:t>
      </w:r>
      <w:r w:rsidRPr="0031675F">
        <w:rPr>
          <w:spacing w:val="-2"/>
        </w:rPr>
        <w:t xml:space="preserve"> </w:t>
      </w:r>
      <w:r w:rsidRPr="0031675F">
        <w:t>can</w:t>
      </w:r>
      <w:r w:rsidRPr="0031675F">
        <w:rPr>
          <w:spacing w:val="-1"/>
        </w:rPr>
        <w:t xml:space="preserve"> be</w:t>
      </w:r>
      <w:r w:rsidRPr="0031675F">
        <w:t xml:space="preserve"> </w:t>
      </w:r>
      <w:r w:rsidRPr="0031675F">
        <w:rPr>
          <w:spacing w:val="-1"/>
        </w:rPr>
        <w:t xml:space="preserve">found </w:t>
      </w:r>
      <w:r w:rsidRPr="0031675F">
        <w:t xml:space="preserve">if </w:t>
      </w:r>
      <w:r w:rsidRPr="0031675F">
        <w:rPr>
          <w:spacing w:val="-1"/>
        </w:rPr>
        <w:t>needed.</w:t>
      </w:r>
    </w:p>
    <w:p w14:paraId="74A4A87A" w14:textId="77777777" w:rsidR="0031675F" w:rsidRPr="0031675F" w:rsidRDefault="0031675F" w:rsidP="0031675F">
      <w:pPr>
        <w:spacing w:after="120"/>
        <w:ind w:left="138" w:right="130"/>
        <w:jc w:val="both"/>
      </w:pPr>
      <w:r w:rsidRPr="0031675F">
        <w:rPr>
          <w:spacing w:val="-1"/>
        </w:rPr>
        <w:t>Laboratory</w:t>
      </w:r>
      <w:r w:rsidRPr="0031675F">
        <w:rPr>
          <w:spacing w:val="48"/>
        </w:rPr>
        <w:t xml:space="preserve"> </w:t>
      </w:r>
      <w:r w:rsidRPr="0031675F">
        <w:rPr>
          <w:spacing w:val="-1"/>
        </w:rPr>
        <w:t>measurements</w:t>
      </w:r>
      <w:r w:rsidRPr="0031675F">
        <w:rPr>
          <w:spacing w:val="48"/>
        </w:rPr>
        <w:t xml:space="preserve"> </w:t>
      </w:r>
      <w:r w:rsidRPr="0031675F">
        <w:t>of</w:t>
      </w:r>
      <w:r w:rsidRPr="0031675F">
        <w:rPr>
          <w:spacing w:val="48"/>
        </w:rPr>
        <w:t xml:space="preserve"> </w:t>
      </w:r>
      <w:r w:rsidRPr="0031675F">
        <w:rPr>
          <w:spacing w:val="-1"/>
        </w:rPr>
        <w:t>salinity</w:t>
      </w:r>
      <w:r w:rsidRPr="0031675F">
        <w:rPr>
          <w:spacing w:val="48"/>
        </w:rPr>
        <w:t xml:space="preserve"> </w:t>
      </w:r>
      <w:r w:rsidRPr="0031675F">
        <w:t>with</w:t>
      </w:r>
      <w:r w:rsidRPr="0031675F">
        <w:rPr>
          <w:spacing w:val="48"/>
        </w:rPr>
        <w:t xml:space="preserve"> </w:t>
      </w:r>
      <w:r w:rsidRPr="0031675F">
        <w:t>a</w:t>
      </w:r>
      <w:r w:rsidRPr="0031675F">
        <w:rPr>
          <w:spacing w:val="1"/>
        </w:rPr>
        <w:t xml:space="preserve"> </w:t>
      </w:r>
      <w:r w:rsidRPr="0031675F">
        <w:rPr>
          <w:spacing w:val="-1"/>
        </w:rPr>
        <w:t>Portasal</w:t>
      </w:r>
      <w:r w:rsidRPr="0031675F">
        <w:t xml:space="preserve">  </w:t>
      </w:r>
      <w:r w:rsidRPr="0031675F">
        <w:rPr>
          <w:spacing w:val="-1"/>
        </w:rPr>
        <w:t>Salinometer</w:t>
      </w:r>
      <w:r w:rsidRPr="0031675F">
        <w:rPr>
          <w:spacing w:val="1"/>
        </w:rPr>
        <w:t xml:space="preserve"> </w:t>
      </w:r>
      <w:r w:rsidRPr="0031675F">
        <w:rPr>
          <w:spacing w:val="-1"/>
        </w:rPr>
        <w:t>are</w:t>
      </w:r>
      <w:r w:rsidRPr="0031675F">
        <w:rPr>
          <w:spacing w:val="1"/>
        </w:rPr>
        <w:t xml:space="preserve"> </w:t>
      </w:r>
      <w:r w:rsidRPr="0031675F">
        <w:rPr>
          <w:spacing w:val="-1"/>
        </w:rPr>
        <w:t>based</w:t>
      </w:r>
      <w:r w:rsidRPr="0031675F">
        <w:rPr>
          <w:spacing w:val="48"/>
        </w:rPr>
        <w:t xml:space="preserve"> </w:t>
      </w:r>
      <w:r w:rsidRPr="0031675F">
        <w:t>on  a</w:t>
      </w:r>
      <w:r w:rsidRPr="0031675F">
        <w:rPr>
          <w:spacing w:val="48"/>
        </w:rPr>
        <w:t xml:space="preserve"> </w:t>
      </w:r>
      <w:r w:rsidRPr="0031675F">
        <w:rPr>
          <w:spacing w:val="-1"/>
        </w:rPr>
        <w:t>high-precision</w:t>
      </w:r>
      <w:r w:rsidRPr="0031675F">
        <w:rPr>
          <w:spacing w:val="79"/>
        </w:rPr>
        <w:t xml:space="preserve"> </w:t>
      </w:r>
      <w:r w:rsidRPr="0031675F">
        <w:rPr>
          <w:spacing w:val="-1"/>
        </w:rPr>
        <w:t>comparison</w:t>
      </w:r>
      <w:r w:rsidRPr="0031675F">
        <w:rPr>
          <w:spacing w:val="5"/>
        </w:rPr>
        <w:t xml:space="preserve"> </w:t>
      </w:r>
      <w:r w:rsidRPr="0031675F">
        <w:t>of</w:t>
      </w:r>
      <w:r w:rsidRPr="0031675F">
        <w:rPr>
          <w:spacing w:val="8"/>
        </w:rPr>
        <w:t xml:space="preserve"> </w:t>
      </w:r>
      <w:r w:rsidRPr="0031675F">
        <w:t>the</w:t>
      </w:r>
      <w:r w:rsidRPr="0031675F">
        <w:rPr>
          <w:spacing w:val="8"/>
        </w:rPr>
        <w:t xml:space="preserve"> </w:t>
      </w:r>
      <w:r w:rsidRPr="0031675F">
        <w:rPr>
          <w:spacing w:val="-1"/>
        </w:rPr>
        <w:t>conductivity</w:t>
      </w:r>
      <w:r w:rsidRPr="0031675F">
        <w:rPr>
          <w:spacing w:val="9"/>
        </w:rPr>
        <w:t xml:space="preserve"> </w:t>
      </w:r>
      <w:r w:rsidRPr="0031675F">
        <w:t>of</w:t>
      </w:r>
      <w:r w:rsidRPr="0031675F">
        <w:rPr>
          <w:spacing w:val="8"/>
        </w:rPr>
        <w:t xml:space="preserve"> </w:t>
      </w:r>
      <w:r w:rsidRPr="0031675F">
        <w:t>an</w:t>
      </w:r>
      <w:r w:rsidRPr="0031675F">
        <w:rPr>
          <w:spacing w:val="7"/>
        </w:rPr>
        <w:t xml:space="preserve"> </w:t>
      </w:r>
      <w:r w:rsidRPr="0031675F">
        <w:rPr>
          <w:spacing w:val="-1"/>
        </w:rPr>
        <w:t>unknown</w:t>
      </w:r>
      <w:r w:rsidRPr="0031675F">
        <w:rPr>
          <w:spacing w:val="7"/>
        </w:rPr>
        <w:t xml:space="preserve"> </w:t>
      </w:r>
      <w:r w:rsidRPr="0031675F">
        <w:rPr>
          <w:spacing w:val="-1"/>
        </w:rPr>
        <w:t>water</w:t>
      </w:r>
      <w:r w:rsidRPr="0031675F">
        <w:rPr>
          <w:spacing w:val="8"/>
        </w:rPr>
        <w:t xml:space="preserve"> </w:t>
      </w:r>
      <w:r w:rsidRPr="0031675F">
        <w:rPr>
          <w:spacing w:val="-1"/>
        </w:rPr>
        <w:t>sample</w:t>
      </w:r>
      <w:r w:rsidRPr="0031675F">
        <w:rPr>
          <w:spacing w:val="8"/>
        </w:rPr>
        <w:t xml:space="preserve"> </w:t>
      </w:r>
      <w:r w:rsidRPr="0031675F">
        <w:t>with</w:t>
      </w:r>
      <w:r w:rsidRPr="0031675F">
        <w:rPr>
          <w:spacing w:val="7"/>
        </w:rPr>
        <w:t xml:space="preserve"> </w:t>
      </w:r>
      <w:r w:rsidRPr="0031675F">
        <w:t>the</w:t>
      </w:r>
      <w:r w:rsidRPr="0031675F">
        <w:rPr>
          <w:spacing w:val="8"/>
        </w:rPr>
        <w:t xml:space="preserve"> </w:t>
      </w:r>
      <w:r w:rsidRPr="0031675F">
        <w:rPr>
          <w:spacing w:val="-1"/>
        </w:rPr>
        <w:t>conductivity</w:t>
      </w:r>
      <w:r w:rsidRPr="0031675F">
        <w:rPr>
          <w:spacing w:val="6"/>
        </w:rPr>
        <w:t xml:space="preserve"> </w:t>
      </w:r>
      <w:r w:rsidRPr="0031675F">
        <w:t>of</w:t>
      </w:r>
      <w:r w:rsidRPr="0031675F">
        <w:rPr>
          <w:spacing w:val="8"/>
        </w:rPr>
        <w:t xml:space="preserve"> </w:t>
      </w:r>
      <w:r w:rsidRPr="0031675F">
        <w:t>a</w:t>
      </w:r>
      <w:r w:rsidRPr="0031675F">
        <w:rPr>
          <w:spacing w:val="8"/>
        </w:rPr>
        <w:t xml:space="preserve"> </w:t>
      </w:r>
      <w:r w:rsidRPr="0031675F">
        <w:rPr>
          <w:spacing w:val="1"/>
        </w:rPr>
        <w:t>well-</w:t>
      </w:r>
      <w:r w:rsidRPr="0031675F">
        <w:rPr>
          <w:spacing w:val="57"/>
        </w:rPr>
        <w:t xml:space="preserve"> </w:t>
      </w:r>
      <w:r w:rsidRPr="0031675F">
        <w:rPr>
          <w:spacing w:val="-1"/>
        </w:rPr>
        <w:t>characterised</w:t>
      </w:r>
      <w:r w:rsidRPr="0031675F">
        <w:t xml:space="preserve"> </w:t>
      </w:r>
      <w:r w:rsidRPr="0031675F">
        <w:rPr>
          <w:spacing w:val="-1"/>
        </w:rPr>
        <w:t>sample</w:t>
      </w:r>
      <w:r w:rsidRPr="0031675F">
        <w:rPr>
          <w:spacing w:val="-2"/>
        </w:rPr>
        <w:t xml:space="preserve"> </w:t>
      </w:r>
      <w:r w:rsidRPr="0031675F">
        <w:t xml:space="preserve">of </w:t>
      </w:r>
      <w:r w:rsidRPr="0031675F">
        <w:rPr>
          <w:spacing w:val="-1"/>
        </w:rPr>
        <w:t>sample</w:t>
      </w:r>
      <w:r w:rsidRPr="0031675F">
        <w:rPr>
          <w:spacing w:val="-2"/>
        </w:rPr>
        <w:t xml:space="preserve"> </w:t>
      </w:r>
      <w:r w:rsidRPr="0031675F">
        <w:t xml:space="preserve">of </w:t>
      </w:r>
      <w:r w:rsidRPr="0031675F">
        <w:rPr>
          <w:spacing w:val="-1"/>
        </w:rPr>
        <w:t>IAPSO</w:t>
      </w:r>
      <w:r w:rsidRPr="0031675F">
        <w:t xml:space="preserve"> </w:t>
      </w:r>
      <w:r w:rsidRPr="0031675F">
        <w:rPr>
          <w:spacing w:val="-1"/>
        </w:rPr>
        <w:t>(International</w:t>
      </w:r>
      <w:r w:rsidRPr="0031675F">
        <w:t xml:space="preserve"> </w:t>
      </w:r>
      <w:r w:rsidRPr="0031675F">
        <w:rPr>
          <w:spacing w:val="-1"/>
        </w:rPr>
        <w:t>Association</w:t>
      </w:r>
      <w:r w:rsidRPr="0031675F">
        <w:rPr>
          <w:spacing w:val="-3"/>
        </w:rPr>
        <w:t xml:space="preserve"> </w:t>
      </w:r>
      <w:r w:rsidRPr="0031675F">
        <w:t>of</w:t>
      </w:r>
      <w:r w:rsidRPr="0031675F">
        <w:rPr>
          <w:spacing w:val="-2"/>
        </w:rPr>
        <w:t xml:space="preserve"> </w:t>
      </w:r>
      <w:r w:rsidRPr="0031675F">
        <w:rPr>
          <w:spacing w:val="-1"/>
        </w:rPr>
        <w:t>Physical</w:t>
      </w:r>
      <w:r w:rsidRPr="0031675F">
        <w:t xml:space="preserve"> </w:t>
      </w:r>
      <w:r w:rsidRPr="0031675F">
        <w:rPr>
          <w:spacing w:val="-1"/>
        </w:rPr>
        <w:t>Science</w:t>
      </w:r>
      <w:r w:rsidRPr="0031675F">
        <w:rPr>
          <w:spacing w:val="-2"/>
        </w:rPr>
        <w:t xml:space="preserve"> </w:t>
      </w:r>
      <w:r w:rsidRPr="0031675F">
        <w:rPr>
          <w:spacing w:val="-1"/>
        </w:rPr>
        <w:t>Organisations)</w:t>
      </w:r>
      <w:r w:rsidRPr="0031675F">
        <w:rPr>
          <w:spacing w:val="81"/>
        </w:rPr>
        <w:t xml:space="preserve"> </w:t>
      </w:r>
      <w:r w:rsidRPr="0031675F">
        <w:rPr>
          <w:rFonts w:cs="Calibri"/>
          <w:spacing w:val="-1"/>
        </w:rPr>
        <w:t>Standard</w:t>
      </w:r>
      <w:r w:rsidRPr="0031675F">
        <w:rPr>
          <w:rFonts w:cs="Calibri"/>
          <w:spacing w:val="34"/>
        </w:rPr>
        <w:t xml:space="preserve"> </w:t>
      </w:r>
      <w:r w:rsidRPr="0031675F">
        <w:rPr>
          <w:rFonts w:cs="Calibri"/>
        </w:rPr>
        <w:t>Seawater</w:t>
      </w:r>
      <w:r w:rsidRPr="0031675F">
        <w:rPr>
          <w:rFonts w:cs="Calibri"/>
          <w:spacing w:val="36"/>
        </w:rPr>
        <w:t xml:space="preserve"> </w:t>
      </w:r>
      <w:r w:rsidRPr="0031675F">
        <w:rPr>
          <w:rFonts w:cs="Calibri"/>
          <w:spacing w:val="-1"/>
        </w:rPr>
        <w:t>(SSW).</w:t>
      </w:r>
      <w:r w:rsidRPr="0031675F">
        <w:rPr>
          <w:rFonts w:cs="Calibri"/>
          <w:spacing w:val="34"/>
        </w:rPr>
        <w:t xml:space="preserve"> </w:t>
      </w:r>
      <w:r w:rsidRPr="0031675F">
        <w:rPr>
          <w:rFonts w:cs="Calibri"/>
        </w:rPr>
        <w:t>“The</w:t>
      </w:r>
      <w:r w:rsidRPr="0031675F">
        <w:rPr>
          <w:rFonts w:cs="Calibri"/>
          <w:spacing w:val="35"/>
        </w:rPr>
        <w:t xml:space="preserve"> </w:t>
      </w:r>
      <w:r w:rsidRPr="0031675F">
        <w:rPr>
          <w:rFonts w:cs="Calibri"/>
          <w:spacing w:val="-1"/>
        </w:rPr>
        <w:t>conductivity</w:t>
      </w:r>
      <w:r w:rsidRPr="0031675F">
        <w:rPr>
          <w:rFonts w:cs="Calibri"/>
          <w:spacing w:val="37"/>
        </w:rPr>
        <w:t xml:space="preserve"> </w:t>
      </w:r>
      <w:r w:rsidRPr="0031675F">
        <w:rPr>
          <w:rFonts w:cs="Calibri"/>
        </w:rPr>
        <w:t>of</w:t>
      </w:r>
      <w:r w:rsidRPr="0031675F">
        <w:rPr>
          <w:rFonts w:cs="Calibri"/>
          <w:spacing w:val="36"/>
        </w:rPr>
        <w:t xml:space="preserve"> </w:t>
      </w:r>
      <w:r w:rsidRPr="0031675F">
        <w:rPr>
          <w:rFonts w:cs="Calibri"/>
          <w:spacing w:val="-1"/>
        </w:rPr>
        <w:t>seawater</w:t>
      </w:r>
      <w:r w:rsidRPr="0031675F">
        <w:rPr>
          <w:rFonts w:cs="Calibri"/>
          <w:spacing w:val="36"/>
        </w:rPr>
        <w:t xml:space="preserve"> </w:t>
      </w:r>
      <w:r w:rsidRPr="0031675F">
        <w:rPr>
          <w:rFonts w:cs="Calibri"/>
        </w:rPr>
        <w:t>is</w:t>
      </w:r>
      <w:r w:rsidRPr="0031675F">
        <w:rPr>
          <w:rFonts w:cs="Calibri"/>
          <w:spacing w:val="35"/>
        </w:rPr>
        <w:t xml:space="preserve"> </w:t>
      </w:r>
      <w:r w:rsidRPr="0031675F">
        <w:rPr>
          <w:rFonts w:cs="Calibri"/>
          <w:spacing w:val="-1"/>
        </w:rPr>
        <w:t>proportional</w:t>
      </w:r>
      <w:r w:rsidRPr="0031675F">
        <w:rPr>
          <w:rFonts w:cs="Calibri"/>
          <w:spacing w:val="36"/>
        </w:rPr>
        <w:t xml:space="preserve"> </w:t>
      </w:r>
      <w:r w:rsidRPr="0031675F">
        <w:rPr>
          <w:rFonts w:cs="Calibri"/>
        </w:rPr>
        <w:t>to</w:t>
      </w:r>
      <w:r w:rsidRPr="0031675F">
        <w:rPr>
          <w:rFonts w:cs="Calibri"/>
          <w:spacing w:val="38"/>
        </w:rPr>
        <w:t xml:space="preserve"> </w:t>
      </w:r>
      <w:r w:rsidRPr="0031675F">
        <w:rPr>
          <w:rFonts w:cs="Calibri"/>
          <w:spacing w:val="-1"/>
        </w:rPr>
        <w:t>the</w:t>
      </w:r>
      <w:r w:rsidRPr="0031675F">
        <w:rPr>
          <w:rFonts w:cs="Calibri"/>
          <w:spacing w:val="36"/>
        </w:rPr>
        <w:t xml:space="preserve"> </w:t>
      </w:r>
      <w:r w:rsidRPr="0031675F">
        <w:rPr>
          <w:rFonts w:cs="Calibri"/>
          <w:spacing w:val="-1"/>
        </w:rPr>
        <w:t>salinity.</w:t>
      </w:r>
      <w:r w:rsidRPr="0031675F">
        <w:rPr>
          <w:rFonts w:cs="Calibri"/>
          <w:spacing w:val="36"/>
        </w:rPr>
        <w:t xml:space="preserve"> </w:t>
      </w:r>
      <w:r w:rsidRPr="0031675F">
        <w:rPr>
          <w:rFonts w:cs="Calibri"/>
        </w:rPr>
        <w:t>With</w:t>
      </w:r>
      <w:r w:rsidRPr="0031675F">
        <w:rPr>
          <w:rFonts w:cs="Calibri"/>
          <w:spacing w:val="36"/>
        </w:rPr>
        <w:t xml:space="preserve"> </w:t>
      </w:r>
      <w:r w:rsidRPr="0031675F">
        <w:rPr>
          <w:rFonts w:cs="Calibri"/>
        </w:rPr>
        <w:t>the</w:t>
      </w:r>
      <w:r w:rsidRPr="0031675F">
        <w:rPr>
          <w:rFonts w:cs="Calibri"/>
          <w:spacing w:val="69"/>
        </w:rPr>
        <w:t xml:space="preserve"> </w:t>
      </w:r>
      <w:r w:rsidRPr="0031675F">
        <w:rPr>
          <w:spacing w:val="-1"/>
        </w:rPr>
        <w:t>appropriate</w:t>
      </w:r>
      <w:r w:rsidRPr="0031675F">
        <w:rPr>
          <w:spacing w:val="3"/>
        </w:rPr>
        <w:t xml:space="preserve"> </w:t>
      </w:r>
      <w:r w:rsidRPr="0031675F">
        <w:rPr>
          <w:spacing w:val="-1"/>
        </w:rPr>
        <w:t>corrections</w:t>
      </w:r>
      <w:r w:rsidRPr="0031675F">
        <w:rPr>
          <w:spacing w:val="2"/>
        </w:rPr>
        <w:t xml:space="preserve"> </w:t>
      </w:r>
      <w:r w:rsidRPr="0031675F">
        <w:rPr>
          <w:spacing w:val="-1"/>
        </w:rPr>
        <w:t>for</w:t>
      </w:r>
      <w:r w:rsidRPr="0031675F">
        <w:t xml:space="preserve"> </w:t>
      </w:r>
      <w:r w:rsidRPr="0031675F">
        <w:rPr>
          <w:spacing w:val="-1"/>
        </w:rPr>
        <w:t>temperature</w:t>
      </w:r>
      <w:r w:rsidRPr="0031675F">
        <w:t xml:space="preserve"> </w:t>
      </w:r>
      <w:r w:rsidRPr="0031675F">
        <w:rPr>
          <w:spacing w:val="-1"/>
        </w:rPr>
        <w:t>and</w:t>
      </w:r>
      <w:r w:rsidRPr="0031675F">
        <w:rPr>
          <w:spacing w:val="2"/>
        </w:rPr>
        <w:t xml:space="preserve"> </w:t>
      </w:r>
      <w:r w:rsidRPr="0031675F">
        <w:rPr>
          <w:spacing w:val="-1"/>
        </w:rPr>
        <w:t>pressure,</w:t>
      </w:r>
      <w:r w:rsidRPr="0031675F">
        <w:rPr>
          <w:spacing w:val="2"/>
        </w:rPr>
        <w:t xml:space="preserve"> </w:t>
      </w:r>
      <w:r w:rsidRPr="0031675F">
        <w:t xml:space="preserve">the </w:t>
      </w:r>
      <w:r w:rsidRPr="0031675F">
        <w:rPr>
          <w:spacing w:val="-1"/>
        </w:rPr>
        <w:t xml:space="preserve">measurement </w:t>
      </w:r>
      <w:r w:rsidRPr="0031675F">
        <w:t>of</w:t>
      </w:r>
      <w:r w:rsidRPr="0031675F">
        <w:rPr>
          <w:spacing w:val="2"/>
        </w:rPr>
        <w:t xml:space="preserve"> </w:t>
      </w:r>
      <w:r w:rsidRPr="0031675F">
        <w:rPr>
          <w:spacing w:val="-1"/>
        </w:rPr>
        <w:t>conductivity</w:t>
      </w:r>
      <w:r w:rsidRPr="0031675F">
        <w:rPr>
          <w:spacing w:val="3"/>
        </w:rPr>
        <w:t xml:space="preserve"> </w:t>
      </w:r>
      <w:r w:rsidRPr="0031675F">
        <w:rPr>
          <w:spacing w:val="-1"/>
        </w:rPr>
        <w:t>has</w:t>
      </w:r>
      <w:r w:rsidRPr="0031675F">
        <w:rPr>
          <w:spacing w:val="2"/>
        </w:rPr>
        <w:t xml:space="preserve"> </w:t>
      </w:r>
      <w:r w:rsidRPr="0031675F">
        <w:rPr>
          <w:spacing w:val="-2"/>
        </w:rPr>
        <w:t>become</w:t>
      </w:r>
      <w:r w:rsidRPr="0031675F">
        <w:rPr>
          <w:spacing w:val="95"/>
        </w:rPr>
        <w:t xml:space="preserve"> </w:t>
      </w:r>
      <w:r w:rsidRPr="0031675F">
        <w:t>the</w:t>
      </w:r>
      <w:r w:rsidRPr="0031675F">
        <w:rPr>
          <w:spacing w:val="12"/>
        </w:rPr>
        <w:t xml:space="preserve"> </w:t>
      </w:r>
      <w:r w:rsidRPr="0031675F">
        <w:rPr>
          <w:spacing w:val="-1"/>
        </w:rPr>
        <w:t>most</w:t>
      </w:r>
      <w:r w:rsidRPr="0031675F">
        <w:rPr>
          <w:spacing w:val="13"/>
        </w:rPr>
        <w:t xml:space="preserve"> </w:t>
      </w:r>
      <w:r w:rsidRPr="0031675F">
        <w:rPr>
          <w:spacing w:val="-1"/>
        </w:rPr>
        <w:t>generally</w:t>
      </w:r>
      <w:r w:rsidRPr="0031675F">
        <w:rPr>
          <w:spacing w:val="13"/>
        </w:rPr>
        <w:t xml:space="preserve"> </w:t>
      </w:r>
      <w:r w:rsidRPr="0031675F">
        <w:rPr>
          <w:spacing w:val="-1"/>
        </w:rPr>
        <w:t>used</w:t>
      </w:r>
      <w:r w:rsidRPr="0031675F">
        <w:rPr>
          <w:spacing w:val="10"/>
        </w:rPr>
        <w:t xml:space="preserve"> </w:t>
      </w:r>
      <w:r w:rsidRPr="0031675F">
        <w:rPr>
          <w:spacing w:val="-1"/>
        </w:rPr>
        <w:t>method</w:t>
      </w:r>
      <w:r w:rsidRPr="0031675F">
        <w:rPr>
          <w:spacing w:val="9"/>
        </w:rPr>
        <w:t xml:space="preserve"> </w:t>
      </w:r>
      <w:r w:rsidRPr="0031675F">
        <w:t>of</w:t>
      </w:r>
      <w:r w:rsidRPr="0031675F">
        <w:rPr>
          <w:spacing w:val="12"/>
        </w:rPr>
        <w:t xml:space="preserve"> </w:t>
      </w:r>
      <w:r w:rsidRPr="0031675F">
        <w:rPr>
          <w:spacing w:val="-1"/>
        </w:rPr>
        <w:t>determining</w:t>
      </w:r>
      <w:r w:rsidRPr="0031675F">
        <w:rPr>
          <w:spacing w:val="11"/>
        </w:rPr>
        <w:t xml:space="preserve"> </w:t>
      </w:r>
      <w:r w:rsidRPr="0031675F">
        <w:rPr>
          <w:spacing w:val="-1"/>
        </w:rPr>
        <w:t>salinity.</w:t>
      </w:r>
      <w:r w:rsidRPr="0031675F">
        <w:rPr>
          <w:spacing w:val="12"/>
        </w:rPr>
        <w:t xml:space="preserve"> </w:t>
      </w:r>
      <w:r w:rsidRPr="0031675F">
        <w:t>Electrical</w:t>
      </w:r>
      <w:r w:rsidRPr="0031675F">
        <w:rPr>
          <w:spacing w:val="11"/>
        </w:rPr>
        <w:t xml:space="preserve"> </w:t>
      </w:r>
      <w:r w:rsidRPr="0031675F">
        <w:rPr>
          <w:spacing w:val="-1"/>
        </w:rPr>
        <w:t>conductivity</w:t>
      </w:r>
      <w:r w:rsidRPr="0031675F">
        <w:rPr>
          <w:spacing w:val="13"/>
        </w:rPr>
        <w:t xml:space="preserve"> </w:t>
      </w:r>
      <w:r w:rsidRPr="0031675F">
        <w:rPr>
          <w:spacing w:val="-2"/>
        </w:rPr>
        <w:t>is</w:t>
      </w:r>
      <w:r w:rsidRPr="0031675F">
        <w:rPr>
          <w:spacing w:val="12"/>
        </w:rPr>
        <w:t xml:space="preserve"> </w:t>
      </w:r>
      <w:r w:rsidRPr="0031675F">
        <w:t>a</w:t>
      </w:r>
      <w:r w:rsidRPr="0031675F">
        <w:rPr>
          <w:spacing w:val="12"/>
        </w:rPr>
        <w:t xml:space="preserve"> </w:t>
      </w:r>
      <w:r w:rsidRPr="0031675F">
        <w:rPr>
          <w:spacing w:val="-1"/>
        </w:rPr>
        <w:t>measure</w:t>
      </w:r>
      <w:r w:rsidRPr="0031675F">
        <w:rPr>
          <w:spacing w:val="9"/>
        </w:rPr>
        <w:t xml:space="preserve"> </w:t>
      </w:r>
      <w:r w:rsidRPr="0031675F">
        <w:t>of</w:t>
      </w:r>
      <w:r w:rsidRPr="0031675F">
        <w:rPr>
          <w:spacing w:val="12"/>
        </w:rPr>
        <w:t xml:space="preserve"> </w:t>
      </w:r>
      <w:r w:rsidRPr="0031675F">
        <w:rPr>
          <w:spacing w:val="-1"/>
        </w:rPr>
        <w:t>total</w:t>
      </w:r>
      <w:r w:rsidRPr="0031675F">
        <w:rPr>
          <w:spacing w:val="59"/>
        </w:rPr>
        <w:t xml:space="preserve"> </w:t>
      </w:r>
      <w:r w:rsidRPr="0031675F">
        <w:rPr>
          <w:spacing w:val="-1"/>
        </w:rPr>
        <w:t>electrolyte</w:t>
      </w:r>
      <w:r w:rsidRPr="0031675F">
        <w:rPr>
          <w:spacing w:val="8"/>
        </w:rPr>
        <w:t xml:space="preserve"> </w:t>
      </w:r>
      <w:r w:rsidRPr="0031675F">
        <w:rPr>
          <w:spacing w:val="-1"/>
        </w:rPr>
        <w:t>concentration</w:t>
      </w:r>
      <w:r w:rsidRPr="0031675F">
        <w:rPr>
          <w:spacing w:val="9"/>
        </w:rPr>
        <w:t xml:space="preserve"> </w:t>
      </w:r>
      <w:r w:rsidRPr="0031675F">
        <w:rPr>
          <w:spacing w:val="-2"/>
        </w:rPr>
        <w:t>in</w:t>
      </w:r>
      <w:r w:rsidRPr="0031675F">
        <w:rPr>
          <w:spacing w:val="9"/>
        </w:rPr>
        <w:t xml:space="preserve"> </w:t>
      </w:r>
      <w:r w:rsidRPr="0031675F">
        <w:rPr>
          <w:spacing w:val="-1"/>
        </w:rPr>
        <w:t>seawater</w:t>
      </w:r>
      <w:r w:rsidRPr="0031675F">
        <w:rPr>
          <w:spacing w:val="7"/>
        </w:rPr>
        <w:t xml:space="preserve"> </w:t>
      </w:r>
      <w:r w:rsidRPr="0031675F">
        <w:rPr>
          <w:spacing w:val="-1"/>
        </w:rPr>
        <w:t>and</w:t>
      </w:r>
      <w:r w:rsidRPr="0031675F">
        <w:rPr>
          <w:spacing w:val="9"/>
        </w:rPr>
        <w:t xml:space="preserve"> </w:t>
      </w:r>
      <w:r w:rsidRPr="0031675F">
        <w:t>it</w:t>
      </w:r>
      <w:r w:rsidRPr="0031675F">
        <w:rPr>
          <w:spacing w:val="7"/>
        </w:rPr>
        <w:t xml:space="preserve"> </w:t>
      </w:r>
      <w:r w:rsidRPr="0031675F">
        <w:t>is</w:t>
      </w:r>
      <w:r w:rsidRPr="0031675F">
        <w:rPr>
          <w:spacing w:val="9"/>
        </w:rPr>
        <w:t xml:space="preserve"> </w:t>
      </w:r>
      <w:r w:rsidRPr="0031675F">
        <w:t>a</w:t>
      </w:r>
      <w:r w:rsidRPr="0031675F">
        <w:rPr>
          <w:spacing w:val="7"/>
        </w:rPr>
        <w:t xml:space="preserve"> </w:t>
      </w:r>
      <w:r w:rsidRPr="0031675F">
        <w:rPr>
          <w:spacing w:val="-1"/>
        </w:rPr>
        <w:t>technique</w:t>
      </w:r>
      <w:r w:rsidRPr="0031675F">
        <w:rPr>
          <w:spacing w:val="10"/>
        </w:rPr>
        <w:t xml:space="preserve"> </w:t>
      </w:r>
      <w:r w:rsidRPr="0031675F">
        <w:t>which</w:t>
      </w:r>
      <w:r w:rsidRPr="0031675F">
        <w:rPr>
          <w:spacing w:val="8"/>
        </w:rPr>
        <w:t xml:space="preserve"> </w:t>
      </w:r>
      <w:r w:rsidRPr="0031675F">
        <w:t>can</w:t>
      </w:r>
      <w:r w:rsidRPr="0031675F">
        <w:rPr>
          <w:spacing w:val="6"/>
        </w:rPr>
        <w:t xml:space="preserve"> </w:t>
      </w:r>
      <w:r w:rsidRPr="0031675F">
        <w:rPr>
          <w:spacing w:val="-1"/>
        </w:rPr>
        <w:t>be</w:t>
      </w:r>
      <w:r w:rsidRPr="0031675F">
        <w:rPr>
          <w:spacing w:val="10"/>
        </w:rPr>
        <w:t xml:space="preserve"> </w:t>
      </w:r>
      <w:r w:rsidRPr="0031675F">
        <w:rPr>
          <w:spacing w:val="-1"/>
        </w:rPr>
        <w:t>performed</w:t>
      </w:r>
      <w:r w:rsidRPr="0031675F">
        <w:rPr>
          <w:spacing w:val="9"/>
        </w:rPr>
        <w:t xml:space="preserve"> </w:t>
      </w:r>
      <w:r w:rsidRPr="0031675F">
        <w:rPr>
          <w:spacing w:val="-1"/>
        </w:rPr>
        <w:t>rapidly</w:t>
      </w:r>
      <w:r w:rsidRPr="0031675F">
        <w:rPr>
          <w:spacing w:val="10"/>
        </w:rPr>
        <w:t xml:space="preserve"> </w:t>
      </w:r>
      <w:r w:rsidRPr="0031675F">
        <w:rPr>
          <w:spacing w:val="-1"/>
        </w:rPr>
        <w:t>and</w:t>
      </w:r>
      <w:r w:rsidRPr="0031675F">
        <w:rPr>
          <w:spacing w:val="6"/>
        </w:rPr>
        <w:t xml:space="preserve"> </w:t>
      </w:r>
      <w:r w:rsidRPr="0031675F">
        <w:rPr>
          <w:spacing w:val="-1"/>
        </w:rPr>
        <w:t>with</w:t>
      </w:r>
      <w:r w:rsidRPr="0031675F">
        <w:rPr>
          <w:spacing w:val="61"/>
        </w:rPr>
        <w:t xml:space="preserve"> </w:t>
      </w:r>
      <w:r w:rsidRPr="0031675F">
        <w:rPr>
          <w:spacing w:val="-1"/>
        </w:rPr>
        <w:t>great</w:t>
      </w:r>
      <w:r w:rsidRPr="0031675F">
        <w:t xml:space="preserve"> </w:t>
      </w:r>
      <w:r w:rsidRPr="0031675F">
        <w:rPr>
          <w:spacing w:val="-1"/>
        </w:rPr>
        <w:t>accuracy,</w:t>
      </w:r>
      <w:r w:rsidRPr="0031675F">
        <w:rPr>
          <w:spacing w:val="-3"/>
        </w:rPr>
        <w:t xml:space="preserve"> </w:t>
      </w:r>
      <w:r w:rsidRPr="0031675F">
        <w:rPr>
          <w:spacing w:val="-1"/>
        </w:rPr>
        <w:t>both</w:t>
      </w:r>
      <w:r w:rsidRPr="0031675F">
        <w:t xml:space="preserve"> in</w:t>
      </w:r>
      <w:r w:rsidRPr="0031675F">
        <w:rPr>
          <w:spacing w:val="-4"/>
        </w:rPr>
        <w:t xml:space="preserve"> </w:t>
      </w:r>
      <w:r w:rsidRPr="0031675F">
        <w:rPr>
          <w:spacing w:val="-1"/>
        </w:rPr>
        <w:t>laboratories</w:t>
      </w:r>
      <w:r w:rsidRPr="0031675F">
        <w:rPr>
          <w:spacing w:val="-3"/>
        </w:rPr>
        <w:t xml:space="preserve"> </w:t>
      </w:r>
      <w:r w:rsidRPr="0031675F">
        <w:t>and in</w:t>
      </w:r>
      <w:r w:rsidRPr="0031675F">
        <w:rPr>
          <w:spacing w:val="-1"/>
        </w:rPr>
        <w:t xml:space="preserve"> situ</w:t>
      </w:r>
      <w:r w:rsidRPr="0031675F">
        <w:t xml:space="preserve"> </w:t>
      </w:r>
      <w:r w:rsidRPr="0031675F">
        <w:rPr>
          <w:spacing w:val="-1"/>
        </w:rPr>
        <w:t xml:space="preserve">(Devlin </w:t>
      </w:r>
      <w:r w:rsidRPr="0031675F">
        <w:t>and</w:t>
      </w:r>
      <w:r w:rsidRPr="0031675F">
        <w:rPr>
          <w:spacing w:val="-2"/>
        </w:rPr>
        <w:t xml:space="preserve"> </w:t>
      </w:r>
      <w:r w:rsidRPr="0031675F">
        <w:t>Lourey,</w:t>
      </w:r>
      <w:r w:rsidRPr="0031675F">
        <w:rPr>
          <w:spacing w:val="-2"/>
        </w:rPr>
        <w:t xml:space="preserve"> </w:t>
      </w:r>
      <w:r w:rsidRPr="0031675F">
        <w:rPr>
          <w:spacing w:val="-1"/>
        </w:rPr>
        <w:t>2000).</w:t>
      </w:r>
    </w:p>
    <w:p w14:paraId="13E8FF9C" w14:textId="77777777" w:rsidR="0031675F" w:rsidRPr="0031675F" w:rsidRDefault="0031675F" w:rsidP="0031675F">
      <w:pPr>
        <w:spacing w:after="120"/>
        <w:ind w:left="138" w:right="131"/>
        <w:jc w:val="both"/>
      </w:pPr>
      <w:r w:rsidRPr="0031675F">
        <w:rPr>
          <w:spacing w:val="-1"/>
        </w:rPr>
        <w:t>The</w:t>
      </w:r>
      <w:r w:rsidRPr="0031675F">
        <w:rPr>
          <w:spacing w:val="5"/>
        </w:rPr>
        <w:t xml:space="preserve"> </w:t>
      </w:r>
      <w:r w:rsidRPr="0031675F">
        <w:rPr>
          <w:spacing w:val="-1"/>
        </w:rPr>
        <w:t>reliability</w:t>
      </w:r>
      <w:r w:rsidRPr="0031675F">
        <w:rPr>
          <w:spacing w:val="6"/>
        </w:rPr>
        <w:t xml:space="preserve"> </w:t>
      </w:r>
      <w:r w:rsidRPr="0031675F">
        <w:rPr>
          <w:spacing w:val="-1"/>
        </w:rPr>
        <w:t>and</w:t>
      </w:r>
      <w:r w:rsidRPr="0031675F">
        <w:rPr>
          <w:spacing w:val="4"/>
        </w:rPr>
        <w:t xml:space="preserve"> </w:t>
      </w:r>
      <w:r w:rsidRPr="0031675F">
        <w:rPr>
          <w:spacing w:val="-1"/>
        </w:rPr>
        <w:t>accuracy</w:t>
      </w:r>
      <w:r w:rsidRPr="0031675F">
        <w:rPr>
          <w:spacing w:val="4"/>
        </w:rPr>
        <w:t xml:space="preserve"> </w:t>
      </w:r>
      <w:r w:rsidRPr="0031675F">
        <w:t>of</w:t>
      </w:r>
      <w:r w:rsidRPr="0031675F">
        <w:rPr>
          <w:spacing w:val="5"/>
        </w:rPr>
        <w:t xml:space="preserve"> </w:t>
      </w:r>
      <w:r w:rsidRPr="0031675F">
        <w:rPr>
          <w:spacing w:val="-1"/>
        </w:rPr>
        <w:t>salinity</w:t>
      </w:r>
      <w:r w:rsidRPr="0031675F">
        <w:rPr>
          <w:spacing w:val="5"/>
        </w:rPr>
        <w:t xml:space="preserve"> </w:t>
      </w:r>
      <w:r w:rsidRPr="0031675F">
        <w:rPr>
          <w:spacing w:val="-1"/>
        </w:rPr>
        <w:t>analyses</w:t>
      </w:r>
      <w:r w:rsidRPr="0031675F">
        <w:rPr>
          <w:spacing w:val="6"/>
        </w:rPr>
        <w:t xml:space="preserve"> </w:t>
      </w:r>
      <w:r w:rsidRPr="0031675F">
        <w:rPr>
          <w:spacing w:val="-1"/>
        </w:rPr>
        <w:t>by</w:t>
      </w:r>
      <w:r w:rsidRPr="0031675F">
        <w:rPr>
          <w:spacing w:val="3"/>
        </w:rPr>
        <w:t xml:space="preserve"> </w:t>
      </w:r>
      <w:r w:rsidRPr="0031675F">
        <w:rPr>
          <w:spacing w:val="-1"/>
        </w:rPr>
        <w:t>conductivity</w:t>
      </w:r>
      <w:r w:rsidRPr="0031675F">
        <w:rPr>
          <w:spacing w:val="6"/>
        </w:rPr>
        <w:t xml:space="preserve"> </w:t>
      </w:r>
      <w:r w:rsidRPr="0031675F">
        <w:t>are</w:t>
      </w:r>
      <w:r w:rsidRPr="0031675F">
        <w:rPr>
          <w:spacing w:val="3"/>
        </w:rPr>
        <w:t xml:space="preserve"> </w:t>
      </w:r>
      <w:r w:rsidRPr="0031675F">
        <w:rPr>
          <w:spacing w:val="-1"/>
        </w:rPr>
        <w:t>best</w:t>
      </w:r>
      <w:r w:rsidRPr="0031675F">
        <w:rPr>
          <w:spacing w:val="3"/>
        </w:rPr>
        <w:t xml:space="preserve"> </w:t>
      </w:r>
      <w:r w:rsidRPr="0031675F">
        <w:t>if</w:t>
      </w:r>
      <w:r w:rsidRPr="0031675F">
        <w:rPr>
          <w:spacing w:val="4"/>
        </w:rPr>
        <w:t xml:space="preserve"> </w:t>
      </w:r>
      <w:r w:rsidRPr="0031675F">
        <w:t>the</w:t>
      </w:r>
      <w:r w:rsidRPr="0031675F">
        <w:rPr>
          <w:spacing w:val="3"/>
        </w:rPr>
        <w:t xml:space="preserve"> </w:t>
      </w:r>
      <w:r w:rsidRPr="0031675F">
        <w:rPr>
          <w:spacing w:val="-1"/>
        </w:rPr>
        <w:t>unknown</w:t>
      </w:r>
      <w:r w:rsidRPr="0031675F">
        <w:rPr>
          <w:spacing w:val="2"/>
        </w:rPr>
        <w:t xml:space="preserve"> </w:t>
      </w:r>
      <w:r w:rsidRPr="0031675F">
        <w:rPr>
          <w:spacing w:val="-1"/>
        </w:rPr>
        <w:t>samples</w:t>
      </w:r>
      <w:r w:rsidRPr="0031675F">
        <w:rPr>
          <w:spacing w:val="5"/>
        </w:rPr>
        <w:t xml:space="preserve"> </w:t>
      </w:r>
      <w:r w:rsidRPr="0031675F">
        <w:rPr>
          <w:spacing w:val="-2"/>
        </w:rPr>
        <w:t>have</w:t>
      </w:r>
      <w:r w:rsidRPr="0031675F">
        <w:rPr>
          <w:spacing w:val="71"/>
        </w:rPr>
        <w:t xml:space="preserve"> </w:t>
      </w:r>
      <w:r w:rsidRPr="0031675F">
        <w:t xml:space="preserve">a </w:t>
      </w:r>
      <w:r w:rsidRPr="0031675F">
        <w:rPr>
          <w:spacing w:val="-1"/>
        </w:rPr>
        <w:t>salinity</w:t>
      </w:r>
      <w:r w:rsidRPr="0031675F">
        <w:t xml:space="preserve"> </w:t>
      </w:r>
      <w:r w:rsidRPr="0031675F">
        <w:rPr>
          <w:spacing w:val="-1"/>
        </w:rPr>
        <w:t>that</w:t>
      </w:r>
      <w:r w:rsidRPr="0031675F">
        <w:t xml:space="preserve"> is </w:t>
      </w:r>
      <w:r w:rsidRPr="0031675F">
        <w:rPr>
          <w:spacing w:val="-1"/>
        </w:rPr>
        <w:t>reasonably</w:t>
      </w:r>
      <w:r w:rsidRPr="0031675F">
        <w:rPr>
          <w:spacing w:val="-2"/>
        </w:rPr>
        <w:t xml:space="preserve"> </w:t>
      </w:r>
      <w:r w:rsidRPr="0031675F">
        <w:rPr>
          <w:spacing w:val="-1"/>
        </w:rPr>
        <w:t>close</w:t>
      </w:r>
      <w:r w:rsidRPr="0031675F">
        <w:t xml:space="preserve"> </w:t>
      </w:r>
      <w:r w:rsidRPr="0031675F">
        <w:rPr>
          <w:spacing w:val="-1"/>
        </w:rPr>
        <w:t>to</w:t>
      </w:r>
      <w:r w:rsidRPr="0031675F">
        <w:rPr>
          <w:spacing w:val="1"/>
        </w:rPr>
        <w:t xml:space="preserve"> </w:t>
      </w:r>
      <w:r w:rsidRPr="0031675F">
        <w:rPr>
          <w:spacing w:val="-1"/>
        </w:rPr>
        <w:t>that</w:t>
      </w:r>
      <w:r w:rsidRPr="0031675F">
        <w:rPr>
          <w:spacing w:val="-2"/>
        </w:rPr>
        <w:t xml:space="preserve"> </w:t>
      </w:r>
      <w:r w:rsidRPr="0031675F">
        <w:t xml:space="preserve">of </w:t>
      </w:r>
      <w:r w:rsidRPr="0031675F">
        <w:rPr>
          <w:spacing w:val="-2"/>
        </w:rPr>
        <w:t>the</w:t>
      </w:r>
      <w:r w:rsidRPr="0031675F">
        <w:t xml:space="preserve"> </w:t>
      </w:r>
      <w:r w:rsidRPr="0031675F">
        <w:rPr>
          <w:spacing w:val="-2"/>
        </w:rPr>
        <w:t>standard.</w:t>
      </w:r>
      <w:r w:rsidRPr="0031675F">
        <w:rPr>
          <w:spacing w:val="49"/>
        </w:rPr>
        <w:t xml:space="preserve"> </w:t>
      </w:r>
      <w:r w:rsidRPr="0031675F">
        <w:rPr>
          <w:spacing w:val="-1"/>
        </w:rPr>
        <w:t>While</w:t>
      </w:r>
      <w:r w:rsidRPr="0031675F">
        <w:t xml:space="preserve"> </w:t>
      </w:r>
      <w:r w:rsidRPr="0031675F">
        <w:rPr>
          <w:spacing w:val="-1"/>
        </w:rPr>
        <w:t>estuarine</w:t>
      </w:r>
      <w:r w:rsidRPr="0031675F">
        <w:t xml:space="preserve"> </w:t>
      </w:r>
      <w:r w:rsidRPr="0031675F">
        <w:rPr>
          <w:spacing w:val="-2"/>
        </w:rPr>
        <w:t>samples</w:t>
      </w:r>
      <w:r w:rsidRPr="0031675F">
        <w:t xml:space="preserve"> can</w:t>
      </w:r>
      <w:r w:rsidRPr="0031675F">
        <w:rPr>
          <w:spacing w:val="-1"/>
        </w:rPr>
        <w:t xml:space="preserve"> readily</w:t>
      </w:r>
      <w:r w:rsidRPr="0031675F">
        <w:t xml:space="preserve"> </w:t>
      </w:r>
      <w:r w:rsidRPr="0031675F">
        <w:rPr>
          <w:spacing w:val="-2"/>
        </w:rPr>
        <w:t>be</w:t>
      </w:r>
      <w:r w:rsidRPr="0031675F">
        <w:t xml:space="preserve"> </w:t>
      </w:r>
      <w:r w:rsidRPr="0031675F">
        <w:rPr>
          <w:spacing w:val="-1"/>
        </w:rPr>
        <w:t>run,</w:t>
      </w:r>
      <w:r w:rsidRPr="0031675F">
        <w:rPr>
          <w:spacing w:val="89"/>
        </w:rPr>
        <w:t xml:space="preserve"> </w:t>
      </w:r>
      <w:r w:rsidRPr="0031675F">
        <w:rPr>
          <w:spacing w:val="-1"/>
        </w:rPr>
        <w:t>conductivity</w:t>
      </w:r>
      <w:r w:rsidRPr="0031675F">
        <w:rPr>
          <w:spacing w:val="43"/>
        </w:rPr>
        <w:t xml:space="preserve"> </w:t>
      </w:r>
      <w:r w:rsidRPr="0031675F">
        <w:rPr>
          <w:spacing w:val="-1"/>
        </w:rPr>
        <w:t>comparisons</w:t>
      </w:r>
      <w:r w:rsidRPr="0031675F">
        <w:rPr>
          <w:spacing w:val="41"/>
        </w:rPr>
        <w:t xml:space="preserve"> </w:t>
      </w:r>
      <w:r w:rsidRPr="0031675F">
        <w:t>with</w:t>
      </w:r>
      <w:r w:rsidRPr="0031675F">
        <w:rPr>
          <w:spacing w:val="43"/>
        </w:rPr>
        <w:t xml:space="preserve"> </w:t>
      </w:r>
      <w:r w:rsidRPr="0031675F">
        <w:rPr>
          <w:spacing w:val="-1"/>
        </w:rPr>
        <w:t>very</w:t>
      </w:r>
      <w:r w:rsidRPr="0031675F">
        <w:rPr>
          <w:spacing w:val="43"/>
        </w:rPr>
        <w:t xml:space="preserve"> </w:t>
      </w:r>
      <w:r w:rsidRPr="0031675F">
        <w:rPr>
          <w:spacing w:val="-1"/>
        </w:rPr>
        <w:t>low</w:t>
      </w:r>
      <w:r w:rsidRPr="0031675F">
        <w:rPr>
          <w:spacing w:val="44"/>
        </w:rPr>
        <w:t xml:space="preserve"> </w:t>
      </w:r>
      <w:r w:rsidRPr="0031675F">
        <w:rPr>
          <w:spacing w:val="-1"/>
        </w:rPr>
        <w:t>salinity</w:t>
      </w:r>
      <w:r w:rsidRPr="0031675F">
        <w:rPr>
          <w:spacing w:val="44"/>
        </w:rPr>
        <w:t xml:space="preserve"> </w:t>
      </w:r>
      <w:r w:rsidRPr="0031675F">
        <w:rPr>
          <w:spacing w:val="-1"/>
        </w:rPr>
        <w:t>samples</w:t>
      </w:r>
      <w:r w:rsidRPr="0031675F">
        <w:rPr>
          <w:spacing w:val="43"/>
        </w:rPr>
        <w:t xml:space="preserve"> </w:t>
      </w:r>
      <w:r w:rsidRPr="0031675F">
        <w:t>are</w:t>
      </w:r>
      <w:r w:rsidRPr="0031675F">
        <w:rPr>
          <w:spacing w:val="43"/>
        </w:rPr>
        <w:t xml:space="preserve"> </w:t>
      </w:r>
      <w:r w:rsidRPr="0031675F">
        <w:rPr>
          <w:spacing w:val="-1"/>
        </w:rPr>
        <w:t>progressively</w:t>
      </w:r>
      <w:r w:rsidRPr="0031675F">
        <w:rPr>
          <w:spacing w:val="44"/>
        </w:rPr>
        <w:t xml:space="preserve"> </w:t>
      </w:r>
      <w:r w:rsidRPr="0031675F">
        <w:rPr>
          <w:spacing w:val="-1"/>
        </w:rPr>
        <w:t>less</w:t>
      </w:r>
      <w:r w:rsidRPr="0031675F">
        <w:rPr>
          <w:spacing w:val="44"/>
        </w:rPr>
        <w:t xml:space="preserve"> </w:t>
      </w:r>
      <w:r w:rsidRPr="0031675F">
        <w:t>reliable.</w:t>
      </w:r>
      <w:r w:rsidRPr="0031675F">
        <w:rPr>
          <w:spacing w:val="36"/>
        </w:rPr>
        <w:t xml:space="preserve"> </w:t>
      </w:r>
      <w:r w:rsidRPr="0031675F">
        <w:t>In</w:t>
      </w:r>
      <w:r w:rsidRPr="0031675F">
        <w:rPr>
          <w:spacing w:val="42"/>
        </w:rPr>
        <w:t xml:space="preserve"> </w:t>
      </w:r>
      <w:r w:rsidRPr="0031675F">
        <w:rPr>
          <w:spacing w:val="-1"/>
        </w:rPr>
        <w:t>most</w:t>
      </w:r>
      <w:r w:rsidRPr="0031675F">
        <w:rPr>
          <w:spacing w:val="55"/>
        </w:rPr>
        <w:t xml:space="preserve"> </w:t>
      </w:r>
      <w:r w:rsidRPr="0031675F">
        <w:t>cases,</w:t>
      </w:r>
      <w:r w:rsidRPr="0031675F">
        <w:rPr>
          <w:spacing w:val="8"/>
        </w:rPr>
        <w:t xml:space="preserve"> </w:t>
      </w:r>
      <w:r w:rsidRPr="0031675F">
        <w:rPr>
          <w:spacing w:val="-1"/>
        </w:rPr>
        <w:t>samples</w:t>
      </w:r>
      <w:r w:rsidRPr="0031675F">
        <w:rPr>
          <w:spacing w:val="7"/>
        </w:rPr>
        <w:t xml:space="preserve"> </w:t>
      </w:r>
      <w:r w:rsidRPr="0031675F">
        <w:t>with</w:t>
      </w:r>
      <w:r w:rsidRPr="0031675F">
        <w:rPr>
          <w:spacing w:val="9"/>
        </w:rPr>
        <w:t xml:space="preserve"> </w:t>
      </w:r>
      <w:r w:rsidRPr="0031675F">
        <w:rPr>
          <w:spacing w:val="-1"/>
        </w:rPr>
        <w:t>salinities</w:t>
      </w:r>
      <w:r w:rsidRPr="0031675F">
        <w:rPr>
          <w:spacing w:val="10"/>
        </w:rPr>
        <w:t xml:space="preserve"> </w:t>
      </w:r>
      <w:r w:rsidRPr="0031675F">
        <w:t>&gt;</w:t>
      </w:r>
      <w:r w:rsidRPr="0031675F">
        <w:rPr>
          <w:spacing w:val="8"/>
        </w:rPr>
        <w:t xml:space="preserve"> </w:t>
      </w:r>
      <w:r w:rsidRPr="0031675F">
        <w:rPr>
          <w:spacing w:val="-1"/>
        </w:rPr>
        <w:t>25-30%</w:t>
      </w:r>
      <w:r w:rsidRPr="0031675F">
        <w:rPr>
          <w:spacing w:val="8"/>
        </w:rPr>
        <w:t xml:space="preserve"> </w:t>
      </w:r>
      <w:r w:rsidRPr="0031675F">
        <w:rPr>
          <w:rFonts w:cs="Calibri"/>
        </w:rPr>
        <w:t>should</w:t>
      </w:r>
      <w:r w:rsidRPr="0031675F">
        <w:rPr>
          <w:rFonts w:cs="Calibri"/>
          <w:spacing w:val="8"/>
        </w:rPr>
        <w:t xml:space="preserve"> </w:t>
      </w:r>
      <w:r w:rsidRPr="0031675F">
        <w:rPr>
          <w:rFonts w:cs="Calibri"/>
          <w:spacing w:val="-2"/>
        </w:rPr>
        <w:t>be</w:t>
      </w:r>
      <w:r w:rsidRPr="0031675F">
        <w:rPr>
          <w:rFonts w:cs="Calibri"/>
          <w:spacing w:val="10"/>
        </w:rPr>
        <w:t xml:space="preserve"> </w:t>
      </w:r>
      <w:r w:rsidRPr="0031675F">
        <w:rPr>
          <w:rFonts w:cs="Calibri"/>
          <w:spacing w:val="-1"/>
        </w:rPr>
        <w:t>suitable.</w:t>
      </w:r>
      <w:r w:rsidRPr="0031675F">
        <w:rPr>
          <w:rFonts w:cs="Calibri"/>
          <w:spacing w:val="19"/>
        </w:rPr>
        <w:t xml:space="preserve"> </w:t>
      </w:r>
      <w:r w:rsidRPr="0031675F">
        <w:rPr>
          <w:rFonts w:cs="Calibri"/>
          <w:spacing w:val="-2"/>
        </w:rPr>
        <w:t>Low</w:t>
      </w:r>
      <w:r w:rsidRPr="0031675F">
        <w:rPr>
          <w:rFonts w:cs="Calibri"/>
          <w:spacing w:val="10"/>
        </w:rPr>
        <w:t xml:space="preserve"> </w:t>
      </w:r>
      <w:r w:rsidRPr="0031675F">
        <w:rPr>
          <w:rFonts w:cs="Calibri"/>
          <w:spacing w:val="-1"/>
        </w:rPr>
        <w:t>salinity</w:t>
      </w:r>
      <w:r w:rsidRPr="0031675F">
        <w:rPr>
          <w:rFonts w:cs="Calibri"/>
          <w:spacing w:val="8"/>
        </w:rPr>
        <w:t xml:space="preserve"> </w:t>
      </w:r>
      <w:r w:rsidRPr="0031675F">
        <w:rPr>
          <w:rFonts w:cs="Calibri"/>
          <w:spacing w:val="-1"/>
        </w:rPr>
        <w:t>“standards”</w:t>
      </w:r>
      <w:r w:rsidRPr="0031675F">
        <w:rPr>
          <w:rFonts w:cs="Calibri"/>
          <w:spacing w:val="11"/>
        </w:rPr>
        <w:t xml:space="preserve"> </w:t>
      </w:r>
      <w:r w:rsidRPr="0031675F">
        <w:rPr>
          <w:rFonts w:cs="Calibri"/>
        </w:rPr>
        <w:t>can</w:t>
      </w:r>
      <w:r w:rsidRPr="0031675F">
        <w:rPr>
          <w:rFonts w:cs="Calibri"/>
          <w:spacing w:val="7"/>
        </w:rPr>
        <w:t xml:space="preserve"> </w:t>
      </w:r>
      <w:r w:rsidRPr="0031675F">
        <w:rPr>
          <w:rFonts w:cs="Calibri"/>
          <w:spacing w:val="-1"/>
        </w:rPr>
        <w:t>be</w:t>
      </w:r>
      <w:r w:rsidRPr="0031675F">
        <w:rPr>
          <w:rFonts w:cs="Calibri"/>
          <w:spacing w:val="8"/>
        </w:rPr>
        <w:t xml:space="preserve"> </w:t>
      </w:r>
      <w:r w:rsidRPr="0031675F">
        <w:rPr>
          <w:rFonts w:cs="Calibri"/>
          <w:spacing w:val="-1"/>
        </w:rPr>
        <w:t>made</w:t>
      </w:r>
      <w:r w:rsidRPr="0031675F">
        <w:rPr>
          <w:rFonts w:cs="Calibri"/>
          <w:spacing w:val="8"/>
        </w:rPr>
        <w:t xml:space="preserve"> </w:t>
      </w:r>
      <w:r w:rsidRPr="0031675F">
        <w:rPr>
          <w:rFonts w:cs="Calibri"/>
          <w:spacing w:val="-1"/>
        </w:rPr>
        <w:t>by</w:t>
      </w:r>
      <w:r w:rsidRPr="0031675F">
        <w:rPr>
          <w:rFonts w:cs="Calibri"/>
          <w:spacing w:val="55"/>
        </w:rPr>
        <w:t xml:space="preserve"> </w:t>
      </w:r>
      <w:r w:rsidRPr="0031675F">
        <w:rPr>
          <w:spacing w:val="-1"/>
        </w:rPr>
        <w:t>precise</w:t>
      </w:r>
      <w:r w:rsidRPr="0031675F">
        <w:rPr>
          <w:spacing w:val="24"/>
        </w:rPr>
        <w:t xml:space="preserve"> </w:t>
      </w:r>
      <w:r w:rsidRPr="0031675F">
        <w:rPr>
          <w:spacing w:val="-1"/>
        </w:rPr>
        <w:t>dilution</w:t>
      </w:r>
      <w:r w:rsidRPr="0031675F">
        <w:rPr>
          <w:spacing w:val="23"/>
        </w:rPr>
        <w:t xml:space="preserve"> </w:t>
      </w:r>
      <w:r w:rsidRPr="0031675F">
        <w:t>of</w:t>
      </w:r>
      <w:r w:rsidRPr="0031675F">
        <w:rPr>
          <w:spacing w:val="21"/>
        </w:rPr>
        <w:t xml:space="preserve"> </w:t>
      </w:r>
      <w:r w:rsidRPr="0031675F">
        <w:rPr>
          <w:spacing w:val="-2"/>
        </w:rPr>
        <w:t>standard</w:t>
      </w:r>
      <w:r w:rsidRPr="0031675F">
        <w:rPr>
          <w:spacing w:val="23"/>
        </w:rPr>
        <w:t xml:space="preserve"> </w:t>
      </w:r>
      <w:r w:rsidRPr="0031675F">
        <w:rPr>
          <w:spacing w:val="-1"/>
        </w:rPr>
        <w:t>seawater.</w:t>
      </w:r>
      <w:r w:rsidRPr="0031675F">
        <w:rPr>
          <w:spacing w:val="47"/>
        </w:rPr>
        <w:t xml:space="preserve"> </w:t>
      </w:r>
      <w:r w:rsidRPr="0031675F">
        <w:t>In</w:t>
      </w:r>
      <w:r w:rsidRPr="0031675F">
        <w:rPr>
          <w:spacing w:val="23"/>
        </w:rPr>
        <w:t xml:space="preserve"> </w:t>
      </w:r>
      <w:r w:rsidRPr="0031675F">
        <w:rPr>
          <w:spacing w:val="-1"/>
        </w:rPr>
        <w:t>low</w:t>
      </w:r>
      <w:r w:rsidRPr="0031675F">
        <w:rPr>
          <w:spacing w:val="22"/>
        </w:rPr>
        <w:t xml:space="preserve"> </w:t>
      </w:r>
      <w:r w:rsidRPr="0031675F">
        <w:rPr>
          <w:spacing w:val="-1"/>
        </w:rPr>
        <w:t>salinity</w:t>
      </w:r>
      <w:r w:rsidRPr="0031675F">
        <w:rPr>
          <w:spacing w:val="25"/>
        </w:rPr>
        <w:t xml:space="preserve"> </w:t>
      </w:r>
      <w:r w:rsidRPr="0031675F">
        <w:rPr>
          <w:spacing w:val="-1"/>
        </w:rPr>
        <w:t>estuarine</w:t>
      </w:r>
      <w:r w:rsidRPr="0031675F">
        <w:rPr>
          <w:spacing w:val="25"/>
        </w:rPr>
        <w:t xml:space="preserve"> </w:t>
      </w:r>
      <w:r w:rsidRPr="0031675F">
        <w:rPr>
          <w:spacing w:val="-1"/>
        </w:rPr>
        <w:t>samples,</w:t>
      </w:r>
      <w:r w:rsidRPr="0031675F">
        <w:rPr>
          <w:spacing w:val="22"/>
        </w:rPr>
        <w:t xml:space="preserve"> </w:t>
      </w:r>
      <w:r w:rsidRPr="0031675F">
        <w:t>the</w:t>
      </w:r>
      <w:r w:rsidRPr="0031675F">
        <w:rPr>
          <w:spacing w:val="24"/>
        </w:rPr>
        <w:t xml:space="preserve"> </w:t>
      </w:r>
      <w:r w:rsidRPr="0031675F">
        <w:rPr>
          <w:spacing w:val="-2"/>
        </w:rPr>
        <w:t>use</w:t>
      </w:r>
      <w:r w:rsidRPr="0031675F">
        <w:rPr>
          <w:spacing w:val="24"/>
        </w:rPr>
        <w:t xml:space="preserve"> </w:t>
      </w:r>
      <w:r w:rsidRPr="0031675F">
        <w:t>of</w:t>
      </w:r>
      <w:r w:rsidRPr="0031675F">
        <w:rPr>
          <w:spacing w:val="21"/>
        </w:rPr>
        <w:t xml:space="preserve"> </w:t>
      </w:r>
      <w:r w:rsidRPr="0031675F">
        <w:rPr>
          <w:spacing w:val="-1"/>
        </w:rPr>
        <w:t>conductivity</w:t>
      </w:r>
      <w:r w:rsidRPr="0031675F">
        <w:rPr>
          <w:spacing w:val="25"/>
        </w:rPr>
        <w:t xml:space="preserve"> </w:t>
      </w:r>
      <w:r w:rsidRPr="0031675F">
        <w:t>is</w:t>
      </w:r>
      <w:r w:rsidRPr="0031675F">
        <w:rPr>
          <w:spacing w:val="71"/>
        </w:rPr>
        <w:t xml:space="preserve"> </w:t>
      </w:r>
      <w:r w:rsidRPr="0031675F">
        <w:rPr>
          <w:spacing w:val="-1"/>
        </w:rPr>
        <w:t>confounded</w:t>
      </w:r>
      <w:r w:rsidRPr="0031675F">
        <w:rPr>
          <w:spacing w:val="2"/>
        </w:rPr>
        <w:t xml:space="preserve"> </w:t>
      </w:r>
      <w:r w:rsidRPr="0031675F">
        <w:rPr>
          <w:spacing w:val="-2"/>
        </w:rPr>
        <w:t>by</w:t>
      </w:r>
      <w:r w:rsidRPr="0031675F">
        <w:rPr>
          <w:spacing w:val="3"/>
        </w:rPr>
        <w:t xml:space="preserve"> </w:t>
      </w:r>
      <w:r w:rsidRPr="0031675F">
        <w:t>the</w:t>
      </w:r>
      <w:r w:rsidRPr="0031675F">
        <w:rPr>
          <w:spacing w:val="3"/>
        </w:rPr>
        <w:t xml:space="preserve"> </w:t>
      </w:r>
      <w:r w:rsidRPr="0031675F">
        <w:rPr>
          <w:spacing w:val="-1"/>
        </w:rPr>
        <w:t>potentially</w:t>
      </w:r>
      <w:r w:rsidRPr="0031675F">
        <w:rPr>
          <w:spacing w:val="3"/>
        </w:rPr>
        <w:t xml:space="preserve"> </w:t>
      </w:r>
      <w:r w:rsidRPr="0031675F">
        <w:rPr>
          <w:spacing w:val="-1"/>
        </w:rPr>
        <w:t>differing</w:t>
      </w:r>
      <w:r w:rsidRPr="0031675F">
        <w:rPr>
          <w:spacing w:val="4"/>
        </w:rPr>
        <w:t xml:space="preserve"> </w:t>
      </w:r>
      <w:r w:rsidRPr="0031675F">
        <w:rPr>
          <w:rFonts w:cs="Calibri"/>
          <w:spacing w:val="-1"/>
        </w:rPr>
        <w:t>ratios</w:t>
      </w:r>
      <w:r w:rsidRPr="0031675F">
        <w:rPr>
          <w:rFonts w:cs="Calibri"/>
          <w:spacing w:val="2"/>
        </w:rPr>
        <w:t xml:space="preserve"> </w:t>
      </w:r>
      <w:r w:rsidRPr="0031675F">
        <w:rPr>
          <w:rFonts w:cs="Calibri"/>
          <w:spacing w:val="-1"/>
        </w:rPr>
        <w:t>of</w:t>
      </w:r>
      <w:r w:rsidRPr="0031675F">
        <w:rPr>
          <w:rFonts w:cs="Calibri"/>
          <w:spacing w:val="2"/>
        </w:rPr>
        <w:t xml:space="preserve"> </w:t>
      </w:r>
      <w:r w:rsidRPr="0031675F">
        <w:rPr>
          <w:rFonts w:cs="Calibri"/>
          <w:spacing w:val="-1"/>
        </w:rPr>
        <w:t>ions</w:t>
      </w:r>
      <w:r w:rsidRPr="0031675F">
        <w:rPr>
          <w:rFonts w:cs="Calibri"/>
          <w:spacing w:val="2"/>
        </w:rPr>
        <w:t xml:space="preserve"> </w:t>
      </w:r>
      <w:r w:rsidRPr="0031675F">
        <w:rPr>
          <w:rFonts w:cs="Calibri"/>
          <w:spacing w:val="-2"/>
        </w:rPr>
        <w:t>in</w:t>
      </w:r>
      <w:r w:rsidRPr="0031675F">
        <w:rPr>
          <w:rFonts w:cs="Calibri"/>
          <w:spacing w:val="2"/>
        </w:rPr>
        <w:t xml:space="preserve"> </w:t>
      </w:r>
      <w:r w:rsidRPr="0031675F">
        <w:rPr>
          <w:rFonts w:cs="Calibri"/>
        </w:rPr>
        <w:t>the</w:t>
      </w:r>
      <w:r w:rsidRPr="0031675F">
        <w:rPr>
          <w:rFonts w:cs="Calibri"/>
          <w:spacing w:val="3"/>
        </w:rPr>
        <w:t xml:space="preserve"> </w:t>
      </w:r>
      <w:r w:rsidRPr="0031675F">
        <w:rPr>
          <w:rFonts w:cs="Calibri"/>
          <w:spacing w:val="-1"/>
        </w:rPr>
        <w:t>“fresh”</w:t>
      </w:r>
      <w:r w:rsidRPr="0031675F">
        <w:rPr>
          <w:rFonts w:cs="Calibri"/>
          <w:spacing w:val="1"/>
        </w:rPr>
        <w:t xml:space="preserve"> </w:t>
      </w:r>
      <w:r w:rsidRPr="0031675F">
        <w:rPr>
          <w:rFonts w:cs="Calibri"/>
          <w:spacing w:val="-1"/>
        </w:rPr>
        <w:t>water</w:t>
      </w:r>
      <w:r w:rsidRPr="0031675F">
        <w:rPr>
          <w:rFonts w:cs="Calibri"/>
          <w:spacing w:val="3"/>
        </w:rPr>
        <w:t xml:space="preserve"> </w:t>
      </w:r>
      <w:r w:rsidRPr="0031675F">
        <w:rPr>
          <w:rFonts w:cs="Calibri"/>
        </w:rPr>
        <w:t>which</w:t>
      </w:r>
      <w:r w:rsidRPr="0031675F">
        <w:rPr>
          <w:rFonts w:cs="Calibri"/>
          <w:spacing w:val="-1"/>
        </w:rPr>
        <w:t xml:space="preserve"> </w:t>
      </w:r>
      <w:r w:rsidRPr="0031675F">
        <w:rPr>
          <w:rFonts w:cs="Calibri"/>
        </w:rPr>
        <w:t>may</w:t>
      </w:r>
      <w:r w:rsidRPr="0031675F">
        <w:rPr>
          <w:rFonts w:cs="Calibri"/>
          <w:spacing w:val="3"/>
        </w:rPr>
        <w:t xml:space="preserve"> </w:t>
      </w:r>
      <w:r w:rsidRPr="0031675F">
        <w:rPr>
          <w:rFonts w:cs="Calibri"/>
          <w:spacing w:val="-1"/>
        </w:rPr>
        <w:t>have</w:t>
      </w:r>
      <w:r w:rsidRPr="0031675F">
        <w:rPr>
          <w:rFonts w:cs="Calibri"/>
        </w:rPr>
        <w:t xml:space="preserve"> a</w:t>
      </w:r>
      <w:r w:rsidRPr="0031675F">
        <w:rPr>
          <w:rFonts w:cs="Calibri"/>
          <w:spacing w:val="2"/>
        </w:rPr>
        <w:t xml:space="preserve"> </w:t>
      </w:r>
      <w:r w:rsidRPr="0031675F">
        <w:rPr>
          <w:rFonts w:cs="Calibri"/>
          <w:spacing w:val="-1"/>
        </w:rPr>
        <w:t>different</w:t>
      </w:r>
      <w:r w:rsidRPr="0031675F">
        <w:rPr>
          <w:rFonts w:cs="Calibri"/>
          <w:spacing w:val="71"/>
        </w:rPr>
        <w:t xml:space="preserve"> </w:t>
      </w:r>
      <w:r w:rsidRPr="0031675F">
        <w:rPr>
          <w:spacing w:val="-1"/>
        </w:rPr>
        <w:t>conductivity-mass</w:t>
      </w:r>
      <w:r w:rsidRPr="0031675F">
        <w:rPr>
          <w:spacing w:val="-3"/>
        </w:rPr>
        <w:t xml:space="preserve"> </w:t>
      </w:r>
      <w:r w:rsidRPr="0031675F">
        <w:rPr>
          <w:spacing w:val="-1"/>
        </w:rPr>
        <w:t>relationship from</w:t>
      </w:r>
      <w:r w:rsidRPr="0031675F">
        <w:rPr>
          <w:spacing w:val="-2"/>
        </w:rPr>
        <w:t xml:space="preserve"> </w:t>
      </w:r>
      <w:r w:rsidRPr="0031675F">
        <w:rPr>
          <w:spacing w:val="-1"/>
        </w:rPr>
        <w:t>seawater.</w:t>
      </w:r>
    </w:p>
    <w:p w14:paraId="6CA2C109" w14:textId="77777777" w:rsidR="0031675F" w:rsidRPr="0031675F" w:rsidRDefault="0031675F" w:rsidP="0031675F">
      <w:pPr>
        <w:spacing w:before="11"/>
        <w:rPr>
          <w:rFonts w:cs="Calibri"/>
          <w:sz w:val="21"/>
          <w:szCs w:val="21"/>
        </w:rPr>
      </w:pPr>
    </w:p>
    <w:p w14:paraId="3AD46D68" w14:textId="77777777" w:rsidR="0031675F" w:rsidRPr="0031675F" w:rsidRDefault="0031675F" w:rsidP="0031675F">
      <w:pPr>
        <w:widowControl w:val="0"/>
        <w:numPr>
          <w:ilvl w:val="1"/>
          <w:numId w:val="134"/>
        </w:numPr>
        <w:tabs>
          <w:tab w:val="left" w:pos="706"/>
        </w:tabs>
        <w:spacing w:before="0" w:after="0" w:line="240" w:lineRule="auto"/>
        <w:jc w:val="both"/>
        <w:rPr>
          <w:rFonts w:eastAsia="Arial" w:cs="Arial"/>
          <w:sz w:val="24"/>
          <w:szCs w:val="24"/>
        </w:rPr>
      </w:pPr>
      <w:bookmarkStart w:id="588" w:name="_TOC_250090"/>
      <w:r w:rsidRPr="0031675F">
        <w:rPr>
          <w:b/>
          <w:sz w:val="24"/>
        </w:rPr>
        <w:t>Sample</w:t>
      </w:r>
      <w:r w:rsidRPr="0031675F">
        <w:rPr>
          <w:b/>
          <w:spacing w:val="-1"/>
          <w:sz w:val="24"/>
        </w:rPr>
        <w:t xml:space="preserve"> analysis</w:t>
      </w:r>
      <w:bookmarkEnd w:id="588"/>
    </w:p>
    <w:p w14:paraId="0276016E" w14:textId="77777777" w:rsidR="0031675F" w:rsidRPr="0031675F" w:rsidRDefault="0031675F" w:rsidP="0031675F">
      <w:pPr>
        <w:spacing w:before="10"/>
        <w:rPr>
          <w:rFonts w:eastAsia="Arial" w:cs="Arial"/>
          <w:b/>
          <w:bCs/>
          <w:sz w:val="20"/>
          <w:szCs w:val="20"/>
        </w:rPr>
      </w:pPr>
    </w:p>
    <w:p w14:paraId="042199DA" w14:textId="77777777" w:rsidR="0031675F" w:rsidRPr="0031675F" w:rsidRDefault="0031675F" w:rsidP="0031675F">
      <w:pPr>
        <w:widowControl w:val="0"/>
        <w:numPr>
          <w:ilvl w:val="2"/>
          <w:numId w:val="134"/>
        </w:numPr>
        <w:tabs>
          <w:tab w:val="left" w:pos="706"/>
        </w:tabs>
        <w:spacing w:before="0" w:after="0" w:line="240" w:lineRule="auto"/>
        <w:jc w:val="both"/>
        <w:rPr>
          <w:rFonts w:eastAsia="Arial" w:cs="Arial"/>
        </w:rPr>
      </w:pPr>
      <w:r w:rsidRPr="0031675F">
        <w:rPr>
          <w:b/>
          <w:spacing w:val="-1"/>
        </w:rPr>
        <w:t>Equipment</w:t>
      </w:r>
    </w:p>
    <w:p w14:paraId="1817FF37" w14:textId="77777777" w:rsidR="0031675F" w:rsidRPr="0031675F" w:rsidRDefault="0031675F" w:rsidP="0031675F">
      <w:pPr>
        <w:spacing w:before="11"/>
        <w:rPr>
          <w:rFonts w:eastAsia="Arial" w:cs="Arial"/>
          <w:b/>
          <w:bCs/>
          <w:sz w:val="20"/>
          <w:szCs w:val="20"/>
        </w:rPr>
      </w:pPr>
    </w:p>
    <w:p w14:paraId="6BA6A23B" w14:textId="77777777" w:rsidR="0031675F" w:rsidRPr="0031675F" w:rsidRDefault="0031675F" w:rsidP="0031675F">
      <w:pPr>
        <w:widowControl w:val="0"/>
        <w:numPr>
          <w:ilvl w:val="0"/>
          <w:numId w:val="142"/>
        </w:numPr>
        <w:tabs>
          <w:tab w:val="left" w:pos="423"/>
        </w:tabs>
        <w:spacing w:before="0" w:after="0" w:line="240" w:lineRule="auto"/>
        <w:jc w:val="both"/>
      </w:pPr>
      <w:r w:rsidRPr="0031675F">
        <w:rPr>
          <w:spacing w:val="-1"/>
        </w:rPr>
        <w:t>250</w:t>
      </w:r>
      <w:r w:rsidRPr="0031675F">
        <w:rPr>
          <w:spacing w:val="-2"/>
        </w:rPr>
        <w:t xml:space="preserve"> </w:t>
      </w:r>
      <w:r w:rsidRPr="0031675F">
        <w:t xml:space="preserve">ml </w:t>
      </w:r>
      <w:r w:rsidRPr="0031675F">
        <w:rPr>
          <w:spacing w:val="-1"/>
        </w:rPr>
        <w:t>screw</w:t>
      </w:r>
      <w:r w:rsidRPr="0031675F">
        <w:rPr>
          <w:spacing w:val="-2"/>
        </w:rPr>
        <w:t xml:space="preserve"> </w:t>
      </w:r>
      <w:r w:rsidRPr="0031675F">
        <w:t>cap</w:t>
      </w:r>
      <w:r w:rsidRPr="0031675F">
        <w:rPr>
          <w:spacing w:val="-1"/>
        </w:rPr>
        <w:t xml:space="preserve"> polyethylene</w:t>
      </w:r>
      <w:r w:rsidRPr="0031675F">
        <w:t xml:space="preserve"> </w:t>
      </w:r>
      <w:r w:rsidRPr="0031675F">
        <w:rPr>
          <w:spacing w:val="-1"/>
        </w:rPr>
        <w:t>bottles</w:t>
      </w:r>
      <w:r w:rsidRPr="0031675F">
        <w:t xml:space="preserve"> - acid</w:t>
      </w:r>
      <w:r w:rsidRPr="0031675F">
        <w:rPr>
          <w:spacing w:val="-3"/>
        </w:rPr>
        <w:t xml:space="preserve"> </w:t>
      </w:r>
      <w:r w:rsidRPr="0031675F">
        <w:t>washed,</w:t>
      </w:r>
      <w:r w:rsidRPr="0031675F">
        <w:rPr>
          <w:spacing w:val="-3"/>
        </w:rPr>
        <w:t xml:space="preserve"> </w:t>
      </w:r>
      <w:r w:rsidRPr="0031675F">
        <w:rPr>
          <w:spacing w:val="-1"/>
        </w:rPr>
        <w:t>rinsed</w:t>
      </w:r>
      <w:r w:rsidRPr="0031675F">
        <w:t xml:space="preserve"> and</w:t>
      </w:r>
      <w:r w:rsidRPr="0031675F">
        <w:rPr>
          <w:spacing w:val="-2"/>
        </w:rPr>
        <w:t xml:space="preserve"> </w:t>
      </w:r>
      <w:r w:rsidRPr="0031675F">
        <w:rPr>
          <w:spacing w:val="-1"/>
        </w:rPr>
        <w:t>air-dried</w:t>
      </w:r>
    </w:p>
    <w:p w14:paraId="72AAAA67" w14:textId="77777777" w:rsidR="0031675F" w:rsidRPr="0031675F" w:rsidRDefault="0031675F" w:rsidP="0031675F">
      <w:pPr>
        <w:widowControl w:val="0"/>
        <w:numPr>
          <w:ilvl w:val="0"/>
          <w:numId w:val="142"/>
        </w:numPr>
        <w:tabs>
          <w:tab w:val="left" w:pos="423"/>
        </w:tabs>
        <w:spacing w:before="60" w:after="0" w:line="240" w:lineRule="auto"/>
        <w:jc w:val="both"/>
      </w:pPr>
      <w:r w:rsidRPr="0031675F">
        <w:rPr>
          <w:spacing w:val="-1"/>
        </w:rPr>
        <w:t>Standard seawater</w:t>
      </w:r>
      <w:r w:rsidRPr="0031675F">
        <w:t xml:space="preserve"> -</w:t>
      </w:r>
      <w:r w:rsidRPr="0031675F">
        <w:rPr>
          <w:spacing w:val="-3"/>
        </w:rPr>
        <w:t xml:space="preserve"> </w:t>
      </w:r>
      <w:r w:rsidRPr="0031675F">
        <w:t xml:space="preserve">1 </w:t>
      </w:r>
      <w:r w:rsidRPr="0031675F">
        <w:rPr>
          <w:spacing w:val="-1"/>
        </w:rPr>
        <w:t>ampoule</w:t>
      </w:r>
    </w:p>
    <w:p w14:paraId="1858287B" w14:textId="3E90F914" w:rsidR="0031675F" w:rsidRPr="0031675F" w:rsidRDefault="0031675F" w:rsidP="0031675F">
      <w:pPr>
        <w:widowControl w:val="0"/>
        <w:numPr>
          <w:ilvl w:val="0"/>
          <w:numId w:val="142"/>
        </w:numPr>
        <w:tabs>
          <w:tab w:val="left" w:pos="423"/>
        </w:tabs>
        <w:spacing w:before="48" w:after="0" w:line="240" w:lineRule="auto"/>
        <w:jc w:val="both"/>
        <w:rPr>
          <w:sz w:val="14"/>
          <w:szCs w:val="14"/>
        </w:rPr>
      </w:pPr>
      <w:r w:rsidRPr="0031675F">
        <w:rPr>
          <w:spacing w:val="-1"/>
        </w:rPr>
        <w:t>5-10 litres</w:t>
      </w:r>
      <w:r w:rsidRPr="0031675F">
        <w:rPr>
          <w:spacing w:val="-2"/>
        </w:rPr>
        <w:t xml:space="preserve"> </w:t>
      </w:r>
      <w:r w:rsidRPr="0031675F">
        <w:t xml:space="preserve">of </w:t>
      </w:r>
      <w:r w:rsidRPr="0031675F">
        <w:rPr>
          <w:spacing w:val="-1"/>
        </w:rPr>
        <w:t>surface</w:t>
      </w:r>
      <w:r w:rsidRPr="0031675F">
        <w:t xml:space="preserve"> </w:t>
      </w:r>
      <w:r w:rsidRPr="0031675F">
        <w:rPr>
          <w:spacing w:val="-1"/>
        </w:rPr>
        <w:t>seawater</w:t>
      </w:r>
      <w:r w:rsidRPr="0031675F">
        <w:t xml:space="preserve"> </w:t>
      </w:r>
      <w:r w:rsidRPr="0031675F">
        <w:rPr>
          <w:spacing w:val="-1"/>
        </w:rPr>
        <w:t>from</w:t>
      </w:r>
      <w:r w:rsidRPr="0031675F">
        <w:rPr>
          <w:spacing w:val="-2"/>
        </w:rPr>
        <w:t xml:space="preserve"> </w:t>
      </w:r>
      <w:r w:rsidRPr="0031675F">
        <w:rPr>
          <w:spacing w:val="-1"/>
        </w:rPr>
        <w:t>the</w:t>
      </w:r>
      <w:r w:rsidRPr="0031675F">
        <w:rPr>
          <w:spacing w:val="-2"/>
        </w:rPr>
        <w:t xml:space="preserve"> </w:t>
      </w:r>
      <w:r w:rsidRPr="0031675F">
        <w:t>Coral</w:t>
      </w:r>
      <w:r w:rsidRPr="0031675F">
        <w:rPr>
          <w:spacing w:val="-4"/>
        </w:rPr>
        <w:t xml:space="preserve"> </w:t>
      </w:r>
      <w:r w:rsidRPr="0031675F">
        <w:rPr>
          <w:spacing w:val="-1"/>
        </w:rPr>
        <w:t>Sea</w:t>
      </w:r>
      <w:r w:rsidRPr="0031675F">
        <w:rPr>
          <w:spacing w:val="1"/>
        </w:rPr>
        <w:t xml:space="preserve"> </w:t>
      </w:r>
      <w:r w:rsidRPr="0031675F">
        <w:rPr>
          <w:spacing w:val="-2"/>
        </w:rPr>
        <w:t>as</w:t>
      </w:r>
      <w:r w:rsidRPr="0031675F">
        <w:t xml:space="preserve"> a</w:t>
      </w:r>
      <w:r w:rsidRPr="0031675F">
        <w:rPr>
          <w:spacing w:val="-2"/>
        </w:rPr>
        <w:t xml:space="preserve"> </w:t>
      </w:r>
      <w:r w:rsidRPr="0031675F">
        <w:rPr>
          <w:spacing w:val="-1"/>
        </w:rPr>
        <w:t>secondary</w:t>
      </w:r>
      <w:r w:rsidRPr="0031675F">
        <w:t xml:space="preserve"> </w:t>
      </w:r>
      <w:r w:rsidRPr="0031675F">
        <w:rPr>
          <w:spacing w:val="-1"/>
        </w:rPr>
        <w:t>standard.</w:t>
      </w:r>
    </w:p>
    <w:p w14:paraId="0915C24A" w14:textId="77777777" w:rsidR="0031675F" w:rsidRPr="0031675F" w:rsidRDefault="0031675F" w:rsidP="0031675F">
      <w:pPr>
        <w:widowControl w:val="0"/>
        <w:numPr>
          <w:ilvl w:val="0"/>
          <w:numId w:val="142"/>
        </w:numPr>
        <w:tabs>
          <w:tab w:val="left" w:pos="423"/>
        </w:tabs>
        <w:spacing w:before="58" w:after="0" w:line="240" w:lineRule="auto"/>
        <w:jc w:val="both"/>
      </w:pPr>
      <w:r w:rsidRPr="0031675F">
        <w:rPr>
          <w:spacing w:val="-1"/>
        </w:rPr>
        <w:t>Guildline</w:t>
      </w:r>
      <w:r w:rsidRPr="0031675F">
        <w:t xml:space="preserve"> </w:t>
      </w:r>
      <w:r w:rsidRPr="0031675F">
        <w:rPr>
          <w:spacing w:val="-1"/>
        </w:rPr>
        <w:t>Portasal Salinometer</w:t>
      </w:r>
    </w:p>
    <w:p w14:paraId="22CB4EED" w14:textId="77777777" w:rsidR="0031675F" w:rsidRPr="0031675F" w:rsidRDefault="0031675F" w:rsidP="0031675F">
      <w:pPr>
        <w:spacing w:before="11"/>
        <w:rPr>
          <w:rFonts w:cs="Calibri"/>
          <w:sz w:val="26"/>
          <w:szCs w:val="26"/>
        </w:rPr>
      </w:pPr>
    </w:p>
    <w:p w14:paraId="6C9F9CDB" w14:textId="77777777" w:rsidR="0031675F" w:rsidRPr="0031675F" w:rsidRDefault="0031675F" w:rsidP="0031675F">
      <w:pPr>
        <w:widowControl w:val="0"/>
        <w:numPr>
          <w:ilvl w:val="2"/>
          <w:numId w:val="134"/>
        </w:numPr>
        <w:tabs>
          <w:tab w:val="left" w:pos="706"/>
        </w:tabs>
        <w:spacing w:before="0" w:after="0" w:line="240" w:lineRule="auto"/>
        <w:jc w:val="both"/>
        <w:rPr>
          <w:rFonts w:eastAsia="Arial" w:cs="Arial"/>
        </w:rPr>
      </w:pPr>
      <w:r w:rsidRPr="0031675F">
        <w:rPr>
          <w:b/>
          <w:spacing w:val="-1"/>
        </w:rPr>
        <w:t>Sample</w:t>
      </w:r>
      <w:r w:rsidRPr="0031675F">
        <w:rPr>
          <w:b/>
          <w:spacing w:val="1"/>
        </w:rPr>
        <w:t xml:space="preserve"> </w:t>
      </w:r>
      <w:r w:rsidRPr="0031675F">
        <w:rPr>
          <w:b/>
          <w:spacing w:val="-1"/>
        </w:rPr>
        <w:t>collection</w:t>
      </w:r>
      <w:r w:rsidRPr="0031675F">
        <w:rPr>
          <w:b/>
        </w:rPr>
        <w:t xml:space="preserve"> </w:t>
      </w:r>
      <w:r w:rsidRPr="0031675F">
        <w:rPr>
          <w:b/>
          <w:spacing w:val="-1"/>
        </w:rPr>
        <w:t>and</w:t>
      </w:r>
      <w:r w:rsidRPr="0031675F">
        <w:rPr>
          <w:b/>
          <w:spacing w:val="-4"/>
        </w:rPr>
        <w:t xml:space="preserve"> </w:t>
      </w:r>
      <w:r w:rsidRPr="0031675F">
        <w:rPr>
          <w:b/>
          <w:spacing w:val="-1"/>
        </w:rPr>
        <w:t>storage</w:t>
      </w:r>
    </w:p>
    <w:p w14:paraId="425177B1" w14:textId="77777777" w:rsidR="0031675F" w:rsidRPr="0031675F" w:rsidRDefault="0031675F" w:rsidP="0031675F">
      <w:pPr>
        <w:spacing w:before="11"/>
        <w:rPr>
          <w:rFonts w:eastAsia="Arial" w:cs="Arial"/>
          <w:b/>
          <w:bCs/>
          <w:sz w:val="20"/>
          <w:szCs w:val="20"/>
        </w:rPr>
      </w:pPr>
    </w:p>
    <w:p w14:paraId="169F0D8A" w14:textId="47D7D847" w:rsidR="00EE1CD1" w:rsidRDefault="00EE1CD1" w:rsidP="0041119A">
      <w:r w:rsidRPr="00EE1CD1">
        <w:t>Surface water for secondary standards is normally pumped into 40</w:t>
      </w:r>
      <w:r>
        <w:t xml:space="preserve"> </w:t>
      </w:r>
      <w:r w:rsidRPr="00EE1CD1">
        <w:t xml:space="preserve">L plastic drums at convenient times when an AIMS vessel is operating outside the reef.  With the deck hose running, rinse out the drum thoroughly, then pump at least 30 </w:t>
      </w:r>
      <w:r>
        <w:t>L</w:t>
      </w:r>
      <w:r w:rsidRPr="00EE1CD1">
        <w:t xml:space="preserve"> into the drum.  Screw the lid on fully and store against the rail.  At the lab, the seawater is stored in a walk-in cold room (5°C).</w:t>
      </w:r>
    </w:p>
    <w:p w14:paraId="4A699E23" w14:textId="194C13C4" w:rsidR="0031675F" w:rsidRPr="0031675F" w:rsidRDefault="0031675F" w:rsidP="0041119A">
      <w:r w:rsidRPr="0031675F">
        <w:t>Water</w:t>
      </w:r>
      <w:r w:rsidRPr="0031675F">
        <w:rPr>
          <w:spacing w:val="7"/>
        </w:rPr>
        <w:t xml:space="preserve"> </w:t>
      </w:r>
      <w:r w:rsidRPr="0031675F">
        <w:rPr>
          <w:spacing w:val="-1"/>
        </w:rPr>
        <w:t>samples</w:t>
      </w:r>
      <w:r w:rsidRPr="0031675F">
        <w:rPr>
          <w:spacing w:val="9"/>
        </w:rPr>
        <w:t xml:space="preserve"> </w:t>
      </w:r>
      <w:r w:rsidRPr="0031675F">
        <w:rPr>
          <w:spacing w:val="-1"/>
        </w:rPr>
        <w:t>for</w:t>
      </w:r>
      <w:r w:rsidRPr="0031675F">
        <w:rPr>
          <w:spacing w:val="7"/>
        </w:rPr>
        <w:t xml:space="preserve"> </w:t>
      </w:r>
      <w:r w:rsidRPr="0031675F">
        <w:rPr>
          <w:spacing w:val="-1"/>
        </w:rPr>
        <w:t>laboratory</w:t>
      </w:r>
      <w:r w:rsidRPr="0031675F">
        <w:rPr>
          <w:spacing w:val="8"/>
        </w:rPr>
        <w:t xml:space="preserve"> </w:t>
      </w:r>
      <w:r w:rsidRPr="0031675F">
        <w:rPr>
          <w:spacing w:val="-1"/>
        </w:rPr>
        <w:t>salinity</w:t>
      </w:r>
      <w:r w:rsidRPr="0031675F">
        <w:rPr>
          <w:spacing w:val="8"/>
        </w:rPr>
        <w:t xml:space="preserve"> </w:t>
      </w:r>
      <w:r w:rsidRPr="0031675F">
        <w:rPr>
          <w:spacing w:val="-1"/>
        </w:rPr>
        <w:t>analysis</w:t>
      </w:r>
      <w:r w:rsidRPr="0031675F">
        <w:rPr>
          <w:spacing w:val="7"/>
        </w:rPr>
        <w:t xml:space="preserve"> </w:t>
      </w:r>
      <w:r w:rsidRPr="0031675F">
        <w:rPr>
          <w:spacing w:val="-1"/>
        </w:rPr>
        <w:t>and</w:t>
      </w:r>
      <w:r w:rsidRPr="0031675F">
        <w:rPr>
          <w:spacing w:val="9"/>
        </w:rPr>
        <w:t xml:space="preserve"> </w:t>
      </w:r>
      <w:r w:rsidRPr="0031675F">
        <w:rPr>
          <w:spacing w:val="-1"/>
        </w:rPr>
        <w:t>calibration</w:t>
      </w:r>
      <w:r w:rsidRPr="0031675F">
        <w:rPr>
          <w:spacing w:val="9"/>
        </w:rPr>
        <w:t xml:space="preserve"> </w:t>
      </w:r>
      <w:r w:rsidRPr="0031675F">
        <w:rPr>
          <w:spacing w:val="-1"/>
        </w:rPr>
        <w:t>checks</w:t>
      </w:r>
      <w:r w:rsidRPr="0031675F">
        <w:rPr>
          <w:spacing w:val="7"/>
        </w:rPr>
        <w:t xml:space="preserve"> </w:t>
      </w:r>
      <w:r w:rsidRPr="0031675F">
        <w:t>on</w:t>
      </w:r>
      <w:r w:rsidRPr="0031675F">
        <w:rPr>
          <w:spacing w:val="6"/>
        </w:rPr>
        <w:t xml:space="preserve"> </w:t>
      </w:r>
      <w:r w:rsidRPr="0031675F">
        <w:t>the</w:t>
      </w:r>
      <w:r w:rsidRPr="0031675F">
        <w:rPr>
          <w:spacing w:val="7"/>
        </w:rPr>
        <w:t xml:space="preserve"> </w:t>
      </w:r>
      <w:r w:rsidRPr="0031675F">
        <w:rPr>
          <w:spacing w:val="-2"/>
        </w:rPr>
        <w:t>CTD</w:t>
      </w:r>
      <w:r w:rsidRPr="0031675F">
        <w:rPr>
          <w:spacing w:val="8"/>
        </w:rPr>
        <w:t xml:space="preserve"> </w:t>
      </w:r>
      <w:r w:rsidRPr="0031675F">
        <w:t>are</w:t>
      </w:r>
      <w:r w:rsidRPr="0031675F">
        <w:rPr>
          <w:spacing w:val="10"/>
        </w:rPr>
        <w:t xml:space="preserve"> </w:t>
      </w:r>
      <w:r w:rsidRPr="0031675F">
        <w:rPr>
          <w:spacing w:val="-1"/>
        </w:rPr>
        <w:t>normally</w:t>
      </w:r>
      <w:r w:rsidRPr="0031675F">
        <w:rPr>
          <w:spacing w:val="8"/>
        </w:rPr>
        <w:t xml:space="preserve"> </w:t>
      </w:r>
      <w:r w:rsidRPr="0031675F">
        <w:rPr>
          <w:spacing w:val="-1"/>
        </w:rPr>
        <w:t>drawn</w:t>
      </w:r>
      <w:r w:rsidRPr="0031675F">
        <w:rPr>
          <w:spacing w:val="79"/>
        </w:rPr>
        <w:t xml:space="preserve"> </w:t>
      </w:r>
      <w:r w:rsidRPr="0031675F">
        <w:rPr>
          <w:spacing w:val="-1"/>
        </w:rPr>
        <w:t>from</w:t>
      </w:r>
      <w:r w:rsidRPr="0031675F">
        <w:rPr>
          <w:spacing w:val="8"/>
        </w:rPr>
        <w:t xml:space="preserve"> </w:t>
      </w:r>
      <w:r w:rsidRPr="0031675F">
        <w:t>one</w:t>
      </w:r>
      <w:r w:rsidRPr="0031675F">
        <w:rPr>
          <w:spacing w:val="8"/>
        </w:rPr>
        <w:t xml:space="preserve"> </w:t>
      </w:r>
      <w:r w:rsidRPr="0031675F">
        <w:t>to</w:t>
      </w:r>
      <w:r w:rsidRPr="0031675F">
        <w:rPr>
          <w:spacing w:val="10"/>
        </w:rPr>
        <w:t xml:space="preserve"> </w:t>
      </w:r>
      <w:r w:rsidRPr="0031675F">
        <w:rPr>
          <w:spacing w:val="-1"/>
        </w:rPr>
        <w:t>two</w:t>
      </w:r>
      <w:r w:rsidRPr="0031675F">
        <w:rPr>
          <w:spacing w:val="11"/>
        </w:rPr>
        <w:t xml:space="preserve"> </w:t>
      </w:r>
      <w:r w:rsidRPr="0031675F">
        <w:rPr>
          <w:spacing w:val="-1"/>
        </w:rPr>
        <w:t>Niskin</w:t>
      </w:r>
      <w:r w:rsidRPr="0031675F">
        <w:rPr>
          <w:spacing w:val="8"/>
        </w:rPr>
        <w:t xml:space="preserve"> </w:t>
      </w:r>
      <w:r w:rsidRPr="0031675F">
        <w:rPr>
          <w:spacing w:val="-1"/>
        </w:rPr>
        <w:t>bottles</w:t>
      </w:r>
      <w:r w:rsidRPr="0031675F">
        <w:rPr>
          <w:spacing w:val="9"/>
        </w:rPr>
        <w:t xml:space="preserve"> </w:t>
      </w:r>
      <w:r w:rsidRPr="0031675F">
        <w:rPr>
          <w:spacing w:val="-2"/>
        </w:rPr>
        <w:t>at</w:t>
      </w:r>
      <w:r w:rsidRPr="0031675F">
        <w:rPr>
          <w:spacing w:val="10"/>
        </w:rPr>
        <w:t xml:space="preserve"> </w:t>
      </w:r>
      <w:r w:rsidRPr="0031675F">
        <w:t>each</w:t>
      </w:r>
      <w:r w:rsidRPr="0031675F">
        <w:rPr>
          <w:spacing w:val="9"/>
        </w:rPr>
        <w:t xml:space="preserve"> </w:t>
      </w:r>
      <w:r w:rsidRPr="0031675F">
        <w:rPr>
          <w:spacing w:val="-1"/>
        </w:rPr>
        <w:t>hydro</w:t>
      </w:r>
      <w:r w:rsidRPr="0031675F">
        <w:rPr>
          <w:spacing w:val="10"/>
        </w:rPr>
        <w:t xml:space="preserve"> </w:t>
      </w:r>
      <w:r w:rsidRPr="0031675F">
        <w:rPr>
          <w:spacing w:val="-1"/>
        </w:rPr>
        <w:t>station.</w:t>
      </w:r>
      <w:r w:rsidRPr="0031675F">
        <w:rPr>
          <w:spacing w:val="19"/>
        </w:rPr>
        <w:t xml:space="preserve"> </w:t>
      </w:r>
      <w:r w:rsidRPr="0031675F">
        <w:t>In</w:t>
      </w:r>
      <w:r w:rsidRPr="0031675F">
        <w:rPr>
          <w:spacing w:val="8"/>
        </w:rPr>
        <w:t xml:space="preserve"> </w:t>
      </w:r>
      <w:r w:rsidRPr="0031675F">
        <w:t>case</w:t>
      </w:r>
      <w:r w:rsidRPr="0031675F">
        <w:rPr>
          <w:spacing w:val="8"/>
        </w:rPr>
        <w:t xml:space="preserve"> </w:t>
      </w:r>
      <w:r w:rsidRPr="0031675F">
        <w:t>of</w:t>
      </w:r>
      <w:r w:rsidRPr="0031675F">
        <w:rPr>
          <w:spacing w:val="9"/>
        </w:rPr>
        <w:t xml:space="preserve"> </w:t>
      </w:r>
      <w:r w:rsidRPr="0031675F">
        <w:t>a</w:t>
      </w:r>
      <w:r w:rsidRPr="0031675F">
        <w:rPr>
          <w:spacing w:val="9"/>
        </w:rPr>
        <w:t xml:space="preserve"> </w:t>
      </w:r>
      <w:r w:rsidRPr="0031675F">
        <w:rPr>
          <w:spacing w:val="-1"/>
        </w:rPr>
        <w:t>failure</w:t>
      </w:r>
      <w:r w:rsidRPr="0031675F">
        <w:rPr>
          <w:spacing w:val="7"/>
        </w:rPr>
        <w:t xml:space="preserve"> </w:t>
      </w:r>
      <w:r w:rsidRPr="0031675F">
        <w:t>or</w:t>
      </w:r>
      <w:r w:rsidRPr="0031675F">
        <w:rPr>
          <w:spacing w:val="9"/>
        </w:rPr>
        <w:t xml:space="preserve"> </w:t>
      </w:r>
      <w:r w:rsidRPr="0031675F">
        <w:rPr>
          <w:spacing w:val="-1"/>
        </w:rPr>
        <w:t>the</w:t>
      </w:r>
      <w:r w:rsidRPr="0031675F">
        <w:rPr>
          <w:spacing w:val="8"/>
        </w:rPr>
        <w:t xml:space="preserve"> </w:t>
      </w:r>
      <w:r w:rsidRPr="0031675F">
        <w:rPr>
          <w:spacing w:val="-1"/>
        </w:rPr>
        <w:t>unavailability</w:t>
      </w:r>
      <w:r w:rsidRPr="0031675F">
        <w:rPr>
          <w:spacing w:val="8"/>
        </w:rPr>
        <w:t xml:space="preserve"> </w:t>
      </w:r>
      <w:r w:rsidRPr="0031675F">
        <w:t>of</w:t>
      </w:r>
      <w:r w:rsidRPr="0031675F">
        <w:rPr>
          <w:spacing w:val="9"/>
        </w:rPr>
        <w:t xml:space="preserve"> </w:t>
      </w:r>
      <w:r w:rsidRPr="0031675F">
        <w:t>the</w:t>
      </w:r>
      <w:r w:rsidRPr="0031675F">
        <w:rPr>
          <w:spacing w:val="53"/>
        </w:rPr>
        <w:t xml:space="preserve"> </w:t>
      </w:r>
      <w:r w:rsidRPr="0031675F">
        <w:rPr>
          <w:spacing w:val="-1"/>
        </w:rPr>
        <w:t>CTD,</w:t>
      </w:r>
      <w:r w:rsidRPr="0031675F">
        <w:rPr>
          <w:spacing w:val="17"/>
        </w:rPr>
        <w:t xml:space="preserve"> </w:t>
      </w:r>
      <w:r w:rsidRPr="0031675F">
        <w:rPr>
          <w:spacing w:val="-1"/>
        </w:rPr>
        <w:t>manual</w:t>
      </w:r>
      <w:r w:rsidRPr="0031675F">
        <w:rPr>
          <w:spacing w:val="16"/>
        </w:rPr>
        <w:t xml:space="preserve"> </w:t>
      </w:r>
      <w:r w:rsidRPr="0031675F">
        <w:rPr>
          <w:spacing w:val="-1"/>
        </w:rPr>
        <w:t>salinity</w:t>
      </w:r>
      <w:r w:rsidRPr="0031675F">
        <w:rPr>
          <w:spacing w:val="17"/>
        </w:rPr>
        <w:t xml:space="preserve"> </w:t>
      </w:r>
      <w:r w:rsidRPr="0031675F">
        <w:rPr>
          <w:spacing w:val="-1"/>
        </w:rPr>
        <w:t>samples</w:t>
      </w:r>
      <w:r w:rsidRPr="0031675F">
        <w:rPr>
          <w:spacing w:val="17"/>
        </w:rPr>
        <w:t xml:space="preserve"> </w:t>
      </w:r>
      <w:r w:rsidRPr="0031675F">
        <w:t>are</w:t>
      </w:r>
      <w:r w:rsidRPr="0031675F">
        <w:rPr>
          <w:spacing w:val="17"/>
        </w:rPr>
        <w:t xml:space="preserve"> </w:t>
      </w:r>
      <w:r w:rsidRPr="0031675F">
        <w:t>taken</w:t>
      </w:r>
      <w:r w:rsidRPr="0031675F">
        <w:rPr>
          <w:spacing w:val="16"/>
        </w:rPr>
        <w:t xml:space="preserve"> </w:t>
      </w:r>
      <w:r w:rsidRPr="0031675F">
        <w:rPr>
          <w:spacing w:val="-1"/>
        </w:rPr>
        <w:t>from</w:t>
      </w:r>
      <w:r w:rsidRPr="0031675F">
        <w:rPr>
          <w:spacing w:val="18"/>
        </w:rPr>
        <w:t xml:space="preserve"> </w:t>
      </w:r>
      <w:r w:rsidRPr="0031675F">
        <w:t>all</w:t>
      </w:r>
      <w:r w:rsidRPr="0031675F">
        <w:rPr>
          <w:spacing w:val="16"/>
        </w:rPr>
        <w:t xml:space="preserve"> </w:t>
      </w:r>
      <w:r w:rsidRPr="0031675F">
        <w:rPr>
          <w:spacing w:val="-1"/>
        </w:rPr>
        <w:t>Niskin</w:t>
      </w:r>
      <w:r w:rsidRPr="0031675F">
        <w:rPr>
          <w:spacing w:val="15"/>
        </w:rPr>
        <w:t xml:space="preserve"> </w:t>
      </w:r>
      <w:r w:rsidRPr="0031675F">
        <w:t>bottles.</w:t>
      </w:r>
      <w:r w:rsidRPr="0031675F">
        <w:rPr>
          <w:spacing w:val="32"/>
        </w:rPr>
        <w:t xml:space="preserve"> </w:t>
      </w:r>
      <w:r w:rsidRPr="0031675F">
        <w:rPr>
          <w:spacing w:val="-1"/>
        </w:rPr>
        <w:t>The</w:t>
      </w:r>
      <w:r w:rsidRPr="0031675F">
        <w:rPr>
          <w:spacing w:val="17"/>
        </w:rPr>
        <w:t xml:space="preserve"> </w:t>
      </w:r>
      <w:r w:rsidRPr="0031675F">
        <w:rPr>
          <w:spacing w:val="-1"/>
        </w:rPr>
        <w:t>salinity</w:t>
      </w:r>
      <w:r w:rsidRPr="0031675F">
        <w:rPr>
          <w:spacing w:val="17"/>
        </w:rPr>
        <w:t xml:space="preserve"> </w:t>
      </w:r>
      <w:r w:rsidRPr="0031675F">
        <w:rPr>
          <w:spacing w:val="-1"/>
        </w:rPr>
        <w:t>sample</w:t>
      </w:r>
      <w:r w:rsidRPr="0031675F">
        <w:rPr>
          <w:spacing w:val="17"/>
        </w:rPr>
        <w:t xml:space="preserve"> </w:t>
      </w:r>
      <w:r w:rsidRPr="0031675F">
        <w:t>is</w:t>
      </w:r>
      <w:r w:rsidRPr="0031675F">
        <w:rPr>
          <w:spacing w:val="16"/>
        </w:rPr>
        <w:t xml:space="preserve"> </w:t>
      </w:r>
      <w:r w:rsidRPr="0031675F">
        <w:rPr>
          <w:spacing w:val="-1"/>
        </w:rPr>
        <w:t>usually</w:t>
      </w:r>
      <w:r w:rsidRPr="0031675F">
        <w:rPr>
          <w:spacing w:val="17"/>
        </w:rPr>
        <w:t xml:space="preserve"> </w:t>
      </w:r>
      <w:r w:rsidRPr="0031675F">
        <w:t>taken</w:t>
      </w:r>
      <w:r w:rsidRPr="0031675F">
        <w:rPr>
          <w:spacing w:val="51"/>
        </w:rPr>
        <w:t xml:space="preserve"> </w:t>
      </w:r>
      <w:r w:rsidRPr="0031675F">
        <w:t>last</w:t>
      </w:r>
      <w:r w:rsidRPr="0031675F">
        <w:rPr>
          <w:spacing w:val="9"/>
        </w:rPr>
        <w:t xml:space="preserve"> </w:t>
      </w:r>
      <w:r w:rsidRPr="0031675F">
        <w:rPr>
          <w:spacing w:val="-1"/>
        </w:rPr>
        <w:t>from</w:t>
      </w:r>
      <w:r w:rsidRPr="0031675F">
        <w:rPr>
          <w:spacing w:val="8"/>
        </w:rPr>
        <w:t xml:space="preserve"> </w:t>
      </w:r>
      <w:r w:rsidRPr="0031675F">
        <w:t>the</w:t>
      </w:r>
      <w:r w:rsidRPr="0031675F">
        <w:rPr>
          <w:spacing w:val="7"/>
        </w:rPr>
        <w:t xml:space="preserve"> </w:t>
      </w:r>
      <w:r w:rsidRPr="0031675F">
        <w:rPr>
          <w:spacing w:val="-1"/>
        </w:rPr>
        <w:t>Niskin</w:t>
      </w:r>
      <w:r w:rsidRPr="0031675F">
        <w:rPr>
          <w:spacing w:val="8"/>
        </w:rPr>
        <w:t xml:space="preserve"> </w:t>
      </w:r>
      <w:r w:rsidRPr="0031675F">
        <w:rPr>
          <w:spacing w:val="-1"/>
        </w:rPr>
        <w:t>bottle</w:t>
      </w:r>
      <w:r w:rsidRPr="0031675F">
        <w:rPr>
          <w:spacing w:val="8"/>
        </w:rPr>
        <w:t xml:space="preserve"> </w:t>
      </w:r>
      <w:r w:rsidRPr="0031675F">
        <w:t>as</w:t>
      </w:r>
      <w:r w:rsidRPr="0031675F">
        <w:rPr>
          <w:spacing w:val="9"/>
        </w:rPr>
        <w:t xml:space="preserve"> </w:t>
      </w:r>
      <w:r w:rsidRPr="0031675F">
        <w:rPr>
          <w:spacing w:val="-1"/>
        </w:rPr>
        <w:t>gas</w:t>
      </w:r>
      <w:r w:rsidRPr="0031675F">
        <w:rPr>
          <w:spacing w:val="7"/>
        </w:rPr>
        <w:t xml:space="preserve"> </w:t>
      </w:r>
      <w:r w:rsidRPr="0031675F">
        <w:rPr>
          <w:spacing w:val="-1"/>
        </w:rPr>
        <w:t>exchange</w:t>
      </w:r>
      <w:r w:rsidRPr="0031675F">
        <w:rPr>
          <w:spacing w:val="8"/>
        </w:rPr>
        <w:t xml:space="preserve"> </w:t>
      </w:r>
      <w:r w:rsidRPr="0031675F">
        <w:t>or</w:t>
      </w:r>
      <w:r w:rsidRPr="0031675F">
        <w:rPr>
          <w:spacing w:val="7"/>
        </w:rPr>
        <w:t xml:space="preserve"> </w:t>
      </w:r>
      <w:r w:rsidRPr="0031675F">
        <w:rPr>
          <w:spacing w:val="-1"/>
        </w:rPr>
        <w:t>contamination</w:t>
      </w:r>
      <w:r w:rsidRPr="0031675F">
        <w:rPr>
          <w:spacing w:val="13"/>
        </w:rPr>
        <w:t xml:space="preserve"> </w:t>
      </w:r>
      <w:r w:rsidRPr="0031675F">
        <w:rPr>
          <w:spacing w:val="-1"/>
        </w:rPr>
        <w:t>are</w:t>
      </w:r>
      <w:r w:rsidRPr="0031675F">
        <w:rPr>
          <w:spacing w:val="10"/>
        </w:rPr>
        <w:t xml:space="preserve"> </w:t>
      </w:r>
      <w:r w:rsidRPr="0031675F">
        <w:rPr>
          <w:spacing w:val="-1"/>
        </w:rPr>
        <w:t>not</w:t>
      </w:r>
      <w:r w:rsidRPr="0031675F">
        <w:rPr>
          <w:spacing w:val="10"/>
        </w:rPr>
        <w:t xml:space="preserve"> </w:t>
      </w:r>
      <w:r w:rsidRPr="0031675F">
        <w:rPr>
          <w:spacing w:val="-1"/>
        </w:rPr>
        <w:t>issues.</w:t>
      </w:r>
      <w:r w:rsidRPr="0031675F">
        <w:t xml:space="preserve"> </w:t>
      </w:r>
      <w:r w:rsidRPr="0031675F">
        <w:rPr>
          <w:spacing w:val="17"/>
        </w:rPr>
        <w:t xml:space="preserve"> </w:t>
      </w:r>
      <w:r w:rsidRPr="0031675F">
        <w:rPr>
          <w:spacing w:val="-1"/>
        </w:rPr>
        <w:t>Salinity</w:t>
      </w:r>
      <w:r w:rsidRPr="0031675F">
        <w:rPr>
          <w:spacing w:val="10"/>
        </w:rPr>
        <w:t xml:space="preserve"> </w:t>
      </w:r>
      <w:r w:rsidRPr="0031675F">
        <w:rPr>
          <w:spacing w:val="-1"/>
        </w:rPr>
        <w:t>samples</w:t>
      </w:r>
      <w:r w:rsidRPr="0031675F">
        <w:rPr>
          <w:spacing w:val="7"/>
        </w:rPr>
        <w:t xml:space="preserve"> </w:t>
      </w:r>
      <w:r w:rsidRPr="0031675F">
        <w:rPr>
          <w:spacing w:val="-1"/>
        </w:rPr>
        <w:t>should be</w:t>
      </w:r>
      <w:r w:rsidRPr="0031675F">
        <w:rPr>
          <w:spacing w:val="24"/>
        </w:rPr>
        <w:t xml:space="preserve"> </w:t>
      </w:r>
      <w:r w:rsidRPr="0031675F">
        <w:t>taken</w:t>
      </w:r>
      <w:r w:rsidRPr="0031675F">
        <w:rPr>
          <w:spacing w:val="23"/>
        </w:rPr>
        <w:t xml:space="preserve"> </w:t>
      </w:r>
      <w:r w:rsidRPr="0031675F">
        <w:rPr>
          <w:spacing w:val="-2"/>
        </w:rPr>
        <w:t>from</w:t>
      </w:r>
      <w:r w:rsidRPr="0031675F">
        <w:rPr>
          <w:spacing w:val="25"/>
        </w:rPr>
        <w:t xml:space="preserve"> </w:t>
      </w:r>
      <w:r w:rsidRPr="0031675F">
        <w:rPr>
          <w:spacing w:val="-1"/>
        </w:rPr>
        <w:t>bottles</w:t>
      </w:r>
      <w:r w:rsidRPr="0031675F">
        <w:rPr>
          <w:spacing w:val="25"/>
        </w:rPr>
        <w:t xml:space="preserve"> </w:t>
      </w:r>
      <w:r w:rsidRPr="0031675F">
        <w:rPr>
          <w:spacing w:val="-1"/>
        </w:rPr>
        <w:t>tripped</w:t>
      </w:r>
      <w:r w:rsidRPr="0031675F">
        <w:rPr>
          <w:spacing w:val="24"/>
        </w:rPr>
        <w:t xml:space="preserve"> </w:t>
      </w:r>
      <w:r w:rsidRPr="0031675F">
        <w:rPr>
          <w:spacing w:val="-1"/>
        </w:rPr>
        <w:t>near</w:t>
      </w:r>
      <w:r w:rsidRPr="0031675F">
        <w:rPr>
          <w:spacing w:val="24"/>
        </w:rPr>
        <w:t xml:space="preserve"> </w:t>
      </w:r>
      <w:r w:rsidRPr="0031675F">
        <w:t>the</w:t>
      </w:r>
      <w:r w:rsidRPr="0031675F">
        <w:rPr>
          <w:spacing w:val="24"/>
        </w:rPr>
        <w:t xml:space="preserve"> </w:t>
      </w:r>
      <w:r w:rsidRPr="0031675F">
        <w:rPr>
          <w:spacing w:val="-1"/>
        </w:rPr>
        <w:t>top</w:t>
      </w:r>
      <w:r w:rsidRPr="0031675F">
        <w:rPr>
          <w:spacing w:val="23"/>
        </w:rPr>
        <w:t xml:space="preserve"> </w:t>
      </w:r>
      <w:r w:rsidRPr="0031675F">
        <w:rPr>
          <w:spacing w:val="-1"/>
        </w:rPr>
        <w:t>and</w:t>
      </w:r>
      <w:r w:rsidRPr="0031675F">
        <w:rPr>
          <w:spacing w:val="23"/>
        </w:rPr>
        <w:t xml:space="preserve"> </w:t>
      </w:r>
      <w:r w:rsidRPr="0031675F">
        <w:rPr>
          <w:spacing w:val="-1"/>
        </w:rPr>
        <w:t>bottom</w:t>
      </w:r>
      <w:r w:rsidRPr="0031675F">
        <w:rPr>
          <w:spacing w:val="22"/>
        </w:rPr>
        <w:t xml:space="preserve"> </w:t>
      </w:r>
      <w:r w:rsidRPr="0031675F">
        <w:t>of</w:t>
      </w:r>
      <w:r w:rsidRPr="0031675F">
        <w:rPr>
          <w:spacing w:val="24"/>
        </w:rPr>
        <w:t xml:space="preserve"> </w:t>
      </w:r>
      <w:r w:rsidRPr="0031675F">
        <w:rPr>
          <w:spacing w:val="-1"/>
        </w:rPr>
        <w:t>the</w:t>
      </w:r>
      <w:r w:rsidRPr="0031675F">
        <w:rPr>
          <w:spacing w:val="24"/>
        </w:rPr>
        <w:t xml:space="preserve"> </w:t>
      </w:r>
      <w:r w:rsidRPr="0031675F">
        <w:rPr>
          <w:spacing w:val="-1"/>
        </w:rPr>
        <w:t>water</w:t>
      </w:r>
      <w:r w:rsidRPr="0031675F">
        <w:rPr>
          <w:spacing w:val="24"/>
        </w:rPr>
        <w:t xml:space="preserve"> </w:t>
      </w:r>
      <w:r w:rsidRPr="0031675F">
        <w:rPr>
          <w:spacing w:val="-1"/>
        </w:rPr>
        <w:t>column</w:t>
      </w:r>
      <w:r w:rsidRPr="0031675F">
        <w:rPr>
          <w:spacing w:val="23"/>
        </w:rPr>
        <w:t xml:space="preserve"> </w:t>
      </w:r>
      <w:r w:rsidRPr="0031675F">
        <w:rPr>
          <w:spacing w:val="-1"/>
        </w:rPr>
        <w:t>to</w:t>
      </w:r>
      <w:r w:rsidRPr="0031675F">
        <w:rPr>
          <w:spacing w:val="25"/>
        </w:rPr>
        <w:t xml:space="preserve"> </w:t>
      </w:r>
      <w:r w:rsidRPr="0031675F">
        <w:rPr>
          <w:spacing w:val="-1"/>
        </w:rPr>
        <w:t>get</w:t>
      </w:r>
      <w:r w:rsidRPr="0031675F">
        <w:rPr>
          <w:spacing w:val="25"/>
        </w:rPr>
        <w:t xml:space="preserve"> </w:t>
      </w:r>
      <w:r w:rsidRPr="0031675F">
        <w:rPr>
          <w:spacing w:val="-1"/>
        </w:rPr>
        <w:t>the</w:t>
      </w:r>
      <w:r w:rsidRPr="0031675F">
        <w:rPr>
          <w:spacing w:val="25"/>
        </w:rPr>
        <w:t xml:space="preserve"> </w:t>
      </w:r>
      <w:r w:rsidRPr="0031675F">
        <w:rPr>
          <w:spacing w:val="-2"/>
        </w:rPr>
        <w:t>maximum</w:t>
      </w:r>
      <w:r w:rsidRPr="0031675F">
        <w:rPr>
          <w:spacing w:val="69"/>
        </w:rPr>
        <w:t xml:space="preserve"> </w:t>
      </w:r>
      <w:r w:rsidRPr="0031675F">
        <w:rPr>
          <w:spacing w:val="-1"/>
        </w:rPr>
        <w:t>range</w:t>
      </w:r>
      <w:r w:rsidRPr="0031675F">
        <w:rPr>
          <w:spacing w:val="13"/>
        </w:rPr>
        <w:t xml:space="preserve"> </w:t>
      </w:r>
      <w:r w:rsidRPr="0031675F">
        <w:t>of</w:t>
      </w:r>
      <w:r w:rsidRPr="0031675F">
        <w:rPr>
          <w:spacing w:val="9"/>
        </w:rPr>
        <w:t xml:space="preserve"> </w:t>
      </w:r>
      <w:r w:rsidRPr="0031675F">
        <w:rPr>
          <w:spacing w:val="-1"/>
        </w:rPr>
        <w:t>salinities</w:t>
      </w:r>
      <w:r w:rsidRPr="0031675F">
        <w:rPr>
          <w:spacing w:val="10"/>
        </w:rPr>
        <w:t xml:space="preserve"> </w:t>
      </w:r>
      <w:r w:rsidRPr="0031675F">
        <w:rPr>
          <w:spacing w:val="-1"/>
        </w:rPr>
        <w:t>measured</w:t>
      </w:r>
      <w:r w:rsidRPr="0031675F">
        <w:rPr>
          <w:spacing w:val="11"/>
        </w:rPr>
        <w:t xml:space="preserve"> </w:t>
      </w:r>
      <w:r w:rsidRPr="0031675F">
        <w:rPr>
          <w:spacing w:val="-1"/>
        </w:rPr>
        <w:t>by</w:t>
      </w:r>
      <w:r w:rsidRPr="0031675F">
        <w:rPr>
          <w:spacing w:val="13"/>
        </w:rPr>
        <w:t xml:space="preserve"> </w:t>
      </w:r>
      <w:r w:rsidRPr="0031675F">
        <w:rPr>
          <w:spacing w:val="-1"/>
        </w:rPr>
        <w:t>the</w:t>
      </w:r>
      <w:r w:rsidRPr="0031675F">
        <w:rPr>
          <w:spacing w:val="13"/>
        </w:rPr>
        <w:t xml:space="preserve"> </w:t>
      </w:r>
      <w:r w:rsidRPr="0031675F">
        <w:rPr>
          <w:spacing w:val="-2"/>
        </w:rPr>
        <w:t>CTD</w:t>
      </w:r>
      <w:r w:rsidRPr="0031675F">
        <w:rPr>
          <w:spacing w:val="11"/>
        </w:rPr>
        <w:t xml:space="preserve"> </w:t>
      </w:r>
      <w:r w:rsidRPr="0031675F">
        <w:t>at</w:t>
      </w:r>
      <w:r w:rsidRPr="0031675F">
        <w:rPr>
          <w:spacing w:val="12"/>
        </w:rPr>
        <w:t xml:space="preserve"> </w:t>
      </w:r>
      <w:r w:rsidRPr="0031675F">
        <w:t>a</w:t>
      </w:r>
      <w:r w:rsidRPr="0031675F">
        <w:rPr>
          <w:spacing w:val="9"/>
        </w:rPr>
        <w:t xml:space="preserve"> </w:t>
      </w:r>
      <w:r w:rsidRPr="0031675F">
        <w:rPr>
          <w:spacing w:val="-1"/>
        </w:rPr>
        <w:t>station.</w:t>
      </w:r>
      <w:r w:rsidRPr="0031675F">
        <w:rPr>
          <w:spacing w:val="19"/>
        </w:rPr>
        <w:t xml:space="preserve"> </w:t>
      </w:r>
      <w:r w:rsidRPr="0031675F">
        <w:rPr>
          <w:spacing w:val="-1"/>
        </w:rPr>
        <w:t>However,</w:t>
      </w:r>
      <w:r w:rsidRPr="0031675F">
        <w:rPr>
          <w:spacing w:val="12"/>
        </w:rPr>
        <w:t xml:space="preserve"> </w:t>
      </w:r>
      <w:r w:rsidRPr="0031675F">
        <w:rPr>
          <w:spacing w:val="-1"/>
        </w:rPr>
        <w:t>to</w:t>
      </w:r>
      <w:r w:rsidRPr="0031675F">
        <w:rPr>
          <w:spacing w:val="13"/>
        </w:rPr>
        <w:t xml:space="preserve"> </w:t>
      </w:r>
      <w:r w:rsidRPr="0031675F">
        <w:rPr>
          <w:spacing w:val="-2"/>
        </w:rPr>
        <w:t>allow</w:t>
      </w:r>
      <w:r w:rsidRPr="0031675F">
        <w:rPr>
          <w:spacing w:val="13"/>
        </w:rPr>
        <w:t xml:space="preserve"> </w:t>
      </w:r>
      <w:r w:rsidRPr="0031675F">
        <w:t>a</w:t>
      </w:r>
      <w:r w:rsidRPr="0031675F">
        <w:rPr>
          <w:spacing w:val="12"/>
        </w:rPr>
        <w:t xml:space="preserve"> </w:t>
      </w:r>
      <w:r w:rsidRPr="0031675F">
        <w:rPr>
          <w:spacing w:val="-2"/>
        </w:rPr>
        <w:t>good</w:t>
      </w:r>
      <w:r w:rsidRPr="0031675F">
        <w:rPr>
          <w:spacing w:val="9"/>
        </w:rPr>
        <w:t xml:space="preserve"> </w:t>
      </w:r>
      <w:r w:rsidRPr="0031675F">
        <w:t>match</w:t>
      </w:r>
      <w:r w:rsidRPr="0031675F">
        <w:rPr>
          <w:spacing w:val="9"/>
        </w:rPr>
        <w:t xml:space="preserve"> </w:t>
      </w:r>
      <w:r w:rsidRPr="0031675F">
        <w:t>with</w:t>
      </w:r>
      <w:r w:rsidRPr="0031675F">
        <w:rPr>
          <w:spacing w:val="9"/>
        </w:rPr>
        <w:t xml:space="preserve"> </w:t>
      </w:r>
      <w:r w:rsidRPr="0031675F">
        <w:t>the</w:t>
      </w:r>
      <w:r w:rsidRPr="0031675F">
        <w:rPr>
          <w:spacing w:val="10"/>
        </w:rPr>
        <w:t xml:space="preserve"> </w:t>
      </w:r>
      <w:r w:rsidRPr="0031675F">
        <w:rPr>
          <w:spacing w:val="-2"/>
        </w:rPr>
        <w:t>CTD</w:t>
      </w:r>
      <w:r w:rsidRPr="0031675F">
        <w:rPr>
          <w:spacing w:val="53"/>
        </w:rPr>
        <w:t xml:space="preserve"> </w:t>
      </w:r>
      <w:r w:rsidRPr="0031675F">
        <w:rPr>
          <w:spacing w:val="-1"/>
        </w:rPr>
        <w:t>readings,</w:t>
      </w:r>
      <w:r w:rsidRPr="0031675F">
        <w:rPr>
          <w:spacing w:val="24"/>
        </w:rPr>
        <w:t xml:space="preserve"> </w:t>
      </w:r>
      <w:r w:rsidRPr="0031675F">
        <w:t>avoid</w:t>
      </w:r>
      <w:r w:rsidRPr="0031675F">
        <w:rPr>
          <w:spacing w:val="23"/>
        </w:rPr>
        <w:t xml:space="preserve"> </w:t>
      </w:r>
      <w:r w:rsidRPr="0031675F">
        <w:rPr>
          <w:spacing w:val="-1"/>
        </w:rPr>
        <w:t>sampling</w:t>
      </w:r>
      <w:r w:rsidRPr="0031675F">
        <w:rPr>
          <w:spacing w:val="23"/>
        </w:rPr>
        <w:t xml:space="preserve"> </w:t>
      </w:r>
      <w:r w:rsidRPr="0031675F">
        <w:rPr>
          <w:spacing w:val="-1"/>
        </w:rPr>
        <w:t>depths</w:t>
      </w:r>
      <w:r w:rsidRPr="0031675F">
        <w:rPr>
          <w:spacing w:val="23"/>
        </w:rPr>
        <w:t xml:space="preserve"> </w:t>
      </w:r>
      <w:r w:rsidRPr="0031675F">
        <w:t>where</w:t>
      </w:r>
      <w:r w:rsidRPr="0031675F">
        <w:rPr>
          <w:spacing w:val="24"/>
        </w:rPr>
        <w:t xml:space="preserve"> </w:t>
      </w:r>
      <w:r w:rsidRPr="0031675F">
        <w:rPr>
          <w:spacing w:val="-1"/>
        </w:rPr>
        <w:t>there</w:t>
      </w:r>
      <w:r w:rsidRPr="0031675F">
        <w:rPr>
          <w:spacing w:val="24"/>
        </w:rPr>
        <w:t xml:space="preserve"> </w:t>
      </w:r>
      <w:r w:rsidRPr="0031675F">
        <w:t>are</w:t>
      </w:r>
      <w:r w:rsidRPr="0031675F">
        <w:rPr>
          <w:spacing w:val="24"/>
        </w:rPr>
        <w:t xml:space="preserve"> </w:t>
      </w:r>
      <w:r w:rsidRPr="0031675F">
        <w:rPr>
          <w:spacing w:val="-1"/>
        </w:rPr>
        <w:t>significant</w:t>
      </w:r>
      <w:r w:rsidRPr="0031675F">
        <w:rPr>
          <w:spacing w:val="25"/>
        </w:rPr>
        <w:t xml:space="preserve"> </w:t>
      </w:r>
      <w:r w:rsidRPr="0031675F">
        <w:rPr>
          <w:spacing w:val="-1"/>
        </w:rPr>
        <w:t>salinity</w:t>
      </w:r>
      <w:r w:rsidRPr="0031675F">
        <w:rPr>
          <w:spacing w:val="25"/>
        </w:rPr>
        <w:t xml:space="preserve"> </w:t>
      </w:r>
      <w:r w:rsidRPr="0031675F">
        <w:rPr>
          <w:spacing w:val="-1"/>
        </w:rPr>
        <w:t>and</w:t>
      </w:r>
      <w:r w:rsidRPr="0031675F">
        <w:rPr>
          <w:spacing w:val="23"/>
        </w:rPr>
        <w:t xml:space="preserve"> </w:t>
      </w:r>
      <w:r w:rsidRPr="0031675F">
        <w:rPr>
          <w:spacing w:val="-1"/>
        </w:rPr>
        <w:t>temperature</w:t>
      </w:r>
      <w:r w:rsidRPr="0031675F">
        <w:rPr>
          <w:spacing w:val="24"/>
        </w:rPr>
        <w:t xml:space="preserve"> </w:t>
      </w:r>
      <w:r w:rsidRPr="0031675F">
        <w:rPr>
          <w:spacing w:val="-1"/>
        </w:rPr>
        <w:t>gradients,</w:t>
      </w:r>
      <w:r w:rsidRPr="0031675F">
        <w:rPr>
          <w:spacing w:val="24"/>
        </w:rPr>
        <w:t xml:space="preserve"> </w:t>
      </w:r>
      <w:r w:rsidRPr="0031675F">
        <w:t>as</w:t>
      </w:r>
      <w:r w:rsidRPr="0031675F">
        <w:rPr>
          <w:spacing w:val="65"/>
        </w:rPr>
        <w:t xml:space="preserve"> </w:t>
      </w:r>
      <w:r w:rsidRPr="0031675F">
        <w:t>there</w:t>
      </w:r>
      <w:r w:rsidRPr="0031675F">
        <w:rPr>
          <w:spacing w:val="8"/>
        </w:rPr>
        <w:t xml:space="preserve"> </w:t>
      </w:r>
      <w:r w:rsidRPr="0031675F">
        <w:rPr>
          <w:spacing w:val="-2"/>
        </w:rPr>
        <w:t>is</w:t>
      </w:r>
      <w:r w:rsidRPr="0031675F">
        <w:rPr>
          <w:spacing w:val="7"/>
        </w:rPr>
        <w:t xml:space="preserve"> </w:t>
      </w:r>
      <w:r w:rsidRPr="0031675F">
        <w:rPr>
          <w:spacing w:val="-1"/>
        </w:rPr>
        <w:t>likely</w:t>
      </w:r>
      <w:r w:rsidRPr="0031675F">
        <w:rPr>
          <w:spacing w:val="6"/>
        </w:rPr>
        <w:t xml:space="preserve"> </w:t>
      </w:r>
      <w:r w:rsidRPr="0031675F">
        <w:rPr>
          <w:spacing w:val="-1"/>
        </w:rPr>
        <w:t>to</w:t>
      </w:r>
      <w:r w:rsidRPr="0031675F">
        <w:rPr>
          <w:spacing w:val="8"/>
        </w:rPr>
        <w:t xml:space="preserve"> </w:t>
      </w:r>
      <w:r w:rsidRPr="0031675F">
        <w:rPr>
          <w:spacing w:val="-1"/>
        </w:rPr>
        <w:t>be</w:t>
      </w:r>
      <w:r w:rsidRPr="0031675F">
        <w:rPr>
          <w:spacing w:val="5"/>
        </w:rPr>
        <w:t xml:space="preserve"> </w:t>
      </w:r>
      <w:r w:rsidRPr="0031675F">
        <w:rPr>
          <w:spacing w:val="-1"/>
        </w:rPr>
        <w:t>difference</w:t>
      </w:r>
      <w:r w:rsidRPr="0031675F">
        <w:rPr>
          <w:spacing w:val="8"/>
        </w:rPr>
        <w:t xml:space="preserve"> </w:t>
      </w:r>
      <w:r w:rsidRPr="0031675F">
        <w:rPr>
          <w:spacing w:val="-1"/>
        </w:rPr>
        <w:t>between</w:t>
      </w:r>
      <w:r w:rsidRPr="0031675F">
        <w:rPr>
          <w:spacing w:val="7"/>
        </w:rPr>
        <w:t xml:space="preserve"> </w:t>
      </w:r>
      <w:r w:rsidRPr="0031675F">
        <w:t>the</w:t>
      </w:r>
      <w:r w:rsidRPr="0031675F">
        <w:rPr>
          <w:spacing w:val="5"/>
        </w:rPr>
        <w:t xml:space="preserve"> </w:t>
      </w:r>
      <w:r w:rsidRPr="0031675F">
        <w:rPr>
          <w:spacing w:val="-1"/>
        </w:rPr>
        <w:t>sample</w:t>
      </w:r>
      <w:r w:rsidRPr="0031675F">
        <w:rPr>
          <w:spacing w:val="5"/>
        </w:rPr>
        <w:t xml:space="preserve"> </w:t>
      </w:r>
      <w:r w:rsidRPr="0031675F">
        <w:rPr>
          <w:spacing w:val="-1"/>
        </w:rPr>
        <w:t>depth</w:t>
      </w:r>
      <w:r w:rsidRPr="0031675F">
        <w:rPr>
          <w:spacing w:val="6"/>
        </w:rPr>
        <w:t xml:space="preserve"> </w:t>
      </w:r>
      <w:r w:rsidRPr="0031675F">
        <w:rPr>
          <w:spacing w:val="-1"/>
        </w:rPr>
        <w:t>and</w:t>
      </w:r>
      <w:r w:rsidRPr="0031675F">
        <w:rPr>
          <w:spacing w:val="6"/>
        </w:rPr>
        <w:t xml:space="preserve"> </w:t>
      </w:r>
      <w:r w:rsidRPr="0031675F">
        <w:rPr>
          <w:spacing w:val="-1"/>
        </w:rPr>
        <w:t>the</w:t>
      </w:r>
      <w:r w:rsidRPr="0031675F">
        <w:rPr>
          <w:spacing w:val="8"/>
        </w:rPr>
        <w:t xml:space="preserve"> </w:t>
      </w:r>
      <w:r w:rsidRPr="0031675F">
        <w:rPr>
          <w:spacing w:val="-1"/>
        </w:rPr>
        <w:t>depth</w:t>
      </w:r>
      <w:r w:rsidRPr="0031675F">
        <w:rPr>
          <w:spacing w:val="4"/>
        </w:rPr>
        <w:t xml:space="preserve"> </w:t>
      </w:r>
      <w:r w:rsidRPr="0031675F">
        <w:rPr>
          <w:spacing w:val="-1"/>
        </w:rPr>
        <w:t>recorded</w:t>
      </w:r>
      <w:r w:rsidRPr="0031675F">
        <w:rPr>
          <w:spacing w:val="7"/>
        </w:rPr>
        <w:t xml:space="preserve"> </w:t>
      </w:r>
      <w:r w:rsidRPr="0031675F">
        <w:rPr>
          <w:spacing w:val="-1"/>
        </w:rPr>
        <w:t>by</w:t>
      </w:r>
      <w:r w:rsidRPr="0031675F">
        <w:rPr>
          <w:spacing w:val="6"/>
        </w:rPr>
        <w:t xml:space="preserve"> </w:t>
      </w:r>
      <w:r w:rsidRPr="0031675F">
        <w:t>the</w:t>
      </w:r>
      <w:r w:rsidRPr="0031675F">
        <w:rPr>
          <w:spacing w:val="5"/>
        </w:rPr>
        <w:t xml:space="preserve"> </w:t>
      </w:r>
      <w:r w:rsidRPr="0031675F">
        <w:rPr>
          <w:spacing w:val="-2"/>
        </w:rPr>
        <w:t>CTD</w:t>
      </w:r>
      <w:r w:rsidRPr="0031675F">
        <w:rPr>
          <w:spacing w:val="8"/>
        </w:rPr>
        <w:t xml:space="preserve"> </w:t>
      </w:r>
      <w:r w:rsidRPr="0031675F">
        <w:rPr>
          <w:spacing w:val="-1"/>
        </w:rPr>
        <w:t>due</w:t>
      </w:r>
      <w:r w:rsidRPr="0031675F">
        <w:rPr>
          <w:spacing w:val="5"/>
        </w:rPr>
        <w:t xml:space="preserve"> </w:t>
      </w:r>
      <w:r w:rsidRPr="0031675F">
        <w:rPr>
          <w:spacing w:val="-1"/>
        </w:rPr>
        <w:t>to</w:t>
      </w:r>
      <w:r w:rsidRPr="0031675F">
        <w:rPr>
          <w:spacing w:val="61"/>
        </w:rPr>
        <w:t xml:space="preserve"> </w:t>
      </w:r>
      <w:r w:rsidRPr="0031675F">
        <w:t xml:space="preserve">wire </w:t>
      </w:r>
      <w:r w:rsidRPr="0031675F">
        <w:rPr>
          <w:spacing w:val="-1"/>
        </w:rPr>
        <w:t>angle.</w:t>
      </w:r>
    </w:p>
    <w:p w14:paraId="69257BC4" w14:textId="77777777" w:rsidR="0031675F" w:rsidRPr="0031675F" w:rsidRDefault="0031675F" w:rsidP="0041119A">
      <w:pPr>
        <w:rPr>
          <w:spacing w:val="-1"/>
        </w:rPr>
      </w:pPr>
      <w:r w:rsidRPr="0031675F">
        <w:rPr>
          <w:spacing w:val="-1"/>
        </w:rPr>
        <w:t>Salinity</w:t>
      </w:r>
      <w:r w:rsidRPr="0031675F">
        <w:rPr>
          <w:spacing w:val="20"/>
        </w:rPr>
        <w:t xml:space="preserve"> </w:t>
      </w:r>
      <w:r w:rsidRPr="0031675F">
        <w:rPr>
          <w:spacing w:val="-1"/>
        </w:rPr>
        <w:t>samples</w:t>
      </w:r>
      <w:r w:rsidRPr="0031675F">
        <w:rPr>
          <w:spacing w:val="17"/>
        </w:rPr>
        <w:t xml:space="preserve"> </w:t>
      </w:r>
      <w:r w:rsidRPr="0031675F">
        <w:t>are</w:t>
      </w:r>
      <w:r w:rsidRPr="0031675F">
        <w:rPr>
          <w:spacing w:val="17"/>
        </w:rPr>
        <w:t xml:space="preserve"> </w:t>
      </w:r>
      <w:r w:rsidRPr="0031675F">
        <w:rPr>
          <w:spacing w:val="-1"/>
        </w:rPr>
        <w:t>stored</w:t>
      </w:r>
      <w:r w:rsidRPr="0031675F">
        <w:rPr>
          <w:spacing w:val="16"/>
        </w:rPr>
        <w:t xml:space="preserve"> </w:t>
      </w:r>
      <w:r w:rsidRPr="0031675F">
        <w:t>in</w:t>
      </w:r>
      <w:r w:rsidRPr="0031675F">
        <w:rPr>
          <w:spacing w:val="18"/>
        </w:rPr>
        <w:t xml:space="preserve"> </w:t>
      </w:r>
      <w:r w:rsidRPr="0031675F">
        <w:rPr>
          <w:spacing w:val="-1"/>
        </w:rPr>
        <w:t>250</w:t>
      </w:r>
      <w:r w:rsidRPr="0031675F">
        <w:rPr>
          <w:spacing w:val="15"/>
        </w:rPr>
        <w:t xml:space="preserve"> </w:t>
      </w:r>
      <w:r w:rsidRPr="0031675F">
        <w:t>ml</w:t>
      </w:r>
      <w:r w:rsidRPr="0031675F">
        <w:rPr>
          <w:spacing w:val="19"/>
        </w:rPr>
        <w:t xml:space="preserve"> </w:t>
      </w:r>
      <w:r w:rsidRPr="0031675F">
        <w:rPr>
          <w:spacing w:val="-1"/>
        </w:rPr>
        <w:t>screw-capped</w:t>
      </w:r>
      <w:r w:rsidRPr="0031675F">
        <w:rPr>
          <w:spacing w:val="19"/>
        </w:rPr>
        <w:t xml:space="preserve"> </w:t>
      </w:r>
      <w:r w:rsidRPr="0031675F">
        <w:rPr>
          <w:spacing w:val="-1"/>
        </w:rPr>
        <w:t>plastic</w:t>
      </w:r>
      <w:r w:rsidRPr="0031675F">
        <w:rPr>
          <w:spacing w:val="18"/>
        </w:rPr>
        <w:t xml:space="preserve"> </w:t>
      </w:r>
      <w:r w:rsidRPr="0031675F">
        <w:rPr>
          <w:spacing w:val="-1"/>
        </w:rPr>
        <w:t>bottles.</w:t>
      </w:r>
      <w:r w:rsidRPr="0031675F">
        <w:rPr>
          <w:spacing w:val="37"/>
        </w:rPr>
        <w:t xml:space="preserve"> </w:t>
      </w:r>
      <w:r w:rsidRPr="0031675F">
        <w:rPr>
          <w:spacing w:val="-1"/>
        </w:rPr>
        <w:t>Before</w:t>
      </w:r>
      <w:r w:rsidRPr="0031675F">
        <w:rPr>
          <w:spacing w:val="17"/>
        </w:rPr>
        <w:t xml:space="preserve"> </w:t>
      </w:r>
      <w:r w:rsidRPr="0031675F">
        <w:t>a</w:t>
      </w:r>
      <w:r w:rsidRPr="0031675F">
        <w:rPr>
          <w:spacing w:val="17"/>
        </w:rPr>
        <w:t xml:space="preserve"> </w:t>
      </w:r>
      <w:r w:rsidRPr="0031675F">
        <w:rPr>
          <w:spacing w:val="-1"/>
        </w:rPr>
        <w:t>cruise,</w:t>
      </w:r>
      <w:r w:rsidRPr="0031675F">
        <w:rPr>
          <w:spacing w:val="19"/>
        </w:rPr>
        <w:t xml:space="preserve"> </w:t>
      </w:r>
      <w:r w:rsidRPr="0031675F">
        <w:t>the</w:t>
      </w:r>
      <w:r w:rsidRPr="0031675F">
        <w:rPr>
          <w:spacing w:val="17"/>
        </w:rPr>
        <w:t xml:space="preserve"> </w:t>
      </w:r>
      <w:r w:rsidRPr="0031675F">
        <w:rPr>
          <w:spacing w:val="-1"/>
        </w:rPr>
        <w:t>bottles</w:t>
      </w:r>
      <w:r w:rsidRPr="0031675F">
        <w:rPr>
          <w:spacing w:val="19"/>
        </w:rPr>
        <w:t xml:space="preserve"> </w:t>
      </w:r>
      <w:r w:rsidRPr="0031675F">
        <w:rPr>
          <w:spacing w:val="-1"/>
        </w:rPr>
        <w:t>are</w:t>
      </w:r>
      <w:r w:rsidRPr="0031675F">
        <w:rPr>
          <w:spacing w:val="63"/>
        </w:rPr>
        <w:t xml:space="preserve"> </w:t>
      </w:r>
      <w:r w:rsidRPr="0031675F">
        <w:rPr>
          <w:spacing w:val="-1"/>
        </w:rPr>
        <w:t>soaked</w:t>
      </w:r>
      <w:r w:rsidRPr="0031675F">
        <w:rPr>
          <w:spacing w:val="7"/>
        </w:rPr>
        <w:t xml:space="preserve"> </w:t>
      </w:r>
      <w:r w:rsidRPr="0031675F">
        <w:t>in</w:t>
      </w:r>
      <w:r w:rsidRPr="0031675F">
        <w:rPr>
          <w:spacing w:val="6"/>
        </w:rPr>
        <w:t xml:space="preserve"> </w:t>
      </w:r>
      <w:r w:rsidRPr="0031675F">
        <w:rPr>
          <w:spacing w:val="-2"/>
        </w:rPr>
        <w:t>RO</w:t>
      </w:r>
      <w:r w:rsidRPr="0031675F">
        <w:rPr>
          <w:spacing w:val="5"/>
        </w:rPr>
        <w:t xml:space="preserve"> </w:t>
      </w:r>
      <w:r w:rsidRPr="0031675F">
        <w:t>water</w:t>
      </w:r>
      <w:r w:rsidRPr="0031675F">
        <w:rPr>
          <w:spacing w:val="5"/>
        </w:rPr>
        <w:t xml:space="preserve"> </w:t>
      </w:r>
      <w:r w:rsidRPr="0031675F">
        <w:rPr>
          <w:spacing w:val="-1"/>
        </w:rPr>
        <w:t>and</w:t>
      </w:r>
      <w:r w:rsidRPr="0031675F">
        <w:rPr>
          <w:spacing w:val="6"/>
        </w:rPr>
        <w:t xml:space="preserve"> </w:t>
      </w:r>
      <w:r w:rsidRPr="0031675F">
        <w:t>air</w:t>
      </w:r>
      <w:r w:rsidRPr="0031675F">
        <w:rPr>
          <w:spacing w:val="4"/>
        </w:rPr>
        <w:t xml:space="preserve"> </w:t>
      </w:r>
      <w:r w:rsidRPr="0031675F">
        <w:rPr>
          <w:spacing w:val="-1"/>
        </w:rPr>
        <w:t>dried</w:t>
      </w:r>
      <w:r w:rsidRPr="0031675F">
        <w:rPr>
          <w:spacing w:val="6"/>
        </w:rPr>
        <w:t xml:space="preserve"> </w:t>
      </w:r>
      <w:r w:rsidRPr="0031675F">
        <w:rPr>
          <w:spacing w:val="-1"/>
        </w:rPr>
        <w:t>to</w:t>
      </w:r>
      <w:r w:rsidRPr="0031675F">
        <w:rPr>
          <w:spacing w:val="8"/>
        </w:rPr>
        <w:t xml:space="preserve"> </w:t>
      </w:r>
      <w:r w:rsidRPr="0031675F">
        <w:rPr>
          <w:spacing w:val="-2"/>
        </w:rPr>
        <w:t>remove</w:t>
      </w:r>
      <w:r w:rsidRPr="0031675F">
        <w:rPr>
          <w:spacing w:val="5"/>
        </w:rPr>
        <w:t xml:space="preserve"> </w:t>
      </w:r>
      <w:r w:rsidRPr="0031675F">
        <w:t>old</w:t>
      </w:r>
      <w:r w:rsidRPr="0031675F">
        <w:rPr>
          <w:spacing w:val="4"/>
        </w:rPr>
        <w:t xml:space="preserve"> </w:t>
      </w:r>
      <w:r w:rsidRPr="0031675F">
        <w:rPr>
          <w:spacing w:val="-1"/>
        </w:rPr>
        <w:t>salt</w:t>
      </w:r>
      <w:r w:rsidRPr="0031675F">
        <w:rPr>
          <w:spacing w:val="5"/>
        </w:rPr>
        <w:t xml:space="preserve"> </w:t>
      </w:r>
      <w:r w:rsidRPr="0031675F">
        <w:rPr>
          <w:spacing w:val="-1"/>
        </w:rPr>
        <w:t>crystals.</w:t>
      </w:r>
      <w:r w:rsidRPr="0031675F">
        <w:rPr>
          <w:spacing w:val="12"/>
        </w:rPr>
        <w:t xml:space="preserve"> </w:t>
      </w:r>
      <w:r w:rsidRPr="0031675F">
        <w:rPr>
          <w:spacing w:val="-1"/>
        </w:rPr>
        <w:t>Before</w:t>
      </w:r>
      <w:r w:rsidRPr="0031675F">
        <w:rPr>
          <w:spacing w:val="8"/>
        </w:rPr>
        <w:t xml:space="preserve"> </w:t>
      </w:r>
      <w:r w:rsidRPr="0031675F">
        <w:rPr>
          <w:spacing w:val="-1"/>
        </w:rPr>
        <w:t>taking</w:t>
      </w:r>
      <w:r w:rsidRPr="0031675F">
        <w:rPr>
          <w:spacing w:val="6"/>
        </w:rPr>
        <w:t xml:space="preserve"> </w:t>
      </w:r>
      <w:r w:rsidRPr="0031675F">
        <w:t>a</w:t>
      </w:r>
      <w:r w:rsidRPr="0031675F">
        <w:rPr>
          <w:spacing w:val="5"/>
        </w:rPr>
        <w:t xml:space="preserve"> </w:t>
      </w:r>
      <w:r w:rsidRPr="0031675F">
        <w:rPr>
          <w:spacing w:val="-1"/>
        </w:rPr>
        <w:t>sample</w:t>
      </w:r>
      <w:r w:rsidRPr="0031675F">
        <w:rPr>
          <w:spacing w:val="7"/>
        </w:rPr>
        <w:t xml:space="preserve"> </w:t>
      </w:r>
      <w:r w:rsidRPr="0031675F">
        <w:rPr>
          <w:spacing w:val="-2"/>
        </w:rPr>
        <w:t>from</w:t>
      </w:r>
      <w:r w:rsidRPr="0031675F">
        <w:rPr>
          <w:spacing w:val="6"/>
        </w:rPr>
        <w:t xml:space="preserve"> </w:t>
      </w:r>
      <w:r w:rsidRPr="0031675F">
        <w:t>the</w:t>
      </w:r>
      <w:r w:rsidRPr="0031675F">
        <w:rPr>
          <w:spacing w:val="7"/>
        </w:rPr>
        <w:t xml:space="preserve"> </w:t>
      </w:r>
      <w:r w:rsidRPr="0031675F">
        <w:rPr>
          <w:spacing w:val="-1"/>
        </w:rPr>
        <w:t>Niskin</w:t>
      </w:r>
      <w:r w:rsidRPr="0031675F">
        <w:rPr>
          <w:spacing w:val="53"/>
        </w:rPr>
        <w:t xml:space="preserve"> </w:t>
      </w:r>
      <w:r w:rsidRPr="0031675F">
        <w:rPr>
          <w:spacing w:val="-1"/>
        </w:rPr>
        <w:t>Bottle,</w:t>
      </w:r>
      <w:r w:rsidRPr="0031675F">
        <w:rPr>
          <w:spacing w:val="22"/>
        </w:rPr>
        <w:t xml:space="preserve"> </w:t>
      </w:r>
      <w:r w:rsidRPr="0031675F">
        <w:rPr>
          <w:spacing w:val="-1"/>
        </w:rPr>
        <w:t>rinse</w:t>
      </w:r>
      <w:r w:rsidRPr="0031675F">
        <w:rPr>
          <w:spacing w:val="22"/>
        </w:rPr>
        <w:t xml:space="preserve"> </w:t>
      </w:r>
      <w:r w:rsidRPr="0031675F">
        <w:t>the</w:t>
      </w:r>
      <w:r w:rsidRPr="0031675F">
        <w:rPr>
          <w:spacing w:val="22"/>
        </w:rPr>
        <w:t xml:space="preserve"> </w:t>
      </w:r>
      <w:r w:rsidRPr="0031675F">
        <w:rPr>
          <w:spacing w:val="-1"/>
        </w:rPr>
        <w:t>sample</w:t>
      </w:r>
      <w:r w:rsidRPr="0031675F">
        <w:rPr>
          <w:spacing w:val="22"/>
        </w:rPr>
        <w:t xml:space="preserve"> </w:t>
      </w:r>
      <w:r w:rsidRPr="0031675F">
        <w:rPr>
          <w:spacing w:val="-1"/>
        </w:rPr>
        <w:t>bottle</w:t>
      </w:r>
      <w:r w:rsidRPr="0031675F">
        <w:rPr>
          <w:spacing w:val="22"/>
        </w:rPr>
        <w:t xml:space="preserve"> </w:t>
      </w:r>
      <w:r w:rsidRPr="0031675F">
        <w:rPr>
          <w:spacing w:val="-1"/>
        </w:rPr>
        <w:t>and</w:t>
      </w:r>
      <w:r w:rsidRPr="0031675F">
        <w:rPr>
          <w:spacing w:val="21"/>
        </w:rPr>
        <w:t xml:space="preserve"> </w:t>
      </w:r>
      <w:r w:rsidRPr="0031675F">
        <w:t>cap</w:t>
      </w:r>
      <w:r w:rsidRPr="0031675F">
        <w:rPr>
          <w:spacing w:val="21"/>
        </w:rPr>
        <w:t xml:space="preserve"> </w:t>
      </w:r>
      <w:r w:rsidRPr="0031675F">
        <w:t>with</w:t>
      </w:r>
      <w:r w:rsidRPr="0031675F">
        <w:rPr>
          <w:spacing w:val="21"/>
        </w:rPr>
        <w:t xml:space="preserve"> </w:t>
      </w:r>
      <w:r w:rsidRPr="0031675F">
        <w:rPr>
          <w:spacing w:val="-1"/>
        </w:rPr>
        <w:t>sample</w:t>
      </w:r>
      <w:r w:rsidRPr="0031675F">
        <w:rPr>
          <w:spacing w:val="19"/>
        </w:rPr>
        <w:t xml:space="preserve"> </w:t>
      </w:r>
      <w:r w:rsidRPr="0031675F">
        <w:t>water.</w:t>
      </w:r>
      <w:r w:rsidRPr="0031675F">
        <w:rPr>
          <w:spacing w:val="42"/>
        </w:rPr>
        <w:t xml:space="preserve"> </w:t>
      </w:r>
      <w:r w:rsidRPr="0031675F">
        <w:rPr>
          <w:spacing w:val="-1"/>
        </w:rPr>
        <w:t>Fill</w:t>
      </w:r>
      <w:r w:rsidRPr="0031675F">
        <w:rPr>
          <w:spacing w:val="21"/>
        </w:rPr>
        <w:t xml:space="preserve"> </w:t>
      </w:r>
      <w:r w:rsidRPr="0031675F">
        <w:t>the</w:t>
      </w:r>
      <w:r w:rsidRPr="0031675F">
        <w:rPr>
          <w:spacing w:val="22"/>
        </w:rPr>
        <w:t xml:space="preserve"> </w:t>
      </w:r>
      <w:r w:rsidRPr="0031675F">
        <w:rPr>
          <w:spacing w:val="-1"/>
        </w:rPr>
        <w:t>bottle</w:t>
      </w:r>
      <w:r w:rsidRPr="0031675F">
        <w:rPr>
          <w:spacing w:val="22"/>
        </w:rPr>
        <w:t xml:space="preserve"> </w:t>
      </w:r>
      <w:r w:rsidRPr="0031675F">
        <w:t>to</w:t>
      </w:r>
      <w:r w:rsidRPr="0031675F">
        <w:rPr>
          <w:spacing w:val="21"/>
        </w:rPr>
        <w:t xml:space="preserve"> </w:t>
      </w:r>
      <w:r w:rsidRPr="0031675F">
        <w:rPr>
          <w:spacing w:val="-1"/>
        </w:rPr>
        <w:t>near</w:t>
      </w:r>
      <w:r w:rsidRPr="0031675F">
        <w:rPr>
          <w:spacing w:val="21"/>
        </w:rPr>
        <w:t xml:space="preserve"> </w:t>
      </w:r>
      <w:r w:rsidRPr="0031675F">
        <w:t>the</w:t>
      </w:r>
      <w:r w:rsidRPr="0031675F">
        <w:rPr>
          <w:spacing w:val="22"/>
        </w:rPr>
        <w:t xml:space="preserve"> </w:t>
      </w:r>
      <w:r w:rsidRPr="0031675F">
        <w:t>top,</w:t>
      </w:r>
      <w:r w:rsidRPr="0031675F">
        <w:rPr>
          <w:spacing w:val="22"/>
        </w:rPr>
        <w:t xml:space="preserve"> </w:t>
      </w:r>
      <w:r w:rsidRPr="0031675F">
        <w:rPr>
          <w:spacing w:val="-1"/>
        </w:rPr>
        <w:t>leaving</w:t>
      </w:r>
      <w:r w:rsidRPr="0031675F">
        <w:rPr>
          <w:spacing w:val="45"/>
        </w:rPr>
        <w:t xml:space="preserve"> </w:t>
      </w:r>
      <w:r w:rsidRPr="0031675F">
        <w:t>only</w:t>
      </w:r>
      <w:r w:rsidRPr="0031675F">
        <w:rPr>
          <w:spacing w:val="5"/>
        </w:rPr>
        <w:t xml:space="preserve"> </w:t>
      </w:r>
      <w:r w:rsidRPr="0031675F">
        <w:t>a</w:t>
      </w:r>
      <w:r w:rsidRPr="0031675F">
        <w:rPr>
          <w:spacing w:val="5"/>
        </w:rPr>
        <w:t xml:space="preserve"> </w:t>
      </w:r>
      <w:r w:rsidRPr="0031675F">
        <w:t>small</w:t>
      </w:r>
      <w:r w:rsidRPr="0031675F">
        <w:rPr>
          <w:spacing w:val="4"/>
        </w:rPr>
        <w:t xml:space="preserve"> </w:t>
      </w:r>
      <w:r w:rsidRPr="0031675F">
        <w:t>air</w:t>
      </w:r>
      <w:r w:rsidRPr="0031675F">
        <w:rPr>
          <w:spacing w:val="4"/>
        </w:rPr>
        <w:t xml:space="preserve"> </w:t>
      </w:r>
      <w:r w:rsidRPr="0031675F">
        <w:rPr>
          <w:spacing w:val="-1"/>
        </w:rPr>
        <w:t>bubble</w:t>
      </w:r>
      <w:r w:rsidRPr="0031675F">
        <w:rPr>
          <w:spacing w:val="5"/>
        </w:rPr>
        <w:t xml:space="preserve"> </w:t>
      </w:r>
      <w:r w:rsidRPr="0031675F">
        <w:rPr>
          <w:spacing w:val="-1"/>
        </w:rPr>
        <w:t>(&lt;</w:t>
      </w:r>
      <w:r w:rsidRPr="0031675F">
        <w:rPr>
          <w:spacing w:val="5"/>
        </w:rPr>
        <w:t xml:space="preserve"> </w:t>
      </w:r>
      <w:r w:rsidRPr="0031675F">
        <w:rPr>
          <w:spacing w:val="-1"/>
        </w:rPr>
        <w:t>20</w:t>
      </w:r>
      <w:r w:rsidRPr="0031675F">
        <w:rPr>
          <w:spacing w:val="5"/>
        </w:rPr>
        <w:t xml:space="preserve"> </w:t>
      </w:r>
      <w:r w:rsidRPr="0031675F">
        <w:t>ml)</w:t>
      </w:r>
      <w:r w:rsidRPr="0031675F">
        <w:rPr>
          <w:spacing w:val="5"/>
        </w:rPr>
        <w:t xml:space="preserve"> </w:t>
      </w:r>
      <w:r w:rsidRPr="0031675F">
        <w:t>in</w:t>
      </w:r>
      <w:r w:rsidRPr="0031675F">
        <w:rPr>
          <w:spacing w:val="4"/>
        </w:rPr>
        <w:t xml:space="preserve"> </w:t>
      </w:r>
      <w:r w:rsidRPr="0031675F">
        <w:t>the</w:t>
      </w:r>
      <w:r w:rsidRPr="0031675F">
        <w:rPr>
          <w:spacing w:val="5"/>
        </w:rPr>
        <w:t xml:space="preserve"> </w:t>
      </w:r>
      <w:r w:rsidRPr="0031675F">
        <w:rPr>
          <w:spacing w:val="-1"/>
        </w:rPr>
        <w:t>bottle</w:t>
      </w:r>
      <w:r w:rsidRPr="0031675F">
        <w:rPr>
          <w:spacing w:val="5"/>
        </w:rPr>
        <w:t xml:space="preserve"> </w:t>
      </w:r>
      <w:r w:rsidRPr="0031675F">
        <w:rPr>
          <w:spacing w:val="-1"/>
        </w:rPr>
        <w:t>to</w:t>
      </w:r>
      <w:r w:rsidRPr="0031675F">
        <w:rPr>
          <w:spacing w:val="6"/>
        </w:rPr>
        <w:t xml:space="preserve"> </w:t>
      </w:r>
      <w:r w:rsidRPr="0031675F">
        <w:rPr>
          <w:spacing w:val="-1"/>
        </w:rPr>
        <w:t>minimize</w:t>
      </w:r>
      <w:r w:rsidRPr="0031675F">
        <w:rPr>
          <w:spacing w:val="5"/>
        </w:rPr>
        <w:t xml:space="preserve"> </w:t>
      </w:r>
      <w:r w:rsidRPr="0031675F">
        <w:rPr>
          <w:spacing w:val="-1"/>
        </w:rPr>
        <w:t>evaporation.</w:t>
      </w:r>
      <w:r w:rsidRPr="0031675F">
        <w:rPr>
          <w:spacing w:val="10"/>
        </w:rPr>
        <w:t xml:space="preserve"> </w:t>
      </w:r>
      <w:r w:rsidRPr="0031675F">
        <w:rPr>
          <w:spacing w:val="-1"/>
        </w:rPr>
        <w:t>Put</w:t>
      </w:r>
      <w:r w:rsidRPr="0031675F">
        <w:rPr>
          <w:spacing w:val="5"/>
        </w:rPr>
        <w:t xml:space="preserve"> </w:t>
      </w:r>
      <w:r w:rsidRPr="0031675F">
        <w:t>the</w:t>
      </w:r>
      <w:r w:rsidRPr="0031675F">
        <w:rPr>
          <w:spacing w:val="3"/>
        </w:rPr>
        <w:t xml:space="preserve"> </w:t>
      </w:r>
      <w:r w:rsidRPr="0031675F">
        <w:t>cap</w:t>
      </w:r>
      <w:r w:rsidRPr="0031675F">
        <w:rPr>
          <w:spacing w:val="4"/>
        </w:rPr>
        <w:t xml:space="preserve"> </w:t>
      </w:r>
      <w:r w:rsidRPr="0031675F">
        <w:t>on</w:t>
      </w:r>
      <w:r w:rsidRPr="0031675F">
        <w:rPr>
          <w:spacing w:val="4"/>
        </w:rPr>
        <w:t xml:space="preserve"> </w:t>
      </w:r>
      <w:r w:rsidRPr="0031675F">
        <w:rPr>
          <w:spacing w:val="-1"/>
        </w:rPr>
        <w:t>tightly.</w:t>
      </w:r>
      <w:r w:rsidRPr="0031675F">
        <w:t xml:space="preserve"> </w:t>
      </w:r>
      <w:r w:rsidRPr="0031675F">
        <w:rPr>
          <w:spacing w:val="10"/>
        </w:rPr>
        <w:t xml:space="preserve"> </w:t>
      </w:r>
      <w:r w:rsidRPr="0031675F">
        <w:rPr>
          <w:spacing w:val="-1"/>
        </w:rPr>
        <w:t>Store</w:t>
      </w:r>
      <w:r w:rsidRPr="0031675F">
        <w:rPr>
          <w:spacing w:val="57"/>
        </w:rPr>
        <w:t xml:space="preserve"> </w:t>
      </w:r>
      <w:r w:rsidRPr="0031675F">
        <w:t>in</w:t>
      </w:r>
      <w:r w:rsidRPr="0031675F">
        <w:rPr>
          <w:spacing w:val="4"/>
        </w:rPr>
        <w:t xml:space="preserve"> </w:t>
      </w:r>
      <w:r w:rsidRPr="0031675F">
        <w:t>a</w:t>
      </w:r>
      <w:r w:rsidRPr="0031675F">
        <w:rPr>
          <w:spacing w:val="5"/>
        </w:rPr>
        <w:t xml:space="preserve"> </w:t>
      </w:r>
      <w:r w:rsidRPr="0031675F">
        <w:t>cool</w:t>
      </w:r>
      <w:r w:rsidRPr="0031675F">
        <w:rPr>
          <w:spacing w:val="4"/>
        </w:rPr>
        <w:t xml:space="preserve"> </w:t>
      </w:r>
      <w:r w:rsidRPr="0031675F">
        <w:rPr>
          <w:spacing w:val="-1"/>
        </w:rPr>
        <w:t>room</w:t>
      </w:r>
      <w:r w:rsidRPr="0031675F">
        <w:rPr>
          <w:spacing w:val="6"/>
        </w:rPr>
        <w:t xml:space="preserve"> </w:t>
      </w:r>
      <w:r w:rsidRPr="0031675F">
        <w:rPr>
          <w:spacing w:val="-1"/>
        </w:rPr>
        <w:t>(4-5°C),</w:t>
      </w:r>
      <w:r w:rsidRPr="0031675F">
        <w:rPr>
          <w:spacing w:val="5"/>
        </w:rPr>
        <w:t xml:space="preserve"> </w:t>
      </w:r>
      <w:r w:rsidRPr="0031675F">
        <w:t>if</w:t>
      </w:r>
      <w:r w:rsidRPr="0031675F">
        <w:rPr>
          <w:spacing w:val="4"/>
        </w:rPr>
        <w:t xml:space="preserve"> </w:t>
      </w:r>
      <w:r w:rsidRPr="0031675F">
        <w:rPr>
          <w:spacing w:val="-1"/>
        </w:rPr>
        <w:t>possible.</w:t>
      </w:r>
      <w:r w:rsidRPr="0031675F">
        <w:rPr>
          <w:spacing w:val="9"/>
        </w:rPr>
        <w:t xml:space="preserve"> </w:t>
      </w:r>
      <w:r w:rsidRPr="0031675F">
        <w:rPr>
          <w:spacing w:val="-1"/>
        </w:rPr>
        <w:t>Air-conditioned</w:t>
      </w:r>
      <w:r w:rsidRPr="0031675F">
        <w:rPr>
          <w:spacing w:val="4"/>
        </w:rPr>
        <w:t xml:space="preserve"> </w:t>
      </w:r>
      <w:r w:rsidRPr="0031675F">
        <w:rPr>
          <w:spacing w:val="-1"/>
        </w:rPr>
        <w:t>room</w:t>
      </w:r>
      <w:r w:rsidRPr="0031675F">
        <w:rPr>
          <w:spacing w:val="3"/>
        </w:rPr>
        <w:t xml:space="preserve"> </w:t>
      </w:r>
      <w:r w:rsidRPr="0031675F">
        <w:rPr>
          <w:spacing w:val="-1"/>
        </w:rPr>
        <w:t>temperature</w:t>
      </w:r>
      <w:r w:rsidRPr="0031675F">
        <w:rPr>
          <w:spacing w:val="5"/>
        </w:rPr>
        <w:t xml:space="preserve"> </w:t>
      </w:r>
      <w:r w:rsidRPr="0031675F">
        <w:t>is</w:t>
      </w:r>
      <w:r w:rsidRPr="0031675F">
        <w:rPr>
          <w:spacing w:val="4"/>
        </w:rPr>
        <w:t xml:space="preserve"> </w:t>
      </w:r>
      <w:r w:rsidRPr="0031675F">
        <w:rPr>
          <w:spacing w:val="-1"/>
        </w:rPr>
        <w:t>next</w:t>
      </w:r>
      <w:r w:rsidRPr="0031675F">
        <w:rPr>
          <w:spacing w:val="5"/>
        </w:rPr>
        <w:t xml:space="preserve"> </w:t>
      </w:r>
      <w:r w:rsidRPr="0031675F">
        <w:rPr>
          <w:spacing w:val="-2"/>
        </w:rPr>
        <w:t>best.</w:t>
      </w:r>
      <w:r w:rsidRPr="0031675F">
        <w:rPr>
          <w:spacing w:val="10"/>
        </w:rPr>
        <w:t xml:space="preserve"> </w:t>
      </w:r>
      <w:r w:rsidRPr="0031675F">
        <w:t>Do</w:t>
      </w:r>
      <w:r w:rsidRPr="0031675F">
        <w:rPr>
          <w:spacing w:val="6"/>
        </w:rPr>
        <w:t xml:space="preserve"> </w:t>
      </w:r>
      <w:r w:rsidRPr="0031675F">
        <w:rPr>
          <w:spacing w:val="-1"/>
        </w:rPr>
        <w:t>not</w:t>
      </w:r>
      <w:r w:rsidRPr="0031675F">
        <w:rPr>
          <w:spacing w:val="5"/>
        </w:rPr>
        <w:t xml:space="preserve"> </w:t>
      </w:r>
      <w:r w:rsidRPr="0031675F">
        <w:rPr>
          <w:spacing w:val="-2"/>
        </w:rPr>
        <w:t>expose</w:t>
      </w:r>
      <w:r w:rsidRPr="0031675F">
        <w:rPr>
          <w:spacing w:val="5"/>
        </w:rPr>
        <w:t xml:space="preserve"> </w:t>
      </w:r>
      <w:r w:rsidRPr="0031675F">
        <w:rPr>
          <w:spacing w:val="-1"/>
        </w:rPr>
        <w:t>to</w:t>
      </w:r>
      <w:r w:rsidRPr="0031675F">
        <w:rPr>
          <w:spacing w:val="65"/>
        </w:rPr>
        <w:t xml:space="preserve"> </w:t>
      </w:r>
      <w:r w:rsidRPr="0031675F">
        <w:rPr>
          <w:spacing w:val="-1"/>
        </w:rPr>
        <w:t>full sunlight</w:t>
      </w:r>
      <w:r w:rsidRPr="0031675F">
        <w:t xml:space="preserve"> or </w:t>
      </w:r>
      <w:r w:rsidRPr="0031675F">
        <w:rPr>
          <w:spacing w:val="-2"/>
        </w:rPr>
        <w:t>excessive</w:t>
      </w:r>
      <w:r w:rsidRPr="0031675F">
        <w:t xml:space="preserve"> </w:t>
      </w:r>
      <w:r w:rsidRPr="0031675F">
        <w:rPr>
          <w:spacing w:val="-1"/>
        </w:rPr>
        <w:t>heat.</w:t>
      </w:r>
      <w:r w:rsidRPr="0031675F">
        <w:rPr>
          <w:spacing w:val="49"/>
        </w:rPr>
        <w:t xml:space="preserve"> </w:t>
      </w:r>
      <w:r w:rsidRPr="0031675F">
        <w:rPr>
          <w:spacing w:val="-1"/>
        </w:rPr>
        <w:t>Do</w:t>
      </w:r>
      <w:r w:rsidRPr="0031675F">
        <w:rPr>
          <w:spacing w:val="1"/>
        </w:rPr>
        <w:t xml:space="preserve"> </w:t>
      </w:r>
      <w:r w:rsidRPr="0031675F">
        <w:rPr>
          <w:spacing w:val="-1"/>
        </w:rPr>
        <w:t>not</w:t>
      </w:r>
      <w:r w:rsidRPr="0031675F">
        <w:t xml:space="preserve"> </w:t>
      </w:r>
      <w:r w:rsidRPr="0031675F">
        <w:rPr>
          <w:spacing w:val="-1"/>
        </w:rPr>
        <w:t>freeze.</w:t>
      </w:r>
    </w:p>
    <w:p w14:paraId="3D9919D9" w14:textId="547EDD3E" w:rsidR="0031675F" w:rsidRPr="0031675F" w:rsidRDefault="0031675F" w:rsidP="0031675F">
      <w:pPr>
        <w:spacing w:after="120"/>
        <w:ind w:right="112"/>
        <w:jc w:val="both"/>
      </w:pPr>
      <w:r w:rsidRPr="0031675F">
        <w:rPr>
          <w:spacing w:val="-1"/>
        </w:rPr>
        <w:t>The</w:t>
      </w:r>
      <w:r w:rsidRPr="0031675F">
        <w:rPr>
          <w:spacing w:val="5"/>
        </w:rPr>
        <w:t xml:space="preserve"> </w:t>
      </w:r>
      <w:r w:rsidRPr="0031675F">
        <w:rPr>
          <w:spacing w:val="-1"/>
        </w:rPr>
        <w:t>reliability</w:t>
      </w:r>
      <w:r w:rsidRPr="0031675F">
        <w:rPr>
          <w:spacing w:val="6"/>
        </w:rPr>
        <w:t xml:space="preserve"> </w:t>
      </w:r>
      <w:r w:rsidRPr="0031675F">
        <w:rPr>
          <w:spacing w:val="-1"/>
        </w:rPr>
        <w:t>and</w:t>
      </w:r>
      <w:r w:rsidRPr="0031675F">
        <w:rPr>
          <w:spacing w:val="4"/>
        </w:rPr>
        <w:t xml:space="preserve"> </w:t>
      </w:r>
      <w:r w:rsidRPr="0031675F">
        <w:rPr>
          <w:spacing w:val="-1"/>
        </w:rPr>
        <w:t>accuracy</w:t>
      </w:r>
      <w:r w:rsidRPr="0031675F">
        <w:rPr>
          <w:spacing w:val="4"/>
        </w:rPr>
        <w:t xml:space="preserve"> </w:t>
      </w:r>
      <w:r w:rsidRPr="0031675F">
        <w:t>of</w:t>
      </w:r>
      <w:r w:rsidRPr="0031675F">
        <w:rPr>
          <w:spacing w:val="5"/>
        </w:rPr>
        <w:t xml:space="preserve"> </w:t>
      </w:r>
      <w:r w:rsidRPr="0031675F">
        <w:rPr>
          <w:spacing w:val="-1"/>
        </w:rPr>
        <w:t>salinity</w:t>
      </w:r>
      <w:r w:rsidRPr="0031675F">
        <w:rPr>
          <w:spacing w:val="5"/>
        </w:rPr>
        <w:t xml:space="preserve"> </w:t>
      </w:r>
      <w:r w:rsidRPr="0031675F">
        <w:rPr>
          <w:spacing w:val="-1"/>
        </w:rPr>
        <w:t>analyses</w:t>
      </w:r>
      <w:r w:rsidRPr="0031675F">
        <w:rPr>
          <w:spacing w:val="5"/>
        </w:rPr>
        <w:t xml:space="preserve"> </w:t>
      </w:r>
      <w:r w:rsidRPr="0031675F">
        <w:rPr>
          <w:spacing w:val="-1"/>
        </w:rPr>
        <w:t>by</w:t>
      </w:r>
      <w:r w:rsidRPr="0031675F">
        <w:rPr>
          <w:spacing w:val="3"/>
        </w:rPr>
        <w:t xml:space="preserve"> </w:t>
      </w:r>
      <w:r w:rsidRPr="0031675F">
        <w:rPr>
          <w:spacing w:val="-1"/>
        </w:rPr>
        <w:t>conductivity</w:t>
      </w:r>
      <w:r w:rsidRPr="0031675F">
        <w:rPr>
          <w:spacing w:val="6"/>
        </w:rPr>
        <w:t xml:space="preserve"> </w:t>
      </w:r>
      <w:r w:rsidRPr="0031675F">
        <w:t>are</w:t>
      </w:r>
      <w:r w:rsidRPr="0031675F">
        <w:rPr>
          <w:spacing w:val="3"/>
        </w:rPr>
        <w:t xml:space="preserve"> </w:t>
      </w:r>
      <w:r w:rsidRPr="0031675F">
        <w:rPr>
          <w:spacing w:val="-1"/>
        </w:rPr>
        <w:t>best</w:t>
      </w:r>
      <w:r w:rsidRPr="0031675F">
        <w:rPr>
          <w:spacing w:val="3"/>
        </w:rPr>
        <w:t xml:space="preserve"> </w:t>
      </w:r>
      <w:r w:rsidRPr="0031675F">
        <w:t>if</w:t>
      </w:r>
      <w:r w:rsidRPr="0031675F">
        <w:rPr>
          <w:spacing w:val="4"/>
        </w:rPr>
        <w:t xml:space="preserve"> </w:t>
      </w:r>
      <w:r w:rsidRPr="0031675F">
        <w:t>the</w:t>
      </w:r>
      <w:r w:rsidRPr="0031675F">
        <w:rPr>
          <w:spacing w:val="3"/>
        </w:rPr>
        <w:t xml:space="preserve"> </w:t>
      </w:r>
      <w:r w:rsidRPr="0031675F">
        <w:rPr>
          <w:spacing w:val="-1"/>
        </w:rPr>
        <w:t>unknown</w:t>
      </w:r>
      <w:r w:rsidRPr="0031675F">
        <w:rPr>
          <w:spacing w:val="2"/>
        </w:rPr>
        <w:t xml:space="preserve"> </w:t>
      </w:r>
      <w:r w:rsidRPr="0031675F">
        <w:rPr>
          <w:spacing w:val="-1"/>
        </w:rPr>
        <w:t>samples</w:t>
      </w:r>
      <w:r w:rsidRPr="0031675F">
        <w:rPr>
          <w:spacing w:val="5"/>
        </w:rPr>
        <w:t xml:space="preserve"> </w:t>
      </w:r>
      <w:r w:rsidRPr="0031675F">
        <w:rPr>
          <w:spacing w:val="-2"/>
        </w:rPr>
        <w:t>have</w:t>
      </w:r>
      <w:r w:rsidRPr="0031675F">
        <w:rPr>
          <w:spacing w:val="69"/>
        </w:rPr>
        <w:t xml:space="preserve"> </w:t>
      </w:r>
      <w:r w:rsidRPr="0031675F">
        <w:t xml:space="preserve">a </w:t>
      </w:r>
      <w:r w:rsidRPr="0031675F">
        <w:rPr>
          <w:spacing w:val="-1"/>
        </w:rPr>
        <w:t>salinity</w:t>
      </w:r>
      <w:r w:rsidRPr="0031675F">
        <w:t xml:space="preserve"> </w:t>
      </w:r>
      <w:r w:rsidRPr="0031675F">
        <w:rPr>
          <w:spacing w:val="-1"/>
        </w:rPr>
        <w:t>that</w:t>
      </w:r>
      <w:r w:rsidRPr="0031675F">
        <w:t xml:space="preserve"> is </w:t>
      </w:r>
      <w:r w:rsidRPr="0031675F">
        <w:rPr>
          <w:spacing w:val="-1"/>
        </w:rPr>
        <w:t>reasonably</w:t>
      </w:r>
      <w:r w:rsidRPr="0031675F">
        <w:rPr>
          <w:spacing w:val="-2"/>
        </w:rPr>
        <w:t xml:space="preserve"> </w:t>
      </w:r>
      <w:r w:rsidRPr="0031675F">
        <w:rPr>
          <w:spacing w:val="-1"/>
        </w:rPr>
        <w:t>close</w:t>
      </w:r>
      <w:r w:rsidRPr="0031675F">
        <w:t xml:space="preserve"> </w:t>
      </w:r>
      <w:r w:rsidRPr="0031675F">
        <w:rPr>
          <w:spacing w:val="-1"/>
        </w:rPr>
        <w:t>to</w:t>
      </w:r>
      <w:r w:rsidRPr="0031675F">
        <w:rPr>
          <w:spacing w:val="1"/>
        </w:rPr>
        <w:t xml:space="preserve"> </w:t>
      </w:r>
      <w:r w:rsidRPr="0031675F">
        <w:rPr>
          <w:spacing w:val="-1"/>
        </w:rPr>
        <w:t>that</w:t>
      </w:r>
      <w:r w:rsidRPr="0031675F">
        <w:rPr>
          <w:spacing w:val="-2"/>
        </w:rPr>
        <w:t xml:space="preserve"> </w:t>
      </w:r>
      <w:r w:rsidRPr="0031675F">
        <w:t xml:space="preserve">of </w:t>
      </w:r>
      <w:r w:rsidRPr="0031675F">
        <w:rPr>
          <w:spacing w:val="-2"/>
        </w:rPr>
        <w:t>the</w:t>
      </w:r>
      <w:r w:rsidRPr="0031675F">
        <w:t xml:space="preserve"> </w:t>
      </w:r>
      <w:r w:rsidRPr="0031675F">
        <w:rPr>
          <w:spacing w:val="-2"/>
        </w:rPr>
        <w:t>standard.</w:t>
      </w:r>
      <w:r w:rsidRPr="0031675F">
        <w:rPr>
          <w:spacing w:val="49"/>
        </w:rPr>
        <w:t xml:space="preserve"> </w:t>
      </w:r>
      <w:r w:rsidRPr="0031675F">
        <w:rPr>
          <w:spacing w:val="-1"/>
        </w:rPr>
        <w:t>While</w:t>
      </w:r>
      <w:r w:rsidRPr="0031675F">
        <w:t xml:space="preserve"> </w:t>
      </w:r>
      <w:r w:rsidRPr="0031675F">
        <w:rPr>
          <w:spacing w:val="-1"/>
        </w:rPr>
        <w:t>estuarine</w:t>
      </w:r>
      <w:r w:rsidRPr="0031675F">
        <w:t xml:space="preserve"> </w:t>
      </w:r>
      <w:r w:rsidRPr="0031675F">
        <w:rPr>
          <w:spacing w:val="-2"/>
        </w:rPr>
        <w:t>samples</w:t>
      </w:r>
      <w:r w:rsidRPr="0031675F">
        <w:t xml:space="preserve"> can</w:t>
      </w:r>
      <w:r w:rsidRPr="0031675F">
        <w:rPr>
          <w:spacing w:val="-1"/>
        </w:rPr>
        <w:t xml:space="preserve"> readily</w:t>
      </w:r>
      <w:r w:rsidRPr="0031675F">
        <w:t xml:space="preserve"> </w:t>
      </w:r>
      <w:r w:rsidRPr="0031675F">
        <w:rPr>
          <w:spacing w:val="-2"/>
        </w:rPr>
        <w:t>be</w:t>
      </w:r>
      <w:r w:rsidRPr="0031675F">
        <w:t xml:space="preserve"> </w:t>
      </w:r>
      <w:r w:rsidRPr="0031675F">
        <w:rPr>
          <w:spacing w:val="-1"/>
        </w:rPr>
        <w:t>run,</w:t>
      </w:r>
      <w:r w:rsidRPr="0031675F">
        <w:rPr>
          <w:spacing w:val="89"/>
        </w:rPr>
        <w:t xml:space="preserve"> </w:t>
      </w:r>
      <w:r w:rsidRPr="0031675F">
        <w:rPr>
          <w:spacing w:val="-1"/>
        </w:rPr>
        <w:t>conductivity</w:t>
      </w:r>
      <w:r w:rsidRPr="0031675F">
        <w:rPr>
          <w:spacing w:val="43"/>
        </w:rPr>
        <w:t xml:space="preserve"> </w:t>
      </w:r>
      <w:r w:rsidRPr="0031675F">
        <w:rPr>
          <w:spacing w:val="-1"/>
        </w:rPr>
        <w:t>comparisons</w:t>
      </w:r>
      <w:r w:rsidRPr="0031675F">
        <w:rPr>
          <w:spacing w:val="41"/>
        </w:rPr>
        <w:t xml:space="preserve"> </w:t>
      </w:r>
      <w:r w:rsidRPr="0031675F">
        <w:t>with</w:t>
      </w:r>
      <w:r w:rsidRPr="0031675F">
        <w:rPr>
          <w:spacing w:val="43"/>
        </w:rPr>
        <w:t xml:space="preserve"> </w:t>
      </w:r>
      <w:r w:rsidRPr="0031675F">
        <w:rPr>
          <w:spacing w:val="-1"/>
        </w:rPr>
        <w:t>very</w:t>
      </w:r>
      <w:r w:rsidRPr="0031675F">
        <w:rPr>
          <w:spacing w:val="43"/>
        </w:rPr>
        <w:t xml:space="preserve"> </w:t>
      </w:r>
      <w:r w:rsidRPr="0031675F">
        <w:rPr>
          <w:spacing w:val="-1"/>
        </w:rPr>
        <w:t>low</w:t>
      </w:r>
      <w:r w:rsidRPr="0031675F">
        <w:rPr>
          <w:spacing w:val="44"/>
        </w:rPr>
        <w:t xml:space="preserve"> </w:t>
      </w:r>
      <w:r w:rsidRPr="0031675F">
        <w:rPr>
          <w:spacing w:val="-1"/>
        </w:rPr>
        <w:t>salinity</w:t>
      </w:r>
      <w:r w:rsidRPr="0031675F">
        <w:rPr>
          <w:spacing w:val="44"/>
        </w:rPr>
        <w:t xml:space="preserve"> </w:t>
      </w:r>
      <w:r w:rsidRPr="0031675F">
        <w:rPr>
          <w:spacing w:val="-1"/>
        </w:rPr>
        <w:t>samples</w:t>
      </w:r>
      <w:r w:rsidRPr="0031675F">
        <w:rPr>
          <w:spacing w:val="43"/>
        </w:rPr>
        <w:t xml:space="preserve"> </w:t>
      </w:r>
      <w:r w:rsidRPr="0031675F">
        <w:t>are</w:t>
      </w:r>
      <w:r w:rsidRPr="0031675F">
        <w:rPr>
          <w:spacing w:val="43"/>
        </w:rPr>
        <w:t xml:space="preserve"> </w:t>
      </w:r>
      <w:r w:rsidRPr="0031675F">
        <w:rPr>
          <w:spacing w:val="-1"/>
        </w:rPr>
        <w:t>progressively</w:t>
      </w:r>
      <w:r w:rsidRPr="0031675F">
        <w:rPr>
          <w:spacing w:val="44"/>
        </w:rPr>
        <w:t xml:space="preserve"> </w:t>
      </w:r>
      <w:r w:rsidRPr="0031675F">
        <w:rPr>
          <w:spacing w:val="-1"/>
        </w:rPr>
        <w:t>less</w:t>
      </w:r>
      <w:r w:rsidRPr="0031675F">
        <w:rPr>
          <w:spacing w:val="44"/>
        </w:rPr>
        <w:t xml:space="preserve"> </w:t>
      </w:r>
      <w:r w:rsidRPr="0031675F">
        <w:rPr>
          <w:spacing w:val="-1"/>
        </w:rPr>
        <w:t>reliable.</w:t>
      </w:r>
      <w:r w:rsidRPr="0031675F">
        <w:rPr>
          <w:spacing w:val="36"/>
        </w:rPr>
        <w:t xml:space="preserve"> </w:t>
      </w:r>
      <w:r w:rsidRPr="0031675F">
        <w:t>In</w:t>
      </w:r>
      <w:r w:rsidRPr="0031675F">
        <w:rPr>
          <w:spacing w:val="42"/>
        </w:rPr>
        <w:t xml:space="preserve"> </w:t>
      </w:r>
      <w:r w:rsidRPr="0031675F">
        <w:rPr>
          <w:spacing w:val="-1"/>
        </w:rPr>
        <w:t>most</w:t>
      </w:r>
      <w:r w:rsidRPr="0031675F">
        <w:rPr>
          <w:spacing w:val="69"/>
        </w:rPr>
        <w:t xml:space="preserve"> </w:t>
      </w:r>
      <w:r w:rsidRPr="0031675F">
        <w:t>cases,</w:t>
      </w:r>
      <w:r w:rsidRPr="0031675F">
        <w:rPr>
          <w:spacing w:val="26"/>
        </w:rPr>
        <w:t xml:space="preserve"> </w:t>
      </w:r>
      <w:r w:rsidRPr="0031675F">
        <w:rPr>
          <w:spacing w:val="-1"/>
        </w:rPr>
        <w:t>samples</w:t>
      </w:r>
      <w:r w:rsidRPr="0031675F">
        <w:rPr>
          <w:spacing w:val="26"/>
        </w:rPr>
        <w:t xml:space="preserve"> </w:t>
      </w:r>
      <w:r w:rsidRPr="0031675F">
        <w:rPr>
          <w:spacing w:val="-1"/>
        </w:rPr>
        <w:t>with</w:t>
      </w:r>
      <w:r w:rsidRPr="0031675F">
        <w:rPr>
          <w:spacing w:val="26"/>
        </w:rPr>
        <w:t xml:space="preserve"> </w:t>
      </w:r>
      <w:r w:rsidRPr="0031675F">
        <w:rPr>
          <w:spacing w:val="-1"/>
        </w:rPr>
        <w:t>salinities</w:t>
      </w:r>
      <w:r w:rsidRPr="0031675F">
        <w:rPr>
          <w:spacing w:val="25"/>
        </w:rPr>
        <w:t xml:space="preserve"> </w:t>
      </w:r>
      <w:r w:rsidRPr="0031675F">
        <w:t>&gt;</w:t>
      </w:r>
      <w:r w:rsidRPr="0031675F">
        <w:rPr>
          <w:spacing w:val="27"/>
        </w:rPr>
        <w:t xml:space="preserve"> </w:t>
      </w:r>
      <w:r w:rsidRPr="0031675F">
        <w:rPr>
          <w:spacing w:val="-1"/>
        </w:rPr>
        <w:t>25-</w:t>
      </w:r>
      <w:r w:rsidRPr="0031675F">
        <w:rPr>
          <w:rFonts w:cs="Calibri"/>
          <w:spacing w:val="-1"/>
        </w:rPr>
        <w:t>30</w:t>
      </w:r>
      <w:r w:rsidRPr="0031675F">
        <w:rPr>
          <w:rFonts w:cs="Calibri"/>
          <w:spacing w:val="25"/>
        </w:rPr>
        <w:t xml:space="preserve"> </w:t>
      </w:r>
      <w:r w:rsidRPr="0031675F">
        <w:rPr>
          <w:rFonts w:cs="Calibri"/>
        </w:rPr>
        <w:t>‰</w:t>
      </w:r>
      <w:r w:rsidRPr="0031675F">
        <w:rPr>
          <w:rFonts w:cs="Calibri"/>
          <w:spacing w:val="28"/>
        </w:rPr>
        <w:t xml:space="preserve"> </w:t>
      </w:r>
      <w:r w:rsidRPr="0031675F">
        <w:rPr>
          <w:rFonts w:cs="Calibri"/>
        </w:rPr>
        <w:t>should</w:t>
      </w:r>
      <w:r w:rsidRPr="0031675F">
        <w:rPr>
          <w:rFonts w:cs="Calibri"/>
          <w:spacing w:val="24"/>
        </w:rPr>
        <w:t xml:space="preserve"> </w:t>
      </w:r>
      <w:r w:rsidRPr="0031675F">
        <w:rPr>
          <w:rFonts w:cs="Calibri"/>
          <w:spacing w:val="-1"/>
        </w:rPr>
        <w:t>be</w:t>
      </w:r>
      <w:r w:rsidRPr="0031675F">
        <w:rPr>
          <w:rFonts w:cs="Calibri"/>
          <w:spacing w:val="27"/>
        </w:rPr>
        <w:t xml:space="preserve"> </w:t>
      </w:r>
      <w:r w:rsidR="0041119A">
        <w:rPr>
          <w:rFonts w:cs="Calibri"/>
        </w:rPr>
        <w:t>acceptable</w:t>
      </w:r>
      <w:r w:rsidRPr="0031675F">
        <w:rPr>
          <w:rFonts w:cs="Calibri"/>
        </w:rPr>
        <w:t>.</w:t>
      </w:r>
      <w:r w:rsidRPr="0031675F">
        <w:rPr>
          <w:rFonts w:cs="Calibri"/>
          <w:spacing w:val="4"/>
        </w:rPr>
        <w:t xml:space="preserve"> </w:t>
      </w:r>
      <w:r w:rsidRPr="0031675F">
        <w:rPr>
          <w:rFonts w:cs="Calibri"/>
        </w:rPr>
        <w:t>Low</w:t>
      </w:r>
      <w:r w:rsidRPr="0031675F">
        <w:rPr>
          <w:rFonts w:cs="Calibri"/>
          <w:spacing w:val="27"/>
        </w:rPr>
        <w:t xml:space="preserve"> </w:t>
      </w:r>
      <w:r w:rsidRPr="0031675F">
        <w:rPr>
          <w:rFonts w:cs="Calibri"/>
          <w:spacing w:val="-1"/>
        </w:rPr>
        <w:t>salinity</w:t>
      </w:r>
      <w:r w:rsidRPr="0031675F">
        <w:rPr>
          <w:rFonts w:cs="Calibri"/>
          <w:spacing w:val="26"/>
        </w:rPr>
        <w:t xml:space="preserve"> </w:t>
      </w:r>
      <w:r w:rsidRPr="0031675F">
        <w:rPr>
          <w:rFonts w:cs="Calibri"/>
          <w:spacing w:val="-1"/>
        </w:rPr>
        <w:t>“standards”</w:t>
      </w:r>
      <w:r w:rsidRPr="0031675F">
        <w:rPr>
          <w:rFonts w:cs="Calibri"/>
          <w:spacing w:val="28"/>
        </w:rPr>
        <w:t xml:space="preserve"> </w:t>
      </w:r>
      <w:r w:rsidRPr="0031675F">
        <w:rPr>
          <w:rFonts w:cs="Calibri"/>
        </w:rPr>
        <w:t>can</w:t>
      </w:r>
      <w:r w:rsidRPr="0031675F">
        <w:rPr>
          <w:rFonts w:cs="Calibri"/>
          <w:spacing w:val="26"/>
        </w:rPr>
        <w:t xml:space="preserve"> </w:t>
      </w:r>
      <w:r w:rsidRPr="0031675F">
        <w:rPr>
          <w:rFonts w:cs="Calibri"/>
          <w:spacing w:val="-1"/>
        </w:rPr>
        <w:t>be</w:t>
      </w:r>
      <w:r w:rsidRPr="0031675F">
        <w:rPr>
          <w:rFonts w:cs="Calibri"/>
          <w:spacing w:val="27"/>
        </w:rPr>
        <w:t xml:space="preserve"> </w:t>
      </w:r>
      <w:r w:rsidRPr="0031675F">
        <w:rPr>
          <w:rFonts w:cs="Calibri"/>
          <w:spacing w:val="-1"/>
        </w:rPr>
        <w:t>made</w:t>
      </w:r>
      <w:r w:rsidRPr="0031675F">
        <w:rPr>
          <w:rFonts w:cs="Calibri"/>
          <w:spacing w:val="26"/>
        </w:rPr>
        <w:t xml:space="preserve"> </w:t>
      </w:r>
      <w:r w:rsidRPr="0031675F">
        <w:rPr>
          <w:rFonts w:cs="Calibri"/>
          <w:spacing w:val="-1"/>
        </w:rPr>
        <w:t>by</w:t>
      </w:r>
      <w:r w:rsidRPr="0031675F">
        <w:rPr>
          <w:rFonts w:cs="Calibri"/>
          <w:spacing w:val="51"/>
        </w:rPr>
        <w:t xml:space="preserve"> </w:t>
      </w:r>
      <w:r w:rsidRPr="0031675F">
        <w:rPr>
          <w:spacing w:val="-1"/>
        </w:rPr>
        <w:t>precise</w:t>
      </w:r>
      <w:r w:rsidRPr="0031675F">
        <w:rPr>
          <w:spacing w:val="24"/>
        </w:rPr>
        <w:t xml:space="preserve"> </w:t>
      </w:r>
      <w:r w:rsidRPr="0031675F">
        <w:rPr>
          <w:spacing w:val="-1"/>
        </w:rPr>
        <w:t>dilution</w:t>
      </w:r>
      <w:r w:rsidRPr="0031675F">
        <w:rPr>
          <w:spacing w:val="23"/>
        </w:rPr>
        <w:t xml:space="preserve"> </w:t>
      </w:r>
      <w:r w:rsidRPr="0031675F">
        <w:t>of</w:t>
      </w:r>
      <w:r w:rsidRPr="0031675F">
        <w:rPr>
          <w:spacing w:val="21"/>
        </w:rPr>
        <w:t xml:space="preserve"> </w:t>
      </w:r>
      <w:r w:rsidRPr="0031675F">
        <w:rPr>
          <w:spacing w:val="-2"/>
        </w:rPr>
        <w:t>standard</w:t>
      </w:r>
      <w:r w:rsidRPr="0031675F">
        <w:rPr>
          <w:spacing w:val="23"/>
        </w:rPr>
        <w:t xml:space="preserve"> </w:t>
      </w:r>
      <w:r w:rsidRPr="0031675F">
        <w:rPr>
          <w:spacing w:val="-1"/>
        </w:rPr>
        <w:t>seawater.</w:t>
      </w:r>
      <w:r w:rsidRPr="0031675F">
        <w:rPr>
          <w:spacing w:val="47"/>
        </w:rPr>
        <w:t xml:space="preserve"> </w:t>
      </w:r>
      <w:r w:rsidRPr="0031675F">
        <w:t>In</w:t>
      </w:r>
      <w:r w:rsidRPr="0031675F">
        <w:rPr>
          <w:spacing w:val="23"/>
        </w:rPr>
        <w:t xml:space="preserve"> </w:t>
      </w:r>
      <w:r w:rsidRPr="0031675F">
        <w:rPr>
          <w:spacing w:val="-1"/>
        </w:rPr>
        <w:t>low</w:t>
      </w:r>
      <w:r w:rsidRPr="0031675F">
        <w:rPr>
          <w:spacing w:val="22"/>
        </w:rPr>
        <w:t xml:space="preserve"> </w:t>
      </w:r>
      <w:r w:rsidRPr="0031675F">
        <w:rPr>
          <w:spacing w:val="-1"/>
        </w:rPr>
        <w:t>salinity</w:t>
      </w:r>
      <w:r w:rsidRPr="0031675F">
        <w:rPr>
          <w:spacing w:val="25"/>
        </w:rPr>
        <w:t xml:space="preserve"> </w:t>
      </w:r>
      <w:r w:rsidRPr="0031675F">
        <w:rPr>
          <w:spacing w:val="-1"/>
        </w:rPr>
        <w:t>estuarine</w:t>
      </w:r>
      <w:r w:rsidRPr="0031675F">
        <w:rPr>
          <w:spacing w:val="25"/>
        </w:rPr>
        <w:t xml:space="preserve"> </w:t>
      </w:r>
      <w:r w:rsidRPr="0031675F">
        <w:rPr>
          <w:spacing w:val="-1"/>
        </w:rPr>
        <w:t>samples,</w:t>
      </w:r>
      <w:r w:rsidRPr="0031675F">
        <w:rPr>
          <w:spacing w:val="22"/>
        </w:rPr>
        <w:t xml:space="preserve"> </w:t>
      </w:r>
      <w:r w:rsidRPr="0031675F">
        <w:t>the</w:t>
      </w:r>
      <w:r w:rsidRPr="0031675F">
        <w:rPr>
          <w:spacing w:val="24"/>
        </w:rPr>
        <w:t xml:space="preserve"> </w:t>
      </w:r>
      <w:r w:rsidRPr="0031675F">
        <w:rPr>
          <w:spacing w:val="-2"/>
        </w:rPr>
        <w:t>use</w:t>
      </w:r>
      <w:r w:rsidRPr="0031675F">
        <w:rPr>
          <w:spacing w:val="24"/>
        </w:rPr>
        <w:t xml:space="preserve"> </w:t>
      </w:r>
      <w:r w:rsidRPr="0031675F">
        <w:t>of</w:t>
      </w:r>
      <w:r w:rsidRPr="0031675F">
        <w:rPr>
          <w:spacing w:val="21"/>
        </w:rPr>
        <w:t xml:space="preserve"> </w:t>
      </w:r>
      <w:r w:rsidRPr="0031675F">
        <w:rPr>
          <w:spacing w:val="-1"/>
        </w:rPr>
        <w:t>conductivity</w:t>
      </w:r>
      <w:r w:rsidRPr="0031675F">
        <w:rPr>
          <w:spacing w:val="25"/>
        </w:rPr>
        <w:t xml:space="preserve"> </w:t>
      </w:r>
      <w:r w:rsidRPr="0031675F">
        <w:t>is</w:t>
      </w:r>
      <w:r w:rsidRPr="0031675F">
        <w:rPr>
          <w:spacing w:val="71"/>
        </w:rPr>
        <w:t xml:space="preserve"> </w:t>
      </w:r>
      <w:r w:rsidRPr="0031675F">
        <w:rPr>
          <w:spacing w:val="-1"/>
        </w:rPr>
        <w:t>confounded</w:t>
      </w:r>
      <w:r w:rsidRPr="0031675F">
        <w:rPr>
          <w:spacing w:val="2"/>
        </w:rPr>
        <w:t xml:space="preserve"> </w:t>
      </w:r>
      <w:r w:rsidRPr="0031675F">
        <w:rPr>
          <w:spacing w:val="-2"/>
        </w:rPr>
        <w:t>by</w:t>
      </w:r>
      <w:r w:rsidRPr="0031675F">
        <w:rPr>
          <w:spacing w:val="3"/>
        </w:rPr>
        <w:t xml:space="preserve"> </w:t>
      </w:r>
      <w:r w:rsidRPr="0031675F">
        <w:t>the</w:t>
      </w:r>
      <w:r w:rsidRPr="0031675F">
        <w:rPr>
          <w:spacing w:val="3"/>
        </w:rPr>
        <w:t xml:space="preserve"> </w:t>
      </w:r>
      <w:r w:rsidRPr="0031675F">
        <w:rPr>
          <w:spacing w:val="-1"/>
        </w:rPr>
        <w:t>poten</w:t>
      </w:r>
      <w:r w:rsidRPr="0031675F">
        <w:rPr>
          <w:rFonts w:cs="Calibri"/>
          <w:spacing w:val="-1"/>
        </w:rPr>
        <w:t>tially</w:t>
      </w:r>
      <w:r w:rsidRPr="0031675F">
        <w:rPr>
          <w:rFonts w:cs="Calibri"/>
          <w:spacing w:val="3"/>
        </w:rPr>
        <w:t xml:space="preserve"> </w:t>
      </w:r>
      <w:r w:rsidRPr="0031675F">
        <w:rPr>
          <w:rFonts w:cs="Calibri"/>
          <w:spacing w:val="-1"/>
        </w:rPr>
        <w:t>differing</w:t>
      </w:r>
      <w:r w:rsidRPr="0031675F">
        <w:rPr>
          <w:rFonts w:cs="Calibri"/>
          <w:spacing w:val="1"/>
        </w:rPr>
        <w:t xml:space="preserve"> </w:t>
      </w:r>
      <w:r w:rsidRPr="0031675F">
        <w:rPr>
          <w:rFonts w:cs="Calibri"/>
          <w:spacing w:val="-1"/>
        </w:rPr>
        <w:t>ratios</w:t>
      </w:r>
      <w:r w:rsidRPr="0031675F">
        <w:rPr>
          <w:rFonts w:cs="Calibri"/>
          <w:spacing w:val="2"/>
        </w:rPr>
        <w:t xml:space="preserve"> </w:t>
      </w:r>
      <w:r w:rsidRPr="0031675F">
        <w:rPr>
          <w:rFonts w:cs="Calibri"/>
          <w:spacing w:val="-1"/>
        </w:rPr>
        <w:t>of</w:t>
      </w:r>
      <w:r w:rsidRPr="0031675F">
        <w:rPr>
          <w:rFonts w:cs="Calibri"/>
          <w:spacing w:val="2"/>
        </w:rPr>
        <w:t xml:space="preserve"> </w:t>
      </w:r>
      <w:r w:rsidRPr="0031675F">
        <w:rPr>
          <w:rFonts w:cs="Calibri"/>
          <w:spacing w:val="-1"/>
        </w:rPr>
        <w:t>ions</w:t>
      </w:r>
      <w:r w:rsidRPr="0031675F">
        <w:rPr>
          <w:rFonts w:cs="Calibri"/>
          <w:spacing w:val="2"/>
        </w:rPr>
        <w:t xml:space="preserve"> </w:t>
      </w:r>
      <w:r w:rsidRPr="0031675F">
        <w:rPr>
          <w:rFonts w:cs="Calibri"/>
          <w:spacing w:val="-2"/>
        </w:rPr>
        <w:t>in</w:t>
      </w:r>
      <w:r w:rsidRPr="0031675F">
        <w:rPr>
          <w:rFonts w:cs="Calibri"/>
          <w:spacing w:val="2"/>
        </w:rPr>
        <w:t xml:space="preserve"> </w:t>
      </w:r>
      <w:r w:rsidRPr="0031675F">
        <w:rPr>
          <w:rFonts w:cs="Calibri"/>
        </w:rPr>
        <w:t>the</w:t>
      </w:r>
      <w:r w:rsidRPr="0031675F">
        <w:rPr>
          <w:rFonts w:cs="Calibri"/>
          <w:spacing w:val="3"/>
        </w:rPr>
        <w:t xml:space="preserve"> </w:t>
      </w:r>
      <w:r w:rsidRPr="0031675F">
        <w:rPr>
          <w:rFonts w:cs="Calibri"/>
          <w:spacing w:val="-1"/>
        </w:rPr>
        <w:t>“fresh”</w:t>
      </w:r>
      <w:r w:rsidRPr="0031675F">
        <w:rPr>
          <w:rFonts w:cs="Calibri"/>
          <w:spacing w:val="1"/>
        </w:rPr>
        <w:t xml:space="preserve"> </w:t>
      </w:r>
      <w:r w:rsidRPr="0031675F">
        <w:rPr>
          <w:rFonts w:cs="Calibri"/>
          <w:spacing w:val="-1"/>
        </w:rPr>
        <w:t>water</w:t>
      </w:r>
      <w:r w:rsidRPr="0031675F">
        <w:rPr>
          <w:rFonts w:cs="Calibri"/>
          <w:spacing w:val="3"/>
        </w:rPr>
        <w:t xml:space="preserve"> </w:t>
      </w:r>
      <w:r w:rsidRPr="0031675F">
        <w:rPr>
          <w:rFonts w:cs="Calibri"/>
        </w:rPr>
        <w:t>which</w:t>
      </w:r>
      <w:r w:rsidRPr="0031675F">
        <w:rPr>
          <w:rFonts w:cs="Calibri"/>
          <w:spacing w:val="-1"/>
        </w:rPr>
        <w:t xml:space="preserve"> </w:t>
      </w:r>
      <w:r w:rsidRPr="0031675F">
        <w:rPr>
          <w:rFonts w:cs="Calibri"/>
        </w:rPr>
        <w:t>may</w:t>
      </w:r>
      <w:r w:rsidRPr="0031675F">
        <w:rPr>
          <w:rFonts w:cs="Calibri"/>
          <w:spacing w:val="3"/>
        </w:rPr>
        <w:t xml:space="preserve"> </w:t>
      </w:r>
      <w:r w:rsidRPr="0031675F">
        <w:rPr>
          <w:rFonts w:cs="Calibri"/>
          <w:spacing w:val="-1"/>
        </w:rPr>
        <w:t>have</w:t>
      </w:r>
      <w:r w:rsidRPr="0031675F">
        <w:rPr>
          <w:rFonts w:cs="Calibri"/>
        </w:rPr>
        <w:t xml:space="preserve"> a</w:t>
      </w:r>
      <w:r w:rsidRPr="0031675F">
        <w:rPr>
          <w:rFonts w:cs="Calibri"/>
          <w:spacing w:val="2"/>
        </w:rPr>
        <w:t xml:space="preserve"> </w:t>
      </w:r>
      <w:r w:rsidRPr="0031675F">
        <w:rPr>
          <w:rFonts w:cs="Calibri"/>
          <w:spacing w:val="-1"/>
        </w:rPr>
        <w:t>different</w:t>
      </w:r>
      <w:r w:rsidRPr="0031675F">
        <w:rPr>
          <w:rFonts w:cs="Calibri"/>
          <w:spacing w:val="75"/>
        </w:rPr>
        <w:t xml:space="preserve"> </w:t>
      </w:r>
      <w:r w:rsidRPr="0031675F">
        <w:rPr>
          <w:spacing w:val="-1"/>
        </w:rPr>
        <w:t>conductivity-mass</w:t>
      </w:r>
      <w:r w:rsidRPr="0031675F">
        <w:rPr>
          <w:spacing w:val="-3"/>
        </w:rPr>
        <w:t xml:space="preserve"> </w:t>
      </w:r>
      <w:r w:rsidRPr="0031675F">
        <w:rPr>
          <w:spacing w:val="-1"/>
        </w:rPr>
        <w:t>relationship from</w:t>
      </w:r>
      <w:r w:rsidRPr="0031675F">
        <w:rPr>
          <w:spacing w:val="-2"/>
        </w:rPr>
        <w:t xml:space="preserve"> </w:t>
      </w:r>
      <w:r w:rsidRPr="0031675F">
        <w:rPr>
          <w:spacing w:val="-1"/>
        </w:rPr>
        <w:t>seawater.</w:t>
      </w:r>
    </w:p>
    <w:p w14:paraId="373C1FFD" w14:textId="77777777" w:rsidR="0031675F" w:rsidRPr="0031675F" w:rsidRDefault="0031675F" w:rsidP="0031675F">
      <w:pPr>
        <w:spacing w:before="11"/>
        <w:rPr>
          <w:rFonts w:cs="Calibri"/>
          <w:sz w:val="21"/>
          <w:szCs w:val="21"/>
        </w:rPr>
      </w:pPr>
    </w:p>
    <w:p w14:paraId="18A3EF39" w14:textId="77777777" w:rsidR="0031675F" w:rsidRPr="0031675F" w:rsidRDefault="0031675F" w:rsidP="0031675F">
      <w:pPr>
        <w:widowControl w:val="0"/>
        <w:numPr>
          <w:ilvl w:val="2"/>
          <w:numId w:val="134"/>
        </w:numPr>
        <w:tabs>
          <w:tab w:val="left" w:pos="686"/>
        </w:tabs>
        <w:spacing w:before="0" w:after="0" w:line="240" w:lineRule="auto"/>
        <w:ind w:left="685"/>
        <w:jc w:val="both"/>
        <w:rPr>
          <w:rFonts w:eastAsia="Arial" w:cs="Arial"/>
        </w:rPr>
      </w:pPr>
      <w:r w:rsidRPr="0031675F">
        <w:rPr>
          <w:b/>
        </w:rPr>
        <w:t>Method</w:t>
      </w:r>
    </w:p>
    <w:p w14:paraId="641D2E07" w14:textId="77777777" w:rsidR="0031675F" w:rsidRPr="0031675F" w:rsidRDefault="0031675F" w:rsidP="0031675F">
      <w:pPr>
        <w:spacing w:before="11"/>
        <w:rPr>
          <w:rFonts w:eastAsia="Arial" w:cs="Arial"/>
          <w:b/>
          <w:bCs/>
          <w:sz w:val="20"/>
          <w:szCs w:val="20"/>
        </w:rPr>
      </w:pPr>
    </w:p>
    <w:p w14:paraId="4E7BB7F4" w14:textId="77777777" w:rsidR="0031675F" w:rsidRPr="0031675F" w:rsidRDefault="0031675F" w:rsidP="0031675F">
      <w:pPr>
        <w:ind w:left="118"/>
        <w:jc w:val="both"/>
        <w:rPr>
          <w:rFonts w:cs="Calibri"/>
        </w:rPr>
      </w:pPr>
      <w:r w:rsidRPr="0031675F">
        <w:rPr>
          <w:b/>
          <w:i/>
          <w:spacing w:val="-1"/>
        </w:rPr>
        <w:t>2.3.3.1</w:t>
      </w:r>
      <w:r w:rsidRPr="0031675F">
        <w:rPr>
          <w:b/>
          <w:i/>
          <w:spacing w:val="1"/>
        </w:rPr>
        <w:t xml:space="preserve"> </w:t>
      </w:r>
      <w:r w:rsidRPr="0031675F">
        <w:rPr>
          <w:b/>
          <w:i/>
          <w:spacing w:val="-1"/>
        </w:rPr>
        <w:t>Preliminary</w:t>
      </w:r>
      <w:r w:rsidRPr="0031675F">
        <w:rPr>
          <w:b/>
          <w:i/>
        </w:rPr>
        <w:t xml:space="preserve"> </w:t>
      </w:r>
      <w:r w:rsidRPr="0031675F">
        <w:rPr>
          <w:b/>
          <w:i/>
          <w:spacing w:val="-2"/>
        </w:rPr>
        <w:t>to</w:t>
      </w:r>
      <w:r w:rsidRPr="0031675F">
        <w:rPr>
          <w:b/>
          <w:i/>
          <w:spacing w:val="-1"/>
        </w:rPr>
        <w:t xml:space="preserve"> using</w:t>
      </w:r>
      <w:r w:rsidRPr="0031675F">
        <w:rPr>
          <w:b/>
          <w:i/>
          <w:spacing w:val="1"/>
        </w:rPr>
        <w:t xml:space="preserve"> </w:t>
      </w:r>
      <w:r w:rsidRPr="0031675F">
        <w:rPr>
          <w:b/>
          <w:i/>
          <w:spacing w:val="-1"/>
        </w:rPr>
        <w:t>salinometer</w:t>
      </w:r>
    </w:p>
    <w:p w14:paraId="7B4CFDAE" w14:textId="77777777" w:rsidR="0031675F" w:rsidRPr="0031675F" w:rsidRDefault="0031675F" w:rsidP="0031675F">
      <w:pPr>
        <w:widowControl w:val="0"/>
        <w:numPr>
          <w:ilvl w:val="0"/>
          <w:numId w:val="142"/>
        </w:numPr>
        <w:tabs>
          <w:tab w:val="left" w:pos="403"/>
        </w:tabs>
        <w:spacing w:before="120" w:after="0" w:line="240" w:lineRule="auto"/>
        <w:ind w:left="402" w:right="120"/>
      </w:pPr>
      <w:r w:rsidRPr="0031675F">
        <w:rPr>
          <w:spacing w:val="-1"/>
        </w:rPr>
        <w:t>Bring</w:t>
      </w:r>
      <w:r w:rsidRPr="0031675F">
        <w:rPr>
          <w:spacing w:val="16"/>
        </w:rPr>
        <w:t xml:space="preserve"> </w:t>
      </w:r>
      <w:r w:rsidRPr="0031675F">
        <w:t>the</w:t>
      </w:r>
      <w:r w:rsidRPr="0031675F">
        <w:rPr>
          <w:spacing w:val="17"/>
        </w:rPr>
        <w:t xml:space="preserve"> </w:t>
      </w:r>
      <w:r w:rsidRPr="0031675F">
        <w:rPr>
          <w:spacing w:val="-1"/>
        </w:rPr>
        <w:t>salinity</w:t>
      </w:r>
      <w:r w:rsidRPr="0031675F">
        <w:rPr>
          <w:spacing w:val="17"/>
        </w:rPr>
        <w:t xml:space="preserve"> </w:t>
      </w:r>
      <w:r w:rsidRPr="0031675F">
        <w:rPr>
          <w:spacing w:val="-1"/>
        </w:rPr>
        <w:t>samples</w:t>
      </w:r>
      <w:r w:rsidRPr="0031675F">
        <w:rPr>
          <w:spacing w:val="14"/>
        </w:rPr>
        <w:t xml:space="preserve"> </w:t>
      </w:r>
      <w:r w:rsidRPr="0031675F">
        <w:t>out</w:t>
      </w:r>
      <w:r w:rsidRPr="0031675F">
        <w:rPr>
          <w:spacing w:val="17"/>
        </w:rPr>
        <w:t xml:space="preserve"> </w:t>
      </w:r>
      <w:r w:rsidRPr="0031675F">
        <w:t>of</w:t>
      </w:r>
      <w:r w:rsidRPr="0031675F">
        <w:rPr>
          <w:spacing w:val="17"/>
        </w:rPr>
        <w:t xml:space="preserve"> </w:t>
      </w:r>
      <w:r w:rsidRPr="0031675F">
        <w:rPr>
          <w:spacing w:val="-1"/>
        </w:rPr>
        <w:t>the</w:t>
      </w:r>
      <w:r w:rsidRPr="0031675F">
        <w:rPr>
          <w:spacing w:val="17"/>
        </w:rPr>
        <w:t xml:space="preserve"> </w:t>
      </w:r>
      <w:r w:rsidRPr="0031675F">
        <w:t>cold</w:t>
      </w:r>
      <w:r w:rsidRPr="0031675F">
        <w:rPr>
          <w:spacing w:val="16"/>
        </w:rPr>
        <w:t xml:space="preserve"> </w:t>
      </w:r>
      <w:r w:rsidRPr="0031675F">
        <w:rPr>
          <w:spacing w:val="-1"/>
        </w:rPr>
        <w:t>room</w:t>
      </w:r>
      <w:r w:rsidRPr="0031675F">
        <w:rPr>
          <w:spacing w:val="18"/>
        </w:rPr>
        <w:t xml:space="preserve"> </w:t>
      </w:r>
      <w:r w:rsidRPr="0031675F">
        <w:t>at</w:t>
      </w:r>
      <w:r w:rsidRPr="0031675F">
        <w:rPr>
          <w:spacing w:val="17"/>
        </w:rPr>
        <w:t xml:space="preserve"> </w:t>
      </w:r>
      <w:r w:rsidRPr="0031675F">
        <w:rPr>
          <w:spacing w:val="-1"/>
        </w:rPr>
        <w:t>least</w:t>
      </w:r>
      <w:r w:rsidRPr="0031675F">
        <w:rPr>
          <w:spacing w:val="17"/>
        </w:rPr>
        <w:t xml:space="preserve"> </w:t>
      </w:r>
      <w:r w:rsidRPr="0031675F">
        <w:t>the</w:t>
      </w:r>
      <w:r w:rsidRPr="0031675F">
        <w:rPr>
          <w:spacing w:val="17"/>
        </w:rPr>
        <w:t xml:space="preserve"> </w:t>
      </w:r>
      <w:r w:rsidRPr="0031675F">
        <w:rPr>
          <w:spacing w:val="-1"/>
        </w:rPr>
        <w:t>day</w:t>
      </w:r>
      <w:r w:rsidRPr="0031675F">
        <w:rPr>
          <w:spacing w:val="17"/>
        </w:rPr>
        <w:t xml:space="preserve"> </w:t>
      </w:r>
      <w:r w:rsidRPr="0031675F">
        <w:rPr>
          <w:spacing w:val="-1"/>
        </w:rPr>
        <w:t>before</w:t>
      </w:r>
      <w:r w:rsidRPr="0031675F">
        <w:rPr>
          <w:spacing w:val="22"/>
        </w:rPr>
        <w:t xml:space="preserve"> </w:t>
      </w:r>
      <w:r w:rsidRPr="0031675F">
        <w:rPr>
          <w:spacing w:val="-1"/>
        </w:rPr>
        <w:t>analysis</w:t>
      </w:r>
      <w:r w:rsidRPr="0031675F">
        <w:rPr>
          <w:spacing w:val="14"/>
        </w:rPr>
        <w:t xml:space="preserve"> </w:t>
      </w:r>
      <w:r w:rsidRPr="0031675F">
        <w:rPr>
          <w:spacing w:val="-1"/>
        </w:rPr>
        <w:t>and</w:t>
      </w:r>
      <w:r w:rsidRPr="0031675F">
        <w:rPr>
          <w:spacing w:val="16"/>
        </w:rPr>
        <w:t xml:space="preserve"> </w:t>
      </w:r>
      <w:r w:rsidRPr="0031675F">
        <w:rPr>
          <w:spacing w:val="-1"/>
        </w:rPr>
        <w:t>put</w:t>
      </w:r>
      <w:r w:rsidRPr="0031675F">
        <w:rPr>
          <w:spacing w:val="17"/>
        </w:rPr>
        <w:t xml:space="preserve"> </w:t>
      </w:r>
      <w:r w:rsidRPr="0031675F">
        <w:t>them</w:t>
      </w:r>
      <w:r w:rsidRPr="0031675F">
        <w:rPr>
          <w:spacing w:val="18"/>
        </w:rPr>
        <w:t xml:space="preserve"> </w:t>
      </w:r>
      <w:r w:rsidRPr="0031675F">
        <w:t>in</w:t>
      </w:r>
      <w:r w:rsidRPr="0031675F">
        <w:rPr>
          <w:spacing w:val="41"/>
        </w:rPr>
        <w:t xml:space="preserve"> </w:t>
      </w:r>
      <w:r w:rsidRPr="0031675F">
        <w:t>the lab</w:t>
      </w:r>
      <w:r w:rsidRPr="0031675F">
        <w:rPr>
          <w:spacing w:val="-1"/>
        </w:rPr>
        <w:t xml:space="preserve"> next</w:t>
      </w:r>
      <w:r w:rsidRPr="0031675F">
        <w:t xml:space="preserve"> </w:t>
      </w:r>
      <w:r w:rsidRPr="0031675F">
        <w:rPr>
          <w:spacing w:val="-1"/>
        </w:rPr>
        <w:t xml:space="preserve">to </w:t>
      </w:r>
      <w:r w:rsidRPr="0031675F">
        <w:t xml:space="preserve">the </w:t>
      </w:r>
      <w:r w:rsidRPr="0031675F">
        <w:rPr>
          <w:spacing w:val="-1"/>
        </w:rPr>
        <w:t>salinometer</w:t>
      </w:r>
      <w:r w:rsidRPr="0031675F">
        <w:rPr>
          <w:spacing w:val="-2"/>
        </w:rPr>
        <w:t xml:space="preserve"> </w:t>
      </w:r>
      <w:r w:rsidRPr="0031675F">
        <w:t>to</w:t>
      </w:r>
      <w:r w:rsidRPr="0031675F">
        <w:rPr>
          <w:spacing w:val="-1"/>
        </w:rPr>
        <w:t xml:space="preserve"> fully</w:t>
      </w:r>
      <w:r w:rsidRPr="0031675F">
        <w:rPr>
          <w:spacing w:val="-2"/>
        </w:rPr>
        <w:t xml:space="preserve"> </w:t>
      </w:r>
      <w:r w:rsidRPr="0031675F">
        <w:rPr>
          <w:spacing w:val="-1"/>
        </w:rPr>
        <w:t>equilibrate</w:t>
      </w:r>
      <w:r w:rsidRPr="0031675F">
        <w:t xml:space="preserve"> </w:t>
      </w:r>
      <w:r w:rsidRPr="0031675F">
        <w:rPr>
          <w:spacing w:val="-1"/>
        </w:rPr>
        <w:t>to</w:t>
      </w:r>
      <w:r w:rsidRPr="0031675F">
        <w:rPr>
          <w:spacing w:val="1"/>
        </w:rPr>
        <w:t xml:space="preserve"> </w:t>
      </w:r>
      <w:r w:rsidRPr="0031675F">
        <w:rPr>
          <w:spacing w:val="-1"/>
        </w:rPr>
        <w:t>room temperature.</w:t>
      </w:r>
    </w:p>
    <w:p w14:paraId="53ACE795" w14:textId="77777777" w:rsidR="0031675F" w:rsidRPr="0031675F" w:rsidRDefault="0031675F" w:rsidP="0031675F">
      <w:pPr>
        <w:widowControl w:val="0"/>
        <w:numPr>
          <w:ilvl w:val="0"/>
          <w:numId w:val="142"/>
        </w:numPr>
        <w:tabs>
          <w:tab w:val="left" w:pos="403"/>
        </w:tabs>
        <w:spacing w:before="49" w:after="0" w:line="291" w:lineRule="exact"/>
        <w:ind w:left="402"/>
        <w:jc w:val="both"/>
      </w:pPr>
      <w:r w:rsidRPr="0031675F">
        <w:rPr>
          <w:spacing w:val="-1"/>
        </w:rPr>
        <w:t>The</w:t>
      </w:r>
      <w:r w:rsidRPr="0031675F">
        <w:rPr>
          <w:spacing w:val="19"/>
        </w:rPr>
        <w:t xml:space="preserve"> </w:t>
      </w:r>
      <w:r w:rsidRPr="0031675F">
        <w:rPr>
          <w:spacing w:val="-1"/>
        </w:rPr>
        <w:t>temperature</w:t>
      </w:r>
      <w:r w:rsidRPr="0031675F">
        <w:rPr>
          <w:spacing w:val="20"/>
        </w:rPr>
        <w:t xml:space="preserve"> </w:t>
      </w:r>
      <w:r w:rsidRPr="0031675F">
        <w:t>of</w:t>
      </w:r>
      <w:r w:rsidRPr="0031675F">
        <w:rPr>
          <w:spacing w:val="19"/>
        </w:rPr>
        <w:t xml:space="preserve"> </w:t>
      </w:r>
      <w:r w:rsidRPr="0031675F">
        <w:t>the</w:t>
      </w:r>
      <w:r w:rsidRPr="0031675F">
        <w:rPr>
          <w:spacing w:val="19"/>
        </w:rPr>
        <w:t xml:space="preserve"> </w:t>
      </w:r>
      <w:r w:rsidRPr="0031675F">
        <w:rPr>
          <w:spacing w:val="-1"/>
        </w:rPr>
        <w:t>bath</w:t>
      </w:r>
      <w:r w:rsidRPr="0031675F">
        <w:rPr>
          <w:spacing w:val="19"/>
        </w:rPr>
        <w:t xml:space="preserve"> </w:t>
      </w:r>
      <w:r w:rsidRPr="0031675F">
        <w:t>water</w:t>
      </w:r>
      <w:r w:rsidRPr="0031675F">
        <w:rPr>
          <w:spacing w:val="19"/>
        </w:rPr>
        <w:t xml:space="preserve"> </w:t>
      </w:r>
      <w:r w:rsidRPr="0031675F">
        <w:rPr>
          <w:spacing w:val="-1"/>
        </w:rPr>
        <w:t>should</w:t>
      </w:r>
      <w:r w:rsidRPr="0031675F">
        <w:rPr>
          <w:spacing w:val="18"/>
        </w:rPr>
        <w:t xml:space="preserve"> </w:t>
      </w:r>
      <w:r w:rsidRPr="0031675F">
        <w:rPr>
          <w:spacing w:val="-1"/>
        </w:rPr>
        <w:t>be</w:t>
      </w:r>
      <w:r w:rsidRPr="0031675F">
        <w:rPr>
          <w:spacing w:val="20"/>
        </w:rPr>
        <w:t xml:space="preserve"> </w:t>
      </w:r>
      <w:r w:rsidRPr="0031675F">
        <w:rPr>
          <w:spacing w:val="-1"/>
        </w:rPr>
        <w:t>set</w:t>
      </w:r>
      <w:r w:rsidRPr="0031675F">
        <w:rPr>
          <w:spacing w:val="20"/>
        </w:rPr>
        <w:t xml:space="preserve"> </w:t>
      </w:r>
      <w:r w:rsidRPr="0031675F">
        <w:rPr>
          <w:spacing w:val="-1"/>
        </w:rPr>
        <w:t>to</w:t>
      </w:r>
      <w:r w:rsidRPr="0031675F">
        <w:rPr>
          <w:spacing w:val="18"/>
        </w:rPr>
        <w:t xml:space="preserve"> </w:t>
      </w:r>
      <w:r w:rsidRPr="0031675F">
        <w:rPr>
          <w:spacing w:val="-1"/>
        </w:rPr>
        <w:t>about</w:t>
      </w:r>
      <w:r w:rsidRPr="0031675F">
        <w:rPr>
          <w:spacing w:val="20"/>
        </w:rPr>
        <w:t xml:space="preserve"> </w:t>
      </w:r>
      <w:r w:rsidRPr="0031675F">
        <w:rPr>
          <w:spacing w:val="2"/>
        </w:rPr>
        <w:t>2</w:t>
      </w:r>
      <w:r w:rsidRPr="0031675F">
        <w:rPr>
          <w:spacing w:val="2"/>
          <w:position w:val="10"/>
          <w:sz w:val="14"/>
        </w:rPr>
        <w:t>o</w:t>
      </w:r>
      <w:r w:rsidRPr="0031675F">
        <w:rPr>
          <w:spacing w:val="2"/>
        </w:rPr>
        <w:t>C</w:t>
      </w:r>
      <w:r w:rsidRPr="0031675F">
        <w:rPr>
          <w:spacing w:val="19"/>
        </w:rPr>
        <w:t xml:space="preserve"> </w:t>
      </w:r>
      <w:r w:rsidRPr="0031675F">
        <w:rPr>
          <w:spacing w:val="-1"/>
        </w:rPr>
        <w:t>above</w:t>
      </w:r>
      <w:r w:rsidRPr="0031675F">
        <w:rPr>
          <w:spacing w:val="20"/>
        </w:rPr>
        <w:t xml:space="preserve"> </w:t>
      </w:r>
      <w:r w:rsidRPr="0031675F">
        <w:rPr>
          <w:spacing w:val="-1"/>
        </w:rPr>
        <w:t>ambient.</w:t>
      </w:r>
      <w:r w:rsidRPr="0031675F">
        <w:rPr>
          <w:spacing w:val="19"/>
        </w:rPr>
        <w:t xml:space="preserve"> </w:t>
      </w:r>
    </w:p>
    <w:p w14:paraId="2B3D2435" w14:textId="77777777" w:rsidR="0031675F" w:rsidRPr="0031675F" w:rsidRDefault="0031675F" w:rsidP="0031675F">
      <w:pPr>
        <w:widowControl w:val="0"/>
        <w:numPr>
          <w:ilvl w:val="0"/>
          <w:numId w:val="142"/>
        </w:numPr>
        <w:tabs>
          <w:tab w:val="left" w:pos="403"/>
        </w:tabs>
        <w:spacing w:before="60" w:after="0" w:line="240" w:lineRule="auto"/>
        <w:ind w:left="402"/>
        <w:jc w:val="both"/>
      </w:pPr>
      <w:r w:rsidRPr="0031675F">
        <w:t xml:space="preserve">Get an </w:t>
      </w:r>
      <w:r w:rsidRPr="0031675F">
        <w:rPr>
          <w:spacing w:val="-1"/>
        </w:rPr>
        <w:t>ampoule</w:t>
      </w:r>
      <w:r w:rsidRPr="0031675F">
        <w:rPr>
          <w:spacing w:val="-2"/>
        </w:rPr>
        <w:t xml:space="preserve"> </w:t>
      </w:r>
      <w:r w:rsidRPr="0031675F">
        <w:t xml:space="preserve">of </w:t>
      </w:r>
      <w:r w:rsidRPr="0031675F">
        <w:rPr>
          <w:spacing w:val="-1"/>
        </w:rPr>
        <w:t>standard seawater</w:t>
      </w:r>
      <w:r w:rsidRPr="0031675F">
        <w:t xml:space="preserve"> and</w:t>
      </w:r>
      <w:r w:rsidRPr="0031675F">
        <w:rPr>
          <w:spacing w:val="-2"/>
        </w:rPr>
        <w:t xml:space="preserve"> </w:t>
      </w:r>
      <w:r w:rsidRPr="0031675F">
        <w:rPr>
          <w:spacing w:val="-1"/>
        </w:rPr>
        <w:t>let</w:t>
      </w:r>
      <w:r w:rsidRPr="0031675F">
        <w:t xml:space="preserve"> it</w:t>
      </w:r>
      <w:r w:rsidRPr="0031675F">
        <w:rPr>
          <w:spacing w:val="-2"/>
        </w:rPr>
        <w:t xml:space="preserve"> </w:t>
      </w:r>
      <w:r w:rsidRPr="0031675F">
        <w:rPr>
          <w:spacing w:val="-1"/>
        </w:rPr>
        <w:t>equilibrate</w:t>
      </w:r>
      <w:r w:rsidRPr="0031675F">
        <w:t xml:space="preserve"> </w:t>
      </w:r>
      <w:r w:rsidRPr="0031675F">
        <w:rPr>
          <w:spacing w:val="-1"/>
        </w:rPr>
        <w:t>next</w:t>
      </w:r>
      <w:r w:rsidRPr="0031675F">
        <w:t xml:space="preserve"> </w:t>
      </w:r>
      <w:r w:rsidRPr="0031675F">
        <w:rPr>
          <w:spacing w:val="-1"/>
        </w:rPr>
        <w:t xml:space="preserve">to </w:t>
      </w:r>
      <w:r w:rsidRPr="0031675F">
        <w:t xml:space="preserve">the </w:t>
      </w:r>
      <w:r w:rsidRPr="0031675F">
        <w:rPr>
          <w:spacing w:val="-1"/>
        </w:rPr>
        <w:t>salinometer</w:t>
      </w:r>
      <w:r w:rsidRPr="0031675F">
        <w:t xml:space="preserve"> as</w:t>
      </w:r>
      <w:r w:rsidRPr="0031675F">
        <w:rPr>
          <w:spacing w:val="-2"/>
        </w:rPr>
        <w:t xml:space="preserve"> </w:t>
      </w:r>
      <w:r w:rsidRPr="0031675F">
        <w:rPr>
          <w:spacing w:val="-1"/>
        </w:rPr>
        <w:t>well.</w:t>
      </w:r>
    </w:p>
    <w:p w14:paraId="63A2E05D" w14:textId="17DD6E92" w:rsidR="0031675F" w:rsidRPr="0031675F" w:rsidRDefault="0031675F" w:rsidP="0031675F">
      <w:pPr>
        <w:widowControl w:val="0"/>
        <w:numPr>
          <w:ilvl w:val="0"/>
          <w:numId w:val="142"/>
        </w:numPr>
        <w:tabs>
          <w:tab w:val="left" w:pos="403"/>
        </w:tabs>
        <w:spacing w:before="48" w:after="0" w:line="240" w:lineRule="auto"/>
        <w:ind w:left="402" w:right="120"/>
      </w:pPr>
      <w:r w:rsidRPr="0031675F">
        <w:t>Make</w:t>
      </w:r>
      <w:r w:rsidRPr="0031675F">
        <w:rPr>
          <w:spacing w:val="21"/>
        </w:rPr>
        <w:t xml:space="preserve"> </w:t>
      </w:r>
      <w:r w:rsidRPr="0031675F">
        <w:rPr>
          <w:spacing w:val="-1"/>
        </w:rPr>
        <w:t>sure</w:t>
      </w:r>
      <w:r w:rsidRPr="0031675F">
        <w:rPr>
          <w:spacing w:val="22"/>
        </w:rPr>
        <w:t xml:space="preserve"> </w:t>
      </w:r>
      <w:r w:rsidRPr="0031675F">
        <w:rPr>
          <w:spacing w:val="-1"/>
        </w:rPr>
        <w:t>you</w:t>
      </w:r>
      <w:r w:rsidRPr="0031675F">
        <w:rPr>
          <w:spacing w:val="21"/>
        </w:rPr>
        <w:t xml:space="preserve"> </w:t>
      </w:r>
      <w:r w:rsidRPr="0031675F">
        <w:rPr>
          <w:spacing w:val="-1"/>
        </w:rPr>
        <w:t>have</w:t>
      </w:r>
      <w:r w:rsidRPr="0031675F">
        <w:rPr>
          <w:spacing w:val="22"/>
        </w:rPr>
        <w:t xml:space="preserve"> </w:t>
      </w:r>
      <w:r w:rsidRPr="0031675F">
        <w:rPr>
          <w:spacing w:val="-1"/>
        </w:rPr>
        <w:t>enough</w:t>
      </w:r>
      <w:r w:rsidRPr="0031675F">
        <w:rPr>
          <w:spacing w:val="21"/>
        </w:rPr>
        <w:t xml:space="preserve"> </w:t>
      </w:r>
      <w:r w:rsidRPr="0031675F">
        <w:rPr>
          <w:spacing w:val="-1"/>
        </w:rPr>
        <w:t>(&gt;</w:t>
      </w:r>
      <w:r w:rsidRPr="0031675F">
        <w:rPr>
          <w:spacing w:val="22"/>
        </w:rPr>
        <w:t xml:space="preserve"> </w:t>
      </w:r>
      <w:r w:rsidRPr="0031675F">
        <w:t>5</w:t>
      </w:r>
      <w:r w:rsidRPr="0031675F">
        <w:rPr>
          <w:spacing w:val="22"/>
        </w:rPr>
        <w:t xml:space="preserve"> </w:t>
      </w:r>
      <w:r w:rsidR="0041119A">
        <w:rPr>
          <w:spacing w:val="-1"/>
        </w:rPr>
        <w:t>L</w:t>
      </w:r>
      <w:r w:rsidRPr="0031675F">
        <w:rPr>
          <w:spacing w:val="-1"/>
        </w:rPr>
        <w:t>)</w:t>
      </w:r>
      <w:r w:rsidRPr="0031675F">
        <w:rPr>
          <w:spacing w:val="22"/>
        </w:rPr>
        <w:t xml:space="preserve"> </w:t>
      </w:r>
      <w:r w:rsidRPr="0031675F">
        <w:rPr>
          <w:spacing w:val="-1"/>
        </w:rPr>
        <w:t>secondary</w:t>
      </w:r>
      <w:r w:rsidRPr="0031675F">
        <w:rPr>
          <w:spacing w:val="22"/>
        </w:rPr>
        <w:t xml:space="preserve"> </w:t>
      </w:r>
      <w:r w:rsidRPr="0031675F">
        <w:rPr>
          <w:spacing w:val="-1"/>
        </w:rPr>
        <w:t>standard</w:t>
      </w:r>
      <w:r w:rsidRPr="0031675F">
        <w:rPr>
          <w:spacing w:val="20"/>
        </w:rPr>
        <w:t xml:space="preserve"> </w:t>
      </w:r>
      <w:r w:rsidRPr="0031675F">
        <w:rPr>
          <w:spacing w:val="-1"/>
        </w:rPr>
        <w:t>seawate</w:t>
      </w:r>
      <w:r w:rsidR="0041119A">
        <w:rPr>
          <w:spacing w:val="-1"/>
        </w:rPr>
        <w:t>r (</w:t>
      </w:r>
      <w:r w:rsidRPr="0031675F">
        <w:rPr>
          <w:spacing w:val="-1"/>
        </w:rPr>
        <w:t>SSSW)</w:t>
      </w:r>
      <w:r w:rsidRPr="0031675F">
        <w:rPr>
          <w:spacing w:val="22"/>
        </w:rPr>
        <w:t xml:space="preserve"> </w:t>
      </w:r>
      <w:r w:rsidRPr="0031675F">
        <w:t>in</w:t>
      </w:r>
      <w:r w:rsidRPr="0031675F">
        <w:rPr>
          <w:spacing w:val="20"/>
        </w:rPr>
        <w:t xml:space="preserve"> </w:t>
      </w:r>
      <w:r w:rsidRPr="0031675F">
        <w:t>the</w:t>
      </w:r>
      <w:r w:rsidRPr="0031675F">
        <w:rPr>
          <w:spacing w:val="22"/>
        </w:rPr>
        <w:t xml:space="preserve"> </w:t>
      </w:r>
      <w:r w:rsidRPr="0031675F">
        <w:t xml:space="preserve">carboy. </w:t>
      </w:r>
      <w:r w:rsidRPr="0031675F">
        <w:rPr>
          <w:spacing w:val="43"/>
        </w:rPr>
        <w:t xml:space="preserve"> </w:t>
      </w:r>
      <w:r w:rsidRPr="0031675F">
        <w:t>If</w:t>
      </w:r>
      <w:r w:rsidRPr="0031675F">
        <w:rPr>
          <w:spacing w:val="57"/>
        </w:rPr>
        <w:t xml:space="preserve"> </w:t>
      </w:r>
      <w:r w:rsidRPr="0031675F">
        <w:t>you</w:t>
      </w:r>
      <w:r w:rsidRPr="0031675F">
        <w:rPr>
          <w:spacing w:val="-1"/>
        </w:rPr>
        <w:t xml:space="preserve"> need</w:t>
      </w:r>
      <w:r w:rsidRPr="0031675F">
        <w:rPr>
          <w:spacing w:val="-3"/>
        </w:rPr>
        <w:t xml:space="preserve"> </w:t>
      </w:r>
      <w:r w:rsidRPr="0031675F">
        <w:rPr>
          <w:spacing w:val="-1"/>
        </w:rPr>
        <w:t>more,</w:t>
      </w:r>
      <w:r w:rsidRPr="0031675F">
        <w:t xml:space="preserve"> </w:t>
      </w:r>
      <w:r w:rsidRPr="0031675F">
        <w:rPr>
          <w:spacing w:val="-1"/>
        </w:rPr>
        <w:t>put</w:t>
      </w:r>
      <w:r w:rsidRPr="0031675F">
        <w:t xml:space="preserve"> </w:t>
      </w:r>
      <w:r w:rsidRPr="0031675F">
        <w:rPr>
          <w:spacing w:val="-2"/>
        </w:rPr>
        <w:t>it</w:t>
      </w:r>
      <w:r w:rsidRPr="0031675F">
        <w:t xml:space="preserve"> in</w:t>
      </w:r>
      <w:r w:rsidRPr="0031675F">
        <w:rPr>
          <w:spacing w:val="-1"/>
        </w:rPr>
        <w:t xml:space="preserve"> </w:t>
      </w:r>
      <w:r w:rsidRPr="0031675F">
        <w:t>at</w:t>
      </w:r>
      <w:r w:rsidRPr="0031675F">
        <w:rPr>
          <w:spacing w:val="-4"/>
        </w:rPr>
        <w:t xml:space="preserve"> </w:t>
      </w:r>
      <w:r w:rsidRPr="0031675F">
        <w:t xml:space="preserve">least </w:t>
      </w:r>
      <w:r w:rsidRPr="0031675F">
        <w:rPr>
          <w:spacing w:val="-1"/>
        </w:rPr>
        <w:t>the</w:t>
      </w:r>
      <w:r w:rsidRPr="0031675F">
        <w:t xml:space="preserve"> </w:t>
      </w:r>
      <w:r w:rsidRPr="0031675F">
        <w:rPr>
          <w:spacing w:val="-1"/>
        </w:rPr>
        <w:t>night</w:t>
      </w:r>
      <w:r w:rsidRPr="0031675F">
        <w:t xml:space="preserve"> </w:t>
      </w:r>
      <w:r w:rsidRPr="0031675F">
        <w:rPr>
          <w:spacing w:val="-1"/>
        </w:rPr>
        <w:t>before</w:t>
      </w:r>
      <w:r w:rsidRPr="0031675F">
        <w:rPr>
          <w:spacing w:val="-2"/>
        </w:rPr>
        <w:t xml:space="preserve"> </w:t>
      </w:r>
      <w:r w:rsidRPr="0031675F">
        <w:rPr>
          <w:spacing w:val="-1"/>
        </w:rPr>
        <w:t>to</w:t>
      </w:r>
      <w:r w:rsidRPr="0031675F">
        <w:rPr>
          <w:spacing w:val="1"/>
        </w:rPr>
        <w:t xml:space="preserve"> </w:t>
      </w:r>
      <w:r w:rsidRPr="0031675F">
        <w:rPr>
          <w:spacing w:val="-1"/>
        </w:rPr>
        <w:t>allow</w:t>
      </w:r>
      <w:r w:rsidRPr="0031675F">
        <w:rPr>
          <w:spacing w:val="-2"/>
        </w:rPr>
        <w:t xml:space="preserve"> </w:t>
      </w:r>
      <w:r w:rsidRPr="0031675F">
        <w:rPr>
          <w:spacing w:val="-1"/>
        </w:rPr>
        <w:t>temperatures</w:t>
      </w:r>
      <w:r w:rsidRPr="0031675F">
        <w:t xml:space="preserve"> </w:t>
      </w:r>
      <w:r w:rsidRPr="0031675F">
        <w:rPr>
          <w:spacing w:val="-1"/>
        </w:rPr>
        <w:t>to equilibrate.</w:t>
      </w:r>
    </w:p>
    <w:p w14:paraId="7A864B30" w14:textId="77777777" w:rsidR="0031675F" w:rsidRPr="0031675F" w:rsidRDefault="0031675F" w:rsidP="0031675F">
      <w:pPr>
        <w:widowControl w:val="0"/>
        <w:numPr>
          <w:ilvl w:val="0"/>
          <w:numId w:val="142"/>
        </w:numPr>
        <w:tabs>
          <w:tab w:val="left" w:pos="403"/>
        </w:tabs>
        <w:spacing w:before="60" w:after="0" w:line="240" w:lineRule="auto"/>
        <w:ind w:left="402" w:right="120"/>
      </w:pPr>
      <w:r w:rsidRPr="0031675F">
        <w:rPr>
          <w:spacing w:val="-1"/>
        </w:rPr>
        <w:t>Before</w:t>
      </w:r>
      <w:r w:rsidRPr="0031675F">
        <w:rPr>
          <w:spacing w:val="1"/>
        </w:rPr>
        <w:t xml:space="preserve"> </w:t>
      </w:r>
      <w:r w:rsidRPr="0031675F">
        <w:rPr>
          <w:spacing w:val="-1"/>
        </w:rPr>
        <w:t>turning</w:t>
      </w:r>
      <w:r w:rsidRPr="0031675F">
        <w:t xml:space="preserve"> on</w:t>
      </w:r>
      <w:r w:rsidRPr="0031675F">
        <w:rPr>
          <w:spacing w:val="-1"/>
        </w:rPr>
        <w:t xml:space="preserve"> power</w:t>
      </w:r>
      <w:r w:rsidRPr="0031675F">
        <w:t xml:space="preserve"> </w:t>
      </w:r>
      <w:r w:rsidRPr="0031675F">
        <w:rPr>
          <w:spacing w:val="-1"/>
        </w:rPr>
        <w:t>make</w:t>
      </w:r>
      <w:r w:rsidRPr="0031675F">
        <w:rPr>
          <w:spacing w:val="1"/>
        </w:rPr>
        <w:t xml:space="preserve"> </w:t>
      </w:r>
      <w:r w:rsidRPr="0031675F">
        <w:rPr>
          <w:spacing w:val="-1"/>
        </w:rPr>
        <w:t>sure</w:t>
      </w:r>
      <w:r w:rsidRPr="0031675F">
        <w:t xml:space="preserve"> the </w:t>
      </w:r>
      <w:r w:rsidRPr="0031675F">
        <w:rPr>
          <w:spacing w:val="-1"/>
        </w:rPr>
        <w:t>FUNCTION switch</w:t>
      </w:r>
      <w:r w:rsidRPr="0031675F">
        <w:t xml:space="preserve"> is in the </w:t>
      </w:r>
      <w:r w:rsidRPr="0031675F">
        <w:rPr>
          <w:spacing w:val="-1"/>
        </w:rPr>
        <w:t>STDBY</w:t>
      </w:r>
      <w:r w:rsidRPr="0031675F">
        <w:t xml:space="preserve"> or </w:t>
      </w:r>
      <w:r w:rsidRPr="0031675F">
        <w:rPr>
          <w:spacing w:val="-1"/>
        </w:rPr>
        <w:t>ZERO</w:t>
      </w:r>
      <w:r w:rsidRPr="0031675F">
        <w:rPr>
          <w:spacing w:val="-2"/>
        </w:rPr>
        <w:t xml:space="preserve"> </w:t>
      </w:r>
      <w:r w:rsidRPr="0031675F">
        <w:rPr>
          <w:spacing w:val="-1"/>
        </w:rPr>
        <w:t>position (Power</w:t>
      </w:r>
      <w:r w:rsidRPr="0031675F">
        <w:rPr>
          <w:spacing w:val="61"/>
        </w:rPr>
        <w:t xml:space="preserve"> </w:t>
      </w:r>
      <w:r w:rsidRPr="0031675F">
        <w:rPr>
          <w:spacing w:val="-1"/>
        </w:rPr>
        <w:t xml:space="preserve">switch </w:t>
      </w:r>
      <w:r w:rsidRPr="0031675F">
        <w:t>is</w:t>
      </w:r>
      <w:r w:rsidRPr="0031675F">
        <w:rPr>
          <w:spacing w:val="-3"/>
        </w:rPr>
        <w:t xml:space="preserve"> </w:t>
      </w:r>
      <w:r w:rsidRPr="0031675F">
        <w:t xml:space="preserve">at </w:t>
      </w:r>
      <w:r w:rsidRPr="0031675F">
        <w:rPr>
          <w:spacing w:val="-2"/>
        </w:rPr>
        <w:t xml:space="preserve">back </w:t>
      </w:r>
      <w:r w:rsidRPr="0031675F">
        <w:t xml:space="preserve">of </w:t>
      </w:r>
      <w:r w:rsidRPr="0031675F">
        <w:rPr>
          <w:spacing w:val="-1"/>
        </w:rPr>
        <w:t>instrument).</w:t>
      </w:r>
    </w:p>
    <w:p w14:paraId="0CFF76DD" w14:textId="77777777" w:rsidR="0031675F" w:rsidRPr="0031675F" w:rsidRDefault="0031675F" w:rsidP="0031675F">
      <w:pPr>
        <w:widowControl w:val="0"/>
        <w:numPr>
          <w:ilvl w:val="0"/>
          <w:numId w:val="142"/>
        </w:numPr>
        <w:tabs>
          <w:tab w:val="left" w:pos="403"/>
        </w:tabs>
        <w:spacing w:before="58" w:after="0" w:line="240" w:lineRule="auto"/>
        <w:ind w:left="402" w:right="120"/>
      </w:pPr>
      <w:r w:rsidRPr="0031675F">
        <w:rPr>
          <w:spacing w:val="-1"/>
        </w:rPr>
        <w:t>Turn</w:t>
      </w:r>
      <w:r w:rsidRPr="0031675F">
        <w:t xml:space="preserve"> </w:t>
      </w:r>
      <w:r w:rsidRPr="0031675F">
        <w:rPr>
          <w:spacing w:val="39"/>
        </w:rPr>
        <w:t xml:space="preserve"> </w:t>
      </w:r>
      <w:r w:rsidRPr="0031675F">
        <w:t xml:space="preserve">on </w:t>
      </w:r>
      <w:r w:rsidRPr="0031675F">
        <w:rPr>
          <w:spacing w:val="38"/>
        </w:rPr>
        <w:t xml:space="preserve"> </w:t>
      </w:r>
      <w:r w:rsidRPr="0031675F">
        <w:rPr>
          <w:spacing w:val="-1"/>
        </w:rPr>
        <w:t>Machine</w:t>
      </w:r>
      <w:r w:rsidRPr="0031675F">
        <w:t xml:space="preserve"> </w:t>
      </w:r>
      <w:r w:rsidRPr="0031675F">
        <w:rPr>
          <w:spacing w:val="42"/>
        </w:rPr>
        <w:t xml:space="preserve"> </w:t>
      </w:r>
      <w:r w:rsidRPr="0031675F">
        <w:rPr>
          <w:spacing w:val="-1"/>
        </w:rPr>
        <w:t>and</w:t>
      </w:r>
      <w:r w:rsidRPr="0031675F">
        <w:t xml:space="preserve"> </w:t>
      </w:r>
      <w:r w:rsidRPr="0031675F">
        <w:rPr>
          <w:spacing w:val="40"/>
        </w:rPr>
        <w:t xml:space="preserve"> </w:t>
      </w:r>
      <w:r w:rsidRPr="0031675F">
        <w:rPr>
          <w:spacing w:val="-1"/>
        </w:rPr>
        <w:t>perform</w:t>
      </w:r>
      <w:r w:rsidRPr="0031675F">
        <w:t xml:space="preserve"> </w:t>
      </w:r>
      <w:r w:rsidRPr="0031675F">
        <w:rPr>
          <w:spacing w:val="43"/>
        </w:rPr>
        <w:t xml:space="preserve"> </w:t>
      </w:r>
      <w:r w:rsidRPr="0031675F">
        <w:rPr>
          <w:spacing w:val="-1"/>
        </w:rPr>
        <w:t>Flow</w:t>
      </w:r>
      <w:r w:rsidRPr="0031675F">
        <w:t xml:space="preserve"> </w:t>
      </w:r>
      <w:r w:rsidRPr="0031675F">
        <w:rPr>
          <w:spacing w:val="40"/>
        </w:rPr>
        <w:t xml:space="preserve"> </w:t>
      </w:r>
      <w:r w:rsidRPr="0031675F">
        <w:t xml:space="preserve">Rate </w:t>
      </w:r>
      <w:r w:rsidRPr="0031675F">
        <w:rPr>
          <w:spacing w:val="40"/>
        </w:rPr>
        <w:t xml:space="preserve"> </w:t>
      </w:r>
      <w:r w:rsidRPr="0031675F">
        <w:rPr>
          <w:spacing w:val="-1"/>
        </w:rPr>
        <w:t>Check,</w:t>
      </w:r>
      <w:r w:rsidRPr="0031675F">
        <w:t xml:space="preserve"> </w:t>
      </w:r>
      <w:r w:rsidRPr="0031675F">
        <w:rPr>
          <w:spacing w:val="41"/>
        </w:rPr>
        <w:t xml:space="preserve"> </w:t>
      </w:r>
      <w:r w:rsidRPr="0031675F">
        <w:rPr>
          <w:spacing w:val="-2"/>
        </w:rPr>
        <w:t>Zero</w:t>
      </w:r>
      <w:r w:rsidRPr="0031675F">
        <w:t xml:space="preserve"> </w:t>
      </w:r>
      <w:r w:rsidRPr="0031675F">
        <w:rPr>
          <w:spacing w:val="43"/>
        </w:rPr>
        <w:t xml:space="preserve"> </w:t>
      </w:r>
      <w:r w:rsidRPr="0031675F">
        <w:rPr>
          <w:spacing w:val="-1"/>
        </w:rPr>
        <w:t>Check,</w:t>
      </w:r>
      <w:r w:rsidRPr="0031675F">
        <w:t xml:space="preserve"> </w:t>
      </w:r>
      <w:r w:rsidRPr="0031675F">
        <w:rPr>
          <w:spacing w:val="39"/>
        </w:rPr>
        <w:t xml:space="preserve"> </w:t>
      </w:r>
      <w:r w:rsidRPr="0031675F">
        <w:rPr>
          <w:spacing w:val="-1"/>
        </w:rPr>
        <w:t>Temperature</w:t>
      </w:r>
      <w:r w:rsidRPr="0031675F">
        <w:t xml:space="preserve"> </w:t>
      </w:r>
      <w:r w:rsidRPr="0031675F">
        <w:rPr>
          <w:spacing w:val="41"/>
        </w:rPr>
        <w:t xml:space="preserve"> </w:t>
      </w:r>
      <w:r w:rsidRPr="0031675F">
        <w:rPr>
          <w:spacing w:val="-1"/>
        </w:rPr>
        <w:t>Check,</w:t>
      </w:r>
      <w:r w:rsidRPr="0031675F">
        <w:t xml:space="preserve"> </w:t>
      </w:r>
      <w:r w:rsidRPr="0031675F">
        <w:rPr>
          <w:spacing w:val="42"/>
        </w:rPr>
        <w:t xml:space="preserve"> </w:t>
      </w:r>
      <w:r w:rsidRPr="0031675F">
        <w:t>Bath</w:t>
      </w:r>
      <w:r w:rsidRPr="0031675F">
        <w:rPr>
          <w:spacing w:val="45"/>
        </w:rPr>
        <w:t xml:space="preserve"> </w:t>
      </w:r>
      <w:r w:rsidRPr="0031675F">
        <w:rPr>
          <w:spacing w:val="-1"/>
        </w:rPr>
        <w:t>Temperature</w:t>
      </w:r>
      <w:r w:rsidRPr="0031675F">
        <w:rPr>
          <w:spacing w:val="-3"/>
        </w:rPr>
        <w:t xml:space="preserve"> </w:t>
      </w:r>
      <w:r w:rsidRPr="0031675F">
        <w:rPr>
          <w:spacing w:val="-1"/>
        </w:rPr>
        <w:t>Check</w:t>
      </w:r>
      <w:r w:rsidRPr="0031675F">
        <w:rPr>
          <w:spacing w:val="1"/>
        </w:rPr>
        <w:t xml:space="preserve"> </w:t>
      </w:r>
      <w:r w:rsidRPr="0031675F">
        <w:rPr>
          <w:spacing w:val="-1"/>
        </w:rPr>
        <w:t>and Conductivity</w:t>
      </w:r>
      <w:r w:rsidRPr="0031675F">
        <w:rPr>
          <w:spacing w:val="-2"/>
        </w:rPr>
        <w:t xml:space="preserve"> </w:t>
      </w:r>
      <w:r w:rsidRPr="0031675F">
        <w:rPr>
          <w:spacing w:val="-1"/>
        </w:rPr>
        <w:t>Cell Check</w:t>
      </w:r>
      <w:r w:rsidRPr="0031675F">
        <w:rPr>
          <w:spacing w:val="-2"/>
        </w:rPr>
        <w:t xml:space="preserve"> </w:t>
      </w:r>
      <w:r w:rsidRPr="0031675F">
        <w:rPr>
          <w:spacing w:val="-1"/>
        </w:rPr>
        <w:t>(detailed procedures</w:t>
      </w:r>
      <w:r w:rsidRPr="0031675F">
        <w:t xml:space="preserve"> in</w:t>
      </w:r>
      <w:r w:rsidRPr="0031675F">
        <w:rPr>
          <w:spacing w:val="-1"/>
        </w:rPr>
        <w:t xml:space="preserve"> Attachment</w:t>
      </w:r>
      <w:r w:rsidRPr="0031675F">
        <w:rPr>
          <w:spacing w:val="1"/>
        </w:rPr>
        <w:t xml:space="preserve"> </w:t>
      </w:r>
      <w:r w:rsidRPr="0031675F">
        <w:rPr>
          <w:spacing w:val="-1"/>
        </w:rPr>
        <w:t>2.2).</w:t>
      </w:r>
    </w:p>
    <w:p w14:paraId="3F7FAAAB" w14:textId="77777777" w:rsidR="0031675F" w:rsidRPr="0031675F" w:rsidRDefault="0031675F" w:rsidP="0031675F">
      <w:pPr>
        <w:widowControl w:val="0"/>
        <w:numPr>
          <w:ilvl w:val="0"/>
          <w:numId w:val="142"/>
        </w:numPr>
        <w:tabs>
          <w:tab w:val="left" w:pos="403"/>
        </w:tabs>
        <w:spacing w:before="60" w:after="0" w:line="240" w:lineRule="auto"/>
        <w:ind w:left="402" w:right="120"/>
      </w:pPr>
      <w:r w:rsidRPr="0031675F">
        <w:rPr>
          <w:spacing w:val="-1"/>
        </w:rPr>
        <w:t>Each</w:t>
      </w:r>
      <w:r w:rsidRPr="0031675F">
        <w:rPr>
          <w:spacing w:val="7"/>
        </w:rPr>
        <w:t xml:space="preserve"> </w:t>
      </w:r>
      <w:r w:rsidRPr="0031675F">
        <w:rPr>
          <w:spacing w:val="-1"/>
        </w:rPr>
        <w:t>time</w:t>
      </w:r>
      <w:r w:rsidRPr="0031675F">
        <w:rPr>
          <w:spacing w:val="5"/>
        </w:rPr>
        <w:t xml:space="preserve"> </w:t>
      </w:r>
      <w:r w:rsidRPr="0031675F">
        <w:t>the</w:t>
      </w:r>
      <w:r w:rsidRPr="0031675F">
        <w:rPr>
          <w:spacing w:val="5"/>
        </w:rPr>
        <w:t xml:space="preserve"> </w:t>
      </w:r>
      <w:r w:rsidRPr="0031675F">
        <w:rPr>
          <w:spacing w:val="-1"/>
        </w:rPr>
        <w:t>Portasal</w:t>
      </w:r>
      <w:r w:rsidRPr="0031675F">
        <w:rPr>
          <w:spacing w:val="7"/>
        </w:rPr>
        <w:t xml:space="preserve"> </w:t>
      </w:r>
      <w:r w:rsidRPr="0031675F">
        <w:t>is</w:t>
      </w:r>
      <w:r w:rsidRPr="0031675F">
        <w:rPr>
          <w:spacing w:val="5"/>
        </w:rPr>
        <w:t xml:space="preserve"> </w:t>
      </w:r>
      <w:r w:rsidRPr="0031675F">
        <w:rPr>
          <w:spacing w:val="-1"/>
        </w:rPr>
        <w:t>has</w:t>
      </w:r>
      <w:r w:rsidRPr="0031675F">
        <w:rPr>
          <w:spacing w:val="7"/>
        </w:rPr>
        <w:t xml:space="preserve"> </w:t>
      </w:r>
      <w:r w:rsidRPr="0031675F">
        <w:rPr>
          <w:spacing w:val="-1"/>
        </w:rPr>
        <w:t>been</w:t>
      </w:r>
      <w:r w:rsidRPr="0031675F">
        <w:rPr>
          <w:spacing w:val="6"/>
        </w:rPr>
        <w:t xml:space="preserve"> </w:t>
      </w:r>
      <w:r w:rsidRPr="0031675F">
        <w:rPr>
          <w:spacing w:val="-1"/>
        </w:rPr>
        <w:t>powered</w:t>
      </w:r>
      <w:r w:rsidRPr="0031675F">
        <w:rPr>
          <w:spacing w:val="7"/>
        </w:rPr>
        <w:t xml:space="preserve"> </w:t>
      </w:r>
      <w:r w:rsidRPr="0031675F">
        <w:rPr>
          <w:spacing w:val="-1"/>
        </w:rPr>
        <w:t>up</w:t>
      </w:r>
      <w:r w:rsidRPr="0031675F">
        <w:rPr>
          <w:spacing w:val="4"/>
        </w:rPr>
        <w:t xml:space="preserve"> </w:t>
      </w:r>
      <w:r w:rsidRPr="0031675F">
        <w:t>or</w:t>
      </w:r>
      <w:r w:rsidRPr="0031675F">
        <w:rPr>
          <w:spacing w:val="7"/>
        </w:rPr>
        <w:t xml:space="preserve"> </w:t>
      </w:r>
      <w:r w:rsidRPr="0031675F">
        <w:t>the</w:t>
      </w:r>
      <w:r w:rsidRPr="0031675F">
        <w:rPr>
          <w:spacing w:val="5"/>
        </w:rPr>
        <w:t xml:space="preserve"> </w:t>
      </w:r>
      <w:r w:rsidRPr="0031675F">
        <w:rPr>
          <w:spacing w:val="-1"/>
        </w:rPr>
        <w:t>bath</w:t>
      </w:r>
      <w:r w:rsidRPr="0031675F">
        <w:rPr>
          <w:spacing w:val="7"/>
        </w:rPr>
        <w:t xml:space="preserve"> </w:t>
      </w:r>
      <w:r w:rsidRPr="0031675F">
        <w:rPr>
          <w:spacing w:val="-1"/>
        </w:rPr>
        <w:t>temperature</w:t>
      </w:r>
      <w:r w:rsidRPr="0031675F">
        <w:rPr>
          <w:spacing w:val="7"/>
        </w:rPr>
        <w:t xml:space="preserve"> </w:t>
      </w:r>
      <w:r w:rsidRPr="0031675F">
        <w:rPr>
          <w:spacing w:val="-1"/>
        </w:rPr>
        <w:t>has</w:t>
      </w:r>
      <w:r w:rsidRPr="0031675F">
        <w:rPr>
          <w:spacing w:val="7"/>
        </w:rPr>
        <w:t xml:space="preserve"> </w:t>
      </w:r>
      <w:r w:rsidRPr="0031675F">
        <w:rPr>
          <w:spacing w:val="-2"/>
        </w:rPr>
        <w:t>been</w:t>
      </w:r>
      <w:r w:rsidRPr="0031675F">
        <w:rPr>
          <w:spacing w:val="6"/>
        </w:rPr>
        <w:t xml:space="preserve"> </w:t>
      </w:r>
      <w:r w:rsidRPr="0031675F">
        <w:rPr>
          <w:spacing w:val="-1"/>
        </w:rPr>
        <w:t>changed,</w:t>
      </w:r>
      <w:r w:rsidRPr="0031675F">
        <w:rPr>
          <w:spacing w:val="7"/>
        </w:rPr>
        <w:t xml:space="preserve"> </w:t>
      </w:r>
      <w:r w:rsidRPr="0031675F">
        <w:rPr>
          <w:spacing w:val="-1"/>
        </w:rPr>
        <w:t>allow</w:t>
      </w:r>
      <w:r w:rsidRPr="0031675F">
        <w:rPr>
          <w:spacing w:val="73"/>
        </w:rPr>
        <w:t xml:space="preserve"> </w:t>
      </w:r>
      <w:r w:rsidRPr="0031675F">
        <w:t xml:space="preserve">3 </w:t>
      </w:r>
      <w:r w:rsidRPr="0031675F">
        <w:rPr>
          <w:spacing w:val="-1"/>
        </w:rPr>
        <w:t>hours</w:t>
      </w:r>
      <w:r w:rsidRPr="0031675F">
        <w:rPr>
          <w:spacing w:val="-3"/>
        </w:rPr>
        <w:t xml:space="preserve"> </w:t>
      </w:r>
      <w:r w:rsidRPr="0031675F">
        <w:rPr>
          <w:spacing w:val="-1"/>
        </w:rPr>
        <w:t>before</w:t>
      </w:r>
      <w:r w:rsidRPr="0031675F">
        <w:t xml:space="preserve"> </w:t>
      </w:r>
      <w:r w:rsidRPr="0031675F">
        <w:rPr>
          <w:spacing w:val="-1"/>
        </w:rPr>
        <w:t xml:space="preserve">standardising </w:t>
      </w:r>
      <w:r w:rsidRPr="0031675F">
        <w:t xml:space="preserve">or </w:t>
      </w:r>
      <w:r w:rsidRPr="0031675F">
        <w:rPr>
          <w:spacing w:val="-1"/>
        </w:rPr>
        <w:t>calibrating.</w:t>
      </w:r>
    </w:p>
    <w:p w14:paraId="1FC3264F" w14:textId="04C256E9" w:rsidR="0031675F" w:rsidRPr="0031675F" w:rsidRDefault="0041119A" w:rsidP="0041119A">
      <w:r w:rsidRPr="0041119A">
        <w:t xml:space="preserve">For consistency, it is best to use 10-15 L of </w:t>
      </w:r>
      <w:r>
        <w:t>SSSW</w:t>
      </w:r>
      <w:r w:rsidRPr="0041119A">
        <w:t xml:space="preserve"> in one batch. After collection, the water is stored in a cool room in a drum to </w:t>
      </w:r>
      <w:r>
        <w:t>reduce</w:t>
      </w:r>
      <w:r w:rsidRPr="0041119A">
        <w:t xml:space="preserve"> evaporation. Several days before use, some of the water should be transferred to a 20 L carboy on the lab bench next to the salinometer. The carboy is fitted with a siphon to remove water without bubbles. The secondary water should be allowed to fully equilibrate to room temperature before use.</w:t>
      </w:r>
    </w:p>
    <w:p w14:paraId="1CA1636B" w14:textId="77777777" w:rsidR="0031675F" w:rsidRPr="0031675F" w:rsidRDefault="0031675F" w:rsidP="0031675F">
      <w:pPr>
        <w:widowControl w:val="0"/>
        <w:numPr>
          <w:ilvl w:val="3"/>
          <w:numId w:val="133"/>
        </w:numPr>
        <w:tabs>
          <w:tab w:val="left" w:pos="842"/>
        </w:tabs>
        <w:spacing w:before="0" w:after="0" w:line="240" w:lineRule="auto"/>
        <w:jc w:val="both"/>
        <w:rPr>
          <w:rFonts w:cs="Calibri"/>
        </w:rPr>
      </w:pPr>
      <w:r w:rsidRPr="0031675F">
        <w:rPr>
          <w:b/>
          <w:i/>
          <w:spacing w:val="-2"/>
        </w:rPr>
        <w:t>Standardisation</w:t>
      </w:r>
    </w:p>
    <w:p w14:paraId="766FB49E" w14:textId="77777777" w:rsidR="0031675F" w:rsidRPr="0031675F" w:rsidRDefault="0031675F" w:rsidP="00506BD3">
      <w:r w:rsidRPr="0031675F">
        <w:t>The</w:t>
      </w:r>
      <w:r w:rsidRPr="0031675F">
        <w:rPr>
          <w:spacing w:val="10"/>
        </w:rPr>
        <w:t xml:space="preserve"> </w:t>
      </w:r>
      <w:r w:rsidRPr="0031675F">
        <w:t>Portasal</w:t>
      </w:r>
      <w:r w:rsidRPr="0031675F">
        <w:rPr>
          <w:spacing w:val="9"/>
        </w:rPr>
        <w:t xml:space="preserve"> </w:t>
      </w:r>
      <w:r w:rsidRPr="0031675F">
        <w:t>is</w:t>
      </w:r>
      <w:r w:rsidRPr="0031675F">
        <w:rPr>
          <w:spacing w:val="9"/>
        </w:rPr>
        <w:t xml:space="preserve"> </w:t>
      </w:r>
      <w:r w:rsidRPr="0031675F">
        <w:t>usually</w:t>
      </w:r>
      <w:r w:rsidRPr="0031675F">
        <w:rPr>
          <w:spacing w:val="10"/>
        </w:rPr>
        <w:t xml:space="preserve"> </w:t>
      </w:r>
      <w:r w:rsidRPr="0031675F">
        <w:t>quite</w:t>
      </w:r>
      <w:r w:rsidRPr="0031675F">
        <w:rPr>
          <w:spacing w:val="10"/>
        </w:rPr>
        <w:t xml:space="preserve"> </w:t>
      </w:r>
      <w:r w:rsidRPr="0031675F">
        <w:t>stable</w:t>
      </w:r>
      <w:r w:rsidRPr="0031675F">
        <w:rPr>
          <w:spacing w:val="10"/>
        </w:rPr>
        <w:t xml:space="preserve"> </w:t>
      </w:r>
      <w:r w:rsidRPr="0031675F">
        <w:t>but</w:t>
      </w:r>
      <w:r w:rsidRPr="0031675F">
        <w:rPr>
          <w:spacing w:val="10"/>
        </w:rPr>
        <w:t xml:space="preserve"> </w:t>
      </w:r>
      <w:r w:rsidRPr="0031675F">
        <w:t>to</w:t>
      </w:r>
      <w:r w:rsidRPr="0031675F">
        <w:rPr>
          <w:spacing w:val="9"/>
        </w:rPr>
        <w:t xml:space="preserve"> </w:t>
      </w:r>
      <w:r w:rsidRPr="0031675F">
        <w:t>ensure</w:t>
      </w:r>
      <w:r w:rsidRPr="0031675F">
        <w:rPr>
          <w:spacing w:val="10"/>
        </w:rPr>
        <w:t xml:space="preserve"> </w:t>
      </w:r>
      <w:r w:rsidRPr="0031675F">
        <w:t>quality</w:t>
      </w:r>
      <w:r w:rsidRPr="0031675F">
        <w:rPr>
          <w:spacing w:val="11"/>
        </w:rPr>
        <w:t xml:space="preserve"> </w:t>
      </w:r>
      <w:r w:rsidRPr="0031675F">
        <w:t>control</w:t>
      </w:r>
      <w:r w:rsidRPr="0031675F">
        <w:rPr>
          <w:spacing w:val="13"/>
        </w:rPr>
        <w:t xml:space="preserve"> </w:t>
      </w:r>
      <w:r w:rsidRPr="0031675F">
        <w:t>a</w:t>
      </w:r>
      <w:r w:rsidRPr="0031675F">
        <w:rPr>
          <w:spacing w:val="9"/>
        </w:rPr>
        <w:t xml:space="preserve"> </w:t>
      </w:r>
      <w:r w:rsidRPr="0031675F">
        <w:t>standardization</w:t>
      </w:r>
      <w:r w:rsidRPr="0031675F">
        <w:rPr>
          <w:spacing w:val="9"/>
        </w:rPr>
        <w:t xml:space="preserve"> </w:t>
      </w:r>
      <w:r w:rsidRPr="0031675F">
        <w:t>routine</w:t>
      </w:r>
      <w:r w:rsidRPr="0031675F">
        <w:rPr>
          <w:spacing w:val="10"/>
        </w:rPr>
        <w:t xml:space="preserve"> </w:t>
      </w:r>
      <w:r w:rsidRPr="0031675F">
        <w:t>should</w:t>
      </w:r>
      <w:r w:rsidRPr="0031675F">
        <w:rPr>
          <w:spacing w:val="8"/>
        </w:rPr>
        <w:t xml:space="preserve"> </w:t>
      </w:r>
      <w:r w:rsidRPr="0031675F">
        <w:t>be</w:t>
      </w:r>
      <w:r w:rsidRPr="0031675F">
        <w:rPr>
          <w:spacing w:val="65"/>
        </w:rPr>
        <w:t xml:space="preserve"> </w:t>
      </w:r>
      <w:r w:rsidRPr="0031675F">
        <w:t>performed,</w:t>
      </w:r>
      <w:r w:rsidRPr="0031675F">
        <w:rPr>
          <w:spacing w:val="28"/>
        </w:rPr>
        <w:t xml:space="preserve"> </w:t>
      </w:r>
      <w:r w:rsidRPr="0031675F">
        <w:t>in</w:t>
      </w:r>
      <w:r w:rsidRPr="0031675F">
        <w:rPr>
          <w:spacing w:val="29"/>
        </w:rPr>
        <w:t xml:space="preserve"> </w:t>
      </w:r>
      <w:r w:rsidRPr="0031675F">
        <w:t>the</w:t>
      </w:r>
      <w:r w:rsidRPr="0031675F">
        <w:rPr>
          <w:spacing w:val="30"/>
        </w:rPr>
        <w:t xml:space="preserve"> </w:t>
      </w:r>
      <w:r w:rsidRPr="0031675F">
        <w:t>following</w:t>
      </w:r>
      <w:r w:rsidRPr="0031675F">
        <w:rPr>
          <w:spacing w:val="28"/>
        </w:rPr>
        <w:t xml:space="preserve"> </w:t>
      </w:r>
      <w:r w:rsidRPr="0031675F">
        <w:t>sequence,</w:t>
      </w:r>
      <w:r w:rsidRPr="0031675F">
        <w:rPr>
          <w:spacing w:val="30"/>
        </w:rPr>
        <w:t xml:space="preserve"> </w:t>
      </w:r>
      <w:r w:rsidRPr="0031675F">
        <w:t>every</w:t>
      </w:r>
      <w:r w:rsidRPr="0031675F">
        <w:rPr>
          <w:spacing w:val="30"/>
        </w:rPr>
        <w:t xml:space="preserve"> </w:t>
      </w:r>
      <w:r w:rsidRPr="0031675F">
        <w:rPr>
          <w:spacing w:val="-2"/>
        </w:rPr>
        <w:t>time</w:t>
      </w:r>
      <w:r w:rsidRPr="0031675F">
        <w:rPr>
          <w:spacing w:val="30"/>
        </w:rPr>
        <w:t xml:space="preserve"> </w:t>
      </w:r>
      <w:r w:rsidRPr="0031675F">
        <w:t>the</w:t>
      </w:r>
      <w:r w:rsidRPr="0031675F">
        <w:rPr>
          <w:spacing w:val="27"/>
        </w:rPr>
        <w:t xml:space="preserve"> </w:t>
      </w:r>
      <w:r w:rsidRPr="0031675F">
        <w:t>machine</w:t>
      </w:r>
      <w:r w:rsidRPr="0031675F">
        <w:rPr>
          <w:spacing w:val="30"/>
        </w:rPr>
        <w:t xml:space="preserve"> </w:t>
      </w:r>
      <w:r w:rsidRPr="0031675F">
        <w:t>is</w:t>
      </w:r>
      <w:r w:rsidRPr="0031675F">
        <w:rPr>
          <w:spacing w:val="29"/>
        </w:rPr>
        <w:t xml:space="preserve"> </w:t>
      </w:r>
      <w:r w:rsidRPr="0031675F">
        <w:t>powered</w:t>
      </w:r>
      <w:r w:rsidRPr="0031675F">
        <w:rPr>
          <w:spacing w:val="28"/>
        </w:rPr>
        <w:t xml:space="preserve"> </w:t>
      </w:r>
      <w:r w:rsidRPr="0031675F">
        <w:t>up</w:t>
      </w:r>
      <w:r w:rsidRPr="0031675F">
        <w:rPr>
          <w:spacing w:val="29"/>
        </w:rPr>
        <w:t xml:space="preserve"> </w:t>
      </w:r>
      <w:r w:rsidRPr="0031675F">
        <w:t>or</w:t>
      </w:r>
      <w:r w:rsidRPr="0031675F">
        <w:rPr>
          <w:spacing w:val="30"/>
        </w:rPr>
        <w:t xml:space="preserve"> </w:t>
      </w:r>
      <w:r w:rsidRPr="0031675F">
        <w:t>the</w:t>
      </w:r>
      <w:r w:rsidRPr="0031675F">
        <w:rPr>
          <w:spacing w:val="30"/>
        </w:rPr>
        <w:t xml:space="preserve"> </w:t>
      </w:r>
      <w:r w:rsidRPr="0031675F">
        <w:t>bath</w:t>
      </w:r>
      <w:r w:rsidRPr="0031675F">
        <w:rPr>
          <w:spacing w:val="51"/>
        </w:rPr>
        <w:t xml:space="preserve"> </w:t>
      </w:r>
      <w:r w:rsidRPr="0031675F">
        <w:t>temperature</w:t>
      </w:r>
      <w:r w:rsidRPr="0031675F">
        <w:rPr>
          <w:spacing w:val="-3"/>
        </w:rPr>
        <w:t xml:space="preserve"> </w:t>
      </w:r>
      <w:r w:rsidRPr="0031675F">
        <w:t>is changed.</w:t>
      </w:r>
    </w:p>
    <w:p w14:paraId="3B63194E" w14:textId="0636B9D9" w:rsidR="0031675F" w:rsidRDefault="0031675F" w:rsidP="00506BD3">
      <w:r w:rsidRPr="0031675F">
        <w:t>Perform</w:t>
      </w:r>
      <w:r w:rsidRPr="0031675F">
        <w:rPr>
          <w:spacing w:val="22"/>
        </w:rPr>
        <w:t xml:space="preserve"> </w:t>
      </w:r>
      <w:r w:rsidRPr="0031675F">
        <w:t>the</w:t>
      </w:r>
      <w:r w:rsidRPr="0031675F">
        <w:rPr>
          <w:spacing w:val="22"/>
        </w:rPr>
        <w:t xml:space="preserve"> </w:t>
      </w:r>
      <w:r w:rsidRPr="0031675F">
        <w:t>Reference</w:t>
      </w:r>
      <w:r w:rsidRPr="0031675F">
        <w:rPr>
          <w:spacing w:val="22"/>
        </w:rPr>
        <w:t xml:space="preserve"> </w:t>
      </w:r>
      <w:r w:rsidRPr="0031675F">
        <w:t>Calibration</w:t>
      </w:r>
      <w:r w:rsidRPr="0031675F">
        <w:rPr>
          <w:spacing w:val="21"/>
        </w:rPr>
        <w:t xml:space="preserve"> </w:t>
      </w:r>
      <w:r w:rsidRPr="0031675F">
        <w:t>and</w:t>
      </w:r>
      <w:r w:rsidRPr="0031675F">
        <w:rPr>
          <w:spacing w:val="21"/>
        </w:rPr>
        <w:t xml:space="preserve"> </w:t>
      </w:r>
      <w:r w:rsidRPr="0031675F">
        <w:t>the</w:t>
      </w:r>
      <w:r w:rsidRPr="0031675F">
        <w:rPr>
          <w:spacing w:val="22"/>
        </w:rPr>
        <w:t xml:space="preserve"> </w:t>
      </w:r>
      <w:r w:rsidRPr="0031675F">
        <w:t>Zero</w:t>
      </w:r>
      <w:r w:rsidRPr="0031675F">
        <w:rPr>
          <w:spacing w:val="22"/>
        </w:rPr>
        <w:t xml:space="preserve"> </w:t>
      </w:r>
      <w:r w:rsidRPr="0031675F">
        <w:t>Calibration</w:t>
      </w:r>
      <w:r w:rsidRPr="0031675F">
        <w:rPr>
          <w:spacing w:val="21"/>
        </w:rPr>
        <w:t xml:space="preserve"> </w:t>
      </w:r>
      <w:r w:rsidRPr="0031675F">
        <w:t>and</w:t>
      </w:r>
      <w:r w:rsidRPr="0031675F">
        <w:rPr>
          <w:spacing w:val="21"/>
        </w:rPr>
        <w:t xml:space="preserve"> </w:t>
      </w:r>
      <w:r w:rsidRPr="0031675F">
        <w:t>then</w:t>
      </w:r>
      <w:r w:rsidRPr="0031675F">
        <w:rPr>
          <w:spacing w:val="21"/>
        </w:rPr>
        <w:t xml:space="preserve"> </w:t>
      </w:r>
      <w:r w:rsidRPr="0031675F">
        <w:t>the</w:t>
      </w:r>
      <w:r w:rsidRPr="0031675F">
        <w:rPr>
          <w:spacing w:val="22"/>
        </w:rPr>
        <w:t xml:space="preserve"> </w:t>
      </w:r>
      <w:r w:rsidRPr="0031675F">
        <w:t>Standardization</w:t>
      </w:r>
      <w:r w:rsidRPr="0031675F">
        <w:rPr>
          <w:spacing w:val="21"/>
        </w:rPr>
        <w:t xml:space="preserve"> </w:t>
      </w:r>
      <w:r w:rsidRPr="0031675F">
        <w:t>and</w:t>
      </w:r>
      <w:r w:rsidRPr="0031675F">
        <w:rPr>
          <w:spacing w:val="21"/>
        </w:rPr>
        <w:t xml:space="preserve"> </w:t>
      </w:r>
      <w:r w:rsidRPr="0031675F">
        <w:t>Drift</w:t>
      </w:r>
      <w:r w:rsidRPr="0031675F">
        <w:rPr>
          <w:spacing w:val="57"/>
        </w:rPr>
        <w:t xml:space="preserve"> </w:t>
      </w:r>
      <w:r w:rsidRPr="0031675F">
        <w:t>Correction</w:t>
      </w:r>
      <w:r w:rsidRPr="0031675F">
        <w:rPr>
          <w:spacing w:val="-3"/>
        </w:rPr>
        <w:t xml:space="preserve"> </w:t>
      </w:r>
      <w:r w:rsidRPr="0031675F">
        <w:t>Routines as</w:t>
      </w:r>
      <w:r w:rsidRPr="0031675F">
        <w:rPr>
          <w:spacing w:val="-3"/>
        </w:rPr>
        <w:t xml:space="preserve"> </w:t>
      </w:r>
      <w:r w:rsidRPr="0031675F">
        <w:t>described below</w:t>
      </w:r>
      <w:r w:rsidR="00723F0F">
        <w:t>.</w:t>
      </w:r>
    </w:p>
    <w:p w14:paraId="7C847672" w14:textId="77777777" w:rsidR="00723F0F" w:rsidRPr="0031675F" w:rsidRDefault="00723F0F" w:rsidP="00723F0F">
      <w:pPr>
        <w:spacing w:after="120"/>
        <w:ind w:right="115"/>
        <w:jc w:val="both"/>
        <w:rPr>
          <w:rFonts w:cs="Calibri"/>
          <w:szCs w:val="26"/>
        </w:rPr>
      </w:pPr>
    </w:p>
    <w:p w14:paraId="63CEAA1D" w14:textId="77777777" w:rsidR="0031675F" w:rsidRPr="0031675F" w:rsidRDefault="0031675F" w:rsidP="0031675F">
      <w:pPr>
        <w:widowControl w:val="0"/>
        <w:numPr>
          <w:ilvl w:val="0"/>
          <w:numId w:val="132"/>
        </w:numPr>
        <w:tabs>
          <w:tab w:val="left" w:pos="345"/>
        </w:tabs>
        <w:spacing w:before="0" w:after="0" w:line="240" w:lineRule="auto"/>
        <w:rPr>
          <w:rFonts w:cs="Calibri"/>
        </w:rPr>
      </w:pPr>
      <w:r w:rsidRPr="0031675F">
        <w:rPr>
          <w:b/>
          <w:i/>
          <w:spacing w:val="-1"/>
        </w:rPr>
        <w:t>Reference</w:t>
      </w:r>
      <w:r w:rsidRPr="0031675F">
        <w:rPr>
          <w:b/>
          <w:i/>
          <w:spacing w:val="-3"/>
        </w:rPr>
        <w:t xml:space="preserve"> </w:t>
      </w:r>
      <w:r w:rsidRPr="0031675F">
        <w:rPr>
          <w:b/>
          <w:i/>
          <w:spacing w:val="-2"/>
        </w:rPr>
        <w:t>Calibration</w:t>
      </w:r>
    </w:p>
    <w:p w14:paraId="0A610024" w14:textId="77777777" w:rsidR="0031675F" w:rsidRPr="0031675F" w:rsidRDefault="0031675F" w:rsidP="0031675F">
      <w:pPr>
        <w:widowControl w:val="0"/>
        <w:numPr>
          <w:ilvl w:val="0"/>
          <w:numId w:val="142"/>
        </w:numPr>
        <w:tabs>
          <w:tab w:val="left" w:pos="403"/>
        </w:tabs>
        <w:spacing w:before="69" w:after="0" w:line="266" w:lineRule="exact"/>
        <w:ind w:left="402" w:right="120"/>
      </w:pPr>
      <w:r w:rsidRPr="0031675F">
        <w:rPr>
          <w:spacing w:val="-1"/>
        </w:rPr>
        <w:t>The</w:t>
      </w:r>
      <w:r w:rsidRPr="0031675F">
        <w:t xml:space="preserve"> </w:t>
      </w:r>
      <w:r w:rsidRPr="0031675F">
        <w:rPr>
          <w:spacing w:val="29"/>
        </w:rPr>
        <w:t xml:space="preserve"> </w:t>
      </w:r>
      <w:r w:rsidRPr="0031675F">
        <w:rPr>
          <w:spacing w:val="-1"/>
        </w:rPr>
        <w:t>instrument</w:t>
      </w:r>
      <w:r w:rsidRPr="0031675F">
        <w:t xml:space="preserve"> </w:t>
      </w:r>
      <w:r w:rsidRPr="0031675F">
        <w:rPr>
          <w:spacing w:val="25"/>
        </w:rPr>
        <w:t xml:space="preserve"> </w:t>
      </w:r>
      <w:r w:rsidRPr="0031675F">
        <w:rPr>
          <w:spacing w:val="-1"/>
        </w:rPr>
        <w:t>must</w:t>
      </w:r>
      <w:r w:rsidRPr="0031675F">
        <w:t xml:space="preserve"> </w:t>
      </w:r>
      <w:r w:rsidRPr="0031675F">
        <w:rPr>
          <w:spacing w:val="30"/>
        </w:rPr>
        <w:t xml:space="preserve"> </w:t>
      </w:r>
      <w:r w:rsidRPr="0031675F">
        <w:rPr>
          <w:spacing w:val="-1"/>
        </w:rPr>
        <w:t>have</w:t>
      </w:r>
      <w:r w:rsidRPr="0031675F">
        <w:t xml:space="preserve"> </w:t>
      </w:r>
      <w:r w:rsidRPr="0031675F">
        <w:rPr>
          <w:spacing w:val="29"/>
        </w:rPr>
        <w:t xml:space="preserve"> </w:t>
      </w:r>
      <w:r w:rsidRPr="0031675F">
        <w:rPr>
          <w:spacing w:val="-1"/>
        </w:rPr>
        <w:t>been</w:t>
      </w:r>
      <w:r w:rsidRPr="0031675F">
        <w:t xml:space="preserve"> </w:t>
      </w:r>
      <w:r w:rsidRPr="0031675F">
        <w:rPr>
          <w:spacing w:val="29"/>
        </w:rPr>
        <w:t xml:space="preserve"> </w:t>
      </w:r>
      <w:r w:rsidRPr="0031675F">
        <w:rPr>
          <w:spacing w:val="-1"/>
        </w:rPr>
        <w:t>powered</w:t>
      </w:r>
      <w:r w:rsidRPr="0031675F">
        <w:t xml:space="preserve"> </w:t>
      </w:r>
      <w:r w:rsidRPr="0031675F">
        <w:rPr>
          <w:spacing w:val="29"/>
        </w:rPr>
        <w:t xml:space="preserve"> </w:t>
      </w:r>
      <w:r w:rsidRPr="0031675F">
        <w:rPr>
          <w:spacing w:val="-1"/>
        </w:rPr>
        <w:t>up</w:t>
      </w:r>
      <w:r w:rsidRPr="0031675F">
        <w:t xml:space="preserve"> </w:t>
      </w:r>
      <w:r w:rsidRPr="0031675F">
        <w:rPr>
          <w:spacing w:val="29"/>
        </w:rPr>
        <w:t xml:space="preserve"> </w:t>
      </w:r>
      <w:r w:rsidRPr="0031675F">
        <w:rPr>
          <w:spacing w:val="-2"/>
        </w:rPr>
        <w:t>for</w:t>
      </w:r>
      <w:r w:rsidRPr="0031675F">
        <w:t xml:space="preserve"> </w:t>
      </w:r>
      <w:r w:rsidRPr="0031675F">
        <w:rPr>
          <w:spacing w:val="29"/>
        </w:rPr>
        <w:t xml:space="preserve"> </w:t>
      </w:r>
      <w:r w:rsidRPr="0031675F">
        <w:t xml:space="preserve">a </w:t>
      </w:r>
      <w:r w:rsidRPr="0031675F">
        <w:rPr>
          <w:spacing w:val="27"/>
        </w:rPr>
        <w:t xml:space="preserve"> </w:t>
      </w:r>
      <w:r w:rsidRPr="0031675F">
        <w:rPr>
          <w:spacing w:val="-1"/>
        </w:rPr>
        <w:t>minimum</w:t>
      </w:r>
      <w:r w:rsidRPr="0031675F">
        <w:t xml:space="preserve"> </w:t>
      </w:r>
      <w:r w:rsidRPr="0031675F">
        <w:rPr>
          <w:spacing w:val="28"/>
        </w:rPr>
        <w:t xml:space="preserve"> </w:t>
      </w:r>
      <w:r w:rsidRPr="0031675F">
        <w:t xml:space="preserve">of </w:t>
      </w:r>
      <w:r w:rsidRPr="0031675F">
        <w:rPr>
          <w:spacing w:val="26"/>
        </w:rPr>
        <w:t xml:space="preserve"> </w:t>
      </w:r>
      <w:r w:rsidRPr="0031675F">
        <w:t xml:space="preserve">3 </w:t>
      </w:r>
      <w:r w:rsidRPr="0031675F">
        <w:rPr>
          <w:spacing w:val="30"/>
        </w:rPr>
        <w:t xml:space="preserve"> </w:t>
      </w:r>
      <w:r w:rsidRPr="0031675F">
        <w:rPr>
          <w:spacing w:val="-2"/>
        </w:rPr>
        <w:t>hours</w:t>
      </w:r>
      <w:r w:rsidRPr="0031675F">
        <w:t xml:space="preserve"> </w:t>
      </w:r>
      <w:r w:rsidRPr="0031675F">
        <w:rPr>
          <w:spacing w:val="30"/>
        </w:rPr>
        <w:t xml:space="preserve"> </w:t>
      </w:r>
      <w:r w:rsidRPr="0031675F">
        <w:t xml:space="preserve">after </w:t>
      </w:r>
      <w:r w:rsidRPr="0031675F">
        <w:rPr>
          <w:spacing w:val="28"/>
        </w:rPr>
        <w:t xml:space="preserve"> </w:t>
      </w:r>
      <w:r w:rsidRPr="0031675F">
        <w:t xml:space="preserve">the </w:t>
      </w:r>
      <w:r w:rsidRPr="0031675F">
        <w:rPr>
          <w:spacing w:val="27"/>
        </w:rPr>
        <w:t xml:space="preserve"> </w:t>
      </w:r>
      <w:r w:rsidRPr="0031675F">
        <w:rPr>
          <w:spacing w:val="-1"/>
        </w:rPr>
        <w:t>bath</w:t>
      </w:r>
      <w:r w:rsidRPr="0031675F">
        <w:rPr>
          <w:spacing w:val="35"/>
        </w:rPr>
        <w:t xml:space="preserve"> </w:t>
      </w:r>
      <w:r w:rsidRPr="0031675F">
        <w:rPr>
          <w:spacing w:val="-1"/>
        </w:rPr>
        <w:t>temperature</w:t>
      </w:r>
      <w:r w:rsidRPr="0031675F">
        <w:rPr>
          <w:spacing w:val="-3"/>
        </w:rPr>
        <w:t xml:space="preserve"> </w:t>
      </w:r>
      <w:r w:rsidRPr="0031675F">
        <w:rPr>
          <w:spacing w:val="-1"/>
        </w:rPr>
        <w:t>begins</w:t>
      </w:r>
      <w:r w:rsidRPr="0031675F">
        <w:t xml:space="preserve"> </w:t>
      </w:r>
      <w:r w:rsidRPr="0031675F">
        <w:rPr>
          <w:spacing w:val="-1"/>
        </w:rPr>
        <w:t>regulating before</w:t>
      </w:r>
      <w:r w:rsidRPr="0031675F">
        <w:t xml:space="preserve"> </w:t>
      </w:r>
      <w:r w:rsidRPr="0031675F">
        <w:rPr>
          <w:spacing w:val="-1"/>
        </w:rPr>
        <w:t>any</w:t>
      </w:r>
      <w:r w:rsidRPr="0031675F">
        <w:rPr>
          <w:spacing w:val="-2"/>
        </w:rPr>
        <w:t xml:space="preserve"> </w:t>
      </w:r>
      <w:r w:rsidRPr="0031675F">
        <w:rPr>
          <w:spacing w:val="-1"/>
        </w:rPr>
        <w:t>calibration</w:t>
      </w:r>
      <w:r w:rsidRPr="0031675F">
        <w:rPr>
          <w:spacing w:val="-3"/>
        </w:rPr>
        <w:t xml:space="preserve"> </w:t>
      </w:r>
      <w:r w:rsidRPr="0031675F">
        <w:t xml:space="preserve">is </w:t>
      </w:r>
      <w:r w:rsidRPr="0031675F">
        <w:rPr>
          <w:spacing w:val="-1"/>
        </w:rPr>
        <w:t>performed.</w:t>
      </w:r>
    </w:p>
    <w:p w14:paraId="464F243E" w14:textId="77777777" w:rsidR="0031675F" w:rsidRPr="0031675F" w:rsidRDefault="0031675F" w:rsidP="0031675F">
      <w:pPr>
        <w:widowControl w:val="0"/>
        <w:numPr>
          <w:ilvl w:val="0"/>
          <w:numId w:val="142"/>
        </w:numPr>
        <w:tabs>
          <w:tab w:val="left" w:pos="403"/>
        </w:tabs>
        <w:spacing w:before="66" w:after="0" w:line="240" w:lineRule="auto"/>
        <w:ind w:left="402" w:right="118"/>
      </w:pPr>
      <w:r w:rsidRPr="0031675F">
        <w:rPr>
          <w:spacing w:val="-1"/>
        </w:rPr>
        <w:t>Set</w:t>
      </w:r>
      <w:r w:rsidRPr="0031675F">
        <w:rPr>
          <w:spacing w:val="18"/>
        </w:rPr>
        <w:t xml:space="preserve"> </w:t>
      </w:r>
      <w:r w:rsidRPr="0031675F">
        <w:t>the</w:t>
      </w:r>
      <w:r w:rsidRPr="0031675F">
        <w:rPr>
          <w:spacing w:val="17"/>
        </w:rPr>
        <w:t xml:space="preserve"> </w:t>
      </w:r>
      <w:r w:rsidRPr="0031675F">
        <w:rPr>
          <w:spacing w:val="-1"/>
        </w:rPr>
        <w:t>FUNCTION</w:t>
      </w:r>
      <w:r w:rsidRPr="0031675F">
        <w:rPr>
          <w:spacing w:val="16"/>
        </w:rPr>
        <w:t xml:space="preserve"> </w:t>
      </w:r>
      <w:r w:rsidRPr="0031675F">
        <w:rPr>
          <w:spacing w:val="-1"/>
        </w:rPr>
        <w:t>switch</w:t>
      </w:r>
      <w:r w:rsidRPr="0031675F">
        <w:rPr>
          <w:spacing w:val="14"/>
        </w:rPr>
        <w:t xml:space="preserve"> </w:t>
      </w:r>
      <w:r w:rsidRPr="0031675F">
        <w:rPr>
          <w:spacing w:val="-1"/>
        </w:rPr>
        <w:t>to</w:t>
      </w:r>
      <w:r w:rsidRPr="0031675F">
        <w:rPr>
          <w:spacing w:val="20"/>
        </w:rPr>
        <w:t xml:space="preserve"> </w:t>
      </w:r>
      <w:r w:rsidRPr="0031675F">
        <w:rPr>
          <w:spacing w:val="-1"/>
        </w:rPr>
        <w:t>STDBY</w:t>
      </w:r>
      <w:r w:rsidRPr="0031675F">
        <w:rPr>
          <w:spacing w:val="17"/>
        </w:rPr>
        <w:t xml:space="preserve"> </w:t>
      </w:r>
      <w:r w:rsidRPr="0031675F">
        <w:rPr>
          <w:spacing w:val="-1"/>
        </w:rPr>
        <w:t>and</w:t>
      </w:r>
      <w:r w:rsidRPr="0031675F">
        <w:rPr>
          <w:spacing w:val="16"/>
        </w:rPr>
        <w:t xml:space="preserve"> </w:t>
      </w:r>
      <w:r w:rsidRPr="0031675F">
        <w:rPr>
          <w:spacing w:val="-1"/>
        </w:rPr>
        <w:t>press</w:t>
      </w:r>
      <w:r w:rsidRPr="0031675F">
        <w:rPr>
          <w:spacing w:val="17"/>
        </w:rPr>
        <w:t xml:space="preserve"> </w:t>
      </w:r>
      <w:r w:rsidRPr="0031675F">
        <w:rPr>
          <w:spacing w:val="-2"/>
        </w:rPr>
        <w:t>REF</w:t>
      </w:r>
      <w:r w:rsidRPr="0031675F">
        <w:rPr>
          <w:spacing w:val="17"/>
        </w:rPr>
        <w:t xml:space="preserve"> </w:t>
      </w:r>
      <w:r w:rsidRPr="0031675F">
        <w:rPr>
          <w:spacing w:val="-1"/>
        </w:rPr>
        <w:t>key.</w:t>
      </w:r>
      <w:r w:rsidRPr="0031675F">
        <w:rPr>
          <w:spacing w:val="16"/>
        </w:rPr>
        <w:t xml:space="preserve"> </w:t>
      </w:r>
      <w:r w:rsidRPr="0031675F">
        <w:rPr>
          <w:spacing w:val="-1"/>
        </w:rPr>
        <w:t>After</w:t>
      </w:r>
      <w:r w:rsidRPr="0031675F">
        <w:rPr>
          <w:spacing w:val="14"/>
        </w:rPr>
        <w:t xml:space="preserve"> </w:t>
      </w:r>
      <w:r w:rsidRPr="0031675F">
        <w:t>a</w:t>
      </w:r>
      <w:r w:rsidRPr="0031675F">
        <w:rPr>
          <w:spacing w:val="17"/>
        </w:rPr>
        <w:t xml:space="preserve"> </w:t>
      </w:r>
      <w:r w:rsidRPr="0031675F">
        <w:rPr>
          <w:spacing w:val="-1"/>
        </w:rPr>
        <w:t>delay</w:t>
      </w:r>
      <w:r w:rsidRPr="0031675F">
        <w:rPr>
          <w:spacing w:val="17"/>
        </w:rPr>
        <w:t xml:space="preserve"> </w:t>
      </w:r>
      <w:r w:rsidRPr="0031675F">
        <w:t>of</w:t>
      </w:r>
      <w:r w:rsidRPr="0031675F">
        <w:rPr>
          <w:spacing w:val="16"/>
        </w:rPr>
        <w:t xml:space="preserve"> </w:t>
      </w:r>
      <w:r w:rsidRPr="0031675F">
        <w:rPr>
          <w:spacing w:val="-1"/>
        </w:rPr>
        <w:t>approximately</w:t>
      </w:r>
      <w:r w:rsidRPr="0031675F">
        <w:rPr>
          <w:spacing w:val="15"/>
        </w:rPr>
        <w:t xml:space="preserve"> </w:t>
      </w:r>
      <w:r w:rsidRPr="0031675F">
        <w:t>8</w:t>
      </w:r>
      <w:r w:rsidRPr="0031675F">
        <w:rPr>
          <w:spacing w:val="17"/>
        </w:rPr>
        <w:t xml:space="preserve"> </w:t>
      </w:r>
      <w:r w:rsidRPr="0031675F">
        <w:rPr>
          <w:spacing w:val="-1"/>
        </w:rPr>
        <w:t>seconds</w:t>
      </w:r>
      <w:r w:rsidRPr="0031675F">
        <w:rPr>
          <w:spacing w:val="51"/>
        </w:rPr>
        <w:t xml:space="preserve"> </w:t>
      </w:r>
      <w:r w:rsidRPr="0031675F">
        <w:t>the</w:t>
      </w:r>
      <w:r w:rsidRPr="0031675F">
        <w:rPr>
          <w:spacing w:val="7"/>
        </w:rPr>
        <w:t xml:space="preserve"> </w:t>
      </w:r>
      <w:r w:rsidRPr="0031675F">
        <w:rPr>
          <w:spacing w:val="-1"/>
        </w:rPr>
        <w:t>display</w:t>
      </w:r>
      <w:r w:rsidRPr="0031675F">
        <w:rPr>
          <w:spacing w:val="7"/>
        </w:rPr>
        <w:t xml:space="preserve"> </w:t>
      </w:r>
      <w:r w:rsidRPr="0031675F">
        <w:t>will</w:t>
      </w:r>
      <w:r w:rsidRPr="0031675F">
        <w:rPr>
          <w:spacing w:val="7"/>
        </w:rPr>
        <w:t xml:space="preserve"> </w:t>
      </w:r>
      <w:r w:rsidRPr="0031675F">
        <w:rPr>
          <w:spacing w:val="-1"/>
        </w:rPr>
        <w:t>read</w:t>
      </w:r>
      <w:r w:rsidRPr="0031675F">
        <w:rPr>
          <w:spacing w:val="7"/>
        </w:rPr>
        <w:t xml:space="preserve"> </w:t>
      </w:r>
      <w:r w:rsidRPr="0031675F">
        <w:rPr>
          <w:spacing w:val="-1"/>
        </w:rPr>
        <w:t>-REFERENCE</w:t>
      </w:r>
      <w:r w:rsidRPr="0031675F">
        <w:rPr>
          <w:spacing w:val="7"/>
        </w:rPr>
        <w:t xml:space="preserve"> </w:t>
      </w:r>
      <w:r w:rsidRPr="0031675F">
        <w:rPr>
          <w:spacing w:val="-1"/>
        </w:rPr>
        <w:t>xxxxx</w:t>
      </w:r>
      <w:r w:rsidRPr="0031675F">
        <w:rPr>
          <w:spacing w:val="9"/>
        </w:rPr>
        <w:t xml:space="preserve"> </w:t>
      </w:r>
      <w:r w:rsidRPr="0031675F">
        <w:rPr>
          <w:spacing w:val="-1"/>
        </w:rPr>
        <w:t>and</w:t>
      </w:r>
      <w:r w:rsidRPr="0031675F">
        <w:rPr>
          <w:spacing w:val="6"/>
        </w:rPr>
        <w:t xml:space="preserve"> </w:t>
      </w:r>
      <w:r w:rsidRPr="0031675F">
        <w:t>will</w:t>
      </w:r>
      <w:r w:rsidRPr="0031675F">
        <w:rPr>
          <w:spacing w:val="7"/>
        </w:rPr>
        <w:t xml:space="preserve"> </w:t>
      </w:r>
      <w:r w:rsidRPr="0031675F">
        <w:rPr>
          <w:spacing w:val="-1"/>
        </w:rPr>
        <w:t>update</w:t>
      </w:r>
      <w:r w:rsidRPr="0031675F">
        <w:rPr>
          <w:spacing w:val="8"/>
        </w:rPr>
        <w:t xml:space="preserve"> </w:t>
      </w:r>
      <w:r w:rsidRPr="0031675F">
        <w:rPr>
          <w:spacing w:val="-1"/>
        </w:rPr>
        <w:t>for</w:t>
      </w:r>
      <w:r w:rsidRPr="0031675F">
        <w:rPr>
          <w:spacing w:val="5"/>
        </w:rPr>
        <w:t xml:space="preserve"> </w:t>
      </w:r>
      <w:r w:rsidRPr="0031675F">
        <w:t>16</w:t>
      </w:r>
      <w:r w:rsidRPr="0031675F">
        <w:rPr>
          <w:spacing w:val="5"/>
        </w:rPr>
        <w:t xml:space="preserve"> </w:t>
      </w:r>
      <w:r w:rsidRPr="0031675F">
        <w:rPr>
          <w:spacing w:val="-1"/>
        </w:rPr>
        <w:t>seconds.</w:t>
      </w:r>
      <w:r w:rsidRPr="0031675F">
        <w:rPr>
          <w:spacing w:val="7"/>
        </w:rPr>
        <w:t xml:space="preserve"> </w:t>
      </w:r>
      <w:r w:rsidRPr="0031675F">
        <w:rPr>
          <w:spacing w:val="-1"/>
        </w:rPr>
        <w:t>Next,</w:t>
      </w:r>
      <w:r w:rsidRPr="0031675F">
        <w:rPr>
          <w:spacing w:val="5"/>
        </w:rPr>
        <w:t xml:space="preserve"> </w:t>
      </w:r>
      <w:r w:rsidRPr="0031675F">
        <w:t>the</w:t>
      </w:r>
      <w:r w:rsidRPr="0031675F">
        <w:rPr>
          <w:spacing w:val="7"/>
        </w:rPr>
        <w:t xml:space="preserve"> </w:t>
      </w:r>
      <w:r w:rsidRPr="0031675F">
        <w:rPr>
          <w:spacing w:val="-1"/>
        </w:rPr>
        <w:t>display</w:t>
      </w:r>
      <w:r w:rsidRPr="0031675F">
        <w:rPr>
          <w:spacing w:val="7"/>
        </w:rPr>
        <w:t xml:space="preserve"> </w:t>
      </w:r>
      <w:r w:rsidRPr="0031675F">
        <w:t>will</w:t>
      </w:r>
      <w:r w:rsidRPr="0031675F">
        <w:rPr>
          <w:spacing w:val="7"/>
        </w:rPr>
        <w:t xml:space="preserve"> </w:t>
      </w:r>
      <w:r w:rsidRPr="0031675F">
        <w:rPr>
          <w:spacing w:val="-1"/>
        </w:rPr>
        <w:t>read</w:t>
      </w:r>
    </w:p>
    <w:p w14:paraId="652E3D15" w14:textId="77777777" w:rsidR="0031675F" w:rsidRPr="0031675F" w:rsidRDefault="0031675F" w:rsidP="0031675F">
      <w:pPr>
        <w:spacing w:after="120"/>
        <w:ind w:left="402" w:right="120"/>
      </w:pPr>
      <w:r w:rsidRPr="0031675F">
        <w:rPr>
          <w:spacing w:val="-1"/>
        </w:rPr>
        <w:t>+REFERENCE</w:t>
      </w:r>
      <w:r w:rsidRPr="0031675F">
        <w:rPr>
          <w:spacing w:val="28"/>
        </w:rPr>
        <w:t xml:space="preserve"> </w:t>
      </w:r>
      <w:r w:rsidRPr="0031675F">
        <w:rPr>
          <w:spacing w:val="-1"/>
        </w:rPr>
        <w:t>xxxxx</w:t>
      </w:r>
      <w:r w:rsidRPr="0031675F">
        <w:rPr>
          <w:spacing w:val="30"/>
        </w:rPr>
        <w:t xml:space="preserve"> </w:t>
      </w:r>
      <w:r w:rsidRPr="0031675F">
        <w:rPr>
          <w:spacing w:val="-1"/>
        </w:rPr>
        <w:t>and</w:t>
      </w:r>
      <w:r w:rsidRPr="0031675F">
        <w:rPr>
          <w:spacing w:val="28"/>
        </w:rPr>
        <w:t xml:space="preserve"> </w:t>
      </w:r>
      <w:r w:rsidRPr="0031675F">
        <w:rPr>
          <w:spacing w:val="-1"/>
        </w:rPr>
        <w:t>will</w:t>
      </w:r>
      <w:r w:rsidRPr="0031675F">
        <w:rPr>
          <w:spacing w:val="28"/>
        </w:rPr>
        <w:t xml:space="preserve"> </w:t>
      </w:r>
      <w:r w:rsidRPr="0031675F">
        <w:rPr>
          <w:spacing w:val="-1"/>
        </w:rPr>
        <w:t>update</w:t>
      </w:r>
      <w:r w:rsidRPr="0031675F">
        <w:rPr>
          <w:spacing w:val="30"/>
        </w:rPr>
        <w:t xml:space="preserve"> </w:t>
      </w:r>
      <w:r w:rsidRPr="0031675F">
        <w:rPr>
          <w:spacing w:val="-1"/>
        </w:rPr>
        <w:t>for</w:t>
      </w:r>
      <w:r w:rsidRPr="0031675F">
        <w:rPr>
          <w:spacing w:val="29"/>
        </w:rPr>
        <w:t xml:space="preserve"> </w:t>
      </w:r>
      <w:r w:rsidRPr="0031675F">
        <w:t>7</w:t>
      </w:r>
      <w:r w:rsidRPr="0031675F">
        <w:rPr>
          <w:spacing w:val="30"/>
        </w:rPr>
        <w:t xml:space="preserve"> </w:t>
      </w:r>
      <w:r w:rsidRPr="0031675F">
        <w:rPr>
          <w:spacing w:val="-1"/>
        </w:rPr>
        <w:t>seconds,</w:t>
      </w:r>
      <w:r w:rsidRPr="0031675F">
        <w:rPr>
          <w:spacing w:val="28"/>
        </w:rPr>
        <w:t xml:space="preserve"> </w:t>
      </w:r>
      <w:r w:rsidRPr="0031675F">
        <w:rPr>
          <w:spacing w:val="-1"/>
        </w:rPr>
        <w:t>after</w:t>
      </w:r>
      <w:r w:rsidRPr="0031675F">
        <w:rPr>
          <w:spacing w:val="29"/>
        </w:rPr>
        <w:t xml:space="preserve"> </w:t>
      </w:r>
      <w:r w:rsidRPr="0031675F">
        <w:t>which</w:t>
      </w:r>
      <w:r w:rsidRPr="0031675F">
        <w:rPr>
          <w:spacing w:val="28"/>
        </w:rPr>
        <w:t xml:space="preserve"> </w:t>
      </w:r>
      <w:r w:rsidRPr="0031675F">
        <w:t>the</w:t>
      </w:r>
      <w:r w:rsidRPr="0031675F">
        <w:rPr>
          <w:spacing w:val="28"/>
        </w:rPr>
        <w:t xml:space="preserve"> </w:t>
      </w:r>
      <w:r w:rsidRPr="0031675F">
        <w:rPr>
          <w:spacing w:val="-1"/>
        </w:rPr>
        <w:t>display</w:t>
      </w:r>
      <w:r w:rsidRPr="0031675F">
        <w:rPr>
          <w:spacing w:val="30"/>
        </w:rPr>
        <w:t xml:space="preserve"> </w:t>
      </w:r>
      <w:r w:rsidRPr="0031675F">
        <w:t>will</w:t>
      </w:r>
      <w:r w:rsidRPr="0031675F">
        <w:rPr>
          <w:spacing w:val="26"/>
        </w:rPr>
        <w:t xml:space="preserve"> </w:t>
      </w:r>
      <w:r w:rsidRPr="0031675F">
        <w:t>read</w:t>
      </w:r>
      <w:r w:rsidRPr="0031675F">
        <w:rPr>
          <w:spacing w:val="33"/>
        </w:rPr>
        <w:t xml:space="preserve"> </w:t>
      </w:r>
      <w:r w:rsidRPr="0031675F">
        <w:rPr>
          <w:spacing w:val="-1"/>
        </w:rPr>
        <w:t>REFERENCE</w:t>
      </w:r>
      <w:r w:rsidRPr="0031675F">
        <w:rPr>
          <w:spacing w:val="51"/>
        </w:rPr>
        <w:t xml:space="preserve"> </w:t>
      </w:r>
      <w:r w:rsidRPr="0031675F">
        <w:t>xxxxx</w:t>
      </w:r>
      <w:r w:rsidRPr="0031675F">
        <w:rPr>
          <w:spacing w:val="3"/>
        </w:rPr>
        <w:t xml:space="preserve"> </w:t>
      </w:r>
      <w:r w:rsidRPr="0031675F">
        <w:rPr>
          <w:spacing w:val="-1"/>
        </w:rPr>
        <w:t>for</w:t>
      </w:r>
      <w:r w:rsidRPr="0031675F">
        <w:t xml:space="preserve"> 8</w:t>
      </w:r>
      <w:r w:rsidRPr="0031675F">
        <w:rPr>
          <w:spacing w:val="3"/>
        </w:rPr>
        <w:t xml:space="preserve"> </w:t>
      </w:r>
      <w:r w:rsidRPr="0031675F">
        <w:rPr>
          <w:spacing w:val="-1"/>
        </w:rPr>
        <w:t>seconds.</w:t>
      </w:r>
      <w:r w:rsidRPr="0031675F">
        <w:rPr>
          <w:spacing w:val="2"/>
        </w:rPr>
        <w:t xml:space="preserve"> </w:t>
      </w:r>
      <w:r w:rsidRPr="0031675F">
        <w:rPr>
          <w:spacing w:val="-1"/>
        </w:rPr>
        <w:t>This</w:t>
      </w:r>
      <w:r w:rsidRPr="0031675F">
        <w:rPr>
          <w:spacing w:val="3"/>
        </w:rPr>
        <w:t xml:space="preserve"> </w:t>
      </w:r>
      <w:r w:rsidRPr="0031675F">
        <w:rPr>
          <w:spacing w:val="-1"/>
        </w:rPr>
        <w:t>procedure</w:t>
      </w:r>
      <w:r w:rsidRPr="0031675F">
        <w:t xml:space="preserve"> will</w:t>
      </w:r>
      <w:r w:rsidRPr="0031675F">
        <w:rPr>
          <w:spacing w:val="2"/>
        </w:rPr>
        <w:t xml:space="preserve"> </w:t>
      </w:r>
      <w:r w:rsidRPr="0031675F">
        <w:rPr>
          <w:spacing w:val="-1"/>
        </w:rPr>
        <w:t>repeat</w:t>
      </w:r>
      <w:r w:rsidRPr="0031675F">
        <w:rPr>
          <w:spacing w:val="3"/>
        </w:rPr>
        <w:t xml:space="preserve"> </w:t>
      </w:r>
      <w:r w:rsidRPr="0031675F">
        <w:t>itself</w:t>
      </w:r>
      <w:r w:rsidRPr="0031675F">
        <w:rPr>
          <w:spacing w:val="1"/>
        </w:rPr>
        <w:t xml:space="preserve"> </w:t>
      </w:r>
      <w:r w:rsidRPr="0031675F">
        <w:rPr>
          <w:spacing w:val="-1"/>
        </w:rPr>
        <w:t>until</w:t>
      </w:r>
      <w:r w:rsidRPr="0031675F">
        <w:rPr>
          <w:spacing w:val="2"/>
        </w:rPr>
        <w:t xml:space="preserve"> </w:t>
      </w:r>
      <w:r w:rsidRPr="0031675F">
        <w:rPr>
          <w:spacing w:val="-1"/>
        </w:rPr>
        <w:t>any</w:t>
      </w:r>
      <w:r w:rsidRPr="0031675F">
        <w:rPr>
          <w:spacing w:val="3"/>
        </w:rPr>
        <w:t xml:space="preserve"> </w:t>
      </w:r>
      <w:r w:rsidRPr="0031675F">
        <w:rPr>
          <w:spacing w:val="-1"/>
        </w:rPr>
        <w:t>key</w:t>
      </w:r>
      <w:r w:rsidRPr="0031675F">
        <w:rPr>
          <w:spacing w:val="3"/>
        </w:rPr>
        <w:t xml:space="preserve"> </w:t>
      </w:r>
      <w:r w:rsidRPr="0031675F">
        <w:t>is</w:t>
      </w:r>
      <w:r w:rsidRPr="0031675F">
        <w:rPr>
          <w:spacing w:val="2"/>
        </w:rPr>
        <w:t xml:space="preserve"> </w:t>
      </w:r>
      <w:r w:rsidRPr="0031675F">
        <w:rPr>
          <w:spacing w:val="-1"/>
        </w:rPr>
        <w:t>pressed.</w:t>
      </w:r>
      <w:r w:rsidRPr="0031675F">
        <w:rPr>
          <w:spacing w:val="1"/>
        </w:rPr>
        <w:t xml:space="preserve"> </w:t>
      </w:r>
      <w:r w:rsidRPr="0031675F">
        <w:rPr>
          <w:spacing w:val="-1"/>
        </w:rPr>
        <w:t>The</w:t>
      </w:r>
      <w:r w:rsidRPr="0031675F">
        <w:rPr>
          <w:spacing w:val="4"/>
        </w:rPr>
        <w:t xml:space="preserve"> </w:t>
      </w:r>
      <w:r w:rsidRPr="0031675F">
        <w:rPr>
          <w:spacing w:val="-1"/>
        </w:rPr>
        <w:t>-REFERENCE</w:t>
      </w:r>
      <w:r w:rsidRPr="0031675F">
        <w:rPr>
          <w:spacing w:val="3"/>
        </w:rPr>
        <w:t xml:space="preserve"> </w:t>
      </w:r>
      <w:r w:rsidRPr="0031675F">
        <w:rPr>
          <w:spacing w:val="-1"/>
        </w:rPr>
        <w:t>and</w:t>
      </w:r>
    </w:p>
    <w:p w14:paraId="39EA314F" w14:textId="77777777" w:rsidR="0031675F" w:rsidRPr="0031675F" w:rsidRDefault="0031675F" w:rsidP="0031675F">
      <w:pPr>
        <w:spacing w:after="120"/>
        <w:ind w:left="402"/>
      </w:pPr>
      <w:r w:rsidRPr="0031675F">
        <w:rPr>
          <w:spacing w:val="-1"/>
        </w:rPr>
        <w:t>+REFERENCE</w:t>
      </w:r>
      <w:r w:rsidRPr="0031675F">
        <w:t xml:space="preserve"> </w:t>
      </w:r>
      <w:r w:rsidRPr="0031675F">
        <w:rPr>
          <w:spacing w:val="29"/>
        </w:rPr>
        <w:t xml:space="preserve"> </w:t>
      </w:r>
      <w:r w:rsidRPr="0031675F">
        <w:rPr>
          <w:spacing w:val="-1"/>
        </w:rPr>
        <w:t>numbers</w:t>
      </w:r>
      <w:r w:rsidRPr="0031675F">
        <w:t xml:space="preserve"> </w:t>
      </w:r>
      <w:r w:rsidRPr="0031675F">
        <w:rPr>
          <w:spacing w:val="30"/>
        </w:rPr>
        <w:t xml:space="preserve"> </w:t>
      </w:r>
      <w:r w:rsidRPr="0031675F">
        <w:rPr>
          <w:spacing w:val="-1"/>
        </w:rPr>
        <w:t>must</w:t>
      </w:r>
      <w:r w:rsidRPr="0031675F">
        <w:t xml:space="preserve"> </w:t>
      </w:r>
      <w:r w:rsidRPr="0031675F">
        <w:rPr>
          <w:spacing w:val="30"/>
        </w:rPr>
        <w:t xml:space="preserve"> </w:t>
      </w:r>
      <w:r w:rsidRPr="0031675F">
        <w:rPr>
          <w:spacing w:val="-1"/>
        </w:rPr>
        <w:t>stabilize</w:t>
      </w:r>
      <w:r w:rsidRPr="0031675F">
        <w:t xml:space="preserve"> </w:t>
      </w:r>
      <w:r w:rsidRPr="0031675F">
        <w:rPr>
          <w:spacing w:val="29"/>
        </w:rPr>
        <w:t xml:space="preserve"> </w:t>
      </w:r>
      <w:r w:rsidRPr="0031675F">
        <w:rPr>
          <w:spacing w:val="-1"/>
        </w:rPr>
        <w:t>to</w:t>
      </w:r>
      <w:r w:rsidRPr="0031675F">
        <w:t xml:space="preserve"> </w:t>
      </w:r>
      <w:r w:rsidRPr="0031675F">
        <w:rPr>
          <w:spacing w:val="31"/>
        </w:rPr>
        <w:t xml:space="preserve"> </w:t>
      </w:r>
      <w:r w:rsidRPr="0031675F">
        <w:rPr>
          <w:spacing w:val="-1"/>
        </w:rPr>
        <w:t>between</w:t>
      </w:r>
      <w:r w:rsidRPr="0031675F">
        <w:t xml:space="preserve"> </w:t>
      </w:r>
      <w:r w:rsidRPr="0031675F">
        <w:rPr>
          <w:spacing w:val="27"/>
        </w:rPr>
        <w:t xml:space="preserve"> </w:t>
      </w:r>
      <w:r w:rsidRPr="0031675F">
        <w:rPr>
          <w:spacing w:val="-1"/>
        </w:rPr>
        <w:t>19750</w:t>
      </w:r>
      <w:r w:rsidRPr="0031675F">
        <w:t xml:space="preserve"> </w:t>
      </w:r>
      <w:r w:rsidRPr="0031675F">
        <w:rPr>
          <w:spacing w:val="30"/>
        </w:rPr>
        <w:t xml:space="preserve"> </w:t>
      </w:r>
      <w:r w:rsidRPr="0031675F">
        <w:rPr>
          <w:spacing w:val="-1"/>
        </w:rPr>
        <w:t>and</w:t>
      </w:r>
      <w:r w:rsidRPr="0031675F">
        <w:t xml:space="preserve"> </w:t>
      </w:r>
      <w:r w:rsidRPr="0031675F">
        <w:rPr>
          <w:spacing w:val="28"/>
        </w:rPr>
        <w:t xml:space="preserve"> </w:t>
      </w:r>
      <w:r w:rsidRPr="0031675F">
        <w:rPr>
          <w:spacing w:val="-1"/>
        </w:rPr>
        <w:t>19999.</w:t>
      </w:r>
      <w:r w:rsidRPr="0031675F">
        <w:t xml:space="preserve"> </w:t>
      </w:r>
      <w:r w:rsidRPr="0031675F">
        <w:rPr>
          <w:spacing w:val="29"/>
        </w:rPr>
        <w:t xml:space="preserve"> </w:t>
      </w:r>
      <w:r w:rsidRPr="0031675F">
        <w:rPr>
          <w:spacing w:val="-1"/>
        </w:rPr>
        <w:t>The</w:t>
      </w:r>
      <w:r w:rsidRPr="0031675F">
        <w:t xml:space="preserve"> </w:t>
      </w:r>
      <w:r w:rsidRPr="0031675F">
        <w:rPr>
          <w:spacing w:val="33"/>
        </w:rPr>
        <w:t xml:space="preserve"> </w:t>
      </w:r>
      <w:r w:rsidRPr="0031675F">
        <w:rPr>
          <w:spacing w:val="-1"/>
        </w:rPr>
        <w:t>-REFERENCE</w:t>
      </w:r>
      <w:r w:rsidRPr="0031675F">
        <w:t xml:space="preserve"> </w:t>
      </w:r>
      <w:r w:rsidRPr="0031675F">
        <w:rPr>
          <w:spacing w:val="27"/>
        </w:rPr>
        <w:t xml:space="preserve"> </w:t>
      </w:r>
      <w:r w:rsidRPr="0031675F">
        <w:rPr>
          <w:spacing w:val="-1"/>
        </w:rPr>
        <w:t>and</w:t>
      </w:r>
    </w:p>
    <w:p w14:paraId="68728601" w14:textId="77777777" w:rsidR="0031675F" w:rsidRPr="0031675F" w:rsidRDefault="0031675F" w:rsidP="0031675F">
      <w:pPr>
        <w:spacing w:after="120"/>
        <w:ind w:left="402" w:right="120"/>
      </w:pPr>
      <w:r w:rsidRPr="0031675F">
        <w:rPr>
          <w:spacing w:val="-1"/>
        </w:rPr>
        <w:t>+REFERENCE</w:t>
      </w:r>
      <w:r w:rsidRPr="0031675F">
        <w:rPr>
          <w:spacing w:val="19"/>
        </w:rPr>
        <w:t xml:space="preserve"> </w:t>
      </w:r>
      <w:r w:rsidRPr="0031675F">
        <w:rPr>
          <w:spacing w:val="-1"/>
        </w:rPr>
        <w:t>numbers</w:t>
      </w:r>
      <w:r w:rsidRPr="0031675F">
        <w:rPr>
          <w:spacing w:val="17"/>
        </w:rPr>
        <w:t xml:space="preserve"> </w:t>
      </w:r>
      <w:r w:rsidRPr="0031675F">
        <w:rPr>
          <w:spacing w:val="-1"/>
        </w:rPr>
        <w:t>must</w:t>
      </w:r>
      <w:r w:rsidRPr="0031675F">
        <w:rPr>
          <w:spacing w:val="20"/>
        </w:rPr>
        <w:t xml:space="preserve"> </w:t>
      </w:r>
      <w:r w:rsidRPr="0031675F">
        <w:rPr>
          <w:spacing w:val="-1"/>
        </w:rPr>
        <w:t>agree</w:t>
      </w:r>
      <w:r w:rsidRPr="0031675F">
        <w:rPr>
          <w:spacing w:val="17"/>
        </w:rPr>
        <w:t xml:space="preserve"> </w:t>
      </w:r>
      <w:r w:rsidRPr="0031675F">
        <w:t>with</w:t>
      </w:r>
      <w:r w:rsidRPr="0031675F">
        <w:rPr>
          <w:spacing w:val="17"/>
        </w:rPr>
        <w:t xml:space="preserve"> </w:t>
      </w:r>
      <w:r w:rsidRPr="0031675F">
        <w:t>each</w:t>
      </w:r>
      <w:r w:rsidRPr="0031675F">
        <w:rPr>
          <w:spacing w:val="18"/>
        </w:rPr>
        <w:t xml:space="preserve"> </w:t>
      </w:r>
      <w:r w:rsidRPr="0031675F">
        <w:rPr>
          <w:spacing w:val="-1"/>
        </w:rPr>
        <w:t>other</w:t>
      </w:r>
      <w:r w:rsidRPr="0031675F">
        <w:rPr>
          <w:spacing w:val="17"/>
        </w:rPr>
        <w:t xml:space="preserve"> </w:t>
      </w:r>
      <w:r w:rsidRPr="0031675F">
        <w:t>to</w:t>
      </w:r>
      <w:r w:rsidRPr="0031675F">
        <w:rPr>
          <w:spacing w:val="18"/>
        </w:rPr>
        <w:t xml:space="preserve"> </w:t>
      </w:r>
      <w:r w:rsidRPr="0031675F">
        <w:t>within</w:t>
      </w:r>
      <w:r w:rsidRPr="0031675F">
        <w:rPr>
          <w:spacing w:val="18"/>
        </w:rPr>
        <w:t xml:space="preserve"> </w:t>
      </w:r>
      <w:r w:rsidRPr="0031675F">
        <w:rPr>
          <w:spacing w:val="-1"/>
        </w:rPr>
        <w:t>±2</w:t>
      </w:r>
      <w:r w:rsidRPr="0031675F">
        <w:rPr>
          <w:spacing w:val="20"/>
        </w:rPr>
        <w:t xml:space="preserve"> </w:t>
      </w:r>
      <w:r w:rsidRPr="0031675F">
        <w:rPr>
          <w:spacing w:val="-1"/>
        </w:rPr>
        <w:t>counts</w:t>
      </w:r>
      <w:r w:rsidRPr="0031675F">
        <w:rPr>
          <w:spacing w:val="20"/>
        </w:rPr>
        <w:t xml:space="preserve"> </w:t>
      </w:r>
      <w:r w:rsidRPr="0031675F">
        <w:rPr>
          <w:spacing w:val="-1"/>
        </w:rPr>
        <w:t>after</w:t>
      </w:r>
      <w:r w:rsidRPr="0031675F">
        <w:rPr>
          <w:spacing w:val="19"/>
        </w:rPr>
        <w:t xml:space="preserve"> </w:t>
      </w:r>
      <w:r w:rsidRPr="0031675F">
        <w:rPr>
          <w:spacing w:val="-1"/>
        </w:rPr>
        <w:t>10</w:t>
      </w:r>
      <w:r w:rsidRPr="0031675F">
        <w:rPr>
          <w:spacing w:val="17"/>
        </w:rPr>
        <w:t xml:space="preserve"> </w:t>
      </w:r>
      <w:r w:rsidRPr="0031675F">
        <w:t>cycles</w:t>
      </w:r>
      <w:r w:rsidRPr="0031675F">
        <w:rPr>
          <w:spacing w:val="17"/>
        </w:rPr>
        <w:t xml:space="preserve"> </w:t>
      </w:r>
      <w:r w:rsidRPr="0031675F">
        <w:rPr>
          <w:spacing w:val="-1"/>
        </w:rPr>
        <w:t>and</w:t>
      </w:r>
      <w:r w:rsidRPr="0031675F">
        <w:rPr>
          <w:spacing w:val="18"/>
        </w:rPr>
        <w:t xml:space="preserve"> </w:t>
      </w:r>
      <w:r w:rsidRPr="0031675F">
        <w:rPr>
          <w:spacing w:val="-1"/>
        </w:rPr>
        <w:t>must</w:t>
      </w:r>
      <w:r w:rsidRPr="0031675F">
        <w:rPr>
          <w:spacing w:val="33"/>
        </w:rPr>
        <w:t xml:space="preserve"> </w:t>
      </w:r>
      <w:r w:rsidRPr="0031675F">
        <w:t>remain</w:t>
      </w:r>
      <w:r w:rsidRPr="0031675F">
        <w:rPr>
          <w:spacing w:val="-1"/>
        </w:rPr>
        <w:t xml:space="preserve"> stable</w:t>
      </w:r>
      <w:r w:rsidRPr="0031675F">
        <w:rPr>
          <w:spacing w:val="-2"/>
        </w:rPr>
        <w:t xml:space="preserve"> </w:t>
      </w:r>
      <w:r w:rsidRPr="0031675F">
        <w:t>to</w:t>
      </w:r>
      <w:r w:rsidRPr="0031675F">
        <w:rPr>
          <w:spacing w:val="-1"/>
        </w:rPr>
        <w:t xml:space="preserve"> within</w:t>
      </w:r>
      <w:r w:rsidRPr="0031675F">
        <w:rPr>
          <w:spacing w:val="-3"/>
        </w:rPr>
        <w:t xml:space="preserve"> </w:t>
      </w:r>
      <w:r w:rsidRPr="0031675F">
        <w:t>±2</w:t>
      </w:r>
      <w:r w:rsidRPr="0031675F">
        <w:rPr>
          <w:spacing w:val="-1"/>
        </w:rPr>
        <w:t xml:space="preserve"> counts</w:t>
      </w:r>
      <w:r w:rsidRPr="0031675F">
        <w:rPr>
          <w:spacing w:val="-2"/>
        </w:rPr>
        <w:t xml:space="preserve"> </w:t>
      </w:r>
      <w:r w:rsidRPr="0031675F">
        <w:rPr>
          <w:spacing w:val="-1"/>
        </w:rPr>
        <w:t>over</w:t>
      </w:r>
      <w:r w:rsidRPr="0031675F">
        <w:rPr>
          <w:spacing w:val="-2"/>
        </w:rPr>
        <w:t xml:space="preserve"> </w:t>
      </w:r>
      <w:r w:rsidRPr="0031675F">
        <w:t>10</w:t>
      </w:r>
      <w:r w:rsidRPr="0031675F">
        <w:rPr>
          <w:spacing w:val="-2"/>
        </w:rPr>
        <w:t xml:space="preserve"> </w:t>
      </w:r>
      <w:r w:rsidRPr="0031675F">
        <w:rPr>
          <w:spacing w:val="-1"/>
        </w:rPr>
        <w:t>minutes.</w:t>
      </w:r>
    </w:p>
    <w:p w14:paraId="0C8BBA32" w14:textId="77777777" w:rsidR="0031675F" w:rsidRPr="0031675F" w:rsidRDefault="0031675F" w:rsidP="0031675F">
      <w:pPr>
        <w:spacing w:before="9"/>
        <w:rPr>
          <w:rFonts w:cs="Calibri"/>
          <w:sz w:val="26"/>
          <w:szCs w:val="26"/>
        </w:rPr>
      </w:pPr>
    </w:p>
    <w:p w14:paraId="6772BDDE" w14:textId="77777777" w:rsidR="0031675F" w:rsidRPr="0031675F" w:rsidRDefault="0031675F" w:rsidP="0031675F">
      <w:pPr>
        <w:widowControl w:val="0"/>
        <w:numPr>
          <w:ilvl w:val="0"/>
          <w:numId w:val="132"/>
        </w:numPr>
        <w:tabs>
          <w:tab w:val="left" w:pos="394"/>
        </w:tabs>
        <w:spacing w:before="0" w:after="0" w:line="240" w:lineRule="auto"/>
        <w:ind w:left="394" w:hanging="276"/>
        <w:rPr>
          <w:rFonts w:cs="Calibri"/>
        </w:rPr>
      </w:pPr>
      <w:r w:rsidRPr="0031675F">
        <w:rPr>
          <w:b/>
          <w:i/>
          <w:spacing w:val="-1"/>
        </w:rPr>
        <w:t>Zero Calibration</w:t>
      </w:r>
    </w:p>
    <w:p w14:paraId="37EAE635" w14:textId="77777777" w:rsidR="0031675F" w:rsidRPr="0031675F" w:rsidRDefault="0031675F" w:rsidP="00506BD3">
      <w:r w:rsidRPr="0031675F">
        <w:t>Before</w:t>
      </w:r>
      <w:r w:rsidRPr="0031675F">
        <w:rPr>
          <w:spacing w:val="26"/>
        </w:rPr>
        <w:t xml:space="preserve"> </w:t>
      </w:r>
      <w:r w:rsidRPr="0031675F">
        <w:t>any</w:t>
      </w:r>
      <w:r w:rsidRPr="0031675F">
        <w:rPr>
          <w:spacing w:val="27"/>
        </w:rPr>
        <w:t xml:space="preserve"> </w:t>
      </w:r>
      <w:r w:rsidRPr="0031675F">
        <w:t>calibration</w:t>
      </w:r>
      <w:r w:rsidRPr="0031675F">
        <w:rPr>
          <w:spacing w:val="26"/>
        </w:rPr>
        <w:t xml:space="preserve"> </w:t>
      </w:r>
      <w:r w:rsidRPr="0031675F">
        <w:t>is</w:t>
      </w:r>
      <w:r w:rsidRPr="0031675F">
        <w:rPr>
          <w:spacing w:val="25"/>
        </w:rPr>
        <w:t xml:space="preserve"> </w:t>
      </w:r>
      <w:r w:rsidRPr="0031675F">
        <w:t>performed</w:t>
      </w:r>
      <w:r w:rsidRPr="0031675F">
        <w:rPr>
          <w:spacing w:val="26"/>
        </w:rPr>
        <w:t xml:space="preserve"> </w:t>
      </w:r>
      <w:r w:rsidRPr="0031675F">
        <w:t>the</w:t>
      </w:r>
      <w:r w:rsidRPr="0031675F">
        <w:rPr>
          <w:spacing w:val="27"/>
        </w:rPr>
        <w:t xml:space="preserve"> </w:t>
      </w:r>
      <w:r w:rsidRPr="0031675F">
        <w:t>instrument</w:t>
      </w:r>
      <w:r w:rsidRPr="0031675F">
        <w:rPr>
          <w:spacing w:val="27"/>
        </w:rPr>
        <w:t xml:space="preserve"> </w:t>
      </w:r>
      <w:r w:rsidRPr="0031675F">
        <w:t>must</w:t>
      </w:r>
      <w:r w:rsidRPr="0031675F">
        <w:rPr>
          <w:spacing w:val="26"/>
        </w:rPr>
        <w:t xml:space="preserve"> </w:t>
      </w:r>
      <w:r w:rsidRPr="0031675F">
        <w:t>have</w:t>
      </w:r>
      <w:r w:rsidRPr="0031675F">
        <w:rPr>
          <w:spacing w:val="27"/>
        </w:rPr>
        <w:t xml:space="preserve"> </w:t>
      </w:r>
      <w:r w:rsidRPr="0031675F">
        <w:t>been</w:t>
      </w:r>
      <w:r w:rsidRPr="0031675F">
        <w:rPr>
          <w:spacing w:val="26"/>
        </w:rPr>
        <w:t xml:space="preserve"> </w:t>
      </w:r>
      <w:r w:rsidRPr="0031675F">
        <w:t>powered</w:t>
      </w:r>
      <w:r w:rsidRPr="0031675F">
        <w:rPr>
          <w:spacing w:val="25"/>
        </w:rPr>
        <w:t xml:space="preserve"> </w:t>
      </w:r>
      <w:r w:rsidRPr="0031675F">
        <w:t>for</w:t>
      </w:r>
      <w:r w:rsidRPr="0031675F">
        <w:rPr>
          <w:spacing w:val="27"/>
        </w:rPr>
        <w:t xml:space="preserve"> </w:t>
      </w:r>
      <w:r w:rsidRPr="0031675F">
        <w:t>a</w:t>
      </w:r>
      <w:r w:rsidRPr="0031675F">
        <w:rPr>
          <w:spacing w:val="32"/>
        </w:rPr>
        <w:t xml:space="preserve"> </w:t>
      </w:r>
      <w:r w:rsidRPr="0031675F">
        <w:t>minimum</w:t>
      </w:r>
      <w:r w:rsidRPr="0031675F">
        <w:rPr>
          <w:spacing w:val="25"/>
        </w:rPr>
        <w:t xml:space="preserve"> </w:t>
      </w:r>
      <w:r w:rsidRPr="0031675F">
        <w:t>of</w:t>
      </w:r>
      <w:r w:rsidRPr="0031675F">
        <w:rPr>
          <w:spacing w:val="24"/>
        </w:rPr>
        <w:t xml:space="preserve"> </w:t>
      </w:r>
      <w:r w:rsidRPr="0031675F">
        <w:t>3</w:t>
      </w:r>
      <w:r w:rsidRPr="0031675F">
        <w:rPr>
          <w:spacing w:val="65"/>
        </w:rPr>
        <w:t xml:space="preserve"> </w:t>
      </w:r>
      <w:r w:rsidRPr="0031675F">
        <w:t>hours</w:t>
      </w:r>
      <w:r w:rsidRPr="0031675F">
        <w:rPr>
          <w:spacing w:val="2"/>
        </w:rPr>
        <w:t xml:space="preserve"> </w:t>
      </w:r>
      <w:r w:rsidRPr="0031675F">
        <w:t>with</w:t>
      </w:r>
      <w:r w:rsidRPr="0031675F">
        <w:rPr>
          <w:spacing w:val="2"/>
        </w:rPr>
        <w:t xml:space="preserve"> </w:t>
      </w:r>
      <w:r w:rsidRPr="0031675F">
        <w:t>the</w:t>
      </w:r>
      <w:r w:rsidRPr="0031675F">
        <w:rPr>
          <w:spacing w:val="3"/>
        </w:rPr>
        <w:t xml:space="preserve"> </w:t>
      </w:r>
      <w:r w:rsidRPr="0031675F">
        <w:t>bath</w:t>
      </w:r>
      <w:r w:rsidRPr="0031675F">
        <w:rPr>
          <w:spacing w:val="2"/>
        </w:rPr>
        <w:t xml:space="preserve"> </w:t>
      </w:r>
      <w:r w:rsidRPr="0031675F">
        <w:t>temperature</w:t>
      </w:r>
      <w:r w:rsidRPr="0031675F">
        <w:rPr>
          <w:spacing w:val="3"/>
        </w:rPr>
        <w:t xml:space="preserve"> </w:t>
      </w:r>
      <w:r w:rsidRPr="0031675F">
        <w:t>regulating.</w:t>
      </w:r>
      <w:r w:rsidRPr="0031675F">
        <w:rPr>
          <w:spacing w:val="5"/>
        </w:rPr>
        <w:t xml:space="preserve"> </w:t>
      </w:r>
      <w:r w:rsidRPr="0031675F">
        <w:t>Set</w:t>
      </w:r>
      <w:r w:rsidRPr="0031675F">
        <w:rPr>
          <w:spacing w:val="3"/>
        </w:rPr>
        <w:t xml:space="preserve"> </w:t>
      </w:r>
      <w:r w:rsidRPr="0031675F">
        <w:t>the</w:t>
      </w:r>
      <w:r w:rsidRPr="0031675F">
        <w:rPr>
          <w:spacing w:val="9"/>
        </w:rPr>
        <w:t xml:space="preserve"> </w:t>
      </w:r>
      <w:r w:rsidRPr="0031675F">
        <w:t>FUNCTION</w:t>
      </w:r>
      <w:r w:rsidRPr="0031675F">
        <w:rPr>
          <w:spacing w:val="2"/>
        </w:rPr>
        <w:t xml:space="preserve"> </w:t>
      </w:r>
      <w:r w:rsidRPr="0031675F">
        <w:t>switch</w:t>
      </w:r>
      <w:r w:rsidRPr="0031675F">
        <w:rPr>
          <w:spacing w:val="2"/>
        </w:rPr>
        <w:t xml:space="preserve"> </w:t>
      </w:r>
      <w:r w:rsidRPr="0031675F">
        <w:t>to</w:t>
      </w:r>
      <w:r w:rsidRPr="0031675F">
        <w:rPr>
          <w:spacing w:val="5"/>
        </w:rPr>
        <w:t xml:space="preserve"> </w:t>
      </w:r>
      <w:r w:rsidRPr="0031675F">
        <w:rPr>
          <w:spacing w:val="-2"/>
        </w:rPr>
        <w:t>ZERO</w:t>
      </w:r>
      <w:r w:rsidRPr="0031675F">
        <w:rPr>
          <w:spacing w:val="3"/>
        </w:rPr>
        <w:t xml:space="preserve"> </w:t>
      </w:r>
      <w:r w:rsidRPr="0031675F">
        <w:t>and</w:t>
      </w:r>
      <w:r w:rsidRPr="0031675F">
        <w:rPr>
          <w:spacing w:val="2"/>
        </w:rPr>
        <w:t xml:space="preserve"> </w:t>
      </w:r>
      <w:r w:rsidRPr="0031675F">
        <w:t>press</w:t>
      </w:r>
      <w:r w:rsidRPr="0031675F">
        <w:rPr>
          <w:spacing w:val="3"/>
        </w:rPr>
        <w:t xml:space="preserve"> </w:t>
      </w:r>
      <w:r w:rsidRPr="0031675F">
        <w:t>COND</w:t>
      </w:r>
      <w:r w:rsidRPr="0031675F">
        <w:rPr>
          <w:spacing w:val="4"/>
        </w:rPr>
        <w:t xml:space="preserve"> </w:t>
      </w:r>
      <w:r w:rsidRPr="0031675F">
        <w:t>key.</w:t>
      </w:r>
      <w:r w:rsidRPr="0031675F">
        <w:rPr>
          <w:spacing w:val="63"/>
        </w:rPr>
        <w:t xml:space="preserve"> </w:t>
      </w:r>
      <w:r w:rsidRPr="0031675F">
        <w:t>When</w:t>
      </w:r>
      <w:r w:rsidRPr="0031675F">
        <w:rPr>
          <w:spacing w:val="21"/>
        </w:rPr>
        <w:t xml:space="preserve"> </w:t>
      </w:r>
      <w:r w:rsidRPr="0031675F">
        <w:t>satisfied</w:t>
      </w:r>
      <w:r w:rsidRPr="0031675F">
        <w:rPr>
          <w:spacing w:val="21"/>
        </w:rPr>
        <w:t xml:space="preserve"> </w:t>
      </w:r>
      <w:r w:rsidRPr="0031675F">
        <w:t>that</w:t>
      </w:r>
      <w:r w:rsidRPr="0031675F">
        <w:rPr>
          <w:spacing w:val="21"/>
        </w:rPr>
        <w:t xml:space="preserve"> </w:t>
      </w:r>
      <w:r w:rsidRPr="0031675F">
        <w:t>the</w:t>
      </w:r>
      <w:r w:rsidRPr="0031675F">
        <w:rPr>
          <w:spacing w:val="22"/>
        </w:rPr>
        <w:t xml:space="preserve"> </w:t>
      </w:r>
      <w:r w:rsidRPr="0031675F">
        <w:t>zero</w:t>
      </w:r>
      <w:r w:rsidRPr="0031675F">
        <w:rPr>
          <w:spacing w:val="22"/>
        </w:rPr>
        <w:t xml:space="preserve"> </w:t>
      </w:r>
      <w:r w:rsidRPr="0031675F">
        <w:t>conductivity</w:t>
      </w:r>
      <w:r w:rsidRPr="0031675F">
        <w:rPr>
          <w:spacing w:val="22"/>
        </w:rPr>
        <w:t xml:space="preserve"> </w:t>
      </w:r>
      <w:r w:rsidRPr="0031675F">
        <w:t>ratio</w:t>
      </w:r>
      <w:r w:rsidRPr="0031675F">
        <w:rPr>
          <w:spacing w:val="20"/>
        </w:rPr>
        <w:t xml:space="preserve"> </w:t>
      </w:r>
      <w:r w:rsidRPr="0031675F">
        <w:t>measurement</w:t>
      </w:r>
      <w:r w:rsidRPr="0031675F">
        <w:rPr>
          <w:spacing w:val="22"/>
        </w:rPr>
        <w:t xml:space="preserve"> </w:t>
      </w:r>
      <w:r w:rsidRPr="0031675F">
        <w:t>is</w:t>
      </w:r>
      <w:r w:rsidRPr="0031675F">
        <w:rPr>
          <w:spacing w:val="21"/>
        </w:rPr>
        <w:t xml:space="preserve"> </w:t>
      </w:r>
      <w:r w:rsidRPr="0031675F">
        <w:t>stable</w:t>
      </w:r>
      <w:r w:rsidRPr="0031675F">
        <w:rPr>
          <w:spacing w:val="22"/>
        </w:rPr>
        <w:t xml:space="preserve"> </w:t>
      </w:r>
      <w:r w:rsidRPr="0031675F">
        <w:t>press</w:t>
      </w:r>
      <w:r w:rsidRPr="0031675F">
        <w:rPr>
          <w:spacing w:val="26"/>
        </w:rPr>
        <w:t xml:space="preserve"> </w:t>
      </w:r>
      <w:r w:rsidRPr="0031675F">
        <w:t>ZERO.</w:t>
      </w:r>
      <w:r w:rsidRPr="0031675F">
        <w:rPr>
          <w:spacing w:val="21"/>
        </w:rPr>
        <w:t xml:space="preserve"> </w:t>
      </w:r>
      <w:r w:rsidRPr="0031675F">
        <w:t>The</w:t>
      </w:r>
      <w:r w:rsidRPr="0031675F">
        <w:rPr>
          <w:spacing w:val="22"/>
        </w:rPr>
        <w:t xml:space="preserve"> </w:t>
      </w:r>
      <w:r w:rsidRPr="0031675F">
        <w:t>display</w:t>
      </w:r>
      <w:r w:rsidRPr="0031675F">
        <w:rPr>
          <w:spacing w:val="22"/>
        </w:rPr>
        <w:t xml:space="preserve"> </w:t>
      </w:r>
      <w:r w:rsidRPr="0031675F">
        <w:t>will</w:t>
      </w:r>
      <w:r w:rsidRPr="0031675F">
        <w:rPr>
          <w:spacing w:val="39"/>
        </w:rPr>
        <w:t xml:space="preserve"> </w:t>
      </w:r>
      <w:r w:rsidRPr="0031675F">
        <w:t>then read</w:t>
      </w:r>
      <w:r w:rsidRPr="0031675F">
        <w:rPr>
          <w:spacing w:val="49"/>
        </w:rPr>
        <w:t xml:space="preserve"> </w:t>
      </w:r>
      <w:r w:rsidRPr="0031675F">
        <w:rPr>
          <w:spacing w:val="-2"/>
        </w:rPr>
        <w:t>ZERO</w:t>
      </w:r>
      <w:r w:rsidRPr="0031675F">
        <w:rPr>
          <w:spacing w:val="49"/>
        </w:rPr>
        <w:t xml:space="preserve"> </w:t>
      </w:r>
      <w:r w:rsidRPr="0031675F">
        <w:t>x.xxxxx.</w:t>
      </w:r>
      <w:r w:rsidRPr="0031675F">
        <w:rPr>
          <w:spacing w:val="48"/>
        </w:rPr>
        <w:t xml:space="preserve"> </w:t>
      </w:r>
      <w:r w:rsidRPr="0031675F">
        <w:t>The</w:t>
      </w:r>
      <w:r w:rsidRPr="0031675F">
        <w:rPr>
          <w:spacing w:val="1"/>
        </w:rPr>
        <w:t xml:space="preserve"> </w:t>
      </w:r>
      <w:r w:rsidRPr="0031675F">
        <w:rPr>
          <w:spacing w:val="-2"/>
        </w:rPr>
        <w:t>ZERO</w:t>
      </w:r>
      <w:r w:rsidRPr="0031675F">
        <w:rPr>
          <w:spacing w:val="48"/>
        </w:rPr>
        <w:t xml:space="preserve"> </w:t>
      </w:r>
      <w:r w:rsidRPr="0031675F">
        <w:t>value</w:t>
      </w:r>
      <w:r w:rsidRPr="0031675F">
        <w:rPr>
          <w:spacing w:val="1"/>
        </w:rPr>
        <w:t xml:space="preserve"> </w:t>
      </w:r>
      <w:r w:rsidRPr="0031675F">
        <w:t>should  not</w:t>
      </w:r>
      <w:r w:rsidRPr="0031675F">
        <w:rPr>
          <w:spacing w:val="49"/>
        </w:rPr>
        <w:t xml:space="preserve"> </w:t>
      </w:r>
      <w:r w:rsidRPr="0031675F">
        <w:t>exceed  ±</w:t>
      </w:r>
      <w:r w:rsidRPr="0031675F">
        <w:rPr>
          <w:spacing w:val="49"/>
        </w:rPr>
        <w:t xml:space="preserve"> </w:t>
      </w:r>
      <w:r w:rsidRPr="0031675F">
        <w:t>0.00075.When  satisfied</w:t>
      </w:r>
      <w:r w:rsidRPr="0031675F">
        <w:rPr>
          <w:spacing w:val="48"/>
        </w:rPr>
        <w:t xml:space="preserve"> </w:t>
      </w:r>
      <w:r w:rsidRPr="0031675F">
        <w:t>that  this</w:t>
      </w:r>
      <w:r w:rsidRPr="0031675F">
        <w:rPr>
          <w:spacing w:val="37"/>
        </w:rPr>
        <w:t xml:space="preserve"> </w:t>
      </w:r>
      <w:r w:rsidRPr="0031675F">
        <w:t xml:space="preserve">number is not drifting </w:t>
      </w:r>
      <w:r w:rsidRPr="0031675F">
        <w:rPr>
          <w:spacing w:val="-2"/>
        </w:rPr>
        <w:t>press</w:t>
      </w:r>
      <w:r w:rsidRPr="0031675F">
        <w:rPr>
          <w:spacing w:val="1"/>
        </w:rPr>
        <w:t xml:space="preserve"> </w:t>
      </w:r>
      <w:r w:rsidRPr="0031675F">
        <w:t>COND key. The</w:t>
      </w:r>
      <w:r w:rsidRPr="0031675F">
        <w:rPr>
          <w:spacing w:val="-2"/>
        </w:rPr>
        <w:t xml:space="preserve"> </w:t>
      </w:r>
      <w:r w:rsidRPr="0031675F">
        <w:t>display should then read RATIO 0.00000.</w:t>
      </w:r>
    </w:p>
    <w:p w14:paraId="498E630F" w14:textId="77777777" w:rsidR="0031675F" w:rsidRPr="0031675F" w:rsidRDefault="0031675F" w:rsidP="00506BD3">
      <w:pPr>
        <w:rPr>
          <w:rFonts w:cs="Calibri"/>
          <w:sz w:val="20"/>
          <w:szCs w:val="20"/>
        </w:rPr>
      </w:pPr>
    </w:p>
    <w:p w14:paraId="767B0E30" w14:textId="77777777" w:rsidR="0031675F" w:rsidRPr="0031675F" w:rsidRDefault="0031675F" w:rsidP="0031675F">
      <w:pPr>
        <w:widowControl w:val="0"/>
        <w:numPr>
          <w:ilvl w:val="0"/>
          <w:numId w:val="132"/>
        </w:numPr>
        <w:tabs>
          <w:tab w:val="left" w:pos="369"/>
        </w:tabs>
        <w:spacing w:before="0" w:after="0" w:line="240" w:lineRule="auto"/>
        <w:ind w:left="368" w:hanging="250"/>
        <w:rPr>
          <w:rFonts w:cs="Calibri"/>
          <w:sz w:val="14"/>
          <w:szCs w:val="14"/>
        </w:rPr>
      </w:pPr>
      <w:r w:rsidRPr="0031675F">
        <w:rPr>
          <w:b/>
          <w:i/>
          <w:spacing w:val="-1"/>
        </w:rPr>
        <w:t>Standardization</w:t>
      </w:r>
      <w:r w:rsidRPr="0031675F">
        <w:rPr>
          <w:b/>
          <w:i/>
          <w:spacing w:val="-2"/>
        </w:rPr>
        <w:t xml:space="preserve"> </w:t>
      </w:r>
      <w:r w:rsidRPr="0031675F">
        <w:rPr>
          <w:b/>
          <w:i/>
          <w:spacing w:val="-1"/>
        </w:rPr>
        <w:t>Routine</w:t>
      </w:r>
    </w:p>
    <w:p w14:paraId="69DC3C2C" w14:textId="77777777" w:rsidR="0031675F" w:rsidRPr="0031675F" w:rsidRDefault="0031675F" w:rsidP="0031675F">
      <w:pPr>
        <w:spacing w:before="2" w:after="120" w:line="238" w:lineRule="auto"/>
        <w:ind w:right="120"/>
      </w:pPr>
      <w:r w:rsidRPr="0031675F">
        <w:rPr>
          <w:spacing w:val="-1"/>
        </w:rPr>
        <w:t>Using</w:t>
      </w:r>
      <w:r w:rsidRPr="0031675F">
        <w:t xml:space="preserve"> </w:t>
      </w:r>
      <w:r w:rsidRPr="0031675F">
        <w:rPr>
          <w:spacing w:val="2"/>
        </w:rPr>
        <w:t xml:space="preserve"> </w:t>
      </w:r>
      <w:r w:rsidRPr="0031675F">
        <w:t xml:space="preserve">a </w:t>
      </w:r>
      <w:r w:rsidRPr="0031675F">
        <w:rPr>
          <w:spacing w:val="3"/>
        </w:rPr>
        <w:t xml:space="preserve"> </w:t>
      </w:r>
      <w:r w:rsidRPr="0031675F">
        <w:t xml:space="preserve">vial </w:t>
      </w:r>
      <w:r w:rsidRPr="0031675F">
        <w:rPr>
          <w:spacing w:val="2"/>
        </w:rPr>
        <w:t xml:space="preserve"> </w:t>
      </w:r>
      <w:r w:rsidRPr="0031675F">
        <w:t xml:space="preserve">of </w:t>
      </w:r>
      <w:r w:rsidRPr="0031675F">
        <w:rPr>
          <w:spacing w:val="3"/>
        </w:rPr>
        <w:t xml:space="preserve"> </w:t>
      </w:r>
      <w:r w:rsidRPr="0031675F">
        <w:rPr>
          <w:spacing w:val="-1"/>
        </w:rPr>
        <w:t>Standard</w:t>
      </w:r>
      <w:r w:rsidRPr="0031675F">
        <w:t xml:space="preserve"> </w:t>
      </w:r>
      <w:r w:rsidRPr="0031675F">
        <w:rPr>
          <w:spacing w:val="4"/>
        </w:rPr>
        <w:t xml:space="preserve"> </w:t>
      </w:r>
      <w:r w:rsidRPr="0031675F">
        <w:rPr>
          <w:spacing w:val="-1"/>
        </w:rPr>
        <w:t>Sea</w:t>
      </w:r>
      <w:r w:rsidRPr="0031675F">
        <w:t xml:space="preserve"> </w:t>
      </w:r>
      <w:r w:rsidRPr="0031675F">
        <w:rPr>
          <w:spacing w:val="3"/>
        </w:rPr>
        <w:t xml:space="preserve"> </w:t>
      </w:r>
      <w:r w:rsidRPr="0031675F">
        <w:t>Water</w:t>
      </w:r>
      <w:r w:rsidRPr="0031675F">
        <w:rPr>
          <w:spacing w:val="40"/>
        </w:rPr>
        <w:t xml:space="preserve"> </w:t>
      </w:r>
      <w:r w:rsidRPr="0031675F">
        <w:rPr>
          <w:spacing w:val="-1"/>
        </w:rPr>
        <w:t>(SSW)</w:t>
      </w:r>
      <w:r w:rsidRPr="0031675F">
        <w:t xml:space="preserve"> </w:t>
      </w:r>
      <w:r w:rsidRPr="0031675F">
        <w:rPr>
          <w:spacing w:val="4"/>
        </w:rPr>
        <w:t xml:space="preserve"> </w:t>
      </w:r>
      <w:r w:rsidRPr="0031675F">
        <w:t xml:space="preserve">as </w:t>
      </w:r>
      <w:r w:rsidRPr="0031675F">
        <w:rPr>
          <w:spacing w:val="3"/>
        </w:rPr>
        <w:t xml:space="preserve"> </w:t>
      </w:r>
      <w:r w:rsidRPr="0031675F">
        <w:t xml:space="preserve">the </w:t>
      </w:r>
      <w:r w:rsidRPr="0031675F">
        <w:rPr>
          <w:spacing w:val="1"/>
        </w:rPr>
        <w:t xml:space="preserve"> </w:t>
      </w:r>
      <w:r w:rsidRPr="0031675F">
        <w:rPr>
          <w:spacing w:val="-1"/>
        </w:rPr>
        <w:t>primary</w:t>
      </w:r>
      <w:r w:rsidRPr="0031675F">
        <w:t xml:space="preserve"> </w:t>
      </w:r>
      <w:r w:rsidRPr="0031675F">
        <w:rPr>
          <w:spacing w:val="4"/>
        </w:rPr>
        <w:t xml:space="preserve"> </w:t>
      </w:r>
      <w:r w:rsidRPr="0031675F">
        <w:rPr>
          <w:spacing w:val="-1"/>
        </w:rPr>
        <w:t>standard</w:t>
      </w:r>
      <w:r w:rsidRPr="0031675F">
        <w:t xml:space="preserve"> </w:t>
      </w:r>
      <w:r w:rsidRPr="0031675F">
        <w:rPr>
          <w:spacing w:val="2"/>
        </w:rPr>
        <w:t xml:space="preserve"> </w:t>
      </w:r>
      <w:r w:rsidRPr="0031675F">
        <w:t xml:space="preserve">obtain  a </w:t>
      </w:r>
      <w:r w:rsidRPr="0031675F">
        <w:rPr>
          <w:spacing w:val="3"/>
        </w:rPr>
        <w:t xml:space="preserve"> </w:t>
      </w:r>
      <w:r w:rsidRPr="0031675F">
        <w:t xml:space="preserve">good </w:t>
      </w:r>
      <w:r w:rsidRPr="0031675F">
        <w:rPr>
          <w:spacing w:val="2"/>
        </w:rPr>
        <w:t xml:space="preserve"> </w:t>
      </w:r>
      <w:r w:rsidRPr="0031675F">
        <w:rPr>
          <w:spacing w:val="-1"/>
        </w:rPr>
        <w:t>conductivity</w:t>
      </w:r>
      <w:r w:rsidRPr="0031675F">
        <w:rPr>
          <w:spacing w:val="45"/>
        </w:rPr>
        <w:t xml:space="preserve"> </w:t>
      </w:r>
      <w:r w:rsidRPr="0031675F">
        <w:rPr>
          <w:spacing w:val="-1"/>
        </w:rPr>
        <w:t xml:space="preserve">measurement </w:t>
      </w:r>
      <w:r w:rsidRPr="0031675F">
        <w:t>as</w:t>
      </w:r>
      <w:r w:rsidRPr="0031675F">
        <w:rPr>
          <w:spacing w:val="-2"/>
        </w:rPr>
        <w:t xml:space="preserve"> </w:t>
      </w:r>
      <w:r w:rsidRPr="0031675F">
        <w:rPr>
          <w:spacing w:val="-1"/>
        </w:rPr>
        <w:t>described</w:t>
      </w:r>
      <w:r w:rsidRPr="0031675F">
        <w:t xml:space="preserve"> </w:t>
      </w:r>
      <w:r w:rsidRPr="0031675F">
        <w:rPr>
          <w:spacing w:val="-1"/>
        </w:rPr>
        <w:t>above</w:t>
      </w:r>
      <w:r w:rsidRPr="0031675F">
        <w:t xml:space="preserve"> in</w:t>
      </w:r>
      <w:r w:rsidRPr="0031675F">
        <w:rPr>
          <w:spacing w:val="-1"/>
        </w:rPr>
        <w:t xml:space="preserve"> </w:t>
      </w:r>
      <w:r w:rsidRPr="0031675F">
        <w:rPr>
          <w:spacing w:val="-2"/>
        </w:rPr>
        <w:t>the</w:t>
      </w:r>
      <w:r w:rsidRPr="0031675F">
        <w:t xml:space="preserve"> </w:t>
      </w:r>
      <w:r w:rsidRPr="0031675F">
        <w:rPr>
          <w:spacing w:val="-1"/>
        </w:rPr>
        <w:t>Sample</w:t>
      </w:r>
      <w:r w:rsidRPr="0031675F">
        <w:rPr>
          <w:spacing w:val="-2"/>
        </w:rPr>
        <w:t xml:space="preserve"> </w:t>
      </w:r>
      <w:r w:rsidRPr="0031675F">
        <w:rPr>
          <w:spacing w:val="-1"/>
        </w:rPr>
        <w:t>Measurement</w:t>
      </w:r>
      <w:r w:rsidRPr="0031675F">
        <w:t xml:space="preserve"> </w:t>
      </w:r>
      <w:r w:rsidRPr="0031675F">
        <w:rPr>
          <w:spacing w:val="-1"/>
        </w:rPr>
        <w:t>procedure</w:t>
      </w:r>
      <w:r w:rsidRPr="0031675F">
        <w:t xml:space="preserve"> </w:t>
      </w:r>
      <w:r w:rsidRPr="0031675F">
        <w:rPr>
          <w:spacing w:val="-1"/>
        </w:rPr>
        <w:t>steps</w:t>
      </w:r>
      <w:r w:rsidRPr="0031675F">
        <w:rPr>
          <w:spacing w:val="-2"/>
        </w:rPr>
        <w:t xml:space="preserve"> </w:t>
      </w:r>
      <w:r w:rsidRPr="0031675F">
        <w:t>1</w:t>
      </w:r>
      <w:r w:rsidRPr="0031675F">
        <w:rPr>
          <w:spacing w:val="-2"/>
        </w:rPr>
        <w:t xml:space="preserve"> </w:t>
      </w:r>
      <w:r w:rsidRPr="0031675F">
        <w:rPr>
          <w:spacing w:val="-1"/>
        </w:rPr>
        <w:t xml:space="preserve">through </w:t>
      </w:r>
      <w:r w:rsidRPr="0031675F">
        <w:t>7</w:t>
      </w:r>
      <w:r w:rsidRPr="0031675F">
        <w:rPr>
          <w:spacing w:val="-1"/>
        </w:rPr>
        <w:t xml:space="preserve"> </w:t>
      </w:r>
      <w:r w:rsidRPr="0031675F">
        <w:t>.</w:t>
      </w:r>
    </w:p>
    <w:p w14:paraId="40FD6430" w14:textId="77777777" w:rsidR="0031675F" w:rsidRPr="0031675F" w:rsidRDefault="0031675F" w:rsidP="0031675F">
      <w:pPr>
        <w:spacing w:before="1"/>
        <w:rPr>
          <w:rFonts w:cs="Calibri"/>
        </w:rPr>
      </w:pPr>
    </w:p>
    <w:p w14:paraId="53F9571C" w14:textId="77777777" w:rsidR="0031675F" w:rsidRPr="0031675F" w:rsidRDefault="0031675F" w:rsidP="0031675F">
      <w:pPr>
        <w:spacing w:after="120"/>
      </w:pPr>
      <w:r w:rsidRPr="0031675F">
        <w:rPr>
          <w:spacing w:val="-1"/>
        </w:rPr>
        <w:t>Reduce</w:t>
      </w:r>
      <w:r w:rsidRPr="0031675F">
        <w:rPr>
          <w:spacing w:val="1"/>
        </w:rPr>
        <w:t xml:space="preserve"> </w:t>
      </w:r>
      <w:r w:rsidRPr="0031675F">
        <w:rPr>
          <w:spacing w:val="-1"/>
        </w:rPr>
        <w:t>the</w:t>
      </w:r>
      <w:r w:rsidRPr="0031675F">
        <w:t xml:space="preserve"> </w:t>
      </w:r>
      <w:r w:rsidRPr="0031675F">
        <w:rPr>
          <w:spacing w:val="-1"/>
        </w:rPr>
        <w:t>flow</w:t>
      </w:r>
      <w:r w:rsidRPr="0031675F">
        <w:rPr>
          <w:spacing w:val="1"/>
        </w:rPr>
        <w:t xml:space="preserve"> </w:t>
      </w:r>
      <w:r w:rsidRPr="0031675F">
        <w:rPr>
          <w:spacing w:val="-1"/>
        </w:rPr>
        <w:t xml:space="preserve">rate </w:t>
      </w:r>
      <w:r w:rsidRPr="0031675F">
        <w:t>to</w:t>
      </w:r>
      <w:r w:rsidRPr="0031675F">
        <w:rPr>
          <w:spacing w:val="-1"/>
        </w:rPr>
        <w:t xml:space="preserve"> minimum and do </w:t>
      </w:r>
      <w:r w:rsidRPr="0031675F">
        <w:t xml:space="preserve">the </w:t>
      </w:r>
      <w:r w:rsidRPr="0031675F">
        <w:rPr>
          <w:spacing w:val="-1"/>
        </w:rPr>
        <w:t>following:</w:t>
      </w:r>
    </w:p>
    <w:p w14:paraId="1F8FA690" w14:textId="77777777" w:rsidR="0031675F" w:rsidRPr="0031675F" w:rsidRDefault="0031675F" w:rsidP="0031675F">
      <w:pPr>
        <w:ind w:left="118" w:right="118"/>
        <w:rPr>
          <w:rFonts w:cs="Calibri"/>
        </w:rPr>
      </w:pPr>
      <w:r w:rsidRPr="0031675F">
        <w:rPr>
          <w:i/>
          <w:spacing w:val="-1"/>
        </w:rPr>
        <w:t>NOTE:</w:t>
      </w:r>
      <w:r w:rsidRPr="0031675F">
        <w:rPr>
          <w:i/>
        </w:rPr>
        <w:t xml:space="preserve">  </w:t>
      </w:r>
      <w:r w:rsidRPr="0031675F">
        <w:rPr>
          <w:i/>
          <w:spacing w:val="21"/>
        </w:rPr>
        <w:t xml:space="preserve"> </w:t>
      </w:r>
      <w:r w:rsidRPr="0031675F">
        <w:rPr>
          <w:i/>
          <w:spacing w:val="-1"/>
        </w:rPr>
        <w:t>Once</w:t>
      </w:r>
      <w:r w:rsidRPr="0031675F">
        <w:rPr>
          <w:i/>
          <w:spacing w:val="32"/>
        </w:rPr>
        <w:t xml:space="preserve"> </w:t>
      </w:r>
      <w:r w:rsidRPr="0031675F">
        <w:rPr>
          <w:i/>
        </w:rPr>
        <w:t>the</w:t>
      </w:r>
      <w:r w:rsidRPr="0031675F">
        <w:rPr>
          <w:i/>
          <w:spacing w:val="36"/>
        </w:rPr>
        <w:t xml:space="preserve"> </w:t>
      </w:r>
      <w:r w:rsidRPr="0031675F">
        <w:rPr>
          <w:i/>
          <w:spacing w:val="-1"/>
        </w:rPr>
        <w:t>following</w:t>
      </w:r>
      <w:r w:rsidRPr="0031675F">
        <w:rPr>
          <w:i/>
          <w:spacing w:val="35"/>
        </w:rPr>
        <w:t xml:space="preserve"> </w:t>
      </w:r>
      <w:r w:rsidRPr="0031675F">
        <w:rPr>
          <w:i/>
          <w:spacing w:val="-1"/>
        </w:rPr>
        <w:t>procedure</w:t>
      </w:r>
      <w:r w:rsidRPr="0031675F">
        <w:rPr>
          <w:i/>
          <w:spacing w:val="33"/>
        </w:rPr>
        <w:t xml:space="preserve"> </w:t>
      </w:r>
      <w:r w:rsidRPr="0031675F">
        <w:rPr>
          <w:i/>
          <w:spacing w:val="-1"/>
        </w:rPr>
        <w:t>has</w:t>
      </w:r>
      <w:r w:rsidRPr="0031675F">
        <w:rPr>
          <w:i/>
          <w:spacing w:val="37"/>
        </w:rPr>
        <w:t xml:space="preserve"> </w:t>
      </w:r>
      <w:r w:rsidRPr="0031675F">
        <w:rPr>
          <w:i/>
          <w:spacing w:val="-1"/>
        </w:rPr>
        <w:t>commenced</w:t>
      </w:r>
      <w:r w:rsidRPr="0031675F">
        <w:rPr>
          <w:i/>
          <w:spacing w:val="35"/>
        </w:rPr>
        <w:t xml:space="preserve"> </w:t>
      </w:r>
      <w:r w:rsidRPr="0031675F">
        <w:rPr>
          <w:i/>
          <w:spacing w:val="-1"/>
        </w:rPr>
        <w:t>do</w:t>
      </w:r>
      <w:r w:rsidRPr="0031675F">
        <w:rPr>
          <w:i/>
          <w:spacing w:val="36"/>
        </w:rPr>
        <w:t xml:space="preserve"> </w:t>
      </w:r>
      <w:r w:rsidRPr="0031675F">
        <w:rPr>
          <w:i/>
          <w:spacing w:val="-1"/>
        </w:rPr>
        <w:t>not</w:t>
      </w:r>
      <w:r w:rsidRPr="0031675F">
        <w:rPr>
          <w:i/>
          <w:spacing w:val="35"/>
        </w:rPr>
        <w:t xml:space="preserve"> </w:t>
      </w:r>
      <w:r w:rsidRPr="0031675F">
        <w:rPr>
          <w:i/>
          <w:spacing w:val="-2"/>
        </w:rPr>
        <w:t>flush</w:t>
      </w:r>
      <w:r w:rsidRPr="0031675F">
        <w:rPr>
          <w:i/>
          <w:spacing w:val="36"/>
        </w:rPr>
        <w:t xml:space="preserve"> </w:t>
      </w:r>
      <w:r w:rsidRPr="0031675F">
        <w:rPr>
          <w:i/>
        </w:rPr>
        <w:t>the</w:t>
      </w:r>
      <w:r w:rsidRPr="0031675F">
        <w:rPr>
          <w:i/>
          <w:spacing w:val="34"/>
        </w:rPr>
        <w:t xml:space="preserve"> </w:t>
      </w:r>
      <w:r w:rsidRPr="0031675F">
        <w:rPr>
          <w:i/>
          <w:spacing w:val="-1"/>
        </w:rPr>
        <w:t>cell</w:t>
      </w:r>
      <w:r w:rsidRPr="0031675F">
        <w:rPr>
          <w:i/>
          <w:spacing w:val="35"/>
        </w:rPr>
        <w:t xml:space="preserve"> </w:t>
      </w:r>
      <w:r w:rsidRPr="0031675F">
        <w:rPr>
          <w:i/>
          <w:spacing w:val="-2"/>
        </w:rPr>
        <w:t>and</w:t>
      </w:r>
      <w:r w:rsidRPr="0031675F">
        <w:rPr>
          <w:i/>
          <w:spacing w:val="35"/>
        </w:rPr>
        <w:t xml:space="preserve"> </w:t>
      </w:r>
      <w:r w:rsidRPr="0031675F">
        <w:rPr>
          <w:i/>
          <w:spacing w:val="-1"/>
        </w:rPr>
        <w:t>do</w:t>
      </w:r>
      <w:r w:rsidRPr="0031675F">
        <w:rPr>
          <w:i/>
          <w:spacing w:val="36"/>
        </w:rPr>
        <w:t xml:space="preserve"> </w:t>
      </w:r>
      <w:r w:rsidRPr="0031675F">
        <w:rPr>
          <w:i/>
          <w:spacing w:val="-1"/>
        </w:rPr>
        <w:t>not</w:t>
      </w:r>
      <w:r w:rsidRPr="0031675F">
        <w:rPr>
          <w:i/>
          <w:spacing w:val="34"/>
        </w:rPr>
        <w:t xml:space="preserve"> </w:t>
      </w:r>
      <w:r w:rsidRPr="0031675F">
        <w:rPr>
          <w:i/>
        </w:rPr>
        <w:t>move</w:t>
      </w:r>
      <w:r w:rsidRPr="0031675F">
        <w:rPr>
          <w:i/>
          <w:spacing w:val="33"/>
        </w:rPr>
        <w:t xml:space="preserve"> </w:t>
      </w:r>
      <w:r w:rsidRPr="0031675F">
        <w:rPr>
          <w:i/>
        </w:rPr>
        <w:t>the</w:t>
      </w:r>
      <w:r w:rsidRPr="0031675F">
        <w:rPr>
          <w:i/>
          <w:spacing w:val="41"/>
        </w:rPr>
        <w:t xml:space="preserve"> </w:t>
      </w:r>
      <w:r w:rsidRPr="0031675F">
        <w:rPr>
          <w:i/>
          <w:spacing w:val="-1"/>
        </w:rPr>
        <w:t>FUNCTION switch from</w:t>
      </w:r>
      <w:r w:rsidRPr="0031675F">
        <w:rPr>
          <w:i/>
          <w:spacing w:val="1"/>
        </w:rPr>
        <w:t xml:space="preserve"> </w:t>
      </w:r>
      <w:r w:rsidRPr="0031675F">
        <w:rPr>
          <w:i/>
          <w:spacing w:val="-1"/>
        </w:rPr>
        <w:t>READ.</w:t>
      </w:r>
    </w:p>
    <w:p w14:paraId="408269E3" w14:textId="77777777" w:rsidR="0031675F" w:rsidRPr="0031675F" w:rsidRDefault="0031675F" w:rsidP="0031675F">
      <w:pPr>
        <w:widowControl w:val="0"/>
        <w:numPr>
          <w:ilvl w:val="0"/>
          <w:numId w:val="131"/>
        </w:numPr>
        <w:tabs>
          <w:tab w:val="left" w:pos="547"/>
        </w:tabs>
        <w:spacing w:before="0" w:after="0" w:line="240" w:lineRule="auto"/>
      </w:pPr>
      <w:r w:rsidRPr="0031675F">
        <w:rPr>
          <w:spacing w:val="-1"/>
        </w:rPr>
        <w:t>Leave</w:t>
      </w:r>
      <w:r w:rsidRPr="0031675F">
        <w:t xml:space="preserve"> </w:t>
      </w:r>
      <w:r w:rsidRPr="0031675F">
        <w:rPr>
          <w:spacing w:val="-2"/>
        </w:rPr>
        <w:t>FUNCTION</w:t>
      </w:r>
      <w:r w:rsidRPr="0031675F">
        <w:rPr>
          <w:spacing w:val="-1"/>
        </w:rPr>
        <w:t xml:space="preserve"> switch</w:t>
      </w:r>
      <w:r w:rsidRPr="0031675F">
        <w:t xml:space="preserve"> in</w:t>
      </w:r>
      <w:r w:rsidRPr="0031675F">
        <w:rPr>
          <w:spacing w:val="-3"/>
        </w:rPr>
        <w:t xml:space="preserve"> </w:t>
      </w:r>
      <w:r w:rsidRPr="0031675F">
        <w:t>READ and</w:t>
      </w:r>
      <w:r w:rsidRPr="0031675F">
        <w:rPr>
          <w:spacing w:val="-2"/>
        </w:rPr>
        <w:t xml:space="preserve"> </w:t>
      </w:r>
      <w:r w:rsidRPr="0031675F">
        <w:rPr>
          <w:spacing w:val="-1"/>
        </w:rPr>
        <w:t>press</w:t>
      </w:r>
      <w:r w:rsidRPr="0031675F">
        <w:t xml:space="preserve"> </w:t>
      </w:r>
      <w:r w:rsidRPr="0031675F">
        <w:rPr>
          <w:spacing w:val="-1"/>
        </w:rPr>
        <w:t>STD.</w:t>
      </w:r>
    </w:p>
    <w:p w14:paraId="6624F571" w14:textId="77777777" w:rsidR="0031675F" w:rsidRPr="0031675F" w:rsidRDefault="0031675F" w:rsidP="0031675F">
      <w:pPr>
        <w:widowControl w:val="0"/>
        <w:numPr>
          <w:ilvl w:val="0"/>
          <w:numId w:val="131"/>
        </w:numPr>
        <w:tabs>
          <w:tab w:val="left" w:pos="547"/>
        </w:tabs>
        <w:spacing w:before="0" w:after="0" w:line="240" w:lineRule="auto"/>
        <w:ind w:right="5237"/>
      </w:pPr>
      <w:r w:rsidRPr="0031675F">
        <w:rPr>
          <w:spacing w:val="-1"/>
        </w:rPr>
        <w:t>The</w:t>
      </w:r>
      <w:r w:rsidRPr="0031675F">
        <w:t xml:space="preserve"> </w:t>
      </w:r>
      <w:r w:rsidRPr="0031675F">
        <w:rPr>
          <w:spacing w:val="-1"/>
        </w:rPr>
        <w:t>following</w:t>
      </w:r>
      <w:r w:rsidRPr="0031675F">
        <w:rPr>
          <w:spacing w:val="-2"/>
        </w:rPr>
        <w:t xml:space="preserve"> </w:t>
      </w:r>
      <w:r w:rsidRPr="0031675F">
        <w:rPr>
          <w:spacing w:val="-1"/>
        </w:rPr>
        <w:t>prompt</w:t>
      </w:r>
      <w:r w:rsidRPr="0031675F">
        <w:rPr>
          <w:spacing w:val="-2"/>
        </w:rPr>
        <w:t xml:space="preserve"> </w:t>
      </w:r>
      <w:r w:rsidRPr="0031675F">
        <w:t xml:space="preserve">will </w:t>
      </w:r>
      <w:r w:rsidRPr="0031675F">
        <w:rPr>
          <w:spacing w:val="-2"/>
        </w:rPr>
        <w:t>be</w:t>
      </w:r>
      <w:r w:rsidRPr="0031675F">
        <w:t xml:space="preserve"> </w:t>
      </w:r>
      <w:r w:rsidRPr="0031675F">
        <w:rPr>
          <w:spacing w:val="-1"/>
        </w:rPr>
        <w:t>displayed:</w:t>
      </w:r>
      <w:r w:rsidRPr="0031675F">
        <w:rPr>
          <w:spacing w:val="30"/>
        </w:rPr>
        <w:t xml:space="preserve"> </w:t>
      </w:r>
      <w:r w:rsidRPr="0031675F">
        <w:rPr>
          <w:spacing w:val="-1"/>
        </w:rPr>
        <w:t>STD</w:t>
      </w:r>
      <w:r w:rsidRPr="0031675F">
        <w:t xml:space="preserve"> </w:t>
      </w:r>
      <w:r w:rsidRPr="0031675F">
        <w:rPr>
          <w:spacing w:val="-1"/>
        </w:rPr>
        <w:t>STANDARDIZE</w:t>
      </w:r>
    </w:p>
    <w:p w14:paraId="32E8D0EF" w14:textId="77777777" w:rsidR="0031675F" w:rsidRPr="0031675F" w:rsidRDefault="0031675F" w:rsidP="0031675F">
      <w:pPr>
        <w:spacing w:after="120" w:line="267" w:lineRule="exact"/>
        <w:ind w:left="546"/>
      </w:pPr>
      <w:r w:rsidRPr="0031675F">
        <w:t>Press</w:t>
      </w:r>
      <w:r w:rsidRPr="0031675F">
        <w:rPr>
          <w:spacing w:val="-2"/>
        </w:rPr>
        <w:t xml:space="preserve"> </w:t>
      </w:r>
      <w:r w:rsidRPr="0031675F">
        <w:rPr>
          <w:spacing w:val="-1"/>
        </w:rPr>
        <w:t>ENTER</w:t>
      </w:r>
      <w:r w:rsidRPr="0031675F">
        <w:rPr>
          <w:spacing w:val="-3"/>
        </w:rPr>
        <w:t xml:space="preserve"> </w:t>
      </w:r>
      <w:r w:rsidRPr="0031675F">
        <w:rPr>
          <w:spacing w:val="-1"/>
        </w:rPr>
        <w:t>key.</w:t>
      </w:r>
    </w:p>
    <w:p w14:paraId="28A43558" w14:textId="77777777" w:rsidR="0031675F" w:rsidRPr="0031675F" w:rsidRDefault="0031675F" w:rsidP="0031675F">
      <w:pPr>
        <w:widowControl w:val="0"/>
        <w:numPr>
          <w:ilvl w:val="0"/>
          <w:numId w:val="131"/>
        </w:numPr>
        <w:tabs>
          <w:tab w:val="left" w:pos="547"/>
        </w:tabs>
        <w:spacing w:before="0" w:after="0" w:line="240" w:lineRule="auto"/>
        <w:ind w:right="4692"/>
      </w:pPr>
      <w:r w:rsidRPr="0031675F">
        <w:t>You</w:t>
      </w:r>
      <w:r w:rsidRPr="0031675F">
        <w:rPr>
          <w:spacing w:val="-3"/>
        </w:rPr>
        <w:t xml:space="preserve"> </w:t>
      </w:r>
      <w:r w:rsidRPr="0031675F">
        <w:t>will then</w:t>
      </w:r>
      <w:r w:rsidRPr="0031675F">
        <w:rPr>
          <w:spacing w:val="-1"/>
        </w:rPr>
        <w:t xml:space="preserve"> </w:t>
      </w:r>
      <w:r w:rsidRPr="0031675F">
        <w:rPr>
          <w:spacing w:val="-2"/>
        </w:rPr>
        <w:t>be</w:t>
      </w:r>
      <w:r w:rsidRPr="0031675F">
        <w:t xml:space="preserve"> </w:t>
      </w:r>
      <w:r w:rsidRPr="0031675F">
        <w:rPr>
          <w:spacing w:val="-1"/>
        </w:rPr>
        <w:t>prompted</w:t>
      </w:r>
      <w:r w:rsidRPr="0031675F">
        <w:rPr>
          <w:spacing w:val="-3"/>
        </w:rPr>
        <w:t xml:space="preserve"> </w:t>
      </w:r>
      <w:r w:rsidRPr="0031675F">
        <w:t xml:space="preserve">with, </w:t>
      </w:r>
      <w:r w:rsidRPr="0031675F">
        <w:rPr>
          <w:spacing w:val="-1"/>
        </w:rPr>
        <w:t>for</w:t>
      </w:r>
      <w:r w:rsidRPr="0031675F">
        <w:t xml:space="preserve"> </w:t>
      </w:r>
      <w:r w:rsidRPr="0031675F">
        <w:rPr>
          <w:spacing w:val="-1"/>
        </w:rPr>
        <w:t>example:</w:t>
      </w:r>
      <w:r w:rsidRPr="0031675F">
        <w:rPr>
          <w:spacing w:val="26"/>
        </w:rPr>
        <w:t xml:space="preserve"> </w:t>
      </w:r>
      <w:r w:rsidRPr="0031675F">
        <w:rPr>
          <w:spacing w:val="-1"/>
        </w:rPr>
        <w:t>COND</w:t>
      </w:r>
      <w:r w:rsidRPr="0031675F">
        <w:rPr>
          <w:spacing w:val="1"/>
        </w:rPr>
        <w:t xml:space="preserve"> </w:t>
      </w:r>
      <w:r w:rsidRPr="0031675F">
        <w:t>NO</w:t>
      </w:r>
      <w:r w:rsidRPr="0031675F">
        <w:rPr>
          <w:spacing w:val="-3"/>
        </w:rPr>
        <w:t xml:space="preserve"> </w:t>
      </w:r>
      <w:r w:rsidRPr="0031675F">
        <w:rPr>
          <w:spacing w:val="-1"/>
        </w:rPr>
        <w:t>0.999</w:t>
      </w:r>
      <w:r w:rsidRPr="0031675F">
        <w:t xml:space="preserve"> </w:t>
      </w:r>
      <w:r w:rsidRPr="0031675F">
        <w:rPr>
          <w:spacing w:val="-1"/>
        </w:rPr>
        <w:t>84</w:t>
      </w:r>
    </w:p>
    <w:p w14:paraId="3E9F469D" w14:textId="77777777" w:rsidR="0031675F" w:rsidRPr="0031675F" w:rsidRDefault="0031675F" w:rsidP="0031675F">
      <w:pPr>
        <w:spacing w:after="120"/>
        <w:ind w:left="546"/>
      </w:pPr>
      <w:r w:rsidRPr="0031675F">
        <w:rPr>
          <w:spacing w:val="-1"/>
        </w:rPr>
        <w:t>Enter</w:t>
      </w:r>
      <w:r w:rsidRPr="0031675F">
        <w:t xml:space="preserve"> </w:t>
      </w:r>
      <w:r w:rsidRPr="0031675F">
        <w:rPr>
          <w:spacing w:val="-2"/>
        </w:rPr>
        <w:t>the</w:t>
      </w:r>
      <w:r w:rsidRPr="0031675F">
        <w:t xml:space="preserve"> </w:t>
      </w:r>
      <w:r w:rsidRPr="0031675F">
        <w:rPr>
          <w:spacing w:val="-1"/>
        </w:rPr>
        <w:t>conductivity</w:t>
      </w:r>
      <w:r w:rsidRPr="0031675F">
        <w:rPr>
          <w:spacing w:val="1"/>
        </w:rPr>
        <w:t xml:space="preserve"> </w:t>
      </w:r>
      <w:r w:rsidRPr="0031675F">
        <w:rPr>
          <w:spacing w:val="-1"/>
        </w:rPr>
        <w:t>ratio</w:t>
      </w:r>
      <w:r w:rsidRPr="0031675F">
        <w:rPr>
          <w:spacing w:val="-2"/>
        </w:rPr>
        <w:t xml:space="preserve"> </w:t>
      </w:r>
      <w:r w:rsidRPr="0031675F">
        <w:t>of</w:t>
      </w:r>
      <w:r w:rsidRPr="0031675F">
        <w:rPr>
          <w:spacing w:val="-2"/>
        </w:rPr>
        <w:t xml:space="preserve"> </w:t>
      </w:r>
      <w:r w:rsidRPr="0031675F">
        <w:t xml:space="preserve">the </w:t>
      </w:r>
      <w:r w:rsidRPr="0031675F">
        <w:rPr>
          <w:spacing w:val="-1"/>
        </w:rPr>
        <w:t>Standard Sea</w:t>
      </w:r>
      <w:r w:rsidRPr="0031675F">
        <w:t xml:space="preserve"> </w:t>
      </w:r>
      <w:r w:rsidRPr="0031675F">
        <w:rPr>
          <w:spacing w:val="-1"/>
        </w:rPr>
        <w:t>Water.</w:t>
      </w:r>
    </w:p>
    <w:p w14:paraId="7F64C01C" w14:textId="77777777" w:rsidR="0031675F" w:rsidRPr="0031675F" w:rsidRDefault="0031675F" w:rsidP="0031675F">
      <w:pPr>
        <w:widowControl w:val="0"/>
        <w:numPr>
          <w:ilvl w:val="0"/>
          <w:numId w:val="131"/>
        </w:numPr>
        <w:tabs>
          <w:tab w:val="left" w:pos="547"/>
        </w:tabs>
        <w:spacing w:before="0" w:after="0" w:line="240" w:lineRule="auto"/>
        <w:ind w:right="4692"/>
      </w:pPr>
      <w:r w:rsidRPr="0031675F">
        <w:t>You</w:t>
      </w:r>
      <w:r w:rsidRPr="0031675F">
        <w:rPr>
          <w:spacing w:val="-3"/>
        </w:rPr>
        <w:t xml:space="preserve"> </w:t>
      </w:r>
      <w:r w:rsidRPr="0031675F">
        <w:t>will then</w:t>
      </w:r>
      <w:r w:rsidRPr="0031675F">
        <w:rPr>
          <w:spacing w:val="-1"/>
        </w:rPr>
        <w:t xml:space="preserve"> </w:t>
      </w:r>
      <w:r w:rsidRPr="0031675F">
        <w:rPr>
          <w:spacing w:val="-2"/>
        </w:rPr>
        <w:t>be</w:t>
      </w:r>
      <w:r w:rsidRPr="0031675F">
        <w:t xml:space="preserve"> </w:t>
      </w:r>
      <w:r w:rsidRPr="0031675F">
        <w:rPr>
          <w:spacing w:val="-1"/>
        </w:rPr>
        <w:t>prompted</w:t>
      </w:r>
      <w:r w:rsidRPr="0031675F">
        <w:rPr>
          <w:spacing w:val="-3"/>
        </w:rPr>
        <w:t xml:space="preserve"> </w:t>
      </w:r>
      <w:r w:rsidRPr="0031675F">
        <w:t xml:space="preserve">with, </w:t>
      </w:r>
      <w:r w:rsidRPr="0031675F">
        <w:rPr>
          <w:spacing w:val="-1"/>
        </w:rPr>
        <w:t>for</w:t>
      </w:r>
      <w:r w:rsidRPr="0031675F">
        <w:t xml:space="preserve"> </w:t>
      </w:r>
      <w:r w:rsidRPr="0031675F">
        <w:rPr>
          <w:spacing w:val="-1"/>
        </w:rPr>
        <w:t>example:</w:t>
      </w:r>
      <w:r w:rsidRPr="0031675F">
        <w:rPr>
          <w:spacing w:val="26"/>
        </w:rPr>
        <w:t xml:space="preserve"> </w:t>
      </w:r>
      <w:r w:rsidRPr="0031675F">
        <w:rPr>
          <w:spacing w:val="-1"/>
        </w:rPr>
        <w:t>BATCH</w:t>
      </w:r>
      <w:r w:rsidRPr="0031675F">
        <w:t xml:space="preserve"> </w:t>
      </w:r>
      <w:r w:rsidRPr="0031675F">
        <w:rPr>
          <w:spacing w:val="-1"/>
        </w:rPr>
        <w:t>NO</w:t>
      </w:r>
      <w:r w:rsidRPr="0031675F">
        <w:rPr>
          <w:spacing w:val="-2"/>
        </w:rPr>
        <w:t xml:space="preserve"> </w:t>
      </w:r>
      <w:r w:rsidRPr="0031675F">
        <w:rPr>
          <w:spacing w:val="-1"/>
        </w:rPr>
        <w:t>P113</w:t>
      </w:r>
    </w:p>
    <w:p w14:paraId="572AF286" w14:textId="77777777" w:rsidR="0031675F" w:rsidRPr="0031675F" w:rsidRDefault="0031675F" w:rsidP="0031675F">
      <w:pPr>
        <w:spacing w:after="120" w:line="269" w:lineRule="exact"/>
        <w:ind w:left="546"/>
      </w:pPr>
      <w:r w:rsidRPr="0031675F">
        <w:rPr>
          <w:spacing w:val="-1"/>
        </w:rPr>
        <w:t xml:space="preserve">Enter </w:t>
      </w:r>
      <w:r w:rsidRPr="0031675F">
        <w:rPr>
          <w:spacing w:val="-2"/>
        </w:rPr>
        <w:t>the</w:t>
      </w:r>
      <w:r w:rsidRPr="0031675F">
        <w:rPr>
          <w:spacing w:val="1"/>
        </w:rPr>
        <w:t xml:space="preserve"> </w:t>
      </w:r>
      <w:r w:rsidRPr="0031675F">
        <w:rPr>
          <w:spacing w:val="-1"/>
        </w:rPr>
        <w:t>Standard Sea</w:t>
      </w:r>
      <w:r w:rsidRPr="0031675F">
        <w:rPr>
          <w:spacing w:val="-2"/>
        </w:rPr>
        <w:t xml:space="preserve"> </w:t>
      </w:r>
      <w:r w:rsidRPr="0031675F">
        <w:rPr>
          <w:spacing w:val="-1"/>
        </w:rPr>
        <w:t>Water</w:t>
      </w:r>
      <w:r w:rsidRPr="0031675F">
        <w:t xml:space="preserve"> </w:t>
      </w:r>
      <w:r w:rsidRPr="0031675F">
        <w:rPr>
          <w:spacing w:val="-1"/>
        </w:rPr>
        <w:t>batch</w:t>
      </w:r>
      <w:r w:rsidRPr="0031675F">
        <w:rPr>
          <w:spacing w:val="-3"/>
        </w:rPr>
        <w:t xml:space="preserve"> </w:t>
      </w:r>
      <w:r w:rsidRPr="0031675F">
        <w:rPr>
          <w:spacing w:val="-1"/>
        </w:rPr>
        <w:t>number.</w:t>
      </w:r>
    </w:p>
    <w:p w14:paraId="25A6DE5D" w14:textId="77777777" w:rsidR="0031675F" w:rsidRPr="0031675F" w:rsidRDefault="0031675F" w:rsidP="0031675F">
      <w:pPr>
        <w:widowControl w:val="0"/>
        <w:numPr>
          <w:ilvl w:val="0"/>
          <w:numId w:val="131"/>
        </w:numPr>
        <w:tabs>
          <w:tab w:val="left" w:pos="547"/>
        </w:tabs>
        <w:spacing w:before="0" w:after="0" w:line="240" w:lineRule="auto"/>
        <w:ind w:right="5867"/>
      </w:pPr>
      <w:r w:rsidRPr="0031675F">
        <w:t>You</w:t>
      </w:r>
      <w:r w:rsidRPr="0031675F">
        <w:rPr>
          <w:spacing w:val="-3"/>
        </w:rPr>
        <w:t xml:space="preserve"> </w:t>
      </w:r>
      <w:r w:rsidRPr="0031675F">
        <w:t>will then</w:t>
      </w:r>
      <w:r w:rsidRPr="0031675F">
        <w:rPr>
          <w:spacing w:val="-1"/>
        </w:rPr>
        <w:t xml:space="preserve"> </w:t>
      </w:r>
      <w:r w:rsidRPr="0031675F">
        <w:rPr>
          <w:spacing w:val="-2"/>
        </w:rPr>
        <w:t>be</w:t>
      </w:r>
      <w:r w:rsidRPr="0031675F">
        <w:t xml:space="preserve"> </w:t>
      </w:r>
      <w:r w:rsidRPr="0031675F">
        <w:rPr>
          <w:spacing w:val="-1"/>
        </w:rPr>
        <w:t>prompted</w:t>
      </w:r>
      <w:r w:rsidRPr="0031675F">
        <w:rPr>
          <w:spacing w:val="-3"/>
        </w:rPr>
        <w:t xml:space="preserve"> </w:t>
      </w:r>
      <w:r w:rsidRPr="0031675F">
        <w:t>with:</w:t>
      </w:r>
      <w:r w:rsidRPr="0031675F">
        <w:rPr>
          <w:spacing w:val="24"/>
        </w:rPr>
        <w:t xml:space="preserve"> </w:t>
      </w:r>
      <w:r w:rsidRPr="0031675F">
        <w:rPr>
          <w:spacing w:val="-1"/>
        </w:rPr>
        <w:t>ENTER</w:t>
      </w:r>
      <w:r w:rsidRPr="0031675F">
        <w:rPr>
          <w:spacing w:val="-2"/>
        </w:rPr>
        <w:t xml:space="preserve"> </w:t>
      </w:r>
      <w:r w:rsidRPr="0031675F">
        <w:t>WHEN</w:t>
      </w:r>
      <w:r w:rsidRPr="0031675F">
        <w:rPr>
          <w:spacing w:val="-2"/>
        </w:rPr>
        <w:t xml:space="preserve"> </w:t>
      </w:r>
      <w:r w:rsidRPr="0031675F">
        <w:rPr>
          <w:spacing w:val="-1"/>
        </w:rPr>
        <w:t>READY</w:t>
      </w:r>
    </w:p>
    <w:p w14:paraId="0DAD6DE7" w14:textId="77777777" w:rsidR="0031675F" w:rsidRPr="0031675F" w:rsidRDefault="0031675F" w:rsidP="0031675F">
      <w:pPr>
        <w:spacing w:before="1" w:after="120"/>
        <w:ind w:left="546" w:right="120"/>
      </w:pPr>
      <w:r w:rsidRPr="0031675F">
        <w:rPr>
          <w:spacing w:val="-1"/>
        </w:rPr>
        <w:t>Turn</w:t>
      </w:r>
      <w:r w:rsidRPr="0031675F">
        <w:rPr>
          <w:spacing w:val="8"/>
        </w:rPr>
        <w:t xml:space="preserve"> </w:t>
      </w:r>
      <w:r w:rsidRPr="0031675F">
        <w:rPr>
          <w:spacing w:val="-1"/>
        </w:rPr>
        <w:t>FLOW</w:t>
      </w:r>
      <w:r w:rsidRPr="0031675F">
        <w:rPr>
          <w:spacing w:val="10"/>
        </w:rPr>
        <w:t xml:space="preserve"> </w:t>
      </w:r>
      <w:r w:rsidRPr="0031675F">
        <w:rPr>
          <w:spacing w:val="-1"/>
        </w:rPr>
        <w:t>RATE</w:t>
      </w:r>
      <w:r w:rsidRPr="0031675F">
        <w:rPr>
          <w:spacing w:val="10"/>
        </w:rPr>
        <w:t xml:space="preserve"> </w:t>
      </w:r>
      <w:r w:rsidRPr="0031675F">
        <w:rPr>
          <w:spacing w:val="-1"/>
        </w:rPr>
        <w:t>to</w:t>
      </w:r>
      <w:r w:rsidRPr="0031675F">
        <w:rPr>
          <w:spacing w:val="11"/>
        </w:rPr>
        <w:t xml:space="preserve"> </w:t>
      </w:r>
      <w:r w:rsidRPr="0031675F">
        <w:t>a</w:t>
      </w:r>
      <w:r w:rsidRPr="0031675F">
        <w:rPr>
          <w:spacing w:val="9"/>
        </w:rPr>
        <w:t xml:space="preserve"> </w:t>
      </w:r>
      <w:r w:rsidRPr="0031675F">
        <w:rPr>
          <w:spacing w:val="-1"/>
        </w:rPr>
        <w:t>suitable</w:t>
      </w:r>
      <w:r w:rsidRPr="0031675F">
        <w:rPr>
          <w:spacing w:val="10"/>
        </w:rPr>
        <w:t xml:space="preserve"> </w:t>
      </w:r>
      <w:r w:rsidRPr="0031675F">
        <w:rPr>
          <w:spacing w:val="-1"/>
        </w:rPr>
        <w:t>flow</w:t>
      </w:r>
      <w:r w:rsidRPr="0031675F">
        <w:rPr>
          <w:spacing w:val="10"/>
        </w:rPr>
        <w:t xml:space="preserve"> </w:t>
      </w:r>
      <w:r w:rsidRPr="0031675F">
        <w:rPr>
          <w:spacing w:val="-1"/>
        </w:rPr>
        <w:t>rate</w:t>
      </w:r>
      <w:r w:rsidRPr="0031675F">
        <w:rPr>
          <w:spacing w:val="10"/>
        </w:rPr>
        <w:t xml:space="preserve"> </w:t>
      </w:r>
      <w:r w:rsidRPr="0031675F">
        <w:rPr>
          <w:spacing w:val="-1"/>
        </w:rPr>
        <w:t>and,</w:t>
      </w:r>
      <w:r w:rsidRPr="0031675F">
        <w:rPr>
          <w:spacing w:val="7"/>
        </w:rPr>
        <w:t xml:space="preserve"> </w:t>
      </w:r>
      <w:r w:rsidRPr="0031675F">
        <w:t>when</w:t>
      </w:r>
      <w:r w:rsidRPr="0031675F">
        <w:rPr>
          <w:spacing w:val="9"/>
        </w:rPr>
        <w:t xml:space="preserve"> </w:t>
      </w:r>
      <w:r w:rsidRPr="0031675F">
        <w:rPr>
          <w:spacing w:val="-1"/>
        </w:rPr>
        <w:t>satisfied</w:t>
      </w:r>
      <w:r w:rsidRPr="0031675F">
        <w:rPr>
          <w:spacing w:val="9"/>
        </w:rPr>
        <w:t xml:space="preserve"> </w:t>
      </w:r>
      <w:r w:rsidRPr="0031675F">
        <w:t>that</w:t>
      </w:r>
      <w:r w:rsidRPr="0031675F">
        <w:rPr>
          <w:spacing w:val="10"/>
        </w:rPr>
        <w:t xml:space="preserve"> </w:t>
      </w:r>
      <w:r w:rsidRPr="0031675F">
        <w:rPr>
          <w:spacing w:val="-1"/>
        </w:rPr>
        <w:t>the</w:t>
      </w:r>
      <w:r w:rsidRPr="0031675F">
        <w:rPr>
          <w:spacing w:val="14"/>
        </w:rPr>
        <w:t xml:space="preserve"> </w:t>
      </w:r>
      <w:r w:rsidRPr="0031675F">
        <w:rPr>
          <w:spacing w:val="-1"/>
        </w:rPr>
        <w:t>conductivity</w:t>
      </w:r>
      <w:r w:rsidRPr="0031675F">
        <w:rPr>
          <w:spacing w:val="10"/>
        </w:rPr>
        <w:t xml:space="preserve"> </w:t>
      </w:r>
      <w:r w:rsidRPr="0031675F">
        <w:t>cell</w:t>
      </w:r>
      <w:r w:rsidRPr="0031675F">
        <w:rPr>
          <w:spacing w:val="10"/>
        </w:rPr>
        <w:t xml:space="preserve"> </w:t>
      </w:r>
      <w:r w:rsidRPr="0031675F">
        <w:t>is</w:t>
      </w:r>
      <w:r w:rsidRPr="0031675F">
        <w:rPr>
          <w:spacing w:val="9"/>
        </w:rPr>
        <w:t xml:space="preserve"> </w:t>
      </w:r>
      <w:r w:rsidRPr="0031675F">
        <w:rPr>
          <w:spacing w:val="-1"/>
        </w:rPr>
        <w:t>full</w:t>
      </w:r>
      <w:r w:rsidRPr="0031675F">
        <w:rPr>
          <w:spacing w:val="9"/>
        </w:rPr>
        <w:t xml:space="preserve"> </w:t>
      </w:r>
      <w:r w:rsidRPr="0031675F">
        <w:rPr>
          <w:spacing w:val="-2"/>
        </w:rPr>
        <w:t>and</w:t>
      </w:r>
      <w:r w:rsidRPr="0031675F">
        <w:rPr>
          <w:spacing w:val="43"/>
        </w:rPr>
        <w:t xml:space="preserve"> </w:t>
      </w:r>
      <w:r w:rsidRPr="0031675F">
        <w:rPr>
          <w:spacing w:val="-1"/>
        </w:rPr>
        <w:t>sample</w:t>
      </w:r>
      <w:r w:rsidRPr="0031675F">
        <w:t xml:space="preserve"> </w:t>
      </w:r>
      <w:r w:rsidRPr="0031675F">
        <w:rPr>
          <w:spacing w:val="-2"/>
        </w:rPr>
        <w:t>is</w:t>
      </w:r>
      <w:r w:rsidRPr="0031675F">
        <w:t xml:space="preserve"> </w:t>
      </w:r>
      <w:r w:rsidRPr="0031675F">
        <w:rPr>
          <w:spacing w:val="-1"/>
        </w:rPr>
        <w:t>flowing,</w:t>
      </w:r>
      <w:r w:rsidRPr="0031675F">
        <w:t xml:space="preserve"> </w:t>
      </w:r>
      <w:r w:rsidRPr="0031675F">
        <w:rPr>
          <w:spacing w:val="-2"/>
        </w:rPr>
        <w:t>press</w:t>
      </w:r>
      <w:r w:rsidRPr="0031675F">
        <w:t xml:space="preserve"> </w:t>
      </w:r>
      <w:r w:rsidRPr="0031675F">
        <w:rPr>
          <w:spacing w:val="-1"/>
        </w:rPr>
        <w:t>ENTER</w:t>
      </w:r>
      <w:r w:rsidRPr="0031675F">
        <w:rPr>
          <w:spacing w:val="1"/>
        </w:rPr>
        <w:t xml:space="preserve"> </w:t>
      </w:r>
      <w:r w:rsidRPr="0031675F">
        <w:rPr>
          <w:spacing w:val="-1"/>
        </w:rPr>
        <w:t>key.</w:t>
      </w:r>
    </w:p>
    <w:p w14:paraId="515E01C5" w14:textId="77777777" w:rsidR="0031675F" w:rsidRPr="0031675F" w:rsidRDefault="0031675F" w:rsidP="0031675F">
      <w:pPr>
        <w:widowControl w:val="0"/>
        <w:numPr>
          <w:ilvl w:val="0"/>
          <w:numId w:val="131"/>
        </w:numPr>
        <w:tabs>
          <w:tab w:val="left" w:pos="547"/>
        </w:tabs>
        <w:spacing w:before="0" w:after="0" w:line="240" w:lineRule="auto"/>
        <w:ind w:right="2176"/>
      </w:pPr>
      <w:r w:rsidRPr="0031675F">
        <w:rPr>
          <w:rFonts w:cs="Calibri"/>
          <w:spacing w:val="-1"/>
        </w:rPr>
        <w:t>“</w:t>
      </w:r>
      <w:r w:rsidRPr="0031675F">
        <w:rPr>
          <w:spacing w:val="-1"/>
        </w:rPr>
        <w:t>Measuring...</w:t>
      </w:r>
      <w:r w:rsidRPr="0031675F">
        <w:t xml:space="preserve"> </w:t>
      </w:r>
      <w:r w:rsidRPr="0031675F">
        <w:rPr>
          <w:rFonts w:cs="Calibri"/>
        </w:rPr>
        <w:t>“</w:t>
      </w:r>
      <w:r w:rsidRPr="0031675F">
        <w:t>will</w:t>
      </w:r>
      <w:r w:rsidRPr="0031675F">
        <w:rPr>
          <w:spacing w:val="-3"/>
        </w:rPr>
        <w:t xml:space="preserve"> </w:t>
      </w:r>
      <w:r w:rsidRPr="0031675F">
        <w:rPr>
          <w:spacing w:val="-1"/>
        </w:rPr>
        <w:t>briefly</w:t>
      </w:r>
      <w:r w:rsidRPr="0031675F">
        <w:rPr>
          <w:spacing w:val="-2"/>
        </w:rPr>
        <w:t xml:space="preserve"> </w:t>
      </w:r>
      <w:r w:rsidRPr="0031675F">
        <w:rPr>
          <w:spacing w:val="-1"/>
        </w:rPr>
        <w:t xml:space="preserve">appear </w:t>
      </w:r>
      <w:r w:rsidRPr="0031675F">
        <w:t>on</w:t>
      </w:r>
      <w:r w:rsidRPr="0031675F">
        <w:rPr>
          <w:spacing w:val="-3"/>
        </w:rPr>
        <w:t xml:space="preserve"> </w:t>
      </w:r>
      <w:r w:rsidRPr="0031675F">
        <w:t xml:space="preserve">the </w:t>
      </w:r>
      <w:r w:rsidRPr="0031675F">
        <w:rPr>
          <w:spacing w:val="-1"/>
        </w:rPr>
        <w:t>display</w:t>
      </w:r>
      <w:r w:rsidRPr="0031675F">
        <w:rPr>
          <w:spacing w:val="-3"/>
        </w:rPr>
        <w:t xml:space="preserve"> </w:t>
      </w:r>
      <w:r w:rsidRPr="0031675F">
        <w:rPr>
          <w:spacing w:val="-1"/>
        </w:rPr>
        <w:t>followed</w:t>
      </w:r>
      <w:r w:rsidRPr="0031675F">
        <w:t xml:space="preserve"> </w:t>
      </w:r>
      <w:r w:rsidRPr="0031675F">
        <w:rPr>
          <w:spacing w:val="-1"/>
        </w:rPr>
        <w:t>by,</w:t>
      </w:r>
      <w:r w:rsidRPr="0031675F">
        <w:rPr>
          <w:spacing w:val="1"/>
        </w:rPr>
        <w:t xml:space="preserve"> </w:t>
      </w:r>
      <w:r w:rsidRPr="0031675F">
        <w:rPr>
          <w:spacing w:val="-1"/>
        </w:rPr>
        <w:t>for</w:t>
      </w:r>
      <w:r w:rsidRPr="0031675F">
        <w:rPr>
          <w:spacing w:val="-2"/>
        </w:rPr>
        <w:t xml:space="preserve"> </w:t>
      </w:r>
      <w:r w:rsidRPr="0031675F">
        <w:rPr>
          <w:spacing w:val="-1"/>
        </w:rPr>
        <w:t>example:</w:t>
      </w:r>
      <w:r w:rsidRPr="0031675F">
        <w:rPr>
          <w:spacing w:val="55"/>
        </w:rPr>
        <w:t xml:space="preserve"> </w:t>
      </w:r>
      <w:r w:rsidRPr="0031675F">
        <w:rPr>
          <w:spacing w:val="-1"/>
        </w:rPr>
        <w:t>STANDARD</w:t>
      </w:r>
      <w:r w:rsidRPr="0031675F">
        <w:rPr>
          <w:spacing w:val="-2"/>
        </w:rPr>
        <w:t xml:space="preserve"> </w:t>
      </w:r>
      <w:r w:rsidRPr="0031675F">
        <w:rPr>
          <w:spacing w:val="-1"/>
        </w:rPr>
        <w:t>4.22000</w:t>
      </w:r>
    </w:p>
    <w:p w14:paraId="1E76CE04" w14:textId="77777777" w:rsidR="0031675F" w:rsidRPr="0031675F" w:rsidRDefault="0031675F" w:rsidP="0031675F">
      <w:pPr>
        <w:spacing w:after="120"/>
        <w:ind w:left="546" w:right="120"/>
      </w:pPr>
      <w:r w:rsidRPr="0031675F">
        <w:t xml:space="preserve">When </w:t>
      </w:r>
      <w:r w:rsidRPr="0031675F">
        <w:rPr>
          <w:spacing w:val="5"/>
        </w:rPr>
        <w:t xml:space="preserve"> </w:t>
      </w:r>
      <w:r w:rsidRPr="0031675F">
        <w:rPr>
          <w:spacing w:val="-1"/>
        </w:rPr>
        <w:t>satisfied</w:t>
      </w:r>
      <w:r w:rsidRPr="0031675F">
        <w:t xml:space="preserve"> </w:t>
      </w:r>
      <w:r w:rsidRPr="0031675F">
        <w:rPr>
          <w:spacing w:val="5"/>
        </w:rPr>
        <w:t xml:space="preserve"> </w:t>
      </w:r>
      <w:r w:rsidRPr="0031675F">
        <w:t xml:space="preserve">that </w:t>
      </w:r>
      <w:r w:rsidRPr="0031675F">
        <w:rPr>
          <w:spacing w:val="3"/>
        </w:rPr>
        <w:t xml:space="preserve"> </w:t>
      </w:r>
      <w:r w:rsidRPr="0031675F">
        <w:t xml:space="preserve">the </w:t>
      </w:r>
      <w:r w:rsidRPr="0031675F">
        <w:rPr>
          <w:spacing w:val="3"/>
        </w:rPr>
        <w:t xml:space="preserve"> </w:t>
      </w:r>
      <w:r w:rsidRPr="0031675F">
        <w:rPr>
          <w:spacing w:val="-1"/>
        </w:rPr>
        <w:t>displayed</w:t>
      </w:r>
      <w:r w:rsidRPr="0031675F">
        <w:t xml:space="preserve"> </w:t>
      </w:r>
      <w:r w:rsidRPr="0031675F">
        <w:rPr>
          <w:spacing w:val="5"/>
        </w:rPr>
        <w:t xml:space="preserve"> </w:t>
      </w:r>
      <w:r w:rsidRPr="0031675F">
        <w:rPr>
          <w:spacing w:val="-1"/>
        </w:rPr>
        <w:t>STANDARD</w:t>
      </w:r>
      <w:r w:rsidRPr="0031675F">
        <w:t xml:space="preserve"> </w:t>
      </w:r>
      <w:r w:rsidRPr="0031675F">
        <w:rPr>
          <w:spacing w:val="6"/>
        </w:rPr>
        <w:t xml:space="preserve"> </w:t>
      </w:r>
      <w:r w:rsidRPr="0031675F">
        <w:rPr>
          <w:spacing w:val="-1"/>
        </w:rPr>
        <w:t>number</w:t>
      </w:r>
      <w:r w:rsidRPr="0031675F">
        <w:t xml:space="preserve"> </w:t>
      </w:r>
      <w:r w:rsidRPr="0031675F">
        <w:rPr>
          <w:spacing w:val="6"/>
        </w:rPr>
        <w:t xml:space="preserve"> </w:t>
      </w:r>
      <w:r w:rsidRPr="0031675F">
        <w:t xml:space="preserve">is </w:t>
      </w:r>
      <w:r w:rsidRPr="0031675F">
        <w:rPr>
          <w:spacing w:val="3"/>
        </w:rPr>
        <w:t xml:space="preserve"> </w:t>
      </w:r>
      <w:r w:rsidRPr="0031675F">
        <w:rPr>
          <w:spacing w:val="-1"/>
        </w:rPr>
        <w:t>stable,</w:t>
      </w:r>
      <w:r w:rsidRPr="0031675F">
        <w:t xml:space="preserve"> </w:t>
      </w:r>
      <w:r w:rsidRPr="0031675F">
        <w:rPr>
          <w:spacing w:val="4"/>
        </w:rPr>
        <w:t xml:space="preserve"> </w:t>
      </w:r>
      <w:r w:rsidRPr="0031675F">
        <w:rPr>
          <w:spacing w:val="-1"/>
        </w:rPr>
        <w:t>press</w:t>
      </w:r>
      <w:r w:rsidRPr="0031675F">
        <w:t xml:space="preserve"> </w:t>
      </w:r>
      <w:r w:rsidRPr="0031675F">
        <w:rPr>
          <w:spacing w:val="5"/>
        </w:rPr>
        <w:t xml:space="preserve"> </w:t>
      </w:r>
      <w:r w:rsidRPr="0031675F">
        <w:rPr>
          <w:spacing w:val="-2"/>
        </w:rPr>
        <w:t>COND</w:t>
      </w:r>
      <w:r w:rsidRPr="0031675F">
        <w:t xml:space="preserve"> </w:t>
      </w:r>
      <w:r w:rsidRPr="0031675F">
        <w:rPr>
          <w:spacing w:val="11"/>
        </w:rPr>
        <w:t xml:space="preserve"> </w:t>
      </w:r>
      <w:r w:rsidRPr="0031675F">
        <w:rPr>
          <w:spacing w:val="-1"/>
        </w:rPr>
        <w:t>key.</w:t>
      </w:r>
      <w:r w:rsidRPr="0031675F">
        <w:t xml:space="preserve"> </w:t>
      </w:r>
      <w:r w:rsidRPr="0031675F">
        <w:rPr>
          <w:spacing w:val="5"/>
        </w:rPr>
        <w:t xml:space="preserve"> </w:t>
      </w:r>
      <w:r w:rsidRPr="0031675F">
        <w:rPr>
          <w:spacing w:val="-1"/>
        </w:rPr>
        <w:t>This</w:t>
      </w:r>
      <w:r w:rsidRPr="0031675F">
        <w:t xml:space="preserve"> </w:t>
      </w:r>
      <w:r w:rsidRPr="0031675F">
        <w:rPr>
          <w:spacing w:val="3"/>
        </w:rPr>
        <w:t xml:space="preserve"> </w:t>
      </w:r>
      <w:r w:rsidRPr="0031675F">
        <w:t>will</w:t>
      </w:r>
      <w:r w:rsidRPr="0031675F">
        <w:rPr>
          <w:spacing w:val="35"/>
        </w:rPr>
        <w:t xml:space="preserve"> </w:t>
      </w:r>
      <w:r w:rsidRPr="0031675F">
        <w:rPr>
          <w:spacing w:val="-1"/>
        </w:rPr>
        <w:t>terminate</w:t>
      </w:r>
      <w:r w:rsidRPr="0031675F">
        <w:t xml:space="preserve"> </w:t>
      </w:r>
      <w:r w:rsidRPr="0031675F">
        <w:rPr>
          <w:spacing w:val="-2"/>
        </w:rPr>
        <w:t>STD</w:t>
      </w:r>
      <w:r w:rsidRPr="0031675F">
        <w:rPr>
          <w:spacing w:val="-1"/>
        </w:rPr>
        <w:t xml:space="preserve"> operation</w:t>
      </w:r>
      <w:r w:rsidRPr="0031675F">
        <w:rPr>
          <w:spacing w:val="-3"/>
        </w:rPr>
        <w:t xml:space="preserve"> </w:t>
      </w:r>
      <w:r w:rsidRPr="0031675F">
        <w:rPr>
          <w:spacing w:val="-2"/>
        </w:rPr>
        <w:t>and</w:t>
      </w:r>
      <w:r w:rsidRPr="0031675F">
        <w:rPr>
          <w:spacing w:val="-1"/>
        </w:rPr>
        <w:t xml:space="preserve"> display</w:t>
      </w:r>
      <w:r w:rsidRPr="0031675F">
        <w:t xml:space="preserve"> the</w:t>
      </w:r>
      <w:r w:rsidRPr="0031675F">
        <w:rPr>
          <w:spacing w:val="-2"/>
        </w:rPr>
        <w:t xml:space="preserve"> </w:t>
      </w:r>
      <w:r w:rsidRPr="0031675F">
        <w:rPr>
          <w:spacing w:val="-1"/>
        </w:rPr>
        <w:t>conductivity</w:t>
      </w:r>
      <w:r w:rsidRPr="0031675F">
        <w:rPr>
          <w:spacing w:val="-2"/>
        </w:rPr>
        <w:t xml:space="preserve"> </w:t>
      </w:r>
      <w:r w:rsidRPr="0031675F">
        <w:t xml:space="preserve">ratio </w:t>
      </w:r>
      <w:r w:rsidRPr="0031675F">
        <w:rPr>
          <w:spacing w:val="-1"/>
        </w:rPr>
        <w:t>using</w:t>
      </w:r>
      <w:r w:rsidRPr="0031675F">
        <w:t xml:space="preserve"> the </w:t>
      </w:r>
      <w:r w:rsidRPr="0031675F">
        <w:rPr>
          <w:spacing w:val="-1"/>
        </w:rPr>
        <w:t>new</w:t>
      </w:r>
      <w:r w:rsidRPr="0031675F">
        <w:rPr>
          <w:spacing w:val="1"/>
        </w:rPr>
        <w:t xml:space="preserve"> </w:t>
      </w:r>
      <w:r w:rsidRPr="0031675F">
        <w:rPr>
          <w:spacing w:val="-1"/>
        </w:rPr>
        <w:t>calibration values.</w:t>
      </w:r>
    </w:p>
    <w:p w14:paraId="3E6276D6" w14:textId="338405CF" w:rsidR="0031675F" w:rsidRPr="0031675F" w:rsidRDefault="0031675F" w:rsidP="0031675F">
      <w:pPr>
        <w:ind w:left="118"/>
        <w:rPr>
          <w:rFonts w:cs="Calibri"/>
        </w:rPr>
      </w:pPr>
      <w:r w:rsidRPr="0031675F">
        <w:rPr>
          <w:i/>
          <w:spacing w:val="-1"/>
        </w:rPr>
        <w:t xml:space="preserve">Note: </w:t>
      </w:r>
      <w:r w:rsidRPr="0031675F">
        <w:rPr>
          <w:rFonts w:cs="Calibri"/>
          <w:i/>
          <w:spacing w:val="-1"/>
        </w:rPr>
        <w:t>Because</w:t>
      </w:r>
      <w:r w:rsidRPr="0031675F">
        <w:rPr>
          <w:rFonts w:cs="Calibri"/>
          <w:i/>
          <w:spacing w:val="29"/>
        </w:rPr>
        <w:t xml:space="preserve"> </w:t>
      </w:r>
      <w:r w:rsidRPr="0031675F">
        <w:rPr>
          <w:rFonts w:cs="Calibri"/>
          <w:i/>
        </w:rPr>
        <w:t>a</w:t>
      </w:r>
      <w:r w:rsidRPr="0031675F">
        <w:rPr>
          <w:rFonts w:cs="Calibri"/>
          <w:i/>
          <w:spacing w:val="28"/>
        </w:rPr>
        <w:t xml:space="preserve"> </w:t>
      </w:r>
      <w:r w:rsidRPr="0031675F">
        <w:rPr>
          <w:rFonts w:cs="Calibri"/>
          <w:i/>
          <w:spacing w:val="-1"/>
        </w:rPr>
        <w:t>digital</w:t>
      </w:r>
      <w:r w:rsidRPr="0031675F">
        <w:rPr>
          <w:rFonts w:cs="Calibri"/>
          <w:i/>
          <w:spacing w:val="28"/>
        </w:rPr>
        <w:t xml:space="preserve"> </w:t>
      </w:r>
      <w:r w:rsidRPr="0031675F">
        <w:rPr>
          <w:rFonts w:cs="Calibri"/>
          <w:i/>
          <w:spacing w:val="-1"/>
        </w:rPr>
        <w:t>filter</w:t>
      </w:r>
      <w:r w:rsidRPr="0031675F">
        <w:rPr>
          <w:rFonts w:cs="Calibri"/>
          <w:i/>
          <w:spacing w:val="30"/>
        </w:rPr>
        <w:t xml:space="preserve"> </w:t>
      </w:r>
      <w:r w:rsidRPr="0031675F">
        <w:rPr>
          <w:rFonts w:cs="Calibri"/>
          <w:i/>
        </w:rPr>
        <w:t>is</w:t>
      </w:r>
      <w:r w:rsidRPr="0031675F">
        <w:rPr>
          <w:rFonts w:cs="Calibri"/>
          <w:i/>
          <w:spacing w:val="27"/>
        </w:rPr>
        <w:t xml:space="preserve"> </w:t>
      </w:r>
      <w:r w:rsidRPr="0031675F">
        <w:rPr>
          <w:rFonts w:cs="Calibri"/>
          <w:i/>
          <w:spacing w:val="-1"/>
        </w:rPr>
        <w:t>applied</w:t>
      </w:r>
      <w:r w:rsidRPr="0031675F">
        <w:rPr>
          <w:rFonts w:cs="Calibri"/>
          <w:i/>
          <w:spacing w:val="28"/>
        </w:rPr>
        <w:t xml:space="preserve"> </w:t>
      </w:r>
      <w:r w:rsidRPr="0031675F">
        <w:rPr>
          <w:rFonts w:cs="Calibri"/>
          <w:i/>
        </w:rPr>
        <w:t>to</w:t>
      </w:r>
      <w:r w:rsidRPr="0031675F">
        <w:rPr>
          <w:rFonts w:cs="Calibri"/>
          <w:i/>
          <w:spacing w:val="29"/>
        </w:rPr>
        <w:t xml:space="preserve"> </w:t>
      </w:r>
      <w:r w:rsidRPr="0031675F">
        <w:rPr>
          <w:rFonts w:cs="Calibri"/>
          <w:i/>
        </w:rPr>
        <w:t>the</w:t>
      </w:r>
      <w:r w:rsidRPr="0031675F">
        <w:rPr>
          <w:rFonts w:cs="Calibri"/>
          <w:i/>
          <w:spacing w:val="28"/>
        </w:rPr>
        <w:t xml:space="preserve"> </w:t>
      </w:r>
      <w:r w:rsidRPr="0031675F">
        <w:rPr>
          <w:rFonts w:cs="Calibri"/>
          <w:i/>
          <w:spacing w:val="-1"/>
        </w:rPr>
        <w:t>measurement</w:t>
      </w:r>
      <w:r w:rsidRPr="0031675F">
        <w:rPr>
          <w:rFonts w:cs="Calibri"/>
          <w:i/>
          <w:spacing w:val="30"/>
        </w:rPr>
        <w:t xml:space="preserve"> </w:t>
      </w:r>
      <w:r w:rsidRPr="0031675F">
        <w:rPr>
          <w:rFonts w:cs="Calibri"/>
          <w:i/>
          <w:spacing w:val="-1"/>
        </w:rPr>
        <w:t>data</w:t>
      </w:r>
      <w:r w:rsidRPr="0031675F">
        <w:rPr>
          <w:rFonts w:cs="Calibri"/>
          <w:i/>
          <w:spacing w:val="29"/>
        </w:rPr>
        <w:t xml:space="preserve"> </w:t>
      </w:r>
      <w:r w:rsidRPr="0031675F">
        <w:rPr>
          <w:rFonts w:cs="Calibri"/>
          <w:i/>
          <w:spacing w:val="-1"/>
        </w:rPr>
        <w:t>during</w:t>
      </w:r>
      <w:r w:rsidRPr="0031675F">
        <w:rPr>
          <w:rFonts w:cs="Calibri"/>
          <w:i/>
          <w:spacing w:val="30"/>
        </w:rPr>
        <w:t xml:space="preserve"> </w:t>
      </w:r>
      <w:r w:rsidRPr="0031675F">
        <w:rPr>
          <w:rFonts w:cs="Calibri"/>
          <w:i/>
          <w:spacing w:val="-1"/>
        </w:rPr>
        <w:t>standardization,</w:t>
      </w:r>
      <w:r w:rsidRPr="0031675F">
        <w:rPr>
          <w:rFonts w:cs="Calibri"/>
          <w:i/>
          <w:spacing w:val="29"/>
        </w:rPr>
        <w:t xml:space="preserve"> </w:t>
      </w:r>
      <w:r w:rsidRPr="0031675F">
        <w:rPr>
          <w:rFonts w:cs="Calibri"/>
          <w:i/>
          <w:spacing w:val="-1"/>
        </w:rPr>
        <w:t>any</w:t>
      </w:r>
      <w:r w:rsidRPr="0031675F">
        <w:rPr>
          <w:rFonts w:cs="Calibri"/>
          <w:i/>
          <w:spacing w:val="29"/>
        </w:rPr>
        <w:t xml:space="preserve"> </w:t>
      </w:r>
      <w:r w:rsidRPr="0031675F">
        <w:rPr>
          <w:rFonts w:cs="Calibri"/>
          <w:i/>
          <w:spacing w:val="-1"/>
        </w:rPr>
        <w:t>significant</w:t>
      </w:r>
      <w:r w:rsidRPr="0031675F">
        <w:rPr>
          <w:rFonts w:cs="Calibri"/>
          <w:i/>
          <w:spacing w:val="61"/>
        </w:rPr>
        <w:t xml:space="preserve"> </w:t>
      </w:r>
      <w:r w:rsidRPr="0031675F">
        <w:rPr>
          <w:rFonts w:cs="Calibri"/>
          <w:i/>
          <w:spacing w:val="-1"/>
        </w:rPr>
        <w:t>change</w:t>
      </w:r>
      <w:r w:rsidRPr="0031675F">
        <w:rPr>
          <w:rFonts w:cs="Calibri"/>
          <w:i/>
          <w:spacing w:val="22"/>
        </w:rPr>
        <w:t xml:space="preserve"> </w:t>
      </w:r>
      <w:r w:rsidRPr="0031675F">
        <w:rPr>
          <w:rFonts w:cs="Calibri"/>
          <w:i/>
        </w:rPr>
        <w:t>in</w:t>
      </w:r>
      <w:r w:rsidRPr="0031675F">
        <w:rPr>
          <w:rFonts w:cs="Calibri"/>
          <w:i/>
          <w:spacing w:val="20"/>
        </w:rPr>
        <w:t xml:space="preserve"> </w:t>
      </w:r>
      <w:r w:rsidRPr="0031675F">
        <w:rPr>
          <w:rFonts w:cs="Calibri"/>
          <w:i/>
          <w:spacing w:val="-1"/>
        </w:rPr>
        <w:t>STANDARD</w:t>
      </w:r>
      <w:r w:rsidRPr="0031675F">
        <w:rPr>
          <w:rFonts w:cs="Calibri"/>
          <w:i/>
          <w:spacing w:val="19"/>
        </w:rPr>
        <w:t xml:space="preserve"> </w:t>
      </w:r>
      <w:r w:rsidRPr="0031675F">
        <w:rPr>
          <w:rFonts w:cs="Calibri"/>
          <w:i/>
          <w:spacing w:val="-1"/>
        </w:rPr>
        <w:t>number</w:t>
      </w:r>
      <w:r w:rsidRPr="0031675F">
        <w:rPr>
          <w:rFonts w:cs="Calibri"/>
          <w:i/>
          <w:spacing w:val="20"/>
        </w:rPr>
        <w:t xml:space="preserve"> </w:t>
      </w:r>
      <w:r w:rsidRPr="0031675F">
        <w:rPr>
          <w:rFonts w:cs="Calibri"/>
          <w:i/>
        </w:rPr>
        <w:t>will</w:t>
      </w:r>
      <w:r w:rsidRPr="0031675F">
        <w:rPr>
          <w:rFonts w:cs="Calibri"/>
          <w:i/>
          <w:spacing w:val="21"/>
        </w:rPr>
        <w:t xml:space="preserve"> </w:t>
      </w:r>
      <w:r w:rsidRPr="0031675F">
        <w:rPr>
          <w:rFonts w:cs="Calibri"/>
          <w:i/>
          <w:spacing w:val="-1"/>
        </w:rPr>
        <w:t>cause</w:t>
      </w:r>
      <w:r w:rsidRPr="0031675F">
        <w:rPr>
          <w:rFonts w:cs="Calibri"/>
          <w:i/>
          <w:spacing w:val="22"/>
        </w:rPr>
        <w:t xml:space="preserve"> </w:t>
      </w:r>
      <w:r w:rsidRPr="0031675F">
        <w:rPr>
          <w:rFonts w:cs="Calibri"/>
          <w:i/>
        </w:rPr>
        <w:t>the</w:t>
      </w:r>
      <w:r w:rsidRPr="0031675F">
        <w:rPr>
          <w:rFonts w:cs="Calibri"/>
          <w:i/>
          <w:spacing w:val="21"/>
        </w:rPr>
        <w:t xml:space="preserve"> </w:t>
      </w:r>
      <w:r w:rsidRPr="0031675F">
        <w:rPr>
          <w:rFonts w:cs="Calibri"/>
          <w:i/>
          <w:spacing w:val="-2"/>
        </w:rPr>
        <w:t>new</w:t>
      </w:r>
      <w:r w:rsidRPr="0031675F">
        <w:rPr>
          <w:rFonts w:cs="Calibri"/>
          <w:i/>
          <w:spacing w:val="22"/>
        </w:rPr>
        <w:t xml:space="preserve"> </w:t>
      </w:r>
      <w:r w:rsidRPr="0031675F">
        <w:rPr>
          <w:rFonts w:cs="Calibri"/>
          <w:i/>
          <w:spacing w:val="-1"/>
        </w:rPr>
        <w:t>standardization</w:t>
      </w:r>
      <w:r w:rsidRPr="0031675F">
        <w:rPr>
          <w:rFonts w:cs="Calibri"/>
          <w:i/>
          <w:spacing w:val="20"/>
        </w:rPr>
        <w:t xml:space="preserve"> </w:t>
      </w:r>
      <w:r w:rsidRPr="0031675F">
        <w:rPr>
          <w:rFonts w:cs="Calibri"/>
          <w:i/>
        </w:rPr>
        <w:t>to</w:t>
      </w:r>
      <w:r w:rsidRPr="0031675F">
        <w:rPr>
          <w:rFonts w:cs="Calibri"/>
          <w:i/>
          <w:spacing w:val="22"/>
        </w:rPr>
        <w:t xml:space="preserve"> </w:t>
      </w:r>
      <w:r w:rsidRPr="0031675F">
        <w:rPr>
          <w:rFonts w:cs="Calibri"/>
          <w:i/>
          <w:spacing w:val="-1"/>
        </w:rPr>
        <w:t>approach</w:t>
      </w:r>
      <w:r w:rsidRPr="0031675F">
        <w:rPr>
          <w:rFonts w:cs="Calibri"/>
          <w:i/>
          <w:spacing w:val="20"/>
        </w:rPr>
        <w:t xml:space="preserve"> </w:t>
      </w:r>
      <w:r w:rsidRPr="0031675F">
        <w:rPr>
          <w:rFonts w:cs="Calibri"/>
          <w:i/>
          <w:spacing w:val="-1"/>
        </w:rPr>
        <w:t>its</w:t>
      </w:r>
      <w:r w:rsidRPr="0031675F">
        <w:rPr>
          <w:rFonts w:cs="Calibri"/>
          <w:i/>
          <w:spacing w:val="22"/>
        </w:rPr>
        <w:t xml:space="preserve"> </w:t>
      </w:r>
      <w:r w:rsidRPr="0031675F">
        <w:rPr>
          <w:rFonts w:cs="Calibri"/>
          <w:i/>
          <w:spacing w:val="-1"/>
        </w:rPr>
        <w:t>final</w:t>
      </w:r>
      <w:r w:rsidRPr="0031675F">
        <w:rPr>
          <w:rFonts w:cs="Calibri"/>
          <w:i/>
          <w:spacing w:val="21"/>
        </w:rPr>
        <w:t xml:space="preserve"> </w:t>
      </w:r>
      <w:r w:rsidRPr="0031675F">
        <w:rPr>
          <w:rFonts w:cs="Calibri"/>
          <w:i/>
          <w:spacing w:val="-1"/>
        </w:rPr>
        <w:t>value</w:t>
      </w:r>
      <w:r w:rsidRPr="0031675F">
        <w:rPr>
          <w:rFonts w:cs="Calibri"/>
          <w:i/>
          <w:spacing w:val="19"/>
        </w:rPr>
        <w:t xml:space="preserve"> </w:t>
      </w:r>
      <w:r w:rsidRPr="0031675F">
        <w:rPr>
          <w:rFonts w:cs="Calibri"/>
          <w:i/>
          <w:spacing w:val="-1"/>
        </w:rPr>
        <w:t>over</w:t>
      </w:r>
      <w:r w:rsidRPr="0031675F">
        <w:rPr>
          <w:rFonts w:cs="Calibri"/>
          <w:i/>
          <w:spacing w:val="20"/>
        </w:rPr>
        <w:t xml:space="preserve"> </w:t>
      </w:r>
      <w:r w:rsidRPr="0031675F">
        <w:rPr>
          <w:rFonts w:cs="Calibri"/>
          <w:i/>
        </w:rPr>
        <w:t>a</w:t>
      </w:r>
      <w:r w:rsidRPr="0031675F">
        <w:rPr>
          <w:rFonts w:cs="Calibri"/>
          <w:i/>
          <w:spacing w:val="29"/>
        </w:rPr>
        <w:t xml:space="preserve"> </w:t>
      </w:r>
      <w:r w:rsidRPr="0031675F">
        <w:rPr>
          <w:rFonts w:cs="Calibri"/>
          <w:i/>
          <w:spacing w:val="-1"/>
        </w:rPr>
        <w:t>period</w:t>
      </w:r>
      <w:r w:rsidRPr="0031675F">
        <w:rPr>
          <w:rFonts w:cs="Calibri"/>
          <w:i/>
          <w:spacing w:val="2"/>
        </w:rPr>
        <w:t xml:space="preserve"> </w:t>
      </w:r>
      <w:r w:rsidRPr="0031675F">
        <w:rPr>
          <w:rFonts w:cs="Calibri"/>
          <w:i/>
          <w:spacing w:val="-1"/>
        </w:rPr>
        <w:t>of</w:t>
      </w:r>
      <w:r w:rsidRPr="0031675F">
        <w:rPr>
          <w:rFonts w:cs="Calibri"/>
          <w:i/>
          <w:spacing w:val="2"/>
        </w:rPr>
        <w:t xml:space="preserve"> </w:t>
      </w:r>
      <w:r w:rsidRPr="0031675F">
        <w:rPr>
          <w:rFonts w:cs="Calibri"/>
          <w:i/>
          <w:spacing w:val="-1"/>
        </w:rPr>
        <w:t>several</w:t>
      </w:r>
      <w:r w:rsidRPr="0031675F">
        <w:rPr>
          <w:rFonts w:cs="Calibri"/>
          <w:i/>
          <w:spacing w:val="3"/>
        </w:rPr>
        <w:t xml:space="preserve"> </w:t>
      </w:r>
      <w:r w:rsidRPr="0031675F">
        <w:rPr>
          <w:rFonts w:cs="Calibri"/>
          <w:i/>
          <w:spacing w:val="-1"/>
        </w:rPr>
        <w:t>minutes.</w:t>
      </w:r>
      <w:r w:rsidRPr="0031675F">
        <w:rPr>
          <w:rFonts w:cs="Calibri"/>
          <w:i/>
        </w:rPr>
        <w:t xml:space="preserve"> </w:t>
      </w:r>
      <w:r w:rsidRPr="0031675F">
        <w:rPr>
          <w:rFonts w:cs="Calibri"/>
          <w:i/>
          <w:spacing w:val="-1"/>
        </w:rPr>
        <w:t>This</w:t>
      </w:r>
      <w:r w:rsidRPr="0031675F">
        <w:rPr>
          <w:rFonts w:cs="Calibri"/>
          <w:i/>
          <w:spacing w:val="3"/>
        </w:rPr>
        <w:t xml:space="preserve"> </w:t>
      </w:r>
      <w:r w:rsidRPr="0031675F">
        <w:rPr>
          <w:rFonts w:cs="Calibri"/>
          <w:i/>
          <w:spacing w:val="-1"/>
        </w:rPr>
        <w:t>apparent</w:t>
      </w:r>
      <w:r w:rsidRPr="0031675F">
        <w:rPr>
          <w:rFonts w:cs="Calibri"/>
          <w:i/>
          <w:spacing w:val="2"/>
        </w:rPr>
        <w:t xml:space="preserve"> </w:t>
      </w:r>
      <w:r w:rsidRPr="0031675F">
        <w:rPr>
          <w:rFonts w:cs="Calibri"/>
          <w:i/>
          <w:spacing w:val="-1"/>
        </w:rPr>
        <w:t>drift</w:t>
      </w:r>
      <w:r w:rsidRPr="0031675F">
        <w:rPr>
          <w:rFonts w:cs="Calibri"/>
          <w:i/>
          <w:spacing w:val="2"/>
        </w:rPr>
        <w:t xml:space="preserve"> </w:t>
      </w:r>
      <w:r w:rsidRPr="0031675F">
        <w:rPr>
          <w:rFonts w:cs="Calibri"/>
          <w:i/>
        </w:rPr>
        <w:t>in</w:t>
      </w:r>
      <w:r w:rsidRPr="0031675F">
        <w:rPr>
          <w:rFonts w:cs="Calibri"/>
          <w:i/>
          <w:spacing w:val="1"/>
        </w:rPr>
        <w:t xml:space="preserve"> </w:t>
      </w:r>
      <w:r w:rsidRPr="0031675F">
        <w:rPr>
          <w:rFonts w:cs="Calibri"/>
          <w:i/>
          <w:spacing w:val="-1"/>
        </w:rPr>
        <w:t>standardization</w:t>
      </w:r>
      <w:r w:rsidRPr="0031675F">
        <w:rPr>
          <w:rFonts w:cs="Calibri"/>
          <w:i/>
          <w:spacing w:val="1"/>
        </w:rPr>
        <w:t xml:space="preserve"> </w:t>
      </w:r>
      <w:r w:rsidRPr="0031675F">
        <w:rPr>
          <w:rFonts w:cs="Calibri"/>
          <w:i/>
        </w:rPr>
        <w:t>will</w:t>
      </w:r>
      <w:r w:rsidRPr="0031675F">
        <w:rPr>
          <w:rFonts w:cs="Calibri"/>
          <w:i/>
          <w:spacing w:val="2"/>
        </w:rPr>
        <w:t xml:space="preserve"> </w:t>
      </w:r>
      <w:r w:rsidRPr="0031675F">
        <w:rPr>
          <w:rFonts w:cs="Calibri"/>
          <w:i/>
          <w:spacing w:val="-1"/>
        </w:rPr>
        <w:t>be</w:t>
      </w:r>
      <w:r w:rsidRPr="0031675F">
        <w:rPr>
          <w:rFonts w:cs="Calibri"/>
          <w:i/>
          <w:spacing w:val="2"/>
        </w:rPr>
        <w:t xml:space="preserve"> </w:t>
      </w:r>
      <w:r w:rsidRPr="0031675F">
        <w:rPr>
          <w:rFonts w:cs="Calibri"/>
          <w:i/>
          <w:spacing w:val="-1"/>
        </w:rPr>
        <w:t>minimized</w:t>
      </w:r>
      <w:r w:rsidRPr="0031675F">
        <w:rPr>
          <w:rFonts w:cs="Calibri"/>
          <w:i/>
          <w:spacing w:val="2"/>
        </w:rPr>
        <w:t xml:space="preserve"> </w:t>
      </w:r>
      <w:r w:rsidRPr="0031675F">
        <w:rPr>
          <w:rFonts w:cs="Calibri"/>
          <w:i/>
          <w:spacing w:val="-1"/>
        </w:rPr>
        <w:t>by</w:t>
      </w:r>
      <w:r w:rsidRPr="0031675F">
        <w:rPr>
          <w:rFonts w:cs="Calibri"/>
          <w:i/>
          <w:spacing w:val="2"/>
        </w:rPr>
        <w:t xml:space="preserve"> </w:t>
      </w:r>
      <w:r w:rsidRPr="0031675F">
        <w:rPr>
          <w:rFonts w:cs="Calibri"/>
          <w:i/>
          <w:spacing w:val="-1"/>
        </w:rPr>
        <w:t>strictly</w:t>
      </w:r>
      <w:r w:rsidRPr="0031675F">
        <w:rPr>
          <w:rFonts w:cs="Calibri"/>
          <w:i/>
          <w:spacing w:val="7"/>
        </w:rPr>
        <w:t xml:space="preserve"> </w:t>
      </w:r>
      <w:r w:rsidRPr="0031675F">
        <w:rPr>
          <w:rFonts w:cs="Calibri"/>
          <w:i/>
          <w:spacing w:val="-1"/>
        </w:rPr>
        <w:t>adhering</w:t>
      </w:r>
      <w:r w:rsidRPr="0031675F">
        <w:rPr>
          <w:rFonts w:cs="Calibri"/>
          <w:i/>
          <w:spacing w:val="81"/>
        </w:rPr>
        <w:t xml:space="preserve"> </w:t>
      </w:r>
      <w:r w:rsidRPr="0031675F">
        <w:rPr>
          <w:rFonts w:cs="Calibri"/>
          <w:i/>
        </w:rPr>
        <w:t>to</w:t>
      </w:r>
      <w:r w:rsidRPr="0031675F">
        <w:rPr>
          <w:rFonts w:cs="Calibri"/>
          <w:i/>
          <w:spacing w:val="26"/>
        </w:rPr>
        <w:t xml:space="preserve"> </w:t>
      </w:r>
      <w:r w:rsidRPr="0031675F">
        <w:rPr>
          <w:rFonts w:cs="Calibri"/>
          <w:i/>
        </w:rPr>
        <w:t>the</w:t>
      </w:r>
      <w:r w:rsidRPr="0031675F">
        <w:rPr>
          <w:rFonts w:cs="Calibri"/>
          <w:i/>
          <w:spacing w:val="27"/>
        </w:rPr>
        <w:t xml:space="preserve"> </w:t>
      </w:r>
      <w:r w:rsidRPr="0031675F">
        <w:rPr>
          <w:rFonts w:cs="Calibri"/>
          <w:i/>
          <w:spacing w:val="-1"/>
        </w:rPr>
        <w:t>above</w:t>
      </w:r>
      <w:r w:rsidRPr="0031675F">
        <w:rPr>
          <w:rFonts w:cs="Calibri"/>
          <w:i/>
          <w:spacing w:val="27"/>
        </w:rPr>
        <w:t xml:space="preserve"> </w:t>
      </w:r>
      <w:r w:rsidRPr="0031675F">
        <w:rPr>
          <w:rFonts w:cs="Calibri"/>
          <w:i/>
          <w:spacing w:val="-1"/>
        </w:rPr>
        <w:t>procedure.</w:t>
      </w:r>
      <w:r w:rsidRPr="0031675F">
        <w:rPr>
          <w:rFonts w:cs="Calibri"/>
          <w:i/>
          <w:spacing w:val="25"/>
        </w:rPr>
        <w:t xml:space="preserve"> </w:t>
      </w:r>
      <w:r w:rsidRPr="0031675F">
        <w:rPr>
          <w:rFonts w:cs="Calibri"/>
          <w:i/>
          <w:spacing w:val="-1"/>
        </w:rPr>
        <w:t>Depending</w:t>
      </w:r>
      <w:r w:rsidRPr="0031675F">
        <w:rPr>
          <w:rFonts w:cs="Calibri"/>
          <w:i/>
          <w:spacing w:val="26"/>
        </w:rPr>
        <w:t xml:space="preserve"> </w:t>
      </w:r>
      <w:r w:rsidRPr="0031675F">
        <w:rPr>
          <w:rFonts w:cs="Calibri"/>
          <w:i/>
          <w:spacing w:val="-1"/>
        </w:rPr>
        <w:t>on</w:t>
      </w:r>
      <w:r w:rsidRPr="0031675F">
        <w:rPr>
          <w:rFonts w:cs="Calibri"/>
          <w:i/>
          <w:spacing w:val="26"/>
        </w:rPr>
        <w:t xml:space="preserve"> </w:t>
      </w:r>
      <w:r w:rsidRPr="0031675F">
        <w:rPr>
          <w:rFonts w:cs="Calibri"/>
          <w:i/>
        </w:rPr>
        <w:t>the</w:t>
      </w:r>
      <w:r w:rsidRPr="0031675F">
        <w:rPr>
          <w:rFonts w:cs="Calibri"/>
          <w:i/>
          <w:spacing w:val="27"/>
        </w:rPr>
        <w:t xml:space="preserve"> </w:t>
      </w:r>
      <w:r w:rsidRPr="0031675F">
        <w:rPr>
          <w:rFonts w:cs="Calibri"/>
          <w:i/>
          <w:spacing w:val="-1"/>
        </w:rPr>
        <w:t>circumstances</w:t>
      </w:r>
      <w:r w:rsidRPr="0031675F">
        <w:rPr>
          <w:rFonts w:cs="Calibri"/>
          <w:i/>
          <w:spacing w:val="26"/>
        </w:rPr>
        <w:t xml:space="preserve"> </w:t>
      </w:r>
      <w:r w:rsidRPr="0031675F">
        <w:rPr>
          <w:rFonts w:cs="Calibri"/>
          <w:i/>
          <w:spacing w:val="-1"/>
        </w:rPr>
        <w:t>between</w:t>
      </w:r>
      <w:r w:rsidRPr="0031675F">
        <w:rPr>
          <w:rFonts w:cs="Calibri"/>
          <w:i/>
          <w:spacing w:val="29"/>
        </w:rPr>
        <w:t xml:space="preserve"> </w:t>
      </w:r>
      <w:r w:rsidRPr="0031675F">
        <w:rPr>
          <w:rFonts w:cs="Calibri"/>
          <w:i/>
          <w:spacing w:val="-1"/>
        </w:rPr>
        <w:t>standardizations,</w:t>
      </w:r>
      <w:r w:rsidRPr="0031675F">
        <w:rPr>
          <w:rFonts w:cs="Calibri"/>
          <w:i/>
          <w:spacing w:val="27"/>
        </w:rPr>
        <w:t xml:space="preserve"> </w:t>
      </w:r>
      <w:r w:rsidRPr="0031675F">
        <w:rPr>
          <w:rFonts w:cs="Calibri"/>
          <w:i/>
        </w:rPr>
        <w:t>the</w:t>
      </w:r>
      <w:r w:rsidRPr="0031675F">
        <w:rPr>
          <w:rFonts w:cs="Calibri"/>
          <w:i/>
          <w:spacing w:val="26"/>
        </w:rPr>
        <w:t xml:space="preserve"> </w:t>
      </w:r>
      <w:r w:rsidRPr="0031675F">
        <w:rPr>
          <w:rFonts w:cs="Calibri"/>
          <w:i/>
          <w:spacing w:val="-1"/>
        </w:rPr>
        <w:t>change</w:t>
      </w:r>
      <w:r w:rsidRPr="0031675F">
        <w:rPr>
          <w:rFonts w:cs="Calibri"/>
          <w:i/>
          <w:spacing w:val="27"/>
        </w:rPr>
        <w:t xml:space="preserve"> </w:t>
      </w:r>
      <w:r w:rsidRPr="0031675F">
        <w:rPr>
          <w:rFonts w:cs="Calibri"/>
          <w:i/>
        </w:rPr>
        <w:t>in</w:t>
      </w:r>
      <w:r w:rsidRPr="0031675F">
        <w:rPr>
          <w:rFonts w:cs="Calibri"/>
          <w:i/>
          <w:spacing w:val="57"/>
        </w:rPr>
        <w:t xml:space="preserve"> </w:t>
      </w:r>
      <w:r w:rsidRPr="0031675F">
        <w:rPr>
          <w:rFonts w:cs="Calibri"/>
          <w:i/>
          <w:spacing w:val="-1"/>
        </w:rPr>
        <w:t>STANDARD</w:t>
      </w:r>
      <w:r w:rsidRPr="0031675F">
        <w:rPr>
          <w:rFonts w:cs="Calibri"/>
          <w:i/>
          <w:spacing w:val="1"/>
        </w:rPr>
        <w:t xml:space="preserve"> </w:t>
      </w:r>
      <w:r w:rsidRPr="0031675F">
        <w:rPr>
          <w:rFonts w:cs="Calibri"/>
          <w:i/>
          <w:spacing w:val="-1"/>
        </w:rPr>
        <w:t>number</w:t>
      </w:r>
      <w:r w:rsidRPr="0031675F">
        <w:rPr>
          <w:rFonts w:cs="Calibri"/>
          <w:i/>
          <w:spacing w:val="-2"/>
        </w:rPr>
        <w:t xml:space="preserve"> </w:t>
      </w:r>
      <w:r w:rsidRPr="0031675F">
        <w:rPr>
          <w:rFonts w:cs="Calibri"/>
          <w:i/>
          <w:spacing w:val="-1"/>
        </w:rPr>
        <w:t>may</w:t>
      </w:r>
      <w:r w:rsidRPr="0031675F">
        <w:rPr>
          <w:rFonts w:cs="Calibri"/>
          <w:i/>
        </w:rPr>
        <w:t xml:space="preserve"> </w:t>
      </w:r>
      <w:r w:rsidRPr="0031675F">
        <w:rPr>
          <w:rFonts w:cs="Calibri"/>
          <w:i/>
          <w:spacing w:val="-1"/>
        </w:rPr>
        <w:t>be</w:t>
      </w:r>
      <w:r w:rsidRPr="0031675F">
        <w:rPr>
          <w:rFonts w:cs="Calibri"/>
          <w:i/>
          <w:spacing w:val="-3"/>
        </w:rPr>
        <w:t xml:space="preserve"> </w:t>
      </w:r>
      <w:r w:rsidRPr="0031675F">
        <w:rPr>
          <w:rFonts w:cs="Calibri"/>
          <w:i/>
          <w:spacing w:val="-1"/>
        </w:rPr>
        <w:t xml:space="preserve">up </w:t>
      </w:r>
      <w:r w:rsidRPr="0031675F">
        <w:rPr>
          <w:rFonts w:cs="Calibri"/>
          <w:i/>
        </w:rPr>
        <w:t xml:space="preserve">to </w:t>
      </w:r>
      <w:r w:rsidRPr="0031675F">
        <w:rPr>
          <w:rFonts w:cs="Calibri"/>
          <w:i/>
          <w:spacing w:val="-1"/>
        </w:rPr>
        <w:t>±0.000</w:t>
      </w:r>
      <w:r w:rsidRPr="0031675F">
        <w:rPr>
          <w:rFonts w:cs="Calibri"/>
          <w:i/>
          <w:spacing w:val="-2"/>
        </w:rPr>
        <w:t xml:space="preserve"> </w:t>
      </w:r>
      <w:r w:rsidRPr="0031675F">
        <w:rPr>
          <w:rFonts w:cs="Calibri"/>
          <w:i/>
        </w:rPr>
        <w:t>5</w:t>
      </w:r>
      <w:r w:rsidRPr="0031675F">
        <w:rPr>
          <w:rFonts w:cs="Calibri"/>
          <w:i/>
          <w:spacing w:val="1"/>
        </w:rPr>
        <w:t xml:space="preserve"> </w:t>
      </w:r>
      <w:r w:rsidRPr="0031675F">
        <w:rPr>
          <w:rFonts w:cs="Calibri"/>
          <w:i/>
          <w:spacing w:val="-1"/>
        </w:rPr>
        <w:t>typical</w:t>
      </w:r>
      <w:r w:rsidRPr="0031675F">
        <w:rPr>
          <w:rFonts w:cs="Calibri"/>
          <w:i/>
        </w:rPr>
        <w:t xml:space="preserve"> </w:t>
      </w:r>
      <w:r w:rsidRPr="0031675F">
        <w:rPr>
          <w:rFonts w:cs="Calibri"/>
          <w:i/>
          <w:spacing w:val="-1"/>
        </w:rPr>
        <w:t>(Guildlin</w:t>
      </w:r>
      <w:r w:rsidR="00506BD3">
        <w:rPr>
          <w:rFonts w:cs="Calibri"/>
          <w:i/>
          <w:spacing w:val="-1"/>
        </w:rPr>
        <w:t>e</w:t>
      </w:r>
      <w:r w:rsidRPr="0031675F">
        <w:rPr>
          <w:rFonts w:cs="Calibri"/>
          <w:i/>
          <w:spacing w:val="-1"/>
        </w:rPr>
        <w:t>).</w:t>
      </w:r>
    </w:p>
    <w:p w14:paraId="0732C72F" w14:textId="77777777" w:rsidR="0031675F" w:rsidRPr="0031675F" w:rsidRDefault="0031675F" w:rsidP="0031675F">
      <w:pPr>
        <w:widowControl w:val="0"/>
        <w:numPr>
          <w:ilvl w:val="0"/>
          <w:numId w:val="131"/>
        </w:numPr>
        <w:tabs>
          <w:tab w:val="left" w:pos="547"/>
        </w:tabs>
        <w:spacing w:before="0" w:after="0" w:line="240" w:lineRule="auto"/>
        <w:ind w:right="109"/>
        <w:jc w:val="both"/>
      </w:pPr>
      <w:r w:rsidRPr="0031675F">
        <w:t>If</w:t>
      </w:r>
      <w:r w:rsidRPr="0031675F">
        <w:rPr>
          <w:spacing w:val="14"/>
        </w:rPr>
        <w:t xml:space="preserve"> </w:t>
      </w:r>
      <w:r w:rsidRPr="0031675F">
        <w:rPr>
          <w:spacing w:val="-1"/>
        </w:rPr>
        <w:t>another</w:t>
      </w:r>
      <w:r w:rsidRPr="0031675F">
        <w:rPr>
          <w:spacing w:val="14"/>
        </w:rPr>
        <w:t xml:space="preserve"> </w:t>
      </w:r>
      <w:r w:rsidRPr="0031675F">
        <w:rPr>
          <w:spacing w:val="-1"/>
        </w:rPr>
        <w:t>sample</w:t>
      </w:r>
      <w:r w:rsidRPr="0031675F">
        <w:rPr>
          <w:spacing w:val="13"/>
        </w:rPr>
        <w:t xml:space="preserve"> </w:t>
      </w:r>
      <w:r w:rsidRPr="0031675F">
        <w:t>will</w:t>
      </w:r>
      <w:r w:rsidRPr="0031675F">
        <w:rPr>
          <w:spacing w:val="11"/>
        </w:rPr>
        <w:t xml:space="preserve"> </w:t>
      </w:r>
      <w:r w:rsidRPr="0031675F">
        <w:t>not</w:t>
      </w:r>
      <w:r w:rsidRPr="0031675F">
        <w:rPr>
          <w:spacing w:val="10"/>
        </w:rPr>
        <w:t xml:space="preserve"> </w:t>
      </w:r>
      <w:r w:rsidRPr="0031675F">
        <w:rPr>
          <w:spacing w:val="-1"/>
        </w:rPr>
        <w:t>be</w:t>
      </w:r>
      <w:r w:rsidRPr="0031675F">
        <w:rPr>
          <w:spacing w:val="15"/>
        </w:rPr>
        <w:t xml:space="preserve"> </w:t>
      </w:r>
      <w:r w:rsidRPr="0031675F">
        <w:rPr>
          <w:spacing w:val="-1"/>
        </w:rPr>
        <w:t>measured</w:t>
      </w:r>
      <w:r w:rsidRPr="0031675F">
        <w:rPr>
          <w:spacing w:val="10"/>
        </w:rPr>
        <w:t xml:space="preserve"> </w:t>
      </w:r>
      <w:r w:rsidRPr="0031675F">
        <w:rPr>
          <w:spacing w:val="-1"/>
        </w:rPr>
        <w:t>immediately</w:t>
      </w:r>
      <w:r w:rsidRPr="0031675F">
        <w:rPr>
          <w:spacing w:val="13"/>
        </w:rPr>
        <w:t xml:space="preserve"> </w:t>
      </w:r>
      <w:r w:rsidRPr="0031675F">
        <w:t>leave</w:t>
      </w:r>
      <w:r w:rsidRPr="0031675F">
        <w:rPr>
          <w:spacing w:val="12"/>
        </w:rPr>
        <w:t xml:space="preserve"> </w:t>
      </w:r>
      <w:r w:rsidRPr="0031675F">
        <w:t>the</w:t>
      </w:r>
      <w:r w:rsidRPr="0031675F">
        <w:rPr>
          <w:spacing w:val="10"/>
        </w:rPr>
        <w:t xml:space="preserve"> </w:t>
      </w:r>
      <w:r w:rsidRPr="0031675F">
        <w:t>vial</w:t>
      </w:r>
      <w:r w:rsidRPr="0031675F">
        <w:rPr>
          <w:spacing w:val="13"/>
        </w:rPr>
        <w:t xml:space="preserve"> </w:t>
      </w:r>
      <w:r w:rsidRPr="0031675F">
        <w:t>in</w:t>
      </w:r>
      <w:r w:rsidRPr="0031675F">
        <w:rPr>
          <w:spacing w:val="11"/>
        </w:rPr>
        <w:t xml:space="preserve"> </w:t>
      </w:r>
      <w:r w:rsidRPr="0031675F">
        <w:t>the</w:t>
      </w:r>
      <w:r w:rsidRPr="0031675F">
        <w:rPr>
          <w:spacing w:val="14"/>
        </w:rPr>
        <w:t xml:space="preserve"> </w:t>
      </w:r>
      <w:r w:rsidRPr="0031675F">
        <w:rPr>
          <w:spacing w:val="-2"/>
        </w:rPr>
        <w:t>sample</w:t>
      </w:r>
      <w:r w:rsidRPr="0031675F">
        <w:rPr>
          <w:spacing w:val="20"/>
        </w:rPr>
        <w:t xml:space="preserve"> </w:t>
      </w:r>
      <w:r w:rsidRPr="0031675F">
        <w:rPr>
          <w:spacing w:val="-1"/>
        </w:rPr>
        <w:t>bottle</w:t>
      </w:r>
      <w:r w:rsidRPr="0031675F">
        <w:rPr>
          <w:spacing w:val="12"/>
        </w:rPr>
        <w:t xml:space="preserve"> </w:t>
      </w:r>
      <w:r w:rsidRPr="0031675F">
        <w:rPr>
          <w:spacing w:val="-1"/>
        </w:rPr>
        <w:t>holder,</w:t>
      </w:r>
      <w:r w:rsidRPr="0031675F">
        <w:rPr>
          <w:spacing w:val="53"/>
        </w:rPr>
        <w:t xml:space="preserve"> </w:t>
      </w:r>
      <w:r w:rsidRPr="0031675F">
        <w:rPr>
          <w:spacing w:val="-1"/>
        </w:rPr>
        <w:t>set</w:t>
      </w:r>
      <w:r w:rsidRPr="0031675F">
        <w:rPr>
          <w:spacing w:val="7"/>
        </w:rPr>
        <w:t xml:space="preserve"> </w:t>
      </w:r>
      <w:r w:rsidRPr="0031675F">
        <w:rPr>
          <w:spacing w:val="-1"/>
        </w:rPr>
        <w:t>FUNCTION</w:t>
      </w:r>
      <w:r w:rsidRPr="0031675F">
        <w:rPr>
          <w:spacing w:val="5"/>
        </w:rPr>
        <w:t xml:space="preserve"> </w:t>
      </w:r>
      <w:r w:rsidRPr="0031675F">
        <w:rPr>
          <w:spacing w:val="-1"/>
        </w:rPr>
        <w:t>switch</w:t>
      </w:r>
      <w:r w:rsidRPr="0031675F">
        <w:rPr>
          <w:spacing w:val="5"/>
        </w:rPr>
        <w:t xml:space="preserve"> </w:t>
      </w:r>
      <w:r w:rsidRPr="0031675F">
        <w:rPr>
          <w:spacing w:val="-1"/>
        </w:rPr>
        <w:t>to</w:t>
      </w:r>
      <w:r w:rsidRPr="0031675F">
        <w:rPr>
          <w:spacing w:val="5"/>
        </w:rPr>
        <w:t xml:space="preserve"> </w:t>
      </w:r>
      <w:r w:rsidRPr="0031675F">
        <w:rPr>
          <w:spacing w:val="-1"/>
        </w:rPr>
        <w:t>STDBY</w:t>
      </w:r>
      <w:r w:rsidRPr="0031675F">
        <w:rPr>
          <w:spacing w:val="6"/>
        </w:rPr>
        <w:t xml:space="preserve"> </w:t>
      </w:r>
      <w:r w:rsidRPr="0031675F">
        <w:rPr>
          <w:spacing w:val="-1"/>
        </w:rPr>
        <w:t>and</w:t>
      </w:r>
      <w:r w:rsidRPr="0031675F">
        <w:rPr>
          <w:spacing w:val="5"/>
        </w:rPr>
        <w:t xml:space="preserve"> </w:t>
      </w:r>
      <w:r w:rsidRPr="0031675F">
        <w:t>turn</w:t>
      </w:r>
      <w:r w:rsidRPr="0031675F">
        <w:rPr>
          <w:spacing w:val="4"/>
        </w:rPr>
        <w:t xml:space="preserve"> </w:t>
      </w:r>
      <w:r w:rsidRPr="0031675F">
        <w:rPr>
          <w:spacing w:val="-1"/>
        </w:rPr>
        <w:t>off</w:t>
      </w:r>
      <w:r w:rsidRPr="0031675F">
        <w:rPr>
          <w:spacing w:val="5"/>
        </w:rPr>
        <w:t xml:space="preserve"> </w:t>
      </w:r>
      <w:r w:rsidRPr="0031675F">
        <w:t>the</w:t>
      </w:r>
      <w:r w:rsidRPr="0031675F">
        <w:rPr>
          <w:spacing w:val="6"/>
        </w:rPr>
        <w:t xml:space="preserve"> </w:t>
      </w:r>
      <w:r w:rsidRPr="0031675F">
        <w:rPr>
          <w:spacing w:val="-1"/>
        </w:rPr>
        <w:t>flow</w:t>
      </w:r>
      <w:r w:rsidRPr="0031675F">
        <w:rPr>
          <w:spacing w:val="6"/>
        </w:rPr>
        <w:t xml:space="preserve"> </w:t>
      </w:r>
      <w:r w:rsidRPr="0031675F">
        <w:rPr>
          <w:spacing w:val="-1"/>
        </w:rPr>
        <w:t>rate.</w:t>
      </w:r>
      <w:r w:rsidRPr="0031675F">
        <w:rPr>
          <w:spacing w:val="5"/>
        </w:rPr>
        <w:t xml:space="preserve"> </w:t>
      </w:r>
      <w:r w:rsidRPr="0031675F">
        <w:t>If</w:t>
      </w:r>
      <w:r w:rsidRPr="0031675F">
        <w:rPr>
          <w:spacing w:val="7"/>
        </w:rPr>
        <w:t xml:space="preserve"> </w:t>
      </w:r>
      <w:r w:rsidRPr="0031675F">
        <w:rPr>
          <w:spacing w:val="-1"/>
        </w:rPr>
        <w:t>another</w:t>
      </w:r>
      <w:r w:rsidRPr="0031675F">
        <w:rPr>
          <w:spacing w:val="6"/>
        </w:rPr>
        <w:t xml:space="preserve"> </w:t>
      </w:r>
      <w:r w:rsidRPr="0031675F">
        <w:rPr>
          <w:spacing w:val="-2"/>
        </w:rPr>
        <w:t>sample</w:t>
      </w:r>
      <w:r w:rsidRPr="0031675F">
        <w:rPr>
          <w:spacing w:val="6"/>
        </w:rPr>
        <w:t xml:space="preserve"> </w:t>
      </w:r>
      <w:r w:rsidRPr="0031675F">
        <w:t>will</w:t>
      </w:r>
      <w:r w:rsidRPr="0031675F">
        <w:rPr>
          <w:spacing w:val="5"/>
        </w:rPr>
        <w:t xml:space="preserve"> </w:t>
      </w:r>
      <w:r w:rsidRPr="0031675F">
        <w:t>not</w:t>
      </w:r>
      <w:r w:rsidRPr="0031675F">
        <w:rPr>
          <w:spacing w:val="6"/>
        </w:rPr>
        <w:t xml:space="preserve"> </w:t>
      </w:r>
      <w:r w:rsidRPr="0031675F">
        <w:rPr>
          <w:spacing w:val="-1"/>
        </w:rPr>
        <w:t>be</w:t>
      </w:r>
      <w:r w:rsidRPr="0031675F">
        <w:rPr>
          <w:spacing w:val="47"/>
        </w:rPr>
        <w:t xml:space="preserve"> </w:t>
      </w:r>
      <w:r w:rsidRPr="0031675F">
        <w:rPr>
          <w:spacing w:val="-1"/>
        </w:rPr>
        <w:t>measured</w:t>
      </w:r>
      <w:r w:rsidRPr="0031675F">
        <w:rPr>
          <w:spacing w:val="14"/>
        </w:rPr>
        <w:t xml:space="preserve"> </w:t>
      </w:r>
      <w:r w:rsidRPr="0031675F">
        <w:rPr>
          <w:spacing w:val="-1"/>
        </w:rPr>
        <w:t>for</w:t>
      </w:r>
      <w:r w:rsidRPr="0031675F">
        <w:rPr>
          <w:spacing w:val="14"/>
        </w:rPr>
        <w:t xml:space="preserve"> </w:t>
      </w:r>
      <w:r w:rsidRPr="0031675F">
        <w:t>at</w:t>
      </w:r>
      <w:r w:rsidRPr="0031675F">
        <w:rPr>
          <w:spacing w:val="12"/>
        </w:rPr>
        <w:t xml:space="preserve"> </w:t>
      </w:r>
      <w:r w:rsidRPr="0031675F">
        <w:rPr>
          <w:spacing w:val="-1"/>
        </w:rPr>
        <w:t>least</w:t>
      </w:r>
      <w:r w:rsidRPr="0031675F">
        <w:rPr>
          <w:spacing w:val="13"/>
        </w:rPr>
        <w:t xml:space="preserve"> </w:t>
      </w:r>
      <w:r w:rsidRPr="0031675F">
        <w:t>12</w:t>
      </w:r>
      <w:r w:rsidRPr="0031675F">
        <w:rPr>
          <w:spacing w:val="13"/>
        </w:rPr>
        <w:t xml:space="preserve"> </w:t>
      </w:r>
      <w:r w:rsidRPr="0031675F">
        <w:rPr>
          <w:spacing w:val="-1"/>
        </w:rPr>
        <w:t>hours</w:t>
      </w:r>
      <w:r w:rsidRPr="0031675F">
        <w:rPr>
          <w:spacing w:val="14"/>
        </w:rPr>
        <w:t xml:space="preserve"> </w:t>
      </w:r>
      <w:r w:rsidRPr="0031675F">
        <w:rPr>
          <w:spacing w:val="-1"/>
        </w:rPr>
        <w:t>set</w:t>
      </w:r>
      <w:r w:rsidRPr="0031675F">
        <w:rPr>
          <w:spacing w:val="18"/>
        </w:rPr>
        <w:t xml:space="preserve"> </w:t>
      </w:r>
      <w:r w:rsidRPr="0031675F">
        <w:rPr>
          <w:spacing w:val="-2"/>
        </w:rPr>
        <w:t>FUNCTION</w:t>
      </w:r>
      <w:r w:rsidRPr="0031675F">
        <w:rPr>
          <w:spacing w:val="14"/>
        </w:rPr>
        <w:t xml:space="preserve"> </w:t>
      </w:r>
      <w:r w:rsidRPr="0031675F">
        <w:rPr>
          <w:spacing w:val="-1"/>
        </w:rPr>
        <w:t>switch</w:t>
      </w:r>
      <w:r w:rsidRPr="0031675F">
        <w:rPr>
          <w:spacing w:val="10"/>
        </w:rPr>
        <w:t xml:space="preserve"> </w:t>
      </w:r>
      <w:r w:rsidRPr="0031675F">
        <w:t>to</w:t>
      </w:r>
      <w:r w:rsidRPr="0031675F">
        <w:rPr>
          <w:spacing w:val="16"/>
        </w:rPr>
        <w:t xml:space="preserve"> </w:t>
      </w:r>
      <w:r w:rsidRPr="0031675F">
        <w:rPr>
          <w:spacing w:val="-1"/>
        </w:rPr>
        <w:t>STDBY,</w:t>
      </w:r>
      <w:r w:rsidRPr="0031675F">
        <w:rPr>
          <w:spacing w:val="14"/>
        </w:rPr>
        <w:t xml:space="preserve"> </w:t>
      </w:r>
      <w:r w:rsidRPr="0031675F">
        <w:rPr>
          <w:spacing w:val="-1"/>
        </w:rPr>
        <w:t>remove</w:t>
      </w:r>
      <w:r w:rsidRPr="0031675F">
        <w:rPr>
          <w:spacing w:val="12"/>
        </w:rPr>
        <w:t xml:space="preserve"> </w:t>
      </w:r>
      <w:r w:rsidRPr="0031675F">
        <w:t>the</w:t>
      </w:r>
      <w:r w:rsidRPr="0031675F">
        <w:rPr>
          <w:spacing w:val="12"/>
        </w:rPr>
        <w:t xml:space="preserve"> </w:t>
      </w:r>
      <w:r w:rsidRPr="0031675F">
        <w:rPr>
          <w:spacing w:val="-1"/>
        </w:rPr>
        <w:t>vial,</w:t>
      </w:r>
      <w:r w:rsidRPr="0031675F">
        <w:rPr>
          <w:spacing w:val="12"/>
        </w:rPr>
        <w:t xml:space="preserve"> </w:t>
      </w:r>
      <w:r w:rsidRPr="0031675F">
        <w:rPr>
          <w:spacing w:val="-1"/>
        </w:rPr>
        <w:t>install</w:t>
      </w:r>
      <w:r w:rsidRPr="0031675F">
        <w:rPr>
          <w:spacing w:val="14"/>
        </w:rPr>
        <w:t xml:space="preserve"> </w:t>
      </w:r>
      <w:r w:rsidRPr="0031675F">
        <w:t>a</w:t>
      </w:r>
      <w:r w:rsidRPr="0031675F">
        <w:rPr>
          <w:spacing w:val="14"/>
        </w:rPr>
        <w:t xml:space="preserve"> </w:t>
      </w:r>
      <w:r w:rsidRPr="0031675F">
        <w:rPr>
          <w:spacing w:val="-1"/>
        </w:rPr>
        <w:t>bottle</w:t>
      </w:r>
      <w:r w:rsidRPr="0031675F">
        <w:rPr>
          <w:spacing w:val="53"/>
        </w:rPr>
        <w:t xml:space="preserve"> </w:t>
      </w:r>
      <w:r w:rsidRPr="0031675F">
        <w:t>of</w:t>
      </w:r>
      <w:r w:rsidRPr="0031675F">
        <w:rPr>
          <w:spacing w:val="14"/>
        </w:rPr>
        <w:t xml:space="preserve"> </w:t>
      </w:r>
      <w:r w:rsidRPr="0031675F">
        <w:rPr>
          <w:spacing w:val="-1"/>
        </w:rPr>
        <w:t>distilled</w:t>
      </w:r>
      <w:r w:rsidRPr="0031675F">
        <w:rPr>
          <w:spacing w:val="14"/>
        </w:rPr>
        <w:t xml:space="preserve"> </w:t>
      </w:r>
      <w:r w:rsidRPr="0031675F">
        <w:rPr>
          <w:spacing w:val="-1"/>
        </w:rPr>
        <w:t>water,</w:t>
      </w:r>
      <w:r w:rsidRPr="0031675F">
        <w:rPr>
          <w:spacing w:val="12"/>
        </w:rPr>
        <w:t xml:space="preserve"> </w:t>
      </w:r>
      <w:r w:rsidRPr="0031675F">
        <w:rPr>
          <w:spacing w:val="-1"/>
        </w:rPr>
        <w:t>fill</w:t>
      </w:r>
      <w:r w:rsidRPr="0031675F">
        <w:rPr>
          <w:spacing w:val="14"/>
        </w:rPr>
        <w:t xml:space="preserve"> </w:t>
      </w:r>
      <w:r w:rsidRPr="0031675F">
        <w:rPr>
          <w:spacing w:val="-1"/>
        </w:rPr>
        <w:t>and</w:t>
      </w:r>
      <w:r w:rsidRPr="0031675F">
        <w:rPr>
          <w:spacing w:val="14"/>
        </w:rPr>
        <w:t xml:space="preserve"> </w:t>
      </w:r>
      <w:r w:rsidRPr="0031675F">
        <w:rPr>
          <w:spacing w:val="-2"/>
        </w:rPr>
        <w:t>flush</w:t>
      </w:r>
      <w:r w:rsidRPr="0031675F">
        <w:rPr>
          <w:spacing w:val="14"/>
        </w:rPr>
        <w:t xml:space="preserve"> </w:t>
      </w:r>
      <w:r w:rsidRPr="0031675F">
        <w:t>the</w:t>
      </w:r>
      <w:r w:rsidRPr="0031675F">
        <w:rPr>
          <w:spacing w:val="17"/>
        </w:rPr>
        <w:t xml:space="preserve"> </w:t>
      </w:r>
      <w:r w:rsidRPr="0031675F">
        <w:rPr>
          <w:spacing w:val="-1"/>
        </w:rPr>
        <w:t>conductivity</w:t>
      </w:r>
      <w:r w:rsidRPr="0031675F">
        <w:rPr>
          <w:spacing w:val="13"/>
        </w:rPr>
        <w:t xml:space="preserve"> </w:t>
      </w:r>
      <w:r w:rsidRPr="0031675F">
        <w:t>cell</w:t>
      </w:r>
      <w:r w:rsidRPr="0031675F">
        <w:rPr>
          <w:spacing w:val="12"/>
        </w:rPr>
        <w:t xml:space="preserve"> </w:t>
      </w:r>
      <w:r w:rsidRPr="0031675F">
        <w:t>at</w:t>
      </w:r>
      <w:r w:rsidRPr="0031675F">
        <w:rPr>
          <w:spacing w:val="12"/>
        </w:rPr>
        <w:t xml:space="preserve"> </w:t>
      </w:r>
      <w:r w:rsidRPr="0031675F">
        <w:t>least</w:t>
      </w:r>
      <w:r w:rsidRPr="0031675F">
        <w:rPr>
          <w:spacing w:val="12"/>
        </w:rPr>
        <w:t xml:space="preserve"> </w:t>
      </w:r>
      <w:r w:rsidRPr="0031675F">
        <w:t>3</w:t>
      </w:r>
      <w:r w:rsidRPr="0031675F">
        <w:rPr>
          <w:spacing w:val="13"/>
        </w:rPr>
        <w:t xml:space="preserve"> </w:t>
      </w:r>
      <w:r w:rsidRPr="0031675F">
        <w:rPr>
          <w:spacing w:val="-1"/>
        </w:rPr>
        <w:t>times,</w:t>
      </w:r>
      <w:r w:rsidRPr="0031675F">
        <w:rPr>
          <w:spacing w:val="12"/>
        </w:rPr>
        <w:t xml:space="preserve"> </w:t>
      </w:r>
      <w:r w:rsidRPr="0031675F">
        <w:t>then</w:t>
      </w:r>
      <w:r w:rsidRPr="0031675F">
        <w:rPr>
          <w:spacing w:val="11"/>
        </w:rPr>
        <w:t xml:space="preserve"> </w:t>
      </w:r>
      <w:r w:rsidRPr="0031675F">
        <w:t>with</w:t>
      </w:r>
      <w:r w:rsidRPr="0031675F">
        <w:rPr>
          <w:spacing w:val="12"/>
        </w:rPr>
        <w:t xml:space="preserve"> </w:t>
      </w:r>
      <w:r w:rsidRPr="0031675F">
        <w:rPr>
          <w:spacing w:val="-1"/>
        </w:rPr>
        <w:t>the</w:t>
      </w:r>
      <w:r w:rsidRPr="0031675F">
        <w:rPr>
          <w:spacing w:val="15"/>
        </w:rPr>
        <w:t xml:space="preserve"> </w:t>
      </w:r>
      <w:r w:rsidRPr="0031675F">
        <w:rPr>
          <w:spacing w:val="-1"/>
        </w:rPr>
        <w:t>conductivity</w:t>
      </w:r>
      <w:r w:rsidRPr="0031675F">
        <w:rPr>
          <w:spacing w:val="57"/>
        </w:rPr>
        <w:t xml:space="preserve"> </w:t>
      </w:r>
      <w:r w:rsidRPr="0031675F">
        <w:t xml:space="preserve">cell </w:t>
      </w:r>
      <w:r w:rsidRPr="0031675F">
        <w:rPr>
          <w:spacing w:val="-1"/>
        </w:rPr>
        <w:t>full,</w:t>
      </w:r>
      <w:r w:rsidRPr="0031675F">
        <w:t xml:space="preserve"> turn</w:t>
      </w:r>
      <w:r w:rsidRPr="0031675F">
        <w:rPr>
          <w:spacing w:val="-3"/>
        </w:rPr>
        <w:t xml:space="preserve"> </w:t>
      </w:r>
      <w:r w:rsidRPr="0031675F">
        <w:t>off</w:t>
      </w:r>
      <w:r w:rsidRPr="0031675F">
        <w:rPr>
          <w:spacing w:val="-3"/>
        </w:rPr>
        <w:t xml:space="preserve"> </w:t>
      </w:r>
      <w:r w:rsidRPr="0031675F">
        <w:t>the</w:t>
      </w:r>
      <w:r w:rsidRPr="0031675F">
        <w:rPr>
          <w:spacing w:val="1"/>
        </w:rPr>
        <w:t xml:space="preserve"> </w:t>
      </w:r>
      <w:r w:rsidRPr="0031675F">
        <w:rPr>
          <w:spacing w:val="-1"/>
        </w:rPr>
        <w:t>flow</w:t>
      </w:r>
      <w:r w:rsidRPr="0031675F">
        <w:rPr>
          <w:spacing w:val="1"/>
        </w:rPr>
        <w:t xml:space="preserve"> </w:t>
      </w:r>
      <w:r w:rsidRPr="0031675F">
        <w:rPr>
          <w:spacing w:val="-2"/>
        </w:rPr>
        <w:t>rate.</w:t>
      </w:r>
    </w:p>
    <w:p w14:paraId="420FFDF0" w14:textId="77777777" w:rsidR="0031675F" w:rsidRDefault="0031675F" w:rsidP="0031675F">
      <w:pPr>
        <w:rPr>
          <w:rFonts w:cs="Calibri"/>
        </w:rPr>
      </w:pPr>
    </w:p>
    <w:p w14:paraId="10B4AEBA" w14:textId="77777777" w:rsidR="00FE34ED" w:rsidRPr="0031675F" w:rsidRDefault="00FE34ED" w:rsidP="0031675F">
      <w:pPr>
        <w:rPr>
          <w:rFonts w:cs="Calibri"/>
        </w:rPr>
      </w:pPr>
    </w:p>
    <w:p w14:paraId="7A8DABF0" w14:textId="77777777" w:rsidR="0031675F" w:rsidRPr="0031675F" w:rsidRDefault="0031675F" w:rsidP="0031675F">
      <w:pPr>
        <w:widowControl w:val="0"/>
        <w:numPr>
          <w:ilvl w:val="0"/>
          <w:numId w:val="132"/>
        </w:numPr>
        <w:tabs>
          <w:tab w:val="left" w:pos="530"/>
        </w:tabs>
        <w:spacing w:before="0" w:after="0" w:line="240" w:lineRule="auto"/>
        <w:ind w:left="529" w:hanging="411"/>
        <w:jc w:val="both"/>
        <w:rPr>
          <w:rFonts w:cs="Calibri"/>
        </w:rPr>
      </w:pPr>
      <w:r w:rsidRPr="0031675F">
        <w:rPr>
          <w:b/>
          <w:i/>
          <w:spacing w:val="-1"/>
        </w:rPr>
        <w:t>Drift</w:t>
      </w:r>
      <w:r w:rsidRPr="0031675F">
        <w:rPr>
          <w:b/>
          <w:i/>
          <w:spacing w:val="-2"/>
        </w:rPr>
        <w:t xml:space="preserve"> </w:t>
      </w:r>
      <w:r w:rsidRPr="0031675F">
        <w:rPr>
          <w:b/>
          <w:i/>
          <w:spacing w:val="-1"/>
        </w:rPr>
        <w:t>Correction Routine</w:t>
      </w:r>
    </w:p>
    <w:p w14:paraId="280A0888" w14:textId="77777777" w:rsidR="0031675F" w:rsidRPr="0031675F" w:rsidRDefault="0031675F" w:rsidP="00723F0F">
      <w:r w:rsidRPr="0031675F">
        <w:t>To</w:t>
      </w:r>
      <w:r w:rsidRPr="0031675F">
        <w:rPr>
          <w:spacing w:val="27"/>
        </w:rPr>
        <w:t xml:space="preserve"> </w:t>
      </w:r>
      <w:r w:rsidRPr="0031675F">
        <w:t>minimise</w:t>
      </w:r>
      <w:r w:rsidRPr="0031675F">
        <w:rPr>
          <w:spacing w:val="26"/>
        </w:rPr>
        <w:t xml:space="preserve"> </w:t>
      </w:r>
      <w:r w:rsidRPr="0031675F">
        <w:t>the</w:t>
      </w:r>
      <w:r w:rsidRPr="0031675F">
        <w:rPr>
          <w:spacing w:val="27"/>
        </w:rPr>
        <w:t xml:space="preserve"> </w:t>
      </w:r>
      <w:r w:rsidRPr="0031675F">
        <w:t>use</w:t>
      </w:r>
      <w:r w:rsidRPr="0031675F">
        <w:rPr>
          <w:spacing w:val="26"/>
        </w:rPr>
        <w:t xml:space="preserve"> </w:t>
      </w:r>
      <w:r w:rsidRPr="0031675F">
        <w:t>of</w:t>
      </w:r>
      <w:r w:rsidRPr="0031675F">
        <w:rPr>
          <w:spacing w:val="26"/>
        </w:rPr>
        <w:t xml:space="preserve"> </w:t>
      </w:r>
      <w:r w:rsidRPr="0031675F">
        <w:t>expensive</w:t>
      </w:r>
      <w:r w:rsidRPr="0031675F">
        <w:rPr>
          <w:spacing w:val="27"/>
        </w:rPr>
        <w:t xml:space="preserve"> </w:t>
      </w:r>
      <w:r w:rsidRPr="0031675F">
        <w:t>commercial</w:t>
      </w:r>
      <w:r w:rsidRPr="0031675F">
        <w:rPr>
          <w:spacing w:val="25"/>
        </w:rPr>
        <w:t xml:space="preserve"> </w:t>
      </w:r>
      <w:r w:rsidRPr="0031675F">
        <w:t>primary</w:t>
      </w:r>
      <w:r w:rsidRPr="0031675F">
        <w:rPr>
          <w:spacing w:val="26"/>
        </w:rPr>
        <w:t xml:space="preserve"> </w:t>
      </w:r>
      <w:r w:rsidRPr="0031675F">
        <w:t>standard</w:t>
      </w:r>
      <w:r w:rsidRPr="0031675F">
        <w:rPr>
          <w:spacing w:val="26"/>
        </w:rPr>
        <w:t xml:space="preserve"> </w:t>
      </w:r>
      <w:r w:rsidRPr="0031675F">
        <w:t>(SSW),</w:t>
      </w:r>
      <w:r w:rsidRPr="0031675F">
        <w:rPr>
          <w:spacing w:val="27"/>
        </w:rPr>
        <w:t xml:space="preserve"> </w:t>
      </w:r>
      <w:r w:rsidRPr="0031675F">
        <w:t>a</w:t>
      </w:r>
      <w:r w:rsidRPr="0031675F">
        <w:rPr>
          <w:spacing w:val="25"/>
        </w:rPr>
        <w:t xml:space="preserve"> </w:t>
      </w:r>
      <w:r w:rsidRPr="0031675F">
        <w:t>secondary</w:t>
      </w:r>
      <w:r w:rsidRPr="0031675F">
        <w:rPr>
          <w:spacing w:val="27"/>
        </w:rPr>
        <w:t xml:space="preserve"> </w:t>
      </w:r>
      <w:r w:rsidRPr="0031675F">
        <w:t>standard</w:t>
      </w:r>
      <w:r w:rsidRPr="0031675F">
        <w:rPr>
          <w:spacing w:val="26"/>
        </w:rPr>
        <w:t xml:space="preserve"> </w:t>
      </w:r>
      <w:r w:rsidRPr="0031675F">
        <w:t>(Sub</w:t>
      </w:r>
      <w:r w:rsidRPr="0031675F">
        <w:rPr>
          <w:spacing w:val="53"/>
        </w:rPr>
        <w:t xml:space="preserve"> </w:t>
      </w:r>
      <w:r w:rsidRPr="0031675F">
        <w:t>SSW)</w:t>
      </w:r>
      <w:r w:rsidRPr="0031675F">
        <w:rPr>
          <w:spacing w:val="28"/>
        </w:rPr>
        <w:t xml:space="preserve"> </w:t>
      </w:r>
      <w:r w:rsidRPr="0031675F">
        <w:t>is</w:t>
      </w:r>
      <w:r w:rsidRPr="0031675F">
        <w:rPr>
          <w:spacing w:val="29"/>
        </w:rPr>
        <w:t xml:space="preserve"> </w:t>
      </w:r>
      <w:r w:rsidRPr="0031675F">
        <w:t>used.</w:t>
      </w:r>
      <w:r w:rsidRPr="0031675F">
        <w:rPr>
          <w:spacing w:val="8"/>
        </w:rPr>
        <w:t xml:space="preserve"> </w:t>
      </w:r>
      <w:r w:rsidRPr="0031675F">
        <w:t>This</w:t>
      </w:r>
      <w:r w:rsidRPr="0031675F">
        <w:rPr>
          <w:spacing w:val="29"/>
        </w:rPr>
        <w:t xml:space="preserve"> </w:t>
      </w:r>
      <w:r w:rsidRPr="0031675F">
        <w:t>is</w:t>
      </w:r>
      <w:r w:rsidRPr="0031675F">
        <w:rPr>
          <w:spacing w:val="25"/>
        </w:rPr>
        <w:t xml:space="preserve"> </w:t>
      </w:r>
      <w:r w:rsidRPr="0031675F">
        <w:t>just</w:t>
      </w:r>
      <w:r w:rsidRPr="0031675F">
        <w:rPr>
          <w:spacing w:val="27"/>
        </w:rPr>
        <w:t xml:space="preserve"> </w:t>
      </w:r>
      <w:r w:rsidRPr="0031675F">
        <w:t>clean</w:t>
      </w:r>
      <w:r w:rsidRPr="0031675F">
        <w:rPr>
          <w:spacing w:val="28"/>
        </w:rPr>
        <w:t xml:space="preserve"> </w:t>
      </w:r>
      <w:r w:rsidRPr="0031675F">
        <w:t>seawater</w:t>
      </w:r>
      <w:r w:rsidRPr="0031675F">
        <w:rPr>
          <w:spacing w:val="29"/>
        </w:rPr>
        <w:t xml:space="preserve"> </w:t>
      </w:r>
      <w:r w:rsidRPr="0031675F">
        <w:t>(preferably</w:t>
      </w:r>
      <w:r w:rsidRPr="0031675F">
        <w:rPr>
          <w:spacing w:val="29"/>
        </w:rPr>
        <w:t xml:space="preserve"> </w:t>
      </w:r>
      <w:r w:rsidRPr="0031675F">
        <w:t>collected</w:t>
      </w:r>
      <w:r w:rsidRPr="0031675F">
        <w:rPr>
          <w:spacing w:val="29"/>
        </w:rPr>
        <w:t xml:space="preserve"> </w:t>
      </w:r>
      <w:r w:rsidRPr="0031675F">
        <w:t>off</w:t>
      </w:r>
      <w:r w:rsidRPr="0031675F">
        <w:rPr>
          <w:spacing w:val="26"/>
        </w:rPr>
        <w:t xml:space="preserve"> </w:t>
      </w:r>
      <w:r w:rsidRPr="0031675F">
        <w:t>the</w:t>
      </w:r>
      <w:r w:rsidRPr="0031675F">
        <w:rPr>
          <w:spacing w:val="28"/>
        </w:rPr>
        <w:t xml:space="preserve"> </w:t>
      </w:r>
      <w:r w:rsidRPr="0031675F">
        <w:t>continental</w:t>
      </w:r>
      <w:r w:rsidRPr="0031675F">
        <w:rPr>
          <w:spacing w:val="29"/>
        </w:rPr>
        <w:t xml:space="preserve"> </w:t>
      </w:r>
      <w:r w:rsidRPr="0031675F">
        <w:t>shelf</w:t>
      </w:r>
      <w:r w:rsidRPr="0031675F">
        <w:rPr>
          <w:spacing w:val="29"/>
        </w:rPr>
        <w:t xml:space="preserve"> </w:t>
      </w:r>
      <w:r w:rsidRPr="0031675F">
        <w:t>to</w:t>
      </w:r>
      <w:r w:rsidRPr="0031675F">
        <w:rPr>
          <w:spacing w:val="30"/>
        </w:rPr>
        <w:t xml:space="preserve"> </w:t>
      </w:r>
      <w:r w:rsidRPr="0031675F">
        <w:t>ensure</w:t>
      </w:r>
      <w:r w:rsidRPr="0031675F">
        <w:rPr>
          <w:spacing w:val="41"/>
        </w:rPr>
        <w:t xml:space="preserve"> </w:t>
      </w:r>
      <w:r w:rsidRPr="0031675F">
        <w:t>maximum</w:t>
      </w:r>
      <w:r w:rsidRPr="0031675F">
        <w:rPr>
          <w:spacing w:val="41"/>
        </w:rPr>
        <w:t xml:space="preserve"> </w:t>
      </w:r>
      <w:r w:rsidRPr="0031675F">
        <w:t>clarity).</w:t>
      </w:r>
      <w:r w:rsidRPr="0031675F">
        <w:rPr>
          <w:spacing w:val="32"/>
        </w:rPr>
        <w:t xml:space="preserve"> </w:t>
      </w:r>
      <w:r w:rsidRPr="0031675F">
        <w:t>This</w:t>
      </w:r>
      <w:r w:rsidRPr="0031675F">
        <w:rPr>
          <w:spacing w:val="41"/>
        </w:rPr>
        <w:t xml:space="preserve"> </w:t>
      </w:r>
      <w:r w:rsidRPr="0031675F">
        <w:t>is</w:t>
      </w:r>
      <w:r w:rsidRPr="0031675F">
        <w:rPr>
          <w:spacing w:val="40"/>
        </w:rPr>
        <w:t xml:space="preserve"> </w:t>
      </w:r>
      <w:r w:rsidRPr="0031675F">
        <w:t>run</w:t>
      </w:r>
      <w:r w:rsidRPr="0031675F">
        <w:rPr>
          <w:spacing w:val="40"/>
        </w:rPr>
        <w:t xml:space="preserve"> </w:t>
      </w:r>
      <w:r w:rsidRPr="0031675F">
        <w:t>directly</w:t>
      </w:r>
      <w:r w:rsidRPr="0031675F">
        <w:rPr>
          <w:spacing w:val="42"/>
        </w:rPr>
        <w:t xml:space="preserve"> </w:t>
      </w:r>
      <w:r w:rsidRPr="0031675F">
        <w:t>after</w:t>
      </w:r>
      <w:r w:rsidRPr="0031675F">
        <w:rPr>
          <w:spacing w:val="40"/>
        </w:rPr>
        <w:t xml:space="preserve"> </w:t>
      </w:r>
      <w:r w:rsidRPr="0031675F">
        <w:t>the</w:t>
      </w:r>
      <w:r w:rsidRPr="0031675F">
        <w:rPr>
          <w:spacing w:val="45"/>
        </w:rPr>
        <w:t xml:space="preserve"> </w:t>
      </w:r>
      <w:r w:rsidRPr="0031675F">
        <w:t>SSW</w:t>
      </w:r>
      <w:r w:rsidRPr="0031675F">
        <w:rPr>
          <w:spacing w:val="42"/>
        </w:rPr>
        <w:t xml:space="preserve"> </w:t>
      </w:r>
      <w:r w:rsidRPr="0031675F">
        <w:t>and</w:t>
      </w:r>
      <w:r w:rsidRPr="0031675F">
        <w:rPr>
          <w:spacing w:val="39"/>
        </w:rPr>
        <w:t xml:space="preserve"> </w:t>
      </w:r>
      <w:r w:rsidRPr="0031675F">
        <w:t>every</w:t>
      </w:r>
      <w:r w:rsidRPr="0031675F">
        <w:rPr>
          <w:spacing w:val="42"/>
        </w:rPr>
        <w:t xml:space="preserve"> </w:t>
      </w:r>
      <w:r w:rsidRPr="0031675F">
        <w:t>20</w:t>
      </w:r>
      <w:r w:rsidRPr="0031675F">
        <w:rPr>
          <w:spacing w:val="42"/>
        </w:rPr>
        <w:t xml:space="preserve"> </w:t>
      </w:r>
      <w:r w:rsidRPr="0031675F">
        <w:t>samples</w:t>
      </w:r>
      <w:r w:rsidRPr="0031675F">
        <w:rPr>
          <w:spacing w:val="38"/>
        </w:rPr>
        <w:t xml:space="preserve"> </w:t>
      </w:r>
      <w:r w:rsidRPr="0031675F">
        <w:t>thereafter.</w:t>
      </w:r>
      <w:r w:rsidRPr="0031675F">
        <w:rPr>
          <w:spacing w:val="32"/>
        </w:rPr>
        <w:t xml:space="preserve"> </w:t>
      </w:r>
      <w:r w:rsidRPr="0031675F">
        <w:t>A</w:t>
      </w:r>
      <w:r w:rsidRPr="0031675F">
        <w:rPr>
          <w:spacing w:val="43"/>
        </w:rPr>
        <w:t xml:space="preserve"> </w:t>
      </w:r>
      <w:r w:rsidRPr="0031675F">
        <w:t>drift</w:t>
      </w:r>
      <w:r w:rsidRPr="0031675F">
        <w:rPr>
          <w:spacing w:val="71"/>
        </w:rPr>
        <w:t xml:space="preserve"> </w:t>
      </w:r>
      <w:r w:rsidRPr="0031675F">
        <w:t>calculation</w:t>
      </w:r>
      <w:r w:rsidRPr="0031675F">
        <w:rPr>
          <w:spacing w:val="7"/>
        </w:rPr>
        <w:t xml:space="preserve"> </w:t>
      </w:r>
      <w:r w:rsidRPr="0031675F">
        <w:t>is</w:t>
      </w:r>
      <w:r w:rsidRPr="0031675F">
        <w:rPr>
          <w:spacing w:val="5"/>
        </w:rPr>
        <w:t xml:space="preserve"> </w:t>
      </w:r>
      <w:r w:rsidRPr="0031675F">
        <w:t>then</w:t>
      </w:r>
      <w:r w:rsidRPr="0031675F">
        <w:rPr>
          <w:spacing w:val="7"/>
        </w:rPr>
        <w:t xml:space="preserve"> </w:t>
      </w:r>
      <w:r w:rsidRPr="0031675F">
        <w:t>applied</w:t>
      </w:r>
      <w:r w:rsidRPr="0031675F">
        <w:rPr>
          <w:spacing w:val="7"/>
        </w:rPr>
        <w:t xml:space="preserve"> </w:t>
      </w:r>
      <w:r w:rsidRPr="0031675F">
        <w:t>to</w:t>
      </w:r>
      <w:r w:rsidRPr="0031675F">
        <w:rPr>
          <w:spacing w:val="9"/>
        </w:rPr>
        <w:t xml:space="preserve"> </w:t>
      </w:r>
      <w:r w:rsidRPr="0031675F">
        <w:t>the</w:t>
      </w:r>
      <w:r w:rsidRPr="0031675F">
        <w:rPr>
          <w:spacing w:val="6"/>
        </w:rPr>
        <w:t xml:space="preserve"> </w:t>
      </w:r>
      <w:r w:rsidRPr="0031675F">
        <w:t>sample</w:t>
      </w:r>
      <w:r w:rsidRPr="0031675F">
        <w:rPr>
          <w:spacing w:val="8"/>
        </w:rPr>
        <w:t xml:space="preserve"> </w:t>
      </w:r>
      <w:r w:rsidRPr="0031675F">
        <w:t>readings</w:t>
      </w:r>
      <w:r w:rsidRPr="0031675F">
        <w:rPr>
          <w:spacing w:val="5"/>
        </w:rPr>
        <w:t xml:space="preserve"> </w:t>
      </w:r>
      <w:r w:rsidRPr="0031675F">
        <w:t>assuming</w:t>
      </w:r>
      <w:r w:rsidRPr="0031675F">
        <w:rPr>
          <w:spacing w:val="7"/>
        </w:rPr>
        <w:t xml:space="preserve"> </w:t>
      </w:r>
      <w:r w:rsidRPr="0031675F">
        <w:t>linear</w:t>
      </w:r>
      <w:r w:rsidRPr="0031675F">
        <w:rPr>
          <w:spacing w:val="8"/>
        </w:rPr>
        <w:t xml:space="preserve"> </w:t>
      </w:r>
      <w:r w:rsidRPr="0031675F">
        <w:t>drift</w:t>
      </w:r>
      <w:r w:rsidRPr="0031675F">
        <w:rPr>
          <w:spacing w:val="8"/>
        </w:rPr>
        <w:t xml:space="preserve"> </w:t>
      </w:r>
      <w:r w:rsidRPr="0031675F">
        <w:t>between</w:t>
      </w:r>
      <w:r w:rsidRPr="0031675F">
        <w:rPr>
          <w:spacing w:val="7"/>
        </w:rPr>
        <w:t xml:space="preserve"> </w:t>
      </w:r>
      <w:r w:rsidRPr="0031675F">
        <w:t>the</w:t>
      </w:r>
      <w:r w:rsidRPr="0031675F">
        <w:rPr>
          <w:spacing w:val="8"/>
        </w:rPr>
        <w:t xml:space="preserve"> </w:t>
      </w:r>
      <w:r w:rsidRPr="0031675F">
        <w:t xml:space="preserve">two </w:t>
      </w:r>
      <w:r w:rsidRPr="0031675F">
        <w:rPr>
          <w:spacing w:val="7"/>
        </w:rPr>
        <w:t xml:space="preserve"> </w:t>
      </w:r>
      <w:r w:rsidRPr="0031675F">
        <w:t>sub</w:t>
      </w:r>
      <w:r w:rsidRPr="0031675F">
        <w:rPr>
          <w:spacing w:val="68"/>
        </w:rPr>
        <w:t xml:space="preserve"> </w:t>
      </w:r>
      <w:r w:rsidRPr="0031675F">
        <w:t>standard</w:t>
      </w:r>
      <w:r w:rsidRPr="0031675F">
        <w:rPr>
          <w:spacing w:val="-2"/>
        </w:rPr>
        <w:t xml:space="preserve"> </w:t>
      </w:r>
      <w:r w:rsidRPr="0031675F">
        <w:t>readings.</w:t>
      </w:r>
    </w:p>
    <w:p w14:paraId="23F60414" w14:textId="77777777" w:rsidR="0031675F" w:rsidRPr="0031675F" w:rsidRDefault="0031675F" w:rsidP="0031675F">
      <w:pPr>
        <w:spacing w:before="4"/>
        <w:rPr>
          <w:rFonts w:cs="Calibri"/>
          <w:sz w:val="20"/>
          <w:szCs w:val="20"/>
        </w:rPr>
      </w:pPr>
    </w:p>
    <w:p w14:paraId="30072F5C" w14:textId="5B763F12" w:rsidR="0031675F" w:rsidRPr="0031675F" w:rsidRDefault="0031675F" w:rsidP="0031675F">
      <w:pPr>
        <w:widowControl w:val="0"/>
        <w:numPr>
          <w:ilvl w:val="3"/>
          <w:numId w:val="133"/>
        </w:numPr>
        <w:tabs>
          <w:tab w:val="left" w:pos="841"/>
        </w:tabs>
        <w:spacing w:before="0" w:after="0" w:line="240" w:lineRule="auto"/>
        <w:ind w:left="840" w:hanging="722"/>
        <w:jc w:val="both"/>
        <w:rPr>
          <w:rFonts w:cs="Calibri"/>
          <w:sz w:val="14"/>
          <w:szCs w:val="14"/>
        </w:rPr>
      </w:pPr>
      <w:r w:rsidRPr="0031675F">
        <w:rPr>
          <w:b/>
          <w:i/>
          <w:spacing w:val="-1"/>
        </w:rPr>
        <w:t>Sample Measuremen</w:t>
      </w:r>
      <w:r w:rsidR="00723F0F">
        <w:rPr>
          <w:b/>
          <w:i/>
          <w:spacing w:val="-1"/>
        </w:rPr>
        <w:t>t</w:t>
      </w:r>
    </w:p>
    <w:p w14:paraId="1EB0A9D3" w14:textId="77777777" w:rsidR="0031675F" w:rsidRPr="0031675F" w:rsidRDefault="0031675F" w:rsidP="00723F0F">
      <w:r w:rsidRPr="0031675F">
        <w:t>Samples</w:t>
      </w:r>
      <w:r w:rsidRPr="0031675F">
        <w:rPr>
          <w:spacing w:val="9"/>
        </w:rPr>
        <w:t xml:space="preserve"> </w:t>
      </w:r>
      <w:r w:rsidRPr="0031675F">
        <w:t>up</w:t>
      </w:r>
      <w:r w:rsidRPr="0031675F">
        <w:rPr>
          <w:spacing w:val="10"/>
        </w:rPr>
        <w:t xml:space="preserve"> </w:t>
      </w:r>
      <w:r w:rsidRPr="0031675F">
        <w:t>to</w:t>
      </w:r>
      <w:r w:rsidRPr="0031675F">
        <w:rPr>
          <w:spacing w:val="9"/>
        </w:rPr>
        <w:t xml:space="preserve"> </w:t>
      </w:r>
      <w:r w:rsidRPr="0031675F">
        <w:t>15</w:t>
      </w:r>
      <w:r w:rsidRPr="0031675F">
        <w:rPr>
          <w:position w:val="10"/>
          <w:sz w:val="14"/>
        </w:rPr>
        <w:t>o</w:t>
      </w:r>
      <w:r w:rsidRPr="0031675F">
        <w:t>C</w:t>
      </w:r>
      <w:r w:rsidRPr="0031675F">
        <w:rPr>
          <w:spacing w:val="10"/>
        </w:rPr>
        <w:t xml:space="preserve"> </w:t>
      </w:r>
      <w:r w:rsidRPr="0031675F">
        <w:t>below</w:t>
      </w:r>
      <w:r w:rsidRPr="0031675F">
        <w:rPr>
          <w:spacing w:val="11"/>
        </w:rPr>
        <w:t xml:space="preserve"> </w:t>
      </w:r>
      <w:r w:rsidRPr="0031675F">
        <w:t>the</w:t>
      </w:r>
      <w:r w:rsidRPr="0031675F">
        <w:rPr>
          <w:spacing w:val="10"/>
        </w:rPr>
        <w:t xml:space="preserve"> </w:t>
      </w:r>
      <w:r w:rsidRPr="0031675F">
        <w:t>bath</w:t>
      </w:r>
      <w:r w:rsidRPr="0031675F">
        <w:rPr>
          <w:spacing w:val="10"/>
        </w:rPr>
        <w:t xml:space="preserve"> </w:t>
      </w:r>
      <w:r w:rsidRPr="0031675F">
        <w:t>temperature</w:t>
      </w:r>
      <w:r w:rsidRPr="0031675F">
        <w:rPr>
          <w:spacing w:val="8"/>
        </w:rPr>
        <w:t xml:space="preserve"> </w:t>
      </w:r>
      <w:r w:rsidRPr="0031675F">
        <w:t>or</w:t>
      </w:r>
      <w:r w:rsidRPr="0031675F">
        <w:rPr>
          <w:spacing w:val="10"/>
        </w:rPr>
        <w:t xml:space="preserve"> </w:t>
      </w:r>
      <w:r w:rsidRPr="0031675F">
        <w:rPr>
          <w:spacing w:val="1"/>
        </w:rPr>
        <w:t>5</w:t>
      </w:r>
      <w:r w:rsidRPr="0031675F">
        <w:rPr>
          <w:spacing w:val="1"/>
          <w:position w:val="10"/>
          <w:sz w:val="14"/>
        </w:rPr>
        <w:t>o</w:t>
      </w:r>
      <w:r w:rsidRPr="0031675F">
        <w:rPr>
          <w:spacing w:val="1"/>
        </w:rPr>
        <w:t>C</w:t>
      </w:r>
      <w:r w:rsidRPr="0031675F">
        <w:rPr>
          <w:spacing w:val="10"/>
        </w:rPr>
        <w:t xml:space="preserve"> </w:t>
      </w:r>
      <w:r w:rsidRPr="0031675F">
        <w:t>above</w:t>
      </w:r>
      <w:r w:rsidRPr="0031675F">
        <w:rPr>
          <w:spacing w:val="10"/>
        </w:rPr>
        <w:t xml:space="preserve"> </w:t>
      </w:r>
      <w:r w:rsidRPr="0031675F">
        <w:t>the</w:t>
      </w:r>
      <w:r w:rsidRPr="0031675F">
        <w:rPr>
          <w:spacing w:val="10"/>
        </w:rPr>
        <w:t xml:space="preserve"> </w:t>
      </w:r>
      <w:r w:rsidRPr="0031675F">
        <w:t>bath</w:t>
      </w:r>
      <w:r w:rsidRPr="0031675F">
        <w:rPr>
          <w:spacing w:val="10"/>
        </w:rPr>
        <w:t xml:space="preserve"> </w:t>
      </w:r>
      <w:r w:rsidRPr="0031675F">
        <w:t>temperature</w:t>
      </w:r>
      <w:r w:rsidRPr="0031675F">
        <w:rPr>
          <w:spacing w:val="11"/>
        </w:rPr>
        <w:t xml:space="preserve"> </w:t>
      </w:r>
      <w:r w:rsidRPr="0031675F">
        <w:t>can</w:t>
      </w:r>
      <w:r w:rsidRPr="0031675F">
        <w:rPr>
          <w:spacing w:val="9"/>
        </w:rPr>
        <w:t xml:space="preserve"> </w:t>
      </w:r>
      <w:r w:rsidRPr="0031675F">
        <w:t>be</w:t>
      </w:r>
      <w:r w:rsidRPr="0031675F">
        <w:rPr>
          <w:spacing w:val="59"/>
        </w:rPr>
        <w:t xml:space="preserve"> </w:t>
      </w:r>
      <w:r w:rsidRPr="0031675F">
        <w:t>measured</w:t>
      </w:r>
      <w:r w:rsidRPr="0031675F">
        <w:rPr>
          <w:spacing w:val="11"/>
        </w:rPr>
        <w:t xml:space="preserve"> </w:t>
      </w:r>
      <w:r w:rsidRPr="0031675F">
        <w:t>if</w:t>
      </w:r>
      <w:r w:rsidRPr="0031675F">
        <w:rPr>
          <w:spacing w:val="11"/>
        </w:rPr>
        <w:t xml:space="preserve"> </w:t>
      </w:r>
      <w:r w:rsidRPr="0031675F">
        <w:t>the</w:t>
      </w:r>
      <w:r w:rsidRPr="0031675F">
        <w:rPr>
          <w:spacing w:val="12"/>
        </w:rPr>
        <w:t xml:space="preserve"> </w:t>
      </w:r>
      <w:r w:rsidRPr="0031675F">
        <w:t>flow</w:t>
      </w:r>
      <w:r w:rsidRPr="0031675F">
        <w:rPr>
          <w:spacing w:val="13"/>
        </w:rPr>
        <w:t xml:space="preserve"> </w:t>
      </w:r>
      <w:r w:rsidRPr="0031675F">
        <w:t>rate</w:t>
      </w:r>
      <w:r w:rsidRPr="0031675F">
        <w:rPr>
          <w:spacing w:val="12"/>
        </w:rPr>
        <w:t xml:space="preserve"> </w:t>
      </w:r>
      <w:r w:rsidRPr="0031675F">
        <w:rPr>
          <w:spacing w:val="-2"/>
        </w:rPr>
        <w:t>is</w:t>
      </w:r>
      <w:r w:rsidRPr="0031675F">
        <w:rPr>
          <w:spacing w:val="12"/>
        </w:rPr>
        <w:t xml:space="preserve"> </w:t>
      </w:r>
      <w:r w:rsidRPr="0031675F">
        <w:t>reduced</w:t>
      </w:r>
      <w:r w:rsidRPr="0031675F">
        <w:rPr>
          <w:spacing w:val="12"/>
        </w:rPr>
        <w:t xml:space="preserve"> </w:t>
      </w:r>
      <w:r w:rsidRPr="0031675F">
        <w:t>sufficiently</w:t>
      </w:r>
      <w:r w:rsidRPr="0031675F">
        <w:rPr>
          <w:spacing w:val="13"/>
        </w:rPr>
        <w:t xml:space="preserve"> </w:t>
      </w:r>
      <w:r w:rsidRPr="0031675F">
        <w:t>to</w:t>
      </w:r>
      <w:r w:rsidRPr="0031675F">
        <w:rPr>
          <w:spacing w:val="14"/>
        </w:rPr>
        <w:t xml:space="preserve"> </w:t>
      </w:r>
      <w:r w:rsidRPr="0031675F">
        <w:t>allow</w:t>
      </w:r>
      <w:r w:rsidRPr="0031675F">
        <w:rPr>
          <w:spacing w:val="13"/>
        </w:rPr>
        <w:t xml:space="preserve"> </w:t>
      </w:r>
      <w:r w:rsidRPr="0031675F">
        <w:t>the</w:t>
      </w:r>
      <w:r w:rsidRPr="0031675F">
        <w:rPr>
          <w:spacing w:val="13"/>
        </w:rPr>
        <w:t xml:space="preserve"> </w:t>
      </w:r>
      <w:r w:rsidRPr="0031675F">
        <w:t>sample</w:t>
      </w:r>
      <w:r w:rsidRPr="0031675F">
        <w:rPr>
          <w:spacing w:val="13"/>
        </w:rPr>
        <w:t xml:space="preserve"> </w:t>
      </w:r>
      <w:r w:rsidRPr="0031675F">
        <w:t>to</w:t>
      </w:r>
      <w:r w:rsidRPr="0031675F">
        <w:rPr>
          <w:spacing w:val="18"/>
        </w:rPr>
        <w:t xml:space="preserve"> </w:t>
      </w:r>
      <w:r w:rsidRPr="0031675F">
        <w:t>reach</w:t>
      </w:r>
      <w:r w:rsidRPr="0031675F">
        <w:rPr>
          <w:spacing w:val="11"/>
        </w:rPr>
        <w:t xml:space="preserve"> </w:t>
      </w:r>
      <w:r w:rsidRPr="0031675F">
        <w:t>the</w:t>
      </w:r>
      <w:r w:rsidRPr="0031675F">
        <w:rPr>
          <w:spacing w:val="13"/>
        </w:rPr>
        <w:t xml:space="preserve"> </w:t>
      </w:r>
      <w:r w:rsidRPr="0031675F">
        <w:t>bath</w:t>
      </w:r>
      <w:r w:rsidRPr="0031675F">
        <w:rPr>
          <w:spacing w:val="12"/>
        </w:rPr>
        <w:t xml:space="preserve"> </w:t>
      </w:r>
      <w:r w:rsidRPr="0031675F">
        <w:t>temperature</w:t>
      </w:r>
      <w:r w:rsidRPr="0031675F">
        <w:rPr>
          <w:spacing w:val="47"/>
        </w:rPr>
        <w:t xml:space="preserve"> </w:t>
      </w:r>
      <w:r w:rsidRPr="0031675F">
        <w:t>while</w:t>
      </w:r>
      <w:r w:rsidRPr="0031675F">
        <w:rPr>
          <w:spacing w:val="24"/>
        </w:rPr>
        <w:t xml:space="preserve"> </w:t>
      </w:r>
      <w:r w:rsidRPr="0031675F">
        <w:t>in</w:t>
      </w:r>
      <w:r w:rsidRPr="0031675F">
        <w:rPr>
          <w:spacing w:val="23"/>
        </w:rPr>
        <w:t xml:space="preserve"> </w:t>
      </w:r>
      <w:r w:rsidRPr="0031675F">
        <w:t>the</w:t>
      </w:r>
      <w:r w:rsidRPr="0031675F">
        <w:rPr>
          <w:spacing w:val="25"/>
        </w:rPr>
        <w:t xml:space="preserve"> </w:t>
      </w:r>
      <w:r w:rsidRPr="0031675F">
        <w:t>heat</w:t>
      </w:r>
      <w:r w:rsidRPr="0031675F">
        <w:rPr>
          <w:spacing w:val="25"/>
        </w:rPr>
        <w:t xml:space="preserve"> </w:t>
      </w:r>
      <w:r w:rsidRPr="0031675F">
        <w:t>exchanger,</w:t>
      </w:r>
      <w:r w:rsidRPr="0031675F">
        <w:rPr>
          <w:spacing w:val="24"/>
        </w:rPr>
        <w:t xml:space="preserve"> </w:t>
      </w:r>
      <w:r w:rsidRPr="0031675F">
        <w:t>however</w:t>
      </w:r>
      <w:r w:rsidRPr="0031675F">
        <w:rPr>
          <w:spacing w:val="25"/>
        </w:rPr>
        <w:t xml:space="preserve"> </w:t>
      </w:r>
      <w:r w:rsidRPr="0031675F">
        <w:t>this</w:t>
      </w:r>
      <w:r w:rsidRPr="0031675F">
        <w:rPr>
          <w:spacing w:val="25"/>
        </w:rPr>
        <w:t xml:space="preserve"> </w:t>
      </w:r>
      <w:r w:rsidRPr="0031675F">
        <w:t>practice</w:t>
      </w:r>
      <w:r w:rsidRPr="0031675F">
        <w:rPr>
          <w:spacing w:val="25"/>
        </w:rPr>
        <w:t xml:space="preserve"> </w:t>
      </w:r>
      <w:r w:rsidRPr="0031675F">
        <w:t>may</w:t>
      </w:r>
      <w:r w:rsidRPr="0031675F">
        <w:rPr>
          <w:spacing w:val="25"/>
        </w:rPr>
        <w:t xml:space="preserve"> </w:t>
      </w:r>
      <w:r w:rsidRPr="0031675F">
        <w:t>not</w:t>
      </w:r>
      <w:r w:rsidRPr="0031675F">
        <w:rPr>
          <w:spacing w:val="25"/>
        </w:rPr>
        <w:t xml:space="preserve"> </w:t>
      </w:r>
      <w:r w:rsidRPr="0031675F">
        <w:t>give</w:t>
      </w:r>
      <w:r w:rsidRPr="0031675F">
        <w:rPr>
          <w:spacing w:val="25"/>
        </w:rPr>
        <w:t xml:space="preserve"> </w:t>
      </w:r>
      <w:r w:rsidRPr="0031675F">
        <w:t>the</w:t>
      </w:r>
      <w:r w:rsidRPr="0031675F">
        <w:rPr>
          <w:spacing w:val="22"/>
        </w:rPr>
        <w:t xml:space="preserve"> </w:t>
      </w:r>
      <w:r w:rsidRPr="0031675F">
        <w:t>most</w:t>
      </w:r>
      <w:r w:rsidRPr="0031675F">
        <w:rPr>
          <w:spacing w:val="24"/>
        </w:rPr>
        <w:t xml:space="preserve"> </w:t>
      </w:r>
      <w:r w:rsidRPr="0031675F">
        <w:t>accurate</w:t>
      </w:r>
      <w:r w:rsidRPr="0031675F">
        <w:rPr>
          <w:spacing w:val="23"/>
        </w:rPr>
        <w:t xml:space="preserve"> </w:t>
      </w:r>
      <w:r w:rsidRPr="0031675F">
        <w:t>results</w:t>
      </w:r>
      <w:r w:rsidRPr="0031675F">
        <w:rPr>
          <w:spacing w:val="55"/>
        </w:rPr>
        <w:t xml:space="preserve"> </w:t>
      </w:r>
      <w:r w:rsidRPr="0031675F">
        <w:t>obtainable. To measure</w:t>
      </w:r>
      <w:r w:rsidRPr="0031675F">
        <w:rPr>
          <w:spacing w:val="-2"/>
        </w:rPr>
        <w:t xml:space="preserve"> </w:t>
      </w:r>
      <w:r w:rsidRPr="0031675F">
        <w:t>the conductivity</w:t>
      </w:r>
      <w:r w:rsidRPr="0031675F">
        <w:rPr>
          <w:spacing w:val="-2"/>
        </w:rPr>
        <w:t xml:space="preserve"> </w:t>
      </w:r>
      <w:r w:rsidRPr="0031675F">
        <w:t>of a given</w:t>
      </w:r>
      <w:r w:rsidRPr="0031675F">
        <w:rPr>
          <w:spacing w:val="-3"/>
        </w:rPr>
        <w:t xml:space="preserve"> </w:t>
      </w:r>
      <w:r w:rsidRPr="0031675F">
        <w:t xml:space="preserve">sample, </w:t>
      </w:r>
      <w:r w:rsidRPr="0031675F">
        <w:rPr>
          <w:spacing w:val="-2"/>
        </w:rPr>
        <w:t>do</w:t>
      </w:r>
      <w:r w:rsidRPr="0031675F">
        <w:rPr>
          <w:spacing w:val="1"/>
        </w:rPr>
        <w:t xml:space="preserve"> </w:t>
      </w:r>
      <w:r w:rsidRPr="0031675F">
        <w:rPr>
          <w:spacing w:val="-2"/>
        </w:rPr>
        <w:t>the</w:t>
      </w:r>
      <w:r w:rsidRPr="0031675F">
        <w:t xml:space="preserve"> following:</w:t>
      </w:r>
    </w:p>
    <w:p w14:paraId="2E7774A1" w14:textId="77777777" w:rsidR="0031675F" w:rsidRPr="0031675F" w:rsidRDefault="0031675F" w:rsidP="0031675F">
      <w:pPr>
        <w:widowControl w:val="0"/>
        <w:numPr>
          <w:ilvl w:val="0"/>
          <w:numId w:val="130"/>
        </w:numPr>
        <w:tabs>
          <w:tab w:val="left" w:pos="547"/>
        </w:tabs>
        <w:spacing w:before="0" w:after="0" w:line="240" w:lineRule="auto"/>
        <w:jc w:val="both"/>
      </w:pPr>
      <w:r w:rsidRPr="0031675F">
        <w:rPr>
          <w:spacing w:val="-1"/>
        </w:rPr>
        <w:t>Install</w:t>
      </w:r>
      <w:r w:rsidRPr="0031675F">
        <w:t xml:space="preserve"> </w:t>
      </w:r>
      <w:r w:rsidRPr="0031675F">
        <w:rPr>
          <w:spacing w:val="-1"/>
        </w:rPr>
        <w:t>sample</w:t>
      </w:r>
      <w:r w:rsidRPr="0031675F">
        <w:t xml:space="preserve"> </w:t>
      </w:r>
      <w:r w:rsidRPr="0031675F">
        <w:rPr>
          <w:spacing w:val="-1"/>
        </w:rPr>
        <w:t>bottle</w:t>
      </w:r>
      <w:r w:rsidRPr="0031675F">
        <w:rPr>
          <w:spacing w:val="-3"/>
        </w:rPr>
        <w:t xml:space="preserve"> </w:t>
      </w:r>
      <w:r w:rsidRPr="0031675F">
        <w:rPr>
          <w:spacing w:val="-1"/>
        </w:rPr>
        <w:t xml:space="preserve">by </w:t>
      </w:r>
      <w:r w:rsidRPr="0031675F">
        <w:t>the</w:t>
      </w:r>
      <w:r w:rsidRPr="0031675F">
        <w:rPr>
          <w:spacing w:val="-3"/>
        </w:rPr>
        <w:t xml:space="preserve"> </w:t>
      </w:r>
      <w:r w:rsidRPr="0031675F">
        <w:rPr>
          <w:spacing w:val="-1"/>
        </w:rPr>
        <w:t>following</w:t>
      </w:r>
      <w:r w:rsidRPr="0031675F">
        <w:rPr>
          <w:spacing w:val="-2"/>
        </w:rPr>
        <w:t xml:space="preserve"> </w:t>
      </w:r>
      <w:r w:rsidRPr="0031675F">
        <w:rPr>
          <w:spacing w:val="-1"/>
        </w:rPr>
        <w:t>steps:</w:t>
      </w:r>
    </w:p>
    <w:p w14:paraId="37C22153" w14:textId="3E4B244C" w:rsidR="0031675F" w:rsidRPr="0031675F" w:rsidRDefault="0031675F" w:rsidP="0031675F">
      <w:pPr>
        <w:widowControl w:val="0"/>
        <w:numPr>
          <w:ilvl w:val="1"/>
          <w:numId w:val="130"/>
        </w:numPr>
        <w:tabs>
          <w:tab w:val="left" w:pos="971"/>
        </w:tabs>
        <w:spacing w:before="0" w:after="0" w:line="240" w:lineRule="auto"/>
        <w:ind w:right="118" w:hanging="424"/>
        <w:jc w:val="both"/>
      </w:pPr>
      <w:r w:rsidRPr="0031675F">
        <w:t>Write</w:t>
      </w:r>
      <w:r w:rsidRPr="0031675F">
        <w:rPr>
          <w:spacing w:val="5"/>
        </w:rPr>
        <w:t xml:space="preserve"> </w:t>
      </w:r>
      <w:r w:rsidRPr="0031675F">
        <w:rPr>
          <w:spacing w:val="-1"/>
        </w:rPr>
        <w:t>information</w:t>
      </w:r>
      <w:r w:rsidRPr="0031675F">
        <w:rPr>
          <w:spacing w:val="4"/>
        </w:rPr>
        <w:t xml:space="preserve"> </w:t>
      </w:r>
      <w:r w:rsidRPr="0031675F">
        <w:rPr>
          <w:spacing w:val="-1"/>
        </w:rPr>
        <w:t>about</w:t>
      </w:r>
      <w:r w:rsidRPr="0031675F">
        <w:rPr>
          <w:spacing w:val="5"/>
        </w:rPr>
        <w:t xml:space="preserve"> </w:t>
      </w:r>
      <w:r w:rsidRPr="0031675F">
        <w:rPr>
          <w:spacing w:val="-1"/>
        </w:rPr>
        <w:t>sample</w:t>
      </w:r>
      <w:r w:rsidRPr="0031675F">
        <w:rPr>
          <w:spacing w:val="5"/>
        </w:rPr>
        <w:t xml:space="preserve"> </w:t>
      </w:r>
      <w:r w:rsidRPr="0031675F">
        <w:t>on</w:t>
      </w:r>
      <w:r w:rsidRPr="0031675F">
        <w:rPr>
          <w:spacing w:val="4"/>
        </w:rPr>
        <w:t xml:space="preserve"> </w:t>
      </w:r>
      <w:r w:rsidRPr="0031675F">
        <w:rPr>
          <w:spacing w:val="-1"/>
        </w:rPr>
        <w:t>sample</w:t>
      </w:r>
      <w:r w:rsidRPr="0031675F">
        <w:rPr>
          <w:spacing w:val="5"/>
        </w:rPr>
        <w:t xml:space="preserve"> </w:t>
      </w:r>
      <w:r w:rsidRPr="0031675F">
        <w:rPr>
          <w:spacing w:val="-1"/>
        </w:rPr>
        <w:t>sheet</w:t>
      </w:r>
      <w:r w:rsidRPr="0031675F">
        <w:rPr>
          <w:spacing w:val="5"/>
        </w:rPr>
        <w:t xml:space="preserve"> </w:t>
      </w:r>
      <w:r w:rsidRPr="0031675F">
        <w:rPr>
          <w:spacing w:val="-1"/>
        </w:rPr>
        <w:t>(an</w:t>
      </w:r>
      <w:r w:rsidRPr="0031675F">
        <w:rPr>
          <w:spacing w:val="2"/>
        </w:rPr>
        <w:t xml:space="preserve"> </w:t>
      </w:r>
      <w:r w:rsidRPr="0031675F">
        <w:rPr>
          <w:spacing w:val="-1"/>
        </w:rPr>
        <w:t>example</w:t>
      </w:r>
      <w:r w:rsidRPr="0031675F">
        <w:rPr>
          <w:spacing w:val="5"/>
        </w:rPr>
        <w:t xml:space="preserve"> </w:t>
      </w:r>
      <w:r w:rsidRPr="0031675F">
        <w:t>of</w:t>
      </w:r>
      <w:r w:rsidRPr="0031675F">
        <w:rPr>
          <w:spacing w:val="5"/>
        </w:rPr>
        <w:t xml:space="preserve"> </w:t>
      </w:r>
      <w:r w:rsidRPr="0031675F">
        <w:rPr>
          <w:spacing w:val="-1"/>
        </w:rPr>
        <w:t>this</w:t>
      </w:r>
      <w:r w:rsidRPr="0031675F">
        <w:rPr>
          <w:spacing w:val="5"/>
        </w:rPr>
        <w:t xml:space="preserve"> </w:t>
      </w:r>
      <w:r w:rsidRPr="0031675F">
        <w:rPr>
          <w:spacing w:val="-1"/>
        </w:rPr>
        <w:t>logsheet</w:t>
      </w:r>
      <w:r w:rsidRPr="0031675F">
        <w:rPr>
          <w:spacing w:val="5"/>
        </w:rPr>
        <w:t xml:space="preserve"> </w:t>
      </w:r>
      <w:r w:rsidRPr="0031675F">
        <w:rPr>
          <w:spacing w:val="-1"/>
        </w:rPr>
        <w:t>can</w:t>
      </w:r>
      <w:r w:rsidRPr="0031675F">
        <w:rPr>
          <w:spacing w:val="4"/>
        </w:rPr>
        <w:t xml:space="preserve"> </w:t>
      </w:r>
      <w:r w:rsidRPr="0031675F">
        <w:rPr>
          <w:spacing w:val="-1"/>
        </w:rPr>
        <w:t>found</w:t>
      </w:r>
      <w:r w:rsidRPr="0031675F">
        <w:rPr>
          <w:spacing w:val="4"/>
        </w:rPr>
        <w:t xml:space="preserve"> </w:t>
      </w:r>
      <w:r w:rsidR="00723F0F">
        <w:t>below</w:t>
      </w:r>
      <w:r w:rsidRPr="0031675F">
        <w:t>)</w:t>
      </w:r>
    </w:p>
    <w:p w14:paraId="2D854904" w14:textId="77777777" w:rsidR="0031675F" w:rsidRPr="0031675F" w:rsidRDefault="0031675F" w:rsidP="0031675F">
      <w:pPr>
        <w:widowControl w:val="0"/>
        <w:numPr>
          <w:ilvl w:val="1"/>
          <w:numId w:val="130"/>
        </w:numPr>
        <w:tabs>
          <w:tab w:val="left" w:pos="971"/>
        </w:tabs>
        <w:spacing w:before="0" w:after="0" w:line="240" w:lineRule="auto"/>
        <w:ind w:hanging="424"/>
      </w:pPr>
      <w:r w:rsidRPr="0031675F">
        <w:t>Rock</w:t>
      </w:r>
      <w:r w:rsidRPr="0031675F">
        <w:rPr>
          <w:spacing w:val="-2"/>
        </w:rPr>
        <w:t xml:space="preserve"> </w:t>
      </w:r>
      <w:r w:rsidRPr="0031675F">
        <w:rPr>
          <w:spacing w:val="-1"/>
        </w:rPr>
        <w:t>sample</w:t>
      </w:r>
      <w:r w:rsidRPr="0031675F">
        <w:t xml:space="preserve"> </w:t>
      </w:r>
      <w:r w:rsidRPr="0031675F">
        <w:rPr>
          <w:spacing w:val="-1"/>
        </w:rPr>
        <w:t xml:space="preserve">gently </w:t>
      </w:r>
      <w:r w:rsidRPr="0031675F">
        <w:t>to</w:t>
      </w:r>
      <w:r w:rsidRPr="0031675F">
        <w:rPr>
          <w:spacing w:val="-1"/>
        </w:rPr>
        <w:t xml:space="preserve"> eliminate</w:t>
      </w:r>
      <w:r w:rsidRPr="0031675F">
        <w:t xml:space="preserve"> </w:t>
      </w:r>
      <w:r w:rsidRPr="0031675F">
        <w:rPr>
          <w:spacing w:val="-1"/>
        </w:rPr>
        <w:t>gradients.</w:t>
      </w:r>
    </w:p>
    <w:p w14:paraId="6D4EEC73" w14:textId="77777777" w:rsidR="0031675F" w:rsidRPr="0031675F" w:rsidRDefault="0031675F" w:rsidP="0031675F">
      <w:pPr>
        <w:widowControl w:val="0"/>
        <w:numPr>
          <w:ilvl w:val="1"/>
          <w:numId w:val="130"/>
        </w:numPr>
        <w:tabs>
          <w:tab w:val="left" w:pos="971"/>
        </w:tabs>
        <w:spacing w:before="0" w:after="0" w:line="239" w:lineRule="auto"/>
        <w:ind w:right="108" w:hanging="424"/>
        <w:jc w:val="both"/>
      </w:pPr>
      <w:r w:rsidRPr="0031675F">
        <w:rPr>
          <w:spacing w:val="-1"/>
        </w:rPr>
        <w:t>Open</w:t>
      </w:r>
      <w:r w:rsidRPr="0031675F">
        <w:rPr>
          <w:spacing w:val="30"/>
        </w:rPr>
        <w:t xml:space="preserve"> </w:t>
      </w:r>
      <w:r w:rsidRPr="0031675F">
        <w:rPr>
          <w:spacing w:val="-1"/>
        </w:rPr>
        <w:t>bottle</w:t>
      </w:r>
      <w:r w:rsidRPr="0031675F">
        <w:rPr>
          <w:spacing w:val="32"/>
        </w:rPr>
        <w:t xml:space="preserve"> </w:t>
      </w:r>
      <w:r w:rsidRPr="0031675F">
        <w:rPr>
          <w:spacing w:val="-1"/>
        </w:rPr>
        <w:t>and</w:t>
      </w:r>
      <w:r w:rsidRPr="0031675F">
        <w:rPr>
          <w:spacing w:val="31"/>
        </w:rPr>
        <w:t xml:space="preserve"> </w:t>
      </w:r>
      <w:r w:rsidRPr="0031675F">
        <w:rPr>
          <w:spacing w:val="-1"/>
        </w:rPr>
        <w:t>place</w:t>
      </w:r>
      <w:r w:rsidRPr="0031675F">
        <w:rPr>
          <w:spacing w:val="30"/>
        </w:rPr>
        <w:t xml:space="preserve"> </w:t>
      </w:r>
      <w:r w:rsidRPr="0031675F">
        <w:t>in</w:t>
      </w:r>
      <w:r w:rsidRPr="0031675F">
        <w:rPr>
          <w:spacing w:val="28"/>
        </w:rPr>
        <w:t xml:space="preserve"> </w:t>
      </w:r>
      <w:r w:rsidRPr="0031675F">
        <w:rPr>
          <w:spacing w:val="-1"/>
        </w:rPr>
        <w:t>holder,</w:t>
      </w:r>
      <w:r w:rsidRPr="0031675F">
        <w:rPr>
          <w:spacing w:val="31"/>
        </w:rPr>
        <w:t xml:space="preserve"> </w:t>
      </w:r>
      <w:r w:rsidRPr="0031675F">
        <w:rPr>
          <w:spacing w:val="-1"/>
        </w:rPr>
        <w:t>inserting</w:t>
      </w:r>
      <w:r w:rsidRPr="0031675F">
        <w:rPr>
          <w:spacing w:val="31"/>
        </w:rPr>
        <w:t xml:space="preserve"> </w:t>
      </w:r>
      <w:r w:rsidRPr="0031675F">
        <w:rPr>
          <w:spacing w:val="-1"/>
        </w:rPr>
        <w:t>pick-up</w:t>
      </w:r>
      <w:r w:rsidRPr="0031675F">
        <w:rPr>
          <w:spacing w:val="30"/>
        </w:rPr>
        <w:t xml:space="preserve"> </w:t>
      </w:r>
      <w:r w:rsidRPr="0031675F">
        <w:rPr>
          <w:spacing w:val="-1"/>
        </w:rPr>
        <w:t>tube</w:t>
      </w:r>
      <w:r w:rsidRPr="0031675F">
        <w:rPr>
          <w:spacing w:val="32"/>
        </w:rPr>
        <w:t xml:space="preserve"> </w:t>
      </w:r>
      <w:r w:rsidRPr="0031675F">
        <w:rPr>
          <w:spacing w:val="-1"/>
        </w:rPr>
        <w:t>into</w:t>
      </w:r>
      <w:r w:rsidRPr="0031675F">
        <w:rPr>
          <w:spacing w:val="33"/>
        </w:rPr>
        <w:t xml:space="preserve"> </w:t>
      </w:r>
      <w:r w:rsidRPr="0031675F">
        <w:rPr>
          <w:spacing w:val="-1"/>
        </w:rPr>
        <w:t>bottle</w:t>
      </w:r>
      <w:r w:rsidRPr="0031675F">
        <w:rPr>
          <w:spacing w:val="31"/>
        </w:rPr>
        <w:t xml:space="preserve"> </w:t>
      </w:r>
      <w:r w:rsidRPr="0031675F">
        <w:rPr>
          <w:spacing w:val="-1"/>
        </w:rPr>
        <w:t>neck</w:t>
      </w:r>
      <w:r w:rsidRPr="0031675F">
        <w:rPr>
          <w:spacing w:val="34"/>
        </w:rPr>
        <w:t xml:space="preserve"> </w:t>
      </w:r>
      <w:r w:rsidRPr="0031675F">
        <w:rPr>
          <w:spacing w:val="-1"/>
        </w:rPr>
        <w:t>and</w:t>
      </w:r>
      <w:r w:rsidRPr="0031675F">
        <w:rPr>
          <w:spacing w:val="28"/>
        </w:rPr>
        <w:t xml:space="preserve"> </w:t>
      </w:r>
      <w:r w:rsidRPr="0031675F">
        <w:t>hold</w:t>
      </w:r>
      <w:r w:rsidRPr="0031675F">
        <w:rPr>
          <w:spacing w:val="30"/>
        </w:rPr>
        <w:t xml:space="preserve"> </w:t>
      </w:r>
      <w:r w:rsidRPr="0031675F">
        <w:rPr>
          <w:spacing w:val="-1"/>
        </w:rPr>
        <w:t>bottle</w:t>
      </w:r>
      <w:r w:rsidRPr="0031675F">
        <w:rPr>
          <w:spacing w:val="69"/>
        </w:rPr>
        <w:t xml:space="preserve"> </w:t>
      </w:r>
      <w:r w:rsidRPr="0031675F">
        <w:rPr>
          <w:spacing w:val="-1"/>
        </w:rPr>
        <w:t>mouth</w:t>
      </w:r>
      <w:r w:rsidRPr="0031675F">
        <w:rPr>
          <w:spacing w:val="14"/>
        </w:rPr>
        <w:t xml:space="preserve"> </w:t>
      </w:r>
      <w:r w:rsidRPr="0031675F">
        <w:rPr>
          <w:spacing w:val="-1"/>
        </w:rPr>
        <w:t>over</w:t>
      </w:r>
      <w:r w:rsidRPr="0031675F">
        <w:rPr>
          <w:spacing w:val="14"/>
        </w:rPr>
        <w:t xml:space="preserve"> </w:t>
      </w:r>
      <w:r w:rsidRPr="0031675F">
        <w:rPr>
          <w:spacing w:val="-1"/>
        </w:rPr>
        <w:t>rubber</w:t>
      </w:r>
      <w:r w:rsidRPr="0031675F">
        <w:rPr>
          <w:spacing w:val="14"/>
        </w:rPr>
        <w:t xml:space="preserve"> </w:t>
      </w:r>
      <w:r w:rsidRPr="0031675F">
        <w:rPr>
          <w:spacing w:val="-1"/>
        </w:rPr>
        <w:t>stopper7.</w:t>
      </w:r>
      <w:r w:rsidRPr="0031675F">
        <w:rPr>
          <w:spacing w:val="14"/>
        </w:rPr>
        <w:t xml:space="preserve"> </w:t>
      </w:r>
      <w:r w:rsidRPr="0031675F">
        <w:rPr>
          <w:spacing w:val="-1"/>
        </w:rPr>
        <w:t>Ensure</w:t>
      </w:r>
      <w:r w:rsidRPr="0031675F">
        <w:rPr>
          <w:spacing w:val="15"/>
        </w:rPr>
        <w:t xml:space="preserve"> </w:t>
      </w:r>
      <w:r w:rsidRPr="0031675F">
        <w:t>that</w:t>
      </w:r>
      <w:r w:rsidRPr="0031675F">
        <w:rPr>
          <w:spacing w:val="14"/>
        </w:rPr>
        <w:t xml:space="preserve"> </w:t>
      </w:r>
      <w:r w:rsidRPr="0031675F">
        <w:rPr>
          <w:spacing w:val="-1"/>
        </w:rPr>
        <w:t>pick-up</w:t>
      </w:r>
      <w:r w:rsidRPr="0031675F">
        <w:rPr>
          <w:spacing w:val="14"/>
        </w:rPr>
        <w:t xml:space="preserve"> </w:t>
      </w:r>
      <w:r w:rsidRPr="0031675F">
        <w:rPr>
          <w:spacing w:val="-1"/>
        </w:rPr>
        <w:t>tube</w:t>
      </w:r>
      <w:r w:rsidRPr="0031675F">
        <w:rPr>
          <w:spacing w:val="15"/>
        </w:rPr>
        <w:t xml:space="preserve"> </w:t>
      </w:r>
      <w:r w:rsidRPr="0031675F">
        <w:t>reaches</w:t>
      </w:r>
      <w:r w:rsidRPr="0031675F">
        <w:rPr>
          <w:spacing w:val="14"/>
        </w:rPr>
        <w:t xml:space="preserve"> </w:t>
      </w:r>
      <w:r w:rsidRPr="0031675F">
        <w:rPr>
          <w:spacing w:val="-1"/>
        </w:rPr>
        <w:t>almost</w:t>
      </w:r>
      <w:r w:rsidRPr="0031675F">
        <w:rPr>
          <w:spacing w:val="15"/>
        </w:rPr>
        <w:t xml:space="preserve"> </w:t>
      </w:r>
      <w:r w:rsidRPr="0031675F">
        <w:rPr>
          <w:spacing w:val="-1"/>
        </w:rPr>
        <w:t>to</w:t>
      </w:r>
      <w:r w:rsidRPr="0031675F">
        <w:rPr>
          <w:spacing w:val="15"/>
        </w:rPr>
        <w:t xml:space="preserve"> </w:t>
      </w:r>
      <w:r w:rsidRPr="0031675F">
        <w:rPr>
          <w:spacing w:val="-2"/>
        </w:rPr>
        <w:t>bottom</w:t>
      </w:r>
      <w:r w:rsidRPr="0031675F">
        <w:rPr>
          <w:spacing w:val="15"/>
        </w:rPr>
        <w:t xml:space="preserve"> </w:t>
      </w:r>
      <w:r w:rsidRPr="0031675F">
        <w:t>of</w:t>
      </w:r>
      <w:r w:rsidRPr="0031675F">
        <w:rPr>
          <w:spacing w:val="14"/>
        </w:rPr>
        <w:t xml:space="preserve"> </w:t>
      </w:r>
      <w:r w:rsidRPr="0031675F">
        <w:rPr>
          <w:spacing w:val="-1"/>
        </w:rPr>
        <w:t>bottle</w:t>
      </w:r>
      <w:r w:rsidRPr="0031675F">
        <w:rPr>
          <w:spacing w:val="49"/>
        </w:rPr>
        <w:t xml:space="preserve"> </w:t>
      </w:r>
      <w:r w:rsidRPr="0031675F">
        <w:rPr>
          <w:spacing w:val="-1"/>
        </w:rPr>
        <w:t>such</w:t>
      </w:r>
      <w:r w:rsidRPr="0031675F">
        <w:rPr>
          <w:spacing w:val="2"/>
        </w:rPr>
        <w:t xml:space="preserve"> </w:t>
      </w:r>
      <w:r w:rsidRPr="0031675F">
        <w:t>that</w:t>
      </w:r>
      <w:r w:rsidRPr="0031675F">
        <w:rPr>
          <w:spacing w:val="3"/>
        </w:rPr>
        <w:t xml:space="preserve"> </w:t>
      </w:r>
      <w:r w:rsidRPr="0031675F">
        <w:rPr>
          <w:spacing w:val="-1"/>
        </w:rPr>
        <w:t>flow</w:t>
      </w:r>
      <w:r w:rsidRPr="0031675F">
        <w:rPr>
          <w:spacing w:val="1"/>
        </w:rPr>
        <w:t xml:space="preserve"> </w:t>
      </w:r>
      <w:r w:rsidRPr="0031675F">
        <w:t>will</w:t>
      </w:r>
      <w:r w:rsidRPr="0031675F">
        <w:rPr>
          <w:spacing w:val="3"/>
        </w:rPr>
        <w:t xml:space="preserve"> </w:t>
      </w:r>
      <w:r w:rsidRPr="0031675F">
        <w:rPr>
          <w:spacing w:val="-1"/>
        </w:rPr>
        <w:t>not</w:t>
      </w:r>
      <w:r w:rsidRPr="0031675F">
        <w:rPr>
          <w:spacing w:val="1"/>
        </w:rPr>
        <w:t xml:space="preserve"> </w:t>
      </w:r>
      <w:r w:rsidRPr="0031675F">
        <w:rPr>
          <w:spacing w:val="-1"/>
        </w:rPr>
        <w:t>be</w:t>
      </w:r>
      <w:r w:rsidRPr="0031675F">
        <w:rPr>
          <w:spacing w:val="4"/>
        </w:rPr>
        <w:t xml:space="preserve"> </w:t>
      </w:r>
      <w:r w:rsidRPr="0031675F">
        <w:rPr>
          <w:spacing w:val="-1"/>
        </w:rPr>
        <w:t>restricted.</w:t>
      </w:r>
      <w:r w:rsidRPr="0031675F">
        <w:rPr>
          <w:spacing w:val="2"/>
        </w:rPr>
        <w:t xml:space="preserve"> </w:t>
      </w:r>
      <w:r w:rsidRPr="0031675F">
        <w:rPr>
          <w:spacing w:val="-1"/>
        </w:rPr>
        <w:t>Care</w:t>
      </w:r>
      <w:r w:rsidRPr="0031675F">
        <w:rPr>
          <w:spacing w:val="1"/>
        </w:rPr>
        <w:t xml:space="preserve"> </w:t>
      </w:r>
      <w:r w:rsidRPr="0031675F">
        <w:rPr>
          <w:spacing w:val="-1"/>
        </w:rPr>
        <w:t>must</w:t>
      </w:r>
      <w:r w:rsidRPr="0031675F">
        <w:rPr>
          <w:spacing w:val="3"/>
        </w:rPr>
        <w:t xml:space="preserve"> </w:t>
      </w:r>
      <w:r w:rsidRPr="0031675F">
        <w:rPr>
          <w:spacing w:val="-2"/>
        </w:rPr>
        <w:t>be</w:t>
      </w:r>
      <w:r w:rsidRPr="0031675F">
        <w:rPr>
          <w:spacing w:val="4"/>
        </w:rPr>
        <w:t xml:space="preserve"> </w:t>
      </w:r>
      <w:r w:rsidRPr="0031675F">
        <w:rPr>
          <w:spacing w:val="-1"/>
        </w:rPr>
        <w:t>exercised</w:t>
      </w:r>
      <w:r w:rsidRPr="0031675F">
        <w:rPr>
          <w:spacing w:val="3"/>
        </w:rPr>
        <w:t xml:space="preserve"> </w:t>
      </w:r>
      <w:r w:rsidRPr="0031675F">
        <w:rPr>
          <w:spacing w:val="-1"/>
        </w:rPr>
        <w:t>not</w:t>
      </w:r>
      <w:r w:rsidRPr="0031675F">
        <w:rPr>
          <w:spacing w:val="3"/>
        </w:rPr>
        <w:t xml:space="preserve"> </w:t>
      </w:r>
      <w:r w:rsidRPr="0031675F">
        <w:rPr>
          <w:spacing w:val="-1"/>
        </w:rPr>
        <w:t>to</w:t>
      </w:r>
      <w:r w:rsidRPr="0031675F">
        <w:t xml:space="preserve"> </w:t>
      </w:r>
      <w:r w:rsidRPr="0031675F">
        <w:rPr>
          <w:spacing w:val="4"/>
        </w:rPr>
        <w:t xml:space="preserve"> </w:t>
      </w:r>
      <w:r w:rsidRPr="0031675F">
        <w:rPr>
          <w:spacing w:val="-1"/>
        </w:rPr>
        <w:t>contaminate</w:t>
      </w:r>
      <w:r w:rsidRPr="0031675F">
        <w:t xml:space="preserve"> </w:t>
      </w:r>
      <w:r w:rsidRPr="0031675F">
        <w:rPr>
          <w:spacing w:val="1"/>
        </w:rPr>
        <w:t xml:space="preserve"> </w:t>
      </w:r>
      <w:r w:rsidRPr="0031675F">
        <w:rPr>
          <w:spacing w:val="-1"/>
        </w:rPr>
        <w:t>the</w:t>
      </w:r>
      <w:r w:rsidRPr="0031675F">
        <w:rPr>
          <w:spacing w:val="35"/>
        </w:rPr>
        <w:t xml:space="preserve"> </w:t>
      </w:r>
      <w:r w:rsidRPr="0031675F">
        <w:rPr>
          <w:spacing w:val="-1"/>
        </w:rPr>
        <w:t>sample.</w:t>
      </w:r>
      <w:r w:rsidRPr="0031675F">
        <w:rPr>
          <w:spacing w:val="14"/>
        </w:rPr>
        <w:t xml:space="preserve"> </w:t>
      </w:r>
      <w:r w:rsidRPr="0031675F">
        <w:rPr>
          <w:spacing w:val="-1"/>
        </w:rPr>
        <w:t>Do</w:t>
      </w:r>
      <w:r w:rsidRPr="0031675F">
        <w:rPr>
          <w:spacing w:val="18"/>
        </w:rPr>
        <w:t xml:space="preserve"> </w:t>
      </w:r>
      <w:r w:rsidRPr="0031675F">
        <w:rPr>
          <w:spacing w:val="-1"/>
        </w:rPr>
        <w:t>not</w:t>
      </w:r>
      <w:r w:rsidRPr="0031675F">
        <w:rPr>
          <w:spacing w:val="17"/>
        </w:rPr>
        <w:t xml:space="preserve"> </w:t>
      </w:r>
      <w:r w:rsidRPr="0031675F">
        <w:rPr>
          <w:spacing w:val="-1"/>
        </w:rPr>
        <w:t>handle</w:t>
      </w:r>
      <w:r w:rsidRPr="0031675F">
        <w:rPr>
          <w:spacing w:val="17"/>
        </w:rPr>
        <w:t xml:space="preserve"> </w:t>
      </w:r>
      <w:r w:rsidRPr="0031675F">
        <w:t>the</w:t>
      </w:r>
      <w:r w:rsidRPr="0031675F">
        <w:rPr>
          <w:spacing w:val="14"/>
        </w:rPr>
        <w:t xml:space="preserve"> </w:t>
      </w:r>
      <w:r w:rsidRPr="0031675F">
        <w:rPr>
          <w:spacing w:val="-1"/>
        </w:rPr>
        <w:t>pick-up</w:t>
      </w:r>
      <w:r w:rsidRPr="0031675F">
        <w:rPr>
          <w:spacing w:val="16"/>
        </w:rPr>
        <w:t xml:space="preserve"> </w:t>
      </w:r>
      <w:r w:rsidRPr="0031675F">
        <w:rPr>
          <w:spacing w:val="-1"/>
        </w:rPr>
        <w:t>tube,</w:t>
      </w:r>
      <w:r w:rsidRPr="0031675F">
        <w:rPr>
          <w:spacing w:val="17"/>
        </w:rPr>
        <w:t xml:space="preserve"> </w:t>
      </w:r>
      <w:r w:rsidRPr="0031675F">
        <w:rPr>
          <w:spacing w:val="-1"/>
        </w:rPr>
        <w:t>rubber</w:t>
      </w:r>
      <w:r w:rsidRPr="0031675F">
        <w:rPr>
          <w:spacing w:val="17"/>
        </w:rPr>
        <w:t xml:space="preserve"> </w:t>
      </w:r>
      <w:r w:rsidRPr="0031675F">
        <w:rPr>
          <w:spacing w:val="-1"/>
        </w:rPr>
        <w:t>stopper</w:t>
      </w:r>
      <w:r w:rsidRPr="0031675F">
        <w:rPr>
          <w:spacing w:val="17"/>
        </w:rPr>
        <w:t xml:space="preserve"> </w:t>
      </w:r>
      <w:r w:rsidRPr="0031675F">
        <w:t>or</w:t>
      </w:r>
      <w:r w:rsidRPr="0031675F">
        <w:rPr>
          <w:spacing w:val="17"/>
        </w:rPr>
        <w:t xml:space="preserve"> </w:t>
      </w:r>
      <w:r w:rsidRPr="0031675F">
        <w:rPr>
          <w:spacing w:val="-1"/>
        </w:rPr>
        <w:t>neck</w:t>
      </w:r>
      <w:r w:rsidRPr="0031675F">
        <w:rPr>
          <w:spacing w:val="15"/>
        </w:rPr>
        <w:t xml:space="preserve"> </w:t>
      </w:r>
      <w:r w:rsidRPr="0031675F">
        <w:t>of</w:t>
      </w:r>
      <w:r w:rsidRPr="0031675F">
        <w:rPr>
          <w:spacing w:val="14"/>
        </w:rPr>
        <w:t xml:space="preserve"> </w:t>
      </w:r>
      <w:r w:rsidRPr="0031675F">
        <w:t>the</w:t>
      </w:r>
      <w:r w:rsidRPr="0031675F">
        <w:rPr>
          <w:spacing w:val="17"/>
        </w:rPr>
        <w:t xml:space="preserve"> </w:t>
      </w:r>
      <w:r w:rsidRPr="0031675F">
        <w:rPr>
          <w:spacing w:val="-1"/>
        </w:rPr>
        <w:t>bottle</w:t>
      </w:r>
      <w:r w:rsidRPr="0031675F">
        <w:rPr>
          <w:spacing w:val="17"/>
        </w:rPr>
        <w:t xml:space="preserve"> </w:t>
      </w:r>
      <w:r w:rsidRPr="0031675F">
        <w:rPr>
          <w:spacing w:val="-1"/>
        </w:rPr>
        <w:t>except</w:t>
      </w:r>
      <w:r w:rsidRPr="0031675F">
        <w:rPr>
          <w:spacing w:val="15"/>
        </w:rPr>
        <w:t xml:space="preserve"> </w:t>
      </w:r>
      <w:r w:rsidRPr="0031675F">
        <w:rPr>
          <w:spacing w:val="-1"/>
        </w:rPr>
        <w:t>with</w:t>
      </w:r>
      <w:r w:rsidRPr="0031675F">
        <w:rPr>
          <w:spacing w:val="49"/>
        </w:rPr>
        <w:t xml:space="preserve"> </w:t>
      </w:r>
      <w:r w:rsidRPr="0031675F">
        <w:t>clean</w:t>
      </w:r>
      <w:r w:rsidRPr="0031675F">
        <w:rPr>
          <w:spacing w:val="4"/>
        </w:rPr>
        <w:t xml:space="preserve"> </w:t>
      </w:r>
      <w:r w:rsidRPr="0031675F">
        <w:rPr>
          <w:spacing w:val="-1"/>
        </w:rPr>
        <w:t>lint-free</w:t>
      </w:r>
      <w:r w:rsidRPr="0031675F">
        <w:rPr>
          <w:spacing w:val="3"/>
        </w:rPr>
        <w:t xml:space="preserve"> </w:t>
      </w:r>
      <w:r w:rsidRPr="0031675F">
        <w:t>tissue</w:t>
      </w:r>
      <w:r w:rsidRPr="0031675F">
        <w:rPr>
          <w:spacing w:val="5"/>
        </w:rPr>
        <w:t xml:space="preserve"> </w:t>
      </w:r>
      <w:r w:rsidRPr="0031675F">
        <w:rPr>
          <w:spacing w:val="-1"/>
        </w:rPr>
        <w:t>for</w:t>
      </w:r>
      <w:r w:rsidRPr="0031675F">
        <w:rPr>
          <w:spacing w:val="5"/>
        </w:rPr>
        <w:t xml:space="preserve"> </w:t>
      </w:r>
      <w:r w:rsidRPr="0031675F">
        <w:rPr>
          <w:spacing w:val="-1"/>
        </w:rPr>
        <w:t>wiping</w:t>
      </w:r>
      <w:r w:rsidRPr="0031675F">
        <w:rPr>
          <w:spacing w:val="4"/>
        </w:rPr>
        <w:t xml:space="preserve"> </w:t>
      </w:r>
      <w:r w:rsidRPr="0031675F">
        <w:t>or</w:t>
      </w:r>
      <w:r w:rsidRPr="0031675F">
        <w:rPr>
          <w:spacing w:val="5"/>
        </w:rPr>
        <w:t xml:space="preserve"> </w:t>
      </w:r>
      <w:r w:rsidRPr="0031675F">
        <w:rPr>
          <w:spacing w:val="-1"/>
        </w:rPr>
        <w:t>surgical</w:t>
      </w:r>
      <w:r w:rsidRPr="0031675F">
        <w:rPr>
          <w:spacing w:val="4"/>
        </w:rPr>
        <w:t xml:space="preserve"> </w:t>
      </w:r>
      <w:r w:rsidRPr="0031675F">
        <w:rPr>
          <w:spacing w:val="-1"/>
        </w:rPr>
        <w:t>gloves</w:t>
      </w:r>
      <w:r w:rsidRPr="0031675F">
        <w:rPr>
          <w:spacing w:val="5"/>
        </w:rPr>
        <w:t xml:space="preserve"> </w:t>
      </w:r>
      <w:r w:rsidRPr="0031675F">
        <w:rPr>
          <w:spacing w:val="-1"/>
        </w:rPr>
        <w:t>for</w:t>
      </w:r>
      <w:r w:rsidRPr="0031675F">
        <w:rPr>
          <w:spacing w:val="2"/>
        </w:rPr>
        <w:t xml:space="preserve"> </w:t>
      </w:r>
      <w:r w:rsidRPr="0031675F">
        <w:rPr>
          <w:spacing w:val="-1"/>
        </w:rPr>
        <w:t>handling.</w:t>
      </w:r>
      <w:r w:rsidRPr="0031675F">
        <w:rPr>
          <w:spacing w:val="4"/>
        </w:rPr>
        <w:t xml:space="preserve"> </w:t>
      </w:r>
      <w:r w:rsidRPr="0031675F">
        <w:rPr>
          <w:spacing w:val="-1"/>
        </w:rPr>
        <w:t>Insert</w:t>
      </w:r>
      <w:r w:rsidRPr="0031675F">
        <w:rPr>
          <w:spacing w:val="5"/>
        </w:rPr>
        <w:t xml:space="preserve"> </w:t>
      </w:r>
      <w:r w:rsidRPr="0031675F">
        <w:t>the</w:t>
      </w:r>
      <w:r w:rsidRPr="0031675F">
        <w:rPr>
          <w:spacing w:val="5"/>
        </w:rPr>
        <w:t xml:space="preserve"> </w:t>
      </w:r>
      <w:r w:rsidRPr="0031675F">
        <w:t>end</w:t>
      </w:r>
      <w:r w:rsidRPr="0031675F">
        <w:rPr>
          <w:spacing w:val="3"/>
        </w:rPr>
        <w:t xml:space="preserve"> </w:t>
      </w:r>
      <w:r w:rsidRPr="0031675F">
        <w:t>of</w:t>
      </w:r>
      <w:r w:rsidRPr="0031675F">
        <w:rPr>
          <w:spacing w:val="2"/>
        </w:rPr>
        <w:t xml:space="preserve"> </w:t>
      </w:r>
      <w:r w:rsidRPr="0031675F">
        <w:t>the</w:t>
      </w:r>
      <w:r w:rsidRPr="0031675F">
        <w:rPr>
          <w:spacing w:val="5"/>
        </w:rPr>
        <w:t xml:space="preserve"> </w:t>
      </w:r>
      <w:r w:rsidRPr="0031675F">
        <w:t>pick-up</w:t>
      </w:r>
      <w:r w:rsidRPr="0031675F">
        <w:rPr>
          <w:spacing w:val="43"/>
        </w:rPr>
        <w:t xml:space="preserve"> </w:t>
      </w:r>
      <w:r w:rsidRPr="0031675F">
        <w:rPr>
          <w:spacing w:val="-1"/>
        </w:rPr>
        <w:t>tube</w:t>
      </w:r>
      <w:r w:rsidRPr="0031675F">
        <w:rPr>
          <w:spacing w:val="5"/>
        </w:rPr>
        <w:t xml:space="preserve"> </w:t>
      </w:r>
      <w:r w:rsidRPr="0031675F">
        <w:rPr>
          <w:spacing w:val="-1"/>
        </w:rPr>
        <w:t>into</w:t>
      </w:r>
      <w:r w:rsidRPr="0031675F">
        <w:rPr>
          <w:spacing w:val="6"/>
        </w:rPr>
        <w:t xml:space="preserve"> </w:t>
      </w:r>
      <w:r w:rsidRPr="0031675F">
        <w:t>the</w:t>
      </w:r>
      <w:r w:rsidRPr="0031675F">
        <w:rPr>
          <w:spacing w:val="3"/>
        </w:rPr>
        <w:t xml:space="preserve"> </w:t>
      </w:r>
      <w:r w:rsidRPr="0031675F">
        <w:rPr>
          <w:spacing w:val="-1"/>
        </w:rPr>
        <w:t>pick-up</w:t>
      </w:r>
      <w:r w:rsidRPr="0031675F">
        <w:rPr>
          <w:spacing w:val="2"/>
        </w:rPr>
        <w:t xml:space="preserve"> </w:t>
      </w:r>
      <w:r w:rsidRPr="0031675F">
        <w:rPr>
          <w:spacing w:val="-1"/>
        </w:rPr>
        <w:t>tube</w:t>
      </w:r>
      <w:r w:rsidRPr="0031675F">
        <w:rPr>
          <w:spacing w:val="3"/>
        </w:rPr>
        <w:t xml:space="preserve"> </w:t>
      </w:r>
      <w:r w:rsidRPr="0031675F">
        <w:rPr>
          <w:spacing w:val="-1"/>
        </w:rPr>
        <w:t>holder</w:t>
      </w:r>
      <w:r w:rsidRPr="0031675F">
        <w:rPr>
          <w:spacing w:val="5"/>
        </w:rPr>
        <w:t xml:space="preserve"> </w:t>
      </w:r>
      <w:r w:rsidRPr="0031675F">
        <w:rPr>
          <w:spacing w:val="-1"/>
        </w:rPr>
        <w:t>to</w:t>
      </w:r>
      <w:r w:rsidRPr="0031675F">
        <w:rPr>
          <w:spacing w:val="3"/>
        </w:rPr>
        <w:t xml:space="preserve"> </w:t>
      </w:r>
      <w:r w:rsidRPr="0031675F">
        <w:rPr>
          <w:spacing w:val="-1"/>
        </w:rPr>
        <w:t>allow</w:t>
      </w:r>
      <w:r w:rsidRPr="0031675F">
        <w:rPr>
          <w:spacing w:val="5"/>
        </w:rPr>
        <w:t xml:space="preserve"> </w:t>
      </w:r>
      <w:r w:rsidRPr="0031675F">
        <w:rPr>
          <w:spacing w:val="-1"/>
        </w:rPr>
        <w:t>sample</w:t>
      </w:r>
      <w:r w:rsidRPr="0031675F">
        <w:rPr>
          <w:spacing w:val="2"/>
        </w:rPr>
        <w:t xml:space="preserve"> </w:t>
      </w:r>
      <w:r w:rsidRPr="0031675F">
        <w:rPr>
          <w:spacing w:val="-1"/>
        </w:rPr>
        <w:t>water</w:t>
      </w:r>
      <w:r w:rsidRPr="0031675F">
        <w:rPr>
          <w:spacing w:val="5"/>
        </w:rPr>
        <w:t xml:space="preserve"> </w:t>
      </w:r>
      <w:r w:rsidRPr="0031675F">
        <w:t>in</w:t>
      </w:r>
      <w:r w:rsidRPr="0031675F">
        <w:rPr>
          <w:spacing w:val="4"/>
        </w:rPr>
        <w:t xml:space="preserve"> </w:t>
      </w:r>
      <w:r w:rsidRPr="0031675F">
        <w:rPr>
          <w:spacing w:val="-1"/>
        </w:rPr>
        <w:t>the</w:t>
      </w:r>
      <w:r w:rsidRPr="0031675F">
        <w:rPr>
          <w:spacing w:val="5"/>
        </w:rPr>
        <w:t xml:space="preserve"> </w:t>
      </w:r>
      <w:r w:rsidRPr="0031675F">
        <w:rPr>
          <w:spacing w:val="-1"/>
        </w:rPr>
        <w:t>pick-up</w:t>
      </w:r>
      <w:r w:rsidRPr="0031675F">
        <w:rPr>
          <w:spacing w:val="2"/>
        </w:rPr>
        <w:t xml:space="preserve"> </w:t>
      </w:r>
      <w:r w:rsidRPr="0031675F">
        <w:rPr>
          <w:spacing w:val="-1"/>
        </w:rPr>
        <w:t>tube</w:t>
      </w:r>
      <w:r w:rsidRPr="0031675F">
        <w:rPr>
          <w:spacing w:val="5"/>
        </w:rPr>
        <w:t xml:space="preserve"> </w:t>
      </w:r>
      <w:r w:rsidRPr="0031675F">
        <w:rPr>
          <w:spacing w:val="-1"/>
        </w:rPr>
        <w:t>to</w:t>
      </w:r>
      <w:r w:rsidRPr="0031675F">
        <w:rPr>
          <w:spacing w:val="3"/>
        </w:rPr>
        <w:t xml:space="preserve"> </w:t>
      </w:r>
      <w:r w:rsidRPr="0031675F">
        <w:rPr>
          <w:spacing w:val="-1"/>
        </w:rPr>
        <w:t>siphon</w:t>
      </w:r>
      <w:r w:rsidRPr="0031675F">
        <w:rPr>
          <w:spacing w:val="4"/>
        </w:rPr>
        <w:t xml:space="preserve"> </w:t>
      </w:r>
      <w:r w:rsidRPr="0031675F">
        <w:rPr>
          <w:spacing w:val="-1"/>
        </w:rPr>
        <w:t>away</w:t>
      </w:r>
      <w:r w:rsidRPr="0031675F">
        <w:rPr>
          <w:spacing w:val="59"/>
        </w:rPr>
        <w:t xml:space="preserve"> </w:t>
      </w:r>
      <w:r w:rsidRPr="0031675F">
        <w:rPr>
          <w:spacing w:val="-1"/>
        </w:rPr>
        <w:t>from</w:t>
      </w:r>
      <w:r w:rsidRPr="0031675F">
        <w:rPr>
          <w:spacing w:val="-2"/>
        </w:rPr>
        <w:t xml:space="preserve"> </w:t>
      </w:r>
      <w:r w:rsidRPr="0031675F">
        <w:rPr>
          <w:spacing w:val="-1"/>
        </w:rPr>
        <w:t>the</w:t>
      </w:r>
      <w:r w:rsidRPr="0031675F">
        <w:rPr>
          <w:spacing w:val="-2"/>
        </w:rPr>
        <w:t xml:space="preserve"> </w:t>
      </w:r>
      <w:r w:rsidRPr="0031675F">
        <w:rPr>
          <w:spacing w:val="-1"/>
        </w:rPr>
        <w:t>end</w:t>
      </w:r>
      <w:r w:rsidRPr="0031675F">
        <w:rPr>
          <w:spacing w:val="-3"/>
        </w:rPr>
        <w:t xml:space="preserve"> </w:t>
      </w:r>
      <w:r w:rsidRPr="0031675F">
        <w:t xml:space="preserve">of </w:t>
      </w:r>
      <w:r w:rsidRPr="0031675F">
        <w:rPr>
          <w:spacing w:val="-1"/>
        </w:rPr>
        <w:t>the</w:t>
      </w:r>
      <w:r w:rsidRPr="0031675F">
        <w:rPr>
          <w:spacing w:val="-2"/>
        </w:rPr>
        <w:t xml:space="preserve"> </w:t>
      </w:r>
      <w:r w:rsidRPr="0031675F">
        <w:rPr>
          <w:spacing w:val="-1"/>
        </w:rPr>
        <w:t>tube.</w:t>
      </w:r>
    </w:p>
    <w:p w14:paraId="07D1FB5B" w14:textId="77777777" w:rsidR="0031675F" w:rsidRPr="0031675F" w:rsidRDefault="0031675F" w:rsidP="0031675F">
      <w:pPr>
        <w:widowControl w:val="0"/>
        <w:numPr>
          <w:ilvl w:val="1"/>
          <w:numId w:val="130"/>
        </w:numPr>
        <w:tabs>
          <w:tab w:val="left" w:pos="971"/>
        </w:tabs>
        <w:spacing w:before="0" w:after="0" w:line="240" w:lineRule="auto"/>
        <w:ind w:right="109" w:hanging="424"/>
        <w:jc w:val="both"/>
      </w:pPr>
      <w:r w:rsidRPr="0031675F">
        <w:t>Raise</w:t>
      </w:r>
      <w:r w:rsidRPr="0031675F">
        <w:rPr>
          <w:spacing w:val="7"/>
        </w:rPr>
        <w:t xml:space="preserve"> </w:t>
      </w:r>
      <w:r w:rsidRPr="0031675F">
        <w:rPr>
          <w:spacing w:val="-1"/>
        </w:rPr>
        <w:t>bottle</w:t>
      </w:r>
      <w:r w:rsidRPr="0031675F">
        <w:rPr>
          <w:spacing w:val="8"/>
        </w:rPr>
        <w:t xml:space="preserve"> </w:t>
      </w:r>
      <w:r w:rsidRPr="0031675F">
        <w:rPr>
          <w:spacing w:val="-1"/>
        </w:rPr>
        <w:t>platform</w:t>
      </w:r>
      <w:r w:rsidRPr="0031675F">
        <w:rPr>
          <w:spacing w:val="8"/>
        </w:rPr>
        <w:t xml:space="preserve"> </w:t>
      </w:r>
      <w:r w:rsidRPr="0031675F">
        <w:rPr>
          <w:spacing w:val="-1"/>
        </w:rPr>
        <w:t>to</w:t>
      </w:r>
      <w:r w:rsidRPr="0031675F">
        <w:rPr>
          <w:spacing w:val="8"/>
        </w:rPr>
        <w:t xml:space="preserve"> </w:t>
      </w:r>
      <w:r w:rsidRPr="0031675F">
        <w:rPr>
          <w:spacing w:val="-1"/>
        </w:rPr>
        <w:t>press</w:t>
      </w:r>
      <w:r w:rsidRPr="0031675F">
        <w:rPr>
          <w:spacing w:val="7"/>
        </w:rPr>
        <w:t xml:space="preserve"> </w:t>
      </w:r>
      <w:r w:rsidRPr="0031675F">
        <w:rPr>
          <w:spacing w:val="-1"/>
        </w:rPr>
        <w:t>bottle</w:t>
      </w:r>
      <w:r w:rsidRPr="0031675F">
        <w:rPr>
          <w:spacing w:val="8"/>
        </w:rPr>
        <w:t xml:space="preserve"> </w:t>
      </w:r>
      <w:r w:rsidRPr="0031675F">
        <w:rPr>
          <w:spacing w:val="-1"/>
        </w:rPr>
        <w:t>mouth</w:t>
      </w:r>
      <w:r w:rsidRPr="0031675F">
        <w:rPr>
          <w:spacing w:val="7"/>
        </w:rPr>
        <w:t xml:space="preserve"> </w:t>
      </w:r>
      <w:r w:rsidRPr="0031675F">
        <w:rPr>
          <w:spacing w:val="-1"/>
        </w:rPr>
        <w:t>against</w:t>
      </w:r>
      <w:r w:rsidRPr="0031675F">
        <w:rPr>
          <w:spacing w:val="8"/>
        </w:rPr>
        <w:t xml:space="preserve"> </w:t>
      </w:r>
      <w:r w:rsidRPr="0031675F">
        <w:rPr>
          <w:spacing w:val="-1"/>
        </w:rPr>
        <w:t>rubber</w:t>
      </w:r>
      <w:r w:rsidRPr="0031675F">
        <w:rPr>
          <w:spacing w:val="7"/>
        </w:rPr>
        <w:t xml:space="preserve"> </w:t>
      </w:r>
      <w:r w:rsidRPr="0031675F">
        <w:rPr>
          <w:spacing w:val="-1"/>
        </w:rPr>
        <w:t>stopper</w:t>
      </w:r>
      <w:r w:rsidRPr="0031675F">
        <w:rPr>
          <w:spacing w:val="7"/>
        </w:rPr>
        <w:t xml:space="preserve"> </w:t>
      </w:r>
      <w:r w:rsidRPr="0031675F">
        <w:rPr>
          <w:spacing w:val="-1"/>
        </w:rPr>
        <w:t>making</w:t>
      </w:r>
      <w:r w:rsidRPr="0031675F">
        <w:rPr>
          <w:spacing w:val="8"/>
        </w:rPr>
        <w:t xml:space="preserve"> </w:t>
      </w:r>
      <w:r w:rsidRPr="0031675F">
        <w:t>an</w:t>
      </w:r>
      <w:r w:rsidRPr="0031675F">
        <w:rPr>
          <w:spacing w:val="6"/>
        </w:rPr>
        <w:t xml:space="preserve"> </w:t>
      </w:r>
      <w:r w:rsidRPr="0031675F">
        <w:rPr>
          <w:spacing w:val="-1"/>
        </w:rPr>
        <w:t>airtight</w:t>
      </w:r>
      <w:r w:rsidRPr="0031675F">
        <w:rPr>
          <w:spacing w:val="8"/>
        </w:rPr>
        <w:t xml:space="preserve"> </w:t>
      </w:r>
      <w:r w:rsidRPr="0031675F">
        <w:rPr>
          <w:spacing w:val="-1"/>
        </w:rPr>
        <w:t>seal.</w:t>
      </w:r>
      <w:r w:rsidRPr="0031675F">
        <w:rPr>
          <w:spacing w:val="76"/>
        </w:rPr>
        <w:t xml:space="preserve"> </w:t>
      </w:r>
      <w:r w:rsidRPr="0031675F">
        <w:rPr>
          <w:spacing w:val="-1"/>
        </w:rPr>
        <w:t>Secure</w:t>
      </w:r>
      <w:r w:rsidRPr="0031675F">
        <w:t xml:space="preserve"> </w:t>
      </w:r>
      <w:r w:rsidRPr="0031675F">
        <w:rPr>
          <w:spacing w:val="-1"/>
        </w:rPr>
        <w:t>platform</w:t>
      </w:r>
      <w:r w:rsidRPr="0031675F">
        <w:rPr>
          <w:spacing w:val="1"/>
        </w:rPr>
        <w:t xml:space="preserve"> </w:t>
      </w:r>
      <w:r w:rsidRPr="0031675F">
        <w:rPr>
          <w:spacing w:val="-1"/>
        </w:rPr>
        <w:t>by</w:t>
      </w:r>
      <w:r w:rsidRPr="0031675F">
        <w:rPr>
          <w:spacing w:val="-2"/>
        </w:rPr>
        <w:t xml:space="preserve"> </w:t>
      </w:r>
      <w:r w:rsidRPr="0031675F">
        <w:rPr>
          <w:spacing w:val="-1"/>
        </w:rPr>
        <w:t>tightening thumb screw.</w:t>
      </w:r>
    </w:p>
    <w:p w14:paraId="1DA4840A" w14:textId="77777777" w:rsidR="0031675F" w:rsidRPr="0031675F" w:rsidRDefault="0031675F" w:rsidP="0031675F">
      <w:pPr>
        <w:widowControl w:val="0"/>
        <w:numPr>
          <w:ilvl w:val="0"/>
          <w:numId w:val="130"/>
        </w:numPr>
        <w:tabs>
          <w:tab w:val="left" w:pos="547"/>
        </w:tabs>
        <w:spacing w:before="0" w:after="0" w:line="239" w:lineRule="auto"/>
        <w:ind w:right="109"/>
        <w:jc w:val="both"/>
      </w:pPr>
      <w:r w:rsidRPr="0031675F">
        <w:rPr>
          <w:spacing w:val="-1"/>
        </w:rPr>
        <w:t>Turn</w:t>
      </w:r>
      <w:r w:rsidRPr="0031675F">
        <w:rPr>
          <w:spacing w:val="6"/>
        </w:rPr>
        <w:t xml:space="preserve"> </w:t>
      </w:r>
      <w:r w:rsidRPr="0031675F">
        <w:t>on</w:t>
      </w:r>
      <w:r w:rsidRPr="0031675F">
        <w:rPr>
          <w:spacing w:val="7"/>
        </w:rPr>
        <w:t xml:space="preserve"> </w:t>
      </w:r>
      <w:r w:rsidRPr="0031675F">
        <w:rPr>
          <w:spacing w:val="-2"/>
        </w:rPr>
        <w:t>FLOW</w:t>
      </w:r>
      <w:r w:rsidRPr="0031675F">
        <w:rPr>
          <w:spacing w:val="5"/>
        </w:rPr>
        <w:t xml:space="preserve"> </w:t>
      </w:r>
      <w:r w:rsidRPr="0031675F">
        <w:t>RATE</w:t>
      </w:r>
      <w:r w:rsidRPr="0031675F">
        <w:rPr>
          <w:spacing w:val="6"/>
        </w:rPr>
        <w:t xml:space="preserve"> </w:t>
      </w:r>
      <w:r w:rsidRPr="0031675F">
        <w:rPr>
          <w:spacing w:val="-1"/>
        </w:rPr>
        <w:t>to</w:t>
      </w:r>
      <w:r w:rsidRPr="0031675F">
        <w:rPr>
          <w:spacing w:val="8"/>
        </w:rPr>
        <w:t xml:space="preserve"> </w:t>
      </w:r>
      <w:r w:rsidRPr="0031675F">
        <w:t>a</w:t>
      </w:r>
      <w:r w:rsidRPr="0031675F">
        <w:rPr>
          <w:spacing w:val="5"/>
        </w:rPr>
        <w:t xml:space="preserve"> </w:t>
      </w:r>
      <w:r w:rsidRPr="0031675F">
        <w:rPr>
          <w:spacing w:val="-1"/>
        </w:rPr>
        <w:t>medium</w:t>
      </w:r>
      <w:r w:rsidRPr="0031675F">
        <w:rPr>
          <w:spacing w:val="8"/>
        </w:rPr>
        <w:t xml:space="preserve"> </w:t>
      </w:r>
      <w:r w:rsidRPr="0031675F">
        <w:rPr>
          <w:spacing w:val="-1"/>
        </w:rPr>
        <w:t>flow</w:t>
      </w:r>
      <w:r w:rsidRPr="0031675F">
        <w:rPr>
          <w:spacing w:val="5"/>
        </w:rPr>
        <w:t xml:space="preserve"> </w:t>
      </w:r>
      <w:r w:rsidRPr="0031675F">
        <w:t>rate</w:t>
      </w:r>
      <w:r w:rsidRPr="0031675F">
        <w:rPr>
          <w:spacing w:val="5"/>
        </w:rPr>
        <w:t xml:space="preserve"> </w:t>
      </w:r>
      <w:r w:rsidRPr="0031675F">
        <w:rPr>
          <w:spacing w:val="-1"/>
        </w:rPr>
        <w:t>and</w:t>
      </w:r>
      <w:r w:rsidRPr="0031675F">
        <w:rPr>
          <w:spacing w:val="6"/>
        </w:rPr>
        <w:t xml:space="preserve"> </w:t>
      </w:r>
      <w:r w:rsidRPr="0031675F">
        <w:rPr>
          <w:spacing w:val="-1"/>
        </w:rPr>
        <w:t>allow</w:t>
      </w:r>
      <w:r w:rsidRPr="0031675F">
        <w:rPr>
          <w:spacing w:val="5"/>
        </w:rPr>
        <w:t xml:space="preserve"> </w:t>
      </w:r>
      <w:r w:rsidRPr="0031675F">
        <w:rPr>
          <w:spacing w:val="-1"/>
        </w:rPr>
        <w:t>conductivity</w:t>
      </w:r>
      <w:r w:rsidRPr="0031675F">
        <w:rPr>
          <w:spacing w:val="6"/>
        </w:rPr>
        <w:t xml:space="preserve"> </w:t>
      </w:r>
      <w:r w:rsidRPr="0031675F">
        <w:t>cell</w:t>
      </w:r>
      <w:r w:rsidRPr="0031675F">
        <w:rPr>
          <w:spacing w:val="5"/>
        </w:rPr>
        <w:t xml:space="preserve"> </w:t>
      </w:r>
      <w:r w:rsidRPr="0031675F">
        <w:t>to</w:t>
      </w:r>
      <w:r w:rsidRPr="0031675F">
        <w:rPr>
          <w:spacing w:val="6"/>
        </w:rPr>
        <w:t xml:space="preserve"> </w:t>
      </w:r>
      <w:r w:rsidRPr="0031675F">
        <w:rPr>
          <w:spacing w:val="-1"/>
        </w:rPr>
        <w:t>fill</w:t>
      </w:r>
      <w:r w:rsidRPr="0031675F">
        <w:rPr>
          <w:spacing w:val="11"/>
        </w:rPr>
        <w:t xml:space="preserve"> </w:t>
      </w:r>
      <w:r w:rsidRPr="0031675F">
        <w:rPr>
          <w:spacing w:val="-1"/>
        </w:rPr>
        <w:t>with</w:t>
      </w:r>
      <w:r w:rsidRPr="0031675F">
        <w:rPr>
          <w:spacing w:val="7"/>
        </w:rPr>
        <w:t xml:space="preserve"> </w:t>
      </w:r>
      <w:r w:rsidRPr="0031675F">
        <w:rPr>
          <w:spacing w:val="-1"/>
        </w:rPr>
        <w:t>sample</w:t>
      </w:r>
      <w:r w:rsidRPr="0031675F">
        <w:rPr>
          <w:spacing w:val="8"/>
        </w:rPr>
        <w:t xml:space="preserve"> </w:t>
      </w:r>
      <w:r w:rsidRPr="0031675F">
        <w:rPr>
          <w:spacing w:val="-1"/>
        </w:rPr>
        <w:t>water.</w:t>
      </w:r>
      <w:r w:rsidRPr="0031675F">
        <w:rPr>
          <w:spacing w:val="47"/>
        </w:rPr>
        <w:t xml:space="preserve"> </w:t>
      </w:r>
      <w:r w:rsidRPr="0031675F">
        <w:t>If</w:t>
      </w:r>
      <w:r w:rsidRPr="0031675F">
        <w:rPr>
          <w:spacing w:val="21"/>
        </w:rPr>
        <w:t xml:space="preserve"> </w:t>
      </w:r>
      <w:r w:rsidRPr="0031675F">
        <w:t>the</w:t>
      </w:r>
      <w:r w:rsidRPr="0031675F">
        <w:rPr>
          <w:spacing w:val="19"/>
        </w:rPr>
        <w:t xml:space="preserve"> </w:t>
      </w:r>
      <w:r w:rsidRPr="0031675F">
        <w:t>cell</w:t>
      </w:r>
      <w:r w:rsidRPr="0031675F">
        <w:rPr>
          <w:spacing w:val="22"/>
        </w:rPr>
        <w:t xml:space="preserve"> </w:t>
      </w:r>
      <w:r w:rsidRPr="0031675F">
        <w:rPr>
          <w:spacing w:val="-1"/>
        </w:rPr>
        <w:t>does</w:t>
      </w:r>
      <w:r w:rsidRPr="0031675F">
        <w:rPr>
          <w:spacing w:val="20"/>
        </w:rPr>
        <w:t xml:space="preserve"> </w:t>
      </w:r>
      <w:r w:rsidRPr="0031675F">
        <w:rPr>
          <w:spacing w:val="-1"/>
        </w:rPr>
        <w:t>not</w:t>
      </w:r>
      <w:r w:rsidRPr="0031675F">
        <w:rPr>
          <w:spacing w:val="22"/>
        </w:rPr>
        <w:t xml:space="preserve"> </w:t>
      </w:r>
      <w:r w:rsidRPr="0031675F">
        <w:rPr>
          <w:spacing w:val="-1"/>
        </w:rPr>
        <w:t>fill</w:t>
      </w:r>
      <w:r w:rsidRPr="0031675F">
        <w:rPr>
          <w:spacing w:val="19"/>
        </w:rPr>
        <w:t xml:space="preserve"> </w:t>
      </w:r>
      <w:r w:rsidRPr="0031675F">
        <w:rPr>
          <w:spacing w:val="-1"/>
        </w:rPr>
        <w:t>completely,</w:t>
      </w:r>
      <w:r w:rsidRPr="0031675F">
        <w:rPr>
          <w:spacing w:val="19"/>
        </w:rPr>
        <w:t xml:space="preserve"> </w:t>
      </w:r>
      <w:r w:rsidRPr="0031675F">
        <w:rPr>
          <w:spacing w:val="-1"/>
        </w:rPr>
        <w:t>cover</w:t>
      </w:r>
      <w:r w:rsidRPr="0031675F">
        <w:rPr>
          <w:spacing w:val="24"/>
        </w:rPr>
        <w:t xml:space="preserve"> </w:t>
      </w:r>
      <w:r w:rsidRPr="0031675F">
        <w:rPr>
          <w:spacing w:val="-1"/>
        </w:rPr>
        <w:t>FLUSH</w:t>
      </w:r>
      <w:r w:rsidRPr="0031675F">
        <w:rPr>
          <w:spacing w:val="21"/>
        </w:rPr>
        <w:t xml:space="preserve"> </w:t>
      </w:r>
      <w:r w:rsidRPr="0031675F">
        <w:rPr>
          <w:spacing w:val="-2"/>
        </w:rPr>
        <w:t>vent</w:t>
      </w:r>
      <w:r w:rsidRPr="0031675F">
        <w:rPr>
          <w:spacing w:val="20"/>
        </w:rPr>
        <w:t xml:space="preserve"> </w:t>
      </w:r>
      <w:r w:rsidRPr="0031675F">
        <w:rPr>
          <w:spacing w:val="-1"/>
        </w:rPr>
        <w:t>momentarily</w:t>
      </w:r>
      <w:r w:rsidRPr="0031675F">
        <w:rPr>
          <w:spacing w:val="20"/>
        </w:rPr>
        <w:t xml:space="preserve"> </w:t>
      </w:r>
      <w:r w:rsidRPr="0031675F">
        <w:t>with</w:t>
      </w:r>
      <w:r w:rsidRPr="0031675F">
        <w:rPr>
          <w:spacing w:val="19"/>
        </w:rPr>
        <w:t xml:space="preserve"> </w:t>
      </w:r>
      <w:r w:rsidRPr="0031675F">
        <w:rPr>
          <w:spacing w:val="-1"/>
        </w:rPr>
        <w:t>fingertip</w:t>
      </w:r>
      <w:r w:rsidRPr="0031675F">
        <w:rPr>
          <w:spacing w:val="20"/>
        </w:rPr>
        <w:t xml:space="preserve"> </w:t>
      </w:r>
      <w:r w:rsidRPr="0031675F">
        <w:t>then</w:t>
      </w:r>
      <w:r w:rsidRPr="0031675F">
        <w:rPr>
          <w:spacing w:val="21"/>
        </w:rPr>
        <w:t xml:space="preserve"> </w:t>
      </w:r>
      <w:r w:rsidRPr="0031675F">
        <w:rPr>
          <w:spacing w:val="-1"/>
        </w:rPr>
        <w:t>allow</w:t>
      </w:r>
      <w:r w:rsidRPr="0031675F">
        <w:rPr>
          <w:spacing w:val="20"/>
        </w:rPr>
        <w:t xml:space="preserve"> </w:t>
      </w:r>
      <w:r w:rsidRPr="0031675F">
        <w:rPr>
          <w:spacing w:val="-1"/>
        </w:rPr>
        <w:t>to</w:t>
      </w:r>
      <w:r w:rsidRPr="0031675F">
        <w:rPr>
          <w:spacing w:val="45"/>
        </w:rPr>
        <w:t xml:space="preserve"> </w:t>
      </w:r>
      <w:r w:rsidRPr="0031675F">
        <w:rPr>
          <w:spacing w:val="-1"/>
        </w:rPr>
        <w:t>refill</w:t>
      </w:r>
      <w:r w:rsidRPr="0031675F">
        <w:rPr>
          <w:spacing w:val="12"/>
        </w:rPr>
        <w:t xml:space="preserve"> </w:t>
      </w:r>
      <w:r w:rsidRPr="0031675F">
        <w:t>after</w:t>
      </w:r>
      <w:r w:rsidRPr="0031675F">
        <w:rPr>
          <w:spacing w:val="12"/>
        </w:rPr>
        <w:t xml:space="preserve"> </w:t>
      </w:r>
      <w:r w:rsidRPr="0031675F">
        <w:rPr>
          <w:spacing w:val="-1"/>
        </w:rPr>
        <w:t>increasing</w:t>
      </w:r>
      <w:r w:rsidRPr="0031675F">
        <w:rPr>
          <w:spacing w:val="11"/>
        </w:rPr>
        <w:t xml:space="preserve"> </w:t>
      </w:r>
      <w:r w:rsidRPr="0031675F">
        <w:rPr>
          <w:spacing w:val="-1"/>
        </w:rPr>
        <w:t>flow</w:t>
      </w:r>
      <w:r w:rsidRPr="0031675F">
        <w:rPr>
          <w:spacing w:val="10"/>
        </w:rPr>
        <w:t xml:space="preserve"> </w:t>
      </w:r>
      <w:r w:rsidRPr="0031675F">
        <w:t>rate,</w:t>
      </w:r>
      <w:r w:rsidRPr="0031675F">
        <w:rPr>
          <w:spacing w:val="12"/>
        </w:rPr>
        <w:t xml:space="preserve"> </w:t>
      </w:r>
      <w:r w:rsidRPr="0031675F">
        <w:t>if</w:t>
      </w:r>
      <w:r w:rsidRPr="0031675F">
        <w:rPr>
          <w:spacing w:val="13"/>
        </w:rPr>
        <w:t xml:space="preserve"> </w:t>
      </w:r>
      <w:r w:rsidRPr="0031675F">
        <w:rPr>
          <w:spacing w:val="-1"/>
        </w:rPr>
        <w:t>necessary</w:t>
      </w:r>
      <w:r w:rsidRPr="0031675F">
        <w:rPr>
          <w:spacing w:val="13"/>
        </w:rPr>
        <w:t xml:space="preserve"> </w:t>
      </w:r>
      <w:r w:rsidRPr="0031675F">
        <w:t>to</w:t>
      </w:r>
      <w:r w:rsidRPr="0031675F">
        <w:rPr>
          <w:spacing w:val="11"/>
        </w:rPr>
        <w:t xml:space="preserve"> </w:t>
      </w:r>
      <w:r w:rsidRPr="0031675F">
        <w:rPr>
          <w:spacing w:val="-1"/>
        </w:rPr>
        <w:t>maximum.</w:t>
      </w:r>
      <w:r w:rsidRPr="0031675F">
        <w:rPr>
          <w:spacing w:val="13"/>
        </w:rPr>
        <w:t xml:space="preserve"> </w:t>
      </w:r>
      <w:r w:rsidRPr="0031675F">
        <w:t>A</w:t>
      </w:r>
      <w:r w:rsidRPr="0031675F">
        <w:rPr>
          <w:spacing w:val="9"/>
        </w:rPr>
        <w:t xml:space="preserve"> </w:t>
      </w:r>
      <w:r w:rsidRPr="0031675F">
        <w:rPr>
          <w:spacing w:val="-1"/>
        </w:rPr>
        <w:t>marked</w:t>
      </w:r>
      <w:r w:rsidRPr="0031675F">
        <w:rPr>
          <w:spacing w:val="11"/>
        </w:rPr>
        <w:t xml:space="preserve"> </w:t>
      </w:r>
      <w:r w:rsidRPr="0031675F">
        <w:rPr>
          <w:spacing w:val="-1"/>
        </w:rPr>
        <w:t>change</w:t>
      </w:r>
      <w:r w:rsidRPr="0031675F">
        <w:rPr>
          <w:spacing w:val="13"/>
        </w:rPr>
        <w:t xml:space="preserve"> </w:t>
      </w:r>
      <w:r w:rsidRPr="0031675F">
        <w:t>in</w:t>
      </w:r>
      <w:r w:rsidRPr="0031675F">
        <w:rPr>
          <w:spacing w:val="11"/>
        </w:rPr>
        <w:t xml:space="preserve"> </w:t>
      </w:r>
      <w:r w:rsidRPr="0031675F">
        <w:t>the</w:t>
      </w:r>
      <w:r w:rsidRPr="0031675F">
        <w:rPr>
          <w:spacing w:val="12"/>
        </w:rPr>
        <w:t xml:space="preserve"> </w:t>
      </w:r>
      <w:r w:rsidRPr="0031675F">
        <w:rPr>
          <w:spacing w:val="-1"/>
        </w:rPr>
        <w:t>duty</w:t>
      </w:r>
      <w:r w:rsidRPr="0031675F">
        <w:rPr>
          <w:spacing w:val="13"/>
        </w:rPr>
        <w:t xml:space="preserve"> </w:t>
      </w:r>
      <w:r w:rsidRPr="0031675F">
        <w:rPr>
          <w:spacing w:val="-1"/>
        </w:rPr>
        <w:t>cycle</w:t>
      </w:r>
      <w:r w:rsidRPr="0031675F">
        <w:rPr>
          <w:spacing w:val="10"/>
        </w:rPr>
        <w:t xml:space="preserve"> </w:t>
      </w:r>
      <w:r w:rsidRPr="0031675F">
        <w:rPr>
          <w:spacing w:val="-1"/>
        </w:rPr>
        <w:t>of</w:t>
      </w:r>
      <w:r w:rsidRPr="0031675F">
        <w:rPr>
          <w:spacing w:val="57"/>
        </w:rPr>
        <w:t xml:space="preserve"> </w:t>
      </w:r>
      <w:r w:rsidRPr="0031675F">
        <w:t>the</w:t>
      </w:r>
      <w:r w:rsidRPr="0031675F">
        <w:rPr>
          <w:spacing w:val="22"/>
        </w:rPr>
        <w:t xml:space="preserve"> </w:t>
      </w:r>
      <w:r w:rsidRPr="0031675F">
        <w:rPr>
          <w:spacing w:val="-1"/>
        </w:rPr>
        <w:t>heater</w:t>
      </w:r>
      <w:r w:rsidRPr="0031675F">
        <w:rPr>
          <w:spacing w:val="22"/>
        </w:rPr>
        <w:t xml:space="preserve"> </w:t>
      </w:r>
      <w:r w:rsidRPr="0031675F">
        <w:rPr>
          <w:spacing w:val="-1"/>
        </w:rPr>
        <w:t>lamps</w:t>
      </w:r>
      <w:r w:rsidRPr="0031675F">
        <w:rPr>
          <w:spacing w:val="22"/>
        </w:rPr>
        <w:t xml:space="preserve"> </w:t>
      </w:r>
      <w:r w:rsidRPr="0031675F">
        <w:rPr>
          <w:spacing w:val="-1"/>
        </w:rPr>
        <w:t>indicates</w:t>
      </w:r>
      <w:r w:rsidRPr="0031675F">
        <w:rPr>
          <w:spacing w:val="20"/>
        </w:rPr>
        <w:t xml:space="preserve"> </w:t>
      </w:r>
      <w:r w:rsidRPr="0031675F">
        <w:t>that</w:t>
      </w:r>
      <w:r w:rsidRPr="0031675F">
        <w:rPr>
          <w:spacing w:val="21"/>
        </w:rPr>
        <w:t xml:space="preserve"> </w:t>
      </w:r>
      <w:r w:rsidRPr="0031675F">
        <w:t>the</w:t>
      </w:r>
      <w:r w:rsidRPr="0031675F">
        <w:rPr>
          <w:spacing w:val="19"/>
        </w:rPr>
        <w:t xml:space="preserve"> </w:t>
      </w:r>
      <w:r w:rsidRPr="0031675F">
        <w:rPr>
          <w:spacing w:val="-1"/>
        </w:rPr>
        <w:t>flow</w:t>
      </w:r>
      <w:r w:rsidRPr="0031675F">
        <w:rPr>
          <w:spacing w:val="22"/>
        </w:rPr>
        <w:t xml:space="preserve"> </w:t>
      </w:r>
      <w:r w:rsidRPr="0031675F">
        <w:rPr>
          <w:spacing w:val="-1"/>
        </w:rPr>
        <w:t>rate</w:t>
      </w:r>
      <w:r w:rsidRPr="0031675F">
        <w:rPr>
          <w:spacing w:val="24"/>
        </w:rPr>
        <w:t xml:space="preserve"> </w:t>
      </w:r>
      <w:r w:rsidRPr="0031675F">
        <w:t>is</w:t>
      </w:r>
      <w:r w:rsidRPr="0031675F">
        <w:rPr>
          <w:spacing w:val="19"/>
        </w:rPr>
        <w:t xml:space="preserve"> </w:t>
      </w:r>
      <w:r w:rsidRPr="0031675F">
        <w:rPr>
          <w:spacing w:val="-1"/>
        </w:rPr>
        <w:t>too</w:t>
      </w:r>
      <w:r w:rsidRPr="0031675F">
        <w:rPr>
          <w:spacing w:val="23"/>
        </w:rPr>
        <w:t xml:space="preserve"> </w:t>
      </w:r>
      <w:r w:rsidRPr="0031675F">
        <w:rPr>
          <w:spacing w:val="-1"/>
        </w:rPr>
        <w:t>fast.</w:t>
      </w:r>
      <w:r w:rsidRPr="0031675F">
        <w:rPr>
          <w:spacing w:val="21"/>
        </w:rPr>
        <w:t xml:space="preserve"> </w:t>
      </w:r>
      <w:r w:rsidRPr="0031675F">
        <w:rPr>
          <w:spacing w:val="-1"/>
        </w:rPr>
        <w:t>Slowly</w:t>
      </w:r>
      <w:r w:rsidRPr="0031675F">
        <w:rPr>
          <w:spacing w:val="22"/>
        </w:rPr>
        <w:t xml:space="preserve"> </w:t>
      </w:r>
      <w:r w:rsidRPr="0031675F">
        <w:rPr>
          <w:spacing w:val="-1"/>
        </w:rPr>
        <w:t>reduce</w:t>
      </w:r>
      <w:r w:rsidRPr="0031675F">
        <w:rPr>
          <w:spacing w:val="22"/>
        </w:rPr>
        <w:t xml:space="preserve"> </w:t>
      </w:r>
      <w:r w:rsidRPr="0031675F">
        <w:rPr>
          <w:spacing w:val="-1"/>
        </w:rPr>
        <w:t>the</w:t>
      </w:r>
      <w:r w:rsidRPr="0031675F">
        <w:rPr>
          <w:spacing w:val="22"/>
        </w:rPr>
        <w:t xml:space="preserve"> </w:t>
      </w:r>
      <w:r w:rsidRPr="0031675F">
        <w:rPr>
          <w:spacing w:val="-2"/>
        </w:rPr>
        <w:t>flow</w:t>
      </w:r>
      <w:r w:rsidRPr="0031675F">
        <w:rPr>
          <w:spacing w:val="22"/>
        </w:rPr>
        <w:t xml:space="preserve"> </w:t>
      </w:r>
      <w:r w:rsidRPr="0031675F">
        <w:t>rate</w:t>
      </w:r>
      <w:r w:rsidRPr="0031675F">
        <w:rPr>
          <w:spacing w:val="20"/>
        </w:rPr>
        <w:t xml:space="preserve"> </w:t>
      </w:r>
      <w:r w:rsidRPr="0031675F">
        <w:rPr>
          <w:spacing w:val="-1"/>
        </w:rPr>
        <w:t>until</w:t>
      </w:r>
      <w:r w:rsidRPr="0031675F">
        <w:rPr>
          <w:spacing w:val="22"/>
        </w:rPr>
        <w:t xml:space="preserve"> </w:t>
      </w:r>
      <w:r w:rsidRPr="0031675F">
        <w:t>the</w:t>
      </w:r>
      <w:r w:rsidRPr="0031675F">
        <w:rPr>
          <w:spacing w:val="41"/>
        </w:rPr>
        <w:t xml:space="preserve"> </w:t>
      </w:r>
      <w:r w:rsidRPr="0031675F">
        <w:rPr>
          <w:spacing w:val="-1"/>
        </w:rPr>
        <w:t>heater</w:t>
      </w:r>
      <w:r w:rsidRPr="0031675F">
        <w:t xml:space="preserve"> </w:t>
      </w:r>
      <w:r w:rsidRPr="0031675F">
        <w:rPr>
          <w:spacing w:val="-1"/>
        </w:rPr>
        <w:t>lamps</w:t>
      </w:r>
      <w:r w:rsidRPr="0031675F">
        <w:rPr>
          <w:spacing w:val="-2"/>
        </w:rPr>
        <w:t xml:space="preserve"> </w:t>
      </w:r>
      <w:r w:rsidRPr="0031675F">
        <w:rPr>
          <w:spacing w:val="-1"/>
        </w:rPr>
        <w:t>cycle</w:t>
      </w:r>
      <w:r w:rsidRPr="0031675F">
        <w:t xml:space="preserve"> at</w:t>
      </w:r>
      <w:r w:rsidRPr="0031675F">
        <w:rPr>
          <w:spacing w:val="-2"/>
        </w:rPr>
        <w:t xml:space="preserve"> </w:t>
      </w:r>
      <w:r w:rsidRPr="0031675F">
        <w:t xml:space="preserve">a </w:t>
      </w:r>
      <w:r w:rsidRPr="0031675F">
        <w:rPr>
          <w:spacing w:val="-2"/>
        </w:rPr>
        <w:t>slow</w:t>
      </w:r>
      <w:r w:rsidRPr="0031675F">
        <w:rPr>
          <w:spacing w:val="3"/>
        </w:rPr>
        <w:t xml:space="preserve"> </w:t>
      </w:r>
      <w:r w:rsidRPr="0031675F">
        <w:rPr>
          <w:spacing w:val="-1"/>
        </w:rPr>
        <w:t>regular rate.</w:t>
      </w:r>
    </w:p>
    <w:p w14:paraId="4B6A2D07" w14:textId="77777777" w:rsidR="0031675F" w:rsidRPr="0031675F" w:rsidRDefault="0031675F" w:rsidP="0031675F">
      <w:pPr>
        <w:widowControl w:val="0"/>
        <w:numPr>
          <w:ilvl w:val="0"/>
          <w:numId w:val="130"/>
        </w:numPr>
        <w:tabs>
          <w:tab w:val="left" w:pos="547"/>
        </w:tabs>
        <w:spacing w:before="0" w:after="0" w:line="240" w:lineRule="auto"/>
        <w:jc w:val="both"/>
      </w:pPr>
      <w:r w:rsidRPr="0031675F">
        <w:rPr>
          <w:spacing w:val="-1"/>
        </w:rPr>
        <w:t>Flush</w:t>
      </w:r>
      <w:r w:rsidRPr="0031675F">
        <w:t xml:space="preserve"> </w:t>
      </w:r>
      <w:r w:rsidRPr="0031675F">
        <w:rPr>
          <w:spacing w:val="-1"/>
        </w:rPr>
        <w:t>sample</w:t>
      </w:r>
      <w:r w:rsidRPr="0031675F">
        <w:rPr>
          <w:spacing w:val="-2"/>
        </w:rPr>
        <w:t xml:space="preserve"> </w:t>
      </w:r>
      <w:r w:rsidRPr="0031675F">
        <w:rPr>
          <w:spacing w:val="-1"/>
        </w:rPr>
        <w:t>water</w:t>
      </w:r>
      <w:r w:rsidRPr="0031675F">
        <w:rPr>
          <w:spacing w:val="-2"/>
        </w:rPr>
        <w:t xml:space="preserve"> </w:t>
      </w:r>
      <w:r w:rsidRPr="0031675F">
        <w:t>out</w:t>
      </w:r>
      <w:r w:rsidRPr="0031675F">
        <w:rPr>
          <w:spacing w:val="-2"/>
        </w:rPr>
        <w:t xml:space="preserve"> </w:t>
      </w:r>
      <w:r w:rsidRPr="0031675F">
        <w:t>of</w:t>
      </w:r>
      <w:r w:rsidRPr="0031675F">
        <w:rPr>
          <w:spacing w:val="-2"/>
        </w:rPr>
        <w:t xml:space="preserve"> </w:t>
      </w:r>
      <w:r w:rsidRPr="0031675F">
        <w:t xml:space="preserve">cell </w:t>
      </w:r>
      <w:r w:rsidRPr="0031675F">
        <w:rPr>
          <w:spacing w:val="-1"/>
        </w:rPr>
        <w:t>by</w:t>
      </w:r>
      <w:r w:rsidRPr="0031675F">
        <w:rPr>
          <w:spacing w:val="1"/>
        </w:rPr>
        <w:t xml:space="preserve"> </w:t>
      </w:r>
      <w:r w:rsidRPr="0031675F">
        <w:rPr>
          <w:spacing w:val="-1"/>
        </w:rPr>
        <w:t>placing fingertip</w:t>
      </w:r>
      <w:r w:rsidRPr="0031675F">
        <w:rPr>
          <w:spacing w:val="-3"/>
        </w:rPr>
        <w:t xml:space="preserve"> </w:t>
      </w:r>
      <w:r w:rsidRPr="0031675F">
        <w:rPr>
          <w:spacing w:val="-1"/>
        </w:rPr>
        <w:t>over</w:t>
      </w:r>
      <w:r w:rsidRPr="0031675F">
        <w:t xml:space="preserve"> </w:t>
      </w:r>
      <w:r w:rsidRPr="0031675F">
        <w:rPr>
          <w:spacing w:val="-1"/>
        </w:rPr>
        <w:t xml:space="preserve">FLUSH </w:t>
      </w:r>
      <w:r w:rsidRPr="0031675F">
        <w:t>air</w:t>
      </w:r>
      <w:r w:rsidRPr="0031675F">
        <w:rPr>
          <w:spacing w:val="-2"/>
        </w:rPr>
        <w:t xml:space="preserve"> </w:t>
      </w:r>
      <w:r w:rsidRPr="0031675F">
        <w:t>vent.</w:t>
      </w:r>
    </w:p>
    <w:p w14:paraId="434E44A1" w14:textId="77777777" w:rsidR="0031675F" w:rsidRPr="0031675F" w:rsidRDefault="0031675F" w:rsidP="0031675F">
      <w:pPr>
        <w:widowControl w:val="0"/>
        <w:numPr>
          <w:ilvl w:val="0"/>
          <w:numId w:val="130"/>
        </w:numPr>
        <w:tabs>
          <w:tab w:val="left" w:pos="547"/>
        </w:tabs>
        <w:spacing w:before="0" w:after="0" w:line="240" w:lineRule="auto"/>
      </w:pPr>
      <w:r w:rsidRPr="0031675F">
        <w:rPr>
          <w:spacing w:val="-1"/>
        </w:rPr>
        <w:t xml:space="preserve">Fill </w:t>
      </w:r>
      <w:r w:rsidRPr="0031675F">
        <w:t>and</w:t>
      </w:r>
      <w:r w:rsidRPr="0031675F">
        <w:rPr>
          <w:spacing w:val="-2"/>
        </w:rPr>
        <w:t xml:space="preserve"> </w:t>
      </w:r>
      <w:r w:rsidRPr="0031675F">
        <w:rPr>
          <w:spacing w:val="-1"/>
        </w:rPr>
        <w:t>flush</w:t>
      </w:r>
      <w:r w:rsidRPr="0031675F">
        <w:t xml:space="preserve"> </w:t>
      </w:r>
      <w:r w:rsidRPr="0031675F">
        <w:rPr>
          <w:spacing w:val="-1"/>
        </w:rPr>
        <w:t>again.</w:t>
      </w:r>
    </w:p>
    <w:p w14:paraId="2CAB9B39" w14:textId="77777777" w:rsidR="0031675F" w:rsidRPr="0031675F" w:rsidRDefault="0031675F" w:rsidP="0031675F">
      <w:pPr>
        <w:widowControl w:val="0"/>
        <w:numPr>
          <w:ilvl w:val="0"/>
          <w:numId w:val="130"/>
        </w:numPr>
        <w:tabs>
          <w:tab w:val="left" w:pos="547"/>
        </w:tabs>
        <w:spacing w:before="0" w:after="0" w:line="266" w:lineRule="exact"/>
        <w:ind w:right="120"/>
      </w:pPr>
      <w:r w:rsidRPr="0031675F">
        <w:rPr>
          <w:spacing w:val="-1"/>
        </w:rPr>
        <w:t>Allow</w:t>
      </w:r>
      <w:r w:rsidRPr="0031675F">
        <w:rPr>
          <w:spacing w:val="17"/>
        </w:rPr>
        <w:t xml:space="preserve"> </w:t>
      </w:r>
      <w:r w:rsidRPr="0031675F">
        <w:rPr>
          <w:spacing w:val="-1"/>
        </w:rPr>
        <w:t>conductivity</w:t>
      </w:r>
      <w:r w:rsidRPr="0031675F">
        <w:rPr>
          <w:spacing w:val="15"/>
        </w:rPr>
        <w:t xml:space="preserve"> </w:t>
      </w:r>
      <w:r w:rsidRPr="0031675F">
        <w:t>cell</w:t>
      </w:r>
      <w:r w:rsidRPr="0031675F">
        <w:rPr>
          <w:spacing w:val="14"/>
        </w:rPr>
        <w:t xml:space="preserve"> </w:t>
      </w:r>
      <w:r w:rsidRPr="0031675F">
        <w:t>to</w:t>
      </w:r>
      <w:r w:rsidRPr="0031675F">
        <w:rPr>
          <w:spacing w:val="16"/>
        </w:rPr>
        <w:t xml:space="preserve"> </w:t>
      </w:r>
      <w:r w:rsidRPr="0031675F">
        <w:rPr>
          <w:spacing w:val="-1"/>
        </w:rPr>
        <w:t>refill</w:t>
      </w:r>
      <w:r w:rsidRPr="0031675F">
        <w:rPr>
          <w:spacing w:val="16"/>
        </w:rPr>
        <w:t xml:space="preserve"> </w:t>
      </w:r>
      <w:r w:rsidRPr="0031675F">
        <w:rPr>
          <w:spacing w:val="-1"/>
        </w:rPr>
        <w:t>and</w:t>
      </w:r>
      <w:r w:rsidRPr="0031675F">
        <w:rPr>
          <w:spacing w:val="16"/>
        </w:rPr>
        <w:t xml:space="preserve"> </w:t>
      </w:r>
      <w:r w:rsidRPr="0031675F">
        <w:rPr>
          <w:spacing w:val="-1"/>
        </w:rPr>
        <w:t>sample</w:t>
      </w:r>
      <w:r w:rsidRPr="0031675F">
        <w:rPr>
          <w:spacing w:val="17"/>
        </w:rPr>
        <w:t xml:space="preserve"> </w:t>
      </w:r>
      <w:r w:rsidRPr="0031675F">
        <w:rPr>
          <w:spacing w:val="-1"/>
        </w:rPr>
        <w:t>water</w:t>
      </w:r>
      <w:r w:rsidRPr="0031675F">
        <w:rPr>
          <w:spacing w:val="14"/>
        </w:rPr>
        <w:t xml:space="preserve"> </w:t>
      </w:r>
      <w:r w:rsidRPr="0031675F">
        <w:t>to</w:t>
      </w:r>
      <w:r w:rsidRPr="0031675F">
        <w:rPr>
          <w:spacing w:val="16"/>
        </w:rPr>
        <w:t xml:space="preserve"> </w:t>
      </w:r>
      <w:r w:rsidRPr="0031675F">
        <w:rPr>
          <w:spacing w:val="-1"/>
        </w:rPr>
        <w:t>flow</w:t>
      </w:r>
      <w:r w:rsidRPr="0031675F">
        <w:rPr>
          <w:spacing w:val="15"/>
        </w:rPr>
        <w:t xml:space="preserve"> </w:t>
      </w:r>
      <w:r w:rsidRPr="0031675F">
        <w:t>out</w:t>
      </w:r>
      <w:r w:rsidRPr="0031675F">
        <w:rPr>
          <w:spacing w:val="15"/>
        </w:rPr>
        <w:t xml:space="preserve"> </w:t>
      </w:r>
      <w:r w:rsidRPr="0031675F">
        <w:t>of</w:t>
      </w:r>
      <w:r w:rsidRPr="0031675F">
        <w:rPr>
          <w:spacing w:val="14"/>
        </w:rPr>
        <w:t xml:space="preserve"> </w:t>
      </w:r>
      <w:r w:rsidRPr="0031675F">
        <w:t>the</w:t>
      </w:r>
      <w:r w:rsidRPr="0031675F">
        <w:rPr>
          <w:spacing w:val="17"/>
        </w:rPr>
        <w:t xml:space="preserve"> </w:t>
      </w:r>
      <w:r w:rsidRPr="0031675F">
        <w:rPr>
          <w:spacing w:val="-1"/>
        </w:rPr>
        <w:t>CELL</w:t>
      </w:r>
      <w:r w:rsidRPr="0031675F">
        <w:rPr>
          <w:spacing w:val="21"/>
        </w:rPr>
        <w:t xml:space="preserve"> </w:t>
      </w:r>
      <w:r w:rsidRPr="0031675F">
        <w:rPr>
          <w:spacing w:val="-1"/>
        </w:rPr>
        <w:t>DRAIN.</w:t>
      </w:r>
      <w:r w:rsidRPr="0031675F">
        <w:rPr>
          <w:spacing w:val="16"/>
        </w:rPr>
        <w:t xml:space="preserve"> </w:t>
      </w:r>
      <w:r w:rsidRPr="0031675F">
        <w:t>Be</w:t>
      </w:r>
      <w:r w:rsidRPr="0031675F">
        <w:rPr>
          <w:spacing w:val="17"/>
        </w:rPr>
        <w:t xml:space="preserve"> </w:t>
      </w:r>
      <w:r w:rsidRPr="0031675F">
        <w:rPr>
          <w:spacing w:val="-1"/>
        </w:rPr>
        <w:t>sure</w:t>
      </w:r>
      <w:r w:rsidRPr="0031675F">
        <w:rPr>
          <w:spacing w:val="15"/>
        </w:rPr>
        <w:t xml:space="preserve"> </w:t>
      </w:r>
      <w:r w:rsidRPr="0031675F">
        <w:t>there</w:t>
      </w:r>
      <w:r w:rsidRPr="0031675F">
        <w:rPr>
          <w:spacing w:val="43"/>
        </w:rPr>
        <w:t xml:space="preserve"> </w:t>
      </w:r>
      <w:r w:rsidRPr="0031675F">
        <w:t xml:space="preserve">are </w:t>
      </w:r>
      <w:r w:rsidRPr="0031675F">
        <w:rPr>
          <w:spacing w:val="-1"/>
        </w:rPr>
        <w:t>no</w:t>
      </w:r>
      <w:r w:rsidRPr="0031675F">
        <w:rPr>
          <w:spacing w:val="-2"/>
        </w:rPr>
        <w:t xml:space="preserve"> </w:t>
      </w:r>
      <w:r w:rsidRPr="0031675F">
        <w:t xml:space="preserve">air </w:t>
      </w:r>
      <w:r w:rsidRPr="0031675F">
        <w:rPr>
          <w:spacing w:val="-1"/>
        </w:rPr>
        <w:t xml:space="preserve">bubbles </w:t>
      </w:r>
      <w:r w:rsidRPr="0031675F">
        <w:t xml:space="preserve">in </w:t>
      </w:r>
      <w:r w:rsidRPr="0031675F">
        <w:rPr>
          <w:spacing w:val="-1"/>
        </w:rPr>
        <w:t>the</w:t>
      </w:r>
      <w:r w:rsidRPr="0031675F">
        <w:t xml:space="preserve"> </w:t>
      </w:r>
      <w:r w:rsidRPr="0031675F">
        <w:rPr>
          <w:spacing w:val="-1"/>
        </w:rPr>
        <w:t>conductivity</w:t>
      </w:r>
      <w:r w:rsidRPr="0031675F">
        <w:rPr>
          <w:spacing w:val="-2"/>
        </w:rPr>
        <w:t xml:space="preserve"> </w:t>
      </w:r>
      <w:r w:rsidRPr="0031675F">
        <w:t>cell.</w:t>
      </w:r>
      <w:r w:rsidRPr="0031675F">
        <w:rPr>
          <w:spacing w:val="-3"/>
        </w:rPr>
        <w:t xml:space="preserve"> </w:t>
      </w:r>
      <w:r w:rsidRPr="0031675F">
        <w:rPr>
          <w:spacing w:val="-1"/>
        </w:rPr>
        <w:t>Then</w:t>
      </w:r>
      <w:r w:rsidRPr="0031675F">
        <w:t xml:space="preserve"> </w:t>
      </w:r>
      <w:r w:rsidRPr="0031675F">
        <w:rPr>
          <w:spacing w:val="-1"/>
        </w:rPr>
        <w:t>set</w:t>
      </w:r>
      <w:r w:rsidRPr="0031675F">
        <w:rPr>
          <w:spacing w:val="1"/>
        </w:rPr>
        <w:t xml:space="preserve"> </w:t>
      </w:r>
      <w:r w:rsidRPr="0031675F">
        <w:rPr>
          <w:spacing w:val="-2"/>
        </w:rPr>
        <w:t>FUNCTION</w:t>
      </w:r>
      <w:r w:rsidRPr="0031675F">
        <w:rPr>
          <w:spacing w:val="-1"/>
        </w:rPr>
        <w:t xml:space="preserve"> switch</w:t>
      </w:r>
      <w:r w:rsidRPr="0031675F">
        <w:t xml:space="preserve"> </w:t>
      </w:r>
      <w:r w:rsidRPr="0031675F">
        <w:rPr>
          <w:spacing w:val="-1"/>
        </w:rPr>
        <w:t>to</w:t>
      </w:r>
      <w:r w:rsidRPr="0031675F">
        <w:rPr>
          <w:spacing w:val="1"/>
        </w:rPr>
        <w:t xml:space="preserve"> </w:t>
      </w:r>
      <w:r w:rsidRPr="0031675F">
        <w:rPr>
          <w:spacing w:val="-1"/>
        </w:rPr>
        <w:t>READ.</w:t>
      </w:r>
    </w:p>
    <w:p w14:paraId="4E6E9F2A" w14:textId="77777777" w:rsidR="0031675F" w:rsidRPr="0031675F" w:rsidRDefault="0031675F" w:rsidP="0031675F">
      <w:pPr>
        <w:widowControl w:val="0"/>
        <w:numPr>
          <w:ilvl w:val="0"/>
          <w:numId w:val="130"/>
        </w:numPr>
        <w:tabs>
          <w:tab w:val="left" w:pos="547"/>
        </w:tabs>
        <w:spacing w:before="0" w:after="0" w:line="240" w:lineRule="auto"/>
        <w:rPr>
          <w:spacing w:val="-1"/>
        </w:rPr>
      </w:pPr>
      <w:r w:rsidRPr="0031675F">
        <w:t>Press</w:t>
      </w:r>
      <w:r w:rsidRPr="0031675F">
        <w:rPr>
          <w:spacing w:val="-2"/>
        </w:rPr>
        <w:t xml:space="preserve"> </w:t>
      </w:r>
      <w:r w:rsidRPr="0031675F">
        <w:rPr>
          <w:b/>
          <w:spacing w:val="-1"/>
        </w:rPr>
        <w:t>COND</w:t>
      </w:r>
      <w:r w:rsidRPr="0031675F">
        <w:rPr>
          <w:b/>
          <w:spacing w:val="-2"/>
        </w:rPr>
        <w:t xml:space="preserve"> </w:t>
      </w:r>
      <w:r w:rsidRPr="0031675F">
        <w:t>key.</w:t>
      </w:r>
      <w:r w:rsidRPr="0031675F">
        <w:rPr>
          <w:spacing w:val="-3"/>
        </w:rPr>
        <w:t xml:space="preserve"> </w:t>
      </w:r>
      <w:r w:rsidRPr="0031675F">
        <w:rPr>
          <w:spacing w:val="-1"/>
        </w:rPr>
        <w:t>Allow</w:t>
      </w:r>
      <w:r w:rsidRPr="0031675F">
        <w:rPr>
          <w:spacing w:val="1"/>
        </w:rPr>
        <w:t xml:space="preserve"> </w:t>
      </w:r>
      <w:r w:rsidRPr="0031675F">
        <w:t>the</w:t>
      </w:r>
      <w:r w:rsidRPr="0031675F">
        <w:rPr>
          <w:spacing w:val="-4"/>
        </w:rPr>
        <w:t xml:space="preserve"> </w:t>
      </w:r>
      <w:r w:rsidRPr="0031675F">
        <w:t>ratio</w:t>
      </w:r>
      <w:r w:rsidRPr="0031675F">
        <w:rPr>
          <w:spacing w:val="-2"/>
        </w:rPr>
        <w:t xml:space="preserve"> </w:t>
      </w:r>
      <w:r w:rsidRPr="0031675F">
        <w:rPr>
          <w:spacing w:val="-1"/>
        </w:rPr>
        <w:t>measurement</w:t>
      </w:r>
      <w:r w:rsidRPr="0031675F">
        <w:rPr>
          <w:spacing w:val="-3"/>
        </w:rPr>
        <w:t xml:space="preserve"> </w:t>
      </w:r>
      <w:r w:rsidRPr="0031675F">
        <w:t>to</w:t>
      </w:r>
      <w:r w:rsidRPr="0031675F">
        <w:rPr>
          <w:spacing w:val="-1"/>
        </w:rPr>
        <w:t xml:space="preserve"> stabilize.</w:t>
      </w:r>
      <w:r w:rsidRPr="0031675F">
        <w:t xml:space="preserve"> Note</w:t>
      </w:r>
      <w:r w:rsidRPr="0031675F">
        <w:rPr>
          <w:spacing w:val="-2"/>
        </w:rPr>
        <w:t xml:space="preserve"> </w:t>
      </w:r>
      <w:r w:rsidRPr="0031675F">
        <w:rPr>
          <w:spacing w:val="-1"/>
        </w:rPr>
        <w:t>the</w:t>
      </w:r>
      <w:r w:rsidRPr="0031675F">
        <w:t xml:space="preserve"> </w:t>
      </w:r>
      <w:r w:rsidRPr="0031675F">
        <w:rPr>
          <w:spacing w:val="-1"/>
        </w:rPr>
        <w:t>ratio</w:t>
      </w:r>
      <w:r w:rsidRPr="0031675F">
        <w:t xml:space="preserve"> </w:t>
      </w:r>
      <w:r w:rsidRPr="0031675F">
        <w:rPr>
          <w:spacing w:val="-1"/>
        </w:rPr>
        <w:t>measurement.</w:t>
      </w:r>
    </w:p>
    <w:p w14:paraId="04DCF6B6" w14:textId="77777777" w:rsidR="0031675F" w:rsidRPr="0031675F" w:rsidRDefault="0031675F" w:rsidP="0031675F">
      <w:pPr>
        <w:widowControl w:val="0"/>
        <w:numPr>
          <w:ilvl w:val="0"/>
          <w:numId w:val="130"/>
        </w:numPr>
        <w:tabs>
          <w:tab w:val="left" w:pos="547"/>
        </w:tabs>
        <w:spacing w:before="0" w:after="0" w:line="240" w:lineRule="auto"/>
        <w:rPr>
          <w:spacing w:val="-1"/>
        </w:rPr>
      </w:pPr>
      <w:r w:rsidRPr="0031675F">
        <w:rPr>
          <w:spacing w:val="-1"/>
        </w:rPr>
        <w:t>Set</w:t>
      </w:r>
      <w:r w:rsidRPr="0031675F">
        <w:rPr>
          <w:spacing w:val="5"/>
        </w:rPr>
        <w:t xml:space="preserve"> </w:t>
      </w:r>
      <w:r w:rsidRPr="0031675F">
        <w:t>the</w:t>
      </w:r>
      <w:r w:rsidRPr="0031675F">
        <w:rPr>
          <w:spacing w:val="5"/>
        </w:rPr>
        <w:t xml:space="preserve"> </w:t>
      </w:r>
      <w:r w:rsidRPr="0031675F">
        <w:rPr>
          <w:spacing w:val="-2"/>
        </w:rPr>
        <w:t>FUNCTION</w:t>
      </w:r>
      <w:r w:rsidRPr="0031675F">
        <w:rPr>
          <w:spacing w:val="4"/>
        </w:rPr>
        <w:t xml:space="preserve"> </w:t>
      </w:r>
      <w:r w:rsidRPr="0031675F">
        <w:rPr>
          <w:spacing w:val="-1"/>
        </w:rPr>
        <w:t>switch</w:t>
      </w:r>
      <w:r w:rsidRPr="0031675F">
        <w:rPr>
          <w:spacing w:val="4"/>
        </w:rPr>
        <w:t xml:space="preserve"> </w:t>
      </w:r>
      <w:r w:rsidRPr="0031675F">
        <w:rPr>
          <w:spacing w:val="-1"/>
        </w:rPr>
        <w:t>to</w:t>
      </w:r>
      <w:r w:rsidRPr="0031675F">
        <w:rPr>
          <w:spacing w:val="6"/>
        </w:rPr>
        <w:t xml:space="preserve"> </w:t>
      </w:r>
      <w:r w:rsidRPr="0031675F">
        <w:rPr>
          <w:spacing w:val="-1"/>
        </w:rPr>
        <w:t>STDBY.</w:t>
      </w:r>
      <w:r w:rsidRPr="0031675F">
        <w:rPr>
          <w:spacing w:val="5"/>
        </w:rPr>
        <w:t xml:space="preserve"> </w:t>
      </w:r>
      <w:r w:rsidRPr="0031675F">
        <w:rPr>
          <w:spacing w:val="-1"/>
        </w:rPr>
        <w:t>Flush</w:t>
      </w:r>
      <w:r w:rsidRPr="0031675F">
        <w:rPr>
          <w:spacing w:val="4"/>
        </w:rPr>
        <w:t xml:space="preserve"> </w:t>
      </w:r>
      <w:r w:rsidRPr="0031675F">
        <w:rPr>
          <w:spacing w:val="-1"/>
        </w:rPr>
        <w:t>and</w:t>
      </w:r>
      <w:r w:rsidRPr="0031675F">
        <w:rPr>
          <w:spacing w:val="4"/>
        </w:rPr>
        <w:t xml:space="preserve"> </w:t>
      </w:r>
      <w:r w:rsidRPr="0031675F">
        <w:rPr>
          <w:spacing w:val="-1"/>
        </w:rPr>
        <w:t>fill</w:t>
      </w:r>
      <w:r w:rsidRPr="0031675F">
        <w:rPr>
          <w:spacing w:val="4"/>
        </w:rPr>
        <w:t xml:space="preserve"> </w:t>
      </w:r>
      <w:r w:rsidRPr="0031675F">
        <w:t>the</w:t>
      </w:r>
      <w:r w:rsidRPr="0031675F">
        <w:rPr>
          <w:spacing w:val="5"/>
        </w:rPr>
        <w:t xml:space="preserve"> </w:t>
      </w:r>
      <w:r w:rsidRPr="0031675F">
        <w:rPr>
          <w:spacing w:val="-1"/>
        </w:rPr>
        <w:t>conductivity</w:t>
      </w:r>
      <w:r w:rsidRPr="0031675F">
        <w:rPr>
          <w:spacing w:val="6"/>
        </w:rPr>
        <w:t xml:space="preserve"> </w:t>
      </w:r>
      <w:r w:rsidRPr="0031675F">
        <w:rPr>
          <w:spacing w:val="-1"/>
        </w:rPr>
        <w:t>cell.</w:t>
      </w:r>
      <w:r w:rsidRPr="0031675F">
        <w:rPr>
          <w:spacing w:val="4"/>
        </w:rPr>
        <w:t xml:space="preserve"> </w:t>
      </w:r>
      <w:r w:rsidRPr="0031675F">
        <w:rPr>
          <w:spacing w:val="-1"/>
        </w:rPr>
        <w:t>Set</w:t>
      </w:r>
      <w:r w:rsidRPr="0031675F">
        <w:rPr>
          <w:spacing w:val="10"/>
        </w:rPr>
        <w:t xml:space="preserve"> </w:t>
      </w:r>
      <w:r w:rsidRPr="0031675F">
        <w:rPr>
          <w:spacing w:val="-1"/>
        </w:rPr>
        <w:t>the</w:t>
      </w:r>
      <w:r w:rsidRPr="0031675F">
        <w:rPr>
          <w:spacing w:val="5"/>
        </w:rPr>
        <w:t xml:space="preserve"> </w:t>
      </w:r>
      <w:r w:rsidRPr="0031675F">
        <w:rPr>
          <w:spacing w:val="-1"/>
        </w:rPr>
        <w:t>FUNCTION</w:t>
      </w:r>
      <w:r w:rsidRPr="0031675F">
        <w:rPr>
          <w:spacing w:val="4"/>
        </w:rPr>
        <w:t xml:space="preserve"> </w:t>
      </w:r>
      <w:r w:rsidRPr="0031675F">
        <w:rPr>
          <w:spacing w:val="-2"/>
        </w:rPr>
        <w:t>switch</w:t>
      </w:r>
      <w:r w:rsidRPr="0031675F">
        <w:rPr>
          <w:spacing w:val="65"/>
        </w:rPr>
        <w:t xml:space="preserve"> </w:t>
      </w:r>
      <w:r w:rsidRPr="0031675F">
        <w:t>to</w:t>
      </w:r>
      <w:r w:rsidRPr="0031675F">
        <w:rPr>
          <w:spacing w:val="46"/>
        </w:rPr>
        <w:t xml:space="preserve"> </w:t>
      </w:r>
      <w:r w:rsidRPr="0031675F">
        <w:rPr>
          <w:spacing w:val="-1"/>
        </w:rPr>
        <w:t>READ.</w:t>
      </w:r>
      <w:r w:rsidRPr="0031675F">
        <w:rPr>
          <w:spacing w:val="45"/>
        </w:rPr>
        <w:t xml:space="preserve"> </w:t>
      </w:r>
      <w:r w:rsidRPr="0031675F">
        <w:rPr>
          <w:spacing w:val="-1"/>
        </w:rPr>
        <w:t>Allow</w:t>
      </w:r>
      <w:r w:rsidRPr="0031675F">
        <w:rPr>
          <w:spacing w:val="46"/>
        </w:rPr>
        <w:t xml:space="preserve"> </w:t>
      </w:r>
      <w:r w:rsidRPr="0031675F">
        <w:t>the</w:t>
      </w:r>
      <w:r w:rsidRPr="0031675F">
        <w:rPr>
          <w:spacing w:val="45"/>
        </w:rPr>
        <w:t xml:space="preserve"> </w:t>
      </w:r>
      <w:r w:rsidRPr="0031675F">
        <w:rPr>
          <w:spacing w:val="-1"/>
        </w:rPr>
        <w:t>ratio</w:t>
      </w:r>
      <w:r w:rsidRPr="0031675F">
        <w:rPr>
          <w:spacing w:val="47"/>
        </w:rPr>
        <w:t xml:space="preserve"> </w:t>
      </w:r>
      <w:r w:rsidRPr="0031675F">
        <w:rPr>
          <w:spacing w:val="-1"/>
        </w:rPr>
        <w:t>measurement</w:t>
      </w:r>
      <w:r w:rsidRPr="0031675F">
        <w:rPr>
          <w:spacing w:val="46"/>
        </w:rPr>
        <w:t xml:space="preserve"> </w:t>
      </w:r>
      <w:r w:rsidRPr="0031675F">
        <w:rPr>
          <w:spacing w:val="-1"/>
        </w:rPr>
        <w:t>to</w:t>
      </w:r>
      <w:r w:rsidRPr="0031675F">
        <w:rPr>
          <w:spacing w:val="47"/>
        </w:rPr>
        <w:t xml:space="preserve"> </w:t>
      </w:r>
      <w:r w:rsidRPr="0031675F">
        <w:rPr>
          <w:spacing w:val="-1"/>
        </w:rPr>
        <w:t>stabilize.</w:t>
      </w:r>
      <w:r w:rsidRPr="0031675F">
        <w:rPr>
          <w:spacing w:val="44"/>
        </w:rPr>
        <w:t xml:space="preserve"> </w:t>
      </w:r>
      <w:r w:rsidRPr="0031675F">
        <w:t>Repeat</w:t>
      </w:r>
      <w:r w:rsidRPr="0031675F">
        <w:rPr>
          <w:spacing w:val="46"/>
        </w:rPr>
        <w:t xml:space="preserve"> </w:t>
      </w:r>
      <w:r w:rsidRPr="0031675F">
        <w:rPr>
          <w:spacing w:val="-1"/>
        </w:rPr>
        <w:t>this</w:t>
      </w:r>
      <w:r w:rsidRPr="0031675F">
        <w:rPr>
          <w:spacing w:val="46"/>
        </w:rPr>
        <w:t xml:space="preserve"> </w:t>
      </w:r>
      <w:r w:rsidRPr="0031675F">
        <w:rPr>
          <w:spacing w:val="-1"/>
        </w:rPr>
        <w:t>process</w:t>
      </w:r>
      <w:r w:rsidRPr="0031675F">
        <w:rPr>
          <w:spacing w:val="45"/>
        </w:rPr>
        <w:t xml:space="preserve"> </w:t>
      </w:r>
      <w:r w:rsidRPr="0031675F">
        <w:rPr>
          <w:spacing w:val="-1"/>
        </w:rPr>
        <w:t>until</w:t>
      </w:r>
      <w:r w:rsidRPr="0031675F">
        <w:rPr>
          <w:spacing w:val="43"/>
        </w:rPr>
        <w:t xml:space="preserve"> </w:t>
      </w:r>
      <w:r w:rsidRPr="0031675F">
        <w:rPr>
          <w:spacing w:val="-1"/>
        </w:rPr>
        <w:t>measurement</w:t>
      </w:r>
      <w:r w:rsidRPr="0031675F">
        <w:rPr>
          <w:spacing w:val="65"/>
        </w:rPr>
        <w:t xml:space="preserve"> </w:t>
      </w:r>
      <w:r w:rsidRPr="0031675F">
        <w:rPr>
          <w:spacing w:val="-1"/>
        </w:rPr>
        <w:t>agrees</w:t>
      </w:r>
      <w:r w:rsidRPr="0031675F">
        <w:rPr>
          <w:spacing w:val="-2"/>
        </w:rPr>
        <w:t xml:space="preserve"> </w:t>
      </w:r>
      <w:r w:rsidRPr="0031675F">
        <w:t xml:space="preserve">with </w:t>
      </w:r>
      <w:r w:rsidRPr="0031675F">
        <w:rPr>
          <w:spacing w:val="-1"/>
        </w:rPr>
        <w:t>previous</w:t>
      </w:r>
      <w:r w:rsidRPr="0031675F">
        <w:rPr>
          <w:spacing w:val="-3"/>
        </w:rPr>
        <w:t xml:space="preserve"> </w:t>
      </w:r>
      <w:r w:rsidRPr="0031675F">
        <w:rPr>
          <w:spacing w:val="-1"/>
        </w:rPr>
        <w:t>flushing</w:t>
      </w:r>
    </w:p>
    <w:p w14:paraId="2BF15F89" w14:textId="77777777" w:rsidR="0031675F" w:rsidRPr="0031675F" w:rsidRDefault="0031675F" w:rsidP="0031675F">
      <w:pPr>
        <w:widowControl w:val="0"/>
        <w:numPr>
          <w:ilvl w:val="0"/>
          <w:numId w:val="130"/>
        </w:numPr>
        <w:tabs>
          <w:tab w:val="left" w:pos="547"/>
        </w:tabs>
        <w:spacing w:before="0" w:after="0" w:line="240" w:lineRule="auto"/>
        <w:ind w:right="119"/>
      </w:pPr>
      <w:r w:rsidRPr="0031675F">
        <w:rPr>
          <w:spacing w:val="-1"/>
        </w:rPr>
        <w:t>To</w:t>
      </w:r>
      <w:r w:rsidRPr="0031675F">
        <w:rPr>
          <w:spacing w:val="21"/>
        </w:rPr>
        <w:t xml:space="preserve"> </w:t>
      </w:r>
      <w:r w:rsidRPr="0031675F">
        <w:rPr>
          <w:spacing w:val="-1"/>
        </w:rPr>
        <w:t>display</w:t>
      </w:r>
      <w:r w:rsidRPr="0031675F">
        <w:rPr>
          <w:spacing w:val="19"/>
        </w:rPr>
        <w:t xml:space="preserve"> </w:t>
      </w:r>
      <w:r w:rsidRPr="0031675F">
        <w:t>the</w:t>
      </w:r>
      <w:r w:rsidRPr="0031675F">
        <w:rPr>
          <w:spacing w:val="19"/>
        </w:rPr>
        <w:t xml:space="preserve"> </w:t>
      </w:r>
      <w:r w:rsidRPr="0031675F">
        <w:rPr>
          <w:spacing w:val="-1"/>
        </w:rPr>
        <w:t>sample</w:t>
      </w:r>
      <w:r w:rsidRPr="0031675F">
        <w:rPr>
          <w:spacing w:val="19"/>
        </w:rPr>
        <w:t xml:space="preserve"> </w:t>
      </w:r>
      <w:r w:rsidRPr="0031675F">
        <w:rPr>
          <w:spacing w:val="-1"/>
        </w:rPr>
        <w:t>salinity</w:t>
      </w:r>
      <w:r w:rsidRPr="0031675F">
        <w:rPr>
          <w:spacing w:val="20"/>
        </w:rPr>
        <w:t xml:space="preserve"> </w:t>
      </w:r>
      <w:r w:rsidRPr="0031675F">
        <w:t>in</w:t>
      </w:r>
      <w:r w:rsidRPr="0031675F">
        <w:rPr>
          <w:spacing w:val="18"/>
        </w:rPr>
        <w:t xml:space="preserve"> </w:t>
      </w:r>
      <w:r w:rsidRPr="0031675F">
        <w:t>Practical</w:t>
      </w:r>
      <w:r w:rsidRPr="0031675F">
        <w:rPr>
          <w:spacing w:val="18"/>
        </w:rPr>
        <w:t xml:space="preserve"> </w:t>
      </w:r>
      <w:r w:rsidRPr="0031675F">
        <w:rPr>
          <w:spacing w:val="-1"/>
        </w:rPr>
        <w:t>Salinity</w:t>
      </w:r>
      <w:r w:rsidRPr="0031675F">
        <w:rPr>
          <w:spacing w:val="20"/>
        </w:rPr>
        <w:t xml:space="preserve"> </w:t>
      </w:r>
      <w:r w:rsidRPr="0031675F">
        <w:rPr>
          <w:spacing w:val="-1"/>
        </w:rPr>
        <w:t>Units</w:t>
      </w:r>
      <w:r w:rsidRPr="0031675F">
        <w:rPr>
          <w:spacing w:val="19"/>
        </w:rPr>
        <w:t xml:space="preserve"> </w:t>
      </w:r>
      <w:r w:rsidRPr="0031675F">
        <w:rPr>
          <w:spacing w:val="-1"/>
        </w:rPr>
        <w:t>press</w:t>
      </w:r>
      <w:r w:rsidRPr="0031675F">
        <w:rPr>
          <w:spacing w:val="19"/>
        </w:rPr>
        <w:t xml:space="preserve"> </w:t>
      </w:r>
      <w:r w:rsidRPr="0031675F">
        <w:rPr>
          <w:spacing w:val="-1"/>
        </w:rPr>
        <w:t>SAL</w:t>
      </w:r>
      <w:r w:rsidRPr="0031675F">
        <w:rPr>
          <w:spacing w:val="20"/>
        </w:rPr>
        <w:t xml:space="preserve"> </w:t>
      </w:r>
      <w:r w:rsidRPr="0031675F">
        <w:t xml:space="preserve">key. </w:t>
      </w:r>
      <w:r w:rsidRPr="0031675F">
        <w:rPr>
          <w:spacing w:val="37"/>
        </w:rPr>
        <w:t xml:space="preserve"> </w:t>
      </w:r>
      <w:r w:rsidRPr="0031675F">
        <w:rPr>
          <w:spacing w:val="-1"/>
        </w:rPr>
        <w:t>Record</w:t>
      </w:r>
      <w:r w:rsidRPr="0031675F">
        <w:rPr>
          <w:spacing w:val="18"/>
        </w:rPr>
        <w:t xml:space="preserve"> </w:t>
      </w:r>
      <w:r w:rsidRPr="0031675F">
        <w:rPr>
          <w:spacing w:val="-1"/>
        </w:rPr>
        <w:t>this</w:t>
      </w:r>
      <w:r w:rsidRPr="0031675F">
        <w:rPr>
          <w:spacing w:val="19"/>
        </w:rPr>
        <w:t xml:space="preserve"> </w:t>
      </w:r>
      <w:r w:rsidRPr="0031675F">
        <w:rPr>
          <w:spacing w:val="-1"/>
        </w:rPr>
        <w:t>number</w:t>
      </w:r>
      <w:r w:rsidRPr="0031675F">
        <w:rPr>
          <w:spacing w:val="19"/>
        </w:rPr>
        <w:t xml:space="preserve"> </w:t>
      </w:r>
      <w:r w:rsidRPr="0031675F">
        <w:t>on</w:t>
      </w:r>
      <w:r w:rsidRPr="0031675F">
        <w:rPr>
          <w:spacing w:val="57"/>
        </w:rPr>
        <w:t xml:space="preserve"> </w:t>
      </w:r>
      <w:r w:rsidRPr="0031675F">
        <w:t xml:space="preserve">the </w:t>
      </w:r>
      <w:r w:rsidRPr="0031675F">
        <w:rPr>
          <w:spacing w:val="-1"/>
        </w:rPr>
        <w:t>sample</w:t>
      </w:r>
      <w:r w:rsidRPr="0031675F">
        <w:rPr>
          <w:spacing w:val="-2"/>
        </w:rPr>
        <w:t xml:space="preserve"> </w:t>
      </w:r>
      <w:r w:rsidRPr="0031675F">
        <w:rPr>
          <w:spacing w:val="-1"/>
        </w:rPr>
        <w:t>worksheet.</w:t>
      </w:r>
    </w:p>
    <w:p w14:paraId="35984088" w14:textId="77777777" w:rsidR="0031675F" w:rsidRPr="0031675F" w:rsidRDefault="0031675F" w:rsidP="0031675F">
      <w:pPr>
        <w:widowControl w:val="0"/>
        <w:numPr>
          <w:ilvl w:val="0"/>
          <w:numId w:val="130"/>
        </w:numPr>
        <w:tabs>
          <w:tab w:val="left" w:pos="547"/>
        </w:tabs>
        <w:spacing w:before="0" w:after="0" w:line="240" w:lineRule="auto"/>
        <w:ind w:right="110"/>
        <w:jc w:val="both"/>
      </w:pPr>
      <w:r w:rsidRPr="0031675F">
        <w:t>If</w:t>
      </w:r>
      <w:r w:rsidRPr="0031675F">
        <w:rPr>
          <w:spacing w:val="37"/>
        </w:rPr>
        <w:t xml:space="preserve"> </w:t>
      </w:r>
      <w:r w:rsidRPr="0031675F">
        <w:t>another</w:t>
      </w:r>
      <w:r w:rsidRPr="0031675F">
        <w:rPr>
          <w:spacing w:val="39"/>
        </w:rPr>
        <w:t xml:space="preserve"> </w:t>
      </w:r>
      <w:r w:rsidRPr="0031675F">
        <w:rPr>
          <w:spacing w:val="-1"/>
        </w:rPr>
        <w:t>sample</w:t>
      </w:r>
      <w:r w:rsidRPr="0031675F">
        <w:rPr>
          <w:spacing w:val="36"/>
        </w:rPr>
        <w:t xml:space="preserve"> </w:t>
      </w:r>
      <w:r w:rsidRPr="0031675F">
        <w:t>will</w:t>
      </w:r>
      <w:r w:rsidRPr="0031675F">
        <w:rPr>
          <w:spacing w:val="37"/>
        </w:rPr>
        <w:t xml:space="preserve"> </w:t>
      </w:r>
      <w:r w:rsidRPr="0031675F">
        <w:t>not</w:t>
      </w:r>
      <w:r w:rsidRPr="0031675F">
        <w:rPr>
          <w:spacing w:val="37"/>
        </w:rPr>
        <w:t xml:space="preserve"> </w:t>
      </w:r>
      <w:r w:rsidRPr="0031675F">
        <w:rPr>
          <w:spacing w:val="-1"/>
        </w:rPr>
        <w:t>be</w:t>
      </w:r>
      <w:r w:rsidRPr="0031675F">
        <w:rPr>
          <w:spacing w:val="39"/>
        </w:rPr>
        <w:t xml:space="preserve"> </w:t>
      </w:r>
      <w:r w:rsidRPr="0031675F">
        <w:t>measured</w:t>
      </w:r>
      <w:r w:rsidRPr="0031675F">
        <w:rPr>
          <w:spacing w:val="38"/>
        </w:rPr>
        <w:t xml:space="preserve"> </w:t>
      </w:r>
      <w:r w:rsidRPr="0031675F">
        <w:rPr>
          <w:spacing w:val="-1"/>
        </w:rPr>
        <w:t>immediately</w:t>
      </w:r>
      <w:r w:rsidRPr="0031675F">
        <w:rPr>
          <w:spacing w:val="38"/>
        </w:rPr>
        <w:t xml:space="preserve"> </w:t>
      </w:r>
      <w:r w:rsidRPr="0031675F">
        <w:rPr>
          <w:spacing w:val="-1"/>
        </w:rPr>
        <w:t>leave</w:t>
      </w:r>
      <w:r w:rsidRPr="0031675F">
        <w:rPr>
          <w:spacing w:val="39"/>
        </w:rPr>
        <w:t xml:space="preserve"> </w:t>
      </w:r>
      <w:r w:rsidRPr="0031675F">
        <w:t>the</w:t>
      </w:r>
      <w:r w:rsidRPr="0031675F">
        <w:rPr>
          <w:spacing w:val="39"/>
        </w:rPr>
        <w:t xml:space="preserve"> </w:t>
      </w:r>
      <w:r w:rsidRPr="0031675F">
        <w:rPr>
          <w:spacing w:val="-1"/>
        </w:rPr>
        <w:t>sample</w:t>
      </w:r>
      <w:r w:rsidRPr="0031675F">
        <w:rPr>
          <w:spacing w:val="38"/>
        </w:rPr>
        <w:t xml:space="preserve"> </w:t>
      </w:r>
      <w:r w:rsidRPr="0031675F">
        <w:rPr>
          <w:spacing w:val="-1"/>
        </w:rPr>
        <w:t>bottle</w:t>
      </w:r>
      <w:r w:rsidRPr="0031675F">
        <w:rPr>
          <w:spacing w:val="37"/>
        </w:rPr>
        <w:t xml:space="preserve"> </w:t>
      </w:r>
      <w:r w:rsidRPr="0031675F">
        <w:t>in</w:t>
      </w:r>
      <w:r w:rsidRPr="0031675F">
        <w:rPr>
          <w:spacing w:val="37"/>
        </w:rPr>
        <w:t xml:space="preserve"> </w:t>
      </w:r>
      <w:r w:rsidRPr="0031675F">
        <w:t>the</w:t>
      </w:r>
      <w:r w:rsidRPr="0031675F">
        <w:rPr>
          <w:spacing w:val="43"/>
        </w:rPr>
        <w:t xml:space="preserve"> </w:t>
      </w:r>
      <w:r w:rsidRPr="0031675F">
        <w:rPr>
          <w:spacing w:val="-1"/>
        </w:rPr>
        <w:t>sample</w:t>
      </w:r>
      <w:r w:rsidRPr="0031675F">
        <w:rPr>
          <w:spacing w:val="33"/>
        </w:rPr>
        <w:t xml:space="preserve"> </w:t>
      </w:r>
      <w:r w:rsidRPr="0031675F">
        <w:t>bottle</w:t>
      </w:r>
      <w:r w:rsidRPr="0031675F">
        <w:rPr>
          <w:spacing w:val="14"/>
        </w:rPr>
        <w:t xml:space="preserve"> </w:t>
      </w:r>
      <w:r w:rsidRPr="0031675F">
        <w:rPr>
          <w:spacing w:val="-1"/>
        </w:rPr>
        <w:t>holder,</w:t>
      </w:r>
      <w:r w:rsidRPr="0031675F">
        <w:rPr>
          <w:spacing w:val="14"/>
        </w:rPr>
        <w:t xml:space="preserve"> </w:t>
      </w:r>
      <w:r w:rsidRPr="0031675F">
        <w:rPr>
          <w:spacing w:val="-1"/>
        </w:rPr>
        <w:t>set</w:t>
      </w:r>
      <w:r w:rsidRPr="0031675F">
        <w:rPr>
          <w:spacing w:val="15"/>
        </w:rPr>
        <w:t xml:space="preserve"> </w:t>
      </w:r>
      <w:r w:rsidRPr="0031675F">
        <w:rPr>
          <w:spacing w:val="-2"/>
        </w:rPr>
        <w:t>FUNCTION</w:t>
      </w:r>
      <w:r w:rsidRPr="0031675F">
        <w:rPr>
          <w:spacing w:val="13"/>
        </w:rPr>
        <w:t xml:space="preserve"> </w:t>
      </w:r>
      <w:r w:rsidRPr="0031675F">
        <w:rPr>
          <w:spacing w:val="-1"/>
        </w:rPr>
        <w:t>switch</w:t>
      </w:r>
      <w:r w:rsidRPr="0031675F">
        <w:rPr>
          <w:spacing w:val="14"/>
        </w:rPr>
        <w:t xml:space="preserve"> </w:t>
      </w:r>
      <w:r w:rsidRPr="0031675F">
        <w:t>to</w:t>
      </w:r>
      <w:r w:rsidRPr="0031675F">
        <w:rPr>
          <w:spacing w:val="16"/>
        </w:rPr>
        <w:t xml:space="preserve"> </w:t>
      </w:r>
      <w:r w:rsidRPr="0031675F">
        <w:rPr>
          <w:spacing w:val="-1"/>
        </w:rPr>
        <w:t>STDBY</w:t>
      </w:r>
      <w:r w:rsidRPr="0031675F">
        <w:rPr>
          <w:spacing w:val="15"/>
        </w:rPr>
        <w:t xml:space="preserve"> </w:t>
      </w:r>
      <w:r w:rsidRPr="0031675F">
        <w:rPr>
          <w:spacing w:val="-1"/>
        </w:rPr>
        <w:t>and</w:t>
      </w:r>
      <w:r w:rsidRPr="0031675F">
        <w:rPr>
          <w:spacing w:val="14"/>
        </w:rPr>
        <w:t xml:space="preserve"> </w:t>
      </w:r>
      <w:r w:rsidRPr="0031675F">
        <w:rPr>
          <w:spacing w:val="-1"/>
        </w:rPr>
        <w:t>turn</w:t>
      </w:r>
      <w:r w:rsidRPr="0031675F">
        <w:rPr>
          <w:spacing w:val="14"/>
        </w:rPr>
        <w:t xml:space="preserve"> </w:t>
      </w:r>
      <w:r w:rsidRPr="0031675F">
        <w:t>off</w:t>
      </w:r>
      <w:r w:rsidRPr="0031675F">
        <w:rPr>
          <w:spacing w:val="14"/>
        </w:rPr>
        <w:t xml:space="preserve"> </w:t>
      </w:r>
      <w:r w:rsidRPr="0031675F">
        <w:t>the</w:t>
      </w:r>
      <w:r w:rsidRPr="0031675F">
        <w:rPr>
          <w:spacing w:val="14"/>
        </w:rPr>
        <w:t xml:space="preserve"> </w:t>
      </w:r>
      <w:r w:rsidRPr="0031675F">
        <w:rPr>
          <w:spacing w:val="-1"/>
        </w:rPr>
        <w:t>flow</w:t>
      </w:r>
      <w:r w:rsidRPr="0031675F">
        <w:rPr>
          <w:spacing w:val="20"/>
        </w:rPr>
        <w:t xml:space="preserve"> </w:t>
      </w:r>
      <w:r w:rsidRPr="0031675F">
        <w:t>rate.</w:t>
      </w:r>
      <w:r w:rsidRPr="0031675F">
        <w:rPr>
          <w:spacing w:val="14"/>
        </w:rPr>
        <w:t xml:space="preserve"> </w:t>
      </w:r>
      <w:r w:rsidRPr="0031675F">
        <w:t>If</w:t>
      </w:r>
      <w:r w:rsidRPr="0031675F">
        <w:rPr>
          <w:spacing w:val="14"/>
        </w:rPr>
        <w:t xml:space="preserve"> </w:t>
      </w:r>
      <w:r w:rsidRPr="0031675F">
        <w:rPr>
          <w:spacing w:val="-1"/>
        </w:rPr>
        <w:t>another</w:t>
      </w:r>
      <w:r w:rsidRPr="0031675F">
        <w:rPr>
          <w:spacing w:val="14"/>
        </w:rPr>
        <w:t xml:space="preserve"> </w:t>
      </w:r>
      <w:r w:rsidRPr="0031675F">
        <w:rPr>
          <w:spacing w:val="-1"/>
        </w:rPr>
        <w:t>sample</w:t>
      </w:r>
      <w:r w:rsidRPr="0031675F">
        <w:rPr>
          <w:spacing w:val="14"/>
        </w:rPr>
        <w:t xml:space="preserve"> </w:t>
      </w:r>
      <w:r w:rsidRPr="0031675F">
        <w:rPr>
          <w:spacing w:val="-1"/>
        </w:rPr>
        <w:t>will</w:t>
      </w:r>
      <w:r w:rsidRPr="0031675F">
        <w:rPr>
          <w:spacing w:val="47"/>
        </w:rPr>
        <w:t xml:space="preserve"> </w:t>
      </w:r>
      <w:r w:rsidRPr="0031675F">
        <w:t>not</w:t>
      </w:r>
      <w:r w:rsidRPr="0031675F">
        <w:rPr>
          <w:spacing w:val="40"/>
        </w:rPr>
        <w:t xml:space="preserve"> </w:t>
      </w:r>
      <w:r w:rsidRPr="0031675F">
        <w:rPr>
          <w:spacing w:val="-1"/>
        </w:rPr>
        <w:t>be</w:t>
      </w:r>
      <w:r w:rsidRPr="0031675F">
        <w:rPr>
          <w:spacing w:val="42"/>
        </w:rPr>
        <w:t xml:space="preserve"> </w:t>
      </w:r>
      <w:r w:rsidRPr="0031675F">
        <w:rPr>
          <w:spacing w:val="-1"/>
        </w:rPr>
        <w:t>measured</w:t>
      </w:r>
      <w:r w:rsidRPr="0031675F">
        <w:rPr>
          <w:spacing w:val="41"/>
        </w:rPr>
        <w:t xml:space="preserve"> </w:t>
      </w:r>
      <w:r w:rsidRPr="0031675F">
        <w:rPr>
          <w:spacing w:val="-1"/>
        </w:rPr>
        <w:t>for</w:t>
      </w:r>
      <w:r w:rsidRPr="0031675F">
        <w:rPr>
          <w:spacing w:val="40"/>
        </w:rPr>
        <w:t xml:space="preserve"> </w:t>
      </w:r>
      <w:r w:rsidRPr="0031675F">
        <w:t>at</w:t>
      </w:r>
      <w:r w:rsidRPr="0031675F">
        <w:rPr>
          <w:spacing w:val="41"/>
        </w:rPr>
        <w:t xml:space="preserve"> </w:t>
      </w:r>
      <w:r w:rsidRPr="0031675F">
        <w:t>least</w:t>
      </w:r>
      <w:r w:rsidRPr="0031675F">
        <w:rPr>
          <w:spacing w:val="41"/>
        </w:rPr>
        <w:t xml:space="preserve"> </w:t>
      </w:r>
      <w:r w:rsidRPr="0031675F">
        <w:rPr>
          <w:spacing w:val="-1"/>
        </w:rPr>
        <w:t>12</w:t>
      </w:r>
      <w:r w:rsidRPr="0031675F">
        <w:rPr>
          <w:spacing w:val="42"/>
        </w:rPr>
        <w:t xml:space="preserve"> </w:t>
      </w:r>
      <w:r w:rsidRPr="0031675F">
        <w:rPr>
          <w:spacing w:val="-1"/>
        </w:rPr>
        <w:t>hours</w:t>
      </w:r>
      <w:r w:rsidRPr="0031675F">
        <w:rPr>
          <w:spacing w:val="40"/>
        </w:rPr>
        <w:t xml:space="preserve"> </w:t>
      </w:r>
      <w:r w:rsidRPr="0031675F">
        <w:rPr>
          <w:spacing w:val="-1"/>
        </w:rPr>
        <w:t>set</w:t>
      </w:r>
      <w:r w:rsidRPr="0031675F">
        <w:rPr>
          <w:spacing w:val="42"/>
        </w:rPr>
        <w:t xml:space="preserve"> </w:t>
      </w:r>
      <w:r w:rsidRPr="0031675F">
        <w:rPr>
          <w:spacing w:val="-2"/>
        </w:rPr>
        <w:t>FUNCTION</w:t>
      </w:r>
      <w:r w:rsidRPr="0031675F">
        <w:rPr>
          <w:spacing w:val="45"/>
        </w:rPr>
        <w:t xml:space="preserve"> </w:t>
      </w:r>
      <w:r w:rsidRPr="0031675F">
        <w:rPr>
          <w:spacing w:val="-1"/>
        </w:rPr>
        <w:t>switch</w:t>
      </w:r>
      <w:r w:rsidRPr="0031675F">
        <w:rPr>
          <w:spacing w:val="39"/>
        </w:rPr>
        <w:t xml:space="preserve"> </w:t>
      </w:r>
      <w:r w:rsidRPr="0031675F">
        <w:t>to</w:t>
      </w:r>
      <w:r w:rsidRPr="0031675F">
        <w:rPr>
          <w:spacing w:val="43"/>
        </w:rPr>
        <w:t xml:space="preserve"> </w:t>
      </w:r>
      <w:r w:rsidRPr="0031675F">
        <w:rPr>
          <w:spacing w:val="-1"/>
        </w:rPr>
        <w:t>STDBY,</w:t>
      </w:r>
      <w:r w:rsidRPr="0031675F">
        <w:rPr>
          <w:spacing w:val="41"/>
        </w:rPr>
        <w:t xml:space="preserve"> </w:t>
      </w:r>
      <w:r w:rsidRPr="0031675F">
        <w:rPr>
          <w:spacing w:val="-1"/>
        </w:rPr>
        <w:t>remove</w:t>
      </w:r>
      <w:r w:rsidRPr="0031675F">
        <w:rPr>
          <w:spacing w:val="42"/>
        </w:rPr>
        <w:t xml:space="preserve"> </w:t>
      </w:r>
      <w:r w:rsidRPr="0031675F">
        <w:t>the</w:t>
      </w:r>
      <w:r w:rsidRPr="0031675F">
        <w:rPr>
          <w:spacing w:val="40"/>
        </w:rPr>
        <w:t xml:space="preserve"> </w:t>
      </w:r>
      <w:r w:rsidRPr="0031675F">
        <w:rPr>
          <w:spacing w:val="-1"/>
        </w:rPr>
        <w:t>sample</w:t>
      </w:r>
      <w:r w:rsidRPr="0031675F">
        <w:rPr>
          <w:spacing w:val="43"/>
        </w:rPr>
        <w:t xml:space="preserve"> </w:t>
      </w:r>
      <w:r w:rsidRPr="0031675F">
        <w:rPr>
          <w:spacing w:val="-1"/>
        </w:rPr>
        <w:t>bottle,</w:t>
      </w:r>
      <w:r w:rsidRPr="0031675F">
        <w:rPr>
          <w:spacing w:val="12"/>
        </w:rPr>
        <w:t xml:space="preserve"> </w:t>
      </w:r>
      <w:r w:rsidRPr="0031675F">
        <w:rPr>
          <w:spacing w:val="-1"/>
        </w:rPr>
        <w:t>install</w:t>
      </w:r>
      <w:r w:rsidRPr="0031675F">
        <w:rPr>
          <w:spacing w:val="10"/>
        </w:rPr>
        <w:t xml:space="preserve"> </w:t>
      </w:r>
      <w:r w:rsidRPr="0031675F">
        <w:t>a</w:t>
      </w:r>
      <w:r w:rsidRPr="0031675F">
        <w:rPr>
          <w:spacing w:val="13"/>
        </w:rPr>
        <w:t xml:space="preserve"> </w:t>
      </w:r>
      <w:r w:rsidRPr="0031675F">
        <w:rPr>
          <w:spacing w:val="-1"/>
        </w:rPr>
        <w:t>bottle</w:t>
      </w:r>
      <w:r w:rsidRPr="0031675F">
        <w:rPr>
          <w:spacing w:val="10"/>
        </w:rPr>
        <w:t xml:space="preserve"> </w:t>
      </w:r>
      <w:r w:rsidRPr="0031675F">
        <w:t>of</w:t>
      </w:r>
      <w:r w:rsidRPr="0031675F">
        <w:rPr>
          <w:spacing w:val="12"/>
        </w:rPr>
        <w:t xml:space="preserve"> </w:t>
      </w:r>
      <w:r w:rsidRPr="0031675F">
        <w:rPr>
          <w:spacing w:val="-2"/>
        </w:rPr>
        <w:t>distilled</w:t>
      </w:r>
      <w:r w:rsidRPr="0031675F">
        <w:rPr>
          <w:spacing w:val="12"/>
        </w:rPr>
        <w:t xml:space="preserve"> </w:t>
      </w:r>
      <w:r w:rsidRPr="0031675F">
        <w:rPr>
          <w:spacing w:val="-1"/>
        </w:rPr>
        <w:t>water,</w:t>
      </w:r>
      <w:r w:rsidRPr="0031675F">
        <w:rPr>
          <w:spacing w:val="10"/>
        </w:rPr>
        <w:t xml:space="preserve"> </w:t>
      </w:r>
      <w:r w:rsidRPr="0031675F">
        <w:rPr>
          <w:spacing w:val="-1"/>
        </w:rPr>
        <w:t>fill</w:t>
      </w:r>
      <w:r w:rsidRPr="0031675F">
        <w:rPr>
          <w:spacing w:val="14"/>
        </w:rPr>
        <w:t xml:space="preserve"> </w:t>
      </w:r>
      <w:r w:rsidRPr="0031675F">
        <w:rPr>
          <w:spacing w:val="-1"/>
        </w:rPr>
        <w:t>and</w:t>
      </w:r>
      <w:r w:rsidRPr="0031675F">
        <w:rPr>
          <w:spacing w:val="11"/>
        </w:rPr>
        <w:t xml:space="preserve"> </w:t>
      </w:r>
      <w:r w:rsidRPr="0031675F">
        <w:rPr>
          <w:spacing w:val="-1"/>
        </w:rPr>
        <w:t>flush</w:t>
      </w:r>
      <w:r w:rsidRPr="0031675F">
        <w:rPr>
          <w:spacing w:val="6"/>
        </w:rPr>
        <w:t xml:space="preserve"> </w:t>
      </w:r>
      <w:r w:rsidRPr="0031675F">
        <w:t>the</w:t>
      </w:r>
      <w:r w:rsidRPr="0031675F">
        <w:rPr>
          <w:spacing w:val="12"/>
        </w:rPr>
        <w:t xml:space="preserve"> </w:t>
      </w:r>
      <w:r w:rsidRPr="0031675F">
        <w:rPr>
          <w:spacing w:val="-1"/>
        </w:rPr>
        <w:t>conductivity</w:t>
      </w:r>
      <w:r w:rsidRPr="0031675F">
        <w:rPr>
          <w:spacing w:val="11"/>
        </w:rPr>
        <w:t xml:space="preserve"> </w:t>
      </w:r>
      <w:r w:rsidRPr="0031675F">
        <w:t>cell</w:t>
      </w:r>
      <w:r w:rsidRPr="0031675F">
        <w:rPr>
          <w:spacing w:val="10"/>
        </w:rPr>
        <w:t xml:space="preserve"> </w:t>
      </w:r>
      <w:r w:rsidRPr="0031675F">
        <w:t>at</w:t>
      </w:r>
      <w:r w:rsidRPr="0031675F">
        <w:rPr>
          <w:spacing w:val="12"/>
        </w:rPr>
        <w:t xml:space="preserve"> </w:t>
      </w:r>
      <w:r w:rsidRPr="0031675F">
        <w:rPr>
          <w:spacing w:val="-2"/>
        </w:rPr>
        <w:t>least</w:t>
      </w:r>
      <w:r w:rsidRPr="0031675F">
        <w:rPr>
          <w:spacing w:val="13"/>
        </w:rPr>
        <w:t xml:space="preserve"> </w:t>
      </w:r>
      <w:r w:rsidRPr="0031675F">
        <w:t>3</w:t>
      </w:r>
      <w:r w:rsidRPr="0031675F">
        <w:rPr>
          <w:spacing w:val="11"/>
        </w:rPr>
        <w:t xml:space="preserve"> </w:t>
      </w:r>
      <w:r w:rsidRPr="0031675F">
        <w:rPr>
          <w:spacing w:val="-1"/>
        </w:rPr>
        <w:t>times</w:t>
      </w:r>
      <w:r w:rsidRPr="0031675F">
        <w:rPr>
          <w:spacing w:val="10"/>
        </w:rPr>
        <w:t xml:space="preserve"> </w:t>
      </w:r>
      <w:r w:rsidRPr="0031675F">
        <w:t>then,</w:t>
      </w:r>
      <w:r w:rsidRPr="0031675F">
        <w:rPr>
          <w:spacing w:val="63"/>
        </w:rPr>
        <w:t xml:space="preserve"> </w:t>
      </w:r>
      <w:r w:rsidRPr="0031675F">
        <w:t xml:space="preserve">with </w:t>
      </w:r>
      <w:r w:rsidRPr="0031675F">
        <w:rPr>
          <w:spacing w:val="-1"/>
        </w:rPr>
        <w:t>the</w:t>
      </w:r>
      <w:r w:rsidRPr="0031675F">
        <w:rPr>
          <w:spacing w:val="-2"/>
        </w:rPr>
        <w:t xml:space="preserve"> </w:t>
      </w:r>
      <w:r w:rsidRPr="0031675F">
        <w:rPr>
          <w:spacing w:val="-1"/>
        </w:rPr>
        <w:t>conductivity</w:t>
      </w:r>
      <w:r w:rsidRPr="0031675F">
        <w:t xml:space="preserve"> </w:t>
      </w:r>
      <w:r w:rsidRPr="0031675F">
        <w:rPr>
          <w:spacing w:val="-1"/>
        </w:rPr>
        <w:t>cell</w:t>
      </w:r>
      <w:r w:rsidRPr="0031675F">
        <w:t xml:space="preserve"> </w:t>
      </w:r>
      <w:r w:rsidRPr="0031675F">
        <w:rPr>
          <w:spacing w:val="-1"/>
        </w:rPr>
        <w:t>full,</w:t>
      </w:r>
      <w:r w:rsidRPr="0031675F">
        <w:rPr>
          <w:spacing w:val="1"/>
        </w:rPr>
        <w:t xml:space="preserve"> </w:t>
      </w:r>
      <w:r w:rsidRPr="0031675F">
        <w:t>turn</w:t>
      </w:r>
      <w:r w:rsidRPr="0031675F">
        <w:rPr>
          <w:spacing w:val="-2"/>
        </w:rPr>
        <w:t xml:space="preserve"> </w:t>
      </w:r>
      <w:r w:rsidRPr="0031675F">
        <w:t>off</w:t>
      </w:r>
      <w:r w:rsidRPr="0031675F">
        <w:rPr>
          <w:spacing w:val="-3"/>
        </w:rPr>
        <w:t xml:space="preserve"> </w:t>
      </w:r>
      <w:r w:rsidRPr="0031675F">
        <w:t xml:space="preserve">the </w:t>
      </w:r>
      <w:r w:rsidRPr="0031675F">
        <w:rPr>
          <w:spacing w:val="-1"/>
        </w:rPr>
        <w:t>flow</w:t>
      </w:r>
      <w:r w:rsidRPr="0031675F">
        <w:rPr>
          <w:spacing w:val="-2"/>
        </w:rPr>
        <w:t xml:space="preserve"> </w:t>
      </w:r>
      <w:r w:rsidRPr="0031675F">
        <w:t>rate.</w:t>
      </w:r>
    </w:p>
    <w:p w14:paraId="2CF07879" w14:textId="77777777" w:rsidR="0031675F" w:rsidRPr="0031675F" w:rsidRDefault="0031675F" w:rsidP="0031675F">
      <w:pPr>
        <w:widowControl w:val="0"/>
        <w:numPr>
          <w:ilvl w:val="0"/>
          <w:numId w:val="130"/>
        </w:numPr>
        <w:tabs>
          <w:tab w:val="left" w:pos="547"/>
        </w:tabs>
        <w:spacing w:before="0" w:after="0" w:line="240" w:lineRule="auto"/>
      </w:pPr>
      <w:r w:rsidRPr="0031675F">
        <w:rPr>
          <w:spacing w:val="-1"/>
        </w:rPr>
        <w:t>Remove</w:t>
      </w:r>
      <w:r w:rsidRPr="0031675F">
        <w:t xml:space="preserve"> </w:t>
      </w:r>
      <w:r w:rsidRPr="0031675F">
        <w:rPr>
          <w:spacing w:val="-1"/>
        </w:rPr>
        <w:t>sample</w:t>
      </w:r>
      <w:r w:rsidRPr="0031675F">
        <w:rPr>
          <w:spacing w:val="-3"/>
        </w:rPr>
        <w:t xml:space="preserve"> </w:t>
      </w:r>
      <w:r w:rsidRPr="0031675F">
        <w:rPr>
          <w:spacing w:val="-1"/>
        </w:rPr>
        <w:t>bottle</w:t>
      </w:r>
      <w:r w:rsidRPr="0031675F">
        <w:t xml:space="preserve"> </w:t>
      </w:r>
      <w:r w:rsidRPr="0031675F">
        <w:rPr>
          <w:spacing w:val="-2"/>
        </w:rPr>
        <w:t>by</w:t>
      </w:r>
      <w:r w:rsidRPr="0031675F">
        <w:t xml:space="preserve"> </w:t>
      </w:r>
      <w:r w:rsidRPr="0031675F">
        <w:rPr>
          <w:spacing w:val="-1"/>
        </w:rPr>
        <w:t>the</w:t>
      </w:r>
      <w:r w:rsidRPr="0031675F">
        <w:t xml:space="preserve"> </w:t>
      </w:r>
      <w:r w:rsidRPr="0031675F">
        <w:rPr>
          <w:spacing w:val="-1"/>
        </w:rPr>
        <w:t>following</w:t>
      </w:r>
      <w:r w:rsidRPr="0031675F">
        <w:rPr>
          <w:spacing w:val="-2"/>
        </w:rPr>
        <w:t xml:space="preserve"> </w:t>
      </w:r>
      <w:r w:rsidRPr="0031675F">
        <w:rPr>
          <w:spacing w:val="-1"/>
        </w:rPr>
        <w:t>steps:</w:t>
      </w:r>
    </w:p>
    <w:p w14:paraId="204A9659" w14:textId="77777777" w:rsidR="0031675F" w:rsidRPr="0031675F" w:rsidRDefault="0031675F" w:rsidP="0031675F">
      <w:pPr>
        <w:widowControl w:val="0"/>
        <w:numPr>
          <w:ilvl w:val="1"/>
          <w:numId w:val="130"/>
        </w:numPr>
        <w:tabs>
          <w:tab w:val="left" w:pos="971"/>
        </w:tabs>
        <w:spacing w:before="0" w:after="0" w:line="267" w:lineRule="exact"/>
        <w:ind w:hanging="424"/>
      </w:pPr>
      <w:r w:rsidRPr="0031675F">
        <w:rPr>
          <w:spacing w:val="-1"/>
        </w:rPr>
        <w:t>Set</w:t>
      </w:r>
      <w:r w:rsidRPr="0031675F">
        <w:rPr>
          <w:spacing w:val="1"/>
        </w:rPr>
        <w:t xml:space="preserve"> </w:t>
      </w:r>
      <w:r w:rsidRPr="0031675F">
        <w:rPr>
          <w:spacing w:val="-1"/>
        </w:rPr>
        <w:t>FUNCTION</w:t>
      </w:r>
      <w:r w:rsidRPr="0031675F">
        <w:rPr>
          <w:spacing w:val="-3"/>
        </w:rPr>
        <w:t xml:space="preserve"> </w:t>
      </w:r>
      <w:r w:rsidRPr="0031675F">
        <w:rPr>
          <w:spacing w:val="-1"/>
        </w:rPr>
        <w:t>switch</w:t>
      </w:r>
      <w:r w:rsidRPr="0031675F">
        <w:t xml:space="preserve"> </w:t>
      </w:r>
      <w:r w:rsidRPr="0031675F">
        <w:rPr>
          <w:spacing w:val="-1"/>
        </w:rPr>
        <w:t>to</w:t>
      </w:r>
      <w:r w:rsidRPr="0031675F">
        <w:rPr>
          <w:spacing w:val="1"/>
        </w:rPr>
        <w:t xml:space="preserve"> </w:t>
      </w:r>
      <w:r w:rsidRPr="0031675F">
        <w:rPr>
          <w:spacing w:val="-1"/>
        </w:rPr>
        <w:t>STDBY.</w:t>
      </w:r>
    </w:p>
    <w:p w14:paraId="68768662" w14:textId="77777777" w:rsidR="0031675F" w:rsidRPr="0031675F" w:rsidRDefault="0031675F" w:rsidP="0031675F">
      <w:pPr>
        <w:widowControl w:val="0"/>
        <w:numPr>
          <w:ilvl w:val="1"/>
          <w:numId w:val="130"/>
        </w:numPr>
        <w:tabs>
          <w:tab w:val="left" w:pos="971"/>
        </w:tabs>
        <w:spacing w:before="0" w:after="0" w:line="267" w:lineRule="exact"/>
        <w:ind w:hanging="424"/>
      </w:pPr>
      <w:r w:rsidRPr="0031675F">
        <w:rPr>
          <w:spacing w:val="-1"/>
        </w:rPr>
        <w:t>Reduce</w:t>
      </w:r>
      <w:r w:rsidRPr="0031675F">
        <w:rPr>
          <w:spacing w:val="1"/>
        </w:rPr>
        <w:t xml:space="preserve"> </w:t>
      </w:r>
      <w:r w:rsidRPr="0031675F">
        <w:rPr>
          <w:spacing w:val="-1"/>
        </w:rPr>
        <w:t>flow</w:t>
      </w:r>
      <w:r w:rsidRPr="0031675F">
        <w:rPr>
          <w:spacing w:val="-2"/>
        </w:rPr>
        <w:t xml:space="preserve"> </w:t>
      </w:r>
      <w:r w:rsidRPr="0031675F">
        <w:t>rate</w:t>
      </w:r>
      <w:r w:rsidRPr="0031675F">
        <w:rPr>
          <w:spacing w:val="-2"/>
        </w:rPr>
        <w:t xml:space="preserve"> </w:t>
      </w:r>
      <w:r w:rsidRPr="0031675F">
        <w:rPr>
          <w:spacing w:val="-1"/>
        </w:rPr>
        <w:t>to minimum.</w:t>
      </w:r>
    </w:p>
    <w:p w14:paraId="260E4455" w14:textId="77777777" w:rsidR="0031675F" w:rsidRPr="0031675F" w:rsidRDefault="0031675F" w:rsidP="0031675F">
      <w:pPr>
        <w:widowControl w:val="0"/>
        <w:numPr>
          <w:ilvl w:val="1"/>
          <w:numId w:val="130"/>
        </w:numPr>
        <w:tabs>
          <w:tab w:val="left" w:pos="971"/>
        </w:tabs>
        <w:spacing w:before="0" w:after="0" w:line="240" w:lineRule="auto"/>
        <w:ind w:hanging="424"/>
      </w:pPr>
      <w:r w:rsidRPr="0031675F">
        <w:rPr>
          <w:spacing w:val="-1"/>
        </w:rPr>
        <w:t>Flush</w:t>
      </w:r>
      <w:r w:rsidRPr="0031675F">
        <w:t xml:space="preserve"> </w:t>
      </w:r>
      <w:r w:rsidRPr="0031675F">
        <w:rPr>
          <w:spacing w:val="-1"/>
        </w:rPr>
        <w:t xml:space="preserve">conductivity </w:t>
      </w:r>
      <w:r w:rsidRPr="0031675F">
        <w:t>cell.</w:t>
      </w:r>
    </w:p>
    <w:p w14:paraId="0C60257B" w14:textId="77777777" w:rsidR="0031675F" w:rsidRPr="0031675F" w:rsidRDefault="0031675F" w:rsidP="0031675F">
      <w:pPr>
        <w:widowControl w:val="0"/>
        <w:numPr>
          <w:ilvl w:val="1"/>
          <w:numId w:val="130"/>
        </w:numPr>
        <w:tabs>
          <w:tab w:val="left" w:pos="971"/>
        </w:tabs>
        <w:spacing w:before="0" w:after="0" w:line="240" w:lineRule="auto"/>
        <w:ind w:hanging="424"/>
      </w:pPr>
      <w:r w:rsidRPr="0031675F">
        <w:rPr>
          <w:spacing w:val="-1"/>
        </w:rPr>
        <w:t>Lower</w:t>
      </w:r>
      <w:r w:rsidRPr="0031675F">
        <w:t xml:space="preserve"> </w:t>
      </w:r>
      <w:r w:rsidRPr="0031675F">
        <w:rPr>
          <w:spacing w:val="-1"/>
        </w:rPr>
        <w:t>bottle</w:t>
      </w:r>
      <w:r w:rsidRPr="0031675F">
        <w:t xml:space="preserve"> </w:t>
      </w:r>
      <w:r w:rsidRPr="0031675F">
        <w:rPr>
          <w:spacing w:val="-1"/>
        </w:rPr>
        <w:t>platform</w:t>
      </w:r>
      <w:r w:rsidRPr="0031675F">
        <w:rPr>
          <w:spacing w:val="1"/>
        </w:rPr>
        <w:t xml:space="preserve"> </w:t>
      </w:r>
      <w:r w:rsidRPr="0031675F">
        <w:t>and</w:t>
      </w:r>
      <w:r w:rsidRPr="0031675F">
        <w:rPr>
          <w:spacing w:val="-4"/>
        </w:rPr>
        <w:t xml:space="preserve"> </w:t>
      </w:r>
      <w:r w:rsidRPr="0031675F">
        <w:rPr>
          <w:spacing w:val="-1"/>
        </w:rPr>
        <w:t>remove</w:t>
      </w:r>
      <w:r w:rsidRPr="0031675F">
        <w:t xml:space="preserve"> </w:t>
      </w:r>
      <w:r w:rsidRPr="0031675F">
        <w:rPr>
          <w:spacing w:val="-1"/>
        </w:rPr>
        <w:t>sample</w:t>
      </w:r>
      <w:r w:rsidRPr="0031675F">
        <w:rPr>
          <w:spacing w:val="-3"/>
        </w:rPr>
        <w:t xml:space="preserve"> </w:t>
      </w:r>
      <w:r w:rsidRPr="0031675F">
        <w:rPr>
          <w:spacing w:val="-1"/>
        </w:rPr>
        <w:t>bottle.</w:t>
      </w:r>
    </w:p>
    <w:p w14:paraId="5F8AA6CA" w14:textId="77777777" w:rsidR="0031675F" w:rsidRPr="0031675F" w:rsidRDefault="0031675F" w:rsidP="0031675F">
      <w:pPr>
        <w:widowControl w:val="0"/>
        <w:numPr>
          <w:ilvl w:val="1"/>
          <w:numId w:val="130"/>
        </w:numPr>
        <w:tabs>
          <w:tab w:val="left" w:pos="971"/>
        </w:tabs>
        <w:spacing w:before="0" w:after="0" w:line="240" w:lineRule="auto"/>
        <w:ind w:hanging="424"/>
      </w:pPr>
      <w:r w:rsidRPr="0031675F">
        <w:rPr>
          <w:spacing w:val="-1"/>
        </w:rPr>
        <w:t>Wipe</w:t>
      </w:r>
      <w:r w:rsidRPr="0031675F">
        <w:t xml:space="preserve"> </w:t>
      </w:r>
      <w:r w:rsidRPr="0031675F">
        <w:rPr>
          <w:spacing w:val="-1"/>
        </w:rPr>
        <w:t>pick-up tube.</w:t>
      </w:r>
    </w:p>
    <w:p w14:paraId="652D7BAE" w14:textId="77777777" w:rsidR="0031675F" w:rsidRPr="0031675F" w:rsidRDefault="0031675F" w:rsidP="0031675F">
      <w:pPr>
        <w:widowControl w:val="0"/>
        <w:numPr>
          <w:ilvl w:val="1"/>
          <w:numId w:val="130"/>
        </w:numPr>
        <w:tabs>
          <w:tab w:val="left" w:pos="971"/>
        </w:tabs>
        <w:spacing w:before="0" w:after="0" w:line="240" w:lineRule="auto"/>
        <w:ind w:hanging="424"/>
      </w:pPr>
      <w:r w:rsidRPr="0031675F">
        <w:t>Raise and</w:t>
      </w:r>
      <w:r w:rsidRPr="0031675F">
        <w:rPr>
          <w:spacing w:val="-2"/>
        </w:rPr>
        <w:t xml:space="preserve"> </w:t>
      </w:r>
      <w:r w:rsidRPr="0031675F">
        <w:rPr>
          <w:spacing w:val="-1"/>
        </w:rPr>
        <w:t>insert</w:t>
      </w:r>
      <w:r w:rsidRPr="0031675F">
        <w:t xml:space="preserve"> end</w:t>
      </w:r>
      <w:r w:rsidRPr="0031675F">
        <w:rPr>
          <w:spacing w:val="-4"/>
        </w:rPr>
        <w:t xml:space="preserve"> </w:t>
      </w:r>
      <w:r w:rsidRPr="0031675F">
        <w:t xml:space="preserve">of </w:t>
      </w:r>
      <w:r w:rsidRPr="0031675F">
        <w:rPr>
          <w:spacing w:val="-2"/>
        </w:rPr>
        <w:t>pick-up</w:t>
      </w:r>
      <w:r w:rsidRPr="0031675F">
        <w:rPr>
          <w:spacing w:val="-1"/>
        </w:rPr>
        <w:t xml:space="preserve"> tube</w:t>
      </w:r>
      <w:r w:rsidRPr="0031675F">
        <w:t xml:space="preserve"> </w:t>
      </w:r>
      <w:r w:rsidRPr="0031675F">
        <w:rPr>
          <w:spacing w:val="-1"/>
        </w:rPr>
        <w:t>into pick-up tube</w:t>
      </w:r>
      <w:r w:rsidRPr="0031675F">
        <w:rPr>
          <w:spacing w:val="-2"/>
        </w:rPr>
        <w:t xml:space="preserve"> </w:t>
      </w:r>
      <w:r w:rsidRPr="0031675F">
        <w:rPr>
          <w:spacing w:val="-1"/>
        </w:rPr>
        <w:t>holder.</w:t>
      </w:r>
    </w:p>
    <w:p w14:paraId="1CEEBC6C" w14:textId="77777777" w:rsidR="0031675F" w:rsidRPr="0031675F" w:rsidRDefault="0031675F" w:rsidP="0031675F">
      <w:pPr>
        <w:spacing w:before="11"/>
        <w:rPr>
          <w:rFonts w:cs="Calibri"/>
          <w:color w:val="7030A0"/>
          <w:sz w:val="21"/>
          <w:szCs w:val="21"/>
        </w:rPr>
      </w:pPr>
    </w:p>
    <w:p w14:paraId="0DBF3887" w14:textId="77777777" w:rsidR="0031675F" w:rsidRPr="0031675F" w:rsidRDefault="0031675F" w:rsidP="0031675F">
      <w:pPr>
        <w:widowControl w:val="0"/>
        <w:numPr>
          <w:ilvl w:val="1"/>
          <w:numId w:val="129"/>
        </w:numPr>
        <w:tabs>
          <w:tab w:val="left" w:pos="686"/>
        </w:tabs>
        <w:spacing w:before="0" w:after="0" w:line="240" w:lineRule="auto"/>
        <w:rPr>
          <w:rFonts w:eastAsia="Arial" w:cs="Arial"/>
          <w:sz w:val="24"/>
          <w:szCs w:val="24"/>
        </w:rPr>
      </w:pPr>
      <w:bookmarkStart w:id="589" w:name="_TOC_250089"/>
      <w:r w:rsidRPr="0031675F">
        <w:rPr>
          <w:b/>
          <w:sz w:val="24"/>
        </w:rPr>
        <w:t>Data</w:t>
      </w:r>
      <w:r w:rsidRPr="0031675F">
        <w:rPr>
          <w:b/>
          <w:spacing w:val="1"/>
          <w:sz w:val="24"/>
        </w:rPr>
        <w:t xml:space="preserve"> </w:t>
      </w:r>
      <w:r w:rsidRPr="0031675F">
        <w:rPr>
          <w:b/>
          <w:spacing w:val="-1"/>
          <w:sz w:val="24"/>
        </w:rPr>
        <w:t>management</w:t>
      </w:r>
      <w:bookmarkEnd w:id="589"/>
    </w:p>
    <w:p w14:paraId="1C3EC774" w14:textId="3108871F" w:rsidR="0031675F" w:rsidRPr="0031675F" w:rsidRDefault="0031675F" w:rsidP="00723F0F">
      <w:r w:rsidRPr="0031675F">
        <w:t>The</w:t>
      </w:r>
      <w:r w:rsidRPr="0031675F">
        <w:rPr>
          <w:spacing w:val="33"/>
        </w:rPr>
        <w:t xml:space="preserve"> </w:t>
      </w:r>
      <w:r w:rsidRPr="0031675F">
        <w:t>sample</w:t>
      </w:r>
      <w:r w:rsidRPr="0031675F">
        <w:rPr>
          <w:spacing w:val="34"/>
        </w:rPr>
        <w:t xml:space="preserve"> </w:t>
      </w:r>
      <w:r w:rsidRPr="0031675F">
        <w:t>reading</w:t>
      </w:r>
      <w:r w:rsidRPr="0031675F">
        <w:rPr>
          <w:spacing w:val="33"/>
        </w:rPr>
        <w:t xml:space="preserve"> </w:t>
      </w:r>
      <w:r w:rsidRPr="0031675F">
        <w:t>is</w:t>
      </w:r>
      <w:r w:rsidRPr="0031675F">
        <w:rPr>
          <w:spacing w:val="32"/>
        </w:rPr>
        <w:t xml:space="preserve"> </w:t>
      </w:r>
      <w:r w:rsidRPr="0031675F">
        <w:t>logged</w:t>
      </w:r>
      <w:r w:rsidRPr="0031675F">
        <w:rPr>
          <w:spacing w:val="33"/>
        </w:rPr>
        <w:t xml:space="preserve"> </w:t>
      </w:r>
      <w:r w:rsidRPr="0031675F">
        <w:t>with</w:t>
      </w:r>
      <w:r w:rsidRPr="0031675F">
        <w:rPr>
          <w:spacing w:val="34"/>
        </w:rPr>
        <w:t xml:space="preserve"> </w:t>
      </w:r>
      <w:r w:rsidRPr="0031675F">
        <w:t>standards</w:t>
      </w:r>
      <w:r w:rsidRPr="0031675F">
        <w:rPr>
          <w:spacing w:val="34"/>
        </w:rPr>
        <w:t xml:space="preserve"> </w:t>
      </w:r>
      <w:r w:rsidRPr="0031675F">
        <w:t>and</w:t>
      </w:r>
      <w:r w:rsidRPr="0031675F">
        <w:rPr>
          <w:spacing w:val="32"/>
        </w:rPr>
        <w:t xml:space="preserve"> </w:t>
      </w:r>
      <w:r w:rsidRPr="0031675F">
        <w:t>substandards</w:t>
      </w:r>
      <w:r w:rsidRPr="0031675F">
        <w:rPr>
          <w:spacing w:val="34"/>
        </w:rPr>
        <w:t xml:space="preserve"> </w:t>
      </w:r>
      <w:r w:rsidRPr="0031675F">
        <w:t>in</w:t>
      </w:r>
      <w:r w:rsidRPr="0031675F">
        <w:rPr>
          <w:spacing w:val="33"/>
        </w:rPr>
        <w:t xml:space="preserve"> </w:t>
      </w:r>
      <w:r w:rsidRPr="0031675F">
        <w:t>the</w:t>
      </w:r>
      <w:r w:rsidRPr="0031675F">
        <w:rPr>
          <w:spacing w:val="33"/>
        </w:rPr>
        <w:t xml:space="preserve"> </w:t>
      </w:r>
      <w:r w:rsidRPr="0031675F">
        <w:t>exact</w:t>
      </w:r>
      <w:r w:rsidRPr="0031675F">
        <w:rPr>
          <w:spacing w:val="34"/>
        </w:rPr>
        <w:t xml:space="preserve"> </w:t>
      </w:r>
      <w:r w:rsidRPr="0031675F">
        <w:t>order</w:t>
      </w:r>
      <w:r w:rsidRPr="0031675F">
        <w:rPr>
          <w:spacing w:val="34"/>
        </w:rPr>
        <w:t xml:space="preserve"> </w:t>
      </w:r>
      <w:r w:rsidRPr="0031675F">
        <w:t>indicated</w:t>
      </w:r>
      <w:r w:rsidRPr="0031675F">
        <w:rPr>
          <w:spacing w:val="33"/>
        </w:rPr>
        <w:t xml:space="preserve"> </w:t>
      </w:r>
      <w:r w:rsidRPr="0031675F">
        <w:t>on</w:t>
      </w:r>
      <w:r w:rsidRPr="0031675F">
        <w:rPr>
          <w:spacing w:val="32"/>
        </w:rPr>
        <w:t xml:space="preserve"> </w:t>
      </w:r>
      <w:r w:rsidRPr="0031675F">
        <w:t>a</w:t>
      </w:r>
      <w:r w:rsidRPr="0031675F">
        <w:rPr>
          <w:spacing w:val="39"/>
        </w:rPr>
        <w:t xml:space="preserve"> </w:t>
      </w:r>
      <w:r w:rsidRPr="0031675F">
        <w:t>laboratory</w:t>
      </w:r>
      <w:r w:rsidRPr="0031675F">
        <w:rPr>
          <w:spacing w:val="8"/>
        </w:rPr>
        <w:t xml:space="preserve"> </w:t>
      </w:r>
      <w:r w:rsidRPr="0031675F">
        <w:t>worksheet.</w:t>
      </w:r>
      <w:r w:rsidRPr="0031675F">
        <w:rPr>
          <w:spacing w:val="20"/>
        </w:rPr>
        <w:t xml:space="preserve"> </w:t>
      </w:r>
      <w:r w:rsidRPr="0031675F">
        <w:t>A</w:t>
      </w:r>
      <w:r w:rsidRPr="0031675F">
        <w:rPr>
          <w:spacing w:val="9"/>
        </w:rPr>
        <w:t xml:space="preserve"> </w:t>
      </w:r>
      <w:r w:rsidRPr="0031675F">
        <w:t>proforma</w:t>
      </w:r>
      <w:r w:rsidRPr="0031675F">
        <w:rPr>
          <w:spacing w:val="7"/>
        </w:rPr>
        <w:t xml:space="preserve"> </w:t>
      </w:r>
      <w:r w:rsidRPr="0031675F">
        <w:t>of</w:t>
      </w:r>
      <w:r w:rsidRPr="0031675F">
        <w:rPr>
          <w:spacing w:val="9"/>
        </w:rPr>
        <w:t xml:space="preserve"> </w:t>
      </w:r>
      <w:r w:rsidRPr="0031675F">
        <w:t>this</w:t>
      </w:r>
      <w:r w:rsidRPr="0031675F">
        <w:rPr>
          <w:spacing w:val="10"/>
        </w:rPr>
        <w:t xml:space="preserve"> </w:t>
      </w:r>
      <w:r w:rsidRPr="0031675F">
        <w:t>log</w:t>
      </w:r>
      <w:r w:rsidRPr="0031675F">
        <w:rPr>
          <w:spacing w:val="9"/>
        </w:rPr>
        <w:t xml:space="preserve"> </w:t>
      </w:r>
      <w:r w:rsidRPr="0031675F">
        <w:t>sheet</w:t>
      </w:r>
      <w:r w:rsidRPr="0031675F">
        <w:rPr>
          <w:spacing w:val="8"/>
        </w:rPr>
        <w:t xml:space="preserve"> </w:t>
      </w:r>
      <w:r w:rsidRPr="0031675F">
        <w:t>can</w:t>
      </w:r>
      <w:r w:rsidRPr="0031675F">
        <w:rPr>
          <w:spacing w:val="9"/>
        </w:rPr>
        <w:t xml:space="preserve"> </w:t>
      </w:r>
      <w:r w:rsidRPr="0031675F">
        <w:t>be</w:t>
      </w:r>
      <w:r w:rsidRPr="0031675F">
        <w:rPr>
          <w:spacing w:val="10"/>
        </w:rPr>
        <w:t xml:space="preserve"> </w:t>
      </w:r>
      <w:r w:rsidRPr="0031675F">
        <w:t>found</w:t>
      </w:r>
      <w:r w:rsidRPr="0031675F">
        <w:rPr>
          <w:spacing w:val="9"/>
        </w:rPr>
        <w:t xml:space="preserve"> </w:t>
      </w:r>
      <w:r w:rsidR="00723F0F">
        <w:t>below</w:t>
      </w:r>
      <w:r w:rsidRPr="0031675F">
        <w:t>.</w:t>
      </w:r>
      <w:r w:rsidRPr="0031675F">
        <w:rPr>
          <w:spacing w:val="9"/>
        </w:rPr>
        <w:t xml:space="preserve"> </w:t>
      </w:r>
      <w:r w:rsidRPr="0031675F">
        <w:t>All</w:t>
      </w:r>
      <w:r w:rsidRPr="0031675F">
        <w:rPr>
          <w:spacing w:val="9"/>
        </w:rPr>
        <w:t xml:space="preserve"> </w:t>
      </w:r>
      <w:r w:rsidRPr="0031675F">
        <w:t>information</w:t>
      </w:r>
      <w:r w:rsidRPr="0031675F">
        <w:rPr>
          <w:spacing w:val="81"/>
        </w:rPr>
        <w:t xml:space="preserve"> </w:t>
      </w:r>
      <w:r w:rsidRPr="0031675F">
        <w:t>from</w:t>
      </w:r>
      <w:r w:rsidRPr="0031675F">
        <w:rPr>
          <w:spacing w:val="39"/>
        </w:rPr>
        <w:t xml:space="preserve"> </w:t>
      </w:r>
      <w:r w:rsidRPr="0031675F">
        <w:t>this</w:t>
      </w:r>
      <w:r w:rsidRPr="0031675F">
        <w:rPr>
          <w:spacing w:val="39"/>
        </w:rPr>
        <w:t xml:space="preserve"> </w:t>
      </w:r>
      <w:r w:rsidRPr="0031675F">
        <w:t>lab</w:t>
      </w:r>
      <w:r w:rsidRPr="0031675F">
        <w:rPr>
          <w:spacing w:val="37"/>
        </w:rPr>
        <w:t xml:space="preserve"> </w:t>
      </w:r>
      <w:r w:rsidRPr="0031675F">
        <w:rPr>
          <w:spacing w:val="-2"/>
        </w:rPr>
        <w:t>sheet</w:t>
      </w:r>
      <w:r w:rsidRPr="0031675F">
        <w:rPr>
          <w:spacing w:val="38"/>
        </w:rPr>
        <w:t xml:space="preserve"> </w:t>
      </w:r>
      <w:r w:rsidRPr="0031675F">
        <w:t>is</w:t>
      </w:r>
      <w:r w:rsidRPr="0031675F">
        <w:rPr>
          <w:spacing w:val="38"/>
        </w:rPr>
        <w:t xml:space="preserve"> </w:t>
      </w:r>
      <w:r w:rsidRPr="0031675F">
        <w:t>then</w:t>
      </w:r>
      <w:r w:rsidRPr="0031675F">
        <w:rPr>
          <w:spacing w:val="38"/>
        </w:rPr>
        <w:t xml:space="preserve"> </w:t>
      </w:r>
      <w:r w:rsidRPr="0031675F">
        <w:t>entered</w:t>
      </w:r>
      <w:r w:rsidRPr="0031675F">
        <w:rPr>
          <w:spacing w:val="38"/>
        </w:rPr>
        <w:t xml:space="preserve"> </w:t>
      </w:r>
      <w:r w:rsidRPr="0031675F">
        <w:t>into</w:t>
      </w:r>
      <w:r w:rsidRPr="0031675F">
        <w:rPr>
          <w:spacing w:val="39"/>
        </w:rPr>
        <w:t xml:space="preserve"> </w:t>
      </w:r>
      <w:r w:rsidRPr="0031675F">
        <w:t>a</w:t>
      </w:r>
      <w:r w:rsidRPr="0031675F">
        <w:rPr>
          <w:spacing w:val="38"/>
        </w:rPr>
        <w:t xml:space="preserve"> </w:t>
      </w:r>
      <w:r w:rsidRPr="0031675F">
        <w:t>Microsoft</w:t>
      </w:r>
      <w:r w:rsidRPr="0031675F">
        <w:rPr>
          <w:spacing w:val="39"/>
        </w:rPr>
        <w:t xml:space="preserve"> </w:t>
      </w:r>
      <w:r w:rsidRPr="0031675F">
        <w:t>Excel</w:t>
      </w:r>
      <w:r w:rsidRPr="0031675F">
        <w:rPr>
          <w:spacing w:val="38"/>
        </w:rPr>
        <w:t xml:space="preserve"> </w:t>
      </w:r>
      <w:r w:rsidRPr="0031675F">
        <w:t>spreadsheet</w:t>
      </w:r>
      <w:r w:rsidRPr="0031675F">
        <w:rPr>
          <w:spacing w:val="39"/>
        </w:rPr>
        <w:t xml:space="preserve"> </w:t>
      </w:r>
      <w:r w:rsidRPr="0031675F">
        <w:t>template</w:t>
      </w:r>
      <w:r w:rsidRPr="0031675F">
        <w:rPr>
          <w:spacing w:val="39"/>
        </w:rPr>
        <w:t xml:space="preserve"> </w:t>
      </w:r>
      <w:r w:rsidRPr="0031675F">
        <w:t>called</w:t>
      </w:r>
      <w:r w:rsidRPr="0031675F">
        <w:rPr>
          <w:spacing w:val="38"/>
        </w:rPr>
        <w:t xml:space="preserve"> </w:t>
      </w:r>
      <w:r w:rsidRPr="0031675F">
        <w:t>"Salinity-</w:t>
      </w:r>
      <w:r w:rsidRPr="0031675F">
        <w:rPr>
          <w:spacing w:val="81"/>
        </w:rPr>
        <w:t xml:space="preserve"> </w:t>
      </w:r>
      <w:r w:rsidRPr="0031675F">
        <w:t>Portasal</w:t>
      </w:r>
      <w:r w:rsidRPr="0031675F">
        <w:rPr>
          <w:spacing w:val="24"/>
        </w:rPr>
        <w:t xml:space="preserve"> </w:t>
      </w:r>
      <w:r w:rsidRPr="0031675F">
        <w:t>blank</w:t>
      </w:r>
      <w:r w:rsidRPr="0031675F">
        <w:rPr>
          <w:spacing w:val="22"/>
        </w:rPr>
        <w:t xml:space="preserve"> </w:t>
      </w:r>
      <w:r w:rsidRPr="0031675F">
        <w:t>worksheet"</w:t>
      </w:r>
      <w:r w:rsidRPr="0031675F">
        <w:rPr>
          <w:spacing w:val="22"/>
        </w:rPr>
        <w:t xml:space="preserve"> </w:t>
      </w:r>
      <w:r w:rsidRPr="0031675F">
        <w:t>which</w:t>
      </w:r>
      <w:r w:rsidRPr="0031675F">
        <w:rPr>
          <w:spacing w:val="23"/>
        </w:rPr>
        <w:t xml:space="preserve"> </w:t>
      </w:r>
      <w:r w:rsidRPr="0031675F">
        <w:t>is</w:t>
      </w:r>
      <w:r w:rsidRPr="0031675F">
        <w:rPr>
          <w:spacing w:val="24"/>
        </w:rPr>
        <w:t xml:space="preserve"> </w:t>
      </w:r>
      <w:r w:rsidRPr="0031675F">
        <w:t>a</w:t>
      </w:r>
      <w:r w:rsidRPr="0031675F">
        <w:rPr>
          <w:spacing w:val="21"/>
        </w:rPr>
        <w:t xml:space="preserve"> </w:t>
      </w:r>
      <w:r w:rsidRPr="0031675F">
        <w:t>visual</w:t>
      </w:r>
      <w:r w:rsidRPr="0031675F">
        <w:rPr>
          <w:spacing w:val="21"/>
        </w:rPr>
        <w:t xml:space="preserve"> </w:t>
      </w:r>
      <w:r w:rsidRPr="0031675F">
        <w:t>copy</w:t>
      </w:r>
      <w:r w:rsidRPr="0031675F">
        <w:rPr>
          <w:spacing w:val="22"/>
        </w:rPr>
        <w:t xml:space="preserve"> </w:t>
      </w:r>
      <w:r w:rsidRPr="0031675F">
        <w:t>of</w:t>
      </w:r>
      <w:r w:rsidRPr="0031675F">
        <w:rPr>
          <w:spacing w:val="21"/>
        </w:rPr>
        <w:t xml:space="preserve"> </w:t>
      </w:r>
      <w:r w:rsidRPr="0031675F">
        <w:t>the</w:t>
      </w:r>
      <w:r w:rsidRPr="0031675F">
        <w:rPr>
          <w:spacing w:val="24"/>
        </w:rPr>
        <w:t xml:space="preserve"> </w:t>
      </w:r>
      <w:r w:rsidRPr="0031675F">
        <w:t>laboratory</w:t>
      </w:r>
      <w:r w:rsidRPr="0031675F">
        <w:rPr>
          <w:spacing w:val="24"/>
        </w:rPr>
        <w:t xml:space="preserve"> </w:t>
      </w:r>
      <w:r w:rsidRPr="0031675F">
        <w:rPr>
          <w:spacing w:val="-2"/>
        </w:rPr>
        <w:t>form</w:t>
      </w:r>
      <w:r w:rsidRPr="0031675F">
        <w:rPr>
          <w:spacing w:val="25"/>
        </w:rPr>
        <w:t xml:space="preserve"> </w:t>
      </w:r>
      <w:r w:rsidRPr="0031675F">
        <w:t>but</w:t>
      </w:r>
      <w:r w:rsidRPr="0031675F">
        <w:rPr>
          <w:spacing w:val="25"/>
        </w:rPr>
        <w:t xml:space="preserve"> </w:t>
      </w:r>
      <w:r w:rsidRPr="0031675F">
        <w:rPr>
          <w:spacing w:val="-2"/>
        </w:rPr>
        <w:t>has</w:t>
      </w:r>
      <w:r w:rsidRPr="0031675F">
        <w:rPr>
          <w:spacing w:val="24"/>
        </w:rPr>
        <w:t xml:space="preserve"> </w:t>
      </w:r>
      <w:r w:rsidRPr="0031675F">
        <w:t>all</w:t>
      </w:r>
      <w:r w:rsidRPr="0031675F">
        <w:rPr>
          <w:spacing w:val="23"/>
        </w:rPr>
        <w:t xml:space="preserve"> </w:t>
      </w:r>
      <w:r w:rsidRPr="0031675F">
        <w:t>the</w:t>
      </w:r>
      <w:r w:rsidRPr="0031675F">
        <w:rPr>
          <w:spacing w:val="22"/>
        </w:rPr>
        <w:t xml:space="preserve"> </w:t>
      </w:r>
      <w:r w:rsidRPr="0031675F">
        <w:t>calculation</w:t>
      </w:r>
      <w:r w:rsidRPr="0031675F">
        <w:rPr>
          <w:spacing w:val="77"/>
        </w:rPr>
        <w:t xml:space="preserve"> </w:t>
      </w:r>
      <w:r w:rsidRPr="0031675F">
        <w:t>equations</w:t>
      </w:r>
      <w:r w:rsidRPr="0031675F">
        <w:rPr>
          <w:spacing w:val="12"/>
        </w:rPr>
        <w:t xml:space="preserve"> </w:t>
      </w:r>
      <w:r w:rsidRPr="0031675F">
        <w:t>imbedded.</w:t>
      </w:r>
      <w:r w:rsidRPr="0031675F">
        <w:rPr>
          <w:spacing w:val="24"/>
        </w:rPr>
        <w:t xml:space="preserve"> </w:t>
      </w:r>
      <w:r w:rsidRPr="0031675F">
        <w:t>It</w:t>
      </w:r>
      <w:r w:rsidRPr="0031675F">
        <w:rPr>
          <w:spacing w:val="12"/>
        </w:rPr>
        <w:t xml:space="preserve"> </w:t>
      </w:r>
      <w:r w:rsidRPr="0031675F">
        <w:t>will</w:t>
      </w:r>
      <w:r w:rsidRPr="0031675F">
        <w:rPr>
          <w:spacing w:val="12"/>
        </w:rPr>
        <w:t xml:space="preserve"> </w:t>
      </w:r>
      <w:r w:rsidRPr="0031675F">
        <w:t>automatically</w:t>
      </w:r>
      <w:r w:rsidRPr="0031675F">
        <w:rPr>
          <w:spacing w:val="13"/>
        </w:rPr>
        <w:t xml:space="preserve"> </w:t>
      </w:r>
      <w:r w:rsidRPr="0031675F">
        <w:rPr>
          <w:spacing w:val="-2"/>
        </w:rPr>
        <w:t>perform</w:t>
      </w:r>
      <w:r w:rsidRPr="0031675F">
        <w:rPr>
          <w:spacing w:val="13"/>
        </w:rPr>
        <w:t xml:space="preserve"> </w:t>
      </w:r>
      <w:r w:rsidRPr="0031675F">
        <w:t>the</w:t>
      </w:r>
      <w:r w:rsidRPr="0031675F">
        <w:rPr>
          <w:spacing w:val="13"/>
        </w:rPr>
        <w:t xml:space="preserve"> </w:t>
      </w:r>
      <w:r w:rsidRPr="0031675F">
        <w:t>all</w:t>
      </w:r>
      <w:r w:rsidRPr="0031675F">
        <w:rPr>
          <w:spacing w:val="11"/>
        </w:rPr>
        <w:t xml:space="preserve"> </w:t>
      </w:r>
      <w:r w:rsidRPr="0031675F">
        <w:t>calculations</w:t>
      </w:r>
      <w:r w:rsidRPr="0031675F">
        <w:rPr>
          <w:spacing w:val="10"/>
        </w:rPr>
        <w:t xml:space="preserve"> </w:t>
      </w:r>
      <w:r w:rsidRPr="0031675F">
        <w:t>once</w:t>
      </w:r>
      <w:r w:rsidRPr="0031675F">
        <w:rPr>
          <w:spacing w:val="13"/>
        </w:rPr>
        <w:t xml:space="preserve"> </w:t>
      </w:r>
      <w:r w:rsidRPr="0031675F">
        <w:t>the</w:t>
      </w:r>
      <w:r w:rsidRPr="0031675F">
        <w:rPr>
          <w:spacing w:val="10"/>
        </w:rPr>
        <w:t xml:space="preserve"> </w:t>
      </w:r>
      <w:r w:rsidRPr="0031675F">
        <w:t>values</w:t>
      </w:r>
      <w:r w:rsidRPr="0031675F">
        <w:rPr>
          <w:spacing w:val="12"/>
        </w:rPr>
        <w:t xml:space="preserve"> </w:t>
      </w:r>
      <w:r w:rsidRPr="0031675F">
        <w:t>are</w:t>
      </w:r>
      <w:r w:rsidRPr="0031675F">
        <w:rPr>
          <w:spacing w:val="12"/>
        </w:rPr>
        <w:t xml:space="preserve"> </w:t>
      </w:r>
      <w:r w:rsidRPr="0031675F">
        <w:t>typed</w:t>
      </w:r>
      <w:r w:rsidRPr="0031675F">
        <w:rPr>
          <w:spacing w:val="11"/>
        </w:rPr>
        <w:t xml:space="preserve"> </w:t>
      </w:r>
      <w:r w:rsidRPr="0031675F">
        <w:t>in.</w:t>
      </w:r>
      <w:r w:rsidRPr="0031675F">
        <w:rPr>
          <w:spacing w:val="85"/>
        </w:rPr>
        <w:t xml:space="preserve"> </w:t>
      </w:r>
      <w:r w:rsidRPr="0031675F">
        <w:t>These</w:t>
      </w:r>
      <w:r w:rsidRPr="0031675F">
        <w:rPr>
          <w:spacing w:val="8"/>
        </w:rPr>
        <w:t xml:space="preserve"> </w:t>
      </w:r>
      <w:r w:rsidRPr="0031675F">
        <w:t>Excel</w:t>
      </w:r>
      <w:r w:rsidRPr="0031675F">
        <w:rPr>
          <w:spacing w:val="7"/>
        </w:rPr>
        <w:t xml:space="preserve"> </w:t>
      </w:r>
      <w:r w:rsidRPr="0031675F">
        <w:t>work</w:t>
      </w:r>
      <w:r w:rsidRPr="0031675F">
        <w:rPr>
          <w:rFonts w:cs="Calibri"/>
        </w:rPr>
        <w:t>sheets</w:t>
      </w:r>
      <w:r w:rsidRPr="0031675F">
        <w:rPr>
          <w:rFonts w:cs="Calibri"/>
          <w:spacing w:val="5"/>
        </w:rPr>
        <w:t xml:space="preserve"> </w:t>
      </w:r>
      <w:r w:rsidRPr="0031675F">
        <w:rPr>
          <w:rFonts w:cs="Calibri"/>
        </w:rPr>
        <w:t>are</w:t>
      </w:r>
      <w:r w:rsidRPr="0031675F">
        <w:rPr>
          <w:rFonts w:cs="Calibri"/>
          <w:spacing w:val="7"/>
        </w:rPr>
        <w:t xml:space="preserve"> </w:t>
      </w:r>
      <w:r w:rsidRPr="0031675F">
        <w:rPr>
          <w:rFonts w:cs="Calibri"/>
        </w:rPr>
        <w:t>then</w:t>
      </w:r>
      <w:r w:rsidRPr="0031675F">
        <w:rPr>
          <w:rFonts w:cs="Calibri"/>
          <w:spacing w:val="6"/>
        </w:rPr>
        <w:t xml:space="preserve"> </w:t>
      </w:r>
      <w:r w:rsidRPr="0031675F">
        <w:rPr>
          <w:rFonts w:cs="Calibri"/>
        </w:rPr>
        <w:t>used</w:t>
      </w:r>
      <w:r w:rsidRPr="0031675F">
        <w:rPr>
          <w:rFonts w:cs="Calibri"/>
          <w:spacing w:val="7"/>
        </w:rPr>
        <w:t xml:space="preserve"> </w:t>
      </w:r>
      <w:r w:rsidRPr="0031675F">
        <w:rPr>
          <w:rFonts w:cs="Calibri"/>
        </w:rPr>
        <w:t>as</w:t>
      </w:r>
      <w:r w:rsidRPr="0031675F">
        <w:rPr>
          <w:rFonts w:cs="Calibri"/>
          <w:spacing w:val="7"/>
        </w:rPr>
        <w:t xml:space="preserve"> </w:t>
      </w:r>
      <w:r w:rsidRPr="0031675F">
        <w:rPr>
          <w:rFonts w:cs="Calibri"/>
        </w:rPr>
        <w:t>‘feeder</w:t>
      </w:r>
      <w:r w:rsidRPr="0031675F">
        <w:rPr>
          <w:rFonts w:cs="Calibri"/>
          <w:spacing w:val="7"/>
        </w:rPr>
        <w:t xml:space="preserve"> </w:t>
      </w:r>
      <w:r w:rsidRPr="0031675F">
        <w:rPr>
          <w:rFonts w:cs="Calibri"/>
        </w:rPr>
        <w:t>sheets’</w:t>
      </w:r>
      <w:r w:rsidRPr="0031675F">
        <w:rPr>
          <w:rFonts w:cs="Calibri"/>
          <w:spacing w:val="7"/>
        </w:rPr>
        <w:t xml:space="preserve"> </w:t>
      </w:r>
      <w:r w:rsidRPr="0031675F">
        <w:rPr>
          <w:rFonts w:cs="Calibri"/>
        </w:rPr>
        <w:t>for</w:t>
      </w:r>
      <w:r w:rsidRPr="0031675F">
        <w:rPr>
          <w:rFonts w:cs="Calibri"/>
          <w:spacing w:val="7"/>
        </w:rPr>
        <w:t xml:space="preserve"> </w:t>
      </w:r>
      <w:r w:rsidRPr="0031675F">
        <w:rPr>
          <w:rFonts w:cs="Calibri"/>
        </w:rPr>
        <w:t>the</w:t>
      </w:r>
      <w:r w:rsidRPr="0031675F">
        <w:rPr>
          <w:rFonts w:cs="Calibri"/>
          <w:spacing w:val="5"/>
        </w:rPr>
        <w:t xml:space="preserve"> </w:t>
      </w:r>
      <w:r w:rsidRPr="0031675F">
        <w:rPr>
          <w:rFonts w:cs="Calibri"/>
        </w:rPr>
        <w:t>Oracle</w:t>
      </w:r>
      <w:r w:rsidRPr="0031675F">
        <w:rPr>
          <w:rFonts w:cs="Calibri"/>
          <w:spacing w:val="7"/>
        </w:rPr>
        <w:t xml:space="preserve"> </w:t>
      </w:r>
      <w:r w:rsidRPr="0031675F">
        <w:rPr>
          <w:rFonts w:cs="Calibri"/>
        </w:rPr>
        <w:t>Databas</w:t>
      </w:r>
      <w:r w:rsidR="00723F0F">
        <w:rPr>
          <w:rFonts w:cs="Calibri"/>
        </w:rPr>
        <w:t xml:space="preserve">e.  </w:t>
      </w:r>
      <w:r w:rsidRPr="0031675F">
        <w:t>Utilising</w:t>
      </w:r>
      <w:r w:rsidRPr="0031675F">
        <w:rPr>
          <w:spacing w:val="6"/>
        </w:rPr>
        <w:t xml:space="preserve"> </w:t>
      </w:r>
      <w:r w:rsidRPr="0031675F">
        <w:t>the</w:t>
      </w:r>
      <w:r w:rsidRPr="0031675F">
        <w:rPr>
          <w:spacing w:val="7"/>
        </w:rPr>
        <w:t xml:space="preserve"> </w:t>
      </w:r>
      <w:r w:rsidRPr="0031675F">
        <w:t>import</w:t>
      </w:r>
      <w:r w:rsidRPr="0031675F">
        <w:rPr>
          <w:spacing w:val="7"/>
        </w:rPr>
        <w:t xml:space="preserve"> </w:t>
      </w:r>
      <w:r w:rsidRPr="0031675F">
        <w:t>tool,</w:t>
      </w:r>
      <w:r w:rsidRPr="0031675F">
        <w:rPr>
          <w:spacing w:val="7"/>
        </w:rPr>
        <w:t xml:space="preserve"> </w:t>
      </w:r>
      <w:r w:rsidRPr="0031675F">
        <w:t>all</w:t>
      </w:r>
      <w:r w:rsidRPr="0031675F">
        <w:rPr>
          <w:spacing w:val="4"/>
        </w:rPr>
        <w:t xml:space="preserve"> </w:t>
      </w:r>
      <w:r w:rsidRPr="0031675F">
        <w:t>the</w:t>
      </w:r>
      <w:r w:rsidRPr="0031675F">
        <w:rPr>
          <w:spacing w:val="7"/>
        </w:rPr>
        <w:t xml:space="preserve"> </w:t>
      </w:r>
      <w:r w:rsidRPr="0031675F">
        <w:t>analytical</w:t>
      </w:r>
      <w:r w:rsidRPr="0031675F">
        <w:rPr>
          <w:spacing w:val="6"/>
        </w:rPr>
        <w:t xml:space="preserve"> </w:t>
      </w:r>
      <w:r w:rsidRPr="0031675F">
        <w:t>results</w:t>
      </w:r>
      <w:r w:rsidRPr="0031675F">
        <w:rPr>
          <w:spacing w:val="65"/>
        </w:rPr>
        <w:t xml:space="preserve"> </w:t>
      </w:r>
      <w:r w:rsidRPr="0031675F">
        <w:t>are</w:t>
      </w:r>
      <w:r w:rsidRPr="0031675F">
        <w:rPr>
          <w:spacing w:val="22"/>
        </w:rPr>
        <w:t xml:space="preserve"> </w:t>
      </w:r>
      <w:r w:rsidRPr="0031675F">
        <w:t>transferred</w:t>
      </w:r>
      <w:r w:rsidRPr="0031675F">
        <w:rPr>
          <w:spacing w:val="22"/>
        </w:rPr>
        <w:t xml:space="preserve"> </w:t>
      </w:r>
      <w:r w:rsidRPr="0031675F">
        <w:t>into</w:t>
      </w:r>
      <w:r w:rsidRPr="0031675F">
        <w:rPr>
          <w:spacing w:val="23"/>
        </w:rPr>
        <w:t xml:space="preserve"> </w:t>
      </w:r>
      <w:r w:rsidRPr="0031675F">
        <w:t>the</w:t>
      </w:r>
      <w:r w:rsidRPr="0031675F">
        <w:rPr>
          <w:spacing w:val="23"/>
        </w:rPr>
        <w:t xml:space="preserve"> </w:t>
      </w:r>
      <w:r w:rsidRPr="0031675F">
        <w:t>database</w:t>
      </w:r>
      <w:r w:rsidRPr="0031675F">
        <w:rPr>
          <w:spacing w:val="22"/>
        </w:rPr>
        <w:t xml:space="preserve"> </w:t>
      </w:r>
      <w:r w:rsidRPr="0031675F">
        <w:t>and</w:t>
      </w:r>
      <w:r w:rsidRPr="0031675F">
        <w:rPr>
          <w:spacing w:val="21"/>
        </w:rPr>
        <w:t xml:space="preserve"> </w:t>
      </w:r>
      <w:r w:rsidRPr="0031675F">
        <w:t>a</w:t>
      </w:r>
      <w:r w:rsidRPr="0031675F">
        <w:rPr>
          <w:spacing w:val="21"/>
        </w:rPr>
        <w:t xml:space="preserve"> </w:t>
      </w:r>
      <w:r w:rsidRPr="0031675F">
        <w:t>copy</w:t>
      </w:r>
      <w:r w:rsidRPr="0031675F">
        <w:rPr>
          <w:spacing w:val="22"/>
        </w:rPr>
        <w:t xml:space="preserve"> </w:t>
      </w:r>
      <w:r w:rsidRPr="0031675F">
        <w:t>of</w:t>
      </w:r>
      <w:r w:rsidRPr="0031675F">
        <w:rPr>
          <w:spacing w:val="21"/>
        </w:rPr>
        <w:t xml:space="preserve"> </w:t>
      </w:r>
      <w:r w:rsidRPr="0031675F">
        <w:t>the</w:t>
      </w:r>
      <w:r w:rsidRPr="0031675F">
        <w:rPr>
          <w:spacing w:val="19"/>
        </w:rPr>
        <w:t xml:space="preserve"> </w:t>
      </w:r>
      <w:r w:rsidRPr="0031675F">
        <w:t>related</w:t>
      </w:r>
      <w:r w:rsidRPr="0031675F">
        <w:rPr>
          <w:spacing w:val="21"/>
        </w:rPr>
        <w:t xml:space="preserve"> </w:t>
      </w:r>
      <w:r w:rsidRPr="0031675F">
        <w:t>excel</w:t>
      </w:r>
      <w:r w:rsidRPr="0031675F">
        <w:rPr>
          <w:spacing w:val="22"/>
        </w:rPr>
        <w:t xml:space="preserve"> </w:t>
      </w:r>
      <w:r w:rsidRPr="0031675F">
        <w:t>file</w:t>
      </w:r>
      <w:r w:rsidRPr="0031675F">
        <w:rPr>
          <w:spacing w:val="22"/>
        </w:rPr>
        <w:t xml:space="preserve"> </w:t>
      </w:r>
      <w:r w:rsidRPr="0031675F">
        <w:t>complete</w:t>
      </w:r>
      <w:r w:rsidRPr="0031675F">
        <w:rPr>
          <w:spacing w:val="22"/>
        </w:rPr>
        <w:t xml:space="preserve"> </w:t>
      </w:r>
      <w:r w:rsidRPr="0031675F">
        <w:t>with</w:t>
      </w:r>
      <w:r w:rsidRPr="0031675F">
        <w:rPr>
          <w:spacing w:val="21"/>
        </w:rPr>
        <w:t xml:space="preserve"> </w:t>
      </w:r>
      <w:r w:rsidRPr="0031675F">
        <w:t>QAQA</w:t>
      </w:r>
      <w:r w:rsidRPr="0031675F">
        <w:rPr>
          <w:spacing w:val="21"/>
        </w:rPr>
        <w:t xml:space="preserve"> </w:t>
      </w:r>
      <w:r w:rsidRPr="0031675F">
        <w:t>data</w:t>
      </w:r>
      <w:r w:rsidRPr="0031675F">
        <w:rPr>
          <w:spacing w:val="22"/>
        </w:rPr>
        <w:t xml:space="preserve"> </w:t>
      </w:r>
      <w:r w:rsidRPr="0031675F">
        <w:t>is</w:t>
      </w:r>
      <w:r w:rsidRPr="0031675F">
        <w:rPr>
          <w:spacing w:val="31"/>
        </w:rPr>
        <w:t xml:space="preserve"> </w:t>
      </w:r>
      <w:r w:rsidRPr="0031675F">
        <w:t>stored</w:t>
      </w:r>
      <w:r w:rsidRPr="0031675F">
        <w:rPr>
          <w:spacing w:val="19"/>
        </w:rPr>
        <w:t xml:space="preserve"> </w:t>
      </w:r>
      <w:r w:rsidRPr="0031675F">
        <w:t>within</w:t>
      </w:r>
      <w:r w:rsidRPr="0031675F">
        <w:rPr>
          <w:spacing w:val="18"/>
        </w:rPr>
        <w:t xml:space="preserve"> </w:t>
      </w:r>
      <w:r w:rsidRPr="0031675F">
        <w:t>the</w:t>
      </w:r>
      <w:r w:rsidRPr="0031675F">
        <w:rPr>
          <w:spacing w:val="19"/>
        </w:rPr>
        <w:t xml:space="preserve"> </w:t>
      </w:r>
      <w:r w:rsidRPr="0031675F">
        <w:t>database.</w:t>
      </w:r>
      <w:r w:rsidRPr="0031675F">
        <w:rPr>
          <w:spacing w:val="38"/>
        </w:rPr>
        <w:t xml:space="preserve"> </w:t>
      </w:r>
      <w:r w:rsidRPr="0031675F">
        <w:t>All</w:t>
      </w:r>
      <w:r w:rsidRPr="0031675F">
        <w:rPr>
          <w:spacing w:val="19"/>
        </w:rPr>
        <w:t xml:space="preserve"> </w:t>
      </w:r>
      <w:r w:rsidRPr="0031675F">
        <w:t>hard</w:t>
      </w:r>
      <w:r w:rsidRPr="0031675F">
        <w:rPr>
          <w:spacing w:val="20"/>
        </w:rPr>
        <w:t xml:space="preserve"> </w:t>
      </w:r>
      <w:r w:rsidRPr="0031675F">
        <w:t>copy</w:t>
      </w:r>
      <w:r w:rsidRPr="0031675F">
        <w:rPr>
          <w:spacing w:val="20"/>
        </w:rPr>
        <w:t xml:space="preserve"> </w:t>
      </w:r>
      <w:r w:rsidRPr="0031675F">
        <w:t>laboratory</w:t>
      </w:r>
      <w:r w:rsidRPr="0031675F">
        <w:rPr>
          <w:spacing w:val="20"/>
        </w:rPr>
        <w:t xml:space="preserve"> </w:t>
      </w:r>
      <w:r w:rsidRPr="0031675F">
        <w:t>work</w:t>
      </w:r>
      <w:r w:rsidRPr="0031675F">
        <w:rPr>
          <w:spacing w:val="20"/>
        </w:rPr>
        <w:t xml:space="preserve"> </w:t>
      </w:r>
      <w:r w:rsidRPr="0031675F">
        <w:t>forms</w:t>
      </w:r>
      <w:r w:rsidRPr="0031675F">
        <w:rPr>
          <w:spacing w:val="19"/>
        </w:rPr>
        <w:t xml:space="preserve"> </w:t>
      </w:r>
      <w:r w:rsidRPr="0031675F">
        <w:t>are</w:t>
      </w:r>
      <w:r w:rsidRPr="0031675F">
        <w:rPr>
          <w:spacing w:val="19"/>
        </w:rPr>
        <w:t xml:space="preserve"> </w:t>
      </w:r>
      <w:r w:rsidRPr="0031675F">
        <w:t>then</w:t>
      </w:r>
      <w:r w:rsidRPr="0031675F">
        <w:rPr>
          <w:spacing w:val="19"/>
        </w:rPr>
        <w:t xml:space="preserve"> </w:t>
      </w:r>
      <w:r w:rsidRPr="0031675F">
        <w:t>archived.</w:t>
      </w:r>
      <w:r w:rsidRPr="0031675F">
        <w:rPr>
          <w:spacing w:val="25"/>
        </w:rPr>
        <w:t xml:space="preserve"> </w:t>
      </w:r>
      <w:r w:rsidRPr="0031675F">
        <w:t>For</w:t>
      </w:r>
      <w:r w:rsidRPr="0031675F">
        <w:rPr>
          <w:spacing w:val="19"/>
        </w:rPr>
        <w:t xml:space="preserve"> </w:t>
      </w:r>
      <w:r w:rsidRPr="0031675F">
        <w:t>a</w:t>
      </w:r>
      <w:r w:rsidRPr="0031675F">
        <w:rPr>
          <w:spacing w:val="19"/>
        </w:rPr>
        <w:t xml:space="preserve"> </w:t>
      </w:r>
      <w:r w:rsidRPr="0031675F">
        <w:t>detailed</w:t>
      </w:r>
      <w:r w:rsidRPr="0031675F">
        <w:rPr>
          <w:spacing w:val="63"/>
        </w:rPr>
        <w:t xml:space="preserve"> </w:t>
      </w:r>
      <w:r w:rsidRPr="0031675F">
        <w:t>description</w:t>
      </w:r>
      <w:r w:rsidRPr="0031675F">
        <w:rPr>
          <w:spacing w:val="-3"/>
        </w:rPr>
        <w:t xml:space="preserve"> </w:t>
      </w:r>
      <w:r w:rsidRPr="0031675F">
        <w:t>of the data</w:t>
      </w:r>
      <w:r w:rsidRPr="0031675F">
        <w:rPr>
          <w:spacing w:val="-2"/>
        </w:rPr>
        <w:t xml:space="preserve"> </w:t>
      </w:r>
      <w:r w:rsidRPr="0031675F">
        <w:t>management procedure developed at AIMS for the Reef</w:t>
      </w:r>
      <w:r w:rsidRPr="0031675F">
        <w:rPr>
          <w:spacing w:val="-2"/>
        </w:rPr>
        <w:t xml:space="preserve"> </w:t>
      </w:r>
      <w:r w:rsidRPr="0031675F">
        <w:t>Rescue</w:t>
      </w:r>
      <w:r w:rsidRPr="0031675F">
        <w:rPr>
          <w:spacing w:val="-2"/>
        </w:rPr>
        <w:t xml:space="preserve"> </w:t>
      </w:r>
      <w:r w:rsidRPr="0031675F">
        <w:rPr>
          <w:spacing w:val="1"/>
        </w:rPr>
        <w:t xml:space="preserve">MMP </w:t>
      </w:r>
      <w:r w:rsidRPr="0031675F">
        <w:t>refer to</w:t>
      </w:r>
      <w:r w:rsidR="00723F0F">
        <w:rPr>
          <w:spacing w:val="79"/>
        </w:rPr>
        <w:t xml:space="preserve"> </w:t>
      </w:r>
      <w:r w:rsidRPr="0031675F">
        <w:t>Section</w:t>
      </w:r>
      <w:r w:rsidRPr="0031675F">
        <w:rPr>
          <w:spacing w:val="-3"/>
        </w:rPr>
        <w:t xml:space="preserve"> </w:t>
      </w:r>
      <w:r w:rsidRPr="0031675F">
        <w:t>A12.</w:t>
      </w:r>
    </w:p>
    <w:p w14:paraId="2F765FB8" w14:textId="77777777" w:rsidR="0031675F" w:rsidRPr="0031675F" w:rsidRDefault="0031675F" w:rsidP="0031675F">
      <w:pPr>
        <w:spacing w:before="11"/>
        <w:rPr>
          <w:rFonts w:cs="Calibri"/>
          <w:sz w:val="21"/>
          <w:szCs w:val="21"/>
        </w:rPr>
      </w:pPr>
    </w:p>
    <w:p w14:paraId="6B42E09F" w14:textId="77777777" w:rsidR="0031675F" w:rsidRPr="0031675F" w:rsidRDefault="0031675F" w:rsidP="0031675F">
      <w:pPr>
        <w:widowControl w:val="0"/>
        <w:numPr>
          <w:ilvl w:val="1"/>
          <w:numId w:val="129"/>
        </w:numPr>
        <w:tabs>
          <w:tab w:val="left" w:pos="686"/>
        </w:tabs>
        <w:spacing w:before="0" w:after="0" w:line="240" w:lineRule="auto"/>
        <w:rPr>
          <w:rFonts w:eastAsia="Arial" w:cs="Arial"/>
          <w:sz w:val="24"/>
          <w:szCs w:val="24"/>
        </w:rPr>
      </w:pPr>
      <w:bookmarkStart w:id="590" w:name="_TOC_250088"/>
      <w:r w:rsidRPr="0031675F">
        <w:rPr>
          <w:b/>
          <w:sz w:val="24"/>
        </w:rPr>
        <w:t>Quality</w:t>
      </w:r>
      <w:r w:rsidRPr="0031675F">
        <w:rPr>
          <w:b/>
          <w:spacing w:val="-6"/>
          <w:sz w:val="24"/>
        </w:rPr>
        <w:t xml:space="preserve"> </w:t>
      </w:r>
      <w:r w:rsidRPr="0031675F">
        <w:rPr>
          <w:b/>
          <w:spacing w:val="-1"/>
          <w:sz w:val="24"/>
        </w:rPr>
        <w:t>control</w:t>
      </w:r>
      <w:bookmarkEnd w:id="590"/>
    </w:p>
    <w:p w14:paraId="7FB0183D" w14:textId="77777777" w:rsidR="0031675F" w:rsidRPr="0031675F" w:rsidRDefault="0031675F" w:rsidP="0031675F">
      <w:pPr>
        <w:spacing w:before="22" w:after="120" w:line="536" w:lineRule="exact"/>
        <w:ind w:right="2040"/>
      </w:pPr>
      <w:r w:rsidRPr="0031675F">
        <w:t xml:space="preserve">QAQC </w:t>
      </w:r>
      <w:r w:rsidRPr="0031675F">
        <w:rPr>
          <w:spacing w:val="-1"/>
        </w:rPr>
        <w:t>tests</w:t>
      </w:r>
      <w:r w:rsidRPr="0031675F">
        <w:rPr>
          <w:spacing w:val="-3"/>
        </w:rPr>
        <w:t xml:space="preserve"> </w:t>
      </w:r>
      <w:r w:rsidRPr="0031675F">
        <w:rPr>
          <w:spacing w:val="-1"/>
        </w:rPr>
        <w:t>undertaken</w:t>
      </w:r>
      <w:r w:rsidRPr="0031675F">
        <w:t xml:space="preserve"> </w:t>
      </w:r>
      <w:r w:rsidRPr="0031675F">
        <w:rPr>
          <w:spacing w:val="-2"/>
        </w:rPr>
        <w:t>and</w:t>
      </w:r>
      <w:r w:rsidRPr="0031675F">
        <w:rPr>
          <w:spacing w:val="-1"/>
        </w:rPr>
        <w:t xml:space="preserve"> reporting as</w:t>
      </w:r>
      <w:r w:rsidRPr="0031675F">
        <w:t xml:space="preserve"> </w:t>
      </w:r>
      <w:r w:rsidRPr="0031675F">
        <w:rPr>
          <w:spacing w:val="-1"/>
        </w:rPr>
        <w:t>part</w:t>
      </w:r>
      <w:r w:rsidRPr="0031675F">
        <w:rPr>
          <w:spacing w:val="-2"/>
        </w:rPr>
        <w:t xml:space="preserve"> </w:t>
      </w:r>
      <w:r w:rsidRPr="0031675F">
        <w:t>of</w:t>
      </w:r>
      <w:r w:rsidRPr="0031675F">
        <w:rPr>
          <w:spacing w:val="-2"/>
        </w:rPr>
        <w:t xml:space="preserve"> </w:t>
      </w:r>
      <w:r w:rsidRPr="0031675F">
        <w:t xml:space="preserve">the </w:t>
      </w:r>
      <w:r w:rsidRPr="0031675F">
        <w:rPr>
          <w:spacing w:val="-1"/>
        </w:rPr>
        <w:t>data</w:t>
      </w:r>
      <w:r w:rsidRPr="0031675F">
        <w:t xml:space="preserve"> </w:t>
      </w:r>
      <w:r w:rsidRPr="0031675F">
        <w:rPr>
          <w:spacing w:val="-1"/>
        </w:rPr>
        <w:t>reporting include:</w:t>
      </w:r>
      <w:r w:rsidRPr="0031675F">
        <w:rPr>
          <w:spacing w:val="61"/>
        </w:rPr>
        <w:t xml:space="preserve"> </w:t>
      </w: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accuracy</w:t>
      </w:r>
      <w:r w:rsidRPr="0031675F">
        <w:rPr>
          <w:spacing w:val="-2"/>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analysis</w:t>
      </w:r>
    </w:p>
    <w:p w14:paraId="219ECC54" w14:textId="77777777" w:rsidR="0031675F" w:rsidRPr="0031675F" w:rsidRDefault="0031675F" w:rsidP="0031675F">
      <w:pPr>
        <w:spacing w:line="221" w:lineRule="exact"/>
        <w:ind w:left="118"/>
        <w:rPr>
          <w:rFonts w:cs="Calibri"/>
        </w:rPr>
      </w:pPr>
      <w:r w:rsidRPr="0031675F">
        <w:rPr>
          <w:i/>
          <w:spacing w:val="-1"/>
        </w:rPr>
        <w:t>NB:</w:t>
      </w:r>
      <w:r w:rsidRPr="0031675F">
        <w:rPr>
          <w:i/>
          <w:spacing w:val="24"/>
        </w:rPr>
        <w:t xml:space="preserve"> </w:t>
      </w:r>
      <w:r w:rsidRPr="0031675F">
        <w:rPr>
          <w:i/>
          <w:spacing w:val="-1"/>
        </w:rPr>
        <w:t>This</w:t>
      </w:r>
      <w:r w:rsidRPr="0031675F">
        <w:rPr>
          <w:i/>
          <w:spacing w:val="24"/>
        </w:rPr>
        <w:t xml:space="preserve"> </w:t>
      </w:r>
      <w:r w:rsidRPr="0031675F">
        <w:rPr>
          <w:i/>
          <w:spacing w:val="-2"/>
        </w:rPr>
        <w:t>is</w:t>
      </w:r>
      <w:r w:rsidRPr="0031675F">
        <w:rPr>
          <w:i/>
          <w:spacing w:val="25"/>
        </w:rPr>
        <w:t xml:space="preserve"> </w:t>
      </w:r>
      <w:r w:rsidRPr="0031675F">
        <w:rPr>
          <w:i/>
          <w:spacing w:val="-1"/>
        </w:rPr>
        <w:t>generally</w:t>
      </w:r>
      <w:r w:rsidRPr="0031675F">
        <w:rPr>
          <w:i/>
          <w:spacing w:val="24"/>
        </w:rPr>
        <w:t xml:space="preserve"> </w:t>
      </w:r>
      <w:r w:rsidRPr="0031675F">
        <w:rPr>
          <w:i/>
          <w:spacing w:val="-1"/>
        </w:rPr>
        <w:t>achieved</w:t>
      </w:r>
      <w:r w:rsidRPr="0031675F">
        <w:rPr>
          <w:i/>
          <w:spacing w:val="23"/>
        </w:rPr>
        <w:t xml:space="preserve"> </w:t>
      </w:r>
      <w:r w:rsidRPr="0031675F">
        <w:rPr>
          <w:i/>
          <w:spacing w:val="-1"/>
        </w:rPr>
        <w:t>by</w:t>
      </w:r>
      <w:r w:rsidRPr="0031675F">
        <w:rPr>
          <w:i/>
          <w:spacing w:val="24"/>
        </w:rPr>
        <w:t xml:space="preserve"> </w:t>
      </w:r>
      <w:r w:rsidRPr="0031675F">
        <w:rPr>
          <w:i/>
          <w:spacing w:val="-1"/>
        </w:rPr>
        <w:t>using</w:t>
      </w:r>
      <w:r w:rsidRPr="0031675F">
        <w:rPr>
          <w:i/>
          <w:spacing w:val="23"/>
        </w:rPr>
        <w:t xml:space="preserve"> </w:t>
      </w:r>
      <w:r w:rsidRPr="0031675F">
        <w:rPr>
          <w:i/>
          <w:spacing w:val="-1"/>
        </w:rPr>
        <w:t>reference</w:t>
      </w:r>
      <w:r w:rsidRPr="0031675F">
        <w:rPr>
          <w:i/>
          <w:spacing w:val="22"/>
        </w:rPr>
        <w:t xml:space="preserve"> </w:t>
      </w:r>
      <w:r w:rsidRPr="0031675F">
        <w:rPr>
          <w:i/>
          <w:spacing w:val="-1"/>
        </w:rPr>
        <w:t>materials</w:t>
      </w:r>
      <w:r w:rsidRPr="0031675F">
        <w:rPr>
          <w:i/>
          <w:spacing w:val="22"/>
        </w:rPr>
        <w:t xml:space="preserve"> </w:t>
      </w:r>
      <w:r w:rsidRPr="0031675F">
        <w:rPr>
          <w:i/>
        </w:rPr>
        <w:t>to</w:t>
      </w:r>
      <w:r w:rsidRPr="0031675F">
        <w:rPr>
          <w:i/>
          <w:spacing w:val="24"/>
        </w:rPr>
        <w:t xml:space="preserve"> </w:t>
      </w:r>
      <w:r w:rsidRPr="0031675F">
        <w:rPr>
          <w:i/>
          <w:spacing w:val="-1"/>
        </w:rPr>
        <w:t>assess</w:t>
      </w:r>
      <w:r w:rsidRPr="0031675F">
        <w:rPr>
          <w:i/>
          <w:spacing w:val="22"/>
        </w:rPr>
        <w:t xml:space="preserve"> </w:t>
      </w:r>
      <w:r w:rsidRPr="0031675F">
        <w:rPr>
          <w:i/>
          <w:spacing w:val="-1"/>
        </w:rPr>
        <w:t>recovery</w:t>
      </w:r>
      <w:r w:rsidRPr="0031675F">
        <w:rPr>
          <w:i/>
          <w:spacing w:val="21"/>
        </w:rPr>
        <w:t xml:space="preserve"> </w:t>
      </w:r>
      <w:r w:rsidRPr="0031675F">
        <w:rPr>
          <w:i/>
          <w:spacing w:val="-1"/>
        </w:rPr>
        <w:t>of</w:t>
      </w:r>
      <w:r w:rsidRPr="0031675F">
        <w:rPr>
          <w:i/>
          <w:spacing w:val="23"/>
        </w:rPr>
        <w:t xml:space="preserve"> </w:t>
      </w:r>
      <w:r w:rsidRPr="0031675F">
        <w:rPr>
          <w:i/>
          <w:spacing w:val="-1"/>
        </w:rPr>
        <w:t>known</w:t>
      </w:r>
      <w:r w:rsidRPr="0031675F">
        <w:rPr>
          <w:i/>
          <w:spacing w:val="24"/>
        </w:rPr>
        <w:t xml:space="preserve"> </w:t>
      </w:r>
      <w:r w:rsidRPr="0031675F">
        <w:rPr>
          <w:i/>
        </w:rPr>
        <w:t>amount</w:t>
      </w:r>
      <w:r w:rsidRPr="0031675F">
        <w:rPr>
          <w:i/>
          <w:spacing w:val="25"/>
        </w:rPr>
        <w:t xml:space="preserve"> </w:t>
      </w:r>
      <w:r w:rsidRPr="0031675F">
        <w:rPr>
          <w:i/>
          <w:spacing w:val="-2"/>
        </w:rPr>
        <w:t xml:space="preserve">of </w:t>
      </w:r>
      <w:r w:rsidRPr="0031675F">
        <w:rPr>
          <w:i/>
          <w:spacing w:val="-1"/>
        </w:rPr>
        <w:t>analyte.</w:t>
      </w:r>
    </w:p>
    <w:p w14:paraId="0FC9962A" w14:textId="77777777" w:rsidR="0031675F" w:rsidRPr="0031675F" w:rsidRDefault="0031675F" w:rsidP="0031675F">
      <w:pPr>
        <w:spacing w:after="120"/>
        <w:ind w:right="120"/>
      </w:pPr>
      <w:r w:rsidRPr="0031675F">
        <w:rPr>
          <w:spacing w:val="-1"/>
        </w:rPr>
        <w:t>The</w:t>
      </w:r>
      <w:r w:rsidRPr="0031675F">
        <w:rPr>
          <w:spacing w:val="43"/>
        </w:rPr>
        <w:t xml:space="preserve"> </w:t>
      </w:r>
      <w:r w:rsidRPr="0031675F">
        <w:rPr>
          <w:spacing w:val="-1"/>
        </w:rPr>
        <w:t>certified</w:t>
      </w:r>
      <w:r w:rsidRPr="0031675F">
        <w:rPr>
          <w:spacing w:val="43"/>
        </w:rPr>
        <w:t xml:space="preserve"> </w:t>
      </w:r>
      <w:r w:rsidRPr="0031675F">
        <w:rPr>
          <w:spacing w:val="-1"/>
        </w:rPr>
        <w:t>reference</w:t>
      </w:r>
      <w:r w:rsidRPr="0031675F">
        <w:rPr>
          <w:spacing w:val="44"/>
        </w:rPr>
        <w:t xml:space="preserve"> </w:t>
      </w:r>
      <w:r w:rsidRPr="0031675F">
        <w:rPr>
          <w:spacing w:val="-1"/>
        </w:rPr>
        <w:t>material</w:t>
      </w:r>
      <w:r w:rsidRPr="0031675F">
        <w:rPr>
          <w:spacing w:val="42"/>
        </w:rPr>
        <w:t xml:space="preserve"> </w:t>
      </w:r>
      <w:r w:rsidRPr="0031675F">
        <w:rPr>
          <w:spacing w:val="-1"/>
        </w:rPr>
        <w:t>available</w:t>
      </w:r>
      <w:r w:rsidRPr="0031675F">
        <w:rPr>
          <w:spacing w:val="44"/>
        </w:rPr>
        <w:t xml:space="preserve"> </w:t>
      </w:r>
      <w:r w:rsidRPr="0031675F">
        <w:t>is</w:t>
      </w:r>
      <w:r w:rsidRPr="0031675F">
        <w:rPr>
          <w:spacing w:val="43"/>
        </w:rPr>
        <w:t xml:space="preserve"> </w:t>
      </w:r>
      <w:r w:rsidRPr="0031675F">
        <w:rPr>
          <w:spacing w:val="-1"/>
        </w:rPr>
        <w:t>IAPSO</w:t>
      </w:r>
      <w:r w:rsidRPr="0031675F">
        <w:rPr>
          <w:spacing w:val="41"/>
        </w:rPr>
        <w:t xml:space="preserve"> </w:t>
      </w:r>
      <w:r w:rsidRPr="0031675F">
        <w:rPr>
          <w:spacing w:val="-1"/>
        </w:rPr>
        <w:t>Standard</w:t>
      </w:r>
      <w:r w:rsidRPr="0031675F">
        <w:rPr>
          <w:spacing w:val="41"/>
        </w:rPr>
        <w:t xml:space="preserve"> </w:t>
      </w:r>
      <w:r w:rsidRPr="0031675F">
        <w:rPr>
          <w:spacing w:val="-1"/>
        </w:rPr>
        <w:t>Seawater</w:t>
      </w:r>
      <w:r w:rsidRPr="0031675F">
        <w:rPr>
          <w:spacing w:val="43"/>
        </w:rPr>
        <w:t xml:space="preserve"> </w:t>
      </w:r>
      <w:r w:rsidRPr="0031675F">
        <w:rPr>
          <w:spacing w:val="-1"/>
        </w:rPr>
        <w:t>(</w:t>
      </w:r>
      <w:hyperlink r:id="rId113">
        <w:r w:rsidRPr="0031675F">
          <w:rPr>
            <w:color w:val="0000FF"/>
            <w:spacing w:val="-1"/>
            <w:u w:val="single" w:color="0000FF"/>
          </w:rPr>
          <w:t>www.osil.co.uk</w:t>
        </w:r>
      </w:hyperlink>
      <w:r w:rsidRPr="0031675F">
        <w:rPr>
          <w:spacing w:val="-1"/>
        </w:rPr>
        <w:t>),</w:t>
      </w:r>
      <w:r w:rsidRPr="0031675F">
        <w:rPr>
          <w:spacing w:val="44"/>
        </w:rPr>
        <w:t xml:space="preserve"> </w:t>
      </w:r>
      <w:r w:rsidRPr="0031675F">
        <w:t>which</w:t>
      </w:r>
      <w:r w:rsidRPr="0031675F">
        <w:rPr>
          <w:spacing w:val="41"/>
        </w:rPr>
        <w:t xml:space="preserve"> </w:t>
      </w:r>
      <w:r w:rsidRPr="0031675F">
        <w:t>is</w:t>
      </w:r>
      <w:r w:rsidRPr="0031675F">
        <w:rPr>
          <w:spacing w:val="73"/>
        </w:rPr>
        <w:t xml:space="preserve"> </w:t>
      </w:r>
      <w:r w:rsidRPr="0031675F">
        <w:rPr>
          <w:spacing w:val="-1"/>
        </w:rPr>
        <w:t>included</w:t>
      </w:r>
      <w:r w:rsidRPr="0031675F">
        <w:t xml:space="preserve"> at </w:t>
      </w:r>
      <w:r w:rsidRPr="0031675F">
        <w:rPr>
          <w:spacing w:val="-1"/>
        </w:rPr>
        <w:t>regular intervals</w:t>
      </w:r>
      <w:r w:rsidRPr="0031675F">
        <w:t xml:space="preserve"> </w:t>
      </w:r>
      <w:r w:rsidRPr="0031675F">
        <w:rPr>
          <w:spacing w:val="-1"/>
        </w:rPr>
        <w:t>during the</w:t>
      </w:r>
      <w:r w:rsidRPr="0031675F">
        <w:t xml:space="preserve"> </w:t>
      </w:r>
      <w:r w:rsidRPr="0031675F">
        <w:rPr>
          <w:spacing w:val="-1"/>
        </w:rPr>
        <w:t>analysis.</w:t>
      </w:r>
    </w:p>
    <w:p w14:paraId="68A7E8DC" w14:textId="77777777" w:rsidR="0031675F" w:rsidRPr="0031675F" w:rsidRDefault="0031675F" w:rsidP="0031675F">
      <w:pPr>
        <w:spacing w:after="120" w:line="267" w:lineRule="exact"/>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1"/>
          <w:u w:val="single" w:color="000000"/>
        </w:rPr>
        <w:t xml:space="preserve"> precision </w:t>
      </w:r>
      <w:r w:rsidRPr="0031675F">
        <w:rPr>
          <w:u w:val="single" w:color="000000"/>
        </w:rPr>
        <w:t>of</w:t>
      </w:r>
      <w:r w:rsidRPr="0031675F">
        <w:rPr>
          <w:spacing w:val="-5"/>
          <w:u w:val="single" w:color="000000"/>
        </w:rPr>
        <w:t xml:space="preserve"> </w:t>
      </w:r>
      <w:r w:rsidRPr="0031675F">
        <w:rPr>
          <w:u w:val="single" w:color="000000"/>
        </w:rPr>
        <w:t>the</w:t>
      </w:r>
      <w:r w:rsidRPr="0031675F">
        <w:rPr>
          <w:spacing w:val="-1"/>
          <w:u w:val="single" w:color="000000"/>
        </w:rPr>
        <w:t xml:space="preserve"> analysis</w:t>
      </w:r>
    </w:p>
    <w:p w14:paraId="0C9D2C7F" w14:textId="77777777" w:rsidR="0031675F" w:rsidRPr="0031675F" w:rsidRDefault="0031675F" w:rsidP="0031675F">
      <w:pPr>
        <w:ind w:left="118" w:right="119"/>
        <w:rPr>
          <w:rFonts w:cs="Calibri"/>
        </w:rPr>
      </w:pPr>
      <w:r w:rsidRPr="0031675F">
        <w:rPr>
          <w:i/>
          <w:spacing w:val="-1"/>
        </w:rPr>
        <w:t>NB:</w:t>
      </w:r>
      <w:r w:rsidRPr="0031675F">
        <w:rPr>
          <w:i/>
          <w:spacing w:val="3"/>
        </w:rPr>
        <w:t xml:space="preserve"> </w:t>
      </w:r>
      <w:r w:rsidRPr="0031675F">
        <w:rPr>
          <w:i/>
          <w:spacing w:val="-1"/>
        </w:rPr>
        <w:t>This</w:t>
      </w:r>
      <w:r w:rsidRPr="0031675F">
        <w:rPr>
          <w:i/>
          <w:spacing w:val="3"/>
        </w:rPr>
        <w:t xml:space="preserve"> </w:t>
      </w:r>
      <w:r w:rsidRPr="0031675F">
        <w:rPr>
          <w:i/>
        </w:rPr>
        <w:t>is</w:t>
      </w:r>
      <w:r w:rsidRPr="0031675F">
        <w:rPr>
          <w:i/>
          <w:spacing w:val="3"/>
        </w:rPr>
        <w:t xml:space="preserve"> </w:t>
      </w:r>
      <w:r w:rsidRPr="0031675F">
        <w:rPr>
          <w:i/>
          <w:spacing w:val="-1"/>
        </w:rPr>
        <w:t>generally</w:t>
      </w:r>
      <w:r w:rsidRPr="0031675F">
        <w:rPr>
          <w:i/>
          <w:spacing w:val="2"/>
        </w:rPr>
        <w:t xml:space="preserve"> </w:t>
      </w:r>
      <w:r w:rsidRPr="0031675F">
        <w:rPr>
          <w:i/>
          <w:spacing w:val="-1"/>
        </w:rPr>
        <w:t>achieved</w:t>
      </w:r>
      <w:r w:rsidRPr="0031675F">
        <w:rPr>
          <w:i/>
          <w:spacing w:val="1"/>
        </w:rPr>
        <w:t xml:space="preserve"> </w:t>
      </w:r>
      <w:r w:rsidRPr="0031675F">
        <w:rPr>
          <w:i/>
          <w:spacing w:val="-1"/>
        </w:rPr>
        <w:t>by</w:t>
      </w:r>
      <w:r w:rsidRPr="0031675F">
        <w:rPr>
          <w:i/>
          <w:spacing w:val="2"/>
        </w:rPr>
        <w:t xml:space="preserve"> </w:t>
      </w:r>
      <w:r w:rsidRPr="0031675F">
        <w:rPr>
          <w:i/>
        </w:rPr>
        <w:t>the</w:t>
      </w:r>
      <w:r w:rsidRPr="0031675F">
        <w:rPr>
          <w:i/>
          <w:spacing w:val="2"/>
        </w:rPr>
        <w:t xml:space="preserve"> </w:t>
      </w:r>
      <w:r w:rsidRPr="0031675F">
        <w:rPr>
          <w:i/>
          <w:spacing w:val="-1"/>
        </w:rPr>
        <w:t>repeated</w:t>
      </w:r>
      <w:r w:rsidRPr="0031675F">
        <w:rPr>
          <w:i/>
          <w:spacing w:val="2"/>
        </w:rPr>
        <w:t xml:space="preserve"> </w:t>
      </w:r>
      <w:r w:rsidRPr="0031675F">
        <w:rPr>
          <w:i/>
          <w:spacing w:val="-1"/>
        </w:rPr>
        <w:t>analyses</w:t>
      </w:r>
      <w:r w:rsidRPr="0031675F">
        <w:rPr>
          <w:i/>
          <w:spacing w:val="3"/>
        </w:rPr>
        <w:t xml:space="preserve"> </w:t>
      </w:r>
      <w:r w:rsidRPr="0031675F">
        <w:rPr>
          <w:i/>
          <w:spacing w:val="-1"/>
        </w:rPr>
        <w:t>of</w:t>
      </w:r>
      <w:r w:rsidRPr="0031675F">
        <w:rPr>
          <w:i/>
          <w:spacing w:val="2"/>
        </w:rPr>
        <w:t xml:space="preserve"> </w:t>
      </w:r>
      <w:r w:rsidRPr="0031675F">
        <w:rPr>
          <w:i/>
        </w:rPr>
        <w:t>the</w:t>
      </w:r>
      <w:r w:rsidRPr="0031675F">
        <w:rPr>
          <w:i/>
          <w:spacing w:val="2"/>
        </w:rPr>
        <w:t xml:space="preserve"> </w:t>
      </w:r>
      <w:r w:rsidRPr="0031675F">
        <w:rPr>
          <w:i/>
          <w:spacing w:val="-1"/>
        </w:rPr>
        <w:t>same</w:t>
      </w:r>
      <w:r w:rsidRPr="0031675F">
        <w:rPr>
          <w:i/>
          <w:spacing w:val="3"/>
        </w:rPr>
        <w:t xml:space="preserve"> </w:t>
      </w:r>
      <w:r w:rsidRPr="0031675F">
        <w:rPr>
          <w:i/>
          <w:spacing w:val="-1"/>
        </w:rPr>
        <w:t>concentration</w:t>
      </w:r>
      <w:r w:rsidRPr="0031675F">
        <w:rPr>
          <w:i/>
          <w:spacing w:val="2"/>
        </w:rPr>
        <w:t xml:space="preserve"> </w:t>
      </w:r>
      <w:r w:rsidRPr="0031675F">
        <w:rPr>
          <w:i/>
          <w:spacing w:val="-1"/>
        </w:rPr>
        <w:t>of</w:t>
      </w:r>
      <w:r w:rsidRPr="0031675F">
        <w:rPr>
          <w:i/>
          <w:spacing w:val="2"/>
        </w:rPr>
        <w:t xml:space="preserve"> </w:t>
      </w:r>
      <w:r w:rsidRPr="0031675F">
        <w:rPr>
          <w:i/>
          <w:spacing w:val="-1"/>
        </w:rPr>
        <w:t>analyte</w:t>
      </w:r>
      <w:r w:rsidRPr="0031675F">
        <w:rPr>
          <w:i/>
          <w:spacing w:val="3"/>
        </w:rPr>
        <w:t xml:space="preserve"> </w:t>
      </w:r>
      <w:r w:rsidRPr="0031675F">
        <w:rPr>
          <w:i/>
        </w:rPr>
        <w:t>to</w:t>
      </w:r>
      <w:r w:rsidRPr="0031675F">
        <w:rPr>
          <w:i/>
          <w:spacing w:val="2"/>
        </w:rPr>
        <w:t xml:space="preserve"> </w:t>
      </w:r>
      <w:r w:rsidRPr="0031675F">
        <w:rPr>
          <w:i/>
          <w:spacing w:val="-1"/>
        </w:rPr>
        <w:t>check</w:t>
      </w:r>
      <w:r w:rsidRPr="0031675F">
        <w:rPr>
          <w:i/>
          <w:spacing w:val="61"/>
        </w:rPr>
        <w:t xml:space="preserve"> </w:t>
      </w:r>
      <w:r w:rsidRPr="0031675F">
        <w:rPr>
          <w:i/>
          <w:spacing w:val="-1"/>
        </w:rPr>
        <w:t>for</w:t>
      </w:r>
      <w:r w:rsidRPr="0031675F">
        <w:rPr>
          <w:i/>
        </w:rPr>
        <w:t xml:space="preserve"> </w:t>
      </w:r>
      <w:r w:rsidRPr="0031675F">
        <w:rPr>
          <w:i/>
          <w:spacing w:val="-1"/>
        </w:rPr>
        <w:t>reproducibility.</w:t>
      </w:r>
    </w:p>
    <w:p w14:paraId="717326A4" w14:textId="77777777" w:rsidR="0031675F" w:rsidRPr="0031675F" w:rsidRDefault="0031675F" w:rsidP="0031675F">
      <w:pPr>
        <w:spacing w:after="120"/>
        <w:rPr>
          <w:spacing w:val="-1"/>
        </w:rPr>
      </w:pPr>
      <w:r w:rsidRPr="0031675F">
        <w:rPr>
          <w:spacing w:val="-1"/>
        </w:rPr>
        <w:t>Repeated</w:t>
      </w:r>
      <w:r w:rsidRPr="0031675F">
        <w:t xml:space="preserve"> </w:t>
      </w:r>
      <w:r w:rsidRPr="0031675F">
        <w:rPr>
          <w:spacing w:val="-1"/>
        </w:rPr>
        <w:t>analysis</w:t>
      </w:r>
      <w:r w:rsidRPr="0031675F">
        <w:rPr>
          <w:spacing w:val="-3"/>
        </w:rPr>
        <w:t xml:space="preserve"> </w:t>
      </w:r>
      <w:r w:rsidRPr="0031675F">
        <w:t>of</w:t>
      </w:r>
      <w:r w:rsidRPr="0031675F">
        <w:rPr>
          <w:spacing w:val="-3"/>
        </w:rPr>
        <w:t xml:space="preserve"> </w:t>
      </w:r>
      <w:r w:rsidRPr="0031675F">
        <w:rPr>
          <w:spacing w:val="-1"/>
        </w:rPr>
        <w:t>secondary</w:t>
      </w:r>
      <w:r w:rsidRPr="0031675F">
        <w:rPr>
          <w:spacing w:val="1"/>
        </w:rPr>
        <w:t xml:space="preserve"> </w:t>
      </w:r>
      <w:r w:rsidRPr="0031675F">
        <w:rPr>
          <w:spacing w:val="-1"/>
        </w:rPr>
        <w:t>standard.</w:t>
      </w:r>
    </w:p>
    <w:p w14:paraId="699E6719" w14:textId="77777777" w:rsidR="0031675F" w:rsidRPr="0031675F" w:rsidRDefault="0031675F" w:rsidP="0031675F">
      <w:pPr>
        <w:spacing w:before="11"/>
        <w:rPr>
          <w:rFonts w:cs="Calibri"/>
          <w:sz w:val="21"/>
          <w:szCs w:val="21"/>
        </w:rPr>
      </w:pPr>
    </w:p>
    <w:p w14:paraId="7CE61E4B" w14:textId="77777777" w:rsidR="0031675F" w:rsidRPr="0031675F" w:rsidRDefault="0031675F" w:rsidP="0031675F">
      <w:pPr>
        <w:widowControl w:val="0"/>
        <w:numPr>
          <w:ilvl w:val="1"/>
          <w:numId w:val="129"/>
        </w:numPr>
        <w:tabs>
          <w:tab w:val="left" w:pos="686"/>
        </w:tabs>
        <w:spacing w:before="0" w:after="0" w:line="240" w:lineRule="auto"/>
        <w:rPr>
          <w:rFonts w:eastAsia="Arial" w:cs="Arial"/>
          <w:sz w:val="24"/>
          <w:szCs w:val="24"/>
        </w:rPr>
      </w:pPr>
      <w:bookmarkStart w:id="591" w:name="_TOC_250087"/>
      <w:r w:rsidRPr="0031675F">
        <w:rPr>
          <w:b/>
          <w:spacing w:val="-1"/>
          <w:sz w:val="24"/>
        </w:rPr>
        <w:t>References</w:t>
      </w:r>
      <w:bookmarkEnd w:id="591"/>
    </w:p>
    <w:p w14:paraId="613876D5" w14:textId="77777777" w:rsidR="0031675F" w:rsidRPr="0031675F" w:rsidRDefault="0031675F" w:rsidP="0031675F">
      <w:pPr>
        <w:spacing w:after="120"/>
      </w:pPr>
      <w:r w:rsidRPr="0031675F">
        <w:rPr>
          <w:spacing w:val="-1"/>
        </w:rPr>
        <w:t>Guildline</w:t>
      </w:r>
      <w:r w:rsidRPr="0031675F">
        <w:t xml:space="preserve"> </w:t>
      </w:r>
      <w:r w:rsidRPr="0031675F">
        <w:rPr>
          <w:spacing w:val="-1"/>
        </w:rPr>
        <w:t>Insruments</w:t>
      </w:r>
      <w:r w:rsidRPr="0031675F">
        <w:rPr>
          <w:spacing w:val="-2"/>
        </w:rPr>
        <w:t xml:space="preserve"> </w:t>
      </w:r>
      <w:r w:rsidRPr="0031675F">
        <w:rPr>
          <w:spacing w:val="-1"/>
        </w:rPr>
        <w:t>(2001)</w:t>
      </w:r>
      <w:r w:rsidRPr="0031675F">
        <w:t xml:space="preserve"> </w:t>
      </w:r>
      <w:r w:rsidRPr="0031675F">
        <w:rPr>
          <w:spacing w:val="-1"/>
        </w:rPr>
        <w:t>Manual</w:t>
      </w:r>
      <w:r w:rsidRPr="0031675F">
        <w:t xml:space="preserve"> </w:t>
      </w:r>
      <w:r w:rsidRPr="0031675F">
        <w:rPr>
          <w:spacing w:val="-1"/>
        </w:rPr>
        <w:t>for</w:t>
      </w:r>
      <w:r w:rsidRPr="0031675F">
        <w:t xml:space="preserve"> </w:t>
      </w:r>
      <w:r w:rsidRPr="0031675F">
        <w:rPr>
          <w:spacing w:val="-1"/>
        </w:rPr>
        <w:t>Guildline</w:t>
      </w:r>
      <w:r w:rsidRPr="0031675F">
        <w:rPr>
          <w:spacing w:val="-2"/>
        </w:rPr>
        <w:t xml:space="preserve"> </w:t>
      </w:r>
      <w:r w:rsidRPr="0031675F">
        <w:rPr>
          <w:spacing w:val="-1"/>
        </w:rPr>
        <w:t>Model</w:t>
      </w:r>
      <w:r w:rsidRPr="0031675F">
        <w:t xml:space="preserve"> </w:t>
      </w:r>
      <w:r w:rsidRPr="0031675F">
        <w:rPr>
          <w:spacing w:val="-1"/>
        </w:rPr>
        <w:t>8410A</w:t>
      </w:r>
      <w:r w:rsidRPr="0031675F">
        <w:rPr>
          <w:spacing w:val="-3"/>
        </w:rPr>
        <w:t xml:space="preserve"> </w:t>
      </w:r>
      <w:r w:rsidRPr="0031675F">
        <w:rPr>
          <w:spacing w:val="-1"/>
        </w:rPr>
        <w:t>Portable</w:t>
      </w:r>
      <w:r w:rsidRPr="0031675F">
        <w:t xml:space="preserve"> </w:t>
      </w:r>
      <w:r w:rsidRPr="0031675F">
        <w:rPr>
          <w:spacing w:val="-1"/>
        </w:rPr>
        <w:t>Salinometer.</w:t>
      </w:r>
    </w:p>
    <w:p w14:paraId="4E33B653" w14:textId="77777777" w:rsidR="0031675F" w:rsidRPr="0031675F" w:rsidRDefault="0031675F" w:rsidP="0031675F">
      <w:pPr>
        <w:spacing w:before="120" w:after="120"/>
        <w:ind w:right="120"/>
      </w:pPr>
      <w:r w:rsidRPr="0031675F">
        <w:rPr>
          <w:spacing w:val="-1"/>
        </w:rPr>
        <w:t>Devlin,</w:t>
      </w:r>
      <w:r w:rsidRPr="0031675F">
        <w:t xml:space="preserve"> </w:t>
      </w:r>
      <w:r w:rsidRPr="0031675F">
        <w:rPr>
          <w:spacing w:val="3"/>
        </w:rPr>
        <w:t xml:space="preserve"> </w:t>
      </w:r>
      <w:r w:rsidRPr="0031675F">
        <w:rPr>
          <w:spacing w:val="-1"/>
        </w:rPr>
        <w:t>M.J.</w:t>
      </w:r>
      <w:r w:rsidRPr="0031675F">
        <w:t xml:space="preserve"> </w:t>
      </w:r>
      <w:r w:rsidRPr="0031675F">
        <w:rPr>
          <w:spacing w:val="2"/>
        </w:rPr>
        <w:t xml:space="preserve"> </w:t>
      </w:r>
      <w:r w:rsidRPr="0031675F">
        <w:rPr>
          <w:spacing w:val="-1"/>
        </w:rPr>
        <w:t>and</w:t>
      </w:r>
      <w:r w:rsidRPr="0031675F">
        <w:t xml:space="preserve"> </w:t>
      </w:r>
      <w:r w:rsidRPr="0031675F">
        <w:rPr>
          <w:spacing w:val="2"/>
        </w:rPr>
        <w:t xml:space="preserve"> </w:t>
      </w:r>
      <w:r w:rsidRPr="0031675F">
        <w:rPr>
          <w:spacing w:val="-1"/>
        </w:rPr>
        <w:t>Lourey,</w:t>
      </w:r>
      <w:r w:rsidRPr="0031675F">
        <w:t xml:space="preserve"> </w:t>
      </w:r>
      <w:r w:rsidRPr="0031675F">
        <w:rPr>
          <w:spacing w:val="1"/>
        </w:rPr>
        <w:t xml:space="preserve"> </w:t>
      </w:r>
      <w:r w:rsidRPr="0031675F">
        <w:rPr>
          <w:spacing w:val="-1"/>
        </w:rPr>
        <w:t>M.J.</w:t>
      </w:r>
      <w:r w:rsidRPr="0031675F">
        <w:t xml:space="preserve"> </w:t>
      </w:r>
      <w:r w:rsidRPr="0031675F">
        <w:rPr>
          <w:spacing w:val="5"/>
        </w:rPr>
        <w:t xml:space="preserve"> </w:t>
      </w:r>
      <w:r w:rsidRPr="0031675F">
        <w:rPr>
          <w:spacing w:val="-1"/>
        </w:rPr>
        <w:t>(2000)</w:t>
      </w:r>
      <w:r w:rsidRPr="0031675F">
        <w:t xml:space="preserve"> </w:t>
      </w:r>
      <w:r w:rsidRPr="0031675F">
        <w:rPr>
          <w:spacing w:val="1"/>
        </w:rPr>
        <w:t xml:space="preserve"> </w:t>
      </w:r>
      <w:r w:rsidRPr="0031675F">
        <w:t xml:space="preserve">Long </w:t>
      </w:r>
      <w:r w:rsidRPr="0031675F">
        <w:rPr>
          <w:spacing w:val="2"/>
        </w:rPr>
        <w:t xml:space="preserve"> </w:t>
      </w:r>
      <w:r w:rsidRPr="0031675F">
        <w:rPr>
          <w:spacing w:val="-1"/>
        </w:rPr>
        <w:t>term</w:t>
      </w:r>
      <w:r w:rsidRPr="0031675F">
        <w:t xml:space="preserve"> </w:t>
      </w:r>
      <w:r w:rsidRPr="0031675F">
        <w:rPr>
          <w:spacing w:val="2"/>
        </w:rPr>
        <w:t xml:space="preserve"> </w:t>
      </w:r>
      <w:r w:rsidRPr="0031675F">
        <w:rPr>
          <w:spacing w:val="-1"/>
        </w:rPr>
        <w:t>Monitoring</w:t>
      </w:r>
      <w:r w:rsidRPr="0031675F">
        <w:rPr>
          <w:spacing w:val="49"/>
        </w:rPr>
        <w:t xml:space="preserve"> </w:t>
      </w:r>
      <w:r w:rsidRPr="0031675F">
        <w:t xml:space="preserve">of </w:t>
      </w:r>
      <w:r w:rsidRPr="0031675F">
        <w:rPr>
          <w:spacing w:val="3"/>
        </w:rPr>
        <w:t xml:space="preserve"> </w:t>
      </w:r>
      <w:r w:rsidRPr="0031675F">
        <w:t xml:space="preserve">the </w:t>
      </w:r>
      <w:r w:rsidRPr="0031675F">
        <w:rPr>
          <w:spacing w:val="3"/>
        </w:rPr>
        <w:t xml:space="preserve"> </w:t>
      </w:r>
      <w:r w:rsidRPr="0031675F">
        <w:rPr>
          <w:spacing w:val="-1"/>
        </w:rPr>
        <w:t>Great</w:t>
      </w:r>
      <w:r w:rsidRPr="0031675F">
        <w:t xml:space="preserve"> </w:t>
      </w:r>
      <w:r w:rsidRPr="0031675F">
        <w:rPr>
          <w:spacing w:val="3"/>
        </w:rPr>
        <w:t xml:space="preserve"> </w:t>
      </w:r>
      <w:r w:rsidRPr="0031675F">
        <w:rPr>
          <w:spacing w:val="-1"/>
        </w:rPr>
        <w:t>Barrier</w:t>
      </w:r>
      <w:r w:rsidRPr="0031675F">
        <w:t xml:space="preserve"> </w:t>
      </w:r>
      <w:r w:rsidRPr="0031675F">
        <w:rPr>
          <w:spacing w:val="3"/>
        </w:rPr>
        <w:t xml:space="preserve"> </w:t>
      </w:r>
      <w:r w:rsidRPr="0031675F">
        <w:t xml:space="preserve">Reef </w:t>
      </w:r>
      <w:r w:rsidRPr="0031675F">
        <w:rPr>
          <w:spacing w:val="3"/>
        </w:rPr>
        <w:t xml:space="preserve"> </w:t>
      </w:r>
      <w:r w:rsidRPr="0031675F">
        <w:rPr>
          <w:spacing w:val="-1"/>
        </w:rPr>
        <w:t>Standard</w:t>
      </w:r>
      <w:r w:rsidRPr="0031675F">
        <w:rPr>
          <w:spacing w:val="69"/>
        </w:rPr>
        <w:t xml:space="preserve"> </w:t>
      </w:r>
      <w:r w:rsidRPr="0031675F">
        <w:rPr>
          <w:spacing w:val="-1"/>
        </w:rPr>
        <w:t>Operational</w:t>
      </w:r>
      <w:r w:rsidRPr="0031675F">
        <w:t xml:space="preserve"> </w:t>
      </w:r>
      <w:r w:rsidRPr="0031675F">
        <w:rPr>
          <w:spacing w:val="-1"/>
        </w:rPr>
        <w:t>Procedure</w:t>
      </w:r>
      <w:r w:rsidRPr="0031675F">
        <w:t xml:space="preserve"> </w:t>
      </w:r>
      <w:r w:rsidRPr="0031675F">
        <w:rPr>
          <w:spacing w:val="-1"/>
        </w:rPr>
        <w:t>Number</w:t>
      </w:r>
      <w:r w:rsidRPr="0031675F">
        <w:rPr>
          <w:spacing w:val="-2"/>
        </w:rPr>
        <w:t xml:space="preserve"> </w:t>
      </w:r>
      <w:r w:rsidRPr="0031675F">
        <w:t xml:space="preserve">6, </w:t>
      </w:r>
      <w:r w:rsidRPr="0031675F">
        <w:rPr>
          <w:spacing w:val="-1"/>
        </w:rPr>
        <w:t>Australian</w:t>
      </w:r>
      <w:r w:rsidRPr="0031675F">
        <w:rPr>
          <w:spacing w:val="-2"/>
        </w:rPr>
        <w:t xml:space="preserve"> </w:t>
      </w:r>
      <w:r w:rsidRPr="0031675F">
        <w:rPr>
          <w:spacing w:val="-1"/>
        </w:rPr>
        <w:t>Institute</w:t>
      </w:r>
      <w:r w:rsidRPr="0031675F">
        <w:rPr>
          <w:spacing w:val="-2"/>
        </w:rPr>
        <w:t xml:space="preserve"> </w:t>
      </w:r>
      <w:r w:rsidRPr="0031675F">
        <w:t>of</w:t>
      </w:r>
      <w:r w:rsidRPr="0031675F">
        <w:rPr>
          <w:spacing w:val="-2"/>
        </w:rPr>
        <w:t xml:space="preserve"> </w:t>
      </w:r>
      <w:r w:rsidRPr="0031675F">
        <w:rPr>
          <w:spacing w:val="-1"/>
        </w:rPr>
        <w:t>Marine</w:t>
      </w:r>
      <w:r w:rsidRPr="0031675F">
        <w:t xml:space="preserve"> </w:t>
      </w:r>
      <w:r w:rsidRPr="0031675F">
        <w:rPr>
          <w:spacing w:val="-1"/>
        </w:rPr>
        <w:t>Science.</w:t>
      </w:r>
    </w:p>
    <w:p w14:paraId="30E66C0A" w14:textId="77777777" w:rsidR="0031675F" w:rsidRPr="0031675F" w:rsidRDefault="0031675F" w:rsidP="0031675F">
      <w:pPr>
        <w:rPr>
          <w:rFonts w:cs="Calibri"/>
          <w:sz w:val="20"/>
          <w:szCs w:val="20"/>
        </w:rPr>
      </w:pPr>
      <w:r w:rsidRPr="0031675F">
        <w:rPr>
          <w:rFonts w:cs="Calibri"/>
          <w:sz w:val="20"/>
          <w:szCs w:val="20"/>
        </w:rPr>
        <w:br w:type="page"/>
      </w:r>
    </w:p>
    <w:p w14:paraId="12CB85F7" w14:textId="77777777" w:rsidR="0031675F" w:rsidRPr="0031675F" w:rsidRDefault="0031675F" w:rsidP="0031675F">
      <w:pPr>
        <w:spacing w:before="1"/>
        <w:rPr>
          <w:rFonts w:cs="Calibri"/>
          <w:sz w:val="15"/>
          <w:szCs w:val="15"/>
        </w:rPr>
      </w:pPr>
    </w:p>
    <w:p w14:paraId="24DF0F67" w14:textId="18A44EE2" w:rsidR="0031675F" w:rsidRPr="0031675F" w:rsidRDefault="0031675F" w:rsidP="0031675F">
      <w:pPr>
        <w:tabs>
          <w:tab w:val="left" w:pos="2387"/>
        </w:tabs>
        <w:spacing w:before="206"/>
        <w:ind w:left="118"/>
        <w:rPr>
          <w:rFonts w:eastAsia="Arial" w:cs="Arial"/>
          <w:sz w:val="24"/>
          <w:szCs w:val="24"/>
        </w:rPr>
      </w:pPr>
      <w:bookmarkStart w:id="592" w:name="_TOC_250082"/>
      <w:r w:rsidRPr="0031675F">
        <w:rPr>
          <w:b/>
          <w:sz w:val="24"/>
        </w:rPr>
        <w:t xml:space="preserve">Sample </w:t>
      </w:r>
      <w:r w:rsidRPr="0031675F">
        <w:rPr>
          <w:b/>
          <w:spacing w:val="-1"/>
          <w:sz w:val="24"/>
        </w:rPr>
        <w:t>analysis</w:t>
      </w:r>
      <w:r w:rsidRPr="0031675F">
        <w:rPr>
          <w:b/>
          <w:sz w:val="24"/>
        </w:rPr>
        <w:t xml:space="preserve"> worksheet</w:t>
      </w:r>
      <w:bookmarkEnd w:id="592"/>
    </w:p>
    <w:p w14:paraId="1C5E9E83" w14:textId="77777777" w:rsidR="0031675F" w:rsidRPr="0031675F" w:rsidRDefault="0031675F" w:rsidP="0031675F">
      <w:pPr>
        <w:spacing w:before="2"/>
        <w:rPr>
          <w:rFonts w:eastAsia="Arial" w:cs="Arial"/>
          <w:b/>
          <w:bCs/>
          <w:sz w:val="21"/>
          <w:szCs w:val="21"/>
        </w:rPr>
      </w:pPr>
    </w:p>
    <w:tbl>
      <w:tblPr>
        <w:tblW w:w="0" w:type="auto"/>
        <w:tblInd w:w="96" w:type="dxa"/>
        <w:tblLayout w:type="fixed"/>
        <w:tblCellMar>
          <w:left w:w="0" w:type="dxa"/>
          <w:right w:w="0" w:type="dxa"/>
        </w:tblCellMar>
        <w:tblLook w:val="01E0" w:firstRow="1" w:lastRow="1" w:firstColumn="1" w:lastColumn="1" w:noHBand="0" w:noVBand="0"/>
      </w:tblPr>
      <w:tblGrid>
        <w:gridCol w:w="1130"/>
        <w:gridCol w:w="2055"/>
        <w:gridCol w:w="1546"/>
        <w:gridCol w:w="2487"/>
      </w:tblGrid>
      <w:tr w:rsidR="0031675F" w:rsidRPr="0031675F" w14:paraId="493EE01A" w14:textId="77777777" w:rsidTr="00B00729">
        <w:trPr>
          <w:trHeight w:hRule="exact" w:val="374"/>
        </w:trPr>
        <w:tc>
          <w:tcPr>
            <w:tcW w:w="7218" w:type="dxa"/>
            <w:gridSpan w:val="4"/>
            <w:tcBorders>
              <w:top w:val="single" w:sz="5" w:space="0" w:color="000000"/>
              <w:left w:val="single" w:sz="5" w:space="0" w:color="000000"/>
              <w:bottom w:val="single" w:sz="5" w:space="0" w:color="000000"/>
              <w:right w:val="single" w:sz="5" w:space="0" w:color="000000"/>
            </w:tcBorders>
          </w:tcPr>
          <w:p w14:paraId="74F3D4FD"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b/>
                <w:spacing w:val="-1"/>
                <w:sz w:val="20"/>
                <w:lang w:val="en-US"/>
              </w:rPr>
              <w:t>Salinity</w:t>
            </w:r>
            <w:r w:rsidRPr="0031675F">
              <w:rPr>
                <w:rFonts w:ascii="Calibri" w:eastAsia="Calibri" w:hAnsi="Calibri"/>
                <w:b/>
                <w:spacing w:val="-8"/>
                <w:sz w:val="20"/>
                <w:lang w:val="en-US"/>
              </w:rPr>
              <w:t xml:space="preserve"> </w:t>
            </w:r>
            <w:r w:rsidRPr="0031675F">
              <w:rPr>
                <w:rFonts w:ascii="Calibri" w:eastAsia="Calibri" w:hAnsi="Calibri"/>
                <w:b/>
                <w:sz w:val="20"/>
                <w:lang w:val="en-US"/>
              </w:rPr>
              <w:t>Measurements</w:t>
            </w:r>
            <w:r w:rsidRPr="0031675F">
              <w:rPr>
                <w:rFonts w:ascii="Calibri" w:eastAsia="Calibri" w:hAnsi="Calibri"/>
                <w:b/>
                <w:spacing w:val="-7"/>
                <w:sz w:val="20"/>
                <w:lang w:val="en-US"/>
              </w:rPr>
              <w:t xml:space="preserve"> </w:t>
            </w:r>
            <w:r w:rsidRPr="0031675F">
              <w:rPr>
                <w:rFonts w:ascii="Calibri" w:eastAsia="Calibri" w:hAnsi="Calibri"/>
                <w:b/>
                <w:sz w:val="20"/>
                <w:lang w:val="en-US"/>
              </w:rPr>
              <w:t>on</w:t>
            </w:r>
            <w:r w:rsidRPr="0031675F">
              <w:rPr>
                <w:rFonts w:ascii="Calibri" w:eastAsia="Calibri" w:hAnsi="Calibri"/>
                <w:b/>
                <w:spacing w:val="-7"/>
                <w:sz w:val="20"/>
                <w:lang w:val="en-US"/>
              </w:rPr>
              <w:t xml:space="preserve"> </w:t>
            </w:r>
            <w:r w:rsidRPr="0031675F">
              <w:rPr>
                <w:rFonts w:ascii="Calibri" w:eastAsia="Calibri" w:hAnsi="Calibri"/>
                <w:b/>
                <w:spacing w:val="-1"/>
                <w:sz w:val="20"/>
                <w:lang w:val="en-US"/>
              </w:rPr>
              <w:t>the</w:t>
            </w:r>
            <w:r w:rsidRPr="0031675F">
              <w:rPr>
                <w:rFonts w:ascii="Calibri" w:eastAsia="Calibri" w:hAnsi="Calibri"/>
                <w:b/>
                <w:spacing w:val="-7"/>
                <w:sz w:val="20"/>
                <w:lang w:val="en-US"/>
              </w:rPr>
              <w:t xml:space="preserve"> </w:t>
            </w:r>
            <w:r w:rsidRPr="0031675F">
              <w:rPr>
                <w:rFonts w:ascii="Calibri" w:eastAsia="Calibri" w:hAnsi="Calibri"/>
                <w:b/>
                <w:spacing w:val="-1"/>
                <w:sz w:val="20"/>
                <w:lang w:val="en-US"/>
              </w:rPr>
              <w:t>Portasal</w:t>
            </w:r>
            <w:r w:rsidRPr="0031675F">
              <w:rPr>
                <w:rFonts w:ascii="Calibri" w:eastAsia="Calibri" w:hAnsi="Calibri"/>
                <w:b/>
                <w:spacing w:val="-8"/>
                <w:sz w:val="20"/>
                <w:lang w:val="en-US"/>
              </w:rPr>
              <w:t xml:space="preserve"> </w:t>
            </w:r>
            <w:r w:rsidRPr="0031675F">
              <w:rPr>
                <w:rFonts w:ascii="Calibri" w:eastAsia="Calibri" w:hAnsi="Calibri"/>
                <w:b/>
                <w:sz w:val="20"/>
                <w:lang w:val="en-US"/>
              </w:rPr>
              <w:t>Model</w:t>
            </w:r>
            <w:r w:rsidRPr="0031675F">
              <w:rPr>
                <w:rFonts w:ascii="Calibri" w:eastAsia="Calibri" w:hAnsi="Calibri"/>
                <w:b/>
                <w:spacing w:val="-9"/>
                <w:sz w:val="20"/>
                <w:lang w:val="en-US"/>
              </w:rPr>
              <w:t xml:space="preserve"> </w:t>
            </w:r>
            <w:r w:rsidRPr="0031675F">
              <w:rPr>
                <w:rFonts w:ascii="Calibri" w:eastAsia="Calibri" w:hAnsi="Calibri"/>
                <w:b/>
                <w:sz w:val="20"/>
                <w:lang w:val="en-US"/>
              </w:rPr>
              <w:t>8410A</w:t>
            </w:r>
          </w:p>
        </w:tc>
      </w:tr>
      <w:tr w:rsidR="0031675F" w:rsidRPr="0031675F" w14:paraId="3581B238"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0C281865" w14:textId="77777777" w:rsidR="0031675F" w:rsidRPr="0031675F" w:rsidRDefault="0031675F" w:rsidP="0031675F"/>
        </w:tc>
        <w:tc>
          <w:tcPr>
            <w:tcW w:w="2055" w:type="dxa"/>
            <w:tcBorders>
              <w:top w:val="single" w:sz="5" w:space="0" w:color="000000"/>
              <w:left w:val="single" w:sz="5" w:space="0" w:color="000000"/>
              <w:bottom w:val="single" w:sz="5" w:space="0" w:color="000000"/>
              <w:right w:val="single" w:sz="5" w:space="0" w:color="000000"/>
            </w:tcBorders>
          </w:tcPr>
          <w:p w14:paraId="793C9116"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2396F440"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71250D72" w14:textId="77777777" w:rsidR="0031675F" w:rsidRPr="0031675F" w:rsidRDefault="0031675F" w:rsidP="0031675F"/>
        </w:tc>
      </w:tr>
      <w:tr w:rsidR="0031675F" w:rsidRPr="0031675F" w14:paraId="184337BD" w14:textId="77777777" w:rsidTr="00B00729">
        <w:trPr>
          <w:trHeight w:hRule="exact" w:val="372"/>
        </w:trPr>
        <w:tc>
          <w:tcPr>
            <w:tcW w:w="1130" w:type="dxa"/>
            <w:tcBorders>
              <w:top w:val="single" w:sz="5" w:space="0" w:color="000000"/>
              <w:left w:val="single" w:sz="5" w:space="0" w:color="000000"/>
              <w:bottom w:val="single" w:sz="5" w:space="0" w:color="000000"/>
              <w:right w:val="single" w:sz="5" w:space="0" w:color="000000"/>
            </w:tcBorders>
          </w:tcPr>
          <w:p w14:paraId="4B9EE616"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b/>
                <w:spacing w:val="-1"/>
                <w:sz w:val="20"/>
                <w:lang w:val="en-US"/>
              </w:rPr>
              <w:t>Date:</w:t>
            </w:r>
          </w:p>
        </w:tc>
        <w:tc>
          <w:tcPr>
            <w:tcW w:w="2055" w:type="dxa"/>
            <w:tcBorders>
              <w:top w:val="single" w:sz="5" w:space="0" w:color="000000"/>
              <w:left w:val="single" w:sz="5" w:space="0" w:color="000000"/>
              <w:bottom w:val="single" w:sz="5" w:space="0" w:color="000000"/>
              <w:right w:val="single" w:sz="5" w:space="0" w:color="000000"/>
            </w:tcBorders>
          </w:tcPr>
          <w:p w14:paraId="29EDA85E"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1D60F7D7"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2C10B6D8" w14:textId="77777777" w:rsidR="0031675F" w:rsidRPr="0031675F" w:rsidRDefault="0031675F" w:rsidP="0031675F"/>
        </w:tc>
      </w:tr>
      <w:tr w:rsidR="0031675F" w:rsidRPr="0031675F" w14:paraId="1CCC3E51"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65BE1B22" w14:textId="77777777" w:rsidR="0031675F" w:rsidRPr="0031675F" w:rsidRDefault="0031675F" w:rsidP="0031675F">
            <w:pPr>
              <w:widowControl w:val="0"/>
              <w:spacing w:before="60" w:after="0" w:line="240" w:lineRule="auto"/>
              <w:ind w:left="102"/>
              <w:rPr>
                <w:rFonts w:ascii="Calibri" w:eastAsia="Calibri" w:hAnsi="Calibri" w:cs="Calibri"/>
                <w:sz w:val="20"/>
                <w:szCs w:val="20"/>
                <w:lang w:val="en-US"/>
              </w:rPr>
            </w:pPr>
            <w:r w:rsidRPr="0031675F">
              <w:rPr>
                <w:rFonts w:ascii="Calibri" w:eastAsia="Calibri" w:hAnsi="Calibri"/>
                <w:b/>
                <w:spacing w:val="-1"/>
                <w:sz w:val="20"/>
                <w:lang w:val="en-US"/>
              </w:rPr>
              <w:t>Analyst:</w:t>
            </w:r>
          </w:p>
        </w:tc>
        <w:tc>
          <w:tcPr>
            <w:tcW w:w="2055" w:type="dxa"/>
            <w:tcBorders>
              <w:top w:val="single" w:sz="5" w:space="0" w:color="000000"/>
              <w:left w:val="single" w:sz="5" w:space="0" w:color="000000"/>
              <w:bottom w:val="single" w:sz="5" w:space="0" w:color="000000"/>
              <w:right w:val="single" w:sz="5" w:space="0" w:color="000000"/>
            </w:tcBorders>
          </w:tcPr>
          <w:p w14:paraId="4923E083"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0068D06B"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50104FA5" w14:textId="77777777" w:rsidR="0031675F" w:rsidRPr="0031675F" w:rsidRDefault="0031675F" w:rsidP="0031675F"/>
        </w:tc>
      </w:tr>
      <w:tr w:rsidR="0031675F" w:rsidRPr="0031675F" w14:paraId="5CD1A636" w14:textId="77777777" w:rsidTr="00B00729">
        <w:trPr>
          <w:trHeight w:hRule="exact" w:val="374"/>
        </w:trPr>
        <w:tc>
          <w:tcPr>
            <w:tcW w:w="3185" w:type="dxa"/>
            <w:gridSpan w:val="2"/>
            <w:tcBorders>
              <w:top w:val="single" w:sz="5" w:space="0" w:color="000000"/>
              <w:left w:val="single" w:sz="5" w:space="0" w:color="000000"/>
              <w:bottom w:val="single" w:sz="5" w:space="0" w:color="000000"/>
              <w:right w:val="single" w:sz="5" w:space="0" w:color="000000"/>
            </w:tcBorders>
          </w:tcPr>
          <w:p w14:paraId="627F7554" w14:textId="77777777" w:rsidR="0031675F" w:rsidRPr="0031675F" w:rsidRDefault="0031675F" w:rsidP="0031675F">
            <w:pPr>
              <w:widowControl w:val="0"/>
              <w:spacing w:before="60" w:after="0" w:line="240" w:lineRule="auto"/>
              <w:ind w:left="102"/>
              <w:rPr>
                <w:rFonts w:ascii="Calibri" w:eastAsia="Calibri" w:hAnsi="Calibri" w:cs="Calibri"/>
                <w:sz w:val="20"/>
                <w:szCs w:val="20"/>
                <w:lang w:val="en-US"/>
              </w:rPr>
            </w:pPr>
            <w:r w:rsidRPr="0031675F">
              <w:rPr>
                <w:rFonts w:ascii="Calibri" w:eastAsia="Calibri" w:hAnsi="Calibri"/>
                <w:b/>
                <w:spacing w:val="-1"/>
                <w:sz w:val="20"/>
                <w:lang w:val="en-US"/>
              </w:rPr>
              <w:t>Sample</w:t>
            </w:r>
            <w:r w:rsidRPr="0031675F">
              <w:rPr>
                <w:rFonts w:ascii="Calibri" w:eastAsia="Calibri" w:hAnsi="Calibri"/>
                <w:b/>
                <w:spacing w:val="-12"/>
                <w:sz w:val="20"/>
                <w:lang w:val="en-US"/>
              </w:rPr>
              <w:t xml:space="preserve"> </w:t>
            </w:r>
            <w:r w:rsidRPr="0031675F">
              <w:rPr>
                <w:rFonts w:ascii="Calibri" w:eastAsia="Calibri" w:hAnsi="Calibri"/>
                <w:b/>
                <w:sz w:val="20"/>
                <w:lang w:val="en-US"/>
              </w:rPr>
              <w:t>Series:</w:t>
            </w:r>
          </w:p>
        </w:tc>
        <w:tc>
          <w:tcPr>
            <w:tcW w:w="1546" w:type="dxa"/>
            <w:tcBorders>
              <w:top w:val="single" w:sz="5" w:space="0" w:color="000000"/>
              <w:left w:val="single" w:sz="5" w:space="0" w:color="000000"/>
              <w:bottom w:val="single" w:sz="5" w:space="0" w:color="000000"/>
              <w:right w:val="single" w:sz="5" w:space="0" w:color="000000"/>
            </w:tcBorders>
          </w:tcPr>
          <w:p w14:paraId="4EC4F16E"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746EE199" w14:textId="77777777" w:rsidR="0031675F" w:rsidRPr="0031675F" w:rsidRDefault="0031675F" w:rsidP="0031675F"/>
        </w:tc>
      </w:tr>
      <w:tr w:rsidR="0031675F" w:rsidRPr="0031675F" w14:paraId="4B22AA6F" w14:textId="77777777" w:rsidTr="00B00729">
        <w:trPr>
          <w:trHeight w:hRule="exact" w:val="374"/>
        </w:trPr>
        <w:tc>
          <w:tcPr>
            <w:tcW w:w="3185" w:type="dxa"/>
            <w:gridSpan w:val="2"/>
            <w:tcBorders>
              <w:top w:val="single" w:sz="5" w:space="0" w:color="000000"/>
              <w:left w:val="single" w:sz="5" w:space="0" w:color="000000"/>
              <w:bottom w:val="single" w:sz="5" w:space="0" w:color="000000"/>
              <w:right w:val="single" w:sz="5" w:space="0" w:color="000000"/>
            </w:tcBorders>
          </w:tcPr>
          <w:p w14:paraId="71E25ABA"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b/>
                <w:spacing w:val="-1"/>
                <w:sz w:val="20"/>
                <w:lang w:val="en-US"/>
              </w:rPr>
              <w:t>Reference</w:t>
            </w:r>
            <w:r w:rsidRPr="0031675F">
              <w:rPr>
                <w:rFonts w:ascii="Calibri" w:eastAsia="Calibri" w:hAnsi="Calibri"/>
                <w:b/>
                <w:spacing w:val="-7"/>
                <w:sz w:val="20"/>
                <w:lang w:val="en-US"/>
              </w:rPr>
              <w:t xml:space="preserve"> </w:t>
            </w:r>
            <w:r w:rsidRPr="0031675F">
              <w:rPr>
                <w:rFonts w:ascii="Calibri" w:eastAsia="Calibri" w:hAnsi="Calibri"/>
                <w:b/>
                <w:spacing w:val="-1"/>
                <w:sz w:val="20"/>
                <w:lang w:val="en-US"/>
              </w:rPr>
              <w:t>Calibration:</w:t>
            </w:r>
            <w:r w:rsidRPr="0031675F">
              <w:rPr>
                <w:rFonts w:ascii="Calibri" w:eastAsia="Calibri" w:hAnsi="Calibri"/>
                <w:b/>
                <w:spacing w:val="34"/>
                <w:sz w:val="20"/>
                <w:lang w:val="en-US"/>
              </w:rPr>
              <w:t xml:space="preserve"> </w:t>
            </w:r>
            <w:r w:rsidRPr="0031675F">
              <w:rPr>
                <w:rFonts w:ascii="Calibri" w:eastAsia="Calibri" w:hAnsi="Calibri"/>
                <w:spacing w:val="-2"/>
                <w:sz w:val="20"/>
                <w:lang w:val="en-US"/>
              </w:rPr>
              <w:t>Y/N</w:t>
            </w:r>
          </w:p>
        </w:tc>
        <w:tc>
          <w:tcPr>
            <w:tcW w:w="1546" w:type="dxa"/>
            <w:tcBorders>
              <w:top w:val="single" w:sz="5" w:space="0" w:color="000000"/>
              <w:left w:val="single" w:sz="5" w:space="0" w:color="000000"/>
              <w:bottom w:val="single" w:sz="5" w:space="0" w:color="000000"/>
              <w:right w:val="single" w:sz="5" w:space="0" w:color="000000"/>
            </w:tcBorders>
          </w:tcPr>
          <w:p w14:paraId="13BF8E1B"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36BB5117" w14:textId="77777777" w:rsidR="0031675F" w:rsidRPr="0031675F" w:rsidRDefault="0031675F" w:rsidP="0031675F"/>
        </w:tc>
      </w:tr>
      <w:tr w:rsidR="0031675F" w:rsidRPr="0031675F" w14:paraId="45AAE2D3" w14:textId="77777777" w:rsidTr="00B00729">
        <w:trPr>
          <w:trHeight w:hRule="exact" w:val="374"/>
        </w:trPr>
        <w:tc>
          <w:tcPr>
            <w:tcW w:w="3185" w:type="dxa"/>
            <w:gridSpan w:val="2"/>
            <w:tcBorders>
              <w:top w:val="single" w:sz="5" w:space="0" w:color="000000"/>
              <w:left w:val="single" w:sz="5" w:space="0" w:color="000000"/>
              <w:bottom w:val="single" w:sz="5" w:space="0" w:color="000000"/>
              <w:right w:val="single" w:sz="5" w:space="0" w:color="000000"/>
            </w:tcBorders>
          </w:tcPr>
          <w:p w14:paraId="0BF13E51"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b/>
                <w:sz w:val="20"/>
                <w:lang w:val="en-US"/>
              </w:rPr>
              <w:t>Zero</w:t>
            </w:r>
            <w:r w:rsidRPr="0031675F">
              <w:rPr>
                <w:rFonts w:ascii="Calibri" w:eastAsia="Calibri" w:hAnsi="Calibri"/>
                <w:b/>
                <w:spacing w:val="-9"/>
                <w:sz w:val="20"/>
                <w:lang w:val="en-US"/>
              </w:rPr>
              <w:t xml:space="preserve"> </w:t>
            </w:r>
            <w:r w:rsidRPr="0031675F">
              <w:rPr>
                <w:rFonts w:ascii="Calibri" w:eastAsia="Calibri" w:hAnsi="Calibri"/>
                <w:b/>
                <w:spacing w:val="-1"/>
                <w:sz w:val="20"/>
                <w:lang w:val="en-US"/>
              </w:rPr>
              <w:t>Calibration:</w:t>
            </w:r>
            <w:r w:rsidRPr="0031675F">
              <w:rPr>
                <w:rFonts w:ascii="Calibri" w:eastAsia="Calibri" w:hAnsi="Calibri"/>
                <w:b/>
                <w:spacing w:val="-6"/>
                <w:sz w:val="20"/>
                <w:lang w:val="en-US"/>
              </w:rPr>
              <w:t xml:space="preserve"> </w:t>
            </w:r>
            <w:r w:rsidRPr="0031675F">
              <w:rPr>
                <w:rFonts w:ascii="Calibri" w:eastAsia="Calibri" w:hAnsi="Calibri"/>
                <w:spacing w:val="-2"/>
                <w:sz w:val="20"/>
                <w:lang w:val="en-US"/>
              </w:rPr>
              <w:t>Y/N</w:t>
            </w:r>
          </w:p>
        </w:tc>
        <w:tc>
          <w:tcPr>
            <w:tcW w:w="1546" w:type="dxa"/>
            <w:tcBorders>
              <w:top w:val="single" w:sz="5" w:space="0" w:color="000000"/>
              <w:left w:val="single" w:sz="5" w:space="0" w:color="000000"/>
              <w:bottom w:val="single" w:sz="5" w:space="0" w:color="000000"/>
              <w:right w:val="single" w:sz="5" w:space="0" w:color="000000"/>
            </w:tcBorders>
          </w:tcPr>
          <w:p w14:paraId="40F062AC"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610631A1" w14:textId="77777777" w:rsidR="0031675F" w:rsidRPr="0031675F" w:rsidRDefault="0031675F" w:rsidP="0031675F"/>
        </w:tc>
      </w:tr>
      <w:tr w:rsidR="0031675F" w:rsidRPr="0031675F" w14:paraId="2C0896B3" w14:textId="77777777" w:rsidTr="00B00729">
        <w:trPr>
          <w:trHeight w:hRule="exact" w:val="374"/>
        </w:trPr>
        <w:tc>
          <w:tcPr>
            <w:tcW w:w="3185" w:type="dxa"/>
            <w:gridSpan w:val="2"/>
            <w:tcBorders>
              <w:top w:val="single" w:sz="5" w:space="0" w:color="000000"/>
              <w:left w:val="single" w:sz="5" w:space="0" w:color="000000"/>
              <w:bottom w:val="single" w:sz="5" w:space="0" w:color="000000"/>
              <w:right w:val="single" w:sz="5" w:space="0" w:color="000000"/>
            </w:tcBorders>
          </w:tcPr>
          <w:p w14:paraId="47CCA3BA"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b/>
                <w:spacing w:val="-1"/>
                <w:sz w:val="20"/>
                <w:lang w:val="en-US"/>
              </w:rPr>
              <w:t>Standardization:</w:t>
            </w:r>
          </w:p>
        </w:tc>
        <w:tc>
          <w:tcPr>
            <w:tcW w:w="1546" w:type="dxa"/>
            <w:tcBorders>
              <w:top w:val="single" w:sz="5" w:space="0" w:color="000000"/>
              <w:left w:val="single" w:sz="5" w:space="0" w:color="000000"/>
              <w:bottom w:val="single" w:sz="5" w:space="0" w:color="000000"/>
              <w:right w:val="single" w:sz="5" w:space="0" w:color="000000"/>
            </w:tcBorders>
          </w:tcPr>
          <w:p w14:paraId="10B1DFB4"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12DFBAA9" w14:textId="77777777" w:rsidR="0031675F" w:rsidRPr="0031675F" w:rsidRDefault="0031675F" w:rsidP="0031675F"/>
        </w:tc>
      </w:tr>
      <w:tr w:rsidR="0031675F" w:rsidRPr="0031675F" w14:paraId="4491AB51" w14:textId="77777777" w:rsidTr="00B00729">
        <w:trPr>
          <w:trHeight w:hRule="exact" w:val="375"/>
        </w:trPr>
        <w:tc>
          <w:tcPr>
            <w:tcW w:w="1130" w:type="dxa"/>
            <w:tcBorders>
              <w:top w:val="single" w:sz="5" w:space="0" w:color="000000"/>
              <w:left w:val="single" w:sz="5" w:space="0" w:color="000000"/>
              <w:bottom w:val="single" w:sz="5" w:space="0" w:color="000000"/>
              <w:right w:val="single" w:sz="5" w:space="0" w:color="000000"/>
            </w:tcBorders>
          </w:tcPr>
          <w:p w14:paraId="608A186F" w14:textId="77777777" w:rsidR="0031675F" w:rsidRPr="0031675F" w:rsidRDefault="0031675F" w:rsidP="0031675F"/>
        </w:tc>
        <w:tc>
          <w:tcPr>
            <w:tcW w:w="2055" w:type="dxa"/>
            <w:tcBorders>
              <w:top w:val="single" w:sz="5" w:space="0" w:color="000000"/>
              <w:left w:val="single" w:sz="5" w:space="0" w:color="000000"/>
              <w:bottom w:val="single" w:sz="5" w:space="0" w:color="000000"/>
              <w:right w:val="single" w:sz="5" w:space="0" w:color="000000"/>
            </w:tcBorders>
          </w:tcPr>
          <w:p w14:paraId="2CD83823"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spacing w:val="-1"/>
                <w:sz w:val="20"/>
                <w:lang w:val="en-US"/>
              </w:rPr>
              <w:t>Conductivity</w:t>
            </w:r>
            <w:r w:rsidRPr="0031675F">
              <w:rPr>
                <w:rFonts w:ascii="Calibri" w:eastAsia="Calibri" w:hAnsi="Calibri"/>
                <w:spacing w:val="-14"/>
                <w:sz w:val="20"/>
                <w:lang w:val="en-US"/>
              </w:rPr>
              <w:t xml:space="preserve"> </w:t>
            </w:r>
            <w:r w:rsidRPr="0031675F">
              <w:rPr>
                <w:rFonts w:ascii="Calibri" w:eastAsia="Calibri" w:hAnsi="Calibri"/>
                <w:sz w:val="20"/>
                <w:lang w:val="en-US"/>
              </w:rPr>
              <w:t>No.</w:t>
            </w:r>
          </w:p>
        </w:tc>
        <w:tc>
          <w:tcPr>
            <w:tcW w:w="1546" w:type="dxa"/>
            <w:tcBorders>
              <w:top w:val="single" w:sz="5" w:space="0" w:color="000000"/>
              <w:left w:val="single" w:sz="5" w:space="0" w:color="000000"/>
              <w:bottom w:val="single" w:sz="5" w:space="0" w:color="000000"/>
              <w:right w:val="single" w:sz="5" w:space="0" w:color="000000"/>
            </w:tcBorders>
          </w:tcPr>
          <w:p w14:paraId="7DEE5A12"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3C02700E" w14:textId="77777777" w:rsidR="0031675F" w:rsidRPr="0031675F" w:rsidRDefault="0031675F" w:rsidP="0031675F"/>
        </w:tc>
      </w:tr>
      <w:tr w:rsidR="0031675F" w:rsidRPr="0031675F" w14:paraId="62A91BEF"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23662149" w14:textId="77777777" w:rsidR="0031675F" w:rsidRPr="0031675F" w:rsidRDefault="0031675F" w:rsidP="0031675F"/>
        </w:tc>
        <w:tc>
          <w:tcPr>
            <w:tcW w:w="2055" w:type="dxa"/>
            <w:tcBorders>
              <w:top w:val="single" w:sz="5" w:space="0" w:color="000000"/>
              <w:left w:val="single" w:sz="5" w:space="0" w:color="000000"/>
              <w:bottom w:val="single" w:sz="5" w:space="0" w:color="000000"/>
              <w:right w:val="single" w:sz="5" w:space="0" w:color="000000"/>
            </w:tcBorders>
          </w:tcPr>
          <w:p w14:paraId="2017C5B6"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sz w:val="20"/>
                <w:lang w:val="en-US"/>
              </w:rPr>
              <w:t>Batch</w:t>
            </w:r>
            <w:r w:rsidRPr="0031675F">
              <w:rPr>
                <w:rFonts w:ascii="Calibri" w:eastAsia="Calibri" w:hAnsi="Calibri"/>
                <w:spacing w:val="-8"/>
                <w:sz w:val="20"/>
                <w:lang w:val="en-US"/>
              </w:rPr>
              <w:t xml:space="preserve"> </w:t>
            </w:r>
            <w:r w:rsidRPr="0031675F">
              <w:rPr>
                <w:rFonts w:ascii="Calibri" w:eastAsia="Calibri" w:hAnsi="Calibri"/>
                <w:sz w:val="20"/>
                <w:lang w:val="en-US"/>
              </w:rPr>
              <w:t>No.</w:t>
            </w:r>
          </w:p>
        </w:tc>
        <w:tc>
          <w:tcPr>
            <w:tcW w:w="1546" w:type="dxa"/>
            <w:tcBorders>
              <w:top w:val="single" w:sz="5" w:space="0" w:color="000000"/>
              <w:left w:val="single" w:sz="5" w:space="0" w:color="000000"/>
              <w:bottom w:val="single" w:sz="5" w:space="0" w:color="000000"/>
              <w:right w:val="single" w:sz="5" w:space="0" w:color="000000"/>
            </w:tcBorders>
          </w:tcPr>
          <w:p w14:paraId="4B08A8F0"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2645E684" w14:textId="77777777" w:rsidR="0031675F" w:rsidRPr="0031675F" w:rsidRDefault="0031675F" w:rsidP="0031675F"/>
        </w:tc>
      </w:tr>
      <w:tr w:rsidR="0031675F" w:rsidRPr="0031675F" w14:paraId="083505E3"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0CA192B1" w14:textId="77777777" w:rsidR="0031675F" w:rsidRPr="0031675F" w:rsidRDefault="0031675F" w:rsidP="0031675F"/>
        </w:tc>
        <w:tc>
          <w:tcPr>
            <w:tcW w:w="2055" w:type="dxa"/>
            <w:tcBorders>
              <w:top w:val="single" w:sz="5" w:space="0" w:color="000000"/>
              <w:left w:val="single" w:sz="5" w:space="0" w:color="000000"/>
              <w:bottom w:val="single" w:sz="5" w:space="0" w:color="000000"/>
              <w:right w:val="single" w:sz="5" w:space="0" w:color="000000"/>
            </w:tcBorders>
          </w:tcPr>
          <w:p w14:paraId="2D85553C"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6F23BCD4"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49100FA5" w14:textId="77777777" w:rsidR="0031675F" w:rsidRPr="0031675F" w:rsidRDefault="0031675F" w:rsidP="0031675F"/>
        </w:tc>
      </w:tr>
      <w:tr w:rsidR="0031675F" w:rsidRPr="0031675F" w14:paraId="54D9632C"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752F79E1"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sz w:val="20"/>
                <w:lang w:val="en-US"/>
              </w:rPr>
              <w:t>Bottle</w:t>
            </w:r>
          </w:p>
        </w:tc>
        <w:tc>
          <w:tcPr>
            <w:tcW w:w="2055" w:type="dxa"/>
            <w:tcBorders>
              <w:top w:val="single" w:sz="5" w:space="0" w:color="000000"/>
              <w:left w:val="single" w:sz="5" w:space="0" w:color="000000"/>
              <w:bottom w:val="single" w:sz="5" w:space="0" w:color="000000"/>
              <w:right w:val="single" w:sz="5" w:space="0" w:color="000000"/>
            </w:tcBorders>
          </w:tcPr>
          <w:p w14:paraId="39639138"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spacing w:val="-1"/>
                <w:sz w:val="20"/>
                <w:lang w:val="en-US"/>
              </w:rPr>
              <w:t>Sample</w:t>
            </w:r>
            <w:r w:rsidRPr="0031675F">
              <w:rPr>
                <w:rFonts w:ascii="Calibri" w:eastAsia="Calibri" w:hAnsi="Calibri"/>
                <w:spacing w:val="-13"/>
                <w:sz w:val="20"/>
                <w:lang w:val="en-US"/>
              </w:rPr>
              <w:t xml:space="preserve"> </w:t>
            </w:r>
            <w:r w:rsidRPr="0031675F">
              <w:rPr>
                <w:rFonts w:ascii="Calibri" w:eastAsia="Calibri" w:hAnsi="Calibri"/>
                <w:sz w:val="20"/>
                <w:lang w:val="en-US"/>
              </w:rPr>
              <w:t>Name</w:t>
            </w:r>
          </w:p>
        </w:tc>
        <w:tc>
          <w:tcPr>
            <w:tcW w:w="1546" w:type="dxa"/>
            <w:tcBorders>
              <w:top w:val="single" w:sz="5" w:space="0" w:color="000000"/>
              <w:left w:val="single" w:sz="5" w:space="0" w:color="000000"/>
              <w:bottom w:val="single" w:sz="5" w:space="0" w:color="000000"/>
              <w:right w:val="single" w:sz="5" w:space="0" w:color="000000"/>
            </w:tcBorders>
          </w:tcPr>
          <w:p w14:paraId="3BC6DB26" w14:textId="77777777" w:rsidR="0031675F" w:rsidRPr="0031675F" w:rsidRDefault="0031675F" w:rsidP="0031675F">
            <w:pPr>
              <w:widowControl w:val="0"/>
              <w:spacing w:before="58" w:after="0" w:line="240" w:lineRule="auto"/>
              <w:ind w:left="99"/>
              <w:rPr>
                <w:rFonts w:ascii="Calibri" w:eastAsia="Calibri" w:hAnsi="Calibri" w:cs="Calibri"/>
                <w:sz w:val="20"/>
                <w:szCs w:val="20"/>
                <w:lang w:val="en-US"/>
              </w:rPr>
            </w:pPr>
            <w:r w:rsidRPr="0031675F">
              <w:rPr>
                <w:rFonts w:ascii="Calibri" w:eastAsia="Calibri" w:hAnsi="Calibri"/>
                <w:spacing w:val="-1"/>
                <w:sz w:val="20"/>
                <w:lang w:val="en-US"/>
              </w:rPr>
              <w:t>Conductivity</w:t>
            </w:r>
          </w:p>
        </w:tc>
        <w:tc>
          <w:tcPr>
            <w:tcW w:w="2487" w:type="dxa"/>
            <w:tcBorders>
              <w:top w:val="single" w:sz="5" w:space="0" w:color="000000"/>
              <w:left w:val="single" w:sz="5" w:space="0" w:color="000000"/>
              <w:bottom w:val="single" w:sz="5" w:space="0" w:color="000000"/>
              <w:right w:val="single" w:sz="5" w:space="0" w:color="000000"/>
            </w:tcBorders>
          </w:tcPr>
          <w:p w14:paraId="56D2176C"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spacing w:val="-1"/>
                <w:sz w:val="20"/>
                <w:lang w:val="en-US"/>
              </w:rPr>
              <w:t>Salinity</w:t>
            </w:r>
          </w:p>
        </w:tc>
      </w:tr>
      <w:tr w:rsidR="0031675F" w:rsidRPr="0031675F" w14:paraId="033A6BB9" w14:textId="77777777" w:rsidTr="00B00729">
        <w:trPr>
          <w:trHeight w:hRule="exact" w:val="372"/>
        </w:trPr>
        <w:tc>
          <w:tcPr>
            <w:tcW w:w="1130" w:type="dxa"/>
            <w:tcBorders>
              <w:top w:val="single" w:sz="5" w:space="0" w:color="000000"/>
              <w:left w:val="single" w:sz="5" w:space="0" w:color="000000"/>
              <w:bottom w:val="single" w:sz="5" w:space="0" w:color="000000"/>
              <w:right w:val="single" w:sz="5" w:space="0" w:color="000000"/>
            </w:tcBorders>
          </w:tcPr>
          <w:p w14:paraId="32BE8021"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w w:val="95"/>
                <w:sz w:val="20"/>
                <w:lang w:val="en-US"/>
              </w:rPr>
              <w:t>1</w:t>
            </w:r>
          </w:p>
        </w:tc>
        <w:tc>
          <w:tcPr>
            <w:tcW w:w="2055" w:type="dxa"/>
            <w:tcBorders>
              <w:top w:val="single" w:sz="5" w:space="0" w:color="000000"/>
              <w:left w:val="single" w:sz="5" w:space="0" w:color="000000"/>
              <w:bottom w:val="single" w:sz="5" w:space="0" w:color="000000"/>
              <w:right w:val="single" w:sz="5" w:space="0" w:color="000000"/>
            </w:tcBorders>
          </w:tcPr>
          <w:p w14:paraId="5146301A"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spacing w:val="-1"/>
                <w:sz w:val="20"/>
                <w:lang w:val="en-US"/>
              </w:rPr>
              <w:t>SSW</w:t>
            </w:r>
          </w:p>
        </w:tc>
        <w:tc>
          <w:tcPr>
            <w:tcW w:w="1546" w:type="dxa"/>
            <w:tcBorders>
              <w:top w:val="single" w:sz="5" w:space="0" w:color="000000"/>
              <w:left w:val="single" w:sz="5" w:space="0" w:color="000000"/>
              <w:bottom w:val="single" w:sz="5" w:space="0" w:color="000000"/>
              <w:right w:val="single" w:sz="5" w:space="0" w:color="000000"/>
            </w:tcBorders>
          </w:tcPr>
          <w:p w14:paraId="0CB0458B"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61688EC8" w14:textId="77777777" w:rsidR="0031675F" w:rsidRPr="0031675F" w:rsidRDefault="0031675F" w:rsidP="0031675F"/>
        </w:tc>
      </w:tr>
      <w:tr w:rsidR="0031675F" w:rsidRPr="0031675F" w14:paraId="5A6579C0"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73433C3F" w14:textId="77777777" w:rsidR="0031675F" w:rsidRPr="0031675F" w:rsidRDefault="0031675F" w:rsidP="0031675F">
            <w:pPr>
              <w:widowControl w:val="0"/>
              <w:spacing w:before="60" w:after="0" w:line="240" w:lineRule="auto"/>
              <w:ind w:right="100"/>
              <w:jc w:val="right"/>
              <w:rPr>
                <w:rFonts w:ascii="Calibri" w:eastAsia="Calibri" w:hAnsi="Calibri" w:cs="Calibri"/>
                <w:sz w:val="20"/>
                <w:szCs w:val="20"/>
                <w:lang w:val="en-US"/>
              </w:rPr>
            </w:pPr>
            <w:r w:rsidRPr="0031675F">
              <w:rPr>
                <w:rFonts w:ascii="Calibri" w:eastAsia="Calibri" w:hAnsi="Calibri"/>
                <w:w w:val="95"/>
                <w:sz w:val="20"/>
                <w:lang w:val="en-US"/>
              </w:rPr>
              <w:t>2</w:t>
            </w:r>
          </w:p>
        </w:tc>
        <w:tc>
          <w:tcPr>
            <w:tcW w:w="2055" w:type="dxa"/>
            <w:tcBorders>
              <w:top w:val="single" w:sz="5" w:space="0" w:color="000000"/>
              <w:left w:val="single" w:sz="5" w:space="0" w:color="000000"/>
              <w:bottom w:val="single" w:sz="5" w:space="0" w:color="000000"/>
              <w:right w:val="single" w:sz="5" w:space="0" w:color="000000"/>
            </w:tcBorders>
          </w:tcPr>
          <w:p w14:paraId="756B24E3" w14:textId="77777777" w:rsidR="0031675F" w:rsidRPr="0031675F" w:rsidRDefault="0031675F" w:rsidP="0031675F">
            <w:pPr>
              <w:widowControl w:val="0"/>
              <w:spacing w:before="60" w:after="0" w:line="240" w:lineRule="auto"/>
              <w:ind w:left="102"/>
              <w:rPr>
                <w:rFonts w:ascii="Calibri" w:eastAsia="Calibri" w:hAnsi="Calibri" w:cs="Calibri"/>
                <w:sz w:val="20"/>
                <w:szCs w:val="20"/>
                <w:lang w:val="en-US"/>
              </w:rPr>
            </w:pPr>
            <w:r w:rsidRPr="0031675F">
              <w:rPr>
                <w:rFonts w:ascii="Calibri" w:eastAsia="Calibri" w:hAnsi="Calibri"/>
                <w:spacing w:val="-1"/>
                <w:sz w:val="20"/>
                <w:lang w:val="en-US"/>
              </w:rPr>
              <w:t>Sub</w:t>
            </w:r>
            <w:r w:rsidRPr="0031675F">
              <w:rPr>
                <w:rFonts w:ascii="Calibri" w:eastAsia="Calibri" w:hAnsi="Calibri"/>
                <w:spacing w:val="-7"/>
                <w:sz w:val="20"/>
                <w:lang w:val="en-US"/>
              </w:rPr>
              <w:t xml:space="preserve"> </w:t>
            </w:r>
            <w:r w:rsidRPr="0031675F">
              <w:rPr>
                <w:rFonts w:ascii="Calibri" w:eastAsia="Calibri" w:hAnsi="Calibri"/>
                <w:spacing w:val="-1"/>
                <w:sz w:val="20"/>
                <w:lang w:val="en-US"/>
              </w:rPr>
              <w:t>SSW</w:t>
            </w:r>
          </w:p>
        </w:tc>
        <w:tc>
          <w:tcPr>
            <w:tcW w:w="1546" w:type="dxa"/>
            <w:tcBorders>
              <w:top w:val="single" w:sz="5" w:space="0" w:color="000000"/>
              <w:left w:val="single" w:sz="5" w:space="0" w:color="000000"/>
              <w:bottom w:val="single" w:sz="5" w:space="0" w:color="000000"/>
              <w:right w:val="single" w:sz="5" w:space="0" w:color="000000"/>
            </w:tcBorders>
          </w:tcPr>
          <w:p w14:paraId="2A730DE1"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1AE83C7E" w14:textId="77777777" w:rsidR="0031675F" w:rsidRPr="0031675F" w:rsidRDefault="0031675F" w:rsidP="0031675F"/>
        </w:tc>
      </w:tr>
      <w:tr w:rsidR="0031675F" w:rsidRPr="0031675F" w14:paraId="5833EBF5"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01FC9BA3"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w w:val="95"/>
                <w:sz w:val="20"/>
                <w:lang w:val="en-US"/>
              </w:rPr>
              <w:t>3</w:t>
            </w:r>
          </w:p>
        </w:tc>
        <w:tc>
          <w:tcPr>
            <w:tcW w:w="2055" w:type="dxa"/>
            <w:tcBorders>
              <w:top w:val="single" w:sz="5" w:space="0" w:color="000000"/>
              <w:left w:val="single" w:sz="5" w:space="0" w:color="000000"/>
              <w:bottom w:val="single" w:sz="5" w:space="0" w:color="000000"/>
              <w:right w:val="single" w:sz="5" w:space="0" w:color="000000"/>
            </w:tcBorders>
          </w:tcPr>
          <w:p w14:paraId="52EB6A5F"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2C5C9429"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76ACA49C" w14:textId="77777777" w:rsidR="0031675F" w:rsidRPr="0031675F" w:rsidRDefault="0031675F" w:rsidP="0031675F"/>
        </w:tc>
      </w:tr>
      <w:tr w:rsidR="0031675F" w:rsidRPr="0031675F" w14:paraId="56010E83"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5AEFF66F"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w w:val="95"/>
                <w:sz w:val="20"/>
                <w:lang w:val="en-US"/>
              </w:rPr>
              <w:t>4</w:t>
            </w:r>
          </w:p>
        </w:tc>
        <w:tc>
          <w:tcPr>
            <w:tcW w:w="2055" w:type="dxa"/>
            <w:tcBorders>
              <w:top w:val="single" w:sz="5" w:space="0" w:color="000000"/>
              <w:left w:val="single" w:sz="5" w:space="0" w:color="000000"/>
              <w:bottom w:val="single" w:sz="5" w:space="0" w:color="000000"/>
              <w:right w:val="single" w:sz="5" w:space="0" w:color="000000"/>
            </w:tcBorders>
          </w:tcPr>
          <w:p w14:paraId="42CDF7C3"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72A6BBD8"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01813CAB" w14:textId="77777777" w:rsidR="0031675F" w:rsidRPr="0031675F" w:rsidRDefault="0031675F" w:rsidP="0031675F"/>
        </w:tc>
      </w:tr>
      <w:tr w:rsidR="0031675F" w:rsidRPr="0031675F" w14:paraId="21DA2628"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01969FBF"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w w:val="95"/>
                <w:sz w:val="20"/>
                <w:lang w:val="en-US"/>
              </w:rPr>
              <w:t>5</w:t>
            </w:r>
          </w:p>
        </w:tc>
        <w:tc>
          <w:tcPr>
            <w:tcW w:w="2055" w:type="dxa"/>
            <w:tcBorders>
              <w:top w:val="single" w:sz="5" w:space="0" w:color="000000"/>
              <w:left w:val="single" w:sz="5" w:space="0" w:color="000000"/>
              <w:bottom w:val="single" w:sz="5" w:space="0" w:color="000000"/>
              <w:right w:val="single" w:sz="5" w:space="0" w:color="000000"/>
            </w:tcBorders>
          </w:tcPr>
          <w:p w14:paraId="0A7B0D66"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2DBDBF93"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636B2E40" w14:textId="77777777" w:rsidR="0031675F" w:rsidRPr="0031675F" w:rsidRDefault="0031675F" w:rsidP="0031675F"/>
        </w:tc>
      </w:tr>
      <w:tr w:rsidR="0031675F" w:rsidRPr="0031675F" w14:paraId="4BFB30A7" w14:textId="77777777" w:rsidTr="00B00729">
        <w:trPr>
          <w:trHeight w:hRule="exact" w:val="375"/>
        </w:trPr>
        <w:tc>
          <w:tcPr>
            <w:tcW w:w="1130" w:type="dxa"/>
            <w:tcBorders>
              <w:top w:val="single" w:sz="5" w:space="0" w:color="000000"/>
              <w:left w:val="single" w:sz="5" w:space="0" w:color="000000"/>
              <w:bottom w:val="single" w:sz="5" w:space="0" w:color="000000"/>
              <w:right w:val="single" w:sz="5" w:space="0" w:color="000000"/>
            </w:tcBorders>
          </w:tcPr>
          <w:p w14:paraId="48F680AE"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w w:val="95"/>
                <w:sz w:val="20"/>
                <w:lang w:val="en-US"/>
              </w:rPr>
              <w:t>6</w:t>
            </w:r>
          </w:p>
        </w:tc>
        <w:tc>
          <w:tcPr>
            <w:tcW w:w="2055" w:type="dxa"/>
            <w:tcBorders>
              <w:top w:val="single" w:sz="5" w:space="0" w:color="000000"/>
              <w:left w:val="single" w:sz="5" w:space="0" w:color="000000"/>
              <w:bottom w:val="single" w:sz="5" w:space="0" w:color="000000"/>
              <w:right w:val="single" w:sz="5" w:space="0" w:color="000000"/>
            </w:tcBorders>
          </w:tcPr>
          <w:p w14:paraId="33B37D3C"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07D84177"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0E541D78" w14:textId="77777777" w:rsidR="0031675F" w:rsidRPr="0031675F" w:rsidRDefault="0031675F" w:rsidP="0031675F"/>
        </w:tc>
      </w:tr>
      <w:tr w:rsidR="0031675F" w:rsidRPr="0031675F" w14:paraId="3D59152D"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7E864903"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w w:val="95"/>
                <w:sz w:val="20"/>
                <w:lang w:val="en-US"/>
              </w:rPr>
              <w:t>7</w:t>
            </w:r>
          </w:p>
        </w:tc>
        <w:tc>
          <w:tcPr>
            <w:tcW w:w="2055" w:type="dxa"/>
            <w:tcBorders>
              <w:top w:val="single" w:sz="5" w:space="0" w:color="000000"/>
              <w:left w:val="single" w:sz="5" w:space="0" w:color="000000"/>
              <w:bottom w:val="single" w:sz="5" w:space="0" w:color="000000"/>
              <w:right w:val="single" w:sz="5" w:space="0" w:color="000000"/>
            </w:tcBorders>
          </w:tcPr>
          <w:p w14:paraId="00ABE9D6"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5E366007"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670EC99A" w14:textId="77777777" w:rsidR="0031675F" w:rsidRPr="0031675F" w:rsidRDefault="0031675F" w:rsidP="0031675F"/>
        </w:tc>
      </w:tr>
      <w:tr w:rsidR="0031675F" w:rsidRPr="0031675F" w14:paraId="57FB2B16"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1D8E3F55"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w w:val="95"/>
                <w:sz w:val="20"/>
                <w:lang w:val="en-US"/>
              </w:rPr>
              <w:t>8</w:t>
            </w:r>
          </w:p>
        </w:tc>
        <w:tc>
          <w:tcPr>
            <w:tcW w:w="2055" w:type="dxa"/>
            <w:tcBorders>
              <w:top w:val="single" w:sz="5" w:space="0" w:color="000000"/>
              <w:left w:val="single" w:sz="5" w:space="0" w:color="000000"/>
              <w:bottom w:val="single" w:sz="5" w:space="0" w:color="000000"/>
              <w:right w:val="single" w:sz="5" w:space="0" w:color="000000"/>
            </w:tcBorders>
          </w:tcPr>
          <w:p w14:paraId="75206D80"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7815CE98"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77A38A3D" w14:textId="77777777" w:rsidR="0031675F" w:rsidRPr="0031675F" w:rsidRDefault="0031675F" w:rsidP="0031675F"/>
        </w:tc>
      </w:tr>
      <w:tr w:rsidR="0031675F" w:rsidRPr="0031675F" w14:paraId="5E1AFA79"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59B0DE9B"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w w:val="95"/>
                <w:sz w:val="20"/>
                <w:lang w:val="en-US"/>
              </w:rPr>
              <w:t>9</w:t>
            </w:r>
          </w:p>
        </w:tc>
        <w:tc>
          <w:tcPr>
            <w:tcW w:w="2055" w:type="dxa"/>
            <w:tcBorders>
              <w:top w:val="single" w:sz="5" w:space="0" w:color="000000"/>
              <w:left w:val="single" w:sz="5" w:space="0" w:color="000000"/>
              <w:bottom w:val="single" w:sz="5" w:space="0" w:color="000000"/>
              <w:right w:val="single" w:sz="5" w:space="0" w:color="000000"/>
            </w:tcBorders>
          </w:tcPr>
          <w:p w14:paraId="7158C48F"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7579A37F"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56824196" w14:textId="77777777" w:rsidR="0031675F" w:rsidRPr="0031675F" w:rsidRDefault="0031675F" w:rsidP="0031675F"/>
        </w:tc>
      </w:tr>
      <w:tr w:rsidR="0031675F" w:rsidRPr="0031675F" w14:paraId="6309AF48" w14:textId="77777777" w:rsidTr="00B00729">
        <w:trPr>
          <w:trHeight w:hRule="exact" w:val="372"/>
        </w:trPr>
        <w:tc>
          <w:tcPr>
            <w:tcW w:w="1130" w:type="dxa"/>
            <w:tcBorders>
              <w:top w:val="single" w:sz="5" w:space="0" w:color="000000"/>
              <w:left w:val="single" w:sz="5" w:space="0" w:color="000000"/>
              <w:bottom w:val="single" w:sz="5" w:space="0" w:color="000000"/>
              <w:right w:val="single" w:sz="5" w:space="0" w:color="000000"/>
            </w:tcBorders>
          </w:tcPr>
          <w:p w14:paraId="4C07CBC6"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spacing w:val="-1"/>
                <w:w w:val="95"/>
                <w:sz w:val="20"/>
                <w:lang w:val="en-US"/>
              </w:rPr>
              <w:t>10</w:t>
            </w:r>
          </w:p>
        </w:tc>
        <w:tc>
          <w:tcPr>
            <w:tcW w:w="2055" w:type="dxa"/>
            <w:tcBorders>
              <w:top w:val="single" w:sz="5" w:space="0" w:color="000000"/>
              <w:left w:val="single" w:sz="5" w:space="0" w:color="000000"/>
              <w:bottom w:val="single" w:sz="5" w:space="0" w:color="000000"/>
              <w:right w:val="single" w:sz="5" w:space="0" w:color="000000"/>
            </w:tcBorders>
          </w:tcPr>
          <w:p w14:paraId="62214045"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30AB9300"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41332B1C" w14:textId="77777777" w:rsidR="0031675F" w:rsidRPr="0031675F" w:rsidRDefault="0031675F" w:rsidP="0031675F"/>
        </w:tc>
      </w:tr>
      <w:tr w:rsidR="0031675F" w:rsidRPr="0031675F" w14:paraId="44B74052"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05963C65" w14:textId="77777777" w:rsidR="0031675F" w:rsidRPr="0031675F" w:rsidRDefault="0031675F" w:rsidP="0031675F">
            <w:pPr>
              <w:widowControl w:val="0"/>
              <w:spacing w:before="60" w:after="0" w:line="240" w:lineRule="auto"/>
              <w:ind w:right="100"/>
              <w:jc w:val="right"/>
              <w:rPr>
                <w:rFonts w:ascii="Calibri" w:eastAsia="Calibri" w:hAnsi="Calibri" w:cs="Calibri"/>
                <w:sz w:val="20"/>
                <w:szCs w:val="20"/>
                <w:lang w:val="en-US"/>
              </w:rPr>
            </w:pPr>
            <w:r w:rsidRPr="0031675F">
              <w:rPr>
                <w:rFonts w:ascii="Calibri" w:eastAsia="Calibri" w:hAnsi="Calibri"/>
                <w:spacing w:val="-1"/>
                <w:w w:val="95"/>
                <w:sz w:val="20"/>
                <w:lang w:val="en-US"/>
              </w:rPr>
              <w:t>11</w:t>
            </w:r>
          </w:p>
        </w:tc>
        <w:tc>
          <w:tcPr>
            <w:tcW w:w="2055" w:type="dxa"/>
            <w:tcBorders>
              <w:top w:val="single" w:sz="5" w:space="0" w:color="000000"/>
              <w:left w:val="single" w:sz="5" w:space="0" w:color="000000"/>
              <w:bottom w:val="single" w:sz="5" w:space="0" w:color="000000"/>
              <w:right w:val="single" w:sz="5" w:space="0" w:color="000000"/>
            </w:tcBorders>
          </w:tcPr>
          <w:p w14:paraId="6F979CFF"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266EC638"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02B71542" w14:textId="77777777" w:rsidR="0031675F" w:rsidRPr="0031675F" w:rsidRDefault="0031675F" w:rsidP="0031675F"/>
        </w:tc>
      </w:tr>
      <w:tr w:rsidR="0031675F" w:rsidRPr="0031675F" w14:paraId="01BE07D3"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452B5E3C" w14:textId="77777777" w:rsidR="0031675F" w:rsidRPr="0031675F" w:rsidRDefault="0031675F" w:rsidP="0031675F">
            <w:pPr>
              <w:widowControl w:val="0"/>
              <w:spacing w:before="60" w:after="0" w:line="240" w:lineRule="auto"/>
              <w:ind w:right="100"/>
              <w:jc w:val="right"/>
              <w:rPr>
                <w:rFonts w:ascii="Calibri" w:eastAsia="Calibri" w:hAnsi="Calibri" w:cs="Calibri"/>
                <w:sz w:val="20"/>
                <w:szCs w:val="20"/>
                <w:lang w:val="en-US"/>
              </w:rPr>
            </w:pPr>
            <w:r w:rsidRPr="0031675F">
              <w:rPr>
                <w:rFonts w:ascii="Calibri" w:eastAsia="Calibri" w:hAnsi="Calibri"/>
                <w:spacing w:val="-1"/>
                <w:w w:val="95"/>
                <w:sz w:val="20"/>
                <w:lang w:val="en-US"/>
              </w:rPr>
              <w:t>12</w:t>
            </w:r>
          </w:p>
        </w:tc>
        <w:tc>
          <w:tcPr>
            <w:tcW w:w="2055" w:type="dxa"/>
            <w:tcBorders>
              <w:top w:val="single" w:sz="5" w:space="0" w:color="000000"/>
              <w:left w:val="single" w:sz="5" w:space="0" w:color="000000"/>
              <w:bottom w:val="single" w:sz="5" w:space="0" w:color="000000"/>
              <w:right w:val="single" w:sz="5" w:space="0" w:color="000000"/>
            </w:tcBorders>
          </w:tcPr>
          <w:p w14:paraId="2BCB097A"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27375374"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10896395" w14:textId="77777777" w:rsidR="0031675F" w:rsidRPr="0031675F" w:rsidRDefault="0031675F" w:rsidP="0031675F"/>
        </w:tc>
      </w:tr>
      <w:tr w:rsidR="0031675F" w:rsidRPr="0031675F" w14:paraId="5F70EA30"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723EE212"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spacing w:val="-1"/>
                <w:w w:val="95"/>
                <w:sz w:val="20"/>
                <w:lang w:val="en-US"/>
              </w:rPr>
              <w:t>13</w:t>
            </w:r>
          </w:p>
        </w:tc>
        <w:tc>
          <w:tcPr>
            <w:tcW w:w="2055" w:type="dxa"/>
            <w:tcBorders>
              <w:top w:val="single" w:sz="5" w:space="0" w:color="000000"/>
              <w:left w:val="single" w:sz="5" w:space="0" w:color="000000"/>
              <w:bottom w:val="single" w:sz="5" w:space="0" w:color="000000"/>
              <w:right w:val="single" w:sz="5" w:space="0" w:color="000000"/>
            </w:tcBorders>
          </w:tcPr>
          <w:p w14:paraId="7173C420"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0137ECA6"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597E5ADE" w14:textId="77777777" w:rsidR="0031675F" w:rsidRPr="0031675F" w:rsidRDefault="0031675F" w:rsidP="0031675F"/>
        </w:tc>
      </w:tr>
      <w:tr w:rsidR="0031675F" w:rsidRPr="0031675F" w14:paraId="7B032117"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09D51C31"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spacing w:val="-1"/>
                <w:w w:val="95"/>
                <w:sz w:val="20"/>
                <w:lang w:val="en-US"/>
              </w:rPr>
              <w:t>14</w:t>
            </w:r>
          </w:p>
        </w:tc>
        <w:tc>
          <w:tcPr>
            <w:tcW w:w="2055" w:type="dxa"/>
            <w:tcBorders>
              <w:top w:val="single" w:sz="5" w:space="0" w:color="000000"/>
              <w:left w:val="single" w:sz="5" w:space="0" w:color="000000"/>
              <w:bottom w:val="single" w:sz="5" w:space="0" w:color="000000"/>
              <w:right w:val="single" w:sz="5" w:space="0" w:color="000000"/>
            </w:tcBorders>
          </w:tcPr>
          <w:p w14:paraId="4FA734BA"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5C9EB4DC"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4F8D4E56" w14:textId="77777777" w:rsidR="0031675F" w:rsidRPr="0031675F" w:rsidRDefault="0031675F" w:rsidP="0031675F"/>
        </w:tc>
      </w:tr>
      <w:tr w:rsidR="0031675F" w:rsidRPr="0031675F" w14:paraId="347D3B27"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4219661E"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spacing w:val="-1"/>
                <w:w w:val="95"/>
                <w:sz w:val="20"/>
                <w:lang w:val="en-US"/>
              </w:rPr>
              <w:t>15</w:t>
            </w:r>
          </w:p>
        </w:tc>
        <w:tc>
          <w:tcPr>
            <w:tcW w:w="2055" w:type="dxa"/>
            <w:tcBorders>
              <w:top w:val="single" w:sz="5" w:space="0" w:color="000000"/>
              <w:left w:val="single" w:sz="5" w:space="0" w:color="000000"/>
              <w:bottom w:val="single" w:sz="5" w:space="0" w:color="000000"/>
              <w:right w:val="single" w:sz="5" w:space="0" w:color="000000"/>
            </w:tcBorders>
          </w:tcPr>
          <w:p w14:paraId="636F62FD"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433578CC"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756811BB" w14:textId="77777777" w:rsidR="0031675F" w:rsidRPr="0031675F" w:rsidRDefault="0031675F" w:rsidP="0031675F"/>
        </w:tc>
      </w:tr>
      <w:tr w:rsidR="0031675F" w:rsidRPr="0031675F" w14:paraId="5B9BA622" w14:textId="77777777" w:rsidTr="00B00729">
        <w:trPr>
          <w:trHeight w:hRule="exact" w:val="375"/>
        </w:trPr>
        <w:tc>
          <w:tcPr>
            <w:tcW w:w="1130" w:type="dxa"/>
            <w:tcBorders>
              <w:top w:val="single" w:sz="5" w:space="0" w:color="000000"/>
              <w:left w:val="single" w:sz="5" w:space="0" w:color="000000"/>
              <w:bottom w:val="single" w:sz="5" w:space="0" w:color="000000"/>
              <w:right w:val="single" w:sz="5" w:space="0" w:color="000000"/>
            </w:tcBorders>
          </w:tcPr>
          <w:p w14:paraId="435329B3"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spacing w:val="-1"/>
                <w:w w:val="95"/>
                <w:sz w:val="20"/>
                <w:lang w:val="en-US"/>
              </w:rPr>
              <w:t>16</w:t>
            </w:r>
          </w:p>
        </w:tc>
        <w:tc>
          <w:tcPr>
            <w:tcW w:w="2055" w:type="dxa"/>
            <w:tcBorders>
              <w:top w:val="single" w:sz="5" w:space="0" w:color="000000"/>
              <w:left w:val="single" w:sz="5" w:space="0" w:color="000000"/>
              <w:bottom w:val="single" w:sz="5" w:space="0" w:color="000000"/>
              <w:right w:val="single" w:sz="5" w:space="0" w:color="000000"/>
            </w:tcBorders>
          </w:tcPr>
          <w:p w14:paraId="68738C65"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33DDECC3"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63D0C829" w14:textId="77777777" w:rsidR="0031675F" w:rsidRPr="0031675F" w:rsidRDefault="0031675F" w:rsidP="0031675F"/>
        </w:tc>
      </w:tr>
      <w:tr w:rsidR="0031675F" w:rsidRPr="0031675F" w14:paraId="35C3B3B1"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7D414D00"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spacing w:val="-1"/>
                <w:w w:val="95"/>
                <w:sz w:val="20"/>
                <w:lang w:val="en-US"/>
              </w:rPr>
              <w:t>17</w:t>
            </w:r>
          </w:p>
        </w:tc>
        <w:tc>
          <w:tcPr>
            <w:tcW w:w="2055" w:type="dxa"/>
            <w:tcBorders>
              <w:top w:val="single" w:sz="5" w:space="0" w:color="000000"/>
              <w:left w:val="single" w:sz="5" w:space="0" w:color="000000"/>
              <w:bottom w:val="single" w:sz="5" w:space="0" w:color="000000"/>
              <w:right w:val="single" w:sz="5" w:space="0" w:color="000000"/>
            </w:tcBorders>
          </w:tcPr>
          <w:p w14:paraId="4D33F35C"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5D0BDBB9"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2AF9371A" w14:textId="77777777" w:rsidR="0031675F" w:rsidRPr="0031675F" w:rsidRDefault="0031675F" w:rsidP="0031675F"/>
        </w:tc>
      </w:tr>
      <w:tr w:rsidR="0031675F" w:rsidRPr="0031675F" w14:paraId="23D406D2" w14:textId="77777777" w:rsidTr="00B00729">
        <w:trPr>
          <w:trHeight w:hRule="exact" w:val="374"/>
        </w:trPr>
        <w:tc>
          <w:tcPr>
            <w:tcW w:w="1130" w:type="dxa"/>
            <w:tcBorders>
              <w:top w:val="single" w:sz="5" w:space="0" w:color="000000"/>
              <w:left w:val="single" w:sz="5" w:space="0" w:color="000000"/>
              <w:bottom w:val="single" w:sz="5" w:space="0" w:color="000000"/>
              <w:right w:val="single" w:sz="5" w:space="0" w:color="000000"/>
            </w:tcBorders>
          </w:tcPr>
          <w:p w14:paraId="2FD15F93"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spacing w:val="-1"/>
                <w:w w:val="95"/>
                <w:sz w:val="20"/>
                <w:lang w:val="en-US"/>
              </w:rPr>
              <w:t>18</w:t>
            </w:r>
          </w:p>
        </w:tc>
        <w:tc>
          <w:tcPr>
            <w:tcW w:w="2055" w:type="dxa"/>
            <w:tcBorders>
              <w:top w:val="single" w:sz="5" w:space="0" w:color="000000"/>
              <w:left w:val="single" w:sz="5" w:space="0" w:color="000000"/>
              <w:bottom w:val="single" w:sz="5" w:space="0" w:color="000000"/>
              <w:right w:val="single" w:sz="5" w:space="0" w:color="000000"/>
            </w:tcBorders>
          </w:tcPr>
          <w:p w14:paraId="0E4C4ED1" w14:textId="77777777" w:rsidR="0031675F" w:rsidRPr="0031675F" w:rsidRDefault="0031675F" w:rsidP="0031675F"/>
        </w:tc>
        <w:tc>
          <w:tcPr>
            <w:tcW w:w="1546" w:type="dxa"/>
            <w:tcBorders>
              <w:top w:val="single" w:sz="5" w:space="0" w:color="000000"/>
              <w:left w:val="single" w:sz="5" w:space="0" w:color="000000"/>
              <w:bottom w:val="single" w:sz="5" w:space="0" w:color="000000"/>
              <w:right w:val="single" w:sz="5" w:space="0" w:color="000000"/>
            </w:tcBorders>
          </w:tcPr>
          <w:p w14:paraId="2078552F"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4368BAD3" w14:textId="77777777" w:rsidR="0031675F" w:rsidRPr="0031675F" w:rsidRDefault="0031675F" w:rsidP="0031675F"/>
        </w:tc>
      </w:tr>
      <w:tr w:rsidR="0031675F" w:rsidRPr="0031675F" w14:paraId="046F653E" w14:textId="77777777" w:rsidTr="00B00729">
        <w:trPr>
          <w:trHeight w:hRule="exact" w:val="372"/>
        </w:trPr>
        <w:tc>
          <w:tcPr>
            <w:tcW w:w="1130" w:type="dxa"/>
            <w:tcBorders>
              <w:top w:val="single" w:sz="5" w:space="0" w:color="000000"/>
              <w:left w:val="single" w:sz="5" w:space="0" w:color="000000"/>
              <w:bottom w:val="single" w:sz="5" w:space="0" w:color="000000"/>
              <w:right w:val="single" w:sz="5" w:space="0" w:color="000000"/>
            </w:tcBorders>
          </w:tcPr>
          <w:p w14:paraId="18167BC9" w14:textId="77777777" w:rsidR="0031675F" w:rsidRPr="0031675F" w:rsidRDefault="0031675F" w:rsidP="0031675F">
            <w:pPr>
              <w:widowControl w:val="0"/>
              <w:spacing w:before="58" w:after="0" w:line="240" w:lineRule="auto"/>
              <w:ind w:right="100"/>
              <w:jc w:val="right"/>
              <w:rPr>
                <w:rFonts w:ascii="Calibri" w:eastAsia="Calibri" w:hAnsi="Calibri" w:cs="Calibri"/>
                <w:sz w:val="20"/>
                <w:szCs w:val="20"/>
                <w:lang w:val="en-US"/>
              </w:rPr>
            </w:pPr>
            <w:r w:rsidRPr="0031675F">
              <w:rPr>
                <w:rFonts w:ascii="Calibri" w:eastAsia="Calibri" w:hAnsi="Calibri"/>
                <w:spacing w:val="-1"/>
                <w:w w:val="95"/>
                <w:sz w:val="20"/>
                <w:lang w:val="en-US"/>
              </w:rPr>
              <w:t>19</w:t>
            </w:r>
          </w:p>
        </w:tc>
        <w:tc>
          <w:tcPr>
            <w:tcW w:w="2055" w:type="dxa"/>
            <w:tcBorders>
              <w:top w:val="single" w:sz="5" w:space="0" w:color="000000"/>
              <w:left w:val="single" w:sz="5" w:space="0" w:color="000000"/>
              <w:bottom w:val="single" w:sz="5" w:space="0" w:color="000000"/>
              <w:right w:val="single" w:sz="5" w:space="0" w:color="000000"/>
            </w:tcBorders>
          </w:tcPr>
          <w:p w14:paraId="31978B2A" w14:textId="77777777" w:rsidR="0031675F" w:rsidRPr="0031675F" w:rsidRDefault="0031675F" w:rsidP="0031675F">
            <w:pPr>
              <w:widowControl w:val="0"/>
              <w:spacing w:before="58" w:after="0" w:line="240" w:lineRule="auto"/>
              <w:ind w:left="102"/>
              <w:rPr>
                <w:rFonts w:ascii="Calibri" w:eastAsia="Calibri" w:hAnsi="Calibri" w:cs="Calibri"/>
                <w:sz w:val="20"/>
                <w:szCs w:val="20"/>
                <w:lang w:val="en-US"/>
              </w:rPr>
            </w:pPr>
            <w:r w:rsidRPr="0031675F">
              <w:rPr>
                <w:rFonts w:ascii="Calibri" w:eastAsia="Calibri" w:hAnsi="Calibri"/>
                <w:spacing w:val="-1"/>
                <w:sz w:val="20"/>
                <w:lang w:val="en-US"/>
              </w:rPr>
              <w:t>Sub</w:t>
            </w:r>
            <w:r w:rsidRPr="0031675F">
              <w:rPr>
                <w:rFonts w:ascii="Calibri" w:eastAsia="Calibri" w:hAnsi="Calibri"/>
                <w:spacing w:val="-7"/>
                <w:sz w:val="20"/>
                <w:lang w:val="en-US"/>
              </w:rPr>
              <w:t xml:space="preserve"> </w:t>
            </w:r>
            <w:r w:rsidRPr="0031675F">
              <w:rPr>
                <w:rFonts w:ascii="Calibri" w:eastAsia="Calibri" w:hAnsi="Calibri"/>
                <w:spacing w:val="-1"/>
                <w:sz w:val="20"/>
                <w:lang w:val="en-US"/>
              </w:rPr>
              <w:t>SSW</w:t>
            </w:r>
          </w:p>
        </w:tc>
        <w:tc>
          <w:tcPr>
            <w:tcW w:w="1546" w:type="dxa"/>
            <w:tcBorders>
              <w:top w:val="single" w:sz="5" w:space="0" w:color="000000"/>
              <w:left w:val="single" w:sz="5" w:space="0" w:color="000000"/>
              <w:bottom w:val="single" w:sz="5" w:space="0" w:color="000000"/>
              <w:right w:val="single" w:sz="5" w:space="0" w:color="000000"/>
            </w:tcBorders>
          </w:tcPr>
          <w:p w14:paraId="1DC28621"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4AA0587C" w14:textId="77777777" w:rsidR="0031675F" w:rsidRPr="0031675F" w:rsidRDefault="0031675F" w:rsidP="0031675F"/>
        </w:tc>
      </w:tr>
      <w:tr w:rsidR="0031675F" w:rsidRPr="0031675F" w14:paraId="208D2938" w14:textId="77777777" w:rsidTr="00B00729">
        <w:trPr>
          <w:trHeight w:hRule="exact" w:val="377"/>
        </w:trPr>
        <w:tc>
          <w:tcPr>
            <w:tcW w:w="1130" w:type="dxa"/>
            <w:tcBorders>
              <w:top w:val="single" w:sz="5" w:space="0" w:color="000000"/>
              <w:left w:val="single" w:sz="5" w:space="0" w:color="000000"/>
              <w:bottom w:val="single" w:sz="5" w:space="0" w:color="000000"/>
              <w:right w:val="single" w:sz="5" w:space="0" w:color="000000"/>
            </w:tcBorders>
          </w:tcPr>
          <w:p w14:paraId="408BA6FB" w14:textId="77777777" w:rsidR="0031675F" w:rsidRPr="0031675F" w:rsidRDefault="0031675F" w:rsidP="0031675F">
            <w:pPr>
              <w:widowControl w:val="0"/>
              <w:spacing w:before="60" w:after="0" w:line="240" w:lineRule="auto"/>
              <w:ind w:right="100"/>
              <w:jc w:val="right"/>
              <w:rPr>
                <w:rFonts w:ascii="Calibri" w:eastAsia="Calibri" w:hAnsi="Calibri" w:cs="Calibri"/>
                <w:sz w:val="20"/>
                <w:szCs w:val="20"/>
                <w:lang w:val="en-US"/>
              </w:rPr>
            </w:pPr>
            <w:r w:rsidRPr="0031675F">
              <w:rPr>
                <w:rFonts w:ascii="Calibri" w:eastAsia="Calibri" w:hAnsi="Calibri"/>
                <w:spacing w:val="-1"/>
                <w:w w:val="95"/>
                <w:sz w:val="20"/>
                <w:lang w:val="en-US"/>
              </w:rPr>
              <w:t>20</w:t>
            </w:r>
          </w:p>
        </w:tc>
        <w:tc>
          <w:tcPr>
            <w:tcW w:w="2055" w:type="dxa"/>
            <w:tcBorders>
              <w:top w:val="single" w:sz="5" w:space="0" w:color="000000"/>
              <w:left w:val="single" w:sz="5" w:space="0" w:color="000000"/>
              <w:bottom w:val="single" w:sz="5" w:space="0" w:color="000000"/>
              <w:right w:val="single" w:sz="5" w:space="0" w:color="000000"/>
            </w:tcBorders>
          </w:tcPr>
          <w:p w14:paraId="4891D282" w14:textId="77777777" w:rsidR="0031675F" w:rsidRPr="0031675F" w:rsidRDefault="0031675F" w:rsidP="0031675F">
            <w:pPr>
              <w:widowControl w:val="0"/>
              <w:spacing w:before="60" w:after="0" w:line="240" w:lineRule="auto"/>
              <w:ind w:left="102"/>
              <w:rPr>
                <w:rFonts w:ascii="Calibri" w:eastAsia="Calibri" w:hAnsi="Calibri" w:cs="Calibri"/>
                <w:sz w:val="20"/>
                <w:szCs w:val="20"/>
                <w:lang w:val="en-US"/>
              </w:rPr>
            </w:pPr>
            <w:r w:rsidRPr="0031675F">
              <w:rPr>
                <w:rFonts w:ascii="Calibri" w:eastAsia="Calibri" w:hAnsi="Calibri"/>
                <w:spacing w:val="-1"/>
                <w:sz w:val="20"/>
                <w:lang w:val="en-US"/>
              </w:rPr>
              <w:t>SSW</w:t>
            </w:r>
          </w:p>
        </w:tc>
        <w:tc>
          <w:tcPr>
            <w:tcW w:w="1546" w:type="dxa"/>
            <w:tcBorders>
              <w:top w:val="single" w:sz="5" w:space="0" w:color="000000"/>
              <w:left w:val="single" w:sz="5" w:space="0" w:color="000000"/>
              <w:bottom w:val="single" w:sz="5" w:space="0" w:color="000000"/>
              <w:right w:val="single" w:sz="5" w:space="0" w:color="000000"/>
            </w:tcBorders>
          </w:tcPr>
          <w:p w14:paraId="1D45B193" w14:textId="77777777" w:rsidR="0031675F" w:rsidRPr="0031675F" w:rsidRDefault="0031675F" w:rsidP="0031675F"/>
        </w:tc>
        <w:tc>
          <w:tcPr>
            <w:tcW w:w="2487" w:type="dxa"/>
            <w:tcBorders>
              <w:top w:val="single" w:sz="5" w:space="0" w:color="000000"/>
              <w:left w:val="single" w:sz="5" w:space="0" w:color="000000"/>
              <w:bottom w:val="single" w:sz="5" w:space="0" w:color="000000"/>
              <w:right w:val="single" w:sz="5" w:space="0" w:color="000000"/>
            </w:tcBorders>
          </w:tcPr>
          <w:p w14:paraId="15BA20E8" w14:textId="77777777" w:rsidR="0031675F" w:rsidRPr="0031675F" w:rsidRDefault="0031675F" w:rsidP="0031675F"/>
        </w:tc>
      </w:tr>
    </w:tbl>
    <w:p w14:paraId="62730104" w14:textId="77777777" w:rsidR="0031675F" w:rsidRPr="0031675F" w:rsidRDefault="0031675F" w:rsidP="0031675F">
      <w:pPr>
        <w:rPr>
          <w:rFonts w:eastAsia="Arial" w:cs="Arial"/>
          <w:b/>
          <w:bCs/>
          <w:sz w:val="20"/>
          <w:szCs w:val="20"/>
        </w:rPr>
      </w:pPr>
      <w:r w:rsidRPr="0031675F">
        <w:rPr>
          <w:rFonts w:eastAsia="Arial" w:cs="Arial"/>
          <w:b/>
          <w:bCs/>
          <w:sz w:val="20"/>
          <w:szCs w:val="20"/>
        </w:rPr>
        <w:br w:type="page"/>
      </w:r>
    </w:p>
    <w:p w14:paraId="70FACEB7" w14:textId="77777777" w:rsidR="0031675F" w:rsidRPr="0031675F" w:rsidRDefault="0031675F" w:rsidP="0031675F">
      <w:pPr>
        <w:rPr>
          <w:rFonts w:eastAsia="Arial" w:cs="Arial"/>
          <w:b/>
          <w:bCs/>
          <w:sz w:val="20"/>
          <w:szCs w:val="20"/>
        </w:rPr>
      </w:pPr>
    </w:p>
    <w:p w14:paraId="60D941A2" w14:textId="78C5933C" w:rsidR="0031675F" w:rsidRPr="0031675F" w:rsidRDefault="0031675F" w:rsidP="005A35E3">
      <w:pPr>
        <w:pStyle w:val="Heading2"/>
        <w:numPr>
          <w:ilvl w:val="0"/>
          <w:numId w:val="0"/>
        </w:numPr>
        <w:ind w:left="284"/>
      </w:pPr>
      <w:bookmarkStart w:id="593" w:name="_Toc423356989"/>
      <w:bookmarkStart w:id="594" w:name="_Toc523830547"/>
      <w:bookmarkStart w:id="595" w:name="_Toc523905133"/>
      <w:bookmarkStart w:id="596" w:name="_Toc523905375"/>
      <w:bookmarkStart w:id="597" w:name="_Toc534968686"/>
      <w:bookmarkStart w:id="598" w:name="_Toc12365630"/>
      <w:r w:rsidRPr="00FF3C2F">
        <w:t>Section A3: Automated analysis of dissolved nutrients in seawater</w:t>
      </w:r>
      <w:bookmarkEnd w:id="593"/>
      <w:bookmarkEnd w:id="594"/>
      <w:bookmarkEnd w:id="595"/>
      <w:bookmarkEnd w:id="596"/>
      <w:bookmarkEnd w:id="597"/>
      <w:bookmarkEnd w:id="598"/>
    </w:p>
    <w:p w14:paraId="09B7C723" w14:textId="77777777" w:rsidR="0031675F" w:rsidRPr="0031675F" w:rsidRDefault="0031675F" w:rsidP="0031675F">
      <w:pPr>
        <w:spacing w:before="8"/>
        <w:rPr>
          <w:rFonts w:eastAsia="Arial" w:cs="Arial"/>
          <w:b/>
          <w:bCs/>
          <w:sz w:val="20"/>
          <w:szCs w:val="20"/>
        </w:rPr>
      </w:pPr>
    </w:p>
    <w:p w14:paraId="6A5F30AD" w14:textId="77777777" w:rsidR="0031675F" w:rsidRPr="0031675F" w:rsidRDefault="0031675F" w:rsidP="0031675F">
      <w:pPr>
        <w:widowControl w:val="0"/>
        <w:numPr>
          <w:ilvl w:val="1"/>
          <w:numId w:val="128"/>
        </w:numPr>
        <w:tabs>
          <w:tab w:val="left" w:pos="706"/>
        </w:tabs>
        <w:spacing w:before="69" w:after="0" w:line="240" w:lineRule="auto"/>
        <w:jc w:val="both"/>
        <w:rPr>
          <w:rFonts w:eastAsia="Arial" w:cs="Arial"/>
          <w:sz w:val="24"/>
          <w:szCs w:val="24"/>
        </w:rPr>
      </w:pPr>
      <w:bookmarkStart w:id="599" w:name="_TOC_250081"/>
      <w:r w:rsidRPr="0031675F">
        <w:rPr>
          <w:b/>
          <w:spacing w:val="-1"/>
          <w:sz w:val="24"/>
        </w:rPr>
        <w:t>Objective</w:t>
      </w:r>
      <w:bookmarkEnd w:id="599"/>
    </w:p>
    <w:p w14:paraId="5768B19B" w14:textId="51DA736B" w:rsidR="0031675F" w:rsidRPr="0031675F" w:rsidRDefault="0031675F" w:rsidP="0057756F">
      <w:r w:rsidRPr="0031675F">
        <w:t>Analyses</w:t>
      </w:r>
      <w:r w:rsidRPr="0031675F">
        <w:rPr>
          <w:spacing w:val="4"/>
        </w:rPr>
        <w:t xml:space="preserve"> </w:t>
      </w:r>
      <w:r w:rsidRPr="0031675F">
        <w:t>of</w:t>
      </w:r>
      <w:r w:rsidRPr="0031675F">
        <w:rPr>
          <w:spacing w:val="5"/>
        </w:rPr>
        <w:t xml:space="preserve"> </w:t>
      </w:r>
      <w:r w:rsidRPr="0031675F">
        <w:t>concentrations</w:t>
      </w:r>
      <w:r w:rsidRPr="0031675F">
        <w:rPr>
          <w:spacing w:val="2"/>
        </w:rPr>
        <w:t xml:space="preserve"> </w:t>
      </w:r>
      <w:r w:rsidRPr="0031675F">
        <w:t>of</w:t>
      </w:r>
      <w:r w:rsidRPr="0031675F">
        <w:rPr>
          <w:spacing w:val="5"/>
        </w:rPr>
        <w:t xml:space="preserve"> </w:t>
      </w:r>
      <w:r w:rsidRPr="0031675F">
        <w:t>ammoni</w:t>
      </w:r>
      <w:r w:rsidR="00C3030C">
        <w:t>a</w:t>
      </w:r>
      <w:r w:rsidRPr="0031675F">
        <w:rPr>
          <w:spacing w:val="6"/>
        </w:rPr>
        <w:t xml:space="preserve"> </w:t>
      </w:r>
      <w:r w:rsidRPr="0031675F">
        <w:t>(NH</w:t>
      </w:r>
      <w:r w:rsidR="00C3030C">
        <w:rPr>
          <w:position w:val="-2"/>
          <w:vertAlign w:val="subscript"/>
        </w:rPr>
        <w:t>3</w:t>
      </w:r>
      <w:r w:rsidRPr="0031675F">
        <w:t>),</w:t>
      </w:r>
      <w:r w:rsidRPr="0031675F">
        <w:rPr>
          <w:spacing w:val="4"/>
        </w:rPr>
        <w:t xml:space="preserve"> </w:t>
      </w:r>
      <w:r w:rsidRPr="0031675F">
        <w:t>nitrite</w:t>
      </w:r>
      <w:r w:rsidRPr="0031675F">
        <w:rPr>
          <w:spacing w:val="4"/>
        </w:rPr>
        <w:t xml:space="preserve"> </w:t>
      </w:r>
      <w:r w:rsidRPr="0031675F">
        <w:t>(NO</w:t>
      </w:r>
      <w:r w:rsidRPr="0031675F">
        <w:rPr>
          <w:position w:val="-2"/>
          <w:vertAlign w:val="subscript"/>
        </w:rPr>
        <w:t>2</w:t>
      </w:r>
      <w:r w:rsidRPr="0031675F">
        <w:t>),</w:t>
      </w:r>
      <w:r w:rsidRPr="0031675F">
        <w:rPr>
          <w:spacing w:val="5"/>
        </w:rPr>
        <w:t xml:space="preserve"> </w:t>
      </w:r>
      <w:r w:rsidRPr="0031675F">
        <w:t>nitrate</w:t>
      </w:r>
      <w:r w:rsidRPr="0031675F">
        <w:rPr>
          <w:spacing w:val="4"/>
        </w:rPr>
        <w:t xml:space="preserve"> </w:t>
      </w:r>
      <w:r w:rsidRPr="0031675F">
        <w:t>(NO</w:t>
      </w:r>
      <w:r w:rsidRPr="0031675F">
        <w:rPr>
          <w:position w:val="-2"/>
          <w:vertAlign w:val="subscript"/>
        </w:rPr>
        <w:t>3</w:t>
      </w:r>
      <w:r w:rsidRPr="0031675F">
        <w:t>),</w:t>
      </w:r>
      <w:r w:rsidRPr="0031675F">
        <w:rPr>
          <w:spacing w:val="5"/>
        </w:rPr>
        <w:t xml:space="preserve"> </w:t>
      </w:r>
      <w:r w:rsidRPr="0031675F">
        <w:t>phosphate</w:t>
      </w:r>
      <w:r w:rsidRPr="0031675F">
        <w:rPr>
          <w:spacing w:val="4"/>
        </w:rPr>
        <w:t xml:space="preserve"> </w:t>
      </w:r>
      <w:r w:rsidRPr="0031675F">
        <w:t>(PO</w:t>
      </w:r>
      <w:r w:rsidRPr="0031675F">
        <w:rPr>
          <w:position w:val="-2"/>
          <w:vertAlign w:val="subscript"/>
        </w:rPr>
        <w:t>4</w:t>
      </w:r>
      <w:r w:rsidRPr="0031675F">
        <w:t>),</w:t>
      </w:r>
      <w:r w:rsidRPr="0031675F">
        <w:rPr>
          <w:spacing w:val="5"/>
        </w:rPr>
        <w:t xml:space="preserve"> </w:t>
      </w:r>
      <w:r w:rsidRPr="0031675F">
        <w:t>silicate</w:t>
      </w:r>
      <w:r w:rsidRPr="0031675F">
        <w:rPr>
          <w:spacing w:val="103"/>
        </w:rPr>
        <w:t xml:space="preserve"> </w:t>
      </w:r>
      <w:r w:rsidRPr="0031675F">
        <w:t>(Si(OH)</w:t>
      </w:r>
      <w:r w:rsidRPr="005678E9">
        <w:rPr>
          <w:position w:val="-2"/>
          <w:vertAlign w:val="subscript"/>
        </w:rPr>
        <w:t>4</w:t>
      </w:r>
      <w:r w:rsidRPr="0031675F">
        <w:t>), total dissolved nitrogen (TDN),</w:t>
      </w:r>
      <w:r w:rsidRPr="0031675F">
        <w:rPr>
          <w:spacing w:val="1"/>
        </w:rPr>
        <w:t xml:space="preserve"> </w:t>
      </w:r>
      <w:r w:rsidRPr="0031675F">
        <w:t>and total dissolved phosphorus (TDP) in</w:t>
      </w:r>
      <w:r w:rsidRPr="0031675F">
        <w:rPr>
          <w:spacing w:val="-4"/>
        </w:rPr>
        <w:t xml:space="preserve"> </w:t>
      </w:r>
      <w:r w:rsidRPr="0031675F">
        <w:t>water samples,</w:t>
      </w:r>
      <w:r w:rsidRPr="0031675F">
        <w:rPr>
          <w:spacing w:val="-2"/>
        </w:rPr>
        <w:t xml:space="preserve"> </w:t>
      </w:r>
      <w:r w:rsidRPr="0031675F">
        <w:t>with</w:t>
      </w:r>
      <w:r w:rsidRPr="0031675F">
        <w:rPr>
          <w:spacing w:val="59"/>
        </w:rPr>
        <w:t xml:space="preserve"> </w:t>
      </w:r>
      <w:r w:rsidRPr="0031675F">
        <w:t>a focus</w:t>
      </w:r>
      <w:r w:rsidRPr="0031675F">
        <w:rPr>
          <w:spacing w:val="-3"/>
        </w:rPr>
        <w:t xml:space="preserve"> </w:t>
      </w:r>
      <w:r w:rsidRPr="0031675F">
        <w:t>on detecting very low</w:t>
      </w:r>
      <w:r w:rsidRPr="0031675F">
        <w:rPr>
          <w:spacing w:val="-2"/>
        </w:rPr>
        <w:t xml:space="preserve"> </w:t>
      </w:r>
      <w:r w:rsidRPr="0031675F">
        <w:t>concentrations</w:t>
      </w:r>
      <w:r w:rsidRPr="0031675F">
        <w:rPr>
          <w:spacing w:val="-2"/>
        </w:rPr>
        <w:t xml:space="preserve"> </w:t>
      </w:r>
      <w:r w:rsidRPr="0031675F">
        <w:t>of nutrients (&lt;</w:t>
      </w:r>
      <w:r w:rsidRPr="0031675F">
        <w:rPr>
          <w:spacing w:val="-2"/>
        </w:rPr>
        <w:t xml:space="preserve"> </w:t>
      </w:r>
      <w:r w:rsidRPr="0031675F">
        <w:t>0.1</w:t>
      </w:r>
      <w:r w:rsidRPr="0031675F">
        <w:rPr>
          <w:spacing w:val="-2"/>
        </w:rPr>
        <w:t xml:space="preserve"> </w:t>
      </w:r>
      <w:r w:rsidRPr="0031675F">
        <w:t>µmol</w:t>
      </w:r>
      <w:r w:rsidR="00E817CB" w:rsidRPr="00E817CB">
        <w:t xml:space="preserve"> L</w:t>
      </w:r>
      <w:r w:rsidR="00E817CB" w:rsidRPr="00E817CB">
        <w:rPr>
          <w:vertAlign w:val="superscript"/>
        </w:rPr>
        <w:t>-1</w:t>
      </w:r>
      <w:r w:rsidRPr="0031675F">
        <w:t>)</w:t>
      </w:r>
      <w:r w:rsidRPr="0031675F">
        <w:rPr>
          <w:spacing w:val="-3"/>
        </w:rPr>
        <w:t xml:space="preserve"> </w:t>
      </w:r>
      <w:r w:rsidRPr="0031675F">
        <w:t>with</w:t>
      </w:r>
      <w:r w:rsidRPr="0031675F">
        <w:rPr>
          <w:spacing w:val="-3"/>
        </w:rPr>
        <w:t xml:space="preserve"> </w:t>
      </w:r>
      <w:r w:rsidRPr="0031675F">
        <w:t>a high</w:t>
      </w:r>
      <w:r w:rsidRPr="0031675F">
        <w:rPr>
          <w:spacing w:val="-3"/>
        </w:rPr>
        <w:t xml:space="preserve"> </w:t>
      </w:r>
      <w:r w:rsidRPr="0031675F">
        <w:t>levels</w:t>
      </w:r>
      <w:r w:rsidRPr="0031675F">
        <w:rPr>
          <w:spacing w:val="-3"/>
        </w:rPr>
        <w:t xml:space="preserve"> </w:t>
      </w:r>
      <w:r w:rsidRPr="0031675F">
        <w:t>of</w:t>
      </w:r>
      <w:r w:rsidRPr="0031675F">
        <w:rPr>
          <w:spacing w:val="-3"/>
        </w:rPr>
        <w:t xml:space="preserve"> </w:t>
      </w:r>
      <w:r w:rsidRPr="0031675F">
        <w:t>precision.</w:t>
      </w:r>
    </w:p>
    <w:p w14:paraId="667263B1" w14:textId="77777777" w:rsidR="0031675F" w:rsidRPr="0031675F" w:rsidRDefault="0031675F" w:rsidP="0031675F">
      <w:pPr>
        <w:spacing w:before="5"/>
        <w:rPr>
          <w:rFonts w:cs="Calibri"/>
        </w:rPr>
      </w:pPr>
    </w:p>
    <w:p w14:paraId="4D677C14" w14:textId="77777777" w:rsidR="0031675F" w:rsidRPr="0031675F" w:rsidRDefault="0031675F" w:rsidP="0031675F">
      <w:pPr>
        <w:widowControl w:val="0"/>
        <w:numPr>
          <w:ilvl w:val="1"/>
          <w:numId w:val="128"/>
        </w:numPr>
        <w:tabs>
          <w:tab w:val="left" w:pos="706"/>
        </w:tabs>
        <w:spacing w:before="0" w:after="0" w:line="240" w:lineRule="auto"/>
        <w:jc w:val="both"/>
        <w:rPr>
          <w:rFonts w:eastAsia="Arial" w:cs="Arial"/>
          <w:sz w:val="24"/>
          <w:szCs w:val="24"/>
        </w:rPr>
      </w:pPr>
      <w:bookmarkStart w:id="600" w:name="_TOC_250080"/>
      <w:r w:rsidRPr="0031675F">
        <w:rPr>
          <w:b/>
          <w:spacing w:val="-1"/>
          <w:sz w:val="24"/>
        </w:rPr>
        <w:t>Principle</w:t>
      </w:r>
      <w:r w:rsidRPr="0031675F">
        <w:rPr>
          <w:b/>
          <w:sz w:val="24"/>
        </w:rPr>
        <w:t xml:space="preserve"> of </w:t>
      </w:r>
      <w:r w:rsidRPr="0031675F">
        <w:rPr>
          <w:b/>
          <w:spacing w:val="-1"/>
          <w:sz w:val="24"/>
        </w:rPr>
        <w:t>analysis</w:t>
      </w:r>
      <w:bookmarkEnd w:id="600"/>
    </w:p>
    <w:p w14:paraId="7CC3783C" w14:textId="77777777" w:rsidR="0031675F" w:rsidRPr="0031675F" w:rsidRDefault="0031675F" w:rsidP="0057756F">
      <w:r w:rsidRPr="0031675F">
        <w:rPr>
          <w:spacing w:val="-1"/>
        </w:rPr>
        <w:t>Inorganic</w:t>
      </w:r>
      <w:r w:rsidRPr="0031675F">
        <w:rPr>
          <w:spacing w:val="9"/>
        </w:rPr>
        <w:t xml:space="preserve"> </w:t>
      </w:r>
      <w:r w:rsidRPr="0031675F">
        <w:rPr>
          <w:spacing w:val="-1"/>
        </w:rPr>
        <w:t>dissolved</w:t>
      </w:r>
      <w:r w:rsidRPr="0031675F">
        <w:rPr>
          <w:spacing w:val="9"/>
        </w:rPr>
        <w:t xml:space="preserve"> </w:t>
      </w:r>
      <w:r w:rsidRPr="0031675F">
        <w:rPr>
          <w:spacing w:val="-1"/>
        </w:rPr>
        <w:t>nutrient</w:t>
      </w:r>
      <w:r w:rsidRPr="0031675F">
        <w:rPr>
          <w:spacing w:val="10"/>
        </w:rPr>
        <w:t xml:space="preserve"> </w:t>
      </w:r>
      <w:r w:rsidRPr="0031675F">
        <w:rPr>
          <w:spacing w:val="-1"/>
        </w:rPr>
        <w:t>concentrations</w:t>
      </w:r>
      <w:r w:rsidRPr="0031675F">
        <w:rPr>
          <w:spacing w:val="10"/>
        </w:rPr>
        <w:t xml:space="preserve"> </w:t>
      </w:r>
      <w:r w:rsidRPr="0031675F">
        <w:rPr>
          <w:spacing w:val="-1"/>
        </w:rPr>
        <w:t>are</w:t>
      </w:r>
      <w:r w:rsidRPr="0031675F">
        <w:rPr>
          <w:spacing w:val="10"/>
        </w:rPr>
        <w:t xml:space="preserve"> </w:t>
      </w:r>
      <w:r w:rsidRPr="0031675F">
        <w:rPr>
          <w:spacing w:val="-1"/>
        </w:rPr>
        <w:t>determined</w:t>
      </w:r>
      <w:r w:rsidRPr="0031675F">
        <w:rPr>
          <w:spacing w:val="9"/>
        </w:rPr>
        <w:t xml:space="preserve"> </w:t>
      </w:r>
      <w:r w:rsidRPr="0031675F">
        <w:rPr>
          <w:spacing w:val="-1"/>
        </w:rPr>
        <w:t>by</w:t>
      </w:r>
      <w:r w:rsidRPr="0031675F">
        <w:rPr>
          <w:spacing w:val="10"/>
        </w:rPr>
        <w:t xml:space="preserve"> </w:t>
      </w:r>
      <w:r w:rsidRPr="0031675F">
        <w:rPr>
          <w:spacing w:val="-1"/>
        </w:rPr>
        <w:t>standard</w:t>
      </w:r>
      <w:r w:rsidRPr="0031675F">
        <w:rPr>
          <w:spacing w:val="9"/>
        </w:rPr>
        <w:t xml:space="preserve"> </w:t>
      </w:r>
      <w:r w:rsidRPr="0031675F">
        <w:t>wet</w:t>
      </w:r>
      <w:r w:rsidRPr="0031675F">
        <w:rPr>
          <w:spacing w:val="10"/>
        </w:rPr>
        <w:t xml:space="preserve"> </w:t>
      </w:r>
      <w:r w:rsidRPr="0031675F">
        <w:rPr>
          <w:spacing w:val="-1"/>
        </w:rPr>
        <w:t>chemical</w:t>
      </w:r>
      <w:r w:rsidRPr="0031675F">
        <w:rPr>
          <w:spacing w:val="6"/>
        </w:rPr>
        <w:t xml:space="preserve"> </w:t>
      </w:r>
      <w:r w:rsidRPr="0031675F">
        <w:rPr>
          <w:spacing w:val="-1"/>
        </w:rPr>
        <w:t>methods</w:t>
      </w:r>
      <w:r w:rsidRPr="0031675F">
        <w:rPr>
          <w:spacing w:val="10"/>
        </w:rPr>
        <w:t xml:space="preserve"> </w:t>
      </w:r>
      <w:r w:rsidRPr="0031675F">
        <w:rPr>
          <w:spacing w:val="-1"/>
        </w:rPr>
        <w:t>(e.g.</w:t>
      </w:r>
      <w:r w:rsidRPr="0031675F">
        <w:rPr>
          <w:spacing w:val="89"/>
        </w:rPr>
        <w:t xml:space="preserve"> </w:t>
      </w:r>
      <w:r w:rsidRPr="0031675F">
        <w:rPr>
          <w:spacing w:val="-1"/>
        </w:rPr>
        <w:t>Parsons</w:t>
      </w:r>
      <w:r w:rsidRPr="0031675F">
        <w:rPr>
          <w:spacing w:val="7"/>
        </w:rPr>
        <w:t xml:space="preserve"> </w:t>
      </w:r>
      <w:r w:rsidRPr="0031675F">
        <w:t>et</w:t>
      </w:r>
      <w:r w:rsidRPr="0031675F">
        <w:rPr>
          <w:spacing w:val="8"/>
        </w:rPr>
        <w:t xml:space="preserve"> </w:t>
      </w:r>
      <w:r w:rsidRPr="0031675F">
        <w:t>al.</w:t>
      </w:r>
      <w:r w:rsidRPr="0031675F">
        <w:rPr>
          <w:spacing w:val="6"/>
        </w:rPr>
        <w:t xml:space="preserve"> </w:t>
      </w:r>
      <w:r w:rsidRPr="0031675F">
        <w:rPr>
          <w:spacing w:val="-1"/>
        </w:rPr>
        <w:t>1984)</w:t>
      </w:r>
      <w:r w:rsidRPr="0031675F">
        <w:rPr>
          <w:spacing w:val="7"/>
        </w:rPr>
        <w:t xml:space="preserve"> </w:t>
      </w:r>
      <w:r w:rsidRPr="0031675F">
        <w:rPr>
          <w:spacing w:val="-1"/>
        </w:rPr>
        <w:t>with</w:t>
      </w:r>
      <w:r w:rsidRPr="0031675F">
        <w:rPr>
          <w:spacing w:val="7"/>
        </w:rPr>
        <w:t xml:space="preserve"> </w:t>
      </w:r>
      <w:r w:rsidRPr="0031675F">
        <w:rPr>
          <w:spacing w:val="-1"/>
        </w:rPr>
        <w:t>spectrophotometric</w:t>
      </w:r>
      <w:r w:rsidRPr="0031675F">
        <w:rPr>
          <w:spacing w:val="7"/>
        </w:rPr>
        <w:t xml:space="preserve"> </w:t>
      </w:r>
      <w:r w:rsidRPr="0031675F">
        <w:rPr>
          <w:spacing w:val="-1"/>
        </w:rPr>
        <w:t>detection</w:t>
      </w:r>
      <w:r w:rsidRPr="0031675F">
        <w:rPr>
          <w:spacing w:val="6"/>
        </w:rPr>
        <w:t xml:space="preserve"> </w:t>
      </w:r>
      <w:r w:rsidRPr="0031675F">
        <w:rPr>
          <w:spacing w:val="-1"/>
        </w:rPr>
        <w:t>based</w:t>
      </w:r>
      <w:r w:rsidRPr="0031675F">
        <w:rPr>
          <w:spacing w:val="7"/>
        </w:rPr>
        <w:t xml:space="preserve"> </w:t>
      </w:r>
      <w:r w:rsidRPr="0031675F">
        <w:t>on</w:t>
      </w:r>
      <w:r w:rsidRPr="0031675F">
        <w:rPr>
          <w:spacing w:val="6"/>
        </w:rPr>
        <w:t xml:space="preserve"> </w:t>
      </w:r>
      <w:r w:rsidRPr="0031675F">
        <w:t>Ryle</w:t>
      </w:r>
      <w:r w:rsidRPr="0031675F">
        <w:rPr>
          <w:spacing w:val="7"/>
        </w:rPr>
        <w:t xml:space="preserve"> </w:t>
      </w:r>
      <w:r w:rsidRPr="0031675F">
        <w:t>et</w:t>
      </w:r>
      <w:r w:rsidRPr="0031675F">
        <w:rPr>
          <w:spacing w:val="8"/>
        </w:rPr>
        <w:t xml:space="preserve"> </w:t>
      </w:r>
      <w:r w:rsidRPr="0031675F">
        <w:t>al.</w:t>
      </w:r>
      <w:r w:rsidRPr="0031675F">
        <w:rPr>
          <w:spacing w:val="6"/>
        </w:rPr>
        <w:t xml:space="preserve"> </w:t>
      </w:r>
      <w:r w:rsidRPr="0031675F">
        <w:rPr>
          <w:spacing w:val="-1"/>
        </w:rPr>
        <w:t>(1981) and Bran and Luebbe (1997),</w:t>
      </w:r>
      <w:r w:rsidRPr="0031675F">
        <w:rPr>
          <w:spacing w:val="8"/>
        </w:rPr>
        <w:t xml:space="preserve"> </w:t>
      </w:r>
      <w:r w:rsidRPr="0031675F">
        <w:rPr>
          <w:spacing w:val="-1"/>
        </w:rPr>
        <w:t>implemented</w:t>
      </w:r>
      <w:r w:rsidRPr="0031675F">
        <w:rPr>
          <w:spacing w:val="7"/>
        </w:rPr>
        <w:t xml:space="preserve"> </w:t>
      </w:r>
      <w:r w:rsidRPr="0031675F">
        <w:t>on</w:t>
      </w:r>
      <w:r w:rsidRPr="0031675F">
        <w:rPr>
          <w:spacing w:val="53"/>
        </w:rPr>
        <w:t xml:space="preserve"> </w:t>
      </w:r>
      <w:r w:rsidRPr="0031675F">
        <w:t xml:space="preserve">a </w:t>
      </w:r>
      <w:r w:rsidRPr="0031675F">
        <w:rPr>
          <w:spacing w:val="-1"/>
        </w:rPr>
        <w:t>Seal AA3 Analyser segmented</w:t>
      </w:r>
      <w:r w:rsidRPr="0031675F">
        <w:rPr>
          <w:spacing w:val="-3"/>
        </w:rPr>
        <w:t xml:space="preserve"> </w:t>
      </w:r>
      <w:r w:rsidRPr="0031675F">
        <w:rPr>
          <w:spacing w:val="-1"/>
        </w:rPr>
        <w:t>flow</w:t>
      </w:r>
      <w:r w:rsidRPr="0031675F">
        <w:rPr>
          <w:spacing w:val="1"/>
        </w:rPr>
        <w:t xml:space="preserve"> </w:t>
      </w:r>
      <w:r w:rsidRPr="0031675F">
        <w:rPr>
          <w:spacing w:val="-1"/>
        </w:rPr>
        <w:t>analyser</w:t>
      </w:r>
      <w:r w:rsidRPr="0031675F">
        <w:rPr>
          <w:spacing w:val="-2"/>
        </w:rPr>
        <w:t xml:space="preserve"> </w:t>
      </w:r>
      <w:r w:rsidRPr="0031675F">
        <w:rPr>
          <w:spacing w:val="-1"/>
        </w:rPr>
        <w:t>.</w:t>
      </w:r>
    </w:p>
    <w:p w14:paraId="71E88344" w14:textId="77777777" w:rsidR="0031675F" w:rsidRPr="0031675F" w:rsidRDefault="0031675F" w:rsidP="0031675F">
      <w:pPr>
        <w:spacing w:before="11"/>
        <w:rPr>
          <w:rFonts w:cs="Calibri"/>
          <w:sz w:val="21"/>
          <w:szCs w:val="21"/>
        </w:rPr>
      </w:pPr>
    </w:p>
    <w:p w14:paraId="0000B015" w14:textId="77777777" w:rsidR="0031675F" w:rsidRPr="0031675F" w:rsidRDefault="0031675F" w:rsidP="0031675F">
      <w:pPr>
        <w:widowControl w:val="0"/>
        <w:numPr>
          <w:ilvl w:val="1"/>
          <w:numId w:val="128"/>
        </w:numPr>
        <w:tabs>
          <w:tab w:val="left" w:pos="706"/>
        </w:tabs>
        <w:spacing w:before="0" w:after="0" w:line="240" w:lineRule="auto"/>
        <w:jc w:val="both"/>
        <w:rPr>
          <w:rFonts w:eastAsia="Arial" w:cs="Arial"/>
          <w:sz w:val="24"/>
          <w:szCs w:val="24"/>
        </w:rPr>
      </w:pPr>
      <w:bookmarkStart w:id="601" w:name="_TOC_250079"/>
      <w:r w:rsidRPr="0031675F">
        <w:rPr>
          <w:b/>
          <w:sz w:val="24"/>
        </w:rPr>
        <w:t>Sample</w:t>
      </w:r>
      <w:r w:rsidRPr="0031675F">
        <w:rPr>
          <w:b/>
          <w:spacing w:val="-1"/>
          <w:sz w:val="24"/>
        </w:rPr>
        <w:t xml:space="preserve"> analysis</w:t>
      </w:r>
      <w:bookmarkEnd w:id="601"/>
    </w:p>
    <w:p w14:paraId="1CAB20AC" w14:textId="77777777" w:rsidR="0031675F" w:rsidRPr="0031675F" w:rsidRDefault="0031675F" w:rsidP="0031675F">
      <w:pPr>
        <w:widowControl w:val="0"/>
        <w:numPr>
          <w:ilvl w:val="2"/>
          <w:numId w:val="128"/>
        </w:numPr>
        <w:tabs>
          <w:tab w:val="left" w:pos="706"/>
        </w:tabs>
        <w:spacing w:before="0" w:after="0" w:line="240" w:lineRule="auto"/>
        <w:jc w:val="both"/>
        <w:rPr>
          <w:rFonts w:eastAsia="Arial" w:cs="Arial"/>
        </w:rPr>
      </w:pPr>
      <w:r w:rsidRPr="0031675F">
        <w:rPr>
          <w:b/>
          <w:spacing w:val="-1"/>
        </w:rPr>
        <w:t>Materials</w:t>
      </w:r>
      <w:r w:rsidRPr="0031675F">
        <w:rPr>
          <w:b/>
        </w:rPr>
        <w:t xml:space="preserve"> and</w:t>
      </w:r>
      <w:r w:rsidRPr="0031675F">
        <w:rPr>
          <w:b/>
          <w:spacing w:val="-2"/>
        </w:rPr>
        <w:t xml:space="preserve"> </w:t>
      </w:r>
      <w:r w:rsidRPr="0031675F">
        <w:rPr>
          <w:b/>
          <w:spacing w:val="-1"/>
        </w:rPr>
        <w:t>Equipment</w:t>
      </w:r>
    </w:p>
    <w:p w14:paraId="6BF78C2B" w14:textId="77777777" w:rsidR="0031675F" w:rsidRPr="0031675F" w:rsidRDefault="0031675F" w:rsidP="0057756F">
      <w:r w:rsidRPr="0031675F">
        <w:t>A</w:t>
      </w:r>
      <w:r w:rsidRPr="0031675F">
        <w:rPr>
          <w:spacing w:val="14"/>
        </w:rPr>
        <w:t xml:space="preserve"> </w:t>
      </w:r>
      <w:r w:rsidRPr="0031675F">
        <w:t>nutrient</w:t>
      </w:r>
      <w:r w:rsidRPr="0031675F">
        <w:rPr>
          <w:spacing w:val="14"/>
        </w:rPr>
        <w:t xml:space="preserve"> </w:t>
      </w:r>
      <w:r w:rsidRPr="0031675F">
        <w:t>analytical</w:t>
      </w:r>
      <w:r w:rsidRPr="0031675F">
        <w:rPr>
          <w:spacing w:val="12"/>
        </w:rPr>
        <w:t xml:space="preserve"> </w:t>
      </w:r>
      <w:r w:rsidRPr="0031675F">
        <w:t>section</w:t>
      </w:r>
      <w:r w:rsidRPr="0031675F">
        <w:rPr>
          <w:spacing w:val="14"/>
        </w:rPr>
        <w:t xml:space="preserve"> </w:t>
      </w:r>
      <w:r w:rsidRPr="0031675F">
        <w:t>is</w:t>
      </w:r>
      <w:r w:rsidRPr="0031675F">
        <w:rPr>
          <w:spacing w:val="14"/>
        </w:rPr>
        <w:t xml:space="preserve"> </w:t>
      </w:r>
      <w:r w:rsidRPr="0031675F">
        <w:t>established</w:t>
      </w:r>
      <w:r w:rsidRPr="0031675F">
        <w:rPr>
          <w:spacing w:val="14"/>
        </w:rPr>
        <w:t xml:space="preserve"> </w:t>
      </w:r>
      <w:r w:rsidRPr="0031675F">
        <w:t>at</w:t>
      </w:r>
      <w:r w:rsidRPr="0031675F">
        <w:rPr>
          <w:spacing w:val="15"/>
        </w:rPr>
        <w:t xml:space="preserve"> </w:t>
      </w:r>
      <w:r w:rsidRPr="0031675F">
        <w:t>AIMS</w:t>
      </w:r>
      <w:r w:rsidRPr="0031675F">
        <w:rPr>
          <w:spacing w:val="14"/>
        </w:rPr>
        <w:t xml:space="preserve"> </w:t>
      </w:r>
      <w:r w:rsidRPr="0031675F">
        <w:t>in</w:t>
      </w:r>
      <w:r w:rsidRPr="0031675F">
        <w:rPr>
          <w:spacing w:val="11"/>
        </w:rPr>
        <w:t xml:space="preserve"> </w:t>
      </w:r>
      <w:r w:rsidRPr="0031675F">
        <w:t>a</w:t>
      </w:r>
      <w:r w:rsidRPr="0031675F">
        <w:rPr>
          <w:spacing w:val="14"/>
        </w:rPr>
        <w:t xml:space="preserve"> </w:t>
      </w:r>
      <w:r w:rsidRPr="0031675F">
        <w:t>dedicated</w:t>
      </w:r>
      <w:r w:rsidRPr="0031675F">
        <w:rPr>
          <w:spacing w:val="14"/>
        </w:rPr>
        <w:t xml:space="preserve"> </w:t>
      </w:r>
      <w:r w:rsidRPr="0031675F">
        <w:t>laboratory</w:t>
      </w:r>
      <w:r w:rsidRPr="0031675F">
        <w:rPr>
          <w:spacing w:val="13"/>
        </w:rPr>
        <w:t xml:space="preserve"> </w:t>
      </w:r>
      <w:r w:rsidRPr="0031675F">
        <w:t>to</w:t>
      </w:r>
      <w:r w:rsidRPr="0031675F">
        <w:rPr>
          <w:spacing w:val="11"/>
        </w:rPr>
        <w:t xml:space="preserve"> </w:t>
      </w:r>
      <w:r w:rsidRPr="0031675F">
        <w:t>undertake</w:t>
      </w:r>
      <w:r w:rsidRPr="0031675F">
        <w:rPr>
          <w:spacing w:val="15"/>
        </w:rPr>
        <w:t xml:space="preserve"> </w:t>
      </w:r>
      <w:r w:rsidRPr="0031675F">
        <w:t>low-level</w:t>
      </w:r>
      <w:r w:rsidRPr="0031675F">
        <w:rPr>
          <w:spacing w:val="81"/>
        </w:rPr>
        <w:t xml:space="preserve"> </w:t>
      </w:r>
      <w:r w:rsidRPr="0031675F">
        <w:t>nutrient</w:t>
      </w:r>
      <w:r w:rsidRPr="0031675F">
        <w:rPr>
          <w:spacing w:val="5"/>
        </w:rPr>
        <w:t xml:space="preserve"> </w:t>
      </w:r>
      <w:r w:rsidRPr="0031675F">
        <w:t>analysis</w:t>
      </w:r>
      <w:r w:rsidRPr="0031675F">
        <w:rPr>
          <w:spacing w:val="3"/>
        </w:rPr>
        <w:t xml:space="preserve"> </w:t>
      </w:r>
      <w:r w:rsidRPr="0031675F">
        <w:t>where</w:t>
      </w:r>
      <w:r w:rsidRPr="0031675F">
        <w:rPr>
          <w:spacing w:val="5"/>
        </w:rPr>
        <w:t xml:space="preserve"> </w:t>
      </w:r>
      <w:r w:rsidRPr="0031675F">
        <w:t>all</w:t>
      </w:r>
      <w:r w:rsidRPr="0031675F">
        <w:rPr>
          <w:spacing w:val="2"/>
        </w:rPr>
        <w:t xml:space="preserve"> </w:t>
      </w:r>
      <w:r w:rsidRPr="0031675F">
        <w:t>laboratory</w:t>
      </w:r>
      <w:r w:rsidRPr="0031675F">
        <w:rPr>
          <w:spacing w:val="3"/>
        </w:rPr>
        <w:t xml:space="preserve"> </w:t>
      </w:r>
      <w:r w:rsidRPr="0031675F">
        <w:t>ware</w:t>
      </w:r>
      <w:r w:rsidRPr="0031675F">
        <w:rPr>
          <w:spacing w:val="3"/>
        </w:rPr>
        <w:t xml:space="preserve"> </w:t>
      </w:r>
      <w:r w:rsidRPr="0031675F">
        <w:t>and</w:t>
      </w:r>
      <w:r w:rsidRPr="0031675F">
        <w:rPr>
          <w:spacing w:val="4"/>
        </w:rPr>
        <w:t xml:space="preserve"> </w:t>
      </w:r>
      <w:r w:rsidRPr="0031675F">
        <w:t>equipment</w:t>
      </w:r>
      <w:r w:rsidRPr="0031675F">
        <w:rPr>
          <w:spacing w:val="2"/>
        </w:rPr>
        <w:t xml:space="preserve"> </w:t>
      </w:r>
      <w:r w:rsidRPr="0031675F">
        <w:t>are</w:t>
      </w:r>
      <w:r w:rsidRPr="0031675F">
        <w:rPr>
          <w:spacing w:val="5"/>
        </w:rPr>
        <w:t xml:space="preserve"> </w:t>
      </w:r>
      <w:r w:rsidRPr="0031675F">
        <w:t>used</w:t>
      </w:r>
      <w:r w:rsidRPr="0031675F">
        <w:rPr>
          <w:spacing w:val="5"/>
        </w:rPr>
        <w:t xml:space="preserve"> </w:t>
      </w:r>
      <w:r w:rsidRPr="0031675F">
        <w:t>for</w:t>
      </w:r>
      <w:r w:rsidRPr="0031675F">
        <w:rPr>
          <w:spacing w:val="2"/>
        </w:rPr>
        <w:t xml:space="preserve"> </w:t>
      </w:r>
      <w:r w:rsidRPr="0031675F">
        <w:t>that</w:t>
      </w:r>
      <w:r w:rsidRPr="0031675F">
        <w:rPr>
          <w:spacing w:val="5"/>
        </w:rPr>
        <w:t xml:space="preserve"> </w:t>
      </w:r>
      <w:r w:rsidRPr="0031675F">
        <w:rPr>
          <w:spacing w:val="-2"/>
        </w:rPr>
        <w:t>sole</w:t>
      </w:r>
      <w:r w:rsidRPr="0031675F">
        <w:rPr>
          <w:spacing w:val="5"/>
        </w:rPr>
        <w:t xml:space="preserve"> </w:t>
      </w:r>
      <w:r w:rsidRPr="0031675F">
        <w:t>purpose</w:t>
      </w:r>
      <w:r w:rsidRPr="0031675F">
        <w:rPr>
          <w:spacing w:val="3"/>
        </w:rPr>
        <w:t xml:space="preserve"> </w:t>
      </w:r>
      <w:r w:rsidRPr="0031675F">
        <w:t>to</w:t>
      </w:r>
      <w:r w:rsidRPr="0031675F">
        <w:rPr>
          <w:spacing w:val="4"/>
        </w:rPr>
        <w:t xml:space="preserve"> </w:t>
      </w:r>
      <w:r w:rsidRPr="0031675F">
        <w:t>assist</w:t>
      </w:r>
      <w:r w:rsidRPr="0031675F">
        <w:rPr>
          <w:spacing w:val="5"/>
        </w:rPr>
        <w:t xml:space="preserve"> </w:t>
      </w:r>
      <w:r w:rsidRPr="0031675F">
        <w:t>in</w:t>
      </w:r>
      <w:r w:rsidRPr="0031675F">
        <w:rPr>
          <w:spacing w:val="77"/>
        </w:rPr>
        <w:t xml:space="preserve"> </w:t>
      </w:r>
      <w:r w:rsidRPr="0031675F">
        <w:t>avoiding contamination.</w:t>
      </w:r>
    </w:p>
    <w:p w14:paraId="4D5A04D1" w14:textId="77777777" w:rsidR="0031675F" w:rsidRPr="0057756F" w:rsidRDefault="0031675F" w:rsidP="0031675F">
      <w:pPr>
        <w:widowControl w:val="0"/>
        <w:numPr>
          <w:ilvl w:val="0"/>
          <w:numId w:val="127"/>
        </w:numPr>
        <w:tabs>
          <w:tab w:val="left" w:pos="499"/>
        </w:tabs>
        <w:spacing w:before="0" w:after="0" w:line="240" w:lineRule="auto"/>
        <w:ind w:right="106"/>
        <w:rPr>
          <w:rFonts w:cs="Arial"/>
        </w:rPr>
      </w:pPr>
      <w:r w:rsidRPr="0057756F">
        <w:rPr>
          <w:rFonts w:cs="Arial"/>
          <w:spacing w:val="-1"/>
        </w:rPr>
        <w:t>Continuous</w:t>
      </w:r>
      <w:r w:rsidRPr="0057756F">
        <w:rPr>
          <w:rFonts w:cs="Arial"/>
        </w:rPr>
        <w:t xml:space="preserve"> </w:t>
      </w:r>
      <w:r w:rsidRPr="0057756F">
        <w:rPr>
          <w:rFonts w:cs="Arial"/>
          <w:spacing w:val="-1"/>
        </w:rPr>
        <w:t>segmented flow</w:t>
      </w:r>
      <w:r w:rsidRPr="0057756F">
        <w:rPr>
          <w:rFonts w:cs="Arial"/>
          <w:spacing w:val="1"/>
        </w:rPr>
        <w:t xml:space="preserve"> </w:t>
      </w:r>
      <w:r w:rsidRPr="0057756F">
        <w:rPr>
          <w:rFonts w:cs="Arial"/>
          <w:spacing w:val="-1"/>
        </w:rPr>
        <w:t>autoanalyser</w:t>
      </w:r>
      <w:r w:rsidRPr="0057756F">
        <w:rPr>
          <w:rFonts w:cs="Arial"/>
        </w:rPr>
        <w:t xml:space="preserve"> </w:t>
      </w:r>
      <w:r w:rsidRPr="0057756F">
        <w:rPr>
          <w:rFonts w:cs="Arial"/>
          <w:spacing w:val="-1"/>
        </w:rPr>
        <w:t xml:space="preserve">(SEAL AA3 Ananyser </w:t>
      </w:r>
      <w:r w:rsidRPr="0057756F">
        <w:rPr>
          <w:rFonts w:cs="Arial"/>
        </w:rPr>
        <w:t>and</w:t>
      </w:r>
      <w:r w:rsidRPr="0057756F">
        <w:rPr>
          <w:rFonts w:cs="Arial"/>
          <w:spacing w:val="-2"/>
        </w:rPr>
        <w:t xml:space="preserve"> </w:t>
      </w:r>
      <w:r w:rsidRPr="0057756F">
        <w:rPr>
          <w:rFonts w:cs="Arial"/>
        </w:rPr>
        <w:t xml:space="preserve">its </w:t>
      </w:r>
      <w:r w:rsidRPr="0057756F">
        <w:rPr>
          <w:rFonts w:cs="Arial"/>
          <w:spacing w:val="-1"/>
        </w:rPr>
        <w:t>accompanying software,</w:t>
      </w:r>
      <w:r w:rsidRPr="0057756F">
        <w:rPr>
          <w:rFonts w:cs="Arial"/>
          <w:spacing w:val="5"/>
        </w:rPr>
        <w:t xml:space="preserve"> </w:t>
      </w:r>
      <w:r w:rsidRPr="0057756F">
        <w:rPr>
          <w:rFonts w:cs="Arial"/>
          <w:spacing w:val="-1"/>
        </w:rPr>
        <w:t>(SEAL AACE Software Version 7.06).</w:t>
      </w:r>
    </w:p>
    <w:p w14:paraId="11779D98" w14:textId="77777777" w:rsidR="0031675F" w:rsidRPr="0057756F" w:rsidRDefault="0031675F" w:rsidP="0031675F">
      <w:pPr>
        <w:widowControl w:val="0"/>
        <w:numPr>
          <w:ilvl w:val="0"/>
          <w:numId w:val="127"/>
        </w:numPr>
        <w:tabs>
          <w:tab w:val="left" w:pos="499"/>
        </w:tabs>
        <w:spacing w:before="0" w:after="0" w:line="240" w:lineRule="auto"/>
        <w:jc w:val="both"/>
        <w:rPr>
          <w:rFonts w:cs="Arial"/>
        </w:rPr>
      </w:pPr>
      <w:r w:rsidRPr="0057756F">
        <w:rPr>
          <w:rFonts w:cs="Arial"/>
          <w:spacing w:val="-1"/>
        </w:rPr>
        <w:t>Laboratory</w:t>
      </w:r>
      <w:r w:rsidRPr="0057756F">
        <w:rPr>
          <w:rFonts w:cs="Arial"/>
        </w:rPr>
        <w:t xml:space="preserve"> </w:t>
      </w:r>
      <w:r w:rsidRPr="0057756F">
        <w:rPr>
          <w:rFonts w:cs="Arial"/>
          <w:spacing w:val="-1"/>
        </w:rPr>
        <w:t>facilities</w:t>
      </w:r>
      <w:r w:rsidRPr="0057756F">
        <w:rPr>
          <w:rFonts w:cs="Arial"/>
        </w:rPr>
        <w:t xml:space="preserve"> </w:t>
      </w:r>
      <w:r w:rsidRPr="0057756F">
        <w:rPr>
          <w:rFonts w:cs="Arial"/>
          <w:spacing w:val="-1"/>
        </w:rPr>
        <w:t>and labware:</w:t>
      </w:r>
    </w:p>
    <w:p w14:paraId="34E597A0" w14:textId="77777777" w:rsidR="0031675F" w:rsidRPr="0057756F" w:rsidRDefault="0031675F" w:rsidP="0031675F">
      <w:pPr>
        <w:widowControl w:val="0"/>
        <w:numPr>
          <w:ilvl w:val="1"/>
          <w:numId w:val="127"/>
        </w:numPr>
        <w:tabs>
          <w:tab w:val="left" w:pos="706"/>
        </w:tabs>
        <w:spacing w:before="0" w:after="0" w:line="240" w:lineRule="auto"/>
        <w:rPr>
          <w:rFonts w:cs="Arial"/>
        </w:rPr>
      </w:pPr>
      <w:r w:rsidRPr="0057756F">
        <w:rPr>
          <w:rFonts w:cs="Arial"/>
        </w:rPr>
        <w:t>Lab</w:t>
      </w:r>
      <w:r w:rsidRPr="0057756F">
        <w:rPr>
          <w:rFonts w:cs="Arial"/>
          <w:spacing w:val="-1"/>
        </w:rPr>
        <w:t xml:space="preserve"> </w:t>
      </w:r>
      <w:r w:rsidRPr="0057756F">
        <w:rPr>
          <w:rFonts w:cs="Arial"/>
        </w:rPr>
        <w:t xml:space="preserve">air </w:t>
      </w:r>
      <w:r w:rsidRPr="0057756F">
        <w:rPr>
          <w:rFonts w:cs="Arial"/>
          <w:spacing w:val="-1"/>
        </w:rPr>
        <w:t>intakes</w:t>
      </w:r>
      <w:r w:rsidRPr="0057756F">
        <w:rPr>
          <w:rFonts w:cs="Arial"/>
        </w:rPr>
        <w:t xml:space="preserve"> in </w:t>
      </w:r>
      <w:r w:rsidRPr="0057756F">
        <w:rPr>
          <w:rFonts w:cs="Arial"/>
          <w:spacing w:val="-1"/>
        </w:rPr>
        <w:t>location likely</w:t>
      </w:r>
      <w:r w:rsidRPr="0057756F">
        <w:rPr>
          <w:rFonts w:cs="Arial"/>
          <w:spacing w:val="-2"/>
        </w:rPr>
        <w:t xml:space="preserve"> </w:t>
      </w:r>
      <w:r w:rsidRPr="0057756F">
        <w:rPr>
          <w:rFonts w:cs="Arial"/>
        </w:rPr>
        <w:t>to</w:t>
      </w:r>
      <w:r w:rsidRPr="0057756F">
        <w:rPr>
          <w:rFonts w:cs="Arial"/>
          <w:spacing w:val="-1"/>
        </w:rPr>
        <w:t xml:space="preserve"> be</w:t>
      </w:r>
      <w:r w:rsidRPr="0057756F">
        <w:rPr>
          <w:rFonts w:cs="Arial"/>
          <w:spacing w:val="-2"/>
        </w:rPr>
        <w:t xml:space="preserve"> </w:t>
      </w:r>
      <w:r w:rsidRPr="0057756F">
        <w:rPr>
          <w:rFonts w:cs="Arial"/>
          <w:spacing w:val="-1"/>
        </w:rPr>
        <w:t>minimally</w:t>
      </w:r>
      <w:r w:rsidRPr="0057756F">
        <w:rPr>
          <w:rFonts w:cs="Arial"/>
        </w:rPr>
        <w:t xml:space="preserve"> </w:t>
      </w:r>
      <w:r w:rsidRPr="0057756F">
        <w:rPr>
          <w:rFonts w:cs="Arial"/>
          <w:spacing w:val="-1"/>
        </w:rPr>
        <w:t>affected</w:t>
      </w:r>
      <w:r w:rsidRPr="0057756F">
        <w:rPr>
          <w:rFonts w:cs="Arial"/>
        </w:rPr>
        <w:t xml:space="preserve"> </w:t>
      </w:r>
      <w:r w:rsidRPr="0057756F">
        <w:rPr>
          <w:rFonts w:cs="Arial"/>
          <w:spacing w:val="-1"/>
        </w:rPr>
        <w:t>by</w:t>
      </w:r>
      <w:r w:rsidRPr="0057756F">
        <w:rPr>
          <w:rFonts w:cs="Arial"/>
          <w:spacing w:val="1"/>
        </w:rPr>
        <w:t xml:space="preserve"> </w:t>
      </w:r>
      <w:r w:rsidRPr="0057756F">
        <w:rPr>
          <w:rFonts w:cs="Arial"/>
          <w:spacing w:val="-1"/>
        </w:rPr>
        <w:t>atmospheric</w:t>
      </w:r>
      <w:r w:rsidRPr="0057756F">
        <w:rPr>
          <w:rFonts w:cs="Arial"/>
          <w:spacing w:val="-3"/>
        </w:rPr>
        <w:t xml:space="preserve"> </w:t>
      </w:r>
      <w:r w:rsidRPr="0057756F">
        <w:rPr>
          <w:rFonts w:cs="Arial"/>
          <w:spacing w:val="-1"/>
        </w:rPr>
        <w:t>contaminants.</w:t>
      </w:r>
    </w:p>
    <w:p w14:paraId="66F6B2EF" w14:textId="77777777" w:rsidR="0031675F" w:rsidRPr="0057756F" w:rsidRDefault="0031675F" w:rsidP="0031675F">
      <w:pPr>
        <w:widowControl w:val="0"/>
        <w:numPr>
          <w:ilvl w:val="1"/>
          <w:numId w:val="127"/>
        </w:numPr>
        <w:tabs>
          <w:tab w:val="left" w:pos="706"/>
        </w:tabs>
        <w:spacing w:before="0" w:after="0" w:line="239" w:lineRule="auto"/>
        <w:ind w:right="591"/>
        <w:jc w:val="both"/>
        <w:rPr>
          <w:rFonts w:cs="Arial"/>
        </w:rPr>
      </w:pPr>
      <w:r w:rsidRPr="0057756F">
        <w:rPr>
          <w:rFonts w:cs="Arial"/>
          <w:spacing w:val="-1"/>
        </w:rPr>
        <w:t>Sample</w:t>
      </w:r>
      <w:r w:rsidRPr="0057756F">
        <w:rPr>
          <w:rFonts w:cs="Arial"/>
          <w:spacing w:val="28"/>
        </w:rPr>
        <w:t xml:space="preserve"> </w:t>
      </w:r>
      <w:r w:rsidRPr="0057756F">
        <w:rPr>
          <w:rFonts w:cs="Arial"/>
          <w:spacing w:val="-1"/>
        </w:rPr>
        <w:t>storage</w:t>
      </w:r>
      <w:r w:rsidRPr="0057756F">
        <w:rPr>
          <w:rFonts w:cs="Arial"/>
          <w:spacing w:val="30"/>
        </w:rPr>
        <w:t xml:space="preserve"> </w:t>
      </w:r>
      <w:r w:rsidRPr="0057756F">
        <w:rPr>
          <w:rFonts w:cs="Arial"/>
        </w:rPr>
        <w:t>in</w:t>
      </w:r>
      <w:r w:rsidRPr="0057756F">
        <w:rPr>
          <w:rFonts w:cs="Arial"/>
          <w:spacing w:val="28"/>
        </w:rPr>
        <w:t xml:space="preserve"> </w:t>
      </w:r>
      <w:r w:rsidRPr="0057756F">
        <w:rPr>
          <w:rFonts w:cs="Arial"/>
          <w:spacing w:val="-1"/>
        </w:rPr>
        <w:t>dedicated,</w:t>
      </w:r>
      <w:r w:rsidRPr="0057756F">
        <w:rPr>
          <w:rFonts w:cs="Arial"/>
          <w:spacing w:val="27"/>
        </w:rPr>
        <w:t xml:space="preserve"> </w:t>
      </w:r>
      <w:r w:rsidRPr="0057756F">
        <w:rPr>
          <w:rFonts w:cs="Arial"/>
        </w:rPr>
        <w:t>clean</w:t>
      </w:r>
      <w:r w:rsidRPr="0057756F">
        <w:rPr>
          <w:rFonts w:cs="Arial"/>
          <w:spacing w:val="28"/>
        </w:rPr>
        <w:t xml:space="preserve">,  </w:t>
      </w:r>
      <w:r w:rsidRPr="0057756F">
        <w:rPr>
          <w:rFonts w:cs="Arial"/>
          <w:spacing w:val="-1"/>
        </w:rPr>
        <w:t>locked and alarmed</w:t>
      </w:r>
      <w:r w:rsidRPr="0057756F">
        <w:rPr>
          <w:rFonts w:cs="Arial"/>
          <w:spacing w:val="29"/>
        </w:rPr>
        <w:t xml:space="preserve"> </w:t>
      </w:r>
      <w:r w:rsidRPr="0057756F">
        <w:rPr>
          <w:rFonts w:cs="Arial"/>
          <w:spacing w:val="-1"/>
        </w:rPr>
        <w:t>freezers.</w:t>
      </w:r>
      <w:r w:rsidRPr="0057756F">
        <w:rPr>
          <w:rFonts w:cs="Arial"/>
          <w:spacing w:val="7"/>
        </w:rPr>
        <w:t xml:space="preserve"> </w:t>
      </w:r>
      <w:r w:rsidRPr="0057756F">
        <w:rPr>
          <w:rFonts w:cs="Arial"/>
          <w:spacing w:val="-1"/>
        </w:rPr>
        <w:t>The</w:t>
      </w:r>
      <w:r w:rsidRPr="0057756F">
        <w:rPr>
          <w:rFonts w:cs="Arial"/>
          <w:spacing w:val="26"/>
        </w:rPr>
        <w:t xml:space="preserve"> </w:t>
      </w:r>
      <w:r w:rsidRPr="0057756F">
        <w:rPr>
          <w:rFonts w:cs="Arial"/>
          <w:spacing w:val="-1"/>
        </w:rPr>
        <w:t>freezers</w:t>
      </w:r>
      <w:r w:rsidRPr="0057756F">
        <w:rPr>
          <w:rFonts w:cs="Arial"/>
          <w:spacing w:val="29"/>
        </w:rPr>
        <w:t xml:space="preserve"> </w:t>
      </w:r>
      <w:r w:rsidRPr="0057756F">
        <w:rPr>
          <w:rFonts w:cs="Arial"/>
        </w:rPr>
        <w:t>are</w:t>
      </w:r>
      <w:r w:rsidRPr="0057756F">
        <w:rPr>
          <w:rFonts w:cs="Arial"/>
          <w:spacing w:val="27"/>
        </w:rPr>
        <w:t xml:space="preserve"> </w:t>
      </w:r>
      <w:r w:rsidRPr="0057756F">
        <w:rPr>
          <w:rFonts w:cs="Arial"/>
        </w:rPr>
        <w:t>on</w:t>
      </w:r>
      <w:r w:rsidRPr="0057756F">
        <w:rPr>
          <w:rFonts w:cs="Arial"/>
          <w:spacing w:val="25"/>
        </w:rPr>
        <w:t xml:space="preserve"> </w:t>
      </w:r>
      <w:r w:rsidRPr="0057756F">
        <w:rPr>
          <w:rFonts w:cs="Arial"/>
        </w:rPr>
        <w:t>power</w:t>
      </w:r>
      <w:r w:rsidRPr="0057756F">
        <w:rPr>
          <w:rFonts w:cs="Arial"/>
          <w:spacing w:val="27"/>
        </w:rPr>
        <w:t xml:space="preserve"> </w:t>
      </w:r>
      <w:r w:rsidRPr="0057756F">
        <w:rPr>
          <w:rFonts w:cs="Arial"/>
          <w:spacing w:val="-1"/>
        </w:rPr>
        <w:t>circuits</w:t>
      </w:r>
      <w:r w:rsidRPr="0057756F">
        <w:rPr>
          <w:rFonts w:cs="Arial"/>
          <w:spacing w:val="53"/>
        </w:rPr>
        <w:t xml:space="preserve"> </w:t>
      </w:r>
      <w:r w:rsidRPr="0057756F">
        <w:rPr>
          <w:rFonts w:cs="Arial"/>
        </w:rPr>
        <w:t>with</w:t>
      </w:r>
      <w:r w:rsidRPr="0057756F">
        <w:rPr>
          <w:rFonts w:cs="Arial"/>
          <w:spacing w:val="7"/>
        </w:rPr>
        <w:t xml:space="preserve"> </w:t>
      </w:r>
      <w:r w:rsidRPr="0057756F">
        <w:rPr>
          <w:rFonts w:cs="Arial"/>
          <w:spacing w:val="-1"/>
        </w:rPr>
        <w:t>UPS/generator</w:t>
      </w:r>
      <w:r w:rsidRPr="0057756F">
        <w:rPr>
          <w:rFonts w:cs="Arial"/>
          <w:spacing w:val="7"/>
        </w:rPr>
        <w:t xml:space="preserve"> </w:t>
      </w:r>
      <w:r w:rsidRPr="0057756F">
        <w:rPr>
          <w:rFonts w:cs="Arial"/>
          <w:spacing w:val="-1"/>
        </w:rPr>
        <w:t>backup</w:t>
      </w:r>
      <w:r w:rsidRPr="0057756F">
        <w:rPr>
          <w:rFonts w:cs="Arial"/>
          <w:spacing w:val="6"/>
        </w:rPr>
        <w:t xml:space="preserve"> </w:t>
      </w:r>
      <w:r w:rsidRPr="0057756F">
        <w:rPr>
          <w:rFonts w:cs="Arial"/>
          <w:spacing w:val="-1"/>
        </w:rPr>
        <w:t>and</w:t>
      </w:r>
      <w:r w:rsidRPr="0057756F">
        <w:rPr>
          <w:rFonts w:cs="Arial"/>
          <w:spacing w:val="6"/>
        </w:rPr>
        <w:t xml:space="preserve"> </w:t>
      </w:r>
      <w:r w:rsidRPr="0057756F">
        <w:rPr>
          <w:rFonts w:cs="Arial"/>
        </w:rPr>
        <w:t>are</w:t>
      </w:r>
      <w:r w:rsidRPr="0057756F">
        <w:rPr>
          <w:rFonts w:cs="Arial"/>
          <w:spacing w:val="7"/>
        </w:rPr>
        <w:t xml:space="preserve"> </w:t>
      </w:r>
      <w:r w:rsidRPr="0057756F">
        <w:rPr>
          <w:rFonts w:cs="Arial"/>
        </w:rPr>
        <w:t>checked</w:t>
      </w:r>
      <w:r w:rsidRPr="0057756F">
        <w:rPr>
          <w:rFonts w:cs="Arial"/>
          <w:spacing w:val="6"/>
        </w:rPr>
        <w:t xml:space="preserve"> </w:t>
      </w:r>
      <w:r w:rsidRPr="0057756F">
        <w:rPr>
          <w:rFonts w:cs="Arial"/>
          <w:spacing w:val="-1"/>
        </w:rPr>
        <w:t>regularly</w:t>
      </w:r>
      <w:r w:rsidRPr="0057756F">
        <w:rPr>
          <w:rFonts w:cs="Arial"/>
          <w:spacing w:val="8"/>
        </w:rPr>
        <w:t xml:space="preserve"> </w:t>
      </w:r>
      <w:r w:rsidRPr="0057756F">
        <w:rPr>
          <w:rFonts w:cs="Arial"/>
          <w:spacing w:val="-1"/>
        </w:rPr>
        <w:t>by</w:t>
      </w:r>
      <w:r w:rsidRPr="0057756F">
        <w:rPr>
          <w:rFonts w:cs="Arial"/>
          <w:spacing w:val="8"/>
        </w:rPr>
        <w:t xml:space="preserve"> </w:t>
      </w:r>
      <w:r w:rsidRPr="0057756F">
        <w:rPr>
          <w:rFonts w:cs="Arial"/>
          <w:spacing w:val="-1"/>
        </w:rPr>
        <w:t>security</w:t>
      </w:r>
      <w:r w:rsidRPr="0057756F">
        <w:rPr>
          <w:rFonts w:cs="Arial"/>
          <w:spacing w:val="7"/>
        </w:rPr>
        <w:t xml:space="preserve"> </w:t>
      </w:r>
      <w:r w:rsidRPr="0057756F">
        <w:rPr>
          <w:rFonts w:cs="Arial"/>
          <w:spacing w:val="-1"/>
        </w:rPr>
        <w:t>personnel.</w:t>
      </w:r>
      <w:r w:rsidRPr="0057756F">
        <w:rPr>
          <w:rFonts w:cs="Arial"/>
          <w:spacing w:val="14"/>
        </w:rPr>
        <w:t xml:space="preserve"> </w:t>
      </w:r>
      <w:r w:rsidRPr="0057756F">
        <w:rPr>
          <w:rFonts w:cs="Arial"/>
          <w:spacing w:val="-1"/>
        </w:rPr>
        <w:t>Initially,</w:t>
      </w:r>
      <w:r w:rsidRPr="0057756F">
        <w:rPr>
          <w:rFonts w:cs="Arial"/>
          <w:spacing w:val="8"/>
        </w:rPr>
        <w:t xml:space="preserve"> </w:t>
      </w:r>
      <w:r w:rsidRPr="0057756F">
        <w:rPr>
          <w:rFonts w:cs="Arial"/>
        </w:rPr>
        <w:t>racks</w:t>
      </w:r>
      <w:r w:rsidRPr="0057756F">
        <w:rPr>
          <w:rFonts w:cs="Arial"/>
          <w:spacing w:val="5"/>
        </w:rPr>
        <w:t xml:space="preserve"> </w:t>
      </w:r>
      <w:r w:rsidRPr="0057756F">
        <w:rPr>
          <w:rFonts w:cs="Arial"/>
        </w:rPr>
        <w:t>of</w:t>
      </w:r>
      <w:r w:rsidRPr="0057756F">
        <w:rPr>
          <w:rFonts w:cs="Arial"/>
          <w:spacing w:val="71"/>
        </w:rPr>
        <w:t xml:space="preserve"> </w:t>
      </w:r>
      <w:r w:rsidRPr="0057756F">
        <w:rPr>
          <w:rFonts w:cs="Arial"/>
          <w:spacing w:val="-1"/>
        </w:rPr>
        <w:t>samples</w:t>
      </w:r>
      <w:r w:rsidRPr="0057756F">
        <w:rPr>
          <w:rFonts w:cs="Arial"/>
          <w:spacing w:val="5"/>
        </w:rPr>
        <w:t xml:space="preserve"> </w:t>
      </w:r>
      <w:r w:rsidRPr="0057756F">
        <w:rPr>
          <w:rFonts w:cs="Arial"/>
          <w:spacing w:val="-1"/>
        </w:rPr>
        <w:t>to</w:t>
      </w:r>
      <w:r w:rsidRPr="0057756F">
        <w:rPr>
          <w:rFonts w:cs="Arial"/>
          <w:spacing w:val="8"/>
        </w:rPr>
        <w:t xml:space="preserve"> </w:t>
      </w:r>
      <w:r w:rsidRPr="0057756F">
        <w:rPr>
          <w:rFonts w:cs="Arial"/>
          <w:spacing w:val="-1"/>
        </w:rPr>
        <w:t>be</w:t>
      </w:r>
      <w:r w:rsidRPr="0057756F">
        <w:rPr>
          <w:rFonts w:cs="Arial"/>
          <w:spacing w:val="5"/>
        </w:rPr>
        <w:t xml:space="preserve"> </w:t>
      </w:r>
      <w:r w:rsidRPr="0057756F">
        <w:rPr>
          <w:rFonts w:cs="Arial"/>
          <w:spacing w:val="-1"/>
        </w:rPr>
        <w:t>analysed</w:t>
      </w:r>
      <w:r w:rsidRPr="0057756F">
        <w:rPr>
          <w:rFonts w:cs="Arial"/>
          <w:spacing w:val="7"/>
        </w:rPr>
        <w:t xml:space="preserve"> </w:t>
      </w:r>
      <w:r w:rsidRPr="0057756F">
        <w:rPr>
          <w:rFonts w:cs="Arial"/>
        </w:rPr>
        <w:t>are</w:t>
      </w:r>
      <w:r w:rsidRPr="0057756F">
        <w:rPr>
          <w:rFonts w:cs="Arial"/>
          <w:spacing w:val="5"/>
        </w:rPr>
        <w:t xml:space="preserve"> </w:t>
      </w:r>
      <w:r w:rsidRPr="0057756F">
        <w:rPr>
          <w:rFonts w:cs="Arial"/>
          <w:spacing w:val="-1"/>
        </w:rPr>
        <w:t>stored</w:t>
      </w:r>
      <w:r w:rsidRPr="0057756F">
        <w:rPr>
          <w:rFonts w:cs="Arial"/>
          <w:spacing w:val="7"/>
        </w:rPr>
        <w:t xml:space="preserve"> </w:t>
      </w:r>
      <w:r w:rsidRPr="0057756F">
        <w:rPr>
          <w:rFonts w:cs="Arial"/>
        </w:rPr>
        <w:t>in</w:t>
      </w:r>
      <w:r w:rsidRPr="0057756F">
        <w:rPr>
          <w:rFonts w:cs="Arial"/>
          <w:spacing w:val="6"/>
        </w:rPr>
        <w:t xml:space="preserve"> </w:t>
      </w:r>
      <w:r w:rsidRPr="0057756F">
        <w:rPr>
          <w:rFonts w:cs="Arial"/>
        </w:rPr>
        <w:t>a</w:t>
      </w:r>
      <w:r w:rsidRPr="0057756F">
        <w:rPr>
          <w:rFonts w:cs="Arial"/>
          <w:spacing w:val="5"/>
        </w:rPr>
        <w:t xml:space="preserve"> </w:t>
      </w:r>
      <w:r w:rsidRPr="0057756F">
        <w:rPr>
          <w:rFonts w:cs="Arial"/>
          <w:spacing w:val="-1"/>
        </w:rPr>
        <w:t>holding</w:t>
      </w:r>
      <w:r w:rsidRPr="0057756F">
        <w:rPr>
          <w:rFonts w:cs="Arial"/>
          <w:spacing w:val="6"/>
        </w:rPr>
        <w:t xml:space="preserve"> </w:t>
      </w:r>
      <w:r w:rsidRPr="0057756F">
        <w:rPr>
          <w:rFonts w:cs="Arial"/>
          <w:spacing w:val="-1"/>
        </w:rPr>
        <w:t>freezer.</w:t>
      </w:r>
      <w:r w:rsidRPr="0057756F">
        <w:rPr>
          <w:rFonts w:cs="Arial"/>
          <w:spacing w:val="14"/>
        </w:rPr>
        <w:t xml:space="preserve"> </w:t>
      </w:r>
      <w:r w:rsidRPr="0057756F">
        <w:rPr>
          <w:rFonts w:cs="Arial"/>
        </w:rPr>
        <w:t>When</w:t>
      </w:r>
      <w:r w:rsidRPr="0057756F">
        <w:rPr>
          <w:rFonts w:cs="Arial"/>
          <w:spacing w:val="4"/>
        </w:rPr>
        <w:t xml:space="preserve"> </w:t>
      </w:r>
      <w:r w:rsidRPr="0057756F">
        <w:rPr>
          <w:rFonts w:cs="Arial"/>
        </w:rPr>
        <w:t>the</w:t>
      </w:r>
      <w:r w:rsidRPr="0057756F">
        <w:rPr>
          <w:rFonts w:cs="Arial"/>
          <w:spacing w:val="7"/>
        </w:rPr>
        <w:t xml:space="preserve"> </w:t>
      </w:r>
      <w:r w:rsidRPr="0057756F">
        <w:rPr>
          <w:rFonts w:cs="Arial"/>
          <w:spacing w:val="-1"/>
        </w:rPr>
        <w:t>samples</w:t>
      </w:r>
      <w:r w:rsidRPr="0057756F">
        <w:rPr>
          <w:rFonts w:cs="Arial"/>
          <w:spacing w:val="7"/>
        </w:rPr>
        <w:t xml:space="preserve"> </w:t>
      </w:r>
      <w:r w:rsidRPr="0057756F">
        <w:rPr>
          <w:rFonts w:cs="Arial"/>
        </w:rPr>
        <w:t>are</w:t>
      </w:r>
      <w:r w:rsidRPr="0057756F">
        <w:rPr>
          <w:rFonts w:cs="Arial"/>
          <w:spacing w:val="5"/>
        </w:rPr>
        <w:t xml:space="preserve"> </w:t>
      </w:r>
      <w:r w:rsidRPr="0057756F">
        <w:rPr>
          <w:rFonts w:cs="Arial"/>
          <w:spacing w:val="-1"/>
        </w:rPr>
        <w:t>logged</w:t>
      </w:r>
      <w:r w:rsidRPr="0057756F">
        <w:rPr>
          <w:rFonts w:cs="Arial"/>
          <w:spacing w:val="7"/>
        </w:rPr>
        <w:t xml:space="preserve"> </w:t>
      </w:r>
      <w:r w:rsidRPr="0057756F">
        <w:rPr>
          <w:rFonts w:cs="Arial"/>
          <w:spacing w:val="-1"/>
        </w:rPr>
        <w:t>into</w:t>
      </w:r>
      <w:r w:rsidRPr="0057756F">
        <w:rPr>
          <w:rFonts w:cs="Arial"/>
          <w:spacing w:val="6"/>
        </w:rPr>
        <w:t xml:space="preserve"> </w:t>
      </w:r>
      <w:r w:rsidRPr="0057756F">
        <w:rPr>
          <w:rFonts w:cs="Arial"/>
        </w:rPr>
        <w:t>the</w:t>
      </w:r>
      <w:r w:rsidRPr="0057756F">
        <w:rPr>
          <w:rFonts w:cs="Arial"/>
          <w:spacing w:val="45"/>
        </w:rPr>
        <w:t xml:space="preserve"> </w:t>
      </w:r>
      <w:r w:rsidRPr="0057756F">
        <w:rPr>
          <w:rFonts w:cs="Arial"/>
          <w:spacing w:val="-1"/>
        </w:rPr>
        <w:t>laboratory</w:t>
      </w:r>
      <w:r w:rsidRPr="0057756F">
        <w:rPr>
          <w:rFonts w:cs="Arial"/>
          <w:spacing w:val="10"/>
        </w:rPr>
        <w:t xml:space="preserve"> </w:t>
      </w:r>
      <w:r w:rsidRPr="0057756F">
        <w:rPr>
          <w:rFonts w:cs="Arial"/>
          <w:spacing w:val="-1"/>
        </w:rPr>
        <w:t>data</w:t>
      </w:r>
      <w:r w:rsidRPr="0057756F">
        <w:rPr>
          <w:rFonts w:cs="Arial"/>
          <w:spacing w:val="10"/>
        </w:rPr>
        <w:t xml:space="preserve"> </w:t>
      </w:r>
      <w:r w:rsidRPr="0057756F">
        <w:rPr>
          <w:rFonts w:cs="Arial"/>
          <w:spacing w:val="-1"/>
        </w:rPr>
        <w:t>system,</w:t>
      </w:r>
      <w:r w:rsidRPr="0057756F">
        <w:rPr>
          <w:rFonts w:cs="Arial"/>
          <w:spacing w:val="10"/>
        </w:rPr>
        <w:t xml:space="preserve"> </w:t>
      </w:r>
      <w:r w:rsidRPr="0057756F">
        <w:rPr>
          <w:rFonts w:cs="Arial"/>
          <w:spacing w:val="-1"/>
        </w:rPr>
        <w:t>they</w:t>
      </w:r>
      <w:r w:rsidRPr="0057756F">
        <w:rPr>
          <w:rFonts w:cs="Arial"/>
          <w:spacing w:val="11"/>
        </w:rPr>
        <w:t xml:space="preserve"> </w:t>
      </w:r>
      <w:r w:rsidRPr="0057756F">
        <w:rPr>
          <w:rFonts w:cs="Arial"/>
        </w:rPr>
        <w:t>are</w:t>
      </w:r>
      <w:r w:rsidRPr="0057756F">
        <w:rPr>
          <w:rFonts w:cs="Arial"/>
          <w:spacing w:val="10"/>
        </w:rPr>
        <w:t xml:space="preserve"> </w:t>
      </w:r>
      <w:r w:rsidRPr="0057756F">
        <w:rPr>
          <w:rFonts w:cs="Arial"/>
          <w:spacing w:val="-1"/>
        </w:rPr>
        <w:t>transferred</w:t>
      </w:r>
      <w:r w:rsidRPr="0057756F">
        <w:rPr>
          <w:rFonts w:cs="Arial"/>
          <w:spacing w:val="9"/>
        </w:rPr>
        <w:t xml:space="preserve"> </w:t>
      </w:r>
      <w:r w:rsidRPr="0057756F">
        <w:rPr>
          <w:rFonts w:cs="Arial"/>
        </w:rPr>
        <w:t>to</w:t>
      </w:r>
      <w:r w:rsidRPr="0057756F">
        <w:rPr>
          <w:rFonts w:cs="Arial"/>
          <w:spacing w:val="11"/>
        </w:rPr>
        <w:t xml:space="preserve"> </w:t>
      </w:r>
      <w:r w:rsidRPr="0057756F">
        <w:rPr>
          <w:rFonts w:cs="Arial"/>
        </w:rPr>
        <w:t>a</w:t>
      </w:r>
      <w:r w:rsidRPr="0057756F">
        <w:rPr>
          <w:rFonts w:cs="Arial"/>
          <w:spacing w:val="9"/>
        </w:rPr>
        <w:t xml:space="preserve"> </w:t>
      </w:r>
      <w:r w:rsidRPr="0057756F">
        <w:rPr>
          <w:rFonts w:cs="Arial"/>
        </w:rPr>
        <w:t>pre-analysis</w:t>
      </w:r>
      <w:r w:rsidRPr="0057756F">
        <w:rPr>
          <w:rFonts w:cs="Arial"/>
          <w:spacing w:val="10"/>
        </w:rPr>
        <w:t xml:space="preserve"> </w:t>
      </w:r>
      <w:r w:rsidRPr="0057756F">
        <w:rPr>
          <w:rFonts w:cs="Arial"/>
          <w:spacing w:val="-1"/>
        </w:rPr>
        <w:t>freezer,</w:t>
      </w:r>
      <w:r w:rsidRPr="0057756F">
        <w:rPr>
          <w:rFonts w:cs="Arial"/>
          <w:spacing w:val="10"/>
        </w:rPr>
        <w:t xml:space="preserve"> </w:t>
      </w:r>
      <w:r w:rsidRPr="0057756F">
        <w:rPr>
          <w:rFonts w:cs="Arial"/>
          <w:spacing w:val="-1"/>
        </w:rPr>
        <w:t>where</w:t>
      </w:r>
      <w:r w:rsidRPr="0057756F">
        <w:rPr>
          <w:rFonts w:cs="Arial"/>
          <w:spacing w:val="10"/>
        </w:rPr>
        <w:t xml:space="preserve"> </w:t>
      </w:r>
      <w:r w:rsidRPr="0057756F">
        <w:rPr>
          <w:rFonts w:cs="Arial"/>
          <w:spacing w:val="-1"/>
        </w:rPr>
        <w:t>they</w:t>
      </w:r>
      <w:r w:rsidRPr="0057756F">
        <w:rPr>
          <w:rFonts w:cs="Arial"/>
          <w:spacing w:val="11"/>
        </w:rPr>
        <w:t xml:space="preserve"> </w:t>
      </w:r>
      <w:r w:rsidRPr="0057756F">
        <w:rPr>
          <w:rFonts w:cs="Arial"/>
        </w:rPr>
        <w:t>are</w:t>
      </w:r>
      <w:r w:rsidRPr="0057756F">
        <w:rPr>
          <w:rFonts w:cs="Arial"/>
          <w:spacing w:val="10"/>
        </w:rPr>
        <w:t xml:space="preserve"> </w:t>
      </w:r>
      <w:r w:rsidRPr="0057756F">
        <w:rPr>
          <w:rFonts w:cs="Arial"/>
          <w:spacing w:val="-1"/>
        </w:rPr>
        <w:t>tracked</w:t>
      </w:r>
      <w:r w:rsidRPr="0057756F">
        <w:rPr>
          <w:rFonts w:cs="Arial"/>
          <w:spacing w:val="51"/>
        </w:rPr>
        <w:t xml:space="preserve"> </w:t>
      </w:r>
      <w:r w:rsidRPr="0057756F">
        <w:rPr>
          <w:rFonts w:cs="Arial"/>
          <w:spacing w:val="-1"/>
        </w:rPr>
        <w:t>by</w:t>
      </w:r>
      <w:r w:rsidRPr="0057756F">
        <w:rPr>
          <w:rFonts w:cs="Arial"/>
        </w:rPr>
        <w:t xml:space="preserve"> rack</w:t>
      </w:r>
      <w:r w:rsidRPr="0057756F">
        <w:rPr>
          <w:rFonts w:cs="Arial"/>
          <w:spacing w:val="-2"/>
        </w:rPr>
        <w:t xml:space="preserve"> </w:t>
      </w:r>
      <w:r w:rsidRPr="0057756F">
        <w:rPr>
          <w:rFonts w:cs="Arial"/>
          <w:spacing w:val="-1"/>
        </w:rPr>
        <w:t>number.</w:t>
      </w:r>
    </w:p>
    <w:p w14:paraId="213B648D" w14:textId="77777777" w:rsidR="0031675F" w:rsidRPr="0057756F" w:rsidRDefault="0031675F" w:rsidP="0031675F">
      <w:pPr>
        <w:widowControl w:val="0"/>
        <w:numPr>
          <w:ilvl w:val="1"/>
          <w:numId w:val="127"/>
        </w:numPr>
        <w:tabs>
          <w:tab w:val="left" w:pos="706"/>
        </w:tabs>
        <w:spacing w:before="0" w:after="0" w:line="240" w:lineRule="auto"/>
        <w:rPr>
          <w:rFonts w:cs="Arial"/>
        </w:rPr>
      </w:pPr>
      <w:r w:rsidRPr="0057756F">
        <w:rPr>
          <w:rFonts w:cs="Arial"/>
          <w:spacing w:val="-1"/>
        </w:rPr>
        <w:t>Weighing balances</w:t>
      </w:r>
      <w:r w:rsidRPr="0057756F">
        <w:rPr>
          <w:rFonts w:cs="Arial"/>
        </w:rPr>
        <w:t xml:space="preserve"> </w:t>
      </w:r>
      <w:r w:rsidRPr="0057756F">
        <w:rPr>
          <w:rFonts w:cs="Arial"/>
          <w:spacing w:val="-1"/>
        </w:rPr>
        <w:t>(serviced/calibrated</w:t>
      </w:r>
      <w:r w:rsidRPr="0057756F">
        <w:rPr>
          <w:rFonts w:cs="Arial"/>
          <w:spacing w:val="-3"/>
        </w:rPr>
        <w:t xml:space="preserve"> </w:t>
      </w:r>
      <w:r w:rsidRPr="0057756F">
        <w:rPr>
          <w:rFonts w:cs="Arial"/>
          <w:spacing w:val="-1"/>
        </w:rPr>
        <w:t>annually).</w:t>
      </w:r>
    </w:p>
    <w:p w14:paraId="7E8D3402" w14:textId="77777777" w:rsidR="0031675F" w:rsidRPr="0057756F" w:rsidRDefault="0031675F" w:rsidP="0031675F">
      <w:pPr>
        <w:widowControl w:val="0"/>
        <w:numPr>
          <w:ilvl w:val="1"/>
          <w:numId w:val="127"/>
        </w:numPr>
        <w:tabs>
          <w:tab w:val="left" w:pos="706"/>
        </w:tabs>
        <w:spacing w:before="0" w:after="0" w:line="240" w:lineRule="auto"/>
        <w:rPr>
          <w:rFonts w:cs="Arial"/>
        </w:rPr>
      </w:pPr>
      <w:r w:rsidRPr="0057756F">
        <w:rPr>
          <w:rFonts w:cs="Arial"/>
          <w:spacing w:val="-1"/>
        </w:rPr>
        <w:t>Volumetric</w:t>
      </w:r>
      <w:r w:rsidRPr="0057756F">
        <w:rPr>
          <w:rFonts w:cs="Arial"/>
        </w:rPr>
        <w:t xml:space="preserve"> </w:t>
      </w:r>
      <w:r w:rsidRPr="0057756F">
        <w:rPr>
          <w:rFonts w:cs="Arial"/>
          <w:spacing w:val="-2"/>
        </w:rPr>
        <w:t>flasks</w:t>
      </w:r>
      <w:r w:rsidRPr="0057756F">
        <w:rPr>
          <w:rFonts w:cs="Arial"/>
          <w:spacing w:val="1"/>
        </w:rPr>
        <w:t xml:space="preserve"> </w:t>
      </w:r>
      <w:r w:rsidRPr="0057756F">
        <w:rPr>
          <w:rFonts w:cs="Arial"/>
          <w:spacing w:val="-1"/>
        </w:rPr>
        <w:t>and positive</w:t>
      </w:r>
      <w:r w:rsidRPr="0057756F">
        <w:rPr>
          <w:rFonts w:cs="Arial"/>
          <w:spacing w:val="1"/>
        </w:rPr>
        <w:t xml:space="preserve"> </w:t>
      </w:r>
      <w:r w:rsidRPr="0057756F">
        <w:rPr>
          <w:rFonts w:cs="Arial"/>
          <w:spacing w:val="-1"/>
        </w:rPr>
        <w:t>displacement pipettes</w:t>
      </w:r>
      <w:r w:rsidRPr="0057756F">
        <w:rPr>
          <w:rFonts w:cs="Arial"/>
          <w:spacing w:val="-2"/>
        </w:rPr>
        <w:t xml:space="preserve"> </w:t>
      </w:r>
      <w:r w:rsidRPr="0057756F">
        <w:rPr>
          <w:rFonts w:cs="Arial"/>
          <w:spacing w:val="-1"/>
        </w:rPr>
        <w:t>for</w:t>
      </w:r>
      <w:r w:rsidRPr="0057756F">
        <w:rPr>
          <w:rFonts w:cs="Arial"/>
        </w:rPr>
        <w:t xml:space="preserve"> </w:t>
      </w:r>
      <w:r w:rsidRPr="0057756F">
        <w:rPr>
          <w:rFonts w:cs="Arial"/>
          <w:spacing w:val="-1"/>
        </w:rPr>
        <w:t>preparation</w:t>
      </w:r>
      <w:r w:rsidRPr="0057756F">
        <w:rPr>
          <w:rFonts w:cs="Arial"/>
          <w:spacing w:val="-3"/>
        </w:rPr>
        <w:t xml:space="preserve"> </w:t>
      </w:r>
      <w:r w:rsidRPr="0057756F">
        <w:rPr>
          <w:rFonts w:cs="Arial"/>
          <w:spacing w:val="1"/>
        </w:rPr>
        <w:t>of</w:t>
      </w:r>
      <w:r w:rsidRPr="0057756F">
        <w:rPr>
          <w:rFonts w:cs="Arial"/>
        </w:rPr>
        <w:t xml:space="preserve"> </w:t>
      </w:r>
      <w:r w:rsidRPr="0057756F">
        <w:rPr>
          <w:rFonts w:cs="Arial"/>
          <w:spacing w:val="-1"/>
        </w:rPr>
        <w:t>standard</w:t>
      </w:r>
      <w:r w:rsidRPr="0057756F">
        <w:rPr>
          <w:rFonts w:cs="Arial"/>
          <w:spacing w:val="-3"/>
        </w:rPr>
        <w:t xml:space="preserve"> </w:t>
      </w:r>
      <w:r w:rsidRPr="0057756F">
        <w:rPr>
          <w:rFonts w:cs="Arial"/>
          <w:spacing w:val="-1"/>
        </w:rPr>
        <w:t>solutions.</w:t>
      </w:r>
    </w:p>
    <w:p w14:paraId="0A11392D" w14:textId="7B6FDEBB" w:rsidR="0031675F" w:rsidRPr="0057756F" w:rsidRDefault="0031675F" w:rsidP="0031675F">
      <w:pPr>
        <w:widowControl w:val="0"/>
        <w:numPr>
          <w:ilvl w:val="1"/>
          <w:numId w:val="127"/>
        </w:numPr>
        <w:tabs>
          <w:tab w:val="left" w:pos="706"/>
        </w:tabs>
        <w:spacing w:before="0" w:after="0" w:line="240" w:lineRule="auto"/>
        <w:rPr>
          <w:rFonts w:cs="Arial"/>
        </w:rPr>
      </w:pPr>
      <w:r w:rsidRPr="0057756F">
        <w:rPr>
          <w:rFonts w:cs="Arial"/>
          <w:spacing w:val="-1"/>
        </w:rPr>
        <w:t>Cleaned, plastic</w:t>
      </w:r>
      <w:r w:rsidRPr="0057756F">
        <w:rPr>
          <w:rFonts w:cs="Arial"/>
        </w:rPr>
        <w:t xml:space="preserve"> </w:t>
      </w:r>
      <w:r w:rsidRPr="0057756F">
        <w:rPr>
          <w:rFonts w:cs="Arial"/>
          <w:spacing w:val="-1"/>
        </w:rPr>
        <w:t>ware</w:t>
      </w:r>
      <w:r w:rsidRPr="0057756F">
        <w:rPr>
          <w:rFonts w:cs="Arial"/>
        </w:rPr>
        <w:t xml:space="preserve"> is </w:t>
      </w:r>
      <w:r w:rsidRPr="0057756F">
        <w:rPr>
          <w:rFonts w:cs="Arial"/>
          <w:spacing w:val="-2"/>
        </w:rPr>
        <w:t>used</w:t>
      </w:r>
      <w:r w:rsidRPr="0057756F">
        <w:rPr>
          <w:rFonts w:cs="Arial"/>
          <w:spacing w:val="-1"/>
        </w:rPr>
        <w:t xml:space="preserve"> where</w:t>
      </w:r>
      <w:r w:rsidRPr="0057756F">
        <w:rPr>
          <w:rFonts w:cs="Arial"/>
          <w:spacing w:val="-2"/>
        </w:rPr>
        <w:t xml:space="preserve"> </w:t>
      </w:r>
      <w:r w:rsidRPr="0057756F">
        <w:rPr>
          <w:rFonts w:cs="Arial"/>
          <w:spacing w:val="-1"/>
        </w:rPr>
        <w:t>possible</w:t>
      </w:r>
      <w:r w:rsidRPr="0057756F">
        <w:rPr>
          <w:rFonts w:cs="Arial"/>
          <w:spacing w:val="-3"/>
        </w:rPr>
        <w:t xml:space="preserve"> </w:t>
      </w:r>
      <w:r w:rsidRPr="0057756F">
        <w:rPr>
          <w:rFonts w:cs="Arial"/>
          <w:spacing w:val="-1"/>
        </w:rPr>
        <w:t>to</w:t>
      </w:r>
      <w:r w:rsidRPr="0057756F">
        <w:rPr>
          <w:rFonts w:cs="Arial"/>
          <w:spacing w:val="1"/>
        </w:rPr>
        <w:t xml:space="preserve"> </w:t>
      </w:r>
      <w:r w:rsidRPr="0057756F">
        <w:rPr>
          <w:rFonts w:cs="Arial"/>
          <w:spacing w:val="-1"/>
        </w:rPr>
        <w:t>avoid</w:t>
      </w:r>
      <w:r w:rsidRPr="0057756F">
        <w:rPr>
          <w:rFonts w:cs="Arial"/>
          <w:spacing w:val="-3"/>
        </w:rPr>
        <w:t xml:space="preserve"> </w:t>
      </w:r>
      <w:r w:rsidRPr="0057756F">
        <w:rPr>
          <w:rFonts w:cs="Arial"/>
          <w:spacing w:val="-1"/>
        </w:rPr>
        <w:t>contamination</w:t>
      </w:r>
      <w:r w:rsidRPr="0057756F">
        <w:rPr>
          <w:rFonts w:cs="Arial"/>
          <w:spacing w:val="-3"/>
        </w:rPr>
        <w:t xml:space="preserve"> </w:t>
      </w:r>
      <w:r w:rsidRPr="0057756F">
        <w:rPr>
          <w:rFonts w:cs="Arial"/>
          <w:spacing w:val="-1"/>
        </w:rPr>
        <w:t>from</w:t>
      </w:r>
      <w:r w:rsidRPr="0057756F">
        <w:rPr>
          <w:rFonts w:cs="Arial"/>
          <w:spacing w:val="1"/>
        </w:rPr>
        <w:t xml:space="preserve"> </w:t>
      </w:r>
      <w:r w:rsidRPr="0057756F">
        <w:rPr>
          <w:rFonts w:cs="Arial"/>
          <w:spacing w:val="-1"/>
        </w:rPr>
        <w:t xml:space="preserve">dissolution </w:t>
      </w:r>
      <w:r w:rsidRPr="0057756F">
        <w:rPr>
          <w:rFonts w:cs="Arial"/>
        </w:rPr>
        <w:t>of</w:t>
      </w:r>
      <w:r w:rsidRPr="0057756F">
        <w:rPr>
          <w:rFonts w:cs="Arial"/>
          <w:spacing w:val="-3"/>
        </w:rPr>
        <w:t xml:space="preserve"> </w:t>
      </w:r>
      <w:r w:rsidRPr="0057756F">
        <w:rPr>
          <w:rFonts w:cs="Arial"/>
          <w:spacing w:val="-1"/>
        </w:rPr>
        <w:t>silica</w:t>
      </w:r>
      <w:r w:rsidR="006B5965" w:rsidRPr="0057756F">
        <w:rPr>
          <w:rFonts w:cs="Arial"/>
          <w:spacing w:val="-1"/>
        </w:rPr>
        <w:t>te</w:t>
      </w:r>
      <w:r w:rsidRPr="0057756F">
        <w:rPr>
          <w:rFonts w:cs="Arial"/>
          <w:spacing w:val="-1"/>
        </w:rPr>
        <w:t>.</w:t>
      </w:r>
    </w:p>
    <w:p w14:paraId="51CB1DFB" w14:textId="77777777" w:rsidR="0031675F" w:rsidRPr="0057756F" w:rsidRDefault="0031675F" w:rsidP="0031675F">
      <w:pPr>
        <w:widowControl w:val="0"/>
        <w:numPr>
          <w:ilvl w:val="1"/>
          <w:numId w:val="127"/>
        </w:numPr>
        <w:tabs>
          <w:tab w:val="left" w:pos="706"/>
        </w:tabs>
        <w:spacing w:before="0" w:after="0" w:line="240" w:lineRule="auto"/>
        <w:ind w:right="595"/>
        <w:rPr>
          <w:rFonts w:cs="Arial"/>
        </w:rPr>
      </w:pPr>
      <w:r w:rsidRPr="0057756F">
        <w:rPr>
          <w:rFonts w:cs="Arial"/>
          <w:spacing w:val="-1"/>
        </w:rPr>
        <w:t>All</w:t>
      </w:r>
      <w:r w:rsidRPr="0057756F">
        <w:rPr>
          <w:rFonts w:cs="Arial"/>
        </w:rPr>
        <w:t xml:space="preserve"> </w:t>
      </w:r>
      <w:r w:rsidRPr="0057756F">
        <w:rPr>
          <w:rFonts w:cs="Arial"/>
          <w:spacing w:val="17"/>
        </w:rPr>
        <w:t xml:space="preserve"> </w:t>
      </w:r>
      <w:r w:rsidRPr="0057756F">
        <w:rPr>
          <w:rFonts w:cs="Arial"/>
          <w:spacing w:val="-1"/>
        </w:rPr>
        <w:t>glass</w:t>
      </w:r>
      <w:r w:rsidRPr="0057756F">
        <w:rPr>
          <w:rFonts w:cs="Arial"/>
        </w:rPr>
        <w:t xml:space="preserve"> </w:t>
      </w:r>
      <w:r w:rsidRPr="0057756F">
        <w:rPr>
          <w:rFonts w:cs="Arial"/>
          <w:spacing w:val="16"/>
        </w:rPr>
        <w:t xml:space="preserve"> </w:t>
      </w:r>
      <w:r w:rsidRPr="0057756F">
        <w:rPr>
          <w:rFonts w:cs="Arial"/>
          <w:spacing w:val="-1"/>
        </w:rPr>
        <w:t>and</w:t>
      </w:r>
      <w:r w:rsidRPr="0057756F">
        <w:rPr>
          <w:rFonts w:cs="Arial"/>
        </w:rPr>
        <w:t xml:space="preserve"> </w:t>
      </w:r>
      <w:r w:rsidRPr="0057756F">
        <w:rPr>
          <w:rFonts w:cs="Arial"/>
          <w:spacing w:val="17"/>
        </w:rPr>
        <w:t xml:space="preserve"> </w:t>
      </w:r>
      <w:r w:rsidRPr="0057756F">
        <w:rPr>
          <w:rFonts w:cs="Arial"/>
          <w:spacing w:val="-1"/>
        </w:rPr>
        <w:t>plastic</w:t>
      </w:r>
      <w:r w:rsidRPr="0057756F">
        <w:rPr>
          <w:rFonts w:cs="Arial"/>
        </w:rPr>
        <w:t xml:space="preserve"> </w:t>
      </w:r>
      <w:r w:rsidRPr="0057756F">
        <w:rPr>
          <w:rFonts w:cs="Arial"/>
          <w:spacing w:val="14"/>
        </w:rPr>
        <w:t xml:space="preserve"> </w:t>
      </w:r>
      <w:r w:rsidRPr="0057756F">
        <w:rPr>
          <w:rFonts w:cs="Arial"/>
          <w:spacing w:val="-1"/>
        </w:rPr>
        <w:t>ware</w:t>
      </w:r>
      <w:r w:rsidRPr="0057756F">
        <w:rPr>
          <w:rFonts w:cs="Arial"/>
        </w:rPr>
        <w:t xml:space="preserve"> </w:t>
      </w:r>
      <w:r w:rsidRPr="0057756F">
        <w:rPr>
          <w:rFonts w:cs="Arial"/>
          <w:spacing w:val="18"/>
        </w:rPr>
        <w:t xml:space="preserve"> </w:t>
      </w:r>
      <w:r w:rsidRPr="0057756F">
        <w:rPr>
          <w:rFonts w:cs="Arial"/>
        </w:rPr>
        <w:t xml:space="preserve">is </w:t>
      </w:r>
      <w:r w:rsidRPr="0057756F">
        <w:rPr>
          <w:rFonts w:cs="Arial"/>
          <w:spacing w:val="17"/>
        </w:rPr>
        <w:t xml:space="preserve"> </w:t>
      </w:r>
      <w:r w:rsidRPr="0057756F">
        <w:rPr>
          <w:rFonts w:cs="Arial"/>
          <w:spacing w:val="-1"/>
        </w:rPr>
        <w:t>washed</w:t>
      </w:r>
      <w:r w:rsidRPr="0057756F">
        <w:rPr>
          <w:rFonts w:cs="Arial"/>
        </w:rPr>
        <w:t xml:space="preserve"> </w:t>
      </w:r>
      <w:r w:rsidRPr="0057756F">
        <w:rPr>
          <w:rFonts w:cs="Arial"/>
          <w:spacing w:val="17"/>
        </w:rPr>
        <w:t xml:space="preserve"> </w:t>
      </w:r>
      <w:r w:rsidRPr="0057756F">
        <w:rPr>
          <w:rFonts w:cs="Arial"/>
          <w:spacing w:val="-1"/>
        </w:rPr>
        <w:t>with</w:t>
      </w:r>
      <w:r w:rsidRPr="0057756F">
        <w:rPr>
          <w:rFonts w:cs="Arial"/>
        </w:rPr>
        <w:t xml:space="preserve"> </w:t>
      </w:r>
      <w:r w:rsidRPr="0057756F">
        <w:rPr>
          <w:rFonts w:cs="Arial"/>
          <w:spacing w:val="17"/>
        </w:rPr>
        <w:t xml:space="preserve"> </w:t>
      </w:r>
      <w:r w:rsidRPr="0057756F">
        <w:rPr>
          <w:rFonts w:cs="Arial"/>
          <w:spacing w:val="-1"/>
        </w:rPr>
        <w:t>10%HCl</w:t>
      </w:r>
      <w:r w:rsidRPr="0057756F">
        <w:rPr>
          <w:rFonts w:cs="Arial"/>
        </w:rPr>
        <w:t xml:space="preserve"> </w:t>
      </w:r>
      <w:r w:rsidRPr="0057756F">
        <w:rPr>
          <w:rFonts w:cs="Arial"/>
          <w:spacing w:val="17"/>
        </w:rPr>
        <w:t xml:space="preserve"> </w:t>
      </w:r>
      <w:r w:rsidRPr="0057756F">
        <w:rPr>
          <w:rFonts w:cs="Arial"/>
          <w:spacing w:val="-1"/>
        </w:rPr>
        <w:t>and</w:t>
      </w:r>
      <w:r w:rsidRPr="0057756F">
        <w:rPr>
          <w:rFonts w:cs="Arial"/>
        </w:rPr>
        <w:t xml:space="preserve"> </w:t>
      </w:r>
      <w:r w:rsidRPr="0057756F">
        <w:rPr>
          <w:rFonts w:cs="Arial"/>
          <w:spacing w:val="17"/>
        </w:rPr>
        <w:t xml:space="preserve"> </w:t>
      </w:r>
      <w:r w:rsidRPr="0057756F">
        <w:rPr>
          <w:rFonts w:cs="Arial"/>
          <w:spacing w:val="-1"/>
        </w:rPr>
        <w:t>rinsed</w:t>
      </w:r>
      <w:r w:rsidRPr="0057756F">
        <w:rPr>
          <w:rFonts w:cs="Arial"/>
        </w:rPr>
        <w:t xml:space="preserve"> </w:t>
      </w:r>
      <w:r w:rsidRPr="0057756F">
        <w:rPr>
          <w:rFonts w:cs="Arial"/>
          <w:spacing w:val="17"/>
        </w:rPr>
        <w:t xml:space="preserve"> </w:t>
      </w:r>
      <w:r w:rsidRPr="0057756F">
        <w:rPr>
          <w:rFonts w:cs="Arial"/>
        </w:rPr>
        <w:t xml:space="preserve">with </w:t>
      </w:r>
      <w:r w:rsidRPr="0057756F">
        <w:rPr>
          <w:rFonts w:cs="Arial"/>
          <w:spacing w:val="15"/>
        </w:rPr>
        <w:t xml:space="preserve"> </w:t>
      </w:r>
      <w:r w:rsidRPr="0057756F">
        <w:rPr>
          <w:rFonts w:cs="Arial"/>
        </w:rPr>
        <w:t>18MΩ</w:t>
      </w:r>
      <w:r w:rsidRPr="0057756F">
        <w:rPr>
          <w:rFonts w:cs="Arial"/>
          <w:spacing w:val="54"/>
        </w:rPr>
        <w:t xml:space="preserve"> </w:t>
      </w:r>
      <w:r w:rsidRPr="0057756F">
        <w:rPr>
          <w:rFonts w:cs="Arial"/>
          <w:spacing w:val="-1"/>
        </w:rPr>
        <w:t>water;</w:t>
      </w:r>
      <w:r w:rsidRPr="0057756F">
        <w:rPr>
          <w:rFonts w:cs="Arial"/>
        </w:rPr>
        <w:t xml:space="preserve"> </w:t>
      </w:r>
      <w:r w:rsidRPr="0057756F">
        <w:rPr>
          <w:rFonts w:cs="Arial"/>
          <w:spacing w:val="16"/>
        </w:rPr>
        <w:t xml:space="preserve"> </w:t>
      </w:r>
      <w:r w:rsidRPr="0057756F">
        <w:rPr>
          <w:rFonts w:cs="Arial"/>
        </w:rPr>
        <w:t>other</w:t>
      </w:r>
      <w:r w:rsidRPr="0057756F">
        <w:rPr>
          <w:rFonts w:cs="Arial"/>
          <w:spacing w:val="57"/>
        </w:rPr>
        <w:t xml:space="preserve"> </w:t>
      </w:r>
      <w:r w:rsidRPr="0057756F">
        <w:rPr>
          <w:rFonts w:cs="Arial"/>
          <w:spacing w:val="-1"/>
        </w:rPr>
        <w:t xml:space="preserve">equipment </w:t>
      </w:r>
      <w:r w:rsidRPr="0057756F">
        <w:rPr>
          <w:rFonts w:cs="Arial"/>
          <w:spacing w:val="-2"/>
        </w:rPr>
        <w:t>is</w:t>
      </w:r>
      <w:r w:rsidRPr="0057756F">
        <w:rPr>
          <w:rFonts w:cs="Arial"/>
        </w:rPr>
        <w:t xml:space="preserve"> </w:t>
      </w:r>
      <w:r w:rsidRPr="0057756F">
        <w:rPr>
          <w:rFonts w:cs="Arial"/>
          <w:spacing w:val="-1"/>
        </w:rPr>
        <w:t>rinsed</w:t>
      </w:r>
      <w:r w:rsidRPr="0057756F">
        <w:rPr>
          <w:rFonts w:cs="Arial"/>
          <w:spacing w:val="-2"/>
        </w:rPr>
        <w:t xml:space="preserve"> </w:t>
      </w:r>
      <w:r w:rsidRPr="0057756F">
        <w:rPr>
          <w:rFonts w:cs="Arial"/>
        </w:rPr>
        <w:t>with</w:t>
      </w:r>
      <w:r w:rsidRPr="0057756F">
        <w:rPr>
          <w:rFonts w:cs="Arial"/>
          <w:spacing w:val="-2"/>
        </w:rPr>
        <w:t xml:space="preserve"> </w:t>
      </w:r>
      <w:r w:rsidRPr="0057756F">
        <w:rPr>
          <w:rFonts w:cs="Arial"/>
          <w:spacing w:val="-1"/>
        </w:rPr>
        <w:t>18MΩ</w:t>
      </w:r>
      <w:r w:rsidRPr="0057756F">
        <w:rPr>
          <w:rFonts w:cs="Arial"/>
          <w:spacing w:val="-11"/>
        </w:rPr>
        <w:t xml:space="preserve"> </w:t>
      </w:r>
      <w:r w:rsidRPr="0057756F">
        <w:rPr>
          <w:rFonts w:cs="Arial"/>
          <w:spacing w:val="-1"/>
        </w:rPr>
        <w:t>water.</w:t>
      </w:r>
    </w:p>
    <w:p w14:paraId="784A0D95" w14:textId="77777777" w:rsidR="0031675F" w:rsidRPr="0057756F" w:rsidRDefault="0031675F" w:rsidP="0031675F">
      <w:pPr>
        <w:widowControl w:val="0"/>
        <w:numPr>
          <w:ilvl w:val="0"/>
          <w:numId w:val="127"/>
        </w:numPr>
        <w:tabs>
          <w:tab w:val="left" w:pos="499"/>
        </w:tabs>
        <w:spacing w:before="0" w:after="0" w:line="240" w:lineRule="auto"/>
        <w:jc w:val="both"/>
        <w:rPr>
          <w:rFonts w:cs="Arial"/>
        </w:rPr>
      </w:pPr>
      <w:r w:rsidRPr="0057756F">
        <w:rPr>
          <w:rFonts w:cs="Arial"/>
          <w:spacing w:val="-1"/>
        </w:rPr>
        <w:t>Reagents</w:t>
      </w:r>
      <w:r w:rsidRPr="0057756F">
        <w:rPr>
          <w:rFonts w:cs="Arial"/>
          <w:spacing w:val="-2"/>
        </w:rPr>
        <w:t xml:space="preserve"> </w:t>
      </w:r>
      <w:r w:rsidRPr="0057756F">
        <w:rPr>
          <w:rFonts w:cs="Arial"/>
          <w:spacing w:val="-1"/>
        </w:rPr>
        <w:t>and Water</w:t>
      </w:r>
    </w:p>
    <w:p w14:paraId="4BF80071" w14:textId="40D4C1B9" w:rsidR="0031675F" w:rsidRPr="0057756F" w:rsidRDefault="0031675F" w:rsidP="0031675F">
      <w:pPr>
        <w:widowControl w:val="0"/>
        <w:numPr>
          <w:ilvl w:val="1"/>
          <w:numId w:val="127"/>
        </w:numPr>
        <w:tabs>
          <w:tab w:val="left" w:pos="706"/>
        </w:tabs>
        <w:spacing w:before="6" w:after="0" w:line="233" w:lineRule="auto"/>
        <w:ind w:right="594"/>
        <w:rPr>
          <w:rFonts w:cs="Arial"/>
        </w:rPr>
      </w:pPr>
      <w:r w:rsidRPr="0057756F">
        <w:rPr>
          <w:rFonts w:cs="Arial"/>
          <w:spacing w:val="-1"/>
        </w:rPr>
        <w:t>Nutrient</w:t>
      </w:r>
      <w:r w:rsidRPr="0057756F">
        <w:rPr>
          <w:rFonts w:cs="Arial"/>
        </w:rPr>
        <w:t xml:space="preserve">  </w:t>
      </w:r>
      <w:r w:rsidRPr="0057756F">
        <w:rPr>
          <w:rFonts w:cs="Arial"/>
          <w:spacing w:val="-1"/>
        </w:rPr>
        <w:t>standards</w:t>
      </w:r>
      <w:r w:rsidRPr="0057756F">
        <w:rPr>
          <w:rFonts w:cs="Arial"/>
        </w:rPr>
        <w:t xml:space="preserve"> </w:t>
      </w:r>
      <w:r w:rsidRPr="0057756F">
        <w:rPr>
          <w:rFonts w:cs="Arial"/>
          <w:spacing w:val="1"/>
        </w:rPr>
        <w:t xml:space="preserve"> </w:t>
      </w:r>
      <w:r w:rsidRPr="0057756F">
        <w:rPr>
          <w:rFonts w:cs="Arial"/>
          <w:spacing w:val="-1"/>
        </w:rPr>
        <w:t>are</w:t>
      </w:r>
      <w:r w:rsidRPr="0057756F">
        <w:rPr>
          <w:rFonts w:cs="Arial"/>
        </w:rPr>
        <w:t xml:space="preserve"> </w:t>
      </w:r>
      <w:r w:rsidRPr="0057756F">
        <w:rPr>
          <w:rFonts w:cs="Arial"/>
          <w:spacing w:val="1"/>
        </w:rPr>
        <w:t xml:space="preserve"> </w:t>
      </w:r>
      <w:r w:rsidRPr="0057756F">
        <w:rPr>
          <w:rFonts w:cs="Arial"/>
          <w:spacing w:val="-1"/>
        </w:rPr>
        <w:t>prepared</w:t>
      </w:r>
      <w:r w:rsidRPr="0057756F">
        <w:rPr>
          <w:rFonts w:cs="Arial"/>
        </w:rPr>
        <w:t xml:space="preserve">  </w:t>
      </w:r>
      <w:r w:rsidRPr="0057756F">
        <w:rPr>
          <w:rFonts w:cs="Arial"/>
          <w:spacing w:val="-1"/>
        </w:rPr>
        <w:t>using</w:t>
      </w:r>
      <w:r w:rsidRPr="0057756F">
        <w:rPr>
          <w:rFonts w:cs="Arial"/>
          <w:spacing w:val="49"/>
        </w:rPr>
        <w:t xml:space="preserve"> </w:t>
      </w:r>
      <w:r w:rsidRPr="0057756F">
        <w:rPr>
          <w:rFonts w:cs="Arial"/>
        </w:rPr>
        <w:t xml:space="preserve">AR  </w:t>
      </w:r>
      <w:r w:rsidRPr="0057756F">
        <w:rPr>
          <w:rFonts w:cs="Arial"/>
          <w:spacing w:val="-1"/>
        </w:rPr>
        <w:t>grade</w:t>
      </w:r>
      <w:r w:rsidRPr="0057756F">
        <w:rPr>
          <w:rFonts w:cs="Arial"/>
        </w:rPr>
        <w:t xml:space="preserve"> </w:t>
      </w:r>
      <w:r w:rsidRPr="0057756F">
        <w:rPr>
          <w:rFonts w:cs="Arial"/>
          <w:spacing w:val="1"/>
        </w:rPr>
        <w:t xml:space="preserve"> </w:t>
      </w:r>
      <w:r w:rsidRPr="0057756F">
        <w:rPr>
          <w:rFonts w:cs="Arial"/>
          <w:spacing w:val="-1"/>
        </w:rPr>
        <w:t>chemicals,</w:t>
      </w:r>
      <w:r w:rsidRPr="0057756F">
        <w:rPr>
          <w:rFonts w:cs="Arial"/>
        </w:rPr>
        <w:t xml:space="preserve"> </w:t>
      </w:r>
      <w:r w:rsidRPr="0057756F">
        <w:rPr>
          <w:rFonts w:cs="Arial"/>
          <w:spacing w:val="-1"/>
        </w:rPr>
        <w:t>wherever</w:t>
      </w:r>
      <w:r w:rsidRPr="0057756F">
        <w:rPr>
          <w:rFonts w:cs="Arial"/>
        </w:rPr>
        <w:t xml:space="preserve">  </w:t>
      </w:r>
      <w:r w:rsidRPr="0057756F">
        <w:rPr>
          <w:rFonts w:cs="Arial"/>
          <w:spacing w:val="-2"/>
        </w:rPr>
        <w:t>possible</w:t>
      </w:r>
      <w:r w:rsidRPr="0057756F">
        <w:rPr>
          <w:rFonts w:cs="Arial"/>
        </w:rPr>
        <w:t xml:space="preserve"> </w:t>
      </w:r>
      <w:r w:rsidRPr="0057756F">
        <w:rPr>
          <w:rFonts w:cs="Arial"/>
          <w:spacing w:val="1"/>
        </w:rPr>
        <w:t xml:space="preserve"> </w:t>
      </w:r>
      <w:r w:rsidRPr="0057756F">
        <w:rPr>
          <w:rFonts w:cs="Arial"/>
          <w:spacing w:val="-1"/>
        </w:rPr>
        <w:t>[(</w:t>
      </w:r>
      <w:r w:rsidRPr="0057756F">
        <w:rPr>
          <w:rFonts w:cs="Arial"/>
          <w:b/>
          <w:spacing w:val="-1"/>
        </w:rPr>
        <w:t>NH</w:t>
      </w:r>
      <w:r w:rsidRPr="0057756F">
        <w:rPr>
          <w:rFonts w:cs="Arial"/>
          <w:b/>
          <w:spacing w:val="-1"/>
          <w:position w:val="-2"/>
          <w:vertAlign w:val="subscript"/>
        </w:rPr>
        <w:t>4</w:t>
      </w:r>
      <w:r w:rsidRPr="0057756F">
        <w:rPr>
          <w:rFonts w:cs="Arial"/>
          <w:spacing w:val="-1"/>
        </w:rPr>
        <w:t>)</w:t>
      </w:r>
      <w:r w:rsidRPr="0057756F">
        <w:rPr>
          <w:rFonts w:cs="Arial"/>
          <w:spacing w:val="-1"/>
          <w:position w:val="-2"/>
          <w:vertAlign w:val="subscript"/>
        </w:rPr>
        <w:t>2</w:t>
      </w:r>
      <w:r w:rsidRPr="0057756F">
        <w:rPr>
          <w:rFonts w:cs="Arial"/>
          <w:spacing w:val="-1"/>
        </w:rPr>
        <w:t>SO</w:t>
      </w:r>
      <w:r w:rsidRPr="0057756F">
        <w:rPr>
          <w:rFonts w:cs="Arial"/>
          <w:spacing w:val="-1"/>
          <w:position w:val="-2"/>
        </w:rPr>
        <w:t>4</w:t>
      </w:r>
      <w:r w:rsidRPr="0057756F">
        <w:rPr>
          <w:rFonts w:cs="Arial"/>
          <w:spacing w:val="-1"/>
        </w:rPr>
        <w:t>,</w:t>
      </w:r>
      <w:r w:rsidRPr="0057756F">
        <w:rPr>
          <w:rFonts w:cs="Arial"/>
          <w:spacing w:val="71"/>
        </w:rPr>
        <w:t xml:space="preserve"> </w:t>
      </w:r>
      <w:r w:rsidRPr="0057756F">
        <w:rPr>
          <w:rFonts w:cs="Arial"/>
          <w:spacing w:val="-1"/>
        </w:rPr>
        <w:t>K</w:t>
      </w:r>
      <w:r w:rsidRPr="0057756F">
        <w:rPr>
          <w:rFonts w:cs="Arial"/>
          <w:b/>
          <w:spacing w:val="-1"/>
        </w:rPr>
        <w:t>NO</w:t>
      </w:r>
      <w:r w:rsidRPr="0057756F">
        <w:rPr>
          <w:rFonts w:cs="Arial"/>
          <w:b/>
          <w:spacing w:val="-1"/>
          <w:position w:val="-2"/>
          <w:vertAlign w:val="subscript"/>
        </w:rPr>
        <w:t>3</w:t>
      </w:r>
      <w:r w:rsidRPr="0057756F">
        <w:rPr>
          <w:rFonts w:cs="Arial"/>
          <w:spacing w:val="-1"/>
        </w:rPr>
        <w:t>,</w:t>
      </w:r>
      <w:r w:rsidRPr="0057756F">
        <w:rPr>
          <w:rFonts w:cs="Arial"/>
          <w:spacing w:val="-2"/>
        </w:rPr>
        <w:t xml:space="preserve"> </w:t>
      </w:r>
      <w:r w:rsidRPr="0057756F">
        <w:rPr>
          <w:rFonts w:cs="Arial"/>
          <w:spacing w:val="-1"/>
        </w:rPr>
        <w:t>Na</w:t>
      </w:r>
      <w:r w:rsidRPr="0057756F">
        <w:rPr>
          <w:rFonts w:cs="Arial"/>
          <w:b/>
          <w:spacing w:val="-1"/>
        </w:rPr>
        <w:t>NO</w:t>
      </w:r>
      <w:r w:rsidRPr="0057756F">
        <w:rPr>
          <w:rFonts w:cs="Arial"/>
          <w:b/>
          <w:spacing w:val="-1"/>
          <w:position w:val="-2"/>
          <w:vertAlign w:val="subscript"/>
        </w:rPr>
        <w:t>2</w:t>
      </w:r>
      <w:r w:rsidRPr="0057756F">
        <w:rPr>
          <w:rFonts w:cs="Arial"/>
          <w:spacing w:val="-1"/>
        </w:rPr>
        <w:t>,</w:t>
      </w:r>
      <w:r w:rsidRPr="0057756F">
        <w:rPr>
          <w:rFonts w:cs="Arial"/>
          <w:spacing w:val="-3"/>
        </w:rPr>
        <w:t xml:space="preserve"> </w:t>
      </w:r>
      <w:r w:rsidRPr="0057756F">
        <w:rPr>
          <w:rFonts w:cs="Arial"/>
          <w:spacing w:val="-1"/>
        </w:rPr>
        <w:t>KH</w:t>
      </w:r>
      <w:r w:rsidRPr="0057756F">
        <w:rPr>
          <w:rFonts w:cs="Arial"/>
          <w:spacing w:val="-1"/>
          <w:position w:val="-2"/>
          <w:vertAlign w:val="subscript"/>
        </w:rPr>
        <w:t>2</w:t>
      </w:r>
      <w:r w:rsidRPr="0057756F">
        <w:rPr>
          <w:rFonts w:cs="Arial"/>
          <w:b/>
          <w:spacing w:val="-1"/>
        </w:rPr>
        <w:t>PO</w:t>
      </w:r>
      <w:r w:rsidRPr="0057756F">
        <w:rPr>
          <w:rFonts w:cs="Arial"/>
          <w:b/>
          <w:spacing w:val="-1"/>
          <w:position w:val="-2"/>
          <w:vertAlign w:val="subscript"/>
        </w:rPr>
        <w:t>4</w:t>
      </w:r>
      <w:r w:rsidRPr="0057756F">
        <w:rPr>
          <w:rFonts w:cs="Arial"/>
          <w:spacing w:val="-1"/>
        </w:rPr>
        <w:t>, Na</w:t>
      </w:r>
      <w:r w:rsidRPr="0057756F">
        <w:rPr>
          <w:rFonts w:cs="Arial"/>
          <w:b/>
          <w:spacing w:val="-1"/>
        </w:rPr>
        <w:t>Si</w:t>
      </w:r>
      <w:r w:rsidRPr="0057756F">
        <w:rPr>
          <w:rFonts w:cs="Arial"/>
          <w:spacing w:val="-1"/>
        </w:rPr>
        <w:t>O</w:t>
      </w:r>
      <w:r w:rsidRPr="0057756F">
        <w:rPr>
          <w:rFonts w:cs="Arial"/>
          <w:spacing w:val="-1"/>
          <w:position w:val="-2"/>
          <w:vertAlign w:val="subscript"/>
        </w:rPr>
        <w:t>3</w:t>
      </w:r>
      <w:r w:rsidRPr="0057756F">
        <w:rPr>
          <w:rFonts w:cs="Arial"/>
          <w:spacing w:val="17"/>
          <w:position w:val="-2"/>
        </w:rPr>
        <w:t xml:space="preserve"> </w:t>
      </w:r>
      <w:r w:rsidRPr="0057756F">
        <w:rPr>
          <w:rFonts w:cs="Arial"/>
          <w:spacing w:val="-1"/>
          <w:vertAlign w:val="subscript"/>
        </w:rPr>
        <w:t>9</w:t>
      </w:r>
      <w:r w:rsidRPr="0057756F">
        <w:rPr>
          <w:rFonts w:cs="Arial"/>
          <w:spacing w:val="-1"/>
        </w:rPr>
        <w:t>H</w:t>
      </w:r>
      <w:r w:rsidRPr="0057756F">
        <w:rPr>
          <w:rFonts w:cs="Arial"/>
          <w:spacing w:val="-1"/>
          <w:position w:val="-2"/>
          <w:vertAlign w:val="subscript"/>
        </w:rPr>
        <w:t>2</w:t>
      </w:r>
      <w:r w:rsidRPr="0057756F">
        <w:rPr>
          <w:rFonts w:cs="Arial"/>
          <w:spacing w:val="-1"/>
        </w:rPr>
        <w:t>O].</w:t>
      </w:r>
    </w:p>
    <w:p w14:paraId="0435DDE0" w14:textId="77777777" w:rsidR="0031675F" w:rsidRPr="0057756F" w:rsidRDefault="0031675F" w:rsidP="0031675F">
      <w:pPr>
        <w:widowControl w:val="0"/>
        <w:numPr>
          <w:ilvl w:val="1"/>
          <w:numId w:val="127"/>
        </w:numPr>
        <w:tabs>
          <w:tab w:val="left" w:pos="706"/>
        </w:tabs>
        <w:spacing w:before="0" w:after="0" w:line="260" w:lineRule="exact"/>
        <w:rPr>
          <w:rFonts w:cs="Arial"/>
        </w:rPr>
      </w:pPr>
      <w:r w:rsidRPr="0057756F">
        <w:rPr>
          <w:rFonts w:cs="Arial"/>
          <w:spacing w:val="-1"/>
        </w:rPr>
        <w:t>Analytical reagents</w:t>
      </w:r>
      <w:r w:rsidRPr="0057756F">
        <w:rPr>
          <w:rFonts w:cs="Arial"/>
          <w:spacing w:val="-2"/>
        </w:rPr>
        <w:t xml:space="preserve"> </w:t>
      </w:r>
      <w:r w:rsidRPr="0057756F">
        <w:rPr>
          <w:rFonts w:cs="Arial"/>
        </w:rPr>
        <w:t xml:space="preserve">are </w:t>
      </w:r>
      <w:r w:rsidRPr="0057756F">
        <w:rPr>
          <w:rFonts w:cs="Arial"/>
          <w:spacing w:val="-1"/>
        </w:rPr>
        <w:t xml:space="preserve">prepared </w:t>
      </w:r>
      <w:r w:rsidRPr="0057756F">
        <w:rPr>
          <w:rFonts w:cs="Arial"/>
        </w:rPr>
        <w:t>with</w:t>
      </w:r>
      <w:r w:rsidRPr="0057756F">
        <w:rPr>
          <w:rFonts w:cs="Arial"/>
          <w:spacing w:val="-1"/>
        </w:rPr>
        <w:t xml:space="preserve"> </w:t>
      </w:r>
      <w:r w:rsidRPr="0057756F">
        <w:rPr>
          <w:rFonts w:cs="Arial"/>
        </w:rPr>
        <w:t>AR</w:t>
      </w:r>
      <w:r w:rsidRPr="0057756F">
        <w:rPr>
          <w:rFonts w:cs="Arial"/>
          <w:spacing w:val="-3"/>
        </w:rPr>
        <w:t xml:space="preserve"> </w:t>
      </w:r>
      <w:r w:rsidRPr="0057756F">
        <w:rPr>
          <w:rFonts w:cs="Arial"/>
          <w:spacing w:val="-1"/>
        </w:rPr>
        <w:t>grade</w:t>
      </w:r>
      <w:r w:rsidRPr="0057756F">
        <w:rPr>
          <w:rFonts w:cs="Arial"/>
        </w:rPr>
        <w:t xml:space="preserve"> </w:t>
      </w:r>
      <w:r w:rsidRPr="0057756F">
        <w:rPr>
          <w:rFonts w:cs="Arial"/>
          <w:spacing w:val="-1"/>
        </w:rPr>
        <w:t>chemicals</w:t>
      </w:r>
      <w:r w:rsidRPr="0057756F">
        <w:rPr>
          <w:rFonts w:cs="Arial"/>
        </w:rPr>
        <w:t xml:space="preserve"> </w:t>
      </w:r>
      <w:r w:rsidRPr="0057756F">
        <w:rPr>
          <w:rFonts w:cs="Arial"/>
          <w:spacing w:val="-1"/>
        </w:rPr>
        <w:t>wherever</w:t>
      </w:r>
      <w:r w:rsidRPr="0057756F">
        <w:rPr>
          <w:rFonts w:cs="Arial"/>
        </w:rPr>
        <w:t xml:space="preserve"> </w:t>
      </w:r>
      <w:r w:rsidRPr="0057756F">
        <w:rPr>
          <w:rFonts w:cs="Arial"/>
          <w:spacing w:val="-1"/>
        </w:rPr>
        <w:t>possible.</w:t>
      </w:r>
    </w:p>
    <w:p w14:paraId="218D804A" w14:textId="77777777" w:rsidR="0031675F" w:rsidRPr="0057756F" w:rsidRDefault="0031675F" w:rsidP="0031675F">
      <w:pPr>
        <w:widowControl w:val="0"/>
        <w:numPr>
          <w:ilvl w:val="1"/>
          <w:numId w:val="127"/>
        </w:numPr>
        <w:tabs>
          <w:tab w:val="left" w:pos="706"/>
        </w:tabs>
        <w:spacing w:before="0" w:after="0" w:line="240" w:lineRule="auto"/>
        <w:rPr>
          <w:rFonts w:cs="Arial"/>
        </w:rPr>
      </w:pPr>
      <w:r w:rsidRPr="0057756F">
        <w:rPr>
          <w:rFonts w:cs="Arial"/>
        </w:rPr>
        <w:t>Water</w:t>
      </w:r>
      <w:r w:rsidRPr="0057756F">
        <w:rPr>
          <w:rFonts w:cs="Arial"/>
          <w:spacing w:val="-3"/>
        </w:rPr>
        <w:t xml:space="preserve"> </w:t>
      </w:r>
      <w:r w:rsidRPr="0057756F">
        <w:rPr>
          <w:rFonts w:cs="Arial"/>
        </w:rPr>
        <w:t xml:space="preserve">is </w:t>
      </w:r>
      <w:r w:rsidRPr="0057756F">
        <w:rPr>
          <w:rFonts w:cs="Arial"/>
          <w:spacing w:val="-1"/>
        </w:rPr>
        <w:t>18MΩ</w:t>
      </w:r>
      <w:r w:rsidRPr="0057756F">
        <w:rPr>
          <w:rFonts w:cs="Arial"/>
          <w:spacing w:val="-11"/>
        </w:rPr>
        <w:t xml:space="preserve"> </w:t>
      </w:r>
      <w:r w:rsidRPr="0057756F">
        <w:rPr>
          <w:rFonts w:cs="Arial"/>
          <w:spacing w:val="-1"/>
        </w:rPr>
        <w:t>quality.</w:t>
      </w:r>
    </w:p>
    <w:p w14:paraId="4C7F6D46" w14:textId="77777777" w:rsidR="0031675F" w:rsidRDefault="0031675F" w:rsidP="0031675F">
      <w:pPr>
        <w:spacing w:before="11"/>
        <w:rPr>
          <w:rFonts w:cs="Arial"/>
          <w:sz w:val="21"/>
          <w:szCs w:val="21"/>
        </w:rPr>
      </w:pPr>
    </w:p>
    <w:p w14:paraId="2CEB8400" w14:textId="77777777" w:rsidR="00FE34ED" w:rsidRPr="0057756F" w:rsidRDefault="00FE34ED" w:rsidP="0031675F">
      <w:pPr>
        <w:spacing w:before="11"/>
        <w:rPr>
          <w:rFonts w:cs="Arial"/>
          <w:sz w:val="21"/>
          <w:szCs w:val="21"/>
        </w:rPr>
      </w:pPr>
    </w:p>
    <w:p w14:paraId="4F9000D4" w14:textId="77777777" w:rsidR="0031675F" w:rsidRPr="0031675F" w:rsidRDefault="0031675F" w:rsidP="0031675F">
      <w:pPr>
        <w:widowControl w:val="0"/>
        <w:numPr>
          <w:ilvl w:val="2"/>
          <w:numId w:val="128"/>
        </w:numPr>
        <w:tabs>
          <w:tab w:val="left" w:pos="706"/>
        </w:tabs>
        <w:spacing w:before="0" w:after="0" w:line="240" w:lineRule="auto"/>
        <w:jc w:val="both"/>
        <w:rPr>
          <w:rFonts w:eastAsia="Arial" w:cs="Arial"/>
        </w:rPr>
      </w:pPr>
      <w:r w:rsidRPr="0031675F">
        <w:rPr>
          <w:b/>
        </w:rPr>
        <w:t>Method</w:t>
      </w:r>
    </w:p>
    <w:p w14:paraId="627C9C28" w14:textId="77777777" w:rsidR="0031675F" w:rsidRPr="0031675F" w:rsidRDefault="0031675F" w:rsidP="0031675F">
      <w:pPr>
        <w:spacing w:before="2"/>
        <w:rPr>
          <w:rFonts w:eastAsia="Arial" w:cs="Arial"/>
          <w:b/>
          <w:bCs/>
          <w:sz w:val="21"/>
          <w:szCs w:val="21"/>
        </w:rPr>
      </w:pPr>
    </w:p>
    <w:p w14:paraId="617F8DE2" w14:textId="77777777" w:rsidR="0031675F" w:rsidRPr="0031675F" w:rsidRDefault="0031675F" w:rsidP="0031675F">
      <w:pPr>
        <w:widowControl w:val="0"/>
        <w:numPr>
          <w:ilvl w:val="3"/>
          <w:numId w:val="128"/>
        </w:numPr>
        <w:tabs>
          <w:tab w:val="left" w:pos="813"/>
        </w:tabs>
        <w:spacing w:before="0" w:after="0" w:line="240" w:lineRule="auto"/>
        <w:jc w:val="both"/>
        <w:rPr>
          <w:rFonts w:cs="Calibri"/>
        </w:rPr>
      </w:pPr>
      <w:r w:rsidRPr="0031675F">
        <w:rPr>
          <w:b/>
          <w:i/>
          <w:spacing w:val="-1"/>
        </w:rPr>
        <w:t>Samples</w:t>
      </w:r>
    </w:p>
    <w:p w14:paraId="757311C2" w14:textId="77777777" w:rsidR="0031675F" w:rsidRPr="0031675F" w:rsidRDefault="0031675F" w:rsidP="0031675F">
      <w:pPr>
        <w:widowControl w:val="0"/>
        <w:numPr>
          <w:ilvl w:val="0"/>
          <w:numId w:val="126"/>
        </w:numPr>
        <w:tabs>
          <w:tab w:val="left" w:pos="423"/>
        </w:tabs>
        <w:spacing w:before="113" w:after="0" w:line="268" w:lineRule="exact"/>
        <w:ind w:right="592"/>
        <w:jc w:val="both"/>
      </w:pPr>
      <w:r w:rsidRPr="0031675F">
        <w:rPr>
          <w:spacing w:val="-1"/>
        </w:rPr>
        <w:t>Samples</w:t>
      </w:r>
      <w:r w:rsidRPr="0031675F">
        <w:rPr>
          <w:spacing w:val="47"/>
        </w:rPr>
        <w:t xml:space="preserve"> </w:t>
      </w:r>
      <w:r w:rsidRPr="0031675F">
        <w:t>are</w:t>
      </w:r>
      <w:r w:rsidRPr="0031675F">
        <w:rPr>
          <w:spacing w:val="1"/>
        </w:rPr>
        <w:t xml:space="preserve"> </w:t>
      </w:r>
      <w:r w:rsidRPr="0031675F">
        <w:rPr>
          <w:spacing w:val="-1"/>
        </w:rPr>
        <w:t>received</w:t>
      </w:r>
      <w:r w:rsidRPr="0031675F">
        <w:rPr>
          <w:spacing w:val="48"/>
        </w:rPr>
        <w:t xml:space="preserve"> </w:t>
      </w:r>
      <w:r w:rsidRPr="0031675F">
        <w:rPr>
          <w:spacing w:val="-1"/>
        </w:rPr>
        <w:t>and</w:t>
      </w:r>
      <w:r w:rsidRPr="0031675F">
        <w:t xml:space="preserve"> </w:t>
      </w:r>
      <w:r w:rsidRPr="0031675F">
        <w:rPr>
          <w:spacing w:val="-1"/>
        </w:rPr>
        <w:t>stored</w:t>
      </w:r>
      <w:r w:rsidRPr="0031675F">
        <w:t xml:space="preserve">  </w:t>
      </w:r>
      <w:r w:rsidRPr="0031675F">
        <w:rPr>
          <w:spacing w:val="-1"/>
        </w:rPr>
        <w:t>frozen</w:t>
      </w:r>
      <w:r w:rsidRPr="0031675F">
        <w:t xml:space="preserve">  in  </w:t>
      </w:r>
      <w:r w:rsidRPr="0031675F">
        <w:rPr>
          <w:spacing w:val="-1"/>
        </w:rPr>
        <w:t>dedicated</w:t>
      </w:r>
      <w:r w:rsidRPr="0031675F">
        <w:t xml:space="preserve">  </w:t>
      </w:r>
      <w:r w:rsidRPr="0031675F">
        <w:rPr>
          <w:spacing w:val="-1"/>
        </w:rPr>
        <w:t>freezers.</w:t>
      </w:r>
      <w:r w:rsidRPr="0031675F">
        <w:rPr>
          <w:spacing w:val="49"/>
        </w:rPr>
        <w:t xml:space="preserve"> </w:t>
      </w:r>
      <w:r w:rsidRPr="0031675F">
        <w:rPr>
          <w:spacing w:val="-1"/>
        </w:rPr>
        <w:t>Before</w:t>
      </w:r>
      <w:r w:rsidRPr="0031675F">
        <w:rPr>
          <w:spacing w:val="47"/>
        </w:rPr>
        <w:t xml:space="preserve"> </w:t>
      </w:r>
      <w:r w:rsidRPr="0031675F">
        <w:rPr>
          <w:spacing w:val="-1"/>
        </w:rPr>
        <w:t>analysis,</w:t>
      </w:r>
      <w:r w:rsidRPr="0031675F">
        <w:rPr>
          <w:spacing w:val="1"/>
        </w:rPr>
        <w:t xml:space="preserve"> </w:t>
      </w:r>
      <w:r w:rsidRPr="0031675F">
        <w:rPr>
          <w:spacing w:val="-1"/>
        </w:rPr>
        <w:t>samples</w:t>
      </w:r>
      <w:r w:rsidRPr="0031675F">
        <w:rPr>
          <w:spacing w:val="1"/>
        </w:rPr>
        <w:t xml:space="preserve"> </w:t>
      </w:r>
      <w:r w:rsidRPr="0031675F">
        <w:rPr>
          <w:spacing w:val="-1"/>
        </w:rPr>
        <w:t>are</w:t>
      </w:r>
      <w:r w:rsidRPr="0031675F">
        <w:rPr>
          <w:spacing w:val="61"/>
        </w:rPr>
        <w:t xml:space="preserve"> </w:t>
      </w:r>
      <w:r w:rsidRPr="0031675F">
        <w:t>thawed</w:t>
      </w:r>
      <w:r w:rsidRPr="0031675F">
        <w:rPr>
          <w:spacing w:val="25"/>
        </w:rPr>
        <w:t xml:space="preserve"> </w:t>
      </w:r>
      <w:r w:rsidRPr="0031675F">
        <w:rPr>
          <w:spacing w:val="-1"/>
        </w:rPr>
        <w:t>overnight</w:t>
      </w:r>
      <w:r w:rsidRPr="0031675F">
        <w:rPr>
          <w:spacing w:val="30"/>
        </w:rPr>
        <w:t xml:space="preserve"> </w:t>
      </w:r>
      <w:r w:rsidRPr="0031675F">
        <w:t>in</w:t>
      </w:r>
      <w:r w:rsidRPr="0031675F">
        <w:rPr>
          <w:spacing w:val="26"/>
        </w:rPr>
        <w:t xml:space="preserve"> </w:t>
      </w:r>
      <w:r w:rsidRPr="0031675F">
        <w:rPr>
          <w:spacing w:val="1"/>
        </w:rPr>
        <w:t>4</w:t>
      </w:r>
      <w:r w:rsidRPr="0031675F">
        <w:rPr>
          <w:spacing w:val="1"/>
          <w:position w:val="10"/>
        </w:rPr>
        <w:t>o</w:t>
      </w:r>
      <w:r w:rsidRPr="0031675F">
        <w:rPr>
          <w:spacing w:val="1"/>
        </w:rPr>
        <w:t>C</w:t>
      </w:r>
      <w:r w:rsidRPr="0031675F">
        <w:rPr>
          <w:spacing w:val="26"/>
        </w:rPr>
        <w:t xml:space="preserve"> </w:t>
      </w:r>
      <w:r w:rsidRPr="0031675F">
        <w:rPr>
          <w:spacing w:val="-1"/>
        </w:rPr>
        <w:t>refrigerator,</w:t>
      </w:r>
      <w:r w:rsidRPr="0031675F">
        <w:rPr>
          <w:spacing w:val="27"/>
        </w:rPr>
        <w:t xml:space="preserve"> </w:t>
      </w:r>
      <w:r w:rsidRPr="0031675F">
        <w:t>then</w:t>
      </w:r>
      <w:r w:rsidRPr="0031675F">
        <w:rPr>
          <w:spacing w:val="28"/>
        </w:rPr>
        <w:t xml:space="preserve"> </w:t>
      </w:r>
      <w:r w:rsidRPr="0031675F">
        <w:rPr>
          <w:spacing w:val="-1"/>
        </w:rPr>
        <w:t>uncapped,</w:t>
      </w:r>
      <w:r w:rsidRPr="0031675F">
        <w:rPr>
          <w:spacing w:val="28"/>
        </w:rPr>
        <w:t xml:space="preserve"> </w:t>
      </w:r>
      <w:r w:rsidRPr="0031675F">
        <w:rPr>
          <w:spacing w:val="-1"/>
        </w:rPr>
        <w:t>placed</w:t>
      </w:r>
      <w:r w:rsidRPr="0031675F">
        <w:rPr>
          <w:spacing w:val="28"/>
        </w:rPr>
        <w:t xml:space="preserve"> </w:t>
      </w:r>
      <w:r w:rsidRPr="0031675F">
        <w:t>in</w:t>
      </w:r>
      <w:r w:rsidRPr="0031675F">
        <w:rPr>
          <w:spacing w:val="26"/>
        </w:rPr>
        <w:t xml:space="preserve"> </w:t>
      </w:r>
      <w:r w:rsidRPr="0031675F">
        <w:rPr>
          <w:spacing w:val="-1"/>
        </w:rPr>
        <w:t>sample</w:t>
      </w:r>
      <w:r w:rsidRPr="0031675F">
        <w:rPr>
          <w:spacing w:val="29"/>
        </w:rPr>
        <w:t xml:space="preserve"> </w:t>
      </w:r>
      <w:r w:rsidRPr="0031675F">
        <w:rPr>
          <w:spacing w:val="-1"/>
        </w:rPr>
        <w:t>racks</w:t>
      </w:r>
      <w:r w:rsidRPr="0031675F">
        <w:rPr>
          <w:spacing w:val="27"/>
        </w:rPr>
        <w:t xml:space="preserve"> </w:t>
      </w:r>
      <w:r w:rsidRPr="0031675F">
        <w:rPr>
          <w:spacing w:val="-1"/>
        </w:rPr>
        <w:t>and</w:t>
      </w:r>
      <w:r w:rsidRPr="0031675F">
        <w:rPr>
          <w:spacing w:val="28"/>
        </w:rPr>
        <w:t xml:space="preserve"> </w:t>
      </w:r>
      <w:r w:rsidRPr="0031675F">
        <w:rPr>
          <w:spacing w:val="-1"/>
        </w:rPr>
        <w:t>covered</w:t>
      </w:r>
      <w:r w:rsidRPr="0031675F">
        <w:rPr>
          <w:spacing w:val="26"/>
        </w:rPr>
        <w:t xml:space="preserve"> </w:t>
      </w:r>
      <w:r w:rsidRPr="0031675F">
        <w:t>with</w:t>
      </w:r>
      <w:r w:rsidRPr="0031675F">
        <w:rPr>
          <w:spacing w:val="55"/>
        </w:rPr>
        <w:t xml:space="preserve"> </w:t>
      </w:r>
      <w:r w:rsidRPr="0031675F">
        <w:t>alfoil</w:t>
      </w:r>
      <w:r w:rsidRPr="0031675F">
        <w:rPr>
          <w:spacing w:val="-1"/>
        </w:rPr>
        <w:t xml:space="preserve"> for</w:t>
      </w:r>
      <w:r w:rsidRPr="0031675F">
        <w:t xml:space="preserve"> </w:t>
      </w:r>
      <w:r w:rsidRPr="0031675F">
        <w:rPr>
          <w:spacing w:val="-1"/>
        </w:rPr>
        <w:t>analysis.</w:t>
      </w:r>
    </w:p>
    <w:p w14:paraId="5A7D2694" w14:textId="720E5F5B" w:rsidR="0031675F" w:rsidRPr="0031675F" w:rsidRDefault="0031675F" w:rsidP="0031675F">
      <w:pPr>
        <w:widowControl w:val="0"/>
        <w:numPr>
          <w:ilvl w:val="0"/>
          <w:numId w:val="126"/>
        </w:numPr>
        <w:tabs>
          <w:tab w:val="left" w:pos="423"/>
        </w:tabs>
        <w:spacing w:before="5" w:after="0" w:line="240" w:lineRule="auto"/>
        <w:ind w:right="595"/>
        <w:rPr>
          <w:rFonts w:cs="Calibri"/>
        </w:rPr>
      </w:pPr>
      <w:r w:rsidRPr="0031675F">
        <w:rPr>
          <w:spacing w:val="-1"/>
        </w:rPr>
        <w:t>Samples</w:t>
      </w:r>
      <w:r w:rsidRPr="0031675F">
        <w:rPr>
          <w:spacing w:val="26"/>
        </w:rPr>
        <w:t xml:space="preserve"> </w:t>
      </w:r>
      <w:r w:rsidRPr="0031675F">
        <w:rPr>
          <w:spacing w:val="-1"/>
        </w:rPr>
        <w:t>for</w:t>
      </w:r>
      <w:r w:rsidRPr="0031675F">
        <w:rPr>
          <w:spacing w:val="27"/>
        </w:rPr>
        <w:t xml:space="preserve"> </w:t>
      </w:r>
      <w:r w:rsidRPr="0031675F">
        <w:rPr>
          <w:spacing w:val="-1"/>
        </w:rPr>
        <w:t>analyses</w:t>
      </w:r>
      <w:r w:rsidRPr="0031675F">
        <w:rPr>
          <w:spacing w:val="27"/>
        </w:rPr>
        <w:t xml:space="preserve"> </w:t>
      </w:r>
      <w:r w:rsidRPr="0031675F">
        <w:t>of</w:t>
      </w:r>
      <w:r w:rsidRPr="0031675F">
        <w:rPr>
          <w:spacing w:val="25"/>
        </w:rPr>
        <w:t xml:space="preserve"> </w:t>
      </w:r>
      <w:r w:rsidRPr="0031675F">
        <w:rPr>
          <w:spacing w:val="-1"/>
        </w:rPr>
        <w:t>total</w:t>
      </w:r>
      <w:r w:rsidRPr="0031675F">
        <w:rPr>
          <w:spacing w:val="29"/>
        </w:rPr>
        <w:t xml:space="preserve"> </w:t>
      </w:r>
      <w:r w:rsidRPr="0031675F">
        <w:rPr>
          <w:spacing w:val="-1"/>
        </w:rPr>
        <w:t>dissolved</w:t>
      </w:r>
      <w:r w:rsidRPr="0031675F">
        <w:rPr>
          <w:spacing w:val="29"/>
        </w:rPr>
        <w:t xml:space="preserve"> </w:t>
      </w:r>
      <w:r w:rsidRPr="0031675F">
        <w:rPr>
          <w:spacing w:val="-1"/>
        </w:rPr>
        <w:t>nitrogen</w:t>
      </w:r>
      <w:r w:rsidRPr="0031675F">
        <w:rPr>
          <w:spacing w:val="29"/>
        </w:rPr>
        <w:t xml:space="preserve"> </w:t>
      </w:r>
      <w:r w:rsidRPr="0031675F">
        <w:rPr>
          <w:spacing w:val="-1"/>
        </w:rPr>
        <w:t>and</w:t>
      </w:r>
      <w:r w:rsidRPr="0031675F">
        <w:rPr>
          <w:spacing w:val="25"/>
        </w:rPr>
        <w:t xml:space="preserve"> </w:t>
      </w:r>
      <w:r w:rsidRPr="0031675F">
        <w:rPr>
          <w:spacing w:val="-1"/>
        </w:rPr>
        <w:t>phosphorus</w:t>
      </w:r>
      <w:r w:rsidRPr="0031675F">
        <w:rPr>
          <w:spacing w:val="27"/>
        </w:rPr>
        <w:t xml:space="preserve"> </w:t>
      </w:r>
      <w:r w:rsidRPr="0031675F">
        <w:t>are</w:t>
      </w:r>
      <w:r w:rsidRPr="0031675F">
        <w:rPr>
          <w:spacing w:val="27"/>
        </w:rPr>
        <w:t xml:space="preserve"> </w:t>
      </w:r>
      <w:r w:rsidRPr="0031675F">
        <w:rPr>
          <w:spacing w:val="-1"/>
        </w:rPr>
        <w:t>oxidised</w:t>
      </w:r>
      <w:r w:rsidRPr="0031675F">
        <w:rPr>
          <w:spacing w:val="24"/>
        </w:rPr>
        <w:t xml:space="preserve"> </w:t>
      </w:r>
      <w:r w:rsidRPr="0031675F">
        <w:t>with</w:t>
      </w:r>
      <w:r w:rsidRPr="0031675F">
        <w:rPr>
          <w:spacing w:val="29"/>
        </w:rPr>
        <w:t xml:space="preserve"> </w:t>
      </w:r>
      <w:r w:rsidRPr="0031675F">
        <w:rPr>
          <w:spacing w:val="-1"/>
        </w:rPr>
        <w:t>persul</w:t>
      </w:r>
      <w:r w:rsidR="00CC6786">
        <w:rPr>
          <w:spacing w:val="-1"/>
        </w:rPr>
        <w:t>f</w:t>
      </w:r>
      <w:r w:rsidRPr="0031675F">
        <w:rPr>
          <w:spacing w:val="-1"/>
        </w:rPr>
        <w:t>ate</w:t>
      </w:r>
      <w:r w:rsidRPr="0031675F">
        <w:rPr>
          <w:spacing w:val="73"/>
        </w:rPr>
        <w:t xml:space="preserve"> </w:t>
      </w:r>
      <w:r w:rsidRPr="0031675F">
        <w:rPr>
          <w:spacing w:val="-1"/>
        </w:rPr>
        <w:t>reagent under</w:t>
      </w:r>
      <w:r w:rsidRPr="0031675F">
        <w:t xml:space="preserve"> </w:t>
      </w:r>
      <w:r w:rsidRPr="0031675F">
        <w:rPr>
          <w:spacing w:val="-1"/>
        </w:rPr>
        <w:t>alkaline</w:t>
      </w:r>
      <w:r w:rsidRPr="0031675F">
        <w:t xml:space="preserve"> </w:t>
      </w:r>
      <w:r w:rsidRPr="0031675F">
        <w:rPr>
          <w:spacing w:val="-1"/>
        </w:rPr>
        <w:t>conditions</w:t>
      </w:r>
      <w:r w:rsidRPr="0031675F">
        <w:t xml:space="preserve"> </w:t>
      </w:r>
      <w:r w:rsidRPr="0031675F">
        <w:rPr>
          <w:spacing w:val="-1"/>
        </w:rPr>
        <w:t>before</w:t>
      </w:r>
      <w:r w:rsidRPr="0031675F">
        <w:rPr>
          <w:spacing w:val="-2"/>
        </w:rPr>
        <w:t xml:space="preserve"> </w:t>
      </w:r>
      <w:r w:rsidRPr="0031675F">
        <w:rPr>
          <w:spacing w:val="-1"/>
        </w:rPr>
        <w:t>analyses</w:t>
      </w:r>
      <w:r w:rsidRPr="0031675F">
        <w:t xml:space="preserve"> </w:t>
      </w:r>
      <w:r w:rsidRPr="0031675F">
        <w:rPr>
          <w:spacing w:val="-1"/>
        </w:rPr>
        <w:t>are</w:t>
      </w:r>
      <w:r w:rsidRPr="0031675F">
        <w:rPr>
          <w:spacing w:val="-2"/>
        </w:rPr>
        <w:t xml:space="preserve"> </w:t>
      </w:r>
      <w:r w:rsidRPr="0031675F">
        <w:rPr>
          <w:spacing w:val="-1"/>
        </w:rPr>
        <w:t>carried</w:t>
      </w:r>
      <w:r w:rsidRPr="0031675F">
        <w:rPr>
          <w:spacing w:val="-3"/>
        </w:rPr>
        <w:t xml:space="preserve"> </w:t>
      </w:r>
      <w:r w:rsidRPr="0031675F">
        <w:t xml:space="preserve">out </w:t>
      </w:r>
      <w:r w:rsidRPr="0031675F">
        <w:rPr>
          <w:spacing w:val="-1"/>
        </w:rPr>
        <w:t>(Attachment</w:t>
      </w:r>
      <w:r w:rsidRPr="0031675F">
        <w:rPr>
          <w:spacing w:val="-2"/>
        </w:rPr>
        <w:t xml:space="preserve"> </w:t>
      </w:r>
      <w:r w:rsidRPr="0031675F">
        <w:rPr>
          <w:spacing w:val="-1"/>
        </w:rPr>
        <w:t>3.1).</w:t>
      </w:r>
    </w:p>
    <w:p w14:paraId="0E3DD336" w14:textId="77777777" w:rsidR="0031675F" w:rsidRPr="0031675F" w:rsidRDefault="0031675F" w:rsidP="0031675F">
      <w:pPr>
        <w:tabs>
          <w:tab w:val="left" w:pos="423"/>
        </w:tabs>
        <w:spacing w:before="5" w:after="120"/>
        <w:ind w:right="595"/>
        <w:rPr>
          <w:rFonts w:cs="Calibri"/>
          <w:sz w:val="20"/>
          <w:szCs w:val="20"/>
        </w:rPr>
      </w:pPr>
    </w:p>
    <w:p w14:paraId="74DC711E" w14:textId="77777777" w:rsidR="0031675F" w:rsidRPr="0031675F" w:rsidRDefault="0031675F" w:rsidP="0031675F">
      <w:pPr>
        <w:widowControl w:val="0"/>
        <w:numPr>
          <w:ilvl w:val="3"/>
          <w:numId w:val="128"/>
        </w:numPr>
        <w:tabs>
          <w:tab w:val="left" w:pos="793"/>
        </w:tabs>
        <w:spacing w:before="0" w:after="0" w:line="240" w:lineRule="auto"/>
        <w:ind w:left="792"/>
        <w:rPr>
          <w:rFonts w:cs="Calibri"/>
        </w:rPr>
      </w:pPr>
      <w:r w:rsidRPr="0031675F">
        <w:rPr>
          <w:b/>
          <w:i/>
          <w:spacing w:val="-1"/>
        </w:rPr>
        <w:t>Standards</w:t>
      </w:r>
    </w:p>
    <w:p w14:paraId="47EC7612" w14:textId="77777777" w:rsidR="0031675F" w:rsidRPr="00E817CB" w:rsidRDefault="0031675F" w:rsidP="0031675F">
      <w:pPr>
        <w:widowControl w:val="0"/>
        <w:numPr>
          <w:ilvl w:val="0"/>
          <w:numId w:val="126"/>
        </w:numPr>
        <w:tabs>
          <w:tab w:val="left" w:pos="403"/>
        </w:tabs>
        <w:spacing w:before="97" w:after="0" w:line="240" w:lineRule="auto"/>
        <w:ind w:left="402"/>
        <w:rPr>
          <w:rFonts w:cs="Arial"/>
        </w:rPr>
      </w:pPr>
      <w:r w:rsidRPr="00E817CB">
        <w:rPr>
          <w:rFonts w:cs="Arial"/>
          <w:spacing w:val="-1"/>
        </w:rPr>
        <w:t>Primary</w:t>
      </w:r>
      <w:r w:rsidRPr="00E817CB">
        <w:rPr>
          <w:rFonts w:cs="Arial"/>
        </w:rPr>
        <w:t xml:space="preserve"> </w:t>
      </w:r>
      <w:r w:rsidRPr="00E817CB">
        <w:rPr>
          <w:rFonts w:cs="Arial"/>
          <w:spacing w:val="-1"/>
        </w:rPr>
        <w:t>stock</w:t>
      </w:r>
      <w:r w:rsidRPr="00E817CB">
        <w:rPr>
          <w:rFonts w:cs="Arial"/>
          <w:spacing w:val="1"/>
        </w:rPr>
        <w:t xml:space="preserve"> </w:t>
      </w:r>
      <w:r w:rsidRPr="00E817CB">
        <w:rPr>
          <w:rFonts w:cs="Arial"/>
          <w:spacing w:val="-1"/>
        </w:rPr>
        <w:t>standards</w:t>
      </w:r>
      <w:r w:rsidRPr="00E817CB">
        <w:rPr>
          <w:rFonts w:cs="Arial"/>
        </w:rPr>
        <w:t xml:space="preserve"> </w:t>
      </w:r>
      <w:r w:rsidRPr="00E817CB">
        <w:rPr>
          <w:rFonts w:cs="Arial"/>
          <w:spacing w:val="-1"/>
        </w:rPr>
        <w:t>are</w:t>
      </w:r>
      <w:r w:rsidRPr="00E817CB">
        <w:rPr>
          <w:rFonts w:cs="Arial"/>
        </w:rPr>
        <w:t xml:space="preserve"> </w:t>
      </w:r>
      <w:r w:rsidRPr="00E817CB">
        <w:rPr>
          <w:rFonts w:cs="Arial"/>
          <w:spacing w:val="-1"/>
        </w:rPr>
        <w:t xml:space="preserve">prepared </w:t>
      </w:r>
      <w:r w:rsidRPr="00E817CB">
        <w:rPr>
          <w:rFonts w:cs="Arial"/>
        </w:rPr>
        <w:t>in</w:t>
      </w:r>
      <w:r w:rsidRPr="00E817CB">
        <w:rPr>
          <w:rFonts w:cs="Arial"/>
          <w:spacing w:val="-3"/>
        </w:rPr>
        <w:t xml:space="preserve"> </w:t>
      </w:r>
      <w:r w:rsidRPr="00E817CB">
        <w:rPr>
          <w:rFonts w:cs="Arial"/>
          <w:spacing w:val="-1"/>
        </w:rPr>
        <w:t>18MΩ</w:t>
      </w:r>
      <w:r w:rsidRPr="00E817CB">
        <w:rPr>
          <w:rFonts w:cs="Arial"/>
          <w:spacing w:val="-11"/>
        </w:rPr>
        <w:t xml:space="preserve"> </w:t>
      </w:r>
      <w:r w:rsidRPr="00E817CB">
        <w:rPr>
          <w:rFonts w:cs="Arial"/>
          <w:spacing w:val="-1"/>
        </w:rPr>
        <w:t>water</w:t>
      </w:r>
      <w:r w:rsidRPr="00E817CB">
        <w:rPr>
          <w:rFonts w:cs="Arial"/>
          <w:spacing w:val="-2"/>
        </w:rPr>
        <w:t xml:space="preserve"> </w:t>
      </w:r>
      <w:r w:rsidRPr="00E817CB">
        <w:rPr>
          <w:rFonts w:cs="Arial"/>
          <w:spacing w:val="-1"/>
        </w:rPr>
        <w:t xml:space="preserve">and stored for up to 6 months </w:t>
      </w:r>
      <w:r w:rsidRPr="00E817CB">
        <w:rPr>
          <w:rFonts w:cs="Arial"/>
        </w:rPr>
        <w:t>at</w:t>
      </w:r>
      <w:r w:rsidRPr="00E817CB">
        <w:rPr>
          <w:rFonts w:cs="Arial"/>
          <w:spacing w:val="-2"/>
        </w:rPr>
        <w:t xml:space="preserve"> </w:t>
      </w:r>
      <w:r w:rsidRPr="00E817CB">
        <w:rPr>
          <w:rFonts w:cs="Arial"/>
        </w:rPr>
        <w:t>4</w:t>
      </w:r>
      <w:r w:rsidRPr="00E817CB">
        <w:rPr>
          <w:rFonts w:cs="Arial"/>
          <w:position w:val="10"/>
          <w:sz w:val="14"/>
        </w:rPr>
        <w:t>o</w:t>
      </w:r>
      <w:r w:rsidRPr="00E817CB">
        <w:rPr>
          <w:rFonts w:cs="Arial"/>
        </w:rPr>
        <w:t>C.</w:t>
      </w:r>
    </w:p>
    <w:p w14:paraId="557A7937" w14:textId="77777777" w:rsidR="0031675F" w:rsidRPr="00E817CB" w:rsidRDefault="0031675F" w:rsidP="0031675F">
      <w:pPr>
        <w:widowControl w:val="0"/>
        <w:numPr>
          <w:ilvl w:val="0"/>
          <w:numId w:val="126"/>
        </w:numPr>
        <w:tabs>
          <w:tab w:val="left" w:pos="403"/>
        </w:tabs>
        <w:spacing w:before="0" w:after="0" w:line="240" w:lineRule="auto"/>
        <w:ind w:left="402"/>
        <w:rPr>
          <w:rFonts w:cs="Arial"/>
        </w:rPr>
      </w:pPr>
      <w:r w:rsidRPr="00E817CB">
        <w:rPr>
          <w:rFonts w:cs="Arial"/>
          <w:spacing w:val="-1"/>
        </w:rPr>
        <w:t>Six</w:t>
      </w:r>
      <w:r w:rsidRPr="00E817CB">
        <w:rPr>
          <w:rFonts w:cs="Arial"/>
        </w:rPr>
        <w:t xml:space="preserve"> </w:t>
      </w:r>
      <w:r w:rsidRPr="00E817CB">
        <w:rPr>
          <w:rFonts w:cs="Arial"/>
          <w:spacing w:val="-1"/>
        </w:rPr>
        <w:t>working standards</w:t>
      </w:r>
      <w:r w:rsidRPr="00E817CB">
        <w:rPr>
          <w:rFonts w:cs="Arial"/>
        </w:rPr>
        <w:t xml:space="preserve"> </w:t>
      </w:r>
      <w:r w:rsidRPr="00E817CB">
        <w:rPr>
          <w:rFonts w:cs="Arial"/>
          <w:spacing w:val="-1"/>
        </w:rPr>
        <w:t>are</w:t>
      </w:r>
      <w:r w:rsidRPr="00E817CB">
        <w:rPr>
          <w:rFonts w:cs="Arial"/>
        </w:rPr>
        <w:t xml:space="preserve"> </w:t>
      </w:r>
      <w:r w:rsidRPr="00E817CB">
        <w:rPr>
          <w:rFonts w:cs="Arial"/>
          <w:spacing w:val="-1"/>
        </w:rPr>
        <w:t>prepared fresh</w:t>
      </w:r>
      <w:r w:rsidRPr="00E817CB">
        <w:rPr>
          <w:rFonts w:cs="Arial"/>
          <w:spacing w:val="-3"/>
        </w:rPr>
        <w:t xml:space="preserve"> </w:t>
      </w:r>
      <w:r w:rsidRPr="00E817CB">
        <w:rPr>
          <w:rFonts w:cs="Arial"/>
          <w:spacing w:val="-1"/>
        </w:rPr>
        <w:t>from</w:t>
      </w:r>
      <w:r w:rsidRPr="00E817CB">
        <w:rPr>
          <w:rFonts w:cs="Arial"/>
          <w:spacing w:val="1"/>
        </w:rPr>
        <w:t xml:space="preserve"> </w:t>
      </w:r>
      <w:r w:rsidRPr="00E817CB">
        <w:rPr>
          <w:rFonts w:cs="Arial"/>
          <w:spacing w:val="-1"/>
        </w:rPr>
        <w:t>stock</w:t>
      </w:r>
      <w:r w:rsidRPr="00E817CB">
        <w:rPr>
          <w:rFonts w:cs="Arial"/>
          <w:spacing w:val="1"/>
        </w:rPr>
        <w:t xml:space="preserve"> </w:t>
      </w:r>
      <w:r w:rsidRPr="00E817CB">
        <w:rPr>
          <w:rFonts w:cs="Arial"/>
          <w:spacing w:val="-1"/>
        </w:rPr>
        <w:t>standards</w:t>
      </w:r>
      <w:r w:rsidRPr="00E817CB">
        <w:rPr>
          <w:rFonts w:cs="Arial"/>
        </w:rPr>
        <w:t xml:space="preserve"> </w:t>
      </w:r>
      <w:r w:rsidRPr="00E817CB">
        <w:rPr>
          <w:rFonts w:cs="Arial"/>
          <w:spacing w:val="-1"/>
        </w:rPr>
        <w:t>prior</w:t>
      </w:r>
      <w:r w:rsidRPr="00E817CB">
        <w:rPr>
          <w:rFonts w:cs="Arial"/>
        </w:rPr>
        <w:t xml:space="preserve"> </w:t>
      </w:r>
      <w:r w:rsidRPr="00E817CB">
        <w:rPr>
          <w:rFonts w:cs="Arial"/>
          <w:spacing w:val="-1"/>
        </w:rPr>
        <w:t xml:space="preserve">to </w:t>
      </w:r>
      <w:r w:rsidRPr="00E817CB">
        <w:rPr>
          <w:rFonts w:cs="Arial"/>
        </w:rPr>
        <w:t>each</w:t>
      </w:r>
      <w:r w:rsidRPr="00E817CB">
        <w:rPr>
          <w:rFonts w:cs="Arial"/>
          <w:spacing w:val="-1"/>
        </w:rPr>
        <w:t xml:space="preserve"> analysis</w:t>
      </w:r>
      <w:r w:rsidRPr="00E817CB">
        <w:rPr>
          <w:rFonts w:cs="Arial"/>
        </w:rPr>
        <w:t xml:space="preserve"> </w:t>
      </w:r>
      <w:r w:rsidRPr="00E817CB">
        <w:rPr>
          <w:rFonts w:cs="Arial"/>
          <w:spacing w:val="-1"/>
        </w:rPr>
        <w:t>run.</w:t>
      </w:r>
    </w:p>
    <w:p w14:paraId="5689034D" w14:textId="77777777" w:rsidR="0031675F" w:rsidRPr="00E817CB" w:rsidRDefault="0031675F" w:rsidP="0031675F">
      <w:pPr>
        <w:widowControl w:val="0"/>
        <w:numPr>
          <w:ilvl w:val="0"/>
          <w:numId w:val="126"/>
        </w:numPr>
        <w:tabs>
          <w:tab w:val="left" w:pos="403"/>
        </w:tabs>
        <w:spacing w:before="0" w:after="0" w:line="272" w:lineRule="exact"/>
        <w:ind w:left="402"/>
        <w:rPr>
          <w:rFonts w:cs="Arial"/>
          <w:spacing w:val="-1"/>
        </w:rPr>
      </w:pPr>
      <w:r w:rsidRPr="00E817CB">
        <w:rPr>
          <w:rFonts w:cs="Arial"/>
          <w:spacing w:val="-1"/>
        </w:rPr>
        <w:t>Working</w:t>
      </w:r>
      <w:r w:rsidRPr="00E817CB">
        <w:rPr>
          <w:rFonts w:cs="Arial"/>
          <w:spacing w:val="42"/>
        </w:rPr>
        <w:t xml:space="preserve"> </w:t>
      </w:r>
      <w:r w:rsidRPr="00E817CB">
        <w:rPr>
          <w:rFonts w:cs="Arial"/>
          <w:spacing w:val="-1"/>
        </w:rPr>
        <w:t>standards</w:t>
      </w:r>
      <w:r w:rsidRPr="00E817CB">
        <w:rPr>
          <w:rFonts w:cs="Arial"/>
          <w:spacing w:val="43"/>
        </w:rPr>
        <w:t xml:space="preserve"> </w:t>
      </w:r>
      <w:r w:rsidRPr="00E817CB">
        <w:rPr>
          <w:rFonts w:cs="Arial"/>
        </w:rPr>
        <w:t>are</w:t>
      </w:r>
      <w:r w:rsidRPr="00E817CB">
        <w:rPr>
          <w:rFonts w:cs="Arial"/>
          <w:spacing w:val="44"/>
        </w:rPr>
        <w:t xml:space="preserve"> </w:t>
      </w:r>
      <w:r w:rsidRPr="00E817CB">
        <w:rPr>
          <w:rFonts w:cs="Arial"/>
          <w:spacing w:val="-1"/>
        </w:rPr>
        <w:t>prepared</w:t>
      </w:r>
      <w:r w:rsidRPr="00E817CB">
        <w:rPr>
          <w:rFonts w:cs="Arial"/>
          <w:spacing w:val="42"/>
        </w:rPr>
        <w:t xml:space="preserve"> </w:t>
      </w:r>
      <w:r w:rsidRPr="00E817CB">
        <w:rPr>
          <w:rFonts w:cs="Arial"/>
          <w:spacing w:val="-1"/>
        </w:rPr>
        <w:t>over</w:t>
      </w:r>
      <w:r w:rsidRPr="00E817CB">
        <w:rPr>
          <w:rFonts w:cs="Arial"/>
          <w:spacing w:val="41"/>
        </w:rPr>
        <w:t xml:space="preserve"> </w:t>
      </w:r>
      <w:r w:rsidRPr="00E817CB">
        <w:rPr>
          <w:rFonts w:cs="Arial"/>
        </w:rPr>
        <w:t>the</w:t>
      </w:r>
      <w:r w:rsidRPr="00E817CB">
        <w:rPr>
          <w:rFonts w:cs="Arial"/>
          <w:spacing w:val="44"/>
        </w:rPr>
        <w:t xml:space="preserve"> </w:t>
      </w:r>
      <w:r w:rsidRPr="00E817CB">
        <w:rPr>
          <w:rFonts w:cs="Arial"/>
          <w:spacing w:val="-1"/>
        </w:rPr>
        <w:t>following</w:t>
      </w:r>
      <w:r w:rsidRPr="00E817CB">
        <w:rPr>
          <w:rFonts w:cs="Arial"/>
          <w:spacing w:val="39"/>
        </w:rPr>
        <w:t xml:space="preserve"> </w:t>
      </w:r>
      <w:r w:rsidRPr="00E817CB">
        <w:rPr>
          <w:rFonts w:cs="Arial"/>
          <w:spacing w:val="-1"/>
        </w:rPr>
        <w:t>(low/high)</w:t>
      </w:r>
      <w:r w:rsidRPr="00E817CB">
        <w:rPr>
          <w:rFonts w:cs="Arial"/>
          <w:spacing w:val="44"/>
        </w:rPr>
        <w:t xml:space="preserve"> </w:t>
      </w:r>
      <w:r w:rsidRPr="00E817CB">
        <w:rPr>
          <w:rFonts w:cs="Arial"/>
          <w:spacing w:val="-1"/>
        </w:rPr>
        <w:t>ranges</w:t>
      </w:r>
      <w:r w:rsidRPr="00E817CB">
        <w:rPr>
          <w:rFonts w:cs="Arial"/>
          <w:spacing w:val="44"/>
        </w:rPr>
        <w:t xml:space="preserve"> </w:t>
      </w:r>
      <w:r w:rsidRPr="00E817CB">
        <w:rPr>
          <w:rFonts w:cs="Arial"/>
          <w:spacing w:val="-1"/>
        </w:rPr>
        <w:t>are:</w:t>
      </w:r>
      <w:r w:rsidRPr="00E817CB">
        <w:rPr>
          <w:rFonts w:cs="Arial"/>
          <w:spacing w:val="41"/>
        </w:rPr>
        <w:t xml:space="preserve"> </w:t>
      </w:r>
    </w:p>
    <w:p w14:paraId="5F18C1F3" w14:textId="1D15A9E1" w:rsidR="0031675F" w:rsidRPr="00E817CB" w:rsidRDefault="0031675F" w:rsidP="008D2411">
      <w:pPr>
        <w:widowControl w:val="0"/>
        <w:numPr>
          <w:ilvl w:val="0"/>
          <w:numId w:val="126"/>
        </w:numPr>
        <w:tabs>
          <w:tab w:val="left" w:pos="403"/>
        </w:tabs>
        <w:spacing w:before="0" w:after="120" w:line="272" w:lineRule="exact"/>
        <w:ind w:left="402"/>
        <w:jc w:val="both"/>
        <w:rPr>
          <w:rFonts w:cs="Arial"/>
        </w:rPr>
      </w:pPr>
      <w:r w:rsidRPr="00E817CB">
        <w:rPr>
          <w:rFonts w:cs="Arial"/>
          <w:spacing w:val="-1"/>
        </w:rPr>
        <w:t>Working</w:t>
      </w:r>
      <w:r w:rsidRPr="00E817CB">
        <w:rPr>
          <w:rFonts w:cs="Arial"/>
          <w:spacing w:val="42"/>
        </w:rPr>
        <w:t xml:space="preserve"> </w:t>
      </w:r>
      <w:r w:rsidRPr="00E817CB">
        <w:rPr>
          <w:rFonts w:cs="Arial"/>
          <w:spacing w:val="-1"/>
        </w:rPr>
        <w:t>standards</w:t>
      </w:r>
      <w:r w:rsidRPr="00E817CB">
        <w:rPr>
          <w:rFonts w:cs="Arial"/>
          <w:spacing w:val="43"/>
        </w:rPr>
        <w:t xml:space="preserve"> </w:t>
      </w:r>
      <w:r w:rsidRPr="00E817CB">
        <w:rPr>
          <w:rFonts w:cs="Arial"/>
        </w:rPr>
        <w:t>are</w:t>
      </w:r>
      <w:r w:rsidRPr="00E817CB">
        <w:rPr>
          <w:rFonts w:cs="Arial"/>
          <w:spacing w:val="44"/>
        </w:rPr>
        <w:t xml:space="preserve"> </w:t>
      </w:r>
      <w:r w:rsidRPr="00E817CB">
        <w:rPr>
          <w:rFonts w:cs="Arial"/>
          <w:spacing w:val="-1"/>
        </w:rPr>
        <w:t>prepared</w:t>
      </w:r>
      <w:r w:rsidRPr="00E817CB">
        <w:rPr>
          <w:rFonts w:cs="Arial"/>
          <w:spacing w:val="42"/>
        </w:rPr>
        <w:t xml:space="preserve"> </w:t>
      </w:r>
      <w:r w:rsidRPr="00E817CB">
        <w:rPr>
          <w:rFonts w:cs="Arial"/>
          <w:spacing w:val="-1"/>
        </w:rPr>
        <w:t>over</w:t>
      </w:r>
      <w:r w:rsidRPr="00E817CB">
        <w:rPr>
          <w:rFonts w:cs="Arial"/>
          <w:spacing w:val="41"/>
        </w:rPr>
        <w:t xml:space="preserve"> </w:t>
      </w:r>
      <w:r w:rsidRPr="00E817CB">
        <w:rPr>
          <w:rFonts w:cs="Arial"/>
        </w:rPr>
        <w:t>the</w:t>
      </w:r>
      <w:r w:rsidRPr="00E817CB">
        <w:rPr>
          <w:rFonts w:cs="Arial"/>
          <w:spacing w:val="44"/>
        </w:rPr>
        <w:t xml:space="preserve"> </w:t>
      </w:r>
      <w:r w:rsidRPr="00E817CB">
        <w:rPr>
          <w:rFonts w:cs="Arial"/>
          <w:spacing w:val="-1"/>
        </w:rPr>
        <w:t>following</w:t>
      </w:r>
      <w:r w:rsidRPr="00E817CB">
        <w:rPr>
          <w:rFonts w:cs="Arial"/>
          <w:spacing w:val="39"/>
        </w:rPr>
        <w:t xml:space="preserve"> </w:t>
      </w:r>
      <w:r w:rsidRPr="00E817CB">
        <w:rPr>
          <w:rFonts w:cs="Arial"/>
          <w:spacing w:val="-1"/>
        </w:rPr>
        <w:t>ranges</w:t>
      </w:r>
      <w:r w:rsidRPr="00E817CB">
        <w:rPr>
          <w:rFonts w:cs="Arial"/>
          <w:spacing w:val="44"/>
        </w:rPr>
        <w:t xml:space="preserve"> </w:t>
      </w:r>
      <w:r w:rsidRPr="00E817CB">
        <w:rPr>
          <w:rFonts w:cs="Arial"/>
          <w:spacing w:val="-1"/>
        </w:rPr>
        <w:t>are:</w:t>
      </w:r>
      <w:r w:rsidRPr="00E817CB">
        <w:rPr>
          <w:rFonts w:cs="Arial"/>
          <w:spacing w:val="41"/>
        </w:rPr>
        <w:t xml:space="preserve"> </w:t>
      </w:r>
      <w:r w:rsidRPr="00E817CB">
        <w:rPr>
          <w:rFonts w:cs="Arial"/>
        </w:rPr>
        <w:t>NH</w:t>
      </w:r>
      <w:r w:rsidR="00C3030C" w:rsidRPr="00E817CB">
        <w:rPr>
          <w:rFonts w:cs="Arial"/>
          <w:position w:val="-2"/>
          <w:vertAlign w:val="subscript"/>
        </w:rPr>
        <w:t>3</w:t>
      </w:r>
      <w:r w:rsidRPr="00E817CB">
        <w:rPr>
          <w:rFonts w:cs="Arial"/>
        </w:rPr>
        <w:t>:</w:t>
      </w:r>
      <w:r w:rsidRPr="00E817CB">
        <w:rPr>
          <w:rFonts w:cs="Arial"/>
          <w:spacing w:val="25"/>
        </w:rPr>
        <w:t xml:space="preserve"> </w:t>
      </w:r>
      <w:r w:rsidRPr="00E817CB">
        <w:rPr>
          <w:rFonts w:cs="Arial"/>
          <w:spacing w:val="-1"/>
        </w:rPr>
        <w:t>0-10</w:t>
      </w:r>
      <w:r w:rsidR="00C3030C" w:rsidRPr="00E817CB">
        <w:rPr>
          <w:rFonts w:cs="Arial"/>
          <w:spacing w:val="-1"/>
        </w:rPr>
        <w:t xml:space="preserve"> </w:t>
      </w:r>
      <w:r w:rsidRPr="00E817CB">
        <w:rPr>
          <w:rFonts w:cs="Arial"/>
          <w:spacing w:val="-1"/>
        </w:rPr>
        <w:t>µmol-N</w:t>
      </w:r>
      <w:r w:rsidR="00E817CB" w:rsidRPr="00E817CB">
        <w:t xml:space="preserve"> L</w:t>
      </w:r>
      <w:r w:rsidR="00E817CB" w:rsidRPr="00E817CB">
        <w:rPr>
          <w:vertAlign w:val="superscript"/>
        </w:rPr>
        <w:t>-1</w:t>
      </w:r>
      <w:r w:rsidRPr="00E817CB">
        <w:rPr>
          <w:rFonts w:cs="Arial"/>
          <w:spacing w:val="-1"/>
        </w:rPr>
        <w:t>;</w:t>
      </w:r>
      <w:r w:rsidRPr="00E817CB">
        <w:rPr>
          <w:rFonts w:cs="Arial"/>
          <w:spacing w:val="7"/>
        </w:rPr>
        <w:t xml:space="preserve"> </w:t>
      </w:r>
      <w:r w:rsidRPr="00E817CB">
        <w:rPr>
          <w:rFonts w:cs="Arial"/>
          <w:spacing w:val="-1"/>
        </w:rPr>
        <w:t>NO</w:t>
      </w:r>
      <w:r w:rsidRPr="00E817CB">
        <w:rPr>
          <w:rFonts w:cs="Arial"/>
          <w:spacing w:val="-1"/>
          <w:position w:val="-2"/>
          <w:vertAlign w:val="subscript"/>
        </w:rPr>
        <w:t>3</w:t>
      </w:r>
      <w:r w:rsidRPr="00E817CB">
        <w:rPr>
          <w:rFonts w:cs="Arial"/>
          <w:spacing w:val="-1"/>
        </w:rPr>
        <w:t>:</w:t>
      </w:r>
      <w:r w:rsidRPr="00E817CB">
        <w:rPr>
          <w:rFonts w:cs="Arial"/>
          <w:spacing w:val="8"/>
        </w:rPr>
        <w:t xml:space="preserve"> </w:t>
      </w:r>
      <w:r w:rsidRPr="00E817CB">
        <w:rPr>
          <w:rFonts w:cs="Arial"/>
        </w:rPr>
        <w:t>0-</w:t>
      </w:r>
      <w:r w:rsidRPr="00E817CB">
        <w:rPr>
          <w:rFonts w:cs="Arial"/>
          <w:spacing w:val="-1"/>
        </w:rPr>
        <w:t>30</w:t>
      </w:r>
      <w:r w:rsidRPr="00E817CB">
        <w:rPr>
          <w:rFonts w:cs="Arial"/>
          <w:spacing w:val="8"/>
        </w:rPr>
        <w:t xml:space="preserve"> </w:t>
      </w:r>
      <w:r w:rsidRPr="00E817CB">
        <w:rPr>
          <w:rFonts w:cs="Arial"/>
          <w:spacing w:val="-1"/>
        </w:rPr>
        <w:t>µmol-N</w:t>
      </w:r>
      <w:r w:rsidR="00E817CB" w:rsidRPr="00E817CB">
        <w:t xml:space="preserve"> L</w:t>
      </w:r>
      <w:r w:rsidR="00E817CB" w:rsidRPr="00E817CB">
        <w:rPr>
          <w:vertAlign w:val="superscript"/>
        </w:rPr>
        <w:t>-1</w:t>
      </w:r>
      <w:r w:rsidRPr="00E817CB">
        <w:rPr>
          <w:rFonts w:cs="Arial"/>
          <w:spacing w:val="-1"/>
        </w:rPr>
        <w:t>;</w:t>
      </w:r>
      <w:r w:rsidRPr="00E817CB">
        <w:rPr>
          <w:rFonts w:cs="Arial"/>
          <w:spacing w:val="8"/>
        </w:rPr>
        <w:t xml:space="preserve"> </w:t>
      </w:r>
      <w:r w:rsidRPr="00E817CB">
        <w:rPr>
          <w:rFonts w:cs="Arial"/>
          <w:spacing w:val="-1"/>
        </w:rPr>
        <w:t>NO</w:t>
      </w:r>
      <w:r w:rsidRPr="00E817CB">
        <w:rPr>
          <w:rFonts w:cs="Arial"/>
          <w:spacing w:val="-1"/>
          <w:position w:val="-2"/>
          <w:vertAlign w:val="subscript"/>
        </w:rPr>
        <w:t>2</w:t>
      </w:r>
      <w:r w:rsidRPr="00E817CB">
        <w:rPr>
          <w:rFonts w:cs="Arial"/>
          <w:spacing w:val="-1"/>
        </w:rPr>
        <w:t>:</w:t>
      </w:r>
      <w:r w:rsidRPr="00E817CB">
        <w:rPr>
          <w:rFonts w:cs="Arial"/>
          <w:spacing w:val="8"/>
        </w:rPr>
        <w:t xml:space="preserve"> </w:t>
      </w:r>
      <w:r w:rsidRPr="00E817CB">
        <w:rPr>
          <w:rFonts w:cs="Arial"/>
        </w:rPr>
        <w:t xml:space="preserve">0-3 </w:t>
      </w:r>
      <w:r w:rsidRPr="00E817CB">
        <w:rPr>
          <w:rFonts w:cs="Arial"/>
          <w:spacing w:val="-1"/>
        </w:rPr>
        <w:t>µmol-N</w:t>
      </w:r>
      <w:r w:rsidR="00E817CB" w:rsidRPr="00E817CB">
        <w:t xml:space="preserve"> L</w:t>
      </w:r>
      <w:r w:rsidR="00E817CB" w:rsidRPr="00E817CB">
        <w:rPr>
          <w:vertAlign w:val="superscript"/>
        </w:rPr>
        <w:t>-1</w:t>
      </w:r>
      <w:r w:rsidRPr="00E817CB">
        <w:rPr>
          <w:rFonts w:cs="Arial"/>
          <w:spacing w:val="-1"/>
        </w:rPr>
        <w:t>;</w:t>
      </w:r>
      <w:r w:rsidRPr="00E817CB">
        <w:rPr>
          <w:rFonts w:cs="Arial"/>
          <w:spacing w:val="9"/>
        </w:rPr>
        <w:t xml:space="preserve"> </w:t>
      </w:r>
      <w:r w:rsidRPr="00E817CB">
        <w:rPr>
          <w:rFonts w:cs="Arial"/>
          <w:spacing w:val="-1"/>
        </w:rPr>
        <w:t>PO</w:t>
      </w:r>
      <w:r w:rsidRPr="00E817CB">
        <w:rPr>
          <w:rFonts w:cs="Arial"/>
          <w:spacing w:val="-1"/>
          <w:position w:val="-2"/>
          <w:vertAlign w:val="subscript"/>
        </w:rPr>
        <w:t>4</w:t>
      </w:r>
      <w:r w:rsidRPr="00E817CB">
        <w:rPr>
          <w:rFonts w:cs="Arial"/>
          <w:spacing w:val="-1"/>
        </w:rPr>
        <w:t>:0-3</w:t>
      </w:r>
      <w:r w:rsidRPr="00E817CB">
        <w:rPr>
          <w:rFonts w:cs="Arial"/>
          <w:spacing w:val="8"/>
        </w:rPr>
        <w:t xml:space="preserve"> </w:t>
      </w:r>
      <w:r w:rsidRPr="00E817CB">
        <w:rPr>
          <w:rFonts w:cs="Arial"/>
          <w:spacing w:val="-1"/>
        </w:rPr>
        <w:t>µmol-P</w:t>
      </w:r>
      <w:r w:rsidR="00E817CB" w:rsidRPr="00E817CB">
        <w:t xml:space="preserve"> L</w:t>
      </w:r>
      <w:r w:rsidR="00E817CB" w:rsidRPr="00E817CB">
        <w:rPr>
          <w:vertAlign w:val="superscript"/>
        </w:rPr>
        <w:t>-1</w:t>
      </w:r>
      <w:r w:rsidRPr="00E817CB">
        <w:rPr>
          <w:rFonts w:cs="Arial"/>
          <w:spacing w:val="-1"/>
        </w:rPr>
        <w:t>;</w:t>
      </w:r>
      <w:r w:rsidRPr="00E817CB">
        <w:rPr>
          <w:rFonts w:cs="Arial"/>
          <w:spacing w:val="8"/>
        </w:rPr>
        <w:t xml:space="preserve"> </w:t>
      </w:r>
      <w:r w:rsidRPr="00E817CB">
        <w:rPr>
          <w:rFonts w:cs="Arial"/>
          <w:spacing w:val="-1"/>
        </w:rPr>
        <w:t>Si:</w:t>
      </w:r>
      <w:r w:rsidR="00C3030C" w:rsidRPr="00E817CB">
        <w:rPr>
          <w:rFonts w:cs="Arial"/>
          <w:spacing w:val="-1"/>
        </w:rPr>
        <w:t xml:space="preserve"> </w:t>
      </w:r>
      <w:r w:rsidRPr="00E817CB">
        <w:rPr>
          <w:rFonts w:cs="Arial"/>
          <w:spacing w:val="-1"/>
        </w:rPr>
        <w:t>0-30</w:t>
      </w:r>
      <w:r w:rsidRPr="00E817CB">
        <w:rPr>
          <w:rFonts w:cs="Arial"/>
          <w:spacing w:val="-2"/>
        </w:rPr>
        <w:t xml:space="preserve"> </w:t>
      </w:r>
      <w:r w:rsidRPr="00E817CB">
        <w:rPr>
          <w:rFonts w:cs="Arial"/>
          <w:spacing w:val="-1"/>
        </w:rPr>
        <w:t>µmol-Si</w:t>
      </w:r>
      <w:r w:rsidR="00E817CB" w:rsidRPr="00E817CB">
        <w:t xml:space="preserve"> L</w:t>
      </w:r>
      <w:r w:rsidR="00E817CB" w:rsidRPr="00E817CB">
        <w:rPr>
          <w:vertAlign w:val="superscript"/>
        </w:rPr>
        <w:t>-1</w:t>
      </w:r>
      <w:r w:rsidRPr="00E817CB">
        <w:rPr>
          <w:rFonts w:cs="Arial"/>
          <w:spacing w:val="-1"/>
        </w:rPr>
        <w:t>.</w:t>
      </w:r>
    </w:p>
    <w:p w14:paraId="53D56C5B" w14:textId="77777777" w:rsidR="0031675F" w:rsidRPr="00E817CB" w:rsidRDefault="0031675F" w:rsidP="0031675F">
      <w:pPr>
        <w:widowControl w:val="0"/>
        <w:numPr>
          <w:ilvl w:val="0"/>
          <w:numId w:val="126"/>
        </w:numPr>
        <w:tabs>
          <w:tab w:val="left" w:pos="403"/>
        </w:tabs>
        <w:spacing w:before="0" w:after="0" w:line="240" w:lineRule="auto"/>
        <w:ind w:left="402" w:right="117"/>
        <w:jc w:val="both"/>
        <w:rPr>
          <w:rFonts w:cs="Arial"/>
        </w:rPr>
      </w:pPr>
      <w:r w:rsidRPr="00E817CB">
        <w:rPr>
          <w:rFonts w:cs="Arial"/>
          <w:spacing w:val="-1"/>
        </w:rPr>
        <w:t>Working</w:t>
      </w:r>
      <w:r w:rsidRPr="00E817CB">
        <w:rPr>
          <w:rFonts w:cs="Arial"/>
          <w:spacing w:val="16"/>
        </w:rPr>
        <w:t xml:space="preserve"> </w:t>
      </w:r>
      <w:r w:rsidRPr="00E817CB">
        <w:rPr>
          <w:rFonts w:cs="Arial"/>
          <w:spacing w:val="-1"/>
        </w:rPr>
        <w:t>standards</w:t>
      </w:r>
      <w:r w:rsidRPr="00E817CB">
        <w:rPr>
          <w:rFonts w:cs="Arial"/>
          <w:spacing w:val="17"/>
        </w:rPr>
        <w:t xml:space="preserve"> </w:t>
      </w:r>
      <w:r w:rsidRPr="00E817CB">
        <w:rPr>
          <w:rFonts w:cs="Arial"/>
        </w:rPr>
        <w:t>are</w:t>
      </w:r>
      <w:r w:rsidRPr="00E817CB">
        <w:rPr>
          <w:rFonts w:cs="Arial"/>
          <w:spacing w:val="17"/>
        </w:rPr>
        <w:t xml:space="preserve"> </w:t>
      </w:r>
      <w:r w:rsidRPr="00E817CB">
        <w:rPr>
          <w:rFonts w:cs="Arial"/>
          <w:spacing w:val="-1"/>
        </w:rPr>
        <w:t>prepared</w:t>
      </w:r>
      <w:r w:rsidRPr="00E817CB">
        <w:rPr>
          <w:rFonts w:cs="Arial"/>
          <w:spacing w:val="16"/>
        </w:rPr>
        <w:t xml:space="preserve"> </w:t>
      </w:r>
      <w:r w:rsidRPr="00E817CB">
        <w:rPr>
          <w:rFonts w:cs="Arial"/>
        </w:rPr>
        <w:t>in</w:t>
      </w:r>
      <w:r w:rsidRPr="00E817CB">
        <w:rPr>
          <w:rFonts w:cs="Arial"/>
          <w:spacing w:val="16"/>
        </w:rPr>
        <w:t xml:space="preserve"> </w:t>
      </w:r>
      <w:r w:rsidRPr="00E817CB">
        <w:rPr>
          <w:rFonts w:cs="Arial"/>
        </w:rPr>
        <w:t>a</w:t>
      </w:r>
      <w:r w:rsidRPr="00E817CB">
        <w:rPr>
          <w:rFonts w:cs="Arial"/>
          <w:spacing w:val="17"/>
        </w:rPr>
        <w:t xml:space="preserve"> </w:t>
      </w:r>
      <w:r w:rsidRPr="00E817CB">
        <w:rPr>
          <w:rFonts w:cs="Arial"/>
        </w:rPr>
        <w:t>matrix</w:t>
      </w:r>
      <w:r w:rsidRPr="00E817CB">
        <w:rPr>
          <w:rFonts w:cs="Arial"/>
          <w:spacing w:val="15"/>
        </w:rPr>
        <w:t xml:space="preserve"> </w:t>
      </w:r>
      <w:r w:rsidRPr="00E817CB">
        <w:rPr>
          <w:rFonts w:cs="Arial"/>
        </w:rPr>
        <w:t>which</w:t>
      </w:r>
      <w:r w:rsidRPr="00E817CB">
        <w:rPr>
          <w:rFonts w:cs="Arial"/>
          <w:spacing w:val="15"/>
        </w:rPr>
        <w:t xml:space="preserve"> </w:t>
      </w:r>
      <w:r w:rsidRPr="00E817CB">
        <w:rPr>
          <w:rFonts w:cs="Arial"/>
          <w:spacing w:val="-1"/>
        </w:rPr>
        <w:t>matches</w:t>
      </w:r>
      <w:r w:rsidRPr="00E817CB">
        <w:rPr>
          <w:rFonts w:cs="Arial"/>
          <w:spacing w:val="17"/>
        </w:rPr>
        <w:t xml:space="preserve"> </w:t>
      </w:r>
      <w:r w:rsidRPr="00E817CB">
        <w:rPr>
          <w:rFonts w:cs="Arial"/>
        </w:rPr>
        <w:t>the</w:t>
      </w:r>
      <w:r w:rsidRPr="00E817CB">
        <w:rPr>
          <w:rFonts w:cs="Arial"/>
          <w:spacing w:val="17"/>
        </w:rPr>
        <w:t xml:space="preserve"> </w:t>
      </w:r>
      <w:r w:rsidRPr="00E817CB">
        <w:rPr>
          <w:rFonts w:cs="Arial"/>
          <w:spacing w:val="-1"/>
        </w:rPr>
        <w:t>refractive</w:t>
      </w:r>
      <w:r w:rsidRPr="00E817CB">
        <w:rPr>
          <w:rFonts w:cs="Arial"/>
          <w:spacing w:val="17"/>
        </w:rPr>
        <w:t xml:space="preserve"> </w:t>
      </w:r>
      <w:r w:rsidRPr="00E817CB">
        <w:rPr>
          <w:rFonts w:cs="Arial"/>
          <w:spacing w:val="-1"/>
        </w:rPr>
        <w:t>index</w:t>
      </w:r>
      <w:r w:rsidRPr="00E817CB">
        <w:rPr>
          <w:rFonts w:cs="Arial"/>
          <w:spacing w:val="15"/>
        </w:rPr>
        <w:t xml:space="preserve"> </w:t>
      </w:r>
      <w:r w:rsidRPr="00E817CB">
        <w:rPr>
          <w:rFonts w:cs="Arial"/>
        </w:rPr>
        <w:t>of</w:t>
      </w:r>
      <w:r w:rsidRPr="00E817CB">
        <w:rPr>
          <w:rFonts w:cs="Arial"/>
          <w:spacing w:val="17"/>
        </w:rPr>
        <w:t xml:space="preserve"> </w:t>
      </w:r>
      <w:r w:rsidRPr="00E817CB">
        <w:rPr>
          <w:rFonts w:cs="Arial"/>
          <w:spacing w:val="-1"/>
        </w:rPr>
        <w:t>samples</w:t>
      </w:r>
      <w:r w:rsidRPr="00E817CB">
        <w:rPr>
          <w:rFonts w:cs="Arial"/>
          <w:spacing w:val="17"/>
        </w:rPr>
        <w:t xml:space="preserve"> </w:t>
      </w:r>
      <w:r w:rsidRPr="00E817CB">
        <w:rPr>
          <w:rFonts w:cs="Arial"/>
          <w:spacing w:val="-1"/>
        </w:rPr>
        <w:t>(e.g.</w:t>
      </w:r>
      <w:r w:rsidRPr="00E817CB">
        <w:rPr>
          <w:rFonts w:cs="Arial"/>
          <w:spacing w:val="47"/>
        </w:rPr>
        <w:t xml:space="preserve"> </w:t>
      </w:r>
      <w:r w:rsidRPr="00E817CB">
        <w:rPr>
          <w:rFonts w:cs="Arial"/>
          <w:spacing w:val="-1"/>
        </w:rPr>
        <w:t>fresh,</w:t>
      </w:r>
      <w:r w:rsidRPr="00E817CB">
        <w:rPr>
          <w:rFonts w:cs="Arial"/>
        </w:rPr>
        <w:t xml:space="preserve"> </w:t>
      </w:r>
      <w:r w:rsidRPr="00E817CB">
        <w:rPr>
          <w:rFonts w:cs="Arial"/>
          <w:spacing w:val="-1"/>
        </w:rPr>
        <w:t>estuarine</w:t>
      </w:r>
      <w:r w:rsidRPr="00E817CB">
        <w:rPr>
          <w:rFonts w:cs="Arial"/>
          <w:spacing w:val="-2"/>
        </w:rPr>
        <w:t xml:space="preserve"> </w:t>
      </w:r>
      <w:r w:rsidRPr="00E817CB">
        <w:rPr>
          <w:rFonts w:cs="Arial"/>
        </w:rPr>
        <w:t>or</w:t>
      </w:r>
      <w:r w:rsidRPr="00E817CB">
        <w:rPr>
          <w:rFonts w:cs="Arial"/>
          <w:spacing w:val="-2"/>
        </w:rPr>
        <w:t xml:space="preserve"> </w:t>
      </w:r>
      <w:r w:rsidRPr="00E817CB">
        <w:rPr>
          <w:rFonts w:cs="Arial"/>
          <w:spacing w:val="-1"/>
        </w:rPr>
        <w:t>marine</w:t>
      </w:r>
      <w:r w:rsidRPr="00E817CB">
        <w:rPr>
          <w:rFonts w:cs="Arial"/>
          <w:spacing w:val="-2"/>
        </w:rPr>
        <w:t xml:space="preserve"> </w:t>
      </w:r>
      <w:r w:rsidRPr="00E817CB">
        <w:rPr>
          <w:rFonts w:cs="Arial"/>
          <w:spacing w:val="-1"/>
        </w:rPr>
        <w:t>waters)</w:t>
      </w:r>
      <w:r w:rsidRPr="00E817CB">
        <w:rPr>
          <w:rFonts w:cs="Arial"/>
        </w:rPr>
        <w:t xml:space="preserve"> </w:t>
      </w:r>
      <w:r w:rsidRPr="00E817CB">
        <w:rPr>
          <w:rFonts w:cs="Arial"/>
          <w:spacing w:val="-1"/>
        </w:rPr>
        <w:t>by</w:t>
      </w:r>
      <w:r w:rsidRPr="00E817CB">
        <w:rPr>
          <w:rFonts w:cs="Arial"/>
          <w:spacing w:val="-2"/>
        </w:rPr>
        <w:t xml:space="preserve"> </w:t>
      </w:r>
      <w:r w:rsidRPr="00E817CB">
        <w:rPr>
          <w:rFonts w:cs="Arial"/>
          <w:spacing w:val="-1"/>
        </w:rPr>
        <w:t>addition</w:t>
      </w:r>
      <w:r w:rsidRPr="00E817CB">
        <w:rPr>
          <w:rFonts w:cs="Arial"/>
          <w:spacing w:val="-3"/>
        </w:rPr>
        <w:t xml:space="preserve"> </w:t>
      </w:r>
      <w:r w:rsidRPr="00E817CB">
        <w:rPr>
          <w:rFonts w:cs="Arial"/>
        </w:rPr>
        <w:t xml:space="preserve">of </w:t>
      </w:r>
      <w:r w:rsidRPr="00E817CB">
        <w:rPr>
          <w:rFonts w:cs="Arial"/>
          <w:spacing w:val="-1"/>
        </w:rPr>
        <w:t>appropriate</w:t>
      </w:r>
      <w:r w:rsidRPr="00E817CB">
        <w:rPr>
          <w:rFonts w:cs="Arial"/>
          <w:spacing w:val="-2"/>
        </w:rPr>
        <w:t xml:space="preserve"> </w:t>
      </w:r>
      <w:r w:rsidRPr="00E817CB">
        <w:rPr>
          <w:rFonts w:cs="Arial"/>
          <w:spacing w:val="-1"/>
        </w:rPr>
        <w:t>amounts</w:t>
      </w:r>
      <w:r w:rsidRPr="00E817CB">
        <w:rPr>
          <w:rFonts w:cs="Arial"/>
          <w:spacing w:val="-2"/>
        </w:rPr>
        <w:t xml:space="preserve"> </w:t>
      </w:r>
      <w:r w:rsidRPr="00E817CB">
        <w:rPr>
          <w:rFonts w:cs="Arial"/>
        </w:rPr>
        <w:t xml:space="preserve">of </w:t>
      </w:r>
      <w:r w:rsidRPr="00E817CB">
        <w:rPr>
          <w:rFonts w:cs="Arial"/>
          <w:spacing w:val="-2"/>
        </w:rPr>
        <w:t>AR</w:t>
      </w:r>
      <w:r w:rsidRPr="00E817CB">
        <w:rPr>
          <w:rFonts w:cs="Arial"/>
        </w:rPr>
        <w:t xml:space="preserve"> </w:t>
      </w:r>
      <w:r w:rsidRPr="00E817CB">
        <w:rPr>
          <w:rFonts w:cs="Arial"/>
          <w:spacing w:val="-1"/>
        </w:rPr>
        <w:t>grade</w:t>
      </w:r>
      <w:r w:rsidRPr="00E817CB">
        <w:rPr>
          <w:rFonts w:cs="Arial"/>
        </w:rPr>
        <w:t xml:space="preserve"> </w:t>
      </w:r>
      <w:r w:rsidRPr="00E817CB">
        <w:rPr>
          <w:rFonts w:cs="Arial"/>
          <w:spacing w:val="-1"/>
        </w:rPr>
        <w:t>NaCl</w:t>
      </w:r>
      <w:r w:rsidRPr="00E817CB">
        <w:rPr>
          <w:rFonts w:cs="Arial"/>
        </w:rPr>
        <w:t xml:space="preserve"> </w:t>
      </w:r>
      <w:r w:rsidRPr="00E817CB">
        <w:rPr>
          <w:rFonts w:cs="Arial"/>
          <w:spacing w:val="-2"/>
        </w:rPr>
        <w:t>to</w:t>
      </w:r>
      <w:r w:rsidRPr="00E817CB">
        <w:rPr>
          <w:rFonts w:cs="Arial"/>
          <w:spacing w:val="-1"/>
        </w:rPr>
        <w:t xml:space="preserve"> </w:t>
      </w:r>
      <w:r w:rsidRPr="00E817CB">
        <w:rPr>
          <w:rFonts w:cs="Arial"/>
        </w:rPr>
        <w:t>DIW.</w:t>
      </w:r>
    </w:p>
    <w:p w14:paraId="3DAABA2C" w14:textId="77777777" w:rsidR="0031675F" w:rsidRPr="00E817CB" w:rsidRDefault="0031675F" w:rsidP="0031675F">
      <w:pPr>
        <w:widowControl w:val="0"/>
        <w:numPr>
          <w:ilvl w:val="0"/>
          <w:numId w:val="126"/>
        </w:numPr>
        <w:tabs>
          <w:tab w:val="left" w:pos="403"/>
        </w:tabs>
        <w:spacing w:before="0" w:after="0" w:line="240" w:lineRule="auto"/>
        <w:ind w:left="402" w:right="112"/>
        <w:jc w:val="both"/>
        <w:rPr>
          <w:rFonts w:cs="Arial"/>
        </w:rPr>
      </w:pPr>
      <w:r w:rsidRPr="00E817CB">
        <w:rPr>
          <w:rFonts w:cs="Arial"/>
          <w:spacing w:val="-1"/>
        </w:rPr>
        <w:t>Certified</w:t>
      </w:r>
      <w:r w:rsidRPr="00E817CB">
        <w:rPr>
          <w:rFonts w:cs="Arial"/>
          <w:spacing w:val="43"/>
        </w:rPr>
        <w:t xml:space="preserve"> </w:t>
      </w:r>
      <w:r w:rsidRPr="00E817CB">
        <w:rPr>
          <w:rFonts w:cs="Arial"/>
          <w:spacing w:val="-1"/>
        </w:rPr>
        <w:t>reference</w:t>
      </w:r>
      <w:r w:rsidRPr="00E817CB">
        <w:rPr>
          <w:rFonts w:cs="Arial"/>
          <w:spacing w:val="43"/>
        </w:rPr>
        <w:t xml:space="preserve"> </w:t>
      </w:r>
      <w:r w:rsidRPr="00E817CB">
        <w:rPr>
          <w:rFonts w:cs="Arial"/>
          <w:spacing w:val="-1"/>
        </w:rPr>
        <w:t>standards</w:t>
      </w:r>
      <w:r w:rsidRPr="00E817CB">
        <w:rPr>
          <w:rFonts w:cs="Arial"/>
          <w:spacing w:val="43"/>
        </w:rPr>
        <w:t xml:space="preserve"> </w:t>
      </w:r>
      <w:r w:rsidRPr="00E817CB">
        <w:rPr>
          <w:rFonts w:cs="Arial"/>
          <w:spacing w:val="-1"/>
        </w:rPr>
        <w:t>for</w:t>
      </w:r>
      <w:r w:rsidRPr="00E817CB">
        <w:rPr>
          <w:rFonts w:cs="Arial"/>
          <w:spacing w:val="42"/>
        </w:rPr>
        <w:t xml:space="preserve"> </w:t>
      </w:r>
      <w:r w:rsidRPr="00E817CB">
        <w:rPr>
          <w:rFonts w:cs="Arial"/>
        </w:rPr>
        <w:t>each</w:t>
      </w:r>
      <w:r w:rsidRPr="00E817CB">
        <w:rPr>
          <w:rFonts w:cs="Arial"/>
          <w:spacing w:val="43"/>
        </w:rPr>
        <w:t xml:space="preserve"> </w:t>
      </w:r>
      <w:r w:rsidRPr="00E817CB">
        <w:rPr>
          <w:rFonts w:cs="Arial"/>
          <w:spacing w:val="-1"/>
        </w:rPr>
        <w:t>nutrient</w:t>
      </w:r>
      <w:r w:rsidRPr="00E817CB">
        <w:rPr>
          <w:rFonts w:cs="Arial"/>
          <w:spacing w:val="44"/>
        </w:rPr>
        <w:t xml:space="preserve"> </w:t>
      </w:r>
      <w:r w:rsidRPr="00E817CB">
        <w:rPr>
          <w:rFonts w:cs="Arial"/>
          <w:spacing w:val="-1"/>
        </w:rPr>
        <w:t>analysis</w:t>
      </w:r>
      <w:r w:rsidRPr="00E817CB">
        <w:rPr>
          <w:rFonts w:cs="Arial"/>
          <w:spacing w:val="43"/>
        </w:rPr>
        <w:t xml:space="preserve"> </w:t>
      </w:r>
      <w:r w:rsidRPr="00E817CB">
        <w:rPr>
          <w:rFonts w:cs="Arial"/>
        </w:rPr>
        <w:t>are</w:t>
      </w:r>
      <w:r w:rsidRPr="00E817CB">
        <w:rPr>
          <w:rFonts w:cs="Arial"/>
          <w:spacing w:val="43"/>
        </w:rPr>
        <w:t xml:space="preserve"> </w:t>
      </w:r>
      <w:r w:rsidRPr="00E817CB">
        <w:rPr>
          <w:rFonts w:cs="Arial"/>
          <w:spacing w:val="-1"/>
        </w:rPr>
        <w:t>purchased</w:t>
      </w:r>
      <w:r w:rsidRPr="00E817CB">
        <w:rPr>
          <w:rFonts w:cs="Arial"/>
          <w:spacing w:val="43"/>
        </w:rPr>
        <w:t xml:space="preserve"> </w:t>
      </w:r>
      <w:r w:rsidRPr="00E817CB">
        <w:rPr>
          <w:rFonts w:cs="Arial"/>
          <w:spacing w:val="-1"/>
        </w:rPr>
        <w:t>from</w:t>
      </w:r>
      <w:r w:rsidRPr="00E817CB">
        <w:rPr>
          <w:rFonts w:cs="Arial"/>
          <w:spacing w:val="42"/>
        </w:rPr>
        <w:t xml:space="preserve"> </w:t>
      </w:r>
      <w:r w:rsidRPr="00E817CB">
        <w:rPr>
          <w:rFonts w:cs="Arial"/>
          <w:spacing w:val="-1"/>
        </w:rPr>
        <w:t>Oceans</w:t>
      </w:r>
      <w:r w:rsidRPr="00E817CB">
        <w:rPr>
          <w:rFonts w:cs="Arial"/>
          <w:spacing w:val="42"/>
        </w:rPr>
        <w:t xml:space="preserve"> </w:t>
      </w:r>
      <w:r w:rsidRPr="00E817CB">
        <w:rPr>
          <w:rFonts w:cs="Arial"/>
          <w:spacing w:val="-1"/>
        </w:rPr>
        <w:t>Scientific</w:t>
      </w:r>
      <w:r w:rsidRPr="00E817CB">
        <w:rPr>
          <w:rFonts w:cs="Arial"/>
          <w:spacing w:val="69"/>
        </w:rPr>
        <w:t xml:space="preserve"> </w:t>
      </w:r>
      <w:r w:rsidRPr="00E817CB">
        <w:rPr>
          <w:rFonts w:cs="Arial"/>
          <w:spacing w:val="-1"/>
        </w:rPr>
        <w:t>International</w:t>
      </w:r>
      <w:r w:rsidRPr="00E817CB">
        <w:rPr>
          <w:rFonts w:cs="Arial"/>
          <w:spacing w:val="40"/>
        </w:rPr>
        <w:t xml:space="preserve"> </w:t>
      </w:r>
      <w:r w:rsidRPr="00E817CB">
        <w:rPr>
          <w:rFonts w:cs="Arial"/>
          <w:spacing w:val="-1"/>
        </w:rPr>
        <w:t>and</w:t>
      </w:r>
      <w:r w:rsidRPr="00E817CB">
        <w:rPr>
          <w:rFonts w:cs="Arial"/>
          <w:spacing w:val="40"/>
        </w:rPr>
        <w:t xml:space="preserve"> </w:t>
      </w:r>
      <w:r w:rsidRPr="00E817CB">
        <w:rPr>
          <w:rFonts w:cs="Arial"/>
          <w:spacing w:val="-2"/>
        </w:rPr>
        <w:t>Research</w:t>
      </w:r>
      <w:r w:rsidRPr="00E817CB">
        <w:rPr>
          <w:rFonts w:cs="Arial"/>
          <w:spacing w:val="40"/>
        </w:rPr>
        <w:t xml:space="preserve"> </w:t>
      </w:r>
      <w:r w:rsidRPr="00E817CB">
        <w:rPr>
          <w:rFonts w:cs="Arial"/>
          <w:spacing w:val="-1"/>
        </w:rPr>
        <w:t>Council</w:t>
      </w:r>
      <w:r w:rsidRPr="00E817CB">
        <w:rPr>
          <w:rFonts w:cs="Arial"/>
          <w:spacing w:val="40"/>
        </w:rPr>
        <w:t xml:space="preserve"> </w:t>
      </w:r>
      <w:r w:rsidRPr="00E817CB">
        <w:rPr>
          <w:rFonts w:cs="Arial"/>
        </w:rPr>
        <w:t>of</w:t>
      </w:r>
      <w:r w:rsidRPr="00E817CB">
        <w:rPr>
          <w:rFonts w:cs="Arial"/>
          <w:spacing w:val="41"/>
        </w:rPr>
        <w:t xml:space="preserve"> </w:t>
      </w:r>
      <w:r w:rsidRPr="00E817CB">
        <w:rPr>
          <w:rFonts w:cs="Arial"/>
          <w:spacing w:val="-1"/>
        </w:rPr>
        <w:t>Canada</w:t>
      </w:r>
      <w:r w:rsidRPr="00E817CB">
        <w:rPr>
          <w:rFonts w:cs="Arial"/>
          <w:spacing w:val="41"/>
        </w:rPr>
        <w:t xml:space="preserve"> </w:t>
      </w:r>
      <w:r w:rsidRPr="00E817CB">
        <w:rPr>
          <w:rFonts w:cs="Arial"/>
          <w:spacing w:val="-1"/>
        </w:rPr>
        <w:t>(NRC)</w:t>
      </w:r>
      <w:r w:rsidRPr="00E817CB">
        <w:rPr>
          <w:rFonts w:cs="Arial"/>
          <w:spacing w:val="41"/>
        </w:rPr>
        <w:t xml:space="preserve"> </w:t>
      </w:r>
      <w:r w:rsidRPr="00E817CB">
        <w:rPr>
          <w:rFonts w:cs="Arial"/>
          <w:spacing w:val="-1"/>
        </w:rPr>
        <w:t>and</w:t>
      </w:r>
      <w:r w:rsidRPr="00E817CB">
        <w:rPr>
          <w:rFonts w:cs="Arial"/>
          <w:spacing w:val="39"/>
        </w:rPr>
        <w:t xml:space="preserve"> </w:t>
      </w:r>
      <w:r w:rsidRPr="00E817CB">
        <w:rPr>
          <w:rFonts w:cs="Arial"/>
          <w:spacing w:val="-1"/>
        </w:rPr>
        <w:t>prepared</w:t>
      </w:r>
      <w:r w:rsidRPr="00E817CB">
        <w:rPr>
          <w:rFonts w:cs="Arial"/>
          <w:spacing w:val="40"/>
        </w:rPr>
        <w:t xml:space="preserve"> </w:t>
      </w:r>
      <w:r w:rsidRPr="00E817CB">
        <w:rPr>
          <w:rFonts w:cs="Arial"/>
        </w:rPr>
        <w:t>as</w:t>
      </w:r>
      <w:r w:rsidRPr="00E817CB">
        <w:rPr>
          <w:rFonts w:cs="Arial"/>
          <w:spacing w:val="41"/>
        </w:rPr>
        <w:t xml:space="preserve"> </w:t>
      </w:r>
      <w:r w:rsidRPr="00E817CB">
        <w:rPr>
          <w:rFonts w:cs="Arial"/>
        </w:rPr>
        <w:t>a</w:t>
      </w:r>
      <w:r w:rsidRPr="00E817CB">
        <w:rPr>
          <w:rFonts w:cs="Arial"/>
          <w:spacing w:val="37"/>
        </w:rPr>
        <w:t xml:space="preserve"> </w:t>
      </w:r>
      <w:r w:rsidRPr="00E817CB">
        <w:rPr>
          <w:rFonts w:cs="Arial"/>
          <w:spacing w:val="-1"/>
        </w:rPr>
        <w:t>mixed</w:t>
      </w:r>
      <w:r w:rsidRPr="00E817CB">
        <w:rPr>
          <w:rFonts w:cs="Arial"/>
          <w:spacing w:val="40"/>
        </w:rPr>
        <w:t xml:space="preserve"> </w:t>
      </w:r>
      <w:r w:rsidRPr="00E817CB">
        <w:rPr>
          <w:rFonts w:cs="Arial"/>
          <w:spacing w:val="-1"/>
        </w:rPr>
        <w:t>standard</w:t>
      </w:r>
      <w:r w:rsidRPr="00E817CB">
        <w:rPr>
          <w:rFonts w:cs="Arial"/>
          <w:spacing w:val="40"/>
        </w:rPr>
        <w:t xml:space="preserve"> </w:t>
      </w:r>
      <w:r w:rsidRPr="00E817CB">
        <w:rPr>
          <w:rFonts w:cs="Arial"/>
        </w:rPr>
        <w:t>to</w:t>
      </w:r>
      <w:r w:rsidRPr="00E817CB">
        <w:rPr>
          <w:rFonts w:cs="Arial"/>
          <w:spacing w:val="43"/>
        </w:rPr>
        <w:t xml:space="preserve"> </w:t>
      </w:r>
      <w:r w:rsidRPr="00E817CB">
        <w:rPr>
          <w:rFonts w:cs="Arial"/>
          <w:spacing w:val="-1"/>
        </w:rPr>
        <w:t>fit</w:t>
      </w:r>
      <w:r w:rsidRPr="00E817CB">
        <w:rPr>
          <w:rFonts w:cs="Arial"/>
          <w:spacing w:val="68"/>
        </w:rPr>
        <w:t xml:space="preserve"> </w:t>
      </w:r>
      <w:r w:rsidRPr="00E817CB">
        <w:rPr>
          <w:rFonts w:cs="Arial"/>
        </w:rPr>
        <w:t>within</w:t>
      </w:r>
      <w:r w:rsidRPr="00E817CB">
        <w:rPr>
          <w:rFonts w:cs="Arial"/>
          <w:spacing w:val="5"/>
        </w:rPr>
        <w:t xml:space="preserve"> </w:t>
      </w:r>
      <w:r w:rsidRPr="00E817CB">
        <w:rPr>
          <w:rFonts w:cs="Arial"/>
        </w:rPr>
        <w:t>the</w:t>
      </w:r>
      <w:r w:rsidRPr="00E817CB">
        <w:rPr>
          <w:rFonts w:cs="Arial"/>
          <w:spacing w:val="5"/>
        </w:rPr>
        <w:t xml:space="preserve"> </w:t>
      </w:r>
      <w:r w:rsidRPr="00E817CB">
        <w:rPr>
          <w:rFonts w:cs="Arial"/>
          <w:spacing w:val="-1"/>
        </w:rPr>
        <w:t>working</w:t>
      </w:r>
      <w:r w:rsidRPr="00E817CB">
        <w:rPr>
          <w:rFonts w:cs="Arial"/>
          <w:spacing w:val="4"/>
        </w:rPr>
        <w:t xml:space="preserve"> </w:t>
      </w:r>
      <w:r w:rsidRPr="00E817CB">
        <w:rPr>
          <w:rFonts w:cs="Arial"/>
          <w:spacing w:val="-1"/>
        </w:rPr>
        <w:t>concentration</w:t>
      </w:r>
      <w:r w:rsidRPr="00E817CB">
        <w:rPr>
          <w:rFonts w:cs="Arial"/>
          <w:spacing w:val="4"/>
        </w:rPr>
        <w:t xml:space="preserve"> </w:t>
      </w:r>
      <w:r w:rsidRPr="00E817CB">
        <w:rPr>
          <w:rFonts w:cs="Arial"/>
          <w:spacing w:val="-1"/>
        </w:rPr>
        <w:t>rangeof the samples being analysed</w:t>
      </w:r>
    </w:p>
    <w:p w14:paraId="59B4FF07" w14:textId="77777777" w:rsidR="0031675F" w:rsidRPr="00E817CB" w:rsidRDefault="0031675F" w:rsidP="0031675F">
      <w:pPr>
        <w:widowControl w:val="0"/>
        <w:numPr>
          <w:ilvl w:val="0"/>
          <w:numId w:val="126"/>
        </w:numPr>
        <w:tabs>
          <w:tab w:val="left" w:pos="403"/>
        </w:tabs>
        <w:spacing w:before="0" w:after="0" w:line="266" w:lineRule="exact"/>
        <w:ind w:left="402"/>
        <w:rPr>
          <w:rFonts w:cs="Arial"/>
        </w:rPr>
      </w:pPr>
      <w:r w:rsidRPr="00E817CB">
        <w:rPr>
          <w:rFonts w:cs="Arial"/>
          <w:spacing w:val="-1"/>
        </w:rPr>
        <w:t>In-house</w:t>
      </w:r>
      <w:r w:rsidRPr="00E817CB">
        <w:rPr>
          <w:rFonts w:cs="Arial"/>
          <w:spacing w:val="1"/>
        </w:rPr>
        <w:t xml:space="preserve"> </w:t>
      </w:r>
      <w:r w:rsidRPr="00E817CB">
        <w:rPr>
          <w:rFonts w:cs="Arial"/>
          <w:spacing w:val="-1"/>
        </w:rPr>
        <w:t>sea</w:t>
      </w:r>
      <w:r w:rsidRPr="00E817CB">
        <w:rPr>
          <w:rFonts w:cs="Arial"/>
          <w:spacing w:val="-2"/>
        </w:rPr>
        <w:t xml:space="preserve"> </w:t>
      </w:r>
      <w:r w:rsidRPr="00E817CB">
        <w:rPr>
          <w:rFonts w:cs="Arial"/>
          <w:spacing w:val="-1"/>
        </w:rPr>
        <w:t>water</w:t>
      </w:r>
      <w:r w:rsidRPr="00E817CB">
        <w:rPr>
          <w:rFonts w:cs="Arial"/>
        </w:rPr>
        <w:t xml:space="preserve"> </w:t>
      </w:r>
      <w:r w:rsidRPr="00E817CB">
        <w:rPr>
          <w:rFonts w:cs="Arial"/>
          <w:spacing w:val="-1"/>
        </w:rPr>
        <w:t>storage</w:t>
      </w:r>
      <w:r w:rsidRPr="00E817CB">
        <w:rPr>
          <w:rFonts w:cs="Arial"/>
          <w:spacing w:val="-2"/>
        </w:rPr>
        <w:t xml:space="preserve"> </w:t>
      </w:r>
      <w:r w:rsidRPr="00E817CB">
        <w:rPr>
          <w:rFonts w:cs="Arial"/>
          <w:spacing w:val="-1"/>
        </w:rPr>
        <w:t>reference</w:t>
      </w:r>
      <w:r w:rsidRPr="00E817CB">
        <w:rPr>
          <w:rFonts w:cs="Arial"/>
        </w:rPr>
        <w:t xml:space="preserve"> </w:t>
      </w:r>
      <w:r w:rsidRPr="00E817CB">
        <w:rPr>
          <w:rFonts w:cs="Arial"/>
          <w:spacing w:val="-2"/>
        </w:rPr>
        <w:t>samples:</w:t>
      </w:r>
    </w:p>
    <w:p w14:paraId="0FA88F9B" w14:textId="69A85203" w:rsidR="0031675F" w:rsidRPr="00E817CB" w:rsidRDefault="0031675F" w:rsidP="0031675F">
      <w:pPr>
        <w:spacing w:before="1" w:after="120" w:line="238" w:lineRule="auto"/>
        <w:ind w:left="402" w:right="111"/>
        <w:jc w:val="both"/>
        <w:rPr>
          <w:rFonts w:cs="Arial"/>
        </w:rPr>
      </w:pPr>
      <w:r w:rsidRPr="00E817CB">
        <w:rPr>
          <w:rFonts w:cs="Arial"/>
          <w:spacing w:val="-1"/>
        </w:rPr>
        <w:t>Coastal</w:t>
      </w:r>
      <w:r w:rsidRPr="00E817CB">
        <w:rPr>
          <w:rFonts w:cs="Arial"/>
          <w:spacing w:val="21"/>
        </w:rPr>
        <w:t xml:space="preserve"> </w:t>
      </w:r>
      <w:r w:rsidRPr="00E817CB">
        <w:rPr>
          <w:rFonts w:cs="Arial"/>
          <w:spacing w:val="-1"/>
        </w:rPr>
        <w:t>seawater</w:t>
      </w:r>
      <w:r w:rsidRPr="00E817CB">
        <w:rPr>
          <w:rFonts w:cs="Arial"/>
          <w:spacing w:val="22"/>
        </w:rPr>
        <w:t xml:space="preserve"> </w:t>
      </w:r>
      <w:r w:rsidRPr="00E817CB">
        <w:rPr>
          <w:rFonts w:cs="Arial"/>
          <w:spacing w:val="-1"/>
        </w:rPr>
        <w:t>obtained</w:t>
      </w:r>
      <w:r w:rsidRPr="00E817CB">
        <w:rPr>
          <w:rFonts w:cs="Arial"/>
          <w:spacing w:val="19"/>
        </w:rPr>
        <w:t xml:space="preserve"> </w:t>
      </w:r>
      <w:r w:rsidRPr="00E817CB">
        <w:rPr>
          <w:rFonts w:cs="Arial"/>
          <w:spacing w:val="-1"/>
        </w:rPr>
        <w:t>from</w:t>
      </w:r>
      <w:r w:rsidRPr="00E817CB">
        <w:rPr>
          <w:rFonts w:cs="Arial"/>
          <w:spacing w:val="22"/>
        </w:rPr>
        <w:t xml:space="preserve"> </w:t>
      </w:r>
      <w:r w:rsidRPr="00E817CB">
        <w:rPr>
          <w:rFonts w:cs="Arial"/>
        </w:rPr>
        <w:t>the</w:t>
      </w:r>
      <w:r w:rsidRPr="00E817CB">
        <w:rPr>
          <w:rFonts w:cs="Arial"/>
          <w:spacing w:val="22"/>
        </w:rPr>
        <w:t xml:space="preserve"> </w:t>
      </w:r>
      <w:r w:rsidRPr="00E817CB">
        <w:rPr>
          <w:rFonts w:cs="Arial"/>
          <w:spacing w:val="-1"/>
        </w:rPr>
        <w:t>AIMS</w:t>
      </w:r>
      <w:r w:rsidRPr="00E817CB">
        <w:rPr>
          <w:rFonts w:cs="Arial"/>
          <w:spacing w:val="21"/>
        </w:rPr>
        <w:t xml:space="preserve"> </w:t>
      </w:r>
      <w:r w:rsidRPr="00E817CB">
        <w:rPr>
          <w:rFonts w:cs="Arial"/>
          <w:spacing w:val="-1"/>
        </w:rPr>
        <w:t>pontoon</w:t>
      </w:r>
      <w:r w:rsidRPr="00E817CB">
        <w:rPr>
          <w:rFonts w:cs="Arial"/>
          <w:spacing w:val="21"/>
        </w:rPr>
        <w:t xml:space="preserve"> </w:t>
      </w:r>
      <w:r w:rsidRPr="00E817CB">
        <w:rPr>
          <w:rFonts w:cs="Arial"/>
        </w:rPr>
        <w:t>is</w:t>
      </w:r>
      <w:r w:rsidRPr="00E817CB">
        <w:rPr>
          <w:rFonts w:cs="Arial"/>
          <w:spacing w:val="21"/>
        </w:rPr>
        <w:t xml:space="preserve"> </w:t>
      </w:r>
      <w:r w:rsidRPr="00E817CB">
        <w:rPr>
          <w:rFonts w:cs="Arial"/>
          <w:spacing w:val="-1"/>
        </w:rPr>
        <w:t>filtered</w:t>
      </w:r>
      <w:r w:rsidRPr="00E817CB">
        <w:rPr>
          <w:rFonts w:cs="Arial"/>
          <w:spacing w:val="21"/>
        </w:rPr>
        <w:t xml:space="preserve"> </w:t>
      </w:r>
      <w:r w:rsidRPr="00E817CB">
        <w:rPr>
          <w:rFonts w:cs="Arial"/>
          <w:spacing w:val="-1"/>
        </w:rPr>
        <w:t>through</w:t>
      </w:r>
      <w:r w:rsidRPr="00E817CB">
        <w:rPr>
          <w:rFonts w:cs="Arial"/>
          <w:spacing w:val="21"/>
        </w:rPr>
        <w:t xml:space="preserve"> </w:t>
      </w:r>
      <w:r w:rsidRPr="00E817CB">
        <w:rPr>
          <w:rFonts w:cs="Arial"/>
        </w:rPr>
        <w:t>0.45</w:t>
      </w:r>
      <w:r w:rsidR="00E817CB">
        <w:rPr>
          <w:rFonts w:cs="Arial"/>
        </w:rPr>
        <w:t xml:space="preserve"> </w:t>
      </w:r>
      <w:r w:rsidRPr="00E817CB">
        <w:rPr>
          <w:rFonts w:cs="Arial"/>
        </w:rPr>
        <w:t>µM</w:t>
      </w:r>
      <w:r w:rsidRPr="00E817CB">
        <w:rPr>
          <w:rFonts w:cs="Arial"/>
          <w:spacing w:val="22"/>
        </w:rPr>
        <w:t xml:space="preserve"> </w:t>
      </w:r>
      <w:r w:rsidRPr="00E817CB">
        <w:rPr>
          <w:rFonts w:cs="Arial"/>
          <w:spacing w:val="-1"/>
        </w:rPr>
        <w:t>cellulose</w:t>
      </w:r>
      <w:r w:rsidRPr="00E817CB">
        <w:rPr>
          <w:rFonts w:cs="Arial"/>
          <w:spacing w:val="22"/>
        </w:rPr>
        <w:t xml:space="preserve"> </w:t>
      </w:r>
      <w:r w:rsidRPr="00E817CB">
        <w:rPr>
          <w:rFonts w:cs="Arial"/>
          <w:spacing w:val="-1"/>
        </w:rPr>
        <w:t>acetate</w:t>
      </w:r>
      <w:r w:rsidRPr="00E817CB">
        <w:rPr>
          <w:rFonts w:cs="Arial"/>
          <w:spacing w:val="87"/>
        </w:rPr>
        <w:t xml:space="preserve"> </w:t>
      </w:r>
      <w:r w:rsidRPr="00E817CB">
        <w:rPr>
          <w:rFonts w:cs="Arial"/>
          <w:spacing w:val="-1"/>
        </w:rPr>
        <w:t>filters.</w:t>
      </w:r>
      <w:r w:rsidRPr="00E817CB">
        <w:rPr>
          <w:rFonts w:cs="Arial"/>
          <w:spacing w:val="4"/>
        </w:rPr>
        <w:t xml:space="preserve"> </w:t>
      </w:r>
      <w:r w:rsidRPr="00E817CB">
        <w:rPr>
          <w:rFonts w:cs="Arial"/>
          <w:spacing w:val="-1"/>
        </w:rPr>
        <w:t>The</w:t>
      </w:r>
      <w:r w:rsidRPr="00E817CB">
        <w:rPr>
          <w:rFonts w:cs="Arial"/>
          <w:spacing w:val="3"/>
        </w:rPr>
        <w:t xml:space="preserve"> </w:t>
      </w:r>
      <w:r w:rsidRPr="00E817CB">
        <w:rPr>
          <w:rFonts w:cs="Arial"/>
          <w:spacing w:val="-1"/>
        </w:rPr>
        <w:t>final</w:t>
      </w:r>
      <w:r w:rsidRPr="00E817CB">
        <w:rPr>
          <w:rFonts w:cs="Arial"/>
          <w:spacing w:val="4"/>
        </w:rPr>
        <w:t xml:space="preserve"> </w:t>
      </w:r>
      <w:r w:rsidRPr="00E817CB">
        <w:rPr>
          <w:rFonts w:cs="Arial"/>
          <w:spacing w:val="-1"/>
        </w:rPr>
        <w:t>filtered</w:t>
      </w:r>
      <w:r w:rsidRPr="00E817CB">
        <w:rPr>
          <w:rFonts w:cs="Arial"/>
          <w:spacing w:val="4"/>
        </w:rPr>
        <w:t xml:space="preserve"> </w:t>
      </w:r>
      <w:r w:rsidRPr="00E817CB">
        <w:rPr>
          <w:rFonts w:cs="Arial"/>
          <w:spacing w:val="-1"/>
        </w:rPr>
        <w:t>volume</w:t>
      </w:r>
      <w:r w:rsidRPr="00E817CB">
        <w:rPr>
          <w:rFonts w:cs="Arial"/>
          <w:spacing w:val="5"/>
        </w:rPr>
        <w:t xml:space="preserve"> </w:t>
      </w:r>
      <w:r w:rsidRPr="00E817CB">
        <w:rPr>
          <w:rFonts w:cs="Arial"/>
          <w:spacing w:val="-1"/>
        </w:rPr>
        <w:t>(approx.</w:t>
      </w:r>
      <w:r w:rsidRPr="00E817CB">
        <w:rPr>
          <w:rFonts w:cs="Arial"/>
          <w:spacing w:val="2"/>
        </w:rPr>
        <w:t xml:space="preserve"> </w:t>
      </w:r>
      <w:r w:rsidRPr="00E817CB">
        <w:rPr>
          <w:rFonts w:cs="Arial"/>
        </w:rPr>
        <w:t>4</w:t>
      </w:r>
      <w:r w:rsidR="00E817CB">
        <w:rPr>
          <w:rFonts w:cs="Arial"/>
        </w:rPr>
        <w:t xml:space="preserve"> </w:t>
      </w:r>
      <w:r w:rsidRPr="00E817CB">
        <w:rPr>
          <w:rFonts w:cs="Arial"/>
        </w:rPr>
        <w:t>L)</w:t>
      </w:r>
      <w:r w:rsidRPr="00E817CB">
        <w:rPr>
          <w:rFonts w:cs="Arial"/>
          <w:spacing w:val="3"/>
        </w:rPr>
        <w:t xml:space="preserve"> </w:t>
      </w:r>
      <w:r w:rsidRPr="00E817CB">
        <w:rPr>
          <w:rFonts w:cs="Arial"/>
        </w:rPr>
        <w:t>is</w:t>
      </w:r>
      <w:r w:rsidRPr="00E817CB">
        <w:rPr>
          <w:rFonts w:cs="Arial"/>
          <w:spacing w:val="4"/>
        </w:rPr>
        <w:t xml:space="preserve"> </w:t>
      </w:r>
      <w:r w:rsidRPr="00E817CB">
        <w:rPr>
          <w:rFonts w:cs="Arial"/>
          <w:spacing w:val="-1"/>
        </w:rPr>
        <w:t>spiked</w:t>
      </w:r>
      <w:r w:rsidRPr="00E817CB">
        <w:rPr>
          <w:rFonts w:cs="Arial"/>
          <w:spacing w:val="2"/>
        </w:rPr>
        <w:t xml:space="preserve"> </w:t>
      </w:r>
      <w:r w:rsidRPr="00E817CB">
        <w:rPr>
          <w:rFonts w:cs="Arial"/>
        </w:rPr>
        <w:t>with</w:t>
      </w:r>
      <w:r w:rsidRPr="00E817CB">
        <w:rPr>
          <w:rFonts w:cs="Arial"/>
          <w:spacing w:val="4"/>
        </w:rPr>
        <w:t xml:space="preserve"> </w:t>
      </w:r>
      <w:r w:rsidRPr="00E817CB">
        <w:rPr>
          <w:rFonts w:cs="Arial"/>
          <w:spacing w:val="-1"/>
        </w:rPr>
        <w:t>stock</w:t>
      </w:r>
      <w:r w:rsidRPr="00E817CB">
        <w:rPr>
          <w:rFonts w:cs="Arial"/>
          <w:spacing w:val="3"/>
        </w:rPr>
        <w:t xml:space="preserve"> </w:t>
      </w:r>
      <w:r w:rsidRPr="00E817CB">
        <w:rPr>
          <w:rFonts w:cs="Arial"/>
          <w:spacing w:val="-1"/>
        </w:rPr>
        <w:t>standards</w:t>
      </w:r>
      <w:r w:rsidRPr="00E817CB">
        <w:rPr>
          <w:rFonts w:cs="Arial"/>
          <w:spacing w:val="5"/>
        </w:rPr>
        <w:t xml:space="preserve"> </w:t>
      </w:r>
      <w:r w:rsidRPr="00E817CB">
        <w:rPr>
          <w:rFonts w:cs="Arial"/>
          <w:spacing w:val="-1"/>
        </w:rPr>
        <w:t>to</w:t>
      </w:r>
      <w:r w:rsidRPr="00E817CB">
        <w:rPr>
          <w:rFonts w:cs="Arial"/>
          <w:spacing w:val="6"/>
        </w:rPr>
        <w:t xml:space="preserve"> </w:t>
      </w:r>
      <w:r w:rsidRPr="00E817CB">
        <w:rPr>
          <w:rFonts w:cs="Arial"/>
          <w:spacing w:val="-2"/>
        </w:rPr>
        <w:t>read</w:t>
      </w:r>
      <w:r w:rsidRPr="00E817CB">
        <w:rPr>
          <w:rFonts w:cs="Arial"/>
          <w:spacing w:val="4"/>
        </w:rPr>
        <w:t xml:space="preserve"> </w:t>
      </w:r>
      <w:r w:rsidRPr="00E817CB">
        <w:rPr>
          <w:rFonts w:cs="Arial"/>
        </w:rPr>
        <w:t>within</w:t>
      </w:r>
      <w:r w:rsidRPr="00E817CB">
        <w:rPr>
          <w:rFonts w:cs="Arial"/>
          <w:spacing w:val="3"/>
        </w:rPr>
        <w:t xml:space="preserve"> </w:t>
      </w:r>
      <w:r w:rsidRPr="00E817CB">
        <w:rPr>
          <w:rFonts w:cs="Arial"/>
          <w:spacing w:val="-1"/>
        </w:rPr>
        <w:t>working</w:t>
      </w:r>
      <w:r w:rsidRPr="00E817CB">
        <w:rPr>
          <w:rFonts w:cs="Arial"/>
          <w:spacing w:val="45"/>
        </w:rPr>
        <w:t xml:space="preserve"> </w:t>
      </w:r>
      <w:r w:rsidRPr="00E817CB">
        <w:rPr>
          <w:rFonts w:cs="Arial"/>
          <w:spacing w:val="-1"/>
        </w:rPr>
        <w:t>concentration</w:t>
      </w:r>
      <w:r w:rsidRPr="00E817CB">
        <w:rPr>
          <w:rFonts w:cs="Arial"/>
          <w:spacing w:val="22"/>
        </w:rPr>
        <w:t xml:space="preserve"> </w:t>
      </w:r>
      <w:r w:rsidRPr="00E817CB">
        <w:rPr>
          <w:rFonts w:cs="Arial"/>
          <w:spacing w:val="-1"/>
        </w:rPr>
        <w:t>range</w:t>
      </w:r>
      <w:r w:rsidRPr="00E817CB">
        <w:rPr>
          <w:rFonts w:cs="Arial"/>
          <w:spacing w:val="25"/>
        </w:rPr>
        <w:t xml:space="preserve"> </w:t>
      </w:r>
      <w:r w:rsidRPr="00E817CB">
        <w:rPr>
          <w:rFonts w:cs="Arial"/>
        </w:rPr>
        <w:t>(e.g.</w:t>
      </w:r>
      <w:r w:rsidRPr="00E817CB">
        <w:rPr>
          <w:rFonts w:cs="Arial"/>
          <w:spacing w:val="25"/>
        </w:rPr>
        <w:t xml:space="preserve"> </w:t>
      </w:r>
      <w:r w:rsidRPr="00E817CB">
        <w:rPr>
          <w:rFonts w:cs="Arial"/>
          <w:spacing w:val="-1"/>
        </w:rPr>
        <w:t>NH</w:t>
      </w:r>
      <w:r w:rsidR="0030095E" w:rsidRPr="00E817CB">
        <w:rPr>
          <w:rFonts w:cs="Arial"/>
          <w:spacing w:val="-1"/>
          <w:position w:val="-2"/>
          <w:vertAlign w:val="subscript"/>
        </w:rPr>
        <w:t>3</w:t>
      </w:r>
      <w:r w:rsidRPr="00E817CB">
        <w:rPr>
          <w:rFonts w:cs="Arial"/>
          <w:spacing w:val="-1"/>
        </w:rPr>
        <w:t>:</w:t>
      </w:r>
      <w:r w:rsidRPr="00E817CB">
        <w:rPr>
          <w:rFonts w:cs="Arial"/>
          <w:spacing w:val="25"/>
        </w:rPr>
        <w:t xml:space="preserve"> </w:t>
      </w:r>
      <w:r w:rsidRPr="00E817CB">
        <w:rPr>
          <w:rFonts w:cs="Arial"/>
          <w:spacing w:val="-1"/>
        </w:rPr>
        <w:t>2.4</w:t>
      </w:r>
      <w:r w:rsidRPr="00E817CB">
        <w:rPr>
          <w:rFonts w:cs="Arial"/>
          <w:spacing w:val="24"/>
        </w:rPr>
        <w:t xml:space="preserve"> </w:t>
      </w:r>
      <w:r w:rsidRPr="00E817CB">
        <w:rPr>
          <w:rFonts w:cs="Arial"/>
          <w:spacing w:val="-1"/>
        </w:rPr>
        <w:t>µmol</w:t>
      </w:r>
      <w:r w:rsidR="00E817CB" w:rsidRPr="00E817CB">
        <w:t xml:space="preserve"> L</w:t>
      </w:r>
      <w:r w:rsidR="00E817CB" w:rsidRPr="00E817CB">
        <w:rPr>
          <w:vertAlign w:val="superscript"/>
        </w:rPr>
        <w:t>-1</w:t>
      </w:r>
      <w:r w:rsidRPr="00E817CB">
        <w:rPr>
          <w:rFonts w:cs="Arial"/>
          <w:spacing w:val="-1"/>
        </w:rPr>
        <w:t>,</w:t>
      </w:r>
      <w:r w:rsidRPr="00E817CB">
        <w:rPr>
          <w:rFonts w:cs="Arial"/>
          <w:spacing w:val="24"/>
        </w:rPr>
        <w:t xml:space="preserve"> </w:t>
      </w:r>
      <w:r w:rsidRPr="00E817CB">
        <w:rPr>
          <w:rFonts w:cs="Arial"/>
        </w:rPr>
        <w:t>PO</w:t>
      </w:r>
      <w:r w:rsidRPr="00E817CB">
        <w:rPr>
          <w:rFonts w:cs="Arial"/>
          <w:position w:val="-2"/>
          <w:vertAlign w:val="subscript"/>
        </w:rPr>
        <w:t>4</w:t>
      </w:r>
      <w:r w:rsidRPr="00E817CB">
        <w:rPr>
          <w:rFonts w:cs="Arial"/>
        </w:rPr>
        <w:t>:</w:t>
      </w:r>
      <w:r w:rsidRPr="00E817CB">
        <w:rPr>
          <w:rFonts w:cs="Arial"/>
          <w:spacing w:val="25"/>
        </w:rPr>
        <w:t xml:space="preserve"> </w:t>
      </w:r>
      <w:r w:rsidRPr="00E817CB">
        <w:rPr>
          <w:rFonts w:cs="Arial"/>
          <w:spacing w:val="-1"/>
        </w:rPr>
        <w:t>1.7</w:t>
      </w:r>
      <w:r w:rsidRPr="00E817CB">
        <w:rPr>
          <w:rFonts w:cs="Arial"/>
          <w:spacing w:val="24"/>
        </w:rPr>
        <w:t xml:space="preserve"> </w:t>
      </w:r>
      <w:r w:rsidRPr="00E817CB">
        <w:rPr>
          <w:rFonts w:cs="Arial"/>
          <w:spacing w:val="-1"/>
        </w:rPr>
        <w:t>µmol</w:t>
      </w:r>
      <w:r w:rsidR="00E817CB" w:rsidRPr="00E817CB">
        <w:t xml:space="preserve"> L</w:t>
      </w:r>
      <w:r w:rsidR="00E817CB" w:rsidRPr="00E817CB">
        <w:rPr>
          <w:vertAlign w:val="superscript"/>
        </w:rPr>
        <w:t>-1</w:t>
      </w:r>
      <w:r w:rsidRPr="00E817CB">
        <w:rPr>
          <w:rFonts w:cs="Arial"/>
          <w:spacing w:val="-1"/>
        </w:rPr>
        <w:t>,</w:t>
      </w:r>
      <w:r w:rsidRPr="00E817CB">
        <w:rPr>
          <w:rFonts w:cs="Arial"/>
          <w:spacing w:val="24"/>
        </w:rPr>
        <w:t xml:space="preserve"> </w:t>
      </w:r>
      <w:r w:rsidRPr="00E817CB">
        <w:rPr>
          <w:rFonts w:cs="Arial"/>
        </w:rPr>
        <w:t>NO</w:t>
      </w:r>
      <w:r w:rsidRPr="00E817CB">
        <w:rPr>
          <w:rFonts w:cs="Arial"/>
          <w:position w:val="-2"/>
          <w:vertAlign w:val="subscript"/>
        </w:rPr>
        <w:t>2</w:t>
      </w:r>
      <w:r w:rsidRPr="00E817CB">
        <w:rPr>
          <w:rFonts w:cs="Arial"/>
        </w:rPr>
        <w:t>:</w:t>
      </w:r>
      <w:r w:rsidRPr="00E817CB">
        <w:rPr>
          <w:rFonts w:cs="Arial"/>
          <w:spacing w:val="24"/>
        </w:rPr>
        <w:t xml:space="preserve"> </w:t>
      </w:r>
      <w:r w:rsidRPr="00E817CB">
        <w:rPr>
          <w:rFonts w:cs="Arial"/>
          <w:spacing w:val="-1"/>
        </w:rPr>
        <w:t>0.7</w:t>
      </w:r>
      <w:r w:rsidRPr="00E817CB">
        <w:rPr>
          <w:rFonts w:cs="Arial"/>
          <w:spacing w:val="25"/>
        </w:rPr>
        <w:t xml:space="preserve"> </w:t>
      </w:r>
      <w:r w:rsidRPr="00E817CB">
        <w:rPr>
          <w:rFonts w:cs="Arial"/>
          <w:spacing w:val="-1"/>
        </w:rPr>
        <w:t>µmol</w:t>
      </w:r>
      <w:r w:rsidR="00E817CB" w:rsidRPr="00E817CB">
        <w:t xml:space="preserve"> L</w:t>
      </w:r>
      <w:r w:rsidR="00E817CB" w:rsidRPr="00E817CB">
        <w:rPr>
          <w:vertAlign w:val="superscript"/>
        </w:rPr>
        <w:t>-1</w:t>
      </w:r>
      <w:r w:rsidRPr="00E817CB">
        <w:rPr>
          <w:rFonts w:cs="Arial"/>
          <w:spacing w:val="-1"/>
        </w:rPr>
        <w:t>,</w:t>
      </w:r>
      <w:r w:rsidRPr="00E817CB">
        <w:rPr>
          <w:rFonts w:cs="Arial"/>
          <w:spacing w:val="24"/>
        </w:rPr>
        <w:t xml:space="preserve"> </w:t>
      </w:r>
      <w:r w:rsidRPr="00E817CB">
        <w:rPr>
          <w:rFonts w:cs="Arial"/>
          <w:spacing w:val="-1"/>
        </w:rPr>
        <w:t>NO</w:t>
      </w:r>
      <w:r w:rsidRPr="00E817CB">
        <w:rPr>
          <w:rFonts w:cs="Arial"/>
          <w:spacing w:val="-1"/>
          <w:position w:val="-2"/>
          <w:vertAlign w:val="subscript"/>
        </w:rPr>
        <w:t>3</w:t>
      </w:r>
      <w:r w:rsidRPr="00E817CB">
        <w:rPr>
          <w:rFonts w:cs="Arial"/>
          <w:spacing w:val="-1"/>
        </w:rPr>
        <w:t>+NO</w:t>
      </w:r>
      <w:r w:rsidRPr="00E817CB">
        <w:rPr>
          <w:rFonts w:cs="Arial"/>
          <w:spacing w:val="-1"/>
          <w:position w:val="-2"/>
          <w:vertAlign w:val="subscript"/>
        </w:rPr>
        <w:t>2</w:t>
      </w:r>
      <w:r w:rsidRPr="00E817CB">
        <w:rPr>
          <w:rFonts w:cs="Arial"/>
          <w:spacing w:val="-1"/>
        </w:rPr>
        <w:t>:</w:t>
      </w:r>
      <w:r w:rsidRPr="00E817CB">
        <w:rPr>
          <w:rFonts w:cs="Arial"/>
          <w:spacing w:val="24"/>
        </w:rPr>
        <w:t xml:space="preserve"> </w:t>
      </w:r>
      <w:r w:rsidRPr="00E817CB">
        <w:rPr>
          <w:rFonts w:cs="Arial"/>
          <w:spacing w:val="-1"/>
        </w:rPr>
        <w:t>2.3</w:t>
      </w:r>
      <w:r w:rsidRPr="00E817CB">
        <w:rPr>
          <w:rFonts w:cs="Arial"/>
          <w:spacing w:val="25"/>
        </w:rPr>
        <w:t xml:space="preserve"> </w:t>
      </w:r>
      <w:r w:rsidRPr="00E817CB">
        <w:rPr>
          <w:rFonts w:cs="Arial"/>
          <w:spacing w:val="-1"/>
        </w:rPr>
        <w:t>µmol</w:t>
      </w:r>
      <w:r w:rsidR="00E817CB" w:rsidRPr="00E817CB">
        <w:t xml:space="preserve"> L</w:t>
      </w:r>
      <w:r w:rsidR="00E817CB" w:rsidRPr="00E817CB">
        <w:rPr>
          <w:vertAlign w:val="superscript"/>
        </w:rPr>
        <w:t>-1</w:t>
      </w:r>
      <w:r w:rsidRPr="00E817CB">
        <w:rPr>
          <w:rFonts w:cs="Arial"/>
          <w:spacing w:val="-1"/>
        </w:rPr>
        <w:t>,</w:t>
      </w:r>
      <w:r w:rsidRPr="00E817CB">
        <w:rPr>
          <w:rFonts w:cs="Arial"/>
          <w:spacing w:val="23"/>
        </w:rPr>
        <w:t xml:space="preserve"> </w:t>
      </w:r>
      <w:r w:rsidRPr="00E817CB">
        <w:rPr>
          <w:rFonts w:cs="Arial"/>
          <w:spacing w:val="-1"/>
        </w:rPr>
        <w:t>Si:</w:t>
      </w:r>
      <w:r w:rsidRPr="00E817CB">
        <w:rPr>
          <w:rFonts w:cs="Arial"/>
          <w:spacing w:val="71"/>
        </w:rPr>
        <w:t xml:space="preserve"> </w:t>
      </w:r>
      <w:r w:rsidRPr="00E817CB">
        <w:rPr>
          <w:rFonts w:cs="Arial"/>
          <w:spacing w:val="-1"/>
        </w:rPr>
        <w:t>9</w:t>
      </w:r>
      <w:r w:rsidR="00E817CB">
        <w:rPr>
          <w:rFonts w:cs="Arial"/>
          <w:spacing w:val="-1"/>
        </w:rPr>
        <w:t xml:space="preserve"> </w:t>
      </w:r>
      <w:r w:rsidRPr="00E817CB">
        <w:rPr>
          <w:rFonts w:cs="Arial"/>
          <w:spacing w:val="-1"/>
        </w:rPr>
        <w:t>µmol</w:t>
      </w:r>
      <w:r w:rsidR="00E817CB" w:rsidRPr="00E817CB">
        <w:t xml:space="preserve"> L</w:t>
      </w:r>
      <w:r w:rsidR="00E817CB" w:rsidRPr="00E817CB">
        <w:rPr>
          <w:vertAlign w:val="superscript"/>
        </w:rPr>
        <w:t>-1</w:t>
      </w:r>
      <w:r w:rsidRPr="00E817CB">
        <w:rPr>
          <w:rFonts w:cs="Arial"/>
          <w:spacing w:val="-1"/>
        </w:rPr>
        <w:t>),</w:t>
      </w:r>
      <w:r w:rsidRPr="00E817CB">
        <w:rPr>
          <w:rFonts w:cs="Arial"/>
          <w:spacing w:val="43"/>
        </w:rPr>
        <w:t xml:space="preserve"> </w:t>
      </w:r>
      <w:r w:rsidRPr="00E817CB">
        <w:rPr>
          <w:rFonts w:cs="Arial"/>
          <w:spacing w:val="-1"/>
        </w:rPr>
        <w:t>dispensed</w:t>
      </w:r>
      <w:r w:rsidRPr="00E817CB">
        <w:rPr>
          <w:rFonts w:cs="Arial"/>
          <w:spacing w:val="42"/>
        </w:rPr>
        <w:t xml:space="preserve"> </w:t>
      </w:r>
      <w:r w:rsidRPr="00E817CB">
        <w:rPr>
          <w:rFonts w:cs="Arial"/>
          <w:spacing w:val="-1"/>
        </w:rPr>
        <w:t>into</w:t>
      </w:r>
      <w:r w:rsidRPr="00E817CB">
        <w:rPr>
          <w:rFonts w:cs="Arial"/>
          <w:spacing w:val="45"/>
        </w:rPr>
        <w:t xml:space="preserve"> </w:t>
      </w:r>
      <w:r w:rsidRPr="00E817CB">
        <w:rPr>
          <w:rFonts w:cs="Arial"/>
          <w:spacing w:val="-1"/>
        </w:rPr>
        <w:t>10ml</w:t>
      </w:r>
      <w:r w:rsidRPr="00E817CB">
        <w:rPr>
          <w:rFonts w:cs="Arial"/>
          <w:spacing w:val="42"/>
        </w:rPr>
        <w:t xml:space="preserve"> </w:t>
      </w:r>
      <w:r w:rsidRPr="00E817CB">
        <w:rPr>
          <w:rFonts w:cs="Arial"/>
          <w:spacing w:val="-1"/>
        </w:rPr>
        <w:t>plastic</w:t>
      </w:r>
      <w:r w:rsidRPr="00E817CB">
        <w:rPr>
          <w:rFonts w:cs="Arial"/>
          <w:spacing w:val="42"/>
        </w:rPr>
        <w:t xml:space="preserve"> </w:t>
      </w:r>
      <w:r w:rsidRPr="00E817CB">
        <w:rPr>
          <w:rFonts w:cs="Arial"/>
          <w:spacing w:val="-1"/>
        </w:rPr>
        <w:t>sample</w:t>
      </w:r>
      <w:r w:rsidRPr="00E817CB">
        <w:rPr>
          <w:rFonts w:cs="Arial"/>
          <w:spacing w:val="43"/>
        </w:rPr>
        <w:t xml:space="preserve"> </w:t>
      </w:r>
      <w:r w:rsidRPr="00E817CB">
        <w:rPr>
          <w:rFonts w:cs="Arial"/>
          <w:spacing w:val="-1"/>
        </w:rPr>
        <w:t>tubes</w:t>
      </w:r>
      <w:r w:rsidRPr="00E817CB">
        <w:rPr>
          <w:rFonts w:cs="Arial"/>
          <w:spacing w:val="41"/>
        </w:rPr>
        <w:t xml:space="preserve"> </w:t>
      </w:r>
      <w:r w:rsidRPr="00E817CB">
        <w:rPr>
          <w:rFonts w:cs="Arial"/>
          <w:spacing w:val="-1"/>
        </w:rPr>
        <w:t>and</w:t>
      </w:r>
      <w:r w:rsidRPr="00E817CB">
        <w:rPr>
          <w:rFonts w:cs="Arial"/>
          <w:spacing w:val="42"/>
        </w:rPr>
        <w:t xml:space="preserve"> </w:t>
      </w:r>
      <w:r w:rsidRPr="00E817CB">
        <w:rPr>
          <w:rFonts w:cs="Arial"/>
          <w:spacing w:val="-1"/>
        </w:rPr>
        <w:t>frozen.</w:t>
      </w:r>
      <w:r w:rsidRPr="00E817CB">
        <w:rPr>
          <w:rFonts w:cs="Arial"/>
          <w:spacing w:val="43"/>
        </w:rPr>
        <w:t xml:space="preserve"> </w:t>
      </w:r>
      <w:r w:rsidRPr="00E817CB">
        <w:rPr>
          <w:rFonts w:cs="Arial"/>
          <w:spacing w:val="-1"/>
        </w:rPr>
        <w:t>Aliquots</w:t>
      </w:r>
      <w:r w:rsidRPr="00E817CB">
        <w:rPr>
          <w:rFonts w:cs="Arial"/>
          <w:spacing w:val="44"/>
        </w:rPr>
        <w:t xml:space="preserve"> </w:t>
      </w:r>
      <w:r w:rsidRPr="00E817CB">
        <w:rPr>
          <w:rFonts w:cs="Arial"/>
        </w:rPr>
        <w:t>of</w:t>
      </w:r>
      <w:r w:rsidRPr="00E817CB">
        <w:rPr>
          <w:rFonts w:cs="Arial"/>
          <w:spacing w:val="42"/>
        </w:rPr>
        <w:t xml:space="preserve"> </w:t>
      </w:r>
      <w:r w:rsidRPr="00E817CB">
        <w:rPr>
          <w:rFonts w:cs="Arial"/>
        </w:rPr>
        <w:t>a</w:t>
      </w:r>
      <w:r w:rsidRPr="00E817CB">
        <w:rPr>
          <w:rFonts w:cs="Arial"/>
          <w:spacing w:val="43"/>
        </w:rPr>
        <w:t xml:space="preserve"> </w:t>
      </w:r>
      <w:r w:rsidRPr="00E817CB">
        <w:rPr>
          <w:rFonts w:cs="Arial"/>
          <w:spacing w:val="-1"/>
        </w:rPr>
        <w:t>batch</w:t>
      </w:r>
      <w:r w:rsidRPr="00E817CB">
        <w:rPr>
          <w:rFonts w:cs="Arial"/>
          <w:spacing w:val="43"/>
        </w:rPr>
        <w:t xml:space="preserve"> </w:t>
      </w:r>
      <w:r w:rsidRPr="00E817CB">
        <w:rPr>
          <w:rFonts w:cs="Arial"/>
        </w:rPr>
        <w:t>of</w:t>
      </w:r>
      <w:r w:rsidRPr="00E817CB">
        <w:rPr>
          <w:rFonts w:cs="Arial"/>
          <w:spacing w:val="43"/>
        </w:rPr>
        <w:t xml:space="preserve"> </w:t>
      </w:r>
      <w:r w:rsidRPr="00E817CB">
        <w:rPr>
          <w:rFonts w:cs="Arial"/>
          <w:spacing w:val="-1"/>
        </w:rPr>
        <w:t>these</w:t>
      </w:r>
      <w:r w:rsidRPr="00E817CB">
        <w:rPr>
          <w:rFonts w:cs="Arial"/>
          <w:spacing w:val="83"/>
        </w:rPr>
        <w:t xml:space="preserve"> </w:t>
      </w:r>
      <w:r w:rsidRPr="00E817CB">
        <w:rPr>
          <w:rFonts w:cs="Arial"/>
          <w:spacing w:val="-1"/>
        </w:rPr>
        <w:t>reference</w:t>
      </w:r>
      <w:r w:rsidRPr="00E817CB">
        <w:rPr>
          <w:rFonts w:cs="Arial"/>
        </w:rPr>
        <w:t xml:space="preserve"> </w:t>
      </w:r>
      <w:r w:rsidRPr="00E817CB">
        <w:rPr>
          <w:rFonts w:cs="Arial"/>
          <w:spacing w:val="-1"/>
        </w:rPr>
        <w:t>samples</w:t>
      </w:r>
      <w:r w:rsidRPr="00E817CB">
        <w:rPr>
          <w:rFonts w:cs="Arial"/>
          <w:spacing w:val="-3"/>
        </w:rPr>
        <w:t xml:space="preserve"> </w:t>
      </w:r>
      <w:r w:rsidRPr="00E817CB">
        <w:rPr>
          <w:rFonts w:cs="Arial"/>
          <w:spacing w:val="-1"/>
        </w:rPr>
        <w:t>usually</w:t>
      </w:r>
      <w:r w:rsidRPr="00E817CB">
        <w:rPr>
          <w:rFonts w:cs="Arial"/>
        </w:rPr>
        <w:t xml:space="preserve"> </w:t>
      </w:r>
      <w:r w:rsidRPr="00E817CB">
        <w:rPr>
          <w:rFonts w:cs="Arial"/>
          <w:spacing w:val="-1"/>
        </w:rPr>
        <w:t>last</w:t>
      </w:r>
      <w:r w:rsidRPr="00E817CB">
        <w:rPr>
          <w:rFonts w:cs="Arial"/>
        </w:rPr>
        <w:t xml:space="preserve"> </w:t>
      </w:r>
      <w:r w:rsidRPr="00E817CB">
        <w:rPr>
          <w:rFonts w:cs="Arial"/>
          <w:spacing w:val="-1"/>
        </w:rPr>
        <w:t>for</w:t>
      </w:r>
      <w:r w:rsidRPr="00E817CB">
        <w:rPr>
          <w:rFonts w:cs="Arial"/>
        </w:rPr>
        <w:t xml:space="preserve"> </w:t>
      </w:r>
      <w:r w:rsidRPr="00E817CB">
        <w:rPr>
          <w:rFonts w:cs="Arial"/>
          <w:spacing w:val="-1"/>
        </w:rPr>
        <w:t>several</w:t>
      </w:r>
      <w:r w:rsidRPr="00E817CB">
        <w:rPr>
          <w:rFonts w:cs="Arial"/>
          <w:spacing w:val="-3"/>
        </w:rPr>
        <w:t xml:space="preserve"> </w:t>
      </w:r>
      <w:r w:rsidRPr="00E817CB">
        <w:rPr>
          <w:rFonts w:cs="Arial"/>
          <w:spacing w:val="-1"/>
        </w:rPr>
        <w:t xml:space="preserve">years </w:t>
      </w:r>
      <w:r w:rsidRPr="00E817CB">
        <w:rPr>
          <w:rFonts w:cs="Arial"/>
        </w:rPr>
        <w:t>and</w:t>
      </w:r>
      <w:r w:rsidRPr="00E817CB">
        <w:rPr>
          <w:rFonts w:cs="Arial"/>
          <w:spacing w:val="-2"/>
        </w:rPr>
        <w:t xml:space="preserve"> </w:t>
      </w:r>
      <w:r w:rsidRPr="00E817CB">
        <w:rPr>
          <w:rFonts w:cs="Arial"/>
          <w:spacing w:val="-1"/>
        </w:rPr>
        <w:t>are</w:t>
      </w:r>
      <w:r w:rsidRPr="00E817CB">
        <w:rPr>
          <w:rFonts w:cs="Arial"/>
        </w:rPr>
        <w:t xml:space="preserve"> </w:t>
      </w:r>
      <w:r w:rsidRPr="00E817CB">
        <w:rPr>
          <w:rFonts w:cs="Arial"/>
          <w:spacing w:val="-1"/>
        </w:rPr>
        <w:t xml:space="preserve">prepared </w:t>
      </w:r>
      <w:r w:rsidRPr="00E817CB">
        <w:rPr>
          <w:rFonts w:cs="Arial"/>
          <w:spacing w:val="-2"/>
        </w:rPr>
        <w:t>as</w:t>
      </w:r>
      <w:r w:rsidRPr="00E817CB">
        <w:rPr>
          <w:rFonts w:cs="Arial"/>
          <w:spacing w:val="2"/>
        </w:rPr>
        <w:t xml:space="preserve"> </w:t>
      </w:r>
      <w:r w:rsidRPr="00E817CB">
        <w:rPr>
          <w:rFonts w:cs="Arial"/>
          <w:spacing w:val="-1"/>
        </w:rPr>
        <w:t>required.</w:t>
      </w:r>
    </w:p>
    <w:p w14:paraId="5099DB8A" w14:textId="77777777" w:rsidR="0031675F" w:rsidRPr="0031675F" w:rsidRDefault="0031675F" w:rsidP="0031675F">
      <w:pPr>
        <w:spacing w:before="1"/>
        <w:rPr>
          <w:rFonts w:cs="Calibri"/>
        </w:rPr>
      </w:pPr>
    </w:p>
    <w:p w14:paraId="398819BF" w14:textId="77777777" w:rsidR="0031675F" w:rsidRPr="0031675F" w:rsidRDefault="0031675F" w:rsidP="0031675F">
      <w:pPr>
        <w:widowControl w:val="0"/>
        <w:numPr>
          <w:ilvl w:val="3"/>
          <w:numId w:val="128"/>
        </w:numPr>
        <w:tabs>
          <w:tab w:val="left" w:pos="793"/>
        </w:tabs>
        <w:spacing w:before="0" w:after="0" w:line="240" w:lineRule="auto"/>
        <w:ind w:left="792"/>
        <w:rPr>
          <w:rFonts w:cs="Calibri"/>
        </w:rPr>
      </w:pPr>
      <w:r w:rsidRPr="0031675F">
        <w:rPr>
          <w:b/>
          <w:i/>
          <w:spacing w:val="-2"/>
        </w:rPr>
        <w:t>Calibration</w:t>
      </w:r>
    </w:p>
    <w:p w14:paraId="35507B58" w14:textId="77777777" w:rsidR="0031675F" w:rsidRPr="0031675F" w:rsidRDefault="0031675F" w:rsidP="0031675F">
      <w:pPr>
        <w:widowControl w:val="0"/>
        <w:numPr>
          <w:ilvl w:val="0"/>
          <w:numId w:val="126"/>
        </w:numPr>
        <w:tabs>
          <w:tab w:val="left" w:pos="403"/>
        </w:tabs>
        <w:spacing w:before="120" w:after="0" w:line="267" w:lineRule="exact"/>
        <w:ind w:left="402"/>
      </w:pPr>
      <w:r w:rsidRPr="0031675F">
        <w:rPr>
          <w:spacing w:val="-1"/>
        </w:rPr>
        <w:t>Pipettes</w:t>
      </w:r>
      <w:r w:rsidRPr="0031675F">
        <w:t xml:space="preserve"> </w:t>
      </w:r>
      <w:r w:rsidRPr="0031675F">
        <w:rPr>
          <w:spacing w:val="-1"/>
        </w:rPr>
        <w:t>are</w:t>
      </w:r>
      <w:r w:rsidRPr="0031675F">
        <w:t xml:space="preserve"> </w:t>
      </w:r>
      <w:r w:rsidRPr="0031675F">
        <w:rPr>
          <w:spacing w:val="-1"/>
        </w:rPr>
        <w:t>gravimetrically</w:t>
      </w:r>
      <w:r w:rsidRPr="0031675F">
        <w:rPr>
          <w:spacing w:val="-2"/>
        </w:rPr>
        <w:t xml:space="preserve"> </w:t>
      </w:r>
      <w:r w:rsidRPr="0031675F">
        <w:rPr>
          <w:spacing w:val="-1"/>
        </w:rPr>
        <w:t xml:space="preserve">calibrated </w:t>
      </w:r>
      <w:r w:rsidRPr="0031675F">
        <w:rPr>
          <w:spacing w:val="-2"/>
        </w:rPr>
        <w:t>before</w:t>
      </w:r>
      <w:r w:rsidRPr="0031675F">
        <w:t xml:space="preserve"> </w:t>
      </w:r>
      <w:r w:rsidRPr="0031675F">
        <w:rPr>
          <w:spacing w:val="-1"/>
        </w:rPr>
        <w:t>use.</w:t>
      </w:r>
    </w:p>
    <w:p w14:paraId="6B98B954" w14:textId="77777777" w:rsidR="0031675F" w:rsidRPr="0031675F" w:rsidRDefault="0031675F" w:rsidP="0031675F">
      <w:pPr>
        <w:widowControl w:val="0"/>
        <w:numPr>
          <w:ilvl w:val="0"/>
          <w:numId w:val="126"/>
        </w:numPr>
        <w:tabs>
          <w:tab w:val="left" w:pos="403"/>
        </w:tabs>
        <w:spacing w:before="0" w:after="0" w:line="240" w:lineRule="auto"/>
        <w:ind w:left="402" w:right="113"/>
        <w:jc w:val="both"/>
      </w:pPr>
      <w:r w:rsidRPr="0031675F">
        <w:rPr>
          <w:spacing w:val="-1"/>
        </w:rPr>
        <w:t>The</w:t>
      </w:r>
      <w:r w:rsidRPr="0031675F">
        <w:rPr>
          <w:spacing w:val="8"/>
        </w:rPr>
        <w:t xml:space="preserve"> </w:t>
      </w:r>
      <w:r w:rsidRPr="0031675F">
        <w:rPr>
          <w:spacing w:val="-1"/>
        </w:rPr>
        <w:t>auto-analyser</w:t>
      </w:r>
      <w:r w:rsidRPr="0031675F">
        <w:rPr>
          <w:spacing w:val="8"/>
        </w:rPr>
        <w:t xml:space="preserve"> </w:t>
      </w:r>
      <w:r w:rsidRPr="0031675F">
        <w:t>is</w:t>
      </w:r>
      <w:r w:rsidRPr="0031675F">
        <w:rPr>
          <w:spacing w:val="7"/>
        </w:rPr>
        <w:t xml:space="preserve"> </w:t>
      </w:r>
      <w:r w:rsidRPr="0031675F">
        <w:rPr>
          <w:spacing w:val="-1"/>
        </w:rPr>
        <w:t>calibrated</w:t>
      </w:r>
      <w:r w:rsidRPr="0031675F">
        <w:rPr>
          <w:spacing w:val="6"/>
        </w:rPr>
        <w:t xml:space="preserve"> </w:t>
      </w:r>
      <w:r w:rsidRPr="0031675F">
        <w:rPr>
          <w:spacing w:val="-1"/>
        </w:rPr>
        <w:t>for</w:t>
      </w:r>
      <w:r w:rsidRPr="0031675F">
        <w:rPr>
          <w:spacing w:val="7"/>
        </w:rPr>
        <w:t xml:space="preserve"> </w:t>
      </w:r>
      <w:r w:rsidRPr="0031675F">
        <w:t>each</w:t>
      </w:r>
      <w:r w:rsidRPr="0031675F">
        <w:rPr>
          <w:spacing w:val="6"/>
        </w:rPr>
        <w:t xml:space="preserve"> </w:t>
      </w:r>
      <w:r w:rsidRPr="0031675F">
        <w:rPr>
          <w:spacing w:val="-1"/>
        </w:rPr>
        <w:t>analysis</w:t>
      </w:r>
      <w:r w:rsidRPr="0031675F">
        <w:rPr>
          <w:spacing w:val="7"/>
        </w:rPr>
        <w:t xml:space="preserve"> </w:t>
      </w:r>
      <w:r w:rsidRPr="0031675F">
        <w:rPr>
          <w:spacing w:val="-1"/>
        </w:rPr>
        <w:t>(nutrient</w:t>
      </w:r>
      <w:r w:rsidRPr="0031675F">
        <w:rPr>
          <w:spacing w:val="7"/>
        </w:rPr>
        <w:t xml:space="preserve"> </w:t>
      </w:r>
      <w:r w:rsidRPr="0031675F">
        <w:rPr>
          <w:spacing w:val="-1"/>
        </w:rPr>
        <w:t>species)</w:t>
      </w:r>
      <w:r w:rsidRPr="0031675F">
        <w:rPr>
          <w:spacing w:val="6"/>
        </w:rPr>
        <w:t xml:space="preserve"> </w:t>
      </w:r>
      <w:r w:rsidRPr="0031675F">
        <w:t>with</w:t>
      </w:r>
      <w:r w:rsidRPr="0031675F">
        <w:rPr>
          <w:spacing w:val="7"/>
        </w:rPr>
        <w:t xml:space="preserve"> </w:t>
      </w:r>
      <w:r w:rsidRPr="0031675F">
        <w:rPr>
          <w:spacing w:val="-1"/>
        </w:rPr>
        <w:t>mixed</w:t>
      </w:r>
      <w:r w:rsidRPr="0031675F">
        <w:rPr>
          <w:spacing w:val="7"/>
        </w:rPr>
        <w:t xml:space="preserve"> </w:t>
      </w:r>
      <w:r w:rsidRPr="0031675F">
        <w:rPr>
          <w:spacing w:val="-1"/>
        </w:rPr>
        <w:t>working</w:t>
      </w:r>
      <w:r w:rsidRPr="0031675F">
        <w:rPr>
          <w:spacing w:val="6"/>
        </w:rPr>
        <w:t xml:space="preserve"> </w:t>
      </w:r>
      <w:r w:rsidRPr="0031675F">
        <w:rPr>
          <w:spacing w:val="-1"/>
        </w:rPr>
        <w:t>standards.</w:t>
      </w:r>
      <w:r w:rsidRPr="0031675F">
        <w:rPr>
          <w:spacing w:val="62"/>
        </w:rPr>
        <w:t xml:space="preserve"> </w:t>
      </w:r>
      <w:r w:rsidRPr="0031675F">
        <w:rPr>
          <w:spacing w:val="-1"/>
        </w:rPr>
        <w:t>The</w:t>
      </w:r>
      <w:r w:rsidRPr="0031675F">
        <w:rPr>
          <w:spacing w:val="33"/>
        </w:rPr>
        <w:t xml:space="preserve"> </w:t>
      </w:r>
      <w:r w:rsidRPr="0031675F">
        <w:rPr>
          <w:spacing w:val="-1"/>
        </w:rPr>
        <w:t>working</w:t>
      </w:r>
      <w:r w:rsidRPr="0031675F">
        <w:rPr>
          <w:spacing w:val="35"/>
        </w:rPr>
        <w:t xml:space="preserve"> </w:t>
      </w:r>
      <w:r w:rsidRPr="0031675F">
        <w:rPr>
          <w:spacing w:val="-1"/>
        </w:rPr>
        <w:t>standards</w:t>
      </w:r>
      <w:r w:rsidRPr="0031675F">
        <w:rPr>
          <w:spacing w:val="34"/>
        </w:rPr>
        <w:t xml:space="preserve"> </w:t>
      </w:r>
      <w:r w:rsidRPr="0031675F">
        <w:rPr>
          <w:spacing w:val="-1"/>
        </w:rPr>
        <w:t>are</w:t>
      </w:r>
      <w:r w:rsidRPr="0031675F">
        <w:rPr>
          <w:spacing w:val="36"/>
        </w:rPr>
        <w:t xml:space="preserve"> </w:t>
      </w:r>
      <w:r w:rsidRPr="0031675F">
        <w:rPr>
          <w:spacing w:val="-1"/>
        </w:rPr>
        <w:t>utilised</w:t>
      </w:r>
      <w:r w:rsidRPr="0031675F">
        <w:rPr>
          <w:spacing w:val="34"/>
        </w:rPr>
        <w:t xml:space="preserve"> </w:t>
      </w:r>
      <w:r w:rsidRPr="0031675F">
        <w:rPr>
          <w:spacing w:val="-1"/>
        </w:rPr>
        <w:t>for</w:t>
      </w:r>
      <w:r w:rsidRPr="0031675F">
        <w:rPr>
          <w:spacing w:val="34"/>
        </w:rPr>
        <w:t xml:space="preserve"> </w:t>
      </w:r>
      <w:r w:rsidRPr="0031675F">
        <w:rPr>
          <w:spacing w:val="-1"/>
        </w:rPr>
        <w:t>each</w:t>
      </w:r>
      <w:r w:rsidRPr="0031675F">
        <w:rPr>
          <w:spacing w:val="36"/>
        </w:rPr>
        <w:t xml:space="preserve"> </w:t>
      </w:r>
      <w:r w:rsidRPr="0031675F">
        <w:rPr>
          <w:spacing w:val="-1"/>
        </w:rPr>
        <w:t>run</w:t>
      </w:r>
      <w:r w:rsidRPr="0031675F">
        <w:rPr>
          <w:spacing w:val="34"/>
        </w:rPr>
        <w:t xml:space="preserve"> </w:t>
      </w:r>
      <w:r w:rsidRPr="0031675F">
        <w:rPr>
          <w:spacing w:val="-1"/>
        </w:rPr>
        <w:t>to</w:t>
      </w:r>
      <w:r w:rsidRPr="0031675F">
        <w:rPr>
          <w:spacing w:val="33"/>
        </w:rPr>
        <w:t xml:space="preserve"> </w:t>
      </w:r>
      <w:r w:rsidRPr="0031675F">
        <w:rPr>
          <w:spacing w:val="-1"/>
        </w:rPr>
        <w:t>establish</w:t>
      </w:r>
      <w:r w:rsidRPr="0031675F">
        <w:rPr>
          <w:spacing w:val="35"/>
        </w:rPr>
        <w:t xml:space="preserve"> </w:t>
      </w:r>
      <w:r w:rsidRPr="0031675F">
        <w:t>a</w:t>
      </w:r>
      <w:r w:rsidRPr="0031675F">
        <w:rPr>
          <w:spacing w:val="33"/>
        </w:rPr>
        <w:t xml:space="preserve"> </w:t>
      </w:r>
      <w:r w:rsidRPr="0031675F">
        <w:rPr>
          <w:spacing w:val="-1"/>
        </w:rPr>
        <w:t>standard</w:t>
      </w:r>
      <w:r w:rsidRPr="0031675F">
        <w:rPr>
          <w:spacing w:val="33"/>
        </w:rPr>
        <w:t xml:space="preserve"> </w:t>
      </w:r>
      <w:r w:rsidRPr="0031675F">
        <w:t>curve</w:t>
      </w:r>
      <w:r w:rsidRPr="0031675F">
        <w:rPr>
          <w:spacing w:val="34"/>
        </w:rPr>
        <w:t xml:space="preserve"> </w:t>
      </w:r>
      <w:r w:rsidRPr="0031675F">
        <w:rPr>
          <w:spacing w:val="-1"/>
        </w:rPr>
        <w:t>from</w:t>
      </w:r>
      <w:r w:rsidRPr="0031675F">
        <w:rPr>
          <w:spacing w:val="35"/>
        </w:rPr>
        <w:t xml:space="preserve"> </w:t>
      </w:r>
      <w:r w:rsidRPr="0031675F">
        <w:t>which</w:t>
      </w:r>
      <w:r w:rsidRPr="0031675F">
        <w:rPr>
          <w:spacing w:val="32"/>
        </w:rPr>
        <w:t xml:space="preserve"> </w:t>
      </w:r>
      <w:r w:rsidRPr="0031675F">
        <w:t>the</w:t>
      </w:r>
      <w:r w:rsidRPr="0031675F">
        <w:rPr>
          <w:spacing w:val="55"/>
        </w:rPr>
        <w:t xml:space="preserve"> </w:t>
      </w:r>
      <w:r w:rsidRPr="0031675F">
        <w:rPr>
          <w:spacing w:val="-1"/>
        </w:rPr>
        <w:t>sample</w:t>
      </w:r>
      <w:r w:rsidRPr="0031675F">
        <w:rPr>
          <w:spacing w:val="-2"/>
        </w:rPr>
        <w:t xml:space="preserve"> </w:t>
      </w:r>
      <w:r w:rsidRPr="0031675F">
        <w:rPr>
          <w:spacing w:val="-1"/>
        </w:rPr>
        <w:t>concentrations</w:t>
      </w:r>
      <w:r w:rsidRPr="0031675F">
        <w:t xml:space="preserve"> </w:t>
      </w:r>
      <w:r w:rsidRPr="0031675F">
        <w:rPr>
          <w:spacing w:val="-1"/>
        </w:rPr>
        <w:t>are</w:t>
      </w:r>
      <w:r w:rsidRPr="0031675F">
        <w:rPr>
          <w:spacing w:val="-2"/>
        </w:rPr>
        <w:t xml:space="preserve"> </w:t>
      </w:r>
      <w:r w:rsidRPr="0031675F">
        <w:rPr>
          <w:spacing w:val="-1"/>
        </w:rPr>
        <w:t>calculated.</w:t>
      </w:r>
    </w:p>
    <w:p w14:paraId="5D0ACDF7" w14:textId="1D00EEF8" w:rsidR="0031675F" w:rsidRPr="0031675F" w:rsidRDefault="0031675F" w:rsidP="0031675F">
      <w:pPr>
        <w:widowControl w:val="0"/>
        <w:numPr>
          <w:ilvl w:val="0"/>
          <w:numId w:val="126"/>
        </w:numPr>
        <w:tabs>
          <w:tab w:val="left" w:pos="403"/>
        </w:tabs>
        <w:spacing w:before="0" w:after="0" w:line="269" w:lineRule="exact"/>
        <w:ind w:left="402"/>
        <w:jc w:val="both"/>
      </w:pPr>
      <w:r w:rsidRPr="0031675F">
        <w:rPr>
          <w:spacing w:val="-1"/>
        </w:rPr>
        <w:t>The</w:t>
      </w:r>
      <w:r w:rsidRPr="0031675F">
        <w:rPr>
          <w:spacing w:val="24"/>
        </w:rPr>
        <w:t xml:space="preserve"> </w:t>
      </w:r>
      <w:r w:rsidRPr="0031675F">
        <w:rPr>
          <w:spacing w:val="-1"/>
        </w:rPr>
        <w:t>linear</w:t>
      </w:r>
      <w:r w:rsidRPr="0031675F">
        <w:rPr>
          <w:spacing w:val="24"/>
        </w:rPr>
        <w:t xml:space="preserve"> </w:t>
      </w:r>
      <w:r w:rsidRPr="0031675F">
        <w:rPr>
          <w:spacing w:val="-1"/>
        </w:rPr>
        <w:t>response</w:t>
      </w:r>
      <w:r w:rsidRPr="0031675F">
        <w:rPr>
          <w:spacing w:val="25"/>
        </w:rPr>
        <w:t xml:space="preserve"> </w:t>
      </w:r>
      <w:r w:rsidRPr="0031675F">
        <w:t>of</w:t>
      </w:r>
      <w:r w:rsidRPr="0031675F">
        <w:rPr>
          <w:spacing w:val="21"/>
        </w:rPr>
        <w:t xml:space="preserve"> </w:t>
      </w:r>
      <w:r w:rsidRPr="0031675F">
        <w:t>the</w:t>
      </w:r>
      <w:r w:rsidRPr="0031675F">
        <w:rPr>
          <w:spacing w:val="22"/>
        </w:rPr>
        <w:t xml:space="preserve"> </w:t>
      </w:r>
      <w:r w:rsidRPr="0031675F">
        <w:rPr>
          <w:spacing w:val="-1"/>
        </w:rPr>
        <w:t>working</w:t>
      </w:r>
      <w:r w:rsidRPr="0031675F">
        <w:rPr>
          <w:spacing w:val="23"/>
        </w:rPr>
        <w:t xml:space="preserve"> </w:t>
      </w:r>
      <w:r w:rsidRPr="0031675F">
        <w:rPr>
          <w:spacing w:val="-1"/>
        </w:rPr>
        <w:t>ranges</w:t>
      </w:r>
      <w:r w:rsidRPr="0031675F">
        <w:rPr>
          <w:spacing w:val="23"/>
        </w:rPr>
        <w:t xml:space="preserve"> </w:t>
      </w:r>
      <w:r w:rsidRPr="0031675F">
        <w:rPr>
          <w:spacing w:val="-1"/>
        </w:rPr>
        <w:t>utilises</w:t>
      </w:r>
      <w:r w:rsidRPr="0031675F">
        <w:rPr>
          <w:spacing w:val="24"/>
        </w:rPr>
        <w:t xml:space="preserve"> </w:t>
      </w:r>
      <w:r w:rsidRPr="0031675F">
        <w:t>a</w:t>
      </w:r>
      <w:r w:rsidRPr="0031675F">
        <w:rPr>
          <w:spacing w:val="21"/>
        </w:rPr>
        <w:t xml:space="preserve"> </w:t>
      </w:r>
      <w:r w:rsidR="00E817CB">
        <w:rPr>
          <w:spacing w:val="1"/>
        </w:rPr>
        <w:t>1</w:t>
      </w:r>
      <w:r w:rsidR="00E817CB" w:rsidRPr="00E817CB">
        <w:rPr>
          <w:spacing w:val="1"/>
          <w:vertAlign w:val="superscript"/>
        </w:rPr>
        <w:t>st</w:t>
      </w:r>
      <w:r w:rsidR="00E817CB">
        <w:rPr>
          <w:spacing w:val="1"/>
        </w:rPr>
        <w:t xml:space="preserve"> </w:t>
      </w:r>
      <w:r w:rsidRPr="0031675F">
        <w:t>order</w:t>
      </w:r>
      <w:r w:rsidRPr="0031675F">
        <w:rPr>
          <w:spacing w:val="24"/>
        </w:rPr>
        <w:t xml:space="preserve"> </w:t>
      </w:r>
      <w:r w:rsidRPr="0031675F">
        <w:rPr>
          <w:spacing w:val="-1"/>
        </w:rPr>
        <w:t>linear</w:t>
      </w:r>
      <w:r w:rsidRPr="0031675F">
        <w:rPr>
          <w:spacing w:val="24"/>
        </w:rPr>
        <w:t xml:space="preserve"> </w:t>
      </w:r>
      <w:r w:rsidRPr="0031675F">
        <w:rPr>
          <w:spacing w:val="-1"/>
        </w:rPr>
        <w:t>regression</w:t>
      </w:r>
      <w:r w:rsidRPr="0031675F">
        <w:rPr>
          <w:spacing w:val="21"/>
        </w:rPr>
        <w:t xml:space="preserve"> </w:t>
      </w:r>
      <w:r w:rsidRPr="0031675F">
        <w:rPr>
          <w:spacing w:val="-1"/>
        </w:rPr>
        <w:t>fit,</w:t>
      </w:r>
      <w:r w:rsidRPr="0031675F">
        <w:rPr>
          <w:spacing w:val="25"/>
        </w:rPr>
        <w:t xml:space="preserve"> </w:t>
      </w:r>
      <w:r w:rsidRPr="0031675F">
        <w:rPr>
          <w:spacing w:val="-1"/>
        </w:rPr>
        <w:t>calculated</w:t>
      </w:r>
      <w:r w:rsidRPr="0031675F">
        <w:rPr>
          <w:spacing w:val="24"/>
        </w:rPr>
        <w:t xml:space="preserve"> </w:t>
      </w:r>
      <w:r w:rsidRPr="0031675F">
        <w:t>as</w:t>
      </w:r>
    </w:p>
    <w:p w14:paraId="028C5FB7" w14:textId="77777777" w:rsidR="0031675F" w:rsidRPr="0031675F" w:rsidRDefault="0031675F" w:rsidP="0031675F">
      <w:pPr>
        <w:spacing w:after="120"/>
        <w:ind w:left="402"/>
        <w:jc w:val="both"/>
      </w:pPr>
      <w:r w:rsidRPr="0031675F">
        <w:rPr>
          <w:spacing w:val="-1"/>
        </w:rPr>
        <w:t>part</w:t>
      </w:r>
      <w:r w:rsidRPr="0031675F">
        <w:t xml:space="preserve"> of</w:t>
      </w:r>
      <w:r w:rsidRPr="0031675F">
        <w:rPr>
          <w:spacing w:val="-2"/>
        </w:rPr>
        <w:t xml:space="preserve"> </w:t>
      </w:r>
      <w:r w:rsidRPr="0031675F">
        <w:t xml:space="preserve">the </w:t>
      </w:r>
      <w:r w:rsidRPr="0031675F">
        <w:rPr>
          <w:spacing w:val="-1"/>
        </w:rPr>
        <w:t>auto-analyser</w:t>
      </w:r>
      <w:r w:rsidRPr="0031675F">
        <w:rPr>
          <w:spacing w:val="-2"/>
        </w:rPr>
        <w:t xml:space="preserve"> </w:t>
      </w:r>
      <w:r w:rsidRPr="0031675F">
        <w:rPr>
          <w:spacing w:val="-1"/>
        </w:rPr>
        <w:t>software</w:t>
      </w:r>
      <w:r w:rsidRPr="0031675F">
        <w:t xml:space="preserve"> </w:t>
      </w:r>
      <w:r w:rsidRPr="0031675F">
        <w:rPr>
          <w:spacing w:val="-1"/>
        </w:rPr>
        <w:t>package.</w:t>
      </w:r>
    </w:p>
    <w:p w14:paraId="5E40A0EE" w14:textId="77777777" w:rsidR="0031675F" w:rsidRPr="0031675F" w:rsidRDefault="0031675F" w:rsidP="0031675F">
      <w:pPr>
        <w:widowControl w:val="0"/>
        <w:numPr>
          <w:ilvl w:val="0"/>
          <w:numId w:val="126"/>
        </w:numPr>
        <w:tabs>
          <w:tab w:val="left" w:pos="403"/>
        </w:tabs>
        <w:spacing w:before="0" w:after="0" w:line="240" w:lineRule="auto"/>
        <w:ind w:left="402"/>
      </w:pPr>
      <w:r w:rsidRPr="0031675F">
        <w:rPr>
          <w:spacing w:val="-1"/>
        </w:rPr>
        <w:t>Each</w:t>
      </w:r>
      <w:r w:rsidRPr="0031675F">
        <w:t xml:space="preserve"> </w:t>
      </w:r>
      <w:r w:rsidRPr="0031675F">
        <w:rPr>
          <w:spacing w:val="-1"/>
        </w:rPr>
        <w:t>tray</w:t>
      </w:r>
      <w:r w:rsidRPr="0031675F">
        <w:t xml:space="preserve"> </w:t>
      </w:r>
      <w:r w:rsidRPr="0031675F">
        <w:rPr>
          <w:spacing w:val="-1"/>
        </w:rPr>
        <w:t>protocol</w:t>
      </w:r>
      <w:r w:rsidRPr="0031675F">
        <w:rPr>
          <w:spacing w:val="-2"/>
        </w:rPr>
        <w:t xml:space="preserve"> </w:t>
      </w:r>
      <w:r w:rsidRPr="0031675F">
        <w:t xml:space="preserve">as </w:t>
      </w:r>
      <w:r w:rsidRPr="0031675F">
        <w:rPr>
          <w:spacing w:val="-1"/>
        </w:rPr>
        <w:t>part</w:t>
      </w:r>
      <w:r w:rsidRPr="0031675F">
        <w:rPr>
          <w:spacing w:val="-4"/>
        </w:rPr>
        <w:t xml:space="preserve"> </w:t>
      </w:r>
      <w:r w:rsidRPr="0031675F">
        <w:t xml:space="preserve">of </w:t>
      </w:r>
      <w:r w:rsidRPr="0031675F">
        <w:rPr>
          <w:spacing w:val="-1"/>
        </w:rPr>
        <w:t>every</w:t>
      </w:r>
      <w:r w:rsidRPr="0031675F">
        <w:t xml:space="preserve"> </w:t>
      </w:r>
      <w:r w:rsidRPr="0031675F">
        <w:rPr>
          <w:spacing w:val="-1"/>
        </w:rPr>
        <w:t>analysis</w:t>
      </w:r>
      <w:r w:rsidRPr="0031675F">
        <w:t xml:space="preserve"> </w:t>
      </w:r>
      <w:r w:rsidRPr="0031675F">
        <w:rPr>
          <w:spacing w:val="-1"/>
        </w:rPr>
        <w:t>session consists</w:t>
      </w:r>
      <w:r w:rsidRPr="0031675F">
        <w:t xml:space="preserve"> </w:t>
      </w:r>
      <w:r w:rsidRPr="0031675F">
        <w:rPr>
          <w:spacing w:val="-1"/>
        </w:rPr>
        <w:t>of:</w:t>
      </w:r>
    </w:p>
    <w:p w14:paraId="706AC62B" w14:textId="77777777" w:rsidR="0031675F" w:rsidRPr="0031675F" w:rsidRDefault="0031675F" w:rsidP="0031675F">
      <w:pPr>
        <w:widowControl w:val="0"/>
        <w:numPr>
          <w:ilvl w:val="1"/>
          <w:numId w:val="126"/>
        </w:numPr>
        <w:tabs>
          <w:tab w:val="left" w:pos="686"/>
        </w:tabs>
        <w:spacing w:before="0" w:after="0" w:line="240" w:lineRule="auto"/>
        <w:ind w:hanging="283"/>
        <w:jc w:val="both"/>
      </w:pPr>
      <w:r w:rsidRPr="0031675F">
        <w:rPr>
          <w:spacing w:val="-1"/>
        </w:rPr>
        <w:t>Six</w:t>
      </w:r>
      <w:r w:rsidRPr="0031675F">
        <w:rPr>
          <w:spacing w:val="1"/>
        </w:rPr>
        <w:t xml:space="preserve"> </w:t>
      </w:r>
      <w:r w:rsidRPr="0031675F">
        <w:rPr>
          <w:spacing w:val="-1"/>
        </w:rPr>
        <w:t>working standards</w:t>
      </w:r>
      <w:r w:rsidRPr="0031675F">
        <w:t xml:space="preserve"> </w:t>
      </w:r>
      <w:r w:rsidRPr="0031675F">
        <w:rPr>
          <w:spacing w:val="-1"/>
        </w:rPr>
        <w:t>for</w:t>
      </w:r>
      <w:r w:rsidRPr="0031675F">
        <w:t xml:space="preserve"> a</w:t>
      </w:r>
      <w:r w:rsidRPr="0031675F">
        <w:rPr>
          <w:spacing w:val="-3"/>
        </w:rPr>
        <w:t xml:space="preserve"> </w:t>
      </w:r>
      <w:r w:rsidRPr="0031675F">
        <w:rPr>
          <w:spacing w:val="-1"/>
        </w:rPr>
        <w:t>linear calibration curve.</w:t>
      </w:r>
    </w:p>
    <w:p w14:paraId="4B414C31" w14:textId="77777777" w:rsidR="0031675F" w:rsidRPr="0031675F" w:rsidRDefault="0031675F" w:rsidP="0031675F">
      <w:pPr>
        <w:widowControl w:val="0"/>
        <w:numPr>
          <w:ilvl w:val="1"/>
          <w:numId w:val="126"/>
        </w:numPr>
        <w:tabs>
          <w:tab w:val="left" w:pos="686"/>
        </w:tabs>
        <w:spacing w:before="0" w:after="0" w:line="240" w:lineRule="auto"/>
        <w:ind w:right="120" w:hanging="283"/>
      </w:pPr>
      <w:r w:rsidRPr="0031675F">
        <w:t xml:space="preserve">QA/QC </w:t>
      </w:r>
      <w:r w:rsidRPr="0031675F">
        <w:rPr>
          <w:spacing w:val="31"/>
        </w:rPr>
        <w:t xml:space="preserve"> </w:t>
      </w:r>
      <w:r w:rsidRPr="0031675F">
        <w:rPr>
          <w:spacing w:val="-1"/>
        </w:rPr>
        <w:t>standards:</w:t>
      </w:r>
      <w:r w:rsidRPr="0031675F">
        <w:t xml:space="preserve"> </w:t>
      </w:r>
      <w:r w:rsidRPr="0031675F">
        <w:rPr>
          <w:spacing w:val="35"/>
        </w:rPr>
        <w:t xml:space="preserve"> </w:t>
      </w:r>
      <w:r w:rsidRPr="0031675F">
        <w:rPr>
          <w:spacing w:val="-1"/>
        </w:rPr>
        <w:t>replicate</w:t>
      </w:r>
      <w:r w:rsidRPr="0031675F">
        <w:t xml:space="preserve"> </w:t>
      </w:r>
      <w:r w:rsidRPr="0031675F">
        <w:rPr>
          <w:spacing w:val="35"/>
        </w:rPr>
        <w:t xml:space="preserve"> </w:t>
      </w:r>
      <w:r w:rsidRPr="0031675F">
        <w:rPr>
          <w:spacing w:val="-1"/>
        </w:rPr>
        <w:t>in-house</w:t>
      </w:r>
      <w:r w:rsidRPr="0031675F">
        <w:t xml:space="preserve"> </w:t>
      </w:r>
      <w:r w:rsidRPr="0031675F">
        <w:rPr>
          <w:spacing w:val="32"/>
        </w:rPr>
        <w:t xml:space="preserve"> </w:t>
      </w:r>
      <w:r w:rsidRPr="0031675F">
        <w:rPr>
          <w:spacing w:val="-1"/>
        </w:rPr>
        <w:t>seawater</w:t>
      </w:r>
      <w:r w:rsidRPr="0031675F">
        <w:t xml:space="preserve"> </w:t>
      </w:r>
      <w:r w:rsidRPr="0031675F">
        <w:rPr>
          <w:spacing w:val="32"/>
        </w:rPr>
        <w:t xml:space="preserve"> </w:t>
      </w:r>
      <w:r w:rsidRPr="0031675F">
        <w:rPr>
          <w:spacing w:val="-1"/>
        </w:rPr>
        <w:t>storage</w:t>
      </w:r>
      <w:r w:rsidRPr="0031675F">
        <w:t xml:space="preserve"> </w:t>
      </w:r>
      <w:r w:rsidRPr="0031675F">
        <w:rPr>
          <w:spacing w:val="35"/>
        </w:rPr>
        <w:t xml:space="preserve"> </w:t>
      </w:r>
      <w:r w:rsidRPr="0031675F">
        <w:rPr>
          <w:spacing w:val="-1"/>
        </w:rPr>
        <w:t>reference</w:t>
      </w:r>
      <w:r w:rsidRPr="0031675F">
        <w:t xml:space="preserve"> </w:t>
      </w:r>
      <w:r w:rsidRPr="0031675F">
        <w:rPr>
          <w:spacing w:val="35"/>
        </w:rPr>
        <w:t xml:space="preserve"> </w:t>
      </w:r>
      <w:r w:rsidRPr="0031675F">
        <w:rPr>
          <w:spacing w:val="-1"/>
        </w:rPr>
        <w:t>samples</w:t>
      </w:r>
      <w:r w:rsidRPr="0031675F">
        <w:t xml:space="preserve"> </w:t>
      </w:r>
      <w:r w:rsidRPr="0031675F">
        <w:rPr>
          <w:spacing w:val="31"/>
        </w:rPr>
        <w:t xml:space="preserve"> </w:t>
      </w:r>
      <w:r w:rsidRPr="0031675F">
        <w:rPr>
          <w:spacing w:val="-1"/>
        </w:rPr>
        <w:t>and</w:t>
      </w:r>
      <w:r w:rsidRPr="0031675F">
        <w:t xml:space="preserve"> </w:t>
      </w:r>
      <w:r w:rsidRPr="0031675F">
        <w:rPr>
          <w:spacing w:val="34"/>
        </w:rPr>
        <w:t xml:space="preserve"> </w:t>
      </w:r>
      <w:r w:rsidRPr="0031675F">
        <w:rPr>
          <w:spacing w:val="-1"/>
        </w:rPr>
        <w:t>certified</w:t>
      </w:r>
      <w:r w:rsidRPr="0031675F">
        <w:rPr>
          <w:spacing w:val="61"/>
        </w:rPr>
        <w:t xml:space="preserve"> </w:t>
      </w:r>
      <w:r w:rsidRPr="0031675F">
        <w:rPr>
          <w:spacing w:val="-1"/>
        </w:rPr>
        <w:t>reference</w:t>
      </w:r>
      <w:r w:rsidRPr="0031675F">
        <w:t xml:space="preserve"> </w:t>
      </w:r>
      <w:r w:rsidRPr="0031675F">
        <w:rPr>
          <w:spacing w:val="-1"/>
        </w:rPr>
        <w:t>standards.</w:t>
      </w:r>
    </w:p>
    <w:p w14:paraId="2314D549" w14:textId="77777777" w:rsidR="0031675F" w:rsidRPr="0031675F" w:rsidRDefault="0031675F" w:rsidP="0031675F">
      <w:pPr>
        <w:widowControl w:val="0"/>
        <w:numPr>
          <w:ilvl w:val="1"/>
          <w:numId w:val="126"/>
        </w:numPr>
        <w:tabs>
          <w:tab w:val="left" w:pos="686"/>
        </w:tabs>
        <w:spacing w:before="2" w:after="0" w:line="238" w:lineRule="auto"/>
        <w:ind w:right="120" w:hanging="283"/>
      </w:pPr>
      <w:r w:rsidRPr="0031675F">
        <w:rPr>
          <w:spacing w:val="-1"/>
        </w:rPr>
        <w:t>Blank</w:t>
      </w:r>
      <w:r w:rsidRPr="0031675F">
        <w:t xml:space="preserve"> </w:t>
      </w:r>
      <w:r w:rsidRPr="0031675F">
        <w:rPr>
          <w:spacing w:val="11"/>
        </w:rPr>
        <w:t xml:space="preserve"> </w:t>
      </w:r>
      <w:r w:rsidRPr="0031675F">
        <w:rPr>
          <w:spacing w:val="-1"/>
        </w:rPr>
        <w:t>samples</w:t>
      </w:r>
      <w:r w:rsidRPr="0031675F">
        <w:t xml:space="preserve"> </w:t>
      </w:r>
      <w:r w:rsidRPr="0031675F">
        <w:rPr>
          <w:spacing w:val="10"/>
        </w:rPr>
        <w:t xml:space="preserve"> </w:t>
      </w:r>
      <w:r w:rsidRPr="0031675F">
        <w:rPr>
          <w:spacing w:val="-1"/>
        </w:rPr>
        <w:t>for</w:t>
      </w:r>
      <w:r w:rsidRPr="0031675F">
        <w:t xml:space="preserve"> </w:t>
      </w:r>
      <w:r w:rsidRPr="0031675F">
        <w:rPr>
          <w:spacing w:val="10"/>
        </w:rPr>
        <w:t xml:space="preserve"> </w:t>
      </w:r>
      <w:r w:rsidRPr="0031675F">
        <w:rPr>
          <w:spacing w:val="-1"/>
        </w:rPr>
        <w:t>drift</w:t>
      </w:r>
      <w:r w:rsidRPr="0031675F">
        <w:t xml:space="preserve"> </w:t>
      </w:r>
      <w:r w:rsidRPr="0031675F">
        <w:rPr>
          <w:spacing w:val="8"/>
        </w:rPr>
        <w:t xml:space="preserve"> </w:t>
      </w:r>
      <w:r w:rsidRPr="0031675F">
        <w:rPr>
          <w:spacing w:val="-2"/>
        </w:rPr>
        <w:t>and</w:t>
      </w:r>
      <w:r w:rsidRPr="0031675F">
        <w:t xml:space="preserve"> </w:t>
      </w:r>
      <w:r w:rsidRPr="0031675F">
        <w:rPr>
          <w:spacing w:val="10"/>
        </w:rPr>
        <w:t xml:space="preserve"> </w:t>
      </w:r>
      <w:r w:rsidRPr="0031675F">
        <w:rPr>
          <w:spacing w:val="-1"/>
        </w:rPr>
        <w:t>baseline</w:t>
      </w:r>
      <w:r w:rsidRPr="0031675F">
        <w:t xml:space="preserve"> </w:t>
      </w:r>
      <w:r w:rsidRPr="0031675F">
        <w:rPr>
          <w:spacing w:val="11"/>
        </w:rPr>
        <w:t xml:space="preserve"> </w:t>
      </w:r>
      <w:r w:rsidRPr="0031675F">
        <w:rPr>
          <w:spacing w:val="-1"/>
        </w:rPr>
        <w:t>corrections</w:t>
      </w:r>
      <w:r w:rsidRPr="0031675F">
        <w:t xml:space="preserve"> </w:t>
      </w:r>
      <w:r w:rsidRPr="0031675F">
        <w:rPr>
          <w:spacing w:val="10"/>
        </w:rPr>
        <w:t xml:space="preserve"> </w:t>
      </w:r>
      <w:r w:rsidRPr="0031675F">
        <w:rPr>
          <w:spacing w:val="-1"/>
        </w:rPr>
        <w:t>(part</w:t>
      </w:r>
      <w:r w:rsidRPr="0031675F">
        <w:t xml:space="preserve"> </w:t>
      </w:r>
      <w:r w:rsidRPr="0031675F">
        <w:rPr>
          <w:spacing w:val="10"/>
        </w:rPr>
        <w:t xml:space="preserve"> </w:t>
      </w:r>
      <w:r w:rsidRPr="0031675F">
        <w:t xml:space="preserve">of </w:t>
      </w:r>
      <w:r w:rsidRPr="0031675F">
        <w:rPr>
          <w:spacing w:val="10"/>
        </w:rPr>
        <w:t xml:space="preserve"> </w:t>
      </w:r>
      <w:r w:rsidRPr="0031675F">
        <w:t xml:space="preserve">the </w:t>
      </w:r>
      <w:r w:rsidRPr="0031675F">
        <w:rPr>
          <w:spacing w:val="10"/>
        </w:rPr>
        <w:t xml:space="preserve"> </w:t>
      </w:r>
      <w:r w:rsidRPr="0031675F">
        <w:rPr>
          <w:spacing w:val="-1"/>
        </w:rPr>
        <w:t>autoanalyser</w:t>
      </w:r>
      <w:r w:rsidRPr="0031675F">
        <w:t xml:space="preserve"> </w:t>
      </w:r>
      <w:r w:rsidRPr="0031675F">
        <w:rPr>
          <w:spacing w:val="8"/>
        </w:rPr>
        <w:t xml:space="preserve"> </w:t>
      </w:r>
      <w:r w:rsidRPr="0031675F">
        <w:rPr>
          <w:spacing w:val="-1"/>
        </w:rPr>
        <w:t>software)</w:t>
      </w:r>
      <w:r w:rsidRPr="0031675F">
        <w:t xml:space="preserve"> </w:t>
      </w:r>
      <w:r w:rsidRPr="0031675F">
        <w:rPr>
          <w:spacing w:val="17"/>
        </w:rPr>
        <w:t xml:space="preserve"> </w:t>
      </w:r>
      <w:r w:rsidRPr="0031675F">
        <w:rPr>
          <w:spacing w:val="-1"/>
        </w:rPr>
        <w:t>are</w:t>
      </w:r>
      <w:r w:rsidRPr="0031675F">
        <w:rPr>
          <w:spacing w:val="67"/>
        </w:rPr>
        <w:t xml:space="preserve"> </w:t>
      </w:r>
      <w:r w:rsidRPr="0031675F">
        <w:rPr>
          <w:spacing w:val="-1"/>
        </w:rPr>
        <w:t>included</w:t>
      </w:r>
      <w:r w:rsidRPr="0031675F">
        <w:t xml:space="preserve"> at </w:t>
      </w:r>
      <w:r w:rsidRPr="0031675F">
        <w:rPr>
          <w:spacing w:val="-1"/>
        </w:rPr>
        <w:t>regular intervals</w:t>
      </w:r>
      <w:r w:rsidRPr="0031675F">
        <w:t xml:space="preserve"> </w:t>
      </w:r>
      <w:r w:rsidRPr="0031675F">
        <w:rPr>
          <w:spacing w:val="-1"/>
        </w:rPr>
        <w:t xml:space="preserve">within </w:t>
      </w:r>
      <w:r w:rsidRPr="0031675F">
        <w:rPr>
          <w:spacing w:val="-2"/>
        </w:rPr>
        <w:t>the</w:t>
      </w:r>
      <w:r w:rsidRPr="0031675F">
        <w:t xml:space="preserve"> </w:t>
      </w:r>
      <w:r w:rsidRPr="0031675F">
        <w:rPr>
          <w:spacing w:val="-1"/>
        </w:rPr>
        <w:t>sample</w:t>
      </w:r>
      <w:r w:rsidRPr="0031675F">
        <w:t xml:space="preserve"> </w:t>
      </w:r>
      <w:r w:rsidRPr="0031675F">
        <w:rPr>
          <w:spacing w:val="-1"/>
        </w:rPr>
        <w:t>set</w:t>
      </w:r>
      <w:r w:rsidRPr="0031675F">
        <w:rPr>
          <w:spacing w:val="-2"/>
        </w:rPr>
        <w:t xml:space="preserve"> </w:t>
      </w:r>
      <w:r w:rsidRPr="0031675F">
        <w:rPr>
          <w:spacing w:val="-1"/>
        </w:rPr>
        <w:t>(maximum</w:t>
      </w:r>
      <w:r w:rsidRPr="0031675F">
        <w:rPr>
          <w:spacing w:val="1"/>
        </w:rPr>
        <w:t xml:space="preserve"> </w:t>
      </w:r>
      <w:r w:rsidRPr="0031675F">
        <w:rPr>
          <w:spacing w:val="-1"/>
        </w:rPr>
        <w:t xml:space="preserve">up to </w:t>
      </w:r>
      <w:r w:rsidRPr="0031675F">
        <w:t>60</w:t>
      </w:r>
      <w:r w:rsidRPr="0031675F">
        <w:rPr>
          <w:spacing w:val="-2"/>
        </w:rPr>
        <w:t xml:space="preserve"> </w:t>
      </w:r>
      <w:r w:rsidRPr="0031675F">
        <w:rPr>
          <w:spacing w:val="-1"/>
        </w:rPr>
        <w:t>samples per</w:t>
      </w:r>
      <w:r w:rsidRPr="0031675F">
        <w:t xml:space="preserve"> </w:t>
      </w:r>
      <w:r w:rsidRPr="0031675F">
        <w:rPr>
          <w:spacing w:val="-1"/>
        </w:rPr>
        <w:t>interval).</w:t>
      </w:r>
    </w:p>
    <w:p w14:paraId="7147110E" w14:textId="77777777" w:rsidR="0031675F" w:rsidRPr="0031675F" w:rsidRDefault="0031675F" w:rsidP="0031675F">
      <w:pPr>
        <w:spacing w:before="11"/>
        <w:rPr>
          <w:rFonts w:cs="Calibri"/>
          <w:sz w:val="21"/>
          <w:szCs w:val="21"/>
        </w:rPr>
      </w:pPr>
    </w:p>
    <w:p w14:paraId="4E66477D" w14:textId="77777777" w:rsidR="0031675F" w:rsidRPr="0031675F" w:rsidRDefault="0031675F" w:rsidP="0031675F">
      <w:pPr>
        <w:widowControl w:val="0"/>
        <w:numPr>
          <w:ilvl w:val="2"/>
          <w:numId w:val="128"/>
        </w:numPr>
        <w:tabs>
          <w:tab w:val="left" w:pos="686"/>
        </w:tabs>
        <w:spacing w:before="0" w:after="0" w:line="240" w:lineRule="auto"/>
        <w:ind w:left="685"/>
        <w:rPr>
          <w:rFonts w:eastAsia="Arial" w:cs="Arial"/>
        </w:rPr>
      </w:pPr>
      <w:r w:rsidRPr="0031675F">
        <w:rPr>
          <w:b/>
          <w:spacing w:val="-1"/>
        </w:rPr>
        <w:t>Calculations</w:t>
      </w:r>
    </w:p>
    <w:p w14:paraId="2DA5DD19" w14:textId="77777777" w:rsidR="0031675F" w:rsidRPr="0031675F" w:rsidRDefault="0031675F" w:rsidP="0031675F">
      <w:pPr>
        <w:widowControl w:val="0"/>
        <w:numPr>
          <w:ilvl w:val="0"/>
          <w:numId w:val="126"/>
        </w:numPr>
        <w:tabs>
          <w:tab w:val="left" w:pos="403"/>
        </w:tabs>
        <w:spacing w:before="0" w:after="0" w:line="240" w:lineRule="auto"/>
        <w:ind w:left="402" w:right="113"/>
        <w:jc w:val="both"/>
      </w:pPr>
      <w:r w:rsidRPr="0031675F">
        <w:rPr>
          <w:spacing w:val="-1"/>
        </w:rPr>
        <w:t>Instrument</w:t>
      </w:r>
      <w:r w:rsidRPr="0031675F">
        <w:rPr>
          <w:spacing w:val="8"/>
        </w:rPr>
        <w:t xml:space="preserve"> </w:t>
      </w:r>
      <w:r w:rsidRPr="0031675F">
        <w:rPr>
          <w:spacing w:val="-1"/>
        </w:rPr>
        <w:t>charts</w:t>
      </w:r>
      <w:r w:rsidRPr="0031675F">
        <w:rPr>
          <w:spacing w:val="8"/>
        </w:rPr>
        <w:t xml:space="preserve"> </w:t>
      </w:r>
      <w:r w:rsidRPr="0031675F">
        <w:t>are</w:t>
      </w:r>
      <w:r w:rsidRPr="0031675F">
        <w:rPr>
          <w:spacing w:val="8"/>
        </w:rPr>
        <w:t xml:space="preserve"> </w:t>
      </w:r>
      <w:r w:rsidRPr="0031675F">
        <w:rPr>
          <w:spacing w:val="-1"/>
        </w:rPr>
        <w:t>checked</w:t>
      </w:r>
      <w:r w:rsidRPr="0031675F">
        <w:rPr>
          <w:spacing w:val="8"/>
        </w:rPr>
        <w:t xml:space="preserve"> </w:t>
      </w:r>
      <w:r w:rsidRPr="0031675F">
        <w:rPr>
          <w:spacing w:val="-1"/>
        </w:rPr>
        <w:t>and</w:t>
      </w:r>
      <w:r w:rsidRPr="0031675F">
        <w:rPr>
          <w:spacing w:val="10"/>
        </w:rPr>
        <w:t xml:space="preserve"> </w:t>
      </w:r>
      <w:r w:rsidRPr="0031675F">
        <w:rPr>
          <w:spacing w:val="-1"/>
        </w:rPr>
        <w:t>edited</w:t>
      </w:r>
      <w:r w:rsidRPr="0031675F">
        <w:rPr>
          <w:spacing w:val="10"/>
        </w:rPr>
        <w:t xml:space="preserve"> </w:t>
      </w:r>
      <w:r w:rsidRPr="0031675F">
        <w:rPr>
          <w:spacing w:val="-1"/>
        </w:rPr>
        <w:t>upon</w:t>
      </w:r>
      <w:r w:rsidRPr="0031675F">
        <w:rPr>
          <w:spacing w:val="10"/>
        </w:rPr>
        <w:t xml:space="preserve"> </w:t>
      </w:r>
      <w:r w:rsidRPr="0031675F">
        <w:rPr>
          <w:spacing w:val="-1"/>
        </w:rPr>
        <w:t>completion</w:t>
      </w:r>
      <w:r w:rsidRPr="0031675F">
        <w:rPr>
          <w:spacing w:val="10"/>
        </w:rPr>
        <w:t xml:space="preserve"> </w:t>
      </w:r>
      <w:r w:rsidRPr="0031675F">
        <w:t>of</w:t>
      </w:r>
      <w:r w:rsidRPr="0031675F">
        <w:rPr>
          <w:spacing w:val="8"/>
        </w:rPr>
        <w:t xml:space="preserve"> </w:t>
      </w:r>
      <w:r w:rsidRPr="0031675F">
        <w:t>a</w:t>
      </w:r>
      <w:r w:rsidRPr="0031675F">
        <w:rPr>
          <w:spacing w:val="10"/>
        </w:rPr>
        <w:t xml:space="preserve"> </w:t>
      </w:r>
      <w:r w:rsidRPr="0031675F">
        <w:rPr>
          <w:spacing w:val="-1"/>
        </w:rPr>
        <w:t>run</w:t>
      </w:r>
      <w:r w:rsidRPr="0031675F">
        <w:rPr>
          <w:spacing w:val="7"/>
        </w:rPr>
        <w:t xml:space="preserve"> </w:t>
      </w:r>
      <w:r w:rsidRPr="0031675F">
        <w:t>to</w:t>
      </w:r>
      <w:r w:rsidRPr="0031675F">
        <w:rPr>
          <w:spacing w:val="10"/>
        </w:rPr>
        <w:t xml:space="preserve"> </w:t>
      </w:r>
      <w:r w:rsidRPr="0031675F">
        <w:rPr>
          <w:spacing w:val="-1"/>
        </w:rPr>
        <w:t>ensure</w:t>
      </w:r>
      <w:r w:rsidRPr="0031675F">
        <w:rPr>
          <w:spacing w:val="11"/>
        </w:rPr>
        <w:t xml:space="preserve"> </w:t>
      </w:r>
      <w:r w:rsidRPr="0031675F">
        <w:rPr>
          <w:spacing w:val="-1"/>
        </w:rPr>
        <w:t>signals</w:t>
      </w:r>
      <w:r w:rsidRPr="0031675F">
        <w:rPr>
          <w:spacing w:val="10"/>
        </w:rPr>
        <w:t xml:space="preserve"> </w:t>
      </w:r>
      <w:r w:rsidRPr="0031675F">
        <w:t>are</w:t>
      </w:r>
      <w:r w:rsidRPr="0031675F">
        <w:rPr>
          <w:spacing w:val="59"/>
        </w:rPr>
        <w:t xml:space="preserve"> </w:t>
      </w:r>
      <w:r w:rsidRPr="0031675F">
        <w:rPr>
          <w:spacing w:val="-1"/>
        </w:rPr>
        <w:t>correctly</w:t>
      </w:r>
      <w:r w:rsidRPr="0031675F">
        <w:rPr>
          <w:spacing w:val="29"/>
        </w:rPr>
        <w:t xml:space="preserve"> </w:t>
      </w:r>
      <w:r w:rsidRPr="0031675F">
        <w:rPr>
          <w:spacing w:val="-1"/>
        </w:rPr>
        <w:t>detected.</w:t>
      </w:r>
      <w:r w:rsidRPr="0031675F">
        <w:rPr>
          <w:spacing w:val="29"/>
        </w:rPr>
        <w:t xml:space="preserve"> </w:t>
      </w:r>
      <w:r w:rsidRPr="0031675F">
        <w:rPr>
          <w:spacing w:val="-1"/>
        </w:rPr>
        <w:t>Editing</w:t>
      </w:r>
      <w:r w:rsidRPr="0031675F">
        <w:rPr>
          <w:spacing w:val="28"/>
        </w:rPr>
        <w:t xml:space="preserve"> </w:t>
      </w:r>
      <w:r w:rsidRPr="0031675F">
        <w:t>is</w:t>
      </w:r>
      <w:r w:rsidRPr="0031675F">
        <w:rPr>
          <w:spacing w:val="28"/>
        </w:rPr>
        <w:t xml:space="preserve"> </w:t>
      </w:r>
      <w:r w:rsidRPr="0031675F">
        <w:rPr>
          <w:spacing w:val="-1"/>
        </w:rPr>
        <w:t>performed</w:t>
      </w:r>
      <w:r w:rsidRPr="0031675F">
        <w:rPr>
          <w:spacing w:val="29"/>
        </w:rPr>
        <w:t xml:space="preserve"> </w:t>
      </w:r>
      <w:r w:rsidRPr="0031675F">
        <w:t>within</w:t>
      </w:r>
      <w:r w:rsidRPr="0031675F">
        <w:rPr>
          <w:spacing w:val="30"/>
        </w:rPr>
        <w:t xml:space="preserve"> </w:t>
      </w:r>
      <w:r w:rsidRPr="0031675F">
        <w:t>the</w:t>
      </w:r>
      <w:r w:rsidRPr="0031675F">
        <w:rPr>
          <w:spacing w:val="29"/>
        </w:rPr>
        <w:t xml:space="preserve"> </w:t>
      </w:r>
      <w:r w:rsidRPr="0031675F">
        <w:rPr>
          <w:spacing w:val="-1"/>
        </w:rPr>
        <w:t>standard</w:t>
      </w:r>
      <w:r w:rsidRPr="0031675F">
        <w:rPr>
          <w:spacing w:val="27"/>
        </w:rPr>
        <w:t xml:space="preserve"> </w:t>
      </w:r>
      <w:r w:rsidRPr="0031675F">
        <w:rPr>
          <w:spacing w:val="-1"/>
        </w:rPr>
        <w:t>auto-analyser</w:t>
      </w:r>
      <w:r w:rsidRPr="0031675F">
        <w:rPr>
          <w:spacing w:val="29"/>
        </w:rPr>
        <w:t xml:space="preserve"> </w:t>
      </w:r>
      <w:r w:rsidRPr="0031675F">
        <w:rPr>
          <w:spacing w:val="-1"/>
        </w:rPr>
        <w:t>software</w:t>
      </w:r>
      <w:r w:rsidRPr="0031675F">
        <w:rPr>
          <w:spacing w:val="30"/>
        </w:rPr>
        <w:t xml:space="preserve"> </w:t>
      </w:r>
      <w:r w:rsidRPr="0031675F">
        <w:rPr>
          <w:spacing w:val="-1"/>
        </w:rPr>
        <w:t>by</w:t>
      </w:r>
      <w:r w:rsidRPr="0031675F">
        <w:rPr>
          <w:spacing w:val="26"/>
        </w:rPr>
        <w:t xml:space="preserve"> </w:t>
      </w:r>
      <w:r w:rsidRPr="0031675F">
        <w:rPr>
          <w:spacing w:val="-1"/>
        </w:rPr>
        <w:t>moving</w:t>
      </w:r>
      <w:r w:rsidRPr="0031675F">
        <w:rPr>
          <w:spacing w:val="73"/>
        </w:rPr>
        <w:t xml:space="preserve"> </w:t>
      </w:r>
      <w:r w:rsidRPr="0031675F">
        <w:t>the</w:t>
      </w:r>
      <w:r w:rsidRPr="0031675F">
        <w:rPr>
          <w:spacing w:val="5"/>
        </w:rPr>
        <w:t xml:space="preserve"> </w:t>
      </w:r>
      <w:r w:rsidRPr="0031675F">
        <w:rPr>
          <w:spacing w:val="-1"/>
        </w:rPr>
        <w:t>peak</w:t>
      </w:r>
      <w:r w:rsidRPr="0031675F">
        <w:rPr>
          <w:spacing w:val="5"/>
        </w:rPr>
        <w:t xml:space="preserve"> </w:t>
      </w:r>
      <w:r w:rsidRPr="0031675F">
        <w:rPr>
          <w:spacing w:val="-1"/>
        </w:rPr>
        <w:t>markers</w:t>
      </w:r>
      <w:r w:rsidRPr="0031675F">
        <w:rPr>
          <w:spacing w:val="4"/>
        </w:rPr>
        <w:t xml:space="preserve"> </w:t>
      </w:r>
      <w:r w:rsidRPr="0031675F">
        <w:rPr>
          <w:spacing w:val="-1"/>
        </w:rPr>
        <w:t>to</w:t>
      </w:r>
      <w:r w:rsidRPr="0031675F">
        <w:rPr>
          <w:spacing w:val="6"/>
        </w:rPr>
        <w:t xml:space="preserve"> </w:t>
      </w:r>
      <w:r w:rsidRPr="0031675F">
        <w:t>the</w:t>
      </w:r>
      <w:r w:rsidRPr="0031675F">
        <w:rPr>
          <w:spacing w:val="5"/>
        </w:rPr>
        <w:t xml:space="preserve"> </w:t>
      </w:r>
      <w:r w:rsidRPr="0031675F">
        <w:rPr>
          <w:spacing w:val="-1"/>
        </w:rPr>
        <w:t>top</w:t>
      </w:r>
      <w:r w:rsidRPr="0031675F">
        <w:rPr>
          <w:spacing w:val="4"/>
        </w:rPr>
        <w:t xml:space="preserve"> </w:t>
      </w:r>
      <w:r w:rsidRPr="0031675F">
        <w:t>of</w:t>
      </w:r>
      <w:r w:rsidRPr="0031675F">
        <w:rPr>
          <w:spacing w:val="5"/>
        </w:rPr>
        <w:t xml:space="preserve"> </w:t>
      </w:r>
      <w:r w:rsidRPr="0031675F">
        <w:t>the</w:t>
      </w:r>
      <w:r w:rsidRPr="0031675F">
        <w:rPr>
          <w:spacing w:val="5"/>
        </w:rPr>
        <w:t xml:space="preserve"> </w:t>
      </w:r>
      <w:r w:rsidRPr="0031675F">
        <w:rPr>
          <w:spacing w:val="-1"/>
        </w:rPr>
        <w:t>sample</w:t>
      </w:r>
      <w:r w:rsidRPr="0031675F">
        <w:rPr>
          <w:spacing w:val="5"/>
        </w:rPr>
        <w:t xml:space="preserve"> </w:t>
      </w:r>
      <w:r w:rsidRPr="0031675F">
        <w:rPr>
          <w:spacing w:val="-1"/>
        </w:rPr>
        <w:t>peak.</w:t>
      </w:r>
      <w:r w:rsidRPr="0031675F">
        <w:rPr>
          <w:spacing w:val="5"/>
        </w:rPr>
        <w:t xml:space="preserve"> </w:t>
      </w:r>
      <w:r w:rsidRPr="0031675F">
        <w:rPr>
          <w:spacing w:val="-1"/>
        </w:rPr>
        <w:t>The</w:t>
      </w:r>
      <w:r w:rsidRPr="0031675F">
        <w:rPr>
          <w:spacing w:val="3"/>
        </w:rPr>
        <w:t xml:space="preserve"> </w:t>
      </w:r>
      <w:r w:rsidRPr="0031675F">
        <w:rPr>
          <w:spacing w:val="-1"/>
        </w:rPr>
        <w:t>auto-analyser</w:t>
      </w:r>
      <w:r w:rsidRPr="0031675F">
        <w:rPr>
          <w:spacing w:val="5"/>
        </w:rPr>
        <w:t xml:space="preserve"> </w:t>
      </w:r>
      <w:r w:rsidRPr="0031675F">
        <w:rPr>
          <w:spacing w:val="-1"/>
        </w:rPr>
        <w:t>software</w:t>
      </w:r>
      <w:r w:rsidRPr="0031675F">
        <w:rPr>
          <w:spacing w:val="5"/>
        </w:rPr>
        <w:t xml:space="preserve"> </w:t>
      </w:r>
      <w:r w:rsidRPr="0031675F">
        <w:t>is</w:t>
      </w:r>
      <w:r w:rsidRPr="0031675F">
        <w:rPr>
          <w:spacing w:val="4"/>
        </w:rPr>
        <w:t xml:space="preserve"> </w:t>
      </w:r>
      <w:r w:rsidRPr="0031675F">
        <w:rPr>
          <w:spacing w:val="-1"/>
        </w:rPr>
        <w:t>used</w:t>
      </w:r>
      <w:r w:rsidRPr="0031675F">
        <w:rPr>
          <w:spacing w:val="5"/>
        </w:rPr>
        <w:t xml:space="preserve"> </w:t>
      </w:r>
      <w:r w:rsidRPr="0031675F">
        <w:rPr>
          <w:spacing w:val="-1"/>
        </w:rPr>
        <w:t>for</w:t>
      </w:r>
      <w:r w:rsidRPr="0031675F">
        <w:rPr>
          <w:spacing w:val="5"/>
        </w:rPr>
        <w:t xml:space="preserve"> </w:t>
      </w:r>
      <w:r w:rsidRPr="0031675F">
        <w:t>the</w:t>
      </w:r>
      <w:r w:rsidRPr="0031675F">
        <w:rPr>
          <w:spacing w:val="5"/>
        </w:rPr>
        <w:t xml:space="preserve"> </w:t>
      </w:r>
      <w:r w:rsidRPr="0031675F">
        <w:rPr>
          <w:spacing w:val="-1"/>
        </w:rPr>
        <w:t>initial</w:t>
      </w:r>
      <w:r w:rsidRPr="0031675F">
        <w:rPr>
          <w:spacing w:val="81"/>
        </w:rPr>
        <w:t xml:space="preserve"> </w:t>
      </w:r>
      <w:r w:rsidRPr="0031675F">
        <w:rPr>
          <w:spacing w:val="-1"/>
        </w:rPr>
        <w:t>processing</w:t>
      </w:r>
      <w:r w:rsidRPr="0031675F">
        <w:rPr>
          <w:spacing w:val="-3"/>
        </w:rPr>
        <w:t xml:space="preserve"> </w:t>
      </w:r>
      <w:r w:rsidRPr="0031675F">
        <w:t>which</w:t>
      </w:r>
      <w:r w:rsidRPr="0031675F">
        <w:rPr>
          <w:spacing w:val="-2"/>
        </w:rPr>
        <w:t xml:space="preserve"> </w:t>
      </w:r>
      <w:r w:rsidRPr="0031675F">
        <w:rPr>
          <w:spacing w:val="-1"/>
        </w:rPr>
        <w:t>include:</w:t>
      </w:r>
    </w:p>
    <w:p w14:paraId="4F1FD82E" w14:textId="77777777" w:rsidR="0031675F" w:rsidRPr="0031675F" w:rsidRDefault="0031675F" w:rsidP="0031675F">
      <w:pPr>
        <w:widowControl w:val="0"/>
        <w:numPr>
          <w:ilvl w:val="0"/>
          <w:numId w:val="126"/>
        </w:numPr>
        <w:tabs>
          <w:tab w:val="left" w:pos="403"/>
        </w:tabs>
        <w:spacing w:before="0" w:after="0" w:line="240" w:lineRule="auto"/>
        <w:ind w:left="402"/>
      </w:pPr>
      <w:r w:rsidRPr="0031675F">
        <w:rPr>
          <w:spacing w:val="-1"/>
        </w:rPr>
        <w:t>Standard-curve</w:t>
      </w:r>
      <w:r w:rsidRPr="0031675F">
        <w:t xml:space="preserve"> </w:t>
      </w:r>
      <w:r w:rsidRPr="0031675F">
        <w:rPr>
          <w:spacing w:val="-2"/>
        </w:rPr>
        <w:t>fit,</w:t>
      </w:r>
      <w:r w:rsidRPr="0031675F">
        <w:t xml:space="preserve"> </w:t>
      </w:r>
      <w:r w:rsidRPr="0031675F">
        <w:rPr>
          <w:spacing w:val="-1"/>
        </w:rPr>
        <w:t>drift</w:t>
      </w:r>
      <w:r w:rsidRPr="0031675F">
        <w:rPr>
          <w:spacing w:val="-2"/>
        </w:rPr>
        <w:t xml:space="preserve"> </w:t>
      </w:r>
      <w:r w:rsidRPr="0031675F">
        <w:rPr>
          <w:spacing w:val="-1"/>
        </w:rPr>
        <w:t>correction,</w:t>
      </w:r>
      <w:r w:rsidRPr="0031675F">
        <w:t xml:space="preserve"> </w:t>
      </w:r>
      <w:r w:rsidRPr="0031675F">
        <w:rPr>
          <w:spacing w:val="-1"/>
        </w:rPr>
        <w:t>base</w:t>
      </w:r>
      <w:r w:rsidRPr="0031675F">
        <w:rPr>
          <w:spacing w:val="-2"/>
        </w:rPr>
        <w:t xml:space="preserve"> </w:t>
      </w:r>
      <w:r w:rsidRPr="0031675F">
        <w:rPr>
          <w:spacing w:val="-1"/>
        </w:rPr>
        <w:t>calibration,</w:t>
      </w:r>
      <w:r w:rsidRPr="0031675F">
        <w:t xml:space="preserve"> </w:t>
      </w:r>
      <w:r w:rsidRPr="0031675F">
        <w:rPr>
          <w:spacing w:val="-1"/>
        </w:rPr>
        <w:t>calculation</w:t>
      </w:r>
      <w:r w:rsidRPr="0031675F">
        <w:rPr>
          <w:spacing w:val="-3"/>
        </w:rPr>
        <w:t xml:space="preserve"> </w:t>
      </w:r>
      <w:r w:rsidRPr="0031675F">
        <w:t xml:space="preserve">of </w:t>
      </w:r>
      <w:r w:rsidRPr="0031675F">
        <w:rPr>
          <w:spacing w:val="-1"/>
        </w:rPr>
        <w:t>sample</w:t>
      </w:r>
      <w:r w:rsidRPr="0031675F">
        <w:rPr>
          <w:spacing w:val="-3"/>
        </w:rPr>
        <w:t xml:space="preserve"> </w:t>
      </w:r>
      <w:r w:rsidRPr="0031675F">
        <w:rPr>
          <w:spacing w:val="-1"/>
        </w:rPr>
        <w:t>concentrations.</w:t>
      </w:r>
    </w:p>
    <w:p w14:paraId="13B53D39" w14:textId="77777777" w:rsidR="0031675F" w:rsidRPr="0031675F" w:rsidRDefault="0031675F" w:rsidP="0031675F">
      <w:pPr>
        <w:widowControl w:val="0"/>
        <w:numPr>
          <w:ilvl w:val="0"/>
          <w:numId w:val="126"/>
        </w:numPr>
        <w:tabs>
          <w:tab w:val="left" w:pos="403"/>
        </w:tabs>
        <w:spacing w:before="0" w:after="0" w:line="240" w:lineRule="auto"/>
        <w:ind w:left="402" w:right="111"/>
        <w:jc w:val="both"/>
      </w:pPr>
      <w:r w:rsidRPr="0031675F">
        <w:rPr>
          <w:spacing w:val="-1"/>
        </w:rPr>
        <w:t>Further</w:t>
      </w:r>
      <w:r w:rsidRPr="0031675F">
        <w:rPr>
          <w:spacing w:val="6"/>
        </w:rPr>
        <w:t xml:space="preserve"> </w:t>
      </w:r>
      <w:r w:rsidRPr="0031675F">
        <w:rPr>
          <w:spacing w:val="-1"/>
        </w:rPr>
        <w:t>processing</w:t>
      </w:r>
      <w:r w:rsidRPr="0031675F">
        <w:rPr>
          <w:spacing w:val="6"/>
        </w:rPr>
        <w:t xml:space="preserve"> </w:t>
      </w:r>
      <w:r w:rsidRPr="0031675F">
        <w:t>is</w:t>
      </w:r>
      <w:r w:rsidRPr="0031675F">
        <w:rPr>
          <w:spacing w:val="7"/>
        </w:rPr>
        <w:t xml:space="preserve"> </w:t>
      </w:r>
      <w:r w:rsidRPr="0031675F">
        <w:rPr>
          <w:spacing w:val="-1"/>
        </w:rPr>
        <w:t>carried</w:t>
      </w:r>
      <w:r w:rsidRPr="0031675F">
        <w:rPr>
          <w:spacing w:val="6"/>
        </w:rPr>
        <w:t xml:space="preserve"> </w:t>
      </w:r>
      <w:r w:rsidRPr="0031675F">
        <w:t>out</w:t>
      </w:r>
      <w:r w:rsidRPr="0031675F">
        <w:rPr>
          <w:spacing w:val="8"/>
        </w:rPr>
        <w:t xml:space="preserve"> </w:t>
      </w:r>
      <w:r w:rsidRPr="0031675F">
        <w:rPr>
          <w:spacing w:val="-1"/>
        </w:rPr>
        <w:t>using</w:t>
      </w:r>
      <w:r w:rsidRPr="0031675F">
        <w:rPr>
          <w:spacing w:val="6"/>
        </w:rPr>
        <w:t xml:space="preserve"> </w:t>
      </w:r>
      <w:r w:rsidRPr="0031675F">
        <w:rPr>
          <w:spacing w:val="-1"/>
        </w:rPr>
        <w:t>Excel</w:t>
      </w:r>
      <w:r w:rsidRPr="0031675F">
        <w:rPr>
          <w:spacing w:val="7"/>
        </w:rPr>
        <w:t xml:space="preserve"> </w:t>
      </w:r>
      <w:r w:rsidRPr="0031675F">
        <w:rPr>
          <w:spacing w:val="-1"/>
        </w:rPr>
        <w:t>functions</w:t>
      </w:r>
      <w:r w:rsidRPr="0031675F">
        <w:rPr>
          <w:spacing w:val="5"/>
        </w:rPr>
        <w:t xml:space="preserve"> </w:t>
      </w:r>
      <w:r w:rsidRPr="0031675F">
        <w:t>in</w:t>
      </w:r>
      <w:r w:rsidRPr="0031675F">
        <w:rPr>
          <w:spacing w:val="6"/>
        </w:rPr>
        <w:t xml:space="preserve"> </w:t>
      </w:r>
      <w:r w:rsidRPr="0031675F">
        <w:t>a</w:t>
      </w:r>
      <w:r w:rsidRPr="0031675F">
        <w:rPr>
          <w:spacing w:val="7"/>
        </w:rPr>
        <w:t xml:space="preserve"> </w:t>
      </w:r>
      <w:r w:rsidRPr="0031675F">
        <w:rPr>
          <w:spacing w:val="-1"/>
        </w:rPr>
        <w:t>spreadsheet:</w:t>
      </w:r>
      <w:r w:rsidRPr="0031675F">
        <w:rPr>
          <w:spacing w:val="14"/>
        </w:rPr>
        <w:t xml:space="preserve"> </w:t>
      </w:r>
      <w:r w:rsidRPr="0031675F">
        <w:t>e.g.</w:t>
      </w:r>
      <w:r w:rsidRPr="0031675F">
        <w:rPr>
          <w:spacing w:val="7"/>
        </w:rPr>
        <w:t xml:space="preserve"> </w:t>
      </w:r>
      <w:r w:rsidRPr="0031675F">
        <w:rPr>
          <w:spacing w:val="-1"/>
        </w:rPr>
        <w:t>Data</w:t>
      </w:r>
      <w:r w:rsidRPr="0031675F">
        <w:rPr>
          <w:spacing w:val="7"/>
        </w:rPr>
        <w:t xml:space="preserve"> </w:t>
      </w:r>
      <w:r w:rsidRPr="0031675F">
        <w:t>is</w:t>
      </w:r>
      <w:r w:rsidRPr="0031675F">
        <w:rPr>
          <w:spacing w:val="7"/>
        </w:rPr>
        <w:t xml:space="preserve"> </w:t>
      </w:r>
      <w:r w:rsidRPr="0031675F">
        <w:rPr>
          <w:spacing w:val="-1"/>
        </w:rPr>
        <w:t>standardised</w:t>
      </w:r>
      <w:r w:rsidRPr="0031675F">
        <w:rPr>
          <w:spacing w:val="65"/>
        </w:rPr>
        <w:t xml:space="preserve"> </w:t>
      </w:r>
      <w:r w:rsidRPr="0031675F">
        <w:rPr>
          <w:spacing w:val="-1"/>
        </w:rPr>
        <w:t>against</w:t>
      </w:r>
      <w:r w:rsidRPr="0031675F">
        <w:rPr>
          <w:spacing w:val="1"/>
        </w:rPr>
        <w:t xml:space="preserve"> </w:t>
      </w:r>
      <w:r w:rsidRPr="0031675F">
        <w:rPr>
          <w:spacing w:val="-1"/>
        </w:rPr>
        <w:t>reference</w:t>
      </w:r>
      <w:r w:rsidRPr="0031675F">
        <w:rPr>
          <w:spacing w:val="-2"/>
        </w:rPr>
        <w:t xml:space="preserve"> </w:t>
      </w:r>
      <w:r w:rsidRPr="0031675F">
        <w:rPr>
          <w:spacing w:val="-1"/>
        </w:rPr>
        <w:t>standards</w:t>
      </w:r>
      <w:r w:rsidRPr="0031675F">
        <w:t xml:space="preserve"> and</w:t>
      </w:r>
      <w:r w:rsidRPr="0031675F">
        <w:rPr>
          <w:spacing w:val="-2"/>
        </w:rPr>
        <w:t xml:space="preserve"> </w:t>
      </w:r>
      <w:r w:rsidRPr="0031675F">
        <w:rPr>
          <w:spacing w:val="-1"/>
        </w:rPr>
        <w:t>corrected</w:t>
      </w:r>
      <w:r w:rsidRPr="0031675F">
        <w:t xml:space="preserve"> </w:t>
      </w:r>
      <w:r w:rsidRPr="0031675F">
        <w:rPr>
          <w:spacing w:val="-1"/>
        </w:rPr>
        <w:t>for</w:t>
      </w:r>
      <w:r w:rsidRPr="0031675F">
        <w:t xml:space="preserve"> any</w:t>
      </w:r>
      <w:r w:rsidRPr="0031675F">
        <w:rPr>
          <w:spacing w:val="-3"/>
        </w:rPr>
        <w:t xml:space="preserve"> </w:t>
      </w:r>
      <w:r w:rsidRPr="0031675F">
        <w:rPr>
          <w:spacing w:val="-1"/>
        </w:rPr>
        <w:t>dilution factors.</w:t>
      </w:r>
    </w:p>
    <w:p w14:paraId="2AFA6563" w14:textId="77777777" w:rsidR="0031675F" w:rsidRPr="0031675F" w:rsidRDefault="0031675F" w:rsidP="0031675F">
      <w:pPr>
        <w:widowControl w:val="0"/>
        <w:numPr>
          <w:ilvl w:val="0"/>
          <w:numId w:val="126"/>
        </w:numPr>
        <w:tabs>
          <w:tab w:val="left" w:pos="403"/>
        </w:tabs>
        <w:spacing w:before="0" w:after="0" w:line="240" w:lineRule="auto"/>
        <w:ind w:left="402" w:right="110"/>
        <w:rPr>
          <w:spacing w:val="-1"/>
        </w:rPr>
      </w:pPr>
      <w:r w:rsidRPr="0031675F">
        <w:t>If</w:t>
      </w:r>
      <w:r w:rsidRPr="0031675F">
        <w:rPr>
          <w:spacing w:val="22"/>
        </w:rPr>
        <w:t xml:space="preserve"> </w:t>
      </w:r>
      <w:r w:rsidRPr="0031675F">
        <w:t>there</w:t>
      </w:r>
      <w:r w:rsidRPr="0031675F">
        <w:rPr>
          <w:spacing w:val="20"/>
        </w:rPr>
        <w:t xml:space="preserve"> </w:t>
      </w:r>
      <w:r w:rsidRPr="0031675F">
        <w:t>are</w:t>
      </w:r>
      <w:r w:rsidRPr="0031675F">
        <w:rPr>
          <w:spacing w:val="20"/>
        </w:rPr>
        <w:t xml:space="preserve"> </w:t>
      </w:r>
      <w:r w:rsidRPr="0031675F">
        <w:rPr>
          <w:spacing w:val="-1"/>
        </w:rPr>
        <w:t>problems</w:t>
      </w:r>
      <w:r w:rsidRPr="0031675F">
        <w:rPr>
          <w:spacing w:val="20"/>
        </w:rPr>
        <w:t xml:space="preserve"> </w:t>
      </w:r>
      <w:r w:rsidRPr="0031675F">
        <w:rPr>
          <w:spacing w:val="-1"/>
        </w:rPr>
        <w:t>with</w:t>
      </w:r>
      <w:r w:rsidRPr="0031675F">
        <w:rPr>
          <w:spacing w:val="22"/>
        </w:rPr>
        <w:t xml:space="preserve"> </w:t>
      </w:r>
      <w:r w:rsidRPr="0031675F">
        <w:t>the</w:t>
      </w:r>
      <w:r w:rsidRPr="0031675F">
        <w:rPr>
          <w:spacing w:val="20"/>
        </w:rPr>
        <w:t xml:space="preserve"> </w:t>
      </w:r>
      <w:r w:rsidRPr="0031675F">
        <w:rPr>
          <w:spacing w:val="-1"/>
        </w:rPr>
        <w:t>chart</w:t>
      </w:r>
      <w:r w:rsidRPr="0031675F">
        <w:rPr>
          <w:spacing w:val="20"/>
        </w:rPr>
        <w:t xml:space="preserve"> </w:t>
      </w:r>
      <w:r w:rsidRPr="0031675F">
        <w:rPr>
          <w:spacing w:val="-1"/>
        </w:rPr>
        <w:t>output,</w:t>
      </w:r>
      <w:r w:rsidRPr="0031675F">
        <w:rPr>
          <w:spacing w:val="42"/>
        </w:rPr>
        <w:t xml:space="preserve"> </w:t>
      </w:r>
      <w:r w:rsidRPr="0031675F">
        <w:rPr>
          <w:spacing w:val="-2"/>
        </w:rPr>
        <w:t>(excessive</w:t>
      </w:r>
      <w:r w:rsidRPr="0031675F">
        <w:rPr>
          <w:spacing w:val="20"/>
        </w:rPr>
        <w:t xml:space="preserve"> </w:t>
      </w:r>
      <w:r w:rsidRPr="0031675F">
        <w:rPr>
          <w:spacing w:val="-1"/>
        </w:rPr>
        <w:t>noise,</w:t>
      </w:r>
      <w:r w:rsidRPr="0031675F">
        <w:rPr>
          <w:spacing w:val="23"/>
        </w:rPr>
        <w:t xml:space="preserve"> </w:t>
      </w:r>
      <w:r w:rsidRPr="0031675F">
        <w:rPr>
          <w:spacing w:val="-1"/>
        </w:rPr>
        <w:t>power</w:t>
      </w:r>
      <w:r w:rsidRPr="0031675F">
        <w:rPr>
          <w:spacing w:val="20"/>
        </w:rPr>
        <w:t xml:space="preserve"> </w:t>
      </w:r>
      <w:r w:rsidRPr="0031675F">
        <w:t>outages,</w:t>
      </w:r>
      <w:r w:rsidRPr="0031675F">
        <w:rPr>
          <w:spacing w:val="29"/>
        </w:rPr>
        <w:t xml:space="preserve"> </w:t>
      </w:r>
      <w:r w:rsidRPr="0031675F">
        <w:rPr>
          <w:spacing w:val="-1"/>
        </w:rPr>
        <w:t>hardware</w:t>
      </w:r>
      <w:r w:rsidRPr="0031675F">
        <w:rPr>
          <w:spacing w:val="57"/>
        </w:rPr>
        <w:t xml:space="preserve"> </w:t>
      </w:r>
      <w:r w:rsidRPr="0031675F">
        <w:rPr>
          <w:spacing w:val="-1"/>
        </w:rPr>
        <w:t>problems,</w:t>
      </w:r>
      <w:r w:rsidRPr="0031675F">
        <w:rPr>
          <w:spacing w:val="5"/>
        </w:rPr>
        <w:t xml:space="preserve"> </w:t>
      </w:r>
      <w:r w:rsidRPr="0031675F">
        <w:rPr>
          <w:spacing w:val="-1"/>
        </w:rPr>
        <w:t>software</w:t>
      </w:r>
      <w:r w:rsidRPr="0031675F">
        <w:rPr>
          <w:spacing w:val="3"/>
        </w:rPr>
        <w:t xml:space="preserve"> </w:t>
      </w:r>
      <w:r w:rsidRPr="0031675F">
        <w:rPr>
          <w:spacing w:val="-1"/>
        </w:rPr>
        <w:t>problems)</w:t>
      </w:r>
      <w:r w:rsidRPr="0031675F">
        <w:rPr>
          <w:spacing w:val="3"/>
        </w:rPr>
        <w:t xml:space="preserve"> </w:t>
      </w:r>
      <w:r w:rsidRPr="0031675F">
        <w:rPr>
          <w:spacing w:val="-1"/>
        </w:rPr>
        <w:t>sample</w:t>
      </w:r>
      <w:r w:rsidRPr="0031675F">
        <w:rPr>
          <w:spacing w:val="5"/>
        </w:rPr>
        <w:t xml:space="preserve"> </w:t>
      </w:r>
      <w:r w:rsidRPr="0031675F">
        <w:rPr>
          <w:spacing w:val="-1"/>
        </w:rPr>
        <w:t>peaks</w:t>
      </w:r>
      <w:r w:rsidRPr="0031675F">
        <w:rPr>
          <w:spacing w:val="5"/>
        </w:rPr>
        <w:t xml:space="preserve"> </w:t>
      </w:r>
      <w:r w:rsidRPr="0031675F">
        <w:rPr>
          <w:spacing w:val="-1"/>
        </w:rPr>
        <w:t>are</w:t>
      </w:r>
      <w:r w:rsidRPr="0031675F">
        <w:rPr>
          <w:spacing w:val="5"/>
        </w:rPr>
        <w:t xml:space="preserve"> </w:t>
      </w:r>
      <w:r w:rsidRPr="0031675F">
        <w:rPr>
          <w:spacing w:val="-1"/>
        </w:rPr>
        <w:t>hand</w:t>
      </w:r>
      <w:r w:rsidRPr="0031675F">
        <w:rPr>
          <w:spacing w:val="2"/>
        </w:rPr>
        <w:t xml:space="preserve"> </w:t>
      </w:r>
      <w:r w:rsidRPr="0031675F">
        <w:rPr>
          <w:spacing w:val="-1"/>
        </w:rPr>
        <w:t>measured</w:t>
      </w:r>
      <w:r w:rsidRPr="0031675F">
        <w:rPr>
          <w:spacing w:val="4"/>
        </w:rPr>
        <w:t xml:space="preserve"> </w:t>
      </w:r>
      <w:r w:rsidRPr="0031675F">
        <w:rPr>
          <w:spacing w:val="-1"/>
        </w:rPr>
        <w:t>using</w:t>
      </w:r>
      <w:r w:rsidRPr="0031675F">
        <w:rPr>
          <w:spacing w:val="4"/>
        </w:rPr>
        <w:t xml:space="preserve"> </w:t>
      </w:r>
      <w:r w:rsidRPr="0031675F">
        <w:rPr>
          <w:spacing w:val="-1"/>
        </w:rPr>
        <w:t>digital</w:t>
      </w:r>
      <w:r w:rsidRPr="0031675F">
        <w:rPr>
          <w:spacing w:val="1"/>
        </w:rPr>
        <w:t xml:space="preserve"> </w:t>
      </w:r>
      <w:r w:rsidRPr="0031675F">
        <w:rPr>
          <w:spacing w:val="-1"/>
        </w:rPr>
        <w:t>vernier</w:t>
      </w:r>
      <w:r w:rsidRPr="0031675F">
        <w:rPr>
          <w:spacing w:val="4"/>
        </w:rPr>
        <w:t xml:space="preserve"> </w:t>
      </w:r>
      <w:r w:rsidRPr="0031675F">
        <w:rPr>
          <w:spacing w:val="-1"/>
        </w:rPr>
        <w:t>callipers</w:t>
      </w:r>
      <w:r w:rsidRPr="0031675F">
        <w:rPr>
          <w:spacing w:val="3"/>
        </w:rPr>
        <w:t xml:space="preserve"> </w:t>
      </w:r>
      <w:r w:rsidRPr="0031675F">
        <w:rPr>
          <w:spacing w:val="-1"/>
        </w:rPr>
        <w:t>and</w:t>
      </w:r>
      <w:r w:rsidRPr="0031675F">
        <w:rPr>
          <w:spacing w:val="65"/>
        </w:rPr>
        <w:t xml:space="preserve"> </w:t>
      </w:r>
      <w:r w:rsidRPr="0031675F">
        <w:t xml:space="preserve">a </w:t>
      </w:r>
      <w:r w:rsidRPr="0031675F">
        <w:rPr>
          <w:spacing w:val="-1"/>
        </w:rPr>
        <w:t>1st</w:t>
      </w:r>
      <w:r w:rsidRPr="0031675F">
        <w:rPr>
          <w:spacing w:val="-2"/>
        </w:rPr>
        <w:t xml:space="preserve"> </w:t>
      </w:r>
      <w:r w:rsidRPr="0031675F">
        <w:rPr>
          <w:spacing w:val="-1"/>
        </w:rPr>
        <w:t>order</w:t>
      </w:r>
      <w:r w:rsidRPr="0031675F">
        <w:t xml:space="preserve"> </w:t>
      </w:r>
      <w:r w:rsidRPr="0031675F">
        <w:rPr>
          <w:spacing w:val="-1"/>
        </w:rPr>
        <w:t>regression</w:t>
      </w:r>
      <w:r w:rsidRPr="0031675F">
        <w:rPr>
          <w:spacing w:val="-3"/>
        </w:rPr>
        <w:t xml:space="preserve"> </w:t>
      </w:r>
      <w:r w:rsidRPr="0031675F">
        <w:rPr>
          <w:spacing w:val="-1"/>
        </w:rPr>
        <w:t xml:space="preserve">calibration </w:t>
      </w:r>
      <w:r w:rsidRPr="0031675F">
        <w:t>is</w:t>
      </w:r>
      <w:r w:rsidRPr="0031675F">
        <w:rPr>
          <w:spacing w:val="-3"/>
        </w:rPr>
        <w:t xml:space="preserve"> </w:t>
      </w:r>
      <w:r w:rsidRPr="0031675F">
        <w:rPr>
          <w:spacing w:val="-1"/>
        </w:rPr>
        <w:t>performed</w:t>
      </w:r>
      <w:r w:rsidRPr="0031675F">
        <w:t xml:space="preserve"> in</w:t>
      </w:r>
      <w:r w:rsidRPr="0031675F">
        <w:rPr>
          <w:spacing w:val="-1"/>
        </w:rPr>
        <w:t xml:space="preserve"> </w:t>
      </w:r>
      <w:r w:rsidRPr="0031675F">
        <w:t xml:space="preserve">an </w:t>
      </w:r>
      <w:r w:rsidRPr="0031675F">
        <w:rPr>
          <w:spacing w:val="-1"/>
        </w:rPr>
        <w:t>Excel</w:t>
      </w:r>
      <w:r w:rsidRPr="0031675F">
        <w:t xml:space="preserve"> </w:t>
      </w:r>
      <w:r w:rsidRPr="0031675F">
        <w:rPr>
          <w:spacing w:val="-1"/>
        </w:rPr>
        <w:t xml:space="preserve">spreadsheet. </w:t>
      </w:r>
    </w:p>
    <w:p w14:paraId="03145668" w14:textId="77777777" w:rsidR="0031675F" w:rsidRPr="0031675F" w:rsidRDefault="0031675F" w:rsidP="0031675F">
      <w:pPr>
        <w:tabs>
          <w:tab w:val="left" w:pos="403"/>
        </w:tabs>
        <w:spacing w:after="120"/>
        <w:ind w:left="402" w:right="110"/>
        <w:rPr>
          <w:rFonts w:cs="Calibri"/>
          <w:sz w:val="20"/>
          <w:szCs w:val="20"/>
        </w:rPr>
      </w:pPr>
    </w:p>
    <w:p w14:paraId="3E4372A7" w14:textId="77777777" w:rsidR="0031675F" w:rsidRPr="0031675F" w:rsidRDefault="0031675F" w:rsidP="0031675F">
      <w:pPr>
        <w:widowControl w:val="0"/>
        <w:numPr>
          <w:ilvl w:val="1"/>
          <w:numId w:val="128"/>
        </w:numPr>
        <w:tabs>
          <w:tab w:val="left" w:pos="686"/>
        </w:tabs>
        <w:spacing w:before="206" w:after="0" w:line="240" w:lineRule="auto"/>
        <w:ind w:left="685"/>
        <w:jc w:val="both"/>
        <w:rPr>
          <w:rFonts w:eastAsia="Arial" w:cs="Arial"/>
          <w:sz w:val="24"/>
          <w:szCs w:val="24"/>
        </w:rPr>
      </w:pPr>
      <w:bookmarkStart w:id="602" w:name="_TOC_250078"/>
      <w:r w:rsidRPr="0031675F">
        <w:rPr>
          <w:b/>
          <w:sz w:val="24"/>
        </w:rPr>
        <w:t xml:space="preserve">Instrument </w:t>
      </w:r>
      <w:r w:rsidRPr="0031675F">
        <w:rPr>
          <w:b/>
          <w:spacing w:val="-1"/>
          <w:sz w:val="24"/>
        </w:rPr>
        <w:t>performance</w:t>
      </w:r>
      <w:bookmarkEnd w:id="602"/>
    </w:p>
    <w:p w14:paraId="524FD0C4" w14:textId="372C617C" w:rsidR="0031675F" w:rsidRPr="0030095E" w:rsidRDefault="0031675F" w:rsidP="0057756F">
      <w:r w:rsidRPr="0031675F">
        <w:rPr>
          <w:spacing w:val="-1"/>
        </w:rPr>
        <w:t>The</w:t>
      </w:r>
      <w:r w:rsidRPr="0031675F">
        <w:rPr>
          <w:spacing w:val="8"/>
        </w:rPr>
        <w:t xml:space="preserve"> </w:t>
      </w:r>
      <w:r w:rsidRPr="0031675F">
        <w:rPr>
          <w:spacing w:val="-1"/>
        </w:rPr>
        <w:t>method</w:t>
      </w:r>
      <w:r w:rsidRPr="0031675F">
        <w:rPr>
          <w:spacing w:val="9"/>
        </w:rPr>
        <w:t xml:space="preserve"> </w:t>
      </w:r>
      <w:r w:rsidRPr="0031675F">
        <w:rPr>
          <w:spacing w:val="-1"/>
        </w:rPr>
        <w:t>for</w:t>
      </w:r>
      <w:r w:rsidRPr="0031675F">
        <w:rPr>
          <w:spacing w:val="7"/>
        </w:rPr>
        <w:t xml:space="preserve"> </w:t>
      </w:r>
      <w:r w:rsidRPr="0031675F">
        <w:rPr>
          <w:spacing w:val="-1"/>
        </w:rPr>
        <w:t>determination</w:t>
      </w:r>
      <w:r w:rsidRPr="0031675F">
        <w:rPr>
          <w:spacing w:val="6"/>
        </w:rPr>
        <w:t xml:space="preserve"> </w:t>
      </w:r>
      <w:r w:rsidRPr="0031675F">
        <w:t>of</w:t>
      </w:r>
      <w:r w:rsidRPr="0031675F">
        <w:rPr>
          <w:spacing w:val="7"/>
        </w:rPr>
        <w:t xml:space="preserve"> </w:t>
      </w:r>
      <w:r w:rsidRPr="0031675F">
        <w:rPr>
          <w:spacing w:val="-1"/>
        </w:rPr>
        <w:t>method</w:t>
      </w:r>
      <w:r w:rsidRPr="0031675F">
        <w:rPr>
          <w:spacing w:val="9"/>
        </w:rPr>
        <w:t xml:space="preserve"> </w:t>
      </w:r>
      <w:r w:rsidRPr="0031675F">
        <w:rPr>
          <w:spacing w:val="-1"/>
        </w:rPr>
        <w:t>detection</w:t>
      </w:r>
      <w:r w:rsidRPr="0031675F">
        <w:rPr>
          <w:spacing w:val="13"/>
        </w:rPr>
        <w:t xml:space="preserve"> </w:t>
      </w:r>
      <w:r w:rsidRPr="0031675F">
        <w:rPr>
          <w:spacing w:val="-1"/>
        </w:rPr>
        <w:t>limits</w:t>
      </w:r>
      <w:r w:rsidRPr="0031675F">
        <w:rPr>
          <w:spacing w:val="7"/>
        </w:rPr>
        <w:t xml:space="preserve"> </w:t>
      </w:r>
      <w:r w:rsidRPr="0031675F">
        <w:rPr>
          <w:spacing w:val="-1"/>
        </w:rPr>
        <w:t>(mdl)</w:t>
      </w:r>
      <w:r w:rsidRPr="0031675F">
        <w:rPr>
          <w:spacing w:val="7"/>
        </w:rPr>
        <w:t xml:space="preserve"> </w:t>
      </w:r>
      <w:r w:rsidRPr="0031675F">
        <w:t>is</w:t>
      </w:r>
      <w:r w:rsidRPr="0031675F">
        <w:rPr>
          <w:spacing w:val="9"/>
        </w:rPr>
        <w:t xml:space="preserve"> </w:t>
      </w:r>
      <w:r w:rsidRPr="0031675F">
        <w:t>that</w:t>
      </w:r>
      <w:r w:rsidRPr="0031675F">
        <w:rPr>
          <w:spacing w:val="7"/>
        </w:rPr>
        <w:t xml:space="preserve"> </w:t>
      </w:r>
      <w:r w:rsidRPr="0031675F">
        <w:rPr>
          <w:spacing w:val="-1"/>
        </w:rPr>
        <w:t>adopted</w:t>
      </w:r>
      <w:r w:rsidRPr="0031675F">
        <w:rPr>
          <w:spacing w:val="7"/>
        </w:rPr>
        <w:t xml:space="preserve"> </w:t>
      </w:r>
      <w:r w:rsidRPr="0031675F">
        <w:rPr>
          <w:spacing w:val="-1"/>
        </w:rPr>
        <w:t>by</w:t>
      </w:r>
      <w:r w:rsidRPr="0031675F">
        <w:rPr>
          <w:spacing w:val="10"/>
        </w:rPr>
        <w:t xml:space="preserve"> </w:t>
      </w:r>
      <w:r w:rsidRPr="0031675F">
        <w:t>Bran</w:t>
      </w:r>
      <w:r w:rsidRPr="0031675F">
        <w:rPr>
          <w:spacing w:val="8"/>
        </w:rPr>
        <w:t xml:space="preserve"> </w:t>
      </w:r>
      <w:r w:rsidRPr="0031675F">
        <w:rPr>
          <w:spacing w:val="-1"/>
        </w:rPr>
        <w:t>and</w:t>
      </w:r>
      <w:r w:rsidRPr="0031675F">
        <w:rPr>
          <w:spacing w:val="9"/>
        </w:rPr>
        <w:t xml:space="preserve"> </w:t>
      </w:r>
      <w:r w:rsidRPr="0031675F">
        <w:rPr>
          <w:spacing w:val="-1"/>
        </w:rPr>
        <w:t>Luebbe</w:t>
      </w:r>
      <w:r w:rsidRPr="0031675F">
        <w:rPr>
          <w:spacing w:val="73"/>
        </w:rPr>
        <w:t xml:space="preserve"> </w:t>
      </w:r>
      <w:r w:rsidRPr="0031675F">
        <w:rPr>
          <w:spacing w:val="-1"/>
        </w:rPr>
        <w:t xml:space="preserve">from </w:t>
      </w:r>
      <w:r w:rsidRPr="0031675F">
        <w:t xml:space="preserve">the US </w:t>
      </w:r>
      <w:r w:rsidRPr="0031675F">
        <w:rPr>
          <w:spacing w:val="-1"/>
        </w:rPr>
        <w:t>Environmental</w:t>
      </w:r>
      <w:r w:rsidRPr="0031675F">
        <w:rPr>
          <w:spacing w:val="-3"/>
        </w:rPr>
        <w:t xml:space="preserve"> </w:t>
      </w:r>
      <w:r w:rsidRPr="0031675F">
        <w:rPr>
          <w:spacing w:val="-1"/>
        </w:rPr>
        <w:t>Protection Agency</w:t>
      </w:r>
      <w:r w:rsidRPr="0031675F">
        <w:t xml:space="preserve"> </w:t>
      </w:r>
      <w:r w:rsidRPr="0031675F">
        <w:rPr>
          <w:spacing w:val="-1"/>
        </w:rPr>
        <w:t xml:space="preserve">(Bran </w:t>
      </w:r>
      <w:r w:rsidRPr="0031675F">
        <w:t>&amp;</w:t>
      </w:r>
      <w:r w:rsidRPr="0031675F">
        <w:rPr>
          <w:spacing w:val="-2"/>
        </w:rPr>
        <w:t xml:space="preserve"> </w:t>
      </w:r>
      <w:r w:rsidRPr="0031675F">
        <w:rPr>
          <w:spacing w:val="-1"/>
        </w:rPr>
        <w:t>Luebbe</w:t>
      </w:r>
      <w:r w:rsidRPr="0031675F">
        <w:t xml:space="preserve"> </w:t>
      </w:r>
      <w:r w:rsidRPr="0031675F">
        <w:rPr>
          <w:spacing w:val="-1"/>
        </w:rPr>
        <w:t>1997).</w:t>
      </w:r>
      <w:r w:rsidRPr="0031675F">
        <w:t xml:space="preserve"> Given </w:t>
      </w:r>
      <w:r w:rsidRPr="0031675F">
        <w:rPr>
          <w:spacing w:val="-1"/>
        </w:rPr>
        <w:t>the</w:t>
      </w:r>
      <w:r w:rsidRPr="0031675F">
        <w:t xml:space="preserve"> </w:t>
      </w:r>
      <w:r w:rsidRPr="0031675F">
        <w:rPr>
          <w:spacing w:val="-1"/>
        </w:rPr>
        <w:t>variability</w:t>
      </w:r>
      <w:r w:rsidRPr="0031675F">
        <w:t xml:space="preserve"> </w:t>
      </w:r>
      <w:r w:rsidRPr="0031675F">
        <w:rPr>
          <w:spacing w:val="-1"/>
        </w:rPr>
        <w:t>inherent</w:t>
      </w:r>
      <w:r w:rsidRPr="0031675F">
        <w:t xml:space="preserve"> in</w:t>
      </w:r>
      <w:r w:rsidRPr="0031675F">
        <w:rPr>
          <w:spacing w:val="81"/>
        </w:rPr>
        <w:t xml:space="preserve"> </w:t>
      </w:r>
      <w:r w:rsidRPr="0031675F">
        <w:rPr>
          <w:spacing w:val="-1"/>
        </w:rPr>
        <w:t>environmental</w:t>
      </w:r>
      <w:r w:rsidRPr="0031675F">
        <w:rPr>
          <w:spacing w:val="22"/>
        </w:rPr>
        <w:t xml:space="preserve"> </w:t>
      </w:r>
      <w:r w:rsidRPr="0031675F">
        <w:rPr>
          <w:spacing w:val="-1"/>
        </w:rPr>
        <w:t>samples</w:t>
      </w:r>
      <w:r w:rsidRPr="0031675F">
        <w:rPr>
          <w:spacing w:val="22"/>
        </w:rPr>
        <w:t xml:space="preserve"> </w:t>
      </w:r>
      <w:r w:rsidRPr="0031675F">
        <w:rPr>
          <w:spacing w:val="-2"/>
        </w:rPr>
        <w:t>and</w:t>
      </w:r>
      <w:r w:rsidRPr="0031675F">
        <w:rPr>
          <w:spacing w:val="21"/>
        </w:rPr>
        <w:t xml:space="preserve"> </w:t>
      </w:r>
      <w:r w:rsidRPr="0031675F">
        <w:t>that</w:t>
      </w:r>
      <w:r w:rsidRPr="0031675F">
        <w:rPr>
          <w:spacing w:val="21"/>
        </w:rPr>
        <w:t xml:space="preserve"> </w:t>
      </w:r>
      <w:r w:rsidRPr="0031675F">
        <w:rPr>
          <w:spacing w:val="-1"/>
        </w:rPr>
        <w:t>conditions</w:t>
      </w:r>
      <w:r w:rsidRPr="0031675F">
        <w:rPr>
          <w:spacing w:val="22"/>
        </w:rPr>
        <w:t xml:space="preserve"> </w:t>
      </w:r>
      <w:r w:rsidRPr="0031675F">
        <w:rPr>
          <w:spacing w:val="-1"/>
        </w:rPr>
        <w:t>for</w:t>
      </w:r>
      <w:r w:rsidRPr="0031675F">
        <w:rPr>
          <w:spacing w:val="19"/>
        </w:rPr>
        <w:t xml:space="preserve"> </w:t>
      </w:r>
      <w:r w:rsidRPr="0031675F">
        <w:t>each</w:t>
      </w:r>
      <w:r w:rsidRPr="0031675F">
        <w:rPr>
          <w:spacing w:val="19"/>
        </w:rPr>
        <w:t xml:space="preserve"> </w:t>
      </w:r>
      <w:r w:rsidRPr="0031675F">
        <w:rPr>
          <w:spacing w:val="-1"/>
        </w:rPr>
        <w:t>automated</w:t>
      </w:r>
      <w:r w:rsidRPr="0031675F">
        <w:rPr>
          <w:spacing w:val="21"/>
        </w:rPr>
        <w:t xml:space="preserve"> </w:t>
      </w:r>
      <w:r w:rsidRPr="0031675F">
        <w:rPr>
          <w:spacing w:val="-1"/>
        </w:rPr>
        <w:t>run</w:t>
      </w:r>
      <w:r w:rsidRPr="0031675F">
        <w:rPr>
          <w:spacing w:val="21"/>
        </w:rPr>
        <w:t xml:space="preserve"> </w:t>
      </w:r>
      <w:r w:rsidRPr="0031675F">
        <w:t>are</w:t>
      </w:r>
      <w:r w:rsidRPr="0031675F">
        <w:rPr>
          <w:spacing w:val="22"/>
        </w:rPr>
        <w:t xml:space="preserve"> </w:t>
      </w:r>
      <w:r w:rsidRPr="0031675F">
        <w:rPr>
          <w:spacing w:val="-1"/>
        </w:rPr>
        <w:t>never</w:t>
      </w:r>
      <w:r w:rsidRPr="0031675F">
        <w:rPr>
          <w:spacing w:val="19"/>
        </w:rPr>
        <w:t xml:space="preserve"> </w:t>
      </w:r>
      <w:r w:rsidRPr="0030095E">
        <w:rPr>
          <w:spacing w:val="-1"/>
        </w:rPr>
        <w:t>absolutely</w:t>
      </w:r>
      <w:r w:rsidRPr="0030095E">
        <w:rPr>
          <w:spacing w:val="22"/>
        </w:rPr>
        <w:t xml:space="preserve"> </w:t>
      </w:r>
      <w:r w:rsidRPr="0030095E">
        <w:rPr>
          <w:spacing w:val="-1"/>
        </w:rPr>
        <w:t>identical,</w:t>
      </w:r>
      <w:r w:rsidRPr="0030095E">
        <w:rPr>
          <w:spacing w:val="85"/>
        </w:rPr>
        <w:t xml:space="preserve"> </w:t>
      </w:r>
      <w:r w:rsidRPr="0030095E">
        <w:rPr>
          <w:spacing w:val="-1"/>
        </w:rPr>
        <w:t>detection</w:t>
      </w:r>
      <w:r w:rsidRPr="0030095E">
        <w:t xml:space="preserve"> </w:t>
      </w:r>
      <w:r w:rsidRPr="0030095E">
        <w:rPr>
          <w:spacing w:val="-1"/>
        </w:rPr>
        <w:t>limits are</w:t>
      </w:r>
      <w:r w:rsidRPr="0030095E">
        <w:t xml:space="preserve"> </w:t>
      </w:r>
      <w:r w:rsidRPr="0030095E">
        <w:rPr>
          <w:spacing w:val="-1"/>
        </w:rPr>
        <w:t xml:space="preserve">calculated </w:t>
      </w:r>
      <w:r w:rsidRPr="0030095E">
        <w:t>for</w:t>
      </w:r>
      <w:r w:rsidRPr="0030095E">
        <w:rPr>
          <w:spacing w:val="-3"/>
        </w:rPr>
        <w:t xml:space="preserve"> </w:t>
      </w:r>
      <w:r w:rsidRPr="0030095E">
        <w:t>each</w:t>
      </w:r>
      <w:r w:rsidRPr="0030095E">
        <w:rPr>
          <w:spacing w:val="-1"/>
        </w:rPr>
        <w:t xml:space="preserve"> run.</w:t>
      </w:r>
      <w:r w:rsidRPr="0030095E">
        <w:rPr>
          <w:spacing w:val="-3"/>
        </w:rPr>
        <w:t xml:space="preserve"> </w:t>
      </w:r>
      <w:r w:rsidRPr="0030095E">
        <w:rPr>
          <w:spacing w:val="-1"/>
        </w:rPr>
        <w:t>Detection</w:t>
      </w:r>
      <w:r w:rsidRPr="0030095E">
        <w:rPr>
          <w:spacing w:val="-3"/>
        </w:rPr>
        <w:t xml:space="preserve"> </w:t>
      </w:r>
      <w:r w:rsidRPr="0030095E">
        <w:t>limits</w:t>
      </w:r>
      <w:r w:rsidRPr="0030095E">
        <w:rPr>
          <w:spacing w:val="-2"/>
        </w:rPr>
        <w:t xml:space="preserve"> </w:t>
      </w:r>
      <w:r w:rsidRPr="0030095E">
        <w:t xml:space="preserve">are </w:t>
      </w:r>
      <w:r w:rsidRPr="0030095E">
        <w:rPr>
          <w:spacing w:val="-1"/>
        </w:rPr>
        <w:t>statistically</w:t>
      </w:r>
      <w:r w:rsidRPr="0030095E">
        <w:t xml:space="preserve"> </w:t>
      </w:r>
      <w:r w:rsidRPr="0030095E">
        <w:rPr>
          <w:spacing w:val="-2"/>
        </w:rPr>
        <w:t>derived</w:t>
      </w:r>
      <w:r w:rsidRPr="0030095E">
        <w:t xml:space="preserve"> </w:t>
      </w:r>
      <w:r w:rsidRPr="0030095E">
        <w:rPr>
          <w:spacing w:val="-1"/>
        </w:rPr>
        <w:t>from multiples</w:t>
      </w:r>
      <w:r w:rsidRPr="0030095E">
        <w:rPr>
          <w:spacing w:val="-2"/>
        </w:rPr>
        <w:t xml:space="preserve"> </w:t>
      </w:r>
      <w:r w:rsidRPr="0030095E">
        <w:t>of</w:t>
      </w:r>
      <w:r w:rsidRPr="0030095E">
        <w:rPr>
          <w:spacing w:val="85"/>
        </w:rPr>
        <w:t xml:space="preserve"> </w:t>
      </w:r>
      <w:r w:rsidRPr="0030095E">
        <w:t>the</w:t>
      </w:r>
      <w:r w:rsidRPr="0030095E">
        <w:rPr>
          <w:spacing w:val="28"/>
        </w:rPr>
        <w:t xml:space="preserve"> </w:t>
      </w:r>
      <w:r w:rsidRPr="0030095E">
        <w:rPr>
          <w:spacing w:val="-1"/>
        </w:rPr>
        <w:t>standard</w:t>
      </w:r>
      <w:r w:rsidRPr="0030095E">
        <w:rPr>
          <w:spacing w:val="28"/>
        </w:rPr>
        <w:t xml:space="preserve"> </w:t>
      </w:r>
      <w:r w:rsidRPr="0030095E">
        <w:rPr>
          <w:spacing w:val="-1"/>
        </w:rPr>
        <w:t>deviation</w:t>
      </w:r>
      <w:r w:rsidRPr="0030095E">
        <w:rPr>
          <w:spacing w:val="28"/>
        </w:rPr>
        <w:t xml:space="preserve"> </w:t>
      </w:r>
      <w:r w:rsidRPr="0030095E">
        <w:rPr>
          <w:spacing w:val="-1"/>
        </w:rPr>
        <w:t>of</w:t>
      </w:r>
      <w:r w:rsidRPr="0030095E">
        <w:rPr>
          <w:spacing w:val="25"/>
        </w:rPr>
        <w:t xml:space="preserve"> </w:t>
      </w:r>
      <w:r w:rsidRPr="0030095E">
        <w:t>the</w:t>
      </w:r>
      <w:r w:rsidRPr="0030095E">
        <w:rPr>
          <w:spacing w:val="29"/>
        </w:rPr>
        <w:t xml:space="preserve"> </w:t>
      </w:r>
      <w:r w:rsidRPr="0030095E">
        <w:rPr>
          <w:spacing w:val="-1"/>
        </w:rPr>
        <w:t>baseline</w:t>
      </w:r>
      <w:r w:rsidRPr="0030095E">
        <w:rPr>
          <w:spacing w:val="27"/>
        </w:rPr>
        <w:t xml:space="preserve"> </w:t>
      </w:r>
      <w:r w:rsidRPr="0030095E">
        <w:rPr>
          <w:spacing w:val="-1"/>
        </w:rPr>
        <w:t>readings.</w:t>
      </w:r>
      <w:r w:rsidRPr="0030095E">
        <w:rPr>
          <w:spacing w:val="30"/>
        </w:rPr>
        <w:t xml:space="preserve"> </w:t>
      </w:r>
      <w:r w:rsidRPr="0030095E">
        <w:rPr>
          <w:spacing w:val="-1"/>
        </w:rPr>
        <w:t>Increased</w:t>
      </w:r>
      <w:r w:rsidRPr="0030095E">
        <w:rPr>
          <w:spacing w:val="27"/>
        </w:rPr>
        <w:t xml:space="preserve"> </w:t>
      </w:r>
      <w:r w:rsidRPr="0030095E">
        <w:rPr>
          <w:spacing w:val="-1"/>
        </w:rPr>
        <w:t>gain</w:t>
      </w:r>
      <w:r w:rsidRPr="0030095E">
        <w:rPr>
          <w:spacing w:val="28"/>
        </w:rPr>
        <w:t xml:space="preserve"> </w:t>
      </w:r>
      <w:r w:rsidRPr="0030095E">
        <w:rPr>
          <w:spacing w:val="-1"/>
        </w:rPr>
        <w:t>with</w:t>
      </w:r>
      <w:r w:rsidRPr="0030095E">
        <w:rPr>
          <w:spacing w:val="29"/>
        </w:rPr>
        <w:t xml:space="preserve"> </w:t>
      </w:r>
      <w:r w:rsidRPr="0030095E">
        <w:rPr>
          <w:spacing w:val="-1"/>
        </w:rPr>
        <w:t>acceptable</w:t>
      </w:r>
      <w:r w:rsidRPr="0030095E">
        <w:rPr>
          <w:spacing w:val="29"/>
        </w:rPr>
        <w:t xml:space="preserve"> </w:t>
      </w:r>
      <w:r w:rsidRPr="0030095E">
        <w:rPr>
          <w:spacing w:val="-1"/>
        </w:rPr>
        <w:t>baseline</w:t>
      </w:r>
      <w:r w:rsidRPr="0030095E">
        <w:rPr>
          <w:spacing w:val="30"/>
        </w:rPr>
        <w:t xml:space="preserve"> </w:t>
      </w:r>
      <w:r w:rsidRPr="0030095E">
        <w:rPr>
          <w:spacing w:val="-1"/>
        </w:rPr>
        <w:t>noise</w:t>
      </w:r>
      <w:r w:rsidRPr="0030095E">
        <w:rPr>
          <w:spacing w:val="27"/>
        </w:rPr>
        <w:t xml:space="preserve"> </w:t>
      </w:r>
      <w:r w:rsidRPr="0030095E">
        <w:rPr>
          <w:spacing w:val="-1"/>
        </w:rPr>
        <w:t>(at</w:t>
      </w:r>
      <w:r w:rsidRPr="0030095E">
        <w:rPr>
          <w:spacing w:val="68"/>
        </w:rPr>
        <w:t xml:space="preserve"> </w:t>
      </w:r>
      <w:r w:rsidRPr="0030095E">
        <w:rPr>
          <w:spacing w:val="-1"/>
        </w:rPr>
        <w:t>lower</w:t>
      </w:r>
      <w:r w:rsidRPr="0030095E">
        <w:rPr>
          <w:spacing w:val="11"/>
        </w:rPr>
        <w:t xml:space="preserve"> </w:t>
      </w:r>
      <w:r w:rsidRPr="0030095E">
        <w:rPr>
          <w:spacing w:val="-1"/>
        </w:rPr>
        <w:t>concentration</w:t>
      </w:r>
      <w:r w:rsidRPr="0030095E">
        <w:rPr>
          <w:spacing w:val="11"/>
        </w:rPr>
        <w:t xml:space="preserve"> </w:t>
      </w:r>
      <w:r w:rsidRPr="0030095E">
        <w:rPr>
          <w:spacing w:val="-1"/>
        </w:rPr>
        <w:t>ranges)</w:t>
      </w:r>
      <w:r w:rsidRPr="0030095E">
        <w:rPr>
          <w:spacing w:val="12"/>
        </w:rPr>
        <w:t xml:space="preserve"> </w:t>
      </w:r>
      <w:r w:rsidRPr="0030095E">
        <w:rPr>
          <w:spacing w:val="-1"/>
        </w:rPr>
        <w:t>yielded</w:t>
      </w:r>
      <w:r w:rsidRPr="0030095E">
        <w:rPr>
          <w:spacing w:val="11"/>
        </w:rPr>
        <w:t xml:space="preserve"> </w:t>
      </w:r>
      <w:r w:rsidRPr="0030095E">
        <w:rPr>
          <w:spacing w:val="-1"/>
        </w:rPr>
        <w:t>detection</w:t>
      </w:r>
      <w:r w:rsidRPr="0030095E">
        <w:rPr>
          <w:spacing w:val="11"/>
        </w:rPr>
        <w:t xml:space="preserve"> </w:t>
      </w:r>
      <w:r w:rsidRPr="0030095E">
        <w:rPr>
          <w:spacing w:val="-1"/>
        </w:rPr>
        <w:t>limits</w:t>
      </w:r>
      <w:r w:rsidRPr="0030095E">
        <w:rPr>
          <w:spacing w:val="13"/>
        </w:rPr>
        <w:t xml:space="preserve"> </w:t>
      </w:r>
      <w:r w:rsidRPr="0030095E">
        <w:t>of:</w:t>
      </w:r>
      <w:r w:rsidRPr="0030095E">
        <w:rPr>
          <w:spacing w:val="10"/>
        </w:rPr>
        <w:t xml:space="preserve"> </w:t>
      </w:r>
      <w:r w:rsidRPr="0030095E">
        <w:rPr>
          <w:spacing w:val="-1"/>
        </w:rPr>
        <w:t>0.02 µmol</w:t>
      </w:r>
      <w:r w:rsidR="00E817CB" w:rsidRPr="00E817CB">
        <w:t xml:space="preserve"> L</w:t>
      </w:r>
      <w:r w:rsidR="00E817CB" w:rsidRPr="00E817CB">
        <w:rPr>
          <w:vertAlign w:val="superscript"/>
        </w:rPr>
        <w:t>-1</w:t>
      </w:r>
      <w:r w:rsidRPr="0030095E">
        <w:rPr>
          <w:spacing w:val="13"/>
        </w:rPr>
        <w:t xml:space="preserve"> </w:t>
      </w:r>
      <w:r w:rsidRPr="0030095E">
        <w:rPr>
          <w:spacing w:val="-1"/>
        </w:rPr>
        <w:t>NH</w:t>
      </w:r>
      <w:r w:rsidR="0030095E" w:rsidRPr="0030095E">
        <w:rPr>
          <w:spacing w:val="-1"/>
          <w:position w:val="-2"/>
          <w:vertAlign w:val="subscript"/>
        </w:rPr>
        <w:t>3</w:t>
      </w:r>
      <w:r w:rsidRPr="0030095E">
        <w:rPr>
          <w:spacing w:val="29"/>
          <w:position w:val="-2"/>
        </w:rPr>
        <w:t xml:space="preserve"> </w:t>
      </w:r>
      <w:r w:rsidRPr="0030095E">
        <w:rPr>
          <w:spacing w:val="-1"/>
        </w:rPr>
        <w:t>(0-4 µmol</w:t>
      </w:r>
      <w:r w:rsidR="00E817CB" w:rsidRPr="00E817CB">
        <w:t xml:space="preserve"> L</w:t>
      </w:r>
      <w:r w:rsidR="00E817CB" w:rsidRPr="00E817CB">
        <w:rPr>
          <w:vertAlign w:val="superscript"/>
        </w:rPr>
        <w:t>-1</w:t>
      </w:r>
      <w:r w:rsidRPr="0030095E">
        <w:rPr>
          <w:spacing w:val="-1"/>
        </w:rPr>
        <w:t>),</w:t>
      </w:r>
      <w:r w:rsidRPr="0030095E">
        <w:rPr>
          <w:spacing w:val="10"/>
        </w:rPr>
        <w:t xml:space="preserve"> </w:t>
      </w:r>
      <w:r w:rsidRPr="0030095E">
        <w:rPr>
          <w:spacing w:val="-1"/>
        </w:rPr>
        <w:t>0.01 µmol</w:t>
      </w:r>
      <w:r w:rsidR="00E817CB" w:rsidRPr="00E817CB">
        <w:t xml:space="preserve"> L</w:t>
      </w:r>
      <w:r w:rsidR="00E817CB" w:rsidRPr="00E817CB">
        <w:rPr>
          <w:vertAlign w:val="superscript"/>
        </w:rPr>
        <w:t>-1</w:t>
      </w:r>
      <w:r w:rsidRPr="0030095E">
        <w:rPr>
          <w:spacing w:val="10"/>
        </w:rPr>
        <w:t xml:space="preserve"> </w:t>
      </w:r>
      <w:r w:rsidRPr="0030095E">
        <w:t>PO</w:t>
      </w:r>
      <w:r w:rsidRPr="0030095E">
        <w:rPr>
          <w:position w:val="-2"/>
          <w:vertAlign w:val="subscript"/>
        </w:rPr>
        <w:t>4</w:t>
      </w:r>
      <w:r w:rsidRPr="0030095E">
        <w:rPr>
          <w:spacing w:val="30"/>
          <w:position w:val="-2"/>
        </w:rPr>
        <w:t xml:space="preserve"> </w:t>
      </w:r>
      <w:r w:rsidRPr="0030095E">
        <w:rPr>
          <w:spacing w:val="-1"/>
        </w:rPr>
        <w:t>(0-2 µmol</w:t>
      </w:r>
      <w:r w:rsidR="00E817CB" w:rsidRPr="00E817CB">
        <w:t xml:space="preserve"> L</w:t>
      </w:r>
      <w:r w:rsidR="00E817CB" w:rsidRPr="00E817CB">
        <w:rPr>
          <w:vertAlign w:val="superscript"/>
        </w:rPr>
        <w:t>-1</w:t>
      </w:r>
      <w:r w:rsidRPr="0030095E">
        <w:rPr>
          <w:spacing w:val="-1"/>
        </w:rPr>
        <w:t>),</w:t>
      </w:r>
      <w:r w:rsidRPr="0030095E">
        <w:rPr>
          <w:spacing w:val="66"/>
        </w:rPr>
        <w:t xml:space="preserve"> </w:t>
      </w:r>
      <w:r w:rsidRPr="0030095E">
        <w:rPr>
          <w:spacing w:val="-1"/>
        </w:rPr>
        <w:t>0.03 µmol</w:t>
      </w:r>
      <w:r w:rsidR="00E817CB" w:rsidRPr="00E817CB">
        <w:t xml:space="preserve"> L</w:t>
      </w:r>
      <w:r w:rsidR="00E817CB" w:rsidRPr="00E817CB">
        <w:rPr>
          <w:vertAlign w:val="superscript"/>
        </w:rPr>
        <w:t>-1</w:t>
      </w:r>
      <w:r w:rsidRPr="0030095E">
        <w:rPr>
          <w:spacing w:val="-1"/>
        </w:rPr>
        <w:t xml:space="preserve"> NO</w:t>
      </w:r>
      <w:r w:rsidRPr="0030095E">
        <w:rPr>
          <w:spacing w:val="-1"/>
          <w:position w:val="-2"/>
          <w:vertAlign w:val="subscript"/>
        </w:rPr>
        <w:t>2</w:t>
      </w:r>
      <w:r w:rsidRPr="0030095E">
        <w:rPr>
          <w:spacing w:val="-1"/>
        </w:rPr>
        <w:t>+NO</w:t>
      </w:r>
      <w:r w:rsidRPr="0030095E">
        <w:rPr>
          <w:spacing w:val="-1"/>
          <w:position w:val="-2"/>
          <w:vertAlign w:val="subscript"/>
        </w:rPr>
        <w:t>3</w:t>
      </w:r>
      <w:r w:rsidRPr="0030095E">
        <w:rPr>
          <w:spacing w:val="18"/>
          <w:position w:val="-2"/>
        </w:rPr>
        <w:t xml:space="preserve"> </w:t>
      </w:r>
      <w:r w:rsidRPr="0030095E">
        <w:rPr>
          <w:spacing w:val="-1"/>
        </w:rPr>
        <w:t>(0-4 µmol</w:t>
      </w:r>
      <w:r w:rsidR="00E817CB" w:rsidRPr="00E817CB">
        <w:t xml:space="preserve"> L</w:t>
      </w:r>
      <w:r w:rsidR="00E817CB" w:rsidRPr="00E817CB">
        <w:rPr>
          <w:vertAlign w:val="superscript"/>
        </w:rPr>
        <w:t>-1</w:t>
      </w:r>
      <w:r w:rsidRPr="0030095E">
        <w:rPr>
          <w:spacing w:val="-1"/>
        </w:rPr>
        <w:t>),</w:t>
      </w:r>
      <w:r w:rsidRPr="0030095E">
        <w:rPr>
          <w:spacing w:val="-3"/>
        </w:rPr>
        <w:t xml:space="preserve"> </w:t>
      </w:r>
      <w:r w:rsidRPr="0030095E">
        <w:rPr>
          <w:spacing w:val="-1"/>
        </w:rPr>
        <w:t>0.01 µmol</w:t>
      </w:r>
      <w:r w:rsidR="00E817CB" w:rsidRPr="00E817CB">
        <w:t xml:space="preserve"> L</w:t>
      </w:r>
      <w:r w:rsidR="00E817CB" w:rsidRPr="00E817CB">
        <w:rPr>
          <w:vertAlign w:val="superscript"/>
        </w:rPr>
        <w:t>-1</w:t>
      </w:r>
      <w:r w:rsidRPr="0030095E">
        <w:t xml:space="preserve"> NO</w:t>
      </w:r>
      <w:r w:rsidRPr="0030095E">
        <w:rPr>
          <w:position w:val="-2"/>
          <w:vertAlign w:val="subscript"/>
        </w:rPr>
        <w:t>2</w:t>
      </w:r>
      <w:r w:rsidRPr="0030095E">
        <w:rPr>
          <w:spacing w:val="17"/>
          <w:position w:val="-2"/>
        </w:rPr>
        <w:t xml:space="preserve"> </w:t>
      </w:r>
      <w:r w:rsidRPr="0030095E">
        <w:rPr>
          <w:spacing w:val="-2"/>
        </w:rPr>
        <w:t>(0-2</w:t>
      </w:r>
      <w:r w:rsidRPr="0030095E">
        <w:rPr>
          <w:spacing w:val="-1"/>
        </w:rPr>
        <w:t xml:space="preserve"> µmol</w:t>
      </w:r>
      <w:r w:rsidR="00E817CB" w:rsidRPr="00E817CB">
        <w:t xml:space="preserve"> L</w:t>
      </w:r>
      <w:r w:rsidR="00E817CB" w:rsidRPr="00E817CB">
        <w:rPr>
          <w:vertAlign w:val="superscript"/>
        </w:rPr>
        <w:t>-1</w:t>
      </w:r>
      <w:r w:rsidRPr="0030095E">
        <w:rPr>
          <w:spacing w:val="-2"/>
        </w:rPr>
        <w:t xml:space="preserve">), </w:t>
      </w:r>
      <w:r w:rsidRPr="0030095E">
        <w:rPr>
          <w:spacing w:val="-1"/>
        </w:rPr>
        <w:t>0.10 µmol</w:t>
      </w:r>
      <w:r w:rsidR="00E817CB" w:rsidRPr="00E817CB">
        <w:t xml:space="preserve"> L</w:t>
      </w:r>
      <w:r w:rsidR="00E817CB" w:rsidRPr="00E817CB">
        <w:rPr>
          <w:vertAlign w:val="superscript"/>
        </w:rPr>
        <w:t>-1</w:t>
      </w:r>
      <w:r w:rsidRPr="0030095E">
        <w:t xml:space="preserve"> </w:t>
      </w:r>
      <w:r w:rsidRPr="0030095E">
        <w:rPr>
          <w:spacing w:val="-1"/>
        </w:rPr>
        <w:t>Si</w:t>
      </w:r>
      <w:r w:rsidRPr="0030095E">
        <w:rPr>
          <w:spacing w:val="-3"/>
        </w:rPr>
        <w:t xml:space="preserve"> </w:t>
      </w:r>
      <w:r w:rsidRPr="0030095E">
        <w:rPr>
          <w:spacing w:val="-1"/>
        </w:rPr>
        <w:t>(0-20 µmol</w:t>
      </w:r>
      <w:r w:rsidR="00E817CB" w:rsidRPr="00E817CB">
        <w:t xml:space="preserve"> L</w:t>
      </w:r>
      <w:r w:rsidR="00E817CB" w:rsidRPr="00E817CB">
        <w:rPr>
          <w:vertAlign w:val="superscript"/>
        </w:rPr>
        <w:t>-1</w:t>
      </w:r>
      <w:r w:rsidRPr="0030095E">
        <w:rPr>
          <w:spacing w:val="-1"/>
        </w:rPr>
        <w:t>).</w:t>
      </w:r>
    </w:p>
    <w:p w14:paraId="5B08C06D" w14:textId="77777777" w:rsidR="0031675F" w:rsidRPr="0031675F" w:rsidRDefault="0031675F" w:rsidP="0057756F">
      <w:pPr>
        <w:rPr>
          <w:rFonts w:cs="Calibri"/>
        </w:rPr>
      </w:pPr>
    </w:p>
    <w:p w14:paraId="79CAEB8A" w14:textId="77777777" w:rsidR="0031675F" w:rsidRPr="0031675F" w:rsidRDefault="0031675F" w:rsidP="0031675F">
      <w:pPr>
        <w:widowControl w:val="0"/>
        <w:numPr>
          <w:ilvl w:val="1"/>
          <w:numId w:val="128"/>
        </w:numPr>
        <w:tabs>
          <w:tab w:val="left" w:pos="686"/>
        </w:tabs>
        <w:spacing w:before="0" w:after="0" w:line="240" w:lineRule="auto"/>
        <w:ind w:left="685"/>
        <w:jc w:val="both"/>
        <w:rPr>
          <w:rFonts w:eastAsia="Arial" w:cs="Arial"/>
          <w:sz w:val="24"/>
          <w:szCs w:val="24"/>
        </w:rPr>
      </w:pPr>
      <w:bookmarkStart w:id="603" w:name="_TOC_250077"/>
      <w:r w:rsidRPr="0031675F">
        <w:rPr>
          <w:b/>
          <w:sz w:val="24"/>
        </w:rPr>
        <w:t xml:space="preserve">Data </w:t>
      </w:r>
      <w:r w:rsidRPr="0031675F">
        <w:rPr>
          <w:b/>
          <w:spacing w:val="-1"/>
          <w:sz w:val="24"/>
        </w:rPr>
        <w:t>management</w:t>
      </w:r>
      <w:bookmarkEnd w:id="603"/>
    </w:p>
    <w:p w14:paraId="3732B9A6" w14:textId="77777777" w:rsidR="0031675F" w:rsidRPr="0057756F" w:rsidRDefault="0031675F" w:rsidP="0057756F">
      <w:pPr>
        <w:rPr>
          <w:rFonts w:cs="Arial"/>
        </w:rPr>
      </w:pPr>
      <w:r w:rsidRPr="0057756F">
        <w:rPr>
          <w:rFonts w:cs="Arial"/>
          <w:spacing w:val="-1"/>
        </w:rPr>
        <w:t>Unique</w:t>
      </w:r>
      <w:r w:rsidRPr="0057756F">
        <w:rPr>
          <w:rFonts w:cs="Arial"/>
          <w:spacing w:val="11"/>
        </w:rPr>
        <w:t xml:space="preserve"> </w:t>
      </w:r>
      <w:r w:rsidRPr="0057756F">
        <w:rPr>
          <w:rFonts w:cs="Arial"/>
          <w:spacing w:val="-1"/>
        </w:rPr>
        <w:t>sample</w:t>
      </w:r>
      <w:r w:rsidRPr="0057756F">
        <w:rPr>
          <w:rFonts w:cs="Arial"/>
          <w:spacing w:val="8"/>
        </w:rPr>
        <w:t xml:space="preserve"> </w:t>
      </w:r>
      <w:r w:rsidRPr="0057756F">
        <w:rPr>
          <w:rFonts w:cs="Arial"/>
          <w:spacing w:val="-1"/>
        </w:rPr>
        <w:t>identifiers</w:t>
      </w:r>
      <w:r w:rsidRPr="0057756F">
        <w:rPr>
          <w:rFonts w:cs="Arial"/>
          <w:spacing w:val="8"/>
        </w:rPr>
        <w:t xml:space="preserve"> </w:t>
      </w:r>
      <w:r w:rsidRPr="0057756F">
        <w:rPr>
          <w:rFonts w:cs="Arial"/>
          <w:spacing w:val="-1"/>
        </w:rPr>
        <w:t>for</w:t>
      </w:r>
      <w:r w:rsidRPr="0057756F">
        <w:rPr>
          <w:rFonts w:cs="Arial"/>
          <w:spacing w:val="10"/>
        </w:rPr>
        <w:t xml:space="preserve"> </w:t>
      </w:r>
      <w:r w:rsidRPr="0057756F">
        <w:rPr>
          <w:rFonts w:cs="Arial"/>
        </w:rPr>
        <w:t>all</w:t>
      </w:r>
      <w:r w:rsidRPr="0057756F">
        <w:rPr>
          <w:rFonts w:cs="Arial"/>
          <w:spacing w:val="7"/>
        </w:rPr>
        <w:t xml:space="preserve"> </w:t>
      </w:r>
      <w:r w:rsidRPr="0057756F">
        <w:rPr>
          <w:rFonts w:cs="Arial"/>
          <w:spacing w:val="-1"/>
        </w:rPr>
        <w:t>samples</w:t>
      </w:r>
      <w:r w:rsidRPr="0057756F">
        <w:rPr>
          <w:rFonts w:cs="Arial"/>
          <w:spacing w:val="10"/>
        </w:rPr>
        <w:t xml:space="preserve"> </w:t>
      </w:r>
      <w:r w:rsidRPr="0057756F">
        <w:rPr>
          <w:rFonts w:cs="Arial"/>
          <w:spacing w:val="-1"/>
        </w:rPr>
        <w:t>are</w:t>
      </w:r>
      <w:r w:rsidRPr="0057756F">
        <w:rPr>
          <w:rFonts w:cs="Arial"/>
          <w:spacing w:val="11"/>
        </w:rPr>
        <w:t xml:space="preserve"> </w:t>
      </w:r>
      <w:r w:rsidRPr="0057756F">
        <w:rPr>
          <w:rFonts w:cs="Arial"/>
          <w:spacing w:val="-1"/>
        </w:rPr>
        <w:t>supplied</w:t>
      </w:r>
      <w:r w:rsidRPr="0057756F">
        <w:rPr>
          <w:rFonts w:cs="Arial"/>
          <w:spacing w:val="10"/>
        </w:rPr>
        <w:t xml:space="preserve"> </w:t>
      </w:r>
      <w:r w:rsidRPr="0057756F">
        <w:rPr>
          <w:rFonts w:cs="Arial"/>
          <w:spacing w:val="-1"/>
        </w:rPr>
        <w:t>by</w:t>
      </w:r>
      <w:r w:rsidRPr="0057756F">
        <w:rPr>
          <w:rFonts w:cs="Arial"/>
          <w:spacing w:val="11"/>
        </w:rPr>
        <w:t xml:space="preserve"> </w:t>
      </w:r>
      <w:r w:rsidRPr="0057756F">
        <w:rPr>
          <w:rFonts w:cs="Arial"/>
          <w:spacing w:val="-1"/>
        </w:rPr>
        <w:t>staff</w:t>
      </w:r>
      <w:r w:rsidRPr="0057756F">
        <w:rPr>
          <w:rFonts w:cs="Arial"/>
          <w:spacing w:val="8"/>
        </w:rPr>
        <w:t xml:space="preserve"> </w:t>
      </w:r>
      <w:r w:rsidRPr="0057756F">
        <w:rPr>
          <w:rFonts w:cs="Arial"/>
          <w:spacing w:val="-1"/>
        </w:rPr>
        <w:t>requesting</w:t>
      </w:r>
      <w:r w:rsidRPr="0057756F">
        <w:rPr>
          <w:rFonts w:cs="Arial"/>
          <w:spacing w:val="7"/>
        </w:rPr>
        <w:t xml:space="preserve"> </w:t>
      </w:r>
      <w:r w:rsidRPr="0057756F">
        <w:rPr>
          <w:rFonts w:cs="Arial"/>
          <w:spacing w:val="-1"/>
        </w:rPr>
        <w:t>analyses.</w:t>
      </w:r>
      <w:r w:rsidRPr="0057756F">
        <w:rPr>
          <w:rFonts w:cs="Arial"/>
          <w:spacing w:val="7"/>
        </w:rPr>
        <w:t xml:space="preserve"> </w:t>
      </w:r>
      <w:r w:rsidRPr="0057756F">
        <w:rPr>
          <w:rFonts w:cs="Arial"/>
          <w:spacing w:val="-1"/>
        </w:rPr>
        <w:t>These</w:t>
      </w:r>
      <w:r w:rsidRPr="0057756F">
        <w:rPr>
          <w:rFonts w:cs="Arial"/>
          <w:spacing w:val="9"/>
        </w:rPr>
        <w:t xml:space="preserve"> </w:t>
      </w:r>
      <w:r w:rsidRPr="0057756F">
        <w:rPr>
          <w:rFonts w:cs="Arial"/>
        </w:rPr>
        <w:t>are</w:t>
      </w:r>
      <w:r w:rsidRPr="0057756F">
        <w:rPr>
          <w:rFonts w:cs="Arial"/>
          <w:spacing w:val="59"/>
        </w:rPr>
        <w:t xml:space="preserve"> </w:t>
      </w:r>
      <w:r w:rsidRPr="0057756F">
        <w:rPr>
          <w:rFonts w:cs="Arial"/>
          <w:spacing w:val="-1"/>
        </w:rPr>
        <w:t>provided</w:t>
      </w:r>
      <w:r w:rsidRPr="0057756F">
        <w:rPr>
          <w:rFonts w:cs="Arial"/>
          <w:spacing w:val="22"/>
        </w:rPr>
        <w:t xml:space="preserve"> </w:t>
      </w:r>
      <w:r w:rsidRPr="0057756F">
        <w:rPr>
          <w:rFonts w:cs="Arial"/>
          <w:spacing w:val="-1"/>
        </w:rPr>
        <w:t>electronically</w:t>
      </w:r>
      <w:r w:rsidRPr="0057756F">
        <w:rPr>
          <w:rFonts w:cs="Arial"/>
          <w:spacing w:val="25"/>
        </w:rPr>
        <w:t xml:space="preserve"> </w:t>
      </w:r>
      <w:r w:rsidRPr="0057756F">
        <w:rPr>
          <w:rFonts w:cs="Arial"/>
        </w:rPr>
        <w:t>as</w:t>
      </w:r>
      <w:r w:rsidRPr="0057756F">
        <w:rPr>
          <w:rFonts w:cs="Arial"/>
          <w:spacing w:val="22"/>
        </w:rPr>
        <w:t xml:space="preserve"> </w:t>
      </w:r>
      <w:r w:rsidRPr="0057756F">
        <w:rPr>
          <w:rFonts w:cs="Arial"/>
        </w:rPr>
        <w:t>an</w:t>
      </w:r>
      <w:r w:rsidRPr="0057756F">
        <w:rPr>
          <w:rFonts w:cs="Arial"/>
          <w:spacing w:val="24"/>
        </w:rPr>
        <w:t xml:space="preserve"> </w:t>
      </w:r>
      <w:r w:rsidRPr="0057756F">
        <w:rPr>
          <w:rFonts w:cs="Arial"/>
        </w:rPr>
        <w:t>Excel</w:t>
      </w:r>
      <w:r w:rsidRPr="0057756F">
        <w:rPr>
          <w:rFonts w:cs="Arial"/>
          <w:spacing w:val="22"/>
        </w:rPr>
        <w:t xml:space="preserve"> </w:t>
      </w:r>
      <w:r w:rsidRPr="0057756F">
        <w:rPr>
          <w:rFonts w:cs="Arial"/>
          <w:spacing w:val="-1"/>
        </w:rPr>
        <w:t>spreadsheet</w:t>
      </w:r>
      <w:r w:rsidRPr="0057756F">
        <w:rPr>
          <w:rFonts w:cs="Arial"/>
          <w:spacing w:val="25"/>
        </w:rPr>
        <w:t xml:space="preserve"> </w:t>
      </w:r>
      <w:r w:rsidRPr="0057756F">
        <w:rPr>
          <w:rFonts w:cs="Arial"/>
          <w:spacing w:val="-1"/>
        </w:rPr>
        <w:t>linked</w:t>
      </w:r>
      <w:r w:rsidRPr="0057756F">
        <w:rPr>
          <w:rFonts w:cs="Arial"/>
          <w:spacing w:val="24"/>
        </w:rPr>
        <w:t xml:space="preserve"> </w:t>
      </w:r>
      <w:r w:rsidRPr="0057756F">
        <w:rPr>
          <w:rFonts w:cs="Arial"/>
        </w:rPr>
        <w:t>to</w:t>
      </w:r>
      <w:r w:rsidRPr="0057756F">
        <w:rPr>
          <w:rFonts w:cs="Arial"/>
          <w:spacing w:val="24"/>
        </w:rPr>
        <w:t xml:space="preserve"> </w:t>
      </w:r>
      <w:r w:rsidRPr="0057756F">
        <w:rPr>
          <w:rFonts w:cs="Arial"/>
        </w:rPr>
        <w:t>the</w:t>
      </w:r>
      <w:r w:rsidRPr="0057756F">
        <w:rPr>
          <w:rFonts w:cs="Arial"/>
          <w:spacing w:val="25"/>
        </w:rPr>
        <w:t xml:space="preserve"> </w:t>
      </w:r>
      <w:r w:rsidRPr="0057756F">
        <w:rPr>
          <w:rFonts w:cs="Arial"/>
          <w:spacing w:val="-1"/>
        </w:rPr>
        <w:t>request</w:t>
      </w:r>
      <w:r w:rsidRPr="0057756F">
        <w:rPr>
          <w:rFonts w:cs="Arial"/>
          <w:spacing w:val="25"/>
        </w:rPr>
        <w:t xml:space="preserve"> </w:t>
      </w:r>
      <w:r w:rsidRPr="0057756F">
        <w:rPr>
          <w:rFonts w:cs="Arial"/>
          <w:spacing w:val="-1"/>
        </w:rPr>
        <w:t>form.</w:t>
      </w:r>
      <w:r w:rsidRPr="0057756F">
        <w:rPr>
          <w:rFonts w:cs="Arial"/>
          <w:spacing w:val="24"/>
        </w:rPr>
        <w:t xml:space="preserve"> </w:t>
      </w:r>
      <w:r w:rsidRPr="0057756F">
        <w:rPr>
          <w:rFonts w:cs="Arial"/>
          <w:spacing w:val="-1"/>
        </w:rPr>
        <w:t>Sample</w:t>
      </w:r>
      <w:r w:rsidRPr="0057756F">
        <w:rPr>
          <w:rFonts w:cs="Arial"/>
          <w:spacing w:val="25"/>
        </w:rPr>
        <w:t xml:space="preserve"> </w:t>
      </w:r>
      <w:r w:rsidRPr="0057756F">
        <w:rPr>
          <w:rFonts w:cs="Arial"/>
          <w:spacing w:val="-1"/>
        </w:rPr>
        <w:t>ID’s</w:t>
      </w:r>
      <w:r w:rsidRPr="0057756F">
        <w:rPr>
          <w:rFonts w:cs="Arial"/>
          <w:spacing w:val="25"/>
        </w:rPr>
        <w:t xml:space="preserve"> </w:t>
      </w:r>
      <w:r w:rsidRPr="0057756F">
        <w:rPr>
          <w:rFonts w:cs="Arial"/>
        </w:rPr>
        <w:t>are</w:t>
      </w:r>
      <w:r w:rsidRPr="0057756F">
        <w:rPr>
          <w:rFonts w:cs="Arial"/>
          <w:spacing w:val="51"/>
        </w:rPr>
        <w:t xml:space="preserve"> </w:t>
      </w:r>
      <w:r w:rsidRPr="0057756F">
        <w:rPr>
          <w:rFonts w:cs="Arial"/>
          <w:spacing w:val="-1"/>
        </w:rPr>
        <w:t>transferred</w:t>
      </w:r>
      <w:r w:rsidRPr="0057756F">
        <w:rPr>
          <w:rFonts w:cs="Arial"/>
          <w:spacing w:val="28"/>
        </w:rPr>
        <w:t xml:space="preserve"> </w:t>
      </w:r>
      <w:r w:rsidRPr="0057756F">
        <w:rPr>
          <w:rFonts w:cs="Arial"/>
          <w:spacing w:val="-1"/>
        </w:rPr>
        <w:t>to</w:t>
      </w:r>
      <w:r w:rsidRPr="0057756F">
        <w:rPr>
          <w:rFonts w:cs="Arial"/>
          <w:spacing w:val="30"/>
        </w:rPr>
        <w:t xml:space="preserve"> </w:t>
      </w:r>
      <w:r w:rsidRPr="0057756F">
        <w:rPr>
          <w:rFonts w:cs="Arial"/>
          <w:spacing w:val="-1"/>
        </w:rPr>
        <w:t>Analytical</w:t>
      </w:r>
      <w:r w:rsidRPr="0057756F">
        <w:rPr>
          <w:rFonts w:cs="Arial"/>
          <w:spacing w:val="28"/>
        </w:rPr>
        <w:t xml:space="preserve"> </w:t>
      </w:r>
      <w:r w:rsidRPr="0057756F">
        <w:rPr>
          <w:rFonts w:cs="Arial"/>
          <w:spacing w:val="-1"/>
        </w:rPr>
        <w:t>Technology</w:t>
      </w:r>
      <w:r w:rsidRPr="0057756F">
        <w:rPr>
          <w:rFonts w:cs="Arial"/>
          <w:spacing w:val="29"/>
        </w:rPr>
        <w:t xml:space="preserve"> </w:t>
      </w:r>
      <w:r w:rsidRPr="0057756F">
        <w:rPr>
          <w:rFonts w:cs="Arial"/>
          <w:spacing w:val="-1"/>
        </w:rPr>
        <w:t>datasheets</w:t>
      </w:r>
      <w:r w:rsidRPr="0057756F">
        <w:rPr>
          <w:rFonts w:cs="Arial"/>
          <w:spacing w:val="29"/>
        </w:rPr>
        <w:t xml:space="preserve"> </w:t>
      </w:r>
      <w:r w:rsidRPr="0057756F">
        <w:rPr>
          <w:rFonts w:cs="Arial"/>
          <w:spacing w:val="-1"/>
        </w:rPr>
        <w:t>(Excel).</w:t>
      </w:r>
      <w:r w:rsidRPr="0057756F">
        <w:rPr>
          <w:rFonts w:cs="Arial"/>
          <w:spacing w:val="28"/>
        </w:rPr>
        <w:t xml:space="preserve"> </w:t>
      </w:r>
      <w:r w:rsidRPr="0057756F">
        <w:rPr>
          <w:rFonts w:cs="Arial"/>
        </w:rPr>
        <w:t>A</w:t>
      </w:r>
      <w:r w:rsidRPr="0057756F">
        <w:rPr>
          <w:rFonts w:cs="Arial"/>
          <w:spacing w:val="29"/>
        </w:rPr>
        <w:t xml:space="preserve"> </w:t>
      </w:r>
      <w:r w:rsidRPr="0057756F">
        <w:rPr>
          <w:rFonts w:cs="Arial"/>
          <w:spacing w:val="-1"/>
        </w:rPr>
        <w:t>unique</w:t>
      </w:r>
      <w:r w:rsidRPr="0057756F">
        <w:rPr>
          <w:rFonts w:cs="Arial"/>
          <w:spacing w:val="29"/>
        </w:rPr>
        <w:t xml:space="preserve"> </w:t>
      </w:r>
      <w:r w:rsidRPr="0057756F">
        <w:rPr>
          <w:rFonts w:cs="Arial"/>
        </w:rPr>
        <w:t>Job</w:t>
      </w:r>
      <w:r w:rsidRPr="0057756F">
        <w:rPr>
          <w:rFonts w:cs="Arial"/>
          <w:spacing w:val="32"/>
        </w:rPr>
        <w:t xml:space="preserve"> </w:t>
      </w:r>
      <w:r w:rsidRPr="0057756F">
        <w:rPr>
          <w:rFonts w:cs="Arial"/>
          <w:spacing w:val="-1"/>
        </w:rPr>
        <w:t>Number</w:t>
      </w:r>
      <w:r w:rsidRPr="0057756F">
        <w:rPr>
          <w:rFonts w:cs="Arial"/>
          <w:spacing w:val="29"/>
        </w:rPr>
        <w:t xml:space="preserve"> </w:t>
      </w:r>
      <w:r w:rsidRPr="0057756F">
        <w:rPr>
          <w:rFonts w:cs="Arial"/>
        </w:rPr>
        <w:t>is</w:t>
      </w:r>
      <w:r w:rsidRPr="0057756F">
        <w:rPr>
          <w:rFonts w:cs="Arial"/>
          <w:spacing w:val="28"/>
        </w:rPr>
        <w:t xml:space="preserve"> </w:t>
      </w:r>
      <w:r w:rsidRPr="0057756F">
        <w:rPr>
          <w:rFonts w:cs="Arial"/>
          <w:spacing w:val="-1"/>
        </w:rPr>
        <w:t>assigned</w:t>
      </w:r>
      <w:r w:rsidRPr="0057756F">
        <w:rPr>
          <w:rFonts w:cs="Arial"/>
          <w:spacing w:val="29"/>
        </w:rPr>
        <w:t xml:space="preserve"> </w:t>
      </w:r>
      <w:r w:rsidRPr="0057756F">
        <w:rPr>
          <w:rFonts w:cs="Arial"/>
        </w:rPr>
        <w:t>to</w:t>
      </w:r>
      <w:r w:rsidRPr="0057756F">
        <w:rPr>
          <w:rFonts w:cs="Arial"/>
          <w:spacing w:val="31"/>
        </w:rPr>
        <w:t xml:space="preserve"> </w:t>
      </w:r>
      <w:r w:rsidRPr="0057756F">
        <w:rPr>
          <w:rFonts w:cs="Arial"/>
        </w:rPr>
        <w:t>each</w:t>
      </w:r>
      <w:r w:rsidRPr="0057756F">
        <w:rPr>
          <w:rFonts w:cs="Arial"/>
          <w:spacing w:val="67"/>
        </w:rPr>
        <w:t xml:space="preserve"> </w:t>
      </w:r>
      <w:r w:rsidRPr="0057756F">
        <w:rPr>
          <w:rFonts w:cs="Arial"/>
          <w:spacing w:val="-1"/>
        </w:rPr>
        <w:t>analytical</w:t>
      </w:r>
      <w:r w:rsidRPr="0057756F">
        <w:rPr>
          <w:rFonts w:cs="Arial"/>
          <w:spacing w:val="27"/>
        </w:rPr>
        <w:t xml:space="preserve"> </w:t>
      </w:r>
      <w:r w:rsidRPr="0057756F">
        <w:rPr>
          <w:rFonts w:cs="Arial"/>
          <w:spacing w:val="-1"/>
        </w:rPr>
        <w:t>request,</w:t>
      </w:r>
      <w:r w:rsidRPr="0057756F">
        <w:rPr>
          <w:rFonts w:cs="Arial"/>
          <w:spacing w:val="30"/>
        </w:rPr>
        <w:t xml:space="preserve"> </w:t>
      </w:r>
      <w:r w:rsidRPr="0057756F">
        <w:rPr>
          <w:rFonts w:cs="Arial"/>
          <w:spacing w:val="-1"/>
        </w:rPr>
        <w:t>under</w:t>
      </w:r>
      <w:r w:rsidRPr="0057756F">
        <w:rPr>
          <w:rFonts w:cs="Arial"/>
          <w:spacing w:val="29"/>
        </w:rPr>
        <w:t xml:space="preserve"> </w:t>
      </w:r>
      <w:r w:rsidRPr="0057756F">
        <w:rPr>
          <w:rFonts w:cs="Arial"/>
        </w:rPr>
        <w:t>which</w:t>
      </w:r>
      <w:r w:rsidRPr="0057756F">
        <w:rPr>
          <w:rFonts w:cs="Arial"/>
          <w:spacing w:val="27"/>
        </w:rPr>
        <w:t xml:space="preserve"> </w:t>
      </w:r>
      <w:r w:rsidRPr="0057756F">
        <w:rPr>
          <w:rFonts w:cs="Arial"/>
        </w:rPr>
        <w:t>all</w:t>
      </w:r>
      <w:r w:rsidRPr="0057756F">
        <w:rPr>
          <w:rFonts w:cs="Arial"/>
          <w:spacing w:val="28"/>
        </w:rPr>
        <w:t xml:space="preserve"> </w:t>
      </w:r>
      <w:r w:rsidRPr="0057756F">
        <w:rPr>
          <w:rFonts w:cs="Arial"/>
          <w:spacing w:val="-1"/>
        </w:rPr>
        <w:t>information</w:t>
      </w:r>
      <w:r w:rsidRPr="0057756F">
        <w:rPr>
          <w:rFonts w:cs="Arial"/>
          <w:spacing w:val="28"/>
        </w:rPr>
        <w:t xml:space="preserve"> </w:t>
      </w:r>
      <w:r w:rsidRPr="0057756F">
        <w:rPr>
          <w:rFonts w:cs="Arial"/>
          <w:spacing w:val="-1"/>
        </w:rPr>
        <w:t>associated</w:t>
      </w:r>
      <w:r w:rsidRPr="0057756F">
        <w:rPr>
          <w:rFonts w:cs="Arial"/>
          <w:spacing w:val="29"/>
        </w:rPr>
        <w:t xml:space="preserve"> </w:t>
      </w:r>
      <w:r w:rsidRPr="0057756F">
        <w:rPr>
          <w:rFonts w:cs="Arial"/>
        </w:rPr>
        <w:t>with</w:t>
      </w:r>
      <w:r w:rsidRPr="0057756F">
        <w:rPr>
          <w:rFonts w:cs="Arial"/>
          <w:spacing w:val="28"/>
        </w:rPr>
        <w:t xml:space="preserve"> </w:t>
      </w:r>
      <w:r w:rsidRPr="0057756F">
        <w:rPr>
          <w:rFonts w:cs="Arial"/>
        </w:rPr>
        <w:t>the</w:t>
      </w:r>
      <w:r w:rsidRPr="0057756F">
        <w:rPr>
          <w:rFonts w:cs="Arial"/>
          <w:spacing w:val="29"/>
        </w:rPr>
        <w:t xml:space="preserve"> </w:t>
      </w:r>
      <w:r w:rsidRPr="0057756F">
        <w:rPr>
          <w:rFonts w:cs="Arial"/>
          <w:spacing w:val="-1"/>
        </w:rPr>
        <w:t>analyses</w:t>
      </w:r>
      <w:r w:rsidRPr="0057756F">
        <w:rPr>
          <w:rFonts w:cs="Arial"/>
          <w:spacing w:val="29"/>
        </w:rPr>
        <w:t xml:space="preserve"> </w:t>
      </w:r>
      <w:r w:rsidRPr="0057756F">
        <w:rPr>
          <w:rFonts w:cs="Arial"/>
        </w:rPr>
        <w:t>is</w:t>
      </w:r>
      <w:r w:rsidRPr="0057756F">
        <w:rPr>
          <w:rFonts w:cs="Arial"/>
          <w:spacing w:val="28"/>
        </w:rPr>
        <w:t xml:space="preserve"> </w:t>
      </w:r>
      <w:r w:rsidRPr="0057756F">
        <w:rPr>
          <w:rFonts w:cs="Arial"/>
          <w:spacing w:val="-1"/>
        </w:rPr>
        <w:t>filed.</w:t>
      </w:r>
      <w:r w:rsidRPr="0057756F">
        <w:rPr>
          <w:rFonts w:cs="Arial"/>
          <w:spacing w:val="28"/>
        </w:rPr>
        <w:t xml:space="preserve"> </w:t>
      </w:r>
      <w:r w:rsidRPr="0057756F">
        <w:rPr>
          <w:rFonts w:cs="Arial"/>
          <w:spacing w:val="-1"/>
        </w:rPr>
        <w:t>Spreadsheets</w:t>
      </w:r>
      <w:r w:rsidRPr="0057756F">
        <w:rPr>
          <w:rFonts w:cs="Arial"/>
          <w:spacing w:val="81"/>
        </w:rPr>
        <w:t xml:space="preserve"> </w:t>
      </w:r>
      <w:r w:rsidRPr="0057756F">
        <w:rPr>
          <w:rFonts w:cs="Arial"/>
        </w:rPr>
        <w:t>with</w:t>
      </w:r>
      <w:r w:rsidRPr="0057756F">
        <w:rPr>
          <w:rFonts w:cs="Arial"/>
          <w:spacing w:val="42"/>
        </w:rPr>
        <w:t xml:space="preserve"> </w:t>
      </w:r>
      <w:r w:rsidRPr="0057756F">
        <w:rPr>
          <w:rFonts w:cs="Arial"/>
          <w:spacing w:val="-1"/>
        </w:rPr>
        <w:t>the</w:t>
      </w:r>
      <w:r w:rsidRPr="0057756F">
        <w:rPr>
          <w:rFonts w:cs="Arial"/>
          <w:spacing w:val="44"/>
        </w:rPr>
        <w:t xml:space="preserve"> </w:t>
      </w:r>
      <w:r w:rsidRPr="0057756F">
        <w:rPr>
          <w:rFonts w:cs="Arial"/>
          <w:spacing w:val="-1"/>
        </w:rPr>
        <w:t>nutrient</w:t>
      </w:r>
      <w:r w:rsidRPr="0057756F">
        <w:rPr>
          <w:rFonts w:cs="Arial"/>
          <w:spacing w:val="44"/>
        </w:rPr>
        <w:t xml:space="preserve"> </w:t>
      </w:r>
      <w:r w:rsidRPr="0057756F">
        <w:rPr>
          <w:rFonts w:cs="Arial"/>
          <w:spacing w:val="-1"/>
        </w:rPr>
        <w:t>data</w:t>
      </w:r>
      <w:r w:rsidRPr="0057756F">
        <w:rPr>
          <w:rFonts w:cs="Arial"/>
          <w:spacing w:val="40"/>
        </w:rPr>
        <w:t xml:space="preserve"> </w:t>
      </w:r>
      <w:r w:rsidRPr="0057756F">
        <w:rPr>
          <w:rFonts w:cs="Arial"/>
          <w:spacing w:val="-1"/>
        </w:rPr>
        <w:t>results</w:t>
      </w:r>
      <w:r w:rsidRPr="0057756F">
        <w:rPr>
          <w:rFonts w:cs="Arial"/>
          <w:spacing w:val="44"/>
        </w:rPr>
        <w:t xml:space="preserve"> </w:t>
      </w:r>
      <w:r w:rsidRPr="0057756F">
        <w:rPr>
          <w:rFonts w:cs="Arial"/>
        </w:rPr>
        <w:t>are</w:t>
      </w:r>
      <w:r w:rsidRPr="0057756F">
        <w:rPr>
          <w:rFonts w:cs="Arial"/>
          <w:spacing w:val="41"/>
        </w:rPr>
        <w:t xml:space="preserve"> </w:t>
      </w:r>
      <w:r w:rsidRPr="0057756F">
        <w:rPr>
          <w:rFonts w:cs="Arial"/>
          <w:spacing w:val="-1"/>
        </w:rPr>
        <w:t>send</w:t>
      </w:r>
      <w:r w:rsidRPr="0057756F">
        <w:rPr>
          <w:rFonts w:cs="Arial"/>
          <w:spacing w:val="40"/>
        </w:rPr>
        <w:t xml:space="preserve"> </w:t>
      </w:r>
      <w:r w:rsidRPr="0057756F">
        <w:rPr>
          <w:rFonts w:cs="Arial"/>
        </w:rPr>
        <w:t>to</w:t>
      </w:r>
      <w:r w:rsidRPr="0057756F">
        <w:rPr>
          <w:rFonts w:cs="Arial"/>
          <w:spacing w:val="42"/>
        </w:rPr>
        <w:t xml:space="preserve"> </w:t>
      </w:r>
      <w:r w:rsidRPr="0057756F">
        <w:rPr>
          <w:rFonts w:cs="Arial"/>
          <w:spacing w:val="-1"/>
        </w:rPr>
        <w:t>staff</w:t>
      </w:r>
      <w:r w:rsidRPr="0057756F">
        <w:rPr>
          <w:rFonts w:cs="Arial"/>
          <w:spacing w:val="43"/>
        </w:rPr>
        <w:t xml:space="preserve"> </w:t>
      </w:r>
      <w:r w:rsidRPr="0057756F">
        <w:rPr>
          <w:rFonts w:cs="Arial"/>
          <w:spacing w:val="-1"/>
        </w:rPr>
        <w:t>requesting</w:t>
      </w:r>
      <w:r w:rsidRPr="0057756F">
        <w:rPr>
          <w:rFonts w:cs="Arial"/>
          <w:spacing w:val="43"/>
        </w:rPr>
        <w:t xml:space="preserve"> </w:t>
      </w:r>
      <w:r w:rsidRPr="0057756F">
        <w:rPr>
          <w:rFonts w:cs="Arial"/>
          <w:spacing w:val="-1"/>
        </w:rPr>
        <w:t>analyses</w:t>
      </w:r>
      <w:r w:rsidRPr="0057756F">
        <w:rPr>
          <w:rFonts w:cs="Arial"/>
          <w:spacing w:val="43"/>
        </w:rPr>
        <w:t xml:space="preserve"> </w:t>
      </w:r>
      <w:r w:rsidRPr="0057756F">
        <w:rPr>
          <w:rFonts w:cs="Arial"/>
          <w:spacing w:val="-2"/>
        </w:rPr>
        <w:t>(example</w:t>
      </w:r>
      <w:r w:rsidRPr="0057756F">
        <w:rPr>
          <w:rFonts w:cs="Arial"/>
          <w:spacing w:val="42"/>
        </w:rPr>
        <w:t xml:space="preserve"> </w:t>
      </w:r>
      <w:r w:rsidRPr="0057756F">
        <w:rPr>
          <w:rFonts w:cs="Arial"/>
        </w:rPr>
        <w:t>of</w:t>
      </w:r>
      <w:r w:rsidRPr="0057756F">
        <w:rPr>
          <w:rFonts w:cs="Arial"/>
          <w:spacing w:val="43"/>
        </w:rPr>
        <w:t xml:space="preserve"> </w:t>
      </w:r>
      <w:r w:rsidRPr="0057756F">
        <w:rPr>
          <w:rFonts w:cs="Arial"/>
          <w:spacing w:val="-1"/>
        </w:rPr>
        <w:t>client</w:t>
      </w:r>
      <w:r w:rsidRPr="0057756F">
        <w:rPr>
          <w:rFonts w:cs="Arial"/>
          <w:spacing w:val="43"/>
        </w:rPr>
        <w:t xml:space="preserve"> </w:t>
      </w:r>
      <w:r w:rsidRPr="0057756F">
        <w:rPr>
          <w:rFonts w:cs="Arial"/>
          <w:spacing w:val="-1"/>
        </w:rPr>
        <w:t>report</w:t>
      </w:r>
      <w:r w:rsidRPr="0057756F">
        <w:rPr>
          <w:rFonts w:cs="Arial"/>
          <w:spacing w:val="40"/>
        </w:rPr>
        <w:t xml:space="preserve"> </w:t>
      </w:r>
      <w:r w:rsidRPr="0057756F">
        <w:rPr>
          <w:rFonts w:cs="Arial"/>
        </w:rPr>
        <w:t>in</w:t>
      </w:r>
      <w:r w:rsidRPr="0057756F">
        <w:rPr>
          <w:rFonts w:cs="Arial"/>
          <w:spacing w:val="55"/>
        </w:rPr>
        <w:t xml:space="preserve"> </w:t>
      </w:r>
      <w:r w:rsidRPr="0057756F">
        <w:rPr>
          <w:rFonts w:cs="Arial"/>
          <w:spacing w:val="-1"/>
        </w:rPr>
        <w:t>Attachment</w:t>
      </w:r>
      <w:r w:rsidRPr="0057756F">
        <w:rPr>
          <w:rFonts w:cs="Arial"/>
          <w:spacing w:val="15"/>
        </w:rPr>
        <w:t xml:space="preserve"> </w:t>
      </w:r>
      <w:r w:rsidRPr="0057756F">
        <w:rPr>
          <w:rFonts w:cs="Arial"/>
          <w:spacing w:val="-1"/>
        </w:rPr>
        <w:t>3.2).</w:t>
      </w:r>
      <w:r w:rsidRPr="0057756F">
        <w:rPr>
          <w:rFonts w:cs="Arial"/>
          <w:spacing w:val="17"/>
        </w:rPr>
        <w:t xml:space="preserve"> </w:t>
      </w:r>
      <w:r w:rsidRPr="0057756F">
        <w:rPr>
          <w:rFonts w:cs="Arial"/>
          <w:spacing w:val="-1"/>
        </w:rPr>
        <w:t>All</w:t>
      </w:r>
      <w:r w:rsidRPr="0057756F">
        <w:rPr>
          <w:rFonts w:cs="Arial"/>
          <w:spacing w:val="17"/>
        </w:rPr>
        <w:t xml:space="preserve"> </w:t>
      </w:r>
      <w:r w:rsidRPr="0057756F">
        <w:rPr>
          <w:rFonts w:cs="Arial"/>
          <w:spacing w:val="-1"/>
        </w:rPr>
        <w:t>nutrient</w:t>
      </w:r>
      <w:r w:rsidRPr="0057756F">
        <w:rPr>
          <w:rFonts w:cs="Arial"/>
          <w:spacing w:val="18"/>
        </w:rPr>
        <w:t xml:space="preserve"> </w:t>
      </w:r>
      <w:r w:rsidRPr="0057756F">
        <w:rPr>
          <w:rFonts w:cs="Arial"/>
          <w:spacing w:val="-1"/>
        </w:rPr>
        <w:t>data</w:t>
      </w:r>
      <w:r w:rsidRPr="0057756F">
        <w:rPr>
          <w:rFonts w:cs="Arial"/>
          <w:spacing w:val="17"/>
        </w:rPr>
        <w:t xml:space="preserve"> </w:t>
      </w:r>
      <w:r w:rsidRPr="0057756F">
        <w:rPr>
          <w:rFonts w:cs="Arial"/>
          <w:spacing w:val="-1"/>
        </w:rPr>
        <w:t>results</w:t>
      </w:r>
      <w:r w:rsidRPr="0057756F">
        <w:rPr>
          <w:rFonts w:cs="Arial"/>
          <w:spacing w:val="17"/>
        </w:rPr>
        <w:t xml:space="preserve"> </w:t>
      </w:r>
      <w:r w:rsidRPr="0057756F">
        <w:rPr>
          <w:rFonts w:cs="Arial"/>
          <w:spacing w:val="-1"/>
        </w:rPr>
        <w:t>incl.</w:t>
      </w:r>
      <w:r w:rsidRPr="0057756F">
        <w:rPr>
          <w:rFonts w:cs="Arial"/>
          <w:spacing w:val="16"/>
        </w:rPr>
        <w:t xml:space="preserve"> </w:t>
      </w:r>
      <w:r w:rsidRPr="0057756F">
        <w:rPr>
          <w:rFonts w:cs="Arial"/>
          <w:spacing w:val="-1"/>
        </w:rPr>
        <w:t>QA/QC</w:t>
      </w:r>
      <w:r w:rsidRPr="0057756F">
        <w:rPr>
          <w:rFonts w:cs="Arial"/>
          <w:spacing w:val="14"/>
        </w:rPr>
        <w:t xml:space="preserve"> </w:t>
      </w:r>
      <w:r w:rsidRPr="0057756F">
        <w:rPr>
          <w:rFonts w:cs="Arial"/>
          <w:spacing w:val="-1"/>
        </w:rPr>
        <w:t>data</w:t>
      </w:r>
      <w:r w:rsidRPr="0057756F">
        <w:rPr>
          <w:rFonts w:cs="Arial"/>
          <w:spacing w:val="17"/>
        </w:rPr>
        <w:t xml:space="preserve"> </w:t>
      </w:r>
      <w:r w:rsidRPr="0057756F">
        <w:rPr>
          <w:rFonts w:cs="Arial"/>
        </w:rPr>
        <w:t>are</w:t>
      </w:r>
      <w:r w:rsidRPr="0057756F">
        <w:rPr>
          <w:rFonts w:cs="Arial"/>
          <w:spacing w:val="17"/>
        </w:rPr>
        <w:t xml:space="preserve"> </w:t>
      </w:r>
      <w:r w:rsidRPr="0057756F">
        <w:rPr>
          <w:rFonts w:cs="Arial"/>
          <w:spacing w:val="-1"/>
        </w:rPr>
        <w:t>archived</w:t>
      </w:r>
      <w:r w:rsidRPr="0057756F">
        <w:rPr>
          <w:rFonts w:cs="Arial"/>
          <w:spacing w:val="16"/>
        </w:rPr>
        <w:t xml:space="preserve"> </w:t>
      </w:r>
      <w:r w:rsidRPr="0057756F">
        <w:rPr>
          <w:rFonts w:cs="Arial"/>
          <w:spacing w:val="-2"/>
        </w:rPr>
        <w:t>by</w:t>
      </w:r>
      <w:r w:rsidRPr="0057756F">
        <w:rPr>
          <w:rFonts w:cs="Arial"/>
          <w:spacing w:val="17"/>
        </w:rPr>
        <w:t xml:space="preserve"> </w:t>
      </w:r>
      <w:r w:rsidRPr="0057756F">
        <w:rPr>
          <w:rFonts w:cs="Arial"/>
        </w:rPr>
        <w:t>the</w:t>
      </w:r>
      <w:r w:rsidRPr="0057756F">
        <w:rPr>
          <w:rFonts w:cs="Arial"/>
          <w:spacing w:val="14"/>
        </w:rPr>
        <w:t xml:space="preserve"> </w:t>
      </w:r>
      <w:r w:rsidRPr="0057756F">
        <w:rPr>
          <w:rFonts w:cs="Arial"/>
        </w:rPr>
        <w:t>analytical</w:t>
      </w:r>
      <w:r w:rsidRPr="0057756F">
        <w:rPr>
          <w:rFonts w:cs="Arial"/>
          <w:spacing w:val="17"/>
        </w:rPr>
        <w:t xml:space="preserve"> </w:t>
      </w:r>
      <w:r w:rsidRPr="0057756F">
        <w:rPr>
          <w:rFonts w:cs="Arial"/>
          <w:spacing w:val="-1"/>
        </w:rPr>
        <w:t>section</w:t>
      </w:r>
      <w:r w:rsidRPr="0057756F">
        <w:rPr>
          <w:rFonts w:cs="Arial"/>
          <w:spacing w:val="16"/>
        </w:rPr>
        <w:t xml:space="preserve"> </w:t>
      </w:r>
      <w:r w:rsidRPr="0057756F">
        <w:rPr>
          <w:rFonts w:cs="Arial"/>
        </w:rPr>
        <w:t>as</w:t>
      </w:r>
      <w:r w:rsidRPr="0057756F">
        <w:rPr>
          <w:rFonts w:cs="Arial"/>
          <w:spacing w:val="69"/>
        </w:rPr>
        <w:t xml:space="preserve"> </w:t>
      </w:r>
      <w:r w:rsidRPr="0057756F">
        <w:rPr>
          <w:rFonts w:cs="Arial"/>
          <w:spacing w:val="-1"/>
        </w:rPr>
        <w:t>Excel</w:t>
      </w:r>
      <w:r w:rsidRPr="0057756F">
        <w:rPr>
          <w:rFonts w:cs="Arial"/>
          <w:spacing w:val="38"/>
        </w:rPr>
        <w:t xml:space="preserve"> </w:t>
      </w:r>
      <w:r w:rsidRPr="0057756F">
        <w:rPr>
          <w:rFonts w:cs="Arial"/>
          <w:spacing w:val="-1"/>
        </w:rPr>
        <w:t>spreadsheets.</w:t>
      </w:r>
      <w:r w:rsidRPr="0057756F">
        <w:rPr>
          <w:rFonts w:cs="Arial"/>
          <w:spacing w:val="38"/>
        </w:rPr>
        <w:t xml:space="preserve"> </w:t>
      </w:r>
      <w:r w:rsidRPr="0057756F">
        <w:rPr>
          <w:rFonts w:cs="Arial"/>
          <w:spacing w:val="-1"/>
        </w:rPr>
        <w:t>For</w:t>
      </w:r>
      <w:r w:rsidRPr="0057756F">
        <w:rPr>
          <w:rFonts w:cs="Arial"/>
          <w:spacing w:val="36"/>
        </w:rPr>
        <w:t xml:space="preserve"> </w:t>
      </w:r>
      <w:r w:rsidRPr="0057756F">
        <w:rPr>
          <w:rFonts w:cs="Arial"/>
          <w:spacing w:val="-1"/>
        </w:rPr>
        <w:t>more</w:t>
      </w:r>
      <w:r w:rsidRPr="0057756F">
        <w:rPr>
          <w:rFonts w:cs="Arial"/>
          <w:spacing w:val="38"/>
        </w:rPr>
        <w:t xml:space="preserve"> </w:t>
      </w:r>
      <w:r w:rsidRPr="0057756F">
        <w:rPr>
          <w:rFonts w:cs="Arial"/>
          <w:spacing w:val="-1"/>
        </w:rPr>
        <w:t>details</w:t>
      </w:r>
      <w:r w:rsidRPr="0057756F">
        <w:rPr>
          <w:rFonts w:cs="Arial"/>
          <w:spacing w:val="39"/>
        </w:rPr>
        <w:t xml:space="preserve"> </w:t>
      </w:r>
      <w:r w:rsidRPr="0057756F">
        <w:rPr>
          <w:rFonts w:cs="Arial"/>
          <w:spacing w:val="-1"/>
        </w:rPr>
        <w:t>about</w:t>
      </w:r>
      <w:r w:rsidRPr="0057756F">
        <w:rPr>
          <w:rFonts w:cs="Arial"/>
          <w:spacing w:val="39"/>
        </w:rPr>
        <w:t xml:space="preserve"> </w:t>
      </w:r>
      <w:r w:rsidRPr="0057756F">
        <w:rPr>
          <w:rFonts w:cs="Arial"/>
          <w:spacing w:val="-1"/>
        </w:rPr>
        <w:t>AIMS</w:t>
      </w:r>
      <w:r w:rsidRPr="0057756F">
        <w:rPr>
          <w:rFonts w:cs="Arial"/>
          <w:spacing w:val="38"/>
        </w:rPr>
        <w:t xml:space="preserve"> </w:t>
      </w:r>
      <w:r w:rsidRPr="0057756F">
        <w:rPr>
          <w:rFonts w:cs="Arial"/>
          <w:spacing w:val="-1"/>
        </w:rPr>
        <w:t>Data</w:t>
      </w:r>
      <w:r w:rsidRPr="0057756F">
        <w:rPr>
          <w:rFonts w:cs="Arial"/>
          <w:spacing w:val="38"/>
        </w:rPr>
        <w:t xml:space="preserve"> </w:t>
      </w:r>
      <w:r w:rsidRPr="0057756F">
        <w:rPr>
          <w:rFonts w:cs="Arial"/>
          <w:spacing w:val="-1"/>
        </w:rPr>
        <w:t>Management</w:t>
      </w:r>
      <w:r w:rsidRPr="0057756F">
        <w:rPr>
          <w:rFonts w:cs="Arial"/>
          <w:spacing w:val="38"/>
        </w:rPr>
        <w:t xml:space="preserve"> </w:t>
      </w:r>
      <w:r w:rsidRPr="0057756F">
        <w:rPr>
          <w:rFonts w:cs="Arial"/>
          <w:spacing w:val="-1"/>
        </w:rPr>
        <w:t>procedures</w:t>
      </w:r>
      <w:r w:rsidRPr="0057756F">
        <w:rPr>
          <w:rFonts w:cs="Arial"/>
          <w:spacing w:val="39"/>
        </w:rPr>
        <w:t xml:space="preserve"> </w:t>
      </w:r>
      <w:r w:rsidRPr="0057756F">
        <w:rPr>
          <w:rFonts w:cs="Arial"/>
          <w:spacing w:val="-1"/>
        </w:rPr>
        <w:t>for</w:t>
      </w:r>
      <w:r w:rsidRPr="0057756F">
        <w:rPr>
          <w:rFonts w:cs="Arial"/>
          <w:spacing w:val="37"/>
        </w:rPr>
        <w:t xml:space="preserve"> </w:t>
      </w:r>
      <w:r w:rsidRPr="0057756F">
        <w:rPr>
          <w:rFonts w:cs="Arial"/>
          <w:spacing w:val="-1"/>
        </w:rPr>
        <w:t>Reef</w:t>
      </w:r>
      <w:r w:rsidRPr="0057756F">
        <w:rPr>
          <w:rFonts w:cs="Arial"/>
          <w:spacing w:val="39"/>
        </w:rPr>
        <w:t xml:space="preserve"> </w:t>
      </w:r>
      <w:r w:rsidRPr="0057756F">
        <w:rPr>
          <w:rFonts w:cs="Arial"/>
          <w:spacing w:val="-1"/>
        </w:rPr>
        <w:t>Rescue</w:t>
      </w:r>
      <w:r w:rsidRPr="0057756F">
        <w:rPr>
          <w:rFonts w:cs="Arial"/>
          <w:spacing w:val="85"/>
        </w:rPr>
        <w:t xml:space="preserve"> </w:t>
      </w:r>
      <w:r w:rsidRPr="0057756F">
        <w:rPr>
          <w:rFonts w:cs="Arial"/>
          <w:spacing w:val="-1"/>
        </w:rPr>
        <w:t>MMP</w:t>
      </w:r>
      <w:r w:rsidRPr="0057756F">
        <w:rPr>
          <w:rFonts w:cs="Arial"/>
          <w:spacing w:val="1"/>
        </w:rPr>
        <w:t xml:space="preserve"> </w:t>
      </w:r>
      <w:r w:rsidRPr="0057756F">
        <w:rPr>
          <w:rFonts w:cs="Arial"/>
          <w:spacing w:val="-1"/>
        </w:rPr>
        <w:t>refer</w:t>
      </w:r>
      <w:r w:rsidRPr="0057756F">
        <w:rPr>
          <w:rFonts w:cs="Arial"/>
          <w:spacing w:val="-2"/>
        </w:rPr>
        <w:t xml:space="preserve"> </w:t>
      </w:r>
      <w:r w:rsidRPr="0057756F">
        <w:rPr>
          <w:rFonts w:cs="Arial"/>
        </w:rPr>
        <w:t>to</w:t>
      </w:r>
      <w:r w:rsidRPr="0057756F">
        <w:rPr>
          <w:rFonts w:cs="Arial"/>
          <w:spacing w:val="-1"/>
        </w:rPr>
        <w:t xml:space="preserve"> Section A12.</w:t>
      </w:r>
    </w:p>
    <w:p w14:paraId="3008DE10" w14:textId="77777777" w:rsidR="0031675F" w:rsidRPr="0057756F" w:rsidRDefault="0031675F" w:rsidP="0057756F">
      <w:pPr>
        <w:rPr>
          <w:rFonts w:cs="Arial"/>
          <w:sz w:val="21"/>
          <w:szCs w:val="21"/>
        </w:rPr>
      </w:pPr>
    </w:p>
    <w:p w14:paraId="5F3BCD99" w14:textId="77777777" w:rsidR="0031675F" w:rsidRPr="0031675F" w:rsidRDefault="0031675F" w:rsidP="0031675F">
      <w:pPr>
        <w:widowControl w:val="0"/>
        <w:numPr>
          <w:ilvl w:val="1"/>
          <w:numId w:val="128"/>
        </w:numPr>
        <w:tabs>
          <w:tab w:val="left" w:pos="686"/>
        </w:tabs>
        <w:spacing w:before="0" w:after="0" w:line="240" w:lineRule="auto"/>
        <w:ind w:left="685"/>
        <w:jc w:val="both"/>
        <w:rPr>
          <w:rFonts w:eastAsia="Arial" w:cs="Arial"/>
          <w:sz w:val="24"/>
          <w:szCs w:val="24"/>
        </w:rPr>
      </w:pPr>
      <w:bookmarkStart w:id="604" w:name="_TOC_250076"/>
      <w:r w:rsidRPr="0031675F">
        <w:rPr>
          <w:b/>
          <w:sz w:val="24"/>
        </w:rPr>
        <w:t>Quality</w:t>
      </w:r>
      <w:r w:rsidRPr="0031675F">
        <w:rPr>
          <w:b/>
          <w:spacing w:val="-6"/>
          <w:sz w:val="24"/>
        </w:rPr>
        <w:t xml:space="preserve"> </w:t>
      </w:r>
      <w:r w:rsidRPr="0031675F">
        <w:rPr>
          <w:b/>
          <w:spacing w:val="-1"/>
          <w:sz w:val="24"/>
        </w:rPr>
        <w:t>control</w:t>
      </w:r>
      <w:bookmarkEnd w:id="604"/>
    </w:p>
    <w:p w14:paraId="144B52DB" w14:textId="77777777" w:rsidR="0031675F" w:rsidRPr="0031675F" w:rsidRDefault="0031675F" w:rsidP="0031675F">
      <w:pPr>
        <w:spacing w:before="20" w:after="120" w:line="538" w:lineRule="exact"/>
        <w:ind w:right="2040"/>
      </w:pPr>
      <w:r w:rsidRPr="0031675F">
        <w:t xml:space="preserve">QAQC </w:t>
      </w:r>
      <w:r w:rsidRPr="0031675F">
        <w:rPr>
          <w:spacing w:val="-1"/>
        </w:rPr>
        <w:t>tests</w:t>
      </w:r>
      <w:r w:rsidRPr="0031675F">
        <w:rPr>
          <w:spacing w:val="-3"/>
        </w:rPr>
        <w:t xml:space="preserve"> </w:t>
      </w:r>
      <w:r w:rsidRPr="0031675F">
        <w:rPr>
          <w:spacing w:val="-1"/>
        </w:rPr>
        <w:t>undertaken</w:t>
      </w:r>
      <w:r w:rsidRPr="0031675F">
        <w:t xml:space="preserve"> </w:t>
      </w:r>
      <w:r w:rsidRPr="0031675F">
        <w:rPr>
          <w:spacing w:val="-2"/>
        </w:rPr>
        <w:t>and</w:t>
      </w:r>
      <w:r w:rsidRPr="0031675F">
        <w:rPr>
          <w:spacing w:val="-1"/>
        </w:rPr>
        <w:t xml:space="preserve"> reporting as</w:t>
      </w:r>
      <w:r w:rsidRPr="0031675F">
        <w:t xml:space="preserve"> </w:t>
      </w:r>
      <w:r w:rsidRPr="0031675F">
        <w:rPr>
          <w:spacing w:val="-1"/>
        </w:rPr>
        <w:t>part</w:t>
      </w:r>
      <w:r w:rsidRPr="0031675F">
        <w:rPr>
          <w:spacing w:val="-2"/>
        </w:rPr>
        <w:t xml:space="preserve"> </w:t>
      </w:r>
      <w:r w:rsidRPr="0031675F">
        <w:t>of</w:t>
      </w:r>
      <w:r w:rsidRPr="0031675F">
        <w:rPr>
          <w:spacing w:val="-1"/>
        </w:rPr>
        <w:t xml:space="preserve"> </w:t>
      </w:r>
      <w:r w:rsidRPr="0031675F">
        <w:t xml:space="preserve">the </w:t>
      </w:r>
      <w:r w:rsidRPr="0031675F">
        <w:rPr>
          <w:spacing w:val="-1"/>
        </w:rPr>
        <w:t>data</w:t>
      </w:r>
      <w:r w:rsidRPr="0031675F">
        <w:t xml:space="preserve"> </w:t>
      </w:r>
      <w:r w:rsidRPr="0031675F">
        <w:rPr>
          <w:spacing w:val="-1"/>
        </w:rPr>
        <w:t>reporting include:</w:t>
      </w:r>
      <w:r w:rsidRPr="0031675F">
        <w:rPr>
          <w:spacing w:val="61"/>
        </w:rPr>
        <w:t xml:space="preserve"> </w:t>
      </w: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limit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detection (LOD)</w:t>
      </w:r>
    </w:p>
    <w:p w14:paraId="28B66118" w14:textId="77777777" w:rsidR="0031675F" w:rsidRPr="0031675F" w:rsidRDefault="0031675F" w:rsidP="0031675F">
      <w:pPr>
        <w:spacing w:line="220" w:lineRule="exact"/>
        <w:ind w:left="118"/>
        <w:jc w:val="both"/>
        <w:rPr>
          <w:rFonts w:cs="Calibri"/>
        </w:rPr>
      </w:pPr>
      <w:r w:rsidRPr="0031675F">
        <w:rPr>
          <w:i/>
          <w:spacing w:val="-1"/>
        </w:rPr>
        <w:t>NB:</w:t>
      </w:r>
      <w:r w:rsidRPr="0031675F">
        <w:rPr>
          <w:i/>
          <w:spacing w:val="38"/>
        </w:rPr>
        <w:t xml:space="preserve"> </w:t>
      </w:r>
      <w:r w:rsidRPr="0031675F">
        <w:rPr>
          <w:i/>
        </w:rPr>
        <w:t>the</w:t>
      </w:r>
      <w:r w:rsidRPr="0031675F">
        <w:rPr>
          <w:i/>
          <w:spacing w:val="38"/>
        </w:rPr>
        <w:t xml:space="preserve"> </w:t>
      </w:r>
      <w:r w:rsidRPr="0031675F">
        <w:rPr>
          <w:i/>
          <w:spacing w:val="-1"/>
        </w:rPr>
        <w:t>Limit</w:t>
      </w:r>
      <w:r w:rsidRPr="0031675F">
        <w:rPr>
          <w:i/>
          <w:spacing w:val="39"/>
        </w:rPr>
        <w:t xml:space="preserve"> </w:t>
      </w:r>
      <w:r w:rsidRPr="0031675F">
        <w:rPr>
          <w:i/>
          <w:spacing w:val="-1"/>
        </w:rPr>
        <w:t>of</w:t>
      </w:r>
      <w:r w:rsidRPr="0031675F">
        <w:rPr>
          <w:i/>
          <w:spacing w:val="35"/>
        </w:rPr>
        <w:t xml:space="preserve"> </w:t>
      </w:r>
      <w:r w:rsidRPr="0031675F">
        <w:rPr>
          <w:i/>
          <w:spacing w:val="-1"/>
        </w:rPr>
        <w:t>Detection</w:t>
      </w:r>
      <w:r w:rsidRPr="0031675F">
        <w:rPr>
          <w:i/>
          <w:spacing w:val="38"/>
        </w:rPr>
        <w:t xml:space="preserve"> </w:t>
      </w:r>
      <w:r w:rsidRPr="0031675F">
        <w:rPr>
          <w:i/>
          <w:spacing w:val="-1"/>
        </w:rPr>
        <w:t>(LOD)</w:t>
      </w:r>
      <w:r w:rsidRPr="0031675F">
        <w:rPr>
          <w:i/>
          <w:spacing w:val="39"/>
        </w:rPr>
        <w:t xml:space="preserve"> </w:t>
      </w:r>
      <w:r w:rsidRPr="0031675F">
        <w:rPr>
          <w:i/>
          <w:spacing w:val="-1"/>
        </w:rPr>
        <w:t>or</w:t>
      </w:r>
      <w:r w:rsidRPr="0031675F">
        <w:rPr>
          <w:i/>
          <w:spacing w:val="39"/>
        </w:rPr>
        <w:t xml:space="preserve"> </w:t>
      </w:r>
      <w:r w:rsidRPr="0031675F">
        <w:rPr>
          <w:i/>
          <w:spacing w:val="-1"/>
        </w:rPr>
        <w:t>detection</w:t>
      </w:r>
      <w:r w:rsidRPr="0031675F">
        <w:rPr>
          <w:i/>
          <w:spacing w:val="36"/>
        </w:rPr>
        <w:t xml:space="preserve"> </w:t>
      </w:r>
      <w:r w:rsidRPr="0031675F">
        <w:rPr>
          <w:i/>
          <w:spacing w:val="-1"/>
        </w:rPr>
        <w:t>limit,</w:t>
      </w:r>
      <w:r w:rsidRPr="0031675F">
        <w:rPr>
          <w:i/>
          <w:spacing w:val="36"/>
        </w:rPr>
        <w:t xml:space="preserve"> </w:t>
      </w:r>
      <w:r w:rsidRPr="0031675F">
        <w:rPr>
          <w:i/>
        </w:rPr>
        <w:t>is</w:t>
      </w:r>
      <w:r w:rsidRPr="0031675F">
        <w:rPr>
          <w:i/>
          <w:spacing w:val="39"/>
        </w:rPr>
        <w:t xml:space="preserve"> </w:t>
      </w:r>
      <w:r w:rsidRPr="0031675F">
        <w:rPr>
          <w:i/>
        </w:rPr>
        <w:t>the</w:t>
      </w:r>
      <w:r w:rsidRPr="0031675F">
        <w:rPr>
          <w:i/>
          <w:spacing w:val="37"/>
        </w:rPr>
        <w:t xml:space="preserve"> </w:t>
      </w:r>
      <w:r w:rsidRPr="0031675F">
        <w:rPr>
          <w:i/>
          <w:spacing w:val="-1"/>
        </w:rPr>
        <w:t>lowest</w:t>
      </w:r>
      <w:r w:rsidRPr="0031675F">
        <w:rPr>
          <w:i/>
          <w:spacing w:val="39"/>
        </w:rPr>
        <w:t xml:space="preserve"> </w:t>
      </w:r>
      <w:r w:rsidRPr="0031675F">
        <w:rPr>
          <w:i/>
          <w:spacing w:val="-1"/>
        </w:rPr>
        <w:t>concentration</w:t>
      </w:r>
      <w:r w:rsidRPr="0031675F">
        <w:rPr>
          <w:i/>
          <w:spacing w:val="38"/>
        </w:rPr>
        <w:t xml:space="preserve"> </w:t>
      </w:r>
      <w:r w:rsidRPr="0031675F">
        <w:rPr>
          <w:i/>
        </w:rPr>
        <w:t>level</w:t>
      </w:r>
      <w:r w:rsidRPr="0031675F">
        <w:rPr>
          <w:i/>
          <w:spacing w:val="38"/>
        </w:rPr>
        <w:t xml:space="preserve"> </w:t>
      </w:r>
      <w:r w:rsidRPr="0031675F">
        <w:rPr>
          <w:i/>
          <w:spacing w:val="-1"/>
        </w:rPr>
        <w:t>that</w:t>
      </w:r>
      <w:r w:rsidRPr="0031675F">
        <w:rPr>
          <w:i/>
          <w:spacing w:val="38"/>
        </w:rPr>
        <w:t xml:space="preserve"> </w:t>
      </w:r>
      <w:r w:rsidRPr="0031675F">
        <w:rPr>
          <w:i/>
          <w:spacing w:val="-1"/>
        </w:rPr>
        <w:t>can</w:t>
      </w:r>
      <w:r w:rsidRPr="0031675F">
        <w:rPr>
          <w:i/>
          <w:spacing w:val="38"/>
        </w:rPr>
        <w:t xml:space="preserve"> </w:t>
      </w:r>
      <w:r w:rsidRPr="0031675F">
        <w:rPr>
          <w:i/>
          <w:spacing w:val="-1"/>
        </w:rPr>
        <w:t>be</w:t>
      </w:r>
    </w:p>
    <w:p w14:paraId="77B79EC5" w14:textId="77777777" w:rsidR="0031675F" w:rsidRPr="0031675F" w:rsidRDefault="0031675F" w:rsidP="0031675F">
      <w:pPr>
        <w:ind w:left="118"/>
        <w:jc w:val="both"/>
        <w:rPr>
          <w:rFonts w:cs="Calibri"/>
        </w:rPr>
      </w:pPr>
      <w:r w:rsidRPr="0031675F">
        <w:rPr>
          <w:i/>
          <w:spacing w:val="-1"/>
        </w:rPr>
        <w:t xml:space="preserve">determined </w:t>
      </w:r>
      <w:r w:rsidRPr="0031675F">
        <w:rPr>
          <w:i/>
        </w:rPr>
        <w:t xml:space="preserve">to </w:t>
      </w:r>
      <w:r w:rsidRPr="0031675F">
        <w:rPr>
          <w:i/>
          <w:spacing w:val="-1"/>
        </w:rPr>
        <w:t>be</w:t>
      </w:r>
      <w:r w:rsidRPr="0031675F">
        <w:rPr>
          <w:i/>
          <w:spacing w:val="-3"/>
        </w:rPr>
        <w:t xml:space="preserve"> </w:t>
      </w:r>
      <w:r w:rsidRPr="0031675F">
        <w:rPr>
          <w:i/>
          <w:spacing w:val="-1"/>
        </w:rPr>
        <w:t>statistically different</w:t>
      </w:r>
      <w:r w:rsidRPr="0031675F">
        <w:rPr>
          <w:i/>
          <w:spacing w:val="-3"/>
        </w:rPr>
        <w:t xml:space="preserve"> </w:t>
      </w:r>
      <w:r w:rsidRPr="0031675F">
        <w:rPr>
          <w:i/>
          <w:spacing w:val="-1"/>
        </w:rPr>
        <w:t>from</w:t>
      </w:r>
      <w:r w:rsidRPr="0031675F">
        <w:rPr>
          <w:i/>
          <w:spacing w:val="1"/>
        </w:rPr>
        <w:t xml:space="preserve"> </w:t>
      </w:r>
      <w:r w:rsidRPr="0031675F">
        <w:rPr>
          <w:i/>
        </w:rPr>
        <w:t>a</w:t>
      </w:r>
      <w:r w:rsidRPr="0031675F">
        <w:rPr>
          <w:i/>
          <w:spacing w:val="-1"/>
        </w:rPr>
        <w:t xml:space="preserve"> blank</w:t>
      </w:r>
      <w:r w:rsidRPr="0031675F">
        <w:rPr>
          <w:i/>
        </w:rPr>
        <w:t xml:space="preserve"> </w:t>
      </w:r>
      <w:r w:rsidRPr="0031675F">
        <w:rPr>
          <w:i/>
          <w:spacing w:val="-2"/>
        </w:rPr>
        <w:t>(99%</w:t>
      </w:r>
      <w:r w:rsidRPr="0031675F">
        <w:rPr>
          <w:i/>
          <w:spacing w:val="1"/>
        </w:rPr>
        <w:t xml:space="preserve"> </w:t>
      </w:r>
      <w:r w:rsidRPr="0031675F">
        <w:rPr>
          <w:i/>
          <w:spacing w:val="-1"/>
        </w:rPr>
        <w:t>confidence).</w:t>
      </w:r>
    </w:p>
    <w:p w14:paraId="5A52EF97" w14:textId="77777777" w:rsidR="0031675F" w:rsidRPr="0031675F" w:rsidRDefault="0031675F" w:rsidP="0031675F">
      <w:pPr>
        <w:widowControl w:val="0"/>
        <w:numPr>
          <w:ilvl w:val="0"/>
          <w:numId w:val="126"/>
        </w:numPr>
        <w:tabs>
          <w:tab w:val="left" w:pos="403"/>
        </w:tabs>
        <w:spacing w:before="2" w:after="0" w:line="238" w:lineRule="auto"/>
        <w:ind w:left="402" w:right="120"/>
      </w:pPr>
      <w:r w:rsidRPr="0031675F">
        <w:rPr>
          <w:spacing w:val="-1"/>
        </w:rPr>
        <w:t>Detection</w:t>
      </w:r>
      <w:r w:rsidRPr="0031675F">
        <w:rPr>
          <w:spacing w:val="6"/>
        </w:rPr>
        <w:t xml:space="preserve"> </w:t>
      </w:r>
      <w:r w:rsidRPr="0031675F">
        <w:rPr>
          <w:spacing w:val="-1"/>
        </w:rPr>
        <w:t>limits</w:t>
      </w:r>
      <w:r w:rsidRPr="0031675F">
        <w:rPr>
          <w:spacing w:val="5"/>
        </w:rPr>
        <w:t xml:space="preserve"> </w:t>
      </w:r>
      <w:r w:rsidRPr="0031675F">
        <w:t>are</w:t>
      </w:r>
      <w:r w:rsidRPr="0031675F">
        <w:rPr>
          <w:spacing w:val="6"/>
        </w:rPr>
        <w:t xml:space="preserve"> </w:t>
      </w:r>
      <w:r w:rsidRPr="0031675F">
        <w:rPr>
          <w:spacing w:val="-1"/>
        </w:rPr>
        <w:t>reported</w:t>
      </w:r>
      <w:r w:rsidRPr="0031675F">
        <w:rPr>
          <w:spacing w:val="7"/>
        </w:rPr>
        <w:t xml:space="preserve"> </w:t>
      </w:r>
      <w:r w:rsidRPr="0031675F">
        <w:rPr>
          <w:spacing w:val="-1"/>
        </w:rPr>
        <w:t>for</w:t>
      </w:r>
      <w:r w:rsidRPr="0031675F">
        <w:rPr>
          <w:spacing w:val="6"/>
        </w:rPr>
        <w:t xml:space="preserve"> </w:t>
      </w:r>
      <w:r w:rsidRPr="0031675F">
        <w:t>each</w:t>
      </w:r>
      <w:r w:rsidRPr="0031675F">
        <w:rPr>
          <w:spacing w:val="4"/>
        </w:rPr>
        <w:t xml:space="preserve"> </w:t>
      </w:r>
      <w:r w:rsidRPr="0031675F">
        <w:rPr>
          <w:spacing w:val="-1"/>
        </w:rPr>
        <w:t>analytical</w:t>
      </w:r>
      <w:r w:rsidRPr="0031675F">
        <w:rPr>
          <w:spacing w:val="7"/>
        </w:rPr>
        <w:t xml:space="preserve"> </w:t>
      </w:r>
      <w:r w:rsidRPr="0031675F">
        <w:rPr>
          <w:spacing w:val="-2"/>
        </w:rPr>
        <w:t>batch</w:t>
      </w:r>
      <w:r w:rsidRPr="0031675F">
        <w:rPr>
          <w:spacing w:val="8"/>
        </w:rPr>
        <w:t xml:space="preserve"> </w:t>
      </w:r>
      <w:r w:rsidRPr="0031675F">
        <w:rPr>
          <w:spacing w:val="-1"/>
        </w:rPr>
        <w:t>and</w:t>
      </w:r>
      <w:r w:rsidRPr="0031675F">
        <w:rPr>
          <w:spacing w:val="6"/>
        </w:rPr>
        <w:t xml:space="preserve"> </w:t>
      </w:r>
      <w:r w:rsidRPr="0031675F">
        <w:t>are</w:t>
      </w:r>
      <w:r w:rsidRPr="0031675F">
        <w:rPr>
          <w:spacing w:val="8"/>
        </w:rPr>
        <w:t xml:space="preserve"> </w:t>
      </w:r>
      <w:r w:rsidRPr="0031675F">
        <w:rPr>
          <w:spacing w:val="-1"/>
        </w:rPr>
        <w:t>statistically</w:t>
      </w:r>
      <w:r w:rsidRPr="0031675F">
        <w:rPr>
          <w:spacing w:val="6"/>
        </w:rPr>
        <w:t xml:space="preserve"> </w:t>
      </w:r>
      <w:r w:rsidRPr="0031675F">
        <w:rPr>
          <w:spacing w:val="-1"/>
        </w:rPr>
        <w:t>derived</w:t>
      </w:r>
      <w:r w:rsidRPr="0031675F">
        <w:rPr>
          <w:spacing w:val="7"/>
        </w:rPr>
        <w:t xml:space="preserve"> </w:t>
      </w:r>
      <w:r w:rsidRPr="0031675F">
        <w:rPr>
          <w:spacing w:val="-1"/>
        </w:rPr>
        <w:t>from</w:t>
      </w:r>
      <w:r w:rsidRPr="0031675F">
        <w:rPr>
          <w:spacing w:val="6"/>
        </w:rPr>
        <w:t xml:space="preserve"> </w:t>
      </w:r>
      <w:r w:rsidRPr="0031675F">
        <w:rPr>
          <w:spacing w:val="-1"/>
        </w:rPr>
        <w:t>multiples</w:t>
      </w:r>
      <w:r w:rsidRPr="0031675F">
        <w:rPr>
          <w:spacing w:val="75"/>
        </w:rPr>
        <w:t xml:space="preserve"> </w:t>
      </w:r>
      <w:r w:rsidRPr="0031675F">
        <w:t xml:space="preserve">of </w:t>
      </w:r>
      <w:r w:rsidRPr="0031675F">
        <w:rPr>
          <w:spacing w:val="-1"/>
        </w:rPr>
        <w:t>the</w:t>
      </w:r>
      <w:r w:rsidRPr="0031675F">
        <w:rPr>
          <w:spacing w:val="-2"/>
        </w:rPr>
        <w:t xml:space="preserve"> </w:t>
      </w:r>
      <w:r w:rsidRPr="0031675F">
        <w:rPr>
          <w:spacing w:val="-1"/>
        </w:rPr>
        <w:t>standard deviation</w:t>
      </w:r>
      <w:r w:rsidRPr="0031675F">
        <w:rPr>
          <w:spacing w:val="-3"/>
        </w:rPr>
        <w:t xml:space="preserve"> </w:t>
      </w:r>
      <w:r w:rsidRPr="0031675F">
        <w:rPr>
          <w:spacing w:val="-1"/>
        </w:rPr>
        <w:t>of</w:t>
      </w:r>
      <w:r w:rsidRPr="0031675F">
        <w:t xml:space="preserve"> </w:t>
      </w:r>
      <w:r w:rsidRPr="0031675F">
        <w:rPr>
          <w:spacing w:val="-1"/>
        </w:rPr>
        <w:t>the</w:t>
      </w:r>
      <w:r w:rsidRPr="0031675F">
        <w:t xml:space="preserve"> </w:t>
      </w:r>
      <w:r w:rsidRPr="0031675F">
        <w:rPr>
          <w:spacing w:val="-1"/>
        </w:rPr>
        <w:t>baseline</w:t>
      </w:r>
      <w:r w:rsidRPr="0031675F">
        <w:t xml:space="preserve"> </w:t>
      </w:r>
      <w:r w:rsidRPr="0031675F">
        <w:rPr>
          <w:spacing w:val="-1"/>
        </w:rPr>
        <w:t>readings,</w:t>
      </w:r>
      <w:r w:rsidRPr="0031675F">
        <w:rPr>
          <w:spacing w:val="-3"/>
        </w:rPr>
        <w:t xml:space="preserve"> </w:t>
      </w:r>
      <w:r w:rsidRPr="0031675F">
        <w:rPr>
          <w:spacing w:val="-1"/>
        </w:rPr>
        <w:t>which</w:t>
      </w:r>
      <w:r w:rsidRPr="0031675F">
        <w:t xml:space="preserve"> are </w:t>
      </w:r>
      <w:r w:rsidRPr="0031675F">
        <w:rPr>
          <w:spacing w:val="-1"/>
        </w:rPr>
        <w:t>conducted</w:t>
      </w:r>
      <w:r w:rsidRPr="0031675F">
        <w:rPr>
          <w:spacing w:val="-3"/>
        </w:rPr>
        <w:t xml:space="preserve"> </w:t>
      </w:r>
      <w:r w:rsidRPr="0031675F">
        <w:rPr>
          <w:spacing w:val="-1"/>
        </w:rPr>
        <w:t>during analysis.</w:t>
      </w:r>
    </w:p>
    <w:p w14:paraId="3ABE4FCB" w14:textId="77777777" w:rsidR="0031675F" w:rsidRPr="0031675F" w:rsidRDefault="0031675F" w:rsidP="0031675F">
      <w:pPr>
        <w:spacing w:before="1"/>
        <w:rPr>
          <w:rFonts w:cs="Calibri"/>
        </w:rPr>
      </w:pPr>
    </w:p>
    <w:p w14:paraId="3207F3B7" w14:textId="77777777" w:rsidR="0031675F" w:rsidRPr="0031675F" w:rsidRDefault="0031675F" w:rsidP="0031675F">
      <w:pPr>
        <w:spacing w:after="120"/>
        <w:jc w:val="both"/>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accuracy</w:t>
      </w:r>
      <w:r w:rsidRPr="0031675F">
        <w:rPr>
          <w:spacing w:val="-2"/>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analysis</w:t>
      </w:r>
    </w:p>
    <w:p w14:paraId="761D8C91" w14:textId="77777777" w:rsidR="0031675F" w:rsidRPr="0031675F" w:rsidRDefault="0031675F" w:rsidP="0031675F">
      <w:pPr>
        <w:ind w:left="118" w:right="120"/>
        <w:rPr>
          <w:rFonts w:cs="Calibri"/>
        </w:rPr>
      </w:pPr>
      <w:r w:rsidRPr="0031675F">
        <w:rPr>
          <w:i/>
          <w:spacing w:val="-1"/>
        </w:rPr>
        <w:t>NB:</w:t>
      </w:r>
      <w:r w:rsidRPr="0031675F">
        <w:rPr>
          <w:i/>
          <w:spacing w:val="24"/>
        </w:rPr>
        <w:t xml:space="preserve"> </w:t>
      </w:r>
      <w:r w:rsidRPr="0031675F">
        <w:rPr>
          <w:i/>
          <w:spacing w:val="-1"/>
        </w:rPr>
        <w:t>This</w:t>
      </w:r>
      <w:r w:rsidRPr="0031675F">
        <w:rPr>
          <w:i/>
          <w:spacing w:val="24"/>
        </w:rPr>
        <w:t xml:space="preserve"> </w:t>
      </w:r>
      <w:r w:rsidRPr="0031675F">
        <w:rPr>
          <w:i/>
          <w:spacing w:val="-2"/>
        </w:rPr>
        <w:t>is</w:t>
      </w:r>
      <w:r w:rsidRPr="0031675F">
        <w:rPr>
          <w:i/>
          <w:spacing w:val="25"/>
        </w:rPr>
        <w:t xml:space="preserve"> </w:t>
      </w:r>
      <w:r w:rsidRPr="0031675F">
        <w:rPr>
          <w:i/>
          <w:spacing w:val="-1"/>
        </w:rPr>
        <w:t>generally</w:t>
      </w:r>
      <w:r w:rsidRPr="0031675F">
        <w:rPr>
          <w:i/>
          <w:spacing w:val="24"/>
        </w:rPr>
        <w:t xml:space="preserve"> </w:t>
      </w:r>
      <w:r w:rsidRPr="0031675F">
        <w:rPr>
          <w:i/>
          <w:spacing w:val="-1"/>
        </w:rPr>
        <w:t>achieved</w:t>
      </w:r>
      <w:r w:rsidRPr="0031675F">
        <w:rPr>
          <w:i/>
          <w:spacing w:val="23"/>
        </w:rPr>
        <w:t xml:space="preserve"> </w:t>
      </w:r>
      <w:r w:rsidRPr="0031675F">
        <w:rPr>
          <w:i/>
          <w:spacing w:val="-1"/>
        </w:rPr>
        <w:t>by</w:t>
      </w:r>
      <w:r w:rsidRPr="0031675F">
        <w:rPr>
          <w:i/>
          <w:spacing w:val="26"/>
        </w:rPr>
        <w:t xml:space="preserve"> </w:t>
      </w:r>
      <w:r w:rsidRPr="0031675F">
        <w:rPr>
          <w:i/>
          <w:spacing w:val="-1"/>
        </w:rPr>
        <w:t>using</w:t>
      </w:r>
      <w:r w:rsidRPr="0031675F">
        <w:rPr>
          <w:i/>
          <w:spacing w:val="23"/>
        </w:rPr>
        <w:t xml:space="preserve"> </w:t>
      </w:r>
      <w:r w:rsidRPr="0031675F">
        <w:rPr>
          <w:i/>
          <w:spacing w:val="-1"/>
        </w:rPr>
        <w:t>reference</w:t>
      </w:r>
      <w:r w:rsidRPr="0031675F">
        <w:rPr>
          <w:i/>
          <w:spacing w:val="22"/>
        </w:rPr>
        <w:t xml:space="preserve"> </w:t>
      </w:r>
      <w:r w:rsidRPr="0031675F">
        <w:rPr>
          <w:i/>
          <w:spacing w:val="-1"/>
        </w:rPr>
        <w:t>materials</w:t>
      </w:r>
      <w:r w:rsidRPr="0031675F">
        <w:rPr>
          <w:i/>
          <w:spacing w:val="22"/>
        </w:rPr>
        <w:t xml:space="preserve"> </w:t>
      </w:r>
      <w:r w:rsidRPr="0031675F">
        <w:rPr>
          <w:i/>
        </w:rPr>
        <w:t>to</w:t>
      </w:r>
      <w:r w:rsidRPr="0031675F">
        <w:rPr>
          <w:i/>
          <w:spacing w:val="24"/>
        </w:rPr>
        <w:t xml:space="preserve"> </w:t>
      </w:r>
      <w:r w:rsidRPr="0031675F">
        <w:rPr>
          <w:i/>
          <w:spacing w:val="-1"/>
        </w:rPr>
        <w:t>assess</w:t>
      </w:r>
      <w:r w:rsidRPr="0031675F">
        <w:rPr>
          <w:i/>
          <w:spacing w:val="22"/>
        </w:rPr>
        <w:t xml:space="preserve"> </w:t>
      </w:r>
      <w:r w:rsidRPr="0031675F">
        <w:rPr>
          <w:i/>
          <w:spacing w:val="-1"/>
        </w:rPr>
        <w:t>recovery</w:t>
      </w:r>
      <w:r w:rsidRPr="0031675F">
        <w:rPr>
          <w:i/>
          <w:spacing w:val="21"/>
        </w:rPr>
        <w:t xml:space="preserve"> </w:t>
      </w:r>
      <w:r w:rsidRPr="0031675F">
        <w:rPr>
          <w:i/>
          <w:spacing w:val="-1"/>
        </w:rPr>
        <w:t>of</w:t>
      </w:r>
      <w:r w:rsidRPr="0031675F">
        <w:rPr>
          <w:i/>
          <w:spacing w:val="23"/>
        </w:rPr>
        <w:t xml:space="preserve"> </w:t>
      </w:r>
      <w:r w:rsidRPr="0031675F">
        <w:rPr>
          <w:i/>
          <w:spacing w:val="-1"/>
        </w:rPr>
        <w:t>known</w:t>
      </w:r>
      <w:r w:rsidRPr="0031675F">
        <w:rPr>
          <w:i/>
          <w:spacing w:val="24"/>
        </w:rPr>
        <w:t xml:space="preserve"> </w:t>
      </w:r>
      <w:r w:rsidRPr="0031675F">
        <w:rPr>
          <w:i/>
          <w:spacing w:val="-1"/>
        </w:rPr>
        <w:t>amount</w:t>
      </w:r>
      <w:r w:rsidRPr="0031675F">
        <w:rPr>
          <w:i/>
          <w:spacing w:val="24"/>
        </w:rPr>
        <w:t xml:space="preserve"> </w:t>
      </w:r>
      <w:r w:rsidRPr="0031675F">
        <w:rPr>
          <w:i/>
          <w:spacing w:val="-2"/>
        </w:rPr>
        <w:t>of</w:t>
      </w:r>
      <w:r w:rsidRPr="0031675F">
        <w:rPr>
          <w:i/>
          <w:spacing w:val="73"/>
        </w:rPr>
        <w:t xml:space="preserve"> </w:t>
      </w:r>
      <w:r w:rsidRPr="0031675F">
        <w:rPr>
          <w:i/>
          <w:spacing w:val="-1"/>
        </w:rPr>
        <w:t>analyte.</w:t>
      </w:r>
    </w:p>
    <w:p w14:paraId="66A695C1" w14:textId="77777777" w:rsidR="0031675F" w:rsidRPr="0031675F" w:rsidRDefault="0031675F" w:rsidP="0031675F">
      <w:pPr>
        <w:widowControl w:val="0"/>
        <w:numPr>
          <w:ilvl w:val="0"/>
          <w:numId w:val="126"/>
        </w:numPr>
        <w:tabs>
          <w:tab w:val="left" w:pos="403"/>
        </w:tabs>
        <w:spacing w:before="0" w:after="0" w:line="240" w:lineRule="auto"/>
        <w:ind w:left="402"/>
        <w:jc w:val="both"/>
      </w:pPr>
      <w:r w:rsidRPr="0031675F">
        <w:rPr>
          <w:spacing w:val="-1"/>
        </w:rPr>
        <w:t>External</w:t>
      </w:r>
      <w:r w:rsidRPr="0031675F">
        <w:rPr>
          <w:spacing w:val="-2"/>
        </w:rPr>
        <w:t xml:space="preserve"> </w:t>
      </w:r>
      <w:r w:rsidRPr="0031675F">
        <w:rPr>
          <w:spacing w:val="-1"/>
        </w:rPr>
        <w:t>certified</w:t>
      </w:r>
      <w:r w:rsidRPr="0031675F">
        <w:t xml:space="preserve"> </w:t>
      </w:r>
      <w:r w:rsidRPr="0031675F">
        <w:rPr>
          <w:spacing w:val="-1"/>
        </w:rPr>
        <w:t>reference</w:t>
      </w:r>
      <w:r w:rsidRPr="0031675F">
        <w:rPr>
          <w:spacing w:val="-2"/>
        </w:rPr>
        <w:t xml:space="preserve"> </w:t>
      </w:r>
      <w:r w:rsidRPr="0031675F">
        <w:rPr>
          <w:spacing w:val="-1"/>
        </w:rPr>
        <w:t>standards</w:t>
      </w:r>
      <w:r w:rsidRPr="0031675F">
        <w:t xml:space="preserve"> are</w:t>
      </w:r>
      <w:r w:rsidRPr="0031675F">
        <w:rPr>
          <w:spacing w:val="-2"/>
        </w:rPr>
        <w:t xml:space="preserve"> </w:t>
      </w:r>
      <w:r w:rsidRPr="0031675F">
        <w:rPr>
          <w:spacing w:val="-1"/>
        </w:rPr>
        <w:t>measured</w:t>
      </w:r>
      <w:r w:rsidRPr="0031675F">
        <w:rPr>
          <w:spacing w:val="-2"/>
        </w:rPr>
        <w:t xml:space="preserve"> </w:t>
      </w:r>
      <w:r w:rsidRPr="0031675F">
        <w:rPr>
          <w:spacing w:val="-1"/>
        </w:rPr>
        <w:t>at</w:t>
      </w:r>
      <w:r w:rsidRPr="0031675F">
        <w:rPr>
          <w:spacing w:val="-2"/>
        </w:rPr>
        <w:t xml:space="preserve"> </w:t>
      </w:r>
      <w:r w:rsidRPr="0031675F">
        <w:rPr>
          <w:spacing w:val="-1"/>
        </w:rPr>
        <w:t>regular intervals</w:t>
      </w:r>
      <w:r w:rsidRPr="0031675F">
        <w:t xml:space="preserve"> </w:t>
      </w:r>
      <w:r w:rsidRPr="0031675F">
        <w:rPr>
          <w:spacing w:val="-1"/>
        </w:rPr>
        <w:t>during analysis.</w:t>
      </w:r>
    </w:p>
    <w:p w14:paraId="1FCBE95A" w14:textId="77777777" w:rsidR="0031675F" w:rsidRPr="0031675F" w:rsidRDefault="0031675F" w:rsidP="0031675F">
      <w:pPr>
        <w:widowControl w:val="0"/>
        <w:numPr>
          <w:ilvl w:val="0"/>
          <w:numId w:val="126"/>
        </w:numPr>
        <w:tabs>
          <w:tab w:val="left" w:pos="403"/>
        </w:tabs>
        <w:spacing w:before="0" w:after="0" w:line="240" w:lineRule="auto"/>
        <w:ind w:left="402" w:right="111"/>
        <w:jc w:val="both"/>
      </w:pPr>
      <w:r w:rsidRPr="0031675F">
        <w:rPr>
          <w:spacing w:val="-1"/>
        </w:rPr>
        <w:t>Regular</w:t>
      </w:r>
      <w:r w:rsidRPr="0031675F">
        <w:rPr>
          <w:spacing w:val="17"/>
        </w:rPr>
        <w:t xml:space="preserve"> </w:t>
      </w:r>
      <w:r w:rsidRPr="0031675F">
        <w:rPr>
          <w:spacing w:val="-1"/>
        </w:rPr>
        <w:t>validation</w:t>
      </w:r>
      <w:r w:rsidRPr="0031675F">
        <w:rPr>
          <w:spacing w:val="17"/>
        </w:rPr>
        <w:t xml:space="preserve"> </w:t>
      </w:r>
      <w:r w:rsidRPr="0031675F">
        <w:t>of</w:t>
      </w:r>
      <w:r w:rsidRPr="0031675F">
        <w:rPr>
          <w:spacing w:val="17"/>
        </w:rPr>
        <w:t xml:space="preserve"> </w:t>
      </w:r>
      <w:r w:rsidRPr="0031675F">
        <w:rPr>
          <w:spacing w:val="-1"/>
        </w:rPr>
        <w:t>the</w:t>
      </w:r>
      <w:r w:rsidRPr="0031675F">
        <w:rPr>
          <w:spacing w:val="16"/>
        </w:rPr>
        <w:t xml:space="preserve"> </w:t>
      </w:r>
      <w:r w:rsidRPr="0031675F">
        <w:rPr>
          <w:spacing w:val="-1"/>
        </w:rPr>
        <w:t>analyses</w:t>
      </w:r>
      <w:r w:rsidRPr="0031675F">
        <w:rPr>
          <w:spacing w:val="18"/>
        </w:rPr>
        <w:t xml:space="preserve"> </w:t>
      </w:r>
      <w:r w:rsidRPr="0031675F">
        <w:rPr>
          <w:spacing w:val="-1"/>
        </w:rPr>
        <w:t>by</w:t>
      </w:r>
      <w:r w:rsidRPr="0031675F">
        <w:rPr>
          <w:spacing w:val="18"/>
        </w:rPr>
        <w:t xml:space="preserve"> </w:t>
      </w:r>
      <w:r w:rsidRPr="0031675F">
        <w:rPr>
          <w:spacing w:val="-1"/>
        </w:rPr>
        <w:t>continued</w:t>
      </w:r>
      <w:r w:rsidRPr="0031675F">
        <w:rPr>
          <w:spacing w:val="14"/>
        </w:rPr>
        <w:t xml:space="preserve"> </w:t>
      </w:r>
      <w:r w:rsidRPr="0031675F">
        <w:rPr>
          <w:spacing w:val="-1"/>
        </w:rPr>
        <w:t>participation</w:t>
      </w:r>
      <w:r w:rsidRPr="0031675F">
        <w:rPr>
          <w:spacing w:val="17"/>
        </w:rPr>
        <w:t xml:space="preserve"> </w:t>
      </w:r>
      <w:r w:rsidRPr="0031675F">
        <w:t>in</w:t>
      </w:r>
      <w:r w:rsidRPr="0031675F">
        <w:rPr>
          <w:spacing w:val="16"/>
        </w:rPr>
        <w:t xml:space="preserve"> </w:t>
      </w:r>
      <w:r w:rsidRPr="0031675F">
        <w:rPr>
          <w:spacing w:val="-1"/>
        </w:rPr>
        <w:t>inter-laboratory</w:t>
      </w:r>
      <w:r w:rsidRPr="0031675F">
        <w:rPr>
          <w:spacing w:val="18"/>
        </w:rPr>
        <w:t xml:space="preserve"> </w:t>
      </w:r>
      <w:r w:rsidRPr="0031675F">
        <w:rPr>
          <w:spacing w:val="-1"/>
        </w:rPr>
        <w:t>trials,</w:t>
      </w:r>
      <w:r w:rsidRPr="0031675F">
        <w:rPr>
          <w:spacing w:val="18"/>
        </w:rPr>
        <w:t xml:space="preserve"> </w:t>
      </w:r>
      <w:r w:rsidRPr="0031675F">
        <w:t>e.g.</w:t>
      </w:r>
      <w:r w:rsidRPr="0031675F">
        <w:rPr>
          <w:spacing w:val="109"/>
        </w:rPr>
        <w:t xml:space="preserve"> </w:t>
      </w:r>
      <w:r w:rsidRPr="0031675F">
        <w:rPr>
          <w:spacing w:val="-1"/>
        </w:rPr>
        <w:t>biannually</w:t>
      </w:r>
      <w:r w:rsidRPr="0031675F">
        <w:rPr>
          <w:spacing w:val="8"/>
        </w:rPr>
        <w:t xml:space="preserve"> </w:t>
      </w:r>
      <w:r w:rsidRPr="0031675F">
        <w:t>with</w:t>
      </w:r>
      <w:r w:rsidRPr="0031675F">
        <w:rPr>
          <w:spacing w:val="7"/>
        </w:rPr>
        <w:t xml:space="preserve"> </w:t>
      </w:r>
      <w:r w:rsidRPr="0031675F">
        <w:rPr>
          <w:spacing w:val="-1"/>
        </w:rPr>
        <w:t>Quasimeme</w:t>
      </w:r>
      <w:r w:rsidRPr="0031675F">
        <w:rPr>
          <w:spacing w:val="8"/>
        </w:rPr>
        <w:t xml:space="preserve"> </w:t>
      </w:r>
      <w:r w:rsidRPr="0031675F">
        <w:rPr>
          <w:spacing w:val="-1"/>
        </w:rPr>
        <w:t>(</w:t>
      </w:r>
      <w:hyperlink r:id="rId114">
        <w:r w:rsidRPr="0031675F">
          <w:rPr>
            <w:spacing w:val="-1"/>
            <w:u w:val="single" w:color="000000"/>
          </w:rPr>
          <w:t>http://www.quasimeme.marlab.ac.uk/about.htm)</w:t>
        </w:r>
      </w:hyperlink>
      <w:r w:rsidRPr="0031675F">
        <w:rPr>
          <w:spacing w:val="8"/>
          <w:u w:val="single" w:color="000000"/>
        </w:rPr>
        <w:t xml:space="preserve"> </w:t>
      </w:r>
      <w:r w:rsidRPr="0031675F">
        <w:rPr>
          <w:spacing w:val="-1"/>
        </w:rPr>
        <w:t>and</w:t>
      </w:r>
      <w:r w:rsidRPr="0031675F">
        <w:rPr>
          <w:spacing w:val="6"/>
        </w:rPr>
        <w:t xml:space="preserve"> </w:t>
      </w:r>
      <w:r w:rsidRPr="0031675F">
        <w:rPr>
          <w:spacing w:val="-1"/>
        </w:rPr>
        <w:t>annually</w:t>
      </w:r>
      <w:r w:rsidRPr="0031675F">
        <w:rPr>
          <w:spacing w:val="8"/>
        </w:rPr>
        <w:t xml:space="preserve"> </w:t>
      </w:r>
      <w:r w:rsidRPr="0031675F">
        <w:t>with</w:t>
      </w:r>
      <w:r w:rsidRPr="0031675F">
        <w:rPr>
          <w:spacing w:val="55"/>
        </w:rPr>
        <w:t xml:space="preserve"> </w:t>
      </w:r>
      <w:r w:rsidRPr="0031675F">
        <w:t xml:space="preserve">the </w:t>
      </w:r>
      <w:r w:rsidRPr="0031675F">
        <w:rPr>
          <w:spacing w:val="-1"/>
        </w:rPr>
        <w:t>national</w:t>
      </w:r>
      <w:r w:rsidRPr="0031675F">
        <w:t xml:space="preserve"> </w:t>
      </w:r>
      <w:r w:rsidRPr="0031675F">
        <w:rPr>
          <w:spacing w:val="-1"/>
        </w:rPr>
        <w:t>low-level</w:t>
      </w:r>
      <w:r w:rsidRPr="0031675F">
        <w:t xml:space="preserve"> </w:t>
      </w:r>
      <w:r w:rsidRPr="0031675F">
        <w:rPr>
          <w:spacing w:val="-1"/>
        </w:rPr>
        <w:t>nutrient collaborative</w:t>
      </w:r>
      <w:r w:rsidRPr="0031675F">
        <w:t xml:space="preserve"> </w:t>
      </w:r>
      <w:r w:rsidRPr="0031675F">
        <w:rPr>
          <w:spacing w:val="-1"/>
        </w:rPr>
        <w:t>trials</w:t>
      </w:r>
      <w:r w:rsidRPr="0031675F">
        <w:rPr>
          <w:spacing w:val="-3"/>
        </w:rPr>
        <w:t xml:space="preserve"> </w:t>
      </w:r>
      <w:r w:rsidRPr="0031675F">
        <w:rPr>
          <w:spacing w:val="-1"/>
        </w:rPr>
        <w:t>(NLLNCT,</w:t>
      </w:r>
      <w:r w:rsidRPr="0031675F">
        <w:rPr>
          <w:spacing w:val="1"/>
        </w:rPr>
        <w:t xml:space="preserve"> </w:t>
      </w:r>
      <w:r w:rsidRPr="0031675F">
        <w:rPr>
          <w:spacing w:val="-1"/>
        </w:rPr>
        <w:t>Australia).</w:t>
      </w:r>
    </w:p>
    <w:p w14:paraId="6CC3EC2C" w14:textId="77777777" w:rsidR="0031675F" w:rsidRPr="0031675F" w:rsidRDefault="0031675F" w:rsidP="0031675F">
      <w:pPr>
        <w:widowControl w:val="0"/>
        <w:numPr>
          <w:ilvl w:val="0"/>
          <w:numId w:val="126"/>
        </w:numPr>
        <w:tabs>
          <w:tab w:val="left" w:pos="403"/>
        </w:tabs>
        <w:spacing w:before="0" w:after="0" w:line="239" w:lineRule="auto"/>
        <w:ind w:left="402" w:right="116"/>
        <w:jc w:val="both"/>
      </w:pPr>
      <w:r w:rsidRPr="0031675F">
        <w:t>As</w:t>
      </w:r>
      <w:r w:rsidRPr="0031675F">
        <w:rPr>
          <w:spacing w:val="4"/>
        </w:rPr>
        <w:t xml:space="preserve"> </w:t>
      </w:r>
      <w:r w:rsidRPr="0031675F">
        <w:t>a</w:t>
      </w:r>
      <w:r w:rsidRPr="0031675F">
        <w:rPr>
          <w:spacing w:val="5"/>
        </w:rPr>
        <w:t xml:space="preserve"> </w:t>
      </w:r>
      <w:r w:rsidRPr="0031675F">
        <w:rPr>
          <w:spacing w:val="-1"/>
        </w:rPr>
        <w:t>further</w:t>
      </w:r>
      <w:r w:rsidRPr="0031675F">
        <w:rPr>
          <w:spacing w:val="4"/>
        </w:rPr>
        <w:t xml:space="preserve"> </w:t>
      </w:r>
      <w:r w:rsidRPr="0031675F">
        <w:rPr>
          <w:spacing w:val="-1"/>
        </w:rPr>
        <w:t>measure</w:t>
      </w:r>
      <w:r w:rsidRPr="0031675F">
        <w:rPr>
          <w:spacing w:val="1"/>
        </w:rPr>
        <w:t xml:space="preserve"> </w:t>
      </w:r>
      <w:r w:rsidRPr="0031675F">
        <w:t>to</w:t>
      </w:r>
      <w:r w:rsidRPr="0031675F">
        <w:rPr>
          <w:spacing w:val="4"/>
        </w:rPr>
        <w:t xml:space="preserve"> </w:t>
      </w:r>
      <w:r w:rsidRPr="0031675F">
        <w:rPr>
          <w:spacing w:val="-1"/>
        </w:rPr>
        <w:t>ensure</w:t>
      </w:r>
      <w:r w:rsidRPr="0031675F">
        <w:rPr>
          <w:spacing w:val="5"/>
        </w:rPr>
        <w:t xml:space="preserve"> </w:t>
      </w:r>
      <w:r w:rsidRPr="0031675F">
        <w:rPr>
          <w:spacing w:val="-1"/>
        </w:rPr>
        <w:t>analytical</w:t>
      </w:r>
      <w:r w:rsidRPr="0031675F">
        <w:rPr>
          <w:spacing w:val="2"/>
        </w:rPr>
        <w:t xml:space="preserve"> </w:t>
      </w:r>
      <w:r w:rsidRPr="0031675F">
        <w:rPr>
          <w:spacing w:val="-1"/>
        </w:rPr>
        <w:t>accuracy,</w:t>
      </w:r>
      <w:r w:rsidRPr="0031675F">
        <w:rPr>
          <w:spacing w:val="5"/>
        </w:rPr>
        <w:t xml:space="preserve"> </w:t>
      </w:r>
      <w:r w:rsidRPr="0031675F">
        <w:rPr>
          <w:spacing w:val="-1"/>
        </w:rPr>
        <w:t>spikes</w:t>
      </w:r>
      <w:r w:rsidRPr="0031675F">
        <w:rPr>
          <w:spacing w:val="5"/>
        </w:rPr>
        <w:t xml:space="preserve"> </w:t>
      </w:r>
      <w:r w:rsidRPr="0031675F">
        <w:rPr>
          <w:spacing w:val="-1"/>
        </w:rPr>
        <w:t>of</w:t>
      </w:r>
      <w:r w:rsidRPr="0031675F">
        <w:rPr>
          <w:spacing w:val="5"/>
        </w:rPr>
        <w:t xml:space="preserve"> </w:t>
      </w:r>
      <w:r w:rsidRPr="0031675F">
        <w:rPr>
          <w:spacing w:val="-1"/>
        </w:rPr>
        <w:t>known</w:t>
      </w:r>
      <w:r w:rsidRPr="0031675F">
        <w:rPr>
          <w:spacing w:val="4"/>
        </w:rPr>
        <w:t xml:space="preserve"> </w:t>
      </w:r>
      <w:r w:rsidRPr="0031675F">
        <w:rPr>
          <w:spacing w:val="-1"/>
        </w:rPr>
        <w:t>concentration</w:t>
      </w:r>
      <w:r w:rsidRPr="0031675F">
        <w:rPr>
          <w:spacing w:val="4"/>
        </w:rPr>
        <w:t xml:space="preserve"> </w:t>
      </w:r>
      <w:r w:rsidRPr="0031675F">
        <w:t>were</w:t>
      </w:r>
      <w:r w:rsidRPr="0031675F">
        <w:rPr>
          <w:spacing w:val="5"/>
        </w:rPr>
        <w:t xml:space="preserve"> </w:t>
      </w:r>
      <w:r w:rsidRPr="0031675F">
        <w:rPr>
          <w:spacing w:val="-1"/>
        </w:rPr>
        <w:t>added</w:t>
      </w:r>
      <w:r w:rsidRPr="0031675F">
        <w:rPr>
          <w:spacing w:val="4"/>
        </w:rPr>
        <w:t xml:space="preserve"> </w:t>
      </w:r>
      <w:r w:rsidRPr="0031675F">
        <w:rPr>
          <w:spacing w:val="-1"/>
        </w:rPr>
        <w:t>to</w:t>
      </w:r>
      <w:r w:rsidRPr="0031675F">
        <w:rPr>
          <w:spacing w:val="81"/>
        </w:rPr>
        <w:t xml:space="preserve"> </w:t>
      </w:r>
      <w:r w:rsidRPr="0031675F">
        <w:rPr>
          <w:spacing w:val="-1"/>
        </w:rPr>
        <w:t>natural</w:t>
      </w:r>
      <w:r w:rsidRPr="0031675F">
        <w:rPr>
          <w:spacing w:val="7"/>
        </w:rPr>
        <w:t xml:space="preserve"> </w:t>
      </w:r>
      <w:r w:rsidRPr="0031675F">
        <w:rPr>
          <w:spacing w:val="-1"/>
        </w:rPr>
        <w:t>seawater</w:t>
      </w:r>
      <w:r w:rsidRPr="0031675F">
        <w:rPr>
          <w:spacing w:val="7"/>
        </w:rPr>
        <w:t xml:space="preserve"> </w:t>
      </w:r>
      <w:r w:rsidRPr="0031675F">
        <w:rPr>
          <w:spacing w:val="-1"/>
        </w:rPr>
        <w:t>samples</w:t>
      </w:r>
      <w:r w:rsidRPr="0031675F">
        <w:rPr>
          <w:spacing w:val="7"/>
        </w:rPr>
        <w:t xml:space="preserve"> </w:t>
      </w:r>
      <w:r w:rsidRPr="0031675F">
        <w:t>on</w:t>
      </w:r>
      <w:r w:rsidRPr="0031675F">
        <w:rPr>
          <w:spacing w:val="6"/>
        </w:rPr>
        <w:t xml:space="preserve"> </w:t>
      </w:r>
      <w:r w:rsidRPr="0031675F">
        <w:t>board</w:t>
      </w:r>
      <w:r w:rsidRPr="0031675F">
        <w:rPr>
          <w:spacing w:val="6"/>
        </w:rPr>
        <w:t xml:space="preserve"> </w:t>
      </w:r>
      <w:r w:rsidRPr="0031675F">
        <w:t>of</w:t>
      </w:r>
      <w:r w:rsidRPr="0031675F">
        <w:rPr>
          <w:spacing w:val="7"/>
        </w:rPr>
        <w:t xml:space="preserve"> </w:t>
      </w:r>
      <w:r w:rsidRPr="0031675F">
        <w:t>the</w:t>
      </w:r>
      <w:r w:rsidRPr="0031675F">
        <w:rPr>
          <w:spacing w:val="7"/>
        </w:rPr>
        <w:t xml:space="preserve"> </w:t>
      </w:r>
      <w:r w:rsidRPr="0031675F">
        <w:rPr>
          <w:spacing w:val="-1"/>
        </w:rPr>
        <w:t>research</w:t>
      </w:r>
      <w:r w:rsidRPr="0031675F">
        <w:rPr>
          <w:spacing w:val="6"/>
        </w:rPr>
        <w:t xml:space="preserve"> </w:t>
      </w:r>
      <w:r w:rsidRPr="0031675F">
        <w:rPr>
          <w:spacing w:val="-1"/>
        </w:rPr>
        <w:t>vessel,</w:t>
      </w:r>
      <w:r w:rsidRPr="0031675F">
        <w:rPr>
          <w:spacing w:val="7"/>
        </w:rPr>
        <w:t xml:space="preserve"> </w:t>
      </w:r>
      <w:r w:rsidRPr="0031675F">
        <w:rPr>
          <w:spacing w:val="-1"/>
        </w:rPr>
        <w:t>during</w:t>
      </w:r>
      <w:r w:rsidRPr="0031675F">
        <w:rPr>
          <w:spacing w:val="6"/>
        </w:rPr>
        <w:t xml:space="preserve"> </w:t>
      </w:r>
      <w:r w:rsidRPr="0031675F">
        <w:t>the</w:t>
      </w:r>
      <w:r w:rsidRPr="0031675F">
        <w:rPr>
          <w:spacing w:val="7"/>
        </w:rPr>
        <w:t xml:space="preserve"> </w:t>
      </w:r>
      <w:r w:rsidRPr="0031675F">
        <w:t>normal</w:t>
      </w:r>
      <w:r w:rsidRPr="0031675F">
        <w:rPr>
          <w:spacing w:val="7"/>
        </w:rPr>
        <w:t xml:space="preserve"> </w:t>
      </w:r>
      <w:r w:rsidRPr="0031675F">
        <w:rPr>
          <w:spacing w:val="-1"/>
        </w:rPr>
        <w:t>sample</w:t>
      </w:r>
      <w:r w:rsidRPr="0031675F">
        <w:rPr>
          <w:spacing w:val="7"/>
        </w:rPr>
        <w:t xml:space="preserve"> </w:t>
      </w:r>
      <w:r w:rsidRPr="0031675F">
        <w:rPr>
          <w:spacing w:val="-1"/>
        </w:rPr>
        <w:t>preparation</w:t>
      </w:r>
      <w:r w:rsidRPr="0031675F">
        <w:rPr>
          <w:spacing w:val="63"/>
        </w:rPr>
        <w:t xml:space="preserve"> </w:t>
      </w:r>
      <w:r w:rsidRPr="0031675F">
        <w:rPr>
          <w:spacing w:val="-1"/>
        </w:rPr>
        <w:t>and analysed</w:t>
      </w:r>
      <w:r w:rsidRPr="0031675F">
        <w:t xml:space="preserve"> as</w:t>
      </w:r>
      <w:r w:rsidRPr="0031675F">
        <w:rPr>
          <w:spacing w:val="-3"/>
        </w:rPr>
        <w:t xml:space="preserve"> </w:t>
      </w:r>
      <w:r w:rsidRPr="0031675F">
        <w:rPr>
          <w:spacing w:val="-1"/>
        </w:rPr>
        <w:t>part</w:t>
      </w:r>
      <w:r w:rsidRPr="0031675F">
        <w:rPr>
          <w:spacing w:val="-2"/>
        </w:rPr>
        <w:t xml:space="preserve"> </w:t>
      </w:r>
      <w:r w:rsidRPr="0031675F">
        <w:t xml:space="preserve">of </w:t>
      </w:r>
      <w:r w:rsidRPr="0031675F">
        <w:rPr>
          <w:spacing w:val="-2"/>
        </w:rPr>
        <w:t xml:space="preserve">the </w:t>
      </w:r>
      <w:r w:rsidRPr="0031675F">
        <w:rPr>
          <w:spacing w:val="-1"/>
        </w:rPr>
        <w:t>sample</w:t>
      </w:r>
      <w:r w:rsidRPr="0031675F">
        <w:rPr>
          <w:spacing w:val="-3"/>
        </w:rPr>
        <w:t xml:space="preserve"> </w:t>
      </w:r>
      <w:r w:rsidRPr="0031675F">
        <w:rPr>
          <w:spacing w:val="-1"/>
        </w:rPr>
        <w:t>batch,</w:t>
      </w:r>
      <w:r w:rsidRPr="0031675F">
        <w:rPr>
          <w:spacing w:val="1"/>
        </w:rPr>
        <w:t xml:space="preserve"> </w:t>
      </w:r>
      <w:r w:rsidRPr="0031675F">
        <w:rPr>
          <w:spacing w:val="-1"/>
        </w:rPr>
        <w:t>unbeknown</w:t>
      </w:r>
      <w:r w:rsidRPr="0031675F">
        <w:t xml:space="preserve"> to</w:t>
      </w:r>
      <w:r w:rsidRPr="0031675F">
        <w:rPr>
          <w:spacing w:val="-1"/>
        </w:rPr>
        <w:t xml:space="preserve"> </w:t>
      </w:r>
      <w:r w:rsidRPr="0031675F">
        <w:t xml:space="preserve">the </w:t>
      </w:r>
      <w:r w:rsidRPr="0031675F">
        <w:rPr>
          <w:spacing w:val="-1"/>
        </w:rPr>
        <w:t>analyst</w:t>
      </w:r>
    </w:p>
    <w:p w14:paraId="334842F4" w14:textId="77777777" w:rsidR="0031675F" w:rsidRPr="0031675F" w:rsidRDefault="0031675F" w:rsidP="0031675F">
      <w:pPr>
        <w:spacing w:before="1"/>
        <w:rPr>
          <w:rFonts w:cs="Calibri"/>
        </w:rPr>
      </w:pPr>
    </w:p>
    <w:p w14:paraId="763D64ED" w14:textId="77777777" w:rsidR="0031675F" w:rsidRPr="0031675F" w:rsidRDefault="0031675F" w:rsidP="0031675F">
      <w:pPr>
        <w:spacing w:after="120"/>
        <w:jc w:val="both"/>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1"/>
          <w:u w:val="single" w:color="000000"/>
        </w:rPr>
        <w:t xml:space="preserve"> precision </w:t>
      </w:r>
      <w:r w:rsidRPr="0031675F">
        <w:rPr>
          <w:u w:val="single" w:color="000000"/>
        </w:rPr>
        <w:t>of</w:t>
      </w:r>
      <w:r w:rsidRPr="0031675F">
        <w:rPr>
          <w:spacing w:val="-5"/>
          <w:u w:val="single" w:color="000000"/>
        </w:rPr>
        <w:t xml:space="preserve"> </w:t>
      </w:r>
      <w:r w:rsidRPr="0031675F">
        <w:rPr>
          <w:u w:val="single" w:color="000000"/>
        </w:rPr>
        <w:t>the</w:t>
      </w:r>
      <w:r w:rsidRPr="0031675F">
        <w:rPr>
          <w:spacing w:val="-1"/>
          <w:u w:val="single" w:color="000000"/>
        </w:rPr>
        <w:t xml:space="preserve"> analysis</w:t>
      </w:r>
    </w:p>
    <w:p w14:paraId="2C55D395" w14:textId="77777777" w:rsidR="0031675F" w:rsidRPr="0031675F" w:rsidRDefault="0031675F" w:rsidP="0031675F">
      <w:pPr>
        <w:spacing w:after="120"/>
        <w:ind w:right="120"/>
      </w:pPr>
      <w:r w:rsidRPr="0031675F">
        <w:rPr>
          <w:spacing w:val="-1"/>
        </w:rPr>
        <w:t>NB:</w:t>
      </w:r>
      <w:r w:rsidRPr="0031675F">
        <w:rPr>
          <w:spacing w:val="36"/>
        </w:rPr>
        <w:t xml:space="preserve"> </w:t>
      </w:r>
      <w:r w:rsidRPr="0031675F">
        <w:rPr>
          <w:spacing w:val="-1"/>
        </w:rPr>
        <w:t>This</w:t>
      </w:r>
      <w:r w:rsidRPr="0031675F">
        <w:rPr>
          <w:spacing w:val="36"/>
        </w:rPr>
        <w:t xml:space="preserve"> </w:t>
      </w:r>
      <w:r w:rsidRPr="0031675F">
        <w:t>is</w:t>
      </w:r>
      <w:r w:rsidRPr="0031675F">
        <w:rPr>
          <w:spacing w:val="36"/>
        </w:rPr>
        <w:t xml:space="preserve"> </w:t>
      </w:r>
      <w:r w:rsidRPr="0031675F">
        <w:rPr>
          <w:spacing w:val="-1"/>
        </w:rPr>
        <w:t>generally</w:t>
      </w:r>
      <w:r w:rsidRPr="0031675F">
        <w:rPr>
          <w:spacing w:val="36"/>
        </w:rPr>
        <w:t xml:space="preserve"> </w:t>
      </w:r>
      <w:r w:rsidRPr="0031675F">
        <w:rPr>
          <w:spacing w:val="-1"/>
        </w:rPr>
        <w:t>achieved</w:t>
      </w:r>
      <w:r w:rsidRPr="0031675F">
        <w:rPr>
          <w:spacing w:val="36"/>
        </w:rPr>
        <w:t xml:space="preserve"> </w:t>
      </w:r>
      <w:r w:rsidRPr="0031675F">
        <w:rPr>
          <w:spacing w:val="-1"/>
        </w:rPr>
        <w:t>by</w:t>
      </w:r>
      <w:r w:rsidRPr="0031675F">
        <w:rPr>
          <w:spacing w:val="37"/>
        </w:rPr>
        <w:t xml:space="preserve"> </w:t>
      </w:r>
      <w:r w:rsidRPr="0031675F">
        <w:rPr>
          <w:spacing w:val="-1"/>
        </w:rPr>
        <w:t>the</w:t>
      </w:r>
      <w:r w:rsidRPr="0031675F">
        <w:rPr>
          <w:spacing w:val="37"/>
        </w:rPr>
        <w:t xml:space="preserve"> </w:t>
      </w:r>
      <w:r w:rsidRPr="0031675F">
        <w:rPr>
          <w:spacing w:val="-1"/>
        </w:rPr>
        <w:t>repeated</w:t>
      </w:r>
      <w:r w:rsidRPr="0031675F">
        <w:rPr>
          <w:spacing w:val="35"/>
        </w:rPr>
        <w:t xml:space="preserve"> </w:t>
      </w:r>
      <w:r w:rsidRPr="0031675F">
        <w:rPr>
          <w:spacing w:val="-1"/>
        </w:rPr>
        <w:t>analyses</w:t>
      </w:r>
      <w:r w:rsidRPr="0031675F">
        <w:rPr>
          <w:spacing w:val="34"/>
        </w:rPr>
        <w:t xml:space="preserve"> </w:t>
      </w:r>
      <w:r w:rsidRPr="0031675F">
        <w:t>of</w:t>
      </w:r>
      <w:r w:rsidRPr="0031675F">
        <w:rPr>
          <w:spacing w:val="36"/>
        </w:rPr>
        <w:t xml:space="preserve"> </w:t>
      </w:r>
      <w:r w:rsidRPr="0031675F">
        <w:t>the</w:t>
      </w:r>
      <w:r w:rsidRPr="0031675F">
        <w:rPr>
          <w:spacing w:val="35"/>
        </w:rPr>
        <w:t xml:space="preserve"> </w:t>
      </w:r>
      <w:r w:rsidRPr="0031675F">
        <w:rPr>
          <w:spacing w:val="-1"/>
        </w:rPr>
        <w:t>same</w:t>
      </w:r>
      <w:r w:rsidRPr="0031675F">
        <w:rPr>
          <w:spacing w:val="37"/>
        </w:rPr>
        <w:t xml:space="preserve"> </w:t>
      </w:r>
      <w:r w:rsidRPr="0031675F">
        <w:rPr>
          <w:spacing w:val="-1"/>
        </w:rPr>
        <w:t>concentration</w:t>
      </w:r>
      <w:r w:rsidRPr="0031675F">
        <w:rPr>
          <w:spacing w:val="35"/>
        </w:rPr>
        <w:t xml:space="preserve"> </w:t>
      </w:r>
      <w:r w:rsidRPr="0031675F">
        <w:t>of</w:t>
      </w:r>
      <w:r w:rsidRPr="0031675F">
        <w:rPr>
          <w:spacing w:val="36"/>
        </w:rPr>
        <w:t xml:space="preserve"> </w:t>
      </w:r>
      <w:r w:rsidRPr="0031675F">
        <w:rPr>
          <w:spacing w:val="-1"/>
        </w:rPr>
        <w:t>analyte</w:t>
      </w:r>
      <w:r w:rsidRPr="0031675F">
        <w:rPr>
          <w:spacing w:val="36"/>
        </w:rPr>
        <w:t xml:space="preserve"> </w:t>
      </w:r>
      <w:r w:rsidRPr="0031675F">
        <w:rPr>
          <w:spacing w:val="-1"/>
        </w:rPr>
        <w:t>to</w:t>
      </w:r>
      <w:r w:rsidRPr="0031675F">
        <w:rPr>
          <w:spacing w:val="73"/>
        </w:rPr>
        <w:t xml:space="preserve"> </w:t>
      </w:r>
      <w:r w:rsidRPr="0031675F">
        <w:t xml:space="preserve">check </w:t>
      </w:r>
      <w:r w:rsidRPr="0031675F">
        <w:rPr>
          <w:spacing w:val="-1"/>
        </w:rPr>
        <w:t>for</w:t>
      </w:r>
      <w:r w:rsidRPr="0031675F">
        <w:t xml:space="preserve"> </w:t>
      </w:r>
      <w:r w:rsidRPr="0031675F">
        <w:rPr>
          <w:spacing w:val="-1"/>
        </w:rPr>
        <w:t>reproducibility.</w:t>
      </w:r>
    </w:p>
    <w:p w14:paraId="73A2BBCA" w14:textId="77777777" w:rsidR="0031675F" w:rsidRPr="0031675F" w:rsidRDefault="0031675F" w:rsidP="0031675F">
      <w:pPr>
        <w:widowControl w:val="0"/>
        <w:numPr>
          <w:ilvl w:val="0"/>
          <w:numId w:val="126"/>
        </w:numPr>
        <w:tabs>
          <w:tab w:val="left" w:pos="403"/>
        </w:tabs>
        <w:spacing w:before="0" w:after="0" w:line="240" w:lineRule="auto"/>
        <w:ind w:left="402"/>
        <w:jc w:val="both"/>
      </w:pPr>
      <w:r w:rsidRPr="0031675F">
        <w:rPr>
          <w:spacing w:val="-1"/>
        </w:rPr>
        <w:t xml:space="preserve">Recording </w:t>
      </w:r>
      <w:r w:rsidRPr="0031675F">
        <w:t xml:space="preserve">of </w:t>
      </w:r>
      <w:r w:rsidRPr="0031675F">
        <w:rPr>
          <w:spacing w:val="-1"/>
        </w:rPr>
        <w:t>in-house</w:t>
      </w:r>
      <w:r w:rsidRPr="0031675F">
        <w:t xml:space="preserve"> </w:t>
      </w:r>
      <w:r w:rsidRPr="0031675F">
        <w:rPr>
          <w:spacing w:val="-1"/>
        </w:rPr>
        <w:t>seawater</w:t>
      </w:r>
      <w:r w:rsidRPr="0031675F">
        <w:rPr>
          <w:spacing w:val="-2"/>
        </w:rPr>
        <w:t xml:space="preserve"> </w:t>
      </w:r>
      <w:r w:rsidRPr="0031675F">
        <w:rPr>
          <w:spacing w:val="-1"/>
        </w:rPr>
        <w:t>storage</w:t>
      </w:r>
      <w:r w:rsidRPr="0031675F">
        <w:t xml:space="preserve"> </w:t>
      </w:r>
      <w:r w:rsidRPr="0031675F">
        <w:rPr>
          <w:spacing w:val="-1"/>
        </w:rPr>
        <w:t>reference</w:t>
      </w:r>
      <w:r w:rsidRPr="0031675F">
        <w:t xml:space="preserve"> </w:t>
      </w:r>
      <w:r w:rsidRPr="0031675F">
        <w:rPr>
          <w:spacing w:val="-1"/>
        </w:rPr>
        <w:t>samples for</w:t>
      </w:r>
      <w:r w:rsidRPr="0031675F">
        <w:rPr>
          <w:spacing w:val="-2"/>
        </w:rPr>
        <w:t xml:space="preserve"> </w:t>
      </w:r>
      <w:r w:rsidRPr="0031675F">
        <w:t>each</w:t>
      </w:r>
      <w:r w:rsidRPr="0031675F">
        <w:rPr>
          <w:spacing w:val="-1"/>
        </w:rPr>
        <w:t xml:space="preserve"> nutrient species</w:t>
      </w:r>
      <w:r w:rsidRPr="0031675F">
        <w:t xml:space="preserve"> analysed.</w:t>
      </w:r>
    </w:p>
    <w:p w14:paraId="450B2B38" w14:textId="77777777" w:rsidR="0031675F" w:rsidRPr="0031675F" w:rsidRDefault="0031675F" w:rsidP="0031675F">
      <w:pPr>
        <w:rPr>
          <w:rFonts w:cs="Calibri"/>
        </w:rPr>
      </w:pPr>
    </w:p>
    <w:p w14:paraId="5885E07A" w14:textId="77777777" w:rsidR="0031675F" w:rsidRPr="0031675F" w:rsidRDefault="0031675F" w:rsidP="0031675F">
      <w:pPr>
        <w:spacing w:after="120"/>
        <w:jc w:val="both"/>
      </w:pPr>
      <w:r w:rsidRPr="0031675F">
        <w:rPr>
          <w:spacing w:val="-1"/>
          <w:u w:val="single" w:color="000000"/>
        </w:rPr>
        <w:t>Procedural blanks:</w:t>
      </w:r>
    </w:p>
    <w:p w14:paraId="2301A00F" w14:textId="77777777" w:rsidR="0031675F" w:rsidRPr="0031675F" w:rsidRDefault="0031675F" w:rsidP="0031675F">
      <w:pPr>
        <w:widowControl w:val="0"/>
        <w:numPr>
          <w:ilvl w:val="0"/>
          <w:numId w:val="126"/>
        </w:numPr>
        <w:tabs>
          <w:tab w:val="left" w:pos="403"/>
        </w:tabs>
        <w:spacing w:before="2" w:after="0" w:line="238" w:lineRule="auto"/>
        <w:ind w:left="402" w:right="120"/>
        <w:rPr>
          <w:spacing w:val="-1"/>
        </w:rPr>
      </w:pPr>
      <w:r w:rsidRPr="0031675F">
        <w:rPr>
          <w:spacing w:val="-1"/>
        </w:rPr>
        <w:t>Blank</w:t>
      </w:r>
      <w:r w:rsidRPr="0031675F">
        <w:rPr>
          <w:spacing w:val="15"/>
        </w:rPr>
        <w:t xml:space="preserve"> </w:t>
      </w:r>
      <w:r w:rsidRPr="0031675F">
        <w:rPr>
          <w:spacing w:val="-1"/>
        </w:rPr>
        <w:t>samples</w:t>
      </w:r>
      <w:r w:rsidRPr="0031675F">
        <w:rPr>
          <w:spacing w:val="15"/>
        </w:rPr>
        <w:t xml:space="preserve"> </w:t>
      </w:r>
      <w:r w:rsidRPr="0031675F">
        <w:rPr>
          <w:spacing w:val="-1"/>
        </w:rPr>
        <w:t>for</w:t>
      </w:r>
      <w:r w:rsidRPr="0031675F">
        <w:rPr>
          <w:spacing w:val="14"/>
        </w:rPr>
        <w:t xml:space="preserve"> </w:t>
      </w:r>
      <w:r w:rsidRPr="0031675F">
        <w:rPr>
          <w:spacing w:val="-1"/>
        </w:rPr>
        <w:t>drift</w:t>
      </w:r>
      <w:r w:rsidRPr="0031675F">
        <w:rPr>
          <w:spacing w:val="13"/>
        </w:rPr>
        <w:t xml:space="preserve"> </w:t>
      </w:r>
      <w:r w:rsidRPr="0031675F">
        <w:rPr>
          <w:spacing w:val="-1"/>
        </w:rPr>
        <w:t>and</w:t>
      </w:r>
      <w:r w:rsidRPr="0031675F">
        <w:rPr>
          <w:spacing w:val="14"/>
        </w:rPr>
        <w:t xml:space="preserve"> </w:t>
      </w:r>
      <w:r w:rsidRPr="0031675F">
        <w:rPr>
          <w:spacing w:val="-1"/>
        </w:rPr>
        <w:t>baseline</w:t>
      </w:r>
      <w:r w:rsidRPr="0031675F">
        <w:rPr>
          <w:spacing w:val="15"/>
        </w:rPr>
        <w:t xml:space="preserve"> </w:t>
      </w:r>
      <w:r w:rsidRPr="0031675F">
        <w:rPr>
          <w:spacing w:val="-1"/>
        </w:rPr>
        <w:t>corrections</w:t>
      </w:r>
      <w:r w:rsidRPr="0031675F">
        <w:rPr>
          <w:spacing w:val="14"/>
        </w:rPr>
        <w:t xml:space="preserve"> </w:t>
      </w:r>
      <w:r w:rsidRPr="0031675F">
        <w:rPr>
          <w:spacing w:val="-2"/>
        </w:rPr>
        <w:t>(part</w:t>
      </w:r>
      <w:r w:rsidRPr="0031675F">
        <w:rPr>
          <w:spacing w:val="15"/>
        </w:rPr>
        <w:t xml:space="preserve"> </w:t>
      </w:r>
      <w:r w:rsidRPr="0031675F">
        <w:t>of</w:t>
      </w:r>
      <w:r w:rsidRPr="0031675F">
        <w:rPr>
          <w:spacing w:val="14"/>
        </w:rPr>
        <w:t xml:space="preserve"> </w:t>
      </w:r>
      <w:r w:rsidRPr="0031675F">
        <w:t>the</w:t>
      </w:r>
      <w:r w:rsidRPr="0031675F">
        <w:rPr>
          <w:spacing w:val="12"/>
        </w:rPr>
        <w:t xml:space="preserve"> </w:t>
      </w:r>
      <w:r w:rsidRPr="0031675F">
        <w:rPr>
          <w:spacing w:val="-1"/>
        </w:rPr>
        <w:t>autoanalyser</w:t>
      </w:r>
      <w:r w:rsidRPr="0031675F">
        <w:rPr>
          <w:spacing w:val="15"/>
        </w:rPr>
        <w:t xml:space="preserve"> </w:t>
      </w:r>
      <w:r w:rsidRPr="0031675F">
        <w:rPr>
          <w:spacing w:val="-1"/>
        </w:rPr>
        <w:t>software)</w:t>
      </w:r>
      <w:r w:rsidRPr="0031675F">
        <w:rPr>
          <w:spacing w:val="21"/>
        </w:rPr>
        <w:t xml:space="preserve"> </w:t>
      </w:r>
      <w:r w:rsidRPr="0031675F">
        <w:rPr>
          <w:spacing w:val="-1"/>
        </w:rPr>
        <w:t>are</w:t>
      </w:r>
      <w:r w:rsidRPr="0031675F">
        <w:rPr>
          <w:spacing w:val="15"/>
        </w:rPr>
        <w:t xml:space="preserve"> </w:t>
      </w:r>
      <w:r w:rsidRPr="0031675F">
        <w:rPr>
          <w:spacing w:val="-1"/>
        </w:rPr>
        <w:t>included</w:t>
      </w:r>
      <w:r w:rsidRPr="0031675F">
        <w:rPr>
          <w:spacing w:val="81"/>
        </w:rPr>
        <w:t xml:space="preserve"> </w:t>
      </w:r>
      <w:r w:rsidRPr="0031675F">
        <w:t xml:space="preserve">at </w:t>
      </w:r>
      <w:r w:rsidRPr="0031675F">
        <w:rPr>
          <w:spacing w:val="-1"/>
        </w:rPr>
        <w:t>regular</w:t>
      </w:r>
      <w:r w:rsidRPr="0031675F">
        <w:t xml:space="preserve"> </w:t>
      </w:r>
      <w:r w:rsidRPr="0031675F">
        <w:rPr>
          <w:spacing w:val="-1"/>
        </w:rPr>
        <w:t>intervals</w:t>
      </w:r>
      <w:r w:rsidRPr="0031675F">
        <w:rPr>
          <w:spacing w:val="-2"/>
        </w:rPr>
        <w:t xml:space="preserve"> </w:t>
      </w:r>
      <w:r w:rsidRPr="0031675F">
        <w:t>within</w:t>
      </w:r>
      <w:r w:rsidRPr="0031675F">
        <w:rPr>
          <w:spacing w:val="-4"/>
        </w:rPr>
        <w:t xml:space="preserve"> </w:t>
      </w:r>
      <w:r w:rsidRPr="0031675F">
        <w:rPr>
          <w:spacing w:val="-1"/>
        </w:rPr>
        <w:t>the</w:t>
      </w:r>
      <w:r w:rsidRPr="0031675F">
        <w:t xml:space="preserve"> </w:t>
      </w:r>
      <w:r w:rsidRPr="0031675F">
        <w:rPr>
          <w:spacing w:val="-1"/>
        </w:rPr>
        <w:t>sample</w:t>
      </w:r>
      <w:r w:rsidRPr="0031675F">
        <w:t xml:space="preserve"> </w:t>
      </w:r>
      <w:r w:rsidRPr="0031675F">
        <w:rPr>
          <w:spacing w:val="-1"/>
        </w:rPr>
        <w:t>set</w:t>
      </w:r>
      <w:r w:rsidRPr="0031675F">
        <w:t xml:space="preserve"> </w:t>
      </w:r>
      <w:r w:rsidRPr="0031675F">
        <w:rPr>
          <w:spacing w:val="-2"/>
        </w:rPr>
        <w:t>(maximum</w:t>
      </w:r>
      <w:r w:rsidRPr="0031675F">
        <w:rPr>
          <w:spacing w:val="1"/>
        </w:rPr>
        <w:t xml:space="preserve"> </w:t>
      </w:r>
      <w:r w:rsidRPr="0031675F">
        <w:rPr>
          <w:spacing w:val="-2"/>
        </w:rPr>
        <w:t>up</w:t>
      </w:r>
      <w:r w:rsidRPr="0031675F">
        <w:rPr>
          <w:spacing w:val="-1"/>
        </w:rPr>
        <w:t xml:space="preserve"> </w:t>
      </w:r>
      <w:r w:rsidRPr="0031675F">
        <w:t>to</w:t>
      </w:r>
      <w:r w:rsidRPr="0031675F">
        <w:rPr>
          <w:spacing w:val="-1"/>
        </w:rPr>
        <w:t xml:space="preserve"> </w:t>
      </w:r>
      <w:r w:rsidRPr="0031675F">
        <w:t>60</w:t>
      </w:r>
      <w:r w:rsidRPr="0031675F">
        <w:rPr>
          <w:spacing w:val="-2"/>
        </w:rPr>
        <w:t xml:space="preserve"> </w:t>
      </w:r>
      <w:r w:rsidRPr="0031675F">
        <w:rPr>
          <w:spacing w:val="-1"/>
        </w:rPr>
        <w:t>samples per</w:t>
      </w:r>
      <w:r w:rsidRPr="0031675F">
        <w:t xml:space="preserve"> </w:t>
      </w:r>
      <w:r w:rsidRPr="0031675F">
        <w:rPr>
          <w:spacing w:val="-1"/>
        </w:rPr>
        <w:t>interval)</w:t>
      </w:r>
    </w:p>
    <w:p w14:paraId="10661CF8" w14:textId="77777777" w:rsidR="0031675F" w:rsidRPr="0031675F" w:rsidRDefault="0031675F" w:rsidP="0031675F">
      <w:pPr>
        <w:spacing w:before="12"/>
        <w:rPr>
          <w:spacing w:val="-1"/>
        </w:rPr>
      </w:pPr>
    </w:p>
    <w:p w14:paraId="38720E71" w14:textId="77777777" w:rsidR="0031675F" w:rsidRPr="0031675F" w:rsidRDefault="0031675F" w:rsidP="0031675F">
      <w:pPr>
        <w:spacing w:after="120"/>
        <w:jc w:val="both"/>
      </w:pPr>
      <w:r w:rsidRPr="0031675F">
        <w:rPr>
          <w:spacing w:val="-1"/>
          <w:u w:val="single" w:color="000000"/>
        </w:rPr>
        <w:t>Reproducibility</w:t>
      </w:r>
      <w:r w:rsidRPr="0031675F">
        <w:rPr>
          <w:u w:val="single" w:color="000000"/>
        </w:rPr>
        <w:t xml:space="preserve"> of</w:t>
      </w:r>
      <w:r w:rsidRPr="0031675F">
        <w:rPr>
          <w:spacing w:val="-3"/>
          <w:u w:val="single" w:color="000000"/>
        </w:rPr>
        <w:t xml:space="preserve"> </w:t>
      </w:r>
      <w:r w:rsidRPr="0031675F">
        <w:rPr>
          <w:spacing w:val="-1"/>
          <w:u w:val="single" w:color="000000"/>
        </w:rPr>
        <w:t>duplicate</w:t>
      </w:r>
      <w:r w:rsidRPr="0031675F">
        <w:rPr>
          <w:u w:val="single" w:color="000000"/>
        </w:rPr>
        <w:t xml:space="preserve"> </w:t>
      </w:r>
      <w:r w:rsidRPr="0031675F">
        <w:rPr>
          <w:spacing w:val="-1"/>
          <w:u w:val="single" w:color="000000"/>
        </w:rPr>
        <w:t>analytical units</w:t>
      </w:r>
    </w:p>
    <w:p w14:paraId="0AA0CF4F" w14:textId="77777777" w:rsidR="0031675F" w:rsidRPr="0031675F" w:rsidRDefault="0031675F" w:rsidP="0031675F">
      <w:pPr>
        <w:ind w:left="118" w:right="114"/>
        <w:jc w:val="both"/>
        <w:rPr>
          <w:rFonts w:cs="Calibri"/>
        </w:rPr>
      </w:pPr>
      <w:r w:rsidRPr="0031675F">
        <w:rPr>
          <w:i/>
          <w:spacing w:val="-1"/>
        </w:rPr>
        <w:t>NB:</w:t>
      </w:r>
      <w:r w:rsidRPr="0031675F">
        <w:rPr>
          <w:i/>
          <w:spacing w:val="20"/>
        </w:rPr>
        <w:t xml:space="preserve"> </w:t>
      </w:r>
      <w:r w:rsidRPr="0031675F">
        <w:rPr>
          <w:i/>
          <w:spacing w:val="-1"/>
        </w:rPr>
        <w:t>The</w:t>
      </w:r>
      <w:r w:rsidRPr="0031675F">
        <w:rPr>
          <w:i/>
          <w:spacing w:val="19"/>
        </w:rPr>
        <w:t xml:space="preserve"> </w:t>
      </w:r>
      <w:r w:rsidRPr="0031675F">
        <w:rPr>
          <w:i/>
          <w:spacing w:val="-1"/>
        </w:rPr>
        <w:t>variation</w:t>
      </w:r>
      <w:r w:rsidRPr="0031675F">
        <w:rPr>
          <w:i/>
          <w:spacing w:val="18"/>
        </w:rPr>
        <w:t xml:space="preserve"> </w:t>
      </w:r>
      <w:r w:rsidRPr="0031675F">
        <w:rPr>
          <w:i/>
          <w:spacing w:val="-1"/>
        </w:rPr>
        <w:t>between</w:t>
      </w:r>
      <w:r w:rsidRPr="0031675F">
        <w:rPr>
          <w:i/>
          <w:spacing w:val="17"/>
        </w:rPr>
        <w:t xml:space="preserve"> </w:t>
      </w:r>
      <w:r w:rsidRPr="0031675F">
        <w:rPr>
          <w:i/>
          <w:spacing w:val="-1"/>
        </w:rPr>
        <w:t>results</w:t>
      </w:r>
      <w:r w:rsidRPr="0031675F">
        <w:rPr>
          <w:i/>
          <w:spacing w:val="20"/>
        </w:rPr>
        <w:t xml:space="preserve"> </w:t>
      </w:r>
      <w:r w:rsidRPr="0031675F">
        <w:rPr>
          <w:i/>
          <w:spacing w:val="-1"/>
        </w:rPr>
        <w:t>for</w:t>
      </w:r>
      <w:r w:rsidRPr="0031675F">
        <w:rPr>
          <w:i/>
          <w:spacing w:val="17"/>
        </w:rPr>
        <w:t xml:space="preserve"> </w:t>
      </w:r>
      <w:r w:rsidRPr="0031675F">
        <w:rPr>
          <w:i/>
          <w:spacing w:val="-1"/>
        </w:rPr>
        <w:t>sample</w:t>
      </w:r>
      <w:r w:rsidRPr="0031675F">
        <w:rPr>
          <w:i/>
          <w:spacing w:val="19"/>
        </w:rPr>
        <w:t xml:space="preserve"> </w:t>
      </w:r>
      <w:r w:rsidRPr="0031675F">
        <w:rPr>
          <w:i/>
          <w:spacing w:val="-1"/>
        </w:rPr>
        <w:t>duplicates</w:t>
      </w:r>
      <w:r w:rsidRPr="0031675F">
        <w:rPr>
          <w:i/>
          <w:spacing w:val="20"/>
        </w:rPr>
        <w:t xml:space="preserve"> </w:t>
      </w:r>
      <w:r w:rsidRPr="0031675F">
        <w:rPr>
          <w:i/>
          <w:spacing w:val="-1"/>
        </w:rPr>
        <w:t>indicates</w:t>
      </w:r>
      <w:r w:rsidRPr="0031675F">
        <w:rPr>
          <w:i/>
          <w:spacing w:val="18"/>
        </w:rPr>
        <w:t xml:space="preserve"> </w:t>
      </w:r>
      <w:r w:rsidRPr="0031675F">
        <w:rPr>
          <w:i/>
        </w:rPr>
        <w:t>the</w:t>
      </w:r>
      <w:r w:rsidRPr="0031675F">
        <w:rPr>
          <w:i/>
          <w:spacing w:val="19"/>
        </w:rPr>
        <w:t xml:space="preserve"> </w:t>
      </w:r>
      <w:r w:rsidRPr="0031675F">
        <w:rPr>
          <w:i/>
          <w:spacing w:val="-1"/>
        </w:rPr>
        <w:t>reproducibility</w:t>
      </w:r>
      <w:r w:rsidRPr="0031675F">
        <w:rPr>
          <w:i/>
          <w:spacing w:val="19"/>
        </w:rPr>
        <w:t xml:space="preserve"> </w:t>
      </w:r>
      <w:r w:rsidRPr="0031675F">
        <w:rPr>
          <w:i/>
          <w:spacing w:val="-1"/>
        </w:rPr>
        <w:t>of</w:t>
      </w:r>
      <w:r w:rsidRPr="0031675F">
        <w:rPr>
          <w:i/>
          <w:spacing w:val="18"/>
        </w:rPr>
        <w:t xml:space="preserve"> </w:t>
      </w:r>
      <w:r w:rsidRPr="0031675F">
        <w:rPr>
          <w:i/>
        </w:rPr>
        <w:t>the</w:t>
      </w:r>
      <w:r w:rsidRPr="0031675F">
        <w:rPr>
          <w:i/>
          <w:spacing w:val="19"/>
        </w:rPr>
        <w:t xml:space="preserve"> </w:t>
      </w:r>
      <w:r w:rsidRPr="0031675F">
        <w:rPr>
          <w:i/>
          <w:spacing w:val="-1"/>
        </w:rPr>
        <w:t>analysis</w:t>
      </w:r>
      <w:r w:rsidRPr="0031675F">
        <w:rPr>
          <w:i/>
          <w:spacing w:val="54"/>
        </w:rPr>
        <w:t xml:space="preserve"> </w:t>
      </w:r>
      <w:r w:rsidRPr="0031675F">
        <w:rPr>
          <w:i/>
          <w:spacing w:val="-1"/>
        </w:rPr>
        <w:t>and also</w:t>
      </w:r>
      <w:r w:rsidRPr="0031675F">
        <w:rPr>
          <w:i/>
        </w:rPr>
        <w:t xml:space="preserve"> the effects</w:t>
      </w:r>
      <w:r w:rsidRPr="0031675F">
        <w:rPr>
          <w:i/>
          <w:spacing w:val="-1"/>
        </w:rPr>
        <w:t xml:space="preserve"> of</w:t>
      </w:r>
      <w:r w:rsidRPr="0031675F">
        <w:rPr>
          <w:i/>
        </w:rPr>
        <w:t xml:space="preserve"> </w:t>
      </w:r>
      <w:r w:rsidRPr="0031675F">
        <w:rPr>
          <w:i/>
          <w:spacing w:val="-1"/>
        </w:rPr>
        <w:t>various</w:t>
      </w:r>
      <w:r w:rsidRPr="0031675F">
        <w:rPr>
          <w:i/>
          <w:spacing w:val="1"/>
        </w:rPr>
        <w:t xml:space="preserve"> </w:t>
      </w:r>
      <w:r w:rsidRPr="0031675F">
        <w:rPr>
          <w:i/>
          <w:spacing w:val="-1"/>
        </w:rPr>
        <w:t>sources</w:t>
      </w:r>
      <w:r w:rsidRPr="0031675F">
        <w:rPr>
          <w:i/>
          <w:spacing w:val="1"/>
        </w:rPr>
        <w:t xml:space="preserve"> </w:t>
      </w:r>
      <w:r w:rsidRPr="0031675F">
        <w:rPr>
          <w:i/>
          <w:spacing w:val="-1"/>
        </w:rPr>
        <w:t>of</w:t>
      </w:r>
      <w:r w:rsidRPr="0031675F">
        <w:rPr>
          <w:i/>
        </w:rPr>
        <w:t xml:space="preserve"> </w:t>
      </w:r>
      <w:r w:rsidRPr="0031675F">
        <w:rPr>
          <w:i/>
          <w:spacing w:val="-1"/>
        </w:rPr>
        <w:t>contamination and</w:t>
      </w:r>
      <w:r w:rsidRPr="0031675F">
        <w:rPr>
          <w:i/>
          <w:spacing w:val="1"/>
        </w:rPr>
        <w:t xml:space="preserve"> </w:t>
      </w:r>
      <w:r w:rsidRPr="0031675F">
        <w:rPr>
          <w:i/>
          <w:spacing w:val="-1"/>
        </w:rPr>
        <w:t>analytical</w:t>
      </w:r>
      <w:r w:rsidRPr="0031675F">
        <w:rPr>
          <w:i/>
        </w:rPr>
        <w:t xml:space="preserve"> error</w:t>
      </w:r>
      <w:r w:rsidRPr="0031675F">
        <w:rPr>
          <w:i/>
          <w:spacing w:val="1"/>
        </w:rPr>
        <w:t xml:space="preserve"> </w:t>
      </w:r>
      <w:r w:rsidRPr="0031675F">
        <w:rPr>
          <w:i/>
          <w:spacing w:val="-1"/>
        </w:rPr>
        <w:t>during collection,</w:t>
      </w:r>
      <w:r w:rsidRPr="0031675F">
        <w:rPr>
          <w:i/>
        </w:rPr>
        <w:t xml:space="preserve"> </w:t>
      </w:r>
      <w:r w:rsidRPr="0031675F">
        <w:rPr>
          <w:i/>
          <w:spacing w:val="-1"/>
        </w:rPr>
        <w:t>sample</w:t>
      </w:r>
      <w:r w:rsidRPr="0031675F">
        <w:rPr>
          <w:i/>
          <w:spacing w:val="69"/>
        </w:rPr>
        <w:t xml:space="preserve"> </w:t>
      </w:r>
      <w:r w:rsidRPr="0031675F">
        <w:rPr>
          <w:i/>
          <w:spacing w:val="-1"/>
        </w:rPr>
        <w:t>preparation and analyses.</w:t>
      </w:r>
      <w:r w:rsidRPr="0031675F">
        <w:rPr>
          <w:i/>
          <w:spacing w:val="-5"/>
        </w:rPr>
        <w:t xml:space="preserve"> </w:t>
      </w:r>
      <w:r w:rsidRPr="0031675F">
        <w:rPr>
          <w:i/>
          <w:spacing w:val="-1"/>
        </w:rPr>
        <w:t>Before</w:t>
      </w:r>
      <w:r w:rsidRPr="0031675F">
        <w:rPr>
          <w:i/>
        </w:rPr>
        <w:t xml:space="preserve"> </w:t>
      </w:r>
      <w:r w:rsidRPr="0031675F">
        <w:rPr>
          <w:i/>
          <w:spacing w:val="-1"/>
        </w:rPr>
        <w:t>data</w:t>
      </w:r>
      <w:r w:rsidRPr="0031675F">
        <w:rPr>
          <w:i/>
          <w:spacing w:val="-3"/>
        </w:rPr>
        <w:t xml:space="preserve"> </w:t>
      </w:r>
      <w:r w:rsidRPr="0031675F">
        <w:rPr>
          <w:i/>
          <w:spacing w:val="-1"/>
        </w:rPr>
        <w:t>analysis, results</w:t>
      </w:r>
      <w:r w:rsidRPr="0031675F">
        <w:rPr>
          <w:i/>
          <w:spacing w:val="1"/>
        </w:rPr>
        <w:t xml:space="preserve"> </w:t>
      </w:r>
      <w:r w:rsidRPr="0031675F">
        <w:rPr>
          <w:i/>
          <w:spacing w:val="-1"/>
        </w:rPr>
        <w:t>are</w:t>
      </w:r>
      <w:r w:rsidRPr="0031675F">
        <w:rPr>
          <w:i/>
          <w:spacing w:val="-3"/>
        </w:rPr>
        <w:t xml:space="preserve"> </w:t>
      </w:r>
      <w:r w:rsidRPr="0031675F">
        <w:rPr>
          <w:i/>
          <w:spacing w:val="-1"/>
        </w:rPr>
        <w:t>generally</w:t>
      </w:r>
      <w:r w:rsidRPr="0031675F">
        <w:rPr>
          <w:i/>
        </w:rPr>
        <w:t xml:space="preserve"> </w:t>
      </w:r>
      <w:r w:rsidRPr="0031675F">
        <w:rPr>
          <w:i/>
          <w:spacing w:val="-1"/>
        </w:rPr>
        <w:t>averaged</w:t>
      </w:r>
      <w:r w:rsidRPr="0031675F">
        <w:rPr>
          <w:i/>
        </w:rPr>
        <w:t xml:space="preserve"> </w:t>
      </w:r>
      <w:r w:rsidRPr="0031675F">
        <w:rPr>
          <w:i/>
          <w:spacing w:val="-2"/>
        </w:rPr>
        <w:t>over</w:t>
      </w:r>
      <w:r w:rsidRPr="0031675F">
        <w:rPr>
          <w:i/>
          <w:spacing w:val="1"/>
        </w:rPr>
        <w:t xml:space="preserve"> </w:t>
      </w:r>
      <w:r w:rsidRPr="0031675F">
        <w:rPr>
          <w:i/>
          <w:spacing w:val="-1"/>
        </w:rPr>
        <w:t>duplicates.</w:t>
      </w:r>
    </w:p>
    <w:p w14:paraId="563DBD66" w14:textId="77777777" w:rsidR="0031675F" w:rsidRPr="0031675F" w:rsidRDefault="0031675F" w:rsidP="0031675F">
      <w:pPr>
        <w:widowControl w:val="0"/>
        <w:numPr>
          <w:ilvl w:val="0"/>
          <w:numId w:val="126"/>
        </w:numPr>
        <w:tabs>
          <w:tab w:val="left" w:pos="403"/>
        </w:tabs>
        <w:spacing w:before="0" w:after="0" w:line="240" w:lineRule="auto"/>
        <w:ind w:left="402" w:right="114"/>
        <w:jc w:val="both"/>
      </w:pPr>
      <w:r w:rsidRPr="0031675F">
        <w:rPr>
          <w:spacing w:val="-1"/>
        </w:rPr>
        <w:t>Coefficients</w:t>
      </w:r>
      <w:r w:rsidRPr="0031675F">
        <w:rPr>
          <w:spacing w:val="35"/>
        </w:rPr>
        <w:t xml:space="preserve"> </w:t>
      </w:r>
      <w:r w:rsidRPr="0031675F">
        <w:t>of</w:t>
      </w:r>
      <w:r w:rsidRPr="0031675F">
        <w:rPr>
          <w:spacing w:val="36"/>
        </w:rPr>
        <w:t xml:space="preserve"> </w:t>
      </w:r>
      <w:r w:rsidRPr="0031675F">
        <w:rPr>
          <w:spacing w:val="-1"/>
        </w:rPr>
        <w:t>variance</w:t>
      </w:r>
      <w:r w:rsidRPr="0031675F">
        <w:rPr>
          <w:spacing w:val="39"/>
        </w:rPr>
        <w:t xml:space="preserve"> </w:t>
      </w:r>
      <w:r w:rsidRPr="0031675F">
        <w:rPr>
          <w:spacing w:val="-1"/>
        </w:rPr>
        <w:t>are</w:t>
      </w:r>
      <w:r w:rsidRPr="0031675F">
        <w:rPr>
          <w:spacing w:val="38"/>
        </w:rPr>
        <w:t xml:space="preserve"> </w:t>
      </w:r>
      <w:r w:rsidRPr="0031675F">
        <w:rPr>
          <w:spacing w:val="-1"/>
        </w:rPr>
        <w:t>calculated</w:t>
      </w:r>
      <w:r w:rsidRPr="0031675F">
        <w:rPr>
          <w:spacing w:val="38"/>
        </w:rPr>
        <w:t xml:space="preserve"> </w:t>
      </w:r>
      <w:r w:rsidRPr="0031675F">
        <w:rPr>
          <w:spacing w:val="-1"/>
        </w:rPr>
        <w:t>from</w:t>
      </w:r>
      <w:r w:rsidRPr="0031675F">
        <w:rPr>
          <w:spacing w:val="40"/>
        </w:rPr>
        <w:t xml:space="preserve"> </w:t>
      </w:r>
      <w:r w:rsidRPr="0031675F">
        <w:rPr>
          <w:spacing w:val="-1"/>
        </w:rPr>
        <w:t>analytical</w:t>
      </w:r>
      <w:r w:rsidRPr="0031675F">
        <w:rPr>
          <w:spacing w:val="38"/>
        </w:rPr>
        <w:t xml:space="preserve"> </w:t>
      </w:r>
      <w:r w:rsidRPr="0031675F">
        <w:rPr>
          <w:spacing w:val="-1"/>
        </w:rPr>
        <w:t>results</w:t>
      </w:r>
      <w:r w:rsidRPr="0031675F">
        <w:rPr>
          <w:spacing w:val="36"/>
        </w:rPr>
        <w:t xml:space="preserve"> </w:t>
      </w:r>
      <w:r w:rsidRPr="0031675F">
        <w:t>of</w:t>
      </w:r>
      <w:r w:rsidRPr="0031675F">
        <w:rPr>
          <w:spacing w:val="39"/>
        </w:rPr>
        <w:t xml:space="preserve"> </w:t>
      </w:r>
      <w:r w:rsidRPr="0031675F">
        <w:rPr>
          <w:spacing w:val="-1"/>
        </w:rPr>
        <w:t>sample</w:t>
      </w:r>
      <w:r w:rsidRPr="0031675F">
        <w:rPr>
          <w:spacing w:val="39"/>
        </w:rPr>
        <w:t xml:space="preserve"> </w:t>
      </w:r>
      <w:r w:rsidRPr="0031675F">
        <w:rPr>
          <w:spacing w:val="-1"/>
        </w:rPr>
        <w:t>duplicates.</w:t>
      </w:r>
      <w:r w:rsidRPr="0031675F">
        <w:rPr>
          <w:spacing w:val="35"/>
        </w:rPr>
        <w:t xml:space="preserve"> </w:t>
      </w:r>
      <w:r w:rsidRPr="0031675F">
        <w:rPr>
          <w:spacing w:val="-1"/>
        </w:rPr>
        <w:t>Duplicates</w:t>
      </w:r>
      <w:r w:rsidRPr="0031675F">
        <w:rPr>
          <w:spacing w:val="83"/>
        </w:rPr>
        <w:t xml:space="preserve"> </w:t>
      </w:r>
      <w:r w:rsidRPr="0031675F">
        <w:t xml:space="preserve">with </w:t>
      </w:r>
      <w:r w:rsidRPr="0031675F">
        <w:rPr>
          <w:spacing w:val="-2"/>
        </w:rPr>
        <w:t>CV&gt;30%</w:t>
      </w:r>
      <w:r w:rsidRPr="0031675F">
        <w:rPr>
          <w:spacing w:val="1"/>
        </w:rPr>
        <w:t xml:space="preserve"> </w:t>
      </w:r>
      <w:r w:rsidRPr="0031675F">
        <w:t>are</w:t>
      </w:r>
      <w:r w:rsidRPr="0031675F">
        <w:rPr>
          <w:spacing w:val="-3"/>
        </w:rPr>
        <w:t xml:space="preserve"> </w:t>
      </w:r>
      <w:r w:rsidRPr="0031675F">
        <w:rPr>
          <w:spacing w:val="-1"/>
        </w:rPr>
        <w:t>discarded</w:t>
      </w:r>
      <w:r w:rsidRPr="0031675F">
        <w:rPr>
          <w:spacing w:val="-3"/>
        </w:rPr>
        <w:t xml:space="preserve"> </w:t>
      </w:r>
      <w:r w:rsidRPr="0031675F">
        <w:rPr>
          <w:spacing w:val="-1"/>
        </w:rPr>
        <w:t>from</w:t>
      </w:r>
      <w:r w:rsidRPr="0031675F">
        <w:rPr>
          <w:spacing w:val="1"/>
        </w:rPr>
        <w:t xml:space="preserve"> </w:t>
      </w:r>
      <w:r w:rsidRPr="0031675F">
        <w:rPr>
          <w:spacing w:val="-1"/>
        </w:rPr>
        <w:t>the</w:t>
      </w:r>
      <w:r w:rsidRPr="0031675F">
        <w:rPr>
          <w:spacing w:val="-2"/>
        </w:rPr>
        <w:t xml:space="preserve"> </w:t>
      </w:r>
      <w:r w:rsidRPr="0031675F">
        <w:rPr>
          <w:spacing w:val="-1"/>
        </w:rPr>
        <w:t>analysis</w:t>
      </w:r>
      <w:r w:rsidRPr="0031675F">
        <w:t xml:space="preserve"> and</w:t>
      </w:r>
      <w:r w:rsidRPr="0031675F">
        <w:rPr>
          <w:spacing w:val="-4"/>
        </w:rPr>
        <w:t xml:space="preserve"> </w:t>
      </w:r>
      <w:r w:rsidRPr="0031675F">
        <w:t>the</w:t>
      </w:r>
      <w:r w:rsidRPr="0031675F">
        <w:rPr>
          <w:spacing w:val="-2"/>
        </w:rPr>
        <w:t xml:space="preserve"> </w:t>
      </w:r>
      <w:r w:rsidRPr="0031675F">
        <w:rPr>
          <w:spacing w:val="-1"/>
        </w:rPr>
        <w:t>analysis</w:t>
      </w:r>
      <w:r w:rsidRPr="0031675F">
        <w:t xml:space="preserve"> </w:t>
      </w:r>
      <w:r w:rsidRPr="0031675F">
        <w:rPr>
          <w:spacing w:val="-1"/>
        </w:rPr>
        <w:t>repeated</w:t>
      </w:r>
      <w:r w:rsidRPr="0031675F">
        <w:t xml:space="preserve"> </w:t>
      </w:r>
      <w:r w:rsidRPr="0031675F">
        <w:rPr>
          <w:spacing w:val="-1"/>
        </w:rPr>
        <w:t>using extra</w:t>
      </w:r>
      <w:r w:rsidRPr="0031675F">
        <w:t xml:space="preserve"> </w:t>
      </w:r>
      <w:r w:rsidRPr="0031675F">
        <w:rPr>
          <w:spacing w:val="-1"/>
        </w:rPr>
        <w:t>duplicates</w:t>
      </w:r>
      <w:r w:rsidRPr="0031675F">
        <w:t xml:space="preserve"> </w:t>
      </w:r>
      <w:r w:rsidRPr="0031675F">
        <w:rPr>
          <w:spacing w:val="-1"/>
        </w:rPr>
        <w:t>that</w:t>
      </w:r>
      <w:r w:rsidRPr="0031675F">
        <w:rPr>
          <w:spacing w:val="67"/>
        </w:rPr>
        <w:t xml:space="preserve"> </w:t>
      </w:r>
      <w:r w:rsidRPr="0031675F">
        <w:t xml:space="preserve">are </w:t>
      </w:r>
      <w:r w:rsidRPr="0031675F">
        <w:rPr>
          <w:spacing w:val="-1"/>
        </w:rPr>
        <w:t>generally</w:t>
      </w:r>
      <w:r w:rsidRPr="0031675F">
        <w:t xml:space="preserve"> </w:t>
      </w:r>
      <w:r w:rsidRPr="0031675F">
        <w:rPr>
          <w:spacing w:val="-1"/>
        </w:rPr>
        <w:t>collected as</w:t>
      </w:r>
      <w:r w:rsidRPr="0031675F">
        <w:t xml:space="preserve"> a</w:t>
      </w:r>
      <w:r w:rsidRPr="0031675F">
        <w:rPr>
          <w:spacing w:val="-2"/>
        </w:rPr>
        <w:t xml:space="preserve"> </w:t>
      </w:r>
      <w:r w:rsidRPr="0031675F">
        <w:rPr>
          <w:spacing w:val="-1"/>
        </w:rPr>
        <w:t>backup.</w:t>
      </w:r>
    </w:p>
    <w:p w14:paraId="1997D8A2" w14:textId="77777777" w:rsidR="0031675F" w:rsidRPr="0031675F" w:rsidRDefault="0031675F" w:rsidP="0031675F">
      <w:pPr>
        <w:rPr>
          <w:rFonts w:cs="Calibri"/>
        </w:rPr>
      </w:pPr>
    </w:p>
    <w:p w14:paraId="715E8BE0" w14:textId="77777777" w:rsidR="0031675F" w:rsidRPr="0031675F" w:rsidRDefault="0031675F" w:rsidP="0031675F">
      <w:pPr>
        <w:spacing w:after="120"/>
        <w:jc w:val="both"/>
      </w:pPr>
      <w:r w:rsidRPr="0031675F">
        <w:rPr>
          <w:spacing w:val="-1"/>
          <w:u w:val="single" w:color="000000"/>
        </w:rPr>
        <w:t>Other</w:t>
      </w:r>
    </w:p>
    <w:p w14:paraId="53290616" w14:textId="77777777" w:rsidR="0031675F" w:rsidRPr="0031675F" w:rsidRDefault="0031675F" w:rsidP="0031675F">
      <w:pPr>
        <w:widowControl w:val="0"/>
        <w:numPr>
          <w:ilvl w:val="0"/>
          <w:numId w:val="126"/>
        </w:numPr>
        <w:tabs>
          <w:tab w:val="left" w:pos="403"/>
        </w:tabs>
        <w:spacing w:before="0" w:after="0" w:line="240" w:lineRule="auto"/>
        <w:ind w:left="402" w:right="113"/>
        <w:jc w:val="both"/>
      </w:pPr>
      <w:r w:rsidRPr="0031675F">
        <w:rPr>
          <w:spacing w:val="-1"/>
        </w:rPr>
        <w:t>Spike</w:t>
      </w:r>
      <w:r w:rsidRPr="0031675F">
        <w:t xml:space="preserve"> </w:t>
      </w:r>
      <w:r w:rsidRPr="0031675F">
        <w:rPr>
          <w:spacing w:val="-1"/>
        </w:rPr>
        <w:t>recovery:</w:t>
      </w:r>
      <w:r w:rsidRPr="0031675F">
        <w:t xml:space="preserve"> As</w:t>
      </w:r>
      <w:r w:rsidRPr="0031675F">
        <w:rPr>
          <w:spacing w:val="1"/>
        </w:rPr>
        <w:t xml:space="preserve"> </w:t>
      </w:r>
      <w:r w:rsidRPr="0031675F">
        <w:t xml:space="preserve">a </w:t>
      </w:r>
      <w:r w:rsidRPr="0031675F">
        <w:rPr>
          <w:spacing w:val="-1"/>
        </w:rPr>
        <w:t>further</w:t>
      </w:r>
      <w:r w:rsidRPr="0031675F">
        <w:t xml:space="preserve"> measure</w:t>
      </w:r>
      <w:r w:rsidRPr="0031675F">
        <w:rPr>
          <w:spacing w:val="-3"/>
        </w:rPr>
        <w:t xml:space="preserve"> </w:t>
      </w:r>
      <w:r w:rsidRPr="0031675F">
        <w:t>to</w:t>
      </w:r>
      <w:r w:rsidRPr="0031675F">
        <w:rPr>
          <w:spacing w:val="1"/>
        </w:rPr>
        <w:t xml:space="preserve"> </w:t>
      </w:r>
      <w:r w:rsidRPr="0031675F">
        <w:rPr>
          <w:spacing w:val="-2"/>
        </w:rPr>
        <w:t>ensure</w:t>
      </w:r>
      <w:r w:rsidRPr="0031675F">
        <w:t xml:space="preserve"> </w:t>
      </w:r>
      <w:r w:rsidRPr="0031675F">
        <w:rPr>
          <w:spacing w:val="-1"/>
        </w:rPr>
        <w:t>analytical accuracy,</w:t>
      </w:r>
      <w:r w:rsidRPr="0031675F">
        <w:t xml:space="preserve"> </w:t>
      </w:r>
      <w:r w:rsidRPr="0031675F">
        <w:rPr>
          <w:spacing w:val="-1"/>
        </w:rPr>
        <w:t>spikes</w:t>
      </w:r>
      <w:r w:rsidRPr="0031675F">
        <w:rPr>
          <w:spacing w:val="-2"/>
        </w:rPr>
        <w:t xml:space="preserve"> </w:t>
      </w:r>
      <w:r w:rsidRPr="0031675F">
        <w:t xml:space="preserve">of </w:t>
      </w:r>
      <w:r w:rsidRPr="0031675F">
        <w:rPr>
          <w:spacing w:val="-1"/>
        </w:rPr>
        <w:t>known</w:t>
      </w:r>
      <w:r w:rsidRPr="0031675F">
        <w:t xml:space="preserve"> </w:t>
      </w:r>
      <w:r w:rsidRPr="0031675F">
        <w:rPr>
          <w:spacing w:val="-1"/>
        </w:rPr>
        <w:t>concentration</w:t>
      </w:r>
      <w:r w:rsidRPr="0031675F">
        <w:rPr>
          <w:spacing w:val="79"/>
        </w:rPr>
        <w:t xml:space="preserve"> </w:t>
      </w:r>
      <w:r w:rsidRPr="0031675F">
        <w:t>were</w:t>
      </w:r>
      <w:r w:rsidRPr="0031675F">
        <w:rPr>
          <w:spacing w:val="38"/>
        </w:rPr>
        <w:t xml:space="preserve"> </w:t>
      </w:r>
      <w:r w:rsidRPr="0031675F">
        <w:rPr>
          <w:spacing w:val="-1"/>
        </w:rPr>
        <w:t>added</w:t>
      </w:r>
      <w:r w:rsidRPr="0031675F">
        <w:rPr>
          <w:spacing w:val="38"/>
        </w:rPr>
        <w:t xml:space="preserve"> </w:t>
      </w:r>
      <w:r w:rsidRPr="0031675F">
        <w:t>to</w:t>
      </w:r>
      <w:r w:rsidRPr="0031675F">
        <w:rPr>
          <w:spacing w:val="40"/>
        </w:rPr>
        <w:t xml:space="preserve"> </w:t>
      </w:r>
      <w:r w:rsidRPr="0031675F">
        <w:rPr>
          <w:spacing w:val="-1"/>
        </w:rPr>
        <w:t>natural</w:t>
      </w:r>
      <w:r w:rsidRPr="0031675F">
        <w:rPr>
          <w:spacing w:val="40"/>
        </w:rPr>
        <w:t xml:space="preserve"> </w:t>
      </w:r>
      <w:r w:rsidRPr="0031675F">
        <w:rPr>
          <w:spacing w:val="-1"/>
        </w:rPr>
        <w:t>seawater</w:t>
      </w:r>
      <w:r w:rsidRPr="0031675F">
        <w:rPr>
          <w:spacing w:val="38"/>
        </w:rPr>
        <w:t xml:space="preserve"> </w:t>
      </w:r>
      <w:r w:rsidRPr="0031675F">
        <w:rPr>
          <w:spacing w:val="-1"/>
        </w:rPr>
        <w:t>samples</w:t>
      </w:r>
      <w:r w:rsidRPr="0031675F">
        <w:rPr>
          <w:spacing w:val="39"/>
        </w:rPr>
        <w:t xml:space="preserve"> </w:t>
      </w:r>
      <w:r w:rsidRPr="0031675F">
        <w:t>on</w:t>
      </w:r>
      <w:r w:rsidRPr="0031675F">
        <w:rPr>
          <w:spacing w:val="38"/>
        </w:rPr>
        <w:t xml:space="preserve"> </w:t>
      </w:r>
      <w:r w:rsidRPr="0031675F">
        <w:t>board</w:t>
      </w:r>
      <w:r w:rsidRPr="0031675F">
        <w:rPr>
          <w:spacing w:val="37"/>
        </w:rPr>
        <w:t xml:space="preserve"> </w:t>
      </w:r>
      <w:r w:rsidRPr="0031675F">
        <w:t>of</w:t>
      </w:r>
      <w:r w:rsidRPr="0031675F">
        <w:rPr>
          <w:spacing w:val="38"/>
        </w:rPr>
        <w:t xml:space="preserve"> </w:t>
      </w:r>
      <w:r w:rsidRPr="0031675F">
        <w:t>the</w:t>
      </w:r>
      <w:r w:rsidRPr="0031675F">
        <w:rPr>
          <w:spacing w:val="39"/>
        </w:rPr>
        <w:t xml:space="preserve"> </w:t>
      </w:r>
      <w:r w:rsidRPr="0031675F">
        <w:rPr>
          <w:spacing w:val="-1"/>
        </w:rPr>
        <w:t>research</w:t>
      </w:r>
      <w:r w:rsidRPr="0031675F">
        <w:rPr>
          <w:spacing w:val="37"/>
        </w:rPr>
        <w:t xml:space="preserve"> </w:t>
      </w:r>
      <w:r w:rsidRPr="0031675F">
        <w:rPr>
          <w:spacing w:val="-1"/>
        </w:rPr>
        <w:t>vessel,</w:t>
      </w:r>
      <w:r w:rsidRPr="0031675F">
        <w:rPr>
          <w:spacing w:val="42"/>
        </w:rPr>
        <w:t xml:space="preserve"> </w:t>
      </w:r>
      <w:r w:rsidRPr="0031675F">
        <w:rPr>
          <w:spacing w:val="-2"/>
        </w:rPr>
        <w:t>during</w:t>
      </w:r>
      <w:r w:rsidRPr="0031675F">
        <w:rPr>
          <w:spacing w:val="40"/>
        </w:rPr>
        <w:t xml:space="preserve"> </w:t>
      </w:r>
      <w:r w:rsidRPr="0031675F">
        <w:t>the</w:t>
      </w:r>
      <w:r w:rsidRPr="0031675F">
        <w:rPr>
          <w:spacing w:val="41"/>
        </w:rPr>
        <w:t xml:space="preserve"> </w:t>
      </w:r>
      <w:r w:rsidRPr="0031675F">
        <w:rPr>
          <w:spacing w:val="-1"/>
        </w:rPr>
        <w:t>normal</w:t>
      </w:r>
      <w:r w:rsidRPr="0031675F">
        <w:rPr>
          <w:spacing w:val="65"/>
        </w:rPr>
        <w:t xml:space="preserve"> </w:t>
      </w:r>
      <w:r w:rsidRPr="0031675F">
        <w:rPr>
          <w:spacing w:val="-1"/>
        </w:rPr>
        <w:t>sample</w:t>
      </w:r>
      <w:r w:rsidRPr="0031675F">
        <w:t xml:space="preserve"> </w:t>
      </w:r>
      <w:r w:rsidRPr="0031675F">
        <w:rPr>
          <w:spacing w:val="-1"/>
        </w:rPr>
        <w:t xml:space="preserve">preparation and analysed </w:t>
      </w:r>
      <w:r w:rsidRPr="0031675F">
        <w:t>as</w:t>
      </w:r>
      <w:r w:rsidRPr="0031675F">
        <w:rPr>
          <w:spacing w:val="-2"/>
        </w:rPr>
        <w:t xml:space="preserve"> </w:t>
      </w:r>
      <w:r w:rsidRPr="0031675F">
        <w:rPr>
          <w:spacing w:val="-1"/>
        </w:rPr>
        <w:t>part</w:t>
      </w:r>
      <w:r w:rsidRPr="0031675F">
        <w:rPr>
          <w:spacing w:val="-2"/>
        </w:rPr>
        <w:t xml:space="preserve"> </w:t>
      </w:r>
      <w:r w:rsidRPr="0031675F">
        <w:t xml:space="preserve">of </w:t>
      </w:r>
      <w:r w:rsidRPr="0031675F">
        <w:rPr>
          <w:spacing w:val="-2"/>
        </w:rPr>
        <w:t>the</w:t>
      </w:r>
      <w:r w:rsidRPr="0031675F">
        <w:t xml:space="preserve"> </w:t>
      </w:r>
      <w:r w:rsidRPr="0031675F">
        <w:rPr>
          <w:spacing w:val="-2"/>
        </w:rPr>
        <w:t>sample</w:t>
      </w:r>
      <w:r w:rsidRPr="0031675F">
        <w:t xml:space="preserve"> </w:t>
      </w:r>
      <w:r w:rsidRPr="0031675F">
        <w:rPr>
          <w:spacing w:val="-1"/>
        </w:rPr>
        <w:t>batch,</w:t>
      </w:r>
      <w:r w:rsidRPr="0031675F">
        <w:t xml:space="preserve"> </w:t>
      </w:r>
      <w:r w:rsidRPr="0031675F">
        <w:rPr>
          <w:spacing w:val="-1"/>
        </w:rPr>
        <w:t>unbeknown</w:t>
      </w:r>
      <w:r w:rsidRPr="0031675F">
        <w:t xml:space="preserve"> </w:t>
      </w:r>
      <w:r w:rsidRPr="0031675F">
        <w:rPr>
          <w:spacing w:val="-1"/>
        </w:rPr>
        <w:t>to</w:t>
      </w:r>
      <w:r w:rsidRPr="0031675F">
        <w:rPr>
          <w:spacing w:val="1"/>
        </w:rPr>
        <w:t xml:space="preserve"> </w:t>
      </w:r>
      <w:r w:rsidRPr="0031675F">
        <w:rPr>
          <w:spacing w:val="-1"/>
        </w:rPr>
        <w:t>the</w:t>
      </w:r>
      <w:r w:rsidRPr="0031675F">
        <w:rPr>
          <w:spacing w:val="-2"/>
        </w:rPr>
        <w:t xml:space="preserve"> </w:t>
      </w:r>
      <w:r w:rsidRPr="0031675F">
        <w:t>analyst.</w:t>
      </w:r>
    </w:p>
    <w:p w14:paraId="67DB619E" w14:textId="77777777" w:rsidR="0031675F" w:rsidRPr="0031675F" w:rsidRDefault="0031675F" w:rsidP="0031675F">
      <w:pPr>
        <w:spacing w:before="11"/>
        <w:rPr>
          <w:rFonts w:cs="Calibri"/>
          <w:sz w:val="21"/>
          <w:szCs w:val="21"/>
        </w:rPr>
      </w:pPr>
    </w:p>
    <w:p w14:paraId="663CCC41" w14:textId="77777777" w:rsidR="0031675F" w:rsidRPr="0031675F" w:rsidRDefault="0031675F" w:rsidP="0031675F">
      <w:pPr>
        <w:widowControl w:val="0"/>
        <w:numPr>
          <w:ilvl w:val="1"/>
          <w:numId w:val="128"/>
        </w:numPr>
        <w:tabs>
          <w:tab w:val="left" w:pos="839"/>
        </w:tabs>
        <w:spacing w:before="0" w:after="0" w:line="240" w:lineRule="auto"/>
        <w:ind w:left="838" w:hanging="720"/>
        <w:jc w:val="both"/>
        <w:rPr>
          <w:rFonts w:eastAsia="Arial" w:cs="Arial"/>
          <w:sz w:val="24"/>
          <w:szCs w:val="24"/>
        </w:rPr>
      </w:pPr>
      <w:bookmarkStart w:id="605" w:name="_TOC_250075"/>
      <w:r w:rsidRPr="0031675F">
        <w:rPr>
          <w:b/>
          <w:spacing w:val="-1"/>
          <w:sz w:val="24"/>
        </w:rPr>
        <w:t>References</w:t>
      </w:r>
      <w:bookmarkEnd w:id="605"/>
    </w:p>
    <w:p w14:paraId="4574BBFE" w14:textId="77777777" w:rsidR="0031675F" w:rsidRPr="0031675F" w:rsidRDefault="0031675F" w:rsidP="0031675F">
      <w:pPr>
        <w:spacing w:before="9"/>
        <w:rPr>
          <w:rFonts w:eastAsia="Arial" w:cs="Arial"/>
          <w:b/>
          <w:bCs/>
          <w:sz w:val="20"/>
          <w:szCs w:val="20"/>
        </w:rPr>
      </w:pPr>
    </w:p>
    <w:p w14:paraId="2A5CEC12" w14:textId="77777777" w:rsidR="0031675F" w:rsidRPr="0031675F" w:rsidRDefault="0031675F" w:rsidP="0031675F">
      <w:pPr>
        <w:spacing w:after="120"/>
        <w:ind w:right="112"/>
        <w:jc w:val="both"/>
      </w:pPr>
      <w:r w:rsidRPr="0031675F">
        <w:t>Bran</w:t>
      </w:r>
      <w:r w:rsidRPr="0031675F">
        <w:rPr>
          <w:spacing w:val="18"/>
        </w:rPr>
        <w:t xml:space="preserve"> </w:t>
      </w:r>
      <w:r w:rsidRPr="0031675F">
        <w:rPr>
          <w:spacing w:val="-1"/>
        </w:rPr>
        <w:t>and</w:t>
      </w:r>
      <w:r w:rsidRPr="0031675F">
        <w:rPr>
          <w:spacing w:val="18"/>
        </w:rPr>
        <w:t xml:space="preserve"> </w:t>
      </w:r>
      <w:r w:rsidRPr="0031675F">
        <w:rPr>
          <w:spacing w:val="-1"/>
        </w:rPr>
        <w:t>Luebbe</w:t>
      </w:r>
      <w:r w:rsidRPr="0031675F">
        <w:rPr>
          <w:spacing w:val="20"/>
        </w:rPr>
        <w:t xml:space="preserve"> </w:t>
      </w:r>
      <w:r w:rsidRPr="0031675F">
        <w:rPr>
          <w:spacing w:val="-1"/>
        </w:rPr>
        <w:t>(1997)</w:t>
      </w:r>
      <w:r w:rsidRPr="0031675F">
        <w:rPr>
          <w:spacing w:val="20"/>
        </w:rPr>
        <w:t xml:space="preserve"> </w:t>
      </w:r>
      <w:r w:rsidRPr="0031675F">
        <w:rPr>
          <w:spacing w:val="-1"/>
        </w:rPr>
        <w:t>Directory</w:t>
      </w:r>
      <w:r w:rsidRPr="0031675F">
        <w:rPr>
          <w:spacing w:val="17"/>
        </w:rPr>
        <w:t xml:space="preserve"> </w:t>
      </w:r>
      <w:r w:rsidRPr="0031675F">
        <w:t>of</w:t>
      </w:r>
      <w:r w:rsidRPr="0031675F">
        <w:rPr>
          <w:spacing w:val="19"/>
        </w:rPr>
        <w:t xml:space="preserve"> </w:t>
      </w:r>
      <w:r w:rsidRPr="0031675F">
        <w:rPr>
          <w:spacing w:val="-1"/>
        </w:rPr>
        <w:t>Autoanalyser</w:t>
      </w:r>
      <w:r w:rsidRPr="0031675F">
        <w:rPr>
          <w:spacing w:val="17"/>
        </w:rPr>
        <w:t xml:space="preserve"> </w:t>
      </w:r>
      <w:r w:rsidRPr="0031675F">
        <w:rPr>
          <w:spacing w:val="-1"/>
        </w:rPr>
        <w:t>Methods,</w:t>
      </w:r>
      <w:r w:rsidRPr="0031675F">
        <w:rPr>
          <w:spacing w:val="19"/>
        </w:rPr>
        <w:t xml:space="preserve"> </w:t>
      </w:r>
      <w:r w:rsidRPr="0031675F">
        <w:t>Bran</w:t>
      </w:r>
      <w:r w:rsidRPr="0031675F">
        <w:rPr>
          <w:spacing w:val="18"/>
        </w:rPr>
        <w:t xml:space="preserve"> </w:t>
      </w:r>
      <w:r w:rsidRPr="0031675F">
        <w:rPr>
          <w:spacing w:val="-1"/>
        </w:rPr>
        <w:t>and</w:t>
      </w:r>
      <w:r w:rsidRPr="0031675F">
        <w:rPr>
          <w:spacing w:val="18"/>
        </w:rPr>
        <w:t xml:space="preserve"> </w:t>
      </w:r>
      <w:r w:rsidRPr="0031675F">
        <w:rPr>
          <w:spacing w:val="-1"/>
        </w:rPr>
        <w:t>Luebbe</w:t>
      </w:r>
      <w:r w:rsidRPr="0031675F">
        <w:rPr>
          <w:spacing w:val="20"/>
        </w:rPr>
        <w:t xml:space="preserve"> </w:t>
      </w:r>
      <w:r w:rsidRPr="0031675F">
        <w:rPr>
          <w:spacing w:val="-1"/>
        </w:rPr>
        <w:t>GmbH,</w:t>
      </w:r>
      <w:r w:rsidRPr="0031675F">
        <w:rPr>
          <w:spacing w:val="19"/>
        </w:rPr>
        <w:t xml:space="preserve"> </w:t>
      </w:r>
      <w:r w:rsidRPr="0031675F">
        <w:rPr>
          <w:spacing w:val="-1"/>
        </w:rPr>
        <w:t>Norderstedt,</w:t>
      </w:r>
      <w:r w:rsidRPr="0031675F">
        <w:rPr>
          <w:spacing w:val="69"/>
        </w:rPr>
        <w:t xml:space="preserve"> </w:t>
      </w:r>
      <w:r w:rsidRPr="0031675F">
        <w:rPr>
          <w:spacing w:val="-1"/>
        </w:rPr>
        <w:t>Germany.</w:t>
      </w:r>
    </w:p>
    <w:p w14:paraId="49D93E7D" w14:textId="77777777" w:rsidR="0031675F" w:rsidRPr="0031675F" w:rsidRDefault="0031675F" w:rsidP="0031675F">
      <w:pPr>
        <w:rPr>
          <w:rFonts w:cs="Calibri"/>
        </w:rPr>
      </w:pPr>
    </w:p>
    <w:p w14:paraId="2E3F13FC" w14:textId="77777777" w:rsidR="0031675F" w:rsidRPr="0031675F" w:rsidRDefault="0031675F" w:rsidP="0031675F">
      <w:pPr>
        <w:spacing w:after="120"/>
        <w:ind w:right="115"/>
        <w:jc w:val="both"/>
      </w:pPr>
      <w:r w:rsidRPr="0031675F">
        <w:rPr>
          <w:spacing w:val="-1"/>
        </w:rPr>
        <w:t>Parsons,T.R.,</w:t>
      </w:r>
      <w:r w:rsidRPr="0031675F">
        <w:rPr>
          <w:spacing w:val="30"/>
        </w:rPr>
        <w:t xml:space="preserve"> </w:t>
      </w:r>
      <w:r w:rsidRPr="0031675F">
        <w:rPr>
          <w:spacing w:val="-1"/>
        </w:rPr>
        <w:t>Yoshiaki,</w:t>
      </w:r>
      <w:r w:rsidRPr="0031675F">
        <w:rPr>
          <w:spacing w:val="29"/>
        </w:rPr>
        <w:t xml:space="preserve"> </w:t>
      </w:r>
      <w:r w:rsidRPr="0031675F">
        <w:t>M.</w:t>
      </w:r>
      <w:r w:rsidRPr="0031675F">
        <w:rPr>
          <w:spacing w:val="29"/>
        </w:rPr>
        <w:t xml:space="preserve"> </w:t>
      </w:r>
      <w:r w:rsidRPr="0031675F">
        <w:rPr>
          <w:spacing w:val="-1"/>
        </w:rPr>
        <w:t>and</w:t>
      </w:r>
      <w:r w:rsidRPr="0031675F">
        <w:rPr>
          <w:spacing w:val="30"/>
        </w:rPr>
        <w:t xml:space="preserve"> </w:t>
      </w:r>
      <w:r w:rsidRPr="0031675F">
        <w:rPr>
          <w:spacing w:val="-1"/>
        </w:rPr>
        <w:t>Lalli,</w:t>
      </w:r>
      <w:r w:rsidRPr="0031675F">
        <w:rPr>
          <w:spacing w:val="31"/>
        </w:rPr>
        <w:t xml:space="preserve"> </w:t>
      </w:r>
      <w:r w:rsidRPr="0031675F">
        <w:rPr>
          <w:spacing w:val="-1"/>
        </w:rPr>
        <w:t>C.M.</w:t>
      </w:r>
      <w:r w:rsidRPr="0031675F">
        <w:rPr>
          <w:spacing w:val="34"/>
        </w:rPr>
        <w:t xml:space="preserve"> </w:t>
      </w:r>
      <w:r w:rsidRPr="0031675F">
        <w:rPr>
          <w:spacing w:val="-1"/>
        </w:rPr>
        <w:t>(1984)</w:t>
      </w:r>
      <w:r w:rsidRPr="0031675F">
        <w:rPr>
          <w:spacing w:val="32"/>
        </w:rPr>
        <w:t xml:space="preserve"> </w:t>
      </w:r>
      <w:r w:rsidRPr="0031675F">
        <w:t>A</w:t>
      </w:r>
      <w:r w:rsidRPr="0031675F">
        <w:rPr>
          <w:spacing w:val="28"/>
        </w:rPr>
        <w:t xml:space="preserve"> </w:t>
      </w:r>
      <w:r w:rsidRPr="0031675F">
        <w:rPr>
          <w:spacing w:val="-1"/>
        </w:rPr>
        <w:t>manual</w:t>
      </w:r>
      <w:r w:rsidRPr="0031675F">
        <w:rPr>
          <w:spacing w:val="31"/>
        </w:rPr>
        <w:t xml:space="preserve"> </w:t>
      </w:r>
      <w:r w:rsidRPr="0031675F">
        <w:t>of</w:t>
      </w:r>
      <w:r w:rsidRPr="0031675F">
        <w:rPr>
          <w:spacing w:val="31"/>
        </w:rPr>
        <w:t xml:space="preserve"> </w:t>
      </w:r>
      <w:r w:rsidRPr="0031675F">
        <w:rPr>
          <w:spacing w:val="-1"/>
        </w:rPr>
        <w:t>chemical</w:t>
      </w:r>
      <w:r w:rsidRPr="0031675F">
        <w:rPr>
          <w:spacing w:val="30"/>
        </w:rPr>
        <w:t xml:space="preserve"> </w:t>
      </w:r>
      <w:r w:rsidRPr="0031675F">
        <w:rPr>
          <w:spacing w:val="-1"/>
        </w:rPr>
        <w:t>and</w:t>
      </w:r>
      <w:r w:rsidRPr="0031675F">
        <w:rPr>
          <w:spacing w:val="31"/>
        </w:rPr>
        <w:t xml:space="preserve"> </w:t>
      </w:r>
      <w:r w:rsidRPr="0031675F">
        <w:rPr>
          <w:spacing w:val="-1"/>
        </w:rPr>
        <w:t>biological</w:t>
      </w:r>
      <w:r w:rsidRPr="0031675F">
        <w:rPr>
          <w:spacing w:val="31"/>
        </w:rPr>
        <w:t xml:space="preserve"> </w:t>
      </w:r>
      <w:r w:rsidRPr="0031675F">
        <w:rPr>
          <w:spacing w:val="-1"/>
        </w:rPr>
        <w:t>methods</w:t>
      </w:r>
      <w:r w:rsidRPr="0031675F">
        <w:rPr>
          <w:spacing w:val="32"/>
        </w:rPr>
        <w:t xml:space="preserve"> </w:t>
      </w:r>
      <w:r w:rsidRPr="0031675F">
        <w:rPr>
          <w:spacing w:val="-1"/>
        </w:rPr>
        <w:t>for</w:t>
      </w:r>
      <w:r w:rsidRPr="0031675F">
        <w:rPr>
          <w:spacing w:val="75"/>
        </w:rPr>
        <w:t xml:space="preserve"> </w:t>
      </w:r>
      <w:r w:rsidRPr="0031675F">
        <w:rPr>
          <w:spacing w:val="-1"/>
        </w:rPr>
        <w:t>seawater</w:t>
      </w:r>
      <w:r w:rsidRPr="0031675F">
        <w:t xml:space="preserve"> </w:t>
      </w:r>
      <w:r w:rsidRPr="0031675F">
        <w:rPr>
          <w:spacing w:val="-1"/>
        </w:rPr>
        <w:t>analysis,</w:t>
      </w:r>
      <w:r w:rsidRPr="0031675F">
        <w:rPr>
          <w:spacing w:val="-2"/>
        </w:rPr>
        <w:t xml:space="preserve"> </w:t>
      </w:r>
      <w:r w:rsidRPr="0031675F">
        <w:rPr>
          <w:spacing w:val="-1"/>
        </w:rPr>
        <w:t>Pergamon,</w:t>
      </w:r>
      <w:r w:rsidRPr="0031675F">
        <w:t xml:space="preserve"> </w:t>
      </w:r>
      <w:r w:rsidRPr="0031675F">
        <w:rPr>
          <w:spacing w:val="-1"/>
        </w:rPr>
        <w:t>London.</w:t>
      </w:r>
      <w:r w:rsidRPr="0031675F">
        <w:t xml:space="preserve"> </w:t>
      </w:r>
      <w:r w:rsidRPr="0031675F">
        <w:rPr>
          <w:spacing w:val="-1"/>
        </w:rPr>
        <w:t>pp22-25.</w:t>
      </w:r>
    </w:p>
    <w:p w14:paraId="44EE6477" w14:textId="77777777" w:rsidR="0031675F" w:rsidRPr="0031675F" w:rsidRDefault="0031675F" w:rsidP="0031675F">
      <w:pPr>
        <w:rPr>
          <w:rFonts w:cs="Calibri"/>
        </w:rPr>
      </w:pPr>
    </w:p>
    <w:p w14:paraId="089112BC" w14:textId="77777777" w:rsidR="0031675F" w:rsidRPr="0031675F" w:rsidRDefault="0031675F" w:rsidP="0031675F">
      <w:pPr>
        <w:spacing w:after="120"/>
        <w:ind w:right="109"/>
        <w:jc w:val="both"/>
        <w:rPr>
          <w:spacing w:val="-1"/>
        </w:rPr>
      </w:pPr>
      <w:r w:rsidRPr="0031675F">
        <w:t>Ryle</w:t>
      </w:r>
      <w:r w:rsidRPr="0031675F">
        <w:rPr>
          <w:spacing w:val="14"/>
        </w:rPr>
        <w:t xml:space="preserve"> </w:t>
      </w:r>
      <w:r w:rsidRPr="0031675F">
        <w:rPr>
          <w:spacing w:val="-1"/>
        </w:rPr>
        <w:t>VD,</w:t>
      </w:r>
      <w:r w:rsidRPr="0031675F">
        <w:rPr>
          <w:spacing w:val="12"/>
        </w:rPr>
        <w:t xml:space="preserve"> </w:t>
      </w:r>
      <w:r w:rsidRPr="0031675F">
        <w:rPr>
          <w:spacing w:val="-1"/>
        </w:rPr>
        <w:t>Mueller</w:t>
      </w:r>
      <w:r w:rsidRPr="0031675F">
        <w:rPr>
          <w:spacing w:val="12"/>
        </w:rPr>
        <w:t xml:space="preserve"> </w:t>
      </w:r>
      <w:r w:rsidRPr="0031675F">
        <w:rPr>
          <w:spacing w:val="-1"/>
        </w:rPr>
        <w:t>HR,</w:t>
      </w:r>
      <w:r w:rsidRPr="0031675F">
        <w:rPr>
          <w:spacing w:val="15"/>
        </w:rPr>
        <w:t xml:space="preserve"> </w:t>
      </w:r>
      <w:r w:rsidRPr="0031675F">
        <w:rPr>
          <w:spacing w:val="-1"/>
        </w:rPr>
        <w:t>Gentien</w:t>
      </w:r>
      <w:r w:rsidRPr="0031675F">
        <w:rPr>
          <w:spacing w:val="14"/>
        </w:rPr>
        <w:t xml:space="preserve"> </w:t>
      </w:r>
      <w:r w:rsidRPr="0031675F">
        <w:t>P</w:t>
      </w:r>
      <w:r w:rsidRPr="0031675F">
        <w:rPr>
          <w:spacing w:val="13"/>
        </w:rPr>
        <w:t xml:space="preserve"> </w:t>
      </w:r>
      <w:r w:rsidRPr="0031675F">
        <w:rPr>
          <w:spacing w:val="-1"/>
        </w:rPr>
        <w:t>(1981)</w:t>
      </w:r>
      <w:r w:rsidRPr="0031675F">
        <w:rPr>
          <w:spacing w:val="15"/>
        </w:rPr>
        <w:t xml:space="preserve"> </w:t>
      </w:r>
      <w:r w:rsidRPr="0031675F">
        <w:rPr>
          <w:spacing w:val="-1"/>
        </w:rPr>
        <w:t>Automated</w:t>
      </w:r>
      <w:r w:rsidRPr="0031675F">
        <w:rPr>
          <w:spacing w:val="11"/>
        </w:rPr>
        <w:t xml:space="preserve"> </w:t>
      </w:r>
      <w:r w:rsidRPr="0031675F">
        <w:rPr>
          <w:spacing w:val="-1"/>
        </w:rPr>
        <w:t>analysis</w:t>
      </w:r>
      <w:r w:rsidRPr="0031675F">
        <w:rPr>
          <w:spacing w:val="12"/>
        </w:rPr>
        <w:t xml:space="preserve"> </w:t>
      </w:r>
      <w:r w:rsidRPr="0031675F">
        <w:t>of</w:t>
      </w:r>
      <w:r w:rsidRPr="0031675F">
        <w:rPr>
          <w:spacing w:val="14"/>
        </w:rPr>
        <w:t xml:space="preserve"> </w:t>
      </w:r>
      <w:r w:rsidRPr="0031675F">
        <w:rPr>
          <w:spacing w:val="-1"/>
        </w:rPr>
        <w:t>nutrients</w:t>
      </w:r>
      <w:r w:rsidRPr="0031675F">
        <w:rPr>
          <w:spacing w:val="14"/>
        </w:rPr>
        <w:t xml:space="preserve"> </w:t>
      </w:r>
      <w:r w:rsidRPr="0031675F">
        <w:t>in</w:t>
      </w:r>
      <w:r w:rsidRPr="0031675F">
        <w:rPr>
          <w:spacing w:val="13"/>
        </w:rPr>
        <w:t xml:space="preserve"> </w:t>
      </w:r>
      <w:r w:rsidRPr="0031675F">
        <w:rPr>
          <w:spacing w:val="-1"/>
        </w:rPr>
        <w:t>tropical</w:t>
      </w:r>
      <w:r w:rsidRPr="0031675F">
        <w:rPr>
          <w:spacing w:val="14"/>
        </w:rPr>
        <w:t xml:space="preserve"> </w:t>
      </w:r>
      <w:r w:rsidRPr="0031675F">
        <w:rPr>
          <w:spacing w:val="-1"/>
        </w:rPr>
        <w:t>sea</w:t>
      </w:r>
      <w:r w:rsidRPr="0031675F">
        <w:rPr>
          <w:spacing w:val="12"/>
        </w:rPr>
        <w:t xml:space="preserve"> </w:t>
      </w:r>
      <w:r w:rsidRPr="0031675F">
        <w:rPr>
          <w:spacing w:val="-1"/>
        </w:rPr>
        <w:t>waters.</w:t>
      </w:r>
      <w:r w:rsidRPr="0031675F">
        <w:rPr>
          <w:spacing w:val="14"/>
        </w:rPr>
        <w:t xml:space="preserve"> </w:t>
      </w:r>
      <w:r w:rsidRPr="0031675F">
        <w:rPr>
          <w:spacing w:val="1"/>
        </w:rPr>
        <w:t>AIMS</w:t>
      </w:r>
      <w:r w:rsidRPr="0031675F">
        <w:rPr>
          <w:spacing w:val="65"/>
        </w:rPr>
        <w:t xml:space="preserve"> </w:t>
      </w:r>
      <w:r w:rsidRPr="0031675F">
        <w:rPr>
          <w:spacing w:val="-1"/>
        </w:rPr>
        <w:t>Technical</w:t>
      </w:r>
      <w:r w:rsidRPr="0031675F">
        <w:rPr>
          <w:spacing w:val="16"/>
        </w:rPr>
        <w:t xml:space="preserve"> </w:t>
      </w:r>
      <w:r w:rsidRPr="0031675F">
        <w:rPr>
          <w:spacing w:val="-1"/>
        </w:rPr>
        <w:t>Bulletin,</w:t>
      </w:r>
      <w:r w:rsidRPr="0031675F">
        <w:rPr>
          <w:spacing w:val="17"/>
        </w:rPr>
        <w:t xml:space="preserve"> </w:t>
      </w:r>
      <w:r w:rsidRPr="0031675F">
        <w:rPr>
          <w:spacing w:val="-1"/>
        </w:rPr>
        <w:t>Oceanography</w:t>
      </w:r>
      <w:r w:rsidRPr="0031675F">
        <w:rPr>
          <w:spacing w:val="17"/>
        </w:rPr>
        <w:t xml:space="preserve"> </w:t>
      </w:r>
      <w:r w:rsidRPr="0031675F">
        <w:rPr>
          <w:spacing w:val="-1"/>
        </w:rPr>
        <w:t>Series</w:t>
      </w:r>
      <w:r w:rsidRPr="0031675F">
        <w:rPr>
          <w:spacing w:val="17"/>
        </w:rPr>
        <w:t xml:space="preserve"> </w:t>
      </w:r>
      <w:r w:rsidRPr="0031675F">
        <w:rPr>
          <w:spacing w:val="-1"/>
        </w:rPr>
        <w:t>No.</w:t>
      </w:r>
      <w:r w:rsidRPr="0031675F">
        <w:rPr>
          <w:spacing w:val="14"/>
        </w:rPr>
        <w:t xml:space="preserve"> </w:t>
      </w:r>
      <w:r w:rsidRPr="0031675F">
        <w:t>3,</w:t>
      </w:r>
      <w:r w:rsidRPr="0031675F">
        <w:rPr>
          <w:spacing w:val="17"/>
        </w:rPr>
        <w:t xml:space="preserve"> </w:t>
      </w:r>
      <w:r w:rsidRPr="0031675F">
        <w:rPr>
          <w:spacing w:val="-1"/>
        </w:rPr>
        <w:t>Australian</w:t>
      </w:r>
      <w:r w:rsidRPr="0031675F">
        <w:rPr>
          <w:spacing w:val="16"/>
        </w:rPr>
        <w:t xml:space="preserve"> </w:t>
      </w:r>
      <w:r w:rsidRPr="0031675F">
        <w:rPr>
          <w:spacing w:val="-1"/>
        </w:rPr>
        <w:t>Institute</w:t>
      </w:r>
      <w:r w:rsidRPr="0031675F">
        <w:rPr>
          <w:spacing w:val="17"/>
        </w:rPr>
        <w:t xml:space="preserve"> </w:t>
      </w:r>
      <w:r w:rsidRPr="0031675F">
        <w:t>If</w:t>
      </w:r>
      <w:r w:rsidRPr="0031675F">
        <w:rPr>
          <w:spacing w:val="14"/>
        </w:rPr>
        <w:t xml:space="preserve"> </w:t>
      </w:r>
      <w:r w:rsidRPr="0031675F">
        <w:rPr>
          <w:spacing w:val="-1"/>
        </w:rPr>
        <w:t>Marine</w:t>
      </w:r>
      <w:r w:rsidRPr="0031675F">
        <w:rPr>
          <w:spacing w:val="15"/>
        </w:rPr>
        <w:t xml:space="preserve"> </w:t>
      </w:r>
      <w:r w:rsidRPr="0031675F">
        <w:rPr>
          <w:spacing w:val="-1"/>
        </w:rPr>
        <w:t>Science,</w:t>
      </w:r>
      <w:r w:rsidRPr="0031675F">
        <w:rPr>
          <w:spacing w:val="15"/>
        </w:rPr>
        <w:t xml:space="preserve"> </w:t>
      </w:r>
      <w:r w:rsidRPr="0031675F">
        <w:rPr>
          <w:spacing w:val="-1"/>
        </w:rPr>
        <w:t>Townsville. P.</w:t>
      </w:r>
      <w:r w:rsidRPr="0031675F">
        <w:rPr>
          <w:spacing w:val="14"/>
        </w:rPr>
        <w:t xml:space="preserve"> </w:t>
      </w:r>
      <w:r w:rsidRPr="0031675F">
        <w:rPr>
          <w:spacing w:val="-1"/>
        </w:rPr>
        <w:t>24.</w:t>
      </w:r>
    </w:p>
    <w:p w14:paraId="4088602F" w14:textId="77777777" w:rsidR="0031675F" w:rsidRPr="0031675F" w:rsidRDefault="0031675F" w:rsidP="0031675F">
      <w:pPr>
        <w:rPr>
          <w:spacing w:val="-1"/>
        </w:rPr>
      </w:pPr>
      <w:r w:rsidRPr="0031675F">
        <w:rPr>
          <w:spacing w:val="-1"/>
        </w:rPr>
        <w:br w:type="page"/>
      </w:r>
    </w:p>
    <w:p w14:paraId="4ADEB328" w14:textId="77777777" w:rsidR="0031675F" w:rsidRPr="0031675F" w:rsidRDefault="0031675F" w:rsidP="0031675F">
      <w:pPr>
        <w:spacing w:after="120"/>
        <w:ind w:right="109"/>
        <w:jc w:val="both"/>
        <w:rPr>
          <w:rFonts w:cs="Calibri"/>
          <w:sz w:val="20"/>
          <w:szCs w:val="20"/>
        </w:rPr>
      </w:pPr>
    </w:p>
    <w:p w14:paraId="5C8BD554" w14:textId="6A3B0038" w:rsidR="0031675F" w:rsidRPr="0031675F" w:rsidRDefault="0031675F" w:rsidP="005A35E3">
      <w:pPr>
        <w:pStyle w:val="Heading4"/>
        <w:numPr>
          <w:ilvl w:val="0"/>
          <w:numId w:val="0"/>
        </w:numPr>
        <w:ind w:left="864" w:hanging="864"/>
      </w:pPr>
      <w:bookmarkStart w:id="606" w:name="_Toc523830548"/>
      <w:bookmarkStart w:id="607" w:name="_Toc523905134"/>
      <w:bookmarkStart w:id="608" w:name="_Toc523905376"/>
      <w:bookmarkStart w:id="609" w:name="_Toc534968687"/>
      <w:bookmarkStart w:id="610" w:name="_TOC_250074"/>
      <w:r w:rsidRPr="0031675F">
        <w:rPr>
          <w:highlight w:val="lightGray"/>
        </w:rPr>
        <w:t>Section A3 Attachments</w:t>
      </w:r>
      <w:bookmarkEnd w:id="606"/>
      <w:bookmarkEnd w:id="607"/>
      <w:bookmarkEnd w:id="608"/>
      <w:bookmarkEnd w:id="609"/>
      <w:r w:rsidRPr="0031675F">
        <w:rPr>
          <w:highlight w:val="lightGray"/>
        </w:rPr>
        <w:t xml:space="preserve"> </w:t>
      </w:r>
      <w:bookmarkEnd w:id="610"/>
    </w:p>
    <w:p w14:paraId="7B83E283" w14:textId="77777777" w:rsidR="0031675F" w:rsidRPr="0031675F" w:rsidRDefault="0031675F" w:rsidP="0031675F">
      <w:pPr>
        <w:rPr>
          <w:rFonts w:eastAsia="Arial" w:cs="Arial"/>
          <w:b/>
          <w:sz w:val="24"/>
          <w:szCs w:val="24"/>
        </w:rPr>
      </w:pPr>
      <w:bookmarkStart w:id="611" w:name="_TOC_250073"/>
      <w:r w:rsidRPr="0031675F">
        <w:rPr>
          <w:b/>
          <w:sz w:val="24"/>
          <w:szCs w:val="24"/>
        </w:rPr>
        <w:t>Attachment 3.1</w:t>
      </w:r>
      <w:r w:rsidRPr="0031675F">
        <w:rPr>
          <w:b/>
          <w:sz w:val="24"/>
          <w:szCs w:val="24"/>
        </w:rPr>
        <w:tab/>
        <w:t>Persulfate</w:t>
      </w:r>
      <w:r w:rsidRPr="0031675F">
        <w:rPr>
          <w:b/>
          <w:spacing w:val="-2"/>
          <w:sz w:val="24"/>
          <w:szCs w:val="24"/>
        </w:rPr>
        <w:t xml:space="preserve"> </w:t>
      </w:r>
      <w:r w:rsidRPr="0031675F">
        <w:rPr>
          <w:b/>
          <w:sz w:val="24"/>
          <w:szCs w:val="24"/>
        </w:rPr>
        <w:t xml:space="preserve">digestion </w:t>
      </w:r>
      <w:r w:rsidRPr="0031675F">
        <w:rPr>
          <w:b/>
          <w:spacing w:val="-2"/>
          <w:sz w:val="24"/>
          <w:szCs w:val="24"/>
        </w:rPr>
        <w:t>for</w:t>
      </w:r>
      <w:r w:rsidRPr="0031675F">
        <w:rPr>
          <w:b/>
          <w:sz w:val="24"/>
          <w:szCs w:val="24"/>
        </w:rPr>
        <w:t xml:space="preserve"> analysis</w:t>
      </w:r>
      <w:r w:rsidRPr="0031675F">
        <w:rPr>
          <w:b/>
          <w:spacing w:val="1"/>
          <w:sz w:val="24"/>
          <w:szCs w:val="24"/>
        </w:rPr>
        <w:t xml:space="preserve"> </w:t>
      </w:r>
      <w:r w:rsidRPr="0031675F">
        <w:rPr>
          <w:b/>
          <w:sz w:val="24"/>
          <w:szCs w:val="24"/>
        </w:rPr>
        <w:t>of total dissolved</w:t>
      </w:r>
      <w:r w:rsidRPr="0031675F">
        <w:rPr>
          <w:b/>
          <w:spacing w:val="43"/>
          <w:sz w:val="24"/>
          <w:szCs w:val="24"/>
        </w:rPr>
        <w:t xml:space="preserve"> </w:t>
      </w:r>
      <w:r w:rsidRPr="0031675F">
        <w:rPr>
          <w:b/>
          <w:sz w:val="24"/>
          <w:szCs w:val="24"/>
        </w:rPr>
        <w:t>nutrients</w:t>
      </w:r>
      <w:bookmarkEnd w:id="611"/>
    </w:p>
    <w:p w14:paraId="0D95A41E" w14:textId="77777777" w:rsidR="0031675F" w:rsidRPr="0031675F" w:rsidRDefault="0031675F" w:rsidP="0031675F">
      <w:pPr>
        <w:spacing w:before="11"/>
        <w:rPr>
          <w:rFonts w:eastAsia="Arial" w:cs="Arial"/>
          <w:b/>
          <w:bCs/>
          <w:sz w:val="20"/>
          <w:szCs w:val="20"/>
        </w:rPr>
      </w:pPr>
    </w:p>
    <w:p w14:paraId="40C5D55C" w14:textId="77777777" w:rsidR="0031675F" w:rsidRPr="0031675F" w:rsidRDefault="0031675F" w:rsidP="0031675F">
      <w:pPr>
        <w:ind w:left="138"/>
        <w:rPr>
          <w:rFonts w:asciiTheme="minorHAnsi" w:hAnsiTheme="minorHAnsi" w:cs="Calibri"/>
        </w:rPr>
      </w:pPr>
      <w:r w:rsidRPr="0031675F">
        <w:rPr>
          <w:b/>
          <w:i/>
          <w:spacing w:val="-1"/>
          <w:u w:val="single" w:color="000000"/>
        </w:rPr>
        <w:t>Pr</w:t>
      </w:r>
      <w:r w:rsidRPr="0031675F">
        <w:rPr>
          <w:rFonts w:asciiTheme="minorHAnsi" w:hAnsiTheme="minorHAnsi"/>
          <w:b/>
          <w:i/>
          <w:spacing w:val="-1"/>
          <w:u w:val="single" w:color="000000"/>
        </w:rPr>
        <w:t>inciple</w:t>
      </w:r>
    </w:p>
    <w:p w14:paraId="009708B0" w14:textId="77777777" w:rsidR="0031675F" w:rsidRPr="0031675F" w:rsidRDefault="0031675F" w:rsidP="0031675F">
      <w:pPr>
        <w:spacing w:after="120" w:line="239" w:lineRule="auto"/>
        <w:ind w:left="138" w:right="111" w:firstLine="50"/>
        <w:jc w:val="both"/>
        <w:rPr>
          <w:rFonts w:asciiTheme="minorHAnsi" w:hAnsiTheme="minorHAnsi"/>
        </w:rPr>
      </w:pPr>
      <w:r w:rsidRPr="0031675F">
        <w:rPr>
          <w:rFonts w:asciiTheme="minorHAnsi" w:hAnsiTheme="minorHAnsi"/>
          <w:spacing w:val="-1"/>
        </w:rPr>
        <w:t>Significant</w:t>
      </w:r>
      <w:r w:rsidRPr="0031675F">
        <w:rPr>
          <w:rFonts w:asciiTheme="minorHAnsi" w:hAnsiTheme="minorHAnsi"/>
          <w:spacing w:val="1"/>
        </w:rPr>
        <w:t xml:space="preserve"> </w:t>
      </w:r>
      <w:r w:rsidRPr="0031675F">
        <w:rPr>
          <w:rFonts w:asciiTheme="minorHAnsi" w:hAnsiTheme="minorHAnsi"/>
          <w:spacing w:val="-1"/>
        </w:rPr>
        <w:t>pools</w:t>
      </w:r>
      <w:r w:rsidRPr="0031675F">
        <w:rPr>
          <w:rFonts w:asciiTheme="minorHAnsi" w:hAnsiTheme="minorHAnsi"/>
          <w:spacing w:val="1"/>
        </w:rPr>
        <w:t xml:space="preserve"> </w:t>
      </w:r>
      <w:r w:rsidRPr="0031675F">
        <w:rPr>
          <w:rFonts w:asciiTheme="minorHAnsi" w:hAnsiTheme="minorHAnsi"/>
        </w:rPr>
        <w:t>of</w:t>
      </w:r>
      <w:r w:rsidRPr="0031675F">
        <w:rPr>
          <w:rFonts w:asciiTheme="minorHAnsi" w:hAnsiTheme="minorHAnsi"/>
          <w:spacing w:val="1"/>
        </w:rPr>
        <w:t xml:space="preserve"> </w:t>
      </w:r>
      <w:r w:rsidRPr="0031675F">
        <w:rPr>
          <w:rFonts w:asciiTheme="minorHAnsi" w:hAnsiTheme="minorHAnsi"/>
        </w:rPr>
        <w:t xml:space="preserve">N </w:t>
      </w:r>
      <w:r w:rsidRPr="0031675F">
        <w:rPr>
          <w:rFonts w:asciiTheme="minorHAnsi" w:hAnsiTheme="minorHAnsi"/>
          <w:spacing w:val="-2"/>
        </w:rPr>
        <w:t>and</w:t>
      </w:r>
      <w:r w:rsidRPr="0031675F">
        <w:rPr>
          <w:rFonts w:asciiTheme="minorHAnsi" w:hAnsiTheme="minorHAnsi"/>
        </w:rPr>
        <w:t xml:space="preserve"> P</w:t>
      </w:r>
      <w:r w:rsidRPr="0031675F">
        <w:rPr>
          <w:rFonts w:asciiTheme="minorHAnsi" w:hAnsiTheme="minorHAnsi"/>
          <w:spacing w:val="2"/>
        </w:rPr>
        <w:t xml:space="preserve"> </w:t>
      </w:r>
      <w:r w:rsidRPr="0031675F">
        <w:rPr>
          <w:rFonts w:asciiTheme="minorHAnsi" w:hAnsiTheme="minorHAnsi"/>
        </w:rPr>
        <w:t>are</w:t>
      </w:r>
      <w:r w:rsidRPr="0031675F">
        <w:rPr>
          <w:rFonts w:asciiTheme="minorHAnsi" w:hAnsiTheme="minorHAnsi"/>
          <w:spacing w:val="48"/>
        </w:rPr>
        <w:t xml:space="preserve"> </w:t>
      </w:r>
      <w:r w:rsidRPr="0031675F">
        <w:rPr>
          <w:rFonts w:asciiTheme="minorHAnsi" w:hAnsiTheme="minorHAnsi"/>
          <w:spacing w:val="-1"/>
        </w:rPr>
        <w:t>complexed</w:t>
      </w:r>
      <w:r w:rsidRPr="0031675F">
        <w:rPr>
          <w:rFonts w:asciiTheme="minorHAnsi" w:hAnsiTheme="minorHAnsi"/>
        </w:rPr>
        <w:t xml:space="preserve"> </w:t>
      </w:r>
      <w:r w:rsidRPr="0031675F">
        <w:rPr>
          <w:rFonts w:asciiTheme="minorHAnsi" w:hAnsiTheme="minorHAnsi"/>
          <w:spacing w:val="-1"/>
        </w:rPr>
        <w:t>within</w:t>
      </w:r>
      <w:r w:rsidRPr="0031675F">
        <w:rPr>
          <w:rFonts w:asciiTheme="minorHAnsi" w:hAnsiTheme="minorHAnsi"/>
        </w:rPr>
        <w:t xml:space="preserve"> </w:t>
      </w:r>
      <w:r w:rsidRPr="0031675F">
        <w:rPr>
          <w:rFonts w:asciiTheme="minorHAnsi" w:hAnsiTheme="minorHAnsi"/>
          <w:spacing w:val="-1"/>
        </w:rPr>
        <w:t>dissolved</w:t>
      </w:r>
      <w:r w:rsidRPr="0031675F">
        <w:rPr>
          <w:rFonts w:asciiTheme="minorHAnsi" w:hAnsiTheme="minorHAnsi"/>
        </w:rPr>
        <w:t xml:space="preserve"> </w:t>
      </w:r>
      <w:r w:rsidRPr="0031675F">
        <w:rPr>
          <w:rFonts w:asciiTheme="minorHAnsi" w:hAnsiTheme="minorHAnsi"/>
          <w:spacing w:val="-1"/>
        </w:rPr>
        <w:t>organic</w:t>
      </w:r>
      <w:r w:rsidRPr="0031675F">
        <w:rPr>
          <w:rFonts w:asciiTheme="minorHAnsi" w:hAnsiTheme="minorHAnsi"/>
          <w:spacing w:val="48"/>
        </w:rPr>
        <w:t xml:space="preserve"> </w:t>
      </w:r>
      <w:r w:rsidRPr="0031675F">
        <w:rPr>
          <w:rFonts w:asciiTheme="minorHAnsi" w:hAnsiTheme="minorHAnsi"/>
          <w:spacing w:val="-1"/>
        </w:rPr>
        <w:t>matter</w:t>
      </w:r>
      <w:r w:rsidRPr="0031675F">
        <w:rPr>
          <w:rFonts w:asciiTheme="minorHAnsi" w:hAnsiTheme="minorHAnsi"/>
        </w:rPr>
        <w:t xml:space="preserve"> or</w:t>
      </w:r>
      <w:r w:rsidRPr="0031675F">
        <w:rPr>
          <w:rFonts w:asciiTheme="minorHAnsi" w:hAnsiTheme="minorHAnsi"/>
          <w:spacing w:val="48"/>
        </w:rPr>
        <w:t xml:space="preserve"> </w:t>
      </w:r>
      <w:r w:rsidRPr="0031675F">
        <w:rPr>
          <w:rFonts w:asciiTheme="minorHAnsi" w:hAnsiTheme="minorHAnsi"/>
          <w:spacing w:val="-1"/>
        </w:rPr>
        <w:t>organisms.</w:t>
      </w:r>
      <w:r w:rsidRPr="0031675F">
        <w:rPr>
          <w:rFonts w:asciiTheme="minorHAnsi" w:hAnsiTheme="minorHAnsi"/>
          <w:spacing w:val="48"/>
        </w:rPr>
        <w:t xml:space="preserve"> </w:t>
      </w:r>
      <w:r w:rsidRPr="0031675F">
        <w:rPr>
          <w:rFonts w:asciiTheme="minorHAnsi" w:hAnsiTheme="minorHAnsi"/>
          <w:spacing w:val="-2"/>
        </w:rPr>
        <w:t>To</w:t>
      </w:r>
      <w:r w:rsidRPr="0031675F">
        <w:rPr>
          <w:rFonts w:asciiTheme="minorHAnsi" w:hAnsiTheme="minorHAnsi"/>
          <w:spacing w:val="79"/>
        </w:rPr>
        <w:t xml:space="preserve"> </w:t>
      </w:r>
      <w:r w:rsidRPr="0031675F">
        <w:rPr>
          <w:rFonts w:asciiTheme="minorHAnsi" w:hAnsiTheme="minorHAnsi"/>
          <w:spacing w:val="-1"/>
        </w:rPr>
        <w:t>measure</w:t>
      </w:r>
      <w:r w:rsidRPr="0031675F">
        <w:rPr>
          <w:rFonts w:asciiTheme="minorHAnsi" w:hAnsiTheme="minorHAnsi"/>
          <w:spacing w:val="3"/>
        </w:rPr>
        <w:t xml:space="preserve"> </w:t>
      </w:r>
      <w:r w:rsidRPr="0031675F">
        <w:rPr>
          <w:rFonts w:asciiTheme="minorHAnsi" w:hAnsiTheme="minorHAnsi"/>
        </w:rPr>
        <w:t>of</w:t>
      </w:r>
      <w:r w:rsidRPr="0031675F">
        <w:rPr>
          <w:rFonts w:asciiTheme="minorHAnsi" w:hAnsiTheme="minorHAnsi"/>
          <w:spacing w:val="5"/>
        </w:rPr>
        <w:t xml:space="preserve"> </w:t>
      </w:r>
      <w:r w:rsidRPr="0031675F">
        <w:rPr>
          <w:rFonts w:asciiTheme="minorHAnsi" w:hAnsiTheme="minorHAnsi"/>
        </w:rPr>
        <w:t>the</w:t>
      </w:r>
      <w:r w:rsidRPr="0031675F">
        <w:rPr>
          <w:rFonts w:asciiTheme="minorHAnsi" w:hAnsiTheme="minorHAnsi"/>
          <w:spacing w:val="3"/>
        </w:rPr>
        <w:t xml:space="preserve"> </w:t>
      </w:r>
      <w:r w:rsidRPr="0031675F">
        <w:rPr>
          <w:rFonts w:asciiTheme="minorHAnsi" w:hAnsiTheme="minorHAnsi"/>
          <w:spacing w:val="-1"/>
        </w:rPr>
        <w:t>total</w:t>
      </w:r>
      <w:r w:rsidRPr="0031675F">
        <w:rPr>
          <w:rFonts w:asciiTheme="minorHAnsi" w:hAnsiTheme="minorHAnsi"/>
          <w:spacing w:val="5"/>
        </w:rPr>
        <w:t xml:space="preserve"> </w:t>
      </w:r>
      <w:r w:rsidRPr="0031675F">
        <w:rPr>
          <w:rFonts w:asciiTheme="minorHAnsi" w:hAnsiTheme="minorHAnsi"/>
          <w:spacing w:val="-1"/>
        </w:rPr>
        <w:t>amount</w:t>
      </w:r>
      <w:r w:rsidRPr="0031675F">
        <w:rPr>
          <w:rFonts w:asciiTheme="minorHAnsi" w:hAnsiTheme="minorHAnsi"/>
          <w:spacing w:val="5"/>
        </w:rPr>
        <w:t xml:space="preserve"> </w:t>
      </w:r>
      <w:r w:rsidRPr="0031675F">
        <w:rPr>
          <w:rFonts w:asciiTheme="minorHAnsi" w:hAnsiTheme="minorHAnsi"/>
        </w:rPr>
        <w:t>of</w:t>
      </w:r>
      <w:r w:rsidRPr="0031675F">
        <w:rPr>
          <w:rFonts w:asciiTheme="minorHAnsi" w:hAnsiTheme="minorHAnsi"/>
          <w:spacing w:val="5"/>
        </w:rPr>
        <w:t xml:space="preserve"> </w:t>
      </w:r>
      <w:r w:rsidRPr="0031675F">
        <w:rPr>
          <w:rFonts w:asciiTheme="minorHAnsi" w:hAnsiTheme="minorHAnsi"/>
        </w:rPr>
        <w:t>N</w:t>
      </w:r>
      <w:r w:rsidRPr="0031675F">
        <w:rPr>
          <w:rFonts w:asciiTheme="minorHAnsi" w:hAnsiTheme="minorHAnsi"/>
          <w:spacing w:val="4"/>
        </w:rPr>
        <w:t xml:space="preserve"> </w:t>
      </w:r>
      <w:r w:rsidRPr="0031675F">
        <w:rPr>
          <w:rFonts w:asciiTheme="minorHAnsi" w:hAnsiTheme="minorHAnsi"/>
          <w:spacing w:val="-1"/>
        </w:rPr>
        <w:t>and</w:t>
      </w:r>
      <w:r w:rsidRPr="0031675F">
        <w:rPr>
          <w:rFonts w:asciiTheme="minorHAnsi" w:hAnsiTheme="minorHAnsi"/>
          <w:spacing w:val="2"/>
        </w:rPr>
        <w:t xml:space="preserve"> </w:t>
      </w:r>
      <w:r w:rsidRPr="0031675F">
        <w:rPr>
          <w:rFonts w:asciiTheme="minorHAnsi" w:hAnsiTheme="minorHAnsi"/>
        </w:rPr>
        <w:t>P</w:t>
      </w:r>
      <w:r w:rsidRPr="0031675F">
        <w:rPr>
          <w:rFonts w:asciiTheme="minorHAnsi" w:hAnsiTheme="minorHAnsi"/>
          <w:spacing w:val="3"/>
        </w:rPr>
        <w:t xml:space="preserve"> </w:t>
      </w:r>
      <w:r w:rsidRPr="0031675F">
        <w:rPr>
          <w:rFonts w:asciiTheme="minorHAnsi" w:hAnsiTheme="minorHAnsi"/>
        </w:rPr>
        <w:t>within</w:t>
      </w:r>
      <w:r w:rsidRPr="0031675F">
        <w:rPr>
          <w:rFonts w:asciiTheme="minorHAnsi" w:hAnsiTheme="minorHAnsi"/>
          <w:spacing w:val="3"/>
        </w:rPr>
        <w:t xml:space="preserve"> </w:t>
      </w:r>
      <w:r w:rsidRPr="0031675F">
        <w:rPr>
          <w:rFonts w:asciiTheme="minorHAnsi" w:hAnsiTheme="minorHAnsi"/>
        </w:rPr>
        <w:t>a</w:t>
      </w:r>
      <w:r w:rsidRPr="0031675F">
        <w:rPr>
          <w:rFonts w:asciiTheme="minorHAnsi" w:hAnsiTheme="minorHAnsi"/>
          <w:spacing w:val="5"/>
        </w:rPr>
        <w:t xml:space="preserve"> </w:t>
      </w:r>
      <w:r w:rsidRPr="0031675F">
        <w:rPr>
          <w:rFonts w:asciiTheme="minorHAnsi" w:hAnsiTheme="minorHAnsi"/>
          <w:spacing w:val="-1"/>
        </w:rPr>
        <w:t>sample,</w:t>
      </w:r>
      <w:r w:rsidRPr="0031675F">
        <w:rPr>
          <w:rFonts w:asciiTheme="minorHAnsi" w:hAnsiTheme="minorHAnsi"/>
          <w:spacing w:val="5"/>
        </w:rPr>
        <w:t xml:space="preserve"> </w:t>
      </w:r>
      <w:r w:rsidRPr="0031675F">
        <w:rPr>
          <w:rFonts w:asciiTheme="minorHAnsi" w:hAnsiTheme="minorHAnsi"/>
        </w:rPr>
        <w:t>it</w:t>
      </w:r>
      <w:r w:rsidRPr="0031675F">
        <w:rPr>
          <w:rFonts w:asciiTheme="minorHAnsi" w:hAnsiTheme="minorHAnsi"/>
          <w:spacing w:val="5"/>
        </w:rPr>
        <w:t xml:space="preserve"> </w:t>
      </w:r>
      <w:r w:rsidRPr="0031675F">
        <w:rPr>
          <w:rFonts w:asciiTheme="minorHAnsi" w:hAnsiTheme="minorHAnsi"/>
        </w:rPr>
        <w:t>is</w:t>
      </w:r>
      <w:r w:rsidRPr="0031675F">
        <w:rPr>
          <w:rFonts w:asciiTheme="minorHAnsi" w:hAnsiTheme="minorHAnsi"/>
          <w:spacing w:val="4"/>
        </w:rPr>
        <w:t xml:space="preserve"> </w:t>
      </w:r>
      <w:r w:rsidRPr="0031675F">
        <w:rPr>
          <w:rFonts w:asciiTheme="minorHAnsi" w:hAnsiTheme="minorHAnsi"/>
          <w:spacing w:val="-1"/>
        </w:rPr>
        <w:t>necessary</w:t>
      </w:r>
      <w:r w:rsidRPr="0031675F">
        <w:rPr>
          <w:rFonts w:asciiTheme="minorHAnsi" w:hAnsiTheme="minorHAnsi"/>
          <w:spacing w:val="3"/>
        </w:rPr>
        <w:t xml:space="preserve"> </w:t>
      </w:r>
      <w:r w:rsidRPr="0031675F">
        <w:rPr>
          <w:rFonts w:asciiTheme="minorHAnsi" w:hAnsiTheme="minorHAnsi"/>
        </w:rPr>
        <w:t>to</w:t>
      </w:r>
      <w:r w:rsidRPr="0031675F">
        <w:rPr>
          <w:rFonts w:asciiTheme="minorHAnsi" w:hAnsiTheme="minorHAnsi"/>
          <w:spacing w:val="4"/>
        </w:rPr>
        <w:t xml:space="preserve"> </w:t>
      </w:r>
      <w:r w:rsidRPr="0031675F">
        <w:rPr>
          <w:rFonts w:asciiTheme="minorHAnsi" w:hAnsiTheme="minorHAnsi"/>
          <w:spacing w:val="-1"/>
        </w:rPr>
        <w:t>decompose</w:t>
      </w:r>
      <w:r w:rsidRPr="0031675F">
        <w:rPr>
          <w:rFonts w:asciiTheme="minorHAnsi" w:hAnsiTheme="minorHAnsi"/>
          <w:spacing w:val="5"/>
        </w:rPr>
        <w:t xml:space="preserve"> </w:t>
      </w:r>
      <w:r w:rsidRPr="0031675F">
        <w:rPr>
          <w:rFonts w:asciiTheme="minorHAnsi" w:hAnsiTheme="minorHAnsi"/>
          <w:spacing w:val="-1"/>
        </w:rPr>
        <w:t>these</w:t>
      </w:r>
      <w:r w:rsidRPr="0031675F">
        <w:rPr>
          <w:rFonts w:asciiTheme="minorHAnsi" w:hAnsiTheme="minorHAnsi"/>
          <w:spacing w:val="5"/>
        </w:rPr>
        <w:t xml:space="preserve"> </w:t>
      </w:r>
      <w:r w:rsidRPr="0031675F">
        <w:rPr>
          <w:rFonts w:asciiTheme="minorHAnsi" w:hAnsiTheme="minorHAnsi"/>
        </w:rPr>
        <w:t>N</w:t>
      </w:r>
      <w:r w:rsidRPr="0031675F">
        <w:rPr>
          <w:rFonts w:asciiTheme="minorHAnsi" w:hAnsiTheme="minorHAnsi"/>
          <w:spacing w:val="4"/>
        </w:rPr>
        <w:t xml:space="preserve"> </w:t>
      </w:r>
      <w:r w:rsidRPr="0031675F">
        <w:rPr>
          <w:rFonts w:asciiTheme="minorHAnsi" w:hAnsiTheme="minorHAnsi"/>
          <w:spacing w:val="-1"/>
        </w:rPr>
        <w:t>and</w:t>
      </w:r>
      <w:r w:rsidRPr="0031675F">
        <w:rPr>
          <w:rFonts w:asciiTheme="minorHAnsi" w:hAnsiTheme="minorHAnsi"/>
          <w:spacing w:val="2"/>
        </w:rPr>
        <w:t xml:space="preserve"> </w:t>
      </w:r>
      <w:r w:rsidRPr="0031675F">
        <w:rPr>
          <w:rFonts w:asciiTheme="minorHAnsi" w:hAnsiTheme="minorHAnsi"/>
        </w:rPr>
        <w:t>P</w:t>
      </w:r>
      <w:r w:rsidRPr="0031675F">
        <w:rPr>
          <w:rFonts w:asciiTheme="minorHAnsi" w:hAnsiTheme="minorHAnsi"/>
          <w:spacing w:val="35"/>
        </w:rPr>
        <w:t xml:space="preserve"> </w:t>
      </w:r>
      <w:r w:rsidRPr="0031675F">
        <w:rPr>
          <w:rFonts w:asciiTheme="minorHAnsi" w:hAnsiTheme="minorHAnsi"/>
        </w:rPr>
        <w:t>pools</w:t>
      </w:r>
      <w:r w:rsidRPr="0031675F">
        <w:rPr>
          <w:rFonts w:asciiTheme="minorHAnsi" w:hAnsiTheme="minorHAnsi"/>
          <w:spacing w:val="7"/>
        </w:rPr>
        <w:t xml:space="preserve"> </w:t>
      </w:r>
      <w:r w:rsidRPr="0031675F">
        <w:rPr>
          <w:rFonts w:asciiTheme="minorHAnsi" w:hAnsiTheme="minorHAnsi"/>
          <w:spacing w:val="-1"/>
        </w:rPr>
        <w:t>to</w:t>
      </w:r>
      <w:r w:rsidRPr="0031675F">
        <w:rPr>
          <w:rFonts w:asciiTheme="minorHAnsi" w:hAnsiTheme="minorHAnsi"/>
          <w:spacing w:val="8"/>
        </w:rPr>
        <w:t xml:space="preserve"> </w:t>
      </w:r>
      <w:r w:rsidRPr="0031675F">
        <w:rPr>
          <w:rFonts w:asciiTheme="minorHAnsi" w:hAnsiTheme="minorHAnsi"/>
        </w:rPr>
        <w:t>a</w:t>
      </w:r>
      <w:r w:rsidRPr="0031675F">
        <w:rPr>
          <w:rFonts w:asciiTheme="minorHAnsi" w:hAnsiTheme="minorHAnsi"/>
          <w:spacing w:val="7"/>
        </w:rPr>
        <w:t xml:space="preserve"> </w:t>
      </w:r>
      <w:r w:rsidRPr="0031675F">
        <w:rPr>
          <w:rFonts w:asciiTheme="minorHAnsi" w:hAnsiTheme="minorHAnsi"/>
          <w:spacing w:val="-1"/>
        </w:rPr>
        <w:t>form</w:t>
      </w:r>
      <w:r w:rsidRPr="0031675F">
        <w:rPr>
          <w:rFonts w:asciiTheme="minorHAnsi" w:hAnsiTheme="minorHAnsi"/>
          <w:spacing w:val="8"/>
        </w:rPr>
        <w:t xml:space="preserve"> </w:t>
      </w:r>
      <w:r w:rsidRPr="0031675F">
        <w:rPr>
          <w:rFonts w:asciiTheme="minorHAnsi" w:hAnsiTheme="minorHAnsi"/>
        </w:rPr>
        <w:t>that</w:t>
      </w:r>
      <w:r w:rsidRPr="0031675F">
        <w:rPr>
          <w:rFonts w:asciiTheme="minorHAnsi" w:hAnsiTheme="minorHAnsi"/>
          <w:spacing w:val="7"/>
        </w:rPr>
        <w:t xml:space="preserve"> </w:t>
      </w:r>
      <w:r w:rsidRPr="0031675F">
        <w:rPr>
          <w:rFonts w:asciiTheme="minorHAnsi" w:hAnsiTheme="minorHAnsi"/>
        </w:rPr>
        <w:t>can</w:t>
      </w:r>
      <w:r w:rsidRPr="0031675F">
        <w:rPr>
          <w:rFonts w:asciiTheme="minorHAnsi" w:hAnsiTheme="minorHAnsi"/>
          <w:spacing w:val="6"/>
        </w:rPr>
        <w:t xml:space="preserve"> </w:t>
      </w:r>
      <w:r w:rsidRPr="0031675F">
        <w:rPr>
          <w:rFonts w:asciiTheme="minorHAnsi" w:hAnsiTheme="minorHAnsi"/>
          <w:spacing w:val="-1"/>
        </w:rPr>
        <w:t>be</w:t>
      </w:r>
      <w:r w:rsidRPr="0031675F">
        <w:rPr>
          <w:rFonts w:asciiTheme="minorHAnsi" w:hAnsiTheme="minorHAnsi"/>
          <w:spacing w:val="8"/>
        </w:rPr>
        <w:t xml:space="preserve"> </w:t>
      </w:r>
      <w:r w:rsidRPr="0031675F">
        <w:rPr>
          <w:rFonts w:asciiTheme="minorHAnsi" w:hAnsiTheme="minorHAnsi"/>
          <w:spacing w:val="-1"/>
        </w:rPr>
        <w:t>quantified.</w:t>
      </w:r>
      <w:r w:rsidRPr="0031675F">
        <w:rPr>
          <w:rFonts w:asciiTheme="minorHAnsi" w:hAnsiTheme="minorHAnsi"/>
          <w:spacing w:val="14"/>
        </w:rPr>
        <w:t xml:space="preserve"> </w:t>
      </w:r>
      <w:r w:rsidRPr="0031675F">
        <w:rPr>
          <w:rFonts w:asciiTheme="minorHAnsi" w:hAnsiTheme="minorHAnsi"/>
          <w:spacing w:val="-1"/>
        </w:rPr>
        <w:t>This</w:t>
      </w:r>
      <w:r w:rsidRPr="0031675F">
        <w:rPr>
          <w:rFonts w:asciiTheme="minorHAnsi" w:hAnsiTheme="minorHAnsi"/>
          <w:spacing w:val="7"/>
        </w:rPr>
        <w:t xml:space="preserve"> </w:t>
      </w:r>
      <w:r w:rsidRPr="0031675F">
        <w:rPr>
          <w:rFonts w:asciiTheme="minorHAnsi" w:hAnsiTheme="minorHAnsi"/>
          <w:spacing w:val="-1"/>
        </w:rPr>
        <w:t>decomposition</w:t>
      </w:r>
      <w:r w:rsidRPr="0031675F">
        <w:rPr>
          <w:rFonts w:asciiTheme="minorHAnsi" w:hAnsiTheme="minorHAnsi"/>
          <w:spacing w:val="6"/>
        </w:rPr>
        <w:t xml:space="preserve"> </w:t>
      </w:r>
      <w:r w:rsidRPr="0031675F">
        <w:rPr>
          <w:rFonts w:asciiTheme="minorHAnsi" w:hAnsiTheme="minorHAnsi"/>
        </w:rPr>
        <w:t>can</w:t>
      </w:r>
      <w:r w:rsidRPr="0031675F">
        <w:rPr>
          <w:rFonts w:asciiTheme="minorHAnsi" w:hAnsiTheme="minorHAnsi"/>
          <w:spacing w:val="11"/>
        </w:rPr>
        <w:t xml:space="preserve"> </w:t>
      </w:r>
      <w:r w:rsidRPr="0031675F">
        <w:rPr>
          <w:rFonts w:asciiTheme="minorHAnsi" w:hAnsiTheme="minorHAnsi"/>
          <w:spacing w:val="-1"/>
        </w:rPr>
        <w:t>be</w:t>
      </w:r>
      <w:r w:rsidRPr="0031675F">
        <w:rPr>
          <w:rFonts w:asciiTheme="minorHAnsi" w:hAnsiTheme="minorHAnsi"/>
          <w:spacing w:val="8"/>
        </w:rPr>
        <w:t xml:space="preserve"> </w:t>
      </w:r>
      <w:r w:rsidRPr="0031675F">
        <w:rPr>
          <w:rFonts w:asciiTheme="minorHAnsi" w:hAnsiTheme="minorHAnsi"/>
          <w:spacing w:val="-1"/>
        </w:rPr>
        <w:t>achieved</w:t>
      </w:r>
      <w:r w:rsidRPr="0031675F">
        <w:rPr>
          <w:rFonts w:asciiTheme="minorHAnsi" w:hAnsiTheme="minorHAnsi"/>
          <w:spacing w:val="7"/>
        </w:rPr>
        <w:t xml:space="preserve"> </w:t>
      </w:r>
      <w:r w:rsidRPr="0031675F">
        <w:rPr>
          <w:rFonts w:asciiTheme="minorHAnsi" w:hAnsiTheme="minorHAnsi"/>
          <w:spacing w:val="-1"/>
        </w:rPr>
        <w:t>by</w:t>
      </w:r>
      <w:r w:rsidRPr="0031675F">
        <w:rPr>
          <w:rFonts w:asciiTheme="minorHAnsi" w:hAnsiTheme="minorHAnsi"/>
          <w:spacing w:val="6"/>
        </w:rPr>
        <w:t xml:space="preserve"> </w:t>
      </w:r>
      <w:r w:rsidRPr="0031675F">
        <w:rPr>
          <w:rFonts w:asciiTheme="minorHAnsi" w:hAnsiTheme="minorHAnsi"/>
          <w:spacing w:val="-1"/>
        </w:rPr>
        <w:t>exposure</w:t>
      </w:r>
      <w:r w:rsidRPr="0031675F">
        <w:rPr>
          <w:rFonts w:asciiTheme="minorHAnsi" w:hAnsiTheme="minorHAnsi"/>
          <w:spacing w:val="8"/>
        </w:rPr>
        <w:t xml:space="preserve"> </w:t>
      </w:r>
      <w:r w:rsidRPr="0031675F">
        <w:rPr>
          <w:rFonts w:asciiTheme="minorHAnsi" w:hAnsiTheme="minorHAnsi"/>
        </w:rPr>
        <w:t>of</w:t>
      </w:r>
      <w:r w:rsidRPr="0031675F">
        <w:rPr>
          <w:rFonts w:asciiTheme="minorHAnsi" w:hAnsiTheme="minorHAnsi"/>
          <w:spacing w:val="7"/>
        </w:rPr>
        <w:t xml:space="preserve"> </w:t>
      </w:r>
      <w:r w:rsidRPr="0031675F">
        <w:rPr>
          <w:rFonts w:asciiTheme="minorHAnsi" w:hAnsiTheme="minorHAnsi"/>
          <w:spacing w:val="-1"/>
        </w:rPr>
        <w:t>samples</w:t>
      </w:r>
      <w:r w:rsidRPr="0031675F">
        <w:rPr>
          <w:rFonts w:asciiTheme="minorHAnsi" w:hAnsiTheme="minorHAnsi"/>
          <w:spacing w:val="59"/>
        </w:rPr>
        <w:t xml:space="preserve"> </w:t>
      </w:r>
      <w:r w:rsidRPr="0031675F">
        <w:rPr>
          <w:rFonts w:asciiTheme="minorHAnsi" w:hAnsiTheme="minorHAnsi"/>
        </w:rPr>
        <w:t>to</w:t>
      </w:r>
      <w:r w:rsidRPr="0031675F">
        <w:rPr>
          <w:rFonts w:asciiTheme="minorHAnsi" w:hAnsiTheme="minorHAnsi"/>
          <w:spacing w:val="23"/>
        </w:rPr>
        <w:t xml:space="preserve"> </w:t>
      </w:r>
      <w:r w:rsidRPr="0031675F">
        <w:rPr>
          <w:rFonts w:asciiTheme="minorHAnsi" w:hAnsiTheme="minorHAnsi"/>
        </w:rPr>
        <w:t>an</w:t>
      </w:r>
      <w:r w:rsidRPr="0031675F">
        <w:rPr>
          <w:rFonts w:asciiTheme="minorHAnsi" w:hAnsiTheme="minorHAnsi"/>
          <w:spacing w:val="18"/>
        </w:rPr>
        <w:t xml:space="preserve"> </w:t>
      </w:r>
      <w:r w:rsidRPr="0031675F">
        <w:rPr>
          <w:rFonts w:asciiTheme="minorHAnsi" w:hAnsiTheme="minorHAnsi"/>
          <w:spacing w:val="-1"/>
        </w:rPr>
        <w:t>oxidising</w:t>
      </w:r>
      <w:r w:rsidRPr="0031675F">
        <w:rPr>
          <w:rFonts w:asciiTheme="minorHAnsi" w:hAnsiTheme="minorHAnsi"/>
          <w:spacing w:val="21"/>
        </w:rPr>
        <w:t xml:space="preserve"> </w:t>
      </w:r>
      <w:r w:rsidRPr="0031675F">
        <w:rPr>
          <w:rFonts w:asciiTheme="minorHAnsi" w:hAnsiTheme="minorHAnsi"/>
          <w:spacing w:val="-1"/>
        </w:rPr>
        <w:t>reagent</w:t>
      </w:r>
      <w:r w:rsidRPr="0031675F">
        <w:rPr>
          <w:rFonts w:asciiTheme="minorHAnsi" w:hAnsiTheme="minorHAnsi"/>
          <w:spacing w:val="22"/>
        </w:rPr>
        <w:t xml:space="preserve"> </w:t>
      </w:r>
      <w:r w:rsidRPr="0031675F">
        <w:rPr>
          <w:rFonts w:asciiTheme="minorHAnsi" w:hAnsiTheme="minorHAnsi"/>
          <w:spacing w:val="-1"/>
        </w:rPr>
        <w:t>with</w:t>
      </w:r>
      <w:r w:rsidRPr="0031675F">
        <w:rPr>
          <w:rFonts w:asciiTheme="minorHAnsi" w:hAnsiTheme="minorHAnsi"/>
          <w:spacing w:val="21"/>
        </w:rPr>
        <w:t xml:space="preserve"> </w:t>
      </w:r>
      <w:r w:rsidRPr="0031675F">
        <w:rPr>
          <w:rFonts w:asciiTheme="minorHAnsi" w:hAnsiTheme="minorHAnsi"/>
        </w:rPr>
        <w:t>the</w:t>
      </w:r>
      <w:r w:rsidRPr="0031675F">
        <w:rPr>
          <w:rFonts w:asciiTheme="minorHAnsi" w:hAnsiTheme="minorHAnsi"/>
          <w:spacing w:val="22"/>
        </w:rPr>
        <w:t xml:space="preserve"> </w:t>
      </w:r>
      <w:r w:rsidRPr="0031675F">
        <w:rPr>
          <w:rFonts w:asciiTheme="minorHAnsi" w:hAnsiTheme="minorHAnsi"/>
          <w:spacing w:val="-1"/>
        </w:rPr>
        <w:t>speed</w:t>
      </w:r>
      <w:r w:rsidRPr="0031675F">
        <w:rPr>
          <w:rFonts w:asciiTheme="minorHAnsi" w:hAnsiTheme="minorHAnsi"/>
          <w:spacing w:val="21"/>
        </w:rPr>
        <w:t xml:space="preserve"> </w:t>
      </w:r>
      <w:r w:rsidRPr="0031675F">
        <w:rPr>
          <w:rFonts w:asciiTheme="minorHAnsi" w:hAnsiTheme="minorHAnsi"/>
          <w:spacing w:val="-1"/>
        </w:rPr>
        <w:t>to</w:t>
      </w:r>
      <w:r w:rsidRPr="0031675F">
        <w:rPr>
          <w:rFonts w:asciiTheme="minorHAnsi" w:hAnsiTheme="minorHAnsi"/>
          <w:spacing w:val="23"/>
        </w:rPr>
        <w:t xml:space="preserve"> </w:t>
      </w:r>
      <w:r w:rsidRPr="0031675F">
        <w:rPr>
          <w:rFonts w:asciiTheme="minorHAnsi" w:hAnsiTheme="minorHAnsi"/>
          <w:spacing w:val="-1"/>
        </w:rPr>
        <w:t>completion</w:t>
      </w:r>
      <w:r w:rsidRPr="0031675F">
        <w:rPr>
          <w:rFonts w:asciiTheme="minorHAnsi" w:hAnsiTheme="minorHAnsi"/>
          <w:spacing w:val="21"/>
        </w:rPr>
        <w:t xml:space="preserve"> </w:t>
      </w:r>
      <w:r w:rsidRPr="0031675F">
        <w:rPr>
          <w:rFonts w:asciiTheme="minorHAnsi" w:hAnsiTheme="minorHAnsi"/>
        </w:rPr>
        <w:t>of</w:t>
      </w:r>
      <w:r w:rsidRPr="0031675F">
        <w:rPr>
          <w:rFonts w:asciiTheme="minorHAnsi" w:hAnsiTheme="minorHAnsi"/>
          <w:spacing w:val="21"/>
        </w:rPr>
        <w:t xml:space="preserve"> </w:t>
      </w:r>
      <w:r w:rsidRPr="0031675F">
        <w:rPr>
          <w:rFonts w:asciiTheme="minorHAnsi" w:hAnsiTheme="minorHAnsi"/>
        </w:rPr>
        <w:t>the</w:t>
      </w:r>
      <w:r w:rsidRPr="0031675F">
        <w:rPr>
          <w:rFonts w:asciiTheme="minorHAnsi" w:hAnsiTheme="minorHAnsi"/>
          <w:spacing w:val="19"/>
        </w:rPr>
        <w:t xml:space="preserve"> </w:t>
      </w:r>
      <w:r w:rsidRPr="0031675F">
        <w:rPr>
          <w:rFonts w:asciiTheme="minorHAnsi" w:hAnsiTheme="minorHAnsi"/>
          <w:spacing w:val="-1"/>
        </w:rPr>
        <w:t>oxidation</w:t>
      </w:r>
      <w:r w:rsidRPr="0031675F">
        <w:rPr>
          <w:rFonts w:asciiTheme="minorHAnsi" w:hAnsiTheme="minorHAnsi"/>
          <w:spacing w:val="21"/>
        </w:rPr>
        <w:t xml:space="preserve"> </w:t>
      </w:r>
      <w:r w:rsidRPr="0031675F">
        <w:rPr>
          <w:rFonts w:asciiTheme="minorHAnsi" w:hAnsiTheme="minorHAnsi"/>
          <w:spacing w:val="-1"/>
        </w:rPr>
        <w:t>reaction</w:t>
      </w:r>
      <w:r w:rsidRPr="0031675F">
        <w:rPr>
          <w:rFonts w:asciiTheme="minorHAnsi" w:hAnsiTheme="minorHAnsi"/>
          <w:spacing w:val="21"/>
        </w:rPr>
        <w:t xml:space="preserve"> </w:t>
      </w:r>
      <w:r w:rsidRPr="0031675F">
        <w:rPr>
          <w:rFonts w:asciiTheme="minorHAnsi" w:hAnsiTheme="minorHAnsi"/>
          <w:spacing w:val="-1"/>
        </w:rPr>
        <w:t>being</w:t>
      </w:r>
      <w:r w:rsidRPr="0031675F">
        <w:rPr>
          <w:rFonts w:asciiTheme="minorHAnsi" w:hAnsiTheme="minorHAnsi"/>
          <w:spacing w:val="21"/>
        </w:rPr>
        <w:t xml:space="preserve"> </w:t>
      </w:r>
      <w:r w:rsidRPr="0031675F">
        <w:rPr>
          <w:rFonts w:asciiTheme="minorHAnsi" w:hAnsiTheme="minorHAnsi"/>
          <w:spacing w:val="-1"/>
        </w:rPr>
        <w:t>promoted</w:t>
      </w:r>
      <w:r w:rsidRPr="0031675F">
        <w:rPr>
          <w:rFonts w:asciiTheme="minorHAnsi" w:hAnsiTheme="minorHAnsi"/>
          <w:spacing w:val="21"/>
        </w:rPr>
        <w:t xml:space="preserve"> </w:t>
      </w:r>
      <w:r w:rsidRPr="0031675F">
        <w:rPr>
          <w:rFonts w:asciiTheme="minorHAnsi" w:hAnsiTheme="minorHAnsi"/>
          <w:spacing w:val="-1"/>
        </w:rPr>
        <w:t>by</w:t>
      </w:r>
      <w:r w:rsidRPr="0031675F">
        <w:rPr>
          <w:rFonts w:asciiTheme="minorHAnsi" w:hAnsiTheme="minorHAnsi"/>
          <w:spacing w:val="51"/>
        </w:rPr>
        <w:t xml:space="preserve"> </w:t>
      </w:r>
      <w:r w:rsidRPr="0031675F">
        <w:rPr>
          <w:rFonts w:asciiTheme="minorHAnsi" w:hAnsiTheme="minorHAnsi"/>
          <w:spacing w:val="-1"/>
        </w:rPr>
        <w:t>exposure</w:t>
      </w:r>
      <w:r w:rsidRPr="0031675F">
        <w:rPr>
          <w:rFonts w:asciiTheme="minorHAnsi" w:hAnsiTheme="minorHAnsi"/>
          <w:spacing w:val="45"/>
        </w:rPr>
        <w:t xml:space="preserve"> </w:t>
      </w:r>
      <w:r w:rsidRPr="0031675F">
        <w:rPr>
          <w:rFonts w:asciiTheme="minorHAnsi" w:hAnsiTheme="minorHAnsi"/>
          <w:spacing w:val="-1"/>
        </w:rPr>
        <w:t>to</w:t>
      </w:r>
      <w:r w:rsidRPr="0031675F">
        <w:rPr>
          <w:rFonts w:asciiTheme="minorHAnsi" w:hAnsiTheme="minorHAnsi"/>
          <w:spacing w:val="47"/>
        </w:rPr>
        <w:t xml:space="preserve"> </w:t>
      </w:r>
      <w:r w:rsidRPr="0031675F">
        <w:rPr>
          <w:rFonts w:asciiTheme="minorHAnsi" w:hAnsiTheme="minorHAnsi"/>
          <w:spacing w:val="-1"/>
        </w:rPr>
        <w:t>heat</w:t>
      </w:r>
      <w:r w:rsidRPr="0031675F">
        <w:rPr>
          <w:rFonts w:asciiTheme="minorHAnsi" w:hAnsiTheme="minorHAnsi"/>
          <w:spacing w:val="46"/>
        </w:rPr>
        <w:t xml:space="preserve"> </w:t>
      </w:r>
      <w:r w:rsidRPr="0031675F">
        <w:rPr>
          <w:rFonts w:asciiTheme="minorHAnsi" w:hAnsiTheme="minorHAnsi"/>
          <w:spacing w:val="-1"/>
        </w:rPr>
        <w:t>and</w:t>
      </w:r>
      <w:r w:rsidRPr="0031675F">
        <w:rPr>
          <w:rFonts w:asciiTheme="minorHAnsi" w:hAnsiTheme="minorHAnsi"/>
          <w:spacing w:val="44"/>
        </w:rPr>
        <w:t xml:space="preserve"> </w:t>
      </w:r>
      <w:r w:rsidRPr="0031675F">
        <w:rPr>
          <w:rFonts w:asciiTheme="minorHAnsi" w:hAnsiTheme="minorHAnsi"/>
          <w:spacing w:val="-1"/>
        </w:rPr>
        <w:t>pressure</w:t>
      </w:r>
      <w:r w:rsidRPr="0031675F">
        <w:rPr>
          <w:rFonts w:asciiTheme="minorHAnsi" w:hAnsiTheme="minorHAnsi"/>
          <w:spacing w:val="46"/>
        </w:rPr>
        <w:t xml:space="preserve"> </w:t>
      </w:r>
      <w:r w:rsidRPr="0031675F">
        <w:rPr>
          <w:rFonts w:asciiTheme="minorHAnsi" w:hAnsiTheme="minorHAnsi"/>
        </w:rPr>
        <w:t>via</w:t>
      </w:r>
      <w:r w:rsidRPr="0031675F">
        <w:rPr>
          <w:rFonts w:asciiTheme="minorHAnsi" w:hAnsiTheme="minorHAnsi"/>
          <w:spacing w:val="43"/>
        </w:rPr>
        <w:t xml:space="preserve"> </w:t>
      </w:r>
      <w:r w:rsidRPr="0031675F">
        <w:rPr>
          <w:rFonts w:asciiTheme="minorHAnsi" w:hAnsiTheme="minorHAnsi"/>
        </w:rPr>
        <w:t>an</w:t>
      </w:r>
      <w:r w:rsidRPr="0031675F">
        <w:rPr>
          <w:rFonts w:asciiTheme="minorHAnsi" w:hAnsiTheme="minorHAnsi"/>
          <w:spacing w:val="45"/>
        </w:rPr>
        <w:t xml:space="preserve"> </w:t>
      </w:r>
      <w:r w:rsidRPr="0031675F">
        <w:rPr>
          <w:rFonts w:asciiTheme="minorHAnsi" w:hAnsiTheme="minorHAnsi"/>
          <w:spacing w:val="-1"/>
        </w:rPr>
        <w:t>autoclave.</w:t>
      </w:r>
      <w:r w:rsidRPr="0031675F">
        <w:rPr>
          <w:rFonts w:asciiTheme="minorHAnsi" w:hAnsiTheme="minorHAnsi"/>
          <w:spacing w:val="39"/>
        </w:rPr>
        <w:t xml:space="preserve"> </w:t>
      </w:r>
      <w:r w:rsidRPr="0031675F">
        <w:rPr>
          <w:rFonts w:asciiTheme="minorHAnsi" w:hAnsiTheme="minorHAnsi"/>
          <w:spacing w:val="-1"/>
        </w:rPr>
        <w:t>Persulfate</w:t>
      </w:r>
      <w:r w:rsidRPr="0031675F">
        <w:rPr>
          <w:rFonts w:asciiTheme="minorHAnsi" w:hAnsiTheme="minorHAnsi"/>
          <w:spacing w:val="44"/>
        </w:rPr>
        <w:t xml:space="preserve"> </w:t>
      </w:r>
      <w:r w:rsidRPr="0031675F">
        <w:rPr>
          <w:rFonts w:asciiTheme="minorHAnsi" w:hAnsiTheme="minorHAnsi"/>
          <w:spacing w:val="-1"/>
        </w:rPr>
        <w:t>oxidation</w:t>
      </w:r>
      <w:r w:rsidRPr="0031675F">
        <w:rPr>
          <w:rFonts w:asciiTheme="minorHAnsi" w:hAnsiTheme="minorHAnsi"/>
          <w:spacing w:val="45"/>
        </w:rPr>
        <w:t xml:space="preserve"> </w:t>
      </w:r>
      <w:r w:rsidRPr="0031675F">
        <w:rPr>
          <w:rFonts w:asciiTheme="minorHAnsi" w:hAnsiTheme="minorHAnsi"/>
          <w:spacing w:val="-1"/>
        </w:rPr>
        <w:t>under</w:t>
      </w:r>
      <w:r w:rsidRPr="0031675F">
        <w:rPr>
          <w:rFonts w:asciiTheme="minorHAnsi" w:hAnsiTheme="minorHAnsi"/>
          <w:spacing w:val="45"/>
        </w:rPr>
        <w:t xml:space="preserve"> </w:t>
      </w:r>
      <w:r w:rsidRPr="0031675F">
        <w:rPr>
          <w:rFonts w:asciiTheme="minorHAnsi" w:hAnsiTheme="minorHAnsi"/>
          <w:spacing w:val="-1"/>
        </w:rPr>
        <w:t>alkaline</w:t>
      </w:r>
      <w:r w:rsidRPr="0031675F">
        <w:rPr>
          <w:rFonts w:asciiTheme="minorHAnsi" w:hAnsiTheme="minorHAnsi"/>
          <w:spacing w:val="46"/>
        </w:rPr>
        <w:t xml:space="preserve"> </w:t>
      </w:r>
      <w:r w:rsidRPr="0031675F">
        <w:rPr>
          <w:rFonts w:asciiTheme="minorHAnsi" w:hAnsiTheme="minorHAnsi"/>
          <w:spacing w:val="-1"/>
        </w:rPr>
        <w:t>conditions</w:t>
      </w:r>
      <w:r w:rsidRPr="0031675F">
        <w:rPr>
          <w:rFonts w:asciiTheme="minorHAnsi" w:hAnsiTheme="minorHAnsi"/>
          <w:spacing w:val="57"/>
        </w:rPr>
        <w:t xml:space="preserve"> </w:t>
      </w:r>
      <w:r w:rsidRPr="0031675F">
        <w:rPr>
          <w:rFonts w:asciiTheme="minorHAnsi" w:hAnsiTheme="minorHAnsi"/>
          <w:spacing w:val="-1"/>
        </w:rPr>
        <w:t>results</w:t>
      </w:r>
      <w:r w:rsidRPr="0031675F">
        <w:rPr>
          <w:rFonts w:asciiTheme="minorHAnsi" w:hAnsiTheme="minorHAnsi"/>
          <w:spacing w:val="5"/>
        </w:rPr>
        <w:t xml:space="preserve"> </w:t>
      </w:r>
      <w:r w:rsidRPr="0031675F">
        <w:rPr>
          <w:rFonts w:asciiTheme="minorHAnsi" w:hAnsiTheme="minorHAnsi"/>
        </w:rPr>
        <w:t>in</w:t>
      </w:r>
      <w:r w:rsidRPr="0031675F">
        <w:rPr>
          <w:rFonts w:asciiTheme="minorHAnsi" w:hAnsiTheme="minorHAnsi"/>
          <w:spacing w:val="4"/>
        </w:rPr>
        <w:t xml:space="preserve"> </w:t>
      </w:r>
      <w:r w:rsidRPr="0031675F">
        <w:rPr>
          <w:rFonts w:asciiTheme="minorHAnsi" w:hAnsiTheme="minorHAnsi"/>
          <w:spacing w:val="-1"/>
        </w:rPr>
        <w:t>conversion</w:t>
      </w:r>
      <w:r w:rsidRPr="0031675F">
        <w:rPr>
          <w:rFonts w:asciiTheme="minorHAnsi" w:hAnsiTheme="minorHAnsi"/>
          <w:spacing w:val="4"/>
        </w:rPr>
        <w:t xml:space="preserve"> </w:t>
      </w:r>
      <w:r w:rsidRPr="0031675F">
        <w:rPr>
          <w:rFonts w:asciiTheme="minorHAnsi" w:hAnsiTheme="minorHAnsi"/>
          <w:spacing w:val="-1"/>
        </w:rPr>
        <w:t>to</w:t>
      </w:r>
      <w:r w:rsidRPr="0031675F">
        <w:rPr>
          <w:rFonts w:asciiTheme="minorHAnsi" w:hAnsiTheme="minorHAnsi"/>
          <w:spacing w:val="6"/>
        </w:rPr>
        <w:t xml:space="preserve"> </w:t>
      </w:r>
      <w:r w:rsidRPr="0031675F">
        <w:rPr>
          <w:rFonts w:asciiTheme="minorHAnsi" w:hAnsiTheme="minorHAnsi"/>
          <w:spacing w:val="-1"/>
        </w:rPr>
        <w:t>nitrate</w:t>
      </w:r>
      <w:r w:rsidRPr="0031675F">
        <w:rPr>
          <w:rFonts w:asciiTheme="minorHAnsi" w:hAnsiTheme="minorHAnsi"/>
          <w:spacing w:val="5"/>
        </w:rPr>
        <w:t xml:space="preserve"> </w:t>
      </w:r>
      <w:r w:rsidRPr="0031675F">
        <w:rPr>
          <w:rFonts w:asciiTheme="minorHAnsi" w:hAnsiTheme="minorHAnsi"/>
          <w:spacing w:val="-1"/>
        </w:rPr>
        <w:t>which</w:t>
      </w:r>
      <w:r w:rsidRPr="0031675F">
        <w:rPr>
          <w:rFonts w:asciiTheme="minorHAnsi" w:hAnsiTheme="minorHAnsi"/>
          <w:spacing w:val="4"/>
        </w:rPr>
        <w:t xml:space="preserve"> </w:t>
      </w:r>
      <w:r w:rsidRPr="0031675F">
        <w:rPr>
          <w:rFonts w:asciiTheme="minorHAnsi" w:hAnsiTheme="minorHAnsi"/>
        </w:rPr>
        <w:t>can</w:t>
      </w:r>
      <w:r w:rsidRPr="0031675F">
        <w:rPr>
          <w:rFonts w:asciiTheme="minorHAnsi" w:hAnsiTheme="minorHAnsi"/>
          <w:spacing w:val="4"/>
        </w:rPr>
        <w:t xml:space="preserve"> </w:t>
      </w:r>
      <w:r w:rsidRPr="0031675F">
        <w:rPr>
          <w:rFonts w:asciiTheme="minorHAnsi" w:hAnsiTheme="minorHAnsi"/>
        </w:rPr>
        <w:t>then</w:t>
      </w:r>
      <w:r w:rsidRPr="0031675F">
        <w:rPr>
          <w:rFonts w:asciiTheme="minorHAnsi" w:hAnsiTheme="minorHAnsi"/>
          <w:spacing w:val="4"/>
        </w:rPr>
        <w:t xml:space="preserve"> </w:t>
      </w:r>
      <w:r w:rsidRPr="0031675F">
        <w:rPr>
          <w:rFonts w:asciiTheme="minorHAnsi" w:hAnsiTheme="minorHAnsi"/>
          <w:spacing w:val="-2"/>
        </w:rPr>
        <w:t>be</w:t>
      </w:r>
      <w:r w:rsidRPr="0031675F">
        <w:rPr>
          <w:rFonts w:asciiTheme="minorHAnsi" w:hAnsiTheme="minorHAnsi"/>
          <w:spacing w:val="5"/>
        </w:rPr>
        <w:t xml:space="preserve"> </w:t>
      </w:r>
      <w:r w:rsidRPr="0031675F">
        <w:rPr>
          <w:rFonts w:asciiTheme="minorHAnsi" w:hAnsiTheme="minorHAnsi"/>
          <w:spacing w:val="-1"/>
        </w:rPr>
        <w:t>converted</w:t>
      </w:r>
      <w:r w:rsidRPr="0031675F">
        <w:rPr>
          <w:rFonts w:asciiTheme="minorHAnsi" w:hAnsiTheme="minorHAnsi"/>
          <w:spacing w:val="4"/>
        </w:rPr>
        <w:t xml:space="preserve"> </w:t>
      </w:r>
      <w:r w:rsidRPr="0031675F">
        <w:rPr>
          <w:rFonts w:asciiTheme="minorHAnsi" w:hAnsiTheme="minorHAnsi"/>
          <w:spacing w:val="-1"/>
        </w:rPr>
        <w:t>to</w:t>
      </w:r>
      <w:r w:rsidRPr="0031675F">
        <w:rPr>
          <w:rFonts w:asciiTheme="minorHAnsi" w:hAnsiTheme="minorHAnsi"/>
          <w:spacing w:val="6"/>
        </w:rPr>
        <w:t xml:space="preserve"> </w:t>
      </w:r>
      <w:r w:rsidRPr="0031675F">
        <w:rPr>
          <w:rFonts w:asciiTheme="minorHAnsi" w:hAnsiTheme="minorHAnsi"/>
          <w:spacing w:val="-1"/>
        </w:rPr>
        <w:t>nitrite</w:t>
      </w:r>
      <w:r w:rsidRPr="0031675F">
        <w:rPr>
          <w:rFonts w:asciiTheme="minorHAnsi" w:hAnsiTheme="minorHAnsi"/>
          <w:spacing w:val="5"/>
        </w:rPr>
        <w:t xml:space="preserve"> </w:t>
      </w:r>
      <w:r w:rsidRPr="0031675F">
        <w:rPr>
          <w:rFonts w:asciiTheme="minorHAnsi" w:hAnsiTheme="minorHAnsi"/>
          <w:spacing w:val="-1"/>
        </w:rPr>
        <w:t>for</w:t>
      </w:r>
      <w:r w:rsidRPr="0031675F">
        <w:rPr>
          <w:rFonts w:asciiTheme="minorHAnsi" w:hAnsiTheme="minorHAnsi"/>
          <w:spacing w:val="5"/>
        </w:rPr>
        <w:t xml:space="preserve"> </w:t>
      </w:r>
      <w:r w:rsidRPr="0031675F">
        <w:rPr>
          <w:rFonts w:asciiTheme="minorHAnsi" w:hAnsiTheme="minorHAnsi"/>
          <w:spacing w:val="-1"/>
        </w:rPr>
        <w:t>colourometric</w:t>
      </w:r>
      <w:r w:rsidRPr="0031675F">
        <w:rPr>
          <w:rFonts w:asciiTheme="minorHAnsi" w:hAnsiTheme="minorHAnsi"/>
          <w:spacing w:val="2"/>
        </w:rPr>
        <w:t xml:space="preserve"> </w:t>
      </w:r>
      <w:r w:rsidRPr="0031675F">
        <w:rPr>
          <w:rFonts w:asciiTheme="minorHAnsi" w:hAnsiTheme="minorHAnsi"/>
          <w:spacing w:val="-1"/>
        </w:rPr>
        <w:t>quantitation</w:t>
      </w:r>
      <w:r w:rsidRPr="0031675F">
        <w:rPr>
          <w:rFonts w:asciiTheme="minorHAnsi" w:hAnsiTheme="minorHAnsi"/>
          <w:spacing w:val="67"/>
        </w:rPr>
        <w:t xml:space="preserve"> </w:t>
      </w:r>
      <w:r w:rsidRPr="0031675F">
        <w:rPr>
          <w:rFonts w:asciiTheme="minorHAnsi" w:hAnsiTheme="minorHAnsi"/>
        </w:rPr>
        <w:t>in</w:t>
      </w:r>
      <w:r w:rsidRPr="0031675F">
        <w:rPr>
          <w:rFonts w:asciiTheme="minorHAnsi" w:hAnsiTheme="minorHAnsi"/>
          <w:spacing w:val="-1"/>
        </w:rPr>
        <w:t xml:space="preserve"> the</w:t>
      </w:r>
      <w:r w:rsidRPr="0031675F">
        <w:rPr>
          <w:rFonts w:asciiTheme="minorHAnsi" w:hAnsiTheme="minorHAnsi"/>
        </w:rPr>
        <w:t xml:space="preserve"> </w:t>
      </w:r>
      <w:r w:rsidRPr="0031675F">
        <w:rPr>
          <w:rFonts w:asciiTheme="minorHAnsi" w:hAnsiTheme="minorHAnsi"/>
          <w:spacing w:val="-1"/>
        </w:rPr>
        <w:t>Bran+Luebbe</w:t>
      </w:r>
      <w:r w:rsidRPr="0031675F">
        <w:rPr>
          <w:rFonts w:asciiTheme="minorHAnsi" w:hAnsiTheme="minorHAnsi"/>
        </w:rPr>
        <w:t xml:space="preserve"> </w:t>
      </w:r>
      <w:r w:rsidRPr="0031675F">
        <w:rPr>
          <w:rFonts w:asciiTheme="minorHAnsi" w:hAnsiTheme="minorHAnsi"/>
          <w:spacing w:val="-1"/>
        </w:rPr>
        <w:t>AutoAnalyzer</w:t>
      </w:r>
      <w:r w:rsidRPr="0031675F">
        <w:rPr>
          <w:rFonts w:asciiTheme="minorHAnsi" w:hAnsiTheme="minorHAnsi"/>
        </w:rPr>
        <w:t xml:space="preserve"> </w:t>
      </w:r>
      <w:r w:rsidRPr="0031675F">
        <w:rPr>
          <w:rFonts w:asciiTheme="minorHAnsi" w:hAnsiTheme="minorHAnsi"/>
          <w:spacing w:val="-1"/>
        </w:rPr>
        <w:t>III.</w:t>
      </w:r>
    </w:p>
    <w:p w14:paraId="3D34E862" w14:textId="77777777" w:rsidR="0031675F" w:rsidRPr="0031675F" w:rsidRDefault="0031675F" w:rsidP="0031675F">
      <w:pPr>
        <w:spacing w:before="1"/>
        <w:rPr>
          <w:rFonts w:asciiTheme="minorHAnsi" w:hAnsiTheme="minorHAnsi" w:cs="Calibri"/>
        </w:rPr>
      </w:pPr>
    </w:p>
    <w:p w14:paraId="31C3C408" w14:textId="77777777" w:rsidR="0031675F" w:rsidRPr="0031675F" w:rsidRDefault="0031675F" w:rsidP="0031675F">
      <w:pPr>
        <w:ind w:left="138"/>
        <w:rPr>
          <w:rFonts w:asciiTheme="minorHAnsi" w:hAnsiTheme="minorHAnsi" w:cs="Calibri"/>
        </w:rPr>
      </w:pPr>
      <w:r w:rsidRPr="0031675F">
        <w:rPr>
          <w:rFonts w:asciiTheme="minorHAnsi" w:hAnsiTheme="minorHAnsi"/>
          <w:b/>
          <w:i/>
          <w:spacing w:val="-1"/>
          <w:u w:val="single" w:color="000000"/>
        </w:rPr>
        <w:t>Hardware</w:t>
      </w:r>
    </w:p>
    <w:p w14:paraId="3E443056" w14:textId="77777777" w:rsidR="0031675F" w:rsidRPr="0031675F" w:rsidRDefault="0031675F" w:rsidP="0031675F">
      <w:pPr>
        <w:widowControl w:val="0"/>
        <w:numPr>
          <w:ilvl w:val="0"/>
          <w:numId w:val="125"/>
        </w:numPr>
        <w:tabs>
          <w:tab w:val="left" w:pos="432"/>
        </w:tabs>
        <w:spacing w:before="0" w:after="0" w:line="240" w:lineRule="auto"/>
        <w:ind w:right="116" w:hanging="489"/>
        <w:rPr>
          <w:rFonts w:asciiTheme="minorHAnsi" w:hAnsiTheme="minorHAnsi"/>
        </w:rPr>
      </w:pPr>
      <w:r w:rsidRPr="0031675F">
        <w:rPr>
          <w:rFonts w:asciiTheme="minorHAnsi" w:hAnsiTheme="minorHAnsi"/>
          <w:spacing w:val="-1"/>
        </w:rPr>
        <w:t>Harvey</w:t>
      </w:r>
      <w:r w:rsidRPr="0031675F">
        <w:rPr>
          <w:rFonts w:asciiTheme="minorHAnsi" w:hAnsiTheme="minorHAnsi"/>
          <w:spacing w:val="13"/>
        </w:rPr>
        <w:t xml:space="preserve"> </w:t>
      </w:r>
      <w:r w:rsidRPr="0031675F">
        <w:rPr>
          <w:rFonts w:asciiTheme="minorHAnsi" w:hAnsiTheme="minorHAnsi"/>
          <w:spacing w:val="-1"/>
        </w:rPr>
        <w:t>SterileMax</w:t>
      </w:r>
      <w:r w:rsidRPr="0031675F">
        <w:rPr>
          <w:rFonts w:asciiTheme="minorHAnsi" w:hAnsiTheme="minorHAnsi"/>
          <w:spacing w:val="12"/>
        </w:rPr>
        <w:t xml:space="preserve"> </w:t>
      </w:r>
      <w:r w:rsidRPr="0031675F">
        <w:rPr>
          <w:rFonts w:asciiTheme="minorHAnsi" w:hAnsiTheme="minorHAnsi"/>
          <w:spacing w:val="-1"/>
        </w:rPr>
        <w:t>Autoclave</w:t>
      </w:r>
      <w:r w:rsidRPr="0031675F">
        <w:rPr>
          <w:rFonts w:asciiTheme="minorHAnsi" w:hAnsiTheme="minorHAnsi"/>
          <w:spacing w:val="11"/>
        </w:rPr>
        <w:t xml:space="preserve"> </w:t>
      </w:r>
      <w:r w:rsidRPr="0031675F">
        <w:rPr>
          <w:rFonts w:asciiTheme="minorHAnsi" w:hAnsiTheme="minorHAnsi"/>
          <w:spacing w:val="-1"/>
        </w:rPr>
        <w:t>(Barnstead,</w:t>
      </w:r>
      <w:r w:rsidRPr="0031675F">
        <w:rPr>
          <w:rFonts w:asciiTheme="minorHAnsi" w:hAnsiTheme="minorHAnsi"/>
          <w:spacing w:val="11"/>
        </w:rPr>
        <w:t xml:space="preserve"> </w:t>
      </w:r>
      <w:r w:rsidRPr="0031675F">
        <w:rPr>
          <w:rFonts w:asciiTheme="minorHAnsi" w:hAnsiTheme="minorHAnsi"/>
          <w:spacing w:val="-1"/>
        </w:rPr>
        <w:t>USA)</w:t>
      </w:r>
      <w:r w:rsidRPr="0031675F">
        <w:rPr>
          <w:rFonts w:asciiTheme="minorHAnsi" w:hAnsiTheme="minorHAnsi"/>
          <w:spacing w:val="11"/>
        </w:rPr>
        <w:t xml:space="preserve"> </w:t>
      </w:r>
      <w:r w:rsidRPr="0031675F">
        <w:rPr>
          <w:rFonts w:asciiTheme="minorHAnsi" w:hAnsiTheme="minorHAnsi"/>
          <w:spacing w:val="-2"/>
        </w:rPr>
        <w:t>with</w:t>
      </w:r>
      <w:r w:rsidRPr="0031675F">
        <w:rPr>
          <w:rFonts w:asciiTheme="minorHAnsi" w:hAnsiTheme="minorHAnsi"/>
          <w:spacing w:val="11"/>
        </w:rPr>
        <w:t xml:space="preserve"> </w:t>
      </w:r>
      <w:r w:rsidRPr="0031675F">
        <w:rPr>
          <w:rFonts w:asciiTheme="minorHAnsi" w:hAnsiTheme="minorHAnsi"/>
          <w:spacing w:val="-1"/>
        </w:rPr>
        <w:t>attached</w:t>
      </w:r>
      <w:r w:rsidRPr="0031675F">
        <w:rPr>
          <w:rFonts w:asciiTheme="minorHAnsi" w:hAnsiTheme="minorHAnsi"/>
          <w:spacing w:val="11"/>
        </w:rPr>
        <w:t xml:space="preserve"> </w:t>
      </w:r>
      <w:r w:rsidRPr="0031675F">
        <w:rPr>
          <w:rFonts w:asciiTheme="minorHAnsi" w:hAnsiTheme="minorHAnsi"/>
          <w:spacing w:val="-1"/>
        </w:rPr>
        <w:t>printer</w:t>
      </w:r>
      <w:r w:rsidRPr="0031675F">
        <w:rPr>
          <w:rFonts w:asciiTheme="minorHAnsi" w:hAnsiTheme="minorHAnsi"/>
          <w:spacing w:val="12"/>
        </w:rPr>
        <w:t xml:space="preserve"> </w:t>
      </w:r>
      <w:r w:rsidRPr="0031675F">
        <w:rPr>
          <w:rFonts w:asciiTheme="minorHAnsi" w:hAnsiTheme="minorHAnsi"/>
          <w:spacing w:val="-1"/>
        </w:rPr>
        <w:t>located</w:t>
      </w:r>
      <w:r w:rsidRPr="0031675F">
        <w:rPr>
          <w:rFonts w:asciiTheme="minorHAnsi" w:hAnsiTheme="minorHAnsi"/>
          <w:spacing w:val="9"/>
        </w:rPr>
        <w:t xml:space="preserve"> </w:t>
      </w:r>
      <w:r w:rsidRPr="0031675F">
        <w:rPr>
          <w:rFonts w:asciiTheme="minorHAnsi" w:hAnsiTheme="minorHAnsi"/>
        </w:rPr>
        <w:t>in</w:t>
      </w:r>
      <w:r w:rsidRPr="0031675F">
        <w:rPr>
          <w:rFonts w:asciiTheme="minorHAnsi" w:hAnsiTheme="minorHAnsi"/>
          <w:spacing w:val="11"/>
        </w:rPr>
        <w:t xml:space="preserve"> </w:t>
      </w:r>
      <w:r w:rsidRPr="0031675F">
        <w:rPr>
          <w:rFonts w:asciiTheme="minorHAnsi" w:hAnsiTheme="minorHAnsi"/>
          <w:spacing w:val="-1"/>
        </w:rPr>
        <w:t>West</w:t>
      </w:r>
      <w:r w:rsidRPr="0031675F">
        <w:rPr>
          <w:rFonts w:asciiTheme="minorHAnsi" w:hAnsiTheme="minorHAnsi"/>
          <w:spacing w:val="13"/>
        </w:rPr>
        <w:t xml:space="preserve"> </w:t>
      </w:r>
      <w:r w:rsidRPr="0031675F">
        <w:rPr>
          <w:rFonts w:asciiTheme="minorHAnsi" w:hAnsiTheme="minorHAnsi"/>
          <w:spacing w:val="-1"/>
        </w:rPr>
        <w:t>First</w:t>
      </w:r>
      <w:r w:rsidRPr="0031675F">
        <w:rPr>
          <w:rFonts w:asciiTheme="minorHAnsi" w:hAnsiTheme="minorHAnsi"/>
          <w:spacing w:val="13"/>
        </w:rPr>
        <w:t xml:space="preserve"> </w:t>
      </w:r>
      <w:r w:rsidRPr="0031675F">
        <w:rPr>
          <w:rFonts w:asciiTheme="minorHAnsi" w:hAnsiTheme="minorHAnsi"/>
        </w:rPr>
        <w:t>Photo-</w:t>
      </w:r>
      <w:r w:rsidRPr="0031675F">
        <w:rPr>
          <w:rFonts w:asciiTheme="minorHAnsi" w:hAnsiTheme="minorHAnsi"/>
          <w:spacing w:val="67"/>
        </w:rPr>
        <w:t xml:space="preserve"> </w:t>
      </w:r>
      <w:r w:rsidRPr="0031675F">
        <w:rPr>
          <w:rFonts w:asciiTheme="minorHAnsi" w:hAnsiTheme="minorHAnsi"/>
          <w:spacing w:val="-1"/>
        </w:rPr>
        <w:t>oxidiser</w:t>
      </w:r>
      <w:r w:rsidRPr="0031675F">
        <w:rPr>
          <w:rFonts w:asciiTheme="minorHAnsi" w:hAnsiTheme="minorHAnsi"/>
          <w:spacing w:val="-3"/>
        </w:rPr>
        <w:t xml:space="preserve"> </w:t>
      </w:r>
      <w:r w:rsidRPr="0031675F">
        <w:rPr>
          <w:rFonts w:asciiTheme="minorHAnsi" w:hAnsiTheme="minorHAnsi"/>
          <w:spacing w:val="-1"/>
        </w:rPr>
        <w:t>Room</w:t>
      </w:r>
    </w:p>
    <w:p w14:paraId="58FF2D61" w14:textId="77777777" w:rsidR="0031675F" w:rsidRPr="0031675F" w:rsidRDefault="0031675F" w:rsidP="0031675F">
      <w:pPr>
        <w:widowControl w:val="0"/>
        <w:numPr>
          <w:ilvl w:val="0"/>
          <w:numId w:val="125"/>
        </w:numPr>
        <w:tabs>
          <w:tab w:val="left" w:pos="369"/>
        </w:tabs>
        <w:spacing w:before="0" w:after="0" w:line="240" w:lineRule="auto"/>
        <w:ind w:left="368" w:hanging="230"/>
        <w:rPr>
          <w:rFonts w:asciiTheme="minorHAnsi" w:hAnsiTheme="minorHAnsi"/>
        </w:rPr>
      </w:pPr>
      <w:r w:rsidRPr="0031675F">
        <w:rPr>
          <w:rFonts w:asciiTheme="minorHAnsi" w:hAnsiTheme="minorHAnsi"/>
          <w:spacing w:val="-1"/>
        </w:rPr>
        <w:t>Sarstedt</w:t>
      </w:r>
      <w:r w:rsidRPr="0031675F">
        <w:rPr>
          <w:rFonts w:asciiTheme="minorHAnsi" w:hAnsiTheme="minorHAnsi"/>
          <w:spacing w:val="-2"/>
        </w:rPr>
        <w:t xml:space="preserve"> </w:t>
      </w:r>
      <w:r w:rsidRPr="0031675F">
        <w:rPr>
          <w:rFonts w:asciiTheme="minorHAnsi" w:hAnsiTheme="minorHAnsi"/>
          <w:spacing w:val="-1"/>
        </w:rPr>
        <w:t>vials</w:t>
      </w:r>
      <w:r w:rsidRPr="0031675F">
        <w:rPr>
          <w:rFonts w:asciiTheme="minorHAnsi" w:hAnsiTheme="minorHAnsi"/>
          <w:spacing w:val="1"/>
        </w:rPr>
        <w:t xml:space="preserve"> </w:t>
      </w:r>
      <w:r w:rsidRPr="0031675F">
        <w:rPr>
          <w:rFonts w:asciiTheme="minorHAnsi" w:hAnsiTheme="minorHAnsi"/>
          <w:spacing w:val="-2"/>
        </w:rPr>
        <w:t xml:space="preserve">(Cat </w:t>
      </w:r>
      <w:r w:rsidRPr="0031675F">
        <w:rPr>
          <w:rFonts w:asciiTheme="minorHAnsi" w:hAnsiTheme="minorHAnsi"/>
        </w:rPr>
        <w:t xml:space="preserve"># </w:t>
      </w:r>
      <w:r w:rsidRPr="0031675F">
        <w:rPr>
          <w:rFonts w:asciiTheme="minorHAnsi" w:hAnsiTheme="minorHAnsi"/>
          <w:spacing w:val="-1"/>
        </w:rPr>
        <w:t>60.9922.210)</w:t>
      </w:r>
    </w:p>
    <w:p w14:paraId="507CCFC8" w14:textId="77777777" w:rsidR="0031675F" w:rsidRPr="0031675F" w:rsidRDefault="0031675F" w:rsidP="0031675F">
      <w:pPr>
        <w:widowControl w:val="0"/>
        <w:numPr>
          <w:ilvl w:val="0"/>
          <w:numId w:val="125"/>
        </w:numPr>
        <w:tabs>
          <w:tab w:val="left" w:pos="369"/>
        </w:tabs>
        <w:spacing w:before="0" w:after="0" w:line="240" w:lineRule="auto"/>
        <w:ind w:left="368" w:hanging="230"/>
        <w:rPr>
          <w:rFonts w:asciiTheme="minorHAnsi" w:hAnsiTheme="minorHAnsi"/>
        </w:rPr>
      </w:pPr>
      <w:r w:rsidRPr="0031675F">
        <w:rPr>
          <w:rFonts w:asciiTheme="minorHAnsi" w:hAnsiTheme="minorHAnsi"/>
          <w:spacing w:val="-1"/>
        </w:rPr>
        <w:t>Sarstedt lids</w:t>
      </w:r>
      <w:r w:rsidRPr="0031675F">
        <w:rPr>
          <w:rFonts w:asciiTheme="minorHAnsi" w:hAnsiTheme="minorHAnsi"/>
          <w:spacing w:val="-2"/>
        </w:rPr>
        <w:t xml:space="preserve"> </w:t>
      </w:r>
      <w:r w:rsidRPr="0031675F">
        <w:rPr>
          <w:rFonts w:asciiTheme="minorHAnsi" w:hAnsiTheme="minorHAnsi"/>
          <w:spacing w:val="-1"/>
        </w:rPr>
        <w:t xml:space="preserve">(Cat </w:t>
      </w:r>
      <w:r w:rsidRPr="0031675F">
        <w:rPr>
          <w:rFonts w:asciiTheme="minorHAnsi" w:hAnsiTheme="minorHAnsi"/>
        </w:rPr>
        <w:t>#</w:t>
      </w:r>
      <w:r w:rsidRPr="0031675F">
        <w:rPr>
          <w:rFonts w:asciiTheme="minorHAnsi" w:hAnsiTheme="minorHAnsi"/>
          <w:spacing w:val="-2"/>
        </w:rPr>
        <w:t xml:space="preserve"> </w:t>
      </w:r>
      <w:r w:rsidRPr="0031675F">
        <w:rPr>
          <w:rFonts w:asciiTheme="minorHAnsi" w:hAnsiTheme="minorHAnsi"/>
          <w:spacing w:val="-1"/>
        </w:rPr>
        <w:t>65.9923.335)</w:t>
      </w:r>
    </w:p>
    <w:p w14:paraId="5F3C1AEC" w14:textId="77777777" w:rsidR="0031675F" w:rsidRPr="0031675F" w:rsidRDefault="0031675F" w:rsidP="0031675F">
      <w:pPr>
        <w:spacing w:before="10"/>
        <w:rPr>
          <w:rFonts w:asciiTheme="minorHAnsi" w:hAnsiTheme="minorHAnsi" w:cs="Calibri"/>
        </w:rPr>
      </w:pPr>
    </w:p>
    <w:p w14:paraId="1FE1C5D3" w14:textId="77777777" w:rsidR="0031675F" w:rsidRPr="0031675F" w:rsidRDefault="0031675F" w:rsidP="0031675F">
      <w:pPr>
        <w:ind w:left="138"/>
        <w:rPr>
          <w:rFonts w:asciiTheme="minorHAnsi" w:hAnsiTheme="minorHAnsi" w:cs="Calibri"/>
        </w:rPr>
      </w:pPr>
      <w:r w:rsidRPr="0031675F">
        <w:rPr>
          <w:rFonts w:asciiTheme="minorHAnsi" w:hAnsiTheme="minorHAnsi"/>
          <w:b/>
          <w:i/>
          <w:spacing w:val="-1"/>
          <w:u w:val="single" w:color="000000"/>
        </w:rPr>
        <w:t>Reagents</w:t>
      </w:r>
    </w:p>
    <w:p w14:paraId="336EED52" w14:textId="73531F38" w:rsidR="0031675F" w:rsidRPr="0031675F" w:rsidRDefault="0031675F" w:rsidP="0031675F">
      <w:pPr>
        <w:widowControl w:val="0"/>
        <w:numPr>
          <w:ilvl w:val="0"/>
          <w:numId w:val="124"/>
        </w:numPr>
        <w:tabs>
          <w:tab w:val="left" w:pos="367"/>
        </w:tabs>
        <w:spacing w:before="0" w:after="0" w:line="240" w:lineRule="auto"/>
        <w:ind w:hanging="360"/>
        <w:rPr>
          <w:rFonts w:asciiTheme="minorHAnsi" w:hAnsiTheme="minorHAnsi"/>
        </w:rPr>
      </w:pPr>
      <w:r w:rsidRPr="0031675F">
        <w:rPr>
          <w:rFonts w:asciiTheme="minorHAnsi" w:hAnsiTheme="minorHAnsi"/>
          <w:spacing w:val="-1"/>
        </w:rPr>
        <w:t>Potassium</w:t>
      </w:r>
      <w:r w:rsidRPr="0031675F">
        <w:rPr>
          <w:rFonts w:asciiTheme="minorHAnsi" w:hAnsiTheme="minorHAnsi"/>
          <w:spacing w:val="1"/>
        </w:rPr>
        <w:t xml:space="preserve"> </w:t>
      </w:r>
      <w:r w:rsidRPr="0031675F">
        <w:rPr>
          <w:rFonts w:asciiTheme="minorHAnsi" w:hAnsiTheme="minorHAnsi"/>
          <w:spacing w:val="-1"/>
        </w:rPr>
        <w:t>peroxidisul</w:t>
      </w:r>
      <w:r w:rsidR="00CC6786">
        <w:rPr>
          <w:rFonts w:asciiTheme="minorHAnsi" w:hAnsiTheme="minorHAnsi"/>
          <w:spacing w:val="-1"/>
        </w:rPr>
        <w:t>f</w:t>
      </w:r>
      <w:r w:rsidRPr="0031675F">
        <w:rPr>
          <w:rFonts w:asciiTheme="minorHAnsi" w:hAnsiTheme="minorHAnsi"/>
          <w:spacing w:val="-1"/>
        </w:rPr>
        <w:t>ate</w:t>
      </w:r>
      <w:r w:rsidRPr="0031675F">
        <w:rPr>
          <w:rFonts w:asciiTheme="minorHAnsi" w:hAnsiTheme="minorHAnsi"/>
        </w:rPr>
        <w:t xml:space="preserve"> </w:t>
      </w:r>
      <w:r w:rsidRPr="0031675F">
        <w:rPr>
          <w:rFonts w:asciiTheme="minorHAnsi" w:hAnsiTheme="minorHAnsi"/>
          <w:spacing w:val="-1"/>
        </w:rPr>
        <w:t>(K</w:t>
      </w:r>
      <w:r w:rsidRPr="0031675F">
        <w:rPr>
          <w:rFonts w:asciiTheme="minorHAnsi" w:hAnsiTheme="minorHAnsi"/>
          <w:spacing w:val="-1"/>
          <w:position w:val="-3"/>
        </w:rPr>
        <w:t>2</w:t>
      </w:r>
      <w:r w:rsidRPr="0031675F">
        <w:rPr>
          <w:rFonts w:asciiTheme="minorHAnsi" w:hAnsiTheme="minorHAnsi"/>
          <w:spacing w:val="-1"/>
        </w:rPr>
        <w:t>S</w:t>
      </w:r>
      <w:r w:rsidRPr="0031675F">
        <w:rPr>
          <w:rFonts w:asciiTheme="minorHAnsi" w:hAnsiTheme="minorHAnsi"/>
          <w:spacing w:val="-1"/>
          <w:position w:val="-3"/>
        </w:rPr>
        <w:t>2</w:t>
      </w:r>
      <w:r w:rsidRPr="0031675F">
        <w:rPr>
          <w:rFonts w:asciiTheme="minorHAnsi" w:hAnsiTheme="minorHAnsi"/>
          <w:spacing w:val="-1"/>
        </w:rPr>
        <w:t>O</w:t>
      </w:r>
      <w:r w:rsidRPr="0031675F">
        <w:rPr>
          <w:rFonts w:asciiTheme="minorHAnsi" w:hAnsiTheme="minorHAnsi"/>
          <w:spacing w:val="-1"/>
          <w:position w:val="-3"/>
        </w:rPr>
        <w:t>8</w:t>
      </w:r>
      <w:r w:rsidRPr="0031675F">
        <w:rPr>
          <w:rFonts w:asciiTheme="minorHAnsi" w:hAnsiTheme="minorHAnsi"/>
          <w:spacing w:val="-1"/>
        </w:rPr>
        <w:t>)</w:t>
      </w:r>
      <w:r w:rsidRPr="0031675F">
        <w:rPr>
          <w:rFonts w:asciiTheme="minorHAnsi" w:hAnsiTheme="minorHAnsi"/>
        </w:rPr>
        <w:t xml:space="preserve"> </w:t>
      </w:r>
      <w:r w:rsidRPr="0031675F">
        <w:rPr>
          <w:rFonts w:asciiTheme="minorHAnsi" w:hAnsiTheme="minorHAnsi"/>
          <w:spacing w:val="1"/>
        </w:rPr>
        <w:t xml:space="preserve"> </w:t>
      </w:r>
      <w:r w:rsidRPr="0031675F">
        <w:rPr>
          <w:rFonts w:asciiTheme="minorHAnsi" w:hAnsiTheme="minorHAnsi"/>
        </w:rPr>
        <w:t xml:space="preserve">- </w:t>
      </w:r>
      <w:r w:rsidRPr="0031675F">
        <w:rPr>
          <w:rFonts w:asciiTheme="minorHAnsi" w:hAnsiTheme="minorHAnsi"/>
          <w:spacing w:val="-2"/>
        </w:rPr>
        <w:t>use</w:t>
      </w:r>
      <w:r w:rsidRPr="0031675F">
        <w:rPr>
          <w:rFonts w:asciiTheme="minorHAnsi" w:hAnsiTheme="minorHAnsi"/>
        </w:rPr>
        <w:t xml:space="preserve"> </w:t>
      </w:r>
      <w:r w:rsidRPr="0031675F">
        <w:rPr>
          <w:rFonts w:asciiTheme="minorHAnsi" w:hAnsiTheme="minorHAnsi"/>
          <w:spacing w:val="-1"/>
        </w:rPr>
        <w:t>the</w:t>
      </w:r>
      <w:r w:rsidRPr="0031675F">
        <w:rPr>
          <w:rFonts w:asciiTheme="minorHAnsi" w:hAnsiTheme="minorHAnsi"/>
        </w:rPr>
        <w:t xml:space="preserve"> </w:t>
      </w:r>
      <w:r w:rsidRPr="0031675F">
        <w:rPr>
          <w:rFonts w:asciiTheme="minorHAnsi" w:hAnsiTheme="minorHAnsi"/>
          <w:spacing w:val="-1"/>
        </w:rPr>
        <w:t>highest</w:t>
      </w:r>
      <w:r w:rsidRPr="0031675F">
        <w:rPr>
          <w:rFonts w:asciiTheme="minorHAnsi" w:hAnsiTheme="minorHAnsi"/>
        </w:rPr>
        <w:t xml:space="preserve"> </w:t>
      </w:r>
      <w:r w:rsidRPr="0031675F">
        <w:rPr>
          <w:rFonts w:asciiTheme="minorHAnsi" w:hAnsiTheme="minorHAnsi"/>
          <w:spacing w:val="-1"/>
        </w:rPr>
        <w:t>quality reagent</w:t>
      </w:r>
      <w:r w:rsidRPr="0031675F">
        <w:rPr>
          <w:rFonts w:asciiTheme="minorHAnsi" w:hAnsiTheme="minorHAnsi"/>
        </w:rPr>
        <w:t xml:space="preserve"> </w:t>
      </w:r>
      <w:r w:rsidRPr="0031675F">
        <w:rPr>
          <w:rFonts w:asciiTheme="minorHAnsi" w:hAnsiTheme="minorHAnsi"/>
          <w:spacing w:val="-1"/>
        </w:rPr>
        <w:t>with</w:t>
      </w:r>
      <w:r w:rsidRPr="0031675F">
        <w:rPr>
          <w:rFonts w:asciiTheme="minorHAnsi" w:hAnsiTheme="minorHAnsi"/>
        </w:rPr>
        <w:t xml:space="preserve"> </w:t>
      </w:r>
      <w:r w:rsidRPr="0031675F">
        <w:rPr>
          <w:rFonts w:asciiTheme="minorHAnsi" w:hAnsiTheme="minorHAnsi"/>
          <w:spacing w:val="-1"/>
        </w:rPr>
        <w:t>low</w:t>
      </w:r>
      <w:r w:rsidRPr="0031675F">
        <w:rPr>
          <w:rFonts w:asciiTheme="minorHAnsi" w:hAnsiTheme="minorHAnsi"/>
          <w:spacing w:val="1"/>
        </w:rPr>
        <w:t xml:space="preserve"> </w:t>
      </w:r>
      <w:r w:rsidRPr="0031675F">
        <w:rPr>
          <w:rFonts w:asciiTheme="minorHAnsi" w:hAnsiTheme="minorHAnsi"/>
        </w:rPr>
        <w:t>N</w:t>
      </w:r>
      <w:r w:rsidRPr="0031675F">
        <w:rPr>
          <w:rFonts w:asciiTheme="minorHAnsi" w:hAnsiTheme="minorHAnsi"/>
          <w:spacing w:val="-1"/>
        </w:rPr>
        <w:t xml:space="preserve"> </w:t>
      </w:r>
      <w:r w:rsidRPr="0031675F">
        <w:rPr>
          <w:rFonts w:asciiTheme="minorHAnsi" w:hAnsiTheme="minorHAnsi"/>
        </w:rPr>
        <w:t>and</w:t>
      </w:r>
      <w:r w:rsidRPr="0031675F">
        <w:rPr>
          <w:rFonts w:asciiTheme="minorHAnsi" w:hAnsiTheme="minorHAnsi"/>
          <w:spacing w:val="-4"/>
        </w:rPr>
        <w:t xml:space="preserve"> </w:t>
      </w:r>
      <w:r w:rsidRPr="0031675F">
        <w:rPr>
          <w:rFonts w:asciiTheme="minorHAnsi" w:hAnsiTheme="minorHAnsi"/>
        </w:rPr>
        <w:t>P</w:t>
      </w:r>
    </w:p>
    <w:p w14:paraId="41932912" w14:textId="77777777" w:rsidR="0031675F" w:rsidRPr="0031675F" w:rsidRDefault="0031675F" w:rsidP="0031675F">
      <w:pPr>
        <w:widowControl w:val="0"/>
        <w:numPr>
          <w:ilvl w:val="0"/>
          <w:numId w:val="124"/>
        </w:numPr>
        <w:tabs>
          <w:tab w:val="left" w:pos="369"/>
        </w:tabs>
        <w:spacing w:before="1" w:after="0" w:line="240" w:lineRule="auto"/>
        <w:ind w:left="368" w:hanging="230"/>
        <w:rPr>
          <w:rFonts w:asciiTheme="minorHAnsi" w:hAnsiTheme="minorHAnsi"/>
        </w:rPr>
      </w:pPr>
      <w:r w:rsidRPr="0031675F">
        <w:rPr>
          <w:rFonts w:asciiTheme="minorHAnsi" w:hAnsiTheme="minorHAnsi"/>
          <w:spacing w:val="-1"/>
        </w:rPr>
        <w:t>Sodium</w:t>
      </w:r>
      <w:r w:rsidRPr="0031675F">
        <w:rPr>
          <w:rFonts w:asciiTheme="minorHAnsi" w:hAnsiTheme="minorHAnsi"/>
          <w:spacing w:val="1"/>
        </w:rPr>
        <w:t xml:space="preserve"> </w:t>
      </w:r>
      <w:r w:rsidRPr="0031675F">
        <w:rPr>
          <w:rFonts w:asciiTheme="minorHAnsi" w:hAnsiTheme="minorHAnsi"/>
          <w:spacing w:val="-2"/>
        </w:rPr>
        <w:t>hydroxide</w:t>
      </w:r>
      <w:r w:rsidRPr="0031675F">
        <w:rPr>
          <w:rFonts w:asciiTheme="minorHAnsi" w:hAnsiTheme="minorHAnsi"/>
        </w:rPr>
        <w:t xml:space="preserve"> </w:t>
      </w:r>
      <w:r w:rsidRPr="0031675F">
        <w:rPr>
          <w:rFonts w:asciiTheme="minorHAnsi" w:hAnsiTheme="minorHAnsi"/>
          <w:spacing w:val="-1"/>
        </w:rPr>
        <w:t>(NaOH)</w:t>
      </w:r>
      <w:r w:rsidRPr="0031675F">
        <w:rPr>
          <w:rFonts w:asciiTheme="minorHAnsi" w:hAnsiTheme="minorHAnsi"/>
        </w:rPr>
        <w:t xml:space="preserve"> </w:t>
      </w:r>
      <w:r w:rsidRPr="0031675F">
        <w:rPr>
          <w:rFonts w:asciiTheme="minorHAnsi" w:hAnsiTheme="minorHAnsi"/>
          <w:spacing w:val="3"/>
        </w:rPr>
        <w:t xml:space="preserve"> </w:t>
      </w:r>
      <w:r w:rsidRPr="0031675F">
        <w:rPr>
          <w:rFonts w:asciiTheme="minorHAnsi" w:hAnsiTheme="minorHAnsi"/>
        </w:rPr>
        <w:t xml:space="preserve">- </w:t>
      </w:r>
      <w:r w:rsidRPr="0031675F">
        <w:rPr>
          <w:rFonts w:asciiTheme="minorHAnsi" w:hAnsiTheme="minorHAnsi"/>
          <w:spacing w:val="-1"/>
        </w:rPr>
        <w:t>use</w:t>
      </w:r>
      <w:r w:rsidRPr="0031675F">
        <w:rPr>
          <w:rFonts w:asciiTheme="minorHAnsi" w:hAnsiTheme="minorHAnsi"/>
          <w:spacing w:val="-2"/>
        </w:rPr>
        <w:t xml:space="preserve"> </w:t>
      </w:r>
      <w:r w:rsidRPr="0031675F">
        <w:rPr>
          <w:rFonts w:asciiTheme="minorHAnsi" w:hAnsiTheme="minorHAnsi"/>
        </w:rPr>
        <w:t xml:space="preserve">the </w:t>
      </w:r>
      <w:r w:rsidRPr="0031675F">
        <w:rPr>
          <w:rFonts w:asciiTheme="minorHAnsi" w:hAnsiTheme="minorHAnsi"/>
          <w:spacing w:val="-1"/>
        </w:rPr>
        <w:t>highest</w:t>
      </w:r>
      <w:r w:rsidRPr="0031675F">
        <w:rPr>
          <w:rFonts w:asciiTheme="minorHAnsi" w:hAnsiTheme="minorHAnsi"/>
        </w:rPr>
        <w:t xml:space="preserve"> </w:t>
      </w:r>
      <w:r w:rsidRPr="0031675F">
        <w:rPr>
          <w:rFonts w:asciiTheme="minorHAnsi" w:hAnsiTheme="minorHAnsi"/>
          <w:spacing w:val="-1"/>
        </w:rPr>
        <w:t>quality reagent</w:t>
      </w:r>
      <w:r w:rsidRPr="0031675F">
        <w:rPr>
          <w:rFonts w:asciiTheme="minorHAnsi" w:hAnsiTheme="minorHAnsi"/>
          <w:spacing w:val="-2"/>
        </w:rPr>
        <w:t xml:space="preserve"> </w:t>
      </w:r>
      <w:r w:rsidRPr="0031675F">
        <w:rPr>
          <w:rFonts w:asciiTheme="minorHAnsi" w:hAnsiTheme="minorHAnsi"/>
        </w:rPr>
        <w:t xml:space="preserve">with </w:t>
      </w:r>
      <w:r w:rsidRPr="0031675F">
        <w:rPr>
          <w:rFonts w:asciiTheme="minorHAnsi" w:hAnsiTheme="minorHAnsi"/>
          <w:spacing w:val="-1"/>
        </w:rPr>
        <w:t>low</w:t>
      </w:r>
      <w:r w:rsidRPr="0031675F">
        <w:rPr>
          <w:rFonts w:asciiTheme="minorHAnsi" w:hAnsiTheme="minorHAnsi"/>
          <w:spacing w:val="-2"/>
        </w:rPr>
        <w:t xml:space="preserve"> </w:t>
      </w:r>
      <w:r w:rsidRPr="0031675F">
        <w:rPr>
          <w:rFonts w:asciiTheme="minorHAnsi" w:hAnsiTheme="minorHAnsi"/>
        </w:rPr>
        <w:t xml:space="preserve">N </w:t>
      </w:r>
      <w:r w:rsidRPr="0031675F">
        <w:rPr>
          <w:rFonts w:asciiTheme="minorHAnsi" w:hAnsiTheme="minorHAnsi"/>
          <w:spacing w:val="-1"/>
        </w:rPr>
        <w:t xml:space="preserve">and </w:t>
      </w:r>
      <w:r w:rsidRPr="0031675F">
        <w:rPr>
          <w:rFonts w:asciiTheme="minorHAnsi" w:hAnsiTheme="minorHAnsi"/>
        </w:rPr>
        <w:t>P</w:t>
      </w:r>
    </w:p>
    <w:p w14:paraId="459B7FEA" w14:textId="77777777" w:rsidR="0031675F" w:rsidRPr="0031675F" w:rsidRDefault="0031675F" w:rsidP="0031675F">
      <w:pPr>
        <w:widowControl w:val="0"/>
        <w:numPr>
          <w:ilvl w:val="0"/>
          <w:numId w:val="124"/>
        </w:numPr>
        <w:tabs>
          <w:tab w:val="left" w:pos="369"/>
        </w:tabs>
        <w:spacing w:before="1" w:after="0" w:line="240" w:lineRule="auto"/>
        <w:ind w:left="368" w:hanging="230"/>
        <w:rPr>
          <w:rFonts w:asciiTheme="minorHAnsi" w:hAnsiTheme="minorHAnsi"/>
        </w:rPr>
      </w:pPr>
      <w:r w:rsidRPr="0031675F">
        <w:t xml:space="preserve">Boric Acid (H3BO3) - </w:t>
      </w:r>
      <w:r w:rsidRPr="0031675F">
        <w:rPr>
          <w:spacing w:val="-1"/>
        </w:rPr>
        <w:t>use</w:t>
      </w:r>
      <w:r w:rsidRPr="0031675F">
        <w:rPr>
          <w:spacing w:val="-2"/>
        </w:rPr>
        <w:t xml:space="preserve"> </w:t>
      </w:r>
      <w:r w:rsidRPr="0031675F">
        <w:t xml:space="preserve">the </w:t>
      </w:r>
      <w:r w:rsidRPr="0031675F">
        <w:rPr>
          <w:spacing w:val="-1"/>
        </w:rPr>
        <w:t>highest</w:t>
      </w:r>
      <w:r w:rsidRPr="0031675F">
        <w:t xml:space="preserve"> </w:t>
      </w:r>
      <w:r w:rsidRPr="0031675F">
        <w:rPr>
          <w:spacing w:val="-1"/>
        </w:rPr>
        <w:t>quality reagent</w:t>
      </w:r>
      <w:r w:rsidRPr="0031675F">
        <w:rPr>
          <w:spacing w:val="-2"/>
        </w:rPr>
        <w:t xml:space="preserve"> </w:t>
      </w:r>
      <w:r w:rsidRPr="0031675F">
        <w:t xml:space="preserve">with </w:t>
      </w:r>
      <w:r w:rsidRPr="0031675F">
        <w:rPr>
          <w:spacing w:val="-1"/>
        </w:rPr>
        <w:t>low</w:t>
      </w:r>
      <w:r w:rsidRPr="0031675F">
        <w:rPr>
          <w:spacing w:val="-2"/>
        </w:rPr>
        <w:t xml:space="preserve"> </w:t>
      </w:r>
      <w:r w:rsidRPr="0031675F">
        <w:t xml:space="preserve">N </w:t>
      </w:r>
      <w:r w:rsidRPr="0031675F">
        <w:rPr>
          <w:spacing w:val="-1"/>
        </w:rPr>
        <w:t xml:space="preserve">and </w:t>
      </w:r>
      <w:r w:rsidRPr="0031675F">
        <w:t>P</w:t>
      </w:r>
    </w:p>
    <w:p w14:paraId="79870ED1" w14:textId="2ABD0DFC" w:rsidR="0031675F" w:rsidRPr="0031675F" w:rsidRDefault="0031675F" w:rsidP="0031675F">
      <w:pPr>
        <w:widowControl w:val="0"/>
        <w:numPr>
          <w:ilvl w:val="0"/>
          <w:numId w:val="124"/>
        </w:numPr>
        <w:tabs>
          <w:tab w:val="left" w:pos="386"/>
        </w:tabs>
        <w:spacing w:before="0" w:after="0" w:line="240" w:lineRule="auto"/>
        <w:ind w:right="116" w:hanging="360"/>
        <w:rPr>
          <w:rFonts w:asciiTheme="minorHAnsi" w:hAnsiTheme="minorHAnsi"/>
        </w:rPr>
      </w:pPr>
      <w:r w:rsidRPr="0031675F">
        <w:rPr>
          <w:rFonts w:asciiTheme="minorHAnsi" w:hAnsiTheme="minorHAnsi"/>
          <w:spacing w:val="-1"/>
        </w:rPr>
        <w:t>Persul</w:t>
      </w:r>
      <w:r w:rsidR="00CC6786">
        <w:rPr>
          <w:rFonts w:asciiTheme="minorHAnsi" w:hAnsiTheme="minorHAnsi"/>
          <w:spacing w:val="-1"/>
        </w:rPr>
        <w:t>f</w:t>
      </w:r>
      <w:r w:rsidRPr="0031675F">
        <w:rPr>
          <w:rFonts w:asciiTheme="minorHAnsi" w:hAnsiTheme="minorHAnsi"/>
          <w:spacing w:val="-1"/>
        </w:rPr>
        <w:t>ate</w:t>
      </w:r>
      <w:r w:rsidRPr="0031675F">
        <w:rPr>
          <w:rFonts w:asciiTheme="minorHAnsi" w:hAnsiTheme="minorHAnsi"/>
          <w:spacing w:val="17"/>
        </w:rPr>
        <w:t xml:space="preserve"> </w:t>
      </w:r>
      <w:r w:rsidRPr="0031675F">
        <w:rPr>
          <w:rFonts w:asciiTheme="minorHAnsi" w:hAnsiTheme="minorHAnsi"/>
          <w:spacing w:val="-1"/>
        </w:rPr>
        <w:t>oxidising</w:t>
      </w:r>
      <w:r w:rsidRPr="0031675F">
        <w:rPr>
          <w:rFonts w:asciiTheme="minorHAnsi" w:hAnsiTheme="minorHAnsi"/>
          <w:spacing w:val="18"/>
        </w:rPr>
        <w:t xml:space="preserve"> </w:t>
      </w:r>
      <w:r w:rsidRPr="0031675F">
        <w:rPr>
          <w:rFonts w:asciiTheme="minorHAnsi" w:hAnsiTheme="minorHAnsi"/>
          <w:spacing w:val="-1"/>
        </w:rPr>
        <w:t>solution:</w:t>
      </w:r>
      <w:r w:rsidRPr="0031675F">
        <w:rPr>
          <w:rFonts w:asciiTheme="minorHAnsi" w:hAnsiTheme="minorHAnsi"/>
          <w:spacing w:val="18"/>
        </w:rPr>
        <w:t xml:space="preserve"> </w:t>
      </w:r>
      <w:r w:rsidRPr="0031675F">
        <w:t>mix</w:t>
      </w:r>
      <w:r w:rsidRPr="0031675F">
        <w:rPr>
          <w:spacing w:val="17"/>
        </w:rPr>
        <w:t xml:space="preserve"> </w:t>
      </w:r>
      <w:r w:rsidRPr="0031675F">
        <w:t>7.5</w:t>
      </w:r>
      <w:r w:rsidRPr="0031675F">
        <w:rPr>
          <w:spacing w:val="18"/>
        </w:rPr>
        <w:t xml:space="preserve"> </w:t>
      </w:r>
      <w:r w:rsidRPr="0031675F">
        <w:t>g</w:t>
      </w:r>
      <w:r w:rsidRPr="0031675F">
        <w:rPr>
          <w:spacing w:val="18"/>
        </w:rPr>
        <w:t xml:space="preserve"> </w:t>
      </w:r>
      <w:r w:rsidRPr="0031675F">
        <w:t>of</w:t>
      </w:r>
      <w:r w:rsidRPr="0031675F">
        <w:rPr>
          <w:spacing w:val="16"/>
        </w:rPr>
        <w:t xml:space="preserve"> </w:t>
      </w:r>
      <w:r w:rsidRPr="0031675F">
        <w:rPr>
          <w:spacing w:val="-1"/>
        </w:rPr>
        <w:t>NaOH</w:t>
      </w:r>
      <w:r w:rsidRPr="0031675F">
        <w:rPr>
          <w:spacing w:val="18"/>
        </w:rPr>
        <w:t xml:space="preserve"> </w:t>
      </w:r>
      <w:r w:rsidRPr="0031675F">
        <w:rPr>
          <w:spacing w:val="-2"/>
        </w:rPr>
        <w:t>and</w:t>
      </w:r>
      <w:r w:rsidRPr="0031675F">
        <w:rPr>
          <w:spacing w:val="18"/>
        </w:rPr>
        <w:t xml:space="preserve"> </w:t>
      </w:r>
      <w:r w:rsidRPr="0031675F">
        <w:t>25</w:t>
      </w:r>
      <w:r w:rsidRPr="0031675F">
        <w:rPr>
          <w:spacing w:val="20"/>
        </w:rPr>
        <w:t xml:space="preserve"> </w:t>
      </w:r>
      <w:r w:rsidRPr="0031675F">
        <w:t>g</w:t>
      </w:r>
      <w:r w:rsidRPr="0031675F">
        <w:rPr>
          <w:spacing w:val="16"/>
        </w:rPr>
        <w:t xml:space="preserve"> </w:t>
      </w:r>
      <w:r w:rsidRPr="0031675F">
        <w:t>of</w:t>
      </w:r>
      <w:r w:rsidRPr="0031675F">
        <w:rPr>
          <w:spacing w:val="16"/>
        </w:rPr>
        <w:t xml:space="preserve"> </w:t>
      </w:r>
      <w:r w:rsidRPr="0031675F">
        <w:rPr>
          <w:spacing w:val="-1"/>
        </w:rPr>
        <w:t>K</w:t>
      </w:r>
      <w:r w:rsidRPr="0031675F">
        <w:rPr>
          <w:spacing w:val="-1"/>
          <w:position w:val="-3"/>
        </w:rPr>
        <w:t>2</w:t>
      </w:r>
      <w:r w:rsidRPr="0031675F">
        <w:rPr>
          <w:spacing w:val="-1"/>
        </w:rPr>
        <w:t>S</w:t>
      </w:r>
      <w:r w:rsidRPr="0031675F">
        <w:rPr>
          <w:spacing w:val="-1"/>
          <w:position w:val="-3"/>
        </w:rPr>
        <w:t>2</w:t>
      </w:r>
      <w:r w:rsidRPr="0031675F">
        <w:rPr>
          <w:spacing w:val="-1"/>
        </w:rPr>
        <w:t>O</w:t>
      </w:r>
      <w:r w:rsidRPr="0031675F">
        <w:rPr>
          <w:spacing w:val="-1"/>
          <w:position w:val="-3"/>
        </w:rPr>
        <w:t>8</w:t>
      </w:r>
      <w:r w:rsidRPr="0031675F">
        <w:rPr>
          <w:spacing w:val="20"/>
          <w:position w:val="-3"/>
        </w:rPr>
        <w:t xml:space="preserve"> and 15 g </w:t>
      </w:r>
      <w:r w:rsidRPr="0031675F">
        <w:rPr>
          <w:spacing w:val="-1"/>
        </w:rPr>
        <w:t>H</w:t>
      </w:r>
      <w:r w:rsidRPr="0031675F">
        <w:rPr>
          <w:spacing w:val="-1"/>
          <w:position w:val="-3"/>
        </w:rPr>
        <w:t>3</w:t>
      </w:r>
      <w:r w:rsidRPr="0031675F">
        <w:rPr>
          <w:spacing w:val="-1"/>
        </w:rPr>
        <w:t>BO</w:t>
      </w:r>
      <w:r w:rsidRPr="0031675F">
        <w:rPr>
          <w:spacing w:val="-1"/>
          <w:position w:val="-3"/>
        </w:rPr>
        <w:t>3</w:t>
      </w:r>
      <w:r w:rsidRPr="0031675F">
        <w:t>in</w:t>
      </w:r>
      <w:r w:rsidRPr="0031675F">
        <w:rPr>
          <w:spacing w:val="16"/>
        </w:rPr>
        <w:t xml:space="preserve"> </w:t>
      </w:r>
      <w:r w:rsidRPr="0031675F">
        <w:rPr>
          <w:spacing w:val="-1"/>
        </w:rPr>
        <w:t>400</w:t>
      </w:r>
      <w:r w:rsidRPr="0031675F">
        <w:rPr>
          <w:spacing w:val="17"/>
        </w:rPr>
        <w:t xml:space="preserve"> </w:t>
      </w:r>
      <w:r w:rsidRPr="0031675F">
        <w:t>mL</w:t>
      </w:r>
      <w:r w:rsidRPr="0031675F">
        <w:rPr>
          <w:rFonts w:asciiTheme="minorHAnsi" w:hAnsiTheme="minorHAnsi"/>
          <w:spacing w:val="17"/>
        </w:rPr>
        <w:t xml:space="preserve"> </w:t>
      </w:r>
      <w:r w:rsidRPr="0031675F">
        <w:rPr>
          <w:rFonts w:asciiTheme="minorHAnsi" w:hAnsiTheme="minorHAnsi"/>
        </w:rPr>
        <w:t>of</w:t>
      </w:r>
      <w:r w:rsidRPr="0031675F">
        <w:rPr>
          <w:rFonts w:asciiTheme="minorHAnsi" w:hAnsiTheme="minorHAnsi"/>
          <w:spacing w:val="16"/>
        </w:rPr>
        <w:t xml:space="preserve"> </w:t>
      </w:r>
      <w:r w:rsidRPr="0031675F">
        <w:rPr>
          <w:rFonts w:asciiTheme="minorHAnsi" w:hAnsiTheme="minorHAnsi"/>
          <w:spacing w:val="-1"/>
        </w:rPr>
        <w:t>reagent</w:t>
      </w:r>
      <w:r w:rsidRPr="0031675F">
        <w:rPr>
          <w:rFonts w:asciiTheme="minorHAnsi" w:hAnsiTheme="minorHAnsi"/>
          <w:spacing w:val="17"/>
        </w:rPr>
        <w:t xml:space="preserve"> </w:t>
      </w:r>
      <w:r w:rsidRPr="0031675F">
        <w:rPr>
          <w:rFonts w:asciiTheme="minorHAnsi" w:hAnsiTheme="minorHAnsi"/>
          <w:spacing w:val="-1"/>
        </w:rPr>
        <w:t>grade</w:t>
      </w:r>
      <w:r w:rsidRPr="0031675F">
        <w:rPr>
          <w:rFonts w:asciiTheme="minorHAnsi" w:hAnsiTheme="minorHAnsi"/>
          <w:spacing w:val="69"/>
        </w:rPr>
        <w:t xml:space="preserve"> </w:t>
      </w:r>
      <w:r w:rsidRPr="0031675F">
        <w:rPr>
          <w:rFonts w:asciiTheme="minorHAnsi" w:hAnsiTheme="minorHAnsi"/>
        </w:rPr>
        <w:t>water.</w:t>
      </w:r>
      <w:r w:rsidRPr="0031675F">
        <w:rPr>
          <w:rFonts w:asciiTheme="minorHAnsi" w:hAnsiTheme="minorHAnsi"/>
          <w:spacing w:val="46"/>
        </w:rPr>
        <w:t xml:space="preserve"> </w:t>
      </w:r>
      <w:r w:rsidRPr="0031675F">
        <w:rPr>
          <w:rFonts w:asciiTheme="minorHAnsi" w:hAnsiTheme="minorHAnsi"/>
          <w:spacing w:val="-1"/>
        </w:rPr>
        <w:t>Stir</w:t>
      </w:r>
      <w:r w:rsidRPr="0031675F">
        <w:rPr>
          <w:rFonts w:asciiTheme="minorHAnsi" w:hAnsiTheme="minorHAnsi"/>
        </w:rPr>
        <w:t xml:space="preserve"> </w:t>
      </w:r>
      <w:r w:rsidRPr="0031675F">
        <w:rPr>
          <w:rFonts w:asciiTheme="minorHAnsi" w:hAnsiTheme="minorHAnsi"/>
          <w:spacing w:val="-1"/>
        </w:rPr>
        <w:t>until</w:t>
      </w:r>
      <w:r w:rsidRPr="0031675F">
        <w:rPr>
          <w:rFonts w:asciiTheme="minorHAnsi" w:hAnsiTheme="minorHAnsi"/>
        </w:rPr>
        <w:t xml:space="preserve"> all</w:t>
      </w:r>
      <w:r w:rsidRPr="0031675F">
        <w:rPr>
          <w:rFonts w:asciiTheme="minorHAnsi" w:hAnsiTheme="minorHAnsi"/>
          <w:spacing w:val="-3"/>
        </w:rPr>
        <w:t xml:space="preserve"> </w:t>
      </w:r>
      <w:r w:rsidRPr="0031675F">
        <w:rPr>
          <w:rFonts w:asciiTheme="minorHAnsi" w:hAnsiTheme="minorHAnsi"/>
          <w:spacing w:val="-1"/>
        </w:rPr>
        <w:t>reagents</w:t>
      </w:r>
      <w:r w:rsidRPr="0031675F">
        <w:rPr>
          <w:rFonts w:asciiTheme="minorHAnsi" w:hAnsiTheme="minorHAnsi"/>
        </w:rPr>
        <w:t xml:space="preserve"> are</w:t>
      </w:r>
      <w:r w:rsidRPr="0031675F">
        <w:rPr>
          <w:rFonts w:asciiTheme="minorHAnsi" w:hAnsiTheme="minorHAnsi"/>
          <w:spacing w:val="1"/>
        </w:rPr>
        <w:t xml:space="preserve"> </w:t>
      </w:r>
      <w:r w:rsidRPr="0031675F">
        <w:rPr>
          <w:rFonts w:asciiTheme="minorHAnsi" w:hAnsiTheme="minorHAnsi"/>
          <w:spacing w:val="-1"/>
        </w:rPr>
        <w:t>dissolved.</w:t>
      </w:r>
      <w:r w:rsidRPr="0031675F">
        <w:rPr>
          <w:rFonts w:asciiTheme="minorHAnsi" w:hAnsiTheme="minorHAnsi"/>
          <w:spacing w:val="48"/>
        </w:rPr>
        <w:t xml:space="preserve"> </w:t>
      </w:r>
      <w:r w:rsidRPr="0031675F">
        <w:rPr>
          <w:rFonts w:asciiTheme="minorHAnsi" w:hAnsiTheme="minorHAnsi"/>
          <w:spacing w:val="-1"/>
        </w:rPr>
        <w:t>Make</w:t>
      </w:r>
      <w:r w:rsidRPr="0031675F">
        <w:rPr>
          <w:rFonts w:asciiTheme="minorHAnsi" w:hAnsiTheme="minorHAnsi"/>
        </w:rPr>
        <w:t xml:space="preserve"> </w:t>
      </w:r>
      <w:r w:rsidRPr="0031675F">
        <w:rPr>
          <w:rFonts w:asciiTheme="minorHAnsi" w:hAnsiTheme="minorHAnsi"/>
          <w:spacing w:val="-1"/>
        </w:rPr>
        <w:t>volume</w:t>
      </w:r>
      <w:r w:rsidRPr="0031675F">
        <w:rPr>
          <w:rFonts w:asciiTheme="minorHAnsi" w:hAnsiTheme="minorHAnsi"/>
          <w:spacing w:val="-2"/>
        </w:rPr>
        <w:t xml:space="preserve"> </w:t>
      </w:r>
      <w:r w:rsidRPr="0031675F">
        <w:rPr>
          <w:rFonts w:asciiTheme="minorHAnsi" w:hAnsiTheme="minorHAnsi"/>
        </w:rPr>
        <w:t>to</w:t>
      </w:r>
      <w:r w:rsidRPr="0031675F">
        <w:rPr>
          <w:rFonts w:asciiTheme="minorHAnsi" w:hAnsiTheme="minorHAnsi"/>
          <w:spacing w:val="-1"/>
        </w:rPr>
        <w:t xml:space="preserve"> </w:t>
      </w:r>
      <w:r w:rsidRPr="0031675F">
        <w:rPr>
          <w:rFonts w:asciiTheme="minorHAnsi" w:hAnsiTheme="minorHAnsi"/>
        </w:rPr>
        <w:t>500mL.</w:t>
      </w:r>
      <w:r w:rsidRPr="0031675F">
        <w:rPr>
          <w:rFonts w:asciiTheme="minorHAnsi" w:hAnsiTheme="minorHAnsi"/>
          <w:spacing w:val="48"/>
        </w:rPr>
        <w:t xml:space="preserve"> </w:t>
      </w:r>
      <w:r w:rsidRPr="0031675F">
        <w:rPr>
          <w:rFonts w:asciiTheme="minorHAnsi" w:hAnsiTheme="minorHAnsi"/>
          <w:spacing w:val="-1"/>
        </w:rPr>
        <w:t>Make</w:t>
      </w:r>
      <w:r w:rsidRPr="0031675F">
        <w:rPr>
          <w:rFonts w:asciiTheme="minorHAnsi" w:hAnsiTheme="minorHAnsi"/>
        </w:rPr>
        <w:t xml:space="preserve"> </w:t>
      </w:r>
      <w:r w:rsidRPr="0031675F">
        <w:rPr>
          <w:rFonts w:asciiTheme="minorHAnsi" w:hAnsiTheme="minorHAnsi"/>
          <w:spacing w:val="-2"/>
        </w:rPr>
        <w:t>fresh</w:t>
      </w:r>
      <w:r w:rsidRPr="0031675F">
        <w:rPr>
          <w:rFonts w:asciiTheme="minorHAnsi" w:hAnsiTheme="minorHAnsi"/>
        </w:rPr>
        <w:t xml:space="preserve"> </w:t>
      </w:r>
      <w:r w:rsidRPr="0031675F">
        <w:rPr>
          <w:rFonts w:asciiTheme="minorHAnsi" w:hAnsiTheme="minorHAnsi"/>
          <w:spacing w:val="-1"/>
        </w:rPr>
        <w:t>daily.</w:t>
      </w:r>
    </w:p>
    <w:p w14:paraId="4D506DD2" w14:textId="77777777" w:rsidR="0031675F" w:rsidRPr="0031675F" w:rsidRDefault="0031675F" w:rsidP="0031675F">
      <w:pPr>
        <w:spacing w:before="1"/>
        <w:rPr>
          <w:rFonts w:asciiTheme="minorHAnsi" w:hAnsiTheme="minorHAnsi" w:cs="Calibri"/>
        </w:rPr>
      </w:pPr>
    </w:p>
    <w:p w14:paraId="219201E9" w14:textId="77777777" w:rsidR="0031675F" w:rsidRPr="0031675F" w:rsidRDefault="0031675F" w:rsidP="0031675F">
      <w:pPr>
        <w:ind w:left="138"/>
        <w:rPr>
          <w:rFonts w:asciiTheme="minorHAnsi" w:hAnsiTheme="minorHAnsi" w:cs="Calibri"/>
        </w:rPr>
      </w:pPr>
      <w:r w:rsidRPr="0031675F">
        <w:rPr>
          <w:rFonts w:asciiTheme="minorHAnsi" w:hAnsiTheme="minorHAnsi"/>
          <w:b/>
          <w:i/>
          <w:spacing w:val="-1"/>
          <w:u w:val="single" w:color="000000"/>
        </w:rPr>
        <w:t>Procedure</w:t>
      </w:r>
    </w:p>
    <w:p w14:paraId="795FFB58" w14:textId="77777777" w:rsidR="0031675F" w:rsidRPr="0031675F" w:rsidRDefault="0031675F" w:rsidP="0031675F">
      <w:pPr>
        <w:widowControl w:val="0"/>
        <w:numPr>
          <w:ilvl w:val="0"/>
          <w:numId w:val="123"/>
        </w:numPr>
        <w:tabs>
          <w:tab w:val="left" w:pos="420"/>
        </w:tabs>
        <w:spacing w:before="0" w:after="0" w:line="240" w:lineRule="auto"/>
        <w:ind w:hanging="309"/>
        <w:rPr>
          <w:rFonts w:asciiTheme="minorHAnsi" w:hAnsiTheme="minorHAnsi"/>
        </w:rPr>
      </w:pPr>
      <w:r w:rsidRPr="0031675F">
        <w:rPr>
          <w:rFonts w:asciiTheme="minorHAnsi" w:hAnsiTheme="minorHAnsi"/>
        </w:rPr>
        <w:t>If</w:t>
      </w:r>
      <w:r w:rsidRPr="0031675F">
        <w:rPr>
          <w:rFonts w:asciiTheme="minorHAnsi" w:hAnsiTheme="minorHAnsi"/>
          <w:spacing w:val="-3"/>
        </w:rPr>
        <w:t xml:space="preserve"> </w:t>
      </w:r>
      <w:r w:rsidRPr="0031675F">
        <w:rPr>
          <w:rFonts w:asciiTheme="minorHAnsi" w:hAnsiTheme="minorHAnsi"/>
          <w:spacing w:val="-1"/>
        </w:rPr>
        <w:t>samples</w:t>
      </w:r>
      <w:r w:rsidRPr="0031675F">
        <w:rPr>
          <w:rFonts w:asciiTheme="minorHAnsi" w:hAnsiTheme="minorHAnsi"/>
        </w:rPr>
        <w:t xml:space="preserve"> </w:t>
      </w:r>
      <w:r w:rsidRPr="0031675F">
        <w:rPr>
          <w:rFonts w:asciiTheme="minorHAnsi" w:hAnsiTheme="minorHAnsi"/>
          <w:spacing w:val="-1"/>
        </w:rPr>
        <w:t>are</w:t>
      </w:r>
      <w:r w:rsidRPr="0031675F">
        <w:rPr>
          <w:rFonts w:asciiTheme="minorHAnsi" w:hAnsiTheme="minorHAnsi"/>
        </w:rPr>
        <w:t xml:space="preserve"> </w:t>
      </w:r>
      <w:r w:rsidRPr="0031675F">
        <w:rPr>
          <w:rFonts w:asciiTheme="minorHAnsi" w:hAnsiTheme="minorHAnsi"/>
          <w:spacing w:val="-1"/>
        </w:rPr>
        <w:t>frozen, thaw</w:t>
      </w:r>
      <w:r w:rsidRPr="0031675F">
        <w:rPr>
          <w:rFonts w:asciiTheme="minorHAnsi" w:hAnsiTheme="minorHAnsi"/>
        </w:rPr>
        <w:t xml:space="preserve"> </w:t>
      </w:r>
      <w:r w:rsidRPr="0031675F">
        <w:rPr>
          <w:rFonts w:asciiTheme="minorHAnsi" w:hAnsiTheme="minorHAnsi"/>
          <w:spacing w:val="-1"/>
        </w:rPr>
        <w:t xml:space="preserve">samples </w:t>
      </w:r>
      <w:r w:rsidRPr="0031675F">
        <w:rPr>
          <w:rFonts w:asciiTheme="minorHAnsi" w:hAnsiTheme="minorHAnsi"/>
          <w:spacing w:val="-2"/>
        </w:rPr>
        <w:t>by</w:t>
      </w:r>
      <w:r w:rsidRPr="0031675F">
        <w:rPr>
          <w:rFonts w:asciiTheme="minorHAnsi" w:hAnsiTheme="minorHAnsi"/>
        </w:rPr>
        <w:t xml:space="preserve"> </w:t>
      </w:r>
      <w:r w:rsidRPr="0031675F">
        <w:rPr>
          <w:rFonts w:asciiTheme="minorHAnsi" w:hAnsiTheme="minorHAnsi"/>
          <w:spacing w:val="-1"/>
        </w:rPr>
        <w:t>running under</w:t>
      </w:r>
      <w:r w:rsidRPr="0031675F">
        <w:rPr>
          <w:rFonts w:asciiTheme="minorHAnsi" w:hAnsiTheme="minorHAnsi"/>
        </w:rPr>
        <w:t xml:space="preserve"> a </w:t>
      </w:r>
      <w:r w:rsidRPr="0031675F">
        <w:rPr>
          <w:rFonts w:asciiTheme="minorHAnsi" w:hAnsiTheme="minorHAnsi"/>
          <w:spacing w:val="-1"/>
        </w:rPr>
        <w:t>continuous</w:t>
      </w:r>
      <w:r w:rsidRPr="0031675F">
        <w:rPr>
          <w:rFonts w:asciiTheme="minorHAnsi" w:hAnsiTheme="minorHAnsi"/>
          <w:spacing w:val="-3"/>
        </w:rPr>
        <w:t xml:space="preserve"> </w:t>
      </w:r>
      <w:r w:rsidRPr="0031675F">
        <w:rPr>
          <w:rFonts w:asciiTheme="minorHAnsi" w:hAnsiTheme="minorHAnsi"/>
          <w:spacing w:val="-1"/>
        </w:rPr>
        <w:t>flow</w:t>
      </w:r>
      <w:r w:rsidRPr="0031675F">
        <w:rPr>
          <w:rFonts w:asciiTheme="minorHAnsi" w:hAnsiTheme="minorHAnsi"/>
          <w:spacing w:val="-2"/>
        </w:rPr>
        <w:t xml:space="preserve"> </w:t>
      </w:r>
      <w:r w:rsidRPr="0031675F">
        <w:rPr>
          <w:rFonts w:asciiTheme="minorHAnsi" w:hAnsiTheme="minorHAnsi"/>
        </w:rPr>
        <w:t xml:space="preserve">of </w:t>
      </w:r>
      <w:r w:rsidRPr="0031675F">
        <w:rPr>
          <w:rFonts w:asciiTheme="minorHAnsi" w:hAnsiTheme="minorHAnsi"/>
          <w:spacing w:val="-1"/>
        </w:rPr>
        <w:t xml:space="preserve">cold </w:t>
      </w:r>
      <w:r w:rsidRPr="0031675F">
        <w:rPr>
          <w:rFonts w:asciiTheme="minorHAnsi" w:hAnsiTheme="minorHAnsi"/>
        </w:rPr>
        <w:t>water</w:t>
      </w:r>
    </w:p>
    <w:p w14:paraId="723A458B" w14:textId="77777777" w:rsidR="0031675F" w:rsidRPr="0031675F" w:rsidRDefault="0031675F" w:rsidP="0031675F">
      <w:pPr>
        <w:widowControl w:val="0"/>
        <w:numPr>
          <w:ilvl w:val="0"/>
          <w:numId w:val="123"/>
        </w:numPr>
        <w:tabs>
          <w:tab w:val="left" w:pos="453"/>
        </w:tabs>
        <w:spacing w:before="0" w:after="0" w:line="240" w:lineRule="auto"/>
        <w:ind w:right="116" w:hanging="360"/>
        <w:rPr>
          <w:rFonts w:asciiTheme="minorHAnsi" w:hAnsiTheme="minorHAnsi"/>
        </w:rPr>
      </w:pPr>
      <w:r w:rsidRPr="0031675F">
        <w:rPr>
          <w:rFonts w:asciiTheme="minorHAnsi" w:hAnsiTheme="minorHAnsi"/>
          <w:spacing w:val="-1"/>
        </w:rPr>
        <w:t>Make</w:t>
      </w:r>
      <w:r w:rsidRPr="0031675F">
        <w:rPr>
          <w:rFonts w:asciiTheme="minorHAnsi" w:hAnsiTheme="minorHAnsi"/>
        </w:rPr>
        <w:t xml:space="preserve"> </w:t>
      </w:r>
      <w:r w:rsidRPr="0031675F">
        <w:rPr>
          <w:rFonts w:asciiTheme="minorHAnsi" w:hAnsiTheme="minorHAnsi"/>
          <w:spacing w:val="34"/>
        </w:rPr>
        <w:t xml:space="preserve"> </w:t>
      </w:r>
      <w:r w:rsidRPr="0031675F">
        <w:rPr>
          <w:rFonts w:asciiTheme="minorHAnsi" w:hAnsiTheme="minorHAnsi"/>
          <w:spacing w:val="-1"/>
        </w:rPr>
        <w:t>up</w:t>
      </w:r>
      <w:r w:rsidRPr="0031675F">
        <w:rPr>
          <w:rFonts w:asciiTheme="minorHAnsi" w:hAnsiTheme="minorHAnsi"/>
        </w:rPr>
        <w:t xml:space="preserve"> </w:t>
      </w:r>
      <w:r w:rsidRPr="0031675F">
        <w:rPr>
          <w:rFonts w:asciiTheme="minorHAnsi" w:hAnsiTheme="minorHAnsi"/>
          <w:spacing w:val="34"/>
        </w:rPr>
        <w:t xml:space="preserve"> </w:t>
      </w:r>
      <w:r w:rsidRPr="0031675F">
        <w:rPr>
          <w:rFonts w:asciiTheme="minorHAnsi" w:hAnsiTheme="minorHAnsi"/>
          <w:spacing w:val="-1"/>
        </w:rPr>
        <w:t>test</w:t>
      </w:r>
      <w:r w:rsidRPr="0031675F">
        <w:rPr>
          <w:rFonts w:asciiTheme="minorHAnsi" w:hAnsiTheme="minorHAnsi"/>
        </w:rPr>
        <w:t xml:space="preserve"> </w:t>
      </w:r>
      <w:r w:rsidRPr="0031675F">
        <w:rPr>
          <w:rFonts w:asciiTheme="minorHAnsi" w:hAnsiTheme="minorHAnsi"/>
          <w:spacing w:val="35"/>
        </w:rPr>
        <w:t xml:space="preserve"> </w:t>
      </w:r>
      <w:r w:rsidRPr="0031675F">
        <w:rPr>
          <w:rFonts w:asciiTheme="minorHAnsi" w:hAnsiTheme="minorHAnsi"/>
          <w:spacing w:val="-2"/>
        </w:rPr>
        <w:t>samples,</w:t>
      </w:r>
      <w:r w:rsidRPr="0031675F">
        <w:rPr>
          <w:rFonts w:asciiTheme="minorHAnsi" w:hAnsiTheme="minorHAnsi"/>
        </w:rPr>
        <w:t xml:space="preserve"> </w:t>
      </w:r>
      <w:r w:rsidRPr="0031675F">
        <w:rPr>
          <w:rFonts w:asciiTheme="minorHAnsi" w:hAnsiTheme="minorHAnsi"/>
          <w:spacing w:val="34"/>
        </w:rPr>
        <w:t xml:space="preserve"> </w:t>
      </w:r>
      <w:r w:rsidRPr="0031675F">
        <w:rPr>
          <w:rFonts w:asciiTheme="minorHAnsi" w:hAnsiTheme="minorHAnsi"/>
          <w:spacing w:val="-1"/>
        </w:rPr>
        <w:t>calibration</w:t>
      </w:r>
      <w:r w:rsidRPr="0031675F">
        <w:rPr>
          <w:rFonts w:asciiTheme="minorHAnsi" w:hAnsiTheme="minorHAnsi"/>
        </w:rPr>
        <w:t xml:space="preserve"> </w:t>
      </w:r>
      <w:r w:rsidRPr="0031675F">
        <w:rPr>
          <w:rFonts w:asciiTheme="minorHAnsi" w:hAnsiTheme="minorHAnsi"/>
          <w:spacing w:val="34"/>
        </w:rPr>
        <w:t xml:space="preserve"> </w:t>
      </w:r>
      <w:r w:rsidRPr="0031675F">
        <w:rPr>
          <w:rFonts w:asciiTheme="minorHAnsi" w:hAnsiTheme="minorHAnsi"/>
          <w:spacing w:val="-1"/>
        </w:rPr>
        <w:t>standards,</w:t>
      </w:r>
      <w:r w:rsidRPr="0031675F">
        <w:rPr>
          <w:rFonts w:asciiTheme="minorHAnsi" w:hAnsiTheme="minorHAnsi"/>
        </w:rPr>
        <w:t xml:space="preserve"> </w:t>
      </w:r>
      <w:r w:rsidRPr="0031675F">
        <w:rPr>
          <w:rFonts w:asciiTheme="minorHAnsi" w:hAnsiTheme="minorHAnsi"/>
          <w:spacing w:val="32"/>
        </w:rPr>
        <w:t xml:space="preserve"> </w:t>
      </w:r>
      <w:r w:rsidRPr="0031675F">
        <w:rPr>
          <w:rFonts w:asciiTheme="minorHAnsi" w:hAnsiTheme="minorHAnsi"/>
          <w:spacing w:val="-1"/>
        </w:rPr>
        <w:t>In-House</w:t>
      </w:r>
      <w:r w:rsidRPr="0031675F">
        <w:rPr>
          <w:rFonts w:asciiTheme="minorHAnsi" w:hAnsiTheme="minorHAnsi"/>
        </w:rPr>
        <w:t xml:space="preserve"> </w:t>
      </w:r>
      <w:r w:rsidRPr="0031675F">
        <w:rPr>
          <w:rFonts w:asciiTheme="minorHAnsi" w:hAnsiTheme="minorHAnsi"/>
          <w:spacing w:val="35"/>
        </w:rPr>
        <w:t xml:space="preserve"> </w:t>
      </w:r>
      <w:r w:rsidRPr="0031675F">
        <w:rPr>
          <w:rFonts w:asciiTheme="minorHAnsi" w:hAnsiTheme="minorHAnsi"/>
          <w:spacing w:val="-1"/>
        </w:rPr>
        <w:t>Reference</w:t>
      </w:r>
      <w:r w:rsidRPr="0031675F">
        <w:rPr>
          <w:rFonts w:asciiTheme="minorHAnsi" w:hAnsiTheme="minorHAnsi"/>
        </w:rPr>
        <w:t xml:space="preserve"> </w:t>
      </w:r>
      <w:r w:rsidRPr="0031675F">
        <w:rPr>
          <w:rFonts w:asciiTheme="minorHAnsi" w:hAnsiTheme="minorHAnsi"/>
          <w:spacing w:val="31"/>
        </w:rPr>
        <w:t xml:space="preserve"> </w:t>
      </w:r>
      <w:r w:rsidRPr="0031675F">
        <w:rPr>
          <w:rFonts w:asciiTheme="minorHAnsi" w:hAnsiTheme="minorHAnsi"/>
          <w:spacing w:val="-1"/>
        </w:rPr>
        <w:t>Materials</w:t>
      </w:r>
      <w:r w:rsidRPr="0031675F">
        <w:rPr>
          <w:rFonts w:asciiTheme="minorHAnsi" w:hAnsiTheme="minorHAnsi"/>
        </w:rPr>
        <w:t xml:space="preserve"> </w:t>
      </w:r>
      <w:r w:rsidRPr="0031675F">
        <w:rPr>
          <w:rFonts w:asciiTheme="minorHAnsi" w:hAnsiTheme="minorHAnsi"/>
          <w:spacing w:val="35"/>
        </w:rPr>
        <w:t xml:space="preserve"> </w:t>
      </w:r>
      <w:r w:rsidRPr="0031675F">
        <w:rPr>
          <w:rFonts w:asciiTheme="minorHAnsi" w:hAnsiTheme="minorHAnsi"/>
          <w:spacing w:val="-1"/>
        </w:rPr>
        <w:t>and</w:t>
      </w:r>
      <w:r w:rsidRPr="0031675F">
        <w:rPr>
          <w:rFonts w:asciiTheme="minorHAnsi" w:hAnsiTheme="minorHAnsi"/>
        </w:rPr>
        <w:t xml:space="preserve"> </w:t>
      </w:r>
      <w:r w:rsidRPr="0031675F">
        <w:rPr>
          <w:rFonts w:asciiTheme="minorHAnsi" w:hAnsiTheme="minorHAnsi"/>
          <w:spacing w:val="34"/>
        </w:rPr>
        <w:t xml:space="preserve"> </w:t>
      </w:r>
      <w:r w:rsidRPr="0031675F">
        <w:rPr>
          <w:rFonts w:asciiTheme="minorHAnsi" w:hAnsiTheme="minorHAnsi"/>
          <w:spacing w:val="-1"/>
        </w:rPr>
        <w:t>Certified</w:t>
      </w:r>
      <w:r w:rsidRPr="0031675F">
        <w:rPr>
          <w:rFonts w:asciiTheme="minorHAnsi" w:hAnsiTheme="minorHAnsi"/>
          <w:spacing w:val="82"/>
        </w:rPr>
        <w:t xml:space="preserve"> </w:t>
      </w:r>
      <w:r w:rsidRPr="0031675F">
        <w:rPr>
          <w:rFonts w:asciiTheme="minorHAnsi" w:hAnsiTheme="minorHAnsi"/>
          <w:spacing w:val="-1"/>
        </w:rPr>
        <w:t>Reference</w:t>
      </w:r>
      <w:r w:rsidRPr="0031675F">
        <w:rPr>
          <w:rFonts w:asciiTheme="minorHAnsi" w:hAnsiTheme="minorHAnsi"/>
          <w:spacing w:val="-2"/>
        </w:rPr>
        <w:t xml:space="preserve"> </w:t>
      </w:r>
      <w:r w:rsidRPr="0031675F">
        <w:rPr>
          <w:rFonts w:asciiTheme="minorHAnsi" w:hAnsiTheme="minorHAnsi"/>
          <w:spacing w:val="-1"/>
        </w:rPr>
        <w:t>Materials</w:t>
      </w:r>
    </w:p>
    <w:p w14:paraId="408AD8F6" w14:textId="77777777" w:rsidR="0031675F" w:rsidRPr="0031675F" w:rsidRDefault="0031675F" w:rsidP="0031675F">
      <w:pPr>
        <w:widowControl w:val="0"/>
        <w:numPr>
          <w:ilvl w:val="0"/>
          <w:numId w:val="123"/>
        </w:numPr>
        <w:tabs>
          <w:tab w:val="left" w:pos="408"/>
        </w:tabs>
        <w:spacing w:before="0" w:after="0" w:line="240" w:lineRule="auto"/>
        <w:ind w:right="119" w:hanging="360"/>
        <w:rPr>
          <w:rFonts w:asciiTheme="minorHAnsi" w:hAnsiTheme="minorHAnsi"/>
        </w:rPr>
      </w:pPr>
      <w:r w:rsidRPr="0031675F">
        <w:rPr>
          <w:rFonts w:asciiTheme="minorHAnsi" w:hAnsiTheme="minorHAnsi"/>
          <w:spacing w:val="-1"/>
        </w:rPr>
        <w:t>Thoroughly</w:t>
      </w:r>
      <w:r w:rsidRPr="0031675F">
        <w:rPr>
          <w:rFonts w:asciiTheme="minorHAnsi" w:hAnsiTheme="minorHAnsi"/>
          <w:spacing w:val="36"/>
        </w:rPr>
        <w:t xml:space="preserve"> </w:t>
      </w:r>
      <w:r w:rsidRPr="0031675F">
        <w:rPr>
          <w:rFonts w:asciiTheme="minorHAnsi" w:hAnsiTheme="minorHAnsi"/>
          <w:spacing w:val="-1"/>
        </w:rPr>
        <w:t>mix</w:t>
      </w:r>
      <w:r w:rsidRPr="0031675F">
        <w:rPr>
          <w:rFonts w:asciiTheme="minorHAnsi" w:hAnsiTheme="minorHAnsi"/>
          <w:spacing w:val="39"/>
        </w:rPr>
        <w:t xml:space="preserve"> </w:t>
      </w:r>
      <w:r w:rsidRPr="0031675F">
        <w:rPr>
          <w:rFonts w:asciiTheme="minorHAnsi" w:hAnsiTheme="minorHAnsi"/>
          <w:spacing w:val="-2"/>
        </w:rPr>
        <w:t>samples</w:t>
      </w:r>
      <w:r w:rsidRPr="0031675F">
        <w:rPr>
          <w:rFonts w:asciiTheme="minorHAnsi" w:hAnsiTheme="minorHAnsi"/>
          <w:spacing w:val="39"/>
        </w:rPr>
        <w:t xml:space="preserve"> </w:t>
      </w:r>
      <w:r w:rsidRPr="0031675F">
        <w:rPr>
          <w:rFonts w:asciiTheme="minorHAnsi" w:hAnsiTheme="minorHAnsi"/>
          <w:spacing w:val="-1"/>
        </w:rPr>
        <w:t>and</w:t>
      </w:r>
      <w:r w:rsidRPr="0031675F">
        <w:rPr>
          <w:rFonts w:asciiTheme="minorHAnsi" w:hAnsiTheme="minorHAnsi"/>
          <w:spacing w:val="37"/>
        </w:rPr>
        <w:t xml:space="preserve"> </w:t>
      </w:r>
      <w:r w:rsidRPr="0031675F">
        <w:rPr>
          <w:rFonts w:asciiTheme="minorHAnsi" w:hAnsiTheme="minorHAnsi"/>
        </w:rPr>
        <w:t>then</w:t>
      </w:r>
      <w:r w:rsidRPr="0031675F">
        <w:rPr>
          <w:rFonts w:asciiTheme="minorHAnsi" w:hAnsiTheme="minorHAnsi"/>
          <w:spacing w:val="38"/>
        </w:rPr>
        <w:t xml:space="preserve"> </w:t>
      </w:r>
      <w:r w:rsidRPr="0031675F">
        <w:rPr>
          <w:rFonts w:asciiTheme="minorHAnsi" w:hAnsiTheme="minorHAnsi"/>
          <w:spacing w:val="-1"/>
        </w:rPr>
        <w:t>decant</w:t>
      </w:r>
      <w:r w:rsidRPr="0031675F">
        <w:rPr>
          <w:rFonts w:asciiTheme="minorHAnsi" w:hAnsiTheme="minorHAnsi"/>
          <w:spacing w:val="39"/>
        </w:rPr>
        <w:t xml:space="preserve"> </w:t>
      </w:r>
      <w:r w:rsidRPr="0031675F">
        <w:rPr>
          <w:rFonts w:asciiTheme="minorHAnsi" w:hAnsiTheme="minorHAnsi"/>
          <w:spacing w:val="-1"/>
        </w:rPr>
        <w:t>10</w:t>
      </w:r>
      <w:r w:rsidRPr="0031675F">
        <w:rPr>
          <w:rFonts w:asciiTheme="minorHAnsi" w:hAnsiTheme="minorHAnsi"/>
          <w:spacing w:val="37"/>
        </w:rPr>
        <w:t xml:space="preserve"> </w:t>
      </w:r>
      <w:r w:rsidRPr="0031675F">
        <w:rPr>
          <w:rFonts w:asciiTheme="minorHAnsi" w:hAnsiTheme="minorHAnsi"/>
        </w:rPr>
        <w:t>mL</w:t>
      </w:r>
      <w:r w:rsidRPr="0031675F">
        <w:rPr>
          <w:rFonts w:asciiTheme="minorHAnsi" w:hAnsiTheme="minorHAnsi"/>
          <w:spacing w:val="36"/>
        </w:rPr>
        <w:t xml:space="preserve"> </w:t>
      </w:r>
      <w:r w:rsidRPr="0031675F">
        <w:rPr>
          <w:rFonts w:asciiTheme="minorHAnsi" w:hAnsiTheme="minorHAnsi"/>
          <w:spacing w:val="-1"/>
        </w:rPr>
        <w:t>into</w:t>
      </w:r>
      <w:r w:rsidRPr="0031675F">
        <w:rPr>
          <w:rFonts w:asciiTheme="minorHAnsi" w:hAnsiTheme="minorHAnsi"/>
          <w:spacing w:val="40"/>
        </w:rPr>
        <w:t xml:space="preserve"> </w:t>
      </w:r>
      <w:r w:rsidRPr="0031675F">
        <w:rPr>
          <w:rFonts w:asciiTheme="minorHAnsi" w:hAnsiTheme="minorHAnsi"/>
        </w:rPr>
        <w:t>a</w:t>
      </w:r>
      <w:r w:rsidRPr="0031675F">
        <w:rPr>
          <w:rFonts w:asciiTheme="minorHAnsi" w:hAnsiTheme="minorHAnsi"/>
          <w:spacing w:val="38"/>
        </w:rPr>
        <w:t xml:space="preserve"> </w:t>
      </w:r>
      <w:r w:rsidRPr="0031675F">
        <w:rPr>
          <w:rFonts w:asciiTheme="minorHAnsi" w:hAnsiTheme="minorHAnsi"/>
          <w:spacing w:val="-1"/>
        </w:rPr>
        <w:t>Sarstedt</w:t>
      </w:r>
      <w:r w:rsidRPr="0031675F">
        <w:rPr>
          <w:rFonts w:asciiTheme="minorHAnsi" w:hAnsiTheme="minorHAnsi"/>
          <w:spacing w:val="36"/>
        </w:rPr>
        <w:t xml:space="preserve"> </w:t>
      </w:r>
      <w:r w:rsidRPr="0031675F">
        <w:rPr>
          <w:rFonts w:asciiTheme="minorHAnsi" w:hAnsiTheme="minorHAnsi"/>
          <w:spacing w:val="-1"/>
        </w:rPr>
        <w:t>vial.</w:t>
      </w:r>
      <w:r w:rsidRPr="0031675F">
        <w:rPr>
          <w:rFonts w:asciiTheme="minorHAnsi" w:hAnsiTheme="minorHAnsi"/>
        </w:rPr>
        <w:t xml:space="preserve">  </w:t>
      </w:r>
      <w:r w:rsidRPr="0031675F">
        <w:rPr>
          <w:rFonts w:asciiTheme="minorHAnsi" w:hAnsiTheme="minorHAnsi"/>
          <w:spacing w:val="25"/>
        </w:rPr>
        <w:t xml:space="preserve"> </w:t>
      </w:r>
      <w:r w:rsidRPr="0031675F">
        <w:rPr>
          <w:rFonts w:asciiTheme="minorHAnsi" w:hAnsiTheme="minorHAnsi"/>
        </w:rPr>
        <w:t>If</w:t>
      </w:r>
      <w:r w:rsidRPr="0031675F">
        <w:rPr>
          <w:rFonts w:asciiTheme="minorHAnsi" w:hAnsiTheme="minorHAnsi"/>
          <w:spacing w:val="38"/>
        </w:rPr>
        <w:t xml:space="preserve"> </w:t>
      </w:r>
      <w:r w:rsidRPr="0031675F">
        <w:rPr>
          <w:rFonts w:asciiTheme="minorHAnsi" w:hAnsiTheme="minorHAnsi"/>
          <w:spacing w:val="-1"/>
        </w:rPr>
        <w:t>samples</w:t>
      </w:r>
      <w:r w:rsidRPr="0031675F">
        <w:rPr>
          <w:rFonts w:asciiTheme="minorHAnsi" w:hAnsiTheme="minorHAnsi"/>
          <w:spacing w:val="36"/>
        </w:rPr>
        <w:t xml:space="preserve"> </w:t>
      </w:r>
      <w:r w:rsidRPr="0031675F">
        <w:rPr>
          <w:rFonts w:asciiTheme="minorHAnsi" w:hAnsiTheme="minorHAnsi"/>
          <w:spacing w:val="-1"/>
        </w:rPr>
        <w:t>contain</w:t>
      </w:r>
      <w:r w:rsidRPr="0031675F">
        <w:rPr>
          <w:rFonts w:asciiTheme="minorHAnsi" w:hAnsiTheme="minorHAnsi"/>
          <w:spacing w:val="36"/>
        </w:rPr>
        <w:t xml:space="preserve"> </w:t>
      </w:r>
      <w:r w:rsidRPr="0031675F">
        <w:rPr>
          <w:rFonts w:asciiTheme="minorHAnsi" w:hAnsiTheme="minorHAnsi"/>
          <w:spacing w:val="-1"/>
        </w:rPr>
        <w:t>high</w:t>
      </w:r>
      <w:r w:rsidRPr="0031675F">
        <w:rPr>
          <w:rFonts w:asciiTheme="minorHAnsi" w:hAnsiTheme="minorHAnsi"/>
          <w:spacing w:val="59"/>
        </w:rPr>
        <w:t xml:space="preserve"> </w:t>
      </w:r>
      <w:r w:rsidRPr="0031675F">
        <w:rPr>
          <w:rFonts w:asciiTheme="minorHAnsi" w:hAnsiTheme="minorHAnsi"/>
          <w:spacing w:val="-1"/>
        </w:rPr>
        <w:t>amounts</w:t>
      </w:r>
      <w:r w:rsidRPr="0031675F">
        <w:rPr>
          <w:rFonts w:asciiTheme="minorHAnsi" w:hAnsiTheme="minorHAnsi"/>
          <w:spacing w:val="-2"/>
        </w:rPr>
        <w:t xml:space="preserve"> </w:t>
      </w:r>
      <w:r w:rsidRPr="0031675F">
        <w:rPr>
          <w:rFonts w:asciiTheme="minorHAnsi" w:hAnsiTheme="minorHAnsi"/>
        </w:rPr>
        <w:t xml:space="preserve">of </w:t>
      </w:r>
      <w:r w:rsidRPr="0031675F">
        <w:rPr>
          <w:rFonts w:asciiTheme="minorHAnsi" w:hAnsiTheme="minorHAnsi"/>
          <w:spacing w:val="-1"/>
        </w:rPr>
        <w:t>particulates</w:t>
      </w:r>
      <w:r w:rsidRPr="0031675F">
        <w:rPr>
          <w:rFonts w:asciiTheme="minorHAnsi" w:hAnsiTheme="minorHAnsi"/>
          <w:spacing w:val="1"/>
        </w:rPr>
        <w:t xml:space="preserve"> </w:t>
      </w:r>
      <w:r w:rsidRPr="0031675F">
        <w:rPr>
          <w:rFonts w:asciiTheme="minorHAnsi" w:hAnsiTheme="minorHAnsi"/>
          <w:spacing w:val="-1"/>
        </w:rPr>
        <w:t>dilution series</w:t>
      </w:r>
      <w:r w:rsidRPr="0031675F">
        <w:rPr>
          <w:rFonts w:asciiTheme="minorHAnsi" w:hAnsiTheme="minorHAnsi"/>
        </w:rPr>
        <w:t xml:space="preserve"> </w:t>
      </w:r>
      <w:r w:rsidRPr="0031675F">
        <w:rPr>
          <w:rFonts w:asciiTheme="minorHAnsi" w:hAnsiTheme="minorHAnsi"/>
          <w:spacing w:val="-1"/>
        </w:rPr>
        <w:t>should be</w:t>
      </w:r>
      <w:r w:rsidRPr="0031675F">
        <w:rPr>
          <w:rFonts w:asciiTheme="minorHAnsi" w:hAnsiTheme="minorHAnsi"/>
        </w:rPr>
        <w:t xml:space="preserve"> </w:t>
      </w:r>
      <w:r w:rsidRPr="0031675F">
        <w:rPr>
          <w:rFonts w:asciiTheme="minorHAnsi" w:hAnsiTheme="minorHAnsi"/>
          <w:spacing w:val="-1"/>
        </w:rPr>
        <w:t>carried</w:t>
      </w:r>
      <w:r w:rsidRPr="0031675F">
        <w:rPr>
          <w:rFonts w:asciiTheme="minorHAnsi" w:hAnsiTheme="minorHAnsi"/>
        </w:rPr>
        <w:t xml:space="preserve"> out</w:t>
      </w:r>
      <w:r w:rsidRPr="0031675F">
        <w:rPr>
          <w:rFonts w:asciiTheme="minorHAnsi" w:hAnsiTheme="minorHAnsi"/>
          <w:spacing w:val="-2"/>
        </w:rPr>
        <w:t xml:space="preserve"> </w:t>
      </w:r>
      <w:r w:rsidRPr="0031675F">
        <w:rPr>
          <w:rFonts w:asciiTheme="minorHAnsi" w:hAnsiTheme="minorHAnsi"/>
        </w:rPr>
        <w:t>at</w:t>
      </w:r>
      <w:r w:rsidRPr="0031675F">
        <w:rPr>
          <w:rFonts w:asciiTheme="minorHAnsi" w:hAnsiTheme="minorHAnsi"/>
          <w:spacing w:val="-2"/>
        </w:rPr>
        <w:t xml:space="preserve"> </w:t>
      </w:r>
      <w:r w:rsidRPr="0031675F">
        <w:rPr>
          <w:rFonts w:asciiTheme="minorHAnsi" w:hAnsiTheme="minorHAnsi"/>
          <w:spacing w:val="-1"/>
        </w:rPr>
        <w:t>this</w:t>
      </w:r>
      <w:r w:rsidRPr="0031675F">
        <w:rPr>
          <w:rFonts w:asciiTheme="minorHAnsi" w:hAnsiTheme="minorHAnsi"/>
        </w:rPr>
        <w:t xml:space="preserve"> </w:t>
      </w:r>
      <w:r w:rsidRPr="0031675F">
        <w:rPr>
          <w:rFonts w:asciiTheme="minorHAnsi" w:hAnsiTheme="minorHAnsi"/>
          <w:spacing w:val="-1"/>
        </w:rPr>
        <w:t>point</w:t>
      </w:r>
    </w:p>
    <w:p w14:paraId="29B22BC3" w14:textId="4FC73453" w:rsidR="0031675F" w:rsidRPr="0031675F" w:rsidRDefault="0031675F" w:rsidP="0031675F">
      <w:pPr>
        <w:widowControl w:val="0"/>
        <w:numPr>
          <w:ilvl w:val="0"/>
          <w:numId w:val="123"/>
        </w:numPr>
        <w:tabs>
          <w:tab w:val="left" w:pos="372"/>
        </w:tabs>
        <w:spacing w:before="0" w:after="0" w:line="240" w:lineRule="auto"/>
        <w:ind w:right="117" w:hanging="360"/>
        <w:jc w:val="both"/>
        <w:rPr>
          <w:rFonts w:asciiTheme="minorHAnsi" w:hAnsiTheme="minorHAnsi"/>
        </w:rPr>
      </w:pPr>
      <w:r w:rsidRPr="0031675F">
        <w:rPr>
          <w:rFonts w:asciiTheme="minorHAnsi" w:hAnsiTheme="minorHAnsi"/>
          <w:spacing w:val="-1"/>
        </w:rPr>
        <w:t xml:space="preserve">Add </w:t>
      </w:r>
      <w:r w:rsidRPr="0031675F">
        <w:rPr>
          <w:rFonts w:asciiTheme="minorHAnsi" w:hAnsiTheme="minorHAnsi"/>
        </w:rPr>
        <w:t>5</w:t>
      </w:r>
      <w:r w:rsidRPr="0031675F">
        <w:rPr>
          <w:rFonts w:asciiTheme="minorHAnsi" w:hAnsiTheme="minorHAnsi"/>
          <w:spacing w:val="1"/>
        </w:rPr>
        <w:t xml:space="preserve"> </w:t>
      </w:r>
      <w:r w:rsidRPr="0031675F">
        <w:rPr>
          <w:rFonts w:asciiTheme="minorHAnsi" w:hAnsiTheme="minorHAnsi"/>
        </w:rPr>
        <w:t xml:space="preserve">mls of </w:t>
      </w:r>
      <w:r w:rsidRPr="0031675F">
        <w:rPr>
          <w:rFonts w:asciiTheme="minorHAnsi" w:hAnsiTheme="minorHAnsi"/>
          <w:spacing w:val="-1"/>
        </w:rPr>
        <w:t>Persul</w:t>
      </w:r>
      <w:r w:rsidR="00CC6786">
        <w:rPr>
          <w:rFonts w:asciiTheme="minorHAnsi" w:hAnsiTheme="minorHAnsi"/>
          <w:spacing w:val="-1"/>
        </w:rPr>
        <w:t>f</w:t>
      </w:r>
      <w:r w:rsidRPr="0031675F">
        <w:rPr>
          <w:rFonts w:asciiTheme="minorHAnsi" w:hAnsiTheme="minorHAnsi"/>
          <w:spacing w:val="-1"/>
        </w:rPr>
        <w:t>ate</w:t>
      </w:r>
      <w:r w:rsidRPr="0031675F">
        <w:rPr>
          <w:rFonts w:asciiTheme="minorHAnsi" w:hAnsiTheme="minorHAnsi"/>
          <w:spacing w:val="3"/>
        </w:rPr>
        <w:t xml:space="preserve"> </w:t>
      </w:r>
      <w:r w:rsidRPr="0031675F">
        <w:rPr>
          <w:rFonts w:asciiTheme="minorHAnsi" w:hAnsiTheme="minorHAnsi"/>
          <w:spacing w:val="-1"/>
        </w:rPr>
        <w:t>oxidising</w:t>
      </w:r>
      <w:r w:rsidRPr="0031675F">
        <w:rPr>
          <w:rFonts w:asciiTheme="minorHAnsi" w:hAnsiTheme="minorHAnsi"/>
          <w:spacing w:val="2"/>
        </w:rPr>
        <w:t xml:space="preserve"> </w:t>
      </w:r>
      <w:r w:rsidRPr="0031675F">
        <w:rPr>
          <w:rFonts w:asciiTheme="minorHAnsi" w:hAnsiTheme="minorHAnsi"/>
          <w:spacing w:val="-1"/>
        </w:rPr>
        <w:t xml:space="preserve">solution </w:t>
      </w:r>
      <w:r w:rsidRPr="0031675F">
        <w:rPr>
          <w:rFonts w:asciiTheme="minorHAnsi" w:hAnsiTheme="minorHAnsi"/>
        </w:rPr>
        <w:t>to</w:t>
      </w:r>
      <w:r w:rsidRPr="0031675F">
        <w:rPr>
          <w:rFonts w:asciiTheme="minorHAnsi" w:hAnsiTheme="minorHAnsi"/>
          <w:spacing w:val="1"/>
        </w:rPr>
        <w:t xml:space="preserve"> </w:t>
      </w:r>
      <w:r w:rsidRPr="0031675F">
        <w:rPr>
          <w:rFonts w:asciiTheme="minorHAnsi" w:hAnsiTheme="minorHAnsi"/>
        </w:rPr>
        <w:t>each</w:t>
      </w:r>
      <w:r w:rsidRPr="0031675F">
        <w:rPr>
          <w:rFonts w:asciiTheme="minorHAnsi" w:hAnsiTheme="minorHAnsi"/>
          <w:spacing w:val="-1"/>
        </w:rPr>
        <w:t xml:space="preserve"> Sarstedt</w:t>
      </w:r>
      <w:r w:rsidRPr="0031675F">
        <w:rPr>
          <w:rFonts w:asciiTheme="minorHAnsi" w:hAnsiTheme="minorHAnsi"/>
        </w:rPr>
        <w:t xml:space="preserve"> vial</w:t>
      </w:r>
      <w:r w:rsidRPr="0031675F">
        <w:rPr>
          <w:rFonts w:asciiTheme="minorHAnsi" w:hAnsiTheme="minorHAnsi"/>
          <w:spacing w:val="-1"/>
        </w:rPr>
        <w:t xml:space="preserve"> for</w:t>
      </w:r>
      <w:r w:rsidRPr="0031675F">
        <w:rPr>
          <w:rFonts w:asciiTheme="minorHAnsi" w:hAnsiTheme="minorHAnsi"/>
        </w:rPr>
        <w:t xml:space="preserve"> </w:t>
      </w:r>
      <w:r w:rsidRPr="0031675F">
        <w:rPr>
          <w:rFonts w:asciiTheme="minorHAnsi" w:hAnsiTheme="minorHAnsi"/>
          <w:spacing w:val="-1"/>
        </w:rPr>
        <w:t>digestion,</w:t>
      </w:r>
      <w:r w:rsidRPr="0031675F">
        <w:rPr>
          <w:rFonts w:asciiTheme="minorHAnsi" w:hAnsiTheme="minorHAnsi"/>
        </w:rPr>
        <w:t xml:space="preserve"> </w:t>
      </w:r>
      <w:r w:rsidRPr="0031675F">
        <w:rPr>
          <w:rFonts w:asciiTheme="minorHAnsi" w:hAnsiTheme="minorHAnsi"/>
          <w:spacing w:val="-1"/>
        </w:rPr>
        <w:t>put</w:t>
      </w:r>
      <w:r w:rsidRPr="0031675F">
        <w:rPr>
          <w:rFonts w:asciiTheme="minorHAnsi" w:hAnsiTheme="minorHAnsi"/>
          <w:spacing w:val="3"/>
        </w:rPr>
        <w:t xml:space="preserve"> </w:t>
      </w:r>
      <w:r w:rsidRPr="0031675F">
        <w:rPr>
          <w:rFonts w:asciiTheme="minorHAnsi" w:hAnsiTheme="minorHAnsi"/>
        </w:rPr>
        <w:t>the</w:t>
      </w:r>
      <w:r w:rsidRPr="0031675F">
        <w:rPr>
          <w:rFonts w:asciiTheme="minorHAnsi" w:hAnsiTheme="minorHAnsi"/>
          <w:spacing w:val="3"/>
        </w:rPr>
        <w:t xml:space="preserve"> </w:t>
      </w:r>
      <w:r w:rsidRPr="0031675F">
        <w:rPr>
          <w:rFonts w:asciiTheme="minorHAnsi" w:hAnsiTheme="minorHAnsi"/>
          <w:spacing w:val="-1"/>
        </w:rPr>
        <w:t xml:space="preserve">lid </w:t>
      </w:r>
      <w:r w:rsidRPr="0031675F">
        <w:rPr>
          <w:rFonts w:asciiTheme="minorHAnsi" w:hAnsiTheme="minorHAnsi"/>
        </w:rPr>
        <w:t>on</w:t>
      </w:r>
      <w:r w:rsidRPr="0031675F">
        <w:rPr>
          <w:rFonts w:asciiTheme="minorHAnsi" w:hAnsiTheme="minorHAnsi"/>
          <w:spacing w:val="-1"/>
        </w:rPr>
        <w:t xml:space="preserve"> tightly</w:t>
      </w:r>
      <w:r w:rsidRPr="0031675F">
        <w:rPr>
          <w:rFonts w:asciiTheme="minorHAnsi" w:hAnsiTheme="minorHAnsi"/>
          <w:spacing w:val="59"/>
        </w:rPr>
        <w:t xml:space="preserve"> </w:t>
      </w:r>
      <w:r w:rsidRPr="0031675F">
        <w:rPr>
          <w:rFonts w:asciiTheme="minorHAnsi" w:hAnsiTheme="minorHAnsi"/>
          <w:spacing w:val="-1"/>
        </w:rPr>
        <w:t>and</w:t>
      </w:r>
      <w:r w:rsidRPr="0031675F">
        <w:rPr>
          <w:rFonts w:asciiTheme="minorHAnsi" w:hAnsiTheme="minorHAnsi"/>
          <w:spacing w:val="37"/>
        </w:rPr>
        <w:t xml:space="preserve"> </w:t>
      </w:r>
      <w:r w:rsidRPr="0031675F">
        <w:rPr>
          <w:rFonts w:asciiTheme="minorHAnsi" w:hAnsiTheme="minorHAnsi"/>
        </w:rPr>
        <w:t>mix</w:t>
      </w:r>
      <w:r w:rsidRPr="0031675F">
        <w:rPr>
          <w:rFonts w:asciiTheme="minorHAnsi" w:hAnsiTheme="minorHAnsi"/>
          <w:spacing w:val="38"/>
        </w:rPr>
        <w:t xml:space="preserve"> </w:t>
      </w:r>
      <w:r w:rsidRPr="0031675F">
        <w:rPr>
          <w:rFonts w:asciiTheme="minorHAnsi" w:hAnsiTheme="minorHAnsi"/>
        </w:rPr>
        <w:t>well</w:t>
      </w:r>
      <w:r w:rsidRPr="0031675F">
        <w:rPr>
          <w:rFonts w:asciiTheme="minorHAnsi" w:hAnsiTheme="minorHAnsi"/>
          <w:spacing w:val="38"/>
        </w:rPr>
        <w:t xml:space="preserve"> </w:t>
      </w:r>
      <w:r w:rsidRPr="0031675F">
        <w:rPr>
          <w:rFonts w:asciiTheme="minorHAnsi" w:hAnsiTheme="minorHAnsi"/>
          <w:spacing w:val="-1"/>
        </w:rPr>
        <w:t>using</w:t>
      </w:r>
      <w:r w:rsidRPr="0031675F">
        <w:rPr>
          <w:rFonts w:asciiTheme="minorHAnsi" w:hAnsiTheme="minorHAnsi"/>
          <w:spacing w:val="37"/>
        </w:rPr>
        <w:t xml:space="preserve"> </w:t>
      </w:r>
      <w:r w:rsidRPr="0031675F">
        <w:rPr>
          <w:rFonts w:asciiTheme="minorHAnsi" w:hAnsiTheme="minorHAnsi"/>
          <w:spacing w:val="-1"/>
        </w:rPr>
        <w:t>vortex</w:t>
      </w:r>
      <w:r w:rsidRPr="0031675F">
        <w:rPr>
          <w:rFonts w:asciiTheme="minorHAnsi" w:hAnsiTheme="minorHAnsi"/>
          <w:spacing w:val="37"/>
        </w:rPr>
        <w:t xml:space="preserve"> </w:t>
      </w:r>
      <w:r w:rsidRPr="0031675F">
        <w:rPr>
          <w:rFonts w:asciiTheme="minorHAnsi" w:hAnsiTheme="minorHAnsi"/>
          <w:spacing w:val="-1"/>
        </w:rPr>
        <w:t>equipment.</w:t>
      </w:r>
      <w:r w:rsidRPr="0031675F">
        <w:rPr>
          <w:rFonts w:asciiTheme="minorHAnsi" w:hAnsiTheme="minorHAnsi"/>
          <w:spacing w:val="38"/>
        </w:rPr>
        <w:t xml:space="preserve"> </w:t>
      </w:r>
      <w:r w:rsidRPr="0031675F">
        <w:rPr>
          <w:rFonts w:asciiTheme="minorHAnsi" w:hAnsiTheme="minorHAnsi"/>
          <w:spacing w:val="-1"/>
        </w:rPr>
        <w:t>Loosen</w:t>
      </w:r>
      <w:r w:rsidRPr="0031675F">
        <w:rPr>
          <w:rFonts w:asciiTheme="minorHAnsi" w:hAnsiTheme="minorHAnsi"/>
          <w:spacing w:val="38"/>
        </w:rPr>
        <w:t xml:space="preserve"> </w:t>
      </w:r>
      <w:r w:rsidRPr="0031675F">
        <w:rPr>
          <w:rFonts w:asciiTheme="minorHAnsi" w:hAnsiTheme="minorHAnsi"/>
        </w:rPr>
        <w:t>vial</w:t>
      </w:r>
      <w:r w:rsidRPr="0031675F">
        <w:rPr>
          <w:rFonts w:asciiTheme="minorHAnsi" w:hAnsiTheme="minorHAnsi"/>
          <w:spacing w:val="37"/>
        </w:rPr>
        <w:t xml:space="preserve"> </w:t>
      </w:r>
      <w:r w:rsidRPr="0031675F">
        <w:rPr>
          <w:rFonts w:asciiTheme="minorHAnsi" w:hAnsiTheme="minorHAnsi"/>
          <w:spacing w:val="-1"/>
        </w:rPr>
        <w:t>lid</w:t>
      </w:r>
      <w:r w:rsidRPr="0031675F">
        <w:rPr>
          <w:rFonts w:asciiTheme="minorHAnsi" w:hAnsiTheme="minorHAnsi"/>
          <w:spacing w:val="38"/>
        </w:rPr>
        <w:t xml:space="preserve"> </w:t>
      </w:r>
      <w:r w:rsidRPr="0031675F">
        <w:rPr>
          <w:rFonts w:asciiTheme="minorHAnsi" w:hAnsiTheme="minorHAnsi"/>
          <w:spacing w:val="-1"/>
        </w:rPr>
        <w:t>by</w:t>
      </w:r>
      <w:r w:rsidRPr="0031675F">
        <w:rPr>
          <w:rFonts w:asciiTheme="minorHAnsi" w:hAnsiTheme="minorHAnsi"/>
          <w:spacing w:val="39"/>
        </w:rPr>
        <w:t xml:space="preserve"> </w:t>
      </w:r>
      <w:r w:rsidRPr="0031675F">
        <w:rPr>
          <w:rFonts w:asciiTheme="minorHAnsi" w:hAnsiTheme="minorHAnsi"/>
          <w:spacing w:val="-1"/>
        </w:rPr>
        <w:t>half</w:t>
      </w:r>
      <w:r w:rsidRPr="0031675F">
        <w:rPr>
          <w:rFonts w:asciiTheme="minorHAnsi" w:hAnsiTheme="minorHAnsi"/>
          <w:spacing w:val="37"/>
        </w:rPr>
        <w:t xml:space="preserve"> </w:t>
      </w:r>
      <w:r w:rsidRPr="0031675F">
        <w:rPr>
          <w:rFonts w:asciiTheme="minorHAnsi" w:hAnsiTheme="minorHAnsi"/>
        </w:rPr>
        <w:t>a</w:t>
      </w:r>
      <w:r w:rsidRPr="0031675F">
        <w:rPr>
          <w:rFonts w:asciiTheme="minorHAnsi" w:hAnsiTheme="minorHAnsi"/>
          <w:spacing w:val="38"/>
        </w:rPr>
        <w:t xml:space="preserve"> </w:t>
      </w:r>
      <w:r w:rsidRPr="0031675F">
        <w:rPr>
          <w:rFonts w:asciiTheme="minorHAnsi" w:hAnsiTheme="minorHAnsi"/>
        </w:rPr>
        <w:t>turn</w:t>
      </w:r>
      <w:r w:rsidRPr="0031675F">
        <w:rPr>
          <w:rFonts w:asciiTheme="minorHAnsi" w:hAnsiTheme="minorHAnsi"/>
          <w:spacing w:val="40"/>
        </w:rPr>
        <w:t xml:space="preserve"> </w:t>
      </w:r>
      <w:r w:rsidRPr="0031675F">
        <w:rPr>
          <w:rFonts w:asciiTheme="minorHAnsi" w:hAnsiTheme="minorHAnsi"/>
          <w:spacing w:val="-1"/>
        </w:rPr>
        <w:t>back</w:t>
      </w:r>
      <w:r w:rsidRPr="0031675F">
        <w:rPr>
          <w:rFonts w:asciiTheme="minorHAnsi" w:hAnsiTheme="minorHAnsi"/>
          <w:spacing w:val="39"/>
        </w:rPr>
        <w:t xml:space="preserve"> </w:t>
      </w:r>
      <w:r w:rsidRPr="0031675F">
        <w:rPr>
          <w:rFonts w:asciiTheme="minorHAnsi" w:hAnsiTheme="minorHAnsi"/>
          <w:spacing w:val="-1"/>
        </w:rPr>
        <w:t>and</w:t>
      </w:r>
      <w:r w:rsidRPr="0031675F">
        <w:rPr>
          <w:rFonts w:asciiTheme="minorHAnsi" w:hAnsiTheme="minorHAnsi"/>
          <w:spacing w:val="37"/>
        </w:rPr>
        <w:t xml:space="preserve"> </w:t>
      </w:r>
      <w:r w:rsidRPr="0031675F">
        <w:rPr>
          <w:rFonts w:asciiTheme="minorHAnsi" w:hAnsiTheme="minorHAnsi"/>
          <w:spacing w:val="-1"/>
        </w:rPr>
        <w:t>place</w:t>
      </w:r>
      <w:r w:rsidRPr="0031675F">
        <w:rPr>
          <w:rFonts w:asciiTheme="minorHAnsi" w:hAnsiTheme="minorHAnsi"/>
          <w:spacing w:val="38"/>
        </w:rPr>
        <w:t xml:space="preserve"> </w:t>
      </w:r>
      <w:r w:rsidRPr="0031675F">
        <w:rPr>
          <w:rFonts w:asciiTheme="minorHAnsi" w:hAnsiTheme="minorHAnsi"/>
        </w:rPr>
        <w:t>vial</w:t>
      </w:r>
      <w:r w:rsidRPr="0031675F">
        <w:rPr>
          <w:rFonts w:asciiTheme="minorHAnsi" w:hAnsiTheme="minorHAnsi"/>
          <w:spacing w:val="38"/>
        </w:rPr>
        <w:t xml:space="preserve"> </w:t>
      </w:r>
      <w:r w:rsidRPr="0031675F">
        <w:rPr>
          <w:rFonts w:asciiTheme="minorHAnsi" w:hAnsiTheme="minorHAnsi"/>
          <w:spacing w:val="-1"/>
        </w:rPr>
        <w:t>into</w:t>
      </w:r>
      <w:r w:rsidRPr="0031675F">
        <w:rPr>
          <w:rFonts w:asciiTheme="minorHAnsi" w:hAnsiTheme="minorHAnsi"/>
          <w:spacing w:val="63"/>
        </w:rPr>
        <w:t xml:space="preserve"> </w:t>
      </w:r>
      <w:r w:rsidRPr="0031675F">
        <w:rPr>
          <w:rFonts w:asciiTheme="minorHAnsi" w:hAnsiTheme="minorHAnsi"/>
          <w:spacing w:val="-1"/>
        </w:rPr>
        <w:t>digestion rack</w:t>
      </w:r>
      <w:r w:rsidRPr="0031675F">
        <w:rPr>
          <w:rFonts w:asciiTheme="minorHAnsi" w:hAnsiTheme="minorHAnsi"/>
          <w:spacing w:val="1"/>
        </w:rPr>
        <w:t xml:space="preserve"> </w:t>
      </w:r>
      <w:r w:rsidRPr="0031675F">
        <w:rPr>
          <w:rFonts w:asciiTheme="minorHAnsi" w:hAnsiTheme="minorHAnsi"/>
          <w:spacing w:val="-1"/>
        </w:rPr>
        <w:t>for</w:t>
      </w:r>
      <w:r w:rsidRPr="0031675F">
        <w:rPr>
          <w:rFonts w:asciiTheme="minorHAnsi" w:hAnsiTheme="minorHAnsi"/>
        </w:rPr>
        <w:t xml:space="preserve"> </w:t>
      </w:r>
      <w:r w:rsidRPr="0031675F">
        <w:rPr>
          <w:rFonts w:asciiTheme="minorHAnsi" w:hAnsiTheme="minorHAnsi"/>
          <w:spacing w:val="-2"/>
        </w:rPr>
        <w:t>the</w:t>
      </w:r>
      <w:r w:rsidRPr="0031675F">
        <w:rPr>
          <w:rFonts w:asciiTheme="minorHAnsi" w:hAnsiTheme="minorHAnsi"/>
        </w:rPr>
        <w:t xml:space="preserve"> </w:t>
      </w:r>
      <w:r w:rsidRPr="0031675F">
        <w:rPr>
          <w:rFonts w:asciiTheme="minorHAnsi" w:hAnsiTheme="minorHAnsi"/>
          <w:spacing w:val="-1"/>
        </w:rPr>
        <w:t>autoclave</w:t>
      </w:r>
    </w:p>
    <w:p w14:paraId="33459BE0" w14:textId="77777777" w:rsidR="0031675F" w:rsidRPr="0031675F" w:rsidRDefault="0031675F" w:rsidP="0031675F">
      <w:pPr>
        <w:widowControl w:val="0"/>
        <w:numPr>
          <w:ilvl w:val="0"/>
          <w:numId w:val="123"/>
        </w:numPr>
        <w:tabs>
          <w:tab w:val="left" w:pos="369"/>
        </w:tabs>
        <w:spacing w:before="0" w:after="0" w:line="240" w:lineRule="auto"/>
        <w:ind w:left="368" w:hanging="230"/>
        <w:rPr>
          <w:rFonts w:asciiTheme="minorHAnsi" w:hAnsiTheme="minorHAnsi"/>
        </w:rPr>
      </w:pPr>
      <w:r w:rsidRPr="0031675F">
        <w:rPr>
          <w:rFonts w:asciiTheme="minorHAnsi" w:hAnsiTheme="minorHAnsi"/>
          <w:spacing w:val="-1"/>
        </w:rPr>
        <w:t>Insert</w:t>
      </w:r>
      <w:r w:rsidRPr="0031675F">
        <w:rPr>
          <w:rFonts w:asciiTheme="minorHAnsi" w:hAnsiTheme="minorHAnsi"/>
        </w:rPr>
        <w:t xml:space="preserve"> </w:t>
      </w:r>
      <w:r w:rsidRPr="0031675F">
        <w:rPr>
          <w:rFonts w:asciiTheme="minorHAnsi" w:hAnsiTheme="minorHAnsi"/>
          <w:spacing w:val="-1"/>
        </w:rPr>
        <w:t xml:space="preserve">samples into autoclave </w:t>
      </w:r>
      <w:r w:rsidRPr="0031675F">
        <w:rPr>
          <w:rFonts w:asciiTheme="minorHAnsi" w:hAnsiTheme="minorHAnsi"/>
        </w:rPr>
        <w:t>and</w:t>
      </w:r>
      <w:r w:rsidRPr="0031675F">
        <w:rPr>
          <w:rFonts w:asciiTheme="minorHAnsi" w:hAnsiTheme="minorHAnsi"/>
          <w:spacing w:val="-2"/>
        </w:rPr>
        <w:t xml:space="preserve"> </w:t>
      </w:r>
      <w:r w:rsidRPr="0031675F">
        <w:rPr>
          <w:rFonts w:asciiTheme="minorHAnsi" w:hAnsiTheme="minorHAnsi"/>
          <w:spacing w:val="-1"/>
        </w:rPr>
        <w:t>program</w:t>
      </w:r>
      <w:r w:rsidRPr="0031675F">
        <w:rPr>
          <w:rFonts w:asciiTheme="minorHAnsi" w:hAnsiTheme="minorHAnsi"/>
          <w:spacing w:val="1"/>
        </w:rPr>
        <w:t xml:space="preserve"> </w:t>
      </w:r>
      <w:r w:rsidRPr="0031675F">
        <w:rPr>
          <w:rFonts w:asciiTheme="minorHAnsi" w:hAnsiTheme="minorHAnsi"/>
          <w:spacing w:val="-1"/>
        </w:rPr>
        <w:t>autoclave</w:t>
      </w:r>
      <w:r w:rsidRPr="0031675F">
        <w:rPr>
          <w:rFonts w:asciiTheme="minorHAnsi" w:hAnsiTheme="minorHAnsi"/>
        </w:rPr>
        <w:t xml:space="preserve"> </w:t>
      </w:r>
      <w:r w:rsidRPr="0031675F">
        <w:rPr>
          <w:rFonts w:asciiTheme="minorHAnsi" w:hAnsiTheme="minorHAnsi"/>
          <w:spacing w:val="-2"/>
        </w:rPr>
        <w:t>cycle</w:t>
      </w:r>
      <w:r w:rsidRPr="0031675F">
        <w:rPr>
          <w:rFonts w:asciiTheme="minorHAnsi" w:hAnsiTheme="minorHAnsi"/>
        </w:rPr>
        <w:t xml:space="preserve"> as </w:t>
      </w:r>
      <w:r w:rsidRPr="0031675F">
        <w:rPr>
          <w:rFonts w:asciiTheme="minorHAnsi" w:hAnsiTheme="minorHAnsi"/>
          <w:spacing w:val="-1"/>
        </w:rPr>
        <w:t>detailed</w:t>
      </w:r>
      <w:r w:rsidRPr="0031675F">
        <w:rPr>
          <w:rFonts w:asciiTheme="minorHAnsi" w:hAnsiTheme="minorHAnsi"/>
        </w:rPr>
        <w:t xml:space="preserve"> in</w:t>
      </w:r>
      <w:r w:rsidRPr="0031675F">
        <w:rPr>
          <w:rFonts w:asciiTheme="minorHAnsi" w:hAnsiTheme="minorHAnsi"/>
          <w:spacing w:val="3"/>
        </w:rPr>
        <w:t xml:space="preserve"> </w:t>
      </w:r>
      <w:r w:rsidRPr="0031675F">
        <w:rPr>
          <w:rFonts w:asciiTheme="minorHAnsi" w:hAnsiTheme="minorHAnsi"/>
          <w:spacing w:val="-1"/>
        </w:rPr>
        <w:t>Attachment</w:t>
      </w:r>
      <w:r w:rsidRPr="0031675F">
        <w:rPr>
          <w:rFonts w:asciiTheme="minorHAnsi" w:hAnsiTheme="minorHAnsi"/>
          <w:spacing w:val="-3"/>
        </w:rPr>
        <w:t xml:space="preserve"> </w:t>
      </w:r>
      <w:r w:rsidRPr="0031675F">
        <w:rPr>
          <w:rFonts w:asciiTheme="minorHAnsi" w:hAnsiTheme="minorHAnsi"/>
          <w:spacing w:val="-1"/>
        </w:rPr>
        <w:t>3.1.</w:t>
      </w:r>
    </w:p>
    <w:p w14:paraId="1079B785" w14:textId="77777777" w:rsidR="0031675F" w:rsidRPr="0031675F" w:rsidRDefault="0031675F" w:rsidP="0031675F">
      <w:pPr>
        <w:widowControl w:val="0"/>
        <w:numPr>
          <w:ilvl w:val="0"/>
          <w:numId w:val="123"/>
        </w:numPr>
        <w:tabs>
          <w:tab w:val="left" w:pos="369"/>
        </w:tabs>
        <w:spacing w:before="0" w:after="0" w:line="240" w:lineRule="auto"/>
        <w:ind w:left="368" w:hanging="230"/>
        <w:rPr>
          <w:rFonts w:asciiTheme="minorHAnsi" w:hAnsiTheme="minorHAnsi"/>
        </w:rPr>
      </w:pPr>
      <w:r w:rsidRPr="0031675F">
        <w:rPr>
          <w:rFonts w:asciiTheme="minorHAnsi" w:hAnsiTheme="minorHAnsi"/>
          <w:spacing w:val="-1"/>
        </w:rPr>
        <w:t>Let</w:t>
      </w:r>
      <w:r w:rsidRPr="0031675F">
        <w:rPr>
          <w:rFonts w:asciiTheme="minorHAnsi" w:hAnsiTheme="minorHAnsi"/>
          <w:spacing w:val="-2"/>
        </w:rPr>
        <w:t xml:space="preserve"> </w:t>
      </w:r>
      <w:r w:rsidRPr="0031675F">
        <w:rPr>
          <w:rFonts w:asciiTheme="minorHAnsi" w:hAnsiTheme="minorHAnsi"/>
          <w:spacing w:val="-1"/>
        </w:rPr>
        <w:t>samples</w:t>
      </w:r>
      <w:r w:rsidRPr="0031675F">
        <w:rPr>
          <w:rFonts w:asciiTheme="minorHAnsi" w:hAnsiTheme="minorHAnsi"/>
        </w:rPr>
        <w:t xml:space="preserve"> cool </w:t>
      </w:r>
      <w:r w:rsidRPr="0031675F">
        <w:rPr>
          <w:rFonts w:asciiTheme="minorHAnsi" w:hAnsiTheme="minorHAnsi"/>
          <w:spacing w:val="-1"/>
        </w:rPr>
        <w:t>before</w:t>
      </w:r>
      <w:r w:rsidRPr="0031675F">
        <w:rPr>
          <w:rFonts w:asciiTheme="minorHAnsi" w:hAnsiTheme="minorHAnsi"/>
        </w:rPr>
        <w:t xml:space="preserve"> </w:t>
      </w:r>
      <w:r w:rsidRPr="0031675F">
        <w:rPr>
          <w:rFonts w:asciiTheme="minorHAnsi" w:hAnsiTheme="minorHAnsi"/>
          <w:spacing w:val="-1"/>
        </w:rPr>
        <w:t>analyzing or freeze for later analysis.</w:t>
      </w:r>
    </w:p>
    <w:p w14:paraId="2882264F" w14:textId="77777777" w:rsidR="0031675F" w:rsidRPr="0031675F" w:rsidRDefault="0031675F" w:rsidP="0031675F">
      <w:pPr>
        <w:rPr>
          <w:rFonts w:asciiTheme="minorHAnsi" w:hAnsiTheme="minorHAnsi" w:cs="Calibri"/>
        </w:rPr>
      </w:pPr>
    </w:p>
    <w:p w14:paraId="240478FF" w14:textId="77777777" w:rsidR="0031675F" w:rsidRPr="0031675F" w:rsidRDefault="0031675F" w:rsidP="0031675F">
      <w:pPr>
        <w:ind w:left="138"/>
        <w:rPr>
          <w:rFonts w:asciiTheme="minorHAnsi" w:hAnsiTheme="minorHAnsi" w:cs="Calibri"/>
        </w:rPr>
      </w:pPr>
      <w:r w:rsidRPr="0031675F">
        <w:rPr>
          <w:rFonts w:asciiTheme="minorHAnsi" w:hAnsiTheme="minorHAnsi"/>
          <w:b/>
          <w:i/>
          <w:spacing w:val="-1"/>
          <w:u w:val="single" w:color="000000"/>
        </w:rPr>
        <w:t>Autoclave</w:t>
      </w:r>
      <w:r w:rsidRPr="0031675F">
        <w:rPr>
          <w:rFonts w:asciiTheme="minorHAnsi" w:hAnsiTheme="minorHAnsi"/>
          <w:b/>
          <w:i/>
          <w:spacing w:val="-4"/>
          <w:u w:val="single" w:color="000000"/>
        </w:rPr>
        <w:t xml:space="preserve"> </w:t>
      </w:r>
      <w:r w:rsidRPr="0031675F">
        <w:rPr>
          <w:rFonts w:asciiTheme="minorHAnsi" w:hAnsiTheme="minorHAnsi"/>
          <w:b/>
          <w:i/>
          <w:u w:val="single" w:color="000000"/>
        </w:rPr>
        <w:t>use</w:t>
      </w:r>
    </w:p>
    <w:p w14:paraId="5AA28F60" w14:textId="77777777" w:rsidR="0031675F" w:rsidRPr="0031675F" w:rsidRDefault="0031675F" w:rsidP="0031675F">
      <w:pPr>
        <w:widowControl w:val="0"/>
        <w:numPr>
          <w:ilvl w:val="0"/>
          <w:numId w:val="122"/>
        </w:numPr>
        <w:tabs>
          <w:tab w:val="left" w:pos="439"/>
        </w:tabs>
        <w:spacing w:before="1" w:after="0" w:line="240" w:lineRule="auto"/>
        <w:ind w:right="110" w:hanging="489"/>
        <w:jc w:val="both"/>
        <w:rPr>
          <w:rFonts w:asciiTheme="minorHAnsi" w:hAnsiTheme="minorHAnsi"/>
        </w:rPr>
      </w:pPr>
      <w:r w:rsidRPr="0031675F">
        <w:rPr>
          <w:rFonts w:asciiTheme="minorHAnsi" w:hAnsiTheme="minorHAnsi"/>
          <w:spacing w:val="-1"/>
        </w:rPr>
        <w:t>For</w:t>
      </w:r>
      <w:r w:rsidRPr="0031675F">
        <w:rPr>
          <w:rFonts w:asciiTheme="minorHAnsi" w:hAnsiTheme="minorHAnsi"/>
          <w:spacing w:val="19"/>
        </w:rPr>
        <w:t xml:space="preserve"> </w:t>
      </w:r>
      <w:r w:rsidRPr="0031675F">
        <w:rPr>
          <w:rFonts w:asciiTheme="minorHAnsi" w:hAnsiTheme="minorHAnsi"/>
          <w:spacing w:val="-1"/>
        </w:rPr>
        <w:t>freshwater</w:t>
      </w:r>
      <w:r w:rsidRPr="0031675F">
        <w:rPr>
          <w:rFonts w:asciiTheme="minorHAnsi" w:hAnsiTheme="minorHAnsi"/>
          <w:spacing w:val="19"/>
        </w:rPr>
        <w:t xml:space="preserve"> </w:t>
      </w:r>
      <w:r w:rsidRPr="0031675F">
        <w:rPr>
          <w:rFonts w:asciiTheme="minorHAnsi" w:hAnsiTheme="minorHAnsi"/>
          <w:spacing w:val="-1"/>
        </w:rPr>
        <w:t>samples</w:t>
      </w:r>
      <w:r w:rsidRPr="0031675F">
        <w:rPr>
          <w:rFonts w:asciiTheme="minorHAnsi" w:hAnsiTheme="minorHAnsi"/>
          <w:spacing w:val="17"/>
        </w:rPr>
        <w:t xml:space="preserve"> </w:t>
      </w:r>
      <w:r w:rsidRPr="0031675F">
        <w:rPr>
          <w:rFonts w:asciiTheme="minorHAnsi" w:hAnsiTheme="minorHAnsi"/>
          <w:spacing w:val="-1"/>
        </w:rPr>
        <w:t>digest</w:t>
      </w:r>
      <w:r w:rsidRPr="0031675F">
        <w:rPr>
          <w:rFonts w:asciiTheme="minorHAnsi" w:hAnsiTheme="minorHAnsi"/>
          <w:spacing w:val="20"/>
        </w:rPr>
        <w:t xml:space="preserve"> </w:t>
      </w:r>
      <w:r w:rsidRPr="0031675F">
        <w:rPr>
          <w:rFonts w:asciiTheme="minorHAnsi" w:hAnsiTheme="minorHAnsi"/>
        </w:rPr>
        <w:t>the</w:t>
      </w:r>
      <w:r w:rsidRPr="0031675F">
        <w:rPr>
          <w:rFonts w:asciiTheme="minorHAnsi" w:hAnsiTheme="minorHAnsi"/>
          <w:spacing w:val="19"/>
        </w:rPr>
        <w:t xml:space="preserve"> </w:t>
      </w:r>
      <w:r w:rsidRPr="0031675F">
        <w:rPr>
          <w:rFonts w:asciiTheme="minorHAnsi" w:hAnsiTheme="minorHAnsi"/>
          <w:spacing w:val="-1"/>
        </w:rPr>
        <w:t>samples,</w:t>
      </w:r>
      <w:r w:rsidRPr="0031675F">
        <w:rPr>
          <w:rFonts w:asciiTheme="minorHAnsi" w:hAnsiTheme="minorHAnsi"/>
          <w:spacing w:val="19"/>
        </w:rPr>
        <w:t xml:space="preserve"> </w:t>
      </w:r>
      <w:r w:rsidRPr="0031675F">
        <w:rPr>
          <w:rFonts w:asciiTheme="minorHAnsi" w:hAnsiTheme="minorHAnsi"/>
          <w:spacing w:val="-1"/>
        </w:rPr>
        <w:t>calibration</w:t>
      </w:r>
      <w:r w:rsidRPr="0031675F">
        <w:rPr>
          <w:rFonts w:asciiTheme="minorHAnsi" w:hAnsiTheme="minorHAnsi"/>
          <w:spacing w:val="18"/>
        </w:rPr>
        <w:t xml:space="preserve"> </w:t>
      </w:r>
      <w:r w:rsidRPr="0031675F">
        <w:rPr>
          <w:rFonts w:asciiTheme="minorHAnsi" w:hAnsiTheme="minorHAnsi"/>
          <w:spacing w:val="-1"/>
        </w:rPr>
        <w:t>standards,</w:t>
      </w:r>
      <w:r w:rsidRPr="0031675F">
        <w:rPr>
          <w:rFonts w:asciiTheme="minorHAnsi" w:hAnsiTheme="minorHAnsi"/>
          <w:spacing w:val="19"/>
        </w:rPr>
        <w:t xml:space="preserve"> </w:t>
      </w:r>
      <w:r w:rsidRPr="0031675F">
        <w:rPr>
          <w:rFonts w:asciiTheme="minorHAnsi" w:hAnsiTheme="minorHAnsi"/>
          <w:spacing w:val="-1"/>
        </w:rPr>
        <w:t>In-House</w:t>
      </w:r>
      <w:r w:rsidRPr="0031675F">
        <w:rPr>
          <w:rFonts w:asciiTheme="minorHAnsi" w:hAnsiTheme="minorHAnsi"/>
          <w:spacing w:val="17"/>
        </w:rPr>
        <w:t xml:space="preserve"> </w:t>
      </w:r>
      <w:r w:rsidRPr="0031675F">
        <w:rPr>
          <w:rFonts w:asciiTheme="minorHAnsi" w:hAnsiTheme="minorHAnsi"/>
          <w:spacing w:val="-1"/>
        </w:rPr>
        <w:t>Reference</w:t>
      </w:r>
      <w:r w:rsidRPr="0031675F">
        <w:rPr>
          <w:rFonts w:asciiTheme="minorHAnsi" w:hAnsiTheme="minorHAnsi"/>
          <w:spacing w:val="20"/>
        </w:rPr>
        <w:t xml:space="preserve"> </w:t>
      </w:r>
      <w:r w:rsidRPr="0031675F">
        <w:rPr>
          <w:rFonts w:asciiTheme="minorHAnsi" w:hAnsiTheme="minorHAnsi"/>
          <w:spacing w:val="-1"/>
        </w:rPr>
        <w:t>Materials</w:t>
      </w:r>
      <w:r w:rsidRPr="0031675F">
        <w:rPr>
          <w:rFonts w:asciiTheme="minorHAnsi" w:hAnsiTheme="minorHAnsi"/>
          <w:spacing w:val="81"/>
        </w:rPr>
        <w:t xml:space="preserve"> </w:t>
      </w:r>
      <w:r w:rsidRPr="0031675F">
        <w:rPr>
          <w:rFonts w:asciiTheme="minorHAnsi" w:hAnsiTheme="minorHAnsi"/>
          <w:spacing w:val="-1"/>
        </w:rPr>
        <w:t>and</w:t>
      </w:r>
      <w:r w:rsidRPr="0031675F">
        <w:rPr>
          <w:rFonts w:asciiTheme="minorHAnsi" w:hAnsiTheme="minorHAnsi"/>
          <w:spacing w:val="39"/>
        </w:rPr>
        <w:t xml:space="preserve"> </w:t>
      </w:r>
      <w:r w:rsidRPr="0031675F">
        <w:rPr>
          <w:rFonts w:asciiTheme="minorHAnsi" w:hAnsiTheme="minorHAnsi"/>
          <w:spacing w:val="-1"/>
        </w:rPr>
        <w:t>Certified</w:t>
      </w:r>
      <w:r w:rsidRPr="0031675F">
        <w:rPr>
          <w:rFonts w:asciiTheme="minorHAnsi" w:hAnsiTheme="minorHAnsi"/>
          <w:spacing w:val="41"/>
        </w:rPr>
        <w:t xml:space="preserve"> </w:t>
      </w:r>
      <w:r w:rsidRPr="0031675F">
        <w:rPr>
          <w:rFonts w:asciiTheme="minorHAnsi" w:hAnsiTheme="minorHAnsi"/>
          <w:spacing w:val="-1"/>
        </w:rPr>
        <w:t>Reference</w:t>
      </w:r>
      <w:r w:rsidRPr="0031675F">
        <w:rPr>
          <w:rFonts w:asciiTheme="minorHAnsi" w:hAnsiTheme="minorHAnsi"/>
          <w:spacing w:val="39"/>
        </w:rPr>
        <w:t xml:space="preserve"> </w:t>
      </w:r>
      <w:r w:rsidRPr="0031675F">
        <w:rPr>
          <w:rFonts w:asciiTheme="minorHAnsi" w:hAnsiTheme="minorHAnsi"/>
          <w:spacing w:val="-1"/>
        </w:rPr>
        <w:t>Materials</w:t>
      </w:r>
      <w:r w:rsidRPr="0031675F">
        <w:rPr>
          <w:rFonts w:asciiTheme="minorHAnsi" w:hAnsiTheme="minorHAnsi"/>
          <w:spacing w:val="40"/>
        </w:rPr>
        <w:t xml:space="preserve"> </w:t>
      </w:r>
      <w:r w:rsidRPr="0031675F">
        <w:rPr>
          <w:rFonts w:asciiTheme="minorHAnsi" w:hAnsiTheme="minorHAnsi"/>
        </w:rPr>
        <w:t>in</w:t>
      </w:r>
      <w:r w:rsidRPr="0031675F">
        <w:rPr>
          <w:rFonts w:asciiTheme="minorHAnsi" w:hAnsiTheme="minorHAnsi"/>
          <w:spacing w:val="40"/>
        </w:rPr>
        <w:t xml:space="preserve"> </w:t>
      </w:r>
      <w:r w:rsidRPr="0031675F">
        <w:rPr>
          <w:rFonts w:asciiTheme="minorHAnsi" w:hAnsiTheme="minorHAnsi"/>
        </w:rPr>
        <w:t>the</w:t>
      </w:r>
      <w:r w:rsidRPr="0031675F">
        <w:rPr>
          <w:rFonts w:asciiTheme="minorHAnsi" w:hAnsiTheme="minorHAnsi"/>
          <w:spacing w:val="41"/>
        </w:rPr>
        <w:t xml:space="preserve"> </w:t>
      </w:r>
      <w:r w:rsidRPr="0031675F">
        <w:rPr>
          <w:rFonts w:asciiTheme="minorHAnsi" w:hAnsiTheme="minorHAnsi"/>
          <w:spacing w:val="-1"/>
        </w:rPr>
        <w:t>autoclave</w:t>
      </w:r>
      <w:r w:rsidRPr="0031675F">
        <w:rPr>
          <w:rFonts w:asciiTheme="minorHAnsi" w:hAnsiTheme="minorHAnsi"/>
          <w:spacing w:val="39"/>
        </w:rPr>
        <w:t xml:space="preserve"> </w:t>
      </w:r>
      <w:r w:rsidRPr="0031675F">
        <w:rPr>
          <w:rFonts w:asciiTheme="minorHAnsi" w:hAnsiTheme="minorHAnsi"/>
        </w:rPr>
        <w:t>at</w:t>
      </w:r>
      <w:r w:rsidRPr="0031675F">
        <w:rPr>
          <w:rFonts w:asciiTheme="minorHAnsi" w:hAnsiTheme="minorHAnsi"/>
          <w:spacing w:val="40"/>
        </w:rPr>
        <w:t xml:space="preserve"> </w:t>
      </w:r>
      <w:r w:rsidRPr="0031675F">
        <w:rPr>
          <w:rFonts w:asciiTheme="minorHAnsi" w:hAnsiTheme="minorHAnsi"/>
          <w:spacing w:val="-1"/>
        </w:rPr>
        <w:t>121°C</w:t>
      </w:r>
      <w:r w:rsidRPr="0031675F">
        <w:rPr>
          <w:rFonts w:asciiTheme="minorHAnsi" w:hAnsiTheme="minorHAnsi"/>
          <w:spacing w:val="41"/>
        </w:rPr>
        <w:t xml:space="preserve"> </w:t>
      </w:r>
      <w:r w:rsidRPr="0031675F">
        <w:rPr>
          <w:rFonts w:asciiTheme="minorHAnsi" w:hAnsiTheme="minorHAnsi"/>
          <w:spacing w:val="-1"/>
        </w:rPr>
        <w:t>for</w:t>
      </w:r>
      <w:r w:rsidRPr="0031675F">
        <w:rPr>
          <w:rFonts w:asciiTheme="minorHAnsi" w:hAnsiTheme="minorHAnsi"/>
          <w:spacing w:val="41"/>
        </w:rPr>
        <w:t xml:space="preserve"> </w:t>
      </w:r>
      <w:r w:rsidRPr="0031675F">
        <w:rPr>
          <w:rFonts w:asciiTheme="minorHAnsi" w:hAnsiTheme="minorHAnsi"/>
        </w:rPr>
        <w:t>a</w:t>
      </w:r>
      <w:r w:rsidRPr="0031675F">
        <w:rPr>
          <w:rFonts w:asciiTheme="minorHAnsi" w:hAnsiTheme="minorHAnsi"/>
          <w:spacing w:val="40"/>
        </w:rPr>
        <w:t xml:space="preserve"> </w:t>
      </w:r>
      <w:r w:rsidRPr="0031675F">
        <w:rPr>
          <w:rFonts w:asciiTheme="minorHAnsi" w:hAnsiTheme="minorHAnsi"/>
          <w:spacing w:val="-1"/>
        </w:rPr>
        <w:t>continuous</w:t>
      </w:r>
      <w:r w:rsidRPr="0031675F">
        <w:rPr>
          <w:rFonts w:asciiTheme="minorHAnsi" w:hAnsiTheme="minorHAnsi"/>
          <w:spacing w:val="41"/>
        </w:rPr>
        <w:t xml:space="preserve"> </w:t>
      </w:r>
      <w:r w:rsidRPr="0031675F">
        <w:rPr>
          <w:rFonts w:asciiTheme="minorHAnsi" w:hAnsiTheme="minorHAnsi"/>
          <w:spacing w:val="-1"/>
        </w:rPr>
        <w:t>period</w:t>
      </w:r>
      <w:r w:rsidRPr="0031675F">
        <w:rPr>
          <w:rFonts w:asciiTheme="minorHAnsi" w:hAnsiTheme="minorHAnsi"/>
          <w:spacing w:val="40"/>
        </w:rPr>
        <w:t xml:space="preserve"> </w:t>
      </w:r>
      <w:r w:rsidRPr="0031675F">
        <w:rPr>
          <w:rFonts w:asciiTheme="minorHAnsi" w:hAnsiTheme="minorHAnsi"/>
          <w:spacing w:val="-1"/>
        </w:rPr>
        <w:t>of</w:t>
      </w:r>
      <w:r w:rsidRPr="0031675F">
        <w:rPr>
          <w:rFonts w:asciiTheme="minorHAnsi" w:hAnsiTheme="minorHAnsi"/>
          <w:spacing w:val="41"/>
        </w:rPr>
        <w:t xml:space="preserve"> </w:t>
      </w:r>
      <w:r w:rsidRPr="0031675F">
        <w:rPr>
          <w:rFonts w:asciiTheme="minorHAnsi" w:hAnsiTheme="minorHAnsi"/>
          <w:spacing w:val="-1"/>
        </w:rPr>
        <w:t>70</w:t>
      </w:r>
      <w:r w:rsidRPr="0031675F">
        <w:rPr>
          <w:rFonts w:asciiTheme="minorHAnsi" w:hAnsiTheme="minorHAnsi"/>
          <w:spacing w:val="55"/>
        </w:rPr>
        <w:t xml:space="preserve"> </w:t>
      </w:r>
      <w:r w:rsidRPr="0031675F">
        <w:rPr>
          <w:rFonts w:asciiTheme="minorHAnsi" w:hAnsiTheme="minorHAnsi"/>
          <w:spacing w:val="-1"/>
        </w:rPr>
        <w:t>minutes</w:t>
      </w:r>
    </w:p>
    <w:p w14:paraId="29632D51" w14:textId="77777777" w:rsidR="0031675F" w:rsidRPr="0031675F" w:rsidRDefault="0031675F" w:rsidP="0031675F">
      <w:pPr>
        <w:widowControl w:val="0"/>
        <w:numPr>
          <w:ilvl w:val="0"/>
          <w:numId w:val="122"/>
        </w:numPr>
        <w:tabs>
          <w:tab w:val="left" w:pos="441"/>
        </w:tabs>
        <w:spacing w:before="0" w:after="0" w:line="240" w:lineRule="auto"/>
        <w:ind w:left="498" w:right="112" w:hanging="360"/>
        <w:jc w:val="both"/>
        <w:rPr>
          <w:rFonts w:asciiTheme="minorHAnsi" w:hAnsiTheme="minorHAnsi"/>
        </w:rPr>
      </w:pPr>
      <w:r w:rsidRPr="0031675F">
        <w:rPr>
          <w:rFonts w:asciiTheme="minorHAnsi" w:hAnsiTheme="minorHAnsi"/>
          <w:spacing w:val="-1"/>
        </w:rPr>
        <w:t>For</w:t>
      </w:r>
      <w:r w:rsidRPr="0031675F">
        <w:rPr>
          <w:rFonts w:asciiTheme="minorHAnsi" w:hAnsiTheme="minorHAnsi"/>
          <w:spacing w:val="22"/>
        </w:rPr>
        <w:t xml:space="preserve"> </w:t>
      </w:r>
      <w:r w:rsidRPr="0031675F">
        <w:rPr>
          <w:rFonts w:asciiTheme="minorHAnsi" w:hAnsiTheme="minorHAnsi"/>
          <w:spacing w:val="-1"/>
        </w:rPr>
        <w:t>saltwater</w:t>
      </w:r>
      <w:r w:rsidRPr="0031675F">
        <w:rPr>
          <w:rFonts w:asciiTheme="minorHAnsi" w:hAnsiTheme="minorHAnsi"/>
          <w:spacing w:val="22"/>
        </w:rPr>
        <w:t xml:space="preserve"> </w:t>
      </w:r>
      <w:r w:rsidRPr="0031675F">
        <w:rPr>
          <w:rFonts w:asciiTheme="minorHAnsi" w:hAnsiTheme="minorHAnsi"/>
          <w:spacing w:val="-1"/>
        </w:rPr>
        <w:t>samples,</w:t>
      </w:r>
      <w:r w:rsidRPr="0031675F">
        <w:rPr>
          <w:rFonts w:asciiTheme="minorHAnsi" w:hAnsiTheme="minorHAnsi"/>
          <w:spacing w:val="22"/>
        </w:rPr>
        <w:t xml:space="preserve"> </w:t>
      </w:r>
      <w:r w:rsidRPr="0031675F">
        <w:rPr>
          <w:rFonts w:asciiTheme="minorHAnsi" w:hAnsiTheme="minorHAnsi"/>
          <w:spacing w:val="-1"/>
        </w:rPr>
        <w:t>digest</w:t>
      </w:r>
      <w:r w:rsidRPr="0031675F">
        <w:rPr>
          <w:rFonts w:asciiTheme="minorHAnsi" w:hAnsiTheme="minorHAnsi"/>
          <w:spacing w:val="23"/>
        </w:rPr>
        <w:t xml:space="preserve"> </w:t>
      </w:r>
      <w:r w:rsidRPr="0031675F">
        <w:rPr>
          <w:rFonts w:asciiTheme="minorHAnsi" w:hAnsiTheme="minorHAnsi"/>
        </w:rPr>
        <w:t>the</w:t>
      </w:r>
      <w:r w:rsidRPr="0031675F">
        <w:rPr>
          <w:rFonts w:asciiTheme="minorHAnsi" w:hAnsiTheme="minorHAnsi"/>
          <w:spacing w:val="22"/>
        </w:rPr>
        <w:t xml:space="preserve"> </w:t>
      </w:r>
      <w:r w:rsidRPr="0031675F">
        <w:rPr>
          <w:rFonts w:asciiTheme="minorHAnsi" w:hAnsiTheme="minorHAnsi"/>
          <w:spacing w:val="-1"/>
        </w:rPr>
        <w:t>calibration</w:t>
      </w:r>
      <w:r w:rsidRPr="0031675F">
        <w:rPr>
          <w:rFonts w:asciiTheme="minorHAnsi" w:hAnsiTheme="minorHAnsi"/>
          <w:spacing w:val="21"/>
        </w:rPr>
        <w:t xml:space="preserve"> </w:t>
      </w:r>
      <w:r w:rsidRPr="0031675F">
        <w:rPr>
          <w:rFonts w:asciiTheme="minorHAnsi" w:hAnsiTheme="minorHAnsi"/>
          <w:spacing w:val="-1"/>
        </w:rPr>
        <w:t>standards,</w:t>
      </w:r>
      <w:r w:rsidRPr="0031675F">
        <w:rPr>
          <w:rFonts w:asciiTheme="minorHAnsi" w:hAnsiTheme="minorHAnsi"/>
          <w:spacing w:val="23"/>
        </w:rPr>
        <w:t xml:space="preserve"> </w:t>
      </w:r>
      <w:r w:rsidRPr="0031675F">
        <w:rPr>
          <w:rFonts w:asciiTheme="minorHAnsi" w:hAnsiTheme="minorHAnsi"/>
          <w:spacing w:val="-1"/>
        </w:rPr>
        <w:t>In-House</w:t>
      </w:r>
      <w:r w:rsidRPr="0031675F">
        <w:rPr>
          <w:rFonts w:asciiTheme="minorHAnsi" w:hAnsiTheme="minorHAnsi"/>
          <w:spacing w:val="23"/>
        </w:rPr>
        <w:t xml:space="preserve"> </w:t>
      </w:r>
      <w:r w:rsidRPr="0031675F">
        <w:rPr>
          <w:rFonts w:asciiTheme="minorHAnsi" w:hAnsiTheme="minorHAnsi"/>
          <w:spacing w:val="-1"/>
        </w:rPr>
        <w:t>Reference</w:t>
      </w:r>
      <w:r w:rsidRPr="0031675F">
        <w:rPr>
          <w:rFonts w:asciiTheme="minorHAnsi" w:hAnsiTheme="minorHAnsi"/>
          <w:spacing w:val="22"/>
        </w:rPr>
        <w:t xml:space="preserve"> </w:t>
      </w:r>
      <w:r w:rsidRPr="0031675F">
        <w:rPr>
          <w:rFonts w:asciiTheme="minorHAnsi" w:hAnsiTheme="minorHAnsi"/>
          <w:spacing w:val="-1"/>
        </w:rPr>
        <w:t>Materials</w:t>
      </w:r>
      <w:r w:rsidRPr="0031675F">
        <w:rPr>
          <w:rFonts w:asciiTheme="minorHAnsi" w:hAnsiTheme="minorHAnsi"/>
          <w:spacing w:val="22"/>
        </w:rPr>
        <w:t xml:space="preserve"> </w:t>
      </w:r>
      <w:r w:rsidRPr="0031675F">
        <w:rPr>
          <w:rFonts w:asciiTheme="minorHAnsi" w:hAnsiTheme="minorHAnsi"/>
          <w:spacing w:val="-1"/>
        </w:rPr>
        <w:t>and</w:t>
      </w:r>
      <w:r w:rsidRPr="0031675F">
        <w:rPr>
          <w:rFonts w:asciiTheme="minorHAnsi" w:hAnsiTheme="minorHAnsi"/>
          <w:spacing w:val="79"/>
        </w:rPr>
        <w:t xml:space="preserve"> </w:t>
      </w:r>
      <w:r w:rsidRPr="0031675F">
        <w:rPr>
          <w:rFonts w:asciiTheme="minorHAnsi" w:hAnsiTheme="minorHAnsi"/>
          <w:spacing w:val="-1"/>
        </w:rPr>
        <w:t>Certified</w:t>
      </w:r>
      <w:r w:rsidRPr="0031675F">
        <w:rPr>
          <w:rFonts w:asciiTheme="minorHAnsi" w:hAnsiTheme="minorHAnsi"/>
          <w:spacing w:val="43"/>
        </w:rPr>
        <w:t xml:space="preserve"> </w:t>
      </w:r>
      <w:r w:rsidRPr="0031675F">
        <w:rPr>
          <w:rFonts w:asciiTheme="minorHAnsi" w:hAnsiTheme="minorHAnsi"/>
          <w:spacing w:val="-1"/>
        </w:rPr>
        <w:t>Reference</w:t>
      </w:r>
      <w:r w:rsidRPr="0031675F">
        <w:rPr>
          <w:rFonts w:asciiTheme="minorHAnsi" w:hAnsiTheme="minorHAnsi"/>
          <w:spacing w:val="44"/>
        </w:rPr>
        <w:t xml:space="preserve"> </w:t>
      </w:r>
      <w:r w:rsidRPr="0031675F">
        <w:rPr>
          <w:rFonts w:asciiTheme="minorHAnsi" w:hAnsiTheme="minorHAnsi"/>
          <w:spacing w:val="-1"/>
        </w:rPr>
        <w:t>Materials</w:t>
      </w:r>
      <w:r w:rsidRPr="0031675F">
        <w:rPr>
          <w:rFonts w:asciiTheme="minorHAnsi" w:hAnsiTheme="minorHAnsi"/>
          <w:spacing w:val="43"/>
        </w:rPr>
        <w:t xml:space="preserve"> </w:t>
      </w:r>
      <w:r w:rsidRPr="0031675F">
        <w:rPr>
          <w:rFonts w:asciiTheme="minorHAnsi" w:hAnsiTheme="minorHAnsi"/>
        </w:rPr>
        <w:t>in</w:t>
      </w:r>
      <w:r w:rsidRPr="0031675F">
        <w:rPr>
          <w:rFonts w:asciiTheme="minorHAnsi" w:hAnsiTheme="minorHAnsi"/>
          <w:spacing w:val="43"/>
        </w:rPr>
        <w:t xml:space="preserve"> </w:t>
      </w:r>
      <w:r w:rsidRPr="0031675F">
        <w:rPr>
          <w:rFonts w:asciiTheme="minorHAnsi" w:hAnsiTheme="minorHAnsi"/>
        </w:rPr>
        <w:t>the</w:t>
      </w:r>
      <w:r w:rsidRPr="0031675F">
        <w:rPr>
          <w:rFonts w:asciiTheme="minorHAnsi" w:hAnsiTheme="minorHAnsi"/>
          <w:spacing w:val="44"/>
        </w:rPr>
        <w:t xml:space="preserve"> </w:t>
      </w:r>
      <w:r w:rsidRPr="0031675F">
        <w:rPr>
          <w:rFonts w:asciiTheme="minorHAnsi" w:hAnsiTheme="minorHAnsi"/>
        </w:rPr>
        <w:t>autoclave</w:t>
      </w:r>
      <w:r w:rsidRPr="0031675F">
        <w:rPr>
          <w:rFonts w:asciiTheme="minorHAnsi" w:hAnsiTheme="minorHAnsi"/>
          <w:spacing w:val="45"/>
        </w:rPr>
        <w:t xml:space="preserve"> </w:t>
      </w:r>
      <w:r w:rsidRPr="0031675F">
        <w:rPr>
          <w:rFonts w:asciiTheme="minorHAnsi" w:hAnsiTheme="minorHAnsi"/>
        </w:rPr>
        <w:t>at</w:t>
      </w:r>
      <w:r w:rsidRPr="0031675F">
        <w:rPr>
          <w:rFonts w:asciiTheme="minorHAnsi" w:hAnsiTheme="minorHAnsi"/>
          <w:spacing w:val="41"/>
        </w:rPr>
        <w:t xml:space="preserve"> </w:t>
      </w:r>
      <w:r w:rsidRPr="0031675F">
        <w:rPr>
          <w:rFonts w:asciiTheme="minorHAnsi" w:hAnsiTheme="minorHAnsi"/>
          <w:spacing w:val="-1"/>
        </w:rPr>
        <w:t>121°C</w:t>
      </w:r>
      <w:r w:rsidRPr="0031675F">
        <w:rPr>
          <w:rFonts w:asciiTheme="minorHAnsi" w:hAnsiTheme="minorHAnsi"/>
          <w:spacing w:val="42"/>
        </w:rPr>
        <w:t xml:space="preserve"> </w:t>
      </w:r>
      <w:r w:rsidRPr="0031675F">
        <w:rPr>
          <w:rFonts w:asciiTheme="minorHAnsi" w:hAnsiTheme="minorHAnsi"/>
          <w:spacing w:val="-1"/>
        </w:rPr>
        <w:t>for</w:t>
      </w:r>
      <w:r w:rsidRPr="0031675F">
        <w:rPr>
          <w:rFonts w:asciiTheme="minorHAnsi" w:hAnsiTheme="minorHAnsi"/>
          <w:spacing w:val="43"/>
        </w:rPr>
        <w:t xml:space="preserve"> </w:t>
      </w:r>
      <w:r w:rsidRPr="0031675F">
        <w:rPr>
          <w:rFonts w:asciiTheme="minorHAnsi" w:hAnsiTheme="minorHAnsi"/>
        </w:rPr>
        <w:t>a</w:t>
      </w:r>
      <w:r w:rsidRPr="0031675F">
        <w:rPr>
          <w:rFonts w:asciiTheme="minorHAnsi" w:hAnsiTheme="minorHAnsi"/>
          <w:spacing w:val="43"/>
        </w:rPr>
        <w:t xml:space="preserve"> </w:t>
      </w:r>
      <w:r w:rsidRPr="0031675F">
        <w:rPr>
          <w:rFonts w:asciiTheme="minorHAnsi" w:hAnsiTheme="minorHAnsi"/>
          <w:spacing w:val="-1"/>
        </w:rPr>
        <w:t>period</w:t>
      </w:r>
      <w:r w:rsidRPr="0031675F">
        <w:rPr>
          <w:rFonts w:asciiTheme="minorHAnsi" w:hAnsiTheme="minorHAnsi"/>
          <w:spacing w:val="42"/>
        </w:rPr>
        <w:t xml:space="preserve"> </w:t>
      </w:r>
      <w:r w:rsidRPr="0031675F">
        <w:rPr>
          <w:rFonts w:asciiTheme="minorHAnsi" w:hAnsiTheme="minorHAnsi"/>
        </w:rPr>
        <w:t>of</w:t>
      </w:r>
      <w:r w:rsidRPr="0031675F">
        <w:rPr>
          <w:rFonts w:asciiTheme="minorHAnsi" w:hAnsiTheme="minorHAnsi"/>
          <w:spacing w:val="43"/>
        </w:rPr>
        <w:t xml:space="preserve"> </w:t>
      </w:r>
      <w:r w:rsidRPr="0031675F">
        <w:rPr>
          <w:rFonts w:asciiTheme="minorHAnsi" w:hAnsiTheme="minorHAnsi"/>
          <w:spacing w:val="-1"/>
        </w:rPr>
        <w:t>70</w:t>
      </w:r>
      <w:r w:rsidRPr="0031675F">
        <w:rPr>
          <w:rFonts w:asciiTheme="minorHAnsi" w:hAnsiTheme="minorHAnsi"/>
          <w:spacing w:val="44"/>
        </w:rPr>
        <w:t xml:space="preserve"> </w:t>
      </w:r>
      <w:r w:rsidRPr="0031675F">
        <w:rPr>
          <w:rFonts w:asciiTheme="minorHAnsi" w:hAnsiTheme="minorHAnsi"/>
          <w:spacing w:val="-1"/>
        </w:rPr>
        <w:t>minutes,</w:t>
      </w:r>
      <w:r w:rsidRPr="0031675F">
        <w:rPr>
          <w:rFonts w:asciiTheme="minorHAnsi" w:hAnsiTheme="minorHAnsi"/>
          <w:spacing w:val="44"/>
        </w:rPr>
        <w:t xml:space="preserve"> </w:t>
      </w:r>
    </w:p>
    <w:p w14:paraId="5CCE554A" w14:textId="77777777" w:rsidR="0031675F" w:rsidRPr="0031675F" w:rsidRDefault="0031675F" w:rsidP="0031675F">
      <w:pPr>
        <w:widowControl w:val="0"/>
        <w:numPr>
          <w:ilvl w:val="0"/>
          <w:numId w:val="122"/>
        </w:numPr>
        <w:tabs>
          <w:tab w:val="left" w:pos="398"/>
        </w:tabs>
        <w:spacing w:before="0" w:after="0" w:line="240" w:lineRule="auto"/>
        <w:ind w:left="498" w:right="115" w:hanging="360"/>
        <w:jc w:val="both"/>
        <w:rPr>
          <w:rFonts w:asciiTheme="minorHAnsi" w:hAnsiTheme="minorHAnsi"/>
        </w:rPr>
      </w:pPr>
      <w:r w:rsidRPr="0031675F">
        <w:rPr>
          <w:rFonts w:asciiTheme="minorHAnsi" w:hAnsiTheme="minorHAnsi"/>
          <w:spacing w:val="-1"/>
        </w:rPr>
        <w:t>For</w:t>
      </w:r>
      <w:r w:rsidRPr="0031675F">
        <w:rPr>
          <w:rFonts w:asciiTheme="minorHAnsi" w:hAnsiTheme="minorHAnsi"/>
          <w:spacing w:val="26"/>
        </w:rPr>
        <w:t xml:space="preserve"> </w:t>
      </w:r>
      <w:r w:rsidRPr="0031675F">
        <w:rPr>
          <w:rFonts w:asciiTheme="minorHAnsi" w:hAnsiTheme="minorHAnsi"/>
          <w:spacing w:val="-1"/>
        </w:rPr>
        <w:t>samples</w:t>
      </w:r>
      <w:r w:rsidRPr="0031675F">
        <w:rPr>
          <w:rFonts w:asciiTheme="minorHAnsi" w:hAnsiTheme="minorHAnsi"/>
          <w:spacing w:val="26"/>
        </w:rPr>
        <w:t xml:space="preserve"> </w:t>
      </w:r>
      <w:r w:rsidRPr="0031675F">
        <w:rPr>
          <w:rFonts w:asciiTheme="minorHAnsi" w:hAnsiTheme="minorHAnsi"/>
        </w:rPr>
        <w:t>of</w:t>
      </w:r>
      <w:r w:rsidRPr="0031675F">
        <w:rPr>
          <w:rFonts w:asciiTheme="minorHAnsi" w:hAnsiTheme="minorHAnsi"/>
          <w:spacing w:val="29"/>
        </w:rPr>
        <w:t xml:space="preserve"> </w:t>
      </w:r>
      <w:r w:rsidRPr="0031675F">
        <w:rPr>
          <w:rFonts w:asciiTheme="minorHAnsi" w:hAnsiTheme="minorHAnsi"/>
          <w:spacing w:val="-1"/>
        </w:rPr>
        <w:t>unknown</w:t>
      </w:r>
      <w:r w:rsidRPr="0031675F">
        <w:rPr>
          <w:rFonts w:asciiTheme="minorHAnsi" w:hAnsiTheme="minorHAnsi"/>
          <w:spacing w:val="27"/>
        </w:rPr>
        <w:t xml:space="preserve"> </w:t>
      </w:r>
      <w:r w:rsidRPr="0031675F">
        <w:rPr>
          <w:rFonts w:asciiTheme="minorHAnsi" w:hAnsiTheme="minorHAnsi"/>
          <w:spacing w:val="-1"/>
        </w:rPr>
        <w:t>salinity</w:t>
      </w:r>
      <w:r w:rsidRPr="0031675F">
        <w:rPr>
          <w:rFonts w:asciiTheme="minorHAnsi" w:hAnsiTheme="minorHAnsi"/>
          <w:spacing w:val="30"/>
        </w:rPr>
        <w:t xml:space="preserve"> </w:t>
      </w:r>
      <w:r w:rsidRPr="0031675F">
        <w:rPr>
          <w:rFonts w:asciiTheme="minorHAnsi" w:hAnsiTheme="minorHAnsi"/>
          <w:spacing w:val="-1"/>
        </w:rPr>
        <w:t>and</w:t>
      </w:r>
      <w:r w:rsidRPr="0031675F">
        <w:rPr>
          <w:rFonts w:asciiTheme="minorHAnsi" w:hAnsiTheme="minorHAnsi"/>
          <w:spacing w:val="28"/>
        </w:rPr>
        <w:t xml:space="preserve"> </w:t>
      </w:r>
      <w:r w:rsidRPr="0031675F">
        <w:rPr>
          <w:rFonts w:asciiTheme="minorHAnsi" w:hAnsiTheme="minorHAnsi"/>
          <w:spacing w:val="-1"/>
        </w:rPr>
        <w:t>having</w:t>
      </w:r>
      <w:r w:rsidRPr="0031675F">
        <w:rPr>
          <w:rFonts w:asciiTheme="minorHAnsi" w:hAnsiTheme="minorHAnsi"/>
          <w:spacing w:val="28"/>
        </w:rPr>
        <w:t xml:space="preserve"> </w:t>
      </w:r>
      <w:r w:rsidRPr="0031675F">
        <w:rPr>
          <w:rFonts w:asciiTheme="minorHAnsi" w:hAnsiTheme="minorHAnsi"/>
        </w:rPr>
        <w:t>a</w:t>
      </w:r>
      <w:r w:rsidRPr="0031675F">
        <w:rPr>
          <w:rFonts w:asciiTheme="minorHAnsi" w:hAnsiTheme="minorHAnsi"/>
          <w:spacing w:val="25"/>
        </w:rPr>
        <w:t xml:space="preserve"> </w:t>
      </w:r>
      <w:r w:rsidRPr="0031675F">
        <w:rPr>
          <w:rFonts w:asciiTheme="minorHAnsi" w:hAnsiTheme="minorHAnsi"/>
          <w:spacing w:val="-1"/>
        </w:rPr>
        <w:t>salinity</w:t>
      </w:r>
      <w:r w:rsidRPr="0031675F">
        <w:rPr>
          <w:rFonts w:asciiTheme="minorHAnsi" w:hAnsiTheme="minorHAnsi"/>
          <w:spacing w:val="30"/>
        </w:rPr>
        <w:t xml:space="preserve"> </w:t>
      </w:r>
      <w:r w:rsidRPr="0031675F">
        <w:rPr>
          <w:rFonts w:asciiTheme="minorHAnsi" w:hAnsiTheme="minorHAnsi"/>
          <w:spacing w:val="-1"/>
        </w:rPr>
        <w:t>between</w:t>
      </w:r>
      <w:r w:rsidRPr="0031675F">
        <w:rPr>
          <w:rFonts w:asciiTheme="minorHAnsi" w:hAnsiTheme="minorHAnsi"/>
          <w:spacing w:val="26"/>
        </w:rPr>
        <w:t xml:space="preserve"> </w:t>
      </w:r>
      <w:r w:rsidRPr="0031675F">
        <w:rPr>
          <w:rFonts w:asciiTheme="minorHAnsi" w:hAnsiTheme="minorHAnsi"/>
        </w:rPr>
        <w:t>that</w:t>
      </w:r>
      <w:r w:rsidRPr="0031675F">
        <w:rPr>
          <w:rFonts w:asciiTheme="minorHAnsi" w:hAnsiTheme="minorHAnsi"/>
          <w:spacing w:val="26"/>
        </w:rPr>
        <w:t xml:space="preserve"> </w:t>
      </w:r>
      <w:r w:rsidRPr="0031675F">
        <w:rPr>
          <w:rFonts w:asciiTheme="minorHAnsi" w:hAnsiTheme="minorHAnsi"/>
        </w:rPr>
        <w:t>of</w:t>
      </w:r>
      <w:r w:rsidRPr="0031675F">
        <w:rPr>
          <w:rFonts w:asciiTheme="minorHAnsi" w:hAnsiTheme="minorHAnsi"/>
          <w:spacing w:val="29"/>
        </w:rPr>
        <w:t xml:space="preserve"> </w:t>
      </w:r>
      <w:r w:rsidRPr="0031675F">
        <w:rPr>
          <w:rFonts w:asciiTheme="minorHAnsi" w:hAnsiTheme="minorHAnsi"/>
          <w:spacing w:val="-2"/>
        </w:rPr>
        <w:t>fresh</w:t>
      </w:r>
      <w:r w:rsidRPr="0031675F">
        <w:rPr>
          <w:rFonts w:asciiTheme="minorHAnsi" w:hAnsiTheme="minorHAnsi"/>
          <w:spacing w:val="28"/>
        </w:rPr>
        <w:t xml:space="preserve"> </w:t>
      </w:r>
      <w:r w:rsidRPr="0031675F">
        <w:rPr>
          <w:rFonts w:asciiTheme="minorHAnsi" w:hAnsiTheme="minorHAnsi"/>
          <w:spacing w:val="-1"/>
        </w:rPr>
        <w:t>and</w:t>
      </w:r>
      <w:r w:rsidRPr="0031675F">
        <w:rPr>
          <w:rFonts w:asciiTheme="minorHAnsi" w:hAnsiTheme="minorHAnsi"/>
          <w:spacing w:val="28"/>
        </w:rPr>
        <w:t xml:space="preserve"> </w:t>
      </w:r>
      <w:r w:rsidRPr="0031675F">
        <w:rPr>
          <w:rFonts w:asciiTheme="minorHAnsi" w:hAnsiTheme="minorHAnsi"/>
          <w:spacing w:val="-1"/>
        </w:rPr>
        <w:t>full</w:t>
      </w:r>
      <w:r w:rsidRPr="0031675F">
        <w:rPr>
          <w:rFonts w:asciiTheme="minorHAnsi" w:hAnsiTheme="minorHAnsi"/>
          <w:spacing w:val="28"/>
        </w:rPr>
        <w:t xml:space="preserve"> </w:t>
      </w:r>
      <w:r w:rsidRPr="0031675F">
        <w:rPr>
          <w:rFonts w:asciiTheme="minorHAnsi" w:hAnsiTheme="minorHAnsi"/>
          <w:spacing w:val="-1"/>
        </w:rPr>
        <w:t>seawater,</w:t>
      </w:r>
      <w:r w:rsidRPr="0031675F">
        <w:rPr>
          <w:rFonts w:asciiTheme="minorHAnsi" w:hAnsiTheme="minorHAnsi"/>
          <w:spacing w:val="59"/>
        </w:rPr>
        <w:t xml:space="preserve"> </w:t>
      </w:r>
      <w:r w:rsidRPr="0031675F">
        <w:rPr>
          <w:rFonts w:asciiTheme="minorHAnsi" w:hAnsiTheme="minorHAnsi"/>
        </w:rPr>
        <w:t>treat</w:t>
      </w:r>
      <w:r w:rsidRPr="0031675F">
        <w:rPr>
          <w:rFonts w:asciiTheme="minorHAnsi" w:hAnsiTheme="minorHAnsi"/>
          <w:spacing w:val="18"/>
        </w:rPr>
        <w:t xml:space="preserve"> </w:t>
      </w:r>
      <w:r w:rsidRPr="0031675F">
        <w:rPr>
          <w:rFonts w:asciiTheme="minorHAnsi" w:hAnsiTheme="minorHAnsi"/>
          <w:spacing w:val="-1"/>
        </w:rPr>
        <w:t>the</w:t>
      </w:r>
      <w:r w:rsidRPr="0031675F">
        <w:rPr>
          <w:rFonts w:asciiTheme="minorHAnsi" w:hAnsiTheme="minorHAnsi"/>
          <w:spacing w:val="17"/>
        </w:rPr>
        <w:t xml:space="preserve"> </w:t>
      </w:r>
      <w:r w:rsidRPr="0031675F">
        <w:rPr>
          <w:rFonts w:asciiTheme="minorHAnsi" w:hAnsiTheme="minorHAnsi"/>
          <w:spacing w:val="-1"/>
        </w:rPr>
        <w:t>samples</w:t>
      </w:r>
      <w:r w:rsidRPr="0031675F">
        <w:rPr>
          <w:rFonts w:asciiTheme="minorHAnsi" w:hAnsiTheme="minorHAnsi"/>
          <w:spacing w:val="17"/>
        </w:rPr>
        <w:t xml:space="preserve"> </w:t>
      </w:r>
      <w:r w:rsidRPr="0031675F">
        <w:rPr>
          <w:rFonts w:asciiTheme="minorHAnsi" w:hAnsiTheme="minorHAnsi"/>
        </w:rPr>
        <w:t>as</w:t>
      </w:r>
      <w:r w:rsidRPr="0031675F">
        <w:rPr>
          <w:rFonts w:asciiTheme="minorHAnsi" w:hAnsiTheme="minorHAnsi"/>
          <w:spacing w:val="17"/>
        </w:rPr>
        <w:t xml:space="preserve"> </w:t>
      </w:r>
      <w:r w:rsidRPr="0031675F">
        <w:rPr>
          <w:rFonts w:asciiTheme="minorHAnsi" w:hAnsiTheme="minorHAnsi"/>
        </w:rPr>
        <w:t>if</w:t>
      </w:r>
      <w:r w:rsidRPr="0031675F">
        <w:rPr>
          <w:rFonts w:asciiTheme="minorHAnsi" w:hAnsiTheme="minorHAnsi"/>
          <w:spacing w:val="16"/>
        </w:rPr>
        <w:t xml:space="preserve"> </w:t>
      </w:r>
      <w:r w:rsidRPr="0031675F">
        <w:rPr>
          <w:rFonts w:asciiTheme="minorHAnsi" w:hAnsiTheme="minorHAnsi"/>
          <w:spacing w:val="-1"/>
        </w:rPr>
        <w:t>they</w:t>
      </w:r>
      <w:r w:rsidRPr="0031675F">
        <w:rPr>
          <w:rFonts w:asciiTheme="minorHAnsi" w:hAnsiTheme="minorHAnsi"/>
          <w:spacing w:val="17"/>
        </w:rPr>
        <w:t xml:space="preserve"> </w:t>
      </w:r>
      <w:r w:rsidRPr="0031675F">
        <w:rPr>
          <w:rFonts w:asciiTheme="minorHAnsi" w:hAnsiTheme="minorHAnsi"/>
          <w:spacing w:val="-1"/>
        </w:rPr>
        <w:t>were</w:t>
      </w:r>
      <w:r w:rsidRPr="0031675F">
        <w:rPr>
          <w:rFonts w:asciiTheme="minorHAnsi" w:hAnsiTheme="minorHAnsi"/>
          <w:spacing w:val="17"/>
        </w:rPr>
        <w:t xml:space="preserve"> </w:t>
      </w:r>
      <w:r w:rsidRPr="0031675F">
        <w:rPr>
          <w:rFonts w:asciiTheme="minorHAnsi" w:hAnsiTheme="minorHAnsi"/>
          <w:spacing w:val="-1"/>
        </w:rPr>
        <w:t>seawater</w:t>
      </w:r>
      <w:r w:rsidRPr="0031675F">
        <w:rPr>
          <w:rFonts w:asciiTheme="minorHAnsi" w:hAnsiTheme="minorHAnsi"/>
          <w:spacing w:val="17"/>
        </w:rPr>
        <w:t xml:space="preserve"> </w:t>
      </w:r>
      <w:r w:rsidRPr="0031675F">
        <w:rPr>
          <w:rFonts w:asciiTheme="minorHAnsi" w:hAnsiTheme="minorHAnsi"/>
        </w:rPr>
        <w:t>i.</w:t>
      </w:r>
      <w:r w:rsidRPr="0031675F">
        <w:rPr>
          <w:rFonts w:asciiTheme="minorHAnsi" w:hAnsiTheme="minorHAnsi"/>
          <w:spacing w:val="16"/>
        </w:rPr>
        <w:t xml:space="preserve"> </w:t>
      </w:r>
      <w:r w:rsidRPr="0031675F">
        <w:rPr>
          <w:rFonts w:asciiTheme="minorHAnsi" w:hAnsiTheme="minorHAnsi"/>
        </w:rPr>
        <w:t>e.</w:t>
      </w:r>
      <w:r w:rsidRPr="0031675F">
        <w:rPr>
          <w:rFonts w:asciiTheme="minorHAnsi" w:hAnsiTheme="minorHAnsi"/>
          <w:spacing w:val="33"/>
        </w:rPr>
        <w:t xml:space="preserve"> </w:t>
      </w:r>
      <w:r w:rsidRPr="0031675F">
        <w:rPr>
          <w:rFonts w:asciiTheme="minorHAnsi" w:hAnsiTheme="minorHAnsi"/>
          <w:spacing w:val="-1"/>
        </w:rPr>
        <w:t>autoclave</w:t>
      </w:r>
      <w:r w:rsidRPr="0031675F">
        <w:rPr>
          <w:rFonts w:asciiTheme="minorHAnsi" w:hAnsiTheme="minorHAnsi"/>
          <w:spacing w:val="17"/>
        </w:rPr>
        <w:t xml:space="preserve"> </w:t>
      </w:r>
      <w:r w:rsidRPr="0031675F">
        <w:rPr>
          <w:rFonts w:asciiTheme="minorHAnsi" w:hAnsiTheme="minorHAnsi"/>
        </w:rPr>
        <w:t>at</w:t>
      </w:r>
      <w:r w:rsidRPr="0031675F">
        <w:rPr>
          <w:rFonts w:asciiTheme="minorHAnsi" w:hAnsiTheme="minorHAnsi"/>
          <w:spacing w:val="15"/>
        </w:rPr>
        <w:t xml:space="preserve"> </w:t>
      </w:r>
      <w:r w:rsidRPr="0031675F">
        <w:rPr>
          <w:rFonts w:asciiTheme="minorHAnsi" w:hAnsiTheme="minorHAnsi"/>
          <w:spacing w:val="-1"/>
        </w:rPr>
        <w:t>121°C</w:t>
      </w:r>
      <w:r w:rsidRPr="0031675F">
        <w:rPr>
          <w:rFonts w:asciiTheme="minorHAnsi" w:hAnsiTheme="minorHAnsi"/>
          <w:spacing w:val="16"/>
        </w:rPr>
        <w:t xml:space="preserve"> </w:t>
      </w:r>
      <w:r w:rsidRPr="0031675F">
        <w:rPr>
          <w:rFonts w:asciiTheme="minorHAnsi" w:hAnsiTheme="minorHAnsi"/>
          <w:spacing w:val="-1"/>
        </w:rPr>
        <w:t>for</w:t>
      </w:r>
      <w:r w:rsidRPr="0031675F">
        <w:rPr>
          <w:rFonts w:asciiTheme="minorHAnsi" w:hAnsiTheme="minorHAnsi"/>
          <w:spacing w:val="17"/>
        </w:rPr>
        <w:t xml:space="preserve"> </w:t>
      </w:r>
      <w:r w:rsidRPr="0031675F">
        <w:rPr>
          <w:rFonts w:asciiTheme="minorHAnsi" w:hAnsiTheme="minorHAnsi"/>
        </w:rPr>
        <w:t>a</w:t>
      </w:r>
      <w:r w:rsidRPr="0031675F">
        <w:rPr>
          <w:rFonts w:asciiTheme="minorHAnsi" w:hAnsiTheme="minorHAnsi"/>
          <w:spacing w:val="17"/>
        </w:rPr>
        <w:t xml:space="preserve"> </w:t>
      </w:r>
      <w:r w:rsidRPr="0031675F">
        <w:rPr>
          <w:rFonts w:asciiTheme="minorHAnsi" w:hAnsiTheme="minorHAnsi"/>
          <w:spacing w:val="-1"/>
        </w:rPr>
        <w:t>period</w:t>
      </w:r>
      <w:r w:rsidRPr="0031675F">
        <w:rPr>
          <w:rFonts w:asciiTheme="minorHAnsi" w:hAnsiTheme="minorHAnsi"/>
          <w:spacing w:val="16"/>
        </w:rPr>
        <w:t xml:space="preserve"> </w:t>
      </w:r>
      <w:r w:rsidRPr="0031675F">
        <w:rPr>
          <w:rFonts w:asciiTheme="minorHAnsi" w:hAnsiTheme="minorHAnsi"/>
        </w:rPr>
        <w:t>of</w:t>
      </w:r>
      <w:r w:rsidRPr="0031675F">
        <w:rPr>
          <w:rFonts w:asciiTheme="minorHAnsi" w:hAnsiTheme="minorHAnsi"/>
          <w:spacing w:val="17"/>
        </w:rPr>
        <w:t xml:space="preserve"> </w:t>
      </w:r>
      <w:r w:rsidRPr="0031675F">
        <w:rPr>
          <w:rFonts w:asciiTheme="minorHAnsi" w:hAnsiTheme="minorHAnsi"/>
        </w:rPr>
        <w:t>70</w:t>
      </w:r>
      <w:r w:rsidRPr="0031675F">
        <w:rPr>
          <w:rFonts w:asciiTheme="minorHAnsi" w:hAnsiTheme="minorHAnsi"/>
          <w:spacing w:val="15"/>
        </w:rPr>
        <w:t xml:space="preserve"> </w:t>
      </w:r>
      <w:r w:rsidRPr="0031675F">
        <w:rPr>
          <w:rFonts w:asciiTheme="minorHAnsi" w:hAnsiTheme="minorHAnsi"/>
          <w:spacing w:val="-1"/>
        </w:rPr>
        <w:t>minutes.</w:t>
      </w:r>
    </w:p>
    <w:p w14:paraId="72AAE20E" w14:textId="77777777" w:rsidR="0031675F" w:rsidRPr="0031675F" w:rsidRDefault="0031675F" w:rsidP="0031675F">
      <w:pPr>
        <w:widowControl w:val="0"/>
        <w:numPr>
          <w:ilvl w:val="0"/>
          <w:numId w:val="122"/>
        </w:numPr>
        <w:tabs>
          <w:tab w:val="left" w:pos="370"/>
        </w:tabs>
        <w:spacing w:before="0" w:after="0" w:line="240" w:lineRule="auto"/>
        <w:ind w:left="369" w:hanging="231"/>
        <w:jc w:val="left"/>
      </w:pPr>
      <w:r w:rsidRPr="0031675F">
        <w:rPr>
          <w:rFonts w:asciiTheme="minorHAnsi" w:hAnsiTheme="minorHAnsi"/>
          <w:spacing w:val="-1"/>
        </w:rPr>
        <w:t>Ensure</w:t>
      </w:r>
      <w:r w:rsidRPr="0031675F">
        <w:rPr>
          <w:rFonts w:asciiTheme="minorHAnsi" w:hAnsiTheme="minorHAnsi"/>
          <w:spacing w:val="-2"/>
        </w:rPr>
        <w:t xml:space="preserve"> </w:t>
      </w:r>
      <w:r w:rsidRPr="0031675F">
        <w:rPr>
          <w:rFonts w:asciiTheme="minorHAnsi" w:hAnsiTheme="minorHAnsi"/>
          <w:spacing w:val="-1"/>
        </w:rPr>
        <w:t>the</w:t>
      </w:r>
      <w:r w:rsidRPr="0031675F">
        <w:rPr>
          <w:rFonts w:asciiTheme="minorHAnsi" w:hAnsiTheme="minorHAnsi"/>
          <w:spacing w:val="-2"/>
        </w:rPr>
        <w:t xml:space="preserve"> </w:t>
      </w:r>
      <w:r w:rsidRPr="0031675F">
        <w:rPr>
          <w:rFonts w:asciiTheme="minorHAnsi" w:hAnsiTheme="minorHAnsi"/>
          <w:spacing w:val="-1"/>
        </w:rPr>
        <w:t>external</w:t>
      </w:r>
      <w:r w:rsidRPr="0031675F">
        <w:rPr>
          <w:rFonts w:asciiTheme="minorHAnsi" w:hAnsiTheme="minorHAnsi"/>
          <w:spacing w:val="-3"/>
        </w:rPr>
        <w:t xml:space="preserve"> </w:t>
      </w:r>
      <w:r w:rsidRPr="0031675F">
        <w:rPr>
          <w:rFonts w:asciiTheme="minorHAnsi" w:hAnsiTheme="minorHAnsi"/>
          <w:spacing w:val="-1"/>
        </w:rPr>
        <w:t>water</w:t>
      </w:r>
      <w:r w:rsidRPr="0031675F">
        <w:rPr>
          <w:rFonts w:asciiTheme="minorHAnsi" w:hAnsiTheme="minorHAnsi"/>
        </w:rPr>
        <w:t xml:space="preserve"> </w:t>
      </w:r>
      <w:r w:rsidRPr="0031675F">
        <w:rPr>
          <w:rFonts w:asciiTheme="minorHAnsi" w:hAnsiTheme="minorHAnsi"/>
          <w:spacing w:val="-1"/>
        </w:rPr>
        <w:t>supply</w:t>
      </w:r>
      <w:r w:rsidRPr="0031675F">
        <w:rPr>
          <w:rFonts w:asciiTheme="minorHAnsi" w:hAnsiTheme="minorHAnsi"/>
        </w:rPr>
        <w:t xml:space="preserve"> </w:t>
      </w:r>
      <w:r w:rsidRPr="0031675F">
        <w:rPr>
          <w:rFonts w:asciiTheme="minorHAnsi" w:hAnsiTheme="minorHAnsi"/>
          <w:spacing w:val="-1"/>
        </w:rPr>
        <w:t xml:space="preserve">to </w:t>
      </w:r>
      <w:r w:rsidRPr="0031675F">
        <w:rPr>
          <w:rFonts w:asciiTheme="minorHAnsi" w:hAnsiTheme="minorHAnsi"/>
        </w:rPr>
        <w:t xml:space="preserve">the </w:t>
      </w:r>
      <w:r w:rsidRPr="0031675F">
        <w:rPr>
          <w:rFonts w:asciiTheme="minorHAnsi" w:hAnsiTheme="minorHAnsi"/>
          <w:spacing w:val="-1"/>
        </w:rPr>
        <w:t>right</w:t>
      </w:r>
      <w:r w:rsidRPr="0031675F">
        <w:rPr>
          <w:rFonts w:asciiTheme="minorHAnsi" w:hAnsiTheme="minorHAnsi"/>
          <w:spacing w:val="-2"/>
        </w:rPr>
        <w:t xml:space="preserve"> </w:t>
      </w:r>
      <w:r w:rsidRPr="0031675F">
        <w:rPr>
          <w:rFonts w:asciiTheme="minorHAnsi" w:hAnsiTheme="minorHAnsi"/>
        </w:rPr>
        <w:t>of</w:t>
      </w:r>
      <w:r w:rsidRPr="0031675F">
        <w:rPr>
          <w:rFonts w:asciiTheme="minorHAnsi" w:hAnsiTheme="minorHAnsi"/>
          <w:spacing w:val="-2"/>
        </w:rPr>
        <w:t xml:space="preserve"> </w:t>
      </w:r>
      <w:r w:rsidRPr="0031675F">
        <w:rPr>
          <w:rFonts w:asciiTheme="minorHAnsi" w:hAnsiTheme="minorHAnsi"/>
        </w:rPr>
        <w:t xml:space="preserve">the </w:t>
      </w:r>
      <w:r w:rsidRPr="0031675F">
        <w:rPr>
          <w:rFonts w:asciiTheme="minorHAnsi" w:hAnsiTheme="minorHAnsi"/>
          <w:spacing w:val="-1"/>
        </w:rPr>
        <w:t>autoclave</w:t>
      </w:r>
      <w:r w:rsidRPr="0031675F">
        <w:rPr>
          <w:rFonts w:asciiTheme="minorHAnsi" w:hAnsiTheme="minorHAnsi"/>
        </w:rPr>
        <w:t xml:space="preserve"> is </w:t>
      </w:r>
      <w:r w:rsidRPr="0031675F">
        <w:rPr>
          <w:rFonts w:asciiTheme="minorHAnsi" w:hAnsiTheme="minorHAnsi"/>
          <w:spacing w:val="-1"/>
        </w:rPr>
        <w:t>filled</w:t>
      </w:r>
      <w:r w:rsidRPr="0031675F">
        <w:rPr>
          <w:rFonts w:asciiTheme="minorHAnsi" w:hAnsiTheme="minorHAnsi"/>
        </w:rPr>
        <w:t xml:space="preserve"> </w:t>
      </w:r>
      <w:r w:rsidRPr="0031675F">
        <w:rPr>
          <w:rFonts w:asciiTheme="minorHAnsi" w:hAnsiTheme="minorHAnsi"/>
          <w:spacing w:val="-1"/>
        </w:rPr>
        <w:t>with</w:t>
      </w:r>
      <w:r w:rsidRPr="0031675F">
        <w:rPr>
          <w:rFonts w:asciiTheme="minorHAnsi" w:hAnsiTheme="minorHAnsi"/>
        </w:rPr>
        <w:t xml:space="preserve"> </w:t>
      </w:r>
      <w:r w:rsidRPr="0031675F">
        <w:rPr>
          <w:rFonts w:asciiTheme="minorHAnsi" w:hAnsiTheme="minorHAnsi"/>
          <w:spacing w:val="-1"/>
        </w:rPr>
        <w:t>reverse</w:t>
      </w:r>
      <w:r w:rsidRPr="0031675F">
        <w:rPr>
          <w:rFonts w:asciiTheme="minorHAnsi" w:hAnsiTheme="minorHAnsi"/>
        </w:rPr>
        <w:t xml:space="preserve"> </w:t>
      </w:r>
      <w:r w:rsidRPr="0031675F">
        <w:rPr>
          <w:rFonts w:asciiTheme="minorHAnsi" w:hAnsiTheme="minorHAnsi"/>
          <w:spacing w:val="-1"/>
        </w:rPr>
        <w:t>osmosis</w:t>
      </w:r>
      <w:r w:rsidRPr="0031675F">
        <w:rPr>
          <w:rFonts w:asciiTheme="minorHAnsi" w:hAnsiTheme="minorHAnsi"/>
          <w:spacing w:val="-3"/>
        </w:rPr>
        <w:t xml:space="preserve"> </w:t>
      </w:r>
      <w:r w:rsidRPr="0031675F">
        <w:rPr>
          <w:rFonts w:asciiTheme="minorHAnsi" w:hAnsiTheme="minorHAnsi"/>
          <w:spacing w:val="-1"/>
        </w:rPr>
        <w:t>water</w:t>
      </w:r>
    </w:p>
    <w:p w14:paraId="20AF1BB0" w14:textId="77777777" w:rsidR="0031675F" w:rsidRPr="0031675F" w:rsidRDefault="0031675F" w:rsidP="0031675F">
      <w:pPr>
        <w:widowControl w:val="0"/>
        <w:numPr>
          <w:ilvl w:val="0"/>
          <w:numId w:val="122"/>
        </w:numPr>
        <w:tabs>
          <w:tab w:val="left" w:pos="370"/>
        </w:tabs>
        <w:spacing w:before="0" w:after="0" w:line="240" w:lineRule="auto"/>
        <w:ind w:left="369" w:hanging="231"/>
        <w:jc w:val="left"/>
      </w:pPr>
      <w:r w:rsidRPr="0031675F">
        <w:rPr>
          <w:spacing w:val="-2"/>
        </w:rPr>
        <w:t>To</w:t>
      </w:r>
      <w:r w:rsidRPr="0031675F">
        <w:rPr>
          <w:spacing w:val="-1"/>
        </w:rPr>
        <w:t xml:space="preserve"> change</w:t>
      </w:r>
      <w:r w:rsidRPr="0031675F">
        <w:t xml:space="preserve"> the</w:t>
      </w:r>
      <w:r w:rsidRPr="0031675F">
        <w:rPr>
          <w:spacing w:val="-3"/>
        </w:rPr>
        <w:t xml:space="preserve"> </w:t>
      </w:r>
      <w:r w:rsidRPr="0031675F">
        <w:rPr>
          <w:spacing w:val="-1"/>
        </w:rPr>
        <w:t>autoclave</w:t>
      </w:r>
      <w:r w:rsidRPr="0031675F">
        <w:rPr>
          <w:spacing w:val="-2"/>
        </w:rPr>
        <w:t xml:space="preserve"> </w:t>
      </w:r>
      <w:r w:rsidRPr="0031675F">
        <w:rPr>
          <w:spacing w:val="-1"/>
        </w:rPr>
        <w:t>cycle</w:t>
      </w:r>
      <w:r w:rsidRPr="0031675F">
        <w:t xml:space="preserve"> </w:t>
      </w:r>
      <w:r w:rsidRPr="0031675F">
        <w:rPr>
          <w:spacing w:val="-1"/>
        </w:rPr>
        <w:t>setting to</w:t>
      </w:r>
      <w:r w:rsidRPr="0031675F">
        <w:rPr>
          <w:spacing w:val="1"/>
        </w:rPr>
        <w:t xml:space="preserve"> </w:t>
      </w:r>
      <w:r w:rsidRPr="0031675F">
        <w:rPr>
          <w:spacing w:val="-2"/>
        </w:rPr>
        <w:t>the</w:t>
      </w:r>
      <w:r w:rsidRPr="0031675F">
        <w:t xml:space="preserve"> </w:t>
      </w:r>
      <w:r w:rsidRPr="0031675F">
        <w:rPr>
          <w:spacing w:val="-1"/>
        </w:rPr>
        <w:t>desired conditions,</w:t>
      </w:r>
      <w:r w:rsidRPr="0031675F">
        <w:t xml:space="preserve"> </w:t>
      </w:r>
      <w:r w:rsidRPr="0031675F">
        <w:rPr>
          <w:spacing w:val="-1"/>
        </w:rPr>
        <w:t>do</w:t>
      </w:r>
      <w:r w:rsidRPr="0031675F">
        <w:rPr>
          <w:spacing w:val="-2"/>
        </w:rPr>
        <w:t xml:space="preserve"> </w:t>
      </w:r>
      <w:r w:rsidRPr="0031675F">
        <w:rPr>
          <w:spacing w:val="-1"/>
        </w:rPr>
        <w:t>the</w:t>
      </w:r>
      <w:r w:rsidRPr="0031675F">
        <w:rPr>
          <w:spacing w:val="-2"/>
        </w:rPr>
        <w:t xml:space="preserve"> </w:t>
      </w:r>
      <w:r w:rsidRPr="0031675F">
        <w:rPr>
          <w:spacing w:val="-1"/>
        </w:rPr>
        <w:t>following:</w:t>
      </w:r>
    </w:p>
    <w:p w14:paraId="78C5F84A" w14:textId="77777777" w:rsidR="0031675F" w:rsidRPr="0031675F" w:rsidRDefault="0031675F" w:rsidP="0031675F">
      <w:pPr>
        <w:widowControl w:val="0"/>
        <w:numPr>
          <w:ilvl w:val="1"/>
          <w:numId w:val="122"/>
        </w:numPr>
        <w:tabs>
          <w:tab w:val="left" w:pos="1082"/>
        </w:tabs>
        <w:spacing w:before="0" w:after="0" w:line="240" w:lineRule="auto"/>
        <w:rPr>
          <w:rFonts w:cs="Calibri"/>
          <w:sz w:val="20"/>
          <w:szCs w:val="20"/>
        </w:rPr>
      </w:pPr>
      <w:r w:rsidRPr="0031675F">
        <w:rPr>
          <w:rFonts w:cs="Calibri"/>
          <w:spacing w:val="-1"/>
        </w:rPr>
        <w:t>Press</w:t>
      </w:r>
      <w:r w:rsidRPr="0031675F">
        <w:rPr>
          <w:rFonts w:cs="Calibri"/>
          <w:spacing w:val="-2"/>
        </w:rPr>
        <w:t xml:space="preserve"> </w:t>
      </w:r>
      <w:r w:rsidRPr="0031675F">
        <w:rPr>
          <w:rFonts w:cs="Calibri"/>
          <w:spacing w:val="-1"/>
        </w:rPr>
        <w:t>“Optional</w:t>
      </w:r>
      <w:r w:rsidRPr="0031675F">
        <w:rPr>
          <w:rFonts w:cs="Calibri"/>
        </w:rPr>
        <w:t xml:space="preserve"> </w:t>
      </w:r>
      <w:r w:rsidRPr="0031675F">
        <w:rPr>
          <w:rFonts w:cs="Calibri"/>
          <w:spacing w:val="-1"/>
        </w:rPr>
        <w:t>Cycle”</w:t>
      </w:r>
      <w:r w:rsidRPr="0031675F">
        <w:rPr>
          <w:rFonts w:cs="Calibri"/>
          <w:spacing w:val="1"/>
        </w:rPr>
        <w:t xml:space="preserve"> </w:t>
      </w:r>
      <w:r w:rsidRPr="0031675F">
        <w:rPr>
          <w:rFonts w:cs="Calibri"/>
          <w:spacing w:val="-1"/>
        </w:rPr>
        <w:t>button</w:t>
      </w:r>
    </w:p>
    <w:p w14:paraId="5DD3286A" w14:textId="77777777" w:rsidR="0031675F" w:rsidRPr="0031675F" w:rsidRDefault="0031675F" w:rsidP="0031675F">
      <w:pPr>
        <w:widowControl w:val="0"/>
        <w:numPr>
          <w:ilvl w:val="1"/>
          <w:numId w:val="122"/>
        </w:numPr>
        <w:tabs>
          <w:tab w:val="left" w:pos="1072"/>
        </w:tabs>
        <w:spacing w:before="0" w:after="0" w:line="240" w:lineRule="auto"/>
        <w:ind w:left="1071" w:hanging="233"/>
      </w:pPr>
      <w:r w:rsidRPr="0031675F">
        <w:rPr>
          <w:spacing w:val="-1"/>
        </w:rPr>
        <w:t>Press</w:t>
      </w:r>
      <w:r w:rsidRPr="0031675F">
        <w:t xml:space="preserve"> </w:t>
      </w:r>
      <w:r w:rsidRPr="0031675F">
        <w:rPr>
          <w:spacing w:val="-1"/>
        </w:rPr>
        <w:t>the</w:t>
      </w:r>
      <w:r w:rsidRPr="0031675F">
        <w:rPr>
          <w:spacing w:val="-2"/>
        </w:rPr>
        <w:t xml:space="preserve"> </w:t>
      </w:r>
      <w:r w:rsidRPr="0031675F">
        <w:rPr>
          <w:spacing w:val="-1"/>
        </w:rPr>
        <w:t>down</w:t>
      </w:r>
      <w:r w:rsidRPr="0031675F">
        <w:t xml:space="preserve"> </w:t>
      </w:r>
      <w:r w:rsidRPr="0031675F">
        <w:rPr>
          <w:spacing w:val="-1"/>
        </w:rPr>
        <w:t>arrow</w:t>
      </w:r>
      <w:r w:rsidRPr="0031675F">
        <w:rPr>
          <w:spacing w:val="1"/>
        </w:rPr>
        <w:t xml:space="preserve"> </w:t>
      </w:r>
      <w:r w:rsidRPr="0031675F">
        <w:rPr>
          <w:spacing w:val="-1"/>
        </w:rPr>
        <w:t>button (</w:t>
      </w:r>
      <w:r w:rsidRPr="0031675F">
        <w:rPr>
          <w:rFonts w:eastAsia="Arial" w:cs="Arial"/>
          <w:spacing w:val="-1"/>
        </w:rPr>
        <w:t>▼</w:t>
      </w:r>
      <w:r w:rsidRPr="0031675F">
        <w:rPr>
          <w:spacing w:val="-1"/>
        </w:rPr>
        <w:t>)</w:t>
      </w:r>
      <w:r w:rsidRPr="0031675F">
        <w:t xml:space="preserve"> </w:t>
      </w:r>
      <w:r w:rsidRPr="0031675F">
        <w:rPr>
          <w:spacing w:val="-1"/>
        </w:rPr>
        <w:t>to</w:t>
      </w:r>
      <w:r w:rsidRPr="0031675F">
        <w:rPr>
          <w:spacing w:val="1"/>
        </w:rPr>
        <w:t xml:space="preserve"> </w:t>
      </w:r>
      <w:r w:rsidRPr="0031675F">
        <w:rPr>
          <w:spacing w:val="-1"/>
        </w:rPr>
        <w:t>reject</w:t>
      </w:r>
      <w:r w:rsidRPr="0031675F">
        <w:t xml:space="preserve"> </w:t>
      </w:r>
      <w:r w:rsidRPr="0031675F">
        <w:rPr>
          <w:spacing w:val="-1"/>
        </w:rPr>
        <w:t>use</w:t>
      </w:r>
      <w:r w:rsidRPr="0031675F">
        <w:rPr>
          <w:spacing w:val="-2"/>
        </w:rPr>
        <w:t xml:space="preserve"> </w:t>
      </w:r>
      <w:r w:rsidRPr="0031675F">
        <w:t>of</w:t>
      </w:r>
      <w:r w:rsidRPr="0031675F">
        <w:rPr>
          <w:spacing w:val="-5"/>
        </w:rPr>
        <w:t xml:space="preserve"> </w:t>
      </w:r>
      <w:r w:rsidRPr="0031675F">
        <w:rPr>
          <w:spacing w:val="-1"/>
        </w:rPr>
        <w:t>default</w:t>
      </w:r>
      <w:r w:rsidRPr="0031675F">
        <w:t xml:space="preserve"> </w:t>
      </w:r>
      <w:r w:rsidRPr="0031675F">
        <w:rPr>
          <w:spacing w:val="-1"/>
        </w:rPr>
        <w:t>settings</w:t>
      </w:r>
    </w:p>
    <w:p w14:paraId="08C25C54" w14:textId="77777777" w:rsidR="0031675F" w:rsidRPr="0031675F" w:rsidRDefault="0031675F" w:rsidP="0031675F">
      <w:pPr>
        <w:widowControl w:val="0"/>
        <w:numPr>
          <w:ilvl w:val="1"/>
          <w:numId w:val="122"/>
        </w:numPr>
        <w:tabs>
          <w:tab w:val="left" w:pos="1050"/>
        </w:tabs>
        <w:spacing w:before="0" w:after="0" w:line="240" w:lineRule="auto"/>
        <w:ind w:left="1049" w:hanging="211"/>
      </w:pPr>
      <w:r w:rsidRPr="0031675F">
        <w:rPr>
          <w:spacing w:val="-1"/>
        </w:rPr>
        <w:t>Press</w:t>
      </w:r>
      <w:r w:rsidRPr="0031675F">
        <w:rPr>
          <w:spacing w:val="-2"/>
        </w:rPr>
        <w:t xml:space="preserve"> </w:t>
      </w:r>
      <w:r w:rsidRPr="0031675F">
        <w:t xml:space="preserve">the </w:t>
      </w:r>
      <w:r w:rsidRPr="0031675F">
        <w:rPr>
          <w:spacing w:val="-1"/>
        </w:rPr>
        <w:t>down</w:t>
      </w:r>
      <w:r w:rsidRPr="0031675F">
        <w:t xml:space="preserve"> </w:t>
      </w:r>
      <w:r w:rsidRPr="0031675F">
        <w:rPr>
          <w:spacing w:val="-1"/>
        </w:rPr>
        <w:t>arrow</w:t>
      </w:r>
      <w:r w:rsidRPr="0031675F">
        <w:rPr>
          <w:spacing w:val="-2"/>
        </w:rPr>
        <w:t xml:space="preserve"> </w:t>
      </w:r>
      <w:r w:rsidRPr="0031675F">
        <w:rPr>
          <w:spacing w:val="-1"/>
        </w:rPr>
        <w:t>button</w:t>
      </w:r>
      <w:r w:rsidRPr="0031675F">
        <w:rPr>
          <w:spacing w:val="-3"/>
        </w:rPr>
        <w:t xml:space="preserve"> </w:t>
      </w:r>
      <w:r w:rsidRPr="0031675F">
        <w:t>(</w:t>
      </w:r>
      <w:r w:rsidRPr="0031675F">
        <w:rPr>
          <w:rFonts w:eastAsia="Arial" w:cs="Arial"/>
        </w:rPr>
        <w:t>▼</w:t>
      </w:r>
      <w:r w:rsidRPr="0031675F">
        <w:t>)</w:t>
      </w:r>
      <w:r w:rsidRPr="0031675F">
        <w:rPr>
          <w:spacing w:val="-2"/>
        </w:rPr>
        <w:t xml:space="preserve"> </w:t>
      </w:r>
      <w:r w:rsidRPr="0031675F">
        <w:t>to</w:t>
      </w:r>
      <w:r w:rsidRPr="0031675F">
        <w:rPr>
          <w:spacing w:val="-1"/>
        </w:rPr>
        <w:t xml:space="preserve"> </w:t>
      </w:r>
      <w:r w:rsidRPr="0031675F">
        <w:t>set</w:t>
      </w:r>
      <w:r w:rsidRPr="0031675F">
        <w:rPr>
          <w:spacing w:val="-2"/>
        </w:rPr>
        <w:t xml:space="preserve"> </w:t>
      </w:r>
      <w:r w:rsidRPr="0031675F">
        <w:rPr>
          <w:spacing w:val="-1"/>
        </w:rPr>
        <w:t>the</w:t>
      </w:r>
      <w:r w:rsidRPr="0031675F">
        <w:rPr>
          <w:spacing w:val="-2"/>
        </w:rPr>
        <w:t xml:space="preserve"> </w:t>
      </w:r>
      <w:r w:rsidRPr="0031675F">
        <w:rPr>
          <w:spacing w:val="-1"/>
        </w:rPr>
        <w:t>temperature</w:t>
      </w:r>
      <w:r w:rsidRPr="0031675F">
        <w:t xml:space="preserve"> </w:t>
      </w:r>
      <w:r w:rsidRPr="0031675F">
        <w:rPr>
          <w:spacing w:val="-1"/>
        </w:rPr>
        <w:t>to 121°C</w:t>
      </w:r>
    </w:p>
    <w:p w14:paraId="235CB29F" w14:textId="77777777" w:rsidR="0031675F" w:rsidRPr="0031675F" w:rsidRDefault="0031675F" w:rsidP="0031675F">
      <w:pPr>
        <w:widowControl w:val="0"/>
        <w:numPr>
          <w:ilvl w:val="1"/>
          <w:numId w:val="122"/>
        </w:numPr>
        <w:tabs>
          <w:tab w:val="left" w:pos="1050"/>
        </w:tabs>
        <w:spacing w:before="0" w:after="0" w:line="240" w:lineRule="auto"/>
        <w:ind w:left="1049" w:hanging="211"/>
      </w:pPr>
      <w:r w:rsidRPr="0031675F">
        <w:rPr>
          <w:spacing w:val="-1"/>
        </w:rPr>
        <w:t>P</w:t>
      </w:r>
      <w:r w:rsidRPr="0031675F">
        <w:rPr>
          <w:rFonts w:cs="Calibri"/>
          <w:spacing w:val="-1"/>
        </w:rPr>
        <w:t>ress</w:t>
      </w:r>
      <w:r w:rsidRPr="0031675F">
        <w:rPr>
          <w:rFonts w:cs="Calibri"/>
          <w:spacing w:val="-2"/>
        </w:rPr>
        <w:t xml:space="preserve"> </w:t>
      </w:r>
      <w:r w:rsidRPr="0031675F">
        <w:rPr>
          <w:rFonts w:cs="Calibri"/>
          <w:spacing w:val="-1"/>
        </w:rPr>
        <w:t>“Start”</w:t>
      </w:r>
      <w:r w:rsidRPr="0031675F">
        <w:rPr>
          <w:rFonts w:cs="Calibri"/>
          <w:spacing w:val="1"/>
        </w:rPr>
        <w:t xml:space="preserve"> </w:t>
      </w:r>
      <w:r w:rsidRPr="0031675F">
        <w:rPr>
          <w:rFonts w:cs="Calibri"/>
          <w:spacing w:val="-1"/>
        </w:rPr>
        <w:t>button to</w:t>
      </w:r>
      <w:r w:rsidRPr="0031675F">
        <w:rPr>
          <w:rFonts w:cs="Calibri"/>
          <w:spacing w:val="1"/>
        </w:rPr>
        <w:t xml:space="preserve"> </w:t>
      </w:r>
      <w:r w:rsidRPr="0031675F">
        <w:rPr>
          <w:rFonts w:cs="Calibri"/>
          <w:spacing w:val="-1"/>
        </w:rPr>
        <w:t>proceed</w:t>
      </w:r>
      <w:r w:rsidRPr="0031675F">
        <w:t xml:space="preserve"> </w:t>
      </w:r>
    </w:p>
    <w:p w14:paraId="363D48C4" w14:textId="77777777" w:rsidR="0031675F" w:rsidRPr="0031675F" w:rsidRDefault="0031675F" w:rsidP="0031675F">
      <w:pPr>
        <w:widowControl w:val="0"/>
        <w:numPr>
          <w:ilvl w:val="1"/>
          <w:numId w:val="122"/>
        </w:numPr>
        <w:tabs>
          <w:tab w:val="left" w:pos="1050"/>
        </w:tabs>
        <w:spacing w:before="0" w:after="0" w:line="240" w:lineRule="auto"/>
        <w:ind w:left="1049" w:hanging="211"/>
      </w:pPr>
      <w:r w:rsidRPr="0031675F">
        <w:t>Press</w:t>
      </w:r>
      <w:r w:rsidRPr="0031675F">
        <w:rPr>
          <w:spacing w:val="-2"/>
        </w:rPr>
        <w:t xml:space="preserve"> </w:t>
      </w:r>
      <w:r w:rsidRPr="0031675F">
        <w:t>Up</w:t>
      </w:r>
      <w:r w:rsidRPr="0031675F">
        <w:rPr>
          <w:spacing w:val="-1"/>
        </w:rPr>
        <w:t xml:space="preserve"> arrow</w:t>
      </w:r>
      <w:r w:rsidRPr="0031675F">
        <w:rPr>
          <w:spacing w:val="1"/>
        </w:rPr>
        <w:t xml:space="preserve"> </w:t>
      </w:r>
      <w:r w:rsidRPr="0031675F">
        <w:rPr>
          <w:spacing w:val="-1"/>
        </w:rPr>
        <w:t>button</w:t>
      </w:r>
      <w:r w:rsidRPr="0031675F">
        <w:rPr>
          <w:spacing w:val="-3"/>
        </w:rPr>
        <w:t xml:space="preserve"> </w:t>
      </w:r>
      <w:r w:rsidRPr="0031675F">
        <w:rPr>
          <w:spacing w:val="-1"/>
        </w:rPr>
        <w:t>(</w:t>
      </w:r>
      <w:r w:rsidRPr="0031675F">
        <w:rPr>
          <w:rFonts w:eastAsia="Arial" w:cs="Arial"/>
          <w:spacing w:val="-1"/>
        </w:rPr>
        <w:t>▲</w:t>
      </w:r>
      <w:r w:rsidRPr="0031675F">
        <w:rPr>
          <w:spacing w:val="-1"/>
        </w:rPr>
        <w:t>)</w:t>
      </w:r>
      <w:r w:rsidRPr="0031675F">
        <w:t xml:space="preserve"> </w:t>
      </w:r>
      <w:r w:rsidRPr="0031675F">
        <w:rPr>
          <w:spacing w:val="-1"/>
        </w:rPr>
        <w:t>to</w:t>
      </w:r>
      <w:r w:rsidRPr="0031675F">
        <w:rPr>
          <w:spacing w:val="1"/>
        </w:rPr>
        <w:t xml:space="preserve"> </w:t>
      </w:r>
      <w:r w:rsidRPr="0031675F">
        <w:rPr>
          <w:spacing w:val="-1"/>
        </w:rPr>
        <w:t>desired</w:t>
      </w:r>
      <w:r w:rsidRPr="0031675F">
        <w:t xml:space="preserve"> </w:t>
      </w:r>
      <w:r w:rsidRPr="0031675F">
        <w:rPr>
          <w:spacing w:val="-1"/>
        </w:rPr>
        <w:t>time</w:t>
      </w:r>
      <w:r w:rsidRPr="0031675F">
        <w:rPr>
          <w:spacing w:val="-2"/>
        </w:rPr>
        <w:t xml:space="preserve"> </w:t>
      </w:r>
      <w:r w:rsidRPr="0031675F">
        <w:t>(ie</w:t>
      </w:r>
      <w:r w:rsidRPr="0031675F">
        <w:rPr>
          <w:spacing w:val="-2"/>
        </w:rPr>
        <w:t xml:space="preserve"> </w:t>
      </w:r>
      <w:r w:rsidRPr="0031675F">
        <w:t>35</w:t>
      </w:r>
      <w:r w:rsidRPr="0031675F">
        <w:rPr>
          <w:spacing w:val="-2"/>
        </w:rPr>
        <w:t xml:space="preserve"> </w:t>
      </w:r>
      <w:r w:rsidRPr="0031675F">
        <w:rPr>
          <w:spacing w:val="-1"/>
        </w:rPr>
        <w:t>or</w:t>
      </w:r>
      <w:r w:rsidRPr="0031675F">
        <w:t xml:space="preserve"> 70</w:t>
      </w:r>
      <w:r w:rsidRPr="0031675F">
        <w:rPr>
          <w:spacing w:val="-2"/>
        </w:rPr>
        <w:t xml:space="preserve"> </w:t>
      </w:r>
      <w:r w:rsidRPr="0031675F">
        <w:rPr>
          <w:spacing w:val="-1"/>
        </w:rPr>
        <w:t>minutes)</w:t>
      </w:r>
    </w:p>
    <w:p w14:paraId="681D5A39" w14:textId="77777777" w:rsidR="0031675F" w:rsidRPr="0031675F" w:rsidRDefault="0031675F" w:rsidP="0031675F">
      <w:pPr>
        <w:widowControl w:val="0"/>
        <w:numPr>
          <w:ilvl w:val="1"/>
          <w:numId w:val="122"/>
        </w:numPr>
        <w:tabs>
          <w:tab w:val="left" w:pos="1060"/>
        </w:tabs>
        <w:spacing w:before="0" w:after="0" w:line="240" w:lineRule="auto"/>
        <w:ind w:left="1059" w:hanging="221"/>
        <w:rPr>
          <w:rFonts w:cs="Calibri"/>
        </w:rPr>
      </w:pPr>
      <w:r w:rsidRPr="0031675F">
        <w:rPr>
          <w:spacing w:val="-1"/>
        </w:rPr>
        <w:t>Press</w:t>
      </w:r>
      <w:r w:rsidRPr="0031675F">
        <w:t xml:space="preserve"> </w:t>
      </w:r>
      <w:r w:rsidRPr="0031675F">
        <w:rPr>
          <w:spacing w:val="-1"/>
        </w:rPr>
        <w:t>down</w:t>
      </w:r>
      <w:r w:rsidRPr="0031675F">
        <w:t xml:space="preserve"> </w:t>
      </w:r>
      <w:r w:rsidRPr="0031675F">
        <w:rPr>
          <w:spacing w:val="-1"/>
        </w:rPr>
        <w:t>arrow</w:t>
      </w:r>
      <w:r w:rsidRPr="0031675F">
        <w:rPr>
          <w:spacing w:val="-2"/>
        </w:rPr>
        <w:t xml:space="preserve"> </w:t>
      </w:r>
      <w:r w:rsidRPr="0031675F">
        <w:rPr>
          <w:spacing w:val="-1"/>
        </w:rPr>
        <w:t>button</w:t>
      </w:r>
      <w:r w:rsidRPr="0031675F">
        <w:rPr>
          <w:spacing w:val="-3"/>
        </w:rPr>
        <w:t xml:space="preserve"> </w:t>
      </w:r>
      <w:r w:rsidRPr="0031675F">
        <w:t>(</w:t>
      </w:r>
      <w:r w:rsidRPr="0031675F">
        <w:rPr>
          <w:rFonts w:eastAsia="Arial" w:cs="Arial"/>
        </w:rPr>
        <w:t>▼</w:t>
      </w:r>
      <w:r w:rsidRPr="0031675F">
        <w:t xml:space="preserve">) </w:t>
      </w:r>
      <w:r w:rsidRPr="0031675F">
        <w:rPr>
          <w:spacing w:val="-1"/>
        </w:rPr>
        <w:t>for</w:t>
      </w:r>
      <w:r w:rsidRPr="0031675F">
        <w:rPr>
          <w:spacing w:val="-2"/>
        </w:rPr>
        <w:t xml:space="preserve"> </w:t>
      </w:r>
      <w:r w:rsidRPr="0031675F">
        <w:rPr>
          <w:spacing w:val="-1"/>
        </w:rPr>
        <w:t>Optional</w:t>
      </w:r>
      <w:r w:rsidRPr="0031675F">
        <w:rPr>
          <w:spacing w:val="-3"/>
        </w:rPr>
        <w:t xml:space="preserve"> </w:t>
      </w:r>
      <w:r w:rsidRPr="0031675F">
        <w:rPr>
          <w:spacing w:val="-1"/>
        </w:rPr>
        <w:t>Liquid Cycle</w:t>
      </w:r>
      <w:r w:rsidRPr="0031675F">
        <w:rPr>
          <w:rFonts w:cs="Calibri"/>
          <w:spacing w:val="-1"/>
        </w:rPr>
        <w:t xml:space="preserve"> </w:t>
      </w:r>
    </w:p>
    <w:p w14:paraId="491B2070" w14:textId="77777777" w:rsidR="0031675F" w:rsidRPr="0031675F" w:rsidRDefault="0031675F" w:rsidP="0031675F">
      <w:pPr>
        <w:widowControl w:val="0"/>
        <w:numPr>
          <w:ilvl w:val="1"/>
          <w:numId w:val="122"/>
        </w:numPr>
        <w:tabs>
          <w:tab w:val="left" w:pos="1060"/>
        </w:tabs>
        <w:spacing w:before="0" w:after="0" w:line="240" w:lineRule="auto"/>
        <w:ind w:left="1059" w:hanging="221"/>
        <w:rPr>
          <w:rFonts w:cs="Calibri"/>
        </w:rPr>
      </w:pPr>
      <w:r w:rsidRPr="0031675F">
        <w:rPr>
          <w:rFonts w:cs="Calibri"/>
          <w:spacing w:val="-1"/>
        </w:rPr>
        <w:t>Press</w:t>
      </w:r>
      <w:r w:rsidRPr="0031675F">
        <w:rPr>
          <w:rFonts w:cs="Calibri"/>
          <w:spacing w:val="-2"/>
        </w:rPr>
        <w:t xml:space="preserve"> </w:t>
      </w:r>
      <w:r w:rsidRPr="0031675F">
        <w:rPr>
          <w:rFonts w:cs="Calibri"/>
          <w:spacing w:val="-1"/>
        </w:rPr>
        <w:t>“Start”</w:t>
      </w:r>
      <w:r w:rsidRPr="0031675F">
        <w:rPr>
          <w:rFonts w:cs="Calibri"/>
          <w:spacing w:val="1"/>
        </w:rPr>
        <w:t xml:space="preserve"> </w:t>
      </w:r>
      <w:r w:rsidRPr="0031675F">
        <w:rPr>
          <w:rFonts w:cs="Calibri"/>
          <w:spacing w:val="-1"/>
        </w:rPr>
        <w:t>button for</w:t>
      </w:r>
      <w:r w:rsidRPr="0031675F">
        <w:rPr>
          <w:rFonts w:cs="Calibri"/>
        </w:rPr>
        <w:t xml:space="preserve"> </w:t>
      </w:r>
      <w:r w:rsidRPr="0031675F">
        <w:rPr>
          <w:rFonts w:cs="Calibri"/>
          <w:spacing w:val="-1"/>
        </w:rPr>
        <w:t>the</w:t>
      </w:r>
      <w:r w:rsidRPr="0031675F">
        <w:rPr>
          <w:rFonts w:cs="Calibri"/>
        </w:rPr>
        <w:t xml:space="preserve"> </w:t>
      </w:r>
      <w:r w:rsidRPr="0031675F">
        <w:rPr>
          <w:rFonts w:cs="Calibri"/>
          <w:spacing w:val="-1"/>
        </w:rPr>
        <w:t>cycle</w:t>
      </w:r>
      <w:r w:rsidRPr="0031675F">
        <w:rPr>
          <w:rFonts w:cs="Calibri"/>
        </w:rPr>
        <w:t xml:space="preserve"> </w:t>
      </w:r>
      <w:r w:rsidRPr="0031675F">
        <w:rPr>
          <w:rFonts w:cs="Calibri"/>
          <w:spacing w:val="-1"/>
        </w:rPr>
        <w:t>to commence</w:t>
      </w:r>
    </w:p>
    <w:p w14:paraId="30B83976" w14:textId="77777777" w:rsidR="0031675F" w:rsidRPr="0031675F" w:rsidRDefault="0031675F" w:rsidP="0031675F">
      <w:pPr>
        <w:widowControl w:val="0"/>
        <w:numPr>
          <w:ilvl w:val="0"/>
          <w:numId w:val="122"/>
        </w:numPr>
        <w:tabs>
          <w:tab w:val="left" w:pos="376"/>
        </w:tabs>
        <w:spacing w:before="0" w:after="0" w:line="240" w:lineRule="auto"/>
        <w:ind w:left="478" w:right="120" w:hanging="360"/>
        <w:jc w:val="left"/>
        <w:rPr>
          <w:rFonts w:asciiTheme="minorHAnsi" w:hAnsiTheme="minorHAnsi"/>
        </w:rPr>
      </w:pPr>
      <w:r w:rsidRPr="0031675F">
        <w:rPr>
          <w:rFonts w:asciiTheme="minorHAnsi" w:hAnsiTheme="minorHAnsi"/>
        </w:rPr>
        <w:t>A</w:t>
      </w:r>
      <w:r w:rsidRPr="0031675F">
        <w:rPr>
          <w:rFonts w:asciiTheme="minorHAnsi" w:hAnsiTheme="minorHAnsi"/>
          <w:spacing w:val="23"/>
        </w:rPr>
        <w:t xml:space="preserve"> </w:t>
      </w:r>
      <w:r w:rsidRPr="0031675F">
        <w:rPr>
          <w:rFonts w:asciiTheme="minorHAnsi" w:hAnsiTheme="minorHAnsi"/>
          <w:spacing w:val="-1"/>
        </w:rPr>
        <w:t>printer</w:t>
      </w:r>
      <w:r w:rsidRPr="0031675F">
        <w:rPr>
          <w:rFonts w:asciiTheme="minorHAnsi" w:hAnsiTheme="minorHAnsi"/>
          <w:spacing w:val="26"/>
        </w:rPr>
        <w:t xml:space="preserve"> </w:t>
      </w:r>
      <w:r w:rsidRPr="0031675F">
        <w:rPr>
          <w:rFonts w:asciiTheme="minorHAnsi" w:hAnsiTheme="minorHAnsi"/>
          <w:spacing w:val="-1"/>
        </w:rPr>
        <w:t>has</w:t>
      </w:r>
      <w:r w:rsidRPr="0031675F">
        <w:rPr>
          <w:rFonts w:asciiTheme="minorHAnsi" w:hAnsiTheme="minorHAnsi"/>
          <w:spacing w:val="24"/>
        </w:rPr>
        <w:t xml:space="preserve"> </w:t>
      </w:r>
      <w:r w:rsidRPr="0031675F">
        <w:rPr>
          <w:rFonts w:asciiTheme="minorHAnsi" w:hAnsiTheme="minorHAnsi"/>
          <w:spacing w:val="-1"/>
        </w:rPr>
        <w:t>been</w:t>
      </w:r>
      <w:r w:rsidRPr="0031675F">
        <w:rPr>
          <w:rFonts w:asciiTheme="minorHAnsi" w:hAnsiTheme="minorHAnsi"/>
          <w:spacing w:val="26"/>
        </w:rPr>
        <w:t xml:space="preserve"> </w:t>
      </w:r>
      <w:r w:rsidRPr="0031675F">
        <w:rPr>
          <w:rFonts w:asciiTheme="minorHAnsi" w:hAnsiTheme="minorHAnsi"/>
          <w:spacing w:val="-1"/>
        </w:rPr>
        <w:t>attached</w:t>
      </w:r>
      <w:r w:rsidRPr="0031675F">
        <w:rPr>
          <w:rFonts w:asciiTheme="minorHAnsi" w:hAnsiTheme="minorHAnsi"/>
          <w:spacing w:val="26"/>
        </w:rPr>
        <w:t xml:space="preserve"> </w:t>
      </w:r>
      <w:r w:rsidRPr="0031675F">
        <w:rPr>
          <w:rFonts w:asciiTheme="minorHAnsi" w:hAnsiTheme="minorHAnsi"/>
          <w:spacing w:val="-1"/>
        </w:rPr>
        <w:t>to</w:t>
      </w:r>
      <w:r w:rsidRPr="0031675F">
        <w:rPr>
          <w:rFonts w:asciiTheme="minorHAnsi" w:hAnsiTheme="minorHAnsi"/>
          <w:spacing w:val="27"/>
        </w:rPr>
        <w:t xml:space="preserve"> </w:t>
      </w:r>
      <w:r w:rsidRPr="0031675F">
        <w:rPr>
          <w:rFonts w:asciiTheme="minorHAnsi" w:hAnsiTheme="minorHAnsi"/>
          <w:spacing w:val="-1"/>
        </w:rPr>
        <w:t>the</w:t>
      </w:r>
      <w:r w:rsidRPr="0031675F">
        <w:rPr>
          <w:rFonts w:asciiTheme="minorHAnsi" w:hAnsiTheme="minorHAnsi"/>
          <w:spacing w:val="27"/>
        </w:rPr>
        <w:t xml:space="preserve"> </w:t>
      </w:r>
      <w:r w:rsidRPr="0031675F">
        <w:rPr>
          <w:rFonts w:asciiTheme="minorHAnsi" w:hAnsiTheme="minorHAnsi"/>
          <w:spacing w:val="-1"/>
        </w:rPr>
        <w:t>autoclave</w:t>
      </w:r>
      <w:r w:rsidRPr="0031675F">
        <w:rPr>
          <w:rFonts w:asciiTheme="minorHAnsi" w:hAnsiTheme="minorHAnsi"/>
          <w:spacing w:val="25"/>
        </w:rPr>
        <w:t xml:space="preserve"> </w:t>
      </w:r>
      <w:r w:rsidRPr="0031675F">
        <w:rPr>
          <w:rFonts w:asciiTheme="minorHAnsi" w:hAnsiTheme="minorHAnsi"/>
        </w:rPr>
        <w:t>which</w:t>
      </w:r>
      <w:r w:rsidRPr="0031675F">
        <w:rPr>
          <w:rFonts w:asciiTheme="minorHAnsi" w:hAnsiTheme="minorHAnsi"/>
          <w:spacing w:val="26"/>
        </w:rPr>
        <w:t xml:space="preserve"> </w:t>
      </w:r>
      <w:r w:rsidRPr="0031675F">
        <w:rPr>
          <w:rFonts w:asciiTheme="minorHAnsi" w:hAnsiTheme="minorHAnsi"/>
        </w:rPr>
        <w:t>will</w:t>
      </w:r>
      <w:r w:rsidRPr="0031675F">
        <w:rPr>
          <w:rFonts w:asciiTheme="minorHAnsi" w:hAnsiTheme="minorHAnsi"/>
          <w:spacing w:val="25"/>
        </w:rPr>
        <w:t xml:space="preserve"> </w:t>
      </w:r>
      <w:r w:rsidRPr="0031675F">
        <w:rPr>
          <w:rFonts w:asciiTheme="minorHAnsi" w:hAnsiTheme="minorHAnsi"/>
          <w:spacing w:val="-1"/>
        </w:rPr>
        <w:t>record</w:t>
      </w:r>
      <w:r w:rsidRPr="0031675F">
        <w:rPr>
          <w:rFonts w:asciiTheme="minorHAnsi" w:hAnsiTheme="minorHAnsi"/>
          <w:spacing w:val="26"/>
        </w:rPr>
        <w:t xml:space="preserve"> </w:t>
      </w:r>
      <w:r w:rsidRPr="0031675F">
        <w:rPr>
          <w:rFonts w:asciiTheme="minorHAnsi" w:hAnsiTheme="minorHAnsi"/>
          <w:spacing w:val="-1"/>
        </w:rPr>
        <w:t>autoclave</w:t>
      </w:r>
      <w:r w:rsidRPr="0031675F">
        <w:rPr>
          <w:rFonts w:asciiTheme="minorHAnsi" w:hAnsiTheme="minorHAnsi"/>
          <w:spacing w:val="25"/>
        </w:rPr>
        <w:t xml:space="preserve"> </w:t>
      </w:r>
      <w:r w:rsidRPr="0031675F">
        <w:rPr>
          <w:rFonts w:asciiTheme="minorHAnsi" w:hAnsiTheme="minorHAnsi"/>
          <w:spacing w:val="-1"/>
        </w:rPr>
        <w:t>conditions</w:t>
      </w:r>
      <w:r w:rsidRPr="0031675F">
        <w:rPr>
          <w:rFonts w:asciiTheme="minorHAnsi" w:hAnsiTheme="minorHAnsi"/>
          <w:spacing w:val="24"/>
        </w:rPr>
        <w:t xml:space="preserve"> </w:t>
      </w:r>
      <w:r w:rsidRPr="0031675F">
        <w:rPr>
          <w:rFonts w:asciiTheme="minorHAnsi" w:hAnsiTheme="minorHAnsi"/>
          <w:spacing w:val="-1"/>
        </w:rPr>
        <w:t>during</w:t>
      </w:r>
      <w:r w:rsidRPr="0031675F">
        <w:rPr>
          <w:rFonts w:asciiTheme="minorHAnsi" w:hAnsiTheme="minorHAnsi"/>
          <w:spacing w:val="25"/>
        </w:rPr>
        <w:t xml:space="preserve"> </w:t>
      </w:r>
      <w:r w:rsidRPr="0031675F">
        <w:rPr>
          <w:rFonts w:asciiTheme="minorHAnsi" w:hAnsiTheme="minorHAnsi"/>
        </w:rPr>
        <w:t>the</w:t>
      </w:r>
      <w:r w:rsidRPr="0031675F">
        <w:rPr>
          <w:rFonts w:asciiTheme="minorHAnsi" w:hAnsiTheme="minorHAnsi"/>
          <w:spacing w:val="55"/>
        </w:rPr>
        <w:t xml:space="preserve"> </w:t>
      </w:r>
      <w:r w:rsidRPr="0031675F">
        <w:rPr>
          <w:rFonts w:asciiTheme="minorHAnsi" w:hAnsiTheme="minorHAnsi"/>
        </w:rPr>
        <w:t>cycle</w:t>
      </w:r>
    </w:p>
    <w:p w14:paraId="2681365D" w14:textId="77777777" w:rsidR="0031675F" w:rsidRPr="0031675F" w:rsidRDefault="0031675F" w:rsidP="0031675F">
      <w:pPr>
        <w:widowControl w:val="0"/>
        <w:numPr>
          <w:ilvl w:val="0"/>
          <w:numId w:val="122"/>
        </w:numPr>
        <w:tabs>
          <w:tab w:val="left" w:pos="349"/>
        </w:tabs>
        <w:spacing w:before="0" w:after="0" w:line="240" w:lineRule="auto"/>
        <w:ind w:left="478" w:right="120" w:hanging="360"/>
        <w:jc w:val="left"/>
        <w:rPr>
          <w:rFonts w:asciiTheme="minorHAnsi" w:hAnsiTheme="minorHAnsi"/>
          <w:spacing w:val="-1"/>
        </w:rPr>
      </w:pPr>
      <w:r w:rsidRPr="0031675F">
        <w:rPr>
          <w:rFonts w:asciiTheme="minorHAnsi" w:hAnsiTheme="minorHAnsi"/>
          <w:spacing w:val="-1"/>
        </w:rPr>
        <w:t>Note</w:t>
      </w:r>
      <w:r w:rsidRPr="0031675F">
        <w:rPr>
          <w:rFonts w:asciiTheme="minorHAnsi" w:hAnsiTheme="minorHAnsi"/>
        </w:rPr>
        <w:t xml:space="preserve"> the </w:t>
      </w:r>
      <w:r w:rsidRPr="0031675F">
        <w:rPr>
          <w:rFonts w:asciiTheme="minorHAnsi" w:hAnsiTheme="minorHAnsi"/>
          <w:spacing w:val="-1"/>
        </w:rPr>
        <w:t>operator's</w:t>
      </w:r>
      <w:r w:rsidRPr="0031675F">
        <w:rPr>
          <w:rFonts w:asciiTheme="minorHAnsi" w:hAnsiTheme="minorHAnsi"/>
        </w:rPr>
        <w:t xml:space="preserve"> </w:t>
      </w:r>
      <w:r w:rsidRPr="0031675F">
        <w:rPr>
          <w:rFonts w:asciiTheme="minorHAnsi" w:hAnsiTheme="minorHAnsi"/>
          <w:spacing w:val="-1"/>
        </w:rPr>
        <w:t>name,</w:t>
      </w:r>
      <w:r w:rsidRPr="0031675F">
        <w:rPr>
          <w:rFonts w:asciiTheme="minorHAnsi" w:hAnsiTheme="minorHAnsi"/>
        </w:rPr>
        <w:t xml:space="preserve"> </w:t>
      </w:r>
      <w:r w:rsidRPr="0031675F">
        <w:rPr>
          <w:rFonts w:asciiTheme="minorHAnsi" w:hAnsiTheme="minorHAnsi"/>
          <w:spacing w:val="-1"/>
        </w:rPr>
        <w:t>date</w:t>
      </w:r>
      <w:r w:rsidRPr="0031675F">
        <w:rPr>
          <w:rFonts w:asciiTheme="minorHAnsi" w:hAnsiTheme="minorHAnsi"/>
        </w:rPr>
        <w:t xml:space="preserve"> of </w:t>
      </w:r>
      <w:r w:rsidRPr="0031675F">
        <w:rPr>
          <w:rFonts w:asciiTheme="minorHAnsi" w:hAnsiTheme="minorHAnsi"/>
          <w:spacing w:val="-2"/>
        </w:rPr>
        <w:t>use,</w:t>
      </w:r>
      <w:r w:rsidRPr="0031675F">
        <w:rPr>
          <w:rFonts w:asciiTheme="minorHAnsi" w:hAnsiTheme="minorHAnsi"/>
        </w:rPr>
        <w:t xml:space="preserve"> </w:t>
      </w:r>
      <w:r w:rsidRPr="0031675F">
        <w:rPr>
          <w:rFonts w:asciiTheme="minorHAnsi" w:hAnsiTheme="minorHAnsi"/>
          <w:spacing w:val="-1"/>
        </w:rPr>
        <w:t>cycle</w:t>
      </w:r>
      <w:r w:rsidRPr="0031675F">
        <w:rPr>
          <w:rFonts w:asciiTheme="minorHAnsi" w:hAnsiTheme="minorHAnsi"/>
        </w:rPr>
        <w:t xml:space="preserve"> </w:t>
      </w:r>
      <w:r w:rsidRPr="0031675F">
        <w:rPr>
          <w:rFonts w:asciiTheme="minorHAnsi" w:hAnsiTheme="minorHAnsi"/>
          <w:spacing w:val="-1"/>
        </w:rPr>
        <w:t>conditions</w:t>
      </w:r>
      <w:r w:rsidRPr="0031675F">
        <w:rPr>
          <w:rFonts w:asciiTheme="minorHAnsi" w:hAnsiTheme="minorHAnsi"/>
        </w:rPr>
        <w:t xml:space="preserve"> and</w:t>
      </w:r>
      <w:r w:rsidRPr="0031675F">
        <w:rPr>
          <w:rFonts w:asciiTheme="minorHAnsi" w:hAnsiTheme="minorHAnsi"/>
          <w:spacing w:val="-2"/>
        </w:rPr>
        <w:t xml:space="preserve"> </w:t>
      </w:r>
      <w:r w:rsidRPr="0031675F">
        <w:rPr>
          <w:rFonts w:asciiTheme="minorHAnsi" w:hAnsiTheme="minorHAnsi"/>
          <w:spacing w:val="-1"/>
        </w:rPr>
        <w:t>result</w:t>
      </w:r>
      <w:r w:rsidRPr="0031675F">
        <w:rPr>
          <w:rFonts w:asciiTheme="minorHAnsi" w:hAnsiTheme="minorHAnsi"/>
        </w:rPr>
        <w:t xml:space="preserve"> of </w:t>
      </w:r>
      <w:r w:rsidRPr="0031675F">
        <w:rPr>
          <w:rFonts w:asciiTheme="minorHAnsi" w:hAnsiTheme="minorHAnsi"/>
          <w:spacing w:val="-1"/>
        </w:rPr>
        <w:t>autoclave</w:t>
      </w:r>
      <w:r w:rsidRPr="0031675F">
        <w:rPr>
          <w:rFonts w:asciiTheme="minorHAnsi" w:hAnsiTheme="minorHAnsi"/>
          <w:spacing w:val="-2"/>
        </w:rPr>
        <w:t xml:space="preserve"> </w:t>
      </w:r>
      <w:r w:rsidRPr="0031675F">
        <w:rPr>
          <w:rFonts w:asciiTheme="minorHAnsi" w:hAnsiTheme="minorHAnsi"/>
          <w:spacing w:val="-1"/>
        </w:rPr>
        <w:t>performance</w:t>
      </w:r>
      <w:r w:rsidRPr="0031675F">
        <w:rPr>
          <w:rFonts w:asciiTheme="minorHAnsi" w:hAnsiTheme="minorHAnsi"/>
          <w:spacing w:val="1"/>
        </w:rPr>
        <w:t xml:space="preserve"> </w:t>
      </w:r>
      <w:r w:rsidRPr="0031675F">
        <w:rPr>
          <w:rFonts w:asciiTheme="minorHAnsi" w:hAnsiTheme="minorHAnsi"/>
          <w:spacing w:val="-1"/>
        </w:rPr>
        <w:t>check</w:t>
      </w:r>
      <w:r w:rsidRPr="0031675F">
        <w:rPr>
          <w:rFonts w:asciiTheme="minorHAnsi" w:hAnsiTheme="minorHAnsi"/>
          <w:spacing w:val="69"/>
        </w:rPr>
        <w:t xml:space="preserve"> </w:t>
      </w:r>
      <w:r w:rsidRPr="0031675F">
        <w:rPr>
          <w:rFonts w:asciiTheme="minorHAnsi" w:hAnsiTheme="minorHAnsi"/>
        </w:rPr>
        <w:t>in</w:t>
      </w:r>
      <w:r w:rsidRPr="0031675F">
        <w:rPr>
          <w:rFonts w:asciiTheme="minorHAnsi" w:hAnsiTheme="minorHAnsi"/>
          <w:spacing w:val="-1"/>
        </w:rPr>
        <w:t xml:space="preserve"> the</w:t>
      </w:r>
      <w:r w:rsidRPr="0031675F">
        <w:rPr>
          <w:rFonts w:asciiTheme="minorHAnsi" w:hAnsiTheme="minorHAnsi"/>
        </w:rPr>
        <w:t xml:space="preserve"> log</w:t>
      </w:r>
      <w:r w:rsidRPr="0031675F">
        <w:rPr>
          <w:rFonts w:asciiTheme="minorHAnsi" w:hAnsiTheme="minorHAnsi"/>
          <w:spacing w:val="-3"/>
        </w:rPr>
        <w:t xml:space="preserve"> </w:t>
      </w:r>
      <w:r w:rsidRPr="0031675F">
        <w:rPr>
          <w:rFonts w:asciiTheme="minorHAnsi" w:hAnsiTheme="minorHAnsi"/>
          <w:spacing w:val="-1"/>
        </w:rPr>
        <w:t>book</w:t>
      </w:r>
      <w:r w:rsidRPr="0031675F">
        <w:rPr>
          <w:rFonts w:asciiTheme="minorHAnsi" w:hAnsiTheme="minorHAnsi"/>
        </w:rPr>
        <w:t xml:space="preserve"> </w:t>
      </w:r>
      <w:r w:rsidRPr="0031675F">
        <w:rPr>
          <w:rFonts w:asciiTheme="minorHAnsi" w:hAnsiTheme="minorHAnsi"/>
          <w:spacing w:val="-1"/>
        </w:rPr>
        <w:t>associated</w:t>
      </w:r>
      <w:r w:rsidRPr="0031675F">
        <w:rPr>
          <w:rFonts w:asciiTheme="minorHAnsi" w:hAnsiTheme="minorHAnsi"/>
          <w:spacing w:val="-2"/>
        </w:rPr>
        <w:t xml:space="preserve"> </w:t>
      </w:r>
      <w:r w:rsidRPr="0031675F">
        <w:rPr>
          <w:rFonts w:asciiTheme="minorHAnsi" w:hAnsiTheme="minorHAnsi"/>
        </w:rPr>
        <w:t xml:space="preserve">with </w:t>
      </w:r>
      <w:r w:rsidRPr="0031675F">
        <w:rPr>
          <w:rFonts w:asciiTheme="minorHAnsi" w:hAnsiTheme="minorHAnsi"/>
          <w:spacing w:val="-1"/>
        </w:rPr>
        <w:t>the</w:t>
      </w:r>
      <w:r w:rsidRPr="0031675F">
        <w:rPr>
          <w:rFonts w:asciiTheme="minorHAnsi" w:hAnsiTheme="minorHAnsi"/>
          <w:spacing w:val="-2"/>
        </w:rPr>
        <w:t xml:space="preserve"> </w:t>
      </w:r>
      <w:r w:rsidRPr="0031675F">
        <w:rPr>
          <w:rFonts w:asciiTheme="minorHAnsi" w:hAnsiTheme="minorHAnsi"/>
          <w:spacing w:val="-1"/>
        </w:rPr>
        <w:t>Harvey</w:t>
      </w:r>
      <w:r w:rsidRPr="0031675F">
        <w:rPr>
          <w:rFonts w:asciiTheme="minorHAnsi" w:hAnsiTheme="minorHAnsi"/>
          <w:spacing w:val="1"/>
        </w:rPr>
        <w:t xml:space="preserve"> </w:t>
      </w:r>
      <w:r w:rsidRPr="0031675F">
        <w:rPr>
          <w:rFonts w:asciiTheme="minorHAnsi" w:hAnsiTheme="minorHAnsi"/>
          <w:spacing w:val="-1"/>
        </w:rPr>
        <w:t>SterileMax</w:t>
      </w:r>
      <w:r w:rsidRPr="0031675F">
        <w:rPr>
          <w:rFonts w:asciiTheme="minorHAnsi" w:hAnsiTheme="minorHAnsi"/>
          <w:spacing w:val="-3"/>
        </w:rPr>
        <w:t xml:space="preserve"> </w:t>
      </w:r>
      <w:r w:rsidRPr="0031675F">
        <w:rPr>
          <w:rFonts w:asciiTheme="minorHAnsi" w:hAnsiTheme="minorHAnsi"/>
          <w:spacing w:val="-1"/>
        </w:rPr>
        <w:t>Autoclave.</w:t>
      </w:r>
    </w:p>
    <w:p w14:paraId="460F671A" w14:textId="77777777" w:rsidR="0031675F" w:rsidRPr="0031675F" w:rsidRDefault="0031675F" w:rsidP="0031675F">
      <w:pPr>
        <w:rPr>
          <w:rFonts w:asciiTheme="minorHAnsi" w:hAnsiTheme="minorHAnsi"/>
          <w:spacing w:val="-1"/>
        </w:rPr>
      </w:pPr>
      <w:r w:rsidRPr="0031675F">
        <w:rPr>
          <w:rFonts w:asciiTheme="minorHAnsi" w:hAnsiTheme="minorHAnsi"/>
          <w:spacing w:val="-1"/>
        </w:rPr>
        <w:br w:type="page"/>
      </w:r>
    </w:p>
    <w:p w14:paraId="57F317B3" w14:textId="77777777" w:rsidR="0031675F" w:rsidRPr="0031675F" w:rsidRDefault="0031675F" w:rsidP="0031675F">
      <w:pPr>
        <w:tabs>
          <w:tab w:val="left" w:pos="2387"/>
        </w:tabs>
        <w:spacing w:before="206"/>
        <w:ind w:left="118"/>
        <w:rPr>
          <w:b/>
          <w:spacing w:val="-1"/>
          <w:sz w:val="24"/>
        </w:rPr>
      </w:pPr>
      <w:bookmarkStart w:id="612" w:name="_TOC_250072"/>
    </w:p>
    <w:p w14:paraId="23E12444" w14:textId="77777777" w:rsidR="0031675F" w:rsidRPr="0031675F" w:rsidRDefault="0031675F" w:rsidP="0031675F">
      <w:pPr>
        <w:tabs>
          <w:tab w:val="left" w:pos="2387"/>
        </w:tabs>
        <w:spacing w:before="206"/>
        <w:ind w:left="118"/>
        <w:rPr>
          <w:rFonts w:eastAsia="Arial" w:cs="Arial"/>
          <w:sz w:val="24"/>
          <w:szCs w:val="24"/>
        </w:rPr>
      </w:pPr>
      <w:r w:rsidRPr="0031675F">
        <w:rPr>
          <w:b/>
          <w:spacing w:val="-1"/>
          <w:sz w:val="24"/>
        </w:rPr>
        <w:t>Attachment</w:t>
      </w:r>
      <w:r w:rsidRPr="0031675F">
        <w:rPr>
          <w:b/>
          <w:sz w:val="24"/>
        </w:rPr>
        <w:t xml:space="preserve"> 3.2</w:t>
      </w:r>
      <w:r w:rsidRPr="0031675F">
        <w:rPr>
          <w:b/>
          <w:sz w:val="24"/>
        </w:rPr>
        <w:tab/>
      </w:r>
      <w:r w:rsidRPr="0031675F">
        <w:rPr>
          <w:b/>
          <w:spacing w:val="-1"/>
          <w:sz w:val="24"/>
        </w:rPr>
        <w:t>Example</w:t>
      </w:r>
      <w:r w:rsidRPr="0031675F">
        <w:rPr>
          <w:b/>
          <w:sz w:val="24"/>
        </w:rPr>
        <w:t xml:space="preserve"> of </w:t>
      </w:r>
      <w:r w:rsidRPr="0031675F">
        <w:rPr>
          <w:b/>
          <w:spacing w:val="-1"/>
          <w:sz w:val="24"/>
        </w:rPr>
        <w:t>analytical</w:t>
      </w:r>
      <w:r w:rsidRPr="0031675F">
        <w:rPr>
          <w:b/>
          <w:spacing w:val="3"/>
          <w:sz w:val="24"/>
        </w:rPr>
        <w:t xml:space="preserve"> </w:t>
      </w:r>
      <w:r w:rsidRPr="0031675F">
        <w:rPr>
          <w:b/>
          <w:sz w:val="24"/>
        </w:rPr>
        <w:t>data report</w:t>
      </w:r>
      <w:bookmarkEnd w:id="612"/>
    </w:p>
    <w:p w14:paraId="0F39104F" w14:textId="77777777" w:rsidR="0031675F" w:rsidRPr="0031675F" w:rsidRDefault="0031675F" w:rsidP="0031675F">
      <w:pPr>
        <w:spacing w:before="1"/>
        <w:rPr>
          <w:rFonts w:eastAsia="Arial" w:cs="Arial"/>
          <w:b/>
          <w:bCs/>
          <w:sz w:val="23"/>
          <w:szCs w:val="23"/>
        </w:rPr>
      </w:pPr>
    </w:p>
    <w:tbl>
      <w:tblPr>
        <w:tblW w:w="0" w:type="auto"/>
        <w:tblInd w:w="146" w:type="dxa"/>
        <w:tblLayout w:type="fixed"/>
        <w:tblCellMar>
          <w:left w:w="0" w:type="dxa"/>
          <w:right w:w="0" w:type="dxa"/>
        </w:tblCellMar>
        <w:tblLook w:val="01E0" w:firstRow="1" w:lastRow="1" w:firstColumn="1" w:lastColumn="1" w:noHBand="0" w:noVBand="0"/>
      </w:tblPr>
      <w:tblGrid>
        <w:gridCol w:w="269"/>
        <w:gridCol w:w="663"/>
        <w:gridCol w:w="735"/>
        <w:gridCol w:w="734"/>
        <w:gridCol w:w="735"/>
        <w:gridCol w:w="734"/>
        <w:gridCol w:w="735"/>
        <w:gridCol w:w="734"/>
        <w:gridCol w:w="735"/>
        <w:gridCol w:w="735"/>
        <w:gridCol w:w="207"/>
        <w:gridCol w:w="527"/>
        <w:gridCol w:w="731"/>
      </w:tblGrid>
      <w:tr w:rsidR="0031675F" w:rsidRPr="0031675F" w14:paraId="2C98BC6E" w14:textId="77777777" w:rsidTr="00B00729">
        <w:trPr>
          <w:trHeight w:hRule="exact" w:val="183"/>
        </w:trPr>
        <w:tc>
          <w:tcPr>
            <w:tcW w:w="932" w:type="dxa"/>
            <w:gridSpan w:val="2"/>
            <w:tcBorders>
              <w:top w:val="single" w:sz="6" w:space="0" w:color="000000"/>
              <w:left w:val="single" w:sz="6" w:space="0" w:color="000000"/>
              <w:bottom w:val="single" w:sz="4" w:space="0" w:color="000000"/>
              <w:right w:val="single" w:sz="4" w:space="0" w:color="000000"/>
            </w:tcBorders>
          </w:tcPr>
          <w:p w14:paraId="1B3364BE" w14:textId="77777777" w:rsidR="0031675F" w:rsidRPr="0031675F" w:rsidRDefault="0031675F" w:rsidP="0031675F"/>
        </w:tc>
        <w:tc>
          <w:tcPr>
            <w:tcW w:w="735" w:type="dxa"/>
            <w:tcBorders>
              <w:top w:val="single" w:sz="6" w:space="0" w:color="000000"/>
              <w:left w:val="single" w:sz="4" w:space="0" w:color="000000"/>
              <w:bottom w:val="single" w:sz="4" w:space="0" w:color="000000"/>
              <w:right w:val="single" w:sz="4" w:space="0" w:color="000000"/>
            </w:tcBorders>
          </w:tcPr>
          <w:p w14:paraId="1DAC8FC9" w14:textId="77777777" w:rsidR="0031675F" w:rsidRPr="0031675F" w:rsidRDefault="0031675F" w:rsidP="0031675F"/>
        </w:tc>
        <w:tc>
          <w:tcPr>
            <w:tcW w:w="734" w:type="dxa"/>
            <w:tcBorders>
              <w:top w:val="single" w:sz="6" w:space="0" w:color="000000"/>
              <w:left w:val="single" w:sz="4" w:space="0" w:color="000000"/>
              <w:bottom w:val="single" w:sz="4" w:space="0" w:color="000000"/>
              <w:right w:val="single" w:sz="4" w:space="0" w:color="000000"/>
            </w:tcBorders>
          </w:tcPr>
          <w:p w14:paraId="0014E5CB" w14:textId="77777777" w:rsidR="0031675F" w:rsidRPr="0031675F" w:rsidRDefault="0031675F" w:rsidP="0031675F"/>
        </w:tc>
        <w:tc>
          <w:tcPr>
            <w:tcW w:w="735" w:type="dxa"/>
            <w:tcBorders>
              <w:top w:val="single" w:sz="6" w:space="0" w:color="000000"/>
              <w:left w:val="single" w:sz="4" w:space="0" w:color="000000"/>
              <w:bottom w:val="single" w:sz="4" w:space="0" w:color="000000"/>
              <w:right w:val="single" w:sz="4" w:space="0" w:color="000000"/>
            </w:tcBorders>
          </w:tcPr>
          <w:p w14:paraId="3CC05312" w14:textId="77777777" w:rsidR="0031675F" w:rsidRPr="0031675F" w:rsidRDefault="0031675F" w:rsidP="0031675F"/>
        </w:tc>
        <w:tc>
          <w:tcPr>
            <w:tcW w:w="734" w:type="dxa"/>
            <w:tcBorders>
              <w:top w:val="single" w:sz="6" w:space="0" w:color="000000"/>
              <w:left w:val="single" w:sz="4" w:space="0" w:color="000000"/>
              <w:bottom w:val="single" w:sz="4" w:space="0" w:color="000000"/>
              <w:right w:val="single" w:sz="4" w:space="0" w:color="000000"/>
            </w:tcBorders>
          </w:tcPr>
          <w:p w14:paraId="393FA777" w14:textId="77777777" w:rsidR="0031675F" w:rsidRPr="0031675F" w:rsidRDefault="0031675F" w:rsidP="0031675F"/>
        </w:tc>
        <w:tc>
          <w:tcPr>
            <w:tcW w:w="735" w:type="dxa"/>
            <w:tcBorders>
              <w:top w:val="single" w:sz="6" w:space="0" w:color="000000"/>
              <w:left w:val="single" w:sz="4" w:space="0" w:color="000000"/>
              <w:bottom w:val="single" w:sz="4" w:space="0" w:color="000000"/>
              <w:right w:val="single" w:sz="4" w:space="0" w:color="000000"/>
            </w:tcBorders>
          </w:tcPr>
          <w:p w14:paraId="5A08641C" w14:textId="77777777" w:rsidR="0031675F" w:rsidRPr="0031675F" w:rsidRDefault="0031675F" w:rsidP="0031675F"/>
        </w:tc>
        <w:tc>
          <w:tcPr>
            <w:tcW w:w="734" w:type="dxa"/>
            <w:tcBorders>
              <w:top w:val="single" w:sz="6" w:space="0" w:color="000000"/>
              <w:left w:val="single" w:sz="4" w:space="0" w:color="000000"/>
              <w:bottom w:val="single" w:sz="4" w:space="0" w:color="000000"/>
              <w:right w:val="single" w:sz="4" w:space="0" w:color="000000"/>
            </w:tcBorders>
          </w:tcPr>
          <w:p w14:paraId="0EF564E2" w14:textId="77777777" w:rsidR="0031675F" w:rsidRPr="0031675F" w:rsidRDefault="0031675F" w:rsidP="0031675F"/>
        </w:tc>
        <w:tc>
          <w:tcPr>
            <w:tcW w:w="735" w:type="dxa"/>
            <w:tcBorders>
              <w:top w:val="single" w:sz="6" w:space="0" w:color="000000"/>
              <w:left w:val="single" w:sz="4" w:space="0" w:color="000000"/>
              <w:bottom w:val="single" w:sz="4" w:space="0" w:color="000000"/>
              <w:right w:val="single" w:sz="4" w:space="0" w:color="000000"/>
            </w:tcBorders>
          </w:tcPr>
          <w:p w14:paraId="772BFC5A" w14:textId="77777777" w:rsidR="0031675F" w:rsidRPr="0031675F" w:rsidRDefault="0031675F" w:rsidP="0031675F"/>
        </w:tc>
        <w:tc>
          <w:tcPr>
            <w:tcW w:w="735" w:type="dxa"/>
            <w:tcBorders>
              <w:top w:val="single" w:sz="6" w:space="0" w:color="000000"/>
              <w:left w:val="single" w:sz="4" w:space="0" w:color="000000"/>
              <w:bottom w:val="single" w:sz="4" w:space="0" w:color="000000"/>
              <w:right w:val="single" w:sz="4" w:space="0" w:color="000000"/>
            </w:tcBorders>
          </w:tcPr>
          <w:p w14:paraId="6D7D091F" w14:textId="77777777" w:rsidR="0031675F" w:rsidRPr="0031675F" w:rsidRDefault="0031675F" w:rsidP="0031675F"/>
        </w:tc>
        <w:tc>
          <w:tcPr>
            <w:tcW w:w="734" w:type="dxa"/>
            <w:gridSpan w:val="2"/>
            <w:tcBorders>
              <w:top w:val="single" w:sz="6" w:space="0" w:color="000000"/>
              <w:left w:val="single" w:sz="4" w:space="0" w:color="000000"/>
              <w:bottom w:val="single" w:sz="4" w:space="0" w:color="000000"/>
              <w:right w:val="single" w:sz="4" w:space="0" w:color="000000"/>
            </w:tcBorders>
          </w:tcPr>
          <w:p w14:paraId="70D3D0FC" w14:textId="77777777" w:rsidR="0031675F" w:rsidRPr="0031675F" w:rsidRDefault="0031675F" w:rsidP="0031675F"/>
        </w:tc>
        <w:tc>
          <w:tcPr>
            <w:tcW w:w="731" w:type="dxa"/>
            <w:tcBorders>
              <w:top w:val="single" w:sz="6" w:space="0" w:color="000000"/>
              <w:left w:val="single" w:sz="4" w:space="0" w:color="000000"/>
              <w:bottom w:val="single" w:sz="4" w:space="0" w:color="000000"/>
              <w:right w:val="single" w:sz="7" w:space="0" w:color="000000"/>
            </w:tcBorders>
          </w:tcPr>
          <w:p w14:paraId="090554F4" w14:textId="77777777" w:rsidR="0031675F" w:rsidRPr="0031675F" w:rsidRDefault="0031675F" w:rsidP="0031675F"/>
        </w:tc>
      </w:tr>
      <w:tr w:rsidR="0031675F" w:rsidRPr="0031675F" w14:paraId="1C4DE74E" w14:textId="77777777" w:rsidTr="00B00729">
        <w:trPr>
          <w:trHeight w:hRule="exact" w:val="85"/>
        </w:trPr>
        <w:tc>
          <w:tcPr>
            <w:tcW w:w="932" w:type="dxa"/>
            <w:gridSpan w:val="2"/>
            <w:tcBorders>
              <w:top w:val="single" w:sz="4" w:space="0" w:color="000000"/>
              <w:left w:val="single" w:sz="6" w:space="0" w:color="000000"/>
              <w:bottom w:val="nil"/>
              <w:right w:val="single" w:sz="4" w:space="0" w:color="000000"/>
            </w:tcBorders>
          </w:tcPr>
          <w:p w14:paraId="7A818CBE"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57014B7C"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67B9B4A1"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5A53637F"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4C1CE543"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0B942B49"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4E4D513B"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073229BE"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2A780151" w14:textId="77777777" w:rsidR="0031675F" w:rsidRPr="0031675F" w:rsidRDefault="0031675F" w:rsidP="0031675F"/>
        </w:tc>
        <w:tc>
          <w:tcPr>
            <w:tcW w:w="734" w:type="dxa"/>
            <w:gridSpan w:val="2"/>
            <w:tcBorders>
              <w:top w:val="single" w:sz="4" w:space="0" w:color="000000"/>
              <w:left w:val="single" w:sz="4" w:space="0" w:color="000000"/>
              <w:bottom w:val="nil"/>
              <w:right w:val="single" w:sz="4" w:space="0" w:color="000000"/>
            </w:tcBorders>
          </w:tcPr>
          <w:p w14:paraId="58D7491B" w14:textId="77777777" w:rsidR="0031675F" w:rsidRPr="0031675F" w:rsidRDefault="0031675F" w:rsidP="0031675F"/>
        </w:tc>
        <w:tc>
          <w:tcPr>
            <w:tcW w:w="731" w:type="dxa"/>
            <w:vMerge w:val="restart"/>
            <w:tcBorders>
              <w:top w:val="single" w:sz="4" w:space="0" w:color="000000"/>
              <w:left w:val="single" w:sz="4" w:space="0" w:color="000000"/>
              <w:right w:val="single" w:sz="7" w:space="0" w:color="000000"/>
            </w:tcBorders>
          </w:tcPr>
          <w:p w14:paraId="561C71FD" w14:textId="77777777" w:rsidR="0031675F" w:rsidRPr="0031675F" w:rsidRDefault="0031675F" w:rsidP="0031675F"/>
        </w:tc>
      </w:tr>
      <w:tr w:rsidR="0031675F" w:rsidRPr="0031675F" w14:paraId="390829DC" w14:textId="77777777" w:rsidTr="00B00729">
        <w:trPr>
          <w:trHeight w:hRule="exact" w:val="95"/>
        </w:trPr>
        <w:tc>
          <w:tcPr>
            <w:tcW w:w="269" w:type="dxa"/>
            <w:tcBorders>
              <w:top w:val="nil"/>
              <w:left w:val="single" w:sz="6" w:space="0" w:color="000000"/>
              <w:bottom w:val="single" w:sz="4" w:space="0" w:color="000000"/>
              <w:right w:val="single" w:sz="4" w:space="0" w:color="000000"/>
            </w:tcBorders>
          </w:tcPr>
          <w:p w14:paraId="73AF607E" w14:textId="77777777" w:rsidR="0031675F" w:rsidRPr="0031675F" w:rsidRDefault="0031675F" w:rsidP="0031675F"/>
        </w:tc>
        <w:tc>
          <w:tcPr>
            <w:tcW w:w="6747" w:type="dxa"/>
            <w:gridSpan w:val="10"/>
            <w:vMerge w:val="restart"/>
            <w:tcBorders>
              <w:top w:val="single" w:sz="4" w:space="0" w:color="000000"/>
              <w:left w:val="single" w:sz="4" w:space="0" w:color="000000"/>
              <w:right w:val="single" w:sz="4" w:space="0" w:color="000000"/>
            </w:tcBorders>
            <w:shd w:val="clear" w:color="auto" w:fill="DFFFDF"/>
          </w:tcPr>
          <w:p w14:paraId="2A15B4B7" w14:textId="77777777" w:rsidR="0031675F" w:rsidRPr="0031675F" w:rsidRDefault="0031675F" w:rsidP="0031675F">
            <w:pPr>
              <w:widowControl w:val="0"/>
              <w:spacing w:before="5" w:after="0" w:line="240" w:lineRule="auto"/>
              <w:ind w:left="17"/>
              <w:rPr>
                <w:rFonts w:eastAsia="Arial" w:cs="Arial"/>
                <w:sz w:val="11"/>
                <w:szCs w:val="11"/>
                <w:lang w:val="en-US"/>
              </w:rPr>
            </w:pPr>
            <w:r w:rsidRPr="0031675F">
              <w:rPr>
                <w:rFonts w:eastAsia="Calibri" w:hAnsi="Calibri"/>
                <w:w w:val="105"/>
                <w:sz w:val="11"/>
                <w:lang w:val="en-US"/>
              </w:rPr>
              <w:t>............................................................................................................................................................................................</w:t>
            </w:r>
          </w:p>
          <w:p w14:paraId="1DC29C89" w14:textId="77777777" w:rsidR="0031675F" w:rsidRPr="0031675F" w:rsidRDefault="0031675F" w:rsidP="0031675F">
            <w:pPr>
              <w:widowControl w:val="0"/>
              <w:spacing w:before="13" w:after="0" w:line="240" w:lineRule="auto"/>
              <w:ind w:left="17"/>
              <w:rPr>
                <w:rFonts w:eastAsia="Arial" w:cs="Arial"/>
                <w:sz w:val="38"/>
                <w:szCs w:val="38"/>
                <w:lang w:val="en-US"/>
              </w:rPr>
            </w:pPr>
            <w:r w:rsidRPr="0031675F">
              <w:rPr>
                <w:rFonts w:eastAsia="Calibri" w:hAnsi="Calibri"/>
                <w:spacing w:val="-1"/>
                <w:sz w:val="35"/>
                <w:lang w:val="en-US"/>
              </w:rPr>
              <w:t>Australian</w:t>
            </w:r>
            <w:r w:rsidRPr="0031675F">
              <w:rPr>
                <w:rFonts w:eastAsia="Calibri" w:hAnsi="Calibri"/>
                <w:spacing w:val="-15"/>
                <w:sz w:val="35"/>
                <w:lang w:val="en-US"/>
              </w:rPr>
              <w:t xml:space="preserve"> </w:t>
            </w:r>
            <w:r w:rsidRPr="0031675F">
              <w:rPr>
                <w:rFonts w:eastAsia="Calibri" w:hAnsi="Calibri"/>
                <w:sz w:val="35"/>
                <w:lang w:val="en-US"/>
              </w:rPr>
              <w:t>Institute</w:t>
            </w:r>
            <w:r w:rsidRPr="0031675F">
              <w:rPr>
                <w:rFonts w:eastAsia="Calibri" w:hAnsi="Calibri"/>
                <w:spacing w:val="-15"/>
                <w:sz w:val="35"/>
                <w:lang w:val="en-US"/>
              </w:rPr>
              <w:t xml:space="preserve"> </w:t>
            </w:r>
            <w:r w:rsidRPr="0031675F">
              <w:rPr>
                <w:rFonts w:eastAsia="Calibri" w:hAnsi="Calibri"/>
                <w:spacing w:val="-1"/>
                <w:sz w:val="35"/>
                <w:lang w:val="en-US"/>
              </w:rPr>
              <w:t>of</w:t>
            </w:r>
            <w:r w:rsidRPr="0031675F">
              <w:rPr>
                <w:rFonts w:eastAsia="Calibri" w:hAnsi="Calibri"/>
                <w:spacing w:val="-14"/>
                <w:sz w:val="35"/>
                <w:lang w:val="en-US"/>
              </w:rPr>
              <w:t xml:space="preserve"> </w:t>
            </w:r>
            <w:r w:rsidRPr="0031675F">
              <w:rPr>
                <w:rFonts w:eastAsia="Calibri" w:hAnsi="Calibri"/>
                <w:spacing w:val="-1"/>
                <w:sz w:val="35"/>
                <w:lang w:val="en-US"/>
              </w:rPr>
              <w:t>Marine</w:t>
            </w:r>
            <w:r w:rsidRPr="0031675F">
              <w:rPr>
                <w:rFonts w:eastAsia="Calibri" w:hAnsi="Calibri"/>
                <w:spacing w:val="-12"/>
                <w:sz w:val="35"/>
                <w:lang w:val="en-US"/>
              </w:rPr>
              <w:t xml:space="preserve"> </w:t>
            </w:r>
            <w:r w:rsidRPr="0031675F">
              <w:rPr>
                <w:rFonts w:eastAsia="Calibri" w:hAnsi="Calibri"/>
                <w:spacing w:val="-1"/>
                <w:sz w:val="38"/>
                <w:lang w:val="en-US"/>
              </w:rPr>
              <w:t>Science</w:t>
            </w:r>
          </w:p>
          <w:p w14:paraId="4DFBF542" w14:textId="77777777" w:rsidR="0031675F" w:rsidRPr="0031675F" w:rsidRDefault="0031675F" w:rsidP="0031675F">
            <w:pPr>
              <w:widowControl w:val="0"/>
              <w:spacing w:before="19" w:after="0" w:line="240" w:lineRule="auto"/>
              <w:ind w:left="17"/>
              <w:rPr>
                <w:rFonts w:eastAsia="Arial" w:cs="Arial"/>
                <w:sz w:val="40"/>
                <w:szCs w:val="40"/>
                <w:lang w:val="en-US"/>
              </w:rPr>
            </w:pPr>
            <w:r w:rsidRPr="0031675F">
              <w:rPr>
                <w:rFonts w:eastAsia="Calibri" w:hAnsi="Calibri"/>
                <w:spacing w:val="-1"/>
                <w:sz w:val="40"/>
                <w:lang w:val="en-US"/>
              </w:rPr>
              <w:t>LABORATORY</w:t>
            </w:r>
            <w:r w:rsidRPr="0031675F">
              <w:rPr>
                <w:rFonts w:eastAsia="Calibri" w:hAnsi="Calibri"/>
                <w:spacing w:val="46"/>
                <w:sz w:val="40"/>
                <w:lang w:val="en-US"/>
              </w:rPr>
              <w:t xml:space="preserve"> </w:t>
            </w:r>
            <w:r w:rsidRPr="0031675F">
              <w:rPr>
                <w:rFonts w:eastAsia="Calibri" w:hAnsi="Calibri"/>
                <w:spacing w:val="-1"/>
                <w:sz w:val="40"/>
                <w:lang w:val="en-US"/>
              </w:rPr>
              <w:t>SERVICES</w:t>
            </w:r>
          </w:p>
          <w:p w14:paraId="55FCB560" w14:textId="77777777" w:rsidR="0031675F" w:rsidRPr="0031675F" w:rsidRDefault="0031675F" w:rsidP="0031675F">
            <w:pPr>
              <w:widowControl w:val="0"/>
              <w:tabs>
                <w:tab w:val="left" w:pos="1367"/>
                <w:tab w:val="left" w:pos="1899"/>
                <w:tab w:val="left" w:pos="2773"/>
                <w:tab w:val="left" w:pos="2803"/>
                <w:tab w:val="left" w:pos="3292"/>
                <w:tab w:val="right" w:pos="4392"/>
                <w:tab w:val="left" w:pos="4569"/>
              </w:tabs>
              <w:spacing w:before="23" w:after="0" w:line="288" w:lineRule="auto"/>
              <w:ind w:left="702" w:right="1295" w:hanging="685"/>
              <w:rPr>
                <w:rFonts w:ascii="Times New Roman" w:eastAsia="Times New Roman" w:hAnsi="Times New Roman"/>
                <w:sz w:val="11"/>
                <w:szCs w:val="11"/>
                <w:lang w:val="en-US"/>
              </w:rPr>
            </w:pPr>
            <w:r w:rsidRPr="0031675F">
              <w:rPr>
                <w:rFonts w:ascii="Times New Roman" w:eastAsia="Calibri" w:hAnsi="Calibri"/>
                <w:spacing w:val="-1"/>
                <w:w w:val="105"/>
                <w:sz w:val="11"/>
                <w:lang w:val="en-US"/>
              </w:rPr>
              <w:t>Telephone:</w:t>
            </w:r>
            <w:r w:rsidRPr="0031675F">
              <w:rPr>
                <w:rFonts w:ascii="Times New Roman" w:eastAsia="Calibri" w:hAnsi="Calibri"/>
                <w:w w:val="105"/>
                <w:sz w:val="11"/>
                <w:lang w:val="en-US"/>
              </w:rPr>
              <w:t xml:space="preserve">    </w:t>
            </w:r>
            <w:r w:rsidRPr="0031675F">
              <w:rPr>
                <w:rFonts w:ascii="Times New Roman" w:eastAsia="Calibri" w:hAnsi="Calibri"/>
                <w:spacing w:val="12"/>
                <w:w w:val="105"/>
                <w:sz w:val="11"/>
                <w:lang w:val="en-US"/>
              </w:rPr>
              <w:t xml:space="preserve"> </w:t>
            </w:r>
            <w:r w:rsidRPr="0031675F">
              <w:rPr>
                <w:rFonts w:ascii="Times New Roman" w:eastAsia="Calibri" w:hAnsi="Calibri"/>
                <w:spacing w:val="-1"/>
                <w:w w:val="105"/>
                <w:sz w:val="11"/>
                <w:lang w:val="en-US"/>
              </w:rPr>
              <w:t>Manager</w:t>
            </w:r>
            <w:r w:rsidRPr="0031675F">
              <w:rPr>
                <w:rFonts w:ascii="Times New Roman" w:eastAsia="Calibri" w:hAnsi="Calibri"/>
                <w:spacing w:val="-1"/>
                <w:w w:val="105"/>
                <w:sz w:val="11"/>
                <w:lang w:val="en-US"/>
              </w:rPr>
              <w:tab/>
            </w:r>
            <w:r w:rsidRPr="0031675F">
              <w:rPr>
                <w:rFonts w:ascii="Times New Roman" w:eastAsia="Calibri" w:hAnsi="Calibri"/>
                <w:w w:val="105"/>
                <w:sz w:val="11"/>
                <w:lang w:val="en-US"/>
              </w:rPr>
              <w:t>263</w:t>
            </w:r>
            <w:r w:rsidRPr="0031675F">
              <w:rPr>
                <w:rFonts w:ascii="Times New Roman" w:eastAsia="Calibri" w:hAnsi="Calibri"/>
                <w:w w:val="105"/>
                <w:sz w:val="11"/>
                <w:lang w:val="en-US"/>
              </w:rPr>
              <w:tab/>
            </w:r>
            <w:r w:rsidRPr="0031675F">
              <w:rPr>
                <w:rFonts w:ascii="Times New Roman" w:eastAsia="Calibri" w:hAnsi="Calibri"/>
                <w:spacing w:val="-2"/>
                <w:w w:val="105"/>
                <w:sz w:val="11"/>
                <w:lang w:val="en-US"/>
              </w:rPr>
              <w:t>ICP</w:t>
            </w:r>
            <w:r w:rsidRPr="0031675F">
              <w:rPr>
                <w:rFonts w:ascii="Times New Roman" w:eastAsia="Calibri" w:hAnsi="Calibri"/>
                <w:spacing w:val="-1"/>
                <w:w w:val="105"/>
                <w:sz w:val="11"/>
                <w:lang w:val="en-US"/>
              </w:rPr>
              <w:t xml:space="preserve"> Facility</w:t>
            </w:r>
            <w:r w:rsidRPr="0031675F">
              <w:rPr>
                <w:rFonts w:ascii="Times New Roman" w:eastAsia="Calibri" w:hAnsi="Calibri"/>
                <w:spacing w:val="-1"/>
                <w:w w:val="105"/>
                <w:sz w:val="11"/>
                <w:lang w:val="en-US"/>
              </w:rPr>
              <w:tab/>
            </w:r>
            <w:r w:rsidRPr="0031675F">
              <w:rPr>
                <w:rFonts w:ascii="Times New Roman" w:eastAsia="Calibri" w:hAnsi="Calibri"/>
                <w:w w:val="105"/>
                <w:sz w:val="11"/>
                <w:lang w:val="en-US"/>
              </w:rPr>
              <w:t>385</w:t>
            </w:r>
            <w:r w:rsidRPr="0031675F">
              <w:rPr>
                <w:rFonts w:ascii="Times New Roman" w:eastAsia="Calibri" w:hAnsi="Calibri"/>
                <w:w w:val="105"/>
                <w:sz w:val="11"/>
                <w:lang w:val="en-US"/>
              </w:rPr>
              <w:tab/>
            </w:r>
            <w:r w:rsidRPr="0031675F">
              <w:rPr>
                <w:rFonts w:ascii="Times New Roman" w:eastAsia="Calibri" w:hAnsi="Calibri"/>
                <w:spacing w:val="-1"/>
                <w:w w:val="105"/>
                <w:sz w:val="11"/>
                <w:lang w:val="en-US"/>
              </w:rPr>
              <w:t>Nutrient</w:t>
            </w:r>
            <w:r w:rsidRPr="0031675F">
              <w:rPr>
                <w:rFonts w:ascii="Times New Roman" w:eastAsia="Calibri" w:hAnsi="Calibri"/>
                <w:spacing w:val="3"/>
                <w:w w:val="105"/>
                <w:sz w:val="11"/>
                <w:lang w:val="en-US"/>
              </w:rPr>
              <w:t xml:space="preserve"> </w:t>
            </w:r>
            <w:r w:rsidRPr="0031675F">
              <w:rPr>
                <w:rFonts w:ascii="Times New Roman" w:eastAsia="Calibri" w:hAnsi="Calibri"/>
                <w:spacing w:val="-1"/>
                <w:w w:val="105"/>
                <w:sz w:val="11"/>
                <w:lang w:val="en-US"/>
              </w:rPr>
              <w:t>Facility</w:t>
            </w:r>
            <w:r w:rsidRPr="0031675F">
              <w:rPr>
                <w:rFonts w:ascii="Times New Roman" w:eastAsia="Calibri" w:hAnsi="Calibri"/>
                <w:w w:val="105"/>
                <w:sz w:val="11"/>
                <w:lang w:val="en-US"/>
              </w:rPr>
              <w:t xml:space="preserve">   </w:t>
            </w:r>
            <w:r w:rsidRPr="0031675F">
              <w:rPr>
                <w:rFonts w:ascii="Times New Roman" w:eastAsia="Calibri" w:hAnsi="Calibri"/>
                <w:spacing w:val="7"/>
                <w:w w:val="105"/>
                <w:sz w:val="11"/>
                <w:lang w:val="en-US"/>
              </w:rPr>
              <w:t xml:space="preserve"> </w:t>
            </w:r>
            <w:r w:rsidRPr="0031675F">
              <w:rPr>
                <w:rFonts w:ascii="Times New Roman" w:eastAsia="Calibri" w:hAnsi="Calibri"/>
                <w:w w:val="105"/>
                <w:sz w:val="11"/>
                <w:lang w:val="en-US"/>
              </w:rPr>
              <w:t>363</w:t>
            </w:r>
            <w:r w:rsidRPr="0031675F">
              <w:rPr>
                <w:rFonts w:ascii="Times New Roman" w:eastAsia="Calibri" w:hAnsi="Calibri"/>
                <w:w w:val="105"/>
                <w:sz w:val="11"/>
                <w:lang w:val="en-US"/>
              </w:rPr>
              <w:tab/>
            </w:r>
            <w:r w:rsidRPr="0031675F">
              <w:rPr>
                <w:rFonts w:ascii="Times New Roman" w:eastAsia="Calibri" w:hAnsi="Calibri"/>
                <w:w w:val="105"/>
                <w:sz w:val="11"/>
                <w:lang w:val="en-US"/>
              </w:rPr>
              <w:tab/>
            </w:r>
            <w:r w:rsidRPr="0031675F">
              <w:rPr>
                <w:rFonts w:ascii="Times New Roman" w:eastAsia="Calibri" w:hAnsi="Calibri"/>
                <w:spacing w:val="-1"/>
                <w:w w:val="105"/>
                <w:sz w:val="11"/>
                <w:lang w:val="en-US"/>
              </w:rPr>
              <w:t>E-mail</w:t>
            </w:r>
            <w:r w:rsidRPr="0031675F">
              <w:rPr>
                <w:rFonts w:ascii="Times New Roman" w:eastAsia="Calibri" w:hAnsi="Calibri"/>
                <w:w w:val="105"/>
                <w:sz w:val="11"/>
                <w:lang w:val="en-US"/>
              </w:rPr>
              <w:t xml:space="preserve">    </w:t>
            </w:r>
            <w:r w:rsidRPr="0031675F">
              <w:rPr>
                <w:rFonts w:ascii="Times New Roman" w:eastAsia="Calibri" w:hAnsi="Calibri"/>
                <w:spacing w:val="10"/>
                <w:w w:val="105"/>
                <w:sz w:val="11"/>
                <w:lang w:val="en-US"/>
              </w:rPr>
              <w:t xml:space="preserve"> </w:t>
            </w:r>
            <w:r w:rsidRPr="0031675F">
              <w:rPr>
                <w:rFonts w:ascii="Times New Roman" w:eastAsia="Calibri" w:hAnsi="Calibri"/>
                <w:spacing w:val="-1"/>
                <w:w w:val="105"/>
                <w:sz w:val="11"/>
                <w:lang w:val="en-US"/>
              </w:rPr>
              <w:t>f_tirendi</w:t>
            </w:r>
            <w:r w:rsidRPr="0031675F">
              <w:rPr>
                <w:rFonts w:ascii="Times New Roman" w:eastAsia="Calibri" w:hAnsi="Calibri"/>
                <w:spacing w:val="55"/>
                <w:w w:val="106"/>
                <w:sz w:val="11"/>
                <w:lang w:val="en-US"/>
              </w:rPr>
              <w:t xml:space="preserve"> </w:t>
            </w:r>
            <w:r w:rsidRPr="0031675F">
              <w:rPr>
                <w:rFonts w:ascii="Times New Roman" w:eastAsia="Calibri" w:hAnsi="Calibri"/>
                <w:spacing w:val="-1"/>
                <w:w w:val="105"/>
                <w:sz w:val="11"/>
                <w:lang w:val="en-US"/>
              </w:rPr>
              <w:t>Laboratory</w:t>
            </w:r>
            <w:r w:rsidRPr="0031675F">
              <w:rPr>
                <w:rFonts w:ascii="Times New Roman" w:eastAsia="Calibri" w:hAnsi="Calibri"/>
                <w:w w:val="105"/>
                <w:sz w:val="11"/>
                <w:lang w:val="en-US"/>
              </w:rPr>
              <w:t xml:space="preserve">    </w:t>
            </w:r>
            <w:r w:rsidRPr="0031675F">
              <w:rPr>
                <w:rFonts w:ascii="Times New Roman" w:eastAsia="Calibri" w:hAnsi="Calibri"/>
                <w:spacing w:val="7"/>
                <w:w w:val="105"/>
                <w:sz w:val="11"/>
                <w:lang w:val="en-US"/>
              </w:rPr>
              <w:t xml:space="preserve"> </w:t>
            </w:r>
            <w:r w:rsidRPr="0031675F">
              <w:rPr>
                <w:rFonts w:ascii="Times New Roman" w:eastAsia="Calibri" w:hAnsi="Calibri"/>
                <w:w w:val="105"/>
                <w:sz w:val="11"/>
                <w:lang w:val="en-US"/>
              </w:rPr>
              <w:t>223</w:t>
            </w:r>
            <w:r w:rsidRPr="0031675F">
              <w:rPr>
                <w:rFonts w:ascii="Times New Roman" w:eastAsia="Calibri" w:hAnsi="Calibri"/>
                <w:w w:val="105"/>
                <w:sz w:val="11"/>
                <w:lang w:val="en-US"/>
              </w:rPr>
              <w:tab/>
            </w:r>
            <w:r w:rsidRPr="0031675F">
              <w:rPr>
                <w:rFonts w:ascii="Times New Roman" w:eastAsia="Calibri" w:hAnsi="Calibri"/>
                <w:spacing w:val="-1"/>
                <w:w w:val="105"/>
                <w:sz w:val="11"/>
                <w:lang w:val="en-US"/>
              </w:rPr>
              <w:t>TOC/CHNS</w:t>
            </w:r>
            <w:r w:rsidRPr="0031675F">
              <w:rPr>
                <w:rFonts w:ascii="Times New Roman" w:eastAsia="Calibri" w:hAnsi="Calibri"/>
                <w:spacing w:val="-1"/>
                <w:w w:val="105"/>
                <w:sz w:val="11"/>
                <w:lang w:val="en-US"/>
              </w:rPr>
              <w:tab/>
            </w:r>
            <w:r w:rsidRPr="0031675F">
              <w:rPr>
                <w:rFonts w:ascii="Times New Roman" w:eastAsia="Calibri" w:hAnsi="Calibri"/>
                <w:spacing w:val="-1"/>
                <w:w w:val="105"/>
                <w:sz w:val="11"/>
                <w:lang w:val="en-US"/>
              </w:rPr>
              <w:tab/>
            </w:r>
            <w:r w:rsidRPr="0031675F">
              <w:rPr>
                <w:rFonts w:ascii="Times New Roman" w:eastAsia="Calibri" w:hAnsi="Calibri"/>
                <w:w w:val="105"/>
                <w:sz w:val="11"/>
                <w:lang w:val="en-US"/>
              </w:rPr>
              <w:t>214</w:t>
            </w:r>
            <w:r w:rsidRPr="0031675F">
              <w:rPr>
                <w:rFonts w:ascii="Times New Roman" w:eastAsia="Calibri" w:hAnsi="Calibri"/>
                <w:w w:val="105"/>
                <w:sz w:val="11"/>
                <w:lang w:val="en-US"/>
              </w:rPr>
              <w:tab/>
            </w:r>
            <w:r w:rsidRPr="0031675F">
              <w:rPr>
                <w:rFonts w:ascii="Times New Roman" w:eastAsia="Calibri" w:hAnsi="Calibri"/>
                <w:spacing w:val="-2"/>
                <w:w w:val="105"/>
                <w:sz w:val="11"/>
                <w:lang w:val="en-US"/>
              </w:rPr>
              <w:t>GC</w:t>
            </w:r>
            <w:r w:rsidRPr="0031675F">
              <w:rPr>
                <w:rFonts w:ascii="Times New Roman" w:eastAsia="Calibri" w:hAnsi="Calibri"/>
                <w:spacing w:val="1"/>
                <w:w w:val="105"/>
                <w:sz w:val="11"/>
                <w:lang w:val="en-US"/>
              </w:rPr>
              <w:t xml:space="preserve"> </w:t>
            </w:r>
            <w:r w:rsidRPr="0031675F">
              <w:rPr>
                <w:rFonts w:ascii="Times New Roman" w:eastAsia="Calibri" w:hAnsi="Calibri"/>
                <w:spacing w:val="-1"/>
                <w:w w:val="105"/>
                <w:sz w:val="11"/>
                <w:lang w:val="en-US"/>
              </w:rPr>
              <w:t>facility</w:t>
            </w:r>
            <w:r w:rsidRPr="0031675F">
              <w:rPr>
                <w:rFonts w:ascii="Times New Roman" w:eastAsia="Calibri" w:hAnsi="Calibri"/>
                <w:spacing w:val="-1"/>
                <w:w w:val="105"/>
                <w:sz w:val="11"/>
                <w:lang w:val="en-US"/>
              </w:rPr>
              <w:tab/>
            </w:r>
            <w:r w:rsidRPr="0031675F">
              <w:rPr>
                <w:rFonts w:ascii="Times New Roman" w:eastAsia="Calibri" w:hAnsi="Calibri"/>
                <w:w w:val="105"/>
                <w:sz w:val="11"/>
                <w:lang w:val="en-US"/>
              </w:rPr>
              <w:t>392</w:t>
            </w:r>
          </w:p>
          <w:p w14:paraId="5AC6F9E4" w14:textId="77777777" w:rsidR="0031675F" w:rsidRPr="0031675F" w:rsidRDefault="0031675F" w:rsidP="0031675F">
            <w:pPr>
              <w:widowControl w:val="0"/>
              <w:spacing w:before="0" w:after="0" w:line="240" w:lineRule="auto"/>
              <w:ind w:right="1609"/>
              <w:jc w:val="center"/>
              <w:rPr>
                <w:rFonts w:ascii="Times New Roman" w:eastAsia="Times New Roman" w:hAnsi="Times New Roman"/>
                <w:sz w:val="11"/>
                <w:szCs w:val="11"/>
                <w:lang w:val="en-US"/>
              </w:rPr>
            </w:pPr>
            <w:r w:rsidRPr="0031675F">
              <w:rPr>
                <w:rFonts w:ascii="Times New Roman" w:eastAsia="Calibri" w:hAnsi="Calibri"/>
                <w:spacing w:val="-1"/>
                <w:w w:val="105"/>
                <w:sz w:val="11"/>
                <w:lang w:val="en-US"/>
              </w:rPr>
              <w:t>Postal</w:t>
            </w:r>
            <w:r w:rsidRPr="0031675F">
              <w:rPr>
                <w:rFonts w:ascii="Times New Roman" w:eastAsia="Calibri" w:hAnsi="Calibri"/>
                <w:spacing w:val="2"/>
                <w:w w:val="105"/>
                <w:sz w:val="11"/>
                <w:lang w:val="en-US"/>
              </w:rPr>
              <w:t xml:space="preserve"> </w:t>
            </w:r>
            <w:r w:rsidRPr="0031675F">
              <w:rPr>
                <w:rFonts w:ascii="Times New Roman" w:eastAsia="Calibri" w:hAnsi="Calibri"/>
                <w:spacing w:val="-1"/>
                <w:w w:val="105"/>
                <w:sz w:val="11"/>
                <w:lang w:val="en-US"/>
              </w:rPr>
              <w:t>Mail:</w:t>
            </w:r>
            <w:r w:rsidRPr="0031675F">
              <w:rPr>
                <w:rFonts w:ascii="Times New Roman" w:eastAsia="Calibri" w:hAnsi="Calibri"/>
                <w:w w:val="105"/>
                <w:sz w:val="11"/>
                <w:lang w:val="en-US"/>
              </w:rPr>
              <w:t xml:space="preserve"> </w:t>
            </w:r>
            <w:r w:rsidRPr="0031675F">
              <w:rPr>
                <w:rFonts w:ascii="Times New Roman" w:eastAsia="Calibri" w:hAnsi="Calibri"/>
                <w:spacing w:val="5"/>
                <w:w w:val="105"/>
                <w:sz w:val="11"/>
                <w:lang w:val="en-US"/>
              </w:rPr>
              <w:t xml:space="preserve"> </w:t>
            </w:r>
            <w:r w:rsidRPr="0031675F">
              <w:rPr>
                <w:rFonts w:ascii="Times New Roman" w:eastAsia="Calibri" w:hAnsi="Calibri"/>
                <w:spacing w:val="-1"/>
                <w:w w:val="105"/>
                <w:sz w:val="11"/>
                <w:lang w:val="en-US"/>
              </w:rPr>
              <w:t>PMB</w:t>
            </w:r>
            <w:r w:rsidRPr="0031675F">
              <w:rPr>
                <w:rFonts w:ascii="Times New Roman" w:eastAsia="Calibri" w:hAnsi="Calibri"/>
                <w:spacing w:val="4"/>
                <w:w w:val="105"/>
                <w:sz w:val="11"/>
                <w:lang w:val="en-US"/>
              </w:rPr>
              <w:t xml:space="preserve"> </w:t>
            </w:r>
            <w:r w:rsidRPr="0031675F">
              <w:rPr>
                <w:rFonts w:ascii="Times New Roman" w:eastAsia="Calibri" w:hAnsi="Calibri"/>
                <w:w w:val="105"/>
                <w:sz w:val="11"/>
                <w:lang w:val="en-US"/>
              </w:rPr>
              <w:t>3,</w:t>
            </w:r>
            <w:r w:rsidRPr="0031675F">
              <w:rPr>
                <w:rFonts w:ascii="Times New Roman" w:eastAsia="Calibri" w:hAnsi="Calibri"/>
                <w:spacing w:val="3"/>
                <w:w w:val="105"/>
                <w:sz w:val="11"/>
                <w:lang w:val="en-US"/>
              </w:rPr>
              <w:t xml:space="preserve"> </w:t>
            </w:r>
            <w:r w:rsidRPr="0031675F">
              <w:rPr>
                <w:rFonts w:ascii="Times New Roman" w:eastAsia="Calibri" w:hAnsi="Calibri"/>
                <w:spacing w:val="-1"/>
                <w:w w:val="105"/>
                <w:sz w:val="11"/>
                <w:lang w:val="en-US"/>
              </w:rPr>
              <w:t>Townsville</w:t>
            </w:r>
            <w:r w:rsidRPr="0031675F">
              <w:rPr>
                <w:rFonts w:ascii="Times New Roman" w:eastAsia="Calibri" w:hAnsi="Calibri"/>
                <w:spacing w:val="1"/>
                <w:w w:val="105"/>
                <w:sz w:val="11"/>
                <w:lang w:val="en-US"/>
              </w:rPr>
              <w:t xml:space="preserve"> </w:t>
            </w:r>
            <w:r w:rsidRPr="0031675F">
              <w:rPr>
                <w:rFonts w:ascii="Times New Roman" w:eastAsia="Calibri" w:hAnsi="Calibri"/>
                <w:spacing w:val="-1"/>
                <w:w w:val="105"/>
                <w:sz w:val="11"/>
                <w:lang w:val="en-US"/>
              </w:rPr>
              <w:t>Qld.</w:t>
            </w:r>
            <w:r w:rsidRPr="0031675F">
              <w:rPr>
                <w:rFonts w:ascii="Times New Roman" w:eastAsia="Calibri" w:hAnsi="Calibri"/>
                <w:spacing w:val="4"/>
                <w:w w:val="105"/>
                <w:sz w:val="11"/>
                <w:lang w:val="en-US"/>
              </w:rPr>
              <w:t xml:space="preserve"> </w:t>
            </w:r>
            <w:r w:rsidRPr="0031675F">
              <w:rPr>
                <w:rFonts w:ascii="Times New Roman" w:eastAsia="Calibri" w:hAnsi="Calibri"/>
                <w:spacing w:val="-1"/>
                <w:w w:val="105"/>
                <w:sz w:val="11"/>
                <w:lang w:val="en-US"/>
              </w:rPr>
              <w:t>Australia.</w:t>
            </w:r>
            <w:r w:rsidRPr="0031675F">
              <w:rPr>
                <w:rFonts w:ascii="Times New Roman" w:eastAsia="Calibri" w:hAnsi="Calibri"/>
                <w:spacing w:val="3"/>
                <w:w w:val="105"/>
                <w:sz w:val="11"/>
                <w:lang w:val="en-US"/>
              </w:rPr>
              <w:t xml:space="preserve"> </w:t>
            </w:r>
            <w:r w:rsidRPr="0031675F">
              <w:rPr>
                <w:rFonts w:ascii="Times New Roman" w:eastAsia="Calibri" w:hAnsi="Calibri"/>
                <w:w w:val="105"/>
                <w:sz w:val="11"/>
                <w:lang w:val="en-US"/>
              </w:rPr>
              <w:t>4810</w:t>
            </w:r>
          </w:p>
          <w:p w14:paraId="1E6D8DC0" w14:textId="77777777" w:rsidR="0031675F" w:rsidRPr="0031675F" w:rsidRDefault="0031675F" w:rsidP="0031675F">
            <w:pPr>
              <w:widowControl w:val="0"/>
              <w:spacing w:before="51" w:after="0" w:line="240" w:lineRule="auto"/>
              <w:ind w:left="17"/>
              <w:rPr>
                <w:rFonts w:ascii="Times New Roman" w:eastAsia="Times New Roman" w:hAnsi="Times New Roman"/>
                <w:sz w:val="11"/>
                <w:szCs w:val="11"/>
                <w:lang w:val="en-US"/>
              </w:rPr>
            </w:pPr>
            <w:r w:rsidRPr="0031675F">
              <w:rPr>
                <w:rFonts w:ascii="Times New Roman" w:eastAsia="Calibri" w:hAnsi="Calibri"/>
                <w:w w:val="105"/>
                <w:sz w:val="11"/>
                <w:lang w:val="en-US"/>
              </w:rPr>
              <w:t>............................................................................................................................................................................................</w:t>
            </w:r>
          </w:p>
          <w:p w14:paraId="6BE3C422" w14:textId="77777777" w:rsidR="0031675F" w:rsidRPr="0031675F" w:rsidRDefault="0031675F" w:rsidP="0031675F">
            <w:pPr>
              <w:widowControl w:val="0"/>
              <w:spacing w:before="0" w:after="0" w:line="240" w:lineRule="auto"/>
              <w:rPr>
                <w:rFonts w:eastAsia="Arial" w:cs="Arial"/>
                <w:b/>
                <w:bCs/>
                <w:sz w:val="12"/>
                <w:szCs w:val="12"/>
                <w:lang w:val="en-US"/>
              </w:rPr>
            </w:pPr>
          </w:p>
          <w:p w14:paraId="1BE82DD6" w14:textId="77777777" w:rsidR="0031675F" w:rsidRPr="0031675F" w:rsidRDefault="0031675F" w:rsidP="0031675F">
            <w:pPr>
              <w:widowControl w:val="0"/>
              <w:spacing w:before="71" w:after="0" w:line="240" w:lineRule="auto"/>
              <w:ind w:left="17"/>
              <w:rPr>
                <w:rFonts w:eastAsia="Arial" w:cs="Arial"/>
                <w:sz w:val="52"/>
                <w:szCs w:val="52"/>
                <w:lang w:val="en-US"/>
              </w:rPr>
            </w:pPr>
            <w:r w:rsidRPr="0031675F">
              <w:rPr>
                <w:rFonts w:eastAsia="Calibri" w:hAnsi="Calibri"/>
                <w:b/>
                <w:spacing w:val="-1"/>
                <w:sz w:val="52"/>
                <w:lang w:val="en-US"/>
              </w:rPr>
              <w:t>ANALYTICAL</w:t>
            </w:r>
            <w:r w:rsidRPr="0031675F">
              <w:rPr>
                <w:rFonts w:eastAsia="Calibri" w:hAnsi="Calibri"/>
                <w:b/>
                <w:spacing w:val="1"/>
                <w:sz w:val="52"/>
                <w:lang w:val="en-US"/>
              </w:rPr>
              <w:t xml:space="preserve"> </w:t>
            </w:r>
            <w:r w:rsidRPr="0031675F">
              <w:rPr>
                <w:rFonts w:eastAsia="Calibri" w:hAnsi="Calibri"/>
                <w:b/>
                <w:spacing w:val="-1"/>
                <w:sz w:val="52"/>
                <w:lang w:val="en-US"/>
              </w:rPr>
              <w:t>REPORT</w:t>
            </w:r>
          </w:p>
          <w:p w14:paraId="35332A5B" w14:textId="77777777" w:rsidR="0031675F" w:rsidRPr="0031675F" w:rsidRDefault="0031675F" w:rsidP="0031675F">
            <w:pPr>
              <w:widowControl w:val="0"/>
              <w:tabs>
                <w:tab w:val="left" w:pos="2040"/>
              </w:tabs>
              <w:spacing w:before="203" w:after="0" w:line="240" w:lineRule="auto"/>
              <w:ind w:left="17"/>
              <w:rPr>
                <w:rFonts w:eastAsia="Arial" w:cs="Arial"/>
                <w:sz w:val="17"/>
                <w:szCs w:val="17"/>
                <w:lang w:val="en-US"/>
              </w:rPr>
            </w:pPr>
            <w:r w:rsidRPr="0031675F">
              <w:rPr>
                <w:rFonts w:eastAsia="Calibri" w:hAnsi="Calibri"/>
                <w:b/>
                <w:spacing w:val="-1"/>
                <w:sz w:val="17"/>
                <w:lang w:val="en-US"/>
              </w:rPr>
              <w:t>Organisation/Project:</w:t>
            </w:r>
            <w:r w:rsidRPr="0031675F">
              <w:rPr>
                <w:rFonts w:eastAsia="Calibri" w:hAnsi="Calibri"/>
                <w:b/>
                <w:spacing w:val="-1"/>
                <w:sz w:val="17"/>
                <w:lang w:val="en-US"/>
              </w:rPr>
              <w:tab/>
            </w:r>
            <w:r w:rsidRPr="0031675F">
              <w:rPr>
                <w:rFonts w:eastAsia="Calibri" w:hAnsi="Calibri"/>
                <w:spacing w:val="-1"/>
                <w:sz w:val="17"/>
                <w:lang w:val="en-US"/>
              </w:rPr>
              <w:t>AIMS</w:t>
            </w:r>
          </w:p>
          <w:p w14:paraId="06ECC712" w14:textId="77777777" w:rsidR="0031675F" w:rsidRPr="0031675F" w:rsidRDefault="0031675F" w:rsidP="0031675F">
            <w:pPr>
              <w:widowControl w:val="0"/>
              <w:tabs>
                <w:tab w:val="left" w:pos="1515"/>
              </w:tabs>
              <w:spacing w:before="24" w:after="0" w:line="240" w:lineRule="auto"/>
              <w:ind w:right="3317"/>
              <w:jc w:val="center"/>
              <w:rPr>
                <w:rFonts w:eastAsia="Arial" w:cs="Arial"/>
                <w:sz w:val="17"/>
                <w:szCs w:val="17"/>
                <w:lang w:val="en-US"/>
              </w:rPr>
            </w:pPr>
            <w:r w:rsidRPr="0031675F">
              <w:rPr>
                <w:rFonts w:eastAsia="Calibri" w:hAnsi="Calibri"/>
                <w:b/>
                <w:spacing w:val="-1"/>
                <w:sz w:val="17"/>
                <w:lang w:val="en-US"/>
              </w:rPr>
              <w:t>Project</w:t>
            </w:r>
            <w:r w:rsidRPr="0031675F">
              <w:rPr>
                <w:rFonts w:eastAsia="Calibri" w:hAnsi="Calibri"/>
                <w:b/>
                <w:spacing w:val="24"/>
                <w:sz w:val="17"/>
                <w:lang w:val="en-US"/>
              </w:rPr>
              <w:t xml:space="preserve"> </w:t>
            </w:r>
            <w:r w:rsidRPr="0031675F">
              <w:rPr>
                <w:rFonts w:eastAsia="Calibri" w:hAnsi="Calibri"/>
                <w:b/>
                <w:spacing w:val="-1"/>
                <w:sz w:val="17"/>
                <w:lang w:val="en-US"/>
              </w:rPr>
              <w:t>Leader:</w:t>
            </w:r>
            <w:r w:rsidRPr="0031675F">
              <w:rPr>
                <w:rFonts w:eastAsia="Calibri" w:hAnsi="Calibri"/>
                <w:b/>
                <w:spacing w:val="-1"/>
                <w:sz w:val="17"/>
                <w:lang w:val="en-US"/>
              </w:rPr>
              <w:tab/>
            </w:r>
            <w:r w:rsidRPr="0031675F">
              <w:rPr>
                <w:rFonts w:eastAsia="Calibri" w:hAnsi="Calibri"/>
                <w:sz w:val="17"/>
                <w:lang w:val="en-US"/>
              </w:rPr>
              <w:t>M.</w:t>
            </w:r>
            <w:r w:rsidRPr="0031675F">
              <w:rPr>
                <w:rFonts w:eastAsia="Calibri" w:hAnsi="Calibri"/>
                <w:spacing w:val="17"/>
                <w:sz w:val="17"/>
                <w:lang w:val="en-US"/>
              </w:rPr>
              <w:t xml:space="preserve"> </w:t>
            </w:r>
            <w:r w:rsidRPr="0031675F">
              <w:rPr>
                <w:rFonts w:eastAsia="Calibri" w:hAnsi="Calibri"/>
                <w:sz w:val="17"/>
                <w:lang w:val="en-US"/>
              </w:rPr>
              <w:t>Furnas</w:t>
            </w:r>
          </w:p>
          <w:p w14:paraId="449DA121" w14:textId="77777777" w:rsidR="0031675F" w:rsidRPr="0031675F" w:rsidRDefault="0031675F" w:rsidP="0031675F">
            <w:pPr>
              <w:widowControl w:val="0"/>
              <w:tabs>
                <w:tab w:val="left" w:pos="2183"/>
              </w:tabs>
              <w:spacing w:before="24" w:after="0" w:line="240" w:lineRule="auto"/>
              <w:ind w:left="1243"/>
              <w:rPr>
                <w:rFonts w:eastAsia="Arial" w:cs="Arial"/>
                <w:sz w:val="17"/>
                <w:szCs w:val="17"/>
                <w:lang w:val="en-US"/>
              </w:rPr>
            </w:pPr>
            <w:r w:rsidRPr="0031675F">
              <w:rPr>
                <w:rFonts w:eastAsia="Calibri" w:hAnsi="Calibri"/>
                <w:b/>
                <w:spacing w:val="-1"/>
                <w:sz w:val="17"/>
                <w:lang w:val="en-US"/>
              </w:rPr>
              <w:t>Job</w:t>
            </w:r>
            <w:r w:rsidRPr="0031675F">
              <w:rPr>
                <w:rFonts w:eastAsia="Calibri" w:hAnsi="Calibri"/>
                <w:b/>
                <w:spacing w:val="6"/>
                <w:sz w:val="17"/>
                <w:lang w:val="en-US"/>
              </w:rPr>
              <w:t xml:space="preserve"> </w:t>
            </w:r>
            <w:r w:rsidRPr="0031675F">
              <w:rPr>
                <w:rFonts w:eastAsia="Calibri" w:hAnsi="Calibri"/>
                <w:b/>
                <w:spacing w:val="-1"/>
                <w:sz w:val="17"/>
                <w:lang w:val="en-US"/>
              </w:rPr>
              <w:t>No</w:t>
            </w:r>
            <w:r w:rsidRPr="0031675F">
              <w:rPr>
                <w:rFonts w:eastAsia="Calibri" w:hAnsi="Calibri"/>
                <w:b/>
                <w:spacing w:val="7"/>
                <w:sz w:val="17"/>
                <w:lang w:val="en-US"/>
              </w:rPr>
              <w:t xml:space="preserve"> </w:t>
            </w:r>
            <w:r w:rsidRPr="0031675F">
              <w:rPr>
                <w:rFonts w:eastAsia="Calibri" w:hAnsi="Calibri"/>
                <w:b/>
                <w:sz w:val="17"/>
                <w:lang w:val="en-US"/>
              </w:rPr>
              <w:t>:</w:t>
            </w:r>
            <w:r w:rsidRPr="0031675F">
              <w:rPr>
                <w:rFonts w:eastAsia="Calibri" w:hAnsi="Calibri"/>
                <w:b/>
                <w:sz w:val="17"/>
                <w:lang w:val="en-US"/>
              </w:rPr>
              <w:tab/>
            </w:r>
            <w:r w:rsidRPr="0031675F">
              <w:rPr>
                <w:rFonts w:eastAsia="Calibri" w:hAnsi="Calibri"/>
                <w:sz w:val="17"/>
                <w:lang w:val="en-US"/>
              </w:rPr>
              <w:t>2291</w:t>
            </w:r>
          </w:p>
          <w:p w14:paraId="6E3B538A" w14:textId="77777777" w:rsidR="0031675F" w:rsidRPr="0031675F" w:rsidRDefault="0031675F" w:rsidP="0031675F">
            <w:pPr>
              <w:widowControl w:val="0"/>
              <w:tabs>
                <w:tab w:val="left" w:pos="1535"/>
              </w:tabs>
              <w:spacing w:before="24" w:after="0" w:line="240" w:lineRule="auto"/>
              <w:ind w:right="3167"/>
              <w:jc w:val="center"/>
              <w:rPr>
                <w:rFonts w:eastAsia="Arial" w:cs="Arial"/>
                <w:sz w:val="17"/>
                <w:szCs w:val="17"/>
                <w:lang w:val="en-US"/>
              </w:rPr>
            </w:pPr>
            <w:r w:rsidRPr="0031675F">
              <w:rPr>
                <w:rFonts w:eastAsia="Calibri" w:hAnsi="Calibri"/>
                <w:b/>
                <w:spacing w:val="-1"/>
                <w:sz w:val="17"/>
                <w:lang w:val="en-US"/>
              </w:rPr>
              <w:t>Order</w:t>
            </w:r>
            <w:r w:rsidRPr="0031675F">
              <w:rPr>
                <w:rFonts w:eastAsia="Calibri" w:hAnsi="Calibri"/>
                <w:b/>
                <w:spacing w:val="13"/>
                <w:sz w:val="17"/>
                <w:lang w:val="en-US"/>
              </w:rPr>
              <w:t xml:space="preserve"> </w:t>
            </w:r>
            <w:r w:rsidRPr="0031675F">
              <w:rPr>
                <w:rFonts w:eastAsia="Calibri" w:hAnsi="Calibri"/>
                <w:b/>
                <w:spacing w:val="-1"/>
                <w:sz w:val="17"/>
                <w:lang w:val="en-US"/>
              </w:rPr>
              <w:t>Number</w:t>
            </w:r>
            <w:r w:rsidRPr="0031675F">
              <w:rPr>
                <w:rFonts w:eastAsia="Calibri" w:hAnsi="Calibri"/>
                <w:b/>
                <w:spacing w:val="14"/>
                <w:sz w:val="17"/>
                <w:lang w:val="en-US"/>
              </w:rPr>
              <w:t xml:space="preserve"> </w:t>
            </w:r>
            <w:r w:rsidRPr="0031675F">
              <w:rPr>
                <w:rFonts w:eastAsia="Calibri" w:hAnsi="Calibri"/>
                <w:b/>
                <w:sz w:val="17"/>
                <w:lang w:val="en-US"/>
              </w:rPr>
              <w:t>:</w:t>
            </w:r>
            <w:r w:rsidRPr="0031675F">
              <w:rPr>
                <w:rFonts w:eastAsia="Calibri" w:hAnsi="Calibri"/>
                <w:b/>
                <w:sz w:val="17"/>
                <w:lang w:val="en-US"/>
              </w:rPr>
              <w:tab/>
            </w:r>
            <w:r w:rsidRPr="0031675F">
              <w:rPr>
                <w:rFonts w:eastAsia="Calibri" w:hAnsi="Calibri"/>
                <w:sz w:val="17"/>
                <w:lang w:val="en-US"/>
              </w:rPr>
              <w:t>1106l13910</w:t>
            </w:r>
          </w:p>
          <w:p w14:paraId="7500CC31" w14:textId="77777777" w:rsidR="0031675F" w:rsidRPr="0031675F" w:rsidRDefault="0031675F" w:rsidP="0031675F">
            <w:pPr>
              <w:widowControl w:val="0"/>
              <w:tabs>
                <w:tab w:val="left" w:pos="1780"/>
              </w:tabs>
              <w:spacing w:before="24" w:after="0" w:line="240" w:lineRule="auto"/>
              <w:ind w:right="3202"/>
              <w:jc w:val="center"/>
              <w:rPr>
                <w:rFonts w:eastAsia="Arial" w:cs="Arial"/>
                <w:sz w:val="17"/>
                <w:szCs w:val="17"/>
                <w:lang w:val="en-US"/>
              </w:rPr>
            </w:pPr>
            <w:r w:rsidRPr="0031675F">
              <w:rPr>
                <w:rFonts w:eastAsia="Calibri" w:hAnsi="Calibri"/>
                <w:b/>
                <w:sz w:val="17"/>
                <w:lang w:val="en-US"/>
              </w:rPr>
              <w:t>Date</w:t>
            </w:r>
            <w:r w:rsidRPr="0031675F">
              <w:rPr>
                <w:rFonts w:eastAsia="Calibri" w:hAnsi="Calibri"/>
                <w:b/>
                <w:spacing w:val="29"/>
                <w:sz w:val="17"/>
                <w:lang w:val="en-US"/>
              </w:rPr>
              <w:t xml:space="preserve"> </w:t>
            </w:r>
            <w:r w:rsidRPr="0031675F">
              <w:rPr>
                <w:rFonts w:eastAsia="Calibri" w:hAnsi="Calibri"/>
                <w:b/>
                <w:spacing w:val="-1"/>
                <w:sz w:val="17"/>
                <w:lang w:val="en-US"/>
              </w:rPr>
              <w:t>Commenced:</w:t>
            </w:r>
            <w:r w:rsidRPr="0031675F">
              <w:rPr>
                <w:rFonts w:eastAsia="Calibri" w:hAnsi="Calibri"/>
                <w:b/>
                <w:spacing w:val="-1"/>
                <w:sz w:val="17"/>
                <w:lang w:val="en-US"/>
              </w:rPr>
              <w:tab/>
            </w:r>
            <w:r w:rsidRPr="0031675F">
              <w:rPr>
                <w:rFonts w:eastAsia="Calibri" w:hAnsi="Calibri"/>
                <w:sz w:val="17"/>
                <w:lang w:val="en-US"/>
              </w:rPr>
              <w:t>12</w:t>
            </w:r>
            <w:r w:rsidRPr="0031675F">
              <w:rPr>
                <w:rFonts w:eastAsia="Calibri" w:hAnsi="Calibri"/>
                <w:spacing w:val="13"/>
                <w:sz w:val="17"/>
                <w:lang w:val="en-US"/>
              </w:rPr>
              <w:t xml:space="preserve"> </w:t>
            </w:r>
            <w:r w:rsidRPr="0031675F">
              <w:rPr>
                <w:rFonts w:eastAsia="Calibri" w:hAnsi="Calibri"/>
                <w:spacing w:val="-1"/>
                <w:sz w:val="17"/>
                <w:lang w:val="en-US"/>
              </w:rPr>
              <w:t>August</w:t>
            </w:r>
            <w:r w:rsidRPr="0031675F">
              <w:rPr>
                <w:rFonts w:eastAsia="Calibri" w:hAnsi="Calibri"/>
                <w:spacing w:val="13"/>
                <w:sz w:val="17"/>
                <w:lang w:val="en-US"/>
              </w:rPr>
              <w:t xml:space="preserve"> </w:t>
            </w:r>
            <w:r w:rsidRPr="0031675F">
              <w:rPr>
                <w:rFonts w:eastAsia="Calibri" w:hAnsi="Calibri"/>
                <w:sz w:val="17"/>
                <w:lang w:val="en-US"/>
              </w:rPr>
              <w:t>2004</w:t>
            </w:r>
          </w:p>
          <w:p w14:paraId="3AA665C4" w14:textId="77777777" w:rsidR="0031675F" w:rsidRPr="0031675F" w:rsidRDefault="0031675F" w:rsidP="0031675F">
            <w:pPr>
              <w:widowControl w:val="0"/>
              <w:tabs>
                <w:tab w:val="left" w:pos="2134"/>
              </w:tabs>
              <w:spacing w:before="24" w:after="0" w:line="240" w:lineRule="auto"/>
              <w:ind w:left="802"/>
              <w:rPr>
                <w:rFonts w:eastAsia="Arial" w:cs="Arial"/>
                <w:sz w:val="17"/>
                <w:szCs w:val="17"/>
                <w:lang w:val="en-US"/>
              </w:rPr>
            </w:pPr>
            <w:r w:rsidRPr="0031675F">
              <w:rPr>
                <w:rFonts w:eastAsia="Calibri" w:hAnsi="Calibri"/>
                <w:b/>
                <w:spacing w:val="-1"/>
                <w:sz w:val="17"/>
                <w:lang w:val="en-US"/>
              </w:rPr>
              <w:t>Date</w:t>
            </w:r>
            <w:r w:rsidRPr="0031675F">
              <w:rPr>
                <w:rFonts w:eastAsia="Calibri" w:hAnsi="Calibri"/>
                <w:b/>
                <w:spacing w:val="21"/>
                <w:sz w:val="17"/>
                <w:lang w:val="en-US"/>
              </w:rPr>
              <w:t xml:space="preserve"> </w:t>
            </w:r>
            <w:r w:rsidRPr="0031675F">
              <w:rPr>
                <w:rFonts w:eastAsia="Calibri" w:hAnsi="Calibri"/>
                <w:b/>
                <w:spacing w:val="-1"/>
                <w:sz w:val="17"/>
                <w:lang w:val="en-US"/>
              </w:rPr>
              <w:t>Issued:</w:t>
            </w:r>
            <w:r w:rsidRPr="0031675F">
              <w:rPr>
                <w:rFonts w:eastAsia="Calibri" w:hAnsi="Calibri"/>
                <w:b/>
                <w:spacing w:val="-1"/>
                <w:sz w:val="17"/>
                <w:lang w:val="en-US"/>
              </w:rPr>
              <w:tab/>
            </w:r>
            <w:r w:rsidRPr="0031675F">
              <w:rPr>
                <w:rFonts w:eastAsia="Calibri" w:hAnsi="Calibri"/>
                <w:sz w:val="17"/>
                <w:lang w:val="en-US"/>
              </w:rPr>
              <w:t>17</w:t>
            </w:r>
            <w:r w:rsidRPr="0031675F">
              <w:rPr>
                <w:rFonts w:eastAsia="Calibri" w:hAnsi="Calibri"/>
                <w:spacing w:val="13"/>
                <w:sz w:val="17"/>
                <w:lang w:val="en-US"/>
              </w:rPr>
              <w:t xml:space="preserve"> </w:t>
            </w:r>
            <w:r w:rsidRPr="0031675F">
              <w:rPr>
                <w:rFonts w:eastAsia="Calibri" w:hAnsi="Calibri"/>
                <w:spacing w:val="-1"/>
                <w:sz w:val="17"/>
                <w:lang w:val="en-US"/>
              </w:rPr>
              <w:t>August</w:t>
            </w:r>
            <w:r w:rsidRPr="0031675F">
              <w:rPr>
                <w:rFonts w:eastAsia="Calibri" w:hAnsi="Calibri"/>
                <w:spacing w:val="13"/>
                <w:sz w:val="17"/>
                <w:lang w:val="en-US"/>
              </w:rPr>
              <w:t xml:space="preserve"> </w:t>
            </w:r>
            <w:r w:rsidRPr="0031675F">
              <w:rPr>
                <w:rFonts w:eastAsia="Calibri" w:hAnsi="Calibri"/>
                <w:sz w:val="17"/>
                <w:lang w:val="en-US"/>
              </w:rPr>
              <w:t>2004</w:t>
            </w:r>
          </w:p>
          <w:p w14:paraId="1C9AF4AF" w14:textId="77777777" w:rsidR="0031675F" w:rsidRPr="0031675F" w:rsidRDefault="0031675F" w:rsidP="0031675F">
            <w:pPr>
              <w:widowControl w:val="0"/>
              <w:tabs>
                <w:tab w:val="left" w:pos="1375"/>
              </w:tabs>
              <w:spacing w:before="24" w:after="0" w:line="240" w:lineRule="auto"/>
              <w:ind w:right="1662"/>
              <w:jc w:val="center"/>
              <w:rPr>
                <w:rFonts w:eastAsia="Arial" w:cs="Arial"/>
                <w:sz w:val="17"/>
                <w:szCs w:val="17"/>
                <w:lang w:val="en-US"/>
              </w:rPr>
            </w:pPr>
            <w:r w:rsidRPr="0031675F">
              <w:rPr>
                <w:rFonts w:eastAsia="Calibri" w:hAnsi="Calibri"/>
                <w:b/>
                <w:spacing w:val="-1"/>
                <w:sz w:val="17"/>
                <w:lang w:val="en-US"/>
              </w:rPr>
              <w:t>Sample</w:t>
            </w:r>
            <w:r w:rsidRPr="0031675F">
              <w:rPr>
                <w:rFonts w:eastAsia="Calibri" w:hAnsi="Calibri"/>
                <w:b/>
                <w:spacing w:val="23"/>
                <w:sz w:val="17"/>
                <w:lang w:val="en-US"/>
              </w:rPr>
              <w:t xml:space="preserve"> </w:t>
            </w:r>
            <w:r w:rsidRPr="0031675F">
              <w:rPr>
                <w:rFonts w:eastAsia="Calibri" w:hAnsi="Calibri"/>
                <w:b/>
                <w:spacing w:val="-2"/>
                <w:sz w:val="17"/>
                <w:lang w:val="en-US"/>
              </w:rPr>
              <w:t>Type:</w:t>
            </w:r>
            <w:r w:rsidRPr="0031675F">
              <w:rPr>
                <w:rFonts w:eastAsia="Calibri" w:hAnsi="Calibri"/>
                <w:b/>
                <w:spacing w:val="-2"/>
                <w:sz w:val="17"/>
                <w:lang w:val="en-US"/>
              </w:rPr>
              <w:tab/>
            </w:r>
            <w:r w:rsidRPr="0031675F">
              <w:rPr>
                <w:rFonts w:eastAsia="Calibri" w:hAnsi="Calibri"/>
                <w:spacing w:val="-1"/>
                <w:sz w:val="17"/>
                <w:lang w:val="en-US"/>
              </w:rPr>
              <w:t>Freshwater</w:t>
            </w:r>
            <w:r w:rsidRPr="0031675F">
              <w:rPr>
                <w:rFonts w:eastAsia="Calibri" w:hAnsi="Calibri"/>
                <w:spacing w:val="15"/>
                <w:sz w:val="17"/>
                <w:lang w:val="en-US"/>
              </w:rPr>
              <w:t xml:space="preserve"> </w:t>
            </w:r>
            <w:r w:rsidRPr="0031675F">
              <w:rPr>
                <w:rFonts w:eastAsia="Calibri" w:hAnsi="Calibri"/>
                <w:sz w:val="17"/>
                <w:lang w:val="en-US"/>
              </w:rPr>
              <w:t>-</w:t>
            </w:r>
            <w:r w:rsidRPr="0031675F">
              <w:rPr>
                <w:rFonts w:eastAsia="Calibri" w:hAnsi="Calibri"/>
                <w:spacing w:val="15"/>
                <w:sz w:val="17"/>
                <w:lang w:val="en-US"/>
              </w:rPr>
              <w:t xml:space="preserve"> </w:t>
            </w:r>
            <w:r w:rsidRPr="0031675F">
              <w:rPr>
                <w:rFonts w:eastAsia="Calibri" w:hAnsi="Calibri"/>
                <w:spacing w:val="-1"/>
                <w:sz w:val="17"/>
                <w:lang w:val="en-US"/>
              </w:rPr>
              <w:t>Normanby</w:t>
            </w:r>
            <w:r w:rsidRPr="0031675F">
              <w:rPr>
                <w:rFonts w:eastAsia="Calibri" w:hAnsi="Calibri"/>
                <w:spacing w:val="12"/>
                <w:sz w:val="17"/>
                <w:lang w:val="en-US"/>
              </w:rPr>
              <w:t xml:space="preserve"> </w:t>
            </w:r>
            <w:r w:rsidRPr="0031675F">
              <w:rPr>
                <w:rFonts w:eastAsia="Calibri" w:hAnsi="Calibri"/>
                <w:spacing w:val="-1"/>
                <w:sz w:val="17"/>
                <w:lang w:val="en-US"/>
              </w:rPr>
              <w:t>River</w:t>
            </w:r>
          </w:p>
          <w:p w14:paraId="7FA9A74D" w14:textId="77777777" w:rsidR="0031675F" w:rsidRPr="0031675F" w:rsidRDefault="0031675F" w:rsidP="0031675F">
            <w:pPr>
              <w:widowControl w:val="0"/>
              <w:spacing w:before="24" w:after="0" w:line="240" w:lineRule="auto"/>
              <w:ind w:right="3388"/>
              <w:jc w:val="center"/>
              <w:rPr>
                <w:rFonts w:eastAsia="Arial" w:cs="Arial"/>
                <w:sz w:val="17"/>
                <w:szCs w:val="17"/>
                <w:lang w:val="en-US"/>
              </w:rPr>
            </w:pPr>
            <w:r w:rsidRPr="0031675F">
              <w:rPr>
                <w:rFonts w:eastAsia="Calibri" w:hAnsi="Calibri"/>
                <w:b/>
                <w:spacing w:val="-1"/>
                <w:sz w:val="17"/>
                <w:lang w:val="en-US"/>
              </w:rPr>
              <w:t>Report</w:t>
            </w:r>
            <w:r w:rsidRPr="0031675F">
              <w:rPr>
                <w:rFonts w:eastAsia="Calibri" w:hAnsi="Calibri"/>
                <w:b/>
                <w:spacing w:val="11"/>
                <w:sz w:val="17"/>
                <w:lang w:val="en-US"/>
              </w:rPr>
              <w:t xml:space="preserve"> </w:t>
            </w:r>
            <w:r w:rsidRPr="0031675F">
              <w:rPr>
                <w:rFonts w:eastAsia="Calibri" w:hAnsi="Calibri"/>
                <w:b/>
                <w:spacing w:val="-1"/>
                <w:sz w:val="17"/>
                <w:lang w:val="en-US"/>
              </w:rPr>
              <w:t>Filename:</w:t>
            </w:r>
            <w:r w:rsidRPr="0031675F">
              <w:rPr>
                <w:rFonts w:eastAsia="Calibri" w:hAnsi="Calibri"/>
                <w:b/>
                <w:sz w:val="17"/>
                <w:lang w:val="en-US"/>
              </w:rPr>
              <w:t xml:space="preserve">  </w:t>
            </w:r>
            <w:r w:rsidRPr="0031675F">
              <w:rPr>
                <w:rFonts w:eastAsia="Calibri" w:hAnsi="Calibri"/>
                <w:b/>
                <w:spacing w:val="37"/>
                <w:sz w:val="17"/>
                <w:lang w:val="en-US"/>
              </w:rPr>
              <w:t xml:space="preserve"> </w:t>
            </w:r>
            <w:r w:rsidRPr="0031675F">
              <w:rPr>
                <w:rFonts w:eastAsia="Calibri" w:hAnsi="Calibri"/>
                <w:spacing w:val="-1"/>
                <w:sz w:val="17"/>
                <w:lang w:val="en-US"/>
              </w:rPr>
              <w:t>Sku2291.xls</w:t>
            </w:r>
          </w:p>
          <w:p w14:paraId="2A842AFD" w14:textId="77777777" w:rsidR="0031675F" w:rsidRPr="0031675F" w:rsidRDefault="0031675F" w:rsidP="0031675F">
            <w:pPr>
              <w:widowControl w:val="0"/>
              <w:spacing w:before="24" w:after="0" w:line="240" w:lineRule="auto"/>
              <w:ind w:left="115"/>
              <w:rPr>
                <w:rFonts w:eastAsia="Arial" w:cs="Arial"/>
                <w:sz w:val="17"/>
                <w:szCs w:val="17"/>
                <w:lang w:val="en-US"/>
              </w:rPr>
            </w:pPr>
            <w:r w:rsidRPr="0031675F">
              <w:rPr>
                <w:rFonts w:eastAsia="Calibri" w:hAnsi="Calibri"/>
                <w:b/>
                <w:sz w:val="17"/>
                <w:lang w:val="en-US"/>
              </w:rPr>
              <w:t>Sample</w:t>
            </w:r>
            <w:r w:rsidRPr="0031675F">
              <w:rPr>
                <w:rFonts w:eastAsia="Calibri" w:hAnsi="Calibri"/>
                <w:b/>
                <w:spacing w:val="15"/>
                <w:sz w:val="17"/>
                <w:lang w:val="en-US"/>
              </w:rPr>
              <w:t xml:space="preserve"> </w:t>
            </w:r>
            <w:r w:rsidRPr="0031675F">
              <w:rPr>
                <w:rFonts w:eastAsia="Calibri" w:hAnsi="Calibri"/>
                <w:b/>
                <w:spacing w:val="-1"/>
                <w:sz w:val="17"/>
                <w:lang w:val="en-US"/>
              </w:rPr>
              <w:t>Preparation:</w:t>
            </w:r>
            <w:r w:rsidRPr="0031675F">
              <w:rPr>
                <w:rFonts w:eastAsia="Calibri" w:hAnsi="Calibri"/>
                <w:b/>
                <w:sz w:val="17"/>
                <w:lang w:val="en-US"/>
              </w:rPr>
              <w:t xml:space="preserve"> </w:t>
            </w:r>
            <w:r w:rsidRPr="0031675F">
              <w:rPr>
                <w:rFonts w:eastAsia="Calibri" w:hAnsi="Calibri"/>
                <w:b/>
                <w:spacing w:val="32"/>
                <w:sz w:val="17"/>
                <w:lang w:val="en-US"/>
              </w:rPr>
              <w:t xml:space="preserve"> </w:t>
            </w:r>
            <w:r w:rsidRPr="0031675F">
              <w:rPr>
                <w:rFonts w:eastAsia="Calibri" w:hAnsi="Calibri"/>
                <w:spacing w:val="-1"/>
                <w:sz w:val="17"/>
                <w:lang w:val="en-US"/>
              </w:rPr>
              <w:t>Direct</w:t>
            </w:r>
          </w:p>
          <w:p w14:paraId="2B71E2AF" w14:textId="77777777" w:rsidR="0031675F" w:rsidRPr="0031675F" w:rsidRDefault="0031675F" w:rsidP="0031675F">
            <w:pPr>
              <w:widowControl w:val="0"/>
              <w:spacing w:before="24" w:after="0" w:line="240" w:lineRule="auto"/>
              <w:ind w:left="998"/>
              <w:rPr>
                <w:rFonts w:eastAsia="Arial" w:cs="Arial"/>
                <w:sz w:val="17"/>
                <w:szCs w:val="17"/>
                <w:lang w:val="en-US"/>
              </w:rPr>
            </w:pPr>
            <w:r w:rsidRPr="0031675F">
              <w:rPr>
                <w:rFonts w:eastAsia="Calibri" w:hAnsi="Calibri"/>
                <w:b/>
                <w:spacing w:val="-1"/>
                <w:sz w:val="17"/>
                <w:lang w:val="en-US"/>
              </w:rPr>
              <w:t>comments:</w:t>
            </w:r>
            <w:r w:rsidRPr="0031675F">
              <w:rPr>
                <w:rFonts w:eastAsia="Calibri" w:hAnsi="Calibri"/>
                <w:b/>
                <w:sz w:val="17"/>
                <w:lang w:val="en-US"/>
              </w:rPr>
              <w:t xml:space="preserve"> </w:t>
            </w:r>
            <w:r w:rsidRPr="0031675F">
              <w:rPr>
                <w:rFonts w:eastAsia="Calibri" w:hAnsi="Calibri"/>
                <w:b/>
                <w:spacing w:val="21"/>
                <w:sz w:val="17"/>
                <w:lang w:val="en-US"/>
              </w:rPr>
              <w:t xml:space="preserve"> </w:t>
            </w:r>
            <w:r w:rsidRPr="0031675F">
              <w:rPr>
                <w:rFonts w:eastAsia="Calibri" w:hAnsi="Calibri"/>
                <w:b/>
                <w:spacing w:val="-2"/>
                <w:sz w:val="17"/>
                <w:lang w:val="en-US"/>
              </w:rPr>
              <w:t>[</w:t>
            </w:r>
            <w:r w:rsidRPr="0031675F">
              <w:rPr>
                <w:rFonts w:eastAsia="Calibri" w:hAnsi="Calibri"/>
                <w:spacing w:val="-2"/>
                <w:sz w:val="17"/>
                <w:lang w:val="en-US"/>
              </w:rPr>
              <w:t>Frozen</w:t>
            </w:r>
            <w:r w:rsidRPr="0031675F">
              <w:rPr>
                <w:rFonts w:eastAsia="Calibri" w:hAnsi="Calibri"/>
                <w:spacing w:val="9"/>
                <w:sz w:val="17"/>
                <w:lang w:val="en-US"/>
              </w:rPr>
              <w:t xml:space="preserve"> </w:t>
            </w:r>
            <w:r w:rsidRPr="0031675F">
              <w:rPr>
                <w:rFonts w:eastAsia="Calibri" w:hAnsi="Calibri"/>
                <w:spacing w:val="-1"/>
                <w:sz w:val="17"/>
                <w:lang w:val="en-US"/>
              </w:rPr>
              <w:t>samples</w:t>
            </w:r>
            <w:r w:rsidRPr="0031675F">
              <w:rPr>
                <w:rFonts w:eastAsia="Calibri" w:hAnsi="Calibri"/>
                <w:spacing w:val="10"/>
                <w:sz w:val="17"/>
                <w:lang w:val="en-US"/>
              </w:rPr>
              <w:t xml:space="preserve"> </w:t>
            </w:r>
            <w:r w:rsidRPr="0031675F">
              <w:rPr>
                <w:rFonts w:eastAsia="Calibri" w:hAnsi="Calibri"/>
                <w:sz w:val="17"/>
                <w:lang w:val="en-US"/>
              </w:rPr>
              <w:t>-</w:t>
            </w:r>
            <w:r w:rsidRPr="0031675F">
              <w:rPr>
                <w:rFonts w:eastAsia="Calibri" w:hAnsi="Calibri"/>
                <w:spacing w:val="9"/>
                <w:sz w:val="17"/>
                <w:lang w:val="en-US"/>
              </w:rPr>
              <w:t xml:space="preserve"> </w:t>
            </w:r>
            <w:r w:rsidRPr="0031675F">
              <w:rPr>
                <w:rFonts w:eastAsia="Calibri" w:hAnsi="Calibri"/>
                <w:sz w:val="17"/>
                <w:lang w:val="en-US"/>
              </w:rPr>
              <w:t>Si</w:t>
            </w:r>
            <w:r w:rsidRPr="0031675F">
              <w:rPr>
                <w:rFonts w:eastAsia="Calibri" w:hAnsi="Calibri"/>
                <w:spacing w:val="10"/>
                <w:sz w:val="17"/>
                <w:lang w:val="en-US"/>
              </w:rPr>
              <w:t xml:space="preserve"> </w:t>
            </w:r>
            <w:r w:rsidRPr="0031675F">
              <w:rPr>
                <w:rFonts w:eastAsia="Calibri" w:hAnsi="Calibri"/>
                <w:spacing w:val="-1"/>
                <w:sz w:val="17"/>
                <w:lang w:val="en-US"/>
              </w:rPr>
              <w:t>values</w:t>
            </w:r>
            <w:r w:rsidRPr="0031675F">
              <w:rPr>
                <w:rFonts w:eastAsia="Calibri" w:hAnsi="Calibri"/>
                <w:spacing w:val="9"/>
                <w:sz w:val="17"/>
                <w:lang w:val="en-US"/>
              </w:rPr>
              <w:t xml:space="preserve"> </w:t>
            </w:r>
            <w:r w:rsidRPr="0031675F">
              <w:rPr>
                <w:rFonts w:eastAsia="Calibri" w:hAnsi="Calibri"/>
                <w:sz w:val="17"/>
                <w:lang w:val="en-US"/>
              </w:rPr>
              <w:t>may</w:t>
            </w:r>
            <w:r w:rsidRPr="0031675F">
              <w:rPr>
                <w:rFonts w:eastAsia="Calibri" w:hAnsi="Calibri"/>
                <w:spacing w:val="8"/>
                <w:sz w:val="17"/>
                <w:lang w:val="en-US"/>
              </w:rPr>
              <w:t xml:space="preserve"> </w:t>
            </w:r>
            <w:r w:rsidRPr="0031675F">
              <w:rPr>
                <w:rFonts w:eastAsia="Calibri" w:hAnsi="Calibri"/>
                <w:sz w:val="17"/>
                <w:lang w:val="en-US"/>
              </w:rPr>
              <w:t>not</w:t>
            </w:r>
            <w:r w:rsidRPr="0031675F">
              <w:rPr>
                <w:rFonts w:eastAsia="Calibri" w:hAnsi="Calibri"/>
                <w:spacing w:val="10"/>
                <w:sz w:val="17"/>
                <w:lang w:val="en-US"/>
              </w:rPr>
              <w:t xml:space="preserve"> </w:t>
            </w:r>
            <w:r w:rsidRPr="0031675F">
              <w:rPr>
                <w:rFonts w:eastAsia="Calibri" w:hAnsi="Calibri"/>
                <w:sz w:val="17"/>
                <w:lang w:val="en-US"/>
              </w:rPr>
              <w:t>be</w:t>
            </w:r>
            <w:r w:rsidRPr="0031675F">
              <w:rPr>
                <w:rFonts w:eastAsia="Calibri" w:hAnsi="Calibri"/>
                <w:spacing w:val="10"/>
                <w:sz w:val="17"/>
                <w:lang w:val="en-US"/>
              </w:rPr>
              <w:t xml:space="preserve"> </w:t>
            </w:r>
            <w:r w:rsidRPr="0031675F">
              <w:rPr>
                <w:rFonts w:eastAsia="Calibri" w:hAnsi="Calibri"/>
                <w:sz w:val="17"/>
                <w:lang w:val="en-US"/>
              </w:rPr>
              <w:t>absolute.</w:t>
            </w:r>
          </w:p>
          <w:p w14:paraId="4B1224F2" w14:textId="77777777" w:rsidR="0031675F" w:rsidRPr="0031675F" w:rsidRDefault="0031675F" w:rsidP="0031675F">
            <w:pPr>
              <w:widowControl w:val="0"/>
              <w:spacing w:before="19" w:after="0" w:line="270" w:lineRule="auto"/>
              <w:ind w:left="2567" w:right="232" w:hanging="540"/>
              <w:rPr>
                <w:rFonts w:eastAsia="Arial" w:cs="Arial"/>
                <w:sz w:val="17"/>
                <w:szCs w:val="17"/>
                <w:lang w:val="en-US"/>
              </w:rPr>
            </w:pPr>
            <w:r w:rsidRPr="0031675F">
              <w:rPr>
                <w:rFonts w:eastAsia="Calibri" w:hAnsi="Calibri"/>
                <w:sz w:val="17"/>
                <w:lang w:val="en-US"/>
              </w:rPr>
              <w:t>*mdl:</w:t>
            </w:r>
            <w:r w:rsidRPr="0031675F">
              <w:rPr>
                <w:rFonts w:eastAsia="Calibri" w:hAnsi="Calibri"/>
                <w:spacing w:val="10"/>
                <w:sz w:val="17"/>
                <w:lang w:val="en-US"/>
              </w:rPr>
              <w:t xml:space="preserve"> </w:t>
            </w:r>
            <w:r w:rsidRPr="0031675F">
              <w:rPr>
                <w:rFonts w:eastAsia="Calibri" w:hAnsi="Calibri"/>
                <w:sz w:val="17"/>
                <w:lang w:val="en-US"/>
              </w:rPr>
              <w:t>the</w:t>
            </w:r>
            <w:r w:rsidRPr="0031675F">
              <w:rPr>
                <w:rFonts w:eastAsia="Calibri" w:hAnsi="Calibri"/>
                <w:spacing w:val="11"/>
                <w:sz w:val="17"/>
                <w:lang w:val="en-US"/>
              </w:rPr>
              <w:t xml:space="preserve"> </w:t>
            </w:r>
            <w:r w:rsidRPr="0031675F">
              <w:rPr>
                <w:rFonts w:eastAsia="Calibri" w:hAnsi="Calibri"/>
                <w:spacing w:val="-1"/>
                <w:sz w:val="17"/>
                <w:lang w:val="en-US"/>
              </w:rPr>
              <w:t>lowest</w:t>
            </w:r>
            <w:r w:rsidRPr="0031675F">
              <w:rPr>
                <w:rFonts w:eastAsia="Calibri" w:hAnsi="Calibri"/>
                <w:spacing w:val="10"/>
                <w:sz w:val="17"/>
                <w:lang w:val="en-US"/>
              </w:rPr>
              <w:t xml:space="preserve"> </w:t>
            </w:r>
            <w:r w:rsidRPr="0031675F">
              <w:rPr>
                <w:rFonts w:eastAsia="Calibri" w:hAnsi="Calibri"/>
                <w:sz w:val="17"/>
                <w:lang w:val="en-US"/>
              </w:rPr>
              <w:t>amount</w:t>
            </w:r>
            <w:r w:rsidRPr="0031675F">
              <w:rPr>
                <w:rFonts w:eastAsia="Calibri" w:hAnsi="Calibri"/>
                <w:spacing w:val="11"/>
                <w:sz w:val="17"/>
                <w:lang w:val="en-US"/>
              </w:rPr>
              <w:t xml:space="preserve"> </w:t>
            </w:r>
            <w:r w:rsidRPr="0031675F">
              <w:rPr>
                <w:rFonts w:eastAsia="Calibri" w:hAnsi="Calibri"/>
                <w:sz w:val="17"/>
                <w:lang w:val="en-US"/>
              </w:rPr>
              <w:t>of</w:t>
            </w:r>
            <w:r w:rsidRPr="0031675F">
              <w:rPr>
                <w:rFonts w:eastAsia="Calibri" w:hAnsi="Calibri"/>
                <w:spacing w:val="13"/>
                <w:sz w:val="17"/>
                <w:lang w:val="en-US"/>
              </w:rPr>
              <w:t xml:space="preserve"> </w:t>
            </w:r>
            <w:r w:rsidRPr="0031675F">
              <w:rPr>
                <w:rFonts w:eastAsia="Calibri" w:hAnsi="Calibri"/>
                <w:spacing w:val="-1"/>
                <w:sz w:val="17"/>
                <w:lang w:val="en-US"/>
              </w:rPr>
              <w:t>analyte</w:t>
            </w:r>
            <w:r w:rsidRPr="0031675F">
              <w:rPr>
                <w:rFonts w:eastAsia="Calibri" w:hAnsi="Calibri"/>
                <w:spacing w:val="11"/>
                <w:sz w:val="17"/>
                <w:lang w:val="en-US"/>
              </w:rPr>
              <w:t xml:space="preserve"> </w:t>
            </w:r>
            <w:r w:rsidRPr="0031675F">
              <w:rPr>
                <w:rFonts w:eastAsia="Calibri" w:hAnsi="Calibri"/>
                <w:spacing w:val="-1"/>
                <w:sz w:val="17"/>
                <w:lang w:val="en-US"/>
              </w:rPr>
              <w:t>which</w:t>
            </w:r>
            <w:r w:rsidRPr="0031675F">
              <w:rPr>
                <w:rFonts w:eastAsia="Calibri" w:hAnsi="Calibri"/>
                <w:spacing w:val="10"/>
                <w:sz w:val="17"/>
                <w:lang w:val="en-US"/>
              </w:rPr>
              <w:t xml:space="preserve"> </w:t>
            </w:r>
            <w:r w:rsidRPr="0031675F">
              <w:rPr>
                <w:rFonts w:eastAsia="Calibri" w:hAnsi="Calibri"/>
                <w:spacing w:val="-1"/>
                <w:sz w:val="17"/>
                <w:lang w:val="en-US"/>
              </w:rPr>
              <w:t>can</w:t>
            </w:r>
            <w:r w:rsidRPr="0031675F">
              <w:rPr>
                <w:rFonts w:eastAsia="Calibri" w:hAnsi="Calibri"/>
                <w:spacing w:val="11"/>
                <w:sz w:val="17"/>
                <w:lang w:val="en-US"/>
              </w:rPr>
              <w:t xml:space="preserve"> </w:t>
            </w:r>
            <w:r w:rsidRPr="0031675F">
              <w:rPr>
                <w:rFonts w:eastAsia="Calibri" w:hAnsi="Calibri"/>
                <w:sz w:val="17"/>
                <w:lang w:val="en-US"/>
              </w:rPr>
              <w:t>be</w:t>
            </w:r>
            <w:r w:rsidRPr="0031675F">
              <w:rPr>
                <w:rFonts w:eastAsia="Calibri" w:hAnsi="Calibri"/>
                <w:spacing w:val="11"/>
                <w:sz w:val="17"/>
                <w:lang w:val="en-US"/>
              </w:rPr>
              <w:t xml:space="preserve"> </w:t>
            </w:r>
            <w:r w:rsidRPr="0031675F">
              <w:rPr>
                <w:rFonts w:eastAsia="Calibri" w:hAnsi="Calibri"/>
                <w:spacing w:val="-1"/>
                <w:sz w:val="17"/>
                <w:lang w:val="en-US"/>
              </w:rPr>
              <w:t>detected</w:t>
            </w:r>
            <w:r w:rsidRPr="0031675F">
              <w:rPr>
                <w:rFonts w:eastAsia="Calibri" w:hAnsi="Calibri"/>
                <w:spacing w:val="31"/>
                <w:w w:val="102"/>
                <w:sz w:val="17"/>
                <w:lang w:val="en-US"/>
              </w:rPr>
              <w:t xml:space="preserve"> </w:t>
            </w:r>
            <w:r w:rsidRPr="0031675F">
              <w:rPr>
                <w:rFonts w:eastAsia="Calibri" w:hAnsi="Calibri"/>
                <w:sz w:val="17"/>
                <w:lang w:val="en-US"/>
              </w:rPr>
              <w:t>but</w:t>
            </w:r>
            <w:r w:rsidRPr="0031675F">
              <w:rPr>
                <w:rFonts w:eastAsia="Calibri" w:hAnsi="Calibri"/>
                <w:spacing w:val="10"/>
                <w:sz w:val="17"/>
                <w:lang w:val="en-US"/>
              </w:rPr>
              <w:t xml:space="preserve"> </w:t>
            </w:r>
            <w:r w:rsidRPr="0031675F">
              <w:rPr>
                <w:rFonts w:eastAsia="Calibri" w:hAnsi="Calibri"/>
                <w:sz w:val="17"/>
                <w:lang w:val="en-US"/>
              </w:rPr>
              <w:t xml:space="preserve">not </w:t>
            </w:r>
            <w:r w:rsidRPr="0031675F">
              <w:rPr>
                <w:rFonts w:eastAsia="Calibri" w:hAnsi="Calibri"/>
                <w:spacing w:val="22"/>
                <w:sz w:val="17"/>
                <w:lang w:val="en-US"/>
              </w:rPr>
              <w:t xml:space="preserve"> </w:t>
            </w:r>
            <w:r w:rsidRPr="0031675F">
              <w:rPr>
                <w:rFonts w:eastAsia="Calibri" w:hAnsi="Calibri"/>
                <w:spacing w:val="-1"/>
                <w:sz w:val="17"/>
                <w:lang w:val="en-US"/>
              </w:rPr>
              <w:t>necessarily</w:t>
            </w:r>
            <w:r w:rsidRPr="0031675F">
              <w:rPr>
                <w:rFonts w:eastAsia="Calibri" w:hAnsi="Calibri"/>
                <w:spacing w:val="7"/>
                <w:sz w:val="17"/>
                <w:lang w:val="en-US"/>
              </w:rPr>
              <w:t xml:space="preserve"> </w:t>
            </w:r>
            <w:r w:rsidRPr="0031675F">
              <w:rPr>
                <w:rFonts w:eastAsia="Calibri" w:hAnsi="Calibri"/>
                <w:spacing w:val="-1"/>
                <w:sz w:val="17"/>
                <w:lang w:val="en-US"/>
              </w:rPr>
              <w:t>quantitated</w:t>
            </w:r>
            <w:r w:rsidRPr="0031675F">
              <w:rPr>
                <w:rFonts w:eastAsia="Calibri" w:hAnsi="Calibri"/>
                <w:spacing w:val="11"/>
                <w:sz w:val="17"/>
                <w:lang w:val="en-US"/>
              </w:rPr>
              <w:t xml:space="preserve"> </w:t>
            </w:r>
            <w:r w:rsidRPr="0031675F">
              <w:rPr>
                <w:rFonts w:eastAsia="Calibri" w:hAnsi="Calibri"/>
                <w:sz w:val="17"/>
                <w:lang w:val="en-US"/>
              </w:rPr>
              <w:t>as</w:t>
            </w:r>
            <w:r w:rsidRPr="0031675F">
              <w:rPr>
                <w:rFonts w:eastAsia="Calibri" w:hAnsi="Calibri"/>
                <w:spacing w:val="9"/>
                <w:sz w:val="17"/>
                <w:lang w:val="en-US"/>
              </w:rPr>
              <w:t xml:space="preserve"> </w:t>
            </w:r>
            <w:r w:rsidRPr="0031675F">
              <w:rPr>
                <w:rFonts w:eastAsia="Calibri" w:hAnsi="Calibri"/>
                <w:sz w:val="17"/>
                <w:lang w:val="en-US"/>
              </w:rPr>
              <w:t>an</w:t>
            </w:r>
            <w:r w:rsidRPr="0031675F">
              <w:rPr>
                <w:rFonts w:eastAsia="Calibri" w:hAnsi="Calibri"/>
                <w:spacing w:val="11"/>
                <w:sz w:val="17"/>
                <w:lang w:val="en-US"/>
              </w:rPr>
              <w:t xml:space="preserve"> </w:t>
            </w:r>
            <w:r w:rsidRPr="0031675F">
              <w:rPr>
                <w:rFonts w:eastAsia="Calibri" w:hAnsi="Calibri"/>
                <w:spacing w:val="-1"/>
                <w:sz w:val="17"/>
                <w:lang w:val="en-US"/>
              </w:rPr>
              <w:t>exact</w:t>
            </w:r>
            <w:r w:rsidRPr="0031675F">
              <w:rPr>
                <w:rFonts w:eastAsia="Calibri" w:hAnsi="Calibri"/>
                <w:spacing w:val="10"/>
                <w:sz w:val="17"/>
                <w:lang w:val="en-US"/>
              </w:rPr>
              <w:t xml:space="preserve"> </w:t>
            </w:r>
            <w:r w:rsidRPr="0031675F">
              <w:rPr>
                <w:rFonts w:eastAsia="Calibri" w:hAnsi="Calibri"/>
                <w:spacing w:val="-2"/>
                <w:sz w:val="17"/>
                <w:lang w:val="en-US"/>
              </w:rPr>
              <w:t>value.</w:t>
            </w:r>
            <w:r w:rsidRPr="0031675F">
              <w:rPr>
                <w:rFonts w:eastAsia="Calibri" w:hAnsi="Calibri"/>
                <w:b/>
                <w:spacing w:val="-2"/>
                <w:sz w:val="17"/>
                <w:lang w:val="en-US"/>
              </w:rPr>
              <w:t>]</w:t>
            </w:r>
          </w:p>
          <w:p w14:paraId="12203BCC" w14:textId="77777777" w:rsidR="0031675F" w:rsidRPr="0031675F" w:rsidRDefault="0031675F" w:rsidP="0031675F">
            <w:pPr>
              <w:widowControl w:val="0"/>
              <w:spacing w:before="0" w:after="0" w:line="240" w:lineRule="auto"/>
              <w:ind w:left="164" w:firstLine="147"/>
              <w:rPr>
                <w:rFonts w:eastAsia="Arial" w:cs="Arial"/>
                <w:sz w:val="17"/>
                <w:szCs w:val="17"/>
                <w:lang w:val="en-US"/>
              </w:rPr>
            </w:pPr>
            <w:r w:rsidRPr="0031675F">
              <w:rPr>
                <w:rFonts w:eastAsia="Calibri" w:hAnsi="Calibri"/>
                <w:b/>
                <w:spacing w:val="-2"/>
                <w:sz w:val="17"/>
                <w:lang w:val="en-US"/>
              </w:rPr>
              <w:t>Analytical</w:t>
            </w:r>
            <w:r w:rsidRPr="0031675F">
              <w:rPr>
                <w:rFonts w:eastAsia="Calibri" w:hAnsi="Calibri"/>
                <w:b/>
                <w:spacing w:val="12"/>
                <w:sz w:val="17"/>
                <w:lang w:val="en-US"/>
              </w:rPr>
              <w:t xml:space="preserve"> </w:t>
            </w:r>
            <w:r w:rsidRPr="0031675F">
              <w:rPr>
                <w:rFonts w:eastAsia="Calibri" w:hAnsi="Calibri"/>
                <w:b/>
                <w:spacing w:val="-1"/>
                <w:sz w:val="17"/>
                <w:lang w:val="en-US"/>
              </w:rPr>
              <w:t>Method:</w:t>
            </w:r>
            <w:r w:rsidRPr="0031675F">
              <w:rPr>
                <w:rFonts w:eastAsia="Calibri" w:hAnsi="Calibri"/>
                <w:b/>
                <w:sz w:val="17"/>
                <w:lang w:val="en-US"/>
              </w:rPr>
              <w:t xml:space="preserve"> </w:t>
            </w:r>
            <w:r w:rsidRPr="0031675F">
              <w:rPr>
                <w:rFonts w:eastAsia="Calibri" w:hAnsi="Calibri"/>
                <w:b/>
                <w:spacing w:val="23"/>
                <w:sz w:val="17"/>
                <w:lang w:val="en-US"/>
              </w:rPr>
              <w:t xml:space="preserve"> </w:t>
            </w:r>
            <w:r w:rsidRPr="0031675F">
              <w:rPr>
                <w:rFonts w:eastAsia="Calibri" w:hAnsi="Calibri"/>
                <w:spacing w:val="-1"/>
                <w:sz w:val="17"/>
                <w:lang w:val="en-US"/>
              </w:rPr>
              <w:t>Segmented</w:t>
            </w:r>
            <w:r w:rsidRPr="0031675F">
              <w:rPr>
                <w:rFonts w:eastAsia="Calibri" w:hAnsi="Calibri"/>
                <w:spacing w:val="11"/>
                <w:sz w:val="17"/>
                <w:lang w:val="en-US"/>
              </w:rPr>
              <w:t xml:space="preserve"> </w:t>
            </w:r>
            <w:r w:rsidRPr="0031675F">
              <w:rPr>
                <w:rFonts w:eastAsia="Calibri" w:hAnsi="Calibri"/>
                <w:sz w:val="17"/>
                <w:lang w:val="en-US"/>
              </w:rPr>
              <w:t>Flow</w:t>
            </w:r>
            <w:r w:rsidRPr="0031675F">
              <w:rPr>
                <w:rFonts w:eastAsia="Calibri" w:hAnsi="Calibri"/>
                <w:spacing w:val="9"/>
                <w:sz w:val="17"/>
                <w:lang w:val="en-US"/>
              </w:rPr>
              <w:t xml:space="preserve"> </w:t>
            </w:r>
            <w:r w:rsidRPr="0031675F">
              <w:rPr>
                <w:rFonts w:eastAsia="Calibri" w:hAnsi="Calibri"/>
                <w:spacing w:val="-1"/>
                <w:sz w:val="17"/>
                <w:lang w:val="en-US"/>
              </w:rPr>
              <w:t>Analysis</w:t>
            </w:r>
            <w:r w:rsidRPr="0031675F">
              <w:rPr>
                <w:rFonts w:eastAsia="Calibri" w:hAnsi="Calibri"/>
                <w:spacing w:val="10"/>
                <w:sz w:val="17"/>
                <w:lang w:val="en-US"/>
              </w:rPr>
              <w:t xml:space="preserve"> </w:t>
            </w:r>
            <w:r w:rsidRPr="0031675F">
              <w:rPr>
                <w:rFonts w:eastAsia="Calibri" w:hAnsi="Calibri"/>
                <w:sz w:val="17"/>
                <w:lang w:val="en-US"/>
              </w:rPr>
              <w:t>-</w:t>
            </w:r>
            <w:r w:rsidRPr="0031675F">
              <w:rPr>
                <w:rFonts w:eastAsia="Calibri" w:hAnsi="Calibri"/>
                <w:spacing w:val="11"/>
                <w:sz w:val="17"/>
                <w:lang w:val="en-US"/>
              </w:rPr>
              <w:t xml:space="preserve"> </w:t>
            </w:r>
            <w:r w:rsidRPr="0031675F">
              <w:rPr>
                <w:rFonts w:eastAsia="Calibri" w:hAnsi="Calibri"/>
                <w:spacing w:val="-1"/>
                <w:sz w:val="17"/>
                <w:lang w:val="en-US"/>
              </w:rPr>
              <w:t>B+L</w:t>
            </w:r>
            <w:r w:rsidRPr="0031675F">
              <w:rPr>
                <w:rFonts w:eastAsia="Calibri" w:hAnsi="Calibri"/>
                <w:spacing w:val="11"/>
                <w:sz w:val="17"/>
                <w:lang w:val="en-US"/>
              </w:rPr>
              <w:t xml:space="preserve"> </w:t>
            </w:r>
            <w:r w:rsidRPr="0031675F">
              <w:rPr>
                <w:rFonts w:eastAsia="Calibri" w:hAnsi="Calibri"/>
                <w:sz w:val="17"/>
                <w:lang w:val="en-US"/>
              </w:rPr>
              <w:t>AA3</w:t>
            </w:r>
          </w:p>
          <w:p w14:paraId="79A2B974" w14:textId="77777777" w:rsidR="0031675F" w:rsidRPr="0031675F" w:rsidRDefault="0031675F" w:rsidP="0031675F">
            <w:pPr>
              <w:widowControl w:val="0"/>
              <w:spacing w:before="3" w:after="0" w:line="240" w:lineRule="auto"/>
              <w:rPr>
                <w:rFonts w:eastAsia="Arial" w:cs="Arial"/>
                <w:b/>
                <w:bCs/>
                <w:sz w:val="21"/>
                <w:szCs w:val="21"/>
                <w:lang w:val="en-US"/>
              </w:rPr>
            </w:pPr>
          </w:p>
          <w:p w14:paraId="72B187C1" w14:textId="77777777" w:rsidR="0031675F" w:rsidRPr="0031675F" w:rsidRDefault="0031675F" w:rsidP="0031675F">
            <w:pPr>
              <w:widowControl w:val="0"/>
              <w:spacing w:before="0" w:after="0" w:line="240" w:lineRule="auto"/>
              <w:ind w:right="1108"/>
              <w:jc w:val="center"/>
              <w:rPr>
                <w:rFonts w:eastAsia="Arial" w:cs="Arial"/>
                <w:sz w:val="17"/>
                <w:szCs w:val="17"/>
                <w:lang w:val="en-US"/>
              </w:rPr>
            </w:pPr>
            <w:r w:rsidRPr="0031675F">
              <w:rPr>
                <w:rFonts w:eastAsia="Calibri" w:hAnsi="Calibri"/>
                <w:b/>
                <w:spacing w:val="-1"/>
                <w:sz w:val="17"/>
                <w:lang w:val="en-US"/>
              </w:rPr>
              <w:t>Method</w:t>
            </w:r>
            <w:r w:rsidRPr="0031675F">
              <w:rPr>
                <w:rFonts w:eastAsia="Calibri" w:hAnsi="Calibri"/>
                <w:b/>
                <w:sz w:val="17"/>
                <w:lang w:val="en-US"/>
              </w:rPr>
              <w:t xml:space="preserve">  </w:t>
            </w:r>
            <w:r w:rsidRPr="0031675F">
              <w:rPr>
                <w:rFonts w:eastAsia="Calibri" w:hAnsi="Calibri"/>
                <w:b/>
                <w:spacing w:val="32"/>
                <w:sz w:val="17"/>
                <w:lang w:val="en-US"/>
              </w:rPr>
              <w:t xml:space="preserve"> </w:t>
            </w:r>
            <w:r w:rsidRPr="0031675F">
              <w:rPr>
                <w:rFonts w:eastAsia="Calibri" w:hAnsi="Calibri"/>
                <w:b/>
                <w:sz w:val="17"/>
                <w:lang w:val="en-US"/>
              </w:rPr>
              <w:t>Reference:</w:t>
            </w:r>
            <w:r w:rsidRPr="0031675F">
              <w:rPr>
                <w:rFonts w:eastAsia="Calibri" w:hAnsi="Calibri"/>
                <w:b/>
                <w:spacing w:val="10"/>
                <w:sz w:val="17"/>
                <w:lang w:val="en-US"/>
              </w:rPr>
              <w:t xml:space="preserve"> </w:t>
            </w:r>
            <w:r w:rsidRPr="0031675F">
              <w:rPr>
                <w:rFonts w:eastAsia="Calibri" w:hAnsi="Calibri"/>
                <w:spacing w:val="-1"/>
                <w:sz w:val="17"/>
                <w:lang w:val="en-US"/>
              </w:rPr>
              <w:t>Ryle</w:t>
            </w:r>
            <w:r w:rsidRPr="0031675F">
              <w:rPr>
                <w:rFonts w:eastAsia="Calibri" w:hAnsi="Calibri"/>
                <w:spacing w:val="10"/>
                <w:sz w:val="17"/>
                <w:lang w:val="en-US"/>
              </w:rPr>
              <w:t xml:space="preserve"> </w:t>
            </w:r>
            <w:r w:rsidRPr="0031675F">
              <w:rPr>
                <w:rFonts w:eastAsia="Calibri" w:hAnsi="Calibri"/>
                <w:spacing w:val="-1"/>
                <w:sz w:val="17"/>
                <w:lang w:val="en-US"/>
              </w:rPr>
              <w:t>V.D.,</w:t>
            </w:r>
            <w:r w:rsidRPr="0031675F">
              <w:rPr>
                <w:rFonts w:eastAsia="Calibri" w:hAnsi="Calibri"/>
                <w:spacing w:val="12"/>
                <w:sz w:val="17"/>
                <w:lang w:val="en-US"/>
              </w:rPr>
              <w:t xml:space="preserve"> </w:t>
            </w:r>
            <w:r w:rsidRPr="0031675F">
              <w:rPr>
                <w:rFonts w:eastAsia="Calibri" w:hAnsi="Calibri"/>
                <w:spacing w:val="-1"/>
                <w:sz w:val="17"/>
                <w:lang w:val="en-US"/>
              </w:rPr>
              <w:t>Mueller</w:t>
            </w:r>
            <w:r w:rsidRPr="0031675F">
              <w:rPr>
                <w:rFonts w:eastAsia="Calibri" w:hAnsi="Calibri"/>
                <w:spacing w:val="10"/>
                <w:sz w:val="17"/>
                <w:lang w:val="en-US"/>
              </w:rPr>
              <w:t xml:space="preserve"> </w:t>
            </w:r>
            <w:r w:rsidRPr="0031675F">
              <w:rPr>
                <w:rFonts w:eastAsia="Calibri" w:hAnsi="Calibri"/>
                <w:spacing w:val="-1"/>
                <w:sz w:val="17"/>
                <w:lang w:val="en-US"/>
              </w:rPr>
              <w:t>H.R.</w:t>
            </w:r>
            <w:r w:rsidRPr="0031675F">
              <w:rPr>
                <w:rFonts w:eastAsia="Calibri" w:hAnsi="Calibri"/>
                <w:spacing w:val="10"/>
                <w:sz w:val="17"/>
                <w:lang w:val="en-US"/>
              </w:rPr>
              <w:t xml:space="preserve"> </w:t>
            </w:r>
            <w:r w:rsidRPr="0031675F">
              <w:rPr>
                <w:rFonts w:eastAsia="Calibri" w:hAnsi="Calibri"/>
                <w:sz w:val="17"/>
                <w:lang w:val="en-US"/>
              </w:rPr>
              <w:t>and</w:t>
            </w:r>
            <w:r w:rsidRPr="0031675F">
              <w:rPr>
                <w:rFonts w:eastAsia="Calibri" w:hAnsi="Calibri"/>
                <w:spacing w:val="11"/>
                <w:sz w:val="17"/>
                <w:lang w:val="en-US"/>
              </w:rPr>
              <w:t xml:space="preserve"> </w:t>
            </w:r>
            <w:r w:rsidRPr="0031675F">
              <w:rPr>
                <w:rFonts w:eastAsia="Calibri" w:hAnsi="Calibri"/>
                <w:sz w:val="17"/>
                <w:lang w:val="en-US"/>
              </w:rPr>
              <w:t>Gentien</w:t>
            </w:r>
            <w:r w:rsidRPr="0031675F">
              <w:rPr>
                <w:rFonts w:eastAsia="Calibri" w:hAnsi="Calibri"/>
                <w:spacing w:val="10"/>
                <w:sz w:val="17"/>
                <w:lang w:val="en-US"/>
              </w:rPr>
              <w:t xml:space="preserve"> </w:t>
            </w:r>
            <w:r w:rsidRPr="0031675F">
              <w:rPr>
                <w:rFonts w:eastAsia="Calibri" w:hAnsi="Calibri"/>
                <w:sz w:val="17"/>
                <w:lang w:val="en-US"/>
              </w:rPr>
              <w:t>P.(1981),</w:t>
            </w:r>
          </w:p>
          <w:p w14:paraId="1FB1F79E" w14:textId="77777777" w:rsidR="0031675F" w:rsidRPr="0031675F" w:rsidRDefault="0031675F" w:rsidP="0031675F">
            <w:pPr>
              <w:widowControl w:val="0"/>
              <w:spacing w:before="19" w:after="0" w:line="265" w:lineRule="auto"/>
              <w:ind w:left="17" w:right="199"/>
              <w:rPr>
                <w:rFonts w:eastAsia="Arial" w:cs="Arial"/>
                <w:sz w:val="17"/>
                <w:szCs w:val="17"/>
                <w:lang w:val="en-US"/>
              </w:rPr>
            </w:pPr>
            <w:r w:rsidRPr="0031675F">
              <w:rPr>
                <w:rFonts w:eastAsia="Calibri" w:hAnsi="Calibri"/>
                <w:i/>
                <w:spacing w:val="-1"/>
                <w:sz w:val="17"/>
                <w:lang w:val="en-US"/>
              </w:rPr>
              <w:t>Automated</w:t>
            </w:r>
            <w:r w:rsidRPr="0031675F">
              <w:rPr>
                <w:rFonts w:eastAsia="Calibri" w:hAnsi="Calibri"/>
                <w:i/>
                <w:spacing w:val="13"/>
                <w:sz w:val="17"/>
                <w:lang w:val="en-US"/>
              </w:rPr>
              <w:t xml:space="preserve"> </w:t>
            </w:r>
            <w:r w:rsidRPr="0031675F">
              <w:rPr>
                <w:rFonts w:eastAsia="Calibri" w:hAnsi="Calibri"/>
                <w:i/>
                <w:spacing w:val="-1"/>
                <w:sz w:val="17"/>
                <w:lang w:val="en-US"/>
              </w:rPr>
              <w:t>Analysis</w:t>
            </w:r>
            <w:r w:rsidRPr="0031675F">
              <w:rPr>
                <w:rFonts w:eastAsia="Calibri" w:hAnsi="Calibri"/>
                <w:i/>
                <w:spacing w:val="13"/>
                <w:sz w:val="17"/>
                <w:lang w:val="en-US"/>
              </w:rPr>
              <w:t xml:space="preserve"> </w:t>
            </w:r>
            <w:r w:rsidRPr="0031675F">
              <w:rPr>
                <w:rFonts w:eastAsia="Calibri" w:hAnsi="Calibri"/>
                <w:i/>
                <w:sz w:val="17"/>
                <w:lang w:val="en-US"/>
              </w:rPr>
              <w:t>of</w:t>
            </w:r>
            <w:r w:rsidRPr="0031675F">
              <w:rPr>
                <w:rFonts w:eastAsia="Calibri" w:hAnsi="Calibri"/>
                <w:i/>
                <w:spacing w:val="14"/>
                <w:sz w:val="17"/>
                <w:lang w:val="en-US"/>
              </w:rPr>
              <w:t xml:space="preserve"> </w:t>
            </w:r>
            <w:r w:rsidRPr="0031675F">
              <w:rPr>
                <w:rFonts w:eastAsia="Calibri" w:hAnsi="Calibri"/>
                <w:i/>
                <w:spacing w:val="-1"/>
                <w:sz w:val="17"/>
                <w:lang w:val="en-US"/>
              </w:rPr>
              <w:t>Nutrients</w:t>
            </w:r>
            <w:r w:rsidRPr="0031675F">
              <w:rPr>
                <w:rFonts w:eastAsia="Calibri" w:hAnsi="Calibri"/>
                <w:i/>
                <w:spacing w:val="13"/>
                <w:sz w:val="17"/>
                <w:lang w:val="en-US"/>
              </w:rPr>
              <w:t xml:space="preserve"> </w:t>
            </w:r>
            <w:r w:rsidRPr="0031675F">
              <w:rPr>
                <w:rFonts w:eastAsia="Calibri" w:hAnsi="Calibri"/>
                <w:i/>
                <w:sz w:val="17"/>
                <w:lang w:val="en-US"/>
              </w:rPr>
              <w:t>in</w:t>
            </w:r>
            <w:r w:rsidRPr="0031675F">
              <w:rPr>
                <w:rFonts w:eastAsia="Calibri" w:hAnsi="Calibri"/>
                <w:i/>
                <w:spacing w:val="13"/>
                <w:sz w:val="17"/>
                <w:lang w:val="en-US"/>
              </w:rPr>
              <w:t xml:space="preserve"> </w:t>
            </w:r>
            <w:r w:rsidRPr="0031675F">
              <w:rPr>
                <w:rFonts w:eastAsia="Calibri" w:hAnsi="Calibri"/>
                <w:i/>
                <w:spacing w:val="-1"/>
                <w:sz w:val="17"/>
                <w:lang w:val="en-US"/>
              </w:rPr>
              <w:t>Tropical</w:t>
            </w:r>
            <w:r w:rsidRPr="0031675F">
              <w:rPr>
                <w:rFonts w:eastAsia="Calibri" w:hAnsi="Calibri"/>
                <w:i/>
                <w:spacing w:val="14"/>
                <w:sz w:val="17"/>
                <w:lang w:val="en-US"/>
              </w:rPr>
              <w:t xml:space="preserve"> </w:t>
            </w:r>
            <w:r w:rsidRPr="0031675F">
              <w:rPr>
                <w:rFonts w:eastAsia="Calibri" w:hAnsi="Calibri"/>
                <w:i/>
                <w:sz w:val="17"/>
                <w:lang w:val="en-US"/>
              </w:rPr>
              <w:t>Seawaters</w:t>
            </w:r>
            <w:r w:rsidRPr="0031675F">
              <w:rPr>
                <w:rFonts w:eastAsia="Calibri" w:hAnsi="Calibri"/>
                <w:i/>
                <w:spacing w:val="-7"/>
                <w:sz w:val="17"/>
                <w:lang w:val="en-US"/>
              </w:rPr>
              <w:t xml:space="preserve"> </w:t>
            </w:r>
            <w:r w:rsidRPr="0031675F">
              <w:rPr>
                <w:rFonts w:eastAsia="Calibri" w:hAnsi="Calibri"/>
                <w:sz w:val="17"/>
                <w:lang w:val="en-US"/>
              </w:rPr>
              <w:t>,</w:t>
            </w:r>
            <w:r w:rsidRPr="0031675F">
              <w:rPr>
                <w:rFonts w:eastAsia="Calibri" w:hAnsi="Calibri"/>
                <w:spacing w:val="14"/>
                <w:sz w:val="17"/>
                <w:lang w:val="en-US"/>
              </w:rPr>
              <w:t xml:space="preserve"> </w:t>
            </w:r>
            <w:r w:rsidRPr="0031675F">
              <w:rPr>
                <w:rFonts w:eastAsia="Calibri" w:hAnsi="Calibri"/>
                <w:spacing w:val="-1"/>
                <w:sz w:val="17"/>
                <w:lang w:val="en-US"/>
              </w:rPr>
              <w:t>AIMS</w:t>
            </w:r>
            <w:r w:rsidRPr="0031675F">
              <w:rPr>
                <w:rFonts w:eastAsia="Calibri" w:hAnsi="Calibri"/>
                <w:spacing w:val="14"/>
                <w:sz w:val="17"/>
                <w:lang w:val="en-US"/>
              </w:rPr>
              <w:t xml:space="preserve"> </w:t>
            </w:r>
            <w:r w:rsidRPr="0031675F">
              <w:rPr>
                <w:rFonts w:eastAsia="Calibri" w:hAnsi="Calibri"/>
                <w:spacing w:val="-1"/>
                <w:sz w:val="17"/>
                <w:lang w:val="en-US"/>
              </w:rPr>
              <w:t>Oceanography</w:t>
            </w:r>
            <w:r w:rsidRPr="0031675F">
              <w:rPr>
                <w:rFonts w:eastAsia="Calibri" w:hAnsi="Calibri"/>
                <w:spacing w:val="11"/>
                <w:sz w:val="17"/>
                <w:lang w:val="en-US"/>
              </w:rPr>
              <w:t xml:space="preserve"> </w:t>
            </w:r>
            <w:r w:rsidRPr="0031675F">
              <w:rPr>
                <w:rFonts w:eastAsia="Calibri" w:hAnsi="Calibri"/>
                <w:spacing w:val="-1"/>
                <w:sz w:val="17"/>
                <w:lang w:val="en-US"/>
              </w:rPr>
              <w:t>Series</w:t>
            </w:r>
            <w:r w:rsidRPr="0031675F">
              <w:rPr>
                <w:rFonts w:eastAsia="Calibri" w:hAnsi="Calibri"/>
                <w:spacing w:val="95"/>
                <w:w w:val="102"/>
                <w:sz w:val="17"/>
                <w:lang w:val="en-US"/>
              </w:rPr>
              <w:t xml:space="preserve"> </w:t>
            </w:r>
            <w:r w:rsidRPr="0031675F">
              <w:rPr>
                <w:rFonts w:eastAsia="Calibri" w:hAnsi="Calibri"/>
                <w:sz w:val="17"/>
                <w:lang w:val="en-US"/>
              </w:rPr>
              <w:t>Tech.</w:t>
            </w:r>
            <w:r w:rsidRPr="0031675F">
              <w:rPr>
                <w:rFonts w:eastAsia="Calibri" w:hAnsi="Calibri"/>
                <w:spacing w:val="18"/>
                <w:sz w:val="17"/>
                <w:lang w:val="en-US"/>
              </w:rPr>
              <w:t xml:space="preserve"> </w:t>
            </w:r>
            <w:r w:rsidRPr="0031675F">
              <w:rPr>
                <w:rFonts w:eastAsia="Calibri" w:hAnsi="Calibri"/>
                <w:spacing w:val="-1"/>
                <w:sz w:val="17"/>
                <w:lang w:val="en-US"/>
              </w:rPr>
              <w:t>Bulletin</w:t>
            </w:r>
            <w:r w:rsidRPr="0031675F">
              <w:rPr>
                <w:rFonts w:eastAsia="Calibri" w:hAnsi="Calibri"/>
                <w:spacing w:val="17"/>
                <w:sz w:val="17"/>
                <w:lang w:val="en-US"/>
              </w:rPr>
              <w:t xml:space="preserve"> </w:t>
            </w:r>
            <w:r w:rsidRPr="0031675F">
              <w:rPr>
                <w:rFonts w:eastAsia="Calibri" w:hAnsi="Calibri"/>
                <w:spacing w:val="-1"/>
                <w:sz w:val="17"/>
                <w:lang w:val="en-US"/>
              </w:rPr>
              <w:t>No.3,</w:t>
            </w:r>
            <w:r w:rsidRPr="0031675F">
              <w:rPr>
                <w:rFonts w:eastAsia="Calibri" w:hAnsi="Calibri"/>
                <w:spacing w:val="19"/>
                <w:sz w:val="17"/>
                <w:lang w:val="en-US"/>
              </w:rPr>
              <w:t xml:space="preserve"> </w:t>
            </w:r>
            <w:r w:rsidRPr="0031675F">
              <w:rPr>
                <w:rFonts w:eastAsia="Calibri" w:hAnsi="Calibri"/>
                <w:spacing w:val="-1"/>
                <w:sz w:val="17"/>
                <w:lang w:val="en-US"/>
              </w:rPr>
              <w:t>AIMS.OS.81.2</w:t>
            </w:r>
          </w:p>
          <w:p w14:paraId="09752FA9" w14:textId="77777777" w:rsidR="0031675F" w:rsidRPr="0031675F" w:rsidRDefault="0031675F" w:rsidP="0031675F">
            <w:pPr>
              <w:widowControl w:val="0"/>
              <w:spacing w:before="6" w:after="0" w:line="240" w:lineRule="auto"/>
              <w:rPr>
                <w:rFonts w:eastAsia="Arial" w:cs="Arial"/>
                <w:b/>
                <w:bCs/>
                <w:sz w:val="19"/>
                <w:szCs w:val="19"/>
                <w:lang w:val="en-US"/>
              </w:rPr>
            </w:pPr>
          </w:p>
          <w:p w14:paraId="6FB20FE7" w14:textId="77777777" w:rsidR="0031675F" w:rsidRPr="0031675F" w:rsidRDefault="0031675F" w:rsidP="0031675F">
            <w:pPr>
              <w:widowControl w:val="0"/>
              <w:tabs>
                <w:tab w:val="left" w:pos="2228"/>
              </w:tabs>
              <w:spacing w:before="0" w:after="0" w:line="240" w:lineRule="auto"/>
              <w:ind w:left="17"/>
              <w:rPr>
                <w:rFonts w:eastAsia="Arial" w:cs="Arial"/>
                <w:sz w:val="17"/>
                <w:szCs w:val="17"/>
                <w:lang w:val="en-US"/>
              </w:rPr>
            </w:pPr>
            <w:r w:rsidRPr="0031675F">
              <w:rPr>
                <w:rFonts w:eastAsia="Calibri" w:hAnsi="Calibri"/>
                <w:b/>
                <w:spacing w:val="-2"/>
                <w:sz w:val="17"/>
                <w:lang w:val="en-US"/>
              </w:rPr>
              <w:t>Analyst:</w:t>
            </w:r>
            <w:r w:rsidRPr="0031675F">
              <w:rPr>
                <w:rFonts w:eastAsia="Calibri" w:hAnsi="Calibri"/>
                <w:b/>
                <w:spacing w:val="10"/>
                <w:sz w:val="17"/>
                <w:lang w:val="en-US"/>
              </w:rPr>
              <w:t xml:space="preserve"> </w:t>
            </w:r>
            <w:r w:rsidRPr="0031675F">
              <w:rPr>
                <w:rFonts w:eastAsia="Calibri" w:hAnsi="Calibri"/>
                <w:b/>
                <w:sz w:val="17"/>
                <w:lang w:val="en-US"/>
              </w:rPr>
              <w:t>J.</w:t>
            </w:r>
            <w:r w:rsidRPr="0031675F">
              <w:rPr>
                <w:rFonts w:eastAsia="Calibri" w:hAnsi="Calibri"/>
                <w:b/>
                <w:spacing w:val="12"/>
                <w:sz w:val="17"/>
                <w:lang w:val="en-US"/>
              </w:rPr>
              <w:t xml:space="preserve"> </w:t>
            </w:r>
            <w:r w:rsidRPr="0031675F">
              <w:rPr>
                <w:rFonts w:eastAsia="Calibri" w:hAnsi="Calibri"/>
                <w:b/>
                <w:sz w:val="17"/>
                <w:lang w:val="en-US"/>
              </w:rPr>
              <w:t>Wu</w:t>
            </w:r>
            <w:r w:rsidRPr="0031675F">
              <w:rPr>
                <w:rFonts w:eastAsia="Calibri" w:hAnsi="Calibri"/>
                <w:b/>
                <w:spacing w:val="10"/>
                <w:sz w:val="17"/>
                <w:lang w:val="en-US"/>
              </w:rPr>
              <w:t xml:space="preserve"> </w:t>
            </w:r>
            <w:r w:rsidRPr="0031675F">
              <w:rPr>
                <w:rFonts w:eastAsia="Calibri" w:hAnsi="Calibri"/>
                <w:b/>
                <w:sz w:val="17"/>
                <w:lang w:val="en-US"/>
              </w:rPr>
              <w:t>Won</w:t>
            </w:r>
            <w:r w:rsidRPr="0031675F">
              <w:rPr>
                <w:rFonts w:eastAsia="Calibri" w:hAnsi="Calibri"/>
                <w:b/>
                <w:sz w:val="17"/>
                <w:lang w:val="en-US"/>
              </w:rPr>
              <w:tab/>
            </w:r>
            <w:r w:rsidRPr="0031675F">
              <w:rPr>
                <w:rFonts w:eastAsia="Calibri" w:hAnsi="Calibri"/>
                <w:b/>
                <w:spacing w:val="-1"/>
                <w:sz w:val="17"/>
                <w:lang w:val="en-US"/>
              </w:rPr>
              <w:t>Laboratory</w:t>
            </w:r>
            <w:r w:rsidRPr="0031675F">
              <w:rPr>
                <w:rFonts w:eastAsia="Calibri" w:hAnsi="Calibri"/>
                <w:b/>
                <w:spacing w:val="8"/>
                <w:sz w:val="17"/>
                <w:lang w:val="en-US"/>
              </w:rPr>
              <w:t xml:space="preserve"> </w:t>
            </w:r>
            <w:r w:rsidRPr="0031675F">
              <w:rPr>
                <w:rFonts w:eastAsia="Calibri" w:hAnsi="Calibri"/>
                <w:b/>
                <w:spacing w:val="-1"/>
                <w:sz w:val="17"/>
                <w:lang w:val="en-US"/>
              </w:rPr>
              <w:t>Services</w:t>
            </w:r>
            <w:r w:rsidRPr="0031675F">
              <w:rPr>
                <w:rFonts w:eastAsia="Calibri" w:hAnsi="Calibri"/>
                <w:b/>
                <w:spacing w:val="13"/>
                <w:sz w:val="17"/>
                <w:lang w:val="en-US"/>
              </w:rPr>
              <w:t xml:space="preserve"> </w:t>
            </w:r>
            <w:r w:rsidRPr="0031675F">
              <w:rPr>
                <w:rFonts w:eastAsia="Calibri" w:hAnsi="Calibri"/>
                <w:b/>
                <w:sz w:val="17"/>
                <w:lang w:val="en-US"/>
              </w:rPr>
              <w:t xml:space="preserve">Manager: </w:t>
            </w:r>
            <w:r w:rsidRPr="0031675F">
              <w:rPr>
                <w:rFonts w:eastAsia="Calibri" w:hAnsi="Calibri"/>
                <w:b/>
                <w:spacing w:val="29"/>
                <w:sz w:val="17"/>
                <w:lang w:val="en-US"/>
              </w:rPr>
              <w:t xml:space="preserve"> </w:t>
            </w:r>
            <w:r w:rsidRPr="0031675F">
              <w:rPr>
                <w:rFonts w:eastAsia="Calibri" w:hAnsi="Calibri"/>
                <w:b/>
                <w:sz w:val="17"/>
                <w:lang w:val="en-US"/>
              </w:rPr>
              <w:t>F.</w:t>
            </w:r>
            <w:r w:rsidRPr="0031675F">
              <w:rPr>
                <w:rFonts w:eastAsia="Calibri" w:hAnsi="Calibri"/>
                <w:b/>
                <w:spacing w:val="14"/>
                <w:sz w:val="17"/>
                <w:lang w:val="en-US"/>
              </w:rPr>
              <w:t xml:space="preserve"> </w:t>
            </w:r>
            <w:r w:rsidRPr="0031675F">
              <w:rPr>
                <w:rFonts w:eastAsia="Calibri" w:hAnsi="Calibri"/>
                <w:b/>
                <w:spacing w:val="-1"/>
                <w:sz w:val="17"/>
                <w:lang w:val="en-US"/>
              </w:rPr>
              <w:t>Tirendi</w:t>
            </w:r>
          </w:p>
        </w:tc>
        <w:tc>
          <w:tcPr>
            <w:tcW w:w="527" w:type="dxa"/>
            <w:tcBorders>
              <w:top w:val="nil"/>
              <w:left w:val="single" w:sz="4" w:space="0" w:color="000000"/>
              <w:bottom w:val="single" w:sz="4" w:space="0" w:color="000000"/>
              <w:right w:val="single" w:sz="4" w:space="0" w:color="000000"/>
            </w:tcBorders>
          </w:tcPr>
          <w:p w14:paraId="1D1902E3" w14:textId="77777777" w:rsidR="0031675F" w:rsidRPr="0031675F" w:rsidRDefault="0031675F" w:rsidP="0031675F"/>
        </w:tc>
        <w:tc>
          <w:tcPr>
            <w:tcW w:w="731" w:type="dxa"/>
            <w:vMerge/>
            <w:tcBorders>
              <w:left w:val="single" w:sz="4" w:space="0" w:color="000000"/>
              <w:bottom w:val="single" w:sz="4" w:space="0" w:color="000000"/>
              <w:right w:val="single" w:sz="7" w:space="0" w:color="000000"/>
            </w:tcBorders>
          </w:tcPr>
          <w:p w14:paraId="63907C94" w14:textId="77777777" w:rsidR="0031675F" w:rsidRPr="0031675F" w:rsidRDefault="0031675F" w:rsidP="0031675F"/>
        </w:tc>
      </w:tr>
      <w:tr w:rsidR="0031675F" w:rsidRPr="0031675F" w14:paraId="45398EB7"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93AAC93"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2AFB3A1A"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02F0C1DA"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694989D5" w14:textId="77777777" w:rsidR="0031675F" w:rsidRPr="0031675F" w:rsidRDefault="0031675F" w:rsidP="0031675F"/>
        </w:tc>
      </w:tr>
      <w:tr w:rsidR="0031675F" w:rsidRPr="0031675F" w14:paraId="4A0BFF84"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4C24E742"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3EC8B494"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34C4774B"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702156CE" w14:textId="77777777" w:rsidR="0031675F" w:rsidRPr="0031675F" w:rsidRDefault="0031675F" w:rsidP="0031675F"/>
        </w:tc>
      </w:tr>
      <w:tr w:rsidR="0031675F" w:rsidRPr="0031675F" w14:paraId="2FF00D7F"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49564D55"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0EE1A2AE"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012A96CD"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59E7E2AE" w14:textId="77777777" w:rsidR="0031675F" w:rsidRPr="0031675F" w:rsidRDefault="0031675F" w:rsidP="0031675F"/>
        </w:tc>
      </w:tr>
      <w:tr w:rsidR="0031675F" w:rsidRPr="0031675F" w14:paraId="64113973"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27428FBD"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3F910DE4"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3ACEC190"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28E49412" w14:textId="77777777" w:rsidR="0031675F" w:rsidRPr="0031675F" w:rsidRDefault="0031675F" w:rsidP="0031675F"/>
        </w:tc>
      </w:tr>
      <w:tr w:rsidR="0031675F" w:rsidRPr="0031675F" w14:paraId="711CA16F"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3D5D27D"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3CF8B37E"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2C0AB773"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322C85FA" w14:textId="77777777" w:rsidR="0031675F" w:rsidRPr="0031675F" w:rsidRDefault="0031675F" w:rsidP="0031675F"/>
        </w:tc>
      </w:tr>
      <w:tr w:rsidR="0031675F" w:rsidRPr="0031675F" w14:paraId="7DD3ABD5"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726A0274"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67ED01F7"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0A715B3E"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39C60C53" w14:textId="77777777" w:rsidR="0031675F" w:rsidRPr="0031675F" w:rsidRDefault="0031675F" w:rsidP="0031675F"/>
        </w:tc>
      </w:tr>
      <w:tr w:rsidR="0031675F" w:rsidRPr="0031675F" w14:paraId="27FF8BDB"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3C7408DC"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4A84AAC6"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5E985960"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15A9A3D9" w14:textId="77777777" w:rsidR="0031675F" w:rsidRPr="0031675F" w:rsidRDefault="0031675F" w:rsidP="0031675F"/>
        </w:tc>
      </w:tr>
      <w:tr w:rsidR="0031675F" w:rsidRPr="0031675F" w14:paraId="7177987E"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11A52A1A"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084CDD3F"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07D07D67"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64677EC8" w14:textId="77777777" w:rsidR="0031675F" w:rsidRPr="0031675F" w:rsidRDefault="0031675F" w:rsidP="0031675F"/>
        </w:tc>
      </w:tr>
      <w:tr w:rsidR="0031675F" w:rsidRPr="0031675F" w14:paraId="2901C6BA"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142211D0"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7A120BBC"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21592DD3"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753FBB4F" w14:textId="77777777" w:rsidR="0031675F" w:rsidRPr="0031675F" w:rsidRDefault="0031675F" w:rsidP="0031675F"/>
        </w:tc>
      </w:tr>
      <w:tr w:rsidR="0031675F" w:rsidRPr="0031675F" w14:paraId="74FE5E91"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44319F51"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3EB9C6C9"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780BD71F"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7948B2C0" w14:textId="77777777" w:rsidR="0031675F" w:rsidRPr="0031675F" w:rsidRDefault="0031675F" w:rsidP="0031675F"/>
        </w:tc>
      </w:tr>
      <w:tr w:rsidR="0031675F" w:rsidRPr="0031675F" w14:paraId="00394F2D"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5D7ED364"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658080C3"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0DD8A617"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4B686D63" w14:textId="77777777" w:rsidR="0031675F" w:rsidRPr="0031675F" w:rsidRDefault="0031675F" w:rsidP="0031675F"/>
        </w:tc>
      </w:tr>
      <w:tr w:rsidR="0031675F" w:rsidRPr="0031675F" w14:paraId="2CA345C6"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319F2D84"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42A1F553"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5A4D473E"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61B30A69" w14:textId="77777777" w:rsidR="0031675F" w:rsidRPr="0031675F" w:rsidRDefault="0031675F" w:rsidP="0031675F"/>
        </w:tc>
      </w:tr>
      <w:tr w:rsidR="0031675F" w:rsidRPr="0031675F" w14:paraId="205BF017"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EB8786D"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55F0A99D"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0CA7D8D6"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1E363354" w14:textId="77777777" w:rsidR="0031675F" w:rsidRPr="0031675F" w:rsidRDefault="0031675F" w:rsidP="0031675F"/>
        </w:tc>
      </w:tr>
      <w:tr w:rsidR="0031675F" w:rsidRPr="0031675F" w14:paraId="2BB3E6A0"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2165C47"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2EDED2EE"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354EC4B6"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29DD5934" w14:textId="77777777" w:rsidR="0031675F" w:rsidRPr="0031675F" w:rsidRDefault="0031675F" w:rsidP="0031675F"/>
        </w:tc>
      </w:tr>
      <w:tr w:rsidR="0031675F" w:rsidRPr="0031675F" w14:paraId="189CD5FC"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2FA34D96"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26E43595"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1BE8508D"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3A66E646" w14:textId="77777777" w:rsidR="0031675F" w:rsidRPr="0031675F" w:rsidRDefault="0031675F" w:rsidP="0031675F"/>
        </w:tc>
      </w:tr>
      <w:tr w:rsidR="0031675F" w:rsidRPr="0031675F" w14:paraId="0763910C"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53C9F41F"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05A71F5C"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776AB495"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539E9FC1" w14:textId="77777777" w:rsidR="0031675F" w:rsidRPr="0031675F" w:rsidRDefault="0031675F" w:rsidP="0031675F"/>
        </w:tc>
      </w:tr>
      <w:tr w:rsidR="0031675F" w:rsidRPr="0031675F" w14:paraId="621128DD"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11C03C59"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16D7E4A5"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736B5E43"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790C25C0" w14:textId="77777777" w:rsidR="0031675F" w:rsidRPr="0031675F" w:rsidRDefault="0031675F" w:rsidP="0031675F"/>
        </w:tc>
      </w:tr>
      <w:tr w:rsidR="0031675F" w:rsidRPr="0031675F" w14:paraId="7506B9DA"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475998B3"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5343F2E1"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70C97222"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7B2C7EBB" w14:textId="77777777" w:rsidR="0031675F" w:rsidRPr="0031675F" w:rsidRDefault="0031675F" w:rsidP="0031675F"/>
        </w:tc>
      </w:tr>
      <w:tr w:rsidR="0031675F" w:rsidRPr="0031675F" w14:paraId="5DD007CE"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1E14CC05"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1EE39DFB"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1D306893"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65288054" w14:textId="77777777" w:rsidR="0031675F" w:rsidRPr="0031675F" w:rsidRDefault="0031675F" w:rsidP="0031675F"/>
        </w:tc>
      </w:tr>
      <w:tr w:rsidR="0031675F" w:rsidRPr="0031675F" w14:paraId="6944FAD6"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10C85C41"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7187EB19"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065314D9"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3C537890" w14:textId="77777777" w:rsidR="0031675F" w:rsidRPr="0031675F" w:rsidRDefault="0031675F" w:rsidP="0031675F"/>
        </w:tc>
      </w:tr>
      <w:tr w:rsidR="0031675F" w:rsidRPr="0031675F" w14:paraId="63F7D43C"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1657CB5F"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4121B701"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457683BE"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6EA8FCD1" w14:textId="77777777" w:rsidR="0031675F" w:rsidRPr="0031675F" w:rsidRDefault="0031675F" w:rsidP="0031675F"/>
        </w:tc>
      </w:tr>
      <w:tr w:rsidR="0031675F" w:rsidRPr="0031675F" w14:paraId="7E492D45"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3595FACF"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55C39816"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4BAE695F"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7D0D3222" w14:textId="77777777" w:rsidR="0031675F" w:rsidRPr="0031675F" w:rsidRDefault="0031675F" w:rsidP="0031675F"/>
        </w:tc>
      </w:tr>
      <w:tr w:rsidR="0031675F" w:rsidRPr="0031675F" w14:paraId="170DC89C"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585AB80F"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2B540B5D"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5244C88C"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33CE93ED" w14:textId="77777777" w:rsidR="0031675F" w:rsidRPr="0031675F" w:rsidRDefault="0031675F" w:rsidP="0031675F"/>
        </w:tc>
      </w:tr>
      <w:tr w:rsidR="0031675F" w:rsidRPr="0031675F" w14:paraId="786E559B"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6D5D687"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5493A1F4"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3EB8EE39"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5797DFB7" w14:textId="77777777" w:rsidR="0031675F" w:rsidRPr="0031675F" w:rsidRDefault="0031675F" w:rsidP="0031675F"/>
        </w:tc>
      </w:tr>
      <w:tr w:rsidR="0031675F" w:rsidRPr="0031675F" w14:paraId="69258AFA"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3BD70B41"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43D77E7A"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3D1BDB32"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70B4F4F0" w14:textId="77777777" w:rsidR="0031675F" w:rsidRPr="0031675F" w:rsidRDefault="0031675F" w:rsidP="0031675F"/>
        </w:tc>
      </w:tr>
      <w:tr w:rsidR="0031675F" w:rsidRPr="0031675F" w14:paraId="65C70412"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60519952"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3573CC56"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3672C826"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6C752987" w14:textId="77777777" w:rsidR="0031675F" w:rsidRPr="0031675F" w:rsidRDefault="0031675F" w:rsidP="0031675F"/>
        </w:tc>
      </w:tr>
      <w:tr w:rsidR="0031675F" w:rsidRPr="0031675F" w14:paraId="6CA3A5E0"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1EF41343"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1493BA53"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025FB27C"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2C4EF898" w14:textId="77777777" w:rsidR="0031675F" w:rsidRPr="0031675F" w:rsidRDefault="0031675F" w:rsidP="0031675F"/>
        </w:tc>
      </w:tr>
      <w:tr w:rsidR="0031675F" w:rsidRPr="0031675F" w14:paraId="53F2FA53"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5D1F7E3B"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1C3A8104"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0B74394B"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04C6A6A0" w14:textId="77777777" w:rsidR="0031675F" w:rsidRPr="0031675F" w:rsidRDefault="0031675F" w:rsidP="0031675F"/>
        </w:tc>
      </w:tr>
      <w:tr w:rsidR="0031675F" w:rsidRPr="0031675F" w14:paraId="53F5892A"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2B7A36D1"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0A95C2A6"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2E59222A"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2C806027" w14:textId="77777777" w:rsidR="0031675F" w:rsidRPr="0031675F" w:rsidRDefault="0031675F" w:rsidP="0031675F"/>
        </w:tc>
      </w:tr>
      <w:tr w:rsidR="0031675F" w:rsidRPr="0031675F" w14:paraId="4F26C1E5"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D9BF7AA"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3378DB59"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3E83ADB7"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5CAC0ACA" w14:textId="77777777" w:rsidR="0031675F" w:rsidRPr="0031675F" w:rsidRDefault="0031675F" w:rsidP="0031675F"/>
        </w:tc>
      </w:tr>
      <w:tr w:rsidR="0031675F" w:rsidRPr="0031675F" w14:paraId="73790CEE"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1CE95838"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3EEA10A5"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348D5B8A"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2DFD8F8E" w14:textId="77777777" w:rsidR="0031675F" w:rsidRPr="0031675F" w:rsidRDefault="0031675F" w:rsidP="0031675F"/>
        </w:tc>
      </w:tr>
      <w:tr w:rsidR="0031675F" w:rsidRPr="0031675F" w14:paraId="7D3067AC"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5F1F835"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2ECBB28A"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578D3531"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5F3E8991" w14:textId="77777777" w:rsidR="0031675F" w:rsidRPr="0031675F" w:rsidRDefault="0031675F" w:rsidP="0031675F"/>
        </w:tc>
      </w:tr>
      <w:tr w:rsidR="0031675F" w:rsidRPr="0031675F" w14:paraId="175F79CE"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4506362F"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1A5976ED"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7534315E"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6E56EA17" w14:textId="77777777" w:rsidR="0031675F" w:rsidRPr="0031675F" w:rsidRDefault="0031675F" w:rsidP="0031675F"/>
        </w:tc>
      </w:tr>
      <w:tr w:rsidR="0031675F" w:rsidRPr="0031675F" w14:paraId="751D045C"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44D09AA5"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11C9785F"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791B9279"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31CF347A" w14:textId="77777777" w:rsidR="0031675F" w:rsidRPr="0031675F" w:rsidRDefault="0031675F" w:rsidP="0031675F"/>
        </w:tc>
      </w:tr>
      <w:tr w:rsidR="0031675F" w:rsidRPr="0031675F" w14:paraId="5DE789A7"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753D27AB"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4627BAD7"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7D379D59"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599C57F7" w14:textId="77777777" w:rsidR="0031675F" w:rsidRPr="0031675F" w:rsidRDefault="0031675F" w:rsidP="0031675F"/>
        </w:tc>
      </w:tr>
      <w:tr w:rsidR="0031675F" w:rsidRPr="0031675F" w14:paraId="498162D6"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1698AD3A"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7A3A5093"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2A3214AF"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5E504C06" w14:textId="77777777" w:rsidR="0031675F" w:rsidRPr="0031675F" w:rsidRDefault="0031675F" w:rsidP="0031675F"/>
        </w:tc>
      </w:tr>
      <w:tr w:rsidR="0031675F" w:rsidRPr="0031675F" w14:paraId="7671A59E" w14:textId="77777777" w:rsidTr="00B00729">
        <w:trPr>
          <w:trHeight w:hRule="exact" w:val="180"/>
        </w:trPr>
        <w:tc>
          <w:tcPr>
            <w:tcW w:w="269" w:type="dxa"/>
            <w:tcBorders>
              <w:top w:val="single" w:sz="4" w:space="0" w:color="000000"/>
              <w:left w:val="single" w:sz="6" w:space="0" w:color="000000"/>
              <w:bottom w:val="single" w:sz="4" w:space="0" w:color="000000"/>
              <w:right w:val="single" w:sz="4" w:space="0" w:color="000000"/>
            </w:tcBorders>
          </w:tcPr>
          <w:p w14:paraId="03B991B9" w14:textId="77777777" w:rsidR="0031675F" w:rsidRPr="0031675F" w:rsidRDefault="0031675F" w:rsidP="0031675F"/>
        </w:tc>
        <w:tc>
          <w:tcPr>
            <w:tcW w:w="6747" w:type="dxa"/>
            <w:gridSpan w:val="10"/>
            <w:vMerge/>
            <w:tcBorders>
              <w:left w:val="single" w:sz="4" w:space="0" w:color="000000"/>
              <w:right w:val="single" w:sz="4" w:space="0" w:color="000000"/>
            </w:tcBorders>
            <w:shd w:val="clear" w:color="auto" w:fill="DFFFDF"/>
          </w:tcPr>
          <w:p w14:paraId="011821DB"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15D77227"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0543005D" w14:textId="77777777" w:rsidR="0031675F" w:rsidRPr="0031675F" w:rsidRDefault="0031675F" w:rsidP="0031675F"/>
        </w:tc>
      </w:tr>
      <w:tr w:rsidR="0031675F" w:rsidRPr="0031675F" w14:paraId="1EF27DE7" w14:textId="77777777" w:rsidTr="00B00729">
        <w:trPr>
          <w:trHeight w:hRule="exact" w:val="232"/>
        </w:trPr>
        <w:tc>
          <w:tcPr>
            <w:tcW w:w="269" w:type="dxa"/>
            <w:tcBorders>
              <w:top w:val="single" w:sz="4" w:space="0" w:color="000000"/>
              <w:left w:val="single" w:sz="6" w:space="0" w:color="000000"/>
              <w:bottom w:val="single" w:sz="4" w:space="0" w:color="000000"/>
              <w:right w:val="single" w:sz="4" w:space="0" w:color="000000"/>
            </w:tcBorders>
          </w:tcPr>
          <w:p w14:paraId="00EB9EF1" w14:textId="77777777" w:rsidR="0031675F" w:rsidRPr="0031675F" w:rsidRDefault="0031675F" w:rsidP="0031675F"/>
        </w:tc>
        <w:tc>
          <w:tcPr>
            <w:tcW w:w="6747" w:type="dxa"/>
            <w:gridSpan w:val="10"/>
            <w:vMerge/>
            <w:tcBorders>
              <w:left w:val="single" w:sz="4" w:space="0" w:color="000000"/>
              <w:bottom w:val="single" w:sz="4" w:space="0" w:color="000000"/>
              <w:right w:val="single" w:sz="4" w:space="0" w:color="000000"/>
            </w:tcBorders>
            <w:shd w:val="clear" w:color="auto" w:fill="DFFFDF"/>
          </w:tcPr>
          <w:p w14:paraId="6A3D3B12" w14:textId="77777777" w:rsidR="0031675F" w:rsidRPr="0031675F" w:rsidRDefault="0031675F" w:rsidP="0031675F"/>
        </w:tc>
        <w:tc>
          <w:tcPr>
            <w:tcW w:w="527" w:type="dxa"/>
            <w:tcBorders>
              <w:top w:val="single" w:sz="4" w:space="0" w:color="000000"/>
              <w:left w:val="single" w:sz="4" w:space="0" w:color="000000"/>
              <w:bottom w:val="single" w:sz="4" w:space="0" w:color="000000"/>
              <w:right w:val="single" w:sz="4" w:space="0" w:color="000000"/>
            </w:tcBorders>
          </w:tcPr>
          <w:p w14:paraId="4A10123B"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65984DEE" w14:textId="77777777" w:rsidR="0031675F" w:rsidRPr="0031675F" w:rsidRDefault="0031675F" w:rsidP="0031675F"/>
        </w:tc>
      </w:tr>
      <w:tr w:rsidR="0031675F" w:rsidRPr="0031675F" w14:paraId="2617C4F9" w14:textId="77777777" w:rsidTr="00B00729">
        <w:trPr>
          <w:trHeight w:hRule="exact" w:val="128"/>
        </w:trPr>
        <w:tc>
          <w:tcPr>
            <w:tcW w:w="932" w:type="dxa"/>
            <w:gridSpan w:val="2"/>
            <w:tcBorders>
              <w:top w:val="nil"/>
              <w:left w:val="single" w:sz="6" w:space="0" w:color="000000"/>
              <w:bottom w:val="single" w:sz="4" w:space="0" w:color="000000"/>
              <w:right w:val="single" w:sz="4" w:space="0" w:color="000000"/>
            </w:tcBorders>
          </w:tcPr>
          <w:p w14:paraId="57D4C39C"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18611675"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5FA757B9"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31DD5084"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1266988B"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04F6D601"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0C7C9F1C"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23F0B83C"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64D89F13" w14:textId="77777777" w:rsidR="0031675F" w:rsidRPr="0031675F" w:rsidRDefault="0031675F" w:rsidP="0031675F"/>
        </w:tc>
        <w:tc>
          <w:tcPr>
            <w:tcW w:w="734" w:type="dxa"/>
            <w:gridSpan w:val="2"/>
            <w:tcBorders>
              <w:top w:val="nil"/>
              <w:left w:val="single" w:sz="4" w:space="0" w:color="000000"/>
              <w:bottom w:val="single" w:sz="4" w:space="0" w:color="000000"/>
              <w:right w:val="single" w:sz="4" w:space="0" w:color="000000"/>
            </w:tcBorders>
          </w:tcPr>
          <w:p w14:paraId="655B8E77"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04756106" w14:textId="77777777" w:rsidR="0031675F" w:rsidRPr="0031675F" w:rsidRDefault="0031675F" w:rsidP="0031675F"/>
        </w:tc>
      </w:tr>
      <w:tr w:rsidR="0031675F" w:rsidRPr="0031675F" w14:paraId="5BFC9E8B" w14:textId="77777777" w:rsidTr="00B00729">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78EC5B39"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1E748096"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7675BD1A"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1DE47AA5"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6141CA81"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3402AA67"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65500EB4" w14:textId="77777777" w:rsidR="0031675F" w:rsidRPr="0031675F" w:rsidRDefault="0031675F" w:rsidP="0031675F">
            <w:pPr>
              <w:widowControl w:val="0"/>
              <w:spacing w:before="0" w:after="0" w:line="159" w:lineRule="exact"/>
              <w:ind w:left="244"/>
              <w:rPr>
                <w:rFonts w:eastAsia="Arial" w:cs="Arial"/>
                <w:sz w:val="14"/>
                <w:szCs w:val="14"/>
                <w:lang w:val="en-US"/>
              </w:rPr>
            </w:pPr>
            <w:r w:rsidRPr="0031675F">
              <w:rPr>
                <w:rFonts w:eastAsia="Calibri" w:hAnsi="Calibri"/>
                <w:spacing w:val="-1"/>
                <w:w w:val="105"/>
                <w:sz w:val="14"/>
                <w:lang w:val="en-US"/>
              </w:rPr>
              <w:t>nh4</w:t>
            </w:r>
          </w:p>
        </w:tc>
        <w:tc>
          <w:tcPr>
            <w:tcW w:w="735" w:type="dxa"/>
            <w:tcBorders>
              <w:top w:val="single" w:sz="4" w:space="0" w:color="000000"/>
              <w:left w:val="single" w:sz="4" w:space="0" w:color="000000"/>
              <w:bottom w:val="single" w:sz="4" w:space="0" w:color="000000"/>
              <w:right w:val="single" w:sz="4" w:space="0" w:color="000000"/>
            </w:tcBorders>
          </w:tcPr>
          <w:p w14:paraId="4B50EEB3" w14:textId="77777777" w:rsidR="0031675F" w:rsidRPr="0031675F" w:rsidRDefault="0031675F" w:rsidP="0031675F">
            <w:pPr>
              <w:widowControl w:val="0"/>
              <w:spacing w:before="0" w:after="0" w:line="159" w:lineRule="exact"/>
              <w:ind w:left="244"/>
              <w:rPr>
                <w:rFonts w:eastAsia="Arial" w:cs="Arial"/>
                <w:sz w:val="14"/>
                <w:szCs w:val="14"/>
                <w:lang w:val="en-US"/>
              </w:rPr>
            </w:pPr>
            <w:r w:rsidRPr="0031675F">
              <w:rPr>
                <w:rFonts w:eastAsia="Calibri" w:hAnsi="Calibri"/>
                <w:spacing w:val="-1"/>
                <w:w w:val="105"/>
                <w:sz w:val="14"/>
                <w:lang w:val="en-US"/>
              </w:rPr>
              <w:t>po4</w:t>
            </w:r>
          </w:p>
        </w:tc>
        <w:tc>
          <w:tcPr>
            <w:tcW w:w="735" w:type="dxa"/>
            <w:tcBorders>
              <w:top w:val="single" w:sz="4" w:space="0" w:color="000000"/>
              <w:left w:val="single" w:sz="4" w:space="0" w:color="000000"/>
              <w:bottom w:val="single" w:sz="4" w:space="0" w:color="000000"/>
              <w:right w:val="single" w:sz="4" w:space="0" w:color="000000"/>
            </w:tcBorders>
          </w:tcPr>
          <w:p w14:paraId="7AE224A9" w14:textId="77777777" w:rsidR="0031675F" w:rsidRPr="0031675F" w:rsidRDefault="0031675F" w:rsidP="0031675F">
            <w:pPr>
              <w:widowControl w:val="0"/>
              <w:spacing w:before="0" w:after="0" w:line="159" w:lineRule="exact"/>
              <w:ind w:left="82"/>
              <w:rPr>
                <w:rFonts w:eastAsia="Arial" w:cs="Arial"/>
                <w:sz w:val="14"/>
                <w:szCs w:val="14"/>
                <w:lang w:val="en-US"/>
              </w:rPr>
            </w:pPr>
            <w:r w:rsidRPr="0031675F">
              <w:rPr>
                <w:rFonts w:eastAsia="Calibri" w:hAnsi="Calibri"/>
                <w:spacing w:val="-1"/>
                <w:w w:val="105"/>
                <w:sz w:val="14"/>
                <w:lang w:val="en-US"/>
              </w:rPr>
              <w:t>no2+no3</w:t>
            </w:r>
          </w:p>
        </w:tc>
        <w:tc>
          <w:tcPr>
            <w:tcW w:w="734" w:type="dxa"/>
            <w:gridSpan w:val="2"/>
            <w:tcBorders>
              <w:top w:val="single" w:sz="4" w:space="0" w:color="000000"/>
              <w:left w:val="single" w:sz="4" w:space="0" w:color="000000"/>
              <w:bottom w:val="single" w:sz="4" w:space="0" w:color="000000"/>
              <w:right w:val="single" w:sz="4" w:space="0" w:color="000000"/>
            </w:tcBorders>
          </w:tcPr>
          <w:p w14:paraId="50A56D37" w14:textId="77777777" w:rsidR="0031675F" w:rsidRPr="0031675F" w:rsidRDefault="0031675F" w:rsidP="0031675F">
            <w:pPr>
              <w:widowControl w:val="0"/>
              <w:spacing w:before="0" w:after="0" w:line="159" w:lineRule="exact"/>
              <w:ind w:left="244"/>
              <w:rPr>
                <w:rFonts w:eastAsia="Arial" w:cs="Arial"/>
                <w:sz w:val="14"/>
                <w:szCs w:val="14"/>
                <w:lang w:val="en-US"/>
              </w:rPr>
            </w:pPr>
            <w:r w:rsidRPr="0031675F">
              <w:rPr>
                <w:rFonts w:eastAsia="Calibri" w:hAnsi="Calibri"/>
                <w:spacing w:val="-1"/>
                <w:w w:val="105"/>
                <w:sz w:val="14"/>
                <w:lang w:val="en-US"/>
              </w:rPr>
              <w:t>no2</w:t>
            </w:r>
          </w:p>
        </w:tc>
        <w:tc>
          <w:tcPr>
            <w:tcW w:w="731" w:type="dxa"/>
            <w:tcBorders>
              <w:top w:val="single" w:sz="4" w:space="0" w:color="000000"/>
              <w:left w:val="single" w:sz="4" w:space="0" w:color="000000"/>
              <w:bottom w:val="single" w:sz="4" w:space="0" w:color="000000"/>
              <w:right w:val="single" w:sz="7" w:space="0" w:color="000000"/>
            </w:tcBorders>
          </w:tcPr>
          <w:p w14:paraId="755BC0B4" w14:textId="77777777" w:rsidR="0031675F" w:rsidRPr="0031675F" w:rsidRDefault="0031675F" w:rsidP="0031675F">
            <w:pPr>
              <w:widowControl w:val="0"/>
              <w:spacing w:before="0" w:after="0" w:line="159" w:lineRule="exact"/>
              <w:ind w:left="14"/>
              <w:jc w:val="center"/>
              <w:rPr>
                <w:rFonts w:eastAsia="Arial" w:cs="Arial"/>
                <w:sz w:val="14"/>
                <w:szCs w:val="14"/>
                <w:lang w:val="en-US"/>
              </w:rPr>
            </w:pPr>
            <w:r w:rsidRPr="0031675F">
              <w:rPr>
                <w:rFonts w:eastAsia="Calibri" w:hAnsi="Calibri"/>
                <w:w w:val="105"/>
                <w:sz w:val="14"/>
                <w:lang w:val="en-US"/>
              </w:rPr>
              <w:t>si</w:t>
            </w:r>
          </w:p>
        </w:tc>
      </w:tr>
      <w:tr w:rsidR="0031675F" w:rsidRPr="0031675F" w14:paraId="5F9D5950" w14:textId="77777777" w:rsidTr="00B00729">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055B1CBB"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1369EA6F"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61535626"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551CE7FD"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50FCBC3C"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0ACE3626"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23FFF5F2" w14:textId="77777777" w:rsidR="0031675F" w:rsidRPr="0031675F" w:rsidRDefault="0031675F" w:rsidP="0031675F">
            <w:pPr>
              <w:widowControl w:val="0"/>
              <w:spacing w:before="0" w:after="0" w:line="159" w:lineRule="exact"/>
              <w:ind w:left="145"/>
              <w:rPr>
                <w:rFonts w:eastAsia="Arial" w:cs="Arial"/>
                <w:sz w:val="14"/>
                <w:szCs w:val="14"/>
                <w:lang w:val="en-US"/>
              </w:rPr>
            </w:pPr>
            <w:r w:rsidRPr="0031675F">
              <w:rPr>
                <w:rFonts w:eastAsia="Calibri"/>
                <w:w w:val="105"/>
                <w:sz w:val="14"/>
                <w:lang w:val="en-US"/>
              </w:rPr>
              <w:t>µmol/L</w:t>
            </w:r>
          </w:p>
        </w:tc>
        <w:tc>
          <w:tcPr>
            <w:tcW w:w="735" w:type="dxa"/>
            <w:tcBorders>
              <w:top w:val="single" w:sz="4" w:space="0" w:color="000000"/>
              <w:left w:val="single" w:sz="4" w:space="0" w:color="000000"/>
              <w:bottom w:val="single" w:sz="4" w:space="0" w:color="000000"/>
              <w:right w:val="single" w:sz="4" w:space="0" w:color="000000"/>
            </w:tcBorders>
          </w:tcPr>
          <w:p w14:paraId="2D8B09D9" w14:textId="77777777" w:rsidR="0031675F" w:rsidRPr="0031675F" w:rsidRDefault="0031675F" w:rsidP="0031675F">
            <w:pPr>
              <w:widowControl w:val="0"/>
              <w:spacing w:before="0" w:after="0" w:line="159" w:lineRule="exact"/>
              <w:ind w:left="145"/>
              <w:rPr>
                <w:rFonts w:eastAsia="Arial" w:cs="Arial"/>
                <w:sz w:val="14"/>
                <w:szCs w:val="14"/>
                <w:lang w:val="en-US"/>
              </w:rPr>
            </w:pPr>
            <w:r w:rsidRPr="0031675F">
              <w:rPr>
                <w:rFonts w:eastAsia="Calibri"/>
                <w:w w:val="105"/>
                <w:sz w:val="14"/>
                <w:lang w:val="en-US"/>
              </w:rPr>
              <w:t>µmol/L</w:t>
            </w:r>
          </w:p>
        </w:tc>
        <w:tc>
          <w:tcPr>
            <w:tcW w:w="735" w:type="dxa"/>
            <w:tcBorders>
              <w:top w:val="single" w:sz="4" w:space="0" w:color="000000"/>
              <w:left w:val="single" w:sz="4" w:space="0" w:color="000000"/>
              <w:bottom w:val="single" w:sz="4" w:space="0" w:color="000000"/>
              <w:right w:val="single" w:sz="4" w:space="0" w:color="000000"/>
            </w:tcBorders>
          </w:tcPr>
          <w:p w14:paraId="4A05A7DE" w14:textId="77777777" w:rsidR="0031675F" w:rsidRPr="0031675F" w:rsidRDefault="0031675F" w:rsidP="0031675F">
            <w:pPr>
              <w:widowControl w:val="0"/>
              <w:spacing w:before="0" w:after="0" w:line="159" w:lineRule="exact"/>
              <w:ind w:left="145"/>
              <w:rPr>
                <w:rFonts w:eastAsia="Arial" w:cs="Arial"/>
                <w:sz w:val="14"/>
                <w:szCs w:val="14"/>
                <w:lang w:val="en-US"/>
              </w:rPr>
            </w:pPr>
            <w:r w:rsidRPr="0031675F">
              <w:rPr>
                <w:rFonts w:eastAsia="Calibri"/>
                <w:w w:val="105"/>
                <w:sz w:val="14"/>
                <w:lang w:val="en-US"/>
              </w:rPr>
              <w:t>µmol/L</w:t>
            </w:r>
          </w:p>
        </w:tc>
        <w:tc>
          <w:tcPr>
            <w:tcW w:w="734" w:type="dxa"/>
            <w:gridSpan w:val="2"/>
            <w:tcBorders>
              <w:top w:val="single" w:sz="4" w:space="0" w:color="000000"/>
              <w:left w:val="single" w:sz="4" w:space="0" w:color="000000"/>
              <w:bottom w:val="single" w:sz="4" w:space="0" w:color="000000"/>
              <w:right w:val="single" w:sz="4" w:space="0" w:color="000000"/>
            </w:tcBorders>
          </w:tcPr>
          <w:p w14:paraId="5605C7EA" w14:textId="77777777" w:rsidR="0031675F" w:rsidRPr="0031675F" w:rsidRDefault="0031675F" w:rsidP="0031675F">
            <w:pPr>
              <w:widowControl w:val="0"/>
              <w:spacing w:before="0" w:after="0" w:line="159" w:lineRule="exact"/>
              <w:ind w:left="144"/>
              <w:rPr>
                <w:rFonts w:eastAsia="Arial" w:cs="Arial"/>
                <w:sz w:val="14"/>
                <w:szCs w:val="14"/>
                <w:lang w:val="en-US"/>
              </w:rPr>
            </w:pPr>
            <w:r w:rsidRPr="0031675F">
              <w:rPr>
                <w:rFonts w:eastAsia="Calibri"/>
                <w:w w:val="105"/>
                <w:sz w:val="14"/>
                <w:lang w:val="en-US"/>
              </w:rPr>
              <w:t>µmol/L</w:t>
            </w:r>
          </w:p>
        </w:tc>
        <w:tc>
          <w:tcPr>
            <w:tcW w:w="731" w:type="dxa"/>
            <w:tcBorders>
              <w:top w:val="single" w:sz="4" w:space="0" w:color="000000"/>
              <w:left w:val="single" w:sz="4" w:space="0" w:color="000000"/>
              <w:bottom w:val="single" w:sz="4" w:space="0" w:color="000000"/>
              <w:right w:val="single" w:sz="7" w:space="0" w:color="000000"/>
            </w:tcBorders>
          </w:tcPr>
          <w:p w14:paraId="36D334CC" w14:textId="77777777" w:rsidR="0031675F" w:rsidRPr="0031675F" w:rsidRDefault="0031675F" w:rsidP="0031675F">
            <w:pPr>
              <w:widowControl w:val="0"/>
              <w:spacing w:before="0" w:after="0" w:line="159" w:lineRule="exact"/>
              <w:ind w:left="145"/>
              <w:rPr>
                <w:rFonts w:eastAsia="Arial" w:cs="Arial"/>
                <w:sz w:val="14"/>
                <w:szCs w:val="14"/>
                <w:lang w:val="en-US"/>
              </w:rPr>
            </w:pPr>
            <w:r w:rsidRPr="0031675F">
              <w:rPr>
                <w:rFonts w:eastAsia="Calibri"/>
                <w:w w:val="105"/>
                <w:sz w:val="14"/>
                <w:lang w:val="en-US"/>
              </w:rPr>
              <w:t>µmol/L</w:t>
            </w:r>
          </w:p>
        </w:tc>
      </w:tr>
      <w:tr w:rsidR="0031675F" w:rsidRPr="0031675F" w14:paraId="78BACA7F" w14:textId="77777777" w:rsidTr="00B00729">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32783EC9"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4A0D6E00"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0041CCB2"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77568235"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4CCE1847"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198628BF"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4AD5EFC4"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0C5C1DE1"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44F2F4E3" w14:textId="77777777" w:rsidR="0031675F" w:rsidRPr="0031675F" w:rsidRDefault="0031675F" w:rsidP="0031675F"/>
        </w:tc>
        <w:tc>
          <w:tcPr>
            <w:tcW w:w="734" w:type="dxa"/>
            <w:gridSpan w:val="2"/>
            <w:tcBorders>
              <w:top w:val="single" w:sz="4" w:space="0" w:color="000000"/>
              <w:left w:val="single" w:sz="4" w:space="0" w:color="000000"/>
              <w:bottom w:val="single" w:sz="4" w:space="0" w:color="000000"/>
              <w:right w:val="single" w:sz="4" w:space="0" w:color="000000"/>
            </w:tcBorders>
          </w:tcPr>
          <w:p w14:paraId="37A9927D"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7F65A012" w14:textId="77777777" w:rsidR="0031675F" w:rsidRPr="0031675F" w:rsidRDefault="0031675F" w:rsidP="0031675F"/>
        </w:tc>
      </w:tr>
      <w:tr w:rsidR="0031675F" w:rsidRPr="0031675F" w14:paraId="24884F05" w14:textId="77777777" w:rsidTr="00B00729">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30F762FF"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1D9DAA07"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44909CC5"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7ADAFD51"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3E34FEC4"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121E863D" w14:textId="77777777" w:rsidR="0031675F" w:rsidRPr="0031675F" w:rsidRDefault="0031675F" w:rsidP="0031675F">
            <w:pPr>
              <w:widowControl w:val="0"/>
              <w:spacing w:before="0" w:after="0" w:line="159" w:lineRule="exact"/>
              <w:ind w:left="19"/>
              <w:rPr>
                <w:rFonts w:eastAsia="Arial" w:cs="Arial"/>
                <w:sz w:val="14"/>
                <w:szCs w:val="14"/>
                <w:lang w:val="en-US"/>
              </w:rPr>
            </w:pPr>
            <w:r w:rsidRPr="0031675F">
              <w:rPr>
                <w:rFonts w:eastAsia="Calibri" w:hAnsi="Calibri"/>
                <w:i/>
                <w:spacing w:val="-1"/>
                <w:w w:val="105"/>
                <w:sz w:val="14"/>
                <w:lang w:val="en-US"/>
              </w:rPr>
              <w:t>mdl</w:t>
            </w:r>
          </w:p>
        </w:tc>
        <w:tc>
          <w:tcPr>
            <w:tcW w:w="734" w:type="dxa"/>
            <w:tcBorders>
              <w:top w:val="single" w:sz="4" w:space="0" w:color="000000"/>
              <w:left w:val="single" w:sz="4" w:space="0" w:color="000000"/>
              <w:bottom w:val="single" w:sz="4" w:space="0" w:color="000000"/>
              <w:right w:val="single" w:sz="4" w:space="0" w:color="000000"/>
            </w:tcBorders>
          </w:tcPr>
          <w:p w14:paraId="38108E41" w14:textId="77777777" w:rsidR="0031675F" w:rsidRPr="0031675F" w:rsidRDefault="0031675F" w:rsidP="0031675F">
            <w:pPr>
              <w:widowControl w:val="0"/>
              <w:spacing w:before="0" w:after="0" w:line="159" w:lineRule="exact"/>
              <w:ind w:left="393"/>
              <w:rPr>
                <w:rFonts w:eastAsia="Arial" w:cs="Arial"/>
                <w:sz w:val="14"/>
                <w:szCs w:val="14"/>
                <w:lang w:val="en-US"/>
              </w:rPr>
            </w:pPr>
            <w:r w:rsidRPr="0031675F">
              <w:rPr>
                <w:rFonts w:eastAsia="Calibri" w:hAnsi="Calibri"/>
                <w:i/>
                <w:spacing w:val="-1"/>
                <w:w w:val="105"/>
                <w:sz w:val="14"/>
                <w:lang w:val="en-US"/>
              </w:rPr>
              <w:t>0.08</w:t>
            </w:r>
          </w:p>
        </w:tc>
        <w:tc>
          <w:tcPr>
            <w:tcW w:w="735" w:type="dxa"/>
            <w:tcBorders>
              <w:top w:val="single" w:sz="4" w:space="0" w:color="000000"/>
              <w:left w:val="single" w:sz="4" w:space="0" w:color="000000"/>
              <w:bottom w:val="single" w:sz="4" w:space="0" w:color="000000"/>
              <w:right w:val="single" w:sz="4" w:space="0" w:color="000000"/>
            </w:tcBorders>
          </w:tcPr>
          <w:p w14:paraId="6E2E2103" w14:textId="77777777" w:rsidR="0031675F" w:rsidRPr="0031675F" w:rsidRDefault="0031675F" w:rsidP="0031675F">
            <w:pPr>
              <w:widowControl w:val="0"/>
              <w:spacing w:before="0" w:after="0" w:line="159" w:lineRule="exact"/>
              <w:ind w:left="393"/>
              <w:rPr>
                <w:rFonts w:eastAsia="Arial" w:cs="Arial"/>
                <w:sz w:val="14"/>
                <w:szCs w:val="14"/>
                <w:lang w:val="en-US"/>
              </w:rPr>
            </w:pPr>
            <w:r w:rsidRPr="0031675F">
              <w:rPr>
                <w:rFonts w:eastAsia="Calibri" w:hAnsi="Calibri"/>
                <w:i/>
                <w:spacing w:val="-1"/>
                <w:w w:val="105"/>
                <w:sz w:val="14"/>
                <w:lang w:val="en-US"/>
              </w:rPr>
              <w:t>0.01</w:t>
            </w:r>
          </w:p>
        </w:tc>
        <w:tc>
          <w:tcPr>
            <w:tcW w:w="735" w:type="dxa"/>
            <w:tcBorders>
              <w:top w:val="single" w:sz="4" w:space="0" w:color="000000"/>
              <w:left w:val="single" w:sz="4" w:space="0" w:color="000000"/>
              <w:bottom w:val="single" w:sz="4" w:space="0" w:color="000000"/>
              <w:right w:val="single" w:sz="4" w:space="0" w:color="000000"/>
            </w:tcBorders>
          </w:tcPr>
          <w:p w14:paraId="7AB56247" w14:textId="77777777" w:rsidR="0031675F" w:rsidRPr="0031675F" w:rsidRDefault="0031675F" w:rsidP="0031675F">
            <w:pPr>
              <w:widowControl w:val="0"/>
              <w:spacing w:before="0" w:after="0" w:line="159" w:lineRule="exact"/>
              <w:ind w:left="393"/>
              <w:rPr>
                <w:rFonts w:eastAsia="Arial" w:cs="Arial"/>
                <w:sz w:val="14"/>
                <w:szCs w:val="14"/>
                <w:lang w:val="en-US"/>
              </w:rPr>
            </w:pPr>
            <w:r w:rsidRPr="0031675F">
              <w:rPr>
                <w:rFonts w:eastAsia="Calibri" w:hAnsi="Calibri"/>
                <w:i/>
                <w:spacing w:val="-1"/>
                <w:w w:val="105"/>
                <w:sz w:val="14"/>
                <w:lang w:val="en-US"/>
              </w:rPr>
              <w:t>0.03</w:t>
            </w:r>
          </w:p>
        </w:tc>
        <w:tc>
          <w:tcPr>
            <w:tcW w:w="734" w:type="dxa"/>
            <w:gridSpan w:val="2"/>
            <w:tcBorders>
              <w:top w:val="single" w:sz="4" w:space="0" w:color="000000"/>
              <w:left w:val="single" w:sz="4" w:space="0" w:color="000000"/>
              <w:bottom w:val="single" w:sz="4" w:space="0" w:color="000000"/>
              <w:right w:val="single" w:sz="4" w:space="0" w:color="000000"/>
            </w:tcBorders>
          </w:tcPr>
          <w:p w14:paraId="1B88371B" w14:textId="77777777" w:rsidR="0031675F" w:rsidRPr="0031675F" w:rsidRDefault="0031675F" w:rsidP="0031675F">
            <w:pPr>
              <w:widowControl w:val="0"/>
              <w:spacing w:before="0" w:after="0" w:line="159" w:lineRule="exact"/>
              <w:ind w:left="392"/>
              <w:rPr>
                <w:rFonts w:eastAsia="Arial" w:cs="Arial"/>
                <w:sz w:val="14"/>
                <w:szCs w:val="14"/>
                <w:lang w:val="en-US"/>
              </w:rPr>
            </w:pPr>
            <w:r w:rsidRPr="0031675F">
              <w:rPr>
                <w:rFonts w:eastAsia="Calibri" w:hAnsi="Calibri"/>
                <w:i/>
                <w:spacing w:val="-1"/>
                <w:w w:val="105"/>
                <w:sz w:val="14"/>
                <w:lang w:val="en-US"/>
              </w:rPr>
              <w:t>0.01</w:t>
            </w:r>
          </w:p>
        </w:tc>
        <w:tc>
          <w:tcPr>
            <w:tcW w:w="731" w:type="dxa"/>
            <w:tcBorders>
              <w:top w:val="single" w:sz="4" w:space="0" w:color="000000"/>
              <w:left w:val="single" w:sz="4" w:space="0" w:color="000000"/>
              <w:bottom w:val="single" w:sz="4" w:space="0" w:color="000000"/>
              <w:right w:val="single" w:sz="7" w:space="0" w:color="000000"/>
            </w:tcBorders>
          </w:tcPr>
          <w:p w14:paraId="53B6BD48" w14:textId="77777777" w:rsidR="0031675F" w:rsidRPr="0031675F" w:rsidRDefault="0031675F" w:rsidP="0031675F">
            <w:pPr>
              <w:widowControl w:val="0"/>
              <w:spacing w:before="0" w:after="0" w:line="159" w:lineRule="exact"/>
              <w:ind w:left="393"/>
              <w:rPr>
                <w:rFonts w:eastAsia="Arial" w:cs="Arial"/>
                <w:sz w:val="14"/>
                <w:szCs w:val="14"/>
                <w:lang w:val="en-US"/>
              </w:rPr>
            </w:pPr>
            <w:r w:rsidRPr="0031675F">
              <w:rPr>
                <w:rFonts w:eastAsia="Calibri" w:hAnsi="Calibri"/>
                <w:i/>
                <w:spacing w:val="-1"/>
                <w:w w:val="105"/>
                <w:sz w:val="14"/>
                <w:lang w:val="en-US"/>
              </w:rPr>
              <w:t>0.08</w:t>
            </w:r>
          </w:p>
        </w:tc>
      </w:tr>
      <w:tr w:rsidR="0031675F" w:rsidRPr="0031675F" w14:paraId="67782F80" w14:textId="77777777" w:rsidTr="00B00729">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1C4C40D2"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345F6F23" w14:textId="77777777" w:rsidR="0031675F" w:rsidRPr="0031675F" w:rsidRDefault="0031675F" w:rsidP="0031675F">
            <w:pPr>
              <w:widowControl w:val="0"/>
              <w:spacing w:before="0" w:after="0" w:line="159" w:lineRule="exact"/>
              <w:ind w:left="19" w:right="-7"/>
              <w:rPr>
                <w:rFonts w:eastAsia="Arial" w:cs="Arial"/>
                <w:sz w:val="14"/>
                <w:szCs w:val="14"/>
                <w:lang w:val="en-US"/>
              </w:rPr>
            </w:pPr>
            <w:r w:rsidRPr="0031675F">
              <w:rPr>
                <w:rFonts w:eastAsia="Calibri" w:hAnsi="Calibri"/>
                <w:sz w:val="14"/>
                <w:lang w:val="en-US"/>
              </w:rPr>
              <w:t>STATION_</w:t>
            </w:r>
          </w:p>
        </w:tc>
        <w:tc>
          <w:tcPr>
            <w:tcW w:w="734" w:type="dxa"/>
            <w:tcBorders>
              <w:top w:val="single" w:sz="4" w:space="0" w:color="000000"/>
              <w:left w:val="single" w:sz="4" w:space="0" w:color="000000"/>
              <w:bottom w:val="single" w:sz="4" w:space="0" w:color="000000"/>
              <w:right w:val="single" w:sz="4" w:space="0" w:color="000000"/>
            </w:tcBorders>
          </w:tcPr>
          <w:p w14:paraId="4C376A0E" w14:textId="77777777" w:rsidR="0031675F" w:rsidRPr="0031675F" w:rsidRDefault="0031675F" w:rsidP="0031675F">
            <w:pPr>
              <w:widowControl w:val="0"/>
              <w:spacing w:before="0" w:after="0" w:line="159" w:lineRule="exact"/>
              <w:ind w:left="19"/>
              <w:rPr>
                <w:rFonts w:eastAsia="Arial" w:cs="Arial"/>
                <w:sz w:val="14"/>
                <w:szCs w:val="14"/>
                <w:lang w:val="en-US"/>
              </w:rPr>
            </w:pPr>
            <w:r w:rsidRPr="0031675F">
              <w:rPr>
                <w:rFonts w:eastAsia="Calibri" w:hAnsi="Calibri"/>
                <w:spacing w:val="-1"/>
                <w:w w:val="105"/>
                <w:sz w:val="14"/>
                <w:lang w:val="en-US"/>
              </w:rPr>
              <w:t>Number</w:t>
            </w:r>
          </w:p>
        </w:tc>
        <w:tc>
          <w:tcPr>
            <w:tcW w:w="735" w:type="dxa"/>
            <w:tcBorders>
              <w:top w:val="single" w:sz="4" w:space="0" w:color="000000"/>
              <w:left w:val="single" w:sz="4" w:space="0" w:color="000000"/>
              <w:bottom w:val="single" w:sz="4" w:space="0" w:color="000000"/>
              <w:right w:val="single" w:sz="4" w:space="0" w:color="000000"/>
            </w:tcBorders>
          </w:tcPr>
          <w:p w14:paraId="04EC7AD9" w14:textId="77777777" w:rsidR="0031675F" w:rsidRPr="0031675F" w:rsidRDefault="0031675F" w:rsidP="0031675F">
            <w:pPr>
              <w:widowControl w:val="0"/>
              <w:spacing w:before="0" w:after="0" w:line="159" w:lineRule="exact"/>
              <w:ind w:left="19"/>
              <w:rPr>
                <w:rFonts w:eastAsia="Arial" w:cs="Arial"/>
                <w:sz w:val="14"/>
                <w:szCs w:val="14"/>
                <w:lang w:val="en-US"/>
              </w:rPr>
            </w:pPr>
            <w:r w:rsidRPr="0031675F">
              <w:rPr>
                <w:rFonts w:eastAsia="Calibri" w:hAnsi="Calibri"/>
                <w:spacing w:val="-1"/>
                <w:w w:val="105"/>
                <w:sz w:val="14"/>
                <w:lang w:val="en-US"/>
              </w:rPr>
              <w:t>date</w:t>
            </w:r>
          </w:p>
        </w:tc>
        <w:tc>
          <w:tcPr>
            <w:tcW w:w="734" w:type="dxa"/>
            <w:tcBorders>
              <w:top w:val="single" w:sz="4" w:space="0" w:color="000000"/>
              <w:left w:val="single" w:sz="4" w:space="0" w:color="000000"/>
              <w:bottom w:val="single" w:sz="4" w:space="0" w:color="000000"/>
              <w:right w:val="single" w:sz="4" w:space="0" w:color="000000"/>
            </w:tcBorders>
          </w:tcPr>
          <w:p w14:paraId="7F318F8D" w14:textId="77777777" w:rsidR="0031675F" w:rsidRPr="0031675F" w:rsidRDefault="0031675F" w:rsidP="0031675F">
            <w:pPr>
              <w:widowControl w:val="0"/>
              <w:spacing w:before="0" w:after="0" w:line="159" w:lineRule="exact"/>
              <w:ind w:left="19"/>
              <w:rPr>
                <w:rFonts w:eastAsia="Arial" w:cs="Arial"/>
                <w:sz w:val="14"/>
                <w:szCs w:val="14"/>
                <w:lang w:val="en-US"/>
              </w:rPr>
            </w:pPr>
            <w:r w:rsidRPr="0031675F">
              <w:rPr>
                <w:rFonts w:eastAsia="Calibri" w:hAnsi="Calibri"/>
                <w:spacing w:val="-1"/>
                <w:w w:val="105"/>
                <w:sz w:val="14"/>
                <w:lang w:val="en-US"/>
              </w:rPr>
              <w:t>dup</w:t>
            </w:r>
          </w:p>
        </w:tc>
        <w:tc>
          <w:tcPr>
            <w:tcW w:w="735" w:type="dxa"/>
            <w:tcBorders>
              <w:top w:val="single" w:sz="4" w:space="0" w:color="000000"/>
              <w:left w:val="single" w:sz="4" w:space="0" w:color="000000"/>
              <w:bottom w:val="single" w:sz="4" w:space="0" w:color="000000"/>
              <w:right w:val="single" w:sz="4" w:space="0" w:color="000000"/>
            </w:tcBorders>
          </w:tcPr>
          <w:p w14:paraId="2B5D0152"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2A086C40"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202D9557" w14:textId="77777777" w:rsidR="0031675F" w:rsidRPr="0031675F" w:rsidRDefault="0031675F" w:rsidP="0031675F"/>
        </w:tc>
        <w:tc>
          <w:tcPr>
            <w:tcW w:w="735" w:type="dxa"/>
            <w:tcBorders>
              <w:top w:val="single" w:sz="4" w:space="0" w:color="000000"/>
              <w:left w:val="single" w:sz="4" w:space="0" w:color="000000"/>
              <w:bottom w:val="single" w:sz="4" w:space="0" w:color="000000"/>
              <w:right w:val="single" w:sz="4" w:space="0" w:color="000000"/>
            </w:tcBorders>
          </w:tcPr>
          <w:p w14:paraId="0FC6E607" w14:textId="77777777" w:rsidR="0031675F" w:rsidRPr="0031675F" w:rsidRDefault="0031675F" w:rsidP="0031675F"/>
        </w:tc>
        <w:tc>
          <w:tcPr>
            <w:tcW w:w="734" w:type="dxa"/>
            <w:gridSpan w:val="2"/>
            <w:tcBorders>
              <w:top w:val="single" w:sz="4" w:space="0" w:color="000000"/>
              <w:left w:val="single" w:sz="4" w:space="0" w:color="000000"/>
              <w:bottom w:val="single" w:sz="4" w:space="0" w:color="000000"/>
              <w:right w:val="single" w:sz="4" w:space="0" w:color="000000"/>
            </w:tcBorders>
          </w:tcPr>
          <w:p w14:paraId="5C734F97" w14:textId="77777777" w:rsidR="0031675F" w:rsidRPr="0031675F" w:rsidRDefault="0031675F" w:rsidP="0031675F"/>
        </w:tc>
        <w:tc>
          <w:tcPr>
            <w:tcW w:w="731" w:type="dxa"/>
            <w:tcBorders>
              <w:top w:val="single" w:sz="4" w:space="0" w:color="000000"/>
              <w:left w:val="single" w:sz="4" w:space="0" w:color="000000"/>
              <w:bottom w:val="single" w:sz="4" w:space="0" w:color="000000"/>
              <w:right w:val="single" w:sz="7" w:space="0" w:color="000000"/>
            </w:tcBorders>
          </w:tcPr>
          <w:p w14:paraId="4EC144C6" w14:textId="77777777" w:rsidR="0031675F" w:rsidRPr="0031675F" w:rsidRDefault="0031675F" w:rsidP="0031675F"/>
        </w:tc>
      </w:tr>
      <w:tr w:rsidR="0031675F" w:rsidRPr="0031675F" w14:paraId="14D52692" w14:textId="77777777" w:rsidTr="00B00729">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08C33DF6"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1</w:t>
            </w:r>
          </w:p>
        </w:tc>
        <w:tc>
          <w:tcPr>
            <w:tcW w:w="735" w:type="dxa"/>
            <w:tcBorders>
              <w:top w:val="single" w:sz="4" w:space="0" w:color="000000"/>
              <w:left w:val="single" w:sz="4" w:space="0" w:color="000000"/>
              <w:bottom w:val="single" w:sz="4" w:space="0" w:color="000000"/>
              <w:right w:val="single" w:sz="4" w:space="0" w:color="000000"/>
            </w:tcBorders>
          </w:tcPr>
          <w:p w14:paraId="452CAE87" w14:textId="77777777" w:rsidR="0031675F" w:rsidRPr="0031675F" w:rsidRDefault="0031675F" w:rsidP="0031675F">
            <w:pPr>
              <w:widowControl w:val="0"/>
              <w:spacing w:before="26" w:after="0" w:line="240" w:lineRule="auto"/>
              <w:ind w:left="16"/>
              <w:rPr>
                <w:rFonts w:eastAsia="Arial" w:cs="Arial"/>
                <w:sz w:val="11"/>
                <w:szCs w:val="11"/>
                <w:lang w:val="en-US"/>
              </w:rPr>
            </w:pPr>
            <w:r w:rsidRPr="0031675F">
              <w:rPr>
                <w:rFonts w:eastAsia="Calibri" w:hAnsi="Calibri"/>
                <w:spacing w:val="-1"/>
                <w:w w:val="105"/>
                <w:sz w:val="11"/>
                <w:lang w:val="en-US"/>
              </w:rPr>
              <w:t>Normanby</w:t>
            </w:r>
          </w:p>
        </w:tc>
        <w:tc>
          <w:tcPr>
            <w:tcW w:w="734" w:type="dxa"/>
            <w:tcBorders>
              <w:top w:val="single" w:sz="4" w:space="0" w:color="000000"/>
              <w:left w:val="single" w:sz="4" w:space="0" w:color="000000"/>
              <w:bottom w:val="single" w:sz="4" w:space="0" w:color="000000"/>
              <w:right w:val="single" w:sz="4" w:space="0" w:color="000000"/>
            </w:tcBorders>
          </w:tcPr>
          <w:p w14:paraId="5E3058AB"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1</w:t>
            </w:r>
          </w:p>
        </w:tc>
        <w:tc>
          <w:tcPr>
            <w:tcW w:w="735" w:type="dxa"/>
            <w:tcBorders>
              <w:top w:val="single" w:sz="4" w:space="0" w:color="000000"/>
              <w:left w:val="single" w:sz="4" w:space="0" w:color="000000"/>
              <w:bottom w:val="single" w:sz="4" w:space="0" w:color="000000"/>
              <w:right w:val="single" w:sz="4" w:space="0" w:color="000000"/>
            </w:tcBorders>
          </w:tcPr>
          <w:p w14:paraId="7FC679F9" w14:textId="77777777" w:rsidR="0031675F" w:rsidRPr="0031675F" w:rsidRDefault="0031675F" w:rsidP="0031675F">
            <w:pPr>
              <w:widowControl w:val="0"/>
              <w:spacing w:before="0" w:after="0" w:line="159" w:lineRule="exact"/>
              <w:ind w:left="239"/>
              <w:rPr>
                <w:rFonts w:eastAsia="Arial" w:cs="Arial"/>
                <w:sz w:val="14"/>
                <w:szCs w:val="14"/>
                <w:lang w:val="en-US"/>
              </w:rPr>
            </w:pPr>
            <w:r w:rsidRPr="0031675F">
              <w:rPr>
                <w:rFonts w:eastAsia="Calibri" w:hAnsi="Calibri"/>
                <w:spacing w:val="-1"/>
                <w:w w:val="105"/>
                <w:sz w:val="14"/>
                <w:lang w:val="en-US"/>
              </w:rPr>
              <w:t>10-Feb</w:t>
            </w:r>
          </w:p>
        </w:tc>
        <w:tc>
          <w:tcPr>
            <w:tcW w:w="734" w:type="dxa"/>
            <w:tcBorders>
              <w:top w:val="single" w:sz="4" w:space="0" w:color="000000"/>
              <w:left w:val="single" w:sz="4" w:space="0" w:color="000000"/>
              <w:bottom w:val="single" w:sz="4" w:space="0" w:color="000000"/>
              <w:right w:val="single" w:sz="4" w:space="0" w:color="000000"/>
            </w:tcBorders>
          </w:tcPr>
          <w:p w14:paraId="7C424E33"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1</w:t>
            </w:r>
          </w:p>
        </w:tc>
        <w:tc>
          <w:tcPr>
            <w:tcW w:w="735" w:type="dxa"/>
            <w:tcBorders>
              <w:top w:val="single" w:sz="4" w:space="0" w:color="000000"/>
              <w:left w:val="single" w:sz="4" w:space="0" w:color="000000"/>
              <w:bottom w:val="single" w:sz="4" w:space="0" w:color="000000"/>
              <w:right w:val="single" w:sz="4" w:space="0" w:color="000000"/>
            </w:tcBorders>
          </w:tcPr>
          <w:p w14:paraId="16BEE767"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34C00B0C"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2.60</w:t>
            </w:r>
          </w:p>
        </w:tc>
        <w:tc>
          <w:tcPr>
            <w:tcW w:w="735" w:type="dxa"/>
            <w:tcBorders>
              <w:top w:val="single" w:sz="4" w:space="0" w:color="000000"/>
              <w:left w:val="single" w:sz="4" w:space="0" w:color="000000"/>
              <w:bottom w:val="single" w:sz="4" w:space="0" w:color="000000"/>
              <w:right w:val="single" w:sz="4" w:space="0" w:color="000000"/>
            </w:tcBorders>
          </w:tcPr>
          <w:p w14:paraId="4674A0C7"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0.25</w:t>
            </w:r>
          </w:p>
        </w:tc>
        <w:tc>
          <w:tcPr>
            <w:tcW w:w="735" w:type="dxa"/>
            <w:tcBorders>
              <w:top w:val="single" w:sz="4" w:space="0" w:color="000000"/>
              <w:left w:val="single" w:sz="4" w:space="0" w:color="000000"/>
              <w:bottom w:val="single" w:sz="4" w:space="0" w:color="000000"/>
              <w:right w:val="single" w:sz="4" w:space="0" w:color="000000"/>
            </w:tcBorders>
          </w:tcPr>
          <w:p w14:paraId="0348CED5"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4.67</w:t>
            </w:r>
          </w:p>
        </w:tc>
        <w:tc>
          <w:tcPr>
            <w:tcW w:w="734" w:type="dxa"/>
            <w:gridSpan w:val="2"/>
            <w:tcBorders>
              <w:top w:val="single" w:sz="4" w:space="0" w:color="000000"/>
              <w:left w:val="single" w:sz="4" w:space="0" w:color="000000"/>
              <w:bottom w:val="single" w:sz="4" w:space="0" w:color="000000"/>
              <w:right w:val="single" w:sz="4" w:space="0" w:color="000000"/>
            </w:tcBorders>
          </w:tcPr>
          <w:p w14:paraId="1B33815F"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0.12</w:t>
            </w:r>
          </w:p>
        </w:tc>
        <w:tc>
          <w:tcPr>
            <w:tcW w:w="731" w:type="dxa"/>
            <w:tcBorders>
              <w:top w:val="single" w:sz="4" w:space="0" w:color="000000"/>
              <w:left w:val="single" w:sz="4" w:space="0" w:color="000000"/>
              <w:bottom w:val="single" w:sz="4" w:space="0" w:color="000000"/>
              <w:right w:val="single" w:sz="7" w:space="0" w:color="000000"/>
            </w:tcBorders>
          </w:tcPr>
          <w:p w14:paraId="21F6D1A3"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0.17</w:t>
            </w:r>
          </w:p>
        </w:tc>
      </w:tr>
      <w:tr w:rsidR="0031675F" w:rsidRPr="0031675F" w14:paraId="5BCF4A57" w14:textId="77777777" w:rsidTr="00B00729">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50356609"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2</w:t>
            </w:r>
          </w:p>
        </w:tc>
        <w:tc>
          <w:tcPr>
            <w:tcW w:w="735" w:type="dxa"/>
            <w:tcBorders>
              <w:top w:val="single" w:sz="4" w:space="0" w:color="000000"/>
              <w:left w:val="single" w:sz="4" w:space="0" w:color="000000"/>
              <w:bottom w:val="single" w:sz="4" w:space="0" w:color="000000"/>
              <w:right w:val="single" w:sz="4" w:space="0" w:color="000000"/>
            </w:tcBorders>
          </w:tcPr>
          <w:p w14:paraId="2B984D8C" w14:textId="77777777" w:rsidR="0031675F" w:rsidRPr="0031675F" w:rsidRDefault="0031675F" w:rsidP="0031675F">
            <w:pPr>
              <w:widowControl w:val="0"/>
              <w:spacing w:before="26" w:after="0" w:line="240" w:lineRule="auto"/>
              <w:ind w:left="16"/>
              <w:rPr>
                <w:rFonts w:eastAsia="Arial" w:cs="Arial"/>
                <w:sz w:val="11"/>
                <w:szCs w:val="11"/>
                <w:lang w:val="en-US"/>
              </w:rPr>
            </w:pPr>
            <w:r w:rsidRPr="0031675F">
              <w:rPr>
                <w:rFonts w:eastAsia="Calibri" w:hAnsi="Calibri"/>
                <w:spacing w:val="-1"/>
                <w:w w:val="105"/>
                <w:sz w:val="11"/>
                <w:lang w:val="en-US"/>
              </w:rPr>
              <w:t>Normanby</w:t>
            </w:r>
          </w:p>
        </w:tc>
        <w:tc>
          <w:tcPr>
            <w:tcW w:w="734" w:type="dxa"/>
            <w:tcBorders>
              <w:top w:val="single" w:sz="4" w:space="0" w:color="000000"/>
              <w:left w:val="single" w:sz="4" w:space="0" w:color="000000"/>
              <w:bottom w:val="single" w:sz="4" w:space="0" w:color="000000"/>
              <w:right w:val="single" w:sz="4" w:space="0" w:color="000000"/>
            </w:tcBorders>
          </w:tcPr>
          <w:p w14:paraId="0CE3CB61"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1</w:t>
            </w:r>
          </w:p>
        </w:tc>
        <w:tc>
          <w:tcPr>
            <w:tcW w:w="735" w:type="dxa"/>
            <w:tcBorders>
              <w:top w:val="single" w:sz="4" w:space="0" w:color="000000"/>
              <w:left w:val="single" w:sz="4" w:space="0" w:color="000000"/>
              <w:bottom w:val="single" w:sz="4" w:space="0" w:color="000000"/>
              <w:right w:val="single" w:sz="4" w:space="0" w:color="000000"/>
            </w:tcBorders>
          </w:tcPr>
          <w:p w14:paraId="19FE01B6" w14:textId="77777777" w:rsidR="0031675F" w:rsidRPr="0031675F" w:rsidRDefault="0031675F" w:rsidP="0031675F">
            <w:pPr>
              <w:widowControl w:val="0"/>
              <w:spacing w:before="0" w:after="0" w:line="159" w:lineRule="exact"/>
              <w:ind w:left="239"/>
              <w:rPr>
                <w:rFonts w:eastAsia="Arial" w:cs="Arial"/>
                <w:sz w:val="14"/>
                <w:szCs w:val="14"/>
                <w:lang w:val="en-US"/>
              </w:rPr>
            </w:pPr>
            <w:r w:rsidRPr="0031675F">
              <w:rPr>
                <w:rFonts w:eastAsia="Calibri" w:hAnsi="Calibri"/>
                <w:spacing w:val="-1"/>
                <w:w w:val="105"/>
                <w:sz w:val="14"/>
                <w:lang w:val="en-US"/>
              </w:rPr>
              <w:t>10-Feb</w:t>
            </w:r>
          </w:p>
        </w:tc>
        <w:tc>
          <w:tcPr>
            <w:tcW w:w="734" w:type="dxa"/>
            <w:tcBorders>
              <w:top w:val="single" w:sz="4" w:space="0" w:color="000000"/>
              <w:left w:val="single" w:sz="4" w:space="0" w:color="000000"/>
              <w:bottom w:val="single" w:sz="4" w:space="0" w:color="000000"/>
              <w:right w:val="single" w:sz="4" w:space="0" w:color="000000"/>
            </w:tcBorders>
          </w:tcPr>
          <w:p w14:paraId="409462CE"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2</w:t>
            </w:r>
          </w:p>
        </w:tc>
        <w:tc>
          <w:tcPr>
            <w:tcW w:w="735" w:type="dxa"/>
            <w:tcBorders>
              <w:top w:val="single" w:sz="4" w:space="0" w:color="000000"/>
              <w:left w:val="single" w:sz="4" w:space="0" w:color="000000"/>
              <w:bottom w:val="single" w:sz="4" w:space="0" w:color="000000"/>
              <w:right w:val="single" w:sz="4" w:space="0" w:color="000000"/>
            </w:tcBorders>
          </w:tcPr>
          <w:p w14:paraId="179F61D0"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58782E65"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1.66</w:t>
            </w:r>
          </w:p>
        </w:tc>
        <w:tc>
          <w:tcPr>
            <w:tcW w:w="735" w:type="dxa"/>
            <w:tcBorders>
              <w:top w:val="single" w:sz="4" w:space="0" w:color="000000"/>
              <w:left w:val="single" w:sz="4" w:space="0" w:color="000000"/>
              <w:bottom w:val="single" w:sz="4" w:space="0" w:color="000000"/>
              <w:right w:val="single" w:sz="4" w:space="0" w:color="000000"/>
            </w:tcBorders>
          </w:tcPr>
          <w:p w14:paraId="1598BD9F"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0.25</w:t>
            </w:r>
          </w:p>
        </w:tc>
        <w:tc>
          <w:tcPr>
            <w:tcW w:w="735" w:type="dxa"/>
            <w:tcBorders>
              <w:top w:val="single" w:sz="4" w:space="0" w:color="000000"/>
              <w:left w:val="single" w:sz="4" w:space="0" w:color="000000"/>
              <w:bottom w:val="single" w:sz="4" w:space="0" w:color="000000"/>
              <w:right w:val="single" w:sz="4" w:space="0" w:color="000000"/>
            </w:tcBorders>
          </w:tcPr>
          <w:p w14:paraId="1FAF49F1"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5.11</w:t>
            </w:r>
          </w:p>
        </w:tc>
        <w:tc>
          <w:tcPr>
            <w:tcW w:w="734" w:type="dxa"/>
            <w:gridSpan w:val="2"/>
            <w:tcBorders>
              <w:top w:val="single" w:sz="4" w:space="0" w:color="000000"/>
              <w:left w:val="single" w:sz="4" w:space="0" w:color="000000"/>
              <w:bottom w:val="single" w:sz="4" w:space="0" w:color="000000"/>
              <w:right w:val="single" w:sz="4" w:space="0" w:color="000000"/>
            </w:tcBorders>
          </w:tcPr>
          <w:p w14:paraId="22B4597A"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0.13</w:t>
            </w:r>
          </w:p>
        </w:tc>
        <w:tc>
          <w:tcPr>
            <w:tcW w:w="731" w:type="dxa"/>
            <w:tcBorders>
              <w:top w:val="single" w:sz="4" w:space="0" w:color="000000"/>
              <w:left w:val="single" w:sz="4" w:space="0" w:color="000000"/>
              <w:bottom w:val="single" w:sz="4" w:space="0" w:color="000000"/>
              <w:right w:val="single" w:sz="7" w:space="0" w:color="000000"/>
            </w:tcBorders>
          </w:tcPr>
          <w:p w14:paraId="7BD95643"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0.06</w:t>
            </w:r>
          </w:p>
        </w:tc>
      </w:tr>
      <w:tr w:rsidR="0031675F" w:rsidRPr="0031675F" w14:paraId="25BCDA01" w14:textId="77777777" w:rsidTr="00B00729">
        <w:trPr>
          <w:trHeight w:hRule="exact" w:val="180"/>
        </w:trPr>
        <w:tc>
          <w:tcPr>
            <w:tcW w:w="932" w:type="dxa"/>
            <w:gridSpan w:val="2"/>
            <w:tcBorders>
              <w:top w:val="single" w:sz="4" w:space="0" w:color="000000"/>
              <w:left w:val="single" w:sz="6" w:space="0" w:color="000000"/>
              <w:bottom w:val="single" w:sz="4" w:space="0" w:color="000000"/>
              <w:right w:val="single" w:sz="4" w:space="0" w:color="000000"/>
            </w:tcBorders>
          </w:tcPr>
          <w:p w14:paraId="3A63CB24"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3</w:t>
            </w:r>
          </w:p>
        </w:tc>
        <w:tc>
          <w:tcPr>
            <w:tcW w:w="735" w:type="dxa"/>
            <w:tcBorders>
              <w:top w:val="single" w:sz="4" w:space="0" w:color="000000"/>
              <w:left w:val="single" w:sz="4" w:space="0" w:color="000000"/>
              <w:bottom w:val="single" w:sz="4" w:space="0" w:color="000000"/>
              <w:right w:val="single" w:sz="4" w:space="0" w:color="000000"/>
            </w:tcBorders>
          </w:tcPr>
          <w:p w14:paraId="2174EE42" w14:textId="77777777" w:rsidR="0031675F" w:rsidRPr="0031675F" w:rsidRDefault="0031675F" w:rsidP="0031675F">
            <w:pPr>
              <w:widowControl w:val="0"/>
              <w:spacing w:before="26" w:after="0" w:line="240" w:lineRule="auto"/>
              <w:ind w:left="16"/>
              <w:rPr>
                <w:rFonts w:eastAsia="Arial" w:cs="Arial"/>
                <w:sz w:val="11"/>
                <w:szCs w:val="11"/>
                <w:lang w:val="en-US"/>
              </w:rPr>
            </w:pPr>
            <w:r w:rsidRPr="0031675F">
              <w:rPr>
                <w:rFonts w:eastAsia="Calibri" w:hAnsi="Calibri"/>
                <w:spacing w:val="-1"/>
                <w:w w:val="105"/>
                <w:sz w:val="11"/>
                <w:lang w:val="en-US"/>
              </w:rPr>
              <w:t>Normanby</w:t>
            </w:r>
          </w:p>
        </w:tc>
        <w:tc>
          <w:tcPr>
            <w:tcW w:w="734" w:type="dxa"/>
            <w:tcBorders>
              <w:top w:val="single" w:sz="4" w:space="0" w:color="000000"/>
              <w:left w:val="single" w:sz="4" w:space="0" w:color="000000"/>
              <w:bottom w:val="single" w:sz="4" w:space="0" w:color="000000"/>
              <w:right w:val="single" w:sz="4" w:space="0" w:color="000000"/>
            </w:tcBorders>
          </w:tcPr>
          <w:p w14:paraId="1DE52D13"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2</w:t>
            </w:r>
          </w:p>
        </w:tc>
        <w:tc>
          <w:tcPr>
            <w:tcW w:w="735" w:type="dxa"/>
            <w:tcBorders>
              <w:top w:val="single" w:sz="4" w:space="0" w:color="000000"/>
              <w:left w:val="single" w:sz="4" w:space="0" w:color="000000"/>
              <w:bottom w:val="single" w:sz="4" w:space="0" w:color="000000"/>
              <w:right w:val="single" w:sz="4" w:space="0" w:color="000000"/>
            </w:tcBorders>
          </w:tcPr>
          <w:p w14:paraId="7BFEF63C" w14:textId="77777777" w:rsidR="0031675F" w:rsidRPr="0031675F" w:rsidRDefault="0031675F" w:rsidP="0031675F">
            <w:pPr>
              <w:widowControl w:val="0"/>
              <w:spacing w:before="0" w:after="0" w:line="159" w:lineRule="exact"/>
              <w:ind w:left="239"/>
              <w:rPr>
                <w:rFonts w:eastAsia="Arial" w:cs="Arial"/>
                <w:sz w:val="14"/>
                <w:szCs w:val="14"/>
                <w:lang w:val="en-US"/>
              </w:rPr>
            </w:pPr>
            <w:r w:rsidRPr="0031675F">
              <w:rPr>
                <w:rFonts w:eastAsia="Calibri" w:hAnsi="Calibri"/>
                <w:spacing w:val="-1"/>
                <w:w w:val="105"/>
                <w:sz w:val="14"/>
                <w:lang w:val="en-US"/>
              </w:rPr>
              <w:t>11-Feb</w:t>
            </w:r>
          </w:p>
        </w:tc>
        <w:tc>
          <w:tcPr>
            <w:tcW w:w="734" w:type="dxa"/>
            <w:tcBorders>
              <w:top w:val="single" w:sz="4" w:space="0" w:color="000000"/>
              <w:left w:val="single" w:sz="4" w:space="0" w:color="000000"/>
              <w:bottom w:val="single" w:sz="4" w:space="0" w:color="000000"/>
              <w:right w:val="single" w:sz="4" w:space="0" w:color="000000"/>
            </w:tcBorders>
          </w:tcPr>
          <w:p w14:paraId="7F394ECF"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1</w:t>
            </w:r>
          </w:p>
        </w:tc>
        <w:tc>
          <w:tcPr>
            <w:tcW w:w="735" w:type="dxa"/>
            <w:tcBorders>
              <w:top w:val="single" w:sz="4" w:space="0" w:color="000000"/>
              <w:left w:val="single" w:sz="4" w:space="0" w:color="000000"/>
              <w:bottom w:val="single" w:sz="4" w:space="0" w:color="000000"/>
              <w:right w:val="single" w:sz="4" w:space="0" w:color="000000"/>
            </w:tcBorders>
          </w:tcPr>
          <w:p w14:paraId="54915482" w14:textId="77777777" w:rsidR="0031675F" w:rsidRPr="0031675F" w:rsidRDefault="0031675F" w:rsidP="0031675F"/>
        </w:tc>
        <w:tc>
          <w:tcPr>
            <w:tcW w:w="734" w:type="dxa"/>
            <w:tcBorders>
              <w:top w:val="single" w:sz="4" w:space="0" w:color="000000"/>
              <w:left w:val="single" w:sz="4" w:space="0" w:color="000000"/>
              <w:bottom w:val="single" w:sz="4" w:space="0" w:color="000000"/>
              <w:right w:val="single" w:sz="4" w:space="0" w:color="000000"/>
            </w:tcBorders>
          </w:tcPr>
          <w:p w14:paraId="6663DC10"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2.00</w:t>
            </w:r>
          </w:p>
        </w:tc>
        <w:tc>
          <w:tcPr>
            <w:tcW w:w="735" w:type="dxa"/>
            <w:tcBorders>
              <w:top w:val="single" w:sz="4" w:space="0" w:color="000000"/>
              <w:left w:val="single" w:sz="4" w:space="0" w:color="000000"/>
              <w:bottom w:val="single" w:sz="4" w:space="0" w:color="000000"/>
              <w:right w:val="single" w:sz="4" w:space="0" w:color="000000"/>
            </w:tcBorders>
          </w:tcPr>
          <w:p w14:paraId="1FFE2DAD"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0.36</w:t>
            </w:r>
          </w:p>
        </w:tc>
        <w:tc>
          <w:tcPr>
            <w:tcW w:w="735" w:type="dxa"/>
            <w:tcBorders>
              <w:top w:val="single" w:sz="4" w:space="0" w:color="000000"/>
              <w:left w:val="single" w:sz="4" w:space="0" w:color="000000"/>
              <w:bottom w:val="single" w:sz="4" w:space="0" w:color="000000"/>
              <w:right w:val="single" w:sz="4" w:space="0" w:color="000000"/>
            </w:tcBorders>
          </w:tcPr>
          <w:p w14:paraId="752B13D8"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4.63</w:t>
            </w:r>
          </w:p>
        </w:tc>
        <w:tc>
          <w:tcPr>
            <w:tcW w:w="734" w:type="dxa"/>
            <w:gridSpan w:val="2"/>
            <w:tcBorders>
              <w:top w:val="single" w:sz="4" w:space="0" w:color="000000"/>
              <w:left w:val="single" w:sz="4" w:space="0" w:color="000000"/>
              <w:bottom w:val="single" w:sz="4" w:space="0" w:color="000000"/>
              <w:right w:val="single" w:sz="4" w:space="0" w:color="000000"/>
            </w:tcBorders>
          </w:tcPr>
          <w:p w14:paraId="10A5490C"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0.13</w:t>
            </w:r>
          </w:p>
        </w:tc>
        <w:tc>
          <w:tcPr>
            <w:tcW w:w="731" w:type="dxa"/>
            <w:tcBorders>
              <w:top w:val="single" w:sz="4" w:space="0" w:color="000000"/>
              <w:left w:val="single" w:sz="4" w:space="0" w:color="000000"/>
              <w:bottom w:val="single" w:sz="4" w:space="0" w:color="000000"/>
              <w:right w:val="single" w:sz="7" w:space="0" w:color="000000"/>
            </w:tcBorders>
          </w:tcPr>
          <w:p w14:paraId="2FF00356" w14:textId="77777777" w:rsidR="0031675F" w:rsidRPr="0031675F" w:rsidRDefault="0031675F" w:rsidP="0031675F">
            <w:pPr>
              <w:widowControl w:val="0"/>
              <w:spacing w:before="0" w:after="0" w:line="160" w:lineRule="exact"/>
              <w:ind w:left="370"/>
              <w:rPr>
                <w:rFonts w:ascii="Times New Roman" w:eastAsia="Times New Roman" w:hAnsi="Times New Roman"/>
                <w:sz w:val="14"/>
                <w:szCs w:val="14"/>
                <w:lang w:val="en-US"/>
              </w:rPr>
            </w:pPr>
            <w:r w:rsidRPr="0031675F">
              <w:rPr>
                <w:rFonts w:ascii="Times New Roman" w:eastAsia="Calibri" w:hAnsi="Calibri"/>
                <w:w w:val="105"/>
                <w:sz w:val="14"/>
                <w:lang w:val="en-US"/>
              </w:rPr>
              <w:t>16.04</w:t>
            </w:r>
          </w:p>
        </w:tc>
      </w:tr>
      <w:tr w:rsidR="0031675F" w:rsidRPr="0031675F" w14:paraId="2E5C8ACA" w14:textId="77777777" w:rsidTr="00B00729">
        <w:trPr>
          <w:trHeight w:hRule="exact" w:val="176"/>
        </w:trPr>
        <w:tc>
          <w:tcPr>
            <w:tcW w:w="932" w:type="dxa"/>
            <w:gridSpan w:val="2"/>
            <w:tcBorders>
              <w:top w:val="single" w:sz="4" w:space="0" w:color="000000"/>
              <w:left w:val="single" w:sz="6" w:space="0" w:color="000000"/>
              <w:bottom w:val="single" w:sz="7" w:space="0" w:color="000000"/>
              <w:right w:val="single" w:sz="4" w:space="0" w:color="000000"/>
            </w:tcBorders>
          </w:tcPr>
          <w:p w14:paraId="59041115"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4</w:t>
            </w:r>
          </w:p>
        </w:tc>
        <w:tc>
          <w:tcPr>
            <w:tcW w:w="735" w:type="dxa"/>
            <w:tcBorders>
              <w:top w:val="single" w:sz="4" w:space="0" w:color="000000"/>
              <w:left w:val="single" w:sz="4" w:space="0" w:color="000000"/>
              <w:bottom w:val="single" w:sz="7" w:space="0" w:color="000000"/>
              <w:right w:val="single" w:sz="4" w:space="0" w:color="000000"/>
            </w:tcBorders>
          </w:tcPr>
          <w:p w14:paraId="0C103FBA" w14:textId="77777777" w:rsidR="0031675F" w:rsidRPr="0031675F" w:rsidRDefault="0031675F" w:rsidP="0031675F">
            <w:pPr>
              <w:widowControl w:val="0"/>
              <w:spacing w:before="26" w:after="0" w:line="240" w:lineRule="auto"/>
              <w:ind w:left="16"/>
              <w:rPr>
                <w:rFonts w:eastAsia="Arial" w:cs="Arial"/>
                <w:sz w:val="11"/>
                <w:szCs w:val="11"/>
                <w:lang w:val="en-US"/>
              </w:rPr>
            </w:pPr>
            <w:r w:rsidRPr="0031675F">
              <w:rPr>
                <w:rFonts w:eastAsia="Calibri" w:hAnsi="Calibri"/>
                <w:spacing w:val="-1"/>
                <w:w w:val="105"/>
                <w:sz w:val="11"/>
                <w:lang w:val="en-US"/>
              </w:rPr>
              <w:t>Normanby</w:t>
            </w:r>
          </w:p>
        </w:tc>
        <w:tc>
          <w:tcPr>
            <w:tcW w:w="734" w:type="dxa"/>
            <w:tcBorders>
              <w:top w:val="single" w:sz="4" w:space="0" w:color="000000"/>
              <w:left w:val="single" w:sz="4" w:space="0" w:color="000000"/>
              <w:bottom w:val="single" w:sz="7" w:space="0" w:color="000000"/>
              <w:right w:val="single" w:sz="4" w:space="0" w:color="000000"/>
            </w:tcBorders>
          </w:tcPr>
          <w:p w14:paraId="66698807"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2</w:t>
            </w:r>
          </w:p>
        </w:tc>
        <w:tc>
          <w:tcPr>
            <w:tcW w:w="735" w:type="dxa"/>
            <w:tcBorders>
              <w:top w:val="single" w:sz="4" w:space="0" w:color="000000"/>
              <w:left w:val="single" w:sz="4" w:space="0" w:color="000000"/>
              <w:bottom w:val="single" w:sz="7" w:space="0" w:color="000000"/>
              <w:right w:val="single" w:sz="4" w:space="0" w:color="000000"/>
            </w:tcBorders>
          </w:tcPr>
          <w:p w14:paraId="79945CFD" w14:textId="77777777" w:rsidR="0031675F" w:rsidRPr="0031675F" w:rsidRDefault="0031675F" w:rsidP="0031675F">
            <w:pPr>
              <w:widowControl w:val="0"/>
              <w:spacing w:before="0" w:after="0" w:line="159" w:lineRule="exact"/>
              <w:ind w:left="239"/>
              <w:rPr>
                <w:rFonts w:eastAsia="Arial" w:cs="Arial"/>
                <w:sz w:val="14"/>
                <w:szCs w:val="14"/>
                <w:lang w:val="en-US"/>
              </w:rPr>
            </w:pPr>
            <w:r w:rsidRPr="0031675F">
              <w:rPr>
                <w:rFonts w:eastAsia="Calibri" w:hAnsi="Calibri"/>
                <w:spacing w:val="-1"/>
                <w:w w:val="105"/>
                <w:sz w:val="14"/>
                <w:lang w:val="en-US"/>
              </w:rPr>
              <w:t>11-Feb</w:t>
            </w:r>
          </w:p>
        </w:tc>
        <w:tc>
          <w:tcPr>
            <w:tcW w:w="734" w:type="dxa"/>
            <w:tcBorders>
              <w:top w:val="single" w:sz="4" w:space="0" w:color="000000"/>
              <w:left w:val="single" w:sz="4" w:space="0" w:color="000000"/>
              <w:bottom w:val="single" w:sz="7" w:space="0" w:color="000000"/>
              <w:right w:val="single" w:sz="4" w:space="0" w:color="000000"/>
            </w:tcBorders>
          </w:tcPr>
          <w:p w14:paraId="4BC05E0E" w14:textId="77777777" w:rsidR="0031675F" w:rsidRPr="0031675F" w:rsidRDefault="0031675F" w:rsidP="0031675F">
            <w:pPr>
              <w:widowControl w:val="0"/>
              <w:spacing w:before="0" w:after="0" w:line="159" w:lineRule="exact"/>
              <w:ind w:right="24"/>
              <w:jc w:val="right"/>
              <w:rPr>
                <w:rFonts w:eastAsia="Arial" w:cs="Arial"/>
                <w:sz w:val="14"/>
                <w:szCs w:val="14"/>
                <w:lang w:val="en-US"/>
              </w:rPr>
            </w:pPr>
            <w:r w:rsidRPr="0031675F">
              <w:rPr>
                <w:rFonts w:eastAsia="Calibri" w:hAnsi="Calibri"/>
                <w:sz w:val="14"/>
                <w:lang w:val="en-US"/>
              </w:rPr>
              <w:t>2</w:t>
            </w:r>
          </w:p>
        </w:tc>
        <w:tc>
          <w:tcPr>
            <w:tcW w:w="735" w:type="dxa"/>
            <w:tcBorders>
              <w:top w:val="single" w:sz="4" w:space="0" w:color="000000"/>
              <w:left w:val="single" w:sz="4" w:space="0" w:color="000000"/>
              <w:bottom w:val="single" w:sz="7" w:space="0" w:color="000000"/>
              <w:right w:val="single" w:sz="4" w:space="0" w:color="000000"/>
            </w:tcBorders>
          </w:tcPr>
          <w:p w14:paraId="2DE51A93" w14:textId="77777777" w:rsidR="0031675F" w:rsidRPr="0031675F" w:rsidRDefault="0031675F" w:rsidP="0031675F"/>
        </w:tc>
        <w:tc>
          <w:tcPr>
            <w:tcW w:w="734" w:type="dxa"/>
            <w:tcBorders>
              <w:top w:val="single" w:sz="4" w:space="0" w:color="000000"/>
              <w:left w:val="single" w:sz="4" w:space="0" w:color="000000"/>
              <w:bottom w:val="single" w:sz="7" w:space="0" w:color="000000"/>
              <w:right w:val="single" w:sz="4" w:space="0" w:color="000000"/>
            </w:tcBorders>
          </w:tcPr>
          <w:p w14:paraId="49394AED"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2.09</w:t>
            </w:r>
          </w:p>
        </w:tc>
        <w:tc>
          <w:tcPr>
            <w:tcW w:w="735" w:type="dxa"/>
            <w:tcBorders>
              <w:top w:val="single" w:sz="4" w:space="0" w:color="000000"/>
              <w:left w:val="single" w:sz="4" w:space="0" w:color="000000"/>
              <w:bottom w:val="single" w:sz="7" w:space="0" w:color="000000"/>
              <w:right w:val="single" w:sz="4" w:space="0" w:color="000000"/>
            </w:tcBorders>
          </w:tcPr>
          <w:p w14:paraId="35FC318D"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0.36</w:t>
            </w:r>
          </w:p>
        </w:tc>
        <w:tc>
          <w:tcPr>
            <w:tcW w:w="735" w:type="dxa"/>
            <w:tcBorders>
              <w:top w:val="single" w:sz="4" w:space="0" w:color="000000"/>
              <w:left w:val="single" w:sz="4" w:space="0" w:color="000000"/>
              <w:bottom w:val="single" w:sz="7" w:space="0" w:color="000000"/>
              <w:right w:val="single" w:sz="4" w:space="0" w:color="000000"/>
            </w:tcBorders>
          </w:tcPr>
          <w:p w14:paraId="2705C4B1"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4.67</w:t>
            </w:r>
          </w:p>
        </w:tc>
        <w:tc>
          <w:tcPr>
            <w:tcW w:w="734" w:type="dxa"/>
            <w:gridSpan w:val="2"/>
            <w:tcBorders>
              <w:top w:val="single" w:sz="4" w:space="0" w:color="000000"/>
              <w:left w:val="single" w:sz="4" w:space="0" w:color="000000"/>
              <w:bottom w:val="single" w:sz="7" w:space="0" w:color="000000"/>
              <w:right w:val="single" w:sz="4" w:space="0" w:color="000000"/>
            </w:tcBorders>
          </w:tcPr>
          <w:p w14:paraId="2357854E" w14:textId="77777777" w:rsidR="0031675F" w:rsidRPr="0031675F" w:rsidRDefault="0031675F" w:rsidP="0031675F">
            <w:pPr>
              <w:widowControl w:val="0"/>
              <w:spacing w:before="0" w:after="0" w:line="160" w:lineRule="exact"/>
              <w:ind w:left="443"/>
              <w:rPr>
                <w:rFonts w:ascii="Times New Roman" w:eastAsia="Times New Roman" w:hAnsi="Times New Roman"/>
                <w:sz w:val="14"/>
                <w:szCs w:val="14"/>
                <w:lang w:val="en-US"/>
              </w:rPr>
            </w:pPr>
            <w:r w:rsidRPr="0031675F">
              <w:rPr>
                <w:rFonts w:ascii="Times New Roman" w:eastAsia="Calibri" w:hAnsi="Calibri"/>
                <w:w w:val="105"/>
                <w:sz w:val="14"/>
                <w:lang w:val="en-US"/>
              </w:rPr>
              <w:t>0.14</w:t>
            </w:r>
          </w:p>
        </w:tc>
        <w:tc>
          <w:tcPr>
            <w:tcW w:w="731" w:type="dxa"/>
            <w:tcBorders>
              <w:top w:val="single" w:sz="4" w:space="0" w:color="000000"/>
              <w:left w:val="single" w:sz="4" w:space="0" w:color="000000"/>
              <w:bottom w:val="single" w:sz="7" w:space="0" w:color="000000"/>
              <w:right w:val="single" w:sz="7" w:space="0" w:color="000000"/>
            </w:tcBorders>
          </w:tcPr>
          <w:p w14:paraId="6FA1D45B" w14:textId="77777777" w:rsidR="0031675F" w:rsidRPr="0031675F" w:rsidRDefault="0031675F" w:rsidP="0031675F">
            <w:pPr>
              <w:widowControl w:val="0"/>
              <w:spacing w:before="0" w:after="0" w:line="160" w:lineRule="exact"/>
              <w:ind w:left="370"/>
              <w:rPr>
                <w:rFonts w:ascii="Times New Roman" w:eastAsia="Times New Roman" w:hAnsi="Times New Roman"/>
                <w:sz w:val="14"/>
                <w:szCs w:val="14"/>
                <w:lang w:val="en-US"/>
              </w:rPr>
            </w:pPr>
            <w:r w:rsidRPr="0031675F">
              <w:rPr>
                <w:rFonts w:ascii="Times New Roman" w:eastAsia="Calibri" w:hAnsi="Calibri"/>
                <w:w w:val="105"/>
                <w:sz w:val="14"/>
                <w:lang w:val="en-US"/>
              </w:rPr>
              <w:t>16.54</w:t>
            </w:r>
          </w:p>
        </w:tc>
      </w:tr>
    </w:tbl>
    <w:p w14:paraId="2F45383B" w14:textId="77777777" w:rsidR="0031675F" w:rsidRPr="0031675F" w:rsidRDefault="0031675F" w:rsidP="0031675F">
      <w:pPr>
        <w:spacing w:line="160" w:lineRule="exact"/>
        <w:rPr>
          <w:rFonts w:ascii="Times New Roman" w:eastAsia="Times New Roman" w:hAnsi="Times New Roman"/>
          <w:sz w:val="14"/>
          <w:szCs w:val="14"/>
        </w:rPr>
        <w:sectPr w:rsidR="0031675F" w:rsidRPr="0031675F" w:rsidSect="004A5C83">
          <w:type w:val="nextColumn"/>
          <w:pgSz w:w="11910" w:h="16850"/>
          <w:pgMar w:top="720" w:right="1281" w:bottom="697" w:left="1281" w:header="520" w:footer="500" w:gutter="0"/>
          <w:paperSrc w:first="7" w:other="7"/>
          <w:cols w:space="720"/>
        </w:sectPr>
      </w:pPr>
    </w:p>
    <w:p w14:paraId="0D8B08E7" w14:textId="77777777" w:rsidR="0031675F" w:rsidRPr="0031675F" w:rsidRDefault="0031675F" w:rsidP="0031675F">
      <w:pPr>
        <w:rPr>
          <w:rFonts w:eastAsia="Arial" w:cs="Arial"/>
          <w:b/>
          <w:bCs/>
          <w:sz w:val="20"/>
          <w:szCs w:val="20"/>
        </w:rPr>
      </w:pPr>
    </w:p>
    <w:p w14:paraId="29E134C0" w14:textId="77777777" w:rsidR="0031675F" w:rsidRPr="0031675F" w:rsidRDefault="0031675F" w:rsidP="005A35E3">
      <w:pPr>
        <w:pStyle w:val="Heading2"/>
        <w:numPr>
          <w:ilvl w:val="0"/>
          <w:numId w:val="0"/>
        </w:numPr>
        <w:ind w:left="284"/>
      </w:pPr>
      <w:bookmarkStart w:id="613" w:name="_Toc523830549"/>
      <w:bookmarkStart w:id="614" w:name="_Toc523905135"/>
      <w:bookmarkStart w:id="615" w:name="_Toc523905377"/>
      <w:bookmarkStart w:id="616" w:name="_Toc534968688"/>
      <w:bookmarkStart w:id="617" w:name="_Toc12365631"/>
      <w:bookmarkStart w:id="618" w:name="_Toc423356990"/>
      <w:r w:rsidRPr="00FF3C2F">
        <w:t>Section A4: Ship board ammonium analysis using the OPA method</w:t>
      </w:r>
      <w:bookmarkEnd w:id="613"/>
      <w:bookmarkEnd w:id="614"/>
      <w:bookmarkEnd w:id="615"/>
      <w:bookmarkEnd w:id="616"/>
      <w:bookmarkEnd w:id="617"/>
    </w:p>
    <w:p w14:paraId="3FB17162" w14:textId="77777777" w:rsidR="0031675F" w:rsidRPr="0031675F" w:rsidRDefault="0031675F" w:rsidP="0031675F">
      <w:pPr>
        <w:spacing w:before="8"/>
        <w:rPr>
          <w:rFonts w:eastAsia="Arial" w:cs="Arial"/>
          <w:b/>
          <w:bCs/>
          <w:sz w:val="20"/>
          <w:szCs w:val="20"/>
        </w:rPr>
      </w:pPr>
    </w:p>
    <w:p w14:paraId="155788F5" w14:textId="77777777" w:rsidR="0031675F" w:rsidRPr="0031675F" w:rsidRDefault="0031675F" w:rsidP="0031675F">
      <w:pPr>
        <w:widowControl w:val="0"/>
        <w:numPr>
          <w:ilvl w:val="1"/>
          <w:numId w:val="121"/>
        </w:numPr>
        <w:tabs>
          <w:tab w:val="left" w:pos="706"/>
        </w:tabs>
        <w:spacing w:before="69" w:after="0" w:line="240" w:lineRule="auto"/>
        <w:jc w:val="both"/>
        <w:rPr>
          <w:rFonts w:eastAsia="Arial" w:cs="Arial"/>
          <w:sz w:val="24"/>
          <w:szCs w:val="24"/>
        </w:rPr>
      </w:pPr>
      <w:r w:rsidRPr="0031675F">
        <w:rPr>
          <w:b/>
          <w:spacing w:val="-1"/>
          <w:sz w:val="24"/>
        </w:rPr>
        <w:t>Objective</w:t>
      </w:r>
    </w:p>
    <w:p w14:paraId="5A2DD600" w14:textId="77777777" w:rsidR="0031675F" w:rsidRPr="0031675F" w:rsidRDefault="0031675F" w:rsidP="0031675F">
      <w:pPr>
        <w:spacing w:before="10"/>
        <w:rPr>
          <w:rFonts w:eastAsia="Arial" w:cs="Arial"/>
          <w:b/>
          <w:bCs/>
          <w:sz w:val="18"/>
          <w:szCs w:val="18"/>
        </w:rPr>
      </w:pPr>
    </w:p>
    <w:p w14:paraId="2B77A447" w14:textId="7E21C62E" w:rsidR="0031675F" w:rsidRPr="0031675F" w:rsidRDefault="0031675F" w:rsidP="0031675F">
      <w:pPr>
        <w:spacing w:after="120"/>
        <w:ind w:left="138" w:right="134"/>
        <w:jc w:val="both"/>
      </w:pPr>
      <w:r w:rsidRPr="0031675F">
        <w:rPr>
          <w:noProof/>
          <w:lang w:eastAsia="en-AU"/>
        </w:rPr>
        <mc:AlternateContent>
          <mc:Choice Requires="wps">
            <w:drawing>
              <wp:anchor distT="0" distB="0" distL="114300" distR="114300" simplePos="0" relativeHeight="251582464" behindDoc="1" locked="0" layoutInCell="1" allowOverlap="1" wp14:anchorId="586C0066" wp14:editId="425827D7">
                <wp:simplePos x="0" y="0"/>
                <wp:positionH relativeFrom="page">
                  <wp:posOffset>3761740</wp:posOffset>
                </wp:positionH>
                <wp:positionV relativeFrom="paragraph">
                  <wp:posOffset>101600</wp:posOffset>
                </wp:positionV>
                <wp:extent cx="45085" cy="88900"/>
                <wp:effectExtent l="0" t="0" r="12065" b="6350"/>
                <wp:wrapNone/>
                <wp:docPr id="2" name="Text Box 90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A5AD36" w14:textId="77777777" w:rsidR="00CB53E4" w:rsidRDefault="00CB53E4" w:rsidP="0031675F">
                            <w:pPr>
                              <w:spacing w:line="139" w:lineRule="exact"/>
                              <w:rPr>
                                <w:rFonts w:cs="Calibri"/>
                                <w:sz w:val="14"/>
                                <w:szCs w:val="14"/>
                              </w:rPr>
                            </w:pPr>
                            <w:r>
                              <w:rPr>
                                <w:w w:val="95"/>
                                <w:sz w:val="14"/>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6C0066" id="Text Box 9071" o:spid="_x0000_s1032" type="#_x0000_t202" style="position:absolute;left:0;text-align:left;margin-left:296.2pt;margin-top:8pt;width:3.55pt;height:7pt;z-index:-251734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" filled="f" stroked="f">
                <v:textbox inset="0,0,0,0">
                  <w:txbxContent>
                    <w:p w14:paraId="65A5AD36" w14:textId="77777777" w:rsidR="00CB53E4" w:rsidRDefault="00CB53E4" w:rsidP="0031675F">
                      <w:pPr>
                        <w:spacing w:line="139" w:lineRule="exact"/>
                        <w:rPr>
                          <w:rFonts w:cs="Calibri"/>
                          <w:sz w:val="14"/>
                          <w:szCs w:val="14"/>
                        </w:rPr>
                      </w:pPr>
                      <w:r>
                        <w:rPr>
                          <w:w w:val="95"/>
                          <w:sz w:val="14"/>
                        </w:rPr>
                        <w:t>4</w:t>
                      </w:r>
                    </w:p>
                  </w:txbxContent>
                </v:textbox>
                <w10:wrap anchorx="page"/>
              </v:shape>
            </w:pict>
          </mc:Fallback>
        </mc:AlternateContent>
      </w:r>
      <w:r w:rsidRPr="0031675F">
        <w:rPr>
          <w:spacing w:val="-1"/>
        </w:rPr>
        <w:t>To</w:t>
      </w:r>
      <w:r w:rsidRPr="0031675F">
        <w:rPr>
          <w:spacing w:val="13"/>
        </w:rPr>
        <w:t xml:space="preserve"> </w:t>
      </w:r>
      <w:r w:rsidRPr="0031675F">
        <w:rPr>
          <w:spacing w:val="-1"/>
        </w:rPr>
        <w:t>measure</w:t>
      </w:r>
      <w:r w:rsidRPr="0031675F">
        <w:rPr>
          <w:spacing w:val="15"/>
        </w:rPr>
        <w:t xml:space="preserve"> </w:t>
      </w:r>
      <w:r w:rsidRPr="0031675F">
        <w:t>the</w:t>
      </w:r>
      <w:r w:rsidRPr="0031675F">
        <w:rPr>
          <w:spacing w:val="14"/>
        </w:rPr>
        <w:t xml:space="preserve"> </w:t>
      </w:r>
      <w:r w:rsidRPr="0031675F">
        <w:rPr>
          <w:spacing w:val="-1"/>
        </w:rPr>
        <w:t>concentration</w:t>
      </w:r>
      <w:r w:rsidRPr="0031675F">
        <w:rPr>
          <w:spacing w:val="14"/>
        </w:rPr>
        <w:t xml:space="preserve"> </w:t>
      </w:r>
      <w:r w:rsidRPr="0031675F">
        <w:t>of</w:t>
      </w:r>
      <w:r w:rsidRPr="0031675F">
        <w:rPr>
          <w:spacing w:val="14"/>
        </w:rPr>
        <w:t xml:space="preserve"> </w:t>
      </w:r>
      <w:r w:rsidRPr="0031675F">
        <w:rPr>
          <w:spacing w:val="-2"/>
        </w:rPr>
        <w:t>ammonium</w:t>
      </w:r>
      <w:r w:rsidRPr="0031675F">
        <w:rPr>
          <w:spacing w:val="15"/>
        </w:rPr>
        <w:t xml:space="preserve"> </w:t>
      </w:r>
      <w:r w:rsidRPr="0031675F">
        <w:rPr>
          <w:spacing w:val="-1"/>
        </w:rPr>
        <w:t>(NH</w:t>
      </w:r>
      <w:r w:rsidR="00E515F7" w:rsidRPr="00E515F7">
        <w:rPr>
          <w:spacing w:val="22"/>
          <w:vertAlign w:val="subscript"/>
        </w:rPr>
        <w:t>4</w:t>
      </w:r>
      <w:r w:rsidRPr="0031675F">
        <w:rPr>
          <w:position w:val="10"/>
          <w:sz w:val="14"/>
        </w:rPr>
        <w:t>+</w:t>
      </w:r>
      <w:r w:rsidRPr="0031675F">
        <w:t>)</w:t>
      </w:r>
      <w:r w:rsidRPr="0031675F">
        <w:rPr>
          <w:spacing w:val="15"/>
        </w:rPr>
        <w:t xml:space="preserve"> </w:t>
      </w:r>
      <w:r w:rsidRPr="0031675F">
        <w:rPr>
          <w:spacing w:val="-1"/>
        </w:rPr>
        <w:t>present</w:t>
      </w:r>
      <w:r w:rsidRPr="0031675F">
        <w:rPr>
          <w:spacing w:val="15"/>
        </w:rPr>
        <w:t xml:space="preserve"> </w:t>
      </w:r>
      <w:r w:rsidRPr="0031675F">
        <w:t>in</w:t>
      </w:r>
      <w:r w:rsidRPr="0031675F">
        <w:rPr>
          <w:spacing w:val="13"/>
        </w:rPr>
        <w:t xml:space="preserve"> </w:t>
      </w:r>
      <w:r w:rsidRPr="0031675F">
        <w:rPr>
          <w:spacing w:val="-1"/>
        </w:rPr>
        <w:t>fresh</w:t>
      </w:r>
      <w:r w:rsidRPr="0031675F">
        <w:rPr>
          <w:spacing w:val="14"/>
        </w:rPr>
        <w:t xml:space="preserve"> </w:t>
      </w:r>
      <w:r w:rsidRPr="0031675F">
        <w:rPr>
          <w:spacing w:val="-1"/>
        </w:rPr>
        <w:t>seawater</w:t>
      </w:r>
      <w:r w:rsidRPr="0031675F">
        <w:rPr>
          <w:spacing w:val="12"/>
        </w:rPr>
        <w:t xml:space="preserve"> </w:t>
      </w:r>
      <w:r w:rsidRPr="0031675F">
        <w:rPr>
          <w:spacing w:val="-1"/>
        </w:rPr>
        <w:t>samples</w:t>
      </w:r>
      <w:r w:rsidRPr="0031675F">
        <w:rPr>
          <w:spacing w:val="12"/>
        </w:rPr>
        <w:t xml:space="preserve"> </w:t>
      </w:r>
      <w:r w:rsidRPr="0031675F">
        <w:t>with</w:t>
      </w:r>
      <w:r w:rsidRPr="0031675F">
        <w:rPr>
          <w:spacing w:val="14"/>
        </w:rPr>
        <w:t xml:space="preserve"> </w:t>
      </w:r>
      <w:r w:rsidRPr="0031675F">
        <w:t>a</w:t>
      </w:r>
      <w:r w:rsidRPr="0031675F">
        <w:rPr>
          <w:spacing w:val="14"/>
        </w:rPr>
        <w:t xml:space="preserve"> </w:t>
      </w:r>
      <w:r w:rsidRPr="0031675F">
        <w:rPr>
          <w:spacing w:val="-1"/>
        </w:rPr>
        <w:t>focus</w:t>
      </w:r>
      <w:r w:rsidRPr="0031675F">
        <w:rPr>
          <w:spacing w:val="67"/>
        </w:rPr>
        <w:t xml:space="preserve"> </w:t>
      </w:r>
      <w:r w:rsidRPr="0031675F">
        <w:t>on</w:t>
      </w:r>
      <w:r w:rsidRPr="0031675F">
        <w:rPr>
          <w:spacing w:val="42"/>
        </w:rPr>
        <w:t xml:space="preserve"> </w:t>
      </w:r>
      <w:r w:rsidRPr="0031675F">
        <w:rPr>
          <w:spacing w:val="-1"/>
        </w:rPr>
        <w:t>detecting</w:t>
      </w:r>
      <w:r w:rsidRPr="0031675F">
        <w:rPr>
          <w:spacing w:val="42"/>
        </w:rPr>
        <w:t xml:space="preserve"> </w:t>
      </w:r>
      <w:r w:rsidRPr="0031675F">
        <w:rPr>
          <w:spacing w:val="-1"/>
        </w:rPr>
        <w:t>low</w:t>
      </w:r>
      <w:r w:rsidRPr="0031675F">
        <w:rPr>
          <w:spacing w:val="44"/>
        </w:rPr>
        <w:t xml:space="preserve"> </w:t>
      </w:r>
      <w:r w:rsidRPr="0031675F">
        <w:rPr>
          <w:spacing w:val="-1"/>
        </w:rPr>
        <w:t>concentrations</w:t>
      </w:r>
      <w:r w:rsidRPr="0031675F">
        <w:rPr>
          <w:spacing w:val="42"/>
        </w:rPr>
        <w:t xml:space="preserve"> </w:t>
      </w:r>
      <w:r w:rsidRPr="0031675F">
        <w:rPr>
          <w:spacing w:val="-2"/>
        </w:rPr>
        <w:t>(&lt;</w:t>
      </w:r>
      <w:r w:rsidRPr="0031675F">
        <w:rPr>
          <w:spacing w:val="44"/>
        </w:rPr>
        <w:t xml:space="preserve"> </w:t>
      </w:r>
      <w:r w:rsidRPr="0031675F">
        <w:rPr>
          <w:spacing w:val="-1"/>
        </w:rPr>
        <w:t>0.1</w:t>
      </w:r>
      <w:r w:rsidRPr="0031675F">
        <w:rPr>
          <w:spacing w:val="44"/>
        </w:rPr>
        <w:t xml:space="preserve"> </w:t>
      </w:r>
      <w:r w:rsidRPr="0031675F">
        <w:rPr>
          <w:spacing w:val="-1"/>
        </w:rPr>
        <w:t>µM)</w:t>
      </w:r>
      <w:r w:rsidRPr="0031675F">
        <w:rPr>
          <w:spacing w:val="47"/>
        </w:rPr>
        <w:t xml:space="preserve"> </w:t>
      </w:r>
      <w:r w:rsidRPr="0031675F">
        <w:rPr>
          <w:spacing w:val="-1"/>
        </w:rPr>
        <w:t>using</w:t>
      </w:r>
      <w:r w:rsidRPr="0031675F">
        <w:rPr>
          <w:spacing w:val="39"/>
        </w:rPr>
        <w:t xml:space="preserve"> </w:t>
      </w:r>
      <w:r w:rsidRPr="0031675F">
        <w:rPr>
          <w:spacing w:val="-1"/>
        </w:rPr>
        <w:t>shipboard</w:t>
      </w:r>
      <w:r w:rsidRPr="0031675F">
        <w:rPr>
          <w:spacing w:val="42"/>
        </w:rPr>
        <w:t xml:space="preserve"> </w:t>
      </w:r>
      <w:r w:rsidRPr="0031675F">
        <w:rPr>
          <w:spacing w:val="-1"/>
        </w:rPr>
        <w:t>analysis</w:t>
      </w:r>
      <w:r w:rsidRPr="0031675F">
        <w:rPr>
          <w:spacing w:val="44"/>
        </w:rPr>
        <w:t xml:space="preserve"> </w:t>
      </w:r>
      <w:r w:rsidRPr="0031675F">
        <w:rPr>
          <w:spacing w:val="-1"/>
        </w:rPr>
        <w:t>to</w:t>
      </w:r>
      <w:r w:rsidRPr="0031675F">
        <w:rPr>
          <w:spacing w:val="41"/>
        </w:rPr>
        <w:t xml:space="preserve"> </w:t>
      </w:r>
      <w:r w:rsidRPr="0031675F">
        <w:rPr>
          <w:spacing w:val="-1"/>
        </w:rPr>
        <w:t>minimize</w:t>
      </w:r>
      <w:r w:rsidRPr="0031675F">
        <w:rPr>
          <w:spacing w:val="44"/>
        </w:rPr>
        <w:t xml:space="preserve"> </w:t>
      </w:r>
      <w:r w:rsidRPr="0031675F">
        <w:rPr>
          <w:spacing w:val="-1"/>
        </w:rPr>
        <w:t>contamination</w:t>
      </w:r>
      <w:r w:rsidRPr="0031675F">
        <w:rPr>
          <w:spacing w:val="67"/>
        </w:rPr>
        <w:t xml:space="preserve"> </w:t>
      </w:r>
      <w:r w:rsidRPr="0031675F">
        <w:rPr>
          <w:spacing w:val="-1"/>
        </w:rPr>
        <w:t>through elimination</w:t>
      </w:r>
      <w:r w:rsidRPr="0031675F">
        <w:rPr>
          <w:spacing w:val="-3"/>
        </w:rPr>
        <w:t xml:space="preserve"> </w:t>
      </w:r>
      <w:r w:rsidRPr="0031675F">
        <w:t>of</w:t>
      </w:r>
      <w:r w:rsidRPr="0031675F">
        <w:rPr>
          <w:spacing w:val="-3"/>
        </w:rPr>
        <w:t xml:space="preserve"> </w:t>
      </w:r>
      <w:r w:rsidRPr="0031675F">
        <w:rPr>
          <w:spacing w:val="-1"/>
        </w:rPr>
        <w:t>storage</w:t>
      </w:r>
      <w:r w:rsidRPr="0031675F">
        <w:t xml:space="preserve"> </w:t>
      </w:r>
      <w:r w:rsidRPr="0031675F">
        <w:rPr>
          <w:spacing w:val="-1"/>
        </w:rPr>
        <w:t>and reducing handling effects.</w:t>
      </w:r>
    </w:p>
    <w:p w14:paraId="27E60F50" w14:textId="77777777" w:rsidR="0031675F" w:rsidRPr="0031675F" w:rsidRDefault="0031675F" w:rsidP="0031675F">
      <w:pPr>
        <w:spacing w:before="11"/>
        <w:rPr>
          <w:rFonts w:cs="Calibri"/>
          <w:sz w:val="21"/>
          <w:szCs w:val="21"/>
        </w:rPr>
      </w:pPr>
    </w:p>
    <w:p w14:paraId="3FE62988" w14:textId="77777777" w:rsidR="0031675F" w:rsidRPr="0031675F" w:rsidRDefault="0031675F" w:rsidP="0031675F">
      <w:pPr>
        <w:widowControl w:val="0"/>
        <w:numPr>
          <w:ilvl w:val="1"/>
          <w:numId w:val="121"/>
        </w:numPr>
        <w:tabs>
          <w:tab w:val="left" w:pos="706"/>
        </w:tabs>
        <w:spacing w:before="0" w:after="0" w:line="240" w:lineRule="auto"/>
        <w:jc w:val="both"/>
        <w:rPr>
          <w:rFonts w:eastAsia="Arial" w:cs="Arial"/>
          <w:sz w:val="24"/>
          <w:szCs w:val="24"/>
        </w:rPr>
      </w:pPr>
      <w:r w:rsidRPr="0031675F">
        <w:rPr>
          <w:b/>
          <w:spacing w:val="-1"/>
          <w:sz w:val="24"/>
        </w:rPr>
        <w:t>Principle</w:t>
      </w:r>
      <w:r w:rsidRPr="0031675F">
        <w:rPr>
          <w:b/>
          <w:sz w:val="24"/>
        </w:rPr>
        <w:t xml:space="preserve"> of </w:t>
      </w:r>
      <w:r w:rsidRPr="0031675F">
        <w:rPr>
          <w:b/>
          <w:spacing w:val="-1"/>
          <w:sz w:val="24"/>
        </w:rPr>
        <w:t>analysis</w:t>
      </w:r>
    </w:p>
    <w:p w14:paraId="7BD42C75" w14:textId="77777777" w:rsidR="0031675F" w:rsidRPr="0031675F" w:rsidRDefault="0031675F" w:rsidP="0031675F">
      <w:pPr>
        <w:spacing w:before="11"/>
        <w:rPr>
          <w:rFonts w:eastAsia="Arial" w:cs="Arial"/>
          <w:b/>
          <w:bCs/>
          <w:sz w:val="20"/>
          <w:szCs w:val="20"/>
        </w:rPr>
      </w:pPr>
    </w:p>
    <w:p w14:paraId="15BA6D7B" w14:textId="77777777" w:rsidR="0031675F" w:rsidRPr="0031675F" w:rsidRDefault="0031675F" w:rsidP="0031675F">
      <w:pPr>
        <w:spacing w:after="120"/>
        <w:ind w:left="138" w:right="132"/>
        <w:jc w:val="both"/>
      </w:pPr>
      <w:r w:rsidRPr="0031675F">
        <w:rPr>
          <w:spacing w:val="-1"/>
        </w:rPr>
        <w:t>This</w:t>
      </w:r>
      <w:r w:rsidRPr="0031675F">
        <w:rPr>
          <w:spacing w:val="24"/>
        </w:rPr>
        <w:t xml:space="preserve"> </w:t>
      </w:r>
      <w:r w:rsidRPr="0031675F">
        <w:rPr>
          <w:spacing w:val="-1"/>
        </w:rPr>
        <w:t>method</w:t>
      </w:r>
      <w:r w:rsidRPr="0031675F">
        <w:rPr>
          <w:spacing w:val="24"/>
        </w:rPr>
        <w:t xml:space="preserve"> </w:t>
      </w:r>
      <w:r w:rsidRPr="0031675F">
        <w:t>is</w:t>
      </w:r>
      <w:r w:rsidRPr="0031675F">
        <w:rPr>
          <w:spacing w:val="24"/>
        </w:rPr>
        <w:t xml:space="preserve"> </w:t>
      </w:r>
      <w:r w:rsidRPr="0031675F">
        <w:rPr>
          <w:spacing w:val="-1"/>
        </w:rPr>
        <w:t>based</w:t>
      </w:r>
      <w:r w:rsidRPr="0031675F">
        <w:rPr>
          <w:spacing w:val="25"/>
        </w:rPr>
        <w:t xml:space="preserve"> </w:t>
      </w:r>
      <w:r w:rsidRPr="0031675F">
        <w:rPr>
          <w:spacing w:val="-1"/>
        </w:rPr>
        <w:t>on</w:t>
      </w:r>
      <w:r w:rsidRPr="0031675F">
        <w:rPr>
          <w:spacing w:val="24"/>
        </w:rPr>
        <w:t xml:space="preserve"> </w:t>
      </w:r>
      <w:r w:rsidRPr="0031675F">
        <w:t>the</w:t>
      </w:r>
      <w:r w:rsidRPr="0031675F">
        <w:rPr>
          <w:spacing w:val="25"/>
        </w:rPr>
        <w:t xml:space="preserve"> </w:t>
      </w:r>
      <w:r w:rsidRPr="0031675F">
        <w:rPr>
          <w:spacing w:val="-1"/>
        </w:rPr>
        <w:t>fluorescent</w:t>
      </w:r>
      <w:r w:rsidRPr="0031675F">
        <w:rPr>
          <w:spacing w:val="24"/>
        </w:rPr>
        <w:t xml:space="preserve"> </w:t>
      </w:r>
      <w:r w:rsidRPr="0031675F">
        <w:rPr>
          <w:spacing w:val="-1"/>
        </w:rPr>
        <w:t>detection</w:t>
      </w:r>
      <w:r w:rsidRPr="0031675F">
        <w:rPr>
          <w:spacing w:val="24"/>
        </w:rPr>
        <w:t xml:space="preserve"> </w:t>
      </w:r>
      <w:r w:rsidRPr="0031675F">
        <w:t>of</w:t>
      </w:r>
      <w:r w:rsidRPr="0031675F">
        <w:rPr>
          <w:spacing w:val="25"/>
        </w:rPr>
        <w:t xml:space="preserve"> </w:t>
      </w:r>
      <w:r w:rsidRPr="0031675F">
        <w:rPr>
          <w:spacing w:val="-1"/>
        </w:rPr>
        <w:t>ammonium</w:t>
      </w:r>
      <w:r w:rsidRPr="0031675F">
        <w:rPr>
          <w:spacing w:val="26"/>
        </w:rPr>
        <w:t xml:space="preserve"> </w:t>
      </w:r>
      <w:r w:rsidRPr="0031675F">
        <w:t>which</w:t>
      </w:r>
      <w:r w:rsidRPr="0031675F">
        <w:rPr>
          <w:spacing w:val="21"/>
        </w:rPr>
        <w:t xml:space="preserve"> </w:t>
      </w:r>
      <w:r w:rsidRPr="0031675F">
        <w:rPr>
          <w:spacing w:val="-1"/>
        </w:rPr>
        <w:t>combines</w:t>
      </w:r>
      <w:r w:rsidRPr="0031675F">
        <w:rPr>
          <w:spacing w:val="23"/>
        </w:rPr>
        <w:t xml:space="preserve"> </w:t>
      </w:r>
      <w:r w:rsidRPr="0031675F">
        <w:t>with</w:t>
      </w:r>
      <w:r w:rsidRPr="0031675F">
        <w:rPr>
          <w:spacing w:val="25"/>
        </w:rPr>
        <w:t xml:space="preserve"> </w:t>
      </w:r>
      <w:r w:rsidRPr="0031675F">
        <w:t>the</w:t>
      </w:r>
      <w:r w:rsidRPr="0031675F">
        <w:rPr>
          <w:spacing w:val="57"/>
        </w:rPr>
        <w:t xml:space="preserve"> </w:t>
      </w:r>
      <w:r w:rsidRPr="0031675F">
        <w:rPr>
          <w:spacing w:val="-1"/>
        </w:rPr>
        <w:t>fluorochrome</w:t>
      </w:r>
      <w:r w:rsidRPr="0031675F">
        <w:rPr>
          <w:spacing w:val="24"/>
        </w:rPr>
        <w:t xml:space="preserve"> </w:t>
      </w:r>
      <w:r w:rsidRPr="0031675F">
        <w:rPr>
          <w:spacing w:val="-1"/>
        </w:rPr>
        <w:t>OPA.</w:t>
      </w:r>
      <w:r w:rsidRPr="0031675F">
        <w:rPr>
          <w:spacing w:val="48"/>
        </w:rPr>
        <w:t xml:space="preserve"> </w:t>
      </w:r>
      <w:r w:rsidRPr="0031675F">
        <w:t>OPA</w:t>
      </w:r>
      <w:r w:rsidRPr="0031675F">
        <w:rPr>
          <w:spacing w:val="23"/>
        </w:rPr>
        <w:t xml:space="preserve"> </w:t>
      </w:r>
      <w:r w:rsidRPr="0031675F">
        <w:rPr>
          <w:spacing w:val="-1"/>
        </w:rPr>
        <w:t>(orthopthaldialdehyde)</w:t>
      </w:r>
      <w:r w:rsidRPr="0031675F">
        <w:rPr>
          <w:spacing w:val="24"/>
        </w:rPr>
        <w:t xml:space="preserve"> </w:t>
      </w:r>
      <w:r w:rsidRPr="0031675F">
        <w:rPr>
          <w:spacing w:val="-1"/>
        </w:rPr>
        <w:t>has</w:t>
      </w:r>
      <w:r w:rsidRPr="0031675F">
        <w:rPr>
          <w:spacing w:val="22"/>
        </w:rPr>
        <w:t xml:space="preserve"> </w:t>
      </w:r>
      <w:r w:rsidRPr="0031675F">
        <w:rPr>
          <w:spacing w:val="-1"/>
        </w:rPr>
        <w:t>been</w:t>
      </w:r>
      <w:r w:rsidRPr="0031675F">
        <w:rPr>
          <w:spacing w:val="23"/>
        </w:rPr>
        <w:t xml:space="preserve"> </w:t>
      </w:r>
      <w:r w:rsidRPr="0031675F">
        <w:t>widely</w:t>
      </w:r>
      <w:r w:rsidRPr="0031675F">
        <w:rPr>
          <w:spacing w:val="24"/>
        </w:rPr>
        <w:t xml:space="preserve"> </w:t>
      </w:r>
      <w:r w:rsidRPr="0031675F">
        <w:rPr>
          <w:spacing w:val="-1"/>
        </w:rPr>
        <w:t>used</w:t>
      </w:r>
      <w:r w:rsidRPr="0031675F">
        <w:rPr>
          <w:spacing w:val="24"/>
        </w:rPr>
        <w:t xml:space="preserve"> </w:t>
      </w:r>
      <w:r w:rsidRPr="0031675F">
        <w:t>as</w:t>
      </w:r>
      <w:r w:rsidRPr="0031675F">
        <w:rPr>
          <w:spacing w:val="24"/>
        </w:rPr>
        <w:t xml:space="preserve"> </w:t>
      </w:r>
      <w:r w:rsidRPr="0031675F">
        <w:t>a</w:t>
      </w:r>
      <w:r w:rsidRPr="0031675F">
        <w:rPr>
          <w:spacing w:val="24"/>
        </w:rPr>
        <w:t xml:space="preserve"> </w:t>
      </w:r>
      <w:r w:rsidRPr="0031675F">
        <w:rPr>
          <w:spacing w:val="-1"/>
        </w:rPr>
        <w:t>reagent</w:t>
      </w:r>
      <w:r w:rsidRPr="0031675F">
        <w:rPr>
          <w:spacing w:val="24"/>
        </w:rPr>
        <w:t xml:space="preserve"> </w:t>
      </w:r>
      <w:r w:rsidRPr="0031675F">
        <w:rPr>
          <w:spacing w:val="-1"/>
        </w:rPr>
        <w:t>for</w:t>
      </w:r>
      <w:r w:rsidRPr="0031675F">
        <w:rPr>
          <w:spacing w:val="24"/>
        </w:rPr>
        <w:t xml:space="preserve"> </w:t>
      </w:r>
      <w:r w:rsidRPr="0031675F">
        <w:rPr>
          <w:spacing w:val="-1"/>
        </w:rPr>
        <w:t>measuring</w:t>
      </w:r>
      <w:r w:rsidRPr="0031675F">
        <w:rPr>
          <w:spacing w:val="79"/>
        </w:rPr>
        <w:t xml:space="preserve"> </w:t>
      </w:r>
      <w:r w:rsidRPr="0031675F">
        <w:rPr>
          <w:spacing w:val="-1"/>
        </w:rPr>
        <w:t>primary</w:t>
      </w:r>
      <w:r w:rsidRPr="0031675F">
        <w:rPr>
          <w:spacing w:val="16"/>
        </w:rPr>
        <w:t xml:space="preserve"> </w:t>
      </w:r>
      <w:r w:rsidRPr="0031675F">
        <w:rPr>
          <w:spacing w:val="-1"/>
        </w:rPr>
        <w:t>amines</w:t>
      </w:r>
      <w:r w:rsidRPr="0031675F">
        <w:rPr>
          <w:spacing w:val="18"/>
        </w:rPr>
        <w:t xml:space="preserve"> </w:t>
      </w:r>
      <w:r w:rsidRPr="0031675F">
        <w:rPr>
          <w:spacing w:val="-1"/>
        </w:rPr>
        <w:t>(e.g.</w:t>
      </w:r>
      <w:r w:rsidRPr="0031675F">
        <w:rPr>
          <w:spacing w:val="17"/>
        </w:rPr>
        <w:t xml:space="preserve"> </w:t>
      </w:r>
      <w:r w:rsidRPr="0031675F">
        <w:rPr>
          <w:spacing w:val="-1"/>
        </w:rPr>
        <w:t>amino</w:t>
      </w:r>
      <w:r w:rsidRPr="0031675F">
        <w:rPr>
          <w:spacing w:val="19"/>
        </w:rPr>
        <w:t xml:space="preserve"> </w:t>
      </w:r>
      <w:r w:rsidRPr="0031675F">
        <w:rPr>
          <w:spacing w:val="-1"/>
        </w:rPr>
        <w:t>acids)</w:t>
      </w:r>
      <w:r w:rsidRPr="0031675F">
        <w:rPr>
          <w:spacing w:val="16"/>
        </w:rPr>
        <w:t xml:space="preserve"> </w:t>
      </w:r>
      <w:r w:rsidRPr="0031675F">
        <w:t>in</w:t>
      </w:r>
      <w:r w:rsidRPr="0031675F">
        <w:rPr>
          <w:spacing w:val="14"/>
        </w:rPr>
        <w:t xml:space="preserve"> </w:t>
      </w:r>
      <w:r w:rsidRPr="0031675F">
        <w:rPr>
          <w:spacing w:val="-1"/>
        </w:rPr>
        <w:t>marine</w:t>
      </w:r>
      <w:r w:rsidRPr="0031675F">
        <w:rPr>
          <w:spacing w:val="18"/>
        </w:rPr>
        <w:t xml:space="preserve"> </w:t>
      </w:r>
      <w:r w:rsidRPr="0031675F">
        <w:rPr>
          <w:spacing w:val="-1"/>
        </w:rPr>
        <w:t>and</w:t>
      </w:r>
      <w:r w:rsidRPr="0031675F">
        <w:rPr>
          <w:spacing w:val="14"/>
        </w:rPr>
        <w:t xml:space="preserve"> </w:t>
      </w:r>
      <w:r w:rsidRPr="0031675F">
        <w:rPr>
          <w:spacing w:val="-1"/>
        </w:rPr>
        <w:t>freshwaters.</w:t>
      </w:r>
      <w:r w:rsidRPr="0031675F">
        <w:rPr>
          <w:spacing w:val="31"/>
        </w:rPr>
        <w:t xml:space="preserve"> </w:t>
      </w:r>
      <w:r w:rsidRPr="0031675F">
        <w:t>In</w:t>
      </w:r>
      <w:r w:rsidRPr="0031675F">
        <w:rPr>
          <w:spacing w:val="16"/>
        </w:rPr>
        <w:t xml:space="preserve"> </w:t>
      </w:r>
      <w:r w:rsidRPr="0031675F">
        <w:rPr>
          <w:spacing w:val="-1"/>
        </w:rPr>
        <w:t>these</w:t>
      </w:r>
      <w:r w:rsidRPr="0031675F">
        <w:rPr>
          <w:spacing w:val="16"/>
        </w:rPr>
        <w:t xml:space="preserve"> </w:t>
      </w:r>
      <w:r w:rsidRPr="0031675F">
        <w:t>cases,</w:t>
      </w:r>
      <w:r w:rsidRPr="0031675F">
        <w:rPr>
          <w:spacing w:val="16"/>
        </w:rPr>
        <w:t xml:space="preserve"> </w:t>
      </w:r>
      <w:r w:rsidRPr="0031675F">
        <w:rPr>
          <w:spacing w:val="-1"/>
        </w:rPr>
        <w:t>ammonium</w:t>
      </w:r>
      <w:r w:rsidRPr="0031675F">
        <w:rPr>
          <w:spacing w:val="18"/>
        </w:rPr>
        <w:t xml:space="preserve"> </w:t>
      </w:r>
      <w:r w:rsidRPr="0031675F">
        <w:rPr>
          <w:spacing w:val="-2"/>
        </w:rPr>
        <w:t>is</w:t>
      </w:r>
      <w:r w:rsidRPr="0031675F">
        <w:rPr>
          <w:spacing w:val="55"/>
        </w:rPr>
        <w:t xml:space="preserve"> </w:t>
      </w:r>
      <w:r w:rsidRPr="0031675F">
        <w:rPr>
          <w:spacing w:val="-1"/>
        </w:rPr>
        <w:t>considered</w:t>
      </w:r>
      <w:r w:rsidRPr="0031675F">
        <w:rPr>
          <w:spacing w:val="2"/>
        </w:rPr>
        <w:t xml:space="preserve"> </w:t>
      </w:r>
      <w:r w:rsidRPr="0031675F">
        <w:t>a</w:t>
      </w:r>
      <w:r w:rsidRPr="0031675F">
        <w:rPr>
          <w:spacing w:val="2"/>
        </w:rPr>
        <w:t xml:space="preserve"> </w:t>
      </w:r>
      <w:r w:rsidRPr="0031675F">
        <w:rPr>
          <w:spacing w:val="-1"/>
        </w:rPr>
        <w:t>contaminant.</w:t>
      </w:r>
      <w:r w:rsidRPr="0031675F">
        <w:rPr>
          <w:spacing w:val="3"/>
        </w:rPr>
        <w:t xml:space="preserve"> </w:t>
      </w:r>
      <w:r w:rsidRPr="0031675F">
        <w:t>By</w:t>
      </w:r>
      <w:r w:rsidRPr="0031675F">
        <w:rPr>
          <w:spacing w:val="3"/>
        </w:rPr>
        <w:t xml:space="preserve"> </w:t>
      </w:r>
      <w:r w:rsidRPr="0031675F">
        <w:rPr>
          <w:spacing w:val="-1"/>
        </w:rPr>
        <w:t>altering</w:t>
      </w:r>
      <w:r w:rsidRPr="0031675F">
        <w:rPr>
          <w:spacing w:val="2"/>
        </w:rPr>
        <w:t xml:space="preserve"> </w:t>
      </w:r>
      <w:r w:rsidRPr="0031675F">
        <w:t>the</w:t>
      </w:r>
      <w:r w:rsidRPr="0031675F">
        <w:rPr>
          <w:spacing w:val="3"/>
        </w:rPr>
        <w:t xml:space="preserve"> </w:t>
      </w:r>
      <w:r w:rsidRPr="0031675F">
        <w:rPr>
          <w:spacing w:val="-1"/>
        </w:rPr>
        <w:t>reagents</w:t>
      </w:r>
      <w:r w:rsidRPr="0031675F">
        <w:rPr>
          <w:spacing w:val="2"/>
        </w:rPr>
        <w:t xml:space="preserve"> </w:t>
      </w:r>
      <w:r w:rsidRPr="0031675F">
        <w:rPr>
          <w:spacing w:val="-2"/>
        </w:rPr>
        <w:t>and</w:t>
      </w:r>
      <w:r w:rsidRPr="0031675F">
        <w:rPr>
          <w:spacing w:val="2"/>
        </w:rPr>
        <w:t xml:space="preserve"> </w:t>
      </w:r>
      <w:r w:rsidRPr="0031675F">
        <w:t>reaction</w:t>
      </w:r>
      <w:r w:rsidRPr="0031675F">
        <w:rPr>
          <w:spacing w:val="2"/>
        </w:rPr>
        <w:t xml:space="preserve"> </w:t>
      </w:r>
      <w:r w:rsidRPr="0031675F">
        <w:rPr>
          <w:spacing w:val="-1"/>
        </w:rPr>
        <w:t>conditions,</w:t>
      </w:r>
      <w:r w:rsidRPr="0031675F">
        <w:rPr>
          <w:spacing w:val="2"/>
        </w:rPr>
        <w:t xml:space="preserve"> </w:t>
      </w:r>
      <w:r w:rsidRPr="0031675F">
        <w:rPr>
          <w:spacing w:val="-1"/>
        </w:rPr>
        <w:t>this</w:t>
      </w:r>
      <w:r w:rsidRPr="0031675F">
        <w:t xml:space="preserve"> </w:t>
      </w:r>
      <w:r w:rsidRPr="0031675F">
        <w:rPr>
          <w:spacing w:val="-1"/>
        </w:rPr>
        <w:t>method</w:t>
      </w:r>
      <w:r w:rsidRPr="0031675F">
        <w:rPr>
          <w:spacing w:val="2"/>
        </w:rPr>
        <w:t xml:space="preserve"> </w:t>
      </w:r>
      <w:r w:rsidRPr="0031675F">
        <w:rPr>
          <w:spacing w:val="-1"/>
        </w:rPr>
        <w:t>inhibits</w:t>
      </w:r>
      <w:r w:rsidRPr="0031675F">
        <w:rPr>
          <w:spacing w:val="2"/>
        </w:rPr>
        <w:t xml:space="preserve"> </w:t>
      </w:r>
      <w:r w:rsidRPr="0031675F">
        <w:t>the</w:t>
      </w:r>
      <w:r w:rsidRPr="0031675F">
        <w:rPr>
          <w:spacing w:val="75"/>
        </w:rPr>
        <w:t xml:space="preserve"> </w:t>
      </w:r>
      <w:r w:rsidRPr="0031675F">
        <w:rPr>
          <w:spacing w:val="-1"/>
        </w:rPr>
        <w:t>reaction</w:t>
      </w:r>
      <w:r w:rsidRPr="0031675F">
        <w:rPr>
          <w:spacing w:val="34"/>
        </w:rPr>
        <w:t xml:space="preserve"> </w:t>
      </w:r>
      <w:r w:rsidRPr="0031675F">
        <w:t>of</w:t>
      </w:r>
      <w:r w:rsidRPr="0031675F">
        <w:rPr>
          <w:spacing w:val="34"/>
        </w:rPr>
        <w:t xml:space="preserve"> </w:t>
      </w:r>
      <w:r w:rsidRPr="0031675F">
        <w:rPr>
          <w:spacing w:val="-1"/>
        </w:rPr>
        <w:t>OPA</w:t>
      </w:r>
      <w:r w:rsidRPr="0031675F">
        <w:rPr>
          <w:spacing w:val="36"/>
        </w:rPr>
        <w:t xml:space="preserve"> </w:t>
      </w:r>
      <w:r w:rsidRPr="0031675F">
        <w:t>with</w:t>
      </w:r>
      <w:r w:rsidRPr="0031675F">
        <w:rPr>
          <w:spacing w:val="35"/>
        </w:rPr>
        <w:t xml:space="preserve"> </w:t>
      </w:r>
      <w:r w:rsidRPr="0031675F">
        <w:rPr>
          <w:spacing w:val="-2"/>
        </w:rPr>
        <w:t>bound</w:t>
      </w:r>
      <w:r w:rsidRPr="0031675F">
        <w:rPr>
          <w:spacing w:val="35"/>
        </w:rPr>
        <w:t xml:space="preserve"> </w:t>
      </w:r>
      <w:r w:rsidRPr="0031675F">
        <w:rPr>
          <w:spacing w:val="-1"/>
        </w:rPr>
        <w:t>primary</w:t>
      </w:r>
      <w:r w:rsidRPr="0031675F">
        <w:rPr>
          <w:spacing w:val="37"/>
        </w:rPr>
        <w:t xml:space="preserve"> </w:t>
      </w:r>
      <w:r w:rsidRPr="0031675F">
        <w:rPr>
          <w:spacing w:val="-1"/>
        </w:rPr>
        <w:t>amines</w:t>
      </w:r>
      <w:r w:rsidRPr="0031675F">
        <w:rPr>
          <w:spacing w:val="34"/>
        </w:rPr>
        <w:t xml:space="preserve"> </w:t>
      </w:r>
      <w:r w:rsidRPr="0031675F">
        <w:rPr>
          <w:spacing w:val="-2"/>
        </w:rPr>
        <w:t>(amino</w:t>
      </w:r>
      <w:r w:rsidRPr="0031675F">
        <w:rPr>
          <w:spacing w:val="36"/>
        </w:rPr>
        <w:t xml:space="preserve"> </w:t>
      </w:r>
      <w:r w:rsidRPr="0031675F">
        <w:rPr>
          <w:spacing w:val="-1"/>
        </w:rPr>
        <w:t>acids)</w:t>
      </w:r>
      <w:r w:rsidRPr="0031675F">
        <w:rPr>
          <w:spacing w:val="34"/>
        </w:rPr>
        <w:t xml:space="preserve"> </w:t>
      </w:r>
      <w:r w:rsidRPr="0031675F">
        <w:rPr>
          <w:spacing w:val="-1"/>
        </w:rPr>
        <w:t>and</w:t>
      </w:r>
      <w:r w:rsidRPr="0031675F">
        <w:rPr>
          <w:spacing w:val="35"/>
        </w:rPr>
        <w:t xml:space="preserve"> </w:t>
      </w:r>
      <w:r w:rsidRPr="0031675F">
        <w:rPr>
          <w:spacing w:val="-1"/>
        </w:rPr>
        <w:t>encourages</w:t>
      </w:r>
      <w:r w:rsidRPr="0031675F">
        <w:rPr>
          <w:spacing w:val="36"/>
        </w:rPr>
        <w:t xml:space="preserve"> </w:t>
      </w:r>
      <w:r w:rsidRPr="0031675F">
        <w:rPr>
          <w:spacing w:val="-1"/>
        </w:rPr>
        <w:t>the</w:t>
      </w:r>
      <w:r w:rsidRPr="0031675F">
        <w:rPr>
          <w:spacing w:val="37"/>
        </w:rPr>
        <w:t xml:space="preserve"> </w:t>
      </w:r>
      <w:r w:rsidRPr="0031675F">
        <w:rPr>
          <w:spacing w:val="-1"/>
        </w:rPr>
        <w:t>binding</w:t>
      </w:r>
      <w:r w:rsidRPr="0031675F">
        <w:rPr>
          <w:spacing w:val="35"/>
        </w:rPr>
        <w:t xml:space="preserve"> </w:t>
      </w:r>
      <w:r w:rsidRPr="0031675F">
        <w:t>with</w:t>
      </w:r>
      <w:r w:rsidRPr="0031675F">
        <w:rPr>
          <w:spacing w:val="36"/>
        </w:rPr>
        <w:t xml:space="preserve"> </w:t>
      </w:r>
      <w:r w:rsidRPr="0031675F">
        <w:rPr>
          <w:spacing w:val="-1"/>
        </w:rPr>
        <w:t>free</w:t>
      </w:r>
      <w:r w:rsidRPr="0031675F">
        <w:rPr>
          <w:spacing w:val="62"/>
        </w:rPr>
        <w:t xml:space="preserve"> </w:t>
      </w:r>
      <w:r w:rsidRPr="0031675F">
        <w:rPr>
          <w:spacing w:val="-1"/>
        </w:rPr>
        <w:t>ammonium.</w:t>
      </w:r>
    </w:p>
    <w:p w14:paraId="2C06CD98" w14:textId="77777777" w:rsidR="0031675F" w:rsidRPr="0031675F" w:rsidRDefault="0031675F" w:rsidP="0031675F">
      <w:pPr>
        <w:spacing w:before="11"/>
        <w:rPr>
          <w:rFonts w:cs="Calibri"/>
          <w:sz w:val="21"/>
          <w:szCs w:val="21"/>
        </w:rPr>
      </w:pPr>
    </w:p>
    <w:p w14:paraId="1C0A05C1" w14:textId="77777777" w:rsidR="0031675F" w:rsidRPr="0031675F" w:rsidRDefault="0031675F" w:rsidP="0031675F">
      <w:pPr>
        <w:widowControl w:val="0"/>
        <w:numPr>
          <w:ilvl w:val="1"/>
          <w:numId w:val="121"/>
        </w:numPr>
        <w:tabs>
          <w:tab w:val="left" w:pos="706"/>
        </w:tabs>
        <w:spacing w:before="0" w:after="0" w:line="240" w:lineRule="auto"/>
        <w:jc w:val="both"/>
        <w:rPr>
          <w:rFonts w:eastAsia="Arial" w:cs="Arial"/>
          <w:sz w:val="24"/>
          <w:szCs w:val="24"/>
        </w:rPr>
      </w:pPr>
      <w:r w:rsidRPr="0031675F">
        <w:rPr>
          <w:b/>
          <w:sz w:val="24"/>
        </w:rPr>
        <w:t>Sample</w:t>
      </w:r>
      <w:r w:rsidRPr="0031675F">
        <w:rPr>
          <w:b/>
          <w:spacing w:val="2"/>
          <w:sz w:val="24"/>
        </w:rPr>
        <w:t xml:space="preserve"> </w:t>
      </w:r>
      <w:r w:rsidRPr="0031675F">
        <w:rPr>
          <w:b/>
          <w:spacing w:val="-1"/>
          <w:sz w:val="24"/>
        </w:rPr>
        <w:t>handling</w:t>
      </w:r>
      <w:r w:rsidRPr="0031675F">
        <w:rPr>
          <w:b/>
          <w:sz w:val="24"/>
        </w:rPr>
        <w:t xml:space="preserve"> and</w:t>
      </w:r>
      <w:r w:rsidRPr="0031675F">
        <w:rPr>
          <w:b/>
          <w:spacing w:val="-2"/>
          <w:sz w:val="24"/>
        </w:rPr>
        <w:t xml:space="preserve"> </w:t>
      </w:r>
      <w:r w:rsidRPr="0031675F">
        <w:rPr>
          <w:b/>
          <w:spacing w:val="-1"/>
          <w:sz w:val="24"/>
        </w:rPr>
        <w:t>processing</w:t>
      </w:r>
      <w:r w:rsidRPr="0031675F">
        <w:rPr>
          <w:b/>
          <w:spacing w:val="1"/>
          <w:sz w:val="24"/>
        </w:rPr>
        <w:t xml:space="preserve"> </w:t>
      </w:r>
      <w:r w:rsidRPr="0031675F">
        <w:rPr>
          <w:b/>
          <w:spacing w:val="-1"/>
          <w:sz w:val="24"/>
        </w:rPr>
        <w:t>protocols</w:t>
      </w:r>
    </w:p>
    <w:p w14:paraId="478B862B" w14:textId="77777777" w:rsidR="0031675F" w:rsidRPr="0031675F" w:rsidRDefault="0031675F" w:rsidP="0031675F">
      <w:pPr>
        <w:spacing w:before="1"/>
        <w:rPr>
          <w:rFonts w:eastAsia="Arial" w:cs="Arial"/>
          <w:b/>
          <w:bCs/>
          <w:sz w:val="19"/>
          <w:szCs w:val="19"/>
        </w:rPr>
      </w:pPr>
    </w:p>
    <w:p w14:paraId="4EA6FD48" w14:textId="0C98F7A7" w:rsidR="0031675F" w:rsidRPr="0031675F" w:rsidRDefault="0031675F" w:rsidP="0031675F">
      <w:pPr>
        <w:spacing w:after="120" w:line="237" w:lineRule="auto"/>
        <w:ind w:left="138" w:right="129"/>
        <w:jc w:val="both"/>
      </w:pPr>
      <w:r w:rsidRPr="0031675F">
        <w:rPr>
          <w:noProof/>
          <w:lang w:eastAsia="en-AU"/>
        </w:rPr>
        <mc:AlternateContent>
          <mc:Choice Requires="wps">
            <w:drawing>
              <wp:anchor distT="0" distB="0" distL="114300" distR="114300" simplePos="0" relativeHeight="251608064" behindDoc="1" locked="0" layoutInCell="1" allowOverlap="1" wp14:anchorId="4AFD3454" wp14:editId="6ECD5075">
                <wp:simplePos x="0" y="0"/>
                <wp:positionH relativeFrom="page">
                  <wp:posOffset>1821180</wp:posOffset>
                </wp:positionH>
                <wp:positionV relativeFrom="paragraph">
                  <wp:posOffset>100330</wp:posOffset>
                </wp:positionV>
                <wp:extent cx="45085" cy="88900"/>
                <wp:effectExtent l="0" t="0" r="12065" b="6350"/>
                <wp:wrapNone/>
                <wp:docPr id="4" name="Text Box 90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89C271" w14:textId="77777777" w:rsidR="00CB53E4" w:rsidRDefault="00CB53E4" w:rsidP="0031675F">
                            <w:pPr>
                              <w:spacing w:line="139" w:lineRule="exact"/>
                              <w:rPr>
                                <w:rFonts w:cs="Calibri"/>
                                <w:sz w:val="14"/>
                                <w:szCs w:val="14"/>
                              </w:rPr>
                            </w:pPr>
                            <w:r>
                              <w:rPr>
                                <w:w w:val="95"/>
                                <w:sz w:val="14"/>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FD3454" id="Text Box 9070" o:spid="_x0000_s1033" type="#_x0000_t202" style="position:absolute;left:0;text-align:left;margin-left:143.4pt;margin-top:7.9pt;width:3.55pt;height:7pt;z-index:-251708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" filled="f" stroked="f">
                <v:textbox inset="0,0,0,0">
                  <w:txbxContent>
                    <w:p w14:paraId="4289C271" w14:textId="77777777" w:rsidR="00CB53E4" w:rsidRDefault="00CB53E4" w:rsidP="0031675F">
                      <w:pPr>
                        <w:spacing w:line="139" w:lineRule="exact"/>
                        <w:rPr>
                          <w:rFonts w:cs="Calibri"/>
                          <w:sz w:val="14"/>
                          <w:szCs w:val="14"/>
                        </w:rPr>
                      </w:pPr>
                      <w:r>
                        <w:rPr>
                          <w:w w:val="95"/>
                          <w:sz w:val="14"/>
                        </w:rPr>
                        <w:t>4</w:t>
                      </w:r>
                    </w:p>
                  </w:txbxContent>
                </v:textbox>
                <w10:wrap anchorx="page"/>
              </v:shape>
            </w:pict>
          </mc:Fallback>
        </mc:AlternateContent>
      </w:r>
      <w:r w:rsidRPr="0031675F">
        <w:rPr>
          <w:spacing w:val="-1"/>
        </w:rPr>
        <w:t>Ammonium</w:t>
      </w:r>
      <w:r w:rsidRPr="0031675F">
        <w:t xml:space="preserve"> </w:t>
      </w:r>
      <w:r w:rsidRPr="0031675F">
        <w:rPr>
          <w:spacing w:val="-1"/>
        </w:rPr>
        <w:t>(NH</w:t>
      </w:r>
      <w:r w:rsidR="00BB13FD" w:rsidRPr="00BB13FD">
        <w:rPr>
          <w:spacing w:val="19"/>
          <w:vertAlign w:val="subscript"/>
        </w:rPr>
        <w:t>4</w:t>
      </w:r>
      <w:r w:rsidRPr="0031675F">
        <w:rPr>
          <w:position w:val="10"/>
          <w:sz w:val="14"/>
        </w:rPr>
        <w:t>+</w:t>
      </w:r>
      <w:r w:rsidRPr="0031675F">
        <w:t>) is the</w:t>
      </w:r>
      <w:r w:rsidRPr="0031675F">
        <w:rPr>
          <w:spacing w:val="-2"/>
        </w:rPr>
        <w:t xml:space="preserve"> </w:t>
      </w:r>
      <w:r w:rsidRPr="0031675F">
        <w:rPr>
          <w:spacing w:val="-1"/>
        </w:rPr>
        <w:t>preferred</w:t>
      </w:r>
      <w:r w:rsidRPr="0031675F">
        <w:rPr>
          <w:spacing w:val="1"/>
        </w:rPr>
        <w:t xml:space="preserve"> </w:t>
      </w:r>
      <w:r w:rsidRPr="0031675F">
        <w:rPr>
          <w:spacing w:val="-1"/>
        </w:rPr>
        <w:t>nitrogen</w:t>
      </w:r>
      <w:r w:rsidRPr="0031675F">
        <w:rPr>
          <w:spacing w:val="-3"/>
        </w:rPr>
        <w:t xml:space="preserve"> </w:t>
      </w:r>
      <w:r w:rsidRPr="0031675F">
        <w:rPr>
          <w:spacing w:val="-1"/>
        </w:rPr>
        <w:t>source</w:t>
      </w:r>
      <w:r w:rsidRPr="0031675F">
        <w:t xml:space="preserve"> </w:t>
      </w:r>
      <w:r w:rsidRPr="0031675F">
        <w:rPr>
          <w:spacing w:val="-1"/>
        </w:rPr>
        <w:t>for</w:t>
      </w:r>
      <w:r w:rsidRPr="0031675F">
        <w:rPr>
          <w:spacing w:val="-3"/>
        </w:rPr>
        <w:t xml:space="preserve"> </w:t>
      </w:r>
      <w:r w:rsidRPr="0031675F">
        <w:t xml:space="preserve">all </w:t>
      </w:r>
      <w:r w:rsidRPr="0031675F">
        <w:rPr>
          <w:spacing w:val="-1"/>
        </w:rPr>
        <w:t>marine</w:t>
      </w:r>
      <w:r w:rsidRPr="0031675F">
        <w:t xml:space="preserve"> </w:t>
      </w:r>
      <w:r w:rsidRPr="0031675F">
        <w:rPr>
          <w:spacing w:val="-1"/>
        </w:rPr>
        <w:t>plants</w:t>
      </w:r>
      <w:r w:rsidRPr="0031675F">
        <w:rPr>
          <w:spacing w:val="1"/>
        </w:rPr>
        <w:t xml:space="preserve"> </w:t>
      </w:r>
      <w:r w:rsidRPr="0031675F">
        <w:rPr>
          <w:spacing w:val="-1"/>
        </w:rPr>
        <w:t>(macro-algae,</w:t>
      </w:r>
      <w:r w:rsidRPr="0031675F">
        <w:rPr>
          <w:spacing w:val="1"/>
        </w:rPr>
        <w:t xml:space="preserve"> </w:t>
      </w:r>
      <w:r w:rsidRPr="0031675F">
        <w:rPr>
          <w:spacing w:val="-1"/>
        </w:rPr>
        <w:t>seagrasses</w:t>
      </w:r>
      <w:r w:rsidRPr="0031675F">
        <w:rPr>
          <w:spacing w:val="1"/>
        </w:rPr>
        <w:t xml:space="preserve"> </w:t>
      </w:r>
      <w:r w:rsidRPr="0031675F">
        <w:rPr>
          <w:spacing w:val="-1"/>
        </w:rPr>
        <w:t>and</w:t>
      </w:r>
      <w:r w:rsidRPr="0031675F">
        <w:rPr>
          <w:spacing w:val="53"/>
        </w:rPr>
        <w:t xml:space="preserve"> </w:t>
      </w:r>
      <w:r w:rsidRPr="0031675F">
        <w:rPr>
          <w:spacing w:val="-1"/>
        </w:rPr>
        <w:t>phytoplankton)</w:t>
      </w:r>
      <w:r w:rsidRPr="0031675F">
        <w:rPr>
          <w:spacing w:val="7"/>
        </w:rPr>
        <w:t xml:space="preserve"> </w:t>
      </w:r>
      <w:r w:rsidRPr="0031675F">
        <w:rPr>
          <w:spacing w:val="-1"/>
        </w:rPr>
        <w:t>and</w:t>
      </w:r>
      <w:r w:rsidRPr="0031675F">
        <w:rPr>
          <w:spacing w:val="6"/>
        </w:rPr>
        <w:t xml:space="preserve"> </w:t>
      </w:r>
      <w:r w:rsidRPr="0031675F">
        <w:rPr>
          <w:spacing w:val="-1"/>
        </w:rPr>
        <w:t>bacteria.</w:t>
      </w:r>
      <w:r w:rsidRPr="0031675F">
        <w:rPr>
          <w:spacing w:val="14"/>
        </w:rPr>
        <w:t xml:space="preserve"> </w:t>
      </w:r>
      <w:r w:rsidRPr="0031675F">
        <w:t>It</w:t>
      </w:r>
      <w:r w:rsidRPr="0031675F">
        <w:rPr>
          <w:spacing w:val="7"/>
        </w:rPr>
        <w:t xml:space="preserve"> </w:t>
      </w:r>
      <w:r w:rsidRPr="0031675F">
        <w:t>is</w:t>
      </w:r>
      <w:r w:rsidRPr="0031675F">
        <w:rPr>
          <w:spacing w:val="7"/>
        </w:rPr>
        <w:t xml:space="preserve"> </w:t>
      </w:r>
      <w:r w:rsidRPr="0031675F">
        <w:t>the</w:t>
      </w:r>
      <w:r w:rsidRPr="0031675F">
        <w:rPr>
          <w:spacing w:val="7"/>
        </w:rPr>
        <w:t xml:space="preserve"> </w:t>
      </w:r>
      <w:r w:rsidRPr="0031675F">
        <w:rPr>
          <w:spacing w:val="-1"/>
        </w:rPr>
        <w:t>primary</w:t>
      </w:r>
      <w:r w:rsidRPr="0031675F">
        <w:rPr>
          <w:spacing w:val="8"/>
        </w:rPr>
        <w:t xml:space="preserve"> </w:t>
      </w:r>
      <w:r w:rsidRPr="0031675F">
        <w:rPr>
          <w:spacing w:val="-2"/>
        </w:rPr>
        <w:t>form</w:t>
      </w:r>
      <w:r w:rsidRPr="0031675F">
        <w:rPr>
          <w:spacing w:val="8"/>
        </w:rPr>
        <w:t xml:space="preserve"> </w:t>
      </w:r>
      <w:r w:rsidRPr="0031675F">
        <w:t>of</w:t>
      </w:r>
      <w:r w:rsidRPr="0031675F">
        <w:rPr>
          <w:spacing w:val="5"/>
        </w:rPr>
        <w:t xml:space="preserve"> </w:t>
      </w:r>
      <w:r w:rsidRPr="0031675F">
        <w:t>N</w:t>
      </w:r>
      <w:r w:rsidRPr="0031675F">
        <w:rPr>
          <w:spacing w:val="6"/>
        </w:rPr>
        <w:t xml:space="preserve"> </w:t>
      </w:r>
      <w:r w:rsidRPr="0031675F">
        <w:rPr>
          <w:spacing w:val="-1"/>
        </w:rPr>
        <w:t>excreted</w:t>
      </w:r>
      <w:r w:rsidRPr="0031675F">
        <w:rPr>
          <w:spacing w:val="6"/>
        </w:rPr>
        <w:t xml:space="preserve"> </w:t>
      </w:r>
      <w:r w:rsidRPr="0031675F">
        <w:rPr>
          <w:spacing w:val="-1"/>
        </w:rPr>
        <w:t>by</w:t>
      </w:r>
      <w:r w:rsidRPr="0031675F">
        <w:rPr>
          <w:spacing w:val="6"/>
        </w:rPr>
        <w:t xml:space="preserve"> </w:t>
      </w:r>
      <w:r w:rsidRPr="0031675F">
        <w:rPr>
          <w:spacing w:val="-1"/>
        </w:rPr>
        <w:t>most</w:t>
      </w:r>
      <w:r w:rsidRPr="0031675F">
        <w:rPr>
          <w:spacing w:val="5"/>
        </w:rPr>
        <w:t xml:space="preserve"> </w:t>
      </w:r>
      <w:r w:rsidRPr="0031675F">
        <w:rPr>
          <w:spacing w:val="-1"/>
        </w:rPr>
        <w:t>marine</w:t>
      </w:r>
      <w:r w:rsidRPr="0031675F">
        <w:rPr>
          <w:spacing w:val="8"/>
        </w:rPr>
        <w:t xml:space="preserve"> </w:t>
      </w:r>
      <w:r w:rsidRPr="0031675F">
        <w:rPr>
          <w:spacing w:val="-1"/>
        </w:rPr>
        <w:t>animals.</w:t>
      </w:r>
      <w:r w:rsidRPr="0031675F">
        <w:t xml:space="preserve"> </w:t>
      </w:r>
      <w:r w:rsidRPr="0031675F">
        <w:rPr>
          <w:spacing w:val="14"/>
        </w:rPr>
        <w:t xml:space="preserve"> </w:t>
      </w:r>
      <w:r w:rsidRPr="0031675F">
        <w:rPr>
          <w:spacing w:val="-1"/>
        </w:rPr>
        <w:t>Because</w:t>
      </w:r>
      <w:r w:rsidRPr="0031675F">
        <w:rPr>
          <w:spacing w:val="85"/>
        </w:rPr>
        <w:t xml:space="preserve"> </w:t>
      </w:r>
      <w:r w:rsidRPr="0031675F">
        <w:t>of</w:t>
      </w:r>
      <w:r w:rsidRPr="0031675F">
        <w:rPr>
          <w:spacing w:val="18"/>
        </w:rPr>
        <w:t xml:space="preserve"> </w:t>
      </w:r>
      <w:r w:rsidRPr="0031675F">
        <w:rPr>
          <w:spacing w:val="-1"/>
        </w:rPr>
        <w:t>active</w:t>
      </w:r>
      <w:r w:rsidRPr="0031675F">
        <w:rPr>
          <w:spacing w:val="20"/>
        </w:rPr>
        <w:t xml:space="preserve"> </w:t>
      </w:r>
      <w:r w:rsidRPr="0031675F">
        <w:rPr>
          <w:spacing w:val="-1"/>
        </w:rPr>
        <w:t>demand</w:t>
      </w:r>
      <w:r w:rsidRPr="0031675F">
        <w:rPr>
          <w:spacing w:val="18"/>
        </w:rPr>
        <w:t xml:space="preserve"> </w:t>
      </w:r>
      <w:r w:rsidRPr="0031675F">
        <w:rPr>
          <w:spacing w:val="-1"/>
        </w:rPr>
        <w:t>for</w:t>
      </w:r>
      <w:r w:rsidRPr="0031675F">
        <w:rPr>
          <w:spacing w:val="19"/>
        </w:rPr>
        <w:t xml:space="preserve"> </w:t>
      </w:r>
      <w:r w:rsidRPr="0031675F">
        <w:t>N</w:t>
      </w:r>
      <w:r w:rsidRPr="0031675F">
        <w:rPr>
          <w:spacing w:val="18"/>
        </w:rPr>
        <w:t xml:space="preserve"> </w:t>
      </w:r>
      <w:r w:rsidRPr="0031675F">
        <w:rPr>
          <w:spacing w:val="-1"/>
        </w:rPr>
        <w:t>by</w:t>
      </w:r>
      <w:r w:rsidRPr="0031675F">
        <w:rPr>
          <w:spacing w:val="18"/>
        </w:rPr>
        <w:t xml:space="preserve"> </w:t>
      </w:r>
      <w:r w:rsidRPr="0031675F">
        <w:rPr>
          <w:spacing w:val="-1"/>
        </w:rPr>
        <w:t>marine</w:t>
      </w:r>
      <w:r w:rsidRPr="0031675F">
        <w:rPr>
          <w:spacing w:val="20"/>
        </w:rPr>
        <w:t xml:space="preserve"> </w:t>
      </w:r>
      <w:r w:rsidRPr="0031675F">
        <w:rPr>
          <w:spacing w:val="-1"/>
        </w:rPr>
        <w:t>plants</w:t>
      </w:r>
      <w:r w:rsidRPr="0031675F">
        <w:rPr>
          <w:spacing w:val="20"/>
        </w:rPr>
        <w:t xml:space="preserve"> </w:t>
      </w:r>
      <w:r w:rsidRPr="0031675F">
        <w:rPr>
          <w:spacing w:val="-1"/>
        </w:rPr>
        <w:t>and</w:t>
      </w:r>
      <w:r w:rsidRPr="0031675F">
        <w:rPr>
          <w:spacing w:val="18"/>
        </w:rPr>
        <w:t xml:space="preserve"> </w:t>
      </w:r>
      <w:r w:rsidRPr="0031675F">
        <w:rPr>
          <w:spacing w:val="-1"/>
        </w:rPr>
        <w:t>bacteria,</w:t>
      </w:r>
      <w:r w:rsidRPr="0031675F">
        <w:rPr>
          <w:spacing w:val="19"/>
        </w:rPr>
        <w:t xml:space="preserve"> </w:t>
      </w:r>
      <w:r w:rsidRPr="0031675F">
        <w:rPr>
          <w:spacing w:val="-1"/>
        </w:rPr>
        <w:t>natural</w:t>
      </w:r>
      <w:r w:rsidRPr="0031675F">
        <w:rPr>
          <w:spacing w:val="19"/>
        </w:rPr>
        <w:t xml:space="preserve"> </w:t>
      </w:r>
      <w:r w:rsidRPr="0031675F">
        <w:rPr>
          <w:spacing w:val="-1"/>
        </w:rPr>
        <w:t>concentrations</w:t>
      </w:r>
      <w:r w:rsidRPr="0031675F">
        <w:rPr>
          <w:spacing w:val="19"/>
        </w:rPr>
        <w:t xml:space="preserve"> </w:t>
      </w:r>
      <w:r w:rsidRPr="0031675F">
        <w:t>of</w:t>
      </w:r>
      <w:r w:rsidRPr="0031675F">
        <w:rPr>
          <w:spacing w:val="19"/>
        </w:rPr>
        <w:t xml:space="preserve"> </w:t>
      </w:r>
      <w:r w:rsidRPr="0031675F">
        <w:t>NH</w:t>
      </w:r>
      <w:r w:rsidRPr="0031675F">
        <w:rPr>
          <w:position w:val="-2"/>
          <w:sz w:val="14"/>
        </w:rPr>
        <w:t>4</w:t>
      </w:r>
      <w:r w:rsidRPr="0031675F">
        <w:t>-N</w:t>
      </w:r>
      <w:r w:rsidRPr="0031675F">
        <w:rPr>
          <w:spacing w:val="18"/>
        </w:rPr>
        <w:t xml:space="preserve"> </w:t>
      </w:r>
      <w:r w:rsidRPr="0031675F">
        <w:t>are</w:t>
      </w:r>
      <w:r w:rsidRPr="0031675F">
        <w:rPr>
          <w:spacing w:val="19"/>
        </w:rPr>
        <w:t xml:space="preserve"> </w:t>
      </w:r>
      <w:r w:rsidRPr="0031675F">
        <w:rPr>
          <w:spacing w:val="-1"/>
        </w:rPr>
        <w:t>usually</w:t>
      </w:r>
      <w:r w:rsidRPr="0031675F">
        <w:rPr>
          <w:spacing w:val="99"/>
        </w:rPr>
        <w:t xml:space="preserve"> </w:t>
      </w:r>
      <w:r w:rsidRPr="0031675F">
        <w:rPr>
          <w:spacing w:val="-1"/>
        </w:rPr>
        <w:t>very</w:t>
      </w:r>
      <w:r w:rsidRPr="0031675F">
        <w:rPr>
          <w:spacing w:val="24"/>
        </w:rPr>
        <w:t xml:space="preserve"> </w:t>
      </w:r>
      <w:r w:rsidRPr="0031675F">
        <w:t>low</w:t>
      </w:r>
      <w:r w:rsidRPr="0031675F">
        <w:rPr>
          <w:spacing w:val="25"/>
        </w:rPr>
        <w:t xml:space="preserve"> </w:t>
      </w:r>
      <w:r w:rsidRPr="0031675F">
        <w:rPr>
          <w:spacing w:val="-1"/>
        </w:rPr>
        <w:t>(&lt;0.1</w:t>
      </w:r>
      <w:r w:rsidRPr="0031675F">
        <w:rPr>
          <w:spacing w:val="22"/>
        </w:rPr>
        <w:t xml:space="preserve"> </w:t>
      </w:r>
      <w:r w:rsidRPr="0031675F">
        <w:rPr>
          <w:spacing w:val="-1"/>
        </w:rPr>
        <w:t>µM).</w:t>
      </w:r>
      <w:r w:rsidRPr="0031675F">
        <w:rPr>
          <w:spacing w:val="48"/>
        </w:rPr>
        <w:t xml:space="preserve"> </w:t>
      </w:r>
      <w:r w:rsidRPr="0031675F">
        <w:rPr>
          <w:spacing w:val="-1"/>
        </w:rPr>
        <w:t>Despite</w:t>
      </w:r>
      <w:r w:rsidRPr="0031675F">
        <w:rPr>
          <w:spacing w:val="24"/>
        </w:rPr>
        <w:t xml:space="preserve"> </w:t>
      </w:r>
      <w:r w:rsidRPr="0031675F">
        <w:t>its</w:t>
      </w:r>
      <w:r w:rsidRPr="0031675F">
        <w:rPr>
          <w:spacing w:val="24"/>
        </w:rPr>
        <w:t xml:space="preserve"> </w:t>
      </w:r>
      <w:r w:rsidRPr="0031675F">
        <w:t>low</w:t>
      </w:r>
      <w:r w:rsidRPr="0031675F">
        <w:rPr>
          <w:spacing w:val="24"/>
        </w:rPr>
        <w:t xml:space="preserve"> </w:t>
      </w:r>
      <w:r w:rsidRPr="0031675F">
        <w:rPr>
          <w:spacing w:val="-1"/>
        </w:rPr>
        <w:t>concentration,</w:t>
      </w:r>
      <w:r w:rsidRPr="0031675F">
        <w:rPr>
          <w:spacing w:val="24"/>
        </w:rPr>
        <w:t xml:space="preserve"> </w:t>
      </w:r>
      <w:r w:rsidRPr="0031675F">
        <w:rPr>
          <w:spacing w:val="-1"/>
        </w:rPr>
        <w:t>ammonium</w:t>
      </w:r>
      <w:r w:rsidRPr="0031675F">
        <w:rPr>
          <w:spacing w:val="25"/>
        </w:rPr>
        <w:t xml:space="preserve"> </w:t>
      </w:r>
      <w:r w:rsidRPr="0031675F">
        <w:t>is</w:t>
      </w:r>
      <w:r w:rsidRPr="0031675F">
        <w:rPr>
          <w:spacing w:val="24"/>
        </w:rPr>
        <w:t xml:space="preserve"> </w:t>
      </w:r>
      <w:r w:rsidRPr="0031675F">
        <w:rPr>
          <w:spacing w:val="-1"/>
        </w:rPr>
        <w:t>ubiquitous</w:t>
      </w:r>
      <w:r w:rsidRPr="0031675F">
        <w:rPr>
          <w:spacing w:val="24"/>
        </w:rPr>
        <w:t xml:space="preserve"> </w:t>
      </w:r>
      <w:r w:rsidRPr="0031675F">
        <w:t>in</w:t>
      </w:r>
      <w:r w:rsidRPr="0031675F">
        <w:rPr>
          <w:spacing w:val="23"/>
        </w:rPr>
        <w:t xml:space="preserve"> </w:t>
      </w:r>
      <w:r w:rsidRPr="0031675F">
        <w:rPr>
          <w:spacing w:val="-1"/>
        </w:rPr>
        <w:t>natural</w:t>
      </w:r>
      <w:r w:rsidRPr="0031675F">
        <w:rPr>
          <w:spacing w:val="23"/>
        </w:rPr>
        <w:t xml:space="preserve"> </w:t>
      </w:r>
      <w:r w:rsidRPr="0031675F">
        <w:t>waters,</w:t>
      </w:r>
      <w:r w:rsidRPr="0031675F">
        <w:rPr>
          <w:spacing w:val="24"/>
        </w:rPr>
        <w:t xml:space="preserve"> </w:t>
      </w:r>
      <w:r w:rsidRPr="0031675F">
        <w:t>on</w:t>
      </w:r>
      <w:r w:rsidRPr="0031675F">
        <w:rPr>
          <w:spacing w:val="61"/>
        </w:rPr>
        <w:t xml:space="preserve"> </w:t>
      </w:r>
      <w:r w:rsidRPr="0031675F">
        <w:rPr>
          <w:spacing w:val="-1"/>
        </w:rPr>
        <w:t>surfaces</w:t>
      </w:r>
      <w:r w:rsidRPr="0031675F">
        <w:rPr>
          <w:spacing w:val="34"/>
        </w:rPr>
        <w:t xml:space="preserve"> </w:t>
      </w:r>
      <w:r w:rsidRPr="0031675F">
        <w:rPr>
          <w:spacing w:val="-1"/>
        </w:rPr>
        <w:t>(natural</w:t>
      </w:r>
      <w:r w:rsidRPr="0031675F">
        <w:rPr>
          <w:spacing w:val="33"/>
        </w:rPr>
        <w:t xml:space="preserve"> </w:t>
      </w:r>
      <w:r w:rsidRPr="0031675F">
        <w:rPr>
          <w:spacing w:val="-1"/>
        </w:rPr>
        <w:t>and</w:t>
      </w:r>
      <w:r w:rsidRPr="0031675F">
        <w:rPr>
          <w:spacing w:val="31"/>
        </w:rPr>
        <w:t xml:space="preserve"> </w:t>
      </w:r>
      <w:r w:rsidRPr="0031675F">
        <w:rPr>
          <w:spacing w:val="-1"/>
        </w:rPr>
        <w:t>man-made)</w:t>
      </w:r>
      <w:r w:rsidRPr="0031675F">
        <w:rPr>
          <w:spacing w:val="33"/>
        </w:rPr>
        <w:t xml:space="preserve"> </w:t>
      </w:r>
      <w:r w:rsidRPr="0031675F">
        <w:rPr>
          <w:spacing w:val="-1"/>
        </w:rPr>
        <w:t>and</w:t>
      </w:r>
      <w:r w:rsidRPr="0031675F">
        <w:rPr>
          <w:spacing w:val="33"/>
        </w:rPr>
        <w:t xml:space="preserve"> </w:t>
      </w:r>
      <w:r w:rsidRPr="0031675F">
        <w:t>in</w:t>
      </w:r>
      <w:r w:rsidRPr="0031675F">
        <w:rPr>
          <w:spacing w:val="33"/>
        </w:rPr>
        <w:t xml:space="preserve"> </w:t>
      </w:r>
      <w:r w:rsidRPr="0031675F">
        <w:t>the</w:t>
      </w:r>
      <w:r w:rsidRPr="0031675F">
        <w:rPr>
          <w:spacing w:val="34"/>
        </w:rPr>
        <w:t xml:space="preserve"> </w:t>
      </w:r>
      <w:r w:rsidRPr="0031675F">
        <w:rPr>
          <w:spacing w:val="-1"/>
        </w:rPr>
        <w:t>atmosphere</w:t>
      </w:r>
      <w:r w:rsidRPr="0031675F">
        <w:rPr>
          <w:spacing w:val="33"/>
        </w:rPr>
        <w:t xml:space="preserve"> </w:t>
      </w:r>
      <w:r w:rsidRPr="0031675F">
        <w:rPr>
          <w:spacing w:val="-1"/>
        </w:rPr>
        <w:t>(including</w:t>
      </w:r>
      <w:r w:rsidRPr="0031675F">
        <w:rPr>
          <w:spacing w:val="33"/>
        </w:rPr>
        <w:t xml:space="preserve"> </w:t>
      </w:r>
      <w:r w:rsidRPr="0031675F">
        <w:rPr>
          <w:spacing w:val="-1"/>
        </w:rPr>
        <w:t>tobacco</w:t>
      </w:r>
      <w:r w:rsidRPr="0031675F">
        <w:rPr>
          <w:spacing w:val="35"/>
        </w:rPr>
        <w:t xml:space="preserve"> </w:t>
      </w:r>
      <w:r w:rsidRPr="0031675F">
        <w:rPr>
          <w:spacing w:val="-1"/>
        </w:rPr>
        <w:t>smoke).</w:t>
      </w:r>
      <w:r w:rsidRPr="0031675F">
        <w:rPr>
          <w:spacing w:val="18"/>
        </w:rPr>
        <w:t xml:space="preserve"> </w:t>
      </w:r>
      <w:r w:rsidRPr="0031675F">
        <w:t>As</w:t>
      </w:r>
      <w:r w:rsidRPr="0031675F">
        <w:rPr>
          <w:spacing w:val="32"/>
        </w:rPr>
        <w:t xml:space="preserve"> </w:t>
      </w:r>
      <w:r w:rsidRPr="0031675F">
        <w:t>a</w:t>
      </w:r>
      <w:r w:rsidRPr="0031675F">
        <w:rPr>
          <w:spacing w:val="34"/>
        </w:rPr>
        <w:t xml:space="preserve"> </w:t>
      </w:r>
      <w:r w:rsidRPr="0031675F">
        <w:rPr>
          <w:spacing w:val="-1"/>
        </w:rPr>
        <w:t>result,</w:t>
      </w:r>
      <w:r w:rsidRPr="0031675F">
        <w:rPr>
          <w:spacing w:val="47"/>
        </w:rPr>
        <w:t xml:space="preserve"> </w:t>
      </w:r>
      <w:r w:rsidRPr="0031675F">
        <w:t>water</w:t>
      </w:r>
      <w:r w:rsidRPr="0031675F">
        <w:rPr>
          <w:spacing w:val="24"/>
        </w:rPr>
        <w:t xml:space="preserve"> </w:t>
      </w:r>
      <w:r w:rsidRPr="0031675F">
        <w:rPr>
          <w:spacing w:val="-1"/>
        </w:rPr>
        <w:t>samples,</w:t>
      </w:r>
      <w:r w:rsidRPr="0031675F">
        <w:rPr>
          <w:spacing w:val="25"/>
        </w:rPr>
        <w:t xml:space="preserve"> </w:t>
      </w:r>
      <w:r w:rsidRPr="0031675F">
        <w:rPr>
          <w:spacing w:val="-1"/>
        </w:rPr>
        <w:t>sample</w:t>
      </w:r>
      <w:r w:rsidRPr="0031675F">
        <w:rPr>
          <w:spacing w:val="27"/>
        </w:rPr>
        <w:t xml:space="preserve"> </w:t>
      </w:r>
      <w:r w:rsidRPr="0031675F">
        <w:rPr>
          <w:spacing w:val="-1"/>
        </w:rPr>
        <w:t>containers</w:t>
      </w:r>
      <w:r w:rsidRPr="0031675F">
        <w:rPr>
          <w:spacing w:val="24"/>
        </w:rPr>
        <w:t xml:space="preserve"> </w:t>
      </w:r>
      <w:r w:rsidRPr="0031675F">
        <w:rPr>
          <w:spacing w:val="-1"/>
        </w:rPr>
        <w:t>and</w:t>
      </w:r>
      <w:r w:rsidRPr="0031675F">
        <w:rPr>
          <w:spacing w:val="27"/>
        </w:rPr>
        <w:t xml:space="preserve"> </w:t>
      </w:r>
      <w:r w:rsidRPr="0031675F">
        <w:rPr>
          <w:spacing w:val="-1"/>
        </w:rPr>
        <w:t>labware</w:t>
      </w:r>
      <w:r w:rsidRPr="0031675F">
        <w:rPr>
          <w:spacing w:val="28"/>
        </w:rPr>
        <w:t xml:space="preserve"> </w:t>
      </w:r>
      <w:r w:rsidRPr="0031675F">
        <w:rPr>
          <w:spacing w:val="-2"/>
        </w:rPr>
        <w:t>used</w:t>
      </w:r>
      <w:r w:rsidRPr="0031675F">
        <w:rPr>
          <w:spacing w:val="27"/>
        </w:rPr>
        <w:t xml:space="preserve"> </w:t>
      </w:r>
      <w:r w:rsidRPr="0031675F">
        <w:rPr>
          <w:spacing w:val="-1"/>
        </w:rPr>
        <w:t>for</w:t>
      </w:r>
      <w:r w:rsidRPr="0031675F">
        <w:rPr>
          <w:spacing w:val="26"/>
        </w:rPr>
        <w:t xml:space="preserve"> </w:t>
      </w:r>
      <w:r w:rsidRPr="0031675F">
        <w:rPr>
          <w:spacing w:val="-1"/>
        </w:rPr>
        <w:t>handling</w:t>
      </w:r>
      <w:r w:rsidRPr="0031675F">
        <w:rPr>
          <w:spacing w:val="27"/>
        </w:rPr>
        <w:t xml:space="preserve"> </w:t>
      </w:r>
      <w:r w:rsidRPr="0031675F">
        <w:rPr>
          <w:spacing w:val="-1"/>
        </w:rPr>
        <w:t>water</w:t>
      </w:r>
      <w:r w:rsidRPr="0031675F">
        <w:rPr>
          <w:spacing w:val="25"/>
        </w:rPr>
        <w:t xml:space="preserve"> </w:t>
      </w:r>
      <w:r w:rsidRPr="0031675F">
        <w:rPr>
          <w:spacing w:val="-1"/>
        </w:rPr>
        <w:t>samples</w:t>
      </w:r>
      <w:r w:rsidRPr="0031675F">
        <w:rPr>
          <w:spacing w:val="24"/>
        </w:rPr>
        <w:t xml:space="preserve"> </w:t>
      </w:r>
      <w:r w:rsidRPr="0031675F">
        <w:t>are</w:t>
      </w:r>
      <w:r w:rsidRPr="0031675F">
        <w:rPr>
          <w:spacing w:val="25"/>
        </w:rPr>
        <w:t xml:space="preserve"> </w:t>
      </w:r>
      <w:r w:rsidRPr="0031675F">
        <w:rPr>
          <w:spacing w:val="-1"/>
        </w:rPr>
        <w:t>readily</w:t>
      </w:r>
      <w:r w:rsidRPr="0031675F">
        <w:rPr>
          <w:spacing w:val="59"/>
        </w:rPr>
        <w:t xml:space="preserve"> </w:t>
      </w:r>
      <w:r w:rsidRPr="0031675F">
        <w:rPr>
          <w:spacing w:val="-1"/>
        </w:rPr>
        <w:t>contaminated</w:t>
      </w:r>
      <w:r w:rsidRPr="0031675F">
        <w:rPr>
          <w:spacing w:val="5"/>
        </w:rPr>
        <w:t xml:space="preserve"> </w:t>
      </w:r>
      <w:r w:rsidRPr="0031675F">
        <w:t>with</w:t>
      </w:r>
      <w:r w:rsidRPr="0031675F">
        <w:rPr>
          <w:spacing w:val="9"/>
        </w:rPr>
        <w:t xml:space="preserve"> </w:t>
      </w:r>
      <w:r w:rsidRPr="0031675F">
        <w:rPr>
          <w:spacing w:val="-1"/>
        </w:rPr>
        <w:t>NH</w:t>
      </w:r>
      <w:r w:rsidRPr="0031675F">
        <w:rPr>
          <w:spacing w:val="-1"/>
          <w:position w:val="-2"/>
          <w:sz w:val="14"/>
        </w:rPr>
        <w:t>4</w:t>
      </w:r>
      <w:r w:rsidRPr="0031675F">
        <w:rPr>
          <w:spacing w:val="-1"/>
        </w:rPr>
        <w:t>-N.</w:t>
      </w:r>
      <w:r w:rsidRPr="0031675F">
        <w:t xml:space="preserve"> </w:t>
      </w:r>
      <w:r w:rsidRPr="0031675F">
        <w:rPr>
          <w:spacing w:val="17"/>
        </w:rPr>
        <w:t xml:space="preserve"> </w:t>
      </w:r>
      <w:r w:rsidRPr="0031675F">
        <w:rPr>
          <w:spacing w:val="-1"/>
        </w:rPr>
        <w:t>The</w:t>
      </w:r>
      <w:r w:rsidRPr="0031675F">
        <w:rPr>
          <w:spacing w:val="10"/>
        </w:rPr>
        <w:t xml:space="preserve"> </w:t>
      </w:r>
      <w:r w:rsidRPr="0031675F">
        <w:rPr>
          <w:spacing w:val="-1"/>
        </w:rPr>
        <w:t>amount</w:t>
      </w:r>
      <w:r w:rsidRPr="0031675F">
        <w:rPr>
          <w:spacing w:val="8"/>
        </w:rPr>
        <w:t xml:space="preserve"> </w:t>
      </w:r>
      <w:r w:rsidRPr="0031675F">
        <w:t>of</w:t>
      </w:r>
      <w:r w:rsidRPr="0031675F">
        <w:rPr>
          <w:spacing w:val="11"/>
        </w:rPr>
        <w:t xml:space="preserve"> </w:t>
      </w:r>
      <w:r w:rsidRPr="0031675F">
        <w:rPr>
          <w:spacing w:val="-1"/>
        </w:rPr>
        <w:t>NH</w:t>
      </w:r>
      <w:r w:rsidRPr="0031675F">
        <w:rPr>
          <w:spacing w:val="-1"/>
          <w:position w:val="-2"/>
          <w:sz w:val="14"/>
        </w:rPr>
        <w:t>4</w:t>
      </w:r>
      <w:r w:rsidRPr="0031675F">
        <w:rPr>
          <w:spacing w:val="-1"/>
        </w:rPr>
        <w:t>-N</w:t>
      </w:r>
      <w:r w:rsidRPr="0031675F">
        <w:rPr>
          <w:spacing w:val="9"/>
        </w:rPr>
        <w:t xml:space="preserve"> </w:t>
      </w:r>
      <w:r w:rsidRPr="0031675F">
        <w:t>in</w:t>
      </w:r>
      <w:r w:rsidRPr="0031675F">
        <w:rPr>
          <w:spacing w:val="8"/>
        </w:rPr>
        <w:t xml:space="preserve"> </w:t>
      </w:r>
      <w:r w:rsidRPr="0031675F">
        <w:rPr>
          <w:spacing w:val="-1"/>
        </w:rPr>
        <w:t>samples</w:t>
      </w:r>
      <w:r w:rsidRPr="0031675F">
        <w:rPr>
          <w:spacing w:val="7"/>
        </w:rPr>
        <w:t xml:space="preserve"> </w:t>
      </w:r>
      <w:r w:rsidRPr="0031675F">
        <w:t>that</w:t>
      </w:r>
      <w:r w:rsidRPr="0031675F">
        <w:rPr>
          <w:spacing w:val="10"/>
        </w:rPr>
        <w:t xml:space="preserve"> </w:t>
      </w:r>
      <w:r w:rsidRPr="0031675F">
        <w:t>is</w:t>
      </w:r>
      <w:r w:rsidRPr="0031675F">
        <w:rPr>
          <w:spacing w:val="6"/>
        </w:rPr>
        <w:t xml:space="preserve"> </w:t>
      </w:r>
      <w:r w:rsidRPr="0031675F">
        <w:rPr>
          <w:spacing w:val="-1"/>
        </w:rPr>
        <w:t>derived</w:t>
      </w:r>
      <w:r w:rsidRPr="0031675F">
        <w:rPr>
          <w:spacing w:val="9"/>
        </w:rPr>
        <w:t xml:space="preserve"> </w:t>
      </w:r>
      <w:r w:rsidRPr="0031675F">
        <w:rPr>
          <w:spacing w:val="-2"/>
        </w:rPr>
        <w:t>from</w:t>
      </w:r>
      <w:r w:rsidRPr="0031675F">
        <w:rPr>
          <w:spacing w:val="11"/>
        </w:rPr>
        <w:t xml:space="preserve"> </w:t>
      </w:r>
      <w:r w:rsidRPr="0031675F">
        <w:rPr>
          <w:spacing w:val="-1"/>
        </w:rPr>
        <w:t>this</w:t>
      </w:r>
      <w:r w:rsidRPr="0031675F">
        <w:rPr>
          <w:spacing w:val="7"/>
        </w:rPr>
        <w:t xml:space="preserve"> </w:t>
      </w:r>
      <w:r w:rsidRPr="0031675F">
        <w:rPr>
          <w:spacing w:val="-1"/>
        </w:rPr>
        <w:t>contamination</w:t>
      </w:r>
      <w:r w:rsidRPr="0031675F">
        <w:rPr>
          <w:spacing w:val="57"/>
        </w:rPr>
        <w:t xml:space="preserve"> </w:t>
      </w:r>
      <w:r w:rsidRPr="0031675F">
        <w:t>is</w:t>
      </w:r>
      <w:r w:rsidRPr="0031675F">
        <w:rPr>
          <w:spacing w:val="2"/>
        </w:rPr>
        <w:t xml:space="preserve"> </w:t>
      </w:r>
      <w:r w:rsidRPr="0031675F">
        <w:rPr>
          <w:spacing w:val="-1"/>
        </w:rPr>
        <w:t>often</w:t>
      </w:r>
      <w:r w:rsidRPr="0031675F">
        <w:rPr>
          <w:spacing w:val="3"/>
        </w:rPr>
        <w:t xml:space="preserve"> </w:t>
      </w:r>
      <w:r w:rsidRPr="0031675F">
        <w:t>of</w:t>
      </w:r>
      <w:r w:rsidRPr="0031675F">
        <w:rPr>
          <w:spacing w:val="1"/>
        </w:rPr>
        <w:t xml:space="preserve"> </w:t>
      </w:r>
      <w:r w:rsidRPr="0031675F">
        <w:rPr>
          <w:spacing w:val="-1"/>
        </w:rPr>
        <w:t>similar</w:t>
      </w:r>
      <w:r w:rsidRPr="0031675F">
        <w:t xml:space="preserve"> </w:t>
      </w:r>
      <w:r w:rsidRPr="0031675F">
        <w:rPr>
          <w:spacing w:val="-1"/>
        </w:rPr>
        <w:t>order,</w:t>
      </w:r>
      <w:r w:rsidRPr="0031675F">
        <w:rPr>
          <w:spacing w:val="1"/>
        </w:rPr>
        <w:t xml:space="preserve"> </w:t>
      </w:r>
      <w:r w:rsidRPr="0031675F">
        <w:t>or</w:t>
      </w:r>
      <w:r w:rsidRPr="0031675F">
        <w:rPr>
          <w:spacing w:val="3"/>
        </w:rPr>
        <w:t xml:space="preserve"> </w:t>
      </w:r>
      <w:r w:rsidRPr="0031675F">
        <w:rPr>
          <w:spacing w:val="-1"/>
        </w:rPr>
        <w:t>greater,</w:t>
      </w:r>
      <w:r w:rsidRPr="0031675F">
        <w:t xml:space="preserve"> than</w:t>
      </w:r>
      <w:r w:rsidRPr="0031675F">
        <w:rPr>
          <w:spacing w:val="2"/>
        </w:rPr>
        <w:t xml:space="preserve"> </w:t>
      </w:r>
      <w:r w:rsidRPr="0031675F">
        <w:rPr>
          <w:spacing w:val="-1"/>
        </w:rPr>
        <w:t>natural</w:t>
      </w:r>
      <w:r w:rsidRPr="0031675F">
        <w:t xml:space="preserve"> </w:t>
      </w:r>
      <w:r w:rsidRPr="0031675F">
        <w:rPr>
          <w:spacing w:val="-1"/>
        </w:rPr>
        <w:t>concentrations</w:t>
      </w:r>
      <w:r w:rsidRPr="0031675F">
        <w:rPr>
          <w:spacing w:val="3"/>
        </w:rPr>
        <w:t xml:space="preserve"> </w:t>
      </w:r>
      <w:r w:rsidRPr="0031675F">
        <w:t>of NH</w:t>
      </w:r>
      <w:r w:rsidRPr="0031675F">
        <w:rPr>
          <w:position w:val="-2"/>
          <w:sz w:val="14"/>
        </w:rPr>
        <w:t>4</w:t>
      </w:r>
      <w:r w:rsidRPr="0031675F">
        <w:t>-N.</w:t>
      </w:r>
      <w:r w:rsidRPr="0031675F">
        <w:rPr>
          <w:spacing w:val="8"/>
        </w:rPr>
        <w:t xml:space="preserve"> </w:t>
      </w:r>
      <w:r w:rsidRPr="0031675F">
        <w:rPr>
          <w:spacing w:val="-1"/>
        </w:rPr>
        <w:t>Accordingly,</w:t>
      </w:r>
      <w:r w:rsidRPr="0031675F">
        <w:rPr>
          <w:spacing w:val="1"/>
        </w:rPr>
        <w:t xml:space="preserve"> </w:t>
      </w:r>
      <w:r w:rsidRPr="0031675F">
        <w:rPr>
          <w:spacing w:val="-1"/>
        </w:rPr>
        <w:t>every</w:t>
      </w:r>
      <w:r w:rsidRPr="0031675F">
        <w:rPr>
          <w:spacing w:val="75"/>
        </w:rPr>
        <w:t xml:space="preserve"> </w:t>
      </w:r>
      <w:r w:rsidRPr="0031675F">
        <w:rPr>
          <w:spacing w:val="-1"/>
        </w:rPr>
        <w:t>precaution</w:t>
      </w:r>
      <w:r w:rsidRPr="0031675F">
        <w:rPr>
          <w:spacing w:val="42"/>
        </w:rPr>
        <w:t xml:space="preserve"> </w:t>
      </w:r>
      <w:r w:rsidRPr="0031675F">
        <w:rPr>
          <w:spacing w:val="-1"/>
        </w:rPr>
        <w:t>should</w:t>
      </w:r>
      <w:r w:rsidRPr="0031675F">
        <w:rPr>
          <w:spacing w:val="42"/>
        </w:rPr>
        <w:t xml:space="preserve"> </w:t>
      </w:r>
      <w:r w:rsidRPr="0031675F">
        <w:rPr>
          <w:spacing w:val="-1"/>
        </w:rPr>
        <w:t>be</w:t>
      </w:r>
      <w:r w:rsidRPr="0031675F">
        <w:rPr>
          <w:spacing w:val="44"/>
        </w:rPr>
        <w:t xml:space="preserve"> </w:t>
      </w:r>
      <w:r w:rsidRPr="0031675F">
        <w:rPr>
          <w:spacing w:val="-1"/>
        </w:rPr>
        <w:t>taken</w:t>
      </w:r>
      <w:r w:rsidRPr="0031675F">
        <w:rPr>
          <w:spacing w:val="42"/>
        </w:rPr>
        <w:t xml:space="preserve"> </w:t>
      </w:r>
      <w:r w:rsidRPr="0031675F">
        <w:t>to</w:t>
      </w:r>
      <w:r w:rsidRPr="0031675F">
        <w:rPr>
          <w:spacing w:val="45"/>
        </w:rPr>
        <w:t xml:space="preserve"> </w:t>
      </w:r>
      <w:r w:rsidRPr="0031675F">
        <w:rPr>
          <w:spacing w:val="-1"/>
        </w:rPr>
        <w:t>minimize</w:t>
      </w:r>
      <w:r w:rsidRPr="0031675F">
        <w:rPr>
          <w:spacing w:val="44"/>
        </w:rPr>
        <w:t xml:space="preserve"> </w:t>
      </w:r>
      <w:r w:rsidRPr="0031675F">
        <w:rPr>
          <w:spacing w:val="-1"/>
        </w:rPr>
        <w:t>contamination</w:t>
      </w:r>
      <w:r w:rsidRPr="0031675F">
        <w:rPr>
          <w:spacing w:val="43"/>
        </w:rPr>
        <w:t xml:space="preserve"> </w:t>
      </w:r>
      <w:r w:rsidRPr="0031675F">
        <w:t>of</w:t>
      </w:r>
      <w:r w:rsidRPr="0031675F">
        <w:rPr>
          <w:spacing w:val="42"/>
        </w:rPr>
        <w:t xml:space="preserve"> </w:t>
      </w:r>
      <w:r w:rsidRPr="0031675F">
        <w:rPr>
          <w:spacing w:val="-1"/>
        </w:rPr>
        <w:t>samples</w:t>
      </w:r>
      <w:r w:rsidRPr="0031675F">
        <w:rPr>
          <w:spacing w:val="43"/>
        </w:rPr>
        <w:t xml:space="preserve"> </w:t>
      </w:r>
      <w:r w:rsidRPr="0031675F">
        <w:rPr>
          <w:spacing w:val="-1"/>
        </w:rPr>
        <w:t>during</w:t>
      </w:r>
      <w:r w:rsidRPr="0031675F">
        <w:rPr>
          <w:spacing w:val="43"/>
        </w:rPr>
        <w:t xml:space="preserve"> </w:t>
      </w:r>
      <w:r w:rsidRPr="0031675F">
        <w:t>the</w:t>
      </w:r>
      <w:r w:rsidRPr="0031675F">
        <w:rPr>
          <w:spacing w:val="43"/>
        </w:rPr>
        <w:t xml:space="preserve"> </w:t>
      </w:r>
      <w:r w:rsidRPr="0031675F">
        <w:rPr>
          <w:spacing w:val="-1"/>
        </w:rPr>
        <w:t>sampling</w:t>
      </w:r>
      <w:r w:rsidRPr="0031675F">
        <w:rPr>
          <w:spacing w:val="43"/>
        </w:rPr>
        <w:t xml:space="preserve"> </w:t>
      </w:r>
      <w:r w:rsidRPr="0031675F">
        <w:rPr>
          <w:spacing w:val="-1"/>
        </w:rPr>
        <w:t>process,</w:t>
      </w:r>
      <w:r w:rsidRPr="0031675F">
        <w:rPr>
          <w:spacing w:val="62"/>
        </w:rPr>
        <w:t xml:space="preserve"> </w:t>
      </w:r>
      <w:r w:rsidRPr="0031675F">
        <w:rPr>
          <w:spacing w:val="-1"/>
        </w:rPr>
        <w:t>handling and preservation,</w:t>
      </w:r>
      <w:r w:rsidRPr="0031675F">
        <w:rPr>
          <w:spacing w:val="-2"/>
        </w:rPr>
        <w:t xml:space="preserve"> </w:t>
      </w:r>
      <w:r w:rsidRPr="0031675F">
        <w:rPr>
          <w:spacing w:val="-1"/>
        </w:rPr>
        <w:t>and during analysis.</w:t>
      </w:r>
    </w:p>
    <w:p w14:paraId="422BA0F2" w14:textId="77777777" w:rsidR="0031675F" w:rsidRPr="0031675F" w:rsidRDefault="0031675F" w:rsidP="0031675F">
      <w:pPr>
        <w:spacing w:after="120" w:line="268" w:lineRule="exact"/>
        <w:ind w:left="138" w:right="133"/>
        <w:jc w:val="both"/>
      </w:pPr>
      <w:r w:rsidRPr="0031675F">
        <w:rPr>
          <w:rFonts w:cs="Calibri"/>
          <w:spacing w:val="-1"/>
        </w:rPr>
        <w:t>People</w:t>
      </w:r>
      <w:r w:rsidRPr="0031675F">
        <w:rPr>
          <w:rFonts w:cs="Calibri"/>
          <w:spacing w:val="38"/>
        </w:rPr>
        <w:t xml:space="preserve"> </w:t>
      </w:r>
      <w:r w:rsidRPr="0031675F">
        <w:rPr>
          <w:rFonts w:cs="Calibri"/>
          <w:spacing w:val="-1"/>
        </w:rPr>
        <w:t>handling</w:t>
      </w:r>
      <w:r w:rsidRPr="0031675F">
        <w:rPr>
          <w:rFonts w:cs="Calibri"/>
          <w:spacing w:val="38"/>
        </w:rPr>
        <w:t xml:space="preserve"> </w:t>
      </w:r>
      <w:r w:rsidRPr="0031675F">
        <w:rPr>
          <w:rFonts w:cs="Calibri"/>
          <w:spacing w:val="-1"/>
        </w:rPr>
        <w:t>samples</w:t>
      </w:r>
      <w:r w:rsidRPr="0031675F">
        <w:rPr>
          <w:rFonts w:cs="Calibri"/>
          <w:spacing w:val="37"/>
        </w:rPr>
        <w:t xml:space="preserve"> </w:t>
      </w:r>
      <w:r w:rsidRPr="0031675F">
        <w:rPr>
          <w:rFonts w:cs="Calibri"/>
        </w:rPr>
        <w:t>should</w:t>
      </w:r>
      <w:r w:rsidRPr="0031675F">
        <w:rPr>
          <w:rFonts w:cs="Calibri"/>
          <w:spacing w:val="36"/>
        </w:rPr>
        <w:t xml:space="preserve"> </w:t>
      </w:r>
      <w:r w:rsidRPr="0031675F">
        <w:rPr>
          <w:rFonts w:cs="Calibri"/>
          <w:spacing w:val="-1"/>
        </w:rPr>
        <w:t>have</w:t>
      </w:r>
      <w:r w:rsidRPr="0031675F">
        <w:rPr>
          <w:rFonts w:cs="Calibri"/>
          <w:spacing w:val="37"/>
        </w:rPr>
        <w:t xml:space="preserve"> </w:t>
      </w:r>
      <w:r w:rsidRPr="0031675F">
        <w:rPr>
          <w:rFonts w:cs="Calibri"/>
        </w:rPr>
        <w:t>clean</w:t>
      </w:r>
      <w:r w:rsidRPr="0031675F">
        <w:rPr>
          <w:rFonts w:cs="Calibri"/>
          <w:spacing w:val="38"/>
        </w:rPr>
        <w:t xml:space="preserve"> </w:t>
      </w:r>
      <w:r w:rsidRPr="0031675F">
        <w:rPr>
          <w:rFonts w:cs="Calibri"/>
          <w:spacing w:val="-1"/>
        </w:rPr>
        <w:t>hands,</w:t>
      </w:r>
      <w:r w:rsidRPr="0031675F">
        <w:rPr>
          <w:rFonts w:cs="Calibri"/>
          <w:spacing w:val="36"/>
        </w:rPr>
        <w:t xml:space="preserve"> </w:t>
      </w:r>
      <w:r w:rsidRPr="0031675F">
        <w:rPr>
          <w:rFonts w:cs="Calibri"/>
        </w:rPr>
        <w:t>at</w:t>
      </w:r>
      <w:r w:rsidRPr="0031675F">
        <w:rPr>
          <w:rFonts w:cs="Calibri"/>
          <w:spacing w:val="38"/>
        </w:rPr>
        <w:t xml:space="preserve"> </w:t>
      </w:r>
      <w:r w:rsidRPr="0031675F">
        <w:rPr>
          <w:rFonts w:cs="Calibri"/>
        </w:rPr>
        <w:t>the</w:t>
      </w:r>
      <w:r w:rsidRPr="0031675F">
        <w:rPr>
          <w:rFonts w:cs="Calibri"/>
          <w:spacing w:val="39"/>
        </w:rPr>
        <w:t xml:space="preserve"> </w:t>
      </w:r>
      <w:r w:rsidRPr="0031675F">
        <w:rPr>
          <w:rFonts w:cs="Calibri"/>
          <w:spacing w:val="-1"/>
        </w:rPr>
        <w:t>least.</w:t>
      </w:r>
      <w:r w:rsidRPr="0031675F">
        <w:rPr>
          <w:rFonts w:cs="Calibri"/>
          <w:spacing w:val="27"/>
        </w:rPr>
        <w:t xml:space="preserve"> </w:t>
      </w:r>
      <w:r w:rsidRPr="0031675F">
        <w:rPr>
          <w:rFonts w:cs="Calibri"/>
        </w:rPr>
        <w:t>A</w:t>
      </w:r>
      <w:r w:rsidRPr="0031675F">
        <w:rPr>
          <w:rFonts w:cs="Calibri"/>
          <w:spacing w:val="35"/>
        </w:rPr>
        <w:t xml:space="preserve"> </w:t>
      </w:r>
      <w:r w:rsidRPr="0031675F">
        <w:rPr>
          <w:rFonts w:cs="Calibri"/>
          <w:spacing w:val="-1"/>
        </w:rPr>
        <w:t>“normal”</w:t>
      </w:r>
      <w:r w:rsidRPr="0031675F">
        <w:rPr>
          <w:rFonts w:cs="Calibri"/>
          <w:spacing w:val="37"/>
        </w:rPr>
        <w:t xml:space="preserve"> </w:t>
      </w:r>
      <w:r w:rsidRPr="0031675F">
        <w:rPr>
          <w:rFonts w:cs="Calibri"/>
          <w:spacing w:val="-1"/>
        </w:rPr>
        <w:t>fingerprint</w:t>
      </w:r>
      <w:r w:rsidRPr="0031675F">
        <w:rPr>
          <w:rFonts w:cs="Calibri"/>
          <w:spacing w:val="39"/>
        </w:rPr>
        <w:t xml:space="preserve"> </w:t>
      </w:r>
      <w:r w:rsidRPr="0031675F">
        <w:rPr>
          <w:rFonts w:cs="Calibri"/>
          <w:spacing w:val="-1"/>
        </w:rPr>
        <w:t>contains</w:t>
      </w:r>
      <w:r w:rsidRPr="0031675F">
        <w:rPr>
          <w:rFonts w:cs="Calibri"/>
          <w:spacing w:val="69"/>
        </w:rPr>
        <w:t xml:space="preserve"> </w:t>
      </w:r>
      <w:r w:rsidRPr="0031675F">
        <w:rPr>
          <w:spacing w:val="-1"/>
        </w:rPr>
        <w:t>several</w:t>
      </w:r>
      <w:r w:rsidRPr="0031675F">
        <w:rPr>
          <w:spacing w:val="4"/>
        </w:rPr>
        <w:t xml:space="preserve"> </w:t>
      </w:r>
      <w:r w:rsidRPr="0031675F">
        <w:rPr>
          <w:spacing w:val="-1"/>
        </w:rPr>
        <w:t>nano</w:t>
      </w:r>
      <w:r w:rsidRPr="0031675F">
        <w:rPr>
          <w:spacing w:val="4"/>
        </w:rPr>
        <w:t xml:space="preserve"> </w:t>
      </w:r>
      <w:r w:rsidRPr="0031675F">
        <w:rPr>
          <w:spacing w:val="-1"/>
        </w:rPr>
        <w:t>moles</w:t>
      </w:r>
      <w:r w:rsidRPr="0031675F">
        <w:rPr>
          <w:spacing w:val="4"/>
        </w:rPr>
        <w:t xml:space="preserve"> </w:t>
      </w:r>
      <w:r w:rsidRPr="0031675F">
        <w:t>of</w:t>
      </w:r>
      <w:r w:rsidRPr="0031675F">
        <w:rPr>
          <w:spacing w:val="5"/>
        </w:rPr>
        <w:t xml:space="preserve"> </w:t>
      </w:r>
      <w:r w:rsidRPr="0031675F">
        <w:rPr>
          <w:spacing w:val="-1"/>
        </w:rPr>
        <w:t>NH</w:t>
      </w:r>
      <w:r w:rsidRPr="0031675F">
        <w:rPr>
          <w:spacing w:val="-1"/>
          <w:position w:val="-2"/>
          <w:sz w:val="14"/>
          <w:szCs w:val="14"/>
        </w:rPr>
        <w:t>4</w:t>
      </w:r>
      <w:r w:rsidRPr="0031675F">
        <w:rPr>
          <w:spacing w:val="-1"/>
        </w:rPr>
        <w:t>-N.</w:t>
      </w:r>
      <w:r w:rsidRPr="0031675F">
        <w:rPr>
          <w:spacing w:val="11"/>
        </w:rPr>
        <w:t xml:space="preserve"> </w:t>
      </w:r>
      <w:r w:rsidRPr="0031675F">
        <w:t>Plastic</w:t>
      </w:r>
      <w:r w:rsidRPr="0031675F">
        <w:rPr>
          <w:spacing w:val="4"/>
        </w:rPr>
        <w:t xml:space="preserve"> </w:t>
      </w:r>
      <w:r w:rsidRPr="0031675F">
        <w:rPr>
          <w:spacing w:val="-1"/>
        </w:rPr>
        <w:t>gloves</w:t>
      </w:r>
      <w:r w:rsidRPr="0031675F">
        <w:rPr>
          <w:spacing w:val="6"/>
        </w:rPr>
        <w:t xml:space="preserve"> </w:t>
      </w:r>
      <w:r w:rsidRPr="0031675F">
        <w:t>are</w:t>
      </w:r>
      <w:r w:rsidRPr="0031675F">
        <w:rPr>
          <w:spacing w:val="3"/>
        </w:rPr>
        <w:t xml:space="preserve"> </w:t>
      </w:r>
      <w:r w:rsidRPr="0031675F">
        <w:t>an</w:t>
      </w:r>
      <w:r w:rsidRPr="0031675F">
        <w:rPr>
          <w:spacing w:val="4"/>
        </w:rPr>
        <w:t xml:space="preserve"> </w:t>
      </w:r>
      <w:r w:rsidRPr="0031675F">
        <w:t>option</w:t>
      </w:r>
      <w:r w:rsidRPr="0031675F">
        <w:rPr>
          <w:spacing w:val="5"/>
        </w:rPr>
        <w:t xml:space="preserve"> </w:t>
      </w:r>
      <w:r w:rsidRPr="0031675F">
        <w:rPr>
          <w:spacing w:val="-1"/>
        </w:rPr>
        <w:t>for</w:t>
      </w:r>
      <w:r w:rsidRPr="0031675F">
        <w:rPr>
          <w:spacing w:val="5"/>
        </w:rPr>
        <w:t xml:space="preserve"> </w:t>
      </w:r>
      <w:r w:rsidRPr="0031675F">
        <w:rPr>
          <w:spacing w:val="-1"/>
        </w:rPr>
        <w:t>sample</w:t>
      </w:r>
      <w:r w:rsidRPr="0031675F">
        <w:rPr>
          <w:spacing w:val="6"/>
        </w:rPr>
        <w:t xml:space="preserve"> </w:t>
      </w:r>
      <w:r w:rsidRPr="0031675F">
        <w:rPr>
          <w:spacing w:val="-1"/>
        </w:rPr>
        <w:t>handlers.</w:t>
      </w:r>
      <w:r w:rsidRPr="0031675F">
        <w:t xml:space="preserve"> </w:t>
      </w:r>
      <w:r w:rsidRPr="0031675F">
        <w:rPr>
          <w:spacing w:val="10"/>
        </w:rPr>
        <w:t xml:space="preserve"> </w:t>
      </w:r>
      <w:r w:rsidRPr="0031675F">
        <w:rPr>
          <w:spacing w:val="-1"/>
        </w:rPr>
        <w:t>Smokers,</w:t>
      </w:r>
      <w:r w:rsidRPr="0031675F">
        <w:t xml:space="preserve"> </w:t>
      </w:r>
      <w:r w:rsidRPr="0031675F">
        <w:rPr>
          <w:spacing w:val="-2"/>
        </w:rPr>
        <w:t>in</w:t>
      </w:r>
      <w:r w:rsidRPr="0031675F">
        <w:rPr>
          <w:spacing w:val="49"/>
        </w:rPr>
        <w:t xml:space="preserve"> </w:t>
      </w:r>
      <w:r w:rsidRPr="0031675F">
        <w:rPr>
          <w:spacing w:val="-1"/>
        </w:rPr>
        <w:t>particular,</w:t>
      </w:r>
      <w:r w:rsidRPr="0031675F">
        <w:t xml:space="preserve"> </w:t>
      </w:r>
      <w:r w:rsidRPr="0031675F">
        <w:rPr>
          <w:spacing w:val="-1"/>
        </w:rPr>
        <w:t>should</w:t>
      </w:r>
      <w:r w:rsidRPr="0031675F">
        <w:rPr>
          <w:spacing w:val="-3"/>
        </w:rPr>
        <w:t xml:space="preserve"> </w:t>
      </w:r>
      <w:r w:rsidRPr="0031675F">
        <w:t>wear</w:t>
      </w:r>
      <w:r w:rsidRPr="0031675F">
        <w:rPr>
          <w:spacing w:val="-3"/>
        </w:rPr>
        <w:t xml:space="preserve"> </w:t>
      </w:r>
      <w:r w:rsidRPr="0031675F">
        <w:rPr>
          <w:spacing w:val="-1"/>
        </w:rPr>
        <w:t>gloves</w:t>
      </w:r>
      <w:r w:rsidRPr="0031675F">
        <w:t xml:space="preserve"> </w:t>
      </w:r>
      <w:r w:rsidRPr="0031675F">
        <w:rPr>
          <w:spacing w:val="-1"/>
        </w:rPr>
        <w:t>and refrain</w:t>
      </w:r>
      <w:r w:rsidRPr="0031675F">
        <w:rPr>
          <w:spacing w:val="-2"/>
        </w:rPr>
        <w:t xml:space="preserve"> from</w:t>
      </w:r>
      <w:r w:rsidRPr="0031675F">
        <w:rPr>
          <w:spacing w:val="1"/>
        </w:rPr>
        <w:t xml:space="preserve"> </w:t>
      </w:r>
      <w:r w:rsidRPr="0031675F">
        <w:rPr>
          <w:spacing w:val="-2"/>
        </w:rPr>
        <w:t>smoking</w:t>
      </w:r>
      <w:r w:rsidRPr="0031675F">
        <w:rPr>
          <w:spacing w:val="-1"/>
        </w:rPr>
        <w:t xml:space="preserve"> while</w:t>
      </w:r>
      <w:r w:rsidRPr="0031675F">
        <w:t xml:space="preserve"> </w:t>
      </w:r>
      <w:r w:rsidRPr="0031675F">
        <w:rPr>
          <w:spacing w:val="-1"/>
        </w:rPr>
        <w:t>handling samples.</w:t>
      </w:r>
    </w:p>
    <w:p w14:paraId="50CF59DA" w14:textId="77777777" w:rsidR="0031675F" w:rsidRPr="0031675F" w:rsidRDefault="0031675F" w:rsidP="0031675F">
      <w:pPr>
        <w:spacing w:after="120"/>
        <w:ind w:left="138" w:right="130"/>
        <w:jc w:val="both"/>
      </w:pPr>
      <w:r w:rsidRPr="0031675F">
        <w:rPr>
          <w:spacing w:val="-1"/>
        </w:rPr>
        <w:t>Labware</w:t>
      </w:r>
      <w:r w:rsidRPr="0031675F">
        <w:rPr>
          <w:spacing w:val="3"/>
        </w:rPr>
        <w:t xml:space="preserve"> </w:t>
      </w:r>
      <w:r w:rsidRPr="0031675F">
        <w:rPr>
          <w:spacing w:val="-1"/>
        </w:rPr>
        <w:t>should</w:t>
      </w:r>
      <w:r w:rsidRPr="0031675F">
        <w:rPr>
          <w:spacing w:val="1"/>
        </w:rPr>
        <w:t xml:space="preserve"> </w:t>
      </w:r>
      <w:r w:rsidRPr="0031675F">
        <w:rPr>
          <w:spacing w:val="-1"/>
        </w:rPr>
        <w:t>be</w:t>
      </w:r>
      <w:r w:rsidRPr="0031675F">
        <w:rPr>
          <w:spacing w:val="5"/>
        </w:rPr>
        <w:t xml:space="preserve"> </w:t>
      </w:r>
      <w:r w:rsidRPr="0031675F">
        <w:rPr>
          <w:spacing w:val="-1"/>
        </w:rPr>
        <w:t>acid</w:t>
      </w:r>
      <w:r w:rsidRPr="0031675F">
        <w:rPr>
          <w:spacing w:val="4"/>
        </w:rPr>
        <w:t xml:space="preserve"> </w:t>
      </w:r>
      <w:r w:rsidRPr="0031675F">
        <w:rPr>
          <w:spacing w:val="-1"/>
        </w:rPr>
        <w:t>soaked</w:t>
      </w:r>
      <w:r w:rsidRPr="0031675F">
        <w:rPr>
          <w:spacing w:val="5"/>
        </w:rPr>
        <w:t xml:space="preserve"> </w:t>
      </w:r>
      <w:r w:rsidRPr="0031675F">
        <w:rPr>
          <w:spacing w:val="-1"/>
        </w:rPr>
        <w:t>prior</w:t>
      </w:r>
      <w:r w:rsidRPr="0031675F">
        <w:rPr>
          <w:spacing w:val="5"/>
        </w:rPr>
        <w:t xml:space="preserve"> </w:t>
      </w:r>
      <w:r w:rsidRPr="0031675F">
        <w:rPr>
          <w:spacing w:val="-1"/>
        </w:rPr>
        <w:t>to</w:t>
      </w:r>
      <w:r w:rsidRPr="0031675F">
        <w:rPr>
          <w:spacing w:val="4"/>
        </w:rPr>
        <w:t xml:space="preserve"> </w:t>
      </w:r>
      <w:r w:rsidRPr="0031675F">
        <w:rPr>
          <w:spacing w:val="-1"/>
        </w:rPr>
        <w:t>use,</w:t>
      </w:r>
      <w:r w:rsidRPr="0031675F">
        <w:rPr>
          <w:spacing w:val="3"/>
        </w:rPr>
        <w:t xml:space="preserve"> </w:t>
      </w:r>
      <w:r w:rsidRPr="0031675F">
        <w:rPr>
          <w:spacing w:val="-1"/>
        </w:rPr>
        <w:t>kept</w:t>
      </w:r>
      <w:r w:rsidRPr="0031675F">
        <w:rPr>
          <w:spacing w:val="3"/>
        </w:rPr>
        <w:t xml:space="preserve"> </w:t>
      </w:r>
      <w:r w:rsidRPr="0031675F">
        <w:rPr>
          <w:spacing w:val="-1"/>
        </w:rPr>
        <w:t>apart</w:t>
      </w:r>
      <w:r w:rsidRPr="0031675F">
        <w:rPr>
          <w:spacing w:val="5"/>
        </w:rPr>
        <w:t xml:space="preserve"> </w:t>
      </w:r>
      <w:r w:rsidRPr="0031675F">
        <w:t>in</w:t>
      </w:r>
      <w:r w:rsidRPr="0031675F">
        <w:rPr>
          <w:spacing w:val="4"/>
        </w:rPr>
        <w:t xml:space="preserve"> </w:t>
      </w:r>
      <w:r w:rsidRPr="0031675F">
        <w:t>a</w:t>
      </w:r>
      <w:r w:rsidRPr="0031675F">
        <w:rPr>
          <w:spacing w:val="2"/>
        </w:rPr>
        <w:t xml:space="preserve"> </w:t>
      </w:r>
      <w:r w:rsidRPr="0031675F">
        <w:t>clean</w:t>
      </w:r>
      <w:r w:rsidRPr="0031675F">
        <w:rPr>
          <w:spacing w:val="2"/>
        </w:rPr>
        <w:t xml:space="preserve"> </w:t>
      </w:r>
      <w:r w:rsidRPr="0031675F">
        <w:rPr>
          <w:spacing w:val="-1"/>
        </w:rPr>
        <w:t>state</w:t>
      </w:r>
      <w:r w:rsidRPr="0031675F">
        <w:rPr>
          <w:spacing w:val="3"/>
        </w:rPr>
        <w:t xml:space="preserve"> </w:t>
      </w:r>
      <w:r w:rsidRPr="0031675F">
        <w:t>to</w:t>
      </w:r>
      <w:r w:rsidRPr="0031675F">
        <w:rPr>
          <w:spacing w:val="4"/>
        </w:rPr>
        <w:t xml:space="preserve"> </w:t>
      </w:r>
      <w:r w:rsidRPr="0031675F">
        <w:rPr>
          <w:spacing w:val="-1"/>
        </w:rPr>
        <w:t>reduce</w:t>
      </w:r>
      <w:r w:rsidRPr="0031675F">
        <w:rPr>
          <w:spacing w:val="5"/>
        </w:rPr>
        <w:t xml:space="preserve"> </w:t>
      </w:r>
      <w:r w:rsidRPr="0031675F">
        <w:rPr>
          <w:spacing w:val="-1"/>
        </w:rPr>
        <w:t>contamination,</w:t>
      </w:r>
      <w:r w:rsidRPr="0031675F">
        <w:rPr>
          <w:spacing w:val="5"/>
        </w:rPr>
        <w:t xml:space="preserve"> </w:t>
      </w:r>
      <w:r w:rsidRPr="0031675F">
        <w:rPr>
          <w:spacing w:val="-1"/>
        </w:rPr>
        <w:t>and</w:t>
      </w:r>
      <w:r w:rsidRPr="0031675F">
        <w:rPr>
          <w:spacing w:val="47"/>
        </w:rPr>
        <w:t xml:space="preserve"> </w:t>
      </w:r>
      <w:r w:rsidRPr="0031675F">
        <w:t>well</w:t>
      </w:r>
      <w:r w:rsidRPr="0031675F">
        <w:rPr>
          <w:spacing w:val="28"/>
        </w:rPr>
        <w:t xml:space="preserve"> </w:t>
      </w:r>
      <w:r w:rsidRPr="0031675F">
        <w:rPr>
          <w:spacing w:val="-1"/>
        </w:rPr>
        <w:t>rinsed</w:t>
      </w:r>
      <w:r w:rsidRPr="0031675F">
        <w:rPr>
          <w:spacing w:val="29"/>
        </w:rPr>
        <w:t xml:space="preserve"> </w:t>
      </w:r>
      <w:r w:rsidRPr="0031675F">
        <w:rPr>
          <w:spacing w:val="-1"/>
        </w:rPr>
        <w:t>with</w:t>
      </w:r>
      <w:r w:rsidRPr="0031675F">
        <w:rPr>
          <w:spacing w:val="29"/>
        </w:rPr>
        <w:t xml:space="preserve"> </w:t>
      </w:r>
      <w:r w:rsidRPr="0031675F">
        <w:rPr>
          <w:spacing w:val="-1"/>
        </w:rPr>
        <w:t>deionized</w:t>
      </w:r>
      <w:r w:rsidRPr="0031675F">
        <w:rPr>
          <w:spacing w:val="25"/>
        </w:rPr>
        <w:t xml:space="preserve"> </w:t>
      </w:r>
      <w:r w:rsidRPr="0031675F">
        <w:rPr>
          <w:spacing w:val="-1"/>
        </w:rPr>
        <w:t>and</w:t>
      </w:r>
      <w:r w:rsidRPr="0031675F">
        <w:rPr>
          <w:spacing w:val="28"/>
        </w:rPr>
        <w:t xml:space="preserve"> </w:t>
      </w:r>
      <w:r w:rsidRPr="0031675F">
        <w:rPr>
          <w:spacing w:val="-1"/>
        </w:rPr>
        <w:t>sample</w:t>
      </w:r>
      <w:r w:rsidRPr="0031675F">
        <w:rPr>
          <w:spacing w:val="27"/>
        </w:rPr>
        <w:t xml:space="preserve"> </w:t>
      </w:r>
      <w:r w:rsidRPr="0031675F">
        <w:rPr>
          <w:spacing w:val="-1"/>
        </w:rPr>
        <w:t>water</w:t>
      </w:r>
      <w:r w:rsidRPr="0031675F">
        <w:rPr>
          <w:spacing w:val="29"/>
        </w:rPr>
        <w:t xml:space="preserve"> </w:t>
      </w:r>
      <w:r w:rsidRPr="0031675F">
        <w:rPr>
          <w:spacing w:val="-1"/>
        </w:rPr>
        <w:t>prior</w:t>
      </w:r>
      <w:r w:rsidRPr="0031675F">
        <w:rPr>
          <w:spacing w:val="28"/>
        </w:rPr>
        <w:t xml:space="preserve"> </w:t>
      </w:r>
      <w:r w:rsidRPr="0031675F">
        <w:rPr>
          <w:spacing w:val="-1"/>
        </w:rPr>
        <w:t>to</w:t>
      </w:r>
      <w:r w:rsidRPr="0031675F">
        <w:rPr>
          <w:spacing w:val="30"/>
        </w:rPr>
        <w:t xml:space="preserve"> </w:t>
      </w:r>
      <w:r w:rsidRPr="0031675F">
        <w:rPr>
          <w:spacing w:val="-1"/>
        </w:rPr>
        <w:t>handling</w:t>
      </w:r>
      <w:r w:rsidRPr="0031675F">
        <w:rPr>
          <w:spacing w:val="28"/>
        </w:rPr>
        <w:t xml:space="preserve"> </w:t>
      </w:r>
      <w:r w:rsidRPr="0031675F">
        <w:t>low-N</w:t>
      </w:r>
      <w:r w:rsidRPr="0031675F">
        <w:rPr>
          <w:spacing w:val="27"/>
        </w:rPr>
        <w:t xml:space="preserve"> </w:t>
      </w:r>
      <w:r w:rsidRPr="0031675F">
        <w:rPr>
          <w:spacing w:val="-1"/>
        </w:rPr>
        <w:t>seawater</w:t>
      </w:r>
      <w:r w:rsidRPr="0031675F">
        <w:rPr>
          <w:spacing w:val="29"/>
        </w:rPr>
        <w:t xml:space="preserve"> </w:t>
      </w:r>
      <w:r w:rsidRPr="0031675F">
        <w:rPr>
          <w:spacing w:val="-1"/>
        </w:rPr>
        <w:t>samples.</w:t>
      </w:r>
      <w:r w:rsidRPr="0031675F">
        <w:rPr>
          <w:spacing w:val="5"/>
        </w:rPr>
        <w:t xml:space="preserve"> </w:t>
      </w:r>
      <w:r w:rsidRPr="0031675F">
        <w:t>In</w:t>
      </w:r>
      <w:r w:rsidRPr="0031675F">
        <w:rPr>
          <w:spacing w:val="28"/>
        </w:rPr>
        <w:t xml:space="preserve"> </w:t>
      </w:r>
      <w:r w:rsidRPr="0031675F">
        <w:rPr>
          <w:spacing w:val="-1"/>
        </w:rPr>
        <w:t>doing</w:t>
      </w:r>
      <w:r w:rsidRPr="0031675F">
        <w:rPr>
          <w:spacing w:val="45"/>
        </w:rPr>
        <w:t xml:space="preserve"> </w:t>
      </w:r>
      <w:r w:rsidRPr="0031675F">
        <w:rPr>
          <w:spacing w:val="-1"/>
        </w:rPr>
        <w:t>analyses,</w:t>
      </w:r>
      <w:r w:rsidRPr="0031675F">
        <w:rPr>
          <w:spacing w:val="1"/>
        </w:rPr>
        <w:t xml:space="preserve"> </w:t>
      </w:r>
      <w:r w:rsidRPr="0031675F">
        <w:t xml:space="preserve">it is </w:t>
      </w:r>
      <w:r w:rsidRPr="0031675F">
        <w:rPr>
          <w:spacing w:val="-1"/>
        </w:rPr>
        <w:t>preferable</w:t>
      </w:r>
      <w:r w:rsidRPr="0031675F">
        <w:t xml:space="preserve"> </w:t>
      </w:r>
      <w:r w:rsidRPr="0031675F">
        <w:rPr>
          <w:spacing w:val="-1"/>
        </w:rPr>
        <w:t>to be</w:t>
      </w:r>
      <w:r w:rsidRPr="0031675F">
        <w:t xml:space="preserve"> </w:t>
      </w:r>
      <w:r w:rsidRPr="0031675F">
        <w:rPr>
          <w:spacing w:val="-1"/>
        </w:rPr>
        <w:t>able</w:t>
      </w:r>
      <w:r w:rsidRPr="0031675F">
        <w:t xml:space="preserve"> to</w:t>
      </w:r>
      <w:r w:rsidRPr="0031675F">
        <w:rPr>
          <w:spacing w:val="1"/>
        </w:rPr>
        <w:t xml:space="preserve"> </w:t>
      </w:r>
      <w:r w:rsidRPr="0031675F">
        <w:rPr>
          <w:spacing w:val="-1"/>
        </w:rPr>
        <w:t>transfer</w:t>
      </w:r>
      <w:r w:rsidRPr="0031675F">
        <w:t xml:space="preserve"> </w:t>
      </w:r>
      <w:r w:rsidRPr="0031675F">
        <w:rPr>
          <w:spacing w:val="-1"/>
        </w:rPr>
        <w:t>the</w:t>
      </w:r>
      <w:r w:rsidRPr="0031675F">
        <w:t xml:space="preserve"> </w:t>
      </w:r>
      <w:r w:rsidRPr="0031675F">
        <w:rPr>
          <w:spacing w:val="-2"/>
        </w:rPr>
        <w:t>sample</w:t>
      </w:r>
      <w:r w:rsidRPr="0031675F">
        <w:t xml:space="preserve"> water </w:t>
      </w:r>
      <w:r w:rsidRPr="0031675F">
        <w:rPr>
          <w:spacing w:val="-1"/>
        </w:rPr>
        <w:t xml:space="preserve">directly </w:t>
      </w:r>
      <w:r w:rsidRPr="0031675F">
        <w:t>to</w:t>
      </w:r>
      <w:r w:rsidRPr="0031675F">
        <w:rPr>
          <w:spacing w:val="1"/>
        </w:rPr>
        <w:t xml:space="preserve"> </w:t>
      </w:r>
      <w:r w:rsidRPr="0031675F">
        <w:t xml:space="preserve">a </w:t>
      </w:r>
      <w:r w:rsidRPr="0031675F">
        <w:rPr>
          <w:spacing w:val="-1"/>
        </w:rPr>
        <w:t>graduated reaction tube</w:t>
      </w:r>
      <w:r w:rsidRPr="0031675F">
        <w:rPr>
          <w:spacing w:val="71"/>
        </w:rPr>
        <w:t xml:space="preserve"> </w:t>
      </w:r>
      <w:r w:rsidRPr="0031675F">
        <w:rPr>
          <w:spacing w:val="-1"/>
        </w:rPr>
        <w:t>without</w:t>
      </w:r>
      <w:r w:rsidRPr="0031675F">
        <w:rPr>
          <w:spacing w:val="22"/>
        </w:rPr>
        <w:t xml:space="preserve"> </w:t>
      </w:r>
      <w:r w:rsidRPr="0031675F">
        <w:rPr>
          <w:spacing w:val="-1"/>
        </w:rPr>
        <w:t>additional</w:t>
      </w:r>
      <w:r w:rsidRPr="0031675F">
        <w:rPr>
          <w:spacing w:val="23"/>
        </w:rPr>
        <w:t xml:space="preserve"> </w:t>
      </w:r>
      <w:r w:rsidRPr="0031675F">
        <w:rPr>
          <w:spacing w:val="-1"/>
        </w:rPr>
        <w:t>handling,</w:t>
      </w:r>
      <w:r w:rsidRPr="0031675F">
        <w:rPr>
          <w:spacing w:val="24"/>
        </w:rPr>
        <w:t xml:space="preserve"> </w:t>
      </w:r>
      <w:r w:rsidRPr="0031675F">
        <w:rPr>
          <w:spacing w:val="-1"/>
        </w:rPr>
        <w:t>filtration</w:t>
      </w:r>
      <w:r w:rsidRPr="0031675F">
        <w:rPr>
          <w:spacing w:val="21"/>
        </w:rPr>
        <w:t xml:space="preserve"> </w:t>
      </w:r>
      <w:r w:rsidRPr="0031675F">
        <w:t>or</w:t>
      </w:r>
      <w:r w:rsidRPr="0031675F">
        <w:rPr>
          <w:spacing w:val="21"/>
        </w:rPr>
        <w:t xml:space="preserve"> </w:t>
      </w:r>
      <w:r w:rsidRPr="0031675F">
        <w:rPr>
          <w:spacing w:val="-1"/>
        </w:rPr>
        <w:t>measurement</w:t>
      </w:r>
      <w:r w:rsidRPr="0031675F">
        <w:rPr>
          <w:spacing w:val="24"/>
        </w:rPr>
        <w:t xml:space="preserve"> </w:t>
      </w:r>
      <w:r w:rsidRPr="0031675F">
        <w:rPr>
          <w:spacing w:val="-1"/>
        </w:rPr>
        <w:t>steps.</w:t>
      </w:r>
      <w:r w:rsidRPr="0031675F">
        <w:rPr>
          <w:spacing w:val="48"/>
        </w:rPr>
        <w:t xml:space="preserve"> </w:t>
      </w:r>
      <w:r w:rsidRPr="0031675F">
        <w:rPr>
          <w:spacing w:val="-1"/>
        </w:rPr>
        <w:t>Avoid</w:t>
      </w:r>
      <w:r w:rsidRPr="0031675F">
        <w:rPr>
          <w:spacing w:val="23"/>
        </w:rPr>
        <w:t xml:space="preserve"> </w:t>
      </w:r>
      <w:r w:rsidRPr="0031675F">
        <w:rPr>
          <w:spacing w:val="-1"/>
        </w:rPr>
        <w:t>touching</w:t>
      </w:r>
      <w:r w:rsidRPr="0031675F">
        <w:rPr>
          <w:spacing w:val="23"/>
        </w:rPr>
        <w:t xml:space="preserve"> </w:t>
      </w:r>
      <w:r w:rsidRPr="0031675F">
        <w:rPr>
          <w:spacing w:val="-1"/>
        </w:rPr>
        <w:t>the</w:t>
      </w:r>
      <w:r w:rsidRPr="0031675F">
        <w:rPr>
          <w:spacing w:val="25"/>
        </w:rPr>
        <w:t xml:space="preserve"> </w:t>
      </w:r>
      <w:r w:rsidRPr="0031675F">
        <w:t>rims</w:t>
      </w:r>
      <w:r w:rsidRPr="0031675F">
        <w:rPr>
          <w:spacing w:val="22"/>
        </w:rPr>
        <w:t xml:space="preserve"> </w:t>
      </w:r>
      <w:r w:rsidRPr="0031675F">
        <w:t>of</w:t>
      </w:r>
      <w:r w:rsidRPr="0031675F">
        <w:rPr>
          <w:spacing w:val="21"/>
        </w:rPr>
        <w:t xml:space="preserve"> </w:t>
      </w:r>
      <w:r w:rsidRPr="0031675F">
        <w:rPr>
          <w:spacing w:val="-1"/>
        </w:rPr>
        <w:t>tubes</w:t>
      </w:r>
      <w:r w:rsidRPr="0031675F">
        <w:rPr>
          <w:spacing w:val="22"/>
        </w:rPr>
        <w:t xml:space="preserve"> </w:t>
      </w:r>
      <w:r w:rsidRPr="0031675F">
        <w:t>or</w:t>
      </w:r>
      <w:r w:rsidRPr="0031675F">
        <w:rPr>
          <w:spacing w:val="75"/>
        </w:rPr>
        <w:t xml:space="preserve"> </w:t>
      </w:r>
      <w:r w:rsidRPr="0031675F">
        <w:rPr>
          <w:spacing w:val="-1"/>
        </w:rPr>
        <w:t>flasks</w:t>
      </w:r>
      <w:r w:rsidRPr="0031675F">
        <w:rPr>
          <w:spacing w:val="5"/>
        </w:rPr>
        <w:t xml:space="preserve"> </w:t>
      </w:r>
      <w:r w:rsidRPr="0031675F">
        <w:rPr>
          <w:spacing w:val="-1"/>
        </w:rPr>
        <w:t>used</w:t>
      </w:r>
      <w:r w:rsidRPr="0031675F">
        <w:rPr>
          <w:spacing w:val="5"/>
        </w:rPr>
        <w:t xml:space="preserve"> </w:t>
      </w:r>
      <w:r w:rsidRPr="0031675F">
        <w:rPr>
          <w:spacing w:val="-1"/>
        </w:rPr>
        <w:t>to</w:t>
      </w:r>
      <w:r w:rsidRPr="0031675F">
        <w:rPr>
          <w:spacing w:val="6"/>
        </w:rPr>
        <w:t xml:space="preserve"> </w:t>
      </w:r>
      <w:r w:rsidRPr="0031675F">
        <w:rPr>
          <w:spacing w:val="-1"/>
        </w:rPr>
        <w:t>contain</w:t>
      </w:r>
      <w:r w:rsidRPr="0031675F">
        <w:rPr>
          <w:spacing w:val="3"/>
        </w:rPr>
        <w:t xml:space="preserve"> </w:t>
      </w:r>
      <w:r w:rsidRPr="0031675F">
        <w:rPr>
          <w:spacing w:val="-1"/>
        </w:rPr>
        <w:t>sample</w:t>
      </w:r>
      <w:r w:rsidRPr="0031675F">
        <w:rPr>
          <w:spacing w:val="5"/>
        </w:rPr>
        <w:t xml:space="preserve"> </w:t>
      </w:r>
      <w:r w:rsidRPr="0031675F">
        <w:t>water.</w:t>
      </w:r>
      <w:r w:rsidRPr="0031675F">
        <w:rPr>
          <w:spacing w:val="10"/>
        </w:rPr>
        <w:t xml:space="preserve"> </w:t>
      </w:r>
      <w:r w:rsidRPr="0031675F">
        <w:rPr>
          <w:spacing w:val="-1"/>
        </w:rPr>
        <w:t>Filtration</w:t>
      </w:r>
      <w:r w:rsidRPr="0031675F">
        <w:rPr>
          <w:spacing w:val="4"/>
        </w:rPr>
        <w:t xml:space="preserve"> </w:t>
      </w:r>
      <w:r w:rsidRPr="0031675F">
        <w:t>of</w:t>
      </w:r>
      <w:r w:rsidRPr="0031675F">
        <w:rPr>
          <w:spacing w:val="2"/>
        </w:rPr>
        <w:t xml:space="preserve"> </w:t>
      </w:r>
      <w:r w:rsidRPr="0031675F">
        <w:t>the</w:t>
      </w:r>
      <w:r w:rsidRPr="0031675F">
        <w:rPr>
          <w:spacing w:val="3"/>
        </w:rPr>
        <w:t xml:space="preserve"> </w:t>
      </w:r>
      <w:r w:rsidRPr="0031675F">
        <w:t>sample</w:t>
      </w:r>
      <w:r w:rsidRPr="0031675F">
        <w:rPr>
          <w:spacing w:val="5"/>
        </w:rPr>
        <w:t xml:space="preserve"> </w:t>
      </w:r>
      <w:r w:rsidRPr="0031675F">
        <w:t>will</w:t>
      </w:r>
      <w:r w:rsidRPr="0031675F">
        <w:rPr>
          <w:spacing w:val="4"/>
        </w:rPr>
        <w:t xml:space="preserve"> </w:t>
      </w:r>
      <w:r w:rsidRPr="0031675F">
        <w:rPr>
          <w:spacing w:val="-1"/>
        </w:rPr>
        <w:t>almost</w:t>
      </w:r>
      <w:r w:rsidRPr="0031675F">
        <w:rPr>
          <w:spacing w:val="5"/>
        </w:rPr>
        <w:t xml:space="preserve"> </w:t>
      </w:r>
      <w:r w:rsidRPr="0031675F">
        <w:rPr>
          <w:spacing w:val="-1"/>
        </w:rPr>
        <w:t>always</w:t>
      </w:r>
      <w:r w:rsidRPr="0031675F">
        <w:rPr>
          <w:spacing w:val="3"/>
        </w:rPr>
        <w:t xml:space="preserve"> </w:t>
      </w:r>
      <w:r w:rsidRPr="0031675F">
        <w:rPr>
          <w:spacing w:val="-1"/>
        </w:rPr>
        <w:t>introduce</w:t>
      </w:r>
      <w:r w:rsidRPr="0031675F">
        <w:rPr>
          <w:spacing w:val="6"/>
        </w:rPr>
        <w:t xml:space="preserve"> </w:t>
      </w:r>
      <w:r w:rsidRPr="0031675F">
        <w:rPr>
          <w:spacing w:val="-1"/>
        </w:rPr>
        <w:t>significant</w:t>
      </w:r>
      <w:r w:rsidRPr="0031675F">
        <w:rPr>
          <w:spacing w:val="65"/>
        </w:rPr>
        <w:t xml:space="preserve"> </w:t>
      </w:r>
      <w:r w:rsidRPr="0031675F">
        <w:rPr>
          <w:spacing w:val="-1"/>
        </w:rPr>
        <w:t>contamination.</w:t>
      </w:r>
    </w:p>
    <w:p w14:paraId="2C418CA6" w14:textId="386DABC8" w:rsidR="0031675F" w:rsidRPr="0031675F" w:rsidRDefault="0031675F" w:rsidP="0031675F">
      <w:pPr>
        <w:spacing w:after="120" w:line="239" w:lineRule="auto"/>
        <w:ind w:left="138" w:right="128"/>
        <w:jc w:val="both"/>
        <w:rPr>
          <w:spacing w:val="-1"/>
        </w:rPr>
      </w:pPr>
      <w:r w:rsidRPr="0031675F">
        <w:t>When</w:t>
      </w:r>
      <w:r w:rsidRPr="0031675F">
        <w:rPr>
          <w:spacing w:val="18"/>
        </w:rPr>
        <w:t xml:space="preserve"> </w:t>
      </w:r>
      <w:r w:rsidRPr="0031675F">
        <w:rPr>
          <w:spacing w:val="-1"/>
        </w:rPr>
        <w:t>using</w:t>
      </w:r>
      <w:r w:rsidRPr="0031675F">
        <w:rPr>
          <w:spacing w:val="18"/>
        </w:rPr>
        <w:t xml:space="preserve"> </w:t>
      </w:r>
      <w:r w:rsidRPr="0031675F">
        <w:rPr>
          <w:spacing w:val="-1"/>
        </w:rPr>
        <w:t>pyrex</w:t>
      </w:r>
      <w:r w:rsidRPr="0031675F">
        <w:rPr>
          <w:spacing w:val="20"/>
        </w:rPr>
        <w:t xml:space="preserve"> </w:t>
      </w:r>
      <w:r w:rsidRPr="0031675F">
        <w:rPr>
          <w:spacing w:val="-1"/>
        </w:rPr>
        <w:t>analysis</w:t>
      </w:r>
      <w:r w:rsidRPr="0031675F">
        <w:rPr>
          <w:spacing w:val="17"/>
        </w:rPr>
        <w:t xml:space="preserve"> </w:t>
      </w:r>
      <w:r w:rsidRPr="0031675F">
        <w:rPr>
          <w:spacing w:val="-1"/>
        </w:rPr>
        <w:t>tubes</w:t>
      </w:r>
      <w:r w:rsidRPr="0031675F">
        <w:rPr>
          <w:spacing w:val="20"/>
        </w:rPr>
        <w:t xml:space="preserve"> </w:t>
      </w:r>
      <w:r w:rsidRPr="0031675F">
        <w:t>a)</w:t>
      </w:r>
      <w:r w:rsidRPr="0031675F">
        <w:rPr>
          <w:spacing w:val="19"/>
        </w:rPr>
        <w:t xml:space="preserve"> </w:t>
      </w:r>
      <w:r w:rsidRPr="0031675F">
        <w:rPr>
          <w:spacing w:val="-1"/>
        </w:rPr>
        <w:t>for</w:t>
      </w:r>
      <w:r w:rsidRPr="0031675F">
        <w:rPr>
          <w:spacing w:val="19"/>
        </w:rPr>
        <w:t xml:space="preserve"> </w:t>
      </w:r>
      <w:r w:rsidRPr="0031675F">
        <w:t>the</w:t>
      </w:r>
      <w:r w:rsidRPr="0031675F">
        <w:rPr>
          <w:spacing w:val="19"/>
        </w:rPr>
        <w:t xml:space="preserve"> </w:t>
      </w:r>
      <w:r w:rsidRPr="0031675F">
        <w:rPr>
          <w:spacing w:val="-2"/>
        </w:rPr>
        <w:t>first</w:t>
      </w:r>
      <w:r w:rsidRPr="0031675F">
        <w:rPr>
          <w:spacing w:val="20"/>
        </w:rPr>
        <w:t xml:space="preserve"> </w:t>
      </w:r>
      <w:r w:rsidRPr="0031675F">
        <w:rPr>
          <w:spacing w:val="-1"/>
        </w:rPr>
        <w:t>time</w:t>
      </w:r>
      <w:r w:rsidRPr="0031675F">
        <w:rPr>
          <w:spacing w:val="17"/>
        </w:rPr>
        <w:t xml:space="preserve"> </w:t>
      </w:r>
      <w:r w:rsidRPr="0031675F">
        <w:t>after</w:t>
      </w:r>
      <w:r w:rsidRPr="0031675F">
        <w:rPr>
          <w:spacing w:val="20"/>
        </w:rPr>
        <w:t xml:space="preserve"> </w:t>
      </w:r>
      <w:r w:rsidRPr="0031675F">
        <w:t>acid</w:t>
      </w:r>
      <w:r w:rsidRPr="0031675F">
        <w:rPr>
          <w:spacing w:val="18"/>
        </w:rPr>
        <w:t xml:space="preserve"> </w:t>
      </w:r>
      <w:r w:rsidRPr="0031675F">
        <w:rPr>
          <w:spacing w:val="-1"/>
        </w:rPr>
        <w:t>cleaning,</w:t>
      </w:r>
      <w:r w:rsidRPr="0031675F">
        <w:rPr>
          <w:spacing w:val="19"/>
        </w:rPr>
        <w:t xml:space="preserve"> </w:t>
      </w:r>
      <w:r w:rsidRPr="0031675F">
        <w:rPr>
          <w:spacing w:val="-1"/>
        </w:rPr>
        <w:t>b)</w:t>
      </w:r>
      <w:r w:rsidRPr="0031675F">
        <w:rPr>
          <w:spacing w:val="20"/>
        </w:rPr>
        <w:t xml:space="preserve"> </w:t>
      </w:r>
      <w:r w:rsidRPr="0031675F">
        <w:rPr>
          <w:spacing w:val="-1"/>
        </w:rPr>
        <w:t>when</w:t>
      </w:r>
      <w:r w:rsidRPr="0031675F">
        <w:rPr>
          <w:spacing w:val="19"/>
        </w:rPr>
        <w:t xml:space="preserve"> </w:t>
      </w:r>
      <w:r w:rsidRPr="0031675F">
        <w:t>there</w:t>
      </w:r>
      <w:r w:rsidRPr="0031675F">
        <w:rPr>
          <w:spacing w:val="20"/>
        </w:rPr>
        <w:t xml:space="preserve"> </w:t>
      </w:r>
      <w:r w:rsidRPr="0031675F">
        <w:rPr>
          <w:spacing w:val="-1"/>
        </w:rPr>
        <w:t>has</w:t>
      </w:r>
      <w:r w:rsidRPr="0031675F">
        <w:rPr>
          <w:spacing w:val="19"/>
        </w:rPr>
        <w:t xml:space="preserve"> </w:t>
      </w:r>
      <w:r w:rsidRPr="0031675F">
        <w:rPr>
          <w:spacing w:val="-1"/>
        </w:rPr>
        <w:t>been</w:t>
      </w:r>
      <w:r w:rsidRPr="0031675F">
        <w:rPr>
          <w:spacing w:val="18"/>
        </w:rPr>
        <w:t xml:space="preserve"> </w:t>
      </w:r>
      <w:r w:rsidRPr="0031675F">
        <w:t>a</w:t>
      </w:r>
      <w:r w:rsidRPr="0031675F">
        <w:rPr>
          <w:spacing w:val="43"/>
        </w:rPr>
        <w:t xml:space="preserve"> </w:t>
      </w:r>
      <w:r w:rsidRPr="0031675F">
        <w:rPr>
          <w:spacing w:val="-1"/>
        </w:rPr>
        <w:t>significant</w:t>
      </w:r>
      <w:r w:rsidRPr="0031675F">
        <w:rPr>
          <w:spacing w:val="29"/>
        </w:rPr>
        <w:t xml:space="preserve"> </w:t>
      </w:r>
      <w:r w:rsidRPr="0031675F">
        <w:rPr>
          <w:spacing w:val="-1"/>
        </w:rPr>
        <w:t>time</w:t>
      </w:r>
      <w:r w:rsidRPr="0031675F">
        <w:rPr>
          <w:spacing w:val="30"/>
        </w:rPr>
        <w:t xml:space="preserve"> </w:t>
      </w:r>
      <w:r w:rsidRPr="0031675F">
        <w:t>lag</w:t>
      </w:r>
      <w:r w:rsidRPr="0031675F">
        <w:rPr>
          <w:spacing w:val="28"/>
        </w:rPr>
        <w:t xml:space="preserve"> </w:t>
      </w:r>
      <w:r w:rsidRPr="0031675F">
        <w:rPr>
          <w:spacing w:val="-1"/>
        </w:rPr>
        <w:t>between</w:t>
      </w:r>
      <w:r w:rsidRPr="0031675F">
        <w:rPr>
          <w:spacing w:val="28"/>
        </w:rPr>
        <w:t xml:space="preserve"> </w:t>
      </w:r>
      <w:r w:rsidRPr="0031675F">
        <w:rPr>
          <w:spacing w:val="-1"/>
        </w:rPr>
        <w:t>sample</w:t>
      </w:r>
      <w:r w:rsidRPr="0031675F">
        <w:rPr>
          <w:spacing w:val="30"/>
        </w:rPr>
        <w:t xml:space="preserve"> </w:t>
      </w:r>
      <w:r w:rsidRPr="0031675F">
        <w:rPr>
          <w:spacing w:val="-1"/>
        </w:rPr>
        <w:t>runs</w:t>
      </w:r>
      <w:r w:rsidRPr="0031675F">
        <w:rPr>
          <w:spacing w:val="29"/>
        </w:rPr>
        <w:t xml:space="preserve"> </w:t>
      </w:r>
      <w:r w:rsidRPr="0031675F">
        <w:rPr>
          <w:spacing w:val="-1"/>
        </w:rPr>
        <w:t>(&gt;2</w:t>
      </w:r>
      <w:r w:rsidR="00BB13FD">
        <w:rPr>
          <w:spacing w:val="-1"/>
        </w:rPr>
        <w:t xml:space="preserve"> </w:t>
      </w:r>
      <w:r w:rsidRPr="0031675F">
        <w:rPr>
          <w:spacing w:val="-1"/>
        </w:rPr>
        <w:t>days)</w:t>
      </w:r>
      <w:r w:rsidRPr="0031675F">
        <w:rPr>
          <w:spacing w:val="29"/>
        </w:rPr>
        <w:t xml:space="preserve"> </w:t>
      </w:r>
      <w:r w:rsidRPr="0031675F">
        <w:rPr>
          <w:spacing w:val="-1"/>
        </w:rPr>
        <w:t>or</w:t>
      </w:r>
      <w:r w:rsidRPr="0031675F">
        <w:rPr>
          <w:spacing w:val="28"/>
        </w:rPr>
        <w:t xml:space="preserve"> </w:t>
      </w:r>
      <w:r w:rsidRPr="0031675F">
        <w:t>c)</w:t>
      </w:r>
      <w:r w:rsidRPr="0031675F">
        <w:rPr>
          <w:spacing w:val="29"/>
        </w:rPr>
        <w:t xml:space="preserve"> </w:t>
      </w:r>
      <w:r w:rsidRPr="0031675F">
        <w:t>when</w:t>
      </w:r>
      <w:r w:rsidRPr="0031675F">
        <w:rPr>
          <w:spacing w:val="26"/>
        </w:rPr>
        <w:t xml:space="preserve"> </w:t>
      </w:r>
      <w:r w:rsidRPr="0031675F">
        <w:t>the</w:t>
      </w:r>
      <w:r w:rsidRPr="0031675F">
        <w:rPr>
          <w:spacing w:val="28"/>
        </w:rPr>
        <w:t xml:space="preserve"> </w:t>
      </w:r>
      <w:r w:rsidRPr="0031675F">
        <w:rPr>
          <w:spacing w:val="-1"/>
        </w:rPr>
        <w:t>tubes</w:t>
      </w:r>
      <w:r w:rsidRPr="0031675F">
        <w:rPr>
          <w:spacing w:val="29"/>
        </w:rPr>
        <w:t xml:space="preserve"> </w:t>
      </w:r>
      <w:r w:rsidRPr="0031675F">
        <w:rPr>
          <w:spacing w:val="-1"/>
        </w:rPr>
        <w:t>have</w:t>
      </w:r>
      <w:r w:rsidRPr="0031675F">
        <w:rPr>
          <w:spacing w:val="27"/>
        </w:rPr>
        <w:t xml:space="preserve"> </w:t>
      </w:r>
      <w:r w:rsidRPr="0031675F">
        <w:rPr>
          <w:spacing w:val="-1"/>
        </w:rPr>
        <w:t>previously</w:t>
      </w:r>
      <w:r w:rsidRPr="0031675F">
        <w:rPr>
          <w:spacing w:val="30"/>
        </w:rPr>
        <w:t xml:space="preserve"> </w:t>
      </w:r>
      <w:r w:rsidRPr="0031675F">
        <w:rPr>
          <w:spacing w:val="-1"/>
        </w:rPr>
        <w:t>had</w:t>
      </w:r>
      <w:r w:rsidRPr="0031675F">
        <w:rPr>
          <w:spacing w:val="27"/>
        </w:rPr>
        <w:t xml:space="preserve"> </w:t>
      </w:r>
      <w:r w:rsidRPr="0031675F">
        <w:t>high</w:t>
      </w:r>
      <w:r w:rsidRPr="0031675F">
        <w:rPr>
          <w:spacing w:val="49"/>
        </w:rPr>
        <w:t xml:space="preserve"> </w:t>
      </w:r>
      <w:r w:rsidRPr="0031675F">
        <w:rPr>
          <w:rFonts w:cs="Calibri"/>
          <w:spacing w:val="-1"/>
        </w:rPr>
        <w:t>concentration</w:t>
      </w:r>
      <w:r w:rsidRPr="0031675F">
        <w:rPr>
          <w:rFonts w:cs="Calibri"/>
          <w:spacing w:val="16"/>
        </w:rPr>
        <w:t xml:space="preserve"> </w:t>
      </w:r>
      <w:r w:rsidRPr="0031675F">
        <w:rPr>
          <w:rFonts w:cs="Calibri"/>
        </w:rPr>
        <w:t>of</w:t>
      </w:r>
      <w:r w:rsidRPr="0031675F">
        <w:rPr>
          <w:rFonts w:cs="Calibri"/>
          <w:spacing w:val="17"/>
        </w:rPr>
        <w:t xml:space="preserve"> </w:t>
      </w:r>
      <w:r w:rsidRPr="0031675F">
        <w:rPr>
          <w:rFonts w:cs="Calibri"/>
          <w:spacing w:val="-1"/>
        </w:rPr>
        <w:t>ammonia,</w:t>
      </w:r>
      <w:r w:rsidRPr="0031675F">
        <w:rPr>
          <w:rFonts w:cs="Calibri"/>
          <w:spacing w:val="17"/>
        </w:rPr>
        <w:t xml:space="preserve"> </w:t>
      </w:r>
      <w:r w:rsidRPr="0031675F">
        <w:rPr>
          <w:rFonts w:cs="Calibri"/>
        </w:rPr>
        <w:t>it</w:t>
      </w:r>
      <w:r w:rsidRPr="0031675F">
        <w:rPr>
          <w:rFonts w:cs="Calibri"/>
          <w:spacing w:val="17"/>
        </w:rPr>
        <w:t xml:space="preserve"> </w:t>
      </w:r>
      <w:r w:rsidRPr="0031675F">
        <w:rPr>
          <w:rFonts w:cs="Calibri"/>
        </w:rPr>
        <w:t>is</w:t>
      </w:r>
      <w:r w:rsidRPr="0031675F">
        <w:rPr>
          <w:rFonts w:cs="Calibri"/>
          <w:spacing w:val="16"/>
        </w:rPr>
        <w:t xml:space="preserve"> </w:t>
      </w:r>
      <w:r w:rsidRPr="0031675F">
        <w:rPr>
          <w:rFonts w:cs="Calibri"/>
          <w:spacing w:val="-1"/>
        </w:rPr>
        <w:t>advisable</w:t>
      </w:r>
      <w:r w:rsidRPr="0031675F">
        <w:rPr>
          <w:rFonts w:cs="Calibri"/>
          <w:spacing w:val="17"/>
        </w:rPr>
        <w:t xml:space="preserve"> </w:t>
      </w:r>
      <w:r w:rsidRPr="0031675F">
        <w:rPr>
          <w:rFonts w:cs="Calibri"/>
        </w:rPr>
        <w:t>to</w:t>
      </w:r>
      <w:r w:rsidRPr="0031675F">
        <w:rPr>
          <w:rFonts w:cs="Calibri"/>
          <w:spacing w:val="16"/>
        </w:rPr>
        <w:t xml:space="preserve"> </w:t>
      </w:r>
      <w:r w:rsidRPr="0031675F">
        <w:rPr>
          <w:rFonts w:cs="Calibri"/>
          <w:spacing w:val="-1"/>
        </w:rPr>
        <w:t>“burn”</w:t>
      </w:r>
      <w:r w:rsidRPr="0031675F">
        <w:rPr>
          <w:rFonts w:cs="Calibri"/>
          <w:spacing w:val="18"/>
        </w:rPr>
        <w:t xml:space="preserve"> </w:t>
      </w:r>
      <w:r w:rsidRPr="0031675F">
        <w:rPr>
          <w:rFonts w:cs="Calibri"/>
          <w:spacing w:val="-1"/>
        </w:rPr>
        <w:t>them</w:t>
      </w:r>
      <w:r w:rsidRPr="0031675F">
        <w:rPr>
          <w:rFonts w:cs="Calibri"/>
          <w:spacing w:val="18"/>
        </w:rPr>
        <w:t xml:space="preserve"> </w:t>
      </w:r>
      <w:r w:rsidRPr="0031675F">
        <w:rPr>
          <w:rFonts w:cs="Calibri"/>
          <w:spacing w:val="-1"/>
        </w:rPr>
        <w:t>out.</w:t>
      </w:r>
      <w:r w:rsidRPr="0031675F">
        <w:rPr>
          <w:rFonts w:cs="Calibri"/>
          <w:spacing w:val="17"/>
        </w:rPr>
        <w:t xml:space="preserve"> </w:t>
      </w:r>
      <w:r w:rsidRPr="0031675F">
        <w:rPr>
          <w:rFonts w:cs="Calibri"/>
        </w:rPr>
        <w:t>This</w:t>
      </w:r>
      <w:r w:rsidRPr="0031675F">
        <w:rPr>
          <w:rFonts w:cs="Calibri"/>
          <w:spacing w:val="16"/>
        </w:rPr>
        <w:t xml:space="preserve"> </w:t>
      </w:r>
      <w:r w:rsidRPr="0031675F">
        <w:rPr>
          <w:rFonts w:cs="Calibri"/>
        </w:rPr>
        <w:t>is</w:t>
      </w:r>
      <w:r w:rsidRPr="0031675F">
        <w:rPr>
          <w:rFonts w:cs="Calibri"/>
          <w:spacing w:val="16"/>
        </w:rPr>
        <w:t xml:space="preserve"> </w:t>
      </w:r>
      <w:r w:rsidRPr="0031675F">
        <w:rPr>
          <w:rFonts w:cs="Calibri"/>
          <w:spacing w:val="-1"/>
        </w:rPr>
        <w:t>done</w:t>
      </w:r>
      <w:r w:rsidRPr="0031675F">
        <w:rPr>
          <w:rFonts w:cs="Calibri"/>
          <w:spacing w:val="17"/>
        </w:rPr>
        <w:t xml:space="preserve"> </w:t>
      </w:r>
      <w:r w:rsidRPr="0031675F">
        <w:rPr>
          <w:rFonts w:cs="Calibri"/>
          <w:spacing w:val="-1"/>
        </w:rPr>
        <w:t>by</w:t>
      </w:r>
      <w:r w:rsidRPr="0031675F">
        <w:rPr>
          <w:rFonts w:cs="Calibri"/>
          <w:spacing w:val="17"/>
        </w:rPr>
        <w:t xml:space="preserve"> </w:t>
      </w:r>
      <w:r w:rsidRPr="0031675F">
        <w:rPr>
          <w:rFonts w:cs="Calibri"/>
          <w:spacing w:val="-1"/>
        </w:rPr>
        <w:t>filling</w:t>
      </w:r>
      <w:r w:rsidRPr="0031675F">
        <w:rPr>
          <w:rFonts w:cs="Calibri"/>
          <w:spacing w:val="16"/>
        </w:rPr>
        <w:t xml:space="preserve"> </w:t>
      </w:r>
      <w:r w:rsidRPr="0031675F">
        <w:rPr>
          <w:rFonts w:cs="Calibri"/>
        </w:rPr>
        <w:t>the</w:t>
      </w:r>
      <w:r w:rsidRPr="0031675F">
        <w:rPr>
          <w:rFonts w:cs="Calibri"/>
          <w:spacing w:val="17"/>
        </w:rPr>
        <w:t xml:space="preserve"> </w:t>
      </w:r>
      <w:r w:rsidRPr="0031675F">
        <w:rPr>
          <w:rFonts w:cs="Calibri"/>
          <w:spacing w:val="-1"/>
        </w:rPr>
        <w:t>tubes</w:t>
      </w:r>
      <w:r w:rsidRPr="0031675F">
        <w:rPr>
          <w:rFonts w:cs="Calibri"/>
          <w:spacing w:val="17"/>
        </w:rPr>
        <w:t xml:space="preserve"> </w:t>
      </w:r>
      <w:r w:rsidRPr="0031675F">
        <w:rPr>
          <w:rFonts w:cs="Calibri"/>
        </w:rPr>
        <w:t>with</w:t>
      </w:r>
      <w:r w:rsidRPr="0031675F">
        <w:rPr>
          <w:rFonts w:cs="Calibri"/>
          <w:spacing w:val="63"/>
        </w:rPr>
        <w:t xml:space="preserve"> </w:t>
      </w:r>
      <w:r w:rsidRPr="0031675F">
        <w:rPr>
          <w:spacing w:val="-1"/>
        </w:rPr>
        <w:t>20ml</w:t>
      </w:r>
      <w:r w:rsidRPr="0031675F">
        <w:rPr>
          <w:spacing w:val="7"/>
        </w:rPr>
        <w:t xml:space="preserve"> </w:t>
      </w:r>
      <w:r w:rsidRPr="0031675F">
        <w:t>of</w:t>
      </w:r>
      <w:r w:rsidRPr="0031675F">
        <w:rPr>
          <w:spacing w:val="9"/>
        </w:rPr>
        <w:t xml:space="preserve"> </w:t>
      </w:r>
      <w:r w:rsidRPr="0031675F">
        <w:rPr>
          <w:spacing w:val="-1"/>
        </w:rPr>
        <w:t>fresh</w:t>
      </w:r>
      <w:r w:rsidRPr="0031675F">
        <w:rPr>
          <w:spacing w:val="9"/>
        </w:rPr>
        <w:t xml:space="preserve"> </w:t>
      </w:r>
      <w:r w:rsidRPr="0031675F">
        <w:rPr>
          <w:spacing w:val="-1"/>
        </w:rPr>
        <w:t>deionised</w:t>
      </w:r>
      <w:r w:rsidRPr="0031675F">
        <w:rPr>
          <w:spacing w:val="6"/>
        </w:rPr>
        <w:t xml:space="preserve"> </w:t>
      </w:r>
      <w:r w:rsidRPr="0031675F">
        <w:rPr>
          <w:spacing w:val="-1"/>
        </w:rPr>
        <w:t>water,</w:t>
      </w:r>
      <w:r w:rsidRPr="0031675F">
        <w:rPr>
          <w:spacing w:val="9"/>
        </w:rPr>
        <w:t xml:space="preserve"> </w:t>
      </w:r>
      <w:r w:rsidRPr="0031675F">
        <w:rPr>
          <w:spacing w:val="-1"/>
        </w:rPr>
        <w:t>adding</w:t>
      </w:r>
      <w:r w:rsidRPr="0031675F">
        <w:rPr>
          <w:spacing w:val="9"/>
        </w:rPr>
        <w:t xml:space="preserve"> </w:t>
      </w:r>
      <w:r w:rsidRPr="0031675F">
        <w:rPr>
          <w:spacing w:val="-1"/>
        </w:rPr>
        <w:t>5</w:t>
      </w:r>
      <w:r w:rsidR="00BB13FD">
        <w:rPr>
          <w:spacing w:val="-1"/>
        </w:rPr>
        <w:t xml:space="preserve"> mL</w:t>
      </w:r>
      <w:r w:rsidRPr="0031675F">
        <w:rPr>
          <w:spacing w:val="9"/>
        </w:rPr>
        <w:t xml:space="preserve"> </w:t>
      </w:r>
      <w:r w:rsidRPr="0031675F">
        <w:t>of</w:t>
      </w:r>
      <w:r w:rsidRPr="0031675F">
        <w:rPr>
          <w:spacing w:val="7"/>
        </w:rPr>
        <w:t xml:space="preserve"> </w:t>
      </w:r>
      <w:r w:rsidRPr="0031675F">
        <w:rPr>
          <w:spacing w:val="-1"/>
        </w:rPr>
        <w:t>working</w:t>
      </w:r>
      <w:r w:rsidRPr="0031675F">
        <w:rPr>
          <w:spacing w:val="9"/>
        </w:rPr>
        <w:t xml:space="preserve"> </w:t>
      </w:r>
      <w:r w:rsidRPr="0031675F">
        <w:rPr>
          <w:spacing w:val="-1"/>
        </w:rPr>
        <w:t>reagent,</w:t>
      </w:r>
      <w:r w:rsidRPr="0031675F">
        <w:rPr>
          <w:spacing w:val="7"/>
        </w:rPr>
        <w:t xml:space="preserve"> </w:t>
      </w:r>
      <w:r w:rsidRPr="0031675F">
        <w:rPr>
          <w:spacing w:val="-1"/>
        </w:rPr>
        <w:t>mixing</w:t>
      </w:r>
      <w:r w:rsidRPr="0031675F">
        <w:rPr>
          <w:spacing w:val="9"/>
        </w:rPr>
        <w:t xml:space="preserve"> </w:t>
      </w:r>
      <w:r w:rsidRPr="0031675F">
        <w:t>the</w:t>
      </w:r>
      <w:r w:rsidRPr="0031675F">
        <w:rPr>
          <w:spacing w:val="7"/>
        </w:rPr>
        <w:t xml:space="preserve"> </w:t>
      </w:r>
      <w:r w:rsidRPr="0031675F">
        <w:rPr>
          <w:spacing w:val="-1"/>
        </w:rPr>
        <w:t>contents</w:t>
      </w:r>
      <w:r w:rsidRPr="0031675F">
        <w:rPr>
          <w:spacing w:val="9"/>
        </w:rPr>
        <w:t xml:space="preserve"> </w:t>
      </w:r>
      <w:r w:rsidRPr="0031675F">
        <w:rPr>
          <w:spacing w:val="-1"/>
        </w:rPr>
        <w:t>by</w:t>
      </w:r>
      <w:r w:rsidRPr="0031675F">
        <w:rPr>
          <w:spacing w:val="10"/>
        </w:rPr>
        <w:t xml:space="preserve"> </w:t>
      </w:r>
      <w:r w:rsidRPr="0031675F">
        <w:rPr>
          <w:spacing w:val="-1"/>
        </w:rPr>
        <w:t>inversion</w:t>
      </w:r>
      <w:r w:rsidRPr="0031675F">
        <w:rPr>
          <w:spacing w:val="9"/>
        </w:rPr>
        <w:t xml:space="preserve"> </w:t>
      </w:r>
      <w:r w:rsidRPr="0031675F">
        <w:rPr>
          <w:spacing w:val="-1"/>
        </w:rPr>
        <w:t>and</w:t>
      </w:r>
      <w:r w:rsidRPr="0031675F">
        <w:rPr>
          <w:spacing w:val="85"/>
        </w:rPr>
        <w:t xml:space="preserve"> </w:t>
      </w:r>
      <w:r w:rsidRPr="0031675F">
        <w:rPr>
          <w:spacing w:val="-1"/>
        </w:rPr>
        <w:t>soaking</w:t>
      </w:r>
      <w:r w:rsidRPr="0031675F">
        <w:rPr>
          <w:spacing w:val="13"/>
        </w:rPr>
        <w:t xml:space="preserve"> </w:t>
      </w:r>
      <w:r w:rsidRPr="0031675F">
        <w:rPr>
          <w:spacing w:val="-1"/>
        </w:rPr>
        <w:t>them</w:t>
      </w:r>
      <w:r w:rsidRPr="0031675F">
        <w:rPr>
          <w:spacing w:val="15"/>
        </w:rPr>
        <w:t xml:space="preserve"> </w:t>
      </w:r>
      <w:r w:rsidRPr="0031675F">
        <w:rPr>
          <w:spacing w:val="-1"/>
        </w:rPr>
        <w:t>for</w:t>
      </w:r>
      <w:r w:rsidRPr="0031675F">
        <w:rPr>
          <w:spacing w:val="14"/>
        </w:rPr>
        <w:t xml:space="preserve"> </w:t>
      </w:r>
      <w:r w:rsidRPr="0031675F">
        <w:rPr>
          <w:spacing w:val="-1"/>
        </w:rPr>
        <w:t>several</w:t>
      </w:r>
      <w:r w:rsidRPr="0031675F">
        <w:rPr>
          <w:spacing w:val="14"/>
        </w:rPr>
        <w:t xml:space="preserve"> </w:t>
      </w:r>
      <w:r w:rsidRPr="0031675F">
        <w:rPr>
          <w:spacing w:val="-1"/>
        </w:rPr>
        <w:t>hours.</w:t>
      </w:r>
      <w:r w:rsidRPr="0031675F">
        <w:rPr>
          <w:spacing w:val="27"/>
        </w:rPr>
        <w:t xml:space="preserve"> </w:t>
      </w:r>
      <w:r w:rsidRPr="0031675F">
        <w:rPr>
          <w:spacing w:val="-1"/>
        </w:rPr>
        <w:t>This</w:t>
      </w:r>
      <w:r w:rsidRPr="0031675F">
        <w:rPr>
          <w:spacing w:val="14"/>
        </w:rPr>
        <w:t xml:space="preserve"> </w:t>
      </w:r>
      <w:r w:rsidRPr="0031675F">
        <w:t>will</w:t>
      </w:r>
      <w:r w:rsidRPr="0031675F">
        <w:rPr>
          <w:spacing w:val="14"/>
        </w:rPr>
        <w:t xml:space="preserve"> </w:t>
      </w:r>
      <w:r w:rsidRPr="0031675F">
        <w:rPr>
          <w:spacing w:val="-1"/>
        </w:rPr>
        <w:t>strip</w:t>
      </w:r>
      <w:r w:rsidRPr="0031675F">
        <w:rPr>
          <w:spacing w:val="14"/>
        </w:rPr>
        <w:t xml:space="preserve"> </w:t>
      </w:r>
      <w:r w:rsidRPr="0031675F">
        <w:t>the</w:t>
      </w:r>
      <w:r w:rsidRPr="0031675F">
        <w:rPr>
          <w:spacing w:val="19"/>
        </w:rPr>
        <w:t xml:space="preserve"> </w:t>
      </w:r>
      <w:r w:rsidRPr="0031675F">
        <w:t>glass</w:t>
      </w:r>
      <w:r w:rsidRPr="0031675F">
        <w:rPr>
          <w:spacing w:val="14"/>
        </w:rPr>
        <w:t xml:space="preserve"> </w:t>
      </w:r>
      <w:r w:rsidRPr="0031675F">
        <w:t>walls</w:t>
      </w:r>
      <w:r w:rsidRPr="0031675F">
        <w:rPr>
          <w:spacing w:val="14"/>
        </w:rPr>
        <w:t xml:space="preserve"> </w:t>
      </w:r>
      <w:r w:rsidRPr="0031675F">
        <w:rPr>
          <w:spacing w:val="-1"/>
        </w:rPr>
        <w:t>and</w:t>
      </w:r>
      <w:r w:rsidRPr="0031675F">
        <w:rPr>
          <w:spacing w:val="14"/>
        </w:rPr>
        <w:t xml:space="preserve"> </w:t>
      </w:r>
      <w:r w:rsidRPr="0031675F">
        <w:rPr>
          <w:spacing w:val="-1"/>
        </w:rPr>
        <w:t>stopper</w:t>
      </w:r>
      <w:r w:rsidRPr="0031675F">
        <w:rPr>
          <w:spacing w:val="14"/>
        </w:rPr>
        <w:t xml:space="preserve"> </w:t>
      </w:r>
      <w:r w:rsidRPr="0031675F">
        <w:t>of</w:t>
      </w:r>
      <w:r w:rsidRPr="0031675F">
        <w:rPr>
          <w:spacing w:val="14"/>
        </w:rPr>
        <w:t xml:space="preserve"> </w:t>
      </w:r>
      <w:r w:rsidRPr="0031675F">
        <w:rPr>
          <w:spacing w:val="-2"/>
        </w:rPr>
        <w:t>any</w:t>
      </w:r>
      <w:r w:rsidRPr="0031675F">
        <w:rPr>
          <w:spacing w:val="15"/>
        </w:rPr>
        <w:t xml:space="preserve"> </w:t>
      </w:r>
      <w:r w:rsidRPr="0031675F">
        <w:rPr>
          <w:spacing w:val="-1"/>
        </w:rPr>
        <w:t>residual</w:t>
      </w:r>
      <w:r w:rsidRPr="0031675F">
        <w:rPr>
          <w:spacing w:val="14"/>
        </w:rPr>
        <w:t xml:space="preserve"> </w:t>
      </w:r>
      <w:r w:rsidRPr="0031675F">
        <w:rPr>
          <w:spacing w:val="-1"/>
        </w:rPr>
        <w:t>ammonia</w:t>
      </w:r>
      <w:r w:rsidRPr="0031675F">
        <w:rPr>
          <w:spacing w:val="73"/>
        </w:rPr>
        <w:t xml:space="preserve"> </w:t>
      </w:r>
      <w:r w:rsidRPr="0031675F">
        <w:rPr>
          <w:spacing w:val="-1"/>
        </w:rPr>
        <w:t xml:space="preserve">adhering </w:t>
      </w:r>
      <w:r w:rsidRPr="0031675F">
        <w:t>to</w:t>
      </w:r>
      <w:r w:rsidRPr="0031675F">
        <w:rPr>
          <w:spacing w:val="-1"/>
        </w:rPr>
        <w:t xml:space="preserve"> them.</w:t>
      </w:r>
    </w:p>
    <w:p w14:paraId="2610FF54" w14:textId="77777777" w:rsidR="0031675F" w:rsidRPr="0031675F" w:rsidRDefault="0031675F" w:rsidP="0031675F">
      <w:pPr>
        <w:rPr>
          <w:rFonts w:cs="Calibri"/>
          <w:sz w:val="20"/>
          <w:szCs w:val="20"/>
        </w:rPr>
      </w:pPr>
    </w:p>
    <w:p w14:paraId="751FEF89" w14:textId="77777777" w:rsidR="0031675F" w:rsidRPr="0031675F" w:rsidRDefault="0031675F" w:rsidP="0031675F">
      <w:pPr>
        <w:widowControl w:val="0"/>
        <w:numPr>
          <w:ilvl w:val="1"/>
          <w:numId w:val="121"/>
        </w:numPr>
        <w:tabs>
          <w:tab w:val="left" w:pos="686"/>
        </w:tabs>
        <w:spacing w:before="206" w:after="0" w:line="240" w:lineRule="auto"/>
        <w:ind w:left="685"/>
        <w:rPr>
          <w:rFonts w:eastAsia="Arial" w:cs="Arial"/>
          <w:sz w:val="24"/>
          <w:szCs w:val="24"/>
        </w:rPr>
      </w:pPr>
      <w:r w:rsidRPr="0031675F">
        <w:rPr>
          <w:b/>
          <w:spacing w:val="-1"/>
          <w:sz w:val="24"/>
        </w:rPr>
        <w:t xml:space="preserve">Materials </w:t>
      </w:r>
      <w:r w:rsidRPr="0031675F">
        <w:rPr>
          <w:b/>
          <w:sz w:val="24"/>
        </w:rPr>
        <w:t xml:space="preserve">and </w:t>
      </w:r>
      <w:r w:rsidRPr="0031675F">
        <w:rPr>
          <w:b/>
          <w:spacing w:val="-1"/>
          <w:sz w:val="24"/>
        </w:rPr>
        <w:t>equipment</w:t>
      </w:r>
    </w:p>
    <w:p w14:paraId="6535598C" w14:textId="77777777" w:rsidR="0031675F" w:rsidRPr="0031675F" w:rsidRDefault="0031675F" w:rsidP="0031675F">
      <w:pPr>
        <w:spacing w:before="9"/>
        <w:rPr>
          <w:rFonts w:eastAsia="Arial" w:cs="Arial"/>
          <w:b/>
          <w:bCs/>
          <w:sz w:val="20"/>
          <w:szCs w:val="20"/>
        </w:rPr>
      </w:pPr>
    </w:p>
    <w:p w14:paraId="4AB93696" w14:textId="77777777" w:rsidR="0031675F" w:rsidRPr="0031675F" w:rsidRDefault="0031675F" w:rsidP="0031675F">
      <w:pPr>
        <w:widowControl w:val="0"/>
        <w:numPr>
          <w:ilvl w:val="2"/>
          <w:numId w:val="121"/>
        </w:numPr>
        <w:tabs>
          <w:tab w:val="left" w:pos="686"/>
        </w:tabs>
        <w:spacing w:before="0" w:after="0" w:line="240" w:lineRule="auto"/>
        <w:rPr>
          <w:rFonts w:eastAsia="Arial" w:cs="Arial"/>
          <w:sz w:val="20"/>
          <w:szCs w:val="20"/>
        </w:rPr>
      </w:pPr>
      <w:r w:rsidRPr="0031675F">
        <w:rPr>
          <w:b/>
          <w:sz w:val="20"/>
        </w:rPr>
        <w:t>Laboratory</w:t>
      </w:r>
      <w:r w:rsidRPr="0031675F">
        <w:rPr>
          <w:b/>
          <w:spacing w:val="-10"/>
          <w:sz w:val="20"/>
        </w:rPr>
        <w:t xml:space="preserve"> </w:t>
      </w:r>
      <w:r w:rsidRPr="0031675F">
        <w:rPr>
          <w:b/>
          <w:sz w:val="20"/>
        </w:rPr>
        <w:t>preparation</w:t>
      </w:r>
      <w:r w:rsidRPr="0031675F">
        <w:rPr>
          <w:b/>
          <w:spacing w:val="-6"/>
          <w:sz w:val="20"/>
        </w:rPr>
        <w:t xml:space="preserve"> </w:t>
      </w:r>
      <w:r w:rsidRPr="0031675F">
        <w:rPr>
          <w:b/>
          <w:sz w:val="20"/>
        </w:rPr>
        <w:t>prior</w:t>
      </w:r>
      <w:r w:rsidRPr="0031675F">
        <w:rPr>
          <w:b/>
          <w:spacing w:val="-8"/>
          <w:sz w:val="20"/>
        </w:rPr>
        <w:t xml:space="preserve"> </w:t>
      </w:r>
      <w:r w:rsidRPr="0031675F">
        <w:rPr>
          <w:b/>
          <w:sz w:val="20"/>
        </w:rPr>
        <w:t>to</w:t>
      </w:r>
      <w:r w:rsidRPr="0031675F">
        <w:rPr>
          <w:b/>
          <w:spacing w:val="-6"/>
          <w:sz w:val="20"/>
        </w:rPr>
        <w:t xml:space="preserve"> </w:t>
      </w:r>
      <w:r w:rsidRPr="0031675F">
        <w:rPr>
          <w:b/>
          <w:sz w:val="20"/>
        </w:rPr>
        <w:t>going</w:t>
      </w:r>
      <w:r w:rsidRPr="0031675F">
        <w:rPr>
          <w:b/>
          <w:spacing w:val="-7"/>
          <w:sz w:val="20"/>
        </w:rPr>
        <w:t xml:space="preserve"> </w:t>
      </w:r>
      <w:r w:rsidRPr="0031675F">
        <w:rPr>
          <w:b/>
          <w:sz w:val="20"/>
        </w:rPr>
        <w:t>to</w:t>
      </w:r>
      <w:r w:rsidRPr="0031675F">
        <w:rPr>
          <w:b/>
          <w:spacing w:val="-6"/>
          <w:sz w:val="20"/>
        </w:rPr>
        <w:t xml:space="preserve"> </w:t>
      </w:r>
      <w:r w:rsidRPr="0031675F">
        <w:rPr>
          <w:b/>
          <w:spacing w:val="-1"/>
          <w:sz w:val="20"/>
        </w:rPr>
        <w:t>sea</w:t>
      </w:r>
    </w:p>
    <w:p w14:paraId="3E6FF375" w14:textId="77777777" w:rsidR="0031675F" w:rsidRPr="0031675F" w:rsidRDefault="0031675F" w:rsidP="0031675F">
      <w:pPr>
        <w:spacing w:before="1"/>
        <w:rPr>
          <w:rFonts w:eastAsia="Arial" w:cs="Arial"/>
          <w:b/>
          <w:bCs/>
          <w:sz w:val="21"/>
          <w:szCs w:val="21"/>
        </w:rPr>
      </w:pPr>
    </w:p>
    <w:p w14:paraId="67DB969C" w14:textId="77777777" w:rsidR="0031675F" w:rsidRPr="0031675F" w:rsidRDefault="0031675F" w:rsidP="0031675F">
      <w:pPr>
        <w:widowControl w:val="0"/>
        <w:numPr>
          <w:ilvl w:val="0"/>
          <w:numId w:val="120"/>
        </w:numPr>
        <w:tabs>
          <w:tab w:val="left" w:pos="403"/>
        </w:tabs>
        <w:spacing w:before="0" w:after="0" w:line="240" w:lineRule="auto"/>
      </w:pPr>
      <w:r w:rsidRPr="0031675F">
        <w:t>2 x</w:t>
      </w:r>
      <w:r w:rsidRPr="0031675F">
        <w:rPr>
          <w:spacing w:val="-2"/>
        </w:rPr>
        <w:t xml:space="preserve"> </w:t>
      </w:r>
      <w:r w:rsidRPr="0031675F">
        <w:rPr>
          <w:spacing w:val="-1"/>
        </w:rPr>
        <w:t>100</w:t>
      </w:r>
      <w:r w:rsidRPr="0031675F">
        <w:rPr>
          <w:spacing w:val="-2"/>
        </w:rPr>
        <w:t xml:space="preserve"> </w:t>
      </w:r>
      <w:r w:rsidRPr="0031675F">
        <w:t xml:space="preserve">ml </w:t>
      </w:r>
      <w:r w:rsidRPr="0031675F">
        <w:rPr>
          <w:spacing w:val="-1"/>
        </w:rPr>
        <w:t>acid cleaned</w:t>
      </w:r>
      <w:r w:rsidRPr="0031675F">
        <w:t xml:space="preserve"> </w:t>
      </w:r>
      <w:r w:rsidRPr="0031675F">
        <w:rPr>
          <w:spacing w:val="-1"/>
        </w:rPr>
        <w:t>Schott</w:t>
      </w:r>
      <w:r w:rsidRPr="0031675F">
        <w:rPr>
          <w:spacing w:val="-2"/>
        </w:rPr>
        <w:t xml:space="preserve"> </w:t>
      </w:r>
      <w:r w:rsidRPr="0031675F">
        <w:rPr>
          <w:spacing w:val="-1"/>
        </w:rPr>
        <w:t>bottles</w:t>
      </w:r>
      <w:r w:rsidRPr="0031675F">
        <w:rPr>
          <w:spacing w:val="1"/>
        </w:rPr>
        <w:t xml:space="preserve"> </w:t>
      </w:r>
      <w:r w:rsidRPr="0031675F">
        <w:rPr>
          <w:spacing w:val="-1"/>
        </w:rPr>
        <w:t>for</w:t>
      </w:r>
      <w:r w:rsidRPr="0031675F">
        <w:t xml:space="preserve"> </w:t>
      </w:r>
      <w:r w:rsidRPr="0031675F">
        <w:rPr>
          <w:spacing w:val="-2"/>
        </w:rPr>
        <w:t>NH4</w:t>
      </w:r>
      <w:r w:rsidRPr="0031675F">
        <w:t xml:space="preserve"> </w:t>
      </w:r>
      <w:r w:rsidRPr="0031675F">
        <w:rPr>
          <w:spacing w:val="-1"/>
        </w:rPr>
        <w:t>stock</w:t>
      </w:r>
      <w:r w:rsidRPr="0031675F">
        <w:t xml:space="preserve"> </w:t>
      </w:r>
      <w:r w:rsidRPr="0031675F">
        <w:rPr>
          <w:spacing w:val="-1"/>
        </w:rPr>
        <w:t>solution.</w:t>
      </w:r>
    </w:p>
    <w:p w14:paraId="6E2DC6F8" w14:textId="77777777" w:rsidR="0031675F" w:rsidRPr="0031675F" w:rsidRDefault="0031675F" w:rsidP="0031675F">
      <w:pPr>
        <w:widowControl w:val="0"/>
        <w:numPr>
          <w:ilvl w:val="0"/>
          <w:numId w:val="120"/>
        </w:numPr>
        <w:tabs>
          <w:tab w:val="left" w:pos="403"/>
        </w:tabs>
        <w:spacing w:before="58" w:after="0" w:line="240" w:lineRule="auto"/>
      </w:pPr>
      <w:r w:rsidRPr="0031675F">
        <w:t>2 litre</w:t>
      </w:r>
      <w:r w:rsidRPr="0031675F">
        <w:rPr>
          <w:spacing w:val="-2"/>
        </w:rPr>
        <w:t xml:space="preserve"> </w:t>
      </w:r>
      <w:r w:rsidRPr="0031675F">
        <w:rPr>
          <w:spacing w:val="-1"/>
        </w:rPr>
        <w:t>volumetric</w:t>
      </w:r>
      <w:r w:rsidRPr="0031675F">
        <w:rPr>
          <w:spacing w:val="-3"/>
        </w:rPr>
        <w:t xml:space="preserve"> </w:t>
      </w:r>
      <w:r w:rsidRPr="0031675F">
        <w:rPr>
          <w:spacing w:val="-1"/>
        </w:rPr>
        <w:t>flask</w:t>
      </w:r>
      <w:r w:rsidRPr="0031675F">
        <w:rPr>
          <w:spacing w:val="-2"/>
        </w:rPr>
        <w:t xml:space="preserve"> </w:t>
      </w:r>
      <w:r w:rsidRPr="0031675F">
        <w:t>for</w:t>
      </w:r>
      <w:r w:rsidRPr="0031675F">
        <w:rPr>
          <w:spacing w:val="-3"/>
        </w:rPr>
        <w:t xml:space="preserve"> </w:t>
      </w:r>
      <w:r w:rsidRPr="0031675F">
        <w:rPr>
          <w:spacing w:val="-1"/>
        </w:rPr>
        <w:t>sodium</w:t>
      </w:r>
      <w:r w:rsidRPr="0031675F">
        <w:rPr>
          <w:spacing w:val="1"/>
        </w:rPr>
        <w:t xml:space="preserve"> </w:t>
      </w:r>
      <w:r w:rsidRPr="0031675F">
        <w:rPr>
          <w:spacing w:val="-1"/>
        </w:rPr>
        <w:t>tetraborate.</w:t>
      </w:r>
    </w:p>
    <w:p w14:paraId="6D37124D" w14:textId="2C68A703" w:rsidR="0031675F" w:rsidRPr="0031675F" w:rsidRDefault="0031675F" w:rsidP="0031675F">
      <w:pPr>
        <w:widowControl w:val="0"/>
        <w:numPr>
          <w:ilvl w:val="0"/>
          <w:numId w:val="120"/>
        </w:numPr>
        <w:tabs>
          <w:tab w:val="left" w:pos="403"/>
        </w:tabs>
        <w:spacing w:before="60" w:after="0" w:line="240" w:lineRule="auto"/>
      </w:pPr>
      <w:r w:rsidRPr="0031675F">
        <w:rPr>
          <w:spacing w:val="-1"/>
        </w:rPr>
        <w:t>100</w:t>
      </w:r>
      <w:r w:rsidRPr="0031675F">
        <w:rPr>
          <w:spacing w:val="-2"/>
        </w:rPr>
        <w:t xml:space="preserve"> </w:t>
      </w:r>
      <w:r w:rsidR="00BB13FD">
        <w:t>mL</w:t>
      </w:r>
      <w:r w:rsidRPr="0031675F">
        <w:t xml:space="preserve"> </w:t>
      </w:r>
      <w:r w:rsidRPr="0031675F">
        <w:rPr>
          <w:spacing w:val="-1"/>
        </w:rPr>
        <w:t>volumetric</w:t>
      </w:r>
      <w:r w:rsidRPr="0031675F">
        <w:t xml:space="preserve"> </w:t>
      </w:r>
      <w:r w:rsidRPr="0031675F">
        <w:rPr>
          <w:spacing w:val="-1"/>
        </w:rPr>
        <w:t>flask</w:t>
      </w:r>
      <w:r w:rsidRPr="0031675F">
        <w:rPr>
          <w:spacing w:val="-2"/>
        </w:rPr>
        <w:t xml:space="preserve"> </w:t>
      </w:r>
      <w:r w:rsidRPr="0031675F">
        <w:t>for</w:t>
      </w:r>
      <w:r w:rsidRPr="0031675F">
        <w:rPr>
          <w:spacing w:val="-5"/>
        </w:rPr>
        <w:t xml:space="preserve"> </w:t>
      </w:r>
      <w:r w:rsidRPr="0031675F">
        <w:t>OPA.</w:t>
      </w:r>
    </w:p>
    <w:p w14:paraId="74C5F7B3" w14:textId="213F2898" w:rsidR="0031675F" w:rsidRPr="0031675F" w:rsidRDefault="0031675F" w:rsidP="0031675F">
      <w:pPr>
        <w:widowControl w:val="0"/>
        <w:numPr>
          <w:ilvl w:val="0"/>
          <w:numId w:val="120"/>
        </w:numPr>
        <w:tabs>
          <w:tab w:val="left" w:pos="403"/>
        </w:tabs>
        <w:spacing w:before="60" w:after="0" w:line="240" w:lineRule="auto"/>
      </w:pPr>
      <w:r w:rsidRPr="0031675F">
        <w:rPr>
          <w:spacing w:val="-1"/>
        </w:rPr>
        <w:t>150</w:t>
      </w:r>
      <w:r w:rsidRPr="0031675F">
        <w:rPr>
          <w:spacing w:val="-2"/>
        </w:rPr>
        <w:t xml:space="preserve"> </w:t>
      </w:r>
      <w:r w:rsidR="00BB13FD">
        <w:t>mL</w:t>
      </w:r>
      <w:r w:rsidRPr="0031675F">
        <w:t xml:space="preserve"> </w:t>
      </w:r>
      <w:r w:rsidRPr="0031675F">
        <w:rPr>
          <w:spacing w:val="-1"/>
        </w:rPr>
        <w:t>glass bottle</w:t>
      </w:r>
      <w:r w:rsidRPr="0031675F">
        <w:t xml:space="preserve"> </w:t>
      </w:r>
      <w:r w:rsidRPr="0031675F">
        <w:rPr>
          <w:spacing w:val="-1"/>
        </w:rPr>
        <w:t>for</w:t>
      </w:r>
      <w:r w:rsidRPr="0031675F">
        <w:t xml:space="preserve"> </w:t>
      </w:r>
      <w:r w:rsidRPr="0031675F">
        <w:rPr>
          <w:spacing w:val="-1"/>
        </w:rPr>
        <w:t>sodium</w:t>
      </w:r>
      <w:r w:rsidRPr="0031675F">
        <w:rPr>
          <w:spacing w:val="1"/>
        </w:rPr>
        <w:t xml:space="preserve"> </w:t>
      </w:r>
      <w:r w:rsidRPr="0031675F">
        <w:rPr>
          <w:spacing w:val="-1"/>
        </w:rPr>
        <w:t>sulfite.</w:t>
      </w:r>
    </w:p>
    <w:p w14:paraId="69BC853C" w14:textId="5116B7E0" w:rsidR="0031675F" w:rsidRPr="0031675F" w:rsidRDefault="0031675F" w:rsidP="0031675F">
      <w:pPr>
        <w:widowControl w:val="0"/>
        <w:numPr>
          <w:ilvl w:val="0"/>
          <w:numId w:val="120"/>
        </w:numPr>
        <w:tabs>
          <w:tab w:val="left" w:pos="403"/>
        </w:tabs>
        <w:spacing w:before="60" w:after="0" w:line="240" w:lineRule="auto"/>
      </w:pPr>
      <w:r w:rsidRPr="0031675F">
        <w:t>10</w:t>
      </w:r>
      <w:r w:rsidRPr="0031675F">
        <w:rPr>
          <w:spacing w:val="-2"/>
        </w:rPr>
        <w:t xml:space="preserve"> </w:t>
      </w:r>
      <w:r w:rsidR="00BB13FD">
        <w:t>mL</w:t>
      </w:r>
      <w:r w:rsidRPr="0031675F">
        <w:t xml:space="preserve"> </w:t>
      </w:r>
      <w:r w:rsidRPr="0031675F">
        <w:rPr>
          <w:spacing w:val="-1"/>
        </w:rPr>
        <w:t>pipette.</w:t>
      </w:r>
    </w:p>
    <w:p w14:paraId="00504EB4" w14:textId="77777777" w:rsidR="0031675F" w:rsidRPr="0031675F" w:rsidRDefault="0031675F" w:rsidP="0031675F">
      <w:pPr>
        <w:widowControl w:val="0"/>
        <w:numPr>
          <w:ilvl w:val="0"/>
          <w:numId w:val="120"/>
        </w:numPr>
        <w:tabs>
          <w:tab w:val="left" w:pos="403"/>
        </w:tabs>
        <w:spacing w:before="60" w:after="0" w:line="240" w:lineRule="auto"/>
      </w:pPr>
      <w:r w:rsidRPr="0031675F">
        <w:t>2 litre</w:t>
      </w:r>
      <w:r w:rsidRPr="0031675F">
        <w:rPr>
          <w:spacing w:val="-2"/>
        </w:rPr>
        <w:t xml:space="preserve"> </w:t>
      </w:r>
      <w:r w:rsidRPr="0031675F">
        <w:rPr>
          <w:spacing w:val="-1"/>
        </w:rPr>
        <w:t>brown</w:t>
      </w:r>
      <w:r w:rsidRPr="0031675F">
        <w:t xml:space="preserve"> </w:t>
      </w:r>
      <w:r w:rsidRPr="0031675F">
        <w:rPr>
          <w:spacing w:val="-1"/>
        </w:rPr>
        <w:t>polyethylene</w:t>
      </w:r>
      <w:r w:rsidRPr="0031675F">
        <w:rPr>
          <w:spacing w:val="-4"/>
        </w:rPr>
        <w:t xml:space="preserve"> </w:t>
      </w:r>
      <w:r w:rsidRPr="0031675F">
        <w:rPr>
          <w:spacing w:val="-1"/>
        </w:rPr>
        <w:t>bottles</w:t>
      </w:r>
      <w:r w:rsidRPr="0031675F">
        <w:t xml:space="preserve"> </w:t>
      </w:r>
      <w:r w:rsidRPr="0031675F">
        <w:rPr>
          <w:spacing w:val="-1"/>
        </w:rPr>
        <w:t>for</w:t>
      </w:r>
      <w:r w:rsidRPr="0031675F">
        <w:t xml:space="preserve"> </w:t>
      </w:r>
      <w:r w:rsidRPr="0031675F">
        <w:rPr>
          <w:spacing w:val="-1"/>
        </w:rPr>
        <w:t>working reagent</w:t>
      </w:r>
      <w:r w:rsidRPr="0031675F">
        <w:rPr>
          <w:spacing w:val="-2"/>
        </w:rPr>
        <w:t xml:space="preserve"> </w:t>
      </w:r>
      <w:r w:rsidRPr="0031675F">
        <w:t>(WR).</w:t>
      </w:r>
    </w:p>
    <w:p w14:paraId="23E80531" w14:textId="77777777" w:rsidR="0031675F" w:rsidRPr="0031675F" w:rsidRDefault="0031675F" w:rsidP="0031675F">
      <w:pPr>
        <w:widowControl w:val="0"/>
        <w:numPr>
          <w:ilvl w:val="0"/>
          <w:numId w:val="120"/>
        </w:numPr>
        <w:tabs>
          <w:tab w:val="left" w:pos="403"/>
        </w:tabs>
        <w:spacing w:before="58" w:after="0" w:line="240" w:lineRule="auto"/>
      </w:pPr>
      <w:r w:rsidRPr="0031675F">
        <w:rPr>
          <w:spacing w:val="-1"/>
        </w:rPr>
        <w:t>Magnetic</w:t>
      </w:r>
      <w:r w:rsidRPr="0031675F">
        <w:rPr>
          <w:spacing w:val="-3"/>
        </w:rPr>
        <w:t xml:space="preserve"> </w:t>
      </w:r>
      <w:r w:rsidRPr="0031675F">
        <w:rPr>
          <w:spacing w:val="-1"/>
        </w:rPr>
        <w:t>stirrer</w:t>
      </w:r>
      <w:r w:rsidRPr="0031675F">
        <w:rPr>
          <w:spacing w:val="-2"/>
        </w:rPr>
        <w:t xml:space="preserve"> </w:t>
      </w:r>
      <w:r w:rsidRPr="0031675F">
        <w:rPr>
          <w:spacing w:val="-1"/>
        </w:rPr>
        <w:t xml:space="preserve">to </w:t>
      </w:r>
      <w:r w:rsidRPr="0031675F">
        <w:t xml:space="preserve">mix </w:t>
      </w:r>
      <w:r w:rsidRPr="0031675F">
        <w:rPr>
          <w:spacing w:val="-2"/>
        </w:rPr>
        <w:t>sodium</w:t>
      </w:r>
      <w:r w:rsidRPr="0031675F">
        <w:rPr>
          <w:spacing w:val="1"/>
        </w:rPr>
        <w:t xml:space="preserve"> </w:t>
      </w:r>
      <w:r w:rsidRPr="0031675F">
        <w:rPr>
          <w:spacing w:val="-1"/>
        </w:rPr>
        <w:t>tetraborate</w:t>
      </w:r>
      <w:r w:rsidRPr="0031675F">
        <w:rPr>
          <w:spacing w:val="-2"/>
        </w:rPr>
        <w:t xml:space="preserve"> </w:t>
      </w:r>
      <w:r w:rsidRPr="0031675F">
        <w:rPr>
          <w:spacing w:val="-1"/>
        </w:rPr>
        <w:t>buffer.</w:t>
      </w:r>
    </w:p>
    <w:p w14:paraId="171BEC51" w14:textId="77777777" w:rsidR="0031675F" w:rsidRPr="0031675F" w:rsidRDefault="0031675F" w:rsidP="0031675F">
      <w:pPr>
        <w:widowControl w:val="0"/>
        <w:numPr>
          <w:ilvl w:val="0"/>
          <w:numId w:val="120"/>
        </w:numPr>
        <w:tabs>
          <w:tab w:val="left" w:pos="403"/>
        </w:tabs>
        <w:spacing w:before="60" w:after="0" w:line="240" w:lineRule="auto"/>
      </w:pPr>
      <w:r w:rsidRPr="0031675F">
        <w:rPr>
          <w:spacing w:val="-1"/>
        </w:rPr>
        <w:t>Electronic</w:t>
      </w:r>
      <w:r w:rsidRPr="0031675F">
        <w:t xml:space="preserve"> </w:t>
      </w:r>
      <w:r w:rsidRPr="0031675F">
        <w:rPr>
          <w:spacing w:val="-1"/>
        </w:rPr>
        <w:t>balance</w:t>
      </w:r>
      <w:r w:rsidRPr="0031675F">
        <w:t xml:space="preserve"> </w:t>
      </w:r>
      <w:r w:rsidRPr="0031675F">
        <w:rPr>
          <w:spacing w:val="-1"/>
        </w:rPr>
        <w:t>to weigh</w:t>
      </w:r>
      <w:r w:rsidRPr="0031675F">
        <w:rPr>
          <w:spacing w:val="-3"/>
        </w:rPr>
        <w:t xml:space="preserve"> </w:t>
      </w:r>
      <w:r w:rsidRPr="0031675F">
        <w:rPr>
          <w:spacing w:val="-1"/>
        </w:rPr>
        <w:t>chemicals.</w:t>
      </w:r>
    </w:p>
    <w:p w14:paraId="2545942D" w14:textId="77777777" w:rsidR="0031675F" w:rsidRPr="0031675F" w:rsidRDefault="0031675F" w:rsidP="0031675F">
      <w:pPr>
        <w:rPr>
          <w:rFonts w:cs="Calibri"/>
          <w:sz w:val="24"/>
          <w:szCs w:val="24"/>
        </w:rPr>
      </w:pPr>
    </w:p>
    <w:p w14:paraId="79525763" w14:textId="77777777" w:rsidR="0031675F" w:rsidRPr="0031675F" w:rsidRDefault="0031675F" w:rsidP="0031675F">
      <w:pPr>
        <w:widowControl w:val="0"/>
        <w:numPr>
          <w:ilvl w:val="2"/>
          <w:numId w:val="121"/>
        </w:numPr>
        <w:tabs>
          <w:tab w:val="left" w:pos="686"/>
        </w:tabs>
        <w:spacing w:before="154" w:after="0" w:line="240" w:lineRule="auto"/>
        <w:rPr>
          <w:rFonts w:eastAsia="Arial" w:cs="Arial"/>
          <w:sz w:val="20"/>
          <w:szCs w:val="20"/>
        </w:rPr>
      </w:pPr>
      <w:r w:rsidRPr="0031675F">
        <w:rPr>
          <w:b/>
          <w:spacing w:val="-1"/>
          <w:sz w:val="20"/>
        </w:rPr>
        <w:t>Shipboard</w:t>
      </w:r>
      <w:r w:rsidRPr="0031675F">
        <w:rPr>
          <w:b/>
          <w:spacing w:val="-11"/>
          <w:sz w:val="20"/>
        </w:rPr>
        <w:t xml:space="preserve"> </w:t>
      </w:r>
      <w:r w:rsidRPr="0031675F">
        <w:rPr>
          <w:b/>
          <w:sz w:val="20"/>
        </w:rPr>
        <w:t>laboratory</w:t>
      </w:r>
      <w:r w:rsidRPr="0031675F">
        <w:rPr>
          <w:b/>
          <w:spacing w:val="-11"/>
          <w:sz w:val="20"/>
        </w:rPr>
        <w:t xml:space="preserve"> </w:t>
      </w:r>
      <w:r w:rsidRPr="0031675F">
        <w:rPr>
          <w:b/>
          <w:sz w:val="20"/>
        </w:rPr>
        <w:t>materials</w:t>
      </w:r>
      <w:r w:rsidRPr="0031675F">
        <w:rPr>
          <w:b/>
          <w:spacing w:val="-12"/>
          <w:sz w:val="20"/>
        </w:rPr>
        <w:t xml:space="preserve"> </w:t>
      </w:r>
      <w:r w:rsidRPr="0031675F">
        <w:rPr>
          <w:b/>
          <w:spacing w:val="-1"/>
          <w:sz w:val="20"/>
        </w:rPr>
        <w:t>and</w:t>
      </w:r>
      <w:r w:rsidRPr="0031675F">
        <w:rPr>
          <w:b/>
          <w:spacing w:val="-9"/>
          <w:sz w:val="20"/>
        </w:rPr>
        <w:t xml:space="preserve"> </w:t>
      </w:r>
      <w:r w:rsidRPr="0031675F">
        <w:rPr>
          <w:b/>
          <w:sz w:val="20"/>
        </w:rPr>
        <w:t>equipment</w:t>
      </w:r>
    </w:p>
    <w:p w14:paraId="66EF7762" w14:textId="77777777" w:rsidR="0031675F" w:rsidRPr="0031675F" w:rsidRDefault="0031675F" w:rsidP="0031675F">
      <w:pPr>
        <w:spacing w:before="2"/>
        <w:rPr>
          <w:rFonts w:eastAsia="Arial" w:cs="Arial"/>
          <w:b/>
          <w:bCs/>
          <w:sz w:val="21"/>
          <w:szCs w:val="21"/>
        </w:rPr>
      </w:pPr>
    </w:p>
    <w:p w14:paraId="0BC3E5B6" w14:textId="77777777" w:rsidR="0031675F" w:rsidRPr="0031675F" w:rsidRDefault="0031675F" w:rsidP="0031675F">
      <w:pPr>
        <w:widowControl w:val="0"/>
        <w:numPr>
          <w:ilvl w:val="0"/>
          <w:numId w:val="120"/>
        </w:numPr>
        <w:tabs>
          <w:tab w:val="left" w:pos="403"/>
        </w:tabs>
        <w:spacing w:before="0" w:after="0" w:line="239" w:lineRule="auto"/>
        <w:ind w:right="110"/>
        <w:jc w:val="both"/>
      </w:pPr>
      <w:r w:rsidRPr="0031675F">
        <w:rPr>
          <w:spacing w:val="-1"/>
        </w:rPr>
        <w:t>Turner</w:t>
      </w:r>
      <w:r w:rsidRPr="0031675F">
        <w:t xml:space="preserve"> </w:t>
      </w:r>
      <w:r w:rsidRPr="0031675F">
        <w:rPr>
          <w:spacing w:val="-1"/>
        </w:rPr>
        <w:t>Designs</w:t>
      </w:r>
      <w:r w:rsidRPr="0031675F">
        <w:t xml:space="preserve"> Trilogy </w:t>
      </w:r>
      <w:r w:rsidRPr="0031675F">
        <w:rPr>
          <w:spacing w:val="-2"/>
        </w:rPr>
        <w:t>Laboratory</w:t>
      </w:r>
      <w:r w:rsidRPr="0031675F">
        <w:rPr>
          <w:spacing w:val="-1"/>
        </w:rPr>
        <w:t xml:space="preserve"> Fluorometer</w:t>
      </w:r>
      <w:r w:rsidRPr="0031675F">
        <w:t xml:space="preserve"> with</w:t>
      </w:r>
      <w:r w:rsidRPr="0031675F">
        <w:rPr>
          <w:spacing w:val="-3"/>
        </w:rPr>
        <w:t xml:space="preserve"> </w:t>
      </w:r>
      <w:r w:rsidRPr="0031675F">
        <w:t>Ammonium module</w:t>
      </w:r>
    </w:p>
    <w:p w14:paraId="75503B4D" w14:textId="77777777" w:rsidR="0031675F" w:rsidRPr="0031675F" w:rsidRDefault="0031675F" w:rsidP="0031675F">
      <w:pPr>
        <w:widowControl w:val="0"/>
        <w:numPr>
          <w:ilvl w:val="0"/>
          <w:numId w:val="120"/>
        </w:numPr>
        <w:tabs>
          <w:tab w:val="left" w:pos="403"/>
        </w:tabs>
        <w:spacing w:before="60" w:after="0" w:line="240" w:lineRule="auto"/>
      </w:pPr>
      <w:r w:rsidRPr="0031675F">
        <w:rPr>
          <w:spacing w:val="-1"/>
        </w:rPr>
        <w:t>Manual</w:t>
      </w:r>
      <w:r w:rsidRPr="0031675F">
        <w:t xml:space="preserve"> </w:t>
      </w:r>
      <w:r w:rsidRPr="0031675F">
        <w:rPr>
          <w:spacing w:val="-1"/>
        </w:rPr>
        <w:t>for</w:t>
      </w:r>
      <w:r w:rsidRPr="0031675F">
        <w:rPr>
          <w:spacing w:val="-3"/>
        </w:rPr>
        <w:t xml:space="preserve"> </w:t>
      </w:r>
      <w:r w:rsidRPr="0031675F">
        <w:rPr>
          <w:spacing w:val="-1"/>
        </w:rPr>
        <w:t>Turner</w:t>
      </w:r>
      <w:r w:rsidRPr="0031675F">
        <w:rPr>
          <w:spacing w:val="-2"/>
        </w:rPr>
        <w:t xml:space="preserve"> </w:t>
      </w:r>
      <w:r w:rsidRPr="0031675F">
        <w:rPr>
          <w:spacing w:val="-1"/>
        </w:rPr>
        <w:t>Designs</w:t>
      </w:r>
      <w:r w:rsidRPr="0031675F">
        <w:rPr>
          <w:spacing w:val="-2"/>
        </w:rPr>
        <w:t>Trilogy Laboratory F</w:t>
      </w:r>
      <w:r w:rsidRPr="0031675F">
        <w:rPr>
          <w:spacing w:val="-1"/>
        </w:rPr>
        <w:t>luorometer.</w:t>
      </w:r>
    </w:p>
    <w:p w14:paraId="21FFDE0E" w14:textId="77777777" w:rsidR="0031675F" w:rsidRPr="0031675F" w:rsidRDefault="0031675F" w:rsidP="0031675F">
      <w:pPr>
        <w:widowControl w:val="0"/>
        <w:numPr>
          <w:ilvl w:val="0"/>
          <w:numId w:val="120"/>
        </w:numPr>
        <w:tabs>
          <w:tab w:val="left" w:pos="403"/>
        </w:tabs>
        <w:spacing w:before="60" w:after="0" w:line="240" w:lineRule="auto"/>
        <w:ind w:right="120"/>
      </w:pPr>
      <w:r w:rsidRPr="0031675F">
        <w:rPr>
          <w:spacing w:val="-1"/>
        </w:rPr>
        <w:t>10x10x45mm cuvette</w:t>
      </w:r>
      <w:r w:rsidRPr="0031675F">
        <w:rPr>
          <w:spacing w:val="41"/>
        </w:rPr>
        <w:t xml:space="preserve"> </w:t>
      </w:r>
      <w:r w:rsidRPr="0031675F">
        <w:rPr>
          <w:spacing w:val="-1"/>
        </w:rPr>
        <w:t>for</w:t>
      </w:r>
      <w:r w:rsidRPr="0031675F">
        <w:rPr>
          <w:spacing w:val="40"/>
        </w:rPr>
        <w:t xml:space="preserve"> </w:t>
      </w:r>
      <w:r w:rsidRPr="0031675F">
        <w:rPr>
          <w:spacing w:val="-1"/>
        </w:rPr>
        <w:t>reading.</w:t>
      </w:r>
    </w:p>
    <w:p w14:paraId="6FF673E8" w14:textId="57E9FBF8" w:rsidR="0031675F" w:rsidRPr="0031675F" w:rsidRDefault="0031675F" w:rsidP="0031675F">
      <w:pPr>
        <w:widowControl w:val="0"/>
        <w:numPr>
          <w:ilvl w:val="0"/>
          <w:numId w:val="120"/>
        </w:numPr>
        <w:tabs>
          <w:tab w:val="left" w:pos="403"/>
        </w:tabs>
        <w:spacing w:before="60" w:after="0" w:line="240" w:lineRule="auto"/>
      </w:pPr>
      <w:r w:rsidRPr="0031675F">
        <w:t>6 x</w:t>
      </w:r>
      <w:r w:rsidRPr="0031675F">
        <w:rPr>
          <w:spacing w:val="-2"/>
        </w:rPr>
        <w:t xml:space="preserve"> </w:t>
      </w:r>
      <w:r w:rsidRPr="0031675F">
        <w:rPr>
          <w:spacing w:val="-1"/>
        </w:rPr>
        <w:t>250</w:t>
      </w:r>
      <w:r w:rsidRPr="0031675F">
        <w:rPr>
          <w:spacing w:val="-2"/>
        </w:rPr>
        <w:t xml:space="preserve"> </w:t>
      </w:r>
      <w:r w:rsidR="00BB13FD">
        <w:t>mL</w:t>
      </w:r>
      <w:r w:rsidRPr="0031675F">
        <w:t xml:space="preserve"> </w:t>
      </w:r>
      <w:r w:rsidRPr="0031675F">
        <w:rPr>
          <w:spacing w:val="-1"/>
        </w:rPr>
        <w:t>glass</w:t>
      </w:r>
      <w:r w:rsidRPr="0031675F">
        <w:rPr>
          <w:spacing w:val="-3"/>
        </w:rPr>
        <w:t xml:space="preserve"> </w:t>
      </w:r>
      <w:r w:rsidRPr="0031675F">
        <w:t>or</w:t>
      </w:r>
      <w:r w:rsidRPr="0031675F">
        <w:rPr>
          <w:spacing w:val="-3"/>
        </w:rPr>
        <w:t xml:space="preserve"> </w:t>
      </w:r>
      <w:r w:rsidRPr="0031675F">
        <w:rPr>
          <w:spacing w:val="-1"/>
        </w:rPr>
        <w:t>plastic</w:t>
      </w:r>
      <w:r w:rsidRPr="0031675F">
        <w:rPr>
          <w:spacing w:val="-2"/>
        </w:rPr>
        <w:t xml:space="preserve"> </w:t>
      </w:r>
      <w:r w:rsidRPr="0031675F">
        <w:rPr>
          <w:spacing w:val="-1"/>
        </w:rPr>
        <w:t>volumetric</w:t>
      </w:r>
      <w:r w:rsidRPr="0031675F">
        <w:t xml:space="preserve"> </w:t>
      </w:r>
      <w:r w:rsidRPr="0031675F">
        <w:rPr>
          <w:spacing w:val="-2"/>
        </w:rPr>
        <w:t>flasks</w:t>
      </w:r>
      <w:r w:rsidRPr="0031675F">
        <w:rPr>
          <w:spacing w:val="1"/>
        </w:rPr>
        <w:t xml:space="preserve"> </w:t>
      </w:r>
      <w:r w:rsidRPr="0031675F">
        <w:rPr>
          <w:spacing w:val="-1"/>
        </w:rPr>
        <w:t>for</w:t>
      </w:r>
      <w:r w:rsidRPr="0031675F">
        <w:rPr>
          <w:spacing w:val="-2"/>
        </w:rPr>
        <w:t xml:space="preserve"> standards.</w:t>
      </w:r>
      <w:r w:rsidRPr="0031675F">
        <w:rPr>
          <w:spacing w:val="49"/>
        </w:rPr>
        <w:t xml:space="preserve"> </w:t>
      </w:r>
      <w:r w:rsidRPr="0031675F">
        <w:rPr>
          <w:spacing w:val="-1"/>
        </w:rPr>
        <w:t>Acid-soak</w:t>
      </w:r>
      <w:r w:rsidRPr="0031675F">
        <w:t xml:space="preserve"> </w:t>
      </w:r>
      <w:r w:rsidRPr="0031675F">
        <w:rPr>
          <w:spacing w:val="-2"/>
        </w:rPr>
        <w:t>(10%</w:t>
      </w:r>
      <w:r w:rsidRPr="0031675F">
        <w:rPr>
          <w:spacing w:val="1"/>
        </w:rPr>
        <w:t xml:space="preserve"> </w:t>
      </w:r>
      <w:r w:rsidRPr="0031675F">
        <w:rPr>
          <w:spacing w:val="-1"/>
        </w:rPr>
        <w:t>HCl)</w:t>
      </w:r>
      <w:r w:rsidRPr="0031675F">
        <w:t xml:space="preserve"> </w:t>
      </w:r>
      <w:r w:rsidRPr="0031675F">
        <w:rPr>
          <w:spacing w:val="-1"/>
        </w:rPr>
        <w:t>before</w:t>
      </w:r>
      <w:r w:rsidRPr="0031675F">
        <w:t xml:space="preserve"> </w:t>
      </w:r>
      <w:r w:rsidRPr="0031675F">
        <w:rPr>
          <w:spacing w:val="-1"/>
        </w:rPr>
        <w:t>use.</w:t>
      </w:r>
    </w:p>
    <w:p w14:paraId="5CC98DA8" w14:textId="77777777" w:rsidR="0031675F" w:rsidRPr="0031675F" w:rsidRDefault="0031675F" w:rsidP="0031675F">
      <w:pPr>
        <w:widowControl w:val="0"/>
        <w:numPr>
          <w:ilvl w:val="0"/>
          <w:numId w:val="120"/>
        </w:numPr>
        <w:tabs>
          <w:tab w:val="left" w:pos="403"/>
        </w:tabs>
        <w:spacing w:before="58" w:after="0" w:line="240" w:lineRule="auto"/>
        <w:ind w:right="120"/>
      </w:pPr>
      <w:r w:rsidRPr="0031675F">
        <w:rPr>
          <w:spacing w:val="-1"/>
        </w:rPr>
        <w:t>100</w:t>
      </w:r>
      <w:r w:rsidRPr="0031675F">
        <w:rPr>
          <w:spacing w:val="36"/>
        </w:rPr>
        <w:t xml:space="preserve"> </w:t>
      </w:r>
      <w:r w:rsidRPr="0031675F">
        <w:rPr>
          <w:spacing w:val="-1"/>
        </w:rPr>
        <w:t>to</w:t>
      </w:r>
      <w:r w:rsidRPr="0031675F">
        <w:rPr>
          <w:spacing w:val="37"/>
        </w:rPr>
        <w:t xml:space="preserve"> </w:t>
      </w:r>
      <w:r w:rsidRPr="0031675F">
        <w:rPr>
          <w:spacing w:val="-1"/>
        </w:rPr>
        <w:t>250</w:t>
      </w:r>
      <w:r w:rsidRPr="0031675F">
        <w:rPr>
          <w:spacing w:val="35"/>
        </w:rPr>
        <w:t xml:space="preserve"> </w:t>
      </w:r>
      <w:r w:rsidRPr="0031675F">
        <w:t>µl</w:t>
      </w:r>
      <w:r w:rsidRPr="0031675F">
        <w:rPr>
          <w:spacing w:val="35"/>
        </w:rPr>
        <w:t xml:space="preserve"> </w:t>
      </w:r>
      <w:r w:rsidRPr="0031675F">
        <w:rPr>
          <w:spacing w:val="-1"/>
        </w:rPr>
        <w:t>adjustable</w:t>
      </w:r>
      <w:r w:rsidRPr="0031675F">
        <w:rPr>
          <w:spacing w:val="34"/>
        </w:rPr>
        <w:t xml:space="preserve"> </w:t>
      </w:r>
      <w:r w:rsidRPr="0031675F">
        <w:rPr>
          <w:spacing w:val="-1"/>
        </w:rPr>
        <w:t>pipettes</w:t>
      </w:r>
      <w:r w:rsidRPr="0031675F">
        <w:rPr>
          <w:spacing w:val="36"/>
        </w:rPr>
        <w:t xml:space="preserve"> </w:t>
      </w:r>
      <w:r w:rsidRPr="0031675F">
        <w:rPr>
          <w:spacing w:val="-1"/>
        </w:rPr>
        <w:t>for</w:t>
      </w:r>
      <w:r w:rsidRPr="0031675F">
        <w:rPr>
          <w:spacing w:val="36"/>
        </w:rPr>
        <w:t xml:space="preserve"> </w:t>
      </w:r>
      <w:r w:rsidRPr="0031675F">
        <w:rPr>
          <w:spacing w:val="-1"/>
        </w:rPr>
        <w:t>dispensing</w:t>
      </w:r>
      <w:r w:rsidRPr="0031675F">
        <w:rPr>
          <w:spacing w:val="34"/>
        </w:rPr>
        <w:t xml:space="preserve"> </w:t>
      </w:r>
      <w:r w:rsidRPr="0031675F">
        <w:rPr>
          <w:spacing w:val="-1"/>
        </w:rPr>
        <w:t>stock</w:t>
      </w:r>
      <w:r w:rsidRPr="0031675F">
        <w:rPr>
          <w:spacing w:val="37"/>
        </w:rPr>
        <w:t xml:space="preserve"> </w:t>
      </w:r>
      <w:r w:rsidRPr="0031675F">
        <w:rPr>
          <w:spacing w:val="-1"/>
        </w:rPr>
        <w:t>solution</w:t>
      </w:r>
      <w:r w:rsidRPr="0031675F">
        <w:rPr>
          <w:spacing w:val="35"/>
        </w:rPr>
        <w:t xml:space="preserve"> </w:t>
      </w:r>
      <w:r w:rsidRPr="0031675F">
        <w:rPr>
          <w:spacing w:val="-1"/>
        </w:rPr>
        <w:t>to</w:t>
      </w:r>
      <w:r w:rsidRPr="0031675F">
        <w:rPr>
          <w:spacing w:val="34"/>
        </w:rPr>
        <w:t xml:space="preserve"> </w:t>
      </w:r>
      <w:r w:rsidRPr="0031675F">
        <w:t>make</w:t>
      </w:r>
      <w:r w:rsidRPr="0031675F">
        <w:rPr>
          <w:spacing w:val="35"/>
        </w:rPr>
        <w:t xml:space="preserve"> </w:t>
      </w:r>
      <w:r w:rsidRPr="0031675F">
        <w:rPr>
          <w:spacing w:val="-1"/>
        </w:rPr>
        <w:t>standards.</w:t>
      </w:r>
      <w:r w:rsidRPr="0031675F">
        <w:t xml:space="preserve"> </w:t>
      </w:r>
      <w:r w:rsidRPr="0031675F">
        <w:rPr>
          <w:spacing w:val="22"/>
        </w:rPr>
        <w:t xml:space="preserve"> </w:t>
      </w:r>
      <w:r w:rsidRPr="0031675F">
        <w:rPr>
          <w:spacing w:val="-1"/>
        </w:rPr>
        <w:t>(Calibrate</w:t>
      </w:r>
      <w:r w:rsidRPr="0031675F">
        <w:rPr>
          <w:spacing w:val="51"/>
        </w:rPr>
        <w:t xml:space="preserve"> </w:t>
      </w:r>
      <w:r w:rsidRPr="0031675F">
        <w:rPr>
          <w:spacing w:val="-1"/>
        </w:rPr>
        <w:t>pipettes</w:t>
      </w:r>
      <w:r w:rsidRPr="0031675F">
        <w:t xml:space="preserve"> </w:t>
      </w:r>
      <w:r w:rsidRPr="0031675F">
        <w:rPr>
          <w:spacing w:val="-1"/>
        </w:rPr>
        <w:t>gravimetrically</w:t>
      </w:r>
      <w:r w:rsidRPr="0031675F">
        <w:t xml:space="preserve"> </w:t>
      </w:r>
      <w:r w:rsidRPr="0031675F">
        <w:rPr>
          <w:spacing w:val="-1"/>
        </w:rPr>
        <w:t>before</w:t>
      </w:r>
      <w:r w:rsidRPr="0031675F">
        <w:t xml:space="preserve"> </w:t>
      </w:r>
      <w:r w:rsidRPr="0031675F">
        <w:rPr>
          <w:spacing w:val="-1"/>
        </w:rPr>
        <w:t>use.)</w:t>
      </w:r>
    </w:p>
    <w:p w14:paraId="3B4C41F8" w14:textId="763CA52E" w:rsidR="0031675F" w:rsidRPr="0031675F" w:rsidRDefault="0031675F" w:rsidP="0031675F">
      <w:pPr>
        <w:widowControl w:val="0"/>
        <w:numPr>
          <w:ilvl w:val="0"/>
          <w:numId w:val="120"/>
        </w:numPr>
        <w:tabs>
          <w:tab w:val="left" w:pos="403"/>
        </w:tabs>
        <w:spacing w:before="60" w:after="0" w:line="240" w:lineRule="auto"/>
        <w:ind w:right="120"/>
      </w:pPr>
      <w:r w:rsidRPr="0031675F">
        <w:t xml:space="preserve">5 </w:t>
      </w:r>
      <w:r w:rsidR="00BB13FD">
        <w:t>mL</w:t>
      </w:r>
      <w:r w:rsidRPr="0031675F">
        <w:t xml:space="preserve"> </w:t>
      </w:r>
      <w:r w:rsidRPr="0031675F">
        <w:rPr>
          <w:spacing w:val="-1"/>
        </w:rPr>
        <w:t>Eppendorf</w:t>
      </w:r>
      <w:r w:rsidRPr="0031675F">
        <w:t xml:space="preserve"> </w:t>
      </w:r>
      <w:r w:rsidRPr="0031675F">
        <w:rPr>
          <w:spacing w:val="-1"/>
        </w:rPr>
        <w:t>and</w:t>
      </w:r>
      <w:r w:rsidRPr="0031675F">
        <w:t xml:space="preserve"> </w:t>
      </w:r>
      <w:r w:rsidRPr="0031675F">
        <w:rPr>
          <w:spacing w:val="-1"/>
        </w:rPr>
        <w:t>pipettes</w:t>
      </w:r>
      <w:r w:rsidRPr="0031675F">
        <w:t xml:space="preserve"> to </w:t>
      </w:r>
      <w:r w:rsidRPr="0031675F">
        <w:rPr>
          <w:spacing w:val="-1"/>
        </w:rPr>
        <w:t>transfer</w:t>
      </w:r>
      <w:r w:rsidRPr="0031675F">
        <w:t xml:space="preserve"> </w:t>
      </w:r>
      <w:r w:rsidRPr="0031675F">
        <w:rPr>
          <w:spacing w:val="-1"/>
        </w:rPr>
        <w:t>sample</w:t>
      </w:r>
      <w:r w:rsidRPr="0031675F">
        <w:t xml:space="preserve"> </w:t>
      </w:r>
      <w:r w:rsidRPr="0031675F">
        <w:rPr>
          <w:spacing w:val="-1"/>
        </w:rPr>
        <w:t>to</w:t>
      </w:r>
      <w:r w:rsidRPr="0031675F">
        <w:t xml:space="preserve"> </w:t>
      </w:r>
      <w:r w:rsidRPr="0031675F">
        <w:rPr>
          <w:spacing w:val="-1"/>
        </w:rPr>
        <w:t>cuvette,</w:t>
      </w:r>
      <w:r w:rsidRPr="0031675F">
        <w:t xml:space="preserve"> </w:t>
      </w:r>
      <w:r w:rsidRPr="0031675F">
        <w:rPr>
          <w:spacing w:val="-1"/>
        </w:rPr>
        <w:t>and</w:t>
      </w:r>
      <w:r w:rsidRPr="0031675F">
        <w:rPr>
          <w:spacing w:val="5"/>
        </w:rPr>
        <w:t xml:space="preserve"> </w:t>
      </w:r>
      <w:r w:rsidRPr="0031675F">
        <w:rPr>
          <w:spacing w:val="-1"/>
        </w:rPr>
        <w:t>dispense</w:t>
      </w:r>
      <w:r w:rsidRPr="0031675F">
        <w:rPr>
          <w:spacing w:val="1"/>
        </w:rPr>
        <w:t xml:space="preserve"> </w:t>
      </w:r>
      <w:r w:rsidRPr="0031675F">
        <w:rPr>
          <w:spacing w:val="-1"/>
        </w:rPr>
        <w:t>buffer</w:t>
      </w:r>
      <w:r w:rsidRPr="0031675F">
        <w:rPr>
          <w:spacing w:val="6"/>
        </w:rPr>
        <w:t xml:space="preserve"> </w:t>
      </w:r>
      <w:r w:rsidRPr="0031675F">
        <w:rPr>
          <w:spacing w:val="-1"/>
        </w:rPr>
        <w:t>for</w:t>
      </w:r>
      <w:r w:rsidRPr="0031675F">
        <w:t xml:space="preserve"> </w:t>
      </w:r>
      <w:r w:rsidRPr="0031675F">
        <w:rPr>
          <w:spacing w:val="-1"/>
        </w:rPr>
        <w:t>matrix</w:t>
      </w:r>
      <w:r w:rsidRPr="0031675F">
        <w:rPr>
          <w:spacing w:val="57"/>
        </w:rPr>
        <w:t xml:space="preserve"> </w:t>
      </w:r>
      <w:r w:rsidRPr="0031675F">
        <w:rPr>
          <w:spacing w:val="-1"/>
        </w:rPr>
        <w:t>analysis.</w:t>
      </w:r>
    </w:p>
    <w:p w14:paraId="778B9C0F" w14:textId="17D92FFD" w:rsidR="0031675F" w:rsidRPr="0031675F" w:rsidRDefault="0031675F" w:rsidP="0031675F">
      <w:pPr>
        <w:widowControl w:val="0"/>
        <w:numPr>
          <w:ilvl w:val="0"/>
          <w:numId w:val="120"/>
        </w:numPr>
        <w:tabs>
          <w:tab w:val="left" w:pos="403"/>
        </w:tabs>
        <w:spacing w:before="60" w:after="0" w:line="240" w:lineRule="auto"/>
      </w:pPr>
      <w:r w:rsidRPr="0031675F">
        <w:t>1 litre</w:t>
      </w:r>
      <w:r w:rsidRPr="0031675F">
        <w:rPr>
          <w:spacing w:val="-2"/>
        </w:rPr>
        <w:t xml:space="preserve"> </w:t>
      </w:r>
      <w:r w:rsidRPr="0031675F">
        <w:rPr>
          <w:spacing w:val="-1"/>
        </w:rPr>
        <w:t>brown</w:t>
      </w:r>
      <w:r w:rsidRPr="0031675F">
        <w:t xml:space="preserve"> </w:t>
      </w:r>
      <w:r w:rsidRPr="0031675F">
        <w:rPr>
          <w:spacing w:val="-1"/>
        </w:rPr>
        <w:t>polyethylene</w:t>
      </w:r>
      <w:r w:rsidRPr="0031675F">
        <w:rPr>
          <w:spacing w:val="-4"/>
        </w:rPr>
        <w:t xml:space="preserve"> </w:t>
      </w:r>
      <w:r w:rsidRPr="0031675F">
        <w:t>bottle</w:t>
      </w:r>
      <w:r w:rsidRPr="0031675F">
        <w:rPr>
          <w:spacing w:val="-3"/>
        </w:rPr>
        <w:t xml:space="preserve"> </w:t>
      </w:r>
      <w:r w:rsidRPr="0031675F">
        <w:t>with</w:t>
      </w:r>
      <w:r w:rsidRPr="0031675F">
        <w:rPr>
          <w:spacing w:val="-4"/>
        </w:rPr>
        <w:t xml:space="preserve"> </w:t>
      </w:r>
      <w:r w:rsidRPr="0031675F">
        <w:t>5</w:t>
      </w:r>
      <w:r w:rsidRPr="0031675F">
        <w:rPr>
          <w:spacing w:val="-1"/>
        </w:rPr>
        <w:t xml:space="preserve"> </w:t>
      </w:r>
      <w:r w:rsidR="00BB13FD">
        <w:t>mL</w:t>
      </w:r>
      <w:r w:rsidRPr="0031675F">
        <w:t xml:space="preserve"> </w:t>
      </w:r>
      <w:r w:rsidRPr="0031675F">
        <w:rPr>
          <w:spacing w:val="-1"/>
        </w:rPr>
        <w:t>dispenser for</w:t>
      </w:r>
      <w:r w:rsidRPr="0031675F">
        <w:t xml:space="preserve"> </w:t>
      </w:r>
      <w:r w:rsidRPr="0031675F">
        <w:rPr>
          <w:spacing w:val="-1"/>
        </w:rPr>
        <w:t>working reagent.</w:t>
      </w:r>
    </w:p>
    <w:p w14:paraId="41EEEAE7" w14:textId="7C26A87C" w:rsidR="0031675F" w:rsidRPr="0031675F" w:rsidRDefault="0031675F" w:rsidP="0031675F">
      <w:pPr>
        <w:widowControl w:val="0"/>
        <w:numPr>
          <w:ilvl w:val="0"/>
          <w:numId w:val="120"/>
        </w:numPr>
        <w:tabs>
          <w:tab w:val="left" w:pos="403"/>
        </w:tabs>
        <w:spacing w:before="58" w:after="0" w:line="240" w:lineRule="auto"/>
        <w:ind w:right="120"/>
      </w:pPr>
      <w:r w:rsidRPr="0031675F">
        <w:t>75</w:t>
      </w:r>
      <w:r w:rsidRPr="0031675F">
        <w:rPr>
          <w:spacing w:val="8"/>
        </w:rPr>
        <w:t xml:space="preserve"> </w:t>
      </w:r>
      <w:r w:rsidRPr="0031675F">
        <w:rPr>
          <w:spacing w:val="-1"/>
        </w:rPr>
        <w:t>reaction</w:t>
      </w:r>
      <w:r w:rsidRPr="0031675F">
        <w:rPr>
          <w:spacing w:val="6"/>
        </w:rPr>
        <w:t xml:space="preserve"> </w:t>
      </w:r>
      <w:r w:rsidRPr="0031675F">
        <w:rPr>
          <w:spacing w:val="-1"/>
        </w:rPr>
        <w:t>tubes</w:t>
      </w:r>
      <w:r w:rsidRPr="0031675F">
        <w:rPr>
          <w:spacing w:val="8"/>
        </w:rPr>
        <w:t xml:space="preserve"> </w:t>
      </w:r>
      <w:r w:rsidRPr="0031675F">
        <w:rPr>
          <w:spacing w:val="-2"/>
        </w:rPr>
        <w:t>(Use</w:t>
      </w:r>
      <w:r w:rsidRPr="0031675F">
        <w:rPr>
          <w:spacing w:val="8"/>
        </w:rPr>
        <w:t xml:space="preserve"> </w:t>
      </w:r>
      <w:r w:rsidRPr="0031675F">
        <w:t>30</w:t>
      </w:r>
      <w:r w:rsidRPr="0031675F">
        <w:rPr>
          <w:spacing w:val="5"/>
        </w:rPr>
        <w:t xml:space="preserve"> </w:t>
      </w:r>
      <w:r w:rsidR="00BB13FD">
        <w:t>mL</w:t>
      </w:r>
      <w:r w:rsidRPr="0031675F">
        <w:rPr>
          <w:spacing w:val="7"/>
        </w:rPr>
        <w:t xml:space="preserve"> </w:t>
      </w:r>
      <w:r w:rsidRPr="0031675F">
        <w:rPr>
          <w:spacing w:val="-1"/>
        </w:rPr>
        <w:t>graduated</w:t>
      </w:r>
      <w:r w:rsidRPr="0031675F">
        <w:rPr>
          <w:spacing w:val="6"/>
        </w:rPr>
        <w:t xml:space="preserve"> </w:t>
      </w:r>
      <w:r w:rsidRPr="0031675F">
        <w:rPr>
          <w:spacing w:val="-1"/>
        </w:rPr>
        <w:t>test</w:t>
      </w:r>
      <w:r w:rsidRPr="0031675F">
        <w:rPr>
          <w:spacing w:val="8"/>
        </w:rPr>
        <w:t xml:space="preserve"> </w:t>
      </w:r>
      <w:r w:rsidRPr="0031675F">
        <w:rPr>
          <w:spacing w:val="-1"/>
        </w:rPr>
        <w:t>tubes</w:t>
      </w:r>
      <w:r w:rsidRPr="0031675F">
        <w:rPr>
          <w:spacing w:val="8"/>
        </w:rPr>
        <w:t xml:space="preserve"> </w:t>
      </w:r>
      <w:r w:rsidRPr="0031675F">
        <w:rPr>
          <w:spacing w:val="-1"/>
        </w:rPr>
        <w:t>with</w:t>
      </w:r>
      <w:r w:rsidRPr="0031675F">
        <w:rPr>
          <w:spacing w:val="12"/>
        </w:rPr>
        <w:t xml:space="preserve"> </w:t>
      </w:r>
      <w:r w:rsidRPr="0031675F">
        <w:rPr>
          <w:spacing w:val="-1"/>
        </w:rPr>
        <w:t>Teflon</w:t>
      </w:r>
      <w:r w:rsidRPr="0031675F">
        <w:rPr>
          <w:spacing w:val="6"/>
        </w:rPr>
        <w:t xml:space="preserve"> </w:t>
      </w:r>
      <w:r w:rsidRPr="0031675F">
        <w:rPr>
          <w:spacing w:val="-1"/>
        </w:rPr>
        <w:t>stoppers</w:t>
      </w:r>
      <w:r w:rsidRPr="0031675F">
        <w:rPr>
          <w:spacing w:val="7"/>
        </w:rPr>
        <w:t xml:space="preserve"> </w:t>
      </w:r>
      <w:r w:rsidRPr="0031675F">
        <w:t>or</w:t>
      </w:r>
      <w:r w:rsidRPr="0031675F">
        <w:rPr>
          <w:spacing w:val="7"/>
        </w:rPr>
        <w:t xml:space="preserve"> </w:t>
      </w:r>
      <w:r w:rsidRPr="0031675F">
        <w:rPr>
          <w:spacing w:val="-1"/>
        </w:rPr>
        <w:t>30</w:t>
      </w:r>
      <w:r w:rsidRPr="0031675F">
        <w:rPr>
          <w:spacing w:val="8"/>
        </w:rPr>
        <w:t xml:space="preserve"> </w:t>
      </w:r>
      <w:r w:rsidR="00BB13FD">
        <w:rPr>
          <w:spacing w:val="-1"/>
        </w:rPr>
        <w:t>mL</w:t>
      </w:r>
      <w:r w:rsidRPr="0031675F">
        <w:rPr>
          <w:spacing w:val="7"/>
        </w:rPr>
        <w:t xml:space="preserve"> </w:t>
      </w:r>
      <w:r w:rsidRPr="0031675F">
        <w:rPr>
          <w:spacing w:val="-1"/>
        </w:rPr>
        <w:t>screw</w:t>
      </w:r>
      <w:r w:rsidRPr="0031675F">
        <w:rPr>
          <w:spacing w:val="8"/>
        </w:rPr>
        <w:t xml:space="preserve"> </w:t>
      </w:r>
      <w:r w:rsidRPr="0031675F">
        <w:t>top</w:t>
      </w:r>
      <w:r w:rsidRPr="0031675F">
        <w:rPr>
          <w:spacing w:val="6"/>
        </w:rPr>
        <w:t xml:space="preserve"> </w:t>
      </w:r>
      <w:r w:rsidRPr="0031675F">
        <w:rPr>
          <w:spacing w:val="-1"/>
        </w:rPr>
        <w:t>pyrex</w:t>
      </w:r>
      <w:r w:rsidRPr="0031675F">
        <w:rPr>
          <w:spacing w:val="67"/>
        </w:rPr>
        <w:t xml:space="preserve"> </w:t>
      </w:r>
      <w:r w:rsidRPr="0031675F">
        <w:rPr>
          <w:spacing w:val="-1"/>
        </w:rPr>
        <w:t>test</w:t>
      </w:r>
      <w:r w:rsidRPr="0031675F">
        <w:rPr>
          <w:spacing w:val="-2"/>
        </w:rPr>
        <w:t xml:space="preserve"> </w:t>
      </w:r>
      <w:r w:rsidRPr="0031675F">
        <w:rPr>
          <w:spacing w:val="-1"/>
        </w:rPr>
        <w:t>tubes</w:t>
      </w:r>
      <w:r w:rsidRPr="0031675F">
        <w:t xml:space="preserve"> </w:t>
      </w:r>
      <w:r w:rsidRPr="0031675F">
        <w:rPr>
          <w:spacing w:val="-1"/>
        </w:rPr>
        <w:t>scored/marked</w:t>
      </w:r>
      <w:r w:rsidRPr="0031675F">
        <w:rPr>
          <w:spacing w:val="-3"/>
        </w:rPr>
        <w:t xml:space="preserve"> </w:t>
      </w:r>
      <w:r w:rsidRPr="0031675F">
        <w:t xml:space="preserve">at </w:t>
      </w:r>
      <w:r w:rsidRPr="0031675F">
        <w:rPr>
          <w:spacing w:val="-1"/>
        </w:rPr>
        <w:t>20</w:t>
      </w:r>
      <w:r w:rsidR="00BB13FD">
        <w:rPr>
          <w:spacing w:val="-1"/>
        </w:rPr>
        <w:t>mL</w:t>
      </w:r>
      <w:r w:rsidRPr="0031675F">
        <w:rPr>
          <w:spacing w:val="-3"/>
        </w:rPr>
        <w:t xml:space="preserve"> </w:t>
      </w:r>
      <w:r w:rsidRPr="0031675F">
        <w:t>with</w:t>
      </w:r>
      <w:r w:rsidRPr="0031675F">
        <w:rPr>
          <w:spacing w:val="-4"/>
        </w:rPr>
        <w:t xml:space="preserve"> </w:t>
      </w:r>
      <w:r w:rsidRPr="0031675F">
        <w:t>lid</w:t>
      </w:r>
      <w:r w:rsidRPr="0031675F">
        <w:rPr>
          <w:spacing w:val="-1"/>
        </w:rPr>
        <w:t xml:space="preserve"> liners</w:t>
      </w:r>
      <w:r w:rsidRPr="0031675F">
        <w:t xml:space="preserve"> </w:t>
      </w:r>
      <w:r w:rsidRPr="0031675F">
        <w:rPr>
          <w:spacing w:val="-1"/>
        </w:rPr>
        <w:t>removed.)</w:t>
      </w:r>
    </w:p>
    <w:p w14:paraId="05B678B6" w14:textId="77777777" w:rsidR="0031675F" w:rsidRPr="0031675F" w:rsidRDefault="0031675F" w:rsidP="0031675F">
      <w:pPr>
        <w:widowControl w:val="0"/>
        <w:numPr>
          <w:ilvl w:val="0"/>
          <w:numId w:val="120"/>
        </w:numPr>
        <w:tabs>
          <w:tab w:val="left" w:pos="403"/>
        </w:tabs>
        <w:spacing w:before="60" w:after="0" w:line="240" w:lineRule="auto"/>
      </w:pPr>
      <w:r w:rsidRPr="0031675F">
        <w:t xml:space="preserve">Dark </w:t>
      </w:r>
      <w:r w:rsidRPr="0031675F">
        <w:rPr>
          <w:spacing w:val="-1"/>
        </w:rPr>
        <w:t>box</w:t>
      </w:r>
      <w:r w:rsidRPr="0031675F">
        <w:rPr>
          <w:spacing w:val="-2"/>
        </w:rPr>
        <w:t xml:space="preserve"> </w:t>
      </w:r>
      <w:r w:rsidRPr="0031675F">
        <w:t>to</w:t>
      </w:r>
      <w:r w:rsidRPr="0031675F">
        <w:rPr>
          <w:spacing w:val="-1"/>
        </w:rPr>
        <w:t xml:space="preserve"> hold reaction tubes.</w:t>
      </w:r>
    </w:p>
    <w:p w14:paraId="44419AF6" w14:textId="77777777" w:rsidR="0031675F" w:rsidRPr="0031675F" w:rsidRDefault="0031675F" w:rsidP="0031675F">
      <w:pPr>
        <w:rPr>
          <w:rFonts w:cs="Calibri"/>
          <w:sz w:val="24"/>
          <w:szCs w:val="24"/>
        </w:rPr>
      </w:pPr>
    </w:p>
    <w:p w14:paraId="23E295BA" w14:textId="77777777" w:rsidR="0031675F" w:rsidRPr="0031675F" w:rsidRDefault="0031675F" w:rsidP="0031675F">
      <w:pPr>
        <w:widowControl w:val="0"/>
        <w:numPr>
          <w:ilvl w:val="1"/>
          <w:numId w:val="121"/>
        </w:numPr>
        <w:tabs>
          <w:tab w:val="left" w:pos="686"/>
        </w:tabs>
        <w:spacing w:before="155" w:after="0" w:line="240" w:lineRule="auto"/>
        <w:ind w:left="685"/>
        <w:rPr>
          <w:rFonts w:eastAsia="Arial" w:cs="Arial"/>
          <w:sz w:val="24"/>
          <w:szCs w:val="24"/>
        </w:rPr>
      </w:pPr>
      <w:r w:rsidRPr="0031675F">
        <w:rPr>
          <w:b/>
          <w:spacing w:val="-1"/>
          <w:sz w:val="24"/>
        </w:rPr>
        <w:t>Method</w:t>
      </w:r>
    </w:p>
    <w:p w14:paraId="4696C98D" w14:textId="77777777" w:rsidR="0031675F" w:rsidRPr="0031675F" w:rsidRDefault="0031675F" w:rsidP="0031675F">
      <w:pPr>
        <w:spacing w:before="9"/>
        <w:rPr>
          <w:rFonts w:eastAsia="Arial" w:cs="Arial"/>
          <w:b/>
          <w:bCs/>
          <w:sz w:val="20"/>
          <w:szCs w:val="20"/>
        </w:rPr>
      </w:pPr>
    </w:p>
    <w:p w14:paraId="21BEFCEB" w14:textId="77777777" w:rsidR="0031675F" w:rsidRPr="0031675F" w:rsidRDefault="0031675F" w:rsidP="0031675F">
      <w:pPr>
        <w:widowControl w:val="0"/>
        <w:numPr>
          <w:ilvl w:val="2"/>
          <w:numId w:val="121"/>
        </w:numPr>
        <w:tabs>
          <w:tab w:val="left" w:pos="686"/>
        </w:tabs>
        <w:spacing w:before="0" w:after="0" w:line="240" w:lineRule="auto"/>
        <w:rPr>
          <w:rFonts w:eastAsia="Arial" w:cs="Arial"/>
          <w:sz w:val="20"/>
          <w:szCs w:val="20"/>
        </w:rPr>
      </w:pPr>
      <w:r w:rsidRPr="0031675F">
        <w:rPr>
          <w:b/>
          <w:sz w:val="20"/>
        </w:rPr>
        <w:t>Reagents</w:t>
      </w:r>
      <w:r w:rsidRPr="0031675F">
        <w:rPr>
          <w:b/>
          <w:spacing w:val="-8"/>
          <w:sz w:val="20"/>
        </w:rPr>
        <w:t xml:space="preserve"> </w:t>
      </w:r>
      <w:r w:rsidRPr="0031675F">
        <w:rPr>
          <w:b/>
          <w:sz w:val="20"/>
        </w:rPr>
        <w:t>and</w:t>
      </w:r>
      <w:r w:rsidRPr="0031675F">
        <w:rPr>
          <w:b/>
          <w:spacing w:val="-9"/>
          <w:sz w:val="20"/>
        </w:rPr>
        <w:t xml:space="preserve"> </w:t>
      </w:r>
      <w:r w:rsidRPr="0031675F">
        <w:rPr>
          <w:b/>
          <w:sz w:val="20"/>
        </w:rPr>
        <w:t>water</w:t>
      </w:r>
    </w:p>
    <w:p w14:paraId="36F97CEB" w14:textId="77777777" w:rsidR="0031675F" w:rsidRPr="0031675F" w:rsidRDefault="0031675F" w:rsidP="0031675F">
      <w:pPr>
        <w:spacing w:before="10"/>
        <w:rPr>
          <w:rFonts w:eastAsia="Arial" w:cs="Arial"/>
          <w:b/>
          <w:bCs/>
          <w:sz w:val="21"/>
          <w:szCs w:val="21"/>
        </w:rPr>
      </w:pPr>
    </w:p>
    <w:p w14:paraId="1C3A0A08" w14:textId="77777777" w:rsidR="0031675F" w:rsidRPr="0031675F" w:rsidRDefault="0031675F" w:rsidP="0031675F">
      <w:pPr>
        <w:widowControl w:val="0"/>
        <w:numPr>
          <w:ilvl w:val="0"/>
          <w:numId w:val="120"/>
        </w:numPr>
        <w:tabs>
          <w:tab w:val="left" w:pos="403"/>
        </w:tabs>
        <w:spacing w:before="0" w:after="0" w:line="266" w:lineRule="exact"/>
        <w:ind w:right="119"/>
      </w:pPr>
      <w:r w:rsidRPr="0031675F">
        <w:rPr>
          <w:spacing w:val="-1"/>
        </w:rPr>
        <w:t>(1)</w:t>
      </w:r>
      <w:r w:rsidRPr="0031675F">
        <w:t xml:space="preserve"> </w:t>
      </w:r>
      <w:r w:rsidRPr="0031675F">
        <w:rPr>
          <w:spacing w:val="-1"/>
        </w:rPr>
        <w:t>Borate</w:t>
      </w:r>
      <w:r w:rsidRPr="0031675F">
        <w:rPr>
          <w:spacing w:val="10"/>
        </w:rPr>
        <w:t xml:space="preserve"> </w:t>
      </w:r>
      <w:r w:rsidRPr="0031675F">
        <w:rPr>
          <w:spacing w:val="-1"/>
        </w:rPr>
        <w:t>Buffer:</w:t>
      </w:r>
      <w:r w:rsidRPr="0031675F">
        <w:rPr>
          <w:spacing w:val="21"/>
        </w:rPr>
        <w:t xml:space="preserve"> </w:t>
      </w:r>
      <w:r w:rsidRPr="0031675F">
        <w:rPr>
          <w:spacing w:val="-1"/>
        </w:rPr>
        <w:t>Dissolve</w:t>
      </w:r>
      <w:r w:rsidRPr="0031675F">
        <w:rPr>
          <w:spacing w:val="10"/>
        </w:rPr>
        <w:t xml:space="preserve"> </w:t>
      </w:r>
      <w:r w:rsidRPr="0031675F">
        <w:t>80</w:t>
      </w:r>
      <w:r w:rsidRPr="0031675F">
        <w:rPr>
          <w:spacing w:val="10"/>
        </w:rPr>
        <w:t xml:space="preserve"> </w:t>
      </w:r>
      <w:r w:rsidRPr="0031675F">
        <w:t>g</w:t>
      </w:r>
      <w:r w:rsidRPr="0031675F">
        <w:rPr>
          <w:spacing w:val="9"/>
        </w:rPr>
        <w:t xml:space="preserve"> </w:t>
      </w:r>
      <w:r w:rsidRPr="0031675F">
        <w:rPr>
          <w:spacing w:val="-1"/>
        </w:rPr>
        <w:t>sodium</w:t>
      </w:r>
      <w:r w:rsidRPr="0031675F">
        <w:rPr>
          <w:spacing w:val="11"/>
        </w:rPr>
        <w:t xml:space="preserve"> </w:t>
      </w:r>
      <w:r w:rsidRPr="0031675F">
        <w:rPr>
          <w:spacing w:val="-1"/>
        </w:rPr>
        <w:t>tetraborate</w:t>
      </w:r>
      <w:r w:rsidRPr="0031675F">
        <w:rPr>
          <w:spacing w:val="10"/>
        </w:rPr>
        <w:t xml:space="preserve"> </w:t>
      </w:r>
      <w:r w:rsidRPr="0031675F">
        <w:t>in</w:t>
      </w:r>
      <w:r w:rsidRPr="0031675F">
        <w:rPr>
          <w:spacing w:val="8"/>
        </w:rPr>
        <w:t xml:space="preserve"> </w:t>
      </w:r>
      <w:r w:rsidRPr="0031675F">
        <w:t>2</w:t>
      </w:r>
      <w:r w:rsidRPr="0031675F">
        <w:rPr>
          <w:spacing w:val="10"/>
        </w:rPr>
        <w:t xml:space="preserve"> </w:t>
      </w:r>
      <w:r w:rsidRPr="0031675F">
        <w:rPr>
          <w:spacing w:val="-1"/>
        </w:rPr>
        <w:t>litres</w:t>
      </w:r>
      <w:r w:rsidRPr="0031675F">
        <w:rPr>
          <w:spacing w:val="10"/>
        </w:rPr>
        <w:t xml:space="preserve"> </w:t>
      </w:r>
      <w:r w:rsidRPr="0031675F">
        <w:t>of</w:t>
      </w:r>
      <w:r w:rsidRPr="0031675F">
        <w:rPr>
          <w:spacing w:val="9"/>
        </w:rPr>
        <w:t xml:space="preserve"> </w:t>
      </w:r>
      <w:r w:rsidRPr="0031675F">
        <w:rPr>
          <w:spacing w:val="-1"/>
        </w:rPr>
        <w:t>DiW.</w:t>
      </w:r>
      <w:r w:rsidRPr="0031675F">
        <w:t xml:space="preserve"> </w:t>
      </w:r>
      <w:r w:rsidRPr="0031675F">
        <w:rPr>
          <w:spacing w:val="-1"/>
        </w:rPr>
        <w:t>Shake</w:t>
      </w:r>
      <w:r w:rsidRPr="0031675F">
        <w:rPr>
          <w:spacing w:val="17"/>
        </w:rPr>
        <w:t xml:space="preserve"> </w:t>
      </w:r>
      <w:r w:rsidRPr="0031675F">
        <w:rPr>
          <w:spacing w:val="-1"/>
        </w:rPr>
        <w:t>thoroughly,</w:t>
      </w:r>
      <w:r w:rsidRPr="0031675F">
        <w:rPr>
          <w:spacing w:val="8"/>
        </w:rPr>
        <w:t xml:space="preserve"> </w:t>
      </w:r>
      <w:r w:rsidRPr="0031675F">
        <w:t>or</w:t>
      </w:r>
      <w:r w:rsidRPr="0031675F">
        <w:rPr>
          <w:spacing w:val="9"/>
        </w:rPr>
        <w:t xml:space="preserve"> </w:t>
      </w:r>
      <w:r w:rsidRPr="0031675F">
        <w:rPr>
          <w:spacing w:val="-1"/>
        </w:rPr>
        <w:t>use</w:t>
      </w:r>
      <w:r w:rsidRPr="0031675F">
        <w:rPr>
          <w:spacing w:val="66"/>
        </w:rPr>
        <w:t xml:space="preserve"> </w:t>
      </w:r>
      <w:r w:rsidRPr="0031675F">
        <w:rPr>
          <w:spacing w:val="-1"/>
        </w:rPr>
        <w:t>magnetic</w:t>
      </w:r>
      <w:r w:rsidRPr="0031675F">
        <w:rPr>
          <w:spacing w:val="-3"/>
        </w:rPr>
        <w:t xml:space="preserve"> </w:t>
      </w:r>
      <w:r w:rsidRPr="0031675F">
        <w:rPr>
          <w:spacing w:val="-1"/>
        </w:rPr>
        <w:t>stirrer</w:t>
      </w:r>
      <w:r w:rsidRPr="0031675F">
        <w:rPr>
          <w:spacing w:val="-2"/>
        </w:rPr>
        <w:t xml:space="preserve"> </w:t>
      </w:r>
      <w:r w:rsidRPr="0031675F">
        <w:rPr>
          <w:spacing w:val="-1"/>
        </w:rPr>
        <w:t>overnight</w:t>
      </w:r>
      <w:r w:rsidRPr="0031675F">
        <w:rPr>
          <w:spacing w:val="-2"/>
        </w:rPr>
        <w:t xml:space="preserve"> </w:t>
      </w:r>
      <w:r w:rsidRPr="0031675F">
        <w:t>to</w:t>
      </w:r>
      <w:r w:rsidRPr="0031675F">
        <w:rPr>
          <w:spacing w:val="1"/>
        </w:rPr>
        <w:t xml:space="preserve"> </w:t>
      </w:r>
      <w:r w:rsidRPr="0031675F">
        <w:rPr>
          <w:spacing w:val="-1"/>
        </w:rPr>
        <w:t>dissolve.</w:t>
      </w:r>
      <w:r w:rsidRPr="0031675F">
        <w:t xml:space="preserve"> </w:t>
      </w:r>
      <w:r w:rsidRPr="0031675F">
        <w:rPr>
          <w:spacing w:val="-1"/>
        </w:rPr>
        <w:t>Stable.</w:t>
      </w:r>
    </w:p>
    <w:p w14:paraId="799F9365" w14:textId="0168B980" w:rsidR="0031675F" w:rsidRPr="0031675F" w:rsidRDefault="0031675F" w:rsidP="0031675F">
      <w:pPr>
        <w:widowControl w:val="0"/>
        <w:numPr>
          <w:ilvl w:val="0"/>
          <w:numId w:val="120"/>
        </w:numPr>
        <w:tabs>
          <w:tab w:val="left" w:pos="403"/>
        </w:tabs>
        <w:spacing w:before="66" w:after="0" w:line="240" w:lineRule="auto"/>
        <w:ind w:right="120"/>
      </w:pPr>
      <w:r w:rsidRPr="0031675F">
        <w:rPr>
          <w:spacing w:val="-1"/>
        </w:rPr>
        <w:t>(2)</w:t>
      </w:r>
      <w:r w:rsidRPr="0031675F">
        <w:t xml:space="preserve"> </w:t>
      </w:r>
      <w:r w:rsidRPr="0031675F">
        <w:rPr>
          <w:spacing w:val="-1"/>
        </w:rPr>
        <w:t>Sodium</w:t>
      </w:r>
      <w:r w:rsidRPr="0031675F">
        <w:rPr>
          <w:spacing w:val="27"/>
        </w:rPr>
        <w:t xml:space="preserve"> </w:t>
      </w:r>
      <w:r w:rsidRPr="0031675F">
        <w:rPr>
          <w:spacing w:val="-1"/>
        </w:rPr>
        <w:t>Sulfite:</w:t>
      </w:r>
      <w:r w:rsidRPr="0031675F">
        <w:t xml:space="preserve"> </w:t>
      </w:r>
      <w:r w:rsidRPr="0031675F">
        <w:rPr>
          <w:spacing w:val="-1"/>
        </w:rPr>
        <w:t>Dissolve</w:t>
      </w:r>
      <w:r w:rsidRPr="0031675F">
        <w:rPr>
          <w:spacing w:val="25"/>
        </w:rPr>
        <w:t xml:space="preserve"> </w:t>
      </w:r>
      <w:r w:rsidRPr="0031675F">
        <w:t>1</w:t>
      </w:r>
      <w:r w:rsidRPr="0031675F">
        <w:rPr>
          <w:spacing w:val="27"/>
        </w:rPr>
        <w:t xml:space="preserve"> </w:t>
      </w:r>
      <w:r w:rsidRPr="0031675F">
        <w:t>g</w:t>
      </w:r>
      <w:r w:rsidRPr="0031675F">
        <w:rPr>
          <w:spacing w:val="25"/>
        </w:rPr>
        <w:t xml:space="preserve"> </w:t>
      </w:r>
      <w:r w:rsidRPr="0031675F">
        <w:t>of</w:t>
      </w:r>
      <w:r w:rsidRPr="0031675F">
        <w:rPr>
          <w:spacing w:val="24"/>
        </w:rPr>
        <w:t xml:space="preserve"> </w:t>
      </w:r>
      <w:r w:rsidRPr="0031675F">
        <w:rPr>
          <w:spacing w:val="-1"/>
        </w:rPr>
        <w:t>sodium</w:t>
      </w:r>
      <w:r w:rsidRPr="0031675F">
        <w:rPr>
          <w:spacing w:val="28"/>
        </w:rPr>
        <w:t xml:space="preserve"> </w:t>
      </w:r>
      <w:r w:rsidRPr="0031675F">
        <w:rPr>
          <w:spacing w:val="-1"/>
        </w:rPr>
        <w:t>sulfite</w:t>
      </w:r>
      <w:r w:rsidRPr="0031675F">
        <w:rPr>
          <w:spacing w:val="25"/>
        </w:rPr>
        <w:t xml:space="preserve"> </w:t>
      </w:r>
      <w:r w:rsidRPr="0031675F">
        <w:rPr>
          <w:spacing w:val="-1"/>
        </w:rPr>
        <w:t>(Sigma</w:t>
      </w:r>
      <w:r w:rsidRPr="0031675F">
        <w:rPr>
          <w:spacing w:val="26"/>
        </w:rPr>
        <w:t xml:space="preserve"> </w:t>
      </w:r>
      <w:r w:rsidRPr="0031675F">
        <w:rPr>
          <w:spacing w:val="-1"/>
        </w:rPr>
        <w:t>S4672)</w:t>
      </w:r>
      <w:r w:rsidRPr="0031675F">
        <w:rPr>
          <w:spacing w:val="26"/>
        </w:rPr>
        <w:t xml:space="preserve"> </w:t>
      </w:r>
      <w:r w:rsidRPr="0031675F">
        <w:t>in</w:t>
      </w:r>
      <w:r w:rsidRPr="0031675F">
        <w:rPr>
          <w:spacing w:val="23"/>
        </w:rPr>
        <w:t xml:space="preserve"> </w:t>
      </w:r>
      <w:r w:rsidRPr="0031675F">
        <w:rPr>
          <w:spacing w:val="-1"/>
        </w:rPr>
        <w:t>125</w:t>
      </w:r>
      <w:r w:rsidRPr="0031675F">
        <w:rPr>
          <w:spacing w:val="27"/>
        </w:rPr>
        <w:t xml:space="preserve"> </w:t>
      </w:r>
      <w:r w:rsidR="00BB13FD">
        <w:t>mL</w:t>
      </w:r>
      <w:r w:rsidRPr="0031675F">
        <w:rPr>
          <w:spacing w:val="24"/>
        </w:rPr>
        <w:t xml:space="preserve"> </w:t>
      </w:r>
      <w:r w:rsidRPr="0031675F">
        <w:t>of</w:t>
      </w:r>
      <w:r w:rsidRPr="0031675F">
        <w:rPr>
          <w:spacing w:val="24"/>
        </w:rPr>
        <w:t xml:space="preserve"> </w:t>
      </w:r>
      <w:r w:rsidRPr="0031675F">
        <w:rPr>
          <w:spacing w:val="-1"/>
        </w:rPr>
        <w:t>deionized</w:t>
      </w:r>
      <w:r w:rsidRPr="0031675F">
        <w:rPr>
          <w:spacing w:val="26"/>
        </w:rPr>
        <w:t xml:space="preserve"> </w:t>
      </w:r>
      <w:r w:rsidRPr="0031675F">
        <w:rPr>
          <w:spacing w:val="-1"/>
        </w:rPr>
        <w:t>water</w:t>
      </w:r>
      <w:r w:rsidRPr="0031675F">
        <w:rPr>
          <w:spacing w:val="47"/>
        </w:rPr>
        <w:t xml:space="preserve"> </w:t>
      </w:r>
      <w:r w:rsidRPr="0031675F">
        <w:t>(DiW).</w:t>
      </w:r>
      <w:r w:rsidRPr="0031675F">
        <w:rPr>
          <w:spacing w:val="47"/>
        </w:rPr>
        <w:t xml:space="preserve"> </w:t>
      </w:r>
      <w:r w:rsidRPr="0031675F">
        <w:rPr>
          <w:spacing w:val="-1"/>
        </w:rPr>
        <w:t>Store</w:t>
      </w:r>
      <w:r w:rsidRPr="0031675F">
        <w:t xml:space="preserve"> </w:t>
      </w:r>
      <w:r w:rsidRPr="0031675F">
        <w:rPr>
          <w:spacing w:val="-2"/>
        </w:rPr>
        <w:t>at</w:t>
      </w:r>
      <w:r w:rsidRPr="0031675F">
        <w:t xml:space="preserve"> </w:t>
      </w:r>
      <w:r w:rsidRPr="0031675F">
        <w:rPr>
          <w:spacing w:val="-1"/>
        </w:rPr>
        <w:t xml:space="preserve">room </w:t>
      </w:r>
      <w:r w:rsidRPr="0031675F">
        <w:rPr>
          <w:spacing w:val="-2"/>
        </w:rPr>
        <w:t>temp,</w:t>
      </w:r>
      <w:r w:rsidRPr="0031675F">
        <w:t xml:space="preserve"> </w:t>
      </w:r>
      <w:r w:rsidRPr="0031675F">
        <w:rPr>
          <w:spacing w:val="-1"/>
        </w:rPr>
        <w:t>stable</w:t>
      </w:r>
      <w:r w:rsidRPr="0031675F">
        <w:t xml:space="preserve"> </w:t>
      </w:r>
      <w:r w:rsidRPr="0031675F">
        <w:rPr>
          <w:spacing w:val="-1"/>
        </w:rPr>
        <w:t>for</w:t>
      </w:r>
      <w:r w:rsidRPr="0031675F">
        <w:rPr>
          <w:spacing w:val="-2"/>
        </w:rPr>
        <w:t xml:space="preserve"> </w:t>
      </w:r>
      <w:r w:rsidRPr="0031675F">
        <w:t>~1</w:t>
      </w:r>
      <w:r w:rsidRPr="0031675F">
        <w:rPr>
          <w:spacing w:val="-1"/>
        </w:rPr>
        <w:t xml:space="preserve"> month.</w:t>
      </w:r>
    </w:p>
    <w:p w14:paraId="79E67642" w14:textId="36756A24" w:rsidR="0031675F" w:rsidRPr="0031675F" w:rsidRDefault="0031675F" w:rsidP="0031675F">
      <w:pPr>
        <w:widowControl w:val="0"/>
        <w:numPr>
          <w:ilvl w:val="0"/>
          <w:numId w:val="120"/>
        </w:numPr>
        <w:tabs>
          <w:tab w:val="left" w:pos="403"/>
        </w:tabs>
        <w:spacing w:before="60" w:after="0" w:line="240" w:lineRule="auto"/>
        <w:ind w:right="120"/>
      </w:pPr>
      <w:r w:rsidRPr="0031675F">
        <w:rPr>
          <w:spacing w:val="-1"/>
        </w:rPr>
        <w:t>(3)</w:t>
      </w:r>
      <w:r w:rsidRPr="0031675F">
        <w:t xml:space="preserve"> </w:t>
      </w:r>
      <w:r w:rsidRPr="0031675F">
        <w:rPr>
          <w:spacing w:val="-1"/>
        </w:rPr>
        <w:t>OPA</w:t>
      </w:r>
      <w:r w:rsidRPr="0031675F">
        <w:t xml:space="preserve"> </w:t>
      </w:r>
      <w:r w:rsidRPr="0031675F">
        <w:rPr>
          <w:spacing w:val="-1"/>
        </w:rPr>
        <w:t>solution:</w:t>
      </w:r>
      <w:r w:rsidRPr="0031675F">
        <w:t xml:space="preserve"> </w:t>
      </w:r>
      <w:r w:rsidRPr="0031675F">
        <w:rPr>
          <w:spacing w:val="-1"/>
        </w:rPr>
        <w:t>Dissolve</w:t>
      </w:r>
      <w:r w:rsidRPr="0031675F">
        <w:rPr>
          <w:spacing w:val="-2"/>
        </w:rPr>
        <w:t xml:space="preserve"> </w:t>
      </w:r>
      <w:r w:rsidRPr="0031675F">
        <w:t xml:space="preserve">4 g of </w:t>
      </w:r>
      <w:r w:rsidRPr="0031675F">
        <w:rPr>
          <w:spacing w:val="-1"/>
        </w:rPr>
        <w:t>OPA</w:t>
      </w:r>
      <w:r w:rsidRPr="0031675F">
        <w:t xml:space="preserve"> </w:t>
      </w:r>
      <w:r w:rsidRPr="0031675F">
        <w:rPr>
          <w:spacing w:val="-1"/>
        </w:rPr>
        <w:t>(Sigma</w:t>
      </w:r>
      <w:r w:rsidRPr="0031675F">
        <w:t xml:space="preserve"> </w:t>
      </w:r>
      <w:r w:rsidRPr="0031675F">
        <w:rPr>
          <w:spacing w:val="-1"/>
        </w:rPr>
        <w:t>P1378)</w:t>
      </w:r>
      <w:r w:rsidRPr="0031675F">
        <w:t xml:space="preserve"> </w:t>
      </w:r>
      <w:r w:rsidRPr="0031675F">
        <w:rPr>
          <w:spacing w:val="-2"/>
        </w:rPr>
        <w:t>in</w:t>
      </w:r>
      <w:r w:rsidRPr="0031675F">
        <w:rPr>
          <w:spacing w:val="-1"/>
        </w:rPr>
        <w:t xml:space="preserve"> 100</w:t>
      </w:r>
      <w:r w:rsidR="00BB13FD">
        <w:rPr>
          <w:spacing w:val="-1"/>
        </w:rPr>
        <w:t xml:space="preserve"> mL</w:t>
      </w:r>
      <w:r w:rsidRPr="0031675F">
        <w:rPr>
          <w:spacing w:val="-2"/>
        </w:rPr>
        <w:t xml:space="preserve"> </w:t>
      </w:r>
      <w:r w:rsidRPr="0031675F">
        <w:t xml:space="preserve">of </w:t>
      </w:r>
      <w:r w:rsidRPr="0031675F">
        <w:rPr>
          <w:spacing w:val="-1"/>
        </w:rPr>
        <w:t>high grade</w:t>
      </w:r>
      <w:r w:rsidRPr="0031675F">
        <w:t xml:space="preserve"> </w:t>
      </w:r>
      <w:r w:rsidRPr="0031675F">
        <w:rPr>
          <w:spacing w:val="-2"/>
        </w:rPr>
        <w:t>(HPLC)</w:t>
      </w:r>
      <w:r w:rsidRPr="0031675F">
        <w:t xml:space="preserve"> </w:t>
      </w:r>
      <w:r w:rsidRPr="0031675F">
        <w:rPr>
          <w:spacing w:val="-1"/>
        </w:rPr>
        <w:t>Ethanol.</w:t>
      </w:r>
      <w:r w:rsidRPr="0031675F">
        <w:rPr>
          <w:spacing w:val="49"/>
        </w:rPr>
        <w:t xml:space="preserve"> </w:t>
      </w:r>
      <w:r w:rsidRPr="0031675F">
        <w:rPr>
          <w:spacing w:val="-1"/>
        </w:rPr>
        <w:t>Store</w:t>
      </w:r>
      <w:r w:rsidRPr="0031675F">
        <w:rPr>
          <w:spacing w:val="71"/>
        </w:rPr>
        <w:t xml:space="preserve"> </w:t>
      </w:r>
      <w:r w:rsidRPr="0031675F">
        <w:t>in</w:t>
      </w:r>
      <w:r w:rsidRPr="0031675F">
        <w:rPr>
          <w:spacing w:val="-1"/>
        </w:rPr>
        <w:t xml:space="preserve"> </w:t>
      </w:r>
      <w:r w:rsidRPr="0031675F">
        <w:t xml:space="preserve">an </w:t>
      </w:r>
      <w:r w:rsidRPr="0031675F">
        <w:rPr>
          <w:spacing w:val="-1"/>
        </w:rPr>
        <w:t>opaque</w:t>
      </w:r>
      <w:r w:rsidRPr="0031675F">
        <w:t xml:space="preserve"> </w:t>
      </w:r>
      <w:r w:rsidRPr="0031675F">
        <w:rPr>
          <w:spacing w:val="-1"/>
        </w:rPr>
        <w:t>brown</w:t>
      </w:r>
      <w:r w:rsidRPr="0031675F">
        <w:rPr>
          <w:spacing w:val="-2"/>
        </w:rPr>
        <w:t xml:space="preserve"> </w:t>
      </w:r>
      <w:r w:rsidRPr="0031675F">
        <w:t xml:space="preserve">or </w:t>
      </w:r>
      <w:r w:rsidRPr="0031675F">
        <w:rPr>
          <w:spacing w:val="-2"/>
        </w:rPr>
        <w:t>grey</w:t>
      </w:r>
      <w:r w:rsidRPr="0031675F">
        <w:t xml:space="preserve"> </w:t>
      </w:r>
      <w:r w:rsidRPr="0031675F">
        <w:rPr>
          <w:spacing w:val="-1"/>
        </w:rPr>
        <w:t>polyethylene</w:t>
      </w:r>
      <w:r w:rsidRPr="0031675F">
        <w:rPr>
          <w:spacing w:val="-2"/>
        </w:rPr>
        <w:t xml:space="preserve"> </w:t>
      </w:r>
      <w:r w:rsidRPr="0031675F">
        <w:rPr>
          <w:spacing w:val="-1"/>
        </w:rPr>
        <w:t>bottle.</w:t>
      </w:r>
    </w:p>
    <w:p w14:paraId="1953C9D3" w14:textId="141BF4AD" w:rsidR="0031675F" w:rsidRPr="0031675F" w:rsidRDefault="0031675F" w:rsidP="0031675F">
      <w:pPr>
        <w:widowControl w:val="0"/>
        <w:numPr>
          <w:ilvl w:val="0"/>
          <w:numId w:val="120"/>
        </w:numPr>
        <w:tabs>
          <w:tab w:val="left" w:pos="403"/>
        </w:tabs>
        <w:spacing w:before="61" w:after="0" w:line="239" w:lineRule="auto"/>
        <w:ind w:right="112"/>
        <w:jc w:val="both"/>
        <w:rPr>
          <w:spacing w:val="-1"/>
        </w:rPr>
      </w:pPr>
      <w:r w:rsidRPr="0031675F">
        <w:rPr>
          <w:spacing w:val="-1"/>
        </w:rPr>
        <w:t>Working</w:t>
      </w:r>
      <w:r w:rsidRPr="0031675F">
        <w:rPr>
          <w:spacing w:val="18"/>
        </w:rPr>
        <w:t xml:space="preserve"> </w:t>
      </w:r>
      <w:r w:rsidRPr="0031675F">
        <w:rPr>
          <w:spacing w:val="-1"/>
        </w:rPr>
        <w:t>reagent</w:t>
      </w:r>
      <w:r w:rsidRPr="0031675F">
        <w:rPr>
          <w:spacing w:val="20"/>
        </w:rPr>
        <w:t xml:space="preserve"> </w:t>
      </w:r>
      <w:r w:rsidRPr="0031675F">
        <w:rPr>
          <w:spacing w:val="-1"/>
        </w:rPr>
        <w:t>(WR):</w:t>
      </w:r>
      <w:r w:rsidRPr="0031675F">
        <w:rPr>
          <w:spacing w:val="39"/>
        </w:rPr>
        <w:t xml:space="preserve"> </w:t>
      </w:r>
      <w:r w:rsidRPr="0031675F">
        <w:t>Mix</w:t>
      </w:r>
      <w:r w:rsidRPr="0031675F">
        <w:rPr>
          <w:spacing w:val="19"/>
        </w:rPr>
        <w:t xml:space="preserve"> </w:t>
      </w:r>
      <w:r w:rsidRPr="0031675F">
        <w:t>2</w:t>
      </w:r>
      <w:r w:rsidRPr="0031675F">
        <w:rPr>
          <w:spacing w:val="20"/>
        </w:rPr>
        <w:t xml:space="preserve"> </w:t>
      </w:r>
      <w:r w:rsidRPr="0031675F">
        <w:rPr>
          <w:spacing w:val="-1"/>
        </w:rPr>
        <w:t>litres</w:t>
      </w:r>
      <w:r w:rsidRPr="0031675F">
        <w:rPr>
          <w:spacing w:val="20"/>
        </w:rPr>
        <w:t xml:space="preserve"> </w:t>
      </w:r>
      <w:r w:rsidRPr="0031675F">
        <w:t>of</w:t>
      </w:r>
      <w:r w:rsidRPr="0031675F">
        <w:rPr>
          <w:spacing w:val="19"/>
        </w:rPr>
        <w:t xml:space="preserve"> </w:t>
      </w:r>
      <w:r w:rsidRPr="0031675F">
        <w:rPr>
          <w:spacing w:val="-1"/>
        </w:rPr>
        <w:t>(1)</w:t>
      </w:r>
      <w:r w:rsidRPr="0031675F">
        <w:rPr>
          <w:spacing w:val="20"/>
        </w:rPr>
        <w:t xml:space="preserve"> </w:t>
      </w:r>
      <w:r w:rsidRPr="0031675F">
        <w:t>+</w:t>
      </w:r>
      <w:r w:rsidRPr="0031675F">
        <w:rPr>
          <w:spacing w:val="20"/>
        </w:rPr>
        <w:t xml:space="preserve"> </w:t>
      </w:r>
      <w:r w:rsidRPr="0031675F">
        <w:rPr>
          <w:spacing w:val="-1"/>
        </w:rPr>
        <w:t>10</w:t>
      </w:r>
      <w:r w:rsidRPr="0031675F">
        <w:rPr>
          <w:spacing w:val="20"/>
        </w:rPr>
        <w:t xml:space="preserve"> </w:t>
      </w:r>
      <w:r w:rsidR="00BB13FD">
        <w:t>mL</w:t>
      </w:r>
      <w:r w:rsidRPr="0031675F">
        <w:rPr>
          <w:spacing w:val="19"/>
        </w:rPr>
        <w:t xml:space="preserve"> </w:t>
      </w:r>
      <w:r w:rsidRPr="0031675F">
        <w:t>of</w:t>
      </w:r>
      <w:r w:rsidRPr="0031675F">
        <w:rPr>
          <w:spacing w:val="16"/>
        </w:rPr>
        <w:t xml:space="preserve"> </w:t>
      </w:r>
      <w:r w:rsidRPr="0031675F">
        <w:rPr>
          <w:spacing w:val="-1"/>
        </w:rPr>
        <w:t>(2)</w:t>
      </w:r>
      <w:r w:rsidRPr="0031675F">
        <w:rPr>
          <w:spacing w:val="20"/>
        </w:rPr>
        <w:t xml:space="preserve"> </w:t>
      </w:r>
      <w:r w:rsidRPr="0031675F">
        <w:t>+</w:t>
      </w:r>
      <w:r w:rsidRPr="0031675F">
        <w:rPr>
          <w:spacing w:val="20"/>
        </w:rPr>
        <w:t xml:space="preserve"> </w:t>
      </w:r>
      <w:r w:rsidRPr="0031675F">
        <w:rPr>
          <w:spacing w:val="-1"/>
        </w:rPr>
        <w:t>100</w:t>
      </w:r>
      <w:r w:rsidRPr="0031675F">
        <w:rPr>
          <w:spacing w:val="20"/>
        </w:rPr>
        <w:t xml:space="preserve"> </w:t>
      </w:r>
      <w:r w:rsidR="00BB13FD">
        <w:t>mL</w:t>
      </w:r>
      <w:r w:rsidRPr="0031675F">
        <w:rPr>
          <w:spacing w:val="19"/>
        </w:rPr>
        <w:t xml:space="preserve"> </w:t>
      </w:r>
      <w:r w:rsidRPr="0031675F">
        <w:t>of</w:t>
      </w:r>
      <w:r w:rsidRPr="0031675F">
        <w:rPr>
          <w:spacing w:val="19"/>
        </w:rPr>
        <w:t xml:space="preserve"> </w:t>
      </w:r>
      <w:r w:rsidRPr="0031675F">
        <w:rPr>
          <w:spacing w:val="-1"/>
        </w:rPr>
        <w:t>(3).</w:t>
      </w:r>
      <w:r w:rsidRPr="0031675F">
        <w:rPr>
          <w:spacing w:val="47"/>
        </w:rPr>
        <w:t xml:space="preserve"> </w:t>
      </w:r>
      <w:r w:rsidRPr="0031675F">
        <w:rPr>
          <w:spacing w:val="-1"/>
        </w:rPr>
        <w:t>Allow</w:t>
      </w:r>
      <w:r w:rsidRPr="0031675F">
        <w:rPr>
          <w:spacing w:val="20"/>
        </w:rPr>
        <w:t xml:space="preserve"> </w:t>
      </w:r>
      <w:r w:rsidRPr="0031675F">
        <w:rPr>
          <w:spacing w:val="-1"/>
        </w:rPr>
        <w:t>this</w:t>
      </w:r>
      <w:r w:rsidRPr="0031675F">
        <w:rPr>
          <w:spacing w:val="19"/>
        </w:rPr>
        <w:t xml:space="preserve"> </w:t>
      </w:r>
      <w:r w:rsidRPr="0031675F">
        <w:rPr>
          <w:spacing w:val="-1"/>
        </w:rPr>
        <w:t>solution</w:t>
      </w:r>
      <w:r w:rsidRPr="0031675F">
        <w:rPr>
          <w:spacing w:val="18"/>
        </w:rPr>
        <w:t xml:space="preserve"> </w:t>
      </w:r>
      <w:r w:rsidRPr="0031675F">
        <w:rPr>
          <w:spacing w:val="-1"/>
        </w:rPr>
        <w:t>to</w:t>
      </w:r>
      <w:r w:rsidRPr="0031675F">
        <w:rPr>
          <w:spacing w:val="77"/>
        </w:rPr>
        <w:t xml:space="preserve"> </w:t>
      </w:r>
      <w:r w:rsidRPr="0031675F">
        <w:rPr>
          <w:rFonts w:cs="Calibri"/>
          <w:spacing w:val="-1"/>
        </w:rPr>
        <w:t>“age”</w:t>
      </w:r>
      <w:r w:rsidRPr="0031675F">
        <w:rPr>
          <w:rFonts w:cs="Calibri"/>
          <w:spacing w:val="23"/>
        </w:rPr>
        <w:t xml:space="preserve"> </w:t>
      </w:r>
      <w:r w:rsidRPr="0031675F">
        <w:rPr>
          <w:rFonts w:cs="Calibri"/>
        </w:rPr>
        <w:t>for</w:t>
      </w:r>
      <w:r w:rsidRPr="0031675F">
        <w:rPr>
          <w:rFonts w:cs="Calibri"/>
          <w:spacing w:val="19"/>
        </w:rPr>
        <w:t xml:space="preserve"> </w:t>
      </w:r>
      <w:r w:rsidRPr="0031675F">
        <w:rPr>
          <w:rFonts w:cs="Calibri"/>
        </w:rPr>
        <w:t>1</w:t>
      </w:r>
      <w:r w:rsidRPr="0031675F">
        <w:rPr>
          <w:rFonts w:cs="Calibri"/>
          <w:spacing w:val="22"/>
        </w:rPr>
        <w:t xml:space="preserve"> </w:t>
      </w:r>
      <w:r w:rsidRPr="0031675F">
        <w:rPr>
          <w:rFonts w:cs="Calibri"/>
          <w:spacing w:val="-2"/>
        </w:rPr>
        <w:t>day</w:t>
      </w:r>
      <w:r w:rsidRPr="0031675F">
        <w:rPr>
          <w:rFonts w:cs="Calibri"/>
          <w:spacing w:val="22"/>
        </w:rPr>
        <w:t xml:space="preserve"> </w:t>
      </w:r>
      <w:r w:rsidRPr="0031675F">
        <w:rPr>
          <w:rFonts w:cs="Calibri"/>
          <w:spacing w:val="-1"/>
        </w:rPr>
        <w:t>prior</w:t>
      </w:r>
      <w:r w:rsidRPr="0031675F">
        <w:rPr>
          <w:rFonts w:cs="Calibri"/>
          <w:spacing w:val="22"/>
        </w:rPr>
        <w:t xml:space="preserve"> </w:t>
      </w:r>
      <w:r w:rsidRPr="0031675F">
        <w:rPr>
          <w:rFonts w:cs="Calibri"/>
          <w:spacing w:val="-1"/>
        </w:rPr>
        <w:t>to</w:t>
      </w:r>
      <w:r w:rsidRPr="0031675F">
        <w:rPr>
          <w:rFonts w:cs="Calibri"/>
          <w:spacing w:val="23"/>
        </w:rPr>
        <w:t xml:space="preserve"> </w:t>
      </w:r>
      <w:r w:rsidRPr="0031675F">
        <w:rPr>
          <w:rFonts w:cs="Calibri"/>
          <w:spacing w:val="-1"/>
        </w:rPr>
        <w:t>use.</w:t>
      </w:r>
      <w:r w:rsidRPr="0031675F">
        <w:rPr>
          <w:rFonts w:cs="Calibri"/>
          <w:spacing w:val="43"/>
        </w:rPr>
        <w:t xml:space="preserve"> </w:t>
      </w:r>
      <w:r w:rsidRPr="0031675F">
        <w:rPr>
          <w:rFonts w:cs="Calibri"/>
          <w:spacing w:val="-1"/>
        </w:rPr>
        <w:t>Store</w:t>
      </w:r>
      <w:r w:rsidRPr="0031675F">
        <w:rPr>
          <w:rFonts w:cs="Calibri"/>
          <w:spacing w:val="22"/>
        </w:rPr>
        <w:t xml:space="preserve"> </w:t>
      </w:r>
      <w:r w:rsidRPr="0031675F">
        <w:rPr>
          <w:rFonts w:cs="Calibri"/>
        </w:rPr>
        <w:t>in</w:t>
      </w:r>
      <w:r w:rsidRPr="0031675F">
        <w:rPr>
          <w:rFonts w:cs="Calibri"/>
          <w:spacing w:val="20"/>
        </w:rPr>
        <w:t xml:space="preserve"> </w:t>
      </w:r>
      <w:r w:rsidRPr="0031675F">
        <w:rPr>
          <w:rFonts w:cs="Calibri"/>
        </w:rPr>
        <w:t>a</w:t>
      </w:r>
      <w:r w:rsidRPr="0031675F">
        <w:rPr>
          <w:rFonts w:cs="Calibri"/>
          <w:spacing w:val="21"/>
        </w:rPr>
        <w:t xml:space="preserve"> </w:t>
      </w:r>
      <w:r w:rsidRPr="0031675F">
        <w:rPr>
          <w:rFonts w:cs="Calibri"/>
        </w:rPr>
        <w:t>2</w:t>
      </w:r>
      <w:r w:rsidRPr="0031675F">
        <w:rPr>
          <w:rFonts w:cs="Calibri"/>
          <w:spacing w:val="22"/>
        </w:rPr>
        <w:t xml:space="preserve"> </w:t>
      </w:r>
      <w:r w:rsidRPr="0031675F">
        <w:rPr>
          <w:rFonts w:cs="Calibri"/>
          <w:spacing w:val="-1"/>
        </w:rPr>
        <w:t>litre</w:t>
      </w:r>
      <w:r w:rsidRPr="0031675F">
        <w:rPr>
          <w:rFonts w:cs="Calibri"/>
          <w:spacing w:val="22"/>
        </w:rPr>
        <w:t xml:space="preserve"> </w:t>
      </w:r>
      <w:r w:rsidRPr="0031675F">
        <w:rPr>
          <w:rFonts w:cs="Calibri"/>
        </w:rPr>
        <w:t>br</w:t>
      </w:r>
      <w:r w:rsidRPr="0031675F">
        <w:t>own</w:t>
      </w:r>
      <w:r w:rsidRPr="0031675F">
        <w:rPr>
          <w:spacing w:val="21"/>
        </w:rPr>
        <w:t xml:space="preserve"> </w:t>
      </w:r>
      <w:r w:rsidRPr="0031675F">
        <w:rPr>
          <w:spacing w:val="-1"/>
        </w:rPr>
        <w:t>polyethylene</w:t>
      </w:r>
      <w:r w:rsidRPr="0031675F">
        <w:rPr>
          <w:spacing w:val="20"/>
        </w:rPr>
        <w:t xml:space="preserve"> </w:t>
      </w:r>
      <w:r w:rsidRPr="0031675F">
        <w:rPr>
          <w:spacing w:val="-1"/>
        </w:rPr>
        <w:t>bottle.</w:t>
      </w:r>
      <w:r w:rsidRPr="0031675F">
        <w:rPr>
          <w:spacing w:val="44"/>
        </w:rPr>
        <w:t xml:space="preserve"> </w:t>
      </w:r>
      <w:r w:rsidRPr="0031675F">
        <w:rPr>
          <w:spacing w:val="-1"/>
        </w:rPr>
        <w:t>Stable</w:t>
      </w:r>
      <w:r w:rsidRPr="0031675F">
        <w:rPr>
          <w:spacing w:val="22"/>
        </w:rPr>
        <w:t xml:space="preserve"> </w:t>
      </w:r>
      <w:r w:rsidRPr="0031675F">
        <w:rPr>
          <w:spacing w:val="-1"/>
        </w:rPr>
        <w:t>for</w:t>
      </w:r>
      <w:r w:rsidRPr="0031675F">
        <w:rPr>
          <w:spacing w:val="21"/>
        </w:rPr>
        <w:t xml:space="preserve"> </w:t>
      </w:r>
      <w:r w:rsidRPr="0031675F">
        <w:t>at</w:t>
      </w:r>
      <w:r w:rsidRPr="0031675F">
        <w:rPr>
          <w:spacing w:val="19"/>
        </w:rPr>
        <w:t xml:space="preserve"> </w:t>
      </w:r>
      <w:r w:rsidRPr="0031675F">
        <w:t>least</w:t>
      </w:r>
      <w:r w:rsidRPr="0031675F">
        <w:rPr>
          <w:spacing w:val="19"/>
        </w:rPr>
        <w:t xml:space="preserve"> </w:t>
      </w:r>
      <w:r w:rsidRPr="0031675F">
        <w:t>3</w:t>
      </w:r>
      <w:r w:rsidRPr="0031675F">
        <w:rPr>
          <w:spacing w:val="59"/>
        </w:rPr>
        <w:t xml:space="preserve"> </w:t>
      </w:r>
      <w:r w:rsidRPr="0031675F">
        <w:rPr>
          <w:spacing w:val="-1"/>
        </w:rPr>
        <w:t>months</w:t>
      </w:r>
      <w:r w:rsidRPr="0031675F">
        <w:t xml:space="preserve"> if </w:t>
      </w:r>
      <w:r w:rsidRPr="0031675F">
        <w:rPr>
          <w:spacing w:val="-1"/>
        </w:rPr>
        <w:t>stored</w:t>
      </w:r>
      <w:r w:rsidRPr="0031675F">
        <w:t xml:space="preserve"> in</w:t>
      </w:r>
      <w:r w:rsidRPr="0031675F">
        <w:rPr>
          <w:spacing w:val="-1"/>
        </w:rPr>
        <w:t xml:space="preserve"> dark</w:t>
      </w:r>
      <w:r w:rsidRPr="0031675F">
        <w:t xml:space="preserve"> </w:t>
      </w:r>
      <w:r w:rsidRPr="0031675F">
        <w:rPr>
          <w:spacing w:val="-2"/>
        </w:rPr>
        <w:t xml:space="preserve">at </w:t>
      </w:r>
      <w:r w:rsidRPr="0031675F">
        <w:rPr>
          <w:spacing w:val="-1"/>
        </w:rPr>
        <w:t>room temperature.</w:t>
      </w:r>
    </w:p>
    <w:p w14:paraId="3E726344" w14:textId="7699F71B" w:rsidR="0031675F" w:rsidRPr="0031675F" w:rsidRDefault="0031675F" w:rsidP="0031675F">
      <w:pPr>
        <w:widowControl w:val="0"/>
        <w:numPr>
          <w:ilvl w:val="0"/>
          <w:numId w:val="120"/>
        </w:numPr>
        <w:tabs>
          <w:tab w:val="left" w:pos="403"/>
        </w:tabs>
        <w:spacing w:before="0" w:after="0" w:line="270" w:lineRule="exact"/>
        <w:ind w:right="116"/>
        <w:jc w:val="both"/>
      </w:pPr>
      <w:r w:rsidRPr="0031675F">
        <w:rPr>
          <w:spacing w:val="-1"/>
        </w:rPr>
        <w:t>Primary</w:t>
      </w:r>
      <w:r w:rsidRPr="0031675F">
        <w:rPr>
          <w:spacing w:val="12"/>
        </w:rPr>
        <w:t xml:space="preserve"> </w:t>
      </w:r>
      <w:r w:rsidRPr="0031675F">
        <w:rPr>
          <w:spacing w:val="-1"/>
        </w:rPr>
        <w:t>NH</w:t>
      </w:r>
      <w:r w:rsidRPr="0031675F">
        <w:rPr>
          <w:spacing w:val="-1"/>
          <w:position w:val="-2"/>
          <w:sz w:val="14"/>
        </w:rPr>
        <w:t>4</w:t>
      </w:r>
      <w:r w:rsidRPr="0031675F">
        <w:rPr>
          <w:spacing w:val="13"/>
          <w:position w:val="-2"/>
          <w:sz w:val="14"/>
        </w:rPr>
        <w:t xml:space="preserve"> </w:t>
      </w:r>
      <w:r w:rsidRPr="0031675F">
        <w:rPr>
          <w:spacing w:val="-1"/>
        </w:rPr>
        <w:t>Stock</w:t>
      </w:r>
      <w:r w:rsidRPr="0031675F">
        <w:rPr>
          <w:spacing w:val="12"/>
        </w:rPr>
        <w:t xml:space="preserve"> </w:t>
      </w:r>
      <w:r w:rsidRPr="0031675F">
        <w:rPr>
          <w:spacing w:val="-1"/>
        </w:rPr>
        <w:t>Standard</w:t>
      </w:r>
      <w:r w:rsidRPr="0031675F">
        <w:rPr>
          <w:spacing w:val="11"/>
        </w:rPr>
        <w:t xml:space="preserve"> </w:t>
      </w:r>
      <w:r w:rsidRPr="0031675F">
        <w:rPr>
          <w:spacing w:val="-1"/>
        </w:rPr>
        <w:t>Solution:</w:t>
      </w:r>
      <w:r w:rsidRPr="0031675F">
        <w:rPr>
          <w:spacing w:val="28"/>
        </w:rPr>
        <w:t xml:space="preserve"> </w:t>
      </w:r>
      <w:r w:rsidRPr="0031675F">
        <w:rPr>
          <w:spacing w:val="-1"/>
        </w:rPr>
        <w:t>(1</w:t>
      </w:r>
      <w:r w:rsidR="00E817CB">
        <w:rPr>
          <w:spacing w:val="-1"/>
        </w:rPr>
        <w:t xml:space="preserve"> </w:t>
      </w:r>
      <w:r w:rsidRPr="0031675F">
        <w:rPr>
          <w:spacing w:val="-1"/>
        </w:rPr>
        <w:t>mmol</w:t>
      </w:r>
      <w:r w:rsidR="00E817CB" w:rsidRPr="00E817CB">
        <w:t xml:space="preserve"> L</w:t>
      </w:r>
      <w:r w:rsidR="00E817CB" w:rsidRPr="00E817CB">
        <w:rPr>
          <w:vertAlign w:val="superscript"/>
        </w:rPr>
        <w:t>-1</w:t>
      </w:r>
      <w:r w:rsidRPr="0031675F">
        <w:rPr>
          <w:spacing w:val="12"/>
        </w:rPr>
        <w:t xml:space="preserve"> </w:t>
      </w:r>
      <w:r w:rsidRPr="0031675F">
        <w:rPr>
          <w:spacing w:val="-1"/>
        </w:rPr>
        <w:t>NH</w:t>
      </w:r>
      <w:r w:rsidRPr="0031675F">
        <w:rPr>
          <w:spacing w:val="-1"/>
          <w:position w:val="-2"/>
          <w:sz w:val="14"/>
        </w:rPr>
        <w:t>4</w:t>
      </w:r>
      <w:r w:rsidRPr="0031675F">
        <w:rPr>
          <w:spacing w:val="-1"/>
        </w:rPr>
        <w:t>-N)</w:t>
      </w:r>
      <w:r w:rsidRPr="0031675F">
        <w:rPr>
          <w:spacing w:val="11"/>
        </w:rPr>
        <w:t xml:space="preserve"> </w:t>
      </w:r>
      <w:r w:rsidRPr="0031675F">
        <w:rPr>
          <w:spacing w:val="-1"/>
        </w:rPr>
        <w:t>Dissolve</w:t>
      </w:r>
      <w:r w:rsidRPr="0031675F">
        <w:rPr>
          <w:spacing w:val="10"/>
        </w:rPr>
        <w:t xml:space="preserve"> </w:t>
      </w:r>
      <w:r w:rsidRPr="0031675F">
        <w:rPr>
          <w:spacing w:val="-1"/>
        </w:rPr>
        <w:t>0.0134</w:t>
      </w:r>
      <w:r w:rsidRPr="0031675F">
        <w:rPr>
          <w:spacing w:val="13"/>
        </w:rPr>
        <w:t xml:space="preserve"> </w:t>
      </w:r>
      <w:r w:rsidRPr="0031675F">
        <w:t>g</w:t>
      </w:r>
      <w:r w:rsidRPr="0031675F">
        <w:rPr>
          <w:spacing w:val="11"/>
        </w:rPr>
        <w:t xml:space="preserve"> </w:t>
      </w:r>
      <w:r w:rsidRPr="0031675F">
        <w:t>of</w:t>
      </w:r>
      <w:r w:rsidRPr="0031675F">
        <w:rPr>
          <w:spacing w:val="12"/>
        </w:rPr>
        <w:t xml:space="preserve"> </w:t>
      </w:r>
      <w:r w:rsidRPr="0031675F">
        <w:rPr>
          <w:spacing w:val="-1"/>
        </w:rPr>
        <w:t>ammonium</w:t>
      </w:r>
      <w:r w:rsidRPr="0031675F">
        <w:rPr>
          <w:spacing w:val="13"/>
        </w:rPr>
        <w:t xml:space="preserve"> </w:t>
      </w:r>
      <w:r w:rsidRPr="0031675F">
        <w:rPr>
          <w:spacing w:val="-1"/>
        </w:rPr>
        <w:t>chloride</w:t>
      </w:r>
      <w:r w:rsidRPr="0031675F">
        <w:rPr>
          <w:spacing w:val="61"/>
        </w:rPr>
        <w:t xml:space="preserve"> </w:t>
      </w:r>
      <w:r w:rsidRPr="0031675F">
        <w:rPr>
          <w:spacing w:val="-1"/>
        </w:rPr>
        <w:t>(NH</w:t>
      </w:r>
      <w:r w:rsidRPr="0031675F">
        <w:rPr>
          <w:spacing w:val="-1"/>
          <w:position w:val="-2"/>
          <w:sz w:val="14"/>
        </w:rPr>
        <w:t>4</w:t>
      </w:r>
      <w:r w:rsidRPr="0031675F">
        <w:rPr>
          <w:spacing w:val="-1"/>
        </w:rPr>
        <w:t xml:space="preserve">Cl) </w:t>
      </w:r>
      <w:r w:rsidRPr="0031675F">
        <w:t>in</w:t>
      </w:r>
      <w:r w:rsidRPr="0031675F">
        <w:rPr>
          <w:spacing w:val="-1"/>
        </w:rPr>
        <w:t xml:space="preserve"> 250</w:t>
      </w:r>
      <w:r w:rsidRPr="0031675F">
        <w:rPr>
          <w:spacing w:val="-2"/>
        </w:rPr>
        <w:t xml:space="preserve"> </w:t>
      </w:r>
      <w:r w:rsidR="00BB13FD">
        <w:t>mL</w:t>
      </w:r>
      <w:r w:rsidRPr="0031675F">
        <w:rPr>
          <w:spacing w:val="-2"/>
        </w:rPr>
        <w:t xml:space="preserve"> </w:t>
      </w:r>
      <w:r w:rsidRPr="0031675F">
        <w:t xml:space="preserve">of </w:t>
      </w:r>
      <w:r w:rsidRPr="0031675F">
        <w:rPr>
          <w:spacing w:val="-1"/>
        </w:rPr>
        <w:t>DiW.</w:t>
      </w:r>
      <w:r w:rsidRPr="0031675F">
        <w:rPr>
          <w:spacing w:val="48"/>
        </w:rPr>
        <w:t xml:space="preserve"> </w:t>
      </w:r>
      <w:r w:rsidRPr="0031675F">
        <w:t>1</w:t>
      </w:r>
      <w:r w:rsidRPr="0031675F">
        <w:rPr>
          <w:spacing w:val="-2"/>
        </w:rPr>
        <w:t xml:space="preserve"> </w:t>
      </w:r>
      <w:r w:rsidR="00BB13FD">
        <w:t>mL</w:t>
      </w:r>
      <w:r w:rsidRPr="0031675F">
        <w:t xml:space="preserve"> of</w:t>
      </w:r>
      <w:r w:rsidRPr="0031675F">
        <w:rPr>
          <w:spacing w:val="-3"/>
        </w:rPr>
        <w:t xml:space="preserve"> </w:t>
      </w:r>
      <w:r w:rsidRPr="0031675F">
        <w:rPr>
          <w:spacing w:val="-1"/>
        </w:rPr>
        <w:t>this</w:t>
      </w:r>
      <w:r w:rsidRPr="0031675F">
        <w:t xml:space="preserve"> </w:t>
      </w:r>
      <w:r w:rsidRPr="0031675F">
        <w:rPr>
          <w:spacing w:val="-1"/>
        </w:rPr>
        <w:t>stock</w:t>
      </w:r>
      <w:r w:rsidRPr="0031675F">
        <w:rPr>
          <w:spacing w:val="1"/>
        </w:rPr>
        <w:t xml:space="preserve"> </w:t>
      </w:r>
      <w:r w:rsidRPr="0031675F">
        <w:rPr>
          <w:spacing w:val="-1"/>
        </w:rPr>
        <w:t>contains</w:t>
      </w:r>
      <w:r w:rsidRPr="0031675F">
        <w:rPr>
          <w:spacing w:val="-5"/>
        </w:rPr>
        <w:t xml:space="preserve"> </w:t>
      </w:r>
      <w:r w:rsidRPr="0031675F">
        <w:rPr>
          <w:spacing w:val="-1"/>
        </w:rPr>
        <w:t>1</w:t>
      </w:r>
      <w:r w:rsidR="00BB13FD">
        <w:rPr>
          <w:spacing w:val="-1"/>
        </w:rPr>
        <w:t xml:space="preserve"> </w:t>
      </w:r>
      <w:r w:rsidRPr="0031675F">
        <w:rPr>
          <w:spacing w:val="-1"/>
        </w:rPr>
        <w:t>µmol</w:t>
      </w:r>
      <w:r w:rsidRPr="0031675F">
        <w:t xml:space="preserve"> of</w:t>
      </w:r>
      <w:r w:rsidRPr="0031675F">
        <w:rPr>
          <w:spacing w:val="-3"/>
        </w:rPr>
        <w:t xml:space="preserve"> </w:t>
      </w:r>
      <w:r w:rsidRPr="0031675F">
        <w:rPr>
          <w:spacing w:val="-1"/>
        </w:rPr>
        <w:t>ammonium-N.</w:t>
      </w:r>
    </w:p>
    <w:p w14:paraId="455709B6" w14:textId="77777777" w:rsidR="0031675F" w:rsidRPr="0031675F" w:rsidRDefault="0031675F" w:rsidP="0031675F">
      <w:pPr>
        <w:widowControl w:val="0"/>
        <w:numPr>
          <w:ilvl w:val="0"/>
          <w:numId w:val="120"/>
        </w:numPr>
        <w:tabs>
          <w:tab w:val="left" w:pos="403"/>
        </w:tabs>
        <w:spacing w:before="65" w:after="0" w:line="240" w:lineRule="auto"/>
      </w:pPr>
      <w:r w:rsidRPr="0031675F">
        <w:rPr>
          <w:spacing w:val="-1"/>
        </w:rPr>
        <w:t>Deionised</w:t>
      </w:r>
      <w:r w:rsidRPr="0031675F">
        <w:rPr>
          <w:spacing w:val="-3"/>
        </w:rPr>
        <w:t xml:space="preserve"> </w:t>
      </w:r>
      <w:r w:rsidRPr="0031675F">
        <w:t>water</w:t>
      </w:r>
      <w:r w:rsidRPr="0031675F">
        <w:rPr>
          <w:spacing w:val="-2"/>
        </w:rPr>
        <w:t xml:space="preserve"> </w:t>
      </w:r>
      <w:r w:rsidRPr="0031675F">
        <w:t>is</w:t>
      </w:r>
      <w:r w:rsidRPr="0031675F">
        <w:rPr>
          <w:spacing w:val="-2"/>
        </w:rPr>
        <w:t xml:space="preserve"> </w:t>
      </w:r>
      <w:r w:rsidRPr="0031675F">
        <w:t>18</w:t>
      </w:r>
      <w:r w:rsidRPr="0031675F">
        <w:rPr>
          <w:spacing w:val="-2"/>
        </w:rPr>
        <w:t xml:space="preserve"> </w:t>
      </w:r>
      <w:r w:rsidRPr="0031675F">
        <w:rPr>
          <w:spacing w:val="-1"/>
        </w:rPr>
        <w:t>mega</w:t>
      </w:r>
      <w:r w:rsidRPr="0031675F">
        <w:t xml:space="preserve"> </w:t>
      </w:r>
      <w:r w:rsidRPr="0031675F">
        <w:rPr>
          <w:spacing w:val="-1"/>
        </w:rPr>
        <w:t>ohm</w:t>
      </w:r>
      <w:r w:rsidRPr="0031675F">
        <w:rPr>
          <w:spacing w:val="1"/>
        </w:rPr>
        <w:t xml:space="preserve"> </w:t>
      </w:r>
      <w:r w:rsidRPr="0031675F">
        <w:rPr>
          <w:spacing w:val="-1"/>
        </w:rPr>
        <w:t>quality.</w:t>
      </w:r>
    </w:p>
    <w:p w14:paraId="371C5513" w14:textId="77777777" w:rsidR="0031675F" w:rsidRPr="0031675F" w:rsidRDefault="0031675F" w:rsidP="0031675F">
      <w:pPr>
        <w:spacing w:before="7"/>
        <w:rPr>
          <w:rFonts w:cs="Calibri"/>
          <w:sz w:val="26"/>
          <w:szCs w:val="26"/>
        </w:rPr>
      </w:pPr>
    </w:p>
    <w:p w14:paraId="54F87818" w14:textId="77777777" w:rsidR="0031675F" w:rsidRPr="0031675F" w:rsidRDefault="0031675F" w:rsidP="0031675F">
      <w:pPr>
        <w:widowControl w:val="0"/>
        <w:numPr>
          <w:ilvl w:val="2"/>
          <w:numId w:val="121"/>
        </w:numPr>
        <w:tabs>
          <w:tab w:val="left" w:pos="686"/>
        </w:tabs>
        <w:spacing w:before="0" w:after="0" w:line="240" w:lineRule="auto"/>
        <w:rPr>
          <w:rFonts w:eastAsia="Arial" w:cs="Arial"/>
          <w:sz w:val="20"/>
          <w:szCs w:val="20"/>
        </w:rPr>
      </w:pPr>
      <w:r w:rsidRPr="0031675F">
        <w:rPr>
          <w:b/>
          <w:spacing w:val="-1"/>
          <w:sz w:val="20"/>
        </w:rPr>
        <w:t>Procedure</w:t>
      </w:r>
    </w:p>
    <w:p w14:paraId="0F573167" w14:textId="77777777" w:rsidR="0031675F" w:rsidRPr="0031675F" w:rsidRDefault="0031675F" w:rsidP="0031675F">
      <w:pPr>
        <w:spacing w:after="120"/>
        <w:rPr>
          <w:sz w:val="14"/>
          <w:szCs w:val="14"/>
        </w:rPr>
      </w:pPr>
      <w:r w:rsidRPr="0031675F">
        <w:rPr>
          <w:spacing w:val="-1"/>
        </w:rPr>
        <w:t>Adapted</w:t>
      </w:r>
      <w:r w:rsidRPr="0031675F">
        <w:rPr>
          <w:spacing w:val="-2"/>
        </w:rPr>
        <w:t xml:space="preserve"> </w:t>
      </w:r>
      <w:r w:rsidRPr="0031675F">
        <w:rPr>
          <w:spacing w:val="-1"/>
        </w:rPr>
        <w:t>from Protocol</w:t>
      </w:r>
      <w:r w:rsidRPr="0031675F">
        <w:rPr>
          <w:spacing w:val="-3"/>
        </w:rPr>
        <w:t xml:space="preserve"> </w:t>
      </w:r>
      <w:r w:rsidRPr="0031675F">
        <w:t xml:space="preserve">A </w:t>
      </w:r>
      <w:r w:rsidRPr="0031675F">
        <w:rPr>
          <w:spacing w:val="-1"/>
        </w:rPr>
        <w:t>(Holmes</w:t>
      </w:r>
      <w:r w:rsidRPr="0031675F">
        <w:rPr>
          <w:spacing w:val="2"/>
        </w:rPr>
        <w:t xml:space="preserve"> </w:t>
      </w:r>
      <w:r w:rsidRPr="0031675F">
        <w:rPr>
          <w:i/>
          <w:spacing w:val="-2"/>
        </w:rPr>
        <w:t>et</w:t>
      </w:r>
      <w:r w:rsidRPr="0031675F">
        <w:rPr>
          <w:i/>
        </w:rPr>
        <w:t xml:space="preserve"> </w:t>
      </w:r>
      <w:r w:rsidRPr="0031675F">
        <w:rPr>
          <w:i/>
          <w:spacing w:val="-1"/>
        </w:rPr>
        <w:t>al.</w:t>
      </w:r>
      <w:r w:rsidRPr="0031675F">
        <w:rPr>
          <w:spacing w:val="-1"/>
        </w:rPr>
        <w:t>1999).</w:t>
      </w:r>
      <w:r w:rsidRPr="0031675F">
        <w:rPr>
          <w:spacing w:val="-1"/>
          <w:position w:val="10"/>
          <w:sz w:val="14"/>
        </w:rPr>
        <w:t>9</w:t>
      </w:r>
    </w:p>
    <w:p w14:paraId="1F0EF37E" w14:textId="64EEB911" w:rsidR="0031675F" w:rsidRPr="0031675F" w:rsidRDefault="0031675F" w:rsidP="0031675F">
      <w:pPr>
        <w:widowControl w:val="0"/>
        <w:numPr>
          <w:ilvl w:val="0"/>
          <w:numId w:val="119"/>
        </w:numPr>
        <w:tabs>
          <w:tab w:val="left" w:pos="403"/>
        </w:tabs>
        <w:spacing w:before="96" w:after="0" w:line="240" w:lineRule="auto"/>
        <w:rPr>
          <w:sz w:val="14"/>
          <w:szCs w:val="14"/>
        </w:rPr>
      </w:pPr>
      <w:r w:rsidRPr="0031675F">
        <w:rPr>
          <w:spacing w:val="-1"/>
        </w:rPr>
        <w:t>Rinse</w:t>
      </w:r>
      <w:r w:rsidRPr="0031675F">
        <w:t xml:space="preserve"> </w:t>
      </w:r>
      <w:r w:rsidRPr="0031675F">
        <w:rPr>
          <w:spacing w:val="-1"/>
        </w:rPr>
        <w:t>triplicate</w:t>
      </w:r>
      <w:r w:rsidRPr="0031675F">
        <w:rPr>
          <w:spacing w:val="1"/>
        </w:rPr>
        <w:t xml:space="preserve"> </w:t>
      </w:r>
      <w:r w:rsidRPr="0031675F">
        <w:rPr>
          <w:spacing w:val="-1"/>
        </w:rPr>
        <w:t>reaction tubes</w:t>
      </w:r>
      <w:r w:rsidRPr="0031675F">
        <w:t xml:space="preserve"> with</w:t>
      </w:r>
      <w:r w:rsidRPr="0031675F">
        <w:rPr>
          <w:spacing w:val="-2"/>
        </w:rPr>
        <w:t xml:space="preserve"> </w:t>
      </w:r>
      <w:r w:rsidRPr="0031675F">
        <w:rPr>
          <w:spacing w:val="-1"/>
        </w:rPr>
        <w:t>sample</w:t>
      </w:r>
      <w:r w:rsidRPr="0031675F">
        <w:t xml:space="preserve"> </w:t>
      </w:r>
      <w:r w:rsidRPr="0031675F">
        <w:rPr>
          <w:spacing w:val="-1"/>
        </w:rPr>
        <w:t>water</w:t>
      </w:r>
      <w:r w:rsidRPr="0031675F">
        <w:rPr>
          <w:spacing w:val="-2"/>
        </w:rPr>
        <w:t xml:space="preserve"> </w:t>
      </w:r>
      <w:r w:rsidRPr="0031675F">
        <w:rPr>
          <w:spacing w:val="-1"/>
        </w:rPr>
        <w:t>and fill</w:t>
      </w:r>
      <w:r w:rsidRPr="0031675F">
        <w:rPr>
          <w:spacing w:val="-2"/>
        </w:rPr>
        <w:t xml:space="preserve"> </w:t>
      </w:r>
      <w:r w:rsidRPr="0031675F">
        <w:t>to</w:t>
      </w:r>
      <w:r w:rsidRPr="0031675F">
        <w:rPr>
          <w:spacing w:val="-1"/>
        </w:rPr>
        <w:t xml:space="preserve"> 20</w:t>
      </w:r>
      <w:r w:rsidRPr="0031675F">
        <w:rPr>
          <w:spacing w:val="-2"/>
        </w:rPr>
        <w:t xml:space="preserve"> </w:t>
      </w:r>
      <w:r w:rsidR="00BB13FD">
        <w:t>mL</w:t>
      </w:r>
      <w:r w:rsidRPr="0031675F">
        <w:rPr>
          <w:spacing w:val="-2"/>
        </w:rPr>
        <w:t xml:space="preserve"> </w:t>
      </w:r>
      <w:r w:rsidRPr="0031675F">
        <w:rPr>
          <w:spacing w:val="-1"/>
        </w:rPr>
        <w:t>mark.</w:t>
      </w:r>
      <w:r w:rsidRPr="0031675F">
        <w:rPr>
          <w:spacing w:val="-1"/>
          <w:position w:val="10"/>
          <w:sz w:val="14"/>
        </w:rPr>
        <w:t>10</w:t>
      </w:r>
    </w:p>
    <w:p w14:paraId="1B9FEFA8" w14:textId="40461DAC" w:rsidR="0031675F" w:rsidRPr="0031675F" w:rsidRDefault="0031675F" w:rsidP="0031675F">
      <w:pPr>
        <w:widowControl w:val="0"/>
        <w:numPr>
          <w:ilvl w:val="0"/>
          <w:numId w:val="119"/>
        </w:numPr>
        <w:tabs>
          <w:tab w:val="left" w:pos="403"/>
        </w:tabs>
        <w:spacing w:before="60" w:after="0" w:line="240" w:lineRule="auto"/>
        <w:ind w:right="116"/>
        <w:jc w:val="both"/>
      </w:pPr>
      <w:r w:rsidRPr="0031675F">
        <w:rPr>
          <w:spacing w:val="-1"/>
        </w:rPr>
        <w:t>Prepare</w:t>
      </w:r>
      <w:r w:rsidRPr="0031675F">
        <w:rPr>
          <w:spacing w:val="43"/>
        </w:rPr>
        <w:t xml:space="preserve"> </w:t>
      </w:r>
      <w:r w:rsidRPr="0031675F">
        <w:rPr>
          <w:spacing w:val="-1"/>
        </w:rPr>
        <w:t>series</w:t>
      </w:r>
      <w:r w:rsidRPr="0031675F">
        <w:rPr>
          <w:spacing w:val="41"/>
        </w:rPr>
        <w:t xml:space="preserve"> </w:t>
      </w:r>
      <w:r w:rsidRPr="0031675F">
        <w:t>of</w:t>
      </w:r>
      <w:r w:rsidRPr="0031675F">
        <w:rPr>
          <w:spacing w:val="43"/>
        </w:rPr>
        <w:t xml:space="preserve"> </w:t>
      </w:r>
      <w:r w:rsidRPr="0031675F">
        <w:rPr>
          <w:spacing w:val="-2"/>
        </w:rPr>
        <w:t>standards</w:t>
      </w:r>
      <w:r w:rsidRPr="0031675F">
        <w:rPr>
          <w:spacing w:val="42"/>
        </w:rPr>
        <w:t xml:space="preserve"> </w:t>
      </w:r>
      <w:r w:rsidRPr="0031675F">
        <w:rPr>
          <w:spacing w:val="-1"/>
        </w:rPr>
        <w:t>using</w:t>
      </w:r>
      <w:r w:rsidRPr="0031675F">
        <w:rPr>
          <w:spacing w:val="43"/>
        </w:rPr>
        <w:t xml:space="preserve"> </w:t>
      </w:r>
      <w:r w:rsidRPr="0031675F">
        <w:t>DiW</w:t>
      </w:r>
      <w:r w:rsidRPr="0031675F">
        <w:rPr>
          <w:spacing w:val="43"/>
        </w:rPr>
        <w:t xml:space="preserve"> </w:t>
      </w:r>
      <w:r w:rsidRPr="0031675F">
        <w:rPr>
          <w:spacing w:val="-1"/>
        </w:rPr>
        <w:t>(as</w:t>
      </w:r>
      <w:r w:rsidRPr="0031675F">
        <w:rPr>
          <w:spacing w:val="44"/>
        </w:rPr>
        <w:t xml:space="preserve"> </w:t>
      </w:r>
      <w:r w:rsidRPr="0031675F">
        <w:rPr>
          <w:spacing w:val="-1"/>
        </w:rPr>
        <w:t>outlined</w:t>
      </w:r>
      <w:r w:rsidRPr="0031675F">
        <w:rPr>
          <w:spacing w:val="40"/>
        </w:rPr>
        <w:t xml:space="preserve"> </w:t>
      </w:r>
      <w:r w:rsidRPr="0031675F">
        <w:t>in</w:t>
      </w:r>
      <w:r w:rsidRPr="0031675F">
        <w:rPr>
          <w:spacing w:val="42"/>
        </w:rPr>
        <w:t xml:space="preserve"> </w:t>
      </w:r>
      <w:r w:rsidRPr="0031675F">
        <w:rPr>
          <w:spacing w:val="-1"/>
        </w:rPr>
        <w:t>Section</w:t>
      </w:r>
      <w:r w:rsidRPr="0031675F">
        <w:rPr>
          <w:spacing w:val="43"/>
        </w:rPr>
        <w:t xml:space="preserve"> </w:t>
      </w:r>
      <w:r w:rsidRPr="0031675F">
        <w:t>4.6.1).</w:t>
      </w:r>
      <w:r w:rsidRPr="0031675F">
        <w:rPr>
          <w:spacing w:val="36"/>
        </w:rPr>
        <w:t xml:space="preserve"> </w:t>
      </w:r>
      <w:r w:rsidRPr="0031675F">
        <w:rPr>
          <w:spacing w:val="-1"/>
        </w:rPr>
        <w:t>Rinse</w:t>
      </w:r>
      <w:r w:rsidRPr="0031675F">
        <w:rPr>
          <w:spacing w:val="42"/>
        </w:rPr>
        <w:t xml:space="preserve"> </w:t>
      </w:r>
      <w:r w:rsidRPr="0031675F">
        <w:rPr>
          <w:spacing w:val="-1"/>
        </w:rPr>
        <w:t>and</w:t>
      </w:r>
      <w:r w:rsidRPr="0031675F">
        <w:rPr>
          <w:spacing w:val="43"/>
        </w:rPr>
        <w:t xml:space="preserve"> </w:t>
      </w:r>
      <w:r w:rsidRPr="0031675F">
        <w:rPr>
          <w:spacing w:val="-1"/>
        </w:rPr>
        <w:t>fill</w:t>
      </w:r>
      <w:r w:rsidRPr="0031675F">
        <w:rPr>
          <w:spacing w:val="43"/>
        </w:rPr>
        <w:t xml:space="preserve"> </w:t>
      </w:r>
      <w:r w:rsidRPr="0031675F">
        <w:rPr>
          <w:spacing w:val="-1"/>
        </w:rPr>
        <w:t>triplicate</w:t>
      </w:r>
      <w:r w:rsidRPr="0031675F">
        <w:rPr>
          <w:spacing w:val="87"/>
        </w:rPr>
        <w:t xml:space="preserve"> </w:t>
      </w:r>
      <w:r w:rsidRPr="0031675F">
        <w:rPr>
          <w:spacing w:val="-1"/>
        </w:rPr>
        <w:t>reaction tubes</w:t>
      </w:r>
      <w:r w:rsidRPr="0031675F">
        <w:rPr>
          <w:spacing w:val="-2"/>
        </w:rPr>
        <w:t xml:space="preserve"> </w:t>
      </w:r>
      <w:r w:rsidRPr="0031675F">
        <w:t>to</w:t>
      </w:r>
      <w:r w:rsidRPr="0031675F">
        <w:rPr>
          <w:spacing w:val="-1"/>
        </w:rPr>
        <w:t xml:space="preserve"> 20</w:t>
      </w:r>
      <w:r w:rsidRPr="0031675F">
        <w:rPr>
          <w:spacing w:val="-2"/>
        </w:rPr>
        <w:t xml:space="preserve"> </w:t>
      </w:r>
      <w:r w:rsidR="00BB13FD">
        <w:t>mL</w:t>
      </w:r>
      <w:r w:rsidRPr="0031675F">
        <w:rPr>
          <w:spacing w:val="-2"/>
        </w:rPr>
        <w:t xml:space="preserve"> </w:t>
      </w:r>
      <w:r w:rsidRPr="0031675F">
        <w:rPr>
          <w:spacing w:val="-1"/>
        </w:rPr>
        <w:t>mark</w:t>
      </w:r>
      <w:r w:rsidRPr="0031675F">
        <w:t xml:space="preserve"> with</w:t>
      </w:r>
      <w:r w:rsidRPr="0031675F">
        <w:rPr>
          <w:spacing w:val="-3"/>
        </w:rPr>
        <w:t xml:space="preserve"> </w:t>
      </w:r>
      <w:r w:rsidRPr="0031675F">
        <w:t>each</w:t>
      </w:r>
      <w:r w:rsidRPr="0031675F">
        <w:rPr>
          <w:spacing w:val="-1"/>
        </w:rPr>
        <w:t xml:space="preserve"> standard.</w:t>
      </w:r>
    </w:p>
    <w:p w14:paraId="61B9D36D" w14:textId="13624F4A" w:rsidR="0031675F" w:rsidRPr="0031675F" w:rsidRDefault="0031675F" w:rsidP="0031675F">
      <w:pPr>
        <w:widowControl w:val="0"/>
        <w:numPr>
          <w:ilvl w:val="0"/>
          <w:numId w:val="119"/>
        </w:numPr>
        <w:tabs>
          <w:tab w:val="left" w:pos="403"/>
        </w:tabs>
        <w:spacing w:before="60" w:after="0" w:line="239" w:lineRule="auto"/>
        <w:ind w:right="113"/>
        <w:jc w:val="both"/>
      </w:pPr>
      <w:r w:rsidRPr="0031675F">
        <w:rPr>
          <w:spacing w:val="-1"/>
        </w:rPr>
        <w:t>Prepare</w:t>
      </w:r>
      <w:r w:rsidRPr="0031675F">
        <w:rPr>
          <w:spacing w:val="48"/>
        </w:rPr>
        <w:t xml:space="preserve"> </w:t>
      </w:r>
      <w:r w:rsidRPr="0031675F">
        <w:t>the</w:t>
      </w:r>
      <w:r w:rsidRPr="0031675F">
        <w:rPr>
          <w:spacing w:val="48"/>
        </w:rPr>
        <w:t xml:space="preserve"> </w:t>
      </w:r>
      <w:r w:rsidRPr="0031675F">
        <w:rPr>
          <w:spacing w:val="-1"/>
        </w:rPr>
        <w:t>same</w:t>
      </w:r>
      <w:r w:rsidRPr="0031675F">
        <w:rPr>
          <w:spacing w:val="1"/>
        </w:rPr>
        <w:t xml:space="preserve"> </w:t>
      </w:r>
      <w:r w:rsidRPr="0031675F">
        <w:rPr>
          <w:spacing w:val="-1"/>
        </w:rPr>
        <w:t>series</w:t>
      </w:r>
      <w:r w:rsidRPr="0031675F">
        <w:rPr>
          <w:spacing w:val="48"/>
        </w:rPr>
        <w:t xml:space="preserve"> </w:t>
      </w:r>
      <w:r w:rsidRPr="0031675F">
        <w:t>of</w:t>
      </w:r>
      <w:r w:rsidRPr="0031675F">
        <w:rPr>
          <w:spacing w:val="1"/>
        </w:rPr>
        <w:t xml:space="preserve"> </w:t>
      </w:r>
      <w:r w:rsidRPr="0031675F">
        <w:rPr>
          <w:spacing w:val="-1"/>
        </w:rPr>
        <w:t>standards</w:t>
      </w:r>
      <w:r w:rsidRPr="0031675F">
        <w:rPr>
          <w:spacing w:val="47"/>
        </w:rPr>
        <w:t xml:space="preserve"> </w:t>
      </w:r>
      <w:r w:rsidRPr="0031675F">
        <w:rPr>
          <w:spacing w:val="-1"/>
        </w:rPr>
        <w:t>using</w:t>
      </w:r>
      <w:r w:rsidRPr="0031675F">
        <w:t xml:space="preserve"> a</w:t>
      </w:r>
      <w:r w:rsidRPr="0031675F">
        <w:rPr>
          <w:spacing w:val="1"/>
        </w:rPr>
        <w:t xml:space="preserve"> </w:t>
      </w:r>
      <w:r w:rsidRPr="0031675F">
        <w:rPr>
          <w:spacing w:val="-1"/>
        </w:rPr>
        <w:t>representative</w:t>
      </w:r>
      <w:r w:rsidRPr="0031675F">
        <w:rPr>
          <w:spacing w:val="49"/>
        </w:rPr>
        <w:t xml:space="preserve"> </w:t>
      </w:r>
      <w:r w:rsidRPr="0031675F">
        <w:rPr>
          <w:spacing w:val="-1"/>
        </w:rPr>
        <w:t>seawater</w:t>
      </w:r>
      <w:r w:rsidRPr="0031675F">
        <w:t xml:space="preserve"> </w:t>
      </w:r>
      <w:r w:rsidRPr="0031675F">
        <w:rPr>
          <w:spacing w:val="-2"/>
        </w:rPr>
        <w:t>sample</w:t>
      </w:r>
      <w:r w:rsidRPr="0031675F">
        <w:rPr>
          <w:spacing w:val="1"/>
        </w:rPr>
        <w:t xml:space="preserve"> </w:t>
      </w:r>
      <w:r w:rsidRPr="0031675F">
        <w:t>as</w:t>
      </w:r>
      <w:r w:rsidRPr="0031675F">
        <w:rPr>
          <w:spacing w:val="1"/>
        </w:rPr>
        <w:t xml:space="preserve"> </w:t>
      </w:r>
      <w:r w:rsidRPr="0031675F">
        <w:rPr>
          <w:spacing w:val="-1"/>
        </w:rPr>
        <w:t>the</w:t>
      </w:r>
      <w:r w:rsidRPr="0031675F">
        <w:rPr>
          <w:spacing w:val="49"/>
        </w:rPr>
        <w:t xml:space="preserve"> </w:t>
      </w:r>
      <w:r w:rsidRPr="0031675F">
        <w:t>matrix</w:t>
      </w:r>
      <w:r w:rsidRPr="0031675F">
        <w:rPr>
          <w:spacing w:val="47"/>
        </w:rPr>
        <w:t xml:space="preserve"> </w:t>
      </w:r>
      <w:r w:rsidRPr="0031675F">
        <w:rPr>
          <w:spacing w:val="-1"/>
        </w:rPr>
        <w:t>instead</w:t>
      </w:r>
      <w:r w:rsidRPr="0031675F">
        <w:rPr>
          <w:spacing w:val="6"/>
        </w:rPr>
        <w:t xml:space="preserve"> </w:t>
      </w:r>
      <w:r w:rsidRPr="0031675F">
        <w:t>of</w:t>
      </w:r>
      <w:r w:rsidRPr="0031675F">
        <w:rPr>
          <w:spacing w:val="7"/>
        </w:rPr>
        <w:t xml:space="preserve"> </w:t>
      </w:r>
      <w:r w:rsidRPr="0031675F">
        <w:t>DiW</w:t>
      </w:r>
      <w:r w:rsidRPr="0031675F">
        <w:rPr>
          <w:spacing w:val="7"/>
        </w:rPr>
        <w:t xml:space="preserve"> </w:t>
      </w:r>
      <w:r w:rsidRPr="0031675F">
        <w:rPr>
          <w:spacing w:val="-1"/>
        </w:rPr>
        <w:t>(as</w:t>
      </w:r>
      <w:r w:rsidRPr="0031675F">
        <w:rPr>
          <w:spacing w:val="5"/>
        </w:rPr>
        <w:t xml:space="preserve"> </w:t>
      </w:r>
      <w:r w:rsidRPr="0031675F">
        <w:rPr>
          <w:spacing w:val="-1"/>
        </w:rPr>
        <w:t>outlined</w:t>
      </w:r>
      <w:r w:rsidRPr="0031675F">
        <w:rPr>
          <w:spacing w:val="6"/>
        </w:rPr>
        <w:t xml:space="preserve"> </w:t>
      </w:r>
      <w:r w:rsidRPr="0031675F">
        <w:t>in</w:t>
      </w:r>
      <w:r w:rsidRPr="0031675F">
        <w:rPr>
          <w:spacing w:val="6"/>
        </w:rPr>
        <w:t xml:space="preserve"> </w:t>
      </w:r>
      <w:r w:rsidRPr="0031675F">
        <w:rPr>
          <w:spacing w:val="-1"/>
        </w:rPr>
        <w:t>Section</w:t>
      </w:r>
      <w:r w:rsidRPr="0031675F">
        <w:rPr>
          <w:spacing w:val="6"/>
        </w:rPr>
        <w:t xml:space="preserve"> </w:t>
      </w:r>
      <w:r w:rsidRPr="0031675F">
        <w:rPr>
          <w:spacing w:val="-1"/>
        </w:rPr>
        <w:t>4.6.2).</w:t>
      </w:r>
      <w:r w:rsidRPr="0031675F">
        <w:rPr>
          <w:spacing w:val="7"/>
        </w:rPr>
        <w:t xml:space="preserve"> </w:t>
      </w:r>
      <w:r w:rsidRPr="0031675F">
        <w:rPr>
          <w:spacing w:val="-1"/>
        </w:rPr>
        <w:t>Rinse</w:t>
      </w:r>
      <w:r w:rsidRPr="0031675F">
        <w:rPr>
          <w:spacing w:val="8"/>
        </w:rPr>
        <w:t xml:space="preserve"> </w:t>
      </w:r>
      <w:r w:rsidRPr="0031675F">
        <w:rPr>
          <w:spacing w:val="-2"/>
        </w:rPr>
        <w:t>and</w:t>
      </w:r>
      <w:r w:rsidRPr="0031675F">
        <w:rPr>
          <w:spacing w:val="6"/>
        </w:rPr>
        <w:t xml:space="preserve"> </w:t>
      </w:r>
      <w:r w:rsidRPr="0031675F">
        <w:rPr>
          <w:spacing w:val="-1"/>
        </w:rPr>
        <w:t>fill</w:t>
      </w:r>
      <w:r w:rsidRPr="0031675F">
        <w:rPr>
          <w:spacing w:val="7"/>
        </w:rPr>
        <w:t xml:space="preserve"> </w:t>
      </w:r>
      <w:r w:rsidRPr="0031675F">
        <w:rPr>
          <w:spacing w:val="-1"/>
        </w:rPr>
        <w:t>triplicate</w:t>
      </w:r>
      <w:r w:rsidRPr="0031675F">
        <w:rPr>
          <w:spacing w:val="8"/>
        </w:rPr>
        <w:t xml:space="preserve"> </w:t>
      </w:r>
      <w:r w:rsidRPr="0031675F">
        <w:t>reaction</w:t>
      </w:r>
      <w:r w:rsidRPr="0031675F">
        <w:rPr>
          <w:spacing w:val="6"/>
        </w:rPr>
        <w:t xml:space="preserve"> </w:t>
      </w:r>
      <w:r w:rsidRPr="0031675F">
        <w:rPr>
          <w:spacing w:val="-1"/>
        </w:rPr>
        <w:t>tubes</w:t>
      </w:r>
      <w:r w:rsidRPr="0031675F">
        <w:rPr>
          <w:spacing w:val="8"/>
        </w:rPr>
        <w:t xml:space="preserve"> </w:t>
      </w:r>
      <w:r w:rsidRPr="0031675F">
        <w:t>to</w:t>
      </w:r>
      <w:r w:rsidRPr="0031675F">
        <w:rPr>
          <w:spacing w:val="15"/>
        </w:rPr>
        <w:t xml:space="preserve"> </w:t>
      </w:r>
      <w:r w:rsidRPr="0031675F">
        <w:rPr>
          <w:spacing w:val="-1"/>
        </w:rPr>
        <w:t>20</w:t>
      </w:r>
      <w:r w:rsidRPr="0031675F">
        <w:rPr>
          <w:spacing w:val="8"/>
        </w:rPr>
        <w:t xml:space="preserve"> </w:t>
      </w:r>
      <w:r w:rsidR="00BB13FD">
        <w:t>mL</w:t>
      </w:r>
      <w:r w:rsidRPr="0031675F">
        <w:rPr>
          <w:spacing w:val="7"/>
        </w:rPr>
        <w:t xml:space="preserve"> </w:t>
      </w:r>
      <w:r w:rsidRPr="0031675F">
        <w:rPr>
          <w:spacing w:val="-1"/>
        </w:rPr>
        <w:t>mark</w:t>
      </w:r>
      <w:r w:rsidRPr="0031675F">
        <w:rPr>
          <w:spacing w:val="65"/>
        </w:rPr>
        <w:t xml:space="preserve"> </w:t>
      </w:r>
      <w:r w:rsidRPr="0031675F">
        <w:t xml:space="preserve">with </w:t>
      </w:r>
      <w:r w:rsidRPr="0031675F">
        <w:rPr>
          <w:spacing w:val="-1"/>
        </w:rPr>
        <w:t>each</w:t>
      </w:r>
      <w:r w:rsidRPr="0031675F">
        <w:t xml:space="preserve"> </w:t>
      </w:r>
      <w:r w:rsidRPr="0031675F">
        <w:rPr>
          <w:spacing w:val="-1"/>
        </w:rPr>
        <w:t>seawater</w:t>
      </w:r>
      <w:r w:rsidRPr="0031675F">
        <w:rPr>
          <w:spacing w:val="-2"/>
        </w:rPr>
        <w:t xml:space="preserve"> </w:t>
      </w:r>
      <w:r w:rsidRPr="0031675F">
        <w:t>matrix</w:t>
      </w:r>
      <w:r w:rsidRPr="0031675F">
        <w:rPr>
          <w:spacing w:val="-5"/>
        </w:rPr>
        <w:t xml:space="preserve"> </w:t>
      </w:r>
      <w:r w:rsidRPr="0031675F">
        <w:rPr>
          <w:spacing w:val="-1"/>
        </w:rPr>
        <w:t>standard.</w:t>
      </w:r>
    </w:p>
    <w:p w14:paraId="30F0DCCF" w14:textId="3AC1E720" w:rsidR="0031675F" w:rsidRPr="0031675F" w:rsidRDefault="0031675F" w:rsidP="0031675F">
      <w:pPr>
        <w:widowControl w:val="0"/>
        <w:numPr>
          <w:ilvl w:val="0"/>
          <w:numId w:val="119"/>
        </w:numPr>
        <w:tabs>
          <w:tab w:val="left" w:pos="403"/>
        </w:tabs>
        <w:spacing w:before="60" w:after="0" w:line="240" w:lineRule="auto"/>
        <w:ind w:right="118"/>
        <w:jc w:val="both"/>
      </w:pPr>
      <w:r w:rsidRPr="0031675F">
        <w:rPr>
          <w:spacing w:val="-1"/>
        </w:rPr>
        <w:t>Add</w:t>
      </w:r>
      <w:r w:rsidRPr="0031675F">
        <w:rPr>
          <w:spacing w:val="18"/>
        </w:rPr>
        <w:t xml:space="preserve"> </w:t>
      </w:r>
      <w:r w:rsidRPr="0031675F">
        <w:t>5</w:t>
      </w:r>
      <w:r w:rsidRPr="0031675F">
        <w:rPr>
          <w:spacing w:val="20"/>
        </w:rPr>
        <w:t xml:space="preserve"> </w:t>
      </w:r>
      <w:r w:rsidR="00BB13FD">
        <w:t>mL</w:t>
      </w:r>
      <w:r w:rsidRPr="0031675F">
        <w:rPr>
          <w:spacing w:val="17"/>
        </w:rPr>
        <w:t xml:space="preserve"> </w:t>
      </w:r>
      <w:r w:rsidRPr="0031675F">
        <w:t>of</w:t>
      </w:r>
      <w:r w:rsidRPr="0031675F">
        <w:rPr>
          <w:spacing w:val="17"/>
        </w:rPr>
        <w:t xml:space="preserve"> </w:t>
      </w:r>
      <w:r w:rsidRPr="0031675F">
        <w:t>WR</w:t>
      </w:r>
      <w:r w:rsidRPr="0031675F">
        <w:rPr>
          <w:spacing w:val="20"/>
        </w:rPr>
        <w:t xml:space="preserve"> </w:t>
      </w:r>
      <w:r w:rsidRPr="0031675F">
        <w:rPr>
          <w:spacing w:val="-1"/>
        </w:rPr>
        <w:t>to</w:t>
      </w:r>
      <w:r w:rsidRPr="0031675F">
        <w:rPr>
          <w:spacing w:val="20"/>
        </w:rPr>
        <w:t xml:space="preserve"> </w:t>
      </w:r>
      <w:r w:rsidRPr="0031675F">
        <w:t>all</w:t>
      </w:r>
      <w:r w:rsidRPr="0031675F">
        <w:rPr>
          <w:spacing w:val="16"/>
        </w:rPr>
        <w:t xml:space="preserve"> </w:t>
      </w:r>
      <w:r w:rsidRPr="0031675F">
        <w:t>the</w:t>
      </w:r>
      <w:r w:rsidRPr="0031675F">
        <w:rPr>
          <w:spacing w:val="17"/>
        </w:rPr>
        <w:t xml:space="preserve"> </w:t>
      </w:r>
      <w:r w:rsidRPr="0031675F">
        <w:rPr>
          <w:spacing w:val="-1"/>
        </w:rPr>
        <w:t>reaction</w:t>
      </w:r>
      <w:r w:rsidRPr="0031675F">
        <w:rPr>
          <w:spacing w:val="18"/>
        </w:rPr>
        <w:t xml:space="preserve"> </w:t>
      </w:r>
      <w:r w:rsidRPr="0031675F">
        <w:rPr>
          <w:spacing w:val="-1"/>
        </w:rPr>
        <w:t>tubes</w:t>
      </w:r>
      <w:r w:rsidRPr="0031675F">
        <w:rPr>
          <w:spacing w:val="17"/>
        </w:rPr>
        <w:t xml:space="preserve"> </w:t>
      </w:r>
      <w:r w:rsidRPr="0031675F">
        <w:t>with</w:t>
      </w:r>
      <w:r w:rsidRPr="0031675F">
        <w:rPr>
          <w:spacing w:val="19"/>
        </w:rPr>
        <w:t xml:space="preserve"> </w:t>
      </w:r>
      <w:r w:rsidRPr="0031675F">
        <w:t>a</w:t>
      </w:r>
      <w:r w:rsidRPr="0031675F">
        <w:rPr>
          <w:spacing w:val="19"/>
        </w:rPr>
        <w:t xml:space="preserve"> </w:t>
      </w:r>
      <w:r w:rsidRPr="0031675F">
        <w:rPr>
          <w:spacing w:val="-1"/>
        </w:rPr>
        <w:t>dispenser,</w:t>
      </w:r>
      <w:r w:rsidRPr="0031675F">
        <w:rPr>
          <w:spacing w:val="18"/>
        </w:rPr>
        <w:t xml:space="preserve"> </w:t>
      </w:r>
      <w:r w:rsidRPr="0031675F">
        <w:rPr>
          <w:spacing w:val="-1"/>
        </w:rPr>
        <w:t>replace</w:t>
      </w:r>
      <w:r w:rsidRPr="0031675F">
        <w:rPr>
          <w:spacing w:val="20"/>
        </w:rPr>
        <w:t xml:space="preserve"> </w:t>
      </w:r>
      <w:r w:rsidRPr="0031675F">
        <w:rPr>
          <w:spacing w:val="-1"/>
        </w:rPr>
        <w:t>stoppers,</w:t>
      </w:r>
      <w:r w:rsidRPr="0031675F">
        <w:rPr>
          <w:spacing w:val="19"/>
        </w:rPr>
        <w:t xml:space="preserve"> </w:t>
      </w:r>
      <w:r w:rsidRPr="0031675F">
        <w:rPr>
          <w:spacing w:val="-1"/>
        </w:rPr>
        <w:t>shake</w:t>
      </w:r>
      <w:r w:rsidRPr="0031675F">
        <w:rPr>
          <w:spacing w:val="20"/>
        </w:rPr>
        <w:t xml:space="preserve"> </w:t>
      </w:r>
      <w:r w:rsidRPr="0031675F">
        <w:rPr>
          <w:spacing w:val="-1"/>
        </w:rPr>
        <w:t>(or</w:t>
      </w:r>
      <w:r w:rsidRPr="0031675F">
        <w:rPr>
          <w:spacing w:val="17"/>
        </w:rPr>
        <w:t xml:space="preserve"> </w:t>
      </w:r>
      <w:r w:rsidRPr="0031675F">
        <w:t>mix</w:t>
      </w:r>
      <w:r w:rsidRPr="0031675F">
        <w:rPr>
          <w:spacing w:val="17"/>
        </w:rPr>
        <w:t xml:space="preserve"> </w:t>
      </w:r>
      <w:r w:rsidRPr="0031675F">
        <w:t>with</w:t>
      </w:r>
      <w:r w:rsidRPr="0031675F">
        <w:rPr>
          <w:spacing w:val="45"/>
        </w:rPr>
        <w:t xml:space="preserve"> </w:t>
      </w:r>
      <w:r w:rsidRPr="0031675F">
        <w:rPr>
          <w:spacing w:val="-1"/>
        </w:rPr>
        <w:t>vortex</w:t>
      </w:r>
      <w:r w:rsidRPr="0031675F">
        <w:rPr>
          <w:spacing w:val="-2"/>
        </w:rPr>
        <w:t xml:space="preserve"> </w:t>
      </w:r>
      <w:r w:rsidRPr="0031675F">
        <w:rPr>
          <w:spacing w:val="-1"/>
        </w:rPr>
        <w:t>mixer)</w:t>
      </w:r>
      <w:r w:rsidRPr="0031675F">
        <w:t xml:space="preserve"> </w:t>
      </w:r>
      <w:r w:rsidRPr="0031675F">
        <w:rPr>
          <w:spacing w:val="-1"/>
        </w:rPr>
        <w:t>and store</w:t>
      </w:r>
      <w:r w:rsidRPr="0031675F">
        <w:t xml:space="preserve"> in</w:t>
      </w:r>
      <w:r w:rsidRPr="0031675F">
        <w:rPr>
          <w:spacing w:val="-1"/>
        </w:rPr>
        <w:t xml:space="preserve"> the</w:t>
      </w:r>
      <w:r w:rsidRPr="0031675F">
        <w:t xml:space="preserve"> </w:t>
      </w:r>
      <w:r w:rsidRPr="0031675F">
        <w:rPr>
          <w:spacing w:val="-1"/>
        </w:rPr>
        <w:t>dark</w:t>
      </w:r>
      <w:r w:rsidRPr="0031675F">
        <w:t xml:space="preserve"> at </w:t>
      </w:r>
      <w:r w:rsidRPr="0031675F">
        <w:rPr>
          <w:spacing w:val="-1"/>
        </w:rPr>
        <w:t>ambient</w:t>
      </w:r>
      <w:r w:rsidRPr="0031675F">
        <w:t xml:space="preserve"> </w:t>
      </w:r>
      <w:r w:rsidRPr="0031675F">
        <w:rPr>
          <w:spacing w:val="-1"/>
        </w:rPr>
        <w:t>temperature.</w:t>
      </w:r>
      <w:r w:rsidRPr="0031675F">
        <w:rPr>
          <w:spacing w:val="1"/>
        </w:rPr>
        <w:t xml:space="preserve"> </w:t>
      </w:r>
      <w:r w:rsidRPr="0031675F">
        <w:rPr>
          <w:spacing w:val="-1"/>
        </w:rPr>
        <w:t>Record the</w:t>
      </w:r>
      <w:r w:rsidRPr="0031675F">
        <w:rPr>
          <w:spacing w:val="-2"/>
        </w:rPr>
        <w:t xml:space="preserve"> </w:t>
      </w:r>
      <w:r w:rsidRPr="0031675F">
        <w:rPr>
          <w:spacing w:val="-1"/>
        </w:rPr>
        <w:t>time</w:t>
      </w:r>
      <w:r w:rsidRPr="0031675F">
        <w:rPr>
          <w:spacing w:val="-2"/>
        </w:rPr>
        <w:t xml:space="preserve"> </w:t>
      </w:r>
      <w:r w:rsidRPr="0031675F">
        <w:t xml:space="preserve">of </w:t>
      </w:r>
      <w:r w:rsidRPr="0031675F">
        <w:rPr>
          <w:spacing w:val="-1"/>
        </w:rPr>
        <w:t xml:space="preserve">incubation </w:t>
      </w:r>
      <w:r w:rsidRPr="0031675F">
        <w:t>on</w:t>
      </w:r>
      <w:r w:rsidRPr="0031675F">
        <w:rPr>
          <w:spacing w:val="-1"/>
        </w:rPr>
        <w:t xml:space="preserve"> </w:t>
      </w:r>
      <w:r w:rsidRPr="0031675F">
        <w:rPr>
          <w:spacing w:val="-2"/>
        </w:rPr>
        <w:t>the</w:t>
      </w:r>
      <w:r w:rsidRPr="0031675F">
        <w:rPr>
          <w:spacing w:val="75"/>
        </w:rPr>
        <w:t xml:space="preserve"> </w:t>
      </w:r>
      <w:r w:rsidRPr="0031675F">
        <w:rPr>
          <w:spacing w:val="-1"/>
        </w:rPr>
        <w:t>laboratory</w:t>
      </w:r>
      <w:r w:rsidRPr="0031675F">
        <w:rPr>
          <w:spacing w:val="1"/>
        </w:rPr>
        <w:t xml:space="preserve"> </w:t>
      </w:r>
      <w:r w:rsidRPr="0031675F">
        <w:rPr>
          <w:spacing w:val="-1"/>
        </w:rPr>
        <w:t>log sheet (see</w:t>
      </w:r>
      <w:r w:rsidRPr="0031675F">
        <w:t xml:space="preserve"> </w:t>
      </w:r>
      <w:r w:rsidRPr="0031675F">
        <w:rPr>
          <w:spacing w:val="-1"/>
        </w:rPr>
        <w:t>Attachment 4.3).</w:t>
      </w:r>
    </w:p>
    <w:p w14:paraId="2353AD5E" w14:textId="77777777" w:rsidR="0031675F" w:rsidRPr="0031675F" w:rsidRDefault="0031675F" w:rsidP="0031675F">
      <w:pPr>
        <w:widowControl w:val="0"/>
        <w:numPr>
          <w:ilvl w:val="0"/>
          <w:numId w:val="119"/>
        </w:numPr>
        <w:tabs>
          <w:tab w:val="left" w:pos="403"/>
        </w:tabs>
        <w:spacing w:before="60" w:after="0" w:line="240" w:lineRule="auto"/>
      </w:pPr>
      <w:r w:rsidRPr="0031675F">
        <w:rPr>
          <w:spacing w:val="-1"/>
        </w:rPr>
        <w:t>From</w:t>
      </w:r>
      <w:r w:rsidRPr="0031675F">
        <w:rPr>
          <w:spacing w:val="6"/>
        </w:rPr>
        <w:t xml:space="preserve"> </w:t>
      </w:r>
      <w:r w:rsidRPr="0031675F">
        <w:t>the</w:t>
      </w:r>
      <w:r w:rsidRPr="0031675F">
        <w:rPr>
          <w:spacing w:val="5"/>
        </w:rPr>
        <w:t xml:space="preserve"> </w:t>
      </w:r>
      <w:r w:rsidRPr="0031675F">
        <w:rPr>
          <w:spacing w:val="-1"/>
        </w:rPr>
        <w:t>same</w:t>
      </w:r>
      <w:r w:rsidRPr="0031675F">
        <w:rPr>
          <w:spacing w:val="5"/>
        </w:rPr>
        <w:t xml:space="preserve"> </w:t>
      </w:r>
      <w:r w:rsidRPr="0031675F">
        <w:rPr>
          <w:spacing w:val="-1"/>
        </w:rPr>
        <w:t>representative</w:t>
      </w:r>
      <w:r w:rsidRPr="0031675F">
        <w:rPr>
          <w:spacing w:val="5"/>
        </w:rPr>
        <w:t xml:space="preserve"> </w:t>
      </w:r>
      <w:r w:rsidRPr="0031675F">
        <w:rPr>
          <w:spacing w:val="-1"/>
        </w:rPr>
        <w:t>seawater</w:t>
      </w:r>
      <w:r w:rsidRPr="0031675F">
        <w:rPr>
          <w:spacing w:val="7"/>
        </w:rPr>
        <w:t xml:space="preserve"> </w:t>
      </w:r>
      <w:r w:rsidRPr="0031675F">
        <w:rPr>
          <w:spacing w:val="-1"/>
        </w:rPr>
        <w:t>sample</w:t>
      </w:r>
      <w:r w:rsidRPr="0031675F">
        <w:rPr>
          <w:spacing w:val="5"/>
        </w:rPr>
        <w:t xml:space="preserve"> </w:t>
      </w:r>
      <w:r w:rsidRPr="0031675F">
        <w:rPr>
          <w:spacing w:val="-1"/>
        </w:rPr>
        <w:t>above,</w:t>
      </w:r>
      <w:r w:rsidRPr="0031675F">
        <w:rPr>
          <w:spacing w:val="8"/>
        </w:rPr>
        <w:t xml:space="preserve"> </w:t>
      </w:r>
      <w:r w:rsidRPr="0031675F">
        <w:rPr>
          <w:spacing w:val="-1"/>
        </w:rPr>
        <w:t>rinse</w:t>
      </w:r>
      <w:r w:rsidRPr="0031675F">
        <w:rPr>
          <w:spacing w:val="5"/>
        </w:rPr>
        <w:t xml:space="preserve"> </w:t>
      </w:r>
      <w:r w:rsidRPr="0031675F">
        <w:rPr>
          <w:spacing w:val="-1"/>
        </w:rPr>
        <w:t>and</w:t>
      </w:r>
      <w:r w:rsidRPr="0031675F">
        <w:rPr>
          <w:spacing w:val="6"/>
        </w:rPr>
        <w:t xml:space="preserve"> </w:t>
      </w:r>
      <w:r w:rsidRPr="0031675F">
        <w:rPr>
          <w:spacing w:val="-1"/>
        </w:rPr>
        <w:t>fill</w:t>
      </w:r>
      <w:r w:rsidRPr="0031675F">
        <w:rPr>
          <w:spacing w:val="4"/>
        </w:rPr>
        <w:t xml:space="preserve"> </w:t>
      </w:r>
      <w:r w:rsidRPr="0031675F">
        <w:rPr>
          <w:spacing w:val="-1"/>
        </w:rPr>
        <w:t>triplicate</w:t>
      </w:r>
      <w:r w:rsidRPr="0031675F">
        <w:rPr>
          <w:spacing w:val="6"/>
        </w:rPr>
        <w:t xml:space="preserve"> </w:t>
      </w:r>
      <w:r w:rsidRPr="0031675F">
        <w:rPr>
          <w:spacing w:val="-1"/>
        </w:rPr>
        <w:t>reaction</w:t>
      </w:r>
      <w:r w:rsidRPr="0031675F">
        <w:rPr>
          <w:spacing w:val="4"/>
        </w:rPr>
        <w:t xml:space="preserve"> </w:t>
      </w:r>
      <w:r w:rsidRPr="0031675F">
        <w:rPr>
          <w:spacing w:val="-1"/>
        </w:rPr>
        <w:t>tubes</w:t>
      </w:r>
      <w:r w:rsidRPr="0031675F">
        <w:rPr>
          <w:spacing w:val="5"/>
        </w:rPr>
        <w:t xml:space="preserve"> </w:t>
      </w:r>
      <w:r w:rsidRPr="0031675F">
        <w:t>with</w:t>
      </w:r>
    </w:p>
    <w:p w14:paraId="5C2EC384" w14:textId="7ACA1E37" w:rsidR="0031675F" w:rsidRPr="0031675F" w:rsidRDefault="0031675F" w:rsidP="0031675F">
      <w:pPr>
        <w:spacing w:after="120"/>
        <w:ind w:left="402" w:right="120"/>
      </w:pPr>
      <w:r w:rsidRPr="0031675F">
        <w:t xml:space="preserve">20 </w:t>
      </w:r>
      <w:r w:rsidR="00BB13FD">
        <w:t>mL</w:t>
      </w:r>
      <w:r w:rsidRPr="0031675F">
        <w:t xml:space="preserve"> of </w:t>
      </w:r>
      <w:r w:rsidRPr="0031675F">
        <w:rPr>
          <w:spacing w:val="-1"/>
        </w:rPr>
        <w:t>seawater</w:t>
      </w:r>
      <w:r w:rsidRPr="0031675F">
        <w:t xml:space="preserve"> </w:t>
      </w:r>
      <w:r w:rsidRPr="0031675F">
        <w:rPr>
          <w:spacing w:val="-1"/>
        </w:rPr>
        <w:t>and</w:t>
      </w:r>
      <w:r w:rsidRPr="0031675F">
        <w:t xml:space="preserve"> </w:t>
      </w:r>
      <w:r w:rsidRPr="0031675F">
        <w:rPr>
          <w:spacing w:val="-1"/>
        </w:rPr>
        <w:t>add</w:t>
      </w:r>
      <w:r w:rsidRPr="0031675F">
        <w:t xml:space="preserve"> 5</w:t>
      </w:r>
      <w:r w:rsidR="00BB13FD">
        <w:t>mL</w:t>
      </w:r>
      <w:r w:rsidRPr="0031675F">
        <w:t xml:space="preserve"> of </w:t>
      </w:r>
      <w:r w:rsidRPr="0031675F">
        <w:rPr>
          <w:spacing w:val="-1"/>
        </w:rPr>
        <w:t>borate</w:t>
      </w:r>
      <w:r w:rsidRPr="0031675F">
        <w:t xml:space="preserve"> </w:t>
      </w:r>
      <w:r w:rsidRPr="0031675F">
        <w:rPr>
          <w:spacing w:val="-1"/>
        </w:rPr>
        <w:t>buffer.</w:t>
      </w:r>
      <w:r w:rsidRPr="0031675F">
        <w:t xml:space="preserve"> </w:t>
      </w:r>
      <w:r w:rsidRPr="0031675F">
        <w:rPr>
          <w:spacing w:val="24"/>
        </w:rPr>
        <w:t xml:space="preserve"> </w:t>
      </w:r>
      <w:r w:rsidRPr="0031675F">
        <w:rPr>
          <w:spacing w:val="-1"/>
        </w:rPr>
        <w:t>This</w:t>
      </w:r>
      <w:r w:rsidRPr="0031675F">
        <w:rPr>
          <w:spacing w:val="24"/>
        </w:rPr>
        <w:t xml:space="preserve"> </w:t>
      </w:r>
      <w:r w:rsidRPr="0031675F">
        <w:t xml:space="preserve">is </w:t>
      </w:r>
      <w:r w:rsidRPr="0031675F">
        <w:rPr>
          <w:spacing w:val="-1"/>
        </w:rPr>
        <w:t>for</w:t>
      </w:r>
      <w:r w:rsidRPr="0031675F">
        <w:rPr>
          <w:spacing w:val="25"/>
        </w:rPr>
        <w:t xml:space="preserve"> </w:t>
      </w:r>
      <w:r w:rsidRPr="0031675F">
        <w:t xml:space="preserve">a </w:t>
      </w:r>
      <w:r w:rsidRPr="0031675F">
        <w:rPr>
          <w:spacing w:val="-1"/>
        </w:rPr>
        <w:t>background</w:t>
      </w:r>
      <w:r w:rsidRPr="0031675F">
        <w:t xml:space="preserve"> </w:t>
      </w:r>
      <w:r w:rsidRPr="0031675F">
        <w:rPr>
          <w:spacing w:val="-1"/>
        </w:rPr>
        <w:t>fluorescence</w:t>
      </w:r>
      <w:r w:rsidRPr="0031675F">
        <w:rPr>
          <w:spacing w:val="45"/>
        </w:rPr>
        <w:t xml:space="preserve"> </w:t>
      </w:r>
      <w:r w:rsidRPr="0031675F">
        <w:rPr>
          <w:spacing w:val="-1"/>
        </w:rPr>
        <w:t xml:space="preserve">determination </w:t>
      </w:r>
      <w:r w:rsidRPr="0031675F">
        <w:t>(as</w:t>
      </w:r>
      <w:r w:rsidRPr="0031675F">
        <w:rPr>
          <w:spacing w:val="-2"/>
        </w:rPr>
        <w:t xml:space="preserve"> </w:t>
      </w:r>
      <w:r w:rsidRPr="0031675F">
        <w:rPr>
          <w:spacing w:val="-1"/>
        </w:rPr>
        <w:t>outlined</w:t>
      </w:r>
      <w:r w:rsidRPr="0031675F">
        <w:rPr>
          <w:spacing w:val="-3"/>
        </w:rPr>
        <w:t xml:space="preserve"> </w:t>
      </w:r>
      <w:r w:rsidRPr="0031675F">
        <w:t>in</w:t>
      </w:r>
      <w:r w:rsidRPr="0031675F">
        <w:rPr>
          <w:spacing w:val="-1"/>
        </w:rPr>
        <w:t xml:space="preserve"> Section</w:t>
      </w:r>
      <w:r w:rsidRPr="0031675F">
        <w:rPr>
          <w:spacing w:val="-3"/>
        </w:rPr>
        <w:t xml:space="preserve"> </w:t>
      </w:r>
      <w:r w:rsidRPr="0031675F">
        <w:rPr>
          <w:spacing w:val="-1"/>
        </w:rPr>
        <w:t>4.6.2).</w:t>
      </w:r>
      <w:r w:rsidRPr="0031675F">
        <w:rPr>
          <w:spacing w:val="46"/>
        </w:rPr>
        <w:t xml:space="preserve"> </w:t>
      </w:r>
      <w:r w:rsidRPr="0031675F">
        <w:rPr>
          <w:spacing w:val="-1"/>
        </w:rPr>
        <w:t>Do</w:t>
      </w:r>
      <w:r w:rsidRPr="0031675F">
        <w:rPr>
          <w:spacing w:val="1"/>
        </w:rPr>
        <w:t xml:space="preserve"> </w:t>
      </w:r>
      <w:r w:rsidRPr="0031675F">
        <w:rPr>
          <w:spacing w:val="-1"/>
        </w:rPr>
        <w:t>not</w:t>
      </w:r>
      <w:r w:rsidRPr="0031675F">
        <w:t xml:space="preserve"> </w:t>
      </w:r>
      <w:r w:rsidRPr="0031675F">
        <w:rPr>
          <w:spacing w:val="-2"/>
        </w:rPr>
        <w:t>add</w:t>
      </w:r>
      <w:r w:rsidRPr="0031675F">
        <w:rPr>
          <w:spacing w:val="-1"/>
        </w:rPr>
        <w:t xml:space="preserve"> working reagent.</w:t>
      </w:r>
    </w:p>
    <w:p w14:paraId="090F8D07" w14:textId="77777777" w:rsidR="0031675F" w:rsidRPr="0031675F" w:rsidRDefault="0031675F" w:rsidP="0031675F">
      <w:pPr>
        <w:widowControl w:val="0"/>
        <w:numPr>
          <w:ilvl w:val="0"/>
          <w:numId w:val="119"/>
        </w:numPr>
        <w:tabs>
          <w:tab w:val="left" w:pos="403"/>
        </w:tabs>
        <w:spacing w:before="60" w:after="0" w:line="239" w:lineRule="auto"/>
        <w:ind w:right="112"/>
        <w:jc w:val="both"/>
      </w:pPr>
      <w:r w:rsidRPr="0031675F">
        <w:rPr>
          <w:spacing w:val="-1"/>
        </w:rPr>
        <w:t>After</w:t>
      </w:r>
      <w:r w:rsidRPr="0031675F">
        <w:rPr>
          <w:spacing w:val="19"/>
        </w:rPr>
        <w:t xml:space="preserve"> </w:t>
      </w:r>
      <w:r w:rsidRPr="0031675F">
        <w:rPr>
          <w:spacing w:val="-1"/>
        </w:rPr>
        <w:t>incubating</w:t>
      </w:r>
      <w:r w:rsidRPr="0031675F">
        <w:rPr>
          <w:spacing w:val="19"/>
        </w:rPr>
        <w:t xml:space="preserve"> </w:t>
      </w:r>
      <w:r w:rsidRPr="0031675F">
        <w:t>in</w:t>
      </w:r>
      <w:r w:rsidRPr="0031675F">
        <w:rPr>
          <w:spacing w:val="18"/>
        </w:rPr>
        <w:t xml:space="preserve"> </w:t>
      </w:r>
      <w:r w:rsidRPr="0031675F">
        <w:t>the</w:t>
      </w:r>
      <w:r w:rsidRPr="0031675F">
        <w:rPr>
          <w:spacing w:val="19"/>
        </w:rPr>
        <w:t xml:space="preserve"> </w:t>
      </w:r>
      <w:r w:rsidRPr="0031675F">
        <w:rPr>
          <w:spacing w:val="-1"/>
        </w:rPr>
        <w:t>dark</w:t>
      </w:r>
      <w:r w:rsidRPr="0031675F">
        <w:rPr>
          <w:spacing w:val="19"/>
        </w:rPr>
        <w:t xml:space="preserve"> </w:t>
      </w:r>
      <w:r w:rsidRPr="0031675F">
        <w:rPr>
          <w:spacing w:val="-1"/>
        </w:rPr>
        <w:t>for</w:t>
      </w:r>
      <w:r w:rsidRPr="0031675F">
        <w:rPr>
          <w:spacing w:val="19"/>
        </w:rPr>
        <w:t xml:space="preserve"> </w:t>
      </w:r>
      <w:r w:rsidRPr="0031675F">
        <w:rPr>
          <w:spacing w:val="-1"/>
        </w:rPr>
        <w:t>2-3</w:t>
      </w:r>
      <w:r w:rsidRPr="0031675F">
        <w:rPr>
          <w:spacing w:val="20"/>
        </w:rPr>
        <w:t xml:space="preserve"> </w:t>
      </w:r>
      <w:r w:rsidRPr="0031675F">
        <w:rPr>
          <w:spacing w:val="-1"/>
        </w:rPr>
        <w:t>hours</w:t>
      </w:r>
      <w:r w:rsidRPr="0031675F">
        <w:rPr>
          <w:spacing w:val="19"/>
        </w:rPr>
        <w:t xml:space="preserve"> </w:t>
      </w:r>
      <w:r w:rsidRPr="0031675F">
        <w:rPr>
          <w:spacing w:val="-1"/>
        </w:rPr>
        <w:t>(2.5</w:t>
      </w:r>
      <w:r w:rsidRPr="0031675F">
        <w:rPr>
          <w:spacing w:val="20"/>
        </w:rPr>
        <w:t xml:space="preserve"> </w:t>
      </w:r>
      <w:r w:rsidRPr="0031675F">
        <w:rPr>
          <w:spacing w:val="-1"/>
        </w:rPr>
        <w:t>hrs</w:t>
      </w:r>
      <w:r w:rsidRPr="0031675F">
        <w:rPr>
          <w:spacing w:val="19"/>
        </w:rPr>
        <w:t xml:space="preserve"> </w:t>
      </w:r>
      <w:r w:rsidRPr="0031675F">
        <w:rPr>
          <w:spacing w:val="-1"/>
        </w:rPr>
        <w:t>preferred),</w:t>
      </w:r>
      <w:r w:rsidRPr="0031675F">
        <w:rPr>
          <w:spacing w:val="18"/>
        </w:rPr>
        <w:t xml:space="preserve"> </w:t>
      </w:r>
      <w:r w:rsidRPr="0031675F">
        <w:rPr>
          <w:spacing w:val="-1"/>
        </w:rPr>
        <w:t>read</w:t>
      </w:r>
      <w:r w:rsidRPr="0031675F">
        <w:rPr>
          <w:spacing w:val="18"/>
        </w:rPr>
        <w:t xml:space="preserve"> </w:t>
      </w:r>
      <w:r w:rsidRPr="0031675F">
        <w:rPr>
          <w:spacing w:val="-1"/>
        </w:rPr>
        <w:t>fluorescence</w:t>
      </w:r>
      <w:r w:rsidRPr="0031675F">
        <w:rPr>
          <w:spacing w:val="20"/>
        </w:rPr>
        <w:t xml:space="preserve"> </w:t>
      </w:r>
      <w:r w:rsidRPr="0031675F">
        <w:t>of</w:t>
      </w:r>
      <w:r w:rsidRPr="0031675F">
        <w:rPr>
          <w:spacing w:val="19"/>
        </w:rPr>
        <w:t xml:space="preserve"> </w:t>
      </w:r>
      <w:r w:rsidRPr="0031675F">
        <w:t>all</w:t>
      </w:r>
      <w:r w:rsidRPr="0031675F">
        <w:rPr>
          <w:spacing w:val="18"/>
        </w:rPr>
        <w:t xml:space="preserve"> </w:t>
      </w:r>
      <w:r w:rsidRPr="0031675F">
        <w:rPr>
          <w:spacing w:val="-1"/>
        </w:rPr>
        <w:t>standards</w:t>
      </w:r>
      <w:r w:rsidRPr="0031675F">
        <w:rPr>
          <w:spacing w:val="77"/>
        </w:rPr>
        <w:t xml:space="preserve"> </w:t>
      </w:r>
      <w:r w:rsidRPr="0031675F">
        <w:rPr>
          <w:spacing w:val="-1"/>
        </w:rPr>
        <w:t>and</w:t>
      </w:r>
      <w:r w:rsidRPr="0031675F">
        <w:rPr>
          <w:spacing w:val="42"/>
        </w:rPr>
        <w:t xml:space="preserve"> </w:t>
      </w:r>
      <w:r w:rsidRPr="0031675F">
        <w:rPr>
          <w:spacing w:val="-1"/>
        </w:rPr>
        <w:t>samples</w:t>
      </w:r>
      <w:r w:rsidRPr="0031675F">
        <w:rPr>
          <w:spacing w:val="41"/>
        </w:rPr>
        <w:t xml:space="preserve"> </w:t>
      </w:r>
      <w:r w:rsidRPr="0031675F">
        <w:t>on</w:t>
      </w:r>
      <w:r w:rsidRPr="0031675F">
        <w:rPr>
          <w:spacing w:val="43"/>
        </w:rPr>
        <w:t xml:space="preserve"> </w:t>
      </w:r>
      <w:r w:rsidRPr="0031675F">
        <w:t>the</w:t>
      </w:r>
      <w:r w:rsidRPr="0031675F">
        <w:rPr>
          <w:spacing w:val="43"/>
        </w:rPr>
        <w:t xml:space="preserve"> </w:t>
      </w:r>
      <w:r w:rsidRPr="0031675F">
        <w:rPr>
          <w:spacing w:val="-1"/>
        </w:rPr>
        <w:t>fluorometer,</w:t>
      </w:r>
      <w:r w:rsidRPr="0031675F">
        <w:rPr>
          <w:spacing w:val="43"/>
        </w:rPr>
        <w:t xml:space="preserve"> </w:t>
      </w:r>
      <w:r w:rsidRPr="0031675F">
        <w:rPr>
          <w:spacing w:val="-1"/>
        </w:rPr>
        <w:t>noting</w:t>
      </w:r>
      <w:r w:rsidRPr="0031675F">
        <w:rPr>
          <w:spacing w:val="43"/>
        </w:rPr>
        <w:t xml:space="preserve"> </w:t>
      </w:r>
      <w:r w:rsidRPr="0031675F">
        <w:rPr>
          <w:spacing w:val="-1"/>
        </w:rPr>
        <w:t>the</w:t>
      </w:r>
      <w:r w:rsidRPr="0031675F">
        <w:rPr>
          <w:spacing w:val="44"/>
        </w:rPr>
        <w:t xml:space="preserve"> </w:t>
      </w:r>
      <w:r w:rsidRPr="0031675F">
        <w:rPr>
          <w:spacing w:val="-1"/>
        </w:rPr>
        <w:t>time</w:t>
      </w:r>
      <w:r w:rsidRPr="0031675F">
        <w:rPr>
          <w:spacing w:val="41"/>
        </w:rPr>
        <w:t xml:space="preserve"> </w:t>
      </w:r>
      <w:r w:rsidRPr="0031675F">
        <w:t>of</w:t>
      </w:r>
      <w:r w:rsidRPr="0031675F">
        <w:rPr>
          <w:spacing w:val="43"/>
        </w:rPr>
        <w:t xml:space="preserve"> </w:t>
      </w:r>
      <w:r w:rsidRPr="0031675F">
        <w:rPr>
          <w:spacing w:val="-1"/>
        </w:rPr>
        <w:t>reading</w:t>
      </w:r>
      <w:r w:rsidRPr="0031675F">
        <w:rPr>
          <w:spacing w:val="43"/>
        </w:rPr>
        <w:t xml:space="preserve"> </w:t>
      </w:r>
      <w:r w:rsidRPr="0031675F">
        <w:t>on</w:t>
      </w:r>
      <w:r w:rsidRPr="0031675F">
        <w:rPr>
          <w:spacing w:val="42"/>
        </w:rPr>
        <w:t xml:space="preserve"> </w:t>
      </w:r>
      <w:r w:rsidRPr="0031675F">
        <w:rPr>
          <w:spacing w:val="-1"/>
        </w:rPr>
        <w:t>the</w:t>
      </w:r>
      <w:r w:rsidRPr="0031675F">
        <w:rPr>
          <w:spacing w:val="44"/>
        </w:rPr>
        <w:t xml:space="preserve"> </w:t>
      </w:r>
      <w:r w:rsidRPr="0031675F">
        <w:rPr>
          <w:spacing w:val="-1"/>
        </w:rPr>
        <w:t>laboratory</w:t>
      </w:r>
      <w:r w:rsidRPr="0031675F">
        <w:rPr>
          <w:spacing w:val="44"/>
        </w:rPr>
        <w:t xml:space="preserve"> </w:t>
      </w:r>
      <w:r w:rsidRPr="0031675F">
        <w:rPr>
          <w:spacing w:val="-1"/>
        </w:rPr>
        <w:t>log</w:t>
      </w:r>
      <w:r w:rsidRPr="0031675F">
        <w:rPr>
          <w:spacing w:val="43"/>
        </w:rPr>
        <w:t xml:space="preserve"> </w:t>
      </w:r>
      <w:r w:rsidRPr="0031675F">
        <w:rPr>
          <w:spacing w:val="-1"/>
        </w:rPr>
        <w:t>sheet.</w:t>
      </w:r>
      <w:r w:rsidRPr="0031675F">
        <w:rPr>
          <w:spacing w:val="36"/>
        </w:rPr>
        <w:t xml:space="preserve"> </w:t>
      </w:r>
      <w:r w:rsidRPr="0031675F">
        <w:t>If</w:t>
      </w:r>
      <w:r w:rsidRPr="0031675F">
        <w:rPr>
          <w:spacing w:val="51"/>
        </w:rPr>
        <w:t xml:space="preserve"> </w:t>
      </w:r>
      <w:r w:rsidRPr="0031675F">
        <w:rPr>
          <w:spacing w:val="-1"/>
        </w:rPr>
        <w:t>samples</w:t>
      </w:r>
      <w:r w:rsidRPr="0031675F">
        <w:rPr>
          <w:spacing w:val="12"/>
        </w:rPr>
        <w:t xml:space="preserve"> </w:t>
      </w:r>
      <w:r w:rsidRPr="0031675F">
        <w:t>are</w:t>
      </w:r>
      <w:r w:rsidRPr="0031675F">
        <w:rPr>
          <w:spacing w:val="15"/>
        </w:rPr>
        <w:t xml:space="preserve"> </w:t>
      </w:r>
      <w:r w:rsidRPr="0031675F">
        <w:rPr>
          <w:spacing w:val="-1"/>
        </w:rPr>
        <w:t>being</w:t>
      </w:r>
      <w:r w:rsidRPr="0031675F">
        <w:rPr>
          <w:spacing w:val="13"/>
        </w:rPr>
        <w:t xml:space="preserve"> </w:t>
      </w:r>
      <w:r w:rsidRPr="0031675F">
        <w:rPr>
          <w:spacing w:val="-1"/>
        </w:rPr>
        <w:t>run</w:t>
      </w:r>
      <w:r w:rsidRPr="0031675F">
        <w:rPr>
          <w:spacing w:val="14"/>
        </w:rPr>
        <w:t xml:space="preserve"> </w:t>
      </w:r>
      <w:r w:rsidRPr="0031675F">
        <w:rPr>
          <w:spacing w:val="-1"/>
        </w:rPr>
        <w:t>progressively</w:t>
      </w:r>
      <w:r w:rsidRPr="0031675F">
        <w:rPr>
          <w:spacing w:val="15"/>
        </w:rPr>
        <w:t xml:space="preserve"> </w:t>
      </w:r>
      <w:r w:rsidRPr="0031675F">
        <w:rPr>
          <w:spacing w:val="-1"/>
        </w:rPr>
        <w:t>through</w:t>
      </w:r>
      <w:r w:rsidRPr="0031675F">
        <w:rPr>
          <w:spacing w:val="14"/>
        </w:rPr>
        <w:t xml:space="preserve"> </w:t>
      </w:r>
      <w:r w:rsidRPr="0031675F">
        <w:t>the</w:t>
      </w:r>
      <w:r w:rsidRPr="0031675F">
        <w:rPr>
          <w:spacing w:val="14"/>
        </w:rPr>
        <w:t xml:space="preserve"> </w:t>
      </w:r>
      <w:r w:rsidRPr="0031675F">
        <w:rPr>
          <w:spacing w:val="-1"/>
        </w:rPr>
        <w:t>day,</w:t>
      </w:r>
      <w:r w:rsidRPr="0031675F">
        <w:rPr>
          <w:spacing w:val="12"/>
        </w:rPr>
        <w:t xml:space="preserve"> </w:t>
      </w:r>
      <w:r w:rsidRPr="0031675F">
        <w:t>read</w:t>
      </w:r>
      <w:r w:rsidRPr="0031675F">
        <w:rPr>
          <w:spacing w:val="13"/>
        </w:rPr>
        <w:t xml:space="preserve"> </w:t>
      </w:r>
      <w:r w:rsidRPr="0031675F">
        <w:t>each</w:t>
      </w:r>
      <w:r w:rsidRPr="0031675F">
        <w:rPr>
          <w:spacing w:val="14"/>
        </w:rPr>
        <w:t xml:space="preserve"> </w:t>
      </w:r>
      <w:r w:rsidRPr="0031675F">
        <w:rPr>
          <w:spacing w:val="-1"/>
        </w:rPr>
        <w:t>batch</w:t>
      </w:r>
      <w:r w:rsidRPr="0031675F">
        <w:rPr>
          <w:spacing w:val="14"/>
        </w:rPr>
        <w:t xml:space="preserve"> </w:t>
      </w:r>
      <w:r w:rsidRPr="0031675F">
        <w:rPr>
          <w:spacing w:val="-1"/>
        </w:rPr>
        <w:t>after</w:t>
      </w:r>
      <w:r w:rsidRPr="0031675F">
        <w:rPr>
          <w:spacing w:val="14"/>
        </w:rPr>
        <w:t xml:space="preserve"> </w:t>
      </w:r>
      <w:r w:rsidRPr="0031675F">
        <w:t>the</w:t>
      </w:r>
      <w:r w:rsidRPr="0031675F">
        <w:rPr>
          <w:spacing w:val="10"/>
        </w:rPr>
        <w:t xml:space="preserve"> </w:t>
      </w:r>
      <w:r w:rsidRPr="0031675F">
        <w:rPr>
          <w:spacing w:val="1"/>
        </w:rPr>
        <w:t>same</w:t>
      </w:r>
      <w:r w:rsidRPr="0031675F">
        <w:rPr>
          <w:spacing w:val="12"/>
        </w:rPr>
        <w:t xml:space="preserve"> </w:t>
      </w:r>
      <w:r w:rsidRPr="0031675F">
        <w:rPr>
          <w:spacing w:val="-1"/>
        </w:rPr>
        <w:t>incubation</w:t>
      </w:r>
      <w:r w:rsidRPr="0031675F">
        <w:rPr>
          <w:spacing w:val="51"/>
        </w:rPr>
        <w:t xml:space="preserve"> </w:t>
      </w:r>
      <w:r w:rsidRPr="0031675F">
        <w:rPr>
          <w:spacing w:val="-1"/>
        </w:rPr>
        <w:t>interval</w:t>
      </w:r>
      <w:r w:rsidRPr="0031675F">
        <w:rPr>
          <w:spacing w:val="-3"/>
        </w:rPr>
        <w:t xml:space="preserve"> </w:t>
      </w:r>
      <w:r w:rsidRPr="0031675F">
        <w:t xml:space="preserve">as </w:t>
      </w:r>
      <w:r w:rsidRPr="0031675F">
        <w:rPr>
          <w:spacing w:val="-1"/>
        </w:rPr>
        <w:t>the</w:t>
      </w:r>
      <w:r w:rsidRPr="0031675F">
        <w:rPr>
          <w:spacing w:val="-2"/>
        </w:rPr>
        <w:t xml:space="preserve"> </w:t>
      </w:r>
      <w:r w:rsidRPr="0031675F">
        <w:rPr>
          <w:spacing w:val="-1"/>
        </w:rPr>
        <w:t>initial</w:t>
      </w:r>
      <w:r w:rsidRPr="0031675F">
        <w:t xml:space="preserve"> </w:t>
      </w:r>
      <w:r w:rsidRPr="0031675F">
        <w:rPr>
          <w:spacing w:val="-1"/>
        </w:rPr>
        <w:t>batch</w:t>
      </w:r>
      <w:r w:rsidRPr="0031675F">
        <w:rPr>
          <w:spacing w:val="-3"/>
        </w:rPr>
        <w:t xml:space="preserve"> </w:t>
      </w:r>
      <w:r w:rsidRPr="0031675F">
        <w:t xml:space="preserve">of </w:t>
      </w:r>
      <w:r w:rsidRPr="0031675F">
        <w:rPr>
          <w:spacing w:val="-1"/>
        </w:rPr>
        <w:t>standards</w:t>
      </w:r>
      <w:r w:rsidRPr="0031675F">
        <w:rPr>
          <w:spacing w:val="-3"/>
        </w:rPr>
        <w:t xml:space="preserve"> </w:t>
      </w:r>
      <w:r w:rsidRPr="0031675F">
        <w:t>and</w:t>
      </w:r>
      <w:r w:rsidRPr="0031675F">
        <w:rPr>
          <w:spacing w:val="-2"/>
        </w:rPr>
        <w:t xml:space="preserve"> </w:t>
      </w:r>
      <w:r w:rsidRPr="0031675F">
        <w:rPr>
          <w:spacing w:val="-1"/>
        </w:rPr>
        <w:t>samples.</w:t>
      </w:r>
    </w:p>
    <w:p w14:paraId="34A1F280" w14:textId="77777777" w:rsidR="0031675F" w:rsidRPr="0031675F" w:rsidRDefault="0031675F" w:rsidP="0031675F">
      <w:pPr>
        <w:spacing w:before="11"/>
        <w:rPr>
          <w:rFonts w:cs="Calibri"/>
          <w:sz w:val="26"/>
          <w:szCs w:val="26"/>
        </w:rPr>
      </w:pPr>
    </w:p>
    <w:p w14:paraId="43E0F1BD" w14:textId="77777777" w:rsidR="0031675F" w:rsidRPr="0031675F" w:rsidRDefault="0031675F" w:rsidP="0031675F">
      <w:pPr>
        <w:spacing w:before="4"/>
        <w:rPr>
          <w:rFonts w:cs="Calibri"/>
          <w:sz w:val="10"/>
          <w:szCs w:val="10"/>
        </w:rPr>
      </w:pPr>
    </w:p>
    <w:p w14:paraId="27A6C650" w14:textId="77777777" w:rsidR="0031675F" w:rsidRPr="0031675F" w:rsidRDefault="0031675F" w:rsidP="0031675F">
      <w:pPr>
        <w:spacing w:line="20" w:lineRule="atLeast"/>
        <w:ind w:left="110"/>
        <w:rPr>
          <w:rFonts w:cs="Calibri"/>
          <w:sz w:val="2"/>
          <w:szCs w:val="2"/>
        </w:rPr>
      </w:pPr>
      <w:r w:rsidRPr="0031675F">
        <w:rPr>
          <w:noProof/>
          <w:lang w:eastAsia="en-AU"/>
        </w:rPr>
        <mc:AlternateContent>
          <mc:Choice Requires="wpg">
            <w:drawing>
              <wp:inline distT="0" distB="0" distL="0" distR="0" wp14:anchorId="55947F74" wp14:editId="4F382B13">
                <wp:extent cx="1839595" cy="10795"/>
                <wp:effectExtent l="9525" t="9525" r="8255" b="8255"/>
                <wp:docPr id="18" name="Group 9067" descr="Straight line" title="Design elem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20" name="Group 9068"/>
                        <wpg:cNvGrpSpPr>
                          <a:grpSpLocks/>
                        </wpg:cNvGrpSpPr>
                        <wpg:grpSpPr bwMode="auto">
                          <a:xfrm>
                            <a:off x="8" y="8"/>
                            <a:ext cx="2881" cy="2"/>
                            <a:chOff x="8" y="8"/>
                            <a:chExt cx="2881" cy="2"/>
                          </a:xfrm>
                        </wpg:grpSpPr>
                        <wps:wsp>
                          <wps:cNvPr id="22" name="Freeform 9069"/>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BCB2C4A" id="Group 9067" o:spid="_x0000_s1026" alt="Title: Design element - Description: Straight line"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">
                <v:group id="Group 9068"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shape id="Freeform 9069"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s4mcUA&#10;AADbAAAADwAAAGRycy9kb3ducmV2LnhtbESPQWsCMRSE7wX/Q3iCl6JZQxFZjSJaoeDFWi/eHpvn&#10;ZnHzsm5S3fbXG6HQ4zAz3zDzZedqcaM2VJ41jEcZCOLCm4pLDcev7XAKIkRkg7Vn0vBDAZaL3ssc&#10;c+Pv/Em3QyxFgnDIUYONscmlDIUlh2HkG+LknX3rMCbZltK0eE9wV0uVZRPpsOK0YLGhtaXicvh2&#10;Gn6v+/di/7q2O6WOu8nbptmcypPWg363moGI1MX/8F/7w2hQCp5f0g+Qi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ziZxQAAANsAAAAPAAAAAAAAAAAAAAAAAJgCAABkcnMv&#10;ZG93bnJldi54bWxQSwUGAAAAAAQABAD1AAAAigMAAAAA&#10;" path="m,l2881,e" filled="f" strokeweight=".82pt">
                    <v:path arrowok="t" o:connecttype="custom" o:connectlocs="0,0;2881,0" o:connectangles="0,0"/>
                  </v:shape>
                </v:group>
                <w10:anchorlock/>
              </v:group>
            </w:pict>
          </mc:Fallback>
        </mc:AlternateContent>
      </w:r>
    </w:p>
    <w:p w14:paraId="4412BF0F" w14:textId="77777777" w:rsidR="0031675F" w:rsidRPr="0031675F" w:rsidRDefault="0031675F" w:rsidP="0031675F">
      <w:pPr>
        <w:spacing w:before="54" w:line="235" w:lineRule="exact"/>
        <w:ind w:left="118"/>
        <w:rPr>
          <w:rFonts w:cs="Calibri"/>
          <w:sz w:val="18"/>
          <w:szCs w:val="18"/>
        </w:rPr>
      </w:pPr>
      <w:r w:rsidRPr="0031675F">
        <w:rPr>
          <w:position w:val="9"/>
          <w:sz w:val="12"/>
        </w:rPr>
        <w:t>9</w:t>
      </w:r>
      <w:r w:rsidRPr="0031675F">
        <w:rPr>
          <w:spacing w:val="10"/>
          <w:position w:val="9"/>
          <w:sz w:val="12"/>
        </w:rPr>
        <w:t xml:space="preserve"> </w:t>
      </w:r>
      <w:r w:rsidRPr="0031675F">
        <w:rPr>
          <w:sz w:val="18"/>
        </w:rPr>
        <w:t>A</w:t>
      </w:r>
      <w:r w:rsidRPr="0031675F">
        <w:rPr>
          <w:spacing w:val="-3"/>
          <w:sz w:val="18"/>
        </w:rPr>
        <w:t xml:space="preserve"> </w:t>
      </w:r>
      <w:r w:rsidRPr="0031675F">
        <w:rPr>
          <w:spacing w:val="-1"/>
          <w:sz w:val="18"/>
        </w:rPr>
        <w:t>flow</w:t>
      </w:r>
      <w:r w:rsidRPr="0031675F">
        <w:rPr>
          <w:spacing w:val="-2"/>
          <w:sz w:val="18"/>
        </w:rPr>
        <w:t xml:space="preserve"> </w:t>
      </w:r>
      <w:r w:rsidRPr="0031675F">
        <w:rPr>
          <w:spacing w:val="-1"/>
          <w:sz w:val="18"/>
        </w:rPr>
        <w:t>chart</w:t>
      </w:r>
      <w:r w:rsidRPr="0031675F">
        <w:rPr>
          <w:spacing w:val="-3"/>
          <w:sz w:val="18"/>
        </w:rPr>
        <w:t xml:space="preserve"> </w:t>
      </w:r>
      <w:r w:rsidRPr="0031675F">
        <w:rPr>
          <w:sz w:val="18"/>
        </w:rPr>
        <w:t>of</w:t>
      </w:r>
      <w:r w:rsidRPr="0031675F">
        <w:rPr>
          <w:spacing w:val="-2"/>
          <w:sz w:val="18"/>
        </w:rPr>
        <w:t xml:space="preserve"> </w:t>
      </w:r>
      <w:r w:rsidRPr="0031675F">
        <w:rPr>
          <w:spacing w:val="-1"/>
          <w:sz w:val="18"/>
        </w:rPr>
        <w:t>this</w:t>
      </w:r>
      <w:r w:rsidRPr="0031675F">
        <w:rPr>
          <w:spacing w:val="-3"/>
          <w:sz w:val="18"/>
        </w:rPr>
        <w:t xml:space="preserve"> </w:t>
      </w:r>
      <w:r w:rsidRPr="0031675F">
        <w:rPr>
          <w:spacing w:val="-1"/>
          <w:sz w:val="18"/>
        </w:rPr>
        <w:t>protocol</w:t>
      </w:r>
      <w:r w:rsidRPr="0031675F">
        <w:rPr>
          <w:spacing w:val="-3"/>
          <w:sz w:val="18"/>
        </w:rPr>
        <w:t xml:space="preserve"> </w:t>
      </w:r>
      <w:r w:rsidRPr="0031675F">
        <w:rPr>
          <w:spacing w:val="-1"/>
          <w:sz w:val="18"/>
        </w:rPr>
        <w:t>has</w:t>
      </w:r>
      <w:r w:rsidRPr="0031675F">
        <w:rPr>
          <w:spacing w:val="-3"/>
          <w:sz w:val="18"/>
        </w:rPr>
        <w:t xml:space="preserve"> </w:t>
      </w:r>
      <w:r w:rsidRPr="0031675F">
        <w:rPr>
          <w:spacing w:val="-1"/>
          <w:sz w:val="18"/>
        </w:rPr>
        <w:t>been included</w:t>
      </w:r>
      <w:r w:rsidRPr="0031675F">
        <w:rPr>
          <w:spacing w:val="-2"/>
          <w:sz w:val="18"/>
        </w:rPr>
        <w:t xml:space="preserve"> </w:t>
      </w:r>
      <w:r w:rsidRPr="0031675F">
        <w:rPr>
          <w:spacing w:val="-1"/>
          <w:sz w:val="18"/>
        </w:rPr>
        <w:t>(see Attachment</w:t>
      </w:r>
      <w:r w:rsidRPr="0031675F">
        <w:rPr>
          <w:spacing w:val="-2"/>
          <w:sz w:val="18"/>
        </w:rPr>
        <w:t xml:space="preserve"> </w:t>
      </w:r>
      <w:r w:rsidRPr="0031675F">
        <w:rPr>
          <w:sz w:val="18"/>
        </w:rPr>
        <w:t>4.2)</w:t>
      </w:r>
      <w:r w:rsidRPr="0031675F">
        <w:rPr>
          <w:spacing w:val="-2"/>
          <w:sz w:val="18"/>
        </w:rPr>
        <w:t xml:space="preserve"> </w:t>
      </w:r>
      <w:r w:rsidRPr="0031675F">
        <w:rPr>
          <w:sz w:val="18"/>
        </w:rPr>
        <w:t>to</w:t>
      </w:r>
      <w:r w:rsidRPr="0031675F">
        <w:rPr>
          <w:spacing w:val="-2"/>
          <w:sz w:val="18"/>
        </w:rPr>
        <w:t xml:space="preserve"> </w:t>
      </w:r>
      <w:r w:rsidRPr="0031675F">
        <w:rPr>
          <w:spacing w:val="-1"/>
          <w:sz w:val="18"/>
        </w:rPr>
        <w:t>facilitate</w:t>
      </w:r>
      <w:r w:rsidRPr="0031675F">
        <w:rPr>
          <w:spacing w:val="-4"/>
          <w:sz w:val="18"/>
        </w:rPr>
        <w:t xml:space="preserve"> </w:t>
      </w:r>
      <w:r w:rsidRPr="0031675F">
        <w:rPr>
          <w:spacing w:val="-1"/>
          <w:sz w:val="18"/>
        </w:rPr>
        <w:t>easy use during</w:t>
      </w:r>
      <w:r w:rsidRPr="0031675F">
        <w:rPr>
          <w:spacing w:val="-3"/>
          <w:sz w:val="18"/>
        </w:rPr>
        <w:t xml:space="preserve"> </w:t>
      </w:r>
      <w:r w:rsidRPr="0031675F">
        <w:rPr>
          <w:spacing w:val="-1"/>
          <w:sz w:val="18"/>
        </w:rPr>
        <w:t>fieldwork.</w:t>
      </w:r>
    </w:p>
    <w:p w14:paraId="1E386DAE" w14:textId="77777777" w:rsidR="0031675F" w:rsidRPr="0031675F" w:rsidRDefault="0031675F" w:rsidP="0031675F">
      <w:pPr>
        <w:spacing w:line="235" w:lineRule="exact"/>
        <w:ind w:left="118"/>
        <w:rPr>
          <w:rFonts w:cs="Calibri"/>
          <w:sz w:val="18"/>
          <w:szCs w:val="18"/>
        </w:rPr>
      </w:pPr>
      <w:r w:rsidRPr="0031675F">
        <w:rPr>
          <w:spacing w:val="-1"/>
          <w:position w:val="9"/>
          <w:sz w:val="12"/>
        </w:rPr>
        <w:t>10</w:t>
      </w:r>
      <w:r w:rsidRPr="0031675F">
        <w:rPr>
          <w:spacing w:val="15"/>
          <w:position w:val="9"/>
          <w:sz w:val="12"/>
        </w:rPr>
        <w:t xml:space="preserve"> </w:t>
      </w:r>
      <w:r w:rsidRPr="0031675F">
        <w:rPr>
          <w:sz w:val="18"/>
        </w:rPr>
        <w:t>Prior</w:t>
      </w:r>
      <w:r w:rsidRPr="0031675F">
        <w:rPr>
          <w:spacing w:val="3"/>
          <w:sz w:val="18"/>
        </w:rPr>
        <w:t xml:space="preserve"> </w:t>
      </w:r>
      <w:r w:rsidRPr="0031675F">
        <w:rPr>
          <w:sz w:val="18"/>
        </w:rPr>
        <w:t>to</w:t>
      </w:r>
      <w:r w:rsidRPr="0031675F">
        <w:rPr>
          <w:spacing w:val="3"/>
          <w:sz w:val="18"/>
        </w:rPr>
        <w:t xml:space="preserve"> </w:t>
      </w:r>
      <w:r w:rsidRPr="0031675F">
        <w:rPr>
          <w:spacing w:val="-1"/>
          <w:sz w:val="18"/>
        </w:rPr>
        <w:t>commencing</w:t>
      </w:r>
      <w:r w:rsidRPr="0031675F">
        <w:rPr>
          <w:spacing w:val="3"/>
          <w:sz w:val="18"/>
        </w:rPr>
        <w:t xml:space="preserve"> </w:t>
      </w:r>
      <w:r w:rsidRPr="0031675F">
        <w:rPr>
          <w:sz w:val="18"/>
        </w:rPr>
        <w:t>a</w:t>
      </w:r>
      <w:r w:rsidRPr="0031675F">
        <w:rPr>
          <w:spacing w:val="2"/>
          <w:sz w:val="18"/>
        </w:rPr>
        <w:t xml:space="preserve"> </w:t>
      </w:r>
      <w:r w:rsidRPr="0031675F">
        <w:rPr>
          <w:spacing w:val="-1"/>
          <w:sz w:val="18"/>
        </w:rPr>
        <w:t>new</w:t>
      </w:r>
      <w:r w:rsidRPr="0031675F">
        <w:rPr>
          <w:spacing w:val="4"/>
          <w:sz w:val="18"/>
        </w:rPr>
        <w:t xml:space="preserve"> </w:t>
      </w:r>
      <w:r w:rsidRPr="0031675F">
        <w:rPr>
          <w:spacing w:val="-1"/>
          <w:sz w:val="18"/>
        </w:rPr>
        <w:t>series</w:t>
      </w:r>
      <w:r w:rsidRPr="0031675F">
        <w:rPr>
          <w:spacing w:val="2"/>
          <w:sz w:val="18"/>
        </w:rPr>
        <w:t xml:space="preserve"> </w:t>
      </w:r>
      <w:r w:rsidRPr="0031675F">
        <w:rPr>
          <w:sz w:val="18"/>
        </w:rPr>
        <w:t>of</w:t>
      </w:r>
      <w:r w:rsidRPr="0031675F">
        <w:rPr>
          <w:spacing w:val="3"/>
          <w:sz w:val="18"/>
        </w:rPr>
        <w:t xml:space="preserve"> </w:t>
      </w:r>
      <w:r w:rsidRPr="0031675F">
        <w:rPr>
          <w:spacing w:val="-1"/>
          <w:sz w:val="18"/>
        </w:rPr>
        <w:t>sampling,</w:t>
      </w:r>
      <w:r w:rsidRPr="0031675F">
        <w:rPr>
          <w:spacing w:val="4"/>
          <w:sz w:val="18"/>
        </w:rPr>
        <w:t xml:space="preserve"> </w:t>
      </w:r>
      <w:r w:rsidRPr="0031675F">
        <w:rPr>
          <w:sz w:val="18"/>
        </w:rPr>
        <w:t>all</w:t>
      </w:r>
      <w:r w:rsidRPr="0031675F">
        <w:rPr>
          <w:spacing w:val="1"/>
          <w:sz w:val="18"/>
        </w:rPr>
        <w:t xml:space="preserve"> </w:t>
      </w:r>
      <w:r w:rsidRPr="0031675F">
        <w:rPr>
          <w:spacing w:val="-1"/>
          <w:sz w:val="18"/>
        </w:rPr>
        <w:t>reaction</w:t>
      </w:r>
      <w:r w:rsidRPr="0031675F">
        <w:rPr>
          <w:spacing w:val="2"/>
          <w:sz w:val="18"/>
        </w:rPr>
        <w:t xml:space="preserve"> </w:t>
      </w:r>
      <w:r w:rsidRPr="0031675F">
        <w:rPr>
          <w:spacing w:val="-1"/>
          <w:sz w:val="18"/>
        </w:rPr>
        <w:t>tubes</w:t>
      </w:r>
      <w:r w:rsidRPr="0031675F">
        <w:rPr>
          <w:spacing w:val="4"/>
          <w:sz w:val="18"/>
        </w:rPr>
        <w:t xml:space="preserve"> </w:t>
      </w:r>
      <w:r w:rsidRPr="0031675F">
        <w:rPr>
          <w:spacing w:val="-1"/>
          <w:sz w:val="18"/>
        </w:rPr>
        <w:t>must</w:t>
      </w:r>
      <w:r w:rsidRPr="0031675F">
        <w:rPr>
          <w:spacing w:val="3"/>
          <w:sz w:val="18"/>
        </w:rPr>
        <w:t xml:space="preserve"> </w:t>
      </w:r>
      <w:r w:rsidRPr="0031675F">
        <w:rPr>
          <w:spacing w:val="-1"/>
          <w:sz w:val="18"/>
        </w:rPr>
        <w:t>be</w:t>
      </w:r>
      <w:r w:rsidRPr="0031675F">
        <w:rPr>
          <w:spacing w:val="1"/>
          <w:sz w:val="18"/>
        </w:rPr>
        <w:t xml:space="preserve"> </w:t>
      </w:r>
      <w:r w:rsidRPr="0031675F">
        <w:rPr>
          <w:spacing w:val="-1"/>
          <w:sz w:val="18"/>
        </w:rPr>
        <w:t>cleaned.</w:t>
      </w:r>
      <w:r w:rsidRPr="0031675F">
        <w:rPr>
          <w:sz w:val="18"/>
        </w:rPr>
        <w:t xml:space="preserve"> </w:t>
      </w:r>
      <w:r w:rsidRPr="0031675F">
        <w:rPr>
          <w:spacing w:val="7"/>
          <w:sz w:val="18"/>
        </w:rPr>
        <w:t xml:space="preserve"> </w:t>
      </w:r>
      <w:r w:rsidRPr="0031675F">
        <w:rPr>
          <w:spacing w:val="-1"/>
          <w:sz w:val="18"/>
        </w:rPr>
        <w:t>Firstly</w:t>
      </w:r>
      <w:r w:rsidRPr="0031675F">
        <w:rPr>
          <w:spacing w:val="2"/>
          <w:sz w:val="18"/>
        </w:rPr>
        <w:t xml:space="preserve"> </w:t>
      </w:r>
      <w:r w:rsidRPr="0031675F">
        <w:rPr>
          <w:spacing w:val="-1"/>
          <w:sz w:val="18"/>
        </w:rPr>
        <w:t>acid</w:t>
      </w:r>
      <w:r w:rsidRPr="0031675F">
        <w:rPr>
          <w:spacing w:val="5"/>
          <w:sz w:val="18"/>
        </w:rPr>
        <w:t xml:space="preserve"> </w:t>
      </w:r>
      <w:r w:rsidRPr="0031675F">
        <w:rPr>
          <w:spacing w:val="-1"/>
          <w:sz w:val="18"/>
        </w:rPr>
        <w:t>soaked</w:t>
      </w:r>
      <w:r w:rsidRPr="0031675F">
        <w:rPr>
          <w:spacing w:val="1"/>
          <w:sz w:val="18"/>
        </w:rPr>
        <w:t xml:space="preserve"> </w:t>
      </w:r>
      <w:r w:rsidRPr="0031675F">
        <w:rPr>
          <w:spacing w:val="-1"/>
          <w:sz w:val="18"/>
        </w:rPr>
        <w:t>and</w:t>
      </w:r>
      <w:r w:rsidRPr="0031675F">
        <w:rPr>
          <w:spacing w:val="2"/>
          <w:sz w:val="18"/>
        </w:rPr>
        <w:t xml:space="preserve"> </w:t>
      </w:r>
      <w:r w:rsidRPr="0031675F">
        <w:rPr>
          <w:sz w:val="18"/>
        </w:rPr>
        <w:t>rinsed</w:t>
      </w:r>
      <w:r w:rsidRPr="0031675F">
        <w:rPr>
          <w:spacing w:val="1"/>
          <w:sz w:val="18"/>
        </w:rPr>
        <w:t xml:space="preserve"> </w:t>
      </w:r>
      <w:r w:rsidRPr="0031675F">
        <w:rPr>
          <w:spacing w:val="-1"/>
          <w:sz w:val="18"/>
        </w:rPr>
        <w:t>in</w:t>
      </w:r>
      <w:r w:rsidRPr="0031675F">
        <w:rPr>
          <w:spacing w:val="2"/>
          <w:sz w:val="18"/>
        </w:rPr>
        <w:t xml:space="preserve"> </w:t>
      </w:r>
      <w:r w:rsidRPr="0031675F">
        <w:rPr>
          <w:sz w:val="18"/>
        </w:rPr>
        <w:t>DiW,</w:t>
      </w:r>
    </w:p>
    <w:p w14:paraId="75D46DC5" w14:textId="1825043D" w:rsidR="0031675F" w:rsidRPr="0031675F" w:rsidRDefault="0031675F" w:rsidP="0031675F">
      <w:pPr>
        <w:spacing w:before="1"/>
        <w:ind w:left="118" w:right="119"/>
        <w:rPr>
          <w:rFonts w:cs="Calibri"/>
          <w:sz w:val="18"/>
          <w:szCs w:val="18"/>
        </w:rPr>
      </w:pPr>
      <w:r w:rsidRPr="0031675F">
        <w:rPr>
          <w:rFonts w:cs="Calibri"/>
          <w:spacing w:val="-1"/>
          <w:sz w:val="18"/>
          <w:szCs w:val="18"/>
        </w:rPr>
        <w:t>then</w:t>
      </w:r>
      <w:r w:rsidRPr="0031675F">
        <w:rPr>
          <w:rFonts w:cs="Calibri"/>
          <w:spacing w:val="20"/>
          <w:sz w:val="18"/>
          <w:szCs w:val="18"/>
        </w:rPr>
        <w:t xml:space="preserve"> </w:t>
      </w:r>
      <w:r w:rsidRPr="0031675F">
        <w:rPr>
          <w:rFonts w:cs="Calibri"/>
          <w:spacing w:val="-1"/>
          <w:sz w:val="18"/>
          <w:szCs w:val="18"/>
        </w:rPr>
        <w:t>“burned</w:t>
      </w:r>
      <w:r w:rsidRPr="0031675F">
        <w:rPr>
          <w:rFonts w:cs="Calibri"/>
          <w:spacing w:val="18"/>
          <w:sz w:val="18"/>
          <w:szCs w:val="18"/>
        </w:rPr>
        <w:t xml:space="preserve"> </w:t>
      </w:r>
      <w:r w:rsidRPr="0031675F">
        <w:rPr>
          <w:rFonts w:cs="Calibri"/>
          <w:sz w:val="18"/>
          <w:szCs w:val="18"/>
        </w:rPr>
        <w:t>out”</w:t>
      </w:r>
      <w:r w:rsidRPr="0031675F">
        <w:rPr>
          <w:rFonts w:cs="Calibri"/>
          <w:spacing w:val="18"/>
          <w:sz w:val="18"/>
          <w:szCs w:val="18"/>
        </w:rPr>
        <w:t xml:space="preserve"> </w:t>
      </w:r>
      <w:r w:rsidRPr="0031675F">
        <w:rPr>
          <w:rFonts w:cs="Calibri"/>
          <w:spacing w:val="-1"/>
          <w:sz w:val="18"/>
          <w:szCs w:val="18"/>
        </w:rPr>
        <w:t>by</w:t>
      </w:r>
      <w:r w:rsidRPr="0031675F">
        <w:rPr>
          <w:rFonts w:cs="Calibri"/>
          <w:spacing w:val="19"/>
          <w:sz w:val="18"/>
          <w:szCs w:val="18"/>
        </w:rPr>
        <w:t xml:space="preserve"> </w:t>
      </w:r>
      <w:r w:rsidRPr="0031675F">
        <w:rPr>
          <w:rFonts w:cs="Calibri"/>
          <w:spacing w:val="-1"/>
          <w:sz w:val="18"/>
          <w:szCs w:val="18"/>
        </w:rPr>
        <w:t>filling</w:t>
      </w:r>
      <w:r w:rsidRPr="0031675F">
        <w:rPr>
          <w:rFonts w:cs="Calibri"/>
          <w:spacing w:val="18"/>
          <w:sz w:val="18"/>
          <w:szCs w:val="18"/>
        </w:rPr>
        <w:t xml:space="preserve"> </w:t>
      </w:r>
      <w:r w:rsidRPr="0031675F">
        <w:rPr>
          <w:rFonts w:cs="Calibri"/>
          <w:sz w:val="18"/>
          <w:szCs w:val="18"/>
        </w:rPr>
        <w:t>with</w:t>
      </w:r>
      <w:r w:rsidRPr="0031675F">
        <w:rPr>
          <w:rFonts w:cs="Calibri"/>
          <w:spacing w:val="18"/>
          <w:sz w:val="18"/>
          <w:szCs w:val="18"/>
        </w:rPr>
        <w:t xml:space="preserve"> </w:t>
      </w:r>
      <w:r w:rsidRPr="0031675F">
        <w:rPr>
          <w:rFonts w:cs="Calibri"/>
          <w:sz w:val="18"/>
          <w:szCs w:val="18"/>
        </w:rPr>
        <w:t>20</w:t>
      </w:r>
      <w:r w:rsidR="00BB13FD">
        <w:rPr>
          <w:rFonts w:cs="Calibri"/>
          <w:sz w:val="18"/>
          <w:szCs w:val="18"/>
        </w:rPr>
        <w:t xml:space="preserve"> mL</w:t>
      </w:r>
      <w:r w:rsidRPr="0031675F">
        <w:rPr>
          <w:rFonts w:cs="Calibri"/>
          <w:spacing w:val="18"/>
          <w:sz w:val="18"/>
          <w:szCs w:val="18"/>
        </w:rPr>
        <w:t xml:space="preserve"> </w:t>
      </w:r>
      <w:r w:rsidRPr="0031675F">
        <w:rPr>
          <w:rFonts w:cs="Calibri"/>
          <w:sz w:val="18"/>
          <w:szCs w:val="18"/>
        </w:rPr>
        <w:t>of</w:t>
      </w:r>
      <w:r w:rsidRPr="0031675F">
        <w:rPr>
          <w:rFonts w:cs="Calibri"/>
          <w:spacing w:val="19"/>
          <w:sz w:val="18"/>
          <w:szCs w:val="18"/>
        </w:rPr>
        <w:t xml:space="preserve"> </w:t>
      </w:r>
      <w:r w:rsidRPr="0031675F">
        <w:rPr>
          <w:rFonts w:cs="Calibri"/>
          <w:spacing w:val="-1"/>
          <w:sz w:val="18"/>
          <w:szCs w:val="18"/>
        </w:rPr>
        <w:t>DiW</w:t>
      </w:r>
      <w:r w:rsidRPr="0031675F">
        <w:rPr>
          <w:rFonts w:cs="Calibri"/>
          <w:spacing w:val="19"/>
          <w:sz w:val="18"/>
          <w:szCs w:val="18"/>
        </w:rPr>
        <w:t xml:space="preserve"> </w:t>
      </w:r>
      <w:r w:rsidRPr="0031675F">
        <w:rPr>
          <w:rFonts w:cs="Calibri"/>
          <w:sz w:val="18"/>
          <w:szCs w:val="18"/>
        </w:rPr>
        <w:t>and</w:t>
      </w:r>
      <w:r w:rsidRPr="0031675F">
        <w:rPr>
          <w:rFonts w:cs="Calibri"/>
          <w:spacing w:val="18"/>
          <w:sz w:val="18"/>
          <w:szCs w:val="18"/>
        </w:rPr>
        <w:t xml:space="preserve"> </w:t>
      </w:r>
      <w:r w:rsidRPr="0031675F">
        <w:rPr>
          <w:rFonts w:cs="Calibri"/>
          <w:sz w:val="18"/>
          <w:szCs w:val="18"/>
        </w:rPr>
        <w:t>5</w:t>
      </w:r>
      <w:r w:rsidR="00BB13FD">
        <w:rPr>
          <w:rFonts w:cs="Calibri"/>
          <w:sz w:val="18"/>
          <w:szCs w:val="18"/>
        </w:rPr>
        <w:t xml:space="preserve"> mL</w:t>
      </w:r>
      <w:r w:rsidRPr="0031675F">
        <w:rPr>
          <w:rFonts w:cs="Calibri"/>
          <w:spacing w:val="18"/>
          <w:sz w:val="18"/>
          <w:szCs w:val="18"/>
        </w:rPr>
        <w:t xml:space="preserve"> </w:t>
      </w:r>
      <w:r w:rsidRPr="0031675F">
        <w:rPr>
          <w:rFonts w:cs="Calibri"/>
          <w:sz w:val="18"/>
          <w:szCs w:val="18"/>
        </w:rPr>
        <w:t>of</w:t>
      </w:r>
      <w:r w:rsidRPr="0031675F">
        <w:rPr>
          <w:rFonts w:cs="Calibri"/>
          <w:spacing w:val="19"/>
          <w:sz w:val="18"/>
          <w:szCs w:val="18"/>
        </w:rPr>
        <w:t xml:space="preserve"> </w:t>
      </w:r>
      <w:r w:rsidRPr="0031675F">
        <w:rPr>
          <w:rFonts w:cs="Calibri"/>
          <w:sz w:val="18"/>
          <w:szCs w:val="18"/>
        </w:rPr>
        <w:t xml:space="preserve">WR. </w:t>
      </w:r>
      <w:r w:rsidRPr="0031675F">
        <w:rPr>
          <w:rFonts w:cs="Calibri"/>
          <w:spacing w:val="38"/>
          <w:sz w:val="18"/>
          <w:szCs w:val="18"/>
        </w:rPr>
        <w:t xml:space="preserve"> </w:t>
      </w:r>
      <w:r w:rsidRPr="0031675F">
        <w:rPr>
          <w:rFonts w:cs="Calibri"/>
          <w:spacing w:val="-1"/>
          <w:sz w:val="18"/>
          <w:szCs w:val="18"/>
        </w:rPr>
        <w:t>This</w:t>
      </w:r>
      <w:r w:rsidRPr="0031675F">
        <w:rPr>
          <w:rFonts w:cs="Calibri"/>
          <w:spacing w:val="18"/>
          <w:sz w:val="18"/>
          <w:szCs w:val="18"/>
        </w:rPr>
        <w:t xml:space="preserve"> </w:t>
      </w:r>
      <w:r w:rsidRPr="0031675F">
        <w:rPr>
          <w:rFonts w:cs="Calibri"/>
          <w:spacing w:val="-1"/>
          <w:sz w:val="18"/>
          <w:szCs w:val="18"/>
        </w:rPr>
        <w:t>strips</w:t>
      </w:r>
      <w:r w:rsidRPr="0031675F">
        <w:rPr>
          <w:rFonts w:cs="Calibri"/>
          <w:spacing w:val="20"/>
          <w:sz w:val="18"/>
          <w:szCs w:val="18"/>
        </w:rPr>
        <w:t xml:space="preserve"> </w:t>
      </w:r>
      <w:r w:rsidRPr="0031675F">
        <w:rPr>
          <w:rFonts w:cs="Calibri"/>
          <w:sz w:val="18"/>
          <w:szCs w:val="18"/>
        </w:rPr>
        <w:t>off</w:t>
      </w:r>
      <w:r w:rsidRPr="0031675F">
        <w:rPr>
          <w:rFonts w:cs="Calibri"/>
          <w:spacing w:val="19"/>
          <w:sz w:val="18"/>
          <w:szCs w:val="18"/>
        </w:rPr>
        <w:t xml:space="preserve"> </w:t>
      </w:r>
      <w:r w:rsidRPr="0031675F">
        <w:rPr>
          <w:rFonts w:cs="Calibri"/>
          <w:spacing w:val="-1"/>
          <w:sz w:val="18"/>
          <w:szCs w:val="18"/>
        </w:rPr>
        <w:t>ammonia</w:t>
      </w:r>
      <w:r w:rsidRPr="0031675F">
        <w:rPr>
          <w:rFonts w:cs="Calibri"/>
          <w:spacing w:val="19"/>
          <w:sz w:val="18"/>
          <w:szCs w:val="18"/>
        </w:rPr>
        <w:t xml:space="preserve"> </w:t>
      </w:r>
      <w:r w:rsidRPr="0031675F">
        <w:rPr>
          <w:rFonts w:cs="Calibri"/>
          <w:spacing w:val="-1"/>
          <w:sz w:val="18"/>
          <w:szCs w:val="18"/>
        </w:rPr>
        <w:t>adsorbed</w:t>
      </w:r>
      <w:r w:rsidRPr="0031675F">
        <w:rPr>
          <w:rFonts w:cs="Calibri"/>
          <w:spacing w:val="18"/>
          <w:sz w:val="18"/>
          <w:szCs w:val="18"/>
        </w:rPr>
        <w:t xml:space="preserve"> </w:t>
      </w:r>
      <w:r w:rsidRPr="0031675F">
        <w:rPr>
          <w:rFonts w:cs="Calibri"/>
          <w:sz w:val="18"/>
          <w:szCs w:val="18"/>
        </w:rPr>
        <w:t>to</w:t>
      </w:r>
      <w:r w:rsidRPr="0031675F">
        <w:rPr>
          <w:rFonts w:cs="Calibri"/>
          <w:spacing w:val="19"/>
          <w:sz w:val="18"/>
          <w:szCs w:val="18"/>
        </w:rPr>
        <w:t xml:space="preserve"> </w:t>
      </w:r>
      <w:r w:rsidRPr="0031675F">
        <w:rPr>
          <w:rFonts w:cs="Calibri"/>
          <w:sz w:val="18"/>
          <w:szCs w:val="18"/>
        </w:rPr>
        <w:t>the</w:t>
      </w:r>
      <w:r w:rsidRPr="0031675F">
        <w:rPr>
          <w:rFonts w:cs="Calibri"/>
          <w:spacing w:val="18"/>
          <w:sz w:val="18"/>
          <w:szCs w:val="18"/>
        </w:rPr>
        <w:t xml:space="preserve"> </w:t>
      </w:r>
      <w:r w:rsidRPr="0031675F">
        <w:rPr>
          <w:rFonts w:cs="Calibri"/>
          <w:spacing w:val="-1"/>
          <w:sz w:val="18"/>
          <w:szCs w:val="18"/>
        </w:rPr>
        <w:t>reaction</w:t>
      </w:r>
      <w:r w:rsidRPr="0031675F">
        <w:rPr>
          <w:rFonts w:cs="Calibri"/>
          <w:spacing w:val="20"/>
          <w:sz w:val="18"/>
          <w:szCs w:val="18"/>
        </w:rPr>
        <w:t xml:space="preserve"> </w:t>
      </w:r>
      <w:r w:rsidRPr="0031675F">
        <w:rPr>
          <w:rFonts w:cs="Calibri"/>
          <w:spacing w:val="-1"/>
          <w:sz w:val="18"/>
          <w:szCs w:val="18"/>
        </w:rPr>
        <w:t>tubes,</w:t>
      </w:r>
      <w:r w:rsidRPr="0031675F">
        <w:rPr>
          <w:rFonts w:cs="Calibri"/>
          <w:spacing w:val="85"/>
          <w:sz w:val="18"/>
          <w:szCs w:val="18"/>
        </w:rPr>
        <w:t xml:space="preserve"> </w:t>
      </w:r>
      <w:r w:rsidRPr="0031675F">
        <w:rPr>
          <w:rFonts w:cs="Calibri"/>
          <w:spacing w:val="-1"/>
          <w:sz w:val="18"/>
          <w:szCs w:val="18"/>
        </w:rPr>
        <w:t>minimizing</w:t>
      </w:r>
      <w:r w:rsidRPr="0031675F">
        <w:rPr>
          <w:rFonts w:cs="Calibri"/>
          <w:spacing w:val="-2"/>
          <w:sz w:val="18"/>
          <w:szCs w:val="18"/>
        </w:rPr>
        <w:t xml:space="preserve"> </w:t>
      </w:r>
      <w:r w:rsidRPr="0031675F">
        <w:rPr>
          <w:rFonts w:cs="Calibri"/>
          <w:spacing w:val="-1"/>
          <w:sz w:val="18"/>
          <w:szCs w:val="18"/>
        </w:rPr>
        <w:t>contamination</w:t>
      </w:r>
      <w:r w:rsidRPr="0031675F">
        <w:rPr>
          <w:rFonts w:cs="Calibri"/>
          <w:spacing w:val="-2"/>
          <w:sz w:val="18"/>
          <w:szCs w:val="18"/>
        </w:rPr>
        <w:t xml:space="preserve"> </w:t>
      </w:r>
      <w:r w:rsidRPr="0031675F">
        <w:rPr>
          <w:rFonts w:cs="Calibri"/>
          <w:sz w:val="18"/>
          <w:szCs w:val="18"/>
        </w:rPr>
        <w:t>of</w:t>
      </w:r>
      <w:r w:rsidRPr="0031675F">
        <w:rPr>
          <w:rFonts w:cs="Calibri"/>
          <w:spacing w:val="-2"/>
          <w:sz w:val="18"/>
          <w:szCs w:val="18"/>
        </w:rPr>
        <w:t xml:space="preserve"> </w:t>
      </w:r>
      <w:r w:rsidRPr="0031675F">
        <w:rPr>
          <w:rFonts w:cs="Calibri"/>
          <w:spacing w:val="-1"/>
          <w:sz w:val="18"/>
          <w:szCs w:val="18"/>
        </w:rPr>
        <w:t>the</w:t>
      </w:r>
      <w:r w:rsidRPr="0031675F">
        <w:rPr>
          <w:rFonts w:cs="Calibri"/>
          <w:sz w:val="18"/>
          <w:szCs w:val="18"/>
        </w:rPr>
        <w:t xml:space="preserve"> </w:t>
      </w:r>
      <w:r w:rsidRPr="0031675F">
        <w:rPr>
          <w:rFonts w:cs="Calibri"/>
          <w:spacing w:val="-1"/>
          <w:sz w:val="18"/>
          <w:szCs w:val="18"/>
        </w:rPr>
        <w:t>sample.</w:t>
      </w:r>
    </w:p>
    <w:p w14:paraId="743E61A7" w14:textId="77777777" w:rsidR="0031675F" w:rsidRDefault="0031675F" w:rsidP="0031675F">
      <w:pPr>
        <w:spacing w:before="11"/>
        <w:rPr>
          <w:rFonts w:cs="Calibri"/>
          <w:sz w:val="26"/>
          <w:szCs w:val="26"/>
        </w:rPr>
      </w:pPr>
    </w:p>
    <w:p w14:paraId="565965BC" w14:textId="7FED2348" w:rsidR="00FE34ED" w:rsidRDefault="00FE34ED" w:rsidP="0031675F">
      <w:pPr>
        <w:spacing w:before="11"/>
        <w:rPr>
          <w:rFonts w:cs="Calibri"/>
          <w:sz w:val="26"/>
          <w:szCs w:val="26"/>
        </w:rPr>
      </w:pPr>
    </w:p>
    <w:p w14:paraId="7505F0A0" w14:textId="77777777" w:rsidR="00FE34ED" w:rsidRPr="0031675F" w:rsidRDefault="00FE34ED" w:rsidP="0031675F">
      <w:pPr>
        <w:spacing w:before="11"/>
        <w:rPr>
          <w:rFonts w:cs="Calibri"/>
          <w:sz w:val="26"/>
          <w:szCs w:val="26"/>
        </w:rPr>
      </w:pPr>
    </w:p>
    <w:p w14:paraId="18353FFA" w14:textId="77777777" w:rsidR="0031675F" w:rsidRPr="0031675F" w:rsidRDefault="0031675F" w:rsidP="0031675F">
      <w:pPr>
        <w:widowControl w:val="0"/>
        <w:numPr>
          <w:ilvl w:val="1"/>
          <w:numId w:val="121"/>
        </w:numPr>
        <w:tabs>
          <w:tab w:val="left" w:pos="686"/>
        </w:tabs>
        <w:spacing w:before="0" w:after="0" w:line="240" w:lineRule="auto"/>
        <w:ind w:left="685"/>
        <w:rPr>
          <w:rFonts w:eastAsia="Arial" w:cs="Arial"/>
          <w:sz w:val="24"/>
          <w:szCs w:val="24"/>
        </w:rPr>
      </w:pPr>
      <w:r w:rsidRPr="0031675F">
        <w:rPr>
          <w:b/>
          <w:sz w:val="24"/>
        </w:rPr>
        <w:t>Calibration</w:t>
      </w:r>
    </w:p>
    <w:p w14:paraId="4DE41A7C" w14:textId="77777777" w:rsidR="0031675F" w:rsidRPr="0031675F" w:rsidRDefault="0031675F" w:rsidP="0031675F">
      <w:pPr>
        <w:spacing w:before="9"/>
        <w:rPr>
          <w:rFonts w:eastAsia="Arial" w:cs="Arial"/>
          <w:b/>
          <w:bCs/>
          <w:sz w:val="20"/>
          <w:szCs w:val="20"/>
        </w:rPr>
      </w:pPr>
    </w:p>
    <w:p w14:paraId="42D8D785" w14:textId="77777777" w:rsidR="0031675F" w:rsidRPr="0031675F" w:rsidRDefault="0031675F" w:rsidP="0031675F">
      <w:pPr>
        <w:widowControl w:val="0"/>
        <w:numPr>
          <w:ilvl w:val="2"/>
          <w:numId w:val="121"/>
        </w:numPr>
        <w:tabs>
          <w:tab w:val="left" w:pos="686"/>
        </w:tabs>
        <w:spacing w:before="0" w:after="0" w:line="240" w:lineRule="auto"/>
        <w:rPr>
          <w:rFonts w:eastAsia="Arial" w:cs="Arial"/>
          <w:sz w:val="20"/>
          <w:szCs w:val="20"/>
        </w:rPr>
      </w:pPr>
      <w:r w:rsidRPr="0031675F">
        <w:rPr>
          <w:rFonts w:eastAsia="Arial" w:cs="Arial"/>
          <w:b/>
          <w:bCs/>
          <w:spacing w:val="-1"/>
          <w:sz w:val="20"/>
          <w:szCs w:val="20"/>
        </w:rPr>
        <w:t>Standard</w:t>
      </w:r>
      <w:r w:rsidRPr="0031675F">
        <w:rPr>
          <w:rFonts w:eastAsia="Arial" w:cs="Arial"/>
          <w:b/>
          <w:bCs/>
          <w:spacing w:val="-6"/>
          <w:sz w:val="20"/>
          <w:szCs w:val="20"/>
        </w:rPr>
        <w:t xml:space="preserve"> </w:t>
      </w:r>
      <w:r w:rsidRPr="0031675F">
        <w:rPr>
          <w:rFonts w:eastAsia="Arial" w:cs="Arial"/>
          <w:b/>
          <w:bCs/>
          <w:sz w:val="20"/>
          <w:szCs w:val="20"/>
        </w:rPr>
        <w:t>Curve</w:t>
      </w:r>
      <w:r w:rsidRPr="0031675F">
        <w:rPr>
          <w:rFonts w:eastAsia="Arial" w:cs="Arial"/>
          <w:b/>
          <w:bCs/>
          <w:spacing w:val="-7"/>
          <w:sz w:val="20"/>
          <w:szCs w:val="20"/>
        </w:rPr>
        <w:t xml:space="preserve"> </w:t>
      </w:r>
      <w:r w:rsidRPr="0031675F">
        <w:rPr>
          <w:rFonts w:eastAsia="Arial" w:cs="Arial"/>
          <w:b/>
          <w:bCs/>
          <w:sz w:val="20"/>
          <w:szCs w:val="20"/>
        </w:rPr>
        <w:t>–</w:t>
      </w:r>
      <w:r w:rsidRPr="0031675F">
        <w:rPr>
          <w:rFonts w:eastAsia="Arial" w:cs="Arial"/>
          <w:b/>
          <w:bCs/>
          <w:spacing w:val="-8"/>
          <w:sz w:val="20"/>
          <w:szCs w:val="20"/>
        </w:rPr>
        <w:t xml:space="preserve"> </w:t>
      </w:r>
      <w:r w:rsidRPr="0031675F">
        <w:rPr>
          <w:rFonts w:eastAsia="Arial" w:cs="Arial"/>
          <w:b/>
          <w:bCs/>
          <w:sz w:val="20"/>
          <w:szCs w:val="20"/>
        </w:rPr>
        <w:t>Fresh</w:t>
      </w:r>
      <w:r w:rsidRPr="0031675F">
        <w:rPr>
          <w:rFonts w:eastAsia="Arial" w:cs="Arial"/>
          <w:b/>
          <w:bCs/>
          <w:spacing w:val="-5"/>
          <w:sz w:val="20"/>
          <w:szCs w:val="20"/>
        </w:rPr>
        <w:t xml:space="preserve"> </w:t>
      </w:r>
      <w:r w:rsidRPr="0031675F">
        <w:rPr>
          <w:rFonts w:eastAsia="Arial" w:cs="Arial"/>
          <w:b/>
          <w:bCs/>
          <w:spacing w:val="-1"/>
          <w:sz w:val="20"/>
          <w:szCs w:val="20"/>
        </w:rPr>
        <w:t>Deionised</w:t>
      </w:r>
      <w:r w:rsidRPr="0031675F">
        <w:rPr>
          <w:rFonts w:eastAsia="Arial" w:cs="Arial"/>
          <w:b/>
          <w:bCs/>
          <w:spacing w:val="-7"/>
          <w:sz w:val="20"/>
          <w:szCs w:val="20"/>
        </w:rPr>
        <w:t xml:space="preserve"> </w:t>
      </w:r>
      <w:r w:rsidRPr="0031675F">
        <w:rPr>
          <w:rFonts w:eastAsia="Arial" w:cs="Arial"/>
          <w:b/>
          <w:bCs/>
          <w:sz w:val="20"/>
          <w:szCs w:val="20"/>
        </w:rPr>
        <w:t>Water</w:t>
      </w:r>
    </w:p>
    <w:p w14:paraId="13D0E64E" w14:textId="77777777" w:rsidR="0031675F" w:rsidRPr="0031675F" w:rsidRDefault="0031675F" w:rsidP="0031675F">
      <w:pPr>
        <w:spacing w:before="1"/>
        <w:rPr>
          <w:rFonts w:eastAsia="Arial" w:cs="Arial"/>
          <w:b/>
          <w:bCs/>
          <w:sz w:val="21"/>
          <w:szCs w:val="21"/>
        </w:rPr>
      </w:pPr>
    </w:p>
    <w:p w14:paraId="502001C5" w14:textId="77777777" w:rsidR="0031675F" w:rsidRPr="0031675F" w:rsidRDefault="0031675F" w:rsidP="0031675F">
      <w:pPr>
        <w:widowControl w:val="0"/>
        <w:numPr>
          <w:ilvl w:val="0"/>
          <w:numId w:val="118"/>
        </w:numPr>
        <w:tabs>
          <w:tab w:val="left" w:pos="403"/>
        </w:tabs>
        <w:spacing w:before="0" w:after="0" w:line="240" w:lineRule="auto"/>
        <w:ind w:right="118"/>
        <w:jc w:val="both"/>
      </w:pPr>
      <w:r w:rsidRPr="0031675F">
        <w:rPr>
          <w:spacing w:val="-1"/>
        </w:rPr>
        <w:t>Using</w:t>
      </w:r>
      <w:r w:rsidRPr="0031675F">
        <w:rPr>
          <w:spacing w:val="4"/>
        </w:rPr>
        <w:t xml:space="preserve"> </w:t>
      </w:r>
      <w:r w:rsidRPr="0031675F">
        <w:rPr>
          <w:spacing w:val="-1"/>
        </w:rPr>
        <w:t>1mM</w:t>
      </w:r>
      <w:r w:rsidRPr="0031675F">
        <w:rPr>
          <w:spacing w:val="5"/>
        </w:rPr>
        <w:t xml:space="preserve"> </w:t>
      </w:r>
      <w:r w:rsidRPr="0031675F">
        <w:rPr>
          <w:spacing w:val="-1"/>
        </w:rPr>
        <w:t>Primary</w:t>
      </w:r>
      <w:r w:rsidRPr="0031675F">
        <w:rPr>
          <w:spacing w:val="5"/>
        </w:rPr>
        <w:t xml:space="preserve"> </w:t>
      </w:r>
      <w:r w:rsidRPr="0031675F">
        <w:rPr>
          <w:spacing w:val="-1"/>
        </w:rPr>
        <w:t>Standard</w:t>
      </w:r>
      <w:r w:rsidRPr="0031675F">
        <w:rPr>
          <w:spacing w:val="4"/>
        </w:rPr>
        <w:t xml:space="preserve"> </w:t>
      </w:r>
      <w:r w:rsidRPr="0031675F">
        <w:rPr>
          <w:spacing w:val="-1"/>
        </w:rPr>
        <w:t>Stock</w:t>
      </w:r>
      <w:r w:rsidRPr="0031675F">
        <w:rPr>
          <w:spacing w:val="5"/>
        </w:rPr>
        <w:t xml:space="preserve"> </w:t>
      </w:r>
      <w:r w:rsidRPr="0031675F">
        <w:rPr>
          <w:spacing w:val="-1"/>
        </w:rPr>
        <w:t>Solution</w:t>
      </w:r>
      <w:r w:rsidRPr="0031675F">
        <w:rPr>
          <w:spacing w:val="4"/>
        </w:rPr>
        <w:t xml:space="preserve"> </w:t>
      </w:r>
      <w:r w:rsidRPr="0031675F">
        <w:rPr>
          <w:spacing w:val="-1"/>
        </w:rPr>
        <w:t>make</w:t>
      </w:r>
      <w:r w:rsidRPr="0031675F">
        <w:rPr>
          <w:spacing w:val="6"/>
        </w:rPr>
        <w:t xml:space="preserve"> </w:t>
      </w:r>
      <w:r w:rsidRPr="0031675F">
        <w:rPr>
          <w:spacing w:val="-1"/>
        </w:rPr>
        <w:t>up</w:t>
      </w:r>
      <w:r w:rsidRPr="0031675F">
        <w:rPr>
          <w:spacing w:val="4"/>
        </w:rPr>
        <w:t xml:space="preserve"> </w:t>
      </w:r>
      <w:r w:rsidRPr="0031675F">
        <w:t>the</w:t>
      </w:r>
      <w:r w:rsidRPr="0031675F">
        <w:rPr>
          <w:spacing w:val="5"/>
        </w:rPr>
        <w:t xml:space="preserve"> </w:t>
      </w:r>
      <w:r w:rsidRPr="0031675F">
        <w:rPr>
          <w:spacing w:val="-1"/>
        </w:rPr>
        <w:t>following</w:t>
      </w:r>
      <w:r w:rsidRPr="0031675F">
        <w:rPr>
          <w:spacing w:val="3"/>
        </w:rPr>
        <w:t xml:space="preserve"> </w:t>
      </w:r>
      <w:r w:rsidRPr="0031675F">
        <w:rPr>
          <w:spacing w:val="-1"/>
        </w:rPr>
        <w:t>Secondary</w:t>
      </w:r>
      <w:r w:rsidRPr="0031675F">
        <w:rPr>
          <w:spacing w:val="6"/>
        </w:rPr>
        <w:t xml:space="preserve"> </w:t>
      </w:r>
      <w:r w:rsidRPr="0031675F">
        <w:rPr>
          <w:spacing w:val="-1"/>
        </w:rPr>
        <w:t>Standard</w:t>
      </w:r>
      <w:r w:rsidRPr="0031675F">
        <w:rPr>
          <w:spacing w:val="4"/>
        </w:rPr>
        <w:t xml:space="preserve"> </w:t>
      </w:r>
      <w:r w:rsidRPr="0031675F">
        <w:rPr>
          <w:spacing w:val="-1"/>
        </w:rPr>
        <w:t>Solutions</w:t>
      </w:r>
      <w:r w:rsidRPr="0031675F">
        <w:rPr>
          <w:spacing w:val="63"/>
        </w:rPr>
        <w:t xml:space="preserve"> </w:t>
      </w:r>
      <w:r w:rsidRPr="0031675F">
        <w:t xml:space="preserve">0, </w:t>
      </w:r>
      <w:r w:rsidRPr="0031675F">
        <w:rPr>
          <w:spacing w:val="-1"/>
        </w:rPr>
        <w:t>0.5</w:t>
      </w:r>
      <w:r w:rsidRPr="0031675F">
        <w:t xml:space="preserve"> and</w:t>
      </w:r>
      <w:r w:rsidRPr="0031675F">
        <w:rPr>
          <w:spacing w:val="-4"/>
        </w:rPr>
        <w:t xml:space="preserve"> </w:t>
      </w:r>
      <w:r w:rsidRPr="0031675F">
        <w:rPr>
          <w:spacing w:val="-1"/>
        </w:rPr>
        <w:t>1.0</w:t>
      </w:r>
      <w:r w:rsidRPr="0031675F">
        <w:rPr>
          <w:spacing w:val="-2"/>
        </w:rPr>
        <w:t xml:space="preserve"> </w:t>
      </w:r>
      <w:r w:rsidRPr="0031675F">
        <w:rPr>
          <w:spacing w:val="-1"/>
        </w:rPr>
        <w:t>µM</w:t>
      </w:r>
      <w:r w:rsidRPr="0031675F">
        <w:t xml:space="preserve"> as</w:t>
      </w:r>
      <w:r w:rsidRPr="0031675F">
        <w:rPr>
          <w:spacing w:val="2"/>
        </w:rPr>
        <w:t xml:space="preserve"> </w:t>
      </w:r>
      <w:r w:rsidRPr="0031675F">
        <w:rPr>
          <w:spacing w:val="-1"/>
        </w:rPr>
        <w:t>follows:</w:t>
      </w:r>
    </w:p>
    <w:p w14:paraId="76F0CEAF" w14:textId="77777777" w:rsidR="0031675F" w:rsidRPr="0031675F" w:rsidRDefault="0031675F" w:rsidP="0031675F">
      <w:pPr>
        <w:widowControl w:val="0"/>
        <w:numPr>
          <w:ilvl w:val="1"/>
          <w:numId w:val="118"/>
        </w:numPr>
        <w:tabs>
          <w:tab w:val="left" w:pos="686"/>
        </w:tabs>
        <w:spacing w:before="60" w:after="0" w:line="240" w:lineRule="auto"/>
        <w:ind w:hanging="283"/>
        <w:rPr>
          <w:rFonts w:cs="Calibri"/>
        </w:rPr>
      </w:pPr>
      <w:r w:rsidRPr="0031675F">
        <w:rPr>
          <w:rFonts w:cs="Calibri"/>
          <w:i/>
        </w:rPr>
        <w:t xml:space="preserve">0 </w:t>
      </w:r>
      <w:r w:rsidRPr="0031675F">
        <w:rPr>
          <w:rFonts w:cs="Calibri"/>
          <w:i/>
          <w:spacing w:val="-1"/>
        </w:rPr>
        <w:t>µM</w:t>
      </w:r>
      <w:r w:rsidRPr="0031675F">
        <w:rPr>
          <w:rFonts w:cs="Calibri"/>
          <w:i/>
          <w:spacing w:val="-2"/>
        </w:rPr>
        <w:t xml:space="preserve"> </w:t>
      </w:r>
      <w:r w:rsidRPr="0031675F">
        <w:rPr>
          <w:rFonts w:cs="Calibri"/>
          <w:i/>
          <w:spacing w:val="-1"/>
        </w:rPr>
        <w:t>Standard</w:t>
      </w:r>
      <w:r w:rsidRPr="0031675F">
        <w:rPr>
          <w:rFonts w:cs="Calibri"/>
          <w:i/>
          <w:spacing w:val="-3"/>
        </w:rPr>
        <w:t xml:space="preserve"> </w:t>
      </w:r>
      <w:r w:rsidRPr="0031675F">
        <w:rPr>
          <w:rFonts w:cs="Calibri"/>
          <w:i/>
          <w:spacing w:val="-1"/>
        </w:rPr>
        <w:t>(Blank)</w:t>
      </w:r>
      <w:r w:rsidRPr="0031675F">
        <w:rPr>
          <w:rFonts w:cs="Calibri"/>
          <w:i/>
        </w:rPr>
        <w:t xml:space="preserve">  </w:t>
      </w:r>
      <w:r w:rsidRPr="0031675F">
        <w:rPr>
          <w:rFonts w:cs="Calibri"/>
          <w:i/>
          <w:spacing w:val="-1"/>
        </w:rPr>
        <w:t>DiW</w:t>
      </w:r>
      <w:r w:rsidRPr="0031675F">
        <w:rPr>
          <w:rFonts w:cs="Calibri"/>
          <w:i/>
          <w:spacing w:val="1"/>
        </w:rPr>
        <w:t xml:space="preserve"> </w:t>
      </w:r>
      <w:r w:rsidRPr="0031675F">
        <w:rPr>
          <w:rFonts w:cs="Calibri"/>
          <w:i/>
          <w:spacing w:val="-1"/>
        </w:rPr>
        <w:t>only</w:t>
      </w:r>
      <w:r w:rsidRPr="0031675F">
        <w:rPr>
          <w:rFonts w:cs="Calibri"/>
          <w:spacing w:val="-1"/>
        </w:rPr>
        <w:t>–</w:t>
      </w:r>
      <w:r w:rsidRPr="0031675F">
        <w:rPr>
          <w:rFonts w:cs="Calibri"/>
          <w:spacing w:val="1"/>
        </w:rPr>
        <w:t xml:space="preserve"> </w:t>
      </w:r>
      <w:r w:rsidRPr="0031675F">
        <w:rPr>
          <w:rFonts w:cs="Calibri"/>
          <w:spacing w:val="-1"/>
        </w:rPr>
        <w:t>Fresh</w:t>
      </w:r>
      <w:r w:rsidRPr="0031675F">
        <w:rPr>
          <w:rFonts w:cs="Calibri"/>
        </w:rPr>
        <w:t xml:space="preserve"> </w:t>
      </w:r>
      <w:r w:rsidRPr="0031675F">
        <w:rPr>
          <w:rFonts w:cs="Calibri"/>
          <w:spacing w:val="-1"/>
        </w:rPr>
        <w:t>DiW</w:t>
      </w:r>
      <w:r w:rsidRPr="0031675F">
        <w:rPr>
          <w:rFonts w:cs="Calibri"/>
        </w:rPr>
        <w:t xml:space="preserve"> </w:t>
      </w:r>
      <w:r w:rsidRPr="0031675F">
        <w:rPr>
          <w:rFonts w:cs="Calibri"/>
          <w:spacing w:val="-1"/>
        </w:rPr>
        <w:t>from</w:t>
      </w:r>
      <w:r w:rsidRPr="0031675F">
        <w:rPr>
          <w:rFonts w:cs="Calibri"/>
          <w:spacing w:val="-2"/>
        </w:rPr>
        <w:t xml:space="preserve"> the</w:t>
      </w:r>
      <w:r w:rsidRPr="0031675F">
        <w:rPr>
          <w:rFonts w:cs="Calibri"/>
        </w:rPr>
        <w:t xml:space="preserve"> </w:t>
      </w:r>
      <w:r w:rsidRPr="0031675F">
        <w:rPr>
          <w:rFonts w:cs="Calibri"/>
          <w:spacing w:val="-1"/>
        </w:rPr>
        <w:t>MilliQ</w:t>
      </w:r>
      <w:r w:rsidRPr="0031675F">
        <w:rPr>
          <w:rFonts w:cs="Calibri"/>
          <w:spacing w:val="-2"/>
        </w:rPr>
        <w:t xml:space="preserve"> system</w:t>
      </w:r>
      <w:r w:rsidRPr="0031675F">
        <w:rPr>
          <w:rFonts w:cs="Calibri"/>
          <w:spacing w:val="1"/>
        </w:rPr>
        <w:t xml:space="preserve"> </w:t>
      </w:r>
      <w:r w:rsidRPr="0031675F">
        <w:rPr>
          <w:rFonts w:cs="Calibri"/>
        </w:rPr>
        <w:t>is</w:t>
      </w:r>
      <w:r w:rsidRPr="0031675F">
        <w:rPr>
          <w:rFonts w:cs="Calibri"/>
          <w:spacing w:val="-3"/>
        </w:rPr>
        <w:t xml:space="preserve"> </w:t>
      </w:r>
      <w:r w:rsidRPr="0031675F">
        <w:rPr>
          <w:rFonts w:cs="Calibri"/>
          <w:spacing w:val="-1"/>
        </w:rPr>
        <w:t>best.</w:t>
      </w:r>
    </w:p>
    <w:p w14:paraId="0F3613E7" w14:textId="1D978451" w:rsidR="0031675F" w:rsidRPr="0031675F" w:rsidRDefault="0031675F" w:rsidP="0031675F">
      <w:pPr>
        <w:widowControl w:val="0"/>
        <w:numPr>
          <w:ilvl w:val="1"/>
          <w:numId w:val="118"/>
        </w:numPr>
        <w:tabs>
          <w:tab w:val="left" w:pos="686"/>
        </w:tabs>
        <w:spacing w:before="69" w:after="0" w:line="266" w:lineRule="exact"/>
        <w:ind w:right="120" w:hanging="283"/>
        <w:rPr>
          <w:rFonts w:cs="Calibri"/>
        </w:rPr>
      </w:pPr>
      <w:r w:rsidRPr="0031675F">
        <w:rPr>
          <w:i/>
          <w:spacing w:val="-1"/>
        </w:rPr>
        <w:t>0.5</w:t>
      </w:r>
      <w:r w:rsidRPr="0031675F">
        <w:rPr>
          <w:i/>
          <w:spacing w:val="5"/>
        </w:rPr>
        <w:t xml:space="preserve"> </w:t>
      </w:r>
      <w:r w:rsidRPr="0031675F">
        <w:rPr>
          <w:i/>
        </w:rPr>
        <w:t>µM</w:t>
      </w:r>
      <w:r w:rsidRPr="0031675F">
        <w:rPr>
          <w:i/>
          <w:spacing w:val="5"/>
        </w:rPr>
        <w:t xml:space="preserve"> </w:t>
      </w:r>
      <w:r w:rsidRPr="0031675F">
        <w:rPr>
          <w:i/>
          <w:spacing w:val="-1"/>
        </w:rPr>
        <w:t>Standard</w:t>
      </w:r>
      <w:r w:rsidRPr="0031675F">
        <w:rPr>
          <w:i/>
          <w:spacing w:val="8"/>
        </w:rPr>
        <w:t xml:space="preserve"> </w:t>
      </w:r>
      <w:r w:rsidRPr="0031675F">
        <w:rPr>
          <w:i/>
        </w:rPr>
        <w:t xml:space="preserve">- </w:t>
      </w:r>
      <w:r w:rsidRPr="0031675F">
        <w:rPr>
          <w:i/>
          <w:spacing w:val="15"/>
        </w:rPr>
        <w:t xml:space="preserve"> </w:t>
      </w:r>
      <w:r w:rsidRPr="0031675F">
        <w:rPr>
          <w:i/>
          <w:spacing w:val="-1"/>
        </w:rPr>
        <w:t>Add</w:t>
      </w:r>
      <w:r w:rsidRPr="0031675F">
        <w:rPr>
          <w:i/>
        </w:rPr>
        <w:t xml:space="preserve"> </w:t>
      </w:r>
      <w:r w:rsidRPr="0031675F">
        <w:rPr>
          <w:i/>
          <w:spacing w:val="-1"/>
        </w:rPr>
        <w:t>125</w:t>
      </w:r>
      <w:r w:rsidRPr="0031675F">
        <w:rPr>
          <w:i/>
          <w:spacing w:val="8"/>
        </w:rPr>
        <w:t xml:space="preserve"> </w:t>
      </w:r>
      <w:r w:rsidRPr="0031675F">
        <w:rPr>
          <w:i/>
        </w:rPr>
        <w:t>µ</w:t>
      </w:r>
      <w:r w:rsidR="00BB13FD">
        <w:rPr>
          <w:i/>
        </w:rPr>
        <w:t>L</w:t>
      </w:r>
      <w:r w:rsidRPr="0031675F">
        <w:rPr>
          <w:i/>
          <w:spacing w:val="7"/>
        </w:rPr>
        <w:t xml:space="preserve"> </w:t>
      </w:r>
      <w:r w:rsidRPr="0031675F">
        <w:rPr>
          <w:i/>
          <w:spacing w:val="-1"/>
        </w:rPr>
        <w:t>of</w:t>
      </w:r>
      <w:r w:rsidRPr="0031675F">
        <w:rPr>
          <w:i/>
          <w:spacing w:val="7"/>
        </w:rPr>
        <w:t xml:space="preserve"> </w:t>
      </w:r>
      <w:r w:rsidRPr="0031675F">
        <w:rPr>
          <w:i/>
          <w:spacing w:val="-2"/>
        </w:rPr>
        <w:t>primary</w:t>
      </w:r>
      <w:r w:rsidRPr="0031675F">
        <w:rPr>
          <w:i/>
          <w:spacing w:val="7"/>
        </w:rPr>
        <w:t xml:space="preserve"> </w:t>
      </w:r>
      <w:r w:rsidRPr="0031675F">
        <w:rPr>
          <w:i/>
          <w:spacing w:val="-1"/>
        </w:rPr>
        <w:t>standard</w:t>
      </w:r>
      <w:r w:rsidRPr="0031675F">
        <w:rPr>
          <w:i/>
          <w:spacing w:val="4"/>
        </w:rPr>
        <w:t xml:space="preserve"> </w:t>
      </w:r>
      <w:r w:rsidRPr="0031675F">
        <w:rPr>
          <w:i/>
        </w:rPr>
        <w:t>to</w:t>
      </w:r>
      <w:r w:rsidRPr="0031675F">
        <w:rPr>
          <w:i/>
          <w:spacing w:val="5"/>
        </w:rPr>
        <w:t xml:space="preserve"> </w:t>
      </w:r>
      <w:r w:rsidRPr="0031675F">
        <w:rPr>
          <w:i/>
          <w:spacing w:val="-1"/>
        </w:rPr>
        <w:t>250</w:t>
      </w:r>
      <w:r w:rsidR="00BB13FD">
        <w:rPr>
          <w:i/>
          <w:spacing w:val="-1"/>
        </w:rPr>
        <w:t xml:space="preserve"> </w:t>
      </w:r>
      <w:r w:rsidRPr="0031675F">
        <w:rPr>
          <w:i/>
          <w:spacing w:val="-1"/>
        </w:rPr>
        <w:t>m</w:t>
      </w:r>
      <w:r w:rsidR="00BB13FD">
        <w:rPr>
          <w:i/>
          <w:spacing w:val="-1"/>
        </w:rPr>
        <w:t>L</w:t>
      </w:r>
      <w:r w:rsidRPr="0031675F">
        <w:rPr>
          <w:i/>
          <w:spacing w:val="8"/>
        </w:rPr>
        <w:t xml:space="preserve"> </w:t>
      </w:r>
      <w:r w:rsidRPr="0031675F">
        <w:rPr>
          <w:i/>
          <w:spacing w:val="-1"/>
        </w:rPr>
        <w:t>volumetric</w:t>
      </w:r>
      <w:r w:rsidRPr="0031675F">
        <w:rPr>
          <w:i/>
          <w:spacing w:val="6"/>
        </w:rPr>
        <w:t xml:space="preserve"> </w:t>
      </w:r>
      <w:r w:rsidRPr="0031675F">
        <w:rPr>
          <w:i/>
          <w:spacing w:val="-1"/>
        </w:rPr>
        <w:t>flask</w:t>
      </w:r>
      <w:r w:rsidRPr="0031675F">
        <w:rPr>
          <w:i/>
        </w:rPr>
        <w:t xml:space="preserve"> </w:t>
      </w:r>
      <w:r w:rsidRPr="0031675F">
        <w:rPr>
          <w:i/>
          <w:spacing w:val="16"/>
        </w:rPr>
        <w:t xml:space="preserve"> </w:t>
      </w:r>
      <w:r w:rsidRPr="0031675F">
        <w:rPr>
          <w:i/>
          <w:spacing w:val="-2"/>
        </w:rPr>
        <w:t>and</w:t>
      </w:r>
      <w:r w:rsidRPr="0031675F">
        <w:rPr>
          <w:i/>
          <w:spacing w:val="7"/>
        </w:rPr>
        <w:t xml:space="preserve"> </w:t>
      </w:r>
      <w:r w:rsidRPr="0031675F">
        <w:rPr>
          <w:i/>
        </w:rPr>
        <w:t>make</w:t>
      </w:r>
      <w:r w:rsidRPr="0031675F">
        <w:rPr>
          <w:i/>
          <w:spacing w:val="8"/>
        </w:rPr>
        <w:t xml:space="preserve"> </w:t>
      </w:r>
      <w:r w:rsidRPr="0031675F">
        <w:rPr>
          <w:i/>
          <w:spacing w:val="-1"/>
        </w:rPr>
        <w:t>up</w:t>
      </w:r>
      <w:r w:rsidRPr="0031675F">
        <w:rPr>
          <w:i/>
          <w:spacing w:val="7"/>
        </w:rPr>
        <w:t xml:space="preserve"> </w:t>
      </w:r>
      <w:r w:rsidRPr="0031675F">
        <w:rPr>
          <w:i/>
        </w:rPr>
        <w:t>to</w:t>
      </w:r>
      <w:r w:rsidRPr="0031675F">
        <w:rPr>
          <w:i/>
          <w:spacing w:val="55"/>
        </w:rPr>
        <w:t xml:space="preserve"> </w:t>
      </w:r>
      <w:r w:rsidRPr="0031675F">
        <w:rPr>
          <w:i/>
        </w:rPr>
        <w:t>mark</w:t>
      </w:r>
      <w:r w:rsidRPr="0031675F">
        <w:rPr>
          <w:i/>
          <w:spacing w:val="-2"/>
        </w:rPr>
        <w:t xml:space="preserve"> </w:t>
      </w:r>
      <w:r w:rsidRPr="0031675F">
        <w:rPr>
          <w:i/>
        </w:rPr>
        <w:t>with</w:t>
      </w:r>
      <w:r w:rsidRPr="0031675F">
        <w:rPr>
          <w:i/>
          <w:spacing w:val="-3"/>
        </w:rPr>
        <w:t xml:space="preserve"> </w:t>
      </w:r>
      <w:r w:rsidRPr="0031675F">
        <w:rPr>
          <w:i/>
        </w:rPr>
        <w:t>DiW</w:t>
      </w:r>
    </w:p>
    <w:p w14:paraId="28A63001" w14:textId="3C5D384D" w:rsidR="0031675F" w:rsidRPr="0031675F" w:rsidRDefault="0031675F" w:rsidP="0031675F">
      <w:pPr>
        <w:widowControl w:val="0"/>
        <w:numPr>
          <w:ilvl w:val="1"/>
          <w:numId w:val="118"/>
        </w:numPr>
        <w:tabs>
          <w:tab w:val="left" w:pos="686"/>
        </w:tabs>
        <w:spacing w:before="66" w:after="0" w:line="240" w:lineRule="auto"/>
        <w:ind w:right="119" w:hanging="283"/>
        <w:rPr>
          <w:rFonts w:cs="Calibri"/>
        </w:rPr>
      </w:pPr>
      <w:r w:rsidRPr="0031675F">
        <w:rPr>
          <w:i/>
          <w:spacing w:val="-1"/>
        </w:rPr>
        <w:t>1.0</w:t>
      </w:r>
      <w:r w:rsidRPr="0031675F">
        <w:rPr>
          <w:i/>
          <w:spacing w:val="6"/>
        </w:rPr>
        <w:t xml:space="preserve"> </w:t>
      </w:r>
      <w:r w:rsidRPr="0031675F">
        <w:rPr>
          <w:i/>
        </w:rPr>
        <w:t>µM</w:t>
      </w:r>
      <w:r w:rsidRPr="0031675F">
        <w:rPr>
          <w:i/>
          <w:spacing w:val="5"/>
        </w:rPr>
        <w:t xml:space="preserve"> </w:t>
      </w:r>
      <w:r w:rsidRPr="0031675F">
        <w:rPr>
          <w:i/>
          <w:spacing w:val="-1"/>
        </w:rPr>
        <w:t>Standard</w:t>
      </w:r>
      <w:r w:rsidRPr="0031675F">
        <w:rPr>
          <w:i/>
          <w:spacing w:val="8"/>
        </w:rPr>
        <w:t xml:space="preserve"> </w:t>
      </w:r>
      <w:r w:rsidRPr="0031675F">
        <w:rPr>
          <w:i/>
        </w:rPr>
        <w:t xml:space="preserve">- </w:t>
      </w:r>
      <w:r w:rsidRPr="0031675F">
        <w:rPr>
          <w:i/>
          <w:spacing w:val="15"/>
        </w:rPr>
        <w:t xml:space="preserve"> </w:t>
      </w:r>
      <w:r w:rsidRPr="0031675F">
        <w:rPr>
          <w:i/>
          <w:spacing w:val="-1"/>
        </w:rPr>
        <w:t>Add</w:t>
      </w:r>
      <w:r w:rsidRPr="0031675F">
        <w:rPr>
          <w:i/>
        </w:rPr>
        <w:t xml:space="preserve"> </w:t>
      </w:r>
      <w:r w:rsidRPr="0031675F">
        <w:rPr>
          <w:i/>
          <w:spacing w:val="-1"/>
        </w:rPr>
        <w:t>250</w:t>
      </w:r>
      <w:r w:rsidRPr="0031675F">
        <w:rPr>
          <w:i/>
          <w:spacing w:val="8"/>
        </w:rPr>
        <w:t xml:space="preserve"> </w:t>
      </w:r>
      <w:r w:rsidRPr="0031675F">
        <w:rPr>
          <w:i/>
        </w:rPr>
        <w:t>µ</w:t>
      </w:r>
      <w:r w:rsidR="00BB13FD">
        <w:rPr>
          <w:i/>
        </w:rPr>
        <w:t>L</w:t>
      </w:r>
      <w:r w:rsidRPr="0031675F">
        <w:rPr>
          <w:i/>
          <w:spacing w:val="7"/>
        </w:rPr>
        <w:t xml:space="preserve"> </w:t>
      </w:r>
      <w:r w:rsidRPr="0031675F">
        <w:rPr>
          <w:i/>
          <w:spacing w:val="-1"/>
        </w:rPr>
        <w:t>of</w:t>
      </w:r>
      <w:r w:rsidRPr="0031675F">
        <w:rPr>
          <w:i/>
          <w:spacing w:val="7"/>
        </w:rPr>
        <w:t xml:space="preserve"> </w:t>
      </w:r>
      <w:r w:rsidRPr="0031675F">
        <w:rPr>
          <w:i/>
          <w:spacing w:val="-2"/>
        </w:rPr>
        <w:t>primary</w:t>
      </w:r>
      <w:r w:rsidRPr="0031675F">
        <w:rPr>
          <w:i/>
          <w:spacing w:val="7"/>
        </w:rPr>
        <w:t xml:space="preserve"> </w:t>
      </w:r>
      <w:r w:rsidRPr="0031675F">
        <w:rPr>
          <w:i/>
          <w:spacing w:val="-1"/>
        </w:rPr>
        <w:t>standard</w:t>
      </w:r>
      <w:r w:rsidRPr="0031675F">
        <w:rPr>
          <w:i/>
          <w:spacing w:val="4"/>
        </w:rPr>
        <w:t xml:space="preserve"> </w:t>
      </w:r>
      <w:r w:rsidRPr="0031675F">
        <w:rPr>
          <w:i/>
        </w:rPr>
        <w:t>to</w:t>
      </w:r>
      <w:r w:rsidRPr="0031675F">
        <w:rPr>
          <w:i/>
          <w:spacing w:val="5"/>
        </w:rPr>
        <w:t xml:space="preserve"> </w:t>
      </w:r>
      <w:r w:rsidRPr="0031675F">
        <w:rPr>
          <w:i/>
          <w:spacing w:val="-1"/>
        </w:rPr>
        <w:t>250</w:t>
      </w:r>
      <w:r w:rsidR="00BB13FD">
        <w:rPr>
          <w:i/>
          <w:spacing w:val="-1"/>
        </w:rPr>
        <w:t xml:space="preserve"> </w:t>
      </w:r>
      <w:r w:rsidRPr="0031675F">
        <w:rPr>
          <w:i/>
          <w:spacing w:val="-1"/>
        </w:rPr>
        <w:t>m</w:t>
      </w:r>
      <w:r w:rsidR="00BB13FD">
        <w:rPr>
          <w:i/>
          <w:spacing w:val="-1"/>
        </w:rPr>
        <w:t>L</w:t>
      </w:r>
      <w:r w:rsidRPr="0031675F">
        <w:rPr>
          <w:i/>
          <w:spacing w:val="8"/>
        </w:rPr>
        <w:t xml:space="preserve"> </w:t>
      </w:r>
      <w:r w:rsidRPr="0031675F">
        <w:rPr>
          <w:i/>
          <w:spacing w:val="-1"/>
        </w:rPr>
        <w:t>volumetric</w:t>
      </w:r>
      <w:r w:rsidRPr="0031675F">
        <w:rPr>
          <w:i/>
          <w:spacing w:val="6"/>
        </w:rPr>
        <w:t xml:space="preserve"> </w:t>
      </w:r>
      <w:r w:rsidRPr="0031675F">
        <w:rPr>
          <w:i/>
          <w:spacing w:val="-1"/>
        </w:rPr>
        <w:t>flask</w:t>
      </w:r>
      <w:r w:rsidRPr="0031675F">
        <w:rPr>
          <w:i/>
        </w:rPr>
        <w:t xml:space="preserve"> </w:t>
      </w:r>
      <w:r w:rsidRPr="0031675F">
        <w:rPr>
          <w:i/>
          <w:spacing w:val="16"/>
        </w:rPr>
        <w:t xml:space="preserve"> </w:t>
      </w:r>
      <w:r w:rsidRPr="0031675F">
        <w:rPr>
          <w:i/>
          <w:spacing w:val="-2"/>
        </w:rPr>
        <w:t>and</w:t>
      </w:r>
      <w:r w:rsidRPr="0031675F">
        <w:rPr>
          <w:i/>
          <w:spacing w:val="7"/>
        </w:rPr>
        <w:t xml:space="preserve"> </w:t>
      </w:r>
      <w:r w:rsidRPr="0031675F">
        <w:rPr>
          <w:i/>
        </w:rPr>
        <w:t>make</w:t>
      </w:r>
      <w:r w:rsidRPr="0031675F">
        <w:rPr>
          <w:i/>
          <w:spacing w:val="8"/>
        </w:rPr>
        <w:t xml:space="preserve"> </w:t>
      </w:r>
      <w:r w:rsidRPr="0031675F">
        <w:rPr>
          <w:i/>
          <w:spacing w:val="-1"/>
        </w:rPr>
        <w:t>up</w:t>
      </w:r>
      <w:r w:rsidRPr="0031675F">
        <w:rPr>
          <w:i/>
          <w:spacing w:val="7"/>
        </w:rPr>
        <w:t xml:space="preserve"> </w:t>
      </w:r>
      <w:r w:rsidRPr="0031675F">
        <w:rPr>
          <w:i/>
        </w:rPr>
        <w:t>to</w:t>
      </w:r>
      <w:r w:rsidRPr="0031675F">
        <w:rPr>
          <w:i/>
          <w:spacing w:val="63"/>
        </w:rPr>
        <w:t xml:space="preserve"> </w:t>
      </w:r>
      <w:r w:rsidRPr="0031675F">
        <w:rPr>
          <w:i/>
        </w:rPr>
        <w:t>mark</w:t>
      </w:r>
      <w:r w:rsidRPr="0031675F">
        <w:rPr>
          <w:i/>
          <w:spacing w:val="-2"/>
        </w:rPr>
        <w:t xml:space="preserve"> </w:t>
      </w:r>
      <w:r w:rsidRPr="0031675F">
        <w:rPr>
          <w:i/>
        </w:rPr>
        <w:t>with</w:t>
      </w:r>
      <w:r w:rsidRPr="0031675F">
        <w:rPr>
          <w:i/>
          <w:spacing w:val="-3"/>
        </w:rPr>
        <w:t xml:space="preserve"> </w:t>
      </w:r>
      <w:r w:rsidRPr="0031675F">
        <w:rPr>
          <w:i/>
        </w:rPr>
        <w:t>DiW</w:t>
      </w:r>
    </w:p>
    <w:p w14:paraId="0A8C5ADA" w14:textId="10FC96C2" w:rsidR="0031675F" w:rsidRPr="0031675F" w:rsidRDefault="0031675F" w:rsidP="0031675F">
      <w:pPr>
        <w:widowControl w:val="0"/>
        <w:numPr>
          <w:ilvl w:val="0"/>
          <w:numId w:val="118"/>
        </w:numPr>
        <w:tabs>
          <w:tab w:val="left" w:pos="403"/>
        </w:tabs>
        <w:spacing w:before="60" w:after="0" w:line="240" w:lineRule="auto"/>
        <w:ind w:right="116"/>
        <w:jc w:val="both"/>
      </w:pPr>
      <w:r w:rsidRPr="0031675F">
        <w:rPr>
          <w:spacing w:val="-1"/>
        </w:rPr>
        <w:t>Rinse</w:t>
      </w:r>
      <w:r w:rsidRPr="0031675F">
        <w:rPr>
          <w:spacing w:val="22"/>
        </w:rPr>
        <w:t xml:space="preserve"> </w:t>
      </w:r>
      <w:r w:rsidRPr="0031675F">
        <w:rPr>
          <w:spacing w:val="-1"/>
        </w:rPr>
        <w:t>tubes</w:t>
      </w:r>
      <w:r w:rsidRPr="0031675F">
        <w:rPr>
          <w:spacing w:val="20"/>
        </w:rPr>
        <w:t xml:space="preserve"> </w:t>
      </w:r>
      <w:r w:rsidRPr="0031675F">
        <w:t>three</w:t>
      </w:r>
      <w:r w:rsidRPr="0031675F">
        <w:rPr>
          <w:spacing w:val="20"/>
        </w:rPr>
        <w:t xml:space="preserve"> </w:t>
      </w:r>
      <w:r w:rsidRPr="0031675F">
        <w:rPr>
          <w:spacing w:val="-1"/>
        </w:rPr>
        <w:t>times</w:t>
      </w:r>
      <w:r w:rsidRPr="0031675F">
        <w:rPr>
          <w:spacing w:val="20"/>
        </w:rPr>
        <w:t xml:space="preserve"> </w:t>
      </w:r>
      <w:r w:rsidRPr="0031675F">
        <w:rPr>
          <w:spacing w:val="-1"/>
        </w:rPr>
        <w:t>with</w:t>
      </w:r>
      <w:r w:rsidRPr="0031675F">
        <w:rPr>
          <w:spacing w:val="21"/>
        </w:rPr>
        <w:t xml:space="preserve"> </w:t>
      </w:r>
      <w:r w:rsidRPr="0031675F">
        <w:t>the</w:t>
      </w:r>
      <w:r w:rsidRPr="0031675F">
        <w:rPr>
          <w:spacing w:val="22"/>
        </w:rPr>
        <w:t xml:space="preserve"> </w:t>
      </w:r>
      <w:r w:rsidRPr="0031675F">
        <w:rPr>
          <w:spacing w:val="-1"/>
        </w:rPr>
        <w:t>standard,</w:t>
      </w:r>
      <w:r w:rsidRPr="0031675F">
        <w:rPr>
          <w:spacing w:val="22"/>
        </w:rPr>
        <w:t xml:space="preserve"> </w:t>
      </w:r>
      <w:r w:rsidRPr="0031675F">
        <w:rPr>
          <w:spacing w:val="-1"/>
        </w:rPr>
        <w:t>and</w:t>
      </w:r>
      <w:r w:rsidRPr="0031675F">
        <w:rPr>
          <w:spacing w:val="21"/>
        </w:rPr>
        <w:t xml:space="preserve"> </w:t>
      </w:r>
      <w:r w:rsidRPr="0031675F">
        <w:t>then</w:t>
      </w:r>
      <w:r w:rsidRPr="0031675F">
        <w:rPr>
          <w:spacing w:val="19"/>
        </w:rPr>
        <w:t xml:space="preserve"> </w:t>
      </w:r>
      <w:r w:rsidRPr="0031675F">
        <w:rPr>
          <w:spacing w:val="-1"/>
        </w:rPr>
        <w:t>pour</w:t>
      </w:r>
      <w:r w:rsidRPr="0031675F">
        <w:rPr>
          <w:spacing w:val="21"/>
        </w:rPr>
        <w:t xml:space="preserve"> </w:t>
      </w:r>
      <w:r w:rsidRPr="0031675F">
        <w:rPr>
          <w:spacing w:val="-1"/>
        </w:rPr>
        <w:t>20</w:t>
      </w:r>
      <w:r w:rsidR="00BB13FD">
        <w:rPr>
          <w:spacing w:val="-1"/>
        </w:rPr>
        <w:t xml:space="preserve"> mL</w:t>
      </w:r>
      <w:r w:rsidRPr="0031675F">
        <w:rPr>
          <w:spacing w:val="19"/>
        </w:rPr>
        <w:t xml:space="preserve"> </w:t>
      </w:r>
      <w:r w:rsidRPr="0031675F">
        <w:t>of</w:t>
      </w:r>
      <w:r w:rsidRPr="0031675F">
        <w:rPr>
          <w:spacing w:val="19"/>
        </w:rPr>
        <w:t xml:space="preserve"> </w:t>
      </w:r>
      <w:r w:rsidRPr="0031675F">
        <w:t>each</w:t>
      </w:r>
      <w:r w:rsidRPr="0031675F">
        <w:rPr>
          <w:spacing w:val="18"/>
        </w:rPr>
        <w:t xml:space="preserve"> </w:t>
      </w:r>
      <w:r w:rsidRPr="0031675F">
        <w:t>of</w:t>
      </w:r>
      <w:r w:rsidRPr="0031675F">
        <w:rPr>
          <w:spacing w:val="19"/>
        </w:rPr>
        <w:t xml:space="preserve"> </w:t>
      </w:r>
      <w:r w:rsidRPr="0031675F">
        <w:t>the</w:t>
      </w:r>
      <w:r w:rsidRPr="0031675F">
        <w:rPr>
          <w:spacing w:val="19"/>
        </w:rPr>
        <w:t xml:space="preserve"> </w:t>
      </w:r>
      <w:r w:rsidRPr="0031675F">
        <w:rPr>
          <w:spacing w:val="-1"/>
        </w:rPr>
        <w:t>above</w:t>
      </w:r>
      <w:r w:rsidRPr="0031675F">
        <w:rPr>
          <w:spacing w:val="22"/>
        </w:rPr>
        <w:t xml:space="preserve"> </w:t>
      </w:r>
      <w:r w:rsidRPr="0031675F">
        <w:rPr>
          <w:spacing w:val="-1"/>
        </w:rPr>
        <w:t>standards</w:t>
      </w:r>
      <w:r w:rsidRPr="0031675F">
        <w:rPr>
          <w:spacing w:val="47"/>
        </w:rPr>
        <w:t xml:space="preserve"> </w:t>
      </w:r>
      <w:r w:rsidRPr="0031675F">
        <w:rPr>
          <w:spacing w:val="-1"/>
        </w:rPr>
        <w:t>into</w:t>
      </w:r>
      <w:r w:rsidRPr="0031675F">
        <w:rPr>
          <w:spacing w:val="14"/>
        </w:rPr>
        <w:t xml:space="preserve"> </w:t>
      </w:r>
      <w:r w:rsidRPr="0031675F">
        <w:t>a</w:t>
      </w:r>
      <w:r w:rsidRPr="0031675F">
        <w:rPr>
          <w:spacing w:val="12"/>
        </w:rPr>
        <w:t xml:space="preserve"> </w:t>
      </w:r>
      <w:r w:rsidRPr="0031675F">
        <w:rPr>
          <w:spacing w:val="-1"/>
        </w:rPr>
        <w:t>corresponding</w:t>
      </w:r>
      <w:r w:rsidRPr="0031675F">
        <w:rPr>
          <w:spacing w:val="11"/>
        </w:rPr>
        <w:t xml:space="preserve"> </w:t>
      </w:r>
      <w:r w:rsidRPr="0031675F">
        <w:rPr>
          <w:spacing w:val="-1"/>
        </w:rPr>
        <w:t>series</w:t>
      </w:r>
      <w:r w:rsidRPr="0031675F">
        <w:rPr>
          <w:spacing w:val="12"/>
        </w:rPr>
        <w:t xml:space="preserve"> </w:t>
      </w:r>
      <w:r w:rsidRPr="0031675F">
        <w:t>of</w:t>
      </w:r>
      <w:r w:rsidRPr="0031675F">
        <w:rPr>
          <w:spacing w:val="12"/>
        </w:rPr>
        <w:t xml:space="preserve"> </w:t>
      </w:r>
      <w:r w:rsidRPr="0031675F">
        <w:rPr>
          <w:spacing w:val="-1"/>
        </w:rPr>
        <w:t>graduated</w:t>
      </w:r>
      <w:r w:rsidRPr="0031675F">
        <w:rPr>
          <w:spacing w:val="11"/>
        </w:rPr>
        <w:t xml:space="preserve"> </w:t>
      </w:r>
      <w:r w:rsidRPr="0031675F">
        <w:rPr>
          <w:spacing w:val="-1"/>
        </w:rPr>
        <w:t>test</w:t>
      </w:r>
      <w:r w:rsidRPr="0031675F">
        <w:rPr>
          <w:spacing w:val="13"/>
        </w:rPr>
        <w:t xml:space="preserve"> </w:t>
      </w:r>
      <w:r w:rsidRPr="0031675F">
        <w:rPr>
          <w:spacing w:val="-1"/>
        </w:rPr>
        <w:t>tubes</w:t>
      </w:r>
      <w:r w:rsidRPr="0031675F">
        <w:rPr>
          <w:spacing w:val="12"/>
        </w:rPr>
        <w:t xml:space="preserve"> </w:t>
      </w:r>
      <w:r w:rsidRPr="0031675F">
        <w:rPr>
          <w:spacing w:val="-1"/>
        </w:rPr>
        <w:t>(tubes</w:t>
      </w:r>
      <w:r w:rsidRPr="0031675F">
        <w:rPr>
          <w:spacing w:val="12"/>
        </w:rPr>
        <w:t xml:space="preserve"> </w:t>
      </w:r>
      <w:r w:rsidRPr="0031675F">
        <w:t>1</w:t>
      </w:r>
      <w:r w:rsidRPr="0031675F">
        <w:rPr>
          <w:spacing w:val="13"/>
        </w:rPr>
        <w:t xml:space="preserve"> </w:t>
      </w:r>
      <w:r w:rsidRPr="0031675F">
        <w:rPr>
          <w:spacing w:val="-1"/>
        </w:rPr>
        <w:t>to</w:t>
      </w:r>
      <w:r w:rsidRPr="0031675F">
        <w:rPr>
          <w:spacing w:val="13"/>
        </w:rPr>
        <w:t xml:space="preserve"> </w:t>
      </w:r>
      <w:r w:rsidRPr="0031675F">
        <w:t>9)</w:t>
      </w:r>
      <w:r w:rsidRPr="0031675F">
        <w:rPr>
          <w:spacing w:val="12"/>
        </w:rPr>
        <w:t xml:space="preserve"> </w:t>
      </w:r>
      <w:r w:rsidRPr="0031675F">
        <w:t>as</w:t>
      </w:r>
      <w:r w:rsidRPr="0031675F">
        <w:rPr>
          <w:spacing w:val="12"/>
        </w:rPr>
        <w:t xml:space="preserve"> </w:t>
      </w:r>
      <w:r w:rsidRPr="0031675F">
        <w:rPr>
          <w:spacing w:val="-1"/>
        </w:rPr>
        <w:t>per</w:t>
      </w:r>
      <w:r w:rsidRPr="0031675F">
        <w:rPr>
          <w:spacing w:val="12"/>
        </w:rPr>
        <w:t xml:space="preserve"> </w:t>
      </w:r>
      <w:r w:rsidRPr="0031675F">
        <w:rPr>
          <w:spacing w:val="-1"/>
        </w:rPr>
        <w:t>schedule</w:t>
      </w:r>
      <w:r w:rsidRPr="0031675F">
        <w:rPr>
          <w:spacing w:val="12"/>
        </w:rPr>
        <w:t xml:space="preserve"> </w:t>
      </w:r>
      <w:r w:rsidRPr="0031675F">
        <w:t>in</w:t>
      </w:r>
      <w:r w:rsidRPr="0031675F">
        <w:rPr>
          <w:spacing w:val="11"/>
        </w:rPr>
        <w:t xml:space="preserve"> </w:t>
      </w:r>
      <w:r w:rsidRPr="0031675F">
        <w:rPr>
          <w:spacing w:val="-1"/>
        </w:rPr>
        <w:t>Attachment</w:t>
      </w:r>
      <w:r w:rsidRPr="0031675F">
        <w:rPr>
          <w:spacing w:val="61"/>
        </w:rPr>
        <w:t xml:space="preserve"> </w:t>
      </w:r>
      <w:r w:rsidRPr="0031675F">
        <w:rPr>
          <w:spacing w:val="-1"/>
        </w:rPr>
        <w:t>4.3.1.</w:t>
      </w:r>
    </w:p>
    <w:p w14:paraId="4586116C" w14:textId="6B95584A" w:rsidR="0031675F" w:rsidRPr="0031675F" w:rsidRDefault="0031675F" w:rsidP="0031675F">
      <w:pPr>
        <w:widowControl w:val="0"/>
        <w:numPr>
          <w:ilvl w:val="0"/>
          <w:numId w:val="118"/>
        </w:numPr>
        <w:tabs>
          <w:tab w:val="left" w:pos="403"/>
        </w:tabs>
        <w:spacing w:before="120" w:after="0" w:line="240" w:lineRule="auto"/>
      </w:pPr>
      <w:r w:rsidRPr="0031675F">
        <w:rPr>
          <w:spacing w:val="-1"/>
        </w:rPr>
        <w:t xml:space="preserve">Add </w:t>
      </w:r>
      <w:r w:rsidRPr="0031675F">
        <w:t>5</w:t>
      </w:r>
      <w:r w:rsidR="00BB13FD">
        <w:t xml:space="preserve"> mL</w:t>
      </w:r>
      <w:r w:rsidRPr="0031675F">
        <w:rPr>
          <w:spacing w:val="-2"/>
        </w:rPr>
        <w:t xml:space="preserve"> </w:t>
      </w:r>
      <w:r w:rsidRPr="0031675F">
        <w:t>of</w:t>
      </w:r>
      <w:r w:rsidRPr="0031675F">
        <w:rPr>
          <w:spacing w:val="-2"/>
        </w:rPr>
        <w:t xml:space="preserve"> </w:t>
      </w:r>
      <w:r w:rsidRPr="0031675F">
        <w:rPr>
          <w:spacing w:val="-1"/>
        </w:rPr>
        <w:t>Working Reagent</w:t>
      </w:r>
      <w:r w:rsidRPr="0031675F">
        <w:t xml:space="preserve"> with </w:t>
      </w:r>
      <w:r w:rsidRPr="0031675F">
        <w:rPr>
          <w:spacing w:val="-1"/>
        </w:rPr>
        <w:t>dispenser</w:t>
      </w:r>
      <w:r w:rsidRPr="0031675F">
        <w:t xml:space="preserve"> </w:t>
      </w:r>
      <w:r w:rsidRPr="0031675F">
        <w:rPr>
          <w:spacing w:val="-1"/>
        </w:rPr>
        <w:t xml:space="preserve">to </w:t>
      </w:r>
      <w:r w:rsidRPr="0031675F">
        <w:t>each</w:t>
      </w:r>
      <w:r w:rsidRPr="0031675F">
        <w:rPr>
          <w:spacing w:val="-1"/>
        </w:rPr>
        <w:t xml:space="preserve"> tube,</w:t>
      </w:r>
      <w:r w:rsidRPr="0031675F">
        <w:t xml:space="preserve"> </w:t>
      </w:r>
      <w:r w:rsidRPr="0031675F">
        <w:rPr>
          <w:spacing w:val="-1"/>
        </w:rPr>
        <w:t>stopper</w:t>
      </w:r>
      <w:r w:rsidRPr="0031675F">
        <w:t xml:space="preserve"> </w:t>
      </w:r>
      <w:r w:rsidRPr="0031675F">
        <w:rPr>
          <w:spacing w:val="-1"/>
        </w:rPr>
        <w:t>and</w:t>
      </w:r>
      <w:r w:rsidRPr="0031675F">
        <w:rPr>
          <w:spacing w:val="-3"/>
        </w:rPr>
        <w:t xml:space="preserve"> </w:t>
      </w:r>
      <w:r w:rsidRPr="0031675F">
        <w:rPr>
          <w:spacing w:val="-1"/>
        </w:rPr>
        <w:t>vortex</w:t>
      </w:r>
      <w:r w:rsidRPr="0031675F">
        <w:rPr>
          <w:spacing w:val="-2"/>
        </w:rPr>
        <w:t xml:space="preserve"> mix.</w:t>
      </w:r>
    </w:p>
    <w:p w14:paraId="435726DD" w14:textId="77777777" w:rsidR="0031675F" w:rsidRPr="0031675F" w:rsidRDefault="0031675F" w:rsidP="0031675F">
      <w:pPr>
        <w:widowControl w:val="0"/>
        <w:numPr>
          <w:ilvl w:val="0"/>
          <w:numId w:val="118"/>
        </w:numPr>
        <w:tabs>
          <w:tab w:val="left" w:pos="403"/>
        </w:tabs>
        <w:spacing w:before="58" w:after="0" w:line="240" w:lineRule="auto"/>
        <w:rPr>
          <w:spacing w:val="-1"/>
        </w:rPr>
      </w:pPr>
      <w:r w:rsidRPr="0031675F">
        <w:t>Let</w:t>
      </w:r>
      <w:r w:rsidRPr="0031675F">
        <w:rPr>
          <w:spacing w:val="-2"/>
        </w:rPr>
        <w:t xml:space="preserve"> </w:t>
      </w:r>
      <w:r w:rsidRPr="0031675F">
        <w:rPr>
          <w:spacing w:val="-1"/>
        </w:rPr>
        <w:t xml:space="preserve">stand </w:t>
      </w:r>
      <w:r w:rsidRPr="0031675F">
        <w:t xml:space="preserve">in </w:t>
      </w:r>
      <w:r w:rsidRPr="0031675F">
        <w:rPr>
          <w:spacing w:val="-1"/>
        </w:rPr>
        <w:t>dark</w:t>
      </w:r>
      <w:r w:rsidRPr="0031675F">
        <w:rPr>
          <w:spacing w:val="-3"/>
        </w:rPr>
        <w:t xml:space="preserve"> </w:t>
      </w:r>
      <w:r w:rsidRPr="0031675F">
        <w:t>for</w:t>
      </w:r>
      <w:r w:rsidRPr="0031675F">
        <w:rPr>
          <w:spacing w:val="-3"/>
        </w:rPr>
        <w:t xml:space="preserve"> </w:t>
      </w:r>
      <w:r w:rsidRPr="0031675F">
        <w:rPr>
          <w:spacing w:val="-1"/>
        </w:rPr>
        <w:t>2-3</w:t>
      </w:r>
      <w:r w:rsidRPr="0031675F">
        <w:t xml:space="preserve"> </w:t>
      </w:r>
      <w:r w:rsidRPr="0031675F">
        <w:rPr>
          <w:spacing w:val="-1"/>
        </w:rPr>
        <w:t>hours</w:t>
      </w:r>
      <w:r w:rsidRPr="0031675F">
        <w:t xml:space="preserve"> </w:t>
      </w:r>
      <w:r w:rsidRPr="0031675F">
        <w:rPr>
          <w:spacing w:val="-1"/>
        </w:rPr>
        <w:t>(2.5</w:t>
      </w:r>
      <w:r w:rsidRPr="0031675F">
        <w:rPr>
          <w:spacing w:val="-2"/>
        </w:rPr>
        <w:t xml:space="preserve"> </w:t>
      </w:r>
      <w:r w:rsidRPr="0031675F">
        <w:rPr>
          <w:spacing w:val="-1"/>
        </w:rPr>
        <w:t>hours</w:t>
      </w:r>
      <w:r w:rsidRPr="0031675F">
        <w:t xml:space="preserve"> </w:t>
      </w:r>
      <w:r w:rsidRPr="0031675F">
        <w:rPr>
          <w:spacing w:val="-1"/>
        </w:rPr>
        <w:t>preferred) then</w:t>
      </w:r>
      <w:r w:rsidRPr="0031675F">
        <w:t xml:space="preserve"> read</w:t>
      </w:r>
      <w:r w:rsidRPr="0031675F">
        <w:rPr>
          <w:spacing w:val="-3"/>
        </w:rPr>
        <w:t xml:space="preserve"> </w:t>
      </w:r>
      <w:r w:rsidRPr="0031675F">
        <w:t>on</w:t>
      </w:r>
      <w:r w:rsidRPr="0031675F">
        <w:rPr>
          <w:spacing w:val="-1"/>
        </w:rPr>
        <w:t xml:space="preserve"> fluorometer</w:t>
      </w:r>
      <w:r w:rsidRPr="0031675F">
        <w:t xml:space="preserve"> as</w:t>
      </w:r>
      <w:r w:rsidRPr="0031675F">
        <w:rPr>
          <w:spacing w:val="-5"/>
        </w:rPr>
        <w:t xml:space="preserve"> </w:t>
      </w:r>
      <w:r w:rsidRPr="0031675F">
        <w:rPr>
          <w:spacing w:val="-1"/>
        </w:rPr>
        <w:t>for</w:t>
      </w:r>
      <w:r w:rsidRPr="0031675F">
        <w:t xml:space="preserve"> </w:t>
      </w:r>
      <w:r w:rsidRPr="0031675F">
        <w:rPr>
          <w:spacing w:val="-1"/>
        </w:rPr>
        <w:t>samples.</w:t>
      </w:r>
    </w:p>
    <w:p w14:paraId="017AC2D5" w14:textId="77777777" w:rsidR="0031675F" w:rsidRPr="0031675F" w:rsidRDefault="0031675F" w:rsidP="0031675F">
      <w:pPr>
        <w:rPr>
          <w:rFonts w:cs="Calibri"/>
          <w:sz w:val="20"/>
          <w:szCs w:val="20"/>
        </w:rPr>
      </w:pPr>
    </w:p>
    <w:p w14:paraId="214588D0" w14:textId="77777777" w:rsidR="0031675F" w:rsidRPr="0031675F" w:rsidRDefault="0031675F" w:rsidP="0031675F">
      <w:pPr>
        <w:widowControl w:val="0"/>
        <w:numPr>
          <w:ilvl w:val="2"/>
          <w:numId w:val="121"/>
        </w:numPr>
        <w:tabs>
          <w:tab w:val="left" w:pos="686"/>
        </w:tabs>
        <w:spacing w:before="0" w:after="0" w:line="240" w:lineRule="auto"/>
        <w:jc w:val="both"/>
        <w:rPr>
          <w:rFonts w:eastAsia="Arial" w:cs="Arial"/>
          <w:sz w:val="20"/>
          <w:szCs w:val="20"/>
        </w:rPr>
      </w:pPr>
      <w:r w:rsidRPr="0031675F">
        <w:rPr>
          <w:rFonts w:eastAsia="Arial" w:cs="Arial"/>
          <w:b/>
          <w:bCs/>
          <w:spacing w:val="-1"/>
          <w:sz w:val="20"/>
          <w:szCs w:val="20"/>
        </w:rPr>
        <w:t>Control</w:t>
      </w:r>
      <w:r w:rsidRPr="0031675F">
        <w:rPr>
          <w:rFonts w:eastAsia="Arial" w:cs="Arial"/>
          <w:b/>
          <w:bCs/>
          <w:spacing w:val="-8"/>
          <w:sz w:val="20"/>
          <w:szCs w:val="20"/>
        </w:rPr>
        <w:t xml:space="preserve"> </w:t>
      </w:r>
      <w:r w:rsidRPr="0031675F">
        <w:rPr>
          <w:rFonts w:eastAsia="Arial" w:cs="Arial"/>
          <w:b/>
          <w:bCs/>
          <w:sz w:val="20"/>
          <w:szCs w:val="20"/>
        </w:rPr>
        <w:t>Curve</w:t>
      </w:r>
      <w:r w:rsidRPr="0031675F">
        <w:rPr>
          <w:rFonts w:eastAsia="Arial" w:cs="Arial"/>
          <w:b/>
          <w:bCs/>
          <w:spacing w:val="-8"/>
          <w:sz w:val="20"/>
          <w:szCs w:val="20"/>
        </w:rPr>
        <w:t xml:space="preserve"> </w:t>
      </w:r>
      <w:r w:rsidRPr="0031675F">
        <w:rPr>
          <w:rFonts w:eastAsia="Arial" w:cs="Arial"/>
          <w:b/>
          <w:bCs/>
          <w:sz w:val="20"/>
          <w:szCs w:val="20"/>
        </w:rPr>
        <w:t>(Matrix</w:t>
      </w:r>
      <w:r w:rsidRPr="0031675F">
        <w:rPr>
          <w:rFonts w:eastAsia="Arial" w:cs="Arial"/>
          <w:b/>
          <w:bCs/>
          <w:spacing w:val="-8"/>
          <w:sz w:val="20"/>
          <w:szCs w:val="20"/>
        </w:rPr>
        <w:t xml:space="preserve"> </w:t>
      </w:r>
      <w:r w:rsidRPr="0031675F">
        <w:rPr>
          <w:rFonts w:eastAsia="Arial" w:cs="Arial"/>
          <w:b/>
          <w:bCs/>
          <w:spacing w:val="-1"/>
          <w:sz w:val="20"/>
          <w:szCs w:val="20"/>
        </w:rPr>
        <w:t>Effect)</w:t>
      </w:r>
      <w:r w:rsidRPr="0031675F">
        <w:rPr>
          <w:rFonts w:eastAsia="Arial" w:cs="Arial"/>
          <w:b/>
          <w:bCs/>
          <w:spacing w:val="-4"/>
          <w:sz w:val="20"/>
          <w:szCs w:val="20"/>
        </w:rPr>
        <w:t xml:space="preserve"> </w:t>
      </w:r>
      <w:r w:rsidRPr="0031675F">
        <w:rPr>
          <w:rFonts w:eastAsia="Arial" w:cs="Arial"/>
          <w:b/>
          <w:bCs/>
          <w:sz w:val="20"/>
          <w:szCs w:val="20"/>
        </w:rPr>
        <w:t>–</w:t>
      </w:r>
      <w:r w:rsidRPr="0031675F">
        <w:rPr>
          <w:rFonts w:eastAsia="Arial" w:cs="Arial"/>
          <w:b/>
          <w:bCs/>
          <w:spacing w:val="-7"/>
          <w:sz w:val="20"/>
          <w:szCs w:val="20"/>
        </w:rPr>
        <w:t xml:space="preserve"> </w:t>
      </w:r>
      <w:r w:rsidRPr="0031675F">
        <w:rPr>
          <w:rFonts w:eastAsia="Arial" w:cs="Arial"/>
          <w:b/>
          <w:bCs/>
          <w:sz w:val="20"/>
          <w:szCs w:val="20"/>
        </w:rPr>
        <w:t>Fresh</w:t>
      </w:r>
      <w:r w:rsidRPr="0031675F">
        <w:rPr>
          <w:rFonts w:eastAsia="Arial" w:cs="Arial"/>
          <w:b/>
          <w:bCs/>
          <w:spacing w:val="-5"/>
          <w:sz w:val="20"/>
          <w:szCs w:val="20"/>
        </w:rPr>
        <w:t xml:space="preserve"> </w:t>
      </w:r>
      <w:r w:rsidRPr="0031675F">
        <w:rPr>
          <w:rFonts w:eastAsia="Arial" w:cs="Arial"/>
          <w:b/>
          <w:bCs/>
          <w:sz w:val="20"/>
          <w:szCs w:val="20"/>
        </w:rPr>
        <w:t>Seawater</w:t>
      </w:r>
    </w:p>
    <w:p w14:paraId="039E5CC5" w14:textId="77777777" w:rsidR="0031675F" w:rsidRPr="0031675F" w:rsidRDefault="0031675F" w:rsidP="0031675F">
      <w:pPr>
        <w:spacing w:before="2"/>
        <w:rPr>
          <w:rFonts w:eastAsia="Arial" w:cs="Arial"/>
          <w:b/>
          <w:bCs/>
          <w:sz w:val="21"/>
          <w:szCs w:val="21"/>
        </w:rPr>
      </w:pPr>
    </w:p>
    <w:p w14:paraId="6D59B6CC" w14:textId="77777777" w:rsidR="0031675F" w:rsidRPr="0031675F" w:rsidRDefault="0031675F" w:rsidP="0031675F">
      <w:pPr>
        <w:widowControl w:val="0"/>
        <w:numPr>
          <w:ilvl w:val="0"/>
          <w:numId w:val="117"/>
        </w:numPr>
        <w:tabs>
          <w:tab w:val="left" w:pos="403"/>
        </w:tabs>
        <w:spacing w:before="0" w:after="0" w:line="239" w:lineRule="auto"/>
        <w:ind w:right="115"/>
        <w:jc w:val="both"/>
      </w:pPr>
      <w:r w:rsidRPr="0031675F">
        <w:t>Make</w:t>
      </w:r>
      <w:r w:rsidRPr="0031675F">
        <w:rPr>
          <w:spacing w:val="1"/>
        </w:rPr>
        <w:t xml:space="preserve"> </w:t>
      </w:r>
      <w:r w:rsidRPr="0031675F">
        <w:rPr>
          <w:spacing w:val="-1"/>
        </w:rPr>
        <w:t xml:space="preserve">up </w:t>
      </w:r>
      <w:r w:rsidRPr="0031675F">
        <w:t xml:space="preserve">another </w:t>
      </w:r>
      <w:r w:rsidRPr="0031675F">
        <w:rPr>
          <w:spacing w:val="-1"/>
        </w:rPr>
        <w:t>set</w:t>
      </w:r>
      <w:r w:rsidRPr="0031675F">
        <w:t xml:space="preserve"> of </w:t>
      </w:r>
      <w:r w:rsidRPr="0031675F">
        <w:rPr>
          <w:spacing w:val="-1"/>
        </w:rPr>
        <w:t>standards</w:t>
      </w:r>
      <w:r w:rsidRPr="0031675F">
        <w:t xml:space="preserve"> in</w:t>
      </w:r>
      <w:r w:rsidRPr="0031675F">
        <w:rPr>
          <w:spacing w:val="1"/>
        </w:rPr>
        <w:t xml:space="preserve"> </w:t>
      </w:r>
      <w:r w:rsidRPr="0031675F">
        <w:t xml:space="preserve">the same </w:t>
      </w:r>
      <w:r w:rsidRPr="0031675F">
        <w:rPr>
          <w:spacing w:val="-1"/>
        </w:rPr>
        <w:t>concentrations</w:t>
      </w:r>
      <w:r w:rsidRPr="0031675F">
        <w:t xml:space="preserve"> as </w:t>
      </w:r>
      <w:r w:rsidRPr="0031675F">
        <w:rPr>
          <w:spacing w:val="-1"/>
        </w:rPr>
        <w:t>for</w:t>
      </w:r>
      <w:r w:rsidRPr="0031675F">
        <w:t xml:space="preserve"> </w:t>
      </w:r>
      <w:r w:rsidRPr="0031675F">
        <w:rPr>
          <w:spacing w:val="-2"/>
        </w:rPr>
        <w:t>the</w:t>
      </w:r>
      <w:r w:rsidRPr="0031675F">
        <w:t xml:space="preserve"> </w:t>
      </w:r>
      <w:r w:rsidRPr="0031675F">
        <w:rPr>
          <w:spacing w:val="-1"/>
        </w:rPr>
        <w:t>Standard Curve,</w:t>
      </w:r>
      <w:r w:rsidRPr="0031675F">
        <w:t xml:space="preserve"> </w:t>
      </w:r>
      <w:r w:rsidRPr="0031675F">
        <w:rPr>
          <w:spacing w:val="-1"/>
        </w:rPr>
        <w:t>but</w:t>
      </w:r>
      <w:r w:rsidRPr="0031675F">
        <w:t xml:space="preserve"> </w:t>
      </w:r>
      <w:r w:rsidRPr="0031675F">
        <w:rPr>
          <w:spacing w:val="-1"/>
        </w:rPr>
        <w:t>use</w:t>
      </w:r>
      <w:r w:rsidRPr="0031675F">
        <w:rPr>
          <w:spacing w:val="1"/>
        </w:rPr>
        <w:t xml:space="preserve"> </w:t>
      </w:r>
      <w:r w:rsidRPr="0031675F">
        <w:t>a</w:t>
      </w:r>
      <w:r w:rsidRPr="0031675F">
        <w:rPr>
          <w:spacing w:val="53"/>
        </w:rPr>
        <w:t xml:space="preserve"> </w:t>
      </w:r>
      <w:r w:rsidRPr="0031675F">
        <w:rPr>
          <w:spacing w:val="-1"/>
        </w:rPr>
        <w:t>representative</w:t>
      </w:r>
      <w:r w:rsidRPr="0031675F">
        <w:rPr>
          <w:spacing w:val="15"/>
        </w:rPr>
        <w:t xml:space="preserve"> </w:t>
      </w:r>
      <w:r w:rsidRPr="0031675F">
        <w:rPr>
          <w:spacing w:val="-1"/>
        </w:rPr>
        <w:t>seawater</w:t>
      </w:r>
      <w:r w:rsidRPr="0031675F">
        <w:rPr>
          <w:spacing w:val="14"/>
        </w:rPr>
        <w:t xml:space="preserve"> </w:t>
      </w:r>
      <w:r w:rsidRPr="0031675F">
        <w:rPr>
          <w:spacing w:val="-1"/>
        </w:rPr>
        <w:t>sample</w:t>
      </w:r>
      <w:r w:rsidRPr="0031675F">
        <w:rPr>
          <w:spacing w:val="14"/>
        </w:rPr>
        <w:t xml:space="preserve"> </w:t>
      </w:r>
      <w:r w:rsidRPr="0031675F">
        <w:rPr>
          <w:spacing w:val="-1"/>
        </w:rPr>
        <w:t>for</w:t>
      </w:r>
      <w:r w:rsidRPr="0031675F">
        <w:rPr>
          <w:spacing w:val="14"/>
        </w:rPr>
        <w:t xml:space="preserve"> </w:t>
      </w:r>
      <w:r w:rsidRPr="0031675F">
        <w:rPr>
          <w:spacing w:val="-1"/>
        </w:rPr>
        <w:t>the</w:t>
      </w:r>
      <w:r w:rsidRPr="0031675F">
        <w:rPr>
          <w:spacing w:val="15"/>
        </w:rPr>
        <w:t xml:space="preserve"> </w:t>
      </w:r>
      <w:r w:rsidRPr="0031675F">
        <w:rPr>
          <w:spacing w:val="-1"/>
        </w:rPr>
        <w:t>dilutant</w:t>
      </w:r>
      <w:r w:rsidRPr="0031675F">
        <w:rPr>
          <w:spacing w:val="14"/>
        </w:rPr>
        <w:t xml:space="preserve"> </w:t>
      </w:r>
      <w:r w:rsidRPr="0031675F">
        <w:rPr>
          <w:spacing w:val="-1"/>
        </w:rPr>
        <w:t>instead</w:t>
      </w:r>
      <w:r w:rsidRPr="0031675F">
        <w:rPr>
          <w:spacing w:val="13"/>
        </w:rPr>
        <w:t xml:space="preserve"> </w:t>
      </w:r>
      <w:r w:rsidRPr="0031675F">
        <w:t>of</w:t>
      </w:r>
      <w:r w:rsidRPr="0031675F">
        <w:rPr>
          <w:spacing w:val="14"/>
        </w:rPr>
        <w:t xml:space="preserve"> </w:t>
      </w:r>
      <w:r w:rsidRPr="0031675F">
        <w:t>DiW.</w:t>
      </w:r>
      <w:r w:rsidRPr="0031675F">
        <w:rPr>
          <w:spacing w:val="28"/>
        </w:rPr>
        <w:t xml:space="preserve"> </w:t>
      </w:r>
      <w:r w:rsidRPr="0031675F">
        <w:t>Use</w:t>
      </w:r>
      <w:r w:rsidRPr="0031675F">
        <w:rPr>
          <w:spacing w:val="15"/>
        </w:rPr>
        <w:t xml:space="preserve"> </w:t>
      </w:r>
      <w:r w:rsidRPr="0031675F">
        <w:t>the</w:t>
      </w:r>
      <w:r w:rsidRPr="0031675F">
        <w:rPr>
          <w:spacing w:val="14"/>
        </w:rPr>
        <w:t xml:space="preserve"> </w:t>
      </w:r>
      <w:r w:rsidRPr="0031675F">
        <w:rPr>
          <w:spacing w:val="-1"/>
        </w:rPr>
        <w:t>fresh</w:t>
      </w:r>
      <w:r w:rsidRPr="0031675F">
        <w:rPr>
          <w:spacing w:val="11"/>
        </w:rPr>
        <w:t xml:space="preserve"> </w:t>
      </w:r>
      <w:r w:rsidRPr="0031675F">
        <w:rPr>
          <w:spacing w:val="-1"/>
        </w:rPr>
        <w:t>seawater</w:t>
      </w:r>
      <w:r w:rsidRPr="0031675F">
        <w:rPr>
          <w:spacing w:val="14"/>
        </w:rPr>
        <w:t xml:space="preserve"> </w:t>
      </w:r>
      <w:r w:rsidRPr="0031675F">
        <w:rPr>
          <w:spacing w:val="-1"/>
        </w:rPr>
        <w:t>sample</w:t>
      </w:r>
      <w:r w:rsidRPr="0031675F">
        <w:rPr>
          <w:spacing w:val="59"/>
        </w:rPr>
        <w:t xml:space="preserve"> </w:t>
      </w:r>
      <w:r w:rsidRPr="0031675F">
        <w:t xml:space="preserve">as </w:t>
      </w:r>
      <w:r w:rsidRPr="0031675F">
        <w:rPr>
          <w:spacing w:val="-1"/>
        </w:rPr>
        <w:t>the</w:t>
      </w:r>
      <w:r w:rsidRPr="0031675F">
        <w:rPr>
          <w:spacing w:val="-2"/>
        </w:rPr>
        <w:t xml:space="preserve"> </w:t>
      </w:r>
      <w:r w:rsidRPr="0031675F">
        <w:t xml:space="preserve">0 </w:t>
      </w:r>
      <w:r w:rsidRPr="0031675F">
        <w:rPr>
          <w:spacing w:val="-2"/>
        </w:rPr>
        <w:t>uM</w:t>
      </w:r>
      <w:r w:rsidRPr="0031675F">
        <w:t xml:space="preserve"> </w:t>
      </w:r>
      <w:r w:rsidRPr="0031675F">
        <w:rPr>
          <w:spacing w:val="-1"/>
        </w:rPr>
        <w:t>Secondary</w:t>
      </w:r>
      <w:r w:rsidRPr="0031675F">
        <w:rPr>
          <w:spacing w:val="-2"/>
        </w:rPr>
        <w:t xml:space="preserve"> </w:t>
      </w:r>
      <w:r w:rsidRPr="0031675F">
        <w:rPr>
          <w:spacing w:val="-1"/>
        </w:rPr>
        <w:t>Standard.</w:t>
      </w:r>
    </w:p>
    <w:p w14:paraId="25C6AA05" w14:textId="734B8E0B" w:rsidR="0031675F" w:rsidRPr="0031675F" w:rsidRDefault="0031675F" w:rsidP="0031675F">
      <w:pPr>
        <w:widowControl w:val="0"/>
        <w:numPr>
          <w:ilvl w:val="0"/>
          <w:numId w:val="117"/>
        </w:numPr>
        <w:tabs>
          <w:tab w:val="left" w:pos="403"/>
        </w:tabs>
        <w:spacing w:before="60" w:after="0" w:line="240" w:lineRule="auto"/>
        <w:ind w:right="111"/>
        <w:jc w:val="both"/>
      </w:pPr>
      <w:r w:rsidRPr="0031675F">
        <w:rPr>
          <w:spacing w:val="-1"/>
        </w:rPr>
        <w:t>Rinse</w:t>
      </w:r>
      <w:r w:rsidRPr="0031675F">
        <w:rPr>
          <w:spacing w:val="22"/>
        </w:rPr>
        <w:t xml:space="preserve"> </w:t>
      </w:r>
      <w:r w:rsidRPr="0031675F">
        <w:rPr>
          <w:spacing w:val="-1"/>
        </w:rPr>
        <w:t>tubes</w:t>
      </w:r>
      <w:r w:rsidRPr="0031675F">
        <w:rPr>
          <w:spacing w:val="20"/>
        </w:rPr>
        <w:t xml:space="preserve"> </w:t>
      </w:r>
      <w:r w:rsidRPr="0031675F">
        <w:t>three</w:t>
      </w:r>
      <w:r w:rsidRPr="0031675F">
        <w:rPr>
          <w:spacing w:val="20"/>
        </w:rPr>
        <w:t xml:space="preserve"> </w:t>
      </w:r>
      <w:r w:rsidRPr="0031675F">
        <w:rPr>
          <w:spacing w:val="-1"/>
        </w:rPr>
        <w:t>times</w:t>
      </w:r>
      <w:r w:rsidRPr="0031675F">
        <w:rPr>
          <w:spacing w:val="20"/>
        </w:rPr>
        <w:t xml:space="preserve"> </w:t>
      </w:r>
      <w:r w:rsidRPr="0031675F">
        <w:rPr>
          <w:spacing w:val="-1"/>
        </w:rPr>
        <w:t>with</w:t>
      </w:r>
      <w:r w:rsidRPr="0031675F">
        <w:rPr>
          <w:spacing w:val="21"/>
        </w:rPr>
        <w:t xml:space="preserve"> </w:t>
      </w:r>
      <w:r w:rsidRPr="0031675F">
        <w:t>the</w:t>
      </w:r>
      <w:r w:rsidRPr="0031675F">
        <w:rPr>
          <w:spacing w:val="22"/>
        </w:rPr>
        <w:t xml:space="preserve"> </w:t>
      </w:r>
      <w:r w:rsidRPr="0031675F">
        <w:rPr>
          <w:spacing w:val="-1"/>
        </w:rPr>
        <w:t>standard,</w:t>
      </w:r>
      <w:r w:rsidRPr="0031675F">
        <w:rPr>
          <w:spacing w:val="22"/>
        </w:rPr>
        <w:t xml:space="preserve"> </w:t>
      </w:r>
      <w:r w:rsidRPr="0031675F">
        <w:rPr>
          <w:spacing w:val="-1"/>
        </w:rPr>
        <w:t>and</w:t>
      </w:r>
      <w:r w:rsidRPr="0031675F">
        <w:rPr>
          <w:spacing w:val="21"/>
        </w:rPr>
        <w:t xml:space="preserve"> </w:t>
      </w:r>
      <w:r w:rsidRPr="0031675F">
        <w:t>then</w:t>
      </w:r>
      <w:r w:rsidRPr="0031675F">
        <w:rPr>
          <w:spacing w:val="19"/>
        </w:rPr>
        <w:t xml:space="preserve"> </w:t>
      </w:r>
      <w:r w:rsidRPr="0031675F">
        <w:rPr>
          <w:spacing w:val="-1"/>
        </w:rPr>
        <w:t>pour</w:t>
      </w:r>
      <w:r w:rsidRPr="0031675F">
        <w:rPr>
          <w:spacing w:val="21"/>
        </w:rPr>
        <w:t xml:space="preserve"> </w:t>
      </w:r>
      <w:r w:rsidRPr="0031675F">
        <w:rPr>
          <w:spacing w:val="-1"/>
        </w:rPr>
        <w:t>20</w:t>
      </w:r>
      <w:r w:rsidR="00BB13FD">
        <w:rPr>
          <w:spacing w:val="-1"/>
        </w:rPr>
        <w:t xml:space="preserve"> mL</w:t>
      </w:r>
      <w:r w:rsidRPr="0031675F">
        <w:rPr>
          <w:spacing w:val="19"/>
        </w:rPr>
        <w:t xml:space="preserve"> </w:t>
      </w:r>
      <w:r w:rsidRPr="0031675F">
        <w:t>of</w:t>
      </w:r>
      <w:r w:rsidRPr="0031675F">
        <w:rPr>
          <w:spacing w:val="19"/>
        </w:rPr>
        <w:t xml:space="preserve"> </w:t>
      </w:r>
      <w:r w:rsidRPr="0031675F">
        <w:rPr>
          <w:spacing w:val="1"/>
        </w:rPr>
        <w:t>each</w:t>
      </w:r>
      <w:r w:rsidRPr="0031675F">
        <w:rPr>
          <w:spacing w:val="19"/>
        </w:rPr>
        <w:t xml:space="preserve"> </w:t>
      </w:r>
      <w:r w:rsidRPr="0031675F">
        <w:t>of</w:t>
      </w:r>
      <w:r w:rsidRPr="0031675F">
        <w:rPr>
          <w:spacing w:val="19"/>
        </w:rPr>
        <w:t xml:space="preserve"> </w:t>
      </w:r>
      <w:r w:rsidRPr="0031675F">
        <w:t>the</w:t>
      </w:r>
      <w:r w:rsidRPr="0031675F">
        <w:rPr>
          <w:spacing w:val="19"/>
        </w:rPr>
        <w:t xml:space="preserve"> </w:t>
      </w:r>
      <w:r w:rsidRPr="0031675F">
        <w:rPr>
          <w:spacing w:val="-1"/>
        </w:rPr>
        <w:t>above</w:t>
      </w:r>
      <w:r w:rsidRPr="0031675F">
        <w:rPr>
          <w:spacing w:val="22"/>
        </w:rPr>
        <w:t xml:space="preserve"> </w:t>
      </w:r>
      <w:r w:rsidRPr="0031675F">
        <w:rPr>
          <w:spacing w:val="-1"/>
        </w:rPr>
        <w:t>standards</w:t>
      </w:r>
      <w:r w:rsidRPr="0031675F">
        <w:rPr>
          <w:spacing w:val="49"/>
        </w:rPr>
        <w:t xml:space="preserve"> </w:t>
      </w:r>
      <w:r w:rsidRPr="0031675F">
        <w:rPr>
          <w:rFonts w:cs="Calibri"/>
          <w:spacing w:val="-1"/>
        </w:rPr>
        <w:t>into</w:t>
      </w:r>
      <w:r w:rsidRPr="0031675F">
        <w:rPr>
          <w:rFonts w:cs="Calibri"/>
          <w:spacing w:val="18"/>
        </w:rPr>
        <w:t xml:space="preserve"> </w:t>
      </w:r>
      <w:r w:rsidRPr="0031675F">
        <w:rPr>
          <w:rFonts w:cs="Calibri"/>
          <w:spacing w:val="-1"/>
        </w:rPr>
        <w:t>tubes</w:t>
      </w:r>
      <w:r w:rsidRPr="0031675F">
        <w:rPr>
          <w:rFonts w:cs="Calibri"/>
          <w:spacing w:val="17"/>
        </w:rPr>
        <w:t xml:space="preserve"> </w:t>
      </w:r>
      <w:r w:rsidRPr="0031675F">
        <w:rPr>
          <w:rFonts w:cs="Calibri"/>
          <w:spacing w:val="-1"/>
        </w:rPr>
        <w:t>(10</w:t>
      </w:r>
      <w:r w:rsidRPr="0031675F">
        <w:rPr>
          <w:rFonts w:cs="Calibri"/>
          <w:spacing w:val="17"/>
        </w:rPr>
        <w:t xml:space="preserve"> </w:t>
      </w:r>
      <w:r w:rsidRPr="0031675F">
        <w:rPr>
          <w:rFonts w:cs="Calibri"/>
          <w:spacing w:val="-1"/>
        </w:rPr>
        <w:t>to</w:t>
      </w:r>
      <w:r w:rsidRPr="0031675F">
        <w:rPr>
          <w:rFonts w:cs="Calibri"/>
          <w:spacing w:val="18"/>
        </w:rPr>
        <w:t xml:space="preserve"> </w:t>
      </w:r>
      <w:r w:rsidRPr="0031675F">
        <w:rPr>
          <w:rFonts w:cs="Calibri"/>
          <w:spacing w:val="-1"/>
        </w:rPr>
        <w:t>18)</w:t>
      </w:r>
      <w:r w:rsidRPr="0031675F">
        <w:rPr>
          <w:rFonts w:cs="Calibri"/>
          <w:spacing w:val="17"/>
        </w:rPr>
        <w:t xml:space="preserve"> </w:t>
      </w:r>
      <w:r w:rsidRPr="0031675F">
        <w:rPr>
          <w:rFonts w:cs="Calibri"/>
        </w:rPr>
        <w:t>as</w:t>
      </w:r>
      <w:r w:rsidRPr="0031675F">
        <w:rPr>
          <w:rFonts w:cs="Calibri"/>
          <w:spacing w:val="17"/>
        </w:rPr>
        <w:t xml:space="preserve"> </w:t>
      </w:r>
      <w:r w:rsidRPr="0031675F">
        <w:rPr>
          <w:rFonts w:cs="Calibri"/>
          <w:spacing w:val="-1"/>
        </w:rPr>
        <w:t>per</w:t>
      </w:r>
      <w:r w:rsidRPr="0031675F">
        <w:rPr>
          <w:rFonts w:cs="Calibri"/>
          <w:spacing w:val="16"/>
        </w:rPr>
        <w:t xml:space="preserve"> </w:t>
      </w:r>
      <w:r w:rsidRPr="0031675F">
        <w:rPr>
          <w:rFonts w:cs="Calibri"/>
          <w:spacing w:val="-1"/>
        </w:rPr>
        <w:t>Attachment</w:t>
      </w:r>
      <w:r w:rsidRPr="0031675F">
        <w:rPr>
          <w:rFonts w:cs="Calibri"/>
          <w:spacing w:val="17"/>
        </w:rPr>
        <w:t xml:space="preserve"> </w:t>
      </w:r>
      <w:r w:rsidRPr="0031675F">
        <w:rPr>
          <w:rFonts w:cs="Calibri"/>
          <w:spacing w:val="-1"/>
        </w:rPr>
        <w:t>4.3.1.</w:t>
      </w:r>
      <w:r w:rsidRPr="0031675F">
        <w:rPr>
          <w:rFonts w:cs="Calibri"/>
          <w:spacing w:val="33"/>
        </w:rPr>
        <w:t xml:space="preserve"> </w:t>
      </w:r>
      <w:r w:rsidRPr="0031675F">
        <w:rPr>
          <w:rFonts w:cs="Calibri"/>
        </w:rPr>
        <w:t>This</w:t>
      </w:r>
      <w:r w:rsidRPr="0031675F">
        <w:rPr>
          <w:rFonts w:cs="Calibri"/>
          <w:spacing w:val="16"/>
        </w:rPr>
        <w:t xml:space="preserve"> </w:t>
      </w:r>
      <w:r w:rsidRPr="0031675F">
        <w:rPr>
          <w:rFonts w:cs="Calibri"/>
        </w:rPr>
        <w:t>is</w:t>
      </w:r>
      <w:r w:rsidRPr="0031675F">
        <w:rPr>
          <w:rFonts w:cs="Calibri"/>
          <w:spacing w:val="16"/>
        </w:rPr>
        <w:t xml:space="preserve"> </w:t>
      </w:r>
      <w:r w:rsidRPr="0031675F">
        <w:rPr>
          <w:rFonts w:cs="Calibri"/>
        </w:rPr>
        <w:t>for</w:t>
      </w:r>
      <w:r w:rsidRPr="0031675F">
        <w:rPr>
          <w:rFonts w:cs="Calibri"/>
          <w:spacing w:val="16"/>
        </w:rPr>
        <w:t xml:space="preserve"> </w:t>
      </w:r>
      <w:r w:rsidRPr="0031675F">
        <w:rPr>
          <w:rFonts w:cs="Calibri"/>
        </w:rPr>
        <w:t>a</w:t>
      </w:r>
      <w:r w:rsidRPr="0031675F">
        <w:rPr>
          <w:rFonts w:cs="Calibri"/>
          <w:spacing w:val="17"/>
        </w:rPr>
        <w:t xml:space="preserve"> </w:t>
      </w:r>
      <w:r w:rsidRPr="0031675F">
        <w:rPr>
          <w:rFonts w:cs="Calibri"/>
          <w:spacing w:val="-1"/>
        </w:rPr>
        <w:t>“control”</w:t>
      </w:r>
      <w:r w:rsidRPr="0031675F">
        <w:rPr>
          <w:rFonts w:cs="Calibri"/>
          <w:spacing w:val="17"/>
        </w:rPr>
        <w:t xml:space="preserve"> </w:t>
      </w:r>
      <w:r w:rsidRPr="0031675F">
        <w:rPr>
          <w:rFonts w:cs="Calibri"/>
          <w:spacing w:val="-1"/>
        </w:rPr>
        <w:t>curve</w:t>
      </w:r>
      <w:r w:rsidRPr="0031675F">
        <w:rPr>
          <w:rFonts w:cs="Calibri"/>
          <w:spacing w:val="17"/>
        </w:rPr>
        <w:t xml:space="preserve"> </w:t>
      </w:r>
      <w:r w:rsidRPr="0031675F">
        <w:rPr>
          <w:rFonts w:cs="Calibri"/>
          <w:spacing w:val="-1"/>
        </w:rPr>
        <w:t>to</w:t>
      </w:r>
      <w:r w:rsidRPr="0031675F">
        <w:rPr>
          <w:rFonts w:cs="Calibri"/>
          <w:spacing w:val="18"/>
        </w:rPr>
        <w:t xml:space="preserve"> </w:t>
      </w:r>
      <w:r w:rsidRPr="0031675F">
        <w:rPr>
          <w:rFonts w:cs="Calibri"/>
          <w:spacing w:val="-1"/>
        </w:rPr>
        <w:t>determine</w:t>
      </w:r>
      <w:r w:rsidRPr="0031675F">
        <w:rPr>
          <w:rFonts w:cs="Calibri"/>
          <w:spacing w:val="17"/>
        </w:rPr>
        <w:t xml:space="preserve"> </w:t>
      </w:r>
      <w:r w:rsidRPr="0031675F">
        <w:rPr>
          <w:rFonts w:cs="Calibri"/>
          <w:spacing w:val="-1"/>
        </w:rPr>
        <w:t>matrix</w:t>
      </w:r>
      <w:r w:rsidRPr="0031675F">
        <w:rPr>
          <w:rFonts w:cs="Calibri"/>
          <w:spacing w:val="63"/>
        </w:rPr>
        <w:t xml:space="preserve"> </w:t>
      </w:r>
      <w:r w:rsidRPr="0031675F">
        <w:t>effects.</w:t>
      </w:r>
    </w:p>
    <w:p w14:paraId="517549AC" w14:textId="3BF1B29F" w:rsidR="0031675F" w:rsidRPr="0031675F" w:rsidRDefault="0031675F" w:rsidP="0031675F">
      <w:pPr>
        <w:widowControl w:val="0"/>
        <w:numPr>
          <w:ilvl w:val="0"/>
          <w:numId w:val="117"/>
        </w:numPr>
        <w:tabs>
          <w:tab w:val="left" w:pos="403"/>
        </w:tabs>
        <w:spacing w:before="60" w:after="0" w:line="240" w:lineRule="auto"/>
        <w:jc w:val="both"/>
      </w:pPr>
      <w:r w:rsidRPr="0031675F">
        <w:rPr>
          <w:spacing w:val="-1"/>
        </w:rPr>
        <w:t xml:space="preserve">Add </w:t>
      </w:r>
      <w:r w:rsidRPr="0031675F">
        <w:t>5</w:t>
      </w:r>
      <w:r w:rsidR="00BB13FD">
        <w:t xml:space="preserve"> mL</w:t>
      </w:r>
      <w:r w:rsidRPr="0031675F">
        <w:rPr>
          <w:spacing w:val="-2"/>
        </w:rPr>
        <w:t xml:space="preserve"> </w:t>
      </w:r>
      <w:r w:rsidRPr="0031675F">
        <w:t>of</w:t>
      </w:r>
      <w:r w:rsidRPr="0031675F">
        <w:rPr>
          <w:spacing w:val="-2"/>
        </w:rPr>
        <w:t xml:space="preserve"> </w:t>
      </w:r>
      <w:r w:rsidRPr="0031675F">
        <w:rPr>
          <w:spacing w:val="-1"/>
        </w:rPr>
        <w:t>Working Reagent</w:t>
      </w:r>
      <w:r w:rsidRPr="0031675F">
        <w:t xml:space="preserve"> with </w:t>
      </w:r>
      <w:r w:rsidRPr="0031675F">
        <w:rPr>
          <w:spacing w:val="-1"/>
        </w:rPr>
        <w:t>dispenser</w:t>
      </w:r>
      <w:r w:rsidRPr="0031675F">
        <w:t xml:space="preserve"> </w:t>
      </w:r>
      <w:r w:rsidRPr="0031675F">
        <w:rPr>
          <w:spacing w:val="-1"/>
        </w:rPr>
        <w:t xml:space="preserve">to </w:t>
      </w:r>
      <w:r w:rsidRPr="0031675F">
        <w:t>each</w:t>
      </w:r>
      <w:r w:rsidRPr="0031675F">
        <w:rPr>
          <w:spacing w:val="-1"/>
        </w:rPr>
        <w:t xml:space="preserve"> tube,</w:t>
      </w:r>
      <w:r w:rsidRPr="0031675F">
        <w:t xml:space="preserve"> </w:t>
      </w:r>
      <w:r w:rsidRPr="0031675F">
        <w:rPr>
          <w:spacing w:val="-1"/>
        </w:rPr>
        <w:t>stopper</w:t>
      </w:r>
      <w:r w:rsidRPr="0031675F">
        <w:t xml:space="preserve"> </w:t>
      </w:r>
      <w:r w:rsidRPr="0031675F">
        <w:rPr>
          <w:spacing w:val="-1"/>
        </w:rPr>
        <w:t>and</w:t>
      </w:r>
      <w:r w:rsidRPr="0031675F">
        <w:rPr>
          <w:spacing w:val="-3"/>
        </w:rPr>
        <w:t xml:space="preserve"> </w:t>
      </w:r>
      <w:r w:rsidRPr="0031675F">
        <w:rPr>
          <w:spacing w:val="-1"/>
        </w:rPr>
        <w:t>vortex</w:t>
      </w:r>
      <w:r w:rsidRPr="0031675F">
        <w:rPr>
          <w:spacing w:val="-2"/>
        </w:rPr>
        <w:t xml:space="preserve"> mix.</w:t>
      </w:r>
    </w:p>
    <w:p w14:paraId="1B982CBE" w14:textId="77777777" w:rsidR="0031675F" w:rsidRPr="0031675F" w:rsidRDefault="0031675F" w:rsidP="0031675F">
      <w:pPr>
        <w:widowControl w:val="0"/>
        <w:numPr>
          <w:ilvl w:val="0"/>
          <w:numId w:val="117"/>
        </w:numPr>
        <w:tabs>
          <w:tab w:val="left" w:pos="403"/>
        </w:tabs>
        <w:spacing w:before="60" w:after="0" w:line="240" w:lineRule="auto"/>
        <w:jc w:val="both"/>
      </w:pPr>
      <w:r w:rsidRPr="0031675F">
        <w:t>Let</w:t>
      </w:r>
      <w:r w:rsidRPr="0031675F">
        <w:rPr>
          <w:spacing w:val="-2"/>
        </w:rPr>
        <w:t xml:space="preserve"> </w:t>
      </w:r>
      <w:r w:rsidRPr="0031675F">
        <w:rPr>
          <w:spacing w:val="-1"/>
        </w:rPr>
        <w:t xml:space="preserve">stand </w:t>
      </w:r>
      <w:r w:rsidRPr="0031675F">
        <w:t xml:space="preserve">in </w:t>
      </w:r>
      <w:r w:rsidRPr="0031675F">
        <w:rPr>
          <w:spacing w:val="-1"/>
        </w:rPr>
        <w:t>dark</w:t>
      </w:r>
      <w:r w:rsidRPr="0031675F">
        <w:rPr>
          <w:spacing w:val="-3"/>
        </w:rPr>
        <w:t xml:space="preserve"> </w:t>
      </w:r>
      <w:r w:rsidRPr="0031675F">
        <w:t>for</w:t>
      </w:r>
      <w:r w:rsidRPr="0031675F">
        <w:rPr>
          <w:spacing w:val="-3"/>
        </w:rPr>
        <w:t xml:space="preserve"> </w:t>
      </w:r>
      <w:r w:rsidRPr="0031675F">
        <w:rPr>
          <w:spacing w:val="-1"/>
        </w:rPr>
        <w:t>2-3</w:t>
      </w:r>
      <w:r w:rsidRPr="0031675F">
        <w:t xml:space="preserve"> </w:t>
      </w:r>
      <w:r w:rsidRPr="0031675F">
        <w:rPr>
          <w:spacing w:val="-1"/>
        </w:rPr>
        <w:t>hours</w:t>
      </w:r>
      <w:r w:rsidRPr="0031675F">
        <w:t xml:space="preserve"> </w:t>
      </w:r>
      <w:r w:rsidRPr="0031675F">
        <w:rPr>
          <w:spacing w:val="-1"/>
        </w:rPr>
        <w:t>(2.5</w:t>
      </w:r>
      <w:r w:rsidRPr="0031675F">
        <w:rPr>
          <w:spacing w:val="-2"/>
        </w:rPr>
        <w:t xml:space="preserve"> </w:t>
      </w:r>
      <w:r w:rsidRPr="0031675F">
        <w:rPr>
          <w:spacing w:val="-1"/>
        </w:rPr>
        <w:t>hours</w:t>
      </w:r>
      <w:r w:rsidRPr="0031675F">
        <w:t xml:space="preserve"> </w:t>
      </w:r>
      <w:r w:rsidRPr="0031675F">
        <w:rPr>
          <w:spacing w:val="-1"/>
        </w:rPr>
        <w:t>preferred) then</w:t>
      </w:r>
      <w:r w:rsidRPr="0031675F">
        <w:t xml:space="preserve"> read</w:t>
      </w:r>
      <w:r w:rsidRPr="0031675F">
        <w:rPr>
          <w:spacing w:val="-3"/>
        </w:rPr>
        <w:t xml:space="preserve"> </w:t>
      </w:r>
      <w:r w:rsidRPr="0031675F">
        <w:t>on</w:t>
      </w:r>
      <w:r w:rsidRPr="0031675F">
        <w:rPr>
          <w:spacing w:val="-1"/>
        </w:rPr>
        <w:t xml:space="preserve"> the</w:t>
      </w:r>
      <w:r w:rsidRPr="0031675F">
        <w:rPr>
          <w:spacing w:val="-2"/>
        </w:rPr>
        <w:t xml:space="preserve"> </w:t>
      </w:r>
      <w:r w:rsidRPr="0031675F">
        <w:rPr>
          <w:spacing w:val="-1"/>
        </w:rPr>
        <w:t>fluorometer</w:t>
      </w:r>
      <w:r w:rsidRPr="0031675F">
        <w:rPr>
          <w:spacing w:val="-2"/>
        </w:rPr>
        <w:t xml:space="preserve"> </w:t>
      </w:r>
      <w:r w:rsidRPr="0031675F">
        <w:t xml:space="preserve">as </w:t>
      </w:r>
      <w:r w:rsidRPr="0031675F">
        <w:rPr>
          <w:spacing w:val="-1"/>
        </w:rPr>
        <w:t>for</w:t>
      </w:r>
      <w:r w:rsidRPr="0031675F">
        <w:t xml:space="preserve"> </w:t>
      </w:r>
      <w:r w:rsidRPr="0031675F">
        <w:rPr>
          <w:spacing w:val="-1"/>
        </w:rPr>
        <w:t>samples</w:t>
      </w:r>
    </w:p>
    <w:p w14:paraId="37F94606" w14:textId="77777777" w:rsidR="0031675F" w:rsidRPr="0031675F" w:rsidRDefault="0031675F" w:rsidP="0031675F">
      <w:pPr>
        <w:spacing w:before="10"/>
        <w:rPr>
          <w:rFonts w:cs="Calibri"/>
          <w:sz w:val="26"/>
          <w:szCs w:val="26"/>
        </w:rPr>
      </w:pPr>
    </w:p>
    <w:p w14:paraId="71001537" w14:textId="77777777" w:rsidR="0031675F" w:rsidRPr="0031675F" w:rsidRDefault="0031675F" w:rsidP="0031675F">
      <w:pPr>
        <w:widowControl w:val="0"/>
        <w:numPr>
          <w:ilvl w:val="2"/>
          <w:numId w:val="121"/>
        </w:numPr>
        <w:tabs>
          <w:tab w:val="left" w:pos="686"/>
        </w:tabs>
        <w:spacing w:before="0" w:after="0" w:line="240" w:lineRule="auto"/>
        <w:jc w:val="both"/>
        <w:rPr>
          <w:rFonts w:eastAsia="Arial" w:cs="Arial"/>
          <w:sz w:val="20"/>
          <w:szCs w:val="20"/>
        </w:rPr>
      </w:pPr>
      <w:r w:rsidRPr="0031675F">
        <w:rPr>
          <w:b/>
          <w:sz w:val="20"/>
        </w:rPr>
        <w:t>Background</w:t>
      </w:r>
      <w:r w:rsidRPr="0031675F">
        <w:rPr>
          <w:b/>
          <w:spacing w:val="-24"/>
          <w:sz w:val="20"/>
        </w:rPr>
        <w:t xml:space="preserve"> </w:t>
      </w:r>
      <w:r w:rsidRPr="0031675F">
        <w:rPr>
          <w:b/>
          <w:sz w:val="20"/>
        </w:rPr>
        <w:t>fluorescence</w:t>
      </w:r>
    </w:p>
    <w:p w14:paraId="2B3AD24C" w14:textId="77777777" w:rsidR="0031675F" w:rsidRPr="0031675F" w:rsidRDefault="0031675F" w:rsidP="0031675F">
      <w:pPr>
        <w:spacing w:before="10"/>
        <w:rPr>
          <w:rFonts w:eastAsia="Arial" w:cs="Arial"/>
          <w:b/>
          <w:bCs/>
          <w:sz w:val="20"/>
          <w:szCs w:val="20"/>
        </w:rPr>
      </w:pPr>
    </w:p>
    <w:p w14:paraId="0AA27612" w14:textId="37620B7B" w:rsidR="0031675F" w:rsidRPr="0031675F" w:rsidRDefault="0031675F" w:rsidP="0031675F">
      <w:pPr>
        <w:widowControl w:val="0"/>
        <w:numPr>
          <w:ilvl w:val="0"/>
          <w:numId w:val="116"/>
        </w:numPr>
        <w:tabs>
          <w:tab w:val="left" w:pos="403"/>
        </w:tabs>
        <w:spacing w:before="0" w:after="0" w:line="266" w:lineRule="exact"/>
        <w:ind w:right="119"/>
      </w:pPr>
      <w:r w:rsidRPr="0031675F">
        <w:rPr>
          <w:spacing w:val="-1"/>
        </w:rPr>
        <w:t>Rinse</w:t>
      </w:r>
      <w:r w:rsidRPr="0031675F">
        <w:rPr>
          <w:spacing w:val="5"/>
        </w:rPr>
        <w:t xml:space="preserve"> </w:t>
      </w:r>
      <w:r w:rsidRPr="0031675F">
        <w:rPr>
          <w:spacing w:val="-1"/>
        </w:rPr>
        <w:t>and</w:t>
      </w:r>
      <w:r w:rsidRPr="0031675F">
        <w:rPr>
          <w:spacing w:val="4"/>
        </w:rPr>
        <w:t xml:space="preserve"> </w:t>
      </w:r>
      <w:r w:rsidRPr="0031675F">
        <w:rPr>
          <w:spacing w:val="-1"/>
        </w:rPr>
        <w:t>add</w:t>
      </w:r>
      <w:r w:rsidRPr="0031675F">
        <w:rPr>
          <w:spacing w:val="4"/>
        </w:rPr>
        <w:t xml:space="preserve"> </w:t>
      </w:r>
      <w:r w:rsidRPr="0031675F">
        <w:t>20</w:t>
      </w:r>
      <w:r w:rsidRPr="0031675F">
        <w:rPr>
          <w:spacing w:val="3"/>
        </w:rPr>
        <w:t xml:space="preserve"> </w:t>
      </w:r>
      <w:r w:rsidR="00BB13FD">
        <w:t>mL</w:t>
      </w:r>
      <w:r w:rsidRPr="0031675F">
        <w:rPr>
          <w:spacing w:val="4"/>
        </w:rPr>
        <w:t xml:space="preserve"> </w:t>
      </w:r>
      <w:r w:rsidRPr="0031675F">
        <w:rPr>
          <w:spacing w:val="-1"/>
        </w:rPr>
        <w:t>aliquots</w:t>
      </w:r>
      <w:r w:rsidRPr="0031675F">
        <w:rPr>
          <w:spacing w:val="5"/>
        </w:rPr>
        <w:t xml:space="preserve"> </w:t>
      </w:r>
      <w:r w:rsidRPr="0031675F">
        <w:t>of</w:t>
      </w:r>
      <w:r w:rsidRPr="0031675F">
        <w:rPr>
          <w:spacing w:val="5"/>
        </w:rPr>
        <w:t xml:space="preserve"> </w:t>
      </w:r>
      <w:r w:rsidRPr="0031675F">
        <w:rPr>
          <w:spacing w:val="-1"/>
        </w:rPr>
        <w:t>fresh</w:t>
      </w:r>
      <w:r w:rsidRPr="0031675F">
        <w:rPr>
          <w:spacing w:val="4"/>
        </w:rPr>
        <w:t xml:space="preserve"> </w:t>
      </w:r>
      <w:r w:rsidRPr="0031675F">
        <w:rPr>
          <w:spacing w:val="-1"/>
        </w:rPr>
        <w:t>representative</w:t>
      </w:r>
      <w:r w:rsidRPr="0031675F">
        <w:rPr>
          <w:spacing w:val="5"/>
        </w:rPr>
        <w:t xml:space="preserve"> </w:t>
      </w:r>
      <w:r w:rsidRPr="0031675F">
        <w:rPr>
          <w:spacing w:val="-1"/>
        </w:rPr>
        <w:t>seawater</w:t>
      </w:r>
      <w:r w:rsidRPr="0031675F">
        <w:rPr>
          <w:spacing w:val="5"/>
        </w:rPr>
        <w:t xml:space="preserve"> </w:t>
      </w:r>
      <w:r w:rsidRPr="0031675F">
        <w:rPr>
          <w:spacing w:val="-1"/>
        </w:rPr>
        <w:t>to</w:t>
      </w:r>
      <w:r w:rsidRPr="0031675F">
        <w:rPr>
          <w:spacing w:val="6"/>
        </w:rPr>
        <w:t xml:space="preserve"> </w:t>
      </w:r>
      <w:r w:rsidRPr="0031675F">
        <w:rPr>
          <w:spacing w:val="-1"/>
        </w:rPr>
        <w:t>tubes</w:t>
      </w:r>
      <w:r w:rsidRPr="0031675F">
        <w:rPr>
          <w:spacing w:val="5"/>
        </w:rPr>
        <w:t xml:space="preserve"> </w:t>
      </w:r>
      <w:r w:rsidRPr="0031675F">
        <w:rPr>
          <w:spacing w:val="-2"/>
        </w:rPr>
        <w:t>(19</w:t>
      </w:r>
      <w:r w:rsidRPr="0031675F">
        <w:rPr>
          <w:spacing w:val="5"/>
        </w:rPr>
        <w:t xml:space="preserve"> </w:t>
      </w:r>
      <w:r w:rsidRPr="0031675F">
        <w:rPr>
          <w:spacing w:val="-1"/>
        </w:rPr>
        <w:t>to</w:t>
      </w:r>
      <w:r w:rsidRPr="0031675F">
        <w:rPr>
          <w:spacing w:val="6"/>
        </w:rPr>
        <w:t xml:space="preserve"> </w:t>
      </w:r>
      <w:r w:rsidRPr="0031675F">
        <w:rPr>
          <w:spacing w:val="-2"/>
        </w:rPr>
        <w:t>21)</w:t>
      </w:r>
      <w:r w:rsidRPr="0031675F">
        <w:rPr>
          <w:spacing w:val="5"/>
        </w:rPr>
        <w:t xml:space="preserve"> </w:t>
      </w:r>
      <w:r w:rsidRPr="0031675F">
        <w:rPr>
          <w:spacing w:val="-1"/>
        </w:rPr>
        <w:t>for</w:t>
      </w:r>
      <w:r w:rsidRPr="0031675F">
        <w:rPr>
          <w:spacing w:val="5"/>
        </w:rPr>
        <w:t xml:space="preserve"> </w:t>
      </w:r>
      <w:r w:rsidRPr="0031675F">
        <w:rPr>
          <w:spacing w:val="-1"/>
        </w:rPr>
        <w:t>determining</w:t>
      </w:r>
      <w:r w:rsidRPr="0031675F">
        <w:rPr>
          <w:spacing w:val="61"/>
        </w:rPr>
        <w:t xml:space="preserve"> </w:t>
      </w:r>
      <w:r w:rsidRPr="0031675F">
        <w:rPr>
          <w:spacing w:val="-1"/>
        </w:rPr>
        <w:t>background fluorescence.</w:t>
      </w:r>
    </w:p>
    <w:p w14:paraId="15983675" w14:textId="48121E6E" w:rsidR="0031675F" w:rsidRPr="0031675F" w:rsidRDefault="0031675F" w:rsidP="0031675F">
      <w:pPr>
        <w:widowControl w:val="0"/>
        <w:numPr>
          <w:ilvl w:val="0"/>
          <w:numId w:val="116"/>
        </w:numPr>
        <w:tabs>
          <w:tab w:val="left" w:pos="403"/>
        </w:tabs>
        <w:spacing w:before="66" w:after="0" w:line="240" w:lineRule="auto"/>
        <w:jc w:val="both"/>
      </w:pPr>
      <w:r w:rsidRPr="0031675F">
        <w:rPr>
          <w:spacing w:val="-1"/>
        </w:rPr>
        <w:t xml:space="preserve">Add </w:t>
      </w:r>
      <w:r w:rsidRPr="0031675F">
        <w:t>5</w:t>
      </w:r>
      <w:r w:rsidR="00BB13FD">
        <w:t xml:space="preserve"> mL</w:t>
      </w:r>
      <w:r w:rsidRPr="0031675F">
        <w:rPr>
          <w:spacing w:val="-2"/>
        </w:rPr>
        <w:t xml:space="preserve"> </w:t>
      </w:r>
      <w:r w:rsidRPr="0031675F">
        <w:t xml:space="preserve">of </w:t>
      </w:r>
      <w:r w:rsidRPr="0031675F">
        <w:rPr>
          <w:spacing w:val="-1"/>
        </w:rPr>
        <w:t>borate</w:t>
      </w:r>
      <w:r w:rsidRPr="0031675F">
        <w:t xml:space="preserve"> </w:t>
      </w:r>
      <w:r w:rsidRPr="0031675F">
        <w:rPr>
          <w:spacing w:val="-1"/>
        </w:rPr>
        <w:t>buffer</w:t>
      </w:r>
      <w:r w:rsidRPr="0031675F">
        <w:rPr>
          <w:spacing w:val="-2"/>
        </w:rPr>
        <w:t xml:space="preserve"> </w:t>
      </w:r>
      <w:r w:rsidRPr="0031675F">
        <w:rPr>
          <w:spacing w:val="-1"/>
        </w:rPr>
        <w:t>to</w:t>
      </w:r>
      <w:r w:rsidRPr="0031675F">
        <w:rPr>
          <w:spacing w:val="1"/>
        </w:rPr>
        <w:t xml:space="preserve"> </w:t>
      </w:r>
      <w:r w:rsidRPr="0031675F">
        <w:rPr>
          <w:spacing w:val="-1"/>
        </w:rPr>
        <w:t>these</w:t>
      </w:r>
      <w:r w:rsidRPr="0031675F">
        <w:rPr>
          <w:spacing w:val="-2"/>
        </w:rPr>
        <w:t xml:space="preserve"> </w:t>
      </w:r>
      <w:r w:rsidRPr="0031675F">
        <w:t xml:space="preserve">3 </w:t>
      </w:r>
      <w:r w:rsidRPr="0031675F">
        <w:rPr>
          <w:spacing w:val="-1"/>
        </w:rPr>
        <w:t>tubes</w:t>
      </w:r>
      <w:r w:rsidRPr="0031675F">
        <w:t xml:space="preserve"> only.</w:t>
      </w:r>
      <w:r w:rsidRPr="0031675F">
        <w:rPr>
          <w:spacing w:val="47"/>
        </w:rPr>
        <w:t xml:space="preserve"> </w:t>
      </w:r>
      <w:r w:rsidRPr="0031675F">
        <w:t xml:space="preserve">DO </w:t>
      </w:r>
      <w:r w:rsidRPr="0031675F">
        <w:rPr>
          <w:spacing w:val="-2"/>
        </w:rPr>
        <w:t>NOT</w:t>
      </w:r>
      <w:r w:rsidRPr="0031675F">
        <w:t xml:space="preserve"> add</w:t>
      </w:r>
      <w:r w:rsidRPr="0031675F">
        <w:rPr>
          <w:spacing w:val="-2"/>
        </w:rPr>
        <w:t xml:space="preserve"> </w:t>
      </w:r>
      <w:r w:rsidRPr="0031675F">
        <w:rPr>
          <w:spacing w:val="-1"/>
        </w:rPr>
        <w:t>Working</w:t>
      </w:r>
      <w:r w:rsidRPr="0031675F">
        <w:rPr>
          <w:spacing w:val="-3"/>
        </w:rPr>
        <w:t xml:space="preserve"> </w:t>
      </w:r>
      <w:r w:rsidRPr="0031675F">
        <w:rPr>
          <w:spacing w:val="-1"/>
        </w:rPr>
        <w:t>Reagent!</w:t>
      </w:r>
    </w:p>
    <w:p w14:paraId="0B6DD689" w14:textId="77777777" w:rsidR="0031675F" w:rsidRPr="0031675F" w:rsidRDefault="0031675F" w:rsidP="0031675F">
      <w:pPr>
        <w:widowControl w:val="0"/>
        <w:numPr>
          <w:ilvl w:val="0"/>
          <w:numId w:val="116"/>
        </w:numPr>
        <w:tabs>
          <w:tab w:val="left" w:pos="403"/>
        </w:tabs>
        <w:spacing w:before="60" w:after="0" w:line="240" w:lineRule="auto"/>
        <w:jc w:val="both"/>
      </w:pPr>
      <w:r w:rsidRPr="0031675F">
        <w:t>Let</w:t>
      </w:r>
      <w:r w:rsidRPr="0031675F">
        <w:rPr>
          <w:spacing w:val="-2"/>
        </w:rPr>
        <w:t xml:space="preserve"> </w:t>
      </w:r>
      <w:r w:rsidRPr="0031675F">
        <w:rPr>
          <w:spacing w:val="-1"/>
        </w:rPr>
        <w:t xml:space="preserve">stand </w:t>
      </w:r>
      <w:r w:rsidRPr="0031675F">
        <w:t xml:space="preserve">in </w:t>
      </w:r>
      <w:r w:rsidRPr="0031675F">
        <w:rPr>
          <w:spacing w:val="-1"/>
        </w:rPr>
        <w:t>dark</w:t>
      </w:r>
      <w:r w:rsidRPr="0031675F">
        <w:rPr>
          <w:spacing w:val="-3"/>
        </w:rPr>
        <w:t xml:space="preserve"> </w:t>
      </w:r>
      <w:r w:rsidRPr="0031675F">
        <w:t>for</w:t>
      </w:r>
      <w:r w:rsidRPr="0031675F">
        <w:rPr>
          <w:spacing w:val="-3"/>
        </w:rPr>
        <w:t xml:space="preserve"> </w:t>
      </w:r>
      <w:r w:rsidRPr="0031675F">
        <w:rPr>
          <w:spacing w:val="-1"/>
        </w:rPr>
        <w:t>2-3</w:t>
      </w:r>
      <w:r w:rsidRPr="0031675F">
        <w:t xml:space="preserve"> </w:t>
      </w:r>
      <w:r w:rsidRPr="0031675F">
        <w:rPr>
          <w:spacing w:val="-1"/>
        </w:rPr>
        <w:t>hours</w:t>
      </w:r>
      <w:r w:rsidRPr="0031675F">
        <w:t xml:space="preserve"> </w:t>
      </w:r>
      <w:r w:rsidRPr="0031675F">
        <w:rPr>
          <w:spacing w:val="-1"/>
        </w:rPr>
        <w:t>(2.5</w:t>
      </w:r>
      <w:r w:rsidRPr="0031675F">
        <w:rPr>
          <w:spacing w:val="-2"/>
        </w:rPr>
        <w:t xml:space="preserve"> </w:t>
      </w:r>
      <w:r w:rsidRPr="0031675F">
        <w:rPr>
          <w:spacing w:val="-1"/>
        </w:rPr>
        <w:t>hours</w:t>
      </w:r>
      <w:r w:rsidRPr="0031675F">
        <w:t xml:space="preserve"> </w:t>
      </w:r>
      <w:r w:rsidRPr="0031675F">
        <w:rPr>
          <w:spacing w:val="-1"/>
        </w:rPr>
        <w:t>preferred) then</w:t>
      </w:r>
      <w:r w:rsidRPr="0031675F">
        <w:t xml:space="preserve"> read</w:t>
      </w:r>
      <w:r w:rsidRPr="0031675F">
        <w:rPr>
          <w:spacing w:val="-3"/>
        </w:rPr>
        <w:t xml:space="preserve"> </w:t>
      </w:r>
      <w:r w:rsidRPr="0031675F">
        <w:t>on</w:t>
      </w:r>
      <w:r w:rsidRPr="0031675F">
        <w:rPr>
          <w:spacing w:val="-1"/>
        </w:rPr>
        <w:t xml:space="preserve"> fluorometer</w:t>
      </w:r>
      <w:r w:rsidRPr="0031675F">
        <w:t xml:space="preserve"> as</w:t>
      </w:r>
      <w:r w:rsidRPr="0031675F">
        <w:rPr>
          <w:spacing w:val="-5"/>
        </w:rPr>
        <w:t xml:space="preserve"> </w:t>
      </w:r>
      <w:r w:rsidRPr="0031675F">
        <w:rPr>
          <w:spacing w:val="-1"/>
        </w:rPr>
        <w:t>for</w:t>
      </w:r>
      <w:r w:rsidRPr="0031675F">
        <w:t xml:space="preserve"> </w:t>
      </w:r>
      <w:r w:rsidRPr="0031675F">
        <w:rPr>
          <w:spacing w:val="-1"/>
        </w:rPr>
        <w:t>samples.</w:t>
      </w:r>
    </w:p>
    <w:p w14:paraId="0FCC09CF" w14:textId="77777777" w:rsidR="0031675F" w:rsidRPr="0031675F" w:rsidRDefault="0031675F" w:rsidP="0031675F">
      <w:pPr>
        <w:spacing w:before="60"/>
        <w:ind w:left="402" w:right="114"/>
        <w:jc w:val="both"/>
        <w:rPr>
          <w:rFonts w:cs="Calibri"/>
        </w:rPr>
      </w:pPr>
      <w:r w:rsidRPr="0031675F">
        <w:rPr>
          <w:i/>
          <w:spacing w:val="-1"/>
        </w:rPr>
        <w:t>NB</w:t>
      </w:r>
      <w:r w:rsidRPr="0031675F">
        <w:rPr>
          <w:i/>
          <w:spacing w:val="15"/>
        </w:rPr>
        <w:t xml:space="preserve"> </w:t>
      </w:r>
      <w:r w:rsidRPr="0031675F">
        <w:rPr>
          <w:i/>
          <w:spacing w:val="-1"/>
        </w:rPr>
        <w:t>Standards</w:t>
      </w:r>
      <w:r w:rsidRPr="0031675F">
        <w:rPr>
          <w:i/>
          <w:spacing w:val="8"/>
        </w:rPr>
        <w:t xml:space="preserve"> </w:t>
      </w:r>
      <w:r w:rsidRPr="0031675F">
        <w:rPr>
          <w:i/>
          <w:spacing w:val="-1"/>
        </w:rPr>
        <w:t>should</w:t>
      </w:r>
      <w:r w:rsidRPr="0031675F">
        <w:rPr>
          <w:i/>
          <w:spacing w:val="6"/>
        </w:rPr>
        <w:t xml:space="preserve"> </w:t>
      </w:r>
      <w:r w:rsidRPr="0031675F">
        <w:rPr>
          <w:i/>
          <w:spacing w:val="-1"/>
        </w:rPr>
        <w:t>be</w:t>
      </w:r>
      <w:r w:rsidRPr="0031675F">
        <w:rPr>
          <w:i/>
          <w:spacing w:val="5"/>
        </w:rPr>
        <w:t xml:space="preserve"> </w:t>
      </w:r>
      <w:r w:rsidRPr="0031675F">
        <w:rPr>
          <w:i/>
          <w:spacing w:val="-1"/>
        </w:rPr>
        <w:t>prepared</w:t>
      </w:r>
      <w:r w:rsidRPr="0031675F">
        <w:rPr>
          <w:i/>
          <w:spacing w:val="6"/>
        </w:rPr>
        <w:t xml:space="preserve"> </w:t>
      </w:r>
      <w:r w:rsidRPr="0031675F">
        <w:rPr>
          <w:i/>
          <w:spacing w:val="-1"/>
        </w:rPr>
        <w:t>and</w:t>
      </w:r>
      <w:r w:rsidRPr="0031675F">
        <w:rPr>
          <w:i/>
          <w:spacing w:val="7"/>
        </w:rPr>
        <w:t xml:space="preserve"> </w:t>
      </w:r>
      <w:r w:rsidRPr="0031675F">
        <w:rPr>
          <w:i/>
          <w:spacing w:val="-1"/>
        </w:rPr>
        <w:t>analysed</w:t>
      </w:r>
      <w:r w:rsidRPr="0031675F">
        <w:rPr>
          <w:i/>
          <w:spacing w:val="7"/>
        </w:rPr>
        <w:t xml:space="preserve"> </w:t>
      </w:r>
      <w:r w:rsidRPr="0031675F">
        <w:rPr>
          <w:i/>
          <w:spacing w:val="-1"/>
        </w:rPr>
        <w:t>at</w:t>
      </w:r>
      <w:r w:rsidRPr="0031675F">
        <w:rPr>
          <w:i/>
          <w:spacing w:val="5"/>
        </w:rPr>
        <w:t xml:space="preserve"> </w:t>
      </w:r>
      <w:r w:rsidRPr="0031675F">
        <w:rPr>
          <w:i/>
          <w:spacing w:val="-1"/>
        </w:rPr>
        <w:t>least</w:t>
      </w:r>
      <w:r w:rsidRPr="0031675F">
        <w:rPr>
          <w:i/>
          <w:spacing w:val="8"/>
        </w:rPr>
        <w:t xml:space="preserve"> </w:t>
      </w:r>
      <w:r w:rsidRPr="0031675F">
        <w:rPr>
          <w:i/>
          <w:spacing w:val="-1"/>
        </w:rPr>
        <w:t>once</w:t>
      </w:r>
      <w:r w:rsidRPr="0031675F">
        <w:rPr>
          <w:i/>
          <w:spacing w:val="7"/>
        </w:rPr>
        <w:t xml:space="preserve"> </w:t>
      </w:r>
      <w:r w:rsidRPr="0031675F">
        <w:rPr>
          <w:i/>
          <w:spacing w:val="-1"/>
        </w:rPr>
        <w:t>daily,</w:t>
      </w:r>
      <w:r w:rsidRPr="0031675F">
        <w:rPr>
          <w:i/>
          <w:spacing w:val="7"/>
        </w:rPr>
        <w:t xml:space="preserve"> </w:t>
      </w:r>
      <w:r w:rsidRPr="0031675F">
        <w:rPr>
          <w:i/>
          <w:spacing w:val="-2"/>
        </w:rPr>
        <w:t>or</w:t>
      </w:r>
      <w:r w:rsidRPr="0031675F">
        <w:rPr>
          <w:i/>
          <w:spacing w:val="6"/>
        </w:rPr>
        <w:t xml:space="preserve"> </w:t>
      </w:r>
      <w:r w:rsidRPr="0031675F">
        <w:rPr>
          <w:i/>
        </w:rPr>
        <w:t>with</w:t>
      </w:r>
      <w:r w:rsidRPr="0031675F">
        <w:rPr>
          <w:i/>
          <w:spacing w:val="7"/>
        </w:rPr>
        <w:t xml:space="preserve"> </w:t>
      </w:r>
      <w:r w:rsidRPr="0031675F">
        <w:rPr>
          <w:i/>
          <w:spacing w:val="-1"/>
        </w:rPr>
        <w:t>each</w:t>
      </w:r>
      <w:r w:rsidRPr="0031675F">
        <w:rPr>
          <w:i/>
          <w:spacing w:val="4"/>
        </w:rPr>
        <w:t xml:space="preserve"> </w:t>
      </w:r>
      <w:r w:rsidRPr="0031675F">
        <w:rPr>
          <w:i/>
          <w:spacing w:val="-1"/>
        </w:rPr>
        <w:t>discrete</w:t>
      </w:r>
      <w:r w:rsidRPr="0031675F">
        <w:rPr>
          <w:i/>
          <w:spacing w:val="5"/>
        </w:rPr>
        <w:t xml:space="preserve"> </w:t>
      </w:r>
      <w:r w:rsidRPr="0031675F">
        <w:rPr>
          <w:i/>
          <w:spacing w:val="-1"/>
        </w:rPr>
        <w:t>batch</w:t>
      </w:r>
      <w:r w:rsidRPr="0031675F">
        <w:rPr>
          <w:i/>
          <w:spacing w:val="6"/>
        </w:rPr>
        <w:t xml:space="preserve"> </w:t>
      </w:r>
      <w:r w:rsidRPr="0031675F">
        <w:rPr>
          <w:i/>
          <w:spacing w:val="-1"/>
        </w:rPr>
        <w:t>of</w:t>
      </w:r>
      <w:r w:rsidRPr="0031675F">
        <w:rPr>
          <w:i/>
          <w:spacing w:val="58"/>
        </w:rPr>
        <w:t xml:space="preserve"> </w:t>
      </w:r>
      <w:r w:rsidRPr="0031675F">
        <w:rPr>
          <w:i/>
          <w:spacing w:val="-1"/>
        </w:rPr>
        <w:t>samples</w:t>
      </w:r>
      <w:r w:rsidRPr="0031675F">
        <w:rPr>
          <w:i/>
          <w:spacing w:val="24"/>
        </w:rPr>
        <w:t xml:space="preserve"> </w:t>
      </w:r>
      <w:r w:rsidRPr="0031675F">
        <w:rPr>
          <w:i/>
        </w:rPr>
        <w:t>if</w:t>
      </w:r>
      <w:r w:rsidRPr="0031675F">
        <w:rPr>
          <w:i/>
          <w:spacing w:val="21"/>
        </w:rPr>
        <w:t xml:space="preserve"> </w:t>
      </w:r>
      <w:r w:rsidRPr="0031675F">
        <w:rPr>
          <w:i/>
          <w:spacing w:val="-1"/>
        </w:rPr>
        <w:t>there</w:t>
      </w:r>
      <w:r w:rsidRPr="0031675F">
        <w:rPr>
          <w:i/>
          <w:spacing w:val="24"/>
        </w:rPr>
        <w:t xml:space="preserve"> </w:t>
      </w:r>
      <w:r w:rsidRPr="0031675F">
        <w:rPr>
          <w:i/>
          <w:spacing w:val="-2"/>
        </w:rPr>
        <w:t>are</w:t>
      </w:r>
      <w:r w:rsidRPr="0031675F">
        <w:rPr>
          <w:i/>
          <w:spacing w:val="24"/>
        </w:rPr>
        <w:t xml:space="preserve"> </w:t>
      </w:r>
      <w:r w:rsidRPr="0031675F">
        <w:rPr>
          <w:i/>
          <w:spacing w:val="-1"/>
        </w:rPr>
        <w:t>large</w:t>
      </w:r>
      <w:r w:rsidRPr="0031675F">
        <w:rPr>
          <w:i/>
          <w:spacing w:val="22"/>
        </w:rPr>
        <w:t xml:space="preserve"> </w:t>
      </w:r>
      <w:r w:rsidRPr="0031675F">
        <w:rPr>
          <w:i/>
        </w:rPr>
        <w:t>time</w:t>
      </w:r>
      <w:r w:rsidRPr="0031675F">
        <w:rPr>
          <w:i/>
          <w:spacing w:val="28"/>
        </w:rPr>
        <w:t xml:space="preserve"> </w:t>
      </w:r>
      <w:r w:rsidRPr="0031675F">
        <w:rPr>
          <w:i/>
          <w:spacing w:val="-1"/>
        </w:rPr>
        <w:t>gaps</w:t>
      </w:r>
      <w:r w:rsidRPr="0031675F">
        <w:rPr>
          <w:i/>
          <w:spacing w:val="22"/>
        </w:rPr>
        <w:t xml:space="preserve"> </w:t>
      </w:r>
      <w:r w:rsidRPr="0031675F">
        <w:rPr>
          <w:i/>
          <w:spacing w:val="-1"/>
        </w:rPr>
        <w:t>between</w:t>
      </w:r>
      <w:r w:rsidRPr="0031675F">
        <w:rPr>
          <w:i/>
          <w:spacing w:val="23"/>
        </w:rPr>
        <w:t xml:space="preserve"> </w:t>
      </w:r>
      <w:r w:rsidRPr="0031675F">
        <w:rPr>
          <w:i/>
          <w:spacing w:val="-2"/>
        </w:rPr>
        <w:t>sampling</w:t>
      </w:r>
      <w:r w:rsidRPr="0031675F">
        <w:rPr>
          <w:i/>
          <w:spacing w:val="23"/>
        </w:rPr>
        <w:t xml:space="preserve"> </w:t>
      </w:r>
      <w:r w:rsidRPr="0031675F">
        <w:rPr>
          <w:i/>
        </w:rPr>
        <w:t>events.</w:t>
      </w:r>
      <w:r w:rsidRPr="0031675F">
        <w:rPr>
          <w:i/>
          <w:spacing w:val="45"/>
        </w:rPr>
        <w:t xml:space="preserve"> </w:t>
      </w:r>
      <w:r w:rsidRPr="0031675F">
        <w:rPr>
          <w:i/>
        </w:rPr>
        <w:t>If</w:t>
      </w:r>
      <w:r w:rsidRPr="0031675F">
        <w:rPr>
          <w:i/>
          <w:spacing w:val="23"/>
        </w:rPr>
        <w:t xml:space="preserve"> </w:t>
      </w:r>
      <w:r w:rsidRPr="0031675F">
        <w:rPr>
          <w:i/>
          <w:spacing w:val="-1"/>
        </w:rPr>
        <w:t>sample</w:t>
      </w:r>
      <w:r w:rsidRPr="0031675F">
        <w:rPr>
          <w:i/>
          <w:spacing w:val="24"/>
        </w:rPr>
        <w:t xml:space="preserve"> </w:t>
      </w:r>
      <w:r w:rsidRPr="0031675F">
        <w:rPr>
          <w:i/>
          <w:spacing w:val="-1"/>
        </w:rPr>
        <w:t>collection</w:t>
      </w:r>
      <w:r w:rsidRPr="0031675F">
        <w:rPr>
          <w:i/>
          <w:spacing w:val="23"/>
        </w:rPr>
        <w:t xml:space="preserve"> </w:t>
      </w:r>
      <w:r w:rsidRPr="0031675F">
        <w:rPr>
          <w:i/>
        </w:rPr>
        <w:t>takes</w:t>
      </w:r>
      <w:r w:rsidRPr="0031675F">
        <w:rPr>
          <w:i/>
          <w:spacing w:val="22"/>
        </w:rPr>
        <w:t xml:space="preserve"> </w:t>
      </w:r>
      <w:r w:rsidRPr="0031675F">
        <w:rPr>
          <w:i/>
          <w:spacing w:val="-1"/>
        </w:rPr>
        <w:t>place</w:t>
      </w:r>
      <w:r w:rsidRPr="0031675F">
        <w:rPr>
          <w:i/>
          <w:spacing w:val="51"/>
        </w:rPr>
        <w:t xml:space="preserve"> </w:t>
      </w:r>
      <w:r w:rsidRPr="0031675F">
        <w:rPr>
          <w:i/>
        </w:rPr>
        <w:t>more</w:t>
      </w:r>
      <w:r w:rsidRPr="0031675F">
        <w:rPr>
          <w:i/>
          <w:spacing w:val="1"/>
        </w:rPr>
        <w:t xml:space="preserve"> </w:t>
      </w:r>
      <w:r w:rsidRPr="0031675F">
        <w:rPr>
          <w:i/>
          <w:spacing w:val="-2"/>
        </w:rPr>
        <w:t>or</w:t>
      </w:r>
      <w:r w:rsidRPr="0031675F">
        <w:rPr>
          <w:i/>
          <w:spacing w:val="2"/>
        </w:rPr>
        <w:t xml:space="preserve"> </w:t>
      </w:r>
      <w:r w:rsidRPr="0031675F">
        <w:rPr>
          <w:i/>
        </w:rPr>
        <w:t>less</w:t>
      </w:r>
      <w:r w:rsidRPr="0031675F">
        <w:rPr>
          <w:i/>
          <w:spacing w:val="1"/>
        </w:rPr>
        <w:t xml:space="preserve"> </w:t>
      </w:r>
      <w:r w:rsidRPr="0031675F">
        <w:rPr>
          <w:i/>
          <w:spacing w:val="-1"/>
        </w:rPr>
        <w:t>continuously</w:t>
      </w:r>
      <w:r w:rsidRPr="0031675F">
        <w:rPr>
          <w:i/>
          <w:spacing w:val="47"/>
        </w:rPr>
        <w:t xml:space="preserve"> </w:t>
      </w:r>
      <w:r w:rsidRPr="0031675F">
        <w:rPr>
          <w:i/>
          <w:spacing w:val="-1"/>
        </w:rPr>
        <w:t>over</w:t>
      </w:r>
      <w:r w:rsidRPr="0031675F">
        <w:rPr>
          <w:i/>
          <w:spacing w:val="2"/>
        </w:rPr>
        <w:t xml:space="preserve"> </w:t>
      </w:r>
      <w:r w:rsidRPr="0031675F">
        <w:rPr>
          <w:i/>
          <w:spacing w:val="-1"/>
        </w:rPr>
        <w:t>longer</w:t>
      </w:r>
      <w:r w:rsidRPr="0031675F">
        <w:rPr>
          <w:i/>
          <w:spacing w:val="2"/>
        </w:rPr>
        <w:t xml:space="preserve"> </w:t>
      </w:r>
      <w:r w:rsidRPr="0031675F">
        <w:rPr>
          <w:i/>
          <w:spacing w:val="-1"/>
        </w:rPr>
        <w:t>time</w:t>
      </w:r>
      <w:r w:rsidRPr="0031675F">
        <w:rPr>
          <w:i/>
          <w:spacing w:val="1"/>
        </w:rPr>
        <w:t xml:space="preserve"> </w:t>
      </w:r>
      <w:r w:rsidRPr="0031675F">
        <w:rPr>
          <w:i/>
          <w:spacing w:val="-2"/>
        </w:rPr>
        <w:t>periods,</w:t>
      </w:r>
      <w:r w:rsidRPr="0031675F">
        <w:rPr>
          <w:i/>
          <w:spacing w:val="1"/>
        </w:rPr>
        <w:t xml:space="preserve"> </w:t>
      </w:r>
      <w:r w:rsidRPr="0031675F">
        <w:rPr>
          <w:i/>
        </w:rPr>
        <w:t>make</w:t>
      </w:r>
      <w:r w:rsidRPr="0031675F">
        <w:rPr>
          <w:i/>
          <w:spacing w:val="1"/>
        </w:rPr>
        <w:t xml:space="preserve"> </w:t>
      </w:r>
      <w:r w:rsidRPr="0031675F">
        <w:rPr>
          <w:i/>
          <w:spacing w:val="-1"/>
        </w:rPr>
        <w:t>sure</w:t>
      </w:r>
      <w:r w:rsidRPr="0031675F">
        <w:rPr>
          <w:i/>
          <w:spacing w:val="1"/>
        </w:rPr>
        <w:t xml:space="preserve"> </w:t>
      </w:r>
      <w:r w:rsidRPr="0031675F">
        <w:rPr>
          <w:i/>
          <w:spacing w:val="-1"/>
        </w:rPr>
        <w:t>you</w:t>
      </w:r>
      <w:r w:rsidRPr="0031675F">
        <w:rPr>
          <w:i/>
        </w:rPr>
        <w:t xml:space="preserve"> read</w:t>
      </w:r>
      <w:r w:rsidRPr="0031675F">
        <w:rPr>
          <w:i/>
          <w:spacing w:val="49"/>
        </w:rPr>
        <w:t xml:space="preserve"> </w:t>
      </w:r>
      <w:r w:rsidRPr="0031675F">
        <w:rPr>
          <w:i/>
          <w:spacing w:val="-1"/>
        </w:rPr>
        <w:t>each</w:t>
      </w:r>
      <w:r w:rsidRPr="0031675F">
        <w:rPr>
          <w:i/>
          <w:spacing w:val="49"/>
        </w:rPr>
        <w:t xml:space="preserve"> </w:t>
      </w:r>
      <w:r w:rsidRPr="0031675F">
        <w:rPr>
          <w:i/>
          <w:spacing w:val="-1"/>
        </w:rPr>
        <w:t>new</w:t>
      </w:r>
      <w:r w:rsidRPr="0031675F">
        <w:rPr>
          <w:i/>
          <w:spacing w:val="1"/>
        </w:rPr>
        <w:t xml:space="preserve"> </w:t>
      </w:r>
      <w:r w:rsidRPr="0031675F">
        <w:rPr>
          <w:i/>
          <w:spacing w:val="-1"/>
        </w:rPr>
        <w:t>batch</w:t>
      </w:r>
      <w:r w:rsidRPr="0031675F">
        <w:rPr>
          <w:i/>
        </w:rPr>
        <w:t xml:space="preserve"> </w:t>
      </w:r>
      <w:r w:rsidRPr="0031675F">
        <w:rPr>
          <w:i/>
          <w:spacing w:val="-1"/>
        </w:rPr>
        <w:t>of</w:t>
      </w:r>
      <w:r w:rsidRPr="0031675F">
        <w:rPr>
          <w:i/>
          <w:spacing w:val="42"/>
        </w:rPr>
        <w:t xml:space="preserve"> </w:t>
      </w:r>
      <w:r w:rsidRPr="0031675F">
        <w:rPr>
          <w:i/>
          <w:spacing w:val="-1"/>
        </w:rPr>
        <w:t>samples</w:t>
      </w:r>
      <w:r w:rsidRPr="0031675F">
        <w:rPr>
          <w:i/>
          <w:spacing w:val="22"/>
        </w:rPr>
        <w:t xml:space="preserve"> </w:t>
      </w:r>
      <w:r w:rsidRPr="0031675F">
        <w:rPr>
          <w:i/>
          <w:spacing w:val="-1"/>
        </w:rPr>
        <w:t>after</w:t>
      </w:r>
      <w:r w:rsidRPr="0031675F">
        <w:rPr>
          <w:i/>
          <w:spacing w:val="22"/>
        </w:rPr>
        <w:t xml:space="preserve"> </w:t>
      </w:r>
      <w:r w:rsidRPr="0031675F">
        <w:rPr>
          <w:i/>
        </w:rPr>
        <w:t>the</w:t>
      </w:r>
      <w:r w:rsidRPr="0031675F">
        <w:rPr>
          <w:i/>
          <w:spacing w:val="21"/>
        </w:rPr>
        <w:t xml:space="preserve"> </w:t>
      </w:r>
      <w:r w:rsidRPr="0031675F">
        <w:rPr>
          <w:i/>
          <w:spacing w:val="-1"/>
        </w:rPr>
        <w:t>same</w:t>
      </w:r>
      <w:r w:rsidRPr="0031675F">
        <w:rPr>
          <w:i/>
          <w:spacing w:val="22"/>
        </w:rPr>
        <w:t xml:space="preserve"> </w:t>
      </w:r>
      <w:r w:rsidRPr="0031675F">
        <w:rPr>
          <w:i/>
          <w:spacing w:val="-1"/>
        </w:rPr>
        <w:t>incubation</w:t>
      </w:r>
      <w:r w:rsidRPr="0031675F">
        <w:rPr>
          <w:i/>
          <w:spacing w:val="20"/>
        </w:rPr>
        <w:t xml:space="preserve"> </w:t>
      </w:r>
      <w:r w:rsidRPr="0031675F">
        <w:rPr>
          <w:i/>
          <w:spacing w:val="-1"/>
        </w:rPr>
        <w:t>interval</w:t>
      </w:r>
      <w:r w:rsidRPr="0031675F">
        <w:rPr>
          <w:i/>
          <w:spacing w:val="21"/>
        </w:rPr>
        <w:t xml:space="preserve"> </w:t>
      </w:r>
      <w:r w:rsidRPr="0031675F">
        <w:rPr>
          <w:i/>
          <w:spacing w:val="-1"/>
        </w:rPr>
        <w:t>as</w:t>
      </w:r>
      <w:r w:rsidRPr="0031675F">
        <w:rPr>
          <w:i/>
          <w:spacing w:val="22"/>
        </w:rPr>
        <w:t xml:space="preserve"> </w:t>
      </w:r>
      <w:r w:rsidRPr="0031675F">
        <w:rPr>
          <w:i/>
        </w:rPr>
        <w:t>the</w:t>
      </w:r>
      <w:r w:rsidRPr="0031675F">
        <w:rPr>
          <w:i/>
          <w:spacing w:val="21"/>
        </w:rPr>
        <w:t xml:space="preserve"> </w:t>
      </w:r>
      <w:r w:rsidRPr="0031675F">
        <w:rPr>
          <w:i/>
          <w:spacing w:val="-1"/>
        </w:rPr>
        <w:t>original</w:t>
      </w:r>
      <w:r w:rsidRPr="0031675F">
        <w:rPr>
          <w:i/>
          <w:spacing w:val="21"/>
        </w:rPr>
        <w:t xml:space="preserve"> </w:t>
      </w:r>
      <w:r w:rsidRPr="0031675F">
        <w:rPr>
          <w:i/>
          <w:spacing w:val="-1"/>
        </w:rPr>
        <w:t>batch</w:t>
      </w:r>
      <w:r w:rsidRPr="0031675F">
        <w:rPr>
          <w:i/>
          <w:spacing w:val="21"/>
        </w:rPr>
        <w:t xml:space="preserve"> </w:t>
      </w:r>
      <w:r w:rsidRPr="0031675F">
        <w:rPr>
          <w:i/>
          <w:spacing w:val="-1"/>
        </w:rPr>
        <w:t>of</w:t>
      </w:r>
      <w:r w:rsidRPr="0031675F">
        <w:rPr>
          <w:i/>
          <w:spacing w:val="21"/>
        </w:rPr>
        <w:t xml:space="preserve"> </w:t>
      </w:r>
      <w:r w:rsidRPr="0031675F">
        <w:rPr>
          <w:i/>
          <w:spacing w:val="-1"/>
        </w:rPr>
        <w:t>standards</w:t>
      </w:r>
      <w:r w:rsidRPr="0031675F">
        <w:rPr>
          <w:i/>
          <w:spacing w:val="24"/>
        </w:rPr>
        <w:t xml:space="preserve"> </w:t>
      </w:r>
      <w:r w:rsidRPr="0031675F">
        <w:rPr>
          <w:i/>
          <w:spacing w:val="-1"/>
        </w:rPr>
        <w:t>and</w:t>
      </w:r>
      <w:r w:rsidRPr="0031675F">
        <w:rPr>
          <w:i/>
          <w:spacing w:val="21"/>
        </w:rPr>
        <w:t xml:space="preserve"> </w:t>
      </w:r>
      <w:r w:rsidRPr="0031675F">
        <w:rPr>
          <w:i/>
          <w:spacing w:val="-1"/>
        </w:rPr>
        <w:t>samples.</w:t>
      </w:r>
      <w:r w:rsidRPr="0031675F">
        <w:rPr>
          <w:i/>
          <w:spacing w:val="21"/>
        </w:rPr>
        <w:t xml:space="preserve"> </w:t>
      </w:r>
      <w:r w:rsidRPr="0031675F">
        <w:rPr>
          <w:i/>
          <w:spacing w:val="-1"/>
        </w:rPr>
        <w:t>This</w:t>
      </w:r>
      <w:r w:rsidRPr="0031675F">
        <w:rPr>
          <w:i/>
          <w:spacing w:val="48"/>
        </w:rPr>
        <w:t xml:space="preserve"> </w:t>
      </w:r>
      <w:r w:rsidRPr="0031675F">
        <w:rPr>
          <w:i/>
          <w:spacing w:val="-1"/>
        </w:rPr>
        <w:t>ensures colour</w:t>
      </w:r>
      <w:r w:rsidRPr="0031675F">
        <w:rPr>
          <w:i/>
          <w:spacing w:val="1"/>
        </w:rPr>
        <w:t xml:space="preserve"> </w:t>
      </w:r>
      <w:r w:rsidRPr="0031675F">
        <w:rPr>
          <w:i/>
          <w:spacing w:val="-1"/>
        </w:rPr>
        <w:t>development</w:t>
      </w:r>
      <w:r w:rsidRPr="0031675F">
        <w:rPr>
          <w:i/>
        </w:rPr>
        <w:t xml:space="preserve"> will </w:t>
      </w:r>
      <w:r w:rsidRPr="0031675F">
        <w:rPr>
          <w:i/>
          <w:spacing w:val="-1"/>
        </w:rPr>
        <w:t>be</w:t>
      </w:r>
      <w:r w:rsidRPr="0031675F">
        <w:rPr>
          <w:i/>
          <w:spacing w:val="-3"/>
        </w:rPr>
        <w:t xml:space="preserve"> </w:t>
      </w:r>
      <w:r w:rsidRPr="0031675F">
        <w:rPr>
          <w:i/>
          <w:spacing w:val="-1"/>
        </w:rPr>
        <w:t>at</w:t>
      </w:r>
      <w:r w:rsidRPr="0031675F">
        <w:rPr>
          <w:i/>
        </w:rPr>
        <w:t xml:space="preserve"> a</w:t>
      </w:r>
      <w:r w:rsidRPr="0031675F">
        <w:rPr>
          <w:i/>
          <w:spacing w:val="-1"/>
        </w:rPr>
        <w:t xml:space="preserve"> similar</w:t>
      </w:r>
      <w:r w:rsidRPr="0031675F">
        <w:rPr>
          <w:i/>
          <w:spacing w:val="-2"/>
        </w:rPr>
        <w:t xml:space="preserve"> </w:t>
      </w:r>
      <w:r w:rsidRPr="0031675F">
        <w:rPr>
          <w:i/>
          <w:spacing w:val="-1"/>
        </w:rPr>
        <w:t>stage</w:t>
      </w:r>
      <w:r w:rsidRPr="0031675F">
        <w:rPr>
          <w:i/>
        </w:rPr>
        <w:t xml:space="preserve"> </w:t>
      </w:r>
      <w:r w:rsidRPr="0031675F">
        <w:rPr>
          <w:i/>
          <w:spacing w:val="-2"/>
        </w:rPr>
        <w:t>on</w:t>
      </w:r>
      <w:r w:rsidRPr="0031675F">
        <w:rPr>
          <w:i/>
          <w:spacing w:val="-1"/>
        </w:rPr>
        <w:t xml:space="preserve"> the</w:t>
      </w:r>
      <w:r w:rsidRPr="0031675F">
        <w:rPr>
          <w:i/>
        </w:rPr>
        <w:t xml:space="preserve"> </w:t>
      </w:r>
      <w:r w:rsidRPr="0031675F">
        <w:rPr>
          <w:i/>
          <w:spacing w:val="-1"/>
        </w:rPr>
        <w:t>reaction curve.</w:t>
      </w:r>
    </w:p>
    <w:p w14:paraId="21A0FAFB" w14:textId="77777777" w:rsidR="0031675F" w:rsidRPr="0031675F" w:rsidRDefault="0031675F" w:rsidP="0031675F">
      <w:pPr>
        <w:spacing w:before="11"/>
        <w:rPr>
          <w:rFonts w:cs="Calibri"/>
          <w:i/>
          <w:sz w:val="21"/>
          <w:szCs w:val="21"/>
        </w:rPr>
      </w:pPr>
    </w:p>
    <w:p w14:paraId="37C92C2D" w14:textId="77777777" w:rsidR="0031675F" w:rsidRPr="0031675F" w:rsidRDefault="0031675F" w:rsidP="0031675F">
      <w:pPr>
        <w:widowControl w:val="0"/>
        <w:numPr>
          <w:ilvl w:val="1"/>
          <w:numId w:val="121"/>
        </w:numPr>
        <w:tabs>
          <w:tab w:val="left" w:pos="686"/>
        </w:tabs>
        <w:spacing w:before="0" w:after="0" w:line="240" w:lineRule="auto"/>
        <w:ind w:left="685"/>
        <w:jc w:val="both"/>
        <w:rPr>
          <w:rFonts w:eastAsia="Arial" w:cs="Arial"/>
          <w:sz w:val="24"/>
          <w:szCs w:val="24"/>
        </w:rPr>
      </w:pPr>
      <w:r w:rsidRPr="0031675F">
        <w:rPr>
          <w:b/>
          <w:sz w:val="24"/>
        </w:rPr>
        <w:t>Calculations</w:t>
      </w:r>
    </w:p>
    <w:p w14:paraId="3BB08EA4" w14:textId="77777777" w:rsidR="0031675F" w:rsidRPr="0031675F" w:rsidRDefault="0031675F" w:rsidP="0031675F">
      <w:pPr>
        <w:spacing w:before="9"/>
        <w:rPr>
          <w:rFonts w:eastAsia="Arial" w:cs="Arial"/>
          <w:b/>
          <w:bCs/>
          <w:sz w:val="20"/>
          <w:szCs w:val="20"/>
        </w:rPr>
      </w:pPr>
    </w:p>
    <w:p w14:paraId="7F5D10AD" w14:textId="77777777" w:rsidR="0031675F" w:rsidRPr="0031675F" w:rsidRDefault="0031675F" w:rsidP="0031675F">
      <w:pPr>
        <w:widowControl w:val="0"/>
        <w:numPr>
          <w:ilvl w:val="2"/>
          <w:numId w:val="121"/>
        </w:numPr>
        <w:tabs>
          <w:tab w:val="left" w:pos="686"/>
        </w:tabs>
        <w:spacing w:before="0" w:after="0" w:line="240" w:lineRule="auto"/>
        <w:jc w:val="both"/>
        <w:rPr>
          <w:rFonts w:eastAsia="Arial" w:cs="Arial"/>
          <w:sz w:val="20"/>
          <w:szCs w:val="20"/>
        </w:rPr>
      </w:pPr>
      <w:r w:rsidRPr="0031675F">
        <w:rPr>
          <w:b/>
          <w:sz w:val="20"/>
        </w:rPr>
        <w:t>Background</w:t>
      </w:r>
      <w:r w:rsidRPr="0031675F">
        <w:rPr>
          <w:b/>
          <w:spacing w:val="-15"/>
          <w:sz w:val="20"/>
        </w:rPr>
        <w:t xml:space="preserve"> </w:t>
      </w:r>
      <w:r w:rsidRPr="0031675F">
        <w:rPr>
          <w:b/>
          <w:sz w:val="20"/>
        </w:rPr>
        <w:t>Fluorescence</w:t>
      </w:r>
      <w:r w:rsidRPr="0031675F">
        <w:rPr>
          <w:b/>
          <w:spacing w:val="-15"/>
          <w:sz w:val="20"/>
        </w:rPr>
        <w:t xml:space="preserve"> </w:t>
      </w:r>
      <w:r w:rsidRPr="0031675F">
        <w:rPr>
          <w:b/>
          <w:sz w:val="20"/>
        </w:rPr>
        <w:t>[F</w:t>
      </w:r>
      <w:r w:rsidRPr="0031675F">
        <w:rPr>
          <w:b/>
          <w:position w:val="-2"/>
          <w:sz w:val="13"/>
        </w:rPr>
        <w:t>BF</w:t>
      </w:r>
      <w:r w:rsidRPr="0031675F">
        <w:rPr>
          <w:b/>
          <w:sz w:val="20"/>
        </w:rPr>
        <w:t>]</w:t>
      </w:r>
    </w:p>
    <w:p w14:paraId="3055BAA7" w14:textId="77777777" w:rsidR="0031675F" w:rsidRPr="0031675F" w:rsidRDefault="0031675F" w:rsidP="0031675F">
      <w:pPr>
        <w:spacing w:before="2"/>
        <w:rPr>
          <w:rFonts w:eastAsia="Arial" w:cs="Arial"/>
          <w:b/>
          <w:bCs/>
          <w:sz w:val="19"/>
          <w:szCs w:val="19"/>
        </w:rPr>
      </w:pPr>
    </w:p>
    <w:p w14:paraId="63E6719B" w14:textId="77777777" w:rsidR="0031675F" w:rsidRPr="0031675F" w:rsidRDefault="0031675F" w:rsidP="0031675F">
      <w:pPr>
        <w:spacing w:after="120" w:line="268" w:lineRule="exact"/>
        <w:ind w:right="119"/>
      </w:pPr>
      <w:r w:rsidRPr="0031675F">
        <w:t>F</w:t>
      </w:r>
      <w:r w:rsidRPr="0031675F">
        <w:rPr>
          <w:position w:val="-2"/>
          <w:sz w:val="14"/>
        </w:rPr>
        <w:t xml:space="preserve">BF </w:t>
      </w:r>
      <w:r w:rsidRPr="0031675F">
        <w:rPr>
          <w:spacing w:val="20"/>
          <w:position w:val="-2"/>
          <w:sz w:val="14"/>
        </w:rPr>
        <w:t xml:space="preserve"> </w:t>
      </w:r>
      <w:r w:rsidRPr="0031675F">
        <w:t>is</w:t>
      </w:r>
      <w:r w:rsidRPr="0031675F">
        <w:rPr>
          <w:spacing w:val="33"/>
        </w:rPr>
        <w:t xml:space="preserve"> </w:t>
      </w:r>
      <w:r w:rsidRPr="0031675F">
        <w:rPr>
          <w:spacing w:val="-1"/>
        </w:rPr>
        <w:t>determined</w:t>
      </w:r>
      <w:r w:rsidRPr="0031675F">
        <w:rPr>
          <w:spacing w:val="32"/>
        </w:rPr>
        <w:t xml:space="preserve"> </w:t>
      </w:r>
      <w:r w:rsidRPr="0031675F">
        <w:rPr>
          <w:spacing w:val="-1"/>
        </w:rPr>
        <w:t>by</w:t>
      </w:r>
      <w:r w:rsidRPr="0031675F">
        <w:rPr>
          <w:spacing w:val="32"/>
        </w:rPr>
        <w:t xml:space="preserve"> </w:t>
      </w:r>
      <w:r w:rsidRPr="0031675F">
        <w:rPr>
          <w:spacing w:val="-2"/>
        </w:rPr>
        <w:t>mixing</w:t>
      </w:r>
      <w:r w:rsidRPr="0031675F">
        <w:rPr>
          <w:spacing w:val="33"/>
        </w:rPr>
        <w:t xml:space="preserve"> </w:t>
      </w:r>
      <w:r w:rsidRPr="0031675F">
        <w:t>the</w:t>
      </w:r>
      <w:r w:rsidRPr="0031675F">
        <w:rPr>
          <w:spacing w:val="33"/>
        </w:rPr>
        <w:t xml:space="preserve"> </w:t>
      </w:r>
      <w:r w:rsidRPr="0031675F">
        <w:rPr>
          <w:spacing w:val="-1"/>
        </w:rPr>
        <w:t>sample</w:t>
      </w:r>
      <w:r w:rsidRPr="0031675F">
        <w:rPr>
          <w:spacing w:val="32"/>
        </w:rPr>
        <w:t xml:space="preserve"> </w:t>
      </w:r>
      <w:r w:rsidRPr="0031675F">
        <w:t>with</w:t>
      </w:r>
      <w:r w:rsidRPr="0031675F">
        <w:rPr>
          <w:spacing w:val="33"/>
        </w:rPr>
        <w:t xml:space="preserve"> </w:t>
      </w:r>
      <w:r w:rsidRPr="0031675F">
        <w:rPr>
          <w:spacing w:val="-1"/>
        </w:rPr>
        <w:t>borate</w:t>
      </w:r>
      <w:r w:rsidRPr="0031675F">
        <w:rPr>
          <w:spacing w:val="34"/>
        </w:rPr>
        <w:t xml:space="preserve"> </w:t>
      </w:r>
      <w:r w:rsidRPr="0031675F">
        <w:rPr>
          <w:spacing w:val="-1"/>
        </w:rPr>
        <w:t>buffer</w:t>
      </w:r>
      <w:r w:rsidRPr="0031675F">
        <w:rPr>
          <w:spacing w:val="34"/>
        </w:rPr>
        <w:t xml:space="preserve"> </w:t>
      </w:r>
      <w:r w:rsidRPr="0031675F">
        <w:rPr>
          <w:spacing w:val="-1"/>
        </w:rPr>
        <w:t>instead</w:t>
      </w:r>
      <w:r w:rsidRPr="0031675F">
        <w:rPr>
          <w:spacing w:val="30"/>
        </w:rPr>
        <w:t xml:space="preserve"> </w:t>
      </w:r>
      <w:r w:rsidRPr="0031675F">
        <w:t>of</w:t>
      </w:r>
      <w:r w:rsidRPr="0031675F">
        <w:rPr>
          <w:spacing w:val="34"/>
        </w:rPr>
        <w:t xml:space="preserve"> </w:t>
      </w:r>
      <w:r w:rsidRPr="0031675F">
        <w:rPr>
          <w:spacing w:val="-1"/>
        </w:rPr>
        <w:t>working</w:t>
      </w:r>
      <w:r w:rsidRPr="0031675F">
        <w:rPr>
          <w:spacing w:val="33"/>
        </w:rPr>
        <w:t xml:space="preserve"> </w:t>
      </w:r>
      <w:r w:rsidRPr="0031675F">
        <w:rPr>
          <w:spacing w:val="-1"/>
        </w:rPr>
        <w:t>reagent</w:t>
      </w:r>
      <w:r w:rsidRPr="0031675F">
        <w:rPr>
          <w:spacing w:val="30"/>
        </w:rPr>
        <w:t xml:space="preserve"> </w:t>
      </w:r>
      <w:r w:rsidRPr="0031675F">
        <w:rPr>
          <w:spacing w:val="-1"/>
        </w:rPr>
        <w:t>(WR).</w:t>
      </w:r>
      <w:r w:rsidRPr="0031675F">
        <w:t xml:space="preserve">  </w:t>
      </w:r>
      <w:r w:rsidRPr="0031675F">
        <w:rPr>
          <w:spacing w:val="-1"/>
        </w:rPr>
        <w:t>No</w:t>
      </w:r>
      <w:r w:rsidRPr="0031675F">
        <w:rPr>
          <w:spacing w:val="47"/>
        </w:rPr>
        <w:t xml:space="preserve"> </w:t>
      </w:r>
      <w:r w:rsidRPr="0031675F">
        <w:rPr>
          <w:spacing w:val="-1"/>
        </w:rPr>
        <w:t xml:space="preserve">incubation period </w:t>
      </w:r>
      <w:r w:rsidRPr="0031675F">
        <w:t xml:space="preserve">is </w:t>
      </w:r>
      <w:r w:rsidRPr="0031675F">
        <w:rPr>
          <w:spacing w:val="-1"/>
        </w:rPr>
        <w:t>necessary</w:t>
      </w:r>
      <w:r w:rsidRPr="0031675F">
        <w:rPr>
          <w:spacing w:val="1"/>
        </w:rPr>
        <w:t xml:space="preserve"> </w:t>
      </w:r>
      <w:r w:rsidRPr="0031675F">
        <w:rPr>
          <w:spacing w:val="-1"/>
        </w:rPr>
        <w:t>before</w:t>
      </w:r>
      <w:r w:rsidRPr="0031675F">
        <w:t xml:space="preserve"> </w:t>
      </w:r>
      <w:r w:rsidRPr="0031675F">
        <w:rPr>
          <w:spacing w:val="-1"/>
        </w:rPr>
        <w:t>reading.</w:t>
      </w:r>
    </w:p>
    <w:p w14:paraId="1AA13874" w14:textId="77777777" w:rsidR="0031675F" w:rsidRPr="0031675F" w:rsidRDefault="0031675F" w:rsidP="0031675F">
      <w:pPr>
        <w:spacing w:before="6"/>
        <w:rPr>
          <w:rFonts w:cs="Calibri"/>
        </w:rPr>
      </w:pPr>
    </w:p>
    <w:p w14:paraId="35FF7842" w14:textId="77777777" w:rsidR="0031675F" w:rsidRPr="0031675F" w:rsidRDefault="0031675F" w:rsidP="0031675F">
      <w:pPr>
        <w:spacing w:after="120"/>
        <w:jc w:val="both"/>
      </w:pPr>
      <w:r w:rsidRPr="0031675F">
        <w:rPr>
          <w:spacing w:val="-1"/>
        </w:rPr>
        <w:t>Sample</w:t>
      </w:r>
      <w:r w:rsidRPr="0031675F">
        <w:t xml:space="preserve"> </w:t>
      </w:r>
      <w:r w:rsidRPr="0031675F">
        <w:rPr>
          <w:spacing w:val="-1"/>
        </w:rPr>
        <w:t>fluorescence</w:t>
      </w:r>
      <w:r w:rsidRPr="0031675F">
        <w:rPr>
          <w:spacing w:val="-2"/>
        </w:rPr>
        <w:t xml:space="preserve"> </w:t>
      </w:r>
      <w:r w:rsidRPr="0031675F">
        <w:t xml:space="preserve">is </w:t>
      </w:r>
      <w:r w:rsidRPr="0031675F">
        <w:rPr>
          <w:spacing w:val="-1"/>
        </w:rPr>
        <w:t xml:space="preserve">calculated </w:t>
      </w:r>
      <w:r w:rsidRPr="0031675F">
        <w:t>as:</w:t>
      </w:r>
    </w:p>
    <w:p w14:paraId="59400067" w14:textId="77777777" w:rsidR="0031675F" w:rsidRPr="0031675F" w:rsidRDefault="0031675F" w:rsidP="0031675F">
      <w:pPr>
        <w:widowControl w:val="0"/>
        <w:numPr>
          <w:ilvl w:val="3"/>
          <w:numId w:val="121"/>
        </w:numPr>
        <w:tabs>
          <w:tab w:val="left" w:pos="1559"/>
        </w:tabs>
        <w:spacing w:before="0" w:after="0" w:line="240" w:lineRule="auto"/>
        <w:rPr>
          <w:rFonts w:cs="Calibri"/>
          <w:sz w:val="16"/>
          <w:szCs w:val="16"/>
        </w:rPr>
      </w:pPr>
      <w:r w:rsidRPr="0031675F">
        <w:rPr>
          <w:spacing w:val="-1"/>
        </w:rPr>
        <w:t>Fsample</w:t>
      </w:r>
      <w:r w:rsidRPr="0031675F">
        <w:rPr>
          <w:spacing w:val="2"/>
        </w:rPr>
        <w:t xml:space="preserve"> </w:t>
      </w:r>
      <w:r w:rsidRPr="0031675F">
        <w:rPr>
          <w:spacing w:val="-1"/>
          <w:sz w:val="16"/>
        </w:rPr>
        <w:t>NH4</w:t>
      </w:r>
      <w:r w:rsidRPr="0031675F">
        <w:rPr>
          <w:sz w:val="16"/>
        </w:rPr>
        <w:t xml:space="preserve"> =</w:t>
      </w:r>
      <w:r w:rsidRPr="0031675F">
        <w:rPr>
          <w:spacing w:val="13"/>
          <w:sz w:val="16"/>
        </w:rPr>
        <w:t xml:space="preserve"> </w:t>
      </w:r>
      <w:r w:rsidRPr="0031675F">
        <w:rPr>
          <w:spacing w:val="-1"/>
        </w:rPr>
        <w:t>Fsample</w:t>
      </w:r>
      <w:r w:rsidRPr="0031675F">
        <w:rPr>
          <w:spacing w:val="1"/>
        </w:rPr>
        <w:t xml:space="preserve"> </w:t>
      </w:r>
      <w:r w:rsidRPr="0031675F">
        <w:rPr>
          <w:spacing w:val="-1"/>
          <w:sz w:val="16"/>
        </w:rPr>
        <w:t>obs</w:t>
      </w:r>
      <w:r w:rsidRPr="0031675F">
        <w:rPr>
          <w:spacing w:val="13"/>
          <w:sz w:val="16"/>
        </w:rPr>
        <w:t xml:space="preserve"> </w:t>
      </w:r>
      <w:r w:rsidRPr="0031675F">
        <w:t>-</w:t>
      </w:r>
      <w:r w:rsidRPr="0031675F">
        <w:rPr>
          <w:spacing w:val="-5"/>
        </w:rPr>
        <w:t xml:space="preserve"> </w:t>
      </w:r>
      <w:r w:rsidRPr="0031675F">
        <w:rPr>
          <w:spacing w:val="-1"/>
        </w:rPr>
        <w:t>Fsample</w:t>
      </w:r>
      <w:r w:rsidRPr="0031675F">
        <w:rPr>
          <w:spacing w:val="1"/>
        </w:rPr>
        <w:t xml:space="preserve"> </w:t>
      </w:r>
      <w:r w:rsidRPr="0031675F">
        <w:rPr>
          <w:spacing w:val="-2"/>
          <w:sz w:val="16"/>
        </w:rPr>
        <w:t>BF</w:t>
      </w:r>
    </w:p>
    <w:p w14:paraId="075C4C7C" w14:textId="77777777" w:rsidR="0031675F" w:rsidRPr="0031675F" w:rsidRDefault="0031675F" w:rsidP="0031675F">
      <w:pPr>
        <w:spacing w:before="194" w:after="120"/>
        <w:jc w:val="both"/>
      </w:pPr>
      <w:r w:rsidRPr="0031675F">
        <w:rPr>
          <w:spacing w:val="-1"/>
        </w:rPr>
        <w:t>Where:</w:t>
      </w:r>
      <w:r w:rsidRPr="0031675F">
        <w:rPr>
          <w:spacing w:val="3"/>
        </w:rPr>
        <w:t xml:space="preserve"> </w:t>
      </w:r>
      <w:r w:rsidRPr="0031675F">
        <w:rPr>
          <w:spacing w:val="-1"/>
        </w:rPr>
        <w:t>Fsample</w:t>
      </w:r>
      <w:r w:rsidRPr="0031675F">
        <w:rPr>
          <w:spacing w:val="1"/>
        </w:rPr>
        <w:t xml:space="preserve"> </w:t>
      </w:r>
      <w:r w:rsidRPr="0031675F">
        <w:rPr>
          <w:spacing w:val="-1"/>
          <w:sz w:val="16"/>
        </w:rPr>
        <w:t>NH4</w:t>
      </w:r>
      <w:r w:rsidRPr="0031675F">
        <w:rPr>
          <w:spacing w:val="12"/>
          <w:sz w:val="16"/>
        </w:rPr>
        <w:t xml:space="preserve"> </w:t>
      </w:r>
      <w:r w:rsidRPr="0031675F">
        <w:t>=</w:t>
      </w:r>
      <w:r w:rsidRPr="0031675F">
        <w:rPr>
          <w:spacing w:val="-14"/>
        </w:rPr>
        <w:t xml:space="preserve"> </w:t>
      </w:r>
      <w:r w:rsidRPr="0031675F">
        <w:rPr>
          <w:spacing w:val="-1"/>
        </w:rPr>
        <w:t>fluorescence</w:t>
      </w:r>
      <w:r w:rsidRPr="0031675F">
        <w:rPr>
          <w:spacing w:val="-2"/>
        </w:rPr>
        <w:t xml:space="preserve"> </w:t>
      </w:r>
      <w:r w:rsidRPr="0031675F">
        <w:t xml:space="preserve">of </w:t>
      </w:r>
      <w:r w:rsidRPr="0031675F">
        <w:rPr>
          <w:spacing w:val="-1"/>
        </w:rPr>
        <w:t>sample</w:t>
      </w:r>
      <w:r w:rsidRPr="0031675F">
        <w:rPr>
          <w:spacing w:val="-3"/>
        </w:rPr>
        <w:t xml:space="preserve"> </w:t>
      </w:r>
      <w:r w:rsidRPr="0031675F">
        <w:rPr>
          <w:spacing w:val="-1"/>
        </w:rPr>
        <w:t>due</w:t>
      </w:r>
      <w:r w:rsidRPr="0031675F">
        <w:t xml:space="preserve"> </w:t>
      </w:r>
      <w:r w:rsidRPr="0031675F">
        <w:rPr>
          <w:spacing w:val="-1"/>
        </w:rPr>
        <w:t>to</w:t>
      </w:r>
      <w:r w:rsidRPr="0031675F">
        <w:rPr>
          <w:spacing w:val="1"/>
        </w:rPr>
        <w:t xml:space="preserve"> </w:t>
      </w:r>
      <w:r w:rsidRPr="0031675F">
        <w:rPr>
          <w:spacing w:val="-1"/>
        </w:rPr>
        <w:t>ammonium</w:t>
      </w:r>
    </w:p>
    <w:p w14:paraId="7AEED516" w14:textId="77777777" w:rsidR="0031675F" w:rsidRPr="0031675F" w:rsidRDefault="0031675F" w:rsidP="0031675F">
      <w:pPr>
        <w:spacing w:after="120"/>
        <w:ind w:right="2176"/>
      </w:pPr>
      <w:r w:rsidRPr="0031675F">
        <w:rPr>
          <w:spacing w:val="-1"/>
        </w:rPr>
        <w:t>Fsample</w:t>
      </w:r>
      <w:r w:rsidRPr="0031675F">
        <w:rPr>
          <w:spacing w:val="1"/>
        </w:rPr>
        <w:t xml:space="preserve"> </w:t>
      </w:r>
      <w:r w:rsidRPr="0031675F">
        <w:rPr>
          <w:spacing w:val="-1"/>
          <w:sz w:val="16"/>
        </w:rPr>
        <w:t>obs</w:t>
      </w:r>
      <w:r w:rsidRPr="0031675F">
        <w:rPr>
          <w:spacing w:val="11"/>
          <w:sz w:val="16"/>
        </w:rPr>
        <w:t xml:space="preserve"> </w:t>
      </w:r>
      <w:r w:rsidRPr="0031675F">
        <w:t>=</w:t>
      </w:r>
      <w:r w:rsidRPr="0031675F">
        <w:rPr>
          <w:spacing w:val="-2"/>
        </w:rPr>
        <w:t xml:space="preserve"> </w:t>
      </w:r>
      <w:r w:rsidRPr="0031675F">
        <w:rPr>
          <w:spacing w:val="-1"/>
        </w:rPr>
        <w:t>measured</w:t>
      </w:r>
      <w:r w:rsidRPr="0031675F">
        <w:t xml:space="preserve"> </w:t>
      </w:r>
      <w:r w:rsidRPr="0031675F">
        <w:rPr>
          <w:spacing w:val="-1"/>
        </w:rPr>
        <w:t>fluorescence</w:t>
      </w:r>
      <w:r w:rsidRPr="0031675F">
        <w:rPr>
          <w:spacing w:val="-2"/>
        </w:rPr>
        <w:t xml:space="preserve"> </w:t>
      </w:r>
      <w:r w:rsidRPr="0031675F">
        <w:rPr>
          <w:spacing w:val="-1"/>
        </w:rPr>
        <w:t>when</w:t>
      </w:r>
      <w:r w:rsidRPr="0031675F">
        <w:t xml:space="preserve"> </w:t>
      </w:r>
      <w:r w:rsidRPr="0031675F">
        <w:rPr>
          <w:spacing w:val="-1"/>
        </w:rPr>
        <w:t>incubated</w:t>
      </w:r>
      <w:r w:rsidRPr="0031675F">
        <w:rPr>
          <w:spacing w:val="-3"/>
        </w:rPr>
        <w:t xml:space="preserve"> </w:t>
      </w:r>
      <w:r w:rsidRPr="0031675F">
        <w:t xml:space="preserve">with </w:t>
      </w:r>
      <w:r w:rsidRPr="0031675F">
        <w:rPr>
          <w:spacing w:val="-1"/>
        </w:rPr>
        <w:t>working reagent</w:t>
      </w:r>
      <w:r w:rsidRPr="0031675F">
        <w:rPr>
          <w:spacing w:val="45"/>
        </w:rPr>
        <w:t xml:space="preserve"> </w:t>
      </w:r>
      <w:r w:rsidRPr="0031675F">
        <w:rPr>
          <w:spacing w:val="-1"/>
        </w:rPr>
        <w:t>Fsample</w:t>
      </w:r>
      <w:r w:rsidRPr="0031675F">
        <w:rPr>
          <w:spacing w:val="1"/>
        </w:rPr>
        <w:t xml:space="preserve"> </w:t>
      </w:r>
      <w:r w:rsidRPr="0031675F">
        <w:rPr>
          <w:spacing w:val="-1"/>
          <w:sz w:val="16"/>
        </w:rPr>
        <w:t>BF</w:t>
      </w:r>
      <w:r w:rsidRPr="0031675F">
        <w:rPr>
          <w:spacing w:val="-2"/>
          <w:sz w:val="16"/>
        </w:rPr>
        <w:t xml:space="preserve"> </w:t>
      </w:r>
      <w:r w:rsidRPr="0031675F">
        <w:t>=</w:t>
      </w:r>
      <w:r w:rsidRPr="0031675F">
        <w:rPr>
          <w:spacing w:val="-2"/>
        </w:rPr>
        <w:t xml:space="preserve"> </w:t>
      </w:r>
      <w:r w:rsidRPr="0031675F">
        <w:rPr>
          <w:spacing w:val="-1"/>
        </w:rPr>
        <w:t>measured</w:t>
      </w:r>
      <w:r w:rsidRPr="0031675F">
        <w:rPr>
          <w:spacing w:val="-14"/>
        </w:rPr>
        <w:t xml:space="preserve"> </w:t>
      </w:r>
      <w:r w:rsidRPr="0031675F">
        <w:rPr>
          <w:spacing w:val="-1"/>
        </w:rPr>
        <w:t>fluorescence</w:t>
      </w:r>
      <w:r w:rsidRPr="0031675F">
        <w:t xml:space="preserve"> </w:t>
      </w:r>
      <w:r w:rsidRPr="0031675F">
        <w:rPr>
          <w:spacing w:val="-1"/>
        </w:rPr>
        <w:t>when</w:t>
      </w:r>
      <w:r w:rsidRPr="0031675F">
        <w:t xml:space="preserve"> </w:t>
      </w:r>
      <w:r w:rsidRPr="0031675F">
        <w:rPr>
          <w:spacing w:val="-1"/>
        </w:rPr>
        <w:t>mixed</w:t>
      </w:r>
      <w:r w:rsidRPr="0031675F">
        <w:rPr>
          <w:spacing w:val="-3"/>
        </w:rPr>
        <w:t xml:space="preserve"> </w:t>
      </w:r>
      <w:r w:rsidRPr="0031675F">
        <w:t>with</w:t>
      </w:r>
      <w:r w:rsidRPr="0031675F">
        <w:rPr>
          <w:spacing w:val="-2"/>
        </w:rPr>
        <w:t xml:space="preserve"> </w:t>
      </w:r>
      <w:r w:rsidRPr="0031675F">
        <w:t>borate</w:t>
      </w:r>
      <w:r w:rsidRPr="0031675F">
        <w:rPr>
          <w:spacing w:val="-2"/>
        </w:rPr>
        <w:t xml:space="preserve"> </w:t>
      </w:r>
      <w:r w:rsidRPr="0031675F">
        <w:rPr>
          <w:spacing w:val="-1"/>
        </w:rPr>
        <w:t>buffer</w:t>
      </w:r>
    </w:p>
    <w:p w14:paraId="377194FE" w14:textId="77777777" w:rsidR="0031675F" w:rsidRPr="0031675F" w:rsidRDefault="0031675F" w:rsidP="0031675F">
      <w:pPr>
        <w:widowControl w:val="0"/>
        <w:numPr>
          <w:ilvl w:val="2"/>
          <w:numId w:val="121"/>
        </w:numPr>
        <w:tabs>
          <w:tab w:val="left" w:pos="686"/>
        </w:tabs>
        <w:spacing w:before="192" w:after="0" w:line="240" w:lineRule="auto"/>
        <w:jc w:val="both"/>
        <w:rPr>
          <w:rFonts w:eastAsia="Arial" w:cs="Arial"/>
          <w:sz w:val="20"/>
          <w:szCs w:val="20"/>
        </w:rPr>
      </w:pPr>
      <w:r w:rsidRPr="0031675F">
        <w:rPr>
          <w:b/>
          <w:sz w:val="20"/>
        </w:rPr>
        <w:t>Matrix</w:t>
      </w:r>
      <w:r w:rsidRPr="0031675F">
        <w:rPr>
          <w:b/>
          <w:spacing w:val="-14"/>
          <w:sz w:val="20"/>
        </w:rPr>
        <w:t xml:space="preserve"> </w:t>
      </w:r>
      <w:r w:rsidRPr="0031675F">
        <w:rPr>
          <w:b/>
          <w:spacing w:val="-1"/>
          <w:sz w:val="20"/>
        </w:rPr>
        <w:t>Effect</w:t>
      </w:r>
    </w:p>
    <w:p w14:paraId="1B6DB29C" w14:textId="77777777" w:rsidR="0031675F" w:rsidRPr="0031675F" w:rsidRDefault="0031675F" w:rsidP="0031675F">
      <w:pPr>
        <w:spacing w:before="2"/>
        <w:rPr>
          <w:rFonts w:eastAsia="Arial" w:cs="Arial"/>
          <w:b/>
          <w:bCs/>
          <w:sz w:val="21"/>
          <w:szCs w:val="21"/>
        </w:rPr>
      </w:pPr>
    </w:p>
    <w:p w14:paraId="5A69D872" w14:textId="77777777" w:rsidR="0031675F" w:rsidRPr="0031675F" w:rsidRDefault="0031675F" w:rsidP="0031675F">
      <w:pPr>
        <w:spacing w:after="120"/>
        <w:ind w:right="110"/>
        <w:jc w:val="both"/>
      </w:pPr>
      <w:r w:rsidRPr="0031675F">
        <w:rPr>
          <w:rFonts w:cs="Calibri"/>
        </w:rPr>
        <w:t>Matrix</w:t>
      </w:r>
      <w:r w:rsidRPr="0031675F">
        <w:rPr>
          <w:rFonts w:cs="Calibri"/>
          <w:spacing w:val="33"/>
        </w:rPr>
        <w:t xml:space="preserve"> </w:t>
      </w:r>
      <w:r w:rsidRPr="0031675F">
        <w:rPr>
          <w:rFonts w:cs="Calibri"/>
          <w:spacing w:val="-1"/>
        </w:rPr>
        <w:t>Effect</w:t>
      </w:r>
      <w:r w:rsidRPr="0031675F">
        <w:rPr>
          <w:rFonts w:cs="Calibri"/>
          <w:spacing w:val="35"/>
        </w:rPr>
        <w:t xml:space="preserve"> </w:t>
      </w:r>
      <w:r w:rsidRPr="0031675F">
        <w:rPr>
          <w:rFonts w:cs="Calibri"/>
          <w:spacing w:val="-1"/>
        </w:rPr>
        <w:t>(ME)</w:t>
      </w:r>
      <w:r w:rsidRPr="0031675F">
        <w:rPr>
          <w:rFonts w:cs="Calibri"/>
          <w:spacing w:val="34"/>
        </w:rPr>
        <w:t xml:space="preserve"> </w:t>
      </w:r>
      <w:r w:rsidRPr="0031675F">
        <w:rPr>
          <w:rFonts w:cs="Calibri"/>
        </w:rPr>
        <w:t>is</w:t>
      </w:r>
      <w:r w:rsidRPr="0031675F">
        <w:rPr>
          <w:rFonts w:cs="Calibri"/>
          <w:spacing w:val="33"/>
        </w:rPr>
        <w:t xml:space="preserve"> </w:t>
      </w:r>
      <w:r w:rsidRPr="0031675F">
        <w:rPr>
          <w:rFonts w:cs="Calibri"/>
          <w:spacing w:val="-1"/>
        </w:rPr>
        <w:t>determined</w:t>
      </w:r>
      <w:r w:rsidRPr="0031675F">
        <w:rPr>
          <w:rFonts w:cs="Calibri"/>
          <w:spacing w:val="34"/>
        </w:rPr>
        <w:t xml:space="preserve"> </w:t>
      </w:r>
      <w:r w:rsidRPr="0031675F">
        <w:rPr>
          <w:rFonts w:cs="Calibri"/>
          <w:spacing w:val="-1"/>
        </w:rPr>
        <w:t>by</w:t>
      </w:r>
      <w:r w:rsidRPr="0031675F">
        <w:rPr>
          <w:rFonts w:cs="Calibri"/>
          <w:spacing w:val="34"/>
        </w:rPr>
        <w:t xml:space="preserve"> </w:t>
      </w:r>
      <w:r w:rsidRPr="0031675F">
        <w:rPr>
          <w:rFonts w:cs="Calibri"/>
          <w:spacing w:val="-1"/>
        </w:rPr>
        <w:t>preparing</w:t>
      </w:r>
      <w:r w:rsidRPr="0031675F">
        <w:rPr>
          <w:rFonts w:cs="Calibri"/>
          <w:spacing w:val="33"/>
        </w:rPr>
        <w:t xml:space="preserve"> </w:t>
      </w:r>
      <w:r w:rsidRPr="0031675F">
        <w:rPr>
          <w:rFonts w:cs="Calibri"/>
        </w:rPr>
        <w:t>a</w:t>
      </w:r>
      <w:r w:rsidRPr="0031675F">
        <w:rPr>
          <w:rFonts w:cs="Calibri"/>
          <w:spacing w:val="33"/>
        </w:rPr>
        <w:t xml:space="preserve"> </w:t>
      </w:r>
      <w:r w:rsidRPr="0031675F">
        <w:rPr>
          <w:rFonts w:cs="Calibri"/>
          <w:spacing w:val="-1"/>
        </w:rPr>
        <w:t>“standard</w:t>
      </w:r>
      <w:r w:rsidRPr="0031675F">
        <w:rPr>
          <w:rFonts w:cs="Calibri"/>
          <w:spacing w:val="33"/>
        </w:rPr>
        <w:t xml:space="preserve"> </w:t>
      </w:r>
      <w:r w:rsidRPr="0031675F">
        <w:rPr>
          <w:rFonts w:cs="Calibri"/>
          <w:spacing w:val="-1"/>
        </w:rPr>
        <w:t>curve”</w:t>
      </w:r>
      <w:r w:rsidRPr="0031675F">
        <w:rPr>
          <w:rFonts w:cs="Calibri"/>
          <w:spacing w:val="35"/>
        </w:rPr>
        <w:t xml:space="preserve"> </w:t>
      </w:r>
      <w:r w:rsidRPr="0031675F">
        <w:rPr>
          <w:rFonts w:cs="Calibri"/>
        </w:rPr>
        <w:t>as</w:t>
      </w:r>
      <w:r w:rsidRPr="0031675F">
        <w:rPr>
          <w:rFonts w:cs="Calibri"/>
          <w:spacing w:val="33"/>
        </w:rPr>
        <w:t xml:space="preserve"> </w:t>
      </w:r>
      <w:r w:rsidRPr="0031675F">
        <w:rPr>
          <w:rFonts w:cs="Calibri"/>
          <w:spacing w:val="-1"/>
        </w:rPr>
        <w:t>above</w:t>
      </w:r>
      <w:r w:rsidRPr="0031675F">
        <w:rPr>
          <w:rFonts w:cs="Calibri"/>
          <w:spacing w:val="34"/>
        </w:rPr>
        <w:t xml:space="preserve"> </w:t>
      </w:r>
      <w:r w:rsidRPr="0031675F">
        <w:rPr>
          <w:rFonts w:cs="Calibri"/>
          <w:spacing w:val="-1"/>
        </w:rPr>
        <w:t>using</w:t>
      </w:r>
      <w:r w:rsidRPr="0031675F">
        <w:rPr>
          <w:rFonts w:cs="Calibri"/>
          <w:spacing w:val="33"/>
        </w:rPr>
        <w:t xml:space="preserve"> </w:t>
      </w:r>
      <w:r w:rsidRPr="0031675F">
        <w:rPr>
          <w:rFonts w:cs="Calibri"/>
          <w:spacing w:val="-1"/>
        </w:rPr>
        <w:t>natural</w:t>
      </w:r>
      <w:r w:rsidRPr="0031675F">
        <w:rPr>
          <w:rFonts w:cs="Calibri"/>
          <w:spacing w:val="33"/>
        </w:rPr>
        <w:t xml:space="preserve"> </w:t>
      </w:r>
      <w:r w:rsidRPr="0031675F">
        <w:rPr>
          <w:rFonts w:cs="Calibri"/>
          <w:spacing w:val="-1"/>
        </w:rPr>
        <w:t>sample</w:t>
      </w:r>
      <w:r w:rsidRPr="0031675F">
        <w:rPr>
          <w:rFonts w:cs="Calibri"/>
          <w:spacing w:val="87"/>
        </w:rPr>
        <w:t xml:space="preserve"> </w:t>
      </w:r>
      <w:r w:rsidRPr="0031675F">
        <w:t>water</w:t>
      </w:r>
      <w:r w:rsidRPr="0031675F">
        <w:rPr>
          <w:spacing w:val="5"/>
        </w:rPr>
        <w:t xml:space="preserve"> </w:t>
      </w:r>
      <w:r w:rsidRPr="0031675F">
        <w:rPr>
          <w:spacing w:val="-1"/>
        </w:rPr>
        <w:t>instead</w:t>
      </w:r>
      <w:r w:rsidRPr="0031675F">
        <w:rPr>
          <w:spacing w:val="4"/>
        </w:rPr>
        <w:t xml:space="preserve"> </w:t>
      </w:r>
      <w:r w:rsidRPr="0031675F">
        <w:t>of</w:t>
      </w:r>
      <w:r w:rsidRPr="0031675F">
        <w:rPr>
          <w:spacing w:val="2"/>
        </w:rPr>
        <w:t xml:space="preserve"> </w:t>
      </w:r>
      <w:r w:rsidRPr="0031675F">
        <w:t>DiW).</w:t>
      </w:r>
      <w:r w:rsidRPr="0031675F">
        <w:rPr>
          <w:spacing w:val="9"/>
        </w:rPr>
        <w:t xml:space="preserve"> </w:t>
      </w:r>
      <w:r w:rsidRPr="0031675F">
        <w:rPr>
          <w:spacing w:val="-2"/>
        </w:rPr>
        <w:t>The</w:t>
      </w:r>
      <w:r w:rsidRPr="0031675F">
        <w:rPr>
          <w:spacing w:val="5"/>
        </w:rPr>
        <w:t xml:space="preserve"> </w:t>
      </w:r>
      <w:r w:rsidRPr="0031675F">
        <w:rPr>
          <w:spacing w:val="-1"/>
        </w:rPr>
        <w:t>difference</w:t>
      </w:r>
      <w:r w:rsidRPr="0031675F">
        <w:rPr>
          <w:spacing w:val="5"/>
        </w:rPr>
        <w:t xml:space="preserve"> </w:t>
      </w:r>
      <w:r w:rsidRPr="0031675F">
        <w:rPr>
          <w:spacing w:val="-1"/>
        </w:rPr>
        <w:t>between</w:t>
      </w:r>
      <w:r w:rsidRPr="0031675F">
        <w:rPr>
          <w:spacing w:val="4"/>
        </w:rPr>
        <w:t xml:space="preserve"> </w:t>
      </w:r>
      <w:r w:rsidRPr="0031675F">
        <w:t>the</w:t>
      </w:r>
      <w:r w:rsidRPr="0031675F">
        <w:rPr>
          <w:spacing w:val="8"/>
        </w:rPr>
        <w:t xml:space="preserve"> </w:t>
      </w:r>
      <w:r w:rsidRPr="0031675F">
        <w:rPr>
          <w:spacing w:val="-1"/>
          <w:u w:val="single" w:color="000000"/>
        </w:rPr>
        <w:t>slopes</w:t>
      </w:r>
      <w:r w:rsidRPr="0031675F">
        <w:rPr>
          <w:spacing w:val="6"/>
          <w:u w:val="single" w:color="000000"/>
        </w:rPr>
        <w:t xml:space="preserve"> </w:t>
      </w:r>
      <w:r w:rsidRPr="0031675F">
        <w:t>of</w:t>
      </w:r>
      <w:r w:rsidRPr="0031675F">
        <w:rPr>
          <w:spacing w:val="2"/>
        </w:rPr>
        <w:t xml:space="preserve"> </w:t>
      </w:r>
      <w:r w:rsidRPr="0031675F">
        <w:t>the</w:t>
      </w:r>
      <w:r w:rsidRPr="0031675F">
        <w:rPr>
          <w:spacing w:val="5"/>
        </w:rPr>
        <w:t xml:space="preserve"> </w:t>
      </w:r>
      <w:r w:rsidRPr="0031675F">
        <w:rPr>
          <w:spacing w:val="-1"/>
        </w:rPr>
        <w:t>standard</w:t>
      </w:r>
      <w:r w:rsidRPr="0031675F">
        <w:rPr>
          <w:spacing w:val="4"/>
        </w:rPr>
        <w:t xml:space="preserve"> </w:t>
      </w:r>
      <w:r w:rsidRPr="0031675F">
        <w:rPr>
          <w:spacing w:val="-1"/>
        </w:rPr>
        <w:t>curve</w:t>
      </w:r>
      <w:r w:rsidRPr="0031675F">
        <w:rPr>
          <w:spacing w:val="5"/>
        </w:rPr>
        <w:t xml:space="preserve"> </w:t>
      </w:r>
      <w:r w:rsidRPr="0031675F">
        <w:rPr>
          <w:spacing w:val="-1"/>
        </w:rPr>
        <w:t>for</w:t>
      </w:r>
      <w:r w:rsidRPr="0031675F">
        <w:rPr>
          <w:spacing w:val="5"/>
        </w:rPr>
        <w:t xml:space="preserve"> </w:t>
      </w:r>
      <w:r w:rsidRPr="0031675F">
        <w:rPr>
          <w:spacing w:val="-1"/>
        </w:rPr>
        <w:t>standards</w:t>
      </w:r>
      <w:r w:rsidRPr="0031675F">
        <w:rPr>
          <w:spacing w:val="2"/>
        </w:rPr>
        <w:t xml:space="preserve"> </w:t>
      </w:r>
      <w:r w:rsidRPr="0031675F">
        <w:t>made</w:t>
      </w:r>
      <w:r w:rsidRPr="0031675F">
        <w:rPr>
          <w:spacing w:val="53"/>
        </w:rPr>
        <w:t xml:space="preserve"> </w:t>
      </w:r>
      <w:r w:rsidRPr="0031675F">
        <w:rPr>
          <w:spacing w:val="-1"/>
        </w:rPr>
        <w:t>up</w:t>
      </w:r>
      <w:r w:rsidRPr="0031675F">
        <w:rPr>
          <w:spacing w:val="30"/>
        </w:rPr>
        <w:t xml:space="preserve"> </w:t>
      </w:r>
      <w:r w:rsidRPr="0031675F">
        <w:t>with</w:t>
      </w:r>
      <w:r w:rsidRPr="0031675F">
        <w:rPr>
          <w:spacing w:val="31"/>
        </w:rPr>
        <w:t xml:space="preserve"> </w:t>
      </w:r>
      <w:r w:rsidRPr="0031675F">
        <w:t>DiW</w:t>
      </w:r>
      <w:r w:rsidRPr="0031675F">
        <w:rPr>
          <w:spacing w:val="31"/>
        </w:rPr>
        <w:t xml:space="preserve"> </w:t>
      </w:r>
      <w:r w:rsidRPr="0031675F">
        <w:rPr>
          <w:spacing w:val="-1"/>
        </w:rPr>
        <w:t>and</w:t>
      </w:r>
      <w:r w:rsidRPr="0031675F">
        <w:rPr>
          <w:spacing w:val="30"/>
        </w:rPr>
        <w:t xml:space="preserve"> </w:t>
      </w:r>
      <w:r w:rsidRPr="0031675F">
        <w:rPr>
          <w:spacing w:val="-1"/>
        </w:rPr>
        <w:t>representative</w:t>
      </w:r>
      <w:r w:rsidRPr="0031675F">
        <w:rPr>
          <w:spacing w:val="30"/>
        </w:rPr>
        <w:t xml:space="preserve"> </w:t>
      </w:r>
      <w:r w:rsidRPr="0031675F">
        <w:rPr>
          <w:spacing w:val="-1"/>
        </w:rPr>
        <w:t>sample</w:t>
      </w:r>
      <w:r w:rsidRPr="0031675F">
        <w:rPr>
          <w:spacing w:val="32"/>
        </w:rPr>
        <w:t xml:space="preserve"> </w:t>
      </w:r>
      <w:r w:rsidRPr="0031675F">
        <w:rPr>
          <w:spacing w:val="-1"/>
        </w:rPr>
        <w:t>seawater</w:t>
      </w:r>
      <w:r w:rsidRPr="0031675F">
        <w:rPr>
          <w:spacing w:val="32"/>
        </w:rPr>
        <w:t xml:space="preserve"> </w:t>
      </w:r>
      <w:r w:rsidRPr="0031675F">
        <w:rPr>
          <w:spacing w:val="-2"/>
        </w:rPr>
        <w:t>is</w:t>
      </w:r>
      <w:r w:rsidRPr="0031675F">
        <w:rPr>
          <w:spacing w:val="31"/>
        </w:rPr>
        <w:t xml:space="preserve"> </w:t>
      </w:r>
      <w:r w:rsidRPr="0031675F">
        <w:t>the</w:t>
      </w:r>
      <w:r w:rsidRPr="0031675F">
        <w:rPr>
          <w:spacing w:val="32"/>
        </w:rPr>
        <w:t xml:space="preserve"> </w:t>
      </w:r>
      <w:r w:rsidRPr="0031675F">
        <w:rPr>
          <w:spacing w:val="-1"/>
        </w:rPr>
        <w:t>ME.</w:t>
      </w:r>
      <w:r w:rsidRPr="0031675F">
        <w:rPr>
          <w:spacing w:val="13"/>
        </w:rPr>
        <w:t xml:space="preserve"> </w:t>
      </w:r>
      <w:r w:rsidRPr="0031675F">
        <w:rPr>
          <w:spacing w:val="-1"/>
        </w:rPr>
        <w:t>Materials</w:t>
      </w:r>
      <w:r w:rsidRPr="0031675F">
        <w:rPr>
          <w:spacing w:val="32"/>
        </w:rPr>
        <w:t xml:space="preserve"> </w:t>
      </w:r>
      <w:r w:rsidRPr="0031675F">
        <w:t>in</w:t>
      </w:r>
      <w:r w:rsidRPr="0031675F">
        <w:rPr>
          <w:spacing w:val="29"/>
        </w:rPr>
        <w:t xml:space="preserve"> </w:t>
      </w:r>
      <w:r w:rsidRPr="0031675F">
        <w:rPr>
          <w:spacing w:val="-1"/>
        </w:rPr>
        <w:t>the</w:t>
      </w:r>
      <w:r w:rsidRPr="0031675F">
        <w:rPr>
          <w:spacing w:val="32"/>
        </w:rPr>
        <w:t xml:space="preserve"> </w:t>
      </w:r>
      <w:r w:rsidRPr="0031675F">
        <w:rPr>
          <w:spacing w:val="-1"/>
        </w:rPr>
        <w:t>sample</w:t>
      </w:r>
      <w:r w:rsidRPr="0031675F">
        <w:rPr>
          <w:spacing w:val="32"/>
        </w:rPr>
        <w:t xml:space="preserve"> </w:t>
      </w:r>
      <w:r w:rsidRPr="0031675F">
        <w:rPr>
          <w:spacing w:val="-1"/>
        </w:rPr>
        <w:t>water</w:t>
      </w:r>
      <w:r w:rsidRPr="0031675F">
        <w:rPr>
          <w:spacing w:val="29"/>
        </w:rPr>
        <w:t xml:space="preserve"> </w:t>
      </w:r>
      <w:r w:rsidRPr="0031675F">
        <w:t>may</w:t>
      </w:r>
      <w:r w:rsidRPr="0031675F">
        <w:rPr>
          <w:spacing w:val="43"/>
        </w:rPr>
        <w:t xml:space="preserve"> </w:t>
      </w:r>
      <w:r w:rsidRPr="0031675F">
        <w:t>either</w:t>
      </w:r>
      <w:r w:rsidRPr="0031675F">
        <w:rPr>
          <w:spacing w:val="27"/>
        </w:rPr>
        <w:t xml:space="preserve"> </w:t>
      </w:r>
      <w:r w:rsidRPr="0031675F">
        <w:rPr>
          <w:spacing w:val="-1"/>
        </w:rPr>
        <w:t>quench</w:t>
      </w:r>
      <w:r w:rsidRPr="0031675F">
        <w:rPr>
          <w:spacing w:val="28"/>
        </w:rPr>
        <w:t xml:space="preserve"> </w:t>
      </w:r>
      <w:r w:rsidRPr="0031675F">
        <w:t>or</w:t>
      </w:r>
      <w:r w:rsidRPr="0031675F">
        <w:rPr>
          <w:spacing w:val="29"/>
        </w:rPr>
        <w:t xml:space="preserve"> </w:t>
      </w:r>
      <w:r w:rsidRPr="0031675F">
        <w:rPr>
          <w:spacing w:val="-1"/>
        </w:rPr>
        <w:t>enhance</w:t>
      </w:r>
      <w:r w:rsidRPr="0031675F">
        <w:rPr>
          <w:spacing w:val="26"/>
        </w:rPr>
        <w:t xml:space="preserve"> </w:t>
      </w:r>
      <w:r w:rsidRPr="0031675F">
        <w:t>the</w:t>
      </w:r>
      <w:r w:rsidRPr="0031675F">
        <w:rPr>
          <w:spacing w:val="29"/>
        </w:rPr>
        <w:t xml:space="preserve"> </w:t>
      </w:r>
      <w:r w:rsidRPr="0031675F">
        <w:t>OPA</w:t>
      </w:r>
      <w:r w:rsidRPr="0031675F">
        <w:rPr>
          <w:spacing w:val="29"/>
        </w:rPr>
        <w:t xml:space="preserve"> </w:t>
      </w:r>
      <w:r w:rsidRPr="0031675F">
        <w:rPr>
          <w:spacing w:val="-1"/>
        </w:rPr>
        <w:t>fluorescence</w:t>
      </w:r>
      <w:r w:rsidRPr="0031675F">
        <w:rPr>
          <w:spacing w:val="30"/>
        </w:rPr>
        <w:t xml:space="preserve"> </w:t>
      </w:r>
      <w:r w:rsidRPr="0031675F">
        <w:rPr>
          <w:spacing w:val="-1"/>
        </w:rPr>
        <w:t>due</w:t>
      </w:r>
      <w:r w:rsidRPr="0031675F">
        <w:rPr>
          <w:spacing w:val="29"/>
        </w:rPr>
        <w:t xml:space="preserve"> </w:t>
      </w:r>
      <w:r w:rsidRPr="0031675F">
        <w:t>to</w:t>
      </w:r>
      <w:r w:rsidRPr="0031675F">
        <w:rPr>
          <w:spacing w:val="31"/>
        </w:rPr>
        <w:t xml:space="preserve"> </w:t>
      </w:r>
      <w:r w:rsidRPr="0031675F">
        <w:rPr>
          <w:spacing w:val="-1"/>
        </w:rPr>
        <w:t>ammonium.</w:t>
      </w:r>
      <w:r w:rsidRPr="0031675F">
        <w:rPr>
          <w:spacing w:val="8"/>
        </w:rPr>
        <w:t xml:space="preserve"> </w:t>
      </w:r>
      <w:r w:rsidRPr="0031675F">
        <w:rPr>
          <w:spacing w:val="-1"/>
        </w:rPr>
        <w:t>The</w:t>
      </w:r>
      <w:r w:rsidRPr="0031675F">
        <w:rPr>
          <w:spacing w:val="30"/>
        </w:rPr>
        <w:t xml:space="preserve"> </w:t>
      </w:r>
      <w:r w:rsidRPr="0031675F">
        <w:rPr>
          <w:spacing w:val="-1"/>
        </w:rPr>
        <w:t>matrix</w:t>
      </w:r>
      <w:r w:rsidRPr="0031675F">
        <w:rPr>
          <w:spacing w:val="28"/>
        </w:rPr>
        <w:t xml:space="preserve"> </w:t>
      </w:r>
      <w:r w:rsidRPr="0031675F">
        <w:rPr>
          <w:spacing w:val="-1"/>
        </w:rPr>
        <w:t>effect</w:t>
      </w:r>
      <w:r w:rsidRPr="0031675F">
        <w:rPr>
          <w:spacing w:val="30"/>
        </w:rPr>
        <w:t xml:space="preserve"> </w:t>
      </w:r>
      <w:r w:rsidRPr="0031675F">
        <w:rPr>
          <w:spacing w:val="-1"/>
        </w:rPr>
        <w:t>correction</w:t>
      </w:r>
      <w:r w:rsidRPr="0031675F">
        <w:rPr>
          <w:spacing w:val="55"/>
        </w:rPr>
        <w:t xml:space="preserve"> </w:t>
      </w:r>
      <w:r w:rsidRPr="0031675F">
        <w:t>[ME]</w:t>
      </w:r>
      <w:r w:rsidRPr="0031675F">
        <w:rPr>
          <w:spacing w:val="16"/>
        </w:rPr>
        <w:t xml:space="preserve"> </w:t>
      </w:r>
      <w:r w:rsidRPr="0031675F">
        <w:t>is</w:t>
      </w:r>
      <w:r w:rsidRPr="0031675F">
        <w:rPr>
          <w:spacing w:val="16"/>
        </w:rPr>
        <w:t xml:space="preserve"> </w:t>
      </w:r>
      <w:r w:rsidRPr="0031675F">
        <w:t>the</w:t>
      </w:r>
      <w:r w:rsidRPr="0031675F">
        <w:rPr>
          <w:spacing w:val="17"/>
        </w:rPr>
        <w:t xml:space="preserve"> </w:t>
      </w:r>
      <w:r w:rsidRPr="0031675F">
        <w:t>ratio</w:t>
      </w:r>
      <w:r w:rsidRPr="0031675F">
        <w:rPr>
          <w:spacing w:val="17"/>
        </w:rPr>
        <w:t xml:space="preserve"> </w:t>
      </w:r>
      <w:r w:rsidRPr="0031675F">
        <w:t>of</w:t>
      </w:r>
      <w:r w:rsidRPr="0031675F">
        <w:rPr>
          <w:spacing w:val="17"/>
        </w:rPr>
        <w:t xml:space="preserve"> </w:t>
      </w:r>
      <w:r w:rsidRPr="0031675F">
        <w:rPr>
          <w:spacing w:val="-1"/>
        </w:rPr>
        <w:t>the</w:t>
      </w:r>
      <w:r w:rsidRPr="0031675F">
        <w:rPr>
          <w:spacing w:val="17"/>
        </w:rPr>
        <w:t xml:space="preserve"> </w:t>
      </w:r>
      <w:r w:rsidRPr="0031675F">
        <w:rPr>
          <w:spacing w:val="-1"/>
        </w:rPr>
        <w:t>standard</w:t>
      </w:r>
      <w:r w:rsidRPr="0031675F">
        <w:rPr>
          <w:spacing w:val="16"/>
        </w:rPr>
        <w:t xml:space="preserve"> </w:t>
      </w:r>
      <w:r w:rsidRPr="0031675F">
        <w:rPr>
          <w:spacing w:val="-1"/>
        </w:rPr>
        <w:t>curve</w:t>
      </w:r>
      <w:r w:rsidRPr="0031675F">
        <w:rPr>
          <w:spacing w:val="17"/>
        </w:rPr>
        <w:t xml:space="preserve"> </w:t>
      </w:r>
      <w:r w:rsidRPr="0031675F">
        <w:rPr>
          <w:spacing w:val="-1"/>
        </w:rPr>
        <w:t>slope</w:t>
      </w:r>
      <w:r w:rsidRPr="0031675F">
        <w:rPr>
          <w:spacing w:val="17"/>
        </w:rPr>
        <w:t xml:space="preserve"> </w:t>
      </w:r>
      <w:r w:rsidRPr="0031675F">
        <w:rPr>
          <w:spacing w:val="-1"/>
        </w:rPr>
        <w:t>measured</w:t>
      </w:r>
      <w:r w:rsidRPr="0031675F">
        <w:rPr>
          <w:spacing w:val="16"/>
        </w:rPr>
        <w:t xml:space="preserve"> </w:t>
      </w:r>
      <w:r w:rsidRPr="0031675F">
        <w:t>in</w:t>
      </w:r>
      <w:r w:rsidRPr="0031675F">
        <w:rPr>
          <w:spacing w:val="16"/>
        </w:rPr>
        <w:t xml:space="preserve"> </w:t>
      </w:r>
      <w:r w:rsidRPr="0031675F">
        <w:t>DiW</w:t>
      </w:r>
      <w:r w:rsidRPr="0031675F">
        <w:rPr>
          <w:spacing w:val="17"/>
        </w:rPr>
        <w:t xml:space="preserve"> </w:t>
      </w:r>
      <w:r w:rsidRPr="0031675F">
        <w:t>divided</w:t>
      </w:r>
      <w:r w:rsidRPr="0031675F">
        <w:rPr>
          <w:spacing w:val="16"/>
        </w:rPr>
        <w:t xml:space="preserve"> </w:t>
      </w:r>
      <w:r w:rsidRPr="0031675F">
        <w:rPr>
          <w:spacing w:val="-1"/>
        </w:rPr>
        <w:t>by</w:t>
      </w:r>
      <w:r w:rsidRPr="0031675F">
        <w:rPr>
          <w:spacing w:val="17"/>
        </w:rPr>
        <w:t xml:space="preserve"> </w:t>
      </w:r>
      <w:r w:rsidRPr="0031675F">
        <w:t>the</w:t>
      </w:r>
      <w:r w:rsidRPr="0031675F">
        <w:rPr>
          <w:spacing w:val="17"/>
        </w:rPr>
        <w:t xml:space="preserve"> </w:t>
      </w:r>
      <w:r w:rsidRPr="0031675F">
        <w:rPr>
          <w:spacing w:val="-1"/>
        </w:rPr>
        <w:t>standard</w:t>
      </w:r>
      <w:r w:rsidRPr="0031675F">
        <w:rPr>
          <w:spacing w:val="16"/>
        </w:rPr>
        <w:t xml:space="preserve"> </w:t>
      </w:r>
      <w:r w:rsidRPr="0031675F">
        <w:rPr>
          <w:spacing w:val="-1"/>
        </w:rPr>
        <w:t>curve</w:t>
      </w:r>
      <w:r w:rsidRPr="0031675F">
        <w:rPr>
          <w:spacing w:val="17"/>
        </w:rPr>
        <w:t xml:space="preserve"> </w:t>
      </w:r>
      <w:r w:rsidRPr="0031675F">
        <w:rPr>
          <w:spacing w:val="-1"/>
        </w:rPr>
        <w:t>slope</w:t>
      </w:r>
      <w:r w:rsidRPr="0031675F">
        <w:rPr>
          <w:spacing w:val="47"/>
        </w:rPr>
        <w:t xml:space="preserve"> </w:t>
      </w:r>
      <w:r w:rsidRPr="0031675F">
        <w:rPr>
          <w:spacing w:val="-1"/>
        </w:rPr>
        <w:t>measured</w:t>
      </w:r>
      <w:r w:rsidRPr="0031675F">
        <w:t xml:space="preserve"> in</w:t>
      </w:r>
      <w:r w:rsidRPr="0031675F">
        <w:rPr>
          <w:spacing w:val="-1"/>
        </w:rPr>
        <w:t xml:space="preserve"> seawater</w:t>
      </w:r>
      <w:r w:rsidRPr="0031675F">
        <w:t xml:space="preserve"> </w:t>
      </w:r>
      <w:r w:rsidRPr="0031675F">
        <w:rPr>
          <w:spacing w:val="-1"/>
        </w:rPr>
        <w:t>diluted</w:t>
      </w:r>
      <w:r w:rsidRPr="0031675F">
        <w:t xml:space="preserve"> </w:t>
      </w:r>
      <w:r w:rsidRPr="0031675F">
        <w:rPr>
          <w:spacing w:val="-1"/>
        </w:rPr>
        <w:t>standards.</w:t>
      </w:r>
    </w:p>
    <w:p w14:paraId="33221655" w14:textId="77777777" w:rsidR="0031675F" w:rsidRPr="0031675F" w:rsidRDefault="0031675F" w:rsidP="0031675F">
      <w:pPr>
        <w:spacing w:after="120"/>
        <w:ind w:right="111"/>
        <w:jc w:val="both"/>
      </w:pPr>
      <w:r w:rsidRPr="0031675F">
        <w:t>When</w:t>
      </w:r>
      <w:r w:rsidRPr="0031675F">
        <w:rPr>
          <w:spacing w:val="16"/>
        </w:rPr>
        <w:t xml:space="preserve"> </w:t>
      </w:r>
      <w:r w:rsidRPr="0031675F">
        <w:rPr>
          <w:spacing w:val="-1"/>
        </w:rPr>
        <w:t>working</w:t>
      </w:r>
      <w:r w:rsidRPr="0031675F">
        <w:rPr>
          <w:spacing w:val="16"/>
        </w:rPr>
        <w:t xml:space="preserve"> </w:t>
      </w:r>
      <w:r w:rsidRPr="0031675F">
        <w:t>in</w:t>
      </w:r>
      <w:r w:rsidRPr="0031675F">
        <w:rPr>
          <w:spacing w:val="16"/>
        </w:rPr>
        <w:t xml:space="preserve"> </w:t>
      </w:r>
      <w:r w:rsidRPr="0031675F">
        <w:t>an</w:t>
      </w:r>
      <w:r w:rsidRPr="0031675F">
        <w:rPr>
          <w:spacing w:val="16"/>
        </w:rPr>
        <w:t xml:space="preserve"> </w:t>
      </w:r>
      <w:r w:rsidRPr="0031675F">
        <w:rPr>
          <w:spacing w:val="-1"/>
        </w:rPr>
        <w:t>environment</w:t>
      </w:r>
      <w:r w:rsidRPr="0031675F">
        <w:rPr>
          <w:spacing w:val="17"/>
        </w:rPr>
        <w:t xml:space="preserve"> </w:t>
      </w:r>
      <w:r w:rsidRPr="0031675F">
        <w:rPr>
          <w:spacing w:val="-1"/>
        </w:rPr>
        <w:t>with</w:t>
      </w:r>
      <w:r w:rsidRPr="0031675F">
        <w:rPr>
          <w:spacing w:val="16"/>
        </w:rPr>
        <w:t xml:space="preserve"> </w:t>
      </w:r>
      <w:r w:rsidRPr="0031675F">
        <w:rPr>
          <w:spacing w:val="-1"/>
        </w:rPr>
        <w:t>different</w:t>
      </w:r>
      <w:r w:rsidRPr="0031675F">
        <w:rPr>
          <w:spacing w:val="14"/>
        </w:rPr>
        <w:t xml:space="preserve"> </w:t>
      </w:r>
      <w:r w:rsidRPr="0031675F">
        <w:rPr>
          <w:spacing w:val="-1"/>
        </w:rPr>
        <w:t>water</w:t>
      </w:r>
      <w:r w:rsidRPr="0031675F">
        <w:rPr>
          <w:spacing w:val="17"/>
        </w:rPr>
        <w:t xml:space="preserve"> </w:t>
      </w:r>
      <w:r w:rsidRPr="0031675F">
        <w:rPr>
          <w:spacing w:val="-1"/>
        </w:rPr>
        <w:t>types</w:t>
      </w:r>
      <w:r w:rsidRPr="0031675F">
        <w:rPr>
          <w:spacing w:val="17"/>
        </w:rPr>
        <w:t xml:space="preserve"> </w:t>
      </w:r>
      <w:r w:rsidRPr="0031675F">
        <w:rPr>
          <w:spacing w:val="-1"/>
        </w:rPr>
        <w:t>(e.g.</w:t>
      </w:r>
      <w:r w:rsidRPr="0031675F">
        <w:rPr>
          <w:spacing w:val="16"/>
        </w:rPr>
        <w:t xml:space="preserve"> </w:t>
      </w:r>
      <w:r w:rsidRPr="0031675F">
        <w:rPr>
          <w:spacing w:val="-1"/>
        </w:rPr>
        <w:t>salinities)</w:t>
      </w:r>
      <w:r w:rsidRPr="0031675F">
        <w:rPr>
          <w:spacing w:val="15"/>
        </w:rPr>
        <w:t xml:space="preserve"> </w:t>
      </w:r>
      <w:r w:rsidRPr="0031675F">
        <w:t>or</w:t>
      </w:r>
      <w:r w:rsidRPr="0031675F">
        <w:rPr>
          <w:spacing w:val="14"/>
        </w:rPr>
        <w:t xml:space="preserve"> </w:t>
      </w:r>
      <w:r w:rsidRPr="0031675F">
        <w:rPr>
          <w:spacing w:val="-1"/>
        </w:rPr>
        <w:t>analysing</w:t>
      </w:r>
      <w:r w:rsidRPr="0031675F">
        <w:rPr>
          <w:spacing w:val="16"/>
        </w:rPr>
        <w:t xml:space="preserve"> </w:t>
      </w:r>
      <w:r w:rsidRPr="0031675F">
        <w:rPr>
          <w:spacing w:val="-1"/>
        </w:rPr>
        <w:t>batches</w:t>
      </w:r>
      <w:r w:rsidRPr="0031675F">
        <w:rPr>
          <w:spacing w:val="15"/>
        </w:rPr>
        <w:t xml:space="preserve"> </w:t>
      </w:r>
      <w:r w:rsidRPr="0031675F">
        <w:t>of</w:t>
      </w:r>
      <w:r w:rsidRPr="0031675F">
        <w:rPr>
          <w:spacing w:val="83"/>
        </w:rPr>
        <w:t xml:space="preserve"> </w:t>
      </w:r>
      <w:r w:rsidRPr="0031675F">
        <w:rPr>
          <w:spacing w:val="-1"/>
        </w:rPr>
        <w:t>samples</w:t>
      </w:r>
      <w:r w:rsidRPr="0031675F">
        <w:rPr>
          <w:spacing w:val="7"/>
        </w:rPr>
        <w:t xml:space="preserve"> </w:t>
      </w:r>
      <w:r w:rsidRPr="0031675F">
        <w:t>with</w:t>
      </w:r>
      <w:r w:rsidRPr="0031675F">
        <w:rPr>
          <w:spacing w:val="9"/>
        </w:rPr>
        <w:t xml:space="preserve"> </w:t>
      </w:r>
      <w:r w:rsidRPr="0031675F">
        <w:rPr>
          <w:spacing w:val="-1"/>
        </w:rPr>
        <w:t>different</w:t>
      </w:r>
      <w:r w:rsidRPr="0031675F">
        <w:rPr>
          <w:spacing w:val="9"/>
        </w:rPr>
        <w:t xml:space="preserve"> </w:t>
      </w:r>
      <w:r w:rsidRPr="0031675F">
        <w:rPr>
          <w:spacing w:val="-1"/>
        </w:rPr>
        <w:t>water</w:t>
      </w:r>
      <w:r w:rsidRPr="0031675F">
        <w:rPr>
          <w:spacing w:val="10"/>
        </w:rPr>
        <w:t xml:space="preserve"> </w:t>
      </w:r>
      <w:r w:rsidRPr="0031675F">
        <w:rPr>
          <w:spacing w:val="-1"/>
        </w:rPr>
        <w:t>characteristics</w:t>
      </w:r>
      <w:r w:rsidRPr="0031675F">
        <w:rPr>
          <w:spacing w:val="10"/>
        </w:rPr>
        <w:t xml:space="preserve"> </w:t>
      </w:r>
      <w:r w:rsidRPr="0031675F">
        <w:rPr>
          <w:spacing w:val="-1"/>
        </w:rPr>
        <w:t>(e.g.</w:t>
      </w:r>
      <w:r w:rsidRPr="0031675F">
        <w:rPr>
          <w:spacing w:val="9"/>
        </w:rPr>
        <w:t xml:space="preserve"> </w:t>
      </w:r>
      <w:r w:rsidRPr="0031675F">
        <w:rPr>
          <w:spacing w:val="-1"/>
        </w:rPr>
        <w:t>different</w:t>
      </w:r>
      <w:r w:rsidRPr="0031675F">
        <w:rPr>
          <w:spacing w:val="9"/>
        </w:rPr>
        <w:t xml:space="preserve"> </w:t>
      </w:r>
      <w:r w:rsidRPr="0031675F">
        <w:rPr>
          <w:spacing w:val="-1"/>
        </w:rPr>
        <w:t>levels</w:t>
      </w:r>
      <w:r w:rsidRPr="0031675F">
        <w:rPr>
          <w:spacing w:val="7"/>
        </w:rPr>
        <w:t xml:space="preserve"> </w:t>
      </w:r>
      <w:r w:rsidRPr="0031675F">
        <w:t>of</w:t>
      </w:r>
      <w:r w:rsidRPr="0031675F">
        <w:rPr>
          <w:spacing w:val="9"/>
        </w:rPr>
        <w:t xml:space="preserve"> </w:t>
      </w:r>
      <w:r w:rsidRPr="0031675F">
        <w:rPr>
          <w:spacing w:val="-1"/>
        </w:rPr>
        <w:t>coloured</w:t>
      </w:r>
      <w:r w:rsidRPr="0031675F">
        <w:rPr>
          <w:spacing w:val="9"/>
        </w:rPr>
        <w:t xml:space="preserve"> </w:t>
      </w:r>
      <w:r w:rsidRPr="0031675F">
        <w:t>organic</w:t>
      </w:r>
      <w:r w:rsidRPr="0031675F">
        <w:rPr>
          <w:spacing w:val="9"/>
        </w:rPr>
        <w:t xml:space="preserve"> </w:t>
      </w:r>
      <w:r w:rsidRPr="0031675F">
        <w:rPr>
          <w:spacing w:val="-1"/>
        </w:rPr>
        <w:t>matter),</w:t>
      </w:r>
      <w:r w:rsidRPr="0031675F">
        <w:rPr>
          <w:spacing w:val="7"/>
        </w:rPr>
        <w:t xml:space="preserve"> </w:t>
      </w:r>
      <w:r w:rsidRPr="0031675F">
        <w:rPr>
          <w:spacing w:val="-1"/>
        </w:rPr>
        <w:t>matrix</w:t>
      </w:r>
      <w:r w:rsidRPr="0031675F">
        <w:rPr>
          <w:spacing w:val="75"/>
        </w:rPr>
        <w:t xml:space="preserve"> </w:t>
      </w:r>
      <w:r w:rsidRPr="0031675F">
        <w:t>effect</w:t>
      </w:r>
      <w:r w:rsidRPr="0031675F">
        <w:rPr>
          <w:spacing w:val="-2"/>
        </w:rPr>
        <w:t xml:space="preserve"> </w:t>
      </w:r>
      <w:r w:rsidRPr="0031675F">
        <w:rPr>
          <w:spacing w:val="-1"/>
        </w:rPr>
        <w:t>standard curves</w:t>
      </w:r>
      <w:r w:rsidRPr="0031675F">
        <w:rPr>
          <w:spacing w:val="-2"/>
        </w:rPr>
        <w:t xml:space="preserve"> </w:t>
      </w:r>
      <w:r w:rsidRPr="0031675F">
        <w:rPr>
          <w:spacing w:val="-1"/>
        </w:rPr>
        <w:t>should be</w:t>
      </w:r>
      <w:r w:rsidRPr="0031675F">
        <w:t xml:space="preserve"> </w:t>
      </w:r>
      <w:r w:rsidRPr="0031675F">
        <w:rPr>
          <w:spacing w:val="-1"/>
        </w:rPr>
        <w:t>prepared for</w:t>
      </w:r>
      <w:r w:rsidRPr="0031675F">
        <w:rPr>
          <w:spacing w:val="-2"/>
        </w:rPr>
        <w:t xml:space="preserve"> </w:t>
      </w:r>
      <w:r w:rsidRPr="0031675F">
        <w:t>each</w:t>
      </w:r>
      <w:r w:rsidRPr="0031675F">
        <w:rPr>
          <w:spacing w:val="-1"/>
        </w:rPr>
        <w:t xml:space="preserve"> water</w:t>
      </w:r>
      <w:r w:rsidRPr="0031675F">
        <w:t xml:space="preserve"> </w:t>
      </w:r>
      <w:r w:rsidRPr="0031675F">
        <w:rPr>
          <w:spacing w:val="-1"/>
        </w:rPr>
        <w:t>type.</w:t>
      </w:r>
    </w:p>
    <w:p w14:paraId="3DBF9984" w14:textId="77777777" w:rsidR="0031675F" w:rsidRPr="0031675F" w:rsidRDefault="0031675F" w:rsidP="0031675F">
      <w:pPr>
        <w:rPr>
          <w:rFonts w:cs="Calibri"/>
        </w:rPr>
      </w:pPr>
    </w:p>
    <w:p w14:paraId="7A71203C" w14:textId="77777777" w:rsidR="0031675F" w:rsidRPr="0031675F" w:rsidRDefault="0031675F" w:rsidP="0031675F">
      <w:pPr>
        <w:widowControl w:val="0"/>
        <w:numPr>
          <w:ilvl w:val="0"/>
          <w:numId w:val="115"/>
        </w:numPr>
        <w:tabs>
          <w:tab w:val="left" w:pos="1559"/>
        </w:tabs>
        <w:spacing w:before="0" w:after="0" w:line="240" w:lineRule="auto"/>
      </w:pPr>
      <w:r w:rsidRPr="0031675F">
        <w:t>ME =</w:t>
      </w:r>
      <w:r w:rsidRPr="0031675F">
        <w:rPr>
          <w:spacing w:val="-2"/>
        </w:rPr>
        <w:t xml:space="preserve"> </w:t>
      </w:r>
      <w:r w:rsidRPr="0031675F">
        <w:rPr>
          <w:spacing w:val="-1"/>
        </w:rPr>
        <w:t>[slope</w:t>
      </w:r>
      <w:r w:rsidRPr="0031675F">
        <w:rPr>
          <w:spacing w:val="-2"/>
        </w:rPr>
        <w:t xml:space="preserve"> </w:t>
      </w:r>
      <w:r w:rsidRPr="0031675F">
        <w:t xml:space="preserve">of </w:t>
      </w:r>
      <w:r w:rsidRPr="0031675F">
        <w:rPr>
          <w:spacing w:val="-1"/>
        </w:rPr>
        <w:t>standard</w:t>
      </w:r>
      <w:r w:rsidRPr="0031675F">
        <w:rPr>
          <w:spacing w:val="-3"/>
        </w:rPr>
        <w:t xml:space="preserve"> </w:t>
      </w:r>
      <w:r w:rsidRPr="0031675F">
        <w:rPr>
          <w:spacing w:val="-1"/>
        </w:rPr>
        <w:t>curve</w:t>
      </w:r>
      <w:r w:rsidRPr="0031675F">
        <w:t xml:space="preserve"> in</w:t>
      </w:r>
      <w:r w:rsidRPr="0031675F">
        <w:rPr>
          <w:spacing w:val="-3"/>
        </w:rPr>
        <w:t xml:space="preserve"> </w:t>
      </w:r>
      <w:r w:rsidRPr="0031675F">
        <w:rPr>
          <w:spacing w:val="-1"/>
        </w:rPr>
        <w:t>DiW]/[slope</w:t>
      </w:r>
      <w:r w:rsidRPr="0031675F">
        <w:rPr>
          <w:spacing w:val="-2"/>
        </w:rPr>
        <w:t xml:space="preserve"> </w:t>
      </w:r>
      <w:r w:rsidRPr="0031675F">
        <w:t xml:space="preserve">of </w:t>
      </w:r>
      <w:r w:rsidRPr="0031675F">
        <w:rPr>
          <w:spacing w:val="-1"/>
        </w:rPr>
        <w:t>standard curve</w:t>
      </w:r>
      <w:r w:rsidRPr="0031675F">
        <w:rPr>
          <w:spacing w:val="-2"/>
        </w:rPr>
        <w:t xml:space="preserve"> </w:t>
      </w:r>
      <w:r w:rsidRPr="0031675F">
        <w:t xml:space="preserve">in </w:t>
      </w:r>
      <w:r w:rsidRPr="0031675F">
        <w:rPr>
          <w:spacing w:val="-1"/>
        </w:rPr>
        <w:t>dilutant]</w:t>
      </w:r>
    </w:p>
    <w:p w14:paraId="60EEA258" w14:textId="77777777" w:rsidR="0031675F" w:rsidRPr="0031675F" w:rsidRDefault="0031675F" w:rsidP="0031675F">
      <w:pPr>
        <w:rPr>
          <w:rFonts w:cs="Calibri"/>
          <w:sz w:val="20"/>
          <w:szCs w:val="20"/>
        </w:rPr>
      </w:pPr>
      <w:r w:rsidRPr="0031675F">
        <w:rPr>
          <w:rFonts w:cs="Calibri"/>
          <w:sz w:val="20"/>
          <w:szCs w:val="20"/>
        </w:rPr>
        <w:br w:type="page"/>
      </w:r>
    </w:p>
    <w:p w14:paraId="3DD6F03F" w14:textId="77777777" w:rsidR="0031675F" w:rsidRPr="0031675F" w:rsidRDefault="0031675F" w:rsidP="0031675F">
      <w:pPr>
        <w:spacing w:before="10"/>
        <w:rPr>
          <w:rFonts w:cs="Calibri"/>
          <w:sz w:val="18"/>
          <w:szCs w:val="18"/>
        </w:rPr>
      </w:pPr>
    </w:p>
    <w:p w14:paraId="79CB7866" w14:textId="77777777" w:rsidR="0031675F" w:rsidRPr="0031675F" w:rsidRDefault="0031675F" w:rsidP="0031675F">
      <w:pPr>
        <w:widowControl w:val="0"/>
        <w:numPr>
          <w:ilvl w:val="2"/>
          <w:numId w:val="121"/>
        </w:numPr>
        <w:tabs>
          <w:tab w:val="left" w:pos="686"/>
        </w:tabs>
        <w:spacing w:before="0" w:after="0" w:line="240" w:lineRule="auto"/>
        <w:rPr>
          <w:rFonts w:eastAsia="Arial" w:cs="Arial"/>
          <w:sz w:val="20"/>
          <w:szCs w:val="20"/>
        </w:rPr>
      </w:pPr>
      <w:r w:rsidRPr="0031675F">
        <w:rPr>
          <w:b/>
          <w:spacing w:val="-1"/>
          <w:sz w:val="20"/>
        </w:rPr>
        <w:t>Corrected</w:t>
      </w:r>
      <w:r w:rsidRPr="0031675F">
        <w:rPr>
          <w:b/>
          <w:spacing w:val="-23"/>
          <w:sz w:val="20"/>
        </w:rPr>
        <w:t xml:space="preserve"> </w:t>
      </w:r>
      <w:r w:rsidRPr="0031675F">
        <w:rPr>
          <w:b/>
          <w:sz w:val="20"/>
        </w:rPr>
        <w:t>Fluorescence</w:t>
      </w:r>
    </w:p>
    <w:p w14:paraId="08726862" w14:textId="77777777" w:rsidR="0031675F" w:rsidRPr="0031675F" w:rsidRDefault="0031675F" w:rsidP="0057756F">
      <w:r w:rsidRPr="0031675F">
        <w:rPr>
          <w:spacing w:val="-1"/>
        </w:rPr>
        <w:t>To</w:t>
      </w:r>
      <w:r w:rsidRPr="0031675F">
        <w:rPr>
          <w:spacing w:val="1"/>
        </w:rPr>
        <w:t xml:space="preserve"> </w:t>
      </w:r>
      <w:r w:rsidRPr="0031675F">
        <w:rPr>
          <w:spacing w:val="-1"/>
        </w:rPr>
        <w:t>calculate</w:t>
      </w:r>
      <w:r w:rsidRPr="0031675F">
        <w:rPr>
          <w:spacing w:val="-2"/>
        </w:rPr>
        <w:t xml:space="preserve"> </w:t>
      </w:r>
      <w:r w:rsidRPr="0031675F">
        <w:rPr>
          <w:spacing w:val="-1"/>
        </w:rPr>
        <w:t>the</w:t>
      </w:r>
      <w:r w:rsidRPr="0031675F">
        <w:rPr>
          <w:spacing w:val="-2"/>
        </w:rPr>
        <w:t xml:space="preserve"> </w:t>
      </w:r>
      <w:r w:rsidRPr="0031675F">
        <w:rPr>
          <w:spacing w:val="-1"/>
        </w:rPr>
        <w:t>combined</w:t>
      </w:r>
      <w:r w:rsidRPr="0031675F">
        <w:rPr>
          <w:spacing w:val="-3"/>
        </w:rPr>
        <w:t xml:space="preserve"> </w:t>
      </w:r>
      <w:r w:rsidRPr="0031675F">
        <w:t>effects</w:t>
      </w:r>
      <w:r w:rsidRPr="0031675F">
        <w:rPr>
          <w:spacing w:val="-2"/>
        </w:rPr>
        <w:t xml:space="preserve"> </w:t>
      </w:r>
      <w:r w:rsidRPr="0031675F">
        <w:t>of</w:t>
      </w:r>
      <w:r w:rsidRPr="0031675F">
        <w:rPr>
          <w:spacing w:val="-3"/>
        </w:rPr>
        <w:t xml:space="preserve"> </w:t>
      </w:r>
      <w:r w:rsidRPr="0031675F">
        <w:t>BF and</w:t>
      </w:r>
      <w:r w:rsidRPr="0031675F">
        <w:rPr>
          <w:spacing w:val="-4"/>
        </w:rPr>
        <w:t xml:space="preserve"> </w:t>
      </w:r>
      <w:r w:rsidRPr="0031675F">
        <w:t xml:space="preserve">ME </w:t>
      </w:r>
      <w:r w:rsidRPr="0031675F">
        <w:rPr>
          <w:spacing w:val="-1"/>
        </w:rPr>
        <w:t>the</w:t>
      </w:r>
      <w:r w:rsidRPr="0031675F">
        <w:t xml:space="preserve"> </w:t>
      </w:r>
      <w:r w:rsidRPr="0031675F">
        <w:rPr>
          <w:spacing w:val="-1"/>
        </w:rPr>
        <w:t>following</w:t>
      </w:r>
      <w:r w:rsidRPr="0031675F">
        <w:rPr>
          <w:spacing w:val="-2"/>
        </w:rPr>
        <w:t xml:space="preserve"> </w:t>
      </w:r>
      <w:r w:rsidRPr="0031675F">
        <w:rPr>
          <w:spacing w:val="-1"/>
        </w:rPr>
        <w:t>equation</w:t>
      </w:r>
      <w:r w:rsidRPr="0031675F">
        <w:rPr>
          <w:spacing w:val="-3"/>
        </w:rPr>
        <w:t xml:space="preserve"> </w:t>
      </w:r>
      <w:r w:rsidRPr="0031675F">
        <w:rPr>
          <w:spacing w:val="-1"/>
        </w:rPr>
        <w:t>must</w:t>
      </w:r>
      <w:r w:rsidRPr="0031675F">
        <w:rPr>
          <w:spacing w:val="1"/>
        </w:rPr>
        <w:t xml:space="preserve"> </w:t>
      </w:r>
      <w:r w:rsidRPr="0031675F">
        <w:rPr>
          <w:spacing w:val="-2"/>
        </w:rPr>
        <w:t>be</w:t>
      </w:r>
      <w:r w:rsidRPr="0031675F">
        <w:t xml:space="preserve"> </w:t>
      </w:r>
      <w:r w:rsidRPr="0031675F">
        <w:rPr>
          <w:spacing w:val="-2"/>
        </w:rPr>
        <w:t>used.</w:t>
      </w:r>
    </w:p>
    <w:p w14:paraId="281B1AD2" w14:textId="77777777" w:rsidR="0031675F" w:rsidRPr="0031675F" w:rsidRDefault="0031675F" w:rsidP="0057756F">
      <w:pPr>
        <w:rPr>
          <w:rFonts w:cs="Calibri"/>
        </w:rPr>
      </w:pPr>
      <w:r w:rsidRPr="0031675F">
        <w:rPr>
          <w:spacing w:val="-1"/>
        </w:rPr>
        <w:t>Fsample</w:t>
      </w:r>
      <w:r w:rsidRPr="0031675F">
        <w:rPr>
          <w:spacing w:val="2"/>
        </w:rPr>
        <w:t xml:space="preserve"> </w:t>
      </w:r>
      <w:r w:rsidRPr="0031675F">
        <w:rPr>
          <w:spacing w:val="-1"/>
          <w:sz w:val="16"/>
        </w:rPr>
        <w:t xml:space="preserve">corr </w:t>
      </w:r>
      <w:r w:rsidRPr="0031675F">
        <w:rPr>
          <w:sz w:val="16"/>
        </w:rPr>
        <w:t>=</w:t>
      </w:r>
      <w:r w:rsidRPr="0031675F">
        <w:rPr>
          <w:spacing w:val="13"/>
          <w:sz w:val="16"/>
        </w:rPr>
        <w:t xml:space="preserve"> </w:t>
      </w:r>
      <w:r w:rsidRPr="0031675F">
        <w:rPr>
          <w:spacing w:val="-2"/>
        </w:rPr>
        <w:t>Fsample</w:t>
      </w:r>
      <w:r w:rsidRPr="0031675F">
        <w:rPr>
          <w:spacing w:val="1"/>
        </w:rPr>
        <w:t xml:space="preserve"> </w:t>
      </w:r>
      <w:r w:rsidRPr="0031675F">
        <w:rPr>
          <w:spacing w:val="-1"/>
          <w:sz w:val="16"/>
        </w:rPr>
        <w:t>NH4</w:t>
      </w:r>
      <w:r w:rsidRPr="0031675F">
        <w:rPr>
          <w:spacing w:val="12"/>
          <w:sz w:val="16"/>
        </w:rPr>
        <w:t xml:space="preserve"> </w:t>
      </w:r>
      <w:r w:rsidRPr="0031675F">
        <w:t>x</w:t>
      </w:r>
      <w:r w:rsidRPr="0031675F">
        <w:rPr>
          <w:spacing w:val="10"/>
        </w:rPr>
        <w:t xml:space="preserve"> </w:t>
      </w:r>
      <w:r w:rsidRPr="0031675F">
        <w:t>[ME]</w:t>
      </w:r>
    </w:p>
    <w:p w14:paraId="7033614D" w14:textId="77777777" w:rsidR="0031675F" w:rsidRPr="0031675F" w:rsidRDefault="0031675F" w:rsidP="0057756F">
      <w:r w:rsidRPr="0031675F">
        <w:rPr>
          <w:spacing w:val="-1"/>
        </w:rPr>
        <w:t>Where:</w:t>
      </w:r>
      <w:r w:rsidRPr="0031675F">
        <w:rPr>
          <w:spacing w:val="3"/>
        </w:rPr>
        <w:t xml:space="preserve"> </w:t>
      </w:r>
      <w:r w:rsidRPr="0031675F">
        <w:rPr>
          <w:spacing w:val="-1"/>
        </w:rPr>
        <w:t>Fsample</w:t>
      </w:r>
      <w:r w:rsidRPr="0031675F">
        <w:rPr>
          <w:spacing w:val="1"/>
        </w:rPr>
        <w:t xml:space="preserve"> </w:t>
      </w:r>
      <w:r w:rsidRPr="0031675F">
        <w:rPr>
          <w:spacing w:val="-1"/>
          <w:sz w:val="16"/>
        </w:rPr>
        <w:t xml:space="preserve">corr </w:t>
      </w:r>
      <w:r w:rsidRPr="0031675F">
        <w:rPr>
          <w:sz w:val="16"/>
        </w:rPr>
        <w:t>=</w:t>
      </w:r>
      <w:r w:rsidRPr="0031675F">
        <w:rPr>
          <w:spacing w:val="-2"/>
          <w:sz w:val="16"/>
        </w:rPr>
        <w:t xml:space="preserve"> </w:t>
      </w:r>
      <w:r w:rsidRPr="0031675F">
        <w:rPr>
          <w:spacing w:val="-1"/>
        </w:rPr>
        <w:t>corrected</w:t>
      </w:r>
      <w:r w:rsidRPr="0031675F">
        <w:rPr>
          <w:spacing w:val="-14"/>
        </w:rPr>
        <w:t xml:space="preserve"> </w:t>
      </w:r>
      <w:r w:rsidRPr="0031675F">
        <w:rPr>
          <w:spacing w:val="-1"/>
        </w:rPr>
        <w:t>sample</w:t>
      </w:r>
      <w:r w:rsidRPr="0031675F">
        <w:t xml:space="preserve"> </w:t>
      </w:r>
      <w:r w:rsidRPr="0031675F">
        <w:rPr>
          <w:spacing w:val="-1"/>
        </w:rPr>
        <w:t>fluorescence</w:t>
      </w:r>
    </w:p>
    <w:p w14:paraId="7E28B6FD" w14:textId="77777777" w:rsidR="0031675F" w:rsidRPr="0031675F" w:rsidRDefault="0031675F" w:rsidP="0057756F">
      <w:pPr>
        <w:rPr>
          <w:rFonts w:cs="Calibri"/>
          <w:sz w:val="14"/>
          <w:szCs w:val="14"/>
        </w:rPr>
      </w:pPr>
      <w:r w:rsidRPr="0031675F">
        <w:rPr>
          <w:spacing w:val="-1"/>
        </w:rPr>
        <w:t>Fsample</w:t>
      </w:r>
      <w:r w:rsidRPr="0031675F">
        <w:rPr>
          <w:spacing w:val="1"/>
        </w:rPr>
        <w:t xml:space="preserve"> </w:t>
      </w:r>
      <w:r w:rsidRPr="0031675F">
        <w:rPr>
          <w:spacing w:val="-1"/>
          <w:sz w:val="16"/>
        </w:rPr>
        <w:t>NH4</w:t>
      </w:r>
      <w:r w:rsidRPr="0031675F">
        <w:rPr>
          <w:sz w:val="16"/>
        </w:rPr>
        <w:t xml:space="preserve"> =</w:t>
      </w:r>
      <w:r w:rsidRPr="0031675F">
        <w:rPr>
          <w:spacing w:val="-2"/>
          <w:sz w:val="16"/>
        </w:rPr>
        <w:t xml:space="preserve"> </w:t>
      </w:r>
      <w:r w:rsidRPr="0031675F">
        <w:rPr>
          <w:spacing w:val="-1"/>
        </w:rPr>
        <w:t>fluorescence</w:t>
      </w:r>
      <w:r w:rsidRPr="0031675F">
        <w:rPr>
          <w:spacing w:val="-2"/>
        </w:rPr>
        <w:t xml:space="preserve"> </w:t>
      </w:r>
      <w:r w:rsidRPr="0031675F">
        <w:t xml:space="preserve">of </w:t>
      </w:r>
      <w:r w:rsidRPr="0031675F">
        <w:rPr>
          <w:spacing w:val="-1"/>
        </w:rPr>
        <w:t>sample</w:t>
      </w:r>
      <w:r w:rsidRPr="0031675F">
        <w:t xml:space="preserve"> </w:t>
      </w:r>
      <w:r w:rsidRPr="0031675F">
        <w:rPr>
          <w:spacing w:val="-1"/>
        </w:rPr>
        <w:t>due</w:t>
      </w:r>
      <w:r w:rsidRPr="0031675F">
        <w:rPr>
          <w:spacing w:val="-2"/>
        </w:rPr>
        <w:t xml:space="preserve"> </w:t>
      </w:r>
      <w:r w:rsidRPr="0031675F">
        <w:rPr>
          <w:spacing w:val="-1"/>
        </w:rPr>
        <w:t>to</w:t>
      </w:r>
      <w:r w:rsidRPr="0031675F">
        <w:rPr>
          <w:spacing w:val="1"/>
        </w:rPr>
        <w:t xml:space="preserve"> </w:t>
      </w:r>
      <w:r w:rsidRPr="0031675F">
        <w:rPr>
          <w:spacing w:val="-1"/>
        </w:rPr>
        <w:t>ammonium</w:t>
      </w:r>
      <w:r w:rsidRPr="0031675F">
        <w:rPr>
          <w:spacing w:val="1"/>
        </w:rPr>
        <w:t xml:space="preserve"> </w:t>
      </w:r>
      <w:r w:rsidRPr="0031675F">
        <w:rPr>
          <w:spacing w:val="-2"/>
        </w:rPr>
        <w:t>(from</w:t>
      </w:r>
      <w:r w:rsidRPr="0031675F">
        <w:rPr>
          <w:spacing w:val="1"/>
        </w:rPr>
        <w:t xml:space="preserve"> </w:t>
      </w:r>
      <w:r w:rsidRPr="0031675F">
        <w:rPr>
          <w:spacing w:val="-1"/>
        </w:rPr>
        <w:t>equation</w:t>
      </w:r>
      <w:r w:rsidRPr="0031675F">
        <w:rPr>
          <w:spacing w:val="-3"/>
        </w:rPr>
        <w:t xml:space="preserve"> </w:t>
      </w:r>
      <w:r w:rsidRPr="0031675F">
        <w:t>1)</w:t>
      </w:r>
      <w:r w:rsidRPr="0031675F">
        <w:rPr>
          <w:spacing w:val="31"/>
        </w:rPr>
        <w:t xml:space="preserve"> </w:t>
      </w:r>
      <w:r w:rsidRPr="0031675F">
        <w:rPr>
          <w:spacing w:val="-1"/>
        </w:rPr>
        <w:t>The</w:t>
      </w:r>
      <w:r w:rsidRPr="0031675F">
        <w:t xml:space="preserve"> </w:t>
      </w:r>
      <w:r w:rsidRPr="0031675F">
        <w:rPr>
          <w:spacing w:val="-1"/>
        </w:rPr>
        <w:t>concentration</w:t>
      </w:r>
      <w:r w:rsidRPr="0031675F">
        <w:rPr>
          <w:spacing w:val="-3"/>
        </w:rPr>
        <w:t xml:space="preserve"> </w:t>
      </w:r>
      <w:r w:rsidRPr="0031675F">
        <w:t xml:space="preserve">of </w:t>
      </w:r>
      <w:r w:rsidRPr="0031675F">
        <w:rPr>
          <w:spacing w:val="-2"/>
        </w:rPr>
        <w:t>ammonium</w:t>
      </w:r>
      <w:r w:rsidRPr="0031675F">
        <w:rPr>
          <w:spacing w:val="1"/>
        </w:rPr>
        <w:t xml:space="preserve"> </w:t>
      </w:r>
      <w:r w:rsidRPr="0031675F">
        <w:t>in</w:t>
      </w:r>
      <w:r w:rsidRPr="0031675F">
        <w:rPr>
          <w:spacing w:val="-3"/>
        </w:rPr>
        <w:t xml:space="preserve"> </w:t>
      </w:r>
      <w:r w:rsidRPr="0031675F">
        <w:t xml:space="preserve">the </w:t>
      </w:r>
      <w:r w:rsidRPr="0031675F">
        <w:rPr>
          <w:spacing w:val="-1"/>
        </w:rPr>
        <w:t>sample</w:t>
      </w:r>
      <w:r w:rsidRPr="0031675F">
        <w:rPr>
          <w:spacing w:val="-3"/>
        </w:rPr>
        <w:t xml:space="preserve"> </w:t>
      </w:r>
      <w:r w:rsidRPr="0031675F">
        <w:t>is:</w:t>
      </w:r>
      <w:r w:rsidRPr="0031675F">
        <w:rPr>
          <w:noProof/>
          <w:lang w:eastAsia="en-AU"/>
        </w:rPr>
        <mc:AlternateContent>
          <mc:Choice Requires="wps">
            <w:drawing>
              <wp:anchor distT="0" distB="0" distL="114300" distR="114300" simplePos="0" relativeHeight="251659264" behindDoc="1" locked="0" layoutInCell="1" allowOverlap="1" wp14:anchorId="099D6E94" wp14:editId="77A7DE95">
                <wp:simplePos x="0" y="0"/>
                <wp:positionH relativeFrom="page">
                  <wp:posOffset>1534795</wp:posOffset>
                </wp:positionH>
                <wp:positionV relativeFrom="paragraph">
                  <wp:posOffset>86360</wp:posOffset>
                </wp:positionV>
                <wp:extent cx="45085" cy="88900"/>
                <wp:effectExtent l="0" t="0" r="12065" b="6350"/>
                <wp:wrapNone/>
                <wp:docPr id="25" name="Text Box 90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D7F03D" w14:textId="77777777" w:rsidR="00CB53E4" w:rsidRDefault="00CB53E4" w:rsidP="0031675F">
                            <w:pPr>
                              <w:spacing w:line="139" w:lineRule="exact"/>
                              <w:rPr>
                                <w:rFonts w:cs="Calibri"/>
                                <w:sz w:val="14"/>
                                <w:szCs w:val="14"/>
                              </w:rPr>
                            </w:pPr>
                            <w:r>
                              <w:rPr>
                                <w:w w:val="95"/>
                                <w:sz w:val="14"/>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9D6E94" id="Text Box 9066" o:spid="_x0000_s1034" type="#_x0000_t202" style="position:absolute;margin-left:120.85pt;margin-top:6.8pt;width:3.55pt;height:7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" filled="f" stroked="f">
                <v:textbox inset="0,0,0,0">
                  <w:txbxContent>
                    <w:p w14:paraId="0ED7F03D" w14:textId="77777777" w:rsidR="00CB53E4" w:rsidRDefault="00CB53E4" w:rsidP="0031675F">
                      <w:pPr>
                        <w:spacing w:line="139" w:lineRule="exact"/>
                        <w:rPr>
                          <w:rFonts w:cs="Calibri"/>
                          <w:sz w:val="14"/>
                          <w:szCs w:val="14"/>
                        </w:rPr>
                      </w:pPr>
                      <w:r>
                        <w:rPr>
                          <w:w w:val="95"/>
                          <w:sz w:val="14"/>
                        </w:rPr>
                        <w:t>4</w:t>
                      </w:r>
                    </w:p>
                  </w:txbxContent>
                </v:textbox>
                <w10:wrap anchorx="page"/>
              </v:shape>
            </w:pict>
          </mc:Fallback>
        </mc:AlternateContent>
      </w:r>
      <w:r w:rsidRPr="0031675F">
        <w:t xml:space="preserve"> </w:t>
      </w:r>
      <w:r w:rsidRPr="0031675F">
        <w:rPr>
          <w:spacing w:val="-1"/>
        </w:rPr>
        <w:t>H</w:t>
      </w:r>
      <w:r w:rsidRPr="0031675F">
        <w:rPr>
          <w:spacing w:val="18"/>
        </w:rPr>
        <w:t xml:space="preserve"> </w:t>
      </w:r>
      <w:r w:rsidRPr="0031675F">
        <w:rPr>
          <w:position w:val="10"/>
          <w:sz w:val="14"/>
        </w:rPr>
        <w:t>+</w:t>
      </w:r>
    </w:p>
    <w:p w14:paraId="7B00F707" w14:textId="58F18F0F" w:rsidR="0031675F" w:rsidRPr="0031675F" w:rsidRDefault="0031675F" w:rsidP="0057756F">
      <w:pPr>
        <w:rPr>
          <w:spacing w:val="-1"/>
        </w:rPr>
      </w:pPr>
      <w:r w:rsidRPr="0031675F">
        <w:rPr>
          <w:spacing w:val="-1"/>
        </w:rPr>
        <w:t>(umol</w:t>
      </w:r>
      <w:r w:rsidR="00E817CB" w:rsidRPr="00E817CB">
        <w:t xml:space="preserve"> L</w:t>
      </w:r>
      <w:r w:rsidR="00E817CB" w:rsidRPr="00E817CB">
        <w:rPr>
          <w:vertAlign w:val="superscript"/>
        </w:rPr>
        <w:t>-1</w:t>
      </w:r>
      <w:r w:rsidRPr="0031675F">
        <w:rPr>
          <w:spacing w:val="-1"/>
        </w:rPr>
        <w:t>)</w:t>
      </w:r>
      <w:r w:rsidRPr="0031675F">
        <w:rPr>
          <w:spacing w:val="-2"/>
        </w:rPr>
        <w:t xml:space="preserve"> </w:t>
      </w:r>
      <w:r w:rsidRPr="0031675F">
        <w:t xml:space="preserve">= </w:t>
      </w:r>
      <w:r w:rsidRPr="0031675F">
        <w:rPr>
          <w:spacing w:val="-1"/>
        </w:rPr>
        <w:t>[Fsample</w:t>
      </w:r>
      <w:r w:rsidRPr="0031675F">
        <w:t xml:space="preserve"> </w:t>
      </w:r>
      <w:r w:rsidRPr="0031675F">
        <w:rPr>
          <w:spacing w:val="-2"/>
          <w:sz w:val="16"/>
          <w:szCs w:val="16"/>
        </w:rPr>
        <w:t>corr</w:t>
      </w:r>
      <w:r w:rsidRPr="0031675F">
        <w:rPr>
          <w:spacing w:val="13"/>
          <w:sz w:val="16"/>
          <w:szCs w:val="16"/>
        </w:rPr>
        <w:t xml:space="preserve"> </w:t>
      </w:r>
      <w:r w:rsidRPr="0031675F">
        <w:rPr>
          <w:rFonts w:cs="Calibri"/>
        </w:rPr>
        <w:t>–</w:t>
      </w:r>
      <w:r w:rsidRPr="0031675F">
        <w:rPr>
          <w:rFonts w:cs="Calibri"/>
          <w:spacing w:val="1"/>
        </w:rPr>
        <w:t xml:space="preserve"> </w:t>
      </w:r>
      <w:r w:rsidRPr="0031675F">
        <w:rPr>
          <w:spacing w:val="-1"/>
        </w:rPr>
        <w:t>F</w:t>
      </w:r>
      <w:r w:rsidRPr="0031675F">
        <w:rPr>
          <w:spacing w:val="-1"/>
          <w:sz w:val="16"/>
          <w:szCs w:val="16"/>
        </w:rPr>
        <w:t>DiW</w:t>
      </w:r>
      <w:r w:rsidRPr="0031675F">
        <w:rPr>
          <w:spacing w:val="1"/>
          <w:sz w:val="16"/>
          <w:szCs w:val="16"/>
        </w:rPr>
        <w:t xml:space="preserve"> </w:t>
      </w:r>
      <w:r w:rsidRPr="0031675F">
        <w:rPr>
          <w:spacing w:val="-1"/>
          <w:sz w:val="16"/>
          <w:szCs w:val="16"/>
        </w:rPr>
        <w:t>blank</w:t>
      </w:r>
      <w:r w:rsidRPr="0031675F">
        <w:rPr>
          <w:spacing w:val="-1"/>
        </w:rPr>
        <w:t>]</w:t>
      </w:r>
      <w:r w:rsidRPr="0031675F">
        <w:t xml:space="preserve"> x </w:t>
      </w:r>
      <w:r w:rsidRPr="0031675F">
        <w:rPr>
          <w:spacing w:val="-2"/>
        </w:rPr>
        <w:t>slope</w:t>
      </w:r>
      <w:r w:rsidRPr="0031675F">
        <w:t xml:space="preserve"> </w:t>
      </w:r>
      <w:r w:rsidRPr="0031675F">
        <w:rPr>
          <w:spacing w:val="-2"/>
        </w:rPr>
        <w:t>factor</w:t>
      </w:r>
      <w:r w:rsidRPr="0031675F">
        <w:t xml:space="preserve"> </w:t>
      </w:r>
      <w:r w:rsidRPr="0031675F">
        <w:rPr>
          <w:spacing w:val="-1"/>
        </w:rPr>
        <w:t xml:space="preserve">from </w:t>
      </w:r>
      <w:r w:rsidRPr="0031675F">
        <w:t>DiW</w:t>
      </w:r>
      <w:r w:rsidRPr="0031675F">
        <w:rPr>
          <w:spacing w:val="-2"/>
        </w:rPr>
        <w:t xml:space="preserve"> </w:t>
      </w:r>
      <w:r w:rsidRPr="0031675F">
        <w:rPr>
          <w:spacing w:val="-1"/>
        </w:rPr>
        <w:t>calibration</w:t>
      </w:r>
      <w:r w:rsidRPr="0031675F">
        <w:rPr>
          <w:spacing w:val="-3"/>
        </w:rPr>
        <w:t xml:space="preserve"> </w:t>
      </w:r>
      <w:r w:rsidRPr="0031675F">
        <w:rPr>
          <w:spacing w:val="-1"/>
        </w:rPr>
        <w:t>curve</w:t>
      </w:r>
    </w:p>
    <w:p w14:paraId="6F11AFC4" w14:textId="237BE730" w:rsidR="0031675F" w:rsidRPr="0031675F" w:rsidRDefault="0031675F" w:rsidP="0057756F">
      <w:pPr>
        <w:rPr>
          <w:rFonts w:cs="Calibri"/>
          <w:sz w:val="16"/>
          <w:szCs w:val="16"/>
        </w:rPr>
      </w:pPr>
    </w:p>
    <w:p w14:paraId="1490E585" w14:textId="77777777" w:rsidR="0031675F" w:rsidRPr="0031675F" w:rsidRDefault="0031675F" w:rsidP="0031675F">
      <w:pPr>
        <w:widowControl w:val="0"/>
        <w:numPr>
          <w:ilvl w:val="1"/>
          <w:numId w:val="121"/>
        </w:numPr>
        <w:tabs>
          <w:tab w:val="left" w:pos="686"/>
        </w:tabs>
        <w:spacing w:before="69" w:after="0" w:line="240" w:lineRule="auto"/>
        <w:ind w:left="685"/>
        <w:jc w:val="both"/>
        <w:rPr>
          <w:rFonts w:eastAsia="Arial" w:cs="Arial"/>
          <w:sz w:val="24"/>
          <w:szCs w:val="24"/>
        </w:rPr>
      </w:pPr>
      <w:r w:rsidRPr="0031675F">
        <w:rPr>
          <w:b/>
          <w:sz w:val="24"/>
        </w:rPr>
        <w:t>Data</w:t>
      </w:r>
      <w:r w:rsidRPr="0031675F">
        <w:rPr>
          <w:b/>
          <w:spacing w:val="1"/>
          <w:sz w:val="24"/>
        </w:rPr>
        <w:t xml:space="preserve"> </w:t>
      </w:r>
      <w:r w:rsidRPr="0031675F">
        <w:rPr>
          <w:b/>
          <w:spacing w:val="-1"/>
          <w:sz w:val="24"/>
        </w:rPr>
        <w:t>management</w:t>
      </w:r>
    </w:p>
    <w:p w14:paraId="4AE56335" w14:textId="77777777" w:rsidR="0031675F" w:rsidRPr="0031675F" w:rsidRDefault="0031675F" w:rsidP="0057756F">
      <w:r w:rsidRPr="0031675F">
        <w:rPr>
          <w:spacing w:val="-1"/>
        </w:rPr>
        <w:t>Each</w:t>
      </w:r>
      <w:r w:rsidRPr="0031675F">
        <w:rPr>
          <w:spacing w:val="19"/>
        </w:rPr>
        <w:t xml:space="preserve"> </w:t>
      </w:r>
      <w:r w:rsidRPr="0031675F">
        <w:rPr>
          <w:spacing w:val="-1"/>
        </w:rPr>
        <w:t>sample</w:t>
      </w:r>
      <w:r w:rsidRPr="0031675F">
        <w:rPr>
          <w:spacing w:val="19"/>
        </w:rPr>
        <w:t xml:space="preserve"> </w:t>
      </w:r>
      <w:r w:rsidRPr="0031675F">
        <w:t>is</w:t>
      </w:r>
      <w:r w:rsidRPr="0031675F">
        <w:rPr>
          <w:spacing w:val="19"/>
        </w:rPr>
        <w:t xml:space="preserve"> </w:t>
      </w:r>
      <w:r w:rsidRPr="0031675F">
        <w:rPr>
          <w:spacing w:val="-1"/>
        </w:rPr>
        <w:t>uniquely</w:t>
      </w:r>
      <w:r w:rsidRPr="0031675F">
        <w:rPr>
          <w:spacing w:val="20"/>
        </w:rPr>
        <w:t xml:space="preserve"> </w:t>
      </w:r>
      <w:r w:rsidRPr="0031675F">
        <w:rPr>
          <w:spacing w:val="-1"/>
        </w:rPr>
        <w:t>identified</w:t>
      </w:r>
      <w:r w:rsidRPr="0031675F">
        <w:rPr>
          <w:spacing w:val="19"/>
        </w:rPr>
        <w:t xml:space="preserve"> </w:t>
      </w:r>
      <w:r w:rsidRPr="0031675F">
        <w:t>with</w:t>
      </w:r>
      <w:r w:rsidRPr="0031675F">
        <w:rPr>
          <w:spacing w:val="19"/>
        </w:rPr>
        <w:t xml:space="preserve"> </w:t>
      </w:r>
      <w:r w:rsidRPr="0031675F">
        <w:t>a</w:t>
      </w:r>
      <w:r w:rsidRPr="0031675F">
        <w:rPr>
          <w:spacing w:val="19"/>
        </w:rPr>
        <w:t xml:space="preserve"> </w:t>
      </w:r>
      <w:r w:rsidRPr="0031675F">
        <w:rPr>
          <w:spacing w:val="-1"/>
        </w:rPr>
        <w:t>combination</w:t>
      </w:r>
      <w:r w:rsidRPr="0031675F">
        <w:rPr>
          <w:spacing w:val="18"/>
        </w:rPr>
        <w:t xml:space="preserve"> </w:t>
      </w:r>
      <w:r w:rsidRPr="0031675F">
        <w:t>of</w:t>
      </w:r>
      <w:r w:rsidRPr="0031675F">
        <w:rPr>
          <w:spacing w:val="19"/>
        </w:rPr>
        <w:t xml:space="preserve"> </w:t>
      </w:r>
      <w:r w:rsidRPr="0031675F">
        <w:rPr>
          <w:spacing w:val="-1"/>
        </w:rPr>
        <w:t>station</w:t>
      </w:r>
      <w:r w:rsidRPr="0031675F">
        <w:rPr>
          <w:spacing w:val="18"/>
        </w:rPr>
        <w:t xml:space="preserve"> </w:t>
      </w:r>
      <w:r w:rsidRPr="0031675F">
        <w:rPr>
          <w:spacing w:val="-1"/>
        </w:rPr>
        <w:t>name,</w:t>
      </w:r>
      <w:r w:rsidRPr="0031675F">
        <w:rPr>
          <w:spacing w:val="19"/>
        </w:rPr>
        <w:t xml:space="preserve"> </w:t>
      </w:r>
      <w:r w:rsidRPr="0031675F">
        <w:rPr>
          <w:spacing w:val="-1"/>
        </w:rPr>
        <w:t>depth</w:t>
      </w:r>
      <w:r w:rsidRPr="0031675F">
        <w:rPr>
          <w:spacing w:val="18"/>
        </w:rPr>
        <w:t xml:space="preserve"> </w:t>
      </w:r>
      <w:r w:rsidRPr="0031675F">
        <w:t>in</w:t>
      </w:r>
      <w:r w:rsidRPr="0031675F">
        <w:rPr>
          <w:spacing w:val="18"/>
        </w:rPr>
        <w:t xml:space="preserve"> </w:t>
      </w:r>
      <w:r w:rsidRPr="0031675F">
        <w:t>the</w:t>
      </w:r>
      <w:r w:rsidRPr="0031675F">
        <w:rPr>
          <w:spacing w:val="19"/>
        </w:rPr>
        <w:t xml:space="preserve"> </w:t>
      </w:r>
      <w:r w:rsidRPr="0031675F">
        <w:t>water</w:t>
      </w:r>
      <w:r w:rsidRPr="0031675F">
        <w:rPr>
          <w:spacing w:val="19"/>
        </w:rPr>
        <w:t xml:space="preserve"> </w:t>
      </w:r>
      <w:r w:rsidRPr="0031675F">
        <w:rPr>
          <w:spacing w:val="-1"/>
        </w:rPr>
        <w:t>column</w:t>
      </w:r>
      <w:r w:rsidRPr="0031675F">
        <w:rPr>
          <w:spacing w:val="67"/>
        </w:rPr>
        <w:t xml:space="preserve"> </w:t>
      </w:r>
      <w:r w:rsidRPr="0031675F">
        <w:rPr>
          <w:spacing w:val="-1"/>
        </w:rPr>
        <w:t>from</w:t>
      </w:r>
      <w:r w:rsidRPr="0031675F">
        <w:rPr>
          <w:spacing w:val="-2"/>
        </w:rPr>
        <w:t xml:space="preserve"> </w:t>
      </w:r>
      <w:r w:rsidRPr="0031675F">
        <w:rPr>
          <w:spacing w:val="-1"/>
        </w:rPr>
        <w:t>which</w:t>
      </w:r>
      <w:r w:rsidRPr="0031675F">
        <w:rPr>
          <w:spacing w:val="-3"/>
        </w:rPr>
        <w:t xml:space="preserve"> </w:t>
      </w:r>
      <w:r w:rsidRPr="0031675F">
        <w:t xml:space="preserve">the </w:t>
      </w:r>
      <w:r w:rsidRPr="0031675F">
        <w:rPr>
          <w:spacing w:val="-1"/>
        </w:rPr>
        <w:t>sample</w:t>
      </w:r>
      <w:r w:rsidRPr="0031675F">
        <w:rPr>
          <w:spacing w:val="-3"/>
        </w:rPr>
        <w:t xml:space="preserve"> </w:t>
      </w:r>
      <w:r w:rsidRPr="0031675F">
        <w:rPr>
          <w:spacing w:val="-1"/>
        </w:rPr>
        <w:t>was</w:t>
      </w:r>
      <w:r w:rsidRPr="0031675F">
        <w:t xml:space="preserve"> </w:t>
      </w:r>
      <w:r w:rsidRPr="0031675F">
        <w:rPr>
          <w:spacing w:val="-1"/>
        </w:rPr>
        <w:t>taken</w:t>
      </w:r>
      <w:r w:rsidRPr="0031675F">
        <w:t xml:space="preserve"> </w:t>
      </w:r>
      <w:r w:rsidRPr="0031675F">
        <w:rPr>
          <w:spacing w:val="-1"/>
        </w:rPr>
        <w:t>(e.g.</w:t>
      </w:r>
      <w:r w:rsidRPr="0031675F">
        <w:t xml:space="preserve"> </w:t>
      </w:r>
      <w:r w:rsidRPr="0031675F">
        <w:rPr>
          <w:spacing w:val="-1"/>
        </w:rPr>
        <w:t>WQP005</w:t>
      </w:r>
      <w:r w:rsidRPr="0031675F">
        <w:rPr>
          <w:spacing w:val="48"/>
        </w:rPr>
        <w:t xml:space="preserve"> </w:t>
      </w:r>
      <w:r w:rsidRPr="0031675F">
        <w:rPr>
          <w:spacing w:val="-1"/>
        </w:rPr>
        <w:t>D1)</w:t>
      </w:r>
      <w:r w:rsidRPr="0031675F">
        <w:rPr>
          <w:spacing w:val="-3"/>
        </w:rPr>
        <w:t xml:space="preserve"> </w:t>
      </w:r>
      <w:r w:rsidRPr="0031675F">
        <w:t>and</w:t>
      </w:r>
      <w:r w:rsidRPr="0031675F">
        <w:rPr>
          <w:spacing w:val="-2"/>
        </w:rPr>
        <w:t xml:space="preserve"> </w:t>
      </w:r>
      <w:r w:rsidRPr="0031675F">
        <w:rPr>
          <w:spacing w:val="-1"/>
        </w:rPr>
        <w:t>the</w:t>
      </w:r>
      <w:r w:rsidRPr="0031675F">
        <w:t xml:space="preserve"> </w:t>
      </w:r>
      <w:r w:rsidRPr="0031675F">
        <w:rPr>
          <w:spacing w:val="-1"/>
        </w:rPr>
        <w:t>replicate</w:t>
      </w:r>
      <w:r w:rsidRPr="0031675F">
        <w:rPr>
          <w:spacing w:val="-2"/>
        </w:rPr>
        <w:t xml:space="preserve"> </w:t>
      </w:r>
      <w:r w:rsidRPr="0031675F">
        <w:t>number.</w:t>
      </w:r>
    </w:p>
    <w:p w14:paraId="0C6DAA58" w14:textId="77777777" w:rsidR="0031675F" w:rsidRPr="0031675F" w:rsidRDefault="0031675F" w:rsidP="0057756F">
      <w:r w:rsidRPr="0031675F">
        <w:rPr>
          <w:spacing w:val="-1"/>
        </w:rPr>
        <w:t>The</w:t>
      </w:r>
      <w:r w:rsidRPr="0031675F">
        <w:rPr>
          <w:spacing w:val="36"/>
        </w:rPr>
        <w:t xml:space="preserve"> </w:t>
      </w:r>
      <w:r w:rsidRPr="0031675F">
        <w:t>raw</w:t>
      </w:r>
      <w:r w:rsidRPr="0031675F">
        <w:rPr>
          <w:spacing w:val="36"/>
        </w:rPr>
        <w:t xml:space="preserve"> </w:t>
      </w:r>
      <w:r w:rsidRPr="0031675F">
        <w:rPr>
          <w:spacing w:val="-1"/>
        </w:rPr>
        <w:t>fluorescence</w:t>
      </w:r>
      <w:r w:rsidRPr="0031675F">
        <w:rPr>
          <w:spacing w:val="37"/>
        </w:rPr>
        <w:t xml:space="preserve"> </w:t>
      </w:r>
      <w:r w:rsidRPr="0031675F">
        <w:rPr>
          <w:spacing w:val="-2"/>
        </w:rPr>
        <w:t>reading</w:t>
      </w:r>
      <w:r w:rsidRPr="0031675F">
        <w:rPr>
          <w:spacing w:val="34"/>
        </w:rPr>
        <w:t xml:space="preserve"> </w:t>
      </w:r>
      <w:r w:rsidRPr="0031675F">
        <w:rPr>
          <w:spacing w:val="-1"/>
        </w:rPr>
        <w:t>and</w:t>
      </w:r>
      <w:r w:rsidRPr="0031675F">
        <w:rPr>
          <w:spacing w:val="35"/>
        </w:rPr>
        <w:t xml:space="preserve"> </w:t>
      </w:r>
      <w:r w:rsidRPr="0031675F">
        <w:rPr>
          <w:spacing w:val="-1"/>
        </w:rPr>
        <w:t>analysis</w:t>
      </w:r>
      <w:r w:rsidRPr="0031675F">
        <w:rPr>
          <w:spacing w:val="36"/>
        </w:rPr>
        <w:t xml:space="preserve"> </w:t>
      </w:r>
      <w:r w:rsidRPr="0031675F">
        <w:rPr>
          <w:spacing w:val="-1"/>
        </w:rPr>
        <w:t>time</w:t>
      </w:r>
      <w:r w:rsidRPr="0031675F">
        <w:rPr>
          <w:spacing w:val="37"/>
        </w:rPr>
        <w:t xml:space="preserve"> </w:t>
      </w:r>
      <w:r w:rsidRPr="0031675F">
        <w:rPr>
          <w:spacing w:val="-1"/>
        </w:rPr>
        <w:t>are</w:t>
      </w:r>
      <w:r w:rsidRPr="0031675F">
        <w:rPr>
          <w:spacing w:val="36"/>
        </w:rPr>
        <w:t xml:space="preserve"> </w:t>
      </w:r>
      <w:r w:rsidRPr="0031675F">
        <w:rPr>
          <w:spacing w:val="-1"/>
        </w:rPr>
        <w:t>recorded</w:t>
      </w:r>
      <w:r w:rsidRPr="0031675F">
        <w:rPr>
          <w:spacing w:val="36"/>
        </w:rPr>
        <w:t xml:space="preserve"> </w:t>
      </w:r>
      <w:r w:rsidRPr="0031675F">
        <w:rPr>
          <w:spacing w:val="-1"/>
        </w:rPr>
        <w:t>against</w:t>
      </w:r>
      <w:r w:rsidRPr="0031675F">
        <w:rPr>
          <w:spacing w:val="37"/>
        </w:rPr>
        <w:t xml:space="preserve"> </w:t>
      </w:r>
      <w:r w:rsidRPr="0031675F">
        <w:rPr>
          <w:spacing w:val="-1"/>
        </w:rPr>
        <w:t>the</w:t>
      </w:r>
      <w:r w:rsidRPr="0031675F">
        <w:rPr>
          <w:spacing w:val="36"/>
        </w:rPr>
        <w:t xml:space="preserve"> </w:t>
      </w:r>
      <w:r w:rsidRPr="0031675F">
        <w:rPr>
          <w:spacing w:val="-1"/>
        </w:rPr>
        <w:t>sample</w:t>
      </w:r>
      <w:r w:rsidRPr="0031675F">
        <w:rPr>
          <w:spacing w:val="36"/>
        </w:rPr>
        <w:t xml:space="preserve"> </w:t>
      </w:r>
      <w:r w:rsidRPr="0031675F">
        <w:rPr>
          <w:spacing w:val="-1"/>
        </w:rPr>
        <w:t>identifiers</w:t>
      </w:r>
      <w:r w:rsidRPr="0031675F">
        <w:rPr>
          <w:spacing w:val="34"/>
        </w:rPr>
        <w:t xml:space="preserve"> </w:t>
      </w:r>
      <w:r w:rsidRPr="0031675F">
        <w:t>on</w:t>
      </w:r>
      <w:r w:rsidRPr="0031675F">
        <w:rPr>
          <w:spacing w:val="35"/>
        </w:rPr>
        <w:t xml:space="preserve"> </w:t>
      </w:r>
      <w:r w:rsidRPr="0031675F">
        <w:t>a</w:t>
      </w:r>
      <w:r w:rsidRPr="0031675F">
        <w:rPr>
          <w:spacing w:val="77"/>
        </w:rPr>
        <w:t xml:space="preserve"> </w:t>
      </w:r>
      <w:r w:rsidRPr="0031675F">
        <w:rPr>
          <w:spacing w:val="-1"/>
        </w:rPr>
        <w:t>laboratory</w:t>
      </w:r>
      <w:r w:rsidRPr="0031675F">
        <w:rPr>
          <w:spacing w:val="13"/>
        </w:rPr>
        <w:t xml:space="preserve"> </w:t>
      </w:r>
      <w:r w:rsidRPr="0031675F">
        <w:rPr>
          <w:spacing w:val="-1"/>
        </w:rPr>
        <w:t>worksheet.</w:t>
      </w:r>
      <w:r w:rsidRPr="0031675F">
        <w:rPr>
          <w:spacing w:val="30"/>
        </w:rPr>
        <w:t xml:space="preserve"> </w:t>
      </w:r>
      <w:r w:rsidRPr="0031675F">
        <w:t>A</w:t>
      </w:r>
      <w:r w:rsidRPr="0031675F">
        <w:rPr>
          <w:spacing w:val="15"/>
        </w:rPr>
        <w:t xml:space="preserve"> </w:t>
      </w:r>
      <w:r w:rsidRPr="0031675F">
        <w:rPr>
          <w:spacing w:val="-1"/>
        </w:rPr>
        <w:t>pro</w:t>
      </w:r>
      <w:r w:rsidRPr="0031675F">
        <w:rPr>
          <w:spacing w:val="16"/>
        </w:rPr>
        <w:t xml:space="preserve"> </w:t>
      </w:r>
      <w:r w:rsidRPr="0031675F">
        <w:rPr>
          <w:spacing w:val="-1"/>
        </w:rPr>
        <w:t>forma</w:t>
      </w:r>
      <w:r w:rsidRPr="0031675F">
        <w:rPr>
          <w:spacing w:val="12"/>
        </w:rPr>
        <w:t xml:space="preserve"> </w:t>
      </w:r>
      <w:r w:rsidRPr="0031675F">
        <w:t>of</w:t>
      </w:r>
      <w:r w:rsidRPr="0031675F">
        <w:rPr>
          <w:spacing w:val="15"/>
        </w:rPr>
        <w:t xml:space="preserve"> </w:t>
      </w:r>
      <w:r w:rsidRPr="0031675F">
        <w:rPr>
          <w:spacing w:val="-1"/>
        </w:rPr>
        <w:t>this</w:t>
      </w:r>
      <w:r w:rsidRPr="0031675F">
        <w:rPr>
          <w:spacing w:val="15"/>
        </w:rPr>
        <w:t xml:space="preserve"> </w:t>
      </w:r>
      <w:r w:rsidRPr="0031675F">
        <w:rPr>
          <w:spacing w:val="-1"/>
        </w:rPr>
        <w:t>worksheet</w:t>
      </w:r>
      <w:r w:rsidRPr="0031675F">
        <w:rPr>
          <w:spacing w:val="16"/>
        </w:rPr>
        <w:t xml:space="preserve"> </w:t>
      </w:r>
      <w:r w:rsidRPr="0031675F">
        <w:t>can</w:t>
      </w:r>
      <w:r w:rsidRPr="0031675F">
        <w:rPr>
          <w:spacing w:val="14"/>
        </w:rPr>
        <w:t xml:space="preserve"> </w:t>
      </w:r>
      <w:r w:rsidRPr="0031675F">
        <w:rPr>
          <w:spacing w:val="-1"/>
        </w:rPr>
        <w:t>be</w:t>
      </w:r>
      <w:r w:rsidRPr="0031675F">
        <w:rPr>
          <w:spacing w:val="16"/>
        </w:rPr>
        <w:t xml:space="preserve"> </w:t>
      </w:r>
      <w:r w:rsidRPr="0031675F">
        <w:rPr>
          <w:spacing w:val="-1"/>
        </w:rPr>
        <w:t>found</w:t>
      </w:r>
      <w:r w:rsidRPr="0031675F">
        <w:rPr>
          <w:spacing w:val="14"/>
        </w:rPr>
        <w:t xml:space="preserve"> </w:t>
      </w:r>
      <w:r w:rsidRPr="0031675F">
        <w:t>in</w:t>
      </w:r>
      <w:r w:rsidRPr="0031675F">
        <w:rPr>
          <w:spacing w:val="14"/>
        </w:rPr>
        <w:t xml:space="preserve"> </w:t>
      </w:r>
      <w:r w:rsidRPr="0031675F">
        <w:rPr>
          <w:spacing w:val="-1"/>
        </w:rPr>
        <w:t>Attachment</w:t>
      </w:r>
      <w:r w:rsidRPr="0031675F">
        <w:rPr>
          <w:spacing w:val="19"/>
        </w:rPr>
        <w:t xml:space="preserve"> </w:t>
      </w:r>
      <w:r w:rsidRPr="0031675F">
        <w:rPr>
          <w:spacing w:val="-1"/>
        </w:rPr>
        <w:t>4.3.</w:t>
      </w:r>
      <w:r w:rsidRPr="0031675F">
        <w:rPr>
          <w:spacing w:val="31"/>
        </w:rPr>
        <w:t xml:space="preserve"> </w:t>
      </w:r>
      <w:r w:rsidRPr="0031675F">
        <w:rPr>
          <w:spacing w:val="-1"/>
        </w:rPr>
        <w:t>All</w:t>
      </w:r>
      <w:r w:rsidRPr="0031675F">
        <w:rPr>
          <w:spacing w:val="67"/>
        </w:rPr>
        <w:t xml:space="preserve"> </w:t>
      </w:r>
      <w:r w:rsidRPr="0031675F">
        <w:rPr>
          <w:spacing w:val="-1"/>
        </w:rPr>
        <w:t>information</w:t>
      </w:r>
      <w:r w:rsidRPr="0031675F">
        <w:rPr>
          <w:spacing w:val="21"/>
        </w:rPr>
        <w:t xml:space="preserve"> </w:t>
      </w:r>
      <w:r w:rsidRPr="0031675F">
        <w:rPr>
          <w:spacing w:val="-2"/>
        </w:rPr>
        <w:t>from</w:t>
      </w:r>
      <w:r w:rsidRPr="0031675F">
        <w:rPr>
          <w:spacing w:val="20"/>
        </w:rPr>
        <w:t xml:space="preserve"> </w:t>
      </w:r>
      <w:r w:rsidRPr="0031675F">
        <w:rPr>
          <w:spacing w:val="-1"/>
        </w:rPr>
        <w:t>this</w:t>
      </w:r>
      <w:r w:rsidRPr="0031675F">
        <w:rPr>
          <w:spacing w:val="22"/>
        </w:rPr>
        <w:t xml:space="preserve"> </w:t>
      </w:r>
      <w:r w:rsidRPr="0031675F">
        <w:t>lab</w:t>
      </w:r>
      <w:r w:rsidRPr="0031675F">
        <w:rPr>
          <w:spacing w:val="18"/>
        </w:rPr>
        <w:t xml:space="preserve"> </w:t>
      </w:r>
      <w:r w:rsidRPr="0031675F">
        <w:rPr>
          <w:spacing w:val="-1"/>
        </w:rPr>
        <w:t>sheet</w:t>
      </w:r>
      <w:r w:rsidRPr="0031675F">
        <w:rPr>
          <w:spacing w:val="22"/>
        </w:rPr>
        <w:t xml:space="preserve"> </w:t>
      </w:r>
      <w:r w:rsidRPr="0031675F">
        <w:rPr>
          <w:spacing w:val="-2"/>
        </w:rPr>
        <w:t>is</w:t>
      </w:r>
      <w:r w:rsidRPr="0031675F">
        <w:rPr>
          <w:spacing w:val="22"/>
        </w:rPr>
        <w:t xml:space="preserve"> </w:t>
      </w:r>
      <w:r w:rsidRPr="0031675F">
        <w:t>then</w:t>
      </w:r>
      <w:r w:rsidRPr="0031675F">
        <w:rPr>
          <w:spacing w:val="19"/>
        </w:rPr>
        <w:t xml:space="preserve"> </w:t>
      </w:r>
      <w:r w:rsidRPr="0031675F">
        <w:rPr>
          <w:spacing w:val="-1"/>
        </w:rPr>
        <w:t>entered</w:t>
      </w:r>
      <w:r w:rsidRPr="0031675F">
        <w:rPr>
          <w:spacing w:val="19"/>
        </w:rPr>
        <w:t xml:space="preserve"> </w:t>
      </w:r>
      <w:r w:rsidRPr="0031675F">
        <w:t>on</w:t>
      </w:r>
      <w:r w:rsidRPr="0031675F">
        <w:rPr>
          <w:spacing w:val="21"/>
        </w:rPr>
        <w:t xml:space="preserve"> </w:t>
      </w:r>
      <w:r w:rsidRPr="0031675F">
        <w:rPr>
          <w:spacing w:val="-1"/>
        </w:rPr>
        <w:t>to</w:t>
      </w:r>
      <w:r w:rsidRPr="0031675F">
        <w:rPr>
          <w:spacing w:val="23"/>
        </w:rPr>
        <w:t xml:space="preserve"> </w:t>
      </w:r>
      <w:r w:rsidRPr="0031675F">
        <w:t>a</w:t>
      </w:r>
      <w:r w:rsidRPr="0031675F">
        <w:rPr>
          <w:spacing w:val="19"/>
        </w:rPr>
        <w:t xml:space="preserve"> </w:t>
      </w:r>
      <w:r w:rsidRPr="0031675F">
        <w:rPr>
          <w:spacing w:val="-1"/>
        </w:rPr>
        <w:t>Microsoft</w:t>
      </w:r>
      <w:r w:rsidRPr="0031675F">
        <w:rPr>
          <w:spacing w:val="20"/>
        </w:rPr>
        <w:t xml:space="preserve"> </w:t>
      </w:r>
      <w:r w:rsidRPr="0031675F">
        <w:rPr>
          <w:spacing w:val="-1"/>
        </w:rPr>
        <w:t>Excel</w:t>
      </w:r>
      <w:r w:rsidRPr="0031675F">
        <w:rPr>
          <w:spacing w:val="22"/>
        </w:rPr>
        <w:t xml:space="preserve"> </w:t>
      </w:r>
      <w:r w:rsidRPr="0031675F">
        <w:rPr>
          <w:spacing w:val="-1"/>
        </w:rPr>
        <w:t>Spreadsheet</w:t>
      </w:r>
      <w:r w:rsidRPr="0031675F">
        <w:rPr>
          <w:spacing w:val="20"/>
        </w:rPr>
        <w:t xml:space="preserve"> </w:t>
      </w:r>
      <w:r w:rsidRPr="0031675F">
        <w:rPr>
          <w:spacing w:val="-1"/>
        </w:rPr>
        <w:t>template</w:t>
      </w:r>
      <w:r w:rsidRPr="0031675F">
        <w:rPr>
          <w:spacing w:val="19"/>
        </w:rPr>
        <w:t xml:space="preserve"> </w:t>
      </w:r>
      <w:r w:rsidRPr="0031675F">
        <w:rPr>
          <w:spacing w:val="-1"/>
        </w:rPr>
        <w:t>(see</w:t>
      </w:r>
      <w:r w:rsidRPr="0031675F">
        <w:rPr>
          <w:spacing w:val="59"/>
        </w:rPr>
        <w:t xml:space="preserve"> </w:t>
      </w:r>
      <w:r w:rsidRPr="0031675F">
        <w:rPr>
          <w:spacing w:val="-1"/>
        </w:rPr>
        <w:t>Attachment</w:t>
      </w:r>
      <w:r w:rsidRPr="0031675F">
        <w:rPr>
          <w:spacing w:val="10"/>
        </w:rPr>
        <w:t xml:space="preserve"> </w:t>
      </w:r>
      <w:r w:rsidRPr="0031675F">
        <w:rPr>
          <w:spacing w:val="-1"/>
        </w:rPr>
        <w:t>4.4).</w:t>
      </w:r>
      <w:r w:rsidRPr="0031675F">
        <w:rPr>
          <w:spacing w:val="19"/>
        </w:rPr>
        <w:t xml:space="preserve"> </w:t>
      </w:r>
      <w:r w:rsidRPr="0031675F">
        <w:rPr>
          <w:spacing w:val="-1"/>
        </w:rPr>
        <w:t>This</w:t>
      </w:r>
      <w:r w:rsidRPr="0031675F">
        <w:rPr>
          <w:spacing w:val="9"/>
        </w:rPr>
        <w:t xml:space="preserve"> </w:t>
      </w:r>
      <w:r w:rsidRPr="0031675F">
        <w:rPr>
          <w:spacing w:val="-1"/>
        </w:rPr>
        <w:t>data</w:t>
      </w:r>
      <w:r w:rsidRPr="0031675F">
        <w:rPr>
          <w:spacing w:val="10"/>
        </w:rPr>
        <w:t xml:space="preserve"> </w:t>
      </w:r>
      <w:r w:rsidRPr="0031675F">
        <w:t>entry</w:t>
      </w:r>
      <w:r w:rsidRPr="0031675F">
        <w:rPr>
          <w:spacing w:val="10"/>
        </w:rPr>
        <w:t xml:space="preserve"> </w:t>
      </w:r>
      <w:r w:rsidRPr="0031675F">
        <w:rPr>
          <w:spacing w:val="-1"/>
        </w:rPr>
        <w:t>results</w:t>
      </w:r>
      <w:r w:rsidRPr="0031675F">
        <w:rPr>
          <w:spacing w:val="10"/>
        </w:rPr>
        <w:t xml:space="preserve"> </w:t>
      </w:r>
      <w:r w:rsidRPr="0031675F">
        <w:t>in</w:t>
      </w:r>
      <w:r w:rsidRPr="0031675F">
        <w:rPr>
          <w:spacing w:val="8"/>
        </w:rPr>
        <w:t xml:space="preserve"> </w:t>
      </w:r>
      <w:r w:rsidRPr="0031675F">
        <w:t>other</w:t>
      </w:r>
      <w:r w:rsidRPr="0031675F">
        <w:rPr>
          <w:spacing w:val="9"/>
        </w:rPr>
        <w:t xml:space="preserve"> </w:t>
      </w:r>
      <w:r w:rsidRPr="0031675F">
        <w:rPr>
          <w:spacing w:val="-1"/>
        </w:rPr>
        <w:t>data</w:t>
      </w:r>
      <w:r w:rsidRPr="0031675F">
        <w:rPr>
          <w:spacing w:val="9"/>
        </w:rPr>
        <w:t xml:space="preserve"> </w:t>
      </w:r>
      <w:r w:rsidRPr="0031675F">
        <w:t>cells</w:t>
      </w:r>
      <w:r w:rsidRPr="0031675F">
        <w:rPr>
          <w:spacing w:val="9"/>
        </w:rPr>
        <w:t xml:space="preserve"> </w:t>
      </w:r>
      <w:r w:rsidRPr="0031675F">
        <w:rPr>
          <w:spacing w:val="-1"/>
        </w:rPr>
        <w:t>being</w:t>
      </w:r>
      <w:r w:rsidRPr="0031675F">
        <w:rPr>
          <w:spacing w:val="9"/>
        </w:rPr>
        <w:t xml:space="preserve"> </w:t>
      </w:r>
      <w:r w:rsidRPr="0031675F">
        <w:rPr>
          <w:spacing w:val="-1"/>
        </w:rPr>
        <w:t>populated,</w:t>
      </w:r>
      <w:r w:rsidRPr="0031675F">
        <w:rPr>
          <w:spacing w:val="8"/>
        </w:rPr>
        <w:t xml:space="preserve"> </w:t>
      </w:r>
      <w:r w:rsidRPr="0031675F">
        <w:rPr>
          <w:spacing w:val="-1"/>
        </w:rPr>
        <w:t>plots</w:t>
      </w:r>
      <w:r w:rsidRPr="0031675F">
        <w:rPr>
          <w:spacing w:val="10"/>
        </w:rPr>
        <w:t xml:space="preserve"> </w:t>
      </w:r>
      <w:r w:rsidRPr="0031675F">
        <w:t>the</w:t>
      </w:r>
      <w:r w:rsidRPr="0031675F">
        <w:rPr>
          <w:spacing w:val="10"/>
        </w:rPr>
        <w:t xml:space="preserve"> </w:t>
      </w:r>
      <w:r w:rsidRPr="0031675F">
        <w:rPr>
          <w:spacing w:val="-1"/>
        </w:rPr>
        <w:t>Standard</w:t>
      </w:r>
      <w:r w:rsidRPr="0031675F">
        <w:rPr>
          <w:spacing w:val="9"/>
        </w:rPr>
        <w:t xml:space="preserve"> </w:t>
      </w:r>
      <w:r w:rsidRPr="0031675F">
        <w:rPr>
          <w:spacing w:val="-1"/>
        </w:rPr>
        <w:t>and</w:t>
      </w:r>
      <w:r w:rsidRPr="0031675F">
        <w:rPr>
          <w:spacing w:val="77"/>
        </w:rPr>
        <w:t xml:space="preserve"> </w:t>
      </w:r>
      <w:r w:rsidRPr="0031675F">
        <w:rPr>
          <w:spacing w:val="-1"/>
        </w:rPr>
        <w:t>Control</w:t>
      </w:r>
      <w:r w:rsidRPr="0031675F">
        <w:rPr>
          <w:spacing w:val="42"/>
        </w:rPr>
        <w:t xml:space="preserve"> </w:t>
      </w:r>
      <w:r w:rsidRPr="0031675F">
        <w:rPr>
          <w:spacing w:val="-1"/>
        </w:rPr>
        <w:t>Calibration</w:t>
      </w:r>
      <w:r w:rsidRPr="0031675F">
        <w:rPr>
          <w:spacing w:val="43"/>
        </w:rPr>
        <w:t xml:space="preserve"> </w:t>
      </w:r>
      <w:r w:rsidRPr="0031675F">
        <w:rPr>
          <w:spacing w:val="-1"/>
        </w:rPr>
        <w:t>Curves,</w:t>
      </w:r>
      <w:r w:rsidRPr="0031675F">
        <w:rPr>
          <w:spacing w:val="44"/>
        </w:rPr>
        <w:t xml:space="preserve"> </w:t>
      </w:r>
      <w:r w:rsidRPr="0031675F">
        <w:rPr>
          <w:spacing w:val="-1"/>
        </w:rPr>
        <w:t>and</w:t>
      </w:r>
      <w:r w:rsidRPr="0031675F">
        <w:rPr>
          <w:spacing w:val="42"/>
        </w:rPr>
        <w:t xml:space="preserve"> </w:t>
      </w:r>
      <w:r w:rsidRPr="0031675F">
        <w:rPr>
          <w:spacing w:val="-1"/>
        </w:rPr>
        <w:t>calculates</w:t>
      </w:r>
      <w:r w:rsidRPr="0031675F">
        <w:rPr>
          <w:spacing w:val="41"/>
        </w:rPr>
        <w:t xml:space="preserve"> </w:t>
      </w:r>
      <w:r w:rsidRPr="0031675F">
        <w:t>the</w:t>
      </w:r>
      <w:r w:rsidRPr="0031675F">
        <w:rPr>
          <w:spacing w:val="46"/>
        </w:rPr>
        <w:t xml:space="preserve"> </w:t>
      </w:r>
      <w:r w:rsidRPr="0031675F">
        <w:rPr>
          <w:spacing w:val="-1"/>
        </w:rPr>
        <w:t>slope</w:t>
      </w:r>
      <w:r w:rsidRPr="0031675F">
        <w:rPr>
          <w:spacing w:val="42"/>
        </w:rPr>
        <w:t xml:space="preserve"> </w:t>
      </w:r>
      <w:r w:rsidRPr="0031675F">
        <w:rPr>
          <w:spacing w:val="-1"/>
        </w:rPr>
        <w:t>and</w:t>
      </w:r>
      <w:r w:rsidRPr="0031675F">
        <w:rPr>
          <w:spacing w:val="42"/>
        </w:rPr>
        <w:t xml:space="preserve"> </w:t>
      </w:r>
      <w:r w:rsidRPr="0031675F">
        <w:rPr>
          <w:spacing w:val="-1"/>
        </w:rPr>
        <w:t>intercept</w:t>
      </w:r>
      <w:r w:rsidRPr="0031675F">
        <w:rPr>
          <w:spacing w:val="41"/>
        </w:rPr>
        <w:t xml:space="preserve"> </w:t>
      </w:r>
      <w:r w:rsidRPr="0031675F">
        <w:t>of</w:t>
      </w:r>
      <w:r w:rsidRPr="0031675F">
        <w:rPr>
          <w:spacing w:val="41"/>
        </w:rPr>
        <w:t xml:space="preserve"> </w:t>
      </w:r>
      <w:r w:rsidRPr="0031675F">
        <w:t>these</w:t>
      </w:r>
      <w:r w:rsidRPr="0031675F">
        <w:rPr>
          <w:spacing w:val="41"/>
        </w:rPr>
        <w:t xml:space="preserve"> </w:t>
      </w:r>
      <w:r w:rsidRPr="0031675F">
        <w:rPr>
          <w:spacing w:val="-1"/>
        </w:rPr>
        <w:t>curves.</w:t>
      </w:r>
      <w:r w:rsidRPr="0031675F">
        <w:rPr>
          <w:spacing w:val="35"/>
        </w:rPr>
        <w:t xml:space="preserve"> </w:t>
      </w:r>
      <w:r w:rsidRPr="0031675F">
        <w:rPr>
          <w:spacing w:val="-1"/>
        </w:rPr>
        <w:t>The</w:t>
      </w:r>
      <w:r w:rsidRPr="0031675F">
        <w:rPr>
          <w:spacing w:val="41"/>
        </w:rPr>
        <w:t xml:space="preserve"> </w:t>
      </w:r>
      <w:r w:rsidRPr="0031675F">
        <w:rPr>
          <w:spacing w:val="-1"/>
        </w:rPr>
        <w:t>derived</w:t>
      </w:r>
      <w:r w:rsidRPr="0031675F">
        <w:rPr>
          <w:spacing w:val="63"/>
        </w:rPr>
        <w:t xml:space="preserve"> </w:t>
      </w:r>
      <w:r w:rsidRPr="0031675F">
        <w:rPr>
          <w:spacing w:val="-1"/>
        </w:rPr>
        <w:t>values</w:t>
      </w:r>
      <w:r w:rsidRPr="0031675F">
        <w:rPr>
          <w:spacing w:val="15"/>
        </w:rPr>
        <w:t xml:space="preserve"> </w:t>
      </w:r>
      <w:r w:rsidRPr="0031675F">
        <w:rPr>
          <w:spacing w:val="-1"/>
        </w:rPr>
        <w:t>are</w:t>
      </w:r>
      <w:r w:rsidRPr="0031675F">
        <w:rPr>
          <w:spacing w:val="16"/>
        </w:rPr>
        <w:t xml:space="preserve"> </w:t>
      </w:r>
      <w:r w:rsidRPr="0031675F">
        <w:rPr>
          <w:spacing w:val="-1"/>
        </w:rPr>
        <w:t>used</w:t>
      </w:r>
      <w:r w:rsidRPr="0031675F">
        <w:rPr>
          <w:spacing w:val="15"/>
        </w:rPr>
        <w:t xml:space="preserve"> </w:t>
      </w:r>
      <w:r w:rsidRPr="0031675F">
        <w:rPr>
          <w:spacing w:val="-1"/>
        </w:rPr>
        <w:t>to</w:t>
      </w:r>
      <w:r w:rsidRPr="0031675F">
        <w:rPr>
          <w:spacing w:val="16"/>
        </w:rPr>
        <w:t xml:space="preserve"> </w:t>
      </w:r>
      <w:r w:rsidRPr="0031675F">
        <w:rPr>
          <w:spacing w:val="-1"/>
        </w:rPr>
        <w:t>calculate</w:t>
      </w:r>
      <w:r w:rsidRPr="0031675F">
        <w:rPr>
          <w:spacing w:val="16"/>
        </w:rPr>
        <w:t xml:space="preserve"> </w:t>
      </w:r>
      <w:r w:rsidRPr="0031675F">
        <w:t>the</w:t>
      </w:r>
      <w:r w:rsidRPr="0031675F">
        <w:rPr>
          <w:spacing w:val="13"/>
        </w:rPr>
        <w:t xml:space="preserve"> </w:t>
      </w:r>
      <w:r w:rsidRPr="0031675F">
        <w:rPr>
          <w:spacing w:val="-1"/>
        </w:rPr>
        <w:t>original</w:t>
      </w:r>
      <w:r w:rsidRPr="0031675F">
        <w:rPr>
          <w:spacing w:val="15"/>
        </w:rPr>
        <w:t xml:space="preserve"> </w:t>
      </w:r>
      <w:r w:rsidRPr="0031675F">
        <w:rPr>
          <w:spacing w:val="-1"/>
        </w:rPr>
        <w:t>sample</w:t>
      </w:r>
      <w:r w:rsidRPr="0031675F">
        <w:rPr>
          <w:spacing w:val="15"/>
        </w:rPr>
        <w:t xml:space="preserve"> </w:t>
      </w:r>
      <w:r w:rsidRPr="0031675F">
        <w:rPr>
          <w:spacing w:val="-1"/>
        </w:rPr>
        <w:t>concentration</w:t>
      </w:r>
      <w:r w:rsidRPr="0031675F">
        <w:rPr>
          <w:spacing w:val="12"/>
        </w:rPr>
        <w:t xml:space="preserve"> </w:t>
      </w:r>
      <w:r w:rsidRPr="0031675F">
        <w:t>of</w:t>
      </w:r>
      <w:r w:rsidRPr="0031675F">
        <w:rPr>
          <w:spacing w:val="15"/>
        </w:rPr>
        <w:t xml:space="preserve"> </w:t>
      </w:r>
      <w:r w:rsidRPr="0031675F">
        <w:rPr>
          <w:spacing w:val="-1"/>
        </w:rPr>
        <w:t>ammonia</w:t>
      </w:r>
      <w:r w:rsidRPr="0031675F">
        <w:rPr>
          <w:spacing w:val="12"/>
        </w:rPr>
        <w:t xml:space="preserve"> </w:t>
      </w:r>
      <w:r w:rsidRPr="0031675F">
        <w:rPr>
          <w:spacing w:val="-1"/>
        </w:rPr>
        <w:t>using</w:t>
      </w:r>
      <w:r w:rsidRPr="0031675F">
        <w:rPr>
          <w:spacing w:val="14"/>
        </w:rPr>
        <w:t xml:space="preserve"> </w:t>
      </w:r>
      <w:r w:rsidRPr="0031675F">
        <w:rPr>
          <w:spacing w:val="-1"/>
        </w:rPr>
        <w:t>calculations</w:t>
      </w:r>
      <w:r w:rsidRPr="0031675F">
        <w:rPr>
          <w:spacing w:val="83"/>
        </w:rPr>
        <w:t xml:space="preserve"> </w:t>
      </w:r>
      <w:r w:rsidRPr="0031675F">
        <w:rPr>
          <w:spacing w:val="-1"/>
        </w:rPr>
        <w:t>described</w:t>
      </w:r>
      <w:r w:rsidRPr="0031675F">
        <w:rPr>
          <w:spacing w:val="2"/>
        </w:rPr>
        <w:t xml:space="preserve"> </w:t>
      </w:r>
      <w:r w:rsidRPr="0031675F">
        <w:t>in</w:t>
      </w:r>
      <w:r w:rsidRPr="0031675F">
        <w:rPr>
          <w:spacing w:val="1"/>
        </w:rPr>
        <w:t xml:space="preserve"> </w:t>
      </w:r>
      <w:r w:rsidRPr="0031675F">
        <w:rPr>
          <w:spacing w:val="-1"/>
        </w:rPr>
        <w:t>4.7.</w:t>
      </w:r>
      <w:r w:rsidRPr="0031675F">
        <w:rPr>
          <w:spacing w:val="5"/>
        </w:rPr>
        <w:t xml:space="preserve"> </w:t>
      </w:r>
      <w:r w:rsidRPr="0031675F">
        <w:rPr>
          <w:spacing w:val="-1"/>
        </w:rPr>
        <w:t>All</w:t>
      </w:r>
      <w:r w:rsidRPr="0031675F">
        <w:rPr>
          <w:spacing w:val="2"/>
        </w:rPr>
        <w:t xml:space="preserve"> </w:t>
      </w:r>
      <w:r w:rsidRPr="0031675F">
        <w:rPr>
          <w:spacing w:val="-1"/>
        </w:rPr>
        <w:t>the</w:t>
      </w:r>
      <w:r w:rsidRPr="0031675F">
        <w:rPr>
          <w:spacing w:val="3"/>
        </w:rPr>
        <w:t xml:space="preserve"> </w:t>
      </w:r>
      <w:r w:rsidRPr="0031675F">
        <w:rPr>
          <w:spacing w:val="-1"/>
        </w:rPr>
        <w:t>calculation</w:t>
      </w:r>
      <w:r w:rsidRPr="0031675F">
        <w:rPr>
          <w:spacing w:val="2"/>
        </w:rPr>
        <w:t xml:space="preserve"> </w:t>
      </w:r>
      <w:r w:rsidRPr="0031675F">
        <w:rPr>
          <w:spacing w:val="-1"/>
        </w:rPr>
        <w:t>equations</w:t>
      </w:r>
      <w:r w:rsidRPr="0031675F">
        <w:rPr>
          <w:spacing w:val="2"/>
        </w:rPr>
        <w:t xml:space="preserve"> </w:t>
      </w:r>
      <w:r w:rsidRPr="0031675F">
        <w:rPr>
          <w:spacing w:val="-1"/>
        </w:rPr>
        <w:t>are</w:t>
      </w:r>
      <w:r w:rsidRPr="0031675F">
        <w:rPr>
          <w:spacing w:val="3"/>
        </w:rPr>
        <w:t xml:space="preserve"> </w:t>
      </w:r>
      <w:r w:rsidRPr="0031675F">
        <w:rPr>
          <w:spacing w:val="-2"/>
        </w:rPr>
        <w:t>imbedded</w:t>
      </w:r>
      <w:r w:rsidRPr="0031675F">
        <w:rPr>
          <w:spacing w:val="2"/>
        </w:rPr>
        <w:t xml:space="preserve"> </w:t>
      </w:r>
      <w:r w:rsidRPr="0031675F">
        <w:t>in</w:t>
      </w:r>
      <w:r w:rsidRPr="0031675F">
        <w:rPr>
          <w:spacing w:val="1"/>
        </w:rPr>
        <w:t xml:space="preserve"> </w:t>
      </w:r>
      <w:r w:rsidRPr="0031675F">
        <w:t>the</w:t>
      </w:r>
      <w:r w:rsidRPr="0031675F">
        <w:rPr>
          <w:spacing w:val="3"/>
        </w:rPr>
        <w:t xml:space="preserve"> </w:t>
      </w:r>
      <w:r w:rsidRPr="0031675F">
        <w:rPr>
          <w:spacing w:val="-1"/>
        </w:rPr>
        <w:t>spreadsheet</w:t>
      </w:r>
      <w:r w:rsidRPr="0031675F">
        <w:rPr>
          <w:spacing w:val="3"/>
        </w:rPr>
        <w:t xml:space="preserve"> </w:t>
      </w:r>
      <w:r w:rsidRPr="0031675F">
        <w:rPr>
          <w:spacing w:val="-1"/>
        </w:rPr>
        <w:t>template,</w:t>
      </w:r>
      <w:r w:rsidRPr="0031675F">
        <w:rPr>
          <w:spacing w:val="3"/>
        </w:rPr>
        <w:t xml:space="preserve"> </w:t>
      </w:r>
      <w:r w:rsidRPr="0031675F">
        <w:rPr>
          <w:spacing w:val="-1"/>
        </w:rPr>
        <w:t>except</w:t>
      </w:r>
      <w:r w:rsidRPr="0031675F">
        <w:t xml:space="preserve"> the</w:t>
      </w:r>
      <w:r w:rsidRPr="0031675F">
        <w:rPr>
          <w:spacing w:val="69"/>
        </w:rPr>
        <w:t xml:space="preserve"> </w:t>
      </w:r>
      <w:r w:rsidRPr="0031675F">
        <w:rPr>
          <w:spacing w:val="-1"/>
        </w:rPr>
        <w:t>slope</w:t>
      </w:r>
      <w:r w:rsidRPr="0031675F">
        <w:rPr>
          <w:spacing w:val="36"/>
        </w:rPr>
        <w:t xml:space="preserve"> </w:t>
      </w:r>
      <w:r w:rsidRPr="0031675F">
        <w:rPr>
          <w:spacing w:val="-1"/>
        </w:rPr>
        <w:t>and</w:t>
      </w:r>
      <w:r w:rsidRPr="0031675F">
        <w:rPr>
          <w:spacing w:val="35"/>
        </w:rPr>
        <w:t xml:space="preserve"> </w:t>
      </w:r>
      <w:r w:rsidRPr="0031675F">
        <w:rPr>
          <w:spacing w:val="-1"/>
        </w:rPr>
        <w:t>intercept</w:t>
      </w:r>
      <w:r w:rsidRPr="0031675F">
        <w:rPr>
          <w:spacing w:val="36"/>
        </w:rPr>
        <w:t xml:space="preserve"> </w:t>
      </w:r>
      <w:r w:rsidRPr="0031675F">
        <w:t>of</w:t>
      </w:r>
      <w:r w:rsidRPr="0031675F">
        <w:rPr>
          <w:spacing w:val="35"/>
        </w:rPr>
        <w:t xml:space="preserve"> </w:t>
      </w:r>
      <w:r w:rsidRPr="0031675F">
        <w:rPr>
          <w:spacing w:val="-1"/>
        </w:rPr>
        <w:t>the</w:t>
      </w:r>
      <w:r w:rsidRPr="0031675F">
        <w:rPr>
          <w:spacing w:val="37"/>
        </w:rPr>
        <w:t xml:space="preserve"> </w:t>
      </w:r>
      <w:r w:rsidRPr="0031675F">
        <w:rPr>
          <w:spacing w:val="-1"/>
        </w:rPr>
        <w:t>Standard</w:t>
      </w:r>
      <w:r w:rsidRPr="0031675F">
        <w:rPr>
          <w:spacing w:val="35"/>
        </w:rPr>
        <w:t xml:space="preserve"> </w:t>
      </w:r>
      <w:r w:rsidRPr="0031675F">
        <w:rPr>
          <w:spacing w:val="-1"/>
        </w:rPr>
        <w:t>Curve</w:t>
      </w:r>
      <w:r w:rsidRPr="0031675F">
        <w:rPr>
          <w:spacing w:val="34"/>
        </w:rPr>
        <w:t xml:space="preserve"> </w:t>
      </w:r>
      <w:r w:rsidRPr="0031675F">
        <w:rPr>
          <w:spacing w:val="-1"/>
        </w:rPr>
        <w:t>must</w:t>
      </w:r>
      <w:r w:rsidRPr="0031675F">
        <w:rPr>
          <w:spacing w:val="36"/>
        </w:rPr>
        <w:t xml:space="preserve"> </w:t>
      </w:r>
      <w:r w:rsidRPr="0031675F">
        <w:rPr>
          <w:spacing w:val="-2"/>
        </w:rPr>
        <w:t>be</w:t>
      </w:r>
      <w:r w:rsidRPr="0031675F">
        <w:rPr>
          <w:spacing w:val="37"/>
        </w:rPr>
        <w:t xml:space="preserve"> </w:t>
      </w:r>
      <w:r w:rsidRPr="0031675F">
        <w:rPr>
          <w:spacing w:val="-1"/>
        </w:rPr>
        <w:t>entered</w:t>
      </w:r>
      <w:r w:rsidRPr="0031675F">
        <w:rPr>
          <w:spacing w:val="36"/>
        </w:rPr>
        <w:t xml:space="preserve"> </w:t>
      </w:r>
      <w:r w:rsidRPr="0031675F">
        <w:rPr>
          <w:spacing w:val="-1"/>
        </w:rPr>
        <w:t>into</w:t>
      </w:r>
      <w:r w:rsidRPr="0031675F">
        <w:rPr>
          <w:spacing w:val="37"/>
        </w:rPr>
        <w:t xml:space="preserve"> </w:t>
      </w:r>
      <w:r w:rsidRPr="0031675F">
        <w:rPr>
          <w:spacing w:val="-2"/>
        </w:rPr>
        <w:t>specific</w:t>
      </w:r>
      <w:r w:rsidRPr="0031675F">
        <w:rPr>
          <w:spacing w:val="36"/>
        </w:rPr>
        <w:t xml:space="preserve"> </w:t>
      </w:r>
      <w:r w:rsidRPr="0031675F">
        <w:rPr>
          <w:spacing w:val="-1"/>
        </w:rPr>
        <w:t>cells</w:t>
      </w:r>
      <w:r w:rsidRPr="0031675F">
        <w:rPr>
          <w:spacing w:val="36"/>
        </w:rPr>
        <w:t xml:space="preserve"> </w:t>
      </w:r>
      <w:r w:rsidRPr="0031675F">
        <w:t>once</w:t>
      </w:r>
      <w:r w:rsidRPr="0031675F">
        <w:rPr>
          <w:spacing w:val="37"/>
        </w:rPr>
        <w:t xml:space="preserve"> </w:t>
      </w:r>
      <w:r w:rsidRPr="0031675F">
        <w:rPr>
          <w:spacing w:val="-1"/>
        </w:rPr>
        <w:t>data</w:t>
      </w:r>
      <w:r w:rsidRPr="0031675F">
        <w:rPr>
          <w:spacing w:val="33"/>
        </w:rPr>
        <w:t xml:space="preserve"> </w:t>
      </w:r>
      <w:r w:rsidRPr="0031675F">
        <w:t>entry</w:t>
      </w:r>
      <w:r w:rsidRPr="0031675F">
        <w:rPr>
          <w:spacing w:val="36"/>
        </w:rPr>
        <w:t xml:space="preserve"> </w:t>
      </w:r>
      <w:r w:rsidRPr="0031675F">
        <w:t>is</w:t>
      </w:r>
      <w:r w:rsidRPr="0031675F">
        <w:rPr>
          <w:spacing w:val="73"/>
        </w:rPr>
        <w:t xml:space="preserve"> </w:t>
      </w:r>
      <w:r w:rsidRPr="0031675F">
        <w:rPr>
          <w:spacing w:val="-1"/>
        </w:rPr>
        <w:t>completed.</w:t>
      </w:r>
      <w:r w:rsidRPr="0031675F">
        <w:rPr>
          <w:spacing w:val="3"/>
        </w:rPr>
        <w:t xml:space="preserve"> </w:t>
      </w:r>
      <w:r w:rsidRPr="0031675F">
        <w:rPr>
          <w:spacing w:val="-1"/>
        </w:rPr>
        <w:t>The</w:t>
      </w:r>
      <w:r w:rsidRPr="0031675F">
        <w:rPr>
          <w:spacing w:val="26"/>
        </w:rPr>
        <w:t xml:space="preserve"> </w:t>
      </w:r>
      <w:r w:rsidRPr="0031675F">
        <w:t>Dixon</w:t>
      </w:r>
      <w:r w:rsidRPr="0031675F">
        <w:rPr>
          <w:spacing w:val="26"/>
        </w:rPr>
        <w:t xml:space="preserve"> </w:t>
      </w:r>
      <w:r w:rsidRPr="0031675F">
        <w:rPr>
          <w:spacing w:val="-1"/>
        </w:rPr>
        <w:t>Test</w:t>
      </w:r>
      <w:r w:rsidRPr="0031675F">
        <w:rPr>
          <w:spacing w:val="27"/>
        </w:rPr>
        <w:t xml:space="preserve"> </w:t>
      </w:r>
      <w:r w:rsidRPr="0031675F">
        <w:t>is</w:t>
      </w:r>
      <w:r w:rsidRPr="0031675F">
        <w:rPr>
          <w:spacing w:val="25"/>
        </w:rPr>
        <w:t xml:space="preserve"> </w:t>
      </w:r>
      <w:r w:rsidRPr="0031675F">
        <w:rPr>
          <w:spacing w:val="-1"/>
        </w:rPr>
        <w:t>manually</w:t>
      </w:r>
      <w:r w:rsidRPr="0031675F">
        <w:rPr>
          <w:spacing w:val="27"/>
        </w:rPr>
        <w:t xml:space="preserve"> </w:t>
      </w:r>
      <w:r w:rsidRPr="0031675F">
        <w:rPr>
          <w:spacing w:val="-1"/>
        </w:rPr>
        <w:t>employed</w:t>
      </w:r>
      <w:r w:rsidRPr="0031675F">
        <w:rPr>
          <w:spacing w:val="26"/>
        </w:rPr>
        <w:t xml:space="preserve"> </w:t>
      </w:r>
      <w:r w:rsidRPr="0031675F">
        <w:rPr>
          <w:spacing w:val="-1"/>
        </w:rPr>
        <w:t>to</w:t>
      </w:r>
      <w:r w:rsidRPr="0031675F">
        <w:rPr>
          <w:spacing w:val="28"/>
        </w:rPr>
        <w:t xml:space="preserve"> </w:t>
      </w:r>
      <w:r w:rsidRPr="0031675F">
        <w:t>check</w:t>
      </w:r>
      <w:r w:rsidRPr="0031675F">
        <w:rPr>
          <w:spacing w:val="24"/>
        </w:rPr>
        <w:t xml:space="preserve"> </w:t>
      </w:r>
      <w:r w:rsidRPr="0031675F">
        <w:rPr>
          <w:spacing w:val="-1"/>
        </w:rPr>
        <w:t>outlying</w:t>
      </w:r>
      <w:r w:rsidRPr="0031675F">
        <w:rPr>
          <w:spacing w:val="25"/>
        </w:rPr>
        <w:t xml:space="preserve"> </w:t>
      </w:r>
      <w:r w:rsidRPr="0031675F">
        <w:rPr>
          <w:spacing w:val="-1"/>
        </w:rPr>
        <w:t>results</w:t>
      </w:r>
      <w:r w:rsidRPr="0031675F">
        <w:rPr>
          <w:spacing w:val="27"/>
        </w:rPr>
        <w:t xml:space="preserve"> </w:t>
      </w:r>
      <w:r w:rsidRPr="0031675F">
        <w:rPr>
          <w:spacing w:val="-1"/>
        </w:rPr>
        <w:t>from</w:t>
      </w:r>
      <w:r w:rsidRPr="0031675F">
        <w:rPr>
          <w:spacing w:val="28"/>
        </w:rPr>
        <w:t xml:space="preserve"> </w:t>
      </w:r>
      <w:r w:rsidRPr="0031675F">
        <w:rPr>
          <w:spacing w:val="-1"/>
        </w:rPr>
        <w:t>triplicate</w:t>
      </w:r>
      <w:r w:rsidRPr="0031675F">
        <w:rPr>
          <w:spacing w:val="26"/>
        </w:rPr>
        <w:t xml:space="preserve"> </w:t>
      </w:r>
      <w:r w:rsidRPr="0031675F">
        <w:rPr>
          <w:spacing w:val="-1"/>
        </w:rPr>
        <w:t>sample</w:t>
      </w:r>
      <w:r w:rsidRPr="0031675F">
        <w:rPr>
          <w:spacing w:val="67"/>
        </w:rPr>
        <w:t xml:space="preserve"> </w:t>
      </w:r>
      <w:r w:rsidRPr="0031675F">
        <w:rPr>
          <w:spacing w:val="-1"/>
        </w:rPr>
        <w:t>sets,</w:t>
      </w:r>
      <w:r w:rsidRPr="0031675F">
        <w:rPr>
          <w:spacing w:val="3"/>
        </w:rPr>
        <w:t xml:space="preserve"> </w:t>
      </w:r>
      <w:r w:rsidRPr="0031675F">
        <w:rPr>
          <w:spacing w:val="-1"/>
        </w:rPr>
        <w:t>and</w:t>
      </w:r>
      <w:r w:rsidRPr="0031675F">
        <w:rPr>
          <w:spacing w:val="2"/>
        </w:rPr>
        <w:t xml:space="preserve"> </w:t>
      </w:r>
      <w:r w:rsidRPr="0031675F">
        <w:rPr>
          <w:spacing w:val="-1"/>
        </w:rPr>
        <w:t>rejected</w:t>
      </w:r>
      <w:r w:rsidRPr="0031675F">
        <w:rPr>
          <w:spacing w:val="3"/>
        </w:rPr>
        <w:t xml:space="preserve"> </w:t>
      </w:r>
      <w:r w:rsidRPr="0031675F">
        <w:rPr>
          <w:spacing w:val="-1"/>
        </w:rPr>
        <w:t>individual</w:t>
      </w:r>
      <w:r w:rsidRPr="0031675F">
        <w:rPr>
          <w:spacing w:val="3"/>
        </w:rPr>
        <w:t xml:space="preserve"> </w:t>
      </w:r>
      <w:r w:rsidRPr="0031675F">
        <w:rPr>
          <w:spacing w:val="-1"/>
        </w:rPr>
        <w:t>sample</w:t>
      </w:r>
      <w:r w:rsidRPr="0031675F">
        <w:rPr>
          <w:spacing w:val="3"/>
        </w:rPr>
        <w:t xml:space="preserve"> </w:t>
      </w:r>
      <w:r w:rsidRPr="0031675F">
        <w:rPr>
          <w:spacing w:val="-1"/>
        </w:rPr>
        <w:t>results</w:t>
      </w:r>
      <w:r w:rsidRPr="0031675F">
        <w:rPr>
          <w:spacing w:val="4"/>
        </w:rPr>
        <w:t xml:space="preserve"> </w:t>
      </w:r>
      <w:r w:rsidRPr="0031675F">
        <w:rPr>
          <w:spacing w:val="-1"/>
        </w:rPr>
        <w:t>may</w:t>
      </w:r>
      <w:r w:rsidRPr="0031675F">
        <w:rPr>
          <w:spacing w:val="4"/>
        </w:rPr>
        <w:t xml:space="preserve"> </w:t>
      </w:r>
      <w:r w:rsidRPr="0031675F">
        <w:rPr>
          <w:spacing w:val="-2"/>
        </w:rPr>
        <w:t>be</w:t>
      </w:r>
      <w:r w:rsidRPr="0031675F">
        <w:rPr>
          <w:spacing w:val="4"/>
        </w:rPr>
        <w:t xml:space="preserve"> </w:t>
      </w:r>
      <w:r w:rsidRPr="0031675F">
        <w:rPr>
          <w:spacing w:val="-1"/>
        </w:rPr>
        <w:t>flagged</w:t>
      </w:r>
      <w:r w:rsidRPr="0031675F">
        <w:rPr>
          <w:spacing w:val="3"/>
        </w:rPr>
        <w:t xml:space="preserve"> </w:t>
      </w:r>
      <w:r w:rsidRPr="0031675F">
        <w:t>with</w:t>
      </w:r>
      <w:r w:rsidRPr="0031675F">
        <w:rPr>
          <w:spacing w:val="3"/>
        </w:rPr>
        <w:t xml:space="preserve"> </w:t>
      </w:r>
      <w:r w:rsidRPr="0031675F">
        <w:t>a</w:t>
      </w:r>
      <w:r w:rsidRPr="0031675F">
        <w:rPr>
          <w:spacing w:val="3"/>
        </w:rPr>
        <w:t xml:space="preserve"> </w:t>
      </w:r>
      <w:r w:rsidRPr="0031675F">
        <w:rPr>
          <w:spacing w:val="-1"/>
        </w:rPr>
        <w:t>tabulated</w:t>
      </w:r>
      <w:r w:rsidRPr="0031675F">
        <w:rPr>
          <w:spacing w:val="2"/>
        </w:rPr>
        <w:t xml:space="preserve"> </w:t>
      </w:r>
      <w:r w:rsidRPr="0031675F">
        <w:t>risk</w:t>
      </w:r>
      <w:r w:rsidRPr="0031675F">
        <w:rPr>
          <w:spacing w:val="3"/>
        </w:rPr>
        <w:t xml:space="preserve"> </w:t>
      </w:r>
      <w:r w:rsidRPr="0031675F">
        <w:t>of</w:t>
      </w:r>
      <w:r w:rsidRPr="0031675F">
        <w:rPr>
          <w:spacing w:val="3"/>
        </w:rPr>
        <w:t xml:space="preserve"> </w:t>
      </w:r>
      <w:r w:rsidRPr="0031675F">
        <w:rPr>
          <w:spacing w:val="-1"/>
        </w:rPr>
        <w:t>10%</w:t>
      </w:r>
      <w:r w:rsidRPr="0031675F">
        <w:rPr>
          <w:spacing w:val="4"/>
        </w:rPr>
        <w:t xml:space="preserve"> </w:t>
      </w:r>
      <w:r w:rsidRPr="0031675F">
        <w:rPr>
          <w:spacing w:val="-2"/>
        </w:rPr>
        <w:t>false</w:t>
      </w:r>
      <w:r w:rsidRPr="0031675F">
        <w:rPr>
          <w:spacing w:val="69"/>
        </w:rPr>
        <w:t xml:space="preserve"> </w:t>
      </w:r>
      <w:r w:rsidRPr="0031675F">
        <w:rPr>
          <w:rFonts w:cs="Calibri"/>
          <w:spacing w:val="-1"/>
        </w:rPr>
        <w:t>rejection.</w:t>
      </w:r>
      <w:r w:rsidRPr="0031675F">
        <w:rPr>
          <w:rFonts w:cs="Calibri"/>
          <w:spacing w:val="5"/>
        </w:rPr>
        <w:t xml:space="preserve"> </w:t>
      </w:r>
      <w:r w:rsidRPr="0031675F">
        <w:rPr>
          <w:rFonts w:cs="Calibri"/>
        </w:rPr>
        <w:t>An</w:t>
      </w:r>
      <w:r w:rsidRPr="0031675F">
        <w:rPr>
          <w:rFonts w:cs="Calibri"/>
          <w:spacing w:val="1"/>
        </w:rPr>
        <w:t xml:space="preserve"> </w:t>
      </w:r>
      <w:r w:rsidRPr="0031675F">
        <w:rPr>
          <w:rFonts w:cs="Calibri"/>
        </w:rPr>
        <w:t xml:space="preserve">Excel Data </w:t>
      </w:r>
      <w:r w:rsidRPr="0031675F">
        <w:rPr>
          <w:rFonts w:cs="Calibri"/>
          <w:spacing w:val="-1"/>
        </w:rPr>
        <w:t>“Feeder”</w:t>
      </w:r>
      <w:r w:rsidRPr="0031675F">
        <w:rPr>
          <w:rFonts w:cs="Calibri"/>
          <w:spacing w:val="3"/>
        </w:rPr>
        <w:t xml:space="preserve"> </w:t>
      </w:r>
      <w:r w:rsidRPr="0031675F">
        <w:rPr>
          <w:rFonts w:cs="Calibri"/>
          <w:spacing w:val="-1"/>
        </w:rPr>
        <w:t>sheet</w:t>
      </w:r>
      <w:r w:rsidRPr="0031675F">
        <w:rPr>
          <w:rFonts w:cs="Calibri"/>
          <w:spacing w:val="3"/>
        </w:rPr>
        <w:t xml:space="preserve"> </w:t>
      </w:r>
      <w:r w:rsidRPr="0031675F">
        <w:rPr>
          <w:rFonts w:cs="Calibri"/>
        </w:rPr>
        <w:t>is</w:t>
      </w:r>
      <w:r w:rsidRPr="0031675F">
        <w:rPr>
          <w:rFonts w:cs="Calibri"/>
          <w:spacing w:val="2"/>
        </w:rPr>
        <w:t xml:space="preserve"> </w:t>
      </w:r>
      <w:r w:rsidRPr="0031675F">
        <w:rPr>
          <w:rFonts w:cs="Calibri"/>
        </w:rPr>
        <w:t>then</w:t>
      </w:r>
      <w:r w:rsidRPr="0031675F">
        <w:rPr>
          <w:rFonts w:cs="Calibri"/>
          <w:spacing w:val="2"/>
        </w:rPr>
        <w:t xml:space="preserve"> </w:t>
      </w:r>
      <w:r w:rsidRPr="0031675F">
        <w:rPr>
          <w:rFonts w:cs="Calibri"/>
          <w:spacing w:val="-1"/>
        </w:rPr>
        <w:t>compiled</w:t>
      </w:r>
      <w:r w:rsidRPr="0031675F">
        <w:rPr>
          <w:rFonts w:cs="Calibri"/>
          <w:spacing w:val="2"/>
        </w:rPr>
        <w:t xml:space="preserve"> </w:t>
      </w:r>
      <w:r w:rsidRPr="0031675F">
        <w:rPr>
          <w:rFonts w:cs="Calibri"/>
          <w:spacing w:val="-1"/>
        </w:rPr>
        <w:t>from</w:t>
      </w:r>
      <w:r w:rsidRPr="0031675F">
        <w:rPr>
          <w:rFonts w:cs="Calibri"/>
          <w:spacing w:val="3"/>
        </w:rPr>
        <w:t xml:space="preserve"> </w:t>
      </w:r>
      <w:r w:rsidRPr="0031675F">
        <w:rPr>
          <w:rFonts w:cs="Calibri"/>
        </w:rPr>
        <w:t>the</w:t>
      </w:r>
      <w:r w:rsidRPr="0031675F">
        <w:rPr>
          <w:rFonts w:cs="Calibri"/>
          <w:spacing w:val="3"/>
        </w:rPr>
        <w:t xml:space="preserve"> </w:t>
      </w:r>
      <w:r w:rsidRPr="0031675F">
        <w:rPr>
          <w:rFonts w:cs="Calibri"/>
          <w:spacing w:val="-1"/>
        </w:rPr>
        <w:t>sample</w:t>
      </w:r>
      <w:r w:rsidRPr="0031675F">
        <w:rPr>
          <w:rFonts w:cs="Calibri"/>
          <w:spacing w:val="2"/>
        </w:rPr>
        <w:t xml:space="preserve"> </w:t>
      </w:r>
      <w:r w:rsidRPr="0031675F">
        <w:rPr>
          <w:rFonts w:cs="Calibri"/>
          <w:spacing w:val="-1"/>
        </w:rPr>
        <w:t>results</w:t>
      </w:r>
      <w:r w:rsidRPr="0031675F">
        <w:rPr>
          <w:rFonts w:cs="Calibri"/>
          <w:spacing w:val="2"/>
        </w:rPr>
        <w:t xml:space="preserve"> </w:t>
      </w:r>
      <w:r w:rsidRPr="0031675F">
        <w:rPr>
          <w:rFonts w:cs="Calibri"/>
        </w:rPr>
        <w:t>for</w:t>
      </w:r>
      <w:r w:rsidRPr="0031675F">
        <w:rPr>
          <w:rFonts w:cs="Calibri"/>
          <w:spacing w:val="2"/>
        </w:rPr>
        <w:t xml:space="preserve"> </w:t>
      </w:r>
      <w:r w:rsidRPr="0031675F">
        <w:rPr>
          <w:rFonts w:cs="Calibri"/>
        </w:rPr>
        <w:t>an</w:t>
      </w:r>
      <w:r w:rsidRPr="0031675F">
        <w:rPr>
          <w:rFonts w:cs="Calibri"/>
          <w:spacing w:val="1"/>
        </w:rPr>
        <w:t xml:space="preserve"> </w:t>
      </w:r>
      <w:r w:rsidRPr="0031675F">
        <w:rPr>
          <w:rFonts w:cs="Calibri"/>
          <w:spacing w:val="-1"/>
        </w:rPr>
        <w:t>entire</w:t>
      </w:r>
      <w:r w:rsidRPr="0031675F">
        <w:rPr>
          <w:rFonts w:cs="Calibri"/>
          <w:spacing w:val="3"/>
        </w:rPr>
        <w:t xml:space="preserve"> </w:t>
      </w:r>
      <w:r w:rsidRPr="0031675F">
        <w:rPr>
          <w:rFonts w:cs="Calibri"/>
          <w:spacing w:val="-1"/>
        </w:rPr>
        <w:t>cruise</w:t>
      </w:r>
      <w:r w:rsidRPr="0031675F">
        <w:rPr>
          <w:rFonts w:cs="Calibri"/>
          <w:spacing w:val="53"/>
        </w:rPr>
        <w:t xml:space="preserve"> </w:t>
      </w:r>
      <w:r w:rsidRPr="0031675F">
        <w:rPr>
          <w:spacing w:val="-1"/>
        </w:rPr>
        <w:t>(see</w:t>
      </w:r>
      <w:r w:rsidRPr="0031675F">
        <w:rPr>
          <w:spacing w:val="31"/>
        </w:rPr>
        <w:t xml:space="preserve"> </w:t>
      </w:r>
      <w:r w:rsidRPr="0031675F">
        <w:rPr>
          <w:spacing w:val="-1"/>
        </w:rPr>
        <w:t>Attachment</w:t>
      </w:r>
      <w:r w:rsidRPr="0031675F">
        <w:rPr>
          <w:spacing w:val="33"/>
        </w:rPr>
        <w:t xml:space="preserve"> </w:t>
      </w:r>
      <w:r w:rsidRPr="0031675F">
        <w:rPr>
          <w:spacing w:val="-1"/>
        </w:rPr>
        <w:t>4.5)</w:t>
      </w:r>
      <w:r w:rsidRPr="0031675F">
        <w:rPr>
          <w:spacing w:val="32"/>
        </w:rPr>
        <w:t xml:space="preserve"> </w:t>
      </w:r>
      <w:r w:rsidRPr="0031675F">
        <w:rPr>
          <w:spacing w:val="-1"/>
        </w:rPr>
        <w:t>and</w:t>
      </w:r>
      <w:r w:rsidRPr="0031675F">
        <w:rPr>
          <w:spacing w:val="30"/>
        </w:rPr>
        <w:t xml:space="preserve"> </w:t>
      </w:r>
      <w:r w:rsidRPr="0031675F">
        <w:rPr>
          <w:spacing w:val="-1"/>
        </w:rPr>
        <w:t>stored</w:t>
      </w:r>
      <w:r w:rsidRPr="0031675F">
        <w:rPr>
          <w:spacing w:val="33"/>
        </w:rPr>
        <w:t xml:space="preserve"> </w:t>
      </w:r>
      <w:r w:rsidRPr="0031675F">
        <w:t>in</w:t>
      </w:r>
      <w:r w:rsidRPr="0031675F">
        <w:rPr>
          <w:spacing w:val="33"/>
        </w:rPr>
        <w:t xml:space="preserve"> </w:t>
      </w:r>
      <w:r w:rsidRPr="0031675F">
        <w:rPr>
          <w:spacing w:val="-1"/>
        </w:rPr>
        <w:t>the</w:t>
      </w:r>
      <w:r w:rsidRPr="0031675F">
        <w:rPr>
          <w:spacing w:val="34"/>
        </w:rPr>
        <w:t xml:space="preserve"> </w:t>
      </w:r>
      <w:r w:rsidRPr="0031675F">
        <w:rPr>
          <w:spacing w:val="-1"/>
        </w:rPr>
        <w:t>same</w:t>
      </w:r>
      <w:r w:rsidRPr="0031675F">
        <w:rPr>
          <w:spacing w:val="31"/>
        </w:rPr>
        <w:t xml:space="preserve"> </w:t>
      </w:r>
      <w:r w:rsidRPr="0031675F">
        <w:rPr>
          <w:spacing w:val="-1"/>
        </w:rPr>
        <w:t>Excel</w:t>
      </w:r>
      <w:r w:rsidRPr="0031675F">
        <w:rPr>
          <w:spacing w:val="32"/>
        </w:rPr>
        <w:t xml:space="preserve"> </w:t>
      </w:r>
      <w:r w:rsidRPr="0031675F">
        <w:rPr>
          <w:spacing w:val="-1"/>
        </w:rPr>
        <w:t>Workbook</w:t>
      </w:r>
      <w:r w:rsidRPr="0031675F">
        <w:rPr>
          <w:spacing w:val="32"/>
        </w:rPr>
        <w:t xml:space="preserve"> </w:t>
      </w:r>
      <w:r w:rsidRPr="0031675F">
        <w:rPr>
          <w:spacing w:val="-1"/>
        </w:rPr>
        <w:t>containing</w:t>
      </w:r>
      <w:r w:rsidRPr="0031675F">
        <w:rPr>
          <w:spacing w:val="30"/>
        </w:rPr>
        <w:t xml:space="preserve"> </w:t>
      </w:r>
      <w:r w:rsidRPr="0031675F">
        <w:t>the</w:t>
      </w:r>
      <w:r w:rsidRPr="0031675F">
        <w:rPr>
          <w:spacing w:val="32"/>
        </w:rPr>
        <w:t xml:space="preserve"> </w:t>
      </w:r>
      <w:r w:rsidRPr="0031675F">
        <w:t>raw</w:t>
      </w:r>
      <w:r w:rsidRPr="0031675F">
        <w:rPr>
          <w:spacing w:val="34"/>
        </w:rPr>
        <w:t xml:space="preserve"> </w:t>
      </w:r>
      <w:r w:rsidRPr="0031675F">
        <w:rPr>
          <w:spacing w:val="-1"/>
        </w:rPr>
        <w:t>data.</w:t>
      </w:r>
      <w:r w:rsidRPr="0031675F">
        <w:rPr>
          <w:spacing w:val="15"/>
        </w:rPr>
        <w:t xml:space="preserve"> </w:t>
      </w:r>
      <w:r w:rsidRPr="0031675F">
        <w:rPr>
          <w:spacing w:val="-1"/>
        </w:rPr>
        <w:t>All</w:t>
      </w:r>
      <w:r w:rsidRPr="0031675F">
        <w:rPr>
          <w:spacing w:val="31"/>
        </w:rPr>
        <w:t xml:space="preserve"> </w:t>
      </w:r>
      <w:r w:rsidRPr="0031675F">
        <w:rPr>
          <w:spacing w:val="-1"/>
        </w:rPr>
        <w:t>Excel</w:t>
      </w:r>
      <w:r w:rsidRPr="0031675F">
        <w:rPr>
          <w:spacing w:val="65"/>
        </w:rPr>
        <w:t xml:space="preserve"> </w:t>
      </w:r>
      <w:r w:rsidRPr="0031675F">
        <w:rPr>
          <w:spacing w:val="-1"/>
        </w:rPr>
        <w:t>calculation</w:t>
      </w:r>
      <w:r w:rsidRPr="0031675F">
        <w:rPr>
          <w:spacing w:val="25"/>
        </w:rPr>
        <w:t xml:space="preserve"> </w:t>
      </w:r>
      <w:r w:rsidRPr="0031675F">
        <w:rPr>
          <w:spacing w:val="-1"/>
        </w:rPr>
        <w:t>and</w:t>
      </w:r>
      <w:r w:rsidRPr="0031675F">
        <w:rPr>
          <w:spacing w:val="26"/>
        </w:rPr>
        <w:t xml:space="preserve"> </w:t>
      </w:r>
      <w:r w:rsidRPr="0031675F">
        <w:rPr>
          <w:spacing w:val="-1"/>
        </w:rPr>
        <w:t>feeder</w:t>
      </w:r>
      <w:r w:rsidRPr="0031675F">
        <w:rPr>
          <w:spacing w:val="26"/>
        </w:rPr>
        <w:t xml:space="preserve"> </w:t>
      </w:r>
      <w:r w:rsidRPr="0031675F">
        <w:rPr>
          <w:spacing w:val="-1"/>
        </w:rPr>
        <w:t>files</w:t>
      </w:r>
      <w:r w:rsidRPr="0031675F">
        <w:rPr>
          <w:spacing w:val="26"/>
        </w:rPr>
        <w:t xml:space="preserve"> </w:t>
      </w:r>
      <w:r w:rsidRPr="0031675F">
        <w:t>are</w:t>
      </w:r>
      <w:r w:rsidRPr="0031675F">
        <w:rPr>
          <w:spacing w:val="27"/>
        </w:rPr>
        <w:t xml:space="preserve"> </w:t>
      </w:r>
      <w:r w:rsidRPr="0031675F">
        <w:rPr>
          <w:spacing w:val="-1"/>
        </w:rPr>
        <w:t>archived</w:t>
      </w:r>
      <w:r w:rsidRPr="0031675F">
        <w:rPr>
          <w:spacing w:val="26"/>
        </w:rPr>
        <w:t xml:space="preserve"> </w:t>
      </w:r>
      <w:r w:rsidRPr="0031675F">
        <w:t>when</w:t>
      </w:r>
      <w:r w:rsidRPr="0031675F">
        <w:rPr>
          <w:spacing w:val="26"/>
        </w:rPr>
        <w:t xml:space="preserve"> </w:t>
      </w:r>
      <w:r w:rsidRPr="0031675F">
        <w:t>the</w:t>
      </w:r>
      <w:r w:rsidRPr="0031675F">
        <w:rPr>
          <w:spacing w:val="26"/>
        </w:rPr>
        <w:t xml:space="preserve"> </w:t>
      </w:r>
      <w:r w:rsidRPr="0031675F">
        <w:rPr>
          <w:spacing w:val="-1"/>
        </w:rPr>
        <w:t>results</w:t>
      </w:r>
      <w:r w:rsidRPr="0031675F">
        <w:rPr>
          <w:spacing w:val="26"/>
        </w:rPr>
        <w:t xml:space="preserve"> </w:t>
      </w:r>
      <w:r w:rsidRPr="0031675F">
        <w:t>are</w:t>
      </w:r>
      <w:r w:rsidRPr="0031675F">
        <w:rPr>
          <w:spacing w:val="27"/>
        </w:rPr>
        <w:t xml:space="preserve"> </w:t>
      </w:r>
      <w:r w:rsidRPr="0031675F">
        <w:rPr>
          <w:spacing w:val="-1"/>
        </w:rPr>
        <w:t>loaded</w:t>
      </w:r>
      <w:r w:rsidRPr="0031675F">
        <w:rPr>
          <w:spacing w:val="25"/>
        </w:rPr>
        <w:t xml:space="preserve"> </w:t>
      </w:r>
      <w:r w:rsidRPr="0031675F">
        <w:rPr>
          <w:spacing w:val="-1"/>
        </w:rPr>
        <w:t>into</w:t>
      </w:r>
      <w:r w:rsidRPr="0031675F">
        <w:rPr>
          <w:spacing w:val="28"/>
        </w:rPr>
        <w:t xml:space="preserve"> </w:t>
      </w:r>
      <w:r w:rsidRPr="0031675F">
        <w:t>the</w:t>
      </w:r>
      <w:r w:rsidRPr="0031675F">
        <w:rPr>
          <w:spacing w:val="24"/>
        </w:rPr>
        <w:t xml:space="preserve"> </w:t>
      </w:r>
      <w:r w:rsidRPr="0031675F">
        <w:t>Water</w:t>
      </w:r>
      <w:r w:rsidRPr="0031675F">
        <w:rPr>
          <w:spacing w:val="27"/>
        </w:rPr>
        <w:t xml:space="preserve"> </w:t>
      </w:r>
      <w:r w:rsidRPr="0031675F">
        <w:rPr>
          <w:spacing w:val="-1"/>
        </w:rPr>
        <w:t>Quality</w:t>
      </w:r>
      <w:r w:rsidRPr="0031675F">
        <w:rPr>
          <w:spacing w:val="28"/>
        </w:rPr>
        <w:t xml:space="preserve"> </w:t>
      </w:r>
      <w:r w:rsidRPr="0031675F">
        <w:rPr>
          <w:spacing w:val="-2"/>
        </w:rPr>
        <w:t>FDES</w:t>
      </w:r>
      <w:r w:rsidRPr="0031675F">
        <w:rPr>
          <w:spacing w:val="62"/>
        </w:rPr>
        <w:t xml:space="preserve"> </w:t>
      </w:r>
      <w:r w:rsidRPr="0031675F">
        <w:rPr>
          <w:spacing w:val="-1"/>
        </w:rPr>
        <w:t>Sample</w:t>
      </w:r>
      <w:r w:rsidRPr="0031675F">
        <w:rPr>
          <w:spacing w:val="7"/>
        </w:rPr>
        <w:t xml:space="preserve"> </w:t>
      </w:r>
      <w:r w:rsidRPr="0031675F">
        <w:rPr>
          <w:spacing w:val="-1"/>
        </w:rPr>
        <w:t>Import</w:t>
      </w:r>
      <w:r w:rsidRPr="0031675F">
        <w:rPr>
          <w:spacing w:val="5"/>
        </w:rPr>
        <w:t xml:space="preserve"> </w:t>
      </w:r>
      <w:r w:rsidRPr="0031675F">
        <w:rPr>
          <w:spacing w:val="-1"/>
        </w:rPr>
        <w:t>Management</w:t>
      </w:r>
      <w:r w:rsidRPr="0031675F">
        <w:rPr>
          <w:spacing w:val="8"/>
        </w:rPr>
        <w:t xml:space="preserve"> </w:t>
      </w:r>
      <w:r w:rsidRPr="0031675F">
        <w:rPr>
          <w:spacing w:val="-1"/>
        </w:rPr>
        <w:t>System.</w:t>
      </w:r>
      <w:r w:rsidRPr="0031675F">
        <w:rPr>
          <w:spacing w:val="14"/>
        </w:rPr>
        <w:t xml:space="preserve"> </w:t>
      </w:r>
      <w:r w:rsidRPr="0031675F">
        <w:rPr>
          <w:spacing w:val="-1"/>
        </w:rPr>
        <w:t>This</w:t>
      </w:r>
      <w:r w:rsidRPr="0031675F">
        <w:rPr>
          <w:spacing w:val="7"/>
        </w:rPr>
        <w:t xml:space="preserve"> </w:t>
      </w:r>
      <w:r w:rsidRPr="0031675F">
        <w:rPr>
          <w:spacing w:val="-1"/>
        </w:rPr>
        <w:t>System</w:t>
      </w:r>
      <w:r w:rsidRPr="0031675F">
        <w:rPr>
          <w:spacing w:val="9"/>
        </w:rPr>
        <w:t xml:space="preserve"> </w:t>
      </w:r>
      <w:r w:rsidRPr="0031675F">
        <w:rPr>
          <w:spacing w:val="-1"/>
        </w:rPr>
        <w:t>includes</w:t>
      </w:r>
      <w:r w:rsidRPr="0031675F">
        <w:rPr>
          <w:spacing w:val="8"/>
        </w:rPr>
        <w:t xml:space="preserve"> </w:t>
      </w:r>
      <w:r w:rsidRPr="0031675F">
        <w:rPr>
          <w:spacing w:val="-1"/>
        </w:rPr>
        <w:t>Feeder</w:t>
      </w:r>
      <w:r w:rsidRPr="0031675F">
        <w:rPr>
          <w:spacing w:val="8"/>
        </w:rPr>
        <w:t xml:space="preserve"> </w:t>
      </w:r>
      <w:r w:rsidRPr="0031675F">
        <w:rPr>
          <w:spacing w:val="-1"/>
        </w:rPr>
        <w:t>Spreadsheet</w:t>
      </w:r>
      <w:r w:rsidRPr="0031675F">
        <w:rPr>
          <w:spacing w:val="11"/>
        </w:rPr>
        <w:t xml:space="preserve"> </w:t>
      </w:r>
      <w:r w:rsidRPr="0031675F">
        <w:rPr>
          <w:rFonts w:cs="Calibri"/>
          <w:spacing w:val="-1"/>
        </w:rPr>
        <w:t>Import</w:t>
      </w:r>
      <w:r w:rsidRPr="0031675F">
        <w:rPr>
          <w:rFonts w:cs="Calibri"/>
          <w:spacing w:val="8"/>
        </w:rPr>
        <w:t xml:space="preserve"> </w:t>
      </w:r>
      <w:r w:rsidRPr="0031675F">
        <w:rPr>
          <w:rFonts w:cs="Calibri"/>
          <w:spacing w:val="-1"/>
        </w:rPr>
        <w:t>“Actions”</w:t>
      </w:r>
      <w:r w:rsidRPr="0031675F">
        <w:rPr>
          <w:rFonts w:cs="Calibri"/>
          <w:spacing w:val="8"/>
        </w:rPr>
        <w:t xml:space="preserve"> </w:t>
      </w:r>
      <w:r w:rsidRPr="0031675F">
        <w:rPr>
          <w:rFonts w:cs="Calibri"/>
        </w:rPr>
        <w:t>for</w:t>
      </w:r>
      <w:r w:rsidRPr="0031675F">
        <w:rPr>
          <w:rFonts w:cs="Calibri"/>
          <w:spacing w:val="47"/>
        </w:rPr>
        <w:t xml:space="preserve"> </w:t>
      </w:r>
      <w:r w:rsidRPr="0031675F">
        <w:t>all</w:t>
      </w:r>
      <w:r w:rsidRPr="0031675F">
        <w:rPr>
          <w:spacing w:val="23"/>
        </w:rPr>
        <w:t xml:space="preserve"> </w:t>
      </w:r>
      <w:r w:rsidRPr="0031675F">
        <w:t>water</w:t>
      </w:r>
      <w:r w:rsidRPr="0031675F">
        <w:rPr>
          <w:spacing w:val="24"/>
        </w:rPr>
        <w:t xml:space="preserve"> </w:t>
      </w:r>
      <w:r w:rsidRPr="0031675F">
        <w:rPr>
          <w:spacing w:val="-1"/>
        </w:rPr>
        <w:t>quality</w:t>
      </w:r>
      <w:r w:rsidRPr="0031675F">
        <w:rPr>
          <w:spacing w:val="24"/>
        </w:rPr>
        <w:t xml:space="preserve"> </w:t>
      </w:r>
      <w:r w:rsidRPr="0031675F">
        <w:rPr>
          <w:spacing w:val="-1"/>
        </w:rPr>
        <w:t>analyses,</w:t>
      </w:r>
      <w:r w:rsidRPr="0031675F">
        <w:rPr>
          <w:spacing w:val="23"/>
        </w:rPr>
        <w:t xml:space="preserve"> </w:t>
      </w:r>
      <w:r w:rsidRPr="0031675F">
        <w:rPr>
          <w:spacing w:val="-1"/>
        </w:rPr>
        <w:t>and</w:t>
      </w:r>
      <w:r w:rsidRPr="0031675F">
        <w:rPr>
          <w:spacing w:val="23"/>
        </w:rPr>
        <w:t xml:space="preserve"> </w:t>
      </w:r>
      <w:r w:rsidRPr="0031675F">
        <w:rPr>
          <w:spacing w:val="-1"/>
        </w:rPr>
        <w:t>enables</w:t>
      </w:r>
      <w:r w:rsidRPr="0031675F">
        <w:rPr>
          <w:spacing w:val="24"/>
        </w:rPr>
        <w:t xml:space="preserve"> </w:t>
      </w:r>
      <w:r w:rsidRPr="0031675F">
        <w:t>the</w:t>
      </w:r>
      <w:r w:rsidRPr="0031675F">
        <w:rPr>
          <w:spacing w:val="24"/>
        </w:rPr>
        <w:t xml:space="preserve"> </w:t>
      </w:r>
      <w:r w:rsidRPr="0031675F">
        <w:rPr>
          <w:spacing w:val="-1"/>
        </w:rPr>
        <w:t>user</w:t>
      </w:r>
      <w:r w:rsidRPr="0031675F">
        <w:rPr>
          <w:spacing w:val="25"/>
        </w:rPr>
        <w:t xml:space="preserve"> </w:t>
      </w:r>
      <w:r w:rsidRPr="0031675F">
        <w:t>to</w:t>
      </w:r>
      <w:r w:rsidRPr="0031675F">
        <w:rPr>
          <w:spacing w:val="26"/>
        </w:rPr>
        <w:t xml:space="preserve"> </w:t>
      </w:r>
      <w:r w:rsidRPr="0031675F">
        <w:rPr>
          <w:spacing w:val="-1"/>
        </w:rPr>
        <w:t>both</w:t>
      </w:r>
      <w:r w:rsidRPr="0031675F">
        <w:rPr>
          <w:spacing w:val="24"/>
        </w:rPr>
        <w:t xml:space="preserve"> </w:t>
      </w:r>
      <w:r w:rsidRPr="0031675F">
        <w:rPr>
          <w:spacing w:val="-1"/>
        </w:rPr>
        <w:t>upload</w:t>
      </w:r>
      <w:r w:rsidRPr="0031675F">
        <w:rPr>
          <w:spacing w:val="23"/>
        </w:rPr>
        <w:t xml:space="preserve"> </w:t>
      </w:r>
      <w:r w:rsidRPr="0031675F">
        <w:rPr>
          <w:spacing w:val="-1"/>
        </w:rPr>
        <w:t>and</w:t>
      </w:r>
      <w:r w:rsidRPr="0031675F">
        <w:rPr>
          <w:spacing w:val="23"/>
        </w:rPr>
        <w:t xml:space="preserve"> </w:t>
      </w:r>
      <w:r w:rsidRPr="0031675F">
        <w:rPr>
          <w:spacing w:val="-1"/>
        </w:rPr>
        <w:t>import</w:t>
      </w:r>
      <w:r w:rsidRPr="0031675F">
        <w:rPr>
          <w:spacing w:val="24"/>
        </w:rPr>
        <w:t xml:space="preserve"> </w:t>
      </w:r>
      <w:r w:rsidRPr="0031675F">
        <w:rPr>
          <w:spacing w:val="-1"/>
        </w:rPr>
        <w:t>Sample</w:t>
      </w:r>
      <w:r w:rsidRPr="0031675F">
        <w:rPr>
          <w:spacing w:val="24"/>
        </w:rPr>
        <w:t xml:space="preserve"> </w:t>
      </w:r>
      <w:r w:rsidRPr="0031675F">
        <w:rPr>
          <w:spacing w:val="-1"/>
        </w:rPr>
        <w:t>Replicate</w:t>
      </w:r>
      <w:r w:rsidRPr="0031675F">
        <w:rPr>
          <w:spacing w:val="25"/>
        </w:rPr>
        <w:t xml:space="preserve"> </w:t>
      </w:r>
      <w:r w:rsidRPr="0031675F">
        <w:rPr>
          <w:spacing w:val="-1"/>
        </w:rPr>
        <w:t>Data</w:t>
      </w:r>
      <w:r w:rsidRPr="0031675F">
        <w:rPr>
          <w:spacing w:val="69"/>
        </w:rPr>
        <w:t xml:space="preserve"> </w:t>
      </w:r>
      <w:r w:rsidRPr="0031675F">
        <w:rPr>
          <w:spacing w:val="-1"/>
        </w:rPr>
        <w:t>Spreadsheets</w:t>
      </w:r>
      <w:r w:rsidRPr="0031675F">
        <w:rPr>
          <w:spacing w:val="7"/>
        </w:rPr>
        <w:t xml:space="preserve"> </w:t>
      </w:r>
      <w:r w:rsidRPr="0031675F">
        <w:rPr>
          <w:spacing w:val="-1"/>
        </w:rPr>
        <w:t>including</w:t>
      </w:r>
      <w:r w:rsidRPr="0031675F">
        <w:rPr>
          <w:spacing w:val="6"/>
        </w:rPr>
        <w:t xml:space="preserve"> </w:t>
      </w:r>
      <w:r w:rsidRPr="0031675F">
        <w:rPr>
          <w:spacing w:val="-1"/>
        </w:rPr>
        <w:t>NH4</w:t>
      </w:r>
      <w:r w:rsidRPr="0031675F">
        <w:rPr>
          <w:spacing w:val="8"/>
        </w:rPr>
        <w:t xml:space="preserve"> </w:t>
      </w:r>
      <w:r w:rsidRPr="0031675F">
        <w:rPr>
          <w:spacing w:val="-1"/>
        </w:rPr>
        <w:t>Feeder</w:t>
      </w:r>
      <w:r w:rsidRPr="0031675F">
        <w:rPr>
          <w:spacing w:val="8"/>
        </w:rPr>
        <w:t xml:space="preserve"> </w:t>
      </w:r>
      <w:r w:rsidRPr="0031675F">
        <w:rPr>
          <w:spacing w:val="-1"/>
        </w:rPr>
        <w:t>Sheet</w:t>
      </w:r>
      <w:r w:rsidRPr="0031675F">
        <w:rPr>
          <w:spacing w:val="8"/>
        </w:rPr>
        <w:t xml:space="preserve"> </w:t>
      </w:r>
      <w:r w:rsidRPr="0031675F">
        <w:rPr>
          <w:spacing w:val="-1"/>
        </w:rPr>
        <w:t>results</w:t>
      </w:r>
      <w:r w:rsidRPr="0031675F">
        <w:rPr>
          <w:spacing w:val="7"/>
        </w:rPr>
        <w:t xml:space="preserve"> </w:t>
      </w:r>
      <w:r w:rsidRPr="0031675F">
        <w:t>of</w:t>
      </w:r>
      <w:r w:rsidRPr="0031675F">
        <w:rPr>
          <w:spacing w:val="7"/>
        </w:rPr>
        <w:t xml:space="preserve"> </w:t>
      </w:r>
      <w:r w:rsidRPr="0031675F">
        <w:rPr>
          <w:spacing w:val="-2"/>
        </w:rPr>
        <w:t>ammonium</w:t>
      </w:r>
      <w:r w:rsidRPr="0031675F">
        <w:rPr>
          <w:spacing w:val="8"/>
        </w:rPr>
        <w:t xml:space="preserve"> </w:t>
      </w:r>
      <w:r w:rsidRPr="0031675F">
        <w:rPr>
          <w:spacing w:val="-1"/>
        </w:rPr>
        <w:t>analyses</w:t>
      </w:r>
      <w:r w:rsidRPr="0031675F">
        <w:rPr>
          <w:spacing w:val="7"/>
        </w:rPr>
        <w:t xml:space="preserve"> </w:t>
      </w:r>
      <w:r w:rsidRPr="0031675F">
        <w:rPr>
          <w:spacing w:val="-1"/>
        </w:rPr>
        <w:t>using</w:t>
      </w:r>
      <w:r w:rsidRPr="0031675F">
        <w:rPr>
          <w:spacing w:val="6"/>
        </w:rPr>
        <w:t xml:space="preserve"> </w:t>
      </w:r>
      <w:r w:rsidRPr="0031675F">
        <w:t>the</w:t>
      </w:r>
      <w:r w:rsidRPr="0031675F">
        <w:rPr>
          <w:spacing w:val="7"/>
        </w:rPr>
        <w:t xml:space="preserve"> </w:t>
      </w:r>
      <w:r w:rsidRPr="0031675F">
        <w:t>OPA</w:t>
      </w:r>
      <w:r w:rsidRPr="0031675F">
        <w:rPr>
          <w:spacing w:val="4"/>
        </w:rPr>
        <w:t xml:space="preserve"> </w:t>
      </w:r>
      <w:r w:rsidRPr="0031675F">
        <w:rPr>
          <w:spacing w:val="-1"/>
        </w:rPr>
        <w:t>method.</w:t>
      </w:r>
      <w:r w:rsidRPr="0031675F">
        <w:rPr>
          <w:spacing w:val="14"/>
        </w:rPr>
        <w:t xml:space="preserve"> </w:t>
      </w:r>
      <w:r w:rsidRPr="0031675F">
        <w:rPr>
          <w:spacing w:val="-1"/>
        </w:rPr>
        <w:t>For</w:t>
      </w:r>
      <w:r w:rsidRPr="0031675F">
        <w:rPr>
          <w:spacing w:val="61"/>
        </w:rPr>
        <w:t xml:space="preserve"> </w:t>
      </w:r>
      <w:r w:rsidRPr="0031675F">
        <w:rPr>
          <w:spacing w:val="-1"/>
        </w:rPr>
        <w:t>details</w:t>
      </w:r>
      <w:r w:rsidRPr="0031675F">
        <w:rPr>
          <w:spacing w:val="5"/>
        </w:rPr>
        <w:t xml:space="preserve"> </w:t>
      </w:r>
      <w:r w:rsidRPr="0031675F">
        <w:rPr>
          <w:spacing w:val="-1"/>
        </w:rPr>
        <w:t>about</w:t>
      </w:r>
      <w:r w:rsidRPr="0031675F">
        <w:rPr>
          <w:spacing w:val="5"/>
        </w:rPr>
        <w:t xml:space="preserve"> </w:t>
      </w:r>
      <w:r w:rsidRPr="0031675F">
        <w:rPr>
          <w:spacing w:val="-1"/>
        </w:rPr>
        <w:t>data</w:t>
      </w:r>
      <w:r w:rsidRPr="0031675F">
        <w:rPr>
          <w:spacing w:val="5"/>
        </w:rPr>
        <w:t xml:space="preserve"> </w:t>
      </w:r>
      <w:r w:rsidRPr="0031675F">
        <w:rPr>
          <w:spacing w:val="-1"/>
        </w:rPr>
        <w:t>management</w:t>
      </w:r>
      <w:r w:rsidRPr="0031675F">
        <w:rPr>
          <w:spacing w:val="5"/>
        </w:rPr>
        <w:t xml:space="preserve"> </w:t>
      </w:r>
      <w:r w:rsidRPr="0031675F">
        <w:rPr>
          <w:spacing w:val="-1"/>
        </w:rPr>
        <w:t>procedures</w:t>
      </w:r>
      <w:r w:rsidRPr="0031675F">
        <w:rPr>
          <w:spacing w:val="5"/>
        </w:rPr>
        <w:t xml:space="preserve"> </w:t>
      </w:r>
      <w:r w:rsidRPr="0031675F">
        <w:rPr>
          <w:spacing w:val="-1"/>
        </w:rPr>
        <w:t>developed</w:t>
      </w:r>
      <w:r w:rsidRPr="0031675F">
        <w:rPr>
          <w:spacing w:val="7"/>
        </w:rPr>
        <w:t xml:space="preserve"> </w:t>
      </w:r>
      <w:r w:rsidRPr="0031675F">
        <w:t>at</w:t>
      </w:r>
      <w:r w:rsidRPr="0031675F">
        <w:rPr>
          <w:spacing w:val="5"/>
        </w:rPr>
        <w:t xml:space="preserve"> </w:t>
      </w:r>
      <w:r w:rsidRPr="0031675F">
        <w:rPr>
          <w:spacing w:val="-1"/>
        </w:rPr>
        <w:t>AIMS</w:t>
      </w:r>
      <w:r w:rsidRPr="0031675F">
        <w:rPr>
          <w:spacing w:val="4"/>
        </w:rPr>
        <w:t xml:space="preserve"> </w:t>
      </w:r>
      <w:r w:rsidRPr="0031675F">
        <w:rPr>
          <w:spacing w:val="-1"/>
        </w:rPr>
        <w:t>under</w:t>
      </w:r>
      <w:r w:rsidRPr="0031675F">
        <w:rPr>
          <w:spacing w:val="5"/>
        </w:rPr>
        <w:t xml:space="preserve"> </w:t>
      </w:r>
      <w:r w:rsidRPr="0031675F">
        <w:t>Reef</w:t>
      </w:r>
      <w:r w:rsidRPr="0031675F">
        <w:rPr>
          <w:spacing w:val="5"/>
        </w:rPr>
        <w:t xml:space="preserve"> </w:t>
      </w:r>
      <w:r w:rsidRPr="0031675F">
        <w:rPr>
          <w:spacing w:val="-1"/>
        </w:rPr>
        <w:t>Rescue</w:t>
      </w:r>
      <w:r w:rsidRPr="0031675F">
        <w:rPr>
          <w:spacing w:val="5"/>
        </w:rPr>
        <w:t xml:space="preserve"> </w:t>
      </w:r>
      <w:r w:rsidRPr="0031675F">
        <w:rPr>
          <w:spacing w:val="-1"/>
        </w:rPr>
        <w:t>MMP</w:t>
      </w:r>
      <w:r w:rsidRPr="0031675F">
        <w:rPr>
          <w:spacing w:val="6"/>
        </w:rPr>
        <w:t xml:space="preserve"> </w:t>
      </w:r>
      <w:r w:rsidRPr="0031675F">
        <w:t>see</w:t>
      </w:r>
      <w:r w:rsidRPr="0031675F">
        <w:rPr>
          <w:spacing w:val="5"/>
        </w:rPr>
        <w:t xml:space="preserve"> </w:t>
      </w:r>
      <w:r w:rsidRPr="0031675F">
        <w:rPr>
          <w:spacing w:val="-1"/>
        </w:rPr>
        <w:t>Section</w:t>
      </w:r>
      <w:r w:rsidRPr="0031675F">
        <w:rPr>
          <w:spacing w:val="77"/>
        </w:rPr>
        <w:t xml:space="preserve"> </w:t>
      </w:r>
      <w:r w:rsidRPr="0031675F">
        <w:t>A12.</w:t>
      </w:r>
    </w:p>
    <w:p w14:paraId="662CA2BF" w14:textId="77777777" w:rsidR="0031675F" w:rsidRPr="0031675F" w:rsidRDefault="0031675F" w:rsidP="0031675F">
      <w:pPr>
        <w:spacing w:before="9"/>
        <w:rPr>
          <w:rFonts w:cs="Calibri"/>
          <w:sz w:val="20"/>
          <w:szCs w:val="20"/>
        </w:rPr>
      </w:pPr>
    </w:p>
    <w:p w14:paraId="596C5CBE" w14:textId="77777777" w:rsidR="0031675F" w:rsidRPr="0031675F" w:rsidRDefault="0031675F" w:rsidP="0031675F">
      <w:pPr>
        <w:widowControl w:val="0"/>
        <w:numPr>
          <w:ilvl w:val="1"/>
          <w:numId w:val="121"/>
        </w:numPr>
        <w:tabs>
          <w:tab w:val="left" w:pos="686"/>
        </w:tabs>
        <w:spacing w:before="0" w:after="0" w:line="240" w:lineRule="auto"/>
        <w:ind w:left="685"/>
        <w:jc w:val="both"/>
        <w:rPr>
          <w:rFonts w:eastAsia="Arial" w:cs="Arial"/>
          <w:sz w:val="24"/>
          <w:szCs w:val="24"/>
        </w:rPr>
      </w:pPr>
      <w:r w:rsidRPr="0031675F">
        <w:rPr>
          <w:b/>
          <w:spacing w:val="-1"/>
          <w:sz w:val="24"/>
        </w:rPr>
        <w:t>Method</w:t>
      </w:r>
      <w:r w:rsidRPr="0031675F">
        <w:rPr>
          <w:b/>
          <w:sz w:val="24"/>
        </w:rPr>
        <w:t xml:space="preserve"> </w:t>
      </w:r>
      <w:r w:rsidRPr="0031675F">
        <w:rPr>
          <w:b/>
          <w:spacing w:val="-1"/>
          <w:sz w:val="24"/>
        </w:rPr>
        <w:t>capabilities</w:t>
      </w:r>
      <w:r w:rsidRPr="0031675F">
        <w:rPr>
          <w:b/>
          <w:spacing w:val="-2"/>
          <w:sz w:val="24"/>
        </w:rPr>
        <w:t xml:space="preserve"> </w:t>
      </w:r>
      <w:r w:rsidRPr="0031675F">
        <w:rPr>
          <w:b/>
          <w:spacing w:val="-1"/>
          <w:sz w:val="24"/>
        </w:rPr>
        <w:t>and</w:t>
      </w:r>
      <w:r w:rsidRPr="0031675F">
        <w:rPr>
          <w:b/>
          <w:spacing w:val="1"/>
          <w:sz w:val="24"/>
        </w:rPr>
        <w:t xml:space="preserve"> </w:t>
      </w:r>
      <w:r w:rsidRPr="0031675F">
        <w:rPr>
          <w:b/>
          <w:sz w:val="24"/>
        </w:rPr>
        <w:t xml:space="preserve">limits of </w:t>
      </w:r>
      <w:r w:rsidRPr="0031675F">
        <w:rPr>
          <w:b/>
          <w:spacing w:val="-1"/>
          <w:sz w:val="24"/>
        </w:rPr>
        <w:t>detection</w:t>
      </w:r>
    </w:p>
    <w:p w14:paraId="74883F86" w14:textId="40F6D889" w:rsidR="0031675F" w:rsidRPr="0031675F" w:rsidRDefault="0031675F" w:rsidP="0057756F">
      <w:r w:rsidRPr="0031675F">
        <w:rPr>
          <w:spacing w:val="-1"/>
        </w:rPr>
        <w:t>The</w:t>
      </w:r>
      <w:r w:rsidRPr="0031675F">
        <w:rPr>
          <w:spacing w:val="7"/>
        </w:rPr>
        <w:t xml:space="preserve"> </w:t>
      </w:r>
      <w:r w:rsidRPr="0031675F">
        <w:rPr>
          <w:spacing w:val="-1"/>
        </w:rPr>
        <w:t>method</w:t>
      </w:r>
      <w:r w:rsidRPr="0031675F">
        <w:rPr>
          <w:spacing w:val="6"/>
        </w:rPr>
        <w:t xml:space="preserve"> </w:t>
      </w:r>
      <w:r w:rsidRPr="0031675F">
        <w:t>is</w:t>
      </w:r>
      <w:r w:rsidRPr="0031675F">
        <w:rPr>
          <w:spacing w:val="7"/>
        </w:rPr>
        <w:t xml:space="preserve"> </w:t>
      </w:r>
      <w:r w:rsidRPr="0031675F">
        <w:rPr>
          <w:spacing w:val="-1"/>
        </w:rPr>
        <w:t>linear</w:t>
      </w:r>
      <w:r w:rsidRPr="0031675F">
        <w:rPr>
          <w:spacing w:val="7"/>
        </w:rPr>
        <w:t xml:space="preserve"> </w:t>
      </w:r>
      <w:r w:rsidRPr="0031675F">
        <w:rPr>
          <w:spacing w:val="-1"/>
        </w:rPr>
        <w:t>over</w:t>
      </w:r>
      <w:r w:rsidRPr="0031675F">
        <w:rPr>
          <w:spacing w:val="7"/>
        </w:rPr>
        <w:t xml:space="preserve"> </w:t>
      </w:r>
      <w:r w:rsidRPr="0031675F">
        <w:rPr>
          <w:spacing w:val="-1"/>
        </w:rPr>
        <w:t>the</w:t>
      </w:r>
      <w:r w:rsidRPr="0031675F">
        <w:rPr>
          <w:spacing w:val="8"/>
        </w:rPr>
        <w:t xml:space="preserve"> </w:t>
      </w:r>
      <w:r w:rsidRPr="0031675F">
        <w:rPr>
          <w:spacing w:val="-1"/>
        </w:rPr>
        <w:t>range</w:t>
      </w:r>
      <w:r w:rsidRPr="0031675F">
        <w:rPr>
          <w:spacing w:val="8"/>
        </w:rPr>
        <w:t xml:space="preserve"> </w:t>
      </w:r>
      <w:r w:rsidRPr="0031675F">
        <w:t>0</w:t>
      </w:r>
      <w:r w:rsidRPr="0031675F">
        <w:rPr>
          <w:spacing w:val="8"/>
        </w:rPr>
        <w:t xml:space="preserve"> </w:t>
      </w:r>
      <w:r w:rsidRPr="0031675F">
        <w:rPr>
          <w:spacing w:val="-1"/>
        </w:rPr>
        <w:t>to</w:t>
      </w:r>
      <w:r w:rsidRPr="0031675F">
        <w:rPr>
          <w:spacing w:val="8"/>
        </w:rPr>
        <w:t xml:space="preserve"> </w:t>
      </w:r>
      <w:r w:rsidRPr="0031675F">
        <w:t>5</w:t>
      </w:r>
      <w:r w:rsidRPr="0031675F">
        <w:rPr>
          <w:spacing w:val="5"/>
        </w:rPr>
        <w:t xml:space="preserve"> </w:t>
      </w:r>
      <w:r w:rsidRPr="0031675F">
        <w:rPr>
          <w:spacing w:val="-1"/>
        </w:rPr>
        <w:t>µmol</w:t>
      </w:r>
      <w:r w:rsidRPr="0031675F">
        <w:rPr>
          <w:spacing w:val="4"/>
        </w:rPr>
        <w:t xml:space="preserve"> </w:t>
      </w:r>
      <w:r w:rsidR="00E817CB">
        <w:t>L</w:t>
      </w:r>
      <w:r w:rsidR="00E817CB" w:rsidRPr="00E817CB">
        <w:rPr>
          <w:vertAlign w:val="superscript"/>
        </w:rPr>
        <w:t>-1</w:t>
      </w:r>
      <w:r w:rsidRPr="0031675F">
        <w:rPr>
          <w:spacing w:val="7"/>
        </w:rPr>
        <w:t xml:space="preserve"> </w:t>
      </w:r>
      <w:r w:rsidRPr="0031675F">
        <w:t>NH</w:t>
      </w:r>
      <w:r w:rsidRPr="0031675F">
        <w:rPr>
          <w:position w:val="-2"/>
          <w:sz w:val="14"/>
        </w:rPr>
        <w:t>4</w:t>
      </w:r>
      <w:r w:rsidRPr="0031675F">
        <w:t>-N</w:t>
      </w:r>
      <w:r w:rsidRPr="0031675F">
        <w:rPr>
          <w:spacing w:val="6"/>
        </w:rPr>
        <w:t xml:space="preserve"> </w:t>
      </w:r>
      <w:r w:rsidRPr="0031675F">
        <w:t>in</w:t>
      </w:r>
      <w:r w:rsidRPr="0031675F">
        <w:rPr>
          <w:spacing w:val="6"/>
        </w:rPr>
        <w:t xml:space="preserve"> </w:t>
      </w:r>
      <w:r w:rsidRPr="0031675F">
        <w:rPr>
          <w:spacing w:val="-1"/>
        </w:rPr>
        <w:t>solution.</w:t>
      </w:r>
      <w:r w:rsidRPr="0031675F">
        <w:t xml:space="preserve"> </w:t>
      </w:r>
      <w:r w:rsidRPr="0031675F">
        <w:rPr>
          <w:spacing w:val="14"/>
        </w:rPr>
        <w:t xml:space="preserve"> </w:t>
      </w:r>
      <w:r w:rsidRPr="0031675F">
        <w:rPr>
          <w:spacing w:val="-1"/>
        </w:rPr>
        <w:t>The</w:t>
      </w:r>
      <w:r w:rsidRPr="0031675F">
        <w:rPr>
          <w:spacing w:val="8"/>
        </w:rPr>
        <w:t xml:space="preserve"> </w:t>
      </w:r>
      <w:r w:rsidRPr="0031675F">
        <w:rPr>
          <w:spacing w:val="-1"/>
        </w:rPr>
        <w:t>effective</w:t>
      </w:r>
      <w:r w:rsidRPr="0031675F">
        <w:rPr>
          <w:spacing w:val="8"/>
        </w:rPr>
        <w:t xml:space="preserve"> </w:t>
      </w:r>
      <w:r w:rsidRPr="0031675F">
        <w:rPr>
          <w:spacing w:val="-1"/>
        </w:rPr>
        <w:t>detection</w:t>
      </w:r>
      <w:r w:rsidRPr="0031675F">
        <w:rPr>
          <w:spacing w:val="6"/>
        </w:rPr>
        <w:t xml:space="preserve"> </w:t>
      </w:r>
      <w:r w:rsidRPr="0031675F">
        <w:rPr>
          <w:spacing w:val="-1"/>
        </w:rPr>
        <w:t>limit</w:t>
      </w:r>
      <w:r w:rsidRPr="0031675F">
        <w:rPr>
          <w:spacing w:val="8"/>
        </w:rPr>
        <w:t xml:space="preserve"> </w:t>
      </w:r>
      <w:r w:rsidRPr="0031675F">
        <w:t>is</w:t>
      </w:r>
    </w:p>
    <w:p w14:paraId="29F9F57C" w14:textId="4AAA8EBA" w:rsidR="0031675F" w:rsidRPr="0031675F" w:rsidRDefault="0031675F" w:rsidP="0057756F">
      <w:r w:rsidRPr="0031675F">
        <w:rPr>
          <w:spacing w:val="-1"/>
        </w:rPr>
        <w:t>0.05</w:t>
      </w:r>
      <w:r w:rsidRPr="0031675F">
        <w:rPr>
          <w:spacing w:val="12"/>
        </w:rPr>
        <w:t xml:space="preserve"> </w:t>
      </w:r>
      <w:r w:rsidR="00E817CB" w:rsidRPr="0031675F">
        <w:rPr>
          <w:spacing w:val="-1"/>
        </w:rPr>
        <w:t>µmol</w:t>
      </w:r>
      <w:r w:rsidR="00E817CB" w:rsidRPr="0031675F">
        <w:rPr>
          <w:spacing w:val="4"/>
        </w:rPr>
        <w:t xml:space="preserve"> </w:t>
      </w:r>
      <w:r w:rsidR="00E817CB">
        <w:t>L</w:t>
      </w:r>
      <w:r w:rsidR="00E817CB" w:rsidRPr="00E817CB">
        <w:rPr>
          <w:vertAlign w:val="superscript"/>
        </w:rPr>
        <w:t>-1</w:t>
      </w:r>
      <w:r w:rsidRPr="0031675F">
        <w:rPr>
          <w:spacing w:val="14"/>
        </w:rPr>
        <w:t xml:space="preserve"> </w:t>
      </w:r>
      <w:r w:rsidRPr="0031675F">
        <w:rPr>
          <w:spacing w:val="-1"/>
        </w:rPr>
        <w:t>NH</w:t>
      </w:r>
      <w:r w:rsidRPr="0031675F">
        <w:rPr>
          <w:spacing w:val="-1"/>
          <w:position w:val="-2"/>
          <w:sz w:val="14"/>
        </w:rPr>
        <w:t>4</w:t>
      </w:r>
      <w:r w:rsidRPr="0031675F">
        <w:rPr>
          <w:position w:val="-2"/>
          <w:sz w:val="14"/>
        </w:rPr>
        <w:t xml:space="preserve">  </w:t>
      </w:r>
      <w:r w:rsidRPr="0031675F">
        <w:rPr>
          <w:spacing w:val="-1"/>
        </w:rPr>
        <w:t>(or</w:t>
      </w:r>
      <w:r w:rsidRPr="0031675F">
        <w:rPr>
          <w:spacing w:val="14"/>
        </w:rPr>
        <w:t xml:space="preserve"> </w:t>
      </w:r>
      <w:r w:rsidRPr="0031675F">
        <w:rPr>
          <w:spacing w:val="-2"/>
        </w:rPr>
        <w:t>0.7</w:t>
      </w:r>
      <w:r w:rsidR="00E817CB">
        <w:rPr>
          <w:spacing w:val="-2"/>
        </w:rPr>
        <w:t xml:space="preserve"> </w:t>
      </w:r>
      <w:r w:rsidRPr="0031675F">
        <w:rPr>
          <w:spacing w:val="-2"/>
        </w:rPr>
        <w:t>µ</w:t>
      </w:r>
      <w:r w:rsidR="00E817CB" w:rsidRPr="0058370B">
        <w:rPr>
          <w:rFonts w:cs="Arial"/>
        </w:rPr>
        <w:t>g</w:t>
      </w:r>
      <w:r w:rsidR="00E817CB">
        <w:rPr>
          <w:rFonts w:cs="Arial"/>
        </w:rPr>
        <w:t xml:space="preserve"> </w:t>
      </w:r>
      <w:r w:rsidR="00E817CB" w:rsidRPr="0058370B">
        <w:rPr>
          <w:rFonts w:cs="Arial"/>
        </w:rPr>
        <w:t>L</w:t>
      </w:r>
      <w:r w:rsidR="00E817CB" w:rsidRPr="00E817CB">
        <w:rPr>
          <w:rFonts w:cs="Arial"/>
          <w:vertAlign w:val="superscript"/>
        </w:rPr>
        <w:t>-1</w:t>
      </w:r>
      <w:r w:rsidRPr="0031675F">
        <w:rPr>
          <w:spacing w:val="14"/>
        </w:rPr>
        <w:t xml:space="preserve"> </w:t>
      </w:r>
      <w:r w:rsidRPr="0031675F">
        <w:t>as</w:t>
      </w:r>
      <w:r w:rsidRPr="0031675F">
        <w:rPr>
          <w:spacing w:val="14"/>
        </w:rPr>
        <w:t xml:space="preserve"> </w:t>
      </w:r>
      <w:r w:rsidRPr="0031675F">
        <w:rPr>
          <w:spacing w:val="-1"/>
        </w:rPr>
        <w:t>N).</w:t>
      </w:r>
      <w:r w:rsidRPr="0031675F">
        <w:t xml:space="preserve"> </w:t>
      </w:r>
      <w:r w:rsidRPr="0031675F">
        <w:rPr>
          <w:spacing w:val="29"/>
        </w:rPr>
        <w:t xml:space="preserve"> </w:t>
      </w:r>
      <w:r w:rsidRPr="0031675F">
        <w:rPr>
          <w:spacing w:val="-1"/>
        </w:rPr>
        <w:t>Samples</w:t>
      </w:r>
      <w:r w:rsidRPr="0031675F">
        <w:rPr>
          <w:spacing w:val="14"/>
        </w:rPr>
        <w:t xml:space="preserve"> </w:t>
      </w:r>
      <w:r w:rsidRPr="0031675F">
        <w:rPr>
          <w:spacing w:val="-1"/>
        </w:rPr>
        <w:t>with</w:t>
      </w:r>
      <w:r w:rsidRPr="0031675F">
        <w:rPr>
          <w:spacing w:val="14"/>
        </w:rPr>
        <w:t xml:space="preserve"> </w:t>
      </w:r>
      <w:r w:rsidRPr="0031675F">
        <w:rPr>
          <w:spacing w:val="-1"/>
        </w:rPr>
        <w:t>ammonium</w:t>
      </w:r>
      <w:r w:rsidRPr="0031675F">
        <w:rPr>
          <w:spacing w:val="15"/>
        </w:rPr>
        <w:t xml:space="preserve"> </w:t>
      </w:r>
      <w:r w:rsidRPr="0031675F">
        <w:rPr>
          <w:spacing w:val="-1"/>
        </w:rPr>
        <w:t>concentrations</w:t>
      </w:r>
      <w:r w:rsidRPr="0031675F">
        <w:rPr>
          <w:spacing w:val="14"/>
        </w:rPr>
        <w:t xml:space="preserve"> </w:t>
      </w:r>
      <w:r w:rsidRPr="0031675F">
        <w:rPr>
          <w:spacing w:val="-1"/>
        </w:rPr>
        <w:t>greater</w:t>
      </w:r>
      <w:r w:rsidRPr="0031675F">
        <w:rPr>
          <w:spacing w:val="12"/>
        </w:rPr>
        <w:t xml:space="preserve"> </w:t>
      </w:r>
      <w:r w:rsidRPr="0031675F">
        <w:t>than</w:t>
      </w:r>
      <w:r w:rsidRPr="0031675F">
        <w:rPr>
          <w:spacing w:val="13"/>
        </w:rPr>
        <w:t xml:space="preserve"> </w:t>
      </w:r>
      <w:r w:rsidRPr="0031675F">
        <w:rPr>
          <w:spacing w:val="-1"/>
        </w:rPr>
        <w:t>this</w:t>
      </w:r>
      <w:r w:rsidRPr="0031675F">
        <w:rPr>
          <w:spacing w:val="14"/>
        </w:rPr>
        <w:t xml:space="preserve"> </w:t>
      </w:r>
      <w:r w:rsidRPr="0031675F">
        <w:rPr>
          <w:spacing w:val="-1"/>
        </w:rPr>
        <w:t>range</w:t>
      </w:r>
      <w:r w:rsidRPr="0031675F">
        <w:rPr>
          <w:spacing w:val="65"/>
        </w:rPr>
        <w:t xml:space="preserve"> </w:t>
      </w:r>
      <w:r w:rsidRPr="0031675F">
        <w:t xml:space="preserve">will </w:t>
      </w:r>
      <w:r w:rsidRPr="0031675F">
        <w:rPr>
          <w:spacing w:val="-1"/>
        </w:rPr>
        <w:t>require</w:t>
      </w:r>
      <w:r w:rsidRPr="0031675F">
        <w:t xml:space="preserve"> </w:t>
      </w:r>
      <w:r w:rsidRPr="0031675F">
        <w:rPr>
          <w:spacing w:val="-1"/>
        </w:rPr>
        <w:t>additional</w:t>
      </w:r>
      <w:r w:rsidRPr="0031675F">
        <w:t xml:space="preserve"> </w:t>
      </w:r>
      <w:r w:rsidRPr="0031675F">
        <w:rPr>
          <w:spacing w:val="-1"/>
        </w:rPr>
        <w:t>calibration standards</w:t>
      </w:r>
      <w:r w:rsidRPr="0031675F">
        <w:t xml:space="preserve"> </w:t>
      </w:r>
      <w:r w:rsidRPr="0031675F">
        <w:rPr>
          <w:spacing w:val="-1"/>
        </w:rPr>
        <w:t>but</w:t>
      </w:r>
      <w:r w:rsidRPr="0031675F">
        <w:t xml:space="preserve"> </w:t>
      </w:r>
      <w:r w:rsidRPr="0031675F">
        <w:rPr>
          <w:spacing w:val="-1"/>
        </w:rPr>
        <w:t>should still</w:t>
      </w:r>
      <w:r w:rsidRPr="0031675F">
        <w:t xml:space="preserve"> </w:t>
      </w:r>
      <w:r w:rsidRPr="0031675F">
        <w:rPr>
          <w:spacing w:val="-1"/>
        </w:rPr>
        <w:t>exhibit</w:t>
      </w:r>
      <w:r w:rsidRPr="0031675F">
        <w:rPr>
          <w:spacing w:val="-3"/>
        </w:rPr>
        <w:t xml:space="preserve"> </w:t>
      </w:r>
      <w:r w:rsidRPr="0031675F">
        <w:t xml:space="preserve">a </w:t>
      </w:r>
      <w:r w:rsidRPr="0031675F">
        <w:rPr>
          <w:spacing w:val="-1"/>
        </w:rPr>
        <w:t>linear</w:t>
      </w:r>
      <w:r w:rsidRPr="0031675F">
        <w:rPr>
          <w:spacing w:val="-2"/>
        </w:rPr>
        <w:t xml:space="preserve"> response.</w:t>
      </w:r>
    </w:p>
    <w:p w14:paraId="754B6EFC" w14:textId="77777777" w:rsidR="0031675F" w:rsidRPr="0031675F" w:rsidRDefault="0031675F" w:rsidP="0057756F">
      <w:pPr>
        <w:rPr>
          <w:rFonts w:cs="Calibri"/>
        </w:rPr>
      </w:pPr>
    </w:p>
    <w:p w14:paraId="69EDAAB0" w14:textId="77777777" w:rsidR="0031675F" w:rsidRPr="0031675F" w:rsidRDefault="0031675F" w:rsidP="0031675F">
      <w:pPr>
        <w:widowControl w:val="0"/>
        <w:numPr>
          <w:ilvl w:val="1"/>
          <w:numId w:val="114"/>
        </w:numPr>
        <w:tabs>
          <w:tab w:val="left" w:pos="686"/>
        </w:tabs>
        <w:spacing w:before="0" w:after="0" w:line="240" w:lineRule="auto"/>
        <w:jc w:val="both"/>
        <w:rPr>
          <w:rFonts w:eastAsia="Arial" w:cs="Arial"/>
          <w:sz w:val="24"/>
          <w:szCs w:val="24"/>
        </w:rPr>
      </w:pPr>
      <w:r w:rsidRPr="0031675F">
        <w:rPr>
          <w:b/>
          <w:sz w:val="24"/>
        </w:rPr>
        <w:t>Quality</w:t>
      </w:r>
      <w:r w:rsidRPr="0031675F">
        <w:rPr>
          <w:b/>
          <w:spacing w:val="-6"/>
          <w:sz w:val="24"/>
        </w:rPr>
        <w:t xml:space="preserve"> </w:t>
      </w:r>
      <w:r w:rsidRPr="0031675F">
        <w:rPr>
          <w:b/>
          <w:spacing w:val="-1"/>
          <w:sz w:val="24"/>
        </w:rPr>
        <w:t>control</w:t>
      </w:r>
    </w:p>
    <w:p w14:paraId="5DBA0691" w14:textId="77777777" w:rsidR="0031675F" w:rsidRPr="0031675F" w:rsidRDefault="0031675F" w:rsidP="0031675F">
      <w:pPr>
        <w:rPr>
          <w:rFonts w:eastAsia="Arial" w:cs="Arial"/>
          <w:b/>
          <w:bCs/>
          <w:sz w:val="21"/>
          <w:szCs w:val="21"/>
        </w:rPr>
      </w:pPr>
    </w:p>
    <w:p w14:paraId="449AC058" w14:textId="77777777" w:rsidR="0031675F" w:rsidRPr="0031675F" w:rsidRDefault="0031675F" w:rsidP="0031675F">
      <w:pPr>
        <w:widowControl w:val="0"/>
        <w:numPr>
          <w:ilvl w:val="0"/>
          <w:numId w:val="120"/>
        </w:numPr>
        <w:tabs>
          <w:tab w:val="left" w:pos="403"/>
        </w:tabs>
        <w:spacing w:before="0" w:after="0" w:line="240" w:lineRule="auto"/>
        <w:jc w:val="both"/>
      </w:pPr>
      <w:r w:rsidRPr="0031675F">
        <w:rPr>
          <w:spacing w:val="-1"/>
        </w:rPr>
        <w:t>All</w:t>
      </w:r>
      <w:r w:rsidRPr="0031675F">
        <w:t xml:space="preserve"> </w:t>
      </w:r>
      <w:r w:rsidRPr="0031675F">
        <w:rPr>
          <w:spacing w:val="-1"/>
        </w:rPr>
        <w:t>samples</w:t>
      </w:r>
      <w:r w:rsidRPr="0031675F">
        <w:rPr>
          <w:spacing w:val="-3"/>
        </w:rPr>
        <w:t xml:space="preserve"> </w:t>
      </w:r>
      <w:r w:rsidRPr="0031675F">
        <w:rPr>
          <w:spacing w:val="-1"/>
        </w:rPr>
        <w:t>analysed</w:t>
      </w:r>
      <w:r w:rsidRPr="0031675F">
        <w:t xml:space="preserve"> in</w:t>
      </w:r>
      <w:r w:rsidRPr="0031675F">
        <w:rPr>
          <w:spacing w:val="-1"/>
        </w:rPr>
        <w:t xml:space="preserve"> triplicate.</w:t>
      </w:r>
    </w:p>
    <w:p w14:paraId="7FD1B75F" w14:textId="77777777" w:rsidR="0031675F" w:rsidRPr="0031675F" w:rsidRDefault="0031675F" w:rsidP="0031675F">
      <w:pPr>
        <w:widowControl w:val="0"/>
        <w:numPr>
          <w:ilvl w:val="0"/>
          <w:numId w:val="120"/>
        </w:numPr>
        <w:tabs>
          <w:tab w:val="left" w:pos="403"/>
        </w:tabs>
        <w:spacing w:before="60" w:after="0" w:line="240" w:lineRule="auto"/>
        <w:jc w:val="both"/>
      </w:pPr>
      <w:r w:rsidRPr="0031675F">
        <w:rPr>
          <w:spacing w:val="-1"/>
        </w:rPr>
        <w:t>Control</w:t>
      </w:r>
      <w:r w:rsidRPr="0031675F">
        <w:t xml:space="preserve"> </w:t>
      </w:r>
      <w:r w:rsidRPr="0031675F">
        <w:rPr>
          <w:spacing w:val="-1"/>
        </w:rPr>
        <w:t>standards</w:t>
      </w:r>
      <w:r w:rsidRPr="0031675F">
        <w:rPr>
          <w:spacing w:val="-2"/>
        </w:rPr>
        <w:t xml:space="preserve"> </w:t>
      </w:r>
      <w:r w:rsidRPr="0031675F">
        <w:t xml:space="preserve">are </w:t>
      </w:r>
      <w:r w:rsidRPr="0031675F">
        <w:rPr>
          <w:spacing w:val="-1"/>
        </w:rPr>
        <w:t>used</w:t>
      </w:r>
      <w:r w:rsidRPr="0031675F">
        <w:t xml:space="preserve"> to</w:t>
      </w:r>
      <w:r w:rsidRPr="0031675F">
        <w:rPr>
          <w:spacing w:val="-1"/>
        </w:rPr>
        <w:t xml:space="preserve"> measure possible</w:t>
      </w:r>
      <w:r w:rsidRPr="0031675F">
        <w:rPr>
          <w:spacing w:val="-3"/>
        </w:rPr>
        <w:t xml:space="preserve"> </w:t>
      </w:r>
      <w:r w:rsidRPr="0031675F">
        <w:rPr>
          <w:spacing w:val="-1"/>
        </w:rPr>
        <w:t>matrix</w:t>
      </w:r>
      <w:r w:rsidRPr="0031675F">
        <w:t xml:space="preserve"> </w:t>
      </w:r>
      <w:r w:rsidRPr="0031675F">
        <w:rPr>
          <w:spacing w:val="-1"/>
        </w:rPr>
        <w:t>effects.</w:t>
      </w:r>
    </w:p>
    <w:p w14:paraId="2B74BBB0" w14:textId="77777777" w:rsidR="0031675F" w:rsidRPr="0031675F" w:rsidRDefault="0031675F" w:rsidP="0031675F">
      <w:pPr>
        <w:widowControl w:val="0"/>
        <w:numPr>
          <w:ilvl w:val="0"/>
          <w:numId w:val="120"/>
        </w:numPr>
        <w:tabs>
          <w:tab w:val="left" w:pos="403"/>
        </w:tabs>
        <w:spacing w:before="58" w:after="0" w:line="240" w:lineRule="auto"/>
        <w:jc w:val="both"/>
      </w:pPr>
      <w:r w:rsidRPr="0031675F">
        <w:rPr>
          <w:spacing w:val="-1"/>
        </w:rPr>
        <w:t>Background fluorescence</w:t>
      </w:r>
      <w:r w:rsidRPr="0031675F">
        <w:rPr>
          <w:spacing w:val="-2"/>
        </w:rPr>
        <w:t xml:space="preserve"> </w:t>
      </w:r>
      <w:r w:rsidRPr="0031675F">
        <w:t>is</w:t>
      </w:r>
      <w:r w:rsidRPr="0031675F">
        <w:rPr>
          <w:spacing w:val="-3"/>
        </w:rPr>
        <w:t xml:space="preserve"> </w:t>
      </w:r>
      <w:r w:rsidRPr="0031675F">
        <w:rPr>
          <w:spacing w:val="-1"/>
        </w:rPr>
        <w:t>measured</w:t>
      </w:r>
      <w:r w:rsidRPr="0031675F">
        <w:rPr>
          <w:spacing w:val="-3"/>
        </w:rPr>
        <w:t xml:space="preserve"> </w:t>
      </w:r>
      <w:r w:rsidRPr="0031675F">
        <w:t xml:space="preserve">with </w:t>
      </w:r>
      <w:r w:rsidRPr="0031675F">
        <w:rPr>
          <w:spacing w:val="-1"/>
        </w:rPr>
        <w:t>each</w:t>
      </w:r>
      <w:r w:rsidRPr="0031675F">
        <w:t xml:space="preserve"> </w:t>
      </w:r>
      <w:r w:rsidRPr="0031675F">
        <w:rPr>
          <w:spacing w:val="-1"/>
        </w:rPr>
        <w:t>sample</w:t>
      </w:r>
      <w:r w:rsidRPr="0031675F">
        <w:t xml:space="preserve"> </w:t>
      </w:r>
      <w:r w:rsidRPr="0031675F">
        <w:rPr>
          <w:spacing w:val="-1"/>
        </w:rPr>
        <w:t>batch.</w:t>
      </w:r>
    </w:p>
    <w:p w14:paraId="3851124D" w14:textId="77777777" w:rsidR="0031675F" w:rsidRPr="0031675F" w:rsidRDefault="0031675F" w:rsidP="0031675F">
      <w:pPr>
        <w:widowControl w:val="0"/>
        <w:numPr>
          <w:ilvl w:val="0"/>
          <w:numId w:val="120"/>
        </w:numPr>
        <w:tabs>
          <w:tab w:val="left" w:pos="403"/>
        </w:tabs>
        <w:spacing w:before="60" w:after="0" w:line="240" w:lineRule="auto"/>
        <w:jc w:val="both"/>
      </w:pPr>
      <w:r w:rsidRPr="0031675F">
        <w:t>Use</w:t>
      </w:r>
      <w:r w:rsidRPr="0031675F">
        <w:rPr>
          <w:spacing w:val="-2"/>
        </w:rPr>
        <w:t xml:space="preserve"> </w:t>
      </w:r>
      <w:r w:rsidRPr="0031675F">
        <w:t xml:space="preserve">of </w:t>
      </w:r>
      <w:r w:rsidRPr="0031675F">
        <w:rPr>
          <w:spacing w:val="-1"/>
        </w:rPr>
        <w:t>primary</w:t>
      </w:r>
      <w:r w:rsidRPr="0031675F">
        <w:rPr>
          <w:spacing w:val="-2"/>
        </w:rPr>
        <w:t xml:space="preserve"> </w:t>
      </w:r>
      <w:r w:rsidRPr="0031675F">
        <w:rPr>
          <w:spacing w:val="-1"/>
        </w:rPr>
        <w:t>standards</w:t>
      </w:r>
      <w:r w:rsidRPr="0031675F">
        <w:t xml:space="preserve"> </w:t>
      </w:r>
      <w:r w:rsidRPr="0031675F">
        <w:rPr>
          <w:spacing w:val="-1"/>
        </w:rPr>
        <w:t>to</w:t>
      </w:r>
      <w:r w:rsidRPr="0031675F">
        <w:rPr>
          <w:spacing w:val="1"/>
        </w:rPr>
        <w:t xml:space="preserve"> </w:t>
      </w:r>
      <w:r w:rsidRPr="0031675F">
        <w:rPr>
          <w:spacing w:val="-1"/>
        </w:rPr>
        <w:t>generate</w:t>
      </w:r>
      <w:r w:rsidRPr="0031675F">
        <w:rPr>
          <w:spacing w:val="-2"/>
        </w:rPr>
        <w:t xml:space="preserve"> </w:t>
      </w:r>
      <w:r w:rsidRPr="0031675F">
        <w:t xml:space="preserve">a </w:t>
      </w:r>
      <w:r w:rsidRPr="0031675F">
        <w:rPr>
          <w:spacing w:val="-1"/>
        </w:rPr>
        <w:t>calibration curve</w:t>
      </w:r>
      <w:r w:rsidRPr="0031675F">
        <w:t xml:space="preserve"> </w:t>
      </w:r>
      <w:r w:rsidRPr="0031675F">
        <w:rPr>
          <w:spacing w:val="-1"/>
        </w:rPr>
        <w:t>for</w:t>
      </w:r>
      <w:r w:rsidRPr="0031675F">
        <w:rPr>
          <w:spacing w:val="-2"/>
        </w:rPr>
        <w:t xml:space="preserve"> </w:t>
      </w:r>
      <w:r w:rsidRPr="0031675F">
        <w:rPr>
          <w:spacing w:val="-1"/>
        </w:rPr>
        <w:t>every</w:t>
      </w:r>
      <w:r w:rsidRPr="0031675F">
        <w:t xml:space="preserve"> </w:t>
      </w:r>
      <w:r w:rsidRPr="0031675F">
        <w:rPr>
          <w:spacing w:val="-1"/>
        </w:rPr>
        <w:t>batch</w:t>
      </w:r>
      <w:r w:rsidRPr="0031675F">
        <w:rPr>
          <w:spacing w:val="-2"/>
        </w:rPr>
        <w:t xml:space="preserve"> </w:t>
      </w:r>
      <w:r w:rsidRPr="0031675F">
        <w:t xml:space="preserve">of </w:t>
      </w:r>
      <w:r w:rsidRPr="0031675F">
        <w:rPr>
          <w:spacing w:val="-1"/>
        </w:rPr>
        <w:t>samples read.</w:t>
      </w:r>
    </w:p>
    <w:p w14:paraId="1937D2C4" w14:textId="77777777" w:rsidR="0031675F" w:rsidRPr="0031675F" w:rsidRDefault="0031675F" w:rsidP="0031675F">
      <w:pPr>
        <w:widowControl w:val="0"/>
        <w:numPr>
          <w:ilvl w:val="0"/>
          <w:numId w:val="120"/>
        </w:numPr>
        <w:tabs>
          <w:tab w:val="left" w:pos="403"/>
        </w:tabs>
        <w:spacing w:before="60" w:after="0" w:line="240" w:lineRule="auto"/>
        <w:jc w:val="both"/>
      </w:pPr>
      <w:r w:rsidRPr="0031675F">
        <w:rPr>
          <w:spacing w:val="-1"/>
        </w:rPr>
        <w:t>Reagent</w:t>
      </w:r>
      <w:r w:rsidRPr="0031675F">
        <w:t xml:space="preserve"> </w:t>
      </w:r>
      <w:r w:rsidRPr="0031675F">
        <w:rPr>
          <w:spacing w:val="-1"/>
        </w:rPr>
        <w:t>blanks</w:t>
      </w:r>
      <w:r w:rsidRPr="0031675F">
        <w:t xml:space="preserve"> run</w:t>
      </w:r>
      <w:r w:rsidRPr="0031675F">
        <w:rPr>
          <w:spacing w:val="-2"/>
        </w:rPr>
        <w:t xml:space="preserve"> </w:t>
      </w:r>
      <w:r w:rsidRPr="0031675F">
        <w:rPr>
          <w:spacing w:val="-1"/>
        </w:rPr>
        <w:t>with</w:t>
      </w:r>
      <w:r w:rsidRPr="0031675F">
        <w:t xml:space="preserve"> </w:t>
      </w:r>
      <w:r w:rsidRPr="0031675F">
        <w:rPr>
          <w:spacing w:val="-1"/>
        </w:rPr>
        <w:t>each</w:t>
      </w:r>
      <w:r w:rsidRPr="0031675F">
        <w:t xml:space="preserve"> </w:t>
      </w:r>
      <w:r w:rsidRPr="0031675F">
        <w:rPr>
          <w:spacing w:val="-1"/>
        </w:rPr>
        <w:t>sample</w:t>
      </w:r>
      <w:r w:rsidRPr="0031675F">
        <w:t xml:space="preserve"> </w:t>
      </w:r>
      <w:r w:rsidRPr="0031675F">
        <w:rPr>
          <w:spacing w:val="-1"/>
        </w:rPr>
        <w:t>batch.</w:t>
      </w:r>
    </w:p>
    <w:p w14:paraId="7961BF22" w14:textId="77777777" w:rsidR="00EA574B" w:rsidRPr="00EA574B" w:rsidRDefault="0031675F" w:rsidP="008D2411">
      <w:pPr>
        <w:widowControl w:val="0"/>
        <w:numPr>
          <w:ilvl w:val="0"/>
          <w:numId w:val="120"/>
        </w:numPr>
        <w:tabs>
          <w:tab w:val="left" w:pos="403"/>
        </w:tabs>
        <w:spacing w:before="0" w:after="0" w:line="240" w:lineRule="auto"/>
        <w:ind w:right="120"/>
        <w:jc w:val="both"/>
      </w:pPr>
      <w:r w:rsidRPr="00EA574B">
        <w:rPr>
          <w:spacing w:val="-1"/>
        </w:rPr>
        <w:t>Stringent attention</w:t>
      </w:r>
      <w:r w:rsidRPr="00EA574B">
        <w:rPr>
          <w:spacing w:val="-3"/>
        </w:rPr>
        <w:t xml:space="preserve"> </w:t>
      </w:r>
      <w:r w:rsidRPr="00EA574B">
        <w:rPr>
          <w:spacing w:val="-1"/>
        </w:rPr>
        <w:t>to</w:t>
      </w:r>
      <w:r w:rsidRPr="00EA574B">
        <w:rPr>
          <w:spacing w:val="1"/>
        </w:rPr>
        <w:t xml:space="preserve"> </w:t>
      </w:r>
      <w:r w:rsidRPr="00EA574B">
        <w:rPr>
          <w:spacing w:val="-1"/>
        </w:rPr>
        <w:t>cleanliness</w:t>
      </w:r>
      <w:r w:rsidRPr="0031675F">
        <w:t xml:space="preserve"> is </w:t>
      </w:r>
      <w:r w:rsidRPr="00EA574B">
        <w:rPr>
          <w:spacing w:val="-1"/>
        </w:rPr>
        <w:t>necessary</w:t>
      </w:r>
      <w:r w:rsidRPr="0031675F">
        <w:t xml:space="preserve"> </w:t>
      </w:r>
      <w:r w:rsidRPr="00EA574B">
        <w:rPr>
          <w:spacing w:val="-1"/>
        </w:rPr>
        <w:t>to</w:t>
      </w:r>
      <w:r w:rsidRPr="00EA574B">
        <w:rPr>
          <w:spacing w:val="1"/>
        </w:rPr>
        <w:t xml:space="preserve"> </w:t>
      </w:r>
      <w:r w:rsidRPr="00EA574B">
        <w:rPr>
          <w:spacing w:val="-1"/>
        </w:rPr>
        <w:t>achieve</w:t>
      </w:r>
      <w:r w:rsidRPr="00EA574B">
        <w:rPr>
          <w:spacing w:val="-2"/>
        </w:rPr>
        <w:t xml:space="preserve"> </w:t>
      </w:r>
      <w:r w:rsidRPr="00EA574B">
        <w:rPr>
          <w:spacing w:val="-1"/>
        </w:rPr>
        <w:t>low</w:t>
      </w:r>
      <w:r w:rsidRPr="00EA574B">
        <w:rPr>
          <w:spacing w:val="1"/>
        </w:rPr>
        <w:t xml:space="preserve"> </w:t>
      </w:r>
      <w:r w:rsidRPr="00EA574B">
        <w:rPr>
          <w:spacing w:val="-1"/>
        </w:rPr>
        <w:t>blanks.</w:t>
      </w:r>
    </w:p>
    <w:p w14:paraId="21E24777" w14:textId="0CE647EB" w:rsidR="0031675F" w:rsidRPr="0031675F" w:rsidRDefault="0031675F" w:rsidP="008D2411">
      <w:pPr>
        <w:widowControl w:val="0"/>
        <w:numPr>
          <w:ilvl w:val="0"/>
          <w:numId w:val="120"/>
        </w:numPr>
        <w:tabs>
          <w:tab w:val="left" w:pos="403"/>
        </w:tabs>
        <w:spacing w:before="0" w:after="0" w:line="240" w:lineRule="auto"/>
        <w:ind w:right="120"/>
        <w:jc w:val="both"/>
      </w:pPr>
      <w:r w:rsidRPr="00EA574B">
        <w:rPr>
          <w:spacing w:val="-1"/>
        </w:rPr>
        <w:t>Elimination</w:t>
      </w:r>
      <w:r w:rsidRPr="00EA574B">
        <w:rPr>
          <w:spacing w:val="11"/>
        </w:rPr>
        <w:t xml:space="preserve"> </w:t>
      </w:r>
      <w:r w:rsidRPr="0031675F">
        <w:t>of</w:t>
      </w:r>
      <w:r w:rsidRPr="00EA574B">
        <w:rPr>
          <w:spacing w:val="14"/>
        </w:rPr>
        <w:t xml:space="preserve"> </w:t>
      </w:r>
      <w:r w:rsidRPr="0031675F">
        <w:t>the</w:t>
      </w:r>
      <w:r w:rsidRPr="00EA574B">
        <w:rPr>
          <w:spacing w:val="12"/>
        </w:rPr>
        <w:t xml:space="preserve"> </w:t>
      </w:r>
      <w:r w:rsidRPr="00EA574B">
        <w:rPr>
          <w:spacing w:val="-1"/>
        </w:rPr>
        <w:t>need</w:t>
      </w:r>
      <w:r w:rsidRPr="00EA574B">
        <w:rPr>
          <w:spacing w:val="11"/>
        </w:rPr>
        <w:t xml:space="preserve"> </w:t>
      </w:r>
      <w:r w:rsidRPr="0031675F">
        <w:t>to</w:t>
      </w:r>
      <w:r w:rsidRPr="00EA574B">
        <w:rPr>
          <w:spacing w:val="11"/>
        </w:rPr>
        <w:t xml:space="preserve"> </w:t>
      </w:r>
      <w:r w:rsidRPr="00EA574B">
        <w:rPr>
          <w:spacing w:val="-1"/>
        </w:rPr>
        <w:t>freeze</w:t>
      </w:r>
      <w:r w:rsidRPr="00EA574B">
        <w:rPr>
          <w:spacing w:val="15"/>
        </w:rPr>
        <w:t xml:space="preserve"> </w:t>
      </w:r>
      <w:r w:rsidRPr="00EA574B">
        <w:rPr>
          <w:spacing w:val="-1"/>
        </w:rPr>
        <w:t>samples</w:t>
      </w:r>
      <w:r w:rsidRPr="00EA574B">
        <w:rPr>
          <w:spacing w:val="14"/>
        </w:rPr>
        <w:t xml:space="preserve"> </w:t>
      </w:r>
      <w:r w:rsidRPr="00EA574B">
        <w:rPr>
          <w:spacing w:val="-1"/>
        </w:rPr>
        <w:t>and</w:t>
      </w:r>
      <w:r w:rsidRPr="00EA574B">
        <w:rPr>
          <w:spacing w:val="14"/>
        </w:rPr>
        <w:t xml:space="preserve"> </w:t>
      </w:r>
      <w:r w:rsidRPr="00EA574B">
        <w:rPr>
          <w:spacing w:val="-1"/>
        </w:rPr>
        <w:t>elimination</w:t>
      </w:r>
      <w:r w:rsidRPr="00EA574B">
        <w:rPr>
          <w:spacing w:val="11"/>
        </w:rPr>
        <w:t xml:space="preserve"> </w:t>
      </w:r>
      <w:r w:rsidRPr="0031675F">
        <w:t>of</w:t>
      </w:r>
      <w:r w:rsidRPr="00EA574B">
        <w:rPr>
          <w:spacing w:val="14"/>
        </w:rPr>
        <w:t xml:space="preserve"> </w:t>
      </w:r>
      <w:r w:rsidRPr="00EA574B">
        <w:rPr>
          <w:spacing w:val="-1"/>
        </w:rPr>
        <w:t>potential</w:t>
      </w:r>
      <w:r w:rsidRPr="00EA574B">
        <w:rPr>
          <w:spacing w:val="12"/>
        </w:rPr>
        <w:t xml:space="preserve"> </w:t>
      </w:r>
      <w:r w:rsidRPr="00EA574B">
        <w:rPr>
          <w:spacing w:val="-1"/>
        </w:rPr>
        <w:t>contamination</w:t>
      </w:r>
      <w:r w:rsidRPr="00EA574B">
        <w:rPr>
          <w:spacing w:val="14"/>
        </w:rPr>
        <w:t xml:space="preserve"> </w:t>
      </w:r>
      <w:r w:rsidRPr="00EA574B">
        <w:rPr>
          <w:spacing w:val="-1"/>
        </w:rPr>
        <w:t>risks</w:t>
      </w:r>
      <w:r w:rsidRPr="00EA574B">
        <w:rPr>
          <w:spacing w:val="14"/>
        </w:rPr>
        <w:t xml:space="preserve"> </w:t>
      </w:r>
      <w:r w:rsidRPr="00EA574B">
        <w:rPr>
          <w:spacing w:val="-1"/>
        </w:rPr>
        <w:t>while</w:t>
      </w:r>
      <w:r w:rsidRPr="00EA574B">
        <w:rPr>
          <w:spacing w:val="61"/>
        </w:rPr>
        <w:t xml:space="preserve"> </w:t>
      </w:r>
      <w:r w:rsidRPr="0031675F">
        <w:t>in</w:t>
      </w:r>
      <w:r w:rsidRPr="00EA574B">
        <w:rPr>
          <w:spacing w:val="-1"/>
        </w:rPr>
        <w:t xml:space="preserve"> storage.</w:t>
      </w:r>
    </w:p>
    <w:p w14:paraId="00DC714F" w14:textId="77777777" w:rsidR="0031675F" w:rsidRPr="0031675F" w:rsidRDefault="0031675F" w:rsidP="0031675F">
      <w:pPr>
        <w:widowControl w:val="0"/>
        <w:numPr>
          <w:ilvl w:val="0"/>
          <w:numId w:val="120"/>
        </w:numPr>
        <w:tabs>
          <w:tab w:val="left" w:pos="403"/>
        </w:tabs>
        <w:spacing w:before="69" w:after="0" w:line="266" w:lineRule="exact"/>
        <w:ind w:right="120"/>
      </w:pPr>
      <w:r w:rsidRPr="0031675F">
        <w:rPr>
          <w:rFonts w:cs="Calibri"/>
          <w:spacing w:val="-1"/>
        </w:rPr>
        <w:t>Potential</w:t>
      </w:r>
      <w:r w:rsidRPr="0031675F">
        <w:rPr>
          <w:rFonts w:cs="Calibri"/>
          <w:spacing w:val="47"/>
        </w:rPr>
        <w:t xml:space="preserve"> </w:t>
      </w:r>
      <w:r w:rsidRPr="0031675F">
        <w:rPr>
          <w:rFonts w:cs="Calibri"/>
          <w:spacing w:val="-1"/>
        </w:rPr>
        <w:t>contamination</w:t>
      </w:r>
      <w:r w:rsidRPr="0031675F">
        <w:rPr>
          <w:rFonts w:cs="Calibri"/>
          <w:spacing w:val="48"/>
        </w:rPr>
        <w:t xml:space="preserve"> </w:t>
      </w:r>
      <w:r w:rsidRPr="0031675F">
        <w:rPr>
          <w:rFonts w:cs="Calibri"/>
          <w:spacing w:val="-1"/>
        </w:rPr>
        <w:t>significantly</w:t>
      </w:r>
      <w:r w:rsidRPr="0031675F">
        <w:rPr>
          <w:rFonts w:cs="Calibri"/>
          <w:spacing w:val="49"/>
        </w:rPr>
        <w:t xml:space="preserve"> </w:t>
      </w:r>
      <w:r w:rsidRPr="0031675F">
        <w:rPr>
          <w:rFonts w:cs="Calibri"/>
          <w:spacing w:val="-1"/>
        </w:rPr>
        <w:t>reduced</w:t>
      </w:r>
      <w:r w:rsidRPr="0031675F">
        <w:rPr>
          <w:rFonts w:cs="Calibri"/>
          <w:spacing w:val="47"/>
        </w:rPr>
        <w:t xml:space="preserve"> </w:t>
      </w:r>
      <w:r w:rsidRPr="0031675F">
        <w:rPr>
          <w:rFonts w:cs="Calibri"/>
          <w:spacing w:val="-1"/>
        </w:rPr>
        <w:t>by</w:t>
      </w:r>
      <w:r w:rsidRPr="0031675F">
        <w:rPr>
          <w:rFonts w:cs="Calibri"/>
          <w:spacing w:val="49"/>
        </w:rPr>
        <w:t xml:space="preserve"> </w:t>
      </w:r>
      <w:r w:rsidRPr="0031675F">
        <w:rPr>
          <w:rFonts w:cs="Calibri"/>
          <w:spacing w:val="-1"/>
        </w:rPr>
        <w:t>acid</w:t>
      </w:r>
      <w:r w:rsidRPr="0031675F">
        <w:rPr>
          <w:rFonts w:cs="Calibri"/>
          <w:spacing w:val="48"/>
        </w:rPr>
        <w:t xml:space="preserve"> </w:t>
      </w:r>
      <w:r w:rsidRPr="0031675F">
        <w:rPr>
          <w:rFonts w:cs="Calibri"/>
          <w:spacing w:val="-1"/>
        </w:rPr>
        <w:t>cleaning</w:t>
      </w:r>
      <w:r w:rsidRPr="0031675F">
        <w:rPr>
          <w:rFonts w:cs="Calibri"/>
          <w:spacing w:val="47"/>
        </w:rPr>
        <w:t xml:space="preserve"> </w:t>
      </w:r>
      <w:r w:rsidRPr="0031675F">
        <w:rPr>
          <w:rFonts w:cs="Calibri"/>
          <w:spacing w:val="-1"/>
        </w:rPr>
        <w:t>and</w:t>
      </w:r>
      <w:r w:rsidRPr="0031675F">
        <w:rPr>
          <w:rFonts w:cs="Calibri"/>
          <w:spacing w:val="47"/>
        </w:rPr>
        <w:t xml:space="preserve"> </w:t>
      </w:r>
      <w:r w:rsidRPr="0031675F">
        <w:rPr>
          <w:rFonts w:cs="Calibri"/>
          <w:spacing w:val="-1"/>
        </w:rPr>
        <w:t>subsequent</w:t>
      </w:r>
      <w:r w:rsidRPr="0031675F">
        <w:rPr>
          <w:rFonts w:cs="Calibri"/>
          <w:spacing w:val="49"/>
        </w:rPr>
        <w:t xml:space="preserve"> </w:t>
      </w:r>
      <w:r w:rsidRPr="0031675F">
        <w:rPr>
          <w:rFonts w:cs="Calibri"/>
          <w:spacing w:val="-1"/>
        </w:rPr>
        <w:t>“burning</w:t>
      </w:r>
      <w:r w:rsidRPr="0031675F">
        <w:rPr>
          <w:rFonts w:cs="Calibri"/>
          <w:spacing w:val="47"/>
        </w:rPr>
        <w:t xml:space="preserve"> </w:t>
      </w:r>
      <w:r w:rsidRPr="0031675F">
        <w:rPr>
          <w:rFonts w:cs="Calibri"/>
        </w:rPr>
        <w:t>out”</w:t>
      </w:r>
      <w:r w:rsidRPr="0031675F">
        <w:rPr>
          <w:rFonts w:cs="Calibri"/>
          <w:spacing w:val="87"/>
        </w:rPr>
        <w:t xml:space="preserve"> </w:t>
      </w:r>
      <w:r w:rsidRPr="0031675F">
        <w:rPr>
          <w:spacing w:val="-1"/>
        </w:rPr>
        <w:t>reaction tubes</w:t>
      </w:r>
      <w:r w:rsidRPr="0031675F">
        <w:rPr>
          <w:spacing w:val="-2"/>
        </w:rPr>
        <w:t xml:space="preserve"> </w:t>
      </w:r>
      <w:r w:rsidRPr="0031675F">
        <w:t>with</w:t>
      </w:r>
      <w:r w:rsidRPr="0031675F">
        <w:rPr>
          <w:spacing w:val="-3"/>
        </w:rPr>
        <w:t xml:space="preserve"> </w:t>
      </w:r>
      <w:r w:rsidRPr="0031675F">
        <w:rPr>
          <w:spacing w:val="-1"/>
        </w:rPr>
        <w:t xml:space="preserve">working reagent </w:t>
      </w:r>
      <w:r w:rsidRPr="0031675F">
        <w:rPr>
          <w:spacing w:val="-2"/>
        </w:rPr>
        <w:t>before</w:t>
      </w:r>
      <w:r w:rsidRPr="0031675F">
        <w:t xml:space="preserve"> </w:t>
      </w:r>
      <w:r w:rsidRPr="0031675F">
        <w:rPr>
          <w:spacing w:val="-1"/>
        </w:rPr>
        <w:t>use.</w:t>
      </w:r>
    </w:p>
    <w:p w14:paraId="23F38558" w14:textId="77777777" w:rsidR="0031675F" w:rsidRPr="0031675F" w:rsidRDefault="0031675F" w:rsidP="0031675F">
      <w:pPr>
        <w:spacing w:before="2"/>
        <w:rPr>
          <w:rFonts w:cs="Calibri"/>
          <w:sz w:val="26"/>
          <w:szCs w:val="26"/>
        </w:rPr>
      </w:pPr>
    </w:p>
    <w:p w14:paraId="504F49CD" w14:textId="77777777" w:rsidR="0031675F" w:rsidRPr="0031675F" w:rsidRDefault="0031675F" w:rsidP="0031675F">
      <w:pPr>
        <w:widowControl w:val="0"/>
        <w:numPr>
          <w:ilvl w:val="1"/>
          <w:numId w:val="114"/>
        </w:numPr>
        <w:tabs>
          <w:tab w:val="left" w:pos="839"/>
        </w:tabs>
        <w:spacing w:before="0" w:after="0" w:line="240" w:lineRule="auto"/>
        <w:ind w:left="838" w:hanging="720"/>
        <w:rPr>
          <w:rFonts w:eastAsia="Arial" w:cs="Arial"/>
          <w:sz w:val="24"/>
          <w:szCs w:val="24"/>
        </w:rPr>
      </w:pPr>
      <w:r w:rsidRPr="0031675F">
        <w:rPr>
          <w:b/>
          <w:spacing w:val="-1"/>
          <w:sz w:val="24"/>
        </w:rPr>
        <w:t>References</w:t>
      </w:r>
    </w:p>
    <w:p w14:paraId="0CCF11BC" w14:textId="77777777" w:rsidR="0031675F" w:rsidRPr="0031675F" w:rsidRDefault="0031675F" w:rsidP="0031675F">
      <w:pPr>
        <w:spacing w:before="1"/>
        <w:rPr>
          <w:rFonts w:eastAsia="Arial" w:cs="Arial"/>
          <w:b/>
          <w:bCs/>
          <w:sz w:val="21"/>
          <w:szCs w:val="21"/>
        </w:rPr>
      </w:pPr>
    </w:p>
    <w:p w14:paraId="7EE80367" w14:textId="77777777" w:rsidR="0031675F" w:rsidRPr="0031675F" w:rsidRDefault="0031675F" w:rsidP="0031675F">
      <w:pPr>
        <w:spacing w:after="120" w:line="239" w:lineRule="auto"/>
        <w:ind w:right="109"/>
        <w:jc w:val="both"/>
      </w:pPr>
      <w:r w:rsidRPr="0031675F">
        <w:rPr>
          <w:spacing w:val="-1"/>
        </w:rPr>
        <w:t>Holmes,</w:t>
      </w:r>
      <w:r w:rsidRPr="0031675F">
        <w:rPr>
          <w:spacing w:val="10"/>
        </w:rPr>
        <w:t xml:space="preserve"> </w:t>
      </w:r>
      <w:r w:rsidRPr="0031675F">
        <w:t>R.M.,</w:t>
      </w:r>
      <w:r w:rsidRPr="0031675F">
        <w:rPr>
          <w:spacing w:val="10"/>
        </w:rPr>
        <w:t xml:space="preserve"> </w:t>
      </w:r>
      <w:r w:rsidRPr="0031675F">
        <w:t>A.</w:t>
      </w:r>
      <w:r w:rsidRPr="0031675F">
        <w:rPr>
          <w:spacing w:val="11"/>
        </w:rPr>
        <w:t xml:space="preserve"> </w:t>
      </w:r>
      <w:r w:rsidRPr="0031675F">
        <w:rPr>
          <w:spacing w:val="-1"/>
        </w:rPr>
        <w:t>Aminot,</w:t>
      </w:r>
      <w:r w:rsidRPr="0031675F">
        <w:rPr>
          <w:spacing w:val="8"/>
        </w:rPr>
        <w:t xml:space="preserve"> </w:t>
      </w:r>
      <w:r w:rsidRPr="0031675F">
        <w:t>R.</w:t>
      </w:r>
      <w:r w:rsidRPr="0031675F">
        <w:rPr>
          <w:spacing w:val="12"/>
        </w:rPr>
        <w:t xml:space="preserve"> </w:t>
      </w:r>
      <w:r w:rsidRPr="0031675F">
        <w:rPr>
          <w:spacing w:val="-1"/>
        </w:rPr>
        <w:t>Kerouel,</w:t>
      </w:r>
      <w:r w:rsidRPr="0031675F">
        <w:rPr>
          <w:spacing w:val="10"/>
        </w:rPr>
        <w:t xml:space="preserve"> </w:t>
      </w:r>
      <w:r w:rsidRPr="0031675F">
        <w:rPr>
          <w:spacing w:val="-1"/>
        </w:rPr>
        <w:t>B.A.</w:t>
      </w:r>
      <w:r w:rsidRPr="0031675F">
        <w:rPr>
          <w:spacing w:val="12"/>
        </w:rPr>
        <w:t xml:space="preserve"> </w:t>
      </w:r>
      <w:r w:rsidRPr="0031675F">
        <w:rPr>
          <w:spacing w:val="-1"/>
        </w:rPr>
        <w:t>Hooker</w:t>
      </w:r>
      <w:r w:rsidRPr="0031675F">
        <w:rPr>
          <w:spacing w:val="9"/>
        </w:rPr>
        <w:t xml:space="preserve"> </w:t>
      </w:r>
      <w:r w:rsidRPr="0031675F">
        <w:rPr>
          <w:spacing w:val="-1"/>
        </w:rPr>
        <w:t>and</w:t>
      </w:r>
      <w:r w:rsidRPr="0031675F">
        <w:rPr>
          <w:spacing w:val="11"/>
        </w:rPr>
        <w:t xml:space="preserve"> </w:t>
      </w:r>
      <w:r w:rsidRPr="0031675F">
        <w:rPr>
          <w:spacing w:val="-1"/>
        </w:rPr>
        <w:t>B.J.</w:t>
      </w:r>
      <w:r w:rsidRPr="0031675F">
        <w:rPr>
          <w:spacing w:val="12"/>
        </w:rPr>
        <w:t xml:space="preserve"> </w:t>
      </w:r>
      <w:r w:rsidRPr="0031675F">
        <w:rPr>
          <w:spacing w:val="-1"/>
        </w:rPr>
        <w:t>Peterson</w:t>
      </w:r>
      <w:r w:rsidRPr="0031675F">
        <w:rPr>
          <w:spacing w:val="9"/>
        </w:rPr>
        <w:t xml:space="preserve"> </w:t>
      </w:r>
      <w:r w:rsidRPr="0031675F">
        <w:rPr>
          <w:spacing w:val="-1"/>
        </w:rPr>
        <w:t>1999.</w:t>
      </w:r>
      <w:r w:rsidRPr="0031675F">
        <w:rPr>
          <w:spacing w:val="22"/>
        </w:rPr>
        <w:t xml:space="preserve"> </w:t>
      </w:r>
      <w:r w:rsidRPr="0031675F">
        <w:t>A</w:t>
      </w:r>
      <w:r w:rsidRPr="0031675F">
        <w:rPr>
          <w:spacing w:val="9"/>
        </w:rPr>
        <w:t xml:space="preserve"> </w:t>
      </w:r>
      <w:r w:rsidRPr="0031675F">
        <w:rPr>
          <w:spacing w:val="-1"/>
        </w:rPr>
        <w:t>simple,</w:t>
      </w:r>
      <w:r w:rsidRPr="0031675F">
        <w:rPr>
          <w:spacing w:val="10"/>
        </w:rPr>
        <w:t xml:space="preserve"> </w:t>
      </w:r>
      <w:r w:rsidRPr="0031675F">
        <w:rPr>
          <w:spacing w:val="-1"/>
        </w:rPr>
        <w:t>precise</w:t>
      </w:r>
      <w:r w:rsidRPr="0031675F">
        <w:rPr>
          <w:spacing w:val="10"/>
        </w:rPr>
        <w:t xml:space="preserve"> </w:t>
      </w:r>
      <w:r w:rsidRPr="0031675F">
        <w:rPr>
          <w:spacing w:val="-1"/>
        </w:rPr>
        <w:t>method</w:t>
      </w:r>
      <w:r w:rsidRPr="0031675F">
        <w:rPr>
          <w:spacing w:val="71"/>
        </w:rPr>
        <w:t xml:space="preserve"> </w:t>
      </w:r>
      <w:r w:rsidRPr="0031675F">
        <w:rPr>
          <w:spacing w:val="-1"/>
        </w:rPr>
        <w:t>for</w:t>
      </w:r>
      <w:r w:rsidRPr="0031675F">
        <w:rPr>
          <w:spacing w:val="21"/>
        </w:rPr>
        <w:t xml:space="preserve"> </w:t>
      </w:r>
      <w:r w:rsidRPr="0031675F">
        <w:rPr>
          <w:spacing w:val="-1"/>
        </w:rPr>
        <w:t>measuring</w:t>
      </w:r>
      <w:r w:rsidRPr="0031675F">
        <w:rPr>
          <w:spacing w:val="21"/>
        </w:rPr>
        <w:t xml:space="preserve"> </w:t>
      </w:r>
      <w:r w:rsidRPr="0031675F">
        <w:rPr>
          <w:spacing w:val="-1"/>
        </w:rPr>
        <w:t>ammonium</w:t>
      </w:r>
      <w:r w:rsidRPr="0031675F">
        <w:rPr>
          <w:spacing w:val="20"/>
        </w:rPr>
        <w:t xml:space="preserve"> </w:t>
      </w:r>
      <w:r w:rsidRPr="0031675F">
        <w:t>in</w:t>
      </w:r>
      <w:r w:rsidRPr="0031675F">
        <w:rPr>
          <w:spacing w:val="20"/>
        </w:rPr>
        <w:t xml:space="preserve"> </w:t>
      </w:r>
      <w:r w:rsidRPr="0031675F">
        <w:rPr>
          <w:spacing w:val="-1"/>
        </w:rPr>
        <w:t>marine</w:t>
      </w:r>
      <w:r w:rsidRPr="0031675F">
        <w:rPr>
          <w:spacing w:val="22"/>
        </w:rPr>
        <w:t xml:space="preserve"> </w:t>
      </w:r>
      <w:r w:rsidRPr="0031675F">
        <w:rPr>
          <w:spacing w:val="-1"/>
        </w:rPr>
        <w:t>and</w:t>
      </w:r>
      <w:r w:rsidRPr="0031675F">
        <w:rPr>
          <w:spacing w:val="21"/>
        </w:rPr>
        <w:t xml:space="preserve"> </w:t>
      </w:r>
      <w:r w:rsidRPr="0031675F">
        <w:rPr>
          <w:spacing w:val="-1"/>
        </w:rPr>
        <w:t>freshwater</w:t>
      </w:r>
      <w:r w:rsidRPr="0031675F">
        <w:rPr>
          <w:spacing w:val="21"/>
        </w:rPr>
        <w:t xml:space="preserve"> </w:t>
      </w:r>
      <w:r w:rsidRPr="0031675F">
        <w:rPr>
          <w:spacing w:val="-1"/>
        </w:rPr>
        <w:t>ecosystems.</w:t>
      </w:r>
      <w:r w:rsidRPr="0031675F">
        <w:rPr>
          <w:spacing w:val="21"/>
        </w:rPr>
        <w:t xml:space="preserve"> </w:t>
      </w:r>
      <w:r w:rsidRPr="0031675F">
        <w:rPr>
          <w:spacing w:val="-1"/>
        </w:rPr>
        <w:t>Can.</w:t>
      </w:r>
      <w:r w:rsidRPr="0031675F">
        <w:rPr>
          <w:spacing w:val="21"/>
        </w:rPr>
        <w:t xml:space="preserve"> </w:t>
      </w:r>
      <w:r w:rsidRPr="0031675F">
        <w:rPr>
          <w:spacing w:val="-1"/>
        </w:rPr>
        <w:t>J.</w:t>
      </w:r>
      <w:r w:rsidRPr="0031675F">
        <w:rPr>
          <w:spacing w:val="21"/>
        </w:rPr>
        <w:t xml:space="preserve"> </w:t>
      </w:r>
      <w:r w:rsidRPr="0031675F">
        <w:rPr>
          <w:spacing w:val="-1"/>
        </w:rPr>
        <w:t>Fish.</w:t>
      </w:r>
      <w:r w:rsidRPr="0031675F">
        <w:rPr>
          <w:spacing w:val="23"/>
        </w:rPr>
        <w:t xml:space="preserve"> </w:t>
      </w:r>
      <w:r w:rsidRPr="0031675F">
        <w:rPr>
          <w:spacing w:val="-1"/>
        </w:rPr>
        <w:t>Aquat.</w:t>
      </w:r>
      <w:r w:rsidRPr="0031675F">
        <w:rPr>
          <w:spacing w:val="21"/>
        </w:rPr>
        <w:t xml:space="preserve"> </w:t>
      </w:r>
      <w:r w:rsidRPr="0031675F">
        <w:rPr>
          <w:spacing w:val="-1"/>
        </w:rPr>
        <w:t>Sci.</w:t>
      </w:r>
      <w:r w:rsidRPr="0031675F">
        <w:rPr>
          <w:spacing w:val="21"/>
        </w:rPr>
        <w:t xml:space="preserve"> </w:t>
      </w:r>
      <w:r w:rsidRPr="0031675F">
        <w:t>56:</w:t>
      </w:r>
      <w:r w:rsidRPr="0031675F">
        <w:rPr>
          <w:spacing w:val="22"/>
        </w:rPr>
        <w:t xml:space="preserve"> </w:t>
      </w:r>
      <w:r w:rsidRPr="0031675F">
        <w:rPr>
          <w:spacing w:val="1"/>
        </w:rPr>
        <w:t>1801-</w:t>
      </w:r>
      <w:r w:rsidRPr="0031675F">
        <w:rPr>
          <w:spacing w:val="63"/>
        </w:rPr>
        <w:t xml:space="preserve"> </w:t>
      </w:r>
      <w:r w:rsidRPr="0031675F">
        <w:rPr>
          <w:spacing w:val="-1"/>
        </w:rPr>
        <w:t>1808.</w:t>
      </w:r>
    </w:p>
    <w:p w14:paraId="58CD0E13" w14:textId="77777777" w:rsidR="0031675F" w:rsidRPr="0031675F" w:rsidRDefault="0031675F" w:rsidP="0031675F">
      <w:pPr>
        <w:spacing w:after="120"/>
        <w:ind w:right="113"/>
        <w:jc w:val="both"/>
        <w:rPr>
          <w:spacing w:val="-1"/>
        </w:rPr>
      </w:pPr>
      <w:r w:rsidRPr="0031675F">
        <w:rPr>
          <w:spacing w:val="-1"/>
        </w:rPr>
        <w:t>Solorzano,</w:t>
      </w:r>
      <w:r w:rsidRPr="0031675F">
        <w:rPr>
          <w:spacing w:val="15"/>
        </w:rPr>
        <w:t xml:space="preserve"> </w:t>
      </w:r>
      <w:r w:rsidRPr="0031675F">
        <w:t>L.</w:t>
      </w:r>
      <w:r w:rsidRPr="0031675F">
        <w:rPr>
          <w:spacing w:val="29"/>
        </w:rPr>
        <w:t xml:space="preserve"> </w:t>
      </w:r>
      <w:r w:rsidRPr="0031675F">
        <w:rPr>
          <w:spacing w:val="-1"/>
        </w:rPr>
        <w:t>1969.</w:t>
      </w:r>
      <w:r w:rsidRPr="0031675F">
        <w:rPr>
          <w:spacing w:val="15"/>
        </w:rPr>
        <w:t xml:space="preserve"> </w:t>
      </w:r>
      <w:r w:rsidRPr="0031675F">
        <w:rPr>
          <w:spacing w:val="-1"/>
        </w:rPr>
        <w:t>Determination</w:t>
      </w:r>
      <w:r w:rsidRPr="0031675F">
        <w:rPr>
          <w:spacing w:val="14"/>
        </w:rPr>
        <w:t xml:space="preserve"> </w:t>
      </w:r>
      <w:r w:rsidRPr="0031675F">
        <w:t>of</w:t>
      </w:r>
      <w:r w:rsidRPr="0031675F">
        <w:rPr>
          <w:spacing w:val="15"/>
        </w:rPr>
        <w:t xml:space="preserve"> </w:t>
      </w:r>
      <w:r w:rsidRPr="0031675F">
        <w:rPr>
          <w:spacing w:val="-1"/>
        </w:rPr>
        <w:t>ammonium</w:t>
      </w:r>
      <w:r w:rsidRPr="0031675F">
        <w:rPr>
          <w:spacing w:val="14"/>
        </w:rPr>
        <w:t xml:space="preserve"> </w:t>
      </w:r>
      <w:r w:rsidRPr="0031675F">
        <w:t>in</w:t>
      </w:r>
      <w:r w:rsidRPr="0031675F">
        <w:rPr>
          <w:spacing w:val="14"/>
        </w:rPr>
        <w:t xml:space="preserve"> </w:t>
      </w:r>
      <w:r w:rsidRPr="0031675F">
        <w:rPr>
          <w:spacing w:val="-1"/>
        </w:rPr>
        <w:t>natural</w:t>
      </w:r>
      <w:r w:rsidRPr="0031675F">
        <w:rPr>
          <w:spacing w:val="15"/>
        </w:rPr>
        <w:t xml:space="preserve"> </w:t>
      </w:r>
      <w:r w:rsidRPr="0031675F">
        <w:t>waters</w:t>
      </w:r>
      <w:r w:rsidRPr="0031675F">
        <w:rPr>
          <w:spacing w:val="15"/>
        </w:rPr>
        <w:t xml:space="preserve"> </w:t>
      </w:r>
      <w:r w:rsidRPr="0031675F">
        <w:rPr>
          <w:spacing w:val="-1"/>
        </w:rPr>
        <w:t>by</w:t>
      </w:r>
      <w:r w:rsidRPr="0031675F">
        <w:rPr>
          <w:spacing w:val="16"/>
        </w:rPr>
        <w:t xml:space="preserve"> </w:t>
      </w:r>
      <w:r w:rsidRPr="0031675F">
        <w:t>the</w:t>
      </w:r>
      <w:r w:rsidRPr="0031675F">
        <w:rPr>
          <w:spacing w:val="15"/>
        </w:rPr>
        <w:t xml:space="preserve"> </w:t>
      </w:r>
      <w:r w:rsidRPr="0031675F">
        <w:rPr>
          <w:spacing w:val="-1"/>
        </w:rPr>
        <w:t>phenolypochlorite</w:t>
      </w:r>
      <w:r w:rsidRPr="0031675F">
        <w:rPr>
          <w:spacing w:val="67"/>
        </w:rPr>
        <w:t xml:space="preserve"> </w:t>
      </w:r>
      <w:r w:rsidRPr="0031675F">
        <w:rPr>
          <w:spacing w:val="-1"/>
        </w:rPr>
        <w:t>method.</w:t>
      </w:r>
      <w:r w:rsidRPr="0031675F">
        <w:t xml:space="preserve"> </w:t>
      </w:r>
      <w:r w:rsidRPr="0031675F">
        <w:rPr>
          <w:spacing w:val="-1"/>
        </w:rPr>
        <w:t>Limnol. Oceanogr.</w:t>
      </w:r>
      <w:r w:rsidRPr="0031675F">
        <w:rPr>
          <w:spacing w:val="-3"/>
        </w:rPr>
        <w:t xml:space="preserve"> </w:t>
      </w:r>
      <w:r w:rsidRPr="0031675F">
        <w:rPr>
          <w:spacing w:val="-1"/>
        </w:rPr>
        <w:t>14:</w:t>
      </w:r>
      <w:r w:rsidRPr="0031675F">
        <w:rPr>
          <w:spacing w:val="-2"/>
        </w:rPr>
        <w:t xml:space="preserve"> </w:t>
      </w:r>
      <w:r w:rsidRPr="0031675F">
        <w:rPr>
          <w:spacing w:val="-1"/>
        </w:rPr>
        <w:t>799-801.</w:t>
      </w:r>
    </w:p>
    <w:p w14:paraId="4DA1E1FE" w14:textId="77777777" w:rsidR="0031675F" w:rsidRPr="0031675F" w:rsidRDefault="0031675F" w:rsidP="0031675F">
      <w:pPr>
        <w:rPr>
          <w:spacing w:val="-1"/>
        </w:rPr>
      </w:pPr>
      <w:r w:rsidRPr="0031675F">
        <w:rPr>
          <w:spacing w:val="-1"/>
        </w:rPr>
        <w:br w:type="page"/>
      </w:r>
    </w:p>
    <w:p w14:paraId="5667A71D" w14:textId="77777777" w:rsidR="0031675F" w:rsidRPr="0031675F" w:rsidRDefault="0031675F" w:rsidP="0031675F">
      <w:pPr>
        <w:spacing w:after="120"/>
        <w:ind w:right="113"/>
        <w:jc w:val="both"/>
        <w:rPr>
          <w:rFonts w:cs="Calibri"/>
          <w:sz w:val="20"/>
          <w:szCs w:val="20"/>
        </w:rPr>
      </w:pPr>
    </w:p>
    <w:p w14:paraId="6182D535" w14:textId="77777777" w:rsidR="0031675F" w:rsidRPr="0031675F" w:rsidRDefault="0031675F" w:rsidP="00842EF5">
      <w:pPr>
        <w:pStyle w:val="Heading4"/>
        <w:numPr>
          <w:ilvl w:val="0"/>
          <w:numId w:val="0"/>
        </w:numPr>
        <w:ind w:left="864" w:hanging="864"/>
      </w:pPr>
      <w:r w:rsidRPr="0031675F">
        <w:rPr>
          <w:highlight w:val="lightGray"/>
        </w:rPr>
        <w:t xml:space="preserve"> </w:t>
      </w:r>
      <w:bookmarkStart w:id="619" w:name="_Toc523830550"/>
      <w:bookmarkStart w:id="620" w:name="_Toc523905136"/>
      <w:bookmarkStart w:id="621" w:name="_Toc523905378"/>
      <w:bookmarkStart w:id="622" w:name="_Toc534968689"/>
      <w:r w:rsidRPr="0031675F">
        <w:rPr>
          <w:highlight w:val="lightGray"/>
        </w:rPr>
        <w:t>Section A4 Attachments</w:t>
      </w:r>
      <w:bookmarkEnd w:id="619"/>
      <w:bookmarkEnd w:id="620"/>
      <w:bookmarkEnd w:id="621"/>
      <w:bookmarkEnd w:id="622"/>
      <w:r w:rsidRPr="0031675F">
        <w:rPr>
          <w:highlight w:val="lightGray"/>
        </w:rPr>
        <w:t xml:space="preserve"> </w:t>
      </w:r>
    </w:p>
    <w:p w14:paraId="733A2BA4" w14:textId="77777777" w:rsidR="0031675F" w:rsidRPr="0031675F" w:rsidRDefault="0031675F" w:rsidP="0031675F">
      <w:pPr>
        <w:rPr>
          <w:rFonts w:eastAsia="Arial" w:cs="Arial"/>
          <w:b/>
          <w:sz w:val="24"/>
          <w:szCs w:val="24"/>
        </w:rPr>
      </w:pPr>
      <w:r w:rsidRPr="0031675F">
        <w:rPr>
          <w:b/>
          <w:sz w:val="24"/>
          <w:szCs w:val="24"/>
        </w:rPr>
        <w:t>Attachment 4.1</w:t>
      </w:r>
      <w:r w:rsidRPr="0031675F">
        <w:rPr>
          <w:b/>
          <w:sz w:val="24"/>
          <w:szCs w:val="24"/>
        </w:rPr>
        <w:tab/>
        <w:t>Using the Turner Design Trilogy Fluorometer</w:t>
      </w:r>
    </w:p>
    <w:p w14:paraId="09506861" w14:textId="77777777" w:rsidR="0031675F" w:rsidRPr="0031675F" w:rsidRDefault="0031675F" w:rsidP="0031675F">
      <w:pPr>
        <w:autoSpaceDE w:val="0"/>
        <w:autoSpaceDN w:val="0"/>
        <w:adjustRightInd w:val="0"/>
        <w:spacing w:before="100" w:after="100"/>
        <w:ind w:left="142"/>
        <w:rPr>
          <w:rFonts w:cs="Arial"/>
          <w:color w:val="000000"/>
        </w:rPr>
      </w:pPr>
      <w:r w:rsidRPr="0031675F">
        <w:rPr>
          <w:rFonts w:cs="Arial"/>
          <w:b/>
          <w:bCs/>
          <w:color w:val="000000"/>
        </w:rPr>
        <w:t xml:space="preserve">Setup </w:t>
      </w:r>
    </w:p>
    <w:p w14:paraId="6CC0F6DA" w14:textId="77777777" w:rsidR="0031675F" w:rsidRPr="0031675F" w:rsidRDefault="0031675F" w:rsidP="0031675F">
      <w:pPr>
        <w:widowControl w:val="0"/>
        <w:numPr>
          <w:ilvl w:val="0"/>
          <w:numId w:val="144"/>
        </w:numPr>
        <w:autoSpaceDE w:val="0"/>
        <w:autoSpaceDN w:val="0"/>
        <w:adjustRightInd w:val="0"/>
        <w:spacing w:before="0" w:after="0" w:line="240" w:lineRule="auto"/>
        <w:rPr>
          <w:rFonts w:cs="Arial"/>
          <w:color w:val="000000"/>
          <w:sz w:val="20"/>
          <w:szCs w:val="20"/>
        </w:rPr>
      </w:pPr>
      <w:r w:rsidRPr="0031675F">
        <w:rPr>
          <w:rFonts w:cs="Arial"/>
          <w:color w:val="000000"/>
          <w:sz w:val="20"/>
          <w:szCs w:val="20"/>
        </w:rPr>
        <w:t xml:space="preserve">Place the Trilogy Fluorometer on a flat, level surface. Allow at least 6 inches (16 cm) of clearance above the instrument to open and close the lid. Position the instrument so that the touch screen faces you . </w:t>
      </w:r>
    </w:p>
    <w:p w14:paraId="41CAEA14" w14:textId="77777777" w:rsidR="0031675F" w:rsidRPr="0031675F" w:rsidRDefault="0031675F" w:rsidP="0031675F">
      <w:pPr>
        <w:autoSpaceDE w:val="0"/>
        <w:autoSpaceDN w:val="0"/>
        <w:adjustRightInd w:val="0"/>
        <w:ind w:left="502"/>
        <w:contextualSpacing/>
        <w:rPr>
          <w:rFonts w:cs="Arial"/>
          <w:color w:val="000000"/>
          <w:sz w:val="20"/>
          <w:szCs w:val="20"/>
        </w:rPr>
      </w:pPr>
    </w:p>
    <w:p w14:paraId="2082D5DD" w14:textId="77777777" w:rsidR="0031675F" w:rsidRPr="0031675F" w:rsidRDefault="0031675F" w:rsidP="0031675F">
      <w:pPr>
        <w:widowControl w:val="0"/>
        <w:numPr>
          <w:ilvl w:val="0"/>
          <w:numId w:val="144"/>
        </w:numPr>
        <w:autoSpaceDE w:val="0"/>
        <w:autoSpaceDN w:val="0"/>
        <w:adjustRightInd w:val="0"/>
        <w:spacing w:before="0" w:after="0" w:line="240" w:lineRule="auto"/>
        <w:rPr>
          <w:rFonts w:cs="Arial"/>
          <w:color w:val="000000"/>
          <w:sz w:val="20"/>
          <w:szCs w:val="20"/>
        </w:rPr>
      </w:pPr>
      <w:r w:rsidRPr="0031675F">
        <w:rPr>
          <w:rFonts w:cs="Arial"/>
          <w:bCs/>
          <w:color w:val="000000"/>
          <w:sz w:val="20"/>
          <w:szCs w:val="20"/>
        </w:rPr>
        <w:t>C</w:t>
      </w:r>
      <w:r w:rsidRPr="0031675F">
        <w:rPr>
          <w:rFonts w:cs="Arial"/>
          <w:color w:val="000000"/>
          <w:sz w:val="20"/>
          <w:szCs w:val="20"/>
        </w:rPr>
        <w:t xml:space="preserve">onnect the power supply into the power connection of the instrument (see Figure 1), and plug it into a wall outlet. See Specifications for power requirements. </w:t>
      </w:r>
    </w:p>
    <w:p w14:paraId="56533588" w14:textId="77777777" w:rsidR="0031675F" w:rsidRPr="0031675F" w:rsidRDefault="0031675F" w:rsidP="0031675F">
      <w:pPr>
        <w:ind w:left="720"/>
        <w:contextualSpacing/>
        <w:rPr>
          <w:rFonts w:cs="Arial"/>
          <w:color w:val="000000"/>
          <w:sz w:val="20"/>
          <w:szCs w:val="20"/>
        </w:rPr>
      </w:pPr>
    </w:p>
    <w:p w14:paraId="51398FBA" w14:textId="77777777" w:rsidR="0031675F" w:rsidRPr="0031675F" w:rsidRDefault="0031675F" w:rsidP="0031675F">
      <w:pPr>
        <w:autoSpaceDE w:val="0"/>
        <w:autoSpaceDN w:val="0"/>
        <w:adjustRightInd w:val="0"/>
        <w:ind w:left="502"/>
        <w:contextualSpacing/>
        <w:rPr>
          <w:rFonts w:cs="Arial"/>
          <w:color w:val="000000"/>
          <w:sz w:val="20"/>
          <w:szCs w:val="20"/>
        </w:rPr>
      </w:pPr>
    </w:p>
    <w:p w14:paraId="284BACF0" w14:textId="77777777" w:rsidR="0031675F" w:rsidRPr="0031675F" w:rsidRDefault="0031675F" w:rsidP="0031675F">
      <w:pPr>
        <w:autoSpaceDE w:val="0"/>
        <w:autoSpaceDN w:val="0"/>
        <w:adjustRightInd w:val="0"/>
        <w:ind w:left="142"/>
        <w:jc w:val="center"/>
        <w:rPr>
          <w:rFonts w:cs="Arial"/>
          <w:b/>
          <w:bCs/>
          <w:color w:val="000000"/>
          <w:sz w:val="20"/>
          <w:szCs w:val="20"/>
        </w:rPr>
      </w:pPr>
      <w:r w:rsidRPr="0031675F">
        <w:rPr>
          <w:rFonts w:cs="Arial"/>
          <w:b/>
          <w:noProof/>
          <w:color w:val="000000"/>
          <w:sz w:val="20"/>
          <w:szCs w:val="20"/>
          <w:lang w:eastAsia="en-AU"/>
        </w:rPr>
        <w:drawing>
          <wp:inline distT="0" distB="0" distL="0" distR="0" wp14:anchorId="7E12EA85" wp14:editId="02F861FA">
            <wp:extent cx="2733675" cy="2105025"/>
            <wp:effectExtent l="0" t="0" r="9525" b="9525"/>
            <wp:docPr id="42" name="Picture 9280" descr="Featrues of the Turner Design Trilogy Fluorometer" title="Turner Design Trilogy Fluoro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0"/>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733675" cy="2105025"/>
                    </a:xfrm>
                    <a:prstGeom prst="rect">
                      <a:avLst/>
                    </a:prstGeom>
                    <a:noFill/>
                    <a:ln>
                      <a:noFill/>
                    </a:ln>
                  </pic:spPr>
                </pic:pic>
              </a:graphicData>
            </a:graphic>
          </wp:inline>
        </w:drawing>
      </w:r>
    </w:p>
    <w:p w14:paraId="7A3628E8" w14:textId="77777777" w:rsidR="0031675F" w:rsidRPr="0031675F" w:rsidRDefault="0031675F" w:rsidP="0031675F">
      <w:pPr>
        <w:autoSpaceDE w:val="0"/>
        <w:autoSpaceDN w:val="0"/>
        <w:adjustRightInd w:val="0"/>
        <w:ind w:left="142"/>
        <w:rPr>
          <w:rFonts w:cs="Arial"/>
          <w:b/>
          <w:bCs/>
          <w:color w:val="000000"/>
          <w:sz w:val="20"/>
          <w:szCs w:val="20"/>
        </w:rPr>
      </w:pPr>
    </w:p>
    <w:p w14:paraId="0ACC558E" w14:textId="77777777" w:rsidR="0031675F" w:rsidRPr="0031675F" w:rsidRDefault="0031675F" w:rsidP="0031675F">
      <w:pPr>
        <w:autoSpaceDE w:val="0"/>
        <w:autoSpaceDN w:val="0"/>
        <w:adjustRightInd w:val="0"/>
        <w:ind w:left="142"/>
        <w:jc w:val="center"/>
        <w:rPr>
          <w:rFonts w:cs="Arial"/>
          <w:color w:val="000000"/>
          <w:sz w:val="20"/>
          <w:szCs w:val="20"/>
        </w:rPr>
      </w:pPr>
      <w:r w:rsidRPr="0031675F">
        <w:rPr>
          <w:rFonts w:cs="Arial"/>
          <w:b/>
          <w:bCs/>
          <w:color w:val="000000"/>
          <w:sz w:val="20"/>
          <w:szCs w:val="20"/>
        </w:rPr>
        <w:t xml:space="preserve">Figure 1. </w:t>
      </w:r>
      <w:r w:rsidRPr="0031675F">
        <w:rPr>
          <w:rFonts w:cs="Arial"/>
          <w:bCs/>
          <w:color w:val="000000"/>
          <w:sz w:val="20"/>
          <w:szCs w:val="20"/>
        </w:rPr>
        <w:t>Rear view of Trilogy</w:t>
      </w:r>
    </w:p>
    <w:p w14:paraId="5BFAD312" w14:textId="77777777" w:rsidR="0031675F" w:rsidRPr="0031675F" w:rsidRDefault="0031675F" w:rsidP="0031675F">
      <w:pPr>
        <w:autoSpaceDE w:val="0"/>
        <w:autoSpaceDN w:val="0"/>
        <w:adjustRightInd w:val="0"/>
        <w:ind w:left="502"/>
        <w:contextualSpacing/>
        <w:rPr>
          <w:rFonts w:cs="Arial"/>
          <w:b/>
          <w:bCs/>
          <w:color w:val="000000"/>
          <w:sz w:val="20"/>
          <w:szCs w:val="20"/>
        </w:rPr>
      </w:pPr>
    </w:p>
    <w:p w14:paraId="40803301" w14:textId="77777777" w:rsidR="0031675F" w:rsidRPr="0031675F" w:rsidRDefault="0031675F" w:rsidP="0031675F">
      <w:pPr>
        <w:widowControl w:val="0"/>
        <w:numPr>
          <w:ilvl w:val="0"/>
          <w:numId w:val="144"/>
        </w:numPr>
        <w:autoSpaceDE w:val="0"/>
        <w:autoSpaceDN w:val="0"/>
        <w:adjustRightInd w:val="0"/>
        <w:spacing w:before="0" w:after="0" w:line="240" w:lineRule="auto"/>
        <w:rPr>
          <w:rFonts w:cs="Arial"/>
          <w:b/>
          <w:bCs/>
          <w:color w:val="000000"/>
          <w:sz w:val="20"/>
          <w:szCs w:val="20"/>
        </w:rPr>
      </w:pPr>
      <w:r w:rsidRPr="0031675F">
        <w:rPr>
          <w:rFonts w:cs="Arial"/>
          <w:color w:val="000000"/>
          <w:sz w:val="20"/>
          <w:szCs w:val="20"/>
        </w:rPr>
        <w:t xml:space="preserve">With the unit turned off, lift the lid and insert the </w:t>
      </w:r>
      <w:r w:rsidRPr="0031675F">
        <w:rPr>
          <w:rFonts w:cs="Arial"/>
          <w:color w:val="FF0000"/>
          <w:sz w:val="20"/>
          <w:szCs w:val="20"/>
        </w:rPr>
        <w:t xml:space="preserve">ammonium optical module kit </w:t>
      </w:r>
      <w:r w:rsidRPr="0031675F">
        <w:rPr>
          <w:rFonts w:cs="Arial"/>
          <w:color w:val="000000"/>
          <w:sz w:val="20"/>
          <w:szCs w:val="20"/>
        </w:rPr>
        <w:t xml:space="preserve">into position, (see Figure 2). Then press down on the module until you hear it snap into place. </w:t>
      </w:r>
      <w:r w:rsidRPr="0031675F">
        <w:rPr>
          <w:rFonts w:cs="Arial"/>
          <w:b/>
          <w:bCs/>
          <w:color w:val="000000"/>
          <w:sz w:val="20"/>
          <w:szCs w:val="20"/>
        </w:rPr>
        <w:t xml:space="preserve">Be sure to close the fluorometer lid so that the Trilogy power on step will complete successfully. </w:t>
      </w:r>
    </w:p>
    <w:p w14:paraId="1131828F" w14:textId="77777777" w:rsidR="0031675F" w:rsidRPr="0031675F" w:rsidRDefault="0031675F" w:rsidP="0031675F">
      <w:pPr>
        <w:autoSpaceDE w:val="0"/>
        <w:autoSpaceDN w:val="0"/>
        <w:adjustRightInd w:val="0"/>
        <w:ind w:left="502"/>
        <w:contextualSpacing/>
        <w:jc w:val="both"/>
        <w:rPr>
          <w:rFonts w:cs="Arial"/>
          <w:b/>
          <w:bCs/>
          <w:color w:val="000000"/>
          <w:sz w:val="20"/>
          <w:szCs w:val="20"/>
        </w:rPr>
      </w:pPr>
    </w:p>
    <w:p w14:paraId="336A6F95" w14:textId="77777777" w:rsidR="0031675F" w:rsidRPr="0031675F" w:rsidRDefault="0031675F" w:rsidP="0031675F">
      <w:pPr>
        <w:autoSpaceDE w:val="0"/>
        <w:autoSpaceDN w:val="0"/>
        <w:adjustRightInd w:val="0"/>
        <w:ind w:left="142"/>
        <w:jc w:val="center"/>
        <w:rPr>
          <w:rFonts w:cs="Arial"/>
          <w:b/>
          <w:bCs/>
          <w:color w:val="000000"/>
          <w:sz w:val="20"/>
          <w:szCs w:val="20"/>
        </w:rPr>
      </w:pPr>
      <w:r w:rsidRPr="0031675F">
        <w:rPr>
          <w:noProof/>
          <w:lang w:eastAsia="en-AU"/>
        </w:rPr>
        <w:drawing>
          <wp:inline distT="0" distB="0" distL="0" distR="0" wp14:anchorId="5FED93C1" wp14:editId="51ED77D5">
            <wp:extent cx="4257675" cy="3581400"/>
            <wp:effectExtent l="0" t="0" r="9525" b="0"/>
            <wp:docPr id="30" name="Picture 9281" descr="Optical Kit installation" title="Turner Design Trilogy Fluoro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1"/>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4257675" cy="3581400"/>
                    </a:xfrm>
                    <a:prstGeom prst="rect">
                      <a:avLst/>
                    </a:prstGeom>
                    <a:noFill/>
                    <a:ln>
                      <a:noFill/>
                    </a:ln>
                  </pic:spPr>
                </pic:pic>
              </a:graphicData>
            </a:graphic>
          </wp:inline>
        </w:drawing>
      </w:r>
    </w:p>
    <w:p w14:paraId="1547737C" w14:textId="77777777" w:rsidR="0031675F" w:rsidRPr="0031675F" w:rsidRDefault="0031675F" w:rsidP="0031675F">
      <w:pPr>
        <w:autoSpaceDE w:val="0"/>
        <w:autoSpaceDN w:val="0"/>
        <w:adjustRightInd w:val="0"/>
        <w:jc w:val="center"/>
        <w:rPr>
          <w:rFonts w:cs="Arial"/>
          <w:color w:val="000000"/>
          <w:sz w:val="20"/>
          <w:szCs w:val="20"/>
        </w:rPr>
      </w:pPr>
      <w:r w:rsidRPr="0031675F">
        <w:rPr>
          <w:rFonts w:cs="Arial"/>
          <w:b/>
          <w:bCs/>
          <w:color w:val="000000"/>
          <w:sz w:val="20"/>
          <w:szCs w:val="20"/>
        </w:rPr>
        <w:t xml:space="preserve">Figure 2 </w:t>
      </w:r>
      <w:r w:rsidRPr="0031675F">
        <w:rPr>
          <w:rFonts w:cs="Arial"/>
          <w:color w:val="000000"/>
          <w:sz w:val="20"/>
          <w:szCs w:val="20"/>
        </w:rPr>
        <w:t>showing Optical Kit installed in preparation for getting to the Home Screen.</w:t>
      </w:r>
    </w:p>
    <w:p w14:paraId="7126130B" w14:textId="77777777" w:rsidR="0031675F" w:rsidRPr="0031675F" w:rsidRDefault="0031675F" w:rsidP="0031675F">
      <w:pPr>
        <w:autoSpaceDE w:val="0"/>
        <w:autoSpaceDN w:val="0"/>
        <w:adjustRightInd w:val="0"/>
        <w:jc w:val="center"/>
        <w:rPr>
          <w:rFonts w:cs="Arial"/>
          <w:sz w:val="18"/>
          <w:szCs w:val="18"/>
        </w:rPr>
      </w:pPr>
      <w:r w:rsidRPr="0031675F">
        <w:rPr>
          <w:rFonts w:cs="Arial"/>
          <w:sz w:val="18"/>
          <w:szCs w:val="18"/>
        </w:rPr>
        <w:t>Trilogy Fluorometer User’s Manual P/N 998-7210 Page 6 of 38</w:t>
      </w:r>
    </w:p>
    <w:p w14:paraId="5CB57346" w14:textId="77777777" w:rsidR="0031675F" w:rsidRPr="0031675F" w:rsidRDefault="0031675F" w:rsidP="0031675F">
      <w:pPr>
        <w:autoSpaceDE w:val="0"/>
        <w:autoSpaceDN w:val="0"/>
        <w:adjustRightInd w:val="0"/>
        <w:ind w:left="360" w:hanging="360"/>
        <w:jc w:val="center"/>
        <w:rPr>
          <w:rFonts w:cs="Arial"/>
          <w:color w:val="000000"/>
          <w:sz w:val="20"/>
          <w:szCs w:val="20"/>
        </w:rPr>
      </w:pPr>
    </w:p>
    <w:p w14:paraId="38141C06" w14:textId="77777777" w:rsidR="0031675F" w:rsidRPr="0031675F" w:rsidRDefault="0031675F" w:rsidP="0031675F">
      <w:pPr>
        <w:autoSpaceDE w:val="0"/>
        <w:autoSpaceDN w:val="0"/>
        <w:adjustRightInd w:val="0"/>
        <w:ind w:left="360" w:hanging="360"/>
        <w:jc w:val="both"/>
        <w:rPr>
          <w:rFonts w:cs="Arial"/>
          <w:color w:val="000000"/>
          <w:sz w:val="20"/>
          <w:szCs w:val="20"/>
        </w:rPr>
      </w:pPr>
      <w:r w:rsidRPr="0031675F">
        <w:rPr>
          <w:rFonts w:cs="Arial"/>
          <w:color w:val="000000"/>
          <w:sz w:val="20"/>
          <w:szCs w:val="20"/>
        </w:rPr>
        <w:t>4. Turn on the On/Off switch located on the back of the Trilogy, (see Figure 1). Verify the display becomes active, and shows the module selection screen, (see Figure 3).</w:t>
      </w:r>
    </w:p>
    <w:p w14:paraId="7683D29D" w14:textId="77777777" w:rsidR="0031675F" w:rsidRPr="0031675F" w:rsidRDefault="0031675F" w:rsidP="0031675F">
      <w:pPr>
        <w:autoSpaceDE w:val="0"/>
        <w:autoSpaceDN w:val="0"/>
        <w:adjustRightInd w:val="0"/>
        <w:jc w:val="both"/>
        <w:rPr>
          <w:rFonts w:cs="Arial"/>
          <w:b/>
          <w:bCs/>
          <w:color w:val="000000"/>
          <w:sz w:val="20"/>
          <w:szCs w:val="20"/>
        </w:rPr>
      </w:pPr>
    </w:p>
    <w:p w14:paraId="3A33D955" w14:textId="77777777" w:rsidR="0031675F" w:rsidRPr="0031675F" w:rsidRDefault="0031675F" w:rsidP="0031675F">
      <w:pPr>
        <w:autoSpaceDE w:val="0"/>
        <w:autoSpaceDN w:val="0"/>
        <w:adjustRightInd w:val="0"/>
        <w:jc w:val="center"/>
        <w:rPr>
          <w:rFonts w:cs="Arial"/>
          <w:sz w:val="18"/>
          <w:szCs w:val="18"/>
        </w:rPr>
      </w:pPr>
      <w:r w:rsidRPr="0031675F">
        <w:rPr>
          <w:noProof/>
          <w:sz w:val="20"/>
          <w:szCs w:val="20"/>
          <w:lang w:eastAsia="en-AU"/>
        </w:rPr>
        <w:drawing>
          <wp:inline distT="0" distB="0" distL="0" distR="0" wp14:anchorId="155FC821" wp14:editId="475469DB">
            <wp:extent cx="1914525" cy="1438275"/>
            <wp:effectExtent l="0" t="0" r="9525" b="9525"/>
            <wp:docPr id="31" name="Picture 9282" descr="Module Selection Screen" title="Turner Design Trilogy Fluoro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2"/>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1914525" cy="1438275"/>
                    </a:xfrm>
                    <a:prstGeom prst="rect">
                      <a:avLst/>
                    </a:prstGeom>
                    <a:noFill/>
                    <a:ln>
                      <a:noFill/>
                    </a:ln>
                  </pic:spPr>
                </pic:pic>
              </a:graphicData>
            </a:graphic>
          </wp:inline>
        </w:drawing>
      </w:r>
    </w:p>
    <w:p w14:paraId="722554F0" w14:textId="77777777" w:rsidR="0031675F" w:rsidRPr="0031675F" w:rsidRDefault="0031675F" w:rsidP="0031675F">
      <w:pPr>
        <w:tabs>
          <w:tab w:val="center" w:pos="4655"/>
        </w:tabs>
        <w:autoSpaceDE w:val="0"/>
        <w:autoSpaceDN w:val="0"/>
        <w:adjustRightInd w:val="0"/>
        <w:jc w:val="center"/>
        <w:rPr>
          <w:rFonts w:cs="Arial"/>
          <w:sz w:val="20"/>
          <w:szCs w:val="20"/>
        </w:rPr>
      </w:pPr>
      <w:r w:rsidRPr="0031675F">
        <w:rPr>
          <w:rFonts w:cs="Arial"/>
          <w:b/>
          <w:bCs/>
          <w:sz w:val="20"/>
          <w:szCs w:val="20"/>
        </w:rPr>
        <w:t xml:space="preserve">Figure 3 </w:t>
      </w:r>
      <w:r w:rsidRPr="0031675F">
        <w:rPr>
          <w:rFonts w:cs="Arial"/>
          <w:sz w:val="20"/>
          <w:szCs w:val="20"/>
        </w:rPr>
        <w:t>Module Selection Screen</w:t>
      </w:r>
    </w:p>
    <w:p w14:paraId="1D386AD5" w14:textId="77777777" w:rsidR="0031675F" w:rsidRPr="0031675F" w:rsidRDefault="0031675F" w:rsidP="0031675F">
      <w:pPr>
        <w:autoSpaceDE w:val="0"/>
        <w:autoSpaceDN w:val="0"/>
        <w:adjustRightInd w:val="0"/>
        <w:ind w:left="360" w:hanging="360"/>
        <w:rPr>
          <w:rFonts w:cs="Arial"/>
          <w:sz w:val="20"/>
          <w:szCs w:val="20"/>
        </w:rPr>
      </w:pPr>
    </w:p>
    <w:p w14:paraId="186739BC" w14:textId="77777777" w:rsidR="0031675F" w:rsidRPr="0031675F" w:rsidRDefault="0031675F" w:rsidP="0031675F">
      <w:pPr>
        <w:autoSpaceDE w:val="0"/>
        <w:autoSpaceDN w:val="0"/>
        <w:adjustRightInd w:val="0"/>
        <w:ind w:left="360" w:hanging="360"/>
        <w:rPr>
          <w:rFonts w:cs="Arial"/>
          <w:sz w:val="20"/>
          <w:szCs w:val="20"/>
        </w:rPr>
      </w:pPr>
      <w:r w:rsidRPr="0031675F">
        <w:rPr>
          <w:rFonts w:cs="Arial"/>
          <w:sz w:val="20"/>
          <w:szCs w:val="20"/>
        </w:rPr>
        <w:t xml:space="preserve">4. Select the </w:t>
      </w:r>
      <w:r w:rsidRPr="0031675F">
        <w:rPr>
          <w:rFonts w:cs="Arial"/>
          <w:color w:val="FF0000"/>
          <w:sz w:val="20"/>
          <w:szCs w:val="20"/>
        </w:rPr>
        <w:t xml:space="preserve">UV module </w:t>
      </w:r>
      <w:r w:rsidRPr="0031675F">
        <w:rPr>
          <w:rFonts w:cs="Arial"/>
          <w:sz w:val="20"/>
          <w:szCs w:val="20"/>
        </w:rPr>
        <w:t xml:space="preserve">inserted, and touch </w:t>
      </w:r>
      <w:r w:rsidRPr="0031675F">
        <w:rPr>
          <w:rFonts w:cs="Arial"/>
          <w:b/>
          <w:bCs/>
          <w:sz w:val="20"/>
          <w:szCs w:val="20"/>
        </w:rPr>
        <w:t xml:space="preserve">“OK” </w:t>
      </w:r>
      <w:r w:rsidRPr="0031675F">
        <w:rPr>
          <w:rFonts w:cs="Arial"/>
          <w:sz w:val="20"/>
          <w:szCs w:val="20"/>
        </w:rPr>
        <w:t xml:space="preserve">on the confirming screen. </w:t>
      </w:r>
    </w:p>
    <w:p w14:paraId="4B1E984B" w14:textId="77777777" w:rsidR="0031675F" w:rsidRPr="0031675F" w:rsidRDefault="0031675F" w:rsidP="0031675F">
      <w:pPr>
        <w:autoSpaceDE w:val="0"/>
        <w:autoSpaceDN w:val="0"/>
        <w:adjustRightInd w:val="0"/>
        <w:ind w:left="360" w:hanging="360"/>
        <w:rPr>
          <w:rFonts w:cs="Arial"/>
          <w:sz w:val="20"/>
          <w:szCs w:val="20"/>
        </w:rPr>
      </w:pPr>
      <w:r w:rsidRPr="0031675F">
        <w:rPr>
          <w:rFonts w:cs="Arial"/>
          <w:sz w:val="20"/>
          <w:szCs w:val="20"/>
        </w:rPr>
        <w:t xml:space="preserve">5. When the Home Screen is displayed (Fig. 4), you are now ready to use Trilogy in its Raw Mode (measurements are relative) or calibrate the Trilogy and the snapped-in Optical Application Module to make quantitative measurements. </w:t>
      </w:r>
    </w:p>
    <w:p w14:paraId="6FC55B85" w14:textId="77777777" w:rsidR="0031675F" w:rsidRPr="0031675F" w:rsidRDefault="0031675F" w:rsidP="0031675F">
      <w:pPr>
        <w:autoSpaceDE w:val="0"/>
        <w:autoSpaceDN w:val="0"/>
        <w:adjustRightInd w:val="0"/>
        <w:rPr>
          <w:rFonts w:cs="Arial"/>
          <w:sz w:val="20"/>
          <w:szCs w:val="20"/>
        </w:rPr>
      </w:pPr>
    </w:p>
    <w:p w14:paraId="0154FB33" w14:textId="77777777" w:rsidR="0031675F" w:rsidRPr="0031675F" w:rsidRDefault="0031675F" w:rsidP="0031675F">
      <w:pPr>
        <w:kinsoku w:val="0"/>
        <w:overflowPunct w:val="0"/>
        <w:spacing w:before="11"/>
        <w:ind w:left="720"/>
        <w:contextualSpacing/>
        <w:rPr>
          <w:sz w:val="4"/>
          <w:szCs w:val="4"/>
        </w:rPr>
      </w:pPr>
    </w:p>
    <w:p w14:paraId="34358D00" w14:textId="77777777" w:rsidR="0031675F" w:rsidRPr="0031675F" w:rsidRDefault="0031675F" w:rsidP="0031675F">
      <w:pPr>
        <w:kinsoku w:val="0"/>
        <w:overflowPunct w:val="0"/>
        <w:spacing w:line="200" w:lineRule="atLeast"/>
        <w:ind w:left="100"/>
        <w:contextualSpacing/>
        <w:jc w:val="center"/>
        <w:rPr>
          <w:sz w:val="20"/>
          <w:szCs w:val="20"/>
        </w:rPr>
      </w:pPr>
      <w:r w:rsidRPr="0031675F">
        <w:rPr>
          <w:noProof/>
          <w:sz w:val="20"/>
          <w:szCs w:val="20"/>
          <w:lang w:eastAsia="en-AU"/>
        </w:rPr>
        <w:drawing>
          <wp:inline distT="0" distB="0" distL="0" distR="0" wp14:anchorId="45C20153" wp14:editId="3359E3F6">
            <wp:extent cx="5334000" cy="3657600"/>
            <wp:effectExtent l="0" t="0" r="0" b="0"/>
            <wp:docPr id="32" name="Picture 9283" descr="Home Screen Display" title="Turner Design Trilogy Fluoro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3"/>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334000" cy="3657600"/>
                    </a:xfrm>
                    <a:prstGeom prst="rect">
                      <a:avLst/>
                    </a:prstGeom>
                    <a:noFill/>
                    <a:ln>
                      <a:noFill/>
                    </a:ln>
                  </pic:spPr>
                </pic:pic>
              </a:graphicData>
            </a:graphic>
          </wp:inline>
        </w:drawing>
      </w:r>
    </w:p>
    <w:p w14:paraId="056EF8B2" w14:textId="77777777" w:rsidR="0031675F" w:rsidRPr="0031675F" w:rsidRDefault="0031675F" w:rsidP="0031675F">
      <w:pPr>
        <w:autoSpaceDE w:val="0"/>
        <w:autoSpaceDN w:val="0"/>
        <w:adjustRightInd w:val="0"/>
        <w:jc w:val="center"/>
        <w:rPr>
          <w:rFonts w:cs="Arial"/>
          <w:sz w:val="20"/>
          <w:szCs w:val="20"/>
        </w:rPr>
      </w:pPr>
      <w:r w:rsidRPr="0031675F">
        <w:rPr>
          <w:rFonts w:cs="Arial"/>
          <w:b/>
          <w:bCs/>
          <w:sz w:val="20"/>
          <w:szCs w:val="20"/>
        </w:rPr>
        <w:t xml:space="preserve">Figure 4: </w:t>
      </w:r>
      <w:r w:rsidRPr="0031675F">
        <w:rPr>
          <w:rFonts w:cs="Arial"/>
          <w:sz w:val="20"/>
          <w:szCs w:val="20"/>
        </w:rPr>
        <w:t>Trilogy Home Screen Display for Fluorescence Module Configuration.</w:t>
      </w:r>
    </w:p>
    <w:p w14:paraId="0D476C6B" w14:textId="77777777" w:rsidR="0031675F" w:rsidRPr="0031675F" w:rsidRDefault="0031675F" w:rsidP="0031675F">
      <w:pPr>
        <w:autoSpaceDE w:val="0"/>
        <w:autoSpaceDN w:val="0"/>
        <w:adjustRightInd w:val="0"/>
        <w:spacing w:before="100" w:after="100"/>
        <w:rPr>
          <w:rFonts w:cs="Arial"/>
          <w:b/>
          <w:bCs/>
        </w:rPr>
      </w:pPr>
    </w:p>
    <w:p w14:paraId="0816F2FE" w14:textId="77777777" w:rsidR="0031675F" w:rsidRPr="0031675F" w:rsidRDefault="0031675F" w:rsidP="0031675F">
      <w:pPr>
        <w:autoSpaceDE w:val="0"/>
        <w:autoSpaceDN w:val="0"/>
        <w:adjustRightInd w:val="0"/>
        <w:spacing w:before="100" w:after="100"/>
        <w:rPr>
          <w:rFonts w:cs="Arial"/>
          <w:b/>
          <w:bCs/>
        </w:rPr>
      </w:pPr>
    </w:p>
    <w:p w14:paraId="7374B93F" w14:textId="77777777" w:rsidR="0031675F" w:rsidRPr="0031675F" w:rsidRDefault="0031675F" w:rsidP="0031675F">
      <w:pPr>
        <w:autoSpaceDE w:val="0"/>
        <w:autoSpaceDN w:val="0"/>
        <w:adjustRightInd w:val="0"/>
        <w:spacing w:before="100" w:after="100"/>
        <w:rPr>
          <w:rFonts w:cs="Arial"/>
        </w:rPr>
      </w:pPr>
      <w:r w:rsidRPr="0031675F">
        <w:rPr>
          <w:rFonts w:cs="Arial"/>
          <w:b/>
          <w:bCs/>
        </w:rPr>
        <w:t xml:space="preserve">Precautions </w:t>
      </w:r>
    </w:p>
    <w:p w14:paraId="5FF3AC92" w14:textId="77777777" w:rsidR="0031675F" w:rsidRPr="0031675F" w:rsidRDefault="0031675F" w:rsidP="0031675F">
      <w:pPr>
        <w:autoSpaceDE w:val="0"/>
        <w:autoSpaceDN w:val="0"/>
        <w:adjustRightInd w:val="0"/>
        <w:rPr>
          <w:rFonts w:cs="Arial"/>
          <w:sz w:val="20"/>
          <w:szCs w:val="20"/>
        </w:rPr>
      </w:pPr>
      <w:r w:rsidRPr="0031675F">
        <w:rPr>
          <w:rFonts w:cs="Arial"/>
          <w:sz w:val="20"/>
          <w:szCs w:val="20"/>
        </w:rPr>
        <w:t xml:space="preserve">The Trilogy is intended for indoor use only. Wipe up spills immediately. The Trilogy contains sensitive optical components and precision-aligned mechanical assemblies. Avoid rough handling. Do not leave the lid open for extended periods of time. Turn OFF the Trilogy to change or install Optical Application Modules. </w:t>
      </w:r>
    </w:p>
    <w:p w14:paraId="223036E1" w14:textId="77777777" w:rsidR="0031675F" w:rsidRPr="0031675F" w:rsidRDefault="0031675F" w:rsidP="0031675F">
      <w:pPr>
        <w:autoSpaceDE w:val="0"/>
        <w:autoSpaceDN w:val="0"/>
        <w:adjustRightInd w:val="0"/>
        <w:rPr>
          <w:rFonts w:cs="Arial"/>
          <w:sz w:val="20"/>
          <w:szCs w:val="20"/>
        </w:rPr>
      </w:pPr>
      <w:r w:rsidRPr="0031675F">
        <w:rPr>
          <w:rFonts w:cs="Arial"/>
          <w:sz w:val="20"/>
          <w:szCs w:val="20"/>
        </w:rPr>
        <w:t xml:space="preserve">Note: After 20 minutes without activity or user stimulation, the Touch Screen hibernates. Lightly touch the screen to activate. </w:t>
      </w:r>
    </w:p>
    <w:p w14:paraId="1D12C089" w14:textId="77777777" w:rsidR="0031675F" w:rsidRPr="0031675F" w:rsidRDefault="0031675F" w:rsidP="0031675F">
      <w:pPr>
        <w:autoSpaceDE w:val="0"/>
        <w:autoSpaceDN w:val="0"/>
        <w:adjustRightInd w:val="0"/>
        <w:rPr>
          <w:rFonts w:cs="Arial"/>
        </w:rPr>
      </w:pPr>
    </w:p>
    <w:p w14:paraId="737115FE" w14:textId="77777777" w:rsidR="0031675F" w:rsidRPr="0031675F" w:rsidRDefault="0031675F" w:rsidP="0031675F">
      <w:pPr>
        <w:autoSpaceDE w:val="0"/>
        <w:autoSpaceDN w:val="0"/>
        <w:adjustRightInd w:val="0"/>
        <w:rPr>
          <w:rFonts w:cs="Arial"/>
          <w:b/>
          <w:bCs/>
          <w:sz w:val="23"/>
          <w:szCs w:val="23"/>
        </w:rPr>
      </w:pPr>
      <w:r w:rsidRPr="0031675F">
        <w:rPr>
          <w:rFonts w:cs="Arial"/>
          <w:b/>
          <w:bCs/>
          <w:sz w:val="23"/>
          <w:szCs w:val="23"/>
        </w:rPr>
        <w:t xml:space="preserve">Touch screen Basics (Fluorescence) </w:t>
      </w:r>
    </w:p>
    <w:p w14:paraId="5A39FF61" w14:textId="77777777" w:rsidR="0031675F" w:rsidRPr="0031675F" w:rsidRDefault="0031675F" w:rsidP="0031675F">
      <w:pPr>
        <w:autoSpaceDE w:val="0"/>
        <w:autoSpaceDN w:val="0"/>
        <w:adjustRightInd w:val="0"/>
        <w:rPr>
          <w:rFonts w:cs="Arial"/>
          <w:sz w:val="20"/>
          <w:szCs w:val="20"/>
        </w:rPr>
      </w:pPr>
      <w:r w:rsidRPr="0031675F">
        <w:rPr>
          <w:rFonts w:cs="Arial"/>
          <w:i/>
          <w:iCs/>
          <w:sz w:val="23"/>
          <w:szCs w:val="23"/>
        </w:rPr>
        <w:t xml:space="preserve">Home Screen </w:t>
      </w:r>
      <w:r w:rsidRPr="0031675F">
        <w:rPr>
          <w:rFonts w:cs="Arial"/>
          <w:sz w:val="20"/>
          <w:szCs w:val="20"/>
        </w:rPr>
        <w:t xml:space="preserve">The "Home" screen appears after confirmation of the Optical Application Module. The "Home" screen provides orientation for the multiple functions of the Trilogy. From the "Home" screen, select "Calibrate," "Tools," "Mode," or "Help." The "Home" screen is also the measurement screen. (See over for Figure 6 showing Home Screen with callouts). </w:t>
      </w:r>
    </w:p>
    <w:p w14:paraId="7E071416" w14:textId="77777777" w:rsidR="0031675F" w:rsidRPr="0031675F" w:rsidRDefault="0031675F" w:rsidP="0031675F">
      <w:pPr>
        <w:autoSpaceDE w:val="0"/>
        <w:autoSpaceDN w:val="0"/>
        <w:adjustRightInd w:val="0"/>
        <w:rPr>
          <w:rFonts w:cs="Arial"/>
          <w:b/>
          <w:bCs/>
          <w:sz w:val="20"/>
          <w:szCs w:val="20"/>
        </w:rPr>
      </w:pPr>
      <w:r w:rsidRPr="0031675F">
        <w:rPr>
          <w:rFonts w:cs="Arial"/>
          <w:sz w:val="18"/>
          <w:szCs w:val="18"/>
        </w:rPr>
        <w:t>Trilogy Fluorometer User’s Manual P/N 998-7210 Page 8 of 38</w:t>
      </w:r>
      <w:r w:rsidRPr="0031675F">
        <w:rPr>
          <w:noProof/>
          <w:lang w:eastAsia="en-AU"/>
        </w:rPr>
        <w:drawing>
          <wp:inline distT="0" distB="0" distL="0" distR="0" wp14:anchorId="744244B1" wp14:editId="455EB833">
            <wp:extent cx="3990975" cy="2743200"/>
            <wp:effectExtent l="0" t="0" r="9525" b="0"/>
            <wp:docPr id="33" name="Picture 9285" descr="Home Screen display" title="Turner Design Trilogy Fluoro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5"/>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990975" cy="2743200"/>
                    </a:xfrm>
                    <a:prstGeom prst="rect">
                      <a:avLst/>
                    </a:prstGeom>
                    <a:noFill/>
                    <a:ln>
                      <a:noFill/>
                    </a:ln>
                  </pic:spPr>
                </pic:pic>
              </a:graphicData>
            </a:graphic>
          </wp:inline>
        </w:drawing>
      </w:r>
      <w:r w:rsidRPr="0031675F">
        <w:rPr>
          <w:rFonts w:cs="Arial"/>
          <w:b/>
          <w:bCs/>
          <w:sz w:val="20"/>
          <w:szCs w:val="20"/>
        </w:rPr>
        <w:t xml:space="preserve"> </w:t>
      </w:r>
    </w:p>
    <w:p w14:paraId="709A86C0" w14:textId="77777777" w:rsidR="0031675F" w:rsidRPr="0031675F" w:rsidRDefault="0031675F" w:rsidP="0031675F">
      <w:pPr>
        <w:autoSpaceDE w:val="0"/>
        <w:autoSpaceDN w:val="0"/>
        <w:adjustRightInd w:val="0"/>
        <w:rPr>
          <w:rFonts w:cs="Arial"/>
          <w:sz w:val="20"/>
          <w:szCs w:val="20"/>
        </w:rPr>
      </w:pPr>
      <w:r w:rsidRPr="0031675F">
        <w:rPr>
          <w:rFonts w:cs="Arial"/>
          <w:b/>
          <w:bCs/>
          <w:sz w:val="20"/>
          <w:szCs w:val="20"/>
        </w:rPr>
        <w:t xml:space="preserve">Figure 6 – </w:t>
      </w:r>
      <w:r w:rsidRPr="0031675F">
        <w:rPr>
          <w:rFonts w:cs="Arial"/>
          <w:sz w:val="20"/>
          <w:szCs w:val="20"/>
        </w:rPr>
        <w:t xml:space="preserve">Trilogy Home Screen for Fluorescence Module Configuration. </w:t>
      </w:r>
    </w:p>
    <w:p w14:paraId="73307034" w14:textId="77777777" w:rsidR="0031675F" w:rsidRPr="0031675F" w:rsidRDefault="0031675F" w:rsidP="0031675F">
      <w:pPr>
        <w:kinsoku w:val="0"/>
        <w:overflowPunct w:val="0"/>
        <w:spacing w:line="200" w:lineRule="atLeast"/>
        <w:rPr>
          <w:sz w:val="20"/>
          <w:szCs w:val="20"/>
        </w:rPr>
      </w:pPr>
    </w:p>
    <w:p w14:paraId="244D6FDB" w14:textId="77777777" w:rsidR="0031675F" w:rsidRPr="0031675F" w:rsidRDefault="0031675F" w:rsidP="0031675F">
      <w:pPr>
        <w:autoSpaceDE w:val="0"/>
        <w:autoSpaceDN w:val="0"/>
        <w:adjustRightInd w:val="0"/>
        <w:rPr>
          <w:rFonts w:cs="Arial"/>
          <w:sz w:val="23"/>
          <w:szCs w:val="23"/>
        </w:rPr>
      </w:pPr>
      <w:r w:rsidRPr="0031675F">
        <w:rPr>
          <w:rFonts w:cs="Arial"/>
          <w:b/>
          <w:bCs/>
          <w:sz w:val="23"/>
          <w:szCs w:val="23"/>
        </w:rPr>
        <w:t xml:space="preserve">Calibration </w:t>
      </w:r>
    </w:p>
    <w:p w14:paraId="49C8ECDD" w14:textId="77777777" w:rsidR="0031675F" w:rsidRPr="0031675F" w:rsidRDefault="0031675F" w:rsidP="0031675F">
      <w:pPr>
        <w:autoSpaceDE w:val="0"/>
        <w:autoSpaceDN w:val="0"/>
        <w:adjustRightInd w:val="0"/>
        <w:rPr>
          <w:rFonts w:cs="Arial"/>
          <w:sz w:val="20"/>
          <w:szCs w:val="20"/>
        </w:rPr>
      </w:pPr>
      <w:r w:rsidRPr="0031675F">
        <w:rPr>
          <w:rFonts w:cs="Arial"/>
          <w:sz w:val="20"/>
          <w:szCs w:val="20"/>
        </w:rPr>
        <w:t xml:space="preserve">Refer to method. </w:t>
      </w:r>
    </w:p>
    <w:p w14:paraId="3C33BEFD" w14:textId="77777777" w:rsidR="0031675F" w:rsidRPr="0031675F" w:rsidRDefault="0031675F" w:rsidP="0031675F">
      <w:pPr>
        <w:autoSpaceDE w:val="0"/>
        <w:autoSpaceDN w:val="0"/>
        <w:adjustRightInd w:val="0"/>
        <w:spacing w:before="100" w:after="100"/>
        <w:rPr>
          <w:rFonts w:cs="Arial"/>
          <w:sz w:val="23"/>
          <w:szCs w:val="23"/>
        </w:rPr>
      </w:pPr>
      <w:r w:rsidRPr="0031675F">
        <w:rPr>
          <w:rFonts w:cs="Arial"/>
          <w:b/>
          <w:bCs/>
          <w:sz w:val="23"/>
          <w:szCs w:val="23"/>
        </w:rPr>
        <w:t xml:space="preserve">Measuring Samples </w:t>
      </w:r>
    </w:p>
    <w:p w14:paraId="2832CE8C" w14:textId="77777777" w:rsidR="0031675F" w:rsidRPr="0031675F" w:rsidRDefault="0031675F" w:rsidP="0031675F">
      <w:pPr>
        <w:autoSpaceDE w:val="0"/>
        <w:autoSpaceDN w:val="0"/>
        <w:adjustRightInd w:val="0"/>
        <w:rPr>
          <w:rFonts w:cs="Arial"/>
          <w:sz w:val="20"/>
          <w:szCs w:val="20"/>
        </w:rPr>
      </w:pPr>
      <w:r w:rsidRPr="0031675F">
        <w:rPr>
          <w:rFonts w:cs="Arial"/>
          <w:sz w:val="20"/>
          <w:szCs w:val="20"/>
        </w:rPr>
        <w:t xml:space="preserve">There are two measurement modes available on the Trilogy when using the Fluorescence Module: </w:t>
      </w:r>
    </w:p>
    <w:p w14:paraId="402A9425" w14:textId="77777777" w:rsidR="0031675F" w:rsidRPr="0031675F" w:rsidRDefault="0031675F" w:rsidP="0031675F">
      <w:pPr>
        <w:autoSpaceDE w:val="0"/>
        <w:autoSpaceDN w:val="0"/>
        <w:adjustRightInd w:val="0"/>
        <w:ind w:firstLine="720"/>
        <w:rPr>
          <w:rFonts w:cs="Arial"/>
          <w:sz w:val="20"/>
          <w:szCs w:val="20"/>
        </w:rPr>
      </w:pPr>
      <w:r w:rsidRPr="0031675F">
        <w:rPr>
          <w:rFonts w:cs="Arial"/>
          <w:sz w:val="20"/>
          <w:szCs w:val="20"/>
        </w:rPr>
        <w:t xml:space="preserve">Raw Fluorescence Mode – No calibration required, </w:t>
      </w:r>
      <w:r w:rsidRPr="0031675F">
        <w:rPr>
          <w:rFonts w:cs="Arial"/>
          <w:color w:val="FF0000"/>
          <w:sz w:val="20"/>
          <w:szCs w:val="20"/>
        </w:rPr>
        <w:t>choose this option</w:t>
      </w:r>
    </w:p>
    <w:p w14:paraId="3C822DA0" w14:textId="77777777" w:rsidR="0031675F" w:rsidRPr="0031675F" w:rsidRDefault="0031675F" w:rsidP="0031675F">
      <w:pPr>
        <w:autoSpaceDE w:val="0"/>
        <w:autoSpaceDN w:val="0"/>
        <w:adjustRightInd w:val="0"/>
        <w:ind w:firstLine="720"/>
        <w:rPr>
          <w:rFonts w:cs="Arial"/>
          <w:sz w:val="20"/>
          <w:szCs w:val="20"/>
        </w:rPr>
      </w:pPr>
      <w:r w:rsidRPr="0031675F">
        <w:rPr>
          <w:rFonts w:cs="Arial"/>
          <w:sz w:val="20"/>
          <w:szCs w:val="20"/>
        </w:rPr>
        <w:t xml:space="preserve">Direct Concentration Mode – Calibration required (see Section V) </w:t>
      </w:r>
    </w:p>
    <w:p w14:paraId="691D3953" w14:textId="77777777" w:rsidR="0031675F" w:rsidRPr="0031675F" w:rsidRDefault="0031675F" w:rsidP="0031675F">
      <w:pPr>
        <w:autoSpaceDE w:val="0"/>
        <w:autoSpaceDN w:val="0"/>
        <w:adjustRightInd w:val="0"/>
        <w:rPr>
          <w:rFonts w:cs="Arial"/>
          <w:sz w:val="20"/>
          <w:szCs w:val="20"/>
        </w:rPr>
      </w:pPr>
      <w:r w:rsidRPr="0031675F">
        <w:rPr>
          <w:rFonts w:cs="Arial"/>
          <w:sz w:val="20"/>
          <w:szCs w:val="20"/>
        </w:rPr>
        <w:t>Touch “</w:t>
      </w:r>
      <w:r w:rsidRPr="0031675F">
        <w:rPr>
          <w:rFonts w:cs="Arial"/>
          <w:b/>
          <w:bCs/>
          <w:sz w:val="20"/>
          <w:szCs w:val="20"/>
        </w:rPr>
        <w:t>Mode</w:t>
      </w:r>
      <w:r w:rsidRPr="0031675F">
        <w:rPr>
          <w:rFonts w:cs="Arial"/>
          <w:sz w:val="20"/>
          <w:szCs w:val="20"/>
        </w:rPr>
        <w:t xml:space="preserve">” on the Home Screen to select the measurement mode. </w:t>
      </w:r>
    </w:p>
    <w:p w14:paraId="212D1C11" w14:textId="77777777" w:rsidR="0031675F" w:rsidRPr="0031675F" w:rsidRDefault="0031675F" w:rsidP="0031675F">
      <w:pPr>
        <w:autoSpaceDE w:val="0"/>
        <w:autoSpaceDN w:val="0"/>
        <w:adjustRightInd w:val="0"/>
        <w:rPr>
          <w:rFonts w:cs="Arial"/>
          <w:sz w:val="20"/>
          <w:szCs w:val="20"/>
        </w:rPr>
      </w:pPr>
      <w:r w:rsidRPr="0031675F">
        <w:rPr>
          <w:rFonts w:cs="Arial"/>
          <w:b/>
          <w:bCs/>
          <w:sz w:val="20"/>
          <w:szCs w:val="20"/>
        </w:rPr>
        <w:t>1. Raw Fluorescence Mode</w:t>
      </w:r>
      <w:r w:rsidRPr="0031675F">
        <w:rPr>
          <w:rFonts w:cs="Arial"/>
          <w:sz w:val="20"/>
          <w:szCs w:val="20"/>
        </w:rPr>
        <w:t xml:space="preserve">: The Raw Fluorescence Mode should be used for qualitative measurement, relative changes in fluorescence rather than absolute concentration values. Readings are displayed in Relative Fluorescence Units (RFU). </w:t>
      </w:r>
    </w:p>
    <w:p w14:paraId="5A9A75C4" w14:textId="77777777" w:rsidR="0031675F" w:rsidRPr="0031675F" w:rsidRDefault="0031675F" w:rsidP="0031675F">
      <w:pPr>
        <w:autoSpaceDE w:val="0"/>
        <w:autoSpaceDN w:val="0"/>
        <w:adjustRightInd w:val="0"/>
        <w:rPr>
          <w:rFonts w:cs="Arial"/>
          <w:sz w:val="20"/>
          <w:szCs w:val="20"/>
        </w:rPr>
      </w:pPr>
      <w:r w:rsidRPr="0031675F">
        <w:rPr>
          <w:rFonts w:cs="Arial"/>
          <w:b/>
          <w:bCs/>
          <w:sz w:val="20"/>
          <w:szCs w:val="20"/>
        </w:rPr>
        <w:t xml:space="preserve">2. Direct Concentration Mode: </w:t>
      </w:r>
      <w:r w:rsidRPr="0031675F">
        <w:rPr>
          <w:rFonts w:cs="Arial"/>
          <w:sz w:val="20"/>
          <w:szCs w:val="20"/>
        </w:rPr>
        <w:t xml:space="preserve">The Direct Concentration mode makes absolute measurements based on a calibration; see Section V for the Calibration Procedure. </w:t>
      </w:r>
    </w:p>
    <w:p w14:paraId="72A4C5E1" w14:textId="2669A950" w:rsidR="0031675F" w:rsidRPr="0031675F" w:rsidRDefault="0031675F" w:rsidP="0031675F">
      <w:pPr>
        <w:autoSpaceDE w:val="0"/>
        <w:autoSpaceDN w:val="0"/>
        <w:adjustRightInd w:val="0"/>
        <w:rPr>
          <w:rFonts w:cs="Arial"/>
          <w:sz w:val="20"/>
          <w:szCs w:val="20"/>
        </w:rPr>
      </w:pPr>
      <w:r w:rsidRPr="0031675F">
        <w:rPr>
          <w:rFonts w:cs="Arial"/>
          <w:sz w:val="20"/>
          <w:szCs w:val="20"/>
        </w:rPr>
        <w:t xml:space="preserve">The Trilogy accommodates 10 x 10 mm methacrylate and polystyrene cuvettes (minimum 2 </w:t>
      </w:r>
      <w:r w:rsidR="00BB13FD">
        <w:rPr>
          <w:rFonts w:cs="Arial"/>
          <w:sz w:val="20"/>
          <w:szCs w:val="20"/>
        </w:rPr>
        <w:t>mL</w:t>
      </w:r>
      <w:r w:rsidRPr="0031675F">
        <w:rPr>
          <w:rFonts w:cs="Arial"/>
          <w:sz w:val="20"/>
          <w:szCs w:val="20"/>
        </w:rPr>
        <w:t xml:space="preserve"> volume). Use 12 x 35 mm or 12 x 75 mm glass test tubes for measuring solvent applications, such as extracted chlorophyll, and use methacrylate cuvettes for UV water applications. </w:t>
      </w:r>
    </w:p>
    <w:p w14:paraId="3648353C" w14:textId="77777777" w:rsidR="0031675F" w:rsidRPr="0031675F" w:rsidRDefault="0031675F" w:rsidP="0031675F">
      <w:pPr>
        <w:autoSpaceDE w:val="0"/>
        <w:autoSpaceDN w:val="0"/>
        <w:adjustRightInd w:val="0"/>
        <w:spacing w:before="100" w:after="100"/>
        <w:ind w:left="720" w:hanging="360"/>
        <w:rPr>
          <w:rFonts w:cs="Arial"/>
          <w:sz w:val="20"/>
          <w:szCs w:val="20"/>
        </w:rPr>
      </w:pPr>
      <w:r w:rsidRPr="0031675F">
        <w:rPr>
          <w:rFonts w:cs="Arial"/>
          <w:sz w:val="23"/>
          <w:szCs w:val="23"/>
        </w:rPr>
        <w:t xml:space="preserve">1. </w:t>
      </w:r>
      <w:r w:rsidRPr="0031675F">
        <w:rPr>
          <w:rFonts w:cs="Arial"/>
          <w:sz w:val="20"/>
          <w:szCs w:val="20"/>
        </w:rPr>
        <w:t xml:space="preserve">Open the lid of the Trilogy and insert the cuvette. Close the lid. </w:t>
      </w:r>
    </w:p>
    <w:p w14:paraId="0B2F193D" w14:textId="77777777" w:rsidR="0031675F" w:rsidRPr="0031675F" w:rsidRDefault="0031675F" w:rsidP="0031675F">
      <w:pPr>
        <w:autoSpaceDE w:val="0"/>
        <w:autoSpaceDN w:val="0"/>
        <w:adjustRightInd w:val="0"/>
        <w:spacing w:before="100" w:after="100"/>
        <w:ind w:firstLine="360"/>
        <w:rPr>
          <w:rFonts w:cs="Arial"/>
          <w:sz w:val="20"/>
          <w:szCs w:val="20"/>
        </w:rPr>
      </w:pPr>
      <w:r w:rsidRPr="0031675F">
        <w:rPr>
          <w:rFonts w:ascii="Times New Roman" w:hAnsi="Times New Roman"/>
          <w:sz w:val="23"/>
          <w:szCs w:val="23"/>
        </w:rPr>
        <w:t xml:space="preserve">2. </w:t>
      </w:r>
      <w:r w:rsidRPr="0031675F">
        <w:rPr>
          <w:rFonts w:cs="Arial"/>
          <w:sz w:val="20"/>
          <w:szCs w:val="20"/>
        </w:rPr>
        <w:t xml:space="preserve">Touch "Sample ID" to name your sample (optional). </w:t>
      </w:r>
    </w:p>
    <w:p w14:paraId="28E7F5DB" w14:textId="77777777" w:rsidR="0031675F" w:rsidRPr="0031675F" w:rsidRDefault="0031675F" w:rsidP="0031675F">
      <w:pPr>
        <w:autoSpaceDE w:val="0"/>
        <w:autoSpaceDN w:val="0"/>
        <w:adjustRightInd w:val="0"/>
        <w:spacing w:before="100" w:after="100"/>
        <w:ind w:left="720" w:hanging="360"/>
        <w:rPr>
          <w:rFonts w:cs="Arial"/>
          <w:sz w:val="20"/>
          <w:szCs w:val="20"/>
        </w:rPr>
      </w:pPr>
      <w:r w:rsidRPr="0031675F">
        <w:rPr>
          <w:rFonts w:ascii="Times New Roman" w:hAnsi="Times New Roman"/>
          <w:sz w:val="23"/>
          <w:szCs w:val="23"/>
        </w:rPr>
        <w:t xml:space="preserve">3. </w:t>
      </w:r>
      <w:r w:rsidRPr="0031675F">
        <w:rPr>
          <w:rFonts w:cs="Arial"/>
          <w:sz w:val="20"/>
          <w:szCs w:val="20"/>
        </w:rPr>
        <w:t xml:space="preserve">Using the keypad, enter the sample name into the name field and touch "Save" to save the sample ID. </w:t>
      </w:r>
    </w:p>
    <w:p w14:paraId="65CF8AFA" w14:textId="77777777" w:rsidR="0031675F" w:rsidRPr="0031675F" w:rsidRDefault="0031675F" w:rsidP="0031675F">
      <w:pPr>
        <w:autoSpaceDE w:val="0"/>
        <w:autoSpaceDN w:val="0"/>
        <w:adjustRightInd w:val="0"/>
        <w:spacing w:before="100" w:after="100"/>
        <w:ind w:left="720" w:hanging="360"/>
        <w:rPr>
          <w:rFonts w:cs="Arial"/>
          <w:sz w:val="23"/>
          <w:szCs w:val="23"/>
        </w:rPr>
      </w:pPr>
      <w:r w:rsidRPr="0031675F">
        <w:rPr>
          <w:rFonts w:ascii="Times New Roman" w:hAnsi="Times New Roman"/>
          <w:sz w:val="23"/>
          <w:szCs w:val="23"/>
        </w:rPr>
        <w:t xml:space="preserve">4. </w:t>
      </w:r>
      <w:r w:rsidRPr="0031675F">
        <w:rPr>
          <w:rFonts w:cs="Arial"/>
          <w:sz w:val="20"/>
          <w:szCs w:val="20"/>
        </w:rPr>
        <w:t>Touch "Measure Fluorescence" to make a measurement. The Trilogy will measure the sample for 6 seconds and report the average reading for the sample</w:t>
      </w:r>
      <w:r w:rsidRPr="0031675F">
        <w:rPr>
          <w:rFonts w:cs="Arial"/>
          <w:sz w:val="23"/>
          <w:szCs w:val="23"/>
        </w:rPr>
        <w:t xml:space="preserve">. </w:t>
      </w:r>
    </w:p>
    <w:p w14:paraId="66139067" w14:textId="77777777" w:rsidR="0031675F" w:rsidRPr="0031675F" w:rsidRDefault="0031675F" w:rsidP="0031675F">
      <w:pPr>
        <w:autoSpaceDE w:val="0"/>
        <w:autoSpaceDN w:val="0"/>
        <w:adjustRightInd w:val="0"/>
        <w:rPr>
          <w:rFonts w:cs="Arial"/>
          <w:sz w:val="23"/>
          <w:szCs w:val="23"/>
        </w:rPr>
      </w:pPr>
    </w:p>
    <w:p w14:paraId="1797BBBA" w14:textId="77777777" w:rsidR="0031675F" w:rsidRPr="0031675F" w:rsidRDefault="0031675F" w:rsidP="0031675F">
      <w:pPr>
        <w:rPr>
          <w:rFonts w:cs="Arial"/>
          <w:sz w:val="20"/>
          <w:szCs w:val="20"/>
        </w:rPr>
      </w:pPr>
      <w:r w:rsidRPr="0031675F">
        <w:rPr>
          <w:rFonts w:cs="Arial"/>
          <w:sz w:val="20"/>
          <w:szCs w:val="20"/>
        </w:rPr>
        <w:t>The Trilogy reports data on the "Home" screen and displays the results for the most recent 20 measurements. Use the arrow keys to scroll through the most recent measurements. The data automatically exports to a printer or PC when properly connected, (see Section VII). Please note the Trilogy does not store more than 20 measurements at one time. If more than 20 readings are taken, the oldest reading will be overwritten. Measurements are not stored between power cycles.</w:t>
      </w:r>
    </w:p>
    <w:p w14:paraId="33098F29" w14:textId="77777777" w:rsidR="0031675F" w:rsidRPr="0031675F" w:rsidRDefault="0031675F" w:rsidP="0031675F">
      <w:pPr>
        <w:rPr>
          <w:rFonts w:cs="Arial"/>
          <w:sz w:val="20"/>
          <w:szCs w:val="20"/>
        </w:rPr>
      </w:pPr>
    </w:p>
    <w:p w14:paraId="10C5E167" w14:textId="77777777" w:rsidR="0031675F" w:rsidRPr="0031675F" w:rsidRDefault="0031675F" w:rsidP="0031675F">
      <w:pPr>
        <w:rPr>
          <w:rFonts w:cs="Arial"/>
          <w:b/>
        </w:rPr>
      </w:pPr>
      <w:r w:rsidRPr="0031675F">
        <w:rPr>
          <w:rFonts w:cs="Arial"/>
          <w:b/>
        </w:rPr>
        <w:t>Summary</w:t>
      </w:r>
    </w:p>
    <w:p w14:paraId="4404F952" w14:textId="77777777" w:rsidR="0031675F" w:rsidRPr="0031675F" w:rsidRDefault="0031675F" w:rsidP="0031675F">
      <w:r w:rsidRPr="0031675F">
        <w:t>To measure OPA ammonia samples</w:t>
      </w:r>
    </w:p>
    <w:p w14:paraId="06B9E6BF" w14:textId="77777777" w:rsidR="0031675F" w:rsidRPr="0031675F" w:rsidRDefault="0031675F" w:rsidP="0031675F">
      <w:pPr>
        <w:widowControl w:val="0"/>
        <w:numPr>
          <w:ilvl w:val="0"/>
          <w:numId w:val="145"/>
        </w:numPr>
        <w:spacing w:before="0" w:after="0" w:line="240" w:lineRule="auto"/>
      </w:pPr>
      <w:r w:rsidRPr="0031675F">
        <w:t>Insert “CDOM-Ammonia Module” Optical Kit</w:t>
      </w:r>
    </w:p>
    <w:p w14:paraId="24D5D673" w14:textId="77777777" w:rsidR="0031675F" w:rsidRPr="0031675F" w:rsidRDefault="0031675F" w:rsidP="0031675F">
      <w:pPr>
        <w:widowControl w:val="0"/>
        <w:numPr>
          <w:ilvl w:val="0"/>
          <w:numId w:val="145"/>
        </w:numPr>
        <w:spacing w:before="0" w:after="0" w:line="240" w:lineRule="auto"/>
      </w:pPr>
      <w:r w:rsidRPr="0031675F">
        <w:t>Turn on at switch at back</w:t>
      </w:r>
    </w:p>
    <w:p w14:paraId="3A90C1EF" w14:textId="77777777" w:rsidR="0031675F" w:rsidRPr="0031675F" w:rsidRDefault="0031675F" w:rsidP="0031675F">
      <w:pPr>
        <w:widowControl w:val="0"/>
        <w:numPr>
          <w:ilvl w:val="0"/>
          <w:numId w:val="145"/>
        </w:numPr>
        <w:spacing w:before="0" w:after="0" w:line="240" w:lineRule="auto"/>
      </w:pPr>
      <w:r w:rsidRPr="0031675F">
        <w:t>Select "UV"</w:t>
      </w:r>
    </w:p>
    <w:p w14:paraId="5E6CC497" w14:textId="77777777" w:rsidR="0031675F" w:rsidRPr="0031675F" w:rsidRDefault="0031675F" w:rsidP="0031675F">
      <w:pPr>
        <w:widowControl w:val="0"/>
        <w:numPr>
          <w:ilvl w:val="0"/>
          <w:numId w:val="145"/>
        </w:numPr>
        <w:spacing w:before="0" w:after="0" w:line="240" w:lineRule="auto"/>
      </w:pPr>
      <w:r w:rsidRPr="0031675F">
        <w:t>Confirm "OK" for fluorometer UV</w:t>
      </w:r>
    </w:p>
    <w:p w14:paraId="0DBEBBBC" w14:textId="77777777" w:rsidR="0031675F" w:rsidRPr="0031675F" w:rsidRDefault="0031675F" w:rsidP="0031675F">
      <w:pPr>
        <w:ind w:left="502"/>
        <w:contextualSpacing/>
      </w:pPr>
      <w:r w:rsidRPr="0031675F">
        <w:rPr>
          <w:noProof/>
          <w:lang w:eastAsia="en-AU"/>
        </w:rPr>
        <w:t xml:space="preserve"> </w:t>
      </w:r>
      <w:r w:rsidRPr="0031675F">
        <w:rPr>
          <w:noProof/>
          <w:lang w:eastAsia="en-AU"/>
        </w:rPr>
        <w:drawing>
          <wp:inline distT="0" distB="0" distL="0" distR="0" wp14:anchorId="448D3034" wp14:editId="581360A0">
            <wp:extent cx="2038350" cy="1390650"/>
            <wp:effectExtent l="0" t="0" r="0" b="0"/>
            <wp:docPr id="34" name="Picture 1" descr="Measure Fluorescence" title="Turner Design Trilogy Fluoro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2038350" cy="1390650"/>
                    </a:xfrm>
                    <a:prstGeom prst="rect">
                      <a:avLst/>
                    </a:prstGeom>
                    <a:noFill/>
                    <a:ln>
                      <a:noFill/>
                    </a:ln>
                  </pic:spPr>
                </pic:pic>
              </a:graphicData>
            </a:graphic>
          </wp:inline>
        </w:drawing>
      </w:r>
    </w:p>
    <w:p w14:paraId="6934DDD5" w14:textId="77777777" w:rsidR="0031675F" w:rsidRPr="0031675F" w:rsidRDefault="0031675F" w:rsidP="0031675F">
      <w:pPr>
        <w:widowControl w:val="0"/>
        <w:numPr>
          <w:ilvl w:val="0"/>
          <w:numId w:val="145"/>
        </w:numPr>
        <w:spacing w:before="0" w:after="0" w:line="240" w:lineRule="auto"/>
      </w:pPr>
      <w:r w:rsidRPr="0031675F">
        <w:t>Insert sample and select "Measure Fluorescence – Raw”</w:t>
      </w:r>
    </w:p>
    <w:p w14:paraId="2C2F199C" w14:textId="77777777" w:rsidR="0031675F" w:rsidRPr="0031675F" w:rsidRDefault="0031675F" w:rsidP="0031675F">
      <w:pPr>
        <w:ind w:left="502"/>
        <w:contextualSpacing/>
      </w:pPr>
      <w:r w:rsidRPr="0031675F">
        <w:rPr>
          <w:noProof/>
          <w:lang w:eastAsia="en-AU"/>
        </w:rPr>
        <w:drawing>
          <wp:inline distT="0" distB="0" distL="0" distR="0" wp14:anchorId="5F42D303" wp14:editId="6DA4FA7A">
            <wp:extent cx="2047875" cy="1447800"/>
            <wp:effectExtent l="0" t="0" r="9525" b="0"/>
            <wp:docPr id="40" name="Picture 2" descr="Result in RFU" title="Turner Design Trilogy Fluoro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047875" cy="1447800"/>
                    </a:xfrm>
                    <a:prstGeom prst="rect">
                      <a:avLst/>
                    </a:prstGeom>
                    <a:noFill/>
                    <a:ln>
                      <a:noFill/>
                    </a:ln>
                  </pic:spPr>
                </pic:pic>
              </a:graphicData>
            </a:graphic>
          </wp:inline>
        </w:drawing>
      </w:r>
    </w:p>
    <w:p w14:paraId="25F6385C" w14:textId="77777777" w:rsidR="0031675F" w:rsidRPr="0031675F" w:rsidRDefault="0031675F" w:rsidP="0031675F">
      <w:pPr>
        <w:widowControl w:val="0"/>
        <w:numPr>
          <w:ilvl w:val="0"/>
          <w:numId w:val="145"/>
        </w:numPr>
        <w:spacing w:before="0" w:after="0" w:line="240" w:lineRule="auto"/>
      </w:pPr>
      <w:r w:rsidRPr="0031675F">
        <w:t>Result will be displayed in Raw Fluorescence Units (RFU)</w:t>
      </w:r>
    </w:p>
    <w:p w14:paraId="71DCEE38" w14:textId="77777777" w:rsidR="0031675F" w:rsidRPr="0031675F" w:rsidRDefault="0031675F" w:rsidP="0031675F">
      <w:pPr>
        <w:widowControl w:val="0"/>
        <w:numPr>
          <w:ilvl w:val="0"/>
          <w:numId w:val="145"/>
        </w:numPr>
        <w:spacing w:before="0" w:after="0" w:line="200" w:lineRule="atLeast"/>
      </w:pPr>
      <w:r w:rsidRPr="0031675F">
        <w:t>n.b. The machine has a storage buffer of 20 readings</w:t>
      </w:r>
    </w:p>
    <w:p w14:paraId="43ABE184" w14:textId="77777777" w:rsidR="0031675F" w:rsidRPr="0031675F" w:rsidRDefault="0031675F" w:rsidP="0031675F">
      <w:r w:rsidRPr="0031675F">
        <w:br w:type="page"/>
      </w:r>
    </w:p>
    <w:p w14:paraId="33F75281" w14:textId="77777777" w:rsidR="0031675F" w:rsidRPr="0031675F" w:rsidRDefault="0031675F" w:rsidP="0031675F">
      <w:pPr>
        <w:tabs>
          <w:tab w:val="left" w:pos="2387"/>
        </w:tabs>
        <w:spacing w:before="206"/>
        <w:ind w:left="118"/>
        <w:rPr>
          <w:b/>
          <w:spacing w:val="-1"/>
          <w:sz w:val="24"/>
        </w:rPr>
      </w:pPr>
    </w:p>
    <w:p w14:paraId="3224F8A1" w14:textId="77777777" w:rsidR="0031675F" w:rsidRPr="0031675F" w:rsidRDefault="0031675F" w:rsidP="0031675F">
      <w:pPr>
        <w:tabs>
          <w:tab w:val="left" w:pos="2387"/>
        </w:tabs>
        <w:spacing w:before="206"/>
        <w:ind w:left="118"/>
        <w:rPr>
          <w:rFonts w:eastAsia="Arial" w:cs="Arial"/>
          <w:sz w:val="24"/>
          <w:szCs w:val="24"/>
        </w:rPr>
      </w:pPr>
      <w:r w:rsidRPr="0031675F">
        <w:rPr>
          <w:b/>
          <w:spacing w:val="-1"/>
          <w:sz w:val="24"/>
        </w:rPr>
        <w:t>Attachment</w:t>
      </w:r>
      <w:r w:rsidRPr="0031675F">
        <w:rPr>
          <w:b/>
          <w:sz w:val="24"/>
        </w:rPr>
        <w:t xml:space="preserve"> 4.2</w:t>
      </w:r>
      <w:r w:rsidRPr="0031675F">
        <w:rPr>
          <w:b/>
          <w:sz w:val="24"/>
        </w:rPr>
        <w:tab/>
      </w:r>
      <w:r w:rsidRPr="0031675F">
        <w:rPr>
          <w:b/>
          <w:spacing w:val="-1"/>
          <w:sz w:val="24"/>
        </w:rPr>
        <w:t>Flow</w:t>
      </w:r>
      <w:r w:rsidRPr="0031675F">
        <w:rPr>
          <w:b/>
          <w:spacing w:val="3"/>
          <w:sz w:val="24"/>
        </w:rPr>
        <w:t xml:space="preserve"> </w:t>
      </w:r>
      <w:r w:rsidRPr="0031675F">
        <w:rPr>
          <w:b/>
          <w:sz w:val="24"/>
        </w:rPr>
        <w:t xml:space="preserve">chart </w:t>
      </w:r>
      <w:r w:rsidRPr="0031675F">
        <w:rPr>
          <w:b/>
          <w:spacing w:val="-1"/>
          <w:sz w:val="24"/>
        </w:rPr>
        <w:t>for</w:t>
      </w:r>
      <w:r w:rsidRPr="0031675F">
        <w:rPr>
          <w:b/>
          <w:sz w:val="24"/>
        </w:rPr>
        <w:t xml:space="preserve"> </w:t>
      </w:r>
      <w:r w:rsidRPr="0031675F">
        <w:rPr>
          <w:b/>
          <w:spacing w:val="-1"/>
          <w:sz w:val="24"/>
        </w:rPr>
        <w:t>ammonium</w:t>
      </w:r>
      <w:r w:rsidRPr="0031675F">
        <w:rPr>
          <w:b/>
          <w:spacing w:val="2"/>
          <w:sz w:val="24"/>
        </w:rPr>
        <w:t xml:space="preserve"> </w:t>
      </w:r>
      <w:r w:rsidRPr="0031675F">
        <w:rPr>
          <w:b/>
          <w:spacing w:val="-1"/>
          <w:sz w:val="24"/>
        </w:rPr>
        <w:t>analysis</w:t>
      </w:r>
      <w:r w:rsidRPr="0031675F">
        <w:rPr>
          <w:b/>
          <w:spacing w:val="1"/>
          <w:sz w:val="24"/>
        </w:rPr>
        <w:t xml:space="preserve"> </w:t>
      </w:r>
      <w:r w:rsidRPr="0031675F">
        <w:rPr>
          <w:b/>
          <w:sz w:val="24"/>
        </w:rPr>
        <w:t>(by</w:t>
      </w:r>
      <w:r w:rsidRPr="0031675F">
        <w:rPr>
          <w:b/>
          <w:spacing w:val="-3"/>
          <w:sz w:val="24"/>
        </w:rPr>
        <w:t xml:space="preserve"> </w:t>
      </w:r>
      <w:r w:rsidRPr="0031675F">
        <w:rPr>
          <w:b/>
          <w:spacing w:val="1"/>
          <w:sz w:val="24"/>
        </w:rPr>
        <w:t>OPA</w:t>
      </w:r>
      <w:r w:rsidRPr="0031675F">
        <w:rPr>
          <w:b/>
          <w:spacing w:val="-2"/>
          <w:sz w:val="24"/>
        </w:rPr>
        <w:t xml:space="preserve"> </w:t>
      </w:r>
      <w:r w:rsidRPr="0031675F">
        <w:rPr>
          <w:b/>
          <w:spacing w:val="-1"/>
          <w:sz w:val="24"/>
        </w:rPr>
        <w:t>method)</w:t>
      </w:r>
    </w:p>
    <w:p w14:paraId="247E4C50" w14:textId="77777777" w:rsidR="0031675F" w:rsidRPr="0031675F" w:rsidRDefault="0031675F" w:rsidP="0031675F">
      <w:pPr>
        <w:widowControl w:val="0"/>
        <w:numPr>
          <w:ilvl w:val="0"/>
          <w:numId w:val="113"/>
        </w:numPr>
        <w:tabs>
          <w:tab w:val="left" w:pos="547"/>
        </w:tabs>
        <w:spacing w:before="0" w:after="0" w:line="240" w:lineRule="auto"/>
        <w:ind w:right="120"/>
      </w:pPr>
      <w:r w:rsidRPr="0031675F">
        <w:t>Make</w:t>
      </w:r>
      <w:r w:rsidRPr="0031675F">
        <w:rPr>
          <w:spacing w:val="18"/>
        </w:rPr>
        <w:t xml:space="preserve"> </w:t>
      </w:r>
      <w:r w:rsidRPr="0031675F">
        <w:rPr>
          <w:spacing w:val="-1"/>
        </w:rPr>
        <w:t>up</w:t>
      </w:r>
      <w:r w:rsidRPr="0031675F">
        <w:rPr>
          <w:spacing w:val="14"/>
        </w:rPr>
        <w:t xml:space="preserve"> </w:t>
      </w:r>
      <w:r w:rsidRPr="0031675F">
        <w:rPr>
          <w:spacing w:val="-1"/>
        </w:rPr>
        <w:t>working</w:t>
      </w:r>
      <w:r w:rsidRPr="0031675F">
        <w:rPr>
          <w:spacing w:val="16"/>
        </w:rPr>
        <w:t xml:space="preserve"> </w:t>
      </w:r>
      <w:r w:rsidRPr="0031675F">
        <w:rPr>
          <w:spacing w:val="-1"/>
        </w:rPr>
        <w:t>reagent</w:t>
      </w:r>
      <w:r w:rsidRPr="0031675F">
        <w:rPr>
          <w:spacing w:val="16"/>
        </w:rPr>
        <w:t xml:space="preserve"> </w:t>
      </w:r>
      <w:r w:rsidRPr="0031675F">
        <w:t>(WR)</w:t>
      </w:r>
      <w:r w:rsidRPr="0031675F">
        <w:rPr>
          <w:spacing w:val="17"/>
        </w:rPr>
        <w:t xml:space="preserve"> </w:t>
      </w:r>
      <w:r w:rsidRPr="0031675F">
        <w:t>at</w:t>
      </w:r>
      <w:r w:rsidRPr="0031675F">
        <w:rPr>
          <w:spacing w:val="17"/>
        </w:rPr>
        <w:t xml:space="preserve"> </w:t>
      </w:r>
      <w:r w:rsidRPr="0031675F">
        <w:rPr>
          <w:spacing w:val="-1"/>
        </w:rPr>
        <w:t>least</w:t>
      </w:r>
      <w:r w:rsidRPr="0031675F">
        <w:rPr>
          <w:spacing w:val="15"/>
        </w:rPr>
        <w:t xml:space="preserve"> </w:t>
      </w:r>
      <w:r w:rsidRPr="0031675F">
        <w:t>24</w:t>
      </w:r>
      <w:r w:rsidRPr="0031675F">
        <w:rPr>
          <w:spacing w:val="17"/>
        </w:rPr>
        <w:t xml:space="preserve"> </w:t>
      </w:r>
      <w:r w:rsidRPr="0031675F">
        <w:rPr>
          <w:spacing w:val="-1"/>
        </w:rPr>
        <w:t>hours</w:t>
      </w:r>
      <w:r w:rsidRPr="0031675F">
        <w:rPr>
          <w:spacing w:val="16"/>
        </w:rPr>
        <w:t xml:space="preserve"> </w:t>
      </w:r>
      <w:r w:rsidRPr="0031675F">
        <w:t>in</w:t>
      </w:r>
      <w:r w:rsidRPr="0031675F">
        <w:rPr>
          <w:spacing w:val="13"/>
        </w:rPr>
        <w:t xml:space="preserve"> </w:t>
      </w:r>
      <w:r w:rsidRPr="0031675F">
        <w:rPr>
          <w:spacing w:val="-1"/>
        </w:rPr>
        <w:t>advance</w:t>
      </w:r>
      <w:r w:rsidRPr="0031675F">
        <w:rPr>
          <w:spacing w:val="17"/>
        </w:rPr>
        <w:t xml:space="preserve"> </w:t>
      </w:r>
      <w:r w:rsidRPr="0031675F">
        <w:rPr>
          <w:spacing w:val="-1"/>
        </w:rPr>
        <w:t>and</w:t>
      </w:r>
      <w:r w:rsidRPr="0031675F">
        <w:rPr>
          <w:spacing w:val="16"/>
        </w:rPr>
        <w:t xml:space="preserve"> </w:t>
      </w:r>
      <w:r w:rsidRPr="0031675F">
        <w:rPr>
          <w:spacing w:val="-1"/>
        </w:rPr>
        <w:t>store</w:t>
      </w:r>
      <w:r w:rsidRPr="0031675F">
        <w:rPr>
          <w:spacing w:val="17"/>
        </w:rPr>
        <w:t xml:space="preserve"> </w:t>
      </w:r>
      <w:r w:rsidRPr="0031675F">
        <w:t>in</w:t>
      </w:r>
      <w:r w:rsidRPr="0031675F">
        <w:rPr>
          <w:spacing w:val="13"/>
        </w:rPr>
        <w:t xml:space="preserve"> </w:t>
      </w:r>
      <w:r w:rsidRPr="0031675F">
        <w:t>2L</w:t>
      </w:r>
      <w:r w:rsidRPr="0031675F">
        <w:rPr>
          <w:spacing w:val="17"/>
        </w:rPr>
        <w:t xml:space="preserve"> </w:t>
      </w:r>
      <w:r w:rsidRPr="0031675F">
        <w:rPr>
          <w:spacing w:val="-1"/>
        </w:rPr>
        <w:t>brown</w:t>
      </w:r>
      <w:r w:rsidRPr="0031675F">
        <w:rPr>
          <w:spacing w:val="16"/>
        </w:rPr>
        <w:t xml:space="preserve"> </w:t>
      </w:r>
      <w:r w:rsidRPr="0031675F">
        <w:rPr>
          <w:spacing w:val="-1"/>
        </w:rPr>
        <w:t>bottle.</w:t>
      </w:r>
      <w:r w:rsidRPr="0031675F">
        <w:rPr>
          <w:spacing w:val="20"/>
        </w:rPr>
        <w:t xml:space="preserve"> </w:t>
      </w:r>
      <w:r w:rsidRPr="0031675F">
        <w:t>WR</w:t>
      </w:r>
      <w:r w:rsidRPr="0031675F">
        <w:rPr>
          <w:spacing w:val="61"/>
        </w:rPr>
        <w:t xml:space="preserve"> </w:t>
      </w:r>
      <w:r w:rsidRPr="0031675F">
        <w:t>keeps</w:t>
      </w:r>
      <w:r w:rsidRPr="0031675F">
        <w:rPr>
          <w:spacing w:val="-1"/>
        </w:rPr>
        <w:t xml:space="preserve"> for</w:t>
      </w:r>
      <w:r w:rsidRPr="0031675F">
        <w:t xml:space="preserve"> </w:t>
      </w:r>
      <w:r w:rsidRPr="0031675F">
        <w:rPr>
          <w:spacing w:val="-1"/>
        </w:rPr>
        <w:t>up</w:t>
      </w:r>
      <w:r w:rsidRPr="0031675F">
        <w:rPr>
          <w:spacing w:val="-3"/>
        </w:rPr>
        <w:t xml:space="preserve"> </w:t>
      </w:r>
      <w:r w:rsidRPr="0031675F">
        <w:t>to</w:t>
      </w:r>
      <w:r w:rsidRPr="0031675F">
        <w:rPr>
          <w:spacing w:val="-1"/>
        </w:rPr>
        <w:t xml:space="preserve"> </w:t>
      </w:r>
      <w:r w:rsidRPr="0031675F">
        <w:t>3</w:t>
      </w:r>
      <w:r w:rsidRPr="0031675F">
        <w:rPr>
          <w:spacing w:val="-1"/>
        </w:rPr>
        <w:t xml:space="preserve"> months.</w:t>
      </w:r>
    </w:p>
    <w:p w14:paraId="1C4266EA" w14:textId="77777777" w:rsidR="0031675F" w:rsidRPr="0031675F" w:rsidRDefault="0031675F" w:rsidP="0031675F">
      <w:pPr>
        <w:widowControl w:val="0"/>
        <w:numPr>
          <w:ilvl w:val="0"/>
          <w:numId w:val="113"/>
        </w:numPr>
        <w:tabs>
          <w:tab w:val="left" w:pos="547"/>
        </w:tabs>
        <w:spacing w:before="61" w:after="0" w:line="239" w:lineRule="auto"/>
        <w:ind w:right="109"/>
        <w:jc w:val="both"/>
      </w:pPr>
      <w:r w:rsidRPr="0031675F">
        <w:rPr>
          <w:spacing w:val="-1"/>
        </w:rPr>
        <w:t>Label</w:t>
      </w:r>
      <w:r w:rsidRPr="0031675F">
        <w:rPr>
          <w:spacing w:val="33"/>
        </w:rPr>
        <w:t xml:space="preserve"> </w:t>
      </w:r>
      <w:r w:rsidRPr="0031675F">
        <w:t>with</w:t>
      </w:r>
      <w:r w:rsidRPr="0031675F">
        <w:rPr>
          <w:spacing w:val="34"/>
        </w:rPr>
        <w:t xml:space="preserve"> </w:t>
      </w:r>
      <w:r w:rsidRPr="0031675F">
        <w:rPr>
          <w:spacing w:val="-1"/>
        </w:rPr>
        <w:t>coloured</w:t>
      </w:r>
      <w:r w:rsidRPr="0031675F">
        <w:rPr>
          <w:spacing w:val="33"/>
        </w:rPr>
        <w:t xml:space="preserve"> </w:t>
      </w:r>
      <w:r w:rsidRPr="0031675F">
        <w:t>tape,</w:t>
      </w:r>
      <w:r w:rsidRPr="0031675F">
        <w:rPr>
          <w:spacing w:val="30"/>
        </w:rPr>
        <w:t xml:space="preserve"> </w:t>
      </w:r>
      <w:r w:rsidRPr="0031675F">
        <w:rPr>
          <w:spacing w:val="-1"/>
        </w:rPr>
        <w:t>and</w:t>
      </w:r>
      <w:r w:rsidRPr="0031675F">
        <w:rPr>
          <w:spacing w:val="33"/>
        </w:rPr>
        <w:t xml:space="preserve"> </w:t>
      </w:r>
      <w:r w:rsidRPr="0031675F">
        <w:rPr>
          <w:spacing w:val="-1"/>
        </w:rPr>
        <w:t>number</w:t>
      </w:r>
      <w:r w:rsidRPr="0031675F">
        <w:rPr>
          <w:spacing w:val="37"/>
        </w:rPr>
        <w:t xml:space="preserve"> </w:t>
      </w:r>
      <w:r w:rsidRPr="0031675F">
        <w:rPr>
          <w:spacing w:val="-1"/>
        </w:rPr>
        <w:t>tubes</w:t>
      </w:r>
      <w:r w:rsidRPr="0031675F">
        <w:rPr>
          <w:spacing w:val="34"/>
        </w:rPr>
        <w:t xml:space="preserve"> </w:t>
      </w:r>
      <w:r w:rsidRPr="0031675F">
        <w:rPr>
          <w:spacing w:val="-1"/>
        </w:rPr>
        <w:t>according</w:t>
      </w:r>
      <w:r w:rsidRPr="0031675F">
        <w:rPr>
          <w:spacing w:val="32"/>
        </w:rPr>
        <w:t xml:space="preserve"> </w:t>
      </w:r>
      <w:r w:rsidRPr="0031675F">
        <w:t>to</w:t>
      </w:r>
      <w:r w:rsidRPr="0031675F">
        <w:rPr>
          <w:spacing w:val="37"/>
        </w:rPr>
        <w:t xml:space="preserve"> </w:t>
      </w:r>
      <w:r w:rsidRPr="0031675F">
        <w:t>DiW</w:t>
      </w:r>
      <w:r w:rsidRPr="0031675F">
        <w:rPr>
          <w:spacing w:val="34"/>
        </w:rPr>
        <w:t xml:space="preserve"> </w:t>
      </w:r>
      <w:r w:rsidRPr="0031675F">
        <w:rPr>
          <w:spacing w:val="-1"/>
        </w:rPr>
        <w:t>standard,</w:t>
      </w:r>
      <w:r w:rsidRPr="0031675F">
        <w:rPr>
          <w:spacing w:val="33"/>
        </w:rPr>
        <w:t xml:space="preserve"> </w:t>
      </w:r>
      <w:r w:rsidRPr="0031675F">
        <w:rPr>
          <w:spacing w:val="-1"/>
        </w:rPr>
        <w:t>seawater</w:t>
      </w:r>
      <w:r w:rsidRPr="0031675F">
        <w:rPr>
          <w:spacing w:val="34"/>
        </w:rPr>
        <w:t xml:space="preserve"> </w:t>
      </w:r>
      <w:r w:rsidRPr="0031675F">
        <w:rPr>
          <w:spacing w:val="-1"/>
        </w:rPr>
        <w:t>standard,</w:t>
      </w:r>
      <w:r w:rsidRPr="0031675F">
        <w:rPr>
          <w:spacing w:val="61"/>
        </w:rPr>
        <w:t xml:space="preserve"> </w:t>
      </w:r>
      <w:r w:rsidRPr="0031675F">
        <w:t>matrix</w:t>
      </w:r>
      <w:r w:rsidRPr="0031675F">
        <w:rPr>
          <w:spacing w:val="-3"/>
        </w:rPr>
        <w:t xml:space="preserve"> </w:t>
      </w:r>
      <w:r w:rsidRPr="0031675F">
        <w:rPr>
          <w:spacing w:val="-1"/>
        </w:rPr>
        <w:t>effect</w:t>
      </w:r>
      <w:r w:rsidRPr="0031675F">
        <w:rPr>
          <w:spacing w:val="-2"/>
        </w:rPr>
        <w:t xml:space="preserve"> </w:t>
      </w:r>
      <w:r w:rsidRPr="0031675F">
        <w:rPr>
          <w:spacing w:val="-1"/>
        </w:rPr>
        <w:t>test</w:t>
      </w:r>
      <w:r w:rsidRPr="0031675F">
        <w:rPr>
          <w:spacing w:val="-2"/>
        </w:rPr>
        <w:t xml:space="preserve"> </w:t>
      </w:r>
      <w:r w:rsidRPr="0031675F">
        <w:rPr>
          <w:spacing w:val="-1"/>
        </w:rPr>
        <w:t>solution</w:t>
      </w:r>
      <w:r w:rsidRPr="0031675F">
        <w:rPr>
          <w:spacing w:val="-3"/>
        </w:rPr>
        <w:t xml:space="preserve"> </w:t>
      </w:r>
      <w:r w:rsidRPr="0031675F">
        <w:rPr>
          <w:spacing w:val="-1"/>
        </w:rPr>
        <w:t xml:space="preserve">and </w:t>
      </w:r>
      <w:r w:rsidRPr="0031675F">
        <w:t xml:space="preserve">real </w:t>
      </w:r>
      <w:r w:rsidRPr="0031675F">
        <w:rPr>
          <w:spacing w:val="-1"/>
        </w:rPr>
        <w:t>seawater</w:t>
      </w:r>
      <w:r w:rsidRPr="0031675F">
        <w:t xml:space="preserve"> </w:t>
      </w:r>
      <w:r w:rsidRPr="0031675F">
        <w:rPr>
          <w:spacing w:val="-1"/>
        </w:rPr>
        <w:t>samples.</w:t>
      </w:r>
      <w:r w:rsidRPr="0031675F">
        <w:rPr>
          <w:spacing w:val="-3"/>
        </w:rPr>
        <w:t xml:space="preserve"> </w:t>
      </w:r>
      <w:r w:rsidRPr="0031675F">
        <w:t>Eg</w:t>
      </w:r>
      <w:r w:rsidRPr="0031675F">
        <w:rPr>
          <w:spacing w:val="-1"/>
        </w:rPr>
        <w:t xml:space="preserve"> blue,</w:t>
      </w:r>
      <w:r w:rsidRPr="0031675F">
        <w:t xml:space="preserve"> </w:t>
      </w:r>
      <w:r w:rsidRPr="0031675F">
        <w:rPr>
          <w:spacing w:val="-1"/>
        </w:rPr>
        <w:t xml:space="preserve">green, </w:t>
      </w:r>
      <w:r w:rsidRPr="0031675F">
        <w:t>red</w:t>
      </w:r>
      <w:r w:rsidRPr="0031675F">
        <w:rPr>
          <w:spacing w:val="-1"/>
        </w:rPr>
        <w:t xml:space="preserve"> and</w:t>
      </w:r>
      <w:r w:rsidRPr="0031675F">
        <w:rPr>
          <w:spacing w:val="-3"/>
        </w:rPr>
        <w:t xml:space="preserve"> </w:t>
      </w:r>
      <w:r w:rsidRPr="0031675F">
        <w:t xml:space="preserve">white </w:t>
      </w:r>
      <w:r w:rsidRPr="0031675F">
        <w:rPr>
          <w:spacing w:val="-1"/>
        </w:rPr>
        <w:t>label</w:t>
      </w:r>
      <w:r w:rsidRPr="0031675F">
        <w:rPr>
          <w:spacing w:val="-2"/>
        </w:rPr>
        <w:t xml:space="preserve"> </w:t>
      </w:r>
      <w:r w:rsidRPr="0031675F">
        <w:t>tape</w:t>
      </w:r>
      <w:r w:rsidRPr="0031675F">
        <w:rPr>
          <w:spacing w:val="-2"/>
        </w:rPr>
        <w:t xml:space="preserve"> </w:t>
      </w:r>
      <w:r w:rsidRPr="0031675F">
        <w:rPr>
          <w:spacing w:val="-1"/>
        </w:rPr>
        <w:t>to</w:t>
      </w:r>
      <w:r w:rsidRPr="0031675F">
        <w:rPr>
          <w:spacing w:val="45"/>
        </w:rPr>
        <w:t xml:space="preserve"> </w:t>
      </w:r>
      <w:r w:rsidRPr="0031675F">
        <w:rPr>
          <w:spacing w:val="-1"/>
        </w:rPr>
        <w:t>highlight</w:t>
      </w:r>
      <w:r w:rsidRPr="0031675F">
        <w:t xml:space="preserve"> the </w:t>
      </w:r>
      <w:r w:rsidRPr="0031675F">
        <w:rPr>
          <w:spacing w:val="-1"/>
        </w:rPr>
        <w:t>different</w:t>
      </w:r>
      <w:r w:rsidRPr="0031675F">
        <w:rPr>
          <w:spacing w:val="-2"/>
        </w:rPr>
        <w:t xml:space="preserve"> </w:t>
      </w:r>
      <w:r w:rsidRPr="0031675F">
        <w:rPr>
          <w:spacing w:val="-1"/>
        </w:rPr>
        <w:t>solutions,</w:t>
      </w:r>
      <w:r w:rsidRPr="0031675F">
        <w:t xml:space="preserve"> and</w:t>
      </w:r>
      <w:r w:rsidRPr="0031675F">
        <w:rPr>
          <w:spacing w:val="-2"/>
        </w:rPr>
        <w:t xml:space="preserve"> </w:t>
      </w:r>
      <w:r w:rsidRPr="0031675F">
        <w:rPr>
          <w:spacing w:val="-1"/>
        </w:rPr>
        <w:t>colour</w:t>
      </w:r>
      <w:r w:rsidRPr="0031675F">
        <w:t xml:space="preserve"> </w:t>
      </w:r>
      <w:r w:rsidRPr="0031675F">
        <w:rPr>
          <w:spacing w:val="-1"/>
        </w:rPr>
        <w:t>code</w:t>
      </w:r>
      <w:r w:rsidRPr="0031675F">
        <w:rPr>
          <w:spacing w:val="-2"/>
        </w:rPr>
        <w:t xml:space="preserve"> </w:t>
      </w:r>
      <w:r w:rsidRPr="0031675F">
        <w:rPr>
          <w:spacing w:val="-1"/>
        </w:rPr>
        <w:t>volumetric</w:t>
      </w:r>
      <w:r w:rsidRPr="0031675F">
        <w:t xml:space="preserve"> </w:t>
      </w:r>
      <w:r w:rsidRPr="0031675F">
        <w:rPr>
          <w:spacing w:val="-1"/>
        </w:rPr>
        <w:t>flasks</w:t>
      </w:r>
      <w:r w:rsidRPr="0031675F">
        <w:rPr>
          <w:spacing w:val="-2"/>
        </w:rPr>
        <w:t xml:space="preserve"> </w:t>
      </w:r>
      <w:r w:rsidRPr="0031675F">
        <w:t xml:space="preserve">of </w:t>
      </w:r>
      <w:r w:rsidRPr="0031675F">
        <w:rPr>
          <w:spacing w:val="-1"/>
        </w:rPr>
        <w:t>standards</w:t>
      </w:r>
      <w:r w:rsidRPr="0031675F">
        <w:rPr>
          <w:spacing w:val="-2"/>
        </w:rPr>
        <w:t xml:space="preserve"> </w:t>
      </w:r>
      <w:r w:rsidRPr="0031675F">
        <w:rPr>
          <w:spacing w:val="-1"/>
        </w:rPr>
        <w:t>accordingly.</w:t>
      </w:r>
    </w:p>
    <w:p w14:paraId="3A72EE48" w14:textId="615B4521" w:rsidR="0031675F" w:rsidRPr="0031675F" w:rsidRDefault="0031675F" w:rsidP="0031675F">
      <w:pPr>
        <w:widowControl w:val="0"/>
        <w:numPr>
          <w:ilvl w:val="0"/>
          <w:numId w:val="113"/>
        </w:numPr>
        <w:tabs>
          <w:tab w:val="left" w:pos="547"/>
        </w:tabs>
        <w:spacing w:before="60" w:after="0" w:line="240" w:lineRule="auto"/>
        <w:ind w:right="120"/>
      </w:pPr>
      <w:r w:rsidRPr="0031675F">
        <w:rPr>
          <w:spacing w:val="-1"/>
        </w:rPr>
        <w:t>Clean</w:t>
      </w:r>
      <w:r w:rsidRPr="0031675F">
        <w:rPr>
          <w:spacing w:val="47"/>
        </w:rPr>
        <w:t xml:space="preserve"> </w:t>
      </w:r>
      <w:r w:rsidRPr="0031675F">
        <w:rPr>
          <w:spacing w:val="-1"/>
        </w:rPr>
        <w:t>tubes</w:t>
      </w:r>
      <w:r w:rsidRPr="0031675F">
        <w:rPr>
          <w:spacing w:val="49"/>
        </w:rPr>
        <w:t xml:space="preserve"> </w:t>
      </w:r>
      <w:r w:rsidRPr="0031675F">
        <w:rPr>
          <w:spacing w:val="-1"/>
        </w:rPr>
        <w:t>by</w:t>
      </w:r>
      <w:r w:rsidRPr="0031675F">
        <w:rPr>
          <w:spacing w:val="49"/>
        </w:rPr>
        <w:t xml:space="preserve"> </w:t>
      </w:r>
      <w:r w:rsidRPr="0031675F">
        <w:rPr>
          <w:spacing w:val="-1"/>
        </w:rPr>
        <w:t>filling</w:t>
      </w:r>
      <w:r w:rsidRPr="0031675F">
        <w:rPr>
          <w:spacing w:val="48"/>
        </w:rPr>
        <w:t xml:space="preserve"> </w:t>
      </w:r>
      <w:r w:rsidRPr="0031675F">
        <w:rPr>
          <w:spacing w:val="-2"/>
        </w:rPr>
        <w:t>10%</w:t>
      </w:r>
      <w:r w:rsidRPr="0031675F">
        <w:rPr>
          <w:spacing w:val="49"/>
        </w:rPr>
        <w:t xml:space="preserve"> </w:t>
      </w:r>
      <w:r w:rsidRPr="0031675F">
        <w:rPr>
          <w:spacing w:val="-1"/>
        </w:rPr>
        <w:t>HCl</w:t>
      </w:r>
      <w:r w:rsidRPr="0031675F">
        <w:rPr>
          <w:spacing w:val="48"/>
        </w:rPr>
        <w:t xml:space="preserve"> </w:t>
      </w:r>
      <w:r w:rsidRPr="0031675F">
        <w:t>in</w:t>
      </w:r>
      <w:r w:rsidRPr="0031675F">
        <w:rPr>
          <w:spacing w:val="47"/>
        </w:rPr>
        <w:t xml:space="preserve"> </w:t>
      </w:r>
      <w:r w:rsidRPr="0031675F">
        <w:rPr>
          <w:spacing w:val="-1"/>
        </w:rPr>
        <w:t>SuperQ</w:t>
      </w:r>
      <w:r w:rsidRPr="0031675F">
        <w:rPr>
          <w:spacing w:val="47"/>
        </w:rPr>
        <w:t xml:space="preserve"> </w:t>
      </w:r>
      <w:r w:rsidRPr="0031675F">
        <w:t>acid</w:t>
      </w:r>
      <w:r w:rsidRPr="0031675F">
        <w:rPr>
          <w:spacing w:val="47"/>
        </w:rPr>
        <w:t xml:space="preserve"> </w:t>
      </w:r>
      <w:r w:rsidRPr="0031675F">
        <w:rPr>
          <w:spacing w:val="-1"/>
        </w:rPr>
        <w:t>wash</w:t>
      </w:r>
      <w:r w:rsidRPr="0031675F">
        <w:rPr>
          <w:spacing w:val="48"/>
        </w:rPr>
        <w:t xml:space="preserve"> </w:t>
      </w:r>
      <w:r w:rsidRPr="0031675F">
        <w:rPr>
          <w:spacing w:val="-1"/>
        </w:rPr>
        <w:t>solution.</w:t>
      </w:r>
      <w:r w:rsidRPr="0031675F">
        <w:rPr>
          <w:spacing w:val="47"/>
        </w:rPr>
        <w:t xml:space="preserve"> </w:t>
      </w:r>
      <w:r w:rsidRPr="0031675F">
        <w:rPr>
          <w:spacing w:val="-1"/>
        </w:rPr>
        <w:t>Do</w:t>
      </w:r>
      <w:r w:rsidRPr="0031675F">
        <w:rPr>
          <w:spacing w:val="49"/>
        </w:rPr>
        <w:t xml:space="preserve"> </w:t>
      </w:r>
      <w:r w:rsidRPr="0031675F">
        <w:t>the</w:t>
      </w:r>
      <w:r w:rsidRPr="0031675F">
        <w:rPr>
          <w:spacing w:val="48"/>
        </w:rPr>
        <w:t xml:space="preserve"> </w:t>
      </w:r>
      <w:r w:rsidRPr="0031675F">
        <w:rPr>
          <w:spacing w:val="-2"/>
        </w:rPr>
        <w:t>same</w:t>
      </w:r>
      <w:r w:rsidRPr="0031675F">
        <w:rPr>
          <w:spacing w:val="46"/>
        </w:rPr>
        <w:t xml:space="preserve"> </w:t>
      </w:r>
      <w:r w:rsidRPr="0031675F">
        <w:rPr>
          <w:spacing w:val="-1"/>
        </w:rPr>
        <w:t>for</w:t>
      </w:r>
      <w:r w:rsidRPr="0031675F">
        <w:rPr>
          <w:spacing w:val="47"/>
        </w:rPr>
        <w:t xml:space="preserve"> </w:t>
      </w:r>
      <w:r w:rsidRPr="0031675F">
        <w:t>the</w:t>
      </w:r>
      <w:r w:rsidRPr="0031675F">
        <w:rPr>
          <w:spacing w:val="46"/>
        </w:rPr>
        <w:t xml:space="preserve"> </w:t>
      </w:r>
      <w:r w:rsidRPr="0031675F">
        <w:rPr>
          <w:spacing w:val="-1"/>
        </w:rPr>
        <w:t>250</w:t>
      </w:r>
      <w:r w:rsidRPr="0031675F">
        <w:rPr>
          <w:spacing w:val="47"/>
        </w:rPr>
        <w:t xml:space="preserve"> </w:t>
      </w:r>
      <w:r w:rsidR="00BB13FD">
        <w:t>mL</w:t>
      </w:r>
      <w:r w:rsidRPr="0031675F">
        <w:rPr>
          <w:spacing w:val="49"/>
        </w:rPr>
        <w:t xml:space="preserve"> </w:t>
      </w:r>
      <w:r w:rsidRPr="0031675F">
        <w:rPr>
          <w:spacing w:val="-1"/>
        </w:rPr>
        <w:t>volumetric</w:t>
      </w:r>
      <w:r w:rsidRPr="0031675F">
        <w:t xml:space="preserve"> </w:t>
      </w:r>
      <w:r w:rsidRPr="0031675F">
        <w:rPr>
          <w:spacing w:val="-1"/>
        </w:rPr>
        <w:t>flasks.</w:t>
      </w:r>
    </w:p>
    <w:p w14:paraId="662C20BD" w14:textId="05257355" w:rsidR="0031675F" w:rsidRPr="0031675F" w:rsidRDefault="0031675F" w:rsidP="0031675F">
      <w:pPr>
        <w:widowControl w:val="0"/>
        <w:numPr>
          <w:ilvl w:val="0"/>
          <w:numId w:val="113"/>
        </w:numPr>
        <w:tabs>
          <w:tab w:val="left" w:pos="547"/>
        </w:tabs>
        <w:spacing w:before="60" w:after="0" w:line="240" w:lineRule="auto"/>
      </w:pPr>
      <w:r w:rsidRPr="0031675F">
        <w:rPr>
          <w:spacing w:val="-1"/>
        </w:rPr>
        <w:t>Put</w:t>
      </w:r>
      <w:r w:rsidRPr="0031675F">
        <w:rPr>
          <w:spacing w:val="-2"/>
        </w:rPr>
        <w:t xml:space="preserve"> </w:t>
      </w:r>
      <w:r w:rsidRPr="0031675F">
        <w:rPr>
          <w:spacing w:val="-1"/>
        </w:rPr>
        <w:t>working reagent</w:t>
      </w:r>
      <w:r w:rsidRPr="0031675F">
        <w:rPr>
          <w:spacing w:val="-3"/>
        </w:rPr>
        <w:t xml:space="preserve"> </w:t>
      </w:r>
      <w:r w:rsidRPr="0031675F">
        <w:t xml:space="preserve">in </w:t>
      </w:r>
      <w:r w:rsidRPr="0031675F">
        <w:rPr>
          <w:spacing w:val="-1"/>
        </w:rPr>
        <w:t>brown</w:t>
      </w:r>
      <w:r w:rsidRPr="0031675F">
        <w:t xml:space="preserve"> </w:t>
      </w:r>
      <w:r w:rsidRPr="0031675F">
        <w:rPr>
          <w:spacing w:val="-1"/>
        </w:rPr>
        <w:t xml:space="preserve">bottle </w:t>
      </w:r>
      <w:r w:rsidRPr="0031675F">
        <w:t>with</w:t>
      </w:r>
      <w:r w:rsidRPr="0031675F">
        <w:rPr>
          <w:spacing w:val="-2"/>
        </w:rPr>
        <w:t xml:space="preserve"> </w:t>
      </w:r>
      <w:r w:rsidRPr="0031675F">
        <w:t>5</w:t>
      </w:r>
      <w:r w:rsidR="00BB13FD">
        <w:t xml:space="preserve"> mL</w:t>
      </w:r>
      <w:r w:rsidRPr="0031675F">
        <w:rPr>
          <w:spacing w:val="-3"/>
        </w:rPr>
        <w:t xml:space="preserve"> </w:t>
      </w:r>
      <w:r w:rsidRPr="0031675F">
        <w:rPr>
          <w:spacing w:val="-1"/>
        </w:rPr>
        <w:t>dispenser</w:t>
      </w:r>
      <w:r w:rsidRPr="0031675F">
        <w:t xml:space="preserve"> on</w:t>
      </w:r>
      <w:r w:rsidRPr="0031675F">
        <w:rPr>
          <w:spacing w:val="-3"/>
        </w:rPr>
        <w:t xml:space="preserve"> </w:t>
      </w:r>
      <w:r w:rsidRPr="0031675F">
        <w:t>top.</w:t>
      </w:r>
    </w:p>
    <w:p w14:paraId="45F0D1AB" w14:textId="3588E3C7" w:rsidR="0031675F" w:rsidRPr="0031675F" w:rsidRDefault="0031675F" w:rsidP="0031675F">
      <w:pPr>
        <w:widowControl w:val="0"/>
        <w:numPr>
          <w:ilvl w:val="0"/>
          <w:numId w:val="113"/>
        </w:numPr>
        <w:tabs>
          <w:tab w:val="left" w:pos="547"/>
        </w:tabs>
        <w:spacing w:before="60" w:after="0" w:line="240" w:lineRule="auto"/>
      </w:pPr>
      <w:r w:rsidRPr="0031675F">
        <w:rPr>
          <w:spacing w:val="-1"/>
        </w:rPr>
        <w:t>On</w:t>
      </w:r>
      <w:r w:rsidRPr="0031675F">
        <w:t xml:space="preserve"> board</w:t>
      </w:r>
      <w:r w:rsidRPr="0031675F">
        <w:rPr>
          <w:spacing w:val="-1"/>
        </w:rPr>
        <w:t xml:space="preserve"> </w:t>
      </w:r>
      <w:r w:rsidRPr="0031675F">
        <w:t>and</w:t>
      </w:r>
      <w:r w:rsidRPr="0031675F">
        <w:rPr>
          <w:spacing w:val="-2"/>
        </w:rPr>
        <w:t xml:space="preserve"> </w:t>
      </w:r>
      <w:r w:rsidRPr="0031675F">
        <w:rPr>
          <w:spacing w:val="-1"/>
        </w:rPr>
        <w:t>prior</w:t>
      </w:r>
      <w:r w:rsidRPr="0031675F">
        <w:t xml:space="preserve"> </w:t>
      </w:r>
      <w:r w:rsidRPr="0031675F">
        <w:rPr>
          <w:spacing w:val="-1"/>
        </w:rPr>
        <w:t>to</w:t>
      </w:r>
      <w:r w:rsidRPr="0031675F">
        <w:rPr>
          <w:spacing w:val="1"/>
        </w:rPr>
        <w:t xml:space="preserve"> </w:t>
      </w:r>
      <w:r w:rsidRPr="0031675F">
        <w:rPr>
          <w:spacing w:val="-1"/>
        </w:rPr>
        <w:t>real</w:t>
      </w:r>
      <w:r w:rsidRPr="0031675F">
        <w:rPr>
          <w:spacing w:val="-2"/>
        </w:rPr>
        <w:t xml:space="preserve"> </w:t>
      </w:r>
      <w:r w:rsidRPr="0031675F">
        <w:rPr>
          <w:spacing w:val="-1"/>
        </w:rPr>
        <w:t>sampling,</w:t>
      </w:r>
      <w:r w:rsidRPr="0031675F">
        <w:t xml:space="preserve"> </w:t>
      </w:r>
      <w:r w:rsidRPr="0031675F">
        <w:rPr>
          <w:spacing w:val="-1"/>
        </w:rPr>
        <w:t xml:space="preserve">use </w:t>
      </w:r>
      <w:r w:rsidRPr="0031675F">
        <w:t>DiW</w:t>
      </w:r>
      <w:r w:rsidRPr="0031675F">
        <w:rPr>
          <w:spacing w:val="-2"/>
        </w:rPr>
        <w:t xml:space="preserve"> </w:t>
      </w:r>
      <w:r w:rsidRPr="0031675F">
        <w:rPr>
          <w:rFonts w:cs="Calibri"/>
          <w:spacing w:val="-1"/>
        </w:rPr>
        <w:t xml:space="preserve">and </w:t>
      </w:r>
      <w:r w:rsidRPr="0031675F">
        <w:rPr>
          <w:rFonts w:cs="Calibri"/>
        </w:rPr>
        <w:t>5</w:t>
      </w:r>
      <w:r w:rsidRPr="0031675F">
        <w:rPr>
          <w:rFonts w:cs="Calibri"/>
          <w:spacing w:val="-1"/>
        </w:rPr>
        <w:t xml:space="preserve"> </w:t>
      </w:r>
      <w:r w:rsidR="00BB13FD">
        <w:rPr>
          <w:rFonts w:cs="Calibri"/>
          <w:spacing w:val="-1"/>
        </w:rPr>
        <w:t>mL</w:t>
      </w:r>
      <w:r w:rsidRPr="0031675F">
        <w:rPr>
          <w:rFonts w:cs="Calibri"/>
        </w:rPr>
        <w:t xml:space="preserve"> </w:t>
      </w:r>
      <w:r w:rsidRPr="0031675F">
        <w:rPr>
          <w:rFonts w:cs="Calibri"/>
          <w:spacing w:val="-1"/>
        </w:rPr>
        <w:t>working reagent</w:t>
      </w:r>
      <w:r w:rsidRPr="0031675F">
        <w:rPr>
          <w:rFonts w:cs="Calibri"/>
        </w:rPr>
        <w:t xml:space="preserve"> </w:t>
      </w:r>
      <w:r w:rsidRPr="0031675F">
        <w:rPr>
          <w:rFonts w:cs="Calibri"/>
          <w:spacing w:val="-1"/>
        </w:rPr>
        <w:t>to</w:t>
      </w:r>
      <w:r w:rsidRPr="0031675F">
        <w:rPr>
          <w:rFonts w:cs="Calibri"/>
          <w:spacing w:val="1"/>
        </w:rPr>
        <w:t xml:space="preserve"> </w:t>
      </w:r>
      <w:r w:rsidRPr="0031675F">
        <w:rPr>
          <w:rFonts w:cs="Calibri"/>
          <w:spacing w:val="-1"/>
        </w:rPr>
        <w:t>‘burn</w:t>
      </w:r>
      <w:r w:rsidRPr="0031675F">
        <w:rPr>
          <w:rFonts w:cs="Calibri"/>
          <w:spacing w:val="-3"/>
        </w:rPr>
        <w:t xml:space="preserve"> </w:t>
      </w:r>
      <w:r w:rsidRPr="0031675F">
        <w:rPr>
          <w:rFonts w:cs="Calibri"/>
        </w:rPr>
        <w:t xml:space="preserve">out’ </w:t>
      </w:r>
      <w:r w:rsidRPr="0031675F">
        <w:rPr>
          <w:rFonts w:cs="Calibri"/>
          <w:spacing w:val="-1"/>
        </w:rPr>
        <w:t>tubes</w:t>
      </w:r>
      <w:r w:rsidRPr="0031675F">
        <w:rPr>
          <w:rFonts w:cs="Calibri"/>
          <w:spacing w:val="1"/>
        </w:rPr>
        <w:t xml:space="preserve"> </w:t>
      </w:r>
      <w:r w:rsidRPr="0031675F">
        <w:rPr>
          <w:rFonts w:cs="Calibri"/>
          <w:spacing w:val="-1"/>
        </w:rPr>
        <w:t>1</w:t>
      </w:r>
      <w:r w:rsidRPr="0031675F">
        <w:rPr>
          <w:spacing w:val="-1"/>
        </w:rPr>
        <w:t>-9.</w:t>
      </w:r>
    </w:p>
    <w:p w14:paraId="42A87340" w14:textId="4217D8F3" w:rsidR="0031675F" w:rsidRPr="0031675F" w:rsidRDefault="0031675F" w:rsidP="0031675F">
      <w:pPr>
        <w:widowControl w:val="0"/>
        <w:numPr>
          <w:ilvl w:val="0"/>
          <w:numId w:val="113"/>
        </w:numPr>
        <w:tabs>
          <w:tab w:val="left" w:pos="547"/>
        </w:tabs>
        <w:spacing w:before="60" w:after="0" w:line="240" w:lineRule="auto"/>
        <w:ind w:right="120"/>
      </w:pPr>
      <w:r w:rsidRPr="0031675F">
        <w:rPr>
          <w:spacing w:val="-1"/>
        </w:rPr>
        <w:t>On</w:t>
      </w:r>
      <w:r w:rsidRPr="0031675F">
        <w:rPr>
          <w:spacing w:val="7"/>
        </w:rPr>
        <w:t xml:space="preserve"> </w:t>
      </w:r>
      <w:r w:rsidRPr="0031675F">
        <w:t>board</w:t>
      </w:r>
      <w:r w:rsidRPr="0031675F">
        <w:rPr>
          <w:spacing w:val="6"/>
        </w:rPr>
        <w:t xml:space="preserve"> </w:t>
      </w:r>
      <w:r w:rsidRPr="0031675F">
        <w:rPr>
          <w:spacing w:val="-1"/>
        </w:rPr>
        <w:t>and</w:t>
      </w:r>
      <w:r w:rsidRPr="0031675F">
        <w:rPr>
          <w:spacing w:val="6"/>
        </w:rPr>
        <w:t xml:space="preserve"> </w:t>
      </w:r>
      <w:r w:rsidRPr="0031675F">
        <w:rPr>
          <w:spacing w:val="-1"/>
        </w:rPr>
        <w:t>prior</w:t>
      </w:r>
      <w:r w:rsidRPr="0031675F">
        <w:rPr>
          <w:spacing w:val="7"/>
        </w:rPr>
        <w:t xml:space="preserve"> </w:t>
      </w:r>
      <w:r w:rsidRPr="0031675F">
        <w:t>to</w:t>
      </w:r>
      <w:r w:rsidRPr="0031675F">
        <w:rPr>
          <w:spacing w:val="9"/>
        </w:rPr>
        <w:t xml:space="preserve"> </w:t>
      </w:r>
      <w:r w:rsidRPr="0031675F">
        <w:t>real</w:t>
      </w:r>
      <w:r w:rsidRPr="0031675F">
        <w:rPr>
          <w:spacing w:val="4"/>
        </w:rPr>
        <w:t xml:space="preserve"> </w:t>
      </w:r>
      <w:r w:rsidRPr="0031675F">
        <w:rPr>
          <w:spacing w:val="-1"/>
        </w:rPr>
        <w:t>sampling,</w:t>
      </w:r>
      <w:r w:rsidRPr="0031675F">
        <w:rPr>
          <w:spacing w:val="7"/>
        </w:rPr>
        <w:t xml:space="preserve"> </w:t>
      </w:r>
      <w:r w:rsidRPr="0031675F">
        <w:rPr>
          <w:spacing w:val="-1"/>
        </w:rPr>
        <w:t>use</w:t>
      </w:r>
      <w:r w:rsidRPr="0031675F">
        <w:rPr>
          <w:spacing w:val="8"/>
        </w:rPr>
        <w:t xml:space="preserve"> </w:t>
      </w:r>
      <w:r w:rsidRPr="0031675F">
        <w:t>f</w:t>
      </w:r>
      <w:r w:rsidRPr="0031675F">
        <w:rPr>
          <w:rFonts w:cs="Calibri"/>
        </w:rPr>
        <w:t>resh</w:t>
      </w:r>
      <w:r w:rsidRPr="0031675F">
        <w:rPr>
          <w:rFonts w:cs="Calibri"/>
          <w:spacing w:val="7"/>
        </w:rPr>
        <w:t xml:space="preserve"> </w:t>
      </w:r>
      <w:r w:rsidRPr="0031675F">
        <w:rPr>
          <w:rFonts w:cs="Calibri"/>
          <w:spacing w:val="-1"/>
        </w:rPr>
        <w:t>seawater</w:t>
      </w:r>
      <w:r w:rsidRPr="0031675F">
        <w:rPr>
          <w:rFonts w:cs="Calibri"/>
          <w:spacing w:val="7"/>
        </w:rPr>
        <w:t xml:space="preserve"> </w:t>
      </w:r>
      <w:r w:rsidRPr="0031675F">
        <w:rPr>
          <w:rFonts w:cs="Calibri"/>
          <w:spacing w:val="-1"/>
        </w:rPr>
        <w:t>and</w:t>
      </w:r>
      <w:r w:rsidRPr="0031675F">
        <w:rPr>
          <w:rFonts w:cs="Calibri"/>
          <w:spacing w:val="7"/>
        </w:rPr>
        <w:t xml:space="preserve"> </w:t>
      </w:r>
      <w:r w:rsidRPr="0031675F">
        <w:rPr>
          <w:rFonts w:cs="Calibri"/>
        </w:rPr>
        <w:t>5</w:t>
      </w:r>
      <w:r w:rsidRPr="0031675F">
        <w:rPr>
          <w:rFonts w:cs="Calibri"/>
          <w:spacing w:val="8"/>
        </w:rPr>
        <w:t xml:space="preserve"> </w:t>
      </w:r>
      <w:r w:rsidR="00BB13FD">
        <w:rPr>
          <w:rFonts w:cs="Calibri"/>
        </w:rPr>
        <w:t>mL</w:t>
      </w:r>
      <w:r w:rsidRPr="0031675F">
        <w:rPr>
          <w:rFonts w:cs="Calibri"/>
          <w:spacing w:val="7"/>
        </w:rPr>
        <w:t xml:space="preserve"> </w:t>
      </w:r>
      <w:r w:rsidRPr="0031675F">
        <w:rPr>
          <w:rFonts w:cs="Calibri"/>
          <w:spacing w:val="-1"/>
        </w:rPr>
        <w:t>working</w:t>
      </w:r>
      <w:r w:rsidRPr="0031675F">
        <w:rPr>
          <w:rFonts w:cs="Calibri"/>
          <w:spacing w:val="6"/>
        </w:rPr>
        <w:t xml:space="preserve"> </w:t>
      </w:r>
      <w:r w:rsidRPr="0031675F">
        <w:rPr>
          <w:rFonts w:cs="Calibri"/>
          <w:spacing w:val="-1"/>
        </w:rPr>
        <w:t>reagent</w:t>
      </w:r>
      <w:r w:rsidRPr="0031675F">
        <w:rPr>
          <w:rFonts w:cs="Calibri"/>
          <w:spacing w:val="8"/>
        </w:rPr>
        <w:t xml:space="preserve"> </w:t>
      </w:r>
      <w:r w:rsidRPr="0031675F">
        <w:rPr>
          <w:rFonts w:cs="Calibri"/>
        </w:rPr>
        <w:t>to</w:t>
      </w:r>
      <w:r w:rsidRPr="0031675F">
        <w:rPr>
          <w:rFonts w:cs="Calibri"/>
          <w:spacing w:val="9"/>
        </w:rPr>
        <w:t xml:space="preserve"> </w:t>
      </w:r>
      <w:r w:rsidRPr="0031675F">
        <w:rPr>
          <w:rFonts w:cs="Calibri"/>
          <w:spacing w:val="-1"/>
        </w:rPr>
        <w:t>‘burn</w:t>
      </w:r>
      <w:r w:rsidRPr="0031675F">
        <w:rPr>
          <w:rFonts w:cs="Calibri"/>
          <w:spacing w:val="6"/>
        </w:rPr>
        <w:t xml:space="preserve"> </w:t>
      </w:r>
      <w:r w:rsidRPr="0031675F">
        <w:rPr>
          <w:rFonts w:cs="Calibri"/>
          <w:spacing w:val="-1"/>
        </w:rPr>
        <w:t>out’</w:t>
      </w:r>
      <w:r w:rsidRPr="0031675F">
        <w:rPr>
          <w:rFonts w:cs="Calibri"/>
          <w:spacing w:val="63"/>
        </w:rPr>
        <w:t xml:space="preserve"> </w:t>
      </w:r>
      <w:r w:rsidRPr="0031675F">
        <w:rPr>
          <w:spacing w:val="-1"/>
        </w:rPr>
        <w:t>remainder</w:t>
      </w:r>
      <w:r w:rsidRPr="0031675F">
        <w:rPr>
          <w:spacing w:val="-2"/>
        </w:rPr>
        <w:t xml:space="preserve"> </w:t>
      </w:r>
      <w:r w:rsidRPr="0031675F">
        <w:t>of</w:t>
      </w:r>
      <w:r w:rsidRPr="0031675F">
        <w:rPr>
          <w:spacing w:val="-3"/>
        </w:rPr>
        <w:t xml:space="preserve"> </w:t>
      </w:r>
      <w:r w:rsidRPr="0031675F">
        <w:rPr>
          <w:spacing w:val="-1"/>
        </w:rPr>
        <w:t>tubes.</w:t>
      </w:r>
    </w:p>
    <w:p w14:paraId="535A27D4" w14:textId="34D1F9BC" w:rsidR="0031675F" w:rsidRPr="0031675F" w:rsidRDefault="0031675F" w:rsidP="0031675F">
      <w:pPr>
        <w:widowControl w:val="0"/>
        <w:numPr>
          <w:ilvl w:val="0"/>
          <w:numId w:val="113"/>
        </w:numPr>
        <w:tabs>
          <w:tab w:val="left" w:pos="547"/>
        </w:tabs>
        <w:spacing w:before="58" w:after="0" w:line="240" w:lineRule="auto"/>
      </w:pPr>
      <w:r w:rsidRPr="0031675F">
        <w:t>Make</w:t>
      </w:r>
      <w:r w:rsidRPr="0031675F">
        <w:rPr>
          <w:spacing w:val="-2"/>
        </w:rPr>
        <w:t xml:space="preserve"> </w:t>
      </w:r>
      <w:r w:rsidRPr="0031675F">
        <w:rPr>
          <w:spacing w:val="-1"/>
        </w:rPr>
        <w:t>up standards</w:t>
      </w:r>
      <w:r w:rsidRPr="0031675F">
        <w:rPr>
          <w:spacing w:val="-2"/>
        </w:rPr>
        <w:t xml:space="preserve"> </w:t>
      </w:r>
      <w:r w:rsidRPr="0031675F">
        <w:rPr>
          <w:spacing w:val="-1"/>
        </w:rPr>
        <w:t>0.5</w:t>
      </w:r>
      <w:r w:rsidR="00BB13FD">
        <w:rPr>
          <w:spacing w:val="-1"/>
        </w:rPr>
        <w:t xml:space="preserve"> </w:t>
      </w:r>
      <w:r w:rsidRPr="0031675F">
        <w:rPr>
          <w:spacing w:val="-1"/>
        </w:rPr>
        <w:t>uM</w:t>
      </w:r>
      <w:r w:rsidRPr="0031675F">
        <w:rPr>
          <w:spacing w:val="-2"/>
        </w:rPr>
        <w:t xml:space="preserve"> </w:t>
      </w:r>
      <w:r w:rsidRPr="0031675F">
        <w:t>and</w:t>
      </w:r>
      <w:r w:rsidRPr="0031675F">
        <w:rPr>
          <w:spacing w:val="-1"/>
        </w:rPr>
        <w:t xml:space="preserve"> </w:t>
      </w:r>
      <w:r w:rsidRPr="0031675F">
        <w:t>1</w:t>
      </w:r>
      <w:r w:rsidR="00BB13FD">
        <w:t xml:space="preserve"> </w:t>
      </w:r>
      <w:r w:rsidRPr="0031675F">
        <w:t>uM in</w:t>
      </w:r>
      <w:r w:rsidRPr="0031675F">
        <w:rPr>
          <w:spacing w:val="-3"/>
        </w:rPr>
        <w:t xml:space="preserve"> </w:t>
      </w:r>
      <w:r w:rsidRPr="0031675F">
        <w:rPr>
          <w:spacing w:val="-1"/>
        </w:rPr>
        <w:t>250</w:t>
      </w:r>
      <w:r w:rsidR="00BB13FD">
        <w:rPr>
          <w:spacing w:val="-1"/>
        </w:rPr>
        <w:t xml:space="preserve"> mL</w:t>
      </w:r>
      <w:r w:rsidRPr="0031675F">
        <w:rPr>
          <w:spacing w:val="-2"/>
        </w:rPr>
        <w:t xml:space="preserve"> </w:t>
      </w:r>
      <w:r w:rsidRPr="0031675F">
        <w:rPr>
          <w:spacing w:val="-1"/>
        </w:rPr>
        <w:t>volumetric</w:t>
      </w:r>
      <w:r w:rsidRPr="0031675F">
        <w:t xml:space="preserve"> </w:t>
      </w:r>
      <w:r w:rsidRPr="0031675F">
        <w:rPr>
          <w:spacing w:val="-1"/>
        </w:rPr>
        <w:t>flasks</w:t>
      </w:r>
      <w:r w:rsidRPr="0031675F">
        <w:t xml:space="preserve"> </w:t>
      </w:r>
      <w:r w:rsidRPr="0031675F">
        <w:rPr>
          <w:spacing w:val="-1"/>
        </w:rPr>
        <w:t>for</w:t>
      </w:r>
      <w:r w:rsidRPr="0031675F">
        <w:t xml:space="preserve"> </w:t>
      </w:r>
      <w:r w:rsidRPr="0031675F">
        <w:rPr>
          <w:spacing w:val="-1"/>
        </w:rPr>
        <w:t xml:space="preserve">both </w:t>
      </w:r>
      <w:r w:rsidRPr="0031675F">
        <w:t>DiW</w:t>
      </w:r>
      <w:r w:rsidRPr="0031675F">
        <w:rPr>
          <w:spacing w:val="-1"/>
        </w:rPr>
        <w:t xml:space="preserve"> and</w:t>
      </w:r>
      <w:r w:rsidRPr="0031675F">
        <w:rPr>
          <w:spacing w:val="-3"/>
        </w:rPr>
        <w:t xml:space="preserve"> </w:t>
      </w:r>
      <w:r w:rsidRPr="0031675F">
        <w:rPr>
          <w:spacing w:val="-1"/>
        </w:rPr>
        <w:t>seawater.</w:t>
      </w:r>
    </w:p>
    <w:p w14:paraId="44B6D817" w14:textId="696BC9E0" w:rsidR="0031675F" w:rsidRPr="0031675F" w:rsidRDefault="0031675F" w:rsidP="0031675F">
      <w:pPr>
        <w:widowControl w:val="0"/>
        <w:numPr>
          <w:ilvl w:val="0"/>
          <w:numId w:val="113"/>
        </w:numPr>
        <w:tabs>
          <w:tab w:val="left" w:pos="547"/>
        </w:tabs>
        <w:spacing w:before="60" w:after="0" w:line="240" w:lineRule="auto"/>
        <w:ind w:right="111"/>
        <w:jc w:val="both"/>
      </w:pPr>
      <w:r w:rsidRPr="0031675F">
        <w:t>Pour</w:t>
      </w:r>
      <w:r w:rsidRPr="0031675F">
        <w:rPr>
          <w:spacing w:val="14"/>
        </w:rPr>
        <w:t xml:space="preserve"> </w:t>
      </w:r>
      <w:r w:rsidRPr="0031675F">
        <w:rPr>
          <w:spacing w:val="-1"/>
        </w:rPr>
        <w:t>20</w:t>
      </w:r>
      <w:r w:rsidR="00BB13FD">
        <w:rPr>
          <w:spacing w:val="-1"/>
        </w:rPr>
        <w:t xml:space="preserve"> mL</w:t>
      </w:r>
      <w:r w:rsidRPr="0031675F">
        <w:rPr>
          <w:spacing w:val="14"/>
        </w:rPr>
        <w:t xml:space="preserve"> </w:t>
      </w:r>
      <w:r w:rsidRPr="0031675F">
        <w:rPr>
          <w:spacing w:val="-1"/>
        </w:rPr>
        <w:t>into</w:t>
      </w:r>
      <w:r w:rsidRPr="0031675F">
        <w:rPr>
          <w:spacing w:val="18"/>
        </w:rPr>
        <w:t xml:space="preserve"> </w:t>
      </w:r>
      <w:r w:rsidRPr="0031675F">
        <w:rPr>
          <w:spacing w:val="-1"/>
        </w:rPr>
        <w:t>sample</w:t>
      </w:r>
      <w:r w:rsidRPr="0031675F">
        <w:rPr>
          <w:spacing w:val="14"/>
        </w:rPr>
        <w:t xml:space="preserve"> </w:t>
      </w:r>
      <w:r w:rsidRPr="0031675F">
        <w:rPr>
          <w:spacing w:val="-1"/>
        </w:rPr>
        <w:t>tubes</w:t>
      </w:r>
      <w:r w:rsidRPr="0031675F">
        <w:rPr>
          <w:spacing w:val="17"/>
        </w:rPr>
        <w:t xml:space="preserve"> </w:t>
      </w:r>
      <w:r w:rsidRPr="0031675F">
        <w:t>as</w:t>
      </w:r>
      <w:r w:rsidRPr="0031675F">
        <w:rPr>
          <w:spacing w:val="14"/>
        </w:rPr>
        <w:t xml:space="preserve"> </w:t>
      </w:r>
      <w:r w:rsidRPr="0031675F">
        <w:rPr>
          <w:spacing w:val="-1"/>
        </w:rPr>
        <w:t>per</w:t>
      </w:r>
      <w:r w:rsidRPr="0031675F">
        <w:rPr>
          <w:spacing w:val="14"/>
        </w:rPr>
        <w:t xml:space="preserve"> </w:t>
      </w:r>
      <w:r w:rsidRPr="0031675F">
        <w:rPr>
          <w:spacing w:val="-1"/>
        </w:rPr>
        <w:t>worksheet,</w:t>
      </w:r>
      <w:r w:rsidRPr="0031675F">
        <w:rPr>
          <w:spacing w:val="17"/>
        </w:rPr>
        <w:t xml:space="preserve"> </w:t>
      </w:r>
      <w:r w:rsidRPr="0031675F">
        <w:rPr>
          <w:spacing w:val="-2"/>
        </w:rPr>
        <w:t>rinsing</w:t>
      </w:r>
      <w:r w:rsidRPr="0031675F">
        <w:rPr>
          <w:spacing w:val="16"/>
        </w:rPr>
        <w:t xml:space="preserve"> </w:t>
      </w:r>
      <w:r w:rsidRPr="0031675F">
        <w:rPr>
          <w:spacing w:val="-1"/>
        </w:rPr>
        <w:t>tube</w:t>
      </w:r>
      <w:r w:rsidRPr="0031675F">
        <w:rPr>
          <w:spacing w:val="17"/>
        </w:rPr>
        <w:t xml:space="preserve"> </w:t>
      </w:r>
      <w:r w:rsidRPr="0031675F">
        <w:rPr>
          <w:spacing w:val="-1"/>
        </w:rPr>
        <w:t>appropriate</w:t>
      </w:r>
      <w:r w:rsidRPr="0031675F">
        <w:rPr>
          <w:spacing w:val="15"/>
        </w:rPr>
        <w:t xml:space="preserve"> </w:t>
      </w:r>
      <w:r w:rsidRPr="0031675F">
        <w:t>with</w:t>
      </w:r>
      <w:r w:rsidRPr="0031675F">
        <w:rPr>
          <w:spacing w:val="14"/>
        </w:rPr>
        <w:t xml:space="preserve"> </w:t>
      </w:r>
      <w:r w:rsidRPr="0031675F">
        <w:rPr>
          <w:spacing w:val="-1"/>
        </w:rPr>
        <w:t>solution</w:t>
      </w:r>
      <w:r w:rsidRPr="0031675F">
        <w:rPr>
          <w:spacing w:val="14"/>
        </w:rPr>
        <w:t xml:space="preserve"> </w:t>
      </w:r>
      <w:r w:rsidRPr="0031675F">
        <w:t>3</w:t>
      </w:r>
      <w:r w:rsidRPr="0031675F">
        <w:rPr>
          <w:spacing w:val="17"/>
        </w:rPr>
        <w:t xml:space="preserve"> </w:t>
      </w:r>
      <w:r w:rsidRPr="0031675F">
        <w:rPr>
          <w:spacing w:val="-2"/>
        </w:rPr>
        <w:t>times.</w:t>
      </w:r>
      <w:r w:rsidRPr="0031675F">
        <w:rPr>
          <w:spacing w:val="68"/>
        </w:rPr>
        <w:t xml:space="preserve"> </w:t>
      </w:r>
      <w:r w:rsidRPr="0031675F">
        <w:rPr>
          <w:spacing w:val="-1"/>
        </w:rPr>
        <w:t>Using</w:t>
      </w:r>
      <w:r w:rsidRPr="0031675F">
        <w:rPr>
          <w:spacing w:val="23"/>
        </w:rPr>
        <w:t xml:space="preserve"> </w:t>
      </w:r>
      <w:r w:rsidRPr="0031675F">
        <w:rPr>
          <w:spacing w:val="-1"/>
        </w:rPr>
        <w:t>fresh</w:t>
      </w:r>
      <w:r w:rsidRPr="0031675F">
        <w:rPr>
          <w:spacing w:val="24"/>
        </w:rPr>
        <w:t xml:space="preserve"> </w:t>
      </w:r>
      <w:r w:rsidRPr="0031675F">
        <w:rPr>
          <w:spacing w:val="-1"/>
        </w:rPr>
        <w:t>seawater</w:t>
      </w:r>
      <w:r w:rsidRPr="0031675F">
        <w:rPr>
          <w:spacing w:val="24"/>
        </w:rPr>
        <w:t xml:space="preserve"> </w:t>
      </w:r>
      <w:r w:rsidRPr="0031675F">
        <w:rPr>
          <w:spacing w:val="-1"/>
        </w:rPr>
        <w:t>solution,</w:t>
      </w:r>
      <w:r w:rsidRPr="0031675F">
        <w:rPr>
          <w:spacing w:val="24"/>
        </w:rPr>
        <w:t xml:space="preserve"> </w:t>
      </w:r>
      <w:r w:rsidRPr="0031675F">
        <w:rPr>
          <w:spacing w:val="-1"/>
        </w:rPr>
        <w:t>process</w:t>
      </w:r>
      <w:r w:rsidRPr="0031675F">
        <w:rPr>
          <w:spacing w:val="24"/>
        </w:rPr>
        <w:t xml:space="preserve"> </w:t>
      </w:r>
      <w:r w:rsidRPr="0031675F">
        <w:rPr>
          <w:spacing w:val="-1"/>
        </w:rPr>
        <w:t>without</w:t>
      </w:r>
      <w:r w:rsidRPr="0031675F">
        <w:rPr>
          <w:spacing w:val="24"/>
        </w:rPr>
        <w:t xml:space="preserve"> </w:t>
      </w:r>
      <w:r w:rsidRPr="0031675F">
        <w:rPr>
          <w:spacing w:val="-1"/>
        </w:rPr>
        <w:t>delay</w:t>
      </w:r>
      <w:r w:rsidRPr="0031675F">
        <w:rPr>
          <w:spacing w:val="22"/>
        </w:rPr>
        <w:t xml:space="preserve"> </w:t>
      </w:r>
      <w:r w:rsidRPr="0031675F">
        <w:t>to</w:t>
      </w:r>
      <w:r w:rsidRPr="0031675F">
        <w:rPr>
          <w:spacing w:val="26"/>
        </w:rPr>
        <w:t xml:space="preserve"> </w:t>
      </w:r>
      <w:r w:rsidRPr="0031675F">
        <w:rPr>
          <w:spacing w:val="-1"/>
        </w:rPr>
        <w:t>avoid</w:t>
      </w:r>
      <w:r w:rsidRPr="0031675F">
        <w:rPr>
          <w:spacing w:val="23"/>
        </w:rPr>
        <w:t xml:space="preserve"> </w:t>
      </w:r>
      <w:r w:rsidRPr="0031675F">
        <w:rPr>
          <w:spacing w:val="-1"/>
        </w:rPr>
        <w:t>consumption</w:t>
      </w:r>
      <w:r w:rsidRPr="0031675F">
        <w:rPr>
          <w:spacing w:val="23"/>
        </w:rPr>
        <w:t xml:space="preserve"> </w:t>
      </w:r>
      <w:r w:rsidRPr="0031675F">
        <w:t>of</w:t>
      </w:r>
      <w:r w:rsidRPr="0031675F">
        <w:rPr>
          <w:spacing w:val="21"/>
        </w:rPr>
        <w:t xml:space="preserve"> </w:t>
      </w:r>
      <w:r w:rsidRPr="0031675F">
        <w:rPr>
          <w:spacing w:val="-1"/>
        </w:rPr>
        <w:t>NH4.</w:t>
      </w:r>
      <w:r w:rsidRPr="0031675F">
        <w:rPr>
          <w:spacing w:val="23"/>
        </w:rPr>
        <w:t xml:space="preserve"> </w:t>
      </w:r>
      <w:r w:rsidRPr="0031675F">
        <w:rPr>
          <w:spacing w:val="-1"/>
        </w:rPr>
        <w:t>Add</w:t>
      </w:r>
      <w:r w:rsidRPr="0031675F">
        <w:rPr>
          <w:spacing w:val="23"/>
        </w:rPr>
        <w:t xml:space="preserve"> </w:t>
      </w:r>
      <w:r w:rsidRPr="0031675F">
        <w:t>5</w:t>
      </w:r>
      <w:r w:rsidRPr="0031675F">
        <w:rPr>
          <w:spacing w:val="25"/>
        </w:rPr>
        <w:t xml:space="preserve"> </w:t>
      </w:r>
      <w:r w:rsidR="00BB13FD">
        <w:t>mL</w:t>
      </w:r>
      <w:r w:rsidRPr="0031675F">
        <w:rPr>
          <w:spacing w:val="65"/>
        </w:rPr>
        <w:t xml:space="preserve"> </w:t>
      </w:r>
      <w:r w:rsidRPr="0031675F">
        <w:rPr>
          <w:spacing w:val="-1"/>
        </w:rPr>
        <w:t>working</w:t>
      </w:r>
      <w:r w:rsidRPr="0031675F">
        <w:rPr>
          <w:spacing w:val="6"/>
        </w:rPr>
        <w:t xml:space="preserve"> </w:t>
      </w:r>
      <w:r w:rsidRPr="0031675F">
        <w:rPr>
          <w:spacing w:val="-1"/>
        </w:rPr>
        <w:t>reagent</w:t>
      </w:r>
      <w:r w:rsidRPr="0031675F">
        <w:rPr>
          <w:spacing w:val="7"/>
        </w:rPr>
        <w:t xml:space="preserve"> </w:t>
      </w:r>
      <w:r w:rsidRPr="0031675F">
        <w:rPr>
          <w:spacing w:val="-1"/>
        </w:rPr>
        <w:t>to</w:t>
      </w:r>
      <w:r w:rsidRPr="0031675F">
        <w:rPr>
          <w:spacing w:val="8"/>
        </w:rPr>
        <w:t xml:space="preserve"> </w:t>
      </w:r>
      <w:r w:rsidRPr="0031675F">
        <w:t>each</w:t>
      </w:r>
      <w:r w:rsidRPr="0031675F">
        <w:rPr>
          <w:spacing w:val="6"/>
        </w:rPr>
        <w:t xml:space="preserve"> </w:t>
      </w:r>
      <w:r w:rsidRPr="0031675F">
        <w:rPr>
          <w:spacing w:val="-2"/>
        </w:rPr>
        <w:t>set</w:t>
      </w:r>
      <w:r w:rsidRPr="0031675F">
        <w:rPr>
          <w:spacing w:val="8"/>
        </w:rPr>
        <w:t xml:space="preserve"> </w:t>
      </w:r>
      <w:r w:rsidRPr="0031675F">
        <w:t>of</w:t>
      </w:r>
      <w:r w:rsidRPr="0031675F">
        <w:rPr>
          <w:spacing w:val="7"/>
        </w:rPr>
        <w:t xml:space="preserve"> </w:t>
      </w:r>
      <w:r w:rsidRPr="0031675F">
        <w:rPr>
          <w:spacing w:val="-1"/>
        </w:rPr>
        <w:t>standards</w:t>
      </w:r>
      <w:r w:rsidRPr="0031675F">
        <w:rPr>
          <w:spacing w:val="7"/>
        </w:rPr>
        <w:t xml:space="preserve"> </w:t>
      </w:r>
      <w:r w:rsidRPr="0031675F">
        <w:t>(DiW</w:t>
      </w:r>
      <w:r w:rsidRPr="0031675F">
        <w:rPr>
          <w:spacing w:val="5"/>
        </w:rPr>
        <w:t xml:space="preserve"> </w:t>
      </w:r>
      <w:r w:rsidRPr="0031675F">
        <w:rPr>
          <w:spacing w:val="-1"/>
        </w:rPr>
        <w:t>tubes</w:t>
      </w:r>
      <w:r w:rsidRPr="0031675F">
        <w:rPr>
          <w:spacing w:val="5"/>
        </w:rPr>
        <w:t xml:space="preserve"> </w:t>
      </w:r>
      <w:r w:rsidRPr="0031675F">
        <w:t>1-9</w:t>
      </w:r>
      <w:r w:rsidRPr="0031675F">
        <w:rPr>
          <w:spacing w:val="8"/>
        </w:rPr>
        <w:t xml:space="preserve"> </w:t>
      </w:r>
      <w:r w:rsidRPr="0031675F">
        <w:rPr>
          <w:spacing w:val="-1"/>
        </w:rPr>
        <w:t>and</w:t>
      </w:r>
      <w:r w:rsidRPr="0031675F">
        <w:rPr>
          <w:spacing w:val="6"/>
        </w:rPr>
        <w:t xml:space="preserve"> </w:t>
      </w:r>
      <w:r w:rsidRPr="0031675F">
        <w:rPr>
          <w:spacing w:val="-1"/>
        </w:rPr>
        <w:t>seawater</w:t>
      </w:r>
      <w:r w:rsidRPr="0031675F">
        <w:rPr>
          <w:spacing w:val="7"/>
        </w:rPr>
        <w:t xml:space="preserve"> </w:t>
      </w:r>
      <w:r w:rsidRPr="0031675F">
        <w:rPr>
          <w:spacing w:val="-1"/>
        </w:rPr>
        <w:t>tubes</w:t>
      </w:r>
      <w:r w:rsidRPr="0031675F">
        <w:rPr>
          <w:spacing w:val="8"/>
        </w:rPr>
        <w:t xml:space="preserve"> </w:t>
      </w:r>
      <w:r w:rsidRPr="0031675F">
        <w:rPr>
          <w:spacing w:val="-1"/>
        </w:rPr>
        <w:t>10-18),</w:t>
      </w:r>
      <w:r w:rsidRPr="0031675F">
        <w:rPr>
          <w:spacing w:val="5"/>
        </w:rPr>
        <w:t xml:space="preserve"> </w:t>
      </w:r>
      <w:r w:rsidRPr="0031675F">
        <w:rPr>
          <w:spacing w:val="-1"/>
        </w:rPr>
        <w:t>cap,</w:t>
      </w:r>
      <w:r w:rsidRPr="0031675F">
        <w:rPr>
          <w:spacing w:val="7"/>
        </w:rPr>
        <w:t xml:space="preserve"> </w:t>
      </w:r>
      <w:r w:rsidRPr="0031675F">
        <w:rPr>
          <w:spacing w:val="-1"/>
        </w:rPr>
        <w:t>shake</w:t>
      </w:r>
      <w:r w:rsidRPr="0031675F">
        <w:rPr>
          <w:spacing w:val="61"/>
        </w:rPr>
        <w:t xml:space="preserve"> </w:t>
      </w:r>
      <w:r w:rsidRPr="0031675F">
        <w:t xml:space="preserve">with </w:t>
      </w:r>
      <w:r w:rsidRPr="0031675F">
        <w:rPr>
          <w:spacing w:val="-1"/>
        </w:rPr>
        <w:t>vortex,</w:t>
      </w:r>
      <w:r w:rsidRPr="0031675F">
        <w:t xml:space="preserve"> </w:t>
      </w:r>
      <w:r w:rsidRPr="0031675F">
        <w:rPr>
          <w:spacing w:val="-1"/>
        </w:rPr>
        <w:t>place</w:t>
      </w:r>
      <w:r w:rsidRPr="0031675F">
        <w:rPr>
          <w:spacing w:val="1"/>
        </w:rPr>
        <w:t xml:space="preserve"> </w:t>
      </w:r>
      <w:r w:rsidRPr="0031675F">
        <w:t>in</w:t>
      </w:r>
      <w:r w:rsidRPr="0031675F">
        <w:rPr>
          <w:spacing w:val="-1"/>
        </w:rPr>
        <w:t xml:space="preserve"> box</w:t>
      </w:r>
      <w:r w:rsidRPr="0031675F">
        <w:rPr>
          <w:spacing w:val="-2"/>
        </w:rPr>
        <w:t xml:space="preserve"> </w:t>
      </w:r>
      <w:r w:rsidRPr="0031675F">
        <w:rPr>
          <w:spacing w:val="-1"/>
        </w:rPr>
        <w:t>with</w:t>
      </w:r>
      <w:r w:rsidRPr="0031675F">
        <w:t xml:space="preserve"> lid</w:t>
      </w:r>
      <w:r w:rsidRPr="0031675F">
        <w:rPr>
          <w:spacing w:val="-2"/>
        </w:rPr>
        <w:t xml:space="preserve"> </w:t>
      </w:r>
      <w:r w:rsidRPr="0031675F">
        <w:t>and</w:t>
      </w:r>
      <w:r w:rsidRPr="0031675F">
        <w:rPr>
          <w:spacing w:val="-2"/>
        </w:rPr>
        <w:t xml:space="preserve"> </w:t>
      </w:r>
      <w:r w:rsidRPr="0031675F">
        <w:rPr>
          <w:spacing w:val="-1"/>
        </w:rPr>
        <w:t>note</w:t>
      </w:r>
      <w:r w:rsidRPr="0031675F">
        <w:t xml:space="preserve"> </w:t>
      </w:r>
      <w:r w:rsidRPr="0031675F">
        <w:rPr>
          <w:spacing w:val="-1"/>
        </w:rPr>
        <w:t>time</w:t>
      </w:r>
      <w:r w:rsidRPr="0031675F">
        <w:rPr>
          <w:spacing w:val="-2"/>
        </w:rPr>
        <w:t xml:space="preserve"> </w:t>
      </w:r>
      <w:r w:rsidRPr="0031675F">
        <w:t>of</w:t>
      </w:r>
      <w:r w:rsidRPr="0031675F">
        <w:rPr>
          <w:spacing w:val="-3"/>
        </w:rPr>
        <w:t xml:space="preserve"> </w:t>
      </w:r>
      <w:r w:rsidRPr="0031675F">
        <w:t>WR</w:t>
      </w:r>
      <w:r w:rsidRPr="0031675F">
        <w:rPr>
          <w:spacing w:val="-2"/>
        </w:rPr>
        <w:t xml:space="preserve"> </w:t>
      </w:r>
      <w:r w:rsidRPr="0031675F">
        <w:rPr>
          <w:spacing w:val="-1"/>
        </w:rPr>
        <w:t>addition.</w:t>
      </w:r>
    </w:p>
    <w:p w14:paraId="358CCFA9" w14:textId="259C90B2" w:rsidR="0031675F" w:rsidRPr="0031675F" w:rsidRDefault="0031675F" w:rsidP="0031675F">
      <w:pPr>
        <w:widowControl w:val="0"/>
        <w:numPr>
          <w:ilvl w:val="0"/>
          <w:numId w:val="113"/>
        </w:numPr>
        <w:tabs>
          <w:tab w:val="left" w:pos="547"/>
        </w:tabs>
        <w:spacing w:before="60" w:after="0" w:line="240" w:lineRule="auto"/>
        <w:ind w:right="120"/>
      </w:pPr>
      <w:r w:rsidRPr="0031675F">
        <w:rPr>
          <w:spacing w:val="-1"/>
        </w:rPr>
        <w:t>Add</w:t>
      </w:r>
      <w:r w:rsidRPr="0031675F">
        <w:rPr>
          <w:spacing w:val="47"/>
        </w:rPr>
        <w:t xml:space="preserve"> </w:t>
      </w:r>
      <w:r w:rsidRPr="0031675F">
        <w:rPr>
          <w:spacing w:val="-1"/>
        </w:rPr>
        <w:t>seawater</w:t>
      </w:r>
      <w:r w:rsidRPr="0031675F">
        <w:rPr>
          <w:spacing w:val="48"/>
        </w:rPr>
        <w:t xml:space="preserve"> </w:t>
      </w:r>
      <w:r w:rsidRPr="0031675F">
        <w:rPr>
          <w:spacing w:val="-1"/>
        </w:rPr>
        <w:t>to</w:t>
      </w:r>
      <w:r w:rsidRPr="0031675F">
        <w:rPr>
          <w:spacing w:val="47"/>
        </w:rPr>
        <w:t xml:space="preserve"> </w:t>
      </w:r>
      <w:r w:rsidRPr="0031675F">
        <w:rPr>
          <w:spacing w:val="-1"/>
        </w:rPr>
        <w:t>tubes</w:t>
      </w:r>
      <w:r w:rsidRPr="0031675F">
        <w:rPr>
          <w:spacing w:val="45"/>
        </w:rPr>
        <w:t xml:space="preserve"> </w:t>
      </w:r>
      <w:r w:rsidRPr="0031675F">
        <w:rPr>
          <w:spacing w:val="-1"/>
        </w:rPr>
        <w:t>19-21</w:t>
      </w:r>
      <w:r w:rsidRPr="0031675F">
        <w:rPr>
          <w:spacing w:val="49"/>
        </w:rPr>
        <w:t xml:space="preserve"> </w:t>
      </w:r>
      <w:r w:rsidRPr="0031675F">
        <w:rPr>
          <w:spacing w:val="-1"/>
        </w:rPr>
        <w:t>for</w:t>
      </w:r>
      <w:r w:rsidRPr="0031675F">
        <w:rPr>
          <w:spacing w:val="48"/>
        </w:rPr>
        <w:t xml:space="preserve"> </w:t>
      </w:r>
      <w:r w:rsidRPr="0031675F">
        <w:rPr>
          <w:spacing w:val="-1"/>
        </w:rPr>
        <w:t>determining</w:t>
      </w:r>
      <w:r w:rsidRPr="0031675F">
        <w:rPr>
          <w:spacing w:val="48"/>
        </w:rPr>
        <w:t xml:space="preserve"> </w:t>
      </w:r>
      <w:r w:rsidRPr="0031675F">
        <w:rPr>
          <w:spacing w:val="-1"/>
        </w:rPr>
        <w:t>background</w:t>
      </w:r>
      <w:r w:rsidRPr="0031675F">
        <w:rPr>
          <w:spacing w:val="47"/>
        </w:rPr>
        <w:t xml:space="preserve"> </w:t>
      </w:r>
      <w:r w:rsidRPr="0031675F">
        <w:rPr>
          <w:spacing w:val="-1"/>
        </w:rPr>
        <w:t>fluorescence.</w:t>
      </w:r>
      <w:r w:rsidRPr="0031675F">
        <w:rPr>
          <w:spacing w:val="48"/>
        </w:rPr>
        <w:t xml:space="preserve"> </w:t>
      </w:r>
      <w:r w:rsidRPr="0031675F">
        <w:rPr>
          <w:spacing w:val="-2"/>
        </w:rPr>
        <w:t>Add</w:t>
      </w:r>
      <w:r w:rsidRPr="0031675F">
        <w:rPr>
          <w:spacing w:val="48"/>
        </w:rPr>
        <w:t xml:space="preserve"> </w:t>
      </w:r>
      <w:r w:rsidRPr="0031675F">
        <w:t>5</w:t>
      </w:r>
      <w:r w:rsidR="00BB13FD">
        <w:t xml:space="preserve"> mL</w:t>
      </w:r>
      <w:r w:rsidRPr="0031675F">
        <w:rPr>
          <w:spacing w:val="45"/>
        </w:rPr>
        <w:t xml:space="preserve"> </w:t>
      </w:r>
      <w:r w:rsidRPr="0031675F">
        <w:t>of</w:t>
      </w:r>
      <w:r w:rsidRPr="0031675F">
        <w:rPr>
          <w:spacing w:val="46"/>
        </w:rPr>
        <w:t xml:space="preserve"> </w:t>
      </w:r>
      <w:r w:rsidRPr="0031675F">
        <w:rPr>
          <w:spacing w:val="-1"/>
        </w:rPr>
        <w:t>borate</w:t>
      </w:r>
      <w:r w:rsidRPr="0031675F">
        <w:rPr>
          <w:spacing w:val="53"/>
        </w:rPr>
        <w:t xml:space="preserve"> </w:t>
      </w:r>
      <w:r w:rsidRPr="0031675F">
        <w:rPr>
          <w:spacing w:val="-1"/>
        </w:rPr>
        <w:t>buffer</w:t>
      </w:r>
      <w:r w:rsidRPr="0031675F">
        <w:t xml:space="preserve"> </w:t>
      </w:r>
      <w:r w:rsidRPr="0031675F">
        <w:rPr>
          <w:spacing w:val="-1"/>
        </w:rPr>
        <w:t>(not</w:t>
      </w:r>
      <w:r w:rsidRPr="0031675F">
        <w:rPr>
          <w:spacing w:val="-2"/>
        </w:rPr>
        <w:t xml:space="preserve"> </w:t>
      </w:r>
      <w:r w:rsidRPr="0031675F">
        <w:rPr>
          <w:spacing w:val="-1"/>
        </w:rPr>
        <w:t>working reagent)</w:t>
      </w:r>
      <w:r w:rsidRPr="0031675F">
        <w:rPr>
          <w:spacing w:val="1"/>
        </w:rPr>
        <w:t xml:space="preserve"> </w:t>
      </w:r>
      <w:r w:rsidRPr="0031675F">
        <w:rPr>
          <w:spacing w:val="-1"/>
        </w:rPr>
        <w:t>to</w:t>
      </w:r>
      <w:r w:rsidRPr="0031675F">
        <w:rPr>
          <w:spacing w:val="1"/>
        </w:rPr>
        <w:t xml:space="preserve"> </w:t>
      </w:r>
      <w:r w:rsidRPr="0031675F">
        <w:rPr>
          <w:spacing w:val="-1"/>
        </w:rPr>
        <w:t>these</w:t>
      </w:r>
      <w:r w:rsidRPr="0031675F">
        <w:rPr>
          <w:spacing w:val="-2"/>
        </w:rPr>
        <w:t xml:space="preserve"> </w:t>
      </w:r>
      <w:r w:rsidRPr="0031675F">
        <w:t xml:space="preserve">3 </w:t>
      </w:r>
      <w:r w:rsidRPr="0031675F">
        <w:rPr>
          <w:spacing w:val="-1"/>
        </w:rPr>
        <w:t>tubes</w:t>
      </w:r>
      <w:r w:rsidRPr="0031675F">
        <w:rPr>
          <w:spacing w:val="-2"/>
        </w:rPr>
        <w:t xml:space="preserve"> </w:t>
      </w:r>
      <w:r w:rsidRPr="0031675F">
        <w:t>only.</w:t>
      </w:r>
    </w:p>
    <w:p w14:paraId="7607500C" w14:textId="5D1F61E5" w:rsidR="0031675F" w:rsidRPr="0031675F" w:rsidRDefault="0031675F" w:rsidP="0031675F">
      <w:pPr>
        <w:widowControl w:val="0"/>
        <w:numPr>
          <w:ilvl w:val="0"/>
          <w:numId w:val="113"/>
        </w:numPr>
        <w:tabs>
          <w:tab w:val="left" w:pos="547"/>
        </w:tabs>
        <w:spacing w:before="60" w:after="0" w:line="240" w:lineRule="auto"/>
      </w:pPr>
      <w:r w:rsidRPr="0031675F">
        <w:t>If</w:t>
      </w:r>
      <w:r w:rsidRPr="0031675F">
        <w:rPr>
          <w:spacing w:val="19"/>
        </w:rPr>
        <w:t xml:space="preserve"> </w:t>
      </w:r>
      <w:r w:rsidRPr="0031675F">
        <w:rPr>
          <w:spacing w:val="-1"/>
        </w:rPr>
        <w:t>during</w:t>
      </w:r>
      <w:r w:rsidRPr="0031675F">
        <w:rPr>
          <w:spacing w:val="49"/>
        </w:rPr>
        <w:t xml:space="preserve"> </w:t>
      </w:r>
      <w:r w:rsidRPr="0031675F">
        <w:t>the</w:t>
      </w:r>
      <w:r w:rsidRPr="0031675F">
        <w:rPr>
          <w:spacing w:val="18"/>
        </w:rPr>
        <w:t xml:space="preserve"> </w:t>
      </w:r>
      <w:r w:rsidRPr="0031675F">
        <w:rPr>
          <w:spacing w:val="-1"/>
        </w:rPr>
        <w:t>cruise</w:t>
      </w:r>
      <w:r w:rsidRPr="0031675F">
        <w:rPr>
          <w:spacing w:val="17"/>
        </w:rPr>
        <w:t xml:space="preserve"> </w:t>
      </w:r>
      <w:r w:rsidRPr="0031675F">
        <w:rPr>
          <w:spacing w:val="-1"/>
        </w:rPr>
        <w:t>you</w:t>
      </w:r>
      <w:r w:rsidRPr="0031675F">
        <w:rPr>
          <w:spacing w:val="17"/>
        </w:rPr>
        <w:t xml:space="preserve"> </w:t>
      </w:r>
      <w:r w:rsidRPr="0031675F">
        <w:rPr>
          <w:spacing w:val="-1"/>
        </w:rPr>
        <w:t>expect</w:t>
      </w:r>
      <w:r w:rsidRPr="0031675F">
        <w:rPr>
          <w:spacing w:val="18"/>
        </w:rPr>
        <w:t xml:space="preserve"> </w:t>
      </w:r>
      <w:r w:rsidRPr="0031675F">
        <w:t>an</w:t>
      </w:r>
      <w:r w:rsidRPr="0031675F">
        <w:rPr>
          <w:spacing w:val="14"/>
        </w:rPr>
        <w:t xml:space="preserve"> </w:t>
      </w:r>
      <w:r w:rsidRPr="0031675F">
        <w:rPr>
          <w:spacing w:val="-1"/>
        </w:rPr>
        <w:t>increase</w:t>
      </w:r>
      <w:r w:rsidRPr="0031675F">
        <w:rPr>
          <w:spacing w:val="18"/>
        </w:rPr>
        <w:t xml:space="preserve"> </w:t>
      </w:r>
      <w:r w:rsidRPr="0031675F">
        <w:t>in</w:t>
      </w:r>
      <w:r w:rsidRPr="0031675F">
        <w:rPr>
          <w:spacing w:val="16"/>
        </w:rPr>
        <w:t xml:space="preserve"> </w:t>
      </w:r>
      <w:r w:rsidRPr="0031675F">
        <w:rPr>
          <w:spacing w:val="-1"/>
        </w:rPr>
        <w:t>NH</w:t>
      </w:r>
      <w:r w:rsidRPr="00BB13FD">
        <w:rPr>
          <w:spacing w:val="-1"/>
          <w:vertAlign w:val="subscript"/>
        </w:rPr>
        <w:t>4</w:t>
      </w:r>
      <w:r w:rsidRPr="0031675F">
        <w:rPr>
          <w:spacing w:val="18"/>
        </w:rPr>
        <w:t xml:space="preserve"> </w:t>
      </w:r>
      <w:r w:rsidRPr="0031675F">
        <w:t>levels</w:t>
      </w:r>
      <w:r w:rsidRPr="0031675F">
        <w:rPr>
          <w:spacing w:val="15"/>
        </w:rPr>
        <w:t xml:space="preserve"> </w:t>
      </w:r>
      <w:r w:rsidRPr="0031675F">
        <w:rPr>
          <w:spacing w:val="-1"/>
        </w:rPr>
        <w:t>(eg.</w:t>
      </w:r>
      <w:r w:rsidRPr="0031675F">
        <w:rPr>
          <w:spacing w:val="17"/>
        </w:rPr>
        <w:t xml:space="preserve"> </w:t>
      </w:r>
      <w:r w:rsidRPr="0031675F">
        <w:rPr>
          <w:spacing w:val="-1"/>
        </w:rPr>
        <w:t>flood</w:t>
      </w:r>
      <w:r w:rsidRPr="0031675F">
        <w:rPr>
          <w:spacing w:val="17"/>
        </w:rPr>
        <w:t xml:space="preserve"> </w:t>
      </w:r>
      <w:r w:rsidRPr="0031675F">
        <w:rPr>
          <w:spacing w:val="-1"/>
        </w:rPr>
        <w:t>plume)</w:t>
      </w:r>
      <w:r w:rsidRPr="0031675F">
        <w:rPr>
          <w:spacing w:val="18"/>
        </w:rPr>
        <w:t xml:space="preserve"> </w:t>
      </w:r>
      <w:r w:rsidRPr="0031675F">
        <w:t>you</w:t>
      </w:r>
      <w:r w:rsidRPr="0031675F">
        <w:rPr>
          <w:spacing w:val="17"/>
        </w:rPr>
        <w:t xml:space="preserve"> </w:t>
      </w:r>
      <w:r w:rsidRPr="0031675F">
        <w:rPr>
          <w:spacing w:val="-1"/>
        </w:rPr>
        <w:t>should</w:t>
      </w:r>
      <w:r w:rsidRPr="0031675F">
        <w:rPr>
          <w:spacing w:val="16"/>
        </w:rPr>
        <w:t xml:space="preserve"> </w:t>
      </w:r>
      <w:r w:rsidRPr="0031675F">
        <w:t>redo</w:t>
      </w:r>
      <w:r w:rsidRPr="0031675F">
        <w:rPr>
          <w:spacing w:val="18"/>
        </w:rPr>
        <w:t xml:space="preserve"> </w:t>
      </w:r>
      <w:r w:rsidRPr="0031675F">
        <w:t>the</w:t>
      </w:r>
      <w:r w:rsidRPr="0031675F">
        <w:rPr>
          <w:spacing w:val="57"/>
        </w:rPr>
        <w:t xml:space="preserve"> </w:t>
      </w:r>
      <w:r w:rsidRPr="0031675F">
        <w:rPr>
          <w:spacing w:val="-1"/>
        </w:rPr>
        <w:t>standards calibration</w:t>
      </w:r>
      <w:r w:rsidRPr="0031675F">
        <w:rPr>
          <w:spacing w:val="-3"/>
        </w:rPr>
        <w:t xml:space="preserve"> </w:t>
      </w:r>
      <w:r w:rsidRPr="0031675F">
        <w:t>so</w:t>
      </w:r>
      <w:r w:rsidRPr="0031675F">
        <w:rPr>
          <w:spacing w:val="-3"/>
        </w:rPr>
        <w:t xml:space="preserve"> </w:t>
      </w:r>
      <w:r w:rsidRPr="0031675F">
        <w:t xml:space="preserve">that </w:t>
      </w:r>
      <w:r w:rsidRPr="0031675F">
        <w:rPr>
          <w:spacing w:val="-1"/>
        </w:rPr>
        <w:t>the</w:t>
      </w:r>
      <w:r w:rsidRPr="0031675F">
        <w:rPr>
          <w:spacing w:val="-2"/>
        </w:rPr>
        <w:t xml:space="preserve"> </w:t>
      </w:r>
      <w:r w:rsidRPr="0031675F">
        <w:rPr>
          <w:spacing w:val="-1"/>
        </w:rPr>
        <w:t>samples</w:t>
      </w:r>
      <w:r w:rsidRPr="0031675F">
        <w:t xml:space="preserve"> </w:t>
      </w:r>
      <w:r w:rsidRPr="0031675F">
        <w:rPr>
          <w:spacing w:val="-1"/>
        </w:rPr>
        <w:t>collected are calculated using readings from a representative seawater sample as a matrix. Collect</w:t>
      </w:r>
      <w:r w:rsidRPr="0031675F">
        <w:t xml:space="preserve"> real</w:t>
      </w:r>
      <w:r w:rsidRPr="0031675F">
        <w:rPr>
          <w:spacing w:val="-3"/>
        </w:rPr>
        <w:t xml:space="preserve"> </w:t>
      </w:r>
      <w:r w:rsidRPr="0031675F">
        <w:rPr>
          <w:spacing w:val="-1"/>
        </w:rPr>
        <w:t xml:space="preserve">samples </w:t>
      </w:r>
      <w:r w:rsidRPr="0031675F">
        <w:t>in</w:t>
      </w:r>
      <w:r w:rsidRPr="0031675F">
        <w:rPr>
          <w:spacing w:val="-3"/>
        </w:rPr>
        <w:t xml:space="preserve"> </w:t>
      </w:r>
      <w:r w:rsidRPr="0031675F">
        <w:rPr>
          <w:spacing w:val="-1"/>
        </w:rPr>
        <w:t>triplicate</w:t>
      </w:r>
      <w:r w:rsidRPr="0031675F">
        <w:t xml:space="preserve"> </w:t>
      </w:r>
      <w:r w:rsidRPr="0031675F">
        <w:rPr>
          <w:spacing w:val="-1"/>
        </w:rPr>
        <w:t>(rinse</w:t>
      </w:r>
      <w:r w:rsidRPr="0031675F">
        <w:t xml:space="preserve"> </w:t>
      </w:r>
      <w:r w:rsidRPr="0031675F">
        <w:rPr>
          <w:spacing w:val="-1"/>
        </w:rPr>
        <w:t>tubes</w:t>
      </w:r>
      <w:r w:rsidRPr="0031675F">
        <w:t xml:space="preserve"> </w:t>
      </w:r>
      <w:r w:rsidRPr="0031675F">
        <w:rPr>
          <w:spacing w:val="-1"/>
        </w:rPr>
        <w:t>with</w:t>
      </w:r>
      <w:r w:rsidRPr="0031675F">
        <w:t xml:space="preserve"> </w:t>
      </w:r>
      <w:r w:rsidRPr="0031675F">
        <w:rPr>
          <w:spacing w:val="-2"/>
        </w:rPr>
        <w:t>sample</w:t>
      </w:r>
      <w:r w:rsidRPr="0031675F">
        <w:t xml:space="preserve"> 3</w:t>
      </w:r>
      <w:r w:rsidRPr="0031675F">
        <w:rPr>
          <w:spacing w:val="-1"/>
        </w:rPr>
        <w:t xml:space="preserve"> times</w:t>
      </w:r>
      <w:r w:rsidRPr="0031675F">
        <w:t xml:space="preserve"> </w:t>
      </w:r>
      <w:r w:rsidRPr="0031675F">
        <w:rPr>
          <w:spacing w:val="-1"/>
        </w:rPr>
        <w:t>and then</w:t>
      </w:r>
      <w:r w:rsidRPr="0031675F">
        <w:t xml:space="preserve"> </w:t>
      </w:r>
      <w:r w:rsidRPr="0031675F">
        <w:rPr>
          <w:spacing w:val="-1"/>
        </w:rPr>
        <w:t>fill</w:t>
      </w:r>
      <w:r w:rsidRPr="0031675F">
        <w:t xml:space="preserve"> </w:t>
      </w:r>
      <w:r w:rsidRPr="0031675F">
        <w:rPr>
          <w:spacing w:val="-1"/>
        </w:rPr>
        <w:t>to 20</w:t>
      </w:r>
      <w:r w:rsidR="00BB13FD">
        <w:rPr>
          <w:spacing w:val="-1"/>
        </w:rPr>
        <w:t xml:space="preserve"> mL</w:t>
      </w:r>
      <w:r w:rsidRPr="0031675F">
        <w:rPr>
          <w:spacing w:val="-2"/>
        </w:rPr>
        <w:t xml:space="preserve"> </w:t>
      </w:r>
      <w:r w:rsidRPr="0031675F">
        <w:rPr>
          <w:spacing w:val="-1"/>
        </w:rPr>
        <w:t>mark).</w:t>
      </w:r>
    </w:p>
    <w:p w14:paraId="1196CB68" w14:textId="376B36F3" w:rsidR="0031675F" w:rsidRPr="0031675F" w:rsidRDefault="0031675F" w:rsidP="0031675F">
      <w:pPr>
        <w:widowControl w:val="0"/>
        <w:numPr>
          <w:ilvl w:val="0"/>
          <w:numId w:val="113"/>
        </w:numPr>
        <w:tabs>
          <w:tab w:val="left" w:pos="547"/>
        </w:tabs>
        <w:spacing w:before="60" w:after="0" w:line="240" w:lineRule="auto"/>
        <w:ind w:right="120"/>
      </w:pPr>
      <w:r w:rsidRPr="0031675F">
        <w:rPr>
          <w:spacing w:val="-1"/>
        </w:rPr>
        <w:t>Using</w:t>
      </w:r>
      <w:r w:rsidRPr="0031675F">
        <w:rPr>
          <w:spacing w:val="2"/>
        </w:rPr>
        <w:t xml:space="preserve"> </w:t>
      </w:r>
      <w:r w:rsidRPr="0031675F">
        <w:rPr>
          <w:spacing w:val="-1"/>
        </w:rPr>
        <w:t>dispenser</w:t>
      </w:r>
      <w:r w:rsidRPr="0031675F">
        <w:rPr>
          <w:spacing w:val="2"/>
        </w:rPr>
        <w:t xml:space="preserve"> </w:t>
      </w:r>
      <w:r w:rsidRPr="0031675F">
        <w:rPr>
          <w:spacing w:val="-1"/>
        </w:rPr>
        <w:t>add</w:t>
      </w:r>
      <w:r w:rsidRPr="0031675F">
        <w:rPr>
          <w:spacing w:val="2"/>
        </w:rPr>
        <w:t xml:space="preserve"> </w:t>
      </w:r>
      <w:r w:rsidRPr="0031675F">
        <w:t>5</w:t>
      </w:r>
      <w:r w:rsidR="00BB13FD">
        <w:t xml:space="preserve"> mL</w:t>
      </w:r>
      <w:r w:rsidRPr="0031675F">
        <w:rPr>
          <w:spacing w:val="2"/>
        </w:rPr>
        <w:t xml:space="preserve"> </w:t>
      </w:r>
      <w:r w:rsidRPr="0031675F">
        <w:rPr>
          <w:spacing w:val="-1"/>
        </w:rPr>
        <w:t>working</w:t>
      </w:r>
      <w:r w:rsidRPr="0031675F">
        <w:rPr>
          <w:spacing w:val="2"/>
        </w:rPr>
        <w:t xml:space="preserve"> </w:t>
      </w:r>
      <w:r w:rsidRPr="0031675F">
        <w:rPr>
          <w:spacing w:val="-1"/>
        </w:rPr>
        <w:t>reagent</w:t>
      </w:r>
      <w:r w:rsidRPr="0031675F">
        <w:rPr>
          <w:spacing w:val="2"/>
        </w:rPr>
        <w:t xml:space="preserve"> </w:t>
      </w:r>
      <w:r w:rsidRPr="0031675F">
        <w:rPr>
          <w:spacing w:val="-1"/>
        </w:rPr>
        <w:t>to</w:t>
      </w:r>
      <w:r w:rsidRPr="0031675F">
        <w:rPr>
          <w:spacing w:val="3"/>
        </w:rPr>
        <w:t xml:space="preserve"> </w:t>
      </w:r>
      <w:r w:rsidRPr="0031675F">
        <w:rPr>
          <w:spacing w:val="-1"/>
        </w:rPr>
        <w:t>tubes</w:t>
      </w:r>
      <w:r w:rsidRPr="0031675F">
        <w:rPr>
          <w:spacing w:val="3"/>
        </w:rPr>
        <w:t xml:space="preserve"> </w:t>
      </w:r>
      <w:r w:rsidRPr="0031675F">
        <w:rPr>
          <w:spacing w:val="-1"/>
        </w:rPr>
        <w:t>containing</w:t>
      </w:r>
      <w:r w:rsidRPr="0031675F">
        <w:rPr>
          <w:spacing w:val="2"/>
        </w:rPr>
        <w:t xml:space="preserve"> </w:t>
      </w:r>
      <w:r w:rsidRPr="0031675F">
        <w:t>real</w:t>
      </w:r>
      <w:r w:rsidRPr="0031675F">
        <w:rPr>
          <w:spacing w:val="2"/>
        </w:rPr>
        <w:t xml:space="preserve"> </w:t>
      </w:r>
      <w:r w:rsidRPr="0031675F">
        <w:rPr>
          <w:spacing w:val="-1"/>
        </w:rPr>
        <w:t>seawater</w:t>
      </w:r>
      <w:r w:rsidRPr="0031675F">
        <w:rPr>
          <w:spacing w:val="2"/>
        </w:rPr>
        <w:t xml:space="preserve"> </w:t>
      </w:r>
      <w:r w:rsidRPr="0031675F">
        <w:rPr>
          <w:spacing w:val="-1"/>
        </w:rPr>
        <w:t>samples.</w:t>
      </w:r>
      <w:r w:rsidRPr="0031675F">
        <w:rPr>
          <w:spacing w:val="2"/>
        </w:rPr>
        <w:t xml:space="preserve"> </w:t>
      </w:r>
      <w:r w:rsidRPr="0031675F">
        <w:t>Make</w:t>
      </w:r>
      <w:r w:rsidRPr="0031675F">
        <w:rPr>
          <w:spacing w:val="3"/>
        </w:rPr>
        <w:t xml:space="preserve"> </w:t>
      </w:r>
      <w:r w:rsidRPr="0031675F">
        <w:rPr>
          <w:spacing w:val="-2"/>
        </w:rPr>
        <w:t>note</w:t>
      </w:r>
      <w:r w:rsidRPr="0031675F">
        <w:rPr>
          <w:spacing w:val="81"/>
        </w:rPr>
        <w:t xml:space="preserve"> </w:t>
      </w:r>
      <w:r w:rsidRPr="0031675F">
        <w:t xml:space="preserve">of </w:t>
      </w:r>
      <w:r w:rsidRPr="0031675F">
        <w:rPr>
          <w:spacing w:val="-1"/>
        </w:rPr>
        <w:t>the</w:t>
      </w:r>
      <w:r w:rsidRPr="0031675F">
        <w:rPr>
          <w:spacing w:val="-2"/>
        </w:rPr>
        <w:t xml:space="preserve"> </w:t>
      </w:r>
      <w:r w:rsidRPr="0031675F">
        <w:rPr>
          <w:spacing w:val="-1"/>
        </w:rPr>
        <w:t>time</w:t>
      </w:r>
      <w:r w:rsidRPr="0031675F">
        <w:rPr>
          <w:spacing w:val="-2"/>
        </w:rPr>
        <w:t xml:space="preserve"> </w:t>
      </w:r>
      <w:r w:rsidRPr="0031675F">
        <w:t>that</w:t>
      </w:r>
      <w:r w:rsidRPr="0031675F">
        <w:rPr>
          <w:spacing w:val="-2"/>
        </w:rPr>
        <w:t xml:space="preserve"> </w:t>
      </w:r>
      <w:r w:rsidRPr="0031675F">
        <w:t xml:space="preserve">the </w:t>
      </w:r>
      <w:r w:rsidRPr="0031675F">
        <w:rPr>
          <w:spacing w:val="-1"/>
        </w:rPr>
        <w:t>working reagent</w:t>
      </w:r>
      <w:r w:rsidRPr="0031675F">
        <w:rPr>
          <w:spacing w:val="-2"/>
        </w:rPr>
        <w:t xml:space="preserve"> </w:t>
      </w:r>
      <w:r w:rsidRPr="0031675F">
        <w:t xml:space="preserve">was </w:t>
      </w:r>
      <w:r w:rsidRPr="0031675F">
        <w:rPr>
          <w:spacing w:val="-1"/>
        </w:rPr>
        <w:t>added</w:t>
      </w:r>
      <w:r w:rsidRPr="0031675F">
        <w:t xml:space="preserve"> on</w:t>
      </w:r>
      <w:r w:rsidRPr="0031675F">
        <w:rPr>
          <w:spacing w:val="-3"/>
        </w:rPr>
        <w:t xml:space="preserve"> </w:t>
      </w:r>
      <w:r w:rsidRPr="0031675F">
        <w:t xml:space="preserve">the </w:t>
      </w:r>
      <w:r w:rsidRPr="0031675F">
        <w:rPr>
          <w:spacing w:val="-1"/>
        </w:rPr>
        <w:t>laboratory</w:t>
      </w:r>
      <w:r w:rsidRPr="0031675F">
        <w:rPr>
          <w:spacing w:val="-2"/>
        </w:rPr>
        <w:t xml:space="preserve"> </w:t>
      </w:r>
      <w:r w:rsidRPr="0031675F">
        <w:rPr>
          <w:spacing w:val="-1"/>
        </w:rPr>
        <w:t>worksheet.</w:t>
      </w:r>
    </w:p>
    <w:p w14:paraId="61060FC0" w14:textId="77777777" w:rsidR="0031675F" w:rsidRPr="0031675F" w:rsidRDefault="0031675F" w:rsidP="0031675F">
      <w:pPr>
        <w:widowControl w:val="0"/>
        <w:numPr>
          <w:ilvl w:val="0"/>
          <w:numId w:val="113"/>
        </w:numPr>
        <w:tabs>
          <w:tab w:val="left" w:pos="547"/>
        </w:tabs>
        <w:spacing w:before="60" w:after="0" w:line="240" w:lineRule="auto"/>
      </w:pPr>
      <w:r w:rsidRPr="0031675F">
        <w:t xml:space="preserve">Read </w:t>
      </w:r>
      <w:r w:rsidRPr="0031675F">
        <w:rPr>
          <w:spacing w:val="-1"/>
        </w:rPr>
        <w:t>standards</w:t>
      </w:r>
      <w:r w:rsidRPr="0031675F">
        <w:rPr>
          <w:spacing w:val="-2"/>
        </w:rPr>
        <w:t xml:space="preserve"> </w:t>
      </w:r>
      <w:r w:rsidRPr="0031675F">
        <w:t>on</w:t>
      </w:r>
      <w:r w:rsidRPr="0031675F">
        <w:rPr>
          <w:spacing w:val="-1"/>
        </w:rPr>
        <w:t xml:space="preserve"> the</w:t>
      </w:r>
      <w:r w:rsidRPr="0031675F">
        <w:rPr>
          <w:spacing w:val="1"/>
        </w:rPr>
        <w:t xml:space="preserve"> </w:t>
      </w:r>
      <w:r w:rsidRPr="0031675F">
        <w:rPr>
          <w:spacing w:val="-1"/>
        </w:rPr>
        <w:t>fluorometer</w:t>
      </w:r>
      <w:r w:rsidRPr="0031675F">
        <w:t xml:space="preserve"> </w:t>
      </w:r>
      <w:r w:rsidRPr="0031675F">
        <w:rPr>
          <w:spacing w:val="-1"/>
        </w:rPr>
        <w:t>after</w:t>
      </w:r>
      <w:r w:rsidRPr="0031675F">
        <w:t xml:space="preserve"> </w:t>
      </w:r>
      <w:r w:rsidRPr="0031675F">
        <w:rPr>
          <w:spacing w:val="-1"/>
        </w:rPr>
        <w:t>2-3</w:t>
      </w:r>
      <w:r w:rsidRPr="0031675F">
        <w:t xml:space="preserve"> </w:t>
      </w:r>
      <w:r w:rsidRPr="0031675F">
        <w:rPr>
          <w:spacing w:val="-1"/>
        </w:rPr>
        <w:t>hours.</w:t>
      </w:r>
    </w:p>
    <w:p w14:paraId="409710B7" w14:textId="77777777" w:rsidR="0031675F" w:rsidRPr="0031675F" w:rsidRDefault="0031675F" w:rsidP="0031675F">
      <w:pPr>
        <w:widowControl w:val="0"/>
        <w:numPr>
          <w:ilvl w:val="0"/>
          <w:numId w:val="113"/>
        </w:numPr>
        <w:tabs>
          <w:tab w:val="left" w:pos="547"/>
        </w:tabs>
        <w:spacing w:before="60" w:after="0" w:line="240" w:lineRule="auto"/>
        <w:ind w:right="119"/>
      </w:pPr>
      <w:r w:rsidRPr="0031675F">
        <w:t>Note</w:t>
      </w:r>
      <w:r w:rsidRPr="0031675F">
        <w:rPr>
          <w:spacing w:val="20"/>
        </w:rPr>
        <w:t xml:space="preserve"> </w:t>
      </w:r>
      <w:r w:rsidRPr="0031675F">
        <w:rPr>
          <w:spacing w:val="-1"/>
        </w:rPr>
        <w:t>this</w:t>
      </w:r>
      <w:r w:rsidRPr="0031675F">
        <w:rPr>
          <w:spacing w:val="22"/>
        </w:rPr>
        <w:t xml:space="preserve"> </w:t>
      </w:r>
      <w:r w:rsidRPr="0031675F">
        <w:rPr>
          <w:spacing w:val="-1"/>
        </w:rPr>
        <w:t>time</w:t>
      </w:r>
      <w:r w:rsidRPr="0031675F">
        <w:rPr>
          <w:spacing w:val="22"/>
        </w:rPr>
        <w:t xml:space="preserve"> </w:t>
      </w:r>
      <w:r w:rsidRPr="0031675F">
        <w:rPr>
          <w:spacing w:val="-1"/>
        </w:rPr>
        <w:t>period,</w:t>
      </w:r>
      <w:r w:rsidRPr="0031675F">
        <w:rPr>
          <w:spacing w:val="19"/>
        </w:rPr>
        <w:t xml:space="preserve"> </w:t>
      </w:r>
      <w:r w:rsidRPr="0031675F">
        <w:rPr>
          <w:spacing w:val="-1"/>
        </w:rPr>
        <w:t>and</w:t>
      </w:r>
      <w:r w:rsidRPr="0031675F">
        <w:rPr>
          <w:spacing w:val="21"/>
        </w:rPr>
        <w:t xml:space="preserve"> </w:t>
      </w:r>
      <w:r w:rsidRPr="0031675F">
        <w:rPr>
          <w:spacing w:val="-1"/>
        </w:rPr>
        <w:t>use</w:t>
      </w:r>
      <w:r w:rsidRPr="0031675F">
        <w:rPr>
          <w:spacing w:val="22"/>
        </w:rPr>
        <w:t xml:space="preserve"> </w:t>
      </w:r>
      <w:r w:rsidRPr="0031675F">
        <w:rPr>
          <w:spacing w:val="-1"/>
        </w:rPr>
        <w:t>timer</w:t>
      </w:r>
      <w:r w:rsidRPr="0031675F">
        <w:rPr>
          <w:spacing w:val="19"/>
        </w:rPr>
        <w:t xml:space="preserve"> </w:t>
      </w:r>
      <w:r w:rsidRPr="0031675F">
        <w:t>to</w:t>
      </w:r>
      <w:r w:rsidRPr="0031675F">
        <w:rPr>
          <w:spacing w:val="21"/>
        </w:rPr>
        <w:t xml:space="preserve"> </w:t>
      </w:r>
      <w:r w:rsidRPr="0031675F">
        <w:rPr>
          <w:spacing w:val="-1"/>
        </w:rPr>
        <w:t>proceed</w:t>
      </w:r>
      <w:r w:rsidRPr="0031675F">
        <w:rPr>
          <w:spacing w:val="18"/>
        </w:rPr>
        <w:t xml:space="preserve"> </w:t>
      </w:r>
      <w:r w:rsidRPr="0031675F">
        <w:rPr>
          <w:spacing w:val="-1"/>
        </w:rPr>
        <w:t>with</w:t>
      </w:r>
      <w:r w:rsidRPr="0031675F">
        <w:rPr>
          <w:spacing w:val="21"/>
        </w:rPr>
        <w:t xml:space="preserve"> </w:t>
      </w:r>
      <w:r w:rsidRPr="0031675F">
        <w:rPr>
          <w:spacing w:val="-1"/>
        </w:rPr>
        <w:t>reading</w:t>
      </w:r>
      <w:r w:rsidRPr="0031675F">
        <w:rPr>
          <w:spacing w:val="21"/>
        </w:rPr>
        <w:t xml:space="preserve"> </w:t>
      </w:r>
      <w:r w:rsidRPr="0031675F">
        <w:t>the</w:t>
      </w:r>
      <w:r w:rsidRPr="0031675F">
        <w:rPr>
          <w:spacing w:val="22"/>
        </w:rPr>
        <w:t xml:space="preserve"> </w:t>
      </w:r>
      <w:r w:rsidRPr="0031675F">
        <w:rPr>
          <w:spacing w:val="-1"/>
        </w:rPr>
        <w:t>real</w:t>
      </w:r>
      <w:r w:rsidRPr="0031675F">
        <w:rPr>
          <w:spacing w:val="21"/>
        </w:rPr>
        <w:t xml:space="preserve"> </w:t>
      </w:r>
      <w:r w:rsidRPr="0031675F">
        <w:rPr>
          <w:spacing w:val="-1"/>
        </w:rPr>
        <w:t>seawater</w:t>
      </w:r>
      <w:r w:rsidRPr="0031675F">
        <w:rPr>
          <w:spacing w:val="22"/>
        </w:rPr>
        <w:t xml:space="preserve"> </w:t>
      </w:r>
      <w:r w:rsidRPr="0031675F">
        <w:rPr>
          <w:spacing w:val="-1"/>
        </w:rPr>
        <w:t>samples</w:t>
      </w:r>
      <w:r w:rsidRPr="0031675F">
        <w:rPr>
          <w:spacing w:val="27"/>
        </w:rPr>
        <w:t xml:space="preserve"> </w:t>
      </w:r>
      <w:r w:rsidRPr="0031675F">
        <w:rPr>
          <w:spacing w:val="-1"/>
        </w:rPr>
        <w:t>after</w:t>
      </w:r>
      <w:r w:rsidRPr="0031675F">
        <w:rPr>
          <w:spacing w:val="51"/>
        </w:rPr>
        <w:t xml:space="preserve"> </w:t>
      </w:r>
      <w:r w:rsidRPr="0031675F">
        <w:t xml:space="preserve">the </w:t>
      </w:r>
      <w:r w:rsidRPr="0031675F">
        <w:rPr>
          <w:spacing w:val="-1"/>
        </w:rPr>
        <w:t>same</w:t>
      </w:r>
      <w:r w:rsidRPr="0031675F">
        <w:rPr>
          <w:spacing w:val="-2"/>
        </w:rPr>
        <w:t xml:space="preserve"> </w:t>
      </w:r>
      <w:r w:rsidRPr="0031675F">
        <w:rPr>
          <w:spacing w:val="-1"/>
        </w:rPr>
        <w:t>time</w:t>
      </w:r>
      <w:r w:rsidRPr="0031675F">
        <w:t xml:space="preserve"> </w:t>
      </w:r>
      <w:r w:rsidRPr="0031675F">
        <w:rPr>
          <w:spacing w:val="-1"/>
        </w:rPr>
        <w:t>interval (between</w:t>
      </w:r>
      <w:r w:rsidRPr="0031675F">
        <w:rPr>
          <w:spacing w:val="-3"/>
        </w:rPr>
        <w:t xml:space="preserve"> </w:t>
      </w:r>
      <w:r w:rsidRPr="0031675F">
        <w:t>the</w:t>
      </w:r>
      <w:r w:rsidRPr="0031675F">
        <w:rPr>
          <w:spacing w:val="1"/>
        </w:rPr>
        <w:t xml:space="preserve"> </w:t>
      </w:r>
      <w:r w:rsidRPr="0031675F">
        <w:rPr>
          <w:spacing w:val="-1"/>
        </w:rPr>
        <w:t>addition</w:t>
      </w:r>
      <w:r w:rsidRPr="0031675F">
        <w:rPr>
          <w:spacing w:val="-3"/>
        </w:rPr>
        <w:t xml:space="preserve"> </w:t>
      </w:r>
      <w:r w:rsidRPr="0031675F">
        <w:t>of</w:t>
      </w:r>
      <w:r w:rsidRPr="0031675F">
        <w:rPr>
          <w:spacing w:val="1"/>
        </w:rPr>
        <w:t xml:space="preserve"> </w:t>
      </w:r>
      <w:r w:rsidRPr="0031675F">
        <w:rPr>
          <w:spacing w:val="-2"/>
        </w:rPr>
        <w:t>WR</w:t>
      </w:r>
      <w:r w:rsidRPr="0031675F">
        <w:t xml:space="preserve"> </w:t>
      </w:r>
      <w:r w:rsidRPr="0031675F">
        <w:rPr>
          <w:spacing w:val="-1"/>
        </w:rPr>
        <w:t>to</w:t>
      </w:r>
      <w:r w:rsidRPr="0031675F">
        <w:rPr>
          <w:spacing w:val="1"/>
        </w:rPr>
        <w:t xml:space="preserve"> </w:t>
      </w:r>
      <w:r w:rsidRPr="0031675F">
        <w:rPr>
          <w:spacing w:val="-1"/>
        </w:rPr>
        <w:t>fluorometer</w:t>
      </w:r>
      <w:r w:rsidRPr="0031675F">
        <w:t xml:space="preserve"> </w:t>
      </w:r>
      <w:r w:rsidRPr="0031675F">
        <w:rPr>
          <w:spacing w:val="-1"/>
        </w:rPr>
        <w:t>reading).</w:t>
      </w:r>
    </w:p>
    <w:p w14:paraId="7E691FC2" w14:textId="77777777" w:rsidR="0031675F" w:rsidRPr="0031675F" w:rsidRDefault="0031675F" w:rsidP="0031675F">
      <w:pPr>
        <w:widowControl w:val="0"/>
        <w:numPr>
          <w:ilvl w:val="0"/>
          <w:numId w:val="113"/>
        </w:numPr>
        <w:tabs>
          <w:tab w:val="left" w:pos="547"/>
        </w:tabs>
        <w:spacing w:before="60" w:after="0" w:line="240" w:lineRule="auto"/>
        <w:ind w:right="120"/>
      </w:pPr>
      <w:r w:rsidRPr="0031675F">
        <w:rPr>
          <w:spacing w:val="-1"/>
        </w:rPr>
        <w:t>Soak</w:t>
      </w:r>
      <w:r w:rsidRPr="0031675F">
        <w:rPr>
          <w:spacing w:val="3"/>
        </w:rPr>
        <w:t xml:space="preserve"> </w:t>
      </w:r>
      <w:r w:rsidRPr="0031675F">
        <w:t xml:space="preserve">the </w:t>
      </w:r>
      <w:r w:rsidRPr="0031675F">
        <w:rPr>
          <w:spacing w:val="-1"/>
        </w:rPr>
        <w:t>standards</w:t>
      </w:r>
      <w:r w:rsidRPr="0031675F">
        <w:rPr>
          <w:spacing w:val="2"/>
        </w:rPr>
        <w:t xml:space="preserve"> </w:t>
      </w:r>
      <w:r w:rsidRPr="0031675F">
        <w:rPr>
          <w:spacing w:val="-1"/>
        </w:rPr>
        <w:t>volumetric</w:t>
      </w:r>
      <w:r w:rsidRPr="0031675F">
        <w:rPr>
          <w:spacing w:val="3"/>
        </w:rPr>
        <w:t xml:space="preserve"> </w:t>
      </w:r>
      <w:r w:rsidRPr="0031675F">
        <w:rPr>
          <w:spacing w:val="-1"/>
        </w:rPr>
        <w:t>flasks</w:t>
      </w:r>
      <w:r w:rsidRPr="0031675F">
        <w:rPr>
          <w:spacing w:val="3"/>
        </w:rPr>
        <w:t xml:space="preserve"> </w:t>
      </w:r>
      <w:r w:rsidRPr="0031675F">
        <w:t>in</w:t>
      </w:r>
      <w:r w:rsidRPr="0031675F">
        <w:rPr>
          <w:spacing w:val="1"/>
        </w:rPr>
        <w:t xml:space="preserve"> </w:t>
      </w:r>
      <w:r w:rsidRPr="0031675F">
        <w:rPr>
          <w:spacing w:val="-1"/>
        </w:rPr>
        <w:t>5-10%</w:t>
      </w:r>
      <w:r w:rsidRPr="0031675F">
        <w:rPr>
          <w:spacing w:val="3"/>
        </w:rPr>
        <w:t xml:space="preserve"> </w:t>
      </w:r>
      <w:r w:rsidRPr="0031675F">
        <w:rPr>
          <w:spacing w:val="-1"/>
        </w:rPr>
        <w:t>HCl</w:t>
      </w:r>
      <w:r w:rsidRPr="0031675F">
        <w:rPr>
          <w:spacing w:val="2"/>
        </w:rPr>
        <w:t xml:space="preserve"> </w:t>
      </w:r>
      <w:r w:rsidRPr="0031675F">
        <w:t>in</w:t>
      </w:r>
      <w:r w:rsidRPr="0031675F">
        <w:rPr>
          <w:spacing w:val="2"/>
        </w:rPr>
        <w:t xml:space="preserve"> </w:t>
      </w:r>
      <w:r w:rsidRPr="0031675F">
        <w:rPr>
          <w:spacing w:val="-1"/>
        </w:rPr>
        <w:t>DiW</w:t>
      </w:r>
      <w:r w:rsidRPr="0031675F">
        <w:rPr>
          <w:spacing w:val="3"/>
        </w:rPr>
        <w:t xml:space="preserve"> </w:t>
      </w:r>
      <w:r w:rsidRPr="0031675F">
        <w:rPr>
          <w:spacing w:val="-1"/>
        </w:rPr>
        <w:t>overnight</w:t>
      </w:r>
      <w:r w:rsidRPr="0031675F">
        <w:rPr>
          <w:spacing w:val="3"/>
        </w:rPr>
        <w:t xml:space="preserve"> </w:t>
      </w:r>
      <w:r w:rsidRPr="0031675F">
        <w:rPr>
          <w:spacing w:val="-1"/>
        </w:rPr>
        <w:t>every</w:t>
      </w:r>
      <w:r w:rsidRPr="0031675F">
        <w:rPr>
          <w:spacing w:val="3"/>
        </w:rPr>
        <w:t xml:space="preserve"> </w:t>
      </w:r>
      <w:r w:rsidRPr="0031675F">
        <w:rPr>
          <w:spacing w:val="-1"/>
        </w:rPr>
        <w:t>evening</w:t>
      </w:r>
      <w:r w:rsidRPr="0031675F">
        <w:rPr>
          <w:spacing w:val="2"/>
        </w:rPr>
        <w:t xml:space="preserve"> </w:t>
      </w:r>
      <w:r w:rsidRPr="0031675F">
        <w:t>to</w:t>
      </w:r>
      <w:r w:rsidRPr="0031675F">
        <w:rPr>
          <w:spacing w:val="4"/>
        </w:rPr>
        <w:t xml:space="preserve"> </w:t>
      </w:r>
      <w:r w:rsidRPr="0031675F">
        <w:rPr>
          <w:spacing w:val="-1"/>
        </w:rPr>
        <w:t>prepare</w:t>
      </w:r>
      <w:r w:rsidRPr="0031675F">
        <w:rPr>
          <w:spacing w:val="3"/>
        </w:rPr>
        <w:t xml:space="preserve"> </w:t>
      </w:r>
      <w:r w:rsidRPr="0031675F">
        <w:rPr>
          <w:spacing w:val="-1"/>
        </w:rPr>
        <w:t>for</w:t>
      </w:r>
      <w:r w:rsidRPr="0031675F">
        <w:rPr>
          <w:spacing w:val="55"/>
        </w:rPr>
        <w:t xml:space="preserve"> </w:t>
      </w:r>
      <w:r w:rsidRPr="0031675F">
        <w:rPr>
          <w:spacing w:val="-1"/>
        </w:rPr>
        <w:t>following</w:t>
      </w:r>
      <w:r w:rsidRPr="0031675F">
        <w:rPr>
          <w:spacing w:val="-2"/>
        </w:rPr>
        <w:t xml:space="preserve"> </w:t>
      </w:r>
      <w:r w:rsidRPr="0031675F">
        <w:rPr>
          <w:spacing w:val="-1"/>
        </w:rPr>
        <w:t>day</w:t>
      </w:r>
      <w:r w:rsidRPr="0031675F">
        <w:rPr>
          <w:spacing w:val="1"/>
        </w:rPr>
        <w:t xml:space="preserve"> </w:t>
      </w:r>
      <w:r w:rsidRPr="0031675F">
        <w:rPr>
          <w:spacing w:val="-1"/>
        </w:rPr>
        <w:t>sampling.</w:t>
      </w:r>
    </w:p>
    <w:p w14:paraId="21F4492B" w14:textId="77777777" w:rsidR="0031675F" w:rsidRPr="0031675F" w:rsidRDefault="0031675F" w:rsidP="0031675F">
      <w:pPr>
        <w:widowControl w:val="0"/>
        <w:numPr>
          <w:ilvl w:val="0"/>
          <w:numId w:val="113"/>
        </w:numPr>
        <w:tabs>
          <w:tab w:val="left" w:pos="547"/>
        </w:tabs>
        <w:spacing w:before="58" w:after="0" w:line="240" w:lineRule="auto"/>
        <w:ind w:right="120"/>
      </w:pPr>
      <w:r w:rsidRPr="0031675F">
        <w:t>If</w:t>
      </w:r>
      <w:r w:rsidRPr="0031675F">
        <w:rPr>
          <w:spacing w:val="23"/>
        </w:rPr>
        <w:t xml:space="preserve"> </w:t>
      </w:r>
      <w:r w:rsidRPr="0031675F">
        <w:t>there</w:t>
      </w:r>
      <w:r w:rsidRPr="0031675F">
        <w:rPr>
          <w:spacing w:val="24"/>
        </w:rPr>
        <w:t xml:space="preserve"> </w:t>
      </w:r>
      <w:r w:rsidRPr="0031675F">
        <w:t>is</w:t>
      </w:r>
      <w:r w:rsidRPr="0031675F">
        <w:rPr>
          <w:spacing w:val="24"/>
        </w:rPr>
        <w:t xml:space="preserve"> </w:t>
      </w:r>
      <w:r w:rsidRPr="0031675F">
        <w:t>a</w:t>
      </w:r>
      <w:r w:rsidRPr="0031675F">
        <w:rPr>
          <w:spacing w:val="24"/>
        </w:rPr>
        <w:t xml:space="preserve"> </w:t>
      </w:r>
      <w:r w:rsidRPr="0031675F">
        <w:rPr>
          <w:spacing w:val="-1"/>
        </w:rPr>
        <w:t>day</w:t>
      </w:r>
      <w:r w:rsidRPr="0031675F">
        <w:rPr>
          <w:spacing w:val="22"/>
        </w:rPr>
        <w:t xml:space="preserve"> </w:t>
      </w:r>
      <w:r w:rsidRPr="0031675F">
        <w:t>or</w:t>
      </w:r>
      <w:r w:rsidRPr="0031675F">
        <w:rPr>
          <w:spacing w:val="21"/>
        </w:rPr>
        <w:t xml:space="preserve"> </w:t>
      </w:r>
      <w:r w:rsidRPr="0031675F">
        <w:rPr>
          <w:spacing w:val="-1"/>
        </w:rPr>
        <w:t>more</w:t>
      </w:r>
      <w:r w:rsidRPr="0031675F">
        <w:rPr>
          <w:spacing w:val="22"/>
        </w:rPr>
        <w:t xml:space="preserve"> </w:t>
      </w:r>
      <w:r w:rsidRPr="0031675F">
        <w:t>of</w:t>
      </w:r>
      <w:r w:rsidRPr="0031675F">
        <w:rPr>
          <w:spacing w:val="24"/>
        </w:rPr>
        <w:t xml:space="preserve"> </w:t>
      </w:r>
      <w:r w:rsidRPr="0031675F">
        <w:rPr>
          <w:spacing w:val="-1"/>
        </w:rPr>
        <w:t>no</w:t>
      </w:r>
      <w:r w:rsidRPr="0031675F">
        <w:rPr>
          <w:spacing w:val="23"/>
        </w:rPr>
        <w:t xml:space="preserve"> </w:t>
      </w:r>
      <w:r w:rsidRPr="0031675F">
        <w:t>water</w:t>
      </w:r>
      <w:r w:rsidRPr="0031675F">
        <w:rPr>
          <w:spacing w:val="22"/>
        </w:rPr>
        <w:t xml:space="preserve"> </w:t>
      </w:r>
      <w:r w:rsidRPr="0031675F">
        <w:rPr>
          <w:spacing w:val="-1"/>
        </w:rPr>
        <w:t>sampling,</w:t>
      </w:r>
      <w:r w:rsidRPr="0031675F">
        <w:rPr>
          <w:spacing w:val="24"/>
        </w:rPr>
        <w:t xml:space="preserve"> </w:t>
      </w:r>
      <w:r w:rsidRPr="0031675F">
        <w:t>the</w:t>
      </w:r>
      <w:r w:rsidRPr="0031675F">
        <w:rPr>
          <w:spacing w:val="22"/>
        </w:rPr>
        <w:t xml:space="preserve"> </w:t>
      </w:r>
      <w:r w:rsidRPr="0031675F">
        <w:rPr>
          <w:spacing w:val="-1"/>
        </w:rPr>
        <w:t>tubes</w:t>
      </w:r>
      <w:r w:rsidRPr="0031675F">
        <w:rPr>
          <w:spacing w:val="24"/>
        </w:rPr>
        <w:t xml:space="preserve"> </w:t>
      </w:r>
      <w:r w:rsidRPr="0031675F">
        <w:rPr>
          <w:spacing w:val="-1"/>
        </w:rPr>
        <w:t>must</w:t>
      </w:r>
      <w:r w:rsidRPr="0031675F">
        <w:rPr>
          <w:spacing w:val="22"/>
        </w:rPr>
        <w:t xml:space="preserve"> </w:t>
      </w:r>
      <w:r w:rsidRPr="0031675F">
        <w:t>at</w:t>
      </w:r>
      <w:r w:rsidRPr="0031675F">
        <w:rPr>
          <w:spacing w:val="24"/>
        </w:rPr>
        <w:t xml:space="preserve"> </w:t>
      </w:r>
      <w:r w:rsidRPr="0031675F">
        <w:rPr>
          <w:spacing w:val="-1"/>
        </w:rPr>
        <w:t>least</w:t>
      </w:r>
      <w:r w:rsidRPr="0031675F">
        <w:rPr>
          <w:spacing w:val="24"/>
        </w:rPr>
        <w:t xml:space="preserve"> </w:t>
      </w:r>
      <w:r w:rsidRPr="0031675F">
        <w:rPr>
          <w:spacing w:val="-1"/>
        </w:rPr>
        <w:t>once</w:t>
      </w:r>
      <w:r w:rsidRPr="0031675F">
        <w:rPr>
          <w:spacing w:val="22"/>
        </w:rPr>
        <w:t xml:space="preserve"> </w:t>
      </w:r>
      <w:r w:rsidRPr="0031675F">
        <w:rPr>
          <w:spacing w:val="-1"/>
        </w:rPr>
        <w:t>daily</w:t>
      </w:r>
      <w:r w:rsidRPr="0031675F">
        <w:rPr>
          <w:spacing w:val="25"/>
        </w:rPr>
        <w:t xml:space="preserve"> </w:t>
      </w:r>
      <w:r w:rsidRPr="0031675F">
        <w:rPr>
          <w:spacing w:val="-1"/>
        </w:rPr>
        <w:t>have</w:t>
      </w:r>
      <w:r w:rsidRPr="0031675F">
        <w:rPr>
          <w:spacing w:val="25"/>
        </w:rPr>
        <w:t xml:space="preserve"> </w:t>
      </w:r>
      <w:r w:rsidRPr="0031675F">
        <w:rPr>
          <w:spacing w:val="-1"/>
        </w:rPr>
        <w:t>fresh</w:t>
      </w:r>
      <w:r w:rsidRPr="0031675F">
        <w:rPr>
          <w:spacing w:val="51"/>
        </w:rPr>
        <w:t xml:space="preserve"> </w:t>
      </w:r>
      <w:r w:rsidRPr="0031675F">
        <w:rPr>
          <w:spacing w:val="-1"/>
        </w:rPr>
        <w:t>seawater</w:t>
      </w:r>
      <w:r w:rsidRPr="0031675F">
        <w:rPr>
          <w:spacing w:val="-2"/>
        </w:rPr>
        <w:t xml:space="preserve"> </w:t>
      </w:r>
      <w:r w:rsidRPr="0031675F">
        <w:t>or</w:t>
      </w:r>
      <w:r w:rsidRPr="0031675F">
        <w:rPr>
          <w:spacing w:val="-2"/>
        </w:rPr>
        <w:t xml:space="preserve"> </w:t>
      </w:r>
      <w:r w:rsidRPr="0031675F">
        <w:t>DiW</w:t>
      </w:r>
      <w:r w:rsidRPr="0031675F">
        <w:rPr>
          <w:spacing w:val="-2"/>
        </w:rPr>
        <w:t xml:space="preserve"> </w:t>
      </w:r>
      <w:r w:rsidRPr="0031675F">
        <w:t>with</w:t>
      </w:r>
      <w:r w:rsidRPr="0031675F">
        <w:rPr>
          <w:spacing w:val="-2"/>
        </w:rPr>
        <w:t xml:space="preserve"> </w:t>
      </w:r>
      <w:r w:rsidRPr="0031675F">
        <w:t>WR</w:t>
      </w:r>
      <w:r w:rsidRPr="0031675F">
        <w:rPr>
          <w:spacing w:val="-2"/>
        </w:rPr>
        <w:t xml:space="preserve"> </w:t>
      </w:r>
      <w:r w:rsidRPr="0031675F">
        <w:rPr>
          <w:spacing w:val="-1"/>
        </w:rPr>
        <w:t>added</w:t>
      </w:r>
      <w:r w:rsidRPr="0031675F">
        <w:t xml:space="preserve"> to</w:t>
      </w:r>
      <w:r w:rsidRPr="0031675F">
        <w:rPr>
          <w:spacing w:val="-1"/>
        </w:rPr>
        <w:t xml:space="preserve"> keep</w:t>
      </w:r>
      <w:r w:rsidRPr="0031675F">
        <w:t xml:space="preserve"> the</w:t>
      </w:r>
      <w:r w:rsidRPr="0031675F">
        <w:rPr>
          <w:spacing w:val="-2"/>
        </w:rPr>
        <w:t xml:space="preserve"> </w:t>
      </w:r>
      <w:r w:rsidRPr="0031675F">
        <w:rPr>
          <w:spacing w:val="-1"/>
        </w:rPr>
        <w:t>tubes</w:t>
      </w:r>
      <w:r w:rsidRPr="0031675F">
        <w:t xml:space="preserve"> </w:t>
      </w:r>
      <w:r w:rsidRPr="0031675F">
        <w:rPr>
          <w:spacing w:val="-1"/>
        </w:rPr>
        <w:t>stripped</w:t>
      </w:r>
      <w:r w:rsidRPr="0031675F">
        <w:t xml:space="preserve"> of </w:t>
      </w:r>
      <w:r w:rsidRPr="0031675F">
        <w:rPr>
          <w:spacing w:val="-1"/>
        </w:rPr>
        <w:t>ammonia.</w:t>
      </w:r>
    </w:p>
    <w:p w14:paraId="33A7BB7B" w14:textId="77777777" w:rsidR="0031675F" w:rsidRPr="0031675F" w:rsidRDefault="0031675F" w:rsidP="0031675F">
      <w:pPr>
        <w:rPr>
          <w:rFonts w:cs="Calibri"/>
          <w:sz w:val="20"/>
          <w:szCs w:val="20"/>
        </w:rPr>
      </w:pPr>
      <w:r w:rsidRPr="0031675F">
        <w:rPr>
          <w:rFonts w:cs="Calibri"/>
          <w:sz w:val="20"/>
          <w:szCs w:val="20"/>
        </w:rPr>
        <w:br w:type="page"/>
      </w:r>
    </w:p>
    <w:p w14:paraId="44D034C0" w14:textId="77777777" w:rsidR="0031675F" w:rsidRPr="0031675F" w:rsidRDefault="0031675F" w:rsidP="0031675F">
      <w:pPr>
        <w:rPr>
          <w:rFonts w:cs="Calibri"/>
          <w:sz w:val="20"/>
          <w:szCs w:val="20"/>
        </w:rPr>
      </w:pPr>
    </w:p>
    <w:p w14:paraId="02848624" w14:textId="77777777" w:rsidR="0031675F" w:rsidRPr="0031675F" w:rsidRDefault="0031675F" w:rsidP="0031675F">
      <w:pPr>
        <w:tabs>
          <w:tab w:val="left" w:pos="2387"/>
        </w:tabs>
        <w:spacing w:before="206"/>
        <w:ind w:left="2387" w:right="119" w:hanging="2269"/>
        <w:rPr>
          <w:b/>
          <w:sz w:val="24"/>
        </w:rPr>
      </w:pPr>
      <w:r w:rsidRPr="0031675F">
        <w:rPr>
          <w:b/>
          <w:spacing w:val="-1"/>
          <w:sz w:val="24"/>
        </w:rPr>
        <w:t xml:space="preserve">Attachment </w:t>
      </w:r>
      <w:r w:rsidRPr="0031675F">
        <w:rPr>
          <w:b/>
          <w:sz w:val="24"/>
        </w:rPr>
        <w:t>4.3</w:t>
      </w:r>
      <w:r w:rsidRPr="0031675F">
        <w:rPr>
          <w:b/>
          <w:sz w:val="24"/>
        </w:rPr>
        <w:tab/>
      </w:r>
      <w:r w:rsidRPr="0031675F">
        <w:rPr>
          <w:b/>
          <w:spacing w:val="-1"/>
          <w:sz w:val="24"/>
        </w:rPr>
        <w:t>Example</w:t>
      </w:r>
      <w:r w:rsidRPr="0031675F">
        <w:rPr>
          <w:b/>
          <w:spacing w:val="5"/>
          <w:sz w:val="24"/>
        </w:rPr>
        <w:t xml:space="preserve"> </w:t>
      </w:r>
      <w:r w:rsidRPr="0031675F">
        <w:rPr>
          <w:b/>
          <w:sz w:val="24"/>
        </w:rPr>
        <w:t>data</w:t>
      </w:r>
      <w:r w:rsidRPr="0031675F">
        <w:rPr>
          <w:b/>
          <w:spacing w:val="5"/>
          <w:sz w:val="24"/>
        </w:rPr>
        <w:t xml:space="preserve"> </w:t>
      </w:r>
      <w:r w:rsidRPr="0031675F">
        <w:rPr>
          <w:b/>
          <w:sz w:val="24"/>
        </w:rPr>
        <w:t>entry</w:t>
      </w:r>
      <w:r w:rsidRPr="0031675F">
        <w:rPr>
          <w:b/>
          <w:spacing w:val="1"/>
          <w:sz w:val="24"/>
        </w:rPr>
        <w:t xml:space="preserve"> </w:t>
      </w:r>
      <w:r w:rsidRPr="0031675F">
        <w:rPr>
          <w:b/>
          <w:sz w:val="24"/>
        </w:rPr>
        <w:t>of</w:t>
      </w:r>
      <w:r w:rsidRPr="0031675F">
        <w:rPr>
          <w:b/>
          <w:spacing w:val="4"/>
          <w:sz w:val="24"/>
        </w:rPr>
        <w:t xml:space="preserve"> </w:t>
      </w:r>
      <w:r w:rsidRPr="0031675F">
        <w:rPr>
          <w:b/>
          <w:sz w:val="24"/>
        </w:rPr>
        <w:t>shipboard</w:t>
      </w:r>
      <w:r w:rsidRPr="0031675F">
        <w:rPr>
          <w:b/>
          <w:spacing w:val="4"/>
          <w:sz w:val="24"/>
        </w:rPr>
        <w:t xml:space="preserve"> </w:t>
      </w:r>
      <w:r w:rsidRPr="0031675F">
        <w:rPr>
          <w:b/>
          <w:sz w:val="24"/>
        </w:rPr>
        <w:t>laboratory</w:t>
      </w:r>
      <w:r w:rsidRPr="0031675F">
        <w:rPr>
          <w:b/>
          <w:spacing w:val="1"/>
          <w:sz w:val="24"/>
        </w:rPr>
        <w:t xml:space="preserve"> </w:t>
      </w:r>
      <w:r w:rsidRPr="0031675F">
        <w:rPr>
          <w:b/>
          <w:sz w:val="24"/>
        </w:rPr>
        <w:t>worksheet</w:t>
      </w:r>
      <w:r w:rsidRPr="0031675F">
        <w:rPr>
          <w:b/>
          <w:spacing w:val="4"/>
          <w:sz w:val="24"/>
        </w:rPr>
        <w:t xml:space="preserve"> </w:t>
      </w:r>
      <w:r w:rsidRPr="0031675F">
        <w:rPr>
          <w:b/>
          <w:spacing w:val="-1"/>
          <w:sz w:val="24"/>
        </w:rPr>
        <w:t>NH4</w:t>
      </w:r>
      <w:r w:rsidRPr="0031675F">
        <w:rPr>
          <w:b/>
          <w:spacing w:val="45"/>
          <w:sz w:val="24"/>
        </w:rPr>
        <w:t xml:space="preserve"> </w:t>
      </w:r>
      <w:r w:rsidRPr="0031675F">
        <w:rPr>
          <w:b/>
          <w:spacing w:val="-1"/>
          <w:sz w:val="24"/>
        </w:rPr>
        <w:t>analysis</w:t>
      </w:r>
      <w:r w:rsidRPr="0031675F">
        <w:rPr>
          <w:b/>
          <w:spacing w:val="1"/>
          <w:sz w:val="24"/>
        </w:rPr>
        <w:t xml:space="preserve"> </w:t>
      </w:r>
      <w:r w:rsidRPr="0031675F">
        <w:rPr>
          <w:b/>
          <w:sz w:val="24"/>
        </w:rPr>
        <w:t>(OPA</w:t>
      </w:r>
      <w:r w:rsidRPr="0031675F">
        <w:rPr>
          <w:b/>
          <w:spacing w:val="-7"/>
          <w:sz w:val="24"/>
        </w:rPr>
        <w:t xml:space="preserve"> </w:t>
      </w:r>
      <w:r w:rsidRPr="0031675F">
        <w:rPr>
          <w:b/>
          <w:sz w:val="24"/>
        </w:rPr>
        <w:t>method)</w:t>
      </w:r>
    </w:p>
    <w:p w14:paraId="311AC522" w14:textId="77777777" w:rsidR="0031675F" w:rsidRPr="0031675F" w:rsidRDefault="0031675F" w:rsidP="0031675F">
      <w:pPr>
        <w:tabs>
          <w:tab w:val="left" w:pos="2387"/>
        </w:tabs>
        <w:spacing w:before="206"/>
        <w:ind w:left="2387" w:right="119" w:hanging="2269"/>
        <w:rPr>
          <w:rFonts w:eastAsia="Arial" w:cs="Arial"/>
          <w:b/>
          <w:bCs/>
        </w:rPr>
      </w:pPr>
      <w:r w:rsidRPr="0031675F">
        <w:rPr>
          <w:rFonts w:eastAsia="Arial" w:cs="Arial"/>
          <w:noProof/>
          <w:sz w:val="24"/>
          <w:szCs w:val="24"/>
          <w:lang w:eastAsia="en-AU"/>
        </w:rPr>
        <w:drawing>
          <wp:inline distT="0" distB="0" distL="0" distR="0" wp14:anchorId="7909E66B" wp14:editId="70575ACC">
            <wp:extent cx="5580000" cy="7891200"/>
            <wp:effectExtent l="0" t="0" r="1905" b="0"/>
            <wp:docPr id="44" name="Picture 44" descr="Example of data sheet and data" title="Ammonia lab data 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4byOPA-ExampleWorksheet-exPDF.jp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5580000" cy="7891200"/>
                    </a:xfrm>
                    <a:prstGeom prst="rect">
                      <a:avLst/>
                    </a:prstGeom>
                  </pic:spPr>
                </pic:pic>
              </a:graphicData>
            </a:graphic>
          </wp:inline>
        </w:drawing>
      </w:r>
    </w:p>
    <w:p w14:paraId="6B0969B7" w14:textId="77777777" w:rsidR="0031675F" w:rsidRPr="0031675F" w:rsidRDefault="0031675F" w:rsidP="0031675F">
      <w:pPr>
        <w:spacing w:line="200" w:lineRule="atLeast"/>
        <w:ind w:left="168"/>
        <w:rPr>
          <w:rFonts w:eastAsia="Arial" w:cs="Arial"/>
          <w:sz w:val="20"/>
          <w:szCs w:val="20"/>
        </w:rPr>
        <w:sectPr w:rsidR="0031675F" w:rsidRPr="0031675F" w:rsidSect="004A5C83">
          <w:type w:val="nextColumn"/>
          <w:pgSz w:w="11910" w:h="16850"/>
          <w:pgMar w:top="720" w:right="1281" w:bottom="697" w:left="1281" w:header="520" w:footer="500" w:gutter="0"/>
          <w:paperSrc w:first="7" w:other="7"/>
          <w:cols w:space="720"/>
        </w:sectPr>
      </w:pPr>
    </w:p>
    <w:p w14:paraId="63298372" w14:textId="77777777" w:rsidR="0031675F" w:rsidRPr="0031675F" w:rsidRDefault="0031675F" w:rsidP="0031675F">
      <w:pPr>
        <w:tabs>
          <w:tab w:val="left" w:pos="2386"/>
        </w:tabs>
        <w:rPr>
          <w:rFonts w:eastAsia="Arial" w:cs="Arial"/>
          <w:sz w:val="24"/>
          <w:szCs w:val="24"/>
        </w:rPr>
      </w:pPr>
      <w:r w:rsidRPr="0031675F">
        <w:rPr>
          <w:b/>
          <w:spacing w:val="-1"/>
          <w:sz w:val="24"/>
        </w:rPr>
        <w:t>Attachment</w:t>
      </w:r>
      <w:r w:rsidRPr="0031675F">
        <w:rPr>
          <w:b/>
          <w:sz w:val="24"/>
        </w:rPr>
        <w:t xml:space="preserve"> 4.4</w:t>
      </w:r>
      <w:r w:rsidRPr="0031675F">
        <w:rPr>
          <w:b/>
          <w:sz w:val="24"/>
        </w:rPr>
        <w:tab/>
      </w:r>
      <w:r w:rsidRPr="0031675F">
        <w:rPr>
          <w:b/>
          <w:spacing w:val="-1"/>
          <w:sz w:val="24"/>
        </w:rPr>
        <w:t>Example</w:t>
      </w:r>
      <w:r w:rsidRPr="0031675F">
        <w:rPr>
          <w:b/>
          <w:sz w:val="24"/>
        </w:rPr>
        <w:t xml:space="preserve"> </w:t>
      </w:r>
      <w:r w:rsidRPr="0031675F">
        <w:rPr>
          <w:b/>
          <w:spacing w:val="-1"/>
          <w:sz w:val="24"/>
        </w:rPr>
        <w:t>Excel</w:t>
      </w:r>
      <w:r w:rsidRPr="0031675F">
        <w:rPr>
          <w:b/>
          <w:sz w:val="24"/>
        </w:rPr>
        <w:t xml:space="preserve"> </w:t>
      </w:r>
      <w:r w:rsidRPr="0031675F">
        <w:rPr>
          <w:b/>
          <w:spacing w:val="-1"/>
          <w:sz w:val="24"/>
        </w:rPr>
        <w:t>preliminary</w:t>
      </w:r>
      <w:r w:rsidRPr="0031675F">
        <w:rPr>
          <w:b/>
          <w:spacing w:val="-7"/>
          <w:sz w:val="24"/>
        </w:rPr>
        <w:t xml:space="preserve"> </w:t>
      </w:r>
      <w:r w:rsidRPr="0031675F">
        <w:rPr>
          <w:b/>
          <w:sz w:val="24"/>
        </w:rPr>
        <w:t>data entry</w:t>
      </w:r>
      <w:r w:rsidRPr="0031675F">
        <w:rPr>
          <w:b/>
          <w:spacing w:val="-7"/>
          <w:sz w:val="24"/>
        </w:rPr>
        <w:t xml:space="preserve"> </w:t>
      </w:r>
      <w:r w:rsidRPr="0031675F">
        <w:rPr>
          <w:b/>
          <w:sz w:val="24"/>
        </w:rPr>
        <w:t>and calculations</w:t>
      </w:r>
    </w:p>
    <w:p w14:paraId="26576AEC" w14:textId="77777777" w:rsidR="0031675F" w:rsidRPr="0031675F" w:rsidRDefault="0031675F" w:rsidP="0031675F">
      <w:pPr>
        <w:spacing w:line="200" w:lineRule="atLeast"/>
        <w:ind w:left="148"/>
        <w:rPr>
          <w:rFonts w:eastAsia="Arial" w:cs="Arial"/>
          <w:b/>
          <w:bCs/>
          <w:sz w:val="20"/>
          <w:szCs w:val="20"/>
        </w:rPr>
      </w:pPr>
      <w:r w:rsidRPr="0031675F">
        <w:rPr>
          <w:noProof/>
          <w:lang w:eastAsia="en-AU"/>
        </w:rPr>
        <w:drawing>
          <wp:inline distT="0" distB="0" distL="0" distR="0" wp14:anchorId="36547C57" wp14:editId="61D28AE6">
            <wp:extent cx="5580000" cy="3416400"/>
            <wp:effectExtent l="0" t="0" r="1905" b="0"/>
            <wp:docPr id="77" name="Picture 2" descr="Screen shot of XL workbook" title="Excel preliminary data entry and calcul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122"/>
                    <a:srcRect l="4198" t="15872" r="17853" b="3717"/>
                    <a:stretch/>
                  </pic:blipFill>
                  <pic:spPr bwMode="auto">
                    <a:xfrm>
                      <a:off x="0" y="0"/>
                      <a:ext cx="5580000" cy="3416400"/>
                    </a:xfrm>
                    <a:prstGeom prst="rect">
                      <a:avLst/>
                    </a:prstGeom>
                    <a:ln>
                      <a:noFill/>
                    </a:ln>
                    <a:extLst>
                      <a:ext uri="{53640926-AAD7-44D8-BBD7-CCE9431645EC}">
                        <a14:shadowObscured xmlns:a14="http://schemas.microsoft.com/office/drawing/2010/main"/>
                      </a:ext>
                    </a:extLst>
                  </pic:spPr>
                </pic:pic>
              </a:graphicData>
            </a:graphic>
          </wp:inline>
        </w:drawing>
      </w:r>
    </w:p>
    <w:p w14:paraId="77B302E5" w14:textId="77777777" w:rsidR="0031675F" w:rsidRPr="0031675F" w:rsidRDefault="0031675F" w:rsidP="0031675F">
      <w:pPr>
        <w:tabs>
          <w:tab w:val="left" w:pos="2386"/>
        </w:tabs>
        <w:ind w:left="118"/>
        <w:rPr>
          <w:rFonts w:eastAsia="Arial" w:cs="Arial"/>
          <w:sz w:val="24"/>
          <w:szCs w:val="24"/>
        </w:rPr>
      </w:pPr>
      <w:r w:rsidRPr="0031675F">
        <w:rPr>
          <w:rFonts w:eastAsia="Arial" w:cs="Arial"/>
          <w:b/>
          <w:bCs/>
          <w:spacing w:val="-1"/>
          <w:sz w:val="24"/>
          <w:szCs w:val="24"/>
        </w:rPr>
        <w:t>Attachment</w:t>
      </w:r>
      <w:r w:rsidRPr="0031675F">
        <w:rPr>
          <w:rFonts w:eastAsia="Arial" w:cs="Arial"/>
          <w:b/>
          <w:bCs/>
          <w:sz w:val="24"/>
          <w:szCs w:val="24"/>
        </w:rPr>
        <w:t xml:space="preserve"> 4.5</w:t>
      </w:r>
      <w:r w:rsidRPr="0031675F">
        <w:rPr>
          <w:rFonts w:eastAsia="Arial" w:cs="Arial"/>
          <w:b/>
          <w:bCs/>
          <w:sz w:val="24"/>
          <w:szCs w:val="24"/>
        </w:rPr>
        <w:tab/>
      </w:r>
      <w:r w:rsidRPr="0031675F">
        <w:rPr>
          <w:rFonts w:eastAsia="Arial" w:cs="Arial"/>
          <w:b/>
          <w:bCs/>
          <w:spacing w:val="-1"/>
          <w:sz w:val="24"/>
          <w:szCs w:val="24"/>
        </w:rPr>
        <w:t>Example</w:t>
      </w:r>
      <w:r w:rsidRPr="0031675F">
        <w:rPr>
          <w:rFonts w:eastAsia="Arial" w:cs="Arial"/>
          <w:b/>
          <w:bCs/>
          <w:spacing w:val="2"/>
          <w:sz w:val="24"/>
          <w:szCs w:val="24"/>
        </w:rPr>
        <w:t xml:space="preserve"> </w:t>
      </w:r>
      <w:r w:rsidRPr="0031675F">
        <w:rPr>
          <w:rFonts w:eastAsia="Arial" w:cs="Arial"/>
          <w:b/>
          <w:bCs/>
          <w:spacing w:val="-1"/>
          <w:sz w:val="24"/>
          <w:szCs w:val="24"/>
        </w:rPr>
        <w:t>Excel</w:t>
      </w:r>
      <w:r w:rsidRPr="0031675F">
        <w:rPr>
          <w:rFonts w:eastAsia="Arial" w:cs="Arial"/>
          <w:b/>
          <w:bCs/>
          <w:spacing w:val="2"/>
          <w:sz w:val="24"/>
          <w:szCs w:val="24"/>
        </w:rPr>
        <w:t xml:space="preserve"> </w:t>
      </w:r>
      <w:r w:rsidRPr="0031675F">
        <w:rPr>
          <w:rFonts w:eastAsia="Arial" w:cs="Arial"/>
          <w:b/>
          <w:bCs/>
          <w:sz w:val="24"/>
          <w:szCs w:val="24"/>
        </w:rPr>
        <w:t xml:space="preserve">data </w:t>
      </w:r>
      <w:r w:rsidRPr="0031675F">
        <w:rPr>
          <w:rFonts w:eastAsia="Arial" w:cs="Arial"/>
          <w:b/>
          <w:bCs/>
          <w:spacing w:val="-1"/>
          <w:sz w:val="24"/>
          <w:szCs w:val="24"/>
        </w:rPr>
        <w:t>“Feeder”</w:t>
      </w:r>
      <w:r w:rsidRPr="0031675F">
        <w:rPr>
          <w:rFonts w:eastAsia="Arial" w:cs="Arial"/>
          <w:b/>
          <w:bCs/>
          <w:spacing w:val="-2"/>
          <w:sz w:val="24"/>
          <w:szCs w:val="24"/>
        </w:rPr>
        <w:t xml:space="preserve"> </w:t>
      </w:r>
      <w:r w:rsidRPr="0031675F">
        <w:rPr>
          <w:rFonts w:eastAsia="Arial" w:cs="Arial"/>
          <w:b/>
          <w:bCs/>
          <w:spacing w:val="-1"/>
          <w:sz w:val="24"/>
          <w:szCs w:val="24"/>
        </w:rPr>
        <w:t>spreadsheet</w:t>
      </w:r>
    </w:p>
    <w:p w14:paraId="22B51AE3" w14:textId="77777777" w:rsidR="0031675F" w:rsidRPr="0031675F" w:rsidRDefault="0031675F" w:rsidP="0031675F">
      <w:pPr>
        <w:spacing w:before="7"/>
        <w:rPr>
          <w:rFonts w:eastAsia="Arial" w:cs="Arial"/>
          <w:b/>
          <w:bCs/>
          <w:sz w:val="24"/>
          <w:szCs w:val="24"/>
        </w:rPr>
      </w:pPr>
      <w:r w:rsidRPr="0031675F">
        <w:rPr>
          <w:noProof/>
          <w:lang w:eastAsia="en-AU"/>
        </w:rPr>
        <w:drawing>
          <wp:inline distT="0" distB="0" distL="0" distR="0" wp14:anchorId="53D9FF76" wp14:editId="4CE06043">
            <wp:extent cx="5580000" cy="1234800"/>
            <wp:effectExtent l="0" t="0" r="1905" b="3810"/>
            <wp:docPr id="107" name="Picture 107" descr="Screen shot of XL feeder spreadsheet" title="Excell data feeder spread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3"/>
                    <a:stretch>
                      <a:fillRect/>
                    </a:stretch>
                  </pic:blipFill>
                  <pic:spPr>
                    <a:xfrm>
                      <a:off x="0" y="0"/>
                      <a:ext cx="5580000" cy="1234800"/>
                    </a:xfrm>
                    <a:prstGeom prst="rect">
                      <a:avLst/>
                    </a:prstGeom>
                  </pic:spPr>
                </pic:pic>
              </a:graphicData>
            </a:graphic>
          </wp:inline>
        </w:drawing>
      </w:r>
    </w:p>
    <w:p w14:paraId="18D53C27" w14:textId="77777777" w:rsidR="0031675F" w:rsidRPr="0031675F" w:rsidRDefault="0031675F" w:rsidP="0031675F">
      <w:pPr>
        <w:spacing w:line="200" w:lineRule="atLeast"/>
        <w:ind w:left="148"/>
        <w:rPr>
          <w:rFonts w:eastAsia="Arial" w:cs="Arial"/>
          <w:sz w:val="20"/>
          <w:szCs w:val="20"/>
        </w:rPr>
      </w:pPr>
    </w:p>
    <w:p w14:paraId="477154CC" w14:textId="77777777" w:rsidR="0031675F" w:rsidRPr="0031675F" w:rsidRDefault="0031675F" w:rsidP="0031675F">
      <w:pPr>
        <w:rPr>
          <w:rFonts w:eastAsia="Arial" w:cs="Arial"/>
          <w:b/>
          <w:bCs/>
          <w:sz w:val="20"/>
          <w:szCs w:val="20"/>
        </w:rPr>
        <w:sectPr w:rsidR="0031675F" w:rsidRPr="0031675F" w:rsidSect="004A5C83">
          <w:pgSz w:w="16850" w:h="11910" w:orient="landscape"/>
          <w:pgMar w:top="1281" w:right="720" w:bottom="1281" w:left="697" w:header="520" w:footer="500" w:gutter="0"/>
          <w:paperSrc w:first="7" w:other="7"/>
          <w:cols w:space="720"/>
          <w:docGrid w:linePitch="299"/>
        </w:sectPr>
      </w:pPr>
      <w:bookmarkStart w:id="623" w:name="bookmark0"/>
      <w:bookmarkEnd w:id="618"/>
      <w:bookmarkEnd w:id="623"/>
    </w:p>
    <w:p w14:paraId="61CEEB87" w14:textId="77777777" w:rsidR="0031675F" w:rsidRPr="0031675F" w:rsidRDefault="0031675F" w:rsidP="0031675F">
      <w:pPr>
        <w:rPr>
          <w:rFonts w:eastAsia="Arial" w:cs="Arial"/>
          <w:b/>
          <w:bCs/>
          <w:sz w:val="20"/>
          <w:szCs w:val="20"/>
        </w:rPr>
      </w:pPr>
    </w:p>
    <w:p w14:paraId="5A2E7694" w14:textId="38FD2B88" w:rsidR="0031675F" w:rsidRPr="0031675F" w:rsidRDefault="0031675F" w:rsidP="005A35E3">
      <w:pPr>
        <w:pStyle w:val="Heading2"/>
        <w:numPr>
          <w:ilvl w:val="0"/>
          <w:numId w:val="0"/>
        </w:numPr>
        <w:ind w:left="284"/>
      </w:pPr>
      <w:bookmarkStart w:id="624" w:name="_Toc423356991"/>
      <w:bookmarkStart w:id="625" w:name="_Toc523830551"/>
      <w:bookmarkStart w:id="626" w:name="_Toc523905137"/>
      <w:bookmarkStart w:id="627" w:name="_Toc523905379"/>
      <w:bookmarkStart w:id="628" w:name="_Toc534968690"/>
      <w:bookmarkStart w:id="629" w:name="_Toc12365632"/>
      <w:r w:rsidRPr="00FF3C2F">
        <w:t>Section A5: Analysis of dissolved organic carbon</w:t>
      </w:r>
      <w:bookmarkEnd w:id="624"/>
      <w:bookmarkEnd w:id="625"/>
      <w:bookmarkEnd w:id="626"/>
      <w:bookmarkEnd w:id="627"/>
      <w:bookmarkEnd w:id="628"/>
      <w:bookmarkEnd w:id="629"/>
    </w:p>
    <w:p w14:paraId="4387F21E" w14:textId="77777777" w:rsidR="0031675F" w:rsidRPr="0031675F" w:rsidRDefault="0031675F" w:rsidP="0031675F">
      <w:pPr>
        <w:spacing w:before="8"/>
        <w:rPr>
          <w:rFonts w:eastAsia="Arial" w:cs="Arial"/>
          <w:b/>
          <w:bCs/>
          <w:sz w:val="20"/>
          <w:szCs w:val="20"/>
        </w:rPr>
      </w:pPr>
    </w:p>
    <w:p w14:paraId="51604762" w14:textId="77777777" w:rsidR="0031675F" w:rsidRPr="0031675F" w:rsidRDefault="0031675F" w:rsidP="0031675F">
      <w:pPr>
        <w:widowControl w:val="0"/>
        <w:numPr>
          <w:ilvl w:val="1"/>
          <w:numId w:val="112"/>
        </w:numPr>
        <w:tabs>
          <w:tab w:val="left" w:pos="706"/>
        </w:tabs>
        <w:spacing w:before="69" w:after="0" w:line="240" w:lineRule="auto"/>
        <w:ind w:left="703"/>
        <w:jc w:val="both"/>
        <w:rPr>
          <w:rFonts w:eastAsia="Arial" w:cs="Arial"/>
          <w:sz w:val="24"/>
          <w:szCs w:val="24"/>
        </w:rPr>
      </w:pPr>
      <w:bookmarkStart w:id="630" w:name="_TOC_250055"/>
      <w:r w:rsidRPr="0031675F">
        <w:rPr>
          <w:b/>
          <w:spacing w:val="-1"/>
          <w:sz w:val="24"/>
        </w:rPr>
        <w:t>Objective</w:t>
      </w:r>
      <w:bookmarkEnd w:id="630"/>
    </w:p>
    <w:p w14:paraId="759F5650" w14:textId="77777777" w:rsidR="0031675F" w:rsidRPr="0031675F" w:rsidRDefault="0031675F" w:rsidP="0031675F">
      <w:pPr>
        <w:spacing w:before="11"/>
        <w:rPr>
          <w:rFonts w:eastAsia="Arial" w:cs="Arial"/>
          <w:b/>
          <w:bCs/>
          <w:sz w:val="20"/>
          <w:szCs w:val="20"/>
        </w:rPr>
      </w:pPr>
    </w:p>
    <w:p w14:paraId="7CBF217C" w14:textId="77777777" w:rsidR="0031675F" w:rsidRPr="0031675F" w:rsidRDefault="0031675F" w:rsidP="0031675F">
      <w:pPr>
        <w:spacing w:after="120"/>
        <w:ind w:left="138" w:right="140"/>
      </w:pPr>
      <w:r w:rsidRPr="0031675F">
        <w:rPr>
          <w:spacing w:val="-1"/>
        </w:rPr>
        <w:t>The</w:t>
      </w:r>
      <w:r w:rsidRPr="0031675F">
        <w:t xml:space="preserve"> </w:t>
      </w:r>
      <w:r w:rsidRPr="0031675F">
        <w:rPr>
          <w:spacing w:val="39"/>
        </w:rPr>
        <w:t xml:space="preserve"> </w:t>
      </w:r>
      <w:r w:rsidRPr="0031675F">
        <w:rPr>
          <w:spacing w:val="-1"/>
        </w:rPr>
        <w:t>analysis</w:t>
      </w:r>
      <w:r w:rsidRPr="0031675F">
        <w:t xml:space="preserve"> </w:t>
      </w:r>
      <w:r w:rsidRPr="0031675F">
        <w:rPr>
          <w:spacing w:val="37"/>
        </w:rPr>
        <w:t xml:space="preserve"> </w:t>
      </w:r>
      <w:r w:rsidRPr="0031675F">
        <w:t xml:space="preserve">of </w:t>
      </w:r>
      <w:r w:rsidRPr="0031675F">
        <w:rPr>
          <w:spacing w:val="39"/>
        </w:rPr>
        <w:t xml:space="preserve"> </w:t>
      </w:r>
      <w:r w:rsidRPr="0031675F">
        <w:rPr>
          <w:spacing w:val="-1"/>
        </w:rPr>
        <w:t>dissolved</w:t>
      </w:r>
      <w:r w:rsidRPr="0031675F">
        <w:t xml:space="preserve"> </w:t>
      </w:r>
      <w:r w:rsidRPr="0031675F">
        <w:rPr>
          <w:spacing w:val="37"/>
        </w:rPr>
        <w:t xml:space="preserve"> </w:t>
      </w:r>
      <w:r w:rsidRPr="0031675F">
        <w:rPr>
          <w:spacing w:val="-1"/>
        </w:rPr>
        <w:t>organic</w:t>
      </w:r>
      <w:r w:rsidRPr="0031675F">
        <w:t xml:space="preserve"> </w:t>
      </w:r>
      <w:r w:rsidRPr="0031675F">
        <w:rPr>
          <w:spacing w:val="39"/>
        </w:rPr>
        <w:t xml:space="preserve"> </w:t>
      </w:r>
      <w:r w:rsidRPr="0031675F">
        <w:t xml:space="preserve">carbon </w:t>
      </w:r>
      <w:r w:rsidRPr="0031675F">
        <w:rPr>
          <w:spacing w:val="38"/>
        </w:rPr>
        <w:t xml:space="preserve"> </w:t>
      </w:r>
      <w:r w:rsidRPr="0031675F">
        <w:t xml:space="preserve">in </w:t>
      </w:r>
      <w:r w:rsidRPr="0031675F">
        <w:rPr>
          <w:spacing w:val="38"/>
        </w:rPr>
        <w:t xml:space="preserve"> </w:t>
      </w:r>
      <w:r w:rsidRPr="0031675F">
        <w:rPr>
          <w:spacing w:val="-1"/>
        </w:rPr>
        <w:t>seawater</w:t>
      </w:r>
      <w:r w:rsidRPr="0031675F">
        <w:t xml:space="preserve"> </w:t>
      </w:r>
      <w:r w:rsidRPr="0031675F">
        <w:rPr>
          <w:spacing w:val="36"/>
        </w:rPr>
        <w:t xml:space="preserve"> </w:t>
      </w:r>
      <w:r w:rsidRPr="0031675F">
        <w:t xml:space="preserve">with </w:t>
      </w:r>
      <w:r w:rsidRPr="0031675F">
        <w:rPr>
          <w:spacing w:val="39"/>
        </w:rPr>
        <w:t xml:space="preserve"> </w:t>
      </w:r>
      <w:r w:rsidRPr="0031675F">
        <w:t xml:space="preserve">a </w:t>
      </w:r>
      <w:r w:rsidRPr="0031675F">
        <w:rPr>
          <w:spacing w:val="39"/>
        </w:rPr>
        <w:t xml:space="preserve"> </w:t>
      </w:r>
      <w:r w:rsidRPr="0031675F">
        <w:rPr>
          <w:spacing w:val="-1"/>
        </w:rPr>
        <w:t>focus</w:t>
      </w:r>
      <w:r w:rsidRPr="0031675F">
        <w:t xml:space="preserve"> </w:t>
      </w:r>
      <w:r w:rsidRPr="0031675F">
        <w:rPr>
          <w:spacing w:val="35"/>
        </w:rPr>
        <w:t xml:space="preserve"> </w:t>
      </w:r>
      <w:r w:rsidRPr="0031675F">
        <w:t xml:space="preserve">on </w:t>
      </w:r>
      <w:r w:rsidRPr="0031675F">
        <w:rPr>
          <w:spacing w:val="38"/>
        </w:rPr>
        <w:t xml:space="preserve"> </w:t>
      </w:r>
      <w:r w:rsidRPr="0031675F">
        <w:rPr>
          <w:spacing w:val="-1"/>
        </w:rPr>
        <w:t>detecting</w:t>
      </w:r>
      <w:r w:rsidRPr="0031675F">
        <w:t xml:space="preserve"> </w:t>
      </w:r>
      <w:r w:rsidRPr="0031675F">
        <w:rPr>
          <w:spacing w:val="38"/>
        </w:rPr>
        <w:t xml:space="preserve"> </w:t>
      </w:r>
      <w:r w:rsidRPr="0031675F">
        <w:rPr>
          <w:spacing w:val="-1"/>
        </w:rPr>
        <w:t>low</w:t>
      </w:r>
      <w:r w:rsidRPr="0031675F">
        <w:t xml:space="preserve"> </w:t>
      </w:r>
      <w:r w:rsidRPr="0031675F">
        <w:rPr>
          <w:spacing w:val="40"/>
        </w:rPr>
        <w:t xml:space="preserve"> </w:t>
      </w:r>
      <w:r w:rsidRPr="0031675F">
        <w:rPr>
          <w:spacing w:val="-1"/>
        </w:rPr>
        <w:t>level</w:t>
      </w:r>
      <w:r w:rsidRPr="0031675F">
        <w:rPr>
          <w:spacing w:val="71"/>
        </w:rPr>
        <w:t xml:space="preserve"> </w:t>
      </w:r>
      <w:r w:rsidRPr="0031675F">
        <w:rPr>
          <w:spacing w:val="-1"/>
        </w:rPr>
        <w:t>concentrations.</w:t>
      </w:r>
    </w:p>
    <w:p w14:paraId="4B749DF0" w14:textId="77777777" w:rsidR="0031675F" w:rsidRPr="0031675F" w:rsidRDefault="0031675F" w:rsidP="0031675F">
      <w:pPr>
        <w:spacing w:before="11"/>
        <w:rPr>
          <w:rFonts w:cs="Calibri"/>
          <w:sz w:val="21"/>
          <w:szCs w:val="21"/>
        </w:rPr>
      </w:pPr>
    </w:p>
    <w:p w14:paraId="53DBDED2" w14:textId="77777777" w:rsidR="0031675F" w:rsidRPr="0031675F" w:rsidRDefault="0031675F" w:rsidP="0031675F">
      <w:pPr>
        <w:widowControl w:val="0"/>
        <w:numPr>
          <w:ilvl w:val="1"/>
          <w:numId w:val="112"/>
        </w:numPr>
        <w:tabs>
          <w:tab w:val="left" w:pos="706"/>
        </w:tabs>
        <w:spacing w:before="0" w:after="0" w:line="240" w:lineRule="auto"/>
        <w:jc w:val="both"/>
        <w:rPr>
          <w:rFonts w:eastAsia="Arial" w:cs="Arial"/>
          <w:sz w:val="24"/>
          <w:szCs w:val="24"/>
        </w:rPr>
      </w:pPr>
      <w:bookmarkStart w:id="631" w:name="_TOC_250054"/>
      <w:r w:rsidRPr="0031675F">
        <w:rPr>
          <w:b/>
          <w:spacing w:val="-1"/>
          <w:sz w:val="24"/>
        </w:rPr>
        <w:t>Principle</w:t>
      </w:r>
      <w:r w:rsidRPr="0031675F">
        <w:rPr>
          <w:b/>
          <w:sz w:val="24"/>
        </w:rPr>
        <w:t xml:space="preserve"> of </w:t>
      </w:r>
      <w:r w:rsidRPr="0031675F">
        <w:rPr>
          <w:b/>
          <w:spacing w:val="-1"/>
          <w:sz w:val="24"/>
        </w:rPr>
        <w:t>analysis</w:t>
      </w:r>
      <w:bookmarkEnd w:id="631"/>
    </w:p>
    <w:p w14:paraId="350007F0" w14:textId="77777777" w:rsidR="0031675F" w:rsidRPr="0031675F" w:rsidRDefault="0031675F" w:rsidP="0031675F">
      <w:pPr>
        <w:rPr>
          <w:rFonts w:eastAsia="Arial" w:cs="Arial"/>
          <w:b/>
          <w:bCs/>
          <w:sz w:val="21"/>
          <w:szCs w:val="21"/>
        </w:rPr>
      </w:pPr>
    </w:p>
    <w:p w14:paraId="5D3D605F" w14:textId="77777777" w:rsidR="0031675F" w:rsidRPr="0031675F" w:rsidRDefault="0031675F" w:rsidP="0031675F">
      <w:pPr>
        <w:spacing w:after="120" w:line="239" w:lineRule="auto"/>
        <w:ind w:left="138" w:right="129"/>
        <w:jc w:val="both"/>
      </w:pPr>
      <w:r w:rsidRPr="0031675F">
        <w:rPr>
          <w:spacing w:val="-1"/>
        </w:rPr>
        <w:t>The</w:t>
      </w:r>
      <w:r w:rsidRPr="0031675F">
        <w:rPr>
          <w:spacing w:val="10"/>
        </w:rPr>
        <w:t xml:space="preserve"> </w:t>
      </w:r>
      <w:r w:rsidRPr="0031675F">
        <w:rPr>
          <w:spacing w:val="-1"/>
        </w:rPr>
        <w:t>SHIMADZU</w:t>
      </w:r>
      <w:r w:rsidRPr="0031675F">
        <w:rPr>
          <w:spacing w:val="9"/>
        </w:rPr>
        <w:t xml:space="preserve"> </w:t>
      </w:r>
      <w:r w:rsidRPr="0031675F">
        <w:rPr>
          <w:spacing w:val="-1"/>
        </w:rPr>
        <w:t>TOC-L</w:t>
      </w:r>
      <w:r w:rsidRPr="0031675F">
        <w:rPr>
          <w:spacing w:val="9"/>
        </w:rPr>
        <w:t xml:space="preserve"> </w:t>
      </w:r>
      <w:r w:rsidRPr="0031675F">
        <w:rPr>
          <w:spacing w:val="-1"/>
        </w:rPr>
        <w:t>is</w:t>
      </w:r>
      <w:r w:rsidRPr="0031675F">
        <w:rPr>
          <w:spacing w:val="10"/>
        </w:rPr>
        <w:t xml:space="preserve"> </w:t>
      </w:r>
      <w:r w:rsidRPr="0031675F">
        <w:rPr>
          <w:spacing w:val="-1"/>
        </w:rPr>
        <w:t>used</w:t>
      </w:r>
      <w:r w:rsidRPr="0031675F">
        <w:rPr>
          <w:spacing w:val="10"/>
        </w:rPr>
        <w:t xml:space="preserve"> </w:t>
      </w:r>
      <w:r w:rsidRPr="0031675F">
        <w:rPr>
          <w:spacing w:val="-1"/>
        </w:rPr>
        <w:t>to</w:t>
      </w:r>
      <w:r w:rsidRPr="0031675F">
        <w:rPr>
          <w:spacing w:val="11"/>
        </w:rPr>
        <w:t xml:space="preserve"> </w:t>
      </w:r>
      <w:r w:rsidRPr="0031675F">
        <w:rPr>
          <w:spacing w:val="-1"/>
        </w:rPr>
        <w:t>analyse</w:t>
      </w:r>
      <w:r w:rsidRPr="0031675F">
        <w:rPr>
          <w:spacing w:val="10"/>
        </w:rPr>
        <w:t xml:space="preserve"> </w:t>
      </w:r>
      <w:r w:rsidRPr="0031675F">
        <w:t>Total</w:t>
      </w:r>
      <w:r w:rsidRPr="0031675F">
        <w:rPr>
          <w:spacing w:val="10"/>
        </w:rPr>
        <w:t xml:space="preserve"> </w:t>
      </w:r>
      <w:r w:rsidRPr="0031675F">
        <w:rPr>
          <w:spacing w:val="-1"/>
        </w:rPr>
        <w:t>Carbon</w:t>
      </w:r>
      <w:r w:rsidRPr="0031675F">
        <w:rPr>
          <w:spacing w:val="14"/>
        </w:rPr>
        <w:t xml:space="preserve"> </w:t>
      </w:r>
      <w:r w:rsidRPr="0031675F">
        <w:rPr>
          <w:spacing w:val="-1"/>
        </w:rPr>
        <w:t>(TC)</w:t>
      </w:r>
      <w:r w:rsidRPr="0031675F">
        <w:rPr>
          <w:spacing w:val="45"/>
        </w:rPr>
        <w:t xml:space="preserve"> </w:t>
      </w:r>
      <w:r w:rsidRPr="0031675F">
        <w:rPr>
          <w:spacing w:val="-1"/>
        </w:rPr>
        <w:t>and</w:t>
      </w:r>
      <w:r w:rsidRPr="0031675F">
        <w:rPr>
          <w:spacing w:val="45"/>
        </w:rPr>
        <w:t xml:space="preserve"> </w:t>
      </w:r>
      <w:r w:rsidRPr="0031675F">
        <w:rPr>
          <w:spacing w:val="-1"/>
        </w:rPr>
        <w:t>Inorganic</w:t>
      </w:r>
      <w:r w:rsidRPr="0031675F">
        <w:rPr>
          <w:spacing w:val="46"/>
        </w:rPr>
        <w:t xml:space="preserve"> </w:t>
      </w:r>
      <w:r w:rsidRPr="0031675F">
        <w:rPr>
          <w:spacing w:val="-1"/>
        </w:rPr>
        <w:t>Carbon</w:t>
      </w:r>
      <w:r w:rsidRPr="0031675F">
        <w:rPr>
          <w:spacing w:val="44"/>
        </w:rPr>
        <w:t xml:space="preserve"> </w:t>
      </w:r>
      <w:r w:rsidRPr="0031675F">
        <w:rPr>
          <w:spacing w:val="-1"/>
        </w:rPr>
        <w:t>(IC)</w:t>
      </w:r>
      <w:r w:rsidRPr="0031675F">
        <w:rPr>
          <w:spacing w:val="45"/>
        </w:rPr>
        <w:t xml:space="preserve"> </w:t>
      </w:r>
      <w:r w:rsidRPr="0031675F">
        <w:t>in</w:t>
      </w:r>
      <w:r w:rsidRPr="0031675F">
        <w:rPr>
          <w:spacing w:val="45"/>
        </w:rPr>
        <w:t xml:space="preserve"> </w:t>
      </w:r>
      <w:r w:rsidRPr="0031675F">
        <w:rPr>
          <w:spacing w:val="-1"/>
        </w:rPr>
        <w:t>liquid</w:t>
      </w:r>
      <w:r w:rsidRPr="0031675F">
        <w:rPr>
          <w:spacing w:val="45"/>
        </w:rPr>
        <w:t xml:space="preserve"> </w:t>
      </w:r>
      <w:r w:rsidRPr="0031675F">
        <w:rPr>
          <w:spacing w:val="-1"/>
        </w:rPr>
        <w:t>samples.</w:t>
      </w:r>
      <w:r w:rsidRPr="0031675F">
        <w:rPr>
          <w:spacing w:val="44"/>
        </w:rPr>
        <w:t xml:space="preserve"> </w:t>
      </w:r>
      <w:r w:rsidRPr="0031675F">
        <w:t>It</w:t>
      </w:r>
      <w:r w:rsidRPr="0031675F">
        <w:rPr>
          <w:spacing w:val="43"/>
        </w:rPr>
        <w:t xml:space="preserve"> </w:t>
      </w:r>
      <w:r w:rsidRPr="0031675F">
        <w:rPr>
          <w:spacing w:val="-1"/>
        </w:rPr>
        <w:t>uses</w:t>
      </w:r>
      <w:r w:rsidRPr="0031675F">
        <w:rPr>
          <w:spacing w:val="44"/>
        </w:rPr>
        <w:t xml:space="preserve"> </w:t>
      </w:r>
      <w:r w:rsidRPr="0031675F">
        <w:rPr>
          <w:spacing w:val="-1"/>
        </w:rPr>
        <w:t>High</w:t>
      </w:r>
      <w:r w:rsidRPr="0031675F">
        <w:rPr>
          <w:spacing w:val="55"/>
        </w:rPr>
        <w:t xml:space="preserve"> </w:t>
      </w:r>
      <w:r w:rsidRPr="0031675F">
        <w:rPr>
          <w:spacing w:val="-1"/>
        </w:rPr>
        <w:t>Temperature</w:t>
      </w:r>
      <w:r w:rsidRPr="0031675F">
        <w:rPr>
          <w:spacing w:val="16"/>
        </w:rPr>
        <w:t xml:space="preserve"> </w:t>
      </w:r>
      <w:r w:rsidRPr="0031675F">
        <w:rPr>
          <w:spacing w:val="-1"/>
        </w:rPr>
        <w:t>Combustion</w:t>
      </w:r>
      <w:r w:rsidRPr="0031675F">
        <w:rPr>
          <w:spacing w:val="16"/>
        </w:rPr>
        <w:t xml:space="preserve"> </w:t>
      </w:r>
      <w:r w:rsidRPr="0031675F">
        <w:rPr>
          <w:spacing w:val="-1"/>
        </w:rPr>
        <w:t>(at</w:t>
      </w:r>
      <w:r w:rsidRPr="0031675F">
        <w:rPr>
          <w:spacing w:val="20"/>
        </w:rPr>
        <w:t xml:space="preserve"> </w:t>
      </w:r>
      <w:r w:rsidRPr="0031675F">
        <w:rPr>
          <w:spacing w:val="-1"/>
        </w:rPr>
        <w:t>720</w:t>
      </w:r>
      <w:r w:rsidRPr="0031675F">
        <w:rPr>
          <w:spacing w:val="18"/>
        </w:rPr>
        <w:t xml:space="preserve"> </w:t>
      </w:r>
      <w:r w:rsidRPr="0031675F">
        <w:rPr>
          <w:spacing w:val="-1"/>
        </w:rPr>
        <w:t>Celsius)</w:t>
      </w:r>
      <w:r w:rsidRPr="0031675F">
        <w:rPr>
          <w:spacing w:val="20"/>
        </w:rPr>
        <w:t xml:space="preserve"> </w:t>
      </w:r>
      <w:r w:rsidRPr="0031675F">
        <w:rPr>
          <w:spacing w:val="-1"/>
        </w:rPr>
        <w:t>for</w:t>
      </w:r>
      <w:r w:rsidRPr="0031675F">
        <w:rPr>
          <w:spacing w:val="17"/>
        </w:rPr>
        <w:t xml:space="preserve"> </w:t>
      </w:r>
      <w:r w:rsidRPr="0031675F">
        <w:t>the</w:t>
      </w:r>
      <w:r w:rsidRPr="0031675F">
        <w:rPr>
          <w:spacing w:val="19"/>
        </w:rPr>
        <w:t xml:space="preserve"> </w:t>
      </w:r>
      <w:r w:rsidRPr="0031675F">
        <w:rPr>
          <w:spacing w:val="-1"/>
        </w:rPr>
        <w:t>analysis</w:t>
      </w:r>
      <w:r w:rsidRPr="0031675F">
        <w:rPr>
          <w:spacing w:val="17"/>
        </w:rPr>
        <w:t xml:space="preserve"> </w:t>
      </w:r>
      <w:r w:rsidRPr="0031675F">
        <w:t>of</w:t>
      </w:r>
      <w:r w:rsidRPr="0031675F">
        <w:rPr>
          <w:spacing w:val="19"/>
        </w:rPr>
        <w:t xml:space="preserve"> </w:t>
      </w:r>
      <w:r w:rsidRPr="0031675F">
        <w:rPr>
          <w:spacing w:val="-2"/>
        </w:rPr>
        <w:t>TC/</w:t>
      </w:r>
      <w:r w:rsidRPr="0031675F">
        <w:rPr>
          <w:spacing w:val="18"/>
        </w:rPr>
        <w:t xml:space="preserve"> </w:t>
      </w:r>
      <w:r w:rsidRPr="0031675F">
        <w:rPr>
          <w:spacing w:val="-1"/>
        </w:rPr>
        <w:t>POC</w:t>
      </w:r>
      <w:r w:rsidRPr="0031675F">
        <w:rPr>
          <w:spacing w:val="19"/>
        </w:rPr>
        <w:t xml:space="preserve"> </w:t>
      </w:r>
      <w:r w:rsidRPr="0031675F">
        <w:rPr>
          <w:spacing w:val="-1"/>
        </w:rPr>
        <w:t>and</w:t>
      </w:r>
      <w:r w:rsidRPr="0031675F">
        <w:rPr>
          <w:spacing w:val="18"/>
        </w:rPr>
        <w:t xml:space="preserve"> </w:t>
      </w:r>
      <w:r w:rsidRPr="0031675F">
        <w:rPr>
          <w:spacing w:val="-1"/>
        </w:rPr>
        <w:t>acidification/sparging</w:t>
      </w:r>
      <w:r w:rsidRPr="0031675F">
        <w:rPr>
          <w:spacing w:val="18"/>
        </w:rPr>
        <w:t xml:space="preserve"> </w:t>
      </w:r>
      <w:r w:rsidRPr="0031675F">
        <w:rPr>
          <w:spacing w:val="-1"/>
        </w:rPr>
        <w:t>for</w:t>
      </w:r>
      <w:r w:rsidRPr="0031675F">
        <w:rPr>
          <w:spacing w:val="67"/>
        </w:rPr>
        <w:t xml:space="preserve"> </w:t>
      </w:r>
      <w:r w:rsidRPr="0031675F">
        <w:t xml:space="preserve">the </w:t>
      </w:r>
      <w:r w:rsidRPr="0031675F">
        <w:rPr>
          <w:spacing w:val="-1"/>
        </w:rPr>
        <w:t>analysis</w:t>
      </w:r>
      <w:r w:rsidRPr="0031675F">
        <w:t xml:space="preserve"> of</w:t>
      </w:r>
      <w:r w:rsidRPr="0031675F">
        <w:rPr>
          <w:spacing w:val="-2"/>
        </w:rPr>
        <w:t xml:space="preserve"> </w:t>
      </w:r>
      <w:r w:rsidRPr="0031675F">
        <w:t xml:space="preserve">IC </w:t>
      </w:r>
      <w:r w:rsidRPr="0031675F">
        <w:rPr>
          <w:spacing w:val="-2"/>
        </w:rPr>
        <w:t>(at</w:t>
      </w:r>
      <w:r w:rsidRPr="0031675F">
        <w:t xml:space="preserve"> </w:t>
      </w:r>
      <w:r w:rsidRPr="0031675F">
        <w:rPr>
          <w:spacing w:val="-1"/>
        </w:rPr>
        <w:t>room temperature).</w:t>
      </w:r>
    </w:p>
    <w:p w14:paraId="16A702B7" w14:textId="77777777" w:rsidR="0031675F" w:rsidRPr="0031675F" w:rsidRDefault="0031675F" w:rsidP="0031675F">
      <w:pPr>
        <w:spacing w:before="1"/>
        <w:rPr>
          <w:rFonts w:cs="Calibri"/>
        </w:rPr>
      </w:pPr>
    </w:p>
    <w:p w14:paraId="201FF708" w14:textId="77777777" w:rsidR="0031675F" w:rsidRPr="0031675F" w:rsidRDefault="0031675F" w:rsidP="0031675F">
      <w:pPr>
        <w:spacing w:after="120"/>
        <w:ind w:right="130"/>
        <w:jc w:val="both"/>
      </w:pPr>
      <w:r w:rsidRPr="0031675F">
        <w:t>Total</w:t>
      </w:r>
      <w:r w:rsidRPr="0031675F">
        <w:rPr>
          <w:spacing w:val="7"/>
        </w:rPr>
        <w:t xml:space="preserve"> </w:t>
      </w:r>
      <w:r w:rsidRPr="0031675F">
        <w:rPr>
          <w:spacing w:val="-1"/>
        </w:rPr>
        <w:t>Carbon</w:t>
      </w:r>
      <w:r w:rsidRPr="0031675F">
        <w:rPr>
          <w:spacing w:val="9"/>
        </w:rPr>
        <w:t xml:space="preserve"> </w:t>
      </w:r>
      <w:r w:rsidRPr="0031675F">
        <w:t>is</w:t>
      </w:r>
      <w:r w:rsidRPr="0031675F">
        <w:rPr>
          <w:spacing w:val="7"/>
        </w:rPr>
        <w:t xml:space="preserve"> </w:t>
      </w:r>
      <w:r w:rsidRPr="0031675F">
        <w:rPr>
          <w:spacing w:val="-1"/>
        </w:rPr>
        <w:t>essentially</w:t>
      </w:r>
      <w:r w:rsidRPr="0031675F">
        <w:rPr>
          <w:spacing w:val="8"/>
        </w:rPr>
        <w:t xml:space="preserve"> </w:t>
      </w:r>
      <w:r w:rsidRPr="0031675F">
        <w:rPr>
          <w:spacing w:val="-1"/>
        </w:rPr>
        <w:t>equivalent</w:t>
      </w:r>
      <w:r w:rsidRPr="0031675F">
        <w:rPr>
          <w:spacing w:val="7"/>
        </w:rPr>
        <w:t xml:space="preserve"> </w:t>
      </w:r>
      <w:r w:rsidRPr="0031675F">
        <w:rPr>
          <w:spacing w:val="-1"/>
        </w:rPr>
        <w:t>to</w:t>
      </w:r>
      <w:r w:rsidRPr="0031675F">
        <w:rPr>
          <w:spacing w:val="11"/>
        </w:rPr>
        <w:t xml:space="preserve"> </w:t>
      </w:r>
      <w:r w:rsidRPr="0031675F">
        <w:rPr>
          <w:spacing w:val="-1"/>
        </w:rPr>
        <w:t>Inorganic</w:t>
      </w:r>
      <w:r w:rsidRPr="0031675F">
        <w:rPr>
          <w:spacing w:val="7"/>
        </w:rPr>
        <w:t xml:space="preserve"> </w:t>
      </w:r>
      <w:r w:rsidRPr="0031675F">
        <w:rPr>
          <w:spacing w:val="-1"/>
        </w:rPr>
        <w:t>Carbon</w:t>
      </w:r>
      <w:r w:rsidRPr="0031675F">
        <w:rPr>
          <w:spacing w:val="9"/>
        </w:rPr>
        <w:t xml:space="preserve"> </w:t>
      </w:r>
      <w:r w:rsidRPr="0031675F">
        <w:rPr>
          <w:spacing w:val="-1"/>
        </w:rPr>
        <w:t>plus</w:t>
      </w:r>
      <w:r w:rsidRPr="0031675F">
        <w:rPr>
          <w:spacing w:val="10"/>
        </w:rPr>
        <w:t xml:space="preserve"> </w:t>
      </w:r>
      <w:r w:rsidRPr="0031675F">
        <w:t>Non-</w:t>
      </w:r>
      <w:r w:rsidRPr="0031675F">
        <w:rPr>
          <w:spacing w:val="7"/>
        </w:rPr>
        <w:t xml:space="preserve"> </w:t>
      </w:r>
      <w:r w:rsidRPr="0031675F">
        <w:rPr>
          <w:spacing w:val="-1"/>
        </w:rPr>
        <w:t>Purgeable</w:t>
      </w:r>
      <w:r w:rsidRPr="0031675F">
        <w:rPr>
          <w:spacing w:val="10"/>
        </w:rPr>
        <w:t xml:space="preserve"> </w:t>
      </w:r>
      <w:r w:rsidRPr="0031675F">
        <w:rPr>
          <w:spacing w:val="-1"/>
        </w:rPr>
        <w:t>Organic</w:t>
      </w:r>
      <w:r w:rsidRPr="0031675F">
        <w:rPr>
          <w:spacing w:val="9"/>
        </w:rPr>
        <w:t xml:space="preserve"> </w:t>
      </w:r>
      <w:r w:rsidRPr="0031675F">
        <w:rPr>
          <w:spacing w:val="-1"/>
        </w:rPr>
        <w:t>Carbon (NPOC).</w:t>
      </w:r>
      <w:r w:rsidRPr="0031675F">
        <w:rPr>
          <w:spacing w:val="17"/>
        </w:rPr>
        <w:t xml:space="preserve"> </w:t>
      </w:r>
      <w:r w:rsidRPr="0031675F">
        <w:rPr>
          <w:spacing w:val="-2"/>
        </w:rPr>
        <w:t>This</w:t>
      </w:r>
      <w:r w:rsidRPr="0031675F">
        <w:rPr>
          <w:spacing w:val="65"/>
        </w:rPr>
        <w:t xml:space="preserve"> </w:t>
      </w:r>
      <w:r w:rsidRPr="0031675F">
        <w:rPr>
          <w:spacing w:val="-1"/>
        </w:rPr>
        <w:t>method</w:t>
      </w:r>
      <w:r w:rsidRPr="0031675F">
        <w:rPr>
          <w:spacing w:val="44"/>
        </w:rPr>
        <w:t xml:space="preserve"> </w:t>
      </w:r>
      <w:r w:rsidRPr="0031675F">
        <w:rPr>
          <w:spacing w:val="-1"/>
        </w:rPr>
        <w:t>eradicates</w:t>
      </w:r>
      <w:r w:rsidRPr="0031675F">
        <w:rPr>
          <w:spacing w:val="46"/>
        </w:rPr>
        <w:t xml:space="preserve"> </w:t>
      </w:r>
      <w:r w:rsidRPr="0031675F">
        <w:t>the</w:t>
      </w:r>
      <w:r w:rsidRPr="0031675F">
        <w:rPr>
          <w:spacing w:val="44"/>
        </w:rPr>
        <w:t xml:space="preserve"> </w:t>
      </w:r>
      <w:r w:rsidRPr="0031675F">
        <w:rPr>
          <w:spacing w:val="-1"/>
        </w:rPr>
        <w:t>IC</w:t>
      </w:r>
      <w:r w:rsidRPr="0031675F">
        <w:rPr>
          <w:spacing w:val="44"/>
        </w:rPr>
        <w:t xml:space="preserve"> </w:t>
      </w:r>
      <w:r w:rsidRPr="0031675F">
        <w:rPr>
          <w:spacing w:val="-1"/>
        </w:rPr>
        <w:t>by</w:t>
      </w:r>
      <w:r w:rsidRPr="0031675F">
        <w:rPr>
          <w:spacing w:val="49"/>
        </w:rPr>
        <w:t xml:space="preserve"> </w:t>
      </w:r>
      <w:r w:rsidRPr="0031675F">
        <w:rPr>
          <w:spacing w:val="-1"/>
        </w:rPr>
        <w:t>acidification</w:t>
      </w:r>
      <w:r w:rsidRPr="0031675F">
        <w:rPr>
          <w:spacing w:val="45"/>
        </w:rPr>
        <w:t xml:space="preserve"> </w:t>
      </w:r>
      <w:r w:rsidRPr="0031675F">
        <w:rPr>
          <w:spacing w:val="-1"/>
        </w:rPr>
        <w:t>and</w:t>
      </w:r>
      <w:r w:rsidRPr="0031675F">
        <w:rPr>
          <w:spacing w:val="44"/>
        </w:rPr>
        <w:t xml:space="preserve"> </w:t>
      </w:r>
      <w:r w:rsidRPr="0031675F">
        <w:rPr>
          <w:spacing w:val="-1"/>
        </w:rPr>
        <w:t>sparging</w:t>
      </w:r>
      <w:r w:rsidRPr="0031675F">
        <w:rPr>
          <w:spacing w:val="45"/>
        </w:rPr>
        <w:t xml:space="preserve"> </w:t>
      </w:r>
      <w:r w:rsidRPr="0031675F">
        <w:rPr>
          <w:spacing w:val="-1"/>
        </w:rPr>
        <w:t>before</w:t>
      </w:r>
      <w:r w:rsidRPr="0031675F">
        <w:rPr>
          <w:spacing w:val="46"/>
        </w:rPr>
        <w:t xml:space="preserve"> </w:t>
      </w:r>
      <w:r w:rsidRPr="0031675F">
        <w:rPr>
          <w:spacing w:val="-1"/>
        </w:rPr>
        <w:t>NPOC</w:t>
      </w:r>
      <w:r w:rsidRPr="0031675F">
        <w:rPr>
          <w:spacing w:val="40"/>
        </w:rPr>
        <w:t xml:space="preserve"> </w:t>
      </w:r>
      <w:r w:rsidRPr="0031675F">
        <w:t>is</w:t>
      </w:r>
      <w:r w:rsidRPr="0031675F">
        <w:rPr>
          <w:spacing w:val="43"/>
        </w:rPr>
        <w:t xml:space="preserve"> </w:t>
      </w:r>
      <w:r w:rsidRPr="0031675F">
        <w:rPr>
          <w:spacing w:val="-1"/>
        </w:rPr>
        <w:t>determined</w:t>
      </w:r>
      <w:r w:rsidRPr="0031675F">
        <w:rPr>
          <w:spacing w:val="42"/>
        </w:rPr>
        <w:t xml:space="preserve"> </w:t>
      </w:r>
      <w:r w:rsidRPr="0031675F">
        <w:rPr>
          <w:spacing w:val="-1"/>
        </w:rPr>
        <w:t>by</w:t>
      </w:r>
      <w:r w:rsidRPr="0031675F">
        <w:rPr>
          <w:spacing w:val="44"/>
        </w:rPr>
        <w:t xml:space="preserve"> </w:t>
      </w:r>
      <w:r w:rsidRPr="0031675F">
        <w:t>a</w:t>
      </w:r>
      <w:r w:rsidRPr="0031675F">
        <w:rPr>
          <w:spacing w:val="41"/>
        </w:rPr>
        <w:t xml:space="preserve"> </w:t>
      </w:r>
      <w:r w:rsidRPr="0031675F">
        <w:rPr>
          <w:spacing w:val="-1"/>
        </w:rPr>
        <w:t>TC</w:t>
      </w:r>
      <w:r w:rsidRPr="0031675F">
        <w:rPr>
          <w:spacing w:val="42"/>
        </w:rPr>
        <w:t xml:space="preserve"> </w:t>
      </w:r>
      <w:r w:rsidRPr="0031675F">
        <w:rPr>
          <w:spacing w:val="-1"/>
        </w:rPr>
        <w:t>analysis</w:t>
      </w:r>
      <w:r w:rsidRPr="0031675F">
        <w:rPr>
          <w:spacing w:val="41"/>
        </w:rPr>
        <w:t xml:space="preserve"> </w:t>
      </w:r>
      <w:r w:rsidRPr="0031675F">
        <w:t>on</w:t>
      </w:r>
      <w:r w:rsidRPr="0031675F">
        <w:rPr>
          <w:spacing w:val="43"/>
        </w:rPr>
        <w:t xml:space="preserve"> </w:t>
      </w:r>
      <w:r w:rsidRPr="0031675F">
        <w:t>the</w:t>
      </w:r>
      <w:r w:rsidRPr="0031675F">
        <w:rPr>
          <w:spacing w:val="40"/>
        </w:rPr>
        <w:t xml:space="preserve"> </w:t>
      </w:r>
      <w:r w:rsidRPr="0031675F">
        <w:rPr>
          <w:spacing w:val="-1"/>
        </w:rPr>
        <w:t>sample</w:t>
      </w:r>
      <w:r w:rsidRPr="0031675F">
        <w:rPr>
          <w:spacing w:val="43"/>
        </w:rPr>
        <w:t xml:space="preserve"> </w:t>
      </w:r>
      <w:r w:rsidRPr="0031675F">
        <w:rPr>
          <w:spacing w:val="-1"/>
        </w:rPr>
        <w:t>remaining.</w:t>
      </w:r>
      <w:r w:rsidRPr="0031675F">
        <w:rPr>
          <w:spacing w:val="43"/>
        </w:rPr>
        <w:t xml:space="preserve"> </w:t>
      </w:r>
      <w:r w:rsidRPr="0031675F">
        <w:rPr>
          <w:spacing w:val="-1"/>
        </w:rPr>
        <w:t>Any</w:t>
      </w:r>
      <w:r w:rsidRPr="0031675F">
        <w:rPr>
          <w:spacing w:val="42"/>
        </w:rPr>
        <w:t xml:space="preserve"> </w:t>
      </w:r>
      <w:r w:rsidRPr="0031675F">
        <w:rPr>
          <w:spacing w:val="-1"/>
        </w:rPr>
        <w:t>volatile</w:t>
      </w:r>
      <w:r w:rsidRPr="0031675F">
        <w:rPr>
          <w:spacing w:val="49"/>
        </w:rPr>
        <w:t xml:space="preserve"> </w:t>
      </w:r>
      <w:r w:rsidRPr="0031675F">
        <w:rPr>
          <w:spacing w:val="-1"/>
        </w:rPr>
        <w:t>(purgeable)</w:t>
      </w:r>
      <w:r w:rsidRPr="0031675F">
        <w:rPr>
          <w:spacing w:val="8"/>
        </w:rPr>
        <w:t xml:space="preserve"> </w:t>
      </w:r>
      <w:r w:rsidRPr="0031675F">
        <w:rPr>
          <w:spacing w:val="-1"/>
        </w:rPr>
        <w:t>Organic</w:t>
      </w:r>
      <w:r w:rsidRPr="0031675F">
        <w:rPr>
          <w:spacing w:val="7"/>
        </w:rPr>
        <w:t xml:space="preserve"> </w:t>
      </w:r>
      <w:r w:rsidRPr="0031675F">
        <w:rPr>
          <w:spacing w:val="-2"/>
        </w:rPr>
        <w:t>Carbon</w:t>
      </w:r>
      <w:r w:rsidRPr="0031675F">
        <w:rPr>
          <w:spacing w:val="6"/>
        </w:rPr>
        <w:t xml:space="preserve"> </w:t>
      </w:r>
      <w:r w:rsidRPr="0031675F">
        <w:rPr>
          <w:spacing w:val="-1"/>
        </w:rPr>
        <w:t>present</w:t>
      </w:r>
      <w:r w:rsidRPr="0031675F">
        <w:rPr>
          <w:spacing w:val="8"/>
        </w:rPr>
        <w:t xml:space="preserve"> </w:t>
      </w:r>
      <w:r w:rsidRPr="0031675F">
        <w:t>in</w:t>
      </w:r>
      <w:r w:rsidRPr="0031675F">
        <w:rPr>
          <w:spacing w:val="6"/>
        </w:rPr>
        <w:t xml:space="preserve"> </w:t>
      </w:r>
      <w:r w:rsidRPr="0031675F">
        <w:t>the</w:t>
      </w:r>
      <w:r w:rsidRPr="0031675F">
        <w:rPr>
          <w:spacing w:val="5"/>
        </w:rPr>
        <w:t xml:space="preserve"> </w:t>
      </w:r>
      <w:r w:rsidRPr="0031675F">
        <w:rPr>
          <w:spacing w:val="-1"/>
        </w:rPr>
        <w:t>sample</w:t>
      </w:r>
      <w:r w:rsidRPr="0031675F">
        <w:rPr>
          <w:spacing w:val="8"/>
        </w:rPr>
        <w:t xml:space="preserve"> </w:t>
      </w:r>
      <w:r w:rsidRPr="0031675F">
        <w:rPr>
          <w:spacing w:val="-2"/>
        </w:rPr>
        <w:t>could</w:t>
      </w:r>
      <w:r w:rsidRPr="0031675F">
        <w:rPr>
          <w:spacing w:val="6"/>
        </w:rPr>
        <w:t xml:space="preserve"> </w:t>
      </w:r>
      <w:r w:rsidRPr="0031675F">
        <w:rPr>
          <w:spacing w:val="-1"/>
        </w:rPr>
        <w:t>be</w:t>
      </w:r>
      <w:r w:rsidRPr="0031675F">
        <w:rPr>
          <w:spacing w:val="8"/>
        </w:rPr>
        <w:t xml:space="preserve"> </w:t>
      </w:r>
      <w:r w:rsidRPr="0031675F">
        <w:rPr>
          <w:spacing w:val="-1"/>
        </w:rPr>
        <w:t>lost</w:t>
      </w:r>
      <w:r w:rsidRPr="0031675F">
        <w:rPr>
          <w:spacing w:val="8"/>
        </w:rPr>
        <w:t xml:space="preserve"> </w:t>
      </w:r>
      <w:r w:rsidRPr="0031675F">
        <w:rPr>
          <w:spacing w:val="-1"/>
        </w:rPr>
        <w:t>during</w:t>
      </w:r>
      <w:r w:rsidRPr="0031675F">
        <w:rPr>
          <w:spacing w:val="6"/>
        </w:rPr>
        <w:t xml:space="preserve"> </w:t>
      </w:r>
      <w:r w:rsidRPr="0031675F">
        <w:t>the</w:t>
      </w:r>
      <w:r w:rsidRPr="0031675F">
        <w:rPr>
          <w:spacing w:val="7"/>
        </w:rPr>
        <w:t xml:space="preserve"> </w:t>
      </w:r>
      <w:r w:rsidRPr="0031675F">
        <w:rPr>
          <w:spacing w:val="-2"/>
        </w:rPr>
        <w:t>sparging</w:t>
      </w:r>
      <w:r w:rsidRPr="0031675F">
        <w:rPr>
          <w:spacing w:val="6"/>
        </w:rPr>
        <w:t xml:space="preserve"> </w:t>
      </w:r>
      <w:r w:rsidRPr="0031675F">
        <w:rPr>
          <w:spacing w:val="-1"/>
        </w:rPr>
        <w:t>process,</w:t>
      </w:r>
      <w:r w:rsidRPr="0031675F">
        <w:rPr>
          <w:spacing w:val="7"/>
        </w:rPr>
        <w:t xml:space="preserve"> </w:t>
      </w:r>
      <w:r w:rsidRPr="0031675F">
        <w:rPr>
          <w:spacing w:val="-1"/>
        </w:rPr>
        <w:t>but</w:t>
      </w:r>
      <w:r w:rsidRPr="0031675F">
        <w:rPr>
          <w:spacing w:val="5"/>
        </w:rPr>
        <w:t xml:space="preserve"> </w:t>
      </w:r>
      <w:r w:rsidRPr="0031675F">
        <w:rPr>
          <w:spacing w:val="-1"/>
        </w:rPr>
        <w:t>this</w:t>
      </w:r>
      <w:r w:rsidRPr="0031675F">
        <w:rPr>
          <w:spacing w:val="83"/>
        </w:rPr>
        <w:t xml:space="preserve"> </w:t>
      </w:r>
      <w:r w:rsidRPr="0031675F">
        <w:t>is</w:t>
      </w:r>
      <w:r w:rsidRPr="0031675F">
        <w:rPr>
          <w:spacing w:val="21"/>
        </w:rPr>
        <w:t xml:space="preserve"> </w:t>
      </w:r>
      <w:r w:rsidRPr="0031675F">
        <w:rPr>
          <w:spacing w:val="-1"/>
        </w:rPr>
        <w:t>usually</w:t>
      </w:r>
      <w:r w:rsidRPr="0031675F">
        <w:rPr>
          <w:spacing w:val="22"/>
        </w:rPr>
        <w:t xml:space="preserve"> </w:t>
      </w:r>
      <w:r w:rsidRPr="0031675F">
        <w:rPr>
          <w:spacing w:val="-1"/>
        </w:rPr>
        <w:t>insignificant</w:t>
      </w:r>
      <w:r w:rsidRPr="0031675F">
        <w:rPr>
          <w:spacing w:val="22"/>
        </w:rPr>
        <w:t xml:space="preserve"> </w:t>
      </w:r>
      <w:r w:rsidRPr="0031675F">
        <w:rPr>
          <w:spacing w:val="-1"/>
        </w:rPr>
        <w:t>for</w:t>
      </w:r>
      <w:r w:rsidRPr="0031675F">
        <w:rPr>
          <w:spacing w:val="21"/>
        </w:rPr>
        <w:t xml:space="preserve"> </w:t>
      </w:r>
      <w:r w:rsidRPr="0031675F">
        <w:t>the</w:t>
      </w:r>
      <w:r w:rsidRPr="0031675F">
        <w:rPr>
          <w:spacing w:val="22"/>
        </w:rPr>
        <w:t xml:space="preserve"> </w:t>
      </w:r>
      <w:r w:rsidRPr="0031675F">
        <w:rPr>
          <w:spacing w:val="-1"/>
        </w:rPr>
        <w:t>types</w:t>
      </w:r>
      <w:r w:rsidRPr="0031675F">
        <w:rPr>
          <w:spacing w:val="20"/>
        </w:rPr>
        <w:t xml:space="preserve"> </w:t>
      </w:r>
      <w:r w:rsidRPr="0031675F">
        <w:t>of</w:t>
      </w:r>
      <w:r w:rsidRPr="0031675F">
        <w:rPr>
          <w:spacing w:val="21"/>
        </w:rPr>
        <w:t xml:space="preserve"> </w:t>
      </w:r>
      <w:r w:rsidRPr="0031675F">
        <w:rPr>
          <w:spacing w:val="-1"/>
        </w:rPr>
        <w:t>samples</w:t>
      </w:r>
      <w:r w:rsidRPr="0031675F">
        <w:rPr>
          <w:spacing w:val="22"/>
        </w:rPr>
        <w:t xml:space="preserve"> </w:t>
      </w:r>
      <w:r w:rsidRPr="0031675F">
        <w:rPr>
          <w:spacing w:val="-1"/>
        </w:rPr>
        <w:t>analysed</w:t>
      </w:r>
      <w:r w:rsidRPr="0031675F">
        <w:rPr>
          <w:spacing w:val="21"/>
        </w:rPr>
        <w:t xml:space="preserve"> </w:t>
      </w:r>
      <w:r w:rsidRPr="0031675F">
        <w:t>at</w:t>
      </w:r>
      <w:r w:rsidRPr="0031675F">
        <w:rPr>
          <w:spacing w:val="22"/>
        </w:rPr>
        <w:t xml:space="preserve"> </w:t>
      </w:r>
      <w:r w:rsidRPr="0031675F">
        <w:rPr>
          <w:spacing w:val="-1"/>
        </w:rPr>
        <w:t>AIMS.</w:t>
      </w:r>
      <w:r w:rsidRPr="0031675F">
        <w:rPr>
          <w:spacing w:val="21"/>
        </w:rPr>
        <w:t xml:space="preserve"> </w:t>
      </w:r>
      <w:r w:rsidRPr="0031675F">
        <w:rPr>
          <w:spacing w:val="-1"/>
        </w:rPr>
        <w:t>TC</w:t>
      </w:r>
      <w:r w:rsidRPr="0031675F">
        <w:rPr>
          <w:spacing w:val="21"/>
        </w:rPr>
        <w:t xml:space="preserve"> </w:t>
      </w:r>
      <w:r w:rsidRPr="0031675F">
        <w:rPr>
          <w:spacing w:val="-1"/>
        </w:rPr>
        <w:t>determinations</w:t>
      </w:r>
      <w:r w:rsidRPr="0031675F">
        <w:rPr>
          <w:spacing w:val="22"/>
        </w:rPr>
        <w:t xml:space="preserve"> </w:t>
      </w:r>
      <w:r w:rsidRPr="0031675F">
        <w:t>are</w:t>
      </w:r>
      <w:r w:rsidRPr="0031675F">
        <w:rPr>
          <w:spacing w:val="85"/>
        </w:rPr>
        <w:t xml:space="preserve"> </w:t>
      </w:r>
      <w:r w:rsidRPr="0031675F">
        <w:rPr>
          <w:spacing w:val="-1"/>
        </w:rPr>
        <w:t>done</w:t>
      </w:r>
      <w:r w:rsidRPr="0031675F">
        <w:rPr>
          <w:spacing w:val="22"/>
        </w:rPr>
        <w:t xml:space="preserve"> </w:t>
      </w:r>
      <w:r w:rsidRPr="0031675F">
        <w:rPr>
          <w:spacing w:val="-1"/>
        </w:rPr>
        <w:t>by</w:t>
      </w:r>
      <w:r w:rsidRPr="0031675F">
        <w:rPr>
          <w:spacing w:val="22"/>
        </w:rPr>
        <w:t xml:space="preserve"> </w:t>
      </w:r>
      <w:r w:rsidRPr="0031675F">
        <w:rPr>
          <w:spacing w:val="-1"/>
        </w:rPr>
        <w:t>converting</w:t>
      </w:r>
      <w:r w:rsidRPr="0031675F">
        <w:rPr>
          <w:spacing w:val="20"/>
        </w:rPr>
        <w:t xml:space="preserve"> </w:t>
      </w:r>
      <w:r w:rsidRPr="0031675F">
        <w:rPr>
          <w:spacing w:val="-2"/>
        </w:rPr>
        <w:t>Carbon</w:t>
      </w:r>
      <w:r w:rsidRPr="0031675F">
        <w:rPr>
          <w:spacing w:val="21"/>
        </w:rPr>
        <w:t xml:space="preserve"> </w:t>
      </w:r>
      <w:r w:rsidRPr="0031675F">
        <w:t>to</w:t>
      </w:r>
      <w:r w:rsidRPr="0031675F">
        <w:rPr>
          <w:spacing w:val="23"/>
        </w:rPr>
        <w:t xml:space="preserve"> </w:t>
      </w:r>
      <w:r w:rsidRPr="0031675F">
        <w:rPr>
          <w:spacing w:val="-1"/>
        </w:rPr>
        <w:t>Carbon</w:t>
      </w:r>
      <w:r w:rsidRPr="0031675F">
        <w:rPr>
          <w:spacing w:val="21"/>
        </w:rPr>
        <w:t xml:space="preserve"> </w:t>
      </w:r>
      <w:r w:rsidRPr="0031675F">
        <w:rPr>
          <w:spacing w:val="-1"/>
        </w:rPr>
        <w:t>Dioxide</w:t>
      </w:r>
      <w:r w:rsidRPr="0031675F">
        <w:rPr>
          <w:spacing w:val="22"/>
        </w:rPr>
        <w:t xml:space="preserve"> </w:t>
      </w:r>
      <w:r w:rsidRPr="0031675F">
        <w:rPr>
          <w:spacing w:val="-1"/>
        </w:rPr>
        <w:t>by</w:t>
      </w:r>
      <w:r w:rsidRPr="0031675F">
        <w:rPr>
          <w:spacing w:val="20"/>
        </w:rPr>
        <w:t xml:space="preserve"> </w:t>
      </w:r>
      <w:r w:rsidRPr="0031675F">
        <w:rPr>
          <w:spacing w:val="-1"/>
        </w:rPr>
        <w:t>the</w:t>
      </w:r>
      <w:r w:rsidRPr="0031675F">
        <w:rPr>
          <w:spacing w:val="22"/>
        </w:rPr>
        <w:t xml:space="preserve"> </w:t>
      </w:r>
      <w:r w:rsidRPr="0031675F">
        <w:rPr>
          <w:spacing w:val="-1"/>
        </w:rPr>
        <w:t>high</w:t>
      </w:r>
      <w:r w:rsidRPr="0031675F">
        <w:rPr>
          <w:spacing w:val="21"/>
        </w:rPr>
        <w:t xml:space="preserve"> </w:t>
      </w:r>
      <w:r w:rsidRPr="0031675F">
        <w:rPr>
          <w:spacing w:val="-1"/>
        </w:rPr>
        <w:t>temperature</w:t>
      </w:r>
      <w:r w:rsidRPr="0031675F">
        <w:rPr>
          <w:spacing w:val="18"/>
        </w:rPr>
        <w:t xml:space="preserve"> </w:t>
      </w:r>
      <w:r w:rsidRPr="0031675F">
        <w:rPr>
          <w:spacing w:val="-1"/>
        </w:rPr>
        <w:t>combustion</w:t>
      </w:r>
      <w:r w:rsidRPr="0031675F">
        <w:rPr>
          <w:spacing w:val="21"/>
        </w:rPr>
        <w:t xml:space="preserve"> </w:t>
      </w:r>
      <w:r w:rsidRPr="0031675F">
        <w:t>at</w:t>
      </w:r>
      <w:r w:rsidRPr="0031675F">
        <w:rPr>
          <w:spacing w:val="19"/>
        </w:rPr>
        <w:t xml:space="preserve"> </w:t>
      </w:r>
      <w:r w:rsidRPr="0031675F">
        <w:rPr>
          <w:spacing w:val="-1"/>
        </w:rPr>
        <w:t>680</w:t>
      </w:r>
      <w:r w:rsidRPr="0031675F">
        <w:rPr>
          <w:spacing w:val="22"/>
        </w:rPr>
        <w:t xml:space="preserve"> </w:t>
      </w:r>
      <w:r w:rsidRPr="0031675F">
        <w:rPr>
          <w:spacing w:val="-1"/>
        </w:rPr>
        <w:t>Celsius.</w:t>
      </w:r>
      <w:r w:rsidRPr="0031675F">
        <w:rPr>
          <w:spacing w:val="52"/>
        </w:rPr>
        <w:t xml:space="preserve"> </w:t>
      </w:r>
      <w:r w:rsidRPr="0031675F">
        <w:rPr>
          <w:spacing w:val="-1"/>
        </w:rPr>
        <w:t>The</w:t>
      </w:r>
      <w:r w:rsidRPr="0031675F">
        <w:rPr>
          <w:spacing w:val="10"/>
        </w:rPr>
        <w:t xml:space="preserve"> </w:t>
      </w:r>
      <w:r w:rsidRPr="0031675F">
        <w:rPr>
          <w:spacing w:val="-1"/>
        </w:rPr>
        <w:t>solution</w:t>
      </w:r>
      <w:r w:rsidRPr="0031675F">
        <w:rPr>
          <w:spacing w:val="9"/>
        </w:rPr>
        <w:t xml:space="preserve"> </w:t>
      </w:r>
      <w:r w:rsidRPr="0031675F">
        <w:t>is</w:t>
      </w:r>
      <w:r w:rsidRPr="0031675F">
        <w:rPr>
          <w:spacing w:val="7"/>
        </w:rPr>
        <w:t xml:space="preserve"> </w:t>
      </w:r>
      <w:r w:rsidRPr="0031675F">
        <w:t>then</w:t>
      </w:r>
      <w:r w:rsidRPr="0031675F">
        <w:rPr>
          <w:spacing w:val="9"/>
        </w:rPr>
        <w:t xml:space="preserve"> </w:t>
      </w:r>
      <w:r w:rsidRPr="0031675F">
        <w:rPr>
          <w:spacing w:val="-1"/>
        </w:rPr>
        <w:t>sparged</w:t>
      </w:r>
      <w:r w:rsidRPr="0031675F">
        <w:rPr>
          <w:spacing w:val="9"/>
        </w:rPr>
        <w:t xml:space="preserve"> </w:t>
      </w:r>
      <w:r w:rsidRPr="0031675F">
        <w:t>with</w:t>
      </w:r>
      <w:r w:rsidRPr="0031675F">
        <w:rPr>
          <w:spacing w:val="9"/>
        </w:rPr>
        <w:t xml:space="preserve"> </w:t>
      </w:r>
      <w:r w:rsidRPr="0031675F">
        <w:t>the</w:t>
      </w:r>
      <w:r w:rsidRPr="0031675F">
        <w:rPr>
          <w:spacing w:val="7"/>
        </w:rPr>
        <w:t xml:space="preserve"> </w:t>
      </w:r>
      <w:r w:rsidRPr="0031675F">
        <w:rPr>
          <w:spacing w:val="-1"/>
        </w:rPr>
        <w:t>carrier</w:t>
      </w:r>
      <w:r w:rsidRPr="0031675F">
        <w:rPr>
          <w:spacing w:val="10"/>
        </w:rPr>
        <w:t xml:space="preserve"> </w:t>
      </w:r>
      <w:r w:rsidRPr="0031675F">
        <w:rPr>
          <w:spacing w:val="-1"/>
        </w:rPr>
        <w:t>gas</w:t>
      </w:r>
      <w:r w:rsidRPr="0031675F">
        <w:rPr>
          <w:spacing w:val="7"/>
        </w:rPr>
        <w:t xml:space="preserve"> </w:t>
      </w:r>
      <w:r w:rsidRPr="0031675F">
        <w:t>to</w:t>
      </w:r>
      <w:r w:rsidRPr="0031675F">
        <w:rPr>
          <w:spacing w:val="9"/>
        </w:rPr>
        <w:t xml:space="preserve"> </w:t>
      </w:r>
      <w:r w:rsidRPr="0031675F">
        <w:rPr>
          <w:spacing w:val="-1"/>
        </w:rPr>
        <w:t>transport</w:t>
      </w:r>
      <w:r w:rsidRPr="0031675F">
        <w:rPr>
          <w:spacing w:val="10"/>
        </w:rPr>
        <w:t xml:space="preserve"> </w:t>
      </w:r>
      <w:r w:rsidRPr="0031675F">
        <w:rPr>
          <w:spacing w:val="-1"/>
        </w:rPr>
        <w:t>the</w:t>
      </w:r>
      <w:r w:rsidRPr="0031675F">
        <w:rPr>
          <w:spacing w:val="10"/>
        </w:rPr>
        <w:t xml:space="preserve"> carbon dioxide (</w:t>
      </w:r>
      <w:r w:rsidRPr="0031675F">
        <w:rPr>
          <w:spacing w:val="-2"/>
        </w:rPr>
        <w:t>CO2)</w:t>
      </w:r>
      <w:r w:rsidRPr="0031675F">
        <w:rPr>
          <w:spacing w:val="10"/>
        </w:rPr>
        <w:t xml:space="preserve"> </w:t>
      </w:r>
      <w:r w:rsidRPr="0031675F">
        <w:t>from</w:t>
      </w:r>
      <w:r w:rsidRPr="0031675F">
        <w:rPr>
          <w:spacing w:val="8"/>
        </w:rPr>
        <w:t xml:space="preserve"> </w:t>
      </w:r>
      <w:r w:rsidRPr="0031675F">
        <w:t>the</w:t>
      </w:r>
      <w:r w:rsidRPr="0031675F">
        <w:rPr>
          <w:spacing w:val="7"/>
        </w:rPr>
        <w:t xml:space="preserve"> </w:t>
      </w:r>
      <w:r w:rsidRPr="0031675F">
        <w:rPr>
          <w:spacing w:val="-1"/>
        </w:rPr>
        <w:t>reaction</w:t>
      </w:r>
      <w:r w:rsidRPr="0031675F">
        <w:rPr>
          <w:spacing w:val="9"/>
        </w:rPr>
        <w:t xml:space="preserve"> </w:t>
      </w:r>
      <w:r w:rsidRPr="0031675F">
        <w:rPr>
          <w:spacing w:val="-1"/>
        </w:rPr>
        <w:t>chamber</w:t>
      </w:r>
      <w:r w:rsidRPr="0031675F">
        <w:rPr>
          <w:spacing w:val="10"/>
        </w:rPr>
        <w:t xml:space="preserve"> </w:t>
      </w:r>
      <w:r w:rsidRPr="0031675F">
        <w:rPr>
          <w:spacing w:val="-1"/>
        </w:rPr>
        <w:t>to</w:t>
      </w:r>
      <w:r w:rsidRPr="0031675F">
        <w:rPr>
          <w:spacing w:val="51"/>
        </w:rPr>
        <w:t xml:space="preserve"> </w:t>
      </w:r>
      <w:r w:rsidRPr="0031675F">
        <w:t>the</w:t>
      </w:r>
      <w:r w:rsidRPr="0031675F">
        <w:rPr>
          <w:spacing w:val="6"/>
        </w:rPr>
        <w:t xml:space="preserve"> </w:t>
      </w:r>
      <w:r w:rsidRPr="0031675F">
        <w:rPr>
          <w:spacing w:val="-1"/>
        </w:rPr>
        <w:t>non-dispersive</w:t>
      </w:r>
      <w:r w:rsidRPr="0031675F">
        <w:rPr>
          <w:spacing w:val="6"/>
        </w:rPr>
        <w:t xml:space="preserve"> </w:t>
      </w:r>
      <w:r w:rsidRPr="0031675F">
        <w:rPr>
          <w:spacing w:val="-1"/>
        </w:rPr>
        <w:t>infra</w:t>
      </w:r>
      <w:r w:rsidRPr="0031675F">
        <w:rPr>
          <w:spacing w:val="3"/>
        </w:rPr>
        <w:t xml:space="preserve"> </w:t>
      </w:r>
      <w:r w:rsidRPr="0031675F">
        <w:rPr>
          <w:spacing w:val="-1"/>
        </w:rPr>
        <w:t>red</w:t>
      </w:r>
      <w:r w:rsidRPr="0031675F">
        <w:rPr>
          <w:spacing w:val="5"/>
        </w:rPr>
        <w:t xml:space="preserve"> </w:t>
      </w:r>
      <w:r w:rsidRPr="0031675F">
        <w:rPr>
          <w:spacing w:val="-1"/>
        </w:rPr>
        <w:t>detector</w:t>
      </w:r>
      <w:r w:rsidRPr="0031675F">
        <w:rPr>
          <w:spacing w:val="5"/>
        </w:rPr>
        <w:t xml:space="preserve"> </w:t>
      </w:r>
      <w:r w:rsidRPr="0031675F">
        <w:rPr>
          <w:spacing w:val="-1"/>
        </w:rPr>
        <w:t>(NDIR)</w:t>
      </w:r>
      <w:r w:rsidRPr="0031675F">
        <w:rPr>
          <w:spacing w:val="6"/>
        </w:rPr>
        <w:t xml:space="preserve"> </w:t>
      </w:r>
      <w:r w:rsidRPr="0031675F">
        <w:t>in</w:t>
      </w:r>
      <w:r w:rsidRPr="0031675F">
        <w:rPr>
          <w:spacing w:val="4"/>
        </w:rPr>
        <w:t xml:space="preserve"> </w:t>
      </w:r>
      <w:r w:rsidRPr="0031675F">
        <w:rPr>
          <w:spacing w:val="-1"/>
        </w:rPr>
        <w:t>the</w:t>
      </w:r>
      <w:r w:rsidRPr="0031675F">
        <w:rPr>
          <w:spacing w:val="6"/>
        </w:rPr>
        <w:t xml:space="preserve"> </w:t>
      </w:r>
      <w:r w:rsidRPr="0031675F">
        <w:rPr>
          <w:spacing w:val="-1"/>
        </w:rPr>
        <w:t>TOC-L.</w:t>
      </w:r>
      <w:r w:rsidRPr="0031675F">
        <w:rPr>
          <w:spacing w:val="8"/>
        </w:rPr>
        <w:t xml:space="preserve"> </w:t>
      </w:r>
      <w:r w:rsidRPr="0031675F">
        <w:rPr>
          <w:spacing w:val="-1"/>
        </w:rPr>
        <w:t>Results</w:t>
      </w:r>
      <w:r w:rsidRPr="0031675F">
        <w:rPr>
          <w:spacing w:val="6"/>
        </w:rPr>
        <w:t xml:space="preserve"> </w:t>
      </w:r>
      <w:r w:rsidRPr="0031675F">
        <w:rPr>
          <w:spacing w:val="-1"/>
        </w:rPr>
        <w:t>are</w:t>
      </w:r>
      <w:r w:rsidRPr="0031675F">
        <w:rPr>
          <w:spacing w:val="6"/>
        </w:rPr>
        <w:t xml:space="preserve"> </w:t>
      </w:r>
      <w:r w:rsidRPr="0031675F">
        <w:rPr>
          <w:spacing w:val="-1"/>
        </w:rPr>
        <w:t>calculated</w:t>
      </w:r>
      <w:r w:rsidRPr="0031675F">
        <w:rPr>
          <w:spacing w:val="5"/>
        </w:rPr>
        <w:t xml:space="preserve"> </w:t>
      </w:r>
      <w:r w:rsidRPr="0031675F">
        <w:rPr>
          <w:spacing w:val="-1"/>
        </w:rPr>
        <w:t>from</w:t>
      </w:r>
      <w:r w:rsidRPr="0031675F">
        <w:rPr>
          <w:spacing w:val="6"/>
        </w:rPr>
        <w:t xml:space="preserve"> </w:t>
      </w:r>
      <w:r w:rsidRPr="0031675F">
        <w:t>a</w:t>
      </w:r>
      <w:r w:rsidRPr="0031675F">
        <w:rPr>
          <w:spacing w:val="59"/>
        </w:rPr>
        <w:t xml:space="preserve"> </w:t>
      </w:r>
      <w:r w:rsidRPr="0031675F">
        <w:rPr>
          <w:spacing w:val="-1"/>
        </w:rPr>
        <w:t>calibration</w:t>
      </w:r>
      <w:r w:rsidRPr="0031675F">
        <w:rPr>
          <w:spacing w:val="21"/>
        </w:rPr>
        <w:t xml:space="preserve"> </w:t>
      </w:r>
      <w:r w:rsidRPr="0031675F">
        <w:rPr>
          <w:spacing w:val="-1"/>
        </w:rPr>
        <w:t>curve</w:t>
      </w:r>
      <w:r w:rsidRPr="0031675F">
        <w:rPr>
          <w:spacing w:val="23"/>
        </w:rPr>
        <w:t xml:space="preserve"> </w:t>
      </w:r>
      <w:r w:rsidRPr="0031675F">
        <w:rPr>
          <w:spacing w:val="-1"/>
        </w:rPr>
        <w:t>prepared</w:t>
      </w:r>
      <w:r w:rsidRPr="0031675F">
        <w:rPr>
          <w:spacing w:val="21"/>
        </w:rPr>
        <w:t xml:space="preserve"> </w:t>
      </w:r>
      <w:r w:rsidRPr="0031675F">
        <w:rPr>
          <w:spacing w:val="-1"/>
        </w:rPr>
        <w:t>from</w:t>
      </w:r>
      <w:r w:rsidRPr="0031675F">
        <w:rPr>
          <w:spacing w:val="23"/>
        </w:rPr>
        <w:t xml:space="preserve"> </w:t>
      </w:r>
      <w:r w:rsidRPr="0031675F">
        <w:rPr>
          <w:spacing w:val="-1"/>
        </w:rPr>
        <w:t>known</w:t>
      </w:r>
      <w:r w:rsidRPr="0031675F">
        <w:rPr>
          <w:spacing w:val="22"/>
        </w:rPr>
        <w:t xml:space="preserve"> </w:t>
      </w:r>
      <w:r w:rsidRPr="0031675F">
        <w:rPr>
          <w:spacing w:val="-1"/>
        </w:rPr>
        <w:t>amounts</w:t>
      </w:r>
      <w:r w:rsidRPr="0031675F">
        <w:rPr>
          <w:spacing w:val="20"/>
        </w:rPr>
        <w:t xml:space="preserve"> </w:t>
      </w:r>
      <w:r w:rsidRPr="0031675F">
        <w:t>of</w:t>
      </w:r>
      <w:r w:rsidRPr="0031675F">
        <w:rPr>
          <w:spacing w:val="22"/>
        </w:rPr>
        <w:t xml:space="preserve"> </w:t>
      </w:r>
      <w:r w:rsidRPr="0031675F">
        <w:rPr>
          <w:spacing w:val="-1"/>
        </w:rPr>
        <w:t>Total</w:t>
      </w:r>
      <w:r w:rsidRPr="0031675F">
        <w:rPr>
          <w:spacing w:val="22"/>
        </w:rPr>
        <w:t xml:space="preserve"> </w:t>
      </w:r>
      <w:r w:rsidRPr="0031675F">
        <w:rPr>
          <w:spacing w:val="-1"/>
        </w:rPr>
        <w:t>Carbon</w:t>
      </w:r>
      <w:r w:rsidRPr="0031675F">
        <w:rPr>
          <w:spacing w:val="21"/>
        </w:rPr>
        <w:t xml:space="preserve"> </w:t>
      </w:r>
      <w:r w:rsidRPr="0031675F">
        <w:rPr>
          <w:spacing w:val="-1"/>
        </w:rPr>
        <w:t>(using</w:t>
      </w:r>
      <w:r w:rsidRPr="0031675F">
        <w:rPr>
          <w:spacing w:val="21"/>
        </w:rPr>
        <w:t xml:space="preserve"> </w:t>
      </w:r>
      <w:r w:rsidRPr="0031675F">
        <w:rPr>
          <w:spacing w:val="-1"/>
        </w:rPr>
        <w:t>Potassium</w:t>
      </w:r>
      <w:r w:rsidRPr="0031675F">
        <w:rPr>
          <w:spacing w:val="23"/>
        </w:rPr>
        <w:t xml:space="preserve"> </w:t>
      </w:r>
      <w:r w:rsidRPr="0031675F">
        <w:rPr>
          <w:spacing w:val="-1"/>
        </w:rPr>
        <w:t>Hydrogen</w:t>
      </w:r>
      <w:r w:rsidRPr="0031675F">
        <w:rPr>
          <w:spacing w:val="73"/>
        </w:rPr>
        <w:t xml:space="preserve"> </w:t>
      </w:r>
      <w:r w:rsidRPr="0031675F">
        <w:rPr>
          <w:spacing w:val="-1"/>
        </w:rPr>
        <w:t>Phthalate)</w:t>
      </w:r>
    </w:p>
    <w:p w14:paraId="0554AB80" w14:textId="77777777" w:rsidR="0031675F" w:rsidRPr="0031675F" w:rsidRDefault="0031675F" w:rsidP="0031675F">
      <w:pPr>
        <w:spacing w:before="11"/>
        <w:rPr>
          <w:rFonts w:cs="Calibri"/>
          <w:sz w:val="21"/>
          <w:szCs w:val="21"/>
        </w:rPr>
      </w:pPr>
    </w:p>
    <w:p w14:paraId="1C440CD1" w14:textId="77777777" w:rsidR="0031675F" w:rsidRPr="0031675F" w:rsidRDefault="0031675F" w:rsidP="0031675F">
      <w:pPr>
        <w:widowControl w:val="0"/>
        <w:numPr>
          <w:ilvl w:val="1"/>
          <w:numId w:val="112"/>
        </w:numPr>
        <w:tabs>
          <w:tab w:val="left" w:pos="706"/>
        </w:tabs>
        <w:spacing w:before="0" w:after="0" w:line="240" w:lineRule="auto"/>
        <w:jc w:val="both"/>
        <w:rPr>
          <w:rFonts w:eastAsia="Arial" w:cs="Arial"/>
          <w:sz w:val="24"/>
          <w:szCs w:val="24"/>
        </w:rPr>
      </w:pPr>
      <w:bookmarkStart w:id="632" w:name="_TOC_250053"/>
      <w:r w:rsidRPr="0031675F">
        <w:rPr>
          <w:b/>
          <w:sz w:val="24"/>
        </w:rPr>
        <w:t>Sample</w:t>
      </w:r>
      <w:r w:rsidRPr="0031675F">
        <w:rPr>
          <w:b/>
          <w:spacing w:val="-1"/>
          <w:sz w:val="24"/>
        </w:rPr>
        <w:t xml:space="preserve"> collection</w:t>
      </w:r>
      <w:r w:rsidRPr="0031675F">
        <w:rPr>
          <w:b/>
          <w:sz w:val="24"/>
        </w:rPr>
        <w:t xml:space="preserve"> </w:t>
      </w:r>
      <w:r w:rsidRPr="0031675F">
        <w:rPr>
          <w:b/>
          <w:spacing w:val="-1"/>
          <w:sz w:val="24"/>
        </w:rPr>
        <w:t>procedure</w:t>
      </w:r>
      <w:r w:rsidRPr="0031675F">
        <w:rPr>
          <w:b/>
          <w:spacing w:val="-2"/>
          <w:sz w:val="24"/>
        </w:rPr>
        <w:t xml:space="preserve"> </w:t>
      </w:r>
      <w:r w:rsidRPr="0031675F">
        <w:rPr>
          <w:b/>
          <w:sz w:val="24"/>
        </w:rPr>
        <w:t xml:space="preserve">and </w:t>
      </w:r>
      <w:r w:rsidRPr="0031675F">
        <w:rPr>
          <w:b/>
          <w:spacing w:val="-1"/>
          <w:sz w:val="24"/>
        </w:rPr>
        <w:t>storage</w:t>
      </w:r>
      <w:bookmarkEnd w:id="632"/>
    </w:p>
    <w:p w14:paraId="79AC740E" w14:textId="77777777" w:rsidR="0031675F" w:rsidRPr="0031675F" w:rsidRDefault="0031675F" w:rsidP="0031675F">
      <w:pPr>
        <w:spacing w:before="10"/>
        <w:rPr>
          <w:rFonts w:eastAsia="Arial" w:cs="Arial"/>
          <w:b/>
          <w:bCs/>
          <w:sz w:val="20"/>
          <w:szCs w:val="20"/>
        </w:rPr>
      </w:pPr>
    </w:p>
    <w:p w14:paraId="67ED3DE3" w14:textId="77777777" w:rsidR="0031675F" w:rsidRPr="0031675F" w:rsidRDefault="0031675F" w:rsidP="0031675F">
      <w:pPr>
        <w:widowControl w:val="0"/>
        <w:numPr>
          <w:ilvl w:val="2"/>
          <w:numId w:val="112"/>
        </w:numPr>
        <w:tabs>
          <w:tab w:val="left" w:pos="859"/>
        </w:tabs>
        <w:spacing w:before="0" w:after="0" w:line="240" w:lineRule="auto"/>
        <w:jc w:val="both"/>
        <w:rPr>
          <w:rFonts w:eastAsia="Arial" w:cs="Arial"/>
        </w:rPr>
      </w:pPr>
      <w:r w:rsidRPr="0031675F">
        <w:rPr>
          <w:b/>
          <w:spacing w:val="-1"/>
        </w:rPr>
        <w:t>Equipment and</w:t>
      </w:r>
      <w:r w:rsidRPr="0031675F">
        <w:rPr>
          <w:b/>
          <w:spacing w:val="-2"/>
        </w:rPr>
        <w:t xml:space="preserve"> </w:t>
      </w:r>
      <w:r w:rsidRPr="0031675F">
        <w:rPr>
          <w:b/>
          <w:spacing w:val="-1"/>
        </w:rPr>
        <w:t>reagents</w:t>
      </w:r>
    </w:p>
    <w:p w14:paraId="136C1099" w14:textId="77777777" w:rsidR="0031675F" w:rsidRPr="0031675F" w:rsidRDefault="0031675F" w:rsidP="0031675F">
      <w:pPr>
        <w:spacing w:before="11"/>
        <w:rPr>
          <w:rFonts w:eastAsia="Arial" w:cs="Arial"/>
          <w:b/>
          <w:bCs/>
          <w:sz w:val="20"/>
          <w:szCs w:val="20"/>
        </w:rPr>
      </w:pPr>
    </w:p>
    <w:p w14:paraId="33C57CF9" w14:textId="4122DEAC" w:rsidR="0031675F" w:rsidRPr="0031675F" w:rsidRDefault="0031675F" w:rsidP="0031675F">
      <w:pPr>
        <w:widowControl w:val="0"/>
        <w:numPr>
          <w:ilvl w:val="0"/>
          <w:numId w:val="120"/>
        </w:numPr>
        <w:tabs>
          <w:tab w:val="left" w:pos="423"/>
        </w:tabs>
        <w:spacing w:before="0" w:after="0" w:line="240" w:lineRule="auto"/>
        <w:ind w:left="422" w:right="140"/>
      </w:pPr>
      <w:r w:rsidRPr="0031675F">
        <w:rPr>
          <w:spacing w:val="-1"/>
        </w:rPr>
        <w:t>Screw</w:t>
      </w:r>
      <w:r w:rsidRPr="0031675F">
        <w:rPr>
          <w:spacing w:val="6"/>
        </w:rPr>
        <w:t xml:space="preserve"> </w:t>
      </w:r>
      <w:r w:rsidRPr="0031675F">
        <w:rPr>
          <w:spacing w:val="-1"/>
        </w:rPr>
        <w:t>Cap</w:t>
      </w:r>
      <w:r w:rsidRPr="0031675F">
        <w:rPr>
          <w:spacing w:val="4"/>
        </w:rPr>
        <w:t xml:space="preserve"> </w:t>
      </w:r>
      <w:r w:rsidRPr="0031675F">
        <w:rPr>
          <w:spacing w:val="-1"/>
        </w:rPr>
        <w:t>Sample</w:t>
      </w:r>
      <w:r w:rsidRPr="0031675F">
        <w:rPr>
          <w:spacing w:val="5"/>
        </w:rPr>
        <w:t xml:space="preserve"> </w:t>
      </w:r>
      <w:r w:rsidRPr="0031675F">
        <w:rPr>
          <w:spacing w:val="-1"/>
        </w:rPr>
        <w:t>Tubes</w:t>
      </w:r>
      <w:r w:rsidRPr="0031675F">
        <w:rPr>
          <w:spacing w:val="5"/>
        </w:rPr>
        <w:t xml:space="preserve"> </w:t>
      </w:r>
      <w:r w:rsidRPr="0031675F">
        <w:rPr>
          <w:spacing w:val="-1"/>
        </w:rPr>
        <w:t>(Glass</w:t>
      </w:r>
      <w:r w:rsidRPr="0031675F">
        <w:rPr>
          <w:spacing w:val="5"/>
        </w:rPr>
        <w:t xml:space="preserve"> </w:t>
      </w:r>
      <w:r w:rsidRPr="0031675F">
        <w:t>or</w:t>
      </w:r>
      <w:r w:rsidRPr="0031675F">
        <w:rPr>
          <w:spacing w:val="2"/>
        </w:rPr>
        <w:t xml:space="preserve"> </w:t>
      </w:r>
      <w:r w:rsidRPr="0031675F">
        <w:rPr>
          <w:spacing w:val="-1"/>
        </w:rPr>
        <w:t>Polypropylene,</w:t>
      </w:r>
      <w:r w:rsidRPr="0031675F">
        <w:rPr>
          <w:spacing w:val="5"/>
        </w:rPr>
        <w:t xml:space="preserve"> </w:t>
      </w:r>
      <w:r w:rsidRPr="0031675F">
        <w:t>5</w:t>
      </w:r>
      <w:r w:rsidRPr="0031675F">
        <w:rPr>
          <w:spacing w:val="3"/>
        </w:rPr>
        <w:t xml:space="preserve"> </w:t>
      </w:r>
      <w:r w:rsidRPr="0031675F">
        <w:rPr>
          <w:spacing w:val="-1"/>
        </w:rPr>
        <w:t>or</w:t>
      </w:r>
      <w:r w:rsidRPr="0031675F">
        <w:rPr>
          <w:spacing w:val="5"/>
        </w:rPr>
        <w:t xml:space="preserve"> </w:t>
      </w:r>
      <w:r w:rsidRPr="0031675F">
        <w:t>10</w:t>
      </w:r>
      <w:r w:rsidRPr="0031675F">
        <w:rPr>
          <w:spacing w:val="3"/>
        </w:rPr>
        <w:t xml:space="preserve"> </w:t>
      </w:r>
      <w:r w:rsidR="00BB13FD">
        <w:t>mL</w:t>
      </w:r>
      <w:r w:rsidRPr="0031675F">
        <w:rPr>
          <w:spacing w:val="4"/>
        </w:rPr>
        <w:t xml:space="preserve"> </w:t>
      </w:r>
      <w:r w:rsidRPr="0031675F">
        <w:rPr>
          <w:spacing w:val="-1"/>
        </w:rPr>
        <w:t>capacity,</w:t>
      </w:r>
      <w:r w:rsidRPr="0031675F">
        <w:rPr>
          <w:spacing w:val="5"/>
        </w:rPr>
        <w:t xml:space="preserve"> </w:t>
      </w:r>
      <w:r w:rsidRPr="0031675F">
        <w:rPr>
          <w:spacing w:val="-1"/>
        </w:rPr>
        <w:t>Acid</w:t>
      </w:r>
      <w:r w:rsidRPr="0031675F">
        <w:rPr>
          <w:spacing w:val="4"/>
        </w:rPr>
        <w:t xml:space="preserve"> </w:t>
      </w:r>
      <w:r w:rsidRPr="0031675F">
        <w:rPr>
          <w:spacing w:val="-2"/>
        </w:rPr>
        <w:t>Cleaned</w:t>
      </w:r>
      <w:r w:rsidRPr="0031675F">
        <w:t xml:space="preserve"> </w:t>
      </w:r>
      <w:r w:rsidRPr="0031675F">
        <w:rPr>
          <w:spacing w:val="10"/>
        </w:rPr>
        <w:t xml:space="preserve"> </w:t>
      </w:r>
      <w:r w:rsidRPr="0031675F">
        <w:rPr>
          <w:spacing w:val="-1"/>
        </w:rPr>
        <w:t>by</w:t>
      </w:r>
      <w:r w:rsidRPr="0031675F">
        <w:rPr>
          <w:spacing w:val="6"/>
        </w:rPr>
        <w:t xml:space="preserve"> </w:t>
      </w:r>
      <w:r w:rsidRPr="0031675F">
        <w:rPr>
          <w:spacing w:val="-1"/>
        </w:rPr>
        <w:t>soaking</w:t>
      </w:r>
      <w:r w:rsidRPr="0031675F">
        <w:rPr>
          <w:spacing w:val="4"/>
        </w:rPr>
        <w:t xml:space="preserve"> </w:t>
      </w:r>
      <w:r w:rsidRPr="0031675F">
        <w:t>in</w:t>
      </w:r>
      <w:r w:rsidRPr="0031675F">
        <w:rPr>
          <w:spacing w:val="57"/>
        </w:rPr>
        <w:t xml:space="preserve"> </w:t>
      </w:r>
      <w:r w:rsidRPr="0031675F">
        <w:t>10</w:t>
      </w:r>
      <w:r w:rsidRPr="0031675F">
        <w:rPr>
          <w:spacing w:val="-2"/>
        </w:rPr>
        <w:t xml:space="preserve"> </w:t>
      </w:r>
      <w:r w:rsidRPr="0031675F">
        <w:t>%</w:t>
      </w:r>
      <w:r w:rsidRPr="0031675F">
        <w:rPr>
          <w:spacing w:val="1"/>
        </w:rPr>
        <w:t xml:space="preserve"> </w:t>
      </w:r>
      <w:r w:rsidRPr="0031675F">
        <w:rPr>
          <w:spacing w:val="-1"/>
        </w:rPr>
        <w:t>HCl)</w:t>
      </w:r>
    </w:p>
    <w:p w14:paraId="3A58298F" w14:textId="34B9DEB1" w:rsidR="0031675F" w:rsidRPr="0031675F" w:rsidRDefault="0031675F" w:rsidP="0031675F">
      <w:pPr>
        <w:widowControl w:val="0"/>
        <w:numPr>
          <w:ilvl w:val="0"/>
          <w:numId w:val="120"/>
        </w:numPr>
        <w:tabs>
          <w:tab w:val="left" w:pos="423"/>
        </w:tabs>
        <w:spacing w:before="60" w:after="0" w:line="240" w:lineRule="auto"/>
        <w:ind w:left="422"/>
        <w:jc w:val="both"/>
      </w:pPr>
      <w:r w:rsidRPr="0031675F">
        <w:rPr>
          <w:spacing w:val="-1"/>
        </w:rPr>
        <w:t>50</w:t>
      </w:r>
      <w:r w:rsidR="00BB13FD">
        <w:rPr>
          <w:spacing w:val="-1"/>
        </w:rPr>
        <w:t xml:space="preserve"> </w:t>
      </w:r>
      <w:r w:rsidRPr="0031675F">
        <w:rPr>
          <w:spacing w:val="-1"/>
        </w:rPr>
        <w:t>m</w:t>
      </w:r>
      <w:r w:rsidR="00BB13FD">
        <w:rPr>
          <w:spacing w:val="-1"/>
        </w:rPr>
        <w:t>L</w:t>
      </w:r>
      <w:r w:rsidRPr="0031675F">
        <w:t xml:space="preserve"> </w:t>
      </w:r>
      <w:r w:rsidRPr="0031675F">
        <w:rPr>
          <w:spacing w:val="-1"/>
        </w:rPr>
        <w:t>Terumo</w:t>
      </w:r>
      <w:r w:rsidRPr="0031675F">
        <w:rPr>
          <w:spacing w:val="1"/>
        </w:rPr>
        <w:t xml:space="preserve"> </w:t>
      </w:r>
      <w:r w:rsidRPr="0031675F">
        <w:rPr>
          <w:spacing w:val="-1"/>
        </w:rPr>
        <w:t>Syringes</w:t>
      </w:r>
      <w:r w:rsidRPr="0031675F">
        <w:t xml:space="preserve"> </w:t>
      </w:r>
      <w:r w:rsidRPr="0031675F">
        <w:rPr>
          <w:spacing w:val="-2"/>
        </w:rPr>
        <w:t>(Acid</w:t>
      </w:r>
      <w:r w:rsidRPr="0031675F">
        <w:rPr>
          <w:spacing w:val="-1"/>
        </w:rPr>
        <w:t xml:space="preserve"> Cleaned</w:t>
      </w:r>
      <w:r w:rsidRPr="0031675F">
        <w:rPr>
          <w:spacing w:val="49"/>
        </w:rPr>
        <w:t xml:space="preserve"> </w:t>
      </w:r>
      <w:r w:rsidRPr="0031675F">
        <w:rPr>
          <w:spacing w:val="-2"/>
        </w:rPr>
        <w:t>by</w:t>
      </w:r>
      <w:r w:rsidRPr="0031675F">
        <w:t xml:space="preserve"> </w:t>
      </w:r>
      <w:r w:rsidRPr="0031675F">
        <w:rPr>
          <w:spacing w:val="-1"/>
        </w:rPr>
        <w:t xml:space="preserve">soaking </w:t>
      </w:r>
      <w:r w:rsidRPr="0031675F">
        <w:t>in</w:t>
      </w:r>
      <w:r w:rsidRPr="0031675F">
        <w:rPr>
          <w:spacing w:val="-3"/>
        </w:rPr>
        <w:t xml:space="preserve"> </w:t>
      </w:r>
      <w:r w:rsidRPr="0031675F">
        <w:t>10</w:t>
      </w:r>
      <w:r w:rsidRPr="0031675F">
        <w:rPr>
          <w:spacing w:val="-2"/>
        </w:rPr>
        <w:t xml:space="preserve"> </w:t>
      </w:r>
      <w:r w:rsidRPr="0031675F">
        <w:t>%</w:t>
      </w:r>
      <w:r w:rsidRPr="0031675F">
        <w:rPr>
          <w:spacing w:val="1"/>
        </w:rPr>
        <w:t xml:space="preserve"> </w:t>
      </w:r>
      <w:r w:rsidRPr="0031675F">
        <w:rPr>
          <w:spacing w:val="-1"/>
        </w:rPr>
        <w:t>HCl)</w:t>
      </w:r>
    </w:p>
    <w:p w14:paraId="633F2944" w14:textId="4F439D7B" w:rsidR="0031675F" w:rsidRPr="0031675F" w:rsidRDefault="0031675F" w:rsidP="0031675F">
      <w:pPr>
        <w:widowControl w:val="0"/>
        <w:numPr>
          <w:ilvl w:val="0"/>
          <w:numId w:val="120"/>
        </w:numPr>
        <w:tabs>
          <w:tab w:val="left" w:pos="423"/>
        </w:tabs>
        <w:spacing w:before="60" w:after="0" w:line="240" w:lineRule="auto"/>
        <w:ind w:left="422" w:right="140"/>
      </w:pPr>
      <w:r w:rsidRPr="0031675F">
        <w:rPr>
          <w:spacing w:val="-1"/>
        </w:rPr>
        <w:t>25</w:t>
      </w:r>
      <w:r w:rsidR="00BB13FD">
        <w:rPr>
          <w:spacing w:val="-1"/>
        </w:rPr>
        <w:t xml:space="preserve"> </w:t>
      </w:r>
      <w:r w:rsidRPr="0031675F">
        <w:rPr>
          <w:spacing w:val="-1"/>
        </w:rPr>
        <w:t>mm</w:t>
      </w:r>
      <w:r w:rsidRPr="0031675F">
        <w:rPr>
          <w:spacing w:val="15"/>
        </w:rPr>
        <w:t xml:space="preserve"> </w:t>
      </w:r>
      <w:r w:rsidRPr="0031675F">
        <w:rPr>
          <w:spacing w:val="-1"/>
        </w:rPr>
        <w:t>Polycarbonate</w:t>
      </w:r>
      <w:r w:rsidRPr="0031675F">
        <w:rPr>
          <w:spacing w:val="15"/>
        </w:rPr>
        <w:t xml:space="preserve"> </w:t>
      </w:r>
      <w:r w:rsidRPr="0031675F">
        <w:rPr>
          <w:spacing w:val="-2"/>
        </w:rPr>
        <w:t>filters</w:t>
      </w:r>
      <w:r w:rsidRPr="0031675F">
        <w:rPr>
          <w:spacing w:val="14"/>
        </w:rPr>
        <w:t xml:space="preserve"> </w:t>
      </w:r>
      <w:r w:rsidRPr="0031675F">
        <w:rPr>
          <w:spacing w:val="-1"/>
        </w:rPr>
        <w:t>(0.4</w:t>
      </w:r>
      <w:r w:rsidR="00BB13FD">
        <w:rPr>
          <w:spacing w:val="-1"/>
        </w:rPr>
        <w:t xml:space="preserve"> µ</w:t>
      </w:r>
      <w:r w:rsidRPr="0031675F">
        <w:rPr>
          <w:spacing w:val="-1"/>
        </w:rPr>
        <w:t>m</w:t>
      </w:r>
      <w:r w:rsidRPr="0031675F">
        <w:rPr>
          <w:spacing w:val="15"/>
        </w:rPr>
        <w:t xml:space="preserve"> </w:t>
      </w:r>
      <w:r w:rsidRPr="0031675F">
        <w:rPr>
          <w:spacing w:val="-1"/>
        </w:rPr>
        <w:t>pore</w:t>
      </w:r>
      <w:r w:rsidRPr="0031675F">
        <w:rPr>
          <w:spacing w:val="12"/>
        </w:rPr>
        <w:t xml:space="preserve"> </w:t>
      </w:r>
      <w:r w:rsidRPr="0031675F">
        <w:rPr>
          <w:spacing w:val="-1"/>
        </w:rPr>
        <w:t>size)</w:t>
      </w:r>
      <w:r w:rsidRPr="0031675F">
        <w:rPr>
          <w:spacing w:val="12"/>
        </w:rPr>
        <w:t xml:space="preserve"> </w:t>
      </w:r>
      <w:r w:rsidRPr="0031675F">
        <w:t>or</w:t>
      </w:r>
      <w:r w:rsidRPr="0031675F">
        <w:rPr>
          <w:spacing w:val="19"/>
        </w:rPr>
        <w:t xml:space="preserve"> </w:t>
      </w:r>
      <w:r w:rsidRPr="0031675F">
        <w:rPr>
          <w:spacing w:val="-1"/>
        </w:rPr>
        <w:t>pre-combusted</w:t>
      </w:r>
      <w:r w:rsidRPr="0031675F">
        <w:rPr>
          <w:spacing w:val="14"/>
        </w:rPr>
        <w:t xml:space="preserve"> </w:t>
      </w:r>
      <w:r w:rsidRPr="0031675F">
        <w:rPr>
          <w:spacing w:val="-1"/>
        </w:rPr>
        <w:t>GF/F</w:t>
      </w:r>
      <w:r w:rsidRPr="0031675F">
        <w:rPr>
          <w:spacing w:val="14"/>
        </w:rPr>
        <w:t xml:space="preserve"> </w:t>
      </w:r>
      <w:r w:rsidRPr="0031675F">
        <w:rPr>
          <w:spacing w:val="-1"/>
        </w:rPr>
        <w:t>glass</w:t>
      </w:r>
      <w:r w:rsidRPr="0031675F">
        <w:rPr>
          <w:spacing w:val="13"/>
        </w:rPr>
        <w:t xml:space="preserve"> </w:t>
      </w:r>
      <w:r w:rsidRPr="0031675F">
        <w:rPr>
          <w:spacing w:val="-2"/>
        </w:rPr>
        <w:t>fibre</w:t>
      </w:r>
      <w:r w:rsidRPr="0031675F">
        <w:rPr>
          <w:spacing w:val="15"/>
        </w:rPr>
        <w:t xml:space="preserve"> </w:t>
      </w:r>
      <w:r w:rsidRPr="0031675F">
        <w:rPr>
          <w:spacing w:val="-1"/>
        </w:rPr>
        <w:t>filters</w:t>
      </w:r>
      <w:r w:rsidRPr="0031675F">
        <w:rPr>
          <w:spacing w:val="12"/>
        </w:rPr>
        <w:t xml:space="preserve"> </w:t>
      </w:r>
      <w:r w:rsidRPr="0031675F">
        <w:rPr>
          <w:spacing w:val="-1"/>
        </w:rPr>
        <w:t>and</w:t>
      </w:r>
      <w:r w:rsidRPr="0031675F">
        <w:rPr>
          <w:spacing w:val="14"/>
        </w:rPr>
        <w:t xml:space="preserve"> </w:t>
      </w:r>
      <w:r w:rsidRPr="0031675F">
        <w:rPr>
          <w:spacing w:val="-1"/>
        </w:rPr>
        <w:t>filter</w:t>
      </w:r>
      <w:r w:rsidRPr="0031675F">
        <w:rPr>
          <w:spacing w:val="71"/>
        </w:rPr>
        <w:t xml:space="preserve"> </w:t>
      </w:r>
      <w:r w:rsidRPr="0031675F">
        <w:rPr>
          <w:spacing w:val="-1"/>
        </w:rPr>
        <w:t>holders</w:t>
      </w:r>
    </w:p>
    <w:p w14:paraId="091EF923" w14:textId="77777777" w:rsidR="0031675F" w:rsidRPr="0031675F" w:rsidRDefault="0031675F" w:rsidP="0031675F">
      <w:pPr>
        <w:widowControl w:val="0"/>
        <w:numPr>
          <w:ilvl w:val="0"/>
          <w:numId w:val="120"/>
        </w:numPr>
        <w:tabs>
          <w:tab w:val="left" w:pos="423"/>
        </w:tabs>
        <w:spacing w:before="58" w:after="0" w:line="240" w:lineRule="auto"/>
        <w:ind w:left="422"/>
        <w:jc w:val="both"/>
      </w:pPr>
      <w:r w:rsidRPr="0031675F">
        <w:rPr>
          <w:spacing w:val="-1"/>
        </w:rPr>
        <w:t>Hydrochloric</w:t>
      </w:r>
      <w:r w:rsidRPr="0031675F">
        <w:t xml:space="preserve"> acid</w:t>
      </w:r>
    </w:p>
    <w:p w14:paraId="0448689E" w14:textId="77777777" w:rsidR="0031675F" w:rsidRPr="0031675F" w:rsidRDefault="0031675F" w:rsidP="0031675F">
      <w:pPr>
        <w:spacing w:before="10"/>
        <w:rPr>
          <w:rFonts w:cs="Calibri"/>
          <w:sz w:val="26"/>
          <w:szCs w:val="26"/>
        </w:rPr>
      </w:pPr>
    </w:p>
    <w:p w14:paraId="68E23203" w14:textId="77777777" w:rsidR="0031675F" w:rsidRPr="0031675F" w:rsidRDefault="0031675F" w:rsidP="0031675F">
      <w:pPr>
        <w:widowControl w:val="0"/>
        <w:numPr>
          <w:ilvl w:val="2"/>
          <w:numId w:val="112"/>
        </w:numPr>
        <w:tabs>
          <w:tab w:val="left" w:pos="859"/>
        </w:tabs>
        <w:spacing w:before="0" w:after="0" w:line="240" w:lineRule="auto"/>
        <w:jc w:val="both"/>
        <w:rPr>
          <w:rFonts w:eastAsia="Arial" w:cs="Arial"/>
        </w:rPr>
      </w:pPr>
      <w:r w:rsidRPr="0031675F">
        <w:rPr>
          <w:b/>
          <w:spacing w:val="-1"/>
        </w:rPr>
        <w:t>Collection, Preservation</w:t>
      </w:r>
      <w:r w:rsidRPr="0031675F">
        <w:rPr>
          <w:b/>
        </w:rPr>
        <w:t xml:space="preserve"> and </w:t>
      </w:r>
      <w:r w:rsidRPr="0031675F">
        <w:rPr>
          <w:b/>
          <w:spacing w:val="-1"/>
        </w:rPr>
        <w:t>Storage</w:t>
      </w:r>
    </w:p>
    <w:p w14:paraId="48A59B45" w14:textId="77777777" w:rsidR="0031675F" w:rsidRPr="0031675F" w:rsidRDefault="0031675F" w:rsidP="0031675F">
      <w:pPr>
        <w:spacing w:before="2"/>
        <w:rPr>
          <w:rFonts w:eastAsia="Arial" w:cs="Arial"/>
          <w:b/>
          <w:bCs/>
          <w:sz w:val="21"/>
          <w:szCs w:val="21"/>
        </w:rPr>
      </w:pPr>
    </w:p>
    <w:p w14:paraId="14427B6A" w14:textId="2A6E225D" w:rsidR="0031675F" w:rsidRPr="0031675F" w:rsidRDefault="0031675F" w:rsidP="0031675F">
      <w:pPr>
        <w:widowControl w:val="0"/>
        <w:numPr>
          <w:ilvl w:val="0"/>
          <w:numId w:val="111"/>
        </w:numPr>
        <w:tabs>
          <w:tab w:val="left" w:pos="423"/>
        </w:tabs>
        <w:spacing w:before="0" w:after="0" w:line="240" w:lineRule="auto"/>
        <w:jc w:val="both"/>
      </w:pPr>
      <w:r w:rsidRPr="0031675F">
        <w:t>Draw</w:t>
      </w:r>
      <w:r w:rsidRPr="0031675F">
        <w:rPr>
          <w:spacing w:val="-2"/>
        </w:rPr>
        <w:t xml:space="preserve"> </w:t>
      </w:r>
      <w:r w:rsidRPr="0031675F">
        <w:t xml:space="preserve">the </w:t>
      </w:r>
      <w:r w:rsidRPr="0031675F">
        <w:rPr>
          <w:spacing w:val="-1"/>
        </w:rPr>
        <w:t>sample</w:t>
      </w:r>
      <w:r w:rsidRPr="0031675F">
        <w:rPr>
          <w:spacing w:val="-3"/>
        </w:rPr>
        <w:t xml:space="preserve"> </w:t>
      </w:r>
      <w:r w:rsidRPr="0031675F">
        <w:t>into</w:t>
      </w:r>
      <w:r w:rsidRPr="0031675F">
        <w:rPr>
          <w:spacing w:val="-2"/>
        </w:rPr>
        <w:t xml:space="preserve"> </w:t>
      </w:r>
      <w:r w:rsidRPr="0031675F">
        <w:t>a</w:t>
      </w:r>
      <w:r w:rsidRPr="0031675F">
        <w:rPr>
          <w:spacing w:val="-2"/>
        </w:rPr>
        <w:t xml:space="preserve"> </w:t>
      </w:r>
      <w:r w:rsidRPr="0031675F">
        <w:rPr>
          <w:spacing w:val="-1"/>
        </w:rPr>
        <w:t>50</w:t>
      </w:r>
      <w:r w:rsidR="00BB13FD">
        <w:rPr>
          <w:spacing w:val="-1"/>
        </w:rPr>
        <w:t xml:space="preserve"> </w:t>
      </w:r>
      <w:r w:rsidRPr="0031675F">
        <w:rPr>
          <w:spacing w:val="-1"/>
        </w:rPr>
        <w:t>m</w:t>
      </w:r>
      <w:r w:rsidR="00BB13FD">
        <w:rPr>
          <w:spacing w:val="-1"/>
        </w:rPr>
        <w:t>L</w:t>
      </w:r>
      <w:r w:rsidRPr="0031675F">
        <w:t xml:space="preserve"> </w:t>
      </w:r>
      <w:r w:rsidRPr="0031675F">
        <w:rPr>
          <w:spacing w:val="-1"/>
        </w:rPr>
        <w:t>Terumo</w:t>
      </w:r>
      <w:r w:rsidRPr="0031675F">
        <w:rPr>
          <w:spacing w:val="1"/>
        </w:rPr>
        <w:t xml:space="preserve"> </w:t>
      </w:r>
      <w:r w:rsidRPr="0031675F">
        <w:rPr>
          <w:spacing w:val="-1"/>
        </w:rPr>
        <w:t>syringe.</w:t>
      </w:r>
    </w:p>
    <w:p w14:paraId="558540B6" w14:textId="52B58AD7" w:rsidR="0031675F" w:rsidRPr="0031675F" w:rsidRDefault="0031675F" w:rsidP="0031675F">
      <w:pPr>
        <w:widowControl w:val="0"/>
        <w:numPr>
          <w:ilvl w:val="0"/>
          <w:numId w:val="111"/>
        </w:numPr>
        <w:tabs>
          <w:tab w:val="left" w:pos="423"/>
        </w:tabs>
        <w:spacing w:before="58" w:after="0" w:line="240" w:lineRule="auto"/>
        <w:ind w:right="135"/>
      </w:pPr>
      <w:r w:rsidRPr="0031675F">
        <w:rPr>
          <w:spacing w:val="-1"/>
        </w:rPr>
        <w:t>Connect</w:t>
      </w:r>
      <w:r w:rsidRPr="0031675F">
        <w:rPr>
          <w:spacing w:val="22"/>
        </w:rPr>
        <w:t xml:space="preserve"> </w:t>
      </w:r>
      <w:r w:rsidRPr="0031675F">
        <w:t>the</w:t>
      </w:r>
      <w:r w:rsidRPr="0031675F">
        <w:rPr>
          <w:spacing w:val="22"/>
        </w:rPr>
        <w:t xml:space="preserve"> </w:t>
      </w:r>
      <w:r w:rsidRPr="0031675F">
        <w:rPr>
          <w:spacing w:val="-1"/>
        </w:rPr>
        <w:t>filter</w:t>
      </w:r>
      <w:r w:rsidRPr="0031675F">
        <w:rPr>
          <w:spacing w:val="22"/>
        </w:rPr>
        <w:t xml:space="preserve"> </w:t>
      </w:r>
      <w:r w:rsidRPr="0031675F">
        <w:rPr>
          <w:spacing w:val="-1"/>
        </w:rPr>
        <w:t>and</w:t>
      </w:r>
      <w:r w:rsidRPr="0031675F">
        <w:rPr>
          <w:spacing w:val="21"/>
        </w:rPr>
        <w:t xml:space="preserve"> </w:t>
      </w:r>
      <w:r w:rsidRPr="0031675F">
        <w:rPr>
          <w:spacing w:val="-1"/>
        </w:rPr>
        <w:t>discard</w:t>
      </w:r>
      <w:r w:rsidRPr="0031675F">
        <w:rPr>
          <w:spacing w:val="20"/>
        </w:rPr>
        <w:t xml:space="preserve"> </w:t>
      </w:r>
      <w:r w:rsidRPr="0031675F">
        <w:t>the</w:t>
      </w:r>
      <w:r w:rsidRPr="0031675F">
        <w:rPr>
          <w:spacing w:val="22"/>
        </w:rPr>
        <w:t xml:space="preserve"> </w:t>
      </w:r>
      <w:r w:rsidRPr="0031675F">
        <w:rPr>
          <w:spacing w:val="-1"/>
        </w:rPr>
        <w:t>first</w:t>
      </w:r>
      <w:r w:rsidRPr="0031675F">
        <w:rPr>
          <w:spacing w:val="22"/>
        </w:rPr>
        <w:t xml:space="preserve"> </w:t>
      </w:r>
      <w:r w:rsidRPr="0031675F">
        <w:t>15</w:t>
      </w:r>
      <w:r w:rsidRPr="0031675F">
        <w:rPr>
          <w:spacing w:val="22"/>
        </w:rPr>
        <w:t xml:space="preserve"> </w:t>
      </w:r>
      <w:r w:rsidRPr="0031675F">
        <w:t>to</w:t>
      </w:r>
      <w:r w:rsidRPr="0031675F">
        <w:rPr>
          <w:spacing w:val="23"/>
        </w:rPr>
        <w:t xml:space="preserve"> </w:t>
      </w:r>
      <w:r w:rsidRPr="0031675F">
        <w:rPr>
          <w:spacing w:val="-1"/>
        </w:rPr>
        <w:t>20</w:t>
      </w:r>
      <w:r w:rsidR="00BB13FD">
        <w:rPr>
          <w:spacing w:val="-1"/>
        </w:rPr>
        <w:t xml:space="preserve"> </w:t>
      </w:r>
      <w:r w:rsidRPr="0031675F">
        <w:rPr>
          <w:spacing w:val="-1"/>
        </w:rPr>
        <w:t>m</w:t>
      </w:r>
      <w:r w:rsidR="00BB13FD">
        <w:rPr>
          <w:spacing w:val="-1"/>
        </w:rPr>
        <w:t>L</w:t>
      </w:r>
      <w:r w:rsidRPr="0031675F">
        <w:rPr>
          <w:spacing w:val="19"/>
        </w:rPr>
        <w:t xml:space="preserve"> </w:t>
      </w:r>
      <w:r w:rsidRPr="0031675F">
        <w:t>of</w:t>
      </w:r>
      <w:r w:rsidRPr="0031675F">
        <w:rPr>
          <w:spacing w:val="19"/>
        </w:rPr>
        <w:t xml:space="preserve"> </w:t>
      </w:r>
      <w:r w:rsidRPr="0031675F">
        <w:rPr>
          <w:spacing w:val="-1"/>
        </w:rPr>
        <w:t>sample</w:t>
      </w:r>
      <w:r w:rsidRPr="0031675F">
        <w:rPr>
          <w:spacing w:val="22"/>
        </w:rPr>
        <w:t xml:space="preserve"> </w:t>
      </w:r>
      <w:r w:rsidRPr="0031675F">
        <w:rPr>
          <w:spacing w:val="-1"/>
        </w:rPr>
        <w:t>through</w:t>
      </w:r>
      <w:r w:rsidRPr="0031675F">
        <w:rPr>
          <w:spacing w:val="21"/>
        </w:rPr>
        <w:t xml:space="preserve"> </w:t>
      </w:r>
      <w:r w:rsidRPr="0031675F">
        <w:t>the</w:t>
      </w:r>
      <w:r w:rsidRPr="0031675F">
        <w:rPr>
          <w:spacing w:val="22"/>
        </w:rPr>
        <w:t xml:space="preserve"> </w:t>
      </w:r>
      <w:r w:rsidRPr="0031675F">
        <w:rPr>
          <w:spacing w:val="-1"/>
        </w:rPr>
        <w:t>filter.</w:t>
      </w:r>
      <w:r w:rsidRPr="0031675F">
        <w:t xml:space="preserve"> </w:t>
      </w:r>
      <w:r w:rsidRPr="0031675F">
        <w:rPr>
          <w:spacing w:val="40"/>
        </w:rPr>
        <w:t xml:space="preserve"> </w:t>
      </w:r>
      <w:r w:rsidRPr="0031675F">
        <w:rPr>
          <w:spacing w:val="-1"/>
        </w:rPr>
        <w:t>Then</w:t>
      </w:r>
      <w:r w:rsidRPr="0031675F">
        <w:rPr>
          <w:spacing w:val="21"/>
        </w:rPr>
        <w:t xml:space="preserve"> </w:t>
      </w:r>
      <w:r w:rsidRPr="0031675F">
        <w:rPr>
          <w:spacing w:val="1"/>
        </w:rPr>
        <w:t>rinse</w:t>
      </w:r>
      <w:r w:rsidRPr="0031675F">
        <w:rPr>
          <w:spacing w:val="22"/>
        </w:rPr>
        <w:t xml:space="preserve"> </w:t>
      </w:r>
      <w:r w:rsidRPr="0031675F">
        <w:t>the</w:t>
      </w:r>
      <w:r w:rsidRPr="0031675F">
        <w:rPr>
          <w:spacing w:val="63"/>
        </w:rPr>
        <w:t xml:space="preserve"> </w:t>
      </w:r>
      <w:r w:rsidRPr="0031675F">
        <w:rPr>
          <w:spacing w:val="-1"/>
        </w:rPr>
        <w:t>sample</w:t>
      </w:r>
      <w:r w:rsidRPr="0031675F">
        <w:rPr>
          <w:spacing w:val="-2"/>
        </w:rPr>
        <w:t xml:space="preserve"> </w:t>
      </w:r>
      <w:r w:rsidRPr="0031675F">
        <w:rPr>
          <w:spacing w:val="-1"/>
        </w:rPr>
        <w:t>tube</w:t>
      </w:r>
      <w:r w:rsidRPr="0031675F">
        <w:rPr>
          <w:spacing w:val="-2"/>
        </w:rPr>
        <w:t xml:space="preserve"> </w:t>
      </w:r>
      <w:r w:rsidRPr="0031675F">
        <w:t xml:space="preserve">with </w:t>
      </w:r>
      <w:r w:rsidRPr="0031675F">
        <w:rPr>
          <w:spacing w:val="-1"/>
        </w:rPr>
        <w:t>filtered sample</w:t>
      </w:r>
      <w:r w:rsidRPr="0031675F">
        <w:t xml:space="preserve"> if</w:t>
      </w:r>
      <w:r w:rsidRPr="0031675F">
        <w:rPr>
          <w:spacing w:val="-3"/>
        </w:rPr>
        <w:t xml:space="preserve"> </w:t>
      </w:r>
      <w:r w:rsidRPr="0031675F">
        <w:rPr>
          <w:spacing w:val="-1"/>
        </w:rPr>
        <w:t>you have</w:t>
      </w:r>
      <w:r w:rsidRPr="0031675F">
        <w:t xml:space="preserve"> </w:t>
      </w:r>
      <w:r w:rsidRPr="0031675F">
        <w:rPr>
          <w:spacing w:val="-1"/>
        </w:rPr>
        <w:t>enough to</w:t>
      </w:r>
      <w:r w:rsidRPr="0031675F">
        <w:rPr>
          <w:spacing w:val="1"/>
        </w:rPr>
        <w:t xml:space="preserve"> </w:t>
      </w:r>
      <w:r w:rsidRPr="0031675F">
        <w:rPr>
          <w:spacing w:val="-1"/>
        </w:rPr>
        <w:t>do</w:t>
      </w:r>
      <w:r w:rsidRPr="0031675F">
        <w:rPr>
          <w:spacing w:val="-2"/>
        </w:rPr>
        <w:t xml:space="preserve"> </w:t>
      </w:r>
      <w:r w:rsidRPr="0031675F">
        <w:t>so.</w:t>
      </w:r>
    </w:p>
    <w:p w14:paraId="74107096" w14:textId="77777777" w:rsidR="0031675F" w:rsidRPr="0031675F" w:rsidRDefault="0031675F" w:rsidP="0031675F">
      <w:pPr>
        <w:widowControl w:val="0"/>
        <w:numPr>
          <w:ilvl w:val="0"/>
          <w:numId w:val="111"/>
        </w:numPr>
        <w:tabs>
          <w:tab w:val="left" w:pos="423"/>
        </w:tabs>
        <w:spacing w:before="60" w:after="0" w:line="240" w:lineRule="auto"/>
        <w:jc w:val="both"/>
      </w:pPr>
      <w:r w:rsidRPr="0031675F">
        <w:rPr>
          <w:spacing w:val="-1"/>
        </w:rPr>
        <w:t>Fill the</w:t>
      </w:r>
      <w:r w:rsidRPr="0031675F">
        <w:t xml:space="preserve"> </w:t>
      </w:r>
      <w:r w:rsidRPr="0031675F">
        <w:rPr>
          <w:spacing w:val="-1"/>
        </w:rPr>
        <w:t>sample</w:t>
      </w:r>
      <w:r w:rsidRPr="0031675F">
        <w:rPr>
          <w:spacing w:val="-2"/>
        </w:rPr>
        <w:t xml:space="preserve"> </w:t>
      </w:r>
      <w:r w:rsidRPr="0031675F">
        <w:rPr>
          <w:spacing w:val="-1"/>
        </w:rPr>
        <w:t>tube(s)</w:t>
      </w:r>
      <w:r w:rsidRPr="0031675F">
        <w:rPr>
          <w:spacing w:val="-2"/>
        </w:rPr>
        <w:t xml:space="preserve"> </w:t>
      </w:r>
      <w:r w:rsidRPr="0031675F">
        <w:t>with</w:t>
      </w:r>
      <w:r w:rsidRPr="0031675F">
        <w:rPr>
          <w:spacing w:val="-3"/>
        </w:rPr>
        <w:t xml:space="preserve"> </w:t>
      </w:r>
      <w:r w:rsidRPr="0031675F">
        <w:rPr>
          <w:spacing w:val="-1"/>
        </w:rPr>
        <w:t>filtered sample.</w:t>
      </w:r>
      <w:r w:rsidRPr="0031675F">
        <w:t xml:space="preserve"> (2</w:t>
      </w:r>
      <w:r w:rsidRPr="0031675F">
        <w:rPr>
          <w:spacing w:val="-2"/>
        </w:rPr>
        <w:t xml:space="preserve"> </w:t>
      </w:r>
      <w:r w:rsidRPr="0031675F">
        <w:t>or</w:t>
      </w:r>
      <w:r w:rsidRPr="0031675F">
        <w:rPr>
          <w:spacing w:val="-3"/>
        </w:rPr>
        <w:t xml:space="preserve"> </w:t>
      </w:r>
      <w:r w:rsidRPr="0031675F">
        <w:t>3</w:t>
      </w:r>
      <w:r w:rsidRPr="0031675F">
        <w:rPr>
          <w:spacing w:val="-1"/>
        </w:rPr>
        <w:t xml:space="preserve"> replicate</w:t>
      </w:r>
      <w:r w:rsidRPr="0031675F">
        <w:t xml:space="preserve"> </w:t>
      </w:r>
      <w:r w:rsidRPr="0031675F">
        <w:rPr>
          <w:spacing w:val="-1"/>
        </w:rPr>
        <w:t>samples</w:t>
      </w:r>
      <w:r w:rsidRPr="0031675F">
        <w:t xml:space="preserve"> are</w:t>
      </w:r>
      <w:r w:rsidRPr="0031675F">
        <w:rPr>
          <w:spacing w:val="-2"/>
        </w:rPr>
        <w:t xml:space="preserve"> </w:t>
      </w:r>
      <w:r w:rsidRPr="0031675F">
        <w:rPr>
          <w:spacing w:val="-1"/>
        </w:rPr>
        <w:t>usually</w:t>
      </w:r>
      <w:r w:rsidRPr="0031675F">
        <w:t xml:space="preserve"> </w:t>
      </w:r>
      <w:r w:rsidRPr="0031675F">
        <w:rPr>
          <w:spacing w:val="-1"/>
        </w:rPr>
        <w:t>prepared).</w:t>
      </w:r>
    </w:p>
    <w:p w14:paraId="35BC2EF7" w14:textId="1F3113F1" w:rsidR="0031675F" w:rsidRPr="0031675F" w:rsidRDefault="0031675F" w:rsidP="0031675F">
      <w:pPr>
        <w:widowControl w:val="0"/>
        <w:numPr>
          <w:ilvl w:val="0"/>
          <w:numId w:val="111"/>
        </w:numPr>
        <w:tabs>
          <w:tab w:val="left" w:pos="423"/>
        </w:tabs>
        <w:spacing w:before="60" w:after="0" w:line="240" w:lineRule="auto"/>
        <w:jc w:val="both"/>
      </w:pPr>
      <w:r w:rsidRPr="0031675F">
        <w:rPr>
          <w:spacing w:val="-1"/>
        </w:rPr>
        <w:t>Add 100</w:t>
      </w:r>
      <w:r w:rsidR="00BB13FD">
        <w:rPr>
          <w:spacing w:val="-1"/>
        </w:rPr>
        <w:t xml:space="preserve"> µL</w:t>
      </w:r>
      <w:r w:rsidRPr="0031675F">
        <w:t xml:space="preserve"> </w:t>
      </w:r>
      <w:r w:rsidRPr="0031675F">
        <w:rPr>
          <w:spacing w:val="-1"/>
        </w:rPr>
        <w:t>conc.</w:t>
      </w:r>
      <w:r w:rsidRPr="0031675F">
        <w:t xml:space="preserve"> HCl</w:t>
      </w:r>
      <w:r w:rsidRPr="0031675F">
        <w:rPr>
          <w:spacing w:val="-1"/>
        </w:rPr>
        <w:t xml:space="preserve"> to </w:t>
      </w:r>
      <w:r w:rsidRPr="0031675F">
        <w:t>10</w:t>
      </w:r>
      <w:r w:rsidRPr="0031675F">
        <w:rPr>
          <w:spacing w:val="-2"/>
        </w:rPr>
        <w:t xml:space="preserve"> </w:t>
      </w:r>
      <w:r w:rsidRPr="0031675F">
        <w:t>m</w:t>
      </w:r>
      <w:r w:rsidR="00BB13FD">
        <w:t>L</w:t>
      </w:r>
      <w:r w:rsidRPr="0031675F">
        <w:rPr>
          <w:spacing w:val="-2"/>
        </w:rPr>
        <w:t xml:space="preserve"> </w:t>
      </w:r>
      <w:r w:rsidRPr="0031675F">
        <w:t xml:space="preserve">of </w:t>
      </w:r>
      <w:r w:rsidRPr="0031675F">
        <w:rPr>
          <w:spacing w:val="-1"/>
        </w:rPr>
        <w:t>filtered sample,</w:t>
      </w:r>
      <w:r w:rsidRPr="0031675F">
        <w:rPr>
          <w:spacing w:val="-3"/>
        </w:rPr>
        <w:t xml:space="preserve"> </w:t>
      </w:r>
      <w:r w:rsidRPr="0031675F">
        <w:t>and</w:t>
      </w:r>
      <w:r w:rsidRPr="0031675F">
        <w:rPr>
          <w:spacing w:val="-2"/>
        </w:rPr>
        <w:t xml:space="preserve"> </w:t>
      </w:r>
      <w:r w:rsidRPr="0031675F">
        <w:rPr>
          <w:spacing w:val="-1"/>
        </w:rPr>
        <w:t>store</w:t>
      </w:r>
      <w:r w:rsidRPr="0031675F">
        <w:rPr>
          <w:spacing w:val="-2"/>
        </w:rPr>
        <w:t xml:space="preserve"> </w:t>
      </w:r>
      <w:r w:rsidRPr="0031675F">
        <w:t>in the</w:t>
      </w:r>
      <w:r w:rsidRPr="0031675F">
        <w:rPr>
          <w:spacing w:val="-3"/>
        </w:rPr>
        <w:t xml:space="preserve"> </w:t>
      </w:r>
      <w:r w:rsidRPr="0031675F">
        <w:rPr>
          <w:spacing w:val="-1"/>
        </w:rPr>
        <w:t>refrigerator.</w:t>
      </w:r>
    </w:p>
    <w:p w14:paraId="0F6298F8" w14:textId="77777777" w:rsidR="0031675F" w:rsidRPr="0031675F" w:rsidRDefault="0031675F" w:rsidP="0031675F">
      <w:pPr>
        <w:spacing w:before="10"/>
        <w:rPr>
          <w:rFonts w:cs="Calibri"/>
          <w:sz w:val="26"/>
          <w:szCs w:val="26"/>
        </w:rPr>
      </w:pPr>
    </w:p>
    <w:p w14:paraId="54931066" w14:textId="77777777" w:rsidR="0031675F" w:rsidRPr="0031675F" w:rsidRDefault="0031675F" w:rsidP="0031675F">
      <w:pPr>
        <w:widowControl w:val="0"/>
        <w:numPr>
          <w:ilvl w:val="1"/>
          <w:numId w:val="110"/>
        </w:numPr>
        <w:tabs>
          <w:tab w:val="left" w:pos="706"/>
        </w:tabs>
        <w:spacing w:before="0" w:after="0" w:line="240" w:lineRule="auto"/>
        <w:jc w:val="both"/>
        <w:rPr>
          <w:rFonts w:eastAsia="Arial" w:cs="Arial"/>
          <w:sz w:val="24"/>
          <w:szCs w:val="24"/>
        </w:rPr>
      </w:pPr>
      <w:bookmarkStart w:id="633" w:name="_TOC_250052"/>
      <w:r w:rsidRPr="0031675F">
        <w:rPr>
          <w:b/>
          <w:sz w:val="24"/>
        </w:rPr>
        <w:t>Sample</w:t>
      </w:r>
      <w:r w:rsidRPr="0031675F">
        <w:rPr>
          <w:b/>
          <w:spacing w:val="-1"/>
          <w:sz w:val="24"/>
        </w:rPr>
        <w:t xml:space="preserve"> analysis</w:t>
      </w:r>
      <w:bookmarkEnd w:id="633"/>
    </w:p>
    <w:p w14:paraId="28E8FCA3" w14:textId="77777777" w:rsidR="0031675F" w:rsidRPr="0031675F" w:rsidRDefault="0031675F" w:rsidP="0031675F">
      <w:pPr>
        <w:spacing w:before="10"/>
        <w:rPr>
          <w:rFonts w:eastAsia="Arial" w:cs="Arial"/>
          <w:b/>
          <w:bCs/>
          <w:sz w:val="20"/>
          <w:szCs w:val="20"/>
        </w:rPr>
      </w:pPr>
    </w:p>
    <w:p w14:paraId="0D30BC0E" w14:textId="77777777" w:rsidR="0031675F" w:rsidRPr="0031675F" w:rsidRDefault="0031675F" w:rsidP="0031675F">
      <w:pPr>
        <w:widowControl w:val="0"/>
        <w:numPr>
          <w:ilvl w:val="2"/>
          <w:numId w:val="110"/>
        </w:numPr>
        <w:tabs>
          <w:tab w:val="left" w:pos="706"/>
        </w:tabs>
        <w:spacing w:before="0" w:after="0" w:line="240" w:lineRule="auto"/>
        <w:jc w:val="both"/>
        <w:rPr>
          <w:rFonts w:eastAsia="Arial" w:cs="Arial"/>
        </w:rPr>
      </w:pPr>
      <w:r w:rsidRPr="0031675F">
        <w:rPr>
          <w:b/>
          <w:spacing w:val="-1"/>
        </w:rPr>
        <w:t>Materials</w:t>
      </w:r>
      <w:r w:rsidRPr="0031675F">
        <w:rPr>
          <w:b/>
        </w:rPr>
        <w:t xml:space="preserve"> and</w:t>
      </w:r>
      <w:r w:rsidRPr="0031675F">
        <w:rPr>
          <w:b/>
          <w:spacing w:val="-2"/>
        </w:rPr>
        <w:t xml:space="preserve"> </w:t>
      </w:r>
      <w:r w:rsidRPr="0031675F">
        <w:rPr>
          <w:b/>
          <w:spacing w:val="-1"/>
        </w:rPr>
        <w:t>Reagents</w:t>
      </w:r>
    </w:p>
    <w:p w14:paraId="21AB1977" w14:textId="77777777" w:rsidR="0031675F" w:rsidRPr="0031675F" w:rsidRDefault="0031675F" w:rsidP="0031675F">
      <w:pPr>
        <w:spacing w:before="11"/>
        <w:rPr>
          <w:rFonts w:eastAsia="Arial" w:cs="Arial"/>
          <w:b/>
          <w:bCs/>
          <w:sz w:val="20"/>
          <w:szCs w:val="20"/>
        </w:rPr>
      </w:pPr>
    </w:p>
    <w:p w14:paraId="3BFC9C6F" w14:textId="77777777" w:rsidR="0031675F" w:rsidRPr="0031675F" w:rsidRDefault="0031675F" w:rsidP="0031675F">
      <w:pPr>
        <w:widowControl w:val="0"/>
        <w:numPr>
          <w:ilvl w:val="0"/>
          <w:numId w:val="109"/>
        </w:numPr>
        <w:tabs>
          <w:tab w:val="left" w:pos="423"/>
        </w:tabs>
        <w:spacing w:before="0" w:after="0" w:line="240" w:lineRule="auto"/>
        <w:jc w:val="both"/>
      </w:pPr>
      <w:r w:rsidRPr="0031675F">
        <w:rPr>
          <w:spacing w:val="-1"/>
        </w:rPr>
        <w:t>Hydrochloric</w:t>
      </w:r>
      <w:r w:rsidRPr="0031675F">
        <w:t xml:space="preserve"> </w:t>
      </w:r>
      <w:r w:rsidRPr="0031675F">
        <w:rPr>
          <w:spacing w:val="-1"/>
        </w:rPr>
        <w:t>Acid</w:t>
      </w:r>
    </w:p>
    <w:p w14:paraId="650A1C9F" w14:textId="38D6C092" w:rsidR="0031675F" w:rsidRPr="0031675F" w:rsidRDefault="0031675F" w:rsidP="0031675F">
      <w:pPr>
        <w:widowControl w:val="0"/>
        <w:numPr>
          <w:ilvl w:val="0"/>
          <w:numId w:val="109"/>
        </w:numPr>
        <w:tabs>
          <w:tab w:val="left" w:pos="423"/>
        </w:tabs>
        <w:spacing w:before="60" w:after="0" w:line="240" w:lineRule="auto"/>
        <w:jc w:val="both"/>
        <w:rPr>
          <w:spacing w:val="-1"/>
        </w:rPr>
      </w:pPr>
      <w:r w:rsidRPr="0031675F">
        <w:rPr>
          <w:spacing w:val="-1"/>
        </w:rPr>
        <w:t>Potassium</w:t>
      </w:r>
      <w:r w:rsidRPr="0031675F">
        <w:rPr>
          <w:spacing w:val="1"/>
        </w:rPr>
        <w:t xml:space="preserve"> </w:t>
      </w:r>
      <w:r w:rsidRPr="0031675F">
        <w:rPr>
          <w:spacing w:val="-1"/>
        </w:rPr>
        <w:t>Hydrogen Phthalate</w:t>
      </w:r>
      <w:r w:rsidRPr="0031675F">
        <w:rPr>
          <w:spacing w:val="-2"/>
        </w:rPr>
        <w:t xml:space="preserve"> </w:t>
      </w:r>
      <w:r w:rsidRPr="0031675F">
        <w:rPr>
          <w:spacing w:val="-1"/>
        </w:rPr>
        <w:t>standards</w:t>
      </w:r>
      <w:r w:rsidRPr="0031675F">
        <w:t xml:space="preserve"> 0,1</w:t>
      </w:r>
      <w:r w:rsidRPr="0031675F">
        <w:rPr>
          <w:spacing w:val="-2"/>
        </w:rPr>
        <w:t xml:space="preserve"> </w:t>
      </w:r>
      <w:r w:rsidRPr="0031675F">
        <w:t>and</w:t>
      </w:r>
      <w:r w:rsidRPr="0031675F">
        <w:rPr>
          <w:spacing w:val="-2"/>
        </w:rPr>
        <w:t xml:space="preserve"> </w:t>
      </w:r>
      <w:r w:rsidRPr="0031675F">
        <w:rPr>
          <w:spacing w:val="-1"/>
        </w:rPr>
        <w:t>2</w:t>
      </w:r>
      <w:r w:rsidR="00BB13FD">
        <w:rPr>
          <w:spacing w:val="-1"/>
        </w:rPr>
        <w:t xml:space="preserve"> </w:t>
      </w:r>
      <w:r w:rsidRPr="0031675F">
        <w:rPr>
          <w:spacing w:val="-1"/>
        </w:rPr>
        <w:t>ppm</w:t>
      </w:r>
      <w:r w:rsidRPr="0031675F">
        <w:rPr>
          <w:spacing w:val="1"/>
        </w:rPr>
        <w:t xml:space="preserve"> </w:t>
      </w:r>
      <w:r w:rsidRPr="0031675F">
        <w:t>(as</w:t>
      </w:r>
      <w:r w:rsidRPr="0031675F">
        <w:rPr>
          <w:spacing w:val="-3"/>
        </w:rPr>
        <w:t xml:space="preserve"> </w:t>
      </w:r>
      <w:r w:rsidRPr="0031675F">
        <w:rPr>
          <w:spacing w:val="-1"/>
        </w:rPr>
        <w:t>supplied</w:t>
      </w:r>
      <w:r w:rsidRPr="0031675F">
        <w:t xml:space="preserve"> </w:t>
      </w:r>
      <w:r w:rsidRPr="0031675F">
        <w:rPr>
          <w:spacing w:val="-1"/>
        </w:rPr>
        <w:t>by</w:t>
      </w:r>
      <w:r w:rsidRPr="0031675F">
        <w:rPr>
          <w:spacing w:val="1"/>
        </w:rPr>
        <w:t xml:space="preserve"> </w:t>
      </w:r>
      <w:r w:rsidRPr="0031675F">
        <w:rPr>
          <w:spacing w:val="-1"/>
        </w:rPr>
        <w:t>Shimadzu)</w:t>
      </w:r>
    </w:p>
    <w:p w14:paraId="4FF8F8D8" w14:textId="77777777" w:rsidR="0031675F" w:rsidRPr="0031675F" w:rsidRDefault="0031675F" w:rsidP="0031675F">
      <w:pPr>
        <w:widowControl w:val="0"/>
        <w:numPr>
          <w:ilvl w:val="0"/>
          <w:numId w:val="109"/>
        </w:numPr>
        <w:tabs>
          <w:tab w:val="left" w:pos="403"/>
        </w:tabs>
        <w:spacing w:before="0" w:after="0" w:line="240" w:lineRule="auto"/>
        <w:ind w:left="402"/>
      </w:pPr>
      <w:r w:rsidRPr="0031675F">
        <w:t>Reef</w:t>
      </w:r>
      <w:r w:rsidRPr="0031675F">
        <w:rPr>
          <w:spacing w:val="-2"/>
        </w:rPr>
        <w:t xml:space="preserve"> </w:t>
      </w:r>
      <w:r w:rsidRPr="0031675F">
        <w:rPr>
          <w:spacing w:val="-1"/>
        </w:rPr>
        <w:t>Pontoon</w:t>
      </w:r>
      <w:r w:rsidRPr="0031675F">
        <w:rPr>
          <w:spacing w:val="-3"/>
        </w:rPr>
        <w:t xml:space="preserve"> </w:t>
      </w:r>
      <w:r w:rsidRPr="0031675F">
        <w:t>water</w:t>
      </w:r>
      <w:r w:rsidRPr="0031675F">
        <w:rPr>
          <w:spacing w:val="-2"/>
        </w:rPr>
        <w:t xml:space="preserve"> </w:t>
      </w:r>
      <w:r w:rsidRPr="0031675F">
        <w:t>(In</w:t>
      </w:r>
      <w:r w:rsidRPr="0031675F">
        <w:rPr>
          <w:spacing w:val="-1"/>
        </w:rPr>
        <w:t xml:space="preserve"> house</w:t>
      </w:r>
      <w:r w:rsidRPr="0031675F">
        <w:rPr>
          <w:spacing w:val="1"/>
        </w:rPr>
        <w:t xml:space="preserve"> </w:t>
      </w:r>
      <w:r w:rsidRPr="0031675F">
        <w:rPr>
          <w:spacing w:val="-1"/>
        </w:rPr>
        <w:t>quality control</w:t>
      </w:r>
      <w:r w:rsidRPr="0031675F">
        <w:t xml:space="preserve"> </w:t>
      </w:r>
      <w:r w:rsidRPr="0031675F">
        <w:rPr>
          <w:spacing w:val="-1"/>
        </w:rPr>
        <w:t>standard)</w:t>
      </w:r>
    </w:p>
    <w:p w14:paraId="1D6F64B1" w14:textId="77777777" w:rsidR="0031675F" w:rsidRPr="0031675F" w:rsidRDefault="0031675F" w:rsidP="0031675F">
      <w:pPr>
        <w:widowControl w:val="0"/>
        <w:numPr>
          <w:ilvl w:val="0"/>
          <w:numId w:val="109"/>
        </w:numPr>
        <w:tabs>
          <w:tab w:val="left" w:pos="403"/>
        </w:tabs>
        <w:spacing w:before="60" w:after="0" w:line="240" w:lineRule="auto"/>
        <w:ind w:left="402"/>
      </w:pPr>
      <w:r w:rsidRPr="0031675F">
        <w:rPr>
          <w:spacing w:val="-1"/>
        </w:rPr>
        <w:t>Highly</w:t>
      </w:r>
      <w:r w:rsidRPr="0031675F">
        <w:t xml:space="preserve"> </w:t>
      </w:r>
      <w:r w:rsidRPr="0031675F">
        <w:rPr>
          <w:spacing w:val="-1"/>
        </w:rPr>
        <w:t>pure</w:t>
      </w:r>
      <w:r w:rsidRPr="0031675F">
        <w:t xml:space="preserve"> </w:t>
      </w:r>
      <w:r w:rsidRPr="0031675F">
        <w:rPr>
          <w:spacing w:val="-1"/>
        </w:rPr>
        <w:t>Deionised</w:t>
      </w:r>
      <w:r w:rsidRPr="0031675F">
        <w:t xml:space="preserve"> </w:t>
      </w:r>
      <w:r w:rsidRPr="0031675F">
        <w:rPr>
          <w:spacing w:val="-1"/>
        </w:rPr>
        <w:t>water</w:t>
      </w:r>
    </w:p>
    <w:p w14:paraId="55769532" w14:textId="77777777" w:rsidR="0031675F" w:rsidRPr="0031675F" w:rsidRDefault="0031675F" w:rsidP="0031675F">
      <w:pPr>
        <w:widowControl w:val="0"/>
        <w:numPr>
          <w:ilvl w:val="0"/>
          <w:numId w:val="109"/>
        </w:numPr>
        <w:tabs>
          <w:tab w:val="left" w:pos="403"/>
        </w:tabs>
        <w:spacing w:before="60" w:after="0" w:line="240" w:lineRule="auto"/>
        <w:ind w:left="402"/>
      </w:pPr>
      <w:r w:rsidRPr="0031675F">
        <w:rPr>
          <w:spacing w:val="-1"/>
        </w:rPr>
        <w:t>SHIMADZU</w:t>
      </w:r>
      <w:r w:rsidRPr="0031675F">
        <w:rPr>
          <w:spacing w:val="-2"/>
        </w:rPr>
        <w:t xml:space="preserve"> </w:t>
      </w:r>
      <w:r w:rsidRPr="0031675F">
        <w:rPr>
          <w:spacing w:val="-1"/>
        </w:rPr>
        <w:t>TOC-L</w:t>
      </w:r>
      <w:r w:rsidRPr="0031675F">
        <w:rPr>
          <w:spacing w:val="-3"/>
        </w:rPr>
        <w:t xml:space="preserve"> </w:t>
      </w:r>
    </w:p>
    <w:p w14:paraId="41467029" w14:textId="77777777" w:rsidR="0031675F" w:rsidRPr="0031675F" w:rsidRDefault="0031675F" w:rsidP="0031675F">
      <w:pPr>
        <w:spacing w:before="8"/>
        <w:rPr>
          <w:rFonts w:cs="Calibri"/>
          <w:sz w:val="26"/>
          <w:szCs w:val="26"/>
        </w:rPr>
      </w:pPr>
    </w:p>
    <w:p w14:paraId="4649BC4C" w14:textId="77777777" w:rsidR="0031675F" w:rsidRPr="0031675F" w:rsidRDefault="0031675F" w:rsidP="0031675F">
      <w:pPr>
        <w:widowControl w:val="0"/>
        <w:numPr>
          <w:ilvl w:val="2"/>
          <w:numId w:val="110"/>
        </w:numPr>
        <w:tabs>
          <w:tab w:val="left" w:pos="686"/>
        </w:tabs>
        <w:spacing w:before="0" w:after="0" w:line="240" w:lineRule="auto"/>
        <w:ind w:left="685"/>
        <w:rPr>
          <w:rFonts w:eastAsia="Arial" w:cs="Arial"/>
        </w:rPr>
      </w:pPr>
      <w:r w:rsidRPr="0031675F">
        <w:rPr>
          <w:b/>
          <w:spacing w:val="-1"/>
        </w:rPr>
        <w:t>Procedure</w:t>
      </w:r>
    </w:p>
    <w:p w14:paraId="15C97C90" w14:textId="77777777" w:rsidR="0031675F" w:rsidRPr="0031675F" w:rsidRDefault="0031675F" w:rsidP="0031675F">
      <w:pPr>
        <w:widowControl w:val="0"/>
        <w:numPr>
          <w:ilvl w:val="0"/>
          <w:numId w:val="161"/>
        </w:numPr>
        <w:tabs>
          <w:tab w:val="left" w:pos="441"/>
        </w:tabs>
        <w:spacing w:before="9" w:after="0" w:line="240" w:lineRule="auto"/>
        <w:ind w:firstLine="0"/>
      </w:pPr>
      <w:r w:rsidRPr="0031675F">
        <w:t>Turn</w:t>
      </w:r>
      <w:r w:rsidRPr="0031675F">
        <w:rPr>
          <w:spacing w:val="-1"/>
        </w:rPr>
        <w:t xml:space="preserve"> instrument</w:t>
      </w:r>
      <w:r w:rsidRPr="0031675F">
        <w:t xml:space="preserve"> on</w:t>
      </w:r>
      <w:r w:rsidRPr="0031675F">
        <w:rPr>
          <w:spacing w:val="-1"/>
        </w:rPr>
        <w:t xml:space="preserve"> using</w:t>
      </w:r>
      <w:r w:rsidRPr="0031675F">
        <w:t xml:space="preserve"> </w:t>
      </w:r>
      <w:r w:rsidRPr="0031675F">
        <w:rPr>
          <w:spacing w:val="-1"/>
        </w:rPr>
        <w:t>button</w:t>
      </w:r>
      <w:r w:rsidRPr="0031675F">
        <w:t xml:space="preserve"> </w:t>
      </w:r>
      <w:r w:rsidRPr="0031675F">
        <w:rPr>
          <w:spacing w:val="-1"/>
        </w:rPr>
        <w:t>next</w:t>
      </w:r>
      <w:r w:rsidRPr="0031675F">
        <w:t xml:space="preserve"> </w:t>
      </w:r>
      <w:r w:rsidRPr="0031675F">
        <w:rPr>
          <w:spacing w:val="-1"/>
        </w:rPr>
        <w:t>to</w:t>
      </w:r>
      <w:r w:rsidRPr="0031675F">
        <w:t xml:space="preserve"> start.</w:t>
      </w:r>
    </w:p>
    <w:p w14:paraId="6DBC68B1" w14:textId="77777777" w:rsidR="0031675F" w:rsidRPr="0031675F" w:rsidRDefault="0031675F" w:rsidP="0031675F">
      <w:pPr>
        <w:widowControl w:val="0"/>
        <w:numPr>
          <w:ilvl w:val="0"/>
          <w:numId w:val="161"/>
        </w:numPr>
        <w:tabs>
          <w:tab w:val="left" w:pos="441"/>
        </w:tabs>
        <w:spacing w:before="9" w:after="0" w:line="240" w:lineRule="auto"/>
        <w:ind w:left="440" w:hanging="286"/>
      </w:pPr>
      <w:r w:rsidRPr="0031675F">
        <w:t>Turn</w:t>
      </w:r>
      <w:r w:rsidRPr="0031675F">
        <w:rPr>
          <w:spacing w:val="-3"/>
        </w:rPr>
        <w:t xml:space="preserve"> </w:t>
      </w:r>
      <w:r w:rsidRPr="0031675F">
        <w:rPr>
          <w:spacing w:val="-1"/>
        </w:rPr>
        <w:t xml:space="preserve">computer </w:t>
      </w:r>
      <w:r w:rsidRPr="0031675F">
        <w:t>on</w:t>
      </w:r>
      <w:r w:rsidRPr="0031675F">
        <w:rPr>
          <w:spacing w:val="-2"/>
        </w:rPr>
        <w:t xml:space="preserve"> </w:t>
      </w:r>
      <w:r w:rsidRPr="0031675F">
        <w:rPr>
          <w:spacing w:val="-1"/>
        </w:rPr>
        <w:t>(it will</w:t>
      </w:r>
      <w:r w:rsidRPr="0031675F">
        <w:rPr>
          <w:spacing w:val="-2"/>
        </w:rPr>
        <w:t xml:space="preserve"> </w:t>
      </w:r>
      <w:r w:rsidRPr="0031675F">
        <w:t>start</w:t>
      </w:r>
      <w:r w:rsidRPr="0031675F">
        <w:rPr>
          <w:spacing w:val="-2"/>
        </w:rPr>
        <w:t xml:space="preserve"> </w:t>
      </w:r>
      <w:r w:rsidRPr="0031675F">
        <w:rPr>
          <w:spacing w:val="-1"/>
        </w:rPr>
        <w:t>up windows program)</w:t>
      </w:r>
    </w:p>
    <w:p w14:paraId="700939F8" w14:textId="77777777" w:rsidR="0031675F" w:rsidRPr="0031675F" w:rsidRDefault="0031675F" w:rsidP="0031675F">
      <w:pPr>
        <w:widowControl w:val="0"/>
        <w:numPr>
          <w:ilvl w:val="0"/>
          <w:numId w:val="161"/>
        </w:numPr>
        <w:tabs>
          <w:tab w:val="left" w:pos="441"/>
        </w:tabs>
        <w:spacing w:before="9" w:after="0" w:line="240" w:lineRule="auto"/>
        <w:ind w:left="440" w:hanging="286"/>
      </w:pPr>
      <w:r w:rsidRPr="0031675F">
        <w:t>Press</w:t>
      </w:r>
      <w:r w:rsidRPr="0031675F">
        <w:rPr>
          <w:spacing w:val="-4"/>
        </w:rPr>
        <w:t xml:space="preserve"> </w:t>
      </w:r>
      <w:r w:rsidRPr="0031675F">
        <w:rPr>
          <w:spacing w:val="-1"/>
        </w:rPr>
        <w:t>Crt</w:t>
      </w:r>
      <w:r w:rsidRPr="0031675F">
        <w:rPr>
          <w:spacing w:val="-2"/>
        </w:rPr>
        <w:t xml:space="preserve"> </w:t>
      </w:r>
      <w:r w:rsidRPr="0031675F">
        <w:t>Alt</w:t>
      </w:r>
      <w:r w:rsidRPr="0031675F">
        <w:rPr>
          <w:spacing w:val="-3"/>
        </w:rPr>
        <w:t xml:space="preserve"> </w:t>
      </w:r>
      <w:r w:rsidRPr="0031675F">
        <w:rPr>
          <w:spacing w:val="-1"/>
        </w:rPr>
        <w:t>Del</w:t>
      </w:r>
      <w:r w:rsidRPr="0031675F">
        <w:rPr>
          <w:spacing w:val="-2"/>
        </w:rPr>
        <w:t xml:space="preserve"> </w:t>
      </w:r>
      <w:r w:rsidRPr="0031675F">
        <w:rPr>
          <w:spacing w:val="-1"/>
        </w:rPr>
        <w:t>and</w:t>
      </w:r>
      <w:r w:rsidRPr="0031675F">
        <w:rPr>
          <w:spacing w:val="-2"/>
        </w:rPr>
        <w:t xml:space="preserve"> </w:t>
      </w:r>
      <w:r w:rsidRPr="0031675F">
        <w:rPr>
          <w:spacing w:val="-1"/>
        </w:rPr>
        <w:t>enter</w:t>
      </w:r>
      <w:r w:rsidRPr="0031675F">
        <w:rPr>
          <w:spacing w:val="-3"/>
        </w:rPr>
        <w:t xml:space="preserve"> </w:t>
      </w:r>
      <w:r w:rsidRPr="0031675F">
        <w:rPr>
          <w:spacing w:val="-1"/>
        </w:rPr>
        <w:t>password</w:t>
      </w:r>
      <w:r w:rsidRPr="0031675F">
        <w:rPr>
          <w:spacing w:val="-2"/>
        </w:rPr>
        <w:t xml:space="preserve"> </w:t>
      </w:r>
      <w:r w:rsidRPr="0031675F">
        <w:rPr>
          <w:spacing w:val="-1"/>
        </w:rPr>
        <w:t>“Abcde123”</w:t>
      </w:r>
    </w:p>
    <w:p w14:paraId="2D01E00C" w14:textId="77777777" w:rsidR="0031675F" w:rsidRPr="0031675F" w:rsidRDefault="0031675F" w:rsidP="0031675F">
      <w:pPr>
        <w:widowControl w:val="0"/>
        <w:numPr>
          <w:ilvl w:val="0"/>
          <w:numId w:val="161"/>
        </w:numPr>
        <w:tabs>
          <w:tab w:val="left" w:pos="441"/>
        </w:tabs>
        <w:spacing w:before="9" w:after="0" w:line="240" w:lineRule="auto"/>
        <w:ind w:left="440" w:hanging="286"/>
      </w:pPr>
      <w:r w:rsidRPr="0031675F">
        <w:rPr>
          <w:spacing w:val="-1"/>
        </w:rPr>
        <w:t>Double</w:t>
      </w:r>
      <w:r w:rsidRPr="0031675F">
        <w:rPr>
          <w:spacing w:val="-2"/>
        </w:rPr>
        <w:t xml:space="preserve"> </w:t>
      </w:r>
      <w:r w:rsidRPr="0031675F">
        <w:rPr>
          <w:spacing w:val="-1"/>
        </w:rPr>
        <w:t>click</w:t>
      </w:r>
      <w:r w:rsidRPr="0031675F">
        <w:rPr>
          <w:spacing w:val="-2"/>
        </w:rPr>
        <w:t xml:space="preserve"> </w:t>
      </w:r>
      <w:r w:rsidRPr="0031675F">
        <w:t>on</w:t>
      </w:r>
      <w:r w:rsidRPr="0031675F">
        <w:rPr>
          <w:spacing w:val="-3"/>
        </w:rPr>
        <w:t xml:space="preserve"> </w:t>
      </w:r>
      <w:r w:rsidRPr="0031675F">
        <w:rPr>
          <w:spacing w:val="-1"/>
        </w:rPr>
        <w:t>“TOC</w:t>
      </w:r>
      <w:r w:rsidRPr="0031675F">
        <w:rPr>
          <w:spacing w:val="-2"/>
        </w:rPr>
        <w:t xml:space="preserve"> </w:t>
      </w:r>
      <w:r w:rsidRPr="0031675F">
        <w:rPr>
          <w:spacing w:val="-1"/>
        </w:rPr>
        <w:t>Control</w:t>
      </w:r>
      <w:r w:rsidRPr="0031675F">
        <w:rPr>
          <w:spacing w:val="-2"/>
        </w:rPr>
        <w:t xml:space="preserve"> </w:t>
      </w:r>
      <w:r w:rsidRPr="0031675F">
        <w:rPr>
          <w:spacing w:val="-1"/>
        </w:rPr>
        <w:t>L”</w:t>
      </w:r>
      <w:r w:rsidRPr="0031675F">
        <w:rPr>
          <w:spacing w:val="68"/>
        </w:rPr>
        <w:t xml:space="preserve"> </w:t>
      </w:r>
      <w:r w:rsidRPr="0031675F">
        <w:rPr>
          <w:spacing w:val="-1"/>
        </w:rPr>
        <w:t>icon.</w:t>
      </w:r>
    </w:p>
    <w:p w14:paraId="3BFCF710" w14:textId="2BE502DB" w:rsidR="0031675F" w:rsidRPr="0031675F" w:rsidRDefault="0031675F" w:rsidP="0031675F">
      <w:pPr>
        <w:widowControl w:val="0"/>
        <w:numPr>
          <w:ilvl w:val="0"/>
          <w:numId w:val="160"/>
        </w:numPr>
        <w:tabs>
          <w:tab w:val="left" w:pos="315"/>
        </w:tabs>
        <w:spacing w:before="9" w:after="0" w:line="247" w:lineRule="auto"/>
        <w:ind w:right="298" w:firstLine="0"/>
      </w:pPr>
      <w:r w:rsidRPr="0031675F">
        <w:rPr>
          <w:spacing w:val="-1"/>
        </w:rPr>
        <w:t xml:space="preserve">H/W </w:t>
      </w:r>
      <w:r w:rsidRPr="0031675F">
        <w:t>Settings</w:t>
      </w:r>
      <w:r w:rsidRPr="0031675F">
        <w:rPr>
          <w:spacing w:val="-1"/>
        </w:rPr>
        <w:t xml:space="preserve"> </w:t>
      </w:r>
      <w:r w:rsidRPr="0031675F">
        <w:t xml:space="preserve">= </w:t>
      </w:r>
      <w:r w:rsidRPr="0031675F">
        <w:rPr>
          <w:spacing w:val="-1"/>
        </w:rPr>
        <w:t>to</w:t>
      </w:r>
      <w:r w:rsidRPr="0031675F">
        <w:t xml:space="preserve"> </w:t>
      </w:r>
      <w:r w:rsidRPr="0031675F">
        <w:rPr>
          <w:spacing w:val="-1"/>
        </w:rPr>
        <w:t>change</w:t>
      </w:r>
      <w:r w:rsidRPr="0031675F">
        <w:t xml:space="preserve"> </w:t>
      </w:r>
      <w:r w:rsidRPr="0031675F">
        <w:rPr>
          <w:spacing w:val="-1"/>
        </w:rPr>
        <w:t xml:space="preserve">to </w:t>
      </w:r>
      <w:r w:rsidRPr="0031675F">
        <w:t xml:space="preserve">Std </w:t>
      </w:r>
      <w:r w:rsidRPr="0031675F">
        <w:rPr>
          <w:spacing w:val="-1"/>
        </w:rPr>
        <w:t>Cat_Std</w:t>
      </w:r>
      <w:r w:rsidRPr="0031675F">
        <w:t xml:space="preserve"> Syr-9</w:t>
      </w:r>
      <w:r w:rsidR="00BB13FD">
        <w:t xml:space="preserve"> </w:t>
      </w:r>
      <w:r w:rsidRPr="0031675F">
        <w:t>m</w:t>
      </w:r>
      <w:r w:rsidR="00BB13FD">
        <w:t>L</w:t>
      </w:r>
      <w:r w:rsidRPr="0031675F">
        <w:rPr>
          <w:spacing w:val="-1"/>
        </w:rPr>
        <w:t xml:space="preserve"> tubes</w:t>
      </w:r>
      <w:r w:rsidRPr="0031675F">
        <w:rPr>
          <w:spacing w:val="1"/>
        </w:rPr>
        <w:t xml:space="preserve"> </w:t>
      </w:r>
      <w:r w:rsidRPr="0031675F">
        <w:t>or</w:t>
      </w:r>
      <w:r w:rsidRPr="0031675F">
        <w:rPr>
          <w:spacing w:val="-1"/>
        </w:rPr>
        <w:t xml:space="preserve"> to change</w:t>
      </w:r>
      <w:r w:rsidRPr="0031675F">
        <w:t xml:space="preserve"> </w:t>
      </w:r>
      <w:r w:rsidRPr="0031675F">
        <w:rPr>
          <w:spacing w:val="-1"/>
        </w:rPr>
        <w:t>instrument</w:t>
      </w:r>
      <w:r w:rsidRPr="0031675F">
        <w:rPr>
          <w:spacing w:val="28"/>
        </w:rPr>
        <w:t xml:space="preserve"> </w:t>
      </w:r>
      <w:r w:rsidRPr="0031675F">
        <w:rPr>
          <w:spacing w:val="-1"/>
        </w:rPr>
        <w:t>properties</w:t>
      </w:r>
      <w:r w:rsidRPr="0031675F">
        <w:rPr>
          <w:spacing w:val="-2"/>
        </w:rPr>
        <w:t xml:space="preserve"> </w:t>
      </w:r>
      <w:r w:rsidRPr="0031675F">
        <w:rPr>
          <w:spacing w:val="-1"/>
        </w:rPr>
        <w:t xml:space="preserve">eg temp </w:t>
      </w:r>
      <w:r w:rsidRPr="0031675F">
        <w:t>from</w:t>
      </w:r>
      <w:r w:rsidRPr="0031675F">
        <w:rPr>
          <w:spacing w:val="-2"/>
        </w:rPr>
        <w:t xml:space="preserve"> </w:t>
      </w:r>
      <w:r w:rsidRPr="0031675F">
        <w:rPr>
          <w:spacing w:val="-1"/>
        </w:rPr>
        <w:t xml:space="preserve">720 to 680, </w:t>
      </w:r>
      <w:r w:rsidRPr="0031675F">
        <w:t>vial</w:t>
      </w:r>
      <w:r w:rsidRPr="0031675F">
        <w:rPr>
          <w:spacing w:val="-3"/>
        </w:rPr>
        <w:t xml:space="preserve"> </w:t>
      </w:r>
      <w:r w:rsidRPr="0031675F">
        <w:t>sizes</w:t>
      </w:r>
      <w:r w:rsidRPr="0031675F">
        <w:rPr>
          <w:spacing w:val="-2"/>
        </w:rPr>
        <w:t xml:space="preserve"> </w:t>
      </w:r>
      <w:r w:rsidRPr="0031675F">
        <w:rPr>
          <w:spacing w:val="-1"/>
        </w:rPr>
        <w:t>etc.</w:t>
      </w:r>
    </w:p>
    <w:p w14:paraId="729EFE52" w14:textId="77777777" w:rsidR="0031675F" w:rsidRPr="0031675F" w:rsidRDefault="0031675F" w:rsidP="0031675F">
      <w:pPr>
        <w:widowControl w:val="0"/>
        <w:numPr>
          <w:ilvl w:val="0"/>
          <w:numId w:val="160"/>
        </w:numPr>
        <w:tabs>
          <w:tab w:val="left" w:pos="315"/>
        </w:tabs>
        <w:spacing w:before="0" w:after="0" w:line="240" w:lineRule="auto"/>
        <w:ind w:left="314" w:hanging="160"/>
      </w:pPr>
      <w:r w:rsidRPr="0031675F">
        <w:t>Online</w:t>
      </w:r>
      <w:r w:rsidRPr="0031675F">
        <w:rPr>
          <w:spacing w:val="-1"/>
        </w:rPr>
        <w:t xml:space="preserve"> Manual</w:t>
      </w:r>
      <w:r w:rsidRPr="0031675F">
        <w:rPr>
          <w:spacing w:val="1"/>
        </w:rPr>
        <w:t xml:space="preserve"> </w:t>
      </w:r>
      <w:r w:rsidRPr="0031675F">
        <w:t>= opens</w:t>
      </w:r>
      <w:r w:rsidRPr="0031675F">
        <w:rPr>
          <w:spacing w:val="-1"/>
        </w:rPr>
        <w:t xml:space="preserve"> manual</w:t>
      </w:r>
    </w:p>
    <w:p w14:paraId="588F8400" w14:textId="77777777" w:rsidR="0031675F" w:rsidRPr="0031675F" w:rsidRDefault="0031675F" w:rsidP="0031675F">
      <w:pPr>
        <w:widowControl w:val="0"/>
        <w:numPr>
          <w:ilvl w:val="0"/>
          <w:numId w:val="160"/>
        </w:numPr>
        <w:tabs>
          <w:tab w:val="left" w:pos="315"/>
        </w:tabs>
        <w:spacing w:before="9" w:after="0" w:line="240" w:lineRule="auto"/>
        <w:ind w:left="314" w:hanging="160"/>
      </w:pPr>
      <w:r w:rsidRPr="0031675F">
        <w:t>Sample</w:t>
      </w:r>
      <w:r w:rsidRPr="0031675F">
        <w:rPr>
          <w:spacing w:val="-3"/>
        </w:rPr>
        <w:t xml:space="preserve"> </w:t>
      </w:r>
      <w:r w:rsidRPr="0031675F">
        <w:t>Table</w:t>
      </w:r>
      <w:r w:rsidRPr="0031675F">
        <w:rPr>
          <w:spacing w:val="-2"/>
        </w:rPr>
        <w:t xml:space="preserve"> </w:t>
      </w:r>
      <w:r w:rsidRPr="0031675F">
        <w:t>Editor</w:t>
      </w:r>
      <w:r w:rsidRPr="0031675F">
        <w:rPr>
          <w:spacing w:val="-3"/>
        </w:rPr>
        <w:t xml:space="preserve"> </w:t>
      </w:r>
      <w:r w:rsidRPr="0031675F">
        <w:t>=</w:t>
      </w:r>
      <w:r w:rsidRPr="0031675F">
        <w:rPr>
          <w:spacing w:val="-1"/>
        </w:rPr>
        <w:t xml:space="preserve"> “Enter user name”</w:t>
      </w:r>
      <w:r w:rsidRPr="0031675F">
        <w:rPr>
          <w:spacing w:val="-2"/>
        </w:rPr>
        <w:t xml:space="preserve"> </w:t>
      </w:r>
      <w:r w:rsidRPr="0031675F">
        <w:rPr>
          <w:spacing w:val="-1"/>
        </w:rPr>
        <w:t xml:space="preserve">press </w:t>
      </w:r>
      <w:r w:rsidRPr="0031675F">
        <w:t>Ok.</w:t>
      </w:r>
    </w:p>
    <w:p w14:paraId="14C7E9B7" w14:textId="77777777" w:rsidR="0031675F" w:rsidRPr="0031675F" w:rsidRDefault="0031675F" w:rsidP="0031675F">
      <w:pPr>
        <w:widowControl w:val="0"/>
        <w:numPr>
          <w:ilvl w:val="0"/>
          <w:numId w:val="161"/>
        </w:numPr>
        <w:tabs>
          <w:tab w:val="left" w:pos="441"/>
        </w:tabs>
        <w:spacing w:before="9" w:after="0" w:line="240" w:lineRule="auto"/>
        <w:ind w:left="440" w:hanging="286"/>
      </w:pPr>
      <w:r w:rsidRPr="0031675F">
        <w:rPr>
          <w:spacing w:val="-1"/>
        </w:rPr>
        <w:t xml:space="preserve">Go into </w:t>
      </w:r>
      <w:r w:rsidRPr="0031675F">
        <w:t>Sample</w:t>
      </w:r>
      <w:r w:rsidRPr="0031675F">
        <w:rPr>
          <w:spacing w:val="-2"/>
        </w:rPr>
        <w:t xml:space="preserve"> </w:t>
      </w:r>
      <w:r w:rsidRPr="0031675F">
        <w:t>Table</w:t>
      </w:r>
      <w:r w:rsidRPr="0031675F">
        <w:rPr>
          <w:spacing w:val="-2"/>
        </w:rPr>
        <w:t xml:space="preserve"> </w:t>
      </w:r>
      <w:r w:rsidRPr="0031675F">
        <w:t>Editor</w:t>
      </w:r>
      <w:r w:rsidRPr="0031675F">
        <w:rPr>
          <w:spacing w:val="-2"/>
        </w:rPr>
        <w:t xml:space="preserve"> </w:t>
      </w:r>
      <w:r w:rsidRPr="0031675F">
        <w:rPr>
          <w:spacing w:val="-1"/>
        </w:rPr>
        <w:t>by pressing</w:t>
      </w:r>
      <w:r w:rsidRPr="0031675F">
        <w:t xml:space="preserve"> Ok</w:t>
      </w:r>
      <w:r w:rsidRPr="0031675F">
        <w:rPr>
          <w:spacing w:val="-2"/>
        </w:rPr>
        <w:t xml:space="preserve"> </w:t>
      </w:r>
      <w:r w:rsidRPr="0031675F">
        <w:rPr>
          <w:spacing w:val="-1"/>
        </w:rPr>
        <w:t>to “enter</w:t>
      </w:r>
      <w:r w:rsidRPr="0031675F">
        <w:t xml:space="preserve"> </w:t>
      </w:r>
      <w:r w:rsidRPr="0031675F">
        <w:rPr>
          <w:spacing w:val="-1"/>
        </w:rPr>
        <w:t>user name”.</w:t>
      </w:r>
    </w:p>
    <w:p w14:paraId="545DD2AB" w14:textId="77777777" w:rsidR="0031675F" w:rsidRPr="0031675F" w:rsidRDefault="0031675F" w:rsidP="0031675F">
      <w:pPr>
        <w:widowControl w:val="0"/>
        <w:numPr>
          <w:ilvl w:val="0"/>
          <w:numId w:val="161"/>
        </w:numPr>
        <w:tabs>
          <w:tab w:val="left" w:pos="441"/>
        </w:tabs>
        <w:spacing w:before="9" w:after="0" w:line="247" w:lineRule="auto"/>
        <w:ind w:right="405" w:firstLine="0"/>
      </w:pPr>
      <w:r w:rsidRPr="0031675F">
        <w:rPr>
          <w:spacing w:val="-1"/>
        </w:rPr>
        <w:t>Can either</w:t>
      </w:r>
      <w:r w:rsidRPr="0031675F">
        <w:rPr>
          <w:spacing w:val="1"/>
        </w:rPr>
        <w:t xml:space="preserve"> </w:t>
      </w:r>
      <w:r w:rsidRPr="0031675F">
        <w:t>open</w:t>
      </w:r>
      <w:r w:rsidRPr="0031675F">
        <w:rPr>
          <w:spacing w:val="-1"/>
        </w:rPr>
        <w:t xml:space="preserve"> an</w:t>
      </w:r>
      <w:r w:rsidRPr="0031675F">
        <w:t xml:space="preserve"> old</w:t>
      </w:r>
      <w:r w:rsidRPr="0031675F">
        <w:rPr>
          <w:spacing w:val="-2"/>
        </w:rPr>
        <w:t xml:space="preserve"> </w:t>
      </w:r>
      <w:r w:rsidRPr="0031675F">
        <w:rPr>
          <w:spacing w:val="-1"/>
        </w:rPr>
        <w:t>table</w:t>
      </w:r>
      <w:r w:rsidRPr="0031675F">
        <w:rPr>
          <w:spacing w:val="1"/>
        </w:rPr>
        <w:t xml:space="preserve"> </w:t>
      </w:r>
      <w:r w:rsidRPr="0031675F">
        <w:rPr>
          <w:spacing w:val="-1"/>
        </w:rPr>
        <w:t>to</w:t>
      </w:r>
      <w:r w:rsidRPr="0031675F">
        <w:t xml:space="preserve"> see</w:t>
      </w:r>
      <w:r w:rsidRPr="0031675F">
        <w:rPr>
          <w:spacing w:val="-1"/>
        </w:rPr>
        <w:t xml:space="preserve"> past</w:t>
      </w:r>
      <w:r w:rsidRPr="0031675F">
        <w:t xml:space="preserve"> results</w:t>
      </w:r>
      <w:r w:rsidRPr="0031675F">
        <w:rPr>
          <w:spacing w:val="-2"/>
        </w:rPr>
        <w:t xml:space="preserve"> </w:t>
      </w:r>
      <w:r w:rsidRPr="0031675F">
        <w:rPr>
          <w:spacing w:val="-1"/>
        </w:rPr>
        <w:t>by</w:t>
      </w:r>
      <w:r w:rsidRPr="0031675F">
        <w:t xml:space="preserve"> </w:t>
      </w:r>
      <w:r w:rsidRPr="0031675F">
        <w:rPr>
          <w:spacing w:val="-1"/>
        </w:rPr>
        <w:t>clicking</w:t>
      </w:r>
      <w:r w:rsidRPr="0031675F">
        <w:t xml:space="preserve"> on</w:t>
      </w:r>
      <w:r w:rsidRPr="0031675F">
        <w:rPr>
          <w:spacing w:val="-1"/>
        </w:rPr>
        <w:t xml:space="preserve"> the date</w:t>
      </w:r>
      <w:r w:rsidRPr="0031675F">
        <w:t xml:space="preserve"> </w:t>
      </w:r>
      <w:r w:rsidRPr="0031675F">
        <w:rPr>
          <w:spacing w:val="-1"/>
        </w:rPr>
        <w:t>under</w:t>
      </w:r>
      <w:r w:rsidRPr="0031675F">
        <w:rPr>
          <w:spacing w:val="20"/>
        </w:rPr>
        <w:t xml:space="preserve"> </w:t>
      </w:r>
      <w:r w:rsidRPr="0031675F">
        <w:rPr>
          <w:spacing w:val="-1"/>
        </w:rPr>
        <w:t>“Sample</w:t>
      </w:r>
      <w:r w:rsidRPr="0031675F">
        <w:t xml:space="preserve"> Table”</w:t>
      </w:r>
      <w:r w:rsidRPr="0031675F">
        <w:rPr>
          <w:spacing w:val="-1"/>
        </w:rPr>
        <w:t xml:space="preserve"> </w:t>
      </w:r>
      <w:r w:rsidRPr="0031675F">
        <w:t>or</w:t>
      </w:r>
      <w:r w:rsidRPr="0031675F">
        <w:rPr>
          <w:spacing w:val="-2"/>
        </w:rPr>
        <w:t xml:space="preserve"> </w:t>
      </w:r>
      <w:r w:rsidRPr="0031675F">
        <w:rPr>
          <w:spacing w:val="-1"/>
        </w:rPr>
        <w:t>Click</w:t>
      </w:r>
      <w:r w:rsidRPr="0031675F">
        <w:t xml:space="preserve"> </w:t>
      </w:r>
      <w:r w:rsidRPr="0031675F">
        <w:rPr>
          <w:spacing w:val="-1"/>
        </w:rPr>
        <w:t>the</w:t>
      </w:r>
      <w:r w:rsidRPr="0031675F">
        <w:t xml:space="preserve"> </w:t>
      </w:r>
      <w:r w:rsidRPr="0031675F">
        <w:rPr>
          <w:spacing w:val="-1"/>
        </w:rPr>
        <w:t>“New” tab.</w:t>
      </w:r>
    </w:p>
    <w:p w14:paraId="2E67C503" w14:textId="2D31428A" w:rsidR="0031675F" w:rsidRPr="0031675F" w:rsidRDefault="0031675F" w:rsidP="0031675F">
      <w:pPr>
        <w:widowControl w:val="0"/>
        <w:numPr>
          <w:ilvl w:val="0"/>
          <w:numId w:val="161"/>
        </w:numPr>
        <w:tabs>
          <w:tab w:val="left" w:pos="441"/>
        </w:tabs>
        <w:spacing w:before="0" w:after="0" w:line="247" w:lineRule="auto"/>
        <w:ind w:right="326" w:firstLine="0"/>
        <w:jc w:val="both"/>
      </w:pPr>
      <w:r w:rsidRPr="0031675F">
        <w:rPr>
          <w:spacing w:val="-1"/>
        </w:rPr>
        <w:t>Use</w:t>
      </w:r>
      <w:r w:rsidRPr="0031675F">
        <w:rPr>
          <w:spacing w:val="-2"/>
        </w:rPr>
        <w:t xml:space="preserve"> </w:t>
      </w:r>
      <w:r w:rsidRPr="0031675F">
        <w:rPr>
          <w:spacing w:val="-1"/>
        </w:rPr>
        <w:t xml:space="preserve">dropdown box to </w:t>
      </w:r>
      <w:r w:rsidRPr="0031675F">
        <w:t>select</w:t>
      </w:r>
      <w:r w:rsidRPr="0031675F">
        <w:rPr>
          <w:spacing w:val="-2"/>
        </w:rPr>
        <w:t xml:space="preserve"> </w:t>
      </w:r>
      <w:r w:rsidRPr="0031675F">
        <w:rPr>
          <w:spacing w:val="-1"/>
        </w:rPr>
        <w:t>“StdCat_Std</w:t>
      </w:r>
      <w:r w:rsidRPr="0031675F">
        <w:rPr>
          <w:spacing w:val="1"/>
        </w:rPr>
        <w:t xml:space="preserve"> </w:t>
      </w:r>
      <w:r w:rsidRPr="0031675F">
        <w:t>Syr_9</w:t>
      </w:r>
      <w:r w:rsidR="00BB13FD">
        <w:t xml:space="preserve"> </w:t>
      </w:r>
      <w:r w:rsidRPr="0031675F">
        <w:t>m</w:t>
      </w:r>
      <w:r w:rsidR="00BB13FD">
        <w:t>L</w:t>
      </w:r>
      <w:r w:rsidRPr="0031675F">
        <w:rPr>
          <w:spacing w:val="-3"/>
        </w:rPr>
        <w:t xml:space="preserve"> </w:t>
      </w:r>
      <w:r w:rsidRPr="0031675F">
        <w:rPr>
          <w:spacing w:val="-1"/>
        </w:rPr>
        <w:t>tubes.</w:t>
      </w:r>
      <w:r w:rsidRPr="0031675F">
        <w:t xml:space="preserve"> Table</w:t>
      </w:r>
      <w:r w:rsidRPr="0031675F">
        <w:rPr>
          <w:spacing w:val="-2"/>
        </w:rPr>
        <w:t xml:space="preserve"> </w:t>
      </w:r>
      <w:r w:rsidRPr="0031675F">
        <w:rPr>
          <w:spacing w:val="-1"/>
        </w:rPr>
        <w:t xml:space="preserve">type </w:t>
      </w:r>
      <w:r w:rsidRPr="0031675F">
        <w:t>=</w:t>
      </w:r>
      <w:r w:rsidRPr="0031675F">
        <w:rPr>
          <w:spacing w:val="-1"/>
        </w:rPr>
        <w:t xml:space="preserve"> normal,</w:t>
      </w:r>
      <w:r w:rsidRPr="0031675F">
        <w:rPr>
          <w:spacing w:val="27"/>
        </w:rPr>
        <w:t xml:space="preserve"> </w:t>
      </w:r>
      <w:r w:rsidRPr="0031675F">
        <w:rPr>
          <w:spacing w:val="-1"/>
        </w:rPr>
        <w:t>press “Ok”.</w:t>
      </w:r>
      <w:r w:rsidRPr="0031675F">
        <w:t xml:space="preserve"> A</w:t>
      </w:r>
      <w:r w:rsidRPr="0031675F">
        <w:rPr>
          <w:spacing w:val="-1"/>
        </w:rPr>
        <w:t xml:space="preserve"> </w:t>
      </w:r>
      <w:r w:rsidRPr="0031675F">
        <w:t>spreadsheet</w:t>
      </w:r>
      <w:r w:rsidRPr="0031675F">
        <w:rPr>
          <w:spacing w:val="-1"/>
        </w:rPr>
        <w:t xml:space="preserve"> will </w:t>
      </w:r>
      <w:r w:rsidRPr="0031675F">
        <w:t>open</w:t>
      </w:r>
      <w:r w:rsidRPr="0031675F">
        <w:rPr>
          <w:spacing w:val="-1"/>
        </w:rPr>
        <w:t xml:space="preserve"> up. Click</w:t>
      </w:r>
      <w:r w:rsidRPr="0031675F">
        <w:t xml:space="preserve"> on</w:t>
      </w:r>
      <w:r w:rsidRPr="0031675F">
        <w:rPr>
          <w:spacing w:val="-2"/>
        </w:rPr>
        <w:t xml:space="preserve"> </w:t>
      </w:r>
      <w:r w:rsidRPr="0031675F">
        <w:rPr>
          <w:spacing w:val="-1"/>
        </w:rPr>
        <w:t>“Insert”</w:t>
      </w:r>
      <w:r w:rsidRPr="0031675F">
        <w:rPr>
          <w:spacing w:val="1"/>
        </w:rPr>
        <w:t xml:space="preserve"> </w:t>
      </w:r>
      <w:r w:rsidRPr="0031675F">
        <w:rPr>
          <w:spacing w:val="-1"/>
        </w:rPr>
        <w:t>tab and</w:t>
      </w:r>
      <w:r w:rsidRPr="0031675F">
        <w:t xml:space="preserve"> </w:t>
      </w:r>
      <w:r w:rsidRPr="0031675F">
        <w:rPr>
          <w:spacing w:val="-1"/>
        </w:rPr>
        <w:t>then “Multiple</w:t>
      </w:r>
      <w:r w:rsidRPr="0031675F">
        <w:rPr>
          <w:spacing w:val="29"/>
        </w:rPr>
        <w:t xml:space="preserve"> </w:t>
      </w:r>
      <w:r w:rsidRPr="0031675F">
        <w:t>Samples”.</w:t>
      </w:r>
      <w:r w:rsidRPr="0031675F">
        <w:rPr>
          <w:spacing w:val="-2"/>
        </w:rPr>
        <w:t xml:space="preserve"> </w:t>
      </w:r>
      <w:r w:rsidRPr="0031675F">
        <w:rPr>
          <w:spacing w:val="-1"/>
        </w:rPr>
        <w:t>Under “Method”</w:t>
      </w:r>
      <w:r w:rsidRPr="0031675F">
        <w:t xml:space="preserve"> select</w:t>
      </w:r>
      <w:r w:rsidRPr="0031675F">
        <w:rPr>
          <w:spacing w:val="-2"/>
        </w:rPr>
        <w:t xml:space="preserve"> </w:t>
      </w:r>
      <w:r w:rsidRPr="0031675F">
        <w:rPr>
          <w:spacing w:val="-1"/>
        </w:rPr>
        <w:t>NPOCTNnorm9ml.met</w:t>
      </w:r>
      <w:r w:rsidRPr="0031675F">
        <w:rPr>
          <w:spacing w:val="1"/>
        </w:rPr>
        <w:t xml:space="preserve"> </w:t>
      </w:r>
      <w:r w:rsidRPr="0031675F">
        <w:rPr>
          <w:spacing w:val="-1"/>
        </w:rPr>
        <w:t>and press “Open”.</w:t>
      </w:r>
    </w:p>
    <w:p w14:paraId="5DFDC43A" w14:textId="77777777" w:rsidR="0031675F" w:rsidRPr="0031675F" w:rsidRDefault="0031675F" w:rsidP="0031675F">
      <w:pPr>
        <w:widowControl w:val="0"/>
        <w:numPr>
          <w:ilvl w:val="0"/>
          <w:numId w:val="161"/>
        </w:numPr>
        <w:tabs>
          <w:tab w:val="left" w:pos="441"/>
        </w:tabs>
        <w:spacing w:before="0" w:after="0" w:line="247" w:lineRule="auto"/>
        <w:ind w:right="405" w:firstLine="0"/>
      </w:pPr>
      <w:r w:rsidRPr="0031675F">
        <w:t>Press</w:t>
      </w:r>
      <w:r w:rsidRPr="0031675F">
        <w:rPr>
          <w:spacing w:val="-3"/>
        </w:rPr>
        <w:t xml:space="preserve"> </w:t>
      </w:r>
      <w:r w:rsidRPr="0031675F">
        <w:rPr>
          <w:spacing w:val="-1"/>
        </w:rPr>
        <w:t xml:space="preserve">“Next”. </w:t>
      </w:r>
      <w:r w:rsidRPr="0031675F">
        <w:t>Enter</w:t>
      </w:r>
      <w:r w:rsidRPr="0031675F">
        <w:rPr>
          <w:spacing w:val="-3"/>
        </w:rPr>
        <w:t xml:space="preserve"> </w:t>
      </w:r>
      <w:r w:rsidRPr="0031675F">
        <w:rPr>
          <w:spacing w:val="-1"/>
        </w:rPr>
        <w:t>number</w:t>
      </w:r>
      <w:r w:rsidRPr="0031675F">
        <w:t xml:space="preserve"> of</w:t>
      </w:r>
      <w:r w:rsidRPr="0031675F">
        <w:rPr>
          <w:spacing w:val="-3"/>
        </w:rPr>
        <w:t xml:space="preserve"> </w:t>
      </w:r>
      <w:r w:rsidRPr="0031675F">
        <w:t>samples</w:t>
      </w:r>
      <w:r w:rsidRPr="0031675F">
        <w:rPr>
          <w:spacing w:val="-3"/>
        </w:rPr>
        <w:t xml:space="preserve"> </w:t>
      </w:r>
      <w:r w:rsidRPr="0031675F">
        <w:rPr>
          <w:spacing w:val="-1"/>
        </w:rPr>
        <w:t>to be</w:t>
      </w:r>
      <w:r w:rsidRPr="0031675F">
        <w:rPr>
          <w:spacing w:val="-2"/>
        </w:rPr>
        <w:t xml:space="preserve"> </w:t>
      </w:r>
      <w:r w:rsidRPr="0031675F">
        <w:rPr>
          <w:spacing w:val="-1"/>
        </w:rPr>
        <w:t xml:space="preserve">analysed. </w:t>
      </w:r>
      <w:r w:rsidRPr="0031675F">
        <w:t>Press</w:t>
      </w:r>
      <w:r w:rsidRPr="0031675F">
        <w:rPr>
          <w:spacing w:val="-3"/>
        </w:rPr>
        <w:t xml:space="preserve"> </w:t>
      </w:r>
      <w:r w:rsidRPr="0031675F">
        <w:rPr>
          <w:spacing w:val="-1"/>
        </w:rPr>
        <w:t>“Finish”.</w:t>
      </w:r>
      <w:r w:rsidRPr="0031675F">
        <w:t xml:space="preserve"> Press</w:t>
      </w:r>
      <w:r w:rsidRPr="0031675F">
        <w:rPr>
          <w:spacing w:val="27"/>
          <w:w w:val="99"/>
        </w:rPr>
        <w:t xml:space="preserve"> </w:t>
      </w:r>
      <w:r w:rsidRPr="0031675F">
        <w:rPr>
          <w:spacing w:val="-1"/>
        </w:rPr>
        <w:t>“Ok” when</w:t>
      </w:r>
      <w:r w:rsidRPr="0031675F">
        <w:t xml:space="preserve"> </w:t>
      </w:r>
      <w:r w:rsidRPr="0031675F">
        <w:rPr>
          <w:spacing w:val="-1"/>
        </w:rPr>
        <w:t>the</w:t>
      </w:r>
      <w:r w:rsidRPr="0031675F">
        <w:t xml:space="preserve"> vial</w:t>
      </w:r>
      <w:r w:rsidRPr="0031675F">
        <w:rPr>
          <w:spacing w:val="-1"/>
        </w:rPr>
        <w:t xml:space="preserve"> </w:t>
      </w:r>
      <w:r w:rsidRPr="0031675F">
        <w:t>settings</w:t>
      </w:r>
      <w:r w:rsidRPr="0031675F">
        <w:rPr>
          <w:spacing w:val="-1"/>
        </w:rPr>
        <w:t xml:space="preserve"> bring</w:t>
      </w:r>
      <w:r w:rsidRPr="0031675F">
        <w:t xml:space="preserve"> </w:t>
      </w:r>
      <w:r w:rsidRPr="0031675F">
        <w:rPr>
          <w:spacing w:val="-1"/>
        </w:rPr>
        <w:t>up</w:t>
      </w:r>
      <w:r w:rsidRPr="0031675F">
        <w:t xml:space="preserve"> a</w:t>
      </w:r>
      <w:r w:rsidRPr="0031675F">
        <w:rPr>
          <w:spacing w:val="-1"/>
        </w:rPr>
        <w:t xml:space="preserve"> picture</w:t>
      </w:r>
      <w:r w:rsidRPr="0031675F">
        <w:t xml:space="preserve"> of</w:t>
      </w:r>
      <w:r w:rsidRPr="0031675F">
        <w:rPr>
          <w:spacing w:val="-1"/>
        </w:rPr>
        <w:t xml:space="preserve"> how</w:t>
      </w:r>
      <w:r w:rsidRPr="0031675F">
        <w:t xml:space="preserve"> </w:t>
      </w:r>
      <w:r w:rsidRPr="0031675F">
        <w:rPr>
          <w:spacing w:val="-1"/>
        </w:rPr>
        <w:t>the</w:t>
      </w:r>
      <w:r w:rsidRPr="0031675F">
        <w:t xml:space="preserve"> samples</w:t>
      </w:r>
      <w:r w:rsidRPr="0031675F">
        <w:rPr>
          <w:spacing w:val="-1"/>
        </w:rPr>
        <w:t xml:space="preserve"> will</w:t>
      </w:r>
      <w:r w:rsidRPr="0031675F">
        <w:t xml:space="preserve"> sit</w:t>
      </w:r>
      <w:r w:rsidRPr="0031675F">
        <w:rPr>
          <w:spacing w:val="-2"/>
        </w:rPr>
        <w:t xml:space="preserve"> </w:t>
      </w:r>
      <w:r w:rsidRPr="0031675F">
        <w:rPr>
          <w:spacing w:val="-1"/>
        </w:rPr>
        <w:t>in</w:t>
      </w:r>
      <w:r w:rsidRPr="0031675F">
        <w:t xml:space="preserve"> </w:t>
      </w:r>
      <w:r w:rsidRPr="0031675F">
        <w:rPr>
          <w:spacing w:val="-1"/>
        </w:rPr>
        <w:t>the</w:t>
      </w:r>
      <w:r w:rsidRPr="0031675F">
        <w:rPr>
          <w:spacing w:val="20"/>
        </w:rPr>
        <w:t xml:space="preserve"> </w:t>
      </w:r>
      <w:r w:rsidRPr="0031675F">
        <w:rPr>
          <w:spacing w:val="-1"/>
        </w:rPr>
        <w:t>autosampler.</w:t>
      </w:r>
    </w:p>
    <w:p w14:paraId="6B5DD17D" w14:textId="77777777" w:rsidR="0031675F" w:rsidRPr="0031675F" w:rsidRDefault="0031675F" w:rsidP="0031675F">
      <w:pPr>
        <w:widowControl w:val="0"/>
        <w:numPr>
          <w:ilvl w:val="0"/>
          <w:numId w:val="161"/>
        </w:numPr>
        <w:tabs>
          <w:tab w:val="left" w:pos="441"/>
        </w:tabs>
        <w:spacing w:before="0" w:after="0" w:line="247" w:lineRule="auto"/>
        <w:ind w:right="298" w:firstLine="0"/>
      </w:pPr>
      <w:r w:rsidRPr="0031675F">
        <w:t>Enter</w:t>
      </w:r>
      <w:r w:rsidRPr="0031675F">
        <w:rPr>
          <w:spacing w:val="-2"/>
        </w:rPr>
        <w:t xml:space="preserve"> </w:t>
      </w:r>
      <w:r w:rsidRPr="0031675F">
        <w:rPr>
          <w:spacing w:val="-1"/>
        </w:rPr>
        <w:t xml:space="preserve">the </w:t>
      </w:r>
      <w:r w:rsidRPr="0031675F">
        <w:t>sample</w:t>
      </w:r>
      <w:r w:rsidRPr="0031675F">
        <w:rPr>
          <w:spacing w:val="-2"/>
        </w:rPr>
        <w:t xml:space="preserve"> </w:t>
      </w:r>
      <w:r w:rsidRPr="0031675F">
        <w:rPr>
          <w:spacing w:val="-1"/>
        </w:rPr>
        <w:t>names</w:t>
      </w:r>
      <w:r w:rsidRPr="0031675F">
        <w:t xml:space="preserve"> from</w:t>
      </w:r>
      <w:r w:rsidRPr="0031675F">
        <w:rPr>
          <w:spacing w:val="-2"/>
        </w:rPr>
        <w:t xml:space="preserve"> </w:t>
      </w:r>
      <w:r w:rsidRPr="0031675F">
        <w:t>Row</w:t>
      </w:r>
      <w:r w:rsidRPr="0031675F">
        <w:rPr>
          <w:spacing w:val="-1"/>
        </w:rPr>
        <w:t xml:space="preserve"> </w:t>
      </w:r>
      <w:r w:rsidRPr="0031675F">
        <w:t xml:space="preserve">1 </w:t>
      </w:r>
      <w:r w:rsidRPr="0031675F">
        <w:rPr>
          <w:spacing w:val="-1"/>
        </w:rPr>
        <w:t xml:space="preserve">into the </w:t>
      </w:r>
      <w:r w:rsidRPr="0031675F">
        <w:t>Sample</w:t>
      </w:r>
      <w:r w:rsidRPr="0031675F">
        <w:rPr>
          <w:spacing w:val="-1"/>
        </w:rPr>
        <w:t xml:space="preserve"> </w:t>
      </w:r>
      <w:r w:rsidRPr="0031675F">
        <w:t>Table</w:t>
      </w:r>
      <w:r w:rsidRPr="0031675F">
        <w:rPr>
          <w:spacing w:val="-2"/>
        </w:rPr>
        <w:t xml:space="preserve"> </w:t>
      </w:r>
      <w:r w:rsidRPr="0031675F">
        <w:rPr>
          <w:spacing w:val="-1"/>
        </w:rPr>
        <w:t>in either</w:t>
      </w:r>
      <w:r w:rsidRPr="0031675F">
        <w:rPr>
          <w:spacing w:val="1"/>
        </w:rPr>
        <w:t xml:space="preserve"> </w:t>
      </w:r>
      <w:r w:rsidRPr="0031675F">
        <w:rPr>
          <w:spacing w:val="-1"/>
        </w:rPr>
        <w:t>the Name</w:t>
      </w:r>
      <w:r w:rsidRPr="0031675F">
        <w:rPr>
          <w:spacing w:val="27"/>
        </w:rPr>
        <w:t xml:space="preserve"> </w:t>
      </w:r>
      <w:r w:rsidRPr="0031675F">
        <w:t>or</w:t>
      </w:r>
      <w:r w:rsidRPr="0031675F">
        <w:rPr>
          <w:spacing w:val="-3"/>
        </w:rPr>
        <w:t xml:space="preserve"> </w:t>
      </w:r>
      <w:r w:rsidRPr="0031675F">
        <w:rPr>
          <w:spacing w:val="-1"/>
        </w:rPr>
        <w:t xml:space="preserve">ID </w:t>
      </w:r>
      <w:r w:rsidRPr="0031675F">
        <w:t>section.</w:t>
      </w:r>
    </w:p>
    <w:p w14:paraId="093AA23F" w14:textId="77777777" w:rsidR="0031675F" w:rsidRPr="0031675F" w:rsidRDefault="0031675F" w:rsidP="0031675F">
      <w:pPr>
        <w:widowControl w:val="0"/>
        <w:numPr>
          <w:ilvl w:val="0"/>
          <w:numId w:val="161"/>
        </w:numPr>
        <w:tabs>
          <w:tab w:val="left" w:pos="567"/>
        </w:tabs>
        <w:spacing w:before="0" w:after="0" w:line="247" w:lineRule="auto"/>
        <w:ind w:right="298" w:firstLine="0"/>
      </w:pPr>
      <w:r w:rsidRPr="0031675F">
        <w:rPr>
          <w:spacing w:val="-1"/>
        </w:rPr>
        <w:t>Connect</w:t>
      </w:r>
      <w:r w:rsidRPr="0031675F">
        <w:t xml:space="preserve"> </w:t>
      </w:r>
      <w:r w:rsidRPr="0031675F">
        <w:rPr>
          <w:spacing w:val="-1"/>
        </w:rPr>
        <w:t>the</w:t>
      </w:r>
      <w:r w:rsidRPr="0031675F">
        <w:t xml:space="preserve"> </w:t>
      </w:r>
      <w:r w:rsidRPr="0031675F">
        <w:rPr>
          <w:spacing w:val="-1"/>
        </w:rPr>
        <w:t>instrument</w:t>
      </w:r>
      <w:r w:rsidRPr="0031675F">
        <w:t xml:space="preserve"> </w:t>
      </w:r>
      <w:r w:rsidRPr="0031675F">
        <w:rPr>
          <w:spacing w:val="-1"/>
        </w:rPr>
        <w:t>by</w:t>
      </w:r>
      <w:r w:rsidRPr="0031675F">
        <w:t xml:space="preserve"> </w:t>
      </w:r>
      <w:r w:rsidRPr="0031675F">
        <w:rPr>
          <w:spacing w:val="-1"/>
        </w:rPr>
        <w:t>clicking</w:t>
      </w:r>
      <w:r w:rsidRPr="0031675F">
        <w:t xml:space="preserve"> </w:t>
      </w:r>
      <w:r w:rsidRPr="0031675F">
        <w:rPr>
          <w:spacing w:val="-1"/>
        </w:rPr>
        <w:t>the</w:t>
      </w:r>
      <w:r w:rsidRPr="0031675F">
        <w:t xml:space="preserve"> </w:t>
      </w:r>
      <w:r w:rsidRPr="0031675F">
        <w:rPr>
          <w:spacing w:val="-1"/>
        </w:rPr>
        <w:t>“Connect”</w:t>
      </w:r>
      <w:r w:rsidRPr="0031675F">
        <w:rPr>
          <w:spacing w:val="1"/>
        </w:rPr>
        <w:t xml:space="preserve"> </w:t>
      </w:r>
      <w:r w:rsidRPr="0031675F">
        <w:rPr>
          <w:spacing w:val="-1"/>
        </w:rPr>
        <w:t>button</w:t>
      </w:r>
      <w:r w:rsidRPr="0031675F">
        <w:t xml:space="preserve"> on</w:t>
      </w:r>
      <w:r w:rsidRPr="0031675F">
        <w:rPr>
          <w:spacing w:val="-1"/>
        </w:rPr>
        <w:t xml:space="preserve"> the</w:t>
      </w:r>
      <w:r w:rsidRPr="0031675F">
        <w:t xml:space="preserve"> </w:t>
      </w:r>
      <w:r w:rsidRPr="0031675F">
        <w:rPr>
          <w:spacing w:val="-1"/>
        </w:rPr>
        <w:t>top</w:t>
      </w:r>
      <w:r w:rsidRPr="0031675F">
        <w:t xml:space="preserve"> right</w:t>
      </w:r>
      <w:r w:rsidRPr="0031675F">
        <w:rPr>
          <w:spacing w:val="21"/>
        </w:rPr>
        <w:t xml:space="preserve"> </w:t>
      </w:r>
      <w:r w:rsidRPr="0031675F">
        <w:t>side.</w:t>
      </w:r>
      <w:r w:rsidRPr="0031675F">
        <w:rPr>
          <w:spacing w:val="-2"/>
        </w:rPr>
        <w:t xml:space="preserve"> </w:t>
      </w:r>
      <w:r w:rsidRPr="0031675F">
        <w:t>A sequence</w:t>
      </w:r>
      <w:r w:rsidRPr="0031675F">
        <w:rPr>
          <w:spacing w:val="-2"/>
        </w:rPr>
        <w:t xml:space="preserve"> </w:t>
      </w:r>
      <w:r w:rsidRPr="0031675F">
        <w:rPr>
          <w:spacing w:val="-1"/>
        </w:rPr>
        <w:t>box</w:t>
      </w:r>
      <w:r w:rsidRPr="0031675F">
        <w:t xml:space="preserve"> </w:t>
      </w:r>
      <w:r w:rsidRPr="0031675F">
        <w:rPr>
          <w:spacing w:val="-1"/>
        </w:rPr>
        <w:t>will</w:t>
      </w:r>
      <w:r w:rsidRPr="0031675F">
        <w:t xml:space="preserve"> </w:t>
      </w:r>
      <w:r w:rsidRPr="0031675F">
        <w:rPr>
          <w:spacing w:val="-1"/>
        </w:rPr>
        <w:t>come up</w:t>
      </w:r>
      <w:r w:rsidRPr="0031675F">
        <w:t xml:space="preserve"> on</w:t>
      </w:r>
      <w:r w:rsidRPr="0031675F">
        <w:rPr>
          <w:spacing w:val="-2"/>
        </w:rPr>
        <w:t xml:space="preserve"> </w:t>
      </w:r>
      <w:r w:rsidRPr="0031675F">
        <w:t>screen</w:t>
      </w:r>
      <w:r w:rsidRPr="0031675F">
        <w:rPr>
          <w:spacing w:val="-1"/>
        </w:rPr>
        <w:t xml:space="preserve"> and the</w:t>
      </w:r>
      <w:r w:rsidRPr="0031675F">
        <w:t xml:space="preserve"> </w:t>
      </w:r>
      <w:r w:rsidRPr="0031675F">
        <w:rPr>
          <w:spacing w:val="-1"/>
        </w:rPr>
        <w:t>instrument</w:t>
      </w:r>
      <w:r w:rsidRPr="0031675F">
        <w:t xml:space="preserve"> </w:t>
      </w:r>
      <w:r w:rsidRPr="0031675F">
        <w:rPr>
          <w:spacing w:val="-1"/>
        </w:rPr>
        <w:t>will initialize.</w:t>
      </w:r>
      <w:r w:rsidRPr="0031675F">
        <w:rPr>
          <w:spacing w:val="28"/>
        </w:rPr>
        <w:t xml:space="preserve"> </w:t>
      </w:r>
      <w:r w:rsidRPr="0031675F">
        <w:rPr>
          <w:spacing w:val="-1"/>
        </w:rPr>
        <w:t xml:space="preserve">When complete it will close the </w:t>
      </w:r>
      <w:r w:rsidRPr="0031675F">
        <w:t>sequence</w:t>
      </w:r>
      <w:r w:rsidRPr="0031675F">
        <w:rPr>
          <w:spacing w:val="-2"/>
        </w:rPr>
        <w:t xml:space="preserve"> </w:t>
      </w:r>
      <w:r w:rsidRPr="0031675F">
        <w:rPr>
          <w:spacing w:val="-1"/>
        </w:rPr>
        <w:t xml:space="preserve">box. </w:t>
      </w:r>
      <w:r w:rsidRPr="0031675F">
        <w:t>The</w:t>
      </w:r>
      <w:r w:rsidRPr="0031675F">
        <w:rPr>
          <w:spacing w:val="-2"/>
        </w:rPr>
        <w:t xml:space="preserve"> </w:t>
      </w:r>
      <w:r w:rsidRPr="0031675F">
        <w:t>status</w:t>
      </w:r>
      <w:r w:rsidRPr="0031675F">
        <w:rPr>
          <w:spacing w:val="-2"/>
        </w:rPr>
        <w:t xml:space="preserve"> </w:t>
      </w:r>
      <w:r w:rsidRPr="0031675F">
        <w:rPr>
          <w:spacing w:val="-1"/>
        </w:rPr>
        <w:t xml:space="preserve">box at the bottom </w:t>
      </w:r>
      <w:r w:rsidRPr="0031675F">
        <w:t>left</w:t>
      </w:r>
      <w:r w:rsidRPr="0031675F">
        <w:rPr>
          <w:spacing w:val="23"/>
        </w:rPr>
        <w:t xml:space="preserve"> </w:t>
      </w:r>
      <w:r w:rsidRPr="0031675F">
        <w:rPr>
          <w:spacing w:val="-1"/>
        </w:rPr>
        <w:t>corner</w:t>
      </w:r>
      <w:r w:rsidRPr="0031675F">
        <w:rPr>
          <w:spacing w:val="-3"/>
        </w:rPr>
        <w:t xml:space="preserve"> </w:t>
      </w:r>
      <w:r w:rsidRPr="0031675F">
        <w:rPr>
          <w:spacing w:val="-1"/>
        </w:rPr>
        <w:t>will</w:t>
      </w:r>
      <w:r w:rsidRPr="0031675F">
        <w:rPr>
          <w:spacing w:val="-2"/>
        </w:rPr>
        <w:t xml:space="preserve"> </w:t>
      </w:r>
      <w:r w:rsidRPr="0031675F">
        <w:t>show</w:t>
      </w:r>
      <w:r w:rsidRPr="0031675F">
        <w:rPr>
          <w:spacing w:val="-4"/>
        </w:rPr>
        <w:t xml:space="preserve"> </w:t>
      </w:r>
      <w:r w:rsidRPr="0031675F">
        <w:rPr>
          <w:spacing w:val="-1"/>
        </w:rPr>
        <w:t>the</w:t>
      </w:r>
      <w:r w:rsidRPr="0031675F">
        <w:rPr>
          <w:spacing w:val="-2"/>
        </w:rPr>
        <w:t xml:space="preserve"> </w:t>
      </w:r>
      <w:r w:rsidRPr="0031675F">
        <w:t>sequence</w:t>
      </w:r>
      <w:r w:rsidRPr="0031675F">
        <w:rPr>
          <w:spacing w:val="-4"/>
        </w:rPr>
        <w:t xml:space="preserve"> </w:t>
      </w:r>
      <w:r w:rsidRPr="0031675F">
        <w:t>of</w:t>
      </w:r>
      <w:r w:rsidRPr="0031675F">
        <w:rPr>
          <w:spacing w:val="-3"/>
        </w:rPr>
        <w:t xml:space="preserve"> </w:t>
      </w:r>
      <w:r w:rsidRPr="0031675F">
        <w:rPr>
          <w:spacing w:val="-1"/>
        </w:rPr>
        <w:t>events.</w:t>
      </w:r>
    </w:p>
    <w:p w14:paraId="296F0BDA" w14:textId="54343788" w:rsidR="0031675F" w:rsidRPr="0031675F" w:rsidRDefault="0031675F" w:rsidP="0031675F">
      <w:pPr>
        <w:widowControl w:val="0"/>
        <w:numPr>
          <w:ilvl w:val="0"/>
          <w:numId w:val="161"/>
        </w:numPr>
        <w:tabs>
          <w:tab w:val="left" w:pos="567"/>
        </w:tabs>
        <w:spacing w:before="0" w:after="0" w:line="247" w:lineRule="auto"/>
        <w:ind w:right="447" w:firstLine="0"/>
      </w:pPr>
      <w:r w:rsidRPr="0031675F">
        <w:rPr>
          <w:spacing w:val="-1"/>
        </w:rPr>
        <w:t xml:space="preserve">Click </w:t>
      </w:r>
      <w:r w:rsidRPr="0031675F">
        <w:t>on</w:t>
      </w:r>
      <w:r w:rsidRPr="0031675F">
        <w:rPr>
          <w:spacing w:val="-2"/>
        </w:rPr>
        <w:t xml:space="preserve"> </w:t>
      </w:r>
      <w:r w:rsidRPr="0031675F">
        <w:rPr>
          <w:spacing w:val="-1"/>
        </w:rPr>
        <w:t>the</w:t>
      </w:r>
      <w:r w:rsidRPr="0031675F">
        <w:t xml:space="preserve"> </w:t>
      </w:r>
      <w:r w:rsidRPr="0031675F">
        <w:rPr>
          <w:spacing w:val="-1"/>
        </w:rPr>
        <w:t>“monitor”</w:t>
      </w:r>
      <w:r w:rsidRPr="0031675F">
        <w:t xml:space="preserve"> </w:t>
      </w:r>
      <w:r w:rsidRPr="0031675F">
        <w:rPr>
          <w:spacing w:val="-1"/>
        </w:rPr>
        <w:t>tab</w:t>
      </w:r>
      <w:r w:rsidRPr="0031675F">
        <w:t xml:space="preserve"> </w:t>
      </w:r>
      <w:r w:rsidRPr="0031675F">
        <w:rPr>
          <w:spacing w:val="-1"/>
        </w:rPr>
        <w:t xml:space="preserve">to </w:t>
      </w:r>
      <w:r w:rsidRPr="0031675F">
        <w:t>show</w:t>
      </w:r>
      <w:r w:rsidRPr="0031675F">
        <w:rPr>
          <w:spacing w:val="-1"/>
        </w:rPr>
        <w:t xml:space="preserve"> current temperatures</w:t>
      </w:r>
      <w:r w:rsidRPr="0031675F">
        <w:rPr>
          <w:spacing w:val="2"/>
        </w:rPr>
        <w:t xml:space="preserve"> </w:t>
      </w:r>
      <w:r w:rsidRPr="0031675F">
        <w:rPr>
          <w:spacing w:val="-1"/>
        </w:rPr>
        <w:t>and pressures.</w:t>
      </w:r>
      <w:r w:rsidRPr="0031675F">
        <w:rPr>
          <w:spacing w:val="28"/>
        </w:rPr>
        <w:t xml:space="preserve"> </w:t>
      </w:r>
      <w:r w:rsidRPr="0031675F">
        <w:rPr>
          <w:spacing w:val="-1"/>
        </w:rPr>
        <w:t>Check</w:t>
      </w:r>
      <w:r w:rsidRPr="0031675F">
        <w:t xml:space="preserve"> </w:t>
      </w:r>
      <w:r w:rsidRPr="0031675F">
        <w:rPr>
          <w:spacing w:val="-1"/>
        </w:rPr>
        <w:t>that</w:t>
      </w:r>
      <w:r w:rsidRPr="0031675F">
        <w:t xml:space="preserve"> </w:t>
      </w:r>
      <w:r w:rsidRPr="0031675F">
        <w:rPr>
          <w:spacing w:val="-1"/>
        </w:rPr>
        <w:t>you</w:t>
      </w:r>
      <w:r w:rsidRPr="0031675F">
        <w:t xml:space="preserve"> </w:t>
      </w:r>
      <w:r w:rsidRPr="0031675F">
        <w:rPr>
          <w:spacing w:val="-1"/>
        </w:rPr>
        <w:t>have</w:t>
      </w:r>
      <w:r w:rsidRPr="0031675F">
        <w:t xml:space="preserve"> </w:t>
      </w:r>
      <w:r w:rsidRPr="0031675F">
        <w:rPr>
          <w:spacing w:val="-1"/>
        </w:rPr>
        <w:t>enough</w:t>
      </w:r>
      <w:r w:rsidRPr="0031675F">
        <w:rPr>
          <w:spacing w:val="1"/>
        </w:rPr>
        <w:t xml:space="preserve"> </w:t>
      </w:r>
      <w:r w:rsidRPr="0031675F">
        <w:t xml:space="preserve">gas </w:t>
      </w:r>
      <w:r w:rsidRPr="0031675F">
        <w:rPr>
          <w:spacing w:val="-1"/>
        </w:rPr>
        <w:t>in</w:t>
      </w:r>
      <w:r w:rsidRPr="0031675F">
        <w:t xml:space="preserve"> </w:t>
      </w:r>
      <w:r w:rsidRPr="0031675F">
        <w:rPr>
          <w:spacing w:val="-1"/>
        </w:rPr>
        <w:t>the</w:t>
      </w:r>
      <w:r w:rsidRPr="0031675F">
        <w:t xml:space="preserve"> </w:t>
      </w:r>
      <w:r w:rsidRPr="0031675F">
        <w:rPr>
          <w:spacing w:val="-1"/>
        </w:rPr>
        <w:t>cylinders.</w:t>
      </w:r>
      <w:r w:rsidRPr="0031675F">
        <w:t xml:space="preserve"> Temperature</w:t>
      </w:r>
      <w:r w:rsidRPr="0031675F">
        <w:rPr>
          <w:spacing w:val="-2"/>
        </w:rPr>
        <w:t xml:space="preserve"> </w:t>
      </w:r>
      <w:r w:rsidRPr="0031675F">
        <w:t>should</w:t>
      </w:r>
      <w:r w:rsidRPr="0031675F">
        <w:rPr>
          <w:spacing w:val="-1"/>
        </w:rPr>
        <w:t xml:space="preserve"> be</w:t>
      </w:r>
      <w:r w:rsidRPr="0031675F">
        <w:t xml:space="preserve"> </w:t>
      </w:r>
      <w:r w:rsidRPr="0031675F">
        <w:rPr>
          <w:spacing w:val="-1"/>
        </w:rPr>
        <w:t>either</w:t>
      </w:r>
      <w:r w:rsidRPr="0031675F">
        <w:rPr>
          <w:spacing w:val="29"/>
        </w:rPr>
        <w:t xml:space="preserve"> </w:t>
      </w:r>
      <w:r w:rsidRPr="0031675F">
        <w:rPr>
          <w:spacing w:val="-1"/>
        </w:rPr>
        <w:t xml:space="preserve">680 </w:t>
      </w:r>
      <w:r w:rsidRPr="0031675F">
        <w:t>or</w:t>
      </w:r>
      <w:r w:rsidRPr="0031675F">
        <w:rPr>
          <w:spacing w:val="-2"/>
        </w:rPr>
        <w:t xml:space="preserve"> </w:t>
      </w:r>
      <w:r w:rsidRPr="0031675F">
        <w:rPr>
          <w:spacing w:val="-1"/>
        </w:rPr>
        <w:t>720</w:t>
      </w:r>
      <w:r w:rsidRPr="0031675F">
        <w:t xml:space="preserve"> </w:t>
      </w:r>
      <w:r w:rsidRPr="0031675F">
        <w:rPr>
          <w:spacing w:val="-1"/>
        </w:rPr>
        <w:t xml:space="preserve">depending </w:t>
      </w:r>
      <w:r w:rsidRPr="0031675F">
        <w:t>on</w:t>
      </w:r>
      <w:r w:rsidRPr="0031675F">
        <w:rPr>
          <w:spacing w:val="-2"/>
        </w:rPr>
        <w:t xml:space="preserve"> </w:t>
      </w:r>
      <w:r w:rsidRPr="0031675F">
        <w:rPr>
          <w:spacing w:val="-1"/>
        </w:rPr>
        <w:t>your</w:t>
      </w:r>
      <w:r w:rsidRPr="0031675F">
        <w:t xml:space="preserve"> </w:t>
      </w:r>
      <w:r w:rsidRPr="0031675F">
        <w:rPr>
          <w:spacing w:val="-1"/>
        </w:rPr>
        <w:t>method. Instrument</w:t>
      </w:r>
      <w:r w:rsidRPr="0031675F">
        <w:t xml:space="preserve"> </w:t>
      </w:r>
      <w:r w:rsidRPr="0031675F">
        <w:rPr>
          <w:spacing w:val="-1"/>
        </w:rPr>
        <w:t>will</w:t>
      </w:r>
      <w:r w:rsidRPr="0031675F">
        <w:t xml:space="preserve"> </w:t>
      </w:r>
      <w:r w:rsidRPr="0031675F">
        <w:rPr>
          <w:spacing w:val="-1"/>
        </w:rPr>
        <w:t xml:space="preserve">not </w:t>
      </w:r>
      <w:r w:rsidRPr="0031675F">
        <w:t>start</w:t>
      </w:r>
      <w:r w:rsidRPr="0031675F">
        <w:rPr>
          <w:spacing w:val="-1"/>
        </w:rPr>
        <w:t xml:space="preserve"> unless</w:t>
      </w:r>
      <w:r w:rsidRPr="0031675F">
        <w:rPr>
          <w:spacing w:val="28"/>
        </w:rPr>
        <w:t xml:space="preserve"> </w:t>
      </w:r>
      <w:r w:rsidRPr="0031675F">
        <w:rPr>
          <w:spacing w:val="-1"/>
        </w:rPr>
        <w:t>parameters</w:t>
      </w:r>
      <w:r w:rsidRPr="0031675F">
        <w:t xml:space="preserve"> </w:t>
      </w:r>
      <w:r w:rsidRPr="0031675F">
        <w:rPr>
          <w:spacing w:val="-1"/>
        </w:rPr>
        <w:t>are</w:t>
      </w:r>
      <w:r w:rsidRPr="0031675F">
        <w:t xml:space="preserve"> </w:t>
      </w:r>
      <w:r w:rsidRPr="0031675F">
        <w:rPr>
          <w:spacing w:val="-1"/>
        </w:rPr>
        <w:t>met.</w:t>
      </w:r>
      <w:r w:rsidRPr="0031675F">
        <w:t xml:space="preserve"> Supply</w:t>
      </w:r>
      <w:r w:rsidRPr="0031675F">
        <w:rPr>
          <w:spacing w:val="-1"/>
        </w:rPr>
        <w:t xml:space="preserve"> pressure</w:t>
      </w:r>
      <w:r w:rsidRPr="0031675F">
        <w:t xml:space="preserve"> should</w:t>
      </w:r>
      <w:r w:rsidRPr="0031675F">
        <w:rPr>
          <w:spacing w:val="-1"/>
        </w:rPr>
        <w:t xml:space="preserve"> be</w:t>
      </w:r>
      <w:r w:rsidRPr="0031675F">
        <w:t xml:space="preserve"> </w:t>
      </w:r>
      <w:r w:rsidRPr="0031675F">
        <w:rPr>
          <w:spacing w:val="-1"/>
        </w:rPr>
        <w:t>minimum</w:t>
      </w:r>
      <w:r w:rsidRPr="0031675F">
        <w:t xml:space="preserve"> </w:t>
      </w:r>
      <w:r w:rsidRPr="0031675F">
        <w:rPr>
          <w:spacing w:val="-1"/>
        </w:rPr>
        <w:t>150</w:t>
      </w:r>
      <w:r w:rsidRPr="0031675F">
        <w:t xml:space="preserve"> </w:t>
      </w:r>
      <w:r w:rsidRPr="0031675F">
        <w:rPr>
          <w:spacing w:val="-1"/>
        </w:rPr>
        <w:t>m</w:t>
      </w:r>
      <w:r w:rsidR="00BB13FD">
        <w:rPr>
          <w:spacing w:val="-1"/>
        </w:rPr>
        <w:t xml:space="preserve">L </w:t>
      </w:r>
      <w:r w:rsidRPr="0031675F">
        <w:rPr>
          <w:spacing w:val="-1"/>
        </w:rPr>
        <w:t>min</w:t>
      </w:r>
      <w:r w:rsidR="00BB13FD" w:rsidRPr="00BB13FD">
        <w:rPr>
          <w:spacing w:val="-1"/>
          <w:vertAlign w:val="superscript"/>
        </w:rPr>
        <w:t>-1</w:t>
      </w:r>
      <w:r w:rsidRPr="0031675F">
        <w:rPr>
          <w:spacing w:val="-1"/>
        </w:rPr>
        <w:t>.</w:t>
      </w:r>
    </w:p>
    <w:p w14:paraId="2426702E" w14:textId="77777777" w:rsidR="0031675F" w:rsidRPr="0031675F" w:rsidRDefault="0031675F" w:rsidP="0031675F">
      <w:pPr>
        <w:widowControl w:val="0"/>
        <w:numPr>
          <w:ilvl w:val="0"/>
          <w:numId w:val="161"/>
        </w:numPr>
        <w:tabs>
          <w:tab w:val="left" w:pos="567"/>
        </w:tabs>
        <w:spacing w:before="0" w:after="0" w:line="247" w:lineRule="auto"/>
        <w:ind w:right="151" w:firstLine="0"/>
      </w:pPr>
      <w:r w:rsidRPr="0031675F">
        <w:rPr>
          <w:spacing w:val="-1"/>
        </w:rPr>
        <w:t>When instrument</w:t>
      </w:r>
      <w:r w:rsidRPr="0031675F">
        <w:t xml:space="preserve"> </w:t>
      </w:r>
      <w:r w:rsidRPr="0031675F">
        <w:rPr>
          <w:spacing w:val="-1"/>
        </w:rPr>
        <w:t>is</w:t>
      </w:r>
      <w:r w:rsidRPr="0031675F">
        <w:t xml:space="preserve"> </w:t>
      </w:r>
      <w:r w:rsidRPr="0031675F">
        <w:rPr>
          <w:spacing w:val="-1"/>
        </w:rPr>
        <w:t>at</w:t>
      </w:r>
      <w:r w:rsidRPr="0031675F">
        <w:t xml:space="preserve"> </w:t>
      </w:r>
      <w:r w:rsidRPr="0031675F">
        <w:rPr>
          <w:spacing w:val="-1"/>
        </w:rPr>
        <w:t>correct</w:t>
      </w:r>
      <w:r w:rsidRPr="0031675F">
        <w:t xml:space="preserve"> </w:t>
      </w:r>
      <w:r w:rsidRPr="0031675F">
        <w:rPr>
          <w:spacing w:val="-1"/>
        </w:rPr>
        <w:t>temperature</w:t>
      </w:r>
      <w:r w:rsidRPr="0031675F">
        <w:rPr>
          <w:spacing w:val="2"/>
        </w:rPr>
        <w:t xml:space="preserve"> </w:t>
      </w:r>
      <w:r w:rsidRPr="0031675F">
        <w:rPr>
          <w:spacing w:val="-1"/>
        </w:rPr>
        <w:t>click the</w:t>
      </w:r>
      <w:r w:rsidRPr="0031675F">
        <w:t xml:space="preserve"> </w:t>
      </w:r>
      <w:r w:rsidRPr="0031675F">
        <w:rPr>
          <w:spacing w:val="-1"/>
        </w:rPr>
        <w:t>“Start”</w:t>
      </w:r>
      <w:r w:rsidRPr="0031675F">
        <w:rPr>
          <w:spacing w:val="1"/>
        </w:rPr>
        <w:t xml:space="preserve"> </w:t>
      </w:r>
      <w:r w:rsidRPr="0031675F">
        <w:rPr>
          <w:spacing w:val="-1"/>
        </w:rPr>
        <w:t>button</w:t>
      </w:r>
      <w:r w:rsidRPr="0031675F">
        <w:t xml:space="preserve"> </w:t>
      </w:r>
      <w:r w:rsidRPr="0031675F">
        <w:rPr>
          <w:spacing w:val="-1"/>
        </w:rPr>
        <w:t>at</w:t>
      </w:r>
      <w:r w:rsidRPr="0031675F">
        <w:t xml:space="preserve"> </w:t>
      </w:r>
      <w:r w:rsidRPr="0031675F">
        <w:rPr>
          <w:spacing w:val="-1"/>
        </w:rPr>
        <w:t>top</w:t>
      </w:r>
      <w:r w:rsidRPr="0031675F">
        <w:rPr>
          <w:spacing w:val="22"/>
        </w:rPr>
        <w:t xml:space="preserve"> </w:t>
      </w:r>
      <w:r w:rsidRPr="0031675F">
        <w:t>right</w:t>
      </w:r>
      <w:r w:rsidRPr="0031675F">
        <w:rPr>
          <w:spacing w:val="-2"/>
        </w:rPr>
        <w:t xml:space="preserve"> </w:t>
      </w:r>
      <w:r w:rsidRPr="0031675F">
        <w:t>of</w:t>
      </w:r>
      <w:r w:rsidRPr="0031675F">
        <w:rPr>
          <w:spacing w:val="-2"/>
        </w:rPr>
        <w:t xml:space="preserve"> </w:t>
      </w:r>
      <w:r w:rsidRPr="0031675F">
        <w:t>screen.</w:t>
      </w:r>
      <w:r w:rsidRPr="0031675F">
        <w:rPr>
          <w:spacing w:val="-1"/>
        </w:rPr>
        <w:t xml:space="preserve"> Make </w:t>
      </w:r>
      <w:r w:rsidRPr="0031675F">
        <w:t>sure</w:t>
      </w:r>
      <w:r w:rsidRPr="0031675F">
        <w:rPr>
          <w:spacing w:val="-1"/>
        </w:rPr>
        <w:t xml:space="preserve"> </w:t>
      </w:r>
      <w:r w:rsidRPr="0031675F">
        <w:t>samples</w:t>
      </w:r>
      <w:r w:rsidRPr="0031675F">
        <w:rPr>
          <w:spacing w:val="-2"/>
        </w:rPr>
        <w:t xml:space="preserve"> </w:t>
      </w:r>
      <w:r w:rsidRPr="0031675F">
        <w:rPr>
          <w:spacing w:val="-1"/>
        </w:rPr>
        <w:t xml:space="preserve">are </w:t>
      </w:r>
      <w:r w:rsidRPr="0031675F">
        <w:t>loaded</w:t>
      </w:r>
      <w:r w:rsidRPr="0031675F">
        <w:rPr>
          <w:spacing w:val="-1"/>
        </w:rPr>
        <w:t xml:space="preserve"> into auto</w:t>
      </w:r>
      <w:r w:rsidRPr="0031675F">
        <w:t xml:space="preserve"> sampler</w:t>
      </w:r>
      <w:r w:rsidRPr="0031675F">
        <w:rPr>
          <w:spacing w:val="-2"/>
        </w:rPr>
        <w:t xml:space="preserve"> </w:t>
      </w:r>
      <w:r w:rsidRPr="0031675F">
        <w:rPr>
          <w:spacing w:val="-1"/>
        </w:rPr>
        <w:t>and</w:t>
      </w:r>
      <w:r w:rsidRPr="0031675F">
        <w:t xml:space="preserve"> </w:t>
      </w:r>
      <w:r w:rsidRPr="0031675F">
        <w:rPr>
          <w:spacing w:val="-1"/>
        </w:rPr>
        <w:t xml:space="preserve">the </w:t>
      </w:r>
      <w:r w:rsidRPr="0031675F">
        <w:t>ASI</w:t>
      </w:r>
      <w:r w:rsidRPr="0031675F">
        <w:rPr>
          <w:spacing w:val="-2"/>
        </w:rPr>
        <w:t xml:space="preserve"> </w:t>
      </w:r>
      <w:r w:rsidRPr="0031675F">
        <w:rPr>
          <w:spacing w:val="-1"/>
        </w:rPr>
        <w:t>cover</w:t>
      </w:r>
      <w:r w:rsidRPr="0031675F">
        <w:rPr>
          <w:spacing w:val="26"/>
          <w:w w:val="99"/>
        </w:rPr>
        <w:t xml:space="preserve"> </w:t>
      </w:r>
      <w:r w:rsidRPr="0031675F">
        <w:rPr>
          <w:spacing w:val="-1"/>
        </w:rPr>
        <w:t>is</w:t>
      </w:r>
      <w:r w:rsidRPr="0031675F">
        <w:rPr>
          <w:spacing w:val="-2"/>
        </w:rPr>
        <w:t xml:space="preserve"> </w:t>
      </w:r>
      <w:r w:rsidRPr="0031675F">
        <w:rPr>
          <w:spacing w:val="-1"/>
        </w:rPr>
        <w:t>closed.</w:t>
      </w:r>
    </w:p>
    <w:p w14:paraId="71AA6136" w14:textId="77777777" w:rsidR="0031675F" w:rsidRPr="0031675F" w:rsidRDefault="0031675F" w:rsidP="0031675F">
      <w:pPr>
        <w:widowControl w:val="0"/>
        <w:numPr>
          <w:ilvl w:val="0"/>
          <w:numId w:val="161"/>
        </w:numPr>
        <w:tabs>
          <w:tab w:val="left" w:pos="567"/>
        </w:tabs>
        <w:spacing w:before="0" w:after="0" w:line="247" w:lineRule="auto"/>
        <w:ind w:right="681" w:firstLine="0"/>
      </w:pPr>
      <w:r w:rsidRPr="0031675F">
        <w:t>The</w:t>
      </w:r>
      <w:r w:rsidRPr="0031675F">
        <w:rPr>
          <w:spacing w:val="-2"/>
        </w:rPr>
        <w:t xml:space="preserve"> </w:t>
      </w:r>
      <w:r w:rsidRPr="0031675F">
        <w:t>screen</w:t>
      </w:r>
      <w:r w:rsidRPr="0031675F">
        <w:rPr>
          <w:spacing w:val="-1"/>
        </w:rPr>
        <w:t xml:space="preserve"> will</w:t>
      </w:r>
      <w:r w:rsidRPr="0031675F">
        <w:t xml:space="preserve"> </w:t>
      </w:r>
      <w:r w:rsidRPr="0031675F">
        <w:rPr>
          <w:spacing w:val="-1"/>
        </w:rPr>
        <w:t>bring up</w:t>
      </w:r>
      <w:r w:rsidRPr="0031675F">
        <w:t xml:space="preserve"> </w:t>
      </w:r>
      <w:r w:rsidRPr="0031675F">
        <w:rPr>
          <w:spacing w:val="-1"/>
        </w:rPr>
        <w:t>“Save</w:t>
      </w:r>
      <w:r w:rsidRPr="0031675F">
        <w:t xml:space="preserve"> As file”</w:t>
      </w:r>
      <w:r w:rsidRPr="0031675F">
        <w:rPr>
          <w:spacing w:val="-2"/>
        </w:rPr>
        <w:t xml:space="preserve"> </w:t>
      </w:r>
      <w:r w:rsidRPr="0031675F">
        <w:t xml:space="preserve">– </w:t>
      </w:r>
      <w:r w:rsidRPr="0031675F">
        <w:rPr>
          <w:spacing w:val="-1"/>
        </w:rPr>
        <w:t>enter</w:t>
      </w:r>
      <w:r w:rsidRPr="0031675F">
        <w:t xml:space="preserve"> or</w:t>
      </w:r>
      <w:r w:rsidRPr="0031675F">
        <w:rPr>
          <w:spacing w:val="-2"/>
        </w:rPr>
        <w:t xml:space="preserve"> </w:t>
      </w:r>
      <w:r w:rsidRPr="0031675F">
        <w:t>save</w:t>
      </w:r>
      <w:r w:rsidRPr="0031675F">
        <w:rPr>
          <w:spacing w:val="-1"/>
        </w:rPr>
        <w:t xml:space="preserve"> the</w:t>
      </w:r>
      <w:r w:rsidRPr="0031675F">
        <w:t xml:space="preserve"> </w:t>
      </w:r>
      <w:r w:rsidRPr="0031675F">
        <w:rPr>
          <w:spacing w:val="-1"/>
        </w:rPr>
        <w:t>date as</w:t>
      </w:r>
      <w:r w:rsidRPr="0031675F">
        <w:t xml:space="preserve"> </w:t>
      </w:r>
      <w:r w:rsidRPr="0031675F">
        <w:rPr>
          <w:spacing w:val="-1"/>
        </w:rPr>
        <w:t>the</w:t>
      </w:r>
      <w:r w:rsidRPr="0031675F">
        <w:t xml:space="preserve"> file</w:t>
      </w:r>
      <w:r w:rsidRPr="0031675F">
        <w:rPr>
          <w:spacing w:val="30"/>
        </w:rPr>
        <w:t xml:space="preserve"> </w:t>
      </w:r>
      <w:r w:rsidRPr="0031675F">
        <w:rPr>
          <w:spacing w:val="-1"/>
        </w:rPr>
        <w:t>name.</w:t>
      </w:r>
    </w:p>
    <w:p w14:paraId="30603FEA" w14:textId="77777777" w:rsidR="0031675F" w:rsidRPr="0031675F" w:rsidRDefault="0031675F" w:rsidP="0031675F">
      <w:pPr>
        <w:widowControl w:val="0"/>
        <w:numPr>
          <w:ilvl w:val="0"/>
          <w:numId w:val="161"/>
        </w:numPr>
        <w:tabs>
          <w:tab w:val="left" w:pos="567"/>
        </w:tabs>
        <w:spacing w:before="0" w:after="0" w:line="247" w:lineRule="auto"/>
        <w:ind w:right="681" w:firstLine="0"/>
      </w:pPr>
      <w:r w:rsidRPr="0031675F">
        <w:t>A</w:t>
      </w:r>
      <w:r w:rsidRPr="0031675F">
        <w:rPr>
          <w:spacing w:val="-1"/>
        </w:rPr>
        <w:t xml:space="preserve"> “Measurement</w:t>
      </w:r>
      <w:r w:rsidRPr="0031675F">
        <w:rPr>
          <w:spacing w:val="2"/>
        </w:rPr>
        <w:t xml:space="preserve"> </w:t>
      </w:r>
      <w:r w:rsidRPr="0031675F">
        <w:t>Start”</w:t>
      </w:r>
      <w:r w:rsidRPr="0031675F">
        <w:rPr>
          <w:spacing w:val="-2"/>
        </w:rPr>
        <w:t xml:space="preserve"> </w:t>
      </w:r>
      <w:r w:rsidRPr="0031675F">
        <w:rPr>
          <w:spacing w:val="-1"/>
        </w:rPr>
        <w:t>box</w:t>
      </w:r>
      <w:r w:rsidRPr="0031675F">
        <w:t xml:space="preserve"> </w:t>
      </w:r>
      <w:r w:rsidRPr="0031675F">
        <w:rPr>
          <w:spacing w:val="-1"/>
        </w:rPr>
        <w:t>will appear</w:t>
      </w:r>
      <w:r w:rsidRPr="0031675F">
        <w:rPr>
          <w:spacing w:val="1"/>
        </w:rPr>
        <w:t xml:space="preserve"> </w:t>
      </w:r>
      <w:r w:rsidRPr="0031675F">
        <w:t>on</w:t>
      </w:r>
      <w:r w:rsidRPr="0031675F">
        <w:rPr>
          <w:spacing w:val="-2"/>
        </w:rPr>
        <w:t xml:space="preserve"> </w:t>
      </w:r>
      <w:r w:rsidRPr="0031675F">
        <w:rPr>
          <w:spacing w:val="-1"/>
        </w:rPr>
        <w:t>the</w:t>
      </w:r>
      <w:r w:rsidRPr="0031675F">
        <w:t xml:space="preserve"> screen.</w:t>
      </w:r>
      <w:r w:rsidRPr="0031675F">
        <w:rPr>
          <w:spacing w:val="-1"/>
        </w:rPr>
        <w:t xml:space="preserve"> Click </w:t>
      </w:r>
      <w:r w:rsidRPr="0031675F">
        <w:t>on</w:t>
      </w:r>
      <w:r w:rsidRPr="0031675F">
        <w:rPr>
          <w:spacing w:val="-1"/>
        </w:rPr>
        <w:t xml:space="preserve"> the “Shut</w:t>
      </w:r>
      <w:r w:rsidRPr="0031675F">
        <w:rPr>
          <w:spacing w:val="27"/>
        </w:rPr>
        <w:t xml:space="preserve"> </w:t>
      </w:r>
      <w:r w:rsidRPr="0031675F">
        <w:rPr>
          <w:spacing w:val="-1"/>
        </w:rPr>
        <w:t>down Instrument”</w:t>
      </w:r>
      <w:r w:rsidRPr="0031675F">
        <w:t xml:space="preserve"> </w:t>
      </w:r>
      <w:r w:rsidRPr="0031675F">
        <w:rPr>
          <w:spacing w:val="-1"/>
        </w:rPr>
        <w:t>dot and press the “start”</w:t>
      </w:r>
      <w:r w:rsidRPr="0031675F">
        <w:t xml:space="preserve"> </w:t>
      </w:r>
      <w:r w:rsidRPr="0031675F">
        <w:rPr>
          <w:spacing w:val="-1"/>
        </w:rPr>
        <w:t xml:space="preserve">button at the bottom </w:t>
      </w:r>
      <w:r w:rsidRPr="0031675F">
        <w:t>of</w:t>
      </w:r>
      <w:r w:rsidRPr="0031675F">
        <w:rPr>
          <w:spacing w:val="-2"/>
        </w:rPr>
        <w:t xml:space="preserve"> </w:t>
      </w:r>
      <w:r w:rsidRPr="0031675F">
        <w:rPr>
          <w:spacing w:val="-1"/>
        </w:rPr>
        <w:t>the box.</w:t>
      </w:r>
    </w:p>
    <w:p w14:paraId="7780D20A" w14:textId="77777777" w:rsidR="0031675F" w:rsidRPr="0031675F" w:rsidRDefault="0031675F" w:rsidP="0031675F">
      <w:pPr>
        <w:spacing w:before="8"/>
        <w:rPr>
          <w:rFonts w:cs="Calibri"/>
          <w:sz w:val="26"/>
          <w:szCs w:val="26"/>
        </w:rPr>
      </w:pPr>
    </w:p>
    <w:p w14:paraId="2406C843" w14:textId="77777777" w:rsidR="0031675F" w:rsidRPr="0031675F" w:rsidRDefault="0031675F" w:rsidP="0031675F">
      <w:pPr>
        <w:widowControl w:val="0"/>
        <w:numPr>
          <w:ilvl w:val="2"/>
          <w:numId w:val="110"/>
        </w:numPr>
        <w:tabs>
          <w:tab w:val="left" w:pos="686"/>
        </w:tabs>
        <w:spacing w:before="0" w:after="0" w:line="240" w:lineRule="auto"/>
        <w:ind w:left="685"/>
        <w:jc w:val="both"/>
        <w:rPr>
          <w:rFonts w:eastAsia="Arial" w:cs="Arial"/>
        </w:rPr>
      </w:pPr>
      <w:r w:rsidRPr="0031675F">
        <w:rPr>
          <w:b/>
          <w:spacing w:val="-1"/>
        </w:rPr>
        <w:t>Sample</w:t>
      </w:r>
      <w:r w:rsidRPr="0031675F">
        <w:rPr>
          <w:b/>
          <w:spacing w:val="3"/>
        </w:rPr>
        <w:t xml:space="preserve"> </w:t>
      </w:r>
      <w:r w:rsidRPr="0031675F">
        <w:rPr>
          <w:b/>
          <w:spacing w:val="-2"/>
        </w:rPr>
        <w:t>Analysis</w:t>
      </w:r>
      <w:r w:rsidRPr="0031675F">
        <w:rPr>
          <w:b/>
          <w:spacing w:val="1"/>
        </w:rPr>
        <w:t xml:space="preserve"> </w:t>
      </w:r>
      <w:r w:rsidRPr="0031675F">
        <w:rPr>
          <w:b/>
          <w:spacing w:val="-1"/>
        </w:rPr>
        <w:t>Protocols</w:t>
      </w:r>
    </w:p>
    <w:p w14:paraId="333D8B48" w14:textId="77777777" w:rsidR="0031675F" w:rsidRPr="0031675F" w:rsidRDefault="0031675F" w:rsidP="0031675F">
      <w:pPr>
        <w:spacing w:before="2"/>
        <w:rPr>
          <w:rFonts w:eastAsia="Arial" w:cs="Arial"/>
          <w:b/>
          <w:bCs/>
          <w:sz w:val="21"/>
          <w:szCs w:val="21"/>
        </w:rPr>
      </w:pPr>
    </w:p>
    <w:p w14:paraId="5B1513EF" w14:textId="616F791D" w:rsidR="0031675F" w:rsidRPr="00E2020D" w:rsidRDefault="0031675F" w:rsidP="0031675F">
      <w:pPr>
        <w:ind w:left="30"/>
        <w:rPr>
          <w:rFonts w:eastAsia="Trebuchet MS" w:cs="Arial"/>
        </w:rPr>
      </w:pPr>
      <w:r w:rsidRPr="00E2020D">
        <w:rPr>
          <w:rFonts w:cs="Arial"/>
        </w:rPr>
        <w:t>Before</w:t>
      </w:r>
      <w:r w:rsidRPr="00E2020D">
        <w:rPr>
          <w:rFonts w:cs="Arial"/>
          <w:spacing w:val="-5"/>
        </w:rPr>
        <w:t xml:space="preserve"> </w:t>
      </w:r>
      <w:r w:rsidRPr="00E2020D">
        <w:rPr>
          <w:rFonts w:cs="Arial"/>
          <w:spacing w:val="-1"/>
        </w:rPr>
        <w:t>each</w:t>
      </w:r>
      <w:r w:rsidRPr="00E2020D">
        <w:rPr>
          <w:rFonts w:cs="Arial"/>
          <w:spacing w:val="-4"/>
        </w:rPr>
        <w:t xml:space="preserve"> </w:t>
      </w:r>
      <w:r w:rsidR="00DA347E" w:rsidRPr="00E2020D">
        <w:rPr>
          <w:rFonts w:cs="Arial"/>
        </w:rPr>
        <w:t>r</w:t>
      </w:r>
      <w:r w:rsidRPr="00E2020D">
        <w:rPr>
          <w:rFonts w:cs="Arial"/>
        </w:rPr>
        <w:t>un:</w:t>
      </w:r>
    </w:p>
    <w:p w14:paraId="763B2610" w14:textId="77777777" w:rsidR="0031675F" w:rsidRPr="00E2020D" w:rsidRDefault="0031675F" w:rsidP="0031675F">
      <w:pPr>
        <w:widowControl w:val="0"/>
        <w:numPr>
          <w:ilvl w:val="0"/>
          <w:numId w:val="162"/>
        </w:numPr>
        <w:tabs>
          <w:tab w:val="left" w:pos="191"/>
        </w:tabs>
        <w:spacing w:before="0" w:after="0" w:line="240" w:lineRule="auto"/>
        <w:ind w:hanging="160"/>
        <w:rPr>
          <w:rFonts w:eastAsia="Trebuchet MS" w:cs="Arial"/>
        </w:rPr>
      </w:pPr>
      <w:r w:rsidRPr="00E2020D">
        <w:rPr>
          <w:rFonts w:cs="Arial"/>
          <w:spacing w:val="-1"/>
        </w:rPr>
        <w:t xml:space="preserve">Make </w:t>
      </w:r>
      <w:r w:rsidRPr="00E2020D">
        <w:rPr>
          <w:rFonts w:cs="Arial"/>
        </w:rPr>
        <w:t>sure</w:t>
      </w:r>
      <w:r w:rsidRPr="00E2020D">
        <w:rPr>
          <w:rFonts w:cs="Arial"/>
          <w:spacing w:val="-1"/>
        </w:rPr>
        <w:t xml:space="preserve"> Halogen</w:t>
      </w:r>
      <w:r w:rsidRPr="00E2020D">
        <w:rPr>
          <w:rFonts w:cs="Arial"/>
        </w:rPr>
        <w:t xml:space="preserve"> scrubber</w:t>
      </w:r>
      <w:r w:rsidRPr="00E2020D">
        <w:rPr>
          <w:rFonts w:cs="Arial"/>
          <w:spacing w:val="-2"/>
        </w:rPr>
        <w:t xml:space="preserve"> </w:t>
      </w:r>
      <w:r w:rsidRPr="00E2020D">
        <w:rPr>
          <w:rFonts w:cs="Arial"/>
          <w:spacing w:val="-1"/>
        </w:rPr>
        <w:t>is</w:t>
      </w:r>
      <w:r w:rsidRPr="00E2020D">
        <w:rPr>
          <w:rFonts w:cs="Arial"/>
        </w:rPr>
        <w:t xml:space="preserve"> </w:t>
      </w:r>
      <w:r w:rsidRPr="00E2020D">
        <w:rPr>
          <w:rFonts w:cs="Arial"/>
          <w:spacing w:val="-1"/>
        </w:rPr>
        <w:t>clean.</w:t>
      </w:r>
    </w:p>
    <w:p w14:paraId="563029D3" w14:textId="77777777" w:rsidR="0031675F" w:rsidRPr="00E2020D" w:rsidRDefault="0031675F" w:rsidP="0031675F">
      <w:pPr>
        <w:widowControl w:val="0"/>
        <w:numPr>
          <w:ilvl w:val="0"/>
          <w:numId w:val="162"/>
        </w:numPr>
        <w:tabs>
          <w:tab w:val="left" w:pos="191"/>
        </w:tabs>
        <w:spacing w:before="9" w:after="0" w:line="240" w:lineRule="auto"/>
        <w:ind w:hanging="160"/>
        <w:rPr>
          <w:rFonts w:eastAsia="Trebuchet MS" w:cs="Arial"/>
        </w:rPr>
      </w:pPr>
      <w:r w:rsidRPr="00E2020D">
        <w:rPr>
          <w:rFonts w:cs="Arial"/>
          <w:spacing w:val="-1"/>
        </w:rPr>
        <w:t>Combustion</w:t>
      </w:r>
      <w:r w:rsidRPr="00E2020D">
        <w:rPr>
          <w:rFonts w:cs="Arial"/>
        </w:rPr>
        <w:t xml:space="preserve"> </w:t>
      </w:r>
      <w:r w:rsidRPr="00E2020D">
        <w:rPr>
          <w:rFonts w:cs="Arial"/>
          <w:spacing w:val="-1"/>
        </w:rPr>
        <w:t>tube</w:t>
      </w:r>
      <w:r w:rsidRPr="00E2020D">
        <w:rPr>
          <w:rFonts w:cs="Arial"/>
        </w:rPr>
        <w:t xml:space="preserve"> </w:t>
      </w:r>
      <w:r w:rsidRPr="00E2020D">
        <w:rPr>
          <w:rFonts w:cs="Arial"/>
          <w:spacing w:val="-1"/>
        </w:rPr>
        <w:t>has</w:t>
      </w:r>
      <w:r w:rsidRPr="00E2020D">
        <w:rPr>
          <w:rFonts w:cs="Arial"/>
        </w:rPr>
        <w:t xml:space="preserve"> </w:t>
      </w:r>
      <w:r w:rsidRPr="00E2020D">
        <w:rPr>
          <w:rFonts w:cs="Arial"/>
          <w:spacing w:val="-1"/>
        </w:rPr>
        <w:t>been</w:t>
      </w:r>
      <w:r w:rsidRPr="00E2020D">
        <w:rPr>
          <w:rFonts w:cs="Arial"/>
        </w:rPr>
        <w:t xml:space="preserve"> refurbished</w:t>
      </w:r>
      <w:r w:rsidRPr="00E2020D">
        <w:rPr>
          <w:rFonts w:cs="Arial"/>
          <w:spacing w:val="-2"/>
        </w:rPr>
        <w:t xml:space="preserve"> </w:t>
      </w:r>
      <w:r w:rsidRPr="00E2020D">
        <w:rPr>
          <w:rFonts w:cs="Arial"/>
          <w:spacing w:val="-1"/>
        </w:rPr>
        <w:t>and</w:t>
      </w:r>
      <w:r w:rsidRPr="00E2020D">
        <w:rPr>
          <w:rFonts w:cs="Arial"/>
        </w:rPr>
        <w:t xml:space="preserve"> fitting</w:t>
      </w:r>
      <w:r w:rsidRPr="00E2020D">
        <w:rPr>
          <w:rFonts w:cs="Arial"/>
          <w:spacing w:val="-1"/>
        </w:rPr>
        <w:t xml:space="preserve"> tight.</w:t>
      </w:r>
    </w:p>
    <w:p w14:paraId="10C160CB" w14:textId="77777777" w:rsidR="0031675F" w:rsidRPr="00E2020D" w:rsidRDefault="0031675F" w:rsidP="0031675F">
      <w:pPr>
        <w:widowControl w:val="0"/>
        <w:numPr>
          <w:ilvl w:val="0"/>
          <w:numId w:val="162"/>
        </w:numPr>
        <w:tabs>
          <w:tab w:val="left" w:pos="191"/>
        </w:tabs>
        <w:spacing w:before="9" w:after="0" w:line="240" w:lineRule="auto"/>
        <w:ind w:hanging="160"/>
        <w:rPr>
          <w:rFonts w:eastAsia="Trebuchet MS" w:cs="Arial"/>
        </w:rPr>
      </w:pPr>
      <w:r w:rsidRPr="00E2020D">
        <w:rPr>
          <w:rFonts w:cs="Arial"/>
          <w:spacing w:val="-1"/>
        </w:rPr>
        <w:t xml:space="preserve">Drain tube </w:t>
      </w:r>
      <w:r w:rsidRPr="00E2020D">
        <w:rPr>
          <w:rFonts w:cs="Arial"/>
        </w:rPr>
        <w:t>from</w:t>
      </w:r>
      <w:r w:rsidRPr="00E2020D">
        <w:rPr>
          <w:rFonts w:cs="Arial"/>
          <w:spacing w:val="-2"/>
        </w:rPr>
        <w:t xml:space="preserve"> </w:t>
      </w:r>
      <w:r w:rsidRPr="00E2020D">
        <w:rPr>
          <w:rFonts w:cs="Arial"/>
        </w:rPr>
        <w:t>loader</w:t>
      </w:r>
      <w:r w:rsidRPr="00E2020D">
        <w:rPr>
          <w:rFonts w:cs="Arial"/>
          <w:spacing w:val="-1"/>
        </w:rPr>
        <w:t xml:space="preserve"> head is inside </w:t>
      </w:r>
      <w:r w:rsidRPr="00E2020D">
        <w:rPr>
          <w:rFonts w:cs="Arial"/>
        </w:rPr>
        <w:t>Y junction</w:t>
      </w:r>
      <w:r w:rsidRPr="00E2020D">
        <w:rPr>
          <w:rFonts w:cs="Arial"/>
          <w:spacing w:val="-2"/>
        </w:rPr>
        <w:t xml:space="preserve"> </w:t>
      </w:r>
      <w:r w:rsidRPr="00E2020D">
        <w:rPr>
          <w:rFonts w:cs="Arial"/>
          <w:spacing w:val="-1"/>
        </w:rPr>
        <w:t>drain.</w:t>
      </w:r>
    </w:p>
    <w:p w14:paraId="65AAF6C1" w14:textId="77777777" w:rsidR="0031675F" w:rsidRPr="00E2020D" w:rsidRDefault="0031675F" w:rsidP="0031675F">
      <w:pPr>
        <w:widowControl w:val="0"/>
        <w:numPr>
          <w:ilvl w:val="0"/>
          <w:numId w:val="162"/>
        </w:numPr>
        <w:tabs>
          <w:tab w:val="left" w:pos="191"/>
        </w:tabs>
        <w:spacing w:before="9" w:after="0" w:line="240" w:lineRule="auto"/>
        <w:ind w:hanging="160"/>
        <w:rPr>
          <w:rFonts w:eastAsia="Trebuchet MS" w:cs="Arial"/>
        </w:rPr>
      </w:pPr>
      <w:r w:rsidRPr="00E2020D">
        <w:rPr>
          <w:rFonts w:cs="Arial"/>
        </w:rPr>
        <w:t>Rinse</w:t>
      </w:r>
      <w:r w:rsidRPr="00E2020D">
        <w:rPr>
          <w:rFonts w:cs="Arial"/>
          <w:spacing w:val="-1"/>
        </w:rPr>
        <w:t xml:space="preserve"> bottle is</w:t>
      </w:r>
      <w:r w:rsidRPr="00E2020D">
        <w:rPr>
          <w:rFonts w:cs="Arial"/>
        </w:rPr>
        <w:t xml:space="preserve"> full.</w:t>
      </w:r>
    </w:p>
    <w:p w14:paraId="6AC92DFE" w14:textId="77777777" w:rsidR="0031675F" w:rsidRPr="00E2020D" w:rsidRDefault="0031675F" w:rsidP="0031675F">
      <w:pPr>
        <w:widowControl w:val="0"/>
        <w:numPr>
          <w:ilvl w:val="0"/>
          <w:numId w:val="162"/>
        </w:numPr>
        <w:tabs>
          <w:tab w:val="left" w:pos="191"/>
        </w:tabs>
        <w:spacing w:before="9" w:after="0" w:line="240" w:lineRule="auto"/>
        <w:ind w:hanging="160"/>
        <w:rPr>
          <w:rFonts w:eastAsia="Trebuchet MS" w:cs="Arial"/>
        </w:rPr>
      </w:pPr>
      <w:r w:rsidRPr="00E2020D">
        <w:rPr>
          <w:rFonts w:cs="Arial"/>
          <w:spacing w:val="-1"/>
        </w:rPr>
        <w:t>Drain discharge</w:t>
      </w:r>
      <w:r w:rsidRPr="00E2020D">
        <w:rPr>
          <w:rFonts w:cs="Arial"/>
        </w:rPr>
        <w:t xml:space="preserve"> </w:t>
      </w:r>
      <w:r w:rsidRPr="00E2020D">
        <w:rPr>
          <w:rFonts w:cs="Arial"/>
          <w:spacing w:val="-1"/>
        </w:rPr>
        <w:t>tubing</w:t>
      </w:r>
      <w:r w:rsidRPr="00E2020D">
        <w:rPr>
          <w:rFonts w:cs="Arial"/>
        </w:rPr>
        <w:t xml:space="preserve"> </w:t>
      </w:r>
      <w:r w:rsidRPr="00E2020D">
        <w:rPr>
          <w:rFonts w:cs="Arial"/>
          <w:spacing w:val="-1"/>
        </w:rPr>
        <w:t>is</w:t>
      </w:r>
      <w:r w:rsidRPr="00E2020D">
        <w:rPr>
          <w:rFonts w:cs="Arial"/>
        </w:rPr>
        <w:t xml:space="preserve"> </w:t>
      </w:r>
      <w:r w:rsidRPr="00E2020D">
        <w:rPr>
          <w:rFonts w:cs="Arial"/>
          <w:spacing w:val="-1"/>
        </w:rPr>
        <w:t>unrestricted.</w:t>
      </w:r>
    </w:p>
    <w:p w14:paraId="42F647FC" w14:textId="77777777" w:rsidR="0031675F" w:rsidRPr="00E2020D" w:rsidRDefault="0031675F" w:rsidP="0031675F">
      <w:pPr>
        <w:widowControl w:val="0"/>
        <w:numPr>
          <w:ilvl w:val="0"/>
          <w:numId w:val="162"/>
        </w:numPr>
        <w:tabs>
          <w:tab w:val="left" w:pos="191"/>
        </w:tabs>
        <w:spacing w:before="9" w:after="0" w:line="240" w:lineRule="auto"/>
        <w:ind w:hanging="160"/>
        <w:rPr>
          <w:rFonts w:eastAsia="Trebuchet MS" w:cs="Arial"/>
        </w:rPr>
      </w:pPr>
      <w:r w:rsidRPr="00E2020D">
        <w:rPr>
          <w:rFonts w:cs="Arial"/>
        </w:rPr>
        <w:t>B</w:t>
      </w:r>
      <w:r w:rsidRPr="00E2020D">
        <w:rPr>
          <w:rFonts w:cs="Arial"/>
          <w:spacing w:val="-1"/>
        </w:rPr>
        <w:t xml:space="preserve"> </w:t>
      </w:r>
      <w:r w:rsidRPr="00E2020D">
        <w:rPr>
          <w:rFonts w:cs="Arial"/>
        </w:rPr>
        <w:t>Type</w:t>
      </w:r>
      <w:r w:rsidRPr="00E2020D">
        <w:rPr>
          <w:rFonts w:cs="Arial"/>
          <w:spacing w:val="-1"/>
        </w:rPr>
        <w:t xml:space="preserve"> Halogen</w:t>
      </w:r>
      <w:r w:rsidRPr="00E2020D">
        <w:rPr>
          <w:rFonts w:cs="Arial"/>
        </w:rPr>
        <w:t xml:space="preserve"> scrubber</w:t>
      </w:r>
      <w:r w:rsidRPr="00E2020D">
        <w:rPr>
          <w:rFonts w:cs="Arial"/>
          <w:spacing w:val="-2"/>
        </w:rPr>
        <w:t xml:space="preserve"> </w:t>
      </w:r>
      <w:r w:rsidRPr="00E2020D">
        <w:rPr>
          <w:rFonts w:cs="Arial"/>
          <w:spacing w:val="-1"/>
        </w:rPr>
        <w:t>tube</w:t>
      </w:r>
      <w:r w:rsidRPr="00E2020D">
        <w:rPr>
          <w:rFonts w:cs="Arial"/>
        </w:rPr>
        <w:t xml:space="preserve"> </w:t>
      </w:r>
      <w:r w:rsidRPr="00E2020D">
        <w:rPr>
          <w:rFonts w:cs="Arial"/>
          <w:spacing w:val="-1"/>
        </w:rPr>
        <w:t>is</w:t>
      </w:r>
      <w:r w:rsidRPr="00E2020D">
        <w:rPr>
          <w:rFonts w:cs="Arial"/>
        </w:rPr>
        <w:t xml:space="preserve"> </w:t>
      </w:r>
      <w:r w:rsidRPr="00E2020D">
        <w:rPr>
          <w:rFonts w:cs="Arial"/>
          <w:spacing w:val="-1"/>
        </w:rPr>
        <w:t>topped</w:t>
      </w:r>
      <w:r w:rsidRPr="00E2020D">
        <w:rPr>
          <w:rFonts w:cs="Arial"/>
        </w:rPr>
        <w:t xml:space="preserve"> </w:t>
      </w:r>
      <w:r w:rsidRPr="00E2020D">
        <w:rPr>
          <w:rFonts w:cs="Arial"/>
          <w:spacing w:val="-1"/>
        </w:rPr>
        <w:t>up.</w:t>
      </w:r>
      <w:r w:rsidRPr="00E2020D">
        <w:rPr>
          <w:rFonts w:cs="Arial"/>
        </w:rPr>
        <w:t xml:space="preserve"> </w:t>
      </w:r>
      <w:r w:rsidRPr="00E2020D">
        <w:rPr>
          <w:rFonts w:cs="Arial"/>
          <w:spacing w:val="-1"/>
        </w:rPr>
        <w:t>(4.2%</w:t>
      </w:r>
      <w:r w:rsidRPr="00E2020D">
        <w:rPr>
          <w:rFonts w:cs="Arial"/>
        </w:rPr>
        <w:t xml:space="preserve"> </w:t>
      </w:r>
      <w:r w:rsidRPr="00E2020D">
        <w:rPr>
          <w:rFonts w:cs="Arial"/>
          <w:spacing w:val="-1"/>
        </w:rPr>
        <w:t>HCl)</w:t>
      </w:r>
    </w:p>
    <w:p w14:paraId="7D3458CC" w14:textId="77777777" w:rsidR="0031675F" w:rsidRPr="00E2020D" w:rsidRDefault="0031675F" w:rsidP="0031675F">
      <w:pPr>
        <w:widowControl w:val="0"/>
        <w:numPr>
          <w:ilvl w:val="0"/>
          <w:numId w:val="162"/>
        </w:numPr>
        <w:tabs>
          <w:tab w:val="left" w:pos="191"/>
        </w:tabs>
        <w:spacing w:before="9" w:after="0" w:line="240" w:lineRule="auto"/>
        <w:ind w:hanging="160"/>
        <w:rPr>
          <w:rFonts w:eastAsia="Trebuchet MS" w:cs="Arial"/>
        </w:rPr>
      </w:pPr>
      <w:r w:rsidRPr="00E2020D">
        <w:rPr>
          <w:rFonts w:cs="Arial"/>
          <w:spacing w:val="-1"/>
        </w:rPr>
        <w:t xml:space="preserve">Number </w:t>
      </w:r>
      <w:r w:rsidRPr="00E2020D">
        <w:rPr>
          <w:rFonts w:cs="Arial"/>
        </w:rPr>
        <w:t xml:space="preserve">6 </w:t>
      </w:r>
      <w:r w:rsidRPr="00E2020D">
        <w:rPr>
          <w:rFonts w:cs="Arial"/>
          <w:spacing w:val="-1"/>
        </w:rPr>
        <w:t>drain</w:t>
      </w:r>
      <w:r w:rsidRPr="00E2020D">
        <w:rPr>
          <w:rFonts w:cs="Arial"/>
        </w:rPr>
        <w:t xml:space="preserve"> </w:t>
      </w:r>
      <w:r w:rsidRPr="00E2020D">
        <w:rPr>
          <w:rFonts w:cs="Arial"/>
          <w:spacing w:val="-1"/>
        </w:rPr>
        <w:t>tubing</w:t>
      </w:r>
      <w:r w:rsidRPr="00E2020D">
        <w:rPr>
          <w:rFonts w:cs="Arial"/>
          <w:spacing w:val="1"/>
        </w:rPr>
        <w:t xml:space="preserve"> </w:t>
      </w:r>
      <w:r w:rsidRPr="00E2020D">
        <w:rPr>
          <w:rFonts w:cs="Arial"/>
          <w:spacing w:val="-1"/>
        </w:rPr>
        <w:t>is inside</w:t>
      </w:r>
      <w:r w:rsidRPr="00E2020D">
        <w:rPr>
          <w:rFonts w:cs="Arial"/>
        </w:rPr>
        <w:t xml:space="preserve"> </w:t>
      </w:r>
      <w:r w:rsidRPr="00E2020D">
        <w:rPr>
          <w:rFonts w:cs="Arial"/>
          <w:spacing w:val="-1"/>
        </w:rPr>
        <w:t>drain</w:t>
      </w:r>
      <w:r w:rsidRPr="00E2020D">
        <w:rPr>
          <w:rFonts w:cs="Arial"/>
        </w:rPr>
        <w:t xml:space="preserve"> </w:t>
      </w:r>
      <w:r w:rsidRPr="00E2020D">
        <w:rPr>
          <w:rFonts w:cs="Arial"/>
          <w:spacing w:val="-1"/>
        </w:rPr>
        <w:t>(black</w:t>
      </w:r>
      <w:r w:rsidRPr="00E2020D">
        <w:rPr>
          <w:rFonts w:cs="Arial"/>
        </w:rPr>
        <w:t xml:space="preserve"> </w:t>
      </w:r>
      <w:r w:rsidRPr="00E2020D">
        <w:rPr>
          <w:rFonts w:cs="Arial"/>
          <w:spacing w:val="-1"/>
        </w:rPr>
        <w:t>top).</w:t>
      </w:r>
    </w:p>
    <w:p w14:paraId="5C3F8A89" w14:textId="77777777" w:rsidR="0031675F" w:rsidRPr="00E2020D" w:rsidRDefault="0031675F" w:rsidP="0031675F">
      <w:pPr>
        <w:widowControl w:val="0"/>
        <w:numPr>
          <w:ilvl w:val="0"/>
          <w:numId w:val="162"/>
        </w:numPr>
        <w:tabs>
          <w:tab w:val="left" w:pos="191"/>
        </w:tabs>
        <w:spacing w:before="9" w:after="0" w:line="240" w:lineRule="auto"/>
        <w:ind w:hanging="160"/>
        <w:rPr>
          <w:rFonts w:eastAsia="Trebuchet MS" w:cs="Arial"/>
        </w:rPr>
      </w:pPr>
      <w:r w:rsidRPr="00E2020D">
        <w:rPr>
          <w:rFonts w:cs="Arial"/>
          <w:spacing w:val="-1"/>
        </w:rPr>
        <w:t>Humidifier is</w:t>
      </w:r>
      <w:r w:rsidRPr="00E2020D">
        <w:rPr>
          <w:rFonts w:cs="Arial"/>
          <w:spacing w:val="-2"/>
        </w:rPr>
        <w:t xml:space="preserve"> </w:t>
      </w:r>
      <w:r w:rsidRPr="00E2020D">
        <w:rPr>
          <w:rFonts w:cs="Arial"/>
        </w:rPr>
        <w:t>full</w:t>
      </w:r>
      <w:r w:rsidRPr="00E2020D">
        <w:rPr>
          <w:rFonts w:cs="Arial"/>
          <w:spacing w:val="-3"/>
        </w:rPr>
        <w:t xml:space="preserve"> </w:t>
      </w:r>
      <w:r w:rsidRPr="00E2020D">
        <w:rPr>
          <w:rFonts w:cs="Arial"/>
        </w:rPr>
        <w:t>of</w:t>
      </w:r>
      <w:r w:rsidRPr="00E2020D">
        <w:rPr>
          <w:rFonts w:cs="Arial"/>
          <w:spacing w:val="-3"/>
        </w:rPr>
        <w:t xml:space="preserve"> </w:t>
      </w:r>
      <w:r w:rsidRPr="00E2020D">
        <w:rPr>
          <w:rFonts w:cs="Arial"/>
          <w:spacing w:val="-1"/>
        </w:rPr>
        <w:t>water.</w:t>
      </w:r>
    </w:p>
    <w:p w14:paraId="0CB29080" w14:textId="77777777" w:rsidR="0031675F" w:rsidRPr="00E2020D" w:rsidRDefault="0031675F" w:rsidP="0031675F">
      <w:pPr>
        <w:widowControl w:val="0"/>
        <w:numPr>
          <w:ilvl w:val="0"/>
          <w:numId w:val="162"/>
        </w:numPr>
        <w:tabs>
          <w:tab w:val="left" w:pos="191"/>
        </w:tabs>
        <w:spacing w:before="9" w:after="0" w:line="240" w:lineRule="auto"/>
        <w:ind w:hanging="160"/>
        <w:rPr>
          <w:rFonts w:eastAsia="Trebuchet MS" w:cs="Arial"/>
        </w:rPr>
      </w:pPr>
      <w:r w:rsidRPr="00E2020D">
        <w:rPr>
          <w:rFonts w:eastAsia="Trebuchet MS" w:cs="Arial"/>
          <w:spacing w:val="-1"/>
        </w:rPr>
        <w:t>Cooler</w:t>
      </w:r>
      <w:r w:rsidRPr="00E2020D">
        <w:rPr>
          <w:rFonts w:eastAsia="Trebuchet MS" w:cs="Arial"/>
          <w:spacing w:val="-2"/>
        </w:rPr>
        <w:t xml:space="preserve"> </w:t>
      </w:r>
      <w:r w:rsidRPr="00E2020D">
        <w:rPr>
          <w:rFonts w:eastAsia="Trebuchet MS" w:cs="Arial"/>
          <w:spacing w:val="-1"/>
        </w:rPr>
        <w:t>drain</w:t>
      </w:r>
      <w:r w:rsidRPr="00E2020D">
        <w:rPr>
          <w:rFonts w:eastAsia="Trebuchet MS" w:cs="Arial"/>
          <w:spacing w:val="-2"/>
        </w:rPr>
        <w:t xml:space="preserve"> </w:t>
      </w:r>
      <w:r w:rsidRPr="00E2020D">
        <w:rPr>
          <w:rFonts w:eastAsia="Trebuchet MS" w:cs="Arial"/>
        </w:rPr>
        <w:t>vessel</w:t>
      </w:r>
      <w:r w:rsidRPr="00E2020D">
        <w:rPr>
          <w:rFonts w:eastAsia="Trebuchet MS" w:cs="Arial"/>
          <w:spacing w:val="-2"/>
        </w:rPr>
        <w:t xml:space="preserve"> </w:t>
      </w:r>
      <w:r w:rsidRPr="00E2020D">
        <w:rPr>
          <w:rFonts w:eastAsia="Trebuchet MS" w:cs="Arial"/>
        </w:rPr>
        <w:t>–</w:t>
      </w:r>
      <w:r w:rsidRPr="00E2020D">
        <w:rPr>
          <w:rFonts w:eastAsia="Trebuchet MS" w:cs="Arial"/>
          <w:spacing w:val="-2"/>
        </w:rPr>
        <w:t xml:space="preserve"> </w:t>
      </w:r>
      <w:r w:rsidRPr="00E2020D">
        <w:rPr>
          <w:rFonts w:eastAsia="Trebuchet MS" w:cs="Arial"/>
          <w:spacing w:val="-1"/>
        </w:rPr>
        <w:t xml:space="preserve">water </w:t>
      </w:r>
      <w:r w:rsidRPr="00E2020D">
        <w:rPr>
          <w:rFonts w:eastAsia="Trebuchet MS" w:cs="Arial"/>
        </w:rPr>
        <w:t>level</w:t>
      </w:r>
      <w:r w:rsidRPr="00E2020D">
        <w:rPr>
          <w:rFonts w:eastAsia="Trebuchet MS" w:cs="Arial"/>
          <w:spacing w:val="-3"/>
        </w:rPr>
        <w:t xml:space="preserve"> </w:t>
      </w:r>
      <w:r w:rsidRPr="00E2020D">
        <w:rPr>
          <w:rFonts w:eastAsia="Trebuchet MS" w:cs="Arial"/>
        </w:rPr>
        <w:t>should</w:t>
      </w:r>
      <w:r w:rsidRPr="00E2020D">
        <w:rPr>
          <w:rFonts w:eastAsia="Trebuchet MS" w:cs="Arial"/>
          <w:spacing w:val="-2"/>
        </w:rPr>
        <w:t xml:space="preserve"> </w:t>
      </w:r>
      <w:r w:rsidRPr="00E2020D">
        <w:rPr>
          <w:rFonts w:eastAsia="Trebuchet MS" w:cs="Arial"/>
          <w:spacing w:val="-1"/>
        </w:rPr>
        <w:t>be</w:t>
      </w:r>
      <w:r w:rsidRPr="00E2020D">
        <w:rPr>
          <w:rFonts w:eastAsia="Trebuchet MS" w:cs="Arial"/>
          <w:spacing w:val="-2"/>
        </w:rPr>
        <w:t xml:space="preserve"> </w:t>
      </w:r>
      <w:r w:rsidRPr="00E2020D">
        <w:rPr>
          <w:rFonts w:eastAsia="Trebuchet MS" w:cs="Arial"/>
          <w:spacing w:val="-1"/>
        </w:rPr>
        <w:t>within 10mm</w:t>
      </w:r>
      <w:r w:rsidRPr="00E2020D">
        <w:rPr>
          <w:rFonts w:eastAsia="Trebuchet MS" w:cs="Arial"/>
          <w:spacing w:val="-2"/>
        </w:rPr>
        <w:t xml:space="preserve"> </w:t>
      </w:r>
      <w:r w:rsidRPr="00E2020D">
        <w:rPr>
          <w:rFonts w:eastAsia="Trebuchet MS" w:cs="Arial"/>
        </w:rPr>
        <w:t>of</w:t>
      </w:r>
      <w:r w:rsidRPr="00E2020D">
        <w:rPr>
          <w:rFonts w:eastAsia="Trebuchet MS" w:cs="Arial"/>
          <w:spacing w:val="-2"/>
        </w:rPr>
        <w:t xml:space="preserve"> </w:t>
      </w:r>
      <w:r w:rsidRPr="00E2020D">
        <w:rPr>
          <w:rFonts w:eastAsia="Trebuchet MS" w:cs="Arial"/>
        </w:rPr>
        <w:t>overflow</w:t>
      </w:r>
      <w:r w:rsidRPr="00E2020D">
        <w:rPr>
          <w:rFonts w:eastAsia="Trebuchet MS" w:cs="Arial"/>
          <w:spacing w:val="-4"/>
        </w:rPr>
        <w:t xml:space="preserve"> </w:t>
      </w:r>
      <w:r w:rsidRPr="00E2020D">
        <w:rPr>
          <w:rFonts w:eastAsia="Trebuchet MS" w:cs="Arial"/>
          <w:spacing w:val="-1"/>
        </w:rPr>
        <w:t>tube.</w:t>
      </w:r>
    </w:p>
    <w:p w14:paraId="395E331A" w14:textId="77777777" w:rsidR="0031675F" w:rsidRPr="00E2020D" w:rsidRDefault="0031675F" w:rsidP="0031675F">
      <w:pPr>
        <w:widowControl w:val="0"/>
        <w:numPr>
          <w:ilvl w:val="0"/>
          <w:numId w:val="162"/>
        </w:numPr>
        <w:tabs>
          <w:tab w:val="left" w:pos="191"/>
        </w:tabs>
        <w:spacing w:before="9" w:after="0" w:line="240" w:lineRule="auto"/>
        <w:ind w:hanging="160"/>
        <w:rPr>
          <w:rFonts w:eastAsia="Trebuchet MS" w:cs="Arial"/>
        </w:rPr>
      </w:pPr>
      <w:r w:rsidRPr="00E2020D">
        <w:rPr>
          <w:rFonts w:cs="Arial"/>
          <w:spacing w:val="-1"/>
        </w:rPr>
        <w:t>Water dilution</w:t>
      </w:r>
      <w:r w:rsidRPr="00E2020D">
        <w:rPr>
          <w:rFonts w:cs="Arial"/>
        </w:rPr>
        <w:t xml:space="preserve"> </w:t>
      </w:r>
      <w:r w:rsidRPr="00E2020D">
        <w:rPr>
          <w:rFonts w:cs="Arial"/>
          <w:spacing w:val="-1"/>
        </w:rPr>
        <w:t>bottle water</w:t>
      </w:r>
      <w:r w:rsidRPr="00E2020D">
        <w:rPr>
          <w:rFonts w:cs="Arial"/>
        </w:rPr>
        <w:t xml:space="preserve"> level.</w:t>
      </w:r>
      <w:r w:rsidRPr="00E2020D">
        <w:rPr>
          <w:rFonts w:cs="Arial"/>
          <w:spacing w:val="-2"/>
        </w:rPr>
        <w:t xml:space="preserve"> </w:t>
      </w:r>
      <w:r w:rsidRPr="00E2020D">
        <w:rPr>
          <w:rFonts w:cs="Arial"/>
          <w:spacing w:val="-1"/>
        </w:rPr>
        <w:t>Verify</w:t>
      </w:r>
      <w:r w:rsidRPr="00E2020D">
        <w:rPr>
          <w:rFonts w:cs="Arial"/>
          <w:spacing w:val="1"/>
        </w:rPr>
        <w:t xml:space="preserve"> </w:t>
      </w:r>
      <w:r w:rsidRPr="00E2020D">
        <w:rPr>
          <w:rFonts w:cs="Arial"/>
          <w:spacing w:val="-1"/>
        </w:rPr>
        <w:t>there</w:t>
      </w:r>
      <w:r w:rsidRPr="00E2020D">
        <w:rPr>
          <w:rFonts w:cs="Arial"/>
        </w:rPr>
        <w:t xml:space="preserve"> </w:t>
      </w:r>
      <w:r w:rsidRPr="00E2020D">
        <w:rPr>
          <w:rFonts w:cs="Arial"/>
          <w:spacing w:val="-1"/>
        </w:rPr>
        <w:t>is</w:t>
      </w:r>
      <w:r w:rsidRPr="00E2020D">
        <w:rPr>
          <w:rFonts w:cs="Arial"/>
        </w:rPr>
        <w:t xml:space="preserve"> sufficient</w:t>
      </w:r>
      <w:r w:rsidRPr="00E2020D">
        <w:rPr>
          <w:rFonts w:cs="Arial"/>
          <w:spacing w:val="-1"/>
        </w:rPr>
        <w:t xml:space="preserve"> water </w:t>
      </w:r>
      <w:r w:rsidRPr="00E2020D">
        <w:rPr>
          <w:rFonts w:cs="Arial"/>
        </w:rPr>
        <w:t>for</w:t>
      </w:r>
      <w:r w:rsidRPr="00E2020D">
        <w:rPr>
          <w:rFonts w:cs="Arial"/>
          <w:spacing w:val="-1"/>
        </w:rPr>
        <w:t xml:space="preserve"> analysis.</w:t>
      </w:r>
    </w:p>
    <w:p w14:paraId="6DDB338D" w14:textId="77777777" w:rsidR="0031675F" w:rsidRPr="00E2020D" w:rsidRDefault="0031675F" w:rsidP="0031675F">
      <w:pPr>
        <w:widowControl w:val="0"/>
        <w:numPr>
          <w:ilvl w:val="0"/>
          <w:numId w:val="162"/>
        </w:numPr>
        <w:tabs>
          <w:tab w:val="left" w:pos="191"/>
        </w:tabs>
        <w:spacing w:before="9" w:after="0" w:line="240" w:lineRule="auto"/>
        <w:ind w:hanging="160"/>
        <w:rPr>
          <w:rFonts w:eastAsia="Trebuchet MS" w:cs="Arial"/>
        </w:rPr>
      </w:pPr>
      <w:r w:rsidRPr="00E2020D">
        <w:rPr>
          <w:rFonts w:cs="Arial"/>
          <w:spacing w:val="-1"/>
        </w:rPr>
        <w:t>Inspect</w:t>
      </w:r>
      <w:r w:rsidRPr="00E2020D">
        <w:rPr>
          <w:rFonts w:cs="Arial"/>
          <w:spacing w:val="1"/>
        </w:rPr>
        <w:t xml:space="preserve"> </w:t>
      </w:r>
      <w:r w:rsidRPr="00E2020D">
        <w:rPr>
          <w:rFonts w:cs="Arial"/>
          <w:spacing w:val="-1"/>
        </w:rPr>
        <w:t>acid</w:t>
      </w:r>
      <w:r w:rsidRPr="00E2020D">
        <w:rPr>
          <w:rFonts w:cs="Arial"/>
        </w:rPr>
        <w:t xml:space="preserve"> levels.</w:t>
      </w:r>
    </w:p>
    <w:p w14:paraId="0D559087" w14:textId="77777777" w:rsidR="0031675F" w:rsidRPr="0031675F" w:rsidRDefault="0031675F" w:rsidP="0031675F">
      <w:pPr>
        <w:spacing w:before="11"/>
        <w:rPr>
          <w:rFonts w:cs="Calibri"/>
          <w:sz w:val="21"/>
          <w:szCs w:val="21"/>
        </w:rPr>
      </w:pPr>
    </w:p>
    <w:p w14:paraId="26963887" w14:textId="77777777" w:rsidR="0031675F" w:rsidRPr="0031675F" w:rsidRDefault="0031675F" w:rsidP="0031675F">
      <w:pPr>
        <w:widowControl w:val="0"/>
        <w:numPr>
          <w:ilvl w:val="1"/>
          <w:numId w:val="110"/>
        </w:numPr>
        <w:tabs>
          <w:tab w:val="left" w:pos="686"/>
        </w:tabs>
        <w:spacing w:before="0" w:after="0" w:line="240" w:lineRule="auto"/>
        <w:ind w:left="685"/>
        <w:jc w:val="both"/>
        <w:rPr>
          <w:rFonts w:eastAsia="Arial" w:cs="Arial"/>
          <w:sz w:val="24"/>
          <w:szCs w:val="24"/>
        </w:rPr>
      </w:pPr>
      <w:bookmarkStart w:id="634" w:name="_TOC_250051"/>
      <w:r w:rsidRPr="0031675F">
        <w:rPr>
          <w:b/>
          <w:sz w:val="24"/>
        </w:rPr>
        <w:t>Data</w:t>
      </w:r>
      <w:r w:rsidRPr="0031675F">
        <w:rPr>
          <w:b/>
          <w:spacing w:val="1"/>
          <w:sz w:val="24"/>
        </w:rPr>
        <w:t xml:space="preserve"> </w:t>
      </w:r>
      <w:r w:rsidRPr="0031675F">
        <w:rPr>
          <w:b/>
          <w:spacing w:val="-1"/>
          <w:sz w:val="24"/>
        </w:rPr>
        <w:t>management</w:t>
      </w:r>
      <w:bookmarkEnd w:id="634"/>
    </w:p>
    <w:p w14:paraId="562DBD0C" w14:textId="2E7037E0" w:rsidR="0031675F" w:rsidRPr="0031675F" w:rsidRDefault="0031675F" w:rsidP="0031675F">
      <w:pPr>
        <w:spacing w:after="120" w:line="239" w:lineRule="auto"/>
        <w:ind w:right="655"/>
        <w:jc w:val="both"/>
      </w:pPr>
      <w:r w:rsidRPr="0031675F">
        <w:rPr>
          <w:spacing w:val="-1"/>
        </w:rPr>
        <w:t>Each</w:t>
      </w:r>
      <w:r w:rsidRPr="0031675F">
        <w:rPr>
          <w:spacing w:val="33"/>
        </w:rPr>
        <w:t xml:space="preserve"> </w:t>
      </w:r>
      <w:r w:rsidRPr="0031675F">
        <w:rPr>
          <w:spacing w:val="-1"/>
        </w:rPr>
        <w:t>sample</w:t>
      </w:r>
      <w:r w:rsidRPr="0031675F">
        <w:rPr>
          <w:spacing w:val="34"/>
        </w:rPr>
        <w:t xml:space="preserve"> </w:t>
      </w:r>
      <w:r w:rsidRPr="0031675F">
        <w:t>is</w:t>
      </w:r>
      <w:r w:rsidRPr="0031675F">
        <w:rPr>
          <w:spacing w:val="33"/>
        </w:rPr>
        <w:t xml:space="preserve"> </w:t>
      </w:r>
      <w:r w:rsidRPr="0031675F">
        <w:rPr>
          <w:spacing w:val="-1"/>
        </w:rPr>
        <w:t>assigned</w:t>
      </w:r>
      <w:r w:rsidRPr="0031675F">
        <w:rPr>
          <w:spacing w:val="32"/>
        </w:rPr>
        <w:t xml:space="preserve"> </w:t>
      </w:r>
      <w:r w:rsidRPr="0031675F">
        <w:t>a</w:t>
      </w:r>
      <w:r w:rsidRPr="0031675F">
        <w:rPr>
          <w:spacing w:val="34"/>
        </w:rPr>
        <w:t xml:space="preserve"> </w:t>
      </w:r>
      <w:r w:rsidRPr="0031675F">
        <w:rPr>
          <w:spacing w:val="-1"/>
        </w:rPr>
        <w:t>unique</w:t>
      </w:r>
      <w:r w:rsidRPr="0031675F">
        <w:rPr>
          <w:spacing w:val="34"/>
        </w:rPr>
        <w:t xml:space="preserve"> </w:t>
      </w:r>
      <w:r w:rsidRPr="0031675F">
        <w:rPr>
          <w:spacing w:val="-1"/>
        </w:rPr>
        <w:t>identifier</w:t>
      </w:r>
      <w:r w:rsidRPr="0031675F">
        <w:rPr>
          <w:spacing w:val="34"/>
        </w:rPr>
        <w:t xml:space="preserve"> </w:t>
      </w:r>
      <w:r w:rsidRPr="0031675F">
        <w:t>which</w:t>
      </w:r>
      <w:r w:rsidRPr="0031675F">
        <w:rPr>
          <w:spacing w:val="32"/>
        </w:rPr>
        <w:t xml:space="preserve"> </w:t>
      </w:r>
      <w:r w:rsidRPr="0031675F">
        <w:t>is</w:t>
      </w:r>
      <w:r w:rsidRPr="0031675F">
        <w:rPr>
          <w:spacing w:val="33"/>
        </w:rPr>
        <w:t xml:space="preserve"> </w:t>
      </w:r>
      <w:r w:rsidRPr="0031675F">
        <w:rPr>
          <w:spacing w:val="-1"/>
        </w:rPr>
        <w:t>usually</w:t>
      </w:r>
      <w:r w:rsidRPr="0031675F">
        <w:rPr>
          <w:spacing w:val="35"/>
        </w:rPr>
        <w:t xml:space="preserve"> </w:t>
      </w:r>
      <w:r w:rsidRPr="0031675F">
        <w:t>a</w:t>
      </w:r>
      <w:r w:rsidRPr="0031675F">
        <w:rPr>
          <w:spacing w:val="33"/>
        </w:rPr>
        <w:t xml:space="preserve"> </w:t>
      </w:r>
      <w:r w:rsidRPr="0031675F">
        <w:rPr>
          <w:spacing w:val="-1"/>
        </w:rPr>
        <w:t>combination</w:t>
      </w:r>
      <w:r w:rsidRPr="0031675F">
        <w:rPr>
          <w:spacing w:val="31"/>
        </w:rPr>
        <w:t xml:space="preserve"> </w:t>
      </w:r>
      <w:r w:rsidRPr="0031675F">
        <w:t>of</w:t>
      </w:r>
      <w:r w:rsidRPr="0031675F">
        <w:rPr>
          <w:spacing w:val="31"/>
        </w:rPr>
        <w:t xml:space="preserve"> </w:t>
      </w:r>
      <w:r w:rsidRPr="0031675F">
        <w:rPr>
          <w:spacing w:val="-1"/>
        </w:rPr>
        <w:t>sampling</w:t>
      </w:r>
      <w:r w:rsidRPr="0031675F">
        <w:rPr>
          <w:spacing w:val="33"/>
        </w:rPr>
        <w:t xml:space="preserve"> </w:t>
      </w:r>
      <w:r w:rsidRPr="0031675F">
        <w:rPr>
          <w:spacing w:val="-1"/>
        </w:rPr>
        <w:t>site</w:t>
      </w:r>
      <w:r w:rsidRPr="0031675F">
        <w:rPr>
          <w:spacing w:val="52"/>
        </w:rPr>
        <w:t xml:space="preserve"> </w:t>
      </w:r>
      <w:r w:rsidRPr="0031675F">
        <w:rPr>
          <w:spacing w:val="-1"/>
        </w:rPr>
        <w:t>reference,</w:t>
      </w:r>
      <w:r w:rsidRPr="0031675F">
        <w:rPr>
          <w:spacing w:val="38"/>
        </w:rPr>
        <w:t xml:space="preserve"> </w:t>
      </w:r>
      <w:r w:rsidRPr="0031675F">
        <w:rPr>
          <w:spacing w:val="-1"/>
        </w:rPr>
        <w:t>depth</w:t>
      </w:r>
      <w:r w:rsidRPr="0031675F">
        <w:rPr>
          <w:spacing w:val="38"/>
        </w:rPr>
        <w:t xml:space="preserve"> </w:t>
      </w:r>
      <w:r w:rsidRPr="0031675F">
        <w:t>in</w:t>
      </w:r>
      <w:r w:rsidRPr="0031675F">
        <w:rPr>
          <w:spacing w:val="37"/>
        </w:rPr>
        <w:t xml:space="preserve"> </w:t>
      </w:r>
      <w:r w:rsidRPr="0031675F">
        <w:t>the</w:t>
      </w:r>
      <w:r w:rsidRPr="0031675F">
        <w:rPr>
          <w:spacing w:val="35"/>
        </w:rPr>
        <w:t xml:space="preserve"> </w:t>
      </w:r>
      <w:r w:rsidRPr="0031675F">
        <w:rPr>
          <w:spacing w:val="-1"/>
        </w:rPr>
        <w:t>water</w:t>
      </w:r>
      <w:r w:rsidRPr="0031675F">
        <w:rPr>
          <w:spacing w:val="38"/>
        </w:rPr>
        <w:t xml:space="preserve"> </w:t>
      </w:r>
      <w:r w:rsidRPr="0031675F">
        <w:rPr>
          <w:spacing w:val="-1"/>
        </w:rPr>
        <w:t>column</w:t>
      </w:r>
      <w:r w:rsidRPr="0031675F">
        <w:rPr>
          <w:spacing w:val="38"/>
        </w:rPr>
        <w:t xml:space="preserve"> </w:t>
      </w:r>
      <w:r w:rsidRPr="0031675F">
        <w:rPr>
          <w:spacing w:val="-2"/>
        </w:rPr>
        <w:t>from</w:t>
      </w:r>
      <w:r w:rsidRPr="0031675F">
        <w:rPr>
          <w:spacing w:val="40"/>
        </w:rPr>
        <w:t xml:space="preserve"> </w:t>
      </w:r>
      <w:r w:rsidRPr="0031675F">
        <w:t>which</w:t>
      </w:r>
      <w:r w:rsidRPr="0031675F">
        <w:rPr>
          <w:spacing w:val="36"/>
        </w:rPr>
        <w:t xml:space="preserve"> </w:t>
      </w:r>
      <w:r w:rsidRPr="0031675F">
        <w:rPr>
          <w:spacing w:val="-1"/>
        </w:rPr>
        <w:t>the</w:t>
      </w:r>
      <w:r w:rsidRPr="0031675F">
        <w:rPr>
          <w:spacing w:val="39"/>
        </w:rPr>
        <w:t xml:space="preserve"> </w:t>
      </w:r>
      <w:r w:rsidRPr="0031675F">
        <w:rPr>
          <w:spacing w:val="-1"/>
        </w:rPr>
        <w:t>sample</w:t>
      </w:r>
      <w:r w:rsidRPr="0031675F">
        <w:rPr>
          <w:spacing w:val="36"/>
        </w:rPr>
        <w:t xml:space="preserve"> </w:t>
      </w:r>
      <w:r w:rsidRPr="0031675F">
        <w:t>was</w:t>
      </w:r>
      <w:r w:rsidRPr="0031675F">
        <w:rPr>
          <w:spacing w:val="38"/>
        </w:rPr>
        <w:t xml:space="preserve"> </w:t>
      </w:r>
      <w:r w:rsidRPr="0031675F">
        <w:rPr>
          <w:spacing w:val="-1"/>
        </w:rPr>
        <w:t>taken</w:t>
      </w:r>
      <w:r w:rsidRPr="0031675F">
        <w:rPr>
          <w:spacing w:val="38"/>
        </w:rPr>
        <w:t xml:space="preserve"> </w:t>
      </w:r>
      <w:r w:rsidRPr="0031675F">
        <w:rPr>
          <w:spacing w:val="-1"/>
        </w:rPr>
        <w:t>and</w:t>
      </w:r>
      <w:r w:rsidRPr="0031675F">
        <w:rPr>
          <w:spacing w:val="35"/>
        </w:rPr>
        <w:t xml:space="preserve"> </w:t>
      </w:r>
      <w:r w:rsidRPr="0031675F">
        <w:t>the</w:t>
      </w:r>
      <w:r w:rsidRPr="0031675F">
        <w:rPr>
          <w:spacing w:val="39"/>
        </w:rPr>
        <w:t xml:space="preserve"> </w:t>
      </w:r>
      <w:r w:rsidRPr="0031675F">
        <w:rPr>
          <w:spacing w:val="-1"/>
        </w:rPr>
        <w:t>replicate</w:t>
      </w:r>
      <w:r w:rsidRPr="0031675F">
        <w:rPr>
          <w:spacing w:val="59"/>
        </w:rPr>
        <w:t xml:space="preserve"> </w:t>
      </w:r>
      <w:r w:rsidRPr="0031675F">
        <w:rPr>
          <w:spacing w:val="-1"/>
        </w:rPr>
        <w:t>number.</w:t>
      </w:r>
      <w:r w:rsidRPr="0031675F">
        <w:rPr>
          <w:spacing w:val="49"/>
        </w:rPr>
        <w:t xml:space="preserve"> </w:t>
      </w:r>
      <w:r w:rsidRPr="0031675F">
        <w:rPr>
          <w:spacing w:val="-2"/>
        </w:rPr>
        <w:t>The</w:t>
      </w:r>
      <w:r w:rsidRPr="0031675F">
        <w:t xml:space="preserve"> </w:t>
      </w:r>
      <w:r w:rsidRPr="0031675F">
        <w:rPr>
          <w:spacing w:val="-1"/>
        </w:rPr>
        <w:t>analysis</w:t>
      </w:r>
      <w:r w:rsidRPr="0031675F">
        <w:t xml:space="preserve"> </w:t>
      </w:r>
      <w:r w:rsidRPr="0031675F">
        <w:rPr>
          <w:spacing w:val="-1"/>
        </w:rPr>
        <w:t xml:space="preserve">reporting units </w:t>
      </w:r>
      <w:r w:rsidRPr="0031675F">
        <w:t>is in</w:t>
      </w:r>
      <w:r w:rsidRPr="0031675F">
        <w:rPr>
          <w:spacing w:val="-3"/>
        </w:rPr>
        <w:t xml:space="preserve"> </w:t>
      </w:r>
      <w:r w:rsidRPr="0031675F">
        <w:rPr>
          <w:spacing w:val="-1"/>
        </w:rPr>
        <w:t>mg</w:t>
      </w:r>
      <w:r w:rsidR="00E817CB">
        <w:rPr>
          <w:spacing w:val="-1"/>
        </w:rPr>
        <w:t xml:space="preserve"> L</w:t>
      </w:r>
      <w:r w:rsidR="00E817CB" w:rsidRPr="00E817CB">
        <w:rPr>
          <w:spacing w:val="-1"/>
          <w:vertAlign w:val="superscript"/>
        </w:rPr>
        <w:t>-1</w:t>
      </w:r>
      <w:r w:rsidRPr="0031675F">
        <w:rPr>
          <w:spacing w:val="-2"/>
        </w:rPr>
        <w:t xml:space="preserve"> </w:t>
      </w:r>
      <w:r w:rsidRPr="0031675F">
        <w:rPr>
          <w:spacing w:val="-1"/>
        </w:rPr>
        <w:t>and presented</w:t>
      </w:r>
      <w:r w:rsidRPr="0031675F">
        <w:rPr>
          <w:spacing w:val="-2"/>
        </w:rPr>
        <w:t xml:space="preserve"> </w:t>
      </w:r>
      <w:r w:rsidRPr="0031675F">
        <w:t xml:space="preserve">as </w:t>
      </w:r>
      <w:r w:rsidRPr="0031675F">
        <w:rPr>
          <w:spacing w:val="-1"/>
        </w:rPr>
        <w:t>per</w:t>
      </w:r>
      <w:r w:rsidRPr="0031675F">
        <w:rPr>
          <w:spacing w:val="-2"/>
        </w:rPr>
        <w:t xml:space="preserve"> </w:t>
      </w:r>
      <w:r w:rsidRPr="0031675F">
        <w:rPr>
          <w:spacing w:val="-1"/>
        </w:rPr>
        <w:t>Attachment 5.2.</w:t>
      </w:r>
    </w:p>
    <w:p w14:paraId="0D046EA2" w14:textId="45A87F50" w:rsidR="0031675F" w:rsidRPr="0031675F" w:rsidRDefault="0031675F" w:rsidP="0031675F">
      <w:pPr>
        <w:spacing w:after="120"/>
        <w:ind w:right="111"/>
        <w:jc w:val="both"/>
      </w:pPr>
      <w:r w:rsidRPr="0031675F">
        <w:t>An</w:t>
      </w:r>
      <w:r w:rsidRPr="0031675F">
        <w:rPr>
          <w:spacing w:val="27"/>
        </w:rPr>
        <w:t xml:space="preserve"> </w:t>
      </w:r>
      <w:r w:rsidRPr="0031675F">
        <w:rPr>
          <w:spacing w:val="-1"/>
        </w:rPr>
        <w:t>Excel</w:t>
      </w:r>
      <w:r w:rsidRPr="0031675F">
        <w:rPr>
          <w:spacing w:val="29"/>
        </w:rPr>
        <w:t xml:space="preserve"> </w:t>
      </w:r>
      <w:r w:rsidRPr="0031675F">
        <w:rPr>
          <w:spacing w:val="-1"/>
        </w:rPr>
        <w:t>worksheet</w:t>
      </w:r>
      <w:r w:rsidRPr="0031675F">
        <w:rPr>
          <w:spacing w:val="30"/>
        </w:rPr>
        <w:t xml:space="preserve"> </w:t>
      </w:r>
      <w:r w:rsidRPr="0031675F">
        <w:rPr>
          <w:spacing w:val="-1"/>
        </w:rPr>
        <w:t>combining</w:t>
      </w:r>
      <w:r w:rsidRPr="0031675F">
        <w:rPr>
          <w:spacing w:val="27"/>
        </w:rPr>
        <w:t xml:space="preserve"> </w:t>
      </w:r>
      <w:r w:rsidRPr="0031675F">
        <w:rPr>
          <w:spacing w:val="-1"/>
        </w:rPr>
        <w:t>sample</w:t>
      </w:r>
      <w:r w:rsidRPr="0031675F">
        <w:rPr>
          <w:spacing w:val="29"/>
        </w:rPr>
        <w:t xml:space="preserve"> </w:t>
      </w:r>
      <w:r w:rsidRPr="0031675F">
        <w:rPr>
          <w:spacing w:val="-1"/>
        </w:rPr>
        <w:t>details</w:t>
      </w:r>
      <w:r w:rsidRPr="0031675F">
        <w:rPr>
          <w:spacing w:val="29"/>
        </w:rPr>
        <w:t xml:space="preserve"> </w:t>
      </w:r>
      <w:r w:rsidRPr="0031675F">
        <w:rPr>
          <w:spacing w:val="-1"/>
        </w:rPr>
        <w:t>and</w:t>
      </w:r>
      <w:r w:rsidRPr="0031675F">
        <w:rPr>
          <w:spacing w:val="28"/>
        </w:rPr>
        <w:t xml:space="preserve"> </w:t>
      </w:r>
      <w:r w:rsidRPr="0031675F">
        <w:rPr>
          <w:spacing w:val="-1"/>
        </w:rPr>
        <w:t>analysis</w:t>
      </w:r>
      <w:r w:rsidRPr="0031675F">
        <w:rPr>
          <w:spacing w:val="28"/>
        </w:rPr>
        <w:t xml:space="preserve"> </w:t>
      </w:r>
      <w:r w:rsidRPr="0031675F">
        <w:rPr>
          <w:spacing w:val="-1"/>
        </w:rPr>
        <w:t>results</w:t>
      </w:r>
      <w:r w:rsidRPr="0031675F">
        <w:rPr>
          <w:spacing w:val="30"/>
        </w:rPr>
        <w:t xml:space="preserve"> </w:t>
      </w:r>
      <w:r w:rsidRPr="0031675F">
        <w:t>is</w:t>
      </w:r>
      <w:r w:rsidRPr="0031675F">
        <w:rPr>
          <w:spacing w:val="29"/>
        </w:rPr>
        <w:t xml:space="preserve"> </w:t>
      </w:r>
      <w:r w:rsidRPr="0031675F">
        <w:t>then</w:t>
      </w:r>
      <w:r w:rsidRPr="0031675F">
        <w:rPr>
          <w:spacing w:val="27"/>
        </w:rPr>
        <w:t xml:space="preserve"> </w:t>
      </w:r>
      <w:r w:rsidRPr="0031675F">
        <w:rPr>
          <w:spacing w:val="-1"/>
        </w:rPr>
        <w:t>used</w:t>
      </w:r>
      <w:r w:rsidRPr="0031675F">
        <w:rPr>
          <w:spacing w:val="28"/>
        </w:rPr>
        <w:t xml:space="preserve"> </w:t>
      </w:r>
      <w:r w:rsidRPr="0031675F">
        <w:t>to</w:t>
      </w:r>
      <w:r w:rsidRPr="0031675F">
        <w:rPr>
          <w:spacing w:val="31"/>
        </w:rPr>
        <w:t xml:space="preserve"> </w:t>
      </w:r>
      <w:r w:rsidRPr="0031675F">
        <w:rPr>
          <w:spacing w:val="-1"/>
        </w:rPr>
        <w:t>create</w:t>
      </w:r>
      <w:r w:rsidRPr="0031675F">
        <w:rPr>
          <w:spacing w:val="30"/>
        </w:rPr>
        <w:t xml:space="preserve"> </w:t>
      </w:r>
      <w:r w:rsidRPr="0031675F">
        <w:t>a</w:t>
      </w:r>
      <w:r w:rsidRPr="0031675F">
        <w:rPr>
          <w:spacing w:val="28"/>
        </w:rPr>
        <w:t xml:space="preserve"> </w:t>
      </w:r>
      <w:r w:rsidRPr="0031675F">
        <w:rPr>
          <w:spacing w:val="-1"/>
        </w:rPr>
        <w:t>feeder</w:t>
      </w:r>
      <w:r w:rsidRPr="0031675F">
        <w:rPr>
          <w:spacing w:val="71"/>
        </w:rPr>
        <w:t xml:space="preserve"> </w:t>
      </w:r>
      <w:r w:rsidRPr="0031675F">
        <w:rPr>
          <w:spacing w:val="-1"/>
        </w:rPr>
        <w:t>sheet</w:t>
      </w:r>
      <w:r w:rsidRPr="0031675F">
        <w:rPr>
          <w:spacing w:val="17"/>
        </w:rPr>
        <w:t xml:space="preserve"> </w:t>
      </w:r>
      <w:r w:rsidRPr="0031675F">
        <w:rPr>
          <w:spacing w:val="-1"/>
        </w:rPr>
        <w:t>for</w:t>
      </w:r>
      <w:r w:rsidRPr="0031675F">
        <w:rPr>
          <w:spacing w:val="17"/>
        </w:rPr>
        <w:t xml:space="preserve"> </w:t>
      </w:r>
      <w:r w:rsidRPr="0031675F">
        <w:t>the</w:t>
      </w:r>
      <w:r w:rsidRPr="0031675F">
        <w:rPr>
          <w:spacing w:val="17"/>
        </w:rPr>
        <w:t xml:space="preserve"> </w:t>
      </w:r>
      <w:r w:rsidRPr="0031675F">
        <w:rPr>
          <w:spacing w:val="-1"/>
        </w:rPr>
        <w:t>Oracle</w:t>
      </w:r>
      <w:r w:rsidRPr="0031675F">
        <w:rPr>
          <w:spacing w:val="17"/>
        </w:rPr>
        <w:t xml:space="preserve"> </w:t>
      </w:r>
      <w:r w:rsidRPr="0031675F">
        <w:rPr>
          <w:spacing w:val="-1"/>
        </w:rPr>
        <w:t>database</w:t>
      </w:r>
      <w:r w:rsidRPr="0031675F">
        <w:rPr>
          <w:spacing w:val="17"/>
        </w:rPr>
        <w:t xml:space="preserve"> </w:t>
      </w:r>
      <w:r w:rsidRPr="0031675F">
        <w:rPr>
          <w:spacing w:val="-1"/>
        </w:rPr>
        <w:t>(</w:t>
      </w:r>
      <w:hyperlink r:id="rId124" w:history="1">
        <w:r w:rsidRPr="0031675F">
          <w:rPr>
            <w:color w:val="0000FF"/>
            <w:spacing w:val="-1"/>
            <w:u w:val="single" w:color="0000FF"/>
          </w:rPr>
          <w:t>http://waterquality.aims.gov.au:8080/waterquality</w:t>
        </w:r>
      </w:hyperlink>
      <w:r w:rsidRPr="0031675F">
        <w:rPr>
          <w:spacing w:val="-1"/>
        </w:rPr>
        <w:t xml:space="preserve">) </w:t>
      </w:r>
      <w:r w:rsidRPr="0031675F">
        <w:t>which</w:t>
      </w:r>
      <w:r w:rsidRPr="0031675F">
        <w:rPr>
          <w:spacing w:val="15"/>
        </w:rPr>
        <w:t xml:space="preserve"> </w:t>
      </w:r>
      <w:r w:rsidRPr="0031675F">
        <w:t>will</w:t>
      </w:r>
      <w:r w:rsidRPr="0031675F">
        <w:rPr>
          <w:spacing w:val="17"/>
        </w:rPr>
        <w:t xml:space="preserve"> </w:t>
      </w:r>
      <w:r w:rsidRPr="0031675F">
        <w:rPr>
          <w:spacing w:val="-1"/>
        </w:rPr>
        <w:t>input</w:t>
      </w:r>
      <w:r w:rsidRPr="0031675F">
        <w:rPr>
          <w:spacing w:val="17"/>
        </w:rPr>
        <w:t xml:space="preserve"> </w:t>
      </w:r>
      <w:r w:rsidRPr="0031675F">
        <w:t>all</w:t>
      </w:r>
      <w:r w:rsidRPr="0031675F">
        <w:rPr>
          <w:spacing w:val="43"/>
        </w:rPr>
        <w:t xml:space="preserve"> </w:t>
      </w:r>
      <w:r w:rsidRPr="0031675F">
        <w:t>the</w:t>
      </w:r>
      <w:r w:rsidRPr="0031675F">
        <w:rPr>
          <w:spacing w:val="5"/>
        </w:rPr>
        <w:t xml:space="preserve"> </w:t>
      </w:r>
      <w:r w:rsidRPr="0031675F">
        <w:rPr>
          <w:spacing w:val="-1"/>
        </w:rPr>
        <w:t>analytical</w:t>
      </w:r>
      <w:r w:rsidRPr="0031675F">
        <w:rPr>
          <w:spacing w:val="5"/>
        </w:rPr>
        <w:t xml:space="preserve"> </w:t>
      </w:r>
      <w:r w:rsidRPr="0031675F">
        <w:rPr>
          <w:spacing w:val="-1"/>
        </w:rPr>
        <w:t>results</w:t>
      </w:r>
      <w:r w:rsidRPr="0031675F">
        <w:rPr>
          <w:spacing w:val="4"/>
        </w:rPr>
        <w:t xml:space="preserve"> </w:t>
      </w:r>
      <w:r w:rsidRPr="0031675F">
        <w:rPr>
          <w:spacing w:val="-1"/>
        </w:rPr>
        <w:t>and</w:t>
      </w:r>
      <w:r w:rsidRPr="0031675F">
        <w:rPr>
          <w:spacing w:val="4"/>
        </w:rPr>
        <w:t xml:space="preserve"> </w:t>
      </w:r>
      <w:r w:rsidRPr="0031675F">
        <w:rPr>
          <w:spacing w:val="-1"/>
        </w:rPr>
        <w:t>convert</w:t>
      </w:r>
      <w:r w:rsidRPr="0031675F">
        <w:rPr>
          <w:spacing w:val="5"/>
        </w:rPr>
        <w:t xml:space="preserve"> </w:t>
      </w:r>
      <w:r w:rsidRPr="0031675F">
        <w:rPr>
          <w:spacing w:val="-1"/>
        </w:rPr>
        <w:t>them</w:t>
      </w:r>
      <w:r w:rsidRPr="0031675F">
        <w:rPr>
          <w:spacing w:val="4"/>
        </w:rPr>
        <w:t xml:space="preserve"> </w:t>
      </w:r>
      <w:r w:rsidRPr="0031675F">
        <w:rPr>
          <w:spacing w:val="-1"/>
        </w:rPr>
        <w:t>from</w:t>
      </w:r>
      <w:r w:rsidRPr="0031675F">
        <w:rPr>
          <w:spacing w:val="3"/>
        </w:rPr>
        <w:t xml:space="preserve"> </w:t>
      </w:r>
      <w:r w:rsidRPr="0031675F">
        <w:rPr>
          <w:spacing w:val="-1"/>
        </w:rPr>
        <w:t>mg</w:t>
      </w:r>
      <w:r w:rsidR="00E817CB">
        <w:rPr>
          <w:spacing w:val="-1"/>
        </w:rPr>
        <w:t xml:space="preserve"> L</w:t>
      </w:r>
      <w:r w:rsidR="00E817CB" w:rsidRPr="00E817CB">
        <w:rPr>
          <w:spacing w:val="-1"/>
          <w:vertAlign w:val="superscript"/>
        </w:rPr>
        <w:t>-1</w:t>
      </w:r>
      <w:r w:rsidRPr="0031675F">
        <w:rPr>
          <w:spacing w:val="4"/>
        </w:rPr>
        <w:t xml:space="preserve"> </w:t>
      </w:r>
      <w:r w:rsidRPr="0031675F">
        <w:rPr>
          <w:spacing w:val="-1"/>
        </w:rPr>
        <w:t>to</w:t>
      </w:r>
      <w:r w:rsidRPr="0031675F">
        <w:rPr>
          <w:spacing w:val="3"/>
        </w:rPr>
        <w:t xml:space="preserve"> </w:t>
      </w:r>
      <w:r w:rsidRPr="0031675F">
        <w:rPr>
          <w:spacing w:val="-1"/>
        </w:rPr>
        <w:t>uM.</w:t>
      </w:r>
      <w:r w:rsidRPr="0031675F">
        <w:rPr>
          <w:spacing w:val="9"/>
        </w:rPr>
        <w:t xml:space="preserve"> </w:t>
      </w:r>
      <w:r w:rsidRPr="0031675F">
        <w:t>It</w:t>
      </w:r>
      <w:r w:rsidRPr="0031675F">
        <w:rPr>
          <w:spacing w:val="2"/>
        </w:rPr>
        <w:t xml:space="preserve"> </w:t>
      </w:r>
      <w:r w:rsidRPr="0031675F">
        <w:t>will</w:t>
      </w:r>
      <w:r w:rsidRPr="0031675F">
        <w:rPr>
          <w:spacing w:val="4"/>
        </w:rPr>
        <w:t xml:space="preserve"> </w:t>
      </w:r>
      <w:r w:rsidRPr="0031675F">
        <w:rPr>
          <w:spacing w:val="-1"/>
        </w:rPr>
        <w:t>also</w:t>
      </w:r>
      <w:r w:rsidRPr="0031675F">
        <w:rPr>
          <w:spacing w:val="6"/>
        </w:rPr>
        <w:t xml:space="preserve"> </w:t>
      </w:r>
      <w:r w:rsidRPr="0031675F">
        <w:rPr>
          <w:spacing w:val="-1"/>
        </w:rPr>
        <w:t>keep</w:t>
      </w:r>
      <w:r w:rsidRPr="0031675F">
        <w:rPr>
          <w:spacing w:val="4"/>
        </w:rPr>
        <w:t xml:space="preserve"> </w:t>
      </w:r>
      <w:r w:rsidRPr="0031675F">
        <w:t>a</w:t>
      </w:r>
      <w:r w:rsidRPr="0031675F">
        <w:rPr>
          <w:spacing w:val="2"/>
        </w:rPr>
        <w:t xml:space="preserve"> </w:t>
      </w:r>
      <w:r w:rsidRPr="0031675F">
        <w:rPr>
          <w:spacing w:val="-1"/>
        </w:rPr>
        <w:t>copy</w:t>
      </w:r>
      <w:r w:rsidRPr="0031675F">
        <w:rPr>
          <w:spacing w:val="6"/>
        </w:rPr>
        <w:t xml:space="preserve"> </w:t>
      </w:r>
      <w:r w:rsidRPr="0031675F">
        <w:t>of</w:t>
      </w:r>
      <w:r w:rsidRPr="0031675F">
        <w:rPr>
          <w:spacing w:val="2"/>
        </w:rPr>
        <w:t xml:space="preserve"> </w:t>
      </w:r>
      <w:r w:rsidRPr="0031675F">
        <w:t>the</w:t>
      </w:r>
      <w:r w:rsidRPr="0031675F">
        <w:rPr>
          <w:spacing w:val="3"/>
        </w:rPr>
        <w:t xml:space="preserve"> </w:t>
      </w:r>
      <w:r w:rsidRPr="0031675F">
        <w:rPr>
          <w:spacing w:val="-1"/>
        </w:rPr>
        <w:t>related</w:t>
      </w:r>
      <w:r w:rsidRPr="0031675F">
        <w:rPr>
          <w:spacing w:val="4"/>
        </w:rPr>
        <w:t xml:space="preserve"> </w:t>
      </w:r>
      <w:r w:rsidRPr="0031675F">
        <w:rPr>
          <w:spacing w:val="-2"/>
        </w:rPr>
        <w:t>excel</w:t>
      </w:r>
      <w:r w:rsidRPr="0031675F">
        <w:rPr>
          <w:spacing w:val="63"/>
        </w:rPr>
        <w:t xml:space="preserve"> </w:t>
      </w:r>
      <w:r w:rsidRPr="0031675F">
        <w:rPr>
          <w:spacing w:val="-1"/>
        </w:rPr>
        <w:t>file</w:t>
      </w:r>
      <w:r w:rsidRPr="0031675F">
        <w:rPr>
          <w:spacing w:val="15"/>
        </w:rPr>
        <w:t xml:space="preserve"> </w:t>
      </w:r>
      <w:r w:rsidRPr="0031675F">
        <w:rPr>
          <w:spacing w:val="-1"/>
        </w:rPr>
        <w:t>complete</w:t>
      </w:r>
      <w:r w:rsidRPr="0031675F">
        <w:rPr>
          <w:spacing w:val="12"/>
        </w:rPr>
        <w:t xml:space="preserve"> </w:t>
      </w:r>
      <w:r w:rsidRPr="0031675F">
        <w:t>with</w:t>
      </w:r>
      <w:r w:rsidRPr="0031675F">
        <w:rPr>
          <w:spacing w:val="12"/>
        </w:rPr>
        <w:t xml:space="preserve"> </w:t>
      </w:r>
      <w:r w:rsidRPr="0031675F">
        <w:t>QAQC</w:t>
      </w:r>
      <w:r w:rsidRPr="0031675F">
        <w:rPr>
          <w:spacing w:val="12"/>
        </w:rPr>
        <w:t xml:space="preserve"> </w:t>
      </w:r>
      <w:r w:rsidRPr="0031675F">
        <w:rPr>
          <w:spacing w:val="-1"/>
        </w:rPr>
        <w:t>data.</w:t>
      </w:r>
      <w:r w:rsidRPr="0031675F">
        <w:rPr>
          <w:spacing w:val="28"/>
        </w:rPr>
        <w:t xml:space="preserve"> </w:t>
      </w:r>
      <w:r w:rsidRPr="0031675F">
        <w:rPr>
          <w:spacing w:val="-1"/>
        </w:rPr>
        <w:t>All</w:t>
      </w:r>
      <w:r w:rsidRPr="0031675F">
        <w:rPr>
          <w:spacing w:val="12"/>
        </w:rPr>
        <w:t xml:space="preserve"> </w:t>
      </w:r>
      <w:r w:rsidRPr="0031675F">
        <w:rPr>
          <w:spacing w:val="-1"/>
        </w:rPr>
        <w:t>laboratory</w:t>
      </w:r>
      <w:r w:rsidRPr="0031675F">
        <w:rPr>
          <w:spacing w:val="13"/>
        </w:rPr>
        <w:t xml:space="preserve"> </w:t>
      </w:r>
      <w:r w:rsidRPr="0031675F">
        <w:rPr>
          <w:spacing w:val="-1"/>
        </w:rPr>
        <w:t>work</w:t>
      </w:r>
      <w:r w:rsidRPr="0031675F">
        <w:rPr>
          <w:spacing w:val="15"/>
        </w:rPr>
        <w:t xml:space="preserve"> </w:t>
      </w:r>
      <w:r w:rsidRPr="0031675F">
        <w:rPr>
          <w:spacing w:val="-1"/>
        </w:rPr>
        <w:t>forms</w:t>
      </w:r>
      <w:r w:rsidRPr="0031675F">
        <w:rPr>
          <w:spacing w:val="14"/>
        </w:rPr>
        <w:t xml:space="preserve"> </w:t>
      </w:r>
      <w:r w:rsidRPr="0031675F">
        <w:rPr>
          <w:spacing w:val="-1"/>
        </w:rPr>
        <w:t>are</w:t>
      </w:r>
      <w:r w:rsidRPr="0031675F">
        <w:rPr>
          <w:spacing w:val="12"/>
        </w:rPr>
        <w:t xml:space="preserve"> </w:t>
      </w:r>
      <w:r w:rsidRPr="0031675F">
        <w:t>then</w:t>
      </w:r>
      <w:r w:rsidRPr="0031675F">
        <w:rPr>
          <w:spacing w:val="14"/>
        </w:rPr>
        <w:t xml:space="preserve"> </w:t>
      </w:r>
      <w:r w:rsidRPr="0031675F">
        <w:rPr>
          <w:spacing w:val="-1"/>
        </w:rPr>
        <w:t>archived.</w:t>
      </w:r>
      <w:r w:rsidRPr="0031675F">
        <w:rPr>
          <w:spacing w:val="33"/>
        </w:rPr>
        <w:t xml:space="preserve"> </w:t>
      </w:r>
      <w:r w:rsidRPr="0031675F">
        <w:rPr>
          <w:spacing w:val="-1"/>
        </w:rPr>
        <w:t>For</w:t>
      </w:r>
      <w:r w:rsidRPr="0031675F">
        <w:rPr>
          <w:spacing w:val="14"/>
        </w:rPr>
        <w:t xml:space="preserve"> </w:t>
      </w:r>
      <w:r w:rsidRPr="0031675F">
        <w:rPr>
          <w:spacing w:val="-1"/>
        </w:rPr>
        <w:t>details</w:t>
      </w:r>
      <w:r w:rsidRPr="0031675F">
        <w:rPr>
          <w:spacing w:val="12"/>
        </w:rPr>
        <w:t xml:space="preserve"> </w:t>
      </w:r>
      <w:r w:rsidRPr="0031675F">
        <w:rPr>
          <w:spacing w:val="-1"/>
        </w:rPr>
        <w:t>about</w:t>
      </w:r>
      <w:r w:rsidRPr="0031675F">
        <w:rPr>
          <w:spacing w:val="12"/>
        </w:rPr>
        <w:t xml:space="preserve"> </w:t>
      </w:r>
      <w:r w:rsidRPr="0031675F">
        <w:rPr>
          <w:spacing w:val="-1"/>
        </w:rPr>
        <w:t>data</w:t>
      </w:r>
      <w:r w:rsidRPr="0031675F">
        <w:rPr>
          <w:spacing w:val="59"/>
        </w:rPr>
        <w:t xml:space="preserve"> </w:t>
      </w:r>
      <w:r w:rsidRPr="0031675F">
        <w:rPr>
          <w:spacing w:val="-1"/>
        </w:rPr>
        <w:t>management</w:t>
      </w:r>
      <w:r w:rsidRPr="0031675F">
        <w:rPr>
          <w:spacing w:val="-3"/>
        </w:rPr>
        <w:t xml:space="preserve"> </w:t>
      </w:r>
      <w:r w:rsidRPr="0031675F">
        <w:rPr>
          <w:spacing w:val="-1"/>
        </w:rPr>
        <w:t>procedures</w:t>
      </w:r>
      <w:r w:rsidRPr="0031675F">
        <w:t xml:space="preserve"> </w:t>
      </w:r>
      <w:r w:rsidRPr="0031675F">
        <w:rPr>
          <w:spacing w:val="-1"/>
        </w:rPr>
        <w:t>developed</w:t>
      </w:r>
      <w:r w:rsidRPr="0031675F">
        <w:t xml:space="preserve"> </w:t>
      </w:r>
      <w:r w:rsidRPr="0031675F">
        <w:rPr>
          <w:spacing w:val="-2"/>
        </w:rPr>
        <w:t>at</w:t>
      </w:r>
      <w:r w:rsidRPr="0031675F">
        <w:t xml:space="preserve"> </w:t>
      </w:r>
      <w:r w:rsidRPr="0031675F">
        <w:rPr>
          <w:spacing w:val="-1"/>
        </w:rPr>
        <w:t>AIMS</w:t>
      </w:r>
      <w:r w:rsidRPr="0031675F">
        <w:t xml:space="preserve"> </w:t>
      </w:r>
      <w:r w:rsidRPr="0031675F">
        <w:rPr>
          <w:spacing w:val="-1"/>
        </w:rPr>
        <w:t>under</w:t>
      </w:r>
      <w:r w:rsidRPr="0031675F">
        <w:t xml:space="preserve"> </w:t>
      </w:r>
      <w:r w:rsidRPr="0031675F">
        <w:rPr>
          <w:spacing w:val="-1"/>
        </w:rPr>
        <w:t>Reef</w:t>
      </w:r>
      <w:r w:rsidRPr="0031675F">
        <w:t xml:space="preserve"> </w:t>
      </w:r>
      <w:r w:rsidRPr="0031675F">
        <w:rPr>
          <w:spacing w:val="-1"/>
        </w:rPr>
        <w:t>Rescue</w:t>
      </w:r>
      <w:r w:rsidRPr="0031675F">
        <w:rPr>
          <w:spacing w:val="-2"/>
        </w:rPr>
        <w:t xml:space="preserve"> </w:t>
      </w:r>
      <w:r w:rsidRPr="0031675F">
        <w:rPr>
          <w:spacing w:val="-1"/>
        </w:rPr>
        <w:t>MMP</w:t>
      </w:r>
      <w:r w:rsidRPr="0031675F">
        <w:rPr>
          <w:spacing w:val="1"/>
        </w:rPr>
        <w:t xml:space="preserve"> </w:t>
      </w:r>
      <w:r w:rsidRPr="0031675F">
        <w:rPr>
          <w:spacing w:val="-1"/>
        </w:rPr>
        <w:t xml:space="preserve">see </w:t>
      </w:r>
      <w:r w:rsidRPr="0031675F">
        <w:rPr>
          <w:spacing w:val="-2"/>
        </w:rPr>
        <w:t>Section</w:t>
      </w:r>
      <w:r w:rsidRPr="0031675F">
        <w:rPr>
          <w:spacing w:val="-1"/>
        </w:rPr>
        <w:t xml:space="preserve"> </w:t>
      </w:r>
      <w:r w:rsidRPr="0031675F">
        <w:t>A12.</w:t>
      </w:r>
    </w:p>
    <w:p w14:paraId="7E150381" w14:textId="77777777" w:rsidR="0031675F" w:rsidRPr="0031675F" w:rsidRDefault="0031675F" w:rsidP="0031675F">
      <w:pPr>
        <w:spacing w:before="9"/>
        <w:rPr>
          <w:rFonts w:cs="Calibri"/>
          <w:sz w:val="21"/>
          <w:szCs w:val="21"/>
        </w:rPr>
      </w:pPr>
    </w:p>
    <w:p w14:paraId="07347715" w14:textId="77777777" w:rsidR="0031675F" w:rsidRPr="0031675F" w:rsidRDefault="0031675F" w:rsidP="0031675F">
      <w:pPr>
        <w:widowControl w:val="0"/>
        <w:numPr>
          <w:ilvl w:val="1"/>
          <w:numId w:val="110"/>
        </w:numPr>
        <w:tabs>
          <w:tab w:val="left" w:pos="686"/>
        </w:tabs>
        <w:spacing w:before="0" w:after="0" w:line="240" w:lineRule="auto"/>
        <w:ind w:left="685"/>
        <w:jc w:val="both"/>
        <w:rPr>
          <w:rFonts w:eastAsia="Arial" w:cs="Arial"/>
          <w:sz w:val="24"/>
          <w:szCs w:val="24"/>
        </w:rPr>
      </w:pPr>
      <w:bookmarkStart w:id="635" w:name="_TOC_250050"/>
      <w:r w:rsidRPr="0031675F">
        <w:rPr>
          <w:b/>
          <w:sz w:val="24"/>
        </w:rPr>
        <w:t>Quality</w:t>
      </w:r>
      <w:r w:rsidRPr="0031675F">
        <w:rPr>
          <w:b/>
          <w:spacing w:val="-6"/>
          <w:sz w:val="24"/>
        </w:rPr>
        <w:t xml:space="preserve"> </w:t>
      </w:r>
      <w:r w:rsidRPr="0031675F">
        <w:rPr>
          <w:b/>
          <w:spacing w:val="-1"/>
          <w:sz w:val="24"/>
        </w:rPr>
        <w:t>control</w:t>
      </w:r>
      <w:bookmarkEnd w:id="635"/>
    </w:p>
    <w:p w14:paraId="02C926FE" w14:textId="77777777" w:rsidR="0031675F" w:rsidRPr="0031675F" w:rsidRDefault="0031675F" w:rsidP="0031675F">
      <w:pPr>
        <w:spacing w:before="20" w:after="120" w:line="538" w:lineRule="exact"/>
        <w:ind w:right="2040"/>
      </w:pPr>
      <w:r w:rsidRPr="0031675F">
        <w:t xml:space="preserve">QAQC </w:t>
      </w:r>
      <w:r w:rsidRPr="0031675F">
        <w:rPr>
          <w:spacing w:val="-1"/>
        </w:rPr>
        <w:t>tests</w:t>
      </w:r>
      <w:r w:rsidRPr="0031675F">
        <w:rPr>
          <w:spacing w:val="-3"/>
        </w:rPr>
        <w:t xml:space="preserve"> </w:t>
      </w:r>
      <w:r w:rsidRPr="0031675F">
        <w:rPr>
          <w:spacing w:val="-1"/>
        </w:rPr>
        <w:t>undertaken</w:t>
      </w:r>
      <w:r w:rsidRPr="0031675F">
        <w:t xml:space="preserve"> </w:t>
      </w:r>
      <w:r w:rsidRPr="0031675F">
        <w:rPr>
          <w:spacing w:val="-2"/>
        </w:rPr>
        <w:t>and</w:t>
      </w:r>
      <w:r w:rsidRPr="0031675F">
        <w:rPr>
          <w:spacing w:val="-1"/>
        </w:rPr>
        <w:t xml:space="preserve"> reporting as</w:t>
      </w:r>
      <w:r w:rsidRPr="0031675F">
        <w:t xml:space="preserve"> </w:t>
      </w:r>
      <w:r w:rsidRPr="0031675F">
        <w:rPr>
          <w:spacing w:val="-1"/>
        </w:rPr>
        <w:t>part</w:t>
      </w:r>
      <w:r w:rsidRPr="0031675F">
        <w:rPr>
          <w:spacing w:val="-2"/>
        </w:rPr>
        <w:t xml:space="preserve"> </w:t>
      </w:r>
      <w:r w:rsidRPr="0031675F">
        <w:t>of</w:t>
      </w:r>
      <w:r w:rsidRPr="0031675F">
        <w:rPr>
          <w:spacing w:val="-2"/>
        </w:rPr>
        <w:t xml:space="preserve"> </w:t>
      </w:r>
      <w:r w:rsidRPr="0031675F">
        <w:t xml:space="preserve">the </w:t>
      </w:r>
      <w:r w:rsidRPr="0031675F">
        <w:rPr>
          <w:spacing w:val="-1"/>
        </w:rPr>
        <w:t>data</w:t>
      </w:r>
      <w:r w:rsidRPr="0031675F">
        <w:t xml:space="preserve"> </w:t>
      </w:r>
      <w:r w:rsidRPr="0031675F">
        <w:rPr>
          <w:spacing w:val="-1"/>
        </w:rPr>
        <w:t>reporting include:</w:t>
      </w:r>
      <w:r w:rsidRPr="0031675F">
        <w:rPr>
          <w:spacing w:val="61"/>
        </w:rPr>
        <w:t xml:space="preserve"> </w:t>
      </w: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limit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detection (LOD)</w:t>
      </w:r>
    </w:p>
    <w:p w14:paraId="79E980E3" w14:textId="77777777" w:rsidR="0031675F" w:rsidRPr="0031675F" w:rsidRDefault="0031675F" w:rsidP="0031675F">
      <w:pPr>
        <w:spacing w:after="120" w:line="221" w:lineRule="exact"/>
        <w:jc w:val="both"/>
      </w:pPr>
      <w:r w:rsidRPr="0031675F">
        <w:rPr>
          <w:spacing w:val="-1"/>
        </w:rPr>
        <w:t>NB:</w:t>
      </w:r>
      <w:r w:rsidRPr="0031675F">
        <w:rPr>
          <w:spacing w:val="33"/>
        </w:rPr>
        <w:t xml:space="preserve"> </w:t>
      </w:r>
      <w:r w:rsidRPr="0031675F">
        <w:t>the</w:t>
      </w:r>
      <w:r w:rsidRPr="0031675F">
        <w:rPr>
          <w:spacing w:val="32"/>
        </w:rPr>
        <w:t xml:space="preserve"> </w:t>
      </w:r>
      <w:r w:rsidRPr="0031675F">
        <w:rPr>
          <w:spacing w:val="-1"/>
        </w:rPr>
        <w:t>Limit</w:t>
      </w:r>
      <w:r w:rsidRPr="0031675F">
        <w:rPr>
          <w:spacing w:val="31"/>
        </w:rPr>
        <w:t xml:space="preserve"> </w:t>
      </w:r>
      <w:r w:rsidRPr="0031675F">
        <w:t>of</w:t>
      </w:r>
      <w:r w:rsidRPr="0031675F">
        <w:rPr>
          <w:spacing w:val="30"/>
        </w:rPr>
        <w:t xml:space="preserve"> </w:t>
      </w:r>
      <w:r w:rsidRPr="0031675F">
        <w:rPr>
          <w:spacing w:val="-1"/>
        </w:rPr>
        <w:t>Detection</w:t>
      </w:r>
      <w:r w:rsidRPr="0031675F">
        <w:rPr>
          <w:spacing w:val="33"/>
        </w:rPr>
        <w:t xml:space="preserve"> </w:t>
      </w:r>
      <w:r w:rsidRPr="0031675F">
        <w:rPr>
          <w:spacing w:val="-1"/>
        </w:rPr>
        <w:t>(LOD)</w:t>
      </w:r>
      <w:r w:rsidRPr="0031675F">
        <w:rPr>
          <w:spacing w:val="32"/>
        </w:rPr>
        <w:t xml:space="preserve"> </w:t>
      </w:r>
      <w:r w:rsidRPr="0031675F">
        <w:t>or</w:t>
      </w:r>
      <w:r w:rsidRPr="0031675F">
        <w:rPr>
          <w:spacing w:val="31"/>
        </w:rPr>
        <w:t xml:space="preserve"> </w:t>
      </w:r>
      <w:r w:rsidRPr="0031675F">
        <w:rPr>
          <w:spacing w:val="-1"/>
        </w:rPr>
        <w:t>detection</w:t>
      </w:r>
      <w:r w:rsidRPr="0031675F">
        <w:rPr>
          <w:spacing w:val="32"/>
        </w:rPr>
        <w:t xml:space="preserve"> </w:t>
      </w:r>
      <w:r w:rsidRPr="0031675F">
        <w:rPr>
          <w:spacing w:val="-1"/>
        </w:rPr>
        <w:t>limit,</w:t>
      </w:r>
      <w:r w:rsidRPr="0031675F">
        <w:rPr>
          <w:spacing w:val="29"/>
        </w:rPr>
        <w:t xml:space="preserve"> </w:t>
      </w:r>
      <w:r w:rsidRPr="0031675F">
        <w:t>is</w:t>
      </w:r>
      <w:r w:rsidRPr="0031675F">
        <w:rPr>
          <w:spacing w:val="33"/>
        </w:rPr>
        <w:t xml:space="preserve"> </w:t>
      </w:r>
      <w:r w:rsidRPr="0031675F">
        <w:t>the</w:t>
      </w:r>
      <w:r w:rsidRPr="0031675F">
        <w:rPr>
          <w:spacing w:val="33"/>
        </w:rPr>
        <w:t xml:space="preserve"> </w:t>
      </w:r>
      <w:r w:rsidRPr="0031675F">
        <w:rPr>
          <w:spacing w:val="-1"/>
        </w:rPr>
        <w:t>lowest</w:t>
      </w:r>
      <w:r w:rsidRPr="0031675F">
        <w:rPr>
          <w:spacing w:val="39"/>
        </w:rPr>
        <w:t xml:space="preserve"> </w:t>
      </w:r>
      <w:r w:rsidRPr="0031675F">
        <w:rPr>
          <w:spacing w:val="-1"/>
        </w:rPr>
        <w:t>concentration</w:t>
      </w:r>
      <w:r w:rsidRPr="0031675F">
        <w:rPr>
          <w:spacing w:val="33"/>
        </w:rPr>
        <w:t xml:space="preserve"> </w:t>
      </w:r>
      <w:r w:rsidRPr="0031675F">
        <w:rPr>
          <w:spacing w:val="-1"/>
        </w:rPr>
        <w:t>level</w:t>
      </w:r>
      <w:r w:rsidRPr="0031675F">
        <w:rPr>
          <w:spacing w:val="34"/>
        </w:rPr>
        <w:t xml:space="preserve"> </w:t>
      </w:r>
      <w:r w:rsidRPr="0031675F">
        <w:rPr>
          <w:spacing w:val="-1"/>
        </w:rPr>
        <w:t>that</w:t>
      </w:r>
      <w:r w:rsidRPr="0031675F">
        <w:rPr>
          <w:spacing w:val="33"/>
        </w:rPr>
        <w:t xml:space="preserve"> </w:t>
      </w:r>
      <w:r w:rsidRPr="0031675F">
        <w:t>can</w:t>
      </w:r>
      <w:r w:rsidRPr="0031675F">
        <w:rPr>
          <w:spacing w:val="31"/>
        </w:rPr>
        <w:t xml:space="preserve"> </w:t>
      </w:r>
      <w:r w:rsidRPr="0031675F">
        <w:rPr>
          <w:spacing w:val="-1"/>
        </w:rPr>
        <w:t>be</w:t>
      </w:r>
    </w:p>
    <w:p w14:paraId="0E028187" w14:textId="77777777" w:rsidR="0031675F" w:rsidRPr="0031675F" w:rsidRDefault="0031675F" w:rsidP="0031675F">
      <w:pPr>
        <w:spacing w:after="120"/>
        <w:jc w:val="both"/>
      </w:pPr>
      <w:r w:rsidRPr="0031675F">
        <w:rPr>
          <w:spacing w:val="-1"/>
        </w:rPr>
        <w:t>determined</w:t>
      </w:r>
      <w:r w:rsidRPr="0031675F">
        <w:t xml:space="preserve"> </w:t>
      </w:r>
      <w:r w:rsidRPr="0031675F">
        <w:rPr>
          <w:spacing w:val="-1"/>
        </w:rPr>
        <w:t>to</w:t>
      </w:r>
      <w:r w:rsidRPr="0031675F">
        <w:rPr>
          <w:spacing w:val="1"/>
        </w:rPr>
        <w:t xml:space="preserve"> </w:t>
      </w:r>
      <w:r w:rsidRPr="0031675F">
        <w:rPr>
          <w:spacing w:val="-1"/>
        </w:rPr>
        <w:t>be</w:t>
      </w:r>
      <w:r w:rsidRPr="0031675F">
        <w:rPr>
          <w:spacing w:val="-2"/>
        </w:rPr>
        <w:t xml:space="preserve"> </w:t>
      </w:r>
      <w:r w:rsidRPr="0031675F">
        <w:rPr>
          <w:spacing w:val="-1"/>
        </w:rPr>
        <w:t>statistically</w:t>
      </w:r>
      <w:r w:rsidRPr="0031675F">
        <w:t xml:space="preserve"> </w:t>
      </w:r>
      <w:r w:rsidRPr="0031675F">
        <w:rPr>
          <w:spacing w:val="-1"/>
        </w:rPr>
        <w:t>different</w:t>
      </w:r>
      <w:r w:rsidRPr="0031675F">
        <w:rPr>
          <w:spacing w:val="-2"/>
        </w:rPr>
        <w:t xml:space="preserve"> </w:t>
      </w:r>
      <w:r w:rsidRPr="0031675F">
        <w:rPr>
          <w:spacing w:val="-1"/>
        </w:rPr>
        <w:t>from</w:t>
      </w:r>
      <w:r w:rsidRPr="0031675F">
        <w:rPr>
          <w:spacing w:val="-2"/>
        </w:rPr>
        <w:t xml:space="preserve"> </w:t>
      </w:r>
      <w:r w:rsidRPr="0031675F">
        <w:t xml:space="preserve">a </w:t>
      </w:r>
      <w:r w:rsidRPr="0031675F">
        <w:rPr>
          <w:spacing w:val="-1"/>
        </w:rPr>
        <w:t>blank</w:t>
      </w:r>
      <w:r w:rsidRPr="0031675F">
        <w:t xml:space="preserve"> </w:t>
      </w:r>
      <w:r w:rsidRPr="0031675F">
        <w:rPr>
          <w:spacing w:val="-2"/>
        </w:rPr>
        <w:t xml:space="preserve">(99% </w:t>
      </w:r>
      <w:r w:rsidRPr="0031675F">
        <w:rPr>
          <w:spacing w:val="-1"/>
        </w:rPr>
        <w:t>confidence).</w:t>
      </w:r>
    </w:p>
    <w:p w14:paraId="112FC23B" w14:textId="77777777" w:rsidR="0031675F" w:rsidRPr="0031675F" w:rsidRDefault="0031675F" w:rsidP="0031675F">
      <w:pPr>
        <w:widowControl w:val="0"/>
        <w:numPr>
          <w:ilvl w:val="0"/>
          <w:numId w:val="108"/>
        </w:numPr>
        <w:tabs>
          <w:tab w:val="left" w:pos="403"/>
        </w:tabs>
        <w:spacing w:before="0" w:after="0" w:line="240" w:lineRule="auto"/>
        <w:jc w:val="both"/>
      </w:pPr>
      <w:r w:rsidRPr="0031675F">
        <w:rPr>
          <w:spacing w:val="-1"/>
        </w:rPr>
        <w:t>Minimum</w:t>
      </w:r>
      <w:r w:rsidRPr="0031675F">
        <w:rPr>
          <w:spacing w:val="1"/>
        </w:rPr>
        <w:t xml:space="preserve"> </w:t>
      </w:r>
      <w:r w:rsidRPr="0031675F">
        <w:rPr>
          <w:spacing w:val="-1"/>
        </w:rPr>
        <w:t>detection limits</w:t>
      </w:r>
      <w:r w:rsidRPr="0031675F">
        <w:rPr>
          <w:spacing w:val="-5"/>
        </w:rPr>
        <w:t xml:space="preserve"> </w:t>
      </w:r>
      <w:r w:rsidRPr="0031675F">
        <w:t>were</w:t>
      </w:r>
      <w:r w:rsidRPr="0031675F">
        <w:rPr>
          <w:spacing w:val="-2"/>
        </w:rPr>
        <w:t xml:space="preserve"> </w:t>
      </w:r>
      <w:r w:rsidRPr="0031675F">
        <w:rPr>
          <w:spacing w:val="-1"/>
        </w:rPr>
        <w:t>calculated</w:t>
      </w:r>
      <w:r w:rsidRPr="0031675F">
        <w:t xml:space="preserve"> for</w:t>
      </w:r>
      <w:r w:rsidRPr="0031675F">
        <w:rPr>
          <w:spacing w:val="-3"/>
        </w:rPr>
        <w:t xml:space="preserve"> </w:t>
      </w:r>
      <w:r w:rsidRPr="0031675F">
        <w:rPr>
          <w:spacing w:val="-1"/>
        </w:rPr>
        <w:t>this</w:t>
      </w:r>
      <w:r w:rsidRPr="0031675F">
        <w:rPr>
          <w:spacing w:val="-3"/>
        </w:rPr>
        <w:t xml:space="preserve"> </w:t>
      </w:r>
      <w:r w:rsidRPr="0031675F">
        <w:rPr>
          <w:spacing w:val="-1"/>
        </w:rPr>
        <w:t xml:space="preserve">method using repetition </w:t>
      </w:r>
      <w:r w:rsidRPr="0031675F">
        <w:t>of</w:t>
      </w:r>
      <w:r w:rsidRPr="0031675F">
        <w:rPr>
          <w:spacing w:val="-3"/>
        </w:rPr>
        <w:t xml:space="preserve"> </w:t>
      </w:r>
      <w:r w:rsidRPr="0031675F">
        <w:rPr>
          <w:spacing w:val="-1"/>
        </w:rPr>
        <w:t>blanks.</w:t>
      </w:r>
    </w:p>
    <w:p w14:paraId="703B0F06" w14:textId="77777777" w:rsidR="0031675F" w:rsidRPr="0031675F" w:rsidRDefault="0031675F" w:rsidP="0031675F">
      <w:pPr>
        <w:rPr>
          <w:rFonts w:cs="Calibri"/>
        </w:rPr>
      </w:pPr>
    </w:p>
    <w:p w14:paraId="24BC3EDC" w14:textId="77777777" w:rsidR="0031675F" w:rsidRPr="0031675F" w:rsidRDefault="0031675F" w:rsidP="0031675F">
      <w:pPr>
        <w:spacing w:after="120"/>
        <w:jc w:val="both"/>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accuracy</w:t>
      </w:r>
      <w:r w:rsidRPr="0031675F">
        <w:rPr>
          <w:spacing w:val="-2"/>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analysis</w:t>
      </w:r>
    </w:p>
    <w:p w14:paraId="64C44421" w14:textId="77777777" w:rsidR="0031675F" w:rsidRPr="0031675F" w:rsidRDefault="0031675F" w:rsidP="0031675F">
      <w:pPr>
        <w:ind w:left="118" w:right="119"/>
        <w:rPr>
          <w:rFonts w:cs="Calibri"/>
        </w:rPr>
      </w:pPr>
      <w:r w:rsidRPr="0031675F">
        <w:rPr>
          <w:i/>
          <w:spacing w:val="-1"/>
        </w:rPr>
        <w:t>NB:</w:t>
      </w:r>
      <w:r w:rsidRPr="0031675F">
        <w:rPr>
          <w:i/>
          <w:spacing w:val="24"/>
        </w:rPr>
        <w:t xml:space="preserve"> </w:t>
      </w:r>
      <w:r w:rsidRPr="0031675F">
        <w:rPr>
          <w:i/>
          <w:spacing w:val="-1"/>
        </w:rPr>
        <w:t>This</w:t>
      </w:r>
      <w:r w:rsidRPr="0031675F">
        <w:rPr>
          <w:i/>
          <w:spacing w:val="24"/>
        </w:rPr>
        <w:t xml:space="preserve"> </w:t>
      </w:r>
      <w:r w:rsidRPr="0031675F">
        <w:rPr>
          <w:i/>
          <w:spacing w:val="-2"/>
        </w:rPr>
        <w:t>is</w:t>
      </w:r>
      <w:r w:rsidRPr="0031675F">
        <w:rPr>
          <w:i/>
          <w:spacing w:val="25"/>
        </w:rPr>
        <w:t xml:space="preserve"> </w:t>
      </w:r>
      <w:r w:rsidRPr="0031675F">
        <w:rPr>
          <w:i/>
          <w:spacing w:val="-1"/>
        </w:rPr>
        <w:t>generally</w:t>
      </w:r>
      <w:r w:rsidRPr="0031675F">
        <w:rPr>
          <w:i/>
          <w:spacing w:val="24"/>
        </w:rPr>
        <w:t xml:space="preserve"> </w:t>
      </w:r>
      <w:r w:rsidRPr="0031675F">
        <w:rPr>
          <w:i/>
          <w:spacing w:val="-1"/>
        </w:rPr>
        <w:t>achieved</w:t>
      </w:r>
      <w:r w:rsidRPr="0031675F">
        <w:rPr>
          <w:i/>
          <w:spacing w:val="23"/>
        </w:rPr>
        <w:t xml:space="preserve"> </w:t>
      </w:r>
      <w:r w:rsidRPr="0031675F">
        <w:rPr>
          <w:i/>
          <w:spacing w:val="-1"/>
        </w:rPr>
        <w:t>by</w:t>
      </w:r>
      <w:r w:rsidRPr="0031675F">
        <w:rPr>
          <w:i/>
          <w:spacing w:val="24"/>
        </w:rPr>
        <w:t xml:space="preserve"> </w:t>
      </w:r>
      <w:r w:rsidRPr="0031675F">
        <w:rPr>
          <w:i/>
          <w:spacing w:val="-1"/>
        </w:rPr>
        <w:t>using</w:t>
      </w:r>
      <w:r w:rsidRPr="0031675F">
        <w:rPr>
          <w:i/>
          <w:spacing w:val="23"/>
        </w:rPr>
        <w:t xml:space="preserve"> </w:t>
      </w:r>
      <w:r w:rsidRPr="0031675F">
        <w:rPr>
          <w:i/>
          <w:spacing w:val="-1"/>
        </w:rPr>
        <w:t>reference</w:t>
      </w:r>
      <w:r w:rsidRPr="0031675F">
        <w:rPr>
          <w:i/>
          <w:spacing w:val="22"/>
        </w:rPr>
        <w:t xml:space="preserve"> </w:t>
      </w:r>
      <w:r w:rsidRPr="0031675F">
        <w:rPr>
          <w:i/>
          <w:spacing w:val="-1"/>
        </w:rPr>
        <w:t>materials</w:t>
      </w:r>
      <w:r w:rsidRPr="0031675F">
        <w:rPr>
          <w:i/>
          <w:spacing w:val="22"/>
        </w:rPr>
        <w:t xml:space="preserve"> </w:t>
      </w:r>
      <w:r w:rsidRPr="0031675F">
        <w:rPr>
          <w:i/>
        </w:rPr>
        <w:t>to</w:t>
      </w:r>
      <w:r w:rsidRPr="0031675F">
        <w:rPr>
          <w:i/>
          <w:spacing w:val="24"/>
        </w:rPr>
        <w:t xml:space="preserve"> </w:t>
      </w:r>
      <w:r w:rsidRPr="0031675F">
        <w:rPr>
          <w:i/>
          <w:spacing w:val="-1"/>
        </w:rPr>
        <w:t>assess</w:t>
      </w:r>
      <w:r w:rsidRPr="0031675F">
        <w:rPr>
          <w:i/>
          <w:spacing w:val="22"/>
        </w:rPr>
        <w:t xml:space="preserve"> </w:t>
      </w:r>
      <w:r w:rsidRPr="0031675F">
        <w:rPr>
          <w:i/>
          <w:spacing w:val="-1"/>
        </w:rPr>
        <w:t>recovery</w:t>
      </w:r>
      <w:r w:rsidRPr="0031675F">
        <w:rPr>
          <w:i/>
          <w:spacing w:val="21"/>
        </w:rPr>
        <w:t xml:space="preserve"> </w:t>
      </w:r>
      <w:r w:rsidRPr="0031675F">
        <w:rPr>
          <w:i/>
          <w:spacing w:val="-1"/>
        </w:rPr>
        <w:t>of</w:t>
      </w:r>
      <w:r w:rsidRPr="0031675F">
        <w:rPr>
          <w:i/>
          <w:spacing w:val="23"/>
        </w:rPr>
        <w:t xml:space="preserve"> </w:t>
      </w:r>
      <w:r w:rsidRPr="0031675F">
        <w:rPr>
          <w:i/>
          <w:spacing w:val="-1"/>
        </w:rPr>
        <w:t>known</w:t>
      </w:r>
      <w:r w:rsidRPr="0031675F">
        <w:rPr>
          <w:i/>
          <w:spacing w:val="24"/>
        </w:rPr>
        <w:t xml:space="preserve"> </w:t>
      </w:r>
      <w:r w:rsidRPr="0031675F">
        <w:rPr>
          <w:i/>
          <w:spacing w:val="-1"/>
        </w:rPr>
        <w:t>amount</w:t>
      </w:r>
      <w:r w:rsidRPr="0031675F">
        <w:rPr>
          <w:i/>
          <w:spacing w:val="25"/>
        </w:rPr>
        <w:t xml:space="preserve"> </w:t>
      </w:r>
      <w:r w:rsidRPr="0031675F">
        <w:rPr>
          <w:i/>
          <w:spacing w:val="-2"/>
        </w:rPr>
        <w:t>of</w:t>
      </w:r>
      <w:r w:rsidRPr="0031675F">
        <w:rPr>
          <w:i/>
          <w:spacing w:val="77"/>
        </w:rPr>
        <w:t xml:space="preserve"> </w:t>
      </w:r>
      <w:r w:rsidRPr="0031675F">
        <w:rPr>
          <w:i/>
          <w:spacing w:val="-1"/>
        </w:rPr>
        <w:t>analyte.</w:t>
      </w:r>
    </w:p>
    <w:p w14:paraId="58768765" w14:textId="77777777" w:rsidR="0031675F" w:rsidRPr="0031675F" w:rsidRDefault="0031675F" w:rsidP="0031675F">
      <w:pPr>
        <w:widowControl w:val="0"/>
        <w:numPr>
          <w:ilvl w:val="0"/>
          <w:numId w:val="108"/>
        </w:numPr>
        <w:tabs>
          <w:tab w:val="left" w:pos="403"/>
        </w:tabs>
        <w:spacing w:before="0" w:after="0" w:line="240" w:lineRule="auto"/>
        <w:ind w:right="115"/>
        <w:jc w:val="both"/>
      </w:pPr>
      <w:r w:rsidRPr="0031675F">
        <w:rPr>
          <w:spacing w:val="-1"/>
        </w:rPr>
        <w:t>There</w:t>
      </w:r>
      <w:r w:rsidRPr="0031675F">
        <w:rPr>
          <w:spacing w:val="6"/>
        </w:rPr>
        <w:t xml:space="preserve"> </w:t>
      </w:r>
      <w:r w:rsidRPr="0031675F">
        <w:t>is</w:t>
      </w:r>
      <w:r w:rsidRPr="0031675F">
        <w:rPr>
          <w:spacing w:val="4"/>
        </w:rPr>
        <w:t xml:space="preserve"> </w:t>
      </w:r>
      <w:r w:rsidRPr="0031675F">
        <w:rPr>
          <w:spacing w:val="-1"/>
        </w:rPr>
        <w:t>no</w:t>
      </w:r>
      <w:r w:rsidRPr="0031675F">
        <w:rPr>
          <w:spacing w:val="6"/>
        </w:rPr>
        <w:t xml:space="preserve"> </w:t>
      </w:r>
      <w:r w:rsidRPr="0031675F">
        <w:rPr>
          <w:spacing w:val="-1"/>
        </w:rPr>
        <w:t>commercially</w:t>
      </w:r>
      <w:r w:rsidRPr="0031675F">
        <w:rPr>
          <w:spacing w:val="5"/>
        </w:rPr>
        <w:t xml:space="preserve"> </w:t>
      </w:r>
      <w:r w:rsidRPr="0031675F">
        <w:rPr>
          <w:spacing w:val="-1"/>
        </w:rPr>
        <w:t>available</w:t>
      </w:r>
      <w:r w:rsidRPr="0031675F">
        <w:rPr>
          <w:spacing w:val="5"/>
        </w:rPr>
        <w:t xml:space="preserve"> </w:t>
      </w:r>
      <w:r w:rsidRPr="0031675F">
        <w:rPr>
          <w:spacing w:val="-1"/>
        </w:rPr>
        <w:t>reference</w:t>
      </w:r>
      <w:r w:rsidRPr="0031675F">
        <w:rPr>
          <w:spacing w:val="2"/>
        </w:rPr>
        <w:t xml:space="preserve"> </w:t>
      </w:r>
      <w:r w:rsidRPr="0031675F">
        <w:rPr>
          <w:spacing w:val="-1"/>
        </w:rPr>
        <w:t>material</w:t>
      </w:r>
      <w:r w:rsidRPr="0031675F">
        <w:rPr>
          <w:spacing w:val="2"/>
        </w:rPr>
        <w:t xml:space="preserve"> </w:t>
      </w:r>
      <w:r w:rsidRPr="0031675F">
        <w:t>at</w:t>
      </w:r>
      <w:r w:rsidRPr="0031675F">
        <w:rPr>
          <w:spacing w:val="5"/>
        </w:rPr>
        <w:t xml:space="preserve"> </w:t>
      </w:r>
      <w:r w:rsidRPr="0031675F">
        <w:t>the</w:t>
      </w:r>
      <w:r w:rsidRPr="0031675F">
        <w:rPr>
          <w:spacing w:val="5"/>
        </w:rPr>
        <w:t xml:space="preserve"> </w:t>
      </w:r>
      <w:r w:rsidRPr="0031675F">
        <w:t>low</w:t>
      </w:r>
      <w:r w:rsidRPr="0031675F">
        <w:rPr>
          <w:spacing w:val="5"/>
        </w:rPr>
        <w:t xml:space="preserve"> </w:t>
      </w:r>
      <w:r w:rsidRPr="0031675F">
        <w:rPr>
          <w:spacing w:val="-1"/>
        </w:rPr>
        <w:t>concentrations</w:t>
      </w:r>
      <w:r w:rsidRPr="0031675F">
        <w:rPr>
          <w:spacing w:val="2"/>
        </w:rPr>
        <w:t xml:space="preserve"> </w:t>
      </w:r>
      <w:r w:rsidRPr="0031675F">
        <w:rPr>
          <w:spacing w:val="-1"/>
        </w:rPr>
        <w:t>found</w:t>
      </w:r>
      <w:r w:rsidRPr="0031675F">
        <w:rPr>
          <w:spacing w:val="4"/>
        </w:rPr>
        <w:t xml:space="preserve"> </w:t>
      </w:r>
      <w:r w:rsidRPr="0031675F">
        <w:t>in</w:t>
      </w:r>
      <w:r w:rsidRPr="0031675F">
        <w:rPr>
          <w:spacing w:val="4"/>
        </w:rPr>
        <w:t xml:space="preserve"> </w:t>
      </w:r>
      <w:r w:rsidRPr="0031675F">
        <w:t>the</w:t>
      </w:r>
      <w:r w:rsidRPr="0031675F">
        <w:rPr>
          <w:spacing w:val="5"/>
        </w:rPr>
        <w:t xml:space="preserve"> </w:t>
      </w:r>
      <w:r w:rsidRPr="0031675F">
        <w:t>GBR</w:t>
      </w:r>
      <w:r w:rsidRPr="0031675F">
        <w:rPr>
          <w:spacing w:val="63"/>
        </w:rPr>
        <w:t xml:space="preserve"> </w:t>
      </w:r>
      <w:r w:rsidRPr="0031675F">
        <w:rPr>
          <w:rFonts w:cs="Calibri"/>
        </w:rPr>
        <w:t>so</w:t>
      </w:r>
      <w:r w:rsidRPr="0031675F">
        <w:rPr>
          <w:rFonts w:cs="Calibri"/>
          <w:spacing w:val="13"/>
        </w:rPr>
        <w:t xml:space="preserve"> </w:t>
      </w:r>
      <w:r w:rsidRPr="0031675F">
        <w:rPr>
          <w:rFonts w:cs="Calibri"/>
          <w:spacing w:val="-1"/>
        </w:rPr>
        <w:t>repeated</w:t>
      </w:r>
      <w:r w:rsidRPr="0031675F">
        <w:rPr>
          <w:rFonts w:cs="Calibri"/>
          <w:spacing w:val="12"/>
        </w:rPr>
        <w:t xml:space="preserve"> </w:t>
      </w:r>
      <w:r w:rsidRPr="0031675F">
        <w:rPr>
          <w:rFonts w:cs="Calibri"/>
          <w:spacing w:val="-1"/>
        </w:rPr>
        <w:t>analysis</w:t>
      </w:r>
      <w:r w:rsidRPr="0031675F">
        <w:rPr>
          <w:rFonts w:cs="Calibri"/>
          <w:spacing w:val="9"/>
        </w:rPr>
        <w:t xml:space="preserve"> </w:t>
      </w:r>
      <w:r w:rsidRPr="0031675F">
        <w:rPr>
          <w:rFonts w:cs="Calibri"/>
        </w:rPr>
        <w:t>of</w:t>
      </w:r>
      <w:r w:rsidRPr="0031675F">
        <w:rPr>
          <w:rFonts w:cs="Calibri"/>
          <w:spacing w:val="12"/>
        </w:rPr>
        <w:t xml:space="preserve"> </w:t>
      </w:r>
      <w:r w:rsidRPr="0031675F">
        <w:rPr>
          <w:rFonts w:cs="Calibri"/>
        </w:rPr>
        <w:t>an</w:t>
      </w:r>
      <w:r w:rsidRPr="0031675F">
        <w:rPr>
          <w:rFonts w:cs="Calibri"/>
          <w:spacing w:val="9"/>
        </w:rPr>
        <w:t xml:space="preserve"> </w:t>
      </w:r>
      <w:r w:rsidRPr="0031675F">
        <w:rPr>
          <w:rFonts w:cs="Calibri"/>
          <w:spacing w:val="-1"/>
        </w:rPr>
        <w:t>“in</w:t>
      </w:r>
      <w:r w:rsidRPr="0031675F">
        <w:rPr>
          <w:spacing w:val="-1"/>
        </w:rPr>
        <w:t>-</w:t>
      </w:r>
      <w:r w:rsidRPr="0031675F">
        <w:rPr>
          <w:rFonts w:cs="Calibri"/>
          <w:spacing w:val="-1"/>
        </w:rPr>
        <w:t>house”</w:t>
      </w:r>
      <w:r w:rsidRPr="0031675F">
        <w:rPr>
          <w:rFonts w:cs="Calibri"/>
          <w:spacing w:val="13"/>
        </w:rPr>
        <w:t xml:space="preserve"> </w:t>
      </w:r>
      <w:r w:rsidRPr="0031675F">
        <w:rPr>
          <w:rFonts w:cs="Calibri"/>
          <w:spacing w:val="-1"/>
        </w:rPr>
        <w:t>standard</w:t>
      </w:r>
      <w:r w:rsidRPr="0031675F">
        <w:rPr>
          <w:rFonts w:cs="Calibri"/>
          <w:spacing w:val="11"/>
        </w:rPr>
        <w:t xml:space="preserve"> </w:t>
      </w:r>
      <w:r w:rsidRPr="0031675F">
        <w:rPr>
          <w:rFonts w:cs="Calibri"/>
        </w:rPr>
        <w:t>is</w:t>
      </w:r>
      <w:r w:rsidRPr="0031675F">
        <w:rPr>
          <w:rFonts w:cs="Calibri"/>
          <w:spacing w:val="12"/>
        </w:rPr>
        <w:t xml:space="preserve"> </w:t>
      </w:r>
      <w:r w:rsidRPr="0031675F">
        <w:rPr>
          <w:rFonts w:cs="Calibri"/>
          <w:spacing w:val="-1"/>
        </w:rPr>
        <w:t>used</w:t>
      </w:r>
      <w:r w:rsidRPr="0031675F">
        <w:rPr>
          <w:rFonts w:cs="Calibri"/>
          <w:spacing w:val="11"/>
        </w:rPr>
        <w:t xml:space="preserve"> </w:t>
      </w:r>
      <w:r w:rsidRPr="0031675F">
        <w:rPr>
          <w:rFonts w:cs="Calibri"/>
        </w:rPr>
        <w:t>to</w:t>
      </w:r>
      <w:r w:rsidRPr="0031675F">
        <w:rPr>
          <w:rFonts w:cs="Calibri"/>
          <w:spacing w:val="14"/>
        </w:rPr>
        <w:t xml:space="preserve"> </w:t>
      </w:r>
      <w:r w:rsidRPr="0031675F">
        <w:rPr>
          <w:rFonts w:cs="Calibri"/>
          <w:spacing w:val="-1"/>
        </w:rPr>
        <w:t>detect</w:t>
      </w:r>
      <w:r w:rsidRPr="0031675F">
        <w:rPr>
          <w:rFonts w:cs="Calibri"/>
          <w:spacing w:val="10"/>
        </w:rPr>
        <w:t xml:space="preserve"> </w:t>
      </w:r>
      <w:r w:rsidRPr="0031675F">
        <w:rPr>
          <w:rFonts w:cs="Calibri"/>
          <w:spacing w:val="-1"/>
        </w:rPr>
        <w:t>any</w:t>
      </w:r>
      <w:r w:rsidRPr="0031675F">
        <w:rPr>
          <w:rFonts w:cs="Calibri"/>
          <w:spacing w:val="13"/>
        </w:rPr>
        <w:t xml:space="preserve"> </w:t>
      </w:r>
      <w:r w:rsidRPr="0031675F">
        <w:rPr>
          <w:rFonts w:cs="Calibri"/>
          <w:spacing w:val="-1"/>
        </w:rPr>
        <w:t>loss</w:t>
      </w:r>
      <w:r w:rsidRPr="0031675F">
        <w:rPr>
          <w:rFonts w:cs="Calibri"/>
          <w:spacing w:val="12"/>
        </w:rPr>
        <w:t xml:space="preserve"> </w:t>
      </w:r>
      <w:r w:rsidRPr="0031675F">
        <w:rPr>
          <w:rFonts w:cs="Calibri"/>
        </w:rPr>
        <w:t>in</w:t>
      </w:r>
      <w:r w:rsidRPr="0031675F">
        <w:rPr>
          <w:rFonts w:cs="Calibri"/>
          <w:spacing w:val="11"/>
        </w:rPr>
        <w:t xml:space="preserve"> </w:t>
      </w:r>
      <w:r w:rsidRPr="0031675F">
        <w:rPr>
          <w:rFonts w:cs="Calibri"/>
          <w:spacing w:val="-1"/>
        </w:rPr>
        <w:t>accuracy</w:t>
      </w:r>
      <w:r w:rsidRPr="0031675F">
        <w:rPr>
          <w:rFonts w:cs="Calibri"/>
          <w:spacing w:val="13"/>
        </w:rPr>
        <w:t xml:space="preserve"> </w:t>
      </w:r>
      <w:r w:rsidRPr="0031675F">
        <w:rPr>
          <w:rFonts w:cs="Calibri"/>
          <w:spacing w:val="-1"/>
        </w:rPr>
        <w:t>with</w:t>
      </w:r>
      <w:r w:rsidRPr="0031675F">
        <w:rPr>
          <w:rFonts w:cs="Calibri"/>
          <w:spacing w:val="12"/>
        </w:rPr>
        <w:t xml:space="preserve"> </w:t>
      </w:r>
      <w:r w:rsidRPr="0031675F">
        <w:rPr>
          <w:rFonts w:cs="Calibri"/>
          <w:spacing w:val="-1"/>
        </w:rPr>
        <w:t>regard</w:t>
      </w:r>
      <w:r w:rsidRPr="0031675F">
        <w:rPr>
          <w:rFonts w:cs="Calibri"/>
          <w:spacing w:val="75"/>
        </w:rPr>
        <w:t xml:space="preserve"> </w:t>
      </w:r>
      <w:r w:rsidRPr="0031675F">
        <w:t>to</w:t>
      </w:r>
      <w:r w:rsidRPr="0031675F">
        <w:rPr>
          <w:spacing w:val="-1"/>
        </w:rPr>
        <w:t xml:space="preserve"> </w:t>
      </w:r>
      <w:r w:rsidRPr="0031675F">
        <w:t xml:space="preserve">the </w:t>
      </w:r>
      <w:r w:rsidRPr="0031675F">
        <w:rPr>
          <w:spacing w:val="-1"/>
        </w:rPr>
        <w:t>thiopthalate</w:t>
      </w:r>
      <w:r w:rsidRPr="0031675F">
        <w:t xml:space="preserve"> </w:t>
      </w:r>
      <w:r w:rsidRPr="0031675F">
        <w:rPr>
          <w:spacing w:val="-2"/>
        </w:rPr>
        <w:t>standard.</w:t>
      </w:r>
    </w:p>
    <w:p w14:paraId="56350CA0" w14:textId="77777777" w:rsidR="0031675F" w:rsidRPr="0031675F" w:rsidRDefault="0031675F" w:rsidP="0031675F">
      <w:pPr>
        <w:widowControl w:val="0"/>
        <w:numPr>
          <w:ilvl w:val="0"/>
          <w:numId w:val="108"/>
        </w:numPr>
        <w:tabs>
          <w:tab w:val="left" w:pos="403"/>
        </w:tabs>
        <w:spacing w:before="0" w:after="0" w:line="240" w:lineRule="auto"/>
        <w:jc w:val="both"/>
        <w:rPr>
          <w:spacing w:val="-2"/>
        </w:rPr>
      </w:pPr>
      <w:r w:rsidRPr="0031675F">
        <w:t xml:space="preserve">A </w:t>
      </w:r>
      <w:r w:rsidRPr="0031675F">
        <w:rPr>
          <w:spacing w:val="-1"/>
        </w:rPr>
        <w:t>reference</w:t>
      </w:r>
      <w:r w:rsidRPr="0031675F">
        <w:rPr>
          <w:spacing w:val="1"/>
        </w:rPr>
        <w:t xml:space="preserve"> </w:t>
      </w:r>
      <w:r w:rsidRPr="0031675F">
        <w:rPr>
          <w:spacing w:val="-1"/>
        </w:rPr>
        <w:t>curve</w:t>
      </w:r>
      <w:r w:rsidRPr="0031675F">
        <w:rPr>
          <w:spacing w:val="-2"/>
        </w:rPr>
        <w:t xml:space="preserve"> </w:t>
      </w:r>
      <w:r w:rsidRPr="0031675F">
        <w:t xml:space="preserve">is </w:t>
      </w:r>
      <w:r w:rsidRPr="0031675F">
        <w:rPr>
          <w:spacing w:val="-1"/>
        </w:rPr>
        <w:t>generated</w:t>
      </w:r>
      <w:r w:rsidRPr="0031675F">
        <w:rPr>
          <w:spacing w:val="1"/>
        </w:rPr>
        <w:t xml:space="preserve"> </w:t>
      </w:r>
      <w:r w:rsidRPr="0031675F">
        <w:rPr>
          <w:spacing w:val="-1"/>
        </w:rPr>
        <w:t>with</w:t>
      </w:r>
      <w:r w:rsidRPr="0031675F">
        <w:t xml:space="preserve"> </w:t>
      </w:r>
      <w:r w:rsidRPr="0031675F">
        <w:rPr>
          <w:spacing w:val="-1"/>
        </w:rPr>
        <w:t>every</w:t>
      </w:r>
      <w:r w:rsidRPr="0031675F">
        <w:t xml:space="preserve"> </w:t>
      </w:r>
      <w:r w:rsidRPr="0031675F">
        <w:rPr>
          <w:spacing w:val="-1"/>
        </w:rPr>
        <w:t>sample</w:t>
      </w:r>
      <w:r w:rsidRPr="0031675F">
        <w:t xml:space="preserve"> </w:t>
      </w:r>
      <w:r w:rsidRPr="0031675F">
        <w:rPr>
          <w:spacing w:val="-2"/>
        </w:rPr>
        <w:t>batch.</w:t>
      </w:r>
    </w:p>
    <w:p w14:paraId="4C323549" w14:textId="77777777" w:rsidR="0031675F" w:rsidRPr="0031675F" w:rsidRDefault="0031675F" w:rsidP="0031675F">
      <w:pPr>
        <w:rPr>
          <w:spacing w:val="-2"/>
          <w:highlight w:val="yellow"/>
        </w:rPr>
      </w:pPr>
    </w:p>
    <w:p w14:paraId="3D32FF38" w14:textId="77777777" w:rsidR="0031675F" w:rsidRPr="0031675F" w:rsidRDefault="0031675F" w:rsidP="0031675F">
      <w:pPr>
        <w:spacing w:after="120"/>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1"/>
          <w:u w:val="single" w:color="000000"/>
        </w:rPr>
        <w:t xml:space="preserve"> precision </w:t>
      </w:r>
      <w:r w:rsidRPr="0031675F">
        <w:rPr>
          <w:u w:val="single" w:color="000000"/>
        </w:rPr>
        <w:t>of</w:t>
      </w:r>
      <w:r w:rsidRPr="0031675F">
        <w:rPr>
          <w:spacing w:val="-5"/>
          <w:u w:val="single" w:color="000000"/>
        </w:rPr>
        <w:t xml:space="preserve"> </w:t>
      </w:r>
      <w:r w:rsidRPr="0031675F">
        <w:rPr>
          <w:u w:val="single" w:color="000000"/>
        </w:rPr>
        <w:t>the</w:t>
      </w:r>
      <w:r w:rsidRPr="0031675F">
        <w:rPr>
          <w:spacing w:val="-1"/>
          <w:u w:val="single" w:color="000000"/>
        </w:rPr>
        <w:t xml:space="preserve"> analysis</w:t>
      </w:r>
    </w:p>
    <w:p w14:paraId="6875EF0B" w14:textId="77777777" w:rsidR="0031675F" w:rsidRPr="0031675F" w:rsidRDefault="0031675F" w:rsidP="0031675F">
      <w:pPr>
        <w:ind w:left="118" w:right="117"/>
        <w:jc w:val="both"/>
        <w:rPr>
          <w:rFonts w:cs="Calibri"/>
        </w:rPr>
      </w:pPr>
      <w:r w:rsidRPr="0031675F">
        <w:rPr>
          <w:i/>
          <w:spacing w:val="-1"/>
        </w:rPr>
        <w:t>NB:</w:t>
      </w:r>
      <w:r w:rsidRPr="0031675F">
        <w:rPr>
          <w:i/>
          <w:spacing w:val="3"/>
        </w:rPr>
        <w:t xml:space="preserve"> </w:t>
      </w:r>
      <w:r w:rsidRPr="0031675F">
        <w:rPr>
          <w:i/>
          <w:spacing w:val="-1"/>
        </w:rPr>
        <w:t>This</w:t>
      </w:r>
      <w:r w:rsidRPr="0031675F">
        <w:rPr>
          <w:i/>
          <w:spacing w:val="3"/>
        </w:rPr>
        <w:t xml:space="preserve"> </w:t>
      </w:r>
      <w:r w:rsidRPr="0031675F">
        <w:rPr>
          <w:i/>
        </w:rPr>
        <w:t>is</w:t>
      </w:r>
      <w:r w:rsidRPr="0031675F">
        <w:rPr>
          <w:i/>
          <w:spacing w:val="2"/>
        </w:rPr>
        <w:t xml:space="preserve"> </w:t>
      </w:r>
      <w:r w:rsidRPr="0031675F">
        <w:rPr>
          <w:i/>
          <w:spacing w:val="-1"/>
        </w:rPr>
        <w:t>generally</w:t>
      </w:r>
      <w:r w:rsidRPr="0031675F">
        <w:rPr>
          <w:i/>
          <w:spacing w:val="2"/>
        </w:rPr>
        <w:t xml:space="preserve"> </w:t>
      </w:r>
      <w:r w:rsidRPr="0031675F">
        <w:rPr>
          <w:i/>
          <w:spacing w:val="-1"/>
        </w:rPr>
        <w:t>achieved</w:t>
      </w:r>
      <w:r w:rsidRPr="0031675F">
        <w:rPr>
          <w:i/>
          <w:spacing w:val="1"/>
        </w:rPr>
        <w:t xml:space="preserve"> </w:t>
      </w:r>
      <w:r w:rsidRPr="0031675F">
        <w:rPr>
          <w:i/>
          <w:spacing w:val="-1"/>
        </w:rPr>
        <w:t>by</w:t>
      </w:r>
      <w:r w:rsidRPr="0031675F">
        <w:rPr>
          <w:i/>
          <w:spacing w:val="2"/>
        </w:rPr>
        <w:t xml:space="preserve"> </w:t>
      </w:r>
      <w:r w:rsidRPr="0031675F">
        <w:rPr>
          <w:i/>
        </w:rPr>
        <w:t>the</w:t>
      </w:r>
      <w:r w:rsidRPr="0031675F">
        <w:rPr>
          <w:i/>
          <w:spacing w:val="2"/>
        </w:rPr>
        <w:t xml:space="preserve"> </w:t>
      </w:r>
      <w:r w:rsidRPr="0031675F">
        <w:rPr>
          <w:i/>
          <w:spacing w:val="-1"/>
        </w:rPr>
        <w:t>repeated</w:t>
      </w:r>
      <w:r w:rsidRPr="0031675F">
        <w:rPr>
          <w:i/>
          <w:spacing w:val="2"/>
        </w:rPr>
        <w:t xml:space="preserve"> </w:t>
      </w:r>
      <w:r w:rsidRPr="0031675F">
        <w:rPr>
          <w:i/>
          <w:spacing w:val="-1"/>
        </w:rPr>
        <w:t>analyses</w:t>
      </w:r>
      <w:r w:rsidRPr="0031675F">
        <w:rPr>
          <w:i/>
          <w:spacing w:val="3"/>
        </w:rPr>
        <w:t xml:space="preserve"> </w:t>
      </w:r>
      <w:r w:rsidRPr="0031675F">
        <w:rPr>
          <w:i/>
          <w:spacing w:val="-1"/>
        </w:rPr>
        <w:t>of</w:t>
      </w:r>
      <w:r w:rsidRPr="0031675F">
        <w:rPr>
          <w:i/>
          <w:spacing w:val="2"/>
        </w:rPr>
        <w:t xml:space="preserve"> </w:t>
      </w:r>
      <w:r w:rsidRPr="0031675F">
        <w:rPr>
          <w:i/>
        </w:rPr>
        <w:t>the</w:t>
      </w:r>
      <w:r w:rsidRPr="0031675F">
        <w:rPr>
          <w:i/>
          <w:spacing w:val="2"/>
        </w:rPr>
        <w:t xml:space="preserve"> </w:t>
      </w:r>
      <w:r w:rsidRPr="0031675F">
        <w:rPr>
          <w:i/>
          <w:spacing w:val="-1"/>
        </w:rPr>
        <w:t>same</w:t>
      </w:r>
      <w:r w:rsidRPr="0031675F">
        <w:rPr>
          <w:i/>
          <w:spacing w:val="3"/>
        </w:rPr>
        <w:t xml:space="preserve"> </w:t>
      </w:r>
      <w:r w:rsidRPr="0031675F">
        <w:rPr>
          <w:i/>
          <w:spacing w:val="-1"/>
        </w:rPr>
        <w:t>concentration</w:t>
      </w:r>
      <w:r w:rsidRPr="0031675F">
        <w:rPr>
          <w:i/>
          <w:spacing w:val="2"/>
        </w:rPr>
        <w:t xml:space="preserve"> </w:t>
      </w:r>
      <w:r w:rsidRPr="0031675F">
        <w:rPr>
          <w:i/>
          <w:spacing w:val="-1"/>
        </w:rPr>
        <w:t>of</w:t>
      </w:r>
      <w:r w:rsidRPr="0031675F">
        <w:rPr>
          <w:i/>
          <w:spacing w:val="2"/>
        </w:rPr>
        <w:t xml:space="preserve"> </w:t>
      </w:r>
      <w:r w:rsidRPr="0031675F">
        <w:rPr>
          <w:i/>
          <w:spacing w:val="-1"/>
        </w:rPr>
        <w:t>analyte</w:t>
      </w:r>
      <w:r w:rsidRPr="0031675F">
        <w:rPr>
          <w:i/>
          <w:spacing w:val="3"/>
        </w:rPr>
        <w:t xml:space="preserve"> </w:t>
      </w:r>
      <w:r w:rsidRPr="0031675F">
        <w:rPr>
          <w:i/>
        </w:rPr>
        <w:t>to</w:t>
      </w:r>
      <w:r w:rsidRPr="0031675F">
        <w:rPr>
          <w:i/>
          <w:spacing w:val="2"/>
        </w:rPr>
        <w:t xml:space="preserve"> </w:t>
      </w:r>
      <w:r w:rsidRPr="0031675F">
        <w:rPr>
          <w:i/>
          <w:spacing w:val="-1"/>
        </w:rPr>
        <w:t>check</w:t>
      </w:r>
      <w:r w:rsidRPr="0031675F">
        <w:rPr>
          <w:i/>
          <w:spacing w:val="61"/>
        </w:rPr>
        <w:t xml:space="preserve"> </w:t>
      </w:r>
      <w:r w:rsidRPr="0031675F">
        <w:rPr>
          <w:i/>
          <w:spacing w:val="-1"/>
        </w:rPr>
        <w:t>for</w:t>
      </w:r>
      <w:r w:rsidRPr="0031675F">
        <w:rPr>
          <w:i/>
        </w:rPr>
        <w:t xml:space="preserve"> </w:t>
      </w:r>
      <w:r w:rsidRPr="0031675F">
        <w:rPr>
          <w:i/>
          <w:spacing w:val="-1"/>
        </w:rPr>
        <w:t>reproducibility.</w:t>
      </w:r>
    </w:p>
    <w:p w14:paraId="0F6061D3" w14:textId="77777777" w:rsidR="0031675F" w:rsidRPr="0031675F" w:rsidRDefault="0031675F" w:rsidP="0031675F">
      <w:pPr>
        <w:widowControl w:val="0"/>
        <w:numPr>
          <w:ilvl w:val="0"/>
          <w:numId w:val="108"/>
        </w:numPr>
        <w:tabs>
          <w:tab w:val="left" w:pos="403"/>
        </w:tabs>
        <w:spacing w:before="2" w:after="0" w:line="238" w:lineRule="auto"/>
        <w:ind w:right="113"/>
        <w:jc w:val="both"/>
      </w:pPr>
      <w:r w:rsidRPr="0031675F">
        <w:rPr>
          <w:spacing w:val="-1"/>
        </w:rPr>
        <w:t>Each</w:t>
      </w:r>
      <w:r w:rsidRPr="0031675F">
        <w:rPr>
          <w:spacing w:val="19"/>
        </w:rPr>
        <w:t xml:space="preserve"> </w:t>
      </w:r>
      <w:r w:rsidRPr="0031675F">
        <w:rPr>
          <w:spacing w:val="-1"/>
        </w:rPr>
        <w:t>sample</w:t>
      </w:r>
      <w:r w:rsidRPr="0031675F">
        <w:rPr>
          <w:spacing w:val="19"/>
        </w:rPr>
        <w:t xml:space="preserve"> </w:t>
      </w:r>
      <w:r w:rsidRPr="0031675F">
        <w:rPr>
          <w:spacing w:val="-1"/>
        </w:rPr>
        <w:t>reading</w:t>
      </w:r>
      <w:r w:rsidRPr="0031675F">
        <w:rPr>
          <w:spacing w:val="18"/>
        </w:rPr>
        <w:t xml:space="preserve"> </w:t>
      </w:r>
      <w:r w:rsidRPr="0031675F">
        <w:t>is</w:t>
      </w:r>
      <w:r w:rsidRPr="0031675F">
        <w:rPr>
          <w:spacing w:val="19"/>
        </w:rPr>
        <w:t xml:space="preserve"> </w:t>
      </w:r>
      <w:r w:rsidRPr="0031675F">
        <w:rPr>
          <w:spacing w:val="-1"/>
        </w:rPr>
        <w:t>only</w:t>
      </w:r>
      <w:r w:rsidRPr="0031675F">
        <w:rPr>
          <w:spacing w:val="20"/>
        </w:rPr>
        <w:t xml:space="preserve"> </w:t>
      </w:r>
      <w:r w:rsidRPr="0031675F">
        <w:rPr>
          <w:spacing w:val="-1"/>
        </w:rPr>
        <w:t>generated</w:t>
      </w:r>
      <w:r w:rsidRPr="0031675F">
        <w:rPr>
          <w:spacing w:val="18"/>
        </w:rPr>
        <w:t xml:space="preserve"> </w:t>
      </w:r>
      <w:r w:rsidRPr="0031675F">
        <w:rPr>
          <w:spacing w:val="-1"/>
        </w:rPr>
        <w:t>when</w:t>
      </w:r>
      <w:r w:rsidRPr="0031675F">
        <w:rPr>
          <w:spacing w:val="19"/>
        </w:rPr>
        <w:t xml:space="preserve"> </w:t>
      </w:r>
      <w:r w:rsidRPr="0031675F">
        <w:t>the</w:t>
      </w:r>
      <w:r w:rsidRPr="0031675F">
        <w:rPr>
          <w:spacing w:val="19"/>
        </w:rPr>
        <w:t xml:space="preserve"> </w:t>
      </w:r>
      <w:r w:rsidRPr="0031675F">
        <w:rPr>
          <w:spacing w:val="-1"/>
        </w:rPr>
        <w:t>standard</w:t>
      </w:r>
      <w:r w:rsidRPr="0031675F">
        <w:rPr>
          <w:spacing w:val="18"/>
        </w:rPr>
        <w:t xml:space="preserve"> </w:t>
      </w:r>
      <w:r w:rsidRPr="0031675F">
        <w:t>deviation</w:t>
      </w:r>
      <w:r w:rsidRPr="0031675F">
        <w:rPr>
          <w:spacing w:val="22"/>
        </w:rPr>
        <w:t xml:space="preserve"> </w:t>
      </w:r>
      <w:r w:rsidRPr="0031675F">
        <w:rPr>
          <w:spacing w:val="-1"/>
        </w:rPr>
        <w:t>between</w:t>
      </w:r>
      <w:r w:rsidRPr="0031675F">
        <w:rPr>
          <w:spacing w:val="19"/>
        </w:rPr>
        <w:t xml:space="preserve"> </w:t>
      </w:r>
      <w:r w:rsidRPr="0031675F">
        <w:rPr>
          <w:spacing w:val="-1"/>
        </w:rPr>
        <w:t>three</w:t>
      </w:r>
      <w:r w:rsidRPr="0031675F">
        <w:rPr>
          <w:spacing w:val="20"/>
        </w:rPr>
        <w:t xml:space="preserve"> </w:t>
      </w:r>
      <w:r w:rsidRPr="0031675F">
        <w:rPr>
          <w:spacing w:val="-1"/>
        </w:rPr>
        <w:t>consecutive</w:t>
      </w:r>
      <w:r w:rsidRPr="0031675F">
        <w:rPr>
          <w:spacing w:val="65"/>
        </w:rPr>
        <w:t xml:space="preserve"> </w:t>
      </w:r>
      <w:r w:rsidRPr="0031675F">
        <w:rPr>
          <w:spacing w:val="-1"/>
        </w:rPr>
        <w:t>readings</w:t>
      </w:r>
      <w:r w:rsidRPr="0031675F">
        <w:t xml:space="preserve"> is less</w:t>
      </w:r>
      <w:r w:rsidRPr="0031675F">
        <w:rPr>
          <w:spacing w:val="-3"/>
        </w:rPr>
        <w:t xml:space="preserve"> </w:t>
      </w:r>
      <w:r w:rsidRPr="0031675F">
        <w:rPr>
          <w:spacing w:val="-1"/>
        </w:rPr>
        <w:t>than</w:t>
      </w:r>
      <w:r w:rsidRPr="0031675F">
        <w:rPr>
          <w:spacing w:val="-3"/>
        </w:rPr>
        <w:t xml:space="preserve"> </w:t>
      </w:r>
      <w:r w:rsidRPr="0031675F">
        <w:t>2%.</w:t>
      </w:r>
    </w:p>
    <w:p w14:paraId="7F95938C" w14:textId="77777777" w:rsidR="0031675F" w:rsidRPr="0031675F" w:rsidRDefault="0031675F" w:rsidP="0031675F">
      <w:pPr>
        <w:widowControl w:val="0"/>
        <w:numPr>
          <w:ilvl w:val="0"/>
          <w:numId w:val="108"/>
        </w:numPr>
        <w:tabs>
          <w:tab w:val="left" w:pos="403"/>
        </w:tabs>
        <w:spacing w:before="0" w:after="0" w:line="240" w:lineRule="auto"/>
        <w:ind w:right="114"/>
        <w:jc w:val="both"/>
      </w:pPr>
      <w:r w:rsidRPr="0031675F">
        <w:rPr>
          <w:spacing w:val="-1"/>
        </w:rPr>
        <w:t>Repeated</w:t>
      </w:r>
      <w:r w:rsidRPr="0031675F">
        <w:rPr>
          <w:spacing w:val="4"/>
        </w:rPr>
        <w:t xml:space="preserve"> </w:t>
      </w:r>
      <w:r w:rsidRPr="0031675F">
        <w:rPr>
          <w:spacing w:val="-1"/>
        </w:rPr>
        <w:t>analysis</w:t>
      </w:r>
      <w:r w:rsidRPr="0031675F">
        <w:rPr>
          <w:spacing w:val="3"/>
        </w:rPr>
        <w:t xml:space="preserve"> </w:t>
      </w:r>
      <w:r w:rsidRPr="0031675F">
        <w:t>of</w:t>
      </w:r>
      <w:r w:rsidRPr="0031675F">
        <w:rPr>
          <w:spacing w:val="5"/>
        </w:rPr>
        <w:t xml:space="preserve"> </w:t>
      </w:r>
      <w:r w:rsidRPr="0031675F">
        <w:rPr>
          <w:spacing w:val="-2"/>
        </w:rPr>
        <w:t>standards</w:t>
      </w:r>
      <w:r w:rsidRPr="0031675F">
        <w:rPr>
          <w:spacing w:val="5"/>
        </w:rPr>
        <w:t xml:space="preserve"> </w:t>
      </w:r>
      <w:r w:rsidRPr="0031675F">
        <w:rPr>
          <w:spacing w:val="-1"/>
        </w:rPr>
        <w:t>throughout</w:t>
      </w:r>
      <w:r w:rsidRPr="0031675F">
        <w:rPr>
          <w:spacing w:val="5"/>
        </w:rPr>
        <w:t xml:space="preserve"> </w:t>
      </w:r>
      <w:r w:rsidRPr="0031675F">
        <w:t>the</w:t>
      </w:r>
      <w:r w:rsidRPr="0031675F">
        <w:rPr>
          <w:spacing w:val="5"/>
        </w:rPr>
        <w:t xml:space="preserve"> </w:t>
      </w:r>
      <w:r w:rsidRPr="0031675F">
        <w:rPr>
          <w:spacing w:val="-1"/>
        </w:rPr>
        <w:t>sampling</w:t>
      </w:r>
      <w:r w:rsidRPr="0031675F">
        <w:rPr>
          <w:spacing w:val="4"/>
        </w:rPr>
        <w:t xml:space="preserve"> </w:t>
      </w:r>
      <w:r w:rsidRPr="0031675F">
        <w:rPr>
          <w:spacing w:val="-1"/>
        </w:rPr>
        <w:t>run</w:t>
      </w:r>
      <w:r w:rsidRPr="0031675F">
        <w:rPr>
          <w:spacing w:val="4"/>
        </w:rPr>
        <w:t xml:space="preserve"> </w:t>
      </w:r>
      <w:r w:rsidRPr="0031675F">
        <w:t>allows</w:t>
      </w:r>
      <w:r w:rsidRPr="0031675F">
        <w:rPr>
          <w:spacing w:val="5"/>
        </w:rPr>
        <w:t xml:space="preserve"> </w:t>
      </w:r>
      <w:r w:rsidRPr="0031675F">
        <w:rPr>
          <w:spacing w:val="-1"/>
        </w:rPr>
        <w:t>continuous</w:t>
      </w:r>
      <w:r w:rsidRPr="0031675F">
        <w:rPr>
          <w:spacing w:val="5"/>
        </w:rPr>
        <w:t xml:space="preserve"> </w:t>
      </w:r>
      <w:r w:rsidRPr="0031675F">
        <w:rPr>
          <w:spacing w:val="-1"/>
        </w:rPr>
        <w:t>adjustment</w:t>
      </w:r>
      <w:r w:rsidRPr="0031675F">
        <w:rPr>
          <w:spacing w:val="2"/>
        </w:rPr>
        <w:t xml:space="preserve"> </w:t>
      </w:r>
      <w:r w:rsidRPr="0031675F">
        <w:t>of</w:t>
      </w:r>
      <w:r w:rsidRPr="0031675F">
        <w:rPr>
          <w:spacing w:val="5"/>
        </w:rPr>
        <w:t xml:space="preserve"> </w:t>
      </w:r>
      <w:r w:rsidRPr="0031675F">
        <w:t>the</w:t>
      </w:r>
      <w:r w:rsidRPr="0031675F">
        <w:rPr>
          <w:spacing w:val="87"/>
        </w:rPr>
        <w:t xml:space="preserve"> </w:t>
      </w:r>
      <w:r w:rsidRPr="0031675F">
        <w:rPr>
          <w:spacing w:val="-1"/>
        </w:rPr>
        <w:t>calibration for</w:t>
      </w:r>
      <w:r w:rsidRPr="0031675F">
        <w:t xml:space="preserve"> </w:t>
      </w:r>
      <w:r w:rsidRPr="0031675F">
        <w:rPr>
          <w:spacing w:val="-1"/>
        </w:rPr>
        <w:t>drift.</w:t>
      </w:r>
    </w:p>
    <w:p w14:paraId="284A4F08" w14:textId="77777777" w:rsidR="0031675F" w:rsidRPr="0031675F" w:rsidRDefault="0031675F" w:rsidP="0031675F">
      <w:pPr>
        <w:rPr>
          <w:rFonts w:cs="Calibri"/>
        </w:rPr>
      </w:pPr>
    </w:p>
    <w:p w14:paraId="45C6B268" w14:textId="77777777" w:rsidR="0031675F" w:rsidRPr="0031675F" w:rsidRDefault="0031675F" w:rsidP="0031675F">
      <w:pPr>
        <w:spacing w:after="120"/>
      </w:pPr>
      <w:r w:rsidRPr="0031675F">
        <w:rPr>
          <w:spacing w:val="-1"/>
          <w:u w:val="single" w:color="000000"/>
        </w:rPr>
        <w:t>Reproducibility</w:t>
      </w:r>
      <w:r w:rsidRPr="0031675F">
        <w:rPr>
          <w:u w:val="single" w:color="000000"/>
        </w:rPr>
        <w:t xml:space="preserve"> of</w:t>
      </w:r>
      <w:r w:rsidRPr="0031675F">
        <w:rPr>
          <w:spacing w:val="-3"/>
          <w:u w:val="single" w:color="000000"/>
        </w:rPr>
        <w:t xml:space="preserve"> </w:t>
      </w:r>
      <w:r w:rsidRPr="0031675F">
        <w:rPr>
          <w:spacing w:val="-1"/>
          <w:u w:val="single" w:color="000000"/>
        </w:rPr>
        <w:t>duplicate</w:t>
      </w:r>
      <w:r w:rsidRPr="0031675F">
        <w:rPr>
          <w:u w:val="single" w:color="000000"/>
        </w:rPr>
        <w:t xml:space="preserve"> </w:t>
      </w:r>
      <w:r w:rsidRPr="0031675F">
        <w:rPr>
          <w:spacing w:val="-1"/>
          <w:u w:val="single" w:color="000000"/>
        </w:rPr>
        <w:t>analytical units</w:t>
      </w:r>
    </w:p>
    <w:p w14:paraId="72B72B13" w14:textId="77777777" w:rsidR="0031675F" w:rsidRPr="0031675F" w:rsidRDefault="0031675F" w:rsidP="0031675F">
      <w:pPr>
        <w:ind w:left="118" w:right="114"/>
        <w:jc w:val="both"/>
        <w:rPr>
          <w:rFonts w:cs="Calibri"/>
        </w:rPr>
      </w:pPr>
      <w:r w:rsidRPr="0031675F">
        <w:rPr>
          <w:i/>
          <w:spacing w:val="-1"/>
        </w:rPr>
        <w:t>NB:</w:t>
      </w:r>
      <w:r w:rsidRPr="0031675F">
        <w:rPr>
          <w:i/>
          <w:spacing w:val="20"/>
        </w:rPr>
        <w:t xml:space="preserve"> </w:t>
      </w:r>
      <w:r w:rsidRPr="0031675F">
        <w:rPr>
          <w:i/>
          <w:spacing w:val="-1"/>
        </w:rPr>
        <w:t>The</w:t>
      </w:r>
      <w:r w:rsidRPr="0031675F">
        <w:rPr>
          <w:i/>
          <w:spacing w:val="19"/>
        </w:rPr>
        <w:t xml:space="preserve"> </w:t>
      </w:r>
      <w:r w:rsidRPr="0031675F">
        <w:rPr>
          <w:i/>
          <w:spacing w:val="-1"/>
        </w:rPr>
        <w:t>variation</w:t>
      </w:r>
      <w:r w:rsidRPr="0031675F">
        <w:rPr>
          <w:i/>
          <w:spacing w:val="18"/>
        </w:rPr>
        <w:t xml:space="preserve"> </w:t>
      </w:r>
      <w:r w:rsidRPr="0031675F">
        <w:rPr>
          <w:i/>
          <w:spacing w:val="-1"/>
        </w:rPr>
        <w:t>between</w:t>
      </w:r>
      <w:r w:rsidRPr="0031675F">
        <w:rPr>
          <w:i/>
          <w:spacing w:val="17"/>
        </w:rPr>
        <w:t xml:space="preserve"> </w:t>
      </w:r>
      <w:r w:rsidRPr="0031675F">
        <w:rPr>
          <w:i/>
          <w:spacing w:val="-1"/>
        </w:rPr>
        <w:t>results</w:t>
      </w:r>
      <w:r w:rsidRPr="0031675F">
        <w:rPr>
          <w:i/>
          <w:spacing w:val="20"/>
        </w:rPr>
        <w:t xml:space="preserve"> </w:t>
      </w:r>
      <w:r w:rsidRPr="0031675F">
        <w:rPr>
          <w:i/>
          <w:spacing w:val="-1"/>
        </w:rPr>
        <w:t>for</w:t>
      </w:r>
      <w:r w:rsidRPr="0031675F">
        <w:rPr>
          <w:i/>
          <w:spacing w:val="20"/>
        </w:rPr>
        <w:t xml:space="preserve"> </w:t>
      </w:r>
      <w:r w:rsidRPr="0031675F">
        <w:rPr>
          <w:i/>
          <w:spacing w:val="-1"/>
        </w:rPr>
        <w:t>sample</w:t>
      </w:r>
      <w:r w:rsidRPr="0031675F">
        <w:rPr>
          <w:i/>
          <w:spacing w:val="19"/>
        </w:rPr>
        <w:t xml:space="preserve"> </w:t>
      </w:r>
      <w:r w:rsidRPr="0031675F">
        <w:rPr>
          <w:i/>
          <w:spacing w:val="-1"/>
        </w:rPr>
        <w:t>duplicates</w:t>
      </w:r>
      <w:r w:rsidRPr="0031675F">
        <w:rPr>
          <w:i/>
          <w:spacing w:val="20"/>
        </w:rPr>
        <w:t xml:space="preserve"> </w:t>
      </w:r>
      <w:r w:rsidRPr="0031675F">
        <w:rPr>
          <w:i/>
          <w:spacing w:val="-1"/>
        </w:rPr>
        <w:t>indicates</w:t>
      </w:r>
      <w:r w:rsidRPr="0031675F">
        <w:rPr>
          <w:i/>
          <w:spacing w:val="18"/>
        </w:rPr>
        <w:t xml:space="preserve"> </w:t>
      </w:r>
      <w:r w:rsidRPr="0031675F">
        <w:rPr>
          <w:i/>
        </w:rPr>
        <w:t>the</w:t>
      </w:r>
      <w:r w:rsidRPr="0031675F">
        <w:rPr>
          <w:i/>
          <w:spacing w:val="19"/>
        </w:rPr>
        <w:t xml:space="preserve"> </w:t>
      </w:r>
      <w:r w:rsidRPr="0031675F">
        <w:rPr>
          <w:i/>
          <w:spacing w:val="-1"/>
        </w:rPr>
        <w:t>reproducibility</w:t>
      </w:r>
      <w:r w:rsidRPr="0031675F">
        <w:rPr>
          <w:i/>
          <w:spacing w:val="19"/>
        </w:rPr>
        <w:t xml:space="preserve"> </w:t>
      </w:r>
      <w:r w:rsidRPr="0031675F">
        <w:rPr>
          <w:i/>
          <w:spacing w:val="-1"/>
        </w:rPr>
        <w:t>of</w:t>
      </w:r>
      <w:r w:rsidRPr="0031675F">
        <w:rPr>
          <w:i/>
          <w:spacing w:val="18"/>
        </w:rPr>
        <w:t xml:space="preserve"> </w:t>
      </w:r>
      <w:r w:rsidRPr="0031675F">
        <w:rPr>
          <w:i/>
        </w:rPr>
        <w:t>the</w:t>
      </w:r>
      <w:r w:rsidRPr="0031675F">
        <w:rPr>
          <w:i/>
          <w:spacing w:val="19"/>
        </w:rPr>
        <w:t xml:space="preserve"> </w:t>
      </w:r>
      <w:r w:rsidRPr="0031675F">
        <w:rPr>
          <w:i/>
          <w:spacing w:val="-1"/>
        </w:rPr>
        <w:t>analysis</w:t>
      </w:r>
      <w:r w:rsidRPr="0031675F">
        <w:rPr>
          <w:i/>
          <w:spacing w:val="54"/>
        </w:rPr>
        <w:t xml:space="preserve"> </w:t>
      </w:r>
      <w:r w:rsidRPr="0031675F">
        <w:rPr>
          <w:i/>
          <w:spacing w:val="-1"/>
        </w:rPr>
        <w:t>and also</w:t>
      </w:r>
      <w:r w:rsidRPr="0031675F">
        <w:rPr>
          <w:i/>
        </w:rPr>
        <w:t xml:space="preserve"> the effects</w:t>
      </w:r>
      <w:r w:rsidRPr="0031675F">
        <w:rPr>
          <w:i/>
          <w:spacing w:val="-1"/>
        </w:rPr>
        <w:t xml:space="preserve"> of</w:t>
      </w:r>
      <w:r w:rsidRPr="0031675F">
        <w:rPr>
          <w:i/>
        </w:rPr>
        <w:t xml:space="preserve"> </w:t>
      </w:r>
      <w:r w:rsidRPr="0031675F">
        <w:rPr>
          <w:i/>
          <w:spacing w:val="-1"/>
        </w:rPr>
        <w:t>various</w:t>
      </w:r>
      <w:r w:rsidRPr="0031675F">
        <w:rPr>
          <w:i/>
          <w:spacing w:val="1"/>
        </w:rPr>
        <w:t xml:space="preserve"> </w:t>
      </w:r>
      <w:r w:rsidRPr="0031675F">
        <w:rPr>
          <w:i/>
          <w:spacing w:val="-1"/>
        </w:rPr>
        <w:t>sources</w:t>
      </w:r>
      <w:r w:rsidRPr="0031675F">
        <w:rPr>
          <w:i/>
          <w:spacing w:val="1"/>
        </w:rPr>
        <w:t xml:space="preserve"> </w:t>
      </w:r>
      <w:r w:rsidRPr="0031675F">
        <w:rPr>
          <w:i/>
          <w:spacing w:val="-1"/>
        </w:rPr>
        <w:t>of</w:t>
      </w:r>
      <w:r w:rsidRPr="0031675F">
        <w:rPr>
          <w:i/>
        </w:rPr>
        <w:t xml:space="preserve"> </w:t>
      </w:r>
      <w:r w:rsidRPr="0031675F">
        <w:rPr>
          <w:i/>
          <w:spacing w:val="-1"/>
        </w:rPr>
        <w:t>contamination and</w:t>
      </w:r>
      <w:r w:rsidRPr="0031675F">
        <w:rPr>
          <w:i/>
          <w:spacing w:val="1"/>
        </w:rPr>
        <w:t xml:space="preserve"> </w:t>
      </w:r>
      <w:r w:rsidRPr="0031675F">
        <w:rPr>
          <w:i/>
          <w:spacing w:val="-1"/>
        </w:rPr>
        <w:t>analytical</w:t>
      </w:r>
      <w:r w:rsidRPr="0031675F">
        <w:rPr>
          <w:i/>
        </w:rPr>
        <w:t xml:space="preserve"> error</w:t>
      </w:r>
      <w:r w:rsidRPr="0031675F">
        <w:rPr>
          <w:i/>
          <w:spacing w:val="1"/>
        </w:rPr>
        <w:t xml:space="preserve"> </w:t>
      </w:r>
      <w:r w:rsidRPr="0031675F">
        <w:rPr>
          <w:i/>
          <w:spacing w:val="-1"/>
        </w:rPr>
        <w:t>during collection,</w:t>
      </w:r>
      <w:r w:rsidRPr="0031675F">
        <w:rPr>
          <w:i/>
        </w:rPr>
        <w:t xml:space="preserve"> </w:t>
      </w:r>
      <w:r w:rsidRPr="0031675F">
        <w:rPr>
          <w:i/>
          <w:spacing w:val="-1"/>
        </w:rPr>
        <w:t>sample</w:t>
      </w:r>
      <w:r w:rsidRPr="0031675F">
        <w:rPr>
          <w:i/>
          <w:spacing w:val="69"/>
        </w:rPr>
        <w:t xml:space="preserve"> </w:t>
      </w:r>
      <w:r w:rsidRPr="0031675F">
        <w:rPr>
          <w:i/>
          <w:spacing w:val="-1"/>
        </w:rPr>
        <w:t>preparation and analyses.</w:t>
      </w:r>
      <w:r w:rsidRPr="0031675F">
        <w:rPr>
          <w:i/>
          <w:spacing w:val="-5"/>
        </w:rPr>
        <w:t xml:space="preserve"> </w:t>
      </w:r>
      <w:r w:rsidRPr="0031675F">
        <w:rPr>
          <w:i/>
          <w:spacing w:val="-1"/>
        </w:rPr>
        <w:t>Before</w:t>
      </w:r>
      <w:r w:rsidRPr="0031675F">
        <w:rPr>
          <w:i/>
        </w:rPr>
        <w:t xml:space="preserve"> </w:t>
      </w:r>
      <w:r w:rsidRPr="0031675F">
        <w:rPr>
          <w:i/>
          <w:spacing w:val="-1"/>
        </w:rPr>
        <w:t>data</w:t>
      </w:r>
      <w:r w:rsidRPr="0031675F">
        <w:rPr>
          <w:i/>
          <w:spacing w:val="-3"/>
        </w:rPr>
        <w:t xml:space="preserve"> </w:t>
      </w:r>
      <w:r w:rsidRPr="0031675F">
        <w:rPr>
          <w:i/>
          <w:spacing w:val="-1"/>
        </w:rPr>
        <w:t>analysis, results</w:t>
      </w:r>
      <w:r w:rsidRPr="0031675F">
        <w:rPr>
          <w:i/>
          <w:spacing w:val="1"/>
        </w:rPr>
        <w:t xml:space="preserve"> </w:t>
      </w:r>
      <w:r w:rsidRPr="0031675F">
        <w:rPr>
          <w:i/>
          <w:spacing w:val="-1"/>
        </w:rPr>
        <w:t>are</w:t>
      </w:r>
      <w:r w:rsidRPr="0031675F">
        <w:rPr>
          <w:i/>
          <w:spacing w:val="-3"/>
        </w:rPr>
        <w:t xml:space="preserve"> </w:t>
      </w:r>
      <w:r w:rsidRPr="0031675F">
        <w:rPr>
          <w:i/>
          <w:spacing w:val="-1"/>
        </w:rPr>
        <w:t>generally</w:t>
      </w:r>
      <w:r w:rsidRPr="0031675F">
        <w:rPr>
          <w:i/>
        </w:rPr>
        <w:t xml:space="preserve"> </w:t>
      </w:r>
      <w:r w:rsidRPr="0031675F">
        <w:rPr>
          <w:i/>
          <w:spacing w:val="-1"/>
        </w:rPr>
        <w:t>averaged</w:t>
      </w:r>
      <w:r w:rsidRPr="0031675F">
        <w:rPr>
          <w:i/>
        </w:rPr>
        <w:t xml:space="preserve"> </w:t>
      </w:r>
      <w:r w:rsidRPr="0031675F">
        <w:rPr>
          <w:i/>
          <w:spacing w:val="-2"/>
        </w:rPr>
        <w:t>over</w:t>
      </w:r>
      <w:r w:rsidRPr="0031675F">
        <w:rPr>
          <w:i/>
          <w:spacing w:val="1"/>
        </w:rPr>
        <w:t xml:space="preserve"> </w:t>
      </w:r>
      <w:r w:rsidRPr="0031675F">
        <w:rPr>
          <w:i/>
          <w:spacing w:val="-1"/>
        </w:rPr>
        <w:t>duplicates.</w:t>
      </w:r>
    </w:p>
    <w:p w14:paraId="77FC7C4C" w14:textId="77777777" w:rsidR="0031675F" w:rsidRPr="0031675F" w:rsidRDefault="0031675F" w:rsidP="0031675F">
      <w:pPr>
        <w:widowControl w:val="0"/>
        <w:numPr>
          <w:ilvl w:val="0"/>
          <w:numId w:val="108"/>
        </w:numPr>
        <w:tabs>
          <w:tab w:val="left" w:pos="403"/>
        </w:tabs>
        <w:spacing w:before="0" w:after="0" w:line="240" w:lineRule="auto"/>
        <w:ind w:right="114"/>
        <w:jc w:val="both"/>
      </w:pPr>
      <w:r w:rsidRPr="0031675F">
        <w:rPr>
          <w:spacing w:val="-1"/>
        </w:rPr>
        <w:t>Coefficients</w:t>
      </w:r>
      <w:r w:rsidRPr="0031675F">
        <w:rPr>
          <w:spacing w:val="35"/>
        </w:rPr>
        <w:t xml:space="preserve"> </w:t>
      </w:r>
      <w:r w:rsidRPr="0031675F">
        <w:t>of</w:t>
      </w:r>
      <w:r w:rsidRPr="0031675F">
        <w:rPr>
          <w:spacing w:val="36"/>
        </w:rPr>
        <w:t xml:space="preserve"> </w:t>
      </w:r>
      <w:r w:rsidRPr="0031675F">
        <w:rPr>
          <w:spacing w:val="-1"/>
        </w:rPr>
        <w:t>variance</w:t>
      </w:r>
      <w:r w:rsidRPr="0031675F">
        <w:rPr>
          <w:spacing w:val="39"/>
        </w:rPr>
        <w:t xml:space="preserve"> </w:t>
      </w:r>
      <w:r w:rsidRPr="0031675F">
        <w:rPr>
          <w:spacing w:val="-1"/>
        </w:rPr>
        <w:t>are</w:t>
      </w:r>
      <w:r w:rsidRPr="0031675F">
        <w:rPr>
          <w:spacing w:val="38"/>
        </w:rPr>
        <w:t xml:space="preserve"> </w:t>
      </w:r>
      <w:r w:rsidRPr="0031675F">
        <w:rPr>
          <w:spacing w:val="-1"/>
        </w:rPr>
        <w:t>calculated</w:t>
      </w:r>
      <w:r w:rsidRPr="0031675F">
        <w:rPr>
          <w:spacing w:val="38"/>
        </w:rPr>
        <w:t xml:space="preserve"> </w:t>
      </w:r>
      <w:r w:rsidRPr="0031675F">
        <w:rPr>
          <w:spacing w:val="-1"/>
        </w:rPr>
        <w:t>from</w:t>
      </w:r>
      <w:r w:rsidRPr="0031675F">
        <w:rPr>
          <w:spacing w:val="40"/>
        </w:rPr>
        <w:t xml:space="preserve"> </w:t>
      </w:r>
      <w:r w:rsidRPr="0031675F">
        <w:rPr>
          <w:spacing w:val="-1"/>
        </w:rPr>
        <w:t>analytical</w:t>
      </w:r>
      <w:r w:rsidRPr="0031675F">
        <w:rPr>
          <w:spacing w:val="38"/>
        </w:rPr>
        <w:t xml:space="preserve"> </w:t>
      </w:r>
      <w:r w:rsidRPr="0031675F">
        <w:rPr>
          <w:spacing w:val="-1"/>
        </w:rPr>
        <w:t>results</w:t>
      </w:r>
      <w:r w:rsidRPr="0031675F">
        <w:rPr>
          <w:spacing w:val="36"/>
        </w:rPr>
        <w:t xml:space="preserve"> </w:t>
      </w:r>
      <w:r w:rsidRPr="0031675F">
        <w:t>of</w:t>
      </w:r>
      <w:r w:rsidRPr="0031675F">
        <w:rPr>
          <w:spacing w:val="39"/>
        </w:rPr>
        <w:t xml:space="preserve"> </w:t>
      </w:r>
      <w:r w:rsidRPr="0031675F">
        <w:rPr>
          <w:spacing w:val="-1"/>
        </w:rPr>
        <w:t>sample</w:t>
      </w:r>
      <w:r w:rsidRPr="0031675F">
        <w:rPr>
          <w:spacing w:val="39"/>
        </w:rPr>
        <w:t xml:space="preserve"> </w:t>
      </w:r>
      <w:r w:rsidRPr="0031675F">
        <w:rPr>
          <w:spacing w:val="-1"/>
        </w:rPr>
        <w:t>duplicates.</w:t>
      </w:r>
      <w:r w:rsidRPr="0031675F">
        <w:rPr>
          <w:spacing w:val="35"/>
        </w:rPr>
        <w:t xml:space="preserve"> </w:t>
      </w:r>
      <w:r w:rsidRPr="0031675F">
        <w:rPr>
          <w:spacing w:val="-1"/>
        </w:rPr>
        <w:t>Duplicates</w:t>
      </w:r>
      <w:r w:rsidRPr="0031675F">
        <w:rPr>
          <w:spacing w:val="83"/>
        </w:rPr>
        <w:t xml:space="preserve"> </w:t>
      </w:r>
      <w:r w:rsidRPr="0031675F">
        <w:t xml:space="preserve">with </w:t>
      </w:r>
      <w:r w:rsidRPr="0031675F">
        <w:rPr>
          <w:spacing w:val="-2"/>
        </w:rPr>
        <w:t>CV&gt;30%</w:t>
      </w:r>
      <w:r w:rsidRPr="0031675F">
        <w:rPr>
          <w:spacing w:val="1"/>
        </w:rPr>
        <w:t xml:space="preserve"> </w:t>
      </w:r>
      <w:r w:rsidRPr="0031675F">
        <w:t>are</w:t>
      </w:r>
      <w:r w:rsidRPr="0031675F">
        <w:rPr>
          <w:spacing w:val="-3"/>
        </w:rPr>
        <w:t xml:space="preserve"> </w:t>
      </w:r>
      <w:r w:rsidRPr="0031675F">
        <w:rPr>
          <w:spacing w:val="-1"/>
        </w:rPr>
        <w:t>discarded</w:t>
      </w:r>
      <w:r w:rsidRPr="0031675F">
        <w:rPr>
          <w:spacing w:val="-3"/>
        </w:rPr>
        <w:t xml:space="preserve"> </w:t>
      </w:r>
      <w:r w:rsidRPr="0031675F">
        <w:rPr>
          <w:spacing w:val="-1"/>
        </w:rPr>
        <w:t>from</w:t>
      </w:r>
      <w:r w:rsidRPr="0031675F">
        <w:rPr>
          <w:spacing w:val="1"/>
        </w:rPr>
        <w:t xml:space="preserve"> </w:t>
      </w:r>
      <w:r w:rsidRPr="0031675F">
        <w:rPr>
          <w:spacing w:val="-1"/>
        </w:rPr>
        <w:t>the</w:t>
      </w:r>
      <w:r w:rsidRPr="0031675F">
        <w:rPr>
          <w:spacing w:val="-2"/>
        </w:rPr>
        <w:t xml:space="preserve"> </w:t>
      </w:r>
      <w:r w:rsidRPr="0031675F">
        <w:rPr>
          <w:spacing w:val="-1"/>
        </w:rPr>
        <w:t>analysis</w:t>
      </w:r>
      <w:r w:rsidRPr="0031675F">
        <w:t xml:space="preserve"> and</w:t>
      </w:r>
      <w:r w:rsidRPr="0031675F">
        <w:rPr>
          <w:spacing w:val="-4"/>
        </w:rPr>
        <w:t xml:space="preserve"> </w:t>
      </w:r>
      <w:r w:rsidRPr="0031675F">
        <w:t>the</w:t>
      </w:r>
      <w:r w:rsidRPr="0031675F">
        <w:rPr>
          <w:spacing w:val="-2"/>
        </w:rPr>
        <w:t xml:space="preserve"> </w:t>
      </w:r>
      <w:r w:rsidRPr="0031675F">
        <w:rPr>
          <w:spacing w:val="-1"/>
        </w:rPr>
        <w:t>analysis</w:t>
      </w:r>
      <w:r w:rsidRPr="0031675F">
        <w:t xml:space="preserve"> </w:t>
      </w:r>
      <w:r w:rsidRPr="0031675F">
        <w:rPr>
          <w:spacing w:val="-1"/>
        </w:rPr>
        <w:t>repeated</w:t>
      </w:r>
      <w:r w:rsidRPr="0031675F">
        <w:t xml:space="preserve"> </w:t>
      </w:r>
      <w:r w:rsidRPr="0031675F">
        <w:rPr>
          <w:spacing w:val="-1"/>
        </w:rPr>
        <w:t>using extra</w:t>
      </w:r>
      <w:r w:rsidRPr="0031675F">
        <w:t xml:space="preserve"> </w:t>
      </w:r>
      <w:r w:rsidRPr="0031675F">
        <w:rPr>
          <w:spacing w:val="-1"/>
        </w:rPr>
        <w:t>duplicates</w:t>
      </w:r>
      <w:r w:rsidRPr="0031675F">
        <w:t xml:space="preserve"> </w:t>
      </w:r>
      <w:r w:rsidRPr="0031675F">
        <w:rPr>
          <w:spacing w:val="-1"/>
        </w:rPr>
        <w:t>that</w:t>
      </w:r>
      <w:r w:rsidRPr="0031675F">
        <w:rPr>
          <w:spacing w:val="67"/>
        </w:rPr>
        <w:t xml:space="preserve"> </w:t>
      </w:r>
      <w:r w:rsidRPr="0031675F">
        <w:t xml:space="preserve">are </w:t>
      </w:r>
      <w:r w:rsidRPr="0031675F">
        <w:rPr>
          <w:spacing w:val="-1"/>
        </w:rPr>
        <w:t>generally</w:t>
      </w:r>
      <w:r w:rsidRPr="0031675F">
        <w:t xml:space="preserve"> </w:t>
      </w:r>
      <w:r w:rsidRPr="0031675F">
        <w:rPr>
          <w:spacing w:val="-1"/>
        </w:rPr>
        <w:t>collected as</w:t>
      </w:r>
      <w:r w:rsidRPr="0031675F">
        <w:t xml:space="preserve"> a</w:t>
      </w:r>
      <w:r w:rsidRPr="0031675F">
        <w:rPr>
          <w:spacing w:val="-2"/>
        </w:rPr>
        <w:t xml:space="preserve"> </w:t>
      </w:r>
      <w:r w:rsidRPr="0031675F">
        <w:rPr>
          <w:spacing w:val="-1"/>
        </w:rPr>
        <w:t>backup.</w:t>
      </w:r>
    </w:p>
    <w:p w14:paraId="2C396E51" w14:textId="77777777" w:rsidR="0031675F" w:rsidRPr="0031675F" w:rsidRDefault="0031675F" w:rsidP="0031675F">
      <w:pPr>
        <w:jc w:val="both"/>
        <w:sectPr w:rsidR="0031675F" w:rsidRPr="0031675F" w:rsidSect="004A5C83">
          <w:pgSz w:w="11910" w:h="16850"/>
          <w:pgMar w:top="720" w:right="1281" w:bottom="697" w:left="1281" w:header="520" w:footer="500" w:gutter="0"/>
          <w:paperSrc w:first="7" w:other="7"/>
          <w:cols w:space="720"/>
        </w:sectPr>
      </w:pPr>
    </w:p>
    <w:p w14:paraId="3249D2E6" w14:textId="77777777" w:rsidR="0031675F" w:rsidRPr="0031675F" w:rsidRDefault="0031675F" w:rsidP="0031675F">
      <w:pPr>
        <w:spacing w:before="1"/>
        <w:rPr>
          <w:rFonts w:cs="Calibri"/>
          <w:sz w:val="15"/>
          <w:szCs w:val="15"/>
        </w:rPr>
      </w:pPr>
    </w:p>
    <w:p w14:paraId="552C813E" w14:textId="3C09770D" w:rsidR="0031675F" w:rsidRPr="0031675F" w:rsidRDefault="0031675F" w:rsidP="005A35E3">
      <w:pPr>
        <w:pStyle w:val="Heading4"/>
        <w:numPr>
          <w:ilvl w:val="0"/>
          <w:numId w:val="0"/>
        </w:numPr>
        <w:ind w:left="864" w:hanging="864"/>
      </w:pPr>
      <w:bookmarkStart w:id="636" w:name="_Toc523830552"/>
      <w:bookmarkStart w:id="637" w:name="_Toc523905138"/>
      <w:bookmarkStart w:id="638" w:name="_Toc523905380"/>
      <w:bookmarkStart w:id="639" w:name="_Toc534968691"/>
      <w:bookmarkStart w:id="640" w:name="_TOC_250049"/>
      <w:r w:rsidRPr="0031675F">
        <w:rPr>
          <w:highlight w:val="lightGray"/>
        </w:rPr>
        <w:t>Section A5 Attachments</w:t>
      </w:r>
      <w:bookmarkEnd w:id="636"/>
      <w:bookmarkEnd w:id="637"/>
      <w:bookmarkEnd w:id="638"/>
      <w:bookmarkEnd w:id="639"/>
      <w:r w:rsidRPr="0031675F">
        <w:rPr>
          <w:highlight w:val="lightGray"/>
        </w:rPr>
        <w:t xml:space="preserve"> </w:t>
      </w:r>
      <w:bookmarkEnd w:id="640"/>
    </w:p>
    <w:p w14:paraId="27671080" w14:textId="77777777" w:rsidR="0031675F" w:rsidRPr="0031675F" w:rsidRDefault="0031675F" w:rsidP="0031675F">
      <w:pPr>
        <w:tabs>
          <w:tab w:val="left" w:pos="3227"/>
        </w:tabs>
        <w:spacing w:before="235"/>
        <w:ind w:left="3227" w:right="1853" w:hanging="2269"/>
        <w:rPr>
          <w:rFonts w:eastAsia="Arial" w:cs="Arial"/>
          <w:sz w:val="24"/>
          <w:szCs w:val="24"/>
        </w:rPr>
      </w:pPr>
      <w:r w:rsidRPr="0031675F">
        <w:rPr>
          <w:b/>
          <w:spacing w:val="-1"/>
          <w:sz w:val="24"/>
        </w:rPr>
        <w:t>Attachment</w:t>
      </w:r>
      <w:r w:rsidRPr="0031675F">
        <w:rPr>
          <w:b/>
          <w:sz w:val="24"/>
        </w:rPr>
        <w:t xml:space="preserve"> 5.1</w:t>
      </w:r>
      <w:r w:rsidRPr="0031675F">
        <w:rPr>
          <w:b/>
          <w:sz w:val="24"/>
        </w:rPr>
        <w:tab/>
      </w:r>
      <w:r w:rsidRPr="0031675F">
        <w:rPr>
          <w:b/>
          <w:spacing w:val="-1"/>
          <w:sz w:val="24"/>
        </w:rPr>
        <w:t>Example</w:t>
      </w:r>
      <w:r w:rsidRPr="0031675F">
        <w:rPr>
          <w:b/>
          <w:spacing w:val="-2"/>
          <w:sz w:val="24"/>
        </w:rPr>
        <w:t xml:space="preserve"> </w:t>
      </w:r>
      <w:r w:rsidRPr="0031675F">
        <w:rPr>
          <w:b/>
          <w:sz w:val="24"/>
        </w:rPr>
        <w:t xml:space="preserve">worksheet </w:t>
      </w:r>
      <w:r w:rsidRPr="0031675F">
        <w:rPr>
          <w:b/>
          <w:spacing w:val="-2"/>
          <w:sz w:val="24"/>
        </w:rPr>
        <w:t>for</w:t>
      </w:r>
      <w:r w:rsidRPr="0031675F">
        <w:rPr>
          <w:b/>
          <w:spacing w:val="2"/>
          <w:sz w:val="24"/>
        </w:rPr>
        <w:t xml:space="preserve"> </w:t>
      </w:r>
      <w:r w:rsidRPr="0031675F">
        <w:rPr>
          <w:b/>
          <w:spacing w:val="-1"/>
          <w:sz w:val="24"/>
        </w:rPr>
        <w:t>analysis</w:t>
      </w:r>
      <w:r w:rsidRPr="0031675F">
        <w:rPr>
          <w:b/>
          <w:spacing w:val="1"/>
          <w:sz w:val="24"/>
        </w:rPr>
        <w:t xml:space="preserve"> </w:t>
      </w:r>
      <w:r w:rsidRPr="0031675F">
        <w:rPr>
          <w:b/>
          <w:sz w:val="24"/>
        </w:rPr>
        <w:t xml:space="preserve">of </w:t>
      </w:r>
      <w:r w:rsidRPr="0031675F">
        <w:rPr>
          <w:b/>
          <w:spacing w:val="-1"/>
          <w:sz w:val="24"/>
        </w:rPr>
        <w:t>dissolved</w:t>
      </w:r>
      <w:r w:rsidRPr="0031675F">
        <w:rPr>
          <w:b/>
          <w:sz w:val="24"/>
        </w:rPr>
        <w:t xml:space="preserve"> organic</w:t>
      </w:r>
      <w:r w:rsidRPr="0031675F">
        <w:rPr>
          <w:b/>
          <w:spacing w:val="47"/>
          <w:sz w:val="24"/>
        </w:rPr>
        <w:t xml:space="preserve"> </w:t>
      </w:r>
      <w:r w:rsidRPr="0031675F">
        <w:rPr>
          <w:b/>
          <w:sz w:val="24"/>
        </w:rPr>
        <w:t>carbon using the</w:t>
      </w:r>
      <w:r w:rsidRPr="0031675F">
        <w:rPr>
          <w:b/>
          <w:spacing w:val="-2"/>
          <w:sz w:val="24"/>
        </w:rPr>
        <w:t xml:space="preserve"> </w:t>
      </w:r>
      <w:r w:rsidRPr="0031675F">
        <w:rPr>
          <w:b/>
          <w:spacing w:val="-1"/>
          <w:sz w:val="24"/>
        </w:rPr>
        <w:t>Shimadzu</w:t>
      </w:r>
      <w:r w:rsidRPr="0031675F">
        <w:rPr>
          <w:b/>
          <w:sz w:val="24"/>
        </w:rPr>
        <w:t xml:space="preserve"> TOC-V</w:t>
      </w:r>
    </w:p>
    <w:p w14:paraId="37F0C456" w14:textId="77777777" w:rsidR="0031675F" w:rsidRPr="0031675F" w:rsidRDefault="0031675F" w:rsidP="0031675F">
      <w:pPr>
        <w:spacing w:before="10"/>
        <w:rPr>
          <w:rFonts w:eastAsia="Arial" w:cs="Arial"/>
          <w:b/>
          <w:bCs/>
          <w:sz w:val="20"/>
          <w:szCs w:val="20"/>
        </w:rPr>
      </w:pPr>
    </w:p>
    <w:p w14:paraId="2AA8D5CF" w14:textId="77777777" w:rsidR="0031675F" w:rsidRPr="0031675F" w:rsidRDefault="0031675F" w:rsidP="0031675F">
      <w:pPr>
        <w:spacing w:line="200" w:lineRule="atLeast"/>
        <w:ind w:left="109"/>
        <w:rPr>
          <w:rFonts w:eastAsia="Arial" w:cs="Arial"/>
          <w:sz w:val="20"/>
          <w:szCs w:val="20"/>
        </w:rPr>
      </w:pPr>
      <w:r w:rsidRPr="0031675F">
        <w:rPr>
          <w:noProof/>
          <w:lang w:eastAsia="en-AU"/>
        </w:rPr>
        <mc:AlternateContent>
          <mc:Choice Requires="wpg">
            <w:drawing>
              <wp:inline distT="0" distB="0" distL="0" distR="0" wp14:anchorId="060C6E3B" wp14:editId="29C2F750">
                <wp:extent cx="6920230" cy="6767830"/>
                <wp:effectExtent l="9525" t="9525" r="4445" b="4445"/>
                <wp:docPr id="126" name="Group 8403" descr="Example worksheet for analysis of dissolved organic carbon using the Shimadzu TOC-V" title="Example workshee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20230" cy="6767830"/>
                          <a:chOff x="0" y="0"/>
                          <a:chExt cx="10898" cy="10658"/>
                        </a:xfrm>
                      </wpg:grpSpPr>
                      <wpg:grpSp>
                        <wpg:cNvPr id="127" name="Group 9059"/>
                        <wpg:cNvGrpSpPr>
                          <a:grpSpLocks/>
                        </wpg:cNvGrpSpPr>
                        <wpg:grpSpPr bwMode="auto">
                          <a:xfrm>
                            <a:off x="515" y="15"/>
                            <a:ext cx="2" cy="2"/>
                            <a:chOff x="515" y="15"/>
                            <a:chExt cx="2" cy="2"/>
                          </a:xfrm>
                        </wpg:grpSpPr>
                        <wps:wsp>
                          <wps:cNvPr id="17760" name="Freeform 9060"/>
                          <wps:cNvSpPr>
                            <a:spLocks/>
                          </wps:cNvSpPr>
                          <wps:spPr bwMode="auto">
                            <a:xfrm>
                              <a:off x="515" y="15"/>
                              <a:ext cx="2" cy="2"/>
                            </a:xfrm>
                            <a:custGeom>
                              <a:avLst/>
                              <a:gdLst>
                                <a:gd name="T0" fmla="*/ 0 w 2"/>
                                <a:gd name="T1" fmla="*/ 0 h 2"/>
                                <a:gd name="T2" fmla="*/ 0 w 2"/>
                                <a:gd name="T3" fmla="*/ 0 h 2"/>
                                <a:gd name="T4" fmla="*/ 0 60000 65536"/>
                                <a:gd name="T5" fmla="*/ 0 60000 65536"/>
                              </a:gdLst>
                              <a:ahLst/>
                              <a:cxnLst>
                                <a:cxn ang="T4">
                                  <a:pos x="T0" y="T1"/>
                                </a:cxn>
                                <a:cxn ang="T5">
                                  <a:pos x="T2" y="T3"/>
                                </a:cxn>
                              </a:cxnLst>
                              <a:rect l="0" t="0" r="r" b="b"/>
                              <a:pathLst>
                                <a:path w="2" h="2">
                                  <a:moveTo>
                                    <a:pt x="0" y="0"/>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61" name="Group 9057"/>
                        <wpg:cNvGrpSpPr>
                          <a:grpSpLocks/>
                        </wpg:cNvGrpSpPr>
                        <wpg:grpSpPr bwMode="auto">
                          <a:xfrm>
                            <a:off x="10" y="15"/>
                            <a:ext cx="10879" cy="2"/>
                            <a:chOff x="10" y="15"/>
                            <a:chExt cx="10879" cy="2"/>
                          </a:xfrm>
                        </wpg:grpSpPr>
                        <wps:wsp>
                          <wps:cNvPr id="17762" name="Freeform 9058"/>
                          <wps:cNvSpPr>
                            <a:spLocks/>
                          </wps:cNvSpPr>
                          <wps:spPr bwMode="auto">
                            <a:xfrm>
                              <a:off x="10" y="15"/>
                              <a:ext cx="10879" cy="2"/>
                            </a:xfrm>
                            <a:custGeom>
                              <a:avLst/>
                              <a:gdLst>
                                <a:gd name="T0" fmla="*/ 0 w 10879"/>
                                <a:gd name="T1" fmla="*/ 0 h 2"/>
                                <a:gd name="T2" fmla="*/ 10878 w 10879"/>
                                <a:gd name="T3" fmla="*/ 0 h 2"/>
                                <a:gd name="T4" fmla="*/ 0 60000 65536"/>
                                <a:gd name="T5" fmla="*/ 0 60000 65536"/>
                              </a:gdLst>
                              <a:ahLst/>
                              <a:cxnLst>
                                <a:cxn ang="T4">
                                  <a:pos x="T0" y="T1"/>
                                </a:cxn>
                                <a:cxn ang="T5">
                                  <a:pos x="T2" y="T3"/>
                                </a:cxn>
                              </a:cxnLst>
                              <a:rect l="0" t="0" r="r" b="b"/>
                              <a:pathLst>
                                <a:path w="10879" h="2">
                                  <a:moveTo>
                                    <a:pt x="0" y="0"/>
                                  </a:moveTo>
                                  <a:lnTo>
                                    <a:pt x="10878" y="0"/>
                                  </a:lnTo>
                                </a:path>
                              </a:pathLst>
                            </a:custGeom>
                            <a:noFill/>
                            <a:ln w="72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63" name="Group 9055"/>
                        <wpg:cNvGrpSpPr>
                          <a:grpSpLocks/>
                        </wpg:cNvGrpSpPr>
                        <wpg:grpSpPr bwMode="auto">
                          <a:xfrm>
                            <a:off x="1022" y="15"/>
                            <a:ext cx="2" cy="1101"/>
                            <a:chOff x="1022" y="15"/>
                            <a:chExt cx="2" cy="1101"/>
                          </a:xfrm>
                        </wpg:grpSpPr>
                        <wps:wsp>
                          <wps:cNvPr id="17764" name="Freeform 9056"/>
                          <wps:cNvSpPr>
                            <a:spLocks/>
                          </wps:cNvSpPr>
                          <wps:spPr bwMode="auto">
                            <a:xfrm>
                              <a:off x="1022" y="15"/>
                              <a:ext cx="2" cy="1101"/>
                            </a:xfrm>
                            <a:custGeom>
                              <a:avLst/>
                              <a:gdLst>
                                <a:gd name="T0" fmla="*/ 0 w 2"/>
                                <a:gd name="T1" fmla="*/ 15 h 1101"/>
                                <a:gd name="T2" fmla="*/ 0 w 2"/>
                                <a:gd name="T3" fmla="*/ 1116 h 1101"/>
                                <a:gd name="T4" fmla="*/ 0 60000 65536"/>
                                <a:gd name="T5" fmla="*/ 0 60000 65536"/>
                              </a:gdLst>
                              <a:ahLst/>
                              <a:cxnLst>
                                <a:cxn ang="T4">
                                  <a:pos x="T0" y="T1"/>
                                </a:cxn>
                                <a:cxn ang="T5">
                                  <a:pos x="T2" y="T3"/>
                                </a:cxn>
                              </a:cxnLst>
                              <a:rect l="0" t="0" r="r" b="b"/>
                              <a:pathLst>
                                <a:path w="2" h="1101">
                                  <a:moveTo>
                                    <a:pt x="0" y="0"/>
                                  </a:moveTo>
                                  <a:lnTo>
                                    <a:pt x="0" y="1101"/>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65" name="Group 9053"/>
                        <wpg:cNvGrpSpPr>
                          <a:grpSpLocks/>
                        </wpg:cNvGrpSpPr>
                        <wpg:grpSpPr bwMode="auto">
                          <a:xfrm>
                            <a:off x="5887" y="15"/>
                            <a:ext cx="2" cy="2934"/>
                            <a:chOff x="5887" y="15"/>
                            <a:chExt cx="2" cy="2934"/>
                          </a:xfrm>
                        </wpg:grpSpPr>
                        <wps:wsp>
                          <wps:cNvPr id="17766" name="Freeform 9054"/>
                          <wps:cNvSpPr>
                            <a:spLocks/>
                          </wps:cNvSpPr>
                          <wps:spPr bwMode="auto">
                            <a:xfrm>
                              <a:off x="5887" y="15"/>
                              <a:ext cx="2" cy="2934"/>
                            </a:xfrm>
                            <a:custGeom>
                              <a:avLst/>
                              <a:gdLst>
                                <a:gd name="T0" fmla="*/ 0 w 2"/>
                                <a:gd name="T1" fmla="*/ 15 h 2934"/>
                                <a:gd name="T2" fmla="*/ 0 w 2"/>
                                <a:gd name="T3" fmla="*/ 2948 h 2934"/>
                                <a:gd name="T4" fmla="*/ 0 60000 65536"/>
                                <a:gd name="T5" fmla="*/ 0 60000 65536"/>
                              </a:gdLst>
                              <a:ahLst/>
                              <a:cxnLst>
                                <a:cxn ang="T4">
                                  <a:pos x="T0" y="T1"/>
                                </a:cxn>
                                <a:cxn ang="T5">
                                  <a:pos x="T2" y="T3"/>
                                </a:cxn>
                              </a:cxnLst>
                              <a:rect l="0" t="0" r="r" b="b"/>
                              <a:pathLst>
                                <a:path w="2" h="2934">
                                  <a:moveTo>
                                    <a:pt x="0" y="0"/>
                                  </a:moveTo>
                                  <a:lnTo>
                                    <a:pt x="0" y="2933"/>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67" name="Group 9051"/>
                        <wpg:cNvGrpSpPr>
                          <a:grpSpLocks/>
                        </wpg:cNvGrpSpPr>
                        <wpg:grpSpPr bwMode="auto">
                          <a:xfrm>
                            <a:off x="1022" y="2459"/>
                            <a:ext cx="2" cy="1467"/>
                            <a:chOff x="1022" y="2459"/>
                            <a:chExt cx="2" cy="1467"/>
                          </a:xfrm>
                        </wpg:grpSpPr>
                        <wps:wsp>
                          <wps:cNvPr id="17768" name="Freeform 9052"/>
                          <wps:cNvSpPr>
                            <a:spLocks/>
                          </wps:cNvSpPr>
                          <wps:spPr bwMode="auto">
                            <a:xfrm>
                              <a:off x="1022" y="2459"/>
                              <a:ext cx="2" cy="1467"/>
                            </a:xfrm>
                            <a:custGeom>
                              <a:avLst/>
                              <a:gdLst>
                                <a:gd name="T0" fmla="*/ 0 w 2"/>
                                <a:gd name="T1" fmla="*/ 2459 h 1467"/>
                                <a:gd name="T2" fmla="*/ 0 w 2"/>
                                <a:gd name="T3" fmla="*/ 3925 h 1467"/>
                                <a:gd name="T4" fmla="*/ 0 60000 65536"/>
                                <a:gd name="T5" fmla="*/ 0 60000 65536"/>
                              </a:gdLst>
                              <a:ahLst/>
                              <a:cxnLst>
                                <a:cxn ang="T4">
                                  <a:pos x="T0" y="T1"/>
                                </a:cxn>
                                <a:cxn ang="T5">
                                  <a:pos x="T2" y="T3"/>
                                </a:cxn>
                              </a:cxnLst>
                              <a:rect l="0" t="0" r="r" b="b"/>
                              <a:pathLst>
                                <a:path w="2" h="1467">
                                  <a:moveTo>
                                    <a:pt x="0" y="0"/>
                                  </a:moveTo>
                                  <a:lnTo>
                                    <a:pt x="0" y="1466"/>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69" name="Group 9049"/>
                        <wpg:cNvGrpSpPr>
                          <a:grpSpLocks/>
                        </wpg:cNvGrpSpPr>
                        <wpg:grpSpPr bwMode="auto">
                          <a:xfrm>
                            <a:off x="5887" y="3070"/>
                            <a:ext cx="2" cy="2199"/>
                            <a:chOff x="5887" y="3070"/>
                            <a:chExt cx="2" cy="2199"/>
                          </a:xfrm>
                        </wpg:grpSpPr>
                        <wps:wsp>
                          <wps:cNvPr id="17770" name="Freeform 9050"/>
                          <wps:cNvSpPr>
                            <a:spLocks/>
                          </wps:cNvSpPr>
                          <wps:spPr bwMode="auto">
                            <a:xfrm>
                              <a:off x="5887" y="3070"/>
                              <a:ext cx="2" cy="2199"/>
                            </a:xfrm>
                            <a:custGeom>
                              <a:avLst/>
                              <a:gdLst>
                                <a:gd name="T0" fmla="*/ 0 w 2"/>
                                <a:gd name="T1" fmla="*/ 3070 h 2199"/>
                                <a:gd name="T2" fmla="*/ 0 w 2"/>
                                <a:gd name="T3" fmla="*/ 5269 h 2199"/>
                                <a:gd name="T4" fmla="*/ 0 60000 65536"/>
                                <a:gd name="T5" fmla="*/ 0 60000 65536"/>
                              </a:gdLst>
                              <a:ahLst/>
                              <a:cxnLst>
                                <a:cxn ang="T4">
                                  <a:pos x="T0" y="T1"/>
                                </a:cxn>
                                <a:cxn ang="T5">
                                  <a:pos x="T2" y="T3"/>
                                </a:cxn>
                              </a:cxnLst>
                              <a:rect l="0" t="0" r="r" b="b"/>
                              <a:pathLst>
                                <a:path w="2" h="2199">
                                  <a:moveTo>
                                    <a:pt x="0" y="0"/>
                                  </a:moveTo>
                                  <a:lnTo>
                                    <a:pt x="0" y="219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771" name="Group 9047"/>
                        <wpg:cNvGrpSpPr>
                          <a:grpSpLocks/>
                        </wpg:cNvGrpSpPr>
                        <wpg:grpSpPr bwMode="auto">
                          <a:xfrm>
                            <a:off x="6386" y="15"/>
                            <a:ext cx="2" cy="5255"/>
                            <a:chOff x="6386" y="15"/>
                            <a:chExt cx="2" cy="5255"/>
                          </a:xfrm>
                        </wpg:grpSpPr>
                        <wps:wsp>
                          <wps:cNvPr id="17830" name="Freeform 9048"/>
                          <wps:cNvSpPr>
                            <a:spLocks/>
                          </wps:cNvSpPr>
                          <wps:spPr bwMode="auto">
                            <a:xfrm>
                              <a:off x="6386" y="15"/>
                              <a:ext cx="2" cy="5255"/>
                            </a:xfrm>
                            <a:custGeom>
                              <a:avLst/>
                              <a:gdLst>
                                <a:gd name="T0" fmla="*/ 0 w 2"/>
                                <a:gd name="T1" fmla="*/ 15 h 5255"/>
                                <a:gd name="T2" fmla="*/ 0 w 2"/>
                                <a:gd name="T3" fmla="*/ 5269 h 5255"/>
                                <a:gd name="T4" fmla="*/ 0 60000 65536"/>
                                <a:gd name="T5" fmla="*/ 0 60000 65536"/>
                              </a:gdLst>
                              <a:ahLst/>
                              <a:cxnLst>
                                <a:cxn ang="T4">
                                  <a:pos x="T0" y="T1"/>
                                </a:cxn>
                                <a:cxn ang="T5">
                                  <a:pos x="T2" y="T3"/>
                                </a:cxn>
                              </a:cxnLst>
                              <a:rect l="0" t="0" r="r" b="b"/>
                              <a:pathLst>
                                <a:path w="2" h="5255">
                                  <a:moveTo>
                                    <a:pt x="0" y="0"/>
                                  </a:moveTo>
                                  <a:lnTo>
                                    <a:pt x="0" y="5254"/>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31" name="Group 9045"/>
                        <wpg:cNvGrpSpPr>
                          <a:grpSpLocks/>
                        </wpg:cNvGrpSpPr>
                        <wpg:grpSpPr bwMode="auto">
                          <a:xfrm>
                            <a:off x="1022" y="5025"/>
                            <a:ext cx="2" cy="1711"/>
                            <a:chOff x="1022" y="5025"/>
                            <a:chExt cx="2" cy="1711"/>
                          </a:xfrm>
                        </wpg:grpSpPr>
                        <wps:wsp>
                          <wps:cNvPr id="17832" name="Freeform 9046"/>
                          <wps:cNvSpPr>
                            <a:spLocks/>
                          </wps:cNvSpPr>
                          <wps:spPr bwMode="auto">
                            <a:xfrm>
                              <a:off x="1022" y="5025"/>
                              <a:ext cx="2" cy="1711"/>
                            </a:xfrm>
                            <a:custGeom>
                              <a:avLst/>
                              <a:gdLst>
                                <a:gd name="T0" fmla="*/ 0 w 2"/>
                                <a:gd name="T1" fmla="*/ 5025 h 1711"/>
                                <a:gd name="T2" fmla="*/ 0 w 2"/>
                                <a:gd name="T3" fmla="*/ 6735 h 1711"/>
                                <a:gd name="T4" fmla="*/ 0 60000 65536"/>
                                <a:gd name="T5" fmla="*/ 0 60000 65536"/>
                              </a:gdLst>
                              <a:ahLst/>
                              <a:cxnLst>
                                <a:cxn ang="T4">
                                  <a:pos x="T0" y="T1"/>
                                </a:cxn>
                                <a:cxn ang="T5">
                                  <a:pos x="T2" y="T3"/>
                                </a:cxn>
                              </a:cxnLst>
                              <a:rect l="0" t="0" r="r" b="b"/>
                              <a:pathLst>
                                <a:path w="2" h="1711">
                                  <a:moveTo>
                                    <a:pt x="0" y="0"/>
                                  </a:moveTo>
                                  <a:lnTo>
                                    <a:pt x="0" y="1710"/>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33" name="Group 9043"/>
                        <wpg:cNvGrpSpPr>
                          <a:grpSpLocks/>
                        </wpg:cNvGrpSpPr>
                        <wpg:grpSpPr bwMode="auto">
                          <a:xfrm>
                            <a:off x="15" y="15"/>
                            <a:ext cx="2" cy="10630"/>
                            <a:chOff x="15" y="15"/>
                            <a:chExt cx="2" cy="10630"/>
                          </a:xfrm>
                        </wpg:grpSpPr>
                        <wps:wsp>
                          <wps:cNvPr id="17834" name="Freeform 9044"/>
                          <wps:cNvSpPr>
                            <a:spLocks/>
                          </wps:cNvSpPr>
                          <wps:spPr bwMode="auto">
                            <a:xfrm>
                              <a:off x="1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73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35" name="Group 9041"/>
                        <wpg:cNvGrpSpPr>
                          <a:grpSpLocks/>
                        </wpg:cNvGrpSpPr>
                        <wpg:grpSpPr bwMode="auto">
                          <a:xfrm>
                            <a:off x="515" y="138"/>
                            <a:ext cx="2" cy="10507"/>
                            <a:chOff x="515" y="138"/>
                            <a:chExt cx="2" cy="10507"/>
                          </a:xfrm>
                        </wpg:grpSpPr>
                        <wps:wsp>
                          <wps:cNvPr id="17836" name="Freeform 9042"/>
                          <wps:cNvSpPr>
                            <a:spLocks/>
                          </wps:cNvSpPr>
                          <wps:spPr bwMode="auto">
                            <a:xfrm>
                              <a:off x="515" y="138"/>
                              <a:ext cx="2" cy="10507"/>
                            </a:xfrm>
                            <a:custGeom>
                              <a:avLst/>
                              <a:gdLst>
                                <a:gd name="T0" fmla="*/ 0 w 2"/>
                                <a:gd name="T1" fmla="*/ 138 h 10507"/>
                                <a:gd name="T2" fmla="*/ 0 w 2"/>
                                <a:gd name="T3" fmla="*/ 10644 h 10507"/>
                                <a:gd name="T4" fmla="*/ 0 60000 65536"/>
                                <a:gd name="T5" fmla="*/ 0 60000 65536"/>
                              </a:gdLst>
                              <a:ahLst/>
                              <a:cxnLst>
                                <a:cxn ang="T4">
                                  <a:pos x="T0" y="T1"/>
                                </a:cxn>
                                <a:cxn ang="T5">
                                  <a:pos x="T2" y="T3"/>
                                </a:cxn>
                              </a:cxnLst>
                              <a:rect l="0" t="0" r="r" b="b"/>
                              <a:pathLst>
                                <a:path w="2" h="10507">
                                  <a:moveTo>
                                    <a:pt x="0" y="0"/>
                                  </a:moveTo>
                                  <a:lnTo>
                                    <a:pt x="0" y="10506"/>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37" name="Group 9039"/>
                        <wpg:cNvGrpSpPr>
                          <a:grpSpLocks/>
                        </wpg:cNvGrpSpPr>
                        <wpg:grpSpPr bwMode="auto">
                          <a:xfrm>
                            <a:off x="1022" y="9667"/>
                            <a:ext cx="2" cy="978"/>
                            <a:chOff x="1022" y="9667"/>
                            <a:chExt cx="2" cy="978"/>
                          </a:xfrm>
                        </wpg:grpSpPr>
                        <wps:wsp>
                          <wps:cNvPr id="17838" name="Freeform 9040"/>
                          <wps:cNvSpPr>
                            <a:spLocks/>
                          </wps:cNvSpPr>
                          <wps:spPr bwMode="auto">
                            <a:xfrm>
                              <a:off x="1022" y="9667"/>
                              <a:ext cx="2" cy="978"/>
                            </a:xfrm>
                            <a:custGeom>
                              <a:avLst/>
                              <a:gdLst>
                                <a:gd name="T0" fmla="*/ 0 w 2"/>
                                <a:gd name="T1" fmla="*/ 9667 h 978"/>
                                <a:gd name="T2" fmla="*/ 0 w 2"/>
                                <a:gd name="T3" fmla="*/ 10644 h 978"/>
                                <a:gd name="T4" fmla="*/ 0 60000 65536"/>
                                <a:gd name="T5" fmla="*/ 0 60000 65536"/>
                              </a:gdLst>
                              <a:ahLst/>
                              <a:cxnLst>
                                <a:cxn ang="T4">
                                  <a:pos x="T0" y="T1"/>
                                </a:cxn>
                                <a:cxn ang="T5">
                                  <a:pos x="T2" y="T3"/>
                                </a:cxn>
                              </a:cxnLst>
                              <a:rect l="0" t="0" r="r" b="b"/>
                              <a:pathLst>
                                <a:path w="2" h="978">
                                  <a:moveTo>
                                    <a:pt x="0" y="0"/>
                                  </a:moveTo>
                                  <a:lnTo>
                                    <a:pt x="0" y="977"/>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39" name="Group 9037"/>
                        <wpg:cNvGrpSpPr>
                          <a:grpSpLocks/>
                        </wpg:cNvGrpSpPr>
                        <wpg:grpSpPr bwMode="auto">
                          <a:xfrm>
                            <a:off x="1686" y="15"/>
                            <a:ext cx="2" cy="10630"/>
                            <a:chOff x="1686" y="15"/>
                            <a:chExt cx="2" cy="10630"/>
                          </a:xfrm>
                        </wpg:grpSpPr>
                        <wps:wsp>
                          <wps:cNvPr id="17840" name="Freeform 9038"/>
                          <wps:cNvSpPr>
                            <a:spLocks/>
                          </wps:cNvSpPr>
                          <wps:spPr bwMode="auto">
                            <a:xfrm>
                              <a:off x="1686"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41" name="Group 9035"/>
                        <wpg:cNvGrpSpPr>
                          <a:grpSpLocks/>
                        </wpg:cNvGrpSpPr>
                        <wpg:grpSpPr bwMode="auto">
                          <a:xfrm>
                            <a:off x="2185" y="15"/>
                            <a:ext cx="2" cy="10630"/>
                            <a:chOff x="2185" y="15"/>
                            <a:chExt cx="2" cy="10630"/>
                          </a:xfrm>
                        </wpg:grpSpPr>
                        <wps:wsp>
                          <wps:cNvPr id="17842" name="Freeform 9036"/>
                          <wps:cNvSpPr>
                            <a:spLocks/>
                          </wps:cNvSpPr>
                          <wps:spPr bwMode="auto">
                            <a:xfrm>
                              <a:off x="218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43" name="Group 9033"/>
                        <wpg:cNvGrpSpPr>
                          <a:grpSpLocks/>
                        </wpg:cNvGrpSpPr>
                        <wpg:grpSpPr bwMode="auto">
                          <a:xfrm>
                            <a:off x="2685" y="15"/>
                            <a:ext cx="2" cy="10630"/>
                            <a:chOff x="2685" y="15"/>
                            <a:chExt cx="2" cy="10630"/>
                          </a:xfrm>
                        </wpg:grpSpPr>
                        <wps:wsp>
                          <wps:cNvPr id="17844" name="Freeform 9034"/>
                          <wps:cNvSpPr>
                            <a:spLocks/>
                          </wps:cNvSpPr>
                          <wps:spPr bwMode="auto">
                            <a:xfrm>
                              <a:off x="268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45" name="Group 9031"/>
                        <wpg:cNvGrpSpPr>
                          <a:grpSpLocks/>
                        </wpg:cNvGrpSpPr>
                        <wpg:grpSpPr bwMode="auto">
                          <a:xfrm>
                            <a:off x="3185" y="15"/>
                            <a:ext cx="2" cy="10630"/>
                            <a:chOff x="3185" y="15"/>
                            <a:chExt cx="2" cy="10630"/>
                          </a:xfrm>
                        </wpg:grpSpPr>
                        <wps:wsp>
                          <wps:cNvPr id="17846" name="Freeform 9032"/>
                          <wps:cNvSpPr>
                            <a:spLocks/>
                          </wps:cNvSpPr>
                          <wps:spPr bwMode="auto">
                            <a:xfrm>
                              <a:off x="318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47" name="Group 9029"/>
                        <wpg:cNvGrpSpPr>
                          <a:grpSpLocks/>
                        </wpg:cNvGrpSpPr>
                        <wpg:grpSpPr bwMode="auto">
                          <a:xfrm>
                            <a:off x="3685" y="15"/>
                            <a:ext cx="2" cy="10630"/>
                            <a:chOff x="3685" y="15"/>
                            <a:chExt cx="2" cy="10630"/>
                          </a:xfrm>
                        </wpg:grpSpPr>
                        <wps:wsp>
                          <wps:cNvPr id="17848" name="Freeform 9030"/>
                          <wps:cNvSpPr>
                            <a:spLocks/>
                          </wps:cNvSpPr>
                          <wps:spPr bwMode="auto">
                            <a:xfrm>
                              <a:off x="368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49" name="Group 9027"/>
                        <wpg:cNvGrpSpPr>
                          <a:grpSpLocks/>
                        </wpg:cNvGrpSpPr>
                        <wpg:grpSpPr bwMode="auto">
                          <a:xfrm>
                            <a:off x="4184" y="15"/>
                            <a:ext cx="2" cy="10630"/>
                            <a:chOff x="4184" y="15"/>
                            <a:chExt cx="2" cy="10630"/>
                          </a:xfrm>
                        </wpg:grpSpPr>
                        <wps:wsp>
                          <wps:cNvPr id="17850" name="Freeform 9028"/>
                          <wps:cNvSpPr>
                            <a:spLocks/>
                          </wps:cNvSpPr>
                          <wps:spPr bwMode="auto">
                            <a:xfrm>
                              <a:off x="4184"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51" name="Group 9025"/>
                        <wpg:cNvGrpSpPr>
                          <a:grpSpLocks/>
                        </wpg:cNvGrpSpPr>
                        <wpg:grpSpPr bwMode="auto">
                          <a:xfrm>
                            <a:off x="4356" y="15"/>
                            <a:ext cx="2" cy="10630"/>
                            <a:chOff x="4356" y="15"/>
                            <a:chExt cx="2" cy="10630"/>
                          </a:xfrm>
                        </wpg:grpSpPr>
                        <wps:wsp>
                          <wps:cNvPr id="17852" name="Freeform 9026"/>
                          <wps:cNvSpPr>
                            <a:spLocks/>
                          </wps:cNvSpPr>
                          <wps:spPr bwMode="auto">
                            <a:xfrm>
                              <a:off x="4356"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53" name="Group 9023"/>
                        <wpg:cNvGrpSpPr>
                          <a:grpSpLocks/>
                        </wpg:cNvGrpSpPr>
                        <wpg:grpSpPr bwMode="auto">
                          <a:xfrm>
                            <a:off x="4887" y="15"/>
                            <a:ext cx="2" cy="10630"/>
                            <a:chOff x="4887" y="15"/>
                            <a:chExt cx="2" cy="10630"/>
                          </a:xfrm>
                        </wpg:grpSpPr>
                        <wps:wsp>
                          <wps:cNvPr id="17854" name="Freeform 9024"/>
                          <wps:cNvSpPr>
                            <a:spLocks/>
                          </wps:cNvSpPr>
                          <wps:spPr bwMode="auto">
                            <a:xfrm>
                              <a:off x="4887"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55" name="Group 9021"/>
                        <wpg:cNvGrpSpPr>
                          <a:grpSpLocks/>
                        </wpg:cNvGrpSpPr>
                        <wpg:grpSpPr bwMode="auto">
                          <a:xfrm>
                            <a:off x="5387" y="15"/>
                            <a:ext cx="2" cy="10630"/>
                            <a:chOff x="5387" y="15"/>
                            <a:chExt cx="2" cy="10630"/>
                          </a:xfrm>
                        </wpg:grpSpPr>
                        <wps:wsp>
                          <wps:cNvPr id="11520" name="Freeform 9022"/>
                          <wps:cNvSpPr>
                            <a:spLocks/>
                          </wps:cNvSpPr>
                          <wps:spPr bwMode="auto">
                            <a:xfrm>
                              <a:off x="5387"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21" name="Group 9019"/>
                        <wpg:cNvGrpSpPr>
                          <a:grpSpLocks/>
                        </wpg:cNvGrpSpPr>
                        <wpg:grpSpPr bwMode="auto">
                          <a:xfrm>
                            <a:off x="5887" y="5391"/>
                            <a:ext cx="2" cy="5254"/>
                            <a:chOff x="5887" y="5391"/>
                            <a:chExt cx="2" cy="5254"/>
                          </a:xfrm>
                        </wpg:grpSpPr>
                        <wps:wsp>
                          <wps:cNvPr id="11522" name="Freeform 9020"/>
                          <wps:cNvSpPr>
                            <a:spLocks/>
                          </wps:cNvSpPr>
                          <wps:spPr bwMode="auto">
                            <a:xfrm>
                              <a:off x="5887" y="5391"/>
                              <a:ext cx="2" cy="5254"/>
                            </a:xfrm>
                            <a:custGeom>
                              <a:avLst/>
                              <a:gdLst>
                                <a:gd name="T0" fmla="*/ 0 w 2"/>
                                <a:gd name="T1" fmla="*/ 5391 h 5254"/>
                                <a:gd name="T2" fmla="*/ 0 w 2"/>
                                <a:gd name="T3" fmla="*/ 10644 h 5254"/>
                                <a:gd name="T4" fmla="*/ 0 60000 65536"/>
                                <a:gd name="T5" fmla="*/ 0 60000 65536"/>
                              </a:gdLst>
                              <a:ahLst/>
                              <a:cxnLst>
                                <a:cxn ang="T4">
                                  <a:pos x="T0" y="T1"/>
                                </a:cxn>
                                <a:cxn ang="T5">
                                  <a:pos x="T2" y="T3"/>
                                </a:cxn>
                              </a:cxnLst>
                              <a:rect l="0" t="0" r="r" b="b"/>
                              <a:pathLst>
                                <a:path w="2" h="5254">
                                  <a:moveTo>
                                    <a:pt x="0" y="0"/>
                                  </a:moveTo>
                                  <a:lnTo>
                                    <a:pt x="0" y="5253"/>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23" name="Group 9017"/>
                        <wpg:cNvGrpSpPr>
                          <a:grpSpLocks/>
                        </wpg:cNvGrpSpPr>
                        <wpg:grpSpPr bwMode="auto">
                          <a:xfrm>
                            <a:off x="6386" y="5391"/>
                            <a:ext cx="2" cy="5254"/>
                            <a:chOff x="6386" y="5391"/>
                            <a:chExt cx="2" cy="5254"/>
                          </a:xfrm>
                        </wpg:grpSpPr>
                        <wps:wsp>
                          <wps:cNvPr id="11524" name="Freeform 9018"/>
                          <wps:cNvSpPr>
                            <a:spLocks/>
                          </wps:cNvSpPr>
                          <wps:spPr bwMode="auto">
                            <a:xfrm>
                              <a:off x="6386" y="5391"/>
                              <a:ext cx="2" cy="5254"/>
                            </a:xfrm>
                            <a:custGeom>
                              <a:avLst/>
                              <a:gdLst>
                                <a:gd name="T0" fmla="*/ 0 w 2"/>
                                <a:gd name="T1" fmla="*/ 5391 h 5254"/>
                                <a:gd name="T2" fmla="*/ 0 w 2"/>
                                <a:gd name="T3" fmla="*/ 10644 h 5254"/>
                                <a:gd name="T4" fmla="*/ 0 60000 65536"/>
                                <a:gd name="T5" fmla="*/ 0 60000 65536"/>
                              </a:gdLst>
                              <a:ahLst/>
                              <a:cxnLst>
                                <a:cxn ang="T4">
                                  <a:pos x="T0" y="T1"/>
                                </a:cxn>
                                <a:cxn ang="T5">
                                  <a:pos x="T2" y="T3"/>
                                </a:cxn>
                              </a:cxnLst>
                              <a:rect l="0" t="0" r="r" b="b"/>
                              <a:pathLst>
                                <a:path w="2" h="5254">
                                  <a:moveTo>
                                    <a:pt x="0" y="0"/>
                                  </a:moveTo>
                                  <a:lnTo>
                                    <a:pt x="0" y="5253"/>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25" name="Group 9015"/>
                        <wpg:cNvGrpSpPr>
                          <a:grpSpLocks/>
                        </wpg:cNvGrpSpPr>
                        <wpg:grpSpPr bwMode="auto">
                          <a:xfrm>
                            <a:off x="6886" y="15"/>
                            <a:ext cx="2" cy="646"/>
                            <a:chOff x="6886" y="15"/>
                            <a:chExt cx="2" cy="646"/>
                          </a:xfrm>
                        </wpg:grpSpPr>
                        <wps:wsp>
                          <wps:cNvPr id="11526" name="Freeform 9016"/>
                          <wps:cNvSpPr>
                            <a:spLocks/>
                          </wps:cNvSpPr>
                          <wps:spPr bwMode="auto">
                            <a:xfrm>
                              <a:off x="6886"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27" name="Group 9013"/>
                        <wpg:cNvGrpSpPr>
                          <a:grpSpLocks/>
                        </wpg:cNvGrpSpPr>
                        <wpg:grpSpPr bwMode="auto">
                          <a:xfrm>
                            <a:off x="6886" y="2559"/>
                            <a:ext cx="2" cy="559"/>
                            <a:chOff x="6886" y="2559"/>
                            <a:chExt cx="2" cy="559"/>
                          </a:xfrm>
                        </wpg:grpSpPr>
                        <wps:wsp>
                          <wps:cNvPr id="11528" name="Freeform 9014"/>
                          <wps:cNvSpPr>
                            <a:spLocks/>
                          </wps:cNvSpPr>
                          <wps:spPr bwMode="auto">
                            <a:xfrm>
                              <a:off x="6886"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29" name="Group 9011"/>
                        <wpg:cNvGrpSpPr>
                          <a:grpSpLocks/>
                        </wpg:cNvGrpSpPr>
                        <wpg:grpSpPr bwMode="auto">
                          <a:xfrm>
                            <a:off x="6886" y="5060"/>
                            <a:ext cx="2" cy="515"/>
                            <a:chOff x="6886" y="5060"/>
                            <a:chExt cx="2" cy="515"/>
                          </a:xfrm>
                        </wpg:grpSpPr>
                        <wps:wsp>
                          <wps:cNvPr id="11530" name="Freeform 9012"/>
                          <wps:cNvSpPr>
                            <a:spLocks/>
                          </wps:cNvSpPr>
                          <wps:spPr bwMode="auto">
                            <a:xfrm>
                              <a:off x="6886"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31" name="Group 9009"/>
                        <wpg:cNvGrpSpPr>
                          <a:grpSpLocks/>
                        </wpg:cNvGrpSpPr>
                        <wpg:grpSpPr bwMode="auto">
                          <a:xfrm>
                            <a:off x="6886" y="7826"/>
                            <a:ext cx="2" cy="2819"/>
                            <a:chOff x="6886" y="7826"/>
                            <a:chExt cx="2" cy="2819"/>
                          </a:xfrm>
                        </wpg:grpSpPr>
                        <wps:wsp>
                          <wps:cNvPr id="11532" name="Freeform 9010"/>
                          <wps:cNvSpPr>
                            <a:spLocks/>
                          </wps:cNvSpPr>
                          <wps:spPr bwMode="auto">
                            <a:xfrm>
                              <a:off x="6886"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33" name="Group 9007"/>
                        <wpg:cNvGrpSpPr>
                          <a:grpSpLocks/>
                        </wpg:cNvGrpSpPr>
                        <wpg:grpSpPr bwMode="auto">
                          <a:xfrm>
                            <a:off x="7386" y="15"/>
                            <a:ext cx="2" cy="646"/>
                            <a:chOff x="7386" y="15"/>
                            <a:chExt cx="2" cy="646"/>
                          </a:xfrm>
                        </wpg:grpSpPr>
                        <wps:wsp>
                          <wps:cNvPr id="11534" name="Freeform 9008"/>
                          <wps:cNvSpPr>
                            <a:spLocks/>
                          </wps:cNvSpPr>
                          <wps:spPr bwMode="auto">
                            <a:xfrm>
                              <a:off x="7386"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35" name="Group 9005"/>
                        <wpg:cNvGrpSpPr>
                          <a:grpSpLocks/>
                        </wpg:cNvGrpSpPr>
                        <wpg:grpSpPr bwMode="auto">
                          <a:xfrm>
                            <a:off x="7386" y="2559"/>
                            <a:ext cx="2" cy="559"/>
                            <a:chOff x="7386" y="2559"/>
                            <a:chExt cx="2" cy="559"/>
                          </a:xfrm>
                        </wpg:grpSpPr>
                        <wps:wsp>
                          <wps:cNvPr id="11536" name="Freeform 9006"/>
                          <wps:cNvSpPr>
                            <a:spLocks/>
                          </wps:cNvSpPr>
                          <wps:spPr bwMode="auto">
                            <a:xfrm>
                              <a:off x="7386"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37" name="Group 9003"/>
                        <wpg:cNvGrpSpPr>
                          <a:grpSpLocks/>
                        </wpg:cNvGrpSpPr>
                        <wpg:grpSpPr bwMode="auto">
                          <a:xfrm>
                            <a:off x="7386" y="5060"/>
                            <a:ext cx="2" cy="515"/>
                            <a:chOff x="7386" y="5060"/>
                            <a:chExt cx="2" cy="515"/>
                          </a:xfrm>
                        </wpg:grpSpPr>
                        <wps:wsp>
                          <wps:cNvPr id="11538" name="Freeform 9004"/>
                          <wps:cNvSpPr>
                            <a:spLocks/>
                          </wps:cNvSpPr>
                          <wps:spPr bwMode="auto">
                            <a:xfrm>
                              <a:off x="7386"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39" name="Group 9001"/>
                        <wpg:cNvGrpSpPr>
                          <a:grpSpLocks/>
                        </wpg:cNvGrpSpPr>
                        <wpg:grpSpPr bwMode="auto">
                          <a:xfrm>
                            <a:off x="7386" y="7826"/>
                            <a:ext cx="2" cy="2819"/>
                            <a:chOff x="7386" y="7826"/>
                            <a:chExt cx="2" cy="2819"/>
                          </a:xfrm>
                        </wpg:grpSpPr>
                        <wps:wsp>
                          <wps:cNvPr id="11540" name="Freeform 9002"/>
                          <wps:cNvSpPr>
                            <a:spLocks/>
                          </wps:cNvSpPr>
                          <wps:spPr bwMode="auto">
                            <a:xfrm>
                              <a:off x="7386"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41" name="Group 8999"/>
                        <wpg:cNvGrpSpPr>
                          <a:grpSpLocks/>
                        </wpg:cNvGrpSpPr>
                        <wpg:grpSpPr bwMode="auto">
                          <a:xfrm>
                            <a:off x="7886" y="15"/>
                            <a:ext cx="2" cy="646"/>
                            <a:chOff x="7886" y="15"/>
                            <a:chExt cx="2" cy="646"/>
                          </a:xfrm>
                        </wpg:grpSpPr>
                        <wps:wsp>
                          <wps:cNvPr id="11542" name="Freeform 9000"/>
                          <wps:cNvSpPr>
                            <a:spLocks/>
                          </wps:cNvSpPr>
                          <wps:spPr bwMode="auto">
                            <a:xfrm>
                              <a:off x="7886"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43" name="Group 8997"/>
                        <wpg:cNvGrpSpPr>
                          <a:grpSpLocks/>
                        </wpg:cNvGrpSpPr>
                        <wpg:grpSpPr bwMode="auto">
                          <a:xfrm>
                            <a:off x="7886" y="2559"/>
                            <a:ext cx="2" cy="559"/>
                            <a:chOff x="7886" y="2559"/>
                            <a:chExt cx="2" cy="559"/>
                          </a:xfrm>
                        </wpg:grpSpPr>
                        <wps:wsp>
                          <wps:cNvPr id="11544" name="Freeform 8998"/>
                          <wps:cNvSpPr>
                            <a:spLocks/>
                          </wps:cNvSpPr>
                          <wps:spPr bwMode="auto">
                            <a:xfrm>
                              <a:off x="7886"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45" name="Group 8995"/>
                        <wpg:cNvGrpSpPr>
                          <a:grpSpLocks/>
                        </wpg:cNvGrpSpPr>
                        <wpg:grpSpPr bwMode="auto">
                          <a:xfrm>
                            <a:off x="7886" y="5060"/>
                            <a:ext cx="2" cy="515"/>
                            <a:chOff x="7886" y="5060"/>
                            <a:chExt cx="2" cy="515"/>
                          </a:xfrm>
                        </wpg:grpSpPr>
                        <wps:wsp>
                          <wps:cNvPr id="11546" name="Freeform 8996"/>
                          <wps:cNvSpPr>
                            <a:spLocks/>
                          </wps:cNvSpPr>
                          <wps:spPr bwMode="auto">
                            <a:xfrm>
                              <a:off x="7886"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47" name="Group 8993"/>
                        <wpg:cNvGrpSpPr>
                          <a:grpSpLocks/>
                        </wpg:cNvGrpSpPr>
                        <wpg:grpSpPr bwMode="auto">
                          <a:xfrm>
                            <a:off x="7886" y="7826"/>
                            <a:ext cx="2" cy="2819"/>
                            <a:chOff x="7886" y="7826"/>
                            <a:chExt cx="2" cy="2819"/>
                          </a:xfrm>
                        </wpg:grpSpPr>
                        <wps:wsp>
                          <wps:cNvPr id="11548" name="Freeform 8994"/>
                          <wps:cNvSpPr>
                            <a:spLocks/>
                          </wps:cNvSpPr>
                          <wps:spPr bwMode="auto">
                            <a:xfrm>
                              <a:off x="7886"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49" name="Group 8991"/>
                        <wpg:cNvGrpSpPr>
                          <a:grpSpLocks/>
                        </wpg:cNvGrpSpPr>
                        <wpg:grpSpPr bwMode="auto">
                          <a:xfrm>
                            <a:off x="8385" y="15"/>
                            <a:ext cx="2" cy="646"/>
                            <a:chOff x="8385" y="15"/>
                            <a:chExt cx="2" cy="646"/>
                          </a:xfrm>
                        </wpg:grpSpPr>
                        <wps:wsp>
                          <wps:cNvPr id="11550" name="Freeform 8992"/>
                          <wps:cNvSpPr>
                            <a:spLocks/>
                          </wps:cNvSpPr>
                          <wps:spPr bwMode="auto">
                            <a:xfrm>
                              <a:off x="8385"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55" name="Group 8989"/>
                        <wpg:cNvGrpSpPr>
                          <a:grpSpLocks/>
                        </wpg:cNvGrpSpPr>
                        <wpg:grpSpPr bwMode="auto">
                          <a:xfrm>
                            <a:off x="8385" y="2559"/>
                            <a:ext cx="2" cy="559"/>
                            <a:chOff x="8385" y="2559"/>
                            <a:chExt cx="2" cy="559"/>
                          </a:xfrm>
                        </wpg:grpSpPr>
                        <wps:wsp>
                          <wps:cNvPr id="11556" name="Freeform 8990"/>
                          <wps:cNvSpPr>
                            <a:spLocks/>
                          </wps:cNvSpPr>
                          <wps:spPr bwMode="auto">
                            <a:xfrm>
                              <a:off x="8385"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57" name="Group 8987"/>
                        <wpg:cNvGrpSpPr>
                          <a:grpSpLocks/>
                        </wpg:cNvGrpSpPr>
                        <wpg:grpSpPr bwMode="auto">
                          <a:xfrm>
                            <a:off x="8385" y="5060"/>
                            <a:ext cx="2" cy="515"/>
                            <a:chOff x="8385" y="5060"/>
                            <a:chExt cx="2" cy="515"/>
                          </a:xfrm>
                        </wpg:grpSpPr>
                        <wps:wsp>
                          <wps:cNvPr id="11558" name="Freeform 8988"/>
                          <wps:cNvSpPr>
                            <a:spLocks/>
                          </wps:cNvSpPr>
                          <wps:spPr bwMode="auto">
                            <a:xfrm>
                              <a:off x="8385"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59" name="Group 8985"/>
                        <wpg:cNvGrpSpPr>
                          <a:grpSpLocks/>
                        </wpg:cNvGrpSpPr>
                        <wpg:grpSpPr bwMode="auto">
                          <a:xfrm>
                            <a:off x="8385" y="7826"/>
                            <a:ext cx="2" cy="2819"/>
                            <a:chOff x="8385" y="7826"/>
                            <a:chExt cx="2" cy="2819"/>
                          </a:xfrm>
                        </wpg:grpSpPr>
                        <wps:wsp>
                          <wps:cNvPr id="11560" name="Freeform 8986"/>
                          <wps:cNvSpPr>
                            <a:spLocks/>
                          </wps:cNvSpPr>
                          <wps:spPr bwMode="auto">
                            <a:xfrm>
                              <a:off x="8385"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61" name="Group 8983"/>
                        <wpg:cNvGrpSpPr>
                          <a:grpSpLocks/>
                        </wpg:cNvGrpSpPr>
                        <wpg:grpSpPr bwMode="auto">
                          <a:xfrm>
                            <a:off x="8885" y="15"/>
                            <a:ext cx="2" cy="646"/>
                            <a:chOff x="8885" y="15"/>
                            <a:chExt cx="2" cy="646"/>
                          </a:xfrm>
                        </wpg:grpSpPr>
                        <wps:wsp>
                          <wps:cNvPr id="11562" name="Freeform 8984"/>
                          <wps:cNvSpPr>
                            <a:spLocks/>
                          </wps:cNvSpPr>
                          <wps:spPr bwMode="auto">
                            <a:xfrm>
                              <a:off x="8885"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63" name="Group 8981"/>
                        <wpg:cNvGrpSpPr>
                          <a:grpSpLocks/>
                        </wpg:cNvGrpSpPr>
                        <wpg:grpSpPr bwMode="auto">
                          <a:xfrm>
                            <a:off x="8885" y="2559"/>
                            <a:ext cx="2" cy="559"/>
                            <a:chOff x="8885" y="2559"/>
                            <a:chExt cx="2" cy="559"/>
                          </a:xfrm>
                        </wpg:grpSpPr>
                        <wps:wsp>
                          <wps:cNvPr id="11564" name="Freeform 8982"/>
                          <wps:cNvSpPr>
                            <a:spLocks/>
                          </wps:cNvSpPr>
                          <wps:spPr bwMode="auto">
                            <a:xfrm>
                              <a:off x="8885"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65" name="Group 8979"/>
                        <wpg:cNvGrpSpPr>
                          <a:grpSpLocks/>
                        </wpg:cNvGrpSpPr>
                        <wpg:grpSpPr bwMode="auto">
                          <a:xfrm>
                            <a:off x="8885" y="5060"/>
                            <a:ext cx="2" cy="515"/>
                            <a:chOff x="8885" y="5060"/>
                            <a:chExt cx="2" cy="515"/>
                          </a:xfrm>
                        </wpg:grpSpPr>
                        <wps:wsp>
                          <wps:cNvPr id="11566" name="Freeform 8980"/>
                          <wps:cNvSpPr>
                            <a:spLocks/>
                          </wps:cNvSpPr>
                          <wps:spPr bwMode="auto">
                            <a:xfrm>
                              <a:off x="8885"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67" name="Group 8977"/>
                        <wpg:cNvGrpSpPr>
                          <a:grpSpLocks/>
                        </wpg:cNvGrpSpPr>
                        <wpg:grpSpPr bwMode="auto">
                          <a:xfrm>
                            <a:off x="8885" y="7826"/>
                            <a:ext cx="2" cy="2819"/>
                            <a:chOff x="8885" y="7826"/>
                            <a:chExt cx="2" cy="2819"/>
                          </a:xfrm>
                        </wpg:grpSpPr>
                        <wps:wsp>
                          <wps:cNvPr id="11568" name="Freeform 8978"/>
                          <wps:cNvSpPr>
                            <a:spLocks/>
                          </wps:cNvSpPr>
                          <wps:spPr bwMode="auto">
                            <a:xfrm>
                              <a:off x="8885"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69" name="Group 8975"/>
                        <wpg:cNvGrpSpPr>
                          <a:grpSpLocks/>
                        </wpg:cNvGrpSpPr>
                        <wpg:grpSpPr bwMode="auto">
                          <a:xfrm>
                            <a:off x="9385" y="15"/>
                            <a:ext cx="2" cy="646"/>
                            <a:chOff x="9385" y="15"/>
                            <a:chExt cx="2" cy="646"/>
                          </a:xfrm>
                        </wpg:grpSpPr>
                        <wps:wsp>
                          <wps:cNvPr id="11570" name="Freeform 8976"/>
                          <wps:cNvSpPr>
                            <a:spLocks/>
                          </wps:cNvSpPr>
                          <wps:spPr bwMode="auto">
                            <a:xfrm>
                              <a:off x="9385" y="15"/>
                              <a:ext cx="2" cy="646"/>
                            </a:xfrm>
                            <a:custGeom>
                              <a:avLst/>
                              <a:gdLst>
                                <a:gd name="T0" fmla="*/ 0 w 2"/>
                                <a:gd name="T1" fmla="*/ 15 h 646"/>
                                <a:gd name="T2" fmla="*/ 0 w 2"/>
                                <a:gd name="T3" fmla="*/ 660 h 646"/>
                                <a:gd name="T4" fmla="*/ 0 60000 65536"/>
                                <a:gd name="T5" fmla="*/ 0 60000 65536"/>
                              </a:gdLst>
                              <a:ahLst/>
                              <a:cxnLst>
                                <a:cxn ang="T4">
                                  <a:pos x="T0" y="T1"/>
                                </a:cxn>
                                <a:cxn ang="T5">
                                  <a:pos x="T2" y="T3"/>
                                </a:cxn>
                              </a:cxnLst>
                              <a:rect l="0" t="0" r="r" b="b"/>
                              <a:pathLst>
                                <a:path w="2" h="646">
                                  <a:moveTo>
                                    <a:pt x="0" y="0"/>
                                  </a:moveTo>
                                  <a:lnTo>
                                    <a:pt x="0" y="64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71" name="Group 8973"/>
                        <wpg:cNvGrpSpPr>
                          <a:grpSpLocks/>
                        </wpg:cNvGrpSpPr>
                        <wpg:grpSpPr bwMode="auto">
                          <a:xfrm>
                            <a:off x="9385" y="2559"/>
                            <a:ext cx="2" cy="559"/>
                            <a:chOff x="9385" y="2559"/>
                            <a:chExt cx="2" cy="559"/>
                          </a:xfrm>
                        </wpg:grpSpPr>
                        <wps:wsp>
                          <wps:cNvPr id="11572" name="Freeform 8974"/>
                          <wps:cNvSpPr>
                            <a:spLocks/>
                          </wps:cNvSpPr>
                          <wps:spPr bwMode="auto">
                            <a:xfrm>
                              <a:off x="9385" y="2559"/>
                              <a:ext cx="2" cy="559"/>
                            </a:xfrm>
                            <a:custGeom>
                              <a:avLst/>
                              <a:gdLst>
                                <a:gd name="T0" fmla="*/ 0 w 2"/>
                                <a:gd name="T1" fmla="*/ 2559 h 559"/>
                                <a:gd name="T2" fmla="*/ 0 w 2"/>
                                <a:gd name="T3" fmla="*/ 3117 h 559"/>
                                <a:gd name="T4" fmla="*/ 0 60000 65536"/>
                                <a:gd name="T5" fmla="*/ 0 60000 65536"/>
                              </a:gdLst>
                              <a:ahLst/>
                              <a:cxnLst>
                                <a:cxn ang="T4">
                                  <a:pos x="T0" y="T1"/>
                                </a:cxn>
                                <a:cxn ang="T5">
                                  <a:pos x="T2" y="T3"/>
                                </a:cxn>
                              </a:cxnLst>
                              <a:rect l="0" t="0" r="r" b="b"/>
                              <a:pathLst>
                                <a:path w="2" h="559">
                                  <a:moveTo>
                                    <a:pt x="0" y="0"/>
                                  </a:moveTo>
                                  <a:lnTo>
                                    <a:pt x="0" y="55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73" name="Group 8971"/>
                        <wpg:cNvGrpSpPr>
                          <a:grpSpLocks/>
                        </wpg:cNvGrpSpPr>
                        <wpg:grpSpPr bwMode="auto">
                          <a:xfrm>
                            <a:off x="9385" y="5060"/>
                            <a:ext cx="2" cy="515"/>
                            <a:chOff x="9385" y="5060"/>
                            <a:chExt cx="2" cy="515"/>
                          </a:xfrm>
                        </wpg:grpSpPr>
                        <wps:wsp>
                          <wps:cNvPr id="11574" name="Freeform 8972"/>
                          <wps:cNvSpPr>
                            <a:spLocks/>
                          </wps:cNvSpPr>
                          <wps:spPr bwMode="auto">
                            <a:xfrm>
                              <a:off x="9385" y="5060"/>
                              <a:ext cx="2" cy="515"/>
                            </a:xfrm>
                            <a:custGeom>
                              <a:avLst/>
                              <a:gdLst>
                                <a:gd name="T0" fmla="*/ 0 w 2"/>
                                <a:gd name="T1" fmla="*/ 5060 h 515"/>
                                <a:gd name="T2" fmla="*/ 0 w 2"/>
                                <a:gd name="T3" fmla="*/ 5575 h 515"/>
                                <a:gd name="T4" fmla="*/ 0 60000 65536"/>
                                <a:gd name="T5" fmla="*/ 0 60000 65536"/>
                              </a:gdLst>
                              <a:ahLst/>
                              <a:cxnLst>
                                <a:cxn ang="T4">
                                  <a:pos x="T0" y="T1"/>
                                </a:cxn>
                                <a:cxn ang="T5">
                                  <a:pos x="T2" y="T3"/>
                                </a:cxn>
                              </a:cxnLst>
                              <a:rect l="0" t="0" r="r" b="b"/>
                              <a:pathLst>
                                <a:path w="2" h="515">
                                  <a:moveTo>
                                    <a:pt x="0" y="0"/>
                                  </a:moveTo>
                                  <a:lnTo>
                                    <a:pt x="0" y="51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75" name="Group 8969"/>
                        <wpg:cNvGrpSpPr>
                          <a:grpSpLocks/>
                        </wpg:cNvGrpSpPr>
                        <wpg:grpSpPr bwMode="auto">
                          <a:xfrm>
                            <a:off x="9385" y="7826"/>
                            <a:ext cx="2" cy="2819"/>
                            <a:chOff x="9385" y="7826"/>
                            <a:chExt cx="2" cy="2819"/>
                          </a:xfrm>
                        </wpg:grpSpPr>
                        <wps:wsp>
                          <wps:cNvPr id="11576" name="Freeform 8970"/>
                          <wps:cNvSpPr>
                            <a:spLocks/>
                          </wps:cNvSpPr>
                          <wps:spPr bwMode="auto">
                            <a:xfrm>
                              <a:off x="9385" y="7826"/>
                              <a:ext cx="2" cy="2819"/>
                            </a:xfrm>
                            <a:custGeom>
                              <a:avLst/>
                              <a:gdLst>
                                <a:gd name="T0" fmla="*/ 0 w 2"/>
                                <a:gd name="T1" fmla="*/ 7826 h 2819"/>
                                <a:gd name="T2" fmla="*/ 0 w 2"/>
                                <a:gd name="T3" fmla="*/ 10644 h 2819"/>
                                <a:gd name="T4" fmla="*/ 0 60000 65536"/>
                                <a:gd name="T5" fmla="*/ 0 60000 65536"/>
                              </a:gdLst>
                              <a:ahLst/>
                              <a:cxnLst>
                                <a:cxn ang="T4">
                                  <a:pos x="T0" y="T1"/>
                                </a:cxn>
                                <a:cxn ang="T5">
                                  <a:pos x="T2" y="T3"/>
                                </a:cxn>
                              </a:cxnLst>
                              <a:rect l="0" t="0" r="r" b="b"/>
                              <a:pathLst>
                                <a:path w="2" h="2819">
                                  <a:moveTo>
                                    <a:pt x="0" y="0"/>
                                  </a:moveTo>
                                  <a:lnTo>
                                    <a:pt x="0" y="2818"/>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77" name="Group 8967"/>
                        <wpg:cNvGrpSpPr>
                          <a:grpSpLocks/>
                        </wpg:cNvGrpSpPr>
                        <wpg:grpSpPr bwMode="auto">
                          <a:xfrm>
                            <a:off x="9885" y="15"/>
                            <a:ext cx="2" cy="10630"/>
                            <a:chOff x="9885" y="15"/>
                            <a:chExt cx="2" cy="10630"/>
                          </a:xfrm>
                        </wpg:grpSpPr>
                        <wps:wsp>
                          <wps:cNvPr id="11579" name="Freeform 8968"/>
                          <wps:cNvSpPr>
                            <a:spLocks/>
                          </wps:cNvSpPr>
                          <wps:spPr bwMode="auto">
                            <a:xfrm>
                              <a:off x="9885"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80" name="Group 8965"/>
                        <wpg:cNvGrpSpPr>
                          <a:grpSpLocks/>
                        </wpg:cNvGrpSpPr>
                        <wpg:grpSpPr bwMode="auto">
                          <a:xfrm>
                            <a:off x="10384" y="15"/>
                            <a:ext cx="2" cy="10630"/>
                            <a:chOff x="10384" y="15"/>
                            <a:chExt cx="2" cy="10630"/>
                          </a:xfrm>
                        </wpg:grpSpPr>
                        <wps:wsp>
                          <wps:cNvPr id="11581" name="Freeform 8966"/>
                          <wps:cNvSpPr>
                            <a:spLocks/>
                          </wps:cNvSpPr>
                          <wps:spPr bwMode="auto">
                            <a:xfrm>
                              <a:off x="10384"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582" name="Group 8963"/>
                        <wpg:cNvGrpSpPr>
                          <a:grpSpLocks/>
                        </wpg:cNvGrpSpPr>
                        <wpg:grpSpPr bwMode="auto">
                          <a:xfrm>
                            <a:off x="10883" y="15"/>
                            <a:ext cx="2" cy="10630"/>
                            <a:chOff x="10883" y="15"/>
                            <a:chExt cx="2" cy="10630"/>
                          </a:xfrm>
                        </wpg:grpSpPr>
                        <wps:wsp>
                          <wps:cNvPr id="11583" name="Freeform 8964"/>
                          <wps:cNvSpPr>
                            <a:spLocks/>
                          </wps:cNvSpPr>
                          <wps:spPr bwMode="auto">
                            <a:xfrm>
                              <a:off x="10883" y="15"/>
                              <a:ext cx="2" cy="10630"/>
                            </a:xfrm>
                            <a:custGeom>
                              <a:avLst/>
                              <a:gdLst>
                                <a:gd name="T0" fmla="*/ 0 w 2"/>
                                <a:gd name="T1" fmla="*/ 15 h 10630"/>
                                <a:gd name="T2" fmla="*/ 0 w 2"/>
                                <a:gd name="T3" fmla="*/ 10644 h 10630"/>
                                <a:gd name="T4" fmla="*/ 0 60000 65536"/>
                                <a:gd name="T5" fmla="*/ 0 60000 65536"/>
                              </a:gdLst>
                              <a:ahLst/>
                              <a:cxnLst>
                                <a:cxn ang="T4">
                                  <a:pos x="T0" y="T1"/>
                                </a:cxn>
                                <a:cxn ang="T5">
                                  <a:pos x="T2" y="T3"/>
                                </a:cxn>
                              </a:cxnLst>
                              <a:rect l="0" t="0" r="r" b="b"/>
                              <a:pathLst>
                                <a:path w="2" h="10630">
                                  <a:moveTo>
                                    <a:pt x="0" y="0"/>
                                  </a:moveTo>
                                  <a:lnTo>
                                    <a:pt x="0" y="10629"/>
                                  </a:lnTo>
                                </a:path>
                              </a:pathLst>
                            </a:custGeom>
                            <a:noFill/>
                            <a:ln w="73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56" name="Group 8961"/>
                        <wpg:cNvGrpSpPr>
                          <a:grpSpLocks/>
                        </wpg:cNvGrpSpPr>
                        <wpg:grpSpPr bwMode="auto">
                          <a:xfrm>
                            <a:off x="15" y="137"/>
                            <a:ext cx="10870" cy="2"/>
                            <a:chOff x="15" y="137"/>
                            <a:chExt cx="10870" cy="2"/>
                          </a:xfrm>
                        </wpg:grpSpPr>
                        <wps:wsp>
                          <wps:cNvPr id="17857" name="Freeform 8962"/>
                          <wps:cNvSpPr>
                            <a:spLocks/>
                          </wps:cNvSpPr>
                          <wps:spPr bwMode="auto">
                            <a:xfrm>
                              <a:off x="15" y="137"/>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58" name="Group 8959"/>
                        <wpg:cNvGrpSpPr>
                          <a:grpSpLocks/>
                        </wpg:cNvGrpSpPr>
                        <wpg:grpSpPr bwMode="auto">
                          <a:xfrm>
                            <a:off x="15" y="260"/>
                            <a:ext cx="10870" cy="2"/>
                            <a:chOff x="15" y="260"/>
                            <a:chExt cx="10870" cy="2"/>
                          </a:xfrm>
                        </wpg:grpSpPr>
                        <wps:wsp>
                          <wps:cNvPr id="17859" name="Freeform 8960"/>
                          <wps:cNvSpPr>
                            <a:spLocks/>
                          </wps:cNvSpPr>
                          <wps:spPr bwMode="auto">
                            <a:xfrm>
                              <a:off x="15" y="260"/>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60" name="Group 8957"/>
                        <wpg:cNvGrpSpPr>
                          <a:grpSpLocks/>
                        </wpg:cNvGrpSpPr>
                        <wpg:grpSpPr bwMode="auto">
                          <a:xfrm>
                            <a:off x="15" y="382"/>
                            <a:ext cx="10870" cy="2"/>
                            <a:chOff x="15" y="382"/>
                            <a:chExt cx="10870" cy="2"/>
                          </a:xfrm>
                        </wpg:grpSpPr>
                        <wps:wsp>
                          <wps:cNvPr id="17861" name="Freeform 8958"/>
                          <wps:cNvSpPr>
                            <a:spLocks/>
                          </wps:cNvSpPr>
                          <wps:spPr bwMode="auto">
                            <a:xfrm>
                              <a:off x="15" y="382"/>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62" name="Group 8955"/>
                        <wpg:cNvGrpSpPr>
                          <a:grpSpLocks/>
                        </wpg:cNvGrpSpPr>
                        <wpg:grpSpPr bwMode="auto">
                          <a:xfrm>
                            <a:off x="15" y="504"/>
                            <a:ext cx="10870" cy="2"/>
                            <a:chOff x="15" y="504"/>
                            <a:chExt cx="10870" cy="2"/>
                          </a:xfrm>
                        </wpg:grpSpPr>
                        <wps:wsp>
                          <wps:cNvPr id="17863" name="Freeform 8956"/>
                          <wps:cNvSpPr>
                            <a:spLocks/>
                          </wps:cNvSpPr>
                          <wps:spPr bwMode="auto">
                            <a:xfrm>
                              <a:off x="15" y="504"/>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64" name="Group 8953"/>
                        <wpg:cNvGrpSpPr>
                          <a:grpSpLocks/>
                        </wpg:cNvGrpSpPr>
                        <wpg:grpSpPr bwMode="auto">
                          <a:xfrm>
                            <a:off x="15" y="626"/>
                            <a:ext cx="10870" cy="2"/>
                            <a:chOff x="15" y="626"/>
                            <a:chExt cx="10870" cy="2"/>
                          </a:xfrm>
                        </wpg:grpSpPr>
                        <wps:wsp>
                          <wps:cNvPr id="17865" name="Freeform 8954"/>
                          <wps:cNvSpPr>
                            <a:spLocks/>
                          </wps:cNvSpPr>
                          <wps:spPr bwMode="auto">
                            <a:xfrm>
                              <a:off x="15" y="626"/>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66" name="Group 8951"/>
                        <wpg:cNvGrpSpPr>
                          <a:grpSpLocks/>
                        </wpg:cNvGrpSpPr>
                        <wpg:grpSpPr bwMode="auto">
                          <a:xfrm>
                            <a:off x="9801" y="748"/>
                            <a:ext cx="1084" cy="2"/>
                            <a:chOff x="9801" y="748"/>
                            <a:chExt cx="1084" cy="2"/>
                          </a:xfrm>
                        </wpg:grpSpPr>
                        <wps:wsp>
                          <wps:cNvPr id="17867" name="Freeform 8952"/>
                          <wps:cNvSpPr>
                            <a:spLocks/>
                          </wps:cNvSpPr>
                          <wps:spPr bwMode="auto">
                            <a:xfrm>
                              <a:off x="9801" y="748"/>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68" name="Group 8949"/>
                        <wpg:cNvGrpSpPr>
                          <a:grpSpLocks/>
                        </wpg:cNvGrpSpPr>
                        <wpg:grpSpPr bwMode="auto">
                          <a:xfrm>
                            <a:off x="15" y="748"/>
                            <a:ext cx="6570" cy="2"/>
                            <a:chOff x="15" y="748"/>
                            <a:chExt cx="6570" cy="2"/>
                          </a:xfrm>
                        </wpg:grpSpPr>
                        <wps:wsp>
                          <wps:cNvPr id="17869" name="Freeform 8950"/>
                          <wps:cNvSpPr>
                            <a:spLocks/>
                          </wps:cNvSpPr>
                          <wps:spPr bwMode="auto">
                            <a:xfrm>
                              <a:off x="15" y="748"/>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70" name="Group 8947"/>
                        <wpg:cNvGrpSpPr>
                          <a:grpSpLocks/>
                        </wpg:cNvGrpSpPr>
                        <wpg:grpSpPr bwMode="auto">
                          <a:xfrm>
                            <a:off x="9801" y="870"/>
                            <a:ext cx="1084" cy="2"/>
                            <a:chOff x="9801" y="870"/>
                            <a:chExt cx="1084" cy="2"/>
                          </a:xfrm>
                        </wpg:grpSpPr>
                        <wps:wsp>
                          <wps:cNvPr id="17871" name="Freeform 8948"/>
                          <wps:cNvSpPr>
                            <a:spLocks/>
                          </wps:cNvSpPr>
                          <wps:spPr bwMode="auto">
                            <a:xfrm>
                              <a:off x="9801" y="870"/>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72" name="Group 8945"/>
                        <wpg:cNvGrpSpPr>
                          <a:grpSpLocks/>
                        </wpg:cNvGrpSpPr>
                        <wpg:grpSpPr bwMode="auto">
                          <a:xfrm>
                            <a:off x="15" y="870"/>
                            <a:ext cx="6570" cy="2"/>
                            <a:chOff x="15" y="870"/>
                            <a:chExt cx="6570" cy="2"/>
                          </a:xfrm>
                        </wpg:grpSpPr>
                        <wps:wsp>
                          <wps:cNvPr id="17873" name="Freeform 8946"/>
                          <wps:cNvSpPr>
                            <a:spLocks/>
                          </wps:cNvSpPr>
                          <wps:spPr bwMode="auto">
                            <a:xfrm>
                              <a:off x="15" y="870"/>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74" name="Group 8943"/>
                        <wpg:cNvGrpSpPr>
                          <a:grpSpLocks/>
                        </wpg:cNvGrpSpPr>
                        <wpg:grpSpPr bwMode="auto">
                          <a:xfrm>
                            <a:off x="9801" y="993"/>
                            <a:ext cx="1084" cy="2"/>
                            <a:chOff x="9801" y="993"/>
                            <a:chExt cx="1084" cy="2"/>
                          </a:xfrm>
                        </wpg:grpSpPr>
                        <wps:wsp>
                          <wps:cNvPr id="17875" name="Freeform 8944"/>
                          <wps:cNvSpPr>
                            <a:spLocks/>
                          </wps:cNvSpPr>
                          <wps:spPr bwMode="auto">
                            <a:xfrm>
                              <a:off x="9801" y="993"/>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76" name="Group 8941"/>
                        <wpg:cNvGrpSpPr>
                          <a:grpSpLocks/>
                        </wpg:cNvGrpSpPr>
                        <wpg:grpSpPr bwMode="auto">
                          <a:xfrm>
                            <a:off x="15" y="993"/>
                            <a:ext cx="6570" cy="2"/>
                            <a:chOff x="15" y="993"/>
                            <a:chExt cx="6570" cy="2"/>
                          </a:xfrm>
                        </wpg:grpSpPr>
                        <wps:wsp>
                          <wps:cNvPr id="17877" name="Freeform 8942"/>
                          <wps:cNvSpPr>
                            <a:spLocks/>
                          </wps:cNvSpPr>
                          <wps:spPr bwMode="auto">
                            <a:xfrm>
                              <a:off x="15" y="993"/>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78" name="Group 8939"/>
                        <wpg:cNvGrpSpPr>
                          <a:grpSpLocks/>
                        </wpg:cNvGrpSpPr>
                        <wpg:grpSpPr bwMode="auto">
                          <a:xfrm>
                            <a:off x="9801" y="1115"/>
                            <a:ext cx="1084" cy="2"/>
                            <a:chOff x="9801" y="1115"/>
                            <a:chExt cx="1084" cy="2"/>
                          </a:xfrm>
                        </wpg:grpSpPr>
                        <wps:wsp>
                          <wps:cNvPr id="17879" name="Freeform 8940"/>
                          <wps:cNvSpPr>
                            <a:spLocks/>
                          </wps:cNvSpPr>
                          <wps:spPr bwMode="auto">
                            <a:xfrm>
                              <a:off x="9801" y="1115"/>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80" name="Group 8937"/>
                        <wpg:cNvGrpSpPr>
                          <a:grpSpLocks/>
                        </wpg:cNvGrpSpPr>
                        <wpg:grpSpPr bwMode="auto">
                          <a:xfrm>
                            <a:off x="15" y="1115"/>
                            <a:ext cx="6570" cy="2"/>
                            <a:chOff x="15" y="1115"/>
                            <a:chExt cx="6570" cy="2"/>
                          </a:xfrm>
                        </wpg:grpSpPr>
                        <wps:wsp>
                          <wps:cNvPr id="17881" name="Freeform 8938"/>
                          <wps:cNvSpPr>
                            <a:spLocks/>
                          </wps:cNvSpPr>
                          <wps:spPr bwMode="auto">
                            <a:xfrm>
                              <a:off x="15" y="1115"/>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82" name="Group 8935"/>
                        <wpg:cNvGrpSpPr>
                          <a:grpSpLocks/>
                        </wpg:cNvGrpSpPr>
                        <wpg:grpSpPr bwMode="auto">
                          <a:xfrm>
                            <a:off x="9801" y="1237"/>
                            <a:ext cx="1084" cy="2"/>
                            <a:chOff x="9801" y="1237"/>
                            <a:chExt cx="1084" cy="2"/>
                          </a:xfrm>
                        </wpg:grpSpPr>
                        <wps:wsp>
                          <wps:cNvPr id="17883" name="Freeform 8936"/>
                          <wps:cNvSpPr>
                            <a:spLocks/>
                          </wps:cNvSpPr>
                          <wps:spPr bwMode="auto">
                            <a:xfrm>
                              <a:off x="9801" y="1237"/>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84" name="Group 8933"/>
                        <wpg:cNvGrpSpPr>
                          <a:grpSpLocks/>
                        </wpg:cNvGrpSpPr>
                        <wpg:grpSpPr bwMode="auto">
                          <a:xfrm>
                            <a:off x="1022" y="1238"/>
                            <a:ext cx="2" cy="1100"/>
                            <a:chOff x="1022" y="1238"/>
                            <a:chExt cx="2" cy="1100"/>
                          </a:xfrm>
                        </wpg:grpSpPr>
                        <wps:wsp>
                          <wps:cNvPr id="17885" name="Freeform 8934"/>
                          <wps:cNvSpPr>
                            <a:spLocks/>
                          </wps:cNvSpPr>
                          <wps:spPr bwMode="auto">
                            <a:xfrm>
                              <a:off x="1022" y="1238"/>
                              <a:ext cx="2" cy="1100"/>
                            </a:xfrm>
                            <a:custGeom>
                              <a:avLst/>
                              <a:gdLst>
                                <a:gd name="T0" fmla="*/ 0 w 2"/>
                                <a:gd name="T1" fmla="*/ 1238 h 1100"/>
                                <a:gd name="T2" fmla="*/ 0 w 2"/>
                                <a:gd name="T3" fmla="*/ 2337 h 1100"/>
                                <a:gd name="T4" fmla="*/ 0 60000 65536"/>
                                <a:gd name="T5" fmla="*/ 0 60000 65536"/>
                              </a:gdLst>
                              <a:ahLst/>
                              <a:cxnLst>
                                <a:cxn ang="T4">
                                  <a:pos x="T0" y="T1"/>
                                </a:cxn>
                                <a:cxn ang="T5">
                                  <a:pos x="T2" y="T3"/>
                                </a:cxn>
                              </a:cxnLst>
                              <a:rect l="0" t="0" r="r" b="b"/>
                              <a:pathLst>
                                <a:path w="2" h="1100">
                                  <a:moveTo>
                                    <a:pt x="0" y="0"/>
                                  </a:moveTo>
                                  <a:lnTo>
                                    <a:pt x="0" y="1099"/>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86" name="Group 8931"/>
                        <wpg:cNvGrpSpPr>
                          <a:grpSpLocks/>
                        </wpg:cNvGrpSpPr>
                        <wpg:grpSpPr bwMode="auto">
                          <a:xfrm>
                            <a:off x="15" y="1237"/>
                            <a:ext cx="6570" cy="2"/>
                            <a:chOff x="15" y="1237"/>
                            <a:chExt cx="6570" cy="2"/>
                          </a:xfrm>
                        </wpg:grpSpPr>
                        <wps:wsp>
                          <wps:cNvPr id="17887" name="Freeform 8932"/>
                          <wps:cNvSpPr>
                            <a:spLocks/>
                          </wps:cNvSpPr>
                          <wps:spPr bwMode="auto">
                            <a:xfrm>
                              <a:off x="15" y="1237"/>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88" name="Group 8929"/>
                        <wpg:cNvGrpSpPr>
                          <a:grpSpLocks/>
                        </wpg:cNvGrpSpPr>
                        <wpg:grpSpPr bwMode="auto">
                          <a:xfrm>
                            <a:off x="9801" y="1359"/>
                            <a:ext cx="1084" cy="2"/>
                            <a:chOff x="9801" y="1359"/>
                            <a:chExt cx="1084" cy="2"/>
                          </a:xfrm>
                        </wpg:grpSpPr>
                        <wps:wsp>
                          <wps:cNvPr id="17889" name="Freeform 8930"/>
                          <wps:cNvSpPr>
                            <a:spLocks/>
                          </wps:cNvSpPr>
                          <wps:spPr bwMode="auto">
                            <a:xfrm>
                              <a:off x="9801" y="1359"/>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90" name="Group 8927"/>
                        <wpg:cNvGrpSpPr>
                          <a:grpSpLocks/>
                        </wpg:cNvGrpSpPr>
                        <wpg:grpSpPr bwMode="auto">
                          <a:xfrm>
                            <a:off x="15" y="1359"/>
                            <a:ext cx="6570" cy="2"/>
                            <a:chOff x="15" y="1359"/>
                            <a:chExt cx="6570" cy="2"/>
                          </a:xfrm>
                        </wpg:grpSpPr>
                        <wps:wsp>
                          <wps:cNvPr id="17891" name="Freeform 8928"/>
                          <wps:cNvSpPr>
                            <a:spLocks/>
                          </wps:cNvSpPr>
                          <wps:spPr bwMode="auto">
                            <a:xfrm>
                              <a:off x="15" y="1359"/>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92" name="Group 8925"/>
                        <wpg:cNvGrpSpPr>
                          <a:grpSpLocks/>
                        </wpg:cNvGrpSpPr>
                        <wpg:grpSpPr bwMode="auto">
                          <a:xfrm>
                            <a:off x="9801" y="1481"/>
                            <a:ext cx="1084" cy="2"/>
                            <a:chOff x="9801" y="1481"/>
                            <a:chExt cx="1084" cy="2"/>
                          </a:xfrm>
                        </wpg:grpSpPr>
                        <wps:wsp>
                          <wps:cNvPr id="17893" name="Freeform 8926"/>
                          <wps:cNvSpPr>
                            <a:spLocks/>
                          </wps:cNvSpPr>
                          <wps:spPr bwMode="auto">
                            <a:xfrm>
                              <a:off x="9801" y="1481"/>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94" name="Group 8923"/>
                        <wpg:cNvGrpSpPr>
                          <a:grpSpLocks/>
                        </wpg:cNvGrpSpPr>
                        <wpg:grpSpPr bwMode="auto">
                          <a:xfrm>
                            <a:off x="15" y="1481"/>
                            <a:ext cx="6570" cy="2"/>
                            <a:chOff x="15" y="1481"/>
                            <a:chExt cx="6570" cy="2"/>
                          </a:xfrm>
                        </wpg:grpSpPr>
                        <wps:wsp>
                          <wps:cNvPr id="17895" name="Freeform 8924"/>
                          <wps:cNvSpPr>
                            <a:spLocks/>
                          </wps:cNvSpPr>
                          <wps:spPr bwMode="auto">
                            <a:xfrm>
                              <a:off x="15" y="1481"/>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96" name="Group 8921"/>
                        <wpg:cNvGrpSpPr>
                          <a:grpSpLocks/>
                        </wpg:cNvGrpSpPr>
                        <wpg:grpSpPr bwMode="auto">
                          <a:xfrm>
                            <a:off x="9801" y="1604"/>
                            <a:ext cx="1084" cy="2"/>
                            <a:chOff x="9801" y="1604"/>
                            <a:chExt cx="1084" cy="2"/>
                          </a:xfrm>
                        </wpg:grpSpPr>
                        <wps:wsp>
                          <wps:cNvPr id="17897" name="Freeform 8922"/>
                          <wps:cNvSpPr>
                            <a:spLocks/>
                          </wps:cNvSpPr>
                          <wps:spPr bwMode="auto">
                            <a:xfrm>
                              <a:off x="9801" y="1604"/>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898" name="Group 8919"/>
                        <wpg:cNvGrpSpPr>
                          <a:grpSpLocks/>
                        </wpg:cNvGrpSpPr>
                        <wpg:grpSpPr bwMode="auto">
                          <a:xfrm>
                            <a:off x="15" y="1604"/>
                            <a:ext cx="6570" cy="2"/>
                            <a:chOff x="15" y="1604"/>
                            <a:chExt cx="6570" cy="2"/>
                          </a:xfrm>
                        </wpg:grpSpPr>
                        <wps:wsp>
                          <wps:cNvPr id="17899" name="Freeform 8920"/>
                          <wps:cNvSpPr>
                            <a:spLocks/>
                          </wps:cNvSpPr>
                          <wps:spPr bwMode="auto">
                            <a:xfrm>
                              <a:off x="15" y="1604"/>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00" name="Group 8917"/>
                        <wpg:cNvGrpSpPr>
                          <a:grpSpLocks/>
                        </wpg:cNvGrpSpPr>
                        <wpg:grpSpPr bwMode="auto">
                          <a:xfrm>
                            <a:off x="9801" y="1726"/>
                            <a:ext cx="1084" cy="2"/>
                            <a:chOff x="9801" y="1726"/>
                            <a:chExt cx="1084" cy="2"/>
                          </a:xfrm>
                        </wpg:grpSpPr>
                        <wps:wsp>
                          <wps:cNvPr id="17901" name="Freeform 8918"/>
                          <wps:cNvSpPr>
                            <a:spLocks/>
                          </wps:cNvSpPr>
                          <wps:spPr bwMode="auto">
                            <a:xfrm>
                              <a:off x="9801" y="1726"/>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02" name="Group 8915"/>
                        <wpg:cNvGrpSpPr>
                          <a:grpSpLocks/>
                        </wpg:cNvGrpSpPr>
                        <wpg:grpSpPr bwMode="auto">
                          <a:xfrm>
                            <a:off x="15" y="1726"/>
                            <a:ext cx="6570" cy="2"/>
                            <a:chOff x="15" y="1726"/>
                            <a:chExt cx="6570" cy="2"/>
                          </a:xfrm>
                        </wpg:grpSpPr>
                        <wps:wsp>
                          <wps:cNvPr id="17903" name="Freeform 8916"/>
                          <wps:cNvSpPr>
                            <a:spLocks/>
                          </wps:cNvSpPr>
                          <wps:spPr bwMode="auto">
                            <a:xfrm>
                              <a:off x="15" y="1726"/>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04" name="Group 8913"/>
                        <wpg:cNvGrpSpPr>
                          <a:grpSpLocks/>
                        </wpg:cNvGrpSpPr>
                        <wpg:grpSpPr bwMode="auto">
                          <a:xfrm>
                            <a:off x="9801" y="1848"/>
                            <a:ext cx="1084" cy="2"/>
                            <a:chOff x="9801" y="1848"/>
                            <a:chExt cx="1084" cy="2"/>
                          </a:xfrm>
                        </wpg:grpSpPr>
                        <wps:wsp>
                          <wps:cNvPr id="17905" name="Freeform 8914"/>
                          <wps:cNvSpPr>
                            <a:spLocks/>
                          </wps:cNvSpPr>
                          <wps:spPr bwMode="auto">
                            <a:xfrm>
                              <a:off x="9801" y="1848"/>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06" name="Group 8911"/>
                        <wpg:cNvGrpSpPr>
                          <a:grpSpLocks/>
                        </wpg:cNvGrpSpPr>
                        <wpg:grpSpPr bwMode="auto">
                          <a:xfrm>
                            <a:off x="15" y="1848"/>
                            <a:ext cx="6570" cy="2"/>
                            <a:chOff x="15" y="1848"/>
                            <a:chExt cx="6570" cy="2"/>
                          </a:xfrm>
                        </wpg:grpSpPr>
                        <wps:wsp>
                          <wps:cNvPr id="17907" name="Freeform 8912"/>
                          <wps:cNvSpPr>
                            <a:spLocks/>
                          </wps:cNvSpPr>
                          <wps:spPr bwMode="auto">
                            <a:xfrm>
                              <a:off x="15" y="1848"/>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08" name="Group 8909"/>
                        <wpg:cNvGrpSpPr>
                          <a:grpSpLocks/>
                        </wpg:cNvGrpSpPr>
                        <wpg:grpSpPr bwMode="auto">
                          <a:xfrm>
                            <a:off x="9801" y="1970"/>
                            <a:ext cx="1084" cy="2"/>
                            <a:chOff x="9801" y="1970"/>
                            <a:chExt cx="1084" cy="2"/>
                          </a:xfrm>
                        </wpg:grpSpPr>
                        <wps:wsp>
                          <wps:cNvPr id="17909" name="Freeform 8910"/>
                          <wps:cNvSpPr>
                            <a:spLocks/>
                          </wps:cNvSpPr>
                          <wps:spPr bwMode="auto">
                            <a:xfrm>
                              <a:off x="9801" y="1970"/>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10" name="Group 8907"/>
                        <wpg:cNvGrpSpPr>
                          <a:grpSpLocks/>
                        </wpg:cNvGrpSpPr>
                        <wpg:grpSpPr bwMode="auto">
                          <a:xfrm>
                            <a:off x="15" y="1970"/>
                            <a:ext cx="6570" cy="2"/>
                            <a:chOff x="15" y="1970"/>
                            <a:chExt cx="6570" cy="2"/>
                          </a:xfrm>
                        </wpg:grpSpPr>
                        <wps:wsp>
                          <wps:cNvPr id="17911" name="Freeform 8908"/>
                          <wps:cNvSpPr>
                            <a:spLocks/>
                          </wps:cNvSpPr>
                          <wps:spPr bwMode="auto">
                            <a:xfrm>
                              <a:off x="15" y="1970"/>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12" name="Group 8905"/>
                        <wpg:cNvGrpSpPr>
                          <a:grpSpLocks/>
                        </wpg:cNvGrpSpPr>
                        <wpg:grpSpPr bwMode="auto">
                          <a:xfrm>
                            <a:off x="9801" y="2092"/>
                            <a:ext cx="1084" cy="2"/>
                            <a:chOff x="9801" y="2092"/>
                            <a:chExt cx="1084" cy="2"/>
                          </a:xfrm>
                        </wpg:grpSpPr>
                        <wps:wsp>
                          <wps:cNvPr id="17913" name="Freeform 8906"/>
                          <wps:cNvSpPr>
                            <a:spLocks/>
                          </wps:cNvSpPr>
                          <wps:spPr bwMode="auto">
                            <a:xfrm>
                              <a:off x="9801" y="2092"/>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14" name="Group 8903"/>
                        <wpg:cNvGrpSpPr>
                          <a:grpSpLocks/>
                        </wpg:cNvGrpSpPr>
                        <wpg:grpSpPr bwMode="auto">
                          <a:xfrm>
                            <a:off x="15" y="2092"/>
                            <a:ext cx="6570" cy="2"/>
                            <a:chOff x="15" y="2092"/>
                            <a:chExt cx="6570" cy="2"/>
                          </a:xfrm>
                        </wpg:grpSpPr>
                        <wps:wsp>
                          <wps:cNvPr id="17915" name="Freeform 8904"/>
                          <wps:cNvSpPr>
                            <a:spLocks/>
                          </wps:cNvSpPr>
                          <wps:spPr bwMode="auto">
                            <a:xfrm>
                              <a:off x="15" y="2092"/>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16" name="Group 8901"/>
                        <wpg:cNvGrpSpPr>
                          <a:grpSpLocks/>
                        </wpg:cNvGrpSpPr>
                        <wpg:grpSpPr bwMode="auto">
                          <a:xfrm>
                            <a:off x="9801" y="2214"/>
                            <a:ext cx="1084" cy="2"/>
                            <a:chOff x="9801" y="2214"/>
                            <a:chExt cx="1084" cy="2"/>
                          </a:xfrm>
                        </wpg:grpSpPr>
                        <wps:wsp>
                          <wps:cNvPr id="17917" name="Freeform 8902"/>
                          <wps:cNvSpPr>
                            <a:spLocks/>
                          </wps:cNvSpPr>
                          <wps:spPr bwMode="auto">
                            <a:xfrm>
                              <a:off x="9801" y="2214"/>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18" name="Group 8899"/>
                        <wpg:cNvGrpSpPr>
                          <a:grpSpLocks/>
                        </wpg:cNvGrpSpPr>
                        <wpg:grpSpPr bwMode="auto">
                          <a:xfrm>
                            <a:off x="15" y="2214"/>
                            <a:ext cx="6570" cy="2"/>
                            <a:chOff x="15" y="2214"/>
                            <a:chExt cx="6570" cy="2"/>
                          </a:xfrm>
                        </wpg:grpSpPr>
                        <wps:wsp>
                          <wps:cNvPr id="17919" name="Freeform 8900"/>
                          <wps:cNvSpPr>
                            <a:spLocks/>
                          </wps:cNvSpPr>
                          <wps:spPr bwMode="auto">
                            <a:xfrm>
                              <a:off x="15" y="2214"/>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20" name="Group 8897"/>
                        <wpg:cNvGrpSpPr>
                          <a:grpSpLocks/>
                        </wpg:cNvGrpSpPr>
                        <wpg:grpSpPr bwMode="auto">
                          <a:xfrm>
                            <a:off x="9801" y="2337"/>
                            <a:ext cx="1084" cy="2"/>
                            <a:chOff x="9801" y="2337"/>
                            <a:chExt cx="1084" cy="2"/>
                          </a:xfrm>
                        </wpg:grpSpPr>
                        <wps:wsp>
                          <wps:cNvPr id="17921" name="Freeform 8898"/>
                          <wps:cNvSpPr>
                            <a:spLocks/>
                          </wps:cNvSpPr>
                          <wps:spPr bwMode="auto">
                            <a:xfrm>
                              <a:off x="9801" y="2337"/>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22" name="Group 8895"/>
                        <wpg:cNvGrpSpPr>
                          <a:grpSpLocks/>
                        </wpg:cNvGrpSpPr>
                        <wpg:grpSpPr bwMode="auto">
                          <a:xfrm>
                            <a:off x="15" y="2337"/>
                            <a:ext cx="6570" cy="2"/>
                            <a:chOff x="15" y="2337"/>
                            <a:chExt cx="6570" cy="2"/>
                          </a:xfrm>
                        </wpg:grpSpPr>
                        <wps:wsp>
                          <wps:cNvPr id="17923" name="Freeform 8896"/>
                          <wps:cNvSpPr>
                            <a:spLocks/>
                          </wps:cNvSpPr>
                          <wps:spPr bwMode="auto">
                            <a:xfrm>
                              <a:off x="15" y="2337"/>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24" name="Group 8893"/>
                        <wpg:cNvGrpSpPr>
                          <a:grpSpLocks/>
                        </wpg:cNvGrpSpPr>
                        <wpg:grpSpPr bwMode="auto">
                          <a:xfrm>
                            <a:off x="9801" y="2459"/>
                            <a:ext cx="1084" cy="2"/>
                            <a:chOff x="9801" y="2459"/>
                            <a:chExt cx="1084" cy="2"/>
                          </a:xfrm>
                        </wpg:grpSpPr>
                        <wps:wsp>
                          <wps:cNvPr id="17925" name="Freeform 8894"/>
                          <wps:cNvSpPr>
                            <a:spLocks/>
                          </wps:cNvSpPr>
                          <wps:spPr bwMode="auto">
                            <a:xfrm>
                              <a:off x="9801" y="2459"/>
                              <a:ext cx="1084" cy="2"/>
                            </a:xfrm>
                            <a:custGeom>
                              <a:avLst/>
                              <a:gdLst>
                                <a:gd name="T0" fmla="*/ 0 w 1084"/>
                                <a:gd name="T1" fmla="*/ 0 h 2"/>
                                <a:gd name="T2" fmla="*/ 1084 w 1084"/>
                                <a:gd name="T3" fmla="*/ 0 h 2"/>
                                <a:gd name="T4" fmla="*/ 0 60000 65536"/>
                                <a:gd name="T5" fmla="*/ 0 60000 65536"/>
                              </a:gdLst>
                              <a:ahLst/>
                              <a:cxnLst>
                                <a:cxn ang="T4">
                                  <a:pos x="T0" y="T1"/>
                                </a:cxn>
                                <a:cxn ang="T5">
                                  <a:pos x="T2" y="T3"/>
                                </a:cxn>
                              </a:cxnLst>
                              <a:rect l="0" t="0" r="r" b="b"/>
                              <a:pathLst>
                                <a:path w="1084" h="2">
                                  <a:moveTo>
                                    <a:pt x="0" y="0"/>
                                  </a:moveTo>
                                  <a:lnTo>
                                    <a:pt x="108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26" name="Group 8891"/>
                        <wpg:cNvGrpSpPr>
                          <a:grpSpLocks/>
                        </wpg:cNvGrpSpPr>
                        <wpg:grpSpPr bwMode="auto">
                          <a:xfrm>
                            <a:off x="15" y="2459"/>
                            <a:ext cx="6570" cy="2"/>
                            <a:chOff x="15" y="2459"/>
                            <a:chExt cx="6570" cy="2"/>
                          </a:xfrm>
                        </wpg:grpSpPr>
                        <wps:wsp>
                          <wps:cNvPr id="17927" name="Freeform 8892"/>
                          <wps:cNvSpPr>
                            <a:spLocks/>
                          </wps:cNvSpPr>
                          <wps:spPr bwMode="auto">
                            <a:xfrm>
                              <a:off x="15" y="2459"/>
                              <a:ext cx="6570" cy="2"/>
                            </a:xfrm>
                            <a:custGeom>
                              <a:avLst/>
                              <a:gdLst>
                                <a:gd name="T0" fmla="*/ 0 w 6570"/>
                                <a:gd name="T1" fmla="*/ 0 h 2"/>
                                <a:gd name="T2" fmla="*/ 6569 w 6570"/>
                                <a:gd name="T3" fmla="*/ 0 h 2"/>
                                <a:gd name="T4" fmla="*/ 0 60000 65536"/>
                                <a:gd name="T5" fmla="*/ 0 60000 65536"/>
                              </a:gdLst>
                              <a:ahLst/>
                              <a:cxnLst>
                                <a:cxn ang="T4">
                                  <a:pos x="T0" y="T1"/>
                                </a:cxn>
                                <a:cxn ang="T5">
                                  <a:pos x="T2" y="T3"/>
                                </a:cxn>
                              </a:cxnLst>
                              <a:rect l="0" t="0" r="r" b="b"/>
                              <a:pathLst>
                                <a:path w="6570" h="2">
                                  <a:moveTo>
                                    <a:pt x="0" y="0"/>
                                  </a:moveTo>
                                  <a:lnTo>
                                    <a:pt x="656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28" name="Group 8889"/>
                        <wpg:cNvGrpSpPr>
                          <a:grpSpLocks/>
                        </wpg:cNvGrpSpPr>
                        <wpg:grpSpPr bwMode="auto">
                          <a:xfrm>
                            <a:off x="15" y="2581"/>
                            <a:ext cx="10870" cy="2"/>
                            <a:chOff x="15" y="2581"/>
                            <a:chExt cx="10870" cy="2"/>
                          </a:xfrm>
                        </wpg:grpSpPr>
                        <wps:wsp>
                          <wps:cNvPr id="17929" name="Freeform 8890"/>
                          <wps:cNvSpPr>
                            <a:spLocks/>
                          </wps:cNvSpPr>
                          <wps:spPr bwMode="auto">
                            <a:xfrm>
                              <a:off x="15" y="2581"/>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30" name="Group 8887"/>
                        <wpg:cNvGrpSpPr>
                          <a:grpSpLocks/>
                        </wpg:cNvGrpSpPr>
                        <wpg:grpSpPr bwMode="auto">
                          <a:xfrm>
                            <a:off x="15" y="2703"/>
                            <a:ext cx="10870" cy="2"/>
                            <a:chOff x="15" y="2703"/>
                            <a:chExt cx="10870" cy="2"/>
                          </a:xfrm>
                        </wpg:grpSpPr>
                        <wps:wsp>
                          <wps:cNvPr id="17931" name="Freeform 8888"/>
                          <wps:cNvSpPr>
                            <a:spLocks/>
                          </wps:cNvSpPr>
                          <wps:spPr bwMode="auto">
                            <a:xfrm>
                              <a:off x="15" y="2703"/>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32" name="Group 8885"/>
                        <wpg:cNvGrpSpPr>
                          <a:grpSpLocks/>
                        </wpg:cNvGrpSpPr>
                        <wpg:grpSpPr bwMode="auto">
                          <a:xfrm>
                            <a:off x="15" y="2825"/>
                            <a:ext cx="10870" cy="2"/>
                            <a:chOff x="15" y="2825"/>
                            <a:chExt cx="10870" cy="2"/>
                          </a:xfrm>
                        </wpg:grpSpPr>
                        <wps:wsp>
                          <wps:cNvPr id="17933" name="Freeform 8886"/>
                          <wps:cNvSpPr>
                            <a:spLocks/>
                          </wps:cNvSpPr>
                          <wps:spPr bwMode="auto">
                            <a:xfrm>
                              <a:off x="15" y="2825"/>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34" name="Group 8883"/>
                        <wpg:cNvGrpSpPr>
                          <a:grpSpLocks/>
                        </wpg:cNvGrpSpPr>
                        <wpg:grpSpPr bwMode="auto">
                          <a:xfrm>
                            <a:off x="15" y="2947"/>
                            <a:ext cx="10870" cy="2"/>
                            <a:chOff x="15" y="2947"/>
                            <a:chExt cx="10870" cy="2"/>
                          </a:xfrm>
                        </wpg:grpSpPr>
                        <wps:wsp>
                          <wps:cNvPr id="17935" name="Freeform 8884"/>
                          <wps:cNvSpPr>
                            <a:spLocks/>
                          </wps:cNvSpPr>
                          <wps:spPr bwMode="auto">
                            <a:xfrm>
                              <a:off x="15" y="2947"/>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36" name="Group 8881"/>
                        <wpg:cNvGrpSpPr>
                          <a:grpSpLocks/>
                        </wpg:cNvGrpSpPr>
                        <wpg:grpSpPr bwMode="auto">
                          <a:xfrm>
                            <a:off x="15" y="3069"/>
                            <a:ext cx="10870" cy="2"/>
                            <a:chOff x="15" y="3069"/>
                            <a:chExt cx="10870" cy="2"/>
                          </a:xfrm>
                        </wpg:grpSpPr>
                        <wps:wsp>
                          <wps:cNvPr id="17937" name="Freeform 8882"/>
                          <wps:cNvSpPr>
                            <a:spLocks/>
                          </wps:cNvSpPr>
                          <wps:spPr bwMode="auto">
                            <a:xfrm>
                              <a:off x="15" y="3069"/>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38" name="Group 8879"/>
                        <wpg:cNvGrpSpPr>
                          <a:grpSpLocks/>
                        </wpg:cNvGrpSpPr>
                        <wpg:grpSpPr bwMode="auto">
                          <a:xfrm>
                            <a:off x="9856" y="3192"/>
                            <a:ext cx="1030" cy="2"/>
                            <a:chOff x="9856" y="3192"/>
                            <a:chExt cx="1030" cy="2"/>
                          </a:xfrm>
                        </wpg:grpSpPr>
                        <wps:wsp>
                          <wps:cNvPr id="17939" name="Freeform 8880"/>
                          <wps:cNvSpPr>
                            <a:spLocks/>
                          </wps:cNvSpPr>
                          <wps:spPr bwMode="auto">
                            <a:xfrm>
                              <a:off x="9856" y="3192"/>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40" name="Group 8877"/>
                        <wpg:cNvGrpSpPr>
                          <a:grpSpLocks/>
                        </wpg:cNvGrpSpPr>
                        <wpg:grpSpPr bwMode="auto">
                          <a:xfrm>
                            <a:off x="15" y="3192"/>
                            <a:ext cx="6687" cy="2"/>
                            <a:chOff x="15" y="3192"/>
                            <a:chExt cx="6687" cy="2"/>
                          </a:xfrm>
                        </wpg:grpSpPr>
                        <wps:wsp>
                          <wps:cNvPr id="17941" name="Freeform 8878"/>
                          <wps:cNvSpPr>
                            <a:spLocks/>
                          </wps:cNvSpPr>
                          <wps:spPr bwMode="auto">
                            <a:xfrm>
                              <a:off x="15" y="3192"/>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42" name="Group 8875"/>
                        <wpg:cNvGrpSpPr>
                          <a:grpSpLocks/>
                        </wpg:cNvGrpSpPr>
                        <wpg:grpSpPr bwMode="auto">
                          <a:xfrm>
                            <a:off x="9856" y="3314"/>
                            <a:ext cx="1030" cy="2"/>
                            <a:chOff x="9856" y="3314"/>
                            <a:chExt cx="1030" cy="2"/>
                          </a:xfrm>
                        </wpg:grpSpPr>
                        <wps:wsp>
                          <wps:cNvPr id="17943" name="Freeform 8876"/>
                          <wps:cNvSpPr>
                            <a:spLocks/>
                          </wps:cNvSpPr>
                          <wps:spPr bwMode="auto">
                            <a:xfrm>
                              <a:off x="9856" y="3314"/>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44" name="Group 8873"/>
                        <wpg:cNvGrpSpPr>
                          <a:grpSpLocks/>
                        </wpg:cNvGrpSpPr>
                        <wpg:grpSpPr bwMode="auto">
                          <a:xfrm>
                            <a:off x="15" y="3314"/>
                            <a:ext cx="6687" cy="2"/>
                            <a:chOff x="15" y="3314"/>
                            <a:chExt cx="6687" cy="2"/>
                          </a:xfrm>
                        </wpg:grpSpPr>
                        <wps:wsp>
                          <wps:cNvPr id="17945" name="Freeform 8874"/>
                          <wps:cNvSpPr>
                            <a:spLocks/>
                          </wps:cNvSpPr>
                          <wps:spPr bwMode="auto">
                            <a:xfrm>
                              <a:off x="15" y="3314"/>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46" name="Group 8871"/>
                        <wpg:cNvGrpSpPr>
                          <a:grpSpLocks/>
                        </wpg:cNvGrpSpPr>
                        <wpg:grpSpPr bwMode="auto">
                          <a:xfrm>
                            <a:off x="9856" y="3436"/>
                            <a:ext cx="1030" cy="2"/>
                            <a:chOff x="9856" y="3436"/>
                            <a:chExt cx="1030" cy="2"/>
                          </a:xfrm>
                        </wpg:grpSpPr>
                        <wps:wsp>
                          <wps:cNvPr id="17947" name="Freeform 8872"/>
                          <wps:cNvSpPr>
                            <a:spLocks/>
                          </wps:cNvSpPr>
                          <wps:spPr bwMode="auto">
                            <a:xfrm>
                              <a:off x="9856" y="3436"/>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48" name="Group 8869"/>
                        <wpg:cNvGrpSpPr>
                          <a:grpSpLocks/>
                        </wpg:cNvGrpSpPr>
                        <wpg:grpSpPr bwMode="auto">
                          <a:xfrm>
                            <a:off x="15" y="3436"/>
                            <a:ext cx="6687" cy="2"/>
                            <a:chOff x="15" y="3436"/>
                            <a:chExt cx="6687" cy="2"/>
                          </a:xfrm>
                        </wpg:grpSpPr>
                        <wps:wsp>
                          <wps:cNvPr id="17949" name="Freeform 8870"/>
                          <wps:cNvSpPr>
                            <a:spLocks/>
                          </wps:cNvSpPr>
                          <wps:spPr bwMode="auto">
                            <a:xfrm>
                              <a:off x="15" y="3436"/>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50" name="Group 8867"/>
                        <wpg:cNvGrpSpPr>
                          <a:grpSpLocks/>
                        </wpg:cNvGrpSpPr>
                        <wpg:grpSpPr bwMode="auto">
                          <a:xfrm>
                            <a:off x="9856" y="3558"/>
                            <a:ext cx="1030" cy="2"/>
                            <a:chOff x="9856" y="3558"/>
                            <a:chExt cx="1030" cy="2"/>
                          </a:xfrm>
                        </wpg:grpSpPr>
                        <wps:wsp>
                          <wps:cNvPr id="17951" name="Freeform 8868"/>
                          <wps:cNvSpPr>
                            <a:spLocks/>
                          </wps:cNvSpPr>
                          <wps:spPr bwMode="auto">
                            <a:xfrm>
                              <a:off x="9856" y="3558"/>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52" name="Group 8865"/>
                        <wpg:cNvGrpSpPr>
                          <a:grpSpLocks/>
                        </wpg:cNvGrpSpPr>
                        <wpg:grpSpPr bwMode="auto">
                          <a:xfrm>
                            <a:off x="15" y="3558"/>
                            <a:ext cx="6687" cy="2"/>
                            <a:chOff x="15" y="3558"/>
                            <a:chExt cx="6687" cy="2"/>
                          </a:xfrm>
                        </wpg:grpSpPr>
                        <wps:wsp>
                          <wps:cNvPr id="17953" name="Freeform 8866"/>
                          <wps:cNvSpPr>
                            <a:spLocks/>
                          </wps:cNvSpPr>
                          <wps:spPr bwMode="auto">
                            <a:xfrm>
                              <a:off x="15" y="3558"/>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54" name="Group 8863"/>
                        <wpg:cNvGrpSpPr>
                          <a:grpSpLocks/>
                        </wpg:cNvGrpSpPr>
                        <wpg:grpSpPr bwMode="auto">
                          <a:xfrm>
                            <a:off x="9856" y="3680"/>
                            <a:ext cx="1030" cy="2"/>
                            <a:chOff x="9856" y="3680"/>
                            <a:chExt cx="1030" cy="2"/>
                          </a:xfrm>
                        </wpg:grpSpPr>
                        <wps:wsp>
                          <wps:cNvPr id="17955" name="Freeform 8864"/>
                          <wps:cNvSpPr>
                            <a:spLocks/>
                          </wps:cNvSpPr>
                          <wps:spPr bwMode="auto">
                            <a:xfrm>
                              <a:off x="9856" y="3680"/>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56" name="Group 8861"/>
                        <wpg:cNvGrpSpPr>
                          <a:grpSpLocks/>
                        </wpg:cNvGrpSpPr>
                        <wpg:grpSpPr bwMode="auto">
                          <a:xfrm>
                            <a:off x="15" y="3680"/>
                            <a:ext cx="6687" cy="2"/>
                            <a:chOff x="15" y="3680"/>
                            <a:chExt cx="6687" cy="2"/>
                          </a:xfrm>
                        </wpg:grpSpPr>
                        <wps:wsp>
                          <wps:cNvPr id="17957" name="Freeform 8862"/>
                          <wps:cNvSpPr>
                            <a:spLocks/>
                          </wps:cNvSpPr>
                          <wps:spPr bwMode="auto">
                            <a:xfrm>
                              <a:off x="15" y="3680"/>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58" name="Group 8859"/>
                        <wpg:cNvGrpSpPr>
                          <a:grpSpLocks/>
                        </wpg:cNvGrpSpPr>
                        <wpg:grpSpPr bwMode="auto">
                          <a:xfrm>
                            <a:off x="9856" y="3803"/>
                            <a:ext cx="1030" cy="2"/>
                            <a:chOff x="9856" y="3803"/>
                            <a:chExt cx="1030" cy="2"/>
                          </a:xfrm>
                        </wpg:grpSpPr>
                        <wps:wsp>
                          <wps:cNvPr id="17959" name="Freeform 8860"/>
                          <wps:cNvSpPr>
                            <a:spLocks/>
                          </wps:cNvSpPr>
                          <wps:spPr bwMode="auto">
                            <a:xfrm>
                              <a:off x="9856" y="3803"/>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60" name="Group 8857"/>
                        <wpg:cNvGrpSpPr>
                          <a:grpSpLocks/>
                        </wpg:cNvGrpSpPr>
                        <wpg:grpSpPr bwMode="auto">
                          <a:xfrm>
                            <a:off x="15" y="3803"/>
                            <a:ext cx="6687" cy="2"/>
                            <a:chOff x="15" y="3803"/>
                            <a:chExt cx="6687" cy="2"/>
                          </a:xfrm>
                        </wpg:grpSpPr>
                        <wps:wsp>
                          <wps:cNvPr id="17961" name="Freeform 8858"/>
                          <wps:cNvSpPr>
                            <a:spLocks/>
                          </wps:cNvSpPr>
                          <wps:spPr bwMode="auto">
                            <a:xfrm>
                              <a:off x="15" y="3803"/>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62" name="Group 8855"/>
                        <wpg:cNvGrpSpPr>
                          <a:grpSpLocks/>
                        </wpg:cNvGrpSpPr>
                        <wpg:grpSpPr bwMode="auto">
                          <a:xfrm>
                            <a:off x="9856" y="3925"/>
                            <a:ext cx="1030" cy="2"/>
                            <a:chOff x="9856" y="3925"/>
                            <a:chExt cx="1030" cy="2"/>
                          </a:xfrm>
                        </wpg:grpSpPr>
                        <wps:wsp>
                          <wps:cNvPr id="17963" name="Freeform 8856"/>
                          <wps:cNvSpPr>
                            <a:spLocks/>
                          </wps:cNvSpPr>
                          <wps:spPr bwMode="auto">
                            <a:xfrm>
                              <a:off x="9856" y="3925"/>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64" name="Group 8853"/>
                        <wpg:cNvGrpSpPr>
                          <a:grpSpLocks/>
                        </wpg:cNvGrpSpPr>
                        <wpg:grpSpPr bwMode="auto">
                          <a:xfrm>
                            <a:off x="15" y="3925"/>
                            <a:ext cx="6687" cy="2"/>
                            <a:chOff x="15" y="3925"/>
                            <a:chExt cx="6687" cy="2"/>
                          </a:xfrm>
                        </wpg:grpSpPr>
                        <wps:wsp>
                          <wps:cNvPr id="17965" name="Freeform 8854"/>
                          <wps:cNvSpPr>
                            <a:spLocks/>
                          </wps:cNvSpPr>
                          <wps:spPr bwMode="auto">
                            <a:xfrm>
                              <a:off x="15" y="3925"/>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66" name="Group 8851"/>
                        <wpg:cNvGrpSpPr>
                          <a:grpSpLocks/>
                        </wpg:cNvGrpSpPr>
                        <wpg:grpSpPr bwMode="auto">
                          <a:xfrm>
                            <a:off x="9856" y="4047"/>
                            <a:ext cx="1030" cy="2"/>
                            <a:chOff x="9856" y="4047"/>
                            <a:chExt cx="1030" cy="2"/>
                          </a:xfrm>
                        </wpg:grpSpPr>
                        <wps:wsp>
                          <wps:cNvPr id="17967" name="Freeform 8852"/>
                          <wps:cNvSpPr>
                            <a:spLocks/>
                          </wps:cNvSpPr>
                          <wps:spPr bwMode="auto">
                            <a:xfrm>
                              <a:off x="9856" y="4047"/>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68" name="Group 8849"/>
                        <wpg:cNvGrpSpPr>
                          <a:grpSpLocks/>
                        </wpg:cNvGrpSpPr>
                        <wpg:grpSpPr bwMode="auto">
                          <a:xfrm>
                            <a:off x="1022" y="4047"/>
                            <a:ext cx="2" cy="856"/>
                            <a:chOff x="1022" y="4047"/>
                            <a:chExt cx="2" cy="856"/>
                          </a:xfrm>
                        </wpg:grpSpPr>
                        <wps:wsp>
                          <wps:cNvPr id="17969" name="Freeform 8850"/>
                          <wps:cNvSpPr>
                            <a:spLocks/>
                          </wps:cNvSpPr>
                          <wps:spPr bwMode="auto">
                            <a:xfrm>
                              <a:off x="1022" y="4047"/>
                              <a:ext cx="2" cy="856"/>
                            </a:xfrm>
                            <a:custGeom>
                              <a:avLst/>
                              <a:gdLst>
                                <a:gd name="T0" fmla="*/ 0 w 2"/>
                                <a:gd name="T1" fmla="*/ 4047 h 856"/>
                                <a:gd name="T2" fmla="*/ 0 w 2"/>
                                <a:gd name="T3" fmla="*/ 4903 h 856"/>
                                <a:gd name="T4" fmla="*/ 0 60000 65536"/>
                                <a:gd name="T5" fmla="*/ 0 60000 65536"/>
                              </a:gdLst>
                              <a:ahLst/>
                              <a:cxnLst>
                                <a:cxn ang="T4">
                                  <a:pos x="T0" y="T1"/>
                                </a:cxn>
                                <a:cxn ang="T5">
                                  <a:pos x="T2" y="T3"/>
                                </a:cxn>
                              </a:cxnLst>
                              <a:rect l="0" t="0" r="r" b="b"/>
                              <a:pathLst>
                                <a:path w="2" h="856">
                                  <a:moveTo>
                                    <a:pt x="0" y="0"/>
                                  </a:moveTo>
                                  <a:lnTo>
                                    <a:pt x="0" y="856"/>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70" name="Group 8847"/>
                        <wpg:cNvGrpSpPr>
                          <a:grpSpLocks/>
                        </wpg:cNvGrpSpPr>
                        <wpg:grpSpPr bwMode="auto">
                          <a:xfrm>
                            <a:off x="15" y="4047"/>
                            <a:ext cx="6687" cy="2"/>
                            <a:chOff x="15" y="4047"/>
                            <a:chExt cx="6687" cy="2"/>
                          </a:xfrm>
                        </wpg:grpSpPr>
                        <wps:wsp>
                          <wps:cNvPr id="17971" name="Freeform 8848"/>
                          <wps:cNvSpPr>
                            <a:spLocks/>
                          </wps:cNvSpPr>
                          <wps:spPr bwMode="auto">
                            <a:xfrm>
                              <a:off x="15" y="4047"/>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72" name="Group 8845"/>
                        <wpg:cNvGrpSpPr>
                          <a:grpSpLocks/>
                        </wpg:cNvGrpSpPr>
                        <wpg:grpSpPr bwMode="auto">
                          <a:xfrm>
                            <a:off x="9856" y="4169"/>
                            <a:ext cx="1030" cy="2"/>
                            <a:chOff x="9856" y="4169"/>
                            <a:chExt cx="1030" cy="2"/>
                          </a:xfrm>
                        </wpg:grpSpPr>
                        <wps:wsp>
                          <wps:cNvPr id="17973" name="Freeform 8846"/>
                          <wps:cNvSpPr>
                            <a:spLocks/>
                          </wps:cNvSpPr>
                          <wps:spPr bwMode="auto">
                            <a:xfrm>
                              <a:off x="9856" y="4169"/>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74" name="Group 8843"/>
                        <wpg:cNvGrpSpPr>
                          <a:grpSpLocks/>
                        </wpg:cNvGrpSpPr>
                        <wpg:grpSpPr bwMode="auto">
                          <a:xfrm>
                            <a:off x="15" y="4169"/>
                            <a:ext cx="6687" cy="2"/>
                            <a:chOff x="15" y="4169"/>
                            <a:chExt cx="6687" cy="2"/>
                          </a:xfrm>
                        </wpg:grpSpPr>
                        <wps:wsp>
                          <wps:cNvPr id="17975" name="Freeform 8844"/>
                          <wps:cNvSpPr>
                            <a:spLocks/>
                          </wps:cNvSpPr>
                          <wps:spPr bwMode="auto">
                            <a:xfrm>
                              <a:off x="15" y="4169"/>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76" name="Group 8841"/>
                        <wpg:cNvGrpSpPr>
                          <a:grpSpLocks/>
                        </wpg:cNvGrpSpPr>
                        <wpg:grpSpPr bwMode="auto">
                          <a:xfrm>
                            <a:off x="9856" y="4291"/>
                            <a:ext cx="1030" cy="2"/>
                            <a:chOff x="9856" y="4291"/>
                            <a:chExt cx="1030" cy="2"/>
                          </a:xfrm>
                        </wpg:grpSpPr>
                        <wps:wsp>
                          <wps:cNvPr id="17977" name="Freeform 8842"/>
                          <wps:cNvSpPr>
                            <a:spLocks/>
                          </wps:cNvSpPr>
                          <wps:spPr bwMode="auto">
                            <a:xfrm>
                              <a:off x="9856" y="4291"/>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78" name="Group 8839"/>
                        <wpg:cNvGrpSpPr>
                          <a:grpSpLocks/>
                        </wpg:cNvGrpSpPr>
                        <wpg:grpSpPr bwMode="auto">
                          <a:xfrm>
                            <a:off x="15" y="4291"/>
                            <a:ext cx="6687" cy="2"/>
                            <a:chOff x="15" y="4291"/>
                            <a:chExt cx="6687" cy="2"/>
                          </a:xfrm>
                        </wpg:grpSpPr>
                        <wps:wsp>
                          <wps:cNvPr id="17979" name="Freeform 8840"/>
                          <wps:cNvSpPr>
                            <a:spLocks/>
                          </wps:cNvSpPr>
                          <wps:spPr bwMode="auto">
                            <a:xfrm>
                              <a:off x="15" y="4291"/>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80" name="Group 8837"/>
                        <wpg:cNvGrpSpPr>
                          <a:grpSpLocks/>
                        </wpg:cNvGrpSpPr>
                        <wpg:grpSpPr bwMode="auto">
                          <a:xfrm>
                            <a:off x="9856" y="4413"/>
                            <a:ext cx="1030" cy="2"/>
                            <a:chOff x="9856" y="4413"/>
                            <a:chExt cx="1030" cy="2"/>
                          </a:xfrm>
                        </wpg:grpSpPr>
                        <wps:wsp>
                          <wps:cNvPr id="17981" name="Freeform 8838"/>
                          <wps:cNvSpPr>
                            <a:spLocks/>
                          </wps:cNvSpPr>
                          <wps:spPr bwMode="auto">
                            <a:xfrm>
                              <a:off x="9856" y="4413"/>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82" name="Group 8835"/>
                        <wpg:cNvGrpSpPr>
                          <a:grpSpLocks/>
                        </wpg:cNvGrpSpPr>
                        <wpg:grpSpPr bwMode="auto">
                          <a:xfrm>
                            <a:off x="15" y="4413"/>
                            <a:ext cx="6687" cy="2"/>
                            <a:chOff x="15" y="4413"/>
                            <a:chExt cx="6687" cy="2"/>
                          </a:xfrm>
                        </wpg:grpSpPr>
                        <wps:wsp>
                          <wps:cNvPr id="17983" name="Freeform 8836"/>
                          <wps:cNvSpPr>
                            <a:spLocks/>
                          </wps:cNvSpPr>
                          <wps:spPr bwMode="auto">
                            <a:xfrm>
                              <a:off x="15" y="4413"/>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84" name="Group 8833"/>
                        <wpg:cNvGrpSpPr>
                          <a:grpSpLocks/>
                        </wpg:cNvGrpSpPr>
                        <wpg:grpSpPr bwMode="auto">
                          <a:xfrm>
                            <a:off x="9856" y="4535"/>
                            <a:ext cx="1030" cy="2"/>
                            <a:chOff x="9856" y="4535"/>
                            <a:chExt cx="1030" cy="2"/>
                          </a:xfrm>
                        </wpg:grpSpPr>
                        <wps:wsp>
                          <wps:cNvPr id="17985" name="Freeform 8834"/>
                          <wps:cNvSpPr>
                            <a:spLocks/>
                          </wps:cNvSpPr>
                          <wps:spPr bwMode="auto">
                            <a:xfrm>
                              <a:off x="9856" y="4535"/>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86" name="Group 8831"/>
                        <wpg:cNvGrpSpPr>
                          <a:grpSpLocks/>
                        </wpg:cNvGrpSpPr>
                        <wpg:grpSpPr bwMode="auto">
                          <a:xfrm>
                            <a:off x="15" y="4535"/>
                            <a:ext cx="6687" cy="2"/>
                            <a:chOff x="15" y="4535"/>
                            <a:chExt cx="6687" cy="2"/>
                          </a:xfrm>
                        </wpg:grpSpPr>
                        <wps:wsp>
                          <wps:cNvPr id="17987" name="Freeform 8832"/>
                          <wps:cNvSpPr>
                            <a:spLocks/>
                          </wps:cNvSpPr>
                          <wps:spPr bwMode="auto">
                            <a:xfrm>
                              <a:off x="15" y="4535"/>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88" name="Group 8829"/>
                        <wpg:cNvGrpSpPr>
                          <a:grpSpLocks/>
                        </wpg:cNvGrpSpPr>
                        <wpg:grpSpPr bwMode="auto">
                          <a:xfrm>
                            <a:off x="9856" y="4658"/>
                            <a:ext cx="1030" cy="2"/>
                            <a:chOff x="9856" y="4658"/>
                            <a:chExt cx="1030" cy="2"/>
                          </a:xfrm>
                        </wpg:grpSpPr>
                        <wps:wsp>
                          <wps:cNvPr id="17989" name="Freeform 8830"/>
                          <wps:cNvSpPr>
                            <a:spLocks/>
                          </wps:cNvSpPr>
                          <wps:spPr bwMode="auto">
                            <a:xfrm>
                              <a:off x="9856" y="4658"/>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90" name="Group 8827"/>
                        <wpg:cNvGrpSpPr>
                          <a:grpSpLocks/>
                        </wpg:cNvGrpSpPr>
                        <wpg:grpSpPr bwMode="auto">
                          <a:xfrm>
                            <a:off x="15" y="4658"/>
                            <a:ext cx="6687" cy="2"/>
                            <a:chOff x="15" y="4658"/>
                            <a:chExt cx="6687" cy="2"/>
                          </a:xfrm>
                        </wpg:grpSpPr>
                        <wps:wsp>
                          <wps:cNvPr id="17991" name="Freeform 8828"/>
                          <wps:cNvSpPr>
                            <a:spLocks/>
                          </wps:cNvSpPr>
                          <wps:spPr bwMode="auto">
                            <a:xfrm>
                              <a:off x="15" y="4658"/>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92" name="Group 8825"/>
                        <wpg:cNvGrpSpPr>
                          <a:grpSpLocks/>
                        </wpg:cNvGrpSpPr>
                        <wpg:grpSpPr bwMode="auto">
                          <a:xfrm>
                            <a:off x="9856" y="4780"/>
                            <a:ext cx="1030" cy="2"/>
                            <a:chOff x="9856" y="4780"/>
                            <a:chExt cx="1030" cy="2"/>
                          </a:xfrm>
                        </wpg:grpSpPr>
                        <wps:wsp>
                          <wps:cNvPr id="17993" name="Freeform 8826"/>
                          <wps:cNvSpPr>
                            <a:spLocks/>
                          </wps:cNvSpPr>
                          <wps:spPr bwMode="auto">
                            <a:xfrm>
                              <a:off x="9856" y="4780"/>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94" name="Group 8823"/>
                        <wpg:cNvGrpSpPr>
                          <a:grpSpLocks/>
                        </wpg:cNvGrpSpPr>
                        <wpg:grpSpPr bwMode="auto">
                          <a:xfrm>
                            <a:off x="15" y="4780"/>
                            <a:ext cx="6687" cy="2"/>
                            <a:chOff x="15" y="4780"/>
                            <a:chExt cx="6687" cy="2"/>
                          </a:xfrm>
                        </wpg:grpSpPr>
                        <wps:wsp>
                          <wps:cNvPr id="17995" name="Freeform 8824"/>
                          <wps:cNvSpPr>
                            <a:spLocks/>
                          </wps:cNvSpPr>
                          <wps:spPr bwMode="auto">
                            <a:xfrm>
                              <a:off x="15" y="4780"/>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96" name="Group 8821"/>
                        <wpg:cNvGrpSpPr>
                          <a:grpSpLocks/>
                        </wpg:cNvGrpSpPr>
                        <wpg:grpSpPr bwMode="auto">
                          <a:xfrm>
                            <a:off x="9856" y="4902"/>
                            <a:ext cx="1030" cy="2"/>
                            <a:chOff x="9856" y="4902"/>
                            <a:chExt cx="1030" cy="2"/>
                          </a:xfrm>
                        </wpg:grpSpPr>
                        <wps:wsp>
                          <wps:cNvPr id="17997" name="Freeform 8822"/>
                          <wps:cNvSpPr>
                            <a:spLocks/>
                          </wps:cNvSpPr>
                          <wps:spPr bwMode="auto">
                            <a:xfrm>
                              <a:off x="9856" y="4902"/>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998" name="Group 8819"/>
                        <wpg:cNvGrpSpPr>
                          <a:grpSpLocks/>
                        </wpg:cNvGrpSpPr>
                        <wpg:grpSpPr bwMode="auto">
                          <a:xfrm>
                            <a:off x="15" y="4902"/>
                            <a:ext cx="6687" cy="2"/>
                            <a:chOff x="15" y="4902"/>
                            <a:chExt cx="6687" cy="2"/>
                          </a:xfrm>
                        </wpg:grpSpPr>
                        <wps:wsp>
                          <wps:cNvPr id="17999" name="Freeform 8820"/>
                          <wps:cNvSpPr>
                            <a:spLocks/>
                          </wps:cNvSpPr>
                          <wps:spPr bwMode="auto">
                            <a:xfrm>
                              <a:off x="15" y="4902"/>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00" name="Group 8817"/>
                        <wpg:cNvGrpSpPr>
                          <a:grpSpLocks/>
                        </wpg:cNvGrpSpPr>
                        <wpg:grpSpPr bwMode="auto">
                          <a:xfrm>
                            <a:off x="9856" y="5024"/>
                            <a:ext cx="1030" cy="2"/>
                            <a:chOff x="9856" y="5024"/>
                            <a:chExt cx="1030" cy="2"/>
                          </a:xfrm>
                        </wpg:grpSpPr>
                        <wps:wsp>
                          <wps:cNvPr id="18001" name="Freeform 8818"/>
                          <wps:cNvSpPr>
                            <a:spLocks/>
                          </wps:cNvSpPr>
                          <wps:spPr bwMode="auto">
                            <a:xfrm>
                              <a:off x="9856" y="5024"/>
                              <a:ext cx="1030" cy="2"/>
                            </a:xfrm>
                            <a:custGeom>
                              <a:avLst/>
                              <a:gdLst>
                                <a:gd name="T0" fmla="*/ 0 w 1030"/>
                                <a:gd name="T1" fmla="*/ 0 h 2"/>
                                <a:gd name="T2" fmla="*/ 1029 w 1030"/>
                                <a:gd name="T3" fmla="*/ 0 h 2"/>
                                <a:gd name="T4" fmla="*/ 0 60000 65536"/>
                                <a:gd name="T5" fmla="*/ 0 60000 65536"/>
                              </a:gdLst>
                              <a:ahLst/>
                              <a:cxnLst>
                                <a:cxn ang="T4">
                                  <a:pos x="T0" y="T1"/>
                                </a:cxn>
                                <a:cxn ang="T5">
                                  <a:pos x="T2" y="T3"/>
                                </a:cxn>
                              </a:cxnLst>
                              <a:rect l="0" t="0" r="r" b="b"/>
                              <a:pathLst>
                                <a:path w="1030" h="2">
                                  <a:moveTo>
                                    <a:pt x="0" y="0"/>
                                  </a:moveTo>
                                  <a:lnTo>
                                    <a:pt x="1029"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02" name="Group 8815"/>
                        <wpg:cNvGrpSpPr>
                          <a:grpSpLocks/>
                        </wpg:cNvGrpSpPr>
                        <wpg:grpSpPr bwMode="auto">
                          <a:xfrm>
                            <a:off x="15" y="5024"/>
                            <a:ext cx="6687" cy="2"/>
                            <a:chOff x="15" y="5024"/>
                            <a:chExt cx="6687" cy="2"/>
                          </a:xfrm>
                        </wpg:grpSpPr>
                        <wps:wsp>
                          <wps:cNvPr id="18003" name="Freeform 8816"/>
                          <wps:cNvSpPr>
                            <a:spLocks/>
                          </wps:cNvSpPr>
                          <wps:spPr bwMode="auto">
                            <a:xfrm>
                              <a:off x="15" y="5024"/>
                              <a:ext cx="6687" cy="2"/>
                            </a:xfrm>
                            <a:custGeom>
                              <a:avLst/>
                              <a:gdLst>
                                <a:gd name="T0" fmla="*/ 0 w 6687"/>
                                <a:gd name="T1" fmla="*/ 0 h 2"/>
                                <a:gd name="T2" fmla="*/ 6686 w 6687"/>
                                <a:gd name="T3" fmla="*/ 0 h 2"/>
                                <a:gd name="T4" fmla="*/ 0 60000 65536"/>
                                <a:gd name="T5" fmla="*/ 0 60000 65536"/>
                              </a:gdLst>
                              <a:ahLst/>
                              <a:cxnLst>
                                <a:cxn ang="T4">
                                  <a:pos x="T0" y="T1"/>
                                </a:cxn>
                                <a:cxn ang="T5">
                                  <a:pos x="T2" y="T3"/>
                                </a:cxn>
                              </a:cxnLst>
                              <a:rect l="0" t="0" r="r" b="b"/>
                              <a:pathLst>
                                <a:path w="6687" h="2">
                                  <a:moveTo>
                                    <a:pt x="0" y="0"/>
                                  </a:moveTo>
                                  <a:lnTo>
                                    <a:pt x="6686"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04" name="Group 8813"/>
                        <wpg:cNvGrpSpPr>
                          <a:grpSpLocks/>
                        </wpg:cNvGrpSpPr>
                        <wpg:grpSpPr bwMode="auto">
                          <a:xfrm>
                            <a:off x="15" y="5146"/>
                            <a:ext cx="10870" cy="2"/>
                            <a:chOff x="15" y="5146"/>
                            <a:chExt cx="10870" cy="2"/>
                          </a:xfrm>
                        </wpg:grpSpPr>
                        <wps:wsp>
                          <wps:cNvPr id="18005" name="Freeform 8814"/>
                          <wps:cNvSpPr>
                            <a:spLocks/>
                          </wps:cNvSpPr>
                          <wps:spPr bwMode="auto">
                            <a:xfrm>
                              <a:off x="15" y="5146"/>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06" name="Group 8811"/>
                        <wpg:cNvGrpSpPr>
                          <a:grpSpLocks/>
                        </wpg:cNvGrpSpPr>
                        <wpg:grpSpPr bwMode="auto">
                          <a:xfrm>
                            <a:off x="15" y="5268"/>
                            <a:ext cx="10870" cy="2"/>
                            <a:chOff x="15" y="5268"/>
                            <a:chExt cx="10870" cy="2"/>
                          </a:xfrm>
                        </wpg:grpSpPr>
                        <wps:wsp>
                          <wps:cNvPr id="18007" name="Freeform 8812"/>
                          <wps:cNvSpPr>
                            <a:spLocks/>
                          </wps:cNvSpPr>
                          <wps:spPr bwMode="auto">
                            <a:xfrm>
                              <a:off x="15" y="5268"/>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08" name="Group 8809"/>
                        <wpg:cNvGrpSpPr>
                          <a:grpSpLocks/>
                        </wpg:cNvGrpSpPr>
                        <wpg:grpSpPr bwMode="auto">
                          <a:xfrm>
                            <a:off x="15" y="5391"/>
                            <a:ext cx="10870" cy="2"/>
                            <a:chOff x="15" y="5391"/>
                            <a:chExt cx="10870" cy="2"/>
                          </a:xfrm>
                        </wpg:grpSpPr>
                        <wps:wsp>
                          <wps:cNvPr id="18009" name="Freeform 8810"/>
                          <wps:cNvSpPr>
                            <a:spLocks/>
                          </wps:cNvSpPr>
                          <wps:spPr bwMode="auto">
                            <a:xfrm>
                              <a:off x="15" y="5391"/>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10" name="Group 8807"/>
                        <wpg:cNvGrpSpPr>
                          <a:grpSpLocks/>
                        </wpg:cNvGrpSpPr>
                        <wpg:grpSpPr bwMode="auto">
                          <a:xfrm>
                            <a:off x="15" y="5513"/>
                            <a:ext cx="10870" cy="2"/>
                            <a:chOff x="15" y="5513"/>
                            <a:chExt cx="10870" cy="2"/>
                          </a:xfrm>
                        </wpg:grpSpPr>
                        <wps:wsp>
                          <wps:cNvPr id="18011" name="Freeform 8808"/>
                          <wps:cNvSpPr>
                            <a:spLocks/>
                          </wps:cNvSpPr>
                          <wps:spPr bwMode="auto">
                            <a:xfrm>
                              <a:off x="15" y="5513"/>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12" name="Group 8805"/>
                        <wpg:cNvGrpSpPr>
                          <a:grpSpLocks/>
                        </wpg:cNvGrpSpPr>
                        <wpg:grpSpPr bwMode="auto">
                          <a:xfrm>
                            <a:off x="9871" y="5635"/>
                            <a:ext cx="1014" cy="2"/>
                            <a:chOff x="9871" y="5635"/>
                            <a:chExt cx="1014" cy="2"/>
                          </a:xfrm>
                        </wpg:grpSpPr>
                        <wps:wsp>
                          <wps:cNvPr id="18013" name="Freeform 8806"/>
                          <wps:cNvSpPr>
                            <a:spLocks/>
                          </wps:cNvSpPr>
                          <wps:spPr bwMode="auto">
                            <a:xfrm>
                              <a:off x="9871" y="5635"/>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14" name="Group 8803"/>
                        <wpg:cNvGrpSpPr>
                          <a:grpSpLocks/>
                        </wpg:cNvGrpSpPr>
                        <wpg:grpSpPr bwMode="auto">
                          <a:xfrm>
                            <a:off x="15" y="5635"/>
                            <a:ext cx="6679" cy="2"/>
                            <a:chOff x="15" y="5635"/>
                            <a:chExt cx="6679" cy="2"/>
                          </a:xfrm>
                        </wpg:grpSpPr>
                        <wps:wsp>
                          <wps:cNvPr id="18015" name="Freeform 8804"/>
                          <wps:cNvSpPr>
                            <a:spLocks/>
                          </wps:cNvSpPr>
                          <wps:spPr bwMode="auto">
                            <a:xfrm>
                              <a:off x="15" y="5635"/>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16" name="Group 8801"/>
                        <wpg:cNvGrpSpPr>
                          <a:grpSpLocks/>
                        </wpg:cNvGrpSpPr>
                        <wpg:grpSpPr bwMode="auto">
                          <a:xfrm>
                            <a:off x="9871" y="5757"/>
                            <a:ext cx="1014" cy="2"/>
                            <a:chOff x="9871" y="5757"/>
                            <a:chExt cx="1014" cy="2"/>
                          </a:xfrm>
                        </wpg:grpSpPr>
                        <wps:wsp>
                          <wps:cNvPr id="18017" name="Freeform 8802"/>
                          <wps:cNvSpPr>
                            <a:spLocks/>
                          </wps:cNvSpPr>
                          <wps:spPr bwMode="auto">
                            <a:xfrm>
                              <a:off x="9871" y="5757"/>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18" name="Group 8799"/>
                        <wpg:cNvGrpSpPr>
                          <a:grpSpLocks/>
                        </wpg:cNvGrpSpPr>
                        <wpg:grpSpPr bwMode="auto">
                          <a:xfrm>
                            <a:off x="15" y="5757"/>
                            <a:ext cx="6679" cy="2"/>
                            <a:chOff x="15" y="5757"/>
                            <a:chExt cx="6679" cy="2"/>
                          </a:xfrm>
                        </wpg:grpSpPr>
                        <wps:wsp>
                          <wps:cNvPr id="18019" name="Freeform 8800"/>
                          <wps:cNvSpPr>
                            <a:spLocks/>
                          </wps:cNvSpPr>
                          <wps:spPr bwMode="auto">
                            <a:xfrm>
                              <a:off x="15" y="5757"/>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20" name="Group 8797"/>
                        <wpg:cNvGrpSpPr>
                          <a:grpSpLocks/>
                        </wpg:cNvGrpSpPr>
                        <wpg:grpSpPr bwMode="auto">
                          <a:xfrm>
                            <a:off x="9871" y="5879"/>
                            <a:ext cx="1014" cy="2"/>
                            <a:chOff x="9871" y="5879"/>
                            <a:chExt cx="1014" cy="2"/>
                          </a:xfrm>
                        </wpg:grpSpPr>
                        <wps:wsp>
                          <wps:cNvPr id="18021" name="Freeform 8798"/>
                          <wps:cNvSpPr>
                            <a:spLocks/>
                          </wps:cNvSpPr>
                          <wps:spPr bwMode="auto">
                            <a:xfrm>
                              <a:off x="9871" y="5879"/>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22" name="Group 8795"/>
                        <wpg:cNvGrpSpPr>
                          <a:grpSpLocks/>
                        </wpg:cNvGrpSpPr>
                        <wpg:grpSpPr bwMode="auto">
                          <a:xfrm>
                            <a:off x="15" y="5879"/>
                            <a:ext cx="6679" cy="2"/>
                            <a:chOff x="15" y="5879"/>
                            <a:chExt cx="6679" cy="2"/>
                          </a:xfrm>
                        </wpg:grpSpPr>
                        <wps:wsp>
                          <wps:cNvPr id="18023" name="Freeform 8796"/>
                          <wps:cNvSpPr>
                            <a:spLocks/>
                          </wps:cNvSpPr>
                          <wps:spPr bwMode="auto">
                            <a:xfrm>
                              <a:off x="15" y="5879"/>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24" name="Group 8793"/>
                        <wpg:cNvGrpSpPr>
                          <a:grpSpLocks/>
                        </wpg:cNvGrpSpPr>
                        <wpg:grpSpPr bwMode="auto">
                          <a:xfrm>
                            <a:off x="9871" y="6001"/>
                            <a:ext cx="1014" cy="2"/>
                            <a:chOff x="9871" y="6001"/>
                            <a:chExt cx="1014" cy="2"/>
                          </a:xfrm>
                        </wpg:grpSpPr>
                        <wps:wsp>
                          <wps:cNvPr id="18025" name="Freeform 8794"/>
                          <wps:cNvSpPr>
                            <a:spLocks/>
                          </wps:cNvSpPr>
                          <wps:spPr bwMode="auto">
                            <a:xfrm>
                              <a:off x="9871" y="6001"/>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26" name="Group 8791"/>
                        <wpg:cNvGrpSpPr>
                          <a:grpSpLocks/>
                        </wpg:cNvGrpSpPr>
                        <wpg:grpSpPr bwMode="auto">
                          <a:xfrm>
                            <a:off x="15" y="6001"/>
                            <a:ext cx="6679" cy="2"/>
                            <a:chOff x="15" y="6001"/>
                            <a:chExt cx="6679" cy="2"/>
                          </a:xfrm>
                        </wpg:grpSpPr>
                        <wps:wsp>
                          <wps:cNvPr id="18027" name="Freeform 8792"/>
                          <wps:cNvSpPr>
                            <a:spLocks/>
                          </wps:cNvSpPr>
                          <wps:spPr bwMode="auto">
                            <a:xfrm>
                              <a:off x="15" y="6001"/>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28" name="Group 8789"/>
                        <wpg:cNvGrpSpPr>
                          <a:grpSpLocks/>
                        </wpg:cNvGrpSpPr>
                        <wpg:grpSpPr bwMode="auto">
                          <a:xfrm>
                            <a:off x="9871" y="6124"/>
                            <a:ext cx="1014" cy="2"/>
                            <a:chOff x="9871" y="6124"/>
                            <a:chExt cx="1014" cy="2"/>
                          </a:xfrm>
                        </wpg:grpSpPr>
                        <wps:wsp>
                          <wps:cNvPr id="18029" name="Freeform 8790"/>
                          <wps:cNvSpPr>
                            <a:spLocks/>
                          </wps:cNvSpPr>
                          <wps:spPr bwMode="auto">
                            <a:xfrm>
                              <a:off x="9871" y="6124"/>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30" name="Group 8787"/>
                        <wpg:cNvGrpSpPr>
                          <a:grpSpLocks/>
                        </wpg:cNvGrpSpPr>
                        <wpg:grpSpPr bwMode="auto">
                          <a:xfrm>
                            <a:off x="15" y="6124"/>
                            <a:ext cx="6679" cy="2"/>
                            <a:chOff x="15" y="6124"/>
                            <a:chExt cx="6679" cy="2"/>
                          </a:xfrm>
                        </wpg:grpSpPr>
                        <wps:wsp>
                          <wps:cNvPr id="18031" name="Freeform 8788"/>
                          <wps:cNvSpPr>
                            <a:spLocks/>
                          </wps:cNvSpPr>
                          <wps:spPr bwMode="auto">
                            <a:xfrm>
                              <a:off x="15" y="6124"/>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32" name="Group 8785"/>
                        <wpg:cNvGrpSpPr>
                          <a:grpSpLocks/>
                        </wpg:cNvGrpSpPr>
                        <wpg:grpSpPr bwMode="auto">
                          <a:xfrm>
                            <a:off x="9871" y="6246"/>
                            <a:ext cx="1014" cy="2"/>
                            <a:chOff x="9871" y="6246"/>
                            <a:chExt cx="1014" cy="2"/>
                          </a:xfrm>
                        </wpg:grpSpPr>
                        <wps:wsp>
                          <wps:cNvPr id="18033" name="Freeform 8786"/>
                          <wps:cNvSpPr>
                            <a:spLocks/>
                          </wps:cNvSpPr>
                          <wps:spPr bwMode="auto">
                            <a:xfrm>
                              <a:off x="9871" y="6246"/>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34" name="Group 8783"/>
                        <wpg:cNvGrpSpPr>
                          <a:grpSpLocks/>
                        </wpg:cNvGrpSpPr>
                        <wpg:grpSpPr bwMode="auto">
                          <a:xfrm>
                            <a:off x="15" y="6246"/>
                            <a:ext cx="6679" cy="2"/>
                            <a:chOff x="15" y="6246"/>
                            <a:chExt cx="6679" cy="2"/>
                          </a:xfrm>
                        </wpg:grpSpPr>
                        <wps:wsp>
                          <wps:cNvPr id="18035" name="Freeform 8784"/>
                          <wps:cNvSpPr>
                            <a:spLocks/>
                          </wps:cNvSpPr>
                          <wps:spPr bwMode="auto">
                            <a:xfrm>
                              <a:off x="15" y="6246"/>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36" name="Group 8781"/>
                        <wpg:cNvGrpSpPr>
                          <a:grpSpLocks/>
                        </wpg:cNvGrpSpPr>
                        <wpg:grpSpPr bwMode="auto">
                          <a:xfrm>
                            <a:off x="9871" y="6368"/>
                            <a:ext cx="1014" cy="2"/>
                            <a:chOff x="9871" y="6368"/>
                            <a:chExt cx="1014" cy="2"/>
                          </a:xfrm>
                        </wpg:grpSpPr>
                        <wps:wsp>
                          <wps:cNvPr id="18037" name="Freeform 8782"/>
                          <wps:cNvSpPr>
                            <a:spLocks/>
                          </wps:cNvSpPr>
                          <wps:spPr bwMode="auto">
                            <a:xfrm>
                              <a:off x="9871" y="6368"/>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38" name="Group 8779"/>
                        <wpg:cNvGrpSpPr>
                          <a:grpSpLocks/>
                        </wpg:cNvGrpSpPr>
                        <wpg:grpSpPr bwMode="auto">
                          <a:xfrm>
                            <a:off x="15" y="6368"/>
                            <a:ext cx="6679" cy="2"/>
                            <a:chOff x="15" y="6368"/>
                            <a:chExt cx="6679" cy="2"/>
                          </a:xfrm>
                        </wpg:grpSpPr>
                        <wps:wsp>
                          <wps:cNvPr id="18039" name="Freeform 8780"/>
                          <wps:cNvSpPr>
                            <a:spLocks/>
                          </wps:cNvSpPr>
                          <wps:spPr bwMode="auto">
                            <a:xfrm>
                              <a:off x="15" y="6368"/>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40" name="Group 8777"/>
                        <wpg:cNvGrpSpPr>
                          <a:grpSpLocks/>
                        </wpg:cNvGrpSpPr>
                        <wpg:grpSpPr bwMode="auto">
                          <a:xfrm>
                            <a:off x="9871" y="6490"/>
                            <a:ext cx="1014" cy="2"/>
                            <a:chOff x="9871" y="6490"/>
                            <a:chExt cx="1014" cy="2"/>
                          </a:xfrm>
                        </wpg:grpSpPr>
                        <wps:wsp>
                          <wps:cNvPr id="18041" name="Freeform 8778"/>
                          <wps:cNvSpPr>
                            <a:spLocks/>
                          </wps:cNvSpPr>
                          <wps:spPr bwMode="auto">
                            <a:xfrm>
                              <a:off x="9871" y="6490"/>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42" name="Group 8775"/>
                        <wpg:cNvGrpSpPr>
                          <a:grpSpLocks/>
                        </wpg:cNvGrpSpPr>
                        <wpg:grpSpPr bwMode="auto">
                          <a:xfrm>
                            <a:off x="15" y="6490"/>
                            <a:ext cx="6679" cy="2"/>
                            <a:chOff x="15" y="6490"/>
                            <a:chExt cx="6679" cy="2"/>
                          </a:xfrm>
                        </wpg:grpSpPr>
                        <wps:wsp>
                          <wps:cNvPr id="18043" name="Freeform 8776"/>
                          <wps:cNvSpPr>
                            <a:spLocks/>
                          </wps:cNvSpPr>
                          <wps:spPr bwMode="auto">
                            <a:xfrm>
                              <a:off x="15" y="6490"/>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44" name="Group 8773"/>
                        <wpg:cNvGrpSpPr>
                          <a:grpSpLocks/>
                        </wpg:cNvGrpSpPr>
                        <wpg:grpSpPr bwMode="auto">
                          <a:xfrm>
                            <a:off x="9871" y="6612"/>
                            <a:ext cx="1014" cy="2"/>
                            <a:chOff x="9871" y="6612"/>
                            <a:chExt cx="1014" cy="2"/>
                          </a:xfrm>
                        </wpg:grpSpPr>
                        <wps:wsp>
                          <wps:cNvPr id="18045" name="Freeform 8774"/>
                          <wps:cNvSpPr>
                            <a:spLocks/>
                          </wps:cNvSpPr>
                          <wps:spPr bwMode="auto">
                            <a:xfrm>
                              <a:off x="9871" y="6612"/>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46" name="Group 8771"/>
                        <wpg:cNvGrpSpPr>
                          <a:grpSpLocks/>
                        </wpg:cNvGrpSpPr>
                        <wpg:grpSpPr bwMode="auto">
                          <a:xfrm>
                            <a:off x="15" y="6612"/>
                            <a:ext cx="6679" cy="2"/>
                            <a:chOff x="15" y="6612"/>
                            <a:chExt cx="6679" cy="2"/>
                          </a:xfrm>
                        </wpg:grpSpPr>
                        <wps:wsp>
                          <wps:cNvPr id="18047" name="Freeform 8772"/>
                          <wps:cNvSpPr>
                            <a:spLocks/>
                          </wps:cNvSpPr>
                          <wps:spPr bwMode="auto">
                            <a:xfrm>
                              <a:off x="15" y="6612"/>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48" name="Group 8769"/>
                        <wpg:cNvGrpSpPr>
                          <a:grpSpLocks/>
                        </wpg:cNvGrpSpPr>
                        <wpg:grpSpPr bwMode="auto">
                          <a:xfrm>
                            <a:off x="9871" y="6734"/>
                            <a:ext cx="1014" cy="2"/>
                            <a:chOff x="9871" y="6734"/>
                            <a:chExt cx="1014" cy="2"/>
                          </a:xfrm>
                        </wpg:grpSpPr>
                        <wps:wsp>
                          <wps:cNvPr id="18049" name="Freeform 8770"/>
                          <wps:cNvSpPr>
                            <a:spLocks/>
                          </wps:cNvSpPr>
                          <wps:spPr bwMode="auto">
                            <a:xfrm>
                              <a:off x="9871" y="6734"/>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50" name="Group 8767"/>
                        <wpg:cNvGrpSpPr>
                          <a:grpSpLocks/>
                        </wpg:cNvGrpSpPr>
                        <wpg:grpSpPr bwMode="auto">
                          <a:xfrm>
                            <a:off x="15" y="6734"/>
                            <a:ext cx="6679" cy="2"/>
                            <a:chOff x="15" y="6734"/>
                            <a:chExt cx="6679" cy="2"/>
                          </a:xfrm>
                        </wpg:grpSpPr>
                        <wps:wsp>
                          <wps:cNvPr id="18051" name="Freeform 8768"/>
                          <wps:cNvSpPr>
                            <a:spLocks/>
                          </wps:cNvSpPr>
                          <wps:spPr bwMode="auto">
                            <a:xfrm>
                              <a:off x="15" y="6734"/>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52" name="Group 8765"/>
                        <wpg:cNvGrpSpPr>
                          <a:grpSpLocks/>
                        </wpg:cNvGrpSpPr>
                        <wpg:grpSpPr bwMode="auto">
                          <a:xfrm>
                            <a:off x="9871" y="6857"/>
                            <a:ext cx="1014" cy="2"/>
                            <a:chOff x="9871" y="6857"/>
                            <a:chExt cx="1014" cy="2"/>
                          </a:xfrm>
                        </wpg:grpSpPr>
                        <wps:wsp>
                          <wps:cNvPr id="18053" name="Freeform 8766"/>
                          <wps:cNvSpPr>
                            <a:spLocks/>
                          </wps:cNvSpPr>
                          <wps:spPr bwMode="auto">
                            <a:xfrm>
                              <a:off x="9871" y="6857"/>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54" name="Group 8763"/>
                        <wpg:cNvGrpSpPr>
                          <a:grpSpLocks/>
                        </wpg:cNvGrpSpPr>
                        <wpg:grpSpPr bwMode="auto">
                          <a:xfrm>
                            <a:off x="1022" y="6857"/>
                            <a:ext cx="2" cy="856"/>
                            <a:chOff x="1022" y="6857"/>
                            <a:chExt cx="2" cy="856"/>
                          </a:xfrm>
                        </wpg:grpSpPr>
                        <wps:wsp>
                          <wps:cNvPr id="18055" name="Freeform 8764"/>
                          <wps:cNvSpPr>
                            <a:spLocks/>
                          </wps:cNvSpPr>
                          <wps:spPr bwMode="auto">
                            <a:xfrm>
                              <a:off x="1022" y="6857"/>
                              <a:ext cx="2" cy="856"/>
                            </a:xfrm>
                            <a:custGeom>
                              <a:avLst/>
                              <a:gdLst>
                                <a:gd name="T0" fmla="*/ 0 w 2"/>
                                <a:gd name="T1" fmla="*/ 6857 h 856"/>
                                <a:gd name="T2" fmla="*/ 0 w 2"/>
                                <a:gd name="T3" fmla="*/ 7712 h 856"/>
                                <a:gd name="T4" fmla="*/ 0 60000 65536"/>
                                <a:gd name="T5" fmla="*/ 0 60000 65536"/>
                              </a:gdLst>
                              <a:ahLst/>
                              <a:cxnLst>
                                <a:cxn ang="T4">
                                  <a:pos x="T0" y="T1"/>
                                </a:cxn>
                                <a:cxn ang="T5">
                                  <a:pos x="T2" y="T3"/>
                                </a:cxn>
                              </a:cxnLst>
                              <a:rect l="0" t="0" r="r" b="b"/>
                              <a:pathLst>
                                <a:path w="2" h="856">
                                  <a:moveTo>
                                    <a:pt x="0" y="0"/>
                                  </a:moveTo>
                                  <a:lnTo>
                                    <a:pt x="0" y="855"/>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56" name="Group 8761"/>
                        <wpg:cNvGrpSpPr>
                          <a:grpSpLocks/>
                        </wpg:cNvGrpSpPr>
                        <wpg:grpSpPr bwMode="auto">
                          <a:xfrm>
                            <a:off x="15" y="6857"/>
                            <a:ext cx="6679" cy="2"/>
                            <a:chOff x="15" y="6857"/>
                            <a:chExt cx="6679" cy="2"/>
                          </a:xfrm>
                        </wpg:grpSpPr>
                        <wps:wsp>
                          <wps:cNvPr id="18057" name="Freeform 8762"/>
                          <wps:cNvSpPr>
                            <a:spLocks/>
                          </wps:cNvSpPr>
                          <wps:spPr bwMode="auto">
                            <a:xfrm>
                              <a:off x="15" y="6857"/>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58" name="Group 8759"/>
                        <wpg:cNvGrpSpPr>
                          <a:grpSpLocks/>
                        </wpg:cNvGrpSpPr>
                        <wpg:grpSpPr bwMode="auto">
                          <a:xfrm>
                            <a:off x="9871" y="6979"/>
                            <a:ext cx="1014" cy="2"/>
                            <a:chOff x="9871" y="6979"/>
                            <a:chExt cx="1014" cy="2"/>
                          </a:xfrm>
                        </wpg:grpSpPr>
                        <wps:wsp>
                          <wps:cNvPr id="18059" name="Freeform 8760"/>
                          <wps:cNvSpPr>
                            <a:spLocks/>
                          </wps:cNvSpPr>
                          <wps:spPr bwMode="auto">
                            <a:xfrm>
                              <a:off x="9871" y="6979"/>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60" name="Group 8757"/>
                        <wpg:cNvGrpSpPr>
                          <a:grpSpLocks/>
                        </wpg:cNvGrpSpPr>
                        <wpg:grpSpPr bwMode="auto">
                          <a:xfrm>
                            <a:off x="15" y="6979"/>
                            <a:ext cx="6679" cy="2"/>
                            <a:chOff x="15" y="6979"/>
                            <a:chExt cx="6679" cy="2"/>
                          </a:xfrm>
                        </wpg:grpSpPr>
                        <wps:wsp>
                          <wps:cNvPr id="18061" name="Freeform 8758"/>
                          <wps:cNvSpPr>
                            <a:spLocks/>
                          </wps:cNvSpPr>
                          <wps:spPr bwMode="auto">
                            <a:xfrm>
                              <a:off x="15" y="6979"/>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62" name="Group 8755"/>
                        <wpg:cNvGrpSpPr>
                          <a:grpSpLocks/>
                        </wpg:cNvGrpSpPr>
                        <wpg:grpSpPr bwMode="auto">
                          <a:xfrm>
                            <a:off x="9871" y="7101"/>
                            <a:ext cx="1014" cy="2"/>
                            <a:chOff x="9871" y="7101"/>
                            <a:chExt cx="1014" cy="2"/>
                          </a:xfrm>
                        </wpg:grpSpPr>
                        <wps:wsp>
                          <wps:cNvPr id="18063" name="Freeform 8756"/>
                          <wps:cNvSpPr>
                            <a:spLocks/>
                          </wps:cNvSpPr>
                          <wps:spPr bwMode="auto">
                            <a:xfrm>
                              <a:off x="9871" y="7101"/>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64" name="Group 8753"/>
                        <wpg:cNvGrpSpPr>
                          <a:grpSpLocks/>
                        </wpg:cNvGrpSpPr>
                        <wpg:grpSpPr bwMode="auto">
                          <a:xfrm>
                            <a:off x="15" y="7101"/>
                            <a:ext cx="6679" cy="2"/>
                            <a:chOff x="15" y="7101"/>
                            <a:chExt cx="6679" cy="2"/>
                          </a:xfrm>
                        </wpg:grpSpPr>
                        <wps:wsp>
                          <wps:cNvPr id="18065" name="Freeform 8754"/>
                          <wps:cNvSpPr>
                            <a:spLocks/>
                          </wps:cNvSpPr>
                          <wps:spPr bwMode="auto">
                            <a:xfrm>
                              <a:off x="15" y="7101"/>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66" name="Group 8751"/>
                        <wpg:cNvGrpSpPr>
                          <a:grpSpLocks/>
                        </wpg:cNvGrpSpPr>
                        <wpg:grpSpPr bwMode="auto">
                          <a:xfrm>
                            <a:off x="9871" y="7223"/>
                            <a:ext cx="1014" cy="2"/>
                            <a:chOff x="9871" y="7223"/>
                            <a:chExt cx="1014" cy="2"/>
                          </a:xfrm>
                        </wpg:grpSpPr>
                        <wps:wsp>
                          <wps:cNvPr id="18067" name="Freeform 8752"/>
                          <wps:cNvSpPr>
                            <a:spLocks/>
                          </wps:cNvSpPr>
                          <wps:spPr bwMode="auto">
                            <a:xfrm>
                              <a:off x="9871" y="7223"/>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68" name="Group 8749"/>
                        <wpg:cNvGrpSpPr>
                          <a:grpSpLocks/>
                        </wpg:cNvGrpSpPr>
                        <wpg:grpSpPr bwMode="auto">
                          <a:xfrm>
                            <a:off x="15" y="7223"/>
                            <a:ext cx="6679" cy="2"/>
                            <a:chOff x="15" y="7223"/>
                            <a:chExt cx="6679" cy="2"/>
                          </a:xfrm>
                        </wpg:grpSpPr>
                        <wps:wsp>
                          <wps:cNvPr id="18069" name="Freeform 8750"/>
                          <wps:cNvSpPr>
                            <a:spLocks/>
                          </wps:cNvSpPr>
                          <wps:spPr bwMode="auto">
                            <a:xfrm>
                              <a:off x="15" y="7223"/>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70" name="Group 8747"/>
                        <wpg:cNvGrpSpPr>
                          <a:grpSpLocks/>
                        </wpg:cNvGrpSpPr>
                        <wpg:grpSpPr bwMode="auto">
                          <a:xfrm>
                            <a:off x="9871" y="7345"/>
                            <a:ext cx="1014" cy="2"/>
                            <a:chOff x="9871" y="7345"/>
                            <a:chExt cx="1014" cy="2"/>
                          </a:xfrm>
                        </wpg:grpSpPr>
                        <wps:wsp>
                          <wps:cNvPr id="18071" name="Freeform 8748"/>
                          <wps:cNvSpPr>
                            <a:spLocks/>
                          </wps:cNvSpPr>
                          <wps:spPr bwMode="auto">
                            <a:xfrm>
                              <a:off x="9871" y="7345"/>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72" name="Group 8745"/>
                        <wpg:cNvGrpSpPr>
                          <a:grpSpLocks/>
                        </wpg:cNvGrpSpPr>
                        <wpg:grpSpPr bwMode="auto">
                          <a:xfrm>
                            <a:off x="15" y="7345"/>
                            <a:ext cx="6679" cy="2"/>
                            <a:chOff x="15" y="7345"/>
                            <a:chExt cx="6679" cy="2"/>
                          </a:xfrm>
                        </wpg:grpSpPr>
                        <wps:wsp>
                          <wps:cNvPr id="18073" name="Freeform 8746"/>
                          <wps:cNvSpPr>
                            <a:spLocks/>
                          </wps:cNvSpPr>
                          <wps:spPr bwMode="auto">
                            <a:xfrm>
                              <a:off x="15" y="7345"/>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74" name="Group 8743"/>
                        <wpg:cNvGrpSpPr>
                          <a:grpSpLocks/>
                        </wpg:cNvGrpSpPr>
                        <wpg:grpSpPr bwMode="auto">
                          <a:xfrm>
                            <a:off x="9871" y="7467"/>
                            <a:ext cx="1014" cy="2"/>
                            <a:chOff x="9871" y="7467"/>
                            <a:chExt cx="1014" cy="2"/>
                          </a:xfrm>
                        </wpg:grpSpPr>
                        <wps:wsp>
                          <wps:cNvPr id="18075" name="Freeform 8744"/>
                          <wps:cNvSpPr>
                            <a:spLocks/>
                          </wps:cNvSpPr>
                          <wps:spPr bwMode="auto">
                            <a:xfrm>
                              <a:off x="9871" y="7467"/>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76" name="Group 8741"/>
                        <wpg:cNvGrpSpPr>
                          <a:grpSpLocks/>
                        </wpg:cNvGrpSpPr>
                        <wpg:grpSpPr bwMode="auto">
                          <a:xfrm>
                            <a:off x="15" y="7467"/>
                            <a:ext cx="6679" cy="2"/>
                            <a:chOff x="15" y="7467"/>
                            <a:chExt cx="6679" cy="2"/>
                          </a:xfrm>
                        </wpg:grpSpPr>
                        <wps:wsp>
                          <wps:cNvPr id="18077" name="Freeform 8742"/>
                          <wps:cNvSpPr>
                            <a:spLocks/>
                          </wps:cNvSpPr>
                          <wps:spPr bwMode="auto">
                            <a:xfrm>
                              <a:off x="15" y="7467"/>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78" name="Group 8739"/>
                        <wpg:cNvGrpSpPr>
                          <a:grpSpLocks/>
                        </wpg:cNvGrpSpPr>
                        <wpg:grpSpPr bwMode="auto">
                          <a:xfrm>
                            <a:off x="9871" y="7589"/>
                            <a:ext cx="1014" cy="2"/>
                            <a:chOff x="9871" y="7589"/>
                            <a:chExt cx="1014" cy="2"/>
                          </a:xfrm>
                        </wpg:grpSpPr>
                        <wps:wsp>
                          <wps:cNvPr id="18079" name="Freeform 8740"/>
                          <wps:cNvSpPr>
                            <a:spLocks/>
                          </wps:cNvSpPr>
                          <wps:spPr bwMode="auto">
                            <a:xfrm>
                              <a:off x="9871" y="7589"/>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80" name="Group 8737"/>
                        <wpg:cNvGrpSpPr>
                          <a:grpSpLocks/>
                        </wpg:cNvGrpSpPr>
                        <wpg:grpSpPr bwMode="auto">
                          <a:xfrm>
                            <a:off x="15" y="7589"/>
                            <a:ext cx="6679" cy="2"/>
                            <a:chOff x="15" y="7589"/>
                            <a:chExt cx="6679" cy="2"/>
                          </a:xfrm>
                        </wpg:grpSpPr>
                        <wps:wsp>
                          <wps:cNvPr id="18081" name="Freeform 8738"/>
                          <wps:cNvSpPr>
                            <a:spLocks/>
                          </wps:cNvSpPr>
                          <wps:spPr bwMode="auto">
                            <a:xfrm>
                              <a:off x="15" y="7589"/>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82" name="Group 8735"/>
                        <wpg:cNvGrpSpPr>
                          <a:grpSpLocks/>
                        </wpg:cNvGrpSpPr>
                        <wpg:grpSpPr bwMode="auto">
                          <a:xfrm>
                            <a:off x="9871" y="7712"/>
                            <a:ext cx="1014" cy="2"/>
                            <a:chOff x="9871" y="7712"/>
                            <a:chExt cx="1014" cy="2"/>
                          </a:xfrm>
                        </wpg:grpSpPr>
                        <wps:wsp>
                          <wps:cNvPr id="18083" name="Freeform 8736"/>
                          <wps:cNvSpPr>
                            <a:spLocks/>
                          </wps:cNvSpPr>
                          <wps:spPr bwMode="auto">
                            <a:xfrm>
                              <a:off x="9871" y="7712"/>
                              <a:ext cx="1014" cy="2"/>
                            </a:xfrm>
                            <a:custGeom>
                              <a:avLst/>
                              <a:gdLst>
                                <a:gd name="T0" fmla="*/ 0 w 1014"/>
                                <a:gd name="T1" fmla="*/ 0 h 2"/>
                                <a:gd name="T2" fmla="*/ 1014 w 1014"/>
                                <a:gd name="T3" fmla="*/ 0 h 2"/>
                                <a:gd name="T4" fmla="*/ 0 60000 65536"/>
                                <a:gd name="T5" fmla="*/ 0 60000 65536"/>
                              </a:gdLst>
                              <a:ahLst/>
                              <a:cxnLst>
                                <a:cxn ang="T4">
                                  <a:pos x="T0" y="T1"/>
                                </a:cxn>
                                <a:cxn ang="T5">
                                  <a:pos x="T2" y="T3"/>
                                </a:cxn>
                              </a:cxnLst>
                              <a:rect l="0" t="0" r="r" b="b"/>
                              <a:pathLst>
                                <a:path w="1014" h="2">
                                  <a:moveTo>
                                    <a:pt x="0" y="0"/>
                                  </a:moveTo>
                                  <a:lnTo>
                                    <a:pt x="1014"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84" name="Group 8733"/>
                        <wpg:cNvGrpSpPr>
                          <a:grpSpLocks/>
                        </wpg:cNvGrpSpPr>
                        <wpg:grpSpPr bwMode="auto">
                          <a:xfrm>
                            <a:off x="15" y="7712"/>
                            <a:ext cx="6679" cy="2"/>
                            <a:chOff x="15" y="7712"/>
                            <a:chExt cx="6679" cy="2"/>
                          </a:xfrm>
                        </wpg:grpSpPr>
                        <wps:wsp>
                          <wps:cNvPr id="18085" name="Freeform 8734"/>
                          <wps:cNvSpPr>
                            <a:spLocks/>
                          </wps:cNvSpPr>
                          <wps:spPr bwMode="auto">
                            <a:xfrm>
                              <a:off x="15" y="7712"/>
                              <a:ext cx="6679" cy="2"/>
                            </a:xfrm>
                            <a:custGeom>
                              <a:avLst/>
                              <a:gdLst>
                                <a:gd name="T0" fmla="*/ 0 w 6679"/>
                                <a:gd name="T1" fmla="*/ 0 h 2"/>
                                <a:gd name="T2" fmla="*/ 6678 w 6679"/>
                                <a:gd name="T3" fmla="*/ 0 h 2"/>
                                <a:gd name="T4" fmla="*/ 0 60000 65536"/>
                                <a:gd name="T5" fmla="*/ 0 60000 65536"/>
                              </a:gdLst>
                              <a:ahLst/>
                              <a:cxnLst>
                                <a:cxn ang="T4">
                                  <a:pos x="T0" y="T1"/>
                                </a:cxn>
                                <a:cxn ang="T5">
                                  <a:pos x="T2" y="T3"/>
                                </a:cxn>
                              </a:cxnLst>
                              <a:rect l="0" t="0" r="r" b="b"/>
                              <a:pathLst>
                                <a:path w="6679" h="2">
                                  <a:moveTo>
                                    <a:pt x="0" y="0"/>
                                  </a:moveTo>
                                  <a:lnTo>
                                    <a:pt x="6678"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86" name="Group 8731"/>
                        <wpg:cNvGrpSpPr>
                          <a:grpSpLocks/>
                        </wpg:cNvGrpSpPr>
                        <wpg:grpSpPr bwMode="auto">
                          <a:xfrm>
                            <a:off x="1022" y="7834"/>
                            <a:ext cx="2" cy="1711"/>
                            <a:chOff x="1022" y="7834"/>
                            <a:chExt cx="2" cy="1711"/>
                          </a:xfrm>
                        </wpg:grpSpPr>
                        <wps:wsp>
                          <wps:cNvPr id="18087" name="Freeform 8732"/>
                          <wps:cNvSpPr>
                            <a:spLocks/>
                          </wps:cNvSpPr>
                          <wps:spPr bwMode="auto">
                            <a:xfrm>
                              <a:off x="1022" y="7834"/>
                              <a:ext cx="2" cy="1711"/>
                            </a:xfrm>
                            <a:custGeom>
                              <a:avLst/>
                              <a:gdLst>
                                <a:gd name="T0" fmla="*/ 0 w 2"/>
                                <a:gd name="T1" fmla="*/ 7834 h 1711"/>
                                <a:gd name="T2" fmla="*/ 0 w 2"/>
                                <a:gd name="T3" fmla="*/ 9545 h 1711"/>
                                <a:gd name="T4" fmla="*/ 0 60000 65536"/>
                                <a:gd name="T5" fmla="*/ 0 60000 65536"/>
                              </a:gdLst>
                              <a:ahLst/>
                              <a:cxnLst>
                                <a:cxn ang="T4">
                                  <a:pos x="T0" y="T1"/>
                                </a:cxn>
                                <a:cxn ang="T5">
                                  <a:pos x="T2" y="T3"/>
                                </a:cxn>
                              </a:cxnLst>
                              <a:rect l="0" t="0" r="r" b="b"/>
                              <a:pathLst>
                                <a:path w="2" h="1711">
                                  <a:moveTo>
                                    <a:pt x="0" y="0"/>
                                  </a:moveTo>
                                  <a:lnTo>
                                    <a:pt x="0" y="1711"/>
                                  </a:lnTo>
                                </a:path>
                              </a:pathLst>
                            </a:custGeom>
                            <a:noFill/>
                            <a:ln w="20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88" name="Group 8729"/>
                        <wpg:cNvGrpSpPr>
                          <a:grpSpLocks/>
                        </wpg:cNvGrpSpPr>
                        <wpg:grpSpPr bwMode="auto">
                          <a:xfrm>
                            <a:off x="15" y="7834"/>
                            <a:ext cx="10870" cy="2"/>
                            <a:chOff x="15" y="7834"/>
                            <a:chExt cx="10870" cy="2"/>
                          </a:xfrm>
                        </wpg:grpSpPr>
                        <wps:wsp>
                          <wps:cNvPr id="18089" name="Freeform 8730"/>
                          <wps:cNvSpPr>
                            <a:spLocks/>
                          </wps:cNvSpPr>
                          <wps:spPr bwMode="auto">
                            <a:xfrm>
                              <a:off x="15" y="7834"/>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90" name="Group 8727"/>
                        <wpg:cNvGrpSpPr>
                          <a:grpSpLocks/>
                        </wpg:cNvGrpSpPr>
                        <wpg:grpSpPr bwMode="auto">
                          <a:xfrm>
                            <a:off x="15" y="7956"/>
                            <a:ext cx="10870" cy="2"/>
                            <a:chOff x="15" y="7956"/>
                            <a:chExt cx="10870" cy="2"/>
                          </a:xfrm>
                        </wpg:grpSpPr>
                        <wps:wsp>
                          <wps:cNvPr id="18091" name="Freeform 8728"/>
                          <wps:cNvSpPr>
                            <a:spLocks/>
                          </wps:cNvSpPr>
                          <wps:spPr bwMode="auto">
                            <a:xfrm>
                              <a:off x="15" y="7956"/>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92" name="Group 8725"/>
                        <wpg:cNvGrpSpPr>
                          <a:grpSpLocks/>
                        </wpg:cNvGrpSpPr>
                        <wpg:grpSpPr bwMode="auto">
                          <a:xfrm>
                            <a:off x="15" y="8078"/>
                            <a:ext cx="10870" cy="2"/>
                            <a:chOff x="15" y="8078"/>
                            <a:chExt cx="10870" cy="2"/>
                          </a:xfrm>
                        </wpg:grpSpPr>
                        <wps:wsp>
                          <wps:cNvPr id="18093" name="Freeform 8726"/>
                          <wps:cNvSpPr>
                            <a:spLocks/>
                          </wps:cNvSpPr>
                          <wps:spPr bwMode="auto">
                            <a:xfrm>
                              <a:off x="15" y="8078"/>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94" name="Group 8723"/>
                        <wpg:cNvGrpSpPr>
                          <a:grpSpLocks/>
                        </wpg:cNvGrpSpPr>
                        <wpg:grpSpPr bwMode="auto">
                          <a:xfrm>
                            <a:off x="15" y="8201"/>
                            <a:ext cx="10870" cy="2"/>
                            <a:chOff x="15" y="8201"/>
                            <a:chExt cx="10870" cy="2"/>
                          </a:xfrm>
                        </wpg:grpSpPr>
                        <wps:wsp>
                          <wps:cNvPr id="18095" name="Freeform 8724"/>
                          <wps:cNvSpPr>
                            <a:spLocks/>
                          </wps:cNvSpPr>
                          <wps:spPr bwMode="auto">
                            <a:xfrm>
                              <a:off x="15" y="8201"/>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96" name="Group 8721"/>
                        <wpg:cNvGrpSpPr>
                          <a:grpSpLocks/>
                        </wpg:cNvGrpSpPr>
                        <wpg:grpSpPr bwMode="auto">
                          <a:xfrm>
                            <a:off x="15" y="8323"/>
                            <a:ext cx="10870" cy="2"/>
                            <a:chOff x="15" y="8323"/>
                            <a:chExt cx="10870" cy="2"/>
                          </a:xfrm>
                        </wpg:grpSpPr>
                        <wps:wsp>
                          <wps:cNvPr id="18097" name="Freeform 8722"/>
                          <wps:cNvSpPr>
                            <a:spLocks/>
                          </wps:cNvSpPr>
                          <wps:spPr bwMode="auto">
                            <a:xfrm>
                              <a:off x="15" y="8323"/>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098" name="Group 8719"/>
                        <wpg:cNvGrpSpPr>
                          <a:grpSpLocks/>
                        </wpg:cNvGrpSpPr>
                        <wpg:grpSpPr bwMode="auto">
                          <a:xfrm>
                            <a:off x="15" y="8445"/>
                            <a:ext cx="10870" cy="2"/>
                            <a:chOff x="15" y="8445"/>
                            <a:chExt cx="10870" cy="2"/>
                          </a:xfrm>
                        </wpg:grpSpPr>
                        <wps:wsp>
                          <wps:cNvPr id="18099" name="Freeform 8720"/>
                          <wps:cNvSpPr>
                            <a:spLocks/>
                          </wps:cNvSpPr>
                          <wps:spPr bwMode="auto">
                            <a:xfrm>
                              <a:off x="15" y="8445"/>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00" name="Group 8717"/>
                        <wpg:cNvGrpSpPr>
                          <a:grpSpLocks/>
                        </wpg:cNvGrpSpPr>
                        <wpg:grpSpPr bwMode="auto">
                          <a:xfrm>
                            <a:off x="15" y="8567"/>
                            <a:ext cx="10870" cy="2"/>
                            <a:chOff x="15" y="8567"/>
                            <a:chExt cx="10870" cy="2"/>
                          </a:xfrm>
                        </wpg:grpSpPr>
                        <wps:wsp>
                          <wps:cNvPr id="18101" name="Freeform 8718"/>
                          <wps:cNvSpPr>
                            <a:spLocks/>
                          </wps:cNvSpPr>
                          <wps:spPr bwMode="auto">
                            <a:xfrm>
                              <a:off x="15" y="8567"/>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02" name="Group 8715"/>
                        <wpg:cNvGrpSpPr>
                          <a:grpSpLocks/>
                        </wpg:cNvGrpSpPr>
                        <wpg:grpSpPr bwMode="auto">
                          <a:xfrm>
                            <a:off x="15" y="8689"/>
                            <a:ext cx="10870" cy="2"/>
                            <a:chOff x="15" y="8689"/>
                            <a:chExt cx="10870" cy="2"/>
                          </a:xfrm>
                        </wpg:grpSpPr>
                        <wps:wsp>
                          <wps:cNvPr id="18103" name="Freeform 8716"/>
                          <wps:cNvSpPr>
                            <a:spLocks/>
                          </wps:cNvSpPr>
                          <wps:spPr bwMode="auto">
                            <a:xfrm>
                              <a:off x="15" y="8689"/>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04" name="Group 8713"/>
                        <wpg:cNvGrpSpPr>
                          <a:grpSpLocks/>
                        </wpg:cNvGrpSpPr>
                        <wpg:grpSpPr bwMode="auto">
                          <a:xfrm>
                            <a:off x="15" y="8811"/>
                            <a:ext cx="10870" cy="2"/>
                            <a:chOff x="15" y="8811"/>
                            <a:chExt cx="10870" cy="2"/>
                          </a:xfrm>
                        </wpg:grpSpPr>
                        <wps:wsp>
                          <wps:cNvPr id="18105" name="Freeform 8714"/>
                          <wps:cNvSpPr>
                            <a:spLocks/>
                          </wps:cNvSpPr>
                          <wps:spPr bwMode="auto">
                            <a:xfrm>
                              <a:off x="15" y="8811"/>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06" name="Group 8711"/>
                        <wpg:cNvGrpSpPr>
                          <a:grpSpLocks/>
                        </wpg:cNvGrpSpPr>
                        <wpg:grpSpPr bwMode="auto">
                          <a:xfrm>
                            <a:off x="15" y="8933"/>
                            <a:ext cx="10870" cy="2"/>
                            <a:chOff x="15" y="8933"/>
                            <a:chExt cx="10870" cy="2"/>
                          </a:xfrm>
                        </wpg:grpSpPr>
                        <wps:wsp>
                          <wps:cNvPr id="18107" name="Freeform 8712"/>
                          <wps:cNvSpPr>
                            <a:spLocks/>
                          </wps:cNvSpPr>
                          <wps:spPr bwMode="auto">
                            <a:xfrm>
                              <a:off x="15" y="8933"/>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08" name="Group 8709"/>
                        <wpg:cNvGrpSpPr>
                          <a:grpSpLocks/>
                        </wpg:cNvGrpSpPr>
                        <wpg:grpSpPr bwMode="auto">
                          <a:xfrm>
                            <a:off x="15" y="9056"/>
                            <a:ext cx="10870" cy="2"/>
                            <a:chOff x="15" y="9056"/>
                            <a:chExt cx="10870" cy="2"/>
                          </a:xfrm>
                        </wpg:grpSpPr>
                        <wps:wsp>
                          <wps:cNvPr id="18109" name="Freeform 8710"/>
                          <wps:cNvSpPr>
                            <a:spLocks/>
                          </wps:cNvSpPr>
                          <wps:spPr bwMode="auto">
                            <a:xfrm>
                              <a:off x="15" y="9056"/>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10" name="Group 8707"/>
                        <wpg:cNvGrpSpPr>
                          <a:grpSpLocks/>
                        </wpg:cNvGrpSpPr>
                        <wpg:grpSpPr bwMode="auto">
                          <a:xfrm>
                            <a:off x="15" y="9178"/>
                            <a:ext cx="10870" cy="2"/>
                            <a:chOff x="15" y="9178"/>
                            <a:chExt cx="10870" cy="2"/>
                          </a:xfrm>
                        </wpg:grpSpPr>
                        <wps:wsp>
                          <wps:cNvPr id="18111" name="Freeform 8708"/>
                          <wps:cNvSpPr>
                            <a:spLocks/>
                          </wps:cNvSpPr>
                          <wps:spPr bwMode="auto">
                            <a:xfrm>
                              <a:off x="15" y="9178"/>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12" name="Group 8705"/>
                        <wpg:cNvGrpSpPr>
                          <a:grpSpLocks/>
                        </wpg:cNvGrpSpPr>
                        <wpg:grpSpPr bwMode="auto">
                          <a:xfrm>
                            <a:off x="15" y="9300"/>
                            <a:ext cx="10870" cy="2"/>
                            <a:chOff x="15" y="9300"/>
                            <a:chExt cx="10870" cy="2"/>
                          </a:xfrm>
                        </wpg:grpSpPr>
                        <wps:wsp>
                          <wps:cNvPr id="18113" name="Freeform 8706"/>
                          <wps:cNvSpPr>
                            <a:spLocks/>
                          </wps:cNvSpPr>
                          <wps:spPr bwMode="auto">
                            <a:xfrm>
                              <a:off x="15" y="9300"/>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14" name="Group 8703"/>
                        <wpg:cNvGrpSpPr>
                          <a:grpSpLocks/>
                        </wpg:cNvGrpSpPr>
                        <wpg:grpSpPr bwMode="auto">
                          <a:xfrm>
                            <a:off x="15" y="9422"/>
                            <a:ext cx="10870" cy="2"/>
                            <a:chOff x="15" y="9422"/>
                            <a:chExt cx="10870" cy="2"/>
                          </a:xfrm>
                        </wpg:grpSpPr>
                        <wps:wsp>
                          <wps:cNvPr id="18115" name="Freeform 8704"/>
                          <wps:cNvSpPr>
                            <a:spLocks/>
                          </wps:cNvSpPr>
                          <wps:spPr bwMode="auto">
                            <a:xfrm>
                              <a:off x="15" y="9422"/>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16" name="Group 8701"/>
                        <wpg:cNvGrpSpPr>
                          <a:grpSpLocks/>
                        </wpg:cNvGrpSpPr>
                        <wpg:grpSpPr bwMode="auto">
                          <a:xfrm>
                            <a:off x="15" y="9544"/>
                            <a:ext cx="10870" cy="2"/>
                            <a:chOff x="15" y="9544"/>
                            <a:chExt cx="10870" cy="2"/>
                          </a:xfrm>
                        </wpg:grpSpPr>
                        <wps:wsp>
                          <wps:cNvPr id="18117" name="Freeform 8702"/>
                          <wps:cNvSpPr>
                            <a:spLocks/>
                          </wps:cNvSpPr>
                          <wps:spPr bwMode="auto">
                            <a:xfrm>
                              <a:off x="15" y="9544"/>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18" name="Group 8699"/>
                        <wpg:cNvGrpSpPr>
                          <a:grpSpLocks/>
                        </wpg:cNvGrpSpPr>
                        <wpg:grpSpPr bwMode="auto">
                          <a:xfrm>
                            <a:off x="15" y="9666"/>
                            <a:ext cx="10870" cy="2"/>
                            <a:chOff x="15" y="9666"/>
                            <a:chExt cx="10870" cy="2"/>
                          </a:xfrm>
                        </wpg:grpSpPr>
                        <wps:wsp>
                          <wps:cNvPr id="18119" name="Freeform 8700"/>
                          <wps:cNvSpPr>
                            <a:spLocks/>
                          </wps:cNvSpPr>
                          <wps:spPr bwMode="auto">
                            <a:xfrm>
                              <a:off x="15" y="9666"/>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20" name="Group 8697"/>
                        <wpg:cNvGrpSpPr>
                          <a:grpSpLocks/>
                        </wpg:cNvGrpSpPr>
                        <wpg:grpSpPr bwMode="auto">
                          <a:xfrm>
                            <a:off x="15" y="9788"/>
                            <a:ext cx="10870" cy="2"/>
                            <a:chOff x="15" y="9788"/>
                            <a:chExt cx="10870" cy="2"/>
                          </a:xfrm>
                        </wpg:grpSpPr>
                        <wps:wsp>
                          <wps:cNvPr id="18121" name="Freeform 8698"/>
                          <wps:cNvSpPr>
                            <a:spLocks/>
                          </wps:cNvSpPr>
                          <wps:spPr bwMode="auto">
                            <a:xfrm>
                              <a:off x="15" y="9788"/>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22" name="Group 8695"/>
                        <wpg:cNvGrpSpPr>
                          <a:grpSpLocks/>
                        </wpg:cNvGrpSpPr>
                        <wpg:grpSpPr bwMode="auto">
                          <a:xfrm>
                            <a:off x="15" y="9911"/>
                            <a:ext cx="10870" cy="2"/>
                            <a:chOff x="15" y="9911"/>
                            <a:chExt cx="10870" cy="2"/>
                          </a:xfrm>
                        </wpg:grpSpPr>
                        <wps:wsp>
                          <wps:cNvPr id="18123" name="Freeform 8696"/>
                          <wps:cNvSpPr>
                            <a:spLocks/>
                          </wps:cNvSpPr>
                          <wps:spPr bwMode="auto">
                            <a:xfrm>
                              <a:off x="15" y="9911"/>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24" name="Group 8693"/>
                        <wpg:cNvGrpSpPr>
                          <a:grpSpLocks/>
                        </wpg:cNvGrpSpPr>
                        <wpg:grpSpPr bwMode="auto">
                          <a:xfrm>
                            <a:off x="15" y="10033"/>
                            <a:ext cx="10870" cy="2"/>
                            <a:chOff x="15" y="10033"/>
                            <a:chExt cx="10870" cy="2"/>
                          </a:xfrm>
                        </wpg:grpSpPr>
                        <wps:wsp>
                          <wps:cNvPr id="18125" name="Freeform 8694"/>
                          <wps:cNvSpPr>
                            <a:spLocks/>
                          </wps:cNvSpPr>
                          <wps:spPr bwMode="auto">
                            <a:xfrm>
                              <a:off x="15" y="10033"/>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26" name="Group 8691"/>
                        <wpg:cNvGrpSpPr>
                          <a:grpSpLocks/>
                        </wpg:cNvGrpSpPr>
                        <wpg:grpSpPr bwMode="auto">
                          <a:xfrm>
                            <a:off x="15" y="10155"/>
                            <a:ext cx="10870" cy="2"/>
                            <a:chOff x="15" y="10155"/>
                            <a:chExt cx="10870" cy="2"/>
                          </a:xfrm>
                        </wpg:grpSpPr>
                        <wps:wsp>
                          <wps:cNvPr id="18127" name="Freeform 8692"/>
                          <wps:cNvSpPr>
                            <a:spLocks/>
                          </wps:cNvSpPr>
                          <wps:spPr bwMode="auto">
                            <a:xfrm>
                              <a:off x="15" y="10155"/>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28" name="Group 8689"/>
                        <wpg:cNvGrpSpPr>
                          <a:grpSpLocks/>
                        </wpg:cNvGrpSpPr>
                        <wpg:grpSpPr bwMode="auto">
                          <a:xfrm>
                            <a:off x="15" y="10277"/>
                            <a:ext cx="10870" cy="2"/>
                            <a:chOff x="15" y="10277"/>
                            <a:chExt cx="10870" cy="2"/>
                          </a:xfrm>
                        </wpg:grpSpPr>
                        <wps:wsp>
                          <wps:cNvPr id="18129" name="Freeform 8690"/>
                          <wps:cNvSpPr>
                            <a:spLocks/>
                          </wps:cNvSpPr>
                          <wps:spPr bwMode="auto">
                            <a:xfrm>
                              <a:off x="15" y="10277"/>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30" name="Group 8687"/>
                        <wpg:cNvGrpSpPr>
                          <a:grpSpLocks/>
                        </wpg:cNvGrpSpPr>
                        <wpg:grpSpPr bwMode="auto">
                          <a:xfrm>
                            <a:off x="15" y="10399"/>
                            <a:ext cx="10870" cy="2"/>
                            <a:chOff x="15" y="10399"/>
                            <a:chExt cx="10870" cy="2"/>
                          </a:xfrm>
                        </wpg:grpSpPr>
                        <wps:wsp>
                          <wps:cNvPr id="18131" name="Freeform 8688"/>
                          <wps:cNvSpPr>
                            <a:spLocks/>
                          </wps:cNvSpPr>
                          <wps:spPr bwMode="auto">
                            <a:xfrm>
                              <a:off x="15" y="10399"/>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32" name="Group 8685"/>
                        <wpg:cNvGrpSpPr>
                          <a:grpSpLocks/>
                        </wpg:cNvGrpSpPr>
                        <wpg:grpSpPr bwMode="auto">
                          <a:xfrm>
                            <a:off x="15" y="10522"/>
                            <a:ext cx="10870" cy="2"/>
                            <a:chOff x="15" y="10522"/>
                            <a:chExt cx="10870" cy="2"/>
                          </a:xfrm>
                        </wpg:grpSpPr>
                        <wps:wsp>
                          <wps:cNvPr id="18133" name="Freeform 8686"/>
                          <wps:cNvSpPr>
                            <a:spLocks/>
                          </wps:cNvSpPr>
                          <wps:spPr bwMode="auto">
                            <a:xfrm>
                              <a:off x="15" y="10522"/>
                              <a:ext cx="10870" cy="2"/>
                            </a:xfrm>
                            <a:custGeom>
                              <a:avLst/>
                              <a:gdLst>
                                <a:gd name="T0" fmla="*/ 0 w 10870"/>
                                <a:gd name="T1" fmla="*/ 0 h 2"/>
                                <a:gd name="T2" fmla="*/ 10870 w 10870"/>
                                <a:gd name="T3" fmla="*/ 0 h 2"/>
                                <a:gd name="T4" fmla="*/ 0 60000 65536"/>
                                <a:gd name="T5" fmla="*/ 0 60000 65536"/>
                              </a:gdLst>
                              <a:ahLst/>
                              <a:cxnLst>
                                <a:cxn ang="T4">
                                  <a:pos x="T0" y="T1"/>
                                </a:cxn>
                                <a:cxn ang="T5">
                                  <a:pos x="T2" y="T3"/>
                                </a:cxn>
                              </a:cxnLst>
                              <a:rect l="0" t="0" r="r" b="b"/>
                              <a:pathLst>
                                <a:path w="10870" h="2">
                                  <a:moveTo>
                                    <a:pt x="0" y="0"/>
                                  </a:moveTo>
                                  <a:lnTo>
                                    <a:pt x="10870" y="0"/>
                                  </a:lnTo>
                                </a:path>
                              </a:pathLst>
                            </a:custGeom>
                            <a:noFill/>
                            <a:ln w="2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34" name="Group 8683"/>
                        <wpg:cNvGrpSpPr>
                          <a:grpSpLocks/>
                        </wpg:cNvGrpSpPr>
                        <wpg:grpSpPr bwMode="auto">
                          <a:xfrm>
                            <a:off x="10" y="10643"/>
                            <a:ext cx="10879" cy="2"/>
                            <a:chOff x="10" y="10643"/>
                            <a:chExt cx="10879" cy="2"/>
                          </a:xfrm>
                        </wpg:grpSpPr>
                        <wps:wsp>
                          <wps:cNvPr id="18135" name="Freeform 8684"/>
                          <wps:cNvSpPr>
                            <a:spLocks/>
                          </wps:cNvSpPr>
                          <wps:spPr bwMode="auto">
                            <a:xfrm>
                              <a:off x="10" y="10643"/>
                              <a:ext cx="10879" cy="2"/>
                            </a:xfrm>
                            <a:custGeom>
                              <a:avLst/>
                              <a:gdLst>
                                <a:gd name="T0" fmla="*/ 0 w 10879"/>
                                <a:gd name="T1" fmla="*/ 0 h 2"/>
                                <a:gd name="T2" fmla="*/ 10878 w 10879"/>
                                <a:gd name="T3" fmla="*/ 0 h 2"/>
                                <a:gd name="T4" fmla="*/ 0 60000 65536"/>
                                <a:gd name="T5" fmla="*/ 0 60000 65536"/>
                              </a:gdLst>
                              <a:ahLst/>
                              <a:cxnLst>
                                <a:cxn ang="T4">
                                  <a:pos x="T0" y="T1"/>
                                </a:cxn>
                                <a:cxn ang="T5">
                                  <a:pos x="T2" y="T3"/>
                                </a:cxn>
                              </a:cxnLst>
                              <a:rect l="0" t="0" r="r" b="b"/>
                              <a:pathLst>
                                <a:path w="10879" h="2">
                                  <a:moveTo>
                                    <a:pt x="0" y="0"/>
                                  </a:moveTo>
                                  <a:lnTo>
                                    <a:pt x="10878" y="0"/>
                                  </a:lnTo>
                                </a:path>
                              </a:pathLst>
                            </a:custGeom>
                            <a:noFill/>
                            <a:ln w="72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36" name="Group 8681"/>
                        <wpg:cNvGrpSpPr>
                          <a:grpSpLocks/>
                        </wpg:cNvGrpSpPr>
                        <wpg:grpSpPr bwMode="auto">
                          <a:xfrm>
                            <a:off x="6584" y="660"/>
                            <a:ext cx="3218" cy="1899"/>
                            <a:chOff x="6584" y="660"/>
                            <a:chExt cx="3218" cy="1899"/>
                          </a:xfrm>
                        </wpg:grpSpPr>
                        <wps:wsp>
                          <wps:cNvPr id="18137" name="Freeform 8682"/>
                          <wps:cNvSpPr>
                            <a:spLocks/>
                          </wps:cNvSpPr>
                          <wps:spPr bwMode="auto">
                            <a:xfrm>
                              <a:off x="6584" y="660"/>
                              <a:ext cx="3218" cy="1899"/>
                            </a:xfrm>
                            <a:custGeom>
                              <a:avLst/>
                              <a:gdLst>
                                <a:gd name="T0" fmla="*/ 0 w 3218"/>
                                <a:gd name="T1" fmla="*/ 2559 h 1899"/>
                                <a:gd name="T2" fmla="*/ 3217 w 3218"/>
                                <a:gd name="T3" fmla="*/ 2559 h 1899"/>
                                <a:gd name="T4" fmla="*/ 3217 w 3218"/>
                                <a:gd name="T5" fmla="*/ 660 h 1899"/>
                                <a:gd name="T6" fmla="*/ 0 w 3218"/>
                                <a:gd name="T7" fmla="*/ 660 h 1899"/>
                                <a:gd name="T8" fmla="*/ 0 w 3218"/>
                                <a:gd name="T9" fmla="*/ 2559 h 189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218" h="1899">
                                  <a:moveTo>
                                    <a:pt x="0" y="1899"/>
                                  </a:moveTo>
                                  <a:lnTo>
                                    <a:pt x="3217" y="1899"/>
                                  </a:lnTo>
                                  <a:lnTo>
                                    <a:pt x="3217" y="0"/>
                                  </a:lnTo>
                                  <a:lnTo>
                                    <a:pt x="0" y="0"/>
                                  </a:lnTo>
                                  <a:lnTo>
                                    <a:pt x="0" y="1899"/>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38" name="Group 8679"/>
                        <wpg:cNvGrpSpPr>
                          <a:grpSpLocks/>
                        </wpg:cNvGrpSpPr>
                        <wpg:grpSpPr bwMode="auto">
                          <a:xfrm>
                            <a:off x="6955" y="732"/>
                            <a:ext cx="2748" cy="1474"/>
                            <a:chOff x="6955" y="732"/>
                            <a:chExt cx="2748" cy="1474"/>
                          </a:xfrm>
                        </wpg:grpSpPr>
                        <wps:wsp>
                          <wps:cNvPr id="18139" name="Freeform 8680"/>
                          <wps:cNvSpPr>
                            <a:spLocks/>
                          </wps:cNvSpPr>
                          <wps:spPr bwMode="auto">
                            <a:xfrm>
                              <a:off x="6955" y="732"/>
                              <a:ext cx="2748" cy="1474"/>
                            </a:xfrm>
                            <a:custGeom>
                              <a:avLst/>
                              <a:gdLst>
                                <a:gd name="T0" fmla="*/ 0 w 2748"/>
                                <a:gd name="T1" fmla="*/ 2205 h 1474"/>
                                <a:gd name="T2" fmla="*/ 2747 w 2748"/>
                                <a:gd name="T3" fmla="*/ 2205 h 1474"/>
                                <a:gd name="T4" fmla="*/ 2747 w 2748"/>
                                <a:gd name="T5" fmla="*/ 732 h 1474"/>
                                <a:gd name="T6" fmla="*/ 0 w 2748"/>
                                <a:gd name="T7" fmla="*/ 732 h 1474"/>
                                <a:gd name="T8" fmla="*/ 0 w 2748"/>
                                <a:gd name="T9" fmla="*/ 2205 h 147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748" h="1474">
                                  <a:moveTo>
                                    <a:pt x="0" y="1473"/>
                                  </a:moveTo>
                                  <a:lnTo>
                                    <a:pt x="2747" y="1473"/>
                                  </a:lnTo>
                                  <a:lnTo>
                                    <a:pt x="2747" y="0"/>
                                  </a:lnTo>
                                  <a:lnTo>
                                    <a:pt x="0" y="0"/>
                                  </a:lnTo>
                                  <a:lnTo>
                                    <a:pt x="0" y="1473"/>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40" name="Group 8677"/>
                        <wpg:cNvGrpSpPr>
                          <a:grpSpLocks/>
                        </wpg:cNvGrpSpPr>
                        <wpg:grpSpPr bwMode="auto">
                          <a:xfrm>
                            <a:off x="6955" y="732"/>
                            <a:ext cx="2748" cy="1474"/>
                            <a:chOff x="6955" y="732"/>
                            <a:chExt cx="2748" cy="1474"/>
                          </a:xfrm>
                        </wpg:grpSpPr>
                        <wps:wsp>
                          <wps:cNvPr id="18141" name="Freeform 8678"/>
                          <wps:cNvSpPr>
                            <a:spLocks/>
                          </wps:cNvSpPr>
                          <wps:spPr bwMode="auto">
                            <a:xfrm>
                              <a:off x="6955" y="732"/>
                              <a:ext cx="2748" cy="1474"/>
                            </a:xfrm>
                            <a:custGeom>
                              <a:avLst/>
                              <a:gdLst>
                                <a:gd name="T0" fmla="*/ 0 w 2748"/>
                                <a:gd name="T1" fmla="*/ 732 h 1474"/>
                                <a:gd name="T2" fmla="*/ 2747 w 2748"/>
                                <a:gd name="T3" fmla="*/ 732 h 1474"/>
                                <a:gd name="T4" fmla="*/ 2747 w 2748"/>
                                <a:gd name="T5" fmla="*/ 2205 h 1474"/>
                                <a:gd name="T6" fmla="*/ 0 w 2748"/>
                                <a:gd name="T7" fmla="*/ 2205 h 1474"/>
                                <a:gd name="T8" fmla="*/ 0 w 2748"/>
                                <a:gd name="T9" fmla="*/ 732 h 147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748" h="1474">
                                  <a:moveTo>
                                    <a:pt x="0" y="0"/>
                                  </a:moveTo>
                                  <a:lnTo>
                                    <a:pt x="2747" y="0"/>
                                  </a:lnTo>
                                  <a:lnTo>
                                    <a:pt x="2747" y="1473"/>
                                  </a:lnTo>
                                  <a:lnTo>
                                    <a:pt x="0" y="1473"/>
                                  </a:lnTo>
                                  <a:lnTo>
                                    <a:pt x="0" y="0"/>
                                  </a:lnTo>
                                </a:path>
                              </a:pathLst>
                            </a:custGeom>
                            <a:noFill/>
                            <a:ln w="6026">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42" name="Group 8675"/>
                        <wpg:cNvGrpSpPr>
                          <a:grpSpLocks/>
                        </wpg:cNvGrpSpPr>
                        <wpg:grpSpPr bwMode="auto">
                          <a:xfrm>
                            <a:off x="6956" y="733"/>
                            <a:ext cx="2" cy="1500"/>
                            <a:chOff x="6956" y="733"/>
                            <a:chExt cx="2" cy="1500"/>
                          </a:xfrm>
                        </wpg:grpSpPr>
                        <wps:wsp>
                          <wps:cNvPr id="18143" name="Freeform 8676"/>
                          <wps:cNvSpPr>
                            <a:spLocks/>
                          </wps:cNvSpPr>
                          <wps:spPr bwMode="auto">
                            <a:xfrm>
                              <a:off x="6956" y="733"/>
                              <a:ext cx="2" cy="1500"/>
                            </a:xfrm>
                            <a:custGeom>
                              <a:avLst/>
                              <a:gdLst>
                                <a:gd name="T0" fmla="*/ 0 w 2"/>
                                <a:gd name="T1" fmla="*/ 733 h 1500"/>
                                <a:gd name="T2" fmla="*/ 0 w 2"/>
                                <a:gd name="T3" fmla="*/ 2232 h 1500"/>
                                <a:gd name="T4" fmla="*/ 0 60000 65536"/>
                                <a:gd name="T5" fmla="*/ 0 60000 65536"/>
                              </a:gdLst>
                              <a:ahLst/>
                              <a:cxnLst>
                                <a:cxn ang="T4">
                                  <a:pos x="T0" y="T1"/>
                                </a:cxn>
                                <a:cxn ang="T5">
                                  <a:pos x="T2" y="T3"/>
                                </a:cxn>
                              </a:cxnLst>
                              <a:rect l="0" t="0" r="r" b="b"/>
                              <a:pathLst>
                                <a:path w="2" h="1500">
                                  <a:moveTo>
                                    <a:pt x="0" y="0"/>
                                  </a:moveTo>
                                  <a:lnTo>
                                    <a:pt x="0" y="1499"/>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44" name="Group 8673"/>
                        <wpg:cNvGrpSpPr>
                          <a:grpSpLocks/>
                        </wpg:cNvGrpSpPr>
                        <wpg:grpSpPr bwMode="auto">
                          <a:xfrm>
                            <a:off x="6930" y="2206"/>
                            <a:ext cx="2772" cy="2"/>
                            <a:chOff x="6930" y="2206"/>
                            <a:chExt cx="2772" cy="2"/>
                          </a:xfrm>
                        </wpg:grpSpPr>
                        <wps:wsp>
                          <wps:cNvPr id="18145" name="Freeform 8674"/>
                          <wps:cNvSpPr>
                            <a:spLocks/>
                          </wps:cNvSpPr>
                          <wps:spPr bwMode="auto">
                            <a:xfrm>
                              <a:off x="6930" y="2206"/>
                              <a:ext cx="2772" cy="2"/>
                            </a:xfrm>
                            <a:custGeom>
                              <a:avLst/>
                              <a:gdLst>
                                <a:gd name="T0" fmla="*/ 0 w 2772"/>
                                <a:gd name="T1" fmla="*/ 0 h 2"/>
                                <a:gd name="T2" fmla="*/ 2772 w 2772"/>
                                <a:gd name="T3" fmla="*/ 0 h 2"/>
                                <a:gd name="T4" fmla="*/ 0 60000 65536"/>
                                <a:gd name="T5" fmla="*/ 0 60000 65536"/>
                              </a:gdLst>
                              <a:ahLst/>
                              <a:cxnLst>
                                <a:cxn ang="T4">
                                  <a:pos x="T0" y="T1"/>
                                </a:cxn>
                                <a:cxn ang="T5">
                                  <a:pos x="T2" y="T3"/>
                                </a:cxn>
                              </a:cxnLst>
                              <a:rect l="0" t="0" r="r" b="b"/>
                              <a:pathLst>
                                <a:path w="2772" h="2">
                                  <a:moveTo>
                                    <a:pt x="0" y="0"/>
                                  </a:moveTo>
                                  <a:lnTo>
                                    <a:pt x="2772"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46" name="Group 8671"/>
                        <wpg:cNvGrpSpPr>
                          <a:grpSpLocks/>
                        </wpg:cNvGrpSpPr>
                        <wpg:grpSpPr bwMode="auto">
                          <a:xfrm>
                            <a:off x="6930" y="2022"/>
                            <a:ext cx="25" cy="2"/>
                            <a:chOff x="6930" y="2022"/>
                            <a:chExt cx="25" cy="2"/>
                          </a:xfrm>
                        </wpg:grpSpPr>
                        <wps:wsp>
                          <wps:cNvPr id="18147" name="Freeform 8672"/>
                          <wps:cNvSpPr>
                            <a:spLocks/>
                          </wps:cNvSpPr>
                          <wps:spPr bwMode="auto">
                            <a:xfrm>
                              <a:off x="6930" y="2022"/>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48" name="Group 8669"/>
                        <wpg:cNvGrpSpPr>
                          <a:grpSpLocks/>
                        </wpg:cNvGrpSpPr>
                        <wpg:grpSpPr bwMode="auto">
                          <a:xfrm>
                            <a:off x="6930" y="1838"/>
                            <a:ext cx="25" cy="2"/>
                            <a:chOff x="6930" y="1838"/>
                            <a:chExt cx="25" cy="2"/>
                          </a:xfrm>
                        </wpg:grpSpPr>
                        <wps:wsp>
                          <wps:cNvPr id="18149" name="Freeform 8670"/>
                          <wps:cNvSpPr>
                            <a:spLocks/>
                          </wps:cNvSpPr>
                          <wps:spPr bwMode="auto">
                            <a:xfrm>
                              <a:off x="6930" y="1838"/>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50" name="Group 8667"/>
                        <wpg:cNvGrpSpPr>
                          <a:grpSpLocks/>
                        </wpg:cNvGrpSpPr>
                        <wpg:grpSpPr bwMode="auto">
                          <a:xfrm>
                            <a:off x="6930" y="1653"/>
                            <a:ext cx="25" cy="2"/>
                            <a:chOff x="6930" y="1653"/>
                            <a:chExt cx="25" cy="2"/>
                          </a:xfrm>
                        </wpg:grpSpPr>
                        <wps:wsp>
                          <wps:cNvPr id="18151" name="Freeform 8668"/>
                          <wps:cNvSpPr>
                            <a:spLocks/>
                          </wps:cNvSpPr>
                          <wps:spPr bwMode="auto">
                            <a:xfrm>
                              <a:off x="6930" y="1653"/>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52" name="Group 8665"/>
                        <wpg:cNvGrpSpPr>
                          <a:grpSpLocks/>
                        </wpg:cNvGrpSpPr>
                        <wpg:grpSpPr bwMode="auto">
                          <a:xfrm>
                            <a:off x="6930" y="1470"/>
                            <a:ext cx="25" cy="2"/>
                            <a:chOff x="6930" y="1470"/>
                            <a:chExt cx="25" cy="2"/>
                          </a:xfrm>
                        </wpg:grpSpPr>
                        <wps:wsp>
                          <wps:cNvPr id="18153" name="Freeform 8666"/>
                          <wps:cNvSpPr>
                            <a:spLocks/>
                          </wps:cNvSpPr>
                          <wps:spPr bwMode="auto">
                            <a:xfrm>
                              <a:off x="6930" y="1470"/>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54" name="Group 8663"/>
                        <wpg:cNvGrpSpPr>
                          <a:grpSpLocks/>
                        </wpg:cNvGrpSpPr>
                        <wpg:grpSpPr bwMode="auto">
                          <a:xfrm>
                            <a:off x="6930" y="1286"/>
                            <a:ext cx="25" cy="2"/>
                            <a:chOff x="6930" y="1286"/>
                            <a:chExt cx="25" cy="2"/>
                          </a:xfrm>
                        </wpg:grpSpPr>
                        <wps:wsp>
                          <wps:cNvPr id="18155" name="Freeform 8664"/>
                          <wps:cNvSpPr>
                            <a:spLocks/>
                          </wps:cNvSpPr>
                          <wps:spPr bwMode="auto">
                            <a:xfrm>
                              <a:off x="6930" y="128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56" name="Group 8661"/>
                        <wpg:cNvGrpSpPr>
                          <a:grpSpLocks/>
                        </wpg:cNvGrpSpPr>
                        <wpg:grpSpPr bwMode="auto">
                          <a:xfrm>
                            <a:off x="6930" y="1102"/>
                            <a:ext cx="25" cy="2"/>
                            <a:chOff x="6930" y="1102"/>
                            <a:chExt cx="25" cy="2"/>
                          </a:xfrm>
                        </wpg:grpSpPr>
                        <wps:wsp>
                          <wps:cNvPr id="18157" name="Freeform 8662"/>
                          <wps:cNvSpPr>
                            <a:spLocks/>
                          </wps:cNvSpPr>
                          <wps:spPr bwMode="auto">
                            <a:xfrm>
                              <a:off x="6930" y="1102"/>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58" name="Group 8659"/>
                        <wpg:cNvGrpSpPr>
                          <a:grpSpLocks/>
                        </wpg:cNvGrpSpPr>
                        <wpg:grpSpPr bwMode="auto">
                          <a:xfrm>
                            <a:off x="6930" y="917"/>
                            <a:ext cx="25" cy="2"/>
                            <a:chOff x="6930" y="917"/>
                            <a:chExt cx="25" cy="2"/>
                          </a:xfrm>
                        </wpg:grpSpPr>
                        <wps:wsp>
                          <wps:cNvPr id="18159" name="Freeform 8660"/>
                          <wps:cNvSpPr>
                            <a:spLocks/>
                          </wps:cNvSpPr>
                          <wps:spPr bwMode="auto">
                            <a:xfrm>
                              <a:off x="6930" y="917"/>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60" name="Group 8657"/>
                        <wpg:cNvGrpSpPr>
                          <a:grpSpLocks/>
                        </wpg:cNvGrpSpPr>
                        <wpg:grpSpPr bwMode="auto">
                          <a:xfrm>
                            <a:off x="6930" y="733"/>
                            <a:ext cx="25" cy="2"/>
                            <a:chOff x="6930" y="733"/>
                            <a:chExt cx="25" cy="2"/>
                          </a:xfrm>
                        </wpg:grpSpPr>
                        <wps:wsp>
                          <wps:cNvPr id="18161" name="Freeform 8658"/>
                          <wps:cNvSpPr>
                            <a:spLocks/>
                          </wps:cNvSpPr>
                          <wps:spPr bwMode="auto">
                            <a:xfrm>
                              <a:off x="6930" y="733"/>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62" name="Group 8655"/>
                        <wpg:cNvGrpSpPr>
                          <a:grpSpLocks/>
                        </wpg:cNvGrpSpPr>
                        <wpg:grpSpPr bwMode="auto">
                          <a:xfrm>
                            <a:off x="7506" y="2207"/>
                            <a:ext cx="2" cy="25"/>
                            <a:chOff x="7506" y="2207"/>
                            <a:chExt cx="2" cy="25"/>
                          </a:xfrm>
                        </wpg:grpSpPr>
                        <wps:wsp>
                          <wps:cNvPr id="18163" name="Freeform 8656"/>
                          <wps:cNvSpPr>
                            <a:spLocks/>
                          </wps:cNvSpPr>
                          <wps:spPr bwMode="auto">
                            <a:xfrm>
                              <a:off x="7506" y="2207"/>
                              <a:ext cx="2" cy="25"/>
                            </a:xfrm>
                            <a:custGeom>
                              <a:avLst/>
                              <a:gdLst>
                                <a:gd name="T0" fmla="*/ 0 w 2"/>
                                <a:gd name="T1" fmla="*/ 2232 h 25"/>
                                <a:gd name="T2" fmla="*/ 0 w 2"/>
                                <a:gd name="T3" fmla="*/ 220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64" name="Group 8653"/>
                        <wpg:cNvGrpSpPr>
                          <a:grpSpLocks/>
                        </wpg:cNvGrpSpPr>
                        <wpg:grpSpPr bwMode="auto">
                          <a:xfrm>
                            <a:off x="8055" y="2207"/>
                            <a:ext cx="2" cy="25"/>
                            <a:chOff x="8055" y="2207"/>
                            <a:chExt cx="2" cy="25"/>
                          </a:xfrm>
                        </wpg:grpSpPr>
                        <wps:wsp>
                          <wps:cNvPr id="18165" name="Freeform 8654"/>
                          <wps:cNvSpPr>
                            <a:spLocks/>
                          </wps:cNvSpPr>
                          <wps:spPr bwMode="auto">
                            <a:xfrm>
                              <a:off x="8055" y="2207"/>
                              <a:ext cx="2" cy="25"/>
                            </a:xfrm>
                            <a:custGeom>
                              <a:avLst/>
                              <a:gdLst>
                                <a:gd name="T0" fmla="*/ 0 w 2"/>
                                <a:gd name="T1" fmla="*/ 2232 h 25"/>
                                <a:gd name="T2" fmla="*/ 0 w 2"/>
                                <a:gd name="T3" fmla="*/ 220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66" name="Group 8651"/>
                        <wpg:cNvGrpSpPr>
                          <a:grpSpLocks/>
                        </wpg:cNvGrpSpPr>
                        <wpg:grpSpPr bwMode="auto">
                          <a:xfrm>
                            <a:off x="8604" y="2207"/>
                            <a:ext cx="2" cy="25"/>
                            <a:chOff x="8604" y="2207"/>
                            <a:chExt cx="2" cy="25"/>
                          </a:xfrm>
                        </wpg:grpSpPr>
                        <wps:wsp>
                          <wps:cNvPr id="18167" name="Freeform 8652"/>
                          <wps:cNvSpPr>
                            <a:spLocks/>
                          </wps:cNvSpPr>
                          <wps:spPr bwMode="auto">
                            <a:xfrm>
                              <a:off x="8604" y="2207"/>
                              <a:ext cx="2" cy="25"/>
                            </a:xfrm>
                            <a:custGeom>
                              <a:avLst/>
                              <a:gdLst>
                                <a:gd name="T0" fmla="*/ 0 w 2"/>
                                <a:gd name="T1" fmla="*/ 2232 h 25"/>
                                <a:gd name="T2" fmla="*/ 0 w 2"/>
                                <a:gd name="T3" fmla="*/ 220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68" name="Group 8649"/>
                        <wpg:cNvGrpSpPr>
                          <a:grpSpLocks/>
                        </wpg:cNvGrpSpPr>
                        <wpg:grpSpPr bwMode="auto">
                          <a:xfrm>
                            <a:off x="9153" y="2207"/>
                            <a:ext cx="2" cy="25"/>
                            <a:chOff x="9153" y="2207"/>
                            <a:chExt cx="2" cy="25"/>
                          </a:xfrm>
                        </wpg:grpSpPr>
                        <wps:wsp>
                          <wps:cNvPr id="18169" name="Freeform 8650"/>
                          <wps:cNvSpPr>
                            <a:spLocks/>
                          </wps:cNvSpPr>
                          <wps:spPr bwMode="auto">
                            <a:xfrm>
                              <a:off x="9153" y="2207"/>
                              <a:ext cx="2" cy="25"/>
                            </a:xfrm>
                            <a:custGeom>
                              <a:avLst/>
                              <a:gdLst>
                                <a:gd name="T0" fmla="*/ 0 w 2"/>
                                <a:gd name="T1" fmla="*/ 2232 h 25"/>
                                <a:gd name="T2" fmla="*/ 0 w 2"/>
                                <a:gd name="T3" fmla="*/ 220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70" name="Group 8647"/>
                        <wpg:cNvGrpSpPr>
                          <a:grpSpLocks/>
                        </wpg:cNvGrpSpPr>
                        <wpg:grpSpPr bwMode="auto">
                          <a:xfrm>
                            <a:off x="9703" y="2207"/>
                            <a:ext cx="2" cy="25"/>
                            <a:chOff x="9703" y="2207"/>
                            <a:chExt cx="2" cy="25"/>
                          </a:xfrm>
                        </wpg:grpSpPr>
                        <wps:wsp>
                          <wps:cNvPr id="18171" name="Freeform 8648"/>
                          <wps:cNvSpPr>
                            <a:spLocks/>
                          </wps:cNvSpPr>
                          <wps:spPr bwMode="auto">
                            <a:xfrm>
                              <a:off x="9703" y="2207"/>
                              <a:ext cx="2" cy="25"/>
                            </a:xfrm>
                            <a:custGeom>
                              <a:avLst/>
                              <a:gdLst>
                                <a:gd name="T0" fmla="*/ 0 w 2"/>
                                <a:gd name="T1" fmla="*/ 2232 h 25"/>
                                <a:gd name="T2" fmla="*/ 0 w 2"/>
                                <a:gd name="T3" fmla="*/ 220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72" name="Group 8645"/>
                        <wpg:cNvGrpSpPr>
                          <a:grpSpLocks/>
                        </wpg:cNvGrpSpPr>
                        <wpg:grpSpPr bwMode="auto">
                          <a:xfrm>
                            <a:off x="7012" y="1007"/>
                            <a:ext cx="50" cy="50"/>
                            <a:chOff x="7012" y="1007"/>
                            <a:chExt cx="50" cy="50"/>
                          </a:xfrm>
                        </wpg:grpSpPr>
                        <wps:wsp>
                          <wps:cNvPr id="18173" name="Freeform 8646"/>
                          <wps:cNvSpPr>
                            <a:spLocks/>
                          </wps:cNvSpPr>
                          <wps:spPr bwMode="auto">
                            <a:xfrm>
                              <a:off x="7012" y="1007"/>
                              <a:ext cx="50" cy="50"/>
                            </a:xfrm>
                            <a:custGeom>
                              <a:avLst/>
                              <a:gdLst>
                                <a:gd name="T0" fmla="*/ 25 w 50"/>
                                <a:gd name="T1" fmla="*/ 1007 h 50"/>
                                <a:gd name="T2" fmla="*/ 0 w 50"/>
                                <a:gd name="T3" fmla="*/ 1032 h 50"/>
                                <a:gd name="T4" fmla="*/ 25 w 50"/>
                                <a:gd name="T5" fmla="*/ 1057 h 50"/>
                                <a:gd name="T6" fmla="*/ 50 w 50"/>
                                <a:gd name="T7" fmla="*/ 1032 h 50"/>
                                <a:gd name="T8" fmla="*/ 25 w 50"/>
                                <a:gd name="T9" fmla="*/ 100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74" name="Group 8643"/>
                        <wpg:cNvGrpSpPr>
                          <a:grpSpLocks/>
                        </wpg:cNvGrpSpPr>
                        <wpg:grpSpPr bwMode="auto">
                          <a:xfrm>
                            <a:off x="7012" y="1007"/>
                            <a:ext cx="50" cy="50"/>
                            <a:chOff x="7012" y="1007"/>
                            <a:chExt cx="50" cy="50"/>
                          </a:xfrm>
                        </wpg:grpSpPr>
                        <wps:wsp>
                          <wps:cNvPr id="18175" name="Freeform 8644"/>
                          <wps:cNvSpPr>
                            <a:spLocks/>
                          </wps:cNvSpPr>
                          <wps:spPr bwMode="auto">
                            <a:xfrm>
                              <a:off x="7012" y="1007"/>
                              <a:ext cx="50" cy="50"/>
                            </a:xfrm>
                            <a:custGeom>
                              <a:avLst/>
                              <a:gdLst>
                                <a:gd name="T0" fmla="*/ 25 w 50"/>
                                <a:gd name="T1" fmla="*/ 1007 h 50"/>
                                <a:gd name="T2" fmla="*/ 50 w 50"/>
                                <a:gd name="T3" fmla="*/ 1032 h 50"/>
                                <a:gd name="T4" fmla="*/ 25 w 50"/>
                                <a:gd name="T5" fmla="*/ 1057 h 50"/>
                                <a:gd name="T6" fmla="*/ 0 w 50"/>
                                <a:gd name="T7" fmla="*/ 1032 h 50"/>
                                <a:gd name="T8" fmla="*/ 25 w 50"/>
                                <a:gd name="T9" fmla="*/ 100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76" name="Group 8641"/>
                        <wpg:cNvGrpSpPr>
                          <a:grpSpLocks/>
                        </wpg:cNvGrpSpPr>
                        <wpg:grpSpPr bwMode="auto">
                          <a:xfrm>
                            <a:off x="7041" y="1393"/>
                            <a:ext cx="50" cy="50"/>
                            <a:chOff x="7041" y="1393"/>
                            <a:chExt cx="50" cy="50"/>
                          </a:xfrm>
                        </wpg:grpSpPr>
                        <wps:wsp>
                          <wps:cNvPr id="18177" name="Freeform 8642"/>
                          <wps:cNvSpPr>
                            <a:spLocks/>
                          </wps:cNvSpPr>
                          <wps:spPr bwMode="auto">
                            <a:xfrm>
                              <a:off x="7041" y="1393"/>
                              <a:ext cx="50" cy="50"/>
                            </a:xfrm>
                            <a:custGeom>
                              <a:avLst/>
                              <a:gdLst>
                                <a:gd name="T0" fmla="*/ 25 w 50"/>
                                <a:gd name="T1" fmla="*/ 1393 h 50"/>
                                <a:gd name="T2" fmla="*/ 0 w 50"/>
                                <a:gd name="T3" fmla="*/ 1418 h 50"/>
                                <a:gd name="T4" fmla="*/ 25 w 50"/>
                                <a:gd name="T5" fmla="*/ 1443 h 50"/>
                                <a:gd name="T6" fmla="*/ 50 w 50"/>
                                <a:gd name="T7" fmla="*/ 1418 h 50"/>
                                <a:gd name="T8" fmla="*/ 25 w 50"/>
                                <a:gd name="T9" fmla="*/ 1393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78" name="Group 8639"/>
                        <wpg:cNvGrpSpPr>
                          <a:grpSpLocks/>
                        </wpg:cNvGrpSpPr>
                        <wpg:grpSpPr bwMode="auto">
                          <a:xfrm>
                            <a:off x="7041" y="1393"/>
                            <a:ext cx="50" cy="50"/>
                            <a:chOff x="7041" y="1393"/>
                            <a:chExt cx="50" cy="50"/>
                          </a:xfrm>
                        </wpg:grpSpPr>
                        <wps:wsp>
                          <wps:cNvPr id="18179" name="Freeform 8640"/>
                          <wps:cNvSpPr>
                            <a:spLocks/>
                          </wps:cNvSpPr>
                          <wps:spPr bwMode="auto">
                            <a:xfrm>
                              <a:off x="7041" y="1393"/>
                              <a:ext cx="50" cy="50"/>
                            </a:xfrm>
                            <a:custGeom>
                              <a:avLst/>
                              <a:gdLst>
                                <a:gd name="T0" fmla="*/ 25 w 50"/>
                                <a:gd name="T1" fmla="*/ 1393 h 50"/>
                                <a:gd name="T2" fmla="*/ 50 w 50"/>
                                <a:gd name="T3" fmla="*/ 1418 h 50"/>
                                <a:gd name="T4" fmla="*/ 25 w 50"/>
                                <a:gd name="T5" fmla="*/ 1443 h 50"/>
                                <a:gd name="T6" fmla="*/ 0 w 50"/>
                                <a:gd name="T7" fmla="*/ 1418 h 50"/>
                                <a:gd name="T8" fmla="*/ 25 w 50"/>
                                <a:gd name="T9" fmla="*/ 1393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80" name="Group 8637"/>
                        <wpg:cNvGrpSpPr>
                          <a:grpSpLocks/>
                        </wpg:cNvGrpSpPr>
                        <wpg:grpSpPr bwMode="auto">
                          <a:xfrm>
                            <a:off x="7205" y="891"/>
                            <a:ext cx="50" cy="50"/>
                            <a:chOff x="7205" y="891"/>
                            <a:chExt cx="50" cy="50"/>
                          </a:xfrm>
                        </wpg:grpSpPr>
                        <wps:wsp>
                          <wps:cNvPr id="18181" name="Freeform 8638"/>
                          <wps:cNvSpPr>
                            <a:spLocks/>
                          </wps:cNvSpPr>
                          <wps:spPr bwMode="auto">
                            <a:xfrm>
                              <a:off x="7205" y="891"/>
                              <a:ext cx="50" cy="50"/>
                            </a:xfrm>
                            <a:custGeom>
                              <a:avLst/>
                              <a:gdLst>
                                <a:gd name="T0" fmla="*/ 25 w 50"/>
                                <a:gd name="T1" fmla="*/ 891 h 50"/>
                                <a:gd name="T2" fmla="*/ 0 w 50"/>
                                <a:gd name="T3" fmla="*/ 916 h 50"/>
                                <a:gd name="T4" fmla="*/ 25 w 50"/>
                                <a:gd name="T5" fmla="*/ 941 h 50"/>
                                <a:gd name="T6" fmla="*/ 49 w 50"/>
                                <a:gd name="T7" fmla="*/ 916 h 50"/>
                                <a:gd name="T8" fmla="*/ 25 w 50"/>
                                <a:gd name="T9" fmla="*/ 891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49"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82" name="Group 8635"/>
                        <wpg:cNvGrpSpPr>
                          <a:grpSpLocks/>
                        </wpg:cNvGrpSpPr>
                        <wpg:grpSpPr bwMode="auto">
                          <a:xfrm>
                            <a:off x="7205" y="891"/>
                            <a:ext cx="50" cy="50"/>
                            <a:chOff x="7205" y="891"/>
                            <a:chExt cx="50" cy="50"/>
                          </a:xfrm>
                        </wpg:grpSpPr>
                        <wps:wsp>
                          <wps:cNvPr id="18183" name="Freeform 8636"/>
                          <wps:cNvSpPr>
                            <a:spLocks/>
                          </wps:cNvSpPr>
                          <wps:spPr bwMode="auto">
                            <a:xfrm>
                              <a:off x="7205" y="891"/>
                              <a:ext cx="50" cy="50"/>
                            </a:xfrm>
                            <a:custGeom>
                              <a:avLst/>
                              <a:gdLst>
                                <a:gd name="T0" fmla="*/ 25 w 50"/>
                                <a:gd name="T1" fmla="*/ 891 h 50"/>
                                <a:gd name="T2" fmla="*/ 49 w 50"/>
                                <a:gd name="T3" fmla="*/ 916 h 50"/>
                                <a:gd name="T4" fmla="*/ 25 w 50"/>
                                <a:gd name="T5" fmla="*/ 941 h 50"/>
                                <a:gd name="T6" fmla="*/ 0 w 50"/>
                                <a:gd name="T7" fmla="*/ 916 h 50"/>
                                <a:gd name="T8" fmla="*/ 25 w 50"/>
                                <a:gd name="T9" fmla="*/ 891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49"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84" name="Group 8633"/>
                        <wpg:cNvGrpSpPr>
                          <a:grpSpLocks/>
                        </wpg:cNvGrpSpPr>
                        <wpg:grpSpPr bwMode="auto">
                          <a:xfrm>
                            <a:off x="7233" y="1586"/>
                            <a:ext cx="51" cy="50"/>
                            <a:chOff x="7233" y="1586"/>
                            <a:chExt cx="51" cy="50"/>
                          </a:xfrm>
                        </wpg:grpSpPr>
                        <wps:wsp>
                          <wps:cNvPr id="18185" name="Freeform 8634"/>
                          <wps:cNvSpPr>
                            <a:spLocks/>
                          </wps:cNvSpPr>
                          <wps:spPr bwMode="auto">
                            <a:xfrm>
                              <a:off x="7233" y="1586"/>
                              <a:ext cx="51" cy="50"/>
                            </a:xfrm>
                            <a:custGeom>
                              <a:avLst/>
                              <a:gdLst>
                                <a:gd name="T0" fmla="*/ 25 w 51"/>
                                <a:gd name="T1" fmla="*/ 1586 h 50"/>
                                <a:gd name="T2" fmla="*/ 0 w 51"/>
                                <a:gd name="T3" fmla="*/ 1611 h 50"/>
                                <a:gd name="T4" fmla="*/ 25 w 51"/>
                                <a:gd name="T5" fmla="*/ 1636 h 50"/>
                                <a:gd name="T6" fmla="*/ 50 w 51"/>
                                <a:gd name="T7" fmla="*/ 1611 h 50"/>
                                <a:gd name="T8" fmla="*/ 25 w 51"/>
                                <a:gd name="T9" fmla="*/ 158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1"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86" name="Group 8631"/>
                        <wpg:cNvGrpSpPr>
                          <a:grpSpLocks/>
                        </wpg:cNvGrpSpPr>
                        <wpg:grpSpPr bwMode="auto">
                          <a:xfrm>
                            <a:off x="7233" y="1586"/>
                            <a:ext cx="51" cy="50"/>
                            <a:chOff x="7233" y="1586"/>
                            <a:chExt cx="51" cy="50"/>
                          </a:xfrm>
                        </wpg:grpSpPr>
                        <wps:wsp>
                          <wps:cNvPr id="18187" name="Freeform 8632"/>
                          <wps:cNvSpPr>
                            <a:spLocks/>
                          </wps:cNvSpPr>
                          <wps:spPr bwMode="auto">
                            <a:xfrm>
                              <a:off x="7233" y="1586"/>
                              <a:ext cx="51" cy="50"/>
                            </a:xfrm>
                            <a:custGeom>
                              <a:avLst/>
                              <a:gdLst>
                                <a:gd name="T0" fmla="*/ 25 w 51"/>
                                <a:gd name="T1" fmla="*/ 1586 h 50"/>
                                <a:gd name="T2" fmla="*/ 50 w 51"/>
                                <a:gd name="T3" fmla="*/ 1611 h 50"/>
                                <a:gd name="T4" fmla="*/ 25 w 51"/>
                                <a:gd name="T5" fmla="*/ 1636 h 50"/>
                                <a:gd name="T6" fmla="*/ 0 w 51"/>
                                <a:gd name="T7" fmla="*/ 1611 h 50"/>
                                <a:gd name="T8" fmla="*/ 25 w 51"/>
                                <a:gd name="T9" fmla="*/ 158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1"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88" name="Group 8629"/>
                        <wpg:cNvGrpSpPr>
                          <a:grpSpLocks/>
                        </wpg:cNvGrpSpPr>
                        <wpg:grpSpPr bwMode="auto">
                          <a:xfrm>
                            <a:off x="7782" y="1420"/>
                            <a:ext cx="50" cy="50"/>
                            <a:chOff x="7782" y="1420"/>
                            <a:chExt cx="50" cy="50"/>
                          </a:xfrm>
                        </wpg:grpSpPr>
                        <wps:wsp>
                          <wps:cNvPr id="18189" name="Freeform 8630"/>
                          <wps:cNvSpPr>
                            <a:spLocks/>
                          </wps:cNvSpPr>
                          <wps:spPr bwMode="auto">
                            <a:xfrm>
                              <a:off x="7782" y="1420"/>
                              <a:ext cx="50" cy="50"/>
                            </a:xfrm>
                            <a:custGeom>
                              <a:avLst/>
                              <a:gdLst>
                                <a:gd name="T0" fmla="*/ 25 w 50"/>
                                <a:gd name="T1" fmla="*/ 1420 h 50"/>
                                <a:gd name="T2" fmla="*/ 0 w 50"/>
                                <a:gd name="T3" fmla="*/ 1445 h 50"/>
                                <a:gd name="T4" fmla="*/ 25 w 50"/>
                                <a:gd name="T5" fmla="*/ 1470 h 50"/>
                                <a:gd name="T6" fmla="*/ 50 w 50"/>
                                <a:gd name="T7" fmla="*/ 1445 h 50"/>
                                <a:gd name="T8" fmla="*/ 25 w 50"/>
                                <a:gd name="T9" fmla="*/ 1420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90" name="Group 8627"/>
                        <wpg:cNvGrpSpPr>
                          <a:grpSpLocks/>
                        </wpg:cNvGrpSpPr>
                        <wpg:grpSpPr bwMode="auto">
                          <a:xfrm>
                            <a:off x="7782" y="1420"/>
                            <a:ext cx="50" cy="50"/>
                            <a:chOff x="7782" y="1420"/>
                            <a:chExt cx="50" cy="50"/>
                          </a:xfrm>
                        </wpg:grpSpPr>
                        <wps:wsp>
                          <wps:cNvPr id="18191" name="Freeform 8628"/>
                          <wps:cNvSpPr>
                            <a:spLocks/>
                          </wps:cNvSpPr>
                          <wps:spPr bwMode="auto">
                            <a:xfrm>
                              <a:off x="7782" y="1420"/>
                              <a:ext cx="50" cy="50"/>
                            </a:xfrm>
                            <a:custGeom>
                              <a:avLst/>
                              <a:gdLst>
                                <a:gd name="T0" fmla="*/ 25 w 50"/>
                                <a:gd name="T1" fmla="*/ 1420 h 50"/>
                                <a:gd name="T2" fmla="*/ 50 w 50"/>
                                <a:gd name="T3" fmla="*/ 1445 h 50"/>
                                <a:gd name="T4" fmla="*/ 25 w 50"/>
                                <a:gd name="T5" fmla="*/ 1470 h 50"/>
                                <a:gd name="T6" fmla="*/ 0 w 50"/>
                                <a:gd name="T7" fmla="*/ 1445 h 50"/>
                                <a:gd name="T8" fmla="*/ 25 w 50"/>
                                <a:gd name="T9" fmla="*/ 1420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92" name="Group 8625"/>
                        <wpg:cNvGrpSpPr>
                          <a:grpSpLocks/>
                        </wpg:cNvGrpSpPr>
                        <wpg:grpSpPr bwMode="auto">
                          <a:xfrm>
                            <a:off x="7809" y="1512"/>
                            <a:ext cx="50" cy="50"/>
                            <a:chOff x="7809" y="1512"/>
                            <a:chExt cx="50" cy="50"/>
                          </a:xfrm>
                        </wpg:grpSpPr>
                        <wps:wsp>
                          <wps:cNvPr id="18193" name="Freeform 8626"/>
                          <wps:cNvSpPr>
                            <a:spLocks/>
                          </wps:cNvSpPr>
                          <wps:spPr bwMode="auto">
                            <a:xfrm>
                              <a:off x="7809" y="1512"/>
                              <a:ext cx="50" cy="50"/>
                            </a:xfrm>
                            <a:custGeom>
                              <a:avLst/>
                              <a:gdLst>
                                <a:gd name="T0" fmla="*/ 25 w 50"/>
                                <a:gd name="T1" fmla="*/ 1512 h 50"/>
                                <a:gd name="T2" fmla="*/ 0 w 50"/>
                                <a:gd name="T3" fmla="*/ 1537 h 50"/>
                                <a:gd name="T4" fmla="*/ 25 w 50"/>
                                <a:gd name="T5" fmla="*/ 1562 h 50"/>
                                <a:gd name="T6" fmla="*/ 50 w 50"/>
                                <a:gd name="T7" fmla="*/ 1537 h 50"/>
                                <a:gd name="T8" fmla="*/ 25 w 50"/>
                                <a:gd name="T9" fmla="*/ 151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94" name="Group 8623"/>
                        <wpg:cNvGrpSpPr>
                          <a:grpSpLocks/>
                        </wpg:cNvGrpSpPr>
                        <wpg:grpSpPr bwMode="auto">
                          <a:xfrm>
                            <a:off x="7809" y="1512"/>
                            <a:ext cx="50" cy="50"/>
                            <a:chOff x="7809" y="1512"/>
                            <a:chExt cx="50" cy="50"/>
                          </a:xfrm>
                        </wpg:grpSpPr>
                        <wps:wsp>
                          <wps:cNvPr id="18195" name="Freeform 8624"/>
                          <wps:cNvSpPr>
                            <a:spLocks/>
                          </wps:cNvSpPr>
                          <wps:spPr bwMode="auto">
                            <a:xfrm>
                              <a:off x="7809" y="1512"/>
                              <a:ext cx="50" cy="50"/>
                            </a:xfrm>
                            <a:custGeom>
                              <a:avLst/>
                              <a:gdLst>
                                <a:gd name="T0" fmla="*/ 25 w 50"/>
                                <a:gd name="T1" fmla="*/ 1512 h 50"/>
                                <a:gd name="T2" fmla="*/ 50 w 50"/>
                                <a:gd name="T3" fmla="*/ 1537 h 50"/>
                                <a:gd name="T4" fmla="*/ 25 w 50"/>
                                <a:gd name="T5" fmla="*/ 1562 h 50"/>
                                <a:gd name="T6" fmla="*/ 0 w 50"/>
                                <a:gd name="T7" fmla="*/ 1537 h 50"/>
                                <a:gd name="T8" fmla="*/ 25 w 50"/>
                                <a:gd name="T9" fmla="*/ 151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196" name="Group 8621"/>
                        <wpg:cNvGrpSpPr>
                          <a:grpSpLocks/>
                        </wpg:cNvGrpSpPr>
                        <wpg:grpSpPr bwMode="auto">
                          <a:xfrm>
                            <a:off x="8414" y="1385"/>
                            <a:ext cx="50" cy="50"/>
                            <a:chOff x="8414" y="1385"/>
                            <a:chExt cx="50" cy="50"/>
                          </a:xfrm>
                        </wpg:grpSpPr>
                        <wps:wsp>
                          <wps:cNvPr id="18197" name="Freeform 8622"/>
                          <wps:cNvSpPr>
                            <a:spLocks/>
                          </wps:cNvSpPr>
                          <wps:spPr bwMode="auto">
                            <a:xfrm>
                              <a:off x="8414" y="1385"/>
                              <a:ext cx="50" cy="50"/>
                            </a:xfrm>
                            <a:custGeom>
                              <a:avLst/>
                              <a:gdLst>
                                <a:gd name="T0" fmla="*/ 25 w 50"/>
                                <a:gd name="T1" fmla="*/ 1385 h 50"/>
                                <a:gd name="T2" fmla="*/ 0 w 50"/>
                                <a:gd name="T3" fmla="*/ 1410 h 50"/>
                                <a:gd name="T4" fmla="*/ 25 w 50"/>
                                <a:gd name="T5" fmla="*/ 1435 h 50"/>
                                <a:gd name="T6" fmla="*/ 50 w 50"/>
                                <a:gd name="T7" fmla="*/ 1410 h 50"/>
                                <a:gd name="T8" fmla="*/ 25 w 50"/>
                                <a:gd name="T9" fmla="*/ 1385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98" name="Group 8619"/>
                        <wpg:cNvGrpSpPr>
                          <a:grpSpLocks/>
                        </wpg:cNvGrpSpPr>
                        <wpg:grpSpPr bwMode="auto">
                          <a:xfrm>
                            <a:off x="8414" y="1385"/>
                            <a:ext cx="50" cy="50"/>
                            <a:chOff x="8414" y="1385"/>
                            <a:chExt cx="50" cy="50"/>
                          </a:xfrm>
                        </wpg:grpSpPr>
                        <wps:wsp>
                          <wps:cNvPr id="18199" name="Freeform 8620"/>
                          <wps:cNvSpPr>
                            <a:spLocks/>
                          </wps:cNvSpPr>
                          <wps:spPr bwMode="auto">
                            <a:xfrm>
                              <a:off x="8414" y="1385"/>
                              <a:ext cx="50" cy="50"/>
                            </a:xfrm>
                            <a:custGeom>
                              <a:avLst/>
                              <a:gdLst>
                                <a:gd name="T0" fmla="*/ 25 w 50"/>
                                <a:gd name="T1" fmla="*/ 1385 h 50"/>
                                <a:gd name="T2" fmla="*/ 50 w 50"/>
                                <a:gd name="T3" fmla="*/ 1410 h 50"/>
                                <a:gd name="T4" fmla="*/ 25 w 50"/>
                                <a:gd name="T5" fmla="*/ 1435 h 50"/>
                                <a:gd name="T6" fmla="*/ 0 w 50"/>
                                <a:gd name="T7" fmla="*/ 1410 h 50"/>
                                <a:gd name="T8" fmla="*/ 25 w 50"/>
                                <a:gd name="T9" fmla="*/ 1385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00" name="Group 8617"/>
                        <wpg:cNvGrpSpPr>
                          <a:grpSpLocks/>
                        </wpg:cNvGrpSpPr>
                        <wpg:grpSpPr bwMode="auto">
                          <a:xfrm>
                            <a:off x="8442" y="1478"/>
                            <a:ext cx="50" cy="50"/>
                            <a:chOff x="8442" y="1478"/>
                            <a:chExt cx="50" cy="50"/>
                          </a:xfrm>
                        </wpg:grpSpPr>
                        <wps:wsp>
                          <wps:cNvPr id="18201" name="Freeform 8618"/>
                          <wps:cNvSpPr>
                            <a:spLocks/>
                          </wps:cNvSpPr>
                          <wps:spPr bwMode="auto">
                            <a:xfrm>
                              <a:off x="8442" y="1478"/>
                              <a:ext cx="50" cy="50"/>
                            </a:xfrm>
                            <a:custGeom>
                              <a:avLst/>
                              <a:gdLst>
                                <a:gd name="T0" fmla="*/ 25 w 50"/>
                                <a:gd name="T1" fmla="*/ 1478 h 50"/>
                                <a:gd name="T2" fmla="*/ 0 w 50"/>
                                <a:gd name="T3" fmla="*/ 1503 h 50"/>
                                <a:gd name="T4" fmla="*/ 25 w 50"/>
                                <a:gd name="T5" fmla="*/ 1528 h 50"/>
                                <a:gd name="T6" fmla="*/ 50 w 50"/>
                                <a:gd name="T7" fmla="*/ 1503 h 50"/>
                                <a:gd name="T8" fmla="*/ 25 w 50"/>
                                <a:gd name="T9" fmla="*/ 1478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02" name="Group 8615"/>
                        <wpg:cNvGrpSpPr>
                          <a:grpSpLocks/>
                        </wpg:cNvGrpSpPr>
                        <wpg:grpSpPr bwMode="auto">
                          <a:xfrm>
                            <a:off x="8442" y="1478"/>
                            <a:ext cx="50" cy="50"/>
                            <a:chOff x="8442" y="1478"/>
                            <a:chExt cx="50" cy="50"/>
                          </a:xfrm>
                        </wpg:grpSpPr>
                        <wps:wsp>
                          <wps:cNvPr id="18203" name="Freeform 8616"/>
                          <wps:cNvSpPr>
                            <a:spLocks/>
                          </wps:cNvSpPr>
                          <wps:spPr bwMode="auto">
                            <a:xfrm>
                              <a:off x="8442" y="1478"/>
                              <a:ext cx="50" cy="50"/>
                            </a:xfrm>
                            <a:custGeom>
                              <a:avLst/>
                              <a:gdLst>
                                <a:gd name="T0" fmla="*/ 25 w 50"/>
                                <a:gd name="T1" fmla="*/ 1478 h 50"/>
                                <a:gd name="T2" fmla="*/ 50 w 50"/>
                                <a:gd name="T3" fmla="*/ 1503 h 50"/>
                                <a:gd name="T4" fmla="*/ 25 w 50"/>
                                <a:gd name="T5" fmla="*/ 1528 h 50"/>
                                <a:gd name="T6" fmla="*/ 0 w 50"/>
                                <a:gd name="T7" fmla="*/ 1503 h 50"/>
                                <a:gd name="T8" fmla="*/ 25 w 50"/>
                                <a:gd name="T9" fmla="*/ 1478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04" name="Group 8613"/>
                        <wpg:cNvGrpSpPr>
                          <a:grpSpLocks/>
                        </wpg:cNvGrpSpPr>
                        <wpg:grpSpPr bwMode="auto">
                          <a:xfrm>
                            <a:off x="9046" y="1464"/>
                            <a:ext cx="50" cy="50"/>
                            <a:chOff x="9046" y="1464"/>
                            <a:chExt cx="50" cy="50"/>
                          </a:xfrm>
                        </wpg:grpSpPr>
                        <wps:wsp>
                          <wps:cNvPr id="18205" name="Freeform 8614"/>
                          <wps:cNvSpPr>
                            <a:spLocks/>
                          </wps:cNvSpPr>
                          <wps:spPr bwMode="auto">
                            <a:xfrm>
                              <a:off x="9046" y="1464"/>
                              <a:ext cx="50" cy="50"/>
                            </a:xfrm>
                            <a:custGeom>
                              <a:avLst/>
                              <a:gdLst>
                                <a:gd name="T0" fmla="*/ 25 w 50"/>
                                <a:gd name="T1" fmla="*/ 1464 h 50"/>
                                <a:gd name="T2" fmla="*/ 0 w 50"/>
                                <a:gd name="T3" fmla="*/ 1489 h 50"/>
                                <a:gd name="T4" fmla="*/ 25 w 50"/>
                                <a:gd name="T5" fmla="*/ 1514 h 50"/>
                                <a:gd name="T6" fmla="*/ 50 w 50"/>
                                <a:gd name="T7" fmla="*/ 1489 h 50"/>
                                <a:gd name="T8" fmla="*/ 25 w 50"/>
                                <a:gd name="T9" fmla="*/ 1464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06" name="Group 8611"/>
                        <wpg:cNvGrpSpPr>
                          <a:grpSpLocks/>
                        </wpg:cNvGrpSpPr>
                        <wpg:grpSpPr bwMode="auto">
                          <a:xfrm>
                            <a:off x="9046" y="1464"/>
                            <a:ext cx="50" cy="50"/>
                            <a:chOff x="9046" y="1464"/>
                            <a:chExt cx="50" cy="50"/>
                          </a:xfrm>
                        </wpg:grpSpPr>
                        <wps:wsp>
                          <wps:cNvPr id="18207" name="Freeform 8612"/>
                          <wps:cNvSpPr>
                            <a:spLocks/>
                          </wps:cNvSpPr>
                          <wps:spPr bwMode="auto">
                            <a:xfrm>
                              <a:off x="9046" y="1464"/>
                              <a:ext cx="50" cy="50"/>
                            </a:xfrm>
                            <a:custGeom>
                              <a:avLst/>
                              <a:gdLst>
                                <a:gd name="T0" fmla="*/ 25 w 50"/>
                                <a:gd name="T1" fmla="*/ 1464 h 50"/>
                                <a:gd name="T2" fmla="*/ 50 w 50"/>
                                <a:gd name="T3" fmla="*/ 1489 h 50"/>
                                <a:gd name="T4" fmla="*/ 25 w 50"/>
                                <a:gd name="T5" fmla="*/ 1514 h 50"/>
                                <a:gd name="T6" fmla="*/ 0 w 50"/>
                                <a:gd name="T7" fmla="*/ 1489 h 50"/>
                                <a:gd name="T8" fmla="*/ 25 w 50"/>
                                <a:gd name="T9" fmla="*/ 1464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08" name="Group 8609"/>
                        <wpg:cNvGrpSpPr>
                          <a:grpSpLocks/>
                        </wpg:cNvGrpSpPr>
                        <wpg:grpSpPr bwMode="auto">
                          <a:xfrm>
                            <a:off x="9073" y="1477"/>
                            <a:ext cx="50" cy="50"/>
                            <a:chOff x="9073" y="1477"/>
                            <a:chExt cx="50" cy="50"/>
                          </a:xfrm>
                        </wpg:grpSpPr>
                        <wps:wsp>
                          <wps:cNvPr id="18209" name="Freeform 8610"/>
                          <wps:cNvSpPr>
                            <a:spLocks/>
                          </wps:cNvSpPr>
                          <wps:spPr bwMode="auto">
                            <a:xfrm>
                              <a:off x="9073" y="1477"/>
                              <a:ext cx="50" cy="50"/>
                            </a:xfrm>
                            <a:custGeom>
                              <a:avLst/>
                              <a:gdLst>
                                <a:gd name="T0" fmla="*/ 25 w 50"/>
                                <a:gd name="T1" fmla="*/ 1477 h 50"/>
                                <a:gd name="T2" fmla="*/ 0 w 50"/>
                                <a:gd name="T3" fmla="*/ 1502 h 50"/>
                                <a:gd name="T4" fmla="*/ 25 w 50"/>
                                <a:gd name="T5" fmla="*/ 1527 h 50"/>
                                <a:gd name="T6" fmla="*/ 50 w 50"/>
                                <a:gd name="T7" fmla="*/ 1502 h 50"/>
                                <a:gd name="T8" fmla="*/ 25 w 50"/>
                                <a:gd name="T9" fmla="*/ 147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10" name="Group 8607"/>
                        <wpg:cNvGrpSpPr>
                          <a:grpSpLocks/>
                        </wpg:cNvGrpSpPr>
                        <wpg:grpSpPr bwMode="auto">
                          <a:xfrm>
                            <a:off x="9073" y="1477"/>
                            <a:ext cx="50" cy="50"/>
                            <a:chOff x="9073" y="1477"/>
                            <a:chExt cx="50" cy="50"/>
                          </a:xfrm>
                        </wpg:grpSpPr>
                        <wps:wsp>
                          <wps:cNvPr id="18211" name="Freeform 8608"/>
                          <wps:cNvSpPr>
                            <a:spLocks/>
                          </wps:cNvSpPr>
                          <wps:spPr bwMode="auto">
                            <a:xfrm>
                              <a:off x="9073" y="1477"/>
                              <a:ext cx="50" cy="50"/>
                            </a:xfrm>
                            <a:custGeom>
                              <a:avLst/>
                              <a:gdLst>
                                <a:gd name="T0" fmla="*/ 25 w 50"/>
                                <a:gd name="T1" fmla="*/ 1477 h 50"/>
                                <a:gd name="T2" fmla="*/ 50 w 50"/>
                                <a:gd name="T3" fmla="*/ 1502 h 50"/>
                                <a:gd name="T4" fmla="*/ 25 w 50"/>
                                <a:gd name="T5" fmla="*/ 1527 h 50"/>
                                <a:gd name="T6" fmla="*/ 0 w 50"/>
                                <a:gd name="T7" fmla="*/ 1502 h 50"/>
                                <a:gd name="T8" fmla="*/ 25 w 50"/>
                                <a:gd name="T9" fmla="*/ 147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12" name="Group 8605"/>
                        <wpg:cNvGrpSpPr>
                          <a:grpSpLocks/>
                        </wpg:cNvGrpSpPr>
                        <wpg:grpSpPr bwMode="auto">
                          <a:xfrm>
                            <a:off x="7037" y="1207"/>
                            <a:ext cx="2061" cy="309"/>
                            <a:chOff x="7037" y="1207"/>
                            <a:chExt cx="2061" cy="309"/>
                          </a:xfrm>
                        </wpg:grpSpPr>
                        <wps:wsp>
                          <wps:cNvPr id="18213" name="Freeform 8606"/>
                          <wps:cNvSpPr>
                            <a:spLocks/>
                          </wps:cNvSpPr>
                          <wps:spPr bwMode="auto">
                            <a:xfrm>
                              <a:off x="7037" y="1207"/>
                              <a:ext cx="2061" cy="309"/>
                            </a:xfrm>
                            <a:custGeom>
                              <a:avLst/>
                              <a:gdLst>
                                <a:gd name="T0" fmla="*/ 28 w 2061"/>
                                <a:gd name="T1" fmla="*/ 1218 h 309"/>
                                <a:gd name="T2" fmla="*/ 58 w 2061"/>
                                <a:gd name="T3" fmla="*/ 1229 h 309"/>
                                <a:gd name="T4" fmla="*/ 88 w 2061"/>
                                <a:gd name="T5" fmla="*/ 1241 h 309"/>
                                <a:gd name="T6" fmla="*/ 119 w 2061"/>
                                <a:gd name="T7" fmla="*/ 1253 h 309"/>
                                <a:gd name="T8" fmla="*/ 150 w 2061"/>
                                <a:gd name="T9" fmla="*/ 1265 h 309"/>
                                <a:gd name="T10" fmla="*/ 179 w 2061"/>
                                <a:gd name="T11" fmla="*/ 1276 h 309"/>
                                <a:gd name="T12" fmla="*/ 210 w 2061"/>
                                <a:gd name="T13" fmla="*/ 1286 h 309"/>
                                <a:gd name="T14" fmla="*/ 242 w 2061"/>
                                <a:gd name="T15" fmla="*/ 1297 h 309"/>
                                <a:gd name="T16" fmla="*/ 271 w 2061"/>
                                <a:gd name="T17" fmla="*/ 1308 h 309"/>
                                <a:gd name="T18" fmla="*/ 302 w 2061"/>
                                <a:gd name="T19" fmla="*/ 1317 h 309"/>
                                <a:gd name="T20" fmla="*/ 333 w 2061"/>
                                <a:gd name="T21" fmla="*/ 1328 h 309"/>
                                <a:gd name="T22" fmla="*/ 363 w 2061"/>
                                <a:gd name="T23" fmla="*/ 1337 h 309"/>
                                <a:gd name="T24" fmla="*/ 393 w 2061"/>
                                <a:gd name="T25" fmla="*/ 1347 h 309"/>
                                <a:gd name="T26" fmla="*/ 424 w 2061"/>
                                <a:gd name="T27" fmla="*/ 1355 h 309"/>
                                <a:gd name="T28" fmla="*/ 454 w 2061"/>
                                <a:gd name="T29" fmla="*/ 1365 h 309"/>
                                <a:gd name="T30" fmla="*/ 485 w 2061"/>
                                <a:gd name="T31" fmla="*/ 1373 h 309"/>
                                <a:gd name="T32" fmla="*/ 515 w 2061"/>
                                <a:gd name="T33" fmla="*/ 1381 h 309"/>
                                <a:gd name="T34" fmla="*/ 545 w 2061"/>
                                <a:gd name="T35" fmla="*/ 1390 h 309"/>
                                <a:gd name="T36" fmla="*/ 576 w 2061"/>
                                <a:gd name="T37" fmla="*/ 1398 h 309"/>
                                <a:gd name="T38" fmla="*/ 606 w 2061"/>
                                <a:gd name="T39" fmla="*/ 1405 h 309"/>
                                <a:gd name="T40" fmla="*/ 637 w 2061"/>
                                <a:gd name="T41" fmla="*/ 1412 h 309"/>
                                <a:gd name="T42" fmla="*/ 668 w 2061"/>
                                <a:gd name="T43" fmla="*/ 1419 h 309"/>
                                <a:gd name="T44" fmla="*/ 697 w 2061"/>
                                <a:gd name="T45" fmla="*/ 1426 h 309"/>
                                <a:gd name="T46" fmla="*/ 728 w 2061"/>
                                <a:gd name="T47" fmla="*/ 1432 h 309"/>
                                <a:gd name="T48" fmla="*/ 759 w 2061"/>
                                <a:gd name="T49" fmla="*/ 1439 h 309"/>
                                <a:gd name="T50" fmla="*/ 789 w 2061"/>
                                <a:gd name="T51" fmla="*/ 1445 h 309"/>
                                <a:gd name="T52" fmla="*/ 820 w 2061"/>
                                <a:gd name="T53" fmla="*/ 1451 h 309"/>
                                <a:gd name="T54" fmla="*/ 850 w 2061"/>
                                <a:gd name="T55" fmla="*/ 1456 h 309"/>
                                <a:gd name="T56" fmla="*/ 880 w 2061"/>
                                <a:gd name="T57" fmla="*/ 1462 h 309"/>
                                <a:gd name="T58" fmla="*/ 911 w 2061"/>
                                <a:gd name="T59" fmla="*/ 1467 h 309"/>
                                <a:gd name="T60" fmla="*/ 942 w 2061"/>
                                <a:gd name="T61" fmla="*/ 1471 h 309"/>
                                <a:gd name="T62" fmla="*/ 971 w 2061"/>
                                <a:gd name="T63" fmla="*/ 1476 h 309"/>
                                <a:gd name="T64" fmla="*/ 1002 w 2061"/>
                                <a:gd name="T65" fmla="*/ 1481 h 309"/>
                                <a:gd name="T66" fmla="*/ 1033 w 2061"/>
                                <a:gd name="T67" fmla="*/ 1484 h 309"/>
                                <a:gd name="T68" fmla="*/ 1063 w 2061"/>
                                <a:gd name="T69" fmla="*/ 1488 h 309"/>
                                <a:gd name="T70" fmla="*/ 1094 w 2061"/>
                                <a:gd name="T71" fmla="*/ 1492 h 309"/>
                                <a:gd name="T72" fmla="*/ 1125 w 2061"/>
                                <a:gd name="T73" fmla="*/ 1495 h 309"/>
                                <a:gd name="T74" fmla="*/ 1154 w 2061"/>
                                <a:gd name="T75" fmla="*/ 1499 h 309"/>
                                <a:gd name="T76" fmla="*/ 1185 w 2061"/>
                                <a:gd name="T77" fmla="*/ 1501 h 309"/>
                                <a:gd name="T78" fmla="*/ 1216 w 2061"/>
                                <a:gd name="T79" fmla="*/ 1503 h 309"/>
                                <a:gd name="T80" fmla="*/ 1246 w 2061"/>
                                <a:gd name="T81" fmla="*/ 1506 h 309"/>
                                <a:gd name="T82" fmla="*/ 1277 w 2061"/>
                                <a:gd name="T83" fmla="*/ 1508 h 309"/>
                                <a:gd name="T84" fmla="*/ 1356 w 2061"/>
                                <a:gd name="T85" fmla="*/ 1512 h 309"/>
                                <a:gd name="T86" fmla="*/ 1627 w 2061"/>
                                <a:gd name="T87" fmla="*/ 1514 h 309"/>
                                <a:gd name="T88" fmla="*/ 1718 w 2061"/>
                                <a:gd name="T89" fmla="*/ 1509 h 309"/>
                                <a:gd name="T90" fmla="*/ 1749 w 2061"/>
                                <a:gd name="T91" fmla="*/ 1508 h 309"/>
                                <a:gd name="T92" fmla="*/ 1780 w 2061"/>
                                <a:gd name="T93" fmla="*/ 1506 h 309"/>
                                <a:gd name="T94" fmla="*/ 1809 w 2061"/>
                                <a:gd name="T95" fmla="*/ 1503 h 309"/>
                                <a:gd name="T96" fmla="*/ 1840 w 2061"/>
                                <a:gd name="T97" fmla="*/ 1501 h 309"/>
                                <a:gd name="T98" fmla="*/ 1871 w 2061"/>
                                <a:gd name="T99" fmla="*/ 1497 h 309"/>
                                <a:gd name="T100" fmla="*/ 1901 w 2061"/>
                                <a:gd name="T101" fmla="*/ 1495 h 309"/>
                                <a:gd name="T102" fmla="*/ 1932 w 2061"/>
                                <a:gd name="T103" fmla="*/ 1492 h 309"/>
                                <a:gd name="T104" fmla="*/ 1963 w 2061"/>
                                <a:gd name="T105" fmla="*/ 1488 h 309"/>
                                <a:gd name="T106" fmla="*/ 1992 w 2061"/>
                                <a:gd name="T107" fmla="*/ 1484 h 309"/>
                                <a:gd name="T108" fmla="*/ 2023 w 2061"/>
                                <a:gd name="T109" fmla="*/ 1480 h 309"/>
                                <a:gd name="T110" fmla="*/ 2054 w 2061"/>
                                <a:gd name="T111" fmla="*/ 1475 h 309"/>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2061" h="309">
                                  <a:moveTo>
                                    <a:pt x="0" y="0"/>
                                  </a:moveTo>
                                  <a:lnTo>
                                    <a:pt x="5" y="1"/>
                                  </a:lnTo>
                                  <a:lnTo>
                                    <a:pt x="9" y="3"/>
                                  </a:lnTo>
                                  <a:lnTo>
                                    <a:pt x="12" y="5"/>
                                  </a:lnTo>
                                  <a:lnTo>
                                    <a:pt x="16" y="6"/>
                                  </a:lnTo>
                                  <a:lnTo>
                                    <a:pt x="19" y="8"/>
                                  </a:lnTo>
                                  <a:lnTo>
                                    <a:pt x="24" y="9"/>
                                  </a:lnTo>
                                  <a:lnTo>
                                    <a:pt x="28" y="11"/>
                                  </a:lnTo>
                                  <a:lnTo>
                                    <a:pt x="31" y="13"/>
                                  </a:lnTo>
                                  <a:lnTo>
                                    <a:pt x="35" y="14"/>
                                  </a:lnTo>
                                  <a:lnTo>
                                    <a:pt x="38" y="15"/>
                                  </a:lnTo>
                                  <a:lnTo>
                                    <a:pt x="43" y="17"/>
                                  </a:lnTo>
                                  <a:lnTo>
                                    <a:pt x="47" y="19"/>
                                  </a:lnTo>
                                  <a:lnTo>
                                    <a:pt x="50" y="20"/>
                                  </a:lnTo>
                                  <a:lnTo>
                                    <a:pt x="54" y="21"/>
                                  </a:lnTo>
                                  <a:lnTo>
                                    <a:pt x="58" y="22"/>
                                  </a:lnTo>
                                  <a:lnTo>
                                    <a:pt x="62" y="25"/>
                                  </a:lnTo>
                                  <a:lnTo>
                                    <a:pt x="66" y="26"/>
                                  </a:lnTo>
                                  <a:lnTo>
                                    <a:pt x="69" y="27"/>
                                  </a:lnTo>
                                  <a:lnTo>
                                    <a:pt x="73" y="28"/>
                                  </a:lnTo>
                                  <a:lnTo>
                                    <a:pt x="77" y="31"/>
                                  </a:lnTo>
                                  <a:lnTo>
                                    <a:pt x="81" y="32"/>
                                  </a:lnTo>
                                  <a:lnTo>
                                    <a:pt x="85" y="33"/>
                                  </a:lnTo>
                                  <a:lnTo>
                                    <a:pt x="88" y="34"/>
                                  </a:lnTo>
                                  <a:lnTo>
                                    <a:pt x="92" y="37"/>
                                  </a:lnTo>
                                  <a:lnTo>
                                    <a:pt x="96" y="38"/>
                                  </a:lnTo>
                                  <a:lnTo>
                                    <a:pt x="100" y="39"/>
                                  </a:lnTo>
                                  <a:lnTo>
                                    <a:pt x="104" y="40"/>
                                  </a:lnTo>
                                  <a:lnTo>
                                    <a:pt x="107" y="43"/>
                                  </a:lnTo>
                                  <a:lnTo>
                                    <a:pt x="111" y="44"/>
                                  </a:lnTo>
                                  <a:lnTo>
                                    <a:pt x="115" y="45"/>
                                  </a:lnTo>
                                  <a:lnTo>
                                    <a:pt x="119" y="46"/>
                                  </a:lnTo>
                                  <a:lnTo>
                                    <a:pt x="123" y="47"/>
                                  </a:lnTo>
                                  <a:lnTo>
                                    <a:pt x="126" y="50"/>
                                  </a:lnTo>
                                  <a:lnTo>
                                    <a:pt x="130" y="51"/>
                                  </a:lnTo>
                                  <a:lnTo>
                                    <a:pt x="134" y="52"/>
                                  </a:lnTo>
                                  <a:lnTo>
                                    <a:pt x="138" y="53"/>
                                  </a:lnTo>
                                  <a:lnTo>
                                    <a:pt x="142" y="54"/>
                                  </a:lnTo>
                                  <a:lnTo>
                                    <a:pt x="145" y="57"/>
                                  </a:lnTo>
                                  <a:lnTo>
                                    <a:pt x="150" y="58"/>
                                  </a:lnTo>
                                  <a:lnTo>
                                    <a:pt x="153" y="59"/>
                                  </a:lnTo>
                                  <a:lnTo>
                                    <a:pt x="157" y="60"/>
                                  </a:lnTo>
                                  <a:lnTo>
                                    <a:pt x="161" y="62"/>
                                  </a:lnTo>
                                  <a:lnTo>
                                    <a:pt x="164" y="63"/>
                                  </a:lnTo>
                                  <a:lnTo>
                                    <a:pt x="169" y="65"/>
                                  </a:lnTo>
                                  <a:lnTo>
                                    <a:pt x="172" y="66"/>
                                  </a:lnTo>
                                  <a:lnTo>
                                    <a:pt x="176" y="68"/>
                                  </a:lnTo>
                                  <a:lnTo>
                                    <a:pt x="179" y="69"/>
                                  </a:lnTo>
                                  <a:lnTo>
                                    <a:pt x="183" y="70"/>
                                  </a:lnTo>
                                  <a:lnTo>
                                    <a:pt x="188" y="71"/>
                                  </a:lnTo>
                                  <a:lnTo>
                                    <a:pt x="191" y="73"/>
                                  </a:lnTo>
                                  <a:lnTo>
                                    <a:pt x="195" y="75"/>
                                  </a:lnTo>
                                  <a:lnTo>
                                    <a:pt x="198" y="76"/>
                                  </a:lnTo>
                                  <a:lnTo>
                                    <a:pt x="202" y="77"/>
                                  </a:lnTo>
                                  <a:lnTo>
                                    <a:pt x="207" y="78"/>
                                  </a:lnTo>
                                  <a:lnTo>
                                    <a:pt x="210" y="79"/>
                                  </a:lnTo>
                                  <a:lnTo>
                                    <a:pt x="214" y="81"/>
                                  </a:lnTo>
                                  <a:lnTo>
                                    <a:pt x="217" y="83"/>
                                  </a:lnTo>
                                  <a:lnTo>
                                    <a:pt x="221" y="84"/>
                                  </a:lnTo>
                                  <a:lnTo>
                                    <a:pt x="226" y="85"/>
                                  </a:lnTo>
                                  <a:lnTo>
                                    <a:pt x="230" y="86"/>
                                  </a:lnTo>
                                  <a:lnTo>
                                    <a:pt x="233" y="88"/>
                                  </a:lnTo>
                                  <a:lnTo>
                                    <a:pt x="237" y="89"/>
                                  </a:lnTo>
                                  <a:lnTo>
                                    <a:pt x="242" y="90"/>
                                  </a:lnTo>
                                  <a:lnTo>
                                    <a:pt x="245" y="91"/>
                                  </a:lnTo>
                                  <a:lnTo>
                                    <a:pt x="249" y="92"/>
                                  </a:lnTo>
                                  <a:lnTo>
                                    <a:pt x="252" y="95"/>
                                  </a:lnTo>
                                  <a:lnTo>
                                    <a:pt x="256" y="96"/>
                                  </a:lnTo>
                                  <a:lnTo>
                                    <a:pt x="261" y="97"/>
                                  </a:lnTo>
                                  <a:lnTo>
                                    <a:pt x="264" y="98"/>
                                  </a:lnTo>
                                  <a:lnTo>
                                    <a:pt x="268" y="100"/>
                                  </a:lnTo>
                                  <a:lnTo>
                                    <a:pt x="271" y="101"/>
                                  </a:lnTo>
                                  <a:lnTo>
                                    <a:pt x="275" y="102"/>
                                  </a:lnTo>
                                  <a:lnTo>
                                    <a:pt x="279" y="103"/>
                                  </a:lnTo>
                                  <a:lnTo>
                                    <a:pt x="283" y="104"/>
                                  </a:lnTo>
                                  <a:lnTo>
                                    <a:pt x="287" y="105"/>
                                  </a:lnTo>
                                  <a:lnTo>
                                    <a:pt x="290" y="107"/>
                                  </a:lnTo>
                                  <a:lnTo>
                                    <a:pt x="294" y="108"/>
                                  </a:lnTo>
                                  <a:lnTo>
                                    <a:pt x="298" y="109"/>
                                  </a:lnTo>
                                  <a:lnTo>
                                    <a:pt x="302" y="110"/>
                                  </a:lnTo>
                                  <a:lnTo>
                                    <a:pt x="306" y="113"/>
                                  </a:lnTo>
                                  <a:lnTo>
                                    <a:pt x="309" y="114"/>
                                  </a:lnTo>
                                  <a:lnTo>
                                    <a:pt x="313" y="115"/>
                                  </a:lnTo>
                                  <a:lnTo>
                                    <a:pt x="317" y="116"/>
                                  </a:lnTo>
                                  <a:lnTo>
                                    <a:pt x="321" y="117"/>
                                  </a:lnTo>
                                  <a:lnTo>
                                    <a:pt x="325" y="119"/>
                                  </a:lnTo>
                                  <a:lnTo>
                                    <a:pt x="328" y="120"/>
                                  </a:lnTo>
                                  <a:lnTo>
                                    <a:pt x="333" y="121"/>
                                  </a:lnTo>
                                  <a:lnTo>
                                    <a:pt x="336" y="122"/>
                                  </a:lnTo>
                                  <a:lnTo>
                                    <a:pt x="340" y="123"/>
                                  </a:lnTo>
                                  <a:lnTo>
                                    <a:pt x="344" y="124"/>
                                  </a:lnTo>
                                  <a:lnTo>
                                    <a:pt x="347" y="126"/>
                                  </a:lnTo>
                                  <a:lnTo>
                                    <a:pt x="352" y="127"/>
                                  </a:lnTo>
                                  <a:lnTo>
                                    <a:pt x="355" y="128"/>
                                  </a:lnTo>
                                  <a:lnTo>
                                    <a:pt x="359" y="129"/>
                                  </a:lnTo>
                                  <a:lnTo>
                                    <a:pt x="363" y="130"/>
                                  </a:lnTo>
                                  <a:lnTo>
                                    <a:pt x="366" y="132"/>
                                  </a:lnTo>
                                  <a:lnTo>
                                    <a:pt x="371" y="133"/>
                                  </a:lnTo>
                                  <a:lnTo>
                                    <a:pt x="374" y="134"/>
                                  </a:lnTo>
                                  <a:lnTo>
                                    <a:pt x="378" y="135"/>
                                  </a:lnTo>
                                  <a:lnTo>
                                    <a:pt x="382" y="136"/>
                                  </a:lnTo>
                                  <a:lnTo>
                                    <a:pt x="385" y="137"/>
                                  </a:lnTo>
                                  <a:lnTo>
                                    <a:pt x="390" y="139"/>
                                  </a:lnTo>
                                  <a:lnTo>
                                    <a:pt x="393" y="140"/>
                                  </a:lnTo>
                                  <a:lnTo>
                                    <a:pt x="397" y="141"/>
                                  </a:lnTo>
                                  <a:lnTo>
                                    <a:pt x="401" y="142"/>
                                  </a:lnTo>
                                  <a:lnTo>
                                    <a:pt x="404" y="143"/>
                                  </a:lnTo>
                                  <a:lnTo>
                                    <a:pt x="409" y="145"/>
                                  </a:lnTo>
                                  <a:lnTo>
                                    <a:pt x="412" y="146"/>
                                  </a:lnTo>
                                  <a:lnTo>
                                    <a:pt x="416" y="146"/>
                                  </a:lnTo>
                                  <a:lnTo>
                                    <a:pt x="420" y="147"/>
                                  </a:lnTo>
                                  <a:lnTo>
                                    <a:pt x="424" y="148"/>
                                  </a:lnTo>
                                  <a:lnTo>
                                    <a:pt x="428" y="149"/>
                                  </a:lnTo>
                                  <a:lnTo>
                                    <a:pt x="431" y="151"/>
                                  </a:lnTo>
                                  <a:lnTo>
                                    <a:pt x="435" y="152"/>
                                  </a:lnTo>
                                  <a:lnTo>
                                    <a:pt x="439" y="153"/>
                                  </a:lnTo>
                                  <a:lnTo>
                                    <a:pt x="443" y="154"/>
                                  </a:lnTo>
                                  <a:lnTo>
                                    <a:pt x="447" y="155"/>
                                  </a:lnTo>
                                  <a:lnTo>
                                    <a:pt x="450" y="156"/>
                                  </a:lnTo>
                                  <a:lnTo>
                                    <a:pt x="454" y="158"/>
                                  </a:lnTo>
                                  <a:lnTo>
                                    <a:pt x="458" y="159"/>
                                  </a:lnTo>
                                  <a:lnTo>
                                    <a:pt x="462" y="160"/>
                                  </a:lnTo>
                                  <a:lnTo>
                                    <a:pt x="466" y="161"/>
                                  </a:lnTo>
                                  <a:lnTo>
                                    <a:pt x="469" y="161"/>
                                  </a:lnTo>
                                  <a:lnTo>
                                    <a:pt x="473" y="162"/>
                                  </a:lnTo>
                                  <a:lnTo>
                                    <a:pt x="477" y="164"/>
                                  </a:lnTo>
                                  <a:lnTo>
                                    <a:pt x="481" y="165"/>
                                  </a:lnTo>
                                  <a:lnTo>
                                    <a:pt x="485" y="166"/>
                                  </a:lnTo>
                                  <a:lnTo>
                                    <a:pt x="488" y="167"/>
                                  </a:lnTo>
                                  <a:lnTo>
                                    <a:pt x="492" y="168"/>
                                  </a:lnTo>
                                  <a:lnTo>
                                    <a:pt x="496" y="170"/>
                                  </a:lnTo>
                                  <a:lnTo>
                                    <a:pt x="500" y="171"/>
                                  </a:lnTo>
                                  <a:lnTo>
                                    <a:pt x="504" y="172"/>
                                  </a:lnTo>
                                  <a:lnTo>
                                    <a:pt x="507" y="172"/>
                                  </a:lnTo>
                                  <a:lnTo>
                                    <a:pt x="511" y="173"/>
                                  </a:lnTo>
                                  <a:lnTo>
                                    <a:pt x="515" y="174"/>
                                  </a:lnTo>
                                  <a:lnTo>
                                    <a:pt x="519" y="175"/>
                                  </a:lnTo>
                                  <a:lnTo>
                                    <a:pt x="523" y="177"/>
                                  </a:lnTo>
                                  <a:lnTo>
                                    <a:pt x="526" y="178"/>
                                  </a:lnTo>
                                  <a:lnTo>
                                    <a:pt x="530" y="179"/>
                                  </a:lnTo>
                                  <a:lnTo>
                                    <a:pt x="535" y="179"/>
                                  </a:lnTo>
                                  <a:lnTo>
                                    <a:pt x="538" y="180"/>
                                  </a:lnTo>
                                  <a:lnTo>
                                    <a:pt x="542" y="181"/>
                                  </a:lnTo>
                                  <a:lnTo>
                                    <a:pt x="545" y="183"/>
                                  </a:lnTo>
                                  <a:lnTo>
                                    <a:pt x="549" y="184"/>
                                  </a:lnTo>
                                  <a:lnTo>
                                    <a:pt x="554" y="185"/>
                                  </a:lnTo>
                                  <a:lnTo>
                                    <a:pt x="557" y="185"/>
                                  </a:lnTo>
                                  <a:lnTo>
                                    <a:pt x="561" y="186"/>
                                  </a:lnTo>
                                  <a:lnTo>
                                    <a:pt x="564" y="187"/>
                                  </a:lnTo>
                                  <a:lnTo>
                                    <a:pt x="568" y="188"/>
                                  </a:lnTo>
                                  <a:lnTo>
                                    <a:pt x="573" y="190"/>
                                  </a:lnTo>
                                  <a:lnTo>
                                    <a:pt x="576" y="191"/>
                                  </a:lnTo>
                                  <a:lnTo>
                                    <a:pt x="580" y="191"/>
                                  </a:lnTo>
                                  <a:lnTo>
                                    <a:pt x="583" y="192"/>
                                  </a:lnTo>
                                  <a:lnTo>
                                    <a:pt x="587" y="193"/>
                                  </a:lnTo>
                                  <a:lnTo>
                                    <a:pt x="592" y="194"/>
                                  </a:lnTo>
                                  <a:lnTo>
                                    <a:pt x="595" y="196"/>
                                  </a:lnTo>
                                  <a:lnTo>
                                    <a:pt x="599" y="196"/>
                                  </a:lnTo>
                                  <a:lnTo>
                                    <a:pt x="602" y="197"/>
                                  </a:lnTo>
                                  <a:lnTo>
                                    <a:pt x="606" y="198"/>
                                  </a:lnTo>
                                  <a:lnTo>
                                    <a:pt x="611" y="199"/>
                                  </a:lnTo>
                                  <a:lnTo>
                                    <a:pt x="614" y="199"/>
                                  </a:lnTo>
                                  <a:lnTo>
                                    <a:pt x="618" y="200"/>
                                  </a:lnTo>
                                  <a:lnTo>
                                    <a:pt x="621" y="202"/>
                                  </a:lnTo>
                                  <a:lnTo>
                                    <a:pt x="626" y="203"/>
                                  </a:lnTo>
                                  <a:lnTo>
                                    <a:pt x="630" y="204"/>
                                  </a:lnTo>
                                  <a:lnTo>
                                    <a:pt x="633" y="204"/>
                                  </a:lnTo>
                                  <a:lnTo>
                                    <a:pt x="637" y="205"/>
                                  </a:lnTo>
                                  <a:lnTo>
                                    <a:pt x="640" y="206"/>
                                  </a:lnTo>
                                  <a:lnTo>
                                    <a:pt x="645" y="207"/>
                                  </a:lnTo>
                                  <a:lnTo>
                                    <a:pt x="649" y="207"/>
                                  </a:lnTo>
                                  <a:lnTo>
                                    <a:pt x="652" y="209"/>
                                  </a:lnTo>
                                  <a:lnTo>
                                    <a:pt x="656" y="210"/>
                                  </a:lnTo>
                                  <a:lnTo>
                                    <a:pt x="659" y="211"/>
                                  </a:lnTo>
                                  <a:lnTo>
                                    <a:pt x="664" y="211"/>
                                  </a:lnTo>
                                  <a:lnTo>
                                    <a:pt x="668" y="212"/>
                                  </a:lnTo>
                                  <a:lnTo>
                                    <a:pt x="671" y="213"/>
                                  </a:lnTo>
                                  <a:lnTo>
                                    <a:pt x="675" y="215"/>
                                  </a:lnTo>
                                  <a:lnTo>
                                    <a:pt x="678" y="215"/>
                                  </a:lnTo>
                                  <a:lnTo>
                                    <a:pt x="683" y="216"/>
                                  </a:lnTo>
                                  <a:lnTo>
                                    <a:pt x="687" y="217"/>
                                  </a:lnTo>
                                  <a:lnTo>
                                    <a:pt x="690" y="217"/>
                                  </a:lnTo>
                                  <a:lnTo>
                                    <a:pt x="694" y="218"/>
                                  </a:lnTo>
                                  <a:lnTo>
                                    <a:pt x="697" y="219"/>
                                  </a:lnTo>
                                  <a:lnTo>
                                    <a:pt x="702" y="220"/>
                                  </a:lnTo>
                                  <a:lnTo>
                                    <a:pt x="706" y="220"/>
                                  </a:lnTo>
                                  <a:lnTo>
                                    <a:pt x="709" y="222"/>
                                  </a:lnTo>
                                  <a:lnTo>
                                    <a:pt x="713" y="223"/>
                                  </a:lnTo>
                                  <a:lnTo>
                                    <a:pt x="717" y="223"/>
                                  </a:lnTo>
                                  <a:lnTo>
                                    <a:pt x="721" y="224"/>
                                  </a:lnTo>
                                  <a:lnTo>
                                    <a:pt x="725" y="225"/>
                                  </a:lnTo>
                                  <a:lnTo>
                                    <a:pt x="728" y="225"/>
                                  </a:lnTo>
                                  <a:lnTo>
                                    <a:pt x="732" y="226"/>
                                  </a:lnTo>
                                  <a:lnTo>
                                    <a:pt x="736" y="228"/>
                                  </a:lnTo>
                                  <a:lnTo>
                                    <a:pt x="740" y="228"/>
                                  </a:lnTo>
                                  <a:lnTo>
                                    <a:pt x="744" y="229"/>
                                  </a:lnTo>
                                  <a:lnTo>
                                    <a:pt x="747" y="230"/>
                                  </a:lnTo>
                                  <a:lnTo>
                                    <a:pt x="751" y="230"/>
                                  </a:lnTo>
                                  <a:lnTo>
                                    <a:pt x="755" y="231"/>
                                  </a:lnTo>
                                  <a:lnTo>
                                    <a:pt x="759" y="232"/>
                                  </a:lnTo>
                                  <a:lnTo>
                                    <a:pt x="763" y="232"/>
                                  </a:lnTo>
                                  <a:lnTo>
                                    <a:pt x="766" y="234"/>
                                  </a:lnTo>
                                  <a:lnTo>
                                    <a:pt x="770" y="235"/>
                                  </a:lnTo>
                                  <a:lnTo>
                                    <a:pt x="774" y="235"/>
                                  </a:lnTo>
                                  <a:lnTo>
                                    <a:pt x="778" y="236"/>
                                  </a:lnTo>
                                  <a:lnTo>
                                    <a:pt x="782" y="237"/>
                                  </a:lnTo>
                                  <a:lnTo>
                                    <a:pt x="785" y="237"/>
                                  </a:lnTo>
                                  <a:lnTo>
                                    <a:pt x="789" y="238"/>
                                  </a:lnTo>
                                  <a:lnTo>
                                    <a:pt x="793" y="238"/>
                                  </a:lnTo>
                                  <a:lnTo>
                                    <a:pt x="797" y="239"/>
                                  </a:lnTo>
                                  <a:lnTo>
                                    <a:pt x="801" y="241"/>
                                  </a:lnTo>
                                  <a:lnTo>
                                    <a:pt x="804" y="241"/>
                                  </a:lnTo>
                                  <a:lnTo>
                                    <a:pt x="809" y="242"/>
                                  </a:lnTo>
                                  <a:lnTo>
                                    <a:pt x="812" y="243"/>
                                  </a:lnTo>
                                  <a:lnTo>
                                    <a:pt x="816" y="243"/>
                                  </a:lnTo>
                                  <a:lnTo>
                                    <a:pt x="820" y="244"/>
                                  </a:lnTo>
                                  <a:lnTo>
                                    <a:pt x="823" y="244"/>
                                  </a:lnTo>
                                  <a:lnTo>
                                    <a:pt x="828" y="245"/>
                                  </a:lnTo>
                                  <a:lnTo>
                                    <a:pt x="831" y="247"/>
                                  </a:lnTo>
                                  <a:lnTo>
                                    <a:pt x="835" y="247"/>
                                  </a:lnTo>
                                  <a:lnTo>
                                    <a:pt x="839" y="248"/>
                                  </a:lnTo>
                                  <a:lnTo>
                                    <a:pt x="842" y="248"/>
                                  </a:lnTo>
                                  <a:lnTo>
                                    <a:pt x="847" y="249"/>
                                  </a:lnTo>
                                  <a:lnTo>
                                    <a:pt x="850" y="249"/>
                                  </a:lnTo>
                                  <a:lnTo>
                                    <a:pt x="854" y="250"/>
                                  </a:lnTo>
                                  <a:lnTo>
                                    <a:pt x="858" y="251"/>
                                  </a:lnTo>
                                  <a:lnTo>
                                    <a:pt x="861" y="251"/>
                                  </a:lnTo>
                                  <a:lnTo>
                                    <a:pt x="866" y="253"/>
                                  </a:lnTo>
                                  <a:lnTo>
                                    <a:pt x="869" y="253"/>
                                  </a:lnTo>
                                  <a:lnTo>
                                    <a:pt x="873" y="254"/>
                                  </a:lnTo>
                                  <a:lnTo>
                                    <a:pt x="877" y="254"/>
                                  </a:lnTo>
                                  <a:lnTo>
                                    <a:pt x="880" y="255"/>
                                  </a:lnTo>
                                  <a:lnTo>
                                    <a:pt x="885" y="255"/>
                                  </a:lnTo>
                                  <a:lnTo>
                                    <a:pt x="888" y="256"/>
                                  </a:lnTo>
                                  <a:lnTo>
                                    <a:pt x="892" y="257"/>
                                  </a:lnTo>
                                  <a:lnTo>
                                    <a:pt x="896" y="257"/>
                                  </a:lnTo>
                                  <a:lnTo>
                                    <a:pt x="899" y="258"/>
                                  </a:lnTo>
                                  <a:lnTo>
                                    <a:pt x="904" y="258"/>
                                  </a:lnTo>
                                  <a:lnTo>
                                    <a:pt x="907" y="260"/>
                                  </a:lnTo>
                                  <a:lnTo>
                                    <a:pt x="911" y="260"/>
                                  </a:lnTo>
                                  <a:lnTo>
                                    <a:pt x="914" y="261"/>
                                  </a:lnTo>
                                  <a:lnTo>
                                    <a:pt x="919" y="261"/>
                                  </a:lnTo>
                                  <a:lnTo>
                                    <a:pt x="923" y="262"/>
                                  </a:lnTo>
                                  <a:lnTo>
                                    <a:pt x="926" y="262"/>
                                  </a:lnTo>
                                  <a:lnTo>
                                    <a:pt x="930" y="263"/>
                                  </a:lnTo>
                                  <a:lnTo>
                                    <a:pt x="933" y="263"/>
                                  </a:lnTo>
                                  <a:lnTo>
                                    <a:pt x="938" y="264"/>
                                  </a:lnTo>
                                  <a:lnTo>
                                    <a:pt x="942" y="264"/>
                                  </a:lnTo>
                                  <a:lnTo>
                                    <a:pt x="945" y="266"/>
                                  </a:lnTo>
                                  <a:lnTo>
                                    <a:pt x="949" y="266"/>
                                  </a:lnTo>
                                  <a:lnTo>
                                    <a:pt x="952" y="267"/>
                                  </a:lnTo>
                                  <a:lnTo>
                                    <a:pt x="957" y="267"/>
                                  </a:lnTo>
                                  <a:lnTo>
                                    <a:pt x="961" y="268"/>
                                  </a:lnTo>
                                  <a:lnTo>
                                    <a:pt x="964" y="268"/>
                                  </a:lnTo>
                                  <a:lnTo>
                                    <a:pt x="968" y="269"/>
                                  </a:lnTo>
                                  <a:lnTo>
                                    <a:pt x="971" y="269"/>
                                  </a:lnTo>
                                  <a:lnTo>
                                    <a:pt x="976" y="270"/>
                                  </a:lnTo>
                                  <a:lnTo>
                                    <a:pt x="980" y="270"/>
                                  </a:lnTo>
                                  <a:lnTo>
                                    <a:pt x="983" y="270"/>
                                  </a:lnTo>
                                  <a:lnTo>
                                    <a:pt x="987" y="271"/>
                                  </a:lnTo>
                                  <a:lnTo>
                                    <a:pt x="990" y="271"/>
                                  </a:lnTo>
                                  <a:lnTo>
                                    <a:pt x="995" y="273"/>
                                  </a:lnTo>
                                  <a:lnTo>
                                    <a:pt x="999" y="273"/>
                                  </a:lnTo>
                                  <a:lnTo>
                                    <a:pt x="1002" y="274"/>
                                  </a:lnTo>
                                  <a:lnTo>
                                    <a:pt x="1006" y="274"/>
                                  </a:lnTo>
                                  <a:lnTo>
                                    <a:pt x="1011" y="275"/>
                                  </a:lnTo>
                                  <a:lnTo>
                                    <a:pt x="1014" y="275"/>
                                  </a:lnTo>
                                  <a:lnTo>
                                    <a:pt x="1018" y="275"/>
                                  </a:lnTo>
                                  <a:lnTo>
                                    <a:pt x="1021" y="276"/>
                                  </a:lnTo>
                                  <a:lnTo>
                                    <a:pt x="1025" y="276"/>
                                  </a:lnTo>
                                  <a:lnTo>
                                    <a:pt x="1030" y="277"/>
                                  </a:lnTo>
                                  <a:lnTo>
                                    <a:pt x="1033" y="277"/>
                                  </a:lnTo>
                                  <a:lnTo>
                                    <a:pt x="1037" y="279"/>
                                  </a:lnTo>
                                  <a:lnTo>
                                    <a:pt x="1040" y="279"/>
                                  </a:lnTo>
                                  <a:lnTo>
                                    <a:pt x="1044" y="279"/>
                                  </a:lnTo>
                                  <a:lnTo>
                                    <a:pt x="1049" y="280"/>
                                  </a:lnTo>
                                  <a:lnTo>
                                    <a:pt x="1052" y="280"/>
                                  </a:lnTo>
                                  <a:lnTo>
                                    <a:pt x="1056" y="281"/>
                                  </a:lnTo>
                                  <a:lnTo>
                                    <a:pt x="1059" y="281"/>
                                  </a:lnTo>
                                  <a:lnTo>
                                    <a:pt x="1063" y="281"/>
                                  </a:lnTo>
                                  <a:lnTo>
                                    <a:pt x="1068" y="282"/>
                                  </a:lnTo>
                                  <a:lnTo>
                                    <a:pt x="1071" y="282"/>
                                  </a:lnTo>
                                  <a:lnTo>
                                    <a:pt x="1075" y="283"/>
                                  </a:lnTo>
                                  <a:lnTo>
                                    <a:pt x="1078" y="283"/>
                                  </a:lnTo>
                                  <a:lnTo>
                                    <a:pt x="1082" y="283"/>
                                  </a:lnTo>
                                  <a:lnTo>
                                    <a:pt x="1087" y="285"/>
                                  </a:lnTo>
                                  <a:lnTo>
                                    <a:pt x="1090" y="285"/>
                                  </a:lnTo>
                                  <a:lnTo>
                                    <a:pt x="1094" y="285"/>
                                  </a:lnTo>
                                  <a:lnTo>
                                    <a:pt x="1097" y="286"/>
                                  </a:lnTo>
                                  <a:lnTo>
                                    <a:pt x="1102" y="286"/>
                                  </a:lnTo>
                                  <a:lnTo>
                                    <a:pt x="1106" y="286"/>
                                  </a:lnTo>
                                  <a:lnTo>
                                    <a:pt x="1109" y="287"/>
                                  </a:lnTo>
                                  <a:lnTo>
                                    <a:pt x="1113" y="287"/>
                                  </a:lnTo>
                                  <a:lnTo>
                                    <a:pt x="1116" y="287"/>
                                  </a:lnTo>
                                  <a:lnTo>
                                    <a:pt x="1121" y="288"/>
                                  </a:lnTo>
                                  <a:lnTo>
                                    <a:pt x="1125" y="288"/>
                                  </a:lnTo>
                                  <a:lnTo>
                                    <a:pt x="1128" y="289"/>
                                  </a:lnTo>
                                  <a:lnTo>
                                    <a:pt x="1132" y="289"/>
                                  </a:lnTo>
                                  <a:lnTo>
                                    <a:pt x="1135" y="289"/>
                                  </a:lnTo>
                                  <a:lnTo>
                                    <a:pt x="1140" y="289"/>
                                  </a:lnTo>
                                  <a:lnTo>
                                    <a:pt x="1144" y="290"/>
                                  </a:lnTo>
                                  <a:lnTo>
                                    <a:pt x="1147" y="290"/>
                                  </a:lnTo>
                                  <a:lnTo>
                                    <a:pt x="1151" y="290"/>
                                  </a:lnTo>
                                  <a:lnTo>
                                    <a:pt x="1154" y="292"/>
                                  </a:lnTo>
                                  <a:lnTo>
                                    <a:pt x="1159" y="292"/>
                                  </a:lnTo>
                                  <a:lnTo>
                                    <a:pt x="1163" y="292"/>
                                  </a:lnTo>
                                  <a:lnTo>
                                    <a:pt x="1166" y="293"/>
                                  </a:lnTo>
                                  <a:lnTo>
                                    <a:pt x="1170" y="293"/>
                                  </a:lnTo>
                                  <a:lnTo>
                                    <a:pt x="1173" y="293"/>
                                  </a:lnTo>
                                  <a:lnTo>
                                    <a:pt x="1178" y="294"/>
                                  </a:lnTo>
                                  <a:lnTo>
                                    <a:pt x="1182" y="294"/>
                                  </a:lnTo>
                                  <a:lnTo>
                                    <a:pt x="1185" y="294"/>
                                  </a:lnTo>
                                  <a:lnTo>
                                    <a:pt x="1189" y="294"/>
                                  </a:lnTo>
                                  <a:lnTo>
                                    <a:pt x="1193" y="295"/>
                                  </a:lnTo>
                                  <a:lnTo>
                                    <a:pt x="1197" y="295"/>
                                  </a:lnTo>
                                  <a:lnTo>
                                    <a:pt x="1201" y="295"/>
                                  </a:lnTo>
                                  <a:lnTo>
                                    <a:pt x="1204" y="295"/>
                                  </a:lnTo>
                                  <a:lnTo>
                                    <a:pt x="1208" y="296"/>
                                  </a:lnTo>
                                  <a:lnTo>
                                    <a:pt x="1212" y="296"/>
                                  </a:lnTo>
                                  <a:lnTo>
                                    <a:pt x="1216" y="296"/>
                                  </a:lnTo>
                                  <a:lnTo>
                                    <a:pt x="1220" y="298"/>
                                  </a:lnTo>
                                  <a:lnTo>
                                    <a:pt x="1223" y="298"/>
                                  </a:lnTo>
                                  <a:lnTo>
                                    <a:pt x="1227" y="298"/>
                                  </a:lnTo>
                                  <a:lnTo>
                                    <a:pt x="1231" y="298"/>
                                  </a:lnTo>
                                  <a:lnTo>
                                    <a:pt x="1235" y="299"/>
                                  </a:lnTo>
                                  <a:lnTo>
                                    <a:pt x="1239" y="299"/>
                                  </a:lnTo>
                                  <a:lnTo>
                                    <a:pt x="1242" y="299"/>
                                  </a:lnTo>
                                  <a:lnTo>
                                    <a:pt x="1246" y="299"/>
                                  </a:lnTo>
                                  <a:lnTo>
                                    <a:pt x="1250" y="299"/>
                                  </a:lnTo>
                                  <a:lnTo>
                                    <a:pt x="1254" y="300"/>
                                  </a:lnTo>
                                  <a:lnTo>
                                    <a:pt x="1258" y="300"/>
                                  </a:lnTo>
                                  <a:lnTo>
                                    <a:pt x="1261" y="300"/>
                                  </a:lnTo>
                                  <a:lnTo>
                                    <a:pt x="1265" y="300"/>
                                  </a:lnTo>
                                  <a:lnTo>
                                    <a:pt x="1269" y="301"/>
                                  </a:lnTo>
                                  <a:lnTo>
                                    <a:pt x="1273" y="301"/>
                                  </a:lnTo>
                                  <a:lnTo>
                                    <a:pt x="1277" y="301"/>
                                  </a:lnTo>
                                  <a:lnTo>
                                    <a:pt x="1280" y="301"/>
                                  </a:lnTo>
                                  <a:lnTo>
                                    <a:pt x="1284" y="301"/>
                                  </a:lnTo>
                                  <a:lnTo>
                                    <a:pt x="1288" y="302"/>
                                  </a:lnTo>
                                  <a:lnTo>
                                    <a:pt x="1307" y="302"/>
                                  </a:lnTo>
                                  <a:lnTo>
                                    <a:pt x="1311" y="304"/>
                                  </a:lnTo>
                                  <a:lnTo>
                                    <a:pt x="1330" y="304"/>
                                  </a:lnTo>
                                  <a:lnTo>
                                    <a:pt x="1333" y="305"/>
                                  </a:lnTo>
                                  <a:lnTo>
                                    <a:pt x="1356" y="305"/>
                                  </a:lnTo>
                                  <a:lnTo>
                                    <a:pt x="1361" y="306"/>
                                  </a:lnTo>
                                  <a:lnTo>
                                    <a:pt x="1387" y="306"/>
                                  </a:lnTo>
                                  <a:lnTo>
                                    <a:pt x="1390" y="307"/>
                                  </a:lnTo>
                                  <a:lnTo>
                                    <a:pt x="1433" y="307"/>
                                  </a:lnTo>
                                  <a:lnTo>
                                    <a:pt x="1437" y="308"/>
                                  </a:lnTo>
                                  <a:lnTo>
                                    <a:pt x="1585" y="308"/>
                                  </a:lnTo>
                                  <a:lnTo>
                                    <a:pt x="1589" y="307"/>
                                  </a:lnTo>
                                  <a:lnTo>
                                    <a:pt x="1627" y="307"/>
                                  </a:lnTo>
                                  <a:lnTo>
                                    <a:pt x="1630" y="306"/>
                                  </a:lnTo>
                                  <a:lnTo>
                                    <a:pt x="1661" y="306"/>
                                  </a:lnTo>
                                  <a:lnTo>
                                    <a:pt x="1665" y="305"/>
                                  </a:lnTo>
                                  <a:lnTo>
                                    <a:pt x="1688" y="305"/>
                                  </a:lnTo>
                                  <a:lnTo>
                                    <a:pt x="1692" y="304"/>
                                  </a:lnTo>
                                  <a:lnTo>
                                    <a:pt x="1711" y="304"/>
                                  </a:lnTo>
                                  <a:lnTo>
                                    <a:pt x="1714" y="302"/>
                                  </a:lnTo>
                                  <a:lnTo>
                                    <a:pt x="1718" y="302"/>
                                  </a:lnTo>
                                  <a:lnTo>
                                    <a:pt x="1722" y="302"/>
                                  </a:lnTo>
                                  <a:lnTo>
                                    <a:pt x="1726" y="302"/>
                                  </a:lnTo>
                                  <a:lnTo>
                                    <a:pt x="1730" y="302"/>
                                  </a:lnTo>
                                  <a:lnTo>
                                    <a:pt x="1733" y="301"/>
                                  </a:lnTo>
                                  <a:lnTo>
                                    <a:pt x="1737" y="301"/>
                                  </a:lnTo>
                                  <a:lnTo>
                                    <a:pt x="1741" y="301"/>
                                  </a:lnTo>
                                  <a:lnTo>
                                    <a:pt x="1745" y="301"/>
                                  </a:lnTo>
                                  <a:lnTo>
                                    <a:pt x="1749" y="301"/>
                                  </a:lnTo>
                                  <a:lnTo>
                                    <a:pt x="1752" y="300"/>
                                  </a:lnTo>
                                  <a:lnTo>
                                    <a:pt x="1756" y="300"/>
                                  </a:lnTo>
                                  <a:lnTo>
                                    <a:pt x="1760" y="300"/>
                                  </a:lnTo>
                                  <a:lnTo>
                                    <a:pt x="1764" y="300"/>
                                  </a:lnTo>
                                  <a:lnTo>
                                    <a:pt x="1768" y="300"/>
                                  </a:lnTo>
                                  <a:lnTo>
                                    <a:pt x="1771" y="299"/>
                                  </a:lnTo>
                                  <a:lnTo>
                                    <a:pt x="1775" y="299"/>
                                  </a:lnTo>
                                  <a:lnTo>
                                    <a:pt x="1780" y="299"/>
                                  </a:lnTo>
                                  <a:lnTo>
                                    <a:pt x="1783" y="299"/>
                                  </a:lnTo>
                                  <a:lnTo>
                                    <a:pt x="1787" y="298"/>
                                  </a:lnTo>
                                  <a:lnTo>
                                    <a:pt x="1790" y="298"/>
                                  </a:lnTo>
                                  <a:lnTo>
                                    <a:pt x="1794" y="298"/>
                                  </a:lnTo>
                                  <a:lnTo>
                                    <a:pt x="1799" y="298"/>
                                  </a:lnTo>
                                  <a:lnTo>
                                    <a:pt x="1802" y="296"/>
                                  </a:lnTo>
                                  <a:lnTo>
                                    <a:pt x="1806" y="296"/>
                                  </a:lnTo>
                                  <a:lnTo>
                                    <a:pt x="1809" y="296"/>
                                  </a:lnTo>
                                  <a:lnTo>
                                    <a:pt x="1813" y="296"/>
                                  </a:lnTo>
                                  <a:lnTo>
                                    <a:pt x="1818" y="295"/>
                                  </a:lnTo>
                                  <a:lnTo>
                                    <a:pt x="1821" y="295"/>
                                  </a:lnTo>
                                  <a:lnTo>
                                    <a:pt x="1825" y="295"/>
                                  </a:lnTo>
                                  <a:lnTo>
                                    <a:pt x="1828" y="295"/>
                                  </a:lnTo>
                                  <a:lnTo>
                                    <a:pt x="1832" y="294"/>
                                  </a:lnTo>
                                  <a:lnTo>
                                    <a:pt x="1837" y="294"/>
                                  </a:lnTo>
                                  <a:lnTo>
                                    <a:pt x="1840" y="294"/>
                                  </a:lnTo>
                                  <a:lnTo>
                                    <a:pt x="1844" y="293"/>
                                  </a:lnTo>
                                  <a:lnTo>
                                    <a:pt x="1847" y="293"/>
                                  </a:lnTo>
                                  <a:lnTo>
                                    <a:pt x="1851" y="293"/>
                                  </a:lnTo>
                                  <a:lnTo>
                                    <a:pt x="1856" y="293"/>
                                  </a:lnTo>
                                  <a:lnTo>
                                    <a:pt x="1859" y="292"/>
                                  </a:lnTo>
                                  <a:lnTo>
                                    <a:pt x="1863" y="292"/>
                                  </a:lnTo>
                                  <a:lnTo>
                                    <a:pt x="1866" y="292"/>
                                  </a:lnTo>
                                  <a:lnTo>
                                    <a:pt x="1871" y="290"/>
                                  </a:lnTo>
                                  <a:lnTo>
                                    <a:pt x="1875" y="290"/>
                                  </a:lnTo>
                                  <a:lnTo>
                                    <a:pt x="1878" y="290"/>
                                  </a:lnTo>
                                  <a:lnTo>
                                    <a:pt x="1882" y="289"/>
                                  </a:lnTo>
                                  <a:lnTo>
                                    <a:pt x="1885" y="289"/>
                                  </a:lnTo>
                                  <a:lnTo>
                                    <a:pt x="1890" y="289"/>
                                  </a:lnTo>
                                  <a:lnTo>
                                    <a:pt x="1894" y="288"/>
                                  </a:lnTo>
                                  <a:lnTo>
                                    <a:pt x="1897" y="288"/>
                                  </a:lnTo>
                                  <a:lnTo>
                                    <a:pt x="1901" y="288"/>
                                  </a:lnTo>
                                  <a:lnTo>
                                    <a:pt x="1904" y="287"/>
                                  </a:lnTo>
                                  <a:lnTo>
                                    <a:pt x="1909" y="287"/>
                                  </a:lnTo>
                                  <a:lnTo>
                                    <a:pt x="1913" y="287"/>
                                  </a:lnTo>
                                  <a:lnTo>
                                    <a:pt x="1916" y="286"/>
                                  </a:lnTo>
                                  <a:lnTo>
                                    <a:pt x="1920" y="286"/>
                                  </a:lnTo>
                                  <a:lnTo>
                                    <a:pt x="1923" y="286"/>
                                  </a:lnTo>
                                  <a:lnTo>
                                    <a:pt x="1928" y="285"/>
                                  </a:lnTo>
                                  <a:lnTo>
                                    <a:pt x="1932" y="285"/>
                                  </a:lnTo>
                                  <a:lnTo>
                                    <a:pt x="1935" y="283"/>
                                  </a:lnTo>
                                  <a:lnTo>
                                    <a:pt x="1939" y="283"/>
                                  </a:lnTo>
                                  <a:lnTo>
                                    <a:pt x="1942" y="283"/>
                                  </a:lnTo>
                                  <a:lnTo>
                                    <a:pt x="1947" y="282"/>
                                  </a:lnTo>
                                  <a:lnTo>
                                    <a:pt x="1951" y="282"/>
                                  </a:lnTo>
                                  <a:lnTo>
                                    <a:pt x="1954" y="282"/>
                                  </a:lnTo>
                                  <a:lnTo>
                                    <a:pt x="1958" y="281"/>
                                  </a:lnTo>
                                  <a:lnTo>
                                    <a:pt x="1963" y="281"/>
                                  </a:lnTo>
                                  <a:lnTo>
                                    <a:pt x="1966" y="280"/>
                                  </a:lnTo>
                                  <a:lnTo>
                                    <a:pt x="1970" y="280"/>
                                  </a:lnTo>
                                  <a:lnTo>
                                    <a:pt x="1973" y="280"/>
                                  </a:lnTo>
                                  <a:lnTo>
                                    <a:pt x="1977" y="279"/>
                                  </a:lnTo>
                                  <a:lnTo>
                                    <a:pt x="1982" y="279"/>
                                  </a:lnTo>
                                  <a:lnTo>
                                    <a:pt x="1985" y="277"/>
                                  </a:lnTo>
                                  <a:lnTo>
                                    <a:pt x="1989" y="277"/>
                                  </a:lnTo>
                                  <a:lnTo>
                                    <a:pt x="1992" y="277"/>
                                  </a:lnTo>
                                  <a:lnTo>
                                    <a:pt x="1996" y="276"/>
                                  </a:lnTo>
                                  <a:lnTo>
                                    <a:pt x="2001" y="276"/>
                                  </a:lnTo>
                                  <a:lnTo>
                                    <a:pt x="2004" y="275"/>
                                  </a:lnTo>
                                  <a:lnTo>
                                    <a:pt x="2008" y="275"/>
                                  </a:lnTo>
                                  <a:lnTo>
                                    <a:pt x="2011" y="274"/>
                                  </a:lnTo>
                                  <a:lnTo>
                                    <a:pt x="2015" y="274"/>
                                  </a:lnTo>
                                  <a:lnTo>
                                    <a:pt x="2020" y="274"/>
                                  </a:lnTo>
                                  <a:lnTo>
                                    <a:pt x="2023" y="273"/>
                                  </a:lnTo>
                                  <a:lnTo>
                                    <a:pt x="2027" y="273"/>
                                  </a:lnTo>
                                  <a:lnTo>
                                    <a:pt x="2030" y="271"/>
                                  </a:lnTo>
                                  <a:lnTo>
                                    <a:pt x="2034" y="271"/>
                                  </a:lnTo>
                                  <a:lnTo>
                                    <a:pt x="2039" y="270"/>
                                  </a:lnTo>
                                  <a:lnTo>
                                    <a:pt x="2042" y="270"/>
                                  </a:lnTo>
                                  <a:lnTo>
                                    <a:pt x="2046" y="269"/>
                                  </a:lnTo>
                                  <a:lnTo>
                                    <a:pt x="2049" y="269"/>
                                  </a:lnTo>
                                  <a:lnTo>
                                    <a:pt x="2054" y="268"/>
                                  </a:lnTo>
                                  <a:lnTo>
                                    <a:pt x="2058" y="268"/>
                                  </a:lnTo>
                                  <a:lnTo>
                                    <a:pt x="2061" y="267"/>
                                  </a:lnTo>
                                </a:path>
                              </a:pathLst>
                            </a:custGeom>
                            <a:noFill/>
                            <a:ln w="1204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14" name="Group 8603"/>
                        <wpg:cNvGrpSpPr>
                          <a:grpSpLocks/>
                        </wpg:cNvGrpSpPr>
                        <wpg:grpSpPr bwMode="auto">
                          <a:xfrm>
                            <a:off x="6584" y="660"/>
                            <a:ext cx="3218" cy="1899"/>
                            <a:chOff x="6584" y="660"/>
                            <a:chExt cx="3218" cy="1899"/>
                          </a:xfrm>
                        </wpg:grpSpPr>
                        <wps:wsp>
                          <wps:cNvPr id="18215" name="Freeform 8604"/>
                          <wps:cNvSpPr>
                            <a:spLocks/>
                          </wps:cNvSpPr>
                          <wps:spPr bwMode="auto">
                            <a:xfrm>
                              <a:off x="6584" y="660"/>
                              <a:ext cx="3218" cy="1899"/>
                            </a:xfrm>
                            <a:custGeom>
                              <a:avLst/>
                              <a:gdLst>
                                <a:gd name="T0" fmla="*/ 0 w 3218"/>
                                <a:gd name="T1" fmla="*/ 2559 h 1899"/>
                                <a:gd name="T2" fmla="*/ 3217 w 3218"/>
                                <a:gd name="T3" fmla="*/ 2559 h 1899"/>
                                <a:gd name="T4" fmla="*/ 3217 w 3218"/>
                                <a:gd name="T5" fmla="*/ 660 h 1899"/>
                                <a:gd name="T6" fmla="*/ 0 w 3218"/>
                                <a:gd name="T7" fmla="*/ 660 h 1899"/>
                                <a:gd name="T8" fmla="*/ 0 w 3218"/>
                                <a:gd name="T9" fmla="*/ 2559 h 189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218" h="1899">
                                  <a:moveTo>
                                    <a:pt x="0" y="1899"/>
                                  </a:moveTo>
                                  <a:lnTo>
                                    <a:pt x="3217" y="1899"/>
                                  </a:lnTo>
                                  <a:lnTo>
                                    <a:pt x="3217" y="0"/>
                                  </a:lnTo>
                                  <a:lnTo>
                                    <a:pt x="0" y="0"/>
                                  </a:lnTo>
                                  <a:lnTo>
                                    <a:pt x="0" y="1899"/>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16" name="Group 8601"/>
                        <wpg:cNvGrpSpPr>
                          <a:grpSpLocks/>
                        </wpg:cNvGrpSpPr>
                        <wpg:grpSpPr bwMode="auto">
                          <a:xfrm>
                            <a:off x="6701" y="3117"/>
                            <a:ext cx="3155" cy="1943"/>
                            <a:chOff x="6701" y="3117"/>
                            <a:chExt cx="3155" cy="1943"/>
                          </a:xfrm>
                        </wpg:grpSpPr>
                        <wps:wsp>
                          <wps:cNvPr id="18217" name="Freeform 8602"/>
                          <wps:cNvSpPr>
                            <a:spLocks/>
                          </wps:cNvSpPr>
                          <wps:spPr bwMode="auto">
                            <a:xfrm>
                              <a:off x="6701" y="3117"/>
                              <a:ext cx="3155" cy="1943"/>
                            </a:xfrm>
                            <a:custGeom>
                              <a:avLst/>
                              <a:gdLst>
                                <a:gd name="T0" fmla="*/ 0 w 3155"/>
                                <a:gd name="T1" fmla="*/ 5060 h 1943"/>
                                <a:gd name="T2" fmla="*/ 3155 w 3155"/>
                                <a:gd name="T3" fmla="*/ 5060 h 1943"/>
                                <a:gd name="T4" fmla="*/ 3155 w 3155"/>
                                <a:gd name="T5" fmla="*/ 3117 h 1943"/>
                                <a:gd name="T6" fmla="*/ 0 w 3155"/>
                                <a:gd name="T7" fmla="*/ 3117 h 1943"/>
                                <a:gd name="T8" fmla="*/ 0 w 3155"/>
                                <a:gd name="T9" fmla="*/ 5060 h 194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155" h="1943">
                                  <a:moveTo>
                                    <a:pt x="0" y="1943"/>
                                  </a:moveTo>
                                  <a:lnTo>
                                    <a:pt x="3155" y="1943"/>
                                  </a:lnTo>
                                  <a:lnTo>
                                    <a:pt x="3155" y="0"/>
                                  </a:lnTo>
                                  <a:lnTo>
                                    <a:pt x="0" y="0"/>
                                  </a:lnTo>
                                  <a:lnTo>
                                    <a:pt x="0" y="1943"/>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18" name="Group 8599"/>
                        <wpg:cNvGrpSpPr>
                          <a:grpSpLocks/>
                        </wpg:cNvGrpSpPr>
                        <wpg:grpSpPr bwMode="auto">
                          <a:xfrm>
                            <a:off x="7018" y="3268"/>
                            <a:ext cx="2702" cy="1517"/>
                            <a:chOff x="7018" y="3268"/>
                            <a:chExt cx="2702" cy="1517"/>
                          </a:xfrm>
                        </wpg:grpSpPr>
                        <wps:wsp>
                          <wps:cNvPr id="18219" name="Freeform 8600"/>
                          <wps:cNvSpPr>
                            <a:spLocks/>
                          </wps:cNvSpPr>
                          <wps:spPr bwMode="auto">
                            <a:xfrm>
                              <a:off x="7018" y="3268"/>
                              <a:ext cx="2702" cy="1517"/>
                            </a:xfrm>
                            <a:custGeom>
                              <a:avLst/>
                              <a:gdLst>
                                <a:gd name="T0" fmla="*/ 0 w 2702"/>
                                <a:gd name="T1" fmla="*/ 4785 h 1517"/>
                                <a:gd name="T2" fmla="*/ 2702 w 2702"/>
                                <a:gd name="T3" fmla="*/ 4785 h 1517"/>
                                <a:gd name="T4" fmla="*/ 2702 w 2702"/>
                                <a:gd name="T5" fmla="*/ 3268 h 1517"/>
                                <a:gd name="T6" fmla="*/ 0 w 2702"/>
                                <a:gd name="T7" fmla="*/ 3268 h 1517"/>
                                <a:gd name="T8" fmla="*/ 0 w 2702"/>
                                <a:gd name="T9" fmla="*/ 4785 h 15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702" h="1517">
                                  <a:moveTo>
                                    <a:pt x="0" y="1517"/>
                                  </a:moveTo>
                                  <a:lnTo>
                                    <a:pt x="2702" y="1517"/>
                                  </a:lnTo>
                                  <a:lnTo>
                                    <a:pt x="2702" y="0"/>
                                  </a:lnTo>
                                  <a:lnTo>
                                    <a:pt x="0" y="0"/>
                                  </a:lnTo>
                                  <a:lnTo>
                                    <a:pt x="0" y="1517"/>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20" name="Group 8597"/>
                        <wpg:cNvGrpSpPr>
                          <a:grpSpLocks/>
                        </wpg:cNvGrpSpPr>
                        <wpg:grpSpPr bwMode="auto">
                          <a:xfrm>
                            <a:off x="7018" y="3268"/>
                            <a:ext cx="2702" cy="1517"/>
                            <a:chOff x="7018" y="3268"/>
                            <a:chExt cx="2702" cy="1517"/>
                          </a:xfrm>
                        </wpg:grpSpPr>
                        <wps:wsp>
                          <wps:cNvPr id="18221" name="Freeform 8598"/>
                          <wps:cNvSpPr>
                            <a:spLocks/>
                          </wps:cNvSpPr>
                          <wps:spPr bwMode="auto">
                            <a:xfrm>
                              <a:off x="7018" y="3268"/>
                              <a:ext cx="2702" cy="1517"/>
                            </a:xfrm>
                            <a:custGeom>
                              <a:avLst/>
                              <a:gdLst>
                                <a:gd name="T0" fmla="*/ 0 w 2702"/>
                                <a:gd name="T1" fmla="*/ 3268 h 1517"/>
                                <a:gd name="T2" fmla="*/ 2702 w 2702"/>
                                <a:gd name="T3" fmla="*/ 3268 h 1517"/>
                                <a:gd name="T4" fmla="*/ 2702 w 2702"/>
                                <a:gd name="T5" fmla="*/ 4785 h 1517"/>
                                <a:gd name="T6" fmla="*/ 0 w 2702"/>
                                <a:gd name="T7" fmla="*/ 4785 h 1517"/>
                                <a:gd name="T8" fmla="*/ 0 w 2702"/>
                                <a:gd name="T9" fmla="*/ 3268 h 15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702" h="1517">
                                  <a:moveTo>
                                    <a:pt x="0" y="0"/>
                                  </a:moveTo>
                                  <a:lnTo>
                                    <a:pt x="2702" y="0"/>
                                  </a:lnTo>
                                  <a:lnTo>
                                    <a:pt x="2702" y="1517"/>
                                  </a:lnTo>
                                  <a:lnTo>
                                    <a:pt x="0" y="1517"/>
                                  </a:lnTo>
                                  <a:lnTo>
                                    <a:pt x="0" y="0"/>
                                  </a:lnTo>
                                </a:path>
                              </a:pathLst>
                            </a:custGeom>
                            <a:noFill/>
                            <a:ln w="6026">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22" name="Group 8595"/>
                        <wpg:cNvGrpSpPr>
                          <a:grpSpLocks/>
                        </wpg:cNvGrpSpPr>
                        <wpg:grpSpPr bwMode="auto">
                          <a:xfrm>
                            <a:off x="7019" y="3269"/>
                            <a:ext cx="2" cy="1544"/>
                            <a:chOff x="7019" y="3269"/>
                            <a:chExt cx="2" cy="1544"/>
                          </a:xfrm>
                        </wpg:grpSpPr>
                        <wps:wsp>
                          <wps:cNvPr id="18223" name="Freeform 8596"/>
                          <wps:cNvSpPr>
                            <a:spLocks/>
                          </wps:cNvSpPr>
                          <wps:spPr bwMode="auto">
                            <a:xfrm>
                              <a:off x="7019" y="3269"/>
                              <a:ext cx="2" cy="1544"/>
                            </a:xfrm>
                            <a:custGeom>
                              <a:avLst/>
                              <a:gdLst>
                                <a:gd name="T0" fmla="*/ 0 w 2"/>
                                <a:gd name="T1" fmla="*/ 3269 h 1544"/>
                                <a:gd name="T2" fmla="*/ 0 w 2"/>
                                <a:gd name="T3" fmla="*/ 4812 h 1544"/>
                                <a:gd name="T4" fmla="*/ 0 60000 65536"/>
                                <a:gd name="T5" fmla="*/ 0 60000 65536"/>
                              </a:gdLst>
                              <a:ahLst/>
                              <a:cxnLst>
                                <a:cxn ang="T4">
                                  <a:pos x="T0" y="T1"/>
                                </a:cxn>
                                <a:cxn ang="T5">
                                  <a:pos x="T2" y="T3"/>
                                </a:cxn>
                              </a:cxnLst>
                              <a:rect l="0" t="0" r="r" b="b"/>
                              <a:pathLst>
                                <a:path w="2" h="1544">
                                  <a:moveTo>
                                    <a:pt x="0" y="0"/>
                                  </a:moveTo>
                                  <a:lnTo>
                                    <a:pt x="0" y="1543"/>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24" name="Group 8593"/>
                        <wpg:cNvGrpSpPr>
                          <a:grpSpLocks/>
                        </wpg:cNvGrpSpPr>
                        <wpg:grpSpPr bwMode="auto">
                          <a:xfrm>
                            <a:off x="6993" y="4786"/>
                            <a:ext cx="2727" cy="2"/>
                            <a:chOff x="6993" y="4786"/>
                            <a:chExt cx="2727" cy="2"/>
                          </a:xfrm>
                        </wpg:grpSpPr>
                        <wps:wsp>
                          <wps:cNvPr id="18225" name="Freeform 8594"/>
                          <wps:cNvSpPr>
                            <a:spLocks/>
                          </wps:cNvSpPr>
                          <wps:spPr bwMode="auto">
                            <a:xfrm>
                              <a:off x="6993" y="4786"/>
                              <a:ext cx="2727" cy="2"/>
                            </a:xfrm>
                            <a:custGeom>
                              <a:avLst/>
                              <a:gdLst>
                                <a:gd name="T0" fmla="*/ 0 w 2727"/>
                                <a:gd name="T1" fmla="*/ 0 h 2"/>
                                <a:gd name="T2" fmla="*/ 2727 w 2727"/>
                                <a:gd name="T3" fmla="*/ 0 h 2"/>
                                <a:gd name="T4" fmla="*/ 0 60000 65536"/>
                                <a:gd name="T5" fmla="*/ 0 60000 65536"/>
                              </a:gdLst>
                              <a:ahLst/>
                              <a:cxnLst>
                                <a:cxn ang="T4">
                                  <a:pos x="T0" y="T1"/>
                                </a:cxn>
                                <a:cxn ang="T5">
                                  <a:pos x="T2" y="T3"/>
                                </a:cxn>
                              </a:cxnLst>
                              <a:rect l="0" t="0" r="r" b="b"/>
                              <a:pathLst>
                                <a:path w="2727" h="2">
                                  <a:moveTo>
                                    <a:pt x="0" y="0"/>
                                  </a:moveTo>
                                  <a:lnTo>
                                    <a:pt x="2727"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26" name="Group 8591"/>
                        <wpg:cNvGrpSpPr>
                          <a:grpSpLocks/>
                        </wpg:cNvGrpSpPr>
                        <wpg:grpSpPr bwMode="auto">
                          <a:xfrm>
                            <a:off x="6993" y="4648"/>
                            <a:ext cx="25" cy="2"/>
                            <a:chOff x="6993" y="4648"/>
                            <a:chExt cx="25" cy="2"/>
                          </a:xfrm>
                        </wpg:grpSpPr>
                        <wps:wsp>
                          <wps:cNvPr id="18227" name="Freeform 8592"/>
                          <wps:cNvSpPr>
                            <a:spLocks/>
                          </wps:cNvSpPr>
                          <wps:spPr bwMode="auto">
                            <a:xfrm>
                              <a:off x="6993" y="4648"/>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28" name="Group 8589"/>
                        <wpg:cNvGrpSpPr>
                          <a:grpSpLocks/>
                        </wpg:cNvGrpSpPr>
                        <wpg:grpSpPr bwMode="auto">
                          <a:xfrm>
                            <a:off x="6993" y="4509"/>
                            <a:ext cx="25" cy="2"/>
                            <a:chOff x="6993" y="4509"/>
                            <a:chExt cx="25" cy="2"/>
                          </a:xfrm>
                        </wpg:grpSpPr>
                        <wps:wsp>
                          <wps:cNvPr id="18229" name="Freeform 8590"/>
                          <wps:cNvSpPr>
                            <a:spLocks/>
                          </wps:cNvSpPr>
                          <wps:spPr bwMode="auto">
                            <a:xfrm>
                              <a:off x="6993" y="4509"/>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30" name="Group 8587"/>
                        <wpg:cNvGrpSpPr>
                          <a:grpSpLocks/>
                        </wpg:cNvGrpSpPr>
                        <wpg:grpSpPr bwMode="auto">
                          <a:xfrm>
                            <a:off x="6993" y="4372"/>
                            <a:ext cx="25" cy="2"/>
                            <a:chOff x="6993" y="4372"/>
                            <a:chExt cx="25" cy="2"/>
                          </a:xfrm>
                        </wpg:grpSpPr>
                        <wps:wsp>
                          <wps:cNvPr id="18231" name="Freeform 8588"/>
                          <wps:cNvSpPr>
                            <a:spLocks/>
                          </wps:cNvSpPr>
                          <wps:spPr bwMode="auto">
                            <a:xfrm>
                              <a:off x="6993" y="4372"/>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32" name="Group 8585"/>
                        <wpg:cNvGrpSpPr>
                          <a:grpSpLocks/>
                        </wpg:cNvGrpSpPr>
                        <wpg:grpSpPr bwMode="auto">
                          <a:xfrm>
                            <a:off x="6993" y="4234"/>
                            <a:ext cx="25" cy="2"/>
                            <a:chOff x="6993" y="4234"/>
                            <a:chExt cx="25" cy="2"/>
                          </a:xfrm>
                        </wpg:grpSpPr>
                        <wps:wsp>
                          <wps:cNvPr id="18233" name="Freeform 8586"/>
                          <wps:cNvSpPr>
                            <a:spLocks/>
                          </wps:cNvSpPr>
                          <wps:spPr bwMode="auto">
                            <a:xfrm>
                              <a:off x="6993" y="4234"/>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34" name="Group 8583"/>
                        <wpg:cNvGrpSpPr>
                          <a:grpSpLocks/>
                        </wpg:cNvGrpSpPr>
                        <wpg:grpSpPr bwMode="auto">
                          <a:xfrm>
                            <a:off x="6993" y="4097"/>
                            <a:ext cx="25" cy="2"/>
                            <a:chOff x="6993" y="4097"/>
                            <a:chExt cx="25" cy="2"/>
                          </a:xfrm>
                        </wpg:grpSpPr>
                        <wps:wsp>
                          <wps:cNvPr id="18235" name="Freeform 8584"/>
                          <wps:cNvSpPr>
                            <a:spLocks/>
                          </wps:cNvSpPr>
                          <wps:spPr bwMode="auto">
                            <a:xfrm>
                              <a:off x="6993" y="4097"/>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36" name="Group 8581"/>
                        <wpg:cNvGrpSpPr>
                          <a:grpSpLocks/>
                        </wpg:cNvGrpSpPr>
                        <wpg:grpSpPr bwMode="auto">
                          <a:xfrm>
                            <a:off x="6993" y="3958"/>
                            <a:ext cx="25" cy="2"/>
                            <a:chOff x="6993" y="3958"/>
                            <a:chExt cx="25" cy="2"/>
                          </a:xfrm>
                        </wpg:grpSpPr>
                        <wps:wsp>
                          <wps:cNvPr id="18237" name="Freeform 8582"/>
                          <wps:cNvSpPr>
                            <a:spLocks/>
                          </wps:cNvSpPr>
                          <wps:spPr bwMode="auto">
                            <a:xfrm>
                              <a:off x="6993" y="3958"/>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38" name="Group 8579"/>
                        <wpg:cNvGrpSpPr>
                          <a:grpSpLocks/>
                        </wpg:cNvGrpSpPr>
                        <wpg:grpSpPr bwMode="auto">
                          <a:xfrm>
                            <a:off x="6993" y="3820"/>
                            <a:ext cx="25" cy="2"/>
                            <a:chOff x="6993" y="3820"/>
                            <a:chExt cx="25" cy="2"/>
                          </a:xfrm>
                        </wpg:grpSpPr>
                        <wps:wsp>
                          <wps:cNvPr id="18239" name="Freeform 8580"/>
                          <wps:cNvSpPr>
                            <a:spLocks/>
                          </wps:cNvSpPr>
                          <wps:spPr bwMode="auto">
                            <a:xfrm>
                              <a:off x="6993" y="3820"/>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40" name="Group 8577"/>
                        <wpg:cNvGrpSpPr>
                          <a:grpSpLocks/>
                        </wpg:cNvGrpSpPr>
                        <wpg:grpSpPr bwMode="auto">
                          <a:xfrm>
                            <a:off x="6993" y="3683"/>
                            <a:ext cx="25" cy="2"/>
                            <a:chOff x="6993" y="3683"/>
                            <a:chExt cx="25" cy="2"/>
                          </a:xfrm>
                        </wpg:grpSpPr>
                        <wps:wsp>
                          <wps:cNvPr id="18241" name="Freeform 8578"/>
                          <wps:cNvSpPr>
                            <a:spLocks/>
                          </wps:cNvSpPr>
                          <wps:spPr bwMode="auto">
                            <a:xfrm>
                              <a:off x="6993" y="3683"/>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42" name="Group 8575"/>
                        <wpg:cNvGrpSpPr>
                          <a:grpSpLocks/>
                        </wpg:cNvGrpSpPr>
                        <wpg:grpSpPr bwMode="auto">
                          <a:xfrm>
                            <a:off x="6993" y="3545"/>
                            <a:ext cx="25" cy="2"/>
                            <a:chOff x="6993" y="3545"/>
                            <a:chExt cx="25" cy="2"/>
                          </a:xfrm>
                        </wpg:grpSpPr>
                        <wps:wsp>
                          <wps:cNvPr id="18243" name="Freeform 8576"/>
                          <wps:cNvSpPr>
                            <a:spLocks/>
                          </wps:cNvSpPr>
                          <wps:spPr bwMode="auto">
                            <a:xfrm>
                              <a:off x="6993" y="3545"/>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44" name="Group 8573"/>
                        <wpg:cNvGrpSpPr>
                          <a:grpSpLocks/>
                        </wpg:cNvGrpSpPr>
                        <wpg:grpSpPr bwMode="auto">
                          <a:xfrm>
                            <a:off x="6993" y="3406"/>
                            <a:ext cx="25" cy="2"/>
                            <a:chOff x="6993" y="3406"/>
                            <a:chExt cx="25" cy="2"/>
                          </a:xfrm>
                        </wpg:grpSpPr>
                        <wps:wsp>
                          <wps:cNvPr id="18245" name="Freeform 8574"/>
                          <wps:cNvSpPr>
                            <a:spLocks/>
                          </wps:cNvSpPr>
                          <wps:spPr bwMode="auto">
                            <a:xfrm>
                              <a:off x="6993" y="340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46" name="Group 8571"/>
                        <wpg:cNvGrpSpPr>
                          <a:grpSpLocks/>
                        </wpg:cNvGrpSpPr>
                        <wpg:grpSpPr bwMode="auto">
                          <a:xfrm>
                            <a:off x="6993" y="3269"/>
                            <a:ext cx="25" cy="2"/>
                            <a:chOff x="6993" y="3269"/>
                            <a:chExt cx="25" cy="2"/>
                          </a:xfrm>
                        </wpg:grpSpPr>
                        <wps:wsp>
                          <wps:cNvPr id="18247" name="Freeform 8572"/>
                          <wps:cNvSpPr>
                            <a:spLocks/>
                          </wps:cNvSpPr>
                          <wps:spPr bwMode="auto">
                            <a:xfrm>
                              <a:off x="6993" y="3269"/>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48" name="Group 8569"/>
                        <wpg:cNvGrpSpPr>
                          <a:grpSpLocks/>
                        </wpg:cNvGrpSpPr>
                        <wpg:grpSpPr bwMode="auto">
                          <a:xfrm>
                            <a:off x="7357" y="4787"/>
                            <a:ext cx="2" cy="25"/>
                            <a:chOff x="7357" y="4787"/>
                            <a:chExt cx="2" cy="25"/>
                          </a:xfrm>
                        </wpg:grpSpPr>
                        <wps:wsp>
                          <wps:cNvPr id="18249" name="Freeform 8570"/>
                          <wps:cNvSpPr>
                            <a:spLocks/>
                          </wps:cNvSpPr>
                          <wps:spPr bwMode="auto">
                            <a:xfrm>
                              <a:off x="7357"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50" name="Group 8567"/>
                        <wpg:cNvGrpSpPr>
                          <a:grpSpLocks/>
                        </wpg:cNvGrpSpPr>
                        <wpg:grpSpPr bwMode="auto">
                          <a:xfrm>
                            <a:off x="7695" y="4787"/>
                            <a:ext cx="2" cy="25"/>
                            <a:chOff x="7695" y="4787"/>
                            <a:chExt cx="2" cy="25"/>
                          </a:xfrm>
                        </wpg:grpSpPr>
                        <wps:wsp>
                          <wps:cNvPr id="18251" name="Freeform 8568"/>
                          <wps:cNvSpPr>
                            <a:spLocks/>
                          </wps:cNvSpPr>
                          <wps:spPr bwMode="auto">
                            <a:xfrm>
                              <a:off x="7695"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52" name="Group 8565"/>
                        <wpg:cNvGrpSpPr>
                          <a:grpSpLocks/>
                        </wpg:cNvGrpSpPr>
                        <wpg:grpSpPr bwMode="auto">
                          <a:xfrm>
                            <a:off x="8033" y="4787"/>
                            <a:ext cx="2" cy="25"/>
                            <a:chOff x="8033" y="4787"/>
                            <a:chExt cx="2" cy="25"/>
                          </a:xfrm>
                        </wpg:grpSpPr>
                        <wps:wsp>
                          <wps:cNvPr id="18253" name="Freeform 8566"/>
                          <wps:cNvSpPr>
                            <a:spLocks/>
                          </wps:cNvSpPr>
                          <wps:spPr bwMode="auto">
                            <a:xfrm>
                              <a:off x="8033"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54" name="Group 8563"/>
                        <wpg:cNvGrpSpPr>
                          <a:grpSpLocks/>
                        </wpg:cNvGrpSpPr>
                        <wpg:grpSpPr bwMode="auto">
                          <a:xfrm>
                            <a:off x="8370" y="4787"/>
                            <a:ext cx="2" cy="25"/>
                            <a:chOff x="8370" y="4787"/>
                            <a:chExt cx="2" cy="25"/>
                          </a:xfrm>
                        </wpg:grpSpPr>
                        <wps:wsp>
                          <wps:cNvPr id="18255" name="Freeform 8564"/>
                          <wps:cNvSpPr>
                            <a:spLocks/>
                          </wps:cNvSpPr>
                          <wps:spPr bwMode="auto">
                            <a:xfrm>
                              <a:off x="8370"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56" name="Group 8561"/>
                        <wpg:cNvGrpSpPr>
                          <a:grpSpLocks/>
                        </wpg:cNvGrpSpPr>
                        <wpg:grpSpPr bwMode="auto">
                          <a:xfrm>
                            <a:off x="8708" y="4787"/>
                            <a:ext cx="2" cy="25"/>
                            <a:chOff x="8708" y="4787"/>
                            <a:chExt cx="2" cy="25"/>
                          </a:xfrm>
                        </wpg:grpSpPr>
                        <wps:wsp>
                          <wps:cNvPr id="18257" name="Freeform 8562"/>
                          <wps:cNvSpPr>
                            <a:spLocks/>
                          </wps:cNvSpPr>
                          <wps:spPr bwMode="auto">
                            <a:xfrm>
                              <a:off x="8708"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58" name="Group 8559"/>
                        <wpg:cNvGrpSpPr>
                          <a:grpSpLocks/>
                        </wpg:cNvGrpSpPr>
                        <wpg:grpSpPr bwMode="auto">
                          <a:xfrm>
                            <a:off x="9045" y="4787"/>
                            <a:ext cx="2" cy="25"/>
                            <a:chOff x="9045" y="4787"/>
                            <a:chExt cx="2" cy="25"/>
                          </a:xfrm>
                        </wpg:grpSpPr>
                        <wps:wsp>
                          <wps:cNvPr id="18259" name="Freeform 8560"/>
                          <wps:cNvSpPr>
                            <a:spLocks/>
                          </wps:cNvSpPr>
                          <wps:spPr bwMode="auto">
                            <a:xfrm>
                              <a:off x="9045"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60" name="Group 8557"/>
                        <wpg:cNvGrpSpPr>
                          <a:grpSpLocks/>
                        </wpg:cNvGrpSpPr>
                        <wpg:grpSpPr bwMode="auto">
                          <a:xfrm>
                            <a:off x="9384" y="4787"/>
                            <a:ext cx="2" cy="25"/>
                            <a:chOff x="9384" y="4787"/>
                            <a:chExt cx="2" cy="25"/>
                          </a:xfrm>
                        </wpg:grpSpPr>
                        <wps:wsp>
                          <wps:cNvPr id="18261" name="Freeform 8558"/>
                          <wps:cNvSpPr>
                            <a:spLocks/>
                          </wps:cNvSpPr>
                          <wps:spPr bwMode="auto">
                            <a:xfrm>
                              <a:off x="9384"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62" name="Group 8555"/>
                        <wpg:cNvGrpSpPr>
                          <a:grpSpLocks/>
                        </wpg:cNvGrpSpPr>
                        <wpg:grpSpPr bwMode="auto">
                          <a:xfrm>
                            <a:off x="9721" y="4787"/>
                            <a:ext cx="2" cy="25"/>
                            <a:chOff x="9721" y="4787"/>
                            <a:chExt cx="2" cy="25"/>
                          </a:xfrm>
                        </wpg:grpSpPr>
                        <wps:wsp>
                          <wps:cNvPr id="18263" name="Freeform 8556"/>
                          <wps:cNvSpPr>
                            <a:spLocks/>
                          </wps:cNvSpPr>
                          <wps:spPr bwMode="auto">
                            <a:xfrm>
                              <a:off x="9721" y="4787"/>
                              <a:ext cx="2" cy="25"/>
                            </a:xfrm>
                            <a:custGeom>
                              <a:avLst/>
                              <a:gdLst>
                                <a:gd name="T0" fmla="*/ 0 w 2"/>
                                <a:gd name="T1" fmla="*/ 4812 h 25"/>
                                <a:gd name="T2" fmla="*/ 0 w 2"/>
                                <a:gd name="T3" fmla="*/ 4787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64" name="Group 8553"/>
                        <wpg:cNvGrpSpPr>
                          <a:grpSpLocks/>
                        </wpg:cNvGrpSpPr>
                        <wpg:grpSpPr bwMode="auto">
                          <a:xfrm>
                            <a:off x="7027" y="3902"/>
                            <a:ext cx="50" cy="50"/>
                            <a:chOff x="7027" y="3902"/>
                            <a:chExt cx="50" cy="50"/>
                          </a:xfrm>
                        </wpg:grpSpPr>
                        <wps:wsp>
                          <wps:cNvPr id="18265" name="Freeform 8554"/>
                          <wps:cNvSpPr>
                            <a:spLocks/>
                          </wps:cNvSpPr>
                          <wps:spPr bwMode="auto">
                            <a:xfrm>
                              <a:off x="7027" y="3902"/>
                              <a:ext cx="50" cy="50"/>
                            </a:xfrm>
                            <a:custGeom>
                              <a:avLst/>
                              <a:gdLst>
                                <a:gd name="T0" fmla="*/ 25 w 50"/>
                                <a:gd name="T1" fmla="*/ 3902 h 50"/>
                                <a:gd name="T2" fmla="*/ 0 w 50"/>
                                <a:gd name="T3" fmla="*/ 3926 h 50"/>
                                <a:gd name="T4" fmla="*/ 25 w 50"/>
                                <a:gd name="T5" fmla="*/ 3951 h 50"/>
                                <a:gd name="T6" fmla="*/ 49 w 50"/>
                                <a:gd name="T7" fmla="*/ 3926 h 50"/>
                                <a:gd name="T8" fmla="*/ 25 w 50"/>
                                <a:gd name="T9" fmla="*/ 390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4"/>
                                  </a:lnTo>
                                  <a:lnTo>
                                    <a:pt x="25" y="49"/>
                                  </a:lnTo>
                                  <a:lnTo>
                                    <a:pt x="49" y="24"/>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66" name="Group 8551"/>
                        <wpg:cNvGrpSpPr>
                          <a:grpSpLocks/>
                        </wpg:cNvGrpSpPr>
                        <wpg:grpSpPr bwMode="auto">
                          <a:xfrm>
                            <a:off x="7027" y="3902"/>
                            <a:ext cx="50" cy="50"/>
                            <a:chOff x="7027" y="3902"/>
                            <a:chExt cx="50" cy="50"/>
                          </a:xfrm>
                        </wpg:grpSpPr>
                        <wps:wsp>
                          <wps:cNvPr id="18267" name="Freeform 8552"/>
                          <wps:cNvSpPr>
                            <a:spLocks/>
                          </wps:cNvSpPr>
                          <wps:spPr bwMode="auto">
                            <a:xfrm>
                              <a:off x="7027" y="3902"/>
                              <a:ext cx="50" cy="50"/>
                            </a:xfrm>
                            <a:custGeom>
                              <a:avLst/>
                              <a:gdLst>
                                <a:gd name="T0" fmla="*/ 25 w 50"/>
                                <a:gd name="T1" fmla="*/ 3902 h 50"/>
                                <a:gd name="T2" fmla="*/ 49 w 50"/>
                                <a:gd name="T3" fmla="*/ 3926 h 50"/>
                                <a:gd name="T4" fmla="*/ 25 w 50"/>
                                <a:gd name="T5" fmla="*/ 3951 h 50"/>
                                <a:gd name="T6" fmla="*/ 0 w 50"/>
                                <a:gd name="T7" fmla="*/ 3926 h 50"/>
                                <a:gd name="T8" fmla="*/ 25 w 50"/>
                                <a:gd name="T9" fmla="*/ 390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49" y="24"/>
                                  </a:lnTo>
                                  <a:lnTo>
                                    <a:pt x="25" y="49"/>
                                  </a:lnTo>
                                  <a:lnTo>
                                    <a:pt x="0" y="24"/>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68" name="Group 8549"/>
                        <wpg:cNvGrpSpPr>
                          <a:grpSpLocks/>
                        </wpg:cNvGrpSpPr>
                        <wpg:grpSpPr bwMode="auto">
                          <a:xfrm>
                            <a:off x="7162" y="4085"/>
                            <a:ext cx="50" cy="50"/>
                            <a:chOff x="7162" y="4085"/>
                            <a:chExt cx="50" cy="50"/>
                          </a:xfrm>
                        </wpg:grpSpPr>
                        <wps:wsp>
                          <wps:cNvPr id="18269" name="Freeform 8550"/>
                          <wps:cNvSpPr>
                            <a:spLocks/>
                          </wps:cNvSpPr>
                          <wps:spPr bwMode="auto">
                            <a:xfrm>
                              <a:off x="7162" y="4085"/>
                              <a:ext cx="50" cy="50"/>
                            </a:xfrm>
                            <a:custGeom>
                              <a:avLst/>
                              <a:gdLst>
                                <a:gd name="T0" fmla="*/ 25 w 50"/>
                                <a:gd name="T1" fmla="*/ 4085 h 50"/>
                                <a:gd name="T2" fmla="*/ 0 w 50"/>
                                <a:gd name="T3" fmla="*/ 4110 h 50"/>
                                <a:gd name="T4" fmla="*/ 25 w 50"/>
                                <a:gd name="T5" fmla="*/ 4135 h 50"/>
                                <a:gd name="T6" fmla="*/ 50 w 50"/>
                                <a:gd name="T7" fmla="*/ 4110 h 50"/>
                                <a:gd name="T8" fmla="*/ 25 w 50"/>
                                <a:gd name="T9" fmla="*/ 4085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70" name="Group 8547"/>
                        <wpg:cNvGrpSpPr>
                          <a:grpSpLocks/>
                        </wpg:cNvGrpSpPr>
                        <wpg:grpSpPr bwMode="auto">
                          <a:xfrm>
                            <a:off x="7162" y="4085"/>
                            <a:ext cx="50" cy="50"/>
                            <a:chOff x="7162" y="4085"/>
                            <a:chExt cx="50" cy="50"/>
                          </a:xfrm>
                        </wpg:grpSpPr>
                        <wps:wsp>
                          <wps:cNvPr id="18271" name="Freeform 8548"/>
                          <wps:cNvSpPr>
                            <a:spLocks/>
                          </wps:cNvSpPr>
                          <wps:spPr bwMode="auto">
                            <a:xfrm>
                              <a:off x="7162" y="4085"/>
                              <a:ext cx="50" cy="50"/>
                            </a:xfrm>
                            <a:custGeom>
                              <a:avLst/>
                              <a:gdLst>
                                <a:gd name="T0" fmla="*/ 25 w 50"/>
                                <a:gd name="T1" fmla="*/ 4085 h 50"/>
                                <a:gd name="T2" fmla="*/ 50 w 50"/>
                                <a:gd name="T3" fmla="*/ 4110 h 50"/>
                                <a:gd name="T4" fmla="*/ 25 w 50"/>
                                <a:gd name="T5" fmla="*/ 4135 h 50"/>
                                <a:gd name="T6" fmla="*/ 0 w 50"/>
                                <a:gd name="T7" fmla="*/ 4110 h 50"/>
                                <a:gd name="T8" fmla="*/ 25 w 50"/>
                                <a:gd name="T9" fmla="*/ 4085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72" name="Group 8545"/>
                        <wpg:cNvGrpSpPr>
                          <a:grpSpLocks/>
                        </wpg:cNvGrpSpPr>
                        <wpg:grpSpPr bwMode="auto">
                          <a:xfrm>
                            <a:off x="7196" y="3964"/>
                            <a:ext cx="50" cy="50"/>
                            <a:chOff x="7196" y="3964"/>
                            <a:chExt cx="50" cy="50"/>
                          </a:xfrm>
                        </wpg:grpSpPr>
                        <wps:wsp>
                          <wps:cNvPr id="18273" name="Freeform 8546"/>
                          <wps:cNvSpPr>
                            <a:spLocks/>
                          </wps:cNvSpPr>
                          <wps:spPr bwMode="auto">
                            <a:xfrm>
                              <a:off x="7196" y="3964"/>
                              <a:ext cx="50" cy="50"/>
                            </a:xfrm>
                            <a:custGeom>
                              <a:avLst/>
                              <a:gdLst>
                                <a:gd name="T0" fmla="*/ 25 w 50"/>
                                <a:gd name="T1" fmla="*/ 3964 h 50"/>
                                <a:gd name="T2" fmla="*/ 0 w 50"/>
                                <a:gd name="T3" fmla="*/ 3989 h 50"/>
                                <a:gd name="T4" fmla="*/ 25 w 50"/>
                                <a:gd name="T5" fmla="*/ 4014 h 50"/>
                                <a:gd name="T6" fmla="*/ 50 w 50"/>
                                <a:gd name="T7" fmla="*/ 3989 h 50"/>
                                <a:gd name="T8" fmla="*/ 25 w 50"/>
                                <a:gd name="T9" fmla="*/ 3964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74" name="Group 8543"/>
                        <wpg:cNvGrpSpPr>
                          <a:grpSpLocks/>
                        </wpg:cNvGrpSpPr>
                        <wpg:grpSpPr bwMode="auto">
                          <a:xfrm>
                            <a:off x="7196" y="3964"/>
                            <a:ext cx="50" cy="50"/>
                            <a:chOff x="7196" y="3964"/>
                            <a:chExt cx="50" cy="50"/>
                          </a:xfrm>
                        </wpg:grpSpPr>
                        <wps:wsp>
                          <wps:cNvPr id="18275" name="Freeform 8544"/>
                          <wps:cNvSpPr>
                            <a:spLocks/>
                          </wps:cNvSpPr>
                          <wps:spPr bwMode="auto">
                            <a:xfrm>
                              <a:off x="7196" y="3964"/>
                              <a:ext cx="50" cy="50"/>
                            </a:xfrm>
                            <a:custGeom>
                              <a:avLst/>
                              <a:gdLst>
                                <a:gd name="T0" fmla="*/ 25 w 50"/>
                                <a:gd name="T1" fmla="*/ 3964 h 50"/>
                                <a:gd name="T2" fmla="*/ 50 w 50"/>
                                <a:gd name="T3" fmla="*/ 3989 h 50"/>
                                <a:gd name="T4" fmla="*/ 25 w 50"/>
                                <a:gd name="T5" fmla="*/ 4014 h 50"/>
                                <a:gd name="T6" fmla="*/ 0 w 50"/>
                                <a:gd name="T7" fmla="*/ 3989 h 50"/>
                                <a:gd name="T8" fmla="*/ 25 w 50"/>
                                <a:gd name="T9" fmla="*/ 3964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76" name="Group 8541"/>
                        <wpg:cNvGrpSpPr>
                          <a:grpSpLocks/>
                        </wpg:cNvGrpSpPr>
                        <wpg:grpSpPr bwMode="auto">
                          <a:xfrm>
                            <a:off x="7872" y="3492"/>
                            <a:ext cx="50" cy="50"/>
                            <a:chOff x="7872" y="3492"/>
                            <a:chExt cx="50" cy="50"/>
                          </a:xfrm>
                        </wpg:grpSpPr>
                        <wps:wsp>
                          <wps:cNvPr id="18277" name="Freeform 8542"/>
                          <wps:cNvSpPr>
                            <a:spLocks/>
                          </wps:cNvSpPr>
                          <wps:spPr bwMode="auto">
                            <a:xfrm>
                              <a:off x="7872" y="3492"/>
                              <a:ext cx="50" cy="50"/>
                            </a:xfrm>
                            <a:custGeom>
                              <a:avLst/>
                              <a:gdLst>
                                <a:gd name="T0" fmla="*/ 25 w 50"/>
                                <a:gd name="T1" fmla="*/ 3492 h 50"/>
                                <a:gd name="T2" fmla="*/ 0 w 50"/>
                                <a:gd name="T3" fmla="*/ 3517 h 50"/>
                                <a:gd name="T4" fmla="*/ 25 w 50"/>
                                <a:gd name="T5" fmla="*/ 3542 h 50"/>
                                <a:gd name="T6" fmla="*/ 50 w 50"/>
                                <a:gd name="T7" fmla="*/ 3517 h 50"/>
                                <a:gd name="T8" fmla="*/ 25 w 50"/>
                                <a:gd name="T9" fmla="*/ 349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78" name="Group 8539"/>
                        <wpg:cNvGrpSpPr>
                          <a:grpSpLocks/>
                        </wpg:cNvGrpSpPr>
                        <wpg:grpSpPr bwMode="auto">
                          <a:xfrm>
                            <a:off x="7872" y="3492"/>
                            <a:ext cx="50" cy="50"/>
                            <a:chOff x="7872" y="3492"/>
                            <a:chExt cx="50" cy="50"/>
                          </a:xfrm>
                        </wpg:grpSpPr>
                        <wps:wsp>
                          <wps:cNvPr id="18279" name="Freeform 8540"/>
                          <wps:cNvSpPr>
                            <a:spLocks/>
                          </wps:cNvSpPr>
                          <wps:spPr bwMode="auto">
                            <a:xfrm>
                              <a:off x="7872" y="3492"/>
                              <a:ext cx="50" cy="50"/>
                            </a:xfrm>
                            <a:custGeom>
                              <a:avLst/>
                              <a:gdLst>
                                <a:gd name="T0" fmla="*/ 25 w 50"/>
                                <a:gd name="T1" fmla="*/ 3492 h 50"/>
                                <a:gd name="T2" fmla="*/ 50 w 50"/>
                                <a:gd name="T3" fmla="*/ 3517 h 50"/>
                                <a:gd name="T4" fmla="*/ 25 w 50"/>
                                <a:gd name="T5" fmla="*/ 3542 h 50"/>
                                <a:gd name="T6" fmla="*/ 0 w 50"/>
                                <a:gd name="T7" fmla="*/ 3517 h 50"/>
                                <a:gd name="T8" fmla="*/ 25 w 50"/>
                                <a:gd name="T9" fmla="*/ 3492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80" name="Group 8537"/>
                        <wpg:cNvGrpSpPr>
                          <a:grpSpLocks/>
                        </wpg:cNvGrpSpPr>
                        <wpg:grpSpPr bwMode="auto">
                          <a:xfrm>
                            <a:off x="7905" y="3637"/>
                            <a:ext cx="50" cy="50"/>
                            <a:chOff x="7905" y="3637"/>
                            <a:chExt cx="50" cy="50"/>
                          </a:xfrm>
                        </wpg:grpSpPr>
                        <wps:wsp>
                          <wps:cNvPr id="18281" name="Freeform 8538"/>
                          <wps:cNvSpPr>
                            <a:spLocks/>
                          </wps:cNvSpPr>
                          <wps:spPr bwMode="auto">
                            <a:xfrm>
                              <a:off x="7905" y="3637"/>
                              <a:ext cx="50" cy="50"/>
                            </a:xfrm>
                            <a:custGeom>
                              <a:avLst/>
                              <a:gdLst>
                                <a:gd name="T0" fmla="*/ 25 w 50"/>
                                <a:gd name="T1" fmla="*/ 3637 h 50"/>
                                <a:gd name="T2" fmla="*/ 0 w 50"/>
                                <a:gd name="T3" fmla="*/ 3662 h 50"/>
                                <a:gd name="T4" fmla="*/ 25 w 50"/>
                                <a:gd name="T5" fmla="*/ 3687 h 50"/>
                                <a:gd name="T6" fmla="*/ 50 w 50"/>
                                <a:gd name="T7" fmla="*/ 3662 h 50"/>
                                <a:gd name="T8" fmla="*/ 25 w 50"/>
                                <a:gd name="T9" fmla="*/ 363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82" name="Group 8535"/>
                        <wpg:cNvGrpSpPr>
                          <a:grpSpLocks/>
                        </wpg:cNvGrpSpPr>
                        <wpg:grpSpPr bwMode="auto">
                          <a:xfrm>
                            <a:off x="7905" y="3637"/>
                            <a:ext cx="50" cy="50"/>
                            <a:chOff x="7905" y="3637"/>
                            <a:chExt cx="50" cy="50"/>
                          </a:xfrm>
                        </wpg:grpSpPr>
                        <wps:wsp>
                          <wps:cNvPr id="18283" name="Freeform 8536"/>
                          <wps:cNvSpPr>
                            <a:spLocks/>
                          </wps:cNvSpPr>
                          <wps:spPr bwMode="auto">
                            <a:xfrm>
                              <a:off x="7905" y="3637"/>
                              <a:ext cx="50" cy="50"/>
                            </a:xfrm>
                            <a:custGeom>
                              <a:avLst/>
                              <a:gdLst>
                                <a:gd name="T0" fmla="*/ 25 w 50"/>
                                <a:gd name="T1" fmla="*/ 3637 h 50"/>
                                <a:gd name="T2" fmla="*/ 50 w 50"/>
                                <a:gd name="T3" fmla="*/ 3662 h 50"/>
                                <a:gd name="T4" fmla="*/ 25 w 50"/>
                                <a:gd name="T5" fmla="*/ 3687 h 50"/>
                                <a:gd name="T6" fmla="*/ 0 w 50"/>
                                <a:gd name="T7" fmla="*/ 3662 h 50"/>
                                <a:gd name="T8" fmla="*/ 25 w 50"/>
                                <a:gd name="T9" fmla="*/ 3637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84" name="Group 8533"/>
                        <wpg:cNvGrpSpPr>
                          <a:grpSpLocks/>
                        </wpg:cNvGrpSpPr>
                        <wpg:grpSpPr bwMode="auto">
                          <a:xfrm>
                            <a:off x="8648" y="3751"/>
                            <a:ext cx="50" cy="50"/>
                            <a:chOff x="8648" y="3751"/>
                            <a:chExt cx="50" cy="50"/>
                          </a:xfrm>
                        </wpg:grpSpPr>
                        <wps:wsp>
                          <wps:cNvPr id="18285" name="Freeform 8534"/>
                          <wps:cNvSpPr>
                            <a:spLocks/>
                          </wps:cNvSpPr>
                          <wps:spPr bwMode="auto">
                            <a:xfrm>
                              <a:off x="8648" y="3751"/>
                              <a:ext cx="50" cy="50"/>
                            </a:xfrm>
                            <a:custGeom>
                              <a:avLst/>
                              <a:gdLst>
                                <a:gd name="T0" fmla="*/ 25 w 50"/>
                                <a:gd name="T1" fmla="*/ 3751 h 50"/>
                                <a:gd name="T2" fmla="*/ 0 w 50"/>
                                <a:gd name="T3" fmla="*/ 3776 h 50"/>
                                <a:gd name="T4" fmla="*/ 25 w 50"/>
                                <a:gd name="T5" fmla="*/ 3801 h 50"/>
                                <a:gd name="T6" fmla="*/ 50 w 50"/>
                                <a:gd name="T7" fmla="*/ 3776 h 50"/>
                                <a:gd name="T8" fmla="*/ 25 w 50"/>
                                <a:gd name="T9" fmla="*/ 3751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86" name="Group 8531"/>
                        <wpg:cNvGrpSpPr>
                          <a:grpSpLocks/>
                        </wpg:cNvGrpSpPr>
                        <wpg:grpSpPr bwMode="auto">
                          <a:xfrm>
                            <a:off x="8648" y="3751"/>
                            <a:ext cx="50" cy="50"/>
                            <a:chOff x="8648" y="3751"/>
                            <a:chExt cx="50" cy="50"/>
                          </a:xfrm>
                        </wpg:grpSpPr>
                        <wps:wsp>
                          <wps:cNvPr id="18287" name="Freeform 8532"/>
                          <wps:cNvSpPr>
                            <a:spLocks/>
                          </wps:cNvSpPr>
                          <wps:spPr bwMode="auto">
                            <a:xfrm>
                              <a:off x="8648" y="3751"/>
                              <a:ext cx="50" cy="50"/>
                            </a:xfrm>
                            <a:custGeom>
                              <a:avLst/>
                              <a:gdLst>
                                <a:gd name="T0" fmla="*/ 25 w 50"/>
                                <a:gd name="T1" fmla="*/ 3751 h 50"/>
                                <a:gd name="T2" fmla="*/ 50 w 50"/>
                                <a:gd name="T3" fmla="*/ 3776 h 50"/>
                                <a:gd name="T4" fmla="*/ 25 w 50"/>
                                <a:gd name="T5" fmla="*/ 3801 h 50"/>
                                <a:gd name="T6" fmla="*/ 0 w 50"/>
                                <a:gd name="T7" fmla="*/ 3776 h 50"/>
                                <a:gd name="T8" fmla="*/ 25 w 50"/>
                                <a:gd name="T9" fmla="*/ 3751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88" name="Group 8529"/>
                        <wpg:cNvGrpSpPr>
                          <a:grpSpLocks/>
                        </wpg:cNvGrpSpPr>
                        <wpg:grpSpPr bwMode="auto">
                          <a:xfrm>
                            <a:off x="8683" y="3418"/>
                            <a:ext cx="50" cy="50"/>
                            <a:chOff x="8683" y="3418"/>
                            <a:chExt cx="50" cy="50"/>
                          </a:xfrm>
                        </wpg:grpSpPr>
                        <wps:wsp>
                          <wps:cNvPr id="18289" name="Freeform 8530"/>
                          <wps:cNvSpPr>
                            <a:spLocks/>
                          </wps:cNvSpPr>
                          <wps:spPr bwMode="auto">
                            <a:xfrm>
                              <a:off x="8683" y="3418"/>
                              <a:ext cx="50" cy="50"/>
                            </a:xfrm>
                            <a:custGeom>
                              <a:avLst/>
                              <a:gdLst>
                                <a:gd name="T0" fmla="*/ 25 w 50"/>
                                <a:gd name="T1" fmla="*/ 3418 h 50"/>
                                <a:gd name="T2" fmla="*/ 0 w 50"/>
                                <a:gd name="T3" fmla="*/ 3443 h 50"/>
                                <a:gd name="T4" fmla="*/ 25 w 50"/>
                                <a:gd name="T5" fmla="*/ 3468 h 50"/>
                                <a:gd name="T6" fmla="*/ 49 w 50"/>
                                <a:gd name="T7" fmla="*/ 3443 h 50"/>
                                <a:gd name="T8" fmla="*/ 25 w 50"/>
                                <a:gd name="T9" fmla="*/ 3418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49"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90" name="Group 8527"/>
                        <wpg:cNvGrpSpPr>
                          <a:grpSpLocks/>
                        </wpg:cNvGrpSpPr>
                        <wpg:grpSpPr bwMode="auto">
                          <a:xfrm>
                            <a:off x="8683" y="3418"/>
                            <a:ext cx="50" cy="50"/>
                            <a:chOff x="8683" y="3418"/>
                            <a:chExt cx="50" cy="50"/>
                          </a:xfrm>
                        </wpg:grpSpPr>
                        <wps:wsp>
                          <wps:cNvPr id="18291" name="Freeform 8528"/>
                          <wps:cNvSpPr>
                            <a:spLocks/>
                          </wps:cNvSpPr>
                          <wps:spPr bwMode="auto">
                            <a:xfrm>
                              <a:off x="8683" y="3418"/>
                              <a:ext cx="50" cy="50"/>
                            </a:xfrm>
                            <a:custGeom>
                              <a:avLst/>
                              <a:gdLst>
                                <a:gd name="T0" fmla="*/ 25 w 50"/>
                                <a:gd name="T1" fmla="*/ 3418 h 50"/>
                                <a:gd name="T2" fmla="*/ 49 w 50"/>
                                <a:gd name="T3" fmla="*/ 3443 h 50"/>
                                <a:gd name="T4" fmla="*/ 25 w 50"/>
                                <a:gd name="T5" fmla="*/ 3468 h 50"/>
                                <a:gd name="T6" fmla="*/ 0 w 50"/>
                                <a:gd name="T7" fmla="*/ 3443 h 50"/>
                                <a:gd name="T8" fmla="*/ 25 w 50"/>
                                <a:gd name="T9" fmla="*/ 3418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49"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92" name="Group 8525"/>
                        <wpg:cNvGrpSpPr>
                          <a:grpSpLocks/>
                        </wpg:cNvGrpSpPr>
                        <wpg:grpSpPr bwMode="auto">
                          <a:xfrm>
                            <a:off x="9425" y="4213"/>
                            <a:ext cx="50" cy="50"/>
                            <a:chOff x="9425" y="4213"/>
                            <a:chExt cx="50" cy="50"/>
                          </a:xfrm>
                        </wpg:grpSpPr>
                        <wps:wsp>
                          <wps:cNvPr id="18293" name="Freeform 8526"/>
                          <wps:cNvSpPr>
                            <a:spLocks/>
                          </wps:cNvSpPr>
                          <wps:spPr bwMode="auto">
                            <a:xfrm>
                              <a:off x="9425" y="4213"/>
                              <a:ext cx="50" cy="50"/>
                            </a:xfrm>
                            <a:custGeom>
                              <a:avLst/>
                              <a:gdLst>
                                <a:gd name="T0" fmla="*/ 25 w 50"/>
                                <a:gd name="T1" fmla="*/ 4213 h 50"/>
                                <a:gd name="T2" fmla="*/ 0 w 50"/>
                                <a:gd name="T3" fmla="*/ 4238 h 50"/>
                                <a:gd name="T4" fmla="*/ 25 w 50"/>
                                <a:gd name="T5" fmla="*/ 4263 h 50"/>
                                <a:gd name="T6" fmla="*/ 50 w 50"/>
                                <a:gd name="T7" fmla="*/ 4238 h 50"/>
                                <a:gd name="T8" fmla="*/ 25 w 50"/>
                                <a:gd name="T9" fmla="*/ 4213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94" name="Group 8523"/>
                        <wpg:cNvGrpSpPr>
                          <a:grpSpLocks/>
                        </wpg:cNvGrpSpPr>
                        <wpg:grpSpPr bwMode="auto">
                          <a:xfrm>
                            <a:off x="9425" y="4213"/>
                            <a:ext cx="50" cy="50"/>
                            <a:chOff x="9425" y="4213"/>
                            <a:chExt cx="50" cy="50"/>
                          </a:xfrm>
                        </wpg:grpSpPr>
                        <wps:wsp>
                          <wps:cNvPr id="18295" name="Freeform 8524"/>
                          <wps:cNvSpPr>
                            <a:spLocks/>
                          </wps:cNvSpPr>
                          <wps:spPr bwMode="auto">
                            <a:xfrm>
                              <a:off x="9425" y="4213"/>
                              <a:ext cx="50" cy="50"/>
                            </a:xfrm>
                            <a:custGeom>
                              <a:avLst/>
                              <a:gdLst>
                                <a:gd name="T0" fmla="*/ 25 w 50"/>
                                <a:gd name="T1" fmla="*/ 4213 h 50"/>
                                <a:gd name="T2" fmla="*/ 50 w 50"/>
                                <a:gd name="T3" fmla="*/ 4238 h 50"/>
                                <a:gd name="T4" fmla="*/ 25 w 50"/>
                                <a:gd name="T5" fmla="*/ 4263 h 50"/>
                                <a:gd name="T6" fmla="*/ 0 w 50"/>
                                <a:gd name="T7" fmla="*/ 4238 h 50"/>
                                <a:gd name="T8" fmla="*/ 25 w 50"/>
                                <a:gd name="T9" fmla="*/ 4213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296" name="Group 8521"/>
                        <wpg:cNvGrpSpPr>
                          <a:grpSpLocks/>
                        </wpg:cNvGrpSpPr>
                        <wpg:grpSpPr bwMode="auto">
                          <a:xfrm>
                            <a:off x="9459" y="4629"/>
                            <a:ext cx="50" cy="50"/>
                            <a:chOff x="9459" y="4629"/>
                            <a:chExt cx="50" cy="50"/>
                          </a:xfrm>
                        </wpg:grpSpPr>
                        <wps:wsp>
                          <wps:cNvPr id="18297" name="Freeform 8522"/>
                          <wps:cNvSpPr>
                            <a:spLocks/>
                          </wps:cNvSpPr>
                          <wps:spPr bwMode="auto">
                            <a:xfrm>
                              <a:off x="9459" y="4629"/>
                              <a:ext cx="50" cy="50"/>
                            </a:xfrm>
                            <a:custGeom>
                              <a:avLst/>
                              <a:gdLst>
                                <a:gd name="T0" fmla="*/ 25 w 50"/>
                                <a:gd name="T1" fmla="*/ 4629 h 50"/>
                                <a:gd name="T2" fmla="*/ 0 w 50"/>
                                <a:gd name="T3" fmla="*/ 4653 h 50"/>
                                <a:gd name="T4" fmla="*/ 25 w 50"/>
                                <a:gd name="T5" fmla="*/ 4678 h 50"/>
                                <a:gd name="T6" fmla="*/ 50 w 50"/>
                                <a:gd name="T7" fmla="*/ 4653 h 50"/>
                                <a:gd name="T8" fmla="*/ 25 w 50"/>
                                <a:gd name="T9" fmla="*/ 4629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4"/>
                                  </a:lnTo>
                                  <a:lnTo>
                                    <a:pt x="25" y="49"/>
                                  </a:lnTo>
                                  <a:lnTo>
                                    <a:pt x="50" y="24"/>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298" name="Group 8519"/>
                        <wpg:cNvGrpSpPr>
                          <a:grpSpLocks/>
                        </wpg:cNvGrpSpPr>
                        <wpg:grpSpPr bwMode="auto">
                          <a:xfrm>
                            <a:off x="9459" y="4629"/>
                            <a:ext cx="50" cy="50"/>
                            <a:chOff x="9459" y="4629"/>
                            <a:chExt cx="50" cy="50"/>
                          </a:xfrm>
                        </wpg:grpSpPr>
                        <wps:wsp>
                          <wps:cNvPr id="18299" name="Freeform 8520"/>
                          <wps:cNvSpPr>
                            <a:spLocks/>
                          </wps:cNvSpPr>
                          <wps:spPr bwMode="auto">
                            <a:xfrm>
                              <a:off x="9459" y="4629"/>
                              <a:ext cx="50" cy="50"/>
                            </a:xfrm>
                            <a:custGeom>
                              <a:avLst/>
                              <a:gdLst>
                                <a:gd name="T0" fmla="*/ 25 w 50"/>
                                <a:gd name="T1" fmla="*/ 4629 h 50"/>
                                <a:gd name="T2" fmla="*/ 50 w 50"/>
                                <a:gd name="T3" fmla="*/ 4653 h 50"/>
                                <a:gd name="T4" fmla="*/ 25 w 50"/>
                                <a:gd name="T5" fmla="*/ 4678 h 50"/>
                                <a:gd name="T6" fmla="*/ 0 w 50"/>
                                <a:gd name="T7" fmla="*/ 4653 h 50"/>
                                <a:gd name="T8" fmla="*/ 25 w 50"/>
                                <a:gd name="T9" fmla="*/ 4629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4"/>
                                  </a:lnTo>
                                  <a:lnTo>
                                    <a:pt x="25" y="49"/>
                                  </a:lnTo>
                                  <a:lnTo>
                                    <a:pt x="0" y="24"/>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00" name="Group 8517"/>
                        <wpg:cNvGrpSpPr>
                          <a:grpSpLocks/>
                        </wpg:cNvGrpSpPr>
                        <wpg:grpSpPr bwMode="auto">
                          <a:xfrm>
                            <a:off x="7052" y="3520"/>
                            <a:ext cx="2433" cy="926"/>
                            <a:chOff x="7052" y="3520"/>
                            <a:chExt cx="2433" cy="926"/>
                          </a:xfrm>
                        </wpg:grpSpPr>
                        <wps:wsp>
                          <wps:cNvPr id="18301" name="Freeform 8518"/>
                          <wps:cNvSpPr>
                            <a:spLocks/>
                          </wps:cNvSpPr>
                          <wps:spPr bwMode="auto">
                            <a:xfrm>
                              <a:off x="7052" y="3520"/>
                              <a:ext cx="2433" cy="926"/>
                            </a:xfrm>
                            <a:custGeom>
                              <a:avLst/>
                              <a:gdLst>
                                <a:gd name="T0" fmla="*/ 36 w 2433"/>
                                <a:gd name="T1" fmla="*/ 4074 h 926"/>
                                <a:gd name="T2" fmla="*/ 78 w 2433"/>
                                <a:gd name="T3" fmla="*/ 4031 h 926"/>
                                <a:gd name="T4" fmla="*/ 119 w 2433"/>
                                <a:gd name="T5" fmla="*/ 3989 h 926"/>
                                <a:gd name="T6" fmla="*/ 161 w 2433"/>
                                <a:gd name="T7" fmla="*/ 3950 h 926"/>
                                <a:gd name="T8" fmla="*/ 203 w 2433"/>
                                <a:gd name="T9" fmla="*/ 3912 h 926"/>
                                <a:gd name="T10" fmla="*/ 243 w 2433"/>
                                <a:gd name="T11" fmla="*/ 3877 h 926"/>
                                <a:gd name="T12" fmla="*/ 285 w 2433"/>
                                <a:gd name="T13" fmla="*/ 3842 h 926"/>
                                <a:gd name="T14" fmla="*/ 326 w 2433"/>
                                <a:gd name="T15" fmla="*/ 3809 h 926"/>
                                <a:gd name="T16" fmla="*/ 368 w 2433"/>
                                <a:gd name="T17" fmla="*/ 3778 h 926"/>
                                <a:gd name="T18" fmla="*/ 408 w 2433"/>
                                <a:gd name="T19" fmla="*/ 3750 h 926"/>
                                <a:gd name="T20" fmla="*/ 450 w 2433"/>
                                <a:gd name="T21" fmla="*/ 3722 h 926"/>
                                <a:gd name="T22" fmla="*/ 491 w 2433"/>
                                <a:gd name="T23" fmla="*/ 3696 h 926"/>
                                <a:gd name="T24" fmla="*/ 533 w 2433"/>
                                <a:gd name="T25" fmla="*/ 3673 h 926"/>
                                <a:gd name="T26" fmla="*/ 574 w 2433"/>
                                <a:gd name="T27" fmla="*/ 3650 h 926"/>
                                <a:gd name="T28" fmla="*/ 615 w 2433"/>
                                <a:gd name="T29" fmla="*/ 3630 h 926"/>
                                <a:gd name="T30" fmla="*/ 656 w 2433"/>
                                <a:gd name="T31" fmla="*/ 3612 h 926"/>
                                <a:gd name="T32" fmla="*/ 698 w 2433"/>
                                <a:gd name="T33" fmla="*/ 3594 h 926"/>
                                <a:gd name="T34" fmla="*/ 739 w 2433"/>
                                <a:gd name="T35" fmla="*/ 3579 h 926"/>
                                <a:gd name="T36" fmla="*/ 780 w 2433"/>
                                <a:gd name="T37" fmla="*/ 3566 h 926"/>
                                <a:gd name="T38" fmla="*/ 821 w 2433"/>
                                <a:gd name="T39" fmla="*/ 3554 h 926"/>
                                <a:gd name="T40" fmla="*/ 863 w 2433"/>
                                <a:gd name="T41" fmla="*/ 3545 h 926"/>
                                <a:gd name="T42" fmla="*/ 904 w 2433"/>
                                <a:gd name="T43" fmla="*/ 3536 h 926"/>
                                <a:gd name="T44" fmla="*/ 946 w 2433"/>
                                <a:gd name="T45" fmla="*/ 3529 h 926"/>
                                <a:gd name="T46" fmla="*/ 986 w 2433"/>
                                <a:gd name="T47" fmla="*/ 3524 h 926"/>
                                <a:gd name="T48" fmla="*/ 1028 w 2433"/>
                                <a:gd name="T49" fmla="*/ 3522 h 926"/>
                                <a:gd name="T50" fmla="*/ 1148 w 2433"/>
                                <a:gd name="T51" fmla="*/ 3522 h 926"/>
                                <a:gd name="T52" fmla="*/ 1188 w 2433"/>
                                <a:gd name="T53" fmla="*/ 3526 h 926"/>
                                <a:gd name="T54" fmla="*/ 1229 w 2433"/>
                                <a:gd name="T55" fmla="*/ 3532 h 926"/>
                                <a:gd name="T56" fmla="*/ 1271 w 2433"/>
                                <a:gd name="T57" fmla="*/ 3539 h 926"/>
                                <a:gd name="T58" fmla="*/ 1313 w 2433"/>
                                <a:gd name="T59" fmla="*/ 3547 h 926"/>
                                <a:gd name="T60" fmla="*/ 1354 w 2433"/>
                                <a:gd name="T61" fmla="*/ 3558 h 926"/>
                                <a:gd name="T62" fmla="*/ 1394 w 2433"/>
                                <a:gd name="T63" fmla="*/ 3570 h 926"/>
                                <a:gd name="T64" fmla="*/ 1436 w 2433"/>
                                <a:gd name="T65" fmla="*/ 3584 h 926"/>
                                <a:gd name="T66" fmla="*/ 1478 w 2433"/>
                                <a:gd name="T67" fmla="*/ 3599 h 926"/>
                                <a:gd name="T68" fmla="*/ 1519 w 2433"/>
                                <a:gd name="T69" fmla="*/ 3617 h 926"/>
                                <a:gd name="T70" fmla="*/ 1561 w 2433"/>
                                <a:gd name="T71" fmla="*/ 3636 h 926"/>
                                <a:gd name="T72" fmla="*/ 1601 w 2433"/>
                                <a:gd name="T73" fmla="*/ 3657 h 926"/>
                                <a:gd name="T74" fmla="*/ 1643 w 2433"/>
                                <a:gd name="T75" fmla="*/ 3680 h 926"/>
                                <a:gd name="T76" fmla="*/ 1684 w 2433"/>
                                <a:gd name="T77" fmla="*/ 3705 h 926"/>
                                <a:gd name="T78" fmla="*/ 1726 w 2433"/>
                                <a:gd name="T79" fmla="*/ 3731 h 926"/>
                                <a:gd name="T80" fmla="*/ 1766 w 2433"/>
                                <a:gd name="T81" fmla="*/ 3758 h 926"/>
                                <a:gd name="T82" fmla="*/ 1807 w 2433"/>
                                <a:gd name="T83" fmla="*/ 3788 h 926"/>
                                <a:gd name="T84" fmla="*/ 1849 w 2433"/>
                                <a:gd name="T85" fmla="*/ 3819 h 926"/>
                                <a:gd name="T86" fmla="*/ 1891 w 2433"/>
                                <a:gd name="T87" fmla="*/ 3852 h 926"/>
                                <a:gd name="T88" fmla="*/ 1932 w 2433"/>
                                <a:gd name="T89" fmla="*/ 3887 h 926"/>
                                <a:gd name="T90" fmla="*/ 1972 w 2433"/>
                                <a:gd name="T91" fmla="*/ 3923 h 926"/>
                                <a:gd name="T92" fmla="*/ 2014 w 2433"/>
                                <a:gd name="T93" fmla="*/ 3962 h 926"/>
                                <a:gd name="T94" fmla="*/ 2056 w 2433"/>
                                <a:gd name="T95" fmla="*/ 4001 h 926"/>
                                <a:gd name="T96" fmla="*/ 2097 w 2433"/>
                                <a:gd name="T97" fmla="*/ 4043 h 926"/>
                                <a:gd name="T98" fmla="*/ 2137 w 2433"/>
                                <a:gd name="T99" fmla="*/ 4087 h 926"/>
                                <a:gd name="T100" fmla="*/ 2179 w 2433"/>
                                <a:gd name="T101" fmla="*/ 4132 h 926"/>
                                <a:gd name="T102" fmla="*/ 2221 w 2433"/>
                                <a:gd name="T103" fmla="*/ 4179 h 926"/>
                                <a:gd name="T104" fmla="*/ 2262 w 2433"/>
                                <a:gd name="T105" fmla="*/ 4228 h 926"/>
                                <a:gd name="T106" fmla="*/ 2304 w 2433"/>
                                <a:gd name="T107" fmla="*/ 4278 h 926"/>
                                <a:gd name="T108" fmla="*/ 2344 w 2433"/>
                                <a:gd name="T109" fmla="*/ 4330 h 926"/>
                                <a:gd name="T110" fmla="*/ 2386 w 2433"/>
                                <a:gd name="T111" fmla="*/ 4383 h 926"/>
                                <a:gd name="T112" fmla="*/ 2427 w 2433"/>
                                <a:gd name="T113" fmla="*/ 4439 h 92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Lst>
                              <a:ahLst/>
                              <a:cxnLst>
                                <a:cxn ang="T114">
                                  <a:pos x="T0" y="T1"/>
                                </a:cxn>
                                <a:cxn ang="T115">
                                  <a:pos x="T2" y="T3"/>
                                </a:cxn>
                                <a:cxn ang="T116">
                                  <a:pos x="T4" y="T5"/>
                                </a:cxn>
                                <a:cxn ang="T117">
                                  <a:pos x="T6" y="T7"/>
                                </a:cxn>
                                <a:cxn ang="T118">
                                  <a:pos x="T8" y="T9"/>
                                </a:cxn>
                                <a:cxn ang="T119">
                                  <a:pos x="T10" y="T11"/>
                                </a:cxn>
                                <a:cxn ang="T120">
                                  <a:pos x="T12" y="T13"/>
                                </a:cxn>
                                <a:cxn ang="T121">
                                  <a:pos x="T14" y="T15"/>
                                </a:cxn>
                                <a:cxn ang="T122">
                                  <a:pos x="T16" y="T17"/>
                                </a:cxn>
                                <a:cxn ang="T123">
                                  <a:pos x="T18" y="T19"/>
                                </a:cxn>
                                <a:cxn ang="T124">
                                  <a:pos x="T20" y="T21"/>
                                </a:cxn>
                                <a:cxn ang="T125">
                                  <a:pos x="T22" y="T23"/>
                                </a:cxn>
                                <a:cxn ang="T126">
                                  <a:pos x="T24" y="T25"/>
                                </a:cxn>
                                <a:cxn ang="T127">
                                  <a:pos x="T26" y="T27"/>
                                </a:cxn>
                                <a:cxn ang="T128">
                                  <a:pos x="T28" y="T29"/>
                                </a:cxn>
                                <a:cxn ang="T129">
                                  <a:pos x="T30" y="T31"/>
                                </a:cxn>
                                <a:cxn ang="T130">
                                  <a:pos x="T32" y="T33"/>
                                </a:cxn>
                                <a:cxn ang="T131">
                                  <a:pos x="T34" y="T35"/>
                                </a:cxn>
                                <a:cxn ang="T132">
                                  <a:pos x="T36" y="T37"/>
                                </a:cxn>
                                <a:cxn ang="T133">
                                  <a:pos x="T38" y="T39"/>
                                </a:cxn>
                                <a:cxn ang="T134">
                                  <a:pos x="T40" y="T41"/>
                                </a:cxn>
                                <a:cxn ang="T135">
                                  <a:pos x="T42" y="T43"/>
                                </a:cxn>
                                <a:cxn ang="T136">
                                  <a:pos x="T44" y="T45"/>
                                </a:cxn>
                                <a:cxn ang="T137">
                                  <a:pos x="T46" y="T47"/>
                                </a:cxn>
                                <a:cxn ang="T138">
                                  <a:pos x="T48" y="T49"/>
                                </a:cxn>
                                <a:cxn ang="T139">
                                  <a:pos x="T50" y="T51"/>
                                </a:cxn>
                                <a:cxn ang="T140">
                                  <a:pos x="T52" y="T53"/>
                                </a:cxn>
                                <a:cxn ang="T141">
                                  <a:pos x="T54" y="T55"/>
                                </a:cxn>
                                <a:cxn ang="T142">
                                  <a:pos x="T56" y="T57"/>
                                </a:cxn>
                                <a:cxn ang="T143">
                                  <a:pos x="T58" y="T59"/>
                                </a:cxn>
                                <a:cxn ang="T144">
                                  <a:pos x="T60" y="T61"/>
                                </a:cxn>
                                <a:cxn ang="T145">
                                  <a:pos x="T62" y="T63"/>
                                </a:cxn>
                                <a:cxn ang="T146">
                                  <a:pos x="T64" y="T65"/>
                                </a:cxn>
                                <a:cxn ang="T147">
                                  <a:pos x="T66" y="T67"/>
                                </a:cxn>
                                <a:cxn ang="T148">
                                  <a:pos x="T68" y="T69"/>
                                </a:cxn>
                                <a:cxn ang="T149">
                                  <a:pos x="T70" y="T71"/>
                                </a:cxn>
                                <a:cxn ang="T150">
                                  <a:pos x="T72" y="T73"/>
                                </a:cxn>
                                <a:cxn ang="T151">
                                  <a:pos x="T74" y="T75"/>
                                </a:cxn>
                                <a:cxn ang="T152">
                                  <a:pos x="T76" y="T77"/>
                                </a:cxn>
                                <a:cxn ang="T153">
                                  <a:pos x="T78" y="T79"/>
                                </a:cxn>
                                <a:cxn ang="T154">
                                  <a:pos x="T80" y="T81"/>
                                </a:cxn>
                                <a:cxn ang="T155">
                                  <a:pos x="T82" y="T83"/>
                                </a:cxn>
                                <a:cxn ang="T156">
                                  <a:pos x="T84" y="T85"/>
                                </a:cxn>
                                <a:cxn ang="T157">
                                  <a:pos x="T86" y="T87"/>
                                </a:cxn>
                                <a:cxn ang="T158">
                                  <a:pos x="T88" y="T89"/>
                                </a:cxn>
                                <a:cxn ang="T159">
                                  <a:pos x="T90" y="T91"/>
                                </a:cxn>
                                <a:cxn ang="T160">
                                  <a:pos x="T92" y="T93"/>
                                </a:cxn>
                                <a:cxn ang="T161">
                                  <a:pos x="T94" y="T95"/>
                                </a:cxn>
                                <a:cxn ang="T162">
                                  <a:pos x="T96" y="T97"/>
                                </a:cxn>
                                <a:cxn ang="T163">
                                  <a:pos x="T98" y="T99"/>
                                </a:cxn>
                                <a:cxn ang="T164">
                                  <a:pos x="T100" y="T101"/>
                                </a:cxn>
                                <a:cxn ang="T165">
                                  <a:pos x="T102" y="T103"/>
                                </a:cxn>
                                <a:cxn ang="T166">
                                  <a:pos x="T104" y="T105"/>
                                </a:cxn>
                                <a:cxn ang="T167">
                                  <a:pos x="T106" y="T107"/>
                                </a:cxn>
                                <a:cxn ang="T168">
                                  <a:pos x="T108" y="T109"/>
                                </a:cxn>
                                <a:cxn ang="T169">
                                  <a:pos x="T110" y="T111"/>
                                </a:cxn>
                                <a:cxn ang="T170">
                                  <a:pos x="T112" y="T113"/>
                                </a:cxn>
                              </a:cxnLst>
                              <a:rect l="0" t="0" r="r" b="b"/>
                              <a:pathLst>
                                <a:path w="2433" h="926">
                                  <a:moveTo>
                                    <a:pt x="0" y="593"/>
                                  </a:moveTo>
                                  <a:lnTo>
                                    <a:pt x="4" y="588"/>
                                  </a:lnTo>
                                  <a:lnTo>
                                    <a:pt x="9" y="583"/>
                                  </a:lnTo>
                                  <a:lnTo>
                                    <a:pt x="14" y="577"/>
                                  </a:lnTo>
                                  <a:lnTo>
                                    <a:pt x="19" y="573"/>
                                  </a:lnTo>
                                  <a:lnTo>
                                    <a:pt x="23" y="568"/>
                                  </a:lnTo>
                                  <a:lnTo>
                                    <a:pt x="28" y="563"/>
                                  </a:lnTo>
                                  <a:lnTo>
                                    <a:pt x="33" y="558"/>
                                  </a:lnTo>
                                  <a:lnTo>
                                    <a:pt x="36" y="554"/>
                                  </a:lnTo>
                                  <a:lnTo>
                                    <a:pt x="41" y="549"/>
                                  </a:lnTo>
                                  <a:lnTo>
                                    <a:pt x="46" y="544"/>
                                  </a:lnTo>
                                  <a:lnTo>
                                    <a:pt x="51" y="538"/>
                                  </a:lnTo>
                                  <a:lnTo>
                                    <a:pt x="55" y="533"/>
                                  </a:lnTo>
                                  <a:lnTo>
                                    <a:pt x="60" y="529"/>
                                  </a:lnTo>
                                  <a:lnTo>
                                    <a:pt x="65" y="524"/>
                                  </a:lnTo>
                                  <a:lnTo>
                                    <a:pt x="68" y="519"/>
                                  </a:lnTo>
                                  <a:lnTo>
                                    <a:pt x="73" y="514"/>
                                  </a:lnTo>
                                  <a:lnTo>
                                    <a:pt x="78" y="511"/>
                                  </a:lnTo>
                                  <a:lnTo>
                                    <a:pt x="83" y="506"/>
                                  </a:lnTo>
                                  <a:lnTo>
                                    <a:pt x="87" y="501"/>
                                  </a:lnTo>
                                  <a:lnTo>
                                    <a:pt x="92" y="497"/>
                                  </a:lnTo>
                                  <a:lnTo>
                                    <a:pt x="97" y="492"/>
                                  </a:lnTo>
                                  <a:lnTo>
                                    <a:pt x="100" y="487"/>
                                  </a:lnTo>
                                  <a:lnTo>
                                    <a:pt x="105" y="482"/>
                                  </a:lnTo>
                                  <a:lnTo>
                                    <a:pt x="110" y="478"/>
                                  </a:lnTo>
                                  <a:lnTo>
                                    <a:pt x="115" y="474"/>
                                  </a:lnTo>
                                  <a:lnTo>
                                    <a:pt x="119" y="469"/>
                                  </a:lnTo>
                                  <a:lnTo>
                                    <a:pt x="124" y="465"/>
                                  </a:lnTo>
                                  <a:lnTo>
                                    <a:pt x="129" y="460"/>
                                  </a:lnTo>
                                  <a:lnTo>
                                    <a:pt x="134" y="456"/>
                                  </a:lnTo>
                                  <a:lnTo>
                                    <a:pt x="137" y="452"/>
                                  </a:lnTo>
                                  <a:lnTo>
                                    <a:pt x="142" y="447"/>
                                  </a:lnTo>
                                  <a:lnTo>
                                    <a:pt x="147" y="443"/>
                                  </a:lnTo>
                                  <a:lnTo>
                                    <a:pt x="151" y="438"/>
                                  </a:lnTo>
                                  <a:lnTo>
                                    <a:pt x="156" y="434"/>
                                  </a:lnTo>
                                  <a:lnTo>
                                    <a:pt x="161" y="430"/>
                                  </a:lnTo>
                                  <a:lnTo>
                                    <a:pt x="166" y="425"/>
                                  </a:lnTo>
                                  <a:lnTo>
                                    <a:pt x="169" y="421"/>
                                  </a:lnTo>
                                  <a:lnTo>
                                    <a:pt x="174" y="417"/>
                                  </a:lnTo>
                                  <a:lnTo>
                                    <a:pt x="179" y="412"/>
                                  </a:lnTo>
                                  <a:lnTo>
                                    <a:pt x="183" y="409"/>
                                  </a:lnTo>
                                  <a:lnTo>
                                    <a:pt x="188" y="404"/>
                                  </a:lnTo>
                                  <a:lnTo>
                                    <a:pt x="193" y="401"/>
                                  </a:lnTo>
                                  <a:lnTo>
                                    <a:pt x="198" y="396"/>
                                  </a:lnTo>
                                  <a:lnTo>
                                    <a:pt x="203" y="392"/>
                                  </a:lnTo>
                                  <a:lnTo>
                                    <a:pt x="206" y="388"/>
                                  </a:lnTo>
                                  <a:lnTo>
                                    <a:pt x="211" y="384"/>
                                  </a:lnTo>
                                  <a:lnTo>
                                    <a:pt x="216" y="380"/>
                                  </a:lnTo>
                                  <a:lnTo>
                                    <a:pt x="221" y="376"/>
                                  </a:lnTo>
                                  <a:lnTo>
                                    <a:pt x="225" y="372"/>
                                  </a:lnTo>
                                  <a:lnTo>
                                    <a:pt x="230" y="367"/>
                                  </a:lnTo>
                                  <a:lnTo>
                                    <a:pt x="235" y="364"/>
                                  </a:lnTo>
                                  <a:lnTo>
                                    <a:pt x="238" y="360"/>
                                  </a:lnTo>
                                  <a:lnTo>
                                    <a:pt x="243" y="357"/>
                                  </a:lnTo>
                                  <a:lnTo>
                                    <a:pt x="248" y="352"/>
                                  </a:lnTo>
                                  <a:lnTo>
                                    <a:pt x="253" y="348"/>
                                  </a:lnTo>
                                  <a:lnTo>
                                    <a:pt x="257" y="345"/>
                                  </a:lnTo>
                                  <a:lnTo>
                                    <a:pt x="262" y="341"/>
                                  </a:lnTo>
                                  <a:lnTo>
                                    <a:pt x="267" y="337"/>
                                  </a:lnTo>
                                  <a:lnTo>
                                    <a:pt x="270" y="333"/>
                                  </a:lnTo>
                                  <a:lnTo>
                                    <a:pt x="275" y="329"/>
                                  </a:lnTo>
                                  <a:lnTo>
                                    <a:pt x="280" y="326"/>
                                  </a:lnTo>
                                  <a:lnTo>
                                    <a:pt x="285" y="322"/>
                                  </a:lnTo>
                                  <a:lnTo>
                                    <a:pt x="289" y="319"/>
                                  </a:lnTo>
                                  <a:lnTo>
                                    <a:pt x="294" y="314"/>
                                  </a:lnTo>
                                  <a:lnTo>
                                    <a:pt x="299" y="310"/>
                                  </a:lnTo>
                                  <a:lnTo>
                                    <a:pt x="304" y="307"/>
                                  </a:lnTo>
                                  <a:lnTo>
                                    <a:pt x="307" y="303"/>
                                  </a:lnTo>
                                  <a:lnTo>
                                    <a:pt x="312" y="300"/>
                                  </a:lnTo>
                                  <a:lnTo>
                                    <a:pt x="317" y="296"/>
                                  </a:lnTo>
                                  <a:lnTo>
                                    <a:pt x="321" y="293"/>
                                  </a:lnTo>
                                  <a:lnTo>
                                    <a:pt x="326" y="289"/>
                                  </a:lnTo>
                                  <a:lnTo>
                                    <a:pt x="331" y="286"/>
                                  </a:lnTo>
                                  <a:lnTo>
                                    <a:pt x="336" y="282"/>
                                  </a:lnTo>
                                  <a:lnTo>
                                    <a:pt x="339" y="278"/>
                                  </a:lnTo>
                                  <a:lnTo>
                                    <a:pt x="344" y="276"/>
                                  </a:lnTo>
                                  <a:lnTo>
                                    <a:pt x="349" y="272"/>
                                  </a:lnTo>
                                  <a:lnTo>
                                    <a:pt x="354" y="269"/>
                                  </a:lnTo>
                                  <a:lnTo>
                                    <a:pt x="358" y="265"/>
                                  </a:lnTo>
                                  <a:lnTo>
                                    <a:pt x="363" y="262"/>
                                  </a:lnTo>
                                  <a:lnTo>
                                    <a:pt x="368" y="258"/>
                                  </a:lnTo>
                                  <a:lnTo>
                                    <a:pt x="373" y="256"/>
                                  </a:lnTo>
                                  <a:lnTo>
                                    <a:pt x="376" y="252"/>
                                  </a:lnTo>
                                  <a:lnTo>
                                    <a:pt x="381" y="249"/>
                                  </a:lnTo>
                                  <a:lnTo>
                                    <a:pt x="386" y="245"/>
                                  </a:lnTo>
                                  <a:lnTo>
                                    <a:pt x="390" y="243"/>
                                  </a:lnTo>
                                  <a:lnTo>
                                    <a:pt x="395" y="239"/>
                                  </a:lnTo>
                                  <a:lnTo>
                                    <a:pt x="400" y="236"/>
                                  </a:lnTo>
                                  <a:lnTo>
                                    <a:pt x="405" y="232"/>
                                  </a:lnTo>
                                  <a:lnTo>
                                    <a:pt x="408" y="230"/>
                                  </a:lnTo>
                                  <a:lnTo>
                                    <a:pt x="413" y="226"/>
                                  </a:lnTo>
                                  <a:lnTo>
                                    <a:pt x="418" y="224"/>
                                  </a:lnTo>
                                  <a:lnTo>
                                    <a:pt x="422" y="220"/>
                                  </a:lnTo>
                                  <a:lnTo>
                                    <a:pt x="427" y="217"/>
                                  </a:lnTo>
                                  <a:lnTo>
                                    <a:pt x="432" y="214"/>
                                  </a:lnTo>
                                  <a:lnTo>
                                    <a:pt x="437" y="211"/>
                                  </a:lnTo>
                                  <a:lnTo>
                                    <a:pt x="440" y="208"/>
                                  </a:lnTo>
                                  <a:lnTo>
                                    <a:pt x="445" y="205"/>
                                  </a:lnTo>
                                  <a:lnTo>
                                    <a:pt x="450" y="202"/>
                                  </a:lnTo>
                                  <a:lnTo>
                                    <a:pt x="454" y="199"/>
                                  </a:lnTo>
                                  <a:lnTo>
                                    <a:pt x="459" y="197"/>
                                  </a:lnTo>
                                  <a:lnTo>
                                    <a:pt x="464" y="193"/>
                                  </a:lnTo>
                                  <a:lnTo>
                                    <a:pt x="469" y="191"/>
                                  </a:lnTo>
                                  <a:lnTo>
                                    <a:pt x="473" y="188"/>
                                  </a:lnTo>
                                  <a:lnTo>
                                    <a:pt x="477" y="185"/>
                                  </a:lnTo>
                                  <a:lnTo>
                                    <a:pt x="482" y="182"/>
                                  </a:lnTo>
                                  <a:lnTo>
                                    <a:pt x="486" y="180"/>
                                  </a:lnTo>
                                  <a:lnTo>
                                    <a:pt x="491" y="176"/>
                                  </a:lnTo>
                                  <a:lnTo>
                                    <a:pt x="496" y="174"/>
                                  </a:lnTo>
                                  <a:lnTo>
                                    <a:pt x="501" y="172"/>
                                  </a:lnTo>
                                  <a:lnTo>
                                    <a:pt x="505" y="168"/>
                                  </a:lnTo>
                                  <a:lnTo>
                                    <a:pt x="509" y="166"/>
                                  </a:lnTo>
                                  <a:lnTo>
                                    <a:pt x="514" y="163"/>
                                  </a:lnTo>
                                  <a:lnTo>
                                    <a:pt x="518" y="161"/>
                                  </a:lnTo>
                                  <a:lnTo>
                                    <a:pt x="523" y="157"/>
                                  </a:lnTo>
                                  <a:lnTo>
                                    <a:pt x="528" y="155"/>
                                  </a:lnTo>
                                  <a:lnTo>
                                    <a:pt x="533" y="153"/>
                                  </a:lnTo>
                                  <a:lnTo>
                                    <a:pt x="537" y="150"/>
                                  </a:lnTo>
                                  <a:lnTo>
                                    <a:pt x="542" y="148"/>
                                  </a:lnTo>
                                  <a:lnTo>
                                    <a:pt x="546" y="146"/>
                                  </a:lnTo>
                                  <a:lnTo>
                                    <a:pt x="551" y="143"/>
                                  </a:lnTo>
                                  <a:lnTo>
                                    <a:pt x="555" y="141"/>
                                  </a:lnTo>
                                  <a:lnTo>
                                    <a:pt x="560" y="138"/>
                                  </a:lnTo>
                                  <a:lnTo>
                                    <a:pt x="565" y="135"/>
                                  </a:lnTo>
                                  <a:lnTo>
                                    <a:pt x="570" y="133"/>
                                  </a:lnTo>
                                  <a:lnTo>
                                    <a:pt x="574" y="130"/>
                                  </a:lnTo>
                                  <a:lnTo>
                                    <a:pt x="578" y="128"/>
                                  </a:lnTo>
                                  <a:lnTo>
                                    <a:pt x="583" y="127"/>
                                  </a:lnTo>
                                  <a:lnTo>
                                    <a:pt x="587" y="124"/>
                                  </a:lnTo>
                                  <a:lnTo>
                                    <a:pt x="592" y="122"/>
                                  </a:lnTo>
                                  <a:lnTo>
                                    <a:pt x="597" y="119"/>
                                  </a:lnTo>
                                  <a:lnTo>
                                    <a:pt x="602" y="117"/>
                                  </a:lnTo>
                                  <a:lnTo>
                                    <a:pt x="606" y="115"/>
                                  </a:lnTo>
                                  <a:lnTo>
                                    <a:pt x="610" y="112"/>
                                  </a:lnTo>
                                  <a:lnTo>
                                    <a:pt x="615" y="110"/>
                                  </a:lnTo>
                                  <a:lnTo>
                                    <a:pt x="619" y="108"/>
                                  </a:lnTo>
                                  <a:lnTo>
                                    <a:pt x="624" y="106"/>
                                  </a:lnTo>
                                  <a:lnTo>
                                    <a:pt x="629" y="104"/>
                                  </a:lnTo>
                                  <a:lnTo>
                                    <a:pt x="634" y="102"/>
                                  </a:lnTo>
                                  <a:lnTo>
                                    <a:pt x="638" y="99"/>
                                  </a:lnTo>
                                  <a:lnTo>
                                    <a:pt x="643" y="98"/>
                                  </a:lnTo>
                                  <a:lnTo>
                                    <a:pt x="647" y="96"/>
                                  </a:lnTo>
                                  <a:lnTo>
                                    <a:pt x="651" y="93"/>
                                  </a:lnTo>
                                  <a:lnTo>
                                    <a:pt x="656" y="92"/>
                                  </a:lnTo>
                                  <a:lnTo>
                                    <a:pt x="661" y="90"/>
                                  </a:lnTo>
                                  <a:lnTo>
                                    <a:pt x="666" y="87"/>
                                  </a:lnTo>
                                  <a:lnTo>
                                    <a:pt x="670" y="86"/>
                                  </a:lnTo>
                                  <a:lnTo>
                                    <a:pt x="675" y="84"/>
                                  </a:lnTo>
                                  <a:lnTo>
                                    <a:pt x="679" y="82"/>
                                  </a:lnTo>
                                  <a:lnTo>
                                    <a:pt x="683" y="80"/>
                                  </a:lnTo>
                                  <a:lnTo>
                                    <a:pt x="688" y="78"/>
                                  </a:lnTo>
                                  <a:lnTo>
                                    <a:pt x="693" y="77"/>
                                  </a:lnTo>
                                  <a:lnTo>
                                    <a:pt x="698" y="74"/>
                                  </a:lnTo>
                                  <a:lnTo>
                                    <a:pt x="702" y="73"/>
                                  </a:lnTo>
                                  <a:lnTo>
                                    <a:pt x="707" y="71"/>
                                  </a:lnTo>
                                  <a:lnTo>
                                    <a:pt x="712" y="70"/>
                                  </a:lnTo>
                                  <a:lnTo>
                                    <a:pt x="716" y="67"/>
                                  </a:lnTo>
                                  <a:lnTo>
                                    <a:pt x="720" y="66"/>
                                  </a:lnTo>
                                  <a:lnTo>
                                    <a:pt x="725" y="65"/>
                                  </a:lnTo>
                                  <a:lnTo>
                                    <a:pt x="730" y="63"/>
                                  </a:lnTo>
                                  <a:lnTo>
                                    <a:pt x="735" y="61"/>
                                  </a:lnTo>
                                  <a:lnTo>
                                    <a:pt x="739" y="59"/>
                                  </a:lnTo>
                                  <a:lnTo>
                                    <a:pt x="744" y="58"/>
                                  </a:lnTo>
                                  <a:lnTo>
                                    <a:pt x="748" y="57"/>
                                  </a:lnTo>
                                  <a:lnTo>
                                    <a:pt x="752" y="54"/>
                                  </a:lnTo>
                                  <a:lnTo>
                                    <a:pt x="757" y="53"/>
                                  </a:lnTo>
                                  <a:lnTo>
                                    <a:pt x="762" y="52"/>
                                  </a:lnTo>
                                  <a:lnTo>
                                    <a:pt x="767" y="51"/>
                                  </a:lnTo>
                                  <a:lnTo>
                                    <a:pt x="771" y="48"/>
                                  </a:lnTo>
                                  <a:lnTo>
                                    <a:pt x="776" y="47"/>
                                  </a:lnTo>
                                  <a:lnTo>
                                    <a:pt x="780" y="46"/>
                                  </a:lnTo>
                                  <a:lnTo>
                                    <a:pt x="784" y="45"/>
                                  </a:lnTo>
                                  <a:lnTo>
                                    <a:pt x="789" y="44"/>
                                  </a:lnTo>
                                  <a:lnTo>
                                    <a:pt x="794" y="42"/>
                                  </a:lnTo>
                                  <a:lnTo>
                                    <a:pt x="799" y="40"/>
                                  </a:lnTo>
                                  <a:lnTo>
                                    <a:pt x="803" y="39"/>
                                  </a:lnTo>
                                  <a:lnTo>
                                    <a:pt x="808" y="38"/>
                                  </a:lnTo>
                                  <a:lnTo>
                                    <a:pt x="813" y="36"/>
                                  </a:lnTo>
                                  <a:lnTo>
                                    <a:pt x="816" y="35"/>
                                  </a:lnTo>
                                  <a:lnTo>
                                    <a:pt x="821" y="34"/>
                                  </a:lnTo>
                                  <a:lnTo>
                                    <a:pt x="826" y="33"/>
                                  </a:lnTo>
                                  <a:lnTo>
                                    <a:pt x="831" y="32"/>
                                  </a:lnTo>
                                  <a:lnTo>
                                    <a:pt x="835" y="31"/>
                                  </a:lnTo>
                                  <a:lnTo>
                                    <a:pt x="840" y="29"/>
                                  </a:lnTo>
                                  <a:lnTo>
                                    <a:pt x="845" y="28"/>
                                  </a:lnTo>
                                  <a:lnTo>
                                    <a:pt x="848" y="27"/>
                                  </a:lnTo>
                                  <a:lnTo>
                                    <a:pt x="853" y="26"/>
                                  </a:lnTo>
                                  <a:lnTo>
                                    <a:pt x="858" y="26"/>
                                  </a:lnTo>
                                  <a:lnTo>
                                    <a:pt x="863" y="25"/>
                                  </a:lnTo>
                                  <a:lnTo>
                                    <a:pt x="867" y="23"/>
                                  </a:lnTo>
                                  <a:lnTo>
                                    <a:pt x="872" y="22"/>
                                  </a:lnTo>
                                  <a:lnTo>
                                    <a:pt x="877" y="21"/>
                                  </a:lnTo>
                                  <a:lnTo>
                                    <a:pt x="882" y="20"/>
                                  </a:lnTo>
                                  <a:lnTo>
                                    <a:pt x="885" y="20"/>
                                  </a:lnTo>
                                  <a:lnTo>
                                    <a:pt x="890" y="19"/>
                                  </a:lnTo>
                                  <a:lnTo>
                                    <a:pt x="895" y="17"/>
                                  </a:lnTo>
                                  <a:lnTo>
                                    <a:pt x="899" y="16"/>
                                  </a:lnTo>
                                  <a:lnTo>
                                    <a:pt x="904" y="16"/>
                                  </a:lnTo>
                                  <a:lnTo>
                                    <a:pt x="909" y="15"/>
                                  </a:lnTo>
                                  <a:lnTo>
                                    <a:pt x="914" y="14"/>
                                  </a:lnTo>
                                  <a:lnTo>
                                    <a:pt x="917" y="14"/>
                                  </a:lnTo>
                                  <a:lnTo>
                                    <a:pt x="922" y="13"/>
                                  </a:lnTo>
                                  <a:lnTo>
                                    <a:pt x="927" y="12"/>
                                  </a:lnTo>
                                  <a:lnTo>
                                    <a:pt x="932" y="12"/>
                                  </a:lnTo>
                                  <a:lnTo>
                                    <a:pt x="936" y="10"/>
                                  </a:lnTo>
                                  <a:lnTo>
                                    <a:pt x="941" y="10"/>
                                  </a:lnTo>
                                  <a:lnTo>
                                    <a:pt x="946" y="9"/>
                                  </a:lnTo>
                                  <a:lnTo>
                                    <a:pt x="949" y="9"/>
                                  </a:lnTo>
                                  <a:lnTo>
                                    <a:pt x="954" y="8"/>
                                  </a:lnTo>
                                  <a:lnTo>
                                    <a:pt x="959" y="8"/>
                                  </a:lnTo>
                                  <a:lnTo>
                                    <a:pt x="964" y="7"/>
                                  </a:lnTo>
                                  <a:lnTo>
                                    <a:pt x="968" y="7"/>
                                  </a:lnTo>
                                  <a:lnTo>
                                    <a:pt x="973" y="6"/>
                                  </a:lnTo>
                                  <a:lnTo>
                                    <a:pt x="978" y="6"/>
                                  </a:lnTo>
                                  <a:lnTo>
                                    <a:pt x="983" y="6"/>
                                  </a:lnTo>
                                  <a:lnTo>
                                    <a:pt x="986" y="4"/>
                                  </a:lnTo>
                                  <a:lnTo>
                                    <a:pt x="991" y="4"/>
                                  </a:lnTo>
                                  <a:lnTo>
                                    <a:pt x="996" y="3"/>
                                  </a:lnTo>
                                  <a:lnTo>
                                    <a:pt x="1000" y="3"/>
                                  </a:lnTo>
                                  <a:lnTo>
                                    <a:pt x="1005" y="3"/>
                                  </a:lnTo>
                                  <a:lnTo>
                                    <a:pt x="1010" y="3"/>
                                  </a:lnTo>
                                  <a:lnTo>
                                    <a:pt x="1015" y="2"/>
                                  </a:lnTo>
                                  <a:lnTo>
                                    <a:pt x="1018" y="2"/>
                                  </a:lnTo>
                                  <a:lnTo>
                                    <a:pt x="1023" y="2"/>
                                  </a:lnTo>
                                  <a:lnTo>
                                    <a:pt x="1028" y="2"/>
                                  </a:lnTo>
                                  <a:lnTo>
                                    <a:pt x="1032" y="1"/>
                                  </a:lnTo>
                                  <a:lnTo>
                                    <a:pt x="1055" y="1"/>
                                  </a:lnTo>
                                  <a:lnTo>
                                    <a:pt x="1060" y="0"/>
                                  </a:lnTo>
                                  <a:lnTo>
                                    <a:pt x="1101" y="0"/>
                                  </a:lnTo>
                                  <a:lnTo>
                                    <a:pt x="1106" y="1"/>
                                  </a:lnTo>
                                  <a:lnTo>
                                    <a:pt x="1133" y="1"/>
                                  </a:lnTo>
                                  <a:lnTo>
                                    <a:pt x="1138" y="2"/>
                                  </a:lnTo>
                                  <a:lnTo>
                                    <a:pt x="1143" y="2"/>
                                  </a:lnTo>
                                  <a:lnTo>
                                    <a:pt x="1148" y="2"/>
                                  </a:lnTo>
                                  <a:lnTo>
                                    <a:pt x="1152" y="2"/>
                                  </a:lnTo>
                                  <a:lnTo>
                                    <a:pt x="1156" y="3"/>
                                  </a:lnTo>
                                  <a:lnTo>
                                    <a:pt x="1161" y="3"/>
                                  </a:lnTo>
                                  <a:lnTo>
                                    <a:pt x="1165" y="3"/>
                                  </a:lnTo>
                                  <a:lnTo>
                                    <a:pt x="1170" y="4"/>
                                  </a:lnTo>
                                  <a:lnTo>
                                    <a:pt x="1175" y="4"/>
                                  </a:lnTo>
                                  <a:lnTo>
                                    <a:pt x="1180" y="4"/>
                                  </a:lnTo>
                                  <a:lnTo>
                                    <a:pt x="1184" y="6"/>
                                  </a:lnTo>
                                  <a:lnTo>
                                    <a:pt x="1188" y="6"/>
                                  </a:lnTo>
                                  <a:lnTo>
                                    <a:pt x="1193" y="7"/>
                                  </a:lnTo>
                                  <a:lnTo>
                                    <a:pt x="1197" y="7"/>
                                  </a:lnTo>
                                  <a:lnTo>
                                    <a:pt x="1202" y="8"/>
                                  </a:lnTo>
                                  <a:lnTo>
                                    <a:pt x="1207" y="8"/>
                                  </a:lnTo>
                                  <a:lnTo>
                                    <a:pt x="1212" y="9"/>
                                  </a:lnTo>
                                  <a:lnTo>
                                    <a:pt x="1216" y="9"/>
                                  </a:lnTo>
                                  <a:lnTo>
                                    <a:pt x="1221" y="10"/>
                                  </a:lnTo>
                                  <a:lnTo>
                                    <a:pt x="1225" y="10"/>
                                  </a:lnTo>
                                  <a:lnTo>
                                    <a:pt x="1229" y="12"/>
                                  </a:lnTo>
                                  <a:lnTo>
                                    <a:pt x="1234" y="12"/>
                                  </a:lnTo>
                                  <a:lnTo>
                                    <a:pt x="1239" y="13"/>
                                  </a:lnTo>
                                  <a:lnTo>
                                    <a:pt x="1244" y="14"/>
                                  </a:lnTo>
                                  <a:lnTo>
                                    <a:pt x="1248" y="14"/>
                                  </a:lnTo>
                                  <a:lnTo>
                                    <a:pt x="1253" y="15"/>
                                  </a:lnTo>
                                  <a:lnTo>
                                    <a:pt x="1257" y="16"/>
                                  </a:lnTo>
                                  <a:lnTo>
                                    <a:pt x="1262" y="16"/>
                                  </a:lnTo>
                                  <a:lnTo>
                                    <a:pt x="1266" y="17"/>
                                  </a:lnTo>
                                  <a:lnTo>
                                    <a:pt x="1271" y="19"/>
                                  </a:lnTo>
                                  <a:lnTo>
                                    <a:pt x="1276" y="19"/>
                                  </a:lnTo>
                                  <a:lnTo>
                                    <a:pt x="1280" y="20"/>
                                  </a:lnTo>
                                  <a:lnTo>
                                    <a:pt x="1285" y="21"/>
                                  </a:lnTo>
                                  <a:lnTo>
                                    <a:pt x="1289" y="22"/>
                                  </a:lnTo>
                                  <a:lnTo>
                                    <a:pt x="1294" y="23"/>
                                  </a:lnTo>
                                  <a:lnTo>
                                    <a:pt x="1298" y="25"/>
                                  </a:lnTo>
                                  <a:lnTo>
                                    <a:pt x="1303" y="25"/>
                                  </a:lnTo>
                                  <a:lnTo>
                                    <a:pt x="1308" y="26"/>
                                  </a:lnTo>
                                  <a:lnTo>
                                    <a:pt x="1313" y="27"/>
                                  </a:lnTo>
                                  <a:lnTo>
                                    <a:pt x="1317" y="28"/>
                                  </a:lnTo>
                                  <a:lnTo>
                                    <a:pt x="1322" y="29"/>
                                  </a:lnTo>
                                  <a:lnTo>
                                    <a:pt x="1326" y="31"/>
                                  </a:lnTo>
                                  <a:lnTo>
                                    <a:pt x="1330" y="32"/>
                                  </a:lnTo>
                                  <a:lnTo>
                                    <a:pt x="1335" y="33"/>
                                  </a:lnTo>
                                  <a:lnTo>
                                    <a:pt x="1340" y="34"/>
                                  </a:lnTo>
                                  <a:lnTo>
                                    <a:pt x="1345" y="35"/>
                                  </a:lnTo>
                                  <a:lnTo>
                                    <a:pt x="1349" y="36"/>
                                  </a:lnTo>
                                  <a:lnTo>
                                    <a:pt x="1354" y="38"/>
                                  </a:lnTo>
                                  <a:lnTo>
                                    <a:pt x="1358" y="39"/>
                                  </a:lnTo>
                                  <a:lnTo>
                                    <a:pt x="1362" y="40"/>
                                  </a:lnTo>
                                  <a:lnTo>
                                    <a:pt x="1367" y="41"/>
                                  </a:lnTo>
                                  <a:lnTo>
                                    <a:pt x="1372" y="42"/>
                                  </a:lnTo>
                                  <a:lnTo>
                                    <a:pt x="1377" y="45"/>
                                  </a:lnTo>
                                  <a:lnTo>
                                    <a:pt x="1381" y="46"/>
                                  </a:lnTo>
                                  <a:lnTo>
                                    <a:pt x="1386" y="47"/>
                                  </a:lnTo>
                                  <a:lnTo>
                                    <a:pt x="1391" y="48"/>
                                  </a:lnTo>
                                  <a:lnTo>
                                    <a:pt x="1394" y="50"/>
                                  </a:lnTo>
                                  <a:lnTo>
                                    <a:pt x="1399" y="52"/>
                                  </a:lnTo>
                                  <a:lnTo>
                                    <a:pt x="1404" y="53"/>
                                  </a:lnTo>
                                  <a:lnTo>
                                    <a:pt x="1409" y="54"/>
                                  </a:lnTo>
                                  <a:lnTo>
                                    <a:pt x="1413" y="55"/>
                                  </a:lnTo>
                                  <a:lnTo>
                                    <a:pt x="1418" y="58"/>
                                  </a:lnTo>
                                  <a:lnTo>
                                    <a:pt x="1423" y="59"/>
                                  </a:lnTo>
                                  <a:lnTo>
                                    <a:pt x="1426" y="60"/>
                                  </a:lnTo>
                                  <a:lnTo>
                                    <a:pt x="1431" y="63"/>
                                  </a:lnTo>
                                  <a:lnTo>
                                    <a:pt x="1436" y="64"/>
                                  </a:lnTo>
                                  <a:lnTo>
                                    <a:pt x="1441" y="66"/>
                                  </a:lnTo>
                                  <a:lnTo>
                                    <a:pt x="1445" y="67"/>
                                  </a:lnTo>
                                  <a:lnTo>
                                    <a:pt x="1450" y="68"/>
                                  </a:lnTo>
                                  <a:lnTo>
                                    <a:pt x="1455" y="71"/>
                                  </a:lnTo>
                                  <a:lnTo>
                                    <a:pt x="1459" y="72"/>
                                  </a:lnTo>
                                  <a:lnTo>
                                    <a:pt x="1463" y="74"/>
                                  </a:lnTo>
                                  <a:lnTo>
                                    <a:pt x="1468" y="76"/>
                                  </a:lnTo>
                                  <a:lnTo>
                                    <a:pt x="1473" y="78"/>
                                  </a:lnTo>
                                  <a:lnTo>
                                    <a:pt x="1478" y="79"/>
                                  </a:lnTo>
                                  <a:lnTo>
                                    <a:pt x="1482" y="82"/>
                                  </a:lnTo>
                                  <a:lnTo>
                                    <a:pt x="1487" y="84"/>
                                  </a:lnTo>
                                  <a:lnTo>
                                    <a:pt x="1492" y="85"/>
                                  </a:lnTo>
                                  <a:lnTo>
                                    <a:pt x="1495" y="87"/>
                                  </a:lnTo>
                                  <a:lnTo>
                                    <a:pt x="1500" y="89"/>
                                  </a:lnTo>
                                  <a:lnTo>
                                    <a:pt x="1505" y="91"/>
                                  </a:lnTo>
                                  <a:lnTo>
                                    <a:pt x="1510" y="93"/>
                                  </a:lnTo>
                                  <a:lnTo>
                                    <a:pt x="1514" y="95"/>
                                  </a:lnTo>
                                  <a:lnTo>
                                    <a:pt x="1519" y="97"/>
                                  </a:lnTo>
                                  <a:lnTo>
                                    <a:pt x="1524" y="99"/>
                                  </a:lnTo>
                                  <a:lnTo>
                                    <a:pt x="1527" y="102"/>
                                  </a:lnTo>
                                  <a:lnTo>
                                    <a:pt x="1532" y="103"/>
                                  </a:lnTo>
                                  <a:lnTo>
                                    <a:pt x="1537" y="105"/>
                                  </a:lnTo>
                                  <a:lnTo>
                                    <a:pt x="1542" y="108"/>
                                  </a:lnTo>
                                  <a:lnTo>
                                    <a:pt x="1546" y="110"/>
                                  </a:lnTo>
                                  <a:lnTo>
                                    <a:pt x="1551" y="112"/>
                                  </a:lnTo>
                                  <a:lnTo>
                                    <a:pt x="1556" y="114"/>
                                  </a:lnTo>
                                  <a:lnTo>
                                    <a:pt x="1561" y="116"/>
                                  </a:lnTo>
                                  <a:lnTo>
                                    <a:pt x="1564" y="118"/>
                                  </a:lnTo>
                                  <a:lnTo>
                                    <a:pt x="1569" y="121"/>
                                  </a:lnTo>
                                  <a:lnTo>
                                    <a:pt x="1574" y="123"/>
                                  </a:lnTo>
                                  <a:lnTo>
                                    <a:pt x="1578" y="125"/>
                                  </a:lnTo>
                                  <a:lnTo>
                                    <a:pt x="1583" y="128"/>
                                  </a:lnTo>
                                  <a:lnTo>
                                    <a:pt x="1588" y="130"/>
                                  </a:lnTo>
                                  <a:lnTo>
                                    <a:pt x="1593" y="133"/>
                                  </a:lnTo>
                                  <a:lnTo>
                                    <a:pt x="1596" y="135"/>
                                  </a:lnTo>
                                  <a:lnTo>
                                    <a:pt x="1601" y="137"/>
                                  </a:lnTo>
                                  <a:lnTo>
                                    <a:pt x="1606" y="140"/>
                                  </a:lnTo>
                                  <a:lnTo>
                                    <a:pt x="1610" y="142"/>
                                  </a:lnTo>
                                  <a:lnTo>
                                    <a:pt x="1615" y="144"/>
                                  </a:lnTo>
                                  <a:lnTo>
                                    <a:pt x="1620" y="147"/>
                                  </a:lnTo>
                                  <a:lnTo>
                                    <a:pt x="1625" y="149"/>
                                  </a:lnTo>
                                  <a:lnTo>
                                    <a:pt x="1628" y="153"/>
                                  </a:lnTo>
                                  <a:lnTo>
                                    <a:pt x="1633" y="155"/>
                                  </a:lnTo>
                                  <a:lnTo>
                                    <a:pt x="1638" y="157"/>
                                  </a:lnTo>
                                  <a:lnTo>
                                    <a:pt x="1643" y="160"/>
                                  </a:lnTo>
                                  <a:lnTo>
                                    <a:pt x="1647" y="162"/>
                                  </a:lnTo>
                                  <a:lnTo>
                                    <a:pt x="1652" y="166"/>
                                  </a:lnTo>
                                  <a:lnTo>
                                    <a:pt x="1657" y="168"/>
                                  </a:lnTo>
                                  <a:lnTo>
                                    <a:pt x="1662" y="170"/>
                                  </a:lnTo>
                                  <a:lnTo>
                                    <a:pt x="1665" y="173"/>
                                  </a:lnTo>
                                  <a:lnTo>
                                    <a:pt x="1670" y="176"/>
                                  </a:lnTo>
                                  <a:lnTo>
                                    <a:pt x="1675" y="179"/>
                                  </a:lnTo>
                                  <a:lnTo>
                                    <a:pt x="1679" y="181"/>
                                  </a:lnTo>
                                  <a:lnTo>
                                    <a:pt x="1684" y="185"/>
                                  </a:lnTo>
                                  <a:lnTo>
                                    <a:pt x="1689" y="187"/>
                                  </a:lnTo>
                                  <a:lnTo>
                                    <a:pt x="1694" y="189"/>
                                  </a:lnTo>
                                  <a:lnTo>
                                    <a:pt x="1697" y="193"/>
                                  </a:lnTo>
                                  <a:lnTo>
                                    <a:pt x="1702" y="195"/>
                                  </a:lnTo>
                                  <a:lnTo>
                                    <a:pt x="1707" y="199"/>
                                  </a:lnTo>
                                  <a:lnTo>
                                    <a:pt x="1711" y="201"/>
                                  </a:lnTo>
                                  <a:lnTo>
                                    <a:pt x="1716" y="205"/>
                                  </a:lnTo>
                                  <a:lnTo>
                                    <a:pt x="1721" y="207"/>
                                  </a:lnTo>
                                  <a:lnTo>
                                    <a:pt x="1726" y="211"/>
                                  </a:lnTo>
                                  <a:lnTo>
                                    <a:pt x="1730" y="213"/>
                                  </a:lnTo>
                                  <a:lnTo>
                                    <a:pt x="1734" y="217"/>
                                  </a:lnTo>
                                  <a:lnTo>
                                    <a:pt x="1739" y="219"/>
                                  </a:lnTo>
                                  <a:lnTo>
                                    <a:pt x="1743" y="223"/>
                                  </a:lnTo>
                                  <a:lnTo>
                                    <a:pt x="1748" y="226"/>
                                  </a:lnTo>
                                  <a:lnTo>
                                    <a:pt x="1753" y="229"/>
                                  </a:lnTo>
                                  <a:lnTo>
                                    <a:pt x="1758" y="232"/>
                                  </a:lnTo>
                                  <a:lnTo>
                                    <a:pt x="1762" y="235"/>
                                  </a:lnTo>
                                  <a:lnTo>
                                    <a:pt x="1766" y="238"/>
                                  </a:lnTo>
                                  <a:lnTo>
                                    <a:pt x="1771" y="242"/>
                                  </a:lnTo>
                                  <a:lnTo>
                                    <a:pt x="1775" y="245"/>
                                  </a:lnTo>
                                  <a:lnTo>
                                    <a:pt x="1780" y="248"/>
                                  </a:lnTo>
                                  <a:lnTo>
                                    <a:pt x="1785" y="251"/>
                                  </a:lnTo>
                                  <a:lnTo>
                                    <a:pt x="1790" y="255"/>
                                  </a:lnTo>
                                  <a:lnTo>
                                    <a:pt x="1794" y="258"/>
                                  </a:lnTo>
                                  <a:lnTo>
                                    <a:pt x="1798" y="261"/>
                                  </a:lnTo>
                                  <a:lnTo>
                                    <a:pt x="1803" y="264"/>
                                  </a:lnTo>
                                  <a:lnTo>
                                    <a:pt x="1807" y="268"/>
                                  </a:lnTo>
                                  <a:lnTo>
                                    <a:pt x="1812" y="271"/>
                                  </a:lnTo>
                                  <a:lnTo>
                                    <a:pt x="1817" y="275"/>
                                  </a:lnTo>
                                  <a:lnTo>
                                    <a:pt x="1822" y="278"/>
                                  </a:lnTo>
                                  <a:lnTo>
                                    <a:pt x="1826" y="282"/>
                                  </a:lnTo>
                                  <a:lnTo>
                                    <a:pt x="1831" y="286"/>
                                  </a:lnTo>
                                  <a:lnTo>
                                    <a:pt x="1835" y="288"/>
                                  </a:lnTo>
                                  <a:lnTo>
                                    <a:pt x="1840" y="291"/>
                                  </a:lnTo>
                                  <a:lnTo>
                                    <a:pt x="1844" y="295"/>
                                  </a:lnTo>
                                  <a:lnTo>
                                    <a:pt x="1849" y="299"/>
                                  </a:lnTo>
                                  <a:lnTo>
                                    <a:pt x="1854" y="302"/>
                                  </a:lnTo>
                                  <a:lnTo>
                                    <a:pt x="1859" y="307"/>
                                  </a:lnTo>
                                  <a:lnTo>
                                    <a:pt x="1863" y="310"/>
                                  </a:lnTo>
                                  <a:lnTo>
                                    <a:pt x="1867" y="314"/>
                                  </a:lnTo>
                                  <a:lnTo>
                                    <a:pt x="1872" y="318"/>
                                  </a:lnTo>
                                  <a:lnTo>
                                    <a:pt x="1876" y="321"/>
                                  </a:lnTo>
                                  <a:lnTo>
                                    <a:pt x="1881" y="325"/>
                                  </a:lnTo>
                                  <a:lnTo>
                                    <a:pt x="1886" y="328"/>
                                  </a:lnTo>
                                  <a:lnTo>
                                    <a:pt x="1891" y="332"/>
                                  </a:lnTo>
                                  <a:lnTo>
                                    <a:pt x="1895" y="335"/>
                                  </a:lnTo>
                                  <a:lnTo>
                                    <a:pt x="1900" y="340"/>
                                  </a:lnTo>
                                  <a:lnTo>
                                    <a:pt x="1904" y="344"/>
                                  </a:lnTo>
                                  <a:lnTo>
                                    <a:pt x="1908" y="347"/>
                                  </a:lnTo>
                                  <a:lnTo>
                                    <a:pt x="1913" y="351"/>
                                  </a:lnTo>
                                  <a:lnTo>
                                    <a:pt x="1918" y="355"/>
                                  </a:lnTo>
                                  <a:lnTo>
                                    <a:pt x="1923" y="359"/>
                                  </a:lnTo>
                                  <a:lnTo>
                                    <a:pt x="1927" y="363"/>
                                  </a:lnTo>
                                  <a:lnTo>
                                    <a:pt x="1932" y="367"/>
                                  </a:lnTo>
                                  <a:lnTo>
                                    <a:pt x="1936" y="371"/>
                                  </a:lnTo>
                                  <a:lnTo>
                                    <a:pt x="1940" y="374"/>
                                  </a:lnTo>
                                  <a:lnTo>
                                    <a:pt x="1945" y="379"/>
                                  </a:lnTo>
                                  <a:lnTo>
                                    <a:pt x="1950" y="383"/>
                                  </a:lnTo>
                                  <a:lnTo>
                                    <a:pt x="1955" y="386"/>
                                  </a:lnTo>
                                  <a:lnTo>
                                    <a:pt x="1959" y="391"/>
                                  </a:lnTo>
                                  <a:lnTo>
                                    <a:pt x="1964" y="395"/>
                                  </a:lnTo>
                                  <a:lnTo>
                                    <a:pt x="1968" y="399"/>
                                  </a:lnTo>
                                  <a:lnTo>
                                    <a:pt x="1972" y="403"/>
                                  </a:lnTo>
                                  <a:lnTo>
                                    <a:pt x="1977" y="408"/>
                                  </a:lnTo>
                                  <a:lnTo>
                                    <a:pt x="1982" y="411"/>
                                  </a:lnTo>
                                  <a:lnTo>
                                    <a:pt x="1987" y="416"/>
                                  </a:lnTo>
                                  <a:lnTo>
                                    <a:pt x="1991" y="420"/>
                                  </a:lnTo>
                                  <a:lnTo>
                                    <a:pt x="1996" y="424"/>
                                  </a:lnTo>
                                  <a:lnTo>
                                    <a:pt x="2001" y="429"/>
                                  </a:lnTo>
                                  <a:lnTo>
                                    <a:pt x="2005" y="433"/>
                                  </a:lnTo>
                                  <a:lnTo>
                                    <a:pt x="2009" y="437"/>
                                  </a:lnTo>
                                  <a:lnTo>
                                    <a:pt x="2014" y="442"/>
                                  </a:lnTo>
                                  <a:lnTo>
                                    <a:pt x="2019" y="446"/>
                                  </a:lnTo>
                                  <a:lnTo>
                                    <a:pt x="2024" y="450"/>
                                  </a:lnTo>
                                  <a:lnTo>
                                    <a:pt x="2028" y="455"/>
                                  </a:lnTo>
                                  <a:lnTo>
                                    <a:pt x="2033" y="459"/>
                                  </a:lnTo>
                                  <a:lnTo>
                                    <a:pt x="2037" y="463"/>
                                  </a:lnTo>
                                  <a:lnTo>
                                    <a:pt x="2041" y="468"/>
                                  </a:lnTo>
                                  <a:lnTo>
                                    <a:pt x="2046" y="473"/>
                                  </a:lnTo>
                                  <a:lnTo>
                                    <a:pt x="2051" y="476"/>
                                  </a:lnTo>
                                  <a:lnTo>
                                    <a:pt x="2056" y="481"/>
                                  </a:lnTo>
                                  <a:lnTo>
                                    <a:pt x="2060" y="486"/>
                                  </a:lnTo>
                                  <a:lnTo>
                                    <a:pt x="2065" y="491"/>
                                  </a:lnTo>
                                  <a:lnTo>
                                    <a:pt x="2070" y="495"/>
                                  </a:lnTo>
                                  <a:lnTo>
                                    <a:pt x="2073" y="500"/>
                                  </a:lnTo>
                                  <a:lnTo>
                                    <a:pt x="2078" y="505"/>
                                  </a:lnTo>
                                  <a:lnTo>
                                    <a:pt x="2083" y="510"/>
                                  </a:lnTo>
                                  <a:lnTo>
                                    <a:pt x="2088" y="513"/>
                                  </a:lnTo>
                                  <a:lnTo>
                                    <a:pt x="2092" y="518"/>
                                  </a:lnTo>
                                  <a:lnTo>
                                    <a:pt x="2097" y="523"/>
                                  </a:lnTo>
                                  <a:lnTo>
                                    <a:pt x="2102" y="527"/>
                                  </a:lnTo>
                                  <a:lnTo>
                                    <a:pt x="2105" y="532"/>
                                  </a:lnTo>
                                  <a:lnTo>
                                    <a:pt x="2110" y="537"/>
                                  </a:lnTo>
                                  <a:lnTo>
                                    <a:pt x="2115" y="542"/>
                                  </a:lnTo>
                                  <a:lnTo>
                                    <a:pt x="2120" y="548"/>
                                  </a:lnTo>
                                  <a:lnTo>
                                    <a:pt x="2124" y="552"/>
                                  </a:lnTo>
                                  <a:lnTo>
                                    <a:pt x="2129" y="557"/>
                                  </a:lnTo>
                                  <a:lnTo>
                                    <a:pt x="2134" y="562"/>
                                  </a:lnTo>
                                  <a:lnTo>
                                    <a:pt x="2137" y="567"/>
                                  </a:lnTo>
                                  <a:lnTo>
                                    <a:pt x="2142" y="571"/>
                                  </a:lnTo>
                                  <a:lnTo>
                                    <a:pt x="2147" y="576"/>
                                  </a:lnTo>
                                  <a:lnTo>
                                    <a:pt x="2152" y="582"/>
                                  </a:lnTo>
                                  <a:lnTo>
                                    <a:pt x="2156" y="587"/>
                                  </a:lnTo>
                                  <a:lnTo>
                                    <a:pt x="2161" y="591"/>
                                  </a:lnTo>
                                  <a:lnTo>
                                    <a:pt x="2166" y="596"/>
                                  </a:lnTo>
                                  <a:lnTo>
                                    <a:pt x="2171" y="601"/>
                                  </a:lnTo>
                                  <a:lnTo>
                                    <a:pt x="2174" y="607"/>
                                  </a:lnTo>
                                  <a:lnTo>
                                    <a:pt x="2179" y="612"/>
                                  </a:lnTo>
                                  <a:lnTo>
                                    <a:pt x="2184" y="616"/>
                                  </a:lnTo>
                                  <a:lnTo>
                                    <a:pt x="2188" y="622"/>
                                  </a:lnTo>
                                  <a:lnTo>
                                    <a:pt x="2193" y="627"/>
                                  </a:lnTo>
                                  <a:lnTo>
                                    <a:pt x="2198" y="632"/>
                                  </a:lnTo>
                                  <a:lnTo>
                                    <a:pt x="2203" y="638"/>
                                  </a:lnTo>
                                  <a:lnTo>
                                    <a:pt x="2206" y="642"/>
                                  </a:lnTo>
                                  <a:lnTo>
                                    <a:pt x="2211" y="648"/>
                                  </a:lnTo>
                                  <a:lnTo>
                                    <a:pt x="2216" y="653"/>
                                  </a:lnTo>
                                  <a:lnTo>
                                    <a:pt x="2221" y="659"/>
                                  </a:lnTo>
                                  <a:lnTo>
                                    <a:pt x="2225" y="664"/>
                                  </a:lnTo>
                                  <a:lnTo>
                                    <a:pt x="2230" y="670"/>
                                  </a:lnTo>
                                  <a:lnTo>
                                    <a:pt x="2235" y="674"/>
                                  </a:lnTo>
                                  <a:lnTo>
                                    <a:pt x="2240" y="680"/>
                                  </a:lnTo>
                                  <a:lnTo>
                                    <a:pt x="2243" y="685"/>
                                  </a:lnTo>
                                  <a:lnTo>
                                    <a:pt x="2248" y="691"/>
                                  </a:lnTo>
                                  <a:lnTo>
                                    <a:pt x="2253" y="696"/>
                                  </a:lnTo>
                                  <a:lnTo>
                                    <a:pt x="2257" y="702"/>
                                  </a:lnTo>
                                  <a:lnTo>
                                    <a:pt x="2262" y="708"/>
                                  </a:lnTo>
                                  <a:lnTo>
                                    <a:pt x="2267" y="712"/>
                                  </a:lnTo>
                                  <a:lnTo>
                                    <a:pt x="2272" y="718"/>
                                  </a:lnTo>
                                  <a:lnTo>
                                    <a:pt x="2275" y="723"/>
                                  </a:lnTo>
                                  <a:lnTo>
                                    <a:pt x="2280" y="729"/>
                                  </a:lnTo>
                                  <a:lnTo>
                                    <a:pt x="2285" y="735"/>
                                  </a:lnTo>
                                  <a:lnTo>
                                    <a:pt x="2290" y="741"/>
                                  </a:lnTo>
                                  <a:lnTo>
                                    <a:pt x="2294" y="746"/>
                                  </a:lnTo>
                                  <a:lnTo>
                                    <a:pt x="2299" y="752"/>
                                  </a:lnTo>
                                  <a:lnTo>
                                    <a:pt x="2304" y="758"/>
                                  </a:lnTo>
                                  <a:lnTo>
                                    <a:pt x="2307" y="763"/>
                                  </a:lnTo>
                                  <a:lnTo>
                                    <a:pt x="2312" y="769"/>
                                  </a:lnTo>
                                  <a:lnTo>
                                    <a:pt x="2317" y="774"/>
                                  </a:lnTo>
                                  <a:lnTo>
                                    <a:pt x="2322" y="780"/>
                                  </a:lnTo>
                                  <a:lnTo>
                                    <a:pt x="2326" y="786"/>
                                  </a:lnTo>
                                  <a:lnTo>
                                    <a:pt x="2331" y="792"/>
                                  </a:lnTo>
                                  <a:lnTo>
                                    <a:pt x="2336" y="798"/>
                                  </a:lnTo>
                                  <a:lnTo>
                                    <a:pt x="2341" y="804"/>
                                  </a:lnTo>
                                  <a:lnTo>
                                    <a:pt x="2344" y="810"/>
                                  </a:lnTo>
                                  <a:lnTo>
                                    <a:pt x="2349" y="816"/>
                                  </a:lnTo>
                                  <a:lnTo>
                                    <a:pt x="2354" y="822"/>
                                  </a:lnTo>
                                  <a:lnTo>
                                    <a:pt x="2358" y="827"/>
                                  </a:lnTo>
                                  <a:lnTo>
                                    <a:pt x="2363" y="833"/>
                                  </a:lnTo>
                                  <a:lnTo>
                                    <a:pt x="2368" y="839"/>
                                  </a:lnTo>
                                  <a:lnTo>
                                    <a:pt x="2373" y="845"/>
                                  </a:lnTo>
                                  <a:lnTo>
                                    <a:pt x="2376" y="851"/>
                                  </a:lnTo>
                                  <a:lnTo>
                                    <a:pt x="2381" y="857"/>
                                  </a:lnTo>
                                  <a:lnTo>
                                    <a:pt x="2386" y="863"/>
                                  </a:lnTo>
                                  <a:lnTo>
                                    <a:pt x="2390" y="869"/>
                                  </a:lnTo>
                                  <a:lnTo>
                                    <a:pt x="2395" y="875"/>
                                  </a:lnTo>
                                  <a:lnTo>
                                    <a:pt x="2400" y="882"/>
                                  </a:lnTo>
                                  <a:lnTo>
                                    <a:pt x="2405" y="888"/>
                                  </a:lnTo>
                                  <a:lnTo>
                                    <a:pt x="2409" y="894"/>
                                  </a:lnTo>
                                  <a:lnTo>
                                    <a:pt x="2413" y="900"/>
                                  </a:lnTo>
                                  <a:lnTo>
                                    <a:pt x="2418" y="906"/>
                                  </a:lnTo>
                                  <a:lnTo>
                                    <a:pt x="2423" y="913"/>
                                  </a:lnTo>
                                  <a:lnTo>
                                    <a:pt x="2427" y="919"/>
                                  </a:lnTo>
                                  <a:lnTo>
                                    <a:pt x="2432" y="925"/>
                                  </a:lnTo>
                                </a:path>
                              </a:pathLst>
                            </a:custGeom>
                            <a:noFill/>
                            <a:ln w="12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02" name="Group 8515"/>
                        <wpg:cNvGrpSpPr>
                          <a:grpSpLocks/>
                        </wpg:cNvGrpSpPr>
                        <wpg:grpSpPr bwMode="auto">
                          <a:xfrm>
                            <a:off x="6701" y="3117"/>
                            <a:ext cx="3155" cy="1943"/>
                            <a:chOff x="6701" y="3117"/>
                            <a:chExt cx="3155" cy="1943"/>
                          </a:xfrm>
                        </wpg:grpSpPr>
                        <wps:wsp>
                          <wps:cNvPr id="18303" name="Freeform 8516"/>
                          <wps:cNvSpPr>
                            <a:spLocks/>
                          </wps:cNvSpPr>
                          <wps:spPr bwMode="auto">
                            <a:xfrm>
                              <a:off x="6701" y="3117"/>
                              <a:ext cx="3155" cy="1943"/>
                            </a:xfrm>
                            <a:custGeom>
                              <a:avLst/>
                              <a:gdLst>
                                <a:gd name="T0" fmla="*/ 0 w 3155"/>
                                <a:gd name="T1" fmla="*/ 5060 h 1943"/>
                                <a:gd name="T2" fmla="*/ 3155 w 3155"/>
                                <a:gd name="T3" fmla="*/ 5060 h 1943"/>
                                <a:gd name="T4" fmla="*/ 3155 w 3155"/>
                                <a:gd name="T5" fmla="*/ 3117 h 1943"/>
                                <a:gd name="T6" fmla="*/ 0 w 3155"/>
                                <a:gd name="T7" fmla="*/ 3117 h 1943"/>
                                <a:gd name="T8" fmla="*/ 0 w 3155"/>
                                <a:gd name="T9" fmla="*/ 5060 h 194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155" h="1943">
                                  <a:moveTo>
                                    <a:pt x="0" y="1943"/>
                                  </a:moveTo>
                                  <a:lnTo>
                                    <a:pt x="3155" y="1943"/>
                                  </a:lnTo>
                                  <a:lnTo>
                                    <a:pt x="3155" y="0"/>
                                  </a:lnTo>
                                  <a:lnTo>
                                    <a:pt x="0" y="0"/>
                                  </a:lnTo>
                                  <a:lnTo>
                                    <a:pt x="0" y="1943"/>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04" name="Group 8513"/>
                        <wpg:cNvGrpSpPr>
                          <a:grpSpLocks/>
                        </wpg:cNvGrpSpPr>
                        <wpg:grpSpPr bwMode="auto">
                          <a:xfrm>
                            <a:off x="6693" y="5575"/>
                            <a:ext cx="3178" cy="2252"/>
                            <a:chOff x="6693" y="5575"/>
                            <a:chExt cx="3178" cy="2252"/>
                          </a:xfrm>
                        </wpg:grpSpPr>
                        <wps:wsp>
                          <wps:cNvPr id="18305" name="Freeform 8514"/>
                          <wps:cNvSpPr>
                            <a:spLocks/>
                          </wps:cNvSpPr>
                          <wps:spPr bwMode="auto">
                            <a:xfrm>
                              <a:off x="6693" y="5575"/>
                              <a:ext cx="3178" cy="2252"/>
                            </a:xfrm>
                            <a:custGeom>
                              <a:avLst/>
                              <a:gdLst>
                                <a:gd name="T0" fmla="*/ 0 w 3178"/>
                                <a:gd name="T1" fmla="*/ 7826 h 2252"/>
                                <a:gd name="T2" fmla="*/ 3178 w 3178"/>
                                <a:gd name="T3" fmla="*/ 7826 h 2252"/>
                                <a:gd name="T4" fmla="*/ 3178 w 3178"/>
                                <a:gd name="T5" fmla="*/ 5575 h 2252"/>
                                <a:gd name="T6" fmla="*/ 0 w 3178"/>
                                <a:gd name="T7" fmla="*/ 5575 h 2252"/>
                                <a:gd name="T8" fmla="*/ 0 w 3178"/>
                                <a:gd name="T9" fmla="*/ 7826 h 225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178" h="2252">
                                  <a:moveTo>
                                    <a:pt x="0" y="2251"/>
                                  </a:moveTo>
                                  <a:lnTo>
                                    <a:pt x="3178" y="2251"/>
                                  </a:lnTo>
                                  <a:lnTo>
                                    <a:pt x="3178" y="0"/>
                                  </a:lnTo>
                                  <a:lnTo>
                                    <a:pt x="0" y="0"/>
                                  </a:lnTo>
                                  <a:lnTo>
                                    <a:pt x="0" y="2251"/>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06" name="Group 8511"/>
                        <wpg:cNvGrpSpPr>
                          <a:grpSpLocks/>
                        </wpg:cNvGrpSpPr>
                        <wpg:grpSpPr bwMode="auto">
                          <a:xfrm>
                            <a:off x="7038" y="5726"/>
                            <a:ext cx="2663" cy="1950"/>
                            <a:chOff x="7038" y="5726"/>
                            <a:chExt cx="2663" cy="1950"/>
                          </a:xfrm>
                        </wpg:grpSpPr>
                        <wps:wsp>
                          <wps:cNvPr id="18307" name="Freeform 8512"/>
                          <wps:cNvSpPr>
                            <a:spLocks/>
                          </wps:cNvSpPr>
                          <wps:spPr bwMode="auto">
                            <a:xfrm>
                              <a:off x="7038" y="5726"/>
                              <a:ext cx="2663" cy="1950"/>
                            </a:xfrm>
                            <a:custGeom>
                              <a:avLst/>
                              <a:gdLst>
                                <a:gd name="T0" fmla="*/ 0 w 2663"/>
                                <a:gd name="T1" fmla="*/ 7675 h 1950"/>
                                <a:gd name="T2" fmla="*/ 2663 w 2663"/>
                                <a:gd name="T3" fmla="*/ 7675 h 1950"/>
                                <a:gd name="T4" fmla="*/ 2663 w 2663"/>
                                <a:gd name="T5" fmla="*/ 5726 h 1950"/>
                                <a:gd name="T6" fmla="*/ 0 w 2663"/>
                                <a:gd name="T7" fmla="*/ 5726 h 1950"/>
                                <a:gd name="T8" fmla="*/ 0 w 2663"/>
                                <a:gd name="T9" fmla="*/ 7675 h 19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63" h="1950">
                                  <a:moveTo>
                                    <a:pt x="0" y="1949"/>
                                  </a:moveTo>
                                  <a:lnTo>
                                    <a:pt x="2663" y="1949"/>
                                  </a:lnTo>
                                  <a:lnTo>
                                    <a:pt x="2663" y="0"/>
                                  </a:lnTo>
                                  <a:lnTo>
                                    <a:pt x="0" y="0"/>
                                  </a:lnTo>
                                  <a:lnTo>
                                    <a:pt x="0" y="1949"/>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308" name="Group 8509"/>
                        <wpg:cNvGrpSpPr>
                          <a:grpSpLocks/>
                        </wpg:cNvGrpSpPr>
                        <wpg:grpSpPr bwMode="auto">
                          <a:xfrm>
                            <a:off x="7038" y="5726"/>
                            <a:ext cx="2663" cy="1950"/>
                            <a:chOff x="7038" y="5726"/>
                            <a:chExt cx="2663" cy="1950"/>
                          </a:xfrm>
                        </wpg:grpSpPr>
                        <wps:wsp>
                          <wps:cNvPr id="18309" name="Freeform 8510"/>
                          <wps:cNvSpPr>
                            <a:spLocks/>
                          </wps:cNvSpPr>
                          <wps:spPr bwMode="auto">
                            <a:xfrm>
                              <a:off x="7038" y="5726"/>
                              <a:ext cx="2663" cy="1950"/>
                            </a:xfrm>
                            <a:custGeom>
                              <a:avLst/>
                              <a:gdLst>
                                <a:gd name="T0" fmla="*/ 0 w 2663"/>
                                <a:gd name="T1" fmla="*/ 5726 h 1950"/>
                                <a:gd name="T2" fmla="*/ 2663 w 2663"/>
                                <a:gd name="T3" fmla="*/ 5726 h 1950"/>
                                <a:gd name="T4" fmla="*/ 2663 w 2663"/>
                                <a:gd name="T5" fmla="*/ 7675 h 1950"/>
                                <a:gd name="T6" fmla="*/ 0 w 2663"/>
                                <a:gd name="T7" fmla="*/ 7675 h 1950"/>
                                <a:gd name="T8" fmla="*/ 0 w 2663"/>
                                <a:gd name="T9" fmla="*/ 5726 h 19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663" h="1950">
                                  <a:moveTo>
                                    <a:pt x="0" y="0"/>
                                  </a:moveTo>
                                  <a:lnTo>
                                    <a:pt x="2663" y="0"/>
                                  </a:lnTo>
                                  <a:lnTo>
                                    <a:pt x="2663" y="1949"/>
                                  </a:lnTo>
                                  <a:lnTo>
                                    <a:pt x="0" y="1949"/>
                                  </a:lnTo>
                                  <a:lnTo>
                                    <a:pt x="0" y="0"/>
                                  </a:lnTo>
                                </a:path>
                              </a:pathLst>
                            </a:custGeom>
                            <a:noFill/>
                            <a:ln w="6026">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10" name="Group 8507"/>
                        <wpg:cNvGrpSpPr>
                          <a:grpSpLocks/>
                        </wpg:cNvGrpSpPr>
                        <wpg:grpSpPr bwMode="auto">
                          <a:xfrm>
                            <a:off x="7039" y="5726"/>
                            <a:ext cx="2" cy="1949"/>
                            <a:chOff x="7039" y="5726"/>
                            <a:chExt cx="2" cy="1949"/>
                          </a:xfrm>
                        </wpg:grpSpPr>
                        <wps:wsp>
                          <wps:cNvPr id="18311" name="Freeform 8508"/>
                          <wps:cNvSpPr>
                            <a:spLocks/>
                          </wps:cNvSpPr>
                          <wps:spPr bwMode="auto">
                            <a:xfrm>
                              <a:off x="7039" y="5726"/>
                              <a:ext cx="2" cy="1949"/>
                            </a:xfrm>
                            <a:custGeom>
                              <a:avLst/>
                              <a:gdLst>
                                <a:gd name="T0" fmla="*/ 0 w 2"/>
                                <a:gd name="T1" fmla="*/ 5726 h 1949"/>
                                <a:gd name="T2" fmla="*/ 0 w 2"/>
                                <a:gd name="T3" fmla="*/ 7675 h 1949"/>
                                <a:gd name="T4" fmla="*/ 0 60000 65536"/>
                                <a:gd name="T5" fmla="*/ 0 60000 65536"/>
                              </a:gdLst>
                              <a:ahLst/>
                              <a:cxnLst>
                                <a:cxn ang="T4">
                                  <a:pos x="T0" y="T1"/>
                                </a:cxn>
                                <a:cxn ang="T5">
                                  <a:pos x="T2" y="T3"/>
                                </a:cxn>
                              </a:cxnLst>
                              <a:rect l="0" t="0" r="r" b="b"/>
                              <a:pathLst>
                                <a:path w="2" h="1949">
                                  <a:moveTo>
                                    <a:pt x="0" y="0"/>
                                  </a:moveTo>
                                  <a:lnTo>
                                    <a:pt x="0" y="1949"/>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12" name="Group 8505"/>
                        <wpg:cNvGrpSpPr>
                          <a:grpSpLocks/>
                        </wpg:cNvGrpSpPr>
                        <wpg:grpSpPr bwMode="auto">
                          <a:xfrm>
                            <a:off x="7013" y="7676"/>
                            <a:ext cx="25" cy="2"/>
                            <a:chOff x="7013" y="7676"/>
                            <a:chExt cx="25" cy="2"/>
                          </a:xfrm>
                        </wpg:grpSpPr>
                        <wps:wsp>
                          <wps:cNvPr id="18313" name="Freeform 8506"/>
                          <wps:cNvSpPr>
                            <a:spLocks/>
                          </wps:cNvSpPr>
                          <wps:spPr bwMode="auto">
                            <a:xfrm>
                              <a:off x="7013" y="767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14" name="Group 8503"/>
                        <wpg:cNvGrpSpPr>
                          <a:grpSpLocks/>
                        </wpg:cNvGrpSpPr>
                        <wpg:grpSpPr bwMode="auto">
                          <a:xfrm>
                            <a:off x="7013" y="7351"/>
                            <a:ext cx="2688" cy="2"/>
                            <a:chOff x="7013" y="7351"/>
                            <a:chExt cx="2688" cy="2"/>
                          </a:xfrm>
                        </wpg:grpSpPr>
                        <wps:wsp>
                          <wps:cNvPr id="18315" name="Freeform 8504"/>
                          <wps:cNvSpPr>
                            <a:spLocks/>
                          </wps:cNvSpPr>
                          <wps:spPr bwMode="auto">
                            <a:xfrm>
                              <a:off x="7013" y="7351"/>
                              <a:ext cx="2688" cy="2"/>
                            </a:xfrm>
                            <a:custGeom>
                              <a:avLst/>
                              <a:gdLst>
                                <a:gd name="T0" fmla="*/ 0 w 2688"/>
                                <a:gd name="T1" fmla="*/ 0 h 2"/>
                                <a:gd name="T2" fmla="*/ 2688 w 2688"/>
                                <a:gd name="T3" fmla="*/ 0 h 2"/>
                                <a:gd name="T4" fmla="*/ 0 60000 65536"/>
                                <a:gd name="T5" fmla="*/ 0 60000 65536"/>
                              </a:gdLst>
                              <a:ahLst/>
                              <a:cxnLst>
                                <a:cxn ang="T4">
                                  <a:pos x="T0" y="T1"/>
                                </a:cxn>
                                <a:cxn ang="T5">
                                  <a:pos x="T2" y="T3"/>
                                </a:cxn>
                              </a:cxnLst>
                              <a:rect l="0" t="0" r="r" b="b"/>
                              <a:pathLst>
                                <a:path w="2688" h="2">
                                  <a:moveTo>
                                    <a:pt x="0" y="0"/>
                                  </a:moveTo>
                                  <a:lnTo>
                                    <a:pt x="2688"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16" name="Group 8501"/>
                        <wpg:cNvGrpSpPr>
                          <a:grpSpLocks/>
                        </wpg:cNvGrpSpPr>
                        <wpg:grpSpPr bwMode="auto">
                          <a:xfrm>
                            <a:off x="7013" y="7026"/>
                            <a:ext cx="25" cy="2"/>
                            <a:chOff x="7013" y="7026"/>
                            <a:chExt cx="25" cy="2"/>
                          </a:xfrm>
                        </wpg:grpSpPr>
                        <wps:wsp>
                          <wps:cNvPr id="18317" name="Freeform 8502"/>
                          <wps:cNvSpPr>
                            <a:spLocks/>
                          </wps:cNvSpPr>
                          <wps:spPr bwMode="auto">
                            <a:xfrm>
                              <a:off x="7013" y="702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18" name="Group 8499"/>
                        <wpg:cNvGrpSpPr>
                          <a:grpSpLocks/>
                        </wpg:cNvGrpSpPr>
                        <wpg:grpSpPr bwMode="auto">
                          <a:xfrm>
                            <a:off x="7013" y="6701"/>
                            <a:ext cx="25" cy="2"/>
                            <a:chOff x="7013" y="6701"/>
                            <a:chExt cx="25" cy="2"/>
                          </a:xfrm>
                        </wpg:grpSpPr>
                        <wps:wsp>
                          <wps:cNvPr id="18319" name="Freeform 8500"/>
                          <wps:cNvSpPr>
                            <a:spLocks/>
                          </wps:cNvSpPr>
                          <wps:spPr bwMode="auto">
                            <a:xfrm>
                              <a:off x="7013" y="6701"/>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20" name="Group 8497"/>
                        <wpg:cNvGrpSpPr>
                          <a:grpSpLocks/>
                        </wpg:cNvGrpSpPr>
                        <wpg:grpSpPr bwMode="auto">
                          <a:xfrm>
                            <a:off x="7013" y="6376"/>
                            <a:ext cx="25" cy="2"/>
                            <a:chOff x="7013" y="6376"/>
                            <a:chExt cx="25" cy="2"/>
                          </a:xfrm>
                        </wpg:grpSpPr>
                        <wps:wsp>
                          <wps:cNvPr id="18321" name="Freeform 8498"/>
                          <wps:cNvSpPr>
                            <a:spLocks/>
                          </wps:cNvSpPr>
                          <wps:spPr bwMode="auto">
                            <a:xfrm>
                              <a:off x="7013" y="637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22" name="Group 8495"/>
                        <wpg:cNvGrpSpPr>
                          <a:grpSpLocks/>
                        </wpg:cNvGrpSpPr>
                        <wpg:grpSpPr bwMode="auto">
                          <a:xfrm>
                            <a:off x="7013" y="6051"/>
                            <a:ext cx="25" cy="2"/>
                            <a:chOff x="7013" y="6051"/>
                            <a:chExt cx="25" cy="2"/>
                          </a:xfrm>
                        </wpg:grpSpPr>
                        <wps:wsp>
                          <wps:cNvPr id="18323" name="Freeform 8496"/>
                          <wps:cNvSpPr>
                            <a:spLocks/>
                          </wps:cNvSpPr>
                          <wps:spPr bwMode="auto">
                            <a:xfrm>
                              <a:off x="7013" y="6051"/>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24" name="Group 8493"/>
                        <wpg:cNvGrpSpPr>
                          <a:grpSpLocks/>
                        </wpg:cNvGrpSpPr>
                        <wpg:grpSpPr bwMode="auto">
                          <a:xfrm>
                            <a:off x="7013" y="5726"/>
                            <a:ext cx="25" cy="2"/>
                            <a:chOff x="7013" y="5726"/>
                            <a:chExt cx="25" cy="2"/>
                          </a:xfrm>
                        </wpg:grpSpPr>
                        <wps:wsp>
                          <wps:cNvPr id="18325" name="Freeform 8494"/>
                          <wps:cNvSpPr>
                            <a:spLocks/>
                          </wps:cNvSpPr>
                          <wps:spPr bwMode="auto">
                            <a:xfrm>
                              <a:off x="7013" y="5726"/>
                              <a:ext cx="25" cy="2"/>
                            </a:xfrm>
                            <a:custGeom>
                              <a:avLst/>
                              <a:gdLst>
                                <a:gd name="T0" fmla="*/ 0 w 25"/>
                                <a:gd name="T1" fmla="*/ 0 h 2"/>
                                <a:gd name="T2" fmla="*/ 25 w 25"/>
                                <a:gd name="T3" fmla="*/ 0 h 2"/>
                                <a:gd name="T4" fmla="*/ 0 60000 65536"/>
                                <a:gd name="T5" fmla="*/ 0 60000 65536"/>
                              </a:gdLst>
                              <a:ahLst/>
                              <a:cxnLst>
                                <a:cxn ang="T4">
                                  <a:pos x="T0" y="T1"/>
                                </a:cxn>
                                <a:cxn ang="T5">
                                  <a:pos x="T2" y="T3"/>
                                </a:cxn>
                              </a:cxnLst>
                              <a:rect l="0" t="0" r="r" b="b"/>
                              <a:pathLst>
                                <a:path w="25" h="2">
                                  <a:moveTo>
                                    <a:pt x="0" y="0"/>
                                  </a:moveTo>
                                  <a:lnTo>
                                    <a:pt x="25"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26" name="Group 8491"/>
                        <wpg:cNvGrpSpPr>
                          <a:grpSpLocks/>
                        </wpg:cNvGrpSpPr>
                        <wpg:grpSpPr bwMode="auto">
                          <a:xfrm>
                            <a:off x="7572" y="7352"/>
                            <a:ext cx="2" cy="25"/>
                            <a:chOff x="7572" y="7352"/>
                            <a:chExt cx="2" cy="25"/>
                          </a:xfrm>
                        </wpg:grpSpPr>
                        <wps:wsp>
                          <wps:cNvPr id="18327" name="Freeform 8492"/>
                          <wps:cNvSpPr>
                            <a:spLocks/>
                          </wps:cNvSpPr>
                          <wps:spPr bwMode="auto">
                            <a:xfrm>
                              <a:off x="7572" y="7352"/>
                              <a:ext cx="2" cy="25"/>
                            </a:xfrm>
                            <a:custGeom>
                              <a:avLst/>
                              <a:gdLst>
                                <a:gd name="T0" fmla="*/ 0 w 2"/>
                                <a:gd name="T1" fmla="*/ 7377 h 25"/>
                                <a:gd name="T2" fmla="*/ 0 w 2"/>
                                <a:gd name="T3" fmla="*/ 7352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28" name="Group 8489"/>
                        <wpg:cNvGrpSpPr>
                          <a:grpSpLocks/>
                        </wpg:cNvGrpSpPr>
                        <wpg:grpSpPr bwMode="auto">
                          <a:xfrm>
                            <a:off x="8104" y="7352"/>
                            <a:ext cx="2" cy="25"/>
                            <a:chOff x="8104" y="7352"/>
                            <a:chExt cx="2" cy="25"/>
                          </a:xfrm>
                        </wpg:grpSpPr>
                        <wps:wsp>
                          <wps:cNvPr id="18329" name="Freeform 8490"/>
                          <wps:cNvSpPr>
                            <a:spLocks/>
                          </wps:cNvSpPr>
                          <wps:spPr bwMode="auto">
                            <a:xfrm>
                              <a:off x="8104" y="7352"/>
                              <a:ext cx="2" cy="25"/>
                            </a:xfrm>
                            <a:custGeom>
                              <a:avLst/>
                              <a:gdLst>
                                <a:gd name="T0" fmla="*/ 0 w 2"/>
                                <a:gd name="T1" fmla="*/ 7377 h 25"/>
                                <a:gd name="T2" fmla="*/ 0 w 2"/>
                                <a:gd name="T3" fmla="*/ 7352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30" name="Group 8487"/>
                        <wpg:cNvGrpSpPr>
                          <a:grpSpLocks/>
                        </wpg:cNvGrpSpPr>
                        <wpg:grpSpPr bwMode="auto">
                          <a:xfrm>
                            <a:off x="8637" y="7352"/>
                            <a:ext cx="2" cy="25"/>
                            <a:chOff x="8637" y="7352"/>
                            <a:chExt cx="2" cy="25"/>
                          </a:xfrm>
                        </wpg:grpSpPr>
                        <wps:wsp>
                          <wps:cNvPr id="18331" name="Freeform 8488"/>
                          <wps:cNvSpPr>
                            <a:spLocks/>
                          </wps:cNvSpPr>
                          <wps:spPr bwMode="auto">
                            <a:xfrm>
                              <a:off x="8637" y="7352"/>
                              <a:ext cx="2" cy="25"/>
                            </a:xfrm>
                            <a:custGeom>
                              <a:avLst/>
                              <a:gdLst>
                                <a:gd name="T0" fmla="*/ 0 w 2"/>
                                <a:gd name="T1" fmla="*/ 7377 h 25"/>
                                <a:gd name="T2" fmla="*/ 0 w 2"/>
                                <a:gd name="T3" fmla="*/ 7352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32" name="Group 8485"/>
                        <wpg:cNvGrpSpPr>
                          <a:grpSpLocks/>
                        </wpg:cNvGrpSpPr>
                        <wpg:grpSpPr bwMode="auto">
                          <a:xfrm>
                            <a:off x="9169" y="7352"/>
                            <a:ext cx="2" cy="25"/>
                            <a:chOff x="9169" y="7352"/>
                            <a:chExt cx="2" cy="25"/>
                          </a:xfrm>
                        </wpg:grpSpPr>
                        <wps:wsp>
                          <wps:cNvPr id="18333" name="Freeform 8486"/>
                          <wps:cNvSpPr>
                            <a:spLocks/>
                          </wps:cNvSpPr>
                          <wps:spPr bwMode="auto">
                            <a:xfrm>
                              <a:off x="9169" y="7352"/>
                              <a:ext cx="2" cy="25"/>
                            </a:xfrm>
                            <a:custGeom>
                              <a:avLst/>
                              <a:gdLst>
                                <a:gd name="T0" fmla="*/ 0 w 2"/>
                                <a:gd name="T1" fmla="*/ 7377 h 25"/>
                                <a:gd name="T2" fmla="*/ 0 w 2"/>
                                <a:gd name="T3" fmla="*/ 7352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34" name="Group 8483"/>
                        <wpg:cNvGrpSpPr>
                          <a:grpSpLocks/>
                        </wpg:cNvGrpSpPr>
                        <wpg:grpSpPr bwMode="auto">
                          <a:xfrm>
                            <a:off x="9702" y="7352"/>
                            <a:ext cx="2" cy="25"/>
                            <a:chOff x="9702" y="7352"/>
                            <a:chExt cx="2" cy="25"/>
                          </a:xfrm>
                        </wpg:grpSpPr>
                        <wps:wsp>
                          <wps:cNvPr id="18335" name="Freeform 8484"/>
                          <wps:cNvSpPr>
                            <a:spLocks/>
                          </wps:cNvSpPr>
                          <wps:spPr bwMode="auto">
                            <a:xfrm>
                              <a:off x="9702" y="7352"/>
                              <a:ext cx="2" cy="25"/>
                            </a:xfrm>
                            <a:custGeom>
                              <a:avLst/>
                              <a:gdLst>
                                <a:gd name="T0" fmla="*/ 0 w 2"/>
                                <a:gd name="T1" fmla="*/ 7377 h 25"/>
                                <a:gd name="T2" fmla="*/ 0 w 2"/>
                                <a:gd name="T3" fmla="*/ 7352 h 25"/>
                                <a:gd name="T4" fmla="*/ 0 60000 65536"/>
                                <a:gd name="T5" fmla="*/ 0 60000 65536"/>
                              </a:gdLst>
                              <a:ahLst/>
                              <a:cxnLst>
                                <a:cxn ang="T4">
                                  <a:pos x="T0" y="T1"/>
                                </a:cxn>
                                <a:cxn ang="T5">
                                  <a:pos x="T2" y="T3"/>
                                </a:cxn>
                              </a:cxnLst>
                              <a:rect l="0" t="0" r="r" b="b"/>
                              <a:pathLst>
                                <a:path w="2" h="25">
                                  <a:moveTo>
                                    <a:pt x="0" y="25"/>
                                  </a:moveTo>
                                  <a:lnTo>
                                    <a:pt x="0" y="0"/>
                                  </a:lnTo>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36" name="Group 8481"/>
                        <wpg:cNvGrpSpPr>
                          <a:grpSpLocks/>
                        </wpg:cNvGrpSpPr>
                        <wpg:grpSpPr bwMode="auto">
                          <a:xfrm>
                            <a:off x="9143" y="6026"/>
                            <a:ext cx="50" cy="50"/>
                            <a:chOff x="9143" y="6026"/>
                            <a:chExt cx="50" cy="50"/>
                          </a:xfrm>
                        </wpg:grpSpPr>
                        <wps:wsp>
                          <wps:cNvPr id="18337" name="Freeform 8482"/>
                          <wps:cNvSpPr>
                            <a:spLocks/>
                          </wps:cNvSpPr>
                          <wps:spPr bwMode="auto">
                            <a:xfrm>
                              <a:off x="9143" y="6026"/>
                              <a:ext cx="50" cy="50"/>
                            </a:xfrm>
                            <a:custGeom>
                              <a:avLst/>
                              <a:gdLst>
                                <a:gd name="T0" fmla="*/ 25 w 50"/>
                                <a:gd name="T1" fmla="*/ 6026 h 50"/>
                                <a:gd name="T2" fmla="*/ 0 w 50"/>
                                <a:gd name="T3" fmla="*/ 6051 h 50"/>
                                <a:gd name="T4" fmla="*/ 25 w 50"/>
                                <a:gd name="T5" fmla="*/ 6076 h 50"/>
                                <a:gd name="T6" fmla="*/ 50 w 50"/>
                                <a:gd name="T7" fmla="*/ 6051 h 50"/>
                                <a:gd name="T8" fmla="*/ 25 w 50"/>
                                <a:gd name="T9" fmla="*/ 602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0" y="25"/>
                                  </a:lnTo>
                                  <a:lnTo>
                                    <a:pt x="25" y="50"/>
                                  </a:lnTo>
                                  <a:lnTo>
                                    <a:pt x="50" y="25"/>
                                  </a:lnTo>
                                  <a:lnTo>
                                    <a:pt x="25"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338" name="Group 8479"/>
                        <wpg:cNvGrpSpPr>
                          <a:grpSpLocks/>
                        </wpg:cNvGrpSpPr>
                        <wpg:grpSpPr bwMode="auto">
                          <a:xfrm>
                            <a:off x="9143" y="6026"/>
                            <a:ext cx="50" cy="50"/>
                            <a:chOff x="9143" y="6026"/>
                            <a:chExt cx="50" cy="50"/>
                          </a:xfrm>
                        </wpg:grpSpPr>
                        <wps:wsp>
                          <wps:cNvPr id="18339" name="Freeform 8480"/>
                          <wps:cNvSpPr>
                            <a:spLocks/>
                          </wps:cNvSpPr>
                          <wps:spPr bwMode="auto">
                            <a:xfrm>
                              <a:off x="9143" y="6026"/>
                              <a:ext cx="50" cy="50"/>
                            </a:xfrm>
                            <a:custGeom>
                              <a:avLst/>
                              <a:gdLst>
                                <a:gd name="T0" fmla="*/ 25 w 50"/>
                                <a:gd name="T1" fmla="*/ 6026 h 50"/>
                                <a:gd name="T2" fmla="*/ 50 w 50"/>
                                <a:gd name="T3" fmla="*/ 6051 h 50"/>
                                <a:gd name="T4" fmla="*/ 25 w 50"/>
                                <a:gd name="T5" fmla="*/ 6076 h 50"/>
                                <a:gd name="T6" fmla="*/ 0 w 50"/>
                                <a:gd name="T7" fmla="*/ 6051 h 50"/>
                                <a:gd name="T8" fmla="*/ 25 w 50"/>
                                <a:gd name="T9" fmla="*/ 602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5" y="0"/>
                                  </a:moveTo>
                                  <a:lnTo>
                                    <a:pt x="50" y="25"/>
                                  </a:lnTo>
                                  <a:lnTo>
                                    <a:pt x="25" y="50"/>
                                  </a:lnTo>
                                  <a:lnTo>
                                    <a:pt x="0" y="25"/>
                                  </a:lnTo>
                                  <a:lnTo>
                                    <a:pt x="25"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40" name="Group 8477"/>
                        <wpg:cNvGrpSpPr>
                          <a:grpSpLocks/>
                        </wpg:cNvGrpSpPr>
                        <wpg:grpSpPr bwMode="auto">
                          <a:xfrm>
                            <a:off x="8111" y="6676"/>
                            <a:ext cx="50" cy="50"/>
                            <a:chOff x="8111" y="6676"/>
                            <a:chExt cx="50" cy="50"/>
                          </a:xfrm>
                        </wpg:grpSpPr>
                        <wps:wsp>
                          <wps:cNvPr id="18341" name="Freeform 8478"/>
                          <wps:cNvSpPr>
                            <a:spLocks/>
                          </wps:cNvSpPr>
                          <wps:spPr bwMode="auto">
                            <a:xfrm>
                              <a:off x="8111" y="6676"/>
                              <a:ext cx="50" cy="50"/>
                            </a:xfrm>
                            <a:custGeom>
                              <a:avLst/>
                              <a:gdLst>
                                <a:gd name="T0" fmla="*/ 24 w 50"/>
                                <a:gd name="T1" fmla="*/ 6676 h 50"/>
                                <a:gd name="T2" fmla="*/ 0 w 50"/>
                                <a:gd name="T3" fmla="*/ 6701 h 50"/>
                                <a:gd name="T4" fmla="*/ 24 w 50"/>
                                <a:gd name="T5" fmla="*/ 6725 h 50"/>
                                <a:gd name="T6" fmla="*/ 49 w 50"/>
                                <a:gd name="T7" fmla="*/ 6701 h 50"/>
                                <a:gd name="T8" fmla="*/ 24 w 50"/>
                                <a:gd name="T9" fmla="*/ 667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4" y="0"/>
                                  </a:moveTo>
                                  <a:lnTo>
                                    <a:pt x="0" y="25"/>
                                  </a:lnTo>
                                  <a:lnTo>
                                    <a:pt x="24" y="49"/>
                                  </a:lnTo>
                                  <a:lnTo>
                                    <a:pt x="49" y="25"/>
                                  </a:lnTo>
                                  <a:lnTo>
                                    <a:pt x="24"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342" name="Group 8475"/>
                        <wpg:cNvGrpSpPr>
                          <a:grpSpLocks/>
                        </wpg:cNvGrpSpPr>
                        <wpg:grpSpPr bwMode="auto">
                          <a:xfrm>
                            <a:off x="8111" y="6676"/>
                            <a:ext cx="50" cy="50"/>
                            <a:chOff x="8111" y="6676"/>
                            <a:chExt cx="50" cy="50"/>
                          </a:xfrm>
                        </wpg:grpSpPr>
                        <wps:wsp>
                          <wps:cNvPr id="18343" name="Freeform 8476"/>
                          <wps:cNvSpPr>
                            <a:spLocks/>
                          </wps:cNvSpPr>
                          <wps:spPr bwMode="auto">
                            <a:xfrm>
                              <a:off x="8111" y="6676"/>
                              <a:ext cx="50" cy="50"/>
                            </a:xfrm>
                            <a:custGeom>
                              <a:avLst/>
                              <a:gdLst>
                                <a:gd name="T0" fmla="*/ 24 w 50"/>
                                <a:gd name="T1" fmla="*/ 6676 h 50"/>
                                <a:gd name="T2" fmla="*/ 49 w 50"/>
                                <a:gd name="T3" fmla="*/ 6701 h 50"/>
                                <a:gd name="T4" fmla="*/ 24 w 50"/>
                                <a:gd name="T5" fmla="*/ 6725 h 50"/>
                                <a:gd name="T6" fmla="*/ 0 w 50"/>
                                <a:gd name="T7" fmla="*/ 6701 h 50"/>
                                <a:gd name="T8" fmla="*/ 24 w 50"/>
                                <a:gd name="T9" fmla="*/ 667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4" y="0"/>
                                  </a:moveTo>
                                  <a:lnTo>
                                    <a:pt x="49" y="25"/>
                                  </a:lnTo>
                                  <a:lnTo>
                                    <a:pt x="24" y="49"/>
                                  </a:lnTo>
                                  <a:lnTo>
                                    <a:pt x="0" y="25"/>
                                  </a:lnTo>
                                  <a:lnTo>
                                    <a:pt x="24" y="0"/>
                                  </a:lnTo>
                                  <a:close/>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44" name="Group 8473"/>
                        <wpg:cNvGrpSpPr>
                          <a:grpSpLocks/>
                        </wpg:cNvGrpSpPr>
                        <wpg:grpSpPr bwMode="auto">
                          <a:xfrm>
                            <a:off x="7014" y="7326"/>
                            <a:ext cx="50" cy="50"/>
                            <a:chOff x="7014" y="7326"/>
                            <a:chExt cx="50" cy="50"/>
                          </a:xfrm>
                        </wpg:grpSpPr>
                        <wps:wsp>
                          <wps:cNvPr id="18345" name="Freeform 8474"/>
                          <wps:cNvSpPr>
                            <a:spLocks/>
                          </wps:cNvSpPr>
                          <wps:spPr bwMode="auto">
                            <a:xfrm>
                              <a:off x="7014" y="7326"/>
                              <a:ext cx="50" cy="50"/>
                            </a:xfrm>
                            <a:custGeom>
                              <a:avLst/>
                              <a:gdLst>
                                <a:gd name="T0" fmla="*/ 24 w 50"/>
                                <a:gd name="T1" fmla="*/ 7326 h 50"/>
                                <a:gd name="T2" fmla="*/ 0 w 50"/>
                                <a:gd name="T3" fmla="*/ 7350 h 50"/>
                                <a:gd name="T4" fmla="*/ 24 w 50"/>
                                <a:gd name="T5" fmla="*/ 7375 h 50"/>
                                <a:gd name="T6" fmla="*/ 49 w 50"/>
                                <a:gd name="T7" fmla="*/ 7350 h 50"/>
                                <a:gd name="T8" fmla="*/ 24 w 50"/>
                                <a:gd name="T9" fmla="*/ 7326 h 5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0" h="50">
                                  <a:moveTo>
                                    <a:pt x="24" y="0"/>
                                  </a:moveTo>
                                  <a:lnTo>
                                    <a:pt x="0" y="24"/>
                                  </a:lnTo>
                                  <a:lnTo>
                                    <a:pt x="24" y="49"/>
                                  </a:lnTo>
                                  <a:lnTo>
                                    <a:pt x="49" y="24"/>
                                  </a:lnTo>
                                  <a:lnTo>
                                    <a:pt x="24" y="0"/>
                                  </a:lnTo>
                                  <a:close/>
                                </a:path>
                              </a:pathLst>
                            </a:custGeom>
                            <a:solidFill>
                              <a:srgbClr val="000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346" name="Group 8470"/>
                        <wpg:cNvGrpSpPr>
                          <a:grpSpLocks/>
                        </wpg:cNvGrpSpPr>
                        <wpg:grpSpPr bwMode="auto">
                          <a:xfrm>
                            <a:off x="7014" y="7326"/>
                            <a:ext cx="50" cy="50"/>
                            <a:chOff x="7014" y="7326"/>
                            <a:chExt cx="50" cy="50"/>
                          </a:xfrm>
                        </wpg:grpSpPr>
                        <wps:wsp>
                          <wps:cNvPr id="18347" name="Freeform 8472"/>
                          <wps:cNvSpPr>
                            <a:spLocks/>
                          </wps:cNvSpPr>
                          <wps:spPr bwMode="auto">
                            <a:xfrm>
                              <a:off x="7014" y="7326"/>
                              <a:ext cx="50" cy="50"/>
                            </a:xfrm>
                            <a:custGeom>
                              <a:avLst/>
                              <a:gdLst>
                                <a:gd name="T0" fmla="*/ 24 w 50"/>
                                <a:gd name="T1" fmla="*/ 7326 h 50"/>
                                <a:gd name="T2" fmla="*/ 49 w 50"/>
                                <a:gd name="T3" fmla="*/ 7350 h 50"/>
                                <a:gd name="T4" fmla="*/ 24 w 50"/>
                                <a:gd name="T5" fmla="*/ 7375 h 50"/>
                                <a:gd name="T6" fmla="*/ 0 w 50"/>
                                <a:gd name="T7" fmla="*/ 7350 h 5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0" h="50">
                                  <a:moveTo>
                                    <a:pt x="24" y="0"/>
                                  </a:moveTo>
                                  <a:lnTo>
                                    <a:pt x="49" y="24"/>
                                  </a:lnTo>
                                  <a:lnTo>
                                    <a:pt x="24" y="49"/>
                                  </a:lnTo>
                                  <a:lnTo>
                                    <a:pt x="0" y="24"/>
                                  </a:lnTo>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48" name="Freeform 8471"/>
                          <wps:cNvSpPr>
                            <a:spLocks/>
                          </wps:cNvSpPr>
                          <wps:spPr bwMode="auto">
                            <a:xfrm>
                              <a:off x="7014" y="7326"/>
                              <a:ext cx="50" cy="50"/>
                            </a:xfrm>
                            <a:custGeom>
                              <a:avLst/>
                              <a:gdLst>
                                <a:gd name="T0" fmla="*/ 0 w 50"/>
                                <a:gd name="T1" fmla="*/ 7350 h 50"/>
                                <a:gd name="T2" fmla="*/ 24 w 50"/>
                                <a:gd name="T3" fmla="*/ 7326 h 50"/>
                                <a:gd name="T4" fmla="*/ 0 60000 65536"/>
                                <a:gd name="T5" fmla="*/ 0 60000 65536"/>
                              </a:gdLst>
                              <a:ahLst/>
                              <a:cxnLst>
                                <a:cxn ang="T4">
                                  <a:pos x="T0" y="T1"/>
                                </a:cxn>
                                <a:cxn ang="T5">
                                  <a:pos x="T2" y="T3"/>
                                </a:cxn>
                              </a:cxnLst>
                              <a:rect l="0" t="0" r="r" b="b"/>
                              <a:pathLst>
                                <a:path w="50" h="50">
                                  <a:moveTo>
                                    <a:pt x="0" y="24"/>
                                  </a:moveTo>
                                  <a:lnTo>
                                    <a:pt x="24" y="0"/>
                                  </a:lnTo>
                                </a:path>
                              </a:pathLst>
                            </a:custGeom>
                            <a:noFill/>
                            <a:ln w="6027">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49" name="Group 8468"/>
                        <wpg:cNvGrpSpPr>
                          <a:grpSpLocks/>
                        </wpg:cNvGrpSpPr>
                        <wpg:grpSpPr bwMode="auto">
                          <a:xfrm>
                            <a:off x="7038" y="6051"/>
                            <a:ext cx="2130" cy="1300"/>
                            <a:chOff x="7038" y="6051"/>
                            <a:chExt cx="2130" cy="1300"/>
                          </a:xfrm>
                        </wpg:grpSpPr>
                        <wps:wsp>
                          <wps:cNvPr id="18350" name="Freeform 8469"/>
                          <wps:cNvSpPr>
                            <a:spLocks/>
                          </wps:cNvSpPr>
                          <wps:spPr bwMode="auto">
                            <a:xfrm>
                              <a:off x="7038" y="6051"/>
                              <a:ext cx="2130" cy="1300"/>
                            </a:xfrm>
                            <a:custGeom>
                              <a:avLst/>
                              <a:gdLst>
                                <a:gd name="T0" fmla="*/ 33 w 2130"/>
                                <a:gd name="T1" fmla="*/ 7333 h 1300"/>
                                <a:gd name="T2" fmla="*/ 68 w 2130"/>
                                <a:gd name="T3" fmla="*/ 7311 h 1300"/>
                                <a:gd name="T4" fmla="*/ 104 w 2130"/>
                                <a:gd name="T5" fmla="*/ 7291 h 1300"/>
                                <a:gd name="T6" fmla="*/ 141 w 2130"/>
                                <a:gd name="T7" fmla="*/ 7270 h 1300"/>
                                <a:gd name="T8" fmla="*/ 176 w 2130"/>
                                <a:gd name="T9" fmla="*/ 7250 h 1300"/>
                                <a:gd name="T10" fmla="*/ 212 w 2130"/>
                                <a:gd name="T11" fmla="*/ 7228 h 1300"/>
                                <a:gd name="T12" fmla="*/ 248 w 2130"/>
                                <a:gd name="T13" fmla="*/ 7207 h 1300"/>
                                <a:gd name="T14" fmla="*/ 284 w 2130"/>
                                <a:gd name="T15" fmla="*/ 7187 h 1300"/>
                                <a:gd name="T16" fmla="*/ 320 w 2130"/>
                                <a:gd name="T17" fmla="*/ 7165 h 1300"/>
                                <a:gd name="T18" fmla="*/ 356 w 2130"/>
                                <a:gd name="T19" fmla="*/ 7144 h 1300"/>
                                <a:gd name="T20" fmla="*/ 391 w 2130"/>
                                <a:gd name="T21" fmla="*/ 7124 h 1300"/>
                                <a:gd name="T22" fmla="*/ 428 w 2130"/>
                                <a:gd name="T23" fmla="*/ 7103 h 1300"/>
                                <a:gd name="T24" fmla="*/ 464 w 2130"/>
                                <a:gd name="T25" fmla="*/ 7081 h 1300"/>
                                <a:gd name="T26" fmla="*/ 499 w 2130"/>
                                <a:gd name="T27" fmla="*/ 7060 h 1300"/>
                                <a:gd name="T28" fmla="*/ 535 w 2130"/>
                                <a:gd name="T29" fmla="*/ 7039 h 1300"/>
                                <a:gd name="T30" fmla="*/ 572 w 2130"/>
                                <a:gd name="T31" fmla="*/ 7017 h 1300"/>
                                <a:gd name="T32" fmla="*/ 607 w 2130"/>
                                <a:gd name="T33" fmla="*/ 6996 h 1300"/>
                                <a:gd name="T34" fmla="*/ 643 w 2130"/>
                                <a:gd name="T35" fmla="*/ 6975 h 1300"/>
                                <a:gd name="T36" fmla="*/ 678 w 2130"/>
                                <a:gd name="T37" fmla="*/ 6953 h 1300"/>
                                <a:gd name="T38" fmla="*/ 714 w 2130"/>
                                <a:gd name="T39" fmla="*/ 6932 h 1300"/>
                                <a:gd name="T40" fmla="*/ 751 w 2130"/>
                                <a:gd name="T41" fmla="*/ 6911 h 1300"/>
                                <a:gd name="T42" fmla="*/ 786 w 2130"/>
                                <a:gd name="T43" fmla="*/ 6889 h 1300"/>
                                <a:gd name="T44" fmla="*/ 822 w 2130"/>
                                <a:gd name="T45" fmla="*/ 6868 h 1300"/>
                                <a:gd name="T46" fmla="*/ 858 w 2130"/>
                                <a:gd name="T47" fmla="*/ 6845 h 1300"/>
                                <a:gd name="T48" fmla="*/ 895 w 2130"/>
                                <a:gd name="T49" fmla="*/ 6824 h 1300"/>
                                <a:gd name="T50" fmla="*/ 930 w 2130"/>
                                <a:gd name="T51" fmla="*/ 6803 h 1300"/>
                                <a:gd name="T52" fmla="*/ 966 w 2130"/>
                                <a:gd name="T53" fmla="*/ 6781 h 1300"/>
                                <a:gd name="T54" fmla="*/ 1001 w 2130"/>
                                <a:gd name="T55" fmla="*/ 6759 h 1300"/>
                                <a:gd name="T56" fmla="*/ 1038 w 2130"/>
                                <a:gd name="T57" fmla="*/ 6737 h 1300"/>
                                <a:gd name="T58" fmla="*/ 1074 w 2130"/>
                                <a:gd name="T59" fmla="*/ 6715 h 1300"/>
                                <a:gd name="T60" fmla="*/ 1109 w 2130"/>
                                <a:gd name="T61" fmla="*/ 6693 h 1300"/>
                                <a:gd name="T62" fmla="*/ 1145 w 2130"/>
                                <a:gd name="T63" fmla="*/ 6671 h 1300"/>
                                <a:gd name="T64" fmla="*/ 1182 w 2130"/>
                                <a:gd name="T65" fmla="*/ 6650 h 1300"/>
                                <a:gd name="T66" fmla="*/ 1217 w 2130"/>
                                <a:gd name="T67" fmla="*/ 6627 h 1300"/>
                                <a:gd name="T68" fmla="*/ 1253 w 2130"/>
                                <a:gd name="T69" fmla="*/ 6605 h 1300"/>
                                <a:gd name="T70" fmla="*/ 1289 w 2130"/>
                                <a:gd name="T71" fmla="*/ 6583 h 1300"/>
                                <a:gd name="T72" fmla="*/ 1325 w 2130"/>
                                <a:gd name="T73" fmla="*/ 6561 h 1300"/>
                                <a:gd name="T74" fmla="*/ 1361 w 2130"/>
                                <a:gd name="T75" fmla="*/ 6538 h 1300"/>
                                <a:gd name="T76" fmla="*/ 1397 w 2130"/>
                                <a:gd name="T77" fmla="*/ 6516 h 1300"/>
                                <a:gd name="T78" fmla="*/ 1432 w 2130"/>
                                <a:gd name="T79" fmla="*/ 6494 h 1300"/>
                                <a:gd name="T80" fmla="*/ 1469 w 2130"/>
                                <a:gd name="T81" fmla="*/ 6472 h 1300"/>
                                <a:gd name="T82" fmla="*/ 1505 w 2130"/>
                                <a:gd name="T83" fmla="*/ 6449 h 1300"/>
                                <a:gd name="T84" fmla="*/ 1540 w 2130"/>
                                <a:gd name="T85" fmla="*/ 6427 h 1300"/>
                                <a:gd name="T86" fmla="*/ 1576 w 2130"/>
                                <a:gd name="T87" fmla="*/ 6404 h 1300"/>
                                <a:gd name="T88" fmla="*/ 1613 w 2130"/>
                                <a:gd name="T89" fmla="*/ 6382 h 1300"/>
                                <a:gd name="T90" fmla="*/ 1648 w 2130"/>
                                <a:gd name="T91" fmla="*/ 6359 h 1300"/>
                                <a:gd name="T92" fmla="*/ 1684 w 2130"/>
                                <a:gd name="T93" fmla="*/ 6337 h 1300"/>
                                <a:gd name="T94" fmla="*/ 1719 w 2130"/>
                                <a:gd name="T95" fmla="*/ 6314 h 1300"/>
                                <a:gd name="T96" fmla="*/ 1756 w 2130"/>
                                <a:gd name="T97" fmla="*/ 6290 h 1300"/>
                                <a:gd name="T98" fmla="*/ 1792 w 2130"/>
                                <a:gd name="T99" fmla="*/ 6268 h 1300"/>
                                <a:gd name="T100" fmla="*/ 1827 w 2130"/>
                                <a:gd name="T101" fmla="*/ 6245 h 1300"/>
                                <a:gd name="T102" fmla="*/ 1863 w 2130"/>
                                <a:gd name="T103" fmla="*/ 6223 h 1300"/>
                                <a:gd name="T104" fmla="*/ 1900 w 2130"/>
                                <a:gd name="T105" fmla="*/ 6199 h 1300"/>
                                <a:gd name="T106" fmla="*/ 1935 w 2130"/>
                                <a:gd name="T107" fmla="*/ 6176 h 1300"/>
                                <a:gd name="T108" fmla="*/ 1971 w 2130"/>
                                <a:gd name="T109" fmla="*/ 6154 h 1300"/>
                                <a:gd name="T110" fmla="*/ 2007 w 2130"/>
                                <a:gd name="T111" fmla="*/ 6130 h 1300"/>
                                <a:gd name="T112" fmla="*/ 2042 w 2130"/>
                                <a:gd name="T113" fmla="*/ 6108 h 1300"/>
                                <a:gd name="T114" fmla="*/ 2079 w 2130"/>
                                <a:gd name="T115" fmla="*/ 6084 h 1300"/>
                                <a:gd name="T116" fmla="*/ 2115 w 2130"/>
                                <a:gd name="T117" fmla="*/ 6061 h 1300"/>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Lst>
                              <a:ahLst/>
                              <a:cxnLst>
                                <a:cxn ang="T118">
                                  <a:pos x="T0" y="T1"/>
                                </a:cxn>
                                <a:cxn ang="T119">
                                  <a:pos x="T2" y="T3"/>
                                </a:cxn>
                                <a:cxn ang="T120">
                                  <a:pos x="T4" y="T5"/>
                                </a:cxn>
                                <a:cxn ang="T121">
                                  <a:pos x="T6" y="T7"/>
                                </a:cxn>
                                <a:cxn ang="T122">
                                  <a:pos x="T8" y="T9"/>
                                </a:cxn>
                                <a:cxn ang="T123">
                                  <a:pos x="T10" y="T11"/>
                                </a:cxn>
                                <a:cxn ang="T124">
                                  <a:pos x="T12" y="T13"/>
                                </a:cxn>
                                <a:cxn ang="T125">
                                  <a:pos x="T14" y="T15"/>
                                </a:cxn>
                                <a:cxn ang="T126">
                                  <a:pos x="T16" y="T17"/>
                                </a:cxn>
                                <a:cxn ang="T127">
                                  <a:pos x="T18" y="T19"/>
                                </a:cxn>
                                <a:cxn ang="T128">
                                  <a:pos x="T20" y="T21"/>
                                </a:cxn>
                                <a:cxn ang="T129">
                                  <a:pos x="T22" y="T23"/>
                                </a:cxn>
                                <a:cxn ang="T130">
                                  <a:pos x="T24" y="T25"/>
                                </a:cxn>
                                <a:cxn ang="T131">
                                  <a:pos x="T26" y="T27"/>
                                </a:cxn>
                                <a:cxn ang="T132">
                                  <a:pos x="T28" y="T29"/>
                                </a:cxn>
                                <a:cxn ang="T133">
                                  <a:pos x="T30" y="T31"/>
                                </a:cxn>
                                <a:cxn ang="T134">
                                  <a:pos x="T32" y="T33"/>
                                </a:cxn>
                                <a:cxn ang="T135">
                                  <a:pos x="T34" y="T35"/>
                                </a:cxn>
                                <a:cxn ang="T136">
                                  <a:pos x="T36" y="T37"/>
                                </a:cxn>
                                <a:cxn ang="T137">
                                  <a:pos x="T38" y="T39"/>
                                </a:cxn>
                                <a:cxn ang="T138">
                                  <a:pos x="T40" y="T41"/>
                                </a:cxn>
                                <a:cxn ang="T139">
                                  <a:pos x="T42" y="T43"/>
                                </a:cxn>
                                <a:cxn ang="T140">
                                  <a:pos x="T44" y="T45"/>
                                </a:cxn>
                                <a:cxn ang="T141">
                                  <a:pos x="T46" y="T47"/>
                                </a:cxn>
                                <a:cxn ang="T142">
                                  <a:pos x="T48" y="T49"/>
                                </a:cxn>
                                <a:cxn ang="T143">
                                  <a:pos x="T50" y="T51"/>
                                </a:cxn>
                                <a:cxn ang="T144">
                                  <a:pos x="T52" y="T53"/>
                                </a:cxn>
                                <a:cxn ang="T145">
                                  <a:pos x="T54" y="T55"/>
                                </a:cxn>
                                <a:cxn ang="T146">
                                  <a:pos x="T56" y="T57"/>
                                </a:cxn>
                                <a:cxn ang="T147">
                                  <a:pos x="T58" y="T59"/>
                                </a:cxn>
                                <a:cxn ang="T148">
                                  <a:pos x="T60" y="T61"/>
                                </a:cxn>
                                <a:cxn ang="T149">
                                  <a:pos x="T62" y="T63"/>
                                </a:cxn>
                                <a:cxn ang="T150">
                                  <a:pos x="T64" y="T65"/>
                                </a:cxn>
                                <a:cxn ang="T151">
                                  <a:pos x="T66" y="T67"/>
                                </a:cxn>
                                <a:cxn ang="T152">
                                  <a:pos x="T68" y="T69"/>
                                </a:cxn>
                                <a:cxn ang="T153">
                                  <a:pos x="T70" y="T71"/>
                                </a:cxn>
                                <a:cxn ang="T154">
                                  <a:pos x="T72" y="T73"/>
                                </a:cxn>
                                <a:cxn ang="T155">
                                  <a:pos x="T74" y="T75"/>
                                </a:cxn>
                                <a:cxn ang="T156">
                                  <a:pos x="T76" y="T77"/>
                                </a:cxn>
                                <a:cxn ang="T157">
                                  <a:pos x="T78" y="T79"/>
                                </a:cxn>
                                <a:cxn ang="T158">
                                  <a:pos x="T80" y="T81"/>
                                </a:cxn>
                                <a:cxn ang="T159">
                                  <a:pos x="T82" y="T83"/>
                                </a:cxn>
                                <a:cxn ang="T160">
                                  <a:pos x="T84" y="T85"/>
                                </a:cxn>
                                <a:cxn ang="T161">
                                  <a:pos x="T86" y="T87"/>
                                </a:cxn>
                                <a:cxn ang="T162">
                                  <a:pos x="T88" y="T89"/>
                                </a:cxn>
                                <a:cxn ang="T163">
                                  <a:pos x="T90" y="T91"/>
                                </a:cxn>
                                <a:cxn ang="T164">
                                  <a:pos x="T92" y="T93"/>
                                </a:cxn>
                                <a:cxn ang="T165">
                                  <a:pos x="T94" y="T95"/>
                                </a:cxn>
                                <a:cxn ang="T166">
                                  <a:pos x="T96" y="T97"/>
                                </a:cxn>
                                <a:cxn ang="T167">
                                  <a:pos x="T98" y="T99"/>
                                </a:cxn>
                                <a:cxn ang="T168">
                                  <a:pos x="T100" y="T101"/>
                                </a:cxn>
                                <a:cxn ang="T169">
                                  <a:pos x="T102" y="T103"/>
                                </a:cxn>
                                <a:cxn ang="T170">
                                  <a:pos x="T104" y="T105"/>
                                </a:cxn>
                                <a:cxn ang="T171">
                                  <a:pos x="T106" y="T107"/>
                                </a:cxn>
                                <a:cxn ang="T172">
                                  <a:pos x="T108" y="T109"/>
                                </a:cxn>
                                <a:cxn ang="T173">
                                  <a:pos x="T110" y="T111"/>
                                </a:cxn>
                                <a:cxn ang="T174">
                                  <a:pos x="T112" y="T113"/>
                                </a:cxn>
                                <a:cxn ang="T175">
                                  <a:pos x="T114" y="T115"/>
                                </a:cxn>
                                <a:cxn ang="T176">
                                  <a:pos x="T116" y="T117"/>
                                </a:cxn>
                              </a:cxnLst>
                              <a:rect l="0" t="0" r="r" b="b"/>
                              <a:pathLst>
                                <a:path w="2130" h="1300">
                                  <a:moveTo>
                                    <a:pt x="0" y="1299"/>
                                  </a:moveTo>
                                  <a:lnTo>
                                    <a:pt x="4" y="1297"/>
                                  </a:lnTo>
                                  <a:lnTo>
                                    <a:pt x="9" y="1295"/>
                                  </a:lnTo>
                                  <a:lnTo>
                                    <a:pt x="12" y="1292"/>
                                  </a:lnTo>
                                  <a:lnTo>
                                    <a:pt x="16" y="1290"/>
                                  </a:lnTo>
                                  <a:lnTo>
                                    <a:pt x="21" y="1288"/>
                                  </a:lnTo>
                                  <a:lnTo>
                                    <a:pt x="24" y="1285"/>
                                  </a:lnTo>
                                  <a:lnTo>
                                    <a:pt x="29" y="1283"/>
                                  </a:lnTo>
                                  <a:lnTo>
                                    <a:pt x="33" y="1282"/>
                                  </a:lnTo>
                                  <a:lnTo>
                                    <a:pt x="36" y="1279"/>
                                  </a:lnTo>
                                  <a:lnTo>
                                    <a:pt x="41" y="1277"/>
                                  </a:lnTo>
                                  <a:lnTo>
                                    <a:pt x="44" y="1275"/>
                                  </a:lnTo>
                                  <a:lnTo>
                                    <a:pt x="48" y="1272"/>
                                  </a:lnTo>
                                  <a:lnTo>
                                    <a:pt x="53" y="1270"/>
                                  </a:lnTo>
                                  <a:lnTo>
                                    <a:pt x="56" y="1267"/>
                                  </a:lnTo>
                                  <a:lnTo>
                                    <a:pt x="60" y="1265"/>
                                  </a:lnTo>
                                  <a:lnTo>
                                    <a:pt x="65" y="1263"/>
                                  </a:lnTo>
                                  <a:lnTo>
                                    <a:pt x="68" y="1260"/>
                                  </a:lnTo>
                                  <a:lnTo>
                                    <a:pt x="72" y="1258"/>
                                  </a:lnTo>
                                  <a:lnTo>
                                    <a:pt x="76" y="1256"/>
                                  </a:lnTo>
                                  <a:lnTo>
                                    <a:pt x="80" y="1253"/>
                                  </a:lnTo>
                                  <a:lnTo>
                                    <a:pt x="85" y="1251"/>
                                  </a:lnTo>
                                  <a:lnTo>
                                    <a:pt x="88" y="1248"/>
                                  </a:lnTo>
                                  <a:lnTo>
                                    <a:pt x="92" y="1246"/>
                                  </a:lnTo>
                                  <a:lnTo>
                                    <a:pt x="97" y="1245"/>
                                  </a:lnTo>
                                  <a:lnTo>
                                    <a:pt x="100" y="1243"/>
                                  </a:lnTo>
                                  <a:lnTo>
                                    <a:pt x="104" y="1240"/>
                                  </a:lnTo>
                                  <a:lnTo>
                                    <a:pt x="108" y="1238"/>
                                  </a:lnTo>
                                  <a:lnTo>
                                    <a:pt x="112" y="1235"/>
                                  </a:lnTo>
                                  <a:lnTo>
                                    <a:pt x="116" y="1233"/>
                                  </a:lnTo>
                                  <a:lnTo>
                                    <a:pt x="120" y="1231"/>
                                  </a:lnTo>
                                  <a:lnTo>
                                    <a:pt x="124" y="1228"/>
                                  </a:lnTo>
                                  <a:lnTo>
                                    <a:pt x="129" y="1226"/>
                                  </a:lnTo>
                                  <a:lnTo>
                                    <a:pt x="132" y="1224"/>
                                  </a:lnTo>
                                  <a:lnTo>
                                    <a:pt x="136" y="1221"/>
                                  </a:lnTo>
                                  <a:lnTo>
                                    <a:pt x="141" y="1219"/>
                                  </a:lnTo>
                                  <a:lnTo>
                                    <a:pt x="144" y="1216"/>
                                  </a:lnTo>
                                  <a:lnTo>
                                    <a:pt x="148" y="1214"/>
                                  </a:lnTo>
                                  <a:lnTo>
                                    <a:pt x="152" y="1212"/>
                                  </a:lnTo>
                                  <a:lnTo>
                                    <a:pt x="156" y="1209"/>
                                  </a:lnTo>
                                  <a:lnTo>
                                    <a:pt x="160" y="1207"/>
                                  </a:lnTo>
                                  <a:lnTo>
                                    <a:pt x="164" y="1205"/>
                                  </a:lnTo>
                                  <a:lnTo>
                                    <a:pt x="168" y="1203"/>
                                  </a:lnTo>
                                  <a:lnTo>
                                    <a:pt x="171" y="1201"/>
                                  </a:lnTo>
                                  <a:lnTo>
                                    <a:pt x="176" y="1199"/>
                                  </a:lnTo>
                                  <a:lnTo>
                                    <a:pt x="180" y="1196"/>
                                  </a:lnTo>
                                  <a:lnTo>
                                    <a:pt x="184" y="1194"/>
                                  </a:lnTo>
                                  <a:lnTo>
                                    <a:pt x="188" y="1192"/>
                                  </a:lnTo>
                                  <a:lnTo>
                                    <a:pt x="192" y="1189"/>
                                  </a:lnTo>
                                  <a:lnTo>
                                    <a:pt x="196" y="1187"/>
                                  </a:lnTo>
                                  <a:lnTo>
                                    <a:pt x="200" y="1184"/>
                                  </a:lnTo>
                                  <a:lnTo>
                                    <a:pt x="204" y="1182"/>
                                  </a:lnTo>
                                  <a:lnTo>
                                    <a:pt x="208" y="1180"/>
                                  </a:lnTo>
                                  <a:lnTo>
                                    <a:pt x="212" y="1177"/>
                                  </a:lnTo>
                                  <a:lnTo>
                                    <a:pt x="216" y="1175"/>
                                  </a:lnTo>
                                  <a:lnTo>
                                    <a:pt x="220" y="1173"/>
                                  </a:lnTo>
                                  <a:lnTo>
                                    <a:pt x="224" y="1170"/>
                                  </a:lnTo>
                                  <a:lnTo>
                                    <a:pt x="229" y="1168"/>
                                  </a:lnTo>
                                  <a:lnTo>
                                    <a:pt x="232" y="1165"/>
                                  </a:lnTo>
                                  <a:lnTo>
                                    <a:pt x="236" y="1163"/>
                                  </a:lnTo>
                                  <a:lnTo>
                                    <a:pt x="241" y="1161"/>
                                  </a:lnTo>
                                  <a:lnTo>
                                    <a:pt x="244" y="1158"/>
                                  </a:lnTo>
                                  <a:lnTo>
                                    <a:pt x="248" y="1156"/>
                                  </a:lnTo>
                                  <a:lnTo>
                                    <a:pt x="252" y="1155"/>
                                  </a:lnTo>
                                  <a:lnTo>
                                    <a:pt x="256" y="1152"/>
                                  </a:lnTo>
                                  <a:lnTo>
                                    <a:pt x="260" y="1150"/>
                                  </a:lnTo>
                                  <a:lnTo>
                                    <a:pt x="264" y="1148"/>
                                  </a:lnTo>
                                  <a:lnTo>
                                    <a:pt x="268" y="1145"/>
                                  </a:lnTo>
                                  <a:lnTo>
                                    <a:pt x="273" y="1143"/>
                                  </a:lnTo>
                                  <a:lnTo>
                                    <a:pt x="276" y="1141"/>
                                  </a:lnTo>
                                  <a:lnTo>
                                    <a:pt x="280" y="1138"/>
                                  </a:lnTo>
                                  <a:lnTo>
                                    <a:pt x="284" y="1136"/>
                                  </a:lnTo>
                                  <a:lnTo>
                                    <a:pt x="288" y="1133"/>
                                  </a:lnTo>
                                  <a:lnTo>
                                    <a:pt x="292" y="1131"/>
                                  </a:lnTo>
                                  <a:lnTo>
                                    <a:pt x="296" y="1129"/>
                                  </a:lnTo>
                                  <a:lnTo>
                                    <a:pt x="300" y="1126"/>
                                  </a:lnTo>
                                  <a:lnTo>
                                    <a:pt x="303" y="1124"/>
                                  </a:lnTo>
                                  <a:lnTo>
                                    <a:pt x="308" y="1122"/>
                                  </a:lnTo>
                                  <a:lnTo>
                                    <a:pt x="312" y="1119"/>
                                  </a:lnTo>
                                  <a:lnTo>
                                    <a:pt x="315" y="1117"/>
                                  </a:lnTo>
                                  <a:lnTo>
                                    <a:pt x="320" y="1114"/>
                                  </a:lnTo>
                                  <a:lnTo>
                                    <a:pt x="324" y="1112"/>
                                  </a:lnTo>
                                  <a:lnTo>
                                    <a:pt x="328" y="1110"/>
                                  </a:lnTo>
                                  <a:lnTo>
                                    <a:pt x="332" y="1107"/>
                                  </a:lnTo>
                                  <a:lnTo>
                                    <a:pt x="335" y="1105"/>
                                  </a:lnTo>
                                  <a:lnTo>
                                    <a:pt x="340" y="1103"/>
                                  </a:lnTo>
                                  <a:lnTo>
                                    <a:pt x="344" y="1100"/>
                                  </a:lnTo>
                                  <a:lnTo>
                                    <a:pt x="347" y="1098"/>
                                  </a:lnTo>
                                  <a:lnTo>
                                    <a:pt x="352" y="1096"/>
                                  </a:lnTo>
                                  <a:lnTo>
                                    <a:pt x="356" y="1093"/>
                                  </a:lnTo>
                                  <a:lnTo>
                                    <a:pt x="359" y="1091"/>
                                  </a:lnTo>
                                  <a:lnTo>
                                    <a:pt x="364" y="1088"/>
                                  </a:lnTo>
                                  <a:lnTo>
                                    <a:pt x="368" y="1087"/>
                                  </a:lnTo>
                                  <a:lnTo>
                                    <a:pt x="372" y="1085"/>
                                  </a:lnTo>
                                  <a:lnTo>
                                    <a:pt x="376" y="1082"/>
                                  </a:lnTo>
                                  <a:lnTo>
                                    <a:pt x="379" y="1080"/>
                                  </a:lnTo>
                                  <a:lnTo>
                                    <a:pt x="384" y="1078"/>
                                  </a:lnTo>
                                  <a:lnTo>
                                    <a:pt x="388" y="1075"/>
                                  </a:lnTo>
                                  <a:lnTo>
                                    <a:pt x="391" y="1073"/>
                                  </a:lnTo>
                                  <a:lnTo>
                                    <a:pt x="396" y="1071"/>
                                  </a:lnTo>
                                  <a:lnTo>
                                    <a:pt x="400" y="1068"/>
                                  </a:lnTo>
                                  <a:lnTo>
                                    <a:pt x="403" y="1066"/>
                                  </a:lnTo>
                                  <a:lnTo>
                                    <a:pt x="408" y="1063"/>
                                  </a:lnTo>
                                  <a:lnTo>
                                    <a:pt x="411" y="1061"/>
                                  </a:lnTo>
                                  <a:lnTo>
                                    <a:pt x="415" y="1059"/>
                                  </a:lnTo>
                                  <a:lnTo>
                                    <a:pt x="420" y="1056"/>
                                  </a:lnTo>
                                  <a:lnTo>
                                    <a:pt x="423" y="1054"/>
                                  </a:lnTo>
                                  <a:lnTo>
                                    <a:pt x="428" y="1052"/>
                                  </a:lnTo>
                                  <a:lnTo>
                                    <a:pt x="432" y="1049"/>
                                  </a:lnTo>
                                  <a:lnTo>
                                    <a:pt x="435" y="1047"/>
                                  </a:lnTo>
                                  <a:lnTo>
                                    <a:pt x="440" y="1045"/>
                                  </a:lnTo>
                                  <a:lnTo>
                                    <a:pt x="443" y="1042"/>
                                  </a:lnTo>
                                  <a:lnTo>
                                    <a:pt x="447" y="1040"/>
                                  </a:lnTo>
                                  <a:lnTo>
                                    <a:pt x="452" y="1037"/>
                                  </a:lnTo>
                                  <a:lnTo>
                                    <a:pt x="455" y="1035"/>
                                  </a:lnTo>
                                  <a:lnTo>
                                    <a:pt x="459" y="1033"/>
                                  </a:lnTo>
                                  <a:lnTo>
                                    <a:pt x="464" y="1030"/>
                                  </a:lnTo>
                                  <a:lnTo>
                                    <a:pt x="467" y="1028"/>
                                  </a:lnTo>
                                  <a:lnTo>
                                    <a:pt x="472" y="1026"/>
                                  </a:lnTo>
                                  <a:lnTo>
                                    <a:pt x="476" y="1023"/>
                                  </a:lnTo>
                                  <a:lnTo>
                                    <a:pt x="479" y="1021"/>
                                  </a:lnTo>
                                  <a:lnTo>
                                    <a:pt x="484" y="1018"/>
                                  </a:lnTo>
                                  <a:lnTo>
                                    <a:pt x="487" y="1016"/>
                                  </a:lnTo>
                                  <a:lnTo>
                                    <a:pt x="491" y="1014"/>
                                  </a:lnTo>
                                  <a:lnTo>
                                    <a:pt x="496" y="1011"/>
                                  </a:lnTo>
                                  <a:lnTo>
                                    <a:pt x="499" y="1009"/>
                                  </a:lnTo>
                                  <a:lnTo>
                                    <a:pt x="503" y="1007"/>
                                  </a:lnTo>
                                  <a:lnTo>
                                    <a:pt x="508" y="1004"/>
                                  </a:lnTo>
                                  <a:lnTo>
                                    <a:pt x="511" y="1002"/>
                                  </a:lnTo>
                                  <a:lnTo>
                                    <a:pt x="515" y="999"/>
                                  </a:lnTo>
                                  <a:lnTo>
                                    <a:pt x="519" y="997"/>
                                  </a:lnTo>
                                  <a:lnTo>
                                    <a:pt x="523" y="995"/>
                                  </a:lnTo>
                                  <a:lnTo>
                                    <a:pt x="528" y="992"/>
                                  </a:lnTo>
                                  <a:lnTo>
                                    <a:pt x="531" y="990"/>
                                  </a:lnTo>
                                  <a:lnTo>
                                    <a:pt x="535" y="988"/>
                                  </a:lnTo>
                                  <a:lnTo>
                                    <a:pt x="540" y="985"/>
                                  </a:lnTo>
                                  <a:lnTo>
                                    <a:pt x="543" y="983"/>
                                  </a:lnTo>
                                  <a:lnTo>
                                    <a:pt x="547" y="980"/>
                                  </a:lnTo>
                                  <a:lnTo>
                                    <a:pt x="551" y="978"/>
                                  </a:lnTo>
                                  <a:lnTo>
                                    <a:pt x="555" y="976"/>
                                  </a:lnTo>
                                  <a:lnTo>
                                    <a:pt x="559" y="973"/>
                                  </a:lnTo>
                                  <a:lnTo>
                                    <a:pt x="563" y="971"/>
                                  </a:lnTo>
                                  <a:lnTo>
                                    <a:pt x="567" y="969"/>
                                  </a:lnTo>
                                  <a:lnTo>
                                    <a:pt x="572" y="966"/>
                                  </a:lnTo>
                                  <a:lnTo>
                                    <a:pt x="575" y="964"/>
                                  </a:lnTo>
                                  <a:lnTo>
                                    <a:pt x="579" y="961"/>
                                  </a:lnTo>
                                  <a:lnTo>
                                    <a:pt x="584" y="959"/>
                                  </a:lnTo>
                                  <a:lnTo>
                                    <a:pt x="587" y="957"/>
                                  </a:lnTo>
                                  <a:lnTo>
                                    <a:pt x="591" y="954"/>
                                  </a:lnTo>
                                  <a:lnTo>
                                    <a:pt x="595" y="952"/>
                                  </a:lnTo>
                                  <a:lnTo>
                                    <a:pt x="599" y="950"/>
                                  </a:lnTo>
                                  <a:lnTo>
                                    <a:pt x="603" y="947"/>
                                  </a:lnTo>
                                  <a:lnTo>
                                    <a:pt x="607" y="945"/>
                                  </a:lnTo>
                                  <a:lnTo>
                                    <a:pt x="611" y="943"/>
                                  </a:lnTo>
                                  <a:lnTo>
                                    <a:pt x="614" y="940"/>
                                  </a:lnTo>
                                  <a:lnTo>
                                    <a:pt x="619" y="938"/>
                                  </a:lnTo>
                                  <a:lnTo>
                                    <a:pt x="623" y="935"/>
                                  </a:lnTo>
                                  <a:lnTo>
                                    <a:pt x="627" y="933"/>
                                  </a:lnTo>
                                  <a:lnTo>
                                    <a:pt x="631" y="931"/>
                                  </a:lnTo>
                                  <a:lnTo>
                                    <a:pt x="635" y="928"/>
                                  </a:lnTo>
                                  <a:lnTo>
                                    <a:pt x="639" y="926"/>
                                  </a:lnTo>
                                  <a:lnTo>
                                    <a:pt x="643" y="924"/>
                                  </a:lnTo>
                                  <a:lnTo>
                                    <a:pt x="646" y="921"/>
                                  </a:lnTo>
                                  <a:lnTo>
                                    <a:pt x="651" y="919"/>
                                  </a:lnTo>
                                  <a:lnTo>
                                    <a:pt x="655" y="916"/>
                                  </a:lnTo>
                                  <a:lnTo>
                                    <a:pt x="658" y="914"/>
                                  </a:lnTo>
                                  <a:lnTo>
                                    <a:pt x="663" y="912"/>
                                  </a:lnTo>
                                  <a:lnTo>
                                    <a:pt x="667" y="909"/>
                                  </a:lnTo>
                                  <a:lnTo>
                                    <a:pt x="671" y="907"/>
                                  </a:lnTo>
                                  <a:lnTo>
                                    <a:pt x="675" y="905"/>
                                  </a:lnTo>
                                  <a:lnTo>
                                    <a:pt x="678" y="902"/>
                                  </a:lnTo>
                                  <a:lnTo>
                                    <a:pt x="683" y="900"/>
                                  </a:lnTo>
                                  <a:lnTo>
                                    <a:pt x="687" y="897"/>
                                  </a:lnTo>
                                  <a:lnTo>
                                    <a:pt x="690" y="895"/>
                                  </a:lnTo>
                                  <a:lnTo>
                                    <a:pt x="695" y="893"/>
                                  </a:lnTo>
                                  <a:lnTo>
                                    <a:pt x="699" y="890"/>
                                  </a:lnTo>
                                  <a:lnTo>
                                    <a:pt x="702" y="888"/>
                                  </a:lnTo>
                                  <a:lnTo>
                                    <a:pt x="707" y="886"/>
                                  </a:lnTo>
                                  <a:lnTo>
                                    <a:pt x="711" y="883"/>
                                  </a:lnTo>
                                  <a:lnTo>
                                    <a:pt x="714" y="881"/>
                                  </a:lnTo>
                                  <a:lnTo>
                                    <a:pt x="719" y="878"/>
                                  </a:lnTo>
                                  <a:lnTo>
                                    <a:pt x="722" y="876"/>
                                  </a:lnTo>
                                  <a:lnTo>
                                    <a:pt x="727" y="874"/>
                                  </a:lnTo>
                                  <a:lnTo>
                                    <a:pt x="731" y="871"/>
                                  </a:lnTo>
                                  <a:lnTo>
                                    <a:pt x="734" y="869"/>
                                  </a:lnTo>
                                  <a:lnTo>
                                    <a:pt x="739" y="867"/>
                                  </a:lnTo>
                                  <a:lnTo>
                                    <a:pt x="743" y="864"/>
                                  </a:lnTo>
                                  <a:lnTo>
                                    <a:pt x="746" y="862"/>
                                  </a:lnTo>
                                  <a:lnTo>
                                    <a:pt x="751" y="860"/>
                                  </a:lnTo>
                                  <a:lnTo>
                                    <a:pt x="754" y="857"/>
                                  </a:lnTo>
                                  <a:lnTo>
                                    <a:pt x="758" y="855"/>
                                  </a:lnTo>
                                  <a:lnTo>
                                    <a:pt x="763" y="852"/>
                                  </a:lnTo>
                                  <a:lnTo>
                                    <a:pt x="766" y="850"/>
                                  </a:lnTo>
                                  <a:lnTo>
                                    <a:pt x="771" y="848"/>
                                  </a:lnTo>
                                  <a:lnTo>
                                    <a:pt x="775" y="845"/>
                                  </a:lnTo>
                                  <a:lnTo>
                                    <a:pt x="778" y="843"/>
                                  </a:lnTo>
                                  <a:lnTo>
                                    <a:pt x="783" y="841"/>
                                  </a:lnTo>
                                  <a:lnTo>
                                    <a:pt x="786" y="838"/>
                                  </a:lnTo>
                                  <a:lnTo>
                                    <a:pt x="790" y="836"/>
                                  </a:lnTo>
                                  <a:lnTo>
                                    <a:pt x="795" y="833"/>
                                  </a:lnTo>
                                  <a:lnTo>
                                    <a:pt x="798" y="831"/>
                                  </a:lnTo>
                                  <a:lnTo>
                                    <a:pt x="802" y="829"/>
                                  </a:lnTo>
                                  <a:lnTo>
                                    <a:pt x="807" y="826"/>
                                  </a:lnTo>
                                  <a:lnTo>
                                    <a:pt x="810" y="824"/>
                                  </a:lnTo>
                                  <a:lnTo>
                                    <a:pt x="815" y="822"/>
                                  </a:lnTo>
                                  <a:lnTo>
                                    <a:pt x="819" y="819"/>
                                  </a:lnTo>
                                  <a:lnTo>
                                    <a:pt x="822" y="817"/>
                                  </a:lnTo>
                                  <a:lnTo>
                                    <a:pt x="827" y="814"/>
                                  </a:lnTo>
                                  <a:lnTo>
                                    <a:pt x="830" y="812"/>
                                  </a:lnTo>
                                  <a:lnTo>
                                    <a:pt x="834" y="810"/>
                                  </a:lnTo>
                                  <a:lnTo>
                                    <a:pt x="839" y="807"/>
                                  </a:lnTo>
                                  <a:lnTo>
                                    <a:pt x="842" y="805"/>
                                  </a:lnTo>
                                  <a:lnTo>
                                    <a:pt x="846" y="803"/>
                                  </a:lnTo>
                                  <a:lnTo>
                                    <a:pt x="851" y="800"/>
                                  </a:lnTo>
                                  <a:lnTo>
                                    <a:pt x="854" y="798"/>
                                  </a:lnTo>
                                  <a:lnTo>
                                    <a:pt x="858" y="794"/>
                                  </a:lnTo>
                                  <a:lnTo>
                                    <a:pt x="862" y="792"/>
                                  </a:lnTo>
                                  <a:lnTo>
                                    <a:pt x="866" y="790"/>
                                  </a:lnTo>
                                  <a:lnTo>
                                    <a:pt x="871" y="787"/>
                                  </a:lnTo>
                                  <a:lnTo>
                                    <a:pt x="874" y="785"/>
                                  </a:lnTo>
                                  <a:lnTo>
                                    <a:pt x="878" y="782"/>
                                  </a:lnTo>
                                  <a:lnTo>
                                    <a:pt x="883" y="780"/>
                                  </a:lnTo>
                                  <a:lnTo>
                                    <a:pt x="886" y="778"/>
                                  </a:lnTo>
                                  <a:lnTo>
                                    <a:pt x="890" y="775"/>
                                  </a:lnTo>
                                  <a:lnTo>
                                    <a:pt x="895" y="773"/>
                                  </a:lnTo>
                                  <a:lnTo>
                                    <a:pt x="898" y="771"/>
                                  </a:lnTo>
                                  <a:lnTo>
                                    <a:pt x="902" y="768"/>
                                  </a:lnTo>
                                  <a:lnTo>
                                    <a:pt x="906" y="766"/>
                                  </a:lnTo>
                                  <a:lnTo>
                                    <a:pt x="910" y="763"/>
                                  </a:lnTo>
                                  <a:lnTo>
                                    <a:pt x="915" y="761"/>
                                  </a:lnTo>
                                  <a:lnTo>
                                    <a:pt x="918" y="759"/>
                                  </a:lnTo>
                                  <a:lnTo>
                                    <a:pt x="922" y="756"/>
                                  </a:lnTo>
                                  <a:lnTo>
                                    <a:pt x="927" y="754"/>
                                  </a:lnTo>
                                  <a:lnTo>
                                    <a:pt x="930" y="752"/>
                                  </a:lnTo>
                                  <a:lnTo>
                                    <a:pt x="934" y="749"/>
                                  </a:lnTo>
                                  <a:lnTo>
                                    <a:pt x="938" y="747"/>
                                  </a:lnTo>
                                  <a:lnTo>
                                    <a:pt x="942" y="744"/>
                                  </a:lnTo>
                                  <a:lnTo>
                                    <a:pt x="946" y="742"/>
                                  </a:lnTo>
                                  <a:lnTo>
                                    <a:pt x="950" y="740"/>
                                  </a:lnTo>
                                  <a:lnTo>
                                    <a:pt x="954" y="737"/>
                                  </a:lnTo>
                                  <a:lnTo>
                                    <a:pt x="957" y="735"/>
                                  </a:lnTo>
                                  <a:lnTo>
                                    <a:pt x="962" y="733"/>
                                  </a:lnTo>
                                  <a:lnTo>
                                    <a:pt x="966" y="730"/>
                                  </a:lnTo>
                                  <a:lnTo>
                                    <a:pt x="970" y="728"/>
                                  </a:lnTo>
                                  <a:lnTo>
                                    <a:pt x="974" y="724"/>
                                  </a:lnTo>
                                  <a:lnTo>
                                    <a:pt x="978" y="722"/>
                                  </a:lnTo>
                                  <a:lnTo>
                                    <a:pt x="982" y="720"/>
                                  </a:lnTo>
                                  <a:lnTo>
                                    <a:pt x="986" y="717"/>
                                  </a:lnTo>
                                  <a:lnTo>
                                    <a:pt x="989" y="715"/>
                                  </a:lnTo>
                                  <a:lnTo>
                                    <a:pt x="994" y="712"/>
                                  </a:lnTo>
                                  <a:lnTo>
                                    <a:pt x="998" y="710"/>
                                  </a:lnTo>
                                  <a:lnTo>
                                    <a:pt x="1001" y="708"/>
                                  </a:lnTo>
                                  <a:lnTo>
                                    <a:pt x="1006" y="705"/>
                                  </a:lnTo>
                                  <a:lnTo>
                                    <a:pt x="1010" y="703"/>
                                  </a:lnTo>
                                  <a:lnTo>
                                    <a:pt x="1014" y="701"/>
                                  </a:lnTo>
                                  <a:lnTo>
                                    <a:pt x="1018" y="698"/>
                                  </a:lnTo>
                                  <a:lnTo>
                                    <a:pt x="1022" y="696"/>
                                  </a:lnTo>
                                  <a:lnTo>
                                    <a:pt x="1026" y="693"/>
                                  </a:lnTo>
                                  <a:lnTo>
                                    <a:pt x="1030" y="691"/>
                                  </a:lnTo>
                                  <a:lnTo>
                                    <a:pt x="1033" y="689"/>
                                  </a:lnTo>
                                  <a:lnTo>
                                    <a:pt x="1038" y="686"/>
                                  </a:lnTo>
                                  <a:lnTo>
                                    <a:pt x="1042" y="684"/>
                                  </a:lnTo>
                                  <a:lnTo>
                                    <a:pt x="1045" y="682"/>
                                  </a:lnTo>
                                  <a:lnTo>
                                    <a:pt x="1050" y="679"/>
                                  </a:lnTo>
                                  <a:lnTo>
                                    <a:pt x="1054" y="677"/>
                                  </a:lnTo>
                                  <a:lnTo>
                                    <a:pt x="1057" y="673"/>
                                  </a:lnTo>
                                  <a:lnTo>
                                    <a:pt x="1062" y="671"/>
                                  </a:lnTo>
                                  <a:lnTo>
                                    <a:pt x="1065" y="669"/>
                                  </a:lnTo>
                                  <a:lnTo>
                                    <a:pt x="1070" y="666"/>
                                  </a:lnTo>
                                  <a:lnTo>
                                    <a:pt x="1074" y="664"/>
                                  </a:lnTo>
                                  <a:lnTo>
                                    <a:pt x="1077" y="661"/>
                                  </a:lnTo>
                                  <a:lnTo>
                                    <a:pt x="1082" y="659"/>
                                  </a:lnTo>
                                  <a:lnTo>
                                    <a:pt x="1086" y="657"/>
                                  </a:lnTo>
                                  <a:lnTo>
                                    <a:pt x="1089" y="654"/>
                                  </a:lnTo>
                                  <a:lnTo>
                                    <a:pt x="1094" y="652"/>
                                  </a:lnTo>
                                  <a:lnTo>
                                    <a:pt x="1097" y="650"/>
                                  </a:lnTo>
                                  <a:lnTo>
                                    <a:pt x="1101" y="647"/>
                                  </a:lnTo>
                                  <a:lnTo>
                                    <a:pt x="1106" y="645"/>
                                  </a:lnTo>
                                  <a:lnTo>
                                    <a:pt x="1109" y="642"/>
                                  </a:lnTo>
                                  <a:lnTo>
                                    <a:pt x="1114" y="640"/>
                                  </a:lnTo>
                                  <a:lnTo>
                                    <a:pt x="1118" y="638"/>
                                  </a:lnTo>
                                  <a:lnTo>
                                    <a:pt x="1121" y="635"/>
                                  </a:lnTo>
                                  <a:lnTo>
                                    <a:pt x="1126" y="633"/>
                                  </a:lnTo>
                                  <a:lnTo>
                                    <a:pt x="1130" y="629"/>
                                  </a:lnTo>
                                  <a:lnTo>
                                    <a:pt x="1133" y="627"/>
                                  </a:lnTo>
                                  <a:lnTo>
                                    <a:pt x="1138" y="625"/>
                                  </a:lnTo>
                                  <a:lnTo>
                                    <a:pt x="1141" y="622"/>
                                  </a:lnTo>
                                  <a:lnTo>
                                    <a:pt x="1145" y="620"/>
                                  </a:lnTo>
                                  <a:lnTo>
                                    <a:pt x="1150" y="618"/>
                                  </a:lnTo>
                                  <a:lnTo>
                                    <a:pt x="1153" y="615"/>
                                  </a:lnTo>
                                  <a:lnTo>
                                    <a:pt x="1157" y="613"/>
                                  </a:lnTo>
                                  <a:lnTo>
                                    <a:pt x="1162" y="610"/>
                                  </a:lnTo>
                                  <a:lnTo>
                                    <a:pt x="1165" y="608"/>
                                  </a:lnTo>
                                  <a:lnTo>
                                    <a:pt x="1170" y="606"/>
                                  </a:lnTo>
                                  <a:lnTo>
                                    <a:pt x="1173" y="603"/>
                                  </a:lnTo>
                                  <a:lnTo>
                                    <a:pt x="1177" y="601"/>
                                  </a:lnTo>
                                  <a:lnTo>
                                    <a:pt x="1182" y="599"/>
                                  </a:lnTo>
                                  <a:lnTo>
                                    <a:pt x="1185" y="596"/>
                                  </a:lnTo>
                                  <a:lnTo>
                                    <a:pt x="1189" y="594"/>
                                  </a:lnTo>
                                  <a:lnTo>
                                    <a:pt x="1194" y="590"/>
                                  </a:lnTo>
                                  <a:lnTo>
                                    <a:pt x="1197" y="588"/>
                                  </a:lnTo>
                                  <a:lnTo>
                                    <a:pt x="1201" y="586"/>
                                  </a:lnTo>
                                  <a:lnTo>
                                    <a:pt x="1205" y="583"/>
                                  </a:lnTo>
                                  <a:lnTo>
                                    <a:pt x="1209" y="581"/>
                                  </a:lnTo>
                                  <a:lnTo>
                                    <a:pt x="1214" y="578"/>
                                  </a:lnTo>
                                  <a:lnTo>
                                    <a:pt x="1217" y="576"/>
                                  </a:lnTo>
                                  <a:lnTo>
                                    <a:pt x="1221" y="574"/>
                                  </a:lnTo>
                                  <a:lnTo>
                                    <a:pt x="1226" y="571"/>
                                  </a:lnTo>
                                  <a:lnTo>
                                    <a:pt x="1229" y="569"/>
                                  </a:lnTo>
                                  <a:lnTo>
                                    <a:pt x="1233" y="567"/>
                                  </a:lnTo>
                                  <a:lnTo>
                                    <a:pt x="1238" y="564"/>
                                  </a:lnTo>
                                  <a:lnTo>
                                    <a:pt x="1241" y="562"/>
                                  </a:lnTo>
                                  <a:lnTo>
                                    <a:pt x="1245" y="559"/>
                                  </a:lnTo>
                                  <a:lnTo>
                                    <a:pt x="1249" y="556"/>
                                  </a:lnTo>
                                  <a:lnTo>
                                    <a:pt x="1253" y="554"/>
                                  </a:lnTo>
                                  <a:lnTo>
                                    <a:pt x="1257" y="551"/>
                                  </a:lnTo>
                                  <a:lnTo>
                                    <a:pt x="1261" y="549"/>
                                  </a:lnTo>
                                  <a:lnTo>
                                    <a:pt x="1265" y="546"/>
                                  </a:lnTo>
                                  <a:lnTo>
                                    <a:pt x="1270" y="544"/>
                                  </a:lnTo>
                                  <a:lnTo>
                                    <a:pt x="1273" y="542"/>
                                  </a:lnTo>
                                  <a:lnTo>
                                    <a:pt x="1277" y="539"/>
                                  </a:lnTo>
                                  <a:lnTo>
                                    <a:pt x="1281" y="537"/>
                                  </a:lnTo>
                                  <a:lnTo>
                                    <a:pt x="1285" y="535"/>
                                  </a:lnTo>
                                  <a:lnTo>
                                    <a:pt x="1289" y="532"/>
                                  </a:lnTo>
                                  <a:lnTo>
                                    <a:pt x="1293" y="530"/>
                                  </a:lnTo>
                                  <a:lnTo>
                                    <a:pt x="1297" y="527"/>
                                  </a:lnTo>
                                  <a:lnTo>
                                    <a:pt x="1300" y="524"/>
                                  </a:lnTo>
                                  <a:lnTo>
                                    <a:pt x="1305" y="522"/>
                                  </a:lnTo>
                                  <a:lnTo>
                                    <a:pt x="1309" y="519"/>
                                  </a:lnTo>
                                  <a:lnTo>
                                    <a:pt x="1313" y="517"/>
                                  </a:lnTo>
                                  <a:lnTo>
                                    <a:pt x="1317" y="514"/>
                                  </a:lnTo>
                                  <a:lnTo>
                                    <a:pt x="1321" y="512"/>
                                  </a:lnTo>
                                  <a:lnTo>
                                    <a:pt x="1325" y="510"/>
                                  </a:lnTo>
                                  <a:lnTo>
                                    <a:pt x="1329" y="507"/>
                                  </a:lnTo>
                                  <a:lnTo>
                                    <a:pt x="1332" y="505"/>
                                  </a:lnTo>
                                  <a:lnTo>
                                    <a:pt x="1337" y="503"/>
                                  </a:lnTo>
                                  <a:lnTo>
                                    <a:pt x="1341" y="500"/>
                                  </a:lnTo>
                                  <a:lnTo>
                                    <a:pt x="1344" y="498"/>
                                  </a:lnTo>
                                  <a:lnTo>
                                    <a:pt x="1349" y="495"/>
                                  </a:lnTo>
                                  <a:lnTo>
                                    <a:pt x="1353" y="492"/>
                                  </a:lnTo>
                                  <a:lnTo>
                                    <a:pt x="1357" y="489"/>
                                  </a:lnTo>
                                  <a:lnTo>
                                    <a:pt x="1361" y="487"/>
                                  </a:lnTo>
                                  <a:lnTo>
                                    <a:pt x="1365" y="485"/>
                                  </a:lnTo>
                                  <a:lnTo>
                                    <a:pt x="1369" y="482"/>
                                  </a:lnTo>
                                  <a:lnTo>
                                    <a:pt x="1373" y="480"/>
                                  </a:lnTo>
                                  <a:lnTo>
                                    <a:pt x="1376" y="478"/>
                                  </a:lnTo>
                                  <a:lnTo>
                                    <a:pt x="1381" y="475"/>
                                  </a:lnTo>
                                  <a:lnTo>
                                    <a:pt x="1385" y="473"/>
                                  </a:lnTo>
                                  <a:lnTo>
                                    <a:pt x="1388" y="471"/>
                                  </a:lnTo>
                                  <a:lnTo>
                                    <a:pt x="1393" y="468"/>
                                  </a:lnTo>
                                  <a:lnTo>
                                    <a:pt x="1397" y="465"/>
                                  </a:lnTo>
                                  <a:lnTo>
                                    <a:pt x="1400" y="462"/>
                                  </a:lnTo>
                                  <a:lnTo>
                                    <a:pt x="1405" y="460"/>
                                  </a:lnTo>
                                  <a:lnTo>
                                    <a:pt x="1408" y="457"/>
                                  </a:lnTo>
                                  <a:lnTo>
                                    <a:pt x="1413" y="455"/>
                                  </a:lnTo>
                                  <a:lnTo>
                                    <a:pt x="1417" y="453"/>
                                  </a:lnTo>
                                  <a:lnTo>
                                    <a:pt x="1420" y="450"/>
                                  </a:lnTo>
                                  <a:lnTo>
                                    <a:pt x="1425" y="448"/>
                                  </a:lnTo>
                                  <a:lnTo>
                                    <a:pt x="1429" y="446"/>
                                  </a:lnTo>
                                  <a:lnTo>
                                    <a:pt x="1432" y="443"/>
                                  </a:lnTo>
                                  <a:lnTo>
                                    <a:pt x="1437" y="441"/>
                                  </a:lnTo>
                                  <a:lnTo>
                                    <a:pt x="1440" y="437"/>
                                  </a:lnTo>
                                  <a:lnTo>
                                    <a:pt x="1444" y="435"/>
                                  </a:lnTo>
                                  <a:lnTo>
                                    <a:pt x="1449" y="433"/>
                                  </a:lnTo>
                                  <a:lnTo>
                                    <a:pt x="1452" y="430"/>
                                  </a:lnTo>
                                  <a:lnTo>
                                    <a:pt x="1457" y="428"/>
                                  </a:lnTo>
                                  <a:lnTo>
                                    <a:pt x="1461" y="425"/>
                                  </a:lnTo>
                                  <a:lnTo>
                                    <a:pt x="1464" y="423"/>
                                  </a:lnTo>
                                  <a:lnTo>
                                    <a:pt x="1469" y="421"/>
                                  </a:lnTo>
                                  <a:lnTo>
                                    <a:pt x="1473" y="418"/>
                                  </a:lnTo>
                                  <a:lnTo>
                                    <a:pt x="1476" y="416"/>
                                  </a:lnTo>
                                  <a:lnTo>
                                    <a:pt x="1481" y="412"/>
                                  </a:lnTo>
                                  <a:lnTo>
                                    <a:pt x="1484" y="410"/>
                                  </a:lnTo>
                                  <a:lnTo>
                                    <a:pt x="1488" y="408"/>
                                  </a:lnTo>
                                  <a:lnTo>
                                    <a:pt x="1493" y="405"/>
                                  </a:lnTo>
                                  <a:lnTo>
                                    <a:pt x="1496" y="403"/>
                                  </a:lnTo>
                                  <a:lnTo>
                                    <a:pt x="1500" y="401"/>
                                  </a:lnTo>
                                  <a:lnTo>
                                    <a:pt x="1505" y="398"/>
                                  </a:lnTo>
                                  <a:lnTo>
                                    <a:pt x="1508" y="396"/>
                                  </a:lnTo>
                                  <a:lnTo>
                                    <a:pt x="1513" y="393"/>
                                  </a:lnTo>
                                  <a:lnTo>
                                    <a:pt x="1516" y="391"/>
                                  </a:lnTo>
                                  <a:lnTo>
                                    <a:pt x="1520" y="387"/>
                                  </a:lnTo>
                                  <a:lnTo>
                                    <a:pt x="1525" y="385"/>
                                  </a:lnTo>
                                  <a:lnTo>
                                    <a:pt x="1528" y="383"/>
                                  </a:lnTo>
                                  <a:lnTo>
                                    <a:pt x="1532" y="380"/>
                                  </a:lnTo>
                                  <a:lnTo>
                                    <a:pt x="1537" y="378"/>
                                  </a:lnTo>
                                  <a:lnTo>
                                    <a:pt x="1540" y="376"/>
                                  </a:lnTo>
                                  <a:lnTo>
                                    <a:pt x="1544" y="373"/>
                                  </a:lnTo>
                                  <a:lnTo>
                                    <a:pt x="1549" y="371"/>
                                  </a:lnTo>
                                  <a:lnTo>
                                    <a:pt x="1552" y="369"/>
                                  </a:lnTo>
                                  <a:lnTo>
                                    <a:pt x="1557" y="365"/>
                                  </a:lnTo>
                                  <a:lnTo>
                                    <a:pt x="1560" y="363"/>
                                  </a:lnTo>
                                  <a:lnTo>
                                    <a:pt x="1564" y="360"/>
                                  </a:lnTo>
                                  <a:lnTo>
                                    <a:pt x="1569" y="358"/>
                                  </a:lnTo>
                                  <a:lnTo>
                                    <a:pt x="1572" y="355"/>
                                  </a:lnTo>
                                  <a:lnTo>
                                    <a:pt x="1576" y="353"/>
                                  </a:lnTo>
                                  <a:lnTo>
                                    <a:pt x="1581" y="351"/>
                                  </a:lnTo>
                                  <a:lnTo>
                                    <a:pt x="1584" y="348"/>
                                  </a:lnTo>
                                  <a:lnTo>
                                    <a:pt x="1588" y="346"/>
                                  </a:lnTo>
                                  <a:lnTo>
                                    <a:pt x="1592" y="342"/>
                                  </a:lnTo>
                                  <a:lnTo>
                                    <a:pt x="1596" y="340"/>
                                  </a:lnTo>
                                  <a:lnTo>
                                    <a:pt x="1600" y="338"/>
                                  </a:lnTo>
                                  <a:lnTo>
                                    <a:pt x="1604" y="335"/>
                                  </a:lnTo>
                                  <a:lnTo>
                                    <a:pt x="1608" y="333"/>
                                  </a:lnTo>
                                  <a:lnTo>
                                    <a:pt x="1613" y="331"/>
                                  </a:lnTo>
                                  <a:lnTo>
                                    <a:pt x="1616" y="328"/>
                                  </a:lnTo>
                                  <a:lnTo>
                                    <a:pt x="1620" y="326"/>
                                  </a:lnTo>
                                  <a:lnTo>
                                    <a:pt x="1624" y="323"/>
                                  </a:lnTo>
                                  <a:lnTo>
                                    <a:pt x="1628" y="320"/>
                                  </a:lnTo>
                                  <a:lnTo>
                                    <a:pt x="1632" y="318"/>
                                  </a:lnTo>
                                  <a:lnTo>
                                    <a:pt x="1636" y="315"/>
                                  </a:lnTo>
                                  <a:lnTo>
                                    <a:pt x="1640" y="313"/>
                                  </a:lnTo>
                                  <a:lnTo>
                                    <a:pt x="1643" y="310"/>
                                  </a:lnTo>
                                  <a:lnTo>
                                    <a:pt x="1648" y="308"/>
                                  </a:lnTo>
                                  <a:lnTo>
                                    <a:pt x="1652" y="306"/>
                                  </a:lnTo>
                                  <a:lnTo>
                                    <a:pt x="1657" y="303"/>
                                  </a:lnTo>
                                  <a:lnTo>
                                    <a:pt x="1660" y="300"/>
                                  </a:lnTo>
                                  <a:lnTo>
                                    <a:pt x="1664" y="297"/>
                                  </a:lnTo>
                                  <a:lnTo>
                                    <a:pt x="1668" y="295"/>
                                  </a:lnTo>
                                  <a:lnTo>
                                    <a:pt x="1672" y="293"/>
                                  </a:lnTo>
                                  <a:lnTo>
                                    <a:pt x="1676" y="290"/>
                                  </a:lnTo>
                                  <a:lnTo>
                                    <a:pt x="1680" y="288"/>
                                  </a:lnTo>
                                  <a:lnTo>
                                    <a:pt x="1684" y="286"/>
                                  </a:lnTo>
                                  <a:lnTo>
                                    <a:pt x="1687" y="283"/>
                                  </a:lnTo>
                                  <a:lnTo>
                                    <a:pt x="1692" y="280"/>
                                  </a:lnTo>
                                  <a:lnTo>
                                    <a:pt x="1696" y="277"/>
                                  </a:lnTo>
                                  <a:lnTo>
                                    <a:pt x="1699" y="275"/>
                                  </a:lnTo>
                                  <a:lnTo>
                                    <a:pt x="1704" y="272"/>
                                  </a:lnTo>
                                  <a:lnTo>
                                    <a:pt x="1708" y="270"/>
                                  </a:lnTo>
                                  <a:lnTo>
                                    <a:pt x="1712" y="268"/>
                                  </a:lnTo>
                                  <a:lnTo>
                                    <a:pt x="1716" y="265"/>
                                  </a:lnTo>
                                  <a:lnTo>
                                    <a:pt x="1719" y="263"/>
                                  </a:lnTo>
                                  <a:lnTo>
                                    <a:pt x="1724" y="259"/>
                                  </a:lnTo>
                                  <a:lnTo>
                                    <a:pt x="1728" y="257"/>
                                  </a:lnTo>
                                  <a:lnTo>
                                    <a:pt x="1731" y="255"/>
                                  </a:lnTo>
                                  <a:lnTo>
                                    <a:pt x="1736" y="252"/>
                                  </a:lnTo>
                                  <a:lnTo>
                                    <a:pt x="1740" y="250"/>
                                  </a:lnTo>
                                  <a:lnTo>
                                    <a:pt x="1743" y="248"/>
                                  </a:lnTo>
                                  <a:lnTo>
                                    <a:pt x="1748" y="245"/>
                                  </a:lnTo>
                                  <a:lnTo>
                                    <a:pt x="1751" y="243"/>
                                  </a:lnTo>
                                  <a:lnTo>
                                    <a:pt x="1756" y="239"/>
                                  </a:lnTo>
                                  <a:lnTo>
                                    <a:pt x="1760" y="237"/>
                                  </a:lnTo>
                                  <a:lnTo>
                                    <a:pt x="1763" y="235"/>
                                  </a:lnTo>
                                  <a:lnTo>
                                    <a:pt x="1768" y="232"/>
                                  </a:lnTo>
                                  <a:lnTo>
                                    <a:pt x="1772" y="230"/>
                                  </a:lnTo>
                                  <a:lnTo>
                                    <a:pt x="1775" y="227"/>
                                  </a:lnTo>
                                  <a:lnTo>
                                    <a:pt x="1780" y="225"/>
                                  </a:lnTo>
                                  <a:lnTo>
                                    <a:pt x="1784" y="223"/>
                                  </a:lnTo>
                                  <a:lnTo>
                                    <a:pt x="1787" y="219"/>
                                  </a:lnTo>
                                  <a:lnTo>
                                    <a:pt x="1792" y="217"/>
                                  </a:lnTo>
                                  <a:lnTo>
                                    <a:pt x="1795" y="214"/>
                                  </a:lnTo>
                                  <a:lnTo>
                                    <a:pt x="1799" y="212"/>
                                  </a:lnTo>
                                  <a:lnTo>
                                    <a:pt x="1804" y="210"/>
                                  </a:lnTo>
                                  <a:lnTo>
                                    <a:pt x="1807" y="207"/>
                                  </a:lnTo>
                                  <a:lnTo>
                                    <a:pt x="1812" y="205"/>
                                  </a:lnTo>
                                  <a:lnTo>
                                    <a:pt x="1816" y="201"/>
                                  </a:lnTo>
                                  <a:lnTo>
                                    <a:pt x="1819" y="199"/>
                                  </a:lnTo>
                                  <a:lnTo>
                                    <a:pt x="1824" y="197"/>
                                  </a:lnTo>
                                  <a:lnTo>
                                    <a:pt x="1827" y="194"/>
                                  </a:lnTo>
                                  <a:lnTo>
                                    <a:pt x="1831" y="192"/>
                                  </a:lnTo>
                                  <a:lnTo>
                                    <a:pt x="1836" y="189"/>
                                  </a:lnTo>
                                  <a:lnTo>
                                    <a:pt x="1839" y="187"/>
                                  </a:lnTo>
                                  <a:lnTo>
                                    <a:pt x="1843" y="184"/>
                                  </a:lnTo>
                                  <a:lnTo>
                                    <a:pt x="1848" y="181"/>
                                  </a:lnTo>
                                  <a:lnTo>
                                    <a:pt x="1851" y="179"/>
                                  </a:lnTo>
                                  <a:lnTo>
                                    <a:pt x="1856" y="176"/>
                                  </a:lnTo>
                                  <a:lnTo>
                                    <a:pt x="1859" y="174"/>
                                  </a:lnTo>
                                  <a:lnTo>
                                    <a:pt x="1863" y="172"/>
                                  </a:lnTo>
                                  <a:lnTo>
                                    <a:pt x="1868" y="169"/>
                                  </a:lnTo>
                                  <a:lnTo>
                                    <a:pt x="1871" y="166"/>
                                  </a:lnTo>
                                  <a:lnTo>
                                    <a:pt x="1875" y="163"/>
                                  </a:lnTo>
                                  <a:lnTo>
                                    <a:pt x="1880" y="161"/>
                                  </a:lnTo>
                                  <a:lnTo>
                                    <a:pt x="1883" y="159"/>
                                  </a:lnTo>
                                  <a:lnTo>
                                    <a:pt x="1887" y="156"/>
                                  </a:lnTo>
                                  <a:lnTo>
                                    <a:pt x="1892" y="154"/>
                                  </a:lnTo>
                                  <a:lnTo>
                                    <a:pt x="1895" y="151"/>
                                  </a:lnTo>
                                  <a:lnTo>
                                    <a:pt x="1900" y="148"/>
                                  </a:lnTo>
                                  <a:lnTo>
                                    <a:pt x="1903" y="146"/>
                                  </a:lnTo>
                                  <a:lnTo>
                                    <a:pt x="1907" y="143"/>
                                  </a:lnTo>
                                  <a:lnTo>
                                    <a:pt x="1912" y="141"/>
                                  </a:lnTo>
                                  <a:lnTo>
                                    <a:pt x="1915" y="138"/>
                                  </a:lnTo>
                                  <a:lnTo>
                                    <a:pt x="1919" y="136"/>
                                  </a:lnTo>
                                  <a:lnTo>
                                    <a:pt x="1924" y="133"/>
                                  </a:lnTo>
                                  <a:lnTo>
                                    <a:pt x="1927" y="130"/>
                                  </a:lnTo>
                                  <a:lnTo>
                                    <a:pt x="1931" y="128"/>
                                  </a:lnTo>
                                  <a:lnTo>
                                    <a:pt x="1935" y="125"/>
                                  </a:lnTo>
                                  <a:lnTo>
                                    <a:pt x="1939" y="123"/>
                                  </a:lnTo>
                                  <a:lnTo>
                                    <a:pt x="1943" y="121"/>
                                  </a:lnTo>
                                  <a:lnTo>
                                    <a:pt x="1947" y="118"/>
                                  </a:lnTo>
                                  <a:lnTo>
                                    <a:pt x="1951" y="115"/>
                                  </a:lnTo>
                                  <a:lnTo>
                                    <a:pt x="1956" y="112"/>
                                  </a:lnTo>
                                  <a:lnTo>
                                    <a:pt x="1959" y="110"/>
                                  </a:lnTo>
                                  <a:lnTo>
                                    <a:pt x="1963" y="108"/>
                                  </a:lnTo>
                                  <a:lnTo>
                                    <a:pt x="1967" y="105"/>
                                  </a:lnTo>
                                  <a:lnTo>
                                    <a:pt x="1971" y="103"/>
                                  </a:lnTo>
                                  <a:lnTo>
                                    <a:pt x="1975" y="99"/>
                                  </a:lnTo>
                                  <a:lnTo>
                                    <a:pt x="1979" y="97"/>
                                  </a:lnTo>
                                  <a:lnTo>
                                    <a:pt x="1983" y="95"/>
                                  </a:lnTo>
                                  <a:lnTo>
                                    <a:pt x="1986" y="92"/>
                                  </a:lnTo>
                                  <a:lnTo>
                                    <a:pt x="1991" y="90"/>
                                  </a:lnTo>
                                  <a:lnTo>
                                    <a:pt x="1995" y="87"/>
                                  </a:lnTo>
                                  <a:lnTo>
                                    <a:pt x="2000" y="85"/>
                                  </a:lnTo>
                                  <a:lnTo>
                                    <a:pt x="2003" y="82"/>
                                  </a:lnTo>
                                  <a:lnTo>
                                    <a:pt x="2007" y="79"/>
                                  </a:lnTo>
                                  <a:lnTo>
                                    <a:pt x="2011" y="77"/>
                                  </a:lnTo>
                                  <a:lnTo>
                                    <a:pt x="2015" y="74"/>
                                  </a:lnTo>
                                  <a:lnTo>
                                    <a:pt x="2019" y="72"/>
                                  </a:lnTo>
                                  <a:lnTo>
                                    <a:pt x="2023" y="70"/>
                                  </a:lnTo>
                                  <a:lnTo>
                                    <a:pt x="2027" y="66"/>
                                  </a:lnTo>
                                  <a:lnTo>
                                    <a:pt x="2030" y="64"/>
                                  </a:lnTo>
                                  <a:lnTo>
                                    <a:pt x="2035" y="61"/>
                                  </a:lnTo>
                                  <a:lnTo>
                                    <a:pt x="2039" y="59"/>
                                  </a:lnTo>
                                  <a:lnTo>
                                    <a:pt x="2042" y="57"/>
                                  </a:lnTo>
                                  <a:lnTo>
                                    <a:pt x="2047" y="54"/>
                                  </a:lnTo>
                                  <a:lnTo>
                                    <a:pt x="2051" y="51"/>
                                  </a:lnTo>
                                  <a:lnTo>
                                    <a:pt x="2055" y="48"/>
                                  </a:lnTo>
                                  <a:lnTo>
                                    <a:pt x="2059" y="46"/>
                                  </a:lnTo>
                                  <a:lnTo>
                                    <a:pt x="2062" y="44"/>
                                  </a:lnTo>
                                  <a:lnTo>
                                    <a:pt x="2067" y="41"/>
                                  </a:lnTo>
                                  <a:lnTo>
                                    <a:pt x="2071" y="39"/>
                                  </a:lnTo>
                                  <a:lnTo>
                                    <a:pt x="2074" y="35"/>
                                  </a:lnTo>
                                  <a:lnTo>
                                    <a:pt x="2079" y="33"/>
                                  </a:lnTo>
                                  <a:lnTo>
                                    <a:pt x="2083" y="31"/>
                                  </a:lnTo>
                                  <a:lnTo>
                                    <a:pt x="2086" y="28"/>
                                  </a:lnTo>
                                  <a:lnTo>
                                    <a:pt x="2091" y="26"/>
                                  </a:lnTo>
                                  <a:lnTo>
                                    <a:pt x="2094" y="23"/>
                                  </a:lnTo>
                                  <a:lnTo>
                                    <a:pt x="2099" y="20"/>
                                  </a:lnTo>
                                  <a:lnTo>
                                    <a:pt x="2103" y="17"/>
                                  </a:lnTo>
                                  <a:lnTo>
                                    <a:pt x="2106" y="15"/>
                                  </a:lnTo>
                                  <a:lnTo>
                                    <a:pt x="2111" y="13"/>
                                  </a:lnTo>
                                  <a:lnTo>
                                    <a:pt x="2115" y="10"/>
                                  </a:lnTo>
                                  <a:lnTo>
                                    <a:pt x="2118" y="8"/>
                                  </a:lnTo>
                                  <a:lnTo>
                                    <a:pt x="2123" y="4"/>
                                  </a:lnTo>
                                  <a:lnTo>
                                    <a:pt x="2127" y="2"/>
                                  </a:lnTo>
                                  <a:lnTo>
                                    <a:pt x="2130" y="0"/>
                                  </a:lnTo>
                                </a:path>
                              </a:pathLst>
                            </a:custGeom>
                            <a:noFill/>
                            <a:ln w="1205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51" name="Group 8466"/>
                        <wpg:cNvGrpSpPr>
                          <a:grpSpLocks/>
                        </wpg:cNvGrpSpPr>
                        <wpg:grpSpPr bwMode="auto">
                          <a:xfrm>
                            <a:off x="6693" y="5575"/>
                            <a:ext cx="3178" cy="2252"/>
                            <a:chOff x="6693" y="5575"/>
                            <a:chExt cx="3178" cy="2252"/>
                          </a:xfrm>
                        </wpg:grpSpPr>
                        <wps:wsp>
                          <wps:cNvPr id="18352" name="Freeform 8467"/>
                          <wps:cNvSpPr>
                            <a:spLocks/>
                          </wps:cNvSpPr>
                          <wps:spPr bwMode="auto">
                            <a:xfrm>
                              <a:off x="6693" y="5575"/>
                              <a:ext cx="3178" cy="2252"/>
                            </a:xfrm>
                            <a:custGeom>
                              <a:avLst/>
                              <a:gdLst>
                                <a:gd name="T0" fmla="*/ 0 w 3178"/>
                                <a:gd name="T1" fmla="*/ 7826 h 2252"/>
                                <a:gd name="T2" fmla="*/ 3178 w 3178"/>
                                <a:gd name="T3" fmla="*/ 7826 h 2252"/>
                                <a:gd name="T4" fmla="*/ 3178 w 3178"/>
                                <a:gd name="T5" fmla="*/ 5575 h 2252"/>
                                <a:gd name="T6" fmla="*/ 0 w 3178"/>
                                <a:gd name="T7" fmla="*/ 5575 h 2252"/>
                                <a:gd name="T8" fmla="*/ 0 w 3178"/>
                                <a:gd name="T9" fmla="*/ 7826 h 225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178" h="2252">
                                  <a:moveTo>
                                    <a:pt x="0" y="2251"/>
                                  </a:moveTo>
                                  <a:lnTo>
                                    <a:pt x="3178" y="2251"/>
                                  </a:lnTo>
                                  <a:lnTo>
                                    <a:pt x="3178" y="0"/>
                                  </a:lnTo>
                                  <a:lnTo>
                                    <a:pt x="0" y="0"/>
                                  </a:lnTo>
                                  <a:lnTo>
                                    <a:pt x="0" y="2251"/>
                                  </a:lnTo>
                                  <a:close/>
                                </a:path>
                              </a:pathLst>
                            </a:custGeom>
                            <a:noFill/>
                            <a:ln w="8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353" name="Group 8404"/>
                        <wpg:cNvGrpSpPr>
                          <a:grpSpLocks/>
                        </wpg:cNvGrpSpPr>
                        <wpg:grpSpPr bwMode="auto">
                          <a:xfrm>
                            <a:off x="5" y="5"/>
                            <a:ext cx="10888" cy="10648"/>
                            <a:chOff x="5" y="5"/>
                            <a:chExt cx="10888" cy="10648"/>
                          </a:xfrm>
                        </wpg:grpSpPr>
                        <wps:wsp>
                          <wps:cNvPr id="18354" name="Freeform 8465"/>
                          <wps:cNvSpPr>
                            <a:spLocks/>
                          </wps:cNvSpPr>
                          <wps:spPr bwMode="auto">
                            <a:xfrm>
                              <a:off x="5" y="5"/>
                              <a:ext cx="10888" cy="10648"/>
                            </a:xfrm>
                            <a:custGeom>
                              <a:avLst/>
                              <a:gdLst>
                                <a:gd name="T0" fmla="*/ 0 w 10888"/>
                                <a:gd name="T1" fmla="*/ 10653 h 10648"/>
                                <a:gd name="T2" fmla="*/ 10888 w 10888"/>
                                <a:gd name="T3" fmla="*/ 10653 h 10648"/>
                                <a:gd name="T4" fmla="*/ 10888 w 10888"/>
                                <a:gd name="T5" fmla="*/ 5 h 10648"/>
                                <a:gd name="T6" fmla="*/ 0 w 10888"/>
                                <a:gd name="T7" fmla="*/ 5 h 10648"/>
                                <a:gd name="T8" fmla="*/ 0 w 10888"/>
                                <a:gd name="T9" fmla="*/ 10653 h 1064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0888" h="10648">
                                  <a:moveTo>
                                    <a:pt x="0" y="10648"/>
                                  </a:moveTo>
                                  <a:lnTo>
                                    <a:pt x="10888" y="10648"/>
                                  </a:lnTo>
                                  <a:lnTo>
                                    <a:pt x="10888" y="0"/>
                                  </a:lnTo>
                                  <a:lnTo>
                                    <a:pt x="0" y="0"/>
                                  </a:lnTo>
                                  <a:lnTo>
                                    <a:pt x="0" y="10648"/>
                                  </a:lnTo>
                                  <a:close/>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55" name="Text Box 8464"/>
                          <wps:cNvSpPr txBox="1">
                            <a:spLocks noChangeArrowheads="1"/>
                          </wps:cNvSpPr>
                          <wps:spPr bwMode="auto">
                            <a:xfrm>
                              <a:off x="34" y="29"/>
                              <a:ext cx="768"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D351B4" w14:textId="77777777" w:rsidR="00CB53E4" w:rsidRDefault="00CB53E4" w:rsidP="0031675F">
                                <w:pPr>
                                  <w:spacing w:line="98" w:lineRule="exact"/>
                                  <w:rPr>
                                    <w:rFonts w:eastAsia="Arial" w:cs="Arial"/>
                                    <w:sz w:val="10"/>
                                    <w:szCs w:val="10"/>
                                  </w:rPr>
                                </w:pPr>
                                <w:r>
                                  <w:rPr>
                                    <w:b/>
                                    <w:spacing w:val="-1"/>
                                    <w:sz w:val="10"/>
                                  </w:rPr>
                                  <w:t>10th</w:t>
                                </w:r>
                                <w:r>
                                  <w:rPr>
                                    <w:b/>
                                    <w:spacing w:val="-9"/>
                                    <w:sz w:val="10"/>
                                  </w:rPr>
                                  <w:t xml:space="preserve"> </w:t>
                                </w:r>
                                <w:r>
                                  <w:rPr>
                                    <w:b/>
                                    <w:sz w:val="10"/>
                                  </w:rPr>
                                  <w:t>March</w:t>
                                </w:r>
                                <w:r>
                                  <w:rPr>
                                    <w:b/>
                                    <w:spacing w:val="-8"/>
                                    <w:sz w:val="10"/>
                                  </w:rPr>
                                  <w:t xml:space="preserve"> </w:t>
                                </w:r>
                                <w:r>
                                  <w:rPr>
                                    <w:b/>
                                    <w:spacing w:val="-1"/>
                                    <w:sz w:val="10"/>
                                  </w:rPr>
                                  <w:t>2009</w:t>
                                </w:r>
                              </w:p>
                            </w:txbxContent>
                          </wps:txbx>
                          <wps:bodyPr rot="0" vert="horz" wrap="square" lIns="0" tIns="0" rIns="0" bIns="0" anchor="t" anchorCtr="0" upright="1">
                            <a:noAutofit/>
                          </wps:bodyPr>
                        </wps:wsp>
                        <wps:wsp>
                          <wps:cNvPr id="18356" name="Text Box 8463"/>
                          <wps:cNvSpPr txBox="1">
                            <a:spLocks noChangeArrowheads="1"/>
                          </wps:cNvSpPr>
                          <wps:spPr bwMode="auto">
                            <a:xfrm>
                              <a:off x="5492" y="395"/>
                              <a:ext cx="297"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044FB4" w14:textId="77777777" w:rsidR="00CB53E4" w:rsidRDefault="00CB53E4" w:rsidP="0031675F">
                                <w:pPr>
                                  <w:spacing w:line="98" w:lineRule="exact"/>
                                  <w:rPr>
                                    <w:rFonts w:eastAsia="Arial" w:cs="Arial"/>
                                    <w:sz w:val="10"/>
                                    <w:szCs w:val="10"/>
                                  </w:rPr>
                                </w:pPr>
                                <w:r>
                                  <w:rPr>
                                    <w:spacing w:val="-1"/>
                                    <w:w w:val="95"/>
                                    <w:sz w:val="10"/>
                                  </w:rPr>
                                  <w:t>Blanks</w:t>
                                </w:r>
                              </w:p>
                            </w:txbxContent>
                          </wps:txbx>
                          <wps:bodyPr rot="0" vert="horz" wrap="square" lIns="0" tIns="0" rIns="0" bIns="0" anchor="t" anchorCtr="0" upright="1">
                            <a:noAutofit/>
                          </wps:bodyPr>
                        </wps:wsp>
                        <wps:wsp>
                          <wps:cNvPr id="18357" name="Text Box 8462"/>
                          <wps:cNvSpPr txBox="1">
                            <a:spLocks noChangeArrowheads="1"/>
                          </wps:cNvSpPr>
                          <wps:spPr bwMode="auto">
                            <a:xfrm>
                              <a:off x="2218" y="517"/>
                              <a:ext cx="853"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839A69" w14:textId="77777777" w:rsidR="00CB53E4" w:rsidRDefault="00CB53E4" w:rsidP="0031675F">
                                <w:pPr>
                                  <w:spacing w:line="101" w:lineRule="exact"/>
                                  <w:rPr>
                                    <w:rFonts w:eastAsia="Arial" w:cs="Arial"/>
                                    <w:sz w:val="10"/>
                                    <w:szCs w:val="10"/>
                                  </w:rPr>
                                </w:pPr>
                                <w:r>
                                  <w:rPr>
                                    <w:spacing w:val="-1"/>
                                    <w:sz w:val="10"/>
                                  </w:rPr>
                                  <w:t>Predicted</w:t>
                                </w:r>
                                <w:r>
                                  <w:rPr>
                                    <w:sz w:val="10"/>
                                  </w:rPr>
                                  <w:t xml:space="preserve">    </w:t>
                                </w:r>
                                <w:r>
                                  <w:rPr>
                                    <w:spacing w:val="20"/>
                                    <w:sz w:val="10"/>
                                  </w:rPr>
                                  <w:t xml:space="preserve"> </w:t>
                                </w:r>
                                <w:r>
                                  <w:rPr>
                                    <w:sz w:val="10"/>
                                  </w:rPr>
                                  <w:t>minus</w:t>
                                </w:r>
                              </w:p>
                              <w:p w14:paraId="3EC7940C" w14:textId="77777777" w:rsidR="00CB53E4" w:rsidRDefault="00CB53E4" w:rsidP="0031675F">
                                <w:pPr>
                                  <w:tabs>
                                    <w:tab w:val="left" w:pos="596"/>
                                  </w:tabs>
                                  <w:spacing w:before="7" w:line="112" w:lineRule="exact"/>
                                  <w:ind w:left="97"/>
                                  <w:rPr>
                                    <w:rFonts w:eastAsia="Arial" w:cs="Arial"/>
                                    <w:sz w:val="10"/>
                                    <w:szCs w:val="10"/>
                                  </w:rPr>
                                </w:pPr>
                                <w:r>
                                  <w:rPr>
                                    <w:spacing w:val="-1"/>
                                    <w:w w:val="95"/>
                                    <w:sz w:val="10"/>
                                  </w:rPr>
                                  <w:t>Blank</w:t>
                                </w:r>
                                <w:r>
                                  <w:rPr>
                                    <w:spacing w:val="-1"/>
                                    <w:w w:val="95"/>
                                    <w:sz w:val="10"/>
                                  </w:rPr>
                                  <w:tab/>
                                </w:r>
                                <w:r>
                                  <w:rPr>
                                    <w:spacing w:val="-1"/>
                                    <w:sz w:val="10"/>
                                  </w:rPr>
                                  <w:t>Blank</w:t>
                                </w:r>
                              </w:p>
                            </w:txbxContent>
                          </wps:txbx>
                          <wps:bodyPr rot="0" vert="horz" wrap="square" lIns="0" tIns="0" rIns="0" bIns="0" anchor="t" anchorCtr="0" upright="1">
                            <a:noAutofit/>
                          </wps:bodyPr>
                        </wps:wsp>
                        <wps:wsp>
                          <wps:cNvPr id="18358" name="Text Box 8461"/>
                          <wps:cNvSpPr txBox="1">
                            <a:spLocks noChangeArrowheads="1"/>
                          </wps:cNvSpPr>
                          <wps:spPr bwMode="auto">
                            <a:xfrm>
                              <a:off x="3218" y="517"/>
                              <a:ext cx="416" cy="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2FF622" w14:textId="77777777" w:rsidR="00CB53E4" w:rsidRDefault="00CB53E4" w:rsidP="0031675F">
                                <w:pPr>
                                  <w:spacing w:line="101" w:lineRule="exact"/>
                                  <w:ind w:left="97" w:hanging="98"/>
                                  <w:rPr>
                                    <w:rFonts w:eastAsia="Arial" w:cs="Arial"/>
                                    <w:sz w:val="10"/>
                                    <w:szCs w:val="10"/>
                                  </w:rPr>
                                </w:pPr>
                                <w:r>
                                  <w:rPr>
                                    <w:spacing w:val="-1"/>
                                    <w:w w:val="95"/>
                                    <w:sz w:val="10"/>
                                  </w:rPr>
                                  <w:t>Predicted</w:t>
                                </w:r>
                              </w:p>
                              <w:p w14:paraId="6A02342A" w14:textId="77777777" w:rsidR="00CB53E4" w:rsidRDefault="00CB53E4" w:rsidP="0031675F">
                                <w:pPr>
                                  <w:spacing w:before="7" w:line="254" w:lineRule="auto"/>
                                  <w:ind w:left="147" w:right="70" w:hanging="50"/>
                                  <w:rPr>
                                    <w:rFonts w:eastAsia="Arial" w:cs="Arial"/>
                                    <w:sz w:val="10"/>
                                    <w:szCs w:val="10"/>
                                  </w:rPr>
                                </w:pPr>
                                <w:r>
                                  <w:rPr>
                                    <w:spacing w:val="-1"/>
                                    <w:w w:val="95"/>
                                    <w:sz w:val="10"/>
                                  </w:rPr>
                                  <w:t>2ppm</w:t>
                                </w:r>
                                <w:r>
                                  <w:rPr>
                                    <w:spacing w:val="19"/>
                                    <w:w w:val="98"/>
                                    <w:sz w:val="10"/>
                                  </w:rPr>
                                  <w:t xml:space="preserve"> </w:t>
                                </w:r>
                                <w:r>
                                  <w:rPr>
                                    <w:spacing w:val="-1"/>
                                    <w:sz w:val="10"/>
                                  </w:rPr>
                                  <w:t>Std</w:t>
                                </w:r>
                              </w:p>
                            </w:txbxContent>
                          </wps:txbx>
                          <wps:bodyPr rot="0" vert="horz" wrap="square" lIns="0" tIns="0" rIns="0" bIns="0" anchor="t" anchorCtr="0" upright="1">
                            <a:noAutofit/>
                          </wps:bodyPr>
                        </wps:wsp>
                        <wps:wsp>
                          <wps:cNvPr id="18359" name="Text Box 8460"/>
                          <wps:cNvSpPr txBox="1">
                            <a:spLocks noChangeArrowheads="1"/>
                          </wps:cNvSpPr>
                          <wps:spPr bwMode="auto">
                            <a:xfrm>
                              <a:off x="3842" y="517"/>
                              <a:ext cx="19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89FD3C" w14:textId="77777777" w:rsidR="00CB53E4" w:rsidRDefault="00CB53E4" w:rsidP="0031675F">
                                <w:pPr>
                                  <w:spacing w:line="101" w:lineRule="exact"/>
                                  <w:ind w:firstLine="5"/>
                                  <w:rPr>
                                    <w:rFonts w:eastAsia="Arial" w:cs="Arial"/>
                                    <w:sz w:val="10"/>
                                    <w:szCs w:val="10"/>
                                  </w:rPr>
                                </w:pPr>
                                <w:r>
                                  <w:rPr>
                                    <w:sz w:val="10"/>
                                  </w:rPr>
                                  <w:t>Drift</w:t>
                                </w:r>
                              </w:p>
                              <w:p w14:paraId="49C4E8CC" w14:textId="77777777" w:rsidR="00CB53E4" w:rsidRDefault="00CB53E4" w:rsidP="0031675F">
                                <w:pPr>
                                  <w:spacing w:before="7" w:line="112" w:lineRule="exact"/>
                                  <w:rPr>
                                    <w:rFonts w:eastAsia="Arial" w:cs="Arial"/>
                                    <w:sz w:val="10"/>
                                    <w:szCs w:val="10"/>
                                  </w:rPr>
                                </w:pPr>
                                <w:r>
                                  <w:rPr>
                                    <w:w w:val="95"/>
                                    <w:sz w:val="10"/>
                                  </w:rPr>
                                  <w:t>Corr</w:t>
                                </w:r>
                              </w:p>
                            </w:txbxContent>
                          </wps:txbx>
                          <wps:bodyPr rot="0" vert="horz" wrap="square" lIns="0" tIns="0" rIns="0" bIns="0" anchor="t" anchorCtr="0" upright="1">
                            <a:noAutofit/>
                          </wps:bodyPr>
                        </wps:wsp>
                        <wps:wsp>
                          <wps:cNvPr id="18360" name="Text Box 8459"/>
                          <wps:cNvSpPr txBox="1">
                            <a:spLocks noChangeArrowheads="1"/>
                          </wps:cNvSpPr>
                          <wps:spPr bwMode="auto">
                            <a:xfrm>
                              <a:off x="4418" y="517"/>
                              <a:ext cx="416"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95B91F" w14:textId="77777777" w:rsidR="00CB53E4" w:rsidRDefault="00CB53E4" w:rsidP="0031675F">
                                <w:pPr>
                                  <w:spacing w:line="98" w:lineRule="exact"/>
                                  <w:rPr>
                                    <w:rFonts w:eastAsia="Arial" w:cs="Arial"/>
                                    <w:sz w:val="10"/>
                                    <w:szCs w:val="10"/>
                                  </w:rPr>
                                </w:pPr>
                                <w:r>
                                  <w:rPr>
                                    <w:spacing w:val="-1"/>
                                    <w:w w:val="95"/>
                                    <w:sz w:val="10"/>
                                  </w:rPr>
                                  <w:t>Resloped</w:t>
                                </w:r>
                              </w:p>
                            </w:txbxContent>
                          </wps:txbx>
                          <wps:bodyPr rot="0" vert="horz" wrap="square" lIns="0" tIns="0" rIns="0" bIns="0" anchor="t" anchorCtr="0" upright="1">
                            <a:noAutofit/>
                          </wps:bodyPr>
                        </wps:wsp>
                        <wps:wsp>
                          <wps:cNvPr id="18361" name="Text Box 8458"/>
                          <wps:cNvSpPr txBox="1">
                            <a:spLocks noChangeArrowheads="1"/>
                          </wps:cNvSpPr>
                          <wps:spPr bwMode="auto">
                            <a:xfrm>
                              <a:off x="533" y="1006"/>
                              <a:ext cx="1152" cy="14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6666C2" w14:textId="77777777" w:rsidR="00CB53E4" w:rsidRDefault="00CB53E4" w:rsidP="0031675F">
                                <w:pPr>
                                  <w:spacing w:line="101" w:lineRule="exact"/>
                                  <w:jc w:val="both"/>
                                  <w:rPr>
                                    <w:rFonts w:eastAsia="Arial" w:cs="Arial"/>
                                    <w:sz w:val="10"/>
                                    <w:szCs w:val="10"/>
                                  </w:rPr>
                                </w:pPr>
                                <w:r>
                                  <w:rPr>
                                    <w:spacing w:val="-1"/>
                                    <w:sz w:val="10"/>
                                  </w:rPr>
                                  <w:t>2ppm</w:t>
                                </w:r>
                                <w:r>
                                  <w:rPr>
                                    <w:spacing w:val="-7"/>
                                    <w:sz w:val="10"/>
                                  </w:rPr>
                                  <w:t xml:space="preserve"> </w:t>
                                </w:r>
                                <w:r>
                                  <w:rPr>
                                    <w:sz w:val="10"/>
                                  </w:rPr>
                                  <w:t>OC</w:t>
                                </w:r>
                              </w:p>
                              <w:p w14:paraId="1480ED22" w14:textId="77777777" w:rsidR="00CB53E4" w:rsidRDefault="00CB53E4" w:rsidP="0031675F">
                                <w:pPr>
                                  <w:spacing w:before="7" w:line="254" w:lineRule="auto"/>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r>
                                  <w:rPr>
                                    <w:spacing w:val="25"/>
                                    <w:w w:val="98"/>
                                    <w:sz w:val="10"/>
                                  </w:rPr>
                                  <w:t xml:space="preserve"> </w:t>
                                </w:r>
                                <w:r>
                                  <w:rPr>
                                    <w:spacing w:val="-1"/>
                                    <w:sz w:val="10"/>
                                  </w:rPr>
                                  <w:t>0ppm</w:t>
                                </w:r>
                                <w:r>
                                  <w:rPr>
                                    <w:spacing w:val="-7"/>
                                    <w:sz w:val="10"/>
                                  </w:rPr>
                                  <w:t xml:space="preserve"> </w:t>
                                </w:r>
                                <w:r>
                                  <w:rPr>
                                    <w:sz w:val="10"/>
                                  </w:rPr>
                                  <w:t>OC</w:t>
                                </w:r>
                              </w:p>
                              <w:p w14:paraId="3115DDDC" w14:textId="77777777" w:rsidR="00CB53E4" w:rsidRDefault="00CB53E4" w:rsidP="0031675F">
                                <w:pPr>
                                  <w:spacing w:line="254" w:lineRule="auto"/>
                                  <w:ind w:right="726"/>
                                  <w:jc w:val="both"/>
                                  <w:rPr>
                                    <w:rFonts w:eastAsia="Arial" w:cs="Arial"/>
                                    <w:sz w:val="10"/>
                                    <w:szCs w:val="10"/>
                                  </w:rPr>
                                </w:pPr>
                                <w:r>
                                  <w:rPr>
                                    <w:spacing w:val="-1"/>
                                    <w:sz w:val="10"/>
                                  </w:rPr>
                                  <w:t>0ppm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2EED16B7" w14:textId="77777777" w:rsidR="00CB53E4" w:rsidRDefault="00CB53E4" w:rsidP="0031675F">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wps:txbx>
                          <wps:bodyPr rot="0" vert="horz" wrap="square" lIns="0" tIns="0" rIns="0" bIns="0" anchor="t" anchorCtr="0" upright="1">
                            <a:noAutofit/>
                          </wps:bodyPr>
                        </wps:wsp>
                        <wps:wsp>
                          <wps:cNvPr id="18362" name="Text Box 8457"/>
                          <wps:cNvSpPr txBox="1">
                            <a:spLocks noChangeArrowheads="1"/>
                          </wps:cNvSpPr>
                          <wps:spPr bwMode="auto">
                            <a:xfrm>
                              <a:off x="533" y="6748"/>
                              <a:ext cx="1152" cy="10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6330E2" w14:textId="77777777" w:rsidR="00CB53E4" w:rsidRDefault="00CB53E4" w:rsidP="0031675F">
                                <w:pPr>
                                  <w:spacing w:line="101"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p w14:paraId="7E572E75" w14:textId="77777777" w:rsidR="00CB53E4" w:rsidRDefault="00CB53E4" w:rsidP="0031675F">
                                <w:pPr>
                                  <w:spacing w:before="7" w:line="254" w:lineRule="auto"/>
                                  <w:ind w:right="726"/>
                                  <w:jc w:val="both"/>
                                  <w:rPr>
                                    <w:rFonts w:eastAsia="Arial" w:cs="Arial"/>
                                    <w:sz w:val="10"/>
                                    <w:szCs w:val="10"/>
                                  </w:rPr>
                                </w:pPr>
                                <w:r>
                                  <w:rPr>
                                    <w:spacing w:val="-1"/>
                                    <w:sz w:val="10"/>
                                  </w:rPr>
                                  <w:t>2ppm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719E2EF8" w14:textId="77777777" w:rsidR="00CB53E4" w:rsidRDefault="00CB53E4" w:rsidP="0031675F">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wps:txbx>
                          <wps:bodyPr rot="0" vert="horz" wrap="square" lIns="0" tIns="0" rIns="0" bIns="0" anchor="t" anchorCtr="0" upright="1">
                            <a:noAutofit/>
                          </wps:bodyPr>
                        </wps:wsp>
                        <wps:wsp>
                          <wps:cNvPr id="18363" name="Text Box 8456"/>
                          <wps:cNvSpPr txBox="1">
                            <a:spLocks noChangeArrowheads="1"/>
                          </wps:cNvSpPr>
                          <wps:spPr bwMode="auto">
                            <a:xfrm>
                              <a:off x="1844" y="1006"/>
                              <a:ext cx="2207" cy="95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AA6CE5" w14:textId="77777777" w:rsidR="00CB53E4" w:rsidRDefault="00CB53E4" w:rsidP="0031675F">
                                <w:pPr>
                                  <w:tabs>
                                    <w:tab w:val="left" w:pos="499"/>
                                    <w:tab w:val="left" w:pos="999"/>
                                    <w:tab w:val="left" w:pos="1499"/>
                                    <w:tab w:val="left" w:pos="1998"/>
                                  </w:tabs>
                                  <w:spacing w:line="101" w:lineRule="exact"/>
                                  <w:rPr>
                                    <w:rFonts w:eastAsia="Arial" w:cs="Arial"/>
                                    <w:sz w:val="10"/>
                                    <w:szCs w:val="10"/>
                                  </w:rPr>
                                </w:pPr>
                                <w:r>
                                  <w:rPr>
                                    <w:spacing w:val="-1"/>
                                    <w:w w:val="95"/>
                                    <w:sz w:val="10"/>
                                  </w:rPr>
                                  <w:t>4.42</w:t>
                                </w:r>
                                <w:r>
                                  <w:rPr>
                                    <w:spacing w:val="-1"/>
                                    <w:w w:val="95"/>
                                    <w:sz w:val="10"/>
                                  </w:rPr>
                                  <w:tab/>
                                  <w:t>0.55</w:t>
                                </w:r>
                                <w:r>
                                  <w:rPr>
                                    <w:spacing w:val="-1"/>
                                    <w:w w:val="95"/>
                                    <w:sz w:val="10"/>
                                  </w:rPr>
                                  <w:tab/>
                                  <w:t>3.86</w:t>
                                </w:r>
                                <w:r>
                                  <w:rPr>
                                    <w:spacing w:val="-1"/>
                                    <w:w w:val="95"/>
                                    <w:sz w:val="10"/>
                                  </w:rPr>
                                  <w:tab/>
                                  <w:t>3.79</w:t>
                                </w:r>
                                <w:r>
                                  <w:rPr>
                                    <w:spacing w:val="-1"/>
                                    <w:w w:val="95"/>
                                    <w:sz w:val="10"/>
                                  </w:rPr>
                                  <w:tab/>
                                </w:r>
                                <w:r>
                                  <w:rPr>
                                    <w:spacing w:val="-1"/>
                                    <w:sz w:val="10"/>
                                  </w:rPr>
                                  <w:t>2.04</w:t>
                                </w:r>
                              </w:p>
                              <w:p w14:paraId="14205C52"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2.61</w:t>
                                </w:r>
                                <w:r>
                                  <w:rPr>
                                    <w:spacing w:val="-1"/>
                                    <w:w w:val="95"/>
                                    <w:sz w:val="10"/>
                                  </w:rPr>
                                  <w:tab/>
                                  <w:t>0.55</w:t>
                                </w:r>
                                <w:r>
                                  <w:rPr>
                                    <w:spacing w:val="-1"/>
                                    <w:w w:val="95"/>
                                    <w:sz w:val="10"/>
                                  </w:rPr>
                                  <w:tab/>
                                  <w:t>2.06</w:t>
                                </w:r>
                                <w:r>
                                  <w:rPr>
                                    <w:spacing w:val="-1"/>
                                    <w:w w:val="95"/>
                                    <w:sz w:val="10"/>
                                  </w:rPr>
                                  <w:tab/>
                                  <w:t>3.81</w:t>
                                </w:r>
                                <w:r>
                                  <w:rPr>
                                    <w:spacing w:val="-1"/>
                                    <w:w w:val="95"/>
                                    <w:sz w:val="10"/>
                                  </w:rPr>
                                  <w:tab/>
                                </w:r>
                                <w:r>
                                  <w:rPr>
                                    <w:spacing w:val="-1"/>
                                    <w:sz w:val="10"/>
                                  </w:rPr>
                                  <w:t>1.08</w:t>
                                </w:r>
                              </w:p>
                              <w:p w14:paraId="38826213"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0.64</w:t>
                                </w:r>
                                <w:r>
                                  <w:rPr>
                                    <w:spacing w:val="-1"/>
                                    <w:w w:val="95"/>
                                    <w:sz w:val="10"/>
                                  </w:rPr>
                                  <w:tab/>
                                  <w:t>0.54</w:t>
                                </w:r>
                                <w:r>
                                  <w:rPr>
                                    <w:spacing w:val="-1"/>
                                    <w:w w:val="95"/>
                                    <w:sz w:val="10"/>
                                  </w:rPr>
                                  <w:tab/>
                                  <w:t>0.09</w:t>
                                </w:r>
                                <w:r>
                                  <w:rPr>
                                    <w:spacing w:val="-1"/>
                                    <w:w w:val="95"/>
                                    <w:sz w:val="10"/>
                                  </w:rPr>
                                  <w:tab/>
                                  <w:t>3.82</w:t>
                                </w:r>
                                <w:r>
                                  <w:rPr>
                                    <w:spacing w:val="-1"/>
                                    <w:w w:val="95"/>
                                    <w:sz w:val="10"/>
                                  </w:rPr>
                                  <w:tab/>
                                </w:r>
                                <w:r>
                                  <w:rPr>
                                    <w:spacing w:val="-1"/>
                                    <w:sz w:val="10"/>
                                  </w:rPr>
                                  <w:t>0.05</w:t>
                                </w:r>
                              </w:p>
                              <w:p w14:paraId="7CF933C9" w14:textId="77777777" w:rsidR="00CB53E4" w:rsidRDefault="00CB53E4" w:rsidP="0031675F">
                                <w:pPr>
                                  <w:tabs>
                                    <w:tab w:val="left" w:pos="499"/>
                                    <w:tab w:val="left" w:pos="982"/>
                                    <w:tab w:val="left" w:pos="1499"/>
                                    <w:tab w:val="left" w:pos="1982"/>
                                  </w:tabs>
                                  <w:spacing w:before="7"/>
                                  <w:rPr>
                                    <w:rFonts w:eastAsia="Arial" w:cs="Arial"/>
                                    <w:sz w:val="10"/>
                                    <w:szCs w:val="10"/>
                                  </w:rPr>
                                </w:pPr>
                                <w:r>
                                  <w:rPr>
                                    <w:spacing w:val="-1"/>
                                    <w:w w:val="95"/>
                                    <w:sz w:val="10"/>
                                  </w:rPr>
                                  <w:t>0.43</w:t>
                                </w:r>
                                <w:r>
                                  <w:rPr>
                                    <w:spacing w:val="-1"/>
                                    <w:w w:val="95"/>
                                    <w:sz w:val="10"/>
                                  </w:rPr>
                                  <w:tab/>
                                  <w:t>0.54</w:t>
                                </w:r>
                                <w:r>
                                  <w:rPr>
                                    <w:spacing w:val="-1"/>
                                    <w:w w:val="95"/>
                                    <w:sz w:val="10"/>
                                  </w:rPr>
                                  <w:tab/>
                                  <w:t>-0.11</w:t>
                                </w:r>
                                <w:r>
                                  <w:rPr>
                                    <w:spacing w:val="-1"/>
                                    <w:w w:val="95"/>
                                    <w:sz w:val="10"/>
                                  </w:rPr>
                                  <w:tab/>
                                  <w:t>3.83</w:t>
                                </w:r>
                                <w:r>
                                  <w:rPr>
                                    <w:spacing w:val="-1"/>
                                    <w:w w:val="95"/>
                                    <w:sz w:val="10"/>
                                  </w:rPr>
                                  <w:tab/>
                                  <w:t>-0.06</w:t>
                                </w:r>
                              </w:p>
                              <w:p w14:paraId="7F44B1C2"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4.33</w:t>
                                </w:r>
                                <w:r>
                                  <w:rPr>
                                    <w:spacing w:val="-1"/>
                                    <w:w w:val="95"/>
                                    <w:sz w:val="10"/>
                                  </w:rPr>
                                  <w:tab/>
                                  <w:t>0.53</w:t>
                                </w:r>
                                <w:r>
                                  <w:rPr>
                                    <w:spacing w:val="-1"/>
                                    <w:w w:val="95"/>
                                    <w:sz w:val="10"/>
                                  </w:rPr>
                                  <w:tab/>
                                  <w:t>3.79</w:t>
                                </w:r>
                                <w:r>
                                  <w:rPr>
                                    <w:spacing w:val="-1"/>
                                    <w:w w:val="95"/>
                                    <w:sz w:val="10"/>
                                  </w:rPr>
                                  <w:tab/>
                                  <w:t>3.84</w:t>
                                </w:r>
                                <w:r>
                                  <w:rPr>
                                    <w:spacing w:val="-1"/>
                                    <w:w w:val="95"/>
                                    <w:sz w:val="10"/>
                                  </w:rPr>
                                  <w:tab/>
                                </w:r>
                                <w:r>
                                  <w:rPr>
                                    <w:spacing w:val="-1"/>
                                    <w:sz w:val="10"/>
                                  </w:rPr>
                                  <w:t>1.97</w:t>
                                </w:r>
                              </w:p>
                              <w:p w14:paraId="0964568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4.36</w:t>
                                </w:r>
                                <w:r>
                                  <w:rPr>
                                    <w:spacing w:val="-1"/>
                                    <w:w w:val="95"/>
                                    <w:sz w:val="10"/>
                                  </w:rPr>
                                  <w:tab/>
                                  <w:t>0.52</w:t>
                                </w:r>
                                <w:r>
                                  <w:rPr>
                                    <w:spacing w:val="-1"/>
                                    <w:w w:val="95"/>
                                    <w:sz w:val="10"/>
                                  </w:rPr>
                                  <w:tab/>
                                  <w:t>3.84</w:t>
                                </w:r>
                                <w:r>
                                  <w:rPr>
                                    <w:spacing w:val="-1"/>
                                    <w:w w:val="95"/>
                                    <w:sz w:val="10"/>
                                  </w:rPr>
                                  <w:tab/>
                                  <w:t>3.86</w:t>
                                </w:r>
                                <w:r>
                                  <w:rPr>
                                    <w:spacing w:val="-1"/>
                                    <w:w w:val="95"/>
                                    <w:sz w:val="10"/>
                                  </w:rPr>
                                  <w:tab/>
                                </w:r>
                                <w:r>
                                  <w:rPr>
                                    <w:spacing w:val="-1"/>
                                    <w:sz w:val="10"/>
                                  </w:rPr>
                                  <w:t>1.99</w:t>
                                </w:r>
                              </w:p>
                              <w:p w14:paraId="6958B7B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2.53</w:t>
                                </w:r>
                                <w:r>
                                  <w:rPr>
                                    <w:spacing w:val="-1"/>
                                    <w:w w:val="95"/>
                                    <w:sz w:val="10"/>
                                  </w:rPr>
                                  <w:tab/>
                                  <w:t>0.52</w:t>
                                </w:r>
                                <w:r>
                                  <w:rPr>
                                    <w:spacing w:val="-1"/>
                                    <w:w w:val="95"/>
                                    <w:sz w:val="10"/>
                                  </w:rPr>
                                  <w:tab/>
                                  <w:t>2.01</w:t>
                                </w:r>
                                <w:r>
                                  <w:rPr>
                                    <w:spacing w:val="-1"/>
                                    <w:w w:val="95"/>
                                    <w:sz w:val="10"/>
                                  </w:rPr>
                                  <w:tab/>
                                  <w:t>3.87</w:t>
                                </w:r>
                                <w:r>
                                  <w:rPr>
                                    <w:spacing w:val="-1"/>
                                    <w:w w:val="95"/>
                                    <w:sz w:val="10"/>
                                  </w:rPr>
                                  <w:tab/>
                                </w:r>
                                <w:r>
                                  <w:rPr>
                                    <w:spacing w:val="-1"/>
                                    <w:sz w:val="10"/>
                                  </w:rPr>
                                  <w:t>1.04</w:t>
                                </w:r>
                              </w:p>
                              <w:p w14:paraId="0B8D8BB4"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2.40</w:t>
                                </w:r>
                                <w:r>
                                  <w:rPr>
                                    <w:spacing w:val="-1"/>
                                    <w:w w:val="95"/>
                                    <w:sz w:val="10"/>
                                  </w:rPr>
                                  <w:tab/>
                                  <w:t>0.51</w:t>
                                </w:r>
                                <w:r>
                                  <w:rPr>
                                    <w:spacing w:val="-1"/>
                                    <w:w w:val="95"/>
                                    <w:sz w:val="10"/>
                                  </w:rPr>
                                  <w:tab/>
                                  <w:t>1.88</w:t>
                                </w:r>
                                <w:r>
                                  <w:rPr>
                                    <w:spacing w:val="-1"/>
                                    <w:w w:val="95"/>
                                    <w:sz w:val="10"/>
                                  </w:rPr>
                                  <w:tab/>
                                  <w:t>3.88</w:t>
                                </w:r>
                                <w:r>
                                  <w:rPr>
                                    <w:spacing w:val="-1"/>
                                    <w:w w:val="95"/>
                                    <w:sz w:val="10"/>
                                  </w:rPr>
                                  <w:tab/>
                                </w:r>
                                <w:r>
                                  <w:rPr>
                                    <w:spacing w:val="-1"/>
                                    <w:sz w:val="10"/>
                                  </w:rPr>
                                  <w:t>0.97</w:t>
                                </w:r>
                              </w:p>
                              <w:p w14:paraId="50353B2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2.56</w:t>
                                </w:r>
                                <w:r>
                                  <w:rPr>
                                    <w:spacing w:val="-1"/>
                                    <w:w w:val="95"/>
                                    <w:sz w:val="10"/>
                                  </w:rPr>
                                  <w:tab/>
                                  <w:t>0.51</w:t>
                                </w:r>
                                <w:r>
                                  <w:rPr>
                                    <w:spacing w:val="-1"/>
                                    <w:w w:val="95"/>
                                    <w:sz w:val="10"/>
                                  </w:rPr>
                                  <w:tab/>
                                  <w:t>2.06</w:t>
                                </w:r>
                                <w:r>
                                  <w:rPr>
                                    <w:spacing w:val="-1"/>
                                    <w:w w:val="95"/>
                                    <w:sz w:val="10"/>
                                  </w:rPr>
                                  <w:tab/>
                                  <w:t>3.89</w:t>
                                </w:r>
                                <w:r>
                                  <w:rPr>
                                    <w:spacing w:val="-1"/>
                                    <w:w w:val="95"/>
                                    <w:sz w:val="10"/>
                                  </w:rPr>
                                  <w:tab/>
                                </w:r>
                                <w:r>
                                  <w:rPr>
                                    <w:spacing w:val="-1"/>
                                    <w:sz w:val="10"/>
                                  </w:rPr>
                                  <w:t>1.06</w:t>
                                </w:r>
                              </w:p>
                              <w:p w14:paraId="252B1AF1"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0.70</w:t>
                                </w:r>
                                <w:r>
                                  <w:rPr>
                                    <w:spacing w:val="-1"/>
                                    <w:w w:val="95"/>
                                    <w:sz w:val="10"/>
                                  </w:rPr>
                                  <w:tab/>
                                  <w:t>0.50</w:t>
                                </w:r>
                                <w:r>
                                  <w:rPr>
                                    <w:spacing w:val="-1"/>
                                    <w:w w:val="95"/>
                                    <w:sz w:val="10"/>
                                  </w:rPr>
                                  <w:tab/>
                                  <w:t>0.20</w:t>
                                </w:r>
                                <w:r>
                                  <w:rPr>
                                    <w:spacing w:val="-1"/>
                                    <w:w w:val="95"/>
                                    <w:sz w:val="10"/>
                                  </w:rPr>
                                  <w:tab/>
                                  <w:t>3.90</w:t>
                                </w:r>
                                <w:r>
                                  <w:rPr>
                                    <w:spacing w:val="-1"/>
                                    <w:w w:val="95"/>
                                    <w:sz w:val="10"/>
                                  </w:rPr>
                                  <w:tab/>
                                </w:r>
                                <w:r>
                                  <w:rPr>
                                    <w:spacing w:val="-1"/>
                                    <w:sz w:val="10"/>
                                  </w:rPr>
                                  <w:t>0.10</w:t>
                                </w:r>
                              </w:p>
                              <w:p w14:paraId="01B545E1" w14:textId="77777777" w:rsidR="00CB53E4" w:rsidRDefault="00CB53E4" w:rsidP="0031675F">
                                <w:pPr>
                                  <w:tabs>
                                    <w:tab w:val="left" w:pos="499"/>
                                    <w:tab w:val="left" w:pos="982"/>
                                    <w:tab w:val="left" w:pos="1499"/>
                                    <w:tab w:val="left" w:pos="1982"/>
                                  </w:tabs>
                                  <w:spacing w:before="7"/>
                                  <w:rPr>
                                    <w:rFonts w:eastAsia="Arial" w:cs="Arial"/>
                                    <w:sz w:val="10"/>
                                    <w:szCs w:val="10"/>
                                  </w:rPr>
                                </w:pPr>
                                <w:r>
                                  <w:rPr>
                                    <w:spacing w:val="-1"/>
                                    <w:w w:val="95"/>
                                    <w:sz w:val="10"/>
                                  </w:rPr>
                                  <w:t>0.32</w:t>
                                </w:r>
                                <w:r>
                                  <w:rPr>
                                    <w:spacing w:val="-1"/>
                                    <w:w w:val="95"/>
                                    <w:sz w:val="10"/>
                                  </w:rPr>
                                  <w:tab/>
                                  <w:t>0.50</w:t>
                                </w:r>
                                <w:r>
                                  <w:rPr>
                                    <w:spacing w:val="-1"/>
                                    <w:w w:val="95"/>
                                    <w:sz w:val="10"/>
                                  </w:rPr>
                                  <w:tab/>
                                  <w:t>-0.17</w:t>
                                </w:r>
                                <w:r>
                                  <w:rPr>
                                    <w:spacing w:val="-1"/>
                                    <w:w w:val="95"/>
                                    <w:sz w:val="10"/>
                                  </w:rPr>
                                  <w:tab/>
                                  <w:t>3.91</w:t>
                                </w:r>
                                <w:r>
                                  <w:rPr>
                                    <w:spacing w:val="-1"/>
                                    <w:w w:val="95"/>
                                    <w:sz w:val="10"/>
                                  </w:rPr>
                                  <w:tab/>
                                  <w:t>-0.09</w:t>
                                </w:r>
                              </w:p>
                              <w:p w14:paraId="2246704D"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2.63</w:t>
                                </w:r>
                                <w:r>
                                  <w:rPr>
                                    <w:spacing w:val="-1"/>
                                    <w:w w:val="95"/>
                                    <w:sz w:val="10"/>
                                  </w:rPr>
                                  <w:tab/>
                                  <w:t>0.49</w:t>
                                </w:r>
                                <w:r>
                                  <w:rPr>
                                    <w:spacing w:val="-1"/>
                                    <w:w w:val="95"/>
                                    <w:sz w:val="10"/>
                                  </w:rPr>
                                  <w:tab/>
                                  <w:t>2.14</w:t>
                                </w:r>
                                <w:r>
                                  <w:rPr>
                                    <w:spacing w:val="-1"/>
                                    <w:w w:val="95"/>
                                    <w:sz w:val="10"/>
                                  </w:rPr>
                                  <w:tab/>
                                  <w:t>3.92</w:t>
                                </w:r>
                                <w:r>
                                  <w:rPr>
                                    <w:spacing w:val="-1"/>
                                    <w:w w:val="95"/>
                                    <w:sz w:val="10"/>
                                  </w:rPr>
                                  <w:tab/>
                                </w:r>
                                <w:r>
                                  <w:rPr>
                                    <w:spacing w:val="-1"/>
                                    <w:sz w:val="10"/>
                                  </w:rPr>
                                  <w:t>1.09</w:t>
                                </w:r>
                              </w:p>
                              <w:p w14:paraId="034F1039"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0.49</w:t>
                                </w:r>
                                <w:r>
                                  <w:rPr>
                                    <w:spacing w:val="-1"/>
                                    <w:w w:val="95"/>
                                    <w:sz w:val="10"/>
                                  </w:rPr>
                                  <w:tab/>
                                  <w:t>1.66</w:t>
                                </w:r>
                                <w:r>
                                  <w:rPr>
                                    <w:spacing w:val="-1"/>
                                    <w:w w:val="95"/>
                                    <w:sz w:val="10"/>
                                  </w:rPr>
                                  <w:tab/>
                                  <w:t>3.92</w:t>
                                </w:r>
                                <w:r>
                                  <w:rPr>
                                    <w:spacing w:val="-1"/>
                                    <w:w w:val="95"/>
                                    <w:sz w:val="10"/>
                                  </w:rPr>
                                  <w:tab/>
                                </w:r>
                                <w:r>
                                  <w:rPr>
                                    <w:spacing w:val="-1"/>
                                    <w:sz w:val="10"/>
                                  </w:rPr>
                                  <w:t>0.84</w:t>
                                </w:r>
                              </w:p>
                              <w:p w14:paraId="0B2E0173"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2.02</w:t>
                                </w:r>
                                <w:r>
                                  <w:rPr>
                                    <w:spacing w:val="-1"/>
                                    <w:w w:val="95"/>
                                    <w:sz w:val="10"/>
                                  </w:rPr>
                                  <w:tab/>
                                  <w:t>0.48</w:t>
                                </w:r>
                                <w:r>
                                  <w:rPr>
                                    <w:spacing w:val="-1"/>
                                    <w:w w:val="95"/>
                                    <w:sz w:val="10"/>
                                  </w:rPr>
                                  <w:tab/>
                                  <w:t>1.54</w:t>
                                </w:r>
                                <w:r>
                                  <w:rPr>
                                    <w:spacing w:val="-1"/>
                                    <w:w w:val="95"/>
                                    <w:sz w:val="10"/>
                                  </w:rPr>
                                  <w:tab/>
                                  <w:t>3.93</w:t>
                                </w:r>
                                <w:r>
                                  <w:rPr>
                                    <w:spacing w:val="-1"/>
                                    <w:w w:val="95"/>
                                    <w:sz w:val="10"/>
                                  </w:rPr>
                                  <w:tab/>
                                </w:r>
                                <w:r>
                                  <w:rPr>
                                    <w:spacing w:val="-1"/>
                                    <w:sz w:val="10"/>
                                  </w:rPr>
                                  <w:t>0.78</w:t>
                                </w:r>
                              </w:p>
                              <w:p w14:paraId="7EFA48B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2.19</w:t>
                                </w:r>
                                <w:r>
                                  <w:rPr>
                                    <w:spacing w:val="-1"/>
                                    <w:w w:val="95"/>
                                    <w:sz w:val="10"/>
                                  </w:rPr>
                                  <w:tab/>
                                  <w:t>0.48</w:t>
                                </w:r>
                                <w:r>
                                  <w:rPr>
                                    <w:spacing w:val="-1"/>
                                    <w:w w:val="95"/>
                                    <w:sz w:val="10"/>
                                  </w:rPr>
                                  <w:tab/>
                                  <w:t>1.71</w:t>
                                </w:r>
                                <w:r>
                                  <w:rPr>
                                    <w:spacing w:val="-1"/>
                                    <w:w w:val="95"/>
                                    <w:sz w:val="10"/>
                                  </w:rPr>
                                  <w:tab/>
                                  <w:t>3.94</w:t>
                                </w:r>
                                <w:r>
                                  <w:rPr>
                                    <w:spacing w:val="-1"/>
                                    <w:w w:val="95"/>
                                    <w:sz w:val="10"/>
                                  </w:rPr>
                                  <w:tab/>
                                </w:r>
                                <w:r>
                                  <w:rPr>
                                    <w:spacing w:val="-1"/>
                                    <w:sz w:val="10"/>
                                  </w:rPr>
                                  <w:t>0.87</w:t>
                                </w:r>
                              </w:p>
                              <w:p w14:paraId="62C5285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0.47</w:t>
                                </w:r>
                                <w:r>
                                  <w:rPr>
                                    <w:spacing w:val="-1"/>
                                    <w:w w:val="95"/>
                                    <w:sz w:val="10"/>
                                  </w:rPr>
                                  <w:tab/>
                                  <w:t>1.67</w:t>
                                </w:r>
                                <w:r>
                                  <w:rPr>
                                    <w:spacing w:val="-1"/>
                                    <w:w w:val="95"/>
                                    <w:sz w:val="10"/>
                                  </w:rPr>
                                  <w:tab/>
                                  <w:t>3.95</w:t>
                                </w:r>
                                <w:r>
                                  <w:rPr>
                                    <w:spacing w:val="-1"/>
                                    <w:w w:val="95"/>
                                    <w:sz w:val="10"/>
                                  </w:rPr>
                                  <w:tab/>
                                </w:r>
                                <w:r>
                                  <w:rPr>
                                    <w:spacing w:val="-1"/>
                                    <w:sz w:val="10"/>
                                  </w:rPr>
                                  <w:t>0.85</w:t>
                                </w:r>
                              </w:p>
                              <w:p w14:paraId="40AA147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2.66</w:t>
                                </w:r>
                                <w:r>
                                  <w:rPr>
                                    <w:spacing w:val="-1"/>
                                    <w:w w:val="95"/>
                                    <w:sz w:val="10"/>
                                  </w:rPr>
                                  <w:tab/>
                                  <w:t>0.47</w:t>
                                </w:r>
                                <w:r>
                                  <w:rPr>
                                    <w:spacing w:val="-1"/>
                                    <w:w w:val="95"/>
                                    <w:sz w:val="10"/>
                                  </w:rPr>
                                  <w:tab/>
                                  <w:t>2.19</w:t>
                                </w:r>
                                <w:r>
                                  <w:rPr>
                                    <w:spacing w:val="-1"/>
                                    <w:w w:val="95"/>
                                    <w:sz w:val="10"/>
                                  </w:rPr>
                                  <w:tab/>
                                  <w:t>3.95</w:t>
                                </w:r>
                                <w:r>
                                  <w:rPr>
                                    <w:spacing w:val="-1"/>
                                    <w:w w:val="95"/>
                                    <w:sz w:val="10"/>
                                  </w:rPr>
                                  <w:tab/>
                                </w:r>
                                <w:r>
                                  <w:rPr>
                                    <w:spacing w:val="-1"/>
                                    <w:sz w:val="10"/>
                                  </w:rPr>
                                  <w:t>1.11</w:t>
                                </w:r>
                              </w:p>
                              <w:p w14:paraId="57E0A253"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2.65</w:t>
                                </w:r>
                                <w:r>
                                  <w:rPr>
                                    <w:spacing w:val="-1"/>
                                    <w:w w:val="95"/>
                                    <w:sz w:val="10"/>
                                  </w:rPr>
                                  <w:tab/>
                                  <w:t>0.46</w:t>
                                </w:r>
                                <w:r>
                                  <w:rPr>
                                    <w:spacing w:val="-1"/>
                                    <w:w w:val="95"/>
                                    <w:sz w:val="10"/>
                                  </w:rPr>
                                  <w:tab/>
                                  <w:t>2.18</w:t>
                                </w:r>
                                <w:r>
                                  <w:rPr>
                                    <w:spacing w:val="-1"/>
                                    <w:w w:val="95"/>
                                    <w:sz w:val="10"/>
                                  </w:rPr>
                                  <w:tab/>
                                  <w:t>3.96</w:t>
                                </w:r>
                                <w:r>
                                  <w:rPr>
                                    <w:spacing w:val="-1"/>
                                    <w:w w:val="95"/>
                                    <w:sz w:val="10"/>
                                  </w:rPr>
                                  <w:tab/>
                                </w:r>
                                <w:r>
                                  <w:rPr>
                                    <w:spacing w:val="-1"/>
                                    <w:sz w:val="10"/>
                                  </w:rPr>
                                  <w:t>1.10</w:t>
                                </w:r>
                              </w:p>
                              <w:p w14:paraId="5FC03CB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2.07</w:t>
                                </w:r>
                                <w:r>
                                  <w:rPr>
                                    <w:spacing w:val="-1"/>
                                    <w:w w:val="95"/>
                                    <w:sz w:val="10"/>
                                  </w:rPr>
                                  <w:tab/>
                                  <w:t>0.46</w:t>
                                </w:r>
                                <w:r>
                                  <w:rPr>
                                    <w:spacing w:val="-1"/>
                                    <w:w w:val="95"/>
                                    <w:sz w:val="10"/>
                                  </w:rPr>
                                  <w:tab/>
                                  <w:t>1.61</w:t>
                                </w:r>
                                <w:r>
                                  <w:rPr>
                                    <w:spacing w:val="-1"/>
                                    <w:w w:val="95"/>
                                    <w:sz w:val="10"/>
                                  </w:rPr>
                                  <w:tab/>
                                  <w:t>3.97</w:t>
                                </w:r>
                                <w:r>
                                  <w:rPr>
                                    <w:spacing w:val="-1"/>
                                    <w:w w:val="95"/>
                                    <w:sz w:val="10"/>
                                  </w:rPr>
                                  <w:tab/>
                                </w:r>
                                <w:r>
                                  <w:rPr>
                                    <w:spacing w:val="-1"/>
                                    <w:sz w:val="10"/>
                                  </w:rPr>
                                  <w:t>0.81</w:t>
                                </w:r>
                              </w:p>
                              <w:p w14:paraId="6CE62E44"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2.08</w:t>
                                </w:r>
                                <w:r>
                                  <w:rPr>
                                    <w:spacing w:val="-1"/>
                                    <w:w w:val="95"/>
                                    <w:sz w:val="10"/>
                                  </w:rPr>
                                  <w:tab/>
                                  <w:t>0.45</w:t>
                                </w:r>
                                <w:r>
                                  <w:rPr>
                                    <w:spacing w:val="-1"/>
                                    <w:w w:val="95"/>
                                    <w:sz w:val="10"/>
                                  </w:rPr>
                                  <w:tab/>
                                  <w:t>1.62</w:t>
                                </w:r>
                                <w:r>
                                  <w:rPr>
                                    <w:spacing w:val="-1"/>
                                    <w:w w:val="95"/>
                                    <w:sz w:val="10"/>
                                  </w:rPr>
                                  <w:tab/>
                                  <w:t>3.97</w:t>
                                </w:r>
                                <w:r>
                                  <w:rPr>
                                    <w:spacing w:val="-1"/>
                                    <w:w w:val="95"/>
                                    <w:sz w:val="10"/>
                                  </w:rPr>
                                  <w:tab/>
                                </w:r>
                                <w:r>
                                  <w:rPr>
                                    <w:spacing w:val="-1"/>
                                    <w:sz w:val="10"/>
                                  </w:rPr>
                                  <w:t>0.82</w:t>
                                </w:r>
                              </w:p>
                              <w:p w14:paraId="5589D539"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2.30</w:t>
                                </w:r>
                                <w:r>
                                  <w:rPr>
                                    <w:spacing w:val="-1"/>
                                    <w:w w:val="95"/>
                                    <w:sz w:val="10"/>
                                  </w:rPr>
                                  <w:tab/>
                                  <w:t>0.45</w:t>
                                </w:r>
                                <w:r>
                                  <w:rPr>
                                    <w:spacing w:val="-1"/>
                                    <w:w w:val="95"/>
                                    <w:sz w:val="10"/>
                                  </w:rPr>
                                  <w:tab/>
                                  <w:t>1.85</w:t>
                                </w:r>
                                <w:r>
                                  <w:rPr>
                                    <w:spacing w:val="-1"/>
                                    <w:w w:val="95"/>
                                    <w:sz w:val="10"/>
                                  </w:rPr>
                                  <w:tab/>
                                  <w:t>3.98</w:t>
                                </w:r>
                                <w:r>
                                  <w:rPr>
                                    <w:spacing w:val="-1"/>
                                    <w:w w:val="95"/>
                                    <w:sz w:val="10"/>
                                  </w:rPr>
                                  <w:tab/>
                                </w:r>
                                <w:r>
                                  <w:rPr>
                                    <w:spacing w:val="-1"/>
                                    <w:sz w:val="10"/>
                                  </w:rPr>
                                  <w:t>0.93</w:t>
                                </w:r>
                              </w:p>
                              <w:p w14:paraId="23C5C28D"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2.27</w:t>
                                </w:r>
                                <w:r>
                                  <w:rPr>
                                    <w:spacing w:val="-1"/>
                                    <w:w w:val="95"/>
                                    <w:sz w:val="10"/>
                                  </w:rPr>
                                  <w:tab/>
                                  <w:t>0.45</w:t>
                                </w:r>
                                <w:r>
                                  <w:rPr>
                                    <w:spacing w:val="-1"/>
                                    <w:w w:val="95"/>
                                    <w:sz w:val="10"/>
                                  </w:rPr>
                                  <w:tab/>
                                  <w:t>1.82</w:t>
                                </w:r>
                                <w:r>
                                  <w:rPr>
                                    <w:spacing w:val="-1"/>
                                    <w:w w:val="95"/>
                                    <w:sz w:val="10"/>
                                  </w:rPr>
                                  <w:tab/>
                                  <w:t>3.98</w:t>
                                </w:r>
                                <w:r>
                                  <w:rPr>
                                    <w:spacing w:val="-1"/>
                                    <w:w w:val="95"/>
                                    <w:sz w:val="10"/>
                                  </w:rPr>
                                  <w:tab/>
                                </w:r>
                                <w:r>
                                  <w:rPr>
                                    <w:spacing w:val="-1"/>
                                    <w:sz w:val="10"/>
                                  </w:rPr>
                                  <w:t>0.91</w:t>
                                </w:r>
                              </w:p>
                              <w:p w14:paraId="74C562B4"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2.69</w:t>
                                </w:r>
                                <w:r>
                                  <w:rPr>
                                    <w:spacing w:val="-1"/>
                                    <w:w w:val="95"/>
                                    <w:sz w:val="10"/>
                                  </w:rPr>
                                  <w:tab/>
                                  <w:t>0.44</w:t>
                                </w:r>
                                <w:r>
                                  <w:rPr>
                                    <w:spacing w:val="-1"/>
                                    <w:w w:val="95"/>
                                    <w:sz w:val="10"/>
                                  </w:rPr>
                                  <w:tab/>
                                  <w:t>2.25</w:t>
                                </w:r>
                                <w:r>
                                  <w:rPr>
                                    <w:spacing w:val="-1"/>
                                    <w:w w:val="95"/>
                                    <w:sz w:val="10"/>
                                  </w:rPr>
                                  <w:tab/>
                                  <w:t>3.99</w:t>
                                </w:r>
                                <w:r>
                                  <w:rPr>
                                    <w:spacing w:val="-1"/>
                                    <w:w w:val="95"/>
                                    <w:sz w:val="10"/>
                                  </w:rPr>
                                  <w:tab/>
                                </w:r>
                                <w:r>
                                  <w:rPr>
                                    <w:spacing w:val="-1"/>
                                    <w:sz w:val="10"/>
                                  </w:rPr>
                                  <w:t>1.13</w:t>
                                </w:r>
                              </w:p>
                              <w:p w14:paraId="5368782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2.88</w:t>
                                </w:r>
                                <w:r>
                                  <w:rPr>
                                    <w:spacing w:val="-1"/>
                                    <w:w w:val="95"/>
                                    <w:sz w:val="10"/>
                                  </w:rPr>
                                  <w:tab/>
                                  <w:t>0.44</w:t>
                                </w:r>
                                <w:r>
                                  <w:rPr>
                                    <w:spacing w:val="-1"/>
                                    <w:w w:val="95"/>
                                    <w:sz w:val="10"/>
                                  </w:rPr>
                                  <w:tab/>
                                  <w:t>2.45</w:t>
                                </w:r>
                                <w:r>
                                  <w:rPr>
                                    <w:spacing w:val="-1"/>
                                    <w:w w:val="95"/>
                                    <w:sz w:val="10"/>
                                  </w:rPr>
                                  <w:tab/>
                                  <w:t>3.99</w:t>
                                </w:r>
                                <w:r>
                                  <w:rPr>
                                    <w:spacing w:val="-1"/>
                                    <w:w w:val="95"/>
                                    <w:sz w:val="10"/>
                                  </w:rPr>
                                  <w:tab/>
                                </w:r>
                                <w:r>
                                  <w:rPr>
                                    <w:spacing w:val="-1"/>
                                    <w:sz w:val="10"/>
                                  </w:rPr>
                                  <w:t>1.23</w:t>
                                </w:r>
                              </w:p>
                              <w:p w14:paraId="69D6EF4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2.65</w:t>
                                </w:r>
                                <w:r>
                                  <w:rPr>
                                    <w:spacing w:val="-1"/>
                                    <w:w w:val="95"/>
                                    <w:sz w:val="10"/>
                                  </w:rPr>
                                  <w:tab/>
                                  <w:t>0.43</w:t>
                                </w:r>
                                <w:r>
                                  <w:rPr>
                                    <w:spacing w:val="-1"/>
                                    <w:w w:val="95"/>
                                    <w:sz w:val="10"/>
                                  </w:rPr>
                                  <w:tab/>
                                  <w:t>2.21</w:t>
                                </w:r>
                                <w:r>
                                  <w:rPr>
                                    <w:spacing w:val="-1"/>
                                    <w:w w:val="95"/>
                                    <w:sz w:val="10"/>
                                  </w:rPr>
                                  <w:tab/>
                                  <w:t>4.00</w:t>
                                </w:r>
                                <w:r>
                                  <w:rPr>
                                    <w:spacing w:val="-1"/>
                                    <w:w w:val="95"/>
                                    <w:sz w:val="10"/>
                                  </w:rPr>
                                  <w:tab/>
                                </w:r>
                                <w:r>
                                  <w:rPr>
                                    <w:spacing w:val="-1"/>
                                    <w:sz w:val="10"/>
                                  </w:rPr>
                                  <w:t>1.11</w:t>
                                </w:r>
                              </w:p>
                              <w:p w14:paraId="75A7231A"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4.44</w:t>
                                </w:r>
                                <w:r>
                                  <w:rPr>
                                    <w:spacing w:val="-1"/>
                                    <w:w w:val="95"/>
                                    <w:sz w:val="10"/>
                                  </w:rPr>
                                  <w:tab/>
                                  <w:t>0.43</w:t>
                                </w:r>
                                <w:r>
                                  <w:rPr>
                                    <w:spacing w:val="-1"/>
                                    <w:w w:val="95"/>
                                    <w:sz w:val="10"/>
                                  </w:rPr>
                                  <w:tab/>
                                  <w:t>4.01</w:t>
                                </w:r>
                                <w:r>
                                  <w:rPr>
                                    <w:spacing w:val="-1"/>
                                    <w:w w:val="95"/>
                                    <w:sz w:val="10"/>
                                  </w:rPr>
                                  <w:tab/>
                                  <w:t>4.00</w:t>
                                </w:r>
                                <w:r>
                                  <w:rPr>
                                    <w:spacing w:val="-1"/>
                                    <w:w w:val="95"/>
                                    <w:sz w:val="10"/>
                                  </w:rPr>
                                  <w:tab/>
                                </w:r>
                                <w:r>
                                  <w:rPr>
                                    <w:spacing w:val="-1"/>
                                    <w:sz w:val="10"/>
                                  </w:rPr>
                                  <w:t>2.01</w:t>
                                </w:r>
                              </w:p>
                              <w:p w14:paraId="27FA9D40"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4.39</w:t>
                                </w:r>
                                <w:r>
                                  <w:rPr>
                                    <w:spacing w:val="-1"/>
                                    <w:w w:val="95"/>
                                    <w:sz w:val="10"/>
                                  </w:rPr>
                                  <w:tab/>
                                  <w:t>0.43</w:t>
                                </w:r>
                                <w:r>
                                  <w:rPr>
                                    <w:spacing w:val="-1"/>
                                    <w:w w:val="95"/>
                                    <w:sz w:val="10"/>
                                  </w:rPr>
                                  <w:tab/>
                                  <w:t>3.96</w:t>
                                </w:r>
                                <w:r>
                                  <w:rPr>
                                    <w:spacing w:val="-1"/>
                                    <w:w w:val="95"/>
                                    <w:sz w:val="10"/>
                                  </w:rPr>
                                  <w:tab/>
                                  <w:t>4.00</w:t>
                                </w:r>
                                <w:r>
                                  <w:rPr>
                                    <w:spacing w:val="-1"/>
                                    <w:w w:val="95"/>
                                    <w:sz w:val="10"/>
                                  </w:rPr>
                                  <w:tab/>
                                </w:r>
                                <w:r>
                                  <w:rPr>
                                    <w:spacing w:val="-1"/>
                                    <w:sz w:val="10"/>
                                  </w:rPr>
                                  <w:t>1.98</w:t>
                                </w:r>
                              </w:p>
                              <w:p w14:paraId="546F5D04"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2.66</w:t>
                                </w:r>
                                <w:r>
                                  <w:rPr>
                                    <w:spacing w:val="-1"/>
                                    <w:w w:val="95"/>
                                    <w:sz w:val="10"/>
                                  </w:rPr>
                                  <w:tab/>
                                  <w:t>0.42</w:t>
                                </w:r>
                                <w:r>
                                  <w:rPr>
                                    <w:spacing w:val="-1"/>
                                    <w:w w:val="95"/>
                                    <w:sz w:val="10"/>
                                  </w:rPr>
                                  <w:tab/>
                                  <w:t>2.23</w:t>
                                </w:r>
                                <w:r>
                                  <w:rPr>
                                    <w:spacing w:val="-1"/>
                                    <w:w w:val="95"/>
                                    <w:sz w:val="10"/>
                                  </w:rPr>
                                  <w:tab/>
                                  <w:t>4.00</w:t>
                                </w:r>
                                <w:r>
                                  <w:rPr>
                                    <w:spacing w:val="-1"/>
                                    <w:w w:val="95"/>
                                    <w:sz w:val="10"/>
                                  </w:rPr>
                                  <w:tab/>
                                </w:r>
                                <w:r>
                                  <w:rPr>
                                    <w:spacing w:val="-1"/>
                                    <w:sz w:val="10"/>
                                  </w:rPr>
                                  <w:t>1.12</w:t>
                                </w:r>
                              </w:p>
                              <w:p w14:paraId="4F504835"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2.49</w:t>
                                </w:r>
                                <w:r>
                                  <w:rPr>
                                    <w:spacing w:val="-1"/>
                                    <w:w w:val="95"/>
                                    <w:sz w:val="10"/>
                                  </w:rPr>
                                  <w:tab/>
                                  <w:t>0.42</w:t>
                                </w:r>
                                <w:r>
                                  <w:rPr>
                                    <w:spacing w:val="-1"/>
                                    <w:w w:val="95"/>
                                    <w:sz w:val="10"/>
                                  </w:rPr>
                                  <w:tab/>
                                  <w:t>2.07</w:t>
                                </w:r>
                                <w:r>
                                  <w:rPr>
                                    <w:spacing w:val="-1"/>
                                    <w:w w:val="95"/>
                                    <w:sz w:val="10"/>
                                  </w:rPr>
                                  <w:tab/>
                                  <w:t>4.01</w:t>
                                </w:r>
                                <w:r>
                                  <w:rPr>
                                    <w:spacing w:val="-1"/>
                                    <w:w w:val="95"/>
                                    <w:sz w:val="10"/>
                                  </w:rPr>
                                  <w:tab/>
                                </w:r>
                                <w:r>
                                  <w:rPr>
                                    <w:spacing w:val="-1"/>
                                    <w:sz w:val="10"/>
                                  </w:rPr>
                                  <w:t>1.03</w:t>
                                </w:r>
                              </w:p>
                              <w:p w14:paraId="55EEE65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2.32</w:t>
                                </w:r>
                                <w:r>
                                  <w:rPr>
                                    <w:spacing w:val="-1"/>
                                    <w:w w:val="95"/>
                                    <w:sz w:val="10"/>
                                  </w:rPr>
                                  <w:tab/>
                                  <w:t>0.42</w:t>
                                </w:r>
                                <w:r>
                                  <w:rPr>
                                    <w:spacing w:val="-1"/>
                                    <w:w w:val="95"/>
                                    <w:sz w:val="10"/>
                                  </w:rPr>
                                  <w:tab/>
                                  <w:t>1.90</w:t>
                                </w:r>
                                <w:r>
                                  <w:rPr>
                                    <w:spacing w:val="-1"/>
                                    <w:w w:val="95"/>
                                    <w:sz w:val="10"/>
                                  </w:rPr>
                                  <w:tab/>
                                  <w:t>4.01</w:t>
                                </w:r>
                                <w:r>
                                  <w:rPr>
                                    <w:spacing w:val="-1"/>
                                    <w:w w:val="95"/>
                                    <w:sz w:val="10"/>
                                  </w:rPr>
                                  <w:tab/>
                                </w:r>
                                <w:r>
                                  <w:rPr>
                                    <w:spacing w:val="-1"/>
                                    <w:sz w:val="10"/>
                                  </w:rPr>
                                  <w:t>0.95</w:t>
                                </w:r>
                              </w:p>
                              <w:p w14:paraId="49080760"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0.41</w:t>
                                </w:r>
                                <w:r>
                                  <w:rPr>
                                    <w:spacing w:val="-1"/>
                                    <w:w w:val="95"/>
                                    <w:sz w:val="10"/>
                                  </w:rPr>
                                  <w:tab/>
                                  <w:t>0.42</w:t>
                                </w:r>
                                <w:r>
                                  <w:rPr>
                                    <w:spacing w:val="-1"/>
                                    <w:w w:val="95"/>
                                    <w:sz w:val="10"/>
                                  </w:rPr>
                                  <w:tab/>
                                  <w:t>0.00</w:t>
                                </w:r>
                                <w:r>
                                  <w:rPr>
                                    <w:spacing w:val="-1"/>
                                    <w:w w:val="95"/>
                                    <w:sz w:val="10"/>
                                  </w:rPr>
                                  <w:tab/>
                                  <w:t>4.01</w:t>
                                </w:r>
                                <w:r>
                                  <w:rPr>
                                    <w:spacing w:val="-1"/>
                                    <w:w w:val="95"/>
                                    <w:sz w:val="10"/>
                                  </w:rPr>
                                  <w:tab/>
                                </w:r>
                                <w:r>
                                  <w:rPr>
                                    <w:spacing w:val="-1"/>
                                    <w:sz w:val="10"/>
                                  </w:rPr>
                                  <w:t>0.00</w:t>
                                </w:r>
                              </w:p>
                              <w:p w14:paraId="540FD14E" w14:textId="77777777" w:rsidR="00CB53E4" w:rsidRDefault="00CB53E4" w:rsidP="0031675F">
                                <w:pPr>
                                  <w:tabs>
                                    <w:tab w:val="left" w:pos="499"/>
                                    <w:tab w:val="left" w:pos="982"/>
                                    <w:tab w:val="left" w:pos="1499"/>
                                    <w:tab w:val="left" w:pos="1982"/>
                                  </w:tabs>
                                  <w:spacing w:before="7"/>
                                  <w:rPr>
                                    <w:rFonts w:eastAsia="Arial" w:cs="Arial"/>
                                    <w:sz w:val="10"/>
                                    <w:szCs w:val="10"/>
                                  </w:rPr>
                                </w:pPr>
                                <w:r>
                                  <w:rPr>
                                    <w:spacing w:val="-1"/>
                                    <w:w w:val="95"/>
                                    <w:sz w:val="10"/>
                                  </w:rPr>
                                  <w:t>0.36</w:t>
                                </w:r>
                                <w:r>
                                  <w:rPr>
                                    <w:spacing w:val="-1"/>
                                    <w:w w:val="95"/>
                                    <w:sz w:val="10"/>
                                  </w:rPr>
                                  <w:tab/>
                                  <w:t>0.41</w:t>
                                </w:r>
                                <w:r>
                                  <w:rPr>
                                    <w:spacing w:val="-1"/>
                                    <w:w w:val="95"/>
                                    <w:sz w:val="10"/>
                                  </w:rPr>
                                  <w:tab/>
                                  <w:t>-0.05</w:t>
                                </w:r>
                                <w:r>
                                  <w:rPr>
                                    <w:spacing w:val="-1"/>
                                    <w:w w:val="95"/>
                                    <w:sz w:val="10"/>
                                  </w:rPr>
                                  <w:tab/>
                                  <w:t>4.01</w:t>
                                </w:r>
                                <w:r>
                                  <w:rPr>
                                    <w:spacing w:val="-1"/>
                                    <w:w w:val="95"/>
                                    <w:sz w:val="10"/>
                                  </w:rPr>
                                  <w:tab/>
                                  <w:t>-0.02</w:t>
                                </w:r>
                              </w:p>
                              <w:p w14:paraId="7DDD7898"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2.55</w:t>
                                </w:r>
                                <w:r>
                                  <w:rPr>
                                    <w:spacing w:val="-1"/>
                                    <w:w w:val="95"/>
                                    <w:sz w:val="10"/>
                                  </w:rPr>
                                  <w:tab/>
                                  <w:t>0.41</w:t>
                                </w:r>
                                <w:r>
                                  <w:rPr>
                                    <w:spacing w:val="-1"/>
                                    <w:w w:val="95"/>
                                    <w:sz w:val="10"/>
                                  </w:rPr>
                                  <w:tab/>
                                  <w:t>2.14</w:t>
                                </w:r>
                                <w:r>
                                  <w:rPr>
                                    <w:spacing w:val="-1"/>
                                    <w:w w:val="95"/>
                                    <w:sz w:val="10"/>
                                  </w:rPr>
                                  <w:tab/>
                                  <w:t>4.01</w:t>
                                </w:r>
                                <w:r>
                                  <w:rPr>
                                    <w:spacing w:val="-1"/>
                                    <w:w w:val="95"/>
                                    <w:sz w:val="10"/>
                                  </w:rPr>
                                  <w:tab/>
                                </w:r>
                                <w:r>
                                  <w:rPr>
                                    <w:spacing w:val="-1"/>
                                    <w:sz w:val="10"/>
                                  </w:rPr>
                                  <w:t>1.07</w:t>
                                </w:r>
                              </w:p>
                              <w:p w14:paraId="34686890"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1.99</w:t>
                                </w:r>
                                <w:r>
                                  <w:rPr>
                                    <w:spacing w:val="-1"/>
                                    <w:w w:val="95"/>
                                    <w:sz w:val="10"/>
                                  </w:rPr>
                                  <w:tab/>
                                  <w:t>0.41</w:t>
                                </w:r>
                                <w:r>
                                  <w:rPr>
                                    <w:spacing w:val="-1"/>
                                    <w:w w:val="95"/>
                                    <w:sz w:val="10"/>
                                  </w:rPr>
                                  <w:tab/>
                                  <w:t>1.59</w:t>
                                </w:r>
                                <w:r>
                                  <w:rPr>
                                    <w:spacing w:val="-1"/>
                                    <w:w w:val="95"/>
                                    <w:sz w:val="10"/>
                                  </w:rPr>
                                  <w:tab/>
                                  <w:t>4.01</w:t>
                                </w:r>
                                <w:r>
                                  <w:rPr>
                                    <w:spacing w:val="-1"/>
                                    <w:w w:val="95"/>
                                    <w:sz w:val="10"/>
                                  </w:rPr>
                                  <w:tab/>
                                </w:r>
                                <w:r>
                                  <w:rPr>
                                    <w:spacing w:val="-1"/>
                                    <w:sz w:val="10"/>
                                  </w:rPr>
                                  <w:t>0.79</w:t>
                                </w:r>
                              </w:p>
                              <w:p w14:paraId="24803435"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2.07</w:t>
                                </w:r>
                                <w:r>
                                  <w:rPr>
                                    <w:spacing w:val="-1"/>
                                    <w:w w:val="95"/>
                                    <w:sz w:val="10"/>
                                  </w:rPr>
                                  <w:tab/>
                                  <w:t>0.40</w:t>
                                </w:r>
                                <w:r>
                                  <w:rPr>
                                    <w:spacing w:val="-1"/>
                                    <w:w w:val="95"/>
                                    <w:sz w:val="10"/>
                                  </w:rPr>
                                  <w:tab/>
                                  <w:t>1.66</w:t>
                                </w:r>
                                <w:r>
                                  <w:rPr>
                                    <w:spacing w:val="-1"/>
                                    <w:w w:val="95"/>
                                    <w:sz w:val="10"/>
                                  </w:rPr>
                                  <w:tab/>
                                  <w:t>4.01</w:t>
                                </w:r>
                                <w:r>
                                  <w:rPr>
                                    <w:spacing w:val="-1"/>
                                    <w:w w:val="95"/>
                                    <w:sz w:val="10"/>
                                  </w:rPr>
                                  <w:tab/>
                                </w:r>
                                <w:r>
                                  <w:rPr>
                                    <w:spacing w:val="-1"/>
                                    <w:sz w:val="10"/>
                                  </w:rPr>
                                  <w:t>0.83</w:t>
                                </w:r>
                              </w:p>
                              <w:p w14:paraId="655F8B33"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2.25</w:t>
                                </w:r>
                                <w:r>
                                  <w:rPr>
                                    <w:spacing w:val="-1"/>
                                    <w:w w:val="95"/>
                                    <w:sz w:val="10"/>
                                  </w:rPr>
                                  <w:tab/>
                                  <w:t>0.40</w:t>
                                </w:r>
                                <w:r>
                                  <w:rPr>
                                    <w:spacing w:val="-1"/>
                                    <w:w w:val="95"/>
                                    <w:sz w:val="10"/>
                                  </w:rPr>
                                  <w:tab/>
                                  <w:t>1.84</w:t>
                                </w:r>
                                <w:r>
                                  <w:rPr>
                                    <w:spacing w:val="-1"/>
                                    <w:w w:val="95"/>
                                    <w:sz w:val="10"/>
                                  </w:rPr>
                                  <w:tab/>
                                  <w:t>4.01</w:t>
                                </w:r>
                                <w:r>
                                  <w:rPr>
                                    <w:spacing w:val="-1"/>
                                    <w:w w:val="95"/>
                                    <w:sz w:val="10"/>
                                  </w:rPr>
                                  <w:tab/>
                                </w:r>
                                <w:r>
                                  <w:rPr>
                                    <w:spacing w:val="-1"/>
                                    <w:sz w:val="10"/>
                                  </w:rPr>
                                  <w:t>0.92</w:t>
                                </w:r>
                              </w:p>
                              <w:p w14:paraId="1D6C1B5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2.12</w:t>
                                </w:r>
                                <w:r>
                                  <w:rPr>
                                    <w:spacing w:val="-1"/>
                                    <w:w w:val="95"/>
                                    <w:sz w:val="10"/>
                                  </w:rPr>
                                  <w:tab/>
                                  <w:t>0.40</w:t>
                                </w:r>
                                <w:r>
                                  <w:rPr>
                                    <w:spacing w:val="-1"/>
                                    <w:w w:val="95"/>
                                    <w:sz w:val="10"/>
                                  </w:rPr>
                                  <w:tab/>
                                  <w:t>1.72</w:t>
                                </w:r>
                                <w:r>
                                  <w:rPr>
                                    <w:spacing w:val="-1"/>
                                    <w:w w:val="95"/>
                                    <w:sz w:val="10"/>
                                  </w:rPr>
                                  <w:tab/>
                                  <w:t>4.01</w:t>
                                </w:r>
                                <w:r>
                                  <w:rPr>
                                    <w:spacing w:val="-1"/>
                                    <w:w w:val="95"/>
                                    <w:sz w:val="10"/>
                                  </w:rPr>
                                  <w:tab/>
                                </w:r>
                                <w:r>
                                  <w:rPr>
                                    <w:spacing w:val="-1"/>
                                    <w:sz w:val="10"/>
                                  </w:rPr>
                                  <w:t>0.86</w:t>
                                </w:r>
                              </w:p>
                              <w:p w14:paraId="57619D1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3.69</w:t>
                                </w:r>
                                <w:r>
                                  <w:rPr>
                                    <w:spacing w:val="-1"/>
                                    <w:w w:val="95"/>
                                    <w:sz w:val="10"/>
                                  </w:rPr>
                                  <w:tab/>
                                  <w:t>0.40</w:t>
                                </w:r>
                                <w:r>
                                  <w:rPr>
                                    <w:spacing w:val="-1"/>
                                    <w:w w:val="95"/>
                                    <w:sz w:val="10"/>
                                  </w:rPr>
                                  <w:tab/>
                                  <w:t>3.29</w:t>
                                </w:r>
                                <w:r>
                                  <w:rPr>
                                    <w:spacing w:val="-1"/>
                                    <w:w w:val="95"/>
                                    <w:sz w:val="10"/>
                                  </w:rPr>
                                  <w:tab/>
                                  <w:t>4.00</w:t>
                                </w:r>
                                <w:r>
                                  <w:rPr>
                                    <w:spacing w:val="-1"/>
                                    <w:w w:val="95"/>
                                    <w:sz w:val="10"/>
                                  </w:rPr>
                                  <w:tab/>
                                </w:r>
                                <w:r>
                                  <w:rPr>
                                    <w:spacing w:val="-1"/>
                                    <w:sz w:val="10"/>
                                  </w:rPr>
                                  <w:t>1.64</w:t>
                                </w:r>
                              </w:p>
                              <w:p w14:paraId="56D455F1"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4.05</w:t>
                                </w:r>
                                <w:r>
                                  <w:rPr>
                                    <w:spacing w:val="-1"/>
                                    <w:w w:val="95"/>
                                    <w:sz w:val="10"/>
                                  </w:rPr>
                                  <w:tab/>
                                  <w:t>0.39</w:t>
                                </w:r>
                                <w:r>
                                  <w:rPr>
                                    <w:spacing w:val="-1"/>
                                    <w:w w:val="95"/>
                                    <w:sz w:val="10"/>
                                  </w:rPr>
                                  <w:tab/>
                                  <w:t>3.65</w:t>
                                </w:r>
                                <w:r>
                                  <w:rPr>
                                    <w:spacing w:val="-1"/>
                                    <w:w w:val="95"/>
                                    <w:sz w:val="10"/>
                                  </w:rPr>
                                  <w:tab/>
                                  <w:t>4.00</w:t>
                                </w:r>
                                <w:r>
                                  <w:rPr>
                                    <w:spacing w:val="-1"/>
                                    <w:w w:val="95"/>
                                    <w:sz w:val="10"/>
                                  </w:rPr>
                                  <w:tab/>
                                </w:r>
                                <w:r>
                                  <w:rPr>
                                    <w:spacing w:val="-1"/>
                                    <w:sz w:val="10"/>
                                  </w:rPr>
                                  <w:t>1.83</w:t>
                                </w:r>
                              </w:p>
                              <w:p w14:paraId="2AF1EF8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2.34</w:t>
                                </w:r>
                                <w:r>
                                  <w:rPr>
                                    <w:spacing w:val="-1"/>
                                    <w:w w:val="95"/>
                                    <w:sz w:val="10"/>
                                  </w:rPr>
                                  <w:tab/>
                                  <w:t>0.39</w:t>
                                </w:r>
                                <w:r>
                                  <w:rPr>
                                    <w:spacing w:val="-1"/>
                                    <w:w w:val="95"/>
                                    <w:sz w:val="10"/>
                                  </w:rPr>
                                  <w:tab/>
                                  <w:t>1.95</w:t>
                                </w:r>
                                <w:r>
                                  <w:rPr>
                                    <w:spacing w:val="-1"/>
                                    <w:w w:val="95"/>
                                    <w:sz w:val="10"/>
                                  </w:rPr>
                                  <w:tab/>
                                  <w:t>4.00</w:t>
                                </w:r>
                                <w:r>
                                  <w:rPr>
                                    <w:spacing w:val="-1"/>
                                    <w:w w:val="95"/>
                                    <w:sz w:val="10"/>
                                  </w:rPr>
                                  <w:tab/>
                                </w:r>
                                <w:r>
                                  <w:rPr>
                                    <w:spacing w:val="-1"/>
                                    <w:sz w:val="10"/>
                                  </w:rPr>
                                  <w:t>0.97</w:t>
                                </w:r>
                              </w:p>
                              <w:p w14:paraId="1E7F7E0A"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2.10</w:t>
                                </w:r>
                                <w:r>
                                  <w:rPr>
                                    <w:spacing w:val="-1"/>
                                    <w:w w:val="95"/>
                                    <w:sz w:val="10"/>
                                  </w:rPr>
                                  <w:tab/>
                                  <w:t>0.39</w:t>
                                </w:r>
                                <w:r>
                                  <w:rPr>
                                    <w:spacing w:val="-1"/>
                                    <w:w w:val="95"/>
                                    <w:sz w:val="10"/>
                                  </w:rPr>
                                  <w:tab/>
                                  <w:t>1.71</w:t>
                                </w:r>
                                <w:r>
                                  <w:rPr>
                                    <w:spacing w:val="-1"/>
                                    <w:w w:val="95"/>
                                    <w:sz w:val="10"/>
                                  </w:rPr>
                                  <w:tab/>
                                  <w:t>4.00</w:t>
                                </w:r>
                                <w:r>
                                  <w:rPr>
                                    <w:spacing w:val="-1"/>
                                    <w:w w:val="95"/>
                                    <w:sz w:val="10"/>
                                  </w:rPr>
                                  <w:tab/>
                                </w:r>
                                <w:r>
                                  <w:rPr>
                                    <w:spacing w:val="-1"/>
                                    <w:sz w:val="10"/>
                                  </w:rPr>
                                  <w:t>0.86</w:t>
                                </w:r>
                              </w:p>
                              <w:p w14:paraId="1C13179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2.28</w:t>
                                </w:r>
                                <w:r>
                                  <w:rPr>
                                    <w:spacing w:val="-1"/>
                                    <w:w w:val="95"/>
                                    <w:sz w:val="10"/>
                                  </w:rPr>
                                  <w:tab/>
                                  <w:t>0.39</w:t>
                                </w:r>
                                <w:r>
                                  <w:rPr>
                                    <w:spacing w:val="-1"/>
                                    <w:w w:val="95"/>
                                    <w:sz w:val="10"/>
                                  </w:rPr>
                                  <w:tab/>
                                  <w:t>1.89</w:t>
                                </w:r>
                                <w:r>
                                  <w:rPr>
                                    <w:spacing w:val="-1"/>
                                    <w:w w:val="95"/>
                                    <w:sz w:val="10"/>
                                  </w:rPr>
                                  <w:tab/>
                                  <w:t>3.99</w:t>
                                </w:r>
                                <w:r>
                                  <w:rPr>
                                    <w:spacing w:val="-1"/>
                                    <w:w w:val="95"/>
                                    <w:sz w:val="10"/>
                                  </w:rPr>
                                  <w:tab/>
                                </w:r>
                                <w:r>
                                  <w:rPr>
                                    <w:spacing w:val="-1"/>
                                    <w:sz w:val="10"/>
                                  </w:rPr>
                                  <w:t>0.95</w:t>
                                </w:r>
                              </w:p>
                              <w:p w14:paraId="237D6436"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0.39</w:t>
                                </w:r>
                                <w:r>
                                  <w:rPr>
                                    <w:spacing w:val="-1"/>
                                    <w:w w:val="95"/>
                                    <w:sz w:val="10"/>
                                  </w:rPr>
                                  <w:tab/>
                                  <w:t>1.81</w:t>
                                </w:r>
                                <w:r>
                                  <w:rPr>
                                    <w:spacing w:val="-1"/>
                                    <w:w w:val="95"/>
                                    <w:sz w:val="10"/>
                                  </w:rPr>
                                  <w:tab/>
                                  <w:t>3.99</w:t>
                                </w:r>
                                <w:r>
                                  <w:rPr>
                                    <w:spacing w:val="-1"/>
                                    <w:w w:val="95"/>
                                    <w:sz w:val="10"/>
                                  </w:rPr>
                                  <w:tab/>
                                </w:r>
                                <w:r>
                                  <w:rPr>
                                    <w:spacing w:val="-1"/>
                                    <w:sz w:val="10"/>
                                  </w:rPr>
                                  <w:t>0.91</w:t>
                                </w:r>
                              </w:p>
                              <w:p w14:paraId="1C7A295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2.06</w:t>
                                </w:r>
                                <w:r>
                                  <w:rPr>
                                    <w:spacing w:val="-1"/>
                                    <w:w w:val="95"/>
                                    <w:sz w:val="10"/>
                                  </w:rPr>
                                  <w:tab/>
                                  <w:t>0.39</w:t>
                                </w:r>
                                <w:r>
                                  <w:rPr>
                                    <w:spacing w:val="-1"/>
                                    <w:w w:val="95"/>
                                    <w:sz w:val="10"/>
                                  </w:rPr>
                                  <w:tab/>
                                  <w:t>1.67</w:t>
                                </w:r>
                                <w:r>
                                  <w:rPr>
                                    <w:spacing w:val="-1"/>
                                    <w:w w:val="95"/>
                                    <w:sz w:val="10"/>
                                  </w:rPr>
                                  <w:tab/>
                                  <w:t>3.98</w:t>
                                </w:r>
                                <w:r>
                                  <w:rPr>
                                    <w:spacing w:val="-1"/>
                                    <w:w w:val="95"/>
                                    <w:sz w:val="10"/>
                                  </w:rPr>
                                  <w:tab/>
                                </w:r>
                                <w:r>
                                  <w:rPr>
                                    <w:spacing w:val="-1"/>
                                    <w:sz w:val="10"/>
                                  </w:rPr>
                                  <w:t>0.84</w:t>
                                </w:r>
                              </w:p>
                              <w:p w14:paraId="15917BAD"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1.97</w:t>
                                </w:r>
                                <w:r>
                                  <w:rPr>
                                    <w:spacing w:val="-1"/>
                                    <w:w w:val="95"/>
                                    <w:sz w:val="10"/>
                                  </w:rPr>
                                  <w:tab/>
                                  <w:t>0.38</w:t>
                                </w:r>
                                <w:r>
                                  <w:rPr>
                                    <w:spacing w:val="-1"/>
                                    <w:w w:val="95"/>
                                    <w:sz w:val="10"/>
                                  </w:rPr>
                                  <w:tab/>
                                  <w:t>1.58</w:t>
                                </w:r>
                                <w:r>
                                  <w:rPr>
                                    <w:spacing w:val="-1"/>
                                    <w:w w:val="95"/>
                                    <w:sz w:val="10"/>
                                  </w:rPr>
                                  <w:tab/>
                                  <w:t>3.98</w:t>
                                </w:r>
                                <w:r>
                                  <w:rPr>
                                    <w:spacing w:val="-1"/>
                                    <w:w w:val="95"/>
                                    <w:sz w:val="10"/>
                                  </w:rPr>
                                  <w:tab/>
                                </w:r>
                                <w:r>
                                  <w:rPr>
                                    <w:spacing w:val="-1"/>
                                    <w:sz w:val="10"/>
                                  </w:rPr>
                                  <w:t>0.80</w:t>
                                </w:r>
                              </w:p>
                              <w:p w14:paraId="094259BE"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2.47</w:t>
                                </w:r>
                                <w:r>
                                  <w:rPr>
                                    <w:spacing w:val="-1"/>
                                    <w:w w:val="95"/>
                                    <w:sz w:val="10"/>
                                  </w:rPr>
                                  <w:tab/>
                                  <w:t>0.38</w:t>
                                </w:r>
                                <w:r>
                                  <w:rPr>
                                    <w:spacing w:val="-1"/>
                                    <w:w w:val="95"/>
                                    <w:sz w:val="10"/>
                                  </w:rPr>
                                  <w:tab/>
                                  <w:t>2.09</w:t>
                                </w:r>
                                <w:r>
                                  <w:rPr>
                                    <w:spacing w:val="-1"/>
                                    <w:w w:val="95"/>
                                    <w:sz w:val="10"/>
                                  </w:rPr>
                                  <w:tab/>
                                  <w:t>3.97</w:t>
                                </w:r>
                                <w:r>
                                  <w:rPr>
                                    <w:spacing w:val="-1"/>
                                    <w:w w:val="95"/>
                                    <w:sz w:val="10"/>
                                  </w:rPr>
                                  <w:tab/>
                                </w:r>
                                <w:r>
                                  <w:rPr>
                                    <w:spacing w:val="-1"/>
                                    <w:sz w:val="10"/>
                                  </w:rPr>
                                  <w:t>1.05</w:t>
                                </w:r>
                              </w:p>
                              <w:p w14:paraId="517982D9"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2.53</w:t>
                                </w:r>
                                <w:r>
                                  <w:rPr>
                                    <w:spacing w:val="-1"/>
                                    <w:w w:val="95"/>
                                    <w:sz w:val="10"/>
                                  </w:rPr>
                                  <w:tab/>
                                  <w:t>0.38</w:t>
                                </w:r>
                                <w:r>
                                  <w:rPr>
                                    <w:spacing w:val="-1"/>
                                    <w:w w:val="95"/>
                                    <w:sz w:val="10"/>
                                  </w:rPr>
                                  <w:tab/>
                                  <w:t>2.15</w:t>
                                </w:r>
                                <w:r>
                                  <w:rPr>
                                    <w:spacing w:val="-1"/>
                                    <w:w w:val="95"/>
                                    <w:sz w:val="10"/>
                                  </w:rPr>
                                  <w:tab/>
                                  <w:t>3.97</w:t>
                                </w:r>
                                <w:r>
                                  <w:rPr>
                                    <w:spacing w:val="-1"/>
                                    <w:w w:val="95"/>
                                    <w:sz w:val="10"/>
                                  </w:rPr>
                                  <w:tab/>
                                </w:r>
                                <w:r>
                                  <w:rPr>
                                    <w:spacing w:val="-1"/>
                                    <w:sz w:val="10"/>
                                  </w:rPr>
                                  <w:t>1.08</w:t>
                                </w:r>
                              </w:p>
                              <w:p w14:paraId="3D9D9AD8"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2.36</w:t>
                                </w:r>
                                <w:r>
                                  <w:rPr>
                                    <w:spacing w:val="-1"/>
                                    <w:w w:val="95"/>
                                    <w:sz w:val="10"/>
                                  </w:rPr>
                                  <w:tab/>
                                  <w:t>0.38</w:t>
                                </w:r>
                                <w:r>
                                  <w:rPr>
                                    <w:spacing w:val="-1"/>
                                    <w:w w:val="95"/>
                                    <w:sz w:val="10"/>
                                  </w:rPr>
                                  <w:tab/>
                                  <w:t>1.98</w:t>
                                </w:r>
                                <w:r>
                                  <w:rPr>
                                    <w:spacing w:val="-1"/>
                                    <w:w w:val="95"/>
                                    <w:sz w:val="10"/>
                                  </w:rPr>
                                  <w:tab/>
                                  <w:t>3.96</w:t>
                                </w:r>
                                <w:r>
                                  <w:rPr>
                                    <w:spacing w:val="-1"/>
                                    <w:w w:val="95"/>
                                    <w:sz w:val="10"/>
                                  </w:rPr>
                                  <w:tab/>
                                </w:r>
                                <w:r>
                                  <w:rPr>
                                    <w:spacing w:val="-1"/>
                                    <w:sz w:val="10"/>
                                  </w:rPr>
                                  <w:t>1.00</w:t>
                                </w:r>
                              </w:p>
                              <w:p w14:paraId="624A2C6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4.30</w:t>
                                </w:r>
                                <w:r>
                                  <w:rPr>
                                    <w:spacing w:val="-1"/>
                                    <w:w w:val="95"/>
                                    <w:sz w:val="10"/>
                                  </w:rPr>
                                  <w:tab/>
                                  <w:t>0.38</w:t>
                                </w:r>
                                <w:r>
                                  <w:rPr>
                                    <w:spacing w:val="-1"/>
                                    <w:w w:val="95"/>
                                    <w:sz w:val="10"/>
                                  </w:rPr>
                                  <w:tab/>
                                  <w:t>3.92</w:t>
                                </w:r>
                                <w:r>
                                  <w:rPr>
                                    <w:spacing w:val="-1"/>
                                    <w:w w:val="95"/>
                                    <w:sz w:val="10"/>
                                  </w:rPr>
                                  <w:tab/>
                                  <w:t>3.96</w:t>
                                </w:r>
                                <w:r>
                                  <w:rPr>
                                    <w:spacing w:val="-1"/>
                                    <w:w w:val="95"/>
                                    <w:sz w:val="10"/>
                                  </w:rPr>
                                  <w:tab/>
                                </w:r>
                                <w:r>
                                  <w:rPr>
                                    <w:spacing w:val="-1"/>
                                    <w:sz w:val="10"/>
                                  </w:rPr>
                                  <w:t>1.98</w:t>
                                </w:r>
                              </w:p>
                              <w:p w14:paraId="529666C0"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4.42</w:t>
                                </w:r>
                                <w:r>
                                  <w:rPr>
                                    <w:spacing w:val="-1"/>
                                    <w:w w:val="95"/>
                                    <w:sz w:val="10"/>
                                  </w:rPr>
                                  <w:tab/>
                                  <w:t>0.38</w:t>
                                </w:r>
                                <w:r>
                                  <w:rPr>
                                    <w:spacing w:val="-1"/>
                                    <w:w w:val="95"/>
                                    <w:sz w:val="10"/>
                                  </w:rPr>
                                  <w:tab/>
                                  <w:t>4.04</w:t>
                                </w:r>
                                <w:r>
                                  <w:rPr>
                                    <w:spacing w:val="-1"/>
                                    <w:w w:val="95"/>
                                    <w:sz w:val="10"/>
                                  </w:rPr>
                                  <w:tab/>
                                  <w:t>3.95</w:t>
                                </w:r>
                                <w:r>
                                  <w:rPr>
                                    <w:spacing w:val="-1"/>
                                    <w:w w:val="95"/>
                                    <w:sz w:val="10"/>
                                  </w:rPr>
                                  <w:tab/>
                                </w:r>
                                <w:r>
                                  <w:rPr>
                                    <w:spacing w:val="-1"/>
                                    <w:sz w:val="10"/>
                                  </w:rPr>
                                  <w:t>2.04</w:t>
                                </w:r>
                              </w:p>
                              <w:p w14:paraId="6EF0ACD6"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2.42</w:t>
                                </w:r>
                                <w:r>
                                  <w:rPr>
                                    <w:spacing w:val="-1"/>
                                    <w:w w:val="95"/>
                                    <w:sz w:val="10"/>
                                  </w:rPr>
                                  <w:tab/>
                                  <w:t>0.38</w:t>
                                </w:r>
                                <w:r>
                                  <w:rPr>
                                    <w:spacing w:val="-1"/>
                                    <w:w w:val="95"/>
                                    <w:sz w:val="10"/>
                                  </w:rPr>
                                  <w:tab/>
                                  <w:t>2.05</w:t>
                                </w:r>
                                <w:r>
                                  <w:rPr>
                                    <w:spacing w:val="-1"/>
                                    <w:w w:val="95"/>
                                    <w:sz w:val="10"/>
                                  </w:rPr>
                                  <w:tab/>
                                  <w:t>3.94</w:t>
                                </w:r>
                                <w:r>
                                  <w:rPr>
                                    <w:spacing w:val="-1"/>
                                    <w:w w:val="95"/>
                                    <w:sz w:val="10"/>
                                  </w:rPr>
                                  <w:tab/>
                                </w:r>
                                <w:r>
                                  <w:rPr>
                                    <w:spacing w:val="-1"/>
                                    <w:sz w:val="10"/>
                                  </w:rPr>
                                  <w:t>1.04</w:t>
                                </w:r>
                              </w:p>
                              <w:p w14:paraId="22238CD3"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2.30</w:t>
                                </w:r>
                                <w:r>
                                  <w:rPr>
                                    <w:spacing w:val="-1"/>
                                    <w:w w:val="95"/>
                                    <w:sz w:val="10"/>
                                  </w:rPr>
                                  <w:tab/>
                                  <w:t>0.38</w:t>
                                </w:r>
                                <w:r>
                                  <w:rPr>
                                    <w:spacing w:val="-1"/>
                                    <w:w w:val="95"/>
                                    <w:sz w:val="10"/>
                                  </w:rPr>
                                  <w:tab/>
                                  <w:t>1.92</w:t>
                                </w:r>
                                <w:r>
                                  <w:rPr>
                                    <w:spacing w:val="-1"/>
                                    <w:w w:val="95"/>
                                    <w:sz w:val="10"/>
                                  </w:rPr>
                                  <w:tab/>
                                  <w:t>3.93</w:t>
                                </w:r>
                                <w:r>
                                  <w:rPr>
                                    <w:spacing w:val="-1"/>
                                    <w:w w:val="95"/>
                                    <w:sz w:val="10"/>
                                  </w:rPr>
                                  <w:tab/>
                                </w:r>
                                <w:r>
                                  <w:rPr>
                                    <w:spacing w:val="-1"/>
                                    <w:sz w:val="10"/>
                                  </w:rPr>
                                  <w:t>0.98</w:t>
                                </w:r>
                              </w:p>
                              <w:p w14:paraId="48DE308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2.37</w:t>
                                </w:r>
                                <w:r>
                                  <w:rPr>
                                    <w:spacing w:val="-1"/>
                                    <w:w w:val="95"/>
                                    <w:sz w:val="10"/>
                                  </w:rPr>
                                  <w:tab/>
                                  <w:t>0.38</w:t>
                                </w:r>
                                <w:r>
                                  <w:rPr>
                                    <w:spacing w:val="-1"/>
                                    <w:w w:val="95"/>
                                    <w:sz w:val="10"/>
                                  </w:rPr>
                                  <w:tab/>
                                  <w:t>2.00</w:t>
                                </w:r>
                                <w:r>
                                  <w:rPr>
                                    <w:spacing w:val="-1"/>
                                    <w:w w:val="95"/>
                                    <w:sz w:val="10"/>
                                  </w:rPr>
                                  <w:tab/>
                                  <w:t>3.92</w:t>
                                </w:r>
                                <w:r>
                                  <w:rPr>
                                    <w:spacing w:val="-1"/>
                                    <w:w w:val="95"/>
                                    <w:sz w:val="10"/>
                                  </w:rPr>
                                  <w:tab/>
                                </w:r>
                                <w:r>
                                  <w:rPr>
                                    <w:spacing w:val="-1"/>
                                    <w:sz w:val="10"/>
                                  </w:rPr>
                                  <w:t>1.02</w:t>
                                </w:r>
                              </w:p>
                              <w:p w14:paraId="0EF87586"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0.43</w:t>
                                </w:r>
                                <w:r>
                                  <w:rPr>
                                    <w:spacing w:val="-1"/>
                                    <w:w w:val="95"/>
                                    <w:sz w:val="10"/>
                                  </w:rPr>
                                  <w:tab/>
                                  <w:t>0.38</w:t>
                                </w:r>
                                <w:r>
                                  <w:rPr>
                                    <w:spacing w:val="-1"/>
                                    <w:w w:val="95"/>
                                    <w:sz w:val="10"/>
                                  </w:rPr>
                                  <w:tab/>
                                  <w:t>0.06</w:t>
                                </w:r>
                                <w:r>
                                  <w:rPr>
                                    <w:spacing w:val="-1"/>
                                    <w:w w:val="95"/>
                                    <w:sz w:val="10"/>
                                  </w:rPr>
                                  <w:tab/>
                                  <w:t>3.92</w:t>
                                </w:r>
                                <w:r>
                                  <w:rPr>
                                    <w:spacing w:val="-1"/>
                                    <w:w w:val="95"/>
                                    <w:sz w:val="10"/>
                                  </w:rPr>
                                  <w:tab/>
                                </w:r>
                                <w:r>
                                  <w:rPr>
                                    <w:spacing w:val="-1"/>
                                    <w:sz w:val="10"/>
                                  </w:rPr>
                                  <w:t>0.03</w:t>
                                </w:r>
                              </w:p>
                              <w:p w14:paraId="6CC15E48"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0.38</w:t>
                                </w:r>
                                <w:r>
                                  <w:rPr>
                                    <w:spacing w:val="-1"/>
                                    <w:w w:val="95"/>
                                    <w:sz w:val="10"/>
                                  </w:rPr>
                                  <w:tab/>
                                  <w:t>0.38</w:t>
                                </w:r>
                                <w:r>
                                  <w:rPr>
                                    <w:spacing w:val="-1"/>
                                    <w:w w:val="95"/>
                                    <w:sz w:val="10"/>
                                  </w:rPr>
                                  <w:tab/>
                                  <w:t>0.01</w:t>
                                </w:r>
                                <w:r>
                                  <w:rPr>
                                    <w:spacing w:val="-1"/>
                                    <w:w w:val="95"/>
                                    <w:sz w:val="10"/>
                                  </w:rPr>
                                  <w:tab/>
                                  <w:t>3.91</w:t>
                                </w:r>
                                <w:r>
                                  <w:rPr>
                                    <w:spacing w:val="-1"/>
                                    <w:w w:val="95"/>
                                    <w:sz w:val="10"/>
                                  </w:rPr>
                                  <w:tab/>
                                </w:r>
                                <w:r>
                                  <w:rPr>
                                    <w:spacing w:val="-1"/>
                                    <w:sz w:val="10"/>
                                  </w:rPr>
                                  <w:t>0.00</w:t>
                                </w:r>
                              </w:p>
                              <w:p w14:paraId="514AF0B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2.50</w:t>
                                </w:r>
                                <w:r>
                                  <w:rPr>
                                    <w:spacing w:val="-1"/>
                                    <w:w w:val="95"/>
                                    <w:sz w:val="10"/>
                                  </w:rPr>
                                  <w:tab/>
                                  <w:t>0.37</w:t>
                                </w:r>
                                <w:r>
                                  <w:rPr>
                                    <w:spacing w:val="-1"/>
                                    <w:w w:val="95"/>
                                    <w:sz w:val="10"/>
                                  </w:rPr>
                                  <w:tab/>
                                  <w:t>2.13</w:t>
                                </w:r>
                                <w:r>
                                  <w:rPr>
                                    <w:spacing w:val="-1"/>
                                    <w:w w:val="95"/>
                                    <w:sz w:val="10"/>
                                  </w:rPr>
                                  <w:tab/>
                                  <w:t>3.90</w:t>
                                </w:r>
                                <w:r>
                                  <w:rPr>
                                    <w:spacing w:val="-1"/>
                                    <w:w w:val="95"/>
                                    <w:sz w:val="10"/>
                                  </w:rPr>
                                  <w:tab/>
                                </w:r>
                                <w:r>
                                  <w:rPr>
                                    <w:spacing w:val="-1"/>
                                    <w:sz w:val="10"/>
                                  </w:rPr>
                                  <w:t>1.09</w:t>
                                </w:r>
                              </w:p>
                              <w:p w14:paraId="43022A72"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0.37</w:t>
                                </w:r>
                                <w:r>
                                  <w:rPr>
                                    <w:spacing w:val="-1"/>
                                    <w:w w:val="95"/>
                                    <w:sz w:val="10"/>
                                  </w:rPr>
                                  <w:tab/>
                                  <w:t>1.76</w:t>
                                </w:r>
                                <w:r>
                                  <w:rPr>
                                    <w:spacing w:val="-1"/>
                                    <w:w w:val="95"/>
                                    <w:sz w:val="10"/>
                                  </w:rPr>
                                  <w:tab/>
                                  <w:t>3.89</w:t>
                                </w:r>
                                <w:r>
                                  <w:rPr>
                                    <w:spacing w:val="-1"/>
                                    <w:w w:val="95"/>
                                    <w:sz w:val="10"/>
                                  </w:rPr>
                                  <w:tab/>
                                </w:r>
                                <w:r>
                                  <w:rPr>
                                    <w:spacing w:val="-1"/>
                                    <w:sz w:val="10"/>
                                  </w:rPr>
                                  <w:t>0.91</w:t>
                                </w:r>
                              </w:p>
                              <w:p w14:paraId="45234290"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2.06</w:t>
                                </w:r>
                                <w:r>
                                  <w:rPr>
                                    <w:spacing w:val="-1"/>
                                    <w:w w:val="95"/>
                                    <w:sz w:val="10"/>
                                  </w:rPr>
                                  <w:tab/>
                                  <w:t>0.37</w:t>
                                </w:r>
                                <w:r>
                                  <w:rPr>
                                    <w:spacing w:val="-1"/>
                                    <w:w w:val="95"/>
                                    <w:sz w:val="10"/>
                                  </w:rPr>
                                  <w:tab/>
                                  <w:t>1.68</w:t>
                                </w:r>
                                <w:r>
                                  <w:rPr>
                                    <w:spacing w:val="-1"/>
                                    <w:w w:val="95"/>
                                    <w:sz w:val="10"/>
                                  </w:rPr>
                                  <w:tab/>
                                  <w:t>3.88</w:t>
                                </w:r>
                                <w:r>
                                  <w:rPr>
                                    <w:spacing w:val="-1"/>
                                    <w:w w:val="95"/>
                                    <w:sz w:val="10"/>
                                  </w:rPr>
                                  <w:tab/>
                                </w:r>
                                <w:r>
                                  <w:rPr>
                                    <w:spacing w:val="-1"/>
                                    <w:sz w:val="10"/>
                                  </w:rPr>
                                  <w:t>0.87</w:t>
                                </w:r>
                              </w:p>
                              <w:p w14:paraId="74BD5E68"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0.37</w:t>
                                </w:r>
                                <w:r>
                                  <w:rPr>
                                    <w:spacing w:val="-1"/>
                                    <w:w w:val="95"/>
                                    <w:sz w:val="10"/>
                                  </w:rPr>
                                  <w:tab/>
                                  <w:t>1.83</w:t>
                                </w:r>
                                <w:r>
                                  <w:rPr>
                                    <w:spacing w:val="-1"/>
                                    <w:w w:val="95"/>
                                    <w:sz w:val="10"/>
                                  </w:rPr>
                                  <w:tab/>
                                  <w:t>3.87</w:t>
                                </w:r>
                                <w:r>
                                  <w:rPr>
                                    <w:spacing w:val="-1"/>
                                    <w:w w:val="95"/>
                                    <w:sz w:val="10"/>
                                  </w:rPr>
                                  <w:tab/>
                                </w:r>
                                <w:r>
                                  <w:rPr>
                                    <w:spacing w:val="-1"/>
                                    <w:sz w:val="10"/>
                                  </w:rPr>
                                  <w:t>0.94</w:t>
                                </w:r>
                              </w:p>
                              <w:p w14:paraId="1FDBC2A8"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2.03</w:t>
                                </w:r>
                                <w:r>
                                  <w:rPr>
                                    <w:spacing w:val="-1"/>
                                    <w:w w:val="95"/>
                                    <w:sz w:val="10"/>
                                  </w:rPr>
                                  <w:tab/>
                                  <w:t>0.38</w:t>
                                </w:r>
                                <w:r>
                                  <w:rPr>
                                    <w:spacing w:val="-1"/>
                                    <w:w w:val="95"/>
                                    <w:sz w:val="10"/>
                                  </w:rPr>
                                  <w:tab/>
                                  <w:t>1.65</w:t>
                                </w:r>
                                <w:r>
                                  <w:rPr>
                                    <w:spacing w:val="-1"/>
                                    <w:w w:val="95"/>
                                    <w:sz w:val="10"/>
                                  </w:rPr>
                                  <w:tab/>
                                  <w:t>3.86</w:t>
                                </w:r>
                                <w:r>
                                  <w:rPr>
                                    <w:spacing w:val="-1"/>
                                    <w:w w:val="95"/>
                                    <w:sz w:val="10"/>
                                  </w:rPr>
                                  <w:tab/>
                                </w:r>
                                <w:r>
                                  <w:rPr>
                                    <w:spacing w:val="-1"/>
                                    <w:sz w:val="10"/>
                                  </w:rPr>
                                  <w:t>0.86</w:t>
                                </w:r>
                              </w:p>
                              <w:p w14:paraId="4CC758B5"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2.22</w:t>
                                </w:r>
                                <w:r>
                                  <w:rPr>
                                    <w:spacing w:val="-1"/>
                                    <w:w w:val="95"/>
                                    <w:sz w:val="10"/>
                                  </w:rPr>
                                  <w:tab/>
                                  <w:t>0.38</w:t>
                                </w:r>
                                <w:r>
                                  <w:rPr>
                                    <w:spacing w:val="-1"/>
                                    <w:w w:val="95"/>
                                    <w:sz w:val="10"/>
                                  </w:rPr>
                                  <w:tab/>
                                  <w:t>1.84</w:t>
                                </w:r>
                                <w:r>
                                  <w:rPr>
                                    <w:spacing w:val="-1"/>
                                    <w:w w:val="95"/>
                                    <w:sz w:val="10"/>
                                  </w:rPr>
                                  <w:tab/>
                                  <w:t>3.84</w:t>
                                </w:r>
                                <w:r>
                                  <w:rPr>
                                    <w:spacing w:val="-1"/>
                                    <w:w w:val="95"/>
                                    <w:sz w:val="10"/>
                                  </w:rPr>
                                  <w:tab/>
                                </w:r>
                                <w:r>
                                  <w:rPr>
                                    <w:spacing w:val="-1"/>
                                    <w:sz w:val="10"/>
                                  </w:rPr>
                                  <w:t>0.96</w:t>
                                </w:r>
                              </w:p>
                              <w:p w14:paraId="16A30201"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2.12</w:t>
                                </w:r>
                                <w:r>
                                  <w:rPr>
                                    <w:spacing w:val="-1"/>
                                    <w:w w:val="95"/>
                                    <w:sz w:val="10"/>
                                  </w:rPr>
                                  <w:tab/>
                                  <w:t>0.38</w:t>
                                </w:r>
                                <w:r>
                                  <w:rPr>
                                    <w:spacing w:val="-1"/>
                                    <w:w w:val="95"/>
                                    <w:sz w:val="10"/>
                                  </w:rPr>
                                  <w:tab/>
                                  <w:t>1.74</w:t>
                                </w:r>
                                <w:r>
                                  <w:rPr>
                                    <w:spacing w:val="-1"/>
                                    <w:w w:val="95"/>
                                    <w:sz w:val="10"/>
                                  </w:rPr>
                                  <w:tab/>
                                  <w:t>3.83</w:t>
                                </w:r>
                                <w:r>
                                  <w:rPr>
                                    <w:spacing w:val="-1"/>
                                    <w:w w:val="95"/>
                                    <w:sz w:val="10"/>
                                  </w:rPr>
                                  <w:tab/>
                                </w:r>
                                <w:r>
                                  <w:rPr>
                                    <w:spacing w:val="-1"/>
                                    <w:sz w:val="10"/>
                                  </w:rPr>
                                  <w:t>0.91</w:t>
                                </w:r>
                              </w:p>
                              <w:p w14:paraId="0690A992"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2.70</w:t>
                                </w:r>
                                <w:r>
                                  <w:rPr>
                                    <w:spacing w:val="-1"/>
                                    <w:w w:val="95"/>
                                    <w:sz w:val="10"/>
                                  </w:rPr>
                                  <w:tab/>
                                  <w:t>0.38</w:t>
                                </w:r>
                                <w:r>
                                  <w:rPr>
                                    <w:spacing w:val="-1"/>
                                    <w:w w:val="95"/>
                                    <w:sz w:val="10"/>
                                  </w:rPr>
                                  <w:tab/>
                                  <w:t>2.33</w:t>
                                </w:r>
                                <w:r>
                                  <w:rPr>
                                    <w:spacing w:val="-1"/>
                                    <w:w w:val="95"/>
                                    <w:sz w:val="10"/>
                                  </w:rPr>
                                  <w:tab/>
                                  <w:t>3.82</w:t>
                                </w:r>
                                <w:r>
                                  <w:rPr>
                                    <w:spacing w:val="-1"/>
                                    <w:w w:val="95"/>
                                    <w:sz w:val="10"/>
                                  </w:rPr>
                                  <w:tab/>
                                </w:r>
                                <w:r>
                                  <w:rPr>
                                    <w:spacing w:val="-1"/>
                                    <w:sz w:val="10"/>
                                  </w:rPr>
                                  <w:t>1.22</w:t>
                                </w:r>
                              </w:p>
                              <w:p w14:paraId="76C60B45"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2.79</w:t>
                                </w:r>
                                <w:r>
                                  <w:rPr>
                                    <w:spacing w:val="-1"/>
                                    <w:w w:val="95"/>
                                    <w:sz w:val="10"/>
                                  </w:rPr>
                                  <w:tab/>
                                  <w:t>0.38</w:t>
                                </w:r>
                                <w:r>
                                  <w:rPr>
                                    <w:spacing w:val="-1"/>
                                    <w:w w:val="95"/>
                                    <w:sz w:val="10"/>
                                  </w:rPr>
                                  <w:tab/>
                                  <w:t>2.41</w:t>
                                </w:r>
                                <w:r>
                                  <w:rPr>
                                    <w:spacing w:val="-1"/>
                                    <w:w w:val="95"/>
                                    <w:sz w:val="10"/>
                                  </w:rPr>
                                  <w:tab/>
                                  <w:t>3.81</w:t>
                                </w:r>
                                <w:r>
                                  <w:rPr>
                                    <w:spacing w:val="-1"/>
                                    <w:w w:val="95"/>
                                    <w:sz w:val="10"/>
                                  </w:rPr>
                                  <w:tab/>
                                </w:r>
                                <w:r>
                                  <w:rPr>
                                    <w:spacing w:val="-1"/>
                                    <w:sz w:val="10"/>
                                  </w:rPr>
                                  <w:t>1.27</w:t>
                                </w:r>
                              </w:p>
                              <w:p w14:paraId="26AB4FFA"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2.50</w:t>
                                </w:r>
                                <w:r>
                                  <w:rPr>
                                    <w:spacing w:val="-1"/>
                                    <w:w w:val="95"/>
                                    <w:sz w:val="10"/>
                                  </w:rPr>
                                  <w:tab/>
                                  <w:t>0.38</w:t>
                                </w:r>
                                <w:r>
                                  <w:rPr>
                                    <w:spacing w:val="-1"/>
                                    <w:w w:val="95"/>
                                    <w:sz w:val="10"/>
                                  </w:rPr>
                                  <w:tab/>
                                  <w:t>2.12</w:t>
                                </w:r>
                                <w:r>
                                  <w:rPr>
                                    <w:spacing w:val="-1"/>
                                    <w:w w:val="95"/>
                                    <w:sz w:val="10"/>
                                  </w:rPr>
                                  <w:tab/>
                                  <w:t>3.79</w:t>
                                </w:r>
                                <w:r>
                                  <w:rPr>
                                    <w:spacing w:val="-1"/>
                                    <w:w w:val="95"/>
                                    <w:sz w:val="10"/>
                                  </w:rPr>
                                  <w:tab/>
                                </w:r>
                                <w:r>
                                  <w:rPr>
                                    <w:spacing w:val="-1"/>
                                    <w:sz w:val="10"/>
                                  </w:rPr>
                                  <w:t>1.12</w:t>
                                </w:r>
                              </w:p>
                              <w:p w14:paraId="1527F1AE"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2.75</w:t>
                                </w:r>
                                <w:r>
                                  <w:rPr>
                                    <w:spacing w:val="-1"/>
                                    <w:w w:val="95"/>
                                    <w:sz w:val="10"/>
                                  </w:rPr>
                                  <w:tab/>
                                  <w:t>0.38</w:t>
                                </w:r>
                                <w:r>
                                  <w:rPr>
                                    <w:spacing w:val="-1"/>
                                    <w:w w:val="95"/>
                                    <w:sz w:val="10"/>
                                  </w:rPr>
                                  <w:tab/>
                                  <w:t>2.37</w:t>
                                </w:r>
                                <w:r>
                                  <w:rPr>
                                    <w:spacing w:val="-1"/>
                                    <w:w w:val="95"/>
                                    <w:sz w:val="10"/>
                                  </w:rPr>
                                  <w:tab/>
                                  <w:t>3.78</w:t>
                                </w:r>
                                <w:r>
                                  <w:rPr>
                                    <w:spacing w:val="-1"/>
                                    <w:w w:val="95"/>
                                    <w:sz w:val="10"/>
                                  </w:rPr>
                                  <w:tab/>
                                </w:r>
                                <w:r>
                                  <w:rPr>
                                    <w:spacing w:val="-1"/>
                                    <w:sz w:val="10"/>
                                  </w:rPr>
                                  <w:t>1.26</w:t>
                                </w:r>
                              </w:p>
                              <w:p w14:paraId="386F5B1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2.15</w:t>
                                </w:r>
                                <w:r>
                                  <w:rPr>
                                    <w:spacing w:val="-1"/>
                                    <w:w w:val="95"/>
                                    <w:sz w:val="10"/>
                                  </w:rPr>
                                  <w:tab/>
                                  <w:t>0.38</w:t>
                                </w:r>
                                <w:r>
                                  <w:rPr>
                                    <w:spacing w:val="-1"/>
                                    <w:w w:val="95"/>
                                    <w:sz w:val="10"/>
                                  </w:rPr>
                                  <w:tab/>
                                  <w:t>1.77</w:t>
                                </w:r>
                                <w:r>
                                  <w:rPr>
                                    <w:spacing w:val="-1"/>
                                    <w:w w:val="95"/>
                                    <w:sz w:val="10"/>
                                  </w:rPr>
                                  <w:tab/>
                                  <w:t>3.77</w:t>
                                </w:r>
                                <w:r>
                                  <w:rPr>
                                    <w:spacing w:val="-1"/>
                                    <w:w w:val="95"/>
                                    <w:sz w:val="10"/>
                                  </w:rPr>
                                  <w:tab/>
                                </w:r>
                                <w:r>
                                  <w:rPr>
                                    <w:spacing w:val="-1"/>
                                    <w:sz w:val="10"/>
                                  </w:rPr>
                                  <w:t>0.94</w:t>
                                </w:r>
                              </w:p>
                              <w:p w14:paraId="2306EBCF"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2.18</w:t>
                                </w:r>
                                <w:r>
                                  <w:rPr>
                                    <w:spacing w:val="-1"/>
                                    <w:w w:val="95"/>
                                    <w:sz w:val="10"/>
                                  </w:rPr>
                                  <w:tab/>
                                  <w:t>0.38</w:t>
                                </w:r>
                                <w:r>
                                  <w:rPr>
                                    <w:spacing w:val="-1"/>
                                    <w:w w:val="95"/>
                                    <w:sz w:val="10"/>
                                  </w:rPr>
                                  <w:tab/>
                                  <w:t>1.80</w:t>
                                </w:r>
                                <w:r>
                                  <w:rPr>
                                    <w:spacing w:val="-1"/>
                                    <w:w w:val="95"/>
                                    <w:sz w:val="10"/>
                                  </w:rPr>
                                  <w:tab/>
                                  <w:t>3.75</w:t>
                                </w:r>
                                <w:r>
                                  <w:rPr>
                                    <w:spacing w:val="-1"/>
                                    <w:w w:val="95"/>
                                    <w:sz w:val="10"/>
                                  </w:rPr>
                                  <w:tab/>
                                </w:r>
                                <w:r>
                                  <w:rPr>
                                    <w:spacing w:val="-1"/>
                                    <w:sz w:val="10"/>
                                  </w:rPr>
                                  <w:t>0.96</w:t>
                                </w:r>
                              </w:p>
                              <w:p w14:paraId="5B91253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1.84</w:t>
                                </w:r>
                                <w:r>
                                  <w:rPr>
                                    <w:spacing w:val="-1"/>
                                    <w:w w:val="95"/>
                                    <w:sz w:val="10"/>
                                  </w:rPr>
                                  <w:tab/>
                                  <w:t>0.38</w:t>
                                </w:r>
                                <w:r>
                                  <w:rPr>
                                    <w:spacing w:val="-1"/>
                                    <w:w w:val="95"/>
                                    <w:sz w:val="10"/>
                                  </w:rPr>
                                  <w:tab/>
                                  <w:t>1.46</w:t>
                                </w:r>
                                <w:r>
                                  <w:rPr>
                                    <w:spacing w:val="-1"/>
                                    <w:w w:val="95"/>
                                    <w:sz w:val="10"/>
                                  </w:rPr>
                                  <w:tab/>
                                  <w:t>3.74</w:t>
                                </w:r>
                                <w:r>
                                  <w:rPr>
                                    <w:spacing w:val="-1"/>
                                    <w:w w:val="95"/>
                                    <w:sz w:val="10"/>
                                  </w:rPr>
                                  <w:tab/>
                                </w:r>
                                <w:r>
                                  <w:rPr>
                                    <w:spacing w:val="-1"/>
                                    <w:sz w:val="10"/>
                                  </w:rPr>
                                  <w:t>0.78</w:t>
                                </w:r>
                              </w:p>
                              <w:p w14:paraId="6A4E621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1.94</w:t>
                                </w:r>
                                <w:r>
                                  <w:rPr>
                                    <w:spacing w:val="-1"/>
                                    <w:w w:val="95"/>
                                    <w:sz w:val="10"/>
                                  </w:rPr>
                                  <w:tab/>
                                  <w:t>0.38</w:t>
                                </w:r>
                                <w:r>
                                  <w:rPr>
                                    <w:spacing w:val="-1"/>
                                    <w:w w:val="95"/>
                                    <w:sz w:val="10"/>
                                  </w:rPr>
                                  <w:tab/>
                                  <w:t>1.55</w:t>
                                </w:r>
                                <w:r>
                                  <w:rPr>
                                    <w:spacing w:val="-1"/>
                                    <w:w w:val="95"/>
                                    <w:sz w:val="10"/>
                                  </w:rPr>
                                  <w:tab/>
                                  <w:t>3.72</w:t>
                                </w:r>
                                <w:r>
                                  <w:rPr>
                                    <w:spacing w:val="-1"/>
                                    <w:w w:val="95"/>
                                    <w:sz w:val="10"/>
                                  </w:rPr>
                                  <w:tab/>
                                </w:r>
                                <w:r>
                                  <w:rPr>
                                    <w:spacing w:val="-1"/>
                                    <w:sz w:val="10"/>
                                  </w:rPr>
                                  <w:t>0.84</w:t>
                                </w:r>
                              </w:p>
                              <w:p w14:paraId="5C16BAEA"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2.37</w:t>
                                </w:r>
                                <w:r>
                                  <w:rPr>
                                    <w:spacing w:val="-1"/>
                                    <w:w w:val="95"/>
                                    <w:sz w:val="10"/>
                                  </w:rPr>
                                  <w:tab/>
                                  <w:t>0.38</w:t>
                                </w:r>
                                <w:r>
                                  <w:rPr>
                                    <w:spacing w:val="-1"/>
                                    <w:w w:val="95"/>
                                    <w:sz w:val="10"/>
                                  </w:rPr>
                                  <w:tab/>
                                  <w:t>1.99</w:t>
                                </w:r>
                                <w:r>
                                  <w:rPr>
                                    <w:spacing w:val="-1"/>
                                    <w:w w:val="95"/>
                                    <w:sz w:val="10"/>
                                  </w:rPr>
                                  <w:tab/>
                                  <w:t>3.71</w:t>
                                </w:r>
                                <w:r>
                                  <w:rPr>
                                    <w:spacing w:val="-1"/>
                                    <w:w w:val="95"/>
                                    <w:sz w:val="10"/>
                                  </w:rPr>
                                  <w:tab/>
                                </w:r>
                                <w:r>
                                  <w:rPr>
                                    <w:spacing w:val="-1"/>
                                    <w:sz w:val="10"/>
                                  </w:rPr>
                                  <w:t>1.07</w:t>
                                </w:r>
                              </w:p>
                              <w:p w14:paraId="6F0D8EAD"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4.13</w:t>
                                </w:r>
                                <w:r>
                                  <w:rPr>
                                    <w:spacing w:val="-1"/>
                                    <w:w w:val="95"/>
                                    <w:sz w:val="10"/>
                                  </w:rPr>
                                  <w:tab/>
                                  <w:t>0.39</w:t>
                                </w:r>
                                <w:r>
                                  <w:rPr>
                                    <w:spacing w:val="-1"/>
                                    <w:w w:val="95"/>
                                    <w:sz w:val="10"/>
                                  </w:rPr>
                                  <w:tab/>
                                  <w:t>3.75</w:t>
                                </w:r>
                                <w:r>
                                  <w:rPr>
                                    <w:spacing w:val="-1"/>
                                    <w:w w:val="95"/>
                                    <w:sz w:val="10"/>
                                  </w:rPr>
                                  <w:tab/>
                                  <w:t>3.69</w:t>
                                </w:r>
                                <w:r>
                                  <w:rPr>
                                    <w:spacing w:val="-1"/>
                                    <w:w w:val="95"/>
                                    <w:sz w:val="10"/>
                                  </w:rPr>
                                  <w:tab/>
                                </w:r>
                                <w:r>
                                  <w:rPr>
                                    <w:spacing w:val="-1"/>
                                    <w:sz w:val="10"/>
                                  </w:rPr>
                                  <w:t>2.03</w:t>
                                </w:r>
                              </w:p>
                              <w:p w14:paraId="762783B9"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3.99</w:t>
                                </w:r>
                                <w:r>
                                  <w:rPr>
                                    <w:spacing w:val="-1"/>
                                    <w:w w:val="95"/>
                                    <w:sz w:val="10"/>
                                  </w:rPr>
                                  <w:tab/>
                                  <w:t>0.39</w:t>
                                </w:r>
                                <w:r>
                                  <w:rPr>
                                    <w:spacing w:val="-1"/>
                                    <w:w w:val="95"/>
                                    <w:sz w:val="10"/>
                                  </w:rPr>
                                  <w:tab/>
                                  <w:t>3.60</w:t>
                                </w:r>
                                <w:r>
                                  <w:rPr>
                                    <w:spacing w:val="-1"/>
                                    <w:w w:val="95"/>
                                    <w:sz w:val="10"/>
                                  </w:rPr>
                                  <w:tab/>
                                  <w:t>3.67</w:t>
                                </w:r>
                                <w:r>
                                  <w:rPr>
                                    <w:spacing w:val="-1"/>
                                    <w:w w:val="95"/>
                                    <w:sz w:val="10"/>
                                  </w:rPr>
                                  <w:tab/>
                                </w:r>
                                <w:r>
                                  <w:rPr>
                                    <w:spacing w:val="-1"/>
                                    <w:sz w:val="10"/>
                                  </w:rPr>
                                  <w:t>1.96</w:t>
                                </w:r>
                              </w:p>
                              <w:p w14:paraId="64F53A3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2.31</w:t>
                                </w:r>
                                <w:r>
                                  <w:rPr>
                                    <w:spacing w:val="-1"/>
                                    <w:w w:val="95"/>
                                    <w:sz w:val="10"/>
                                  </w:rPr>
                                  <w:tab/>
                                  <w:t>0.39</w:t>
                                </w:r>
                                <w:r>
                                  <w:rPr>
                                    <w:spacing w:val="-1"/>
                                    <w:w w:val="95"/>
                                    <w:sz w:val="10"/>
                                  </w:rPr>
                                  <w:tab/>
                                  <w:t>1.92</w:t>
                                </w:r>
                                <w:r>
                                  <w:rPr>
                                    <w:spacing w:val="-1"/>
                                    <w:w w:val="95"/>
                                    <w:sz w:val="10"/>
                                  </w:rPr>
                                  <w:tab/>
                                  <w:t>3.66</w:t>
                                </w:r>
                                <w:r>
                                  <w:rPr>
                                    <w:spacing w:val="-1"/>
                                    <w:w w:val="95"/>
                                    <w:sz w:val="10"/>
                                  </w:rPr>
                                  <w:tab/>
                                </w:r>
                                <w:r>
                                  <w:rPr>
                                    <w:spacing w:val="-1"/>
                                    <w:sz w:val="10"/>
                                  </w:rPr>
                                  <w:t>1.05</w:t>
                                </w:r>
                              </w:p>
                              <w:p w14:paraId="2EC7C42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0.39</w:t>
                                </w:r>
                                <w:r>
                                  <w:rPr>
                                    <w:spacing w:val="-1"/>
                                    <w:w w:val="95"/>
                                    <w:sz w:val="10"/>
                                  </w:rPr>
                                  <w:tab/>
                                  <w:t>1.81</w:t>
                                </w:r>
                                <w:r>
                                  <w:rPr>
                                    <w:spacing w:val="-1"/>
                                    <w:w w:val="95"/>
                                    <w:sz w:val="10"/>
                                  </w:rPr>
                                  <w:tab/>
                                  <w:t>3.64</w:t>
                                </w:r>
                                <w:r>
                                  <w:rPr>
                                    <w:spacing w:val="-1"/>
                                    <w:w w:val="95"/>
                                    <w:sz w:val="10"/>
                                  </w:rPr>
                                  <w:tab/>
                                </w:r>
                                <w:r>
                                  <w:rPr>
                                    <w:spacing w:val="-1"/>
                                    <w:sz w:val="10"/>
                                  </w:rPr>
                                  <w:t>0.99</w:t>
                                </w:r>
                              </w:p>
                              <w:p w14:paraId="40BDA48D"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2.41</w:t>
                                </w:r>
                                <w:r>
                                  <w:rPr>
                                    <w:spacing w:val="-1"/>
                                    <w:w w:val="95"/>
                                    <w:sz w:val="10"/>
                                  </w:rPr>
                                  <w:tab/>
                                  <w:t>0.39</w:t>
                                </w:r>
                                <w:r>
                                  <w:rPr>
                                    <w:spacing w:val="-1"/>
                                    <w:w w:val="95"/>
                                    <w:sz w:val="10"/>
                                  </w:rPr>
                                  <w:tab/>
                                  <w:t>2.02</w:t>
                                </w:r>
                                <w:r>
                                  <w:rPr>
                                    <w:spacing w:val="-1"/>
                                    <w:w w:val="95"/>
                                    <w:sz w:val="10"/>
                                  </w:rPr>
                                  <w:tab/>
                                  <w:t>3.62</w:t>
                                </w:r>
                                <w:r>
                                  <w:rPr>
                                    <w:spacing w:val="-1"/>
                                    <w:w w:val="95"/>
                                    <w:sz w:val="10"/>
                                  </w:rPr>
                                  <w:tab/>
                                </w:r>
                                <w:r>
                                  <w:rPr>
                                    <w:spacing w:val="-1"/>
                                    <w:sz w:val="10"/>
                                  </w:rPr>
                                  <w:t>1.12</w:t>
                                </w:r>
                              </w:p>
                              <w:p w14:paraId="465E8386" w14:textId="77777777" w:rsidR="00CB53E4" w:rsidRDefault="00CB53E4" w:rsidP="0031675F">
                                <w:pPr>
                                  <w:tabs>
                                    <w:tab w:val="left" w:pos="499"/>
                                    <w:tab w:val="left" w:pos="982"/>
                                    <w:tab w:val="left" w:pos="1499"/>
                                    <w:tab w:val="left" w:pos="1998"/>
                                  </w:tabs>
                                  <w:spacing w:before="7"/>
                                  <w:rPr>
                                    <w:rFonts w:eastAsia="Arial" w:cs="Arial"/>
                                    <w:sz w:val="10"/>
                                    <w:szCs w:val="10"/>
                                  </w:rPr>
                                </w:pPr>
                                <w:r>
                                  <w:rPr>
                                    <w:spacing w:val="-1"/>
                                    <w:w w:val="95"/>
                                    <w:sz w:val="10"/>
                                  </w:rPr>
                                  <w:t>0.39</w:t>
                                </w:r>
                                <w:r>
                                  <w:rPr>
                                    <w:spacing w:val="-1"/>
                                    <w:w w:val="95"/>
                                    <w:sz w:val="10"/>
                                  </w:rPr>
                                  <w:tab/>
                                  <w:t>0.39</w:t>
                                </w:r>
                                <w:r>
                                  <w:rPr>
                                    <w:spacing w:val="-1"/>
                                    <w:w w:val="95"/>
                                    <w:sz w:val="10"/>
                                  </w:rPr>
                                  <w:tab/>
                                  <w:t>-0.01</w:t>
                                </w:r>
                                <w:r>
                                  <w:rPr>
                                    <w:spacing w:val="-1"/>
                                    <w:w w:val="95"/>
                                    <w:sz w:val="10"/>
                                  </w:rPr>
                                  <w:tab/>
                                  <w:t>3.60</w:t>
                                </w:r>
                                <w:r>
                                  <w:rPr>
                                    <w:spacing w:val="-1"/>
                                    <w:w w:val="95"/>
                                    <w:sz w:val="10"/>
                                  </w:rPr>
                                  <w:tab/>
                                </w:r>
                                <w:r>
                                  <w:rPr>
                                    <w:spacing w:val="-1"/>
                                    <w:sz w:val="10"/>
                                  </w:rPr>
                                  <w:t>0.00</w:t>
                                </w:r>
                              </w:p>
                              <w:p w14:paraId="32E87E67" w14:textId="77777777" w:rsidR="00CB53E4" w:rsidRDefault="00CB53E4" w:rsidP="0031675F">
                                <w:pPr>
                                  <w:tabs>
                                    <w:tab w:val="left" w:pos="499"/>
                                    <w:tab w:val="left" w:pos="982"/>
                                    <w:tab w:val="left" w:pos="1499"/>
                                    <w:tab w:val="left" w:pos="1982"/>
                                  </w:tabs>
                                  <w:spacing w:before="7" w:line="112" w:lineRule="exact"/>
                                  <w:rPr>
                                    <w:rFonts w:eastAsia="Arial" w:cs="Arial"/>
                                    <w:sz w:val="10"/>
                                    <w:szCs w:val="10"/>
                                  </w:rPr>
                                </w:pPr>
                                <w:r>
                                  <w:rPr>
                                    <w:spacing w:val="-1"/>
                                    <w:w w:val="95"/>
                                    <w:sz w:val="10"/>
                                  </w:rPr>
                                  <w:t>0.38</w:t>
                                </w:r>
                                <w:r>
                                  <w:rPr>
                                    <w:spacing w:val="-1"/>
                                    <w:w w:val="95"/>
                                    <w:sz w:val="10"/>
                                  </w:rPr>
                                  <w:tab/>
                                  <w:t>0.40</w:t>
                                </w:r>
                                <w:r>
                                  <w:rPr>
                                    <w:spacing w:val="-1"/>
                                    <w:w w:val="95"/>
                                    <w:sz w:val="10"/>
                                  </w:rPr>
                                  <w:tab/>
                                  <w:t>-0.02</w:t>
                                </w:r>
                                <w:r>
                                  <w:rPr>
                                    <w:spacing w:val="-1"/>
                                    <w:w w:val="95"/>
                                    <w:sz w:val="10"/>
                                  </w:rPr>
                                  <w:tab/>
                                  <w:t>3.58</w:t>
                                </w:r>
                                <w:r>
                                  <w:rPr>
                                    <w:spacing w:val="-1"/>
                                    <w:w w:val="95"/>
                                    <w:sz w:val="10"/>
                                  </w:rPr>
                                  <w:tab/>
                                  <w:t>-0.01</w:t>
                                </w:r>
                              </w:p>
                            </w:txbxContent>
                          </wps:txbx>
                          <wps:bodyPr rot="0" vert="horz" wrap="square" lIns="0" tIns="0" rIns="0" bIns="0" anchor="t" anchorCtr="0" upright="1">
                            <a:noAutofit/>
                          </wps:bodyPr>
                        </wps:wsp>
                        <wps:wsp>
                          <wps:cNvPr id="18364" name="Text Box 8455"/>
                          <wps:cNvSpPr txBox="1">
                            <a:spLocks noChangeArrowheads="1"/>
                          </wps:cNvSpPr>
                          <wps:spPr bwMode="auto">
                            <a:xfrm>
                              <a:off x="4514" y="1006"/>
                              <a:ext cx="225" cy="95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1247B0" w14:textId="77777777" w:rsidR="00CB53E4" w:rsidRDefault="00CB53E4" w:rsidP="0031675F">
                                <w:pPr>
                                  <w:spacing w:line="101" w:lineRule="exact"/>
                                  <w:ind w:left="16"/>
                                  <w:rPr>
                                    <w:rFonts w:eastAsia="Arial" w:cs="Arial"/>
                                    <w:sz w:val="10"/>
                                    <w:szCs w:val="10"/>
                                  </w:rPr>
                                </w:pPr>
                                <w:r>
                                  <w:rPr>
                                    <w:spacing w:val="-1"/>
                                    <w:sz w:val="10"/>
                                  </w:rPr>
                                  <w:t>2.04</w:t>
                                </w:r>
                              </w:p>
                              <w:p w14:paraId="0C54FBF0" w14:textId="77777777" w:rsidR="00CB53E4" w:rsidRDefault="00CB53E4" w:rsidP="0031675F">
                                <w:pPr>
                                  <w:spacing w:before="7"/>
                                  <w:ind w:left="16"/>
                                  <w:rPr>
                                    <w:rFonts w:eastAsia="Arial" w:cs="Arial"/>
                                    <w:sz w:val="10"/>
                                    <w:szCs w:val="10"/>
                                  </w:rPr>
                                </w:pPr>
                                <w:r>
                                  <w:rPr>
                                    <w:spacing w:val="-1"/>
                                    <w:sz w:val="10"/>
                                  </w:rPr>
                                  <w:t>1.05</w:t>
                                </w:r>
                              </w:p>
                              <w:p w14:paraId="3351E73A" w14:textId="77777777" w:rsidR="00CB53E4" w:rsidRDefault="00CB53E4" w:rsidP="0031675F">
                                <w:pPr>
                                  <w:spacing w:before="7"/>
                                  <w:ind w:left="16"/>
                                  <w:rPr>
                                    <w:rFonts w:eastAsia="Arial" w:cs="Arial"/>
                                    <w:sz w:val="10"/>
                                    <w:szCs w:val="10"/>
                                  </w:rPr>
                                </w:pPr>
                                <w:r>
                                  <w:rPr>
                                    <w:spacing w:val="-1"/>
                                    <w:sz w:val="10"/>
                                  </w:rPr>
                                  <w:t>0.05</w:t>
                                </w:r>
                              </w:p>
                              <w:p w14:paraId="68206905" w14:textId="77777777" w:rsidR="00CB53E4" w:rsidRDefault="00CB53E4" w:rsidP="0031675F">
                                <w:pPr>
                                  <w:spacing w:before="7"/>
                                  <w:rPr>
                                    <w:rFonts w:eastAsia="Arial" w:cs="Arial"/>
                                    <w:sz w:val="10"/>
                                    <w:szCs w:val="10"/>
                                  </w:rPr>
                                </w:pPr>
                                <w:r>
                                  <w:rPr>
                                    <w:spacing w:val="-1"/>
                                    <w:sz w:val="10"/>
                                  </w:rPr>
                                  <w:t>-0.05</w:t>
                                </w:r>
                              </w:p>
                              <w:p w14:paraId="3E69D390" w14:textId="77777777" w:rsidR="00CB53E4" w:rsidRDefault="00CB53E4" w:rsidP="0031675F">
                                <w:pPr>
                                  <w:spacing w:before="7"/>
                                  <w:ind w:left="16"/>
                                  <w:rPr>
                                    <w:rFonts w:eastAsia="Arial" w:cs="Arial"/>
                                    <w:sz w:val="10"/>
                                    <w:szCs w:val="10"/>
                                  </w:rPr>
                                </w:pPr>
                                <w:r>
                                  <w:rPr>
                                    <w:spacing w:val="-1"/>
                                    <w:sz w:val="10"/>
                                  </w:rPr>
                                  <w:t>1.97</w:t>
                                </w:r>
                              </w:p>
                              <w:p w14:paraId="7CE6009E" w14:textId="77777777" w:rsidR="00CB53E4" w:rsidRDefault="00CB53E4" w:rsidP="0031675F">
                                <w:pPr>
                                  <w:spacing w:before="7"/>
                                  <w:ind w:left="16"/>
                                  <w:rPr>
                                    <w:rFonts w:eastAsia="Arial" w:cs="Arial"/>
                                    <w:sz w:val="10"/>
                                    <w:szCs w:val="10"/>
                                  </w:rPr>
                                </w:pPr>
                                <w:r>
                                  <w:rPr>
                                    <w:spacing w:val="-1"/>
                                    <w:sz w:val="10"/>
                                  </w:rPr>
                                  <w:t>1.99</w:t>
                                </w:r>
                              </w:p>
                              <w:p w14:paraId="1EB2AE47" w14:textId="77777777" w:rsidR="00CB53E4" w:rsidRDefault="00CB53E4" w:rsidP="0031675F">
                                <w:pPr>
                                  <w:spacing w:before="7"/>
                                  <w:ind w:left="16"/>
                                  <w:rPr>
                                    <w:rFonts w:eastAsia="Arial" w:cs="Arial"/>
                                    <w:sz w:val="10"/>
                                    <w:szCs w:val="10"/>
                                  </w:rPr>
                                </w:pPr>
                                <w:r>
                                  <w:rPr>
                                    <w:spacing w:val="-1"/>
                                    <w:sz w:val="10"/>
                                  </w:rPr>
                                  <w:t>1.01</w:t>
                                </w:r>
                              </w:p>
                              <w:p w14:paraId="47D49D74" w14:textId="77777777" w:rsidR="00CB53E4" w:rsidRDefault="00CB53E4" w:rsidP="0031675F">
                                <w:pPr>
                                  <w:spacing w:before="7"/>
                                  <w:ind w:left="16"/>
                                  <w:rPr>
                                    <w:rFonts w:eastAsia="Arial" w:cs="Arial"/>
                                    <w:sz w:val="10"/>
                                    <w:szCs w:val="10"/>
                                  </w:rPr>
                                </w:pPr>
                                <w:r>
                                  <w:rPr>
                                    <w:spacing w:val="-1"/>
                                    <w:sz w:val="10"/>
                                  </w:rPr>
                                  <w:t>0.94</w:t>
                                </w:r>
                              </w:p>
                              <w:p w14:paraId="42A945CE" w14:textId="77777777" w:rsidR="00CB53E4" w:rsidRDefault="00CB53E4" w:rsidP="0031675F">
                                <w:pPr>
                                  <w:spacing w:before="7"/>
                                  <w:ind w:left="16"/>
                                  <w:rPr>
                                    <w:rFonts w:eastAsia="Arial" w:cs="Arial"/>
                                    <w:sz w:val="10"/>
                                    <w:szCs w:val="10"/>
                                  </w:rPr>
                                </w:pPr>
                                <w:r>
                                  <w:rPr>
                                    <w:spacing w:val="-1"/>
                                    <w:sz w:val="10"/>
                                  </w:rPr>
                                  <w:t>1.03</w:t>
                                </w:r>
                              </w:p>
                              <w:p w14:paraId="72E7C16E" w14:textId="77777777" w:rsidR="00CB53E4" w:rsidRDefault="00CB53E4" w:rsidP="0031675F">
                                <w:pPr>
                                  <w:spacing w:before="7"/>
                                  <w:ind w:left="16"/>
                                  <w:rPr>
                                    <w:rFonts w:eastAsia="Arial" w:cs="Arial"/>
                                    <w:sz w:val="10"/>
                                    <w:szCs w:val="10"/>
                                  </w:rPr>
                                </w:pPr>
                                <w:r>
                                  <w:rPr>
                                    <w:spacing w:val="-1"/>
                                    <w:sz w:val="10"/>
                                  </w:rPr>
                                  <w:t>0.10</w:t>
                                </w:r>
                              </w:p>
                              <w:p w14:paraId="3FF491BF" w14:textId="77777777" w:rsidR="00CB53E4" w:rsidRDefault="00CB53E4" w:rsidP="0031675F">
                                <w:pPr>
                                  <w:spacing w:before="7"/>
                                  <w:rPr>
                                    <w:rFonts w:eastAsia="Arial" w:cs="Arial"/>
                                    <w:sz w:val="10"/>
                                    <w:szCs w:val="10"/>
                                  </w:rPr>
                                </w:pPr>
                                <w:r>
                                  <w:rPr>
                                    <w:spacing w:val="-1"/>
                                    <w:sz w:val="10"/>
                                  </w:rPr>
                                  <w:t>-0.08</w:t>
                                </w:r>
                              </w:p>
                              <w:p w14:paraId="24881EBC" w14:textId="77777777" w:rsidR="00CB53E4" w:rsidRDefault="00CB53E4" w:rsidP="0031675F">
                                <w:pPr>
                                  <w:spacing w:before="7"/>
                                  <w:ind w:left="16"/>
                                  <w:rPr>
                                    <w:rFonts w:eastAsia="Arial" w:cs="Arial"/>
                                    <w:sz w:val="10"/>
                                    <w:szCs w:val="10"/>
                                  </w:rPr>
                                </w:pPr>
                                <w:r>
                                  <w:rPr>
                                    <w:spacing w:val="-1"/>
                                    <w:sz w:val="10"/>
                                  </w:rPr>
                                  <w:t>1.06</w:t>
                                </w:r>
                              </w:p>
                              <w:p w14:paraId="150FDDAD" w14:textId="77777777" w:rsidR="00CB53E4" w:rsidRDefault="00CB53E4" w:rsidP="0031675F">
                                <w:pPr>
                                  <w:spacing w:before="7"/>
                                  <w:ind w:left="16"/>
                                  <w:rPr>
                                    <w:rFonts w:eastAsia="Arial" w:cs="Arial"/>
                                    <w:sz w:val="10"/>
                                    <w:szCs w:val="10"/>
                                  </w:rPr>
                                </w:pPr>
                                <w:r>
                                  <w:rPr>
                                    <w:spacing w:val="-1"/>
                                    <w:sz w:val="10"/>
                                  </w:rPr>
                                  <w:t>0.82</w:t>
                                </w:r>
                              </w:p>
                              <w:p w14:paraId="1CB80559" w14:textId="77777777" w:rsidR="00CB53E4" w:rsidRDefault="00CB53E4" w:rsidP="0031675F">
                                <w:pPr>
                                  <w:spacing w:before="7"/>
                                  <w:ind w:left="16"/>
                                  <w:rPr>
                                    <w:rFonts w:eastAsia="Arial" w:cs="Arial"/>
                                    <w:sz w:val="10"/>
                                    <w:szCs w:val="10"/>
                                  </w:rPr>
                                </w:pPr>
                                <w:r>
                                  <w:rPr>
                                    <w:spacing w:val="-1"/>
                                    <w:sz w:val="10"/>
                                  </w:rPr>
                                  <w:t>0.76</w:t>
                                </w:r>
                              </w:p>
                              <w:p w14:paraId="5AB1F674" w14:textId="77777777" w:rsidR="00CB53E4" w:rsidRDefault="00CB53E4" w:rsidP="0031675F">
                                <w:pPr>
                                  <w:spacing w:before="7"/>
                                  <w:ind w:left="16"/>
                                  <w:rPr>
                                    <w:rFonts w:eastAsia="Arial" w:cs="Arial"/>
                                    <w:sz w:val="10"/>
                                    <w:szCs w:val="10"/>
                                  </w:rPr>
                                </w:pPr>
                                <w:r>
                                  <w:rPr>
                                    <w:spacing w:val="-1"/>
                                    <w:sz w:val="10"/>
                                  </w:rPr>
                                  <w:t>0.84</w:t>
                                </w:r>
                              </w:p>
                              <w:p w14:paraId="7848B926" w14:textId="77777777" w:rsidR="00CB53E4" w:rsidRDefault="00CB53E4" w:rsidP="0031675F">
                                <w:pPr>
                                  <w:spacing w:before="7"/>
                                  <w:ind w:left="16"/>
                                  <w:rPr>
                                    <w:rFonts w:eastAsia="Arial" w:cs="Arial"/>
                                    <w:sz w:val="10"/>
                                    <w:szCs w:val="10"/>
                                  </w:rPr>
                                </w:pPr>
                                <w:r>
                                  <w:rPr>
                                    <w:spacing w:val="-1"/>
                                    <w:sz w:val="10"/>
                                  </w:rPr>
                                  <w:t>0.82</w:t>
                                </w:r>
                              </w:p>
                              <w:p w14:paraId="18F3CE0F" w14:textId="77777777" w:rsidR="00CB53E4" w:rsidRDefault="00CB53E4" w:rsidP="0031675F">
                                <w:pPr>
                                  <w:spacing w:before="7"/>
                                  <w:ind w:left="16"/>
                                  <w:rPr>
                                    <w:rFonts w:eastAsia="Arial" w:cs="Arial"/>
                                    <w:sz w:val="10"/>
                                    <w:szCs w:val="10"/>
                                  </w:rPr>
                                </w:pPr>
                                <w:r>
                                  <w:rPr>
                                    <w:spacing w:val="-1"/>
                                    <w:sz w:val="10"/>
                                  </w:rPr>
                                  <w:t>1.08</w:t>
                                </w:r>
                              </w:p>
                              <w:p w14:paraId="5C34D49D" w14:textId="77777777" w:rsidR="00CB53E4" w:rsidRDefault="00CB53E4" w:rsidP="0031675F">
                                <w:pPr>
                                  <w:spacing w:before="7"/>
                                  <w:ind w:left="16"/>
                                  <w:rPr>
                                    <w:rFonts w:eastAsia="Arial" w:cs="Arial"/>
                                    <w:sz w:val="10"/>
                                    <w:szCs w:val="10"/>
                                  </w:rPr>
                                </w:pPr>
                                <w:r>
                                  <w:rPr>
                                    <w:spacing w:val="-1"/>
                                    <w:sz w:val="10"/>
                                  </w:rPr>
                                  <w:t>1.07</w:t>
                                </w:r>
                              </w:p>
                              <w:p w14:paraId="71CD6998" w14:textId="77777777" w:rsidR="00CB53E4" w:rsidRDefault="00CB53E4" w:rsidP="0031675F">
                                <w:pPr>
                                  <w:spacing w:before="7"/>
                                  <w:ind w:left="16"/>
                                  <w:rPr>
                                    <w:rFonts w:eastAsia="Arial" w:cs="Arial"/>
                                    <w:sz w:val="10"/>
                                    <w:szCs w:val="10"/>
                                  </w:rPr>
                                </w:pPr>
                                <w:r>
                                  <w:rPr>
                                    <w:spacing w:val="-1"/>
                                    <w:sz w:val="10"/>
                                  </w:rPr>
                                  <w:t>0.78</w:t>
                                </w:r>
                              </w:p>
                              <w:p w14:paraId="7058CEE6" w14:textId="77777777" w:rsidR="00CB53E4" w:rsidRDefault="00CB53E4" w:rsidP="0031675F">
                                <w:pPr>
                                  <w:spacing w:before="7"/>
                                  <w:ind w:left="16"/>
                                  <w:rPr>
                                    <w:rFonts w:eastAsia="Arial" w:cs="Arial"/>
                                    <w:sz w:val="10"/>
                                    <w:szCs w:val="10"/>
                                  </w:rPr>
                                </w:pPr>
                                <w:r>
                                  <w:rPr>
                                    <w:spacing w:val="-1"/>
                                    <w:sz w:val="10"/>
                                  </w:rPr>
                                  <w:t>0.79</w:t>
                                </w:r>
                              </w:p>
                              <w:p w14:paraId="1A062FF0" w14:textId="77777777" w:rsidR="00CB53E4" w:rsidRDefault="00CB53E4" w:rsidP="0031675F">
                                <w:pPr>
                                  <w:spacing w:before="7"/>
                                  <w:ind w:left="16"/>
                                  <w:rPr>
                                    <w:rFonts w:eastAsia="Arial" w:cs="Arial"/>
                                    <w:sz w:val="10"/>
                                    <w:szCs w:val="10"/>
                                  </w:rPr>
                                </w:pPr>
                                <w:r>
                                  <w:rPr>
                                    <w:spacing w:val="-1"/>
                                    <w:sz w:val="10"/>
                                  </w:rPr>
                                  <w:t>0.90</w:t>
                                </w:r>
                              </w:p>
                              <w:p w14:paraId="7A69D0B1" w14:textId="77777777" w:rsidR="00CB53E4" w:rsidRDefault="00CB53E4" w:rsidP="0031675F">
                                <w:pPr>
                                  <w:spacing w:before="7"/>
                                  <w:ind w:left="16"/>
                                  <w:rPr>
                                    <w:rFonts w:eastAsia="Arial" w:cs="Arial"/>
                                    <w:sz w:val="10"/>
                                    <w:szCs w:val="10"/>
                                  </w:rPr>
                                </w:pPr>
                                <w:r>
                                  <w:rPr>
                                    <w:spacing w:val="-1"/>
                                    <w:sz w:val="10"/>
                                  </w:rPr>
                                  <w:t>0.88</w:t>
                                </w:r>
                              </w:p>
                              <w:p w14:paraId="48781395" w14:textId="77777777" w:rsidR="00CB53E4" w:rsidRDefault="00CB53E4" w:rsidP="0031675F">
                                <w:pPr>
                                  <w:spacing w:before="7"/>
                                  <w:ind w:left="16"/>
                                  <w:rPr>
                                    <w:rFonts w:eastAsia="Arial" w:cs="Arial"/>
                                    <w:sz w:val="10"/>
                                    <w:szCs w:val="10"/>
                                  </w:rPr>
                                </w:pPr>
                                <w:r>
                                  <w:rPr>
                                    <w:spacing w:val="-1"/>
                                    <w:sz w:val="10"/>
                                  </w:rPr>
                                  <w:t>1.10</w:t>
                                </w:r>
                              </w:p>
                              <w:p w14:paraId="41940994" w14:textId="77777777" w:rsidR="00CB53E4" w:rsidRDefault="00CB53E4" w:rsidP="0031675F">
                                <w:pPr>
                                  <w:spacing w:before="7"/>
                                  <w:ind w:left="16"/>
                                  <w:rPr>
                                    <w:rFonts w:eastAsia="Arial" w:cs="Arial"/>
                                    <w:sz w:val="10"/>
                                    <w:szCs w:val="10"/>
                                  </w:rPr>
                                </w:pPr>
                                <w:r>
                                  <w:rPr>
                                    <w:spacing w:val="-1"/>
                                    <w:sz w:val="10"/>
                                  </w:rPr>
                                  <w:t>1.20</w:t>
                                </w:r>
                              </w:p>
                              <w:p w14:paraId="6740536C" w14:textId="77777777" w:rsidR="00CB53E4" w:rsidRDefault="00CB53E4" w:rsidP="0031675F">
                                <w:pPr>
                                  <w:spacing w:before="7"/>
                                  <w:ind w:left="16"/>
                                  <w:rPr>
                                    <w:rFonts w:eastAsia="Arial" w:cs="Arial"/>
                                    <w:sz w:val="10"/>
                                    <w:szCs w:val="10"/>
                                  </w:rPr>
                                </w:pPr>
                                <w:r>
                                  <w:rPr>
                                    <w:spacing w:val="-1"/>
                                    <w:sz w:val="10"/>
                                  </w:rPr>
                                  <w:t>1.08</w:t>
                                </w:r>
                              </w:p>
                              <w:p w14:paraId="29CD3C37" w14:textId="77777777" w:rsidR="00CB53E4" w:rsidRDefault="00CB53E4" w:rsidP="0031675F">
                                <w:pPr>
                                  <w:spacing w:before="7"/>
                                  <w:ind w:left="16"/>
                                  <w:rPr>
                                    <w:rFonts w:eastAsia="Arial" w:cs="Arial"/>
                                    <w:sz w:val="10"/>
                                    <w:szCs w:val="10"/>
                                  </w:rPr>
                                </w:pPr>
                                <w:r>
                                  <w:rPr>
                                    <w:spacing w:val="-1"/>
                                    <w:sz w:val="10"/>
                                  </w:rPr>
                                  <w:t>2.01</w:t>
                                </w:r>
                              </w:p>
                              <w:p w14:paraId="418BC5A0" w14:textId="77777777" w:rsidR="00CB53E4" w:rsidRDefault="00CB53E4" w:rsidP="0031675F">
                                <w:pPr>
                                  <w:spacing w:before="7"/>
                                  <w:ind w:left="16"/>
                                  <w:rPr>
                                    <w:rFonts w:eastAsia="Arial" w:cs="Arial"/>
                                    <w:sz w:val="10"/>
                                    <w:szCs w:val="10"/>
                                  </w:rPr>
                                </w:pPr>
                                <w:r>
                                  <w:rPr>
                                    <w:spacing w:val="-1"/>
                                    <w:sz w:val="10"/>
                                  </w:rPr>
                                  <w:t>1.98</w:t>
                                </w:r>
                              </w:p>
                              <w:p w14:paraId="2A295515" w14:textId="77777777" w:rsidR="00CB53E4" w:rsidRDefault="00CB53E4" w:rsidP="0031675F">
                                <w:pPr>
                                  <w:spacing w:before="7"/>
                                  <w:ind w:left="16"/>
                                  <w:rPr>
                                    <w:rFonts w:eastAsia="Arial" w:cs="Arial"/>
                                    <w:sz w:val="10"/>
                                    <w:szCs w:val="10"/>
                                  </w:rPr>
                                </w:pPr>
                                <w:r>
                                  <w:rPr>
                                    <w:spacing w:val="-1"/>
                                    <w:sz w:val="10"/>
                                  </w:rPr>
                                  <w:t>1.09</w:t>
                                </w:r>
                              </w:p>
                              <w:p w14:paraId="0EB1C4D3" w14:textId="77777777" w:rsidR="00CB53E4" w:rsidRDefault="00CB53E4" w:rsidP="0031675F">
                                <w:pPr>
                                  <w:spacing w:before="7"/>
                                  <w:ind w:left="16"/>
                                  <w:rPr>
                                    <w:rFonts w:eastAsia="Arial" w:cs="Arial"/>
                                    <w:sz w:val="10"/>
                                    <w:szCs w:val="10"/>
                                  </w:rPr>
                                </w:pPr>
                                <w:r>
                                  <w:rPr>
                                    <w:spacing w:val="-1"/>
                                    <w:sz w:val="10"/>
                                  </w:rPr>
                                  <w:t>1.00</w:t>
                                </w:r>
                              </w:p>
                              <w:p w14:paraId="54D87CFC" w14:textId="77777777" w:rsidR="00CB53E4" w:rsidRDefault="00CB53E4" w:rsidP="0031675F">
                                <w:pPr>
                                  <w:spacing w:before="7"/>
                                  <w:ind w:left="16"/>
                                  <w:rPr>
                                    <w:rFonts w:eastAsia="Arial" w:cs="Arial"/>
                                    <w:sz w:val="10"/>
                                    <w:szCs w:val="10"/>
                                  </w:rPr>
                                </w:pPr>
                                <w:r>
                                  <w:rPr>
                                    <w:spacing w:val="-1"/>
                                    <w:sz w:val="10"/>
                                  </w:rPr>
                                  <w:t>0.92</w:t>
                                </w:r>
                              </w:p>
                              <w:p w14:paraId="103FC171" w14:textId="77777777" w:rsidR="00CB53E4" w:rsidRDefault="00CB53E4" w:rsidP="0031675F">
                                <w:pPr>
                                  <w:spacing w:before="7"/>
                                  <w:ind w:left="16"/>
                                  <w:rPr>
                                    <w:rFonts w:eastAsia="Arial" w:cs="Arial"/>
                                    <w:sz w:val="10"/>
                                    <w:szCs w:val="10"/>
                                  </w:rPr>
                                </w:pPr>
                                <w:r>
                                  <w:rPr>
                                    <w:spacing w:val="-1"/>
                                    <w:sz w:val="10"/>
                                  </w:rPr>
                                  <w:t>0.00</w:t>
                                </w:r>
                              </w:p>
                              <w:p w14:paraId="78ECC31F" w14:textId="77777777" w:rsidR="00CB53E4" w:rsidRDefault="00CB53E4" w:rsidP="0031675F">
                                <w:pPr>
                                  <w:spacing w:before="7"/>
                                  <w:rPr>
                                    <w:rFonts w:eastAsia="Arial" w:cs="Arial"/>
                                    <w:sz w:val="10"/>
                                    <w:szCs w:val="10"/>
                                  </w:rPr>
                                </w:pPr>
                                <w:r>
                                  <w:rPr>
                                    <w:spacing w:val="-1"/>
                                    <w:sz w:val="10"/>
                                  </w:rPr>
                                  <w:t>-0.02</w:t>
                                </w:r>
                              </w:p>
                              <w:p w14:paraId="2E066982" w14:textId="77777777" w:rsidR="00CB53E4" w:rsidRDefault="00CB53E4" w:rsidP="0031675F">
                                <w:pPr>
                                  <w:spacing w:before="7"/>
                                  <w:ind w:left="16"/>
                                  <w:rPr>
                                    <w:rFonts w:eastAsia="Arial" w:cs="Arial"/>
                                    <w:sz w:val="10"/>
                                    <w:szCs w:val="10"/>
                                  </w:rPr>
                                </w:pPr>
                                <w:r>
                                  <w:rPr>
                                    <w:spacing w:val="-1"/>
                                    <w:sz w:val="10"/>
                                  </w:rPr>
                                  <w:t>1.04</w:t>
                                </w:r>
                              </w:p>
                              <w:p w14:paraId="470A73C6" w14:textId="77777777" w:rsidR="00CB53E4" w:rsidRDefault="00CB53E4" w:rsidP="0031675F">
                                <w:pPr>
                                  <w:spacing w:before="7"/>
                                  <w:ind w:left="16"/>
                                  <w:rPr>
                                    <w:rFonts w:eastAsia="Arial" w:cs="Arial"/>
                                    <w:sz w:val="10"/>
                                    <w:szCs w:val="10"/>
                                  </w:rPr>
                                </w:pPr>
                                <w:r>
                                  <w:rPr>
                                    <w:spacing w:val="-1"/>
                                    <w:sz w:val="10"/>
                                  </w:rPr>
                                  <w:t>0.76</w:t>
                                </w:r>
                              </w:p>
                              <w:p w14:paraId="77083AB5" w14:textId="77777777" w:rsidR="00CB53E4" w:rsidRDefault="00CB53E4" w:rsidP="0031675F">
                                <w:pPr>
                                  <w:spacing w:before="7"/>
                                  <w:ind w:left="16"/>
                                  <w:rPr>
                                    <w:rFonts w:eastAsia="Arial" w:cs="Arial"/>
                                    <w:sz w:val="10"/>
                                    <w:szCs w:val="10"/>
                                  </w:rPr>
                                </w:pPr>
                                <w:r>
                                  <w:rPr>
                                    <w:spacing w:val="-1"/>
                                    <w:sz w:val="10"/>
                                  </w:rPr>
                                  <w:t>0.80</w:t>
                                </w:r>
                              </w:p>
                              <w:p w14:paraId="11C13269" w14:textId="77777777" w:rsidR="00CB53E4" w:rsidRDefault="00CB53E4" w:rsidP="0031675F">
                                <w:pPr>
                                  <w:spacing w:before="7"/>
                                  <w:ind w:left="16"/>
                                  <w:rPr>
                                    <w:rFonts w:eastAsia="Arial" w:cs="Arial"/>
                                    <w:sz w:val="10"/>
                                    <w:szCs w:val="10"/>
                                  </w:rPr>
                                </w:pPr>
                                <w:r>
                                  <w:rPr>
                                    <w:spacing w:val="-1"/>
                                    <w:sz w:val="10"/>
                                  </w:rPr>
                                  <w:t>0.89</w:t>
                                </w:r>
                              </w:p>
                              <w:p w14:paraId="3BB794FA" w14:textId="77777777" w:rsidR="00CB53E4" w:rsidRDefault="00CB53E4" w:rsidP="0031675F">
                                <w:pPr>
                                  <w:spacing w:before="7"/>
                                  <w:ind w:left="16"/>
                                  <w:rPr>
                                    <w:rFonts w:eastAsia="Arial" w:cs="Arial"/>
                                    <w:sz w:val="10"/>
                                    <w:szCs w:val="10"/>
                                  </w:rPr>
                                </w:pPr>
                                <w:r>
                                  <w:rPr>
                                    <w:spacing w:val="-1"/>
                                    <w:sz w:val="10"/>
                                  </w:rPr>
                                  <w:t>0.83</w:t>
                                </w:r>
                              </w:p>
                              <w:p w14:paraId="0CDB0275" w14:textId="77777777" w:rsidR="00CB53E4" w:rsidRDefault="00CB53E4" w:rsidP="0031675F">
                                <w:pPr>
                                  <w:spacing w:before="7"/>
                                  <w:ind w:left="16"/>
                                  <w:rPr>
                                    <w:rFonts w:eastAsia="Arial" w:cs="Arial"/>
                                    <w:sz w:val="10"/>
                                    <w:szCs w:val="10"/>
                                  </w:rPr>
                                </w:pPr>
                                <w:r>
                                  <w:rPr>
                                    <w:spacing w:val="-1"/>
                                    <w:sz w:val="10"/>
                                  </w:rPr>
                                  <w:t>1.63</w:t>
                                </w:r>
                              </w:p>
                              <w:p w14:paraId="48F9E87E" w14:textId="77777777" w:rsidR="00CB53E4" w:rsidRDefault="00CB53E4" w:rsidP="0031675F">
                                <w:pPr>
                                  <w:spacing w:before="7"/>
                                  <w:ind w:left="16"/>
                                  <w:rPr>
                                    <w:rFonts w:eastAsia="Arial" w:cs="Arial"/>
                                    <w:sz w:val="10"/>
                                    <w:szCs w:val="10"/>
                                  </w:rPr>
                                </w:pPr>
                                <w:r>
                                  <w:rPr>
                                    <w:spacing w:val="-1"/>
                                    <w:sz w:val="10"/>
                                  </w:rPr>
                                  <w:t>1.82</w:t>
                                </w:r>
                              </w:p>
                              <w:p w14:paraId="36590723" w14:textId="77777777" w:rsidR="00CB53E4" w:rsidRDefault="00CB53E4" w:rsidP="0031675F">
                                <w:pPr>
                                  <w:spacing w:before="7"/>
                                  <w:ind w:left="16"/>
                                  <w:rPr>
                                    <w:rFonts w:eastAsia="Arial" w:cs="Arial"/>
                                    <w:sz w:val="10"/>
                                    <w:szCs w:val="10"/>
                                  </w:rPr>
                                </w:pPr>
                                <w:r>
                                  <w:rPr>
                                    <w:spacing w:val="-1"/>
                                    <w:sz w:val="10"/>
                                  </w:rPr>
                                  <w:t>0.94</w:t>
                                </w:r>
                              </w:p>
                              <w:p w14:paraId="107389A2" w14:textId="77777777" w:rsidR="00CB53E4" w:rsidRDefault="00CB53E4" w:rsidP="0031675F">
                                <w:pPr>
                                  <w:spacing w:before="7"/>
                                  <w:ind w:left="16"/>
                                  <w:rPr>
                                    <w:rFonts w:eastAsia="Arial" w:cs="Arial"/>
                                    <w:sz w:val="10"/>
                                    <w:szCs w:val="10"/>
                                  </w:rPr>
                                </w:pPr>
                                <w:r>
                                  <w:rPr>
                                    <w:spacing w:val="-1"/>
                                    <w:sz w:val="10"/>
                                  </w:rPr>
                                  <w:t>0.83</w:t>
                                </w:r>
                              </w:p>
                              <w:p w14:paraId="3B73BD01" w14:textId="77777777" w:rsidR="00CB53E4" w:rsidRDefault="00CB53E4" w:rsidP="0031675F">
                                <w:pPr>
                                  <w:spacing w:before="7"/>
                                  <w:ind w:left="16"/>
                                  <w:rPr>
                                    <w:rFonts w:eastAsia="Arial" w:cs="Arial"/>
                                    <w:sz w:val="10"/>
                                    <w:szCs w:val="10"/>
                                  </w:rPr>
                                </w:pPr>
                                <w:r>
                                  <w:rPr>
                                    <w:spacing w:val="-1"/>
                                    <w:sz w:val="10"/>
                                  </w:rPr>
                                  <w:t>0.92</w:t>
                                </w:r>
                              </w:p>
                              <w:p w14:paraId="6226AF32" w14:textId="77777777" w:rsidR="00CB53E4" w:rsidRDefault="00CB53E4" w:rsidP="0031675F">
                                <w:pPr>
                                  <w:spacing w:before="7"/>
                                  <w:ind w:left="16"/>
                                  <w:rPr>
                                    <w:rFonts w:eastAsia="Arial" w:cs="Arial"/>
                                    <w:sz w:val="10"/>
                                    <w:szCs w:val="10"/>
                                  </w:rPr>
                                </w:pPr>
                                <w:r>
                                  <w:rPr>
                                    <w:spacing w:val="-1"/>
                                    <w:sz w:val="10"/>
                                  </w:rPr>
                                  <w:t>0.88</w:t>
                                </w:r>
                              </w:p>
                              <w:p w14:paraId="011BF738" w14:textId="77777777" w:rsidR="00CB53E4" w:rsidRDefault="00CB53E4" w:rsidP="0031675F">
                                <w:pPr>
                                  <w:spacing w:before="7"/>
                                  <w:ind w:left="16"/>
                                  <w:rPr>
                                    <w:rFonts w:eastAsia="Arial" w:cs="Arial"/>
                                    <w:sz w:val="10"/>
                                    <w:szCs w:val="10"/>
                                  </w:rPr>
                                </w:pPr>
                                <w:r>
                                  <w:rPr>
                                    <w:spacing w:val="-1"/>
                                    <w:sz w:val="10"/>
                                  </w:rPr>
                                  <w:t>0.81</w:t>
                                </w:r>
                              </w:p>
                              <w:p w14:paraId="28E7E1F5" w14:textId="77777777" w:rsidR="00CB53E4" w:rsidRDefault="00CB53E4" w:rsidP="0031675F">
                                <w:pPr>
                                  <w:spacing w:before="7"/>
                                  <w:ind w:left="16"/>
                                  <w:rPr>
                                    <w:rFonts w:eastAsia="Arial" w:cs="Arial"/>
                                    <w:sz w:val="10"/>
                                    <w:szCs w:val="10"/>
                                  </w:rPr>
                                </w:pPr>
                                <w:r>
                                  <w:rPr>
                                    <w:spacing w:val="-1"/>
                                    <w:sz w:val="10"/>
                                  </w:rPr>
                                  <w:t>0.77</w:t>
                                </w:r>
                              </w:p>
                              <w:p w14:paraId="62D439D6" w14:textId="77777777" w:rsidR="00CB53E4" w:rsidRDefault="00CB53E4" w:rsidP="0031675F">
                                <w:pPr>
                                  <w:spacing w:before="7"/>
                                  <w:ind w:left="16"/>
                                  <w:rPr>
                                    <w:rFonts w:eastAsia="Arial" w:cs="Arial"/>
                                    <w:sz w:val="10"/>
                                    <w:szCs w:val="10"/>
                                  </w:rPr>
                                </w:pPr>
                                <w:r>
                                  <w:rPr>
                                    <w:spacing w:val="-1"/>
                                    <w:sz w:val="10"/>
                                  </w:rPr>
                                  <w:t>1.02</w:t>
                                </w:r>
                              </w:p>
                              <w:p w14:paraId="02BBB72D" w14:textId="77777777" w:rsidR="00CB53E4" w:rsidRDefault="00CB53E4" w:rsidP="0031675F">
                                <w:pPr>
                                  <w:spacing w:before="7"/>
                                  <w:ind w:left="16"/>
                                  <w:rPr>
                                    <w:rFonts w:eastAsia="Arial" w:cs="Arial"/>
                                    <w:sz w:val="10"/>
                                    <w:szCs w:val="10"/>
                                  </w:rPr>
                                </w:pPr>
                                <w:r>
                                  <w:rPr>
                                    <w:spacing w:val="-1"/>
                                    <w:sz w:val="10"/>
                                  </w:rPr>
                                  <w:t>1.05</w:t>
                                </w:r>
                              </w:p>
                              <w:p w14:paraId="766EEED8" w14:textId="77777777" w:rsidR="00CB53E4" w:rsidRDefault="00CB53E4" w:rsidP="0031675F">
                                <w:pPr>
                                  <w:spacing w:before="7"/>
                                  <w:ind w:left="16"/>
                                  <w:rPr>
                                    <w:rFonts w:eastAsia="Arial" w:cs="Arial"/>
                                    <w:sz w:val="10"/>
                                    <w:szCs w:val="10"/>
                                  </w:rPr>
                                </w:pPr>
                                <w:r>
                                  <w:rPr>
                                    <w:spacing w:val="-1"/>
                                    <w:sz w:val="10"/>
                                  </w:rPr>
                                  <w:t>0.97</w:t>
                                </w:r>
                              </w:p>
                              <w:p w14:paraId="18CDC8D6" w14:textId="77777777" w:rsidR="00CB53E4" w:rsidRDefault="00CB53E4" w:rsidP="0031675F">
                                <w:pPr>
                                  <w:spacing w:before="7"/>
                                  <w:ind w:left="16"/>
                                  <w:rPr>
                                    <w:rFonts w:eastAsia="Arial" w:cs="Arial"/>
                                    <w:sz w:val="10"/>
                                    <w:szCs w:val="10"/>
                                  </w:rPr>
                                </w:pPr>
                                <w:r>
                                  <w:rPr>
                                    <w:spacing w:val="-1"/>
                                    <w:sz w:val="10"/>
                                  </w:rPr>
                                  <w:t>1.98</w:t>
                                </w:r>
                              </w:p>
                              <w:p w14:paraId="299E8798" w14:textId="77777777" w:rsidR="00CB53E4" w:rsidRDefault="00CB53E4" w:rsidP="0031675F">
                                <w:pPr>
                                  <w:spacing w:before="7"/>
                                  <w:ind w:left="16"/>
                                  <w:rPr>
                                    <w:rFonts w:eastAsia="Arial" w:cs="Arial"/>
                                    <w:sz w:val="10"/>
                                    <w:szCs w:val="10"/>
                                  </w:rPr>
                                </w:pPr>
                                <w:r>
                                  <w:rPr>
                                    <w:spacing w:val="-1"/>
                                    <w:sz w:val="10"/>
                                  </w:rPr>
                                  <w:t>2.05</w:t>
                                </w:r>
                              </w:p>
                              <w:p w14:paraId="41C4A17E" w14:textId="77777777" w:rsidR="00CB53E4" w:rsidRDefault="00CB53E4" w:rsidP="0031675F">
                                <w:pPr>
                                  <w:spacing w:before="7"/>
                                  <w:ind w:left="16"/>
                                  <w:rPr>
                                    <w:rFonts w:eastAsia="Arial" w:cs="Arial"/>
                                    <w:sz w:val="10"/>
                                    <w:szCs w:val="10"/>
                                  </w:rPr>
                                </w:pPr>
                                <w:r>
                                  <w:rPr>
                                    <w:spacing w:val="-1"/>
                                    <w:sz w:val="10"/>
                                  </w:rPr>
                                  <w:t>1.01</w:t>
                                </w:r>
                              </w:p>
                              <w:p w14:paraId="2F743F5B" w14:textId="77777777" w:rsidR="00CB53E4" w:rsidRDefault="00CB53E4" w:rsidP="0031675F">
                                <w:pPr>
                                  <w:spacing w:before="7"/>
                                  <w:ind w:left="16"/>
                                  <w:rPr>
                                    <w:rFonts w:eastAsia="Arial" w:cs="Arial"/>
                                    <w:sz w:val="10"/>
                                    <w:szCs w:val="10"/>
                                  </w:rPr>
                                </w:pPr>
                                <w:r>
                                  <w:rPr>
                                    <w:spacing w:val="-1"/>
                                    <w:sz w:val="10"/>
                                  </w:rPr>
                                  <w:t>0.95</w:t>
                                </w:r>
                              </w:p>
                              <w:p w14:paraId="19AF6512" w14:textId="77777777" w:rsidR="00CB53E4" w:rsidRDefault="00CB53E4" w:rsidP="0031675F">
                                <w:pPr>
                                  <w:spacing w:before="7"/>
                                  <w:ind w:left="16"/>
                                  <w:rPr>
                                    <w:rFonts w:eastAsia="Arial" w:cs="Arial"/>
                                    <w:sz w:val="10"/>
                                    <w:szCs w:val="10"/>
                                  </w:rPr>
                                </w:pPr>
                                <w:r>
                                  <w:rPr>
                                    <w:spacing w:val="-1"/>
                                    <w:sz w:val="10"/>
                                  </w:rPr>
                                  <w:t>0.99</w:t>
                                </w:r>
                              </w:p>
                              <w:p w14:paraId="78C5234D" w14:textId="77777777" w:rsidR="00CB53E4" w:rsidRDefault="00CB53E4" w:rsidP="0031675F">
                                <w:pPr>
                                  <w:spacing w:before="7"/>
                                  <w:ind w:left="16"/>
                                  <w:rPr>
                                    <w:rFonts w:eastAsia="Arial" w:cs="Arial"/>
                                    <w:sz w:val="10"/>
                                    <w:szCs w:val="10"/>
                                  </w:rPr>
                                </w:pPr>
                                <w:r>
                                  <w:rPr>
                                    <w:spacing w:val="-1"/>
                                    <w:sz w:val="10"/>
                                  </w:rPr>
                                  <w:t>0.03</w:t>
                                </w:r>
                              </w:p>
                              <w:p w14:paraId="3DE830EA" w14:textId="77777777" w:rsidR="00CB53E4" w:rsidRDefault="00CB53E4" w:rsidP="0031675F">
                                <w:pPr>
                                  <w:spacing w:before="7"/>
                                  <w:ind w:left="16"/>
                                  <w:rPr>
                                    <w:rFonts w:eastAsia="Arial" w:cs="Arial"/>
                                    <w:sz w:val="10"/>
                                    <w:szCs w:val="10"/>
                                  </w:rPr>
                                </w:pPr>
                                <w:r>
                                  <w:rPr>
                                    <w:spacing w:val="-1"/>
                                    <w:sz w:val="10"/>
                                  </w:rPr>
                                  <w:t>0.00</w:t>
                                </w:r>
                              </w:p>
                              <w:p w14:paraId="0FA9693D" w14:textId="77777777" w:rsidR="00CB53E4" w:rsidRDefault="00CB53E4" w:rsidP="0031675F">
                                <w:pPr>
                                  <w:spacing w:before="7"/>
                                  <w:ind w:left="16"/>
                                  <w:rPr>
                                    <w:rFonts w:eastAsia="Arial" w:cs="Arial"/>
                                    <w:sz w:val="10"/>
                                    <w:szCs w:val="10"/>
                                  </w:rPr>
                                </w:pPr>
                                <w:r>
                                  <w:rPr>
                                    <w:spacing w:val="-1"/>
                                    <w:sz w:val="10"/>
                                  </w:rPr>
                                  <w:t>1.06</w:t>
                                </w:r>
                              </w:p>
                              <w:p w14:paraId="7136EFAC" w14:textId="77777777" w:rsidR="00CB53E4" w:rsidRDefault="00CB53E4" w:rsidP="0031675F">
                                <w:pPr>
                                  <w:spacing w:before="7"/>
                                  <w:ind w:left="16"/>
                                  <w:rPr>
                                    <w:rFonts w:eastAsia="Arial" w:cs="Arial"/>
                                    <w:sz w:val="10"/>
                                    <w:szCs w:val="10"/>
                                  </w:rPr>
                                </w:pPr>
                                <w:r>
                                  <w:rPr>
                                    <w:spacing w:val="-1"/>
                                    <w:sz w:val="10"/>
                                  </w:rPr>
                                  <w:t>0.88</w:t>
                                </w:r>
                              </w:p>
                              <w:p w14:paraId="63958142" w14:textId="77777777" w:rsidR="00CB53E4" w:rsidRDefault="00CB53E4" w:rsidP="0031675F">
                                <w:pPr>
                                  <w:spacing w:before="7"/>
                                  <w:ind w:left="16"/>
                                  <w:rPr>
                                    <w:rFonts w:eastAsia="Arial" w:cs="Arial"/>
                                    <w:sz w:val="10"/>
                                    <w:szCs w:val="10"/>
                                  </w:rPr>
                                </w:pPr>
                                <w:r>
                                  <w:rPr>
                                    <w:spacing w:val="-1"/>
                                    <w:sz w:val="10"/>
                                  </w:rPr>
                                  <w:t>0.84</w:t>
                                </w:r>
                              </w:p>
                              <w:p w14:paraId="798CB0D7" w14:textId="77777777" w:rsidR="00CB53E4" w:rsidRDefault="00CB53E4" w:rsidP="0031675F">
                                <w:pPr>
                                  <w:spacing w:before="7"/>
                                  <w:ind w:left="16"/>
                                  <w:rPr>
                                    <w:rFonts w:eastAsia="Arial" w:cs="Arial"/>
                                    <w:sz w:val="10"/>
                                    <w:szCs w:val="10"/>
                                  </w:rPr>
                                </w:pPr>
                                <w:r>
                                  <w:rPr>
                                    <w:spacing w:val="-1"/>
                                    <w:sz w:val="10"/>
                                  </w:rPr>
                                  <w:t>0.91</w:t>
                                </w:r>
                              </w:p>
                              <w:p w14:paraId="25692F94" w14:textId="77777777" w:rsidR="00CB53E4" w:rsidRDefault="00CB53E4" w:rsidP="0031675F">
                                <w:pPr>
                                  <w:spacing w:before="7"/>
                                  <w:ind w:left="16"/>
                                  <w:rPr>
                                    <w:rFonts w:eastAsia="Arial" w:cs="Arial"/>
                                    <w:sz w:val="10"/>
                                    <w:szCs w:val="10"/>
                                  </w:rPr>
                                </w:pPr>
                                <w:r>
                                  <w:rPr>
                                    <w:spacing w:val="-1"/>
                                    <w:sz w:val="10"/>
                                  </w:rPr>
                                  <w:t>0.83</w:t>
                                </w:r>
                              </w:p>
                              <w:p w14:paraId="4F5303D3" w14:textId="77777777" w:rsidR="00CB53E4" w:rsidRDefault="00CB53E4" w:rsidP="0031675F">
                                <w:pPr>
                                  <w:spacing w:before="7"/>
                                  <w:ind w:left="16"/>
                                  <w:rPr>
                                    <w:rFonts w:eastAsia="Arial" w:cs="Arial"/>
                                    <w:sz w:val="10"/>
                                    <w:szCs w:val="10"/>
                                  </w:rPr>
                                </w:pPr>
                                <w:r>
                                  <w:rPr>
                                    <w:spacing w:val="-1"/>
                                    <w:sz w:val="10"/>
                                  </w:rPr>
                                  <w:t>0.93</w:t>
                                </w:r>
                              </w:p>
                              <w:p w14:paraId="3EC6A54C" w14:textId="77777777" w:rsidR="00CB53E4" w:rsidRDefault="00CB53E4" w:rsidP="0031675F">
                                <w:pPr>
                                  <w:spacing w:before="7"/>
                                  <w:ind w:left="16"/>
                                  <w:rPr>
                                    <w:rFonts w:eastAsia="Arial" w:cs="Arial"/>
                                    <w:sz w:val="10"/>
                                    <w:szCs w:val="10"/>
                                  </w:rPr>
                                </w:pPr>
                                <w:r>
                                  <w:rPr>
                                    <w:spacing w:val="-1"/>
                                    <w:sz w:val="10"/>
                                  </w:rPr>
                                  <w:t>0.88</w:t>
                                </w:r>
                              </w:p>
                              <w:p w14:paraId="65C020CF" w14:textId="77777777" w:rsidR="00CB53E4" w:rsidRDefault="00CB53E4" w:rsidP="0031675F">
                                <w:pPr>
                                  <w:spacing w:before="7"/>
                                  <w:ind w:left="16"/>
                                  <w:rPr>
                                    <w:rFonts w:eastAsia="Arial" w:cs="Arial"/>
                                    <w:sz w:val="10"/>
                                    <w:szCs w:val="10"/>
                                  </w:rPr>
                                </w:pPr>
                                <w:r>
                                  <w:rPr>
                                    <w:spacing w:val="-1"/>
                                    <w:sz w:val="10"/>
                                  </w:rPr>
                                  <w:t>1.19</w:t>
                                </w:r>
                              </w:p>
                              <w:p w14:paraId="16B79AFD" w14:textId="77777777" w:rsidR="00CB53E4" w:rsidRDefault="00CB53E4" w:rsidP="0031675F">
                                <w:pPr>
                                  <w:spacing w:before="7"/>
                                  <w:ind w:left="16"/>
                                  <w:rPr>
                                    <w:rFonts w:eastAsia="Arial" w:cs="Arial"/>
                                    <w:sz w:val="10"/>
                                    <w:szCs w:val="10"/>
                                  </w:rPr>
                                </w:pPr>
                                <w:r>
                                  <w:rPr>
                                    <w:spacing w:val="-1"/>
                                    <w:sz w:val="10"/>
                                  </w:rPr>
                                  <w:t>1.24</w:t>
                                </w:r>
                              </w:p>
                              <w:p w14:paraId="1CC1A412" w14:textId="77777777" w:rsidR="00CB53E4" w:rsidRDefault="00CB53E4" w:rsidP="0031675F">
                                <w:pPr>
                                  <w:spacing w:before="7"/>
                                  <w:ind w:left="16"/>
                                  <w:rPr>
                                    <w:rFonts w:eastAsia="Arial" w:cs="Arial"/>
                                    <w:sz w:val="10"/>
                                    <w:szCs w:val="10"/>
                                  </w:rPr>
                                </w:pPr>
                                <w:r>
                                  <w:rPr>
                                    <w:spacing w:val="-1"/>
                                    <w:sz w:val="10"/>
                                  </w:rPr>
                                  <w:t>1.09</w:t>
                                </w:r>
                              </w:p>
                              <w:p w14:paraId="4BBFF6F1" w14:textId="77777777" w:rsidR="00CB53E4" w:rsidRDefault="00CB53E4" w:rsidP="0031675F">
                                <w:pPr>
                                  <w:spacing w:before="7"/>
                                  <w:ind w:left="16"/>
                                  <w:rPr>
                                    <w:rFonts w:eastAsia="Arial" w:cs="Arial"/>
                                    <w:sz w:val="10"/>
                                    <w:szCs w:val="10"/>
                                  </w:rPr>
                                </w:pPr>
                                <w:r>
                                  <w:rPr>
                                    <w:spacing w:val="-1"/>
                                    <w:sz w:val="10"/>
                                  </w:rPr>
                                  <w:t>1.23</w:t>
                                </w:r>
                              </w:p>
                              <w:p w14:paraId="1E71626E" w14:textId="77777777" w:rsidR="00CB53E4" w:rsidRDefault="00CB53E4" w:rsidP="0031675F">
                                <w:pPr>
                                  <w:spacing w:before="7"/>
                                  <w:ind w:left="16"/>
                                  <w:rPr>
                                    <w:rFonts w:eastAsia="Arial" w:cs="Arial"/>
                                    <w:sz w:val="10"/>
                                    <w:szCs w:val="10"/>
                                  </w:rPr>
                                </w:pPr>
                                <w:r>
                                  <w:rPr>
                                    <w:spacing w:val="-1"/>
                                    <w:sz w:val="10"/>
                                  </w:rPr>
                                  <w:t>0.91</w:t>
                                </w:r>
                              </w:p>
                              <w:p w14:paraId="7ED9D87E" w14:textId="77777777" w:rsidR="00CB53E4" w:rsidRDefault="00CB53E4" w:rsidP="0031675F">
                                <w:pPr>
                                  <w:spacing w:before="7"/>
                                  <w:ind w:left="16"/>
                                  <w:rPr>
                                    <w:rFonts w:eastAsia="Arial" w:cs="Arial"/>
                                    <w:sz w:val="10"/>
                                    <w:szCs w:val="10"/>
                                  </w:rPr>
                                </w:pPr>
                                <w:r>
                                  <w:rPr>
                                    <w:spacing w:val="-1"/>
                                    <w:sz w:val="10"/>
                                  </w:rPr>
                                  <w:t>0.93</w:t>
                                </w:r>
                              </w:p>
                              <w:p w14:paraId="0653655E" w14:textId="77777777" w:rsidR="00CB53E4" w:rsidRDefault="00CB53E4" w:rsidP="0031675F">
                                <w:pPr>
                                  <w:spacing w:before="7"/>
                                  <w:ind w:left="16"/>
                                  <w:rPr>
                                    <w:rFonts w:eastAsia="Arial" w:cs="Arial"/>
                                    <w:sz w:val="10"/>
                                    <w:szCs w:val="10"/>
                                  </w:rPr>
                                </w:pPr>
                                <w:r>
                                  <w:rPr>
                                    <w:spacing w:val="-1"/>
                                    <w:sz w:val="10"/>
                                  </w:rPr>
                                  <w:t>0.75</w:t>
                                </w:r>
                              </w:p>
                              <w:p w14:paraId="486489E9" w14:textId="77777777" w:rsidR="00CB53E4" w:rsidRDefault="00CB53E4" w:rsidP="0031675F">
                                <w:pPr>
                                  <w:spacing w:before="7"/>
                                  <w:ind w:left="16"/>
                                  <w:rPr>
                                    <w:rFonts w:eastAsia="Arial" w:cs="Arial"/>
                                    <w:sz w:val="10"/>
                                    <w:szCs w:val="10"/>
                                  </w:rPr>
                                </w:pPr>
                                <w:r>
                                  <w:rPr>
                                    <w:spacing w:val="-1"/>
                                    <w:sz w:val="10"/>
                                  </w:rPr>
                                  <w:t>0.81</w:t>
                                </w:r>
                              </w:p>
                              <w:p w14:paraId="540B836A" w14:textId="77777777" w:rsidR="00CB53E4" w:rsidRDefault="00CB53E4" w:rsidP="0031675F">
                                <w:pPr>
                                  <w:spacing w:before="7"/>
                                  <w:ind w:left="16"/>
                                  <w:rPr>
                                    <w:rFonts w:eastAsia="Arial" w:cs="Arial"/>
                                    <w:sz w:val="10"/>
                                    <w:szCs w:val="10"/>
                                  </w:rPr>
                                </w:pPr>
                                <w:r>
                                  <w:rPr>
                                    <w:spacing w:val="-1"/>
                                    <w:sz w:val="10"/>
                                  </w:rPr>
                                  <w:t>1.04</w:t>
                                </w:r>
                              </w:p>
                              <w:p w14:paraId="58BD5631" w14:textId="77777777" w:rsidR="00CB53E4" w:rsidRDefault="00CB53E4" w:rsidP="0031675F">
                                <w:pPr>
                                  <w:spacing w:before="7"/>
                                  <w:ind w:left="16"/>
                                  <w:rPr>
                                    <w:rFonts w:eastAsia="Arial" w:cs="Arial"/>
                                    <w:sz w:val="10"/>
                                    <w:szCs w:val="10"/>
                                  </w:rPr>
                                </w:pPr>
                                <w:r>
                                  <w:rPr>
                                    <w:spacing w:val="-1"/>
                                    <w:sz w:val="10"/>
                                  </w:rPr>
                                  <w:t>2.03</w:t>
                                </w:r>
                              </w:p>
                              <w:p w14:paraId="72A08A16" w14:textId="77777777" w:rsidR="00CB53E4" w:rsidRDefault="00CB53E4" w:rsidP="0031675F">
                                <w:pPr>
                                  <w:spacing w:before="7"/>
                                  <w:ind w:left="16"/>
                                  <w:rPr>
                                    <w:rFonts w:eastAsia="Arial" w:cs="Arial"/>
                                    <w:sz w:val="10"/>
                                    <w:szCs w:val="10"/>
                                  </w:rPr>
                                </w:pPr>
                                <w:r>
                                  <w:rPr>
                                    <w:spacing w:val="-1"/>
                                    <w:sz w:val="10"/>
                                  </w:rPr>
                                  <w:t>1.96</w:t>
                                </w:r>
                              </w:p>
                              <w:p w14:paraId="13DE6A9A" w14:textId="77777777" w:rsidR="00CB53E4" w:rsidRDefault="00CB53E4" w:rsidP="0031675F">
                                <w:pPr>
                                  <w:spacing w:before="7"/>
                                  <w:ind w:left="16"/>
                                  <w:rPr>
                                    <w:rFonts w:eastAsia="Arial" w:cs="Arial"/>
                                    <w:sz w:val="10"/>
                                    <w:szCs w:val="10"/>
                                  </w:rPr>
                                </w:pPr>
                                <w:r>
                                  <w:rPr>
                                    <w:spacing w:val="-1"/>
                                    <w:sz w:val="10"/>
                                  </w:rPr>
                                  <w:t>1.02</w:t>
                                </w:r>
                              </w:p>
                              <w:p w14:paraId="56AC4C1E" w14:textId="77777777" w:rsidR="00CB53E4" w:rsidRDefault="00CB53E4" w:rsidP="0031675F">
                                <w:pPr>
                                  <w:spacing w:before="7"/>
                                  <w:ind w:left="16"/>
                                  <w:rPr>
                                    <w:rFonts w:eastAsia="Arial" w:cs="Arial"/>
                                    <w:sz w:val="10"/>
                                    <w:szCs w:val="10"/>
                                  </w:rPr>
                                </w:pPr>
                                <w:r>
                                  <w:rPr>
                                    <w:spacing w:val="-1"/>
                                    <w:sz w:val="10"/>
                                  </w:rPr>
                                  <w:t>0.96</w:t>
                                </w:r>
                              </w:p>
                              <w:p w14:paraId="2AF10141" w14:textId="77777777" w:rsidR="00CB53E4" w:rsidRDefault="00CB53E4" w:rsidP="0031675F">
                                <w:pPr>
                                  <w:spacing w:before="7"/>
                                  <w:ind w:left="16"/>
                                  <w:rPr>
                                    <w:rFonts w:eastAsia="Arial" w:cs="Arial"/>
                                    <w:sz w:val="10"/>
                                    <w:szCs w:val="10"/>
                                  </w:rPr>
                                </w:pPr>
                                <w:r>
                                  <w:rPr>
                                    <w:spacing w:val="-1"/>
                                    <w:sz w:val="10"/>
                                  </w:rPr>
                                  <w:t>1.09</w:t>
                                </w:r>
                              </w:p>
                              <w:p w14:paraId="7AC9D2BB" w14:textId="77777777" w:rsidR="00CB53E4" w:rsidRDefault="00CB53E4" w:rsidP="0031675F">
                                <w:pPr>
                                  <w:spacing w:before="7"/>
                                  <w:ind w:left="16"/>
                                  <w:rPr>
                                    <w:rFonts w:eastAsia="Arial" w:cs="Arial"/>
                                    <w:sz w:val="10"/>
                                    <w:szCs w:val="10"/>
                                  </w:rPr>
                                </w:pPr>
                                <w:r>
                                  <w:rPr>
                                    <w:spacing w:val="-1"/>
                                    <w:sz w:val="10"/>
                                  </w:rPr>
                                  <w:t>0.00</w:t>
                                </w:r>
                              </w:p>
                              <w:p w14:paraId="2BA65203" w14:textId="77777777" w:rsidR="00CB53E4" w:rsidRDefault="00CB53E4" w:rsidP="0031675F">
                                <w:pPr>
                                  <w:spacing w:before="7" w:line="112" w:lineRule="exact"/>
                                  <w:rPr>
                                    <w:rFonts w:eastAsia="Arial" w:cs="Arial"/>
                                    <w:sz w:val="10"/>
                                    <w:szCs w:val="10"/>
                                  </w:rPr>
                                </w:pPr>
                                <w:r>
                                  <w:rPr>
                                    <w:spacing w:val="-1"/>
                                    <w:sz w:val="10"/>
                                  </w:rPr>
                                  <w:t>-0.01</w:t>
                                </w:r>
                              </w:p>
                            </w:txbxContent>
                          </wps:txbx>
                          <wps:bodyPr rot="0" vert="horz" wrap="square" lIns="0" tIns="0" rIns="0" bIns="0" anchor="t" anchorCtr="0" upright="1">
                            <a:noAutofit/>
                          </wps:bodyPr>
                        </wps:wsp>
                        <wps:wsp>
                          <wps:cNvPr id="18365" name="Text Box 8454"/>
                          <wps:cNvSpPr txBox="1">
                            <a:spLocks noChangeArrowheads="1"/>
                          </wps:cNvSpPr>
                          <wps:spPr bwMode="auto">
                            <a:xfrm>
                              <a:off x="5586" y="639"/>
                              <a:ext cx="110" cy="11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90A69F" w14:textId="77777777" w:rsidR="00CB53E4" w:rsidRDefault="00CB53E4" w:rsidP="0031675F">
                                <w:pPr>
                                  <w:spacing w:line="101" w:lineRule="exact"/>
                                  <w:ind w:left="27"/>
                                  <w:rPr>
                                    <w:rFonts w:eastAsia="Arial" w:cs="Arial"/>
                                    <w:sz w:val="10"/>
                                    <w:szCs w:val="10"/>
                                  </w:rPr>
                                </w:pPr>
                                <w:r>
                                  <w:rPr>
                                    <w:sz w:val="10"/>
                                  </w:rPr>
                                  <w:t>3</w:t>
                                </w:r>
                              </w:p>
                              <w:p w14:paraId="2254F95B" w14:textId="77777777" w:rsidR="00CB53E4" w:rsidRDefault="00CB53E4" w:rsidP="0031675F">
                                <w:pPr>
                                  <w:spacing w:before="7"/>
                                  <w:ind w:left="27"/>
                                  <w:rPr>
                                    <w:rFonts w:eastAsia="Arial" w:cs="Arial"/>
                                    <w:sz w:val="10"/>
                                    <w:szCs w:val="10"/>
                                  </w:rPr>
                                </w:pPr>
                                <w:r>
                                  <w:rPr>
                                    <w:sz w:val="10"/>
                                  </w:rPr>
                                  <w:t>4</w:t>
                                </w:r>
                              </w:p>
                              <w:p w14:paraId="30EED880" w14:textId="77777777" w:rsidR="00CB53E4" w:rsidRDefault="00CB53E4" w:rsidP="0031675F">
                                <w:pPr>
                                  <w:spacing w:before="7"/>
                                  <w:rPr>
                                    <w:rFonts w:eastAsia="Arial" w:cs="Arial"/>
                                    <w:sz w:val="10"/>
                                    <w:szCs w:val="10"/>
                                  </w:rPr>
                                </w:pPr>
                                <w:r>
                                  <w:rPr>
                                    <w:spacing w:val="-1"/>
                                    <w:w w:val="95"/>
                                    <w:sz w:val="10"/>
                                  </w:rPr>
                                  <w:t>10</w:t>
                                </w:r>
                              </w:p>
                              <w:p w14:paraId="55F46211" w14:textId="77777777" w:rsidR="00CB53E4" w:rsidRDefault="00CB53E4" w:rsidP="0031675F">
                                <w:pPr>
                                  <w:spacing w:before="7"/>
                                  <w:rPr>
                                    <w:rFonts w:eastAsia="Arial" w:cs="Arial"/>
                                    <w:sz w:val="10"/>
                                    <w:szCs w:val="10"/>
                                  </w:rPr>
                                </w:pPr>
                                <w:r>
                                  <w:rPr>
                                    <w:spacing w:val="-1"/>
                                    <w:w w:val="95"/>
                                    <w:sz w:val="10"/>
                                  </w:rPr>
                                  <w:t>11</w:t>
                                </w:r>
                              </w:p>
                              <w:p w14:paraId="1B630F87" w14:textId="77777777" w:rsidR="00CB53E4" w:rsidRDefault="00CB53E4" w:rsidP="0031675F">
                                <w:pPr>
                                  <w:spacing w:before="7"/>
                                  <w:rPr>
                                    <w:rFonts w:eastAsia="Arial" w:cs="Arial"/>
                                    <w:sz w:val="10"/>
                                    <w:szCs w:val="10"/>
                                  </w:rPr>
                                </w:pPr>
                                <w:r>
                                  <w:rPr>
                                    <w:spacing w:val="-1"/>
                                    <w:w w:val="95"/>
                                    <w:sz w:val="10"/>
                                  </w:rPr>
                                  <w:t>31</w:t>
                                </w:r>
                              </w:p>
                              <w:p w14:paraId="4257705B" w14:textId="77777777" w:rsidR="00CB53E4" w:rsidRDefault="00CB53E4" w:rsidP="0031675F">
                                <w:pPr>
                                  <w:spacing w:before="7"/>
                                  <w:rPr>
                                    <w:rFonts w:eastAsia="Arial" w:cs="Arial"/>
                                    <w:sz w:val="10"/>
                                    <w:szCs w:val="10"/>
                                  </w:rPr>
                                </w:pPr>
                                <w:r>
                                  <w:rPr>
                                    <w:spacing w:val="-1"/>
                                    <w:w w:val="95"/>
                                    <w:sz w:val="10"/>
                                  </w:rPr>
                                  <w:t>32</w:t>
                                </w:r>
                              </w:p>
                              <w:p w14:paraId="2F7E2362" w14:textId="77777777" w:rsidR="00CB53E4" w:rsidRDefault="00CB53E4" w:rsidP="0031675F">
                                <w:pPr>
                                  <w:spacing w:before="7"/>
                                  <w:rPr>
                                    <w:rFonts w:eastAsia="Arial" w:cs="Arial"/>
                                    <w:sz w:val="10"/>
                                    <w:szCs w:val="10"/>
                                  </w:rPr>
                                </w:pPr>
                                <w:r>
                                  <w:rPr>
                                    <w:spacing w:val="-1"/>
                                    <w:w w:val="95"/>
                                    <w:sz w:val="10"/>
                                  </w:rPr>
                                  <w:t>54</w:t>
                                </w:r>
                              </w:p>
                              <w:p w14:paraId="152035A7" w14:textId="77777777" w:rsidR="00CB53E4" w:rsidRDefault="00CB53E4" w:rsidP="0031675F">
                                <w:pPr>
                                  <w:spacing w:before="7"/>
                                  <w:rPr>
                                    <w:rFonts w:eastAsia="Arial" w:cs="Arial"/>
                                    <w:sz w:val="10"/>
                                    <w:szCs w:val="10"/>
                                  </w:rPr>
                                </w:pPr>
                                <w:r>
                                  <w:rPr>
                                    <w:spacing w:val="-1"/>
                                    <w:w w:val="95"/>
                                    <w:sz w:val="10"/>
                                  </w:rPr>
                                  <w:t>55</w:t>
                                </w:r>
                              </w:p>
                              <w:p w14:paraId="0FB71359" w14:textId="77777777" w:rsidR="00CB53E4" w:rsidRDefault="00CB53E4" w:rsidP="0031675F">
                                <w:pPr>
                                  <w:spacing w:before="7"/>
                                  <w:rPr>
                                    <w:rFonts w:eastAsia="Arial" w:cs="Arial"/>
                                    <w:sz w:val="10"/>
                                    <w:szCs w:val="10"/>
                                  </w:rPr>
                                </w:pPr>
                                <w:r>
                                  <w:rPr>
                                    <w:spacing w:val="-1"/>
                                    <w:w w:val="95"/>
                                    <w:sz w:val="10"/>
                                  </w:rPr>
                                  <w:t>77</w:t>
                                </w:r>
                              </w:p>
                              <w:p w14:paraId="7D6E0256" w14:textId="77777777" w:rsidR="00CB53E4" w:rsidRDefault="00CB53E4" w:rsidP="0031675F">
                                <w:pPr>
                                  <w:spacing w:before="7" w:line="112" w:lineRule="exact"/>
                                  <w:rPr>
                                    <w:rFonts w:eastAsia="Arial" w:cs="Arial"/>
                                    <w:sz w:val="10"/>
                                    <w:szCs w:val="10"/>
                                  </w:rPr>
                                </w:pPr>
                                <w:r>
                                  <w:rPr>
                                    <w:spacing w:val="-1"/>
                                    <w:w w:val="95"/>
                                    <w:sz w:val="10"/>
                                  </w:rPr>
                                  <w:t>78</w:t>
                                </w:r>
                              </w:p>
                            </w:txbxContent>
                          </wps:txbx>
                          <wps:bodyPr rot="0" vert="horz" wrap="square" lIns="0" tIns="0" rIns="0" bIns="0" anchor="t" anchorCtr="0" upright="1">
                            <a:noAutofit/>
                          </wps:bodyPr>
                        </wps:wsp>
                        <wps:wsp>
                          <wps:cNvPr id="18366" name="Text Box 8453"/>
                          <wps:cNvSpPr txBox="1">
                            <a:spLocks noChangeArrowheads="1"/>
                          </wps:cNvSpPr>
                          <wps:spPr bwMode="auto">
                            <a:xfrm>
                              <a:off x="6045" y="639"/>
                              <a:ext cx="191" cy="11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BD3CD0" w14:textId="77777777" w:rsidR="00CB53E4" w:rsidRDefault="00CB53E4" w:rsidP="0031675F">
                                <w:pPr>
                                  <w:spacing w:line="101" w:lineRule="exact"/>
                                  <w:rPr>
                                    <w:rFonts w:eastAsia="Arial" w:cs="Arial"/>
                                    <w:sz w:val="10"/>
                                    <w:szCs w:val="10"/>
                                  </w:rPr>
                                </w:pPr>
                                <w:r>
                                  <w:rPr>
                                    <w:spacing w:val="-1"/>
                                    <w:w w:val="95"/>
                                    <w:sz w:val="10"/>
                                  </w:rPr>
                                  <w:t>0.64</w:t>
                                </w:r>
                              </w:p>
                              <w:p w14:paraId="5FD2F717" w14:textId="77777777" w:rsidR="00CB53E4" w:rsidRDefault="00CB53E4" w:rsidP="0031675F">
                                <w:pPr>
                                  <w:spacing w:before="7"/>
                                  <w:rPr>
                                    <w:rFonts w:eastAsia="Arial" w:cs="Arial"/>
                                    <w:sz w:val="10"/>
                                    <w:szCs w:val="10"/>
                                  </w:rPr>
                                </w:pPr>
                                <w:r>
                                  <w:rPr>
                                    <w:spacing w:val="-1"/>
                                    <w:w w:val="95"/>
                                    <w:sz w:val="10"/>
                                  </w:rPr>
                                  <w:t>0.43</w:t>
                                </w:r>
                              </w:p>
                              <w:p w14:paraId="3B5E1B6D" w14:textId="77777777" w:rsidR="00CB53E4" w:rsidRDefault="00CB53E4" w:rsidP="0031675F">
                                <w:pPr>
                                  <w:spacing w:before="7"/>
                                  <w:rPr>
                                    <w:rFonts w:eastAsia="Arial" w:cs="Arial"/>
                                    <w:sz w:val="10"/>
                                    <w:szCs w:val="10"/>
                                  </w:rPr>
                                </w:pPr>
                                <w:r>
                                  <w:rPr>
                                    <w:spacing w:val="-1"/>
                                    <w:w w:val="95"/>
                                    <w:sz w:val="10"/>
                                  </w:rPr>
                                  <w:t>0.70</w:t>
                                </w:r>
                              </w:p>
                              <w:p w14:paraId="244EF7EC" w14:textId="77777777" w:rsidR="00CB53E4" w:rsidRDefault="00CB53E4" w:rsidP="0031675F">
                                <w:pPr>
                                  <w:spacing w:before="7"/>
                                  <w:rPr>
                                    <w:rFonts w:eastAsia="Arial" w:cs="Arial"/>
                                    <w:sz w:val="10"/>
                                    <w:szCs w:val="10"/>
                                  </w:rPr>
                                </w:pPr>
                                <w:r>
                                  <w:rPr>
                                    <w:spacing w:val="-1"/>
                                    <w:w w:val="95"/>
                                    <w:sz w:val="10"/>
                                  </w:rPr>
                                  <w:t>0.32</w:t>
                                </w:r>
                              </w:p>
                              <w:p w14:paraId="0489CB9D" w14:textId="77777777" w:rsidR="00CB53E4" w:rsidRDefault="00CB53E4" w:rsidP="0031675F">
                                <w:pPr>
                                  <w:spacing w:before="7"/>
                                  <w:rPr>
                                    <w:rFonts w:eastAsia="Arial" w:cs="Arial"/>
                                    <w:sz w:val="10"/>
                                    <w:szCs w:val="10"/>
                                  </w:rPr>
                                </w:pPr>
                                <w:r>
                                  <w:rPr>
                                    <w:spacing w:val="-1"/>
                                    <w:w w:val="95"/>
                                    <w:sz w:val="10"/>
                                  </w:rPr>
                                  <w:t>0.41</w:t>
                                </w:r>
                              </w:p>
                              <w:p w14:paraId="35550653" w14:textId="77777777" w:rsidR="00CB53E4" w:rsidRDefault="00CB53E4" w:rsidP="0031675F">
                                <w:pPr>
                                  <w:spacing w:before="7"/>
                                  <w:rPr>
                                    <w:rFonts w:eastAsia="Arial" w:cs="Arial"/>
                                    <w:sz w:val="10"/>
                                    <w:szCs w:val="10"/>
                                  </w:rPr>
                                </w:pPr>
                                <w:r>
                                  <w:rPr>
                                    <w:spacing w:val="-1"/>
                                    <w:w w:val="95"/>
                                    <w:sz w:val="10"/>
                                  </w:rPr>
                                  <w:t>0.36</w:t>
                                </w:r>
                              </w:p>
                              <w:p w14:paraId="19E07226" w14:textId="77777777" w:rsidR="00CB53E4" w:rsidRDefault="00CB53E4" w:rsidP="0031675F">
                                <w:pPr>
                                  <w:spacing w:before="7"/>
                                  <w:rPr>
                                    <w:rFonts w:eastAsia="Arial" w:cs="Arial"/>
                                    <w:sz w:val="10"/>
                                    <w:szCs w:val="10"/>
                                  </w:rPr>
                                </w:pPr>
                                <w:r>
                                  <w:rPr>
                                    <w:spacing w:val="-1"/>
                                    <w:w w:val="95"/>
                                    <w:sz w:val="10"/>
                                  </w:rPr>
                                  <w:t>0.43</w:t>
                                </w:r>
                              </w:p>
                              <w:p w14:paraId="5287E708" w14:textId="77777777" w:rsidR="00CB53E4" w:rsidRDefault="00CB53E4" w:rsidP="0031675F">
                                <w:pPr>
                                  <w:spacing w:before="7"/>
                                  <w:rPr>
                                    <w:rFonts w:eastAsia="Arial" w:cs="Arial"/>
                                    <w:sz w:val="10"/>
                                    <w:szCs w:val="10"/>
                                  </w:rPr>
                                </w:pPr>
                                <w:r>
                                  <w:rPr>
                                    <w:spacing w:val="-1"/>
                                    <w:w w:val="95"/>
                                    <w:sz w:val="10"/>
                                  </w:rPr>
                                  <w:t>0.38</w:t>
                                </w:r>
                              </w:p>
                              <w:p w14:paraId="42B705D5" w14:textId="77777777" w:rsidR="00CB53E4" w:rsidRDefault="00CB53E4" w:rsidP="0031675F">
                                <w:pPr>
                                  <w:spacing w:before="7"/>
                                  <w:rPr>
                                    <w:rFonts w:eastAsia="Arial" w:cs="Arial"/>
                                    <w:sz w:val="10"/>
                                    <w:szCs w:val="10"/>
                                  </w:rPr>
                                </w:pPr>
                                <w:r>
                                  <w:rPr>
                                    <w:spacing w:val="-1"/>
                                    <w:w w:val="95"/>
                                    <w:sz w:val="10"/>
                                  </w:rPr>
                                  <w:t>0.39</w:t>
                                </w:r>
                              </w:p>
                              <w:p w14:paraId="026793C0" w14:textId="77777777" w:rsidR="00CB53E4" w:rsidRDefault="00CB53E4" w:rsidP="0031675F">
                                <w:pPr>
                                  <w:spacing w:before="7" w:line="112" w:lineRule="exact"/>
                                  <w:rPr>
                                    <w:rFonts w:eastAsia="Arial" w:cs="Arial"/>
                                    <w:sz w:val="10"/>
                                    <w:szCs w:val="10"/>
                                  </w:rPr>
                                </w:pPr>
                                <w:r>
                                  <w:rPr>
                                    <w:spacing w:val="-1"/>
                                    <w:w w:val="95"/>
                                    <w:sz w:val="10"/>
                                  </w:rPr>
                                  <w:t>0.38</w:t>
                                </w:r>
                              </w:p>
                            </w:txbxContent>
                          </wps:txbx>
                          <wps:bodyPr rot="0" vert="horz" wrap="square" lIns="0" tIns="0" rIns="0" bIns="0" anchor="t" anchorCtr="0" upright="1">
                            <a:noAutofit/>
                          </wps:bodyPr>
                        </wps:wsp>
                        <wps:wsp>
                          <wps:cNvPr id="18367" name="Text Box 8452"/>
                          <wps:cNvSpPr txBox="1">
                            <a:spLocks noChangeArrowheads="1"/>
                          </wps:cNvSpPr>
                          <wps:spPr bwMode="auto">
                            <a:xfrm>
                              <a:off x="6729" y="689"/>
                              <a:ext cx="16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C53074" w14:textId="77777777" w:rsidR="00CB53E4" w:rsidRDefault="00CB53E4" w:rsidP="0031675F">
                                <w:pPr>
                                  <w:spacing w:line="85" w:lineRule="exact"/>
                                  <w:rPr>
                                    <w:rFonts w:eastAsia="Arial" w:cs="Arial"/>
                                    <w:sz w:val="8"/>
                                    <w:szCs w:val="8"/>
                                  </w:rPr>
                                </w:pPr>
                                <w:r>
                                  <w:rPr>
                                    <w:spacing w:val="-1"/>
                                    <w:w w:val="105"/>
                                    <w:sz w:val="8"/>
                                  </w:rPr>
                                  <w:t>0.80</w:t>
                                </w:r>
                              </w:p>
                              <w:p w14:paraId="52E0AB01" w14:textId="77777777" w:rsidR="00CB53E4" w:rsidRDefault="00CB53E4" w:rsidP="0031675F">
                                <w:pPr>
                                  <w:spacing w:before="11"/>
                                  <w:rPr>
                                    <w:rFonts w:eastAsia="Arial" w:cs="Arial"/>
                                    <w:b/>
                                    <w:bCs/>
                                    <w:sz w:val="7"/>
                                    <w:szCs w:val="7"/>
                                  </w:rPr>
                                </w:pPr>
                              </w:p>
                              <w:p w14:paraId="100D2F8A" w14:textId="77777777" w:rsidR="00CB53E4" w:rsidRDefault="00CB53E4" w:rsidP="0031675F">
                                <w:pPr>
                                  <w:spacing w:line="91" w:lineRule="exact"/>
                                  <w:rPr>
                                    <w:rFonts w:eastAsia="Arial" w:cs="Arial"/>
                                    <w:sz w:val="8"/>
                                    <w:szCs w:val="8"/>
                                  </w:rPr>
                                </w:pPr>
                                <w:r>
                                  <w:rPr>
                                    <w:spacing w:val="-1"/>
                                    <w:w w:val="105"/>
                                    <w:sz w:val="8"/>
                                  </w:rPr>
                                  <w:t>0.70</w:t>
                                </w:r>
                              </w:p>
                            </w:txbxContent>
                          </wps:txbx>
                          <wps:bodyPr rot="0" vert="horz" wrap="square" lIns="0" tIns="0" rIns="0" bIns="0" anchor="t" anchorCtr="0" upright="1">
                            <a:noAutofit/>
                          </wps:bodyPr>
                        </wps:wsp>
                        <wps:wsp>
                          <wps:cNvPr id="18368" name="Text Box 8451"/>
                          <wps:cNvSpPr txBox="1">
                            <a:spLocks noChangeArrowheads="1"/>
                          </wps:cNvSpPr>
                          <wps:spPr bwMode="auto">
                            <a:xfrm>
                              <a:off x="8086" y="938"/>
                              <a:ext cx="33" cy="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ED9CDE" w14:textId="77777777" w:rsidR="00CB53E4" w:rsidRDefault="00CB53E4" w:rsidP="0031675F">
                                <w:pPr>
                                  <w:spacing w:line="59" w:lineRule="exact"/>
                                  <w:rPr>
                                    <w:rFonts w:eastAsia="Arial" w:cs="Arial"/>
                                    <w:sz w:val="6"/>
                                    <w:szCs w:val="6"/>
                                  </w:rPr>
                                </w:pPr>
                                <w:r>
                                  <w:rPr>
                                    <w:sz w:val="6"/>
                                  </w:rPr>
                                  <w:t>2</w:t>
                                </w:r>
                              </w:p>
                            </w:txbxContent>
                          </wps:txbx>
                          <wps:bodyPr rot="0" vert="horz" wrap="square" lIns="0" tIns="0" rIns="0" bIns="0" anchor="t" anchorCtr="0" upright="1">
                            <a:noAutofit/>
                          </wps:bodyPr>
                        </wps:wsp>
                        <wps:wsp>
                          <wps:cNvPr id="18369" name="Text Box 8450"/>
                          <wps:cNvSpPr txBox="1">
                            <a:spLocks noChangeArrowheads="1"/>
                          </wps:cNvSpPr>
                          <wps:spPr bwMode="auto">
                            <a:xfrm>
                              <a:off x="214" y="1006"/>
                              <a:ext cx="110" cy="95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101A99" w14:textId="77777777" w:rsidR="00CB53E4" w:rsidRDefault="00CB53E4" w:rsidP="0031675F">
                                <w:pPr>
                                  <w:spacing w:line="101" w:lineRule="exact"/>
                                  <w:ind w:left="27"/>
                                  <w:rPr>
                                    <w:rFonts w:eastAsia="Arial" w:cs="Arial"/>
                                    <w:sz w:val="10"/>
                                    <w:szCs w:val="10"/>
                                  </w:rPr>
                                </w:pPr>
                                <w:r>
                                  <w:rPr>
                                    <w:sz w:val="10"/>
                                  </w:rPr>
                                  <w:t>1</w:t>
                                </w:r>
                              </w:p>
                              <w:p w14:paraId="6CD901BF" w14:textId="77777777" w:rsidR="00CB53E4" w:rsidRDefault="00CB53E4" w:rsidP="0031675F">
                                <w:pPr>
                                  <w:spacing w:before="7"/>
                                  <w:ind w:left="27"/>
                                  <w:rPr>
                                    <w:rFonts w:eastAsia="Arial" w:cs="Arial"/>
                                    <w:sz w:val="10"/>
                                    <w:szCs w:val="10"/>
                                  </w:rPr>
                                </w:pPr>
                                <w:r>
                                  <w:rPr>
                                    <w:sz w:val="10"/>
                                  </w:rPr>
                                  <w:t>2</w:t>
                                </w:r>
                              </w:p>
                              <w:p w14:paraId="5C24F5FE" w14:textId="77777777" w:rsidR="00CB53E4" w:rsidRDefault="00CB53E4" w:rsidP="0031675F">
                                <w:pPr>
                                  <w:spacing w:before="7"/>
                                  <w:ind w:left="27"/>
                                  <w:rPr>
                                    <w:rFonts w:eastAsia="Arial" w:cs="Arial"/>
                                    <w:sz w:val="10"/>
                                    <w:szCs w:val="10"/>
                                  </w:rPr>
                                </w:pPr>
                                <w:r>
                                  <w:rPr>
                                    <w:sz w:val="10"/>
                                  </w:rPr>
                                  <w:t>3</w:t>
                                </w:r>
                              </w:p>
                              <w:p w14:paraId="10FE09FC" w14:textId="77777777" w:rsidR="00CB53E4" w:rsidRDefault="00CB53E4" w:rsidP="0031675F">
                                <w:pPr>
                                  <w:spacing w:before="7"/>
                                  <w:ind w:left="27"/>
                                  <w:rPr>
                                    <w:rFonts w:eastAsia="Arial" w:cs="Arial"/>
                                    <w:sz w:val="10"/>
                                    <w:szCs w:val="10"/>
                                  </w:rPr>
                                </w:pPr>
                                <w:r>
                                  <w:rPr>
                                    <w:sz w:val="10"/>
                                  </w:rPr>
                                  <w:t>4</w:t>
                                </w:r>
                              </w:p>
                              <w:p w14:paraId="7CD1D3EC" w14:textId="77777777" w:rsidR="00CB53E4" w:rsidRDefault="00CB53E4" w:rsidP="0031675F">
                                <w:pPr>
                                  <w:spacing w:before="7"/>
                                  <w:ind w:left="27"/>
                                  <w:rPr>
                                    <w:rFonts w:eastAsia="Arial" w:cs="Arial"/>
                                    <w:sz w:val="10"/>
                                    <w:szCs w:val="10"/>
                                  </w:rPr>
                                </w:pPr>
                                <w:r>
                                  <w:rPr>
                                    <w:sz w:val="10"/>
                                  </w:rPr>
                                  <w:t>5</w:t>
                                </w:r>
                              </w:p>
                              <w:p w14:paraId="18BBFA99" w14:textId="77777777" w:rsidR="00CB53E4" w:rsidRDefault="00CB53E4" w:rsidP="0031675F">
                                <w:pPr>
                                  <w:spacing w:before="7"/>
                                  <w:ind w:left="27"/>
                                  <w:rPr>
                                    <w:rFonts w:eastAsia="Arial" w:cs="Arial"/>
                                    <w:sz w:val="10"/>
                                    <w:szCs w:val="10"/>
                                  </w:rPr>
                                </w:pPr>
                                <w:r>
                                  <w:rPr>
                                    <w:sz w:val="10"/>
                                  </w:rPr>
                                  <w:t>6</w:t>
                                </w:r>
                              </w:p>
                              <w:p w14:paraId="7E898EC7" w14:textId="77777777" w:rsidR="00CB53E4" w:rsidRDefault="00CB53E4" w:rsidP="0031675F">
                                <w:pPr>
                                  <w:spacing w:before="7"/>
                                  <w:ind w:left="27"/>
                                  <w:rPr>
                                    <w:rFonts w:eastAsia="Arial" w:cs="Arial"/>
                                    <w:sz w:val="10"/>
                                    <w:szCs w:val="10"/>
                                  </w:rPr>
                                </w:pPr>
                                <w:r>
                                  <w:rPr>
                                    <w:sz w:val="10"/>
                                  </w:rPr>
                                  <w:t>7</w:t>
                                </w:r>
                              </w:p>
                              <w:p w14:paraId="7E376844" w14:textId="77777777" w:rsidR="00CB53E4" w:rsidRDefault="00CB53E4" w:rsidP="0031675F">
                                <w:pPr>
                                  <w:spacing w:before="7"/>
                                  <w:ind w:left="27"/>
                                  <w:rPr>
                                    <w:rFonts w:eastAsia="Arial" w:cs="Arial"/>
                                    <w:sz w:val="10"/>
                                    <w:szCs w:val="10"/>
                                  </w:rPr>
                                </w:pPr>
                                <w:r>
                                  <w:rPr>
                                    <w:sz w:val="10"/>
                                  </w:rPr>
                                  <w:t>8</w:t>
                                </w:r>
                              </w:p>
                              <w:p w14:paraId="2EA80233" w14:textId="77777777" w:rsidR="00CB53E4" w:rsidRDefault="00CB53E4" w:rsidP="0031675F">
                                <w:pPr>
                                  <w:spacing w:before="7"/>
                                  <w:ind w:left="27"/>
                                  <w:rPr>
                                    <w:rFonts w:eastAsia="Arial" w:cs="Arial"/>
                                    <w:sz w:val="10"/>
                                    <w:szCs w:val="10"/>
                                  </w:rPr>
                                </w:pPr>
                                <w:r>
                                  <w:rPr>
                                    <w:sz w:val="10"/>
                                  </w:rPr>
                                  <w:t>9</w:t>
                                </w:r>
                              </w:p>
                              <w:p w14:paraId="7E691DFD" w14:textId="77777777" w:rsidR="00CB53E4" w:rsidRDefault="00CB53E4" w:rsidP="0031675F">
                                <w:pPr>
                                  <w:spacing w:before="7"/>
                                  <w:rPr>
                                    <w:rFonts w:eastAsia="Arial" w:cs="Arial"/>
                                    <w:sz w:val="10"/>
                                    <w:szCs w:val="10"/>
                                  </w:rPr>
                                </w:pPr>
                                <w:r>
                                  <w:rPr>
                                    <w:spacing w:val="-1"/>
                                    <w:w w:val="95"/>
                                    <w:sz w:val="10"/>
                                  </w:rPr>
                                  <w:t>10</w:t>
                                </w:r>
                              </w:p>
                              <w:p w14:paraId="21B06D58" w14:textId="77777777" w:rsidR="00CB53E4" w:rsidRDefault="00CB53E4" w:rsidP="0031675F">
                                <w:pPr>
                                  <w:spacing w:before="7"/>
                                  <w:rPr>
                                    <w:rFonts w:eastAsia="Arial" w:cs="Arial"/>
                                    <w:sz w:val="10"/>
                                    <w:szCs w:val="10"/>
                                  </w:rPr>
                                </w:pPr>
                                <w:r>
                                  <w:rPr>
                                    <w:spacing w:val="-1"/>
                                    <w:w w:val="95"/>
                                    <w:sz w:val="10"/>
                                  </w:rPr>
                                  <w:t>11</w:t>
                                </w:r>
                              </w:p>
                              <w:p w14:paraId="085F9B52" w14:textId="77777777" w:rsidR="00CB53E4" w:rsidRDefault="00CB53E4" w:rsidP="0031675F">
                                <w:pPr>
                                  <w:spacing w:before="7"/>
                                  <w:rPr>
                                    <w:rFonts w:eastAsia="Arial" w:cs="Arial"/>
                                    <w:sz w:val="10"/>
                                    <w:szCs w:val="10"/>
                                  </w:rPr>
                                </w:pPr>
                                <w:r>
                                  <w:rPr>
                                    <w:spacing w:val="-1"/>
                                    <w:w w:val="95"/>
                                    <w:sz w:val="10"/>
                                  </w:rPr>
                                  <w:t>12</w:t>
                                </w:r>
                              </w:p>
                              <w:p w14:paraId="56D63DCD" w14:textId="77777777" w:rsidR="00CB53E4" w:rsidRDefault="00CB53E4" w:rsidP="0031675F">
                                <w:pPr>
                                  <w:spacing w:before="7"/>
                                  <w:rPr>
                                    <w:rFonts w:eastAsia="Arial" w:cs="Arial"/>
                                    <w:sz w:val="10"/>
                                    <w:szCs w:val="10"/>
                                  </w:rPr>
                                </w:pPr>
                                <w:r>
                                  <w:rPr>
                                    <w:spacing w:val="-1"/>
                                    <w:w w:val="95"/>
                                    <w:sz w:val="10"/>
                                  </w:rPr>
                                  <w:t>13</w:t>
                                </w:r>
                              </w:p>
                              <w:p w14:paraId="740DD755" w14:textId="77777777" w:rsidR="00CB53E4" w:rsidRDefault="00CB53E4" w:rsidP="0031675F">
                                <w:pPr>
                                  <w:spacing w:before="7"/>
                                  <w:rPr>
                                    <w:rFonts w:eastAsia="Arial" w:cs="Arial"/>
                                    <w:sz w:val="10"/>
                                    <w:szCs w:val="10"/>
                                  </w:rPr>
                                </w:pPr>
                                <w:r>
                                  <w:rPr>
                                    <w:spacing w:val="-1"/>
                                    <w:w w:val="95"/>
                                    <w:sz w:val="10"/>
                                  </w:rPr>
                                  <w:t>14</w:t>
                                </w:r>
                              </w:p>
                              <w:p w14:paraId="520ACD5E" w14:textId="77777777" w:rsidR="00CB53E4" w:rsidRDefault="00CB53E4" w:rsidP="0031675F">
                                <w:pPr>
                                  <w:spacing w:before="7"/>
                                  <w:rPr>
                                    <w:rFonts w:eastAsia="Arial" w:cs="Arial"/>
                                    <w:sz w:val="10"/>
                                    <w:szCs w:val="10"/>
                                  </w:rPr>
                                </w:pPr>
                                <w:r>
                                  <w:rPr>
                                    <w:spacing w:val="-1"/>
                                    <w:w w:val="95"/>
                                    <w:sz w:val="10"/>
                                  </w:rPr>
                                  <w:t>15</w:t>
                                </w:r>
                              </w:p>
                              <w:p w14:paraId="037561CC" w14:textId="77777777" w:rsidR="00CB53E4" w:rsidRDefault="00CB53E4" w:rsidP="0031675F">
                                <w:pPr>
                                  <w:spacing w:before="7"/>
                                  <w:rPr>
                                    <w:rFonts w:eastAsia="Arial" w:cs="Arial"/>
                                    <w:sz w:val="10"/>
                                    <w:szCs w:val="10"/>
                                  </w:rPr>
                                </w:pPr>
                                <w:r>
                                  <w:rPr>
                                    <w:spacing w:val="-1"/>
                                    <w:w w:val="95"/>
                                    <w:sz w:val="10"/>
                                  </w:rPr>
                                  <w:t>16</w:t>
                                </w:r>
                              </w:p>
                              <w:p w14:paraId="49358FFF" w14:textId="77777777" w:rsidR="00CB53E4" w:rsidRDefault="00CB53E4" w:rsidP="0031675F">
                                <w:pPr>
                                  <w:spacing w:before="7"/>
                                  <w:rPr>
                                    <w:rFonts w:eastAsia="Arial" w:cs="Arial"/>
                                    <w:sz w:val="10"/>
                                    <w:szCs w:val="10"/>
                                  </w:rPr>
                                </w:pPr>
                                <w:r>
                                  <w:rPr>
                                    <w:spacing w:val="-1"/>
                                    <w:w w:val="95"/>
                                    <w:sz w:val="10"/>
                                  </w:rPr>
                                  <w:t>17</w:t>
                                </w:r>
                              </w:p>
                              <w:p w14:paraId="26E20F04" w14:textId="77777777" w:rsidR="00CB53E4" w:rsidRDefault="00CB53E4" w:rsidP="0031675F">
                                <w:pPr>
                                  <w:spacing w:before="7"/>
                                  <w:rPr>
                                    <w:rFonts w:eastAsia="Arial" w:cs="Arial"/>
                                    <w:sz w:val="10"/>
                                    <w:szCs w:val="10"/>
                                  </w:rPr>
                                </w:pPr>
                                <w:r>
                                  <w:rPr>
                                    <w:spacing w:val="-1"/>
                                    <w:w w:val="95"/>
                                    <w:sz w:val="10"/>
                                  </w:rPr>
                                  <w:t>18</w:t>
                                </w:r>
                              </w:p>
                              <w:p w14:paraId="4966DD13" w14:textId="77777777" w:rsidR="00CB53E4" w:rsidRDefault="00CB53E4" w:rsidP="0031675F">
                                <w:pPr>
                                  <w:spacing w:before="7"/>
                                  <w:rPr>
                                    <w:rFonts w:eastAsia="Arial" w:cs="Arial"/>
                                    <w:sz w:val="10"/>
                                    <w:szCs w:val="10"/>
                                  </w:rPr>
                                </w:pPr>
                                <w:r>
                                  <w:rPr>
                                    <w:spacing w:val="-1"/>
                                    <w:w w:val="95"/>
                                    <w:sz w:val="10"/>
                                  </w:rPr>
                                  <w:t>19</w:t>
                                </w:r>
                              </w:p>
                              <w:p w14:paraId="0A3C0CD4" w14:textId="77777777" w:rsidR="00CB53E4" w:rsidRDefault="00CB53E4" w:rsidP="0031675F">
                                <w:pPr>
                                  <w:spacing w:before="7"/>
                                  <w:rPr>
                                    <w:rFonts w:eastAsia="Arial" w:cs="Arial"/>
                                    <w:sz w:val="10"/>
                                    <w:szCs w:val="10"/>
                                  </w:rPr>
                                </w:pPr>
                                <w:r>
                                  <w:rPr>
                                    <w:spacing w:val="-1"/>
                                    <w:w w:val="95"/>
                                    <w:sz w:val="10"/>
                                  </w:rPr>
                                  <w:t>20</w:t>
                                </w:r>
                              </w:p>
                              <w:p w14:paraId="3CC4DC36" w14:textId="77777777" w:rsidR="00CB53E4" w:rsidRDefault="00CB53E4" w:rsidP="0031675F">
                                <w:pPr>
                                  <w:spacing w:before="7"/>
                                  <w:rPr>
                                    <w:rFonts w:eastAsia="Arial" w:cs="Arial"/>
                                    <w:sz w:val="10"/>
                                    <w:szCs w:val="10"/>
                                  </w:rPr>
                                </w:pPr>
                                <w:r>
                                  <w:rPr>
                                    <w:spacing w:val="-1"/>
                                    <w:w w:val="95"/>
                                    <w:sz w:val="10"/>
                                  </w:rPr>
                                  <w:t>21</w:t>
                                </w:r>
                              </w:p>
                              <w:p w14:paraId="6740CA1F" w14:textId="77777777" w:rsidR="00CB53E4" w:rsidRDefault="00CB53E4" w:rsidP="0031675F">
                                <w:pPr>
                                  <w:spacing w:before="7"/>
                                  <w:rPr>
                                    <w:rFonts w:eastAsia="Arial" w:cs="Arial"/>
                                    <w:sz w:val="10"/>
                                    <w:szCs w:val="10"/>
                                  </w:rPr>
                                </w:pPr>
                                <w:r>
                                  <w:rPr>
                                    <w:spacing w:val="-1"/>
                                    <w:w w:val="95"/>
                                    <w:sz w:val="10"/>
                                  </w:rPr>
                                  <w:t>22</w:t>
                                </w:r>
                              </w:p>
                              <w:p w14:paraId="3B97048B" w14:textId="77777777" w:rsidR="00CB53E4" w:rsidRDefault="00CB53E4" w:rsidP="0031675F">
                                <w:pPr>
                                  <w:spacing w:before="7"/>
                                  <w:rPr>
                                    <w:rFonts w:eastAsia="Arial" w:cs="Arial"/>
                                    <w:sz w:val="10"/>
                                    <w:szCs w:val="10"/>
                                  </w:rPr>
                                </w:pPr>
                                <w:r>
                                  <w:rPr>
                                    <w:spacing w:val="-1"/>
                                    <w:w w:val="95"/>
                                    <w:sz w:val="10"/>
                                  </w:rPr>
                                  <w:t>23</w:t>
                                </w:r>
                              </w:p>
                              <w:p w14:paraId="2B9616F3" w14:textId="77777777" w:rsidR="00CB53E4" w:rsidRDefault="00CB53E4" w:rsidP="0031675F">
                                <w:pPr>
                                  <w:spacing w:before="7"/>
                                  <w:rPr>
                                    <w:rFonts w:eastAsia="Arial" w:cs="Arial"/>
                                    <w:sz w:val="10"/>
                                    <w:szCs w:val="10"/>
                                  </w:rPr>
                                </w:pPr>
                                <w:r>
                                  <w:rPr>
                                    <w:spacing w:val="-1"/>
                                    <w:w w:val="95"/>
                                    <w:sz w:val="10"/>
                                  </w:rPr>
                                  <w:t>24</w:t>
                                </w:r>
                              </w:p>
                              <w:p w14:paraId="37FB2293" w14:textId="77777777" w:rsidR="00CB53E4" w:rsidRDefault="00CB53E4" w:rsidP="0031675F">
                                <w:pPr>
                                  <w:spacing w:before="7"/>
                                  <w:rPr>
                                    <w:rFonts w:eastAsia="Arial" w:cs="Arial"/>
                                    <w:sz w:val="10"/>
                                    <w:szCs w:val="10"/>
                                  </w:rPr>
                                </w:pPr>
                                <w:r>
                                  <w:rPr>
                                    <w:spacing w:val="-1"/>
                                    <w:w w:val="95"/>
                                    <w:sz w:val="10"/>
                                  </w:rPr>
                                  <w:t>25</w:t>
                                </w:r>
                              </w:p>
                              <w:p w14:paraId="386A2104" w14:textId="77777777" w:rsidR="00CB53E4" w:rsidRDefault="00CB53E4" w:rsidP="0031675F">
                                <w:pPr>
                                  <w:spacing w:before="7"/>
                                  <w:rPr>
                                    <w:rFonts w:eastAsia="Arial" w:cs="Arial"/>
                                    <w:sz w:val="10"/>
                                    <w:szCs w:val="10"/>
                                  </w:rPr>
                                </w:pPr>
                                <w:r>
                                  <w:rPr>
                                    <w:spacing w:val="-1"/>
                                    <w:w w:val="95"/>
                                    <w:sz w:val="10"/>
                                  </w:rPr>
                                  <w:t>26</w:t>
                                </w:r>
                              </w:p>
                              <w:p w14:paraId="5A817875" w14:textId="77777777" w:rsidR="00CB53E4" w:rsidRDefault="00CB53E4" w:rsidP="0031675F">
                                <w:pPr>
                                  <w:spacing w:before="7"/>
                                  <w:rPr>
                                    <w:rFonts w:eastAsia="Arial" w:cs="Arial"/>
                                    <w:sz w:val="10"/>
                                    <w:szCs w:val="10"/>
                                  </w:rPr>
                                </w:pPr>
                                <w:r>
                                  <w:rPr>
                                    <w:spacing w:val="-1"/>
                                    <w:w w:val="95"/>
                                    <w:sz w:val="10"/>
                                  </w:rPr>
                                  <w:t>27</w:t>
                                </w:r>
                              </w:p>
                              <w:p w14:paraId="33F710D3" w14:textId="77777777" w:rsidR="00CB53E4" w:rsidRDefault="00CB53E4" w:rsidP="0031675F">
                                <w:pPr>
                                  <w:spacing w:before="7"/>
                                  <w:rPr>
                                    <w:rFonts w:eastAsia="Arial" w:cs="Arial"/>
                                    <w:sz w:val="10"/>
                                    <w:szCs w:val="10"/>
                                  </w:rPr>
                                </w:pPr>
                                <w:r>
                                  <w:rPr>
                                    <w:spacing w:val="-1"/>
                                    <w:w w:val="95"/>
                                    <w:sz w:val="10"/>
                                  </w:rPr>
                                  <w:t>28</w:t>
                                </w:r>
                              </w:p>
                              <w:p w14:paraId="284D2CD8" w14:textId="77777777" w:rsidR="00CB53E4" w:rsidRDefault="00CB53E4" w:rsidP="0031675F">
                                <w:pPr>
                                  <w:spacing w:before="7"/>
                                  <w:rPr>
                                    <w:rFonts w:eastAsia="Arial" w:cs="Arial"/>
                                    <w:sz w:val="10"/>
                                    <w:szCs w:val="10"/>
                                  </w:rPr>
                                </w:pPr>
                                <w:r>
                                  <w:rPr>
                                    <w:spacing w:val="-1"/>
                                    <w:w w:val="95"/>
                                    <w:sz w:val="10"/>
                                  </w:rPr>
                                  <w:t>29</w:t>
                                </w:r>
                              </w:p>
                              <w:p w14:paraId="33BE2B2B" w14:textId="77777777" w:rsidR="00CB53E4" w:rsidRDefault="00CB53E4" w:rsidP="0031675F">
                                <w:pPr>
                                  <w:spacing w:before="7"/>
                                  <w:rPr>
                                    <w:rFonts w:eastAsia="Arial" w:cs="Arial"/>
                                    <w:sz w:val="10"/>
                                    <w:szCs w:val="10"/>
                                  </w:rPr>
                                </w:pPr>
                                <w:r>
                                  <w:rPr>
                                    <w:spacing w:val="-1"/>
                                    <w:w w:val="95"/>
                                    <w:sz w:val="10"/>
                                  </w:rPr>
                                  <w:t>30</w:t>
                                </w:r>
                              </w:p>
                              <w:p w14:paraId="218ADC27" w14:textId="77777777" w:rsidR="00CB53E4" w:rsidRDefault="00CB53E4" w:rsidP="0031675F">
                                <w:pPr>
                                  <w:spacing w:before="7"/>
                                  <w:rPr>
                                    <w:rFonts w:eastAsia="Arial" w:cs="Arial"/>
                                    <w:sz w:val="10"/>
                                    <w:szCs w:val="10"/>
                                  </w:rPr>
                                </w:pPr>
                                <w:r>
                                  <w:rPr>
                                    <w:spacing w:val="-1"/>
                                    <w:w w:val="95"/>
                                    <w:sz w:val="10"/>
                                  </w:rPr>
                                  <w:t>31</w:t>
                                </w:r>
                              </w:p>
                              <w:p w14:paraId="672C7B3D" w14:textId="77777777" w:rsidR="00CB53E4" w:rsidRDefault="00CB53E4" w:rsidP="0031675F">
                                <w:pPr>
                                  <w:spacing w:before="7"/>
                                  <w:rPr>
                                    <w:rFonts w:eastAsia="Arial" w:cs="Arial"/>
                                    <w:sz w:val="10"/>
                                    <w:szCs w:val="10"/>
                                  </w:rPr>
                                </w:pPr>
                                <w:r>
                                  <w:rPr>
                                    <w:spacing w:val="-1"/>
                                    <w:w w:val="95"/>
                                    <w:sz w:val="10"/>
                                  </w:rPr>
                                  <w:t>32</w:t>
                                </w:r>
                              </w:p>
                              <w:p w14:paraId="3080C068" w14:textId="77777777" w:rsidR="00CB53E4" w:rsidRDefault="00CB53E4" w:rsidP="0031675F">
                                <w:pPr>
                                  <w:spacing w:before="7"/>
                                  <w:rPr>
                                    <w:rFonts w:eastAsia="Arial" w:cs="Arial"/>
                                    <w:sz w:val="10"/>
                                    <w:szCs w:val="10"/>
                                  </w:rPr>
                                </w:pPr>
                                <w:r>
                                  <w:rPr>
                                    <w:spacing w:val="-1"/>
                                    <w:w w:val="95"/>
                                    <w:sz w:val="10"/>
                                  </w:rPr>
                                  <w:t>33</w:t>
                                </w:r>
                              </w:p>
                              <w:p w14:paraId="5662292D" w14:textId="77777777" w:rsidR="00CB53E4" w:rsidRDefault="00CB53E4" w:rsidP="0031675F">
                                <w:pPr>
                                  <w:spacing w:before="7"/>
                                  <w:rPr>
                                    <w:rFonts w:eastAsia="Arial" w:cs="Arial"/>
                                    <w:sz w:val="10"/>
                                    <w:szCs w:val="10"/>
                                  </w:rPr>
                                </w:pPr>
                                <w:r>
                                  <w:rPr>
                                    <w:spacing w:val="-1"/>
                                    <w:w w:val="95"/>
                                    <w:sz w:val="10"/>
                                  </w:rPr>
                                  <w:t>34</w:t>
                                </w:r>
                              </w:p>
                              <w:p w14:paraId="0ED2838F" w14:textId="77777777" w:rsidR="00CB53E4" w:rsidRDefault="00CB53E4" w:rsidP="0031675F">
                                <w:pPr>
                                  <w:spacing w:before="7"/>
                                  <w:rPr>
                                    <w:rFonts w:eastAsia="Arial" w:cs="Arial"/>
                                    <w:sz w:val="10"/>
                                    <w:szCs w:val="10"/>
                                  </w:rPr>
                                </w:pPr>
                                <w:r>
                                  <w:rPr>
                                    <w:spacing w:val="-1"/>
                                    <w:w w:val="95"/>
                                    <w:sz w:val="10"/>
                                  </w:rPr>
                                  <w:t>35</w:t>
                                </w:r>
                              </w:p>
                              <w:p w14:paraId="3D0DC11E" w14:textId="77777777" w:rsidR="00CB53E4" w:rsidRDefault="00CB53E4" w:rsidP="0031675F">
                                <w:pPr>
                                  <w:spacing w:before="7"/>
                                  <w:rPr>
                                    <w:rFonts w:eastAsia="Arial" w:cs="Arial"/>
                                    <w:sz w:val="10"/>
                                    <w:szCs w:val="10"/>
                                  </w:rPr>
                                </w:pPr>
                                <w:r>
                                  <w:rPr>
                                    <w:spacing w:val="-1"/>
                                    <w:w w:val="95"/>
                                    <w:sz w:val="10"/>
                                  </w:rPr>
                                  <w:t>36</w:t>
                                </w:r>
                              </w:p>
                              <w:p w14:paraId="53B67044" w14:textId="77777777" w:rsidR="00CB53E4" w:rsidRDefault="00CB53E4" w:rsidP="0031675F">
                                <w:pPr>
                                  <w:spacing w:before="7"/>
                                  <w:rPr>
                                    <w:rFonts w:eastAsia="Arial" w:cs="Arial"/>
                                    <w:sz w:val="10"/>
                                    <w:szCs w:val="10"/>
                                  </w:rPr>
                                </w:pPr>
                                <w:r>
                                  <w:rPr>
                                    <w:spacing w:val="-1"/>
                                    <w:w w:val="95"/>
                                    <w:sz w:val="10"/>
                                  </w:rPr>
                                  <w:t>37</w:t>
                                </w:r>
                              </w:p>
                              <w:p w14:paraId="18FDCEC7" w14:textId="77777777" w:rsidR="00CB53E4" w:rsidRDefault="00CB53E4" w:rsidP="0031675F">
                                <w:pPr>
                                  <w:spacing w:before="7"/>
                                  <w:rPr>
                                    <w:rFonts w:eastAsia="Arial" w:cs="Arial"/>
                                    <w:sz w:val="10"/>
                                    <w:szCs w:val="10"/>
                                  </w:rPr>
                                </w:pPr>
                                <w:r>
                                  <w:rPr>
                                    <w:spacing w:val="-1"/>
                                    <w:w w:val="95"/>
                                    <w:sz w:val="10"/>
                                  </w:rPr>
                                  <w:t>38</w:t>
                                </w:r>
                              </w:p>
                              <w:p w14:paraId="5BF25540" w14:textId="77777777" w:rsidR="00CB53E4" w:rsidRDefault="00CB53E4" w:rsidP="0031675F">
                                <w:pPr>
                                  <w:spacing w:before="7"/>
                                  <w:rPr>
                                    <w:rFonts w:eastAsia="Arial" w:cs="Arial"/>
                                    <w:sz w:val="10"/>
                                    <w:szCs w:val="10"/>
                                  </w:rPr>
                                </w:pPr>
                                <w:r>
                                  <w:rPr>
                                    <w:spacing w:val="-1"/>
                                    <w:w w:val="95"/>
                                    <w:sz w:val="10"/>
                                  </w:rPr>
                                  <w:t>39</w:t>
                                </w:r>
                              </w:p>
                              <w:p w14:paraId="7ABD517D" w14:textId="77777777" w:rsidR="00CB53E4" w:rsidRDefault="00CB53E4" w:rsidP="0031675F">
                                <w:pPr>
                                  <w:spacing w:before="7"/>
                                  <w:rPr>
                                    <w:rFonts w:eastAsia="Arial" w:cs="Arial"/>
                                    <w:sz w:val="10"/>
                                    <w:szCs w:val="10"/>
                                  </w:rPr>
                                </w:pPr>
                                <w:r>
                                  <w:rPr>
                                    <w:spacing w:val="-1"/>
                                    <w:w w:val="95"/>
                                    <w:sz w:val="10"/>
                                  </w:rPr>
                                  <w:t>40</w:t>
                                </w:r>
                              </w:p>
                              <w:p w14:paraId="4BEC0F10" w14:textId="77777777" w:rsidR="00CB53E4" w:rsidRDefault="00CB53E4" w:rsidP="0031675F">
                                <w:pPr>
                                  <w:spacing w:before="7"/>
                                  <w:rPr>
                                    <w:rFonts w:eastAsia="Arial" w:cs="Arial"/>
                                    <w:sz w:val="10"/>
                                    <w:szCs w:val="10"/>
                                  </w:rPr>
                                </w:pPr>
                                <w:r>
                                  <w:rPr>
                                    <w:spacing w:val="-1"/>
                                    <w:w w:val="95"/>
                                    <w:sz w:val="10"/>
                                  </w:rPr>
                                  <w:t>41</w:t>
                                </w:r>
                              </w:p>
                              <w:p w14:paraId="3A0AACF5" w14:textId="77777777" w:rsidR="00CB53E4" w:rsidRDefault="00CB53E4" w:rsidP="0031675F">
                                <w:pPr>
                                  <w:spacing w:before="7"/>
                                  <w:rPr>
                                    <w:rFonts w:eastAsia="Arial" w:cs="Arial"/>
                                    <w:sz w:val="10"/>
                                    <w:szCs w:val="10"/>
                                  </w:rPr>
                                </w:pPr>
                                <w:r>
                                  <w:rPr>
                                    <w:spacing w:val="-1"/>
                                    <w:w w:val="95"/>
                                    <w:sz w:val="10"/>
                                  </w:rPr>
                                  <w:t>42</w:t>
                                </w:r>
                              </w:p>
                              <w:p w14:paraId="469A0C2B" w14:textId="77777777" w:rsidR="00CB53E4" w:rsidRDefault="00CB53E4" w:rsidP="0031675F">
                                <w:pPr>
                                  <w:spacing w:before="7"/>
                                  <w:rPr>
                                    <w:rFonts w:eastAsia="Arial" w:cs="Arial"/>
                                    <w:sz w:val="10"/>
                                    <w:szCs w:val="10"/>
                                  </w:rPr>
                                </w:pPr>
                                <w:r>
                                  <w:rPr>
                                    <w:spacing w:val="-1"/>
                                    <w:w w:val="95"/>
                                    <w:sz w:val="10"/>
                                  </w:rPr>
                                  <w:t>43</w:t>
                                </w:r>
                              </w:p>
                              <w:p w14:paraId="1ED1AD4F" w14:textId="77777777" w:rsidR="00CB53E4" w:rsidRDefault="00CB53E4" w:rsidP="0031675F">
                                <w:pPr>
                                  <w:spacing w:before="7"/>
                                  <w:rPr>
                                    <w:rFonts w:eastAsia="Arial" w:cs="Arial"/>
                                    <w:sz w:val="10"/>
                                    <w:szCs w:val="10"/>
                                  </w:rPr>
                                </w:pPr>
                                <w:r>
                                  <w:rPr>
                                    <w:spacing w:val="-1"/>
                                    <w:w w:val="95"/>
                                    <w:sz w:val="10"/>
                                  </w:rPr>
                                  <w:t>44</w:t>
                                </w:r>
                              </w:p>
                              <w:p w14:paraId="6CF26173" w14:textId="77777777" w:rsidR="00CB53E4" w:rsidRDefault="00CB53E4" w:rsidP="0031675F">
                                <w:pPr>
                                  <w:spacing w:before="7"/>
                                  <w:rPr>
                                    <w:rFonts w:eastAsia="Arial" w:cs="Arial"/>
                                    <w:sz w:val="10"/>
                                    <w:szCs w:val="10"/>
                                  </w:rPr>
                                </w:pPr>
                                <w:r>
                                  <w:rPr>
                                    <w:spacing w:val="-1"/>
                                    <w:w w:val="95"/>
                                    <w:sz w:val="10"/>
                                  </w:rPr>
                                  <w:t>45</w:t>
                                </w:r>
                              </w:p>
                              <w:p w14:paraId="299169FF" w14:textId="77777777" w:rsidR="00CB53E4" w:rsidRDefault="00CB53E4" w:rsidP="0031675F">
                                <w:pPr>
                                  <w:spacing w:before="7"/>
                                  <w:rPr>
                                    <w:rFonts w:eastAsia="Arial" w:cs="Arial"/>
                                    <w:sz w:val="10"/>
                                    <w:szCs w:val="10"/>
                                  </w:rPr>
                                </w:pPr>
                                <w:r>
                                  <w:rPr>
                                    <w:spacing w:val="-1"/>
                                    <w:w w:val="95"/>
                                    <w:sz w:val="10"/>
                                  </w:rPr>
                                  <w:t>46</w:t>
                                </w:r>
                              </w:p>
                              <w:p w14:paraId="4A9C20CC" w14:textId="77777777" w:rsidR="00CB53E4" w:rsidRDefault="00CB53E4" w:rsidP="0031675F">
                                <w:pPr>
                                  <w:spacing w:before="7"/>
                                  <w:rPr>
                                    <w:rFonts w:eastAsia="Arial" w:cs="Arial"/>
                                    <w:sz w:val="10"/>
                                    <w:szCs w:val="10"/>
                                  </w:rPr>
                                </w:pPr>
                                <w:r>
                                  <w:rPr>
                                    <w:spacing w:val="-1"/>
                                    <w:w w:val="95"/>
                                    <w:sz w:val="10"/>
                                  </w:rPr>
                                  <w:t>47</w:t>
                                </w:r>
                              </w:p>
                              <w:p w14:paraId="62A2FEAF" w14:textId="77777777" w:rsidR="00CB53E4" w:rsidRDefault="00CB53E4" w:rsidP="0031675F">
                                <w:pPr>
                                  <w:spacing w:before="7"/>
                                  <w:rPr>
                                    <w:rFonts w:eastAsia="Arial" w:cs="Arial"/>
                                    <w:sz w:val="10"/>
                                    <w:szCs w:val="10"/>
                                  </w:rPr>
                                </w:pPr>
                                <w:r>
                                  <w:rPr>
                                    <w:spacing w:val="-1"/>
                                    <w:w w:val="95"/>
                                    <w:sz w:val="10"/>
                                  </w:rPr>
                                  <w:t>48</w:t>
                                </w:r>
                              </w:p>
                              <w:p w14:paraId="221171D8" w14:textId="77777777" w:rsidR="00CB53E4" w:rsidRDefault="00CB53E4" w:rsidP="0031675F">
                                <w:pPr>
                                  <w:spacing w:before="7"/>
                                  <w:rPr>
                                    <w:rFonts w:eastAsia="Arial" w:cs="Arial"/>
                                    <w:sz w:val="10"/>
                                    <w:szCs w:val="10"/>
                                  </w:rPr>
                                </w:pPr>
                                <w:r>
                                  <w:rPr>
                                    <w:spacing w:val="-1"/>
                                    <w:w w:val="95"/>
                                    <w:sz w:val="10"/>
                                  </w:rPr>
                                  <w:t>49</w:t>
                                </w:r>
                              </w:p>
                              <w:p w14:paraId="12491F06" w14:textId="77777777" w:rsidR="00CB53E4" w:rsidRDefault="00CB53E4" w:rsidP="0031675F">
                                <w:pPr>
                                  <w:spacing w:before="7"/>
                                  <w:rPr>
                                    <w:rFonts w:eastAsia="Arial" w:cs="Arial"/>
                                    <w:sz w:val="10"/>
                                    <w:szCs w:val="10"/>
                                  </w:rPr>
                                </w:pPr>
                                <w:r>
                                  <w:rPr>
                                    <w:spacing w:val="-1"/>
                                    <w:w w:val="95"/>
                                    <w:sz w:val="10"/>
                                  </w:rPr>
                                  <w:t>50</w:t>
                                </w:r>
                              </w:p>
                              <w:p w14:paraId="1A37DB76" w14:textId="77777777" w:rsidR="00CB53E4" w:rsidRDefault="00CB53E4" w:rsidP="0031675F">
                                <w:pPr>
                                  <w:spacing w:before="7"/>
                                  <w:rPr>
                                    <w:rFonts w:eastAsia="Arial" w:cs="Arial"/>
                                    <w:sz w:val="10"/>
                                    <w:szCs w:val="10"/>
                                  </w:rPr>
                                </w:pPr>
                                <w:r>
                                  <w:rPr>
                                    <w:spacing w:val="-1"/>
                                    <w:w w:val="95"/>
                                    <w:sz w:val="10"/>
                                  </w:rPr>
                                  <w:t>51</w:t>
                                </w:r>
                              </w:p>
                              <w:p w14:paraId="6BEAECC5" w14:textId="77777777" w:rsidR="00CB53E4" w:rsidRDefault="00CB53E4" w:rsidP="0031675F">
                                <w:pPr>
                                  <w:spacing w:before="7"/>
                                  <w:rPr>
                                    <w:rFonts w:eastAsia="Arial" w:cs="Arial"/>
                                    <w:sz w:val="10"/>
                                    <w:szCs w:val="10"/>
                                  </w:rPr>
                                </w:pPr>
                                <w:r>
                                  <w:rPr>
                                    <w:spacing w:val="-1"/>
                                    <w:w w:val="95"/>
                                    <w:sz w:val="10"/>
                                  </w:rPr>
                                  <w:t>52</w:t>
                                </w:r>
                              </w:p>
                              <w:p w14:paraId="2E8A3688" w14:textId="77777777" w:rsidR="00CB53E4" w:rsidRDefault="00CB53E4" w:rsidP="0031675F">
                                <w:pPr>
                                  <w:spacing w:before="7"/>
                                  <w:rPr>
                                    <w:rFonts w:eastAsia="Arial" w:cs="Arial"/>
                                    <w:sz w:val="10"/>
                                    <w:szCs w:val="10"/>
                                  </w:rPr>
                                </w:pPr>
                                <w:r>
                                  <w:rPr>
                                    <w:spacing w:val="-1"/>
                                    <w:w w:val="95"/>
                                    <w:sz w:val="10"/>
                                  </w:rPr>
                                  <w:t>53</w:t>
                                </w:r>
                              </w:p>
                              <w:p w14:paraId="075AC7B7" w14:textId="77777777" w:rsidR="00CB53E4" w:rsidRDefault="00CB53E4" w:rsidP="0031675F">
                                <w:pPr>
                                  <w:spacing w:before="7"/>
                                  <w:rPr>
                                    <w:rFonts w:eastAsia="Arial" w:cs="Arial"/>
                                    <w:sz w:val="10"/>
                                    <w:szCs w:val="10"/>
                                  </w:rPr>
                                </w:pPr>
                                <w:r>
                                  <w:rPr>
                                    <w:spacing w:val="-1"/>
                                    <w:w w:val="95"/>
                                    <w:sz w:val="10"/>
                                  </w:rPr>
                                  <w:t>54</w:t>
                                </w:r>
                              </w:p>
                              <w:p w14:paraId="40AC75D2" w14:textId="77777777" w:rsidR="00CB53E4" w:rsidRDefault="00CB53E4" w:rsidP="0031675F">
                                <w:pPr>
                                  <w:spacing w:before="7"/>
                                  <w:rPr>
                                    <w:rFonts w:eastAsia="Arial" w:cs="Arial"/>
                                    <w:sz w:val="10"/>
                                    <w:szCs w:val="10"/>
                                  </w:rPr>
                                </w:pPr>
                                <w:r>
                                  <w:rPr>
                                    <w:spacing w:val="-1"/>
                                    <w:w w:val="95"/>
                                    <w:sz w:val="10"/>
                                  </w:rPr>
                                  <w:t>55</w:t>
                                </w:r>
                              </w:p>
                              <w:p w14:paraId="3330D7ED" w14:textId="77777777" w:rsidR="00CB53E4" w:rsidRDefault="00CB53E4" w:rsidP="0031675F">
                                <w:pPr>
                                  <w:spacing w:before="7"/>
                                  <w:rPr>
                                    <w:rFonts w:eastAsia="Arial" w:cs="Arial"/>
                                    <w:sz w:val="10"/>
                                    <w:szCs w:val="10"/>
                                  </w:rPr>
                                </w:pPr>
                                <w:r>
                                  <w:rPr>
                                    <w:spacing w:val="-1"/>
                                    <w:w w:val="95"/>
                                    <w:sz w:val="10"/>
                                  </w:rPr>
                                  <w:t>56</w:t>
                                </w:r>
                              </w:p>
                              <w:p w14:paraId="73D86261" w14:textId="77777777" w:rsidR="00CB53E4" w:rsidRDefault="00CB53E4" w:rsidP="0031675F">
                                <w:pPr>
                                  <w:spacing w:before="7"/>
                                  <w:rPr>
                                    <w:rFonts w:eastAsia="Arial" w:cs="Arial"/>
                                    <w:sz w:val="10"/>
                                    <w:szCs w:val="10"/>
                                  </w:rPr>
                                </w:pPr>
                                <w:r>
                                  <w:rPr>
                                    <w:spacing w:val="-1"/>
                                    <w:w w:val="95"/>
                                    <w:sz w:val="10"/>
                                  </w:rPr>
                                  <w:t>57</w:t>
                                </w:r>
                              </w:p>
                              <w:p w14:paraId="4F4327C9" w14:textId="77777777" w:rsidR="00CB53E4" w:rsidRDefault="00CB53E4" w:rsidP="0031675F">
                                <w:pPr>
                                  <w:spacing w:before="7"/>
                                  <w:rPr>
                                    <w:rFonts w:eastAsia="Arial" w:cs="Arial"/>
                                    <w:sz w:val="10"/>
                                    <w:szCs w:val="10"/>
                                  </w:rPr>
                                </w:pPr>
                                <w:r>
                                  <w:rPr>
                                    <w:spacing w:val="-1"/>
                                    <w:w w:val="95"/>
                                    <w:sz w:val="10"/>
                                  </w:rPr>
                                  <w:t>58</w:t>
                                </w:r>
                              </w:p>
                              <w:p w14:paraId="5E5A304C" w14:textId="77777777" w:rsidR="00CB53E4" w:rsidRDefault="00CB53E4" w:rsidP="0031675F">
                                <w:pPr>
                                  <w:spacing w:before="7"/>
                                  <w:rPr>
                                    <w:rFonts w:eastAsia="Arial" w:cs="Arial"/>
                                    <w:sz w:val="10"/>
                                    <w:szCs w:val="10"/>
                                  </w:rPr>
                                </w:pPr>
                                <w:r>
                                  <w:rPr>
                                    <w:spacing w:val="-1"/>
                                    <w:w w:val="95"/>
                                    <w:sz w:val="10"/>
                                  </w:rPr>
                                  <w:t>59</w:t>
                                </w:r>
                              </w:p>
                              <w:p w14:paraId="44FBAB20" w14:textId="77777777" w:rsidR="00CB53E4" w:rsidRDefault="00CB53E4" w:rsidP="0031675F">
                                <w:pPr>
                                  <w:spacing w:before="7"/>
                                  <w:rPr>
                                    <w:rFonts w:eastAsia="Arial" w:cs="Arial"/>
                                    <w:sz w:val="10"/>
                                    <w:szCs w:val="10"/>
                                  </w:rPr>
                                </w:pPr>
                                <w:r>
                                  <w:rPr>
                                    <w:spacing w:val="-1"/>
                                    <w:w w:val="95"/>
                                    <w:sz w:val="10"/>
                                  </w:rPr>
                                  <w:t>60</w:t>
                                </w:r>
                              </w:p>
                              <w:p w14:paraId="05E0CA76" w14:textId="77777777" w:rsidR="00CB53E4" w:rsidRDefault="00CB53E4" w:rsidP="0031675F">
                                <w:pPr>
                                  <w:spacing w:before="7"/>
                                  <w:rPr>
                                    <w:rFonts w:eastAsia="Arial" w:cs="Arial"/>
                                    <w:sz w:val="10"/>
                                    <w:szCs w:val="10"/>
                                  </w:rPr>
                                </w:pPr>
                                <w:r>
                                  <w:rPr>
                                    <w:spacing w:val="-1"/>
                                    <w:w w:val="95"/>
                                    <w:sz w:val="10"/>
                                  </w:rPr>
                                  <w:t>61</w:t>
                                </w:r>
                              </w:p>
                              <w:p w14:paraId="1BC3D08F" w14:textId="77777777" w:rsidR="00CB53E4" w:rsidRDefault="00CB53E4" w:rsidP="0031675F">
                                <w:pPr>
                                  <w:spacing w:before="7"/>
                                  <w:rPr>
                                    <w:rFonts w:eastAsia="Arial" w:cs="Arial"/>
                                    <w:sz w:val="10"/>
                                    <w:szCs w:val="10"/>
                                  </w:rPr>
                                </w:pPr>
                                <w:r>
                                  <w:rPr>
                                    <w:spacing w:val="-1"/>
                                    <w:w w:val="95"/>
                                    <w:sz w:val="10"/>
                                  </w:rPr>
                                  <w:t>62</w:t>
                                </w:r>
                              </w:p>
                              <w:p w14:paraId="4224C090" w14:textId="77777777" w:rsidR="00CB53E4" w:rsidRDefault="00CB53E4" w:rsidP="0031675F">
                                <w:pPr>
                                  <w:spacing w:before="7"/>
                                  <w:rPr>
                                    <w:rFonts w:eastAsia="Arial" w:cs="Arial"/>
                                    <w:sz w:val="10"/>
                                    <w:szCs w:val="10"/>
                                  </w:rPr>
                                </w:pPr>
                                <w:r>
                                  <w:rPr>
                                    <w:spacing w:val="-1"/>
                                    <w:w w:val="95"/>
                                    <w:sz w:val="10"/>
                                  </w:rPr>
                                  <w:t>63</w:t>
                                </w:r>
                              </w:p>
                              <w:p w14:paraId="16FC1A26" w14:textId="77777777" w:rsidR="00CB53E4" w:rsidRDefault="00CB53E4" w:rsidP="0031675F">
                                <w:pPr>
                                  <w:spacing w:before="7"/>
                                  <w:rPr>
                                    <w:rFonts w:eastAsia="Arial" w:cs="Arial"/>
                                    <w:sz w:val="10"/>
                                    <w:szCs w:val="10"/>
                                  </w:rPr>
                                </w:pPr>
                                <w:r>
                                  <w:rPr>
                                    <w:spacing w:val="-1"/>
                                    <w:w w:val="95"/>
                                    <w:sz w:val="10"/>
                                  </w:rPr>
                                  <w:t>64</w:t>
                                </w:r>
                              </w:p>
                              <w:p w14:paraId="6083E25E" w14:textId="77777777" w:rsidR="00CB53E4" w:rsidRDefault="00CB53E4" w:rsidP="0031675F">
                                <w:pPr>
                                  <w:spacing w:before="7"/>
                                  <w:rPr>
                                    <w:rFonts w:eastAsia="Arial" w:cs="Arial"/>
                                    <w:sz w:val="10"/>
                                    <w:szCs w:val="10"/>
                                  </w:rPr>
                                </w:pPr>
                                <w:r>
                                  <w:rPr>
                                    <w:spacing w:val="-1"/>
                                    <w:w w:val="95"/>
                                    <w:sz w:val="10"/>
                                  </w:rPr>
                                  <w:t>65</w:t>
                                </w:r>
                              </w:p>
                              <w:p w14:paraId="3E9023B0" w14:textId="77777777" w:rsidR="00CB53E4" w:rsidRDefault="00CB53E4" w:rsidP="0031675F">
                                <w:pPr>
                                  <w:spacing w:before="7"/>
                                  <w:rPr>
                                    <w:rFonts w:eastAsia="Arial" w:cs="Arial"/>
                                    <w:sz w:val="10"/>
                                    <w:szCs w:val="10"/>
                                  </w:rPr>
                                </w:pPr>
                                <w:r>
                                  <w:rPr>
                                    <w:spacing w:val="-1"/>
                                    <w:w w:val="95"/>
                                    <w:sz w:val="10"/>
                                  </w:rPr>
                                  <w:t>66</w:t>
                                </w:r>
                              </w:p>
                              <w:p w14:paraId="3AB5F439" w14:textId="77777777" w:rsidR="00CB53E4" w:rsidRDefault="00CB53E4" w:rsidP="0031675F">
                                <w:pPr>
                                  <w:spacing w:before="7"/>
                                  <w:rPr>
                                    <w:rFonts w:eastAsia="Arial" w:cs="Arial"/>
                                    <w:sz w:val="10"/>
                                    <w:szCs w:val="10"/>
                                  </w:rPr>
                                </w:pPr>
                                <w:r>
                                  <w:rPr>
                                    <w:spacing w:val="-1"/>
                                    <w:w w:val="95"/>
                                    <w:sz w:val="10"/>
                                  </w:rPr>
                                  <w:t>67</w:t>
                                </w:r>
                              </w:p>
                              <w:p w14:paraId="71670E03" w14:textId="77777777" w:rsidR="00CB53E4" w:rsidRDefault="00CB53E4" w:rsidP="0031675F">
                                <w:pPr>
                                  <w:spacing w:before="7"/>
                                  <w:rPr>
                                    <w:rFonts w:eastAsia="Arial" w:cs="Arial"/>
                                    <w:sz w:val="10"/>
                                    <w:szCs w:val="10"/>
                                  </w:rPr>
                                </w:pPr>
                                <w:r>
                                  <w:rPr>
                                    <w:spacing w:val="-1"/>
                                    <w:w w:val="95"/>
                                    <w:sz w:val="10"/>
                                  </w:rPr>
                                  <w:t>68</w:t>
                                </w:r>
                              </w:p>
                              <w:p w14:paraId="19918B18" w14:textId="77777777" w:rsidR="00CB53E4" w:rsidRDefault="00CB53E4" w:rsidP="0031675F">
                                <w:pPr>
                                  <w:spacing w:before="7"/>
                                  <w:rPr>
                                    <w:rFonts w:eastAsia="Arial" w:cs="Arial"/>
                                    <w:sz w:val="10"/>
                                    <w:szCs w:val="10"/>
                                  </w:rPr>
                                </w:pPr>
                                <w:r>
                                  <w:rPr>
                                    <w:spacing w:val="-1"/>
                                    <w:w w:val="95"/>
                                    <w:sz w:val="10"/>
                                  </w:rPr>
                                  <w:t>69</w:t>
                                </w:r>
                              </w:p>
                              <w:p w14:paraId="7F91D0E3" w14:textId="77777777" w:rsidR="00CB53E4" w:rsidRDefault="00CB53E4" w:rsidP="0031675F">
                                <w:pPr>
                                  <w:spacing w:before="7"/>
                                  <w:rPr>
                                    <w:rFonts w:eastAsia="Arial" w:cs="Arial"/>
                                    <w:sz w:val="10"/>
                                    <w:szCs w:val="10"/>
                                  </w:rPr>
                                </w:pPr>
                                <w:r>
                                  <w:rPr>
                                    <w:spacing w:val="-1"/>
                                    <w:w w:val="95"/>
                                    <w:sz w:val="10"/>
                                  </w:rPr>
                                  <w:t>70</w:t>
                                </w:r>
                              </w:p>
                              <w:p w14:paraId="18078503" w14:textId="77777777" w:rsidR="00CB53E4" w:rsidRDefault="00CB53E4" w:rsidP="0031675F">
                                <w:pPr>
                                  <w:spacing w:before="7"/>
                                  <w:rPr>
                                    <w:rFonts w:eastAsia="Arial" w:cs="Arial"/>
                                    <w:sz w:val="10"/>
                                    <w:szCs w:val="10"/>
                                  </w:rPr>
                                </w:pPr>
                                <w:r>
                                  <w:rPr>
                                    <w:spacing w:val="-1"/>
                                    <w:w w:val="95"/>
                                    <w:sz w:val="10"/>
                                  </w:rPr>
                                  <w:t>71</w:t>
                                </w:r>
                              </w:p>
                              <w:p w14:paraId="738670F8" w14:textId="77777777" w:rsidR="00CB53E4" w:rsidRDefault="00CB53E4" w:rsidP="0031675F">
                                <w:pPr>
                                  <w:spacing w:before="7"/>
                                  <w:rPr>
                                    <w:rFonts w:eastAsia="Arial" w:cs="Arial"/>
                                    <w:sz w:val="10"/>
                                    <w:szCs w:val="10"/>
                                  </w:rPr>
                                </w:pPr>
                                <w:r>
                                  <w:rPr>
                                    <w:spacing w:val="-1"/>
                                    <w:w w:val="95"/>
                                    <w:sz w:val="10"/>
                                  </w:rPr>
                                  <w:t>72</w:t>
                                </w:r>
                              </w:p>
                              <w:p w14:paraId="07A8D2BB" w14:textId="77777777" w:rsidR="00CB53E4" w:rsidRDefault="00CB53E4" w:rsidP="0031675F">
                                <w:pPr>
                                  <w:spacing w:before="7"/>
                                  <w:rPr>
                                    <w:rFonts w:eastAsia="Arial" w:cs="Arial"/>
                                    <w:sz w:val="10"/>
                                    <w:szCs w:val="10"/>
                                  </w:rPr>
                                </w:pPr>
                                <w:r>
                                  <w:rPr>
                                    <w:spacing w:val="-1"/>
                                    <w:w w:val="95"/>
                                    <w:sz w:val="10"/>
                                  </w:rPr>
                                  <w:t>73</w:t>
                                </w:r>
                              </w:p>
                              <w:p w14:paraId="72A9147D" w14:textId="77777777" w:rsidR="00CB53E4" w:rsidRDefault="00CB53E4" w:rsidP="0031675F">
                                <w:pPr>
                                  <w:spacing w:before="7"/>
                                  <w:rPr>
                                    <w:rFonts w:eastAsia="Arial" w:cs="Arial"/>
                                    <w:sz w:val="10"/>
                                    <w:szCs w:val="10"/>
                                  </w:rPr>
                                </w:pPr>
                                <w:r>
                                  <w:rPr>
                                    <w:spacing w:val="-1"/>
                                    <w:w w:val="95"/>
                                    <w:sz w:val="10"/>
                                  </w:rPr>
                                  <w:t>74</w:t>
                                </w:r>
                              </w:p>
                              <w:p w14:paraId="5B840754" w14:textId="77777777" w:rsidR="00CB53E4" w:rsidRDefault="00CB53E4" w:rsidP="0031675F">
                                <w:pPr>
                                  <w:spacing w:before="7"/>
                                  <w:rPr>
                                    <w:rFonts w:eastAsia="Arial" w:cs="Arial"/>
                                    <w:sz w:val="10"/>
                                    <w:szCs w:val="10"/>
                                  </w:rPr>
                                </w:pPr>
                                <w:r>
                                  <w:rPr>
                                    <w:spacing w:val="-1"/>
                                    <w:w w:val="95"/>
                                    <w:sz w:val="10"/>
                                  </w:rPr>
                                  <w:t>75</w:t>
                                </w:r>
                              </w:p>
                              <w:p w14:paraId="731A0E89" w14:textId="77777777" w:rsidR="00CB53E4" w:rsidRDefault="00CB53E4" w:rsidP="0031675F">
                                <w:pPr>
                                  <w:spacing w:before="7"/>
                                  <w:rPr>
                                    <w:rFonts w:eastAsia="Arial" w:cs="Arial"/>
                                    <w:sz w:val="10"/>
                                    <w:szCs w:val="10"/>
                                  </w:rPr>
                                </w:pPr>
                                <w:r>
                                  <w:rPr>
                                    <w:spacing w:val="-1"/>
                                    <w:w w:val="95"/>
                                    <w:sz w:val="10"/>
                                  </w:rPr>
                                  <w:t>76</w:t>
                                </w:r>
                              </w:p>
                              <w:p w14:paraId="49AC829F" w14:textId="77777777" w:rsidR="00CB53E4" w:rsidRDefault="00CB53E4" w:rsidP="0031675F">
                                <w:pPr>
                                  <w:spacing w:before="7"/>
                                  <w:rPr>
                                    <w:rFonts w:eastAsia="Arial" w:cs="Arial"/>
                                    <w:sz w:val="10"/>
                                    <w:szCs w:val="10"/>
                                  </w:rPr>
                                </w:pPr>
                                <w:r>
                                  <w:rPr>
                                    <w:spacing w:val="-1"/>
                                    <w:w w:val="95"/>
                                    <w:sz w:val="10"/>
                                  </w:rPr>
                                  <w:t>77</w:t>
                                </w:r>
                              </w:p>
                              <w:p w14:paraId="7A1BFA7B" w14:textId="77777777" w:rsidR="00CB53E4" w:rsidRDefault="00CB53E4" w:rsidP="0031675F">
                                <w:pPr>
                                  <w:spacing w:before="7" w:line="112" w:lineRule="exact"/>
                                  <w:rPr>
                                    <w:rFonts w:eastAsia="Arial" w:cs="Arial"/>
                                    <w:sz w:val="10"/>
                                    <w:szCs w:val="10"/>
                                  </w:rPr>
                                </w:pPr>
                                <w:r>
                                  <w:rPr>
                                    <w:spacing w:val="-1"/>
                                    <w:w w:val="95"/>
                                    <w:sz w:val="10"/>
                                  </w:rPr>
                                  <w:t>78</w:t>
                                </w:r>
                              </w:p>
                            </w:txbxContent>
                          </wps:txbx>
                          <wps:bodyPr rot="0" vert="horz" wrap="square" lIns="0" tIns="0" rIns="0" bIns="0" anchor="t" anchorCtr="0" upright="1">
                            <a:noAutofit/>
                          </wps:bodyPr>
                        </wps:wsp>
                        <wps:wsp>
                          <wps:cNvPr id="18370" name="Text Box 8449"/>
                          <wps:cNvSpPr txBox="1">
                            <a:spLocks noChangeArrowheads="1"/>
                          </wps:cNvSpPr>
                          <wps:spPr bwMode="auto">
                            <a:xfrm>
                              <a:off x="7423" y="958"/>
                              <a:ext cx="1865"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F05363" w14:textId="77777777" w:rsidR="00CB53E4" w:rsidRDefault="00CB53E4" w:rsidP="0031675F">
                                <w:pPr>
                                  <w:spacing w:line="89" w:lineRule="exact"/>
                                  <w:rPr>
                                    <w:rFonts w:eastAsia="Arial" w:cs="Arial"/>
                                    <w:sz w:val="9"/>
                                    <w:szCs w:val="9"/>
                                  </w:rPr>
                                </w:pPr>
                                <w:r>
                                  <w:rPr>
                                    <w:sz w:val="9"/>
                                  </w:rPr>
                                  <w:t>y</w:t>
                                </w:r>
                                <w:r>
                                  <w:rPr>
                                    <w:spacing w:val="-6"/>
                                    <w:sz w:val="9"/>
                                  </w:rPr>
                                  <w:t xml:space="preserve"> </w:t>
                                </w:r>
                                <w:r>
                                  <w:rPr>
                                    <w:sz w:val="9"/>
                                  </w:rPr>
                                  <w:t>=</w:t>
                                </w:r>
                                <w:r>
                                  <w:rPr>
                                    <w:spacing w:val="-5"/>
                                    <w:sz w:val="9"/>
                                  </w:rPr>
                                  <w:t xml:space="preserve"> </w:t>
                                </w:r>
                                <w:r>
                                  <w:rPr>
                                    <w:sz w:val="9"/>
                                  </w:rPr>
                                  <w:t>0.00005550x</w:t>
                                </w:r>
                                <w:r>
                                  <w:rPr>
                                    <w:spacing w:val="21"/>
                                    <w:sz w:val="9"/>
                                  </w:rPr>
                                  <w:t xml:space="preserve"> </w:t>
                                </w:r>
                                <w:r>
                                  <w:rPr>
                                    <w:sz w:val="9"/>
                                  </w:rPr>
                                  <w:t>-</w:t>
                                </w:r>
                                <w:r>
                                  <w:rPr>
                                    <w:spacing w:val="-4"/>
                                    <w:sz w:val="9"/>
                                  </w:rPr>
                                  <w:t xml:space="preserve"> </w:t>
                                </w:r>
                                <w:r>
                                  <w:rPr>
                                    <w:sz w:val="9"/>
                                  </w:rPr>
                                  <w:t>0.00643085x</w:t>
                                </w:r>
                                <w:r>
                                  <w:rPr>
                                    <w:spacing w:val="-8"/>
                                    <w:sz w:val="9"/>
                                  </w:rPr>
                                  <w:t xml:space="preserve"> </w:t>
                                </w:r>
                                <w:r>
                                  <w:rPr>
                                    <w:sz w:val="9"/>
                                  </w:rPr>
                                  <w:t>+</w:t>
                                </w:r>
                                <w:r>
                                  <w:rPr>
                                    <w:spacing w:val="-4"/>
                                    <w:sz w:val="9"/>
                                  </w:rPr>
                                  <w:t xml:space="preserve"> </w:t>
                                </w:r>
                                <w:r>
                                  <w:rPr>
                                    <w:sz w:val="9"/>
                                  </w:rPr>
                                  <w:t>0.56106944</w:t>
                                </w:r>
                              </w:p>
                            </w:txbxContent>
                          </wps:txbx>
                          <wps:bodyPr rot="0" vert="horz" wrap="square" lIns="0" tIns="0" rIns="0" bIns="0" anchor="t" anchorCtr="0" upright="1">
                            <a:noAutofit/>
                          </wps:bodyPr>
                        </wps:wsp>
                        <wps:wsp>
                          <wps:cNvPr id="18371" name="Text Box 8448"/>
                          <wps:cNvSpPr txBox="1">
                            <a:spLocks noChangeArrowheads="1"/>
                          </wps:cNvSpPr>
                          <wps:spPr bwMode="auto">
                            <a:xfrm>
                              <a:off x="6729" y="1058"/>
                              <a:ext cx="164" cy="11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C2E32" w14:textId="77777777" w:rsidR="00CB53E4" w:rsidRDefault="00CB53E4" w:rsidP="0031675F">
                                <w:pPr>
                                  <w:spacing w:line="85" w:lineRule="exact"/>
                                  <w:rPr>
                                    <w:rFonts w:eastAsia="Arial" w:cs="Arial"/>
                                    <w:sz w:val="8"/>
                                    <w:szCs w:val="8"/>
                                  </w:rPr>
                                </w:pPr>
                                <w:r>
                                  <w:rPr>
                                    <w:spacing w:val="-1"/>
                                    <w:w w:val="105"/>
                                    <w:sz w:val="8"/>
                                  </w:rPr>
                                  <w:t>0.60</w:t>
                                </w:r>
                              </w:p>
                              <w:p w14:paraId="3734F368" w14:textId="77777777" w:rsidR="00CB53E4" w:rsidRDefault="00CB53E4" w:rsidP="0031675F">
                                <w:pPr>
                                  <w:spacing w:before="11"/>
                                  <w:rPr>
                                    <w:rFonts w:eastAsia="Arial" w:cs="Arial"/>
                                    <w:b/>
                                    <w:bCs/>
                                    <w:sz w:val="7"/>
                                    <w:szCs w:val="7"/>
                                  </w:rPr>
                                </w:pPr>
                              </w:p>
                              <w:p w14:paraId="056A9BF3" w14:textId="77777777" w:rsidR="00CB53E4" w:rsidRDefault="00CB53E4" w:rsidP="0031675F">
                                <w:pPr>
                                  <w:rPr>
                                    <w:rFonts w:eastAsia="Arial" w:cs="Arial"/>
                                    <w:sz w:val="8"/>
                                    <w:szCs w:val="8"/>
                                  </w:rPr>
                                </w:pPr>
                                <w:r>
                                  <w:rPr>
                                    <w:spacing w:val="-1"/>
                                    <w:w w:val="105"/>
                                    <w:sz w:val="8"/>
                                  </w:rPr>
                                  <w:t>0.50</w:t>
                                </w:r>
                              </w:p>
                              <w:p w14:paraId="65ED7179" w14:textId="77777777" w:rsidR="00CB53E4" w:rsidRDefault="00CB53E4" w:rsidP="0031675F">
                                <w:pPr>
                                  <w:spacing w:before="11"/>
                                  <w:rPr>
                                    <w:rFonts w:eastAsia="Arial" w:cs="Arial"/>
                                    <w:b/>
                                    <w:bCs/>
                                    <w:sz w:val="7"/>
                                    <w:szCs w:val="7"/>
                                  </w:rPr>
                                </w:pPr>
                              </w:p>
                              <w:p w14:paraId="612711A3" w14:textId="77777777" w:rsidR="00CB53E4" w:rsidRDefault="00CB53E4" w:rsidP="0031675F">
                                <w:pPr>
                                  <w:rPr>
                                    <w:rFonts w:eastAsia="Arial" w:cs="Arial"/>
                                    <w:sz w:val="8"/>
                                    <w:szCs w:val="8"/>
                                  </w:rPr>
                                </w:pPr>
                                <w:r>
                                  <w:rPr>
                                    <w:spacing w:val="-1"/>
                                    <w:w w:val="105"/>
                                    <w:sz w:val="8"/>
                                  </w:rPr>
                                  <w:t>0.40</w:t>
                                </w:r>
                              </w:p>
                              <w:p w14:paraId="32DC7C86" w14:textId="77777777" w:rsidR="00CB53E4" w:rsidRDefault="00CB53E4" w:rsidP="0031675F">
                                <w:pPr>
                                  <w:spacing w:before="11"/>
                                  <w:rPr>
                                    <w:rFonts w:eastAsia="Arial" w:cs="Arial"/>
                                    <w:b/>
                                    <w:bCs/>
                                    <w:sz w:val="7"/>
                                    <w:szCs w:val="7"/>
                                  </w:rPr>
                                </w:pPr>
                              </w:p>
                              <w:p w14:paraId="4FA1E025" w14:textId="77777777" w:rsidR="00CB53E4" w:rsidRDefault="00CB53E4" w:rsidP="0031675F">
                                <w:pPr>
                                  <w:rPr>
                                    <w:rFonts w:eastAsia="Arial" w:cs="Arial"/>
                                    <w:sz w:val="8"/>
                                    <w:szCs w:val="8"/>
                                  </w:rPr>
                                </w:pPr>
                                <w:r>
                                  <w:rPr>
                                    <w:spacing w:val="-1"/>
                                    <w:w w:val="105"/>
                                    <w:sz w:val="8"/>
                                  </w:rPr>
                                  <w:t>0.30</w:t>
                                </w:r>
                              </w:p>
                              <w:p w14:paraId="1020BF84" w14:textId="77777777" w:rsidR="00CB53E4" w:rsidRDefault="00CB53E4" w:rsidP="0031675F">
                                <w:pPr>
                                  <w:spacing w:before="1"/>
                                  <w:rPr>
                                    <w:rFonts w:eastAsia="Arial" w:cs="Arial"/>
                                    <w:b/>
                                    <w:bCs/>
                                    <w:sz w:val="8"/>
                                    <w:szCs w:val="8"/>
                                  </w:rPr>
                                </w:pPr>
                              </w:p>
                              <w:p w14:paraId="535FD6C9" w14:textId="77777777" w:rsidR="00CB53E4" w:rsidRDefault="00CB53E4" w:rsidP="0031675F">
                                <w:pPr>
                                  <w:rPr>
                                    <w:rFonts w:eastAsia="Arial" w:cs="Arial"/>
                                    <w:sz w:val="8"/>
                                    <w:szCs w:val="8"/>
                                  </w:rPr>
                                </w:pPr>
                                <w:r>
                                  <w:rPr>
                                    <w:spacing w:val="-1"/>
                                    <w:w w:val="105"/>
                                    <w:sz w:val="8"/>
                                  </w:rPr>
                                  <w:t>0.20</w:t>
                                </w:r>
                              </w:p>
                              <w:p w14:paraId="1EBFC0D4" w14:textId="77777777" w:rsidR="00CB53E4" w:rsidRDefault="00CB53E4" w:rsidP="0031675F">
                                <w:pPr>
                                  <w:spacing w:before="11"/>
                                  <w:rPr>
                                    <w:rFonts w:eastAsia="Arial" w:cs="Arial"/>
                                    <w:b/>
                                    <w:bCs/>
                                    <w:sz w:val="7"/>
                                    <w:szCs w:val="7"/>
                                  </w:rPr>
                                </w:pPr>
                              </w:p>
                              <w:p w14:paraId="3D553665" w14:textId="77777777" w:rsidR="00CB53E4" w:rsidRDefault="00CB53E4" w:rsidP="0031675F">
                                <w:pPr>
                                  <w:rPr>
                                    <w:rFonts w:eastAsia="Arial" w:cs="Arial"/>
                                    <w:sz w:val="8"/>
                                    <w:szCs w:val="8"/>
                                  </w:rPr>
                                </w:pPr>
                                <w:r>
                                  <w:rPr>
                                    <w:spacing w:val="-1"/>
                                    <w:w w:val="105"/>
                                    <w:sz w:val="8"/>
                                  </w:rPr>
                                  <w:t>0.10</w:t>
                                </w:r>
                              </w:p>
                              <w:p w14:paraId="09148F12" w14:textId="77777777" w:rsidR="00CB53E4" w:rsidRDefault="00CB53E4" w:rsidP="0031675F">
                                <w:pPr>
                                  <w:spacing w:before="11"/>
                                  <w:rPr>
                                    <w:rFonts w:eastAsia="Arial" w:cs="Arial"/>
                                    <w:b/>
                                    <w:bCs/>
                                    <w:sz w:val="7"/>
                                    <w:szCs w:val="7"/>
                                  </w:rPr>
                                </w:pPr>
                              </w:p>
                              <w:p w14:paraId="74C158DD" w14:textId="77777777" w:rsidR="00CB53E4" w:rsidRDefault="00CB53E4" w:rsidP="0031675F">
                                <w:pPr>
                                  <w:spacing w:line="91" w:lineRule="exact"/>
                                  <w:rPr>
                                    <w:rFonts w:eastAsia="Arial" w:cs="Arial"/>
                                    <w:sz w:val="8"/>
                                    <w:szCs w:val="8"/>
                                  </w:rPr>
                                </w:pPr>
                                <w:r>
                                  <w:rPr>
                                    <w:spacing w:val="-1"/>
                                    <w:w w:val="105"/>
                                    <w:sz w:val="8"/>
                                  </w:rPr>
                                  <w:t>0.00</w:t>
                                </w:r>
                              </w:p>
                            </w:txbxContent>
                          </wps:txbx>
                          <wps:bodyPr rot="0" vert="horz" wrap="square" lIns="0" tIns="0" rIns="0" bIns="0" anchor="t" anchorCtr="0" upright="1">
                            <a:noAutofit/>
                          </wps:bodyPr>
                        </wps:wsp>
                        <wps:wsp>
                          <wps:cNvPr id="18372" name="Text Box 8447"/>
                          <wps:cNvSpPr txBox="1">
                            <a:spLocks noChangeArrowheads="1"/>
                          </wps:cNvSpPr>
                          <wps:spPr bwMode="auto">
                            <a:xfrm>
                              <a:off x="10083" y="639"/>
                              <a:ext cx="651" cy="14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CA913B" w14:textId="77777777" w:rsidR="00CB53E4" w:rsidRDefault="00CB53E4" w:rsidP="0031675F">
                                <w:pPr>
                                  <w:tabs>
                                    <w:tab w:val="left" w:pos="459"/>
                                  </w:tabs>
                                  <w:spacing w:line="101" w:lineRule="exact"/>
                                  <w:ind w:left="27"/>
                                  <w:rPr>
                                    <w:rFonts w:eastAsia="Arial" w:cs="Arial"/>
                                    <w:sz w:val="10"/>
                                    <w:szCs w:val="10"/>
                                  </w:rPr>
                                </w:pPr>
                                <w:r>
                                  <w:rPr>
                                    <w:w w:val="95"/>
                                    <w:sz w:val="10"/>
                                  </w:rPr>
                                  <w:t>1</w:t>
                                </w:r>
                                <w:r>
                                  <w:rPr>
                                    <w:w w:val="95"/>
                                    <w:sz w:val="10"/>
                                  </w:rPr>
                                  <w:tab/>
                                </w:r>
                                <w:r>
                                  <w:rPr>
                                    <w:spacing w:val="-1"/>
                                    <w:w w:val="95"/>
                                    <w:sz w:val="10"/>
                                  </w:rPr>
                                  <w:t>0.27</w:t>
                                </w:r>
                              </w:p>
                              <w:p w14:paraId="33327846" w14:textId="77777777" w:rsidR="00CB53E4" w:rsidRDefault="00CB53E4" w:rsidP="0031675F">
                                <w:pPr>
                                  <w:tabs>
                                    <w:tab w:val="left" w:pos="459"/>
                                  </w:tabs>
                                  <w:spacing w:before="7"/>
                                  <w:ind w:left="27"/>
                                  <w:rPr>
                                    <w:rFonts w:eastAsia="Arial" w:cs="Arial"/>
                                    <w:sz w:val="10"/>
                                    <w:szCs w:val="10"/>
                                  </w:rPr>
                                </w:pPr>
                                <w:r>
                                  <w:rPr>
                                    <w:w w:val="95"/>
                                    <w:sz w:val="10"/>
                                  </w:rPr>
                                  <w:t>2</w:t>
                                </w:r>
                                <w:r>
                                  <w:rPr>
                                    <w:w w:val="95"/>
                                    <w:sz w:val="10"/>
                                  </w:rPr>
                                  <w:tab/>
                                </w:r>
                                <w:r>
                                  <w:rPr>
                                    <w:spacing w:val="-1"/>
                                    <w:w w:val="95"/>
                                    <w:sz w:val="10"/>
                                  </w:rPr>
                                  <w:t>0.25</w:t>
                                </w:r>
                              </w:p>
                              <w:p w14:paraId="323CE83A" w14:textId="77777777" w:rsidR="00CB53E4" w:rsidRDefault="00CB53E4" w:rsidP="0031675F">
                                <w:pPr>
                                  <w:tabs>
                                    <w:tab w:val="left" w:pos="459"/>
                                  </w:tabs>
                                  <w:spacing w:before="7"/>
                                  <w:ind w:left="27"/>
                                  <w:rPr>
                                    <w:rFonts w:eastAsia="Arial" w:cs="Arial"/>
                                    <w:sz w:val="10"/>
                                    <w:szCs w:val="10"/>
                                  </w:rPr>
                                </w:pPr>
                                <w:r>
                                  <w:rPr>
                                    <w:w w:val="95"/>
                                    <w:sz w:val="10"/>
                                  </w:rPr>
                                  <w:t>5</w:t>
                                </w:r>
                                <w:r>
                                  <w:rPr>
                                    <w:w w:val="95"/>
                                    <w:sz w:val="10"/>
                                  </w:rPr>
                                  <w:tab/>
                                </w:r>
                                <w:r>
                                  <w:rPr>
                                    <w:spacing w:val="-1"/>
                                    <w:w w:val="95"/>
                                    <w:sz w:val="10"/>
                                  </w:rPr>
                                  <w:t>0.38</w:t>
                                </w:r>
                              </w:p>
                              <w:p w14:paraId="65A5C7E5" w14:textId="77777777" w:rsidR="00CB53E4" w:rsidRDefault="00CB53E4" w:rsidP="0031675F">
                                <w:pPr>
                                  <w:tabs>
                                    <w:tab w:val="left" w:pos="459"/>
                                  </w:tabs>
                                  <w:spacing w:before="7"/>
                                  <w:ind w:left="27"/>
                                  <w:rPr>
                                    <w:rFonts w:eastAsia="Arial" w:cs="Arial"/>
                                    <w:sz w:val="10"/>
                                    <w:szCs w:val="10"/>
                                  </w:rPr>
                                </w:pPr>
                                <w:r>
                                  <w:rPr>
                                    <w:w w:val="95"/>
                                    <w:sz w:val="10"/>
                                  </w:rPr>
                                  <w:t>6</w:t>
                                </w:r>
                                <w:r>
                                  <w:rPr>
                                    <w:w w:val="95"/>
                                    <w:sz w:val="10"/>
                                  </w:rPr>
                                  <w:tab/>
                                </w:r>
                                <w:r>
                                  <w:rPr>
                                    <w:spacing w:val="-1"/>
                                    <w:w w:val="95"/>
                                    <w:sz w:val="10"/>
                                  </w:rPr>
                                  <w:t>0.31</w:t>
                                </w:r>
                              </w:p>
                              <w:p w14:paraId="23F27954" w14:textId="77777777" w:rsidR="00CB53E4" w:rsidRDefault="00CB53E4" w:rsidP="0031675F">
                                <w:pPr>
                                  <w:tabs>
                                    <w:tab w:val="left" w:pos="459"/>
                                  </w:tabs>
                                  <w:spacing w:before="7"/>
                                  <w:rPr>
                                    <w:rFonts w:eastAsia="Arial" w:cs="Arial"/>
                                    <w:sz w:val="10"/>
                                    <w:szCs w:val="10"/>
                                  </w:rPr>
                                </w:pPr>
                                <w:r>
                                  <w:rPr>
                                    <w:spacing w:val="-1"/>
                                    <w:w w:val="95"/>
                                    <w:sz w:val="10"/>
                                  </w:rPr>
                                  <w:t>12</w:t>
                                </w:r>
                                <w:r>
                                  <w:rPr>
                                    <w:spacing w:val="-1"/>
                                    <w:w w:val="95"/>
                                    <w:sz w:val="10"/>
                                  </w:rPr>
                                  <w:tab/>
                                  <w:t>0.16</w:t>
                                </w:r>
                              </w:p>
                              <w:p w14:paraId="28255CE4" w14:textId="77777777" w:rsidR="00CB53E4" w:rsidRDefault="00CB53E4" w:rsidP="0031675F">
                                <w:pPr>
                                  <w:tabs>
                                    <w:tab w:val="left" w:pos="459"/>
                                  </w:tabs>
                                  <w:spacing w:before="7"/>
                                  <w:rPr>
                                    <w:rFonts w:eastAsia="Arial" w:cs="Arial"/>
                                    <w:sz w:val="10"/>
                                    <w:szCs w:val="10"/>
                                  </w:rPr>
                                </w:pPr>
                                <w:r>
                                  <w:rPr>
                                    <w:spacing w:val="-1"/>
                                    <w:w w:val="95"/>
                                    <w:sz w:val="10"/>
                                  </w:rPr>
                                  <w:t>13</w:t>
                                </w:r>
                                <w:r>
                                  <w:rPr>
                                    <w:spacing w:val="-1"/>
                                    <w:w w:val="95"/>
                                    <w:sz w:val="10"/>
                                  </w:rPr>
                                  <w:tab/>
                                  <w:t>0.18</w:t>
                                </w:r>
                              </w:p>
                              <w:p w14:paraId="3C695458" w14:textId="77777777" w:rsidR="00CB53E4" w:rsidRDefault="00CB53E4" w:rsidP="0031675F">
                                <w:pPr>
                                  <w:tabs>
                                    <w:tab w:val="left" w:pos="459"/>
                                  </w:tabs>
                                  <w:spacing w:before="7"/>
                                  <w:rPr>
                                    <w:rFonts w:eastAsia="Arial" w:cs="Arial"/>
                                    <w:sz w:val="10"/>
                                    <w:szCs w:val="10"/>
                                  </w:rPr>
                                </w:pPr>
                                <w:r>
                                  <w:rPr>
                                    <w:spacing w:val="-1"/>
                                    <w:w w:val="95"/>
                                    <w:sz w:val="10"/>
                                  </w:rPr>
                                  <w:t>31</w:t>
                                </w:r>
                                <w:r>
                                  <w:rPr>
                                    <w:spacing w:val="-1"/>
                                    <w:w w:val="95"/>
                                    <w:sz w:val="10"/>
                                  </w:rPr>
                                  <w:tab/>
                                  <w:t>0.31</w:t>
                                </w:r>
                              </w:p>
                              <w:p w14:paraId="2FD592AE" w14:textId="77777777" w:rsidR="00CB53E4" w:rsidRDefault="00CB53E4" w:rsidP="0031675F">
                                <w:pPr>
                                  <w:tabs>
                                    <w:tab w:val="left" w:pos="459"/>
                                  </w:tabs>
                                  <w:spacing w:before="7"/>
                                  <w:rPr>
                                    <w:rFonts w:eastAsia="Arial" w:cs="Arial"/>
                                    <w:sz w:val="10"/>
                                    <w:szCs w:val="10"/>
                                  </w:rPr>
                                </w:pPr>
                                <w:r>
                                  <w:rPr>
                                    <w:spacing w:val="-1"/>
                                    <w:w w:val="95"/>
                                    <w:sz w:val="10"/>
                                  </w:rPr>
                                  <w:t>32</w:t>
                                </w:r>
                                <w:r>
                                  <w:rPr>
                                    <w:spacing w:val="-1"/>
                                    <w:w w:val="95"/>
                                    <w:sz w:val="10"/>
                                  </w:rPr>
                                  <w:tab/>
                                  <w:t>0.29</w:t>
                                </w:r>
                              </w:p>
                              <w:p w14:paraId="2F68E777" w14:textId="77777777" w:rsidR="00CB53E4" w:rsidRDefault="00CB53E4" w:rsidP="0031675F">
                                <w:pPr>
                                  <w:tabs>
                                    <w:tab w:val="left" w:pos="459"/>
                                  </w:tabs>
                                  <w:spacing w:before="7"/>
                                  <w:rPr>
                                    <w:rFonts w:eastAsia="Arial" w:cs="Arial"/>
                                    <w:sz w:val="10"/>
                                    <w:szCs w:val="10"/>
                                  </w:rPr>
                                </w:pPr>
                                <w:r>
                                  <w:rPr>
                                    <w:spacing w:val="-1"/>
                                    <w:w w:val="95"/>
                                    <w:sz w:val="10"/>
                                  </w:rPr>
                                  <w:t>54</w:t>
                                </w:r>
                                <w:r>
                                  <w:rPr>
                                    <w:spacing w:val="-1"/>
                                    <w:w w:val="95"/>
                                    <w:sz w:val="10"/>
                                  </w:rPr>
                                  <w:tab/>
                                  <w:t>0.50</w:t>
                                </w:r>
                              </w:p>
                              <w:p w14:paraId="66849A4B" w14:textId="77777777" w:rsidR="00CB53E4" w:rsidRDefault="00CB53E4" w:rsidP="0031675F">
                                <w:pPr>
                                  <w:tabs>
                                    <w:tab w:val="left" w:pos="459"/>
                                  </w:tabs>
                                  <w:spacing w:before="7"/>
                                  <w:rPr>
                                    <w:rFonts w:eastAsia="Arial" w:cs="Arial"/>
                                    <w:sz w:val="10"/>
                                    <w:szCs w:val="10"/>
                                  </w:rPr>
                                </w:pPr>
                                <w:r>
                                  <w:rPr>
                                    <w:spacing w:val="-1"/>
                                    <w:w w:val="95"/>
                                    <w:sz w:val="10"/>
                                  </w:rPr>
                                  <w:t>55</w:t>
                                </w:r>
                                <w:r>
                                  <w:rPr>
                                    <w:spacing w:val="-1"/>
                                    <w:w w:val="95"/>
                                    <w:sz w:val="10"/>
                                  </w:rPr>
                                  <w:tab/>
                                  <w:t>0.41</w:t>
                                </w:r>
                              </w:p>
                              <w:p w14:paraId="082015D4" w14:textId="77777777" w:rsidR="00CB53E4" w:rsidRDefault="00CB53E4" w:rsidP="0031675F">
                                <w:pPr>
                                  <w:tabs>
                                    <w:tab w:val="left" w:pos="459"/>
                                  </w:tabs>
                                  <w:spacing w:before="7"/>
                                  <w:rPr>
                                    <w:rFonts w:eastAsia="Arial" w:cs="Arial"/>
                                    <w:sz w:val="10"/>
                                    <w:szCs w:val="10"/>
                                  </w:rPr>
                                </w:pPr>
                                <w:r>
                                  <w:rPr>
                                    <w:spacing w:val="-1"/>
                                    <w:w w:val="95"/>
                                    <w:sz w:val="10"/>
                                  </w:rPr>
                                  <w:t>77</w:t>
                                </w:r>
                                <w:r>
                                  <w:rPr>
                                    <w:spacing w:val="-1"/>
                                    <w:w w:val="95"/>
                                    <w:sz w:val="10"/>
                                  </w:rPr>
                                  <w:tab/>
                                  <w:t>0.30</w:t>
                                </w:r>
                              </w:p>
                              <w:p w14:paraId="51F20CAE" w14:textId="77777777" w:rsidR="00CB53E4" w:rsidRDefault="00CB53E4" w:rsidP="0031675F">
                                <w:pPr>
                                  <w:tabs>
                                    <w:tab w:val="left" w:pos="459"/>
                                  </w:tabs>
                                  <w:spacing w:before="7" w:line="112" w:lineRule="exact"/>
                                  <w:rPr>
                                    <w:rFonts w:eastAsia="Arial" w:cs="Arial"/>
                                    <w:sz w:val="10"/>
                                    <w:szCs w:val="10"/>
                                  </w:rPr>
                                </w:pPr>
                                <w:r>
                                  <w:rPr>
                                    <w:spacing w:val="-1"/>
                                    <w:w w:val="95"/>
                                    <w:sz w:val="10"/>
                                  </w:rPr>
                                  <w:t>78</w:t>
                                </w:r>
                                <w:r>
                                  <w:rPr>
                                    <w:spacing w:val="-1"/>
                                    <w:w w:val="95"/>
                                    <w:sz w:val="10"/>
                                  </w:rPr>
                                  <w:tab/>
                                  <w:t>0.38</w:t>
                                </w:r>
                              </w:p>
                            </w:txbxContent>
                          </wps:txbx>
                          <wps:bodyPr rot="0" vert="horz" wrap="square" lIns="0" tIns="0" rIns="0" bIns="0" anchor="t" anchorCtr="0" upright="1">
                            <a:noAutofit/>
                          </wps:bodyPr>
                        </wps:wsp>
                        <wps:wsp>
                          <wps:cNvPr id="18373" name="Text Box 8446"/>
                          <wps:cNvSpPr txBox="1">
                            <a:spLocks noChangeArrowheads="1"/>
                          </wps:cNvSpPr>
                          <wps:spPr bwMode="auto">
                            <a:xfrm>
                              <a:off x="6933" y="2287"/>
                              <a:ext cx="47"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B5DB80" w14:textId="77777777" w:rsidR="00CB53E4" w:rsidRDefault="00CB53E4" w:rsidP="0031675F">
                                <w:pPr>
                                  <w:spacing w:line="84" w:lineRule="exact"/>
                                  <w:rPr>
                                    <w:rFonts w:eastAsia="Arial" w:cs="Arial"/>
                                    <w:sz w:val="8"/>
                                    <w:szCs w:val="8"/>
                                  </w:rPr>
                                </w:pPr>
                                <w:r>
                                  <w:rPr>
                                    <w:w w:val="105"/>
                                    <w:sz w:val="8"/>
                                  </w:rPr>
                                  <w:t>0</w:t>
                                </w:r>
                              </w:p>
                            </w:txbxContent>
                          </wps:txbx>
                          <wps:bodyPr rot="0" vert="horz" wrap="square" lIns="0" tIns="0" rIns="0" bIns="0" anchor="t" anchorCtr="0" upright="1">
                            <a:noAutofit/>
                          </wps:bodyPr>
                        </wps:wsp>
                        <wps:wsp>
                          <wps:cNvPr id="18374" name="Text Box 8445"/>
                          <wps:cNvSpPr txBox="1">
                            <a:spLocks noChangeArrowheads="1"/>
                          </wps:cNvSpPr>
                          <wps:spPr bwMode="auto">
                            <a:xfrm>
                              <a:off x="7459" y="2287"/>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8CF478" w14:textId="77777777" w:rsidR="00CB53E4" w:rsidRDefault="00CB53E4" w:rsidP="0031675F">
                                <w:pPr>
                                  <w:spacing w:line="84" w:lineRule="exact"/>
                                  <w:rPr>
                                    <w:rFonts w:eastAsia="Arial" w:cs="Arial"/>
                                    <w:sz w:val="8"/>
                                    <w:szCs w:val="8"/>
                                  </w:rPr>
                                </w:pPr>
                                <w:r>
                                  <w:rPr>
                                    <w:spacing w:val="-1"/>
                                    <w:w w:val="105"/>
                                    <w:sz w:val="8"/>
                                  </w:rPr>
                                  <w:t>20</w:t>
                                </w:r>
                              </w:p>
                            </w:txbxContent>
                          </wps:txbx>
                          <wps:bodyPr rot="0" vert="horz" wrap="square" lIns="0" tIns="0" rIns="0" bIns="0" anchor="t" anchorCtr="0" upright="1">
                            <a:noAutofit/>
                          </wps:bodyPr>
                        </wps:wsp>
                        <wps:wsp>
                          <wps:cNvPr id="18375" name="Text Box 8444"/>
                          <wps:cNvSpPr txBox="1">
                            <a:spLocks noChangeArrowheads="1"/>
                          </wps:cNvSpPr>
                          <wps:spPr bwMode="auto">
                            <a:xfrm>
                              <a:off x="8008" y="2287"/>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C78B23" w14:textId="77777777" w:rsidR="00CB53E4" w:rsidRDefault="00CB53E4" w:rsidP="0031675F">
                                <w:pPr>
                                  <w:spacing w:line="84" w:lineRule="exact"/>
                                  <w:rPr>
                                    <w:rFonts w:eastAsia="Arial" w:cs="Arial"/>
                                    <w:sz w:val="8"/>
                                    <w:szCs w:val="8"/>
                                  </w:rPr>
                                </w:pPr>
                                <w:r>
                                  <w:rPr>
                                    <w:spacing w:val="-1"/>
                                    <w:w w:val="105"/>
                                    <w:sz w:val="8"/>
                                  </w:rPr>
                                  <w:t>40</w:t>
                                </w:r>
                              </w:p>
                            </w:txbxContent>
                          </wps:txbx>
                          <wps:bodyPr rot="0" vert="horz" wrap="square" lIns="0" tIns="0" rIns="0" bIns="0" anchor="t" anchorCtr="0" upright="1">
                            <a:noAutofit/>
                          </wps:bodyPr>
                        </wps:wsp>
                        <wps:wsp>
                          <wps:cNvPr id="18376" name="Text Box 8443"/>
                          <wps:cNvSpPr txBox="1">
                            <a:spLocks noChangeArrowheads="1"/>
                          </wps:cNvSpPr>
                          <wps:spPr bwMode="auto">
                            <a:xfrm>
                              <a:off x="8557" y="2287"/>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955CFB" w14:textId="77777777" w:rsidR="00CB53E4" w:rsidRDefault="00CB53E4" w:rsidP="0031675F">
                                <w:pPr>
                                  <w:spacing w:line="84" w:lineRule="exact"/>
                                  <w:rPr>
                                    <w:rFonts w:eastAsia="Arial" w:cs="Arial"/>
                                    <w:sz w:val="8"/>
                                    <w:szCs w:val="8"/>
                                  </w:rPr>
                                </w:pPr>
                                <w:r>
                                  <w:rPr>
                                    <w:spacing w:val="-1"/>
                                    <w:w w:val="105"/>
                                    <w:sz w:val="8"/>
                                  </w:rPr>
                                  <w:t>60</w:t>
                                </w:r>
                              </w:p>
                            </w:txbxContent>
                          </wps:txbx>
                          <wps:bodyPr rot="0" vert="horz" wrap="square" lIns="0" tIns="0" rIns="0" bIns="0" anchor="t" anchorCtr="0" upright="1">
                            <a:noAutofit/>
                          </wps:bodyPr>
                        </wps:wsp>
                        <wps:wsp>
                          <wps:cNvPr id="18377" name="Text Box 8442"/>
                          <wps:cNvSpPr txBox="1">
                            <a:spLocks noChangeArrowheads="1"/>
                          </wps:cNvSpPr>
                          <wps:spPr bwMode="auto">
                            <a:xfrm>
                              <a:off x="9106" y="2287"/>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3E85DF" w14:textId="77777777" w:rsidR="00CB53E4" w:rsidRDefault="00CB53E4" w:rsidP="0031675F">
                                <w:pPr>
                                  <w:spacing w:line="84" w:lineRule="exact"/>
                                  <w:rPr>
                                    <w:rFonts w:eastAsia="Arial" w:cs="Arial"/>
                                    <w:sz w:val="8"/>
                                    <w:szCs w:val="8"/>
                                  </w:rPr>
                                </w:pPr>
                                <w:r>
                                  <w:rPr>
                                    <w:spacing w:val="-1"/>
                                    <w:w w:val="105"/>
                                    <w:sz w:val="8"/>
                                  </w:rPr>
                                  <w:t>80</w:t>
                                </w:r>
                              </w:p>
                            </w:txbxContent>
                          </wps:txbx>
                          <wps:bodyPr rot="0" vert="horz" wrap="square" lIns="0" tIns="0" rIns="0" bIns="0" anchor="t" anchorCtr="0" upright="1">
                            <a:noAutofit/>
                          </wps:bodyPr>
                        </wps:wsp>
                        <wps:wsp>
                          <wps:cNvPr id="18378" name="Text Box 8441"/>
                          <wps:cNvSpPr txBox="1">
                            <a:spLocks noChangeArrowheads="1"/>
                          </wps:cNvSpPr>
                          <wps:spPr bwMode="auto">
                            <a:xfrm>
                              <a:off x="9634" y="2287"/>
                              <a:ext cx="139"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FC96A1" w14:textId="77777777" w:rsidR="00CB53E4" w:rsidRDefault="00CB53E4" w:rsidP="0031675F">
                                <w:pPr>
                                  <w:spacing w:line="84" w:lineRule="exact"/>
                                  <w:rPr>
                                    <w:rFonts w:eastAsia="Arial" w:cs="Arial"/>
                                    <w:sz w:val="8"/>
                                    <w:szCs w:val="8"/>
                                  </w:rPr>
                                </w:pPr>
                                <w:r>
                                  <w:rPr>
                                    <w:spacing w:val="-1"/>
                                    <w:w w:val="105"/>
                                    <w:sz w:val="8"/>
                                  </w:rPr>
                                  <w:t>100</w:t>
                                </w:r>
                              </w:p>
                            </w:txbxContent>
                          </wps:txbx>
                          <wps:bodyPr rot="0" vert="horz" wrap="square" lIns="0" tIns="0" rIns="0" bIns="0" anchor="t" anchorCtr="0" upright="1">
                            <a:noAutofit/>
                          </wps:bodyPr>
                        </wps:wsp>
                        <wps:wsp>
                          <wps:cNvPr id="18379" name="Text Box 8440"/>
                          <wps:cNvSpPr txBox="1">
                            <a:spLocks noChangeArrowheads="1"/>
                          </wps:cNvSpPr>
                          <wps:spPr bwMode="auto">
                            <a:xfrm>
                              <a:off x="533" y="2482"/>
                              <a:ext cx="420" cy="1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CC0436" w14:textId="77777777" w:rsidR="00CB53E4" w:rsidRDefault="00CB53E4" w:rsidP="0031675F">
                                <w:pPr>
                                  <w:spacing w:line="96" w:lineRule="exact"/>
                                  <w:jc w:val="both"/>
                                  <w:rPr>
                                    <w:rFonts w:eastAsia="Arial" w:cs="Arial"/>
                                    <w:sz w:val="9"/>
                                    <w:szCs w:val="9"/>
                                  </w:rPr>
                                </w:pPr>
                                <w:r>
                                  <w:rPr>
                                    <w:spacing w:val="2"/>
                                    <w:w w:val="105"/>
                                    <w:sz w:val="9"/>
                                  </w:rPr>
                                  <w:t>WQM194</w:t>
                                </w:r>
                              </w:p>
                              <w:p w14:paraId="3ACA7857" w14:textId="77777777" w:rsidR="00CB53E4" w:rsidRDefault="00CB53E4" w:rsidP="0031675F">
                                <w:pPr>
                                  <w:spacing w:before="18" w:line="283" w:lineRule="auto"/>
                                  <w:jc w:val="both"/>
                                  <w:rPr>
                                    <w:rFonts w:eastAsia="Arial" w:cs="Arial"/>
                                    <w:sz w:val="9"/>
                                    <w:szCs w:val="9"/>
                                  </w:rPr>
                                </w:pPr>
                                <w:r>
                                  <w:rPr>
                                    <w:spacing w:val="2"/>
                                    <w:w w:val="105"/>
                                    <w:sz w:val="9"/>
                                  </w:rPr>
                                  <w:t>WQM194</w:t>
                                </w:r>
                                <w:r>
                                  <w:rPr>
                                    <w:spacing w:val="23"/>
                                    <w:w w:val="105"/>
                                    <w:sz w:val="9"/>
                                  </w:rPr>
                                  <w:t xml:space="preserve"> </w:t>
                                </w:r>
                                <w:r>
                                  <w:rPr>
                                    <w:spacing w:val="2"/>
                                    <w:w w:val="105"/>
                                    <w:sz w:val="9"/>
                                  </w:rPr>
                                  <w:t>WQM194</w:t>
                                </w:r>
                                <w:r>
                                  <w:rPr>
                                    <w:spacing w:val="23"/>
                                    <w:w w:val="105"/>
                                    <w:sz w:val="9"/>
                                  </w:rPr>
                                  <w:t xml:space="preserve"> </w:t>
                                </w:r>
                                <w:r>
                                  <w:rPr>
                                    <w:spacing w:val="2"/>
                                    <w:w w:val="105"/>
                                    <w:sz w:val="9"/>
                                  </w:rPr>
                                  <w:t>WQM194</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p>
                            </w:txbxContent>
                          </wps:txbx>
                          <wps:bodyPr rot="0" vert="horz" wrap="square" lIns="0" tIns="0" rIns="0" bIns="0" anchor="t" anchorCtr="0" upright="1">
                            <a:noAutofit/>
                          </wps:bodyPr>
                        </wps:wsp>
                        <wps:wsp>
                          <wps:cNvPr id="18380" name="Text Box 8439"/>
                          <wps:cNvSpPr txBox="1">
                            <a:spLocks noChangeArrowheads="1"/>
                          </wps:cNvSpPr>
                          <wps:spPr bwMode="auto">
                            <a:xfrm>
                              <a:off x="1040" y="2482"/>
                              <a:ext cx="110" cy="1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3B30D" w14:textId="77777777" w:rsidR="00CB53E4" w:rsidRDefault="00CB53E4" w:rsidP="0031675F">
                                <w:pPr>
                                  <w:spacing w:line="96" w:lineRule="exact"/>
                                  <w:jc w:val="both"/>
                                  <w:rPr>
                                    <w:rFonts w:eastAsia="Arial" w:cs="Arial"/>
                                    <w:sz w:val="9"/>
                                    <w:szCs w:val="9"/>
                                  </w:rPr>
                                </w:pPr>
                                <w:r>
                                  <w:rPr>
                                    <w:spacing w:val="1"/>
                                    <w:w w:val="105"/>
                                    <w:sz w:val="9"/>
                                  </w:rPr>
                                  <w:t>d0</w:t>
                                </w:r>
                              </w:p>
                              <w:p w14:paraId="6438FBDF" w14:textId="77777777" w:rsidR="00CB53E4" w:rsidRDefault="00CB53E4" w:rsidP="0031675F">
                                <w:pPr>
                                  <w:spacing w:before="18" w:line="283" w:lineRule="auto"/>
                                  <w:jc w:val="both"/>
                                  <w:rPr>
                                    <w:rFonts w:eastAsia="Arial" w:cs="Arial"/>
                                    <w:sz w:val="9"/>
                                    <w:szCs w:val="9"/>
                                  </w:rPr>
                                </w:pPr>
                                <w:r>
                                  <w:rPr>
                                    <w:spacing w:val="1"/>
                                    <w:w w:val="105"/>
                                    <w:sz w:val="9"/>
                                  </w:rPr>
                                  <w:t>d0 d1 d1 d0 d0 d1 d1</w:t>
                                </w:r>
                              </w:p>
                              <w:p w14:paraId="7923877B" w14:textId="77777777" w:rsidR="00CB53E4" w:rsidRDefault="00CB53E4" w:rsidP="0031675F">
                                <w:pPr>
                                  <w:spacing w:line="99" w:lineRule="exact"/>
                                  <w:jc w:val="both"/>
                                  <w:rPr>
                                    <w:rFonts w:eastAsia="Arial" w:cs="Arial"/>
                                    <w:sz w:val="10"/>
                                    <w:szCs w:val="10"/>
                                  </w:rPr>
                                </w:pPr>
                                <w:r>
                                  <w:rPr>
                                    <w:spacing w:val="-1"/>
                                    <w:w w:val="95"/>
                                    <w:sz w:val="10"/>
                                  </w:rPr>
                                  <w:t>d2</w:t>
                                </w:r>
                              </w:p>
                              <w:p w14:paraId="631161FB" w14:textId="77777777" w:rsidR="00CB53E4" w:rsidRDefault="00CB53E4" w:rsidP="0031675F">
                                <w:pPr>
                                  <w:spacing w:before="7" w:line="254" w:lineRule="auto"/>
                                  <w:jc w:val="both"/>
                                  <w:rPr>
                                    <w:rFonts w:eastAsia="Arial" w:cs="Arial"/>
                                    <w:sz w:val="10"/>
                                    <w:szCs w:val="10"/>
                                  </w:rPr>
                                </w:pPr>
                                <w:r>
                                  <w:rPr>
                                    <w:spacing w:val="-1"/>
                                    <w:w w:val="95"/>
                                    <w:sz w:val="10"/>
                                  </w:rPr>
                                  <w:t>d2</w:t>
                                </w:r>
                                <w:r>
                                  <w:rPr>
                                    <w:spacing w:val="19"/>
                                    <w:w w:val="98"/>
                                    <w:sz w:val="10"/>
                                  </w:rPr>
                                  <w:t xml:space="preserve"> </w:t>
                                </w:r>
                                <w:r>
                                  <w:rPr>
                                    <w:spacing w:val="-1"/>
                                    <w:w w:val="95"/>
                                    <w:sz w:val="10"/>
                                  </w:rPr>
                                  <w:t>d3</w:t>
                                </w:r>
                                <w:r>
                                  <w:rPr>
                                    <w:spacing w:val="19"/>
                                    <w:w w:val="98"/>
                                    <w:sz w:val="10"/>
                                  </w:rPr>
                                  <w:t xml:space="preserve"> </w:t>
                                </w:r>
                                <w:r>
                                  <w:rPr>
                                    <w:spacing w:val="-1"/>
                                    <w:w w:val="95"/>
                                    <w:sz w:val="10"/>
                                  </w:rPr>
                                  <w:t>d3</w:t>
                                </w:r>
                              </w:p>
                            </w:txbxContent>
                          </wps:txbx>
                          <wps:bodyPr rot="0" vert="horz" wrap="square" lIns="0" tIns="0" rIns="0" bIns="0" anchor="t" anchorCtr="0" upright="1">
                            <a:noAutofit/>
                          </wps:bodyPr>
                        </wps:wsp>
                        <wps:wsp>
                          <wps:cNvPr id="18381" name="Text Box 8438"/>
                          <wps:cNvSpPr txBox="1">
                            <a:spLocks noChangeArrowheads="1"/>
                          </wps:cNvSpPr>
                          <wps:spPr bwMode="auto">
                            <a:xfrm>
                              <a:off x="5405" y="2961"/>
                              <a:ext cx="724"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28E3FB" w14:textId="77777777" w:rsidR="00CB53E4" w:rsidRDefault="00CB53E4" w:rsidP="0031675F">
                                <w:pPr>
                                  <w:spacing w:line="98" w:lineRule="exact"/>
                                  <w:rPr>
                                    <w:rFonts w:eastAsia="Arial" w:cs="Arial"/>
                                    <w:sz w:val="10"/>
                                    <w:szCs w:val="10"/>
                                  </w:rPr>
                                </w:pPr>
                                <w:r>
                                  <w:rPr>
                                    <w:spacing w:val="-1"/>
                                    <w:sz w:val="10"/>
                                  </w:rPr>
                                  <w:t>2ppm</w:t>
                                </w:r>
                                <w:r>
                                  <w:rPr>
                                    <w:spacing w:val="-14"/>
                                    <w:sz w:val="10"/>
                                  </w:rPr>
                                  <w:t xml:space="preserve"> </w:t>
                                </w:r>
                                <w:r>
                                  <w:rPr>
                                    <w:spacing w:val="-1"/>
                                    <w:sz w:val="10"/>
                                  </w:rPr>
                                  <w:t>Standards</w:t>
                                </w:r>
                              </w:p>
                            </w:txbxContent>
                          </wps:txbx>
                          <wps:bodyPr rot="0" vert="horz" wrap="square" lIns="0" tIns="0" rIns="0" bIns="0" anchor="t" anchorCtr="0" upright="1">
                            <a:noAutofit/>
                          </wps:bodyPr>
                        </wps:wsp>
                        <wps:wsp>
                          <wps:cNvPr id="18382" name="Text Box 8437"/>
                          <wps:cNvSpPr txBox="1">
                            <a:spLocks noChangeArrowheads="1"/>
                          </wps:cNvSpPr>
                          <wps:spPr bwMode="auto">
                            <a:xfrm>
                              <a:off x="533" y="3205"/>
                              <a:ext cx="5162" cy="18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16C763" w14:textId="77777777" w:rsidR="00CB53E4" w:rsidRDefault="00CB53E4" w:rsidP="0031675F">
                                <w:pPr>
                                  <w:spacing w:line="101" w:lineRule="exact"/>
                                  <w:ind w:right="25"/>
                                  <w:jc w:val="right"/>
                                  <w:rPr>
                                    <w:rFonts w:eastAsia="Arial" w:cs="Arial"/>
                                    <w:sz w:val="10"/>
                                    <w:szCs w:val="10"/>
                                  </w:rPr>
                                </w:pPr>
                                <w:r>
                                  <w:rPr>
                                    <w:w w:val="95"/>
                                    <w:sz w:val="10"/>
                                  </w:rPr>
                                  <w:t>1</w:t>
                                </w:r>
                              </w:p>
                              <w:p w14:paraId="2DEC00E0" w14:textId="77777777" w:rsidR="00CB53E4" w:rsidRDefault="00CB53E4" w:rsidP="0031675F">
                                <w:pPr>
                                  <w:spacing w:before="7"/>
                                  <w:ind w:right="25"/>
                                  <w:jc w:val="right"/>
                                  <w:rPr>
                                    <w:rFonts w:eastAsia="Arial" w:cs="Arial"/>
                                    <w:sz w:val="10"/>
                                    <w:szCs w:val="10"/>
                                  </w:rPr>
                                </w:pPr>
                                <w:r>
                                  <w:rPr>
                                    <w:w w:val="95"/>
                                    <w:sz w:val="10"/>
                                  </w:rPr>
                                  <w:t>5</w:t>
                                </w:r>
                              </w:p>
                              <w:p w14:paraId="51EA5808" w14:textId="77777777" w:rsidR="00CB53E4" w:rsidRDefault="00CB53E4" w:rsidP="0031675F">
                                <w:pPr>
                                  <w:spacing w:before="7"/>
                                  <w:ind w:right="25"/>
                                  <w:jc w:val="right"/>
                                  <w:rPr>
                                    <w:rFonts w:eastAsia="Arial" w:cs="Arial"/>
                                    <w:sz w:val="10"/>
                                    <w:szCs w:val="10"/>
                                  </w:rPr>
                                </w:pPr>
                                <w:r>
                                  <w:rPr>
                                    <w:w w:val="95"/>
                                    <w:sz w:val="10"/>
                                  </w:rPr>
                                  <w:t>6</w:t>
                                </w:r>
                              </w:p>
                              <w:p w14:paraId="26400FC3" w14:textId="77777777" w:rsidR="00CB53E4" w:rsidRDefault="00CB53E4" w:rsidP="0031675F">
                                <w:pPr>
                                  <w:spacing w:before="7"/>
                                  <w:jc w:val="right"/>
                                  <w:rPr>
                                    <w:rFonts w:eastAsia="Arial" w:cs="Arial"/>
                                    <w:sz w:val="10"/>
                                    <w:szCs w:val="10"/>
                                  </w:rPr>
                                </w:pPr>
                                <w:r>
                                  <w:rPr>
                                    <w:spacing w:val="-1"/>
                                    <w:w w:val="95"/>
                                    <w:sz w:val="10"/>
                                  </w:rPr>
                                  <w:t>26</w:t>
                                </w:r>
                              </w:p>
                              <w:p w14:paraId="02A9720D" w14:textId="77777777" w:rsidR="00CB53E4" w:rsidRDefault="00CB53E4" w:rsidP="0031675F">
                                <w:pPr>
                                  <w:spacing w:before="7"/>
                                  <w:jc w:val="right"/>
                                  <w:rPr>
                                    <w:rFonts w:eastAsia="Arial" w:cs="Arial"/>
                                    <w:sz w:val="10"/>
                                    <w:szCs w:val="10"/>
                                  </w:rPr>
                                </w:pPr>
                                <w:r>
                                  <w:rPr>
                                    <w:spacing w:val="-1"/>
                                    <w:w w:val="95"/>
                                    <w:sz w:val="10"/>
                                  </w:rPr>
                                  <w:t>27</w:t>
                                </w:r>
                              </w:p>
                              <w:p w14:paraId="398917C4" w14:textId="77777777" w:rsidR="00CB53E4" w:rsidRDefault="00CB53E4" w:rsidP="0031675F">
                                <w:pPr>
                                  <w:spacing w:before="7"/>
                                  <w:jc w:val="right"/>
                                  <w:rPr>
                                    <w:rFonts w:eastAsia="Arial" w:cs="Arial"/>
                                    <w:sz w:val="10"/>
                                    <w:szCs w:val="10"/>
                                  </w:rPr>
                                </w:pPr>
                                <w:r>
                                  <w:rPr>
                                    <w:spacing w:val="-1"/>
                                    <w:w w:val="95"/>
                                    <w:sz w:val="10"/>
                                  </w:rPr>
                                  <w:t>49</w:t>
                                </w:r>
                              </w:p>
                              <w:p w14:paraId="5B619923" w14:textId="77777777" w:rsidR="00CB53E4" w:rsidRDefault="00CB53E4" w:rsidP="0031675F">
                                <w:pPr>
                                  <w:tabs>
                                    <w:tab w:val="right" w:pos="5161"/>
                                  </w:tabs>
                                  <w:spacing w:before="7"/>
                                  <w:jc w:val="right"/>
                                  <w:rPr>
                                    <w:rFonts w:eastAsia="Arial" w:cs="Arial"/>
                                    <w:sz w:val="10"/>
                                    <w:szCs w:val="10"/>
                                  </w:rPr>
                                </w:pPr>
                                <w:r>
                                  <w:rPr>
                                    <w:spacing w:val="-1"/>
                                    <w:sz w:val="10"/>
                                  </w:rPr>
                                  <w:t>Pontoon</w:t>
                                </w:r>
                                <w:r>
                                  <w:rPr>
                                    <w:spacing w:val="-2"/>
                                    <w:sz w:val="10"/>
                                  </w:rPr>
                                  <w:t xml:space="preserve"> </w:t>
                                </w:r>
                                <w:r>
                                  <w:rPr>
                                    <w:spacing w:val="-1"/>
                                    <w:sz w:val="10"/>
                                  </w:rPr>
                                  <w:t>Seawater 22-Dec</w:t>
                                </w:r>
                                <w:r>
                                  <w:rPr>
                                    <w:spacing w:val="-1"/>
                                    <w:sz w:val="10"/>
                                  </w:rPr>
                                  <w:tab/>
                                  <w:t>50</w:t>
                                </w:r>
                              </w:p>
                              <w:p w14:paraId="4A3CC9E0" w14:textId="77777777" w:rsidR="00CB53E4" w:rsidRDefault="00CB53E4" w:rsidP="0031675F">
                                <w:pPr>
                                  <w:tabs>
                                    <w:tab w:val="right" w:pos="5161"/>
                                  </w:tabs>
                                  <w:spacing w:before="7"/>
                                  <w:jc w:val="right"/>
                                  <w:rPr>
                                    <w:rFonts w:eastAsia="Arial" w:cs="Arial"/>
                                    <w:sz w:val="10"/>
                                    <w:szCs w:val="10"/>
                                  </w:rPr>
                                </w:pPr>
                                <w:r>
                                  <w:rPr>
                                    <w:spacing w:val="-1"/>
                                    <w:sz w:val="10"/>
                                  </w:rPr>
                                  <w:t>2ppm</w:t>
                                </w:r>
                                <w:r>
                                  <w:rPr>
                                    <w:sz w:val="10"/>
                                  </w:rPr>
                                  <w:t xml:space="preserve"> OC</w:t>
                                </w:r>
                                <w:r>
                                  <w:rPr>
                                    <w:sz w:val="10"/>
                                  </w:rPr>
                                  <w:tab/>
                                </w:r>
                                <w:r>
                                  <w:rPr>
                                    <w:spacing w:val="-1"/>
                                    <w:sz w:val="10"/>
                                  </w:rPr>
                                  <w:t>72</w:t>
                                </w:r>
                              </w:p>
                              <w:p w14:paraId="19198160" w14:textId="77777777" w:rsidR="00CB53E4" w:rsidRDefault="00CB53E4" w:rsidP="0031675F">
                                <w:pPr>
                                  <w:tabs>
                                    <w:tab w:val="right" w:pos="5161"/>
                                  </w:tabs>
                                  <w:spacing w:before="7"/>
                                  <w:jc w:val="right"/>
                                  <w:rPr>
                                    <w:rFonts w:eastAsia="Arial" w:cs="Arial"/>
                                    <w:sz w:val="10"/>
                                    <w:szCs w:val="10"/>
                                  </w:rPr>
                                </w:pPr>
                                <w:r>
                                  <w:rPr>
                                    <w:spacing w:val="-1"/>
                                    <w:sz w:val="10"/>
                                  </w:rPr>
                                  <w:t>2ppm</w:t>
                                </w:r>
                                <w:r>
                                  <w:rPr>
                                    <w:sz w:val="10"/>
                                  </w:rPr>
                                  <w:t xml:space="preserve"> OC</w:t>
                                </w:r>
                                <w:r>
                                  <w:rPr>
                                    <w:sz w:val="10"/>
                                  </w:rPr>
                                  <w:tab/>
                                </w:r>
                                <w:r>
                                  <w:rPr>
                                    <w:spacing w:val="-1"/>
                                    <w:sz w:val="10"/>
                                  </w:rPr>
                                  <w:t>73</w:t>
                                </w:r>
                              </w:p>
                              <w:p w14:paraId="0285020A" w14:textId="77777777" w:rsidR="00CB53E4" w:rsidRDefault="00CB53E4" w:rsidP="0031675F">
                                <w:pPr>
                                  <w:spacing w:before="7" w:line="254" w:lineRule="auto"/>
                                  <w:ind w:right="4737"/>
                                  <w:jc w:val="both"/>
                                  <w:rPr>
                                    <w:rFonts w:eastAsia="Arial" w:cs="Arial"/>
                                    <w:sz w:val="10"/>
                                    <w:szCs w:val="10"/>
                                  </w:rPr>
                                </w:pP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43ABFC05" w14:textId="77777777" w:rsidR="00CB53E4" w:rsidRDefault="00CB53E4" w:rsidP="0031675F">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wps:txbx>
                          <wps:bodyPr rot="0" vert="horz" wrap="square" lIns="0" tIns="0" rIns="0" bIns="0" anchor="t" anchorCtr="0" upright="1">
                            <a:noAutofit/>
                          </wps:bodyPr>
                        </wps:wsp>
                        <wps:wsp>
                          <wps:cNvPr id="18383" name="Text Box 8436"/>
                          <wps:cNvSpPr txBox="1">
                            <a:spLocks noChangeArrowheads="1"/>
                          </wps:cNvSpPr>
                          <wps:spPr bwMode="auto">
                            <a:xfrm>
                              <a:off x="6045" y="3205"/>
                              <a:ext cx="191" cy="10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7FCB1B" w14:textId="77777777" w:rsidR="00CB53E4" w:rsidRDefault="00CB53E4" w:rsidP="0031675F">
                                <w:pPr>
                                  <w:spacing w:line="101" w:lineRule="exact"/>
                                  <w:rPr>
                                    <w:rFonts w:eastAsia="Arial" w:cs="Arial"/>
                                    <w:sz w:val="10"/>
                                    <w:szCs w:val="10"/>
                                  </w:rPr>
                                </w:pPr>
                                <w:r>
                                  <w:rPr>
                                    <w:spacing w:val="-1"/>
                                    <w:w w:val="95"/>
                                    <w:sz w:val="10"/>
                                  </w:rPr>
                                  <w:t>3.86</w:t>
                                </w:r>
                              </w:p>
                              <w:p w14:paraId="4B9F8DCB" w14:textId="77777777" w:rsidR="00CB53E4" w:rsidRDefault="00CB53E4" w:rsidP="0031675F">
                                <w:pPr>
                                  <w:spacing w:before="7"/>
                                  <w:rPr>
                                    <w:rFonts w:eastAsia="Arial" w:cs="Arial"/>
                                    <w:sz w:val="10"/>
                                    <w:szCs w:val="10"/>
                                  </w:rPr>
                                </w:pPr>
                                <w:r>
                                  <w:rPr>
                                    <w:spacing w:val="-1"/>
                                    <w:w w:val="95"/>
                                    <w:sz w:val="10"/>
                                  </w:rPr>
                                  <w:t>3.79</w:t>
                                </w:r>
                              </w:p>
                              <w:p w14:paraId="430F8D6C" w14:textId="77777777" w:rsidR="00CB53E4" w:rsidRDefault="00CB53E4" w:rsidP="0031675F">
                                <w:pPr>
                                  <w:spacing w:before="7"/>
                                  <w:rPr>
                                    <w:rFonts w:eastAsia="Arial" w:cs="Arial"/>
                                    <w:sz w:val="10"/>
                                    <w:szCs w:val="10"/>
                                  </w:rPr>
                                </w:pPr>
                                <w:r>
                                  <w:rPr>
                                    <w:spacing w:val="-1"/>
                                    <w:w w:val="95"/>
                                    <w:sz w:val="10"/>
                                  </w:rPr>
                                  <w:t>3.84</w:t>
                                </w:r>
                              </w:p>
                              <w:p w14:paraId="46B1388F" w14:textId="77777777" w:rsidR="00CB53E4" w:rsidRDefault="00CB53E4" w:rsidP="0031675F">
                                <w:pPr>
                                  <w:spacing w:before="7"/>
                                  <w:rPr>
                                    <w:rFonts w:eastAsia="Arial" w:cs="Arial"/>
                                    <w:sz w:val="10"/>
                                    <w:szCs w:val="10"/>
                                  </w:rPr>
                                </w:pPr>
                                <w:r>
                                  <w:rPr>
                                    <w:spacing w:val="-1"/>
                                    <w:w w:val="95"/>
                                    <w:sz w:val="10"/>
                                  </w:rPr>
                                  <w:t>4.01</w:t>
                                </w:r>
                              </w:p>
                              <w:p w14:paraId="17D39500" w14:textId="77777777" w:rsidR="00CB53E4" w:rsidRDefault="00CB53E4" w:rsidP="0031675F">
                                <w:pPr>
                                  <w:spacing w:before="7"/>
                                  <w:rPr>
                                    <w:rFonts w:eastAsia="Arial" w:cs="Arial"/>
                                    <w:sz w:val="10"/>
                                    <w:szCs w:val="10"/>
                                  </w:rPr>
                                </w:pPr>
                                <w:r>
                                  <w:rPr>
                                    <w:spacing w:val="-1"/>
                                    <w:w w:val="95"/>
                                    <w:sz w:val="10"/>
                                  </w:rPr>
                                  <w:t>3.96</w:t>
                                </w:r>
                              </w:p>
                              <w:p w14:paraId="2B07ECAE" w14:textId="77777777" w:rsidR="00CB53E4" w:rsidRDefault="00CB53E4" w:rsidP="0031675F">
                                <w:pPr>
                                  <w:spacing w:before="7"/>
                                  <w:rPr>
                                    <w:rFonts w:eastAsia="Arial" w:cs="Arial"/>
                                    <w:sz w:val="10"/>
                                    <w:szCs w:val="10"/>
                                  </w:rPr>
                                </w:pPr>
                                <w:r>
                                  <w:rPr>
                                    <w:spacing w:val="-1"/>
                                    <w:w w:val="95"/>
                                    <w:sz w:val="10"/>
                                  </w:rPr>
                                  <w:t>3.92</w:t>
                                </w:r>
                              </w:p>
                              <w:p w14:paraId="6A0F9438" w14:textId="77777777" w:rsidR="00CB53E4" w:rsidRDefault="00CB53E4" w:rsidP="0031675F">
                                <w:pPr>
                                  <w:spacing w:before="7"/>
                                  <w:rPr>
                                    <w:rFonts w:eastAsia="Arial" w:cs="Arial"/>
                                    <w:sz w:val="10"/>
                                    <w:szCs w:val="10"/>
                                  </w:rPr>
                                </w:pPr>
                                <w:r>
                                  <w:rPr>
                                    <w:spacing w:val="-1"/>
                                    <w:w w:val="95"/>
                                    <w:sz w:val="10"/>
                                  </w:rPr>
                                  <w:t>4.04</w:t>
                                </w:r>
                              </w:p>
                              <w:p w14:paraId="72B60D58" w14:textId="77777777" w:rsidR="00CB53E4" w:rsidRDefault="00CB53E4" w:rsidP="0031675F">
                                <w:pPr>
                                  <w:spacing w:before="7"/>
                                  <w:rPr>
                                    <w:rFonts w:eastAsia="Arial" w:cs="Arial"/>
                                    <w:sz w:val="10"/>
                                    <w:szCs w:val="10"/>
                                  </w:rPr>
                                </w:pPr>
                                <w:r>
                                  <w:rPr>
                                    <w:spacing w:val="-1"/>
                                    <w:w w:val="95"/>
                                    <w:sz w:val="10"/>
                                  </w:rPr>
                                  <w:t>3.75</w:t>
                                </w:r>
                              </w:p>
                              <w:p w14:paraId="4D2AE37A" w14:textId="77777777" w:rsidR="00CB53E4" w:rsidRDefault="00CB53E4" w:rsidP="0031675F">
                                <w:pPr>
                                  <w:spacing w:before="7" w:line="112" w:lineRule="exact"/>
                                  <w:rPr>
                                    <w:rFonts w:eastAsia="Arial" w:cs="Arial"/>
                                    <w:sz w:val="10"/>
                                    <w:szCs w:val="10"/>
                                  </w:rPr>
                                </w:pPr>
                                <w:r>
                                  <w:rPr>
                                    <w:spacing w:val="-1"/>
                                    <w:w w:val="95"/>
                                    <w:sz w:val="10"/>
                                  </w:rPr>
                                  <w:t>3.60</w:t>
                                </w:r>
                              </w:p>
                            </w:txbxContent>
                          </wps:txbx>
                          <wps:bodyPr rot="0" vert="horz" wrap="square" lIns="0" tIns="0" rIns="0" bIns="0" anchor="t" anchorCtr="0" upright="1">
                            <a:noAutofit/>
                          </wps:bodyPr>
                        </wps:wsp>
                        <wps:wsp>
                          <wps:cNvPr id="18384" name="Text Box 8435"/>
                          <wps:cNvSpPr txBox="1">
                            <a:spLocks noChangeArrowheads="1"/>
                          </wps:cNvSpPr>
                          <wps:spPr bwMode="auto">
                            <a:xfrm>
                              <a:off x="6792" y="3225"/>
                              <a:ext cx="164" cy="1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A8C9A" w14:textId="77777777" w:rsidR="00CB53E4" w:rsidRDefault="00CB53E4" w:rsidP="0031675F">
                                <w:pPr>
                                  <w:spacing w:line="85" w:lineRule="exact"/>
                                  <w:rPr>
                                    <w:rFonts w:eastAsia="Arial" w:cs="Arial"/>
                                    <w:sz w:val="8"/>
                                    <w:szCs w:val="8"/>
                                  </w:rPr>
                                </w:pPr>
                                <w:r>
                                  <w:rPr>
                                    <w:spacing w:val="-1"/>
                                    <w:w w:val="105"/>
                                    <w:sz w:val="8"/>
                                  </w:rPr>
                                  <w:t>4.10</w:t>
                                </w:r>
                              </w:p>
                              <w:p w14:paraId="1110C3F2" w14:textId="77777777" w:rsidR="00CB53E4" w:rsidRDefault="00CB53E4" w:rsidP="0031675F">
                                <w:pPr>
                                  <w:spacing w:before="45"/>
                                  <w:rPr>
                                    <w:rFonts w:eastAsia="Arial" w:cs="Arial"/>
                                    <w:sz w:val="8"/>
                                    <w:szCs w:val="8"/>
                                  </w:rPr>
                                </w:pPr>
                                <w:r>
                                  <w:rPr>
                                    <w:spacing w:val="-1"/>
                                    <w:w w:val="105"/>
                                    <w:sz w:val="8"/>
                                  </w:rPr>
                                  <w:t>4.05</w:t>
                                </w:r>
                              </w:p>
                              <w:p w14:paraId="4B39CB48" w14:textId="77777777" w:rsidR="00CB53E4" w:rsidRDefault="00CB53E4" w:rsidP="0031675F">
                                <w:pPr>
                                  <w:spacing w:before="46"/>
                                  <w:rPr>
                                    <w:rFonts w:eastAsia="Arial" w:cs="Arial"/>
                                    <w:sz w:val="8"/>
                                    <w:szCs w:val="8"/>
                                  </w:rPr>
                                </w:pPr>
                                <w:r>
                                  <w:rPr>
                                    <w:spacing w:val="-1"/>
                                    <w:w w:val="105"/>
                                    <w:sz w:val="8"/>
                                  </w:rPr>
                                  <w:t>4.00</w:t>
                                </w:r>
                              </w:p>
                              <w:p w14:paraId="0338595F" w14:textId="77777777" w:rsidR="00CB53E4" w:rsidRDefault="00CB53E4" w:rsidP="0031675F">
                                <w:pPr>
                                  <w:spacing w:before="45"/>
                                  <w:rPr>
                                    <w:rFonts w:eastAsia="Arial" w:cs="Arial"/>
                                    <w:sz w:val="8"/>
                                    <w:szCs w:val="8"/>
                                  </w:rPr>
                                </w:pPr>
                                <w:r>
                                  <w:rPr>
                                    <w:spacing w:val="-1"/>
                                    <w:w w:val="105"/>
                                    <w:sz w:val="8"/>
                                  </w:rPr>
                                  <w:t>3.95</w:t>
                                </w:r>
                              </w:p>
                              <w:p w14:paraId="23C942F7" w14:textId="77777777" w:rsidR="00CB53E4" w:rsidRDefault="00CB53E4" w:rsidP="0031675F">
                                <w:pPr>
                                  <w:spacing w:before="45"/>
                                  <w:rPr>
                                    <w:rFonts w:eastAsia="Arial" w:cs="Arial"/>
                                    <w:sz w:val="8"/>
                                    <w:szCs w:val="8"/>
                                  </w:rPr>
                                </w:pPr>
                                <w:r>
                                  <w:rPr>
                                    <w:spacing w:val="-1"/>
                                    <w:w w:val="105"/>
                                    <w:sz w:val="8"/>
                                  </w:rPr>
                                  <w:t>3.90</w:t>
                                </w:r>
                              </w:p>
                              <w:p w14:paraId="7B1AD313" w14:textId="77777777" w:rsidR="00CB53E4" w:rsidRDefault="00CB53E4" w:rsidP="0031675F">
                                <w:pPr>
                                  <w:spacing w:before="45"/>
                                  <w:rPr>
                                    <w:rFonts w:eastAsia="Arial" w:cs="Arial"/>
                                    <w:sz w:val="8"/>
                                    <w:szCs w:val="8"/>
                                  </w:rPr>
                                </w:pPr>
                                <w:r>
                                  <w:rPr>
                                    <w:spacing w:val="-1"/>
                                    <w:w w:val="105"/>
                                    <w:sz w:val="8"/>
                                  </w:rPr>
                                  <w:t>3.85</w:t>
                                </w:r>
                              </w:p>
                              <w:p w14:paraId="4F206C79" w14:textId="77777777" w:rsidR="00CB53E4" w:rsidRDefault="00CB53E4" w:rsidP="0031675F">
                                <w:pPr>
                                  <w:spacing w:before="46"/>
                                  <w:rPr>
                                    <w:rFonts w:eastAsia="Arial" w:cs="Arial"/>
                                    <w:sz w:val="8"/>
                                    <w:szCs w:val="8"/>
                                  </w:rPr>
                                </w:pPr>
                                <w:r>
                                  <w:rPr>
                                    <w:spacing w:val="-1"/>
                                    <w:w w:val="105"/>
                                    <w:sz w:val="8"/>
                                  </w:rPr>
                                  <w:t>3.80</w:t>
                                </w:r>
                              </w:p>
                              <w:p w14:paraId="29EE3F71" w14:textId="77777777" w:rsidR="00CB53E4" w:rsidRDefault="00CB53E4" w:rsidP="0031675F">
                                <w:pPr>
                                  <w:spacing w:before="45"/>
                                  <w:rPr>
                                    <w:rFonts w:eastAsia="Arial" w:cs="Arial"/>
                                    <w:sz w:val="8"/>
                                    <w:szCs w:val="8"/>
                                  </w:rPr>
                                </w:pPr>
                                <w:r>
                                  <w:rPr>
                                    <w:spacing w:val="-1"/>
                                    <w:w w:val="105"/>
                                    <w:sz w:val="8"/>
                                  </w:rPr>
                                  <w:t>3.75</w:t>
                                </w:r>
                              </w:p>
                              <w:p w14:paraId="34049197" w14:textId="77777777" w:rsidR="00CB53E4" w:rsidRDefault="00CB53E4" w:rsidP="0031675F">
                                <w:pPr>
                                  <w:spacing w:before="45"/>
                                  <w:rPr>
                                    <w:rFonts w:eastAsia="Arial" w:cs="Arial"/>
                                    <w:sz w:val="8"/>
                                    <w:szCs w:val="8"/>
                                  </w:rPr>
                                </w:pPr>
                                <w:r>
                                  <w:rPr>
                                    <w:spacing w:val="-1"/>
                                    <w:w w:val="105"/>
                                    <w:sz w:val="8"/>
                                  </w:rPr>
                                  <w:t>3.70</w:t>
                                </w:r>
                              </w:p>
                              <w:p w14:paraId="2E5228E5" w14:textId="77777777" w:rsidR="00CB53E4" w:rsidRDefault="00CB53E4" w:rsidP="0031675F">
                                <w:pPr>
                                  <w:spacing w:before="45"/>
                                  <w:rPr>
                                    <w:rFonts w:eastAsia="Arial" w:cs="Arial"/>
                                    <w:sz w:val="8"/>
                                    <w:szCs w:val="8"/>
                                  </w:rPr>
                                </w:pPr>
                                <w:r>
                                  <w:rPr>
                                    <w:spacing w:val="-1"/>
                                    <w:w w:val="105"/>
                                    <w:sz w:val="8"/>
                                  </w:rPr>
                                  <w:t>3.65</w:t>
                                </w:r>
                              </w:p>
                              <w:p w14:paraId="20F7A745" w14:textId="77777777" w:rsidR="00CB53E4" w:rsidRDefault="00CB53E4" w:rsidP="0031675F">
                                <w:pPr>
                                  <w:spacing w:before="46"/>
                                  <w:rPr>
                                    <w:rFonts w:eastAsia="Arial" w:cs="Arial"/>
                                    <w:sz w:val="8"/>
                                    <w:szCs w:val="8"/>
                                  </w:rPr>
                                </w:pPr>
                                <w:r>
                                  <w:rPr>
                                    <w:spacing w:val="-1"/>
                                    <w:w w:val="105"/>
                                    <w:sz w:val="8"/>
                                  </w:rPr>
                                  <w:t>3.60</w:t>
                                </w:r>
                              </w:p>
                              <w:p w14:paraId="57D8BFE2" w14:textId="77777777" w:rsidR="00CB53E4" w:rsidRDefault="00CB53E4" w:rsidP="0031675F">
                                <w:pPr>
                                  <w:spacing w:before="45" w:line="91" w:lineRule="exact"/>
                                  <w:rPr>
                                    <w:rFonts w:eastAsia="Arial" w:cs="Arial"/>
                                    <w:sz w:val="8"/>
                                    <w:szCs w:val="8"/>
                                  </w:rPr>
                                </w:pPr>
                                <w:r>
                                  <w:rPr>
                                    <w:spacing w:val="-1"/>
                                    <w:w w:val="105"/>
                                    <w:sz w:val="8"/>
                                  </w:rPr>
                                  <w:t>3.55</w:t>
                                </w:r>
                              </w:p>
                            </w:txbxContent>
                          </wps:txbx>
                          <wps:bodyPr rot="0" vert="horz" wrap="square" lIns="0" tIns="0" rIns="0" bIns="0" anchor="t" anchorCtr="0" upright="1">
                            <a:noAutofit/>
                          </wps:bodyPr>
                        </wps:wsp>
                        <wps:wsp>
                          <wps:cNvPr id="18385" name="Text Box 8434"/>
                          <wps:cNvSpPr txBox="1">
                            <a:spLocks noChangeArrowheads="1"/>
                          </wps:cNvSpPr>
                          <wps:spPr bwMode="auto">
                            <a:xfrm>
                              <a:off x="10083" y="3083"/>
                              <a:ext cx="651" cy="10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ACCAEB" w14:textId="77777777" w:rsidR="00CB53E4" w:rsidRDefault="00CB53E4" w:rsidP="0031675F">
                                <w:pPr>
                                  <w:tabs>
                                    <w:tab w:val="left" w:pos="459"/>
                                  </w:tabs>
                                  <w:spacing w:line="101" w:lineRule="exact"/>
                                  <w:ind w:left="27"/>
                                  <w:rPr>
                                    <w:rFonts w:eastAsia="Arial" w:cs="Arial"/>
                                    <w:sz w:val="10"/>
                                    <w:szCs w:val="10"/>
                                  </w:rPr>
                                </w:pPr>
                                <w:r>
                                  <w:rPr>
                                    <w:w w:val="95"/>
                                    <w:sz w:val="10"/>
                                  </w:rPr>
                                  <w:t>5</w:t>
                                </w:r>
                                <w:r>
                                  <w:rPr>
                                    <w:w w:val="95"/>
                                    <w:sz w:val="10"/>
                                  </w:rPr>
                                  <w:tab/>
                                </w:r>
                                <w:r>
                                  <w:rPr>
                                    <w:spacing w:val="-1"/>
                                    <w:w w:val="95"/>
                                    <w:sz w:val="10"/>
                                  </w:rPr>
                                  <w:t>4.56</w:t>
                                </w:r>
                              </w:p>
                              <w:p w14:paraId="47F19B4C" w14:textId="77777777" w:rsidR="00CB53E4" w:rsidRDefault="00CB53E4" w:rsidP="0031675F">
                                <w:pPr>
                                  <w:tabs>
                                    <w:tab w:val="left" w:pos="459"/>
                                  </w:tabs>
                                  <w:spacing w:before="7"/>
                                  <w:ind w:left="27"/>
                                  <w:rPr>
                                    <w:rFonts w:eastAsia="Arial" w:cs="Arial"/>
                                    <w:sz w:val="10"/>
                                    <w:szCs w:val="10"/>
                                  </w:rPr>
                                </w:pPr>
                                <w:r>
                                  <w:rPr>
                                    <w:w w:val="95"/>
                                    <w:sz w:val="10"/>
                                  </w:rPr>
                                  <w:t>9</w:t>
                                </w:r>
                                <w:r>
                                  <w:rPr>
                                    <w:w w:val="95"/>
                                    <w:sz w:val="10"/>
                                  </w:rPr>
                                  <w:tab/>
                                </w:r>
                                <w:r>
                                  <w:rPr>
                                    <w:spacing w:val="-1"/>
                                    <w:w w:val="95"/>
                                    <w:sz w:val="10"/>
                                  </w:rPr>
                                  <w:t>4.40</w:t>
                                </w:r>
                              </w:p>
                              <w:p w14:paraId="1ADF8B1A" w14:textId="77777777" w:rsidR="00CB53E4" w:rsidRDefault="00CB53E4" w:rsidP="0031675F">
                                <w:pPr>
                                  <w:tabs>
                                    <w:tab w:val="left" w:pos="459"/>
                                  </w:tabs>
                                  <w:spacing w:before="7"/>
                                  <w:rPr>
                                    <w:rFonts w:eastAsia="Arial" w:cs="Arial"/>
                                    <w:sz w:val="10"/>
                                    <w:szCs w:val="10"/>
                                  </w:rPr>
                                </w:pPr>
                                <w:r>
                                  <w:rPr>
                                    <w:spacing w:val="-1"/>
                                    <w:w w:val="95"/>
                                    <w:sz w:val="10"/>
                                  </w:rPr>
                                  <w:t>10</w:t>
                                </w:r>
                                <w:r>
                                  <w:rPr>
                                    <w:spacing w:val="-1"/>
                                    <w:w w:val="95"/>
                                    <w:sz w:val="10"/>
                                  </w:rPr>
                                  <w:tab/>
                                  <w:t>4.30</w:t>
                                </w:r>
                              </w:p>
                              <w:p w14:paraId="0CE82BC8" w14:textId="77777777" w:rsidR="00CB53E4" w:rsidRDefault="00CB53E4" w:rsidP="0031675F">
                                <w:pPr>
                                  <w:tabs>
                                    <w:tab w:val="left" w:pos="459"/>
                                  </w:tabs>
                                  <w:spacing w:before="7"/>
                                  <w:rPr>
                                    <w:rFonts w:eastAsia="Arial" w:cs="Arial"/>
                                    <w:sz w:val="10"/>
                                    <w:szCs w:val="10"/>
                                  </w:rPr>
                                </w:pPr>
                                <w:r>
                                  <w:rPr>
                                    <w:spacing w:val="-1"/>
                                    <w:w w:val="95"/>
                                    <w:sz w:val="10"/>
                                  </w:rPr>
                                  <w:t>28</w:t>
                                </w:r>
                                <w:r>
                                  <w:rPr>
                                    <w:spacing w:val="-1"/>
                                    <w:w w:val="95"/>
                                    <w:sz w:val="10"/>
                                  </w:rPr>
                                  <w:tab/>
                                  <w:t>4.29</w:t>
                                </w:r>
                              </w:p>
                              <w:p w14:paraId="41E44823" w14:textId="77777777" w:rsidR="00CB53E4" w:rsidRDefault="00CB53E4" w:rsidP="0031675F">
                                <w:pPr>
                                  <w:tabs>
                                    <w:tab w:val="left" w:pos="459"/>
                                  </w:tabs>
                                  <w:spacing w:before="7"/>
                                  <w:rPr>
                                    <w:rFonts w:eastAsia="Arial" w:cs="Arial"/>
                                    <w:sz w:val="10"/>
                                    <w:szCs w:val="10"/>
                                  </w:rPr>
                                </w:pPr>
                                <w:r>
                                  <w:rPr>
                                    <w:spacing w:val="-1"/>
                                    <w:w w:val="95"/>
                                    <w:sz w:val="10"/>
                                  </w:rPr>
                                  <w:t>29</w:t>
                                </w:r>
                                <w:r>
                                  <w:rPr>
                                    <w:spacing w:val="-1"/>
                                    <w:w w:val="95"/>
                                    <w:sz w:val="10"/>
                                  </w:rPr>
                                  <w:tab/>
                                  <w:t>4.20</w:t>
                                </w:r>
                              </w:p>
                              <w:p w14:paraId="6DB02E32" w14:textId="77777777" w:rsidR="00CB53E4" w:rsidRDefault="00CB53E4" w:rsidP="0031675F">
                                <w:pPr>
                                  <w:tabs>
                                    <w:tab w:val="left" w:pos="459"/>
                                  </w:tabs>
                                  <w:spacing w:before="7"/>
                                  <w:rPr>
                                    <w:rFonts w:eastAsia="Arial" w:cs="Arial"/>
                                    <w:sz w:val="10"/>
                                    <w:szCs w:val="10"/>
                                  </w:rPr>
                                </w:pPr>
                                <w:r>
                                  <w:rPr>
                                    <w:spacing w:val="-1"/>
                                    <w:w w:val="95"/>
                                    <w:sz w:val="10"/>
                                  </w:rPr>
                                  <w:t>51</w:t>
                                </w:r>
                                <w:r>
                                  <w:rPr>
                                    <w:spacing w:val="-1"/>
                                    <w:w w:val="95"/>
                                    <w:sz w:val="10"/>
                                  </w:rPr>
                                  <w:tab/>
                                  <w:t>4.24</w:t>
                                </w:r>
                              </w:p>
                              <w:p w14:paraId="1AE918F2" w14:textId="77777777" w:rsidR="00CB53E4" w:rsidRDefault="00CB53E4" w:rsidP="0031675F">
                                <w:pPr>
                                  <w:tabs>
                                    <w:tab w:val="left" w:pos="459"/>
                                  </w:tabs>
                                  <w:spacing w:before="7"/>
                                  <w:rPr>
                                    <w:rFonts w:eastAsia="Arial" w:cs="Arial"/>
                                    <w:sz w:val="10"/>
                                    <w:szCs w:val="10"/>
                                  </w:rPr>
                                </w:pPr>
                                <w:r>
                                  <w:rPr>
                                    <w:spacing w:val="-1"/>
                                    <w:w w:val="95"/>
                                    <w:sz w:val="10"/>
                                  </w:rPr>
                                  <w:t>52</w:t>
                                </w:r>
                                <w:r>
                                  <w:rPr>
                                    <w:spacing w:val="-1"/>
                                    <w:w w:val="95"/>
                                    <w:sz w:val="10"/>
                                  </w:rPr>
                                  <w:tab/>
                                  <w:t>4.11</w:t>
                                </w:r>
                              </w:p>
                              <w:p w14:paraId="7B6EBB3A" w14:textId="77777777" w:rsidR="00CB53E4" w:rsidRDefault="00CB53E4" w:rsidP="0031675F">
                                <w:pPr>
                                  <w:tabs>
                                    <w:tab w:val="left" w:pos="459"/>
                                  </w:tabs>
                                  <w:spacing w:before="7"/>
                                  <w:rPr>
                                    <w:rFonts w:eastAsia="Arial" w:cs="Arial"/>
                                    <w:sz w:val="10"/>
                                    <w:szCs w:val="10"/>
                                  </w:rPr>
                                </w:pPr>
                                <w:r>
                                  <w:rPr>
                                    <w:spacing w:val="-1"/>
                                    <w:w w:val="95"/>
                                    <w:sz w:val="10"/>
                                  </w:rPr>
                                  <w:t>72</w:t>
                                </w:r>
                                <w:r>
                                  <w:rPr>
                                    <w:spacing w:val="-1"/>
                                    <w:w w:val="95"/>
                                    <w:sz w:val="10"/>
                                  </w:rPr>
                                  <w:tab/>
                                  <w:t>4.12</w:t>
                                </w:r>
                              </w:p>
                              <w:p w14:paraId="62118C91" w14:textId="77777777" w:rsidR="00CB53E4" w:rsidRDefault="00CB53E4" w:rsidP="0031675F">
                                <w:pPr>
                                  <w:tabs>
                                    <w:tab w:val="left" w:pos="459"/>
                                  </w:tabs>
                                  <w:spacing w:before="7" w:line="112" w:lineRule="exact"/>
                                  <w:rPr>
                                    <w:rFonts w:eastAsia="Arial" w:cs="Arial"/>
                                    <w:sz w:val="10"/>
                                    <w:szCs w:val="10"/>
                                  </w:rPr>
                                </w:pPr>
                                <w:r>
                                  <w:rPr>
                                    <w:spacing w:val="-1"/>
                                    <w:w w:val="95"/>
                                    <w:sz w:val="10"/>
                                  </w:rPr>
                                  <w:t>73</w:t>
                                </w:r>
                                <w:r>
                                  <w:rPr>
                                    <w:spacing w:val="-1"/>
                                    <w:w w:val="95"/>
                                    <w:sz w:val="10"/>
                                  </w:rPr>
                                  <w:tab/>
                                  <w:t>3.97</w:t>
                                </w:r>
                              </w:p>
                            </w:txbxContent>
                          </wps:txbx>
                          <wps:bodyPr rot="0" vert="horz" wrap="square" lIns="0" tIns="0" rIns="0" bIns="0" anchor="t" anchorCtr="0" upright="1">
                            <a:noAutofit/>
                          </wps:bodyPr>
                        </wps:wsp>
                        <wps:wsp>
                          <wps:cNvPr id="18386" name="Text Box 8433"/>
                          <wps:cNvSpPr txBox="1">
                            <a:spLocks noChangeArrowheads="1"/>
                          </wps:cNvSpPr>
                          <wps:spPr bwMode="auto">
                            <a:xfrm>
                              <a:off x="7151" y="4349"/>
                              <a:ext cx="1930" cy="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E24898" w14:textId="77777777" w:rsidR="00CB53E4" w:rsidRDefault="00CB53E4" w:rsidP="0031675F">
                                <w:pPr>
                                  <w:spacing w:line="103" w:lineRule="exact"/>
                                  <w:rPr>
                                    <w:rFonts w:eastAsia="Arial" w:cs="Arial"/>
                                    <w:sz w:val="8"/>
                                    <w:szCs w:val="8"/>
                                  </w:rPr>
                                </w:pPr>
                                <w:r>
                                  <w:rPr>
                                    <w:w w:val="105"/>
                                    <w:sz w:val="8"/>
                                  </w:rPr>
                                  <w:t>y</w:t>
                                </w:r>
                                <w:r>
                                  <w:rPr>
                                    <w:spacing w:val="-1"/>
                                    <w:w w:val="105"/>
                                    <w:sz w:val="8"/>
                                  </w:rPr>
                                  <w:t xml:space="preserve"> </w:t>
                                </w:r>
                                <w:r>
                                  <w:rPr>
                                    <w:w w:val="105"/>
                                    <w:sz w:val="8"/>
                                  </w:rPr>
                                  <w:t>=</w:t>
                                </w:r>
                                <w:r>
                                  <w:rPr>
                                    <w:spacing w:val="-1"/>
                                    <w:w w:val="105"/>
                                    <w:sz w:val="8"/>
                                  </w:rPr>
                                  <w:t xml:space="preserve"> -0.000209729x</w:t>
                                </w:r>
                                <w:r>
                                  <w:rPr>
                                    <w:spacing w:val="-1"/>
                                    <w:w w:val="105"/>
                                    <w:position w:val="4"/>
                                    <w:sz w:val="5"/>
                                  </w:rPr>
                                  <w:t>2</w:t>
                                </w:r>
                                <w:r>
                                  <w:rPr>
                                    <w:spacing w:val="8"/>
                                    <w:w w:val="105"/>
                                    <w:position w:val="4"/>
                                    <w:sz w:val="5"/>
                                  </w:rPr>
                                  <w:t xml:space="preserve"> </w:t>
                                </w:r>
                                <w:r>
                                  <w:rPr>
                                    <w:w w:val="105"/>
                                    <w:sz w:val="8"/>
                                  </w:rPr>
                                  <w:t xml:space="preserve">+ </w:t>
                                </w:r>
                                <w:r>
                                  <w:rPr>
                                    <w:spacing w:val="-1"/>
                                    <w:w w:val="105"/>
                                    <w:sz w:val="8"/>
                                  </w:rPr>
                                  <w:t>0.013846387x</w:t>
                                </w:r>
                                <w:r>
                                  <w:rPr>
                                    <w:spacing w:val="-2"/>
                                    <w:w w:val="105"/>
                                    <w:sz w:val="8"/>
                                  </w:rPr>
                                  <w:t xml:space="preserve"> </w:t>
                                </w:r>
                                <w:r>
                                  <w:rPr>
                                    <w:w w:val="105"/>
                                    <w:sz w:val="8"/>
                                  </w:rPr>
                                  <w:t>+</w:t>
                                </w:r>
                                <w:r>
                                  <w:rPr>
                                    <w:spacing w:val="-1"/>
                                    <w:w w:val="105"/>
                                    <w:sz w:val="8"/>
                                  </w:rPr>
                                  <w:t xml:space="preserve"> 3.780167920</w:t>
                                </w:r>
                              </w:p>
                            </w:txbxContent>
                          </wps:txbx>
                          <wps:bodyPr rot="0" vert="horz" wrap="square" lIns="0" tIns="0" rIns="0" bIns="0" anchor="t" anchorCtr="0" upright="1">
                            <a:noAutofit/>
                          </wps:bodyPr>
                        </wps:wsp>
                        <wps:wsp>
                          <wps:cNvPr id="18387" name="Text Box 8432"/>
                          <wps:cNvSpPr txBox="1">
                            <a:spLocks noChangeArrowheads="1"/>
                          </wps:cNvSpPr>
                          <wps:spPr bwMode="auto">
                            <a:xfrm>
                              <a:off x="6996" y="4866"/>
                              <a:ext cx="408"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B70FCD" w14:textId="77777777" w:rsidR="00CB53E4" w:rsidRDefault="00CB53E4" w:rsidP="0031675F">
                                <w:pPr>
                                  <w:tabs>
                                    <w:tab w:val="left" w:pos="314"/>
                                  </w:tabs>
                                  <w:spacing w:line="84" w:lineRule="exact"/>
                                  <w:rPr>
                                    <w:rFonts w:eastAsia="Arial" w:cs="Arial"/>
                                    <w:sz w:val="8"/>
                                    <w:szCs w:val="8"/>
                                  </w:rPr>
                                </w:pPr>
                                <w:r>
                                  <w:rPr>
                                    <w:w w:val="105"/>
                                    <w:sz w:val="8"/>
                                  </w:rPr>
                                  <w:t>0</w:t>
                                </w:r>
                                <w:r>
                                  <w:rPr>
                                    <w:w w:val="105"/>
                                    <w:sz w:val="8"/>
                                  </w:rPr>
                                  <w:tab/>
                                </w:r>
                                <w:r>
                                  <w:rPr>
                                    <w:spacing w:val="-1"/>
                                    <w:w w:val="105"/>
                                    <w:sz w:val="8"/>
                                  </w:rPr>
                                  <w:t>10</w:t>
                                </w:r>
                              </w:p>
                            </w:txbxContent>
                          </wps:txbx>
                          <wps:bodyPr rot="0" vert="horz" wrap="square" lIns="0" tIns="0" rIns="0" bIns="0" anchor="t" anchorCtr="0" upright="1">
                            <a:noAutofit/>
                          </wps:bodyPr>
                        </wps:wsp>
                        <wps:wsp>
                          <wps:cNvPr id="18388" name="Text Box 8431"/>
                          <wps:cNvSpPr txBox="1">
                            <a:spLocks noChangeArrowheads="1"/>
                          </wps:cNvSpPr>
                          <wps:spPr bwMode="auto">
                            <a:xfrm>
                              <a:off x="7648"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8A349A" w14:textId="77777777" w:rsidR="00CB53E4" w:rsidRDefault="00CB53E4" w:rsidP="0031675F">
                                <w:pPr>
                                  <w:spacing w:line="84" w:lineRule="exact"/>
                                  <w:rPr>
                                    <w:rFonts w:eastAsia="Arial" w:cs="Arial"/>
                                    <w:sz w:val="8"/>
                                    <w:szCs w:val="8"/>
                                  </w:rPr>
                                </w:pPr>
                                <w:r>
                                  <w:rPr>
                                    <w:spacing w:val="-1"/>
                                    <w:w w:val="105"/>
                                    <w:sz w:val="8"/>
                                  </w:rPr>
                                  <w:t>20</w:t>
                                </w:r>
                              </w:p>
                            </w:txbxContent>
                          </wps:txbx>
                          <wps:bodyPr rot="0" vert="horz" wrap="square" lIns="0" tIns="0" rIns="0" bIns="0" anchor="t" anchorCtr="0" upright="1">
                            <a:noAutofit/>
                          </wps:bodyPr>
                        </wps:wsp>
                        <wps:wsp>
                          <wps:cNvPr id="18389" name="Text Box 8430"/>
                          <wps:cNvSpPr txBox="1">
                            <a:spLocks noChangeArrowheads="1"/>
                          </wps:cNvSpPr>
                          <wps:spPr bwMode="auto">
                            <a:xfrm>
                              <a:off x="7986"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A319CF" w14:textId="77777777" w:rsidR="00CB53E4" w:rsidRDefault="00CB53E4" w:rsidP="0031675F">
                                <w:pPr>
                                  <w:spacing w:line="84" w:lineRule="exact"/>
                                  <w:rPr>
                                    <w:rFonts w:eastAsia="Arial" w:cs="Arial"/>
                                    <w:sz w:val="8"/>
                                    <w:szCs w:val="8"/>
                                  </w:rPr>
                                </w:pPr>
                                <w:r>
                                  <w:rPr>
                                    <w:spacing w:val="-1"/>
                                    <w:w w:val="105"/>
                                    <w:sz w:val="8"/>
                                  </w:rPr>
                                  <w:t>30</w:t>
                                </w:r>
                              </w:p>
                            </w:txbxContent>
                          </wps:txbx>
                          <wps:bodyPr rot="0" vert="horz" wrap="square" lIns="0" tIns="0" rIns="0" bIns="0" anchor="t" anchorCtr="0" upright="1">
                            <a:noAutofit/>
                          </wps:bodyPr>
                        </wps:wsp>
                        <wps:wsp>
                          <wps:cNvPr id="18390" name="Text Box 8429"/>
                          <wps:cNvSpPr txBox="1">
                            <a:spLocks noChangeArrowheads="1"/>
                          </wps:cNvSpPr>
                          <wps:spPr bwMode="auto">
                            <a:xfrm>
                              <a:off x="8323"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02C29D" w14:textId="77777777" w:rsidR="00CB53E4" w:rsidRDefault="00CB53E4" w:rsidP="0031675F">
                                <w:pPr>
                                  <w:spacing w:line="84" w:lineRule="exact"/>
                                  <w:rPr>
                                    <w:rFonts w:eastAsia="Arial" w:cs="Arial"/>
                                    <w:sz w:val="8"/>
                                    <w:szCs w:val="8"/>
                                  </w:rPr>
                                </w:pPr>
                                <w:r>
                                  <w:rPr>
                                    <w:spacing w:val="-1"/>
                                    <w:w w:val="105"/>
                                    <w:sz w:val="8"/>
                                  </w:rPr>
                                  <w:t>40</w:t>
                                </w:r>
                              </w:p>
                            </w:txbxContent>
                          </wps:txbx>
                          <wps:bodyPr rot="0" vert="horz" wrap="square" lIns="0" tIns="0" rIns="0" bIns="0" anchor="t" anchorCtr="0" upright="1">
                            <a:noAutofit/>
                          </wps:bodyPr>
                        </wps:wsp>
                        <wps:wsp>
                          <wps:cNvPr id="18391" name="Text Box 8428"/>
                          <wps:cNvSpPr txBox="1">
                            <a:spLocks noChangeArrowheads="1"/>
                          </wps:cNvSpPr>
                          <wps:spPr bwMode="auto">
                            <a:xfrm>
                              <a:off x="8661"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979F48" w14:textId="77777777" w:rsidR="00CB53E4" w:rsidRDefault="00CB53E4" w:rsidP="0031675F">
                                <w:pPr>
                                  <w:spacing w:line="84" w:lineRule="exact"/>
                                  <w:rPr>
                                    <w:rFonts w:eastAsia="Arial" w:cs="Arial"/>
                                    <w:sz w:val="8"/>
                                    <w:szCs w:val="8"/>
                                  </w:rPr>
                                </w:pPr>
                                <w:r>
                                  <w:rPr>
                                    <w:spacing w:val="-1"/>
                                    <w:w w:val="105"/>
                                    <w:sz w:val="8"/>
                                  </w:rPr>
                                  <w:t>50</w:t>
                                </w:r>
                              </w:p>
                            </w:txbxContent>
                          </wps:txbx>
                          <wps:bodyPr rot="0" vert="horz" wrap="square" lIns="0" tIns="0" rIns="0" bIns="0" anchor="t" anchorCtr="0" upright="1">
                            <a:noAutofit/>
                          </wps:bodyPr>
                        </wps:wsp>
                        <wps:wsp>
                          <wps:cNvPr id="18392" name="Text Box 8427"/>
                          <wps:cNvSpPr txBox="1">
                            <a:spLocks noChangeArrowheads="1"/>
                          </wps:cNvSpPr>
                          <wps:spPr bwMode="auto">
                            <a:xfrm>
                              <a:off x="8998"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64AD96" w14:textId="77777777" w:rsidR="00CB53E4" w:rsidRDefault="00CB53E4" w:rsidP="0031675F">
                                <w:pPr>
                                  <w:spacing w:line="84" w:lineRule="exact"/>
                                  <w:rPr>
                                    <w:rFonts w:eastAsia="Arial" w:cs="Arial"/>
                                    <w:sz w:val="8"/>
                                    <w:szCs w:val="8"/>
                                  </w:rPr>
                                </w:pPr>
                                <w:r>
                                  <w:rPr>
                                    <w:spacing w:val="-1"/>
                                    <w:w w:val="105"/>
                                    <w:sz w:val="8"/>
                                  </w:rPr>
                                  <w:t>60</w:t>
                                </w:r>
                              </w:p>
                            </w:txbxContent>
                          </wps:txbx>
                          <wps:bodyPr rot="0" vert="horz" wrap="square" lIns="0" tIns="0" rIns="0" bIns="0" anchor="t" anchorCtr="0" upright="1">
                            <a:noAutofit/>
                          </wps:bodyPr>
                        </wps:wsp>
                        <wps:wsp>
                          <wps:cNvPr id="18393" name="Text Box 8426"/>
                          <wps:cNvSpPr txBox="1">
                            <a:spLocks noChangeArrowheads="1"/>
                          </wps:cNvSpPr>
                          <wps:spPr bwMode="auto">
                            <a:xfrm>
                              <a:off x="9337"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091216" w14:textId="77777777" w:rsidR="00CB53E4" w:rsidRDefault="00CB53E4" w:rsidP="0031675F">
                                <w:pPr>
                                  <w:spacing w:line="84" w:lineRule="exact"/>
                                  <w:rPr>
                                    <w:rFonts w:eastAsia="Arial" w:cs="Arial"/>
                                    <w:sz w:val="8"/>
                                    <w:szCs w:val="8"/>
                                  </w:rPr>
                                </w:pPr>
                                <w:r>
                                  <w:rPr>
                                    <w:spacing w:val="-1"/>
                                    <w:w w:val="105"/>
                                    <w:sz w:val="8"/>
                                  </w:rPr>
                                  <w:t>70</w:t>
                                </w:r>
                              </w:p>
                            </w:txbxContent>
                          </wps:txbx>
                          <wps:bodyPr rot="0" vert="horz" wrap="square" lIns="0" tIns="0" rIns="0" bIns="0" anchor="t" anchorCtr="0" upright="1">
                            <a:noAutofit/>
                          </wps:bodyPr>
                        </wps:wsp>
                        <wps:wsp>
                          <wps:cNvPr id="18394" name="Text Box 8425"/>
                          <wps:cNvSpPr txBox="1">
                            <a:spLocks noChangeArrowheads="1"/>
                          </wps:cNvSpPr>
                          <wps:spPr bwMode="auto">
                            <a:xfrm>
                              <a:off x="9674" y="4866"/>
                              <a:ext cx="93"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1787EC" w14:textId="77777777" w:rsidR="00CB53E4" w:rsidRDefault="00CB53E4" w:rsidP="0031675F">
                                <w:pPr>
                                  <w:spacing w:line="84" w:lineRule="exact"/>
                                  <w:rPr>
                                    <w:rFonts w:eastAsia="Arial" w:cs="Arial"/>
                                    <w:sz w:val="8"/>
                                    <w:szCs w:val="8"/>
                                  </w:rPr>
                                </w:pPr>
                                <w:r>
                                  <w:rPr>
                                    <w:spacing w:val="-1"/>
                                    <w:w w:val="105"/>
                                    <w:sz w:val="8"/>
                                  </w:rPr>
                                  <w:t>80</w:t>
                                </w:r>
                              </w:p>
                            </w:txbxContent>
                          </wps:txbx>
                          <wps:bodyPr rot="0" vert="horz" wrap="square" lIns="0" tIns="0" rIns="0" bIns="0" anchor="t" anchorCtr="0" upright="1">
                            <a:noAutofit/>
                          </wps:bodyPr>
                        </wps:wsp>
                        <wps:wsp>
                          <wps:cNvPr id="18395" name="Text Box 8424"/>
                          <wps:cNvSpPr txBox="1">
                            <a:spLocks noChangeArrowheads="1"/>
                          </wps:cNvSpPr>
                          <wps:spPr bwMode="auto">
                            <a:xfrm>
                              <a:off x="533" y="5047"/>
                              <a:ext cx="420" cy="1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F7AE8" w14:textId="77777777" w:rsidR="00CB53E4" w:rsidRDefault="00CB53E4" w:rsidP="0031675F">
                                <w:pPr>
                                  <w:spacing w:line="96" w:lineRule="exact"/>
                                  <w:jc w:val="both"/>
                                  <w:rPr>
                                    <w:rFonts w:eastAsia="Arial" w:cs="Arial"/>
                                    <w:sz w:val="9"/>
                                    <w:szCs w:val="9"/>
                                  </w:rPr>
                                </w:pPr>
                                <w:r>
                                  <w:rPr>
                                    <w:spacing w:val="2"/>
                                    <w:w w:val="105"/>
                                    <w:sz w:val="9"/>
                                  </w:rPr>
                                  <w:t>WQM196</w:t>
                                </w:r>
                              </w:p>
                              <w:p w14:paraId="239AF2F8" w14:textId="77777777" w:rsidR="00CB53E4" w:rsidRDefault="00CB53E4" w:rsidP="0031675F">
                                <w:pPr>
                                  <w:spacing w:before="18" w:line="283" w:lineRule="auto"/>
                                  <w:jc w:val="both"/>
                                  <w:rPr>
                                    <w:rFonts w:eastAsia="Arial" w:cs="Arial"/>
                                    <w:sz w:val="9"/>
                                    <w:szCs w:val="9"/>
                                  </w:rPr>
                                </w:pPr>
                                <w:r>
                                  <w:rPr>
                                    <w:spacing w:val="2"/>
                                    <w:w w:val="105"/>
                                    <w:sz w:val="9"/>
                                  </w:rPr>
                                  <w:t>WQM196</w:t>
                                </w:r>
                                <w:r>
                                  <w:rPr>
                                    <w:spacing w:val="23"/>
                                    <w:w w:val="105"/>
                                    <w:sz w:val="9"/>
                                  </w:rPr>
                                  <w:t xml:space="preserve"> </w:t>
                                </w:r>
                                <w:r>
                                  <w:rPr>
                                    <w:spacing w:val="2"/>
                                    <w:w w:val="105"/>
                                    <w:sz w:val="9"/>
                                  </w:rPr>
                                  <w:t>WQM196</w:t>
                                </w:r>
                                <w:r>
                                  <w:rPr>
                                    <w:spacing w:val="23"/>
                                    <w:w w:val="105"/>
                                    <w:sz w:val="9"/>
                                  </w:rPr>
                                  <w:t xml:space="preserve"> </w:t>
                                </w:r>
                                <w:r>
                                  <w:rPr>
                                    <w:spacing w:val="2"/>
                                    <w:w w:val="105"/>
                                    <w:sz w:val="9"/>
                                  </w:rPr>
                                  <w:t>WQM196</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WQM199</w:t>
                                </w:r>
                                <w:r>
                                  <w:rPr>
                                    <w:spacing w:val="23"/>
                                    <w:w w:val="105"/>
                                    <w:sz w:val="9"/>
                                  </w:rPr>
                                  <w:t xml:space="preserve"> </w:t>
                                </w:r>
                                <w:r>
                                  <w:rPr>
                                    <w:spacing w:val="2"/>
                                    <w:w w:val="105"/>
                                    <w:sz w:val="9"/>
                                  </w:rPr>
                                  <w:t>WQM199</w:t>
                                </w:r>
                              </w:p>
                            </w:txbxContent>
                          </wps:txbx>
                          <wps:bodyPr rot="0" vert="horz" wrap="square" lIns="0" tIns="0" rIns="0" bIns="0" anchor="t" anchorCtr="0" upright="1">
                            <a:noAutofit/>
                          </wps:bodyPr>
                        </wps:wsp>
                        <wps:wsp>
                          <wps:cNvPr id="18396" name="Text Box 8423"/>
                          <wps:cNvSpPr txBox="1">
                            <a:spLocks noChangeArrowheads="1"/>
                          </wps:cNvSpPr>
                          <wps:spPr bwMode="auto">
                            <a:xfrm>
                              <a:off x="1040" y="5047"/>
                              <a:ext cx="110" cy="1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56B00F" w14:textId="77777777" w:rsidR="00CB53E4" w:rsidRDefault="00CB53E4" w:rsidP="0031675F">
                                <w:pPr>
                                  <w:spacing w:line="96" w:lineRule="exact"/>
                                  <w:jc w:val="both"/>
                                  <w:rPr>
                                    <w:rFonts w:eastAsia="Arial" w:cs="Arial"/>
                                    <w:sz w:val="9"/>
                                    <w:szCs w:val="9"/>
                                  </w:rPr>
                                </w:pPr>
                                <w:r>
                                  <w:rPr>
                                    <w:spacing w:val="1"/>
                                    <w:w w:val="105"/>
                                    <w:sz w:val="9"/>
                                  </w:rPr>
                                  <w:t>d0</w:t>
                                </w:r>
                              </w:p>
                              <w:p w14:paraId="6EAD0BE9" w14:textId="77777777" w:rsidR="00CB53E4" w:rsidRDefault="00CB53E4" w:rsidP="0031675F">
                                <w:pPr>
                                  <w:spacing w:before="18" w:line="283" w:lineRule="auto"/>
                                  <w:jc w:val="both"/>
                                  <w:rPr>
                                    <w:rFonts w:eastAsia="Arial" w:cs="Arial"/>
                                    <w:sz w:val="9"/>
                                    <w:szCs w:val="9"/>
                                  </w:rPr>
                                </w:pPr>
                                <w:r>
                                  <w:rPr>
                                    <w:spacing w:val="1"/>
                                    <w:w w:val="105"/>
                                    <w:sz w:val="9"/>
                                  </w:rPr>
                                  <w:t>d0 d1 d1 d0 d0 d1 d1 d0 d0 d1 d1 d0 d0</w:t>
                                </w:r>
                              </w:p>
                            </w:txbxContent>
                          </wps:txbx>
                          <wps:bodyPr rot="0" vert="horz" wrap="square" lIns="0" tIns="0" rIns="0" bIns="0" anchor="t" anchorCtr="0" upright="1">
                            <a:noAutofit/>
                          </wps:bodyPr>
                        </wps:wsp>
                        <wps:wsp>
                          <wps:cNvPr id="18397" name="Text Box 8422"/>
                          <wps:cNvSpPr txBox="1">
                            <a:spLocks noChangeArrowheads="1"/>
                          </wps:cNvSpPr>
                          <wps:spPr bwMode="auto">
                            <a:xfrm>
                              <a:off x="5405" y="5282"/>
                              <a:ext cx="990"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62F439" w14:textId="77777777" w:rsidR="00CB53E4" w:rsidRDefault="00CB53E4" w:rsidP="0031675F">
                                <w:pPr>
                                  <w:spacing w:line="98" w:lineRule="exact"/>
                                  <w:rPr>
                                    <w:rFonts w:eastAsia="Arial" w:cs="Arial"/>
                                    <w:sz w:val="10"/>
                                    <w:szCs w:val="10"/>
                                  </w:rPr>
                                </w:pPr>
                                <w:r>
                                  <w:rPr>
                                    <w:spacing w:val="-1"/>
                                    <w:w w:val="95"/>
                                    <w:sz w:val="10"/>
                                  </w:rPr>
                                  <w:t>Reslope</w:t>
                                </w:r>
                                <w:r>
                                  <w:rPr>
                                    <w:w w:val="95"/>
                                    <w:sz w:val="10"/>
                                  </w:rPr>
                                  <w:t xml:space="preserve"> </w:t>
                                </w:r>
                                <w:r>
                                  <w:rPr>
                                    <w:spacing w:val="3"/>
                                    <w:w w:val="95"/>
                                    <w:sz w:val="10"/>
                                  </w:rPr>
                                  <w:t xml:space="preserve"> </w:t>
                                </w:r>
                                <w:r>
                                  <w:rPr>
                                    <w:spacing w:val="-1"/>
                                    <w:w w:val="95"/>
                                    <w:sz w:val="10"/>
                                  </w:rPr>
                                  <w:t>(recalibration)</w:t>
                                </w:r>
                              </w:p>
                            </w:txbxContent>
                          </wps:txbx>
                          <wps:bodyPr rot="0" vert="horz" wrap="square" lIns="0" tIns="0" rIns="0" bIns="0" anchor="t" anchorCtr="0" upright="1">
                            <a:noAutofit/>
                          </wps:bodyPr>
                        </wps:wsp>
                        <wps:wsp>
                          <wps:cNvPr id="18398" name="Text Box 8421"/>
                          <wps:cNvSpPr txBox="1">
                            <a:spLocks noChangeArrowheads="1"/>
                          </wps:cNvSpPr>
                          <wps:spPr bwMode="auto">
                            <a:xfrm>
                              <a:off x="5545" y="5526"/>
                              <a:ext cx="191" cy="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DC65DD" w14:textId="77777777" w:rsidR="00CB53E4" w:rsidRDefault="00CB53E4" w:rsidP="0031675F">
                                <w:pPr>
                                  <w:spacing w:line="101" w:lineRule="exact"/>
                                  <w:rPr>
                                    <w:rFonts w:eastAsia="Arial" w:cs="Arial"/>
                                    <w:sz w:val="10"/>
                                    <w:szCs w:val="10"/>
                                  </w:rPr>
                                </w:pPr>
                                <w:r>
                                  <w:rPr>
                                    <w:spacing w:val="-1"/>
                                    <w:w w:val="95"/>
                                    <w:sz w:val="10"/>
                                  </w:rPr>
                                  <w:t>2.00</w:t>
                                </w:r>
                              </w:p>
                              <w:p w14:paraId="583CA633" w14:textId="77777777" w:rsidR="00CB53E4" w:rsidRDefault="00CB53E4" w:rsidP="0031675F">
                                <w:pPr>
                                  <w:spacing w:before="7"/>
                                  <w:rPr>
                                    <w:rFonts w:eastAsia="Arial" w:cs="Arial"/>
                                    <w:sz w:val="10"/>
                                    <w:szCs w:val="10"/>
                                  </w:rPr>
                                </w:pPr>
                                <w:r>
                                  <w:rPr>
                                    <w:spacing w:val="-1"/>
                                    <w:w w:val="95"/>
                                    <w:sz w:val="10"/>
                                  </w:rPr>
                                  <w:t>1.03</w:t>
                                </w:r>
                              </w:p>
                              <w:p w14:paraId="29C0E758" w14:textId="77777777" w:rsidR="00CB53E4" w:rsidRDefault="00CB53E4" w:rsidP="0031675F">
                                <w:pPr>
                                  <w:spacing w:before="7" w:line="112" w:lineRule="exact"/>
                                  <w:rPr>
                                    <w:rFonts w:eastAsia="Arial" w:cs="Arial"/>
                                    <w:sz w:val="10"/>
                                    <w:szCs w:val="10"/>
                                  </w:rPr>
                                </w:pPr>
                                <w:r>
                                  <w:rPr>
                                    <w:spacing w:val="-1"/>
                                    <w:w w:val="95"/>
                                    <w:sz w:val="10"/>
                                  </w:rPr>
                                  <w:t>0.00</w:t>
                                </w:r>
                              </w:p>
                            </w:txbxContent>
                          </wps:txbx>
                          <wps:bodyPr rot="0" vert="horz" wrap="square" lIns="0" tIns="0" rIns="0" bIns="0" anchor="t" anchorCtr="0" upright="1">
                            <a:noAutofit/>
                          </wps:bodyPr>
                        </wps:wsp>
                        <wps:wsp>
                          <wps:cNvPr id="18399" name="Text Box 8420"/>
                          <wps:cNvSpPr txBox="1">
                            <a:spLocks noChangeArrowheads="1"/>
                          </wps:cNvSpPr>
                          <wps:spPr bwMode="auto">
                            <a:xfrm>
                              <a:off x="6045" y="5526"/>
                              <a:ext cx="191" cy="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3D5151" w14:textId="77777777" w:rsidR="00CB53E4" w:rsidRDefault="00CB53E4" w:rsidP="0031675F">
                                <w:pPr>
                                  <w:spacing w:line="101" w:lineRule="exact"/>
                                  <w:rPr>
                                    <w:rFonts w:eastAsia="Arial" w:cs="Arial"/>
                                    <w:sz w:val="10"/>
                                    <w:szCs w:val="10"/>
                                  </w:rPr>
                                </w:pPr>
                                <w:r>
                                  <w:rPr>
                                    <w:spacing w:val="-1"/>
                                    <w:w w:val="95"/>
                                    <w:sz w:val="10"/>
                                  </w:rPr>
                                  <w:t>2.00</w:t>
                                </w:r>
                              </w:p>
                              <w:p w14:paraId="4365726F" w14:textId="77777777" w:rsidR="00CB53E4" w:rsidRDefault="00CB53E4" w:rsidP="0031675F">
                                <w:pPr>
                                  <w:spacing w:before="7"/>
                                  <w:rPr>
                                    <w:rFonts w:eastAsia="Arial" w:cs="Arial"/>
                                    <w:sz w:val="10"/>
                                    <w:szCs w:val="10"/>
                                  </w:rPr>
                                </w:pPr>
                                <w:r>
                                  <w:rPr>
                                    <w:spacing w:val="-1"/>
                                    <w:w w:val="95"/>
                                    <w:sz w:val="10"/>
                                  </w:rPr>
                                  <w:t>1.00</w:t>
                                </w:r>
                              </w:p>
                              <w:p w14:paraId="25E3D648" w14:textId="77777777" w:rsidR="00CB53E4" w:rsidRDefault="00CB53E4" w:rsidP="0031675F">
                                <w:pPr>
                                  <w:spacing w:before="7" w:line="112" w:lineRule="exact"/>
                                  <w:rPr>
                                    <w:rFonts w:eastAsia="Arial" w:cs="Arial"/>
                                    <w:sz w:val="10"/>
                                    <w:szCs w:val="10"/>
                                  </w:rPr>
                                </w:pPr>
                                <w:r>
                                  <w:rPr>
                                    <w:spacing w:val="-1"/>
                                    <w:w w:val="95"/>
                                    <w:sz w:val="10"/>
                                  </w:rPr>
                                  <w:t>0.00</w:t>
                                </w:r>
                              </w:p>
                            </w:txbxContent>
                          </wps:txbx>
                          <wps:bodyPr rot="0" vert="horz" wrap="square" lIns="0" tIns="0" rIns="0" bIns="0" anchor="t" anchorCtr="0" upright="1">
                            <a:noAutofit/>
                          </wps:bodyPr>
                        </wps:wsp>
                        <wps:wsp>
                          <wps:cNvPr id="18400" name="Text Box 8419"/>
                          <wps:cNvSpPr txBox="1">
                            <a:spLocks noChangeArrowheads="1"/>
                          </wps:cNvSpPr>
                          <wps:spPr bwMode="auto">
                            <a:xfrm>
                              <a:off x="6812" y="5682"/>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B79508" w14:textId="77777777" w:rsidR="00CB53E4" w:rsidRDefault="00CB53E4" w:rsidP="0031675F">
                                <w:pPr>
                                  <w:spacing w:line="84" w:lineRule="exact"/>
                                  <w:rPr>
                                    <w:rFonts w:eastAsia="Arial" w:cs="Arial"/>
                                    <w:sz w:val="8"/>
                                    <w:szCs w:val="8"/>
                                  </w:rPr>
                                </w:pPr>
                                <w:r>
                                  <w:rPr>
                                    <w:spacing w:val="-1"/>
                                    <w:w w:val="105"/>
                                    <w:sz w:val="8"/>
                                  </w:rPr>
                                  <w:t>2.50</w:t>
                                </w:r>
                              </w:p>
                            </w:txbxContent>
                          </wps:txbx>
                          <wps:bodyPr rot="0" vert="horz" wrap="square" lIns="0" tIns="0" rIns="0" bIns="0" anchor="t" anchorCtr="0" upright="1">
                            <a:noAutofit/>
                          </wps:bodyPr>
                        </wps:wsp>
                        <wps:wsp>
                          <wps:cNvPr id="18401" name="Text Box 8418"/>
                          <wps:cNvSpPr txBox="1">
                            <a:spLocks noChangeArrowheads="1"/>
                          </wps:cNvSpPr>
                          <wps:spPr bwMode="auto">
                            <a:xfrm>
                              <a:off x="7555" y="5841"/>
                              <a:ext cx="32" cy="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0BC2C3" w14:textId="77777777" w:rsidR="00CB53E4" w:rsidRDefault="00CB53E4" w:rsidP="0031675F">
                                <w:pPr>
                                  <w:spacing w:line="56" w:lineRule="exact"/>
                                  <w:rPr>
                                    <w:rFonts w:eastAsia="Arial" w:cs="Arial"/>
                                    <w:sz w:val="5"/>
                                    <w:szCs w:val="5"/>
                                  </w:rPr>
                                </w:pPr>
                                <w:r>
                                  <w:rPr>
                                    <w:w w:val="110"/>
                                    <w:sz w:val="5"/>
                                  </w:rPr>
                                  <w:t>2</w:t>
                                </w:r>
                              </w:p>
                            </w:txbxContent>
                          </wps:txbx>
                          <wps:bodyPr rot="0" vert="horz" wrap="square" lIns="0" tIns="0" rIns="0" bIns="0" anchor="t" anchorCtr="0" upright="1">
                            <a:noAutofit/>
                          </wps:bodyPr>
                        </wps:wsp>
                        <wps:wsp>
                          <wps:cNvPr id="18402" name="Text Box 8417"/>
                          <wps:cNvSpPr txBox="1">
                            <a:spLocks noChangeArrowheads="1"/>
                          </wps:cNvSpPr>
                          <wps:spPr bwMode="auto">
                            <a:xfrm>
                              <a:off x="7029" y="5859"/>
                              <a:ext cx="1466"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B9819B" w14:textId="77777777" w:rsidR="00CB53E4" w:rsidRDefault="00CB53E4" w:rsidP="0031675F">
                                <w:pPr>
                                  <w:spacing w:line="84" w:lineRule="exact"/>
                                  <w:rPr>
                                    <w:rFonts w:eastAsia="Arial" w:cs="Arial"/>
                                    <w:sz w:val="8"/>
                                    <w:szCs w:val="8"/>
                                  </w:rPr>
                                </w:pPr>
                                <w:r>
                                  <w:rPr>
                                    <w:w w:val="105"/>
                                    <w:sz w:val="8"/>
                                  </w:rPr>
                                  <w:t>y</w:t>
                                </w:r>
                                <w:r>
                                  <w:rPr>
                                    <w:spacing w:val="-2"/>
                                    <w:w w:val="105"/>
                                    <w:sz w:val="8"/>
                                  </w:rPr>
                                  <w:t xml:space="preserve"> </w:t>
                                </w:r>
                                <w:r>
                                  <w:rPr>
                                    <w:w w:val="105"/>
                                    <w:sz w:val="8"/>
                                  </w:rPr>
                                  <w:t>=</w:t>
                                </w:r>
                                <w:r>
                                  <w:rPr>
                                    <w:spacing w:val="-1"/>
                                    <w:w w:val="105"/>
                                    <w:sz w:val="8"/>
                                  </w:rPr>
                                  <w:t xml:space="preserve"> 0.029900x</w:t>
                                </w:r>
                                <w:r>
                                  <w:rPr>
                                    <w:w w:val="105"/>
                                    <w:sz w:val="8"/>
                                  </w:rPr>
                                  <w:t xml:space="preserve"> </w:t>
                                </w:r>
                                <w:r>
                                  <w:rPr>
                                    <w:spacing w:val="6"/>
                                    <w:w w:val="105"/>
                                    <w:sz w:val="8"/>
                                  </w:rPr>
                                  <w:t xml:space="preserve"> </w:t>
                                </w:r>
                                <w:r>
                                  <w:rPr>
                                    <w:w w:val="105"/>
                                    <w:sz w:val="8"/>
                                  </w:rPr>
                                  <w:t>+</w:t>
                                </w:r>
                                <w:r>
                                  <w:rPr>
                                    <w:spacing w:val="-1"/>
                                    <w:w w:val="105"/>
                                    <w:sz w:val="8"/>
                                  </w:rPr>
                                  <w:t xml:space="preserve"> 0.940200x</w:t>
                                </w:r>
                                <w:r>
                                  <w:rPr>
                                    <w:spacing w:val="-2"/>
                                    <w:w w:val="105"/>
                                    <w:sz w:val="8"/>
                                  </w:rPr>
                                  <w:t xml:space="preserve"> </w:t>
                                </w:r>
                                <w:r>
                                  <w:rPr>
                                    <w:w w:val="105"/>
                                    <w:sz w:val="8"/>
                                  </w:rPr>
                                  <w:t xml:space="preserve">- </w:t>
                                </w:r>
                                <w:r>
                                  <w:rPr>
                                    <w:spacing w:val="-1"/>
                                    <w:w w:val="105"/>
                                    <w:sz w:val="8"/>
                                  </w:rPr>
                                  <w:t>0.000000</w:t>
                                </w:r>
                              </w:p>
                            </w:txbxContent>
                          </wps:txbx>
                          <wps:bodyPr rot="0" vert="horz" wrap="square" lIns="0" tIns="0" rIns="0" bIns="0" anchor="t" anchorCtr="0" upright="1">
                            <a:noAutofit/>
                          </wps:bodyPr>
                        </wps:wsp>
                        <wps:wsp>
                          <wps:cNvPr id="18403" name="Text Box 8416"/>
                          <wps:cNvSpPr txBox="1">
                            <a:spLocks noChangeArrowheads="1"/>
                          </wps:cNvSpPr>
                          <wps:spPr bwMode="auto">
                            <a:xfrm>
                              <a:off x="6812" y="6007"/>
                              <a:ext cx="164" cy="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408791" w14:textId="77777777" w:rsidR="00CB53E4" w:rsidRDefault="00CB53E4" w:rsidP="0031675F">
                                <w:pPr>
                                  <w:spacing w:line="85" w:lineRule="exact"/>
                                  <w:rPr>
                                    <w:rFonts w:eastAsia="Arial" w:cs="Arial"/>
                                    <w:sz w:val="8"/>
                                    <w:szCs w:val="8"/>
                                  </w:rPr>
                                </w:pPr>
                                <w:r>
                                  <w:rPr>
                                    <w:spacing w:val="-1"/>
                                    <w:w w:val="105"/>
                                    <w:sz w:val="8"/>
                                  </w:rPr>
                                  <w:t>2.00</w:t>
                                </w:r>
                              </w:p>
                              <w:p w14:paraId="189DBC4A" w14:textId="77777777" w:rsidR="00CB53E4" w:rsidRDefault="00CB53E4" w:rsidP="0031675F">
                                <w:pPr>
                                  <w:rPr>
                                    <w:rFonts w:eastAsia="Arial" w:cs="Arial"/>
                                    <w:b/>
                                    <w:bCs/>
                                    <w:sz w:val="8"/>
                                    <w:szCs w:val="8"/>
                                  </w:rPr>
                                </w:pPr>
                              </w:p>
                              <w:p w14:paraId="764D2B09" w14:textId="77777777" w:rsidR="00CB53E4" w:rsidRDefault="00CB53E4" w:rsidP="0031675F">
                                <w:pPr>
                                  <w:rPr>
                                    <w:rFonts w:eastAsia="Arial" w:cs="Arial"/>
                                    <w:b/>
                                    <w:bCs/>
                                    <w:sz w:val="8"/>
                                    <w:szCs w:val="8"/>
                                  </w:rPr>
                                </w:pPr>
                              </w:p>
                              <w:p w14:paraId="0978F567" w14:textId="77777777" w:rsidR="00CB53E4" w:rsidRDefault="00CB53E4" w:rsidP="0031675F">
                                <w:pPr>
                                  <w:spacing w:before="49"/>
                                  <w:rPr>
                                    <w:rFonts w:eastAsia="Arial" w:cs="Arial"/>
                                    <w:sz w:val="8"/>
                                    <w:szCs w:val="8"/>
                                  </w:rPr>
                                </w:pPr>
                                <w:r>
                                  <w:rPr>
                                    <w:spacing w:val="-1"/>
                                    <w:w w:val="105"/>
                                    <w:sz w:val="8"/>
                                  </w:rPr>
                                  <w:t>1.50</w:t>
                                </w:r>
                              </w:p>
                              <w:p w14:paraId="006B3116" w14:textId="77777777" w:rsidR="00CB53E4" w:rsidRDefault="00CB53E4" w:rsidP="0031675F">
                                <w:pPr>
                                  <w:rPr>
                                    <w:rFonts w:eastAsia="Arial" w:cs="Arial"/>
                                    <w:b/>
                                    <w:bCs/>
                                    <w:sz w:val="8"/>
                                    <w:szCs w:val="8"/>
                                  </w:rPr>
                                </w:pPr>
                              </w:p>
                              <w:p w14:paraId="2B46C31A" w14:textId="77777777" w:rsidR="00CB53E4" w:rsidRDefault="00CB53E4" w:rsidP="0031675F">
                                <w:pPr>
                                  <w:rPr>
                                    <w:rFonts w:eastAsia="Arial" w:cs="Arial"/>
                                    <w:b/>
                                    <w:bCs/>
                                    <w:sz w:val="8"/>
                                    <w:szCs w:val="8"/>
                                  </w:rPr>
                                </w:pPr>
                              </w:p>
                              <w:p w14:paraId="54B7996E" w14:textId="77777777" w:rsidR="00CB53E4" w:rsidRDefault="00CB53E4" w:rsidP="0031675F">
                                <w:pPr>
                                  <w:spacing w:before="49" w:line="91" w:lineRule="exact"/>
                                  <w:rPr>
                                    <w:rFonts w:eastAsia="Arial" w:cs="Arial"/>
                                    <w:sz w:val="8"/>
                                    <w:szCs w:val="8"/>
                                  </w:rPr>
                                </w:pPr>
                                <w:r>
                                  <w:rPr>
                                    <w:spacing w:val="-1"/>
                                    <w:w w:val="105"/>
                                    <w:sz w:val="8"/>
                                  </w:rPr>
                                  <w:t>1.00</w:t>
                                </w:r>
                              </w:p>
                            </w:txbxContent>
                          </wps:txbx>
                          <wps:bodyPr rot="0" vert="horz" wrap="square" lIns="0" tIns="0" rIns="0" bIns="0" anchor="t" anchorCtr="0" upright="1">
                            <a:noAutofit/>
                          </wps:bodyPr>
                        </wps:wsp>
                        <wps:wsp>
                          <wps:cNvPr id="18404" name="Text Box 8415"/>
                          <wps:cNvSpPr txBox="1">
                            <a:spLocks noChangeArrowheads="1"/>
                          </wps:cNvSpPr>
                          <wps:spPr bwMode="auto">
                            <a:xfrm>
                              <a:off x="10543" y="5526"/>
                              <a:ext cx="191" cy="14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AB0CB6" w14:textId="77777777" w:rsidR="00CB53E4" w:rsidRDefault="00CB53E4" w:rsidP="0031675F">
                                <w:pPr>
                                  <w:spacing w:line="101" w:lineRule="exact"/>
                                  <w:rPr>
                                    <w:rFonts w:eastAsia="Arial" w:cs="Arial"/>
                                    <w:sz w:val="10"/>
                                    <w:szCs w:val="10"/>
                                  </w:rPr>
                                </w:pPr>
                                <w:r>
                                  <w:rPr>
                                    <w:spacing w:val="-1"/>
                                    <w:w w:val="95"/>
                                    <w:sz w:val="10"/>
                                  </w:rPr>
                                  <w:t>1.04</w:t>
                                </w:r>
                              </w:p>
                              <w:p w14:paraId="5F1369D2" w14:textId="77777777" w:rsidR="00CB53E4" w:rsidRDefault="00CB53E4" w:rsidP="0031675F">
                                <w:pPr>
                                  <w:spacing w:before="7"/>
                                  <w:rPr>
                                    <w:rFonts w:eastAsia="Arial" w:cs="Arial"/>
                                    <w:sz w:val="10"/>
                                    <w:szCs w:val="10"/>
                                  </w:rPr>
                                </w:pPr>
                                <w:r>
                                  <w:rPr>
                                    <w:spacing w:val="-1"/>
                                    <w:w w:val="95"/>
                                    <w:sz w:val="10"/>
                                  </w:rPr>
                                  <w:t>0.97</w:t>
                                </w:r>
                              </w:p>
                              <w:p w14:paraId="06CF96FA" w14:textId="77777777" w:rsidR="00CB53E4" w:rsidRDefault="00CB53E4" w:rsidP="0031675F">
                                <w:pPr>
                                  <w:spacing w:before="7"/>
                                  <w:rPr>
                                    <w:rFonts w:eastAsia="Arial" w:cs="Arial"/>
                                    <w:sz w:val="10"/>
                                    <w:szCs w:val="10"/>
                                  </w:rPr>
                                </w:pPr>
                                <w:r>
                                  <w:rPr>
                                    <w:spacing w:val="-1"/>
                                    <w:w w:val="95"/>
                                    <w:sz w:val="10"/>
                                  </w:rPr>
                                  <w:t>1.06</w:t>
                                </w:r>
                              </w:p>
                              <w:p w14:paraId="64DFA7B2" w14:textId="77777777" w:rsidR="00CB53E4" w:rsidRDefault="00CB53E4" w:rsidP="0031675F">
                                <w:pPr>
                                  <w:spacing w:before="7"/>
                                  <w:rPr>
                                    <w:rFonts w:eastAsia="Arial" w:cs="Arial"/>
                                    <w:sz w:val="10"/>
                                    <w:szCs w:val="10"/>
                                  </w:rPr>
                                </w:pPr>
                                <w:r>
                                  <w:rPr>
                                    <w:spacing w:val="-1"/>
                                    <w:w w:val="95"/>
                                    <w:sz w:val="10"/>
                                  </w:rPr>
                                  <w:t>1.12</w:t>
                                </w:r>
                              </w:p>
                              <w:p w14:paraId="73313E50" w14:textId="77777777" w:rsidR="00CB53E4" w:rsidRDefault="00CB53E4" w:rsidP="0031675F">
                                <w:pPr>
                                  <w:spacing w:before="7"/>
                                  <w:rPr>
                                    <w:rFonts w:eastAsia="Arial" w:cs="Arial"/>
                                    <w:sz w:val="10"/>
                                    <w:szCs w:val="10"/>
                                  </w:rPr>
                                </w:pPr>
                                <w:r>
                                  <w:rPr>
                                    <w:spacing w:val="-1"/>
                                    <w:w w:val="95"/>
                                    <w:sz w:val="10"/>
                                  </w:rPr>
                                  <w:t>1.03</w:t>
                                </w:r>
                              </w:p>
                              <w:p w14:paraId="43307D6C" w14:textId="77777777" w:rsidR="00CB53E4" w:rsidRDefault="00CB53E4" w:rsidP="0031675F">
                                <w:pPr>
                                  <w:spacing w:before="7"/>
                                  <w:rPr>
                                    <w:rFonts w:eastAsia="Arial" w:cs="Arial"/>
                                    <w:sz w:val="10"/>
                                    <w:szCs w:val="10"/>
                                  </w:rPr>
                                </w:pPr>
                                <w:r>
                                  <w:rPr>
                                    <w:spacing w:val="-1"/>
                                    <w:w w:val="95"/>
                                    <w:sz w:val="10"/>
                                  </w:rPr>
                                  <w:t>0.95</w:t>
                                </w:r>
                              </w:p>
                              <w:p w14:paraId="3648638A" w14:textId="77777777" w:rsidR="00CB53E4" w:rsidRDefault="00CB53E4" w:rsidP="0031675F">
                                <w:pPr>
                                  <w:spacing w:before="7"/>
                                  <w:rPr>
                                    <w:rFonts w:eastAsia="Arial" w:cs="Arial"/>
                                    <w:sz w:val="10"/>
                                    <w:szCs w:val="10"/>
                                  </w:rPr>
                                </w:pPr>
                                <w:r>
                                  <w:rPr>
                                    <w:spacing w:val="-1"/>
                                    <w:w w:val="95"/>
                                    <w:sz w:val="10"/>
                                  </w:rPr>
                                  <w:t>1.04</w:t>
                                </w:r>
                              </w:p>
                              <w:p w14:paraId="121F6DAB" w14:textId="77777777" w:rsidR="00CB53E4" w:rsidRDefault="00CB53E4" w:rsidP="0031675F">
                                <w:pPr>
                                  <w:spacing w:before="7"/>
                                  <w:rPr>
                                    <w:rFonts w:eastAsia="Arial" w:cs="Arial"/>
                                    <w:sz w:val="10"/>
                                    <w:szCs w:val="10"/>
                                  </w:rPr>
                                </w:pPr>
                                <w:r>
                                  <w:rPr>
                                    <w:spacing w:val="-1"/>
                                    <w:w w:val="95"/>
                                    <w:sz w:val="10"/>
                                  </w:rPr>
                                  <w:t>0.98</w:t>
                                </w:r>
                              </w:p>
                              <w:p w14:paraId="5ABEE600" w14:textId="77777777" w:rsidR="00CB53E4" w:rsidRDefault="00CB53E4" w:rsidP="0031675F">
                                <w:pPr>
                                  <w:spacing w:before="7"/>
                                  <w:rPr>
                                    <w:rFonts w:eastAsia="Arial" w:cs="Arial"/>
                                    <w:sz w:val="10"/>
                                    <w:szCs w:val="10"/>
                                  </w:rPr>
                                </w:pPr>
                                <w:r>
                                  <w:rPr>
                                    <w:spacing w:val="-1"/>
                                    <w:w w:val="95"/>
                                    <w:sz w:val="10"/>
                                  </w:rPr>
                                  <w:t>1.02</w:t>
                                </w:r>
                              </w:p>
                              <w:p w14:paraId="688A86A2" w14:textId="77777777" w:rsidR="00CB53E4" w:rsidRDefault="00CB53E4" w:rsidP="0031675F">
                                <w:pPr>
                                  <w:spacing w:before="7"/>
                                  <w:rPr>
                                    <w:rFonts w:eastAsia="Arial" w:cs="Arial"/>
                                    <w:sz w:val="10"/>
                                    <w:szCs w:val="10"/>
                                  </w:rPr>
                                </w:pPr>
                                <w:r>
                                  <w:rPr>
                                    <w:spacing w:val="-1"/>
                                    <w:w w:val="95"/>
                                    <w:sz w:val="10"/>
                                  </w:rPr>
                                  <w:t>1.05</w:t>
                                </w:r>
                              </w:p>
                              <w:p w14:paraId="255BDFA0" w14:textId="77777777" w:rsidR="00CB53E4" w:rsidRDefault="00CB53E4" w:rsidP="0031675F">
                                <w:pPr>
                                  <w:spacing w:before="7"/>
                                  <w:rPr>
                                    <w:rFonts w:eastAsia="Arial" w:cs="Arial"/>
                                    <w:sz w:val="10"/>
                                    <w:szCs w:val="10"/>
                                  </w:rPr>
                                </w:pPr>
                                <w:r>
                                  <w:rPr>
                                    <w:spacing w:val="-1"/>
                                    <w:w w:val="95"/>
                                    <w:sz w:val="10"/>
                                  </w:rPr>
                                  <w:t>0.99</w:t>
                                </w:r>
                              </w:p>
                              <w:p w14:paraId="509ED0BF" w14:textId="77777777" w:rsidR="00CB53E4" w:rsidRDefault="00CB53E4" w:rsidP="0031675F">
                                <w:pPr>
                                  <w:spacing w:before="7" w:line="112" w:lineRule="exact"/>
                                  <w:rPr>
                                    <w:rFonts w:eastAsia="Arial" w:cs="Arial"/>
                                    <w:sz w:val="10"/>
                                    <w:szCs w:val="10"/>
                                  </w:rPr>
                                </w:pPr>
                                <w:r>
                                  <w:rPr>
                                    <w:spacing w:val="-1"/>
                                    <w:w w:val="95"/>
                                    <w:sz w:val="10"/>
                                  </w:rPr>
                                  <w:t>1.12</w:t>
                                </w:r>
                              </w:p>
                            </w:txbxContent>
                          </wps:txbx>
                          <wps:bodyPr rot="0" vert="horz" wrap="square" lIns="0" tIns="0" rIns="0" bIns="0" anchor="t" anchorCtr="0" upright="1">
                            <a:noAutofit/>
                          </wps:bodyPr>
                        </wps:wsp>
                        <wps:wsp>
                          <wps:cNvPr id="18405" name="Text Box 8414"/>
                          <wps:cNvSpPr txBox="1">
                            <a:spLocks noChangeArrowheads="1"/>
                          </wps:cNvSpPr>
                          <wps:spPr bwMode="auto">
                            <a:xfrm>
                              <a:off x="6812" y="6982"/>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B45AE2" w14:textId="77777777" w:rsidR="00CB53E4" w:rsidRDefault="00CB53E4" w:rsidP="0031675F">
                                <w:pPr>
                                  <w:spacing w:line="84" w:lineRule="exact"/>
                                  <w:rPr>
                                    <w:rFonts w:eastAsia="Arial" w:cs="Arial"/>
                                    <w:sz w:val="8"/>
                                    <w:szCs w:val="8"/>
                                  </w:rPr>
                                </w:pPr>
                                <w:r>
                                  <w:rPr>
                                    <w:spacing w:val="-1"/>
                                    <w:w w:val="105"/>
                                    <w:sz w:val="8"/>
                                  </w:rPr>
                                  <w:t>0.50</w:t>
                                </w:r>
                              </w:p>
                            </w:txbxContent>
                          </wps:txbx>
                          <wps:bodyPr rot="0" vert="horz" wrap="square" lIns="0" tIns="0" rIns="0" bIns="0" anchor="t" anchorCtr="0" upright="1">
                            <a:noAutofit/>
                          </wps:bodyPr>
                        </wps:wsp>
                        <wps:wsp>
                          <wps:cNvPr id="18406" name="Text Box 8413"/>
                          <wps:cNvSpPr txBox="1">
                            <a:spLocks noChangeArrowheads="1"/>
                          </wps:cNvSpPr>
                          <wps:spPr bwMode="auto">
                            <a:xfrm>
                              <a:off x="10543" y="7114"/>
                              <a:ext cx="191"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BF1B77" w14:textId="77777777" w:rsidR="00CB53E4" w:rsidRDefault="00CB53E4" w:rsidP="0031675F">
                                <w:pPr>
                                  <w:spacing w:line="98" w:lineRule="exact"/>
                                  <w:rPr>
                                    <w:rFonts w:eastAsia="Arial" w:cs="Arial"/>
                                    <w:sz w:val="10"/>
                                    <w:szCs w:val="10"/>
                                  </w:rPr>
                                </w:pPr>
                                <w:r>
                                  <w:rPr>
                                    <w:spacing w:val="-1"/>
                                    <w:w w:val="95"/>
                                    <w:sz w:val="10"/>
                                  </w:rPr>
                                  <w:t>1.03</w:t>
                                </w:r>
                              </w:p>
                            </w:txbxContent>
                          </wps:txbx>
                          <wps:bodyPr rot="0" vert="horz" wrap="square" lIns="0" tIns="0" rIns="0" bIns="0" anchor="t" anchorCtr="0" upright="1">
                            <a:noAutofit/>
                          </wps:bodyPr>
                        </wps:wsp>
                        <wps:wsp>
                          <wps:cNvPr id="18407" name="Text Box 8412"/>
                          <wps:cNvSpPr txBox="1">
                            <a:spLocks noChangeArrowheads="1"/>
                          </wps:cNvSpPr>
                          <wps:spPr bwMode="auto">
                            <a:xfrm>
                              <a:off x="6812" y="7307"/>
                              <a:ext cx="310"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3009F4" w14:textId="77777777" w:rsidR="00CB53E4" w:rsidRDefault="00CB53E4" w:rsidP="0031675F">
                                <w:pPr>
                                  <w:spacing w:line="85" w:lineRule="exact"/>
                                  <w:rPr>
                                    <w:rFonts w:eastAsia="Arial" w:cs="Arial"/>
                                    <w:sz w:val="8"/>
                                    <w:szCs w:val="8"/>
                                  </w:rPr>
                                </w:pPr>
                                <w:r>
                                  <w:rPr>
                                    <w:spacing w:val="-1"/>
                                    <w:w w:val="105"/>
                                    <w:sz w:val="8"/>
                                  </w:rPr>
                                  <w:t>0.00</w:t>
                                </w:r>
                              </w:p>
                              <w:p w14:paraId="3CFAA6CA" w14:textId="77777777" w:rsidR="00CB53E4" w:rsidRDefault="00CB53E4" w:rsidP="0031675F">
                                <w:pPr>
                                  <w:spacing w:before="32" w:line="91" w:lineRule="exact"/>
                                  <w:ind w:left="145"/>
                                  <w:rPr>
                                    <w:rFonts w:eastAsia="Arial" w:cs="Arial"/>
                                    <w:sz w:val="8"/>
                                    <w:szCs w:val="8"/>
                                  </w:rPr>
                                </w:pPr>
                                <w:r>
                                  <w:rPr>
                                    <w:spacing w:val="-1"/>
                                    <w:w w:val="105"/>
                                    <w:sz w:val="8"/>
                                  </w:rPr>
                                  <w:t>0.00</w:t>
                                </w:r>
                              </w:p>
                            </w:txbxContent>
                          </wps:txbx>
                          <wps:bodyPr rot="0" vert="horz" wrap="square" lIns="0" tIns="0" rIns="0" bIns="0" anchor="t" anchorCtr="0" upright="1">
                            <a:noAutofit/>
                          </wps:bodyPr>
                        </wps:wsp>
                        <wps:wsp>
                          <wps:cNvPr id="18408" name="Text Box 8411"/>
                          <wps:cNvSpPr txBox="1">
                            <a:spLocks noChangeArrowheads="1"/>
                          </wps:cNvSpPr>
                          <wps:spPr bwMode="auto">
                            <a:xfrm>
                              <a:off x="7491" y="7431"/>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132822" w14:textId="77777777" w:rsidR="00CB53E4" w:rsidRDefault="00CB53E4" w:rsidP="0031675F">
                                <w:pPr>
                                  <w:spacing w:line="84" w:lineRule="exact"/>
                                  <w:rPr>
                                    <w:rFonts w:eastAsia="Arial" w:cs="Arial"/>
                                    <w:sz w:val="8"/>
                                    <w:szCs w:val="8"/>
                                  </w:rPr>
                                </w:pPr>
                                <w:r>
                                  <w:rPr>
                                    <w:spacing w:val="-1"/>
                                    <w:w w:val="105"/>
                                    <w:sz w:val="8"/>
                                  </w:rPr>
                                  <w:t>0.50</w:t>
                                </w:r>
                              </w:p>
                            </w:txbxContent>
                          </wps:txbx>
                          <wps:bodyPr rot="0" vert="horz" wrap="square" lIns="0" tIns="0" rIns="0" bIns="0" anchor="t" anchorCtr="0" upright="1">
                            <a:noAutofit/>
                          </wps:bodyPr>
                        </wps:wsp>
                        <wps:wsp>
                          <wps:cNvPr id="18409" name="Text Box 8410"/>
                          <wps:cNvSpPr txBox="1">
                            <a:spLocks noChangeArrowheads="1"/>
                          </wps:cNvSpPr>
                          <wps:spPr bwMode="auto">
                            <a:xfrm>
                              <a:off x="8023" y="7431"/>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99582E" w14:textId="77777777" w:rsidR="00CB53E4" w:rsidRDefault="00CB53E4" w:rsidP="0031675F">
                                <w:pPr>
                                  <w:spacing w:line="84" w:lineRule="exact"/>
                                  <w:rPr>
                                    <w:rFonts w:eastAsia="Arial" w:cs="Arial"/>
                                    <w:sz w:val="8"/>
                                    <w:szCs w:val="8"/>
                                  </w:rPr>
                                </w:pPr>
                                <w:r>
                                  <w:rPr>
                                    <w:spacing w:val="-1"/>
                                    <w:w w:val="105"/>
                                    <w:sz w:val="8"/>
                                  </w:rPr>
                                  <w:t>1.00</w:t>
                                </w:r>
                              </w:p>
                            </w:txbxContent>
                          </wps:txbx>
                          <wps:bodyPr rot="0" vert="horz" wrap="square" lIns="0" tIns="0" rIns="0" bIns="0" anchor="t" anchorCtr="0" upright="1">
                            <a:noAutofit/>
                          </wps:bodyPr>
                        </wps:wsp>
                        <wps:wsp>
                          <wps:cNvPr id="18410" name="Text Box 8409"/>
                          <wps:cNvSpPr txBox="1">
                            <a:spLocks noChangeArrowheads="1"/>
                          </wps:cNvSpPr>
                          <wps:spPr bwMode="auto">
                            <a:xfrm>
                              <a:off x="8556" y="7431"/>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AE599E" w14:textId="77777777" w:rsidR="00CB53E4" w:rsidRDefault="00CB53E4" w:rsidP="0031675F">
                                <w:pPr>
                                  <w:spacing w:line="84" w:lineRule="exact"/>
                                  <w:rPr>
                                    <w:rFonts w:eastAsia="Arial" w:cs="Arial"/>
                                    <w:sz w:val="8"/>
                                    <w:szCs w:val="8"/>
                                  </w:rPr>
                                </w:pPr>
                                <w:r>
                                  <w:rPr>
                                    <w:spacing w:val="-1"/>
                                    <w:w w:val="105"/>
                                    <w:sz w:val="8"/>
                                  </w:rPr>
                                  <w:t>1.50</w:t>
                                </w:r>
                              </w:p>
                            </w:txbxContent>
                          </wps:txbx>
                          <wps:bodyPr rot="0" vert="horz" wrap="square" lIns="0" tIns="0" rIns="0" bIns="0" anchor="t" anchorCtr="0" upright="1">
                            <a:noAutofit/>
                          </wps:bodyPr>
                        </wps:wsp>
                        <wps:wsp>
                          <wps:cNvPr id="18411" name="Text Box 8408"/>
                          <wps:cNvSpPr txBox="1">
                            <a:spLocks noChangeArrowheads="1"/>
                          </wps:cNvSpPr>
                          <wps:spPr bwMode="auto">
                            <a:xfrm>
                              <a:off x="9087" y="7431"/>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1A7507" w14:textId="77777777" w:rsidR="00CB53E4" w:rsidRDefault="00CB53E4" w:rsidP="0031675F">
                                <w:pPr>
                                  <w:spacing w:line="84" w:lineRule="exact"/>
                                  <w:rPr>
                                    <w:rFonts w:eastAsia="Arial" w:cs="Arial"/>
                                    <w:sz w:val="8"/>
                                    <w:szCs w:val="8"/>
                                  </w:rPr>
                                </w:pPr>
                                <w:r>
                                  <w:rPr>
                                    <w:spacing w:val="-1"/>
                                    <w:w w:val="105"/>
                                    <w:sz w:val="8"/>
                                  </w:rPr>
                                  <w:t>2.00</w:t>
                                </w:r>
                              </w:p>
                            </w:txbxContent>
                          </wps:txbx>
                          <wps:bodyPr rot="0" vert="horz" wrap="square" lIns="0" tIns="0" rIns="0" bIns="0" anchor="t" anchorCtr="0" upright="1">
                            <a:noAutofit/>
                          </wps:bodyPr>
                        </wps:wsp>
                        <wps:wsp>
                          <wps:cNvPr id="18412" name="Text Box 8407"/>
                          <wps:cNvSpPr txBox="1">
                            <a:spLocks noChangeArrowheads="1"/>
                          </wps:cNvSpPr>
                          <wps:spPr bwMode="auto">
                            <a:xfrm>
                              <a:off x="9621" y="7431"/>
                              <a:ext cx="16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7B34DF" w14:textId="77777777" w:rsidR="00CB53E4" w:rsidRDefault="00CB53E4" w:rsidP="0031675F">
                                <w:pPr>
                                  <w:spacing w:line="84" w:lineRule="exact"/>
                                  <w:rPr>
                                    <w:rFonts w:eastAsia="Arial" w:cs="Arial"/>
                                    <w:sz w:val="8"/>
                                    <w:szCs w:val="8"/>
                                  </w:rPr>
                                </w:pPr>
                                <w:r>
                                  <w:rPr>
                                    <w:spacing w:val="-1"/>
                                    <w:w w:val="105"/>
                                    <w:sz w:val="8"/>
                                  </w:rPr>
                                  <w:t>2.50</w:t>
                                </w:r>
                              </w:p>
                            </w:txbxContent>
                          </wps:txbx>
                          <wps:bodyPr rot="0" vert="horz" wrap="square" lIns="0" tIns="0" rIns="0" bIns="0" anchor="t" anchorCtr="0" upright="1">
                            <a:noAutofit/>
                          </wps:bodyPr>
                        </wps:wsp>
                        <wps:wsp>
                          <wps:cNvPr id="18413" name="Text Box 8406"/>
                          <wps:cNvSpPr txBox="1">
                            <a:spLocks noChangeArrowheads="1"/>
                          </wps:cNvSpPr>
                          <wps:spPr bwMode="auto">
                            <a:xfrm>
                              <a:off x="6783" y="7632"/>
                              <a:ext cx="192"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D68537" w14:textId="77777777" w:rsidR="00CB53E4" w:rsidRDefault="00CB53E4" w:rsidP="0031675F">
                                <w:pPr>
                                  <w:spacing w:line="84" w:lineRule="exact"/>
                                  <w:rPr>
                                    <w:rFonts w:eastAsia="Arial" w:cs="Arial"/>
                                    <w:sz w:val="8"/>
                                    <w:szCs w:val="8"/>
                                  </w:rPr>
                                </w:pPr>
                                <w:r>
                                  <w:rPr>
                                    <w:spacing w:val="-1"/>
                                    <w:w w:val="105"/>
                                    <w:sz w:val="8"/>
                                  </w:rPr>
                                  <w:t>-0.50</w:t>
                                </w:r>
                              </w:p>
                            </w:txbxContent>
                          </wps:txbx>
                          <wps:bodyPr rot="0" vert="horz" wrap="square" lIns="0" tIns="0" rIns="0" bIns="0" anchor="t" anchorCtr="0" upright="1">
                            <a:noAutofit/>
                          </wps:bodyPr>
                        </wps:wsp>
                        <wps:wsp>
                          <wps:cNvPr id="18414" name="Text Box 8405"/>
                          <wps:cNvSpPr txBox="1">
                            <a:spLocks noChangeArrowheads="1"/>
                          </wps:cNvSpPr>
                          <wps:spPr bwMode="auto">
                            <a:xfrm>
                              <a:off x="533" y="7857"/>
                              <a:ext cx="1152" cy="26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B22CFB" w14:textId="77777777" w:rsidR="00CB53E4" w:rsidRDefault="00CB53E4" w:rsidP="0031675F">
                                <w:pPr>
                                  <w:spacing w:line="96" w:lineRule="exact"/>
                                  <w:jc w:val="both"/>
                                  <w:rPr>
                                    <w:rFonts w:eastAsia="Arial" w:cs="Arial"/>
                                    <w:sz w:val="9"/>
                                    <w:szCs w:val="9"/>
                                  </w:rPr>
                                </w:pPr>
                                <w:r>
                                  <w:rPr>
                                    <w:spacing w:val="2"/>
                                    <w:w w:val="105"/>
                                    <w:sz w:val="9"/>
                                  </w:rPr>
                                  <w:t>WQM199</w:t>
                                </w:r>
                                <w:r>
                                  <w:rPr>
                                    <w:w w:val="105"/>
                                    <w:sz w:val="9"/>
                                  </w:rPr>
                                  <w:t xml:space="preserve">  </w:t>
                                </w:r>
                                <w:r>
                                  <w:rPr>
                                    <w:spacing w:val="8"/>
                                    <w:w w:val="105"/>
                                    <w:sz w:val="9"/>
                                  </w:rPr>
                                  <w:t xml:space="preserve"> </w:t>
                                </w:r>
                                <w:r>
                                  <w:rPr>
                                    <w:spacing w:val="1"/>
                                    <w:w w:val="105"/>
                                    <w:sz w:val="9"/>
                                  </w:rPr>
                                  <w:t>d1</w:t>
                                </w:r>
                              </w:p>
                              <w:p w14:paraId="00748AEE" w14:textId="77777777" w:rsidR="00CB53E4" w:rsidRDefault="00CB53E4" w:rsidP="0031675F">
                                <w:pPr>
                                  <w:spacing w:before="5" w:line="122" w:lineRule="exact"/>
                                  <w:ind w:right="533"/>
                                  <w:jc w:val="both"/>
                                  <w:rPr>
                                    <w:rFonts w:eastAsia="Arial" w:cs="Arial"/>
                                    <w:sz w:val="10"/>
                                    <w:szCs w:val="10"/>
                                  </w:rPr>
                                </w:pPr>
                                <w:r>
                                  <w:rPr>
                                    <w:spacing w:val="2"/>
                                    <w:w w:val="105"/>
                                    <w:sz w:val="9"/>
                                  </w:rPr>
                                  <w:t>WQM199</w:t>
                                </w:r>
                                <w:r>
                                  <w:rPr>
                                    <w:spacing w:val="8"/>
                                    <w:w w:val="105"/>
                                    <w:sz w:val="9"/>
                                  </w:rPr>
                                  <w:t xml:space="preserve"> </w:t>
                                </w:r>
                                <w:r>
                                  <w:rPr>
                                    <w:spacing w:val="1"/>
                                    <w:w w:val="105"/>
                                    <w:sz w:val="9"/>
                                  </w:rPr>
                                  <w:t>d1</w:t>
                                </w:r>
                                <w:r>
                                  <w:rPr>
                                    <w:spacing w:val="24"/>
                                    <w:w w:val="105"/>
                                    <w:sz w:val="9"/>
                                  </w:rPr>
                                  <w:t xml:space="preserve"> </w:t>
                                </w:r>
                                <w:r>
                                  <w:rPr>
                                    <w:spacing w:val="2"/>
                                    <w:w w:val="105"/>
                                    <w:sz w:val="9"/>
                                  </w:rPr>
                                  <w:t>WQM200</w:t>
                                </w:r>
                                <w:r>
                                  <w:rPr>
                                    <w:spacing w:val="8"/>
                                    <w:w w:val="105"/>
                                    <w:sz w:val="9"/>
                                  </w:rPr>
                                  <w:t xml:space="preserve"> </w:t>
                                </w:r>
                                <w:r>
                                  <w:rPr>
                                    <w:spacing w:val="1"/>
                                    <w:w w:val="105"/>
                                    <w:sz w:val="9"/>
                                  </w:rPr>
                                  <w:t>d0</w:t>
                                </w:r>
                                <w:r>
                                  <w:rPr>
                                    <w:spacing w:val="24"/>
                                    <w:w w:val="105"/>
                                    <w:sz w:val="9"/>
                                  </w:rPr>
                                  <w:t xml:space="preserve"> </w:t>
                                </w:r>
                                <w:r>
                                  <w:rPr>
                                    <w:spacing w:val="2"/>
                                    <w:w w:val="105"/>
                                    <w:sz w:val="9"/>
                                  </w:rPr>
                                  <w:t>WQM200</w:t>
                                </w:r>
                                <w:r>
                                  <w:rPr>
                                    <w:spacing w:val="8"/>
                                    <w:w w:val="105"/>
                                    <w:sz w:val="9"/>
                                  </w:rPr>
                                  <w:t xml:space="preserve"> </w:t>
                                </w:r>
                                <w:r>
                                  <w:rPr>
                                    <w:spacing w:val="1"/>
                                    <w:w w:val="105"/>
                                    <w:sz w:val="9"/>
                                  </w:rPr>
                                  <w:t>d0</w:t>
                                </w:r>
                                <w:r>
                                  <w:rPr>
                                    <w:spacing w:val="24"/>
                                    <w:w w:val="105"/>
                                    <w:sz w:val="9"/>
                                  </w:rPr>
                                  <w:t xml:space="preserve"> </w:t>
                                </w:r>
                                <w:r>
                                  <w:rPr>
                                    <w:spacing w:val="2"/>
                                    <w:w w:val="105"/>
                                    <w:sz w:val="9"/>
                                  </w:rPr>
                                  <w:t>WQM200</w:t>
                                </w:r>
                                <w:r>
                                  <w:rPr>
                                    <w:spacing w:val="8"/>
                                    <w:w w:val="105"/>
                                    <w:sz w:val="9"/>
                                  </w:rPr>
                                  <w:t xml:space="preserve"> </w:t>
                                </w:r>
                                <w:r>
                                  <w:rPr>
                                    <w:spacing w:val="1"/>
                                    <w:w w:val="105"/>
                                    <w:sz w:val="9"/>
                                  </w:rPr>
                                  <w:t>d1</w:t>
                                </w:r>
                                <w:r>
                                  <w:rPr>
                                    <w:spacing w:val="24"/>
                                    <w:w w:val="105"/>
                                    <w:sz w:val="9"/>
                                  </w:rPr>
                                  <w:t xml:space="preserve"> </w:t>
                                </w:r>
                                <w:r>
                                  <w:rPr>
                                    <w:spacing w:val="2"/>
                                    <w:w w:val="105"/>
                                    <w:sz w:val="9"/>
                                  </w:rPr>
                                  <w:t>WQM200</w:t>
                                </w:r>
                                <w:r>
                                  <w:rPr>
                                    <w:spacing w:val="8"/>
                                    <w:w w:val="105"/>
                                    <w:sz w:val="9"/>
                                  </w:rPr>
                                  <w:t xml:space="preserve"> </w:t>
                                </w:r>
                                <w:r>
                                  <w:rPr>
                                    <w:spacing w:val="1"/>
                                    <w:w w:val="105"/>
                                    <w:sz w:val="9"/>
                                  </w:rPr>
                                  <w:t>d1</w:t>
                                </w:r>
                                <w:r>
                                  <w:rPr>
                                    <w:spacing w:val="24"/>
                                    <w:w w:val="105"/>
                                    <w:sz w:val="9"/>
                                  </w:rPr>
                                  <w:t xml:space="preserve"> </w:t>
                                </w:r>
                                <w:r>
                                  <w:rPr>
                                    <w:spacing w:val="2"/>
                                    <w:w w:val="105"/>
                                    <w:sz w:val="9"/>
                                  </w:rPr>
                                  <w:t>WQM201</w:t>
                                </w:r>
                                <w:r>
                                  <w:rPr>
                                    <w:spacing w:val="3"/>
                                    <w:w w:val="105"/>
                                    <w:sz w:val="9"/>
                                  </w:rPr>
                                  <w:t xml:space="preserve"> </w:t>
                                </w:r>
                                <w:r>
                                  <w:rPr>
                                    <w:spacing w:val="-2"/>
                                    <w:w w:val="105"/>
                                    <w:position w:val="1"/>
                                    <w:sz w:val="10"/>
                                  </w:rPr>
                                  <w:t>d0</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d0</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d1</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d1</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d2</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d2</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d3</w:t>
                                </w:r>
                                <w:r>
                                  <w:rPr>
                                    <w:spacing w:val="22"/>
                                    <w:w w:val="98"/>
                                    <w:position w:val="1"/>
                                    <w:sz w:val="10"/>
                                  </w:rPr>
                                  <w:t xml:space="preserve"> </w:t>
                                </w:r>
                                <w:r>
                                  <w:rPr>
                                    <w:spacing w:val="2"/>
                                    <w:w w:val="105"/>
                                    <w:sz w:val="9"/>
                                  </w:rPr>
                                  <w:t>WQM201</w:t>
                                </w:r>
                                <w:r>
                                  <w:rPr>
                                    <w:w w:val="105"/>
                                    <w:sz w:val="9"/>
                                  </w:rPr>
                                  <w:t xml:space="preserve">  </w:t>
                                </w:r>
                                <w:r>
                                  <w:rPr>
                                    <w:spacing w:val="2"/>
                                    <w:w w:val="105"/>
                                    <w:sz w:val="9"/>
                                  </w:rPr>
                                  <w:t xml:space="preserve"> </w:t>
                                </w:r>
                                <w:r>
                                  <w:rPr>
                                    <w:spacing w:val="-2"/>
                                    <w:w w:val="105"/>
                                    <w:position w:val="1"/>
                                    <w:sz w:val="10"/>
                                  </w:rPr>
                                  <w:t>d3</w:t>
                                </w:r>
                              </w:p>
                              <w:p w14:paraId="1202759A" w14:textId="77777777" w:rsidR="00CB53E4" w:rsidRDefault="00CB53E4" w:rsidP="0031675F">
                                <w:pPr>
                                  <w:spacing w:line="254" w:lineRule="auto"/>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r>
                                  <w:rPr>
                                    <w:spacing w:val="25"/>
                                    <w:w w:val="98"/>
                                    <w:sz w:val="10"/>
                                  </w:rPr>
                                  <w:t xml:space="preserve"> </w:t>
                                </w:r>
                                <w:r>
                                  <w:rPr>
                                    <w:spacing w:val="-1"/>
                                    <w:sz w:val="10"/>
                                  </w:rPr>
                                  <w:t>2ppm</w:t>
                                </w:r>
                                <w:r>
                                  <w:rPr>
                                    <w:spacing w:val="-7"/>
                                    <w:sz w:val="10"/>
                                  </w:rPr>
                                  <w:t xml:space="preserve"> </w:t>
                                </w:r>
                                <w:r>
                                  <w:rPr>
                                    <w:sz w:val="10"/>
                                  </w:rPr>
                                  <w:t>OC</w:t>
                                </w:r>
                              </w:p>
                              <w:p w14:paraId="03663DB6" w14:textId="77777777" w:rsidR="00CB53E4" w:rsidRDefault="00CB53E4" w:rsidP="0031675F">
                                <w:pPr>
                                  <w:spacing w:line="255" w:lineRule="auto"/>
                                  <w:ind w:right="726"/>
                                  <w:jc w:val="both"/>
                                  <w:rPr>
                                    <w:rFonts w:eastAsia="Arial" w:cs="Arial"/>
                                    <w:sz w:val="10"/>
                                    <w:szCs w:val="10"/>
                                  </w:rPr>
                                </w:pP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txbxContent>
                          </wps:txbx>
                          <wps:bodyPr rot="0" vert="horz" wrap="square" lIns="0" tIns="0" rIns="0" bIns="0" anchor="t" anchorCtr="0" upright="1">
                            <a:noAutofit/>
                          </wps:bodyPr>
                        </wps:wsp>
                      </wpg:grpSp>
                    </wpg:wgp>
                  </a:graphicData>
                </a:graphic>
              </wp:inline>
            </w:drawing>
          </mc:Choice>
          <mc:Fallback>
            <w:pict>
              <v:group w14:anchorId="060C6E3B" id="Group 8403" o:spid="_x0000_s1035" alt="Title: Example worksheet - Description: Example worksheet for analysis of dissolved organic carbon using the Shimadzu TOC-V" style="width:544.9pt;height:532.9pt;mso-position-horizontal-relative:char;mso-position-vertical-relative:line" coordsize="10898,106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">
                <v:group id="Group 9059" o:spid="_x0000_s1036" style="position:absolute;left:515;top:15;width:2;height:2" coordorigin="515,15" coordsize="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5heSMIAAADcAAAADwAAAGRycy9kb3ducmV2LnhtbERPTYvCMBC9C/sfwix4&#10;07QuulKNIrIrHkRQF8Tb0IxtsZmUJtvWf28Ewds83ufMl50pRUO1KywriIcRCOLU6oIzBX+n38EU&#10;hPPIGkvLpOBODpaLj94cE21bPlBz9JkIIewSVJB7XyVSujQng25oK+LAXW1t0AdYZ1LX2IZwU8pR&#10;FE2kwYJDQ44VrXNKb8d/o2DTYrv6in+a3e26vl9O4/15F5NS/c9uNQPhqfNv8cu91WH+6Bu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YXkjCAAAA3AAAAA8A&#10;AAAAAAAAAAAAAAAAqgIAAGRycy9kb3ducmV2LnhtbFBLBQYAAAAABAAEAPoAAACZAwAAAAA=&#10;">
                  <v:shape id="Freeform 9060" o:spid="_x0000_s1037" style="position:absolute;left:515;top:15;width:2;height:2;visibility:visible;mso-wrap-style:square;v-text-anchor:top" coordsize="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XO/MYA&#10;AADeAAAADwAAAGRycy9kb3ducmV2LnhtbESPzW7CQAyE75V4h5WRuJUNPZA2sCAoQuICUikXblbW&#10;+YGsN8oukL59fUDiZsvjmfnmy9416k5dqD0bmIwTUMS5tzWXBk6/2/dPUCEiW2w8k4E/CrBcDN7m&#10;mFn/4B+6H2OpxIRDhgaqGNtM65BX5DCMfUsst8J3DqOsXalthw8xd43+SJKpdlizJFTY0ndF+fV4&#10;cwZ4uy6+isPpqvdulZZnvPR6czFmNOxXM1CR+vgSP793Vuqn6VQABEdm0I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RXO/MYAAADeAAAADwAAAAAAAAAAAAAAAACYAgAAZHJz&#10;L2Rvd25yZXYueG1sUEsFBgAAAAAEAAQA9QAAAIsDAAAAAA==&#10;" path="m,l,e" filled="f" strokeweight=".02442mm">
                    <v:path arrowok="t" o:connecttype="custom" o:connectlocs="0,0;0,0" o:connectangles="0,0"/>
                  </v:shape>
                </v:group>
                <v:group id="Group 9057" o:spid="_x0000_s1038" style="position:absolute;left:10;top:15;width:10879;height:2" coordorigin="10,15" coordsize="108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LvZmsQAAADeAAAA&#10;DwAAAAAAAAAAAAAAAACqAgAAZHJzL2Rvd25yZXYueG1sUEsFBgAAAAAEAAQA+gAAAJsDAAAAAA==&#10;">
                  <v:shape id="Freeform 9058" o:spid="_x0000_s1039" style="position:absolute;left:10;top:15;width:10879;height:2;visibility:visible;mso-wrap-style:square;v-text-anchor:top" coordsize="108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L0V8cA&#10;AADeAAAADwAAAGRycy9kb3ducmV2LnhtbERPTWvCQBC9F/wPywheSt3UQ1KjqxRBLbRYjC30OGbH&#10;JJidjdmtSf+9Wyj0No/3OfNlb2pxpdZVlhU8jiMQxLnVFRcKPg7rhycQziNrrC2Tgh9ysFwM7uaY&#10;atvxnq6ZL0QIYZeigtL7JpXS5SUZdGPbEAfuZFuDPsC2kLrFLoSbWk6iKJYGKw4NJTa0Kik/Z99G&#10;wft2k+2KY7e6vB2S+3j35T9f11OlRsP+eQbCU+//xX/uFx3mJ0k8gd93wg1yc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C9FfHAAAA3gAAAA8AAAAAAAAAAAAAAAAAmAIAAGRy&#10;cy9kb3ducmV2LnhtbFBLBQYAAAAABAAEAPUAAACMAwAAAAA=&#10;" path="m,l10878,e" filled="f" strokeweight=".20264mm">
                    <v:path arrowok="t" o:connecttype="custom" o:connectlocs="0,0;10878,0" o:connectangles="0,0"/>
                  </v:shape>
                </v:group>
                <v:group id="Group 9055" o:spid="_x0000_s1040" style="position:absolute;left:1022;top:15;width:2;height:1101" coordorigin="1022,15" coordsize="2,11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yXidsQAAADeAAAA&#10;DwAAAAAAAAAAAAAAAACqAgAAZHJzL2Rvd25yZXYueG1sUEsFBgAAAAAEAAQA+gAAAJsDAAAAAA==&#10;">
                  <v:shape id="Freeform 9056" o:spid="_x0000_s1041" style="position:absolute;left:1022;top:15;width:2;height:1101;visibility:visible;mso-wrap-style:square;v-text-anchor:top" coordsize="2,1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bTBcMA&#10;AADeAAAADwAAAGRycy9kb3ducmV2LnhtbERP3WrCMBS+H/gO4Qi7GWtaGTq7RhkDh8Or6h7g0Jy1&#10;Zc1JSWKNb28GA+/Ox/d7qm00g5jI+d6ygiLLQRA3VvfcKvg+7Z5fQfiArHGwTAqu5GG7mT1UWGp7&#10;4ZqmY2hFCmFfooIuhLGU0jcdGfSZHYkT92OdwZCga6V2eEnhZpCLPF9Kgz2nhg5H+uio+T2ejQJP&#10;8fOA67r4mlxB5+t6iE+LnVKP8/j+BiJQDHfxv3uv0/zVavkCf++kG+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MbTBcMAAADeAAAADwAAAAAAAAAAAAAAAACYAgAAZHJzL2Rv&#10;d25yZXYueG1sUEsFBgAAAAAEAAQA9QAAAIgDAAAAAA==&#10;" path="m,l,1101e" filled="f" strokeweight=".05622mm">
                    <v:path arrowok="t" o:connecttype="custom" o:connectlocs="0,15;0,1116" o:connectangles="0,0"/>
                  </v:shape>
                </v:group>
                <v:group id="Group 9053" o:spid="_x0000_s1042" style="position:absolute;left:5887;top:15;width:2;height:2934" coordorigin="5887,15" coordsize="2,29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4DfmcQAAADeAAAA&#10;DwAAAAAAAAAAAAAAAACqAgAAZHJzL2Rvd25yZXYueG1sUEsFBgAAAAAEAAQA+gAAAJsDAAAAAA==&#10;">
                  <v:shape id="Freeform 9054" o:spid="_x0000_s1043" style="position:absolute;left:5887;top:15;width:2;height:2934;visibility:visible;mso-wrap-style:square;v-text-anchor:top" coordsize="2,29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aOdMMA&#10;AADeAAAADwAAAGRycy9kb3ducmV2LnhtbERPTWvCQBC9F/wPywi91Y2lTSR1FVOw6E2jl96G7DQJ&#10;zc6G7Gq2/74rCN7m8T5nuQ6mE1caXGtZwXyWgCCurG65VnA+bV8WIJxH1thZJgV/5GC9mjwtMdd2&#10;5CNdS1+LGMIuRwWN930upasaMuhmtieO3I8dDPoIh1rqAccYbjr5miSpNNhybGiwp8+Gqt/yYhQU&#10;5fch+3orTrgPaeLHXaHfD0Gp52nYfIDwFPxDfHfvdJyfZWkKt3fiDXL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waOdMMAAADeAAAADwAAAAAAAAAAAAAAAACYAgAAZHJzL2Rv&#10;d25yZXYueG1sUEsFBgAAAAAEAAQA9QAAAIgDAAAAAA==&#10;" path="m,l,2933e" filled="f" strokeweight=".05622mm">
                    <v:path arrowok="t" o:connecttype="custom" o:connectlocs="0,15;0,2948" o:connectangles="0,0"/>
                  </v:shape>
                </v:group>
                <v:group id="Group 9051" o:spid="_x0000_s1044" style="position:absolute;left:1022;top:2459;width:2;height:1467" coordorigin="1022,2459" coordsize="2,14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B7kdcQAAADeAAAA&#10;DwAAAAAAAAAAAAAAAACqAgAAZHJzL2Rvd25yZXYueG1sUEsFBgAAAAAEAAQA+gAAAJsDAAAAAA==&#10;">
                  <v:shape id="Freeform 9052" o:spid="_x0000_s1045" style="position:absolute;left:1022;top:2459;width:2;height:1467;visibility:visible;mso-wrap-style:square;v-text-anchor:top" coordsize="2,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F8KsYA&#10;AADeAAAADwAAAGRycy9kb3ducmV2LnhtbESPQWvDMAyF74P9B6PCbqvTDpKS1i1jMCi9jHW59CZi&#10;LQ6N5dR22+zfT4fBbhLv6b1Pm93kB3WjmPrABhbzAhRxG2zPnYHm6/15BSplZItDYDLwQwl228eH&#10;DdY23PmTbsfcKQnhVKMBl/NYa51aRx7TPIzEon2H6DHLGjttI94l3A96WRSl9tizNDgc6c1Rez5e&#10;vYGq2S/dFePH6vJyOp/wcGlKdzDmaTa9rkFlmvK/+e96bwW/qkrhlXdkBr3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F8KsYAAADeAAAADwAAAAAAAAAAAAAAAACYAgAAZHJz&#10;L2Rvd25yZXYueG1sUEsFBgAAAAAEAAQA9QAAAIsDAAAAAA==&#10;" path="m,l,1466e" filled="f" strokeweight=".05622mm">
                    <v:path arrowok="t" o:connecttype="custom" o:connectlocs="0,2459;0,3925" o:connectangles="0,0"/>
                  </v:shape>
                </v:group>
                <v:group id="Group 9049" o:spid="_x0000_s1046" style="position:absolute;left:5887;top:3070;width:2;height:2199" coordorigin="5887,3070" coordsize="2,21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s3VnMUAAADeAAAADwAAAGRycy9kb3ducmV2LnhtbERPS2vCQBC+C/6HZQRv&#10;dRNLfURXEWlLDyL4APE2ZMckmJ0N2TWJ/75bKHibj+85y3VnStFQ7QrLCuJRBII4tbrgTMH59PU2&#10;A+E8ssbSMil4koP1qt9bYqJtywdqjj4TIYRdggpy76tESpfmZNCNbEUcuJutDfoA60zqGtsQbko5&#10;jqKJNFhwaMixom1O6f34MAq+W2w37/Fns7vfts/r6WN/2cWk1HDQbRYgPHX+Jf53/+gwfzqdzOH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bN1ZzFAAAA3gAA&#10;AA8AAAAAAAAAAAAAAAAAqgIAAGRycy9kb3ducmV2LnhtbFBLBQYAAAAABAAEAPoAAACcAwAAAAA=&#10;">
                  <v:shape id="Freeform 9050" o:spid="_x0000_s1047" style="position:absolute;left:5887;top:3070;width:2;height:2199;visibility:visible;mso-wrap-style:square;v-text-anchor:top" coordsize="2,21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cnMgA&#10;AADeAAAADwAAAGRycy9kb3ducmV2LnhtbESPQWvCQBCF74X+h2UK3urGQo1EV5GCbRGhmFbxOGTH&#10;JDY7G7Krpv++cxC8zTBv3nvfbNG7Rl2oC7VnA6NhAoq48Lbm0sDP9+p5AipEZIuNZzLwRwEW88eH&#10;GWbWX3lLlzyWSkw4ZGigirHNtA5FRQ7D0LfEcjv6zmGUtSu17fAq5q7RL0ky1g5rloQKW3qrqPjN&#10;z87A62Y7OX7kh7jebVbj4oT79enr3ZjBU7+cgorUx7v49v1ppX6apgIgODKDnv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hycyAAAAN4AAAAPAAAAAAAAAAAAAAAAAJgCAABk&#10;cnMvZG93bnJldi54bWxQSwUGAAAAAAQABAD1AAAAjQMAAAAA&#10;" path="m,l,2199e" filled="f" strokeweight=".05622mm">
                    <v:path arrowok="t" o:connecttype="custom" o:connectlocs="0,3070;0,5269" o:connectangles="0,0"/>
                  </v:shape>
                </v:group>
                <v:group id="Group 9047" o:spid="_x0000_s1048" style="position:absolute;left:6386;top:15;width:2;height:5255" coordorigin="6386,15" coordsize="2,52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1iT0fFAAAA3gAA&#10;AA8AAAAAAAAAAAAAAAAAqgIAAGRycy9kb3ducmV2LnhtbFBLBQYAAAAABAAEAPoAAACcAwAAAAA=&#10;">
                  <v:shape id="Freeform 9048" o:spid="_x0000_s1049" style="position:absolute;left:6386;top:15;width:2;height:5255;visibility:visible;mso-wrap-style:square;v-text-anchor:top" coordsize="2,5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2P4cgA&#10;AADeAAAADwAAAGRycy9kb3ducmV2LnhtbESPQWvCQBCF74X+h2UKXkrdqKASXUUKBQ9F2uiltyE7&#10;JttmZ0N2NbG/3jkUepth3rz3vvV28I26UhddYAOTcQaKuAzWcWXgdHx7WYKKCdliE5gM3CjCdvP4&#10;sMbchp4/6VqkSokJxxwN1Cm1udaxrMljHIeWWG7n0HlMsnaVth32Yu4bPc2yufboWBJqbOm1pvKn&#10;uHgD71/Offye+mGC+3ib7eaH6eL72ZjR07BbgUo0pH/x3/feSv3FciYAgiMz6M0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Y/hyAAAAN4AAAAPAAAAAAAAAAAAAAAAAJgCAABk&#10;cnMvZG93bnJldi54bWxQSwUGAAAAAAQABAD1AAAAjQMAAAAA&#10;" path="m,l,5254e" filled="f" strokeweight=".05622mm">
                    <v:path arrowok="t" o:connecttype="custom" o:connectlocs="0,15;0,5269" o:connectangles="0,0"/>
                  </v:shape>
                </v:group>
                <v:group id="Group 9045" o:spid="_x0000_s1050" style="position:absolute;left:1022;top:5025;width:2;height:1711" coordorigin="1022,5025" coordsize="2,1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bxi0cQAAADeAAAA&#10;DwAAAAAAAAAAAAAAAACqAgAAZHJzL2Rvd25yZXYueG1sUEsFBgAAAAAEAAQA+gAAAJsDAAAAAA==&#10;">
                  <v:shape id="Freeform 9046" o:spid="_x0000_s1051" style="position:absolute;left:1022;top:5025;width:2;height:1711;visibility:visible;mso-wrap-style:square;v-text-anchor:top" coordsize="2,17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I4DcMA&#10;AADeAAAADwAAAGRycy9kb3ducmV2LnhtbERP3WrCMBS+F/YO4Qx2p+kcTKmmxY1tiBei3R7gkBzb&#10;anNSkqjd25vBwLvz8f2eZTnYTlzIh9axgudJBoJYO9NyreDn+3M8BxEissHOMSn4pQBl8TBaYm7c&#10;lfd0qWItUgiHHBU0Mfa5lEE3ZDFMXE+cuIPzFmOCvpbG4zWF205Os+xVWmw5NTTY03tD+lSdrYLt&#10;0bjdxu4+UJ/X/lDV+u3LaKWeHofVAkSkId7F/+61SfNn85cp/L2Tbp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pI4DcMAAADeAAAADwAAAAAAAAAAAAAAAACYAgAAZHJzL2Rv&#10;d25yZXYueG1sUEsFBgAAAAAEAAQA9QAAAIgDAAAAAA==&#10;" path="m,l,1710e" filled="f" strokeweight=".05622mm">
                    <v:path arrowok="t" o:connecttype="custom" o:connectlocs="0,5025;0,6735" o:connectangles="0,0"/>
                  </v:shape>
                </v:group>
                <v:group id="Group 9043" o:spid="_x0000_s1052" style="position:absolute;left:15;top:15;width:2;height:10630" coordorigin="1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IiWT3FAAAA3gAA&#10;AA8AAAAAAAAAAAAAAAAAqgIAAGRycy9kb3ducmV2LnhtbFBLBQYAAAAABAAEAPoAAACcAwAAAAA=&#10;">
                  <v:shape id="Freeform 9044" o:spid="_x0000_s1053" style="position:absolute;left:1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q7isYA&#10;AADeAAAADwAAAGRycy9kb3ducmV2LnhtbERP32vCMBB+H/g/hBP2MmbqNqpWo4g42EAQ3fZ+NGdT&#10;bS6lSW23v34ZDHy7j+/nLVa9rcSVGl86VjAeJSCIc6dLLhR8frw+TkH4gKyxckwKvsnDajm4W2Cm&#10;XccHuh5DIWII+wwVmBDqTEqfG7LoR64mjtzJNRZDhE0hdYNdDLeVfEqSVFosOTYYrGljKL8cW6ug&#10;Pf+893vcpe36wczqbvy13aaVUvfDfj0HEagPN/G/+03H+ZPp8wv8vRNv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fq7isYAAADeAAAADwAAAAAAAAAAAAAAAACYAgAAZHJz&#10;L2Rvd25yZXYueG1sUEsFBgAAAAAEAAQA9QAAAIsDAAAAAA==&#10;" path="m,l,10629e" filled="f" strokeweight=".20278mm">
                    <v:path arrowok="t" o:connecttype="custom" o:connectlocs="0,15;0,10644" o:connectangles="0,0"/>
                  </v:shape>
                </v:group>
                <v:group id="Group 9041" o:spid="_x0000_s1054" style="position:absolute;left:515;top:138;width:2;height:10507" coordorigin="515,138" coordsize="2,105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odk0sQAAADeAAAA&#10;DwAAAAAAAAAAAAAAAACqAgAAZHJzL2Rvd25yZXYueG1sUEsFBgAAAAAEAAQA+gAAAJsDAAAAAA==&#10;">
                  <v:shape id="Freeform 9042" o:spid="_x0000_s1055" style="position:absolute;left:515;top:138;width:2;height:10507;visibility:visible;mso-wrap-style:square;v-text-anchor:top" coordsize="2,105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33TMIA&#10;AADeAAAADwAAAGRycy9kb3ducmV2LnhtbERPS4vCMBC+C/sfwix403QVtHSNsghiwYuP7n1oZtuy&#10;yaQ0Uau/3giCt/n4nrNY9daIC3W+cazga5yAIC6dbrhSUJw2oxSED8gajWNScCMPq+XHYIGZdlc+&#10;0OUYKhFD2GeooA6hzaT0ZU0W/di1xJH7c53FEGFXSd3hNYZbIydJMpMWG44NNba0rqn8P56tArO7&#10;V3nYTLeFLgztb+2vSXKj1PCz//kGEagPb/HLnes4f55OZ/B8J94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zfdMwgAAAN4AAAAPAAAAAAAAAAAAAAAAAJgCAABkcnMvZG93&#10;bnJldi54bWxQSwUGAAAAAAQABAD1AAAAhwMAAAAA&#10;" path="m,l,10506e" filled="f" strokeweight=".05622mm">
                    <v:path arrowok="t" o:connecttype="custom" o:connectlocs="0,138;0,10644" o:connectangles="0,0"/>
                  </v:shape>
                </v:group>
                <v:group id="Group 9039" o:spid="_x0000_s1056" style="position:absolute;left:1022;top:9667;width:2;height:978" coordorigin="1022,9667" coordsize="2,9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RlfPsQAAADeAAAA&#10;DwAAAAAAAAAAAAAAAACqAgAAZHJzL2Rvd25yZXYueG1sUEsFBgAAAAAEAAQA+gAAAJsDAAAAAA==&#10;">
                  <v:shape id="Freeform 9040" o:spid="_x0000_s1057" style="position:absolute;left:1022;top:9667;width:2;height:978;visibility:visible;mso-wrap-style:square;v-text-anchor:top" coordsize="2,9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V5+MYA&#10;AADeAAAADwAAAGRycy9kb3ducmV2LnhtbESPT4vCQAzF78J+hyELe9OpW7BSHUUXhBUP4p+Dx9CJ&#10;bbGTKZ1Ru99+cxC8JbyX936ZL3vXqAd1ofZsYDxKQBEX3tZcGjifNsMpqBCRLTaeycAfBVguPgZz&#10;zK1/8oEex1gqCeGQo4EqxjbXOhQVOQwj3xKLdvWdwyhrV2rb4VPCXaO/k2SiHdYsDRW29FNRcTve&#10;nYF1Wo7Ttd+lrskubquv22xft8Z8ffarGahIfXybX9e/VvCzaSq88o7MoB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CV5+MYAAADeAAAADwAAAAAAAAAAAAAAAACYAgAAZHJz&#10;L2Rvd25yZXYueG1sUEsFBgAAAAAEAAQA9QAAAIsDAAAAAA==&#10;" path="m,l,977e" filled="f" strokeweight=".05622mm">
                    <v:path arrowok="t" o:connecttype="custom" o:connectlocs="0,9667;0,10644" o:connectangles="0,0"/>
                  </v:shape>
                </v:group>
                <v:group id="Group 9037" o:spid="_x0000_s1058" style="position:absolute;left:1686;top:15;width:2;height:10630" coordorigin="1686,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PKbtfFAAAA3gAA&#10;AA8AAAAAAAAAAAAAAAAAqgIAAGRycy9kb3ducmV2LnhtbFBLBQYAAAAABAAEAPoAAACcAwAAAAA=&#10;">
                  <v:shape id="Freeform 9038" o:spid="_x0000_s1059" style="position:absolute;left:1686;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ov8kA&#10;AADeAAAADwAAAGRycy9kb3ducmV2LnhtbESPQUvDQBCF70L/wzKCN7tpkRjSbkupCEIPaqwHb0N2&#10;mk3Nzsbs2qb/vnMQvM0wb95733I9+k6daIhtYAOzaQaKuA625cbA/uP5vgAVE7LFLjAZuFCE9Wpy&#10;s8TShjO/06lKjRITjiUacCn1pdaxduQxTkNPLLdDGDwmWYdG2wHPYu47Pc+yXHtsWRIc9rR1VH9X&#10;v97AW/W02eWz/PiF7me+az73xfE1M+budtwsQCUa07/47/vFSv3H4kEABEdm0Ks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4Z4ov8kAAADeAAAADwAAAAAAAAAAAAAAAACYAgAA&#10;ZHJzL2Rvd25yZXYueG1sUEsFBgAAAAAEAAQA9QAAAI4DAAAAAA==&#10;" path="m,l,10629e" filled="f" strokeweight=".05622mm">
                    <v:path arrowok="t" o:connecttype="custom" o:connectlocs="0,15;0,10644" o:connectangles="0,0"/>
                  </v:shape>
                </v:group>
                <v:group id="Group 9035" o:spid="_x0000_s1060" style="position:absolute;left:2185;top:15;width:2;height:10630" coordorigin="218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W6EazFAAAA3gAA&#10;AA8AAAAAAAAAAAAAAAAAqgIAAGRycy9kb3ducmV2LnhtbFBLBQYAAAAABAAEAPoAAACcAwAAAAA=&#10;">
                  <v:shape id="Freeform 9036" o:spid="_x0000_s1061" style="position:absolute;left:218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ATU8YA&#10;AADeAAAADwAAAGRycy9kb3ducmV2LnhtbERPTWvCQBC9F/oflin0VjeGkoboKtIiFDzYRj14G7Jj&#10;Npqdjdmtxn/fLRS8zeN9znQ+2FZcqPeNYwXjUQKCuHK64VrBdrN8yUH4gKyxdUwKbuRhPnt8mGKh&#10;3ZW/6VKGWsQQ9gUqMCF0hZS+MmTRj1xHHLmD6y2GCPta6h6vMdy2Mk2STFpsODYY7OjdUHUqf6yC&#10;r/JjscrG2XGP5pyu6t02P64TpZ6fhsUERKAh3MX/7k8d57/lryn8vRNvkL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ATU8YAAADeAAAADwAAAAAAAAAAAAAAAACYAgAAZHJz&#10;L2Rvd25yZXYueG1sUEsFBgAAAAAEAAQA9QAAAIsDAAAAAA==&#10;" path="m,l,10629e" filled="f" strokeweight=".05622mm">
                    <v:path arrowok="t" o:connecttype="custom" o:connectlocs="0,15;0,10644" o:connectangles="0,0"/>
                  </v:shape>
                </v:group>
                <v:group id="Group 9033" o:spid="_x0000_s1062" style="position:absolute;left:2685;top:15;width:2;height:10630" coordorigin="268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okKkDFAAAA3gAA&#10;AA8AAAAAAAAAAAAAAAAAqgIAAGRycy9kb3ducmV2LnhtbFBLBQYAAAAABAAEAPoAAACcAwAAAAA=&#10;">
                  <v:shape id="Freeform 9034" o:spid="_x0000_s1063" style="position:absolute;left:268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UuvMUA&#10;AADeAAAADwAAAGRycy9kb3ducmV2LnhtbERPTWvCQBC9F/wPywi91Y0iMURXEYsgeGib6sHbkB2z&#10;0exsmt1q+u+7BaG3ebzPWax624gbdb52rGA8SkAQl07XXCk4fG5fMhA+IGtsHJOCH/KwWg6eFphr&#10;d+cPuhWhEjGEfY4KTAhtLqUvDVn0I9cSR+7sOoshwq6SusN7DLeNnCRJKi3WHBsMtrQxVF6Lb6vg&#10;vXhd79Nxejmh+Zrsq+Mhu7wlSj0P+/UcRKA+/Isf7p2O82fZdAp/78Qb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pS68xQAAAN4AAAAPAAAAAAAAAAAAAAAAAJgCAABkcnMv&#10;ZG93bnJldi54bWxQSwUGAAAAAAQABAD1AAAAigMAAAAA&#10;" path="m,l,10629e" filled="f" strokeweight=".05622mm">
                    <v:path arrowok="t" o:connecttype="custom" o:connectlocs="0,15;0,10644" o:connectangles="0,0"/>
                  </v:shape>
                </v:group>
                <v:group id="Group 9031" o:spid="_x0000_s1064" style="position:absolute;left:3185;top:15;width:2;height:10630" coordorigin="318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oEXr8UAAADeAAAADwAAAGRycy9kb3ducmV2LnhtbERPS2vCQBC+C/6HZQRv&#10;dRNbH0RXEWlLDyL4APE2ZMckmJ0N2TWJ/75bKHibj+85y3VnStFQ7QrLCuJRBII4tbrgTMH59PU2&#10;B+E8ssbSMil4koP1qt9bYqJtywdqjj4TIYRdggpy76tESpfmZNCNbEUcuJutDfoA60zqGtsQbko5&#10;jqKpNFhwaMixom1O6f34MAq+W2w37/Fns7vfts/rabK/7GJSajjoNgsQnjr/Ev+7f3SYP5t/TOD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qBF6/FAAAA3gAA&#10;AA8AAAAAAAAAAAAAAAAAqgIAAGRycy9kb3ducmV2LnhtbFBLBQYAAAAABAAEAPoAAACcAwAAAAA=&#10;">
                  <v:shape id="Freeform 9032" o:spid="_x0000_s1065" style="position:absolute;left:318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sVUMYA&#10;AADeAAAADwAAAGRycy9kb3ducmV2LnhtbERPTWvCQBC9F/oflil4qxulpCF1FVGEgofWGA+9Ddlp&#10;NjY7G7Orpv++KxS8zeN9zmwx2FZcqPeNYwWTcQKCuHK64VpBud88ZyB8QNbYOiYFv+RhMX98mGGu&#10;3ZV3dClCLWII+xwVmBC6XEpfGbLox64jjty36y2GCPta6h6vMdy2cpokqbTYcGww2NHKUPVTnK2C&#10;z2K93KaT9PiF5jTd1ocyO34kSo2ehuUbiEBDuIv/3e86zn/NXlK4vRNvk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TsVUMYAAADeAAAADwAAAAAAAAAAAAAAAACYAgAAZHJz&#10;L2Rvd25yZXYueG1sUEsFBgAAAAAEAAQA9QAAAIsDAAAAAA==&#10;" path="m,l,10629e" filled="f" strokeweight=".05622mm">
                    <v:path arrowok="t" o:connecttype="custom" o:connectlocs="0,15;0,10644" o:connectangles="0,0"/>
                  </v:shape>
                </v:group>
                <v:group id="Group 9029" o:spid="_x0000_s1066" style="position:absolute;left:3685;top:15;width:2;height:10630" coordorigin="368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R8sQ8UAAADeAAAADwAAAGRycy9kb3ducmV2LnhtbERPS2vCQBC+F/wPywi9&#10;6Sa2VYmuIqKlBxF8gHgbsmMSzM6G7JrEf98tCL3Nx/ec+bIzpWiodoVlBfEwAkGcWl1wpuB82g6m&#10;IJxH1lhaJgVPcrBc9N7mmGjb8oGao89ECGGXoILc+yqR0qU5GXRDWxEH7mZrgz7AOpO6xjaEm1KO&#10;omgsDRYcGnKsaJ1Tej8+jILvFtvVR7xpdvfb+nk9fe0vu5iUeu93qxkIT53/F7/cPzrMn0w/J/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UfLEPFAAAA3gAA&#10;AA8AAAAAAAAAAAAAAAAAqgIAAGRycy9kb3ducmV2LnhtbFBLBQYAAAAABAAEAPoAAACcAwAAAAA=&#10;">
                  <v:shape id="Freeform 9030" o:spid="_x0000_s1067" style="position:absolute;left:368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kuckA&#10;AADeAAAADwAAAGRycy9kb3ducmV2LnhtbESPQUvDQBCF70L/wzKCN7tpkRjSbkupCEIPaqwHb0N2&#10;mk3Nzsbs2qb/vnMQvM3w3rz3zXI9+k6daIhtYAOzaQaKuA625cbA/uP5vgAVE7LFLjAZuFCE9Wpy&#10;s8TShjO/06lKjZIQjiUacCn1pdaxduQxTkNPLNohDB6TrEOj7YBnCfednmdZrj22LA0Oe9o6qr+r&#10;X2/grXra7PJZfvxC9zPfNZ/74viaGXN3O24WoBKN6d/8d/1iBf+xeBBeeUdm0Ks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gkuckAAADeAAAADwAAAAAAAAAAAAAAAACYAgAA&#10;ZHJzL2Rvd25yZXYueG1sUEsFBgAAAAAEAAQA9QAAAI4DAAAAAA==&#10;" path="m,l,10629e" filled="f" strokeweight=".05622mm">
                    <v:path arrowok="t" o:connecttype="custom" o:connectlocs="0,15;0,10644" o:connectangles="0,0"/>
                  </v:shape>
                </v:group>
                <v:group id="Group 9027" o:spid="_x0000_s1068" style="position:absolute;left:4184;top:15;width:2;height:10630" coordorigin="4184,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vMHarFAAAA3gAA&#10;AA8AAAAAAAAAAAAAAAAAqgIAAGRycy9kb3ducmV2LnhtbFBLBQYAAAAABAAEAPoAAACcAwAAAAA=&#10;">
                  <v:shape id="Freeform 9028" o:spid="_x0000_s1069" style="position:absolute;left:4184;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e+YskA&#10;AADeAAAADwAAAGRycy9kb3ducmV2LnhtbESPQUvDQBCF70L/wzKCN7tpwRjSbkupCEIPaqwHb0N2&#10;mk3Nzsbs2qb/vnMQvM0wb95733I9+k6daIhtYAOzaQaKuA625cbA/uP5vgAVE7LFLjAZuFCE9Wpy&#10;s8TShjO/06lKjRITjiUacCn1pdaxduQxTkNPLLdDGDwmWYdG2wHPYu47Pc+yXHtsWRIc9rR1VH9X&#10;v97AW/W02eWz/PiF7me+az73xfE1M+budtwsQCUa07/47/vFSv3H4kEABEdm0Ks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Ee+YskAAADeAAAADwAAAAAAAAAAAAAAAACYAgAA&#10;ZHJzL2Rvd25yZXYueG1sUEsFBgAAAAAEAAQA9QAAAI4DAAAAAA==&#10;" path="m,l,10629e" filled="f" strokeweight=".05622mm">
                    <v:path arrowok="t" o:connecttype="custom" o:connectlocs="0,15;0,10644" o:connectangles="0,0"/>
                  </v:shape>
                </v:group>
                <v:group id="Group 9025" o:spid="_x0000_s1070" style="position:absolute;left:4356;top:15;width:2;height:10630" coordorigin="4356,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jh3HFAAAA3gAA&#10;AA8AAAAAAAAAAAAAAAAAqgIAAGRycy9kb3ducmV2LnhtbFBLBQYAAAAABAAEAPoAAACcAwAAAAA=&#10;">
                  <v:shape id="Freeform 9026" o:spid="_x0000_s1071" style="position:absolute;left:4356;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FjsYA&#10;AADeAAAADwAAAGRycy9kb3ducmV2LnhtbERPTWvCQBC9F/oflin0VjcGmoboKtIiFDzYRj14G7Jj&#10;Npqdjdmtxn/fLRS8zeN9znQ+2FZcqPeNYwXjUQKCuHK64VrBdrN8yUH4gKyxdUwKbuRhPnt8mGKh&#10;3ZW/6VKGWsQQ9gUqMCF0hZS+MmTRj1xHHLmD6y2GCPta6h6vMdy2Mk2STFpsODYY7OjdUHUqf6yC&#10;r/JjscrG2XGP5pyu6t02P64TpZ6fhsUERKAh3MX/7k8d57/lryn8vRNvkL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mFjsYAAADeAAAADwAAAAAAAAAAAAAAAACYAgAAZHJz&#10;L2Rvd25yZXYueG1sUEsFBgAAAAAEAAQA9QAAAIsDAAAAAA==&#10;" path="m,l,10629e" filled="f" strokeweight=".05622mm">
                    <v:path arrowok="t" o:connecttype="custom" o:connectlocs="0,15;0,10644" o:connectangles="0,0"/>
                  </v:shape>
                </v:group>
                <v:group id="Group 9023" o:spid="_x0000_s1072" style="position:absolute;left:4887;top:15;width:2;height:10630" coordorigin="4887,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28ncQAAADeAAAA&#10;DwAAAAAAAAAAAAAAAACqAgAAZHJzL2Rvd25yZXYueG1sUEsFBgAAAAAEAAQA+gAAAJsDAAAAAA==&#10;">
                  <v:shape id="Freeform 9024" o:spid="_x0000_s1073" style="position:absolute;left:4887;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y4YcYA&#10;AADeAAAADwAAAGRycy9kb3ducmV2LnhtbERPTWvCQBC9F/wPywi91Y1SY0hdRSwFwYNttIfehuw0&#10;G83Optmtxn/vCoXe5vE+Z77sbSPO1PnasYLxKAFBXDpdc6XgsH97ykD4gKyxcUwKruRhuRg8zDHX&#10;7sIfdC5CJWII+xwVmBDaXEpfGrLoR64ljty36yyGCLtK6g4vMdw2cpIkqbRYc2ww2NLaUHkqfq2C&#10;9+J1tU3H6fELzc9kW30esuMuUepx2K9eQATqw7/4z73Rcf4smz7D/Z14g1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3y4YcYAAADeAAAADwAAAAAAAAAAAAAAAACYAgAAZHJz&#10;L2Rvd25yZXYueG1sUEsFBgAAAAAEAAQA9QAAAIsDAAAAAA==&#10;" path="m,l,10629e" filled="f" strokeweight=".05622mm">
                    <v:path arrowok="t" o:connecttype="custom" o:connectlocs="0,15;0,10644" o:connectangles="0,0"/>
                  </v:shape>
                </v:group>
                <v:group id="Group 9021" o:spid="_x0000_s1074" style="position:absolute;left:5387;top:15;width:2;height:10630" coordorigin="5387,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9YgXLFAAAA3gAA&#10;AA8AAAAAAAAAAAAAAAAAqgIAAGRycy9kb3ducmV2LnhtbFBLBQYAAAAABAAEAPoAAACcAwAAAAA=&#10;">
                  <v:shape id="Freeform 9022" o:spid="_x0000_s1075" style="position:absolute;left:5387;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XNisgA&#10;AADeAAAADwAAAGRycy9kb3ducmV2LnhtbESPQUvDQBCF70L/wzIFb3aTgKHEbktRBKEHa1oP3obs&#10;mE3Nzsbs2qb/3jkI3maYN++9b7WZfK/ONMYusIF8kYEiboLtuDVwPDzfLUHFhGyxD0wGrhRhs57d&#10;rLCy4cJvdK5Tq8SEY4UGXEpDpXVsHHmMizAQy+0zjB6TrGOr7YgXMfe9LrKs1B47lgSHAz06ar7q&#10;H29gXz9td2Venj7QfRe79v24PL1mxtzOp+0DqERT+hf/fb9YqZ/fFwIgODKDXv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5c2KyAAAAN4AAAAPAAAAAAAAAAAAAAAAAJgCAABk&#10;cnMvZG93bnJldi54bWxQSwUGAAAAAAQABAD1AAAAjQMAAAAA&#10;" path="m,l,10629e" filled="f" strokeweight=".05622mm">
                    <v:path arrowok="t" o:connecttype="custom" o:connectlocs="0,15;0,10644" o:connectangles="0,0"/>
                  </v:shape>
                </v:group>
                <v:group id="Group 9019" o:spid="_x0000_s1076" style="position:absolute;left:5887;top:5391;width:2;height:5254" coordorigin="5887,5391" coordsize="2,52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cH0mcQAAADeAAAA&#10;DwAAAAAAAAAAAAAAAACqAgAAZHJzL2Rvd25yZXYueG1sUEsFBgAAAAAEAAQA+gAAAJsDAAAAAA==&#10;">
                  <v:shape id="Freeform 9020" o:spid="_x0000_s1077" style="position:absolute;left:5887;top:5391;width:2;height:5254;visibility:visible;mso-wrap-style:square;v-text-anchor:top" coordsize="2,52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nmyMQA&#10;AADeAAAADwAAAGRycy9kb3ducmV2LnhtbESPQWvCQBCF7wX/wzJCb3VjqKmkrlIsgteq4HXITrLB&#10;7Gy6u8b037sFwdsM78373qw2o+3EQD60jhXMZxkI4srplhsFp+PubQkiRGSNnWNS8EcBNuvJywpL&#10;7W78Q8MhNiKFcChRgYmxL6UMlSGLYeZ64qTVzluMafWN1B5vKdx2Ms+yQlpsOREM9rQ1VF0OV5u4&#10;9uLf+/Oy+D4Nv8VQ17toPjqlXqfj1yeISGN8mh/Xe53qzxd5Dv/vpBn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J5sjEAAAA3gAAAA8AAAAAAAAAAAAAAAAAmAIAAGRycy9k&#10;b3ducmV2LnhtbFBLBQYAAAAABAAEAPUAAACJAwAAAAA=&#10;" path="m,l,5253e" filled="f" strokeweight=".05622mm">
                    <v:path arrowok="t" o:connecttype="custom" o:connectlocs="0,5391;0,10644" o:connectangles="0,0"/>
                  </v:shape>
                </v:group>
                <v:group id="Group 9017" o:spid="_x0000_s1078" style="position:absolute;left:6386;top:5391;width:2;height:5254" coordorigin="6386,5391" coordsize="2,52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l/PdcQAAADeAAAA&#10;DwAAAAAAAAAAAAAAAACqAgAAZHJzL2Rvd25yZXYueG1sUEsFBgAAAAAEAAQA+gAAAJsDAAAAAA==&#10;">
                  <v:shape id="Freeform 9018" o:spid="_x0000_s1079" style="position:absolute;left:6386;top:5391;width:2;height:5254;visibility:visible;mso-wrap-style:square;v-text-anchor:top" coordsize="2,52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zbJ8QA&#10;AADeAAAADwAAAGRycy9kb3ducmV2LnhtbESPQWvCQBCF74X+h2UK3upG0VRSVxGL4LUa6HXITrLB&#10;7Gy6u43x37sFwdsM78373qy3o+3EQD60jhXMphkI4srplhsF5fnwvgIRIrLGzjEpuFGA7eb1ZY2F&#10;dlf+puEUG5FCOBSowMTYF1KGypDFMHU9cdJq5y3GtPpGao/XFG47Oc+yXFpsOREM9rQ3VF1OfzZx&#10;7cUv+p9V/lUOv/lQ14doPjqlJm/j7hNEpDE+zY/ro071Z8v5Av7fSTP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s2yfEAAAA3gAAAA8AAAAAAAAAAAAAAAAAmAIAAGRycy9k&#10;b3ducmV2LnhtbFBLBQYAAAAABAAEAPUAAACJAwAAAAA=&#10;" path="m,l,5253e" filled="f" strokeweight=".05622mm">
                    <v:path arrowok="t" o:connecttype="custom" o:connectlocs="0,5391;0,10644" o:connectangles="0,0"/>
                  </v:shape>
                </v:group>
                <v:group id="Group 9015" o:spid="_x0000_s1080" style="position:absolute;left:6886;top:15;width:2;height:646" coordorigin="6886,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vrymsQAAADeAAAA&#10;DwAAAAAAAAAAAAAAAACqAgAAZHJzL2Rvd25yZXYueG1sUEsFBgAAAAAEAAQA+gAAAJsDAAAAAA==&#10;">
                  <v:shape id="Freeform 9016" o:spid="_x0000_s1081" style="position:absolute;left:6886;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QIMQA&#10;AADeAAAADwAAAGRycy9kb3ducmV2LnhtbERP30vDMBB+F/wfwgl7c0mLq1KXFRUG24uyKoy9Hc3Z&#10;FptLSWLX/fdGEHy7j+/nravZDmIiH3rHGrKlAkHcONNzq+HjfXv7ACJEZIODY9JwoQDV5vpqjaVx&#10;Zz7QVMdWpBAOJWroYhxLKUPTkcWwdCNx4j6dtxgT9K00Hs8p3A4yV6qQFntODR2O9NJR81V/Ww1F&#10;pubjbtuf3vzd870qprFWr3utFzfz0yOISHP8F/+5dybNz1Z5Ab/vpBv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zUCDEAAAA3gAAAA8AAAAAAAAAAAAAAAAAmAIAAGRycy9k&#10;b3ducmV2LnhtbFBLBQYAAAAABAAEAPUAAACJAwAAAAA=&#10;" path="m,l,645e" filled="f" strokeweight=".05622mm">
                    <v:path arrowok="t" o:connecttype="custom" o:connectlocs="0,15;0,660" o:connectangles="0,0"/>
                  </v:shape>
                </v:group>
                <v:group id="Group 9013" o:spid="_x0000_s1082" style="position:absolute;left:6886;top:2559;width:2;height:559" coordorigin="6886,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ZMl2xgAAAN4A&#10;AAAPAAAAAAAAAAAAAAAAAKoCAABkcnMvZG93bnJldi54bWxQSwUGAAAAAAQABAD6AAAAnQMAAAAA&#10;">
                  <v:shape id="Freeform 9014" o:spid="_x0000_s1083" style="position:absolute;left:6886;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6iXsgA&#10;AADeAAAADwAAAGRycy9kb3ducmV2LnhtbESPQWvCQBCF7wX/wzKFXqRulFokuooUivXUmsb7NDsm&#10;sdnZkN3G+O+dQ8HbDO/Ne9+sNoNrVE9dqD0bmE4SUMSFtzWXBvLv9+cFqBCRLTaeycCVAmzWo4cV&#10;ptZf+EB9FkslIRxSNFDF2KZah6Iih2HiW2LRTr5zGGXtSm07vEi4a/QsSV61w5qlocKW3ioqfrM/&#10;Z+CwePk678e7+fG4z+Kp/8x3P+PcmKfHYbsEFWmId/P/9YcV/Ol8Jrzyjsyg1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qJeyAAAAN4AAAAPAAAAAAAAAAAAAAAAAJgCAABk&#10;cnMvZG93bnJldi54bWxQSwUGAAAAAAQABAD1AAAAjQMAAAAA&#10;" path="m,l,558e" filled="f" strokeweight=".05622mm">
                    <v:path arrowok="t" o:connecttype="custom" o:connectlocs="0,2559;0,3117" o:connectangles="0,0"/>
                  </v:shape>
                </v:group>
                <v:group id="Group 9011" o:spid="_x0000_s1084" style="position:absolute;left:6886;top:5060;width:2;height:515" coordorigin="6886,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t/ifxgAAAN4A&#10;AAAPAAAAAAAAAAAAAAAAAKoCAABkcnMvZG93bnJldi54bWxQSwUGAAAAAAQABAD6AAAAnQMAAAAA&#10;">
                  <v:shape id="Freeform 9012" o:spid="_x0000_s1085" style="position:absolute;left:6886;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pUwsgA&#10;AADeAAAADwAAAGRycy9kb3ducmV2LnhtbESPQUsDMRCF70L/QxjBm81WsS1r01ItiuBFu6XibdhM&#10;N0s3kyWJ7fbfOwfB2wzz5r33LVaD79SJYmoDG5iMC1DEdbAtNwZ21cvtHFTKyBa7wGTgQglWy9HV&#10;AksbzvxJp21ulJhwKtGAy7kvtU61I49pHHpiuR1C9JhljY22Ec9i7jt9VxRT7bFlSXDY07Oj+rj9&#10;8QZm1frgNrOn79dq6j8273Yfvy57Y26uh/UjqExD/hf/fb9ZqT95uBcAwZEZ9P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6elTCyAAAAN4AAAAPAAAAAAAAAAAAAAAAAJgCAABk&#10;cnMvZG93bnJldi54bWxQSwUGAAAAAAQABAD1AAAAjQMAAAAA&#10;" path="m,l,515e" filled="f" strokeweight=".05622mm">
                    <v:path arrowok="t" o:connecttype="custom" o:connectlocs="0,5060;0,5575" o:connectangles="0,0"/>
                  </v:shape>
                </v:group>
                <v:group id="Group 9009" o:spid="_x0000_s1086" style="position:absolute;left:6886;top:7826;width:2;height:2819" coordorigin="6886,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QYYkTFAAAA3gAA&#10;AA8AAAAAAAAAAAAAAAAAqgIAAGRycy9kb3ducmV2LnhtbFBLBQYAAAAABAAEAPoAAACcAwAAAAA=&#10;">
                  <v:shape id="Freeform 9010" o:spid="_x0000_s1087" style="position:absolute;left:6886;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yxicUA&#10;AADeAAAADwAAAGRycy9kb3ducmV2LnhtbERPTWvCQBC9C/6HZQq9SN2oWCR1FRUKCj0YbXueZsds&#10;anY2ZFeT/ntXEHqbx/uc+bKzlbhS40vHCkbDBARx7nTJhYLP4/vLDIQPyBorx6TgjzwsF/3eHFPt&#10;Ws7oegiFiCHsU1RgQqhTKX1uyKIfupo4cifXWAwRNoXUDbYx3FZynCSv0mLJscFgTRtD+flwsQo+&#10;uuOWZ9nXbr07tSb7qVa/g++9Us9P3eoNRKAu/Isf7q2O80fTyRju78Qb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jLGJxQAAAN4AAAAPAAAAAAAAAAAAAAAAAJgCAABkcnMv&#10;ZG93bnJldi54bWxQSwUGAAAAAAQABAD1AAAAigMAAAAA&#10;" path="m,l,2818e" filled="f" strokeweight=".05622mm">
                    <v:path arrowok="t" o:connecttype="custom" o:connectlocs="0,7826;0,10644" o:connectangles="0,0"/>
                  </v:shape>
                </v:group>
                <v:group id="Group 9007" o:spid="_x0000_s1088" style="position:absolute;left:7386;top:15;width:2;height:646" coordorigin="7386,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4ZZqMQAAADeAAAA&#10;DwAAAAAAAAAAAAAAAACqAgAAZHJzL2Rvd25yZXYueG1sUEsFBgAAAAAEAAQA+gAAAJsDAAAAAA==&#10;">
                  <v:shape id="Freeform 9008" o:spid="_x0000_s1089" style="position:absolute;left:7386;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T9EcUA&#10;AADeAAAADwAAAGRycy9kb3ducmV2LnhtbERP30vDMBB+F/wfwgl725LqrFKXDRUG88WxOhi+Hc3Z&#10;FptLSbKu++8XYeDbfXw/b7EabScG8qF1rCGbKRDElTMt1xr2X+vpM4gQkQ12jknDmQKslrc3CyyM&#10;O/GOhjLWIoVwKFBDE2NfSBmqhiyGmeuJE/fjvMWYoK+l8XhK4baT90rl0mLLqaHBnt4bqn7Lo9WQ&#10;Z2o8bNbt99bP355UPvSl+vzQenI3vr6AiDTGf/HVvTFpfvb4MIe/d9INcn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tP0RxQAAAN4AAAAPAAAAAAAAAAAAAAAAAJgCAABkcnMv&#10;ZG93bnJldi54bWxQSwUGAAAAAAQABAD1AAAAigMAAAAA&#10;" path="m,l,645e" filled="f" strokeweight=".05622mm">
                    <v:path arrowok="t" o:connecttype="custom" o:connectlocs="0,15;0,660" o:connectangles="0,0"/>
                  </v:shape>
                </v:group>
                <v:group id="Group 9005" o:spid="_x0000_s1090" style="position:absolute;left:7386;top:2559;width:2;height:559" coordorigin="7386,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yNkR8QAAADeAAAA&#10;DwAAAAAAAAAAAAAAAACqAgAAZHJzL2Rvd25yZXYueG1sUEsFBgAAAAAEAAQA+gAAAJsDAAAAAA==&#10;">
                  <v:shape id="Freeform 9006" o:spid="_x0000_s1091" style="position:absolute;left:7386;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QFasUA&#10;AADeAAAADwAAAGRycy9kb3ducmV2LnhtbERPS2vCQBC+C/6HZYRepG6sDyR1FSkU9aSm8T7Njklq&#10;djZk1xj/fbcg9DYf33OW685UoqXGlZYVjEcRCOLM6pJzBenX5+sChPPIGivLpOBBDtarfm+JsbZ3&#10;PlGb+FyEEHYxKii8r2MpXVaQQTeyNXHgLrYx6ANscqkbvIdwU8m3KJpLgyWHhgJr+igouyY3o+C0&#10;mB5/9sPt7HzeJ/7SHtLt9zBV6mXQbd5BeOr8v/jp3ukwfzybzOHvnXCD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9AVqxQAAAN4AAAAPAAAAAAAAAAAAAAAAAJgCAABkcnMv&#10;ZG93bnJldi54bWxQSwUGAAAAAAQABAD1AAAAigMAAAAA&#10;" path="m,l,558e" filled="f" strokeweight=".05622mm">
                    <v:path arrowok="t" o:connecttype="custom" o:connectlocs="0,2559;0,3117" o:connectangles="0,0"/>
                  </v:shape>
                </v:group>
                <v:group id="Group 9003" o:spid="_x0000_s1092" style="position:absolute;left:7386;top:5060;width:2;height:515" coordorigin="7386,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L1fq8QAAADeAAAA&#10;DwAAAAAAAAAAAAAAAACqAgAAZHJzL2Rvd25yZXYueG1sUEsFBgAAAAAEAAQA+gAAAJsDAAAAAA==&#10;">
                  <v:shape id="Freeform 9004" o:spid="_x0000_s1093" style="position:absolute;left:7386;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xYxMgA&#10;AADeAAAADwAAAGRycy9kb3ducmV2LnhtbESPQUsDMRCF70L/QxjBm81WsS1r01ItiuBFu6XibdhM&#10;N0s3kyWJ7fbfOwfB2wzvzXvfLFaD79SJYmoDG5iMC1DEdbAtNwZ21cvtHFTKyBa7wGTgQglWy9HV&#10;AksbzvxJp21ulIRwKtGAy7kvtU61I49pHHpi0Q4hesyyxkbbiGcJ952+K4qp9tiyNDjs6dlRfdz+&#10;eAOzan1wm9nT92s19R+bd7uPX5e9MTfXw/oRVKYh/5v/rt+s4E8e7oVX3pEZ9P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EDFjEyAAAAN4AAAAPAAAAAAAAAAAAAAAAAJgCAABk&#10;cnMvZG93bnJldi54bWxQSwUGAAAAAAQABAD1AAAAjQMAAAAA&#10;" path="m,l,515e" filled="f" strokeweight=".05622mm">
                    <v:path arrowok="t" o:connecttype="custom" o:connectlocs="0,5060;0,5575" o:connectangles="0,0"/>
                  </v:shape>
                </v:group>
                <v:group id="Group 9001" o:spid="_x0000_s1094" style="position:absolute;left:7386;top:7826;width:2;height:2819" coordorigin="7386,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m5uQsQAAADeAAAA&#10;DwAAAAAAAAAAAAAAAACqAgAAZHJzL2Rvd25yZXYueG1sUEsFBgAAAAAEAAQA+gAAAJsDAAAAAA==&#10;">
                  <v:shape id="Freeform 9002" o:spid="_x0000_s1095" style="position:absolute;left:7386;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T5GMkA&#10;AADeAAAADwAAAGRycy9kb3ducmV2LnhtbESPQWvCQBCF74X+h2UKvZS6sbRFoqtooaDQQ6Ot5zE7&#10;ZqPZ2ZDdmvTfdw4FbzPMm/feN1sMvlEX6mId2MB4lIEiLoOtuTLwtXt/nICKCdliE5gM/FKExfz2&#10;Zoa5DT0XdNmmSokJxxwNuJTaXOtYOvIYR6ElltsxdB6TrF2lbYe9mPtGP2XZq/ZYsyQ4bOnNUXne&#10;/ngDH8NuzZPie7PaHHtXHJrl6WH/acz93bCcgko0pKv4/3ttpf745VkABEdm0PM/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xT5GMkAAADeAAAADwAAAAAAAAAAAAAAAACYAgAA&#10;ZHJzL2Rvd25yZXYueG1sUEsFBgAAAAAEAAQA9QAAAI4DAAAAAA==&#10;" path="m,l,2818e" filled="f" strokeweight=".05622mm">
                    <v:path arrowok="t" o:connecttype="custom" o:connectlocs="0,7826;0,10644" o:connectangles="0,0"/>
                  </v:shape>
                </v:group>
                <v:group id="Group 8999" o:spid="_x0000_s1096" style="position:absolute;left:7886;top:15;width:2;height:646" coordorigin="7886,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weETnFAAAA3gAA&#10;AA8AAAAAAAAAAAAAAAAAqgIAAGRycy9kb3ducmV2LnhtbFBLBQYAAAAABAAEAPoAAACcAwAAAAA=&#10;">
                  <v:shape id="Freeform 9000" o:spid="_x0000_s1097" style="position:absolute;left:7886;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ezg8UA&#10;AADeAAAADwAAAGRycy9kb3ducmV2LnhtbERP30vDMBB+F/wfwgm+uaRjq6MuGzoYdC+KVRi+Hc3Z&#10;FptLSbK2/vdGEHy7j+/nbfez7cVIPnSONWQLBYK4dqbjRsP72/FuAyJEZIO9Y9LwTQH2u+urLRbG&#10;TfxKYxUbkUI4FKihjXEopAx1SxbDwg3Eift03mJM0DfSeJxSuO3lUqlcWuw4NbQ40KGl+qu6WA15&#10;puZzeew+Xvzq6V7l41Cp55PWtzfz4wOISHP8F/+5S5PmZ+vVEn7fSTf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F7ODxQAAAN4AAAAPAAAAAAAAAAAAAAAAAJgCAABkcnMv&#10;ZG93bnJldi54bWxQSwUGAAAAAAQABAD1AAAAigMAAAAA&#10;" path="m,l,645e" filled="f" strokeweight=".05622mm">
                    <v:path arrowok="t" o:connecttype="custom" o:connectlocs="0,15;0,660" o:connectangles="0,0"/>
                  </v:shape>
                </v:group>
                <v:group id="Group 8997" o:spid="_x0000_s1098" style="position:absolute;left:7886;top:2559;width:2;height:559" coordorigin="7886,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OAKtXFAAAA3gAA&#10;AA8AAAAAAAAAAAAAAAAAqgIAAGRycy9kb3ducmV2LnhtbFBLBQYAAAAABAAEAPoAAACcAwAAAAA=&#10;">
                  <v:shape id="Freeform 8998" o:spid="_x0000_s1099" style="position:absolute;left:7886;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xN+8UA&#10;AADeAAAADwAAAGRycy9kb3ducmV2LnhtbERPTWvCQBC9F/oflin0InWjRJHUVUQQ9WRN432aHZO0&#10;2dmQ3cb4711B8DaP9znzZW9q0VHrKssKRsMIBHFudcWFgux78zED4TyyxtoyKbiSg+Xi9WWOibYX&#10;PlKX+kKEEHYJKii9bxIpXV6SQTe0DXHgzrY16ANsC6lbvIRwU8txFE2lwYpDQ4kNrUvK/9J/o+A4&#10;i79+94Pt5HTap/7cHbLtzyBT6v2tX32C8NT7p/jh3ukwfzSJY7i/E26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bE37xQAAAN4AAAAPAAAAAAAAAAAAAAAAAJgCAABkcnMv&#10;ZG93bnJldi54bWxQSwUGAAAAAAQABAD1AAAAigMAAAAA&#10;" path="m,l,558e" filled="f" strokeweight=".05622mm">
                    <v:path arrowok="t" o:connecttype="custom" o:connectlocs="0,2559;0,3117" o:connectangles="0,0"/>
                  </v:shape>
                </v:group>
                <v:group id="Group 8995" o:spid="_x0000_s1100" style="position:absolute;left:7886;top:5060;width:2;height:515" coordorigin="7886,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MlFzrFAAAA3gAA&#10;AA8AAAAAAAAAAAAAAAAAqgIAAGRycy9kb3ducmV2LnhtbFBLBQYAAAAABAAEAPoAAACcAwAAAAA=&#10;">
                  <v:shape id="Freeform 8996" o:spid="_x0000_s1101" style="position:absolute;left:7886;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kaUMYA&#10;AADeAAAADwAAAGRycy9kb3ducmV2LnhtbERPTWsCMRC9C/0PYQreNGuxa9kaxSothV6sWyy9DZtx&#10;s3QzWZKo6783QqG3ebzPmS9724oT+dA4VjAZZyCIK6cbrhV8la+jJxAhImtsHZOCCwVYLu4Gcyy0&#10;O/MnnXaxFimEQ4EKTIxdIWWoDFkMY9cRJ+7gvMWYoK+l9nhO4baVD1mWS4sNpwaDHa0NVb+7o1Uw&#10;K1cHs5m9/LyVud1uPvTef1/2Sg3v+9UziEh9/Bf/ud91mj95nOZweyfdI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kaUMYAAADeAAAADwAAAAAAAAAAAAAAAACYAgAAZHJz&#10;L2Rvd25yZXYueG1sUEsFBgAAAAAEAAQA9QAAAIsDAAAAAA==&#10;" path="m,l,515e" filled="f" strokeweight=".05622mm">
                    <v:path arrowok="t" o:connecttype="custom" o:connectlocs="0,5060;0,5575" o:connectangles="0,0"/>
                  </v:shape>
                </v:group>
                <v:group id="Group 8993" o:spid="_x0000_s1102" style="position:absolute;left:7886;top:7826;width:2;height:2819" coordorigin="7886,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y7LNbFAAAA3gAA&#10;AA8AAAAAAAAAAAAAAAAAqgIAAGRycy9kb3ducmV2LnhtbFBLBQYAAAAABAAEAPoAAACcAwAAAAA=&#10;">
                  <v:shape id="Freeform 8994" o:spid="_x0000_s1103" style="position:absolute;left:7886;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L1HskA&#10;AADeAAAADwAAAGRycy9kb3ducmV2LnhtbESPQWvCQBCF74X+h2UKvZS6sbRFoqtooaDQQ6Ot5zE7&#10;ZqPZ2ZDdmvTfdw4FbzO8N+99M1sMvlEX6mId2MB4lIEiLoOtuTLwtXt/nICKCdliE5gM/FKExfz2&#10;Zoa5DT0XdNmmSkkIxxwNuJTaXOtYOvIYR6ElFu0YOo9J1q7StsNewn2jn7LsVXusWRoctvTmqDxv&#10;f7yBj2G35knxvVltjr0rDs3y9LD/NOb+blhOQSUa0tX8f722gj9+eRZeeUdm0PM/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WL1HskAAADeAAAADwAAAAAAAAAAAAAAAACYAgAA&#10;ZHJzL2Rvd25yZXYueG1sUEsFBgAAAAAEAAQA9QAAAI4DAAAAAA==&#10;" path="m,l,2818e" filled="f" strokeweight=".05622mm">
                    <v:path arrowok="t" o:connecttype="custom" o:connectlocs="0,7826;0,10644" o:connectangles="0,0"/>
                  </v:shape>
                </v:group>
                <v:group id="Group 8991" o:spid="_x0000_s1104" style="position:absolute;left:8385;top:15;width:2;height:646" coordorigin="8385,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JoHT/FAAAA3gAA&#10;AA8AAAAAAAAAAAAAAAAAqgIAAGRycy9kb3ducmV2LnhtbFBLBQYAAAAABAAEAPoAAACcAwAAAAA=&#10;">
                  <v:shape id="Freeform 8992" o:spid="_x0000_s1105" style="position:absolute;left:8385;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AesscA&#10;AADeAAAADwAAAGRycy9kb3ducmV2LnhtbESPQUvDQBCF70L/wzIFb3Y3YqPEbosKhfaiGAXxNmTH&#10;JJidDbtrGv995yB4m2HevPe+zW72g5oopj6whWJlQBE3wfXcWnh/21/dgUoZ2eEQmCz8UoLddnGx&#10;wcqFE7/SVOdWiQmnCi10OY+V1qnpyGNahZFYbl8hesyyxla7iCcx94O+NqbUHnuWhA5Heuqo+a5/&#10;vIWyMPPHYd9/vsSbx1tTTmNtno/WXi7nh3tQmeb8L/77PjipX6zXAiA4MoPen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9QHrLHAAAA3gAAAA8AAAAAAAAAAAAAAAAAmAIAAGRy&#10;cy9kb3ducmV2LnhtbFBLBQYAAAAABAAEAPUAAACMAwAAAAA=&#10;" path="m,l,645e" filled="f" strokeweight=".05622mm">
                    <v:path arrowok="t" o:connecttype="custom" o:connectlocs="0,15;0,660" o:connectangles="0,0"/>
                  </v:shape>
                </v:group>
                <v:group id="Group 8989" o:spid="_x0000_s1106" style="position:absolute;left:8385;top:2559;width:2;height:559" coordorigin="8385,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b8gefFAAAA3gAA&#10;AA8AAAAAAAAAAAAAAAAAqgIAAGRycy9kb3ducmV2LnhtbFBLBQYAAAAABAAEAPoAAACcAwAAAAA=&#10;">
                  <v:shape id="Freeform 8990" o:spid="_x0000_s1107" style="position:absolute;left:8385;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vgysUA&#10;AADeAAAADwAAAGRycy9kb3ducmV2LnhtbERPTWvCQBC9F/oflin0InWjGJHUVUQQ9WRN432aHZO0&#10;2dmQ3cb4711B8DaP9znzZW9q0VHrKssKRsMIBHFudcWFgux78zED4TyyxtoyKbiSg+Xi9WWOibYX&#10;PlKX+kKEEHYJKii9bxIpXV6SQTe0DXHgzrY16ANsC6lbvIRwU8txFE2lwYpDQ4kNrUvK/9J/o+A4&#10;m3z97gfb+HTap/7cHbLtzyBT6v2tX32C8NT7p/jh3ukwfxTHU7i/E26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K+DKxQAAAN4AAAAPAAAAAAAAAAAAAAAAAJgCAABkcnMv&#10;ZG93bnJldi54bWxQSwUGAAAAAAQABAD1AAAAigMAAAAA&#10;" path="m,l,558e" filled="f" strokeweight=".05622mm">
                    <v:path arrowok="t" o:connecttype="custom" o:connectlocs="0,2559;0,3117" o:connectangles="0,0"/>
                  </v:shape>
                </v:group>
                <v:group id="Group 8987" o:spid="_x0000_s1108" style="position:absolute;left:8385;top:5060;width:2;height:515" coordorigin="8385,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liugvFAAAA3gAA&#10;AA8AAAAAAAAAAAAAAAAAqgIAAGRycy9kb3ducmV2LnhtbFBLBQYAAAAABAAEAPoAAACcAwAAAAA=&#10;">
                  <v:shape id="Freeform 8988" o:spid="_x0000_s1109" style="position:absolute;left:8385;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O9ZMgA&#10;AADeAAAADwAAAGRycy9kb3ducmV2LnhtbESPQUsDMRCF74L/IUzBm81WaCtr01ItitCLdqXibdhM&#10;N0s3kyWJ7fbfO4eCtxnem/e+WawG36kTxdQGNjAZF6CI62Bbbgx8Va/3j6BSRrbYBSYDF0qwWt7e&#10;LLC04cyfdNrlRkkIpxINuJz7UutUO/KYxqEnFu0Qoscsa2y0jXiWcN/ph6KYaY8tS4PDnl4c1cfd&#10;rzcwr9YHt5k//7xVM/+x2dp9/L7sjbkbDesnUJmG/G++Xr9bwZ9Mp8Ir78gMevk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071kyAAAAN4AAAAPAAAAAAAAAAAAAAAAAJgCAABk&#10;cnMvZG93bnJldi54bWxQSwUGAAAAAAQABAD1AAAAjQMAAAAA&#10;" path="m,l,515e" filled="f" strokeweight=".05622mm">
                    <v:path arrowok="t" o:connecttype="custom" o:connectlocs="0,5060;0,5575" o:connectangles="0,0"/>
                  </v:shape>
                </v:group>
                <v:group id="Group 8985" o:spid="_x0000_s1110" style="position:absolute;left:8385;top:7826;width:2;height:2819" coordorigin="8385,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exi+LFAAAA3gAA&#10;AA8AAAAAAAAAAAAAAAAAqgIAAGRycy9kb3ducmV2LnhtbFBLBQYAAAAABAAEAPoAAACcAwAAAAA=&#10;">
                  <v:shape id="Freeform 8986" o:spid="_x0000_s1111" style="position:absolute;left:8385;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GleMgA&#10;AADeAAAADwAAAGRycy9kb3ducmV2LnhtbESPQWvCQBCF7wX/wzJCL0U3FiqSuootFBR6aLT1PM2O&#10;2Wh2NmS3Jv33nUPB2wzz5r33LdeDb9SVulgHNjCbZqCIy2Brrgx8Ht4mC1AxIVtsApOBX4qwXo3u&#10;lpjb0HNB132qlJhwzNGAS6nNtY6lI49xGlpiuZ1C5zHJ2lXadtiLuW/0Y5bNtceaJcFhS6+Oysv+&#10;xxt4Hw5bXhRfu5fdqXfFd7M5Pxw/jLkfD5tnUImGdBP/f2+t1J89zQVAcGQGvfo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oaV4yAAAAN4AAAAPAAAAAAAAAAAAAAAAAJgCAABk&#10;cnMvZG93bnJldi54bWxQSwUGAAAAAAQABAD1AAAAjQMAAAAA&#10;" path="m,l,2818e" filled="f" strokeweight=".05622mm">
                    <v:path arrowok="t" o:connecttype="custom" o:connectlocs="0,7826;0,10644" o:connectangles="0,0"/>
                  </v:shape>
                </v:group>
                <v:group id="Group 8983" o:spid="_x0000_s1112" style="position:absolute;left:8885;top:15;width:2;height:646" coordorigin="8885,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16tNWcQAAADeAAAA&#10;DwAAAAAAAAAAAAAAAACqAgAAZHJzL2Rvd25yZXYueG1sUEsFBgAAAAAEAAQA+gAAAJsDAAAAAA==&#10;">
                  <v:shape id="Freeform 8984" o:spid="_x0000_s1113" style="position:absolute;left:8885;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v48QA&#10;AADeAAAADwAAAGRycy9kb3ducmV2LnhtbERP30vDMBB+F/wfwgl7c0mLq1KXFRUG24uyKoy9Hc3Z&#10;FptLSWLX/fdGEHy7j+/nravZDmIiH3rHGrKlAkHcONNzq+HjfXv7ACJEZIODY9JwoQDV5vpqjaVx&#10;Zz7QVMdWpBAOJWroYhxLKUPTkcWwdCNx4j6dtxgT9K00Hs8p3A4yV6qQFntODR2O9NJR81V/Ww1F&#10;pubjbtuf3vzd870qprFWr3utFzfz0yOISHP8F/+5dybNz1ZFDr/vpBv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i7+PEAAAA3gAAAA8AAAAAAAAAAAAAAAAAmAIAAGRycy9k&#10;b3ducmV2LnhtbFBLBQYAAAAABAAEAPUAAACJAwAAAAA=&#10;" path="m,l,645e" filled="f" strokeweight=".05622mm">
                    <v:path arrowok="t" o:connecttype="custom" o:connectlocs="0,15;0,660" o:connectangles="0,0"/>
                  </v:shape>
                </v:group>
                <v:group id="Group 8981" o:spid="_x0000_s1114" style="position:absolute;left:8885;top:2559;width:2;height:559" coordorigin="8885,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DV2tcQAAADeAAAA&#10;DwAAAAAAAAAAAAAAAACqAgAAZHJzL2Rvd25yZXYueG1sUEsFBgAAAAAEAAQA+gAAAJsDAAAAAA==&#10;">
                  <v:shape id="Freeform 8982" o:spid="_x0000_s1115" style="position:absolute;left:8885;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kRm8UA&#10;AADeAAAADwAAAGRycy9kb3ducmV2LnhtbERPTWvCQBC9F/wPyxR6kbqxqIToKlIo1pM1xvs0Oyax&#10;2dmQ3cb4711B8DaP9zmLVW9q0VHrKssKxqMIBHFudcWFguzw9R6DcB5ZY22ZFFzJwWo5eFlgou2F&#10;99SlvhAhhF2CCkrvm0RKl5dk0I1sQxy4k20N+gDbQuoWLyHc1PIjimbSYMWhocSGPkvK/9J/o2Af&#10;T37O2+FmejxuU3/qdtnmd5gp9fbar+cgPPX+KX64v3WYP57OJnB/J9w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2RGbxQAAAN4AAAAPAAAAAAAAAAAAAAAAAJgCAABkcnMv&#10;ZG93bnJldi54bWxQSwUGAAAAAAQABAD1AAAAigMAAAAA&#10;" path="m,l,558e" filled="f" strokeweight=".05622mm">
                    <v:path arrowok="t" o:connecttype="custom" o:connectlocs="0,2559;0,3117" o:connectangles="0,0"/>
                  </v:shape>
                </v:group>
                <v:group id="Group 8979" o:spid="_x0000_s1116" style="position:absolute;left:8885;top:5060;width:2;height:515" coordorigin="8885,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JBLWsQAAADeAAAA&#10;DwAAAAAAAAAAAAAAAACqAgAAZHJzL2Rvd25yZXYueG1sUEsFBgAAAAAEAAQA+gAAAJsDAAAAAA==&#10;">
                  <v:shape id="Freeform 8980" o:spid="_x0000_s1117" style="position:absolute;left:8885;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xGMMUA&#10;AADeAAAADwAAAGRycy9kb3ducmV2LnhtbERPTWsCMRC9F/ofwhR6q1kLXWU1iq20FLyoK4q3YTNu&#10;lm4mS5Lq+u+NUOhtHu9zpvPetuJMPjSOFQwHGQjiyumGawW78vNlDCJEZI2tY1JwpQDz2ePDFAvt&#10;Lryh8zbWIoVwKFCBibErpAyVIYth4DrixJ2ctxgT9LXUHi8p3LbyNctyabHh1GCwow9D1c/21yoY&#10;lYuTWY7ej19lbtfLld77w3Wv1PNTv5iAiNTHf/Gf+1un+cO3PIf7O+kGOb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bEYwxQAAAN4AAAAPAAAAAAAAAAAAAAAAAJgCAABkcnMv&#10;ZG93bnJldi54bWxQSwUGAAAAAAQABAD1AAAAigMAAAAA&#10;" path="m,l,515e" filled="f" strokeweight=".05622mm">
                    <v:path arrowok="t" o:connecttype="custom" o:connectlocs="0,5060;0,5575" o:connectangles="0,0"/>
                  </v:shape>
                </v:group>
                <v:group id="Group 8977" o:spid="_x0000_s1118" style="position:absolute;left:8885;top:7826;width:2;height:2819" coordorigin="8885,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cOcLbFAAAA3gAA&#10;AA8AAAAAAAAAAAAAAAAAqgIAAGRycy9kb3ducmV2LnhtbFBLBQYAAAAABAAEAPoAAACcAwAAAAA=&#10;">
                  <v:shape id="Freeform 8978" o:spid="_x0000_s1119" style="position:absolute;left:8885;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pfsgA&#10;AADeAAAADwAAAGRycy9kb3ducmV2LnhtbESPQWvCQBCF7wX/wzJCL0U3FiqSuootFBR6aLT1PM2O&#10;2Wh2NmS3Jv33nUPB2wzvzXvfLNeDb9SVulgHNjCbZqCIy2Brrgx8Ht4mC1AxIVtsApOBX4qwXo3u&#10;lpjb0HNB132qlIRwzNGAS6nNtY6lI49xGlpi0U6h85hk7SptO+wl3Df6Mcvm2mPN0uCwpVdH5WX/&#10;4w28D4ctL4qv3cvu1Lviu9mcH44fxtyPh80zqERDupn/r7dW8GdPc+GVd2QGvfo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616l+yAAAAN4AAAAPAAAAAAAAAAAAAAAAAJgCAABk&#10;cnMvZG93bnJldi54bWxQSwUGAAAAAAQABAD1AAAAjQMAAAAA&#10;" path="m,l,2818e" filled="f" strokeweight=".05622mm">
                    <v:path arrowok="t" o:connecttype="custom" o:connectlocs="0,7826;0,10644" o:connectangles="0,0"/>
                  </v:shape>
                </v:group>
                <v:group id="Group 8975" o:spid="_x0000_s1120" style="position:absolute;left:9385;top:15;width:2;height:646" coordorigin="9385,15" coordsize="2,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ndQV/FAAAA3gAA&#10;AA8AAAAAAAAAAAAAAAAAqgIAAGRycy9kb3ducmV2LnhtbFBLBQYAAAAABAAEAPoAAACcAwAAAAA=&#10;">
                  <v:shape id="Freeform 8976" o:spid="_x0000_s1121" style="position:absolute;left:9385;top:15;width:2;height:646;visibility:visible;mso-wrap-style:square;v-text-anchor:top" coordsize="2,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VC0scA&#10;AADeAAAADwAAAGRycy9kb3ducmV2LnhtbESPQUvDQBCF70L/wzJCb3Y3UlOJ3ZYqFOpFMQribciO&#10;STA7G3bXNP575yB4m2HevPe+7X72g5oopj6whWJlQBE3wfXcWnh7PV7dgkoZ2eEQmCz8UIL9bnGx&#10;xcqFM7/QVOdWiQmnCi10OY+V1qnpyGNahZFYbp8hesyyxla7iGcx94O+NqbUHnuWhA5Heuio+aq/&#10;vYWyMPP76dh/PMf1/caU01ibp0drl5fz4Q5Upjn/i/++T07qFzcbARAcmUHv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TlQtLHAAAA3gAAAA8AAAAAAAAAAAAAAAAAmAIAAGRy&#10;cy9kb3ducmV2LnhtbFBLBQYAAAAABAAEAPUAAACMAwAAAAA=&#10;" path="m,l,645e" filled="f" strokeweight=".05622mm">
                    <v:path arrowok="t" o:connecttype="custom" o:connectlocs="0,15;0,660" o:connectangles="0,0"/>
                  </v:shape>
                </v:group>
                <v:group id="Group 8973" o:spid="_x0000_s1122" style="position:absolute;left:9385;top:2559;width:2;height:559" coordorigin="9385,2559" coordsize="2,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nLbhMQAAADeAAAA&#10;DwAAAAAAAAAAAAAAAACqAgAAZHJzL2Rvd25yZXYueG1sUEsFBgAAAAAEAAQA+gAAAJsDAAAAAA==&#10;">
                  <v:shape id="Freeform 8974" o:spid="_x0000_s1123" style="position:absolute;left:9385;top:2559;width:2;height:559;visibility:visible;mso-wrap-style:square;v-text-anchor:top" coordsize="2,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W6qcUA&#10;AADeAAAADwAAAGRycy9kb3ducmV2LnhtbERPTWvCQBC9C/6HZYRepG6UaiV1FRHEelLTeJ9mxyQ1&#10;Oxuy2xj/fVcoeJvH+5zFqjOVaKlxpWUF41EEgjizuuRcQfq1fZ2DcB5ZY2WZFNzJwWrZ7y0w1vbG&#10;J2oTn4sQwi5GBYX3dSylywoy6Ea2Jg7cxTYGfYBNLnWDtxBuKjmJopk0WHJoKLCmTUHZNfk1Ck7z&#10;t+PPfribns/7xF/aQ7r7HqZKvQy69QcIT51/iv/dnzrMH0/fJ/B4J9w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pbqpxQAAAN4AAAAPAAAAAAAAAAAAAAAAAJgCAABkcnMv&#10;ZG93bnJldi54bWxQSwUGAAAAAAQABAD1AAAAigMAAAAA&#10;" path="m,l,558e" filled="f" strokeweight=".05622mm">
                    <v:path arrowok="t" o:connecttype="custom" o:connectlocs="0,2559;0,3117" o:connectangles="0,0"/>
                  </v:shape>
                </v:group>
                <v:group id="Group 8971" o:spid="_x0000_s1124" style="position:absolute;left:9385;top:5060;width:2;height:515" coordorigin="9385,5060" coordsize="2,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ezgaMQAAADeAAAA&#10;DwAAAAAAAAAAAAAAAACqAgAAZHJzL2Rvd25yZXYueG1sUEsFBgAAAAAEAAQA+gAAAJsDAAAAAA==&#10;">
                  <v:shape id="Freeform 8972" o:spid="_x0000_s1125" style="position:absolute;left:9385;top:5060;width:2;height:515;visibility:visible;mso-wrap-style:square;v-text-anchor:top" coordsize="2,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vrAcYA&#10;AADeAAAADwAAAGRycy9kb3ducmV2LnhtbERPTWsCMRC9C/0PYQreNGuxbtkaxSothV6sWyy9DZtx&#10;s3QzWZKo6783QqG3ebzPmS9724oT+dA4VjAZZyCIK6cbrhV8la+jJxAhImtsHZOCCwVYLu4Gcyy0&#10;O/MnnXaxFimEQ4EKTIxdIWWoDFkMY9cRJ+7gvMWYoK+l9nhO4baVD1k2kxYbTg0GO1obqn53R6sg&#10;L1cHs8lfft7Kmd1uPvTef1/2Sg3v+9UziEh9/Bf/ud91mj95zKdweyfdI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vrAcYAAADeAAAADwAAAAAAAAAAAAAAAACYAgAAZHJz&#10;L2Rvd25yZXYueG1sUEsFBgAAAAAEAAQA9QAAAIsDAAAAAA==&#10;" path="m,l,515e" filled="f" strokeweight=".05622mm">
                    <v:path arrowok="t" o:connecttype="custom" o:connectlocs="0,5060;0,5575" o:connectangles="0,0"/>
                  </v:shape>
                </v:group>
                <v:group id="Group 8969" o:spid="_x0000_s1126" style="position:absolute;left:9385;top:7826;width:2;height:2819" coordorigin="9385,7826" coordsize="2,2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1J3YfFAAAA3gAA&#10;AA8AAAAAAAAAAAAAAAAAqgIAAGRycy9kb3ducmV2LnhtbFBLBQYAAAAABAAEAPoAAACcAwAAAAA=&#10;">
                  <v:shape id="Freeform 8970" o:spid="_x0000_s1127" style="position:absolute;left:9385;top:7826;width:2;height:2819;visibility:visible;mso-wrap-style:square;v-text-anchor:top" coordsize="2,28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0OSsYA&#10;AADeAAAADwAAAGRycy9kb3ducmV2LnhtbERPTWvCQBC9C/0PywhepG4s1ErqKioUFHowpu15mh2z&#10;sdnZkF1N+u/dgtDbPN7nLFa9rcWVWl85VjCdJCCIC6crLhV85G+PcxA+IGusHZOCX/KwWj4MFphq&#10;13FG12MoRQxhn6ICE0KTSukLQxb9xDXEkTu51mKIsC2lbrGL4baWT0kykxYrjg0GG9oaKn6OF6vg&#10;vc93PM8+95v9qTPZd70+j78OSo2G/foVRKA+/Ivv7p2O86fPLzP4eyfe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d0OSsYAAADeAAAADwAAAAAAAAAAAAAAAACYAgAAZHJz&#10;L2Rvd25yZXYueG1sUEsFBgAAAAAEAAQA9QAAAIsDAAAAAA==&#10;" path="m,l,2818e" filled="f" strokeweight=".05622mm">
                    <v:path arrowok="t" o:connecttype="custom" o:connectlocs="0,7826;0,10644" o:connectangles="0,0"/>
                  </v:shape>
                </v:group>
                <v:group id="Group 8967" o:spid="_x0000_s1128" style="position:absolute;left:9885;top:15;width:2;height:10630" coordorigin="9885,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tfma8QAAADeAAAA&#10;DwAAAAAAAAAAAAAAAACqAgAAZHJzL2Rvd25yZXYueG1sUEsFBgAAAAAEAAQA+gAAAJsDAAAAAA==&#10;">
                  <v:shape id="Freeform 8968" o:spid="_x0000_s1129" style="position:absolute;left:9885;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xLCsYA&#10;AADeAAAADwAAAGRycy9kb3ducmV2LnhtbERPTWvCQBC9C/6HZQredBOhqU1dRZSC4KE1tYfehuw0&#10;G5udjdlV47/vFgre5vE+Z77sbSMu1PnasYJ0koAgLp2uuVJw+Hgdz0D4gKyxcUwKbuRhuRgO5phr&#10;d+U9XYpQiRjCPkcFJoQ2l9KXhiz6iWuJI/ftOoshwq6SusNrDLeNnCZJJi3WHBsMtrQ2VP4UZ6vg&#10;vdisdlmaHb/QnKa76vMwO74lSo0e+tULiEB9uIv/3Vsd56ePT8/w9068QS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2xLCsYAAADeAAAADwAAAAAAAAAAAAAAAACYAgAAZHJz&#10;L2Rvd25yZXYueG1sUEsFBgAAAAAEAAQA9QAAAIsDAAAAAA==&#10;" path="m,l,10629e" filled="f" strokeweight=".05622mm">
                    <v:path arrowok="t" o:connecttype="custom" o:connectlocs="0,15;0,10644" o:connectangles="0,0"/>
                  </v:shape>
                </v:group>
                <v:group id="Group 8965" o:spid="_x0000_s1130" style="position:absolute;left:10384;top:15;width:2;height:10630" coordorigin="10384,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OsOOMcAAADe&#10;AAAADwAAAAAAAAAAAAAAAACqAgAAZHJzL2Rvd25yZXYueG1sUEsFBgAAAAAEAAQA+gAAAJ4DAAAA&#10;AA==&#10;">
                  <v:shape id="Freeform 8966" o:spid="_x0000_s1131" style="position:absolute;left:10384;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83K8UA&#10;AADeAAAADwAAAGRycy9kb3ducmV2LnhtbERPTWvCQBC9C/0PyxR6002EhpC6ilQEwUM1tYfehuw0&#10;G5udjdmtxn/vCkJv83ifM1sMthVn6n3jWEE6SUAQV043XCs4fK7HOQgfkDW2jknBlTws5k+jGRba&#10;XXhP5zLUIoawL1CBCaErpPSVIYt+4jriyP243mKIsK+l7vESw20rp0mSSYsNxwaDHb0bqn7LP6tg&#10;V66W2yzNjt9oTtNt/XXIjx+JUi/Pw/INRKAh/Isf7o2O89PXPIX7O/EG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zzcrxQAAAN4AAAAPAAAAAAAAAAAAAAAAAJgCAABkcnMv&#10;ZG93bnJldi54bWxQSwUGAAAAAAQABAD1AAAAigMAAAAA&#10;" path="m,l,10629e" filled="f" strokeweight=".05622mm">
                    <v:path arrowok="t" o:connecttype="custom" o:connectlocs="0,15;0,10644" o:connectangles="0,0"/>
                  </v:shape>
                </v:group>
                <v:group id="Group 8963" o:spid="_x0000_s1132" style="position:absolute;left:10883;top:15;width:2;height:10630" coordorigin="10883,15" coordsize="2,106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3U11MQAAADeAAAA&#10;DwAAAAAAAAAAAAAAAACqAgAAZHJzL2Rvd25yZXYueG1sUEsFBgAAAAAEAAQA+gAAAJsDAAAAAA==&#10;">
                  <v:shape id="Freeform 8964" o:spid="_x0000_s1133" style="position:absolute;left:10883;top:15;width:2;height:10630;visibility:visible;mso-wrap-style:square;v-text-anchor:top" coordsize="2,10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jqjMUA&#10;AADeAAAADwAAAGRycy9kb3ducmV2LnhtbERP32vCMBB+F/wfwgm+yEzrWHGdUUQUJgzG3PZ+NLem&#10;W3MpTWqrf70ZDPZ2H9/PW20GW4sztb5yrCCdJyCIC6crLhV8vB/uliB8QNZYOyYFF/KwWY9HK8y1&#10;6/mNzqdQihjCPkcFJoQml9IXhiz6uWuII/flWoshwraUusU+httaLpIkkxYrjg0GG9oZKn5OnVXQ&#10;fV+Pwyu+ZN12Zh6bPv3c77Naqelk2D6BCDSEf/Gf+1nH+enD8h5+34k3yP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COqMxQAAAN4AAAAPAAAAAAAAAAAAAAAAAJgCAABkcnMv&#10;ZG93bnJldi54bWxQSwUGAAAAAAQABAD1AAAAigMAAAAA&#10;" path="m,l,10629e" filled="f" strokeweight=".20278mm">
                    <v:path arrowok="t" o:connecttype="custom" o:connectlocs="0,15;0,10644" o:connectangles="0,0"/>
                  </v:shape>
                </v:group>
                <v:group id="Group 8961" o:spid="_x0000_s1134" style="position:absolute;left:15;top:137;width:10870;height:2" coordorigin="15,137"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4ofBcQAAADeAAAA&#10;DwAAAAAAAAAAAAAAAACqAgAAZHJzL2Rvd25yZXYueG1sUEsFBgAAAAAEAAQA+gAAAJsDAAAAAA==&#10;">
                  <v:shape id="Freeform 8962" o:spid="_x0000_s1135" style="position:absolute;left:15;top:137;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8EPMEA&#10;AADeAAAADwAAAGRycy9kb3ducmV2LnhtbERPTYvCMBC9C/sfwix401RFK9UorqDI3nTX+9iMabGZ&#10;dJuo9d9vBMHbPN7nzJetrcSNGl86VjDoJyCIc6dLNgp+fza9KQgfkDVWjknBgzwsFx+dOWba3XlP&#10;t0MwIoawz1BBEUKdSenzgiz6vquJI3d2jcUQYWOkbvAew20lh0kykRZLjg0F1rQuKL8crlbB6bJJ&#10;Q3tc8Wk0Ml/bb+tN9Zcr1f1sVzMQgdrwFr/cOx3np9NxCs934g1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hfBDzBAAAA3gAAAA8AAAAAAAAAAAAAAAAAmAIAAGRycy9kb3du&#10;cmV2LnhtbFBLBQYAAAAABAAEAPUAAACGAwAAAAA=&#10;" path="m,l10870,e" filled="f" strokeweight=".05619mm">
                    <v:path arrowok="t" o:connecttype="custom" o:connectlocs="0,0;10870,0" o:connectangles="0,0"/>
                  </v:shape>
                </v:group>
                <v:group id="Group 8959" o:spid="_x0000_s1136" style="position:absolute;left:15;top:260;width:10870;height:2" coordorigin="15,260"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FZLuzIAAAA&#10;3gAAAA8AAAAAAAAAAAAAAAAAqgIAAGRycy9kb3ducmV2LnhtbFBLBQYAAAAABAAEAPoAAACfAwAA&#10;AAA=&#10;">
                  <v:shape id="Freeform 8960" o:spid="_x0000_s1137" style="position:absolute;left:15;top:260;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w11cIA&#10;AADeAAAADwAAAGRycy9kb3ducmV2LnhtbERPS4vCMBC+C/sfwizsTdNd8VWNoguKeNNd72MzpsVm&#10;Upuo9d8bQfA2H99zJrPGluJKtS8cK/juJCCIM6cLNgr+/5btIQgfkDWWjknBnTzMph+tCaba3XhL&#10;110wIoawT1FBHkKVSumznCz6jquII3d0tcUQYW2krvEWw20pf5KkLy0WHBtyrOg3p+y0u1gFh9Ny&#10;EJr9nA/drlmsNtab8pwp9fXZzMcgAjXhLX651zrOHwx7I3i+E2+Q0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jDXVwgAAAN4AAAAPAAAAAAAAAAAAAAAAAJgCAABkcnMvZG93&#10;bnJldi54bWxQSwUGAAAAAAQABAD1AAAAhwMAAAAA&#10;" path="m,l10870,e" filled="f" strokeweight=".05619mm">
                    <v:path arrowok="t" o:connecttype="custom" o:connectlocs="0,0;10870,0" o:connectangles="0,0"/>
                  </v:shape>
                </v:group>
                <v:group id="Group 8957" o:spid="_x0000_s1138" style="position:absolute;left:15;top:382;width:10870;height:2" coordorigin="15,382"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BFD6FfIAAAA&#10;3gAAAA8AAAAAAAAAAAAAAAAAqgIAAGRycy9kb3ducmV2LnhtbFBLBQYAAAAABAAEAPoAAACfAwAA&#10;AAA=&#10;">
                  <v:shape id="Freeform 8958" o:spid="_x0000_s1139" style="position:absolute;left:15;top:382;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bzbsAA&#10;AADeAAAADwAAAGRycy9kb3ducmV2LnhtbERPy6rCMBDdC/5DGOHuNPUKKtUoKngRd772YzOmxWZS&#10;m1ytf28Ewd0cznOm88aW4k61Lxwr6PcSEMSZ0wUbBcfDujsG4QOyxtIxKXiSh/ms3Zpiqt2Dd3Tf&#10;ByNiCPsUFeQhVKmUPsvJou+5ijhyF1dbDBHWRuoaHzHclvI3SYbSYsGxIceKVjll1/2/VXC+rkeh&#10;OS34PBiY5d/WelPeMqV+Os1iAiJQE77ij3uj4/zReNiH9zvxBj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pbzbsAAAADeAAAADwAAAAAAAAAAAAAAAACYAgAAZHJzL2Rvd25y&#10;ZXYueG1sUEsFBgAAAAAEAAQA9QAAAIUDAAAAAA==&#10;" path="m,l10870,e" filled="f" strokeweight=".05619mm">
                    <v:path arrowok="t" o:connecttype="custom" o:connectlocs="0,0;10870,0" o:connectangles="0,0"/>
                  </v:shape>
                </v:group>
                <v:group id="Group 8955" o:spid="_x0000_s1140" style="position:absolute;left:15;top:504;width:10870;height:2" coordorigin="15,504"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t3Tu8QAAADeAAAA&#10;DwAAAAAAAAAAAAAAAACqAgAAZHJzL2Rvd25yZXYueG1sUEsFBgAAAAAEAAQA+gAAAJsDAAAAAA==&#10;">
                  <v:shape id="Freeform 8956" o:spid="_x0000_s1141" style="position:absolute;left:15;top:504;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jIgsEA&#10;AADeAAAADwAAAGRycy9kb3ducmV2LnhtbERPTYvCMBC9C/sfwgh701QLWrpGcQUX8abu3sdmNi02&#10;k9pErf/eCIK3ebzPmS06W4srtb5yrGA0TEAQF05XbBT8HtaDDIQPyBprx6TgTh4W84/eDHPtbryj&#10;6z4YEUPY56igDKHJpfRFSRb90DXEkft3rcUQYWukbvEWw20tx0kykRYrjg0lNrQqqTjtL1bB8bSe&#10;hu5vycc0Nd8/W+tNfS6U+ux3yy8QgbrwFr/cGx3nT7NJCs934g1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IyILBAAAA3gAAAA8AAAAAAAAAAAAAAAAAmAIAAGRycy9kb3du&#10;cmV2LnhtbFBLBQYAAAAABAAEAPUAAACGAwAAAAA=&#10;" path="m,l10870,e" filled="f" strokeweight=".05619mm">
                    <v:path arrowok="t" o:connecttype="custom" o:connectlocs="0,0;10870,0" o:connectangles="0,0"/>
                  </v:shape>
                </v:group>
                <v:group id="Group 8953" o:spid="_x0000_s1142" style="position:absolute;left:15;top:626;width:10870;height:2" coordorigin="15,626"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njuVMUAAADeAAAADwAAAGRycy9kb3ducmV2LnhtbERPS2vCQBC+F/wPywi9&#10;6Sa2VYmuIqKlBxF8gHgbsmMSzM6G7JrEf98tCL3Nx/ec+bIzpWiodoVlBfEwAkGcWl1wpuB82g6m&#10;IJxH1lhaJgVPcrBc9N7mmGjb8oGao89ECGGXoILc+yqR0qU5GXRDWxEH7mZrgz7AOpO6xjaEm1KO&#10;omgsDRYcGnKsaJ1Tej8+jILvFtvVR7xpdvfb+nk9fe0vu5iUeu93qxkIT53/F7/cPzrMn0zHn/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547lTFAAAA3gAA&#10;AA8AAAAAAAAAAAAAAAAAqgIAAGRycy9kb3ducmV2LnhtbFBLBQYAAAAABAAEAPoAAACcAwAAAAA=&#10;">
                  <v:shape id="Freeform 8954" o:spid="_x0000_s1143" style="position:absolute;left:15;top:626;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31bcEA&#10;AADeAAAADwAAAGRycy9kb3ducmV2LnhtbERPS4vCMBC+C/6HMMLeNHXFB9UoruCyePN1H5sxLTaT&#10;2kTt/nsjCN7m43vObNHYUtyp9oVjBf1eAoI4c7pgo+CwX3cnIHxA1lg6JgX/5GExb7dmmGr34C3d&#10;d8GIGMI+RQV5CFUqpc9ysuh7riKO3NnVFkOEtZG6xkcMt6X8TpKRtFhwbMixolVO2WV3swpOl/U4&#10;NMclnwYD8/O7sd6U10ypr06znIII1ISP+O3+03H+eDIawuudeIOcP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t9W3BAAAA3gAAAA8AAAAAAAAAAAAAAAAAmAIAAGRycy9kb3du&#10;cmV2LnhtbFBLBQYAAAAABAAEAPUAAACGAwAAAAA=&#10;" path="m,l10870,e" filled="f" strokeweight=".05619mm">
                    <v:path arrowok="t" o:connecttype="custom" o:connectlocs="0,0;10870,0" o:connectangles="0,0"/>
                  </v:shape>
                </v:group>
                <v:group id="Group 8951" o:spid="_x0000_s1144" style="position:absolute;left:9801;top:748;width:1084;height:2" coordorigin="9801,748"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8ebVuMQAAADeAAAA&#10;DwAAAAAAAAAAAAAAAACqAgAAZHJzL2Rvd25yZXYueG1sUEsFBgAAAAAEAAQA+gAAAJsDAAAAAA==&#10;">
                  <v:shape id="Freeform 8952" o:spid="_x0000_s1145" style="position:absolute;left:9801;top:748;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htPsUA&#10;AADeAAAADwAAAGRycy9kb3ducmV2LnhtbERPS2vCQBC+F/oflhF6Ed3Yg4boKlIr9CSNj4O3ITvJ&#10;BrOzIbuN8d93hUJv8/E9Z7UZbCN66nztWMFsmoAgLpyuuVJwPu0nKQgfkDU2jknBgzxs1q8vK8y0&#10;u3NO/TFUIoawz1CBCaHNpPSFIYt+6lriyJWusxgi7CqpO7zHcNvI9ySZS4s1xwaDLX0YKm7HH6vA&#10;9Zf8VF7M7jF8plf8Poz3ZT5W6m00bJcgAg3hX/zn/tJx/iKdL+D5Trx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uG0+xQAAAN4AAAAPAAAAAAAAAAAAAAAAAJgCAABkcnMv&#10;ZG93bnJldi54bWxQSwUGAAAAAAQABAD1AAAAigMAAAAA&#10;" path="m,l1084,e" filled="f" strokeweight=".05619mm">
                    <v:path arrowok="t" o:connecttype="custom" o:connectlocs="0,0;1084,0" o:connectangles="0,0"/>
                  </v:shape>
                </v:group>
                <v:group id="Group 8949" o:spid="_x0000_s1146" style="position:absolute;left:15;top:748;width:6570;height:2" coordorigin="15,748"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O815FHIAAAA&#10;3gAAAA8AAAAAAAAAAAAAAAAAqgIAAGRycy9kb3ducmV2LnhtbFBLBQYAAAAABAAEAPoAAACfAwAA&#10;AAA=&#10;">
                  <v:shape id="Freeform 8950" o:spid="_x0000_s1147" style="position:absolute;left:15;top:748;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M4nsQA&#10;AADeAAAADwAAAGRycy9kb3ducmV2LnhtbERPS2vCQBC+F/oflhG8FN1UMGp0lVoQhPbi6z5mx2ww&#10;OxuyGxP/fbdQ6G0+vuesNr2txIMaXzpW8D5OQBDnTpdcKDifdqM5CB+QNVaOScGTPGzWry8rzLTr&#10;+ECPYyhEDGGfoQITQp1J6XNDFv3Y1cSRu7nGYoiwKaRusIvhtpKTJEmlxZJjg8GaPg3l92NrFUx1&#10;3raL1Cb11277tjUXf+2e30oNB/3HEkSgPvyL/9x7HefP5ukCft+JN8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jOJ7EAAAA3gAAAA8AAAAAAAAAAAAAAAAAmAIAAGRycy9k&#10;b3ducmV2LnhtbFBLBQYAAAAABAAEAPUAAACJAwAAAAA=&#10;" path="m,l6569,e" filled="f" strokeweight=".05619mm">
                    <v:path arrowok="t" o:connecttype="custom" o:connectlocs="0,0;6569,0" o:connectangles="0,0"/>
                  </v:shape>
                </v:group>
                <v:group id="Group 8947" o:spid="_x0000_s1148" style="position:absolute;left:9801;top:870;width:1084;height:2" coordorigin="9801,870"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JSaforIAAAA&#10;3gAAAA8AAAAAAAAAAAAAAAAAqgIAAGRycy9kb3ducmV2LnhtbFBLBQYAAAAABAAEAPoAAACfAwAA&#10;AAA=&#10;">
                  <v:shape id="Freeform 8948" o:spid="_x0000_s1149" style="position:absolute;left:9801;top:870;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TGDMUA&#10;AADeAAAADwAAAGRycy9kb3ducmV2LnhtbERPS2vCQBC+F/oflil4kbqxBw3RVUpV8CSNj0NvQ3aS&#10;DWZnQ3Yb4793hUJv8/E9Z7kebCN66nztWMF0koAgLpyuuVJwPu3eUxA+IGtsHJOCO3lYr15flphp&#10;d+Oc+mOoRAxhn6ECE0KbSekLQxb9xLXEkStdZzFE2FVSd3iL4baRH0kykxZrjg0GW/oyVFyPv1aB&#10;6y/5qbyYzX3Ypj/4fRjvynys1Oht+FyACDSEf/Gfe6/j/Hk6n8LznXiDX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xMYMxQAAAN4AAAAPAAAAAAAAAAAAAAAAAJgCAABkcnMv&#10;ZG93bnJldi54bWxQSwUGAAAAAAQABAD1AAAAigMAAAAA&#10;" path="m,l1084,e" filled="f" strokeweight=".05619mm">
                    <v:path arrowok="t" o:connecttype="custom" o:connectlocs="0,0;1084,0" o:connectangles="0,0"/>
                  </v:shape>
                </v:group>
                <v:group id="Group 8945" o:spid="_x0000_s1150" style="position:absolute;left:15;top:870;width:6570;height:2" coordorigin="15,870"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wRFZsQAAADeAAAA&#10;DwAAAAAAAAAAAAAAAACqAgAAZHJzL2Rvd25yZXYueG1sUEsFBgAAAAAEAAQA+gAAAJsDAAAAAA==&#10;">
                  <v:shape id="Freeform 8946" o:spid="_x0000_s1151" style="position:absolute;left:15;top:870;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KZqcQA&#10;AADeAAAADwAAAGRycy9kb3ducmV2LnhtbERPTWvCQBC9C/6HZQQvohsrVRtdpQpCob1U2/s0O2aD&#10;2dmQ3Zj4792C4G0e73PW286W4kq1LxwrmE4SEMSZ0wXnCn5Oh/EShA/IGkvHpOBGHrabfm+NqXYt&#10;f9P1GHIRQ9inqMCEUKVS+syQRT9xFXHkzq62GCKsc6lrbGO4LeVLksylxYJjg8GK9oayy7GxCl51&#10;1jRvc5tUn4fdaGd+/V97+1JqOOjeVyACdeEpfrg/dJy/WC5m8P9OvEF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SmanEAAAA3gAAAA8AAAAAAAAAAAAAAAAAmAIAAGRycy9k&#10;b3ducmV2LnhtbFBLBQYAAAAABAAEAPUAAACJAwAAAAA=&#10;" path="m,l6569,e" filled="f" strokeweight=".05619mm">
                    <v:path arrowok="t" o:connecttype="custom" o:connectlocs="0,0;6569,0" o:connectangles="0,0"/>
                  </v:shape>
                </v:group>
                <v:group id="Group 8943" o:spid="_x0000_s1152" style="position:absolute;left:9801;top:993;width:1084;height:2" coordorigin="9801,993"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6F4icUAAADeAAAADwAAAGRycy9kb3ducmV2LnhtbERPS2vCQBC+F/wPywi9&#10;6Sa2VYmuIqKlBxF8gHgbsmMSzM6G7JrEf98tCL3Nx/ec+bIzpWiodoVlBfEwAkGcWl1wpuB82g6m&#10;IJxH1lhaJgVPcrBc9N7mmGjb8oGao89ECGGXoILc+yqR0qU5GXRDWxEH7mZrgz7AOpO6xjaEm1KO&#10;omgsDRYcGnKsaJ1Tej8+jILvFtvVR7xpdvfb+nk9fe0vu5iUeu93qxkIT53/F7/cPzrMn0wnn/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uheInFAAAA3gAA&#10;AA8AAAAAAAAAAAAAAAAAqgIAAGRycy9kb3ducmV2LnhtbFBLBQYAAAAABAAEAPoAAACcAwAAAAA=&#10;">
                  <v:shape id="Freeform 8944" o:spid="_x0000_s1153" style="position:absolute;left:9801;top:993;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D8UA&#10;AADeAAAADwAAAGRycy9kb3ducmV2LnhtbERPTWvCQBC9C/0Pywi9SN1YUEPqKsVW6EkarYfehuwk&#10;G8zOhuw2xn/vCgVv83ifs9oMthE9db52rGA2TUAQF07XXCn4Oe5eUhA+IGtsHJOCK3nYrJ9GK8y0&#10;u3BO/SFUIoawz1CBCaHNpPSFIYt+6lriyJWusxgi7CqpO7zEcNvI1yRZSIs1xwaDLW0NFefDn1Xg&#10;+lN+LE/m4zp8pr/4vZ/synyi1PN4eH8DEWgID/G/+0vH+ct0OYf7O/EGu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8APxQAAAN4AAAAPAAAAAAAAAAAAAAAAAJgCAABkcnMv&#10;ZG93bnJldi54bWxQSwUGAAAAAAQABAD1AAAAigMAAAAA&#10;" path="m,l1084,e" filled="f" strokeweight=".05619mm">
                    <v:path arrowok="t" o:connecttype="custom" o:connectlocs="0,0;1084,0" o:connectangles="0,0"/>
                  </v:shape>
                </v:group>
                <v:group id="Group 8941" o:spid="_x0000_s1154" style="position:absolute;left:15;top:993;width:6570;height:2" coordorigin="15,993"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D9DZcQAAADeAAAA&#10;DwAAAAAAAAAAAAAAAACqAgAAZHJzL2Rvd25yZXYueG1sUEsFBgAAAAAEAAQA+gAAAJsDAAAAAA==&#10;">
                  <v:shape id="Freeform 8942" o:spid="_x0000_s1155" style="position:absolute;left:15;top:993;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mfqsQA&#10;AADeAAAADwAAAGRycy9kb3ducmV2LnhtbERPTWvCQBC9C/6HZYReRDct1Gh0lVoQCvVSq/cxO2aD&#10;2dmQ3Zj477sFwds83uesNr2txI0aXzpW8DpNQBDnTpdcKDj+7iZzED4ga6wck4I7edish4MVZtp1&#10;/EO3QyhEDGGfoQITQp1J6XNDFv3U1cSRu7jGYoiwKaRusIvhtpJvSTKTFkuODQZr+jSUXw+tVfCu&#10;87ZdzGxSf++24605+XN33yv1Muo/liAC9eEpfri/dJyfztMU/t+JN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pn6rEAAAA3gAAAA8AAAAAAAAAAAAAAAAAmAIAAGRycy9k&#10;b3ducmV2LnhtbFBLBQYAAAAABAAEAPUAAACJAwAAAAA=&#10;" path="m,l6569,e" filled="f" strokeweight=".05619mm">
                    <v:path arrowok="t" o:connecttype="custom" o:connectlocs="0,0;6569,0" o:connectangles="0,0"/>
                  </v:shape>
                </v:group>
                <v:group id="Group 8939" o:spid="_x0000_s1156" style="position:absolute;left:9801;top:1115;width:1084;height:2" coordorigin="9801,1115"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GrscozIAAAA&#10;3gAAAA8AAAAAAAAAAAAAAAAAqgIAAGRycy9kb3ducmV2LnhtbFBLBQYAAAAABAAEAPoAAACfAwAA&#10;AAA=&#10;">
                  <v:shape id="Freeform 8940" o:spid="_x0000_s1157" style="position:absolute;left:9801;top:1115;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LKCsUA&#10;AADeAAAADwAAAGRycy9kb3ducmV2LnhtbERPTWvCQBC9F/oflil4kbrRg6bRVUpV8FQarYfehuwk&#10;G8zOhuwa47/vFgre5vE+Z7UZbCN66nztWMF0koAgLpyuuVLwfdq/piB8QNbYOCYFd/KwWT8/rTDT&#10;7sY59cdQiRjCPkMFJoQ2k9IXhiz6iWuJI1e6zmKIsKuk7vAWw20jZ0kylxZrjg0GW/owVFyOV6vA&#10;9ef8VJ7N9j7s0h/8+hzvy3ys1OhleF+CCDSEh/jffdBx/iJdvMHfO/EG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ssoKxQAAAN4AAAAPAAAAAAAAAAAAAAAAAJgCAABkcnMv&#10;ZG93bnJldi54bWxQSwUGAAAAAAQABAD1AAAAigMAAAAA&#10;" path="m,l1084,e" filled="f" strokeweight=".05619mm">
                    <v:path arrowok="t" o:connecttype="custom" o:connectlocs="0,0;1084,0" o:connectangles="0,0"/>
                  </v:shape>
                </v:group>
                <v:group id="Group 8937" o:spid="_x0000_s1158" style="position:absolute;left:15;top:1115;width:6570;height:2" coordorigin="15,1115"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FPDq3IAAAA&#10;3gAAAA8AAAAAAAAAAAAAAAAAqgIAAGRycy9kb3ducmV2LnhtbFBLBQYAAAAABAAEAPoAAACfAwAA&#10;AAA=&#10;">
                  <v:shape id="Freeform 8938" o:spid="_x0000_s1159" style="position:absolute;left:15;top:1115;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nSYsQA&#10;AADeAAAADwAAAGRycy9kb3ducmV2LnhtbERPS2vCQBC+F/oflil4KbpRqMboKioIhfbi6z5mp9nQ&#10;7GzIbkz8911B6G0+vucs172txI0aXzpWMB4lIIhzp0suFJxP+2EKwgdkjZVjUnAnD+vV68sSM+06&#10;PtDtGAoRQ9hnqMCEUGdS+tyQRT9yNXHkflxjMUTYFFI32MVwW8lJkkylxZJjg8Gadoby32NrFXzo&#10;vG3nU5vUX/vt+9Zc/LW7fys1eOs3CxCB+vAvfro/dZw/S9MxPN6JN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8Z0mLEAAAA3gAAAA8AAAAAAAAAAAAAAAAAmAIAAGRycy9k&#10;b3ducmV2LnhtbFBLBQYAAAAABAAEAPUAAACJAwAAAAA=&#10;" path="m,l6569,e" filled="f" strokeweight=".05619mm">
                    <v:path arrowok="t" o:connecttype="custom" o:connectlocs="0,0;6569,0" o:connectangles="0,0"/>
                  </v:shape>
                </v:group>
                <v:group id="Group 8935" o:spid="_x0000_s1160" style="position:absolute;left:9801;top:1237;width:1084;height:2" coordorigin="9801,1237"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7RNUHFAAAA3gAA&#10;AA8AAAAAAAAAAAAAAAAAqgIAAGRycy9kb3ducmV2LnhtbFBLBQYAAAAABAAEAPoAAACcAwAAAAA=&#10;">
                  <v:shape id="Freeform 8936" o:spid="_x0000_s1161" style="position:absolute;left:9801;top:1237;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Nx8UA&#10;AADeAAAADwAAAGRycy9kb3ducmV2LnhtbERPTWvCQBC9C/0PyxR6kbqpBQ2pq5Sq0FMxsR56G7KT&#10;bGh2NmTXGP99tyB4m8f7nNVmtK0YqPeNYwUvswQEcel0w7WC7+P+OQXhA7LG1jEpuJKHzfphssJM&#10;uwvnNBShFjGEfYYKTAhdJqUvDVn0M9cRR65yvcUQYV9L3eMlhttWzpNkIS02HBsMdvRhqPwtzlaB&#10;G075sTqZ7XXcpT94+Jruq3yq1NPj+P4GItAY7uKb+1PH+cs0fYX/d+IN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j43HxQAAAN4AAAAPAAAAAAAAAAAAAAAAAJgCAABkcnMv&#10;ZG93bnJldi54bWxQSwUGAAAAAAQABAD1AAAAigMAAAAA&#10;" path="m,l1084,e" filled="f" strokeweight=".05619mm">
                    <v:path arrowok="t" o:connecttype="custom" o:connectlocs="0,0;1084,0" o:connectangles="0,0"/>
                  </v:shape>
                </v:group>
                <v:group id="Group 8933" o:spid="_x0000_s1162" style="position:absolute;left:1022;top:1238;width:2;height:1100" coordorigin="1022,1238" coordsize="2,11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50CK7FAAAA3gAA&#10;AA8AAAAAAAAAAAAAAAAAqgIAAGRycy9kb3ducmV2LnhtbFBLBQYAAAAABAAEAPoAAACcAwAAAAA=&#10;">
                  <v:shape id="Freeform 8934" o:spid="_x0000_s1163" style="position:absolute;left:1022;top:1238;width:2;height:1100;visibility:visible;mso-wrap-style:square;v-text-anchor:top" coordsize="2,1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Yzp8UA&#10;AADeAAAADwAAAGRycy9kb3ducmV2LnhtbERP22rCQBB9L/gPyxR8q5sK2pC6ijYK5kXw8gFDdsym&#10;ZmdDdmvSfn23UPBtDuc6i9VgG3GnzteOFbxOEhDEpdM1Vwou591LCsIHZI2NY1LwTR5Wy9HTAjPt&#10;ej7S/RQqEUPYZ6jAhNBmUvrSkEU/cS1x5K6usxgi7CqpO+xjuG3kNEnm0mLNscFgSx+Gytvpyyo4&#10;XPNNofPPvjiY+U+5n+bnbZErNX4e1u8gAg3hIf5373Wc/5amM/h7J94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JjOnxQAAAN4AAAAPAAAAAAAAAAAAAAAAAJgCAABkcnMv&#10;ZG93bnJldi54bWxQSwUGAAAAAAQABAD1AAAAigMAAAAA&#10;" path="m,l,1099e" filled="f" strokeweight=".05622mm">
                    <v:path arrowok="t" o:connecttype="custom" o:connectlocs="0,1238;0,2337" o:connectangles="0,0"/>
                  </v:shape>
                </v:group>
                <v:group id="Group 8931" o:spid="_x0000_s1164" style="position:absolute;left:15;top:1237;width:6570;height:2" coordorigin="15,1237"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eozQsQAAADeAAAA&#10;DwAAAAAAAAAAAAAAAACqAgAAZHJzL2Rvd25yZXYueG1sUEsFBgAAAAAEAAQA+gAAAJsDAAAAAA==&#10;">
                  <v:shape id="Freeform 8932" o:spid="_x0000_s1165" style="position:absolute;left:15;top:1237;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zvjcQA&#10;AADeAAAADwAAAGRycy9kb3ducmV2LnhtbERPS2vCQBC+C/0PyxR6Ed1YqMboKloQCvXi6z5mp9nQ&#10;7GzIbkz8992C4G0+vucs172txI0aXzpWMBknIIhzp0suFJxPu1EKwgdkjZVjUnAnD+vVy2CJmXYd&#10;H+h2DIWIIewzVGBCqDMpfW7Ioh+7mjhyP66xGCJsCqkb7GK4reR7kkylxZJjg8GaPg3lv8fWKvjQ&#10;edvOpzapv3fb4dZc/LW775V6e+03CxCB+vAUP9xfOs6fpekM/t+JN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743EAAAA3gAAAA8AAAAAAAAAAAAAAAAAmAIAAGRycy9k&#10;b3ducmV2LnhtbFBLBQYAAAAABAAEAPUAAACJAwAAAAA=&#10;" path="m,l6569,e" filled="f" strokeweight=".05619mm">
                    <v:path arrowok="t" o:connecttype="custom" o:connectlocs="0,0;6569,0" o:connectangles="0,0"/>
                  </v:shape>
                </v:group>
                <v:group id="Group 8929" o:spid="_x0000_s1166" style="position:absolute;left:9801;top:1359;width:1084;height:2" coordorigin="9801,1359"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F85AqvIAAAA&#10;3gAAAA8AAAAAAAAAAAAAAAAAqgIAAGRycy9kb3ducmV2LnhtbFBLBQYAAAAABAAEAPoAAACfAwAA&#10;AAA=&#10;">
                  <v:shape id="Freeform 8930" o:spid="_x0000_s1167" style="position:absolute;left:9801;top:1359;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e6LcUA&#10;AADeAAAADwAAAGRycy9kb3ducmV2LnhtbERPS2vCQBC+C/0Pywi9SN3UQ02jq5Sq0FNpfBy8DdlJ&#10;NpidDdk1xn/fLRS8zcf3nOV6sI3oqfO1YwWv0wQEceF0zZWC42H3koLwAVlj45gU3MnDevU0WmKm&#10;3Y1z6vehEjGEfYYKTAhtJqUvDFn0U9cSR650ncUQYVdJ3eEthttGzpLkTVqsOTYYbOnTUHHZX60C&#10;15/yQ3kym/uwTc/48z3ZlflEqefx8LEAEWgID/G/+0vH+fM0fYe/d+IN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Z7otxQAAAN4AAAAPAAAAAAAAAAAAAAAAAJgCAABkcnMv&#10;ZG93bnJldi54bWxQSwUGAAAAAAQABAD1AAAAigMAAAAA&#10;" path="m,l1084,e" filled="f" strokeweight=".05619mm">
                    <v:path arrowok="t" o:connecttype="custom" o:connectlocs="0,0;1084,0" o:connectangles="0,0"/>
                  </v:shape>
                </v:group>
                <v:group id="Group 8927" o:spid="_x0000_s1168" style="position:absolute;left:15;top:1359;width:6570;height:2" coordorigin="15,1359"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SWmHDIAAAA&#10;3gAAAA8AAAAAAAAAAAAAAAAAqgIAAGRycy9kb3ducmV2LnhtbFBLBQYAAAAABAAEAPoAAACfAwAA&#10;AAA=&#10;">
                  <v:shape id="Freeform 8928" o:spid="_x0000_s1169" style="position:absolute;left:15;top:1359;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BEv8MA&#10;AADeAAAADwAAAGRycy9kb3ducmV2LnhtbERPS4vCMBC+C/sfwix4EU0VfFWjrAuCsF501/vYzDZl&#10;m0lpUlv//UYQvM3H95z1trOluFHtC8cKxqMEBHHmdMG5gp/v/XABwgdkjaVjUnAnD9vNW2+NqXYt&#10;n+h2DrmIIexTVGBCqFIpfWbIoh+5ijhyv662GCKsc6lrbGO4LeUkSWbSYsGxwWBFn4ayv3NjFUx1&#10;1jTLmU2qr/1usDMXf23vR6X6793HCkSgLrzET/dBx/nzxXIMj3fiD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BEv8MAAADeAAAADwAAAAAAAAAAAAAAAACYAgAAZHJzL2Rv&#10;d25yZXYueG1sUEsFBgAAAAAEAAQA9QAAAIgDAAAAAA==&#10;" path="m,l6569,e" filled="f" strokeweight=".05619mm">
                    <v:path arrowok="t" o:connecttype="custom" o:connectlocs="0,0;6569,0" o:connectangles="0,0"/>
                  </v:shape>
                </v:group>
                <v:group id="Group 8925" o:spid="_x0000_s1170" style="position:absolute;left:9801;top:1481;width:1084;height:2" coordorigin="9801,1481"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wijnMUAAADeAAAADwAAAGRycy9kb3ducmV2LnhtbERPS2vCQBC+F/wPywi9&#10;6SaWVo2uIqKlBxF8gHgbsmMSzM6G7JrEf98tCL3Nx/ec+bIzpWiodoVlBfEwAkGcWl1wpuB82g4m&#10;IJxH1lhaJgVPcrBc9N7mmGjb8oGao89ECGGXoILc+yqR0qU5GXRDWxEH7mZrgz7AOpO6xjaEm1KO&#10;ouhLGiw4NORY0Tqn9H58GAXfLbarj3jT7O639fN6+txfdjEp9d7vVjMQnjr/L365f3SYP55MR/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sIo5zFAAAA3gAA&#10;AA8AAAAAAAAAAAAAAAAAqgIAAGRycy9kb3ducmV2LnhtbFBLBQYAAAAABAAEAPoAAACcAwAAAAA=&#10;">
                  <v:shape id="Freeform 8926" o:spid="_x0000_s1171" style="position:absolute;left:9801;top:1481;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YbGsYA&#10;AADeAAAADwAAAGRycy9kb3ducmV2LnhtbERPTWvCQBC9F/oflil4kbqphTaNrlJqBU9itB68DdlJ&#10;NjQ7G7JrjP/eFQq9zeN9znw52Eb01PnasYKXSQKCuHC65krBz2H9nILwAVlj45gUXMnDcvH4MMdM&#10;uwvn1O9DJWII+wwVmBDaTEpfGLLoJ64ljlzpOoshwq6SusNLDLeNnCbJm7RYc2ww2NKXoeJ3f7YK&#10;XH/MD+XRrK7Dd3rC3Xa8LvOxUqOn4XMGItAQ/sV/7o2O89/Tj1e4vxNv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lYbGsYAAADeAAAADwAAAAAAAAAAAAAAAACYAgAAZHJz&#10;L2Rvd25yZXYueG1sUEsFBgAAAAAEAAQA9QAAAIsDAAAAAA==&#10;" path="m,l1084,e" filled="f" strokeweight=".05619mm">
                    <v:path arrowok="t" o:connecttype="custom" o:connectlocs="0,0;1084,0" o:connectangles="0,0"/>
                  </v:shape>
                </v:group>
                <v:group id="Group 8923" o:spid="_x0000_s1172" style="position:absolute;left:15;top:1481;width:6570;height:2" coordorigin="15,1481"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tnnPFAAAA3gAA&#10;AA8AAAAAAAAAAAAAAAAAqgIAAGRycy9kb3ducmV2LnhtbFBLBQYAAAAABAAEAPoAAACcAwAAAAA=&#10;">
                  <v:shape id="Freeform 8924" o:spid="_x0000_s1173" style="position:absolute;left:15;top:1481;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tCvMQA&#10;AADeAAAADwAAAGRycy9kb3ducmV2LnhtbERPS2vCQBC+F/wPywi9FLOxoNWYVbQgFNpLfdzH7JgN&#10;ZmdDdmPiv+8WCr3Nx/ecfDPYWtyp9ZVjBdMkBUFcOF1xqeB03E8WIHxA1lg7JgUP8rBZj55yzLTr&#10;+Zvuh1CKGMI+QwUmhCaT0heGLPrENcSRu7rWYoiwLaVusY/htpavaTqXFiuODQYbejdU3A6dVTDT&#10;Rdct5zZtPve7l505+0v/+FLqeTxsVyACDeFf/Of+0HH+22I5g9934g1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7QrzEAAAA3gAAAA8AAAAAAAAAAAAAAAAAmAIAAGRycy9k&#10;b3ducmV2LnhtbFBLBQYAAAAABAAEAPUAAACJAwAAAAA=&#10;" path="m,l6569,e" filled="f" strokeweight=".05619mm">
                    <v:path arrowok="t" o:connecttype="custom" o:connectlocs="0,0;6569,0" o:connectangles="0,0"/>
                  </v:shape>
                </v:group>
                <v:group id="Group 8921" o:spid="_x0000_s1174" style="position:absolute;left:9801;top:1604;width:1084;height:2" coordorigin="9801,1604"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DOln8UAAADeAAAADwAAAGRycy9kb3ducmV2LnhtbERPS2vCQBC+C/6HZQRv&#10;dRNLfURXEWlLDyL4APE2ZMckmJ0N2TWJ/75bKHibj+85y3VnStFQ7QrLCuJRBII4tbrgTMH59PU2&#10;A+E8ssbSMil4koP1qt9bYqJtywdqjj4TIYRdggpy76tESpfmZNCNbEUcuJutDfoA60zqGtsQbko5&#10;jqKJNFhwaMixom1O6f34MAq+W2w37/Fns7vfts/r6WN/2cWk1HDQbRYgPHX+Jf53/+gwfzqbT+D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QzpZ/FAAAA3gAA&#10;AA8AAAAAAAAAAAAAAAAAqgIAAGRycy9kb3ducmV2LnhtbFBLBQYAAAAABAAEAPoAAACcAwAAAAA=&#10;">
                  <v:shape id="Freeform 8922" o:spid="_x0000_s1175" style="position:absolute;left:9801;top:1604;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0dGcUA&#10;AADeAAAADwAAAGRycy9kb3ducmV2LnhtbERPTWvCQBC9F/oflil4kbrRg6bRVUpV8FQarYfehuwk&#10;G8zOhuwa47/vFgre5vE+Z7UZbCN66nztWMF0koAgLpyuuVLwfdq/piB8QNbYOCYFd/KwWT8/rTDT&#10;7sY59cdQiRjCPkMFJoQ2k9IXhiz6iWuJI1e6zmKIsKuk7vAWw20jZ0kylxZrjg0GW/owVFyOV6vA&#10;9ef8VJ7N9j7s0h/8+hzvy3ys1OhleF+CCDSEh/jffdBx/iJ9W8DfO/EG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bR0ZxQAAAN4AAAAPAAAAAAAAAAAAAAAAAJgCAABkcnMv&#10;ZG93bnJldi54bWxQSwUGAAAAAAQABAD1AAAAigMAAAAA&#10;" path="m,l1084,e" filled="f" strokeweight=".05619mm">
                    <v:path arrowok="t" o:connecttype="custom" o:connectlocs="0,0;1084,0" o:connectangles="0,0"/>
                  </v:shape>
                </v:group>
                <v:group id="Group 8919" o:spid="_x0000_s1176" style="position:absolute;left:15;top:1604;width:6570;height:2" coordorigin="15,1604"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NrglHbIAAAA&#10;3gAAAA8AAAAAAAAAAAAAAAAAqgIAAGRycy9kb3ducmV2LnhtbFBLBQYAAAAABAAEAPoAAACfAwAA&#10;AAA=&#10;">
                  <v:shape id="Freeform 8920" o:spid="_x0000_s1177" style="position:absolute;left:15;top:1604;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ZIucQA&#10;AADeAAAADwAAAGRycy9kb3ducmV2LnhtbERPTWvCQBC9F/wPyxS8FN0oaE10FRUEob1o9T5mx2xo&#10;djZkNyb++26h0Ns83uesNr2txIMaXzpWMBknIIhzp0suFFy+DqMFCB+QNVaOScGTPGzWg5cVZtp1&#10;fKLHORQihrDPUIEJoc6k9Lkhi37sauLI3V1jMUTYFFI32MVwW8lpksylxZJjg8Ga9oby73NrFcx0&#10;3rbp3Cb1x2H3tjNXf+uen0oNX/vtEkSgPvyL/9xHHee/L9IUft+JN8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2SLnEAAAA3gAAAA8AAAAAAAAAAAAAAAAAmAIAAGRycy9k&#10;b3ducmV2LnhtbFBLBQYAAAAABAAEAPUAAACJAwAAAAA=&#10;" path="m,l6569,e" filled="f" strokeweight=".05619mm">
                    <v:path arrowok="t" o:connecttype="custom" o:connectlocs="0,0;6569,0" o:connectangles="0,0"/>
                  </v:shape>
                </v:group>
                <v:group id="Group 8917" o:spid="_x0000_s1178" style="position:absolute;left:9801;top:1726;width:1084;height:2" coordorigin="9801,1726"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Lp9AmrIAAAA&#10;3gAAAA8AAAAAAAAAAAAAAAAAqgIAAGRycy9kb3ducmV2LnhtbFBLBQYAAAAABAAEAPoAAACfAwAA&#10;AAA=&#10;">
                  <v:shape id="Freeform 8918" o:spid="_x0000_s1179" style="position:absolute;left:9801;top:1726;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O67MUA&#10;AADeAAAADwAAAGRycy9kb3ducmV2LnhtbERPS2vCQBC+F/wPywi9SN3owWrqKmIVepLGx6G3ITvJ&#10;hmZnQ3Yb4793hYK3+fies1z3thYdtb5yrGAyTkAQ505XXCo4n/ZvcxA+IGusHZOCG3lYrwYvS0y1&#10;u3JG3TGUIoawT1GBCaFJpfS5IYt+7BriyBWutRgibEupW7zGcFvLaZLMpMWKY4PBhraG8t/jn1Xg&#10;ukt2Ki7m89bv5j/4fRjti2yk1Ouw33yACNSHp/jf/aXj/PdFMoHHO/EG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I7rsxQAAAN4AAAAPAAAAAAAAAAAAAAAAAJgCAABkcnMv&#10;ZG93bnJldi54bWxQSwUGAAAAAAQABAD1AAAAigMAAAAA&#10;" path="m,l1084,e" filled="f" strokeweight=".05619mm">
                    <v:path arrowok="t" o:connecttype="custom" o:connectlocs="0,0;1084,0" o:connectangles="0,0"/>
                  </v:shape>
                </v:group>
                <v:group id="Group 8915" o:spid="_x0000_s1180" style="position:absolute;left:15;top:1726;width:6570;height:2" coordorigin="15,1726"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XjOYbFAAAA3gAA&#10;AA8AAAAAAAAAAAAAAAAAqgIAAGRycy9kb3ducmV2LnhtbFBLBQYAAAAABAAEAPoAAACcAwAAAAA=&#10;">
                  <v:shape id="Freeform 8916" o:spid="_x0000_s1181" style="position:absolute;left:15;top:1726;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XlScQA&#10;AADeAAAADwAAAGRycy9kb3ducmV2LnhtbERPTWsCMRC9F/wPYYReSk1s0erWKLUgCHqp1fu4mW4W&#10;N5Nlk3XXf98Ihd7m8T5nsepdJa7UhNKzhvFIgSDOvSm50HD83jzPQISIbLDyTBpuFGC1HDwsMDO+&#10;4y+6HmIhUgiHDDXYGOtMypBbchhGviZO3I9vHMYEm0KaBrsU7ir5otRUOiw5NVis6dNSfjm0TsPE&#10;5G07nzpV7zbrp7U9hXN322v9OOw/3kFE6uO/+M+9NWn+21y9wv2ddIN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15UnEAAAA3gAAAA8AAAAAAAAAAAAAAAAAmAIAAGRycy9k&#10;b3ducmV2LnhtbFBLBQYAAAAABAAEAPUAAACJAwAAAAA=&#10;" path="m,l6569,e" filled="f" strokeweight=".05619mm">
                    <v:path arrowok="t" o:connecttype="custom" o:connectlocs="0,0;6569,0" o:connectangles="0,0"/>
                  </v:shape>
                </v:group>
                <v:group id="Group 8913" o:spid="_x0000_s1182" style="position:absolute;left:9801;top:1848;width:1084;height:2" coordorigin="9801,1848"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FRgRpxgAAAN4A&#10;AAAPAAAAAAAAAAAAAAAAAKoCAABkcnMvZG93bnJldi54bWxQSwUGAAAAAAQABAD6AAAAnQMAAAAA&#10;">
                  <v:shape id="Freeform 8914" o:spid="_x0000_s1183" style="position:absolute;left:9801;top:1848;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i878UA&#10;AADeAAAADwAAAGRycy9kb3ducmV2LnhtbERPTWvCQBC9F/wPywheRDcVrDZ1FakKPRWj9dDbkJ1k&#10;g9nZkF1j/PfdQqG3ebzPWW16W4uOWl85VvA8TUAQ505XXCr4Oh8mSxA+IGusHZOCB3nYrAdPK0y1&#10;u3NG3SmUIoawT1GBCaFJpfS5IYt+6hriyBWutRgibEupW7zHcFvLWZK8SIsVxwaDDb0byq+nm1Xg&#10;ukt2Li5m9+j3y288fo4PRTZWajTst28gAvXhX/zn/tBx/uI1mcPvO/EG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GLzvxQAAAN4AAAAPAAAAAAAAAAAAAAAAAJgCAABkcnMv&#10;ZG93bnJldi54bWxQSwUGAAAAAAQABAD1AAAAigMAAAAA&#10;" path="m,l1084,e" filled="f" strokeweight=".05619mm">
                    <v:path arrowok="t" o:connecttype="custom" o:connectlocs="0,0;1084,0" o:connectangles="0,0"/>
                  </v:shape>
                </v:group>
                <v:group id="Group 8911" o:spid="_x0000_s1184" style="position:absolute;left:15;top:1848;width:6570;height:2" coordorigin="15,1848"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rYP4XFAAAA3gAA&#10;AA8AAAAAAAAAAAAAAAAAqgIAAGRycy9kb3ducmV2LnhtbFBLBQYAAAAABAAEAPoAAACcAwAAAAA=&#10;">
                  <v:shape id="Freeform 8912" o:spid="_x0000_s1185" style="position:absolute;left:15;top:1848;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7jSsQA&#10;AADeAAAADwAAAGRycy9kb3ducmV2LnhtbERPTWsCMRC9F/wPYQQvpSYWqnU1ihYEob2o7X3cjJvF&#10;zWTZZN313zeFgrd5vM9ZrntXiRs1ofSsYTJWIIhzb0ouNHyfdi/vIEJENlh5Jg13CrBeDZ6WmBnf&#10;8YFux1iIFMIhQw02xjqTMuSWHIaxr4kTd/GNw5hgU0jTYJfCXSVflZpKhyWnBos1fVjKr8fWaXgz&#10;edvOp07Vn7vt89b+hHN3/9J6NOw3CxCR+vgQ/7v3Js2fzdUM/t5JN8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O40rEAAAA3gAAAA8AAAAAAAAAAAAAAAAAmAIAAGRycy9k&#10;b3ducmV2LnhtbFBLBQYAAAAABAAEAPUAAACJAwAAAAA=&#10;" path="m,l6569,e" filled="f" strokeweight=".05619mm">
                    <v:path arrowok="t" o:connecttype="custom" o:connectlocs="0,0;6569,0" o:connectangles="0,0"/>
                  </v:shape>
                </v:group>
                <v:group id="Group 8909" o:spid="_x0000_s1186" style="position:absolute;left:9801;top:1970;width:1084;height:2" coordorigin="9801,1970"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EQLDmzIAAAA&#10;3gAAAA8AAAAAAAAAAAAAAAAAqgIAAGRycy9kb3ducmV2LnhtbFBLBQYAAAAABAAEAPoAAACfAwAA&#10;AAA=&#10;">
                  <v:shape id="Freeform 8910" o:spid="_x0000_s1187" style="position:absolute;left:9801;top:1970;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W26sYA&#10;AADeAAAADwAAAGRycy9kb3ducmV2LnhtbERPTWvCQBC9C/6HZQq9iNm0h6qpq0hboadi1Bx6G7KT&#10;bGh2NmS3Mf77bkHwNo/3OevtaFsxUO8bxwqekhQEcel0w7WC82k/X4LwAVlj65gUXMnDdjOdrDHT&#10;7sI5DcdQixjCPkMFJoQuk9KXhiz6xHXEkatcbzFE2NdS93iJ4baVz2n6Ii02HBsMdvRmqPw5/loF&#10;bijyU1WY9+v4sfzGw9dsX+UzpR4fxt0riEBjuItv7k8d5y9W6Qr+34k3yM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W26sYAAADeAAAADwAAAAAAAAAAAAAAAACYAgAAZHJz&#10;L2Rvd25yZXYueG1sUEsFBgAAAAAEAAQA9QAAAIsDAAAAAA==&#10;" path="m,l1084,e" filled="f" strokeweight=".05619mm">
                    <v:path arrowok="t" o:connecttype="custom" o:connectlocs="0,0;1084,0" o:connectangles="0,0"/>
                  </v:shape>
                </v:group>
                <v:group id="Group 8907" o:spid="_x0000_s1188" style="position:absolute;left:15;top:1970;width:6570;height:2" coordorigin="15,1970"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D+klLfIAAAA&#10;3gAAAA8AAAAAAAAAAAAAAAAAqgIAAGRycy9kb3ducmV2LnhtbFBLBQYAAAAABAAEAPoAAACfAwAA&#10;AAA=&#10;">
                  <v:shape id="Freeform 8908" o:spid="_x0000_s1189" style="position:absolute;left:15;top:1970;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JIeMQA&#10;AADeAAAADwAAAGRycy9kb3ducmV2LnhtbERPS2vCQBC+F/oflil4KbqJUB/RVVQQCu3F133MTrOh&#10;2dmQ3Zj477uC0Nt8fM9ZrntbiRs1vnSsIB0lIIhzp0suFJxP++EMhA/IGivHpOBOHtar15clZtp1&#10;fKDbMRQihrDPUIEJoc6k9Lkhi37kauLI/bjGYoiwKaRusIvhtpLjJJlIiyXHBoM17Qzlv8fWKvjQ&#10;edvOJzapv/bb9625+Gt3/1Zq8NZvFiAC9eFf/HR/6jh/Ok9TeLwTb5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ySHjEAAAA3gAAAA8AAAAAAAAAAAAAAAAAmAIAAGRycy9k&#10;b3ducmV2LnhtbFBLBQYAAAAABAAEAPUAAACJAwAAAAA=&#10;" path="m,l6569,e" filled="f" strokeweight=".05619mm">
                    <v:path arrowok="t" o:connecttype="custom" o:connectlocs="0,0;6569,0" o:connectangles="0,0"/>
                  </v:shape>
                </v:group>
                <v:group id="Group 8905" o:spid="_x0000_s1190" style="position:absolute;left:9801;top:2092;width:1084;height:2" coordorigin="9801,2092"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A6r1vFAAAA3gAA&#10;AA8AAAAAAAAAAAAAAAAAqgIAAGRycy9kb3ducmV2LnhtbFBLBQYAAAAABAAEAPoAAACcAwAAAAA=&#10;">
                  <v:shape id="Freeform 8906" o:spid="_x0000_s1191" style="position:absolute;left:9801;top:2092;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QX3cUA&#10;AADeAAAADwAAAGRycy9kb3ducmV2LnhtbERPTWvCQBC9F/wPywhepG600NroKqIVepJG66G3ITvJ&#10;BrOzIbvG+O+7QqG3ebzPWa57W4uOWl85VjCdJCCIc6crLhV8n/bPcxA+IGusHZOCO3lYrwZPS0y1&#10;u3FG3TGUIoawT1GBCaFJpfS5IYt+4hriyBWutRgibEupW7zFcFvLWZK8SosVxwaDDW0N5Zfj1Spw&#10;3Tk7FWezu/cf8x/8Ooz3RTZWajTsNwsQgfrwL/5zf+o4/+19+gKPd+IN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ZBfdxQAAAN4AAAAPAAAAAAAAAAAAAAAAAJgCAABkcnMv&#10;ZG93bnJldi54bWxQSwUGAAAAAAQABAD1AAAAigMAAAAA&#10;" path="m,l1084,e" filled="f" strokeweight=".05619mm">
                    <v:path arrowok="t" o:connecttype="custom" o:connectlocs="0,0;1084,0" o:connectangles="0,0"/>
                  </v:shape>
                </v:group>
                <v:group id="Group 8903" o:spid="_x0000_s1192" style="position:absolute;left:15;top:2092;width:6570;height:2" coordorigin="15,2092"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CfkrTFAAAA3gAA&#10;AA8AAAAAAAAAAAAAAAAAqgIAAGRycy9kb3ducmV2LnhtbFBLBQYAAAAABAAEAPoAAACcAwAAAAA=&#10;">
                  <v:shape id="Freeform 8904" o:spid="_x0000_s1193" style="position:absolute;left:15;top:2092;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lOe8MA&#10;AADeAAAADwAAAGRycy9kb3ducmV2LnhtbERPS4vCMBC+C/sfwix4WTRV8FWNsgqC4F50d++zzdiU&#10;bSalSW3990YQvM3H95zVprOluFLtC8cKRsMEBHHmdMG5gp/v/WAOwgdkjaVjUnAjD5v1W2+FqXYt&#10;n+h6DrmIIexTVGBCqFIpfWbIoh+6ijhyF1dbDBHWudQ1tjHclnKcJFNpseDYYLCinaHs/9xYBROd&#10;Nc1iapPquN9+bM2v/2tvX0r137vPJYhAXXiJn+6DjvNni9EEHu/EG+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slOe8MAAADeAAAADwAAAAAAAAAAAAAAAACYAgAAZHJzL2Rv&#10;d25yZXYueG1sUEsFBgAAAAAEAAQA9QAAAIgDAAAAAA==&#10;" path="m,l6569,e" filled="f" strokeweight=".05619mm">
                    <v:path arrowok="t" o:connecttype="custom" o:connectlocs="0,0;6569,0" o:connectangles="0,0"/>
                  </v:shape>
                </v:group>
                <v:group id="Group 8901" o:spid="_x0000_s1194" style="position:absolute;left:9801;top:2214;width:1084;height:2" coordorigin="9801,2214"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8BqVjFAAAA3gAA&#10;AA8AAAAAAAAAAAAAAAAAqgIAAGRycy9kb3ducmV2LnhtbFBLBQYAAAAABAAEAPoAAACcAwAAAAA=&#10;">
                  <v:shape id="Freeform 8902" o:spid="_x0000_s1195" style="position:absolute;left:9801;top:2214;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8R3sYA&#10;AADeAAAADwAAAGRycy9kb3ducmV2LnhtbERPO2vDMBDeC/kP4gpdQiynQx6ulRDaBDKVOmmGbod1&#10;tkytk7EUx/n3VaHQ7T6+5+Xb0bZioN43jhXMkxQEcel0w7WCz/NhtgLhA7LG1jEpuJOH7WbykGOm&#10;3Y0LGk6hFjGEfYYKTAhdJqUvDVn0ieuII1e53mKIsK+l7vEWw20rn9N0IS02HBsMdvRqqPw+Xa0C&#10;N1yKc3Uxb/dxv/rCj/fpoSqmSj09jrsXEIHG8C/+cx91nL9cz5fw+068QW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l8R3sYAAADeAAAADwAAAAAAAAAAAAAAAACYAgAAZHJz&#10;L2Rvd25yZXYueG1sUEsFBgAAAAAEAAQA9QAAAIsDAAAAAA==&#10;" path="m,l1084,e" filled="f" strokeweight=".05619mm">
                    <v:path arrowok="t" o:connecttype="custom" o:connectlocs="0,0;1084,0" o:connectangles="0,0"/>
                  </v:shape>
                </v:group>
                <v:group id="Group 8899" o:spid="_x0000_s1196" style="position:absolute;left:15;top:2214;width:6570;height:2" coordorigin="15,2214"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MHSmLHIAAAA&#10;3gAAAA8AAAAAAAAAAAAAAAAAqgIAAGRycy9kb3ducmV2LnhtbFBLBQYAAAAABAAEAPoAAACfAwAA&#10;AAA=&#10;">
                  <v:shape id="Freeform 8900" o:spid="_x0000_s1197" style="position:absolute;left:15;top:2214;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REfsQA&#10;AADeAAAADwAAAGRycy9kb3ducmV2LnhtbERPS2vCQBC+F/oflil4KbpRqJroKioIhfbi6z5mp9nQ&#10;7GzIbkz8911B6G0+vucs172txI0aXzpWMB4lIIhzp0suFJxP++EchA/IGivHpOBOHtar15clZtp1&#10;fKDbMRQihrDPUIEJoc6k9Lkhi37kauLI/bjGYoiwKaRusIvhtpKTJJlKiyXHBoM17Qzlv8fWKvjQ&#10;edumU5vUX/vt+9Zc/LW7fys1eOs3CxCB+vAvfro/dZw/S8cpPN6JN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RH7EAAAA3gAAAA8AAAAAAAAAAAAAAAAAmAIAAGRycy9k&#10;b3ducmV2LnhtbFBLBQYAAAAABAAEAPUAAACJAwAAAAA=&#10;" path="m,l6569,e" filled="f" strokeweight=".05619mm">
                    <v:path arrowok="t" o:connecttype="custom" o:connectlocs="0,0;6569,0" o:connectangles="0,0"/>
                  </v:shape>
                </v:group>
                <v:group id="Group 8897" o:spid="_x0000_s1198" style="position:absolute;left:9801;top:2337;width:1084;height:2" coordorigin="9801,2337"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HIXgrIAAAA&#10;3gAAAA8AAAAAAAAAAAAAAAAAqgIAAGRycy9kb3ducmV2LnhtbFBLBQYAAAAABAAEAPoAAACfAwAA&#10;AAA=&#10;">
                  <v:shape id="Freeform 8898" o:spid="_x0000_s1199" style="position:absolute;left:9801;top:2337;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bmjMYA&#10;AADeAAAADwAAAGRycy9kb3ducmV2LnhtbERPO2vDMBDeC/kP4gpdQiwnQ5u4VkLIAzqVOmmGbod1&#10;tkytk7EUx/n3VaHQ7T6+5+Wb0bZioN43jhXMkxQEcel0w7WCz/NxtgThA7LG1jEpuJOHzXrykGOm&#10;3Y0LGk6hFjGEfYYKTAhdJqUvDVn0ieuII1e53mKIsK+l7vEWw20rF2n6LC02HBsMdrQzVH6frlaB&#10;Gy7FubqY/X08LL/w4316rIqpUk+P4/YVRKAx/Iv/3G86zn9ZLebw+068Qa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bmjMYAAADeAAAADwAAAAAAAAAAAAAAAACYAgAAZHJz&#10;L2Rvd25yZXYueG1sUEsFBgAAAAAEAAQA9QAAAIsDAAAAAA==&#10;" path="m,l1084,e" filled="f" strokeweight=".05619mm">
                    <v:path arrowok="t" o:connecttype="custom" o:connectlocs="0,0;1084,0" o:connectangles="0,0"/>
                  </v:shape>
                </v:group>
                <v:group id="Group 8895" o:spid="_x0000_s1200" style="position:absolute;left:15;top:2337;width:6570;height:2" coordorigin="15,2337"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5WZebFAAAA3gAA&#10;AA8AAAAAAAAAAAAAAAAAqgIAAGRycy9kb3ducmV2LnhtbFBLBQYAAAAABAAEAPoAAACcAwAAAAA=&#10;">
                  <v:shape id="Freeform 8896" o:spid="_x0000_s1201" style="position:absolute;left:15;top:2337;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C5KcUA&#10;AADeAAAADwAAAGRycy9kb3ducmV2LnhtbERPTWvCQBC9F/oflin0UuqmirbGbKQWBEEv2vY+Zsds&#10;MDsbshsT/70rFHqbx/ucbDnYWlyo9ZVjBW+jBARx4XTFpYKf7/XrBwgfkDXWjknBlTws88eHDFPt&#10;et7T5RBKEUPYp6jAhNCkUvrCkEU/cg1x5E6utRgibEupW+xjuK3lOElm0mLFscFgQ1+GivOhswqm&#10;uui6+cwmzXa9elmZX3/srzulnp+GzwWIQEP4F/+5NzrOf5+PJ3B/J94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ALkpxQAAAN4AAAAPAAAAAAAAAAAAAAAAAJgCAABkcnMv&#10;ZG93bnJldi54bWxQSwUGAAAAAAQABAD1AAAAigMAAAAA&#10;" path="m,l6569,e" filled="f" strokeweight=".05619mm">
                    <v:path arrowok="t" o:connecttype="custom" o:connectlocs="0,0;6569,0" o:connectangles="0,0"/>
                  </v:shape>
                </v:group>
                <v:group id="Group 8893" o:spid="_x0000_s1202" style="position:absolute;left:9801;top:2459;width:1084;height:2" coordorigin="9801,2459" coordsize="10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7zWAnFAAAA3gAA&#10;AA8AAAAAAAAAAAAAAAAAqgIAAGRycy9kb3ducmV2LnhtbFBLBQYAAAAABAAEAPoAAACcAwAAAAA=&#10;">
                  <v:shape id="Freeform 8894" o:spid="_x0000_s1203" style="position:absolute;left:9801;top:2459;width:1084;height:2;visibility:visible;mso-wrap-style:square;v-text-anchor:top" coordsize="10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3gj8UA&#10;AADeAAAADwAAAGRycy9kb3ducmV2LnhtbERPTWvCQBC9F/wPywhepG4U2troKqIVepJG66G3ITvJ&#10;BrOzIbvG+O+7QqG3ebzPWa57W4uOWl85VjCdJCCIc6crLhV8n/bPcxA+IGusHZOCO3lYrwZPS0y1&#10;u3FG3TGUIoawT1GBCaFJpfS5IYt+4hriyBWutRgibEupW7zFcFvLWZK8SosVxwaDDW0N5Zfj1Spw&#10;3Tk7FWezu/cf8x/8Ooz3RTZWajTsNwsQgfrwL/5zf+o4/+199gKPd+IN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reCPxQAAAN4AAAAPAAAAAAAAAAAAAAAAAJgCAABkcnMv&#10;ZG93bnJldi54bWxQSwUGAAAAAAQABAD1AAAAigMAAAAA&#10;" path="m,l1084,e" filled="f" strokeweight=".05619mm">
                    <v:path arrowok="t" o:connecttype="custom" o:connectlocs="0,0;1084,0" o:connectangles="0,0"/>
                  </v:shape>
                </v:group>
                <v:group id="Group 8891" o:spid="_x0000_s1204" style="position:absolute;left:15;top:2459;width:6570;height:2" coordorigin="15,2459" coordsize="65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FtY+XFAAAA3gAA&#10;AA8AAAAAAAAAAAAAAAAAqgIAAGRycy9kb3ducmV2LnhtbFBLBQYAAAAABAAEAPoAAACcAwAAAAA=&#10;">
                  <v:shape id="Freeform 8892" o:spid="_x0000_s1205" style="position:absolute;left:15;top:2459;width:6570;height:2;visibility:visible;mso-wrap-style:square;v-text-anchor:top" coordsize="65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u/KsQA&#10;AADeAAAADwAAAGRycy9kb3ducmV2LnhtbERPTWvCQBC9F/wPywi9lLpRqNbUVVQQCvZi1PuYnWaD&#10;2dmQ3Zj477tCwds83ucsVr2txI0aXzpWMB4lIIhzp0suFJyOu/dPED4ga6wck4I7eVgtBy8LTLXr&#10;+EC3LBQihrBPUYEJoU6l9Lkhi37kauLI/brGYoiwKaRusIvhtpKTJJlKiyXHBoM1bQ3l16y1Cj50&#10;3rbzqU3q/W7ztjFnf+nuP0q9Dvv1F4hAfXiK/93fOs6fzSczeLwTb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7vyrEAAAA3gAAAA8AAAAAAAAAAAAAAAAAmAIAAGRycy9k&#10;b3ducmV2LnhtbFBLBQYAAAAABAAEAPUAAACJAwAAAAA=&#10;" path="m,l6569,e" filled="f" strokeweight=".05619mm">
                    <v:path arrowok="t" o:connecttype="custom" o:connectlocs="0,0;6569,0" o:connectangles="0,0"/>
                  </v:shape>
                </v:group>
                <v:group id="Group 8889" o:spid="_x0000_s1206" style="position:absolute;left:15;top:2581;width:10870;height:2" coordorigin="15,2581"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UgzIAAAA&#10;3gAAAA8AAAAAAAAAAAAAAAAAqgIAAGRycy9kb3ducmV2LnhtbFBLBQYAAAAABAAEAPoAAACfAwAA&#10;AAA=&#10;">
                  <v:shape id="Freeform 8890" o:spid="_x0000_s1207" style="position:absolute;left:15;top:2581;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tJNcMA&#10;AADeAAAADwAAAGRycy9kb3ducmV2LnhtbERPS2vCQBC+F/wPywje6qYGfKRughYi0lutvY/Z6SaY&#10;nY3ZrcZ/7xYKvc3H95x1MdhWXKn3jWMFL9MEBHHldMNGwfGzfF6C8AFZY+uYFNzJQ5GPntaYaXfj&#10;D7oeghExhH2GCuoQukxKX9Vk0U9dRxy5b9dbDBH2RuoebzHctnKWJHNpseHYUGNHbzVV58OPVXA6&#10;l4swfG34lKZmu3u33rSXSqnJeNi8ggg0hH/xn3uv4/zFaraC33fiDTJ/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tJNcMAAADeAAAADwAAAAAAAAAAAAAAAACYAgAAZHJzL2Rv&#10;d25yZXYueG1sUEsFBgAAAAAEAAQA9QAAAIgDAAAAAA==&#10;" path="m,l10870,e" filled="f" strokeweight=".05619mm">
                    <v:path arrowok="t" o:connecttype="custom" o:connectlocs="0,0;10870,0" o:connectangles="0,0"/>
                  </v:shape>
                </v:group>
                <v:group id="Group 8887" o:spid="_x0000_s1208" style="position:absolute;left:15;top:2703;width:10870;height:2" coordorigin="15,2703"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HQRyNfIAAAA&#10;3gAAAA8AAAAAAAAAAAAAAAAAqgIAAGRycy9kb3ducmV2LnhtbFBLBQYAAAAABAAEAPoAAACfAwAA&#10;AAA=&#10;">
                  <v:shape id="Freeform 8888" o:spid="_x0000_s1209" style="position:absolute;left:15;top:2703;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TT7sIA&#10;AADeAAAADwAAAGRycy9kb3ducmV2LnhtbERPS4vCMBC+C/sfwix401QLPqpRdEERb+rufWxm02Iz&#10;6TZZrf/eCIK3+fieM1+2thJXanzpWMGgn4Agzp0u2Sj4Pm16ExA+IGusHJOCO3lYLj46c8y0u/GB&#10;rsdgRAxhn6GCIoQ6k9LnBVn0fVcTR+7XNRZDhI2RusFbDLeVHCbJSFosOTYUWNNXQfnl+G8VnC+b&#10;cWh/VnxOU7Pe7q031V+uVPezXc1ABGrDW/xy73ScP56mA3i+E2+Qi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xNPuwgAAAN4AAAAPAAAAAAAAAAAAAAAAAJgCAABkcnMvZG93&#10;bnJldi54bWxQSwUGAAAAAAQABAD1AAAAhwMAAAAA&#10;" path="m,l10870,e" filled="f" strokeweight=".05619mm">
                    <v:path arrowok="t" o:connecttype="custom" o:connectlocs="0,0;10870,0" o:connectangles="0,0"/>
                  </v:shape>
                </v:group>
                <v:group id="Group 8885" o:spid="_x0000_s1210" style="position:absolute;left:15;top:2825;width:10870;height:2" coordorigin="15,2825"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uP8zvFAAAA3gAA&#10;AA8AAAAAAAAAAAAAAAAAqgIAAGRycy9kb3ducmV2LnhtbFBLBQYAAAAABAAEAPoAAACcAwAAAAA=&#10;">
                  <v:shape id="Freeform 8886" o:spid="_x0000_s1211" style="position:absolute;left:15;top:2825;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roAsMA&#10;AADeAAAADwAAAGRycy9kb3ducmV2LnhtbERPTWvCQBC9F/wPyxR6q5sa0BqzSiyklN609T5mx01I&#10;djZmt5r+e7cg9DaP9zn5ZrSduNDgG8cKXqYJCOLK6YaNgu+v8vkVhA/IGjvHpOCXPGzWk4ccM+2u&#10;vKPLPhgRQ9hnqKAOoc+k9FVNFv3U9cSRO7nBYohwMFIPeI3htpOzJJlLiw3Hhhp7equpavc/VsGx&#10;LRdhPBR8TFOzff+03nTnSqmnx7FYgQg0hn/x3f2h4/zFMk3h7514g1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FroAsMAAADeAAAADwAAAAAAAAAAAAAAAACYAgAAZHJzL2Rv&#10;d25yZXYueG1sUEsFBgAAAAAEAAQA9QAAAIgDAAAAAA==&#10;" path="m,l10870,e" filled="f" strokeweight=".05619mm">
                    <v:path arrowok="t" o:connecttype="custom" o:connectlocs="0,0;10870,0" o:connectangles="0,0"/>
                  </v:shape>
                </v:group>
                <v:group id="Group 8883" o:spid="_x0000_s1212" style="position:absolute;left:15;top:2947;width:10870;height:2" coordorigin="15,2947"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sqztTFAAAA3gAA&#10;AA8AAAAAAAAAAAAAAAAAqgIAAGRycy9kb3ducmV2LnhtbFBLBQYAAAAABAAEAPoAAACcAwAAAAA=&#10;">
                  <v:shape id="Freeform 8884" o:spid="_x0000_s1213" style="position:absolute;left:15;top:2947;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7cMA&#10;AADeAAAADwAAAGRycy9kb3ducmV2LnhtbERPTWvCQBC9F/wPyxS81U0N1Zq6CSoopTe13sfsdBPM&#10;zsbsqum/7xYEb/N4nzMvetuIK3W+dqzgdZSAIC6drtko+N6vX95B+ICssXFMCn7JQ5EPnuaYaXfj&#10;LV13wYgYwj5DBVUIbSalLyuy6EeuJY7cj+sshgg7I3WHtxhuGzlOkom0WHNsqLClVUXlaXexCo6n&#10;9TT0hwUf09QsN1/Wm+ZcKjV87hcfIAL14SG+uz91nD+dpW/w/068Qe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V7cMAAADeAAAADwAAAAAAAAAAAAAAAACYAgAAZHJzL2Rv&#10;d25yZXYueG1sUEsFBgAAAAAEAAQA9QAAAIgDAAAAAA==&#10;" path="m,l10870,e" filled="f" strokeweight=".05619mm">
                    <v:path arrowok="t" o:connecttype="custom" o:connectlocs="0,0;10870,0" o:connectangles="0,0"/>
                  </v:shape>
                </v:group>
                <v:group id="Group 8881" o:spid="_x0000_s1214" style="position:absolute;left:15;top:3069;width:10870;height:2" coordorigin="15,3069"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S09TjFAAAA3gAA&#10;AA8AAAAAAAAAAAAAAAAAqgIAAGRycy9kb3ducmV2LnhtbFBLBQYAAAAABAAEAPoAAACcAwAAAAA=&#10;">
                  <v:shape id="Freeform 8882" o:spid="_x0000_s1215" style="position:absolute;left:15;top:3069;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HuAcIA&#10;AADeAAAADwAAAGRycy9kb3ducmV2LnhtbERPS2vCQBC+C/6HZQq9mU0bMDa6ihUspTcfvY/ZcRPM&#10;zsbsqum/dwuCt/n4njNb9LYRV+p87VjBW5KCIC6drtko2O/WowkIH5A1No5JwR95WMyHgxkW2t14&#10;Q9dtMCKGsC9QQRVCW0jpy4os+sS1xJE7us5iiLAzUnd4i+G2ke9pOpYWa44NFba0qqg8bS9WweG0&#10;zkP/u+RDlpnPrx/rTXMulXp96ZdTEIH68BQ/3N86zs8/shz+34k3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Ye4BwgAAAN4AAAAPAAAAAAAAAAAAAAAAAJgCAABkcnMvZG93&#10;bnJldi54bWxQSwUGAAAAAAQABAD1AAAAhwMAAAAA&#10;" path="m,l10870,e" filled="f" strokeweight=".05619mm">
                    <v:path arrowok="t" o:connecttype="custom" o:connectlocs="0,0;10870,0" o:connectangles="0,0"/>
                  </v:shape>
                </v:group>
                <v:group id="Group 8879" o:spid="_x0000_s1216" style="position:absolute;left:9856;top:3192;width:1030;height:2" coordorigin="9856,3192"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IpnxNHIAAAA&#10;3gAAAA8AAAAAAAAAAAAAAAAAqgIAAGRycy9kb3ducmV2LnhtbFBLBQYAAAAABAAEAPoAAACfAwAA&#10;AAA=&#10;">
                  <v:shape id="Freeform 8880" o:spid="_x0000_s1217" style="position:absolute;left:9856;top:3192;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HDNMUA&#10;AADeAAAADwAAAGRycy9kb3ducmV2LnhtbERP30vDMBB+H/g/hBN821IV1HbLhkhFXwY6i7C3oznb&#10;subSJXHN/vtlMNjbfXw/b7GKphcHcr6zrOB+loEgrq3uuFFQ/bxPX0D4gKyxt0wKjuRhtbyZLLDQ&#10;duRvOmxCI1II+wIVtCEMhZS+bsmgn9mBOHF/1hkMCbpGaodjCje9fMiyJ2mw49TQ4kBvLdW7zb9R&#10;8BurtXV7sx0/3H4Xy7z8qmKp1N1tfJ2DCBTDVXxxf+o0/zl/zOH8TrpBLk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scM0xQAAAN4AAAAPAAAAAAAAAAAAAAAAAJgCAABkcnMv&#10;ZG93bnJldi54bWxQSwUGAAAAAAQABAD1AAAAigMAAAAA&#10;" path="m,l1029,e" filled="f" strokeweight=".05619mm">
                    <v:path arrowok="t" o:connecttype="custom" o:connectlocs="0,0;1029,0" o:connectangles="0,0"/>
                  </v:shape>
                </v:group>
                <v:group id="Group 8877" o:spid="_x0000_s1218" style="position:absolute;left:15;top:3192;width:6687;height:2" coordorigin="15,3192"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AsF7uqyQAA&#10;AN4AAAAPAAAAAAAAAAAAAAAAAKoCAABkcnMvZG93bnJldi54bWxQSwUGAAAAAAQABAD6AAAAoAMA&#10;AAAA&#10;">
                  <v:shape id="Freeform 8878" o:spid="_x0000_s1219" style="position:absolute;left:15;top:3192;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JqgMUA&#10;AADeAAAADwAAAGRycy9kb3ducmV2LnhtbERPS2vCQBC+F/oflil4qxtFqqauopEWT4KPg8chO02C&#10;2dm4u8a0v74rCN7m43vObNGZWrTkfGVZwaCfgCDOra64UHA8fL1PQPiArLG2TAp+ycNi/voyw1Tb&#10;G++o3YdCxBD2KSooQ2hSKX1ekkHftw1x5H6sMxgidIXUDm8x3NRymCQf0mDFsaHEhrKS8vP+ahSc&#10;1tPLZiWXly3/nb5de8jO7SRTqvfWLT9BBOrCU/xwb3ScP56OBnB/J94g5/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MmqAxQAAAN4AAAAPAAAAAAAAAAAAAAAAAJgCAABkcnMv&#10;ZG93bnJldi54bWxQSwUGAAAAAAQABAD1AAAAigMAAAAA&#10;" path="m,l6686,e" filled="f" strokeweight=".05619mm">
                    <v:path arrowok="t" o:connecttype="custom" o:connectlocs="0,0;6686,0" o:connectangles="0,0"/>
                  </v:shape>
                </v:group>
                <v:group id="Group 8875" o:spid="_x0000_s1220" style="position:absolute;left:9856;top:3314;width:1030;height:2" coordorigin="9856,3314"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OJgEbFAAAA3gAA&#10;AA8AAAAAAAAAAAAAAAAAqgIAAGRycy9kb3ducmV2LnhtbFBLBQYAAAAABAAEAPoAAACcAwAAAAA=&#10;">
                  <v:shape id="Freeform 8876" o:spid="_x0000_s1221" style="position:absolute;left:9856;top:3314;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Ho8UA&#10;AADeAAAADwAAAGRycy9kb3ducmV2LnhtbERPS2sCMRC+F/ofwhR6q9k+aHU1Sikr7UWwugjehs24&#10;u7iZrEl0039vCoXe5uN7zmwRTScu5HxrWcHjKANBXFndcq2g3C4fxiB8QNbYWSYFP+RhMb+9mWGu&#10;7cDfdNmEWqQQ9jkqaELocyl91ZBBP7I9ceIO1hkMCbpaaodDCjedfMqyV2mw5dTQYE8fDVXHzdko&#10;2MVyZd3J7IdPdzrGYlKsy1godX8X36cgAsXwL/5zf+k0/23y8gy/76Qb5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X4ejxQAAAN4AAAAPAAAAAAAAAAAAAAAAAJgCAABkcnMv&#10;ZG93bnJldi54bWxQSwUGAAAAAAQABAD1AAAAigMAAAAA&#10;" path="m,l1029,e" filled="f" strokeweight=".05619mm">
                    <v:path arrowok="t" o:connecttype="custom" o:connectlocs="0,0;1029,0" o:connectangles="0,0"/>
                  </v:shape>
                </v:group>
                <v:group id="Group 8873" o:spid="_x0000_s1222" style="position:absolute;left:15;top:3314;width:6687;height:2" coordorigin="15,3314"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TLL2pxgAAAN4A&#10;AAAPAAAAAAAAAAAAAAAAAKoCAABkcnMvZG93bnJldi54bWxQSwUGAAAAAAQABAD6AAAAnQMAAAAA&#10;">
                  <v:shape id="Freeform 8874" o:spid="_x0000_s1223" style="position:absolute;left:15;top:3314;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lsg8UA&#10;AADeAAAADwAAAGRycy9kb3ducmV2LnhtbERPTWvCQBC9F/wPywi91Y1iraauoiktnoTGHjwO2WkS&#10;zM7G3W1M++tdQehtHu9zluveNKIj52vLCsajBARxYXXNpYKvw/vTHIQPyBoby6TglzysV4OHJaba&#10;XviTujyUIoawT1FBFUKbSumLigz6kW2JI/dtncEQoSuldniJ4aaRkySZSYM1x4YKW8oqKk75j1Fw&#10;fFucd1u5Oe/57/jhukN26uaZUo/DfvMKIlAf/sV3907H+S+L6TPc3ok3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CWyDxQAAAN4AAAAPAAAAAAAAAAAAAAAAAJgCAABkcnMv&#10;ZG93bnJldi54bWxQSwUGAAAAAAQABAD1AAAAigMAAAAA&#10;" path="m,l6686,e" filled="f" strokeweight=".05619mm">
                    <v:path arrowok="t" o:connecttype="custom" o:connectlocs="0,0;6686,0" o:connectangles="0,0"/>
                  </v:shape>
                </v:group>
                <v:group id="Group 8871" o:spid="_x0000_s1224" style="position:absolute;left:9856;top:3436;width:1030;height:2" coordorigin="9856,3436"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yyhkXFAAAA3gAA&#10;AA8AAAAAAAAAAAAAAAAAqgIAAGRycy9kb3ducmV2LnhtbFBLBQYAAAAABAAEAPoAAACcAwAAAAA=&#10;">
                  <v:shape id="Freeform 8872" o:spid="_x0000_s1225" style="position:absolute;left:9856;top:3436;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SBoMUA&#10;AADeAAAADwAAAGRycy9kb3ducmV2LnhtbERP32vCMBB+H+x/CCfsbabK0FmNMqRjexlMVwTfjuZs&#10;i82lJpmN//0yGOztPr6ft9pE04krOd9aVjAZZyCIK6tbrhWUX6+PzyB8QNbYWSYFN/KwWd/frTDX&#10;duAdXfehFimEfY4KmhD6XEpfNWTQj21PnLiTdQZDgq6W2uGQwk0np1k2kwZbTg0N9rRtqDrvv42C&#10;Qyw/rLuY4/DmLudYLIrPMhZKPYziyxJEoBj+xX/ud53mzxdPc/h9J90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ZIGgxQAAAN4AAAAPAAAAAAAAAAAAAAAAAJgCAABkcnMv&#10;ZG93bnJldi54bWxQSwUGAAAAAAQABAD1AAAAigMAAAAA&#10;" path="m,l1029,e" filled="f" strokeweight=".05619mm">
                    <v:path arrowok="t" o:connecttype="custom" o:connectlocs="0,0;1029,0" o:connectangles="0,0"/>
                  </v:shape>
                </v:group>
                <v:group id="Group 8869" o:spid="_x0000_s1226" style="position:absolute;left:15;top:3436;width:6687;height:2" coordorigin="15,3436"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DSYbesyQAA&#10;AN4AAAAPAAAAAAAAAAAAAAAAAKoCAABkcnMvZG93bnJldi54bWxQSwUGAAAAAAQABAD6AAAAoAMA&#10;AAAA&#10;">
                  <v:shape id="Freeform 8870" o:spid="_x0000_s1227" style="position:absolute;left:15;top:3436;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RmhsUA&#10;AADeAAAADwAAAGRycy9kb3ducmV2LnhtbERPTWvCQBC9F/wPywje6qYi1aSuopEWT0K1B49DdpoE&#10;s7Nxd41pf31XEHqbx/ucxao3jejI+dqygpdxAoK4sLrmUsHX8f15DsIHZI2NZVLwQx5Wy8HTAjNt&#10;b/xJ3SGUIoawz1BBFUKbSemLigz6sW2JI/dtncEQoSuldniL4aaRkyR5lQZrjg0VtpRXVJwPV6Pg&#10;tE0vu41cX/b8e/pw3TE/d/NcqdGwX7+BCNSHf/HDvdNx/iydpnB/J94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RGaGxQAAAN4AAAAPAAAAAAAAAAAAAAAAAJgCAABkcnMv&#10;ZG93bnJldi54bWxQSwUGAAAAAAQABAD1AAAAigMAAAAA&#10;" path="m,l6686,e" filled="f" strokeweight=".05619mm">
                    <v:path arrowok="t" o:connecttype="custom" o:connectlocs="0,0;6686,0" o:connectangles="0,0"/>
                  </v:shape>
                </v:group>
                <v:group id="Group 8867" o:spid="_x0000_s1228" style="position:absolute;left:9856;top:3558;width:1030;height:2" coordorigin="9856,3558"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nOLXfIAAAA&#10;3gAAAA8AAAAAAAAAAAAAAAAAqgIAAGRycy9kb3ducmV2LnhtbFBLBQYAAAAABAAEAPoAAACfAwAA&#10;AAA=&#10;">
                  <v:shape id="Freeform 8868" o:spid="_x0000_s1229" style="position:absolute;left:9856;top:3558;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qksUA&#10;AADeAAAADwAAAGRycy9kb3ducmV2LnhtbERP30vDMBB+H/g/hBN8c+kEneuaDpGKvgjbLIJvR3Nr&#10;y5pLl8Q1/vdGEPZ2H9/PKzbRDOJMzveWFSzmGQjixuqeWwX1x8vtIwgfkDUOlknBD3nYlFezAnNt&#10;J97ReR9akULY56igC2HMpfRNRwb93I7EiTtYZzAk6FqpHU4p3AzyLssepMGeU0OHIz131Bz330bB&#10;Z6zfrTuZr+nVnY6xWlXbOlZK3VzHpzWIQDFcxP/uN53mL1f3C/h7J90g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GCqSxQAAAN4AAAAPAAAAAAAAAAAAAAAAAJgCAABkcnMv&#10;ZG93bnJldi54bWxQSwUGAAAAAAQABAD1AAAAigMAAAAA&#10;" path="m,l1029,e" filled="f" strokeweight=".05619mm">
                    <v:path arrowok="t" o:connecttype="custom" o:connectlocs="0,0;1029,0" o:connectangles="0,0"/>
                  </v:shape>
                </v:group>
                <v:group id="Group 8865" o:spid="_x0000_s1230" style="position:absolute;left:15;top:3558;width:6687;height:2" coordorigin="15,3558"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ZQFpvFAAAA3gAA&#10;AA8AAAAAAAAAAAAAAAAAqgIAAGRycy9kb3ducmV2LnhtbFBLBQYAAAAABAAEAPoAAACcAwAAAAA=&#10;">
                  <v:shape id="Freeform 8866" o:spid="_x0000_s1231" style="position:absolute;left:15;top:3558;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XHscUA&#10;AADeAAAADwAAAGRycy9kb3ducmV2LnhtbERPTWvCQBC9F/wPywi91Y1KraauoiktnoTGHjwO2WkS&#10;zM7G3W1M++tdQehtHu9zluveNKIj52vLCsajBARxYXXNpYKvw/vTHIQPyBoby6TglzysV4OHJaba&#10;XviTujyUIoawT1FBFUKbSumLigz6kW2JI/dtncEQoSuldniJ4aaRkySZSYM1x4YKW8oqKk75j1Fw&#10;fFucd1u5Oe/57/jhukN26uaZUo/DfvMKIlAf/sV3907H+S+L5ync3ok3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dcexxQAAAN4AAAAPAAAAAAAAAAAAAAAAAJgCAABkcnMv&#10;ZG93bnJldi54bWxQSwUGAAAAAAQABAD1AAAAigMAAAAA&#10;" path="m,l6686,e" filled="f" strokeweight=".05619mm">
                    <v:path arrowok="t" o:connecttype="custom" o:connectlocs="0,0;6686,0" o:connectangles="0,0"/>
                  </v:shape>
                </v:group>
                <v:group id="Group 8863" o:spid="_x0000_s1232" style="position:absolute;left:9856;top:3680;width:1030;height:2" coordorigin="9856,3680"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b1K3TFAAAA3gAA&#10;AA8AAAAAAAAAAAAAAAAAqgIAAGRycy9kb3ducmV2LnhtbFBLBQYAAAAABAAEAPoAAACcAwAAAAA=&#10;">
                  <v:shape id="Freeform 8864" o:spid="_x0000_s1233" style="position:absolute;left:9856;top:3680;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MskcUA&#10;AADeAAAADwAAAGRycy9kb3ducmV2LnhtbERP32vCMBB+H+x/CCfsbaYOdLMaZYyO+SJMVwTfjuZs&#10;i82lJpnN/vtFGOztPr6ft1xH04krOd9aVjAZZyCIK6tbrhWUX++PLyB8QNbYWSYFP+Rhvbq/W2Ku&#10;7cA7uu5DLVII+xwVNCH0uZS+asigH9ueOHEn6wyGBF0ttcMhhZtOPmXZTBpsOTU02NNbQ9V5/20U&#10;HGK5te5ijsOHu5xjMS8+y1go9TCKrwsQgWL4F/+5NzrNf55Pp3B7J90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IyyRxQAAAN4AAAAPAAAAAAAAAAAAAAAAAJgCAABkcnMv&#10;ZG93bnJldi54bWxQSwUGAAAAAAQABAD1AAAAigMAAAAA&#10;" path="m,l1029,e" filled="f" strokeweight=".05619mm">
                    <v:path arrowok="t" o:connecttype="custom" o:connectlocs="0,0;1029,0" o:connectangles="0,0"/>
                  </v:shape>
                </v:group>
                <v:group id="Group 8861" o:spid="_x0000_s1234" style="position:absolute;left:15;top:3680;width:6687;height:2" coordorigin="15,3680"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lrEJjFAAAA3gAA&#10;AA8AAAAAAAAAAAAAAAAAqgIAAGRycy9kb3ducmV2LnhtbFBLBQYAAAAABAAEAPoAAACcAwAAAAA=&#10;">
                  <v:shape id="Freeform 8862" o:spid="_x0000_s1235" style="position:absolute;left:15;top:3680;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7BssUA&#10;AADeAAAADwAAAGRycy9kb3ducmV2LnhtbERPS2vCQBC+C/6HZQredNNCfURX0RSLp0K1B49DdkyC&#10;2dm4u42pv94VCt7m43vOYtWZWrTkfGVZwesoAUGcW11xoeDnsB1OQfiArLG2TAr+yMNq2e8tMNX2&#10;yt/U7kMhYgj7FBWUITSplD4vyaAf2YY4cifrDIYIXSG1w2sMN7V8S5KxNFhxbCixoayk/Lz/NQqO&#10;H7PLbiPXly++HT9de8jO7TRTavDSrecgAnXhKf5373ScP5m9T+DxTrxB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TsGyxQAAAN4AAAAPAAAAAAAAAAAAAAAAAJgCAABkcnMv&#10;ZG93bnJldi54bWxQSwUGAAAAAAQABAD1AAAAigMAAAAA&#10;" path="m,l6686,e" filled="f" strokeweight=".05619mm">
                    <v:path arrowok="t" o:connecttype="custom" o:connectlocs="0,0;6686,0" o:connectangles="0,0"/>
                  </v:shape>
                </v:group>
                <v:group id="Group 8859" o:spid="_x0000_s1236" style="position:absolute;left:9856;top:3803;width:1030;height:2" coordorigin="9856,3803"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Fe4IXHIAAAA&#10;3gAAAA8AAAAAAAAAAAAAAAAAqgIAAGRycy9kb3ducmV2LnhtbFBLBQYAAAAABAAEAPoAAACfAwAA&#10;AAA=&#10;">
                  <v:shape id="Freeform 8860" o:spid="_x0000_s1237" style="position:absolute;left:9856;top:3803;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4mlMUA&#10;AADeAAAADwAAAGRycy9kb3ducmV2LnhtbERPS2vCQBC+C/0PyxR6000LfSS6Sikp7UVobSh4G7LT&#10;JJidjbtbs/57VxC8zcf3nMUqml4cyPnOsoL7WQaCuLa640ZB9fM+fQHhA7LG3jIpOJKH1fJmssBC&#10;25G/6bAJjUgh7AtU0IYwFFL6uiWDfmYH4sT9WWcwJOgaqR2OKdz08iHLnqTBjlNDiwO9tVTvNv9G&#10;wW+s1tbtzXb8cPtdLPPyq4qlUne38XUOIlAMV/HF/anT/Of8MYfzO+kGuT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biaUxQAAAN4AAAAPAAAAAAAAAAAAAAAAAJgCAABkcnMv&#10;ZG93bnJldi54bWxQSwUGAAAAAAQABAD1AAAAigMAAAAA&#10;" path="m,l1029,e" filled="f" strokeweight=".05619mm">
                    <v:path arrowok="t" o:connecttype="custom" o:connectlocs="0,0;1029,0" o:connectangles="0,0"/>
                  </v:shape>
                </v:group>
                <v:group id="Group 8857" o:spid="_x0000_s1238" style="position:absolute;left:15;top:3803;width:6687;height:2" coordorigin="15,3803"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Gei58rIAAAA&#10;3gAAAA8AAAAAAAAAAAAAAAAAqgIAAGRycy9kb3ducmV2LnhtbFBLBQYAAAAABAAEAPoAAACfAwAA&#10;AAA=&#10;">
                  <v:shape id="Freeform 8858" o:spid="_x0000_s1239" style="position:absolute;left:15;top:3803;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c24MQA&#10;AADeAAAADwAAAGRycy9kb3ducmV2LnhtbERPO2/CMBDeK/EfrKvEVhw68EgxCFKBmJAKHRhP8TWJ&#10;iM/BNiHw6zFSJbb79D1vtuhMLVpyvrKsYDhIQBDnVldcKPg9rD8mIHxA1lhbJgU38rCY995mmGp7&#10;5R9q96EQMYR9igrKEJpUSp+XZNAPbEMcuT/rDIYIXSG1w2sMN7X8TJKRNFhxbCixoayk/LS/GAXH&#10;7+l5u5LL847vx41rD9mpnWRK9d+75ReIQF14if/dWx3nj6ejITzfiTf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HNuDEAAAA3gAAAA8AAAAAAAAAAAAAAAAAmAIAAGRycy9k&#10;b3ducmV2LnhtbFBLBQYAAAAABAAEAPUAAACJAwAAAAA=&#10;" path="m,l6686,e" filled="f" strokeweight=".05619mm">
                    <v:path arrowok="t" o:connecttype="custom" o:connectlocs="0,0;6686,0" o:connectangles="0,0"/>
                  </v:shape>
                </v:group>
                <v:group id="Group 8855" o:spid="_x0000_s1240" style="position:absolute;left:9856;top:3925;width:1030;height:2" coordorigin="9856,3925"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g83CbFAAAA3gAA&#10;AA8AAAAAAAAAAAAAAAAAqgIAAGRycy9kb3ducmV2LnhtbFBLBQYAAAAABAAEAPoAAACcAwAAAAA=&#10;">
                  <v:shape id="Freeform 8856" o:spid="_x0000_s1241" style="position:absolute;left:9856;top:3925;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rbw8UA&#10;AADeAAAADwAAAGRycy9kb3ducmV2LnhtbERP32vCMBB+H+x/CCfsTVM3cLMaZYyO7WUwXRF8O5qz&#10;LTaXmmQ2/vdmIOztPr6ft1xH04kzOd9aVjCdZCCIK6tbrhWUP+/jFxA+IGvsLJOCC3lYr+7vlphr&#10;O/CGzttQixTCPkcFTQh9LqWvGjLoJ7YnTtzBOoMhQVdL7XBI4aaTj1k2kwZbTg0N9vTWUHXc/hoF&#10;u1h+WXcy++HDnY6xmBffZSyUehjF1wWIQDH8i2/uT53mP89nT/D3TrpB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tvDxQAAAN4AAAAPAAAAAAAAAAAAAAAAAJgCAABkcnMv&#10;ZG93bnJldi54bWxQSwUGAAAAAAQABAD1AAAAigMAAAAA&#10;" path="m,l1029,e" filled="f" strokeweight=".05619mm">
                    <v:path arrowok="t" o:connecttype="custom" o:connectlocs="0,0;1029,0" o:connectangles="0,0"/>
                  </v:shape>
                </v:group>
                <v:group id="Group 8853" o:spid="_x0000_s1242" style="position:absolute;left:15;top:3925;width:6687;height:2" coordorigin="15,3925"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iZ4cnFAAAA3gAA&#10;AA8AAAAAAAAAAAAAAAAAqgIAAGRycy9kb3ducmV2LnhtbFBLBQYAAAAABAAEAPoAAACcAwAAAAA=&#10;">
                  <v:shape id="Freeform 8854" o:spid="_x0000_s1243" style="position:absolute;left:15;top:3925;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ww48UA&#10;AADeAAAADwAAAGRycy9kb3ducmV2LnhtbERPTWvCQBC9C/6HZQredNOCVqOraMTiqVDtweOQHZNg&#10;djbubmPqr3cLBW/zeJ+zWHWmFi05X1lW8DpKQBDnVldcKPg+7oZTED4ga6wtk4Jf8rBa9nsLTLW9&#10;8Re1h1CIGMI+RQVlCE0qpc9LMuhHtiGO3Nk6gyFCV0jt8BbDTS3fkmQiDVYcG0psKCspvxx+jILT&#10;dnbdb+T6+sn304drj9mlnWZKDV669RxEoC48xf/uvY7z32eTMfy9E2+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vDDjxQAAAN4AAAAPAAAAAAAAAAAAAAAAAJgCAABkcnMv&#10;ZG93bnJldi54bWxQSwUGAAAAAAQABAD1AAAAigMAAAAA&#10;" path="m,l6686,e" filled="f" strokeweight=".05619mm">
                    <v:path arrowok="t" o:connecttype="custom" o:connectlocs="0,0;6686,0" o:connectangles="0,0"/>
                  </v:shape>
                </v:group>
                <v:group id="Group 8851" o:spid="_x0000_s1244" style="position:absolute;left:9856;top:4047;width:1030;height:2" coordorigin="9856,4047"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cH2iXFAAAA3gAA&#10;AA8AAAAAAAAAAAAAAAAAqgIAAGRycy9kb3ducmV2LnhtbFBLBQYAAAAABAAEAPoAAACcAwAAAAA=&#10;">
                  <v:shape id="Freeform 8852" o:spid="_x0000_s1245" style="position:absolute;left:9856;top:4047;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HdwMUA&#10;AADeAAAADwAAAGRycy9kb3ducmV2LnhtbERPTWsCMRC9F/wPYQrearY9aF2NIrKlXoTWLgVvw2bc&#10;XdxM1iR1479vCgVv83ifs1xH04krOd9aVvA8yUAQV1a3XCsov96eXkH4gKyxs0wKbuRhvRo9LDHX&#10;duBPuh5CLVII+xwVNCH0uZS+asign9ieOHEn6wyGBF0ttcMhhZtOvmTZVBpsOTU02NO2oep8+DEK&#10;vmO5t+5ijsO7u5xjMS8+ylgoNX6MmwWIQDHcxf/unU7zZ/PpDP7eST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0d3AxQAAAN4AAAAPAAAAAAAAAAAAAAAAAJgCAABkcnMv&#10;ZG93bnJldi54bWxQSwUGAAAAAAQABAD1AAAAigMAAAAA&#10;" path="m,l1029,e" filled="f" strokeweight=".05619mm">
                    <v:path arrowok="t" o:connecttype="custom" o:connectlocs="0,0;1029,0" o:connectangles="0,0"/>
                  </v:shape>
                </v:group>
                <v:group id="Group 8849" o:spid="_x0000_s1246" style="position:absolute;left:1022;top:4047;width:2;height:856" coordorigin="1022,4047" coordsize="2,8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JnU68zIAAAA&#10;3gAAAA8AAAAAAAAAAAAAAAAAqgIAAGRycy9kb3ducmV2LnhtbFBLBQYAAAAABAAEAPoAAACfAwAA&#10;AAA=&#10;">
                  <v:shape id="Freeform 8850" o:spid="_x0000_s1247" style="position:absolute;left:1022;top:4047;width:2;height:856;visibility:visible;mso-wrap-style:square;v-text-anchor:top" coordsize="2,8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5JCsUA&#10;AADeAAAADwAAAGRycy9kb3ducmV2LnhtbERPS2vCQBC+F/oflin0VjctJWp0FdH6AC8aS70O2TEJ&#10;zc6G3VXjv3eFQm/z8T1nPO1MIy7kfG1ZwXsvAUFcWF1zqeD7sHwbgPABWWNjmRTcyMN08vw0xkzb&#10;K+/pkodSxBD2GSqoQmgzKX1RkUHfsy1x5E7WGQwRulJqh9cYbhr5kSSpNFhzbKiwpXlFxW9+Ngq2&#10;q/X26+Dyz3aQcvKz2Z0Wx4VU6vWlm41ABOrCv/jPvdFxfn+YDuHxTrxBT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7kkKxQAAAN4AAAAPAAAAAAAAAAAAAAAAAJgCAABkcnMv&#10;ZG93bnJldi54bWxQSwUGAAAAAAQABAD1AAAAigMAAAAA&#10;" path="m,l,856e" filled="f" strokeweight=".05622mm">
                    <v:path arrowok="t" o:connecttype="custom" o:connectlocs="0,4047;0,4903" o:connectangles="0,0"/>
                  </v:shape>
                </v:group>
                <v:group id="Group 8847" o:spid="_x0000_s1248" style="position:absolute;left:15;top:4047;width:6687;height:2" coordorigin="15,4047"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OJ7cRfIAAAA&#10;3gAAAA8AAAAAAAAAAAAAAAAAqgIAAGRycy9kb3ducmV2LnhtbFBLBQYAAAAABAAEAPoAAACfAwAA&#10;AAA=&#10;">
                  <v:shape id="Freeform 8848" o:spid="_x0000_s1249" style="position:absolute;left:15;top:4047;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6gPcQA&#10;AADeAAAADwAAAGRycy9kb3ducmV2LnhtbERPO2/CMBDekfofrENiA4cOPAIG0VRFTEgFBsZTfCQR&#10;8TnYbgj99TVSJbb79D1vue5MLVpyvrKsYDxKQBDnVldcKDgdv4YzED4ga6wtk4IHeViv3npLTLW9&#10;8ze1h1CIGMI+RQVlCE0qpc9LMuhHtiGO3MU6gyFCV0jt8B7DTS3fk2QiDVYcG0psKCspvx5+jILz&#10;5/y2+5Cb255/z1vXHrNrO8uUGvS7zQJEoC68xP/unY7zp/PpGJ7vxBvk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9eoD3EAAAA3gAAAA8AAAAAAAAAAAAAAAAAmAIAAGRycy9k&#10;b3ducmV2LnhtbFBLBQYAAAAABAAEAPUAAACJAwAAAAA=&#10;" path="m,l6686,e" filled="f" strokeweight=".05619mm">
                    <v:path arrowok="t" o:connecttype="custom" o:connectlocs="0,0;6686,0" o:connectangles="0,0"/>
                  </v:shape>
                </v:group>
                <v:group id="Group 8845" o:spid="_x0000_s1250" style="position:absolute;left:9856;top:4169;width:1030;height:2" coordorigin="9856,4169"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eVK+8UAAADeAAAADwAAAGRycy9kb3ducmV2LnhtbERPS2vCQBC+F/wPywi9&#10;6SaWVo2uIqKlBxF8gHgbsmMSzM6G7JrEf98tCL3Nx/ec+bIzpWiodoVlBfEwAkGcWl1wpuB82g4m&#10;IJxH1lhaJgVPcrBc9N7mmGjb8oGao89ECGGXoILc+yqR0qU5GXRDWxEH7mZrgz7AOpO6xjaEm1KO&#10;ouhLGiw4NORY0Tqn9H58GAXfLbarj3jT7O639fN6+txfdjEp9d7vVjMQnjr/L365f3SYP56OR/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3lSvvFAAAA3gAA&#10;AA8AAAAAAAAAAAAAAAAAqgIAAGRycy9kb3ducmV2LnhtbFBLBQYAAAAABAAEAPoAAACcAwAAAAA=&#10;">
                  <v:shape id="Freeform 8846" o:spid="_x0000_s1251" style="position:absolute;left:9856;top:4169;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NNHsUA&#10;AADeAAAADwAAAGRycy9kb3ducmV2LnhtbERP32vCMBB+H+x/CCfsbaY60FmNMqRjexlMVwTfjuZs&#10;i82lJpmN//0yGOztPr6ft9pE04krOd9aVjAZZyCIK6tbrhWUX6+PzyB8QNbYWSYFN/KwWd/frTDX&#10;duAdXfehFimEfY4KmhD6XEpfNWTQj21PnLiTdQZDgq6W2uGQwk0np1k2kwZbTg0N9rRtqDrvv42C&#10;Qyw/rLuY4/DmLudYLIrPMhZKPYziyxJEoBj+xX/ud53mzxfzJ/h9J90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M00exQAAAN4AAAAPAAAAAAAAAAAAAAAAAJgCAABkcnMv&#10;ZG93bnJldi54bWxQSwUGAAAAAAQABAD1AAAAigMAAAAA&#10;" path="m,l1029,e" filled="f" strokeweight=".05619mm">
                    <v:path arrowok="t" o:connecttype="custom" o:connectlocs="0,0;1029,0" o:connectangles="0,0"/>
                  </v:shape>
                </v:group>
                <v:group id="Group 8843" o:spid="_x0000_s1252" style="position:absolute;left:15;top:4169;width:6687;height:2" coordorigin="15,4169"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QHcUxgAAAN4A&#10;AAAPAAAAAAAAAAAAAAAAAKoCAABkcnMvZG93bnJldi54bWxQSwUGAAAAAAQABAD6AAAAnQMAAAAA&#10;">
                  <v:shape id="Freeform 8844" o:spid="_x0000_s1253" style="position:absolute;left:15;top:4169;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WmPsUA&#10;AADeAAAADwAAAGRycy9kb3ducmV2LnhtbERPS2vCQBC+C/6HZQredNNCfURX0RSLp0K1B49DdkyC&#10;2dm4u42pv94VCt7m43vOYtWZWrTkfGVZwesoAUGcW11xoeDnsB1OQfiArLG2TAr+yMNq2e8tMNX2&#10;yt/U7kMhYgj7FBWUITSplD4vyaAf2YY4cifrDIYIXSG1w2sMN7V8S5KxNFhxbCixoayk/Lz/NQqO&#10;H7PLbiPXly++HT9de8jO7TRTavDSrecgAnXhKf5373ScP5lN3uHxTrxB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ZaY+xQAAAN4AAAAPAAAAAAAAAAAAAAAAAJgCAABkcnMv&#10;ZG93bnJldi54bWxQSwUGAAAAAAQABAD1AAAAigMAAAAA&#10;" path="m,l6686,e" filled="f" strokeweight=".05619mm">
                    <v:path arrowok="t" o:connecttype="custom" o:connectlocs="0,0;6686,0" o:connectangles="0,0"/>
                  </v:shape>
                </v:group>
                <v:group id="Group 8841" o:spid="_x0000_s1254" style="position:absolute;left:9856;top:4291;width:1030;height:2" coordorigin="9856,4291"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t5M+MUAAADeAAAADwAAAGRycy9kb3ducmV2LnhtbERPS2vCQBC+C/6HZQRv&#10;dRNLfURXEWlLDyL4APE2ZMckmJ0N2TWJ/75bKHibj+85y3VnStFQ7QrLCuJRBII4tbrgTMH59PU2&#10;A+E8ssbSMil4koP1qt9bYqJtywdqjj4TIYRdggpy76tESpfmZNCNbEUcuJutDfoA60zqGtsQbko5&#10;jqKJNFhwaMixom1O6f34MAq+W2w37/Fns7vfts/r6WN/2cWk1HDQbRYgPHX+Jf53/+gwfzqfTuD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LeTPjFAAAA3gAA&#10;AA8AAAAAAAAAAAAAAAAAqgIAAGRycy9kb3ducmV2LnhtbFBLBQYAAAAABAAEAPoAAACcAwAAAAA=&#10;">
                  <v:shape id="Freeform 8842" o:spid="_x0000_s1255" style="position:absolute;left:9856;top:4291;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hLHcUA&#10;AADeAAAADwAAAGRycy9kb3ducmV2LnhtbERPTWvCQBC9F/oflin0VjftwdToKqVE7KVgbSj0NmTH&#10;JJidjbur2f57VxB6m8f7nMUqml6cyfnOsoLnSQaCuLa640ZB9b1+egXhA7LG3jIp+CMPq+X93QIL&#10;bUf+ovMuNCKFsC9QQRvCUEjp65YM+okdiBO3t85gSNA1UjscU7jp5UuWTaXBjlNDiwO9t1Qfdiej&#10;4CdWn9Ydze+4ccdDLGfltoqlUo8P8W0OIlAM/+Kb+0On+fksz+H6TrpB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CEsdxQAAAN4AAAAPAAAAAAAAAAAAAAAAAJgCAABkcnMv&#10;ZG93bnJldi54bWxQSwUGAAAAAAQABAD1AAAAigMAAAAA&#10;" path="m,l1029,e" filled="f" strokeweight=".05619mm">
                    <v:path arrowok="t" o:connecttype="custom" o:connectlocs="0,0;1029,0" o:connectangles="0,0"/>
                  </v:shape>
                </v:group>
                <v:group id="Group 8839" o:spid="_x0000_s1256" style="position:absolute;left:15;top:4291;width:6687;height:2" coordorigin="15,4291"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BwNfRHIAAAA&#10;3gAAAA8AAAAAAAAAAAAAAAAAqgIAAGRycy9kb3ducmV2LnhtbFBLBQYAAAAABAAEAPoAAACfAwAA&#10;AAA=&#10;">
                  <v:shape id="Freeform 8840" o:spid="_x0000_s1257" style="position:absolute;left:15;top:4291;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isO8QA&#10;AADeAAAADwAAAGRycy9kb3ducmV2LnhtbERPPW/CMBDdK/EfrKvEVpx2AJJiEKQCMSEVGBhP8TWJ&#10;iM/BNiH019dIldju6X3ebNGbRnTkfG1ZwfsoAUFcWF1zqeB4WL9NQfiArLGxTAru5GExH7zMMNP2&#10;xt/U7UMpYgj7DBVUIbSZlL6oyKAf2ZY4cj/WGQwRulJqh7cYbhr5kSRjabDm2FBhS3lFxXl/NQpO&#10;X+llu5LLy45/TxvXHfJzN82VGr72y08QgfrwFP+7tzrOn6STFB7vxBvk/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orDvEAAAA3gAAAA8AAAAAAAAAAAAAAAAAmAIAAGRycy9k&#10;b3ducmV2LnhtbFBLBQYAAAAABAAEAPUAAACJAwAAAAA=&#10;" path="m,l6686,e" filled="f" strokeweight=".05619mm">
                    <v:path arrowok="t" o:connecttype="custom" o:connectlocs="0,0;6686,0" o:connectangles="0,0"/>
                  </v:shape>
                </v:group>
                <v:group id="Group 8837" o:spid="_x0000_s1258" style="position:absolute;left:9856;top:4413;width:1030;height:2" coordorigin="9856,4413"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NeuATDIAAAA&#10;3gAAAA8AAAAAAAAAAAAAAAAAqgIAAGRycy9kb3ducmV2LnhtbFBLBQYAAAAABAAEAPoAAACfAwAA&#10;AAA=&#10;">
                  <v:shape id="Freeform 8838" o:spid="_x0000_s1259" style="position:absolute;left:9856;top:4413;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gG1cUA&#10;AADeAAAADwAAAGRycy9kb3ducmV2LnhtbERPTWsCMRC9F/wPYYTeatYeqq5GkbKlvRSsXQrehs24&#10;u7iZrEnqpv/eCAVv83ifs9pE04kLOd9aVjCdZCCIK6tbrhWU329PcxA+IGvsLJOCP/KwWY8eVphr&#10;O/AXXfahFimEfY4KmhD6XEpfNWTQT2xPnLijdQZDgq6W2uGQwk0nn7PsRRpsOTU02NNrQ9Vp/2sU&#10;/MTy07qzOQzv7nyKxaLYlbFQ6nEct0sQgWK4i//dHzrNny3mU7i9k26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eAbVxQAAAN4AAAAPAAAAAAAAAAAAAAAAAJgCAABkcnMv&#10;ZG93bnJldi54bWxQSwUGAAAAAAQABAD1AAAAigMAAAAA&#10;" path="m,l1029,e" filled="f" strokeweight=".05619mm">
                    <v:path arrowok="t" o:connecttype="custom" o:connectlocs="0,0;1029,0" o:connectangles="0,0"/>
                  </v:shape>
                </v:group>
                <v:group id="Group 8835" o:spid="_x0000_s1260" style="position:absolute;left:15;top:4413;width:6687;height:2" coordorigin="15,4413"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DA63MUAAADeAAAADwAAAGRycy9kb3ducmV2LnhtbERPS2vCQBC+F/wPywi9&#10;6SaWVo2uIqKlBxF8gHgbsmMSzM6G7JrEf98tCL3Nx/ec+bIzpWiodoVlBfEwAkGcWl1wpuB82g4m&#10;IJxH1lhaJgVPcrBc9N7mmGjb8oGao89ECGGXoILc+yqR0qU5GXRDWxEH7mZrgz7AOpO6xjaEm1KO&#10;ouhLGiw4NORY0Tqn9H58GAXfLbarj3jT7O639fN6+txfdjEp9d7vVjMQnjr/L365f3SYP55ORv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gwOtzFAAAA3gAA&#10;AA8AAAAAAAAAAAAAAAAAqgIAAGRycy9kb3ducmV2LnhtbFBLBQYAAAAABAAEAPoAAACcAwAAAAA=&#10;">
                  <v:shape id="Freeform 8836" o:spid="_x0000_s1261" style="position:absolute;left:15;top:4413;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Xr9sUA&#10;AADeAAAADwAAAGRycy9kb3ducmV2LnhtbERPTWvCQBC9F/wPywje6qYKbUxdRSMtnoRqDx6H7DQJ&#10;Zmfj7hpTf70rFHqbx/uc+bI3jejI+dqygpdxAoK4sLrmUsH34eM5BeEDssbGMin4JQ/LxeBpjpm2&#10;V/6ibh9KEUPYZ6igCqHNpPRFRQb92LbEkfuxzmCI0JVSO7zGcNPISZK8SoM1x4YKW8orKk77i1Fw&#10;3MzO27VcnXd8O3667pCfujRXajTsV+8gAvXhX/zn3uo4/22WTuHxTrxB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Fev2xQAAAN4AAAAPAAAAAAAAAAAAAAAAAJgCAABkcnMv&#10;ZG93bnJldi54bWxQSwUGAAAAAAQABAD1AAAAigMAAAAA&#10;" path="m,l6686,e" filled="f" strokeweight=".05619mm">
                    <v:path arrowok="t" o:connecttype="custom" o:connectlocs="0,0;6686,0" o:connectangles="0,0"/>
                  </v:shape>
                </v:group>
                <v:group id="Group 8833" o:spid="_x0000_s1262" style="position:absolute;left:9856;top:4535;width:1030;height:2" coordorigin="9856,4535"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iVBzPFAAAA3gAA&#10;AA8AAAAAAAAAAAAAAAAAqgIAAGRycy9kb3ducmV2LnhtbFBLBQYAAAAABAAEAPoAAACcAwAAAAA=&#10;">
                  <v:shape id="Freeform 8834" o:spid="_x0000_s1263" style="position:absolute;left:9856;top:4535;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MA1sUA&#10;AADeAAAADwAAAGRycy9kb3ducmV2LnhtbERP32vCMBB+H+x/CCfsbaYKc1qNMqRjexlsrgi+Hc3Z&#10;FptLTTIb//tlMPDtPr6ft9pE04kLOd9aVjAZZyCIK6tbrhWU36+PcxA+IGvsLJOCK3nYrO/vVphr&#10;O/AXXXahFimEfY4KmhD6XEpfNWTQj21PnLijdQZDgq6W2uGQwk0np1k2kwZbTg0N9rRtqDrtfoyC&#10;fSw/rDubw/DmzqdYLIrPMhZKPYziyxJEoBhu4n/3u07znxfzJ/h7J90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QwDWxQAAAN4AAAAPAAAAAAAAAAAAAAAAAJgCAABkcnMv&#10;ZG93bnJldi54bWxQSwUGAAAAAAQABAD1AAAAigMAAAAA&#10;" path="m,l1029,e" filled="f" strokeweight=".05619mm">
                    <v:path arrowok="t" o:connecttype="custom" o:connectlocs="0,0;1029,0" o:connectangles="0,0"/>
                  </v:shape>
                </v:group>
                <v:group id="Group 8831" o:spid="_x0000_s1264" style="position:absolute;left:15;top:4535;width:6687;height:2" coordorigin="15,4535"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ws838UAAADeAAAADwAAAGRycy9kb3ducmV2LnhtbERPS2vCQBC+C/6HZQRv&#10;dRNLfURXEWlLDyL4APE2ZMckmJ0N2TWJ/75bKHibj+85y3VnStFQ7QrLCuJRBII4tbrgTMH59PU2&#10;A+E8ssbSMil4koP1qt9bYqJtywdqjj4TIYRdggpy76tESpfmZNCNbEUcuJutDfoA60zqGtsQbko5&#10;jqKJNFhwaMixom1O6f34MAq+W2w37/Fns7vfts/r6WN/2cWk1HDQbRYgPHX+Jf53/+gwfzqfTeD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cLPN/FAAAA3gAA&#10;AA8AAAAAAAAAAAAAAAAAqgIAAGRycy9kb3ducmV2LnhtbFBLBQYAAAAABAAEAPoAAACcAwAAAAA=&#10;">
                  <v:shape id="Freeform 8832" o:spid="_x0000_s1265" style="position:absolute;left:15;top:4535;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7t9cQA&#10;AADeAAAADwAAAGRycy9kb3ducmV2LnhtbERPPW/CMBDdK/EfrKvEVpx2gJBiEKQCMSEVGBhP8TWJ&#10;iM/BNiH019dIldju6X3ebNGbRnTkfG1ZwfsoAUFcWF1zqeB4WL+lIHxA1thYJgV38rCYD15mmGl7&#10;42/q9qEUMYR9hgqqENpMSl9UZNCPbEscuR/rDIYIXSm1w1sMN438SJKxNFhzbKiwpbyi4ry/GgWn&#10;r+llu5LLy45/TxvXHfJzl+ZKDV/75SeIQH14iv/dWx3nT6bpBB7vxBvk/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u7fXEAAAA3gAAAA8AAAAAAAAAAAAAAAAAmAIAAGRycy9k&#10;b3ducmV2LnhtbFBLBQYAAAAABAAEAPUAAACJAwAAAAA=&#10;" path="m,l6686,e" filled="f" strokeweight=".05619mm">
                    <v:path arrowok="t" o:connecttype="custom" o:connectlocs="0,0;6686,0" o:connectangles="0,0"/>
                  </v:shape>
                </v:group>
                <v:group id="Group 8829" o:spid="_x0000_s1266" style="position:absolute;left:9856;top:4658;width:1030;height:2" coordorigin="9856,4658"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nYDTbIAAAA&#10;3gAAAA8AAAAAAAAAAAAAAAAAqgIAAGRycy9kb3ducmV2LnhtbFBLBQYAAAAABAAEAPoAAACfAwAA&#10;AAA=&#10;">
                  <v:shape id="Freeform 8830" o:spid="_x0000_s1267" style="position:absolute;left:9856;top:4658;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4K08UA&#10;AADeAAAADwAAAGRycy9kb3ducmV2LnhtbERPTWvCQBC9F/oflin0VjftQU10lVIi9lKwNhR6G7Jj&#10;EszOxt3VbP+9KxR6m8f7nOU6ml5cyPnOsoLnSQaCuLa640ZB9bV5moPwAVljb5kU/JKH9er+bomF&#10;tiN/0mUfGpFC2BeooA1hKKT0dUsG/cQOxIk7WGcwJOgaqR2OKdz08iXLptJgx6mhxYHeWqqP+7NR&#10;8B2rD+tO5mfcutMxlnm5q2Kp1ONDfF2ACBTDv/jP/a7T/Fk+z+H2TrpB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DgrTxQAAAN4AAAAPAAAAAAAAAAAAAAAAAJgCAABkcnMv&#10;ZG93bnJldi54bWxQSwUGAAAAAAQABAD1AAAAigMAAAAA&#10;" path="m,l1029,e" filled="f" strokeweight=".05619mm">
                    <v:path arrowok="t" o:connecttype="custom" o:connectlocs="0,0;1029,0" o:connectangles="0,0"/>
                  </v:shape>
                </v:group>
                <v:group id="Group 8827" o:spid="_x0000_s1268" style="position:absolute;left:15;top:4658;width:6687;height:2" coordorigin="15,4658"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FJ3l+3IAAAA&#10;3gAAAA8AAAAAAAAAAAAAAAAAqgIAAGRycy9kb3ducmV2LnhtbFBLBQYAAAAABAAEAPoAAACfAwAA&#10;AAA=&#10;">
                  <v:shape id="Freeform 8828" o:spid="_x0000_s1269" style="position:absolute;left:15;top:4658;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JGx8QA&#10;AADeAAAADwAAAGRycy9kb3ducmV2LnhtbERPPW/CMBDdK/EfrEPqVhwYKAkYBKmomJAKHRhP8ZFE&#10;xOdguyHw62ukSt3u6X3eYtWbRnTkfG1ZwXiUgCAurK65VPB93L7NQPiArLGxTAru5GG1HLwsMNP2&#10;xl/UHUIpYgj7DBVUIbSZlL6oyKAf2ZY4cmfrDIYIXSm1w1sMN42cJMlUGqw5NlTYUl5RcTn8GAWn&#10;j/S628j1dc+P06frjvmlm+VKvQ779RxEoD78i//cOx3nv6fpGJ7vxBv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9SRsfEAAAA3gAAAA8AAAAAAAAAAAAAAAAAmAIAAGRycy9k&#10;b3ducmV2LnhtbFBLBQYAAAAABAAEAPUAAACJAwAAAAA=&#10;" path="m,l6686,e" filled="f" strokeweight=".05619mm">
                    <v:path arrowok="t" o:connecttype="custom" o:connectlocs="0,0;6686,0" o:connectangles="0,0"/>
                  </v:shape>
                </v:group>
                <v:group id="Group 8825" o:spid="_x0000_s1270" style="position:absolute;left:9856;top:4780;width:1030;height:2" coordorigin="9856,4780"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3prAHFAAAA3gAA&#10;AA8AAAAAAAAAAAAAAAAAqgIAAGRycy9kb3ducmV2LnhtbFBLBQYAAAAABAAEAPoAAACcAwAAAAA=&#10;">
                  <v:shape id="Freeform 8826" o:spid="_x0000_s1271" style="position:absolute;left:9856;top:4780;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r5MUA&#10;AADeAAAADwAAAGRycy9kb3ducmV2LnhtbERP30vDMBB+H/g/hBN821IV1HbLhkhFXwY6i7C3oznb&#10;subSJXHN/vtlMNjbfXw/b7GKphcHcr6zrOB+loEgrq3uuFFQ/bxPX0D4gKyxt0wKjuRhtbyZLLDQ&#10;duRvOmxCI1II+wIVtCEMhZS+bsmgn9mBOHF/1hkMCbpGaodjCje9fMiyJ2mw49TQ4kBvLdW7zb9R&#10;8BurtXV7sx0/3H4Xy7z8qmKp1N1tfJ2DCBTDVXxxf+o0/znPH+H8TrpBLk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P6vkxQAAAN4AAAAPAAAAAAAAAAAAAAAAAJgCAABkcnMv&#10;ZG93bnJldi54bWxQSwUGAAAAAAQABAD1AAAAigMAAAAA&#10;" path="m,l1029,e" filled="f" strokeweight=".05619mm">
                    <v:path arrowok="t" o:connecttype="custom" o:connectlocs="0,0;1029,0" o:connectangles="0,0"/>
                  </v:shape>
                </v:group>
                <v:group id="Group 8823" o:spid="_x0000_s1272" style="position:absolute;left:15;top:4780;width:6687;height:2" coordorigin="15,4780"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tTJHuxgAAAN4A&#10;AAAPAAAAAAAAAAAAAAAAAKoCAABkcnMvZG93bnJldi54bWxQSwUGAAAAAAQABAD6AAAAnQMAAAAA&#10;">
                  <v:shape id="Freeform 8824" o:spid="_x0000_s1273" style="position:absolute;left:15;top:4780;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lAxMUA&#10;AADeAAAADwAAAGRycy9kb3ducmV2LnhtbERPTWvCQBC9F/wPywje6qaC1aSuopEWT0K1B49DdpoE&#10;s7Nxd41pf31XEHqbx/ucxao3jejI+dqygpdxAoK4sLrmUsHX8f15DsIHZI2NZVLwQx5Wy8HTAjNt&#10;b/xJ3SGUIoawz1BBFUKbSemLigz6sW2JI/dtncEQoSuldniL4aaRkyR5lQZrjg0VtpRXVJwPV6Pg&#10;tE0vu41cX/b8e/pw3TE/d/NcqdGwX7+BCNSHf/HDvdNx/ixNp3B/J94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aUDExQAAAN4AAAAPAAAAAAAAAAAAAAAAAJgCAABkcnMv&#10;ZG93bnJldi54bWxQSwUGAAAAAAQABAD1AAAAigMAAAAA&#10;" path="m,l6686,e" filled="f" strokeweight=".05619mm">
                    <v:path arrowok="t" o:connecttype="custom" o:connectlocs="0,0;6686,0" o:connectangles="0,0"/>
                  </v:shape>
                </v:group>
                <v:group id="Group 8821" o:spid="_x0000_s1274" style="position:absolute;left:9856;top:4902;width:1030;height:2" coordorigin="9856,4902"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LSqgLFAAAA3gAA&#10;AA8AAAAAAAAAAAAAAAAAqgIAAGRycy9kb3ducmV2LnhtbFBLBQYAAAAABAAEAPoAAACcAwAAAAA=&#10;">
                  <v:shape id="Freeform 8822" o:spid="_x0000_s1275" style="position:absolute;left:9856;top:4902;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St58QA&#10;AADeAAAADwAAAGRycy9kb3ducmV2LnhtbERPTUvEMBC9L/gfwgjetqkeXNvdbBGp6EXQtQjehma2&#10;LW0m3SRu4783guBtHu9zdlU0kziT84NlBddZDoK4tXrgTkHz/ri+A+EDssbJMin4Jg/V/mK1w1Lb&#10;hd/ofAidSCHsS1TQhzCXUvq2J4M+szNx4o7WGQwJuk5qh0sKN5O8yfNbaXDg1NDjTA89tePhyyj4&#10;iM2LdSfzuTy50xjron5tYq3U1WW834IIFMO/+M/9rNP8TVFs4PeddIP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ErefEAAAA3gAAAA8AAAAAAAAAAAAAAAAAmAIAAGRycy9k&#10;b3ducmV2LnhtbFBLBQYAAAAABAAEAPUAAACJAwAAAAA=&#10;" path="m,l1029,e" filled="f" strokeweight=".05619mm">
                    <v:path arrowok="t" o:connecttype="custom" o:connectlocs="0,0;1029,0" o:connectangles="0,0"/>
                  </v:shape>
                </v:group>
                <v:group id="Group 8819" o:spid="_x0000_s1276" style="position:absolute;left:15;top:4902;width:6687;height:2" coordorigin="15,4902"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wBm+vIAAAA&#10;3gAAAA8AAAAAAAAAAAAAAAAAqgIAAGRycy9kb3ducmV2LnhtbFBLBQYAAAAABAAEAPoAAACfAwAA&#10;AAA=&#10;">
                  <v:shape id="Freeform 8820" o:spid="_x0000_s1277" style="position:absolute;left:15;top:4902;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RKwcQA&#10;AADeAAAADwAAAGRycy9kb3ducmV2LnhtbERPPW/CMBDdK/U/WFepW3HKACRgEARRMSEVGBhP8TWJ&#10;iM/BNiHtr8dIldju6X3ebNGbRnTkfG1ZwecgAUFcWF1zqeB42HxMQPiArLGxTAp+ycNi/voyw0zb&#10;G39Ttw+liCHsM1RQhdBmUvqiIoN+YFviyP1YZzBE6EqpHd5iuGnkMElG0mDNsaHClvKKivP+ahSc&#10;1ullu5LLy47/Tl+uO+TnbpIr9f7WL6cgAvXhKf53b3WcP07TFB7vxBv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kSsHEAAAA3gAAAA8AAAAAAAAAAAAAAAAAmAIAAGRycy9k&#10;b3ducmV2LnhtbFBLBQYAAAAABAAEAPUAAACJAwAAAAA=&#10;" path="m,l6686,e" filled="f" strokeweight=".05619mm">
                    <v:path arrowok="t" o:connecttype="custom" o:connectlocs="0,0;6686,0" o:connectangles="0,0"/>
                  </v:shape>
                </v:group>
                <v:group id="Group 8817" o:spid="_x0000_s1278" style="position:absolute;left:9856;top:5024;width:1030;height:2" coordorigin="9856,5024" coordsize="10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Z0HckMcAAADe&#10;AAAADwAAAAAAAAAAAAAAAACqAgAAZHJzL2Rvd25yZXYueG1sUEsFBgAAAAAEAAQA+gAAAJ4DAAAA&#10;AA==&#10;">
                  <v:shape id="Freeform 8818" o:spid="_x0000_s1279" style="position:absolute;left:9856;top:5024;width:1030;height:2;visibility:visible;mso-wrap-style:square;v-text-anchor:top" coordsize="103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fbdcQA&#10;AADeAAAADwAAAGRycy9kb3ducmV2LnhtbERPTWsCMRC9F/ofwhR6q4k9FLsaRWSLvRSsLoXehs24&#10;u7iZrEl003/fCIXe5vE+Z7FKthdX8qFzrGE6USCIa2c6bjRUh7enGYgQkQ32jknDDwVYLe/vFlgY&#10;N/InXfexETmEQ4Ea2hiHQspQt2QxTNxAnLmj8xZjhr6RxuOYw20vn5V6kRY7zg0tDrRpqT7tL1bD&#10;V6o+nD/b73Hrz6dUvpa7KpVaPz6k9RxEpBT/xX/ud5Pnz5Sawu2dfIN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X23XEAAAA3gAAAA8AAAAAAAAAAAAAAAAAmAIAAGRycy9k&#10;b3ducmV2LnhtbFBLBQYAAAAABAAEAPUAAACJAwAAAAA=&#10;" path="m,l1029,e" filled="f" strokeweight=".05619mm">
                    <v:path arrowok="t" o:connecttype="custom" o:connectlocs="0,0;1029,0" o:connectangles="0,0"/>
                  </v:shape>
                </v:group>
                <v:group id="Group 8815" o:spid="_x0000_s1280" style="position:absolute;left:15;top:5024;width:6687;height:2" coordorigin="15,5024" coordsize="66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nfMQAAADeAAAA&#10;DwAAAAAAAAAAAAAAAACqAgAAZHJzL2Rvd25yZXYueG1sUEsFBgAAAAAEAAQA+gAAAJsDAAAAAA==&#10;">
                  <v:shape id="Freeform 8816" o:spid="_x0000_s1281" style="position:absolute;left:15;top:5024;width:6687;height:2;visibility:visible;mso-wrap-style:square;v-text-anchor:top" coordsize="6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o2VsUA&#10;AADeAAAADwAAAGRycy9kb3ducmV2LnhtbERPTWsCMRC9F/wPYYTeaqJC2a5G0S0WT4WqB4/DZtxd&#10;3EzWJF23/fVNodDbPN7nLNeDbUVPPjSONUwnCgRx6UzDlYbTcfeUgQgR2WDrmDR8UYD1avSwxNy4&#10;O39Qf4iVSCEcctRQx9jlUoayJoth4jrixF2ctxgT9JU0Hu8p3LZyptSztNhwaqixo6Km8nr4tBrO&#10;ry+3/VZubu/8fX7z/bG49lmh9eN42CxARBriv/jPvTdpfqbUHH7fST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jZWxQAAAN4AAAAPAAAAAAAAAAAAAAAAAJgCAABkcnMv&#10;ZG93bnJldi54bWxQSwUGAAAAAAQABAD1AAAAigMAAAAA&#10;" path="m,l6686,e" filled="f" strokeweight=".05619mm">
                    <v:path arrowok="t" o:connecttype="custom" o:connectlocs="0,0;6686,0" o:connectangles="0,0"/>
                  </v:shape>
                </v:group>
                <v:group id="Group 8813" o:spid="_x0000_s1282" style="position:absolute;left:15;top:5146;width:10870;height:2" coordorigin="15,5146"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Hrak8QAAADeAAAA&#10;DwAAAAAAAAAAAAAAAACqAgAAZHJzL2Rvd25yZXYueG1sUEsFBgAAAAAEAAQA+gAAAJsDAAAAAA==&#10;">
                  <v:shape id="Freeform 8814" o:spid="_x0000_s1283" style="position:absolute;left:15;top:5146;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BqsIA&#10;AADeAAAADwAAAGRycy9kb3ducmV2LnhtbERPS2sCMRC+C/6HMEJvbmLFB6tRbEGR3rR6HzdjdnEz&#10;2W5SXf99Uyj0Nh/fc5brztXiTm2oPGsYZQoEceFNxVbD6XM7nIMIEdlg7Zk0PCnAetXvLTE3/sEH&#10;uh+jFSmEQ44ayhibXMpQlOQwZL4hTtzVtw5jgq2VpsVHCne1fFVqKh1WnBpKbOi9pOJ2/HYaLrft&#10;LHbnDV/GY/u2+3DB1l+F1i+DbrMAEamL/+I/996k+XOlJvD7TrpBr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r8GqwgAAAN4AAAAPAAAAAAAAAAAAAAAAAJgCAABkcnMvZG93&#10;bnJldi54bWxQSwUGAAAAAAQABAD1AAAAhwMAAAAA&#10;" path="m,l10870,e" filled="f" strokeweight=".05619mm">
                    <v:path arrowok="t" o:connecttype="custom" o:connectlocs="0,0;10870,0" o:connectangles="0,0"/>
                  </v:shape>
                </v:group>
                <v:group id="Group 8811" o:spid="_x0000_s1284" style="position:absolute;left:15;top:5268;width:10870;height:2" coordorigin="15,5268"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Thf8cAAADe&#10;AAAADwAAAAAAAAAAAAAAAACqAgAAZHJzL2Rvd25yZXYueG1sUEsFBgAAAAAEAAQA+gAAAJ4DAAAA&#10;AA==&#10;">
                  <v:shape id="Freeform 8812" o:spid="_x0000_s1285" style="position:absolute;left:15;top:5268;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H6RsEA&#10;AADeAAAADwAAAGRycy9kb3ducmV2LnhtbERPS4vCMBC+C/sfwix400QFla5RXMFFvPnY+9iMabGZ&#10;dJus1n9vBMHbfHzPmS1aV4krNaH0rGHQVyCIc29KthqOh3VvCiJEZIOVZ9JwpwCL+UdnhpnxN97R&#10;dR+tSCEcMtRQxFhnUoa8IIeh72vixJ194zAm2FhpGrylcFfJoVJj6bDk1FBgTauC8sv+32k4XdaT&#10;2P4u+TQa2e+frQu2+su17n62yy8Qkdr4Fr/cG5PmT5WawPOddIO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x+kbBAAAA3gAAAA8AAAAAAAAAAAAAAAAAmAIAAGRycy9kb3du&#10;cmV2LnhtbFBLBQYAAAAABAAEAPUAAACGAwAAAAA=&#10;" path="m,l10870,e" filled="f" strokeweight=".05619mm">
                    <v:path arrowok="t" o:connecttype="custom" o:connectlocs="0,0;10870,0" o:connectangles="0,0"/>
                  </v:shape>
                </v:group>
                <v:group id="Group 8809" o:spid="_x0000_s1286" style="position:absolute;left:15;top:5391;width:10870;height:2" coordorigin="15,5391"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TfQlscAAADe&#10;AAAADwAAAAAAAAAAAAAAAACqAgAAZHJzL2Rvd25yZXYueG1sUEsFBgAAAAAEAAQA+gAAAJ4DAAAA&#10;AA==&#10;">
                  <v:shape id="Freeform 8810" o:spid="_x0000_s1287" style="position:absolute;left:15;top:5391;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LLr8IA&#10;AADeAAAADwAAAGRycy9kb3ducmV2LnhtbERPTWsCMRC9C/6HMEJvmlhB19UotqBIb1q9j5sxu7iZ&#10;bDeprv++KRR6m8f7nOW6c7W4UxsqzxrGIwWCuPCmYqvh9LkdZiBCRDZYeyYNTwqwXvV7S8yNf/CB&#10;7sdoRQrhkKOGMsYmlzIUJTkMI98QJ+7qW4cxwdZK0+Ijhbtavio1lQ4rTg0lNvReUnE7fjsNl9t2&#10;Frvzhi+TiX3bfbhg669C65dBt1mAiNTFf/Gfe2/S/EypOfy+k26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4suvwgAAAN4AAAAPAAAAAAAAAAAAAAAAAJgCAABkcnMvZG93&#10;bnJldi54bWxQSwUGAAAAAAQABAD1AAAAhwMAAAAA&#10;" path="m,l10870,e" filled="f" strokeweight=".05619mm">
                    <v:path arrowok="t" o:connecttype="custom" o:connectlocs="0,0;10870,0" o:connectangles="0,0"/>
                  </v:shape>
                </v:group>
                <v:group id="Group 8807" o:spid="_x0000_s1288" style="position:absolute;left:15;top:5513;width:10870;height:2" coordorigin="15,5513"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4phKTccAAADe&#10;AAAADwAAAAAAAAAAAAAAAACqAgAAZHJzL2Rvd25yZXYueG1sUEsFBgAAAAAEAAQA+gAAAJ4DAAAA&#10;AA==&#10;">
                  <v:shape id="Freeform 8808" o:spid="_x0000_s1289" style="position:absolute;left:15;top:5513;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1RdMIA&#10;AADeAAAADwAAAGRycy9kb3ducmV2LnhtbERPTWvCQBC9F/wPywje6iYVqkRXiYVI8da03sfsuAlm&#10;Z9Ps1qT/3i0UvM3jfc5mN9pW3Kj3jWMF6TwBQVw53bBR8PVZPK9A+ICssXVMCn7Jw247edpgpt3A&#10;H3QrgxExhH2GCuoQukxKX9Vk0c9dRxy5i+sthgh7I3WPQwy3rXxJkldpseHYUGNHbzVV1/LHKjhf&#10;i2UYTzmfFwuzPxytN+13pdRsOuZrEIHG8BD/u991nL9K0hT+3ok3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TVF0wgAAAN4AAAAPAAAAAAAAAAAAAAAAAJgCAABkcnMvZG93&#10;bnJldi54bWxQSwUGAAAAAAQABAD1AAAAhwMAAAAA&#10;" path="m,l10870,e" filled="f" strokeweight=".05619mm">
                    <v:path arrowok="t" o:connecttype="custom" o:connectlocs="0,0;10870,0" o:connectangles="0,0"/>
                  </v:shape>
                </v:group>
                <v:group id="Group 8805" o:spid="_x0000_s1290" style="position:absolute;left:9871;top:5635;width:1014;height:2" coordorigin="9871,5635"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QZxocQAAADeAAAA&#10;DwAAAAAAAAAAAAAAAACqAgAAZHJzL2Rvd25yZXYueG1sUEsFBgAAAAAEAAQA+gAAAJsDAAAAAA==&#10;">
                  <v:shape id="Freeform 8806" o:spid="_x0000_s1291" style="position:absolute;left:9871;top:5635;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B8p8QA&#10;AADeAAAADwAAAGRycy9kb3ducmV2LnhtbERP3WrCMBS+F3yHcAa709QNi3ZGEWGwCxnz5wEOzVlT&#10;1pzUJmujT78MBO/Ox/d7VptoG9FT52vHCmbTDARx6XTNlYLz6X2yAOEDssbGMSm4kofNejxaYaHd&#10;wAfqj6ESKYR9gQpMCG0hpS8NWfRT1xIn7tt1FkOCXSV1h0MKt418ybJcWqw5NRhsaWeo/Dn+WgWS&#10;50P8vMxNTv1teYhf+b685Uo9P8XtG4hAMTzEd/eHTvMX2ewV/t9JN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QfKfEAAAA3gAAAA8AAAAAAAAAAAAAAAAAmAIAAGRycy9k&#10;b3ducmV2LnhtbFBLBQYAAAAABAAEAPUAAACJAwAAAAA=&#10;" path="m,l1014,e" filled="f" strokeweight=".05619mm">
                    <v:path arrowok="t" o:connecttype="custom" o:connectlocs="0,0;1014,0" o:connectangles="0,0"/>
                  </v:shape>
                </v:group>
                <v:group id="Group 8803" o:spid="_x0000_s1292" style="position:absolute;left:15;top:5635;width:6679;height:2" coordorigin="15,5635"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2jTE7FAAAA3gAA&#10;AA8AAAAAAAAAAAAAAAAAqgIAAGRycy9kb3ducmV2LnhtbFBLBQYAAAAABAAEAPoAAACcAwAAAAA=&#10;">
                  <v:shape id="Freeform 8804" o:spid="_x0000_s1293" style="position:absolute;left:15;top:5635;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1y3sUA&#10;AADeAAAADwAAAGRycy9kb3ducmV2LnhtbERPS2vCQBC+C/6HZYTe6iZSH42uIqWlxZvaQ49DdpqN&#10;ZmdDdhOT/vpuoeBtPr7nbHa9rURHjS8dK0inCQji3OmSCwWf57fHFQgfkDVWjknBQB522/Fog5l2&#10;Nz5SdwqFiCHsM1RgQqgzKX1uyKKfupo4ct+usRgibAqpG7zFcFvJWZIspMWSY4PBml4M5ddTaxW8&#10;z79+Dt3za2sG+US8HKrLpU2Vepj0+zWIQH24i//dHzrOXyXpHP7eiT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HXLexQAAAN4AAAAPAAAAAAAAAAAAAAAAAJgCAABkcnMv&#10;ZG93bnJldi54bWxQSwUGAAAAAAQABAD1AAAAigMAAAAA&#10;" path="m,l6678,e" filled="f" strokeweight=".05619mm">
                    <v:path arrowok="t" o:connecttype="custom" o:connectlocs="0,0;6678,0" o:connectangles="0,0"/>
                  </v:shape>
                </v:group>
                <v:group id="Group 8801" o:spid="_x0000_s1294" style="position:absolute;left:9871;top:5757;width:1014;height:2" coordorigin="9871,5757"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j13osQAAADeAAAA&#10;DwAAAAAAAAAAAAAAAACqAgAAZHJzL2Rvd25yZXYueG1sUEsFBgAAAAAEAAQA+gAAAJsDAAAAAA==&#10;">
                  <v:shape id="Freeform 8802" o:spid="_x0000_s1295" style="position:absolute;left:9871;top:5757;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t6pMMA&#10;AADeAAAADwAAAGRycy9kb3ducmV2LnhtbERP3WrCMBS+H/gO4Qx2N1MFO+2MMgaCF0P8e4BDc9aU&#10;NSe1iW3m0y+CsLvz8f2e5TraRvTU+dqxgsk4A0FcOl1zpeB82rzOQfiArLFxTAp+ycN6NXpaYqHd&#10;wAfqj6ESKYR9gQpMCG0hpS8NWfRj1xIn7tt1FkOCXSV1h0MKt42cZlkuLdacGgy29Gmo/DlerQLJ&#10;syHuLjOTU39bHOI+/ypvuVIvz/HjHUSgGP7FD/dWp/nzbPIG93fSD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t6pMMAAADeAAAADwAAAAAAAAAAAAAAAACYAgAAZHJzL2Rv&#10;d25yZXYueG1sUEsFBgAAAAAEAAQA9QAAAIgDAAAAAA==&#10;" path="m,l1014,e" filled="f" strokeweight=".05619mm">
                    <v:path arrowok="t" o:connecttype="custom" o:connectlocs="0,0;1014,0" o:connectangles="0,0"/>
                  </v:shape>
                </v:group>
                <v:group id="Group 8799" o:spid="_x0000_s1296" style="position:absolute;left:15;top:5757;width:6679;height:2" coordorigin="15,5757"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O5GS8cAAADe&#10;AAAADwAAAAAAAAAAAAAAAACqAgAAZHJzL2Rvd25yZXYueG1sUEsFBgAAAAAEAAQA+gAAAJ4DAAAA&#10;AA==&#10;">
                  <v:shape id="Freeform 8800" o:spid="_x0000_s1297" style="position:absolute;left:15;top:5757;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B428UA&#10;AADeAAAADwAAAGRycy9kb3ducmV2LnhtbERPS2vCQBC+F/wPywi91U2KrRpdRYqlpTcfB49DdsxG&#10;s7Mhu4lJf323UOhtPr7nrDa9rURHjS8dK0gnCQji3OmSCwWn4/vTHIQPyBorx6RgIA+b9ehhhZl2&#10;d95TdwiFiCHsM1RgQqgzKX1uyKKfuJo4chfXWAwRNoXUDd5juK3kc5K8SoslxwaDNb0Zym+H1ir4&#10;eDl/f3WLXWsGOSWeDdX12qZKPY777RJEoD78i//cnzrOnyfpAn7fiTf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UHjbxQAAAN4AAAAPAAAAAAAAAAAAAAAAAJgCAABkcnMv&#10;ZG93bnJldi54bWxQSwUGAAAAAAQABAD1AAAAigMAAAAA&#10;" path="m,l6678,e" filled="f" strokeweight=".05619mm">
                    <v:path arrowok="t" o:connecttype="custom" o:connectlocs="0,0;6678,0" o:connectangles="0,0"/>
                  </v:shape>
                </v:group>
                <v:group id="Group 8797" o:spid="_x0000_s1298" style="position:absolute;left:9871;top:5879;width:1014;height:2" coordorigin="9871,5879"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LPSA8McAAADe&#10;AAAADwAAAAAAAAAAAAAAAACqAgAAZHJzL2Rvd25yZXYueG1sUEsFBgAAAAAEAAQA+gAAAJ4DAAAA&#10;AA==&#10;">
                  <v:shape id="Freeform 8798" o:spid="_x0000_s1299" style="position:absolute;left:9871;top:5879;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KN9sMA&#10;AADeAAAADwAAAGRycy9kb3ducmV2LnhtbERP3WrCMBS+H/gO4QjezVTBop1RhiB4IWP+PMChOWvK&#10;mpPaxDb69MtgsLvz8f2e9TbaRvTU+dqxgtk0A0FcOl1zpeB62b8uQfiArLFxTAoe5GG7Gb2ssdBu&#10;4BP151CJFMK+QAUmhLaQ0peGLPqpa4kT9+U6iyHBrpK6wyGF20bOsyyXFmtODQZb2hkqv893q0Dy&#10;Yogft4XJqX+uTvEzP5bPXKnJOL6/gQgUw7/4z33Qaf4ym8/g9510g9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eKN9sMAAADeAAAADwAAAAAAAAAAAAAAAACYAgAAZHJzL2Rv&#10;d25yZXYueG1sUEsFBgAAAAAEAAQA9QAAAIgDAAAAAA==&#10;" path="m,l1014,e" filled="f" strokeweight=".05619mm">
                    <v:path arrowok="t" o:connecttype="custom" o:connectlocs="0,0;1014,0" o:connectangles="0,0"/>
                  </v:shape>
                </v:group>
                <v:group id="Group 8795" o:spid="_x0000_s1300" style="position:absolute;left:15;top:5879;width:6679;height:2" coordorigin="15,5879"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2q7HMQAAADeAAAA&#10;DwAAAAAAAAAAAAAAAACqAgAAZHJzL2Rvd25yZXYueG1sUEsFBgAAAAAEAAQA+gAAAJsDAAAAAA==&#10;">
                  <v:shape id="Freeform 8796" o:spid="_x0000_s1301" style="position:absolute;left:15;top:5879;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SFjMUA&#10;AADeAAAADwAAAGRycy9kb3ducmV2LnhtbERPS2vCQBC+F/wPyxR60422vqKrSGlp6a3qweOQHbOx&#10;2dmQ3cSkv74rCL3Nx/ec9bazpWip9oVjBeNRAoI4c7rgXMHx8D5cgPABWWPpmBT05GG7GTysMdXu&#10;yt/U7kMuYgj7FBWYEKpUSp8ZsuhHriKO3NnVFkOEdS51jdcYbks5SZKZtFhwbDBY0auh7GffWAUf&#10;09PvV7t8a0wvX4jnfXm5NGOlnh673QpEoC78i+/uTx3nL5LJM9zeiTfI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1IWMxQAAAN4AAAAPAAAAAAAAAAAAAAAAAJgCAABkcnMv&#10;ZG93bnJldi54bWxQSwUGAAAAAAQABAD1AAAAigMAAAAA&#10;" path="m,l6678,e" filled="f" strokeweight=".05619mm">
                    <v:path arrowok="t" o:connecttype="custom" o:connectlocs="0,0;6678,0" o:connectangles="0,0"/>
                  </v:shape>
                </v:group>
                <v:group id="Group 8793" o:spid="_x0000_s1302" style="position:absolute;left:9871;top:6001;width:1014;height:2" coordorigin="9871,6001"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8+G88QAAADeAAAADwAAAGRycy9kb3ducmV2LnhtbERPS4vCMBC+C/sfwizs&#10;TdO6KlKNIrK7eBDBB4i3oRnbYjMpTbat/94Igrf5+J4zX3amFA3VrrCsIB5EIIhTqwvOFJyOv/0p&#10;COeRNZaWScGdHCwXH705Jtq2vKfm4DMRQtglqCD3vkqkdGlOBt3AVsSBu9raoA+wzqSusQ3hppTD&#10;KJpIgwWHhhwrWueU3g7/RsFfi+3qO/5ptrfr+n45jnfnbUxKfX12qxkIT51/i1/ujQ7zp9FwB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8+G88QAAADeAAAA&#10;DwAAAAAAAAAAAAAAAACqAgAAZHJzL2Rvd25yZXYueG1sUEsFBgAAAAAEAAQA+gAAAJsDAAAAAA==&#10;">
                  <v:shape id="Freeform 8794" o:spid="_x0000_s1303" style="position:absolute;left:9871;top:6001;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mL9cMA&#10;AADeAAAADwAAAGRycy9kb3ducmV2LnhtbERPS2rDMBDdF3IHMYHuGrkBm8SJEkqgkEUo+R1gsKaW&#10;qTVyLNVWc/oqUOhuHu876220rRio941jBa+zDARx5XTDtYLr5f1lAcIHZI2tY1LwQx62m8nTGkvt&#10;Rj7RcA61SCHsS1RgQuhKKX1lyKKfuY44cZ+utxgS7GupexxTuG3lPMsKabHh1GCwo52h6uv8bRVI&#10;zsf4cctNQcN9eYrH4lDdC6Wep/FtBSJQDP/iP/dep/mLbJ7D4510g9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tmL9cMAAADeAAAADwAAAAAAAAAAAAAAAACYAgAAZHJzL2Rv&#10;d25yZXYueG1sUEsFBgAAAAAEAAQA9QAAAIgDAAAAAA==&#10;" path="m,l1014,e" filled="f" strokeweight=".05619mm">
                    <v:path arrowok="t" o:connecttype="custom" o:connectlocs="0,0;1014,0" o:connectangles="0,0"/>
                  </v:shape>
                </v:group>
                <v:group id="Group 8791" o:spid="_x0000_s1304" style="position:absolute;left:15;top:6001;width:6679;height:2" coordorigin="15,6001"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MUb0fwwAAAN4AAAAP&#10;AAAAAAAAAAAAAAAAAKoCAABkcnMvZG93bnJldi54bWxQSwUGAAAAAAQABAD6AAAAmgMAAAAA&#10;">
                  <v:shape id="Freeform 8792" o:spid="_x0000_s1305" style="position:absolute;left:15;top:6001;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Dj8QA&#10;AADeAAAADwAAAGRycy9kb3ducmV2LnhtbERPTWvCQBC9F/wPywje6kaxVaOrSKlYeqt68Dhkx2w0&#10;Oxuym5j013cLhd7m8T5nve1sKVqqfeFYwWScgCDOnC44V3A+7Z8XIHxA1lg6JgU9edhuBk9rTLV7&#10;8Be1x5CLGMI+RQUmhCqV0meGLPqxq4gjd3W1xRBhnUtd4yOG21JOk+RVWiw4Nhis6M1Qdj82VsHh&#10;5fL92S7fG9PLGfG8L2+3ZqLUaNjtViACdeFf/Of+0HH+IpnO4fedeIP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vg4/EAAAA3gAAAA8AAAAAAAAAAAAAAAAAmAIAAGRycy9k&#10;b3ducmV2LnhtbFBLBQYAAAAABAAEAPUAAACJAwAAAAA=&#10;" path="m,l6678,e" filled="f" strokeweight=".05619mm">
                    <v:path arrowok="t" o:connecttype="custom" o:connectlocs="0,0;6678,0" o:connectangles="0,0"/>
                  </v:shape>
                </v:group>
                <v:group id="Group 8789" o:spid="_x0000_s1306" style="position:absolute;left:9871;top:6124;width:1014;height:2" coordorigin="9871,6124"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0oKM9scAAADe&#10;AAAADwAAAAAAAAAAAAAAAACqAgAAZHJzL2Rvd25yZXYueG1sUEsFBgAAAAAEAAQA+gAAAJ4DAAAA&#10;AA==&#10;">
                  <v:shape id="Freeform 8790" o:spid="_x0000_s1307" style="position:absolute;left:9871;top:6124;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SB8MMA&#10;AADeAAAADwAAAGRycy9kb3ducmV2LnhtbERP3WrCMBS+H/gO4Qi7m6mCRatRRBh4IWP+PMChOTbF&#10;5qQ2WZv59MtgsLvz8f2e9TbaRvTU+dqxgukkA0FcOl1zpeB6eX9bgPABWWPjmBR8k4ftZvSyxkK7&#10;gU/Un0MlUgj7AhWYENpCSl8asugnriVO3M11FkOCXSV1h0MKt42cZVkuLdacGgy2tDdU3s9fVoHk&#10;+RA/HnOTU/9cnuJnfiyfuVKv47hbgQgUw7/4z33Qaf4imy3h9510g9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5SB8MMAAADeAAAADwAAAAAAAAAAAAAAAACYAgAAZHJzL2Rv&#10;d25yZXYueG1sUEsFBgAAAAAEAAQA9QAAAIgDAAAAAA==&#10;" path="m,l1014,e" filled="f" strokeweight=".05619mm">
                    <v:path arrowok="t" o:connecttype="custom" o:connectlocs="0,0;1014,0" o:connectangles="0,0"/>
                  </v:shape>
                </v:group>
                <v:group id="Group 8787" o:spid="_x0000_s1308" style="position:absolute;left:15;top:6124;width:6679;height:2" coordorigin="15,6124"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S0WLccAAADe&#10;AAAADwAAAAAAAAAAAAAAAACqAgAAZHJzL2Rvd25yZXYueG1sUEsFBgAAAAAEAAQA+gAAAJ4DAAAA&#10;AA==&#10;">
                  <v:shape id="Freeform 8788" o:spid="_x0000_s1309" style="position:absolute;left:15;top:6124;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MovcUA&#10;AADeAAAADwAAAGRycy9kb3ducmV2LnhtbERPS2vCQBC+F/wPywi96Sb2oU1dRUqLxVvVg8chO83G&#10;ZmdDdhMTf323IPQ2H99zluveVqKjxpeOFaTTBARx7nTJhYLj4WOyAOEDssbKMSkYyMN6NbpbYqbd&#10;hb+o24dCxBD2GSowIdSZlD43ZNFPXU0cuW/XWAwRNoXUDV5iuK3kLEmepcWSY4PBmt4M5T/71irY&#10;Pp2uu+7lvTWDfCSeD9X53KZK3Y/7zSuIQH34F9/cnzrOXyQPKfy9E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kyi9xQAAAN4AAAAPAAAAAAAAAAAAAAAAAJgCAABkcnMv&#10;ZG93bnJldi54bWxQSwUGAAAAAAQABAD1AAAAigMAAAAA&#10;" path="m,l6678,e" filled="f" strokeweight=".05619mm">
                    <v:path arrowok="t" o:connecttype="custom" o:connectlocs="0,0;6678,0" o:connectangles="0,0"/>
                  </v:shape>
                </v:group>
                <v:group id="Group 8785" o:spid="_x0000_s1310" style="position:absolute;left:9871;top:6246;width:1014;height:2" coordorigin="9871,6246"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rMtwcQAAADeAAAA&#10;DwAAAAAAAAAAAAAAAACqAgAAZHJzL2Rvd25yZXYueG1sUEsFBgAAAAAEAAQA+gAAAJsDAAAAAA==&#10;">
                  <v:shape id="Freeform 8786" o:spid="_x0000_s1311" style="position:absolute;left:9871;top:6246;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Ugx8MA&#10;AADeAAAADwAAAGRycy9kb3ducmV2LnhtbERP3WrCMBS+F/YO4Qx2p+kUi3ZGEWGwCxn+PcChOWvK&#10;mpPaZG306RdhsLvz8f2e1SbaRvTU+dqxgtdJBoK4dLrmSsHl/D5egPABWWPjmBTcyMNm/TRaYaHd&#10;wEfqT6ESKYR9gQpMCG0hpS8NWfQT1xIn7st1FkOCXSV1h0MKt42cZlkuLdacGgy2tDNUfp9+rALJ&#10;8yF+Xucmp/6+PMZDvi/vuVIvz3H7BiJQDP/iP/eHTvMX2WwGj3fSD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6Ugx8MAAADeAAAADwAAAAAAAAAAAAAAAACYAgAAZHJzL2Rv&#10;d25yZXYueG1sUEsFBgAAAAAEAAQA9QAAAIgDAAAAAA==&#10;" path="m,l1014,e" filled="f" strokeweight=".05619mm">
                    <v:path arrowok="t" o:connecttype="custom" o:connectlocs="0,0;1014,0" o:connectangles="0,0"/>
                  </v:shape>
                </v:group>
                <v:group id="Group 8783" o:spid="_x0000_s1312" style="position:absolute;left:15;top:6246;width:6679;height:2" coordorigin="15,6246"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WFhAuxgAAAN4A&#10;AAAPAAAAAAAAAAAAAAAAAKoCAABkcnMvZG93bnJldi54bWxQSwUGAAAAAAQABAD6AAAAnQMAAAAA&#10;">
                  <v:shape id="Freeform 8784" o:spid="_x0000_s1313" style="position:absolute;left:15;top:6246;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guvsUA&#10;AADeAAAADwAAAGRycy9kb3ducmV2LnhtbERPTWvCQBC9F/wPyxR6qxutWk1dRaTF4k3tweOQnWZj&#10;s7Mhu4mJv94tFHqbx/uc5bqzpWip9oVjBaNhAoI4c7rgXMHX6eN5DsIHZI2lY1LQk4f1avCwxFS7&#10;Kx+oPYZcxBD2KSowIVSplD4zZNEPXUUcuW9XWwwR1rnUNV5juC3lOElm0mLBscFgRVtD2c+xsQp2&#10;0/Nt3y7eG9PLCfFrX14uzUipp8du8wYiUBf+xX/uTx3nz5OXKfy+E2+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qC6+xQAAAN4AAAAPAAAAAAAAAAAAAAAAAJgCAABkcnMv&#10;ZG93bnJldi54bWxQSwUGAAAAAAQABAD1AAAAigMAAAAA&#10;" path="m,l6678,e" filled="f" strokeweight=".05619mm">
                    <v:path arrowok="t" o:connecttype="custom" o:connectlocs="0,0;6678,0" o:connectangles="0,0"/>
                  </v:shape>
                </v:group>
                <v:group id="Group 8781" o:spid="_x0000_s1314" style="position:absolute;left:9871;top:6368;width:1014;height:2" coordorigin="9871,6368"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JiCvCwwAAAN4AAAAP&#10;AAAAAAAAAAAAAAAAAKoCAABkcnMvZG93bnJldi54bWxQSwUGAAAAAAQABAD6AAAAmgMAAAAA&#10;">
                  <v:shape id="Freeform 8782" o:spid="_x0000_s1315" style="position:absolute;left:9871;top:6368;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4mxMQA&#10;AADeAAAADwAAAGRycy9kb3ducmV2LnhtbERP3WrCMBS+H/gO4Qi7m6kOq+uMIoKwizGm7gEOzVlT&#10;bE5qE9vMp18GA+/Ox/d7VptoG9FT52vHCqaTDARx6XTNlYKv0/5pCcIHZI2NY1LwQx4269HDCgvt&#10;Bj5QfwyVSCHsC1RgQmgLKX1pyKKfuJY4cd+usxgS7CqpOxxSuG3kLMtyabHm1GCwpZ2h8ny8WgWS&#10;50P8uMxNTv3t5RA/8/fyliv1OI7bVxCBYriL/91vOs1fZs8L+Hsn3S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eJsTEAAAA3gAAAA8AAAAAAAAAAAAAAAAAmAIAAGRycy9k&#10;b3ducmV2LnhtbFBLBQYAAAAABAAEAPUAAACJAwAAAAA=&#10;" path="m,l1014,e" filled="f" strokeweight=".05619mm">
                    <v:path arrowok="t" o:connecttype="custom" o:connectlocs="0,0;1014,0" o:connectangles="0,0"/>
                  </v:shape>
                </v:group>
                <v:group id="Group 8779" o:spid="_x0000_s1316" style="position:absolute;left:15;top:6368;width:6679;height:2" coordorigin="15,6368"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1saK8cAAADe&#10;AAAADwAAAAAAAAAAAAAAAACqAgAAZHJzL2Rvd25yZXYueG1sUEsFBgAAAAAEAAQA+gAAAJ4DAAAA&#10;AA==&#10;">
                  <v:shape id="Freeform 8780" o:spid="_x0000_s1317" style="position:absolute;left:15;top:6368;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Uku8UA&#10;AADeAAAADwAAAGRycy9kb3ducmV2LnhtbERPTWvCQBC9F/wPywjedGNbW42uUorF0lttDx6H7JiN&#10;ZmdDdhMTf31XEHqbx/uc1aazpWip9oVjBdNJAoI4c7rgXMHvz8d4DsIHZI2lY1LQk4fNevCwwlS7&#10;C39Tuw+5iCHsU1RgQqhSKX1myKKfuIo4ckdXWwwR1rnUNV5iuC3lY5K8SIsFxwaDFb0bys77xirY&#10;zQ7Xr3axbUwvn4lf+/J0aqZKjYbd2xJEoC78i+/uTx3nz5OnBdzeiTfI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5SS7xQAAAN4AAAAPAAAAAAAAAAAAAAAAAJgCAABkcnMv&#10;ZG93bnJldi54bWxQSwUGAAAAAAQABAD1AAAAigMAAAAA&#10;" path="m,l6678,e" filled="f" strokeweight=".05619mm">
                    <v:path arrowok="t" o:connecttype="custom" o:connectlocs="0,0;6678,0" o:connectangles="0,0"/>
                  </v:shape>
                </v:group>
                <v:group id="Group 8777" o:spid="_x0000_s1318" style="position:absolute;left:9871;top:6490;width:1014;height:2" coordorigin="9871,6490"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8StlUMcAAADe&#10;AAAADwAAAAAAAAAAAAAAAACqAgAAZHJzL2Rvd25yZXYueG1sUEsFBgAAAAAEAAQA+gAAAJ4DAAAA&#10;AA==&#10;">
                  <v:shape id="Freeform 8778" o:spid="_x0000_s1319" style="position:absolute;left:9871;top:6490;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1oVsQA&#10;AADeAAAADwAAAGRycy9kb3ducmV2LnhtbERP3WrCMBS+F3yHcAa709Qxi3ZGEWGwCxnz5wEOzVlT&#10;1pzUJmujT78MBO/Ox/d7VptoG9FT52vHCmbTDARx6XTNlYLz6X2yAOEDssbGMSm4kofNejxaYaHd&#10;wAfqj6ESKYR9gQpMCG0hpS8NWfRT1xIn7tt1FkOCXSV1h0MKt418ybJcWqw5NRhsaWeo/Dn+WgWS&#10;50P8vMxNTv1teYhf+b685Uo9P8XtG4hAMTzEd/eHTvMX2esM/t9JN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9aFbEAAAA3gAAAA8AAAAAAAAAAAAAAAAAmAIAAGRycy9k&#10;b3ducmV2LnhtbFBLBQYAAAAABAAEAPUAAACJAwAAAAA=&#10;" path="m,l1014,e" filled="f" strokeweight=".05619mm">
                    <v:path arrowok="t" o:connecttype="custom" o:connectlocs="0,0;1014,0" o:connectangles="0,0"/>
                  </v:shape>
                </v:group>
                <v:group id="Group 8775" o:spid="_x0000_s1320" style="position:absolute;left:15;top:6490;width:6679;height:2" coordorigin="15,6490"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rVevMQAAADeAAAADwAAAGRycy9kb3ducmV2LnhtbERPS4vCMBC+C/sfwizs&#10;TdO6KlKNIrK7eBDBB4i3oRnbYjMpTbat/94Igrf5+J4zX3amFA3VrrCsIB5EIIhTqwvOFJyOv/0p&#10;COeRNZaWScGdHCwXH705Jtq2vKfm4DMRQtglqCD3vkqkdGlOBt3AVsSBu9raoA+wzqSusQ3hppTD&#10;KJpIgwWHhhwrWueU3g7/RsFfi+3qO/5ptrfr+n45jnfnbUxKfX12qxkIT51/i1/ujQ7zp9FoC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rVevMQAAADeAAAA&#10;DwAAAAAAAAAAAAAAAACqAgAAZHJzL2Rvd25yZXYueG1sUEsFBgAAAAAEAAQA+gAAAJsDAAAAAA==&#10;">
                  <v:shape id="Freeform 8776" o:spid="_x0000_s1321" style="position:absolute;left:15;top:6490;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tgLMUA&#10;AADeAAAADwAAAGRycy9kb3ducmV2LnhtbERPTWvCQBC9F/wPyxR6043WWk1dpRRF6a3ag8chO83G&#10;ZmdDdhMTf71bEHqbx/uc5bqzpWip9oVjBeNRAoI4c7rgXMH3cTucg/ABWWPpmBT05GG9GjwsMdXu&#10;wl/UHkIuYgj7FBWYEKpUSp8ZsuhHriKO3I+rLYYI61zqGi8x3JZykiQzabHg2GCwog9D2e+hsQp2&#10;L6frZ7vYNKaXU+LXvjyfm7FST4/d+xuIQF34F9/dex3nz5PpM/y9E2+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C2AsxQAAAN4AAAAPAAAAAAAAAAAAAAAAAJgCAABkcnMv&#10;ZG93bnJldi54bWxQSwUGAAAAAAQABAD1AAAAigMAAAAA&#10;" path="m,l6678,e" filled="f" strokeweight=".05619mm">
                    <v:path arrowok="t" o:connecttype="custom" o:connectlocs="0,0;6678,0" o:connectangles="0,0"/>
                  </v:shape>
                </v:group>
                <v:group id="Group 8773" o:spid="_x0000_s1322" style="position:absolute;left:9871;top:6612;width:1014;height:2" coordorigin="9871,6612"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hBjU8QAAADeAAAA&#10;DwAAAAAAAAAAAAAAAACqAgAAZHJzL2Rvd25yZXYueG1sUEsFBgAAAAAEAAQA+gAAAJsDAAAAAA==&#10;">
                  <v:shape id="Freeform 8774" o:spid="_x0000_s1323" style="position:absolute;left:9871;top:6612;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ZuVcQA&#10;AADeAAAADwAAAGRycy9kb3ducmV2LnhtbERP3WrCMBS+H+wdwhl4N9OJLVqNMgaCFzKm2wMcmmNT&#10;bE66JrbRp18Gg92dj+/3rLfRtmKg3jeOFbxMMxDEldMN1wq+PnfPCxA+IGtsHZOCG3nYbh4f1lhq&#10;N/KRhlOoRQphX6ICE0JXSukrQxb91HXEiTu73mJIsK+l7nFM4baVsywrpMWGU4PBjt4MVZfT1SqQ&#10;nI/x/Ts3BQ335TF+FIfqXig1eYqvKxCBYvgX/7n3Os1fZPMcft9JN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8GblXEAAAA3gAAAA8AAAAAAAAAAAAAAAAAmAIAAGRycy9k&#10;b3ducmV2LnhtbFBLBQYAAAAABAAEAPUAAACJAwAAAAA=&#10;" path="m,l1014,e" filled="f" strokeweight=".05619mm">
                    <v:path arrowok="t" o:connecttype="custom" o:connectlocs="0,0;1014,0" o:connectangles="0,0"/>
                  </v:shape>
                </v:group>
                <v:group id="Group 8771" o:spid="_x0000_s1324" style="position:absolute;left:15;top:6612;width:6679;height:2" coordorigin="15,6612"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Y5Yv8QAAADeAAAA&#10;DwAAAAAAAAAAAAAAAACqAgAAZHJzL2Rvd25yZXYueG1sUEsFBgAAAAAEAAQA+gAAAJsDAAAAAA==&#10;">
                  <v:shape id="Freeform 8772" o:spid="_x0000_s1325" style="position:absolute;left:15;top:6612;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BmL8QA&#10;AADeAAAADwAAAGRycy9kb3ducmV2LnhtbERPS2vCQBC+F/wPywje6sZifURXkWJp6a3qweOQHbPR&#10;7GzIbmLSX98tCL3Nx/ec9bazpWip9oVjBZNxAoI4c7rgXMHp+P68AOEDssbSMSnoycN2M3haY6rd&#10;nb+pPYRcxBD2KSowIVSplD4zZNGPXUUcuYurLYYI61zqGu8x3JbyJUlm0mLBscFgRW+GstuhsQo+&#10;Xs8/X+1y35heTonnfXm9NhOlRsNutwIRqAv/4of7U8f5i2Q6h7934g1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wZi/EAAAA3gAAAA8AAAAAAAAAAAAAAAAAmAIAAGRycy9k&#10;b3ducmV2LnhtbFBLBQYAAAAABAAEAPUAAACJAwAAAAA=&#10;" path="m,l6678,e" filled="f" strokeweight=".05619mm">
                    <v:path arrowok="t" o:connecttype="custom" o:connectlocs="0,0;6678,0" o:connectangles="0,0"/>
                  </v:shape>
                </v:group>
                <v:group id="Group 8769" o:spid="_x0000_s1326" style="position:absolute;left:9871;top:6734;width:1014;height:2" coordorigin="9871,6734"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D11pVscAAADe&#10;AAAADwAAAAAAAAAAAAAAAACqAgAAZHJzL2Rvd25yZXYueG1sUEsFBgAAAAAEAAQA+gAAAJ4DAAAA&#10;AA==&#10;">
                  <v:shape id="Freeform 8770" o:spid="_x0000_s1327" style="position:absolute;left:9871;top:6734;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tkUMQA&#10;AADeAAAADwAAAGRycy9kb3ducmV2LnhtbERP3WrCMBS+F3yHcAa703RjFu2MIsJgFzLmzwMcmmNT&#10;1pzUJmujT78MBO/Ox/d7lutoG9FT52vHCl6mGQji0umaKwWn48dkDsIHZI2NY1JwJQ/r1Xi0xEK7&#10;gffUH0IlUgj7AhWYENpCSl8asuinriVO3Nl1FkOCXSV1h0MKt418zbJcWqw5NRhsaWuo/Dn8WgWS&#10;Z0P8usxMTv1tsY/f+a685Uo9P8XNO4hAMTzEd/enTvPn2dsC/t9JN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LZFDEAAAA3gAAAA8AAAAAAAAAAAAAAAAAmAIAAGRycy9k&#10;b3ducmV2LnhtbFBLBQYAAAAABAAEAPUAAACJAwAAAAA=&#10;" path="m,l1014,e" filled="f" strokeweight=".05619mm">
                    <v:path arrowok="t" o:connecttype="custom" o:connectlocs="0,0;1014,0" o:connectangles="0,0"/>
                  </v:shape>
                </v:group>
                <v:group id="Group 8767" o:spid="_x0000_s1328" style="position:absolute;left:15;top:6734;width:6679;height:2" coordorigin="15,6734"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dPLzjccAAADe&#10;AAAADwAAAAAAAAAAAAAAAACqAgAAZHJzL2Rvd25yZXYueG1sUEsFBgAAAAAEAAQA+gAAAJ4DAAAA&#10;AA==&#10;">
                  <v:shape id="Freeform 8768" o:spid="_x0000_s1329" style="position:absolute;left:15;top:6734;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zNHcUA&#10;AADeAAAADwAAAGRycy9kb3ducmV2LnhtbERPS2vCQBC+C/6HZYTe6iZSH42uIqWlxZvaQ49DdpqN&#10;ZmdDdhOT/vpuoeBtPr7nbHa9rURHjS8dK0inCQji3OmSCwWf57fHFQgfkDVWjknBQB522/Fog5l2&#10;Nz5SdwqFiCHsM1RgQqgzKX1uyKKfupo4ct+usRgibAqpG7zFcFvJWZIspMWSY4PBml4M5ddTaxW8&#10;z79+Dt3za2sG+US8HKrLpU2Vepj0+zWIQH24i//dHzrOXyXzFP7eiT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TM0dxQAAAN4AAAAPAAAAAAAAAAAAAAAAAJgCAABkcnMv&#10;ZG93bnJldi54bWxQSwUGAAAAAAQABAD1AAAAigMAAAAA&#10;" path="m,l6678,e" filled="f" strokeweight=".05619mm">
                    <v:path arrowok="t" o:connecttype="custom" o:connectlocs="0,0;6678,0" o:connectangles="0,0"/>
                  </v:shape>
                </v:group>
                <v:group id="Group 8765" o:spid="_x0000_s1330" style="position:absolute;left:9871;top:6857;width:1014;height:2" coordorigin="9871,6857"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2zIYcQAAADeAAAA&#10;DwAAAAAAAAAAAAAAAACqAgAAZHJzL2Rvd25yZXYueG1sUEsFBgAAAAAEAAQA+gAAAJsDAAAAAA==&#10;">
                  <v:shape id="Freeform 8766" o:spid="_x0000_s1331" style="position:absolute;left:9871;top:6857;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rFZ8QA&#10;AADeAAAADwAAAGRycy9kb3ducmV2LnhtbERP3WrCMBS+H+wdwhl4N9MpLVqNMgaCFzKm2wMcmmNT&#10;bE66JrbRp18Gg92dj+/3rLfRtmKg3jeOFbxMMxDEldMN1wq+PnfPCxA+IGtsHZOCG3nYbh4f1lhq&#10;N/KRhlOoRQphX6ICE0JXSukrQxb91HXEiTu73mJIsK+l7nFM4baVsywrpMWGU4PBjt4MVZfT1SqQ&#10;nI/x/Ts3BQ335TF+FIfqXig1eYqvKxCBYvgX/7n3Os1fZPkcft9JN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6xWfEAAAA3gAAAA8AAAAAAAAAAAAAAAAAmAIAAGRycy9k&#10;b3ducmV2LnhtbFBLBQYAAAAABAAEAPUAAACJAwAAAAA=&#10;" path="m,l1014,e" filled="f" strokeweight=".05619mm">
                    <v:path arrowok="t" o:connecttype="custom" o:connectlocs="0,0;1014,0" o:connectangles="0,0"/>
                  </v:shape>
                </v:group>
                <v:group id="Group 8763" o:spid="_x0000_s1332" style="position:absolute;left:1022;top:6857;width:2;height:856" coordorigin="1022,6857" coordsize="2,8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8n1jsQAAADeAAAA&#10;DwAAAAAAAAAAAAAAAACqAgAAZHJzL2Rvd25yZXYueG1sUEsFBgAAAAAEAAQA+gAAAJsDAAAAAA==&#10;">
                  <v:shape id="Freeform 8764" o:spid="_x0000_s1333" style="position:absolute;left:1022;top:6857;width:2;height:856;visibility:visible;mso-wrap-style:square;v-text-anchor:top" coordsize="2,8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NXSMQA&#10;AADeAAAADwAAAGRycy9kb3ducmV2LnhtbERPS2sCMRC+F/ofwhS81aSisqxGKfUJXtq11OuwGXeX&#10;biZLEnX775tCwdt8fM+ZL3vbiiv50DjW8DJUIIhLZxquNHweN88ZiBCRDbaOScMPBVguHh/mmBt3&#10;4w+6FrESKYRDjhrqGLtcylDWZDEMXUecuLPzFmOCvpLG4y2F21aOlJpKiw2nhho7equp/C4uVsNh&#10;uzusj74Yd9mU1df+/bw6raTWg6f+dQYiUh/v4n/33qT5mZpM4O+ddIN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zV0jEAAAA3gAAAA8AAAAAAAAAAAAAAAAAmAIAAGRycy9k&#10;b3ducmV2LnhtbFBLBQYAAAAABAAEAPUAAACJAwAAAAA=&#10;" path="m,l,855e" filled="f" strokeweight=".05622mm">
                    <v:path arrowok="t" o:connecttype="custom" o:connectlocs="0,6857;0,7712" o:connectangles="0,0"/>
                  </v:shape>
                </v:group>
                <v:group id="Group 8761" o:spid="_x0000_s1334" style="position:absolute;left:15;top:6857;width:6679;height:2" coordorigin="15,6857"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RXzmLFAAAA3gAA&#10;AA8AAAAAAAAAAAAAAAAAqgIAAGRycy9kb3ducmV2LnhtbFBLBQYAAAAABAAEAPoAAACcAwAAAAA=&#10;">
                  <v:shape id="Freeform 8762" o:spid="_x0000_s1335" style="position:absolute;left:15;top:6857;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nw8sQA&#10;AADeAAAADwAAAGRycy9kb3ducmV2LnhtbERPTWvCQBC9C/6HZYTedGOpVVNXkdLS4s20B49DdpqN&#10;ZmdDdhOT/vquUPA2j/c5m11vK9FR40vHCuazBARx7nTJhYLvr/fpCoQPyBorx6RgIA+77Xi0wVS7&#10;Kx+py0IhYgj7FBWYEOpUSp8bsuhnriaO3I9rLIYIm0LqBq8x3FbyMUmepcWSY4PBml4N5ZestQo+&#10;FqffQ7d+a80gn4iXQ3U+t3OlHib9/gVEoD7cxf/uTx3nr5LFEm7vxBv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p8PLEAAAA3gAAAA8AAAAAAAAAAAAAAAAAmAIAAGRycy9k&#10;b3ducmV2LnhtbFBLBQYAAAAABAAEAPUAAACJAwAAAAA=&#10;" path="m,l6678,e" filled="f" strokeweight=".05619mm">
                    <v:path arrowok="t" o:connecttype="custom" o:connectlocs="0,0;6678,0" o:connectangles="0,0"/>
                  </v:shape>
                </v:group>
                <v:group id="Group 8759" o:spid="_x0000_s1336" style="position:absolute;left:9871;top:6979;width:1014;height:2" coordorigin="9871,6979"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ioT/i8cAAADe&#10;AAAADwAAAAAAAAAAAAAAAACqAgAAZHJzL2Rvd25yZXYueG1sUEsFBgAAAAAEAAQA+gAAAJ4DAAAA&#10;AA==&#10;">
                  <v:shape id="Freeform 8760" o:spid="_x0000_s1337" style="position:absolute;left:9871;top:6979;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LyjcMA&#10;AADeAAAADwAAAGRycy9kb3ducmV2LnhtbERPS2rDMBDdF3IHMYHuGjkBm8SNEkqh0EUp+R1gsKaW&#10;qTVyLMVWc/oqEMhuHu876220rRio941jBfNZBoK4crrhWsHp+PGyBOEDssbWMSn4Iw/bzeRpjaV2&#10;I+9pOIRapBD2JSowIXSllL4yZNHPXEecuB/XWwwJ9rXUPY4p3LZykWWFtNhwajDY0buh6vdwsQok&#10;52P8PuemoOG62sdd8VVdC6Wep/HtFUSgGB7iu/tTp/nLLF/B7Z10g9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5LyjcMAAADeAAAADwAAAAAAAAAAAAAAAACYAgAAZHJzL2Rv&#10;d25yZXYueG1sUEsFBgAAAAAEAAQA9QAAAIgDAAAAAA==&#10;" path="m,l1014,e" filled="f" strokeweight=".05619mm">
                    <v:path arrowok="t" o:connecttype="custom" o:connectlocs="0,0;1014,0" o:connectangles="0,0"/>
                  </v:shape>
                </v:group>
                <v:group id="Group 8757" o:spid="_x0000_s1338" style="position:absolute;left:15;top:6979;width:6679;height:2" coordorigin="15,6979"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up45MMcAAADe&#10;AAAADwAAAAAAAAAAAAAAAACqAgAAZHJzL2Rvd25yZXYueG1sUEsFBgAAAAAEAAQA+gAAAJ4DAAAA&#10;AA==&#10;">
                  <v:shape id="Freeform 8758" o:spid="_x0000_s1339" style="position:absolute;left:15;top:6979;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AHoMQA&#10;AADeAAAADwAAAGRycy9kb3ducmV2LnhtbERPTWvCQBC9F/wPywi96SbSqo2uIqVi6U3tocchO81G&#10;s7Mhu4lJf323IPQ2j/c5621vK9FR40vHCtJpAoI4d7rkQsHneT9ZgvABWWPlmBQM5GG7GT2sMdPu&#10;xkfqTqEQMYR9hgpMCHUmpc8NWfRTVxNH7ts1FkOETSF1g7cYbis5S5K5tFhybDBY06uh/HpqrYLD&#10;89fPR/fy1ppBPhEvhupyaVOlHsf9bgUiUB/+xXf3u47zl8k8hb934g1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8gB6DEAAAA3gAAAA8AAAAAAAAAAAAAAAAAmAIAAGRycy9k&#10;b3ducmV2LnhtbFBLBQYAAAAABAAEAPUAAACJAwAAAAA=&#10;" path="m,l6678,e" filled="f" strokeweight=".05619mm">
                    <v:path arrowok="t" o:connecttype="custom" o:connectlocs="0,0;6678,0" o:connectangles="0,0"/>
                  </v:shape>
                </v:group>
                <v:group id="Group 8755" o:spid="_x0000_s1340" style="position:absolute;left:9871;top:7101;width:1014;height:2" coordorigin="9871,7101"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lAALcwwAAAN4AAAAP&#10;AAAAAAAAAAAAAAAAAKoCAABkcnMvZG93bnJldi54bWxQSwUGAAAAAAQABAD6AAAAmgMAAAAA&#10;">
                  <v:shape id="Freeform 8756" o:spid="_x0000_s1341" style="position:absolute;left:9871;top:7101;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YP2sQA&#10;AADeAAAADwAAAGRycy9kb3ducmV2LnhtbERPzWoCMRC+F/oOYQrearaKQbdGKYVCD1Kq7QMMm3Gz&#10;dDPZbuJu9OmbguBtPr7fWW+Ta8VAfWg8a3iaFiCIK28arjV8f709LkGEiGyw9UwazhRgu7m/W2Np&#10;/Mh7Gg6xFjmEQ4kabIxdKWWoLDkMU98RZ+7oe4cxw76Wpscxh7tWzopCSYcN5waLHb1aqn4OJ6dB&#10;8mJMH78Lq2i4rPbpU+2qi9J68pBenkFESvEmvrrfTZ6/LNQc/t/JN8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WD9rEAAAA3gAAAA8AAAAAAAAAAAAAAAAAmAIAAGRycy9k&#10;b3ducmV2LnhtbFBLBQYAAAAABAAEAPUAAACJAwAAAAA=&#10;" path="m,l1014,e" filled="f" strokeweight=".05619mm">
                    <v:path arrowok="t" o:connecttype="custom" o:connectlocs="0,0;1014,0" o:connectangles="0,0"/>
                  </v:shape>
                </v:group>
                <v:group id="Group 8753" o:spid="_x0000_s1342" style="position:absolute;left:15;top:7101;width:6679;height:2" coordorigin="15,7101"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aU/M8QAAADeAAAA&#10;DwAAAAAAAAAAAAAAAACqAgAAZHJzL2Rvd25yZXYueG1sUEsFBgAAAAAEAAQA+gAAAJsDAAAAAA==&#10;">
                  <v:shape id="Freeform 8754" o:spid="_x0000_s1343" style="position:absolute;left:15;top:7101;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sBo8QA&#10;AADeAAAADwAAAGRycy9kb3ducmV2LnhtbERPS2vCQBC+C/6HZYTe6sZSX6mrSGlp8Wbag8chO81G&#10;s7Mhu4lJf31XKHibj+85m11vK9FR40vHCmbTBARx7nTJhYLvr/fHFQgfkDVWjknBQB522/Fog6l2&#10;Vz5Sl4VCxBD2KSowIdSplD43ZNFPXU0cuR/XWAwRNoXUDV5juK3kU5IspMWSY4PBml4N5ZestQo+&#10;5qffQ7d+a80gn4mXQ3U+tzOlHib9/gVEoD7cxf/uTx3nr5LFHG7vxBv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bAaPEAAAA3gAAAA8AAAAAAAAAAAAAAAAAmAIAAGRycy9k&#10;b3ducmV2LnhtbFBLBQYAAAAABAAEAPUAAACJAwAAAAA=&#10;" path="m,l6678,e" filled="f" strokeweight=".05619mm">
                    <v:path arrowok="t" o:connecttype="custom" o:connectlocs="0,0;6678,0" o:connectangles="0,0"/>
                  </v:shape>
                </v:group>
                <v:group id="Group 8751" o:spid="_x0000_s1344" style="position:absolute;left:9871;top:7223;width:1014;height:2" coordorigin="9871,7223"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jsE38QAAADeAAAA&#10;DwAAAAAAAAAAAAAAAACqAgAAZHJzL2Rvd25yZXYueG1sUEsFBgAAAAAEAAQA+gAAAJsDAAAAAA==&#10;">
                  <v:shape id="Freeform 8752" o:spid="_x0000_s1345" style="position:absolute;left:9871;top:7223;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0J2cQA&#10;AADeAAAADwAAAGRycy9kb3ducmV2LnhtbERPzWoCMRC+F/oOYQrearaCqW6NUgqFHqSo7QMMm3Gz&#10;dDPZbuJu9OlNQehtPr7fWW2Sa8VAfWg8a3iaFiCIK28arjV8f70/LkCEiGyw9UwazhRgs76/W2Fp&#10;/Mh7Gg6xFjmEQ4kabIxdKWWoLDkMU98RZ+7oe4cxw76Wpscxh7tWzopCSYcN5waLHb1Zqn4OJ6dB&#10;8nxMn79zq2i4LPdpp7bVRWk9eUivLyAipfgvvrk/TJ6/KNQz/L2Tb5Dr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tCdnEAAAA3gAAAA8AAAAAAAAAAAAAAAAAmAIAAGRycy9k&#10;b3ducmV2LnhtbFBLBQYAAAAABAAEAPUAAACJAwAAAAA=&#10;" path="m,l1014,e" filled="f" strokeweight=".05619mm">
                    <v:path arrowok="t" o:connecttype="custom" o:connectlocs="0,0;1014,0" o:connectangles="0,0"/>
                  </v:shape>
                </v:group>
                <v:group id="Group 8749" o:spid="_x0000_s1346" style="position:absolute;left:15;top:7223;width:6679;height:2" coordorigin="15,7223"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Og1NscAAADe&#10;AAAADwAAAAAAAAAAAAAAAACqAgAAZHJzL2Rvd25yZXYueG1sUEsFBgAAAAAEAAQA+gAAAJ4DAAAA&#10;AA==&#10;">
                  <v:shape id="Freeform 8750" o:spid="_x0000_s1347" style="position:absolute;left:15;top:7223;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YLpsQA&#10;AADeAAAADwAAAGRycy9kb3ducmV2LnhtbERPTWvCQBC9F/wPywje6kaxVqOriFhaeqt68Dhkx2w0&#10;Oxuym5j013cLhd7m8T5nve1sKVqqfeFYwWScgCDOnC44V3A+vT0vQPiArLF0TAp68rDdDJ7WmGr3&#10;4C9qjyEXMYR9igpMCFUqpc8MWfRjVxFH7upqiyHCOpe6xkcMt6WcJslcWiw4NhisaG8oux8bq+D9&#10;5fL92S4PjenljPi1L2+3ZqLUaNjtViACdeFf/Of+0HH+Ipkv4fedeIP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WC6bEAAAA3gAAAA8AAAAAAAAAAAAAAAAAmAIAAGRycy9k&#10;b3ducmV2LnhtbFBLBQYAAAAABAAEAPUAAACJAwAAAAA=&#10;" path="m,l6678,e" filled="f" strokeweight=".05619mm">
                    <v:path arrowok="t" o:connecttype="custom" o:connectlocs="0,0;6678,0" o:connectangles="0,0"/>
                  </v:shape>
                </v:group>
                <v:group id="Group 8747" o:spid="_x0000_s1348" style="position:absolute;left:9871;top:7345;width:1014;height:2" coordorigin="9871,7345"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0ev7ccAAADe&#10;AAAADwAAAAAAAAAAAAAAAACqAgAAZHJzL2Rvd25yZXYueG1sUEsFBgAAAAAEAAQA+gAAAJ4DAAAA&#10;AA==&#10;">
                  <v:shape id="Freeform 8748" o:spid="_x0000_s1349" style="position:absolute;left:9871;top:7345;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i68MA&#10;AADeAAAADwAAAGRycy9kb3ducmV2LnhtbERP3WrCMBS+H/gO4Qx2N1MFO+2MMgaCF0P8e4BDc9aU&#10;NSe1iW3m0y+CsLvz8f2e5TraRvTU+dqxgsk4A0FcOl1zpeB82rzOQfiArLFxTAp+ycN6NXpaYqHd&#10;wAfqj6ESKYR9gQpMCG0hpS8NWfRj1xIn7tt1FkOCXSV1h0MKt42cZlkuLdacGgy29Gmo/DlerQLJ&#10;syHuLjOTU39bHOI+/ypvuVIvz/HjHUSgGP7FD/dWp/nz7G0C93fSD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Gi68MAAADeAAAADwAAAAAAAAAAAAAAAACYAgAAZHJzL2Rv&#10;d25yZXYueG1sUEsFBgAAAAAEAAQA9QAAAIgDAAAAAA==&#10;" path="m,l1014,e" filled="f" strokeweight=".05619mm">
                    <v:path arrowok="t" o:connecttype="custom" o:connectlocs="0,0;1014,0" o:connectangles="0,0"/>
                  </v:shape>
                </v:group>
                <v:group id="Group 8745" o:spid="_x0000_s1350" style="position:absolute;left:15;top:7345;width:6679;height:2" coordorigin="15,7345"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NmUAcQAAADeAAAA&#10;DwAAAAAAAAAAAAAAAACqAgAAZHJzL2Rvd25yZXYueG1sUEsFBgAAAAAEAAQA+gAAAJsDAAAAAA==&#10;">
                  <v:shape id="Freeform 8746" o:spid="_x0000_s1351" style="position:absolute;left:15;top:7345;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eqkcUA&#10;AADeAAAADwAAAGRycy9kb3ducmV2LnhtbERPS2vCQBC+F/wPywi91Y3a+oiuItLS0lvVg8chO2aj&#10;2dmQ3cSkv75bKPQ2H99z1tvOlqKl2heOFYxHCQjizOmCcwWn49vTAoQPyBpLx6SgJw/bzeBhjal2&#10;d/6i9hByEUPYp6jAhFClUvrMkEU/chVx5C6uthgirHOpa7zHcFvKSZLMpMWCY4PBivaGstuhsQre&#10;X87fn+3ytTG9fCae9+X12oyVehx2uxWIQF34F/+5P3Scv0jmU/h9J94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Z6qRxQAAAN4AAAAPAAAAAAAAAAAAAAAAAJgCAABkcnMv&#10;ZG93bnJldi54bWxQSwUGAAAAAAQABAD1AAAAigMAAAAA&#10;" path="m,l6678,e" filled="f" strokeweight=".05619mm">
                    <v:path arrowok="t" o:connecttype="custom" o:connectlocs="0,0;6678,0" o:connectangles="0,0"/>
                  </v:shape>
                </v:group>
                <v:group id="Group 8743" o:spid="_x0000_s1352" style="position:absolute;left:9871;top:7467;width:1014;height:2" coordorigin="9871,7467"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B8qe7FAAAA3gAA&#10;AA8AAAAAAAAAAAAAAAAAqgIAAGRycy9kb3ducmV2LnhtbFBLBQYAAAAABAAEAPoAAACcAwAAAAA=&#10;">
                  <v:shape id="Freeform 8744" o:spid="_x0000_s1353" style="position:absolute;left:9871;top:7467;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qk6MQA&#10;AADeAAAADwAAAGRycy9kb3ducmV2LnhtbERP3WrCMBS+H/gO4Qi7m6lCO9cZZQwEL4ao2wMcmrOm&#10;rDmpTWwzn34RhN2dj+/3rDbRtmKg3jeOFcxnGQjiyumGawVfn9unJQgfkDW2jknBL3nYrCcPKyy1&#10;G/lIwynUIoWwL1GBCaErpfSVIYt+5jrixH273mJIsK+l7nFM4baViywrpMWGU4PBjt4NVT+ni1Ug&#10;OR/j/pybgobryzEeio/qWij1OI1vryACxfAvvrt3Os1fZs853N5JN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qpOjEAAAA3gAAAA8AAAAAAAAAAAAAAAAAmAIAAGRycy9k&#10;b3ducmV2LnhtbFBLBQYAAAAABAAEAPUAAACJAwAAAAA=&#10;" path="m,l1014,e" filled="f" strokeweight=".05619mm">
                    <v:path arrowok="t" o:connecttype="custom" o:connectlocs="0,0;1014,0" o:connectangles="0,0"/>
                  </v:shape>
                </v:group>
                <v:group id="Group 8741" o:spid="_x0000_s1354" style="position:absolute;left:15;top:7467;width:6679;height:2" coordorigin="15,7467"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KSAsQAAADeAAAA&#10;DwAAAAAAAAAAAAAAAACqAgAAZHJzL2Rvd25yZXYueG1sUEsFBgAAAAAEAAQA+gAAAJsDAAAAAA==&#10;">
                  <v:shape id="Freeform 8742" o:spid="_x0000_s1355" style="position:absolute;left:15;top:7467;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ysksQA&#10;AADeAAAADwAAAGRycy9kb3ducmV2LnhtbERPTWvCQBC9F/wPywi91Y3SGhtdRUrF0pvaQ49DdpqN&#10;ZmdDdhOT/vpuQfA2j/c5q01vK9FR40vHCqaTBARx7nTJhYKv0+5pAcIHZI2VY1IwkIfNevSwwky7&#10;Kx+oO4ZCxBD2GSowIdSZlD43ZNFPXE0cuR/XWAwRNoXUDV5juK3kLEnm0mLJscFgTW+G8suxtQr2&#10;L9+/n93re2sG+UycDtX53E6Vehz32yWIQH24i2/uDx3nL5I0hf934g1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crJLEAAAA3gAAAA8AAAAAAAAAAAAAAAAAmAIAAGRycy9k&#10;b3ducmV2LnhtbFBLBQYAAAAABAAEAPUAAACJAwAAAAA=&#10;" path="m,l6678,e" filled="f" strokeweight=".05619mm">
                    <v:path arrowok="t" o:connecttype="custom" o:connectlocs="0,0;6678,0" o:connectangles="0,0"/>
                  </v:shape>
                </v:group>
                <v:group id="Group 8739" o:spid="_x0000_s1356" style="position:absolute;left:9871;top:7589;width:1014;height:2" coordorigin="9871,7589"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TGj68cAAADe&#10;AAAADwAAAAAAAAAAAAAAAACqAgAAZHJzL2Rvd25yZXYueG1sUEsFBgAAAAAEAAQA+gAAAJ4DAAAA&#10;AA==&#10;">
                  <v:shape id="Freeform 8740" o:spid="_x0000_s1357" style="position:absolute;left:9871;top:7589;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eu7cQA&#10;AADeAAAADwAAAGRycy9kb3ducmV2LnhtbERP3WrCMBS+H/gO4QjezdSBnVajjMFgFzLmzwMcmmNT&#10;bE5qk7XRpzeDwe7Ox/d71ttoG9FT52vHCmbTDARx6XTNlYLT8eN5AcIHZI2NY1JwIw/bzehpjYV2&#10;A++pP4RKpBD2BSowIbSFlL40ZNFPXUucuLPrLIYEu0rqDocUbhv5kmW5tFhzajDY0ruh8nL4sQok&#10;z4f4dZ2bnPr7ch+/8115z5WajOPbCkSgGP7Ff+5PneYvstcl/L6TbpC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nru3EAAAA3gAAAA8AAAAAAAAAAAAAAAAAmAIAAGRycy9k&#10;b3ducmV2LnhtbFBLBQYAAAAABAAEAPUAAACJAwAAAAA=&#10;" path="m,l1014,e" filled="f" strokeweight=".05619mm">
                    <v:path arrowok="t" o:connecttype="custom" o:connectlocs="0,0;1014,0" o:connectangles="0,0"/>
                  </v:shape>
                </v:group>
                <v:group id="Group 8737" o:spid="_x0000_s1358" style="position:absolute;left:15;top:7589;width:6679;height:2" coordorigin="15,7589"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qS38rIAAAA&#10;3gAAAA8AAAAAAAAAAAAAAAAAqgIAAGRycy9kb3ducmV2LnhtbFBLBQYAAAAABAAEAPoAAACfAwAA&#10;AAA=&#10;">
                  <v:shape id="Freeform 8738" o:spid="_x0000_s1359" style="position:absolute;left:15;top:7589;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zhWsUA&#10;AADeAAAADwAAAGRycy9kb3ducmV2LnhtbERPTU/CQBC9m/AfNkPCTbY1KLWwEGIgGm+gB4+T7tAt&#10;dGeb7ra0/nrXxMTbvLzPWW8HW4ueWl85VpDOExDEhdMVlwo+Pw73GQgfkDXWjknBSB62m8ndGnPt&#10;bnyk/hRKEUPY56jAhNDkUvrCkEU/dw1x5M6utRgibEupW7zFcFvLhyR5khYrjg0GG3oxVFxPnVXw&#10;+vj1/d4/7zszygXxcqwvly5VajYddisQgYbwL/5zv+k4P0uyFH7fiT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LOFaxQAAAN4AAAAPAAAAAAAAAAAAAAAAAJgCAABkcnMv&#10;ZG93bnJldi54bWxQSwUGAAAAAAQABAD1AAAAigMAAAAA&#10;" path="m,l6678,e" filled="f" strokeweight=".05619mm">
                    <v:path arrowok="t" o:connecttype="custom" o:connectlocs="0,0;6678,0" o:connectangles="0,0"/>
                  </v:shape>
                </v:group>
                <v:group id="Group 8735" o:spid="_x0000_s1360" style="position:absolute;left:9871;top:7712;width:1014;height:2" coordorigin="9871,7712" coordsize="10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QzkJsQAAADeAAAA&#10;DwAAAAAAAAAAAAAAAACqAgAAZHJzL2Rvd25yZXYueG1sUEsFBgAAAAAEAAQA+gAAAJsDAAAAAA==&#10;">
                  <v:shape id="Freeform 8736" o:spid="_x0000_s1361" style="position:absolute;left:9871;top:7712;width:1014;height:2;visibility:visible;mso-wrap-style:square;v-text-anchor:top" coordsize="10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rpIMQA&#10;AADeAAAADwAAAGRycy9kb3ducmV2LnhtbERP3WrCMBS+F/YO4Qx2p+kcllqNMgaCF0Om2wMcmmNT&#10;bE66JraZT28Gg92dj+/3rLfRtmKg3jeOFTzPMhDEldMN1wq+PnfTAoQPyBpbx6TghzxsNw+TNZba&#10;jXyk4RRqkULYl6jAhNCVUvrKkEU/cx1x4s6utxgS7GupexxTuG3lPMtyabHh1GCwozdD1eV0tQok&#10;L8Z4+F6YnIbb8hg/8vfqliv19BhfVyACxfAv/nPvdZpfZMUL/L6TbpC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a6SDEAAAA3gAAAA8AAAAAAAAAAAAAAAAAmAIAAGRycy9k&#10;b3ducmV2LnhtbFBLBQYAAAAABAAEAPUAAACJAwAAAAA=&#10;" path="m,l1014,e" filled="f" strokeweight=".05619mm">
                    <v:path arrowok="t" o:connecttype="custom" o:connectlocs="0,0;1014,0" o:connectangles="0,0"/>
                  </v:shape>
                </v:group>
                <v:group id="Group 8733" o:spid="_x0000_s1362" style="position:absolute;left:15;top:7712;width:6679;height:2" coordorigin="15,7712" coordsize="66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Wp2cnFAAAA3gAA&#10;AA8AAAAAAAAAAAAAAAAAqgIAAGRycy9kb3ducmV2LnhtbFBLBQYAAAAABAAEAPoAAACcAwAAAAA=&#10;">
                  <v:shape id="Freeform 8734" o:spid="_x0000_s1363" style="position:absolute;left:15;top:7712;width:6679;height:2;visibility:visible;mso-wrap-style:square;v-text-anchor:top" coordsize="66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fnWcQA&#10;AADeAAAADwAAAGRycy9kb3ducmV2LnhtbERPTWvCQBC9F/wPywi91Y1SaxpdRUrF0pvaQ49DdpqN&#10;ZmdDdhMTf71bKPQ2j/c5q01vK9FR40vHCqaTBARx7nTJhYKv0+4pBeEDssbKMSkYyMNmPXpYYabd&#10;lQ/UHUMhYgj7DBWYEOpMSp8bsugnriaO3I9rLIYIm0LqBq8x3FZyliQv0mLJscFgTW+G8suxtQr2&#10;8+/bZ/f63ppBPhMvhup8bqdKPY777RJEoD78i//cHzrOT5N0Dr/vxBv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X51nEAAAA3gAAAA8AAAAAAAAAAAAAAAAAmAIAAGRycy9k&#10;b3ducmV2LnhtbFBLBQYAAAAABAAEAPUAAACJAwAAAAA=&#10;" path="m,l6678,e" filled="f" strokeweight=".05619mm">
                    <v:path arrowok="t" o:connecttype="custom" o:connectlocs="0,0;6678,0" o:connectangles="0,0"/>
                  </v:shape>
                </v:group>
                <v:group id="Group 8731" o:spid="_x0000_s1364" style="position:absolute;left:1022;top:7834;width:2;height:1711" coordorigin="1022,7834" coordsize="2,1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jfiJcQAAADeAAAA&#10;DwAAAAAAAAAAAAAAAACqAgAAZHJzL2Rvd25yZXYueG1sUEsFBgAAAAAEAAQA+gAAAJsDAAAAAA==&#10;">
                  <v:shape id="Freeform 8732" o:spid="_x0000_s1365" style="position:absolute;left:1022;top:7834;width:2;height:1711;visibility:visible;mso-wrap-style:square;v-text-anchor:top" coordsize="2,17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eDFcIA&#10;AADeAAAADwAAAGRycy9kb3ducmV2LnhtbERPzWoCMRC+C75DGMGbZu1Bl61RVNoiHkTXPsCQjLvb&#10;biZLEnX79o1Q6G0+vt9Zrnvbijv50DhWMJtmIIi1Mw1XCj4v75McRIjIBlvHpOCHAqxXw8ESC+Me&#10;fKZ7GSuRQjgUqKCOsSukDLomi2HqOuLEXZ23GBP0lTQeHynctvIly+bSYsOpocaOdjXp7/JmFRy/&#10;jDsd7OkN9W3vr2Wltx9GKzUe9ZtXEJH6+C/+c+9Nmp9n+QKe76Qb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h4MVwgAAAN4AAAAPAAAAAAAAAAAAAAAAAJgCAABkcnMvZG93&#10;bnJldi54bWxQSwUGAAAAAAQABAD1AAAAhwMAAAAA&#10;" path="m,l,1711e" filled="f" strokeweight=".05622mm">
                    <v:path arrowok="t" o:connecttype="custom" o:connectlocs="0,7834;0,9545" o:connectangles="0,0"/>
                  </v:shape>
                </v:group>
                <v:group id="Group 8729" o:spid="_x0000_s1366" style="position:absolute;left:15;top:7834;width:10870;height:2" coordorigin="15,7834"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Tk08zIAAAA&#10;3gAAAA8AAAAAAAAAAAAAAAAAqgIAAGRycy9kb3ducmV2LnhtbFBLBQYAAAAABAAEAPoAAACfAwAA&#10;AAA=&#10;">
                  <v:shape id="Freeform 8730" o:spid="_x0000_s1367" style="position:absolute;left:15;top:7834;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HI9cEA&#10;AADeAAAADwAAAGRycy9kb3ducmV2LnhtbERPS4vCMBC+L/gfwgje1tQV1lqNogvK4s3XfWzGtNhM&#10;ahO1/nuzsOBtPr7nTOetrcSdGl86VjDoJyCIc6dLNgoO+9VnCsIHZI2VY1LwJA/zWedjipl2D97S&#10;fReMiCHsM1RQhFBnUvq8IIu+72riyJ1dYzFE2BipG3zEcFvJryT5lhZLjg0F1vRTUH7Z3ayC02U1&#10;Cu1xwafh0CzXG+tNdc2V6nXbxQREoDa8xf/uXx3np0k6hr934g1y9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xyPXBAAAA3gAAAA8AAAAAAAAAAAAAAAAAmAIAAGRycy9kb3du&#10;cmV2LnhtbFBLBQYAAAAABAAEAPUAAACGAwAAAAA=&#10;" path="m,l10870,e" filled="f" strokeweight=".05619mm">
                    <v:path arrowok="t" o:connecttype="custom" o:connectlocs="0,0;10870,0" o:connectangles="0,0"/>
                  </v:shape>
                </v:group>
                <v:group id="Group 8727" o:spid="_x0000_s1368" style="position:absolute;left:15;top:7956;width:10870;height:2" coordorigin="15,7956"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I9LSRfIAAAA&#10;3gAAAA8AAAAAAAAAAAAAAAAAqgIAAGRycy9kb3ducmV2LnhtbFBLBQYAAAAABAAEAPoAAACfAwAA&#10;AAA=&#10;">
                  <v:shape id="Freeform 8728" o:spid="_x0000_s1369" style="position:absolute;left:15;top:7956;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5SLsMA&#10;AADeAAAADwAAAGRycy9kb3ducmV2LnhtbERPTWvCQBC9F/wPywi9NRsr2DS6ii0o0lvV3ifZcRPM&#10;zqbZbRL/fbdQ8DaP9zmrzWgb0VPna8cKZkkKgrh0umaj4HzaPWUgfEDW2DgmBTfysFlPHlaYazfw&#10;J/XHYEQMYZ+jgiqENpfSlxVZ9IlriSN3cZ3FEGFnpO5wiOG2kc9pupAWa44NFbb0XlF5Pf5YBcV1&#10;9xLGry0X87l5239Yb5rvUqnH6bhdggg0hrv4333QcX6Wvs7g7514g1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5SLsMAAADeAAAADwAAAAAAAAAAAAAAAACYAgAAZHJzL2Rv&#10;d25yZXYueG1sUEsFBgAAAAAEAAQA9QAAAIgDAAAAAA==&#10;" path="m,l10870,e" filled="f" strokeweight=".05619mm">
                    <v:path arrowok="t" o:connecttype="custom" o:connectlocs="0,0;10870,0" o:connectangles="0,0"/>
                  </v:shape>
                </v:group>
                <v:group id="Group 8725" o:spid="_x0000_s1370" style="position:absolute;left:15;top:8078;width:10870;height:2" coordorigin="15,8078"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NVy+8QAAADeAAAA&#10;DwAAAAAAAAAAAAAAAACqAgAAZHJzL2Rvd25yZXYueG1sUEsFBgAAAAAEAAQA+gAAAJsDAAAAAA==&#10;">
                  <v:shape id="Freeform 8726" o:spid="_x0000_s1371" style="position:absolute;left:15;top:8078;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BpwsMA&#10;AADeAAAADwAAAGRycy9kb3ducmV2LnhtbERPTWvCQBC9F/oflin0Vjc2UDVmI1qwFG9qe59kx01I&#10;djZmt5r+e7dQ8DaP9zn5arSduNDgG8cKppMEBHHldMNGwddx+zIH4QOyxs4xKfglD6vi8SHHTLsr&#10;7+lyCEbEEPYZKqhD6DMpfVWTRT9xPXHkTm6wGCIcjNQDXmO47eRrkrxJiw3Hhhp7eq+pag8/VkHZ&#10;bmdh/F5zmaZm87Gz3nTnSqnnp3G9BBFoDHfxv/tTx/nzZJHC3zvxBl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BpwsMAAADeAAAADwAAAAAAAAAAAAAAAACYAgAAZHJzL2Rv&#10;d25yZXYueG1sUEsFBgAAAAAEAAQA9QAAAIgDAAAAAA==&#10;" path="m,l10870,e" filled="f" strokeweight=".05619mm">
                    <v:path arrowok="t" o:connecttype="custom" o:connectlocs="0,0;10870,0" o:connectangles="0,0"/>
                  </v:shape>
                </v:group>
                <v:group id="Group 8723" o:spid="_x0000_s1372" style="position:absolute;left:15;top:8201;width:10870;height:2" coordorigin="15,8201"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BwTxTFAAAA3gAA&#10;AA8AAAAAAAAAAAAAAAAAqgIAAGRycy9kb3ducmV2LnhtbFBLBQYAAAAABAAEAPoAAACcAwAAAAA=&#10;">
                  <v:shape id="Freeform 8724" o:spid="_x0000_s1373" style="position:absolute;left:15;top:8201;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VULcEA&#10;AADeAAAADwAAAGRycy9kb3ducmV2LnhtbERPS4vCMBC+C/6HMMLe1lTFVzWKu6CIN1/3sRnTYjOp&#10;TVa7/34jLHibj+8582VjS/Gg2heOFfS6CQjizOmCjYLTcf05AeEDssbSMSn4JQ/LRbs1x1S7J+/p&#10;cQhGxBD2KSrIQ6hSKX2Wk0XfdRVx5K6uthgirI3UNT5juC1lP0lG0mLBsSHHir5zym6HH6vgcluP&#10;Q3Ne8WUwMF+bnfWmvGdKfXSa1QxEoCa8xf/urY7zJ8l0CK934g1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lVC3BAAAA3gAAAA8AAAAAAAAAAAAAAAAAmAIAAGRycy9kb3du&#10;cmV2LnhtbFBLBQYAAAAABAAEAPUAAACGAwAAAAA=&#10;" path="m,l10870,e" filled="f" strokeweight=".05619mm">
                    <v:path arrowok="t" o:connecttype="custom" o:connectlocs="0,0;10870,0" o:connectangles="0,0"/>
                  </v:shape>
                </v:group>
                <v:group id="Group 8721" o:spid="_x0000_s1374" style="position:absolute;left:15;top:8323;width:10870;height:2" coordorigin="15,8323"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50+MQAAADeAAAA&#10;DwAAAAAAAAAAAAAAAACqAgAAZHJzL2Rvd25yZXYueG1sUEsFBgAAAAAEAAQA+gAAAJsDAAAAAA==&#10;">
                  <v:shape id="Freeform 8722" o:spid="_x0000_s1375" style="position:absolute;left:15;top:8323;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tvwcIA&#10;AADeAAAADwAAAGRycy9kb3ducmV2LnhtbERPS4vCMBC+C/sfwgh701QF7Vaj6IKLePOx97EZ02Iz&#10;6TZZrf/eCIK3+fieM1u0thJXanzpWMGgn4Agzp0u2Sg4Hta9FIQPyBorx6TgTh4W84/ODDPtbryj&#10;6z4YEUPYZ6igCKHOpPR5QRZ939XEkTu7xmKIsDFSN3iL4baSwyQZS4slx4YCa/ouKL/s/62C02U9&#10;Ce3vkk+jkVn9bK031V+u1Ge3XU5BBGrDW/xyb3ScnyZfE3i+E2+Q8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O2/BwgAAAN4AAAAPAAAAAAAAAAAAAAAAAJgCAABkcnMvZG93&#10;bnJldi54bWxQSwUGAAAAAAQABAD1AAAAhwMAAAAA&#10;" path="m,l10870,e" filled="f" strokeweight=".05619mm">
                    <v:path arrowok="t" o:connecttype="custom" o:connectlocs="0,0;10870,0" o:connectangles="0,0"/>
                  </v:shape>
                </v:group>
                <v:group id="Group 8719" o:spid="_x0000_s1376" style="position:absolute;left:15;top:8445;width:10870;height:2" coordorigin="15,8445"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HE9RRHIAAAA&#10;3gAAAA8AAAAAAAAAAAAAAAAAqgIAAGRycy9kb3ducmV2LnhtbFBLBQYAAAAABAAEAPoAAACfAwAA&#10;AAA=&#10;">
                  <v:shape id="Freeform 8720" o:spid="_x0000_s1377" style="position:absolute;left:15;top:8445;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heKMIA&#10;AADeAAAADwAAAGRycy9kb3ducmV2LnhtbERPS4vCMBC+L/gfwgje1tQV3FqNoguKeFsf97EZ02Iz&#10;qU3U+u/NwoK3+fieM523thJ3anzpWMGgn4Agzp0u2Sg47FefKQgfkDVWjknBkzzMZ52PKWbaPfiX&#10;7rtgRAxhn6GCIoQ6k9LnBVn0fVcTR+7sGoshwsZI3eAjhttKfiXJSFosOTYUWNNPQflld7MKTpfV&#10;d2iPCz4Nh2a53lpvqmuuVK/bLiYgArXhLf53b3ScnybjMfy9E2+Qs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6F4owgAAAN4AAAAPAAAAAAAAAAAAAAAAAJgCAABkcnMvZG93&#10;bnJldi54bWxQSwUGAAAAAAQABAD1AAAAhwMAAAAA&#10;" path="m,l10870,e" filled="f" strokeweight=".05619mm">
                    <v:path arrowok="t" o:connecttype="custom" o:connectlocs="0,0;10870,0" o:connectangles="0,0"/>
                  </v:shape>
                </v:group>
                <v:group id="Group 8717" o:spid="_x0000_s1378" style="position:absolute;left:15;top:8567;width:10870;height:2" coordorigin="15,8567"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aDTDccAAADe&#10;AAAADwAAAAAAAAAAAAAAAACqAgAAZHJzL2Rvd25yZXYueG1sUEsFBgAAAAAEAAQA+gAAAJ4DAAAA&#10;AA==&#10;">
                  <v:shape id="Freeform 8718" o:spid="_x0000_s1379" style="position:absolute;left:15;top:8567;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XINMIA&#10;AADeAAAADwAAAGRycy9kb3ducmV2LnhtbERPTWvCQBC9F/wPywje6iYVqkRXiYVI8da03sfsuAlm&#10;Z9Ps1qT/3i0UvM3jfc5mN9pW3Kj3jWMF6TwBQVw53bBR8PVZPK9A+ICssXVMCn7Jw247edpgpt3A&#10;H3QrgxExhH2GCuoQukxKX9Vk0c9dRxy5i+sthgh7I3WPQwy3rXxJkldpseHYUGNHbzVV1/LHKjhf&#10;i2UYTzmfFwuzPxytN+13pdRsOuZrEIHG8BD/u991nL9KkxT+3ok3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dcg0wgAAAN4AAAAPAAAAAAAAAAAAAAAAAJgCAABkcnMvZG93&#10;bnJldi54bWxQSwUGAAAAAAQABAD1AAAAhwMAAAAA&#10;" path="m,l10870,e" filled="f" strokeweight=".05619mm">
                    <v:path arrowok="t" o:connecttype="custom" o:connectlocs="0,0;10870,0" o:connectangles="0,0"/>
                  </v:shape>
                </v:group>
                <v:group id="Group 8715" o:spid="_x0000_s1380" style="position:absolute;left:15;top:8689;width:10870;height:2" coordorigin="15,8689"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j7o4cQAAADeAAAA&#10;DwAAAAAAAAAAAAAAAACqAgAAZHJzL2Rvd25yZXYueG1sUEsFBgAAAAAEAAQA+gAAAJsDAAAAAA==&#10;">
                  <v:shape id="Freeform 8716" o:spid="_x0000_s1381" style="position:absolute;left:15;top:8689;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vz2MEA&#10;AADeAAAADwAAAGRycy9kb3ducmV2LnhtbERPS4vCMBC+C/6HMAveNNWCW7pGUUGRvfnY+9jMpsVm&#10;Upuo9d9vBGFv8/E9Z7bobC3u1PrKsYLxKAFBXDhdsVFwOm6GGQgfkDXWjknBkzws5v3eDHPtHryn&#10;+yEYEUPY56igDKHJpfRFSRb9yDXEkft1rcUQYWukbvERw20tJ0kylRYrjg0lNrQuqbgcblbB+bL5&#10;DN3Pks9palbbb+tNfS2UGnx0yy8QgbrwL367dzrOz8ZJCq934g1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r89jBAAAA3gAAAA8AAAAAAAAAAAAAAAAAmAIAAGRycy9kb3du&#10;cmV2LnhtbFBLBQYAAAAABAAEAPUAAACGAwAAAAA=&#10;" path="m,l10870,e" filled="f" strokeweight=".05619mm">
                    <v:path arrowok="t" o:connecttype="custom" o:connectlocs="0,0;10870,0" o:connectangles="0,0"/>
                  </v:shape>
                </v:group>
                <v:group id="Group 8713" o:spid="_x0000_s1382" style="position:absolute;left:15;top:8811;width:10870;height:2" coordorigin="15,8811"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6b1Q7FAAAA3gAA&#10;AA8AAAAAAAAAAAAAAAAAqgIAAGRycy9kb3ducmV2LnhtbFBLBQYAAAAABAAEAPoAAACcAwAAAAA=&#10;">
                  <v:shape id="Freeform 8714" o:spid="_x0000_s1383" style="position:absolute;left:15;top:8811;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7ON8EA&#10;AADeAAAADwAAAGRycy9kb3ducmV2LnhtbERPS4vCMBC+C/sfwizszaYqPqhGcQVF9ubrPjZjWmwm&#10;3Sar9d9vBMHbfHzPmS1aW4kbNb50rKCXpCCIc6dLNgqOh3V3AsIHZI2VY1LwIA+L+Udnhpl2d97R&#10;bR+MiCHsM1RQhFBnUvq8IIs+cTVx5C6usRgibIzUDd5juK1kP01H0mLJsaHAmlYF5df9n1Vwvq7H&#10;oT0t+TwYmO/Nj/Wm+s2V+vpsl1MQgdrwFr/cWx3nT3rpEJ7vxBvk/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lOzjfBAAAA3gAAAA8AAAAAAAAAAAAAAAAAmAIAAGRycy9kb3du&#10;cmV2LnhtbFBLBQYAAAAABAAEAPUAAACGAwAAAAA=&#10;" path="m,l10870,e" filled="f" strokeweight=".05619mm">
                    <v:path arrowok="t" o:connecttype="custom" o:connectlocs="0,0;10870,0" o:connectangles="0,0"/>
                  </v:shape>
                </v:group>
                <v:group id="Group 8711" o:spid="_x0000_s1384" style="position:absolute;left:15;top:8933;width:10870;height:2" coordorigin="15,8933"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8QXu4sQAAADeAAAA&#10;DwAAAAAAAAAAAAAAAACqAgAAZHJzL2Rvd25yZXYueG1sUEsFBgAAAAAEAAQA+gAAAJsDAAAAAA==&#10;">
                  <v:shape id="Freeform 8712" o:spid="_x0000_s1385" style="position:absolute;left:15;top:8933;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D128IA&#10;AADeAAAADwAAAGRycy9kb3ducmV2LnhtbERPTWvCQBC9C/0PyxS86cYKVVLXEAuK9GbU+5idboLZ&#10;2ZhdTfrvu0Kht3m8z1llg23EgzpfO1YwmyYgiEunazYKTsftZAnCB2SNjWNS8EMesvXLaIWpdj0f&#10;6FEEI2II+xQVVCG0qZS+rMiin7qWOHLfrrMYIuyM1B32Mdw28i1J3qXFmmNDhS19VlRei7tVcLlu&#10;F2E453yZz81m92W9aW6lUuPXIf8AEWgI/+I/917H+ctZsoDnO/EG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0PXbwgAAAN4AAAAPAAAAAAAAAAAAAAAAAJgCAABkcnMvZG93&#10;bnJldi54bWxQSwUGAAAAAAQABAD1AAAAhwMAAAAA&#10;" path="m,l10870,e" filled="f" strokeweight=".05619mm">
                    <v:path arrowok="t" o:connecttype="custom" o:connectlocs="0,0;10870,0" o:connectangles="0,0"/>
                  </v:shape>
                </v:group>
                <v:group id="Group 8709" o:spid="_x0000_s1386" style="position:absolute;left:15;top:9056;width:10870;height:2" coordorigin="15,9056"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79bfC8cAAADe&#10;AAAADwAAAAAAAAAAAAAAAACqAgAAZHJzL2Rvd25yZXYueG1sUEsFBgAAAAAEAAQA+gAAAJ4DAAAA&#10;AA==&#10;">
                  <v:shape id="Freeform 8710" o:spid="_x0000_s1387" style="position:absolute;left:15;top:9056;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PEMsMA&#10;AADeAAAADwAAAGRycy9kb3ducmV2LnhtbERPTWvCQBC9F/wPywi9NRsr2DS6ii0o0lvV3ifZcRPM&#10;zqbZbRL/fbdQ8DaP9zmrzWgb0VPna8cKZkkKgrh0umaj4HzaPWUgfEDW2DgmBTfysFlPHlaYazfw&#10;J/XHYEQMYZ+jgiqENpfSlxVZ9IlriSN3cZ3FEGFnpO5wiOG2kc9pupAWa44NFbb0XlF5Pf5YBcV1&#10;9xLGry0X87l5239Yb5rvUqnH6bhdggg0hrv4333QcX42S1/h7514g1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APEMsMAAADeAAAADwAAAAAAAAAAAAAAAACYAgAAZHJzL2Rv&#10;d25yZXYueG1sUEsFBgAAAAAEAAQA9QAAAIgDAAAAAA==&#10;" path="m,l10870,e" filled="f" strokeweight=".05619mm">
                    <v:path arrowok="t" o:connecttype="custom" o:connectlocs="0,0;10870,0" o:connectangles="0,0"/>
                  </v:shape>
                </v:group>
                <v:group id="Group 8707" o:spid="_x0000_s1388" style="position:absolute;left:15;top:9178;width:10870;height:2" coordorigin="15,9178"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lHlF0McAAADe&#10;AAAADwAAAAAAAAAAAAAAAACqAgAAZHJzL2Rvd25yZXYueG1sUEsFBgAAAAAEAAQA+gAAAJ4DAAAA&#10;AA==&#10;">
                  <v:shape id="Freeform 8708" o:spid="_x0000_s1389" style="position:absolute;left:15;top:9178;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xe6cIA&#10;AADeAAAADwAAAGRycy9kb3ducmV2LnhtbERPTWvCQBC9C/6HZQRvZpMKrURXUUEpvTWt90l23ASz&#10;szG7Nem/7xYKvc3jfc5mN9pWPKj3jWMFWZKCIK6cbtgo+Pw4LVYgfEDW2DomBd/kYbedTjaYazfw&#10;Oz2KYEQMYZ+jgjqELpfSVzVZ9InriCN3db3FEGFvpO5xiOG2lU9p+iwtNhwbauzoWFN1K76sgvJ2&#10;egnjZc/lcmkO5zfrTXuvlJrPxv0aRKAx/Iv/3K86zl9lWQa/78Qb5P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rF7pwgAAAN4AAAAPAAAAAAAAAAAAAAAAAJgCAABkcnMvZG93&#10;bnJldi54bWxQSwUGAAAAAAQABAD1AAAAhwMAAAAA&#10;" path="m,l10870,e" filled="f" strokeweight=".05619mm">
                    <v:path arrowok="t" o:connecttype="custom" o:connectlocs="0,0;10870,0" o:connectangles="0,0"/>
                  </v:shape>
                </v:group>
                <v:group id="Group 8705" o:spid="_x0000_s1390" style="position:absolute;left:15;top:9300;width:10870;height:2" coordorigin="15,9300"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PMQAAADeAAAA&#10;DwAAAAAAAAAAAAAAAACqAgAAZHJzL2Rvd25yZXYueG1sUEsFBgAAAAAEAAQA+gAAAJsDAAAAAA==&#10;">
                  <v:shape id="Freeform 8706" o:spid="_x0000_s1391" style="position:absolute;left:15;top:9300;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JlBcMA&#10;AADeAAAADwAAAGRycy9kb3ducmV2LnhtbERPTWvCQBC9F/wPywje6iYGWomuIRaU0lvTeh+z4yaY&#10;nU2zq0n/fbdQ6G0e73O2xWQ7cafBt44VpMsEBHHtdMtGwefH4XENwgdkjZ1jUvBNHord7GGLuXYj&#10;v9O9CkbEEPY5KmhC6HMpfd2QRb90PXHkLm6wGCIcjNQDjjHcdnKVJE/SYsuxocGeXhqqr9XNKjhf&#10;D89hOpV8zjKzP75Zb7qvWqnFfCo3IAJN4V/8537Vcf46TTP4fSfe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DJlBcMAAADeAAAADwAAAAAAAAAAAAAAAACYAgAAZHJzL2Rv&#10;d25yZXYueG1sUEsFBgAAAAAEAAQA9QAAAIgDAAAAAA==&#10;" path="m,l10870,e" filled="f" strokeweight=".05619mm">
                    <v:path arrowok="t" o:connecttype="custom" o:connectlocs="0,0;10870,0" o:connectangles="0,0"/>
                  </v:shape>
                </v:group>
                <v:group id="Group 8703" o:spid="_x0000_s1392" style="position:absolute;left:15;top:9422;width:10870;height:2" coordorigin="15,9422"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0JD08QAAADeAAAA&#10;DwAAAAAAAAAAAAAAAACqAgAAZHJzL2Rvd25yZXYueG1sUEsFBgAAAAAEAAQA+gAAAJsDAAAAAA==&#10;">
                  <v:shape id="Freeform 8704" o:spid="_x0000_s1393" style="position:absolute;left:15;top:9422;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dY6sMA&#10;AADeAAAADwAAAGRycy9kb3ducmV2LnhtbERPS2vCQBC+F/wPywi91U0qrRJdQ1qwFG/1cR+z4yaY&#10;nU2z2yT9926h4G0+vues89E2oqfO144VpLMEBHHpdM1GwfGwfVqC8AFZY+OYFPySh3wzeVhjpt3A&#10;X9TvgxExhH2GCqoQ2kxKX1Zk0c9cSxy5i+sshgg7I3WHQwy3jXxOkldpsebYUGFL7xWV1/2PVXC+&#10;bhdhPBV8ns/N28fOetN8l0o9TsdiBSLQGO7if/enjvOXafoCf+/EG+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JdY6sMAAADeAAAADwAAAAAAAAAAAAAAAACYAgAAZHJzL2Rv&#10;d25yZXYueG1sUEsFBgAAAAAEAAQA9QAAAIgDAAAAAA==&#10;" path="m,l10870,e" filled="f" strokeweight=".05619mm">
                    <v:path arrowok="t" o:connecttype="custom" o:connectlocs="0,0;10870,0" o:connectangles="0,0"/>
                  </v:shape>
                </v:group>
                <v:group id="Group 8701" o:spid="_x0000_s1394" style="position:absolute;left:15;top:9544;width:10870;height:2" coordorigin="15,9544"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Nx4P8QAAADeAAAA&#10;DwAAAAAAAAAAAAAAAACqAgAAZHJzL2Rvd25yZXYueG1sUEsFBgAAAAAEAAQA+gAAAJsDAAAAAA==&#10;">
                  <v:shape id="Freeform 8702" o:spid="_x0000_s1395" style="position:absolute;left:15;top:9544;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ljBsMA&#10;AADeAAAADwAAAGRycy9kb3ducmV2LnhtbERPTWvCQBC9C/6HZYTezCYVakhdxRYspbfG9j7JTjfB&#10;7Gya3Zr4792C4G0e73M2u8l24kyDbx0ryJIUBHHtdMtGwdfxsMxB+ICssXNMCi7kYbedzzZYaDfy&#10;J53LYEQMYV+ggiaEvpDS1w1Z9InriSP34waLIcLBSD3gGMNtJx/T9ElabDk2NNjTa0P1qfyzCqrT&#10;YR2m7z1Xq5V5efuw3nS/tVIPi2n/DCLQFO7im/tdx/l5lq3h/514g9x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ljBsMAAADeAAAADwAAAAAAAAAAAAAAAACYAgAAZHJzL2Rv&#10;d25yZXYueG1sUEsFBgAAAAAEAAQA9QAAAIgDAAAAAA==&#10;" path="m,l10870,e" filled="f" strokeweight=".05619mm">
                    <v:path arrowok="t" o:connecttype="custom" o:connectlocs="0,0;10870,0" o:connectangles="0,0"/>
                  </v:shape>
                </v:group>
                <v:group id="Group 8699" o:spid="_x0000_s1396" style="position:absolute;left:15;top:9666;width:10870;height:2" coordorigin="15,9666"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g9J1scAAADe&#10;AAAADwAAAAAAAAAAAAAAAACqAgAAZHJzL2Rvd25yZXYueG1sUEsFBgAAAAAEAAQA+gAAAJ4DAAAA&#10;AA==&#10;">
                  <v:shape id="Freeform 8700" o:spid="_x0000_s1397" style="position:absolute;left:15;top:9666;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pS78IA&#10;AADeAAAADwAAAGRycy9kb3ducmV2LnhtbERPS4vCMBC+C/6HMII3TavgoxrFFVxkb7rrfWzGtNhM&#10;uk3U7r/fCIK3+fies1y3thJ3anzpWEE6TEAQ506XbBT8fO8GMxA+IGusHJOCP/KwXnU7S8y0e/CB&#10;7sdgRAxhn6GCIoQ6k9LnBVn0Q1cTR+7iGoshwsZI3eAjhttKjpJkIi2WHBsKrGlbUH493qyC83U3&#10;De1pw+fx2Hx8fllvqt9cqX6v3SxABGrDW/xy73WcP0vTOTzfiT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2lLvwgAAAN4AAAAPAAAAAAAAAAAAAAAAAJgCAABkcnMvZG93&#10;bnJldi54bWxQSwUGAAAAAAQABAD1AAAAhwMAAAAA&#10;" path="m,l10870,e" filled="f" strokeweight=".05619mm">
                    <v:path arrowok="t" o:connecttype="custom" o:connectlocs="0,0;10870,0" o:connectangles="0,0"/>
                  </v:shape>
                </v:group>
                <v:group id="Group 8697" o:spid="_x0000_s1398" style="position:absolute;left:15;top:9788;width:10870;height:2" coordorigin="15,9788"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hWPbccAAADe&#10;AAAADwAAAAAAAAAAAAAAAACqAgAAZHJzL2Rvd25yZXYueG1sUEsFBgAAAAAEAAQA+gAAAJ4DAAAA&#10;AA==&#10;">
                  <v:shape id="Freeform 8698" o:spid="_x0000_s1399" style="position:absolute;left:15;top:9788;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CUVMEA&#10;AADeAAAADwAAAGRycy9kb3ducmV2LnhtbERPS4vCMBC+L/gfwgje1rQKrlSjqKDI3nzdx2ZMi82k&#10;NlHrv98Iwt7m43vOdN7aSjyo8aVjBWk/AUGcO12yUXA8rL/HIHxA1lg5JgUv8jCfdb6mmGn35B09&#10;9sGIGMI+QwVFCHUmpc8Lsuj7riaO3MU1FkOEjZG6wWcMt5UcJMlIWiw5NhRY06qg/Lq/WwXn6/on&#10;tKcFn4dDs9z8Wm+qW65Ur9suJiACteFf/HFvdZw/TgcpvN+JN8jZ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3AlFTBAAAA3gAAAA8AAAAAAAAAAAAAAAAAmAIAAGRycy9kb3du&#10;cmV2LnhtbFBLBQYAAAAABAAEAPUAAACGAwAAAAA=&#10;" path="m,l10870,e" filled="f" strokeweight=".05619mm">
                    <v:path arrowok="t" o:connecttype="custom" o:connectlocs="0,0;10870,0" o:connectangles="0,0"/>
                  </v:shape>
                </v:group>
                <v:group id="Group 8695" o:spid="_x0000_s1400" style="position:absolute;left:15;top:9911;width:10870;height:2" coordorigin="15,9911"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u0gcQAAADeAAAA&#10;DwAAAAAAAAAAAAAAAACqAgAAZHJzL2Rvd25yZXYueG1sUEsFBgAAAAAEAAQA+gAAAJsDAAAAAA==&#10;">
                  <v:shape id="Freeform 8696" o:spid="_x0000_s1401" style="position:absolute;left:15;top:9911;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6vuMMA&#10;AADeAAAADwAAAGRycy9kb3ducmV2LnhtbERPS2vCQBC+F/wPywjemo0GWomuogWl9FYf90l23ASz&#10;szG7TdJ/3y0UepuP7znr7Wgb0VPna8cK5kkKgrh0umaj4HI+PC9B+ICssXFMCr7Jw3YzeVpjrt3A&#10;n9SfghExhH2OCqoQ2lxKX1Zk0SeuJY7czXUWQ4SdkbrDIYbbRi7S9EVarDk2VNjSW0Xl/fRlFRT3&#10;w2sYrzsusszsjx/Wm+ZRKjWbjrsViEBj+Bf/ud91nL+cLzL4fSfe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l6vuMMAAADeAAAADwAAAAAAAAAAAAAAAACYAgAAZHJzL2Rv&#10;d25yZXYueG1sUEsFBgAAAAAEAAQA9QAAAIgDAAAAAA==&#10;" path="m,l10870,e" filled="f" strokeweight=".05619mm">
                    <v:path arrowok="t" o:connecttype="custom" o:connectlocs="0,0;10870,0" o:connectangles="0,0"/>
                  </v:shape>
                </v:group>
                <v:group id="Group 8693" o:spid="_x0000_s1402" style="position:absolute;left:15;top:10033;width:10870;height:2" coordorigin="15,10033"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S6JbsQAAADeAAAADwAAAGRycy9kb3ducmV2LnhtbERPS4vCMBC+C/sfwizs&#10;TdO6KlKNIrK7eBDBB4i3oRnbYjMpTbat/94Igrf5+J4zX3amFA3VrrCsIB5EIIhTqwvOFJyOv/0p&#10;COeRNZaWScGdHCwXH705Jtq2vKfm4DMRQtglqCD3vkqkdGlOBt3AVsSBu9raoA+wzqSusQ3hppTD&#10;KJpIgwWHhhwrWueU3g7/RsFfi+3qO/5ptrfr+n45jnfnbUxKfX12qxkIT51/i1/ujQ7zp/FwB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S6JbsQAAADeAAAA&#10;DwAAAAAAAAAAAAAAAACqAgAAZHJzL2Rvd25yZXYueG1sUEsFBgAAAAAEAAQA+gAAAJsDAAAAAA==&#10;">
                  <v:shape id="Freeform 8694" o:spid="_x0000_s1403" style="position:absolute;left:15;top:10033;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SV8EA&#10;AADeAAAADwAAAGRycy9kb3ducmV2LnhtbERPTYvCMBC9L/gfwix426YqrtI1igqKeFt172Mzmxab&#10;SW2i1n9vBMHbPN7nTGatrcSVGl86VtBLUhDEudMlGwWH/eprDMIHZI2VY1JwJw+zaedjgpl2N/6l&#10;6y4YEUPYZ6igCKHOpPR5QRZ94mriyP27xmKIsDFSN3iL4baS/TT9lhZLjg0F1rQsKD/tLlbB8bQa&#10;hfZvzsfBwCzWW+tNdc6V6n628x8QgdrwFr/cGx3nj3v9ITzfiTfI6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L7klfBAAAA3gAAAA8AAAAAAAAAAAAAAAAAmAIAAGRycy9kb3du&#10;cmV2LnhtbFBLBQYAAAAABAAEAPUAAACGAwAAAAA=&#10;" path="m,l10870,e" filled="f" strokeweight=".05619mm">
                    <v:path arrowok="t" o:connecttype="custom" o:connectlocs="0,0;10870,0" o:connectangles="0,0"/>
                  </v:shape>
                </v:group>
                <v:group id="Group 8691" o:spid="_x0000_s1404" style="position:absolute;left:15;top:10155;width:10870;height:2" coordorigin="15,10155"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qwsoLFAAAA3gAA&#10;AA8AAAAAAAAAAAAAAAAAqgIAAGRycy9kb3ducmV2LnhtbFBLBQYAAAAABAAEAPoAAACcAwAAAAA=&#10;">
                  <v:shape id="Freeform 8692" o:spid="_x0000_s1405" style="position:absolute;left:15;top:10155;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Wpu8AA&#10;AADeAAAADwAAAGRycy9kb3ducmV2LnhtbERPTYvCMBC9L/gfwgje1lQFlWoUFRTxprvex2ZMi82k&#10;NlHrvzeC4G0e73Om88aW4k61Lxwr6HUTEMSZ0wUbBf9/698xCB+QNZaOScGTPMxnrZ8ppto9eE/3&#10;QzAihrBPUUEeQpVK6bOcLPquq4gjd3a1xRBhbaSu8RHDbSn7STKUFguODTlWtMopuxxuVsHpsh6F&#10;5rjg02Bglpud9aa8Zkp12s1iAiJQE77ij3ur4/xxrz+C9zvxBj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Wpu8AAAADeAAAADwAAAAAAAAAAAAAAAACYAgAAZHJzL2Rvd25y&#10;ZXYueG1sUEsFBgAAAAAEAAQA9QAAAIUDAAAAAA==&#10;" path="m,l10870,e" filled="f" strokeweight=".05619mm">
                    <v:path arrowok="t" o:connecttype="custom" o:connectlocs="0,0;10870,0" o:connectangles="0,0"/>
                  </v:shape>
                </v:group>
                <v:group id="Group 8689" o:spid="_x0000_s1406" style="position:absolute;left:15;top:10277;width:10870;height:2" coordorigin="15,10277"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GODa8cAAADe&#10;AAAADwAAAAAAAAAAAAAAAACqAgAAZHJzL2Rvd25yZXYueG1sUEsFBgAAAAAEAAQA+gAAAJ4DAAAA&#10;AA==&#10;">
                  <v:shape id="Freeform 8690" o:spid="_x0000_s1407" style="position:absolute;left:15;top:10277;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aYUsIA&#10;AADeAAAADwAAAGRycy9kb3ducmV2LnhtbERPS4vCMBC+L/gfwgje1lQFt9s1igou4m193MdmTIvN&#10;pDZRu//eCIK3+fieM5m1thI3anzpWMGgn4Agzp0u2SjY71afKQgfkDVWjknBP3mYTTsfE8y0u/Mf&#10;3bbBiBjCPkMFRQh1JqXPC7Lo+64mjtzJNRZDhI2RusF7DLeVHCbJWFosOTYUWNOyoPy8vVoFx/Pq&#10;K7SHOR9HI7P43VhvqkuuVK/bzn9ABGrDW/xyr3Wcnw6G3/B8J94gp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tphSwgAAAN4AAAAPAAAAAAAAAAAAAAAAAJgCAABkcnMvZG93&#10;bnJldi54bWxQSwUGAAAAAAQABAD1AAAAhwMAAAAA&#10;" path="m,l10870,e" filled="f" strokeweight=".05619mm">
                    <v:path arrowok="t" o:connecttype="custom" o:connectlocs="0,0;10870,0" o:connectangles="0,0"/>
                  </v:shape>
                </v:group>
                <v:group id="Group 8687" o:spid="_x0000_s1408" style="position:absolute;left:15;top:10399;width:10870;height:2" coordorigin="15,10399"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38wZsMcAAADe&#10;AAAADwAAAAAAAAAAAAAAAACqAgAAZHJzL2Rvd25yZXYueG1sUEsFBgAAAAAEAAQA+gAAAJ4DAAAA&#10;AA==&#10;">
                  <v:shape id="Freeform 8688" o:spid="_x0000_s1409" style="position:absolute;left:15;top:10399;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kCicMA&#10;AADeAAAADwAAAGRycy9kb3ducmV2LnhtbERPTWvCQBC9F/wPywje6iYGWomuIRaU0lvTeh+z4yaY&#10;nU2zq0n/fbdQ6G0e73O2xWQ7cafBt44VpMsEBHHtdMtGwefH4XENwgdkjZ1jUvBNHord7GGLuXYj&#10;v9O9CkbEEPY5KmhC6HMpfd2QRb90PXHkLm6wGCIcjNQDjjHcdnKVJE/SYsuxocGeXhqqr9XNKjhf&#10;D89hOpV8zjKzP75Zb7qvWqnFfCo3IAJN4V/8537Vcf46zVL4fSfe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BkCicMAAADeAAAADwAAAAAAAAAAAAAAAACYAgAAZHJzL2Rv&#10;d25yZXYueG1sUEsFBgAAAAAEAAQA9QAAAIgDAAAAAA==&#10;" path="m,l10870,e" filled="f" strokeweight=".05619mm">
                    <v:path arrowok="t" o:connecttype="custom" o:connectlocs="0,0;10870,0" o:connectangles="0,0"/>
                  </v:shape>
                </v:group>
                <v:group id="Group 8685" o:spid="_x0000_s1410" style="position:absolute;left:15;top:10522;width:10870;height:2" coordorigin="15,10522" coordsize="108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IiXMQAAADeAAAA&#10;DwAAAAAAAAAAAAAAAACqAgAAZHJzL2Rvd25yZXYueG1sUEsFBgAAAAAEAAQA+gAAAJsDAAAAAA==&#10;">
                  <v:shape id="Freeform 8686" o:spid="_x0000_s1411" style="position:absolute;left:15;top:10522;width:10870;height:2;visibility:visible;mso-wrap-style:square;v-text-anchor:top" coordsize="108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c5ZcAA&#10;AADeAAAADwAAAGRycy9kb3ducmV2LnhtbERPTYvCMBC9C/6HMAveNNWCStcoKijiTXf3PjazabGZ&#10;1CZq/fdGELzN433ObNHaStyo8aVjBcNBAoI4d7pko+D3Z9OfgvABWWPlmBQ8yMNi3u3MMNPuzge6&#10;HYMRMYR9hgqKEOpMSp8XZNEPXE0cuX/XWAwRNkbqBu8x3FZylCRjabHk2FBgTeuC8vPxahWczptJ&#10;aP+WfEpTs9rurTfVJVeq99Uuv0EEasNH/HbvdJw/HaYpvN6JN8j5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4c5ZcAAAADeAAAADwAAAAAAAAAAAAAAAACYAgAAZHJzL2Rvd25y&#10;ZXYueG1sUEsFBgAAAAAEAAQA9QAAAIUDAAAAAA==&#10;" path="m,l10870,e" filled="f" strokeweight=".05619mm">
                    <v:path arrowok="t" o:connecttype="custom" o:connectlocs="0,0;10870,0" o:connectangles="0,0"/>
                  </v:shape>
                </v:group>
                <v:group id="Group 8683" o:spid="_x0000_s1412" style="position:absolute;left:10;top:10643;width:10879;height:2" coordorigin="10,10643" coordsize="1087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Pcfs8QAAADeAAAA&#10;DwAAAAAAAAAAAAAAAACqAgAAZHJzL2Rvd25yZXYueG1sUEsFBgAAAAAEAAQA+gAAAJsDAAAAAA==&#10;">
                  <v:shape id="Freeform 8684" o:spid="_x0000_s1413" style="position:absolute;left:10;top:10643;width:10879;height:2;visibility:visible;mso-wrap-style:square;v-text-anchor:top" coordsize="108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AJksgA&#10;AADeAAAADwAAAGRycy9kb3ducmV2LnhtbERP22rCQBB9L/Qflin0pejGlnpJXUUE24KiGBV8HLPT&#10;JJidTbNbk/69WxD6NodznfG0NaW4UO0Kywp63QgEcWp1wZmC/W7RGYJwHlljaZkU/JKD6eT+boyx&#10;tg1v6ZL4TIQQdjEqyL2vYildmpNB17UVceC+bG3QB1hnUtfYhHBTyuco6kuDBYeGHCua55Sekx+j&#10;YPPxnqyzUzP/Xu0GT/310R+Wi5FSjw/t7A2Ep9b/i2/uTx3mD3svr/D3TrhBTq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jUAmSyAAAAN4AAAAPAAAAAAAAAAAAAAAAAJgCAABk&#10;cnMvZG93bnJldi54bWxQSwUGAAAAAAQABAD1AAAAjQMAAAAA&#10;" path="m,l10878,e" filled="f" strokeweight=".20264mm">
                    <v:path arrowok="t" o:connecttype="custom" o:connectlocs="0,0;10878,0" o:connectangles="0,0"/>
                  </v:shape>
                </v:group>
                <v:group id="Group 8681" o:spid="_x0000_s1414" style="position:absolute;left:6584;top:660;width:3218;height:1899" coordorigin="6584,660" coordsize="3218,1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SRfwwAAAN4AAAAP&#10;AAAAAAAAAAAAAAAAAKoCAABkcnMvZG93bnJldi54bWxQSwUGAAAAAAQABAD6AAAAmgMAAAAA&#10;">
                  <v:shape id="Freeform 8682" o:spid="_x0000_s1415" style="position:absolute;left:6584;top:660;width:3218;height:1899;visibility:visible;mso-wrap-style:square;v-text-anchor:top" coordsize="3218,18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UFXcQA&#10;AADeAAAADwAAAGRycy9kb3ducmV2LnhtbERP32vCMBB+F/wfwg18kZl2gpNqFBGEgS9OC9vj0Zxp&#10;WXMpTazxvzeDwd7u4/t56220rRio941jBfksA0FcOd2wUVBeDq9LED4ga2wdk4IHedhuxqM1Ftrd&#10;+ZOGczAihbAvUEEdQldI6auaLPqZ64gTd3W9xZBgb6Tu8Z7CbSvfsmwhLTacGmrsaF9T9XO+WQXR&#10;DGExPZZtHPKTOVbf+ePLH5SavMTdCkSgGP7Ff+4PneYv8/k7/L6TbpC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lBV3EAAAA3gAAAA8AAAAAAAAAAAAAAAAAmAIAAGRycy9k&#10;b3ducmV2LnhtbFBLBQYAAAAABAAEAPUAAACJAwAAAAA=&#10;" path="m,1899r3217,l3217,,,,,1899xe" filled="f" strokeweight=".02442mm">
                    <v:path arrowok="t" o:connecttype="custom" o:connectlocs="0,2559;3217,2559;3217,660;0,660;0,2559" o:connectangles="0,0,0,0,0"/>
                  </v:shape>
                </v:group>
                <v:group id="Group 8679" o:spid="_x0000_s1416" style="position:absolute;left:6955;top:732;width:2748;height:1474" coordorigin="6955,732" coordsize="2748,1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IboVtscAAADe&#10;AAAADwAAAAAAAAAAAAAAAACqAgAAZHJzL2Rvd25yZXYueG1sUEsFBgAAAAAEAAQA+gAAAJ4DAAAA&#10;AA==&#10;">
                  <v:shape id="Freeform 8680" o:spid="_x0000_s1417" style="position:absolute;left:6955;top:732;width:2748;height:1474;visibility:visible;mso-wrap-style:square;v-text-anchor:top" coordsize="2748,14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4VKMYA&#10;AADeAAAADwAAAGRycy9kb3ducmV2LnhtbERPTWvCQBC9F/wPywi9NZtUWzR1FSlYLCJoFOlxyI5J&#10;NDsbsluN/fXdgtDbPN7nTGadqcWFWldZVpBEMQji3OqKCwX73eJpBMJ5ZI21ZVJwIwezae9hgqm2&#10;V97SJfOFCCHsUlRQet+kUrq8JIMusg1x4I62NegDbAupW7yGcFPL5zh+lQYrDg0lNvReUn7Ovo2C&#10;9Yv/3GRfP5uPVb6q6BDvbsPkpNRjv5u/gfDU+X/x3b3UYf4oGYzh751wg5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O4VKMYAAADeAAAADwAAAAAAAAAAAAAAAACYAgAAZHJz&#10;L2Rvd25yZXYueG1sUEsFBgAAAAAEAAQA9QAAAIsDAAAAAA==&#10;" path="m,1473r2747,l2747,,,,,1473xe" fillcolor="silver" stroked="f">
                    <v:path arrowok="t" o:connecttype="custom" o:connectlocs="0,2205;2747,2205;2747,732;0,732;0,2205" o:connectangles="0,0,0,0,0"/>
                  </v:shape>
                </v:group>
                <v:group id="Group 8677" o:spid="_x0000_s1418" style="position:absolute;left:6955;top:732;width:2748;height:1474" coordorigin="6955,732" coordsize="2748,1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8pqzccAAADe&#10;AAAADwAAAAAAAAAAAAAAAACqAgAAZHJzL2Rvd25yZXYueG1sUEsFBgAAAAAEAAQA+gAAAJ4DAAAA&#10;AA==&#10;">
                  <v:shape id="Freeform 8678" o:spid="_x0000_s1419" style="position:absolute;left:6955;top:732;width:2748;height:1474;visibility:visible;mso-wrap-style:square;v-text-anchor:top" coordsize="2748,14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dVE8UA&#10;AADeAAAADwAAAGRycy9kb3ducmV2LnhtbERPS2vCQBC+F/oflil4q5uIFBvdiBRspTcfRY9jdpIN&#10;zc7G7Kqpv75bKHibj+85s3lvG3GhzteOFaTDBARx4XTNlYLddvk8AeEDssbGMSn4IQ/z/PFhhpl2&#10;V17TZRMqEUPYZ6jAhNBmUvrCkEU/dC1x5ErXWQwRdpXUHV5juG3kKElepMWaY4PBlt4MFd+bs1VQ&#10;f932rjzdPnZycXr/fC3W6eFolBo89YspiEB9uIv/3Ssd50/ScQp/78QbZP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V1UTxQAAAN4AAAAPAAAAAAAAAAAAAAAAAJgCAABkcnMv&#10;ZG93bnJldi54bWxQSwUGAAAAAAQABAD1AAAAigMAAAAA&#10;" path="m,l2747,r,1473l,1473,,e" filled="f" strokecolor="gray" strokeweight=".16739mm">
                    <v:path arrowok="t" o:connecttype="custom" o:connectlocs="0,732;2747,732;2747,2205;0,2205;0,732" o:connectangles="0,0,0,0,0"/>
                  </v:shape>
                </v:group>
                <v:group id="Group 8675" o:spid="_x0000_s1420" style="position:absolute;left:6956;top:733;width:2;height:1500" coordorigin="6956,733" coordsize="2,1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RRIcQAAADeAAAADwAAAGRycy9kb3ducmV2LnhtbERPS4vCMBC+C/sfwizs&#10;TdO6KlKNIrK7eBDBB4i3oRnbYjMpTbat/94Igrf5+J4zX3amFA3VrrCsIB5EIIhTqwvOFJyOv/0p&#10;COeRNZaWScGdHCwXH705Jtq2vKfm4DMRQtglqCD3vkqkdGlOBt3AVsSBu9raoA+wzqSusQ3hppTD&#10;KJpIgwWHhhwrWueU3g7/RsFfi+3qO/5ptrfr+n45jnfnbUxKfX12qxkIT51/i1/ujQ7zp/FoC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FRRIcQAAADeAAAA&#10;DwAAAAAAAAAAAAAAAACqAgAAZHJzL2Rvd25yZXYueG1sUEsFBgAAAAAEAAQA+gAAAJsDAAAAAA==&#10;">
                  <v:shape id="Freeform 8676" o:spid="_x0000_s1421" style="position:absolute;left:6956;top:733;width:2;height:1500;visibility:visible;mso-wrap-style:square;v-text-anchor:top" coordsize="2,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jJ4sUA&#10;AADeAAAADwAAAGRycy9kb3ducmV2LnhtbERPTWsCMRC9F/wPYQq9FM3aliqrUWyh1FOhqwe9DZtx&#10;s3QzWTfpbvz3Rij0No/3Oct1tI3oqfO1YwXTSQaCuHS65krBfvcxnoPwAVlj45gUXMjDejW6W2Ku&#10;3cDf1BehEimEfY4KTAhtLqUvDVn0E9cSJ+7kOoshwa6SusMhhdtGPmXZq7RYc2ow2NK7ofKn+LUK&#10;Dvb4aKIZ4lthqpn7iue+/zwr9XAfNwsQgWL4F/+5tzrNn09fnuH2TrpB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MnixQAAAN4AAAAPAAAAAAAAAAAAAAAAAJgCAABkcnMv&#10;ZG93bnJldi54bWxQSwUGAAAAAAQABAD1AAAAigMAAAAA&#10;" path="m,l,1499e" filled="f" strokeweight=".02442mm">
                    <v:path arrowok="t" o:connecttype="custom" o:connectlocs="0,733;0,2232" o:connectangles="0,0"/>
                  </v:shape>
                </v:group>
                <v:group id="Group 8673" o:spid="_x0000_s1422" style="position:absolute;left:6930;top:2206;width:2772;height:2" coordorigin="6930,2206" coordsize="277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jxbM7FAAAA3gAA&#10;AA8AAAAAAAAAAAAAAAAAqgIAAGRycy9kb3ducmV2LnhtbFBLBQYAAAAABAAEAPoAAACcAwAAAAA=&#10;">
                  <v:shape id="Freeform 8674" o:spid="_x0000_s1423" style="position:absolute;left:6930;top:2206;width:2772;height:2;visibility:visible;mso-wrap-style:square;v-text-anchor:top" coordsize="27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VE+MQA&#10;AADeAAAADwAAAGRycy9kb3ducmV2LnhtbERPTWvCQBC9F/wPywi9FN2ktmJiVtGWgtdG0euQHZNg&#10;djZkV5P8+26h0Ns83udk28E04kGdqy0riOcRCOLC6ppLBafj12wFwnlkjY1lUjCSg+1m8pRhqm3P&#10;3/TIfSlCCLsUFVTet6mUrqjIoJvbljhwV9sZ9AF2pdQd9iHcNPI1ipbSYM2hocKWPioqbvndKHhJ&#10;ktgVn3i89/meosN5MY6XhVLP02G3BuFp8P/iP/dBh/mr+O0dft8JN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FRPjEAAAA3gAAAA8AAAAAAAAAAAAAAAAAmAIAAGRycy9k&#10;b3ducmV2LnhtbFBLBQYAAAAABAAEAPUAAACJAwAAAAA=&#10;" path="m,l2772,e" filled="f" strokeweight=".02442mm">
                    <v:path arrowok="t" o:connecttype="custom" o:connectlocs="0,0;2772,0" o:connectangles="0,0"/>
                  </v:shape>
                </v:group>
                <v:group id="Group 8671" o:spid="_x0000_s1424" style="position:absolute;left:6930;top:2022;width:25;height:2" coordorigin="6930,2022"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dvVyLFAAAA3gAA&#10;AA8AAAAAAAAAAAAAAAAAqgIAAGRycy9kb3ducmV2LnhtbFBLBQYAAAAABAAEAPoAAACcAwAAAAA=&#10;">
                  <v:shape id="Freeform 8672" o:spid="_x0000_s1425" style="position:absolute;left:6930;top:2022;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FQlsAA&#10;AADeAAAADwAAAGRycy9kb3ducmV2LnhtbERPy6rCMBDdC/cfwlxwp6kiKtUoogjenS9wOzRjW9pM&#10;ShJr/XtzQXA3h/Oc5boztWjJ+dKygtEwAUGcWV1yruB62Q/mIHxA1lhbJgUv8rBe/fSWmGr75BO1&#10;55CLGMI+RQVFCE0qpc8KMuiHtiGO3N06gyFCl0vt8BnDTS3HSTKVBkuODQU2tC0oq84Po6AKze5h&#10;TtXf7cIT1x5fm4PJj0r1f7vNAkSgLnzFH/dBx/nz0WQG/+/EG+Tq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TFQlsAAAADeAAAADwAAAAAAAAAAAAAAAACYAgAAZHJzL2Rvd25y&#10;ZXYueG1sUEsFBgAAAAAEAAQA9QAAAIUDAAAAAA==&#10;" path="m,l25,e" filled="f" strokeweight=".02442mm">
                    <v:path arrowok="t" o:connecttype="custom" o:connectlocs="0,0;25,0" o:connectangles="0,0"/>
                  </v:shape>
                </v:group>
                <v:group id="Group 8669" o:spid="_x0000_s1426" style="position:absolute;left:6930;top:1838;width:25;height:2" coordorigin="6930,1838"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bxmy8cAAADe&#10;AAAADwAAAAAAAAAAAAAAAACqAgAAZHJzL2Rvd25yZXYueG1sUEsFBgAAAAAEAAQA+gAAAJ4DAAAA&#10;AA==&#10;">
                  <v:shape id="Freeform 8670" o:spid="_x0000_s1427" style="position:absolute;left:6930;top:1838;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hf8MA&#10;AADeAAAADwAAAGRycy9kb3ducmV2LnhtbERPTWuDQBC9F/Iflgn01qwpoVibjUhKwd5MUuh1cCcq&#10;urOyuzH677uFQm/zeJ+zz2cziImc7ywr2G4SEMS11R03Cr4uH08pCB+QNQ6WScFCHvLD6mGPmbZ3&#10;PtF0Do2IIewzVNCGMGZS+rolg35jR+LIXa0zGCJ0jdQO7zHcDPI5SV6kwY5jQ4sjHVuq+/PNKOjD&#10;+H4zp/7z+8I7N1VLUZqmUupxPRdvIALN4V/85y51nJ9ud6/w+068QR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hf8MAAADeAAAADwAAAAAAAAAAAAAAAACYAgAAZHJzL2Rv&#10;d25yZXYueG1sUEsFBgAAAAAEAAQA9QAAAIgDAAAAAA==&#10;" path="m,l25,e" filled="f" strokeweight=".02442mm">
                    <v:path arrowok="t" o:connecttype="custom" o:connectlocs="0,0;25,0" o:connectangles="0,0"/>
                  </v:shape>
                </v:group>
                <v:group id="Group 8667" o:spid="_x0000_s1428" style="position:absolute;left:6930;top:1653;width:25;height:2" coordorigin="6930,1653"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hP8EMcAAADe&#10;AAAADwAAAAAAAAAAAAAAAACqAgAAZHJzL2Rvd25yZXYueG1sUEsFBgAAAAAEAAQA+gAAAJ4DAAAA&#10;AA==&#10;">
                  <v:shape id="Freeform 8668" o:spid="_x0000_s1429" style="position:absolute;left:6930;top:1653;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37pMEA&#10;AADeAAAADwAAAGRycy9kb3ducmV2LnhtbERPS4vCMBC+C/6HMII3Tbusi1SjiMuC3nyB16EZ29Jm&#10;UpJY6783grC3+fies1z3phEdOV9ZVpBOExDEudUVFwou57/JHIQPyBoby6TgSR7Wq+FgiZm2Dz5S&#10;dwqFiCHsM1RQhtBmUvq8JIN+alviyN2sMxgidIXUDh8x3DTyK0l+pMGKY0OJLW1LyuvT3SioQ/t7&#10;N8d6fz3zt+sOz83OFAelxqN+swARqA//4o97p+P8eTpL4f1OvEG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N+6TBAAAA3gAAAA8AAAAAAAAAAAAAAAAAmAIAAGRycy9kb3du&#10;cmV2LnhtbFBLBQYAAAAABAAEAPUAAACGAwAAAAA=&#10;" path="m,l25,e" filled="f" strokeweight=".02442mm">
                    <v:path arrowok="t" o:connecttype="custom" o:connectlocs="0,0;25,0" o:connectangles="0,0"/>
                  </v:shape>
                </v:group>
                <v:group id="Group 8665" o:spid="_x0000_s1430" style="position:absolute;left:6930;top:1470;width:25;height:2" coordorigin="6930,1470"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Y3H/MQAAADeAAAA&#10;DwAAAAAAAAAAAAAAAACqAgAAZHJzL2Rvd25yZXYueG1sUEsFBgAAAAAEAAQA+gAAAJsDAAAAAA==&#10;">
                  <v:shape id="Freeform 8666" o:spid="_x0000_s1431" style="position:absolute;left:6930;top:1470;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PASMMA&#10;AADeAAAADwAAAGRycy9kb3ducmV2LnhtbERPyWrDMBC9F/IPYgq9NXKatBjXsgkpgeSWpdDrYE1t&#10;Y2tkJMVx/r4KBHqbx1snLyfTi5Gcby0rWMwTEMSV1S3XCr7P29cUhA/IGnvLpOBGHspi9pRjpu2V&#10;jzSeQi1iCPsMFTQhDJmUvmrIoJ/bgThyv9YZDBG6WmqH1xhuevmWJB/SYMuxocGBNg1V3eliFHRh&#10;+LqYY7f/OfPKjYfbemfqg1Ivz9P6E0SgKfyLH+6djvPTxfsS7u/EG2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9PASMMAAADeAAAADwAAAAAAAAAAAAAAAACYAgAAZHJzL2Rv&#10;d25yZXYueG1sUEsFBgAAAAAEAAQA9QAAAIgDAAAAAA==&#10;" path="m,l25,e" filled="f" strokeweight=".02442mm">
                    <v:path arrowok="t" o:connecttype="custom" o:connectlocs="0,0;25,0" o:connectangles="0,0"/>
                  </v:shape>
                </v:group>
                <v:group id="Group 8663" o:spid="_x0000_s1432" style="position:absolute;left:6930;top:1286;width:25;height:2" coordorigin="6930,128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0o+hPFAAAA3gAA&#10;AA8AAAAAAAAAAAAAAAAAqgIAAGRycy9kb3ducmV2LnhtbFBLBQYAAAAABAAEAPoAAACcAwAAAAA=&#10;">
                  <v:shape id="Freeform 8664" o:spid="_x0000_s1433" style="position:absolute;left:6930;top:128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b9p8MA&#10;AADeAAAADwAAAGRycy9kb3ducmV2LnhtbERPyWrDMBC9F/IPYgK9NXJKXYIb2YSWQnJzkkKvgzW1&#10;ja2RkeQlfx8VCr3N462zLxbTi4mcby0r2G4SEMSV1S3XCr6un087ED4ga+wtk4IbeSjy1cMeM21n&#10;PtN0CbWIIewzVNCEMGRS+qohg35jB+LI/VhnMEToaqkdzjHc9PI5SV6lwZZjQ4MDvTdUdZfRKOjC&#10;8DGac3f6vvKLm8rb4WjqUqnH9XJ4AxFoCf/iP/dRx/m7bZrC7zvxBpn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3b9p8MAAADeAAAADwAAAAAAAAAAAAAAAACYAgAAZHJzL2Rv&#10;d25yZXYueG1sUEsFBgAAAAAEAAQA9QAAAIgDAAAAAA==&#10;" path="m,l25,e" filled="f" strokeweight=".02442mm">
                    <v:path arrowok="t" o:connecttype="custom" o:connectlocs="0,0;25,0" o:connectangles="0,0"/>
                  </v:shape>
                </v:group>
                <v:group id="Group 8661" o:spid="_x0000_s1434" style="position:absolute;left:6930;top:1102;width:25;height:2" coordorigin="6930,1102"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K2wf/FAAAA3gAA&#10;AA8AAAAAAAAAAAAAAAAAqgIAAGRycy9kb3ducmV2LnhtbFBLBQYAAAAABAAEAPoAAACcAwAAAAA=&#10;">
                  <v:shape id="Freeform 8662" o:spid="_x0000_s1435" style="position:absolute;left:6930;top:1102;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jGS8MA&#10;AADeAAAADwAAAGRycy9kb3ducmV2LnhtbERPyWrDMBC9F/IPYgq9NXJK0hrXsgkpgeSWpdDrYE1t&#10;Y2tkJMVx/r4KBHqbx1snLyfTi5Gcby0rWMwTEMSV1S3XCr7P29cUhA/IGnvLpOBGHspi9pRjpu2V&#10;jzSeQi1iCPsMFTQhDJmUvmrIoJ/bgThyv9YZDBG6WmqH1xhuevmWJO/SYMuxocGBNg1V3eliFHRh&#10;+LqYY7f/OfPSjYfbemfqg1Ivz9P6E0SgKfyLH+6djvPTxeoD7u/EG2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jGS8MAAADeAAAADwAAAAAAAAAAAAAAAACYAgAAZHJzL2Rv&#10;d25yZXYueG1sUEsFBgAAAAAEAAQA9QAAAIgDAAAAAA==&#10;" path="m,l25,e" filled="f" strokeweight=".02442mm">
                    <v:path arrowok="t" o:connecttype="custom" o:connectlocs="0,0;25,0" o:connectangles="0,0"/>
                  </v:shape>
                </v:group>
                <v:group id="Group 8659" o:spid="_x0000_s1436" style="position:absolute;left:6930;top:917;width:25;height:2" coordorigin="6930,917"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XwFscAAADe&#10;AAAADwAAAAAAAAAAAAAAAACqAgAAZHJzL2Rvd25yZXYueG1sUEsFBgAAAAAEAAQA+gAAAJ4DAAAA&#10;AA==&#10;">
                  <v:shape id="Freeform 8660" o:spid="_x0000_s1437" style="position:absolute;left:6930;top:917;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v3osMA&#10;AADeAAAADwAAAGRycy9kb3ducmV2LnhtbERPyWrDMBC9F/IPYgq91XJKUlLXsgkpgeSWpdDrYE1t&#10;Y2tkJMVx/r4KBHqbx1snLyfTi5Gcby0rmCcpCOLK6pZrBd/n7esKhA/IGnvLpOBGHspi9pRjpu2V&#10;jzSeQi1iCPsMFTQhDJmUvmrIoE/sQBy5X+sMhghdLbXDaww3vXxL03dpsOXY0OBAm4aq7nQxCrow&#10;fF3Msdv/nHnhxsNtvTP1QamX52n9CSLQFP7FD/dOx/mr+fID7u/EG2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jv3osMAAADeAAAADwAAAAAAAAAAAAAAAACYAgAAZHJzL2Rv&#10;d25yZXYueG1sUEsFBgAAAAAEAAQA9QAAAIgDAAAAAA==&#10;" path="m,l25,e" filled="f" strokeweight=".02442mm">
                    <v:path arrowok="t" o:connecttype="custom" o:connectlocs="0,0;25,0" o:connectangles="0,0"/>
                  </v:shape>
                </v:group>
                <v:group id="Group 8657" o:spid="_x0000_s1438" style="position:absolute;left:6930;top:733;width:25;height:2" coordorigin="6930,733"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zH82rccAAADe&#10;AAAADwAAAAAAAAAAAAAAAACqAgAAZHJzL2Rvd25yZXYueG1sUEsFBgAAAAAEAAQA+gAAAJ4DAAAA&#10;AA==&#10;">
                  <v:shape id="Freeform 8658" o:spid="_x0000_s1439" style="position:absolute;left:6930;top:733;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ExGcAA&#10;AADeAAAADwAAAGRycy9kb3ducmV2LnhtbERPy6rCMBDdX/AfwgjurmkvIlKNIorg3fkCt0MztqXN&#10;pCSx1r83guBuDuc5i1VvGtGR85VlBek4AUGcW11xoeBy3v3OQPiArLGxTAqe5GG1HPwsMNP2wUfq&#10;TqEQMYR9hgrKENpMSp+XZNCPbUscuZt1BkOErpDa4SOGm0b+JclUGqw4NpTY0qakvD7djYI6tNu7&#10;Odb/1zNPXHd4rvemOCg1GvbrOYhAffiKP+69jvNn6TSF9zvxBrl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iExGcAAAADeAAAADwAAAAAAAAAAAAAAAACYAgAAZHJzL2Rvd25y&#10;ZXYueG1sUEsFBgAAAAAEAAQA9QAAAIUDAAAAAA==&#10;" path="m,l25,e" filled="f" strokeweight=".02442mm">
                    <v:path arrowok="t" o:connecttype="custom" o:connectlocs="0,0;25,0" o:connectangles="0,0"/>
                  </v:shape>
                </v:group>
                <v:group id="Group 8655" o:spid="_x0000_s1440" style="position:absolute;left:7506;top:2207;width:2;height:25" coordorigin="7506,220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PhDUHFAAAA3gAA&#10;AA8AAAAAAAAAAAAAAAAAqgIAAGRycy9kb3ducmV2LnhtbFBLBQYAAAAABAAEAPoAAACcAwAAAAA=&#10;">
                  <v:shape id="Freeform 8656" o:spid="_x0000_s1441" style="position:absolute;left:7506;top:220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MurMUA&#10;AADeAAAADwAAAGRycy9kb3ducmV2LnhtbERPS2sCMRC+C/0PYQreNLu1LLI1SikWigitj0OP42bc&#10;Dd1Mlk10479vCgVv8/E9Z7GKthVX6r1xrCCfZiCIK6cN1wqOh/fJHIQPyBpbx6TgRh5Wy4fRAkvt&#10;Bt7RdR9qkULYl6igCaErpfRVQxb91HXEiTu73mJIsK+l7nFI4baVT1lWSIuGU0ODHb01VP3sL1ZB&#10;PF62t7zYDV+1Oa2zz/W32cRnpcaP8fUFRKAY7uJ/94dO8+d5MYO/d9IN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Yy6sxQAAAN4AAAAPAAAAAAAAAAAAAAAAAJgCAABkcnMv&#10;ZG93bnJldi54bWxQSwUGAAAAAAQABAD1AAAAigMAAAAA&#10;" path="m,25l,e" filled="f" strokeweight=".02442mm">
                    <v:path arrowok="t" o:connecttype="custom" o:connectlocs="0,2232;0,2207" o:connectangles="0,0"/>
                  </v:shape>
                </v:group>
                <v:group id="Group 8653" o:spid="_x0000_s1442" style="position:absolute;left:8055;top:2207;width:2;height:25" coordorigin="8055,220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NEMK7FAAAA3gAA&#10;AA8AAAAAAAAAAAAAAAAAqgIAAGRycy9kb3ducmV2LnhtbFBLBQYAAAAABAAEAPoAAACcAwAAAAA=&#10;">
                  <v:shape id="Freeform 8654" o:spid="_x0000_s1443" style="position:absolute;left:8055;top:220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YTQ8UA&#10;AADeAAAADwAAAGRycy9kb3ducmV2LnhtbERPS2sCMRC+C/0PYQreNLvFLrI1SikWigitj0OP42bc&#10;Dd1Mlk10479vCgVv8/E9Z7GKthVX6r1xrCCfZiCIK6cN1wqOh/fJHIQPyBpbx6TgRh5Wy4fRAkvt&#10;Bt7RdR9qkULYl6igCaErpfRVQxb91HXEiTu73mJIsK+l7nFI4baVT1lWSIuGU0ODHb01VP3sL1ZB&#10;PF62t7zYDV+1Oa2zz/W32cSZUuPH+PoCIlAMd/G/+0On+fO8eIa/d9IN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xhNDxQAAAN4AAAAPAAAAAAAAAAAAAAAAAJgCAABkcnMv&#10;ZG93bnJldi54bWxQSwUGAAAAAAQABAD1AAAAigMAAAAA&#10;" path="m,25l,e" filled="f" strokeweight=".02442mm">
                    <v:path arrowok="t" o:connecttype="custom" o:connectlocs="0,2232;0,2207" o:connectangles="0,0"/>
                  </v:shape>
                </v:group>
                <v:group id="Group 8651" o:spid="_x0000_s1444" style="position:absolute;left:8604;top:2207;width:2;height:25" coordorigin="8604,220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NoLQsQAAADeAAAA&#10;DwAAAAAAAAAAAAAAAACqAgAAZHJzL2Rvd25yZXYueG1sUEsFBgAAAAAEAAQA+gAAAJsDAAAAAA==&#10;">
                  <v:shape id="Freeform 8652" o:spid="_x0000_s1445" style="position:absolute;left:8604;top:220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gor8UA&#10;AADeAAAADwAAAGRycy9kb3ducmV2LnhtbERPyWrDMBC9B/oPYgq9JbJLcYIbJZSSQimFrIceJ9bE&#10;FrVGxlJi5e+jQiG3ebx15stoW3Gh3hvHCvJJBoK4ctpwreCw/xjPQPiArLF1TAqu5GG5eBjNsdRu&#10;4C1ddqEWKYR9iQqaELpSSl81ZNFPXEecuJPrLYYE+1rqHocUblv5nGWFtGg4NTTY0XtD1e/ubBXE&#10;w/n7mhfbYVOb4ypbr37MV3xR6ukxvr2CCBTDXfzv/tRp/iwvpvD3TrpB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WCivxQAAAN4AAAAPAAAAAAAAAAAAAAAAAJgCAABkcnMv&#10;ZG93bnJldi54bWxQSwUGAAAAAAQABAD1AAAAigMAAAAA&#10;" path="m,25l,e" filled="f" strokeweight=".02442mm">
                    <v:path arrowok="t" o:connecttype="custom" o:connectlocs="0,2232;0,2207" o:connectangles="0,0"/>
                  </v:shape>
                </v:group>
                <v:group id="Group 8649" o:spid="_x0000_s1446" style="position:absolute;left:9153;top:2207;width:2;height:25" coordorigin="9153,220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gk6q8cAAADe&#10;AAAADwAAAAAAAAAAAAAAAACqAgAAZHJzL2Rvd25yZXYueG1sUEsFBgAAAAAEAAQA+gAAAJ4DAAAA&#10;AA==&#10;">
                  <v:shape id="Freeform 8650" o:spid="_x0000_s1447" style="position:absolute;left:9153;top:220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sZRsUA&#10;AADeAAAADwAAAGRycy9kb3ducmV2LnhtbERP32vCMBB+H+x/CDfwbaYdUrQaZQwHIsKm82GPZ3Nr&#10;w5pLaaKN/70ZDHy7j+/nLVbRtuJCvTeOFeTjDARx5bThWsHx6/15CsIHZI2tY1JwJQ+r5ePDAkvt&#10;Bt7T5RBqkULYl6igCaErpfRVQxb92HXEiftxvcWQYF9L3eOQwm0rX7KskBYNp4YGO3prqPo9nK2C&#10;eDzvrnmxHz5rc1pnH+tvs40TpUZP8XUOIlAMd/G/e6PT/GlezODvnXSD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ixlGxQAAAN4AAAAPAAAAAAAAAAAAAAAAAJgCAABkcnMv&#10;ZG93bnJldi54bWxQSwUGAAAAAAQABAD1AAAAigMAAAAA&#10;" path="m,25l,e" filled="f" strokeweight=".02442mm">
                    <v:path arrowok="t" o:connecttype="custom" o:connectlocs="0,2232;0,2207" o:connectangles="0,0"/>
                  </v:shape>
                </v:group>
                <v:group id="Group 8647" o:spid="_x0000_s1448" style="position:absolute;left:9703;top:2207;width:2;height:25" coordorigin="9703,220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aagcMcAAADe&#10;AAAADwAAAAAAAAAAAAAAAACqAgAAZHJzL2Rvd25yZXYueG1sUEsFBgAAAAAEAAQA+gAAAJ4DAAAA&#10;AA==&#10;">
                  <v:shape id="Freeform 8648" o:spid="_x0000_s1449" style="position:absolute;left:9703;top:220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SDncUA&#10;AADeAAAADwAAAGRycy9kb3ducmV2LnhtbERPS2sCMRC+F/wPYYTeanZLsbIaRYqClELr4+Bx3Iy7&#10;wc1k2UQ3/vumUPA2H99zZotoG3GjzhvHCvJRBoK4dNpwpeCwX79MQPiArLFxTAru5GExHzzNsNCu&#10;5y3ddqESKYR9gQrqENpCSl/WZNGPXEucuLPrLIYEu0rqDvsUbhv5mmVjadFwaqixpY+aysvuahXE&#10;w/Xrno+3/U9lTqvse3U0n/FNqedhXE5BBIrhIf53b3SaP8nfc/h7J90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JIOdxQAAAN4AAAAPAAAAAAAAAAAAAAAAAJgCAABkcnMv&#10;ZG93bnJldi54bWxQSwUGAAAAAAQABAD1AAAAigMAAAAA&#10;" path="m,25l,e" filled="f" strokeweight=".02442mm">
                    <v:path arrowok="t" o:connecttype="custom" o:connectlocs="0,2232;0,2207" o:connectangles="0,0"/>
                  </v:shape>
                </v:group>
                <v:group id="Group 8645" o:spid="_x0000_s1450" style="position:absolute;left:7012;top:1007;width:50;height:50" coordorigin="7012,100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1jibnMQAAADeAAAA&#10;DwAAAAAAAAAAAAAAAACqAgAAZHJzL2Rvd25yZXYueG1sUEsFBgAAAAAEAAQA+gAAAJsDAAAAAA==&#10;">
                  <v:shape id="Freeform 8646" o:spid="_x0000_s1451" style="position:absolute;left:7012;top:100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X998QA&#10;AADeAAAADwAAAGRycy9kb3ducmV2LnhtbERP32vCMBB+H/g/hBP2NtM65lxnFBGEMXzRDcbeLs3Z&#10;ljWXksTa/fdGEHy7j+/nLVaDbUVPPjSOFeSTDARx6UzDlYLvr+3THESIyAZbx6TgnwKslqOHBRbG&#10;nXlP/SFWIoVwKFBBHWNXSBnKmiyGieuIE3d03mJM0FfSeDyncNvKaZbNpMWGU0ONHW1qKv8OJ6vg&#10;OPxu8mg/tcaflzenddC+3yn1OB7W7yAiDfEuvrk/TJo/z1+f4fpOukEu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ffEAAAA3gAAAA8AAAAAAAAAAAAAAAAAmAIAAGRycy9k&#10;b3ducmV2LnhtbFBLBQYAAAAABAAEAPUAAACJAwAAAAA=&#10;" path="m25,l,25,25,50,50,25,25,xe" fillcolor="navy" stroked="f">
                    <v:path arrowok="t" o:connecttype="custom" o:connectlocs="25,1007;0,1032;25,1057;50,1032;25,1007" o:connectangles="0,0,0,0,0"/>
                  </v:shape>
                </v:group>
                <v:group id="Group 8643" o:spid="_x0000_s1452" style="position:absolute;left:7012;top:1007;width:50;height:50" coordorigin="7012,100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adpnPFAAAA3gAA&#10;AA8AAAAAAAAAAAAAAAAAqgIAAGRycy9kb3ducmV2LnhtbFBLBQYAAAAABAAEAPoAAACcAwAAAAA=&#10;">
                  <v:shape id="Freeform 8644" o:spid="_x0000_s1453" style="position:absolute;left:7012;top:100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xyxMQA&#10;AADeAAAADwAAAGRycy9kb3ducmV2LnhtbERPTWvCQBC9C/0PyxR6002EaoiuIoWClB5qlPY6ZMck&#10;mJ2N2dUk/fWuIHibx/uc5bo3tbhS6yrLCuJJBII4t7riQsFh/zlOQDiPrLG2TAoGcrBevYyWmGrb&#10;8Y6umS9ECGGXooLS+yaV0uUlGXQT2xAH7mhbgz7AtpC6xS6Em1pOo2gmDVYcGkps6KOk/JRdjILK&#10;7Ac8T+P/v0P/q7Pv7muwP2el3l77zQKEp94/xQ/3Vof5STx/h/s74Qa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8csTEAAAA3gAAAA8AAAAAAAAAAAAAAAAAmAIAAGRycy9k&#10;b3ducmV2LnhtbFBLBQYAAAAABAAEAPUAAACJAwAAAAA=&#10;" path="m25,l50,25,25,50,,25,25,xe" filled="f" strokecolor="navy" strokeweight=".16742mm">
                    <v:path arrowok="t" o:connecttype="custom" o:connectlocs="25,1007;50,1032;25,1057;0,1032;25,1007" o:connectangles="0,0,0,0,0"/>
                  </v:shape>
                </v:group>
                <v:group id="Group 8641" o:spid="_x0000_s1454" style="position:absolute;left:7041;top:1393;width:50;height:50" coordorigin="7041,1393"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kDnZ/FAAAA3gAA&#10;AA8AAAAAAAAAAAAAAAAAqgIAAGRycy9kb3ducmV2LnhtbFBLBQYAAAAABAAEAPoAAACcAwAAAAA=&#10;">
                  <v:shape id="Freeform 8642" o:spid="_x0000_s1455" style="position:absolute;left:7041;top:1393;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779MMA&#10;AADeAAAADwAAAGRycy9kb3ducmV2LnhtbERP32vCMBB+H/g/hBP2NtMKTq1GEWEgYy9TQXy7NGdb&#10;bC4lyWr33y+Dwd7u4/t56+1gW9GTD41jBfkkA0FcOtNwpeB8entZgAgR2WDrmBR8U4DtZvS0xsK4&#10;B39Sf4yVSCEcClRQx9gVUoayJoth4jrixN2ctxgT9JU0Hh8p3LZymmWv0mLDqaHGjvY1lffjl1Vw&#10;G677PNp3rfEyWzqtg/b9h1LP42G3AhFpiP/iP/fBpPmLfD6H33fSDXL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K779MMAAADeAAAADwAAAAAAAAAAAAAAAACYAgAAZHJzL2Rv&#10;d25yZXYueG1sUEsFBgAAAAAEAAQA9QAAAIgDAAAAAA==&#10;" path="m25,l,25,25,50,50,25,25,xe" fillcolor="navy" stroked="f">
                    <v:path arrowok="t" o:connecttype="custom" o:connectlocs="25,1393;0,1418;25,1443;50,1418;25,1393" o:connectangles="0,0,0,0,0"/>
                  </v:shape>
                </v:group>
                <v:group id="Group 8639" o:spid="_x0000_s1456" style="position:absolute;left:7041;top:1393;width:50;height:50" coordorigin="7041,1393"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9CsdscAAADe&#10;AAAADwAAAAAAAAAAAAAAAACqAgAAZHJzL2Rvd25yZXYueG1sUEsFBgAAAAAEAAQA+gAAAJ4DAAAA&#10;AA==&#10;">
                  <v:shape id="Freeform 8640" o:spid="_x0000_s1457" style="position:absolute;left:7041;top:1393;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4wcUA&#10;AADeAAAADwAAAGRycy9kb3ducmV2LnhtbERPTWvCQBC9C/6HZYTedBMPrU3dBBEKRTy0UdrrkB2T&#10;YHY2ZleT+Ou7hYK3ebzPWWeDacSNOldbVhAvIhDEhdU1lwqOh/f5CoTzyBoby6RgJAdZOp2sMdG2&#10;5y+65b4UIYRdggoq79tESldUZNAtbEscuJPtDPoAu1LqDvsQbhq5jKJnabDm0FBhS9uKinN+NQpq&#10;cxjxsozvP8fhW+f7fjfaz4tST7Nh8wbC0+Af4n/3hw7zV/HLK/y9E26Q6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8XjBxQAAAN4AAAAPAAAAAAAAAAAAAAAAAJgCAABkcnMv&#10;ZG93bnJldi54bWxQSwUGAAAAAAQABAD1AAAAigMAAAAA&#10;" path="m25,l50,25,25,50,,25,25,xe" filled="f" strokecolor="navy" strokeweight=".16742mm">
                    <v:path arrowok="t" o:connecttype="custom" o:connectlocs="25,1393;50,1418;25,1443;0,1418;25,1393" o:connectangles="0,0,0,0,0"/>
                  </v:shape>
                </v:group>
                <v:group id="Group 8637" o:spid="_x0000_s1458" style="position:absolute;left:7205;top:891;width:50;height:50" coordorigin="7205,891"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Hxz0FfIAAAA&#10;3gAAAA8AAAAAAAAAAAAAAAAAqgIAAGRycy9kb3ducmV2LnhtbFBLBQYAAAAABAAEAPoAAACfAwAA&#10;AAA=&#10;">
                  <v:shape id="Freeform 8638" o:spid="_x0000_s1459" style="position:absolute;left:7205;top:891;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62PMQA&#10;AADeAAAADwAAAGRycy9kb3ducmV2LnhtbERP0WrCQBB8L/Qfji34Vi8WWmz0EkQoSPGlVii+7eXW&#10;JJjbC3dnjH/vCUKZl11mZ2ZnWY62EwP50DpWMJtmIIgrZ1quFex/v17nIEJENtg5JgVXClAWz09L&#10;zI278A8Nu1iLZMIhRwVNjH0uZagashimridO3NF5izGtvpbG4yWZ206+ZdmHtNhySmiwp3VD1Wl3&#10;tgqO42E9i/Zba/x7/3RaB+2HrVKTl3G1ABFpjP/HD/XGpPfnCXCvk2aQ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etjzEAAAA3gAAAA8AAAAAAAAAAAAAAAAAmAIAAGRycy9k&#10;b3ducmV2LnhtbFBLBQYAAAAABAAEAPUAAACJAwAAAAA=&#10;" path="m25,l,25,25,50,49,25,25,xe" fillcolor="navy" stroked="f">
                    <v:path arrowok="t" o:connecttype="custom" o:connectlocs="25,891;0,916;25,941;49,916;25,891" o:connectangles="0,0,0,0,0"/>
                  </v:shape>
                </v:group>
                <v:group id="Group 8635" o:spid="_x0000_s1460" style="position:absolute;left:7205;top:891;width:50;height:50" coordorigin="7205,891"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3ru8QAAADeAAAA&#10;DwAAAAAAAAAAAAAAAACqAgAAZHJzL2Rvd25yZXYueG1sUEsFBgAAAAAEAAQA+gAAAJsDAAAAAA==&#10;">
                  <v:shape id="Freeform 8636" o:spid="_x0000_s1461" style="position:absolute;left:7205;top:891;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w/DMQA&#10;AADeAAAADwAAAGRycy9kb3ducmV2LnhtbERPTWvCQBC9C/6HZYTedBMLJaRuQhGEIh5qFL0O2WkS&#10;mp2N2a1J+uvdQqG3ebzP2eSjacWdetdYVhCvIhDEpdUNVwrOp90yAeE8ssbWMimYyEGezWcbTLUd&#10;+Ej3wlcihLBLUUHtfZdK6cqaDLqV7YgD92l7gz7AvpK6xyGEm1auo+hFGmw4NNTY0bam8qv4Ngoa&#10;c5rwto5/rufxoovDsJ/sx02pp8X49grC0+j/xX/udx3mJ3HyDL/vhBtk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MPwzEAAAA3gAAAA8AAAAAAAAAAAAAAAAAmAIAAGRycy9k&#10;b3ducmV2LnhtbFBLBQYAAAAABAAEAPUAAACJAwAAAAA=&#10;" path="m25,l49,25,25,50,,25,25,xe" filled="f" strokecolor="navy" strokeweight=".16742mm">
                    <v:path arrowok="t" o:connecttype="custom" o:connectlocs="25,891;49,916;25,941;0,916;25,891" o:connectangles="0,0,0,0,0"/>
                  </v:shape>
                </v:group>
                <v:group id="Group 8633" o:spid="_x0000_s1462" style="position:absolute;left:7233;top:1586;width:51;height:50" coordorigin="7233,1586" coordsize="51,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NI1lTFAAAA3gAA&#10;AA8AAAAAAAAAAAAAAAAAqgIAAGRycy9kb3ducmV2LnhtbFBLBQYAAAAABAAEAPoAAACcAwAAAAA=&#10;">
                  <v:shape id="Freeform 8634" o:spid="_x0000_s1463" style="position:absolute;left:7233;top:1586;width:51;height:50;visibility:visible;mso-wrap-style:square;v-text-anchor:top" coordsize="5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rkcQA&#10;AADeAAAADwAAAGRycy9kb3ducmV2LnhtbERP22oCMRB9L/gPYYS+1ayWlmU1iggFLUjrDXwck3F3&#10;cTPZJqlu/74pFHybw7nOZNbZRlzJh9qxguEgA0Gsnam5VLDfvT3lIEJENtg4JgU/FGA27T1MsDDu&#10;xhu6bmMpUgiHAhVUMbaFlEFXZDEMXEucuLPzFmOCvpTG4y2F20aOsuxVWqw5NVTY0qIifdl+WwX6&#10;46jNe7c6rI/6y376NZ9G5bNSj/1uPgYRqYt38b97adL8fJi/wN876QY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q5HEAAAA3gAAAA8AAAAAAAAAAAAAAAAAmAIAAGRycy9k&#10;b3ducmV2LnhtbFBLBQYAAAAABAAEAPUAAACJAwAAAAA=&#10;" path="m25,l,25,25,50,50,25,25,xe" fillcolor="navy" stroked="f">
                    <v:path arrowok="t" o:connecttype="custom" o:connectlocs="25,1586;0,1611;25,1636;50,1611;25,1586" o:connectangles="0,0,0,0,0"/>
                  </v:shape>
                </v:group>
                <v:group id="Group 8631" o:spid="_x0000_s1464" style="position:absolute;left:7233;top:1586;width:51;height:50" coordorigin="7233,1586" coordsize="51,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NbtuMQAAADeAAAA&#10;DwAAAAAAAAAAAAAAAACqAgAAZHJzL2Rvd25yZXYueG1sUEsFBgAAAAAEAAQA+gAAAJsDAAAAAA==&#10;">
                  <v:shape id="Freeform 8632" o:spid="_x0000_s1465" style="position:absolute;left:7233;top:1586;width:51;height:50;visibility:visible;mso-wrap-style:square;v-text-anchor:top" coordsize="5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PXOsgA&#10;AADeAAAADwAAAGRycy9kb3ducmV2LnhtbESPQWvCQBCF70L/wzKFXqRuUtSG1E0QS0E9tVYEb9Ps&#10;NAnNzobsGuO/dwWhtxnem/e9WeSDaURPnastK4gnEQjiwuqaSwX774/nBITzyBoby6TgQg7y7GG0&#10;wFTbM39Rv/OlCCHsUlRQed+mUrqiIoNuYlvioP3azqAPa1dK3eE5hJtGvkTRXBqsORAqbGlVUfG3&#10;O5kAGcd+wNPx0M+mn++b+WFrfqKtUk+Pw/INhKfB/5vv12sd6idx8gq3d8IMMrs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E9c6yAAAAN4AAAAPAAAAAAAAAAAAAAAAAJgCAABk&#10;cnMvZG93bnJldi54bWxQSwUGAAAAAAQABAD1AAAAjQMAAAAA&#10;" path="m25,l50,25,25,50,,25,25,xe" filled="f" strokecolor="navy" strokeweight=".16742mm">
                    <v:path arrowok="t" o:connecttype="custom" o:connectlocs="25,1586;50,1611;25,1636;0,1611;25,1586" o:connectangles="0,0,0,0,0"/>
                  </v:shape>
                </v:group>
                <v:group id="Group 8629" o:spid="_x0000_s1466" style="position:absolute;left:7782;top:1420;width:50;height:50" coordorigin="7782,1420"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IIF3FHIAAAA&#10;3gAAAA8AAAAAAAAAAAAAAAAAqgIAAGRycy9kb3ducmV2LnhtbFBLBQYAAAAABAAEAPoAAACfAwAA&#10;AAA=&#10;">
                  <v:shape id="Freeform 8630" o:spid="_x0000_s1467" style="position:absolute;left:7782;top:1420;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i6OsMA&#10;AADeAAAADwAAAGRycy9kb3ducmV2LnhtbERP32vCMBB+H/g/hBN8m2kFR+2MMgRhiC9zguzt0pxt&#10;WXMpSVbrf28Gg73dx/fz1tvRdmIgH1rHCvJ5BoK4cqblWsH5c/9cgAgR2WDnmBTcKcB2M3laY2nc&#10;jT9oOMVapBAOJSpoYuxLKUPVkMUwdz1x4q7OW4wJ+loaj7cUbju5yLIXabHl1NBgT7uGqu/Tj1Vw&#10;Hb92ebQHrfGyXDmtg/bDUanZdHx7BRFpjP/iP/e7SfOLvFjB7zvpBr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i6OsMAAADeAAAADwAAAAAAAAAAAAAAAACYAgAAZHJzL2Rv&#10;d25yZXYueG1sUEsFBgAAAAAEAAQA9QAAAIgDAAAAAA==&#10;" path="m25,l,25,25,50,50,25,25,xe" fillcolor="navy" stroked="f">
                    <v:path arrowok="t" o:connecttype="custom" o:connectlocs="25,1420;0,1445;25,1470;50,1445;25,1420" o:connectangles="0,0,0,0,0"/>
                  </v:shape>
                </v:group>
                <v:group id="Group 8627" o:spid="_x0000_s1468" style="position:absolute;left:7782;top:1420;width:50;height:50" coordorigin="7782,1420"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pGiscAAADe&#10;AAAADwAAAAAAAAAAAAAAAACqAgAAZHJzL2Rvd25yZXYueG1sUEsFBgAAAAAEAAQA+gAAAJ4DAAAA&#10;AA==&#10;">
                  <v:shape id="Freeform 8628" o:spid="_x0000_s1469" style="position:absolute;left:7782;top:1420;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uSPcMA&#10;AADeAAAADwAAAGRycy9kb3ducmV2LnhtbERPTYvCMBC9C/sfwix407QeRLtGkYUFWfagVfQ6NLNt&#10;sZnUJtrWX28Ewds83ucsVp2pxI0aV1pWEI8jEMSZ1SXnCg77n9EMhPPIGivLpKAnB6vlx2CBibYt&#10;7+iW+lyEEHYJKii8rxMpXVaQQTe2NXHg/m1j0AfY5FI32IZwU8lJFE2lwZJDQ4E1fReUndOrUVCa&#10;fY+XSXw/HbqjTv/a395uL0oNP7v1FwhPnX+LX+6NDvNn8TyG5zvhBr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uSPcMAAADeAAAADwAAAAAAAAAAAAAAAACYAgAAZHJzL2Rv&#10;d25yZXYueG1sUEsFBgAAAAAEAAQA9QAAAIgDAAAAAA==&#10;" path="m25,l50,25,25,50,,25,25,xe" filled="f" strokecolor="navy" strokeweight=".16742mm">
                    <v:path arrowok="t" o:connecttype="custom" o:connectlocs="25,1420;50,1445;25,1470;0,1445;25,1420" o:connectangles="0,0,0,0,0"/>
                  </v:shape>
                </v:group>
                <v:group id="Group 8625" o:spid="_x0000_s1470" style="position:absolute;left:7809;top:1512;width:50;height:50" coordorigin="7809,151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mNH1mxgAAAN4A&#10;AAAPAAAAAAAAAAAAAAAAAKoCAABkcnMvZG93bnJldi54bWxQSwUGAAAAAAQABAD6AAAAnQMAAAAA&#10;">
                  <v:shape id="Freeform 8626" o:spid="_x0000_s1471" style="position:absolute;left:7809;top:151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kbDcMA&#10;AADeAAAADwAAAGRycy9kb3ducmV2LnhtbERP32vCMBB+H/g/hBv4NtNOHNoZRYSByF6mguzt0pxt&#10;WXMpSaz1v1+Ewd7u4/t5y/VgW9GTD41jBfkkA0FcOtNwpeB0/HiZgwgR2WDrmBTcKcB6NXpaYmHc&#10;jb+oP8RKpBAOBSqoY+wKKUNZk8UwcR1x4i7OW4wJ+koaj7cUblv5mmVv0mLDqaHGjrY1lT+Hq1Vw&#10;Gb63ebR7rfE8Wzitg/b9p1Lj52HzDiLSEP/Ff+6dSfPn+WIKj3fSD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kbDcMAAADeAAAADwAAAAAAAAAAAAAAAACYAgAAZHJzL2Rv&#10;d25yZXYueG1sUEsFBgAAAAAEAAQA9QAAAIgDAAAAAA==&#10;" path="m25,l,25,25,50,50,25,25,xe" fillcolor="navy" stroked="f">
                    <v:path arrowok="t" o:connecttype="custom" o:connectlocs="25,1512;0,1537;25,1562;50,1537;25,1512" o:connectangles="0,0,0,0,0"/>
                  </v:shape>
                </v:group>
                <v:group id="Group 8623" o:spid="_x0000_s1472" style="position:absolute;left:7809;top:1512;width:50;height:50" coordorigin="7809,151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aRQInFAAAA3gAA&#10;AA8AAAAAAAAAAAAAAAAAqgIAAGRycy9kb3ducmV2LnhtbFBLBQYAAAAABAAEAPoAAACcAwAAAAA=&#10;">
                  <v:shape id="Freeform 8624" o:spid="_x0000_s1473" style="position:absolute;left:7809;top:151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CUPsQA&#10;AADeAAAADwAAAGRycy9kb3ducmV2LnhtbERPTWvCQBC9C/6HZYTedBOhxaZuggiFIh7aKO11yI5J&#10;MDsbs6tJ/PXdQsHbPN7nrLPBNOJGnastK4gXEQjiwuqaSwXHw/t8BcJ5ZI2NZVIwkoMsnU7WmGjb&#10;8xfdcl+KEMIuQQWV920ipSsqMugWtiUO3Ml2Bn2AXSl1h30IN41cRtGLNFhzaKiwpW1FxTm/GgW1&#10;OYx4Wcb3n+PwrfN9vxvt50Wpp9mweQPhafAP8b/7Q4f5q/j1Gf7eCTfI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wlD7EAAAA3gAAAA8AAAAAAAAAAAAAAAAAmAIAAGRycy9k&#10;b3ducmV2LnhtbFBLBQYAAAAABAAEAPUAAACJAwAAAAA=&#10;" path="m25,l50,25,25,50,,25,25,xe" filled="f" strokecolor="navy" strokeweight=".16742mm">
                    <v:path arrowok="t" o:connecttype="custom" o:connectlocs="25,1512;50,1537;25,1562;0,1537;25,1512" o:connectangles="0,0,0,0,0"/>
                  </v:shape>
                </v:group>
                <v:group id="Group 8621" o:spid="_x0000_s1474" style="position:absolute;left:8414;top:1385;width:50;height:50" coordorigin="8414,1385"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Q97ZcQAAADeAAAA&#10;DwAAAAAAAAAAAAAAAACqAgAAZHJzL2Rvd25yZXYueG1sUEsFBgAAAAAEAAQA+gAAAJsDAAAAAA==&#10;">
                  <v:shape id="Freeform 8622" o:spid="_x0000_s1475" style="position:absolute;left:8414;top:1385;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IdDsMA&#10;AADeAAAADwAAAGRycy9kb3ducmV2LnhtbERP32vCMBB+H/g/hBv4NtMOdNoZRYSByF6mguzt0pxt&#10;WXMpSaz1v1+Ewd7u4/t5y/VgW9GTD41jBfkkA0FcOtNwpeB0/HiZgwgR2WDrmBTcKcB6NXpaYmHc&#10;jb+oP8RKpBAOBSqoY+wKKUNZk8UwcR1x4i7OW4wJ+koaj7cUblv5mmUzabHh1FBjR9uayp/D1Sq4&#10;DN/bPNq91nieLpzWQfv+U6nx87B5BxFpiP/iP/fOpPnzfPEGj3fSD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KIdDsMAAADeAAAADwAAAAAAAAAAAAAAAACYAgAAZHJzL2Rv&#10;d25yZXYueG1sUEsFBgAAAAAEAAQA9QAAAIgDAAAAAA==&#10;" path="m25,l,25,25,50,50,25,25,xe" fillcolor="navy" stroked="f">
                    <v:path arrowok="t" o:connecttype="custom" o:connectlocs="25,1385;0,1410;25,1435;50,1410;25,1385" o:connectangles="0,0,0,0,0"/>
                  </v:shape>
                </v:group>
                <v:group id="Group 8619" o:spid="_x0000_s1476" style="position:absolute;left:8414;top:1385;width:50;height:50" coordorigin="8414,1385"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9xKjMcAAADe&#10;AAAADwAAAAAAAAAAAAAAAACqAgAAZHJzL2Rvd25yZXYueG1sUEsFBgAAAAAEAAQA+gAAAJ4DAAAA&#10;AA==&#10;">
                  <v:shape id="Freeform 8620" o:spid="_x0000_s1477" style="position:absolute;left:8414;top:1385;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eO8UA&#10;AADeAAAADwAAAGRycy9kb3ducmV2LnhtbERPTWuDQBC9F/Iflgn01qzmUBLjKqVQKKWH1oTkOrgT&#10;lbiz6m6j5tdnC4Xe5vE+J80n04orDa6xrCBeRSCIS6sbrhQc9m9PGxDOI2tsLZOCmRzk2eIhxUTb&#10;kb/pWvhKhBB2CSqove8SKV1Zk0G3sh1x4M52MOgDHCqpBxxDuGnlOoqepcGGQ0ONHb3WVF6KH6Og&#10;MfsZ+3V8Ox2moy4+x4/ZfvVKPS6nlx0IT5P/F/+533WYv4m3W/h9J9wg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Z47xQAAAN4AAAAPAAAAAAAAAAAAAAAAAJgCAABkcnMv&#10;ZG93bnJldi54bWxQSwUGAAAAAAQABAD1AAAAigMAAAAA&#10;" path="m25,l50,25,25,50,,25,25,xe" filled="f" strokecolor="navy" strokeweight=".16742mm">
                    <v:path arrowok="t" o:connecttype="custom" o:connectlocs="25,1385;50,1410;25,1435;0,1410;25,1385" o:connectangles="0,0,0,0,0"/>
                  </v:shape>
                </v:group>
                <v:group id="Group 8617" o:spid="_x0000_s1478" style="position:absolute;left:8442;top:1478;width:50;height:50" coordorigin="8442,1478"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yoWycccAAADe&#10;AAAADwAAAAAAAAAAAAAAAACqAgAAZHJzL2Rvd25yZXYueG1sUEsFBgAAAAAEAAQA+gAAAJ4DAAAA&#10;AA==&#10;">
                  <v:shape id="Freeform 8618" o:spid="_x0000_s1479" style="position:absolute;left:8442;top:1478;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jUGsMA&#10;AADeAAAADwAAAGRycy9kb3ducmV2LnhtbERP32vCMBB+H/g/hBP2NtMKDq1GEUEYspfpYPh2ac62&#10;2FxKktXuv18Ewbf7+H7eajPYVvTkQ+NYQT7JQBCXzjRcKfg+7d/mIEJENtg6JgV/FGCzHr2ssDDu&#10;xl/UH2MlUgiHAhXUMXaFlKGsyWKYuI44cRfnLcYEfSWNx1sKt62cZtm7tNhwaqixo11N5fX4axVc&#10;hvMuj/agNf7MFk7roH3/qdTreNguQUQa4lP8cH+YNH8+zXK4v5Nu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jUGsMAAADeAAAADwAAAAAAAAAAAAAAAACYAgAAZHJzL2Rv&#10;d25yZXYueG1sUEsFBgAAAAAEAAQA9QAAAIgDAAAAAA==&#10;" path="m25,l,25,25,50,50,25,25,xe" fillcolor="navy" stroked="f">
                    <v:path arrowok="t" o:connecttype="custom" o:connectlocs="25,1478;0,1503;25,1528;50,1503;25,1478" o:connectangles="0,0,0,0,0"/>
                  </v:shape>
                </v:group>
                <v:group id="Group 8615" o:spid="_x0000_s1480" style="position:absolute;left:8442;top:1478;width:50;height:50" coordorigin="8442,1478"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RuJncQAAADeAAAA&#10;DwAAAAAAAAAAAAAAAACqAgAAZHJzL2Rvd25yZXYueG1sUEsFBgAAAAAEAAQA+gAAAJsDAAAAAA==&#10;">
                  <v:shape id="Freeform 8616" o:spid="_x0000_s1481" style="position:absolute;left:8442;top:1478;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pdKsMA&#10;AADeAAAADwAAAGRycy9kb3ducmV2LnhtbERPTYvCMBC9C/sfwix409QKIl2jyMKCLHvQKnodmtm2&#10;2ExqE23rrzeC4G0e73MWq85U4kaNKy0rmIwjEMSZ1SXnCg77n9EchPPIGivLpKAnB6vlx2CBibYt&#10;7+iW+lyEEHYJKii8rxMpXVaQQTe2NXHg/m1j0AfY5FI32IZwU8k4imbSYMmhocCavgvKzunVKCjN&#10;vsdLPLmfDt1Rp3/tb2+3F6WGn936C4Snzr/FL/dGh/nzOJrC851wg1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pdKsMAAADeAAAADwAAAAAAAAAAAAAAAACYAgAAZHJzL2Rv&#10;d25yZXYueG1sUEsFBgAAAAAEAAQA9QAAAIgDAAAAAA==&#10;" path="m25,l50,25,25,50,,25,25,xe" filled="f" strokecolor="navy" strokeweight=".16742mm">
                    <v:path arrowok="t" o:connecttype="custom" o:connectlocs="25,1478;50,1503;25,1528;0,1503;25,1478" o:connectangles="0,0,0,0,0"/>
                  </v:shape>
                </v:group>
                <v:group id="Group 8613" o:spid="_x0000_s1482" style="position:absolute;left:9046;top:1464;width:50;height:50" coordorigin="9046,1464"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60csQAAADeAAAADwAAAGRycy9kb3ducmV2LnhtbERPS4vCMBC+C/sfwizs&#10;TdO6KlKNIrK7eBDBB4i3oRnbYjMpTbat/94Igrf5+J4zX3amFA3VrrCsIB5EIIhTqwvOFJyOv/0p&#10;COeRNZaWScGdHCwXH705Jtq2vKfm4DMRQtglqCD3vkqkdGlOBt3AVsSBu9raoA+wzqSusQ3hppTD&#10;KJpIgwWHhhwrWueU3g7/RsFfi+3qO/5ptrfr+n45jnfnbUxKfX12qxkIT51/i1/ujQ7zp8NoB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b60csQAAADeAAAA&#10;DwAAAAAAAAAAAAAAAACqAgAAZHJzL2Rvd25yZXYueG1sUEsFBgAAAAAEAAQA+gAAAJsDAAAAAA==&#10;">
                  <v:shape id="Freeform 8614" o:spid="_x0000_s1483" style="position:absolute;left:9046;top:1464;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PSGcIA&#10;AADeAAAADwAAAGRycy9kb3ducmV2LnhtbERPTYvCMBC9L/gfwgh7W1MFF61GEUEQ8bKuIN4mzdgW&#10;m0lJYu3+e7OwsLd5vM9ZrnvbiI58qB0rGI8yEMSFMzWXCs7fu48ZiBCRDTaOScEPBVivBm9LzI17&#10;8hd1p1iKFMIhRwVVjG0uZSgqshhGriVO3M15izFBX0rj8ZnCbSMnWfYpLdacGipsaVtRcT89rIJb&#10;f92Ooz1ojZfp3GkdtO+OSr0P+80CRKQ+/ov/3HuT5s8m2RR+30k3yN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E9IZwgAAAN4AAAAPAAAAAAAAAAAAAAAAAJgCAABkcnMvZG93&#10;bnJldi54bWxQSwUGAAAAAAQABAD1AAAAhwMAAAAA&#10;" path="m25,l,25,25,50,50,25,25,xe" fillcolor="navy" stroked="f">
                    <v:path arrowok="t" o:connecttype="custom" o:connectlocs="25,1464;0,1489;25,1514;50,1489;25,1464" o:connectangles="0,0,0,0,0"/>
                  </v:shape>
                </v:group>
                <v:group id="Group 8611" o:spid="_x0000_s1484" style="position:absolute;left:9046;top:1464;width:50;height:50" coordorigin="9046,1464"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II+ewwAAAN4AAAAP&#10;AAAAAAAAAAAAAAAAAKoCAABkcnMvZG93bnJldi54bWxQSwUGAAAAAAQABAD6AAAAmgMAAAAA&#10;">
                  <v:shape id="Freeform 8612" o:spid="_x0000_s1485" style="position:absolute;left:9046;top:1464;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FbKcMA&#10;AADeAAAADwAAAGRycy9kb3ducmV2LnhtbERPTYvCMBC9C/sfwix409QeVLpGkYUFWfagVfQ6NLNt&#10;sZnUJtrWX28Ewds83ucsVp2pxI0aV1pWMBlHIIgzq0vOFRz2P6M5COeRNVaWSUFPDlbLj8ECE21b&#10;3tEt9bkIIewSVFB4XydSuqwgg25sa+LA/dvGoA+wyaVusA3hppJxFE2lwZJDQ4E1fReUndOrUVCa&#10;fY+XeHI/HbqjTv/a395uL0oNP7v1FwhPnX+LX+6NDvPncTSD5zvhBr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gFbKcMAAADeAAAADwAAAAAAAAAAAAAAAACYAgAAZHJzL2Rv&#10;d25yZXYueG1sUEsFBgAAAAAEAAQA9QAAAIgDAAAAAA==&#10;" path="m25,l50,25,25,50,,25,25,xe" filled="f" strokecolor="navy" strokeweight=".16742mm">
                    <v:path arrowok="t" o:connecttype="custom" o:connectlocs="25,1464;50,1489;25,1514;0,1489;25,1464" o:connectangles="0,0,0,0,0"/>
                  </v:shape>
                </v:group>
                <v:group id="Group 8609" o:spid="_x0000_s1486" style="position:absolute;left:9073;top:1477;width:50;height:50" coordorigin="9073,147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PO+d8cAAADe&#10;AAAADwAAAAAAAAAAAAAAAACqAgAAZHJzL2Rvd25yZXYueG1sUEsFBgAAAAAEAAQA+gAAAJ4DAAAA&#10;AA==&#10;">
                  <v:shape id="Freeform 8610" o:spid="_x0000_s1487" style="position:absolute;left:9073;top:147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7YHMIA&#10;AADeAAAADwAAAGRycy9kb3ducmV2LnhtbERPTYvCMBC9L/gfwgh7W1MFF61GEUFYZC+rgnibNGNb&#10;bCYlydbuv98Igrd5vM9ZrnvbiI58qB0rGI8yEMSFMzWXCk7H3ccMRIjIBhvHpOCPAqxXg7cl5sbd&#10;+Ye6QyxFCuGQo4IqxjaXMhQVWQwj1xIn7uq8xZigL6XxeE/htpGTLPuUFmtODRW2tK2ouB1+rYJr&#10;f9mOo91rjefp3GkdtO++lXof9psFiEh9fImf7i+T5s8m2Rwe76Qb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XtgcwgAAAN4AAAAPAAAAAAAAAAAAAAAAAJgCAABkcnMvZG93&#10;bnJldi54bWxQSwUGAAAAAAQABAD1AAAAhwMAAAAA&#10;" path="m25,l,25,25,50,50,25,25,xe" fillcolor="navy" stroked="f">
                    <v:path arrowok="t" o:connecttype="custom" o:connectlocs="25,1477;0,1502;25,1527;50,1502;25,1477" o:connectangles="0,0,0,0,0"/>
                  </v:shape>
                </v:group>
                <v:group id="Group 8607" o:spid="_x0000_s1488" style="position:absolute;left:9073;top:1477;width:50;height:50" coordorigin="9073,147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1wkrMcAAADe&#10;AAAADwAAAAAAAAAAAAAAAACqAgAAZHJzL2Rvd25yZXYueG1sUEsFBgAAAAAEAAQA+gAAAJ4DAAAA&#10;AA==&#10;">
                  <v:shape id="Freeform 8608" o:spid="_x0000_s1489" style="position:absolute;left:9073;top:147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3wG8MA&#10;AADeAAAADwAAAGRycy9kb3ducmV2LnhtbERPTYvCMBC9C/sfwix407Q9iHSNIsLCIntYq7jXoRnb&#10;YjOpTbStv94Igrd5vM9ZrHpTixu1rrKsIJ5GIIhzqysuFBz235M5COeRNdaWScFADlbLj9ECU207&#10;3tEt84UIIexSVFB636RSurwkg25qG+LAnWxr0AfYFlK32IVwU8skimbSYMWhocSGNiXl5+xqFFRm&#10;P+Alie//h/6os99uO9i/i1Ljz379BcJT79/il/tHh/nzJI7h+U64QS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33wG8MAAADeAAAADwAAAAAAAAAAAAAAAACYAgAAZHJzL2Rv&#10;d25yZXYueG1sUEsFBgAAAAAEAAQA9QAAAIgDAAAAAA==&#10;" path="m25,l50,25,25,50,,25,25,xe" filled="f" strokecolor="navy" strokeweight=".16742mm">
                    <v:path arrowok="t" o:connecttype="custom" o:connectlocs="25,1477;50,1502;25,1527;0,1502;25,1477" o:connectangles="0,0,0,0,0"/>
                  </v:shape>
                </v:group>
                <v:group id="Group 8605" o:spid="_x0000_s1490" style="position:absolute;left:7037;top:1207;width:2061;height:309" coordorigin="7037,1207" coordsize="2061,3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MIfQMQAAADeAAAA&#10;DwAAAAAAAAAAAAAAAACqAgAAZHJzL2Rvd25yZXYueG1sUEsFBgAAAAAEAAQA+gAAAJsDAAAAAA==&#10;">
                  <v:shape id="Freeform 8606" o:spid="_x0000_s1491" style="position:absolute;left:7037;top:1207;width:2061;height:309;visibility:visible;mso-wrap-style:square;v-text-anchor:top" coordsize="2061,3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kHe8IA&#10;AADeAAAADwAAAGRycy9kb3ducmV2LnhtbERPTWsCMRC9F/wPYQRvNVGLyGoUEYQepKUq4nHYjLvB&#10;ZLJs0nX9902h0Ns83uesNr13oqM22sAaJmMFgrgMxnKl4Xzavy5AxIRs0AUmDU+KsFkPXlZYmPDg&#10;L+qOqRI5hGOBGuqUmkLKWNbkMY5DQ5y5W2g9pgzbSpoWHzncOzlVai49Ws4NNTa0q6m8H7+9ho8y&#10;KRXmB3npPpW9nt2b7V3QejTst0sQifr0L/5zv5s8fzGdzOD3nXyDX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mQd7wgAAAN4AAAAPAAAAAAAAAAAAAAAAAJgCAABkcnMvZG93&#10;bnJldi54bWxQSwUGAAAAAAQABAD1AAAAhwMAAAAA&#10;" path="m,l5,1,9,3r3,2l16,6r3,2l24,9r4,2l31,13r4,1l38,15r5,2l47,19r3,1l54,21r4,1l62,25r4,1l69,27r4,1l77,31r4,1l85,33r3,1l92,37r4,1l100,39r4,1l107,43r4,1l115,45r4,1l123,47r3,3l130,51r4,1l138,53r4,1l145,57r5,1l153,59r4,1l161,62r3,1l169,65r3,1l176,68r3,1l183,70r5,1l191,73r4,2l198,76r4,1l207,78r3,1l214,81r3,2l221,84r5,1l230,86r3,2l237,89r5,1l245,91r4,1l252,95r4,1l261,97r3,1l268,100r3,1l275,102r4,1l283,104r4,1l290,107r4,1l298,109r4,1l306,113r3,1l313,115r4,1l321,117r4,2l328,120r5,1l336,122r4,1l344,124r3,2l352,127r3,1l359,129r4,1l366,132r5,1l374,134r4,1l382,136r3,1l390,139r3,1l397,141r4,1l404,143r5,2l412,146r4,l420,147r4,1l428,149r3,2l435,152r4,1l443,154r4,1l450,156r4,2l458,159r4,1l466,161r3,l473,162r4,2l481,165r4,1l488,167r4,1l496,170r4,1l504,172r3,l511,173r4,1l519,175r4,2l526,178r4,1l535,179r3,1l542,181r3,2l549,184r5,1l557,185r4,1l564,187r4,1l573,190r3,1l580,191r3,1l587,193r5,1l595,196r4,l602,197r4,1l611,199r3,l618,200r3,2l626,203r4,1l633,204r4,1l640,206r5,1l649,207r3,2l656,210r3,1l664,211r4,1l671,213r4,2l678,215r5,1l687,217r3,l694,218r3,1l702,220r4,l709,222r4,1l717,223r4,1l725,225r3,l732,226r4,2l740,228r4,1l747,230r4,l755,231r4,1l763,232r3,2l770,235r4,l778,236r4,1l785,237r4,1l793,238r4,1l801,241r3,l809,242r3,1l816,243r4,1l823,244r5,1l831,247r4,l839,248r3,l847,249r3,l854,250r4,1l861,251r5,2l869,253r4,1l877,254r3,1l885,255r3,1l892,257r4,l899,258r5,l907,260r4,l914,261r5,l923,262r3,l930,263r3,l938,264r4,l945,266r4,l952,267r5,l961,268r3,l968,269r3,l976,270r4,l983,270r4,1l990,271r5,2l999,273r3,1l1006,274r5,1l1014,275r4,l1021,276r4,l1030,277r3,l1037,279r3,l1044,279r5,1l1052,280r4,1l1059,281r4,l1068,282r3,l1075,283r3,l1082,283r5,2l1090,285r4,l1097,286r5,l1106,286r3,1l1113,287r3,l1121,288r4,l1128,289r4,l1135,289r5,l1144,290r3,l1151,290r3,2l1159,292r4,l1166,293r4,l1173,293r5,1l1182,294r3,l1189,294r4,1l1197,295r4,l1204,295r4,1l1212,296r4,l1220,298r3,l1227,298r4,l1235,299r4,l1242,299r4,l1250,299r4,1l1258,300r3,l1265,300r4,1l1273,301r4,l1280,301r4,l1288,302r19,l1311,304r19,l1333,305r23,l1361,306r26,l1390,307r43,l1437,308r148,l1589,307r38,l1630,306r31,l1665,305r23,l1692,304r19,l1714,302r4,l1722,302r4,l1730,302r3,-1l1737,301r4,l1745,301r4,l1752,300r4,l1760,300r4,l1768,300r3,-1l1775,299r5,l1783,299r4,-1l1790,298r4,l1799,298r3,-2l1806,296r3,l1813,296r5,-1l1821,295r4,l1828,295r4,-1l1837,294r3,l1844,293r3,l1851,293r5,l1859,292r4,l1866,292r5,-2l1875,290r3,l1882,289r3,l1890,289r4,-1l1897,288r4,l1904,287r5,l1913,287r3,-1l1920,286r3,l1928,285r4,l1935,283r4,l1942,283r5,-1l1951,282r3,l1958,281r5,l1966,280r4,l1973,280r4,-1l1982,279r3,-2l1989,277r3,l1996,276r5,l2004,275r4,l2011,274r4,l2020,274r3,-1l2027,273r3,-2l2034,271r5,-1l2042,270r4,-1l2049,269r5,-1l2058,268r3,-1e" filled="f" strokeweight=".33469mm">
                    <v:path arrowok="t" o:connecttype="custom" o:connectlocs="28,1218;58,1229;88,1241;119,1253;150,1265;179,1276;210,1286;242,1297;271,1308;302,1317;333,1328;363,1337;393,1347;424,1355;454,1365;485,1373;515,1381;545,1390;576,1398;606,1405;637,1412;668,1419;697,1426;728,1432;759,1439;789,1445;820,1451;850,1456;880,1462;911,1467;942,1471;971,1476;1002,1481;1033,1484;1063,1488;1094,1492;1125,1495;1154,1499;1185,1501;1216,1503;1246,1506;1277,1508;1356,1512;1627,1514;1718,1509;1749,1508;1780,1506;1809,1503;1840,1501;1871,1497;1901,1495;1932,1492;1963,1488;1992,1484;2023,1480;2054,1475" o:connectangles="0,0,0,0,0,0,0,0,0,0,0,0,0,0,0,0,0,0,0,0,0,0,0,0,0,0,0,0,0,0,0,0,0,0,0,0,0,0,0,0,0,0,0,0,0,0,0,0,0,0,0,0,0,0,0,0"/>
                  </v:shape>
                </v:group>
                <v:group id="Group 8603" o:spid="_x0000_s1492" style="position:absolute;left:6584;top:660;width:3218;height:1899" coordorigin="6584,660" coordsize="3218,1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cir8QAAADeAAAADwAAAGRycy9kb3ducmV2LnhtbERPS4vCMBC+C/sfwizs&#10;TdO6KlKNIrK7eBDBB4i3oRnbYjMpTbat/94Igrf5+J4zX3amFA3VrrCsIB5EIIhTqwvOFJyOv/0p&#10;COeRNZaWScGdHCwXH705Jtq2vKfm4DMRQtglqCD3vkqkdGlOBt3AVsSBu9raoA+wzqSusQ3hppTD&#10;KJpIgwWHhhwrWueU3g7/RsFfi+3qO/5ptrfr+n45jnfnbUxKfX12qxkIT51/i1/ujQ7zp8N4B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Gcir8QAAADeAAAA&#10;DwAAAAAAAAAAAAAAAACqAgAAZHJzL2Rvd25yZXYueG1sUEsFBgAAAAAEAAQA+gAAAJsDAAAAAA==&#10;">
                  <v:shape id="Freeform 8604" o:spid="_x0000_s1493" style="position:absolute;left:6584;top:660;width:3218;height:1899;visibility:visible;mso-wrap-style:square;v-text-anchor:top" coordsize="3218,18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sDrcIA&#10;AADeAAAADwAAAGRycy9kb3ducmV2LnhtbERPTYvCMBC9L/gfwgheFk0rrEg1igiC4MV1BT0OzZgW&#10;m0lpYo3/3iws7G0e73OW62gb0VPna8cK8kkGgrh0umaj4PyzG89B+ICssXFMCl7kYb0afCyx0O7J&#10;39SfghEphH2BCqoQ2kJKX1Zk0U9cS5y4m+sshgQ7I3WHzxRuGznNspm0WHNqqLClbUXl/fSwCqLp&#10;w+zzcG5inx/Nobzmr4vfKTUaxs0CRKAY/sV/7r1O8+fT/At+30k3y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KwOtwgAAAN4AAAAPAAAAAAAAAAAAAAAAAJgCAABkcnMvZG93&#10;bnJldi54bWxQSwUGAAAAAAQABAD1AAAAhwMAAAAA&#10;" path="m,1899r3217,l3217,,,,,1899xe" filled="f" strokeweight=".02442mm">
                    <v:path arrowok="t" o:connecttype="custom" o:connectlocs="0,2559;3217,2559;3217,660;0,660;0,2559" o:connectangles="0,0,0,0,0"/>
                  </v:shape>
                </v:group>
                <v:group id="Group 8601" o:spid="_x0000_s1494" style="position:absolute;left:6701;top:3117;width:3155;height:1943" coordorigin="6701,3117" coordsize="3155,19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5GUPFAAAA3gAA&#10;AA8AAAAAAAAAAAAAAAAAqgIAAGRycy9kb3ducmV2LnhtbFBLBQYAAAAABAAEAPoAAACcAwAAAAA=&#10;">
                  <v:shape id="Freeform 8602" o:spid="_x0000_s1495" style="position:absolute;left:6701;top:3117;width:3155;height:1943;visibility:visible;mso-wrap-style:square;v-text-anchor:top" coordsize="3155,19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CB1cEA&#10;AADeAAAADwAAAGRycy9kb3ducmV2LnhtbERPS4+CMBC+m/gfmtlkb1L04AOtZtWw8Sq691k6ApFO&#10;Ca3A/vutiYm3+fI9Z7MbTC06al1lWcE0ikEQ51ZXXCi4XtLJEoTzyBpry6TgjxzstuPRBhNtez5T&#10;l/lChBB2CSoovW8SKV1ekkEX2YY4cDfbGvQBtoXULfYh3NRyFsdzabDi0FBiQ4eS8nv2MAoeMk31&#10;Xvbd7zxbDXS819+F/1Hq82P4WoPwNPi3+OU+6TB/OZsu4PlOuEF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kAgdXBAAAA3gAAAA8AAAAAAAAAAAAAAAAAmAIAAGRycy9kb3du&#10;cmV2LnhtbFBLBQYAAAAABAAEAPUAAACGAwAAAAA=&#10;" path="m,1943r3155,l3155,,,,,1943xe" filled="f" strokeweight=".02442mm">
                    <v:path arrowok="t" o:connecttype="custom" o:connectlocs="0,5060;3155,5060;3155,3117;0,3117;0,5060" o:connectangles="0,0,0,0,0"/>
                  </v:shape>
                </v:group>
                <v:group id="Group 8599" o:spid="_x0000_s1496" style="position:absolute;left:7018;top:3268;width:2702;height:1517" coordorigin="7018,3268" coordsize="2702,15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SooqscAAADe&#10;AAAADwAAAAAAAAAAAAAAAACqAgAAZHJzL2Rvd25yZXYueG1sUEsFBgAAAAAEAAQA+gAAAJ4DAAAA&#10;AA==&#10;">
                  <v:shape id="Freeform 8600" o:spid="_x0000_s1497" style="position:absolute;left:7018;top:3268;width:2702;height:1517;visibility:visible;mso-wrap-style:square;v-text-anchor:top" coordsize="2702,1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R/ysQA&#10;AADeAAAADwAAAGRycy9kb3ducmV2LnhtbERPzWrCQBC+F3yHZYTe6sYQxKauIkLb0JzUPsA0O2aj&#10;2dk0u43p27uFgrf5+H5ntRltKwbqfeNYwXyWgCCunG64VvB5fH1agvABWWPrmBT8kofNevKwwly7&#10;K+9pOIRaxBD2OSowIXS5lL4yZNHPXEccuZPrLYYI+1rqHq8x3LYyTZKFtNhwbDDY0c5QdTn8WAWZ&#10;L+uvrPhgU+7f6Ls4peX7OVXqcTpuX0AEGsNd/O8udJy/TOfP8PdOvEG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Uf8rEAAAA3gAAAA8AAAAAAAAAAAAAAAAAmAIAAGRycy9k&#10;b3ducmV2LnhtbFBLBQYAAAAABAAEAPUAAACJAwAAAAA=&#10;" path="m,1517r2702,l2702,,,,,1517xe" fillcolor="silver" stroked="f">
                    <v:path arrowok="t" o:connecttype="custom" o:connectlocs="0,4785;2702,4785;2702,3268;0,3268;0,4785" o:connectangles="0,0,0,0,0"/>
                  </v:shape>
                </v:group>
                <v:group id="Group 8597" o:spid="_x0000_s1498" style="position:absolute;left:7018;top:3268;width:2702;height:1517" coordorigin="7018,3268" coordsize="2702,15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TDuEccAAADe&#10;AAAADwAAAAAAAAAAAAAAAACqAgAAZHJzL2Rvd25yZXYueG1sUEsFBgAAAAAEAAQA+gAAAJ4DAAAA&#10;AA==&#10;">
                  <v:shape id="Freeform 8598" o:spid="_x0000_s1499" style="position:absolute;left:7018;top:3268;width:2702;height:1517;visibility:visible;mso-wrap-style:square;v-text-anchor:top" coordsize="2702,1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JweMIA&#10;AADeAAAADwAAAGRycy9kb3ducmV2LnhtbERPS4vCMBC+C/6HMII3m7bCItUoIgjeVt09eBya6QOb&#10;SUmi7frrzcLC3ubje85mN5pOPMn51rKCLElBEJdWt1wr+P46LlYgfEDW2FkmBT/kYbedTjZYaDvw&#10;hZ7XUIsYwr5ABU0IfSGlLxsy6BPbE0euss5giNDVUjscYrjpZJ6mH9Jgy7GhwZ4ODZX368MosNn+&#10;Zj75fllWp8odjq/BVOezUvPZuF+DCDSGf/Gf+6Tj/FWeZ/D7TrxBb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InB4wgAAAN4AAAAPAAAAAAAAAAAAAAAAAJgCAABkcnMvZG93&#10;bnJldi54bWxQSwUGAAAAAAQABAD1AAAAhwMAAAAA&#10;" path="m,l2702,r,1517l,1517,,e" filled="f" strokecolor="gray" strokeweight=".16739mm">
                    <v:path arrowok="t" o:connecttype="custom" o:connectlocs="0,3268;2702,3268;2702,4785;0,4785;0,3268" o:connectangles="0,0,0,0,0"/>
                  </v:shape>
                </v:group>
                <v:group id="Group 8595" o:spid="_x0000_s1500" style="position:absolute;left:7019;top:3269;width:2;height:1544" coordorigin="7019,3269" coordsize="2,15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q7V/cQAAADeAAAA&#10;DwAAAAAAAAAAAAAAAACqAgAAZHJzL2Rvd25yZXYueG1sUEsFBgAAAAAEAAQA+gAAAJsDAAAAAA==&#10;">
                  <v:shape id="Freeform 8596" o:spid="_x0000_s1501" style="position:absolute;left:7019;top:3269;width:2;height:1544;visibility:visible;mso-wrap-style:square;v-text-anchor:top" coordsize="2,15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NkJcYA&#10;AADeAAAADwAAAGRycy9kb3ducmV2LnhtbESP0WoCMRBF3wv+QxjBl6LZriDL1ihFKEqf7OoHDJvp&#10;ZulmsiZR1369EYS+zXDv3HNnuR5sJy7kQ+tYwdssA0FcO91yo+B4+JwWIEJE1tg5JgU3CrBejV6W&#10;WGp35W+6VLERKYRDiQpMjH0pZagNWQwz1xMn7cd5izGtvpHa4zWF207mWbaQFltOBIM9bQzVv9XZ&#10;Jkjv/Wm7350X29fia99aWf0ZqdRkPHy8g4g0xH/z83qnU/0iz+fweCfNIF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mNkJcYAAADeAAAADwAAAAAAAAAAAAAAAACYAgAAZHJz&#10;L2Rvd25yZXYueG1sUEsFBgAAAAAEAAQA9QAAAIsDAAAAAA==&#10;" path="m,l,1543e" filled="f" strokeweight=".02442mm">
                    <v:path arrowok="t" o:connecttype="custom" o:connectlocs="0,3269;0,4812" o:connectangles="0,0"/>
                  </v:shape>
                </v:group>
                <v:group id="Group 8593" o:spid="_x0000_s1502" style="position:absolute;left:6993;top:4786;width:2727;height:2" coordorigin="6993,4786" coordsize="27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4L6BLFAAAA3gAA&#10;AA8AAAAAAAAAAAAAAAAAqgIAAGRycy9kb3ducmV2LnhtbFBLBQYAAAAABAAEAPoAAACcAwAAAAA=&#10;">
                  <v:shape id="Freeform 8594" o:spid="_x0000_s1503" style="position:absolute;left:6993;top:4786;width:2727;height:2;visibility:visible;mso-wrap-style:square;v-text-anchor:top" coordsize="27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kp+sUA&#10;AADeAAAADwAAAGRycy9kb3ducmV2LnhtbERPTWvCQBC9F/wPywi9NRsDFU1dRUSxtio0reBxyI5J&#10;MDsbstuY/vtuoeBtHu9zZove1KKj1lWWFYyiGARxbnXFhYKvz83TBITzyBpry6Tghxws5oOHGaba&#10;3viDuswXIoSwS1FB6X2TSunykgy6yDbEgbvY1qAPsC2kbvEWwk0tkzgeS4MVh4YSG1qVlF+zb6OA&#10;z3693W3e8H2/PRyXo4PMTtNOqcdhv3wB4an3d/G/+1WH+ZMkeYa/d8IN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OSn6xQAAAN4AAAAPAAAAAAAAAAAAAAAAAJgCAABkcnMv&#10;ZG93bnJldi54bWxQSwUGAAAAAAQABAD1AAAAigMAAAAA&#10;" path="m,l2727,e" filled="f" strokeweight=".02442mm">
                    <v:path arrowok="t" o:connecttype="custom" o:connectlocs="0,0;2727,0" o:connectangles="0,0"/>
                  </v:shape>
                </v:group>
                <v:group id="Group 8591" o:spid="_x0000_s1504" style="position:absolute;left:6993;top:4648;width:25;height:2" coordorigin="6993,4648"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ZXT/sQAAADeAAAADwAAAGRycy9kb3ducmV2LnhtbERPTYvCMBC9L/gfwgje&#10;1rSVFalGEVHxIMLqwuJtaMa22ExKE9v6782CsLd5vM9ZrHpTiZYaV1pWEI8jEMSZ1SXnCn4uu88Z&#10;COeRNVaWScGTHKyWg48Fptp2/E3t2ecihLBLUUHhfZ1K6bKCDLqxrYkDd7ONQR9gk0vdYBfCTSWT&#10;KJpKgyWHhgJr2hSU3c8Po2DfYbeexNv2eL9tntfL1+n3GJNSo2G/noPw1Pt/8dt90GH+LEmm8Pd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ZXT/sQAAADeAAAA&#10;DwAAAAAAAAAAAAAAAACqAgAAZHJzL2Rvd25yZXYueG1sUEsFBgAAAAAEAAQA+gAAAJsDAAAAAA==&#10;">
                  <v:shape id="Freeform 8592" o:spid="_x0000_s1505" style="position:absolute;left:6993;top:4648;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vUSsEA&#10;AADeAAAADwAAAGRycy9kb3ducmV2LnhtbERPTYvCMBC9C/sfwizsTVOLqHSNIorg3tQKex2asS1t&#10;JiWJtf77zYLgbR7vc1abwbSiJ+drywqmkwQEcWF1zaWCa34YL0H4gKyxtUwKnuRhs/4YrTDT9sFn&#10;6i+hFDGEfYYKqhC6TEpfVGTQT2xHHLmbdQZDhK6U2uEjhptWpkkylwZrjg0VdrSrqGgud6OgCd3+&#10;bs7Nz2/OM9efntujKU9KfX0O228QgYbwFr/cRx3nL9N0Af/vxBvk+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L1ErBAAAA3gAAAA8AAAAAAAAAAAAAAAAAmAIAAGRycy9kb3du&#10;cmV2LnhtbFBLBQYAAAAABAAEAPUAAACGAwAAAAA=&#10;" path="m,l25,e" filled="f" strokeweight=".02442mm">
                    <v:path arrowok="t" o:connecttype="custom" o:connectlocs="0,0;25,0" o:connectangles="0,0"/>
                  </v:shape>
                </v:group>
                <v:group id="Group 8589" o:spid="_x0000_s1506" style="position:absolute;left:6993;top:4509;width:25;height:2" coordorigin="6993,4509"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f0biF8cAAADe&#10;AAAADwAAAAAAAAAAAAAAAACqAgAAZHJzL2Rvd25yZXYueG1sUEsFBgAAAAAEAAQA+gAAAJ4DAAAA&#10;AA==&#10;">
                  <v:shape id="Freeform 8590" o:spid="_x0000_s1507" style="position:absolute;left:6993;top:4509;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jlo8EA&#10;AADeAAAADwAAAGRycy9kb3ducmV2LnhtbERPS4vCMBC+L/gfwgje1tQii1ajiMuC3nyB16EZ29Jm&#10;UpJY6783C4K3+fies1z3phEdOV9ZVjAZJyCIc6srLhRczn/fMxA+IGtsLJOCJ3lYrwZfS8y0ffCR&#10;ulMoRAxhn6GCMoQ2k9LnJRn0Y9sSR+5mncEQoSukdviI4aaRaZL8SIMVx4YSW9qWlNenu1FQh/b3&#10;bo71/nrmqesOz83OFAelRsN+swARqA8f8du903H+LE3n8P9OvEG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Y5aPBAAAA3gAAAA8AAAAAAAAAAAAAAAAAmAIAAGRycy9kb3du&#10;cmV2LnhtbFBLBQYAAAAABAAEAPUAAACGAwAAAAA=&#10;" path="m,l25,e" filled="f" strokeweight=".02442mm">
                    <v:path arrowok="t" o:connecttype="custom" o:connectlocs="0,0;25,0" o:connectangles="0,0"/>
                  </v:shape>
                </v:group>
                <v:group id="Group 8587" o:spid="_x0000_s1508" style="position:absolute;left:6993;top:4372;width:25;height:2" coordorigin="6993,4372"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TpeMzIAAAA&#10;3gAAAA8AAAAAAAAAAAAAAAAAqgIAAGRycy9kb3ducmV2LnhtbFBLBQYAAAAABAAEAPoAAACfAwAA&#10;AAA=&#10;">
                  <v:shape id="Freeform 8588" o:spid="_x0000_s1509" style="position:absolute;left:6993;top:4372;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d/eMMA&#10;AADeAAAADwAAAGRycy9kb3ducmV2LnhtbERPTWvCQBC9F/oflil4qxvTUiS6iigFvUUt9DpkxyQk&#10;Oxt2NzH5965Q6G0e73PW29G0YiDna8sKFvMEBHFhdc2lgp/r9/sShA/IGlvLpGAiD9vN68saM23v&#10;fKbhEkoRQ9hnqKAKocuk9EVFBv3cdsSRu1lnMEToSqkd3mO4aWWaJF/SYM2xocKO9hUVzaU3CprQ&#10;HXpzbk6/V/50Qz7tjqbMlZq9jbsViEBj+Bf/uY86zl+mHwt4vhNv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rd/eMMAAADeAAAADwAAAAAAAAAAAAAAAACYAgAAZHJzL2Rv&#10;d25yZXYueG1sUEsFBgAAAAAEAAQA9QAAAIgDAAAAAA==&#10;" path="m,l25,e" filled="f" strokeweight=".02442mm">
                    <v:path arrowok="t" o:connecttype="custom" o:connectlocs="0,0;25,0" o:connectangles="0,0"/>
                  </v:shape>
                </v:group>
                <v:group id="Group 8585" o:spid="_x0000_s1510" style="position:absolute;left:6993;top:4234;width:25;height:2" coordorigin="6993,4234"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3dDIMQAAADeAAAA&#10;DwAAAAAAAAAAAAAAAACqAgAAZHJzL2Rvd25yZXYueG1sUEsFBgAAAAAEAAQA+gAAAJsDAAAAAA==&#10;">
                  <v:shape id="Freeform 8586" o:spid="_x0000_s1511" style="position:absolute;left:6993;top:4234;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lElMIA&#10;AADeAAAADwAAAGRycy9kb3ducmV2LnhtbERPS4vCMBC+C/sfwgjeNFWXRappkRVBbz4W9jo0Y1va&#10;TEoSa/33RljY23x8z9nkg2lFT87XlhXMZwkI4sLqmksFP9f9dAXCB2SNrWVS8CQPefYx2mCq7YPP&#10;1F9CKWII+xQVVCF0qZS+qMign9mOOHI36wyGCF0ptcNHDDetXCTJlzRYc2yosKPviormcjcKmtDt&#10;7ubcHH+v/On603N7MOVJqcl42K5BBBrCv/jPfdBx/mqxXML7nXiDz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KUSUwgAAAN4AAAAPAAAAAAAAAAAAAAAAAJgCAABkcnMvZG93&#10;bnJldi54bWxQSwUGAAAAAAQABAD1AAAAhwMAAAAA&#10;" path="m,l25,e" filled="f" strokeweight=".02442mm">
                    <v:path arrowok="t" o:connecttype="custom" o:connectlocs="0,0;25,0" o:connectangles="0,0"/>
                  </v:shape>
                </v:group>
                <v:group id="Group 8583" o:spid="_x0000_s1512" style="position:absolute;left:6993;top:4097;width:25;height:2" coordorigin="6993,4097"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9J+z8QAAADeAAAA&#10;DwAAAAAAAAAAAAAAAACqAgAAZHJzL2Rvd25yZXYueG1sUEsFBgAAAAAEAAQA+gAAAJsDAAAAAA==&#10;">
                  <v:shape id="Freeform 8584" o:spid="_x0000_s1513" style="position:absolute;left:6993;top:4097;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x5e8IA&#10;AADeAAAADwAAAGRycy9kb3ducmV2LnhtbERPTYvCMBC9C/sfwix401RdRapRZBfBvWkVvA7N2JY2&#10;k5LEWv+9WVjwNo/3OettbxrRkfOVZQWTcQKCOLe64kLB5bwfLUH4gKyxsUwKnuRhu/kYrDHV9sEn&#10;6rJQiBjCPkUFZQhtKqXPSzLox7YljtzNOoMhQldI7fARw00jp0mykAYrjg0ltvRdUl5nd6OgDu3P&#10;3Zzq3+uZv1x3fO4OpjgqNfzsdysQgfrwFv+7DzrOX05nc/h7J94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jHl7wgAAAN4AAAAPAAAAAAAAAAAAAAAAAJgCAABkcnMvZG93&#10;bnJldi54bWxQSwUGAAAAAAQABAD1AAAAhwMAAAAA&#10;" path="m,l25,e" filled="f" strokeweight=".02442mm">
                    <v:path arrowok="t" o:connecttype="custom" o:connectlocs="0,0;25,0" o:connectangles="0,0"/>
                  </v:shape>
                </v:group>
                <v:group id="Group 8581" o:spid="_x0000_s1514" style="position:absolute;left:6993;top:3958;width:25;height:2" coordorigin="6993,3958"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kTEUjwwAAAN4AAAAP&#10;AAAAAAAAAAAAAAAAAKoCAABkcnMvZG93bnJldi54bWxQSwUGAAAAAAQABAD6AAAAmgMAAAAA&#10;">
                  <v:shape id="Freeform 8582" o:spid="_x0000_s1515" style="position:absolute;left:6993;top:3958;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JCl8IA&#10;AADeAAAADwAAAGRycy9kb3ducmV2LnhtbERPTYvCMBC9C/sfwix401RdVKpRZBfBvWkVvA7N2JY2&#10;k5LEWv+9WVjwNo/3OettbxrRkfOVZQWTcQKCOLe64kLB5bwfLUH4gKyxsUwKnuRhu/kYrDHV9sEn&#10;6rJQiBjCPkUFZQhtKqXPSzLox7YljtzNOoMhQldI7fARw00jp0kylwYrjg0ltvRdUl5nd6OgDu3P&#10;3Zzq3+uZv1x3fO4OpjgqNfzsdysQgfrwFv+7DzrOX05nC/h7J94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EkKXwgAAAN4AAAAPAAAAAAAAAAAAAAAAAJgCAABkcnMvZG93&#10;bnJldi54bWxQSwUGAAAAAAQABAD1AAAAhwMAAAAA&#10;" path="m,l25,e" filled="f" strokeweight=".02442mm">
                    <v:path arrowok="t" o:connecttype="custom" o:connectlocs="0,0;25,0" o:connectangles="0,0"/>
                  </v:shape>
                </v:group>
                <v:group id="Group 8579" o:spid="_x0000_s1516" style="position:absolute;left:6993;top:3820;width:25;height:2" coordorigin="6993,3820"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qfdMrIAAAA&#10;3gAAAA8AAAAAAAAAAAAAAAAAqgIAAGRycy9kb3ducmV2LnhtbFBLBQYAAAAABAAEAPoAAACfAwAA&#10;AAA=&#10;">
                  <v:shape id="Freeform 8580" o:spid="_x0000_s1517" style="position:absolute;left:6993;top:3820;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FzfsMA&#10;AADeAAAADwAAAGRycy9kb3ducmV2LnhtbERPyWrDMBC9F/IPYgK9NXLdUFI3SjAJBeeWpdDrYE1t&#10;Y2tkJMWx/74KBHqbx1tnvR1NJwZyvrGs4HWRgCAurW64UvB9+XpZgfABWWNnmRRM5GG7mT2tMdP2&#10;xicazqESMYR9hgrqEPpMSl/WZNAvbE8cuV/rDIYIXSW1w1sMN51Mk+RdGmw4NtTY066msj1fjYI2&#10;9PurObWHnwsv3XCc8sJUR6We52P+CSLQGP7FD3eh4/xV+vYB93fiDX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FzfsMAAADeAAAADwAAAAAAAAAAAAAAAACYAgAAZHJzL2Rv&#10;d25yZXYueG1sUEsFBgAAAAAEAAQA9QAAAIgDAAAAAA==&#10;" path="m,l25,e" filled="f" strokeweight=".02442mm">
                    <v:path arrowok="t" o:connecttype="custom" o:connectlocs="0,0;25,0" o:connectangles="0,0"/>
                  </v:shape>
                </v:group>
                <v:group id="Group 8577" o:spid="_x0000_s1518" style="position:absolute;left:6993;top:3683;width:25;height:2" coordorigin="6993,3683"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FzvC7HIAAAA&#10;3gAAAA8AAAAAAAAAAAAAAAAAqgIAAGRycy9kb3ducmV2LnhtbFBLBQYAAAAABAAEAPoAAACfAwAA&#10;AAA=&#10;">
                  <v:shape id="Freeform 8578" o:spid="_x0000_s1519" style="position:absolute;left:6993;top:3683;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EMBcIA&#10;AADeAAAADwAAAGRycy9kb3ducmV2LnhtbERPTYvCMBC9C/6HMAveNFXKIl2jyMqCe2vrwl6HZrYt&#10;bSYlibX+eyMIe5vH+5zdYTK9GMn51rKC9SoBQVxZ3XKt4OfytdyC8AFZY2+ZFNzJw2E/n+0w0/bG&#10;BY1lqEUMYZ+hgiaEIZPSVw0Z9Cs7EEfuzzqDIUJXS+3wFsNNLzdJ8i4NthwbGhzos6GqK69GQReG&#10;09UU3ffvhVM35vfj2dS5Uou36fgBItAU/sUv91nH+dtNuobnO/EG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sQwFwgAAAN4AAAAPAAAAAAAAAAAAAAAAAJgCAABkcnMvZG93&#10;bnJldi54bWxQSwUGAAAAAAQABAD1AAAAhwMAAAAA&#10;" path="m,l25,e" filled="f" strokeweight=".02442mm">
                    <v:path arrowok="t" o:connecttype="custom" o:connectlocs="0,0;25,0" o:connectangles="0,0"/>
                  </v:shape>
                </v:group>
                <v:group id="Group 8575" o:spid="_x0000_s1520" style="position:absolute;left:6993;top:3545;width:25;height:2" coordorigin="6993,3545"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NxMF3FAAAA3gAA&#10;AA8AAAAAAAAAAAAAAAAAqgIAAGRycy9kb3ducmV2LnhtbFBLBQYAAAAABAAEAPoAAACcAwAAAAA=&#10;">
                  <v:shape id="Freeform 8576" o:spid="_x0000_s1521" style="position:absolute;left:6993;top:3545;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836cMA&#10;AADeAAAADwAAAGRycy9kb3ducmV2LnhtbERPTWvCQBC9F/wPyxS81U01iERXEUshvUUt9DpkxyQk&#10;Oxt215j8+26h4G0e73N2h9F0YiDnG8sK3hcJCOLS6oYrBd/Xz7cNCB+QNXaWScFEHg772csOM20f&#10;fKbhEioRQ9hnqKAOoc+k9GVNBv3C9sSRu1lnMEToKqkdPmK46eQySdbSYMOxocaeTjWV7eVuFLSh&#10;/7ibc/v1c+XUDcV0zE1VKDV/HY9bEIHG8BT/u3Md52+W6Qr+3ok3yP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836cMAAADeAAAADwAAAAAAAAAAAAAAAACYAgAAZHJzL2Rv&#10;d25yZXYueG1sUEsFBgAAAAAEAAQA9QAAAIgDAAAAAA==&#10;" path="m,l25,e" filled="f" strokeweight=".02442mm">
                    <v:path arrowok="t" o:connecttype="custom" o:connectlocs="0,0;25,0" o:connectangles="0,0"/>
                  </v:shape>
                </v:group>
                <v:group id="Group 8573" o:spid="_x0000_s1522" style="position:absolute;left:6993;top:3406;width:25;height:2" coordorigin="6993,340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9QNssQAAADeAAAA&#10;DwAAAAAAAAAAAAAAAACqAgAAZHJzL2Rvd25yZXYueG1sUEsFBgAAAAAEAAQA+gAAAJsDAAAAAA==&#10;">
                  <v:shape id="Freeform 8574" o:spid="_x0000_s1523" style="position:absolute;left:6993;top:340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KBsIA&#10;AADeAAAADwAAAGRycy9kb3ducmV2LnhtbERPS4vCMBC+C/sfwgjeNFXcRappkRVBbz4W9jo0Y1va&#10;TEoSa/33RljY23x8z9nkg2lFT87XlhXMZwkI4sLqmksFP9f9dAXCB2SNrWVS8CQPefYx2mCq7YPP&#10;1F9CKWII+xQVVCF0qZS+qMign9mOOHI36wyGCF0ptcNHDDetXCTJlzRYc2yosKPviormcjcKmtDt&#10;7ubcHH+vvHT96bk9mPKk1GQ8bNcgAg3hX/znPug4f7VYfsL7nXiDz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igoGwgAAAN4AAAAPAAAAAAAAAAAAAAAAAJgCAABkcnMvZG93&#10;bnJldi54bWxQSwUGAAAAAAQABAD1AAAAhwMAAAAA&#10;" path="m,l25,e" filled="f" strokeweight=".02442mm">
                    <v:path arrowok="t" o:connecttype="custom" o:connectlocs="0,0;25,0" o:connectangles="0,0"/>
                  </v:shape>
                </v:group>
                <v:group id="Group 8571" o:spid="_x0000_s1524" style="position:absolute;left:6993;top:3269;width:25;height:2" coordorigin="6993,3269"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Eo2XsQAAADeAAAA&#10;DwAAAAAAAAAAAAAAAACqAgAAZHJzL2Rvd25yZXYueG1sUEsFBgAAAAAEAAQA+gAAAJsDAAAAAA==&#10;">
                  <v:shape id="Freeform 8572" o:spid="_x0000_s1525" style="position:absolute;left:6993;top:3269;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Qx6sIA&#10;AADeAAAADwAAAGRycy9kb3ducmV2LnhtbERPS4vCMBC+C/sfwgjeNFVkV6ppkRVBbz4W9jo0Y1va&#10;TEoSa/33RljY23x8z9nkg2lFT87XlhXMZwkI4sLqmksFP9f9dAXCB2SNrWVS8CQPefYx2mCq7YPP&#10;1F9CKWII+xQVVCF0qZS+qMign9mOOHI36wyGCF0ptcNHDDetXCTJpzRYc2yosKPviormcjcKmtDt&#10;7ubcHH+vvHT96bk9mPKk1GQ8bNcgAg3hX/znPug4f7VYfsH7nXiDz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DHqwgAAAN4AAAAPAAAAAAAAAAAAAAAAAJgCAABkcnMvZG93&#10;bnJldi54bWxQSwUGAAAAAAQABAD1AAAAhwMAAAAA&#10;" path="m,l25,e" filled="f" strokeweight=".02442mm">
                    <v:path arrowok="t" o:connecttype="custom" o:connectlocs="0,0;25,0" o:connectangles="0,0"/>
                  </v:shape>
                </v:group>
                <v:group id="Group 8569" o:spid="_x0000_s1526" style="position:absolute;left:7357;top:4787;width:2;height:25" coordorigin="7357,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KZB7fIAAAA&#10;3gAAAA8AAAAAAAAAAAAAAAAAqgIAAGRycy9kb3ducmV2LnhtbFBLBQYAAAAABAAEAPoAAACfAwAA&#10;AAA=&#10;">
                  <v:shape id="Freeform 8570" o:spid="_x0000_s1527" style="position:absolute;left:7357;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skWsUA&#10;AADeAAAADwAAAGRycy9kb3ducmV2LnhtbERPS2sCMRC+F/ofwgi91awiYlejSLFQimB9HDyOm3E3&#10;uJksm+jGf2+EQm/z8T1ntoi2FjdqvXGsYNDPQBAXThsuFRz2X+8TED4ga6wdk4I7eVjMX19mmGvX&#10;8ZZuu1CKFMI+RwVVCE0upS8qsuj7riFO3Nm1FkOCbSl1i10Kt7UcZtlYWjScGips6LOi4rK7WgXx&#10;cF3fB+Nt91ua0yrbrI7mJ46UeuvF5RREoBj+xX/ub53mT4ajD3i+k26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GyRaxQAAAN4AAAAPAAAAAAAAAAAAAAAAAJgCAABkcnMv&#10;ZG93bnJldi54bWxQSwUGAAAAAAQABAD1AAAAigMAAAAA&#10;" path="m,25l,e" filled="f" strokeweight=".02442mm">
                    <v:path arrowok="t" o:connecttype="custom" o:connectlocs="0,4812;0,4787" o:connectangles="0,0"/>
                  </v:shape>
                </v:group>
                <v:group id="Group 8567" o:spid="_x0000_s1528" style="position:absolute;left:7695;top:4787;width:2;height:25" coordorigin="7695,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Nk2nWzIAAAA&#10;3gAAAA8AAAAAAAAAAAAAAAAAqgIAAGRycy9kb3ducmV2LnhtbFBLBQYAAAAABAAEAPoAAACfAwAA&#10;AAA=&#10;">
                  <v:shape id="Freeform 8568" o:spid="_x0000_s1529" style="position:absolute;left:7695;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S+gcUA&#10;AADeAAAADwAAAGRycy9kb3ducmV2LnhtbERPS2sCMRC+F/ofwhR6q9mVKrIapRQLpRR81EOP42bc&#10;DW4myya68d8bQfA2H99zZotoG3GmzhvHCvJBBoK4dNpwpWD39/U2AeEDssbGMSm4kIfF/PlphoV2&#10;PW/ovA2VSCHsC1RQh9AWUvqyJot+4FrixB1cZzEk2FVSd9incNvIYZaNpUXDqaHGlj5rKo/bk1UQ&#10;d6ffSz7e9OvK7JfZavlvfuK7Uq8v8WMKIlAMD/Hd/a3T/MlwlMPtnXSD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tL6BxQAAAN4AAAAPAAAAAAAAAAAAAAAAAJgCAABkcnMv&#10;ZG93bnJldi54bWxQSwUGAAAAAAQABAD1AAAAigMAAAAA&#10;" path="m,25l,e" filled="f" strokeweight=".02442mm">
                    <v:path arrowok="t" o:connecttype="custom" o:connectlocs="0,4812;0,4787" o:connectangles="0,0"/>
                  </v:shape>
                </v:group>
                <v:group id="Group 8565" o:spid="_x0000_s1530" style="position:absolute;left:8033;top:4787;width:2;height:25" coordorigin="8033,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qimgMQAAADeAAAADwAAAGRycy9kb3ducmV2LnhtbERPTYvCMBC9L/gfwgje&#10;1rQVF6lGEVHxIMLqwuJtaMa22ExKE9v6742wsLd5vM9ZrHpTiZYaV1pWEI8jEMSZ1SXnCn4uu88Z&#10;COeRNVaWScGTHKyWg48Fptp2/E3t2ecihLBLUUHhfZ1K6bKCDLqxrYkDd7ONQR9gk0vdYBfCTSWT&#10;KPqSBksODQXWtCkou58fRsG+w249ibft8X7bPK+X6en3GJNSo2G/noPw1Pt/8Z/7oMP8WTJN4P1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qimgMQAAADeAAAA&#10;DwAAAAAAAAAAAAAAAACqAgAAZHJzL2Rvd25yZXYueG1sUEsFBgAAAAAEAAQA+gAAAJsDAAAAAA==&#10;">
                  <v:shape id="Freeform 8566" o:spid="_x0000_s1531" style="position:absolute;left:8033;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qFbcUA&#10;AADeAAAADwAAAGRycy9kb3ducmV2LnhtbERPTWsCMRC9C/6HMEJvmtW2IqtRRCyUIrRrPfQ4bqa7&#10;oZvJsolu/PemUOhtHu9zVptoG3GlzhvHCqaTDARx6bThSsHp82W8AOEDssbGMSm4kYfNejhYYa5d&#10;zwVdj6ESKYR9jgrqENpcSl/WZNFPXEucuG/XWQwJdpXUHfYp3DZylmVzadFwaqixpV1N5c/xYhXE&#10;0+Vwm86L/qMy5332vv8yb/FJqYdR3C5BBIrhX/znftVp/mL2/Ai/76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KoVtxQAAAN4AAAAPAAAAAAAAAAAAAAAAAJgCAABkcnMv&#10;ZG93bnJldi54bWxQSwUGAAAAAAQABAD1AAAAigMAAAAA&#10;" path="m,25l,e" filled="f" strokeweight=".02442mm">
                    <v:path arrowok="t" o:connecttype="custom" o:connectlocs="0,4812;0,4787" o:connectangles="0,0"/>
                  </v:shape>
                </v:group>
                <v:group id="Group 8563" o:spid="_x0000_s1532" style="position:absolute;left:8370;top:4787;width:2;height:25" coordorigin="8370,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g2bb8QAAADeAAAA&#10;DwAAAAAAAAAAAAAAAACqAgAAZHJzL2Rvd25yZXYueG1sUEsFBgAAAAAEAAQA+gAAAJsDAAAAAA==&#10;">
                  <v:shape id="Freeform 8564" o:spid="_x0000_s1533" style="position:absolute;left:8370;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4gsQA&#10;AADeAAAADwAAAGRycy9kb3ducmV2LnhtbERPTWsCMRC9F/wPYQRvNatUkdUoRRSKCFbrweN0M90N&#10;3UyWTXTjvzdCobd5vM9ZrKKtxY1abxwrGA0zEMSF04ZLBeev7esMhA/IGmvHpOBOHlbL3ssCc+06&#10;PtLtFEqRQtjnqKAKocml9EVFFv3QNcSJ+3GtxZBgW0rdYpfCbS3HWTaVFg2nhgobWldU/J6uVkE8&#10;X/f30fTYfZbme5MdNhezi29KDfrxfQ4iUAz/4j/3h07zZ+PJBJ7vpBv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PuILEAAAA3gAAAA8AAAAAAAAAAAAAAAAAmAIAAGRycy9k&#10;b3ducmV2LnhtbFBLBQYAAAAABAAEAPUAAACJAwAAAAA=&#10;" path="m,25l,e" filled="f" strokeweight=".02442mm">
                    <v:path arrowok="t" o:connecttype="custom" o:connectlocs="0,4812;0,4787" o:connectangles="0,0"/>
                  </v:shape>
                </v:group>
                <v:group id="Group 8561" o:spid="_x0000_s1534" style="position:absolute;left:8708;top:4787;width:2;height:25" coordorigin="8708,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5k6CDwwAAAN4AAAAP&#10;AAAAAAAAAAAAAAAAAKoCAABkcnMvZG93bnJldi54bWxQSwUGAAAAAAQABAD6AAAAmgMAAAAA&#10;">
                  <v:shape id="Freeform 8562" o:spid="_x0000_s1535" style="position:absolute;left:8708;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GDbsUA&#10;AADeAAAADwAAAGRycy9kb3ducmV2LnhtbERPTWsCMRC9C/6HMEJvNau0VlajiFgoRWjXeuhx3Ex3&#10;QzeTZRPd+O9NoeBtHu9zlutoG3GhzhvHCibjDARx6bThSsHx6/VxDsIHZI2NY1JwJQ/r1XCwxFy7&#10;ngu6HEIlUgj7HBXUIbS5lL6syaIfu5Y4cT+usxgS7CqpO+xTuG3kNMtm0qLh1FBjS9uayt/D2SqI&#10;x/P+OpkV/WdlTrvsY/dt3uOTUg+juFmACBTDXfzvftNp/nz6/AJ/76Qb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EYNuxQAAAN4AAAAPAAAAAAAAAAAAAAAAAJgCAABkcnMv&#10;ZG93bnJldi54bWxQSwUGAAAAAAQABAD1AAAAigMAAAAA&#10;" path="m,25l,e" filled="f" strokeweight=".02442mm">
                    <v:path arrowok="t" o:connecttype="custom" o:connectlocs="0,4812;0,4787" o:connectangles="0,0"/>
                  </v:shape>
                </v:group>
                <v:group id="Group 8559" o:spid="_x0000_s1536" style="position:absolute;left:9045;top:4787;width:2;height:25" coordorigin="9045,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dAkWrIAAAA&#10;3gAAAA8AAAAAAAAAAAAAAAAAqgIAAGRycy9kb3ducmV2LnhtbFBLBQYAAAAABAAEAPoAAACfAwAA&#10;AAA=&#10;">
                  <v:shape id="Freeform 8560" o:spid="_x0000_s1537" style="position:absolute;left:9045;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Kyh8UA&#10;AADeAAAADwAAAGRycy9kb3ducmV2LnhtbERPTWsCMRC9C/6HMIXeNKu0YrdGEVEQEazWQ4/TzXQ3&#10;dDNZNtGN/74RhN7m8T5ntoi2FldqvXGsYDTMQBAXThsuFZw/N4MpCB+QNdaOScGNPCzm/d4Mc+06&#10;PtL1FEqRQtjnqKAKocml9EVFFv3QNcSJ+3GtxZBgW0rdYpfCbS3HWTaRFg2nhgobWlVU/J4uVkE8&#10;X/a30eTYfZTme50d1l9mF1+Uen6Ky3cQgWL4Fz/cW53mT8evb3B/J90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wrKHxQAAAN4AAAAPAAAAAAAAAAAAAAAAAJgCAABkcnMv&#10;ZG93bnJldi54bWxQSwUGAAAAAAQABAD1AAAAigMAAAAA&#10;" path="m,25l,e" filled="f" strokeweight=".02442mm">
                    <v:path arrowok="t" o:connecttype="custom" o:connectlocs="0,4812;0,4787" o:connectangles="0,0"/>
                  </v:shape>
                </v:group>
                <v:group id="Group 8557" o:spid="_x0000_s1538" style="position:absolute;left:9384;top:4787;width:2;height:25" coordorigin="9384,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BdaV9HIAAAA&#10;3gAAAA8AAAAAAAAAAAAAAAAAqgIAAGRycy9kb3ducmV2LnhtbFBLBQYAAAAABAAEAPoAAACfAwAA&#10;AAA=&#10;">
                  <v:shape id="Freeform 8558" o:spid="_x0000_s1539" style="position:absolute;left:9384;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h0PMQA&#10;AADeAAAADwAAAGRycy9kb3ducmV2LnhtbERP32vCMBB+H+x/CDfwbaaVUaQaRcTBGILT+bDHsznb&#10;YHMpTbTxvzeDwd7u4/t582W0rbhR741jBfk4A0FcOW24VnD8fn+dgvABWWPrmBTcycNy8fw0x1K7&#10;gfd0O4RapBD2JSpoQuhKKX3VkEU/dh1x4s6utxgS7GupexxSuG3lJMsKadFwamiwo3VD1eVwtQri&#10;8bq958V++KrNaZPtNj/mM74pNXqJqxmIQDH8i//cHzrNn06KHH7fSTf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YdDzEAAAA3gAAAA8AAAAAAAAAAAAAAAAAmAIAAGRycy9k&#10;b3ducmV2LnhtbFBLBQYAAAAABAAEAPUAAACJAwAAAAA=&#10;" path="m,25l,e" filled="f" strokeweight=".02442mm">
                    <v:path arrowok="t" o:connecttype="custom" o:connectlocs="0,4812;0,4787" o:connectangles="0,0"/>
                  </v:shape>
                </v:group>
                <v:group id="Group 8555" o:spid="_x0000_s1540" style="position:absolute;left:9721;top:4787;width:2;height:25" coordorigin="9721,4787"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MRsPcQAAADeAAAADwAAAGRycy9kb3ducmV2LnhtbERPTYvCMBC9L/gfwgje&#10;1rSVFalGEVHxIMLqwuJtaMa22ExKE9v6782CsLd5vM9ZrHpTiZYaV1pWEI8jEMSZ1SXnCn4uu88Z&#10;COeRNVaWScGTHKyWg48Fptp2/E3t2ecihLBLUUHhfZ1K6bKCDLqxrYkDd7ONQR9gk0vdYBfCTSWT&#10;KJpKgyWHhgJr2hSU3c8Po2DfYbeexNv2eL9tntfL1+n3GJNSo2G/noPw1Pt/8dt90GH+LJkm8Pd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MRsPcQAAADeAAAA&#10;DwAAAAAAAAAAAAAAAACqAgAAZHJzL2Rvd25yZXYueG1sUEsFBgAAAAAEAAQA+gAAAJsDAAAAAA==&#10;">
                  <v:shape id="Freeform 8556" o:spid="_x0000_s1541" style="position:absolute;left:9721;top:4787;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ZP0MUA&#10;AADeAAAADwAAAGRycy9kb3ducmV2LnhtbERPS2sCMRC+C/0PYQq9aVZbFlmNUoqFUgo+6qHHcTPu&#10;BjeTZRPd+O8bQfA2H99z5stoG3GhzhvHCsajDARx6bThSsH+93M4BeEDssbGMSm4kofl4mkwx0K7&#10;nrd02YVKpBD2BSqoQ2gLKX1Zk0U/ci1x4o6usxgS7CqpO+xTuG3kJMtyadFwaqixpY+aytPubBXE&#10;/fnnOs63/aYyh1W2Xv2Z7/im1MtzfJ+BCBTDQ3x3f+k0fzrJX+H2TrpBL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Rk/QxQAAAN4AAAAPAAAAAAAAAAAAAAAAAJgCAABkcnMv&#10;ZG93bnJldi54bWxQSwUGAAAAAAQABAD1AAAAigMAAAAA&#10;" path="m,25l,e" filled="f" strokeweight=".02442mm">
                    <v:path arrowok="t" o:connecttype="custom" o:connectlocs="0,4812;0,4787" o:connectangles="0,0"/>
                  </v:shape>
                </v:group>
                <v:group id="Group 8553" o:spid="_x0000_s1542" style="position:absolute;left:7027;top:3902;width:50;height:50" coordorigin="7027,390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GFR0sQAAADeAAAA&#10;DwAAAAAAAAAAAAAAAACqAgAAZHJzL2Rvd25yZXYueG1sUEsFBgAAAAAEAAQA+gAAAJsDAAAAAA==&#10;">
                  <v:shape id="Freeform 8554" o:spid="_x0000_s1543" style="position:absolute;left:7027;top:390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w3ucMA&#10;AADeAAAADwAAAGRycy9kb3ducmV2LnhtbERPTYvCMBC9L/gfwgje1lRB0WoUEYRF9rIqiLdJM7bF&#10;ZlKSbO3++83Cgrd5vM9Zb3vbiI58qB0rmIwzEMSFMzWXCi7nw/sCRIjIBhvHpOCHAmw3g7c15sY9&#10;+Yu6UyxFCuGQo4IqxjaXMhQVWQxj1xIn7u68xZigL6Xx+EzhtpHTLJtLizWnhgpb2ldUPE7fVsG9&#10;v+0n0R61xuts6bQO2nefSo2G/W4FIlIfX+J/94dJ8xfT+Qz+3kk3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w3ucMAAADeAAAADwAAAAAAAAAAAAAAAACYAgAAZHJzL2Rv&#10;d25yZXYueG1sUEsFBgAAAAAEAAQA9QAAAIgDAAAAAA==&#10;" path="m25,l,24,25,49,49,24,25,xe" fillcolor="navy" stroked="f">
                    <v:path arrowok="t" o:connecttype="custom" o:connectlocs="25,3902;0,3926;25,3951;49,3926;25,3902" o:connectangles="0,0,0,0,0"/>
                  </v:shape>
                </v:group>
                <v:group id="Group 8551" o:spid="_x0000_s1544" style="position:absolute;left:7027;top:3902;width:50;height:50" coordorigin="7027,390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9qPsQAAADeAAAADwAAAGRycy9kb3ducmV2LnhtbERPTYvCMBC9L/gfwgje&#10;1rTKFqlGEVHxIMLqwuJtaMa22ExKE9v6782CsLd5vM9ZrHpTiZYaV1pWEI8jEMSZ1SXnCn4uu88Z&#10;COeRNVaWScGTHKyWg48Fptp2/E3t2ecihLBLUUHhfZ1K6bKCDLqxrYkDd7ONQR9gk0vdYBfCTSUn&#10;UZRIgyWHhgJr2hSU3c8Po2DfYbeextv2eL9tntfL1+n3GJNSo2G/noPw1Pt/8dt90GH+bJIk8Pd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9qPsQAAADeAAAA&#10;DwAAAAAAAAAAAAAAAACqAgAAZHJzL2Rvd25yZXYueG1sUEsFBgAAAAAEAAQA+gAAAJsDAAAAAA==&#10;">
                  <v:shape id="Freeform 8552" o:spid="_x0000_s1545" style="position:absolute;left:7027;top:390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6+icMA&#10;AADeAAAADwAAAGRycy9kb3ducmV2LnhtbERPTYvCMBC9C/sfwizsTVN7UOkaRYSFRfagVdzr0Ixt&#10;sZnUJtrWX28Ewds83ufMl52pxI0aV1pWMB5FIIgzq0vOFRz2P8MZCOeRNVaWSUFPDpaLj8EcE21b&#10;3tEt9bkIIewSVFB4XydSuqwgg25ka+LAnWxj0AfY5FI32IZwU8k4iibSYMmhocCa1gVl5/RqFJRm&#10;3+MlHt//D91Rp3/tprfbi1Jfn93qG4Snzr/FL/evDvNn8WQKz3fCDX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96+icMAAADeAAAADwAAAAAAAAAAAAAAAACYAgAAZHJzL2Rv&#10;d25yZXYueG1sUEsFBgAAAAAEAAQA9QAAAIgDAAAAAA==&#10;" path="m25,l49,24,25,49,,24,25,xe" filled="f" strokecolor="navy" strokeweight=".16742mm">
                    <v:path arrowok="t" o:connecttype="custom" o:connectlocs="25,3902;49,3926;25,3951;0,3926;25,3902" o:connectangles="0,0,0,0,0"/>
                  </v:shape>
                </v:group>
                <v:group id="Group 8549" o:spid="_x0000_s1546" style="position:absolute;left:7162;top:4085;width:50;height:50" coordorigin="7162,4085"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OksW9fIAAAA&#10;3gAAAA8AAAAAAAAAAAAAAAAAqgIAAGRycy9kb3ducmV2LnhtbFBLBQYAAAAABAAEAPoAAACfAwAA&#10;AAA=&#10;">
                  <v:shape id="Freeform 8550" o:spid="_x0000_s1547" style="position:absolute;left:7162;top:4085;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E9vMMA&#10;AADeAAAADwAAAGRycy9kb3ducmV2LnhtbERPTYvCMBC9L/gfwgh7W1OFFa1GEUFYFi+rC4u3STO2&#10;xWZSkljrv98Igrd5vM9ZrnvbiI58qB0rGI8yEMSFMzWXCn6Pu48ZiBCRDTaOScGdAqxXg7cl5sbd&#10;+Ie6QyxFCuGQo4IqxjaXMhQVWQwj1xIn7uy8xZigL6XxeEvhtpGTLJtKizWnhgpb2lZUXA5Xq+Dc&#10;n7bjaL+1xr/PudM6aN/tlXof9psFiEh9fImf7i+T5s8m0zk83kk3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E9vMMAAADeAAAADwAAAAAAAAAAAAAAAACYAgAAZHJzL2Rv&#10;d25yZXYueG1sUEsFBgAAAAAEAAQA9QAAAIgDAAAAAA==&#10;" path="m25,l,25,25,50,50,25,25,xe" fillcolor="navy" stroked="f">
                    <v:path arrowok="t" o:connecttype="custom" o:connectlocs="25,4085;0,4110;25,4135;50,4110;25,4085" o:connectangles="0,0,0,0,0"/>
                  </v:shape>
                </v:group>
                <v:group id="Group 8547" o:spid="_x0000_s1548" style="position:absolute;left:7162;top:4085;width:50;height:50" coordorigin="7162,4085"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JKDwQzIAAAA&#10;3gAAAA8AAAAAAAAAAAAAAAAAqgIAAGRycy9kb3ducmV2LnhtbFBLBQYAAAAABAAEAPoAAACfAwAA&#10;AAA=&#10;">
                  <v:shape id="Freeform 8548" o:spid="_x0000_s1549" style="position:absolute;left:7162;top:4085;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IVu8QA&#10;AADeAAAADwAAAGRycy9kb3ducmV2LnhtbERPTWvCQBC9F/oflil4q5vkoBLdBCkUpPRQo7TXITsm&#10;wexszK4m6a93hUJv83ifs8lH04ob9a6xrCCeRyCIS6sbrhQcD++vKxDOI2tsLZOCiRzk2fPTBlNt&#10;B97TrfCVCCHsUlRQe9+lUrqyJoNubjviwJ1sb9AH2FdS9ziEcNPKJIoW0mDDoaHGjt5qKs/F1Sho&#10;zGHCSxL//hzHb118Dh+T/booNXsZt2sQnkb/L/5z73SYv0qWMTzeCTf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iFbvEAAAA3gAAAA8AAAAAAAAAAAAAAAAAmAIAAGRycy9k&#10;b3ducmV2LnhtbFBLBQYAAAAABAAEAPUAAACJAwAAAAA=&#10;" path="m25,l50,25,25,50,,25,25,xe" filled="f" strokecolor="navy" strokeweight=".16742mm">
                    <v:path arrowok="t" o:connecttype="custom" o:connectlocs="25,4085;50,4110;25,4135;0,4110;25,4085" o:connectangles="0,0,0,0,0"/>
                  </v:shape>
                </v:group>
                <v:group id="Group 8545" o:spid="_x0000_s1550" style="position:absolute;left:7196;top:3964;width:50;height:50" coordorigin="7196,3964"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0d+uDFAAAA3gAA&#10;AA8AAAAAAAAAAAAAAAAAqgIAAGRycy9kb3ducmV2LnhtbFBLBQYAAAAABAAEAPoAAACcAwAAAAA=&#10;">
                  <v:shape id="Freeform 8546" o:spid="_x0000_s1551" style="position:absolute;left:7196;top:3964;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Cci8QA&#10;AADeAAAADwAAAGRycy9kb3ducmV2LnhtbERPTWsCMRC9C/0PYQreNKtiq6tRilAQ8VJbKL1NNuPu&#10;0s1kSdJ1/fdGEHqbx/uc9ba3jejIh9qxgsk4A0FcOFNzqeDr8320ABEissHGMSm4UoDt5mmwxty4&#10;C39Qd4qlSCEcclRQxdjmUoaiIoth7FrixJ2dtxgT9KU0Hi8p3DZymmUv0mLNqaHClnYVFb+nP6vg&#10;3P/sJtEetMbv+dJpHbTvjkoNn/u3FYhIffwXP9x7k+Yvpq8zuL+TbpC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wnIvEAAAA3gAAAA8AAAAAAAAAAAAAAAAAmAIAAGRycy9k&#10;b3ducmV2LnhtbFBLBQYAAAAABAAEAPUAAACJAwAAAAA=&#10;" path="m25,l,25,25,50,50,25,25,xe" fillcolor="navy" stroked="f">
                    <v:path arrowok="t" o:connecttype="custom" o:connectlocs="25,3964;0,3989;25,4014;50,3989;25,3964" o:connectangles="0,0,0,0,0"/>
                  </v:shape>
                </v:group>
                <v:group id="Group 8543" o:spid="_x0000_s1552" style="position:absolute;left:7196;top:3964;width:50;height:50" coordorigin="7196,3964"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24xw/FAAAA3gAA&#10;AA8AAAAAAAAAAAAAAAAAqgIAAGRycy9kb3ducmV2LnhtbFBLBQYAAAAABAAEAPoAAACcAwAAAAA=&#10;">
                  <v:shape id="Freeform 8544" o:spid="_x0000_s1553" style="position:absolute;left:7196;top:3964;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kTuMQA&#10;AADeAAAADwAAAGRycy9kb3ducmV2LnhtbERPTWvCQBC9C/0PyxS86cZANaSuUgoFKR40SnsdstMk&#10;NDsbs6tJ/PWuIHibx/uc5bo3tbhQ6yrLCmbTCARxbnXFhYLj4WuSgHAeWWNtmRQM5GC9ehktMdW2&#10;4z1dMl+IEMIuRQWl900qpctLMuimtiEO3J9tDfoA20LqFrsQbmoZR9FcGqw4NJTY0GdJ+X92Ngoq&#10;cxjwFM+uv8f+R2fb7nuwu5NS49f+4x2Ep94/xQ/3Rof5Sbx4g/s74Qa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2ZE7jEAAAA3gAAAA8AAAAAAAAAAAAAAAAAmAIAAGRycy9k&#10;b3ducmV2LnhtbFBLBQYAAAAABAAEAPUAAACJAwAAAAA=&#10;" path="m25,l50,25,25,50,,25,25,xe" filled="f" strokecolor="navy" strokeweight=".16742mm">
                    <v:path arrowok="t" o:connecttype="custom" o:connectlocs="25,3964;50,3989;25,4014;0,3989;25,3964" o:connectangles="0,0,0,0,0"/>
                  </v:shape>
                </v:group>
                <v:group id="Group 8541" o:spid="_x0000_s1554" style="position:absolute;left:7872;top:3492;width:50;height:50" coordorigin="7872,349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ib848QAAADeAAAA&#10;DwAAAAAAAAAAAAAAAACqAgAAZHJzL2Rvd25yZXYueG1sUEsFBgAAAAAEAAQA+gAAAJsDAAAAAA==&#10;">
                  <v:shape id="Freeform 8542" o:spid="_x0000_s1555" style="position:absolute;left:7872;top:349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uaiMMA&#10;AADeAAAADwAAAGRycy9kb3ducmV2LnhtbERPS2sCMRC+F/wPYYTealbB12oUEQpSvGgL4m2yGXcX&#10;N5MlSdftv2+EQm/z8T1nve1tIzryoXasYDzKQBAXztRcKvj6fH9bgAgR2WDjmBT8UIDtZvCyxty4&#10;B5+oO8dSpBAOOSqoYmxzKUNRkcUwci1x4m7OW4wJ+lIaj48Ubhs5ybKZtFhzaqiwpX1Fxf38bRXc&#10;+ut+HO2H1niZLp3WQfvuqNTrsN+tQETq47/4z30waf5iMp/D8510g9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uaiMMAAADeAAAADwAAAAAAAAAAAAAAAACYAgAAZHJzL2Rv&#10;d25yZXYueG1sUEsFBgAAAAAEAAQA9QAAAIgDAAAAAA==&#10;" path="m25,l,25,25,50,50,25,25,xe" fillcolor="navy" stroked="f">
                    <v:path arrowok="t" o:connecttype="custom" o:connectlocs="25,3492;0,3517;25,3542;50,3517;25,3492" o:connectangles="0,0,0,0,0"/>
                  </v:shape>
                </v:group>
                <v:group id="Group 8539" o:spid="_x0000_s1556" style="position:absolute;left:7872;top:3492;width:50;height:50" coordorigin="7872,3492"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Gz1zQrIAAAA&#10;3gAAAA8AAAAAAAAAAAAAAAAAqgIAAGRycy9kb3ducmV2LnhtbFBLBQYAAAAABAAEAPoAAACfAwAA&#10;AAA=&#10;">
                  <v:shape id="Freeform 8540" o:spid="_x0000_s1557" style="position:absolute;left:7872;top:3492;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QZvcUA&#10;AADeAAAADwAAAGRycy9kb3ducmV2LnhtbERPTWvCQBC9C/0PyxS86cYcrE3dhFIoFPFQo7TXITsm&#10;wexszK4m8de7hYK3ebzPWWeDacSVOldbVrCYRyCIC6trLhUc9p+zFQjnkTU2lknBSA6y9GmyxkTb&#10;nnd0zX0pQgi7BBVU3reJlK6oyKCb25Y4cEfbGfQBdqXUHfYh3DQyjqKlNFhzaKiwpY+KilN+MQpq&#10;sx/xHC9uv4fhR+fbfjPa77NS0+fh/Q2Ep8E/xP/uLx3mr+KXV/h7J9wg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1Bm9xQAAAN4AAAAPAAAAAAAAAAAAAAAAAJgCAABkcnMv&#10;ZG93bnJldi54bWxQSwUGAAAAAAQABAD1AAAAigMAAAAA&#10;" path="m25,l50,25,25,50,,25,25,xe" filled="f" strokecolor="navy" strokeweight=".16742mm">
                    <v:path arrowok="t" o:connecttype="custom" o:connectlocs="25,3492;50,3517;25,3542;0,3517;25,3492" o:connectangles="0,0,0,0,0"/>
                  </v:shape>
                </v:group>
                <v:group id="Group 8537" o:spid="_x0000_s1558" style="position:absolute;left:7905;top:3637;width:50;height:50" coordorigin="7905,363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1axK8cAAADe&#10;AAAADwAAAAAAAAAAAAAAAACqAgAAZHJzL2Rvd25yZXYueG1sUEsFBgAAAAAEAAQA+gAAAJ4DAAAA&#10;AA==&#10;">
                  <v:shape id="Freeform 8538" o:spid="_x0000_s1559" style="position:absolute;left:7905;top:363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XQMMA&#10;AADeAAAADwAAAGRycy9kb3ducmV2LnhtbERP32vCMBB+H+x/CCf4NtMKjq4aRYTBEF/mBNnbpTnb&#10;YnMpSVbrf28Gg73dx/fzVpvRdmIgH1rHCvJZBoK4cqblWsHp6/2lABEissHOMSm4U4DN+vlphaVx&#10;N/6k4RhrkUI4lKigibEvpQxVQxbDzPXEibs4bzEm6GtpPN5SuO3kPMtepcWWU0ODPe0aqq7HH6vg&#10;Mn7v8mj3WuN58ea0DtoPB6Wmk3G7BBFpjP/iP/eHSfOLeZHD7zvpBr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vXQMMAAADeAAAADwAAAAAAAAAAAAAAAACYAgAAZHJzL2Rv&#10;d25yZXYueG1sUEsFBgAAAAAEAAQA9QAAAIgDAAAAAA==&#10;" path="m25,l,25,25,50,50,25,25,xe" fillcolor="navy" stroked="f">
                    <v:path arrowok="t" o:connecttype="custom" o:connectlocs="25,3637;0,3662;25,3687;50,3662;25,3637" o:connectangles="0,0,0,0,0"/>
                  </v:shape>
                </v:group>
                <v:group id="Group 8535" o:spid="_x0000_s1560" style="position:absolute;left:7905;top:3637;width:50;height:50" coordorigin="7905,3637"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MiKx8QAAADeAAAA&#10;DwAAAAAAAAAAAAAAAACqAgAAZHJzL2Rvd25yZXYueG1sUEsFBgAAAAAEAAQA+gAAAJsDAAAAAA==&#10;">
                  <v:shape id="Freeform 8536" o:spid="_x0000_s1561" style="position:absolute;left:7905;top:3637;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ecMQA&#10;AADeAAAADwAAAGRycy9kb3ducmV2LnhtbERPTWvCQBC9C/6HZYTedGMKJaRuQhGEIh5qFL0O2WkS&#10;mp2N2a1J+uvdQqG3ebzP2eSjacWdetdYVrBeRSCIS6sbrhScT7tlAsJ5ZI2tZVIwkYM8m882mGo7&#10;8JHuha9ECGGXooLa+y6V0pU1GXQr2xEH7tP2Bn2AfSV1j0MIN62Mo+hFGmw4NNTY0bam8qv4Ngoa&#10;c5rwFq9/rufxoovDsJ/sx02pp8X49grC0+j/xX/udx3mJ3HyDL/vhBtk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pXnDEAAAA3gAAAA8AAAAAAAAAAAAAAAAAmAIAAGRycy9k&#10;b3ducmV2LnhtbFBLBQYAAAAABAAEAPUAAACJAwAAAAA=&#10;" path="m25,l50,25,25,50,,25,25,xe" filled="f" strokecolor="navy" strokeweight=".16742mm">
                    <v:path arrowok="t" o:connecttype="custom" o:connectlocs="25,3637;50,3662;25,3687;0,3662;25,3637" o:connectangles="0,0,0,0,0"/>
                  </v:shape>
                </v:group>
                <v:group id="Group 8533" o:spid="_x0000_s1562" style="position:absolute;left:8648;top:3751;width:50;height:50" coordorigin="8648,3751"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httyjFAAAA3gAA&#10;AA8AAAAAAAAAAAAAAAAAqgIAAGRycy9kb3ducmV2LnhtbFBLBQYAAAAABAAEAPoAAACcAwAAAAA=&#10;">
                  <v:shape id="Freeform 8534" o:spid="_x0000_s1563" style="position:absolute;left:8648;top:3751;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DRQ8MA&#10;AADeAAAADwAAAGRycy9kb3ducmV2LnhtbERPS2sCMRC+F/wPYYTealZB2W6NUgRBpBcfUHqbbMbd&#10;pZvJksR1++8bQfA2H99zluvBtqInHxrHCqaTDARx6UzDlYLzafuWgwgR2WDrmBT8UYD1avSyxMK4&#10;Gx+oP8ZKpBAOBSqoY+wKKUNZk8UwcR1x4i7OW4wJ+koaj7cUbls5y7KFtNhwaqixo01N5e/xahVc&#10;hp/NNNq91vg9f3daB+37L6Vex8PnB4hIQ3yKH+6dSfPzWT6H+zvpBrn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DRQ8MAAADeAAAADwAAAAAAAAAAAAAAAACYAgAAZHJzL2Rv&#10;d25yZXYueG1sUEsFBgAAAAAEAAQA9QAAAIgDAAAAAA==&#10;" path="m25,l,25,25,50,50,25,25,xe" fillcolor="navy" stroked="f">
                    <v:path arrowok="t" o:connecttype="custom" o:connectlocs="25,3751;0,3776;25,3801;50,3776;25,3751" o:connectangles="0,0,0,0,0"/>
                  </v:shape>
                </v:group>
                <v:group id="Group 8531" o:spid="_x0000_s1564" style="position:absolute;left:8648;top:3751;width:50;height:50" coordorigin="8648,3751"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MxMQAAADeAAAADwAAAGRycy9kb3ducmV2LnhtbERPTYvCMBC9L/gfwgje&#10;1rTKSqlGEVHxIMLqwuJtaMa22ExKE9v6782CsLd5vM9ZrHpTiZYaV1pWEI8jEMSZ1SXnCn4uu88E&#10;hPPIGivLpOBJDlbLwccCU207/qb27HMRQtilqKDwvk6ldFlBBt3Y1sSBu9nGoA+wyaVusAvhppKT&#10;KJpJgyWHhgJr2hSU3c8Po2DfYbeextv2eL9tntfL1+n3GJNSo2G/noPw1Pt/8dt90GF+Mklm8Pd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OMxMQAAADeAAAA&#10;DwAAAAAAAAAAAAAAAACqAgAAZHJzL2Rvd25yZXYueG1sUEsFBgAAAAAEAAQA+gAAAJsDAAAAAA==&#10;">
                  <v:shape id="Freeform 8532" o:spid="_x0000_s1565" style="position:absolute;left:8648;top:3751;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JYc8QA&#10;AADeAAAADwAAAGRycy9kb3ducmV2LnhtbERPTWvCQBC9C/6HZYTedGMObUjdhCIIRTzUKHodstMk&#10;NDsbs1uT9Ne7hUJv83ifs8lH04o79a6xrGC9ikAQl1Y3XCk4n3bLBITzyBpby6RgIgd5Np9tMNV2&#10;4CPdC1+JEMIuRQW1910qpStrMuhWtiMO3KftDfoA+0rqHocQbloZR9GzNNhwaKixo21N5VfxbRQ0&#10;5jThLV7/XM/jRReHYT/Zj5tST4vx7RWEp9H/i//c7zrMT+LkBX7fCTfI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SWHPEAAAA3gAAAA8AAAAAAAAAAAAAAAAAmAIAAGRycy9k&#10;b3ducmV2LnhtbFBLBQYAAAAABAAEAPUAAACJAwAAAAA=&#10;" path="m25,l50,25,25,50,,25,25,xe" filled="f" strokecolor="navy" strokeweight=".16742mm">
                    <v:path arrowok="t" o:connecttype="custom" o:connectlocs="25,3751;50,3776;25,3801;0,3776;25,3751" o:connectangles="0,0,0,0,0"/>
                  </v:shape>
                </v:group>
                <v:group id="Group 8529" o:spid="_x0000_s1566" style="position:absolute;left:8683;top:3418;width:50;height:50" coordorigin="8683,3418"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SC9LccAAADe&#10;AAAADwAAAAAAAAAAAAAAAACqAgAAZHJzL2Rvd25yZXYueG1sUEsFBgAAAAAEAAQA+gAAAJ4DAAAA&#10;AA==&#10;">
                  <v:shape id="Freeform 8530" o:spid="_x0000_s1567" style="position:absolute;left:8683;top:3418;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3bRsMA&#10;AADeAAAADwAAAGRycy9kb3ducmV2LnhtbERP32vCMBB+H/g/hBN8m6mCo1ajiCAM2cucIL5dmrMt&#10;NpeSZLX+98tgsLf7+H7eejvYVvTkQ+NYwWyagSAunWm4UnD+OrzmIEJENtg6JgVPCrDdjF7WWBj3&#10;4E/qT7ESKYRDgQrqGLtCylDWZDFMXUecuJvzFmOCvpLG4yOF21bOs+xNWmw4NdTY0b6m8n76tgpu&#10;w3U/i/aoNV4WS6d10L7/UGoyHnYrEJGG+C/+c7+bND+f50v4fSfd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I3bRsMAAADeAAAADwAAAAAAAAAAAAAAAACYAgAAZHJzL2Rv&#10;d25yZXYueG1sUEsFBgAAAAAEAAQA9QAAAIgDAAAAAA==&#10;" path="m25,l,25,25,50,49,25,25,xe" fillcolor="navy" stroked="f">
                    <v:path arrowok="t" o:connecttype="custom" o:connectlocs="25,3418;0,3443;25,3468;49,3443;25,3418" o:connectangles="0,0,0,0,0"/>
                  </v:shape>
                </v:group>
                <v:group id="Group 8527" o:spid="_x0000_s1568" style="position:absolute;left:8683;top:3418;width:50;height:50" coordorigin="8683,3418"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KPJ/bIAAAA&#10;3gAAAA8AAAAAAAAAAAAAAAAAqgIAAGRycy9kb3ducmV2LnhtbFBLBQYAAAAABAAEAPoAAACfAwAA&#10;AAA=&#10;">
                  <v:shape id="Freeform 8528" o:spid="_x0000_s1569" style="position:absolute;left:8683;top:3418;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7zQcQA&#10;AADeAAAADwAAAGRycy9kb3ducmV2LnhtbERPTWvCQBC9F/wPywi91U1yKJq6ShEEEQ82Br0O2WkS&#10;mp2N2dUk/vpuoeBtHu9zluvBNOJOnastK4hnEQjiwuqaSwX5afs2B+E8ssbGMikYycF6NXlZYqpt&#10;z190z3wpQgi7FBVU3replK6oyKCb2ZY4cN+2M+gD7EqpO+xDuGlkEkXv0mDNoaHCljYVFT/ZzSio&#10;zWnEaxI/Lvlw1tmh34/2eFXqdTp8foDwNPin+N+902H+PFnE8PdOuEG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u80HEAAAA3gAAAA8AAAAAAAAAAAAAAAAAmAIAAGRycy9k&#10;b3ducmV2LnhtbFBLBQYAAAAABAAEAPUAAACJAwAAAAA=&#10;" path="m25,l49,25,25,50,,25,25,xe" filled="f" strokecolor="navy" strokeweight=".16742mm">
                    <v:path arrowok="t" o:connecttype="custom" o:connectlocs="25,3418;49,3443;25,3468;0,3443;25,3418" o:connectangles="0,0,0,0,0"/>
                  </v:shape>
                </v:group>
                <v:group id="Group 8525" o:spid="_x0000_s1570" style="position:absolute;left:9425;top:4213;width:50;height:50" coordorigin="9425,4213"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REcGsQAAADeAAAA&#10;DwAAAAAAAAAAAAAAAACqAgAAZHJzL2Rvd25yZXYueG1sUEsFBgAAAAAEAAQA+gAAAJsDAAAAAA==&#10;">
                  <v:shape id="Freeform 8526" o:spid="_x0000_s1571" style="position:absolute;left:9425;top:4213;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x6ccMA&#10;AADeAAAADwAAAGRycy9kb3ducmV2LnhtbERPTWsCMRC9C/0PYQq9aVZLRVejiCBI8VIVSm+Tzbi7&#10;uJksSVy3/94UCt7m8T5nue5tIzryoXasYDzKQBAXztRcKjifdsMZiBCRDTaOScEvBVivXgZLzI27&#10;8xd1x1iKFMIhRwVVjG0uZSgqshhGriVO3MV5izFBX0rj8Z7CbSMnWTaVFmtODRW2tK2ouB5vVsGl&#10;/9mOo/3UGr8/5k7roH13UOrttd8sQETq41P8796bNH82mb/D3zvpBr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Lx6ccMAAADeAAAADwAAAAAAAAAAAAAAAACYAgAAZHJzL2Rv&#10;d25yZXYueG1sUEsFBgAAAAAEAAQA9QAAAIgDAAAAAA==&#10;" path="m25,l,25,25,50,50,25,25,xe" fillcolor="navy" stroked="f">
                    <v:path arrowok="t" o:connecttype="custom" o:connectlocs="25,4213;0,4238;25,4263;50,4238;25,4213" o:connectangles="0,0,0,0,0"/>
                  </v:shape>
                </v:group>
                <v:group id="Group 8523" o:spid="_x0000_s1572" style="position:absolute;left:9425;top:4213;width:50;height:50" coordorigin="9425,4213"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20IfXFAAAA3gAA&#10;AA8AAAAAAAAAAAAAAAAAqgIAAGRycy9kb3ducmV2LnhtbFBLBQYAAAAABAAEAPoAAACcAwAAAAA=&#10;">
                  <v:shape id="Freeform 8524" o:spid="_x0000_s1573" style="position:absolute;left:9425;top:4213;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X1QsQA&#10;AADeAAAADwAAAGRycy9kb3ducmV2LnhtbERPTWvCQBC9C/0PyxS86caAxaZuQikUinioUdrrkB2T&#10;YHY2ZleT+OvdQsHbPN7nrLPBNOJKnastK1jMIxDEhdU1lwoO+8/ZCoTzyBoby6RgJAdZ+jRZY6Jt&#10;zzu65r4UIYRdggoq79tESldUZNDNbUscuKPtDPoAu1LqDvsQbhoZR9GLNFhzaKiwpY+KilN+MQpq&#10;sx/xHC9uv4fhR+fbfjPa77NS0+fh/Q2Ep8E/xP/uLx3mr+LXJfy9E26Q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V9ULEAAAA3gAAAA8AAAAAAAAAAAAAAAAAmAIAAGRycy9k&#10;b3ducmV2LnhtbFBLBQYAAAAABAAEAPUAAACJAwAAAAA=&#10;" path="m25,l50,25,25,50,,25,25,xe" filled="f" strokecolor="navy" strokeweight=".16742mm">
                    <v:path arrowok="t" o:connecttype="custom" o:connectlocs="25,4213;50,4238;25,4263;0,4238;25,4213" o:connectangles="0,0,0,0,0"/>
                  </v:shape>
                </v:group>
                <v:group id="Group 8521" o:spid="_x0000_s1574" style="position:absolute;left:9459;top:4629;width:50;height:50" coordorigin="9459,4629"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ioaGcQAAADeAAAA&#10;DwAAAAAAAAAAAAAAAACqAgAAZHJzL2Rvd25yZXYueG1sUEsFBgAAAAAEAAQA+gAAAJsDAAAAAA==&#10;">
                  <v:shape id="Freeform 8522" o:spid="_x0000_s1575" style="position:absolute;left:9459;top:4629;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d8csMA&#10;AADeAAAADwAAAGRycy9kb3ducmV2LnhtbERPTWsCMRC9C/0PYQq9aVahVVejiCBI8VIVSm+Tzbi7&#10;uJksSVy3/94UCt7m8T5nue5tIzryoXasYDzKQBAXztRcKjifdsMZiBCRDTaOScEvBVivXgZLzI27&#10;8xd1x1iKFMIhRwVVjG0uZSgqshhGriVO3MV5izFBX0rj8Z7CbSMnWfYhLdacGipsaVtRcT3erIJL&#10;/7MdR/upNX6/z53WQfvuoNTba79ZgIjUx6f43703af5sMp/C3zvpBr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4d8csMAAADeAAAADwAAAAAAAAAAAAAAAACYAgAAZHJzL2Rv&#10;d25yZXYueG1sUEsFBgAAAAAEAAQA9QAAAIgDAAAAAA==&#10;" path="m25,l,24,25,49,50,24,25,xe" fillcolor="navy" stroked="f">
                    <v:path arrowok="t" o:connecttype="custom" o:connectlocs="25,4629;0,4653;25,4678;50,4653;25,4629" o:connectangles="0,0,0,0,0"/>
                  </v:shape>
                </v:group>
                <v:group id="Group 8519" o:spid="_x0000_s1576" style="position:absolute;left:9459;top:4629;width:50;height:50" coordorigin="9459,4629"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Nz5K/DIAAAA&#10;3gAAAA8AAAAAAAAAAAAAAAAAqgIAAGRycy9kb3ducmV2LnhtbFBLBQYAAAAABAAEAPoAAACfAwAA&#10;AAA=&#10;">
                  <v:shape id="Freeform 8520" o:spid="_x0000_s1577" style="position:absolute;left:9459;top:4629;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j/R8UA&#10;AADeAAAADwAAAGRycy9kb3ducmV2LnhtbERPS2vCQBC+F/wPywi9NRtzKBpdpRQEKT20Meh1yI5J&#10;MDubZLd59Nd3C4Xe5uN7zu4wmUYM1LvasoJVFIMgLqyuuVSQn49PaxDOI2tsLJOCmRwc9ouHHaba&#10;jvxJQ+ZLEULYpaig8r5NpXRFRQZdZFviwN1sb9AH2JdS9ziGcNPIJI6fpcGaQ0OFLb1WVNyzL6Og&#10;NucZu2T1fc2ni87ex7fZfnRKPS6nly0IT5P/F/+5TzrMXyebDfy+E26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2P9HxQAAAN4AAAAPAAAAAAAAAAAAAAAAAJgCAABkcnMv&#10;ZG93bnJldi54bWxQSwUGAAAAAAQABAD1AAAAigMAAAAA&#10;" path="m25,l50,24,25,49,,24,25,xe" filled="f" strokecolor="navy" strokeweight=".16742mm">
                    <v:path arrowok="t" o:connecttype="custom" o:connectlocs="25,4629;50,4653;25,4678;0,4653;25,4629" o:connectangles="0,0,0,0,0"/>
                  </v:shape>
                </v:group>
                <v:group id="Group 8517" o:spid="_x0000_s1578" style="position:absolute;left:7052;top:3520;width:2433;height:926" coordorigin="7052,3520" coordsize="2433,9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GS97McAAADe&#10;AAAADwAAAAAAAAAAAAAAAACqAgAAZHJzL2Rvd25yZXYueG1sUEsFBgAAAAAEAAQA+gAAAJ4DAAAA&#10;AA==&#10;">
                  <v:shape id="Freeform 8518" o:spid="_x0000_s1579" style="position:absolute;left:7052;top:3520;width:2433;height:926;visibility:visible;mso-wrap-style:square;v-text-anchor:top" coordsize="2433,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G0d8MA&#10;AADeAAAADwAAAGRycy9kb3ducmV2LnhtbERP32vCMBB+F/Y/hBv4pokrDOmMMoZjvrbqxt6O5myr&#10;zaUkmdb/fhEE3+7j+3mL1WA7cSYfWscaZlMFgrhypuVaw277OZmDCBHZYOeYNFwpwGr5NFpgbtyF&#10;CzqXsRYphEOOGpoY+1zKUDVkMUxdT5y4g/MWY4K+lsbjJYXbTr4o9SottpwaGuzpo6HqVP5ZDaYo&#10;zfo3236vT8VxH/3+S2WbH63Hz8P7G4hIQ3yI7+6NSfPnmZrB7Z10g1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G0d8MAAADeAAAADwAAAAAAAAAAAAAAAACYAgAAZHJzL2Rv&#10;d25yZXYueG1sUEsFBgAAAAAEAAQA9QAAAIgDAAAAAA==&#10;" path="m,593r4,-5l9,583r5,-6l19,573r4,-5l28,563r5,-5l36,554r5,-5l46,544r5,-6l55,533r5,-4l65,524r3,-5l73,514r5,-3l83,506r4,-5l92,497r5,-5l100,487r5,-5l110,478r5,-4l119,469r5,-4l129,460r5,-4l137,452r5,-5l147,443r4,-5l156,434r5,-4l166,425r3,-4l174,417r5,-5l183,409r5,-5l193,401r5,-5l203,392r3,-4l211,384r5,-4l221,376r4,-4l230,367r5,-3l238,360r5,-3l248,352r5,-4l257,345r5,-4l267,337r3,-4l275,329r5,-3l285,322r4,-3l294,314r5,-4l304,307r3,-4l312,300r5,-4l321,293r5,-4l331,286r5,-4l339,278r5,-2l349,272r5,-3l358,265r5,-3l368,258r5,-2l376,252r5,-3l386,245r4,-2l395,239r5,-3l405,232r3,-2l413,226r5,-2l422,220r5,-3l432,214r5,-3l440,208r5,-3l450,202r4,-3l459,197r5,-4l469,191r4,-3l477,185r5,-3l486,180r5,-4l496,174r5,-2l505,168r4,-2l514,163r4,-2l523,157r5,-2l533,153r4,-3l542,148r4,-2l551,143r4,-2l560,138r5,-3l570,133r4,-3l578,128r5,-1l587,124r5,-2l597,119r5,-2l606,115r4,-3l615,110r4,-2l624,106r5,-2l634,102r4,-3l643,98r4,-2l651,93r5,-1l661,90r5,-3l670,86r5,-2l679,82r4,-2l688,78r5,-1l698,74r4,-1l707,71r5,-1l716,67r4,-1l725,65r5,-2l735,61r4,-2l744,58r4,-1l752,54r5,-1l762,52r5,-1l771,48r5,-1l780,46r4,-1l789,44r5,-2l799,40r4,-1l808,38r5,-2l816,35r5,-1l826,33r5,-1l835,31r5,-2l845,28r3,-1l853,26r5,l863,25r4,-2l872,22r5,-1l882,20r3,l890,19r5,-2l899,16r5,l909,15r5,-1l917,14r5,-1l927,12r5,l936,10r5,l946,9r3,l954,8r5,l964,7r4,l973,6r5,l983,6r3,-2l991,4r5,-1l1000,3r5,l1010,3r5,-1l1018,2r5,l1028,2r4,-1l1055,1r5,-1l1101,r5,1l1133,1r5,1l1143,2r5,l1152,2r4,1l1161,3r4,l1170,4r5,l1180,4r4,2l1188,6r5,1l1197,7r5,1l1207,8r5,1l1216,9r5,1l1225,10r4,2l1234,12r5,1l1244,14r4,l1253,15r4,1l1262,16r4,1l1271,19r5,l1280,20r5,1l1289,22r5,1l1298,25r5,l1308,26r5,1l1317,28r5,1l1326,31r4,1l1335,33r5,1l1345,35r4,1l1354,38r4,1l1362,40r5,1l1372,42r5,3l1381,46r5,1l1391,48r3,2l1399,52r5,1l1409,54r4,1l1418,58r5,1l1426,60r5,3l1436,64r5,2l1445,67r5,1l1455,71r4,1l1463,74r5,2l1473,78r5,1l1482,82r5,2l1492,85r3,2l1500,89r5,2l1510,93r4,2l1519,97r5,2l1527,102r5,1l1537,105r5,3l1546,110r5,2l1556,114r5,2l1564,118r5,3l1574,123r4,2l1583,128r5,2l1593,133r3,2l1601,137r5,3l1610,142r5,2l1620,147r5,2l1628,153r5,2l1638,157r5,3l1647,162r5,4l1657,168r5,2l1665,173r5,3l1675,179r4,2l1684,185r5,2l1694,189r3,4l1702,195r5,4l1711,201r5,4l1721,207r5,4l1730,213r4,4l1739,219r4,4l1748,226r5,3l1758,232r4,3l1766,238r5,4l1775,245r5,3l1785,251r5,4l1794,258r4,3l1803,264r4,4l1812,271r5,4l1822,278r4,4l1831,286r4,2l1840,291r4,4l1849,299r5,3l1859,307r4,3l1867,314r5,4l1876,321r5,4l1886,328r5,4l1895,335r5,5l1904,344r4,3l1913,351r5,4l1923,359r4,4l1932,367r4,4l1940,374r5,5l1950,383r5,3l1959,391r5,4l1968,399r4,4l1977,408r5,3l1987,416r4,4l1996,424r5,5l2005,433r4,4l2014,442r5,4l2024,450r4,5l2033,459r4,4l2041,468r5,5l2051,476r5,5l2060,486r5,5l2070,495r3,5l2078,505r5,5l2088,513r4,5l2097,523r5,4l2105,532r5,5l2115,542r5,6l2124,552r5,5l2134,562r3,5l2142,571r5,5l2152,582r4,5l2161,591r5,5l2171,601r3,6l2179,612r5,4l2188,622r5,5l2198,632r5,6l2206,642r5,6l2216,653r5,6l2225,664r5,6l2235,674r5,6l2243,685r5,6l2253,696r4,6l2262,708r5,4l2272,718r3,5l2280,729r5,6l2290,741r4,5l2299,752r5,6l2307,763r5,6l2317,774r5,6l2326,786r5,6l2336,798r5,6l2344,810r5,6l2354,822r4,5l2363,833r5,6l2373,845r3,6l2381,857r5,6l2390,869r5,6l2400,882r5,6l2409,894r4,6l2418,906r5,7l2427,919r5,6e" filled="f" strokeweight=".33472mm">
                    <v:path arrowok="t" o:connecttype="custom" o:connectlocs="36,4074;78,4031;119,3989;161,3950;203,3912;243,3877;285,3842;326,3809;368,3778;408,3750;450,3722;491,3696;533,3673;574,3650;615,3630;656,3612;698,3594;739,3579;780,3566;821,3554;863,3545;904,3536;946,3529;986,3524;1028,3522;1148,3522;1188,3526;1229,3532;1271,3539;1313,3547;1354,3558;1394,3570;1436,3584;1478,3599;1519,3617;1561,3636;1601,3657;1643,3680;1684,3705;1726,3731;1766,3758;1807,3788;1849,3819;1891,3852;1932,3887;1972,3923;2014,3962;2056,4001;2097,4043;2137,4087;2179,4132;2221,4179;2262,4228;2304,4278;2344,4330;2386,4383;2427,4439" o:connectangles="0,0,0,0,0,0,0,0,0,0,0,0,0,0,0,0,0,0,0,0,0,0,0,0,0,0,0,0,0,0,0,0,0,0,0,0,0,0,0,0,0,0,0,0,0,0,0,0,0,0,0,0,0,0,0,0,0"/>
                  </v:shape>
                </v:group>
                <v:group id="Group 8515" o:spid="_x0000_s1580" style="position:absolute;left:6701;top:3117;width:3155;height:1943" coordorigin="6701,3117" coordsize="3155,19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qGAMQAAADeAAAA&#10;DwAAAAAAAAAAAAAAAACqAgAAZHJzL2Rvd25yZXYueG1sUEsFBgAAAAAEAAQA+gAAAJsDAAAAAA==&#10;">
                  <v:shape id="Freeform 8516" o:spid="_x0000_s1581" style="position:absolute;left:6701;top:3117;width:3155;height:1943;visibility:visible;mso-wrap-style:square;v-text-anchor:top" coordsize="3155,19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MelsIA&#10;AADeAAAADwAAAGRycy9kb3ducmV2LnhtbERPS2vCQBC+F/oflhG81Y0NhDS6iq1Eem3a3sfsmASz&#10;syG7efjvu4LQ23x8z9nuZ9OKkXrXWFawXkUgiEurG64U/HznLykI55E1tpZJwY0c7HfPT1vMtJ34&#10;i8bCVyKEsMtQQe19l0npypoMupXtiAN3sb1BH2BfSd3jFMJNK1+jKJEGGw4NNXb0UVN5LQajYJB5&#10;rt/lNJ6T4m2m47U9Vf5XqeViPmxAeJr9v/jh/tRhfhpHMdzfCTfI3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Ax6WwgAAAN4AAAAPAAAAAAAAAAAAAAAAAJgCAABkcnMvZG93&#10;bnJldi54bWxQSwUGAAAAAAQABAD1AAAAhwMAAAAA&#10;" path="m,1943r3155,l3155,,,,,1943xe" filled="f" strokeweight=".02442mm">
                    <v:path arrowok="t" o:connecttype="custom" o:connectlocs="0,5060;3155,5060;3155,3117;0,3117;0,5060" o:connectangles="0,0,0,0,0"/>
                  </v:shape>
                </v:group>
                <v:group id="Group 8513" o:spid="_x0000_s1582" style="position:absolute;left:6693;top:5575;width:3178;height:2252" coordorigin="6693,5575" coordsize="3178,2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DX7vvxgAAAN4A&#10;AAAPAAAAAAAAAAAAAAAAAKoCAABkcnMvZG93bnJldi54bWxQSwUGAAAAAAQABAD6AAAAnQMAAAAA&#10;">
                  <v:shape id="Freeform 8514" o:spid="_x0000_s1583" style="position:absolute;left:6693;top:5575;width:3178;height:2252;visibility:visible;mso-wrap-style:square;v-text-anchor:top" coordsize="3178,2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0d8cUA&#10;AADeAAAADwAAAGRycy9kb3ducmV2LnhtbERPTWvCQBC9F/wPywhepG5a0YboKtIielCoUUqPQ3ZM&#10;gtnZkF1N/PeuUOhtHu9z5svOVOJGjSstK3gbRSCIM6tLzhWcjuvXGITzyBory6TgTg6Wi97LHBNt&#10;Wz7QLfW5CCHsElRQeF8nUrqsIINuZGviwJ1tY9AH2ORSN9iGcFPJ9yiaSoMlh4YCa/osKLukV6Ng&#10;8oubH7tr425bp98fl3z/NTzvlRr0u9UMhKfO/4v/3Fsd5sfjaALPd8INcvE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TR3xxQAAAN4AAAAPAAAAAAAAAAAAAAAAAJgCAABkcnMv&#10;ZG93bnJldi54bWxQSwUGAAAAAAQABAD1AAAAigMAAAAA&#10;" path="m,2251r3178,l3178,,,,,2251xe" filled="f" strokeweight=".02442mm">
                    <v:path arrowok="t" o:connecttype="custom" o:connectlocs="0,7826;3178,7826;3178,5575;0,5575;0,7826" o:connectangles="0,0,0,0,0"/>
                  </v:shape>
                </v:group>
                <v:group id="Group 8511" o:spid="_x0000_s1584" style="position:absolute;left:7038;top:5726;width:2663;height:1950" coordorigin="7038,5726" coordsize="2663,1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cwYADwwAAAN4AAAAP&#10;AAAAAAAAAAAAAAAAAKoCAABkcnMvZG93bnJldi54bWxQSwUGAAAAAAQABAD6AAAAmgMAAAAA&#10;">
                  <v:shape id="Freeform 8512" o:spid="_x0000_s1585" style="position:absolute;left:7038;top:5726;width:2663;height:1950;visibility:visible;mso-wrap-style:square;v-text-anchor:top" coordsize="2663,1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ZT8UA&#10;AADeAAAADwAAAGRycy9kb3ducmV2LnhtbERPTWvCQBC9F/wPywje6kalVVJXUVEQexBTex+yY5Ka&#10;nQ27a0z99d1Cobd5vM+ZLztTi5acrywrGA0TEMS51RUXCs4fu+cZCB+QNdaWScE3eVguek9zTLW9&#10;84naLBQihrBPUUEZQpNK6fOSDPqhbYgjd7HOYIjQFVI7vMdwU8txkrxKgxXHhhIb2pSUX7ObUdCs&#10;3e74lbWfl9v7Y48vm+t2dDgrNeh3qzcQgbrwL/5z73WcP5skU/h9J94gF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jJlPxQAAAN4AAAAPAAAAAAAAAAAAAAAAAJgCAABkcnMv&#10;ZG93bnJldi54bWxQSwUGAAAAAAQABAD1AAAAigMAAAAA&#10;" path="m,1949r2663,l2663,,,,,1949xe" fillcolor="silver" stroked="f">
                    <v:path arrowok="t" o:connecttype="custom" o:connectlocs="0,7675;2663,7675;2663,5726;0,5726;0,7675" o:connectangles="0,0,0,0,0"/>
                  </v:shape>
                </v:group>
                <v:group id="Group 8509" o:spid="_x0000_s1586" style="position:absolute;left:7038;top:5726;width:2663;height:1950" coordorigin="7038,5726" coordsize="2663,1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hKx6scAAADe&#10;AAAADwAAAAAAAAAAAAAAAACqAgAAZHJzL2Rvd25yZXYueG1sUEsFBgAAAAAEAAQA+gAAAJ4DAAAA&#10;AA==&#10;">
                  <v:shape id="Freeform 8510" o:spid="_x0000_s1587" style="position:absolute;left:7038;top:5726;width:2663;height:1950;visibility:visible;mso-wrap-style:square;v-text-anchor:top" coordsize="2663,1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k/0sMA&#10;AADeAAAADwAAAGRycy9kb3ducmV2LnhtbERP3WrCMBS+H+wdwhnsbqZTkNoZZSuUDRxIqw9waM7a&#10;suakJLHt3t4IA+/Ox/d7tvvZ9GIk5zvLCl4XCQji2uqOGwXnU/GSgvABWWNvmRT8kYf97vFhi5m2&#10;E5c0VqERMYR9hgraEIZMSl+3ZNAv7EAcuR/rDIYIXSO1wymGm14uk2QtDXYcG1ocKG+p/q0uRkEe&#10;ykqfus3q49i4gysdp8X3p1LPT/P7G4hAc7iL/91fOs5PV8kGbu/EG+Tu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Wk/0sMAAADeAAAADwAAAAAAAAAAAAAAAACYAgAAZHJzL2Rv&#10;d25yZXYueG1sUEsFBgAAAAAEAAQA9QAAAIgDAAAAAA==&#10;" path="m,l2663,r,1949l,1949,,e" filled="f" strokecolor="gray" strokeweight=".16739mm">
                    <v:path arrowok="t" o:connecttype="custom" o:connectlocs="0,5726;2663,5726;2663,7675;0,7675;0,5726" o:connectangles="0,0,0,0,0"/>
                  </v:shape>
                </v:group>
                <v:group id="Group 8507" o:spid="_x0000_s1588" style="position:absolute;left:7039;top:5726;width:2;height:1949" coordorigin="7039,5726" coordsize="2,19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b0rMccAAADe&#10;AAAADwAAAAAAAAAAAAAAAACqAgAAZHJzL2Rvd25yZXYueG1sUEsFBgAAAAAEAAQA+gAAAJ4DAAAA&#10;AA==&#10;">
                  <v:shape id="Freeform 8508" o:spid="_x0000_s1589" style="position:absolute;left:7039;top:5726;width:2;height:1949;visibility:visible;mso-wrap-style:square;v-text-anchor:top" coordsize="2,19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r3xMEA&#10;AADeAAAADwAAAGRycy9kb3ducmV2LnhtbERPy6rCMBDdC/5DGMGNaFoVkWoUvRfBlaDW/dBMH9hM&#10;ShO1/r25cMHdHM5z1tvO1OJJrassK4gnEQjizOqKCwXp9TBegnAeWWNtmRS8ycF20++tMdH2xWd6&#10;XnwhQgi7BBWU3jeJlC4ryaCb2IY4cLltDfoA20LqFl8h3NRyGkULabDi0FBiQz8lZffLwyjA3L9t&#10;mubXVO8Xt+z+O5qb00Op4aDbrUB46vxX/O8+6jB/OYtj+Hsn3CA3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6q98TBAAAA3gAAAA8AAAAAAAAAAAAAAAAAmAIAAGRycy9kb3du&#10;cmV2LnhtbFBLBQYAAAAABAAEAPUAAACGAwAAAAA=&#10;" path="m,l,1949e" filled="f" strokeweight=".02442mm">
                    <v:path arrowok="t" o:connecttype="custom" o:connectlocs="0,5726;0,7675" o:connectangles="0,0"/>
                  </v:shape>
                </v:group>
                <v:group id="Group 8505" o:spid="_x0000_s1590" style="position:absolute;left:7013;top:7676;width:25;height:2" coordorigin="7013,767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iMQ3cQAAADeAAAA&#10;DwAAAAAAAAAAAAAAAACqAgAAZHJzL2Rvd25yZXYueG1sUEsFBgAAAAAEAAQA+gAAAJsDAAAAAA==&#10;">
                  <v:shape id="Freeform 8506" o:spid="_x0000_s1591" style="position:absolute;left:7013;top:767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0XacAA&#10;AADeAAAADwAAAGRycy9kb3ducmV2LnhtbERPy6rCMBDdC/cfwlxwp6kPRKpRRBG8O1/gdmjGtrSZ&#10;lCTW+vfmguBuDuc5y3VnatGS86VlBaNhAoI4s7rkXMH1sh/MQfiArLG2TApe5GG9+uktMdX2ySdq&#10;zyEXMYR9igqKEJpUSp8VZNAPbUMcubt1BkOELpfa4TOGm1qOk2QmDZYcGwpsaFtQVp0fRkEVmt3D&#10;nKq/24Wnrj2+NgeTH5Xq/3abBYhAXfiKP+6DjvPnk9EE/t+JN8jV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H0XacAAAADeAAAADwAAAAAAAAAAAAAAAACYAgAAZHJzL2Rvd25y&#10;ZXYueG1sUEsFBgAAAAAEAAQA9QAAAIUDAAAAAA==&#10;" path="m,l25,e" filled="f" strokeweight=".02442mm">
                    <v:path arrowok="t" o:connecttype="custom" o:connectlocs="0,0;25,0" o:connectangles="0,0"/>
                  </v:shape>
                </v:group>
                <v:group id="Group 8503" o:spid="_x0000_s1592" style="position:absolute;left:7013;top:7351;width:2688;height:2" coordorigin="7013,7351" coordsize="268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oYtMsQAAADeAAAA&#10;DwAAAAAAAAAAAAAAAACqAgAAZHJzL2Rvd25yZXYueG1sUEsFBgAAAAAEAAQA+gAAAJsDAAAAAA==&#10;">
                  <v:shape id="Freeform 8504" o:spid="_x0000_s1593" style="position:absolute;left:7013;top:7351;width:2688;height:2;visibility:visible;mso-wrap-style:square;v-text-anchor:top" coordsize="26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PMhcUA&#10;AADeAAAADwAAAGRycy9kb3ducmV2LnhtbERPTWvCQBC9C/6HZYTe6iZqy5K6CSIIBaFQTQ/exuw0&#10;CWZnQ3araX99t1DwNo/3OetitJ240uBbxxrSeQKCuHKm5VpDedw9KhA+IBvsHJOGb/JQ5NPJGjPj&#10;bvxO10OoRQxhn6GGJoQ+k9JXDVn0c9cTR+7TDRZDhEMtzYC3GG47uUiSZ2mx5djQYE/bhqrL4ctq&#10;qM7ytFq+qZ9ytf/oa0zVdu+U1g+zcfMCItAY7uJ/96uJ89UyfYK/d+INMv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M8yFxQAAAN4AAAAPAAAAAAAAAAAAAAAAAJgCAABkcnMv&#10;ZG93bnJldi54bWxQSwUGAAAAAAQABAD1AAAAigMAAAAA&#10;" path="m,l2688,e" filled="f" strokeweight=".02442mm">
                    <v:path arrowok="t" o:connecttype="custom" o:connectlocs="0,0;2688,0" o:connectangles="0,0"/>
                  </v:shape>
                </v:group>
                <v:group id="Group 8501" o:spid="_x0000_s1594" style="position:absolute;left:7013;top:7026;width:25;height:2" coordorigin="7013,702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ZGBbewwAAAN4AAAAP&#10;AAAAAAAAAAAAAAAAAKoCAABkcnMvZG93bnJldi54bWxQSwUGAAAAAAQABAD6AAAAmgMAAAAA&#10;">
                  <v:shape id="Freeform 8502" o:spid="_x0000_s1595" style="position:absolute;left:7013;top:702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YRasMA&#10;AADeAAAADwAAAGRycy9kb3ducmV2LnhtbERPyWrDMBC9F/IPYgq9NXKa0BrXsgkpgeSWpdDrYE1t&#10;Y2tkJMVx/r4KBHqbx1snLyfTi5Gcby0rWMwTEMSV1S3XCr7P29cUhA/IGnvLpOBGHspi9pRjpu2V&#10;jzSeQi1iCPsMFTQhDJmUvmrIoJ/bgThyv9YZDBG6WmqH1xhuevmWJO/SYMuxocGBNg1V3eliFHRh&#10;+LqYY7f/OfPKjYfbemfqg1Ivz9P6E0SgKfyLH+6djvPT5eID7u/EG2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YRasMAAADeAAAADwAAAAAAAAAAAAAAAACYAgAAZHJzL2Rv&#10;d25yZXYueG1sUEsFBgAAAAAEAAQA9QAAAIgDAAAAAA==&#10;" path="m,l25,e" filled="f" strokeweight=".02442mm">
                    <v:path arrowok="t" o:connecttype="custom" o:connectlocs="0,0;25,0" o:connectangles="0,0"/>
                  </v:shape>
                </v:group>
                <v:group id="Group 8499" o:spid="_x0000_s1596" style="position:absolute;left:7013;top:6701;width:25;height:2" coordorigin="7013,6701"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x8snN8cAAADe&#10;AAAADwAAAAAAAAAAAAAAAACqAgAAZHJzL2Rvd25yZXYueG1sUEsFBgAAAAAEAAQA+gAAAJ4DAAAA&#10;AA==&#10;">
                  <v:shape id="Freeform 8500" o:spid="_x0000_s1597" style="position:absolute;left:7013;top:6701;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gg8MA&#10;AADeAAAADwAAAGRycy9kb3ducmV2LnhtbERPyWrDMBC9F/IPYgq91XKaUFLXsgkpgeSWpdDrYE1t&#10;Y2tkJMVx/r4KBHqbx1snLyfTi5Gcby0rmCcpCOLK6pZrBd/n7esKhA/IGnvLpOBGHspi9pRjpu2V&#10;jzSeQi1iCPsMFTQhDJmUvmrIoE/sQBy5X+sMhghdLbXDaww3vXxL03dpsOXY0OBAm4aq7nQxCrow&#10;fF3Msdv/nHnpxsNtvTP1QamX52n9CSLQFP7FD/dOx/mrxfwD7u/EG2T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ZUgg8MAAADeAAAADwAAAAAAAAAAAAAAAACYAgAAZHJzL2Rv&#10;d25yZXYueG1sUEsFBgAAAAAEAAQA9QAAAIgDAAAAAA==&#10;" path="m,l25,e" filled="f" strokeweight=".02442mm">
                    <v:path arrowok="t" o:connecttype="custom" o:connectlocs="0,0;25,0" o:connectangles="0,0"/>
                  </v:shape>
                </v:group>
                <v:group id="Group 8497" o:spid="_x0000_s1598" style="position:absolute;left:7013;top:6376;width:25;height:2" coordorigin="7013,637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fR4YzIAAAA&#10;3gAAAA8AAAAAAAAAAAAAAAAAqgIAAGRycy9kb3ducmV2LnhtbFBLBQYAAAAABAAEAPoAAACfAwAA&#10;AAA=&#10;">
                  <v:shape id="Freeform 8498" o:spid="_x0000_s1599" style="position:absolute;left:7013;top:637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mOMMA&#10;AADeAAAADwAAAGRycy9kb3ducmV2LnhtbERPTWvCQBC9F/oflil4qxvTUiS6iigFvUUt9DpkxyQk&#10;Oxt2NzH5965Q6G0e73PW29G0YiDna8sKFvMEBHFhdc2lgp/r9/sShA/IGlvLpGAiD9vN68saM23v&#10;fKbhEkoRQ9hnqKAKocuk9EVFBv3cdsSRu1lnMEToSqkd3mO4aWWaJF/SYM2xocKO9hUVzaU3CprQ&#10;HXpzbk6/V/50Qz7tjqbMlZq9jbsViEBj+Bf/uY86zl9+pAt4vhNv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mOMMAAADeAAAADwAAAAAAAAAAAAAAAACYAgAAZHJzL2Rv&#10;d25yZXYueG1sUEsFBgAAAAAEAAQA9QAAAIgDAAAAAA==&#10;" path="m,l25,e" filled="f" strokeweight=".02442mm">
                    <v:path arrowok="t" o:connecttype="custom" o:connectlocs="0,0;25,0" o:connectangles="0,0"/>
                  </v:shape>
                </v:group>
                <v:group id="Group 8495" o:spid="_x0000_s1600" style="position:absolute;left:7013;top:6051;width:25;height:2" coordorigin="7013,6051"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E/aYMQAAADeAAAA&#10;DwAAAAAAAAAAAAAAAACqAgAAZHJzL2Rvd25yZXYueG1sUEsFBgAAAAAEAAQA+gAAAJsDAAAAAA==&#10;">
                  <v:shape id="Freeform 8496" o:spid="_x0000_s1601" style="position:absolute;left:7013;top:6051;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Hd1MIA&#10;AADeAAAADwAAAGRycy9kb3ducmV2LnhtbERPS4vCMBC+C/sfwgjeNFWXRappkRVBbz4W9jo0Y1va&#10;TEoSa/33RljY23x8z9nkg2lFT87XlhXMZwkI4sLqmksFP9f9dAXCB2SNrWVS8CQPefYx2mCq7YPP&#10;1F9CKWII+xQVVCF0qZS+qMign9mOOHI36wyGCF0ptcNHDDetXCTJlzRYc2yosKPviormcjcKmtDt&#10;7ubcHH+v/On603N7MOVJqcl42K5BBBrCv/jPfdBx/mq5WML7nXiDz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Ed3UwgAAAN4AAAAPAAAAAAAAAAAAAAAAAJgCAABkcnMvZG93&#10;bnJldi54bWxQSwUGAAAAAAQABAD1AAAAhwMAAAAA&#10;" path="m,l25,e" filled="f" strokeweight=".02442mm">
                    <v:path arrowok="t" o:connecttype="custom" o:connectlocs="0,0;25,0" o:connectangles="0,0"/>
                  </v:shape>
                </v:group>
                <v:group id="Group 8493" o:spid="_x0000_s1602" style="position:absolute;left:7013;top:5726;width:25;height:2" coordorigin="7013,5726" coordsize="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Ornj8QAAADeAAAA&#10;DwAAAAAAAAAAAAAAAACqAgAAZHJzL2Rvd25yZXYueG1sUEsFBgAAAAAEAAQA+gAAAJsDAAAAAA==&#10;">
                  <v:shape id="Freeform 8494" o:spid="_x0000_s1603" style="position:absolute;left:7013;top:5726;width:25;height:2;visibility:visible;mso-wrap-style:square;v-text-anchor:top" coordsize="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TgO8IA&#10;AADeAAAADwAAAGRycy9kb3ducmV2LnhtbERPTYvCMBC9C/sfwix401RdRapRZBfBvWkVvA7N2JY2&#10;k5LEWv+9WVjwNo/3OettbxrRkfOVZQWTcQKCOLe64kLB5bwfLUH4gKyxsUwKnuRhu/kYrDHV9sEn&#10;6rJQiBjCPkUFZQhtKqXPSzLox7YljtzNOoMhQldI7fARw00jp0mykAYrjg0ltvRdUl5nd6OgDu3P&#10;3Zzq3+uZv1x3fO4OpjgqNfzsdysQgfrwFv+7DzrOX86mc/h7J94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tOA7wgAAAN4AAAAPAAAAAAAAAAAAAAAAAJgCAABkcnMvZG93&#10;bnJldi54bWxQSwUGAAAAAAQABAD1AAAAhwMAAAAA&#10;" path="m,l25,e" filled="f" strokeweight=".02442mm">
                    <v:path arrowok="t" o:connecttype="custom" o:connectlocs="0,0;25,0" o:connectangles="0,0"/>
                  </v:shape>
                </v:group>
                <v:group id="Group 8491" o:spid="_x0000_s1604" style="position:absolute;left:7572;top:7352;width:2;height:25" coordorigin="7572,7352"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XdNxjwwAAAN4AAAAP&#10;AAAAAAAAAAAAAAAAAKoCAABkcnMvZG93bnJldi54bWxQSwUGAAAAAAQABAD6AAAAmgMAAAAA&#10;">
                  <v:shape id="Freeform 8492" o:spid="_x0000_s1605" style="position:absolute;left:7572;top:7352;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jsUA&#10;AADeAAAADwAAAGRycy9kb3ducmV2LnhtbERPTWsCMRC9C/6HMEJvNastVlajiFgoRWjXeuhx3Ex3&#10;QzeTZRPd+O9NoeBtHu9zlutoG3GhzhvHCibjDARx6bThSsHx6/VxDsIHZI2NY1JwJQ/r1XCwxFy7&#10;ngu6HEIlUgj7HBXUIbS5lL6syaIfu5Y4cT+usxgS7CqpO+xTuG3kNMtm0qLh1FBjS9uayt/D2SqI&#10;x/P+OpkV/WdlTrvsY/dt3uOzUg+juFmACBTDXfzvftNp/vxp+gJ/76Qb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9v+OxQAAAN4AAAAPAAAAAAAAAAAAAAAAAJgCAABkcnMv&#10;ZG93bnJldi54bWxQSwUGAAAAAAQABAD1AAAAigMAAAAA&#10;" path="m,25l,e" filled="f" strokeweight=".02442mm">
                    <v:path arrowok="t" o:connecttype="custom" o:connectlocs="0,7377;0,7352" o:connectangles="0,0"/>
                  </v:shape>
                </v:group>
                <v:group id="Group 8489" o:spid="_x0000_s1606" style="position:absolute;left:8104;top:7352;width:2;height:25" coordorigin="8104,7352"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mn7YrIAAAA&#10;3gAAAA8AAAAAAAAAAAAAAAAAqgIAAGRycy9kb3ducmV2LnhtbFBLBQYAAAAABAAEAPoAAACfAwAA&#10;AAA=&#10;">
                  <v:shape id="Freeform 8490" o:spid="_x0000_s1607" style="position:absolute;left:8104;top:7352;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XOZ8UA&#10;AADeAAAADwAAAGRycy9kb3ducmV2LnhtbERPTWsCMRC9C/6HMIXeNKstYrdGEVEQEazWQ4/TzXQ3&#10;dDNZNtGN/74RhN7m8T5ntoi2FldqvXGsYDTMQBAXThsuFZw/N4MpCB+QNdaOScGNPCzm/d4Mc+06&#10;PtL1FEqRQtjnqKAKocml9EVFFv3QNcSJ+3GtxZBgW0rdYpfCbS3HWTaRFg2nhgobWlVU/J4uVkE8&#10;X/a30eTYfZTme50d1l9mF1+Ven6Ky3cQgWL4Fz/cW53mT1/Gb3B/J90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Jc5nxQAAAN4AAAAPAAAAAAAAAAAAAAAAAJgCAABkcnMv&#10;ZG93bnJldi54bWxQSwUGAAAAAAQABAD1AAAAigMAAAAA&#10;" path="m,25l,e" filled="f" strokeweight=".02442mm">
                    <v:path arrowok="t" o:connecttype="custom" o:connectlocs="0,7377;0,7352" o:connectangles="0,0"/>
                  </v:shape>
                </v:group>
                <v:group id="Group 8487" o:spid="_x0000_s1608" style="position:absolute;left:8637;top:7352;width:2;height:25" coordorigin="8637,7352"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gh3UccAAADe&#10;AAAADwAAAAAAAAAAAAAAAACqAgAAZHJzL2Rvd25yZXYueG1sUEsFBgAAAAAEAAQA+gAAAJ4DAAAA&#10;AA==&#10;">
                  <v:shape id="Freeform 8488" o:spid="_x0000_s1609" style="position:absolute;left:8637;top:7352;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UvMUA&#10;AADeAAAADwAAAGRycy9kb3ducmV2LnhtbERPS2sCMRC+F/ofwhR6q9mtIrIapRQLpRR81EOP42bc&#10;DW4myya68d8bQfA2H99zZotoG3GmzhvHCvJBBoK4dNpwpWD39/U2AeEDssbGMSm4kIfF/PlphoV2&#10;PW/ovA2VSCHsC1RQh9AWUvqyJot+4FrixB1cZzEk2FVSd9incNvI9ywbS4uGU0ONLX3WVB63J6sg&#10;7k6/l3y86deV2S+z1fLf/MSRUq8v8WMKIlAMD/Hd/a3T/MlwmMPtnXSD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ilS8xQAAAN4AAAAPAAAAAAAAAAAAAAAAAJgCAABkcnMv&#10;ZG93bnJldi54bWxQSwUGAAAAAAQABAD1AAAAigMAAAAA&#10;" path="m,25l,e" filled="f" strokeweight=".02442mm">
                    <v:path arrowok="t" o:connecttype="custom" o:connectlocs="0,7377;0,7352" o:connectangles="0,0"/>
                  </v:shape>
                </v:group>
                <v:group id="Group 8485" o:spid="_x0000_s1610" style="position:absolute;left:9169;top:7352;width:2;height:25" coordorigin="9169,7352"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7ZZMvcQAAADeAAAA&#10;DwAAAAAAAAAAAAAAAACqAgAAZHJzL2Rvd25yZXYueG1sUEsFBgAAAAAEAAQA+gAAAJsDAAAAAA==&#10;">
                  <v:shape id="Freeform 8486" o:spid="_x0000_s1611" style="position:absolute;left:9169;top:7352;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RvUMUA&#10;AADeAAAADwAAAGRycy9kb3ducmV2LnhtbERPS2sCMRC+F/ofwhR6q1m7IrIapRQLpRR81EOP42bc&#10;DW4myya68d8bQfA2H99zZotoG3GmzhvHCoaDDARx6bThSsHu7+ttAsIHZI2NY1JwIQ+L+fPTDAvt&#10;et7QeRsqkULYF6igDqEtpPRlTRb9wLXEiTu4zmJIsKuk7rBP4baR71k2lhYNp4YaW/qsqTxuT1ZB&#10;3J1+L8Pxpl9XZr/MVst/8xNHSr2+xI8piEAxPMR397dO8yd5nsPtnXSD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FG9QxQAAAN4AAAAPAAAAAAAAAAAAAAAAAJgCAABkcnMv&#10;ZG93bnJldi54bWxQSwUGAAAAAAQABAD1AAAAigMAAAAA&#10;" path="m,25l,e" filled="f" strokeweight=".02442mm">
                    <v:path arrowok="t" o:connecttype="custom" o:connectlocs="0,7377;0,7352" o:connectangles="0,0"/>
                  </v:shape>
                </v:group>
                <v:group id="Group 8483" o:spid="_x0000_s1612" style="position:absolute;left:9702;top:7352;width:2;height:25" coordorigin="9702,7352" coordsize="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0zcVLFAAAA3gAA&#10;AA8AAAAAAAAAAAAAAAAAqgIAAGRycy9kb3ducmV2LnhtbFBLBQYAAAAABAAEAPoAAACcAwAAAAA=&#10;">
                  <v:shape id="Freeform 8484" o:spid="_x0000_s1613" style="position:absolute;left:9702;top:7352;width:2;height:25;visibility:visible;mso-wrap-style:square;v-text-anchor:top" coordsize="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FSv8UA&#10;AADeAAAADwAAAGRycy9kb3ducmV2LnhtbERPTWsCMRC9C/6HMEJvmrW2IqtRRCyUIrRrPfQ4bqa7&#10;oZvJsolu/PemUOhtHu9zVptoG3GlzhvHCqaTDARx6bThSsHp82W8AOEDssbGMSm4kYfNejhYYa5d&#10;zwVdj6ESKYR9jgrqENpcSl/WZNFPXEucuG/XWQwJdpXUHfYp3DbyMcvm0qLh1FBjS7uayp/jxSqI&#10;p8vhNp0X/Udlzvvsff9l3uKTUg+juF2CCBTDv/jP/arT/MVs9gy/76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sVK/xQAAAN4AAAAPAAAAAAAAAAAAAAAAAJgCAABkcnMv&#10;ZG93bnJldi54bWxQSwUGAAAAAAQABAD1AAAAigMAAAAA&#10;" path="m,25l,e" filled="f" strokeweight=".02442mm">
                    <v:path arrowok="t" o:connecttype="custom" o:connectlocs="0,7377;0,7352" o:connectangles="0,0"/>
                  </v:shape>
                </v:group>
                <v:group id="Group 8481" o:spid="_x0000_s1614" style="position:absolute;left:9143;top:6026;width:50;height:50" coordorigin="9143,602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1KvsQAAADeAAAA&#10;DwAAAAAAAAAAAAAAAACqAgAAZHJzL2Rvd25yZXYueG1sUEsFBgAAAAAEAAQA+gAAAJsDAAAAAA==&#10;">
                  <v:shape id="Freeform 8482" o:spid="_x0000_s1615" style="position:absolute;left:9143;top:602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As1cQA&#10;AADeAAAADwAAAGRycy9kb3ducmV2LnhtbERPTWsCMRC9C/0PYQreNGvFVlejFEEQ8VJbKL1NNuPu&#10;0s1kSdJ1/fdGEHqbx/uc1aa3jejIh9qxgsk4A0FcOFNzqeDrczeagwgR2WDjmBRcKcBm/TRYYW7c&#10;hT+oO8VSpBAOOSqoYmxzKUNRkcUwdi1x4s7OW4wJ+lIaj5cUbhv5kmWv0mLNqaHClrYVFb+nP6vg&#10;3P9sJ9EetMbv2cJpHbTvjkoNn/v3JYhIffwXP9x7k+bPp9M3uL+Tbp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ALNXEAAAA3gAAAA8AAAAAAAAAAAAAAAAAmAIAAGRycy9k&#10;b3ducmV2LnhtbFBLBQYAAAAABAAEAPUAAACJAwAAAAA=&#10;" path="m25,l,25,25,50,50,25,25,xe" fillcolor="navy" stroked="f">
                    <v:path arrowok="t" o:connecttype="custom" o:connectlocs="25,6026;0,6051;25,6076;50,6051;25,6026" o:connectangles="0,0,0,0,0"/>
                  </v:shape>
                </v:group>
                <v:group id="Group 8479" o:spid="_x0000_s1616" style="position:absolute;left:9143;top:6026;width:50;height:50" coordorigin="9143,602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H57V8cAAADe&#10;AAAADwAAAAAAAAAAAAAAAACqAgAAZHJzL2Rvd25yZXYueG1sUEsFBgAAAAAEAAQA+gAAAJ4DAAAA&#10;AA==&#10;">
                  <v:shape id="Freeform 8480" o:spid="_x0000_s1617" style="position:absolute;left:9143;top:602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v4MMA&#10;AADeAAAADwAAAGRycy9kb3ducmV2LnhtbERPTYvCMBC9C/6HMII3TVVY3GoUEYRF9rBW0evQjG2x&#10;mdQma9v99UYQ9jaP9znLdWtK8aDaFZYVTMYRCOLU6oIzBafjbjQH4TyyxtIyKejIwXrV7y0x1rbh&#10;Az0Sn4kQwi5GBbn3VSylS3My6Ma2Ig7c1dYGfYB1JnWNTQg3pZxG0Yc0WHBoyLGibU7pLfk1Cgpz&#10;7PA+nfxdTu1ZJ9/NvrM/d6WGg3azAOGp9f/it/tLh/nz2ewTXu+EG+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v4MMAAADeAAAADwAAAAAAAAAAAAAAAACYAgAAZHJzL2Rv&#10;d25yZXYueG1sUEsFBgAAAAAEAAQA9QAAAIgDAAAAAA==&#10;" path="m25,l50,25,25,50,,25,25,xe" filled="f" strokecolor="navy" strokeweight=".16742mm">
                    <v:path arrowok="t" o:connecttype="custom" o:connectlocs="25,6026;50,6051;25,6076;0,6051;25,6026" o:connectangles="0,0,0,0,0"/>
                  </v:shape>
                </v:group>
                <v:group id="Group 8477" o:spid="_x0000_s1618" style="position:absolute;left:8111;top:6676;width:50;height:50" coordorigin="8111,667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CoOBCzIAAAA&#10;3gAAAA8AAAAAAAAAAAAAAAAAqgIAAGRycy9kb3ducmV2LnhtbFBLBQYAAAAABAAEAPoAAACfAwAA&#10;AAA=&#10;">
                  <v:shape id="Freeform 8478" o:spid="_x0000_s1619" style="position:absolute;left:8111;top:667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NiR8QA&#10;AADeAAAADwAAAGRycy9kb3ducmV2LnhtbERP32vCMBB+H/g/hBP2NtO6OVxnFBGEMXzRDcbeLs3Z&#10;ljWXksTa/fdGEHy7j+/nLVaDbUVPPjSOFeSTDARx6UzDlYLvr+3THESIyAZbx6TgnwKslqOHBRbG&#10;nXlP/SFWIoVwKFBBHWNXSBnKmiyGieuIE3d03mJM0FfSeDyncNvKaZa9SosNp4YaO9rUVP4dTlbB&#10;cfjd5NF+ao0/szenddC+3yn1OB7W7yAiDfEuvrk/TJo/f37J4fpOukEu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jYkfEAAAA3gAAAA8AAAAAAAAAAAAAAAAAmAIAAGRycy9k&#10;b3ducmV2LnhtbFBLBQYAAAAABAAEAPUAAACJAwAAAAA=&#10;" path="m24,l,25,24,49,49,25,24,xe" fillcolor="navy" stroked="f">
                    <v:path arrowok="t" o:connecttype="custom" o:connectlocs="24,6676;0,6701;24,6725;49,6701;24,6676" o:connectangles="0,0,0,0,0"/>
                  </v:shape>
                </v:group>
                <v:group id="Group 8475" o:spid="_x0000_s1620" style="position:absolute;left:8111;top:6676;width:50;height:50" coordorigin="8111,667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ZA/wMQAAADeAAAA&#10;DwAAAAAAAAAAAAAAAACqAgAAZHJzL2Rvd25yZXYueG1sUEsFBgAAAAAEAAQA+gAAAJsDAAAAAA==&#10;">
                  <v:shape id="Freeform 8476" o:spid="_x0000_s1621" style="position:absolute;left:8111;top:667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Hrd8QA&#10;AADeAAAADwAAAGRycy9kb3ducmV2LnhtbERPS4vCMBC+C/sfwizsTVMfiHSNsiwIInvQKu51aMa2&#10;2ExqE23rrzeC4G0+vufMl60pxY1qV1hWMBxEIIhTqwvOFBz2q/4MhPPIGkvLpKAjB8vFR2+OsbYN&#10;7+iW+EyEEHYxKsi9r2IpXZqTQTewFXHgTrY26AOsM6lrbEK4KeUoiqbSYMGhIceKfnNKz8nVKCjM&#10;vsPLaHj/P7RHnfw1m85uL0p9fbY/3yA8tf4tfrnXOsyfjSdjeL4Tbp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x63fEAAAA3gAAAA8AAAAAAAAAAAAAAAAAmAIAAGRycy9k&#10;b3ducmV2LnhtbFBLBQYAAAAABAAEAPUAAACJAwAAAAA=&#10;" path="m24,l49,25,24,49,,25,24,xe" filled="f" strokecolor="navy" strokeweight=".16742mm">
                    <v:path arrowok="t" o:connecttype="custom" o:connectlocs="24,6676;49,6701;24,6725;0,6701;24,6676" o:connectangles="0,0,0,0,0"/>
                  </v:shape>
                </v:group>
                <v:group id="Group 8473" o:spid="_x0000_s1622" style="position:absolute;left:7014;top:7326;width:50;height:50" coordorigin="7014,732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TUCL8QAAADeAAAA&#10;DwAAAAAAAAAAAAAAAACqAgAAZHJzL2Rvd25yZXYueG1sUEsFBgAAAAAEAAQA+gAAAJsDAAAAAA==&#10;">
                  <v:shape id="Freeform 8474" o:spid="_x0000_s1623" style="position:absolute;left:7014;top:732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hkRMQA&#10;AADeAAAADwAAAGRycy9kb3ducmV2LnhtbERPTWsCMRC9F/ofwhS81axVi65GKYIg4qVaKL1NNuPu&#10;0s1kSdJ1/fdGKHibx/uc5bq3jejIh9qxgtEwA0FcOFNzqeDrtH2dgQgR2WDjmBRcKcB69fy0xNy4&#10;C39Sd4ylSCEcclRQxdjmUoaiIoth6FrixJ2dtxgT9KU0Hi8p3DbyLcvepcWaU0OFLW0qKn6Pf1bB&#10;uf/ZjKLda43f07nTOmjfHZQavPQfCxCR+vgQ/7t3Js2fjSdTuL+Tbp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YZETEAAAA3gAAAA8AAAAAAAAAAAAAAAAAmAIAAGRycy9k&#10;b3ducmV2LnhtbFBLBQYAAAAABAAEAPUAAACJAwAAAAA=&#10;" path="m24,l,24,24,49,49,24,24,xe" fillcolor="navy" stroked="f">
                    <v:path arrowok="t" o:connecttype="custom" o:connectlocs="24,7326;0,7350;24,7375;49,7350;24,7326" o:connectangles="0,0,0,0,0"/>
                  </v:shape>
                </v:group>
                <v:group id="Group 8470" o:spid="_x0000_s1624" style="position:absolute;left:7014;top:7326;width:50;height:50" coordorigin="7014,7326" coordsize="5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qs5w8QAAADeAAAA&#10;DwAAAAAAAAAAAAAAAACqAgAAZHJzL2Rvd25yZXYueG1sUEsFBgAAAAAEAAQA+gAAAJsDAAAAAA==&#10;">
                  <v:shape id="Freeform 8472" o:spid="_x0000_s1625" style="position:absolute;left:7014;top:732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FcQA&#10;AADeAAAADwAAAGRycy9kb3ducmV2LnhtbERP24rCMBB9X/Afwgj7tqZ2XZVqFCkr+LCwePmAsRnb&#10;YjMpSdSuX78RBN/mcK4zX3amEVdyvrasYDhIQBAXVtdcKjjs1x9TED4ga2wsk4I/8rBc9N7mmGl7&#10;4y1dd6EUMYR9hgqqENpMSl9UZNAPbEscuZN1BkOErpTa4S2Gm0amSTKWBmuODRW2lFdUnHcXo2D9&#10;nbrjj9sWh9/76JR+hTw/trlS7/1uNQMRqAsv8dO90XH+9HM0gcc78Qa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uGRXEAAAA3gAAAA8AAAAAAAAAAAAAAAAAmAIAAGRycy9k&#10;b3ducmV2LnhtbFBLBQYAAAAABAAEAPUAAACJAwAAAAA=&#10;" path="m24,l49,24,24,49,,24e" filled="f" strokecolor="navy" strokeweight=".16742mm">
                    <v:path arrowok="t" o:connecttype="custom" o:connectlocs="24,7326;49,7350;24,7375;0,7350" o:connectangles="0,0,0,0"/>
                  </v:shape>
                  <v:shape id="Freeform 8471" o:spid="_x0000_s1626" style="position:absolute;left:7014;top:7326;width:50;height:50;visibility:visible;mso-wrap-style:square;v-text-anchor:top" coordsize="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GNZ8cA&#10;AADeAAAADwAAAGRycy9kb3ducmV2LnhtbESPQWvCQBCF70L/wzIFb7ppqkVSVymhQg+FYvQHjNkx&#10;Cc3Oht2txv76zqHgbYb35r1v1tvR9epCIXaeDTzNM1DEtbcdNwaOh91sBSomZIu9ZzJwowjbzcNk&#10;jYX1V97TpUqNkhCOBRpoUxoKrWPdksM49wOxaGcfHCZZQ6NtwKuEu17nWfaiHXYsDS0OVLZUf1c/&#10;zsDuPQ+nz7Cvj1+/i3O+TGV5Gkpjpo/j2yuoRGO6m/+vP6zgr54XwivvyAx68w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ZxjWfHAAAA3gAAAA8AAAAAAAAAAAAAAAAAmAIAAGRy&#10;cy9kb3ducmV2LnhtbFBLBQYAAAAABAAEAPUAAACMAwAAAAA=&#10;" path="m,24l24,e" filled="f" strokecolor="navy" strokeweight=".16742mm">
                    <v:path arrowok="t" o:connecttype="custom" o:connectlocs="0,7350;24,7326" o:connectangles="0,0"/>
                  </v:shape>
                </v:group>
                <v:group id="Group 8468" o:spid="_x0000_s1627" style="position:absolute;left:7038;top:6051;width:2130;height:1300" coordorigin="7038,6051" coordsize="2130,13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s0rbHFAAAA3gAA&#10;AA8AAAAAAAAAAAAAAAAAqgIAAGRycy9kb3ducmV2LnhtbFBLBQYAAAAABAAEAPoAAACcAwAAAAA=&#10;">
                  <v:shape id="Freeform 8469" o:spid="_x0000_s1628" style="position:absolute;left:7038;top:6051;width:2130;height:1300;visibility:visible;mso-wrap-style:square;v-text-anchor:top" coordsize="2130,1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sGkcUA&#10;AADeAAAADwAAAGRycy9kb3ducmV2LnhtbESPQUsDMRCF74L/IYzgzSauWuq2aRFB0JNYvXgbkunu&#10;6mYSNmmz/nvnIHibYd68977Nbg6jOtGUh8gWrhcGFLGLfuDOwsf709UKVC7IHsfIZOGHMuy252cb&#10;bH2s/EanfemUmHBu0UJfSmq1zq6ngHkRE7HcDnEKWGSdOu0nrGIeRt0Ys9QBB5aEHhM99uS+98dg&#10;4fWlacxycLW6am71vU7p+PVp7eXF/LAGVWgu/+K/72cv9Vc3dwIgODKD3v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WwaRxQAAAN4AAAAPAAAAAAAAAAAAAAAAAJgCAABkcnMv&#10;ZG93bnJldi54bWxQSwUGAAAAAAQABAD1AAAAigMAAAAA&#10;" path="m,1299r4,-2l9,1295r3,-3l16,1290r5,-2l24,1285r5,-2l33,1282r3,-3l41,1277r3,-2l48,1272r5,-2l56,1267r4,-2l65,1263r3,-3l72,1258r4,-2l80,1253r5,-2l88,1248r4,-2l97,1245r3,-2l104,1240r4,-2l112,1235r4,-2l120,1231r4,-3l129,1226r3,-2l136,1221r5,-2l144,1216r4,-2l152,1212r4,-3l160,1207r4,-2l168,1203r3,-2l176,1199r4,-3l184,1194r4,-2l192,1189r4,-2l200,1184r4,-2l208,1180r4,-3l216,1175r4,-2l224,1170r5,-2l232,1165r4,-2l241,1161r3,-3l248,1156r4,-1l256,1152r4,-2l264,1148r4,-3l273,1143r3,-2l280,1138r4,-2l288,1133r4,-2l296,1129r4,-3l303,1124r5,-2l312,1119r3,-2l320,1114r4,-2l328,1110r4,-3l335,1105r5,-2l344,1100r3,-2l352,1096r4,-3l359,1091r5,-3l368,1087r4,-2l376,1082r3,-2l384,1078r4,-3l391,1073r5,-2l400,1068r3,-2l408,1063r3,-2l415,1059r5,-3l423,1054r5,-2l432,1049r3,-2l440,1045r3,-3l447,1040r5,-3l455,1035r4,-2l464,1030r3,-2l472,1026r4,-3l479,1021r5,-3l487,1016r4,-2l496,1011r3,-2l503,1007r5,-3l511,1002r4,-3l519,997r4,-2l528,992r3,-2l535,988r5,-3l543,983r4,-3l551,978r4,-2l559,973r4,-2l567,969r5,-3l575,964r4,-3l584,959r3,-2l591,954r4,-2l599,950r4,-3l607,945r4,-2l614,940r5,-2l623,935r4,-2l631,931r4,-3l639,926r4,-2l646,921r5,-2l655,916r3,-2l663,912r4,-3l671,907r4,-2l678,902r5,-2l687,897r3,-2l695,893r4,-3l702,888r5,-2l711,883r3,-2l719,878r3,-2l727,874r4,-3l734,869r5,-2l743,864r3,-2l751,860r3,-3l758,855r5,-3l766,850r5,-2l775,845r3,-2l783,841r3,-3l790,836r5,-3l798,831r4,-2l807,826r3,-2l815,822r4,-3l822,817r5,-3l830,812r4,-2l839,807r3,-2l846,803r5,-3l854,798r4,-4l862,792r4,-2l871,787r3,-2l878,782r5,-2l886,778r4,-3l895,773r3,-2l902,768r4,-2l910,763r5,-2l918,759r4,-3l927,754r3,-2l934,749r4,-2l942,744r4,-2l950,740r4,-3l957,735r5,-2l966,730r4,-2l974,724r4,-2l982,720r4,-3l989,715r5,-3l998,710r3,-2l1006,705r4,-2l1014,701r4,-3l1022,696r4,-3l1030,691r3,-2l1038,686r4,-2l1045,682r5,-3l1054,677r3,-4l1062,671r3,-2l1070,666r4,-2l1077,661r5,-2l1086,657r3,-3l1094,652r3,-2l1101,647r5,-2l1109,642r5,-2l1118,638r3,-3l1126,633r4,-4l1133,627r5,-2l1141,622r4,-2l1150,618r3,-3l1157,613r5,-3l1165,608r5,-2l1173,603r4,-2l1182,599r3,-3l1189,594r5,-4l1197,588r4,-2l1205,583r4,-2l1214,578r3,-2l1221,574r5,-3l1229,569r4,-2l1238,564r3,-2l1245,559r4,-3l1253,554r4,-3l1261,549r4,-3l1270,544r3,-2l1277,539r4,-2l1285,535r4,-3l1293,530r4,-3l1300,524r5,-2l1309,519r4,-2l1317,514r4,-2l1325,510r4,-3l1332,505r5,-2l1341,500r3,-2l1349,495r4,-3l1357,489r4,-2l1365,485r4,-3l1373,480r3,-2l1381,475r4,-2l1388,471r5,-3l1397,465r3,-3l1405,460r3,-3l1413,455r4,-2l1420,450r5,-2l1429,446r3,-3l1437,441r3,-4l1444,435r5,-2l1452,430r5,-2l1461,425r3,-2l1469,421r4,-3l1476,416r5,-4l1484,410r4,-2l1493,405r3,-2l1500,401r5,-3l1508,396r5,-3l1516,391r4,-4l1525,385r3,-2l1532,380r5,-2l1540,376r4,-3l1549,371r3,-2l1557,365r3,-2l1564,360r5,-2l1572,355r4,-2l1581,351r3,-3l1588,346r4,-4l1596,340r4,-2l1604,335r4,-2l1613,331r3,-3l1620,326r4,-3l1628,320r4,-2l1636,315r4,-2l1643,310r5,-2l1652,306r5,-3l1660,300r4,-3l1668,295r4,-2l1676,290r4,-2l1684,286r3,-3l1692,280r4,-3l1699,275r5,-3l1708,270r4,-2l1716,265r3,-2l1724,259r4,-2l1731,255r5,-3l1740,250r3,-2l1748,245r3,-2l1756,239r4,-2l1763,235r5,-3l1772,230r3,-3l1780,225r4,-2l1787,219r5,-2l1795,214r4,-2l1804,210r3,-3l1812,205r4,-4l1819,199r5,-2l1827,194r4,-2l1836,189r3,-2l1843,184r5,-3l1851,179r5,-3l1859,174r4,-2l1868,169r3,-3l1875,163r5,-2l1883,159r4,-3l1892,154r3,-3l1900,148r3,-2l1907,143r5,-2l1915,138r4,-2l1924,133r3,-3l1931,128r4,-3l1939,123r4,-2l1947,118r4,-3l1956,112r3,-2l1963,108r4,-3l1971,103r4,-4l1979,97r4,-2l1986,92r5,-2l1995,87r5,-2l2003,82r4,-3l2011,77r4,-3l2019,72r4,-2l2027,66r3,-2l2035,61r4,-2l2042,57r5,-3l2051,51r4,-3l2059,46r3,-2l2067,41r4,-2l2074,35r5,-2l2083,31r3,-3l2091,26r3,-3l2099,20r4,-3l2106,15r5,-2l2115,10r3,-2l2123,4r4,-2l2130,e" filled="f" strokeweight=".33478mm">
                    <v:path arrowok="t" o:connecttype="custom" o:connectlocs="33,7333;68,7311;104,7291;141,7270;176,7250;212,7228;248,7207;284,7187;320,7165;356,7144;391,7124;428,7103;464,7081;499,7060;535,7039;572,7017;607,6996;643,6975;678,6953;714,6932;751,6911;786,6889;822,6868;858,6845;895,6824;930,6803;966,6781;1001,6759;1038,6737;1074,6715;1109,6693;1145,6671;1182,6650;1217,6627;1253,6605;1289,6583;1325,6561;1361,6538;1397,6516;1432,6494;1469,6472;1505,6449;1540,6427;1576,6404;1613,6382;1648,6359;1684,6337;1719,6314;1756,6290;1792,6268;1827,6245;1863,6223;1900,6199;1935,6176;1971,6154;2007,6130;2042,6108;2079,6084;2115,6061" o:connectangles="0,0,0,0,0,0,0,0,0,0,0,0,0,0,0,0,0,0,0,0,0,0,0,0,0,0,0,0,0,0,0,0,0,0,0,0,0,0,0,0,0,0,0,0,0,0,0,0,0,0,0,0,0,0,0,0,0,0,0"/>
                  </v:shape>
                </v:group>
                <v:group id="Group 8466" o:spid="_x0000_s1629" style="position:absolute;left:6693;top:5575;width:3178;height:2252" coordorigin="6693,5575" coordsize="3178,22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Js3asQAAADeAAAA&#10;DwAAAAAAAAAAAAAAAACqAgAAZHJzL2Rvd25yZXYueG1sUEsFBgAAAAAEAAQA+gAAAJsDAAAAAA==&#10;">
                  <v:shape id="Freeform 8467" o:spid="_x0000_s1630" style="position:absolute;left:6693;top:5575;width:3178;height:2252;visibility:visible;mso-wrap-style:square;v-text-anchor:top" coordsize="3178,22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eqmMYA&#10;AADeAAAADwAAAGRycy9kb3ducmV2LnhtbERPS2vCQBC+C/0PyxS8SN3Uog2pGymK6EHBpqX0OGQn&#10;D8zOhuxq0n/fLQje5uN7znI1mEZcqXO1ZQXP0wgEcW51zaWCr8/tUwzCeWSNjWVS8EsOVunDaImJ&#10;tj1/0DXzpQgh7BJUUHnfJlK6vCKDbmpb4sAVtjPoA+xKqTvsQ7hp5CyKFtJgzaGhwpbWFeXn7GIU&#10;zH9w920PfTzs2+z0ei6Pm0lxVGr8OLy/gfA0+Lv45t7rMD9+mc/g/51wg0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eqmMYAAADeAAAADwAAAAAAAAAAAAAAAACYAgAAZHJz&#10;L2Rvd25yZXYueG1sUEsFBgAAAAAEAAQA9QAAAIsDAAAAAA==&#10;" path="m,2251r3178,l3178,,,,,2251xe" filled="f" strokeweight=".02442mm">
                    <v:path arrowok="t" o:connecttype="custom" o:connectlocs="0,7826;3178,7826;3178,5575;0,5575;0,7826" o:connectangles="0,0,0,0,0"/>
                  </v:shape>
                </v:group>
                <v:group id="Group 8404" o:spid="_x0000_s1631" style="position:absolute;left:5;top:5;width:10888;height:10648" coordorigin="5,5" coordsize="10888,106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wUMhsQAAADeAAAA&#10;DwAAAAAAAAAAAAAAAACqAgAAZHJzL2Rvd25yZXYueG1sUEsFBgAAAAAEAAQA+gAAAJsDAAAAAA==&#10;">
                  <v:shape id="Freeform 8465" o:spid="_x0000_s1632" style="position:absolute;left:5;top:5;width:10888;height:10648;visibility:visible;mso-wrap-style:square;v-text-anchor:top" coordsize="10888,106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L0YcQA&#10;AADeAAAADwAAAGRycy9kb3ducmV2LnhtbERPS2sCMRC+C/0PYQpepGbro5WtUYogiD35AD0Om3Gz&#10;uJksSdT13xuh4G0+vudM562txZV8qBwr+OxnIIgLpysuFex3y48JiBCRNdaOScGdAsxnb50p5trd&#10;eEPXbSxFCuGQowITY5NLGQpDFkPfNcSJOzlvMSboS6k93lK4reUgy76kxYpTg8GGFoaK8/ZiFRx3&#10;371TscfVIfPr873+25TDnlGq+97+/oCI1MaX+N+90mn+ZDgewfOddIO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y9GHEAAAA3gAAAA8AAAAAAAAAAAAAAAAAmAIAAGRycy9k&#10;b3ducmV2LnhtbFBLBQYAAAAABAAEAPUAAACJAwAAAAA=&#10;" path="m,10648r10888,l10888,,,,,10648xe" filled="f" strokeweight=".5pt">
                    <v:path arrowok="t" o:connecttype="custom" o:connectlocs="0,10653;10888,10653;10888,5;0,5;0,10653" o:connectangles="0,0,0,0,0"/>
                  </v:shape>
                  <v:shape id="Text Box 8464" o:spid="_x0000_s1633" type="#_x0000_t202" style="position:absolute;left:34;top:29;width:768;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Y4+8UA&#10;AADeAAAADwAAAGRycy9kb3ducmV2LnhtbERPTWvCQBC9C/0PyxS86aYVxUY3IqWFQkEa46HHMTsm&#10;S7KzaXar6b93C4K3ebzPWW8G24oz9d44VvA0TUAQl04brhQcivfJEoQPyBpbx6TgjzxssofRGlPt&#10;LpzTeR8qEUPYp6igDqFLpfRlTRb91HXEkTu53mKIsK+k7vESw20rn5NkIS0ajg01dvRaU9nsf62C&#10;7Tfnb+Znd/zKT7kpipeEPxeNUuPHYbsCEWgId/HN/aHj/OVsPof/d+INMr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Jjj7xQAAAN4AAAAPAAAAAAAAAAAAAAAAAJgCAABkcnMv&#10;ZG93bnJldi54bWxQSwUGAAAAAAQABAD1AAAAigMAAAAA&#10;" filled="f" stroked="f">
                    <v:textbox inset="0,0,0,0">
                      <w:txbxContent>
                        <w:p w14:paraId="55D351B4" w14:textId="77777777" w:rsidR="00CB53E4" w:rsidRDefault="00CB53E4" w:rsidP="0031675F">
                          <w:pPr>
                            <w:spacing w:line="98" w:lineRule="exact"/>
                            <w:rPr>
                              <w:rFonts w:eastAsia="Arial" w:cs="Arial"/>
                              <w:sz w:val="10"/>
                              <w:szCs w:val="10"/>
                            </w:rPr>
                          </w:pPr>
                          <w:r>
                            <w:rPr>
                              <w:b/>
                              <w:spacing w:val="-1"/>
                              <w:sz w:val="10"/>
                            </w:rPr>
                            <w:t>10th</w:t>
                          </w:r>
                          <w:r>
                            <w:rPr>
                              <w:b/>
                              <w:spacing w:val="-9"/>
                              <w:sz w:val="10"/>
                            </w:rPr>
                            <w:t xml:space="preserve"> </w:t>
                          </w:r>
                          <w:r>
                            <w:rPr>
                              <w:b/>
                              <w:sz w:val="10"/>
                            </w:rPr>
                            <w:t>March</w:t>
                          </w:r>
                          <w:r>
                            <w:rPr>
                              <w:b/>
                              <w:spacing w:val="-8"/>
                              <w:sz w:val="10"/>
                            </w:rPr>
                            <w:t xml:space="preserve"> </w:t>
                          </w:r>
                          <w:r>
                            <w:rPr>
                              <w:b/>
                              <w:spacing w:val="-1"/>
                              <w:sz w:val="10"/>
                            </w:rPr>
                            <w:t>2009</w:t>
                          </w:r>
                        </w:p>
                      </w:txbxContent>
                    </v:textbox>
                  </v:shape>
                  <v:shape id="Text Box 8463" o:spid="_x0000_s1634" type="#_x0000_t202" style="position:absolute;left:5492;top:395;width:297;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SmjMUA&#10;AADeAAAADwAAAGRycy9kb3ducmV2LnhtbERPTWvCQBC9F/oflil4q5tWDDZ1FSkKgiCN6cHjmB2T&#10;xexszK4a/71bKPQ2j/c503lvG3GlzhvHCt6GCQji0mnDlYKfYvU6AeEDssbGMSm4k4f57Plpipl2&#10;N87puguViCHsM1RQh9BmUvqyJot+6FriyB1dZzFE2FVSd3iL4baR70mSSouGY0ONLX3VVJ52F6tg&#10;sed8ac7bw3d+zE1RfCS8SU9KDV76xSeIQH34F/+51zrOn4zGKfy+E2+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9KaMxQAAAN4AAAAPAAAAAAAAAAAAAAAAAJgCAABkcnMv&#10;ZG93bnJldi54bWxQSwUGAAAAAAQABAD1AAAAigMAAAAA&#10;" filled="f" stroked="f">
                    <v:textbox inset="0,0,0,0">
                      <w:txbxContent>
                        <w:p w14:paraId="36044FB4" w14:textId="77777777" w:rsidR="00CB53E4" w:rsidRDefault="00CB53E4" w:rsidP="0031675F">
                          <w:pPr>
                            <w:spacing w:line="98" w:lineRule="exact"/>
                            <w:rPr>
                              <w:rFonts w:eastAsia="Arial" w:cs="Arial"/>
                              <w:sz w:val="10"/>
                              <w:szCs w:val="10"/>
                            </w:rPr>
                          </w:pPr>
                          <w:r>
                            <w:rPr>
                              <w:spacing w:val="-1"/>
                              <w:w w:val="95"/>
                              <w:sz w:val="10"/>
                            </w:rPr>
                            <w:t>Blanks</w:t>
                          </w:r>
                        </w:p>
                      </w:txbxContent>
                    </v:textbox>
                  </v:shape>
                  <v:shape id="Text Box 8462" o:spid="_x0000_s1635" type="#_x0000_t202" style="position:absolute;left:2218;top:517;width:853;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gDF8UA&#10;AADeAAAADwAAAGRycy9kb3ducmV2LnhtbERPS2vCQBC+F/wPywi91Y2W+oiuImKhUCjGePA4Zsdk&#10;MTsbs1tN/323UPA2H99zFqvO1uJGrTeOFQwHCQjiwmnDpYJD/v4yBeEDssbaMSn4IQ+rZe9pgal2&#10;d87otg+liCHsU1RQhdCkUvqiIot+4BriyJ1dazFE2JZSt3iP4baWoyQZS4uGY0OFDW0qKi77b6tg&#10;feRsa65fp112zkyezxL+HF+Ueu536zmIQF14iP/dHzrOn76+TeDvnXiD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uAMXxQAAAN4AAAAPAAAAAAAAAAAAAAAAAJgCAABkcnMv&#10;ZG93bnJldi54bWxQSwUGAAAAAAQABAD1AAAAigMAAAAA&#10;" filled="f" stroked="f">
                    <v:textbox inset="0,0,0,0">
                      <w:txbxContent>
                        <w:p w14:paraId="67839A69" w14:textId="77777777" w:rsidR="00CB53E4" w:rsidRDefault="00CB53E4" w:rsidP="0031675F">
                          <w:pPr>
                            <w:spacing w:line="101" w:lineRule="exact"/>
                            <w:rPr>
                              <w:rFonts w:eastAsia="Arial" w:cs="Arial"/>
                              <w:sz w:val="10"/>
                              <w:szCs w:val="10"/>
                            </w:rPr>
                          </w:pPr>
                          <w:r>
                            <w:rPr>
                              <w:spacing w:val="-1"/>
                              <w:sz w:val="10"/>
                            </w:rPr>
                            <w:t>Predicted</w:t>
                          </w:r>
                          <w:r>
                            <w:rPr>
                              <w:sz w:val="10"/>
                            </w:rPr>
                            <w:t xml:space="preserve">    </w:t>
                          </w:r>
                          <w:r>
                            <w:rPr>
                              <w:spacing w:val="20"/>
                              <w:sz w:val="10"/>
                            </w:rPr>
                            <w:t xml:space="preserve"> </w:t>
                          </w:r>
                          <w:r>
                            <w:rPr>
                              <w:sz w:val="10"/>
                            </w:rPr>
                            <w:t>minus</w:t>
                          </w:r>
                        </w:p>
                        <w:p w14:paraId="3EC7940C" w14:textId="77777777" w:rsidR="00CB53E4" w:rsidRDefault="00CB53E4" w:rsidP="0031675F">
                          <w:pPr>
                            <w:tabs>
                              <w:tab w:val="left" w:pos="596"/>
                            </w:tabs>
                            <w:spacing w:before="7" w:line="112" w:lineRule="exact"/>
                            <w:ind w:left="97"/>
                            <w:rPr>
                              <w:rFonts w:eastAsia="Arial" w:cs="Arial"/>
                              <w:sz w:val="10"/>
                              <w:szCs w:val="10"/>
                            </w:rPr>
                          </w:pPr>
                          <w:r>
                            <w:rPr>
                              <w:spacing w:val="-1"/>
                              <w:w w:val="95"/>
                              <w:sz w:val="10"/>
                            </w:rPr>
                            <w:t>Blank</w:t>
                          </w:r>
                          <w:r>
                            <w:rPr>
                              <w:spacing w:val="-1"/>
                              <w:w w:val="95"/>
                              <w:sz w:val="10"/>
                            </w:rPr>
                            <w:tab/>
                          </w:r>
                          <w:r>
                            <w:rPr>
                              <w:spacing w:val="-1"/>
                              <w:sz w:val="10"/>
                            </w:rPr>
                            <w:t>Blank</w:t>
                          </w:r>
                        </w:p>
                      </w:txbxContent>
                    </v:textbox>
                  </v:shape>
                  <v:shape id="Text Box 8461" o:spid="_x0000_s1636" type="#_x0000_t202" style="position:absolute;left:3218;top:517;width:416;height: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eXZcgA&#10;AADeAAAADwAAAGRycy9kb3ducmV2LnhtbESPQWvCQBCF70L/wzKF3nTTFsWmriKlBUGQxvTQ4zQ7&#10;JovZ2TS71fjvnUPB2wzvzXvfLFaDb9WJ+ugCG3icZKCIq2Ad1wa+yo/xHFRMyBbbwGTgQhFWy7vR&#10;AnMbzlzQaZ9qJSEcczTQpNTlWseqIY9xEjpi0Q6h95hk7WttezxLuG/1U5bNtEfH0tBgR28NVcf9&#10;nzew/ubi3f3ufj6LQ+HK8iXj7exozMP9sH4FlWhIN/P/9cYK/vx5Krzyjsygl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J5dlyAAAAN4AAAAPAAAAAAAAAAAAAAAAAJgCAABk&#10;cnMvZG93bnJldi54bWxQSwUGAAAAAAQABAD1AAAAjQMAAAAA&#10;" filled="f" stroked="f">
                    <v:textbox inset="0,0,0,0">
                      <w:txbxContent>
                        <w:p w14:paraId="2B2FF622" w14:textId="77777777" w:rsidR="00CB53E4" w:rsidRDefault="00CB53E4" w:rsidP="0031675F">
                          <w:pPr>
                            <w:spacing w:line="101" w:lineRule="exact"/>
                            <w:ind w:left="97" w:hanging="98"/>
                            <w:rPr>
                              <w:rFonts w:eastAsia="Arial" w:cs="Arial"/>
                              <w:sz w:val="10"/>
                              <w:szCs w:val="10"/>
                            </w:rPr>
                          </w:pPr>
                          <w:r>
                            <w:rPr>
                              <w:spacing w:val="-1"/>
                              <w:w w:val="95"/>
                              <w:sz w:val="10"/>
                            </w:rPr>
                            <w:t>Predicted</w:t>
                          </w:r>
                        </w:p>
                        <w:p w14:paraId="6A02342A" w14:textId="77777777" w:rsidR="00CB53E4" w:rsidRDefault="00CB53E4" w:rsidP="0031675F">
                          <w:pPr>
                            <w:spacing w:before="7" w:line="254" w:lineRule="auto"/>
                            <w:ind w:left="147" w:right="70" w:hanging="50"/>
                            <w:rPr>
                              <w:rFonts w:eastAsia="Arial" w:cs="Arial"/>
                              <w:sz w:val="10"/>
                              <w:szCs w:val="10"/>
                            </w:rPr>
                          </w:pPr>
                          <w:r>
                            <w:rPr>
                              <w:spacing w:val="-1"/>
                              <w:w w:val="95"/>
                              <w:sz w:val="10"/>
                            </w:rPr>
                            <w:t>2ppm</w:t>
                          </w:r>
                          <w:r>
                            <w:rPr>
                              <w:spacing w:val="19"/>
                              <w:w w:val="98"/>
                              <w:sz w:val="10"/>
                            </w:rPr>
                            <w:t xml:space="preserve"> </w:t>
                          </w:r>
                          <w:r>
                            <w:rPr>
                              <w:spacing w:val="-1"/>
                              <w:sz w:val="10"/>
                            </w:rPr>
                            <w:t>Std</w:t>
                          </w:r>
                        </w:p>
                      </w:txbxContent>
                    </v:textbox>
                  </v:shape>
                  <v:shape id="Text Box 8460" o:spid="_x0000_s1637" type="#_x0000_t202" style="position:absolute;left:3842;top:517;width:192;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sy/sQA&#10;AADeAAAADwAAAGRycy9kb3ducmV2LnhtbERPTWvCQBC9C/0PyxR6040WRaOriLQgCMUYDz1Os2Oy&#10;mJ1Ns1uN/74rCN7m8T5nsepsLS7UeuNYwXCQgCAunDZcKjjmn/0pCB+QNdaOScGNPKyWL70Fptpd&#10;OaPLIZQihrBPUUEVQpNK6YuKLPqBa4gjd3KtxRBhW0rd4jWG21qOkmQiLRqODRU2tKmoOB/+rIL1&#10;N2cf5vfrZ5+dMpPns4R3k7NSb6/deg4iUBee4od7q+P86ft4Bvd34g1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rMv7EAAAA3gAAAA8AAAAAAAAAAAAAAAAAmAIAAGRycy9k&#10;b3ducmV2LnhtbFBLBQYAAAAABAAEAPUAAACJAwAAAAA=&#10;" filled="f" stroked="f">
                    <v:textbox inset="0,0,0,0">
                      <w:txbxContent>
                        <w:p w14:paraId="7589FD3C" w14:textId="77777777" w:rsidR="00CB53E4" w:rsidRDefault="00CB53E4" w:rsidP="0031675F">
                          <w:pPr>
                            <w:spacing w:line="101" w:lineRule="exact"/>
                            <w:ind w:firstLine="5"/>
                            <w:rPr>
                              <w:rFonts w:eastAsia="Arial" w:cs="Arial"/>
                              <w:sz w:val="10"/>
                              <w:szCs w:val="10"/>
                            </w:rPr>
                          </w:pPr>
                          <w:r>
                            <w:rPr>
                              <w:sz w:val="10"/>
                            </w:rPr>
                            <w:t>Drift</w:t>
                          </w:r>
                        </w:p>
                        <w:p w14:paraId="49C4E8CC" w14:textId="77777777" w:rsidR="00CB53E4" w:rsidRDefault="00CB53E4" w:rsidP="0031675F">
                          <w:pPr>
                            <w:spacing w:before="7" w:line="112" w:lineRule="exact"/>
                            <w:rPr>
                              <w:rFonts w:eastAsia="Arial" w:cs="Arial"/>
                              <w:sz w:val="10"/>
                              <w:szCs w:val="10"/>
                            </w:rPr>
                          </w:pPr>
                          <w:r>
                            <w:rPr>
                              <w:w w:val="95"/>
                              <w:sz w:val="10"/>
                            </w:rPr>
                            <w:t>Corr</w:t>
                          </w:r>
                        </w:p>
                      </w:txbxContent>
                    </v:textbox>
                  </v:shape>
                  <v:shape id="Text Box 8459" o:spid="_x0000_s1638" type="#_x0000_t202" style="position:absolute;left:4418;top:517;width:416;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R3scA&#10;AADeAAAADwAAAGRycy9kb3ducmV2LnhtbESPQUvDQBCF7wX/wzJCb+1GhVBjt6WIglCQJvHgccxO&#10;k6XZ2Zhd2/jvOwfB2wzz5r33rbeT79WZxugCG7hbZqCIm2AdtwY+6tfFClRMyBb7wGTglyJsNzez&#10;NRY2XLikc5VaJSYcCzTQpTQUWsemI49xGQZiuR3D6DHJOrbajngRc9/r+yzLtUfHktDhQM8dNafq&#10;xxvYfXL54r7fvw7lsXR1/ZjxPj8ZM7+ddk+gEk3pX/z3/Wal/uohFwDBkRn05g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g9Ud7HAAAA3gAAAA8AAAAAAAAAAAAAAAAAmAIAAGRy&#10;cy9kb3ducmV2LnhtbFBLBQYAAAAABAAEAPUAAACMAwAAAAA=&#10;" filled="f" stroked="f">
                    <v:textbox inset="0,0,0,0">
                      <w:txbxContent>
                        <w:p w14:paraId="4F95B91F" w14:textId="77777777" w:rsidR="00CB53E4" w:rsidRDefault="00CB53E4" w:rsidP="0031675F">
                          <w:pPr>
                            <w:spacing w:line="98" w:lineRule="exact"/>
                            <w:rPr>
                              <w:rFonts w:eastAsia="Arial" w:cs="Arial"/>
                              <w:sz w:val="10"/>
                              <w:szCs w:val="10"/>
                            </w:rPr>
                          </w:pPr>
                          <w:r>
                            <w:rPr>
                              <w:spacing w:val="-1"/>
                              <w:w w:val="95"/>
                              <w:sz w:val="10"/>
                            </w:rPr>
                            <w:t>Resloped</w:t>
                          </w:r>
                        </w:p>
                      </w:txbxContent>
                    </v:textbox>
                  </v:shape>
                  <v:shape id="Text Box 8458" o:spid="_x0000_s1639" type="#_x0000_t202" style="position:absolute;left:533;top:1006;width:1152;height:14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H0RcQA&#10;AADeAAAADwAAAGRycy9kb3ducmV2LnhtbERPTWvCQBC9F/wPywi91Y0Wgo2uIqJQKEhjPHgcs2Oy&#10;mJ2N2VXjv+8WCr3N433OfNnbRtyp88axgvEoAUFcOm24UnAotm9TED4ga2wck4IneVguBi9zzLR7&#10;cE73fahEDGGfoYI6hDaT0pc1WfQj1xJH7uw6iyHCrpK6w0cMt42cJEkqLRqODTW2tK6pvOxvVsHq&#10;yPnGXHen7/ycm6L4SPgrvSj1OuxXMxCB+vAv/nN/6jh/+p6O4fedeIN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x9EXEAAAA3gAAAA8AAAAAAAAAAAAAAAAAmAIAAGRycy9k&#10;b3ducmV2LnhtbFBLBQYAAAAABAAEAPUAAACJAwAAAAA=&#10;" filled="f" stroked="f">
                    <v:textbox inset="0,0,0,0">
                      <w:txbxContent>
                        <w:p w14:paraId="156666C2" w14:textId="77777777" w:rsidR="00CB53E4" w:rsidRDefault="00CB53E4" w:rsidP="0031675F">
                          <w:pPr>
                            <w:spacing w:line="101" w:lineRule="exact"/>
                            <w:jc w:val="both"/>
                            <w:rPr>
                              <w:rFonts w:eastAsia="Arial" w:cs="Arial"/>
                              <w:sz w:val="10"/>
                              <w:szCs w:val="10"/>
                            </w:rPr>
                          </w:pPr>
                          <w:r>
                            <w:rPr>
                              <w:spacing w:val="-1"/>
                              <w:sz w:val="10"/>
                            </w:rPr>
                            <w:t>2ppm</w:t>
                          </w:r>
                          <w:r>
                            <w:rPr>
                              <w:spacing w:val="-7"/>
                              <w:sz w:val="10"/>
                            </w:rPr>
                            <w:t xml:space="preserve"> </w:t>
                          </w:r>
                          <w:r>
                            <w:rPr>
                              <w:sz w:val="10"/>
                            </w:rPr>
                            <w:t>OC</w:t>
                          </w:r>
                        </w:p>
                        <w:p w14:paraId="1480ED22" w14:textId="77777777" w:rsidR="00CB53E4" w:rsidRDefault="00CB53E4" w:rsidP="0031675F">
                          <w:pPr>
                            <w:spacing w:before="7" w:line="254" w:lineRule="auto"/>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r>
                            <w:rPr>
                              <w:spacing w:val="25"/>
                              <w:w w:val="98"/>
                              <w:sz w:val="10"/>
                            </w:rPr>
                            <w:t xml:space="preserve"> </w:t>
                          </w:r>
                          <w:r>
                            <w:rPr>
                              <w:spacing w:val="-1"/>
                              <w:sz w:val="10"/>
                            </w:rPr>
                            <w:t>0ppm</w:t>
                          </w:r>
                          <w:r>
                            <w:rPr>
                              <w:spacing w:val="-7"/>
                              <w:sz w:val="10"/>
                            </w:rPr>
                            <w:t xml:space="preserve"> </w:t>
                          </w:r>
                          <w:r>
                            <w:rPr>
                              <w:sz w:val="10"/>
                            </w:rPr>
                            <w:t>OC</w:t>
                          </w:r>
                        </w:p>
                        <w:p w14:paraId="3115DDDC" w14:textId="77777777" w:rsidR="00CB53E4" w:rsidRDefault="00CB53E4" w:rsidP="0031675F">
                          <w:pPr>
                            <w:spacing w:line="254" w:lineRule="auto"/>
                            <w:ind w:right="726"/>
                            <w:jc w:val="both"/>
                            <w:rPr>
                              <w:rFonts w:eastAsia="Arial" w:cs="Arial"/>
                              <w:sz w:val="10"/>
                              <w:szCs w:val="10"/>
                            </w:rPr>
                          </w:pPr>
                          <w:r>
                            <w:rPr>
                              <w:spacing w:val="-1"/>
                              <w:sz w:val="10"/>
                            </w:rPr>
                            <w:t>0ppm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2EED16B7" w14:textId="77777777" w:rsidR="00CB53E4" w:rsidRDefault="00CB53E4" w:rsidP="0031675F">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v:textbox>
                  </v:shape>
                  <v:shape id="Text Box 8457" o:spid="_x0000_s1640" type="#_x0000_t202" style="position:absolute;left:533;top:6748;width:1152;height:10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NqMsQA&#10;AADeAAAADwAAAGRycy9kb3ducmV2LnhtbERPTWvCQBC9F/wPywi91Y0KwUZXEakgFIoxHjyO2TFZ&#10;zM6m2VXTf+8WCr3N433OYtXbRtyp88axgvEoAUFcOm24UnAstm8zED4ga2wck4If8rBaDl4WmGn3&#10;4Jzuh1CJGMI+QwV1CG0mpS9rsuhHriWO3MV1FkOEXSV1h48Ybhs5SZJUWjQcG2psaVNTeT3crIL1&#10;ifMP8/113ueX3BTFe8Kf6VWp12G/noMI1Id/8Z97p+P82TSdwO878Qa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jajLEAAAA3gAAAA8AAAAAAAAAAAAAAAAAmAIAAGRycy9k&#10;b3ducmV2LnhtbFBLBQYAAAAABAAEAPUAAACJAwAAAAA=&#10;" filled="f" stroked="f">
                    <v:textbox inset="0,0,0,0">
                      <w:txbxContent>
                        <w:p w14:paraId="3E6330E2" w14:textId="77777777" w:rsidR="00CB53E4" w:rsidRDefault="00CB53E4" w:rsidP="0031675F">
                          <w:pPr>
                            <w:spacing w:line="101"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p w14:paraId="7E572E75" w14:textId="77777777" w:rsidR="00CB53E4" w:rsidRDefault="00CB53E4" w:rsidP="0031675F">
                          <w:pPr>
                            <w:spacing w:before="7" w:line="254" w:lineRule="auto"/>
                            <w:ind w:right="726"/>
                            <w:jc w:val="both"/>
                            <w:rPr>
                              <w:rFonts w:eastAsia="Arial" w:cs="Arial"/>
                              <w:sz w:val="10"/>
                              <w:szCs w:val="10"/>
                            </w:rPr>
                          </w:pPr>
                          <w:r>
                            <w:rPr>
                              <w:spacing w:val="-1"/>
                              <w:sz w:val="10"/>
                            </w:rPr>
                            <w:t>2ppm</w:t>
                          </w:r>
                          <w:r>
                            <w:rPr>
                              <w:spacing w:val="-6"/>
                              <w:sz w:val="10"/>
                            </w:rPr>
                            <w:t xml:space="preserve"> </w:t>
                          </w:r>
                          <w:r>
                            <w:rPr>
                              <w:sz w:val="10"/>
                            </w:rPr>
                            <w:t>OC</w:t>
                          </w:r>
                          <w:r>
                            <w:rPr>
                              <w:spacing w:val="23"/>
                              <w:w w:val="98"/>
                              <w:sz w:val="10"/>
                            </w:rPr>
                            <w:t xml:space="preserve"> </w:t>
                          </w: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719E2EF8" w14:textId="77777777" w:rsidR="00CB53E4" w:rsidRDefault="00CB53E4" w:rsidP="0031675F">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v:textbox>
                  </v:shape>
                  <v:shape id="Text Box 8456" o:spid="_x0000_s1641" type="#_x0000_t202" style="position:absolute;left:1844;top:1006;width:2207;height:9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PqcQA&#10;AADeAAAADwAAAGRycy9kb3ducmV2LnhtbERPTWvCQBC9F/wPyxS81U0rBI2uItJCQRBjeuhxzI7J&#10;YnY2zW41/ntXELzN433OfNnbRpyp88axgvdRAoK4dNpwpeCn+HqbgPABWWPjmBRcycNyMXiZY6bd&#10;hXM670MlYgj7DBXUIbSZlL6syaIfuZY4ckfXWQwRdpXUHV5iuG3kR5Kk0qLh2FBjS+uaytP+3ypY&#10;/XL+af62h11+zE1RTBPepCelhq/9agYiUB+e4of7W8f5k3E6hvs78Qa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vz6nEAAAA3gAAAA8AAAAAAAAAAAAAAAAAmAIAAGRycy9k&#10;b3ducmV2LnhtbFBLBQYAAAAABAAEAPUAAACJAwAAAAA=&#10;" filled="f" stroked="f">
                    <v:textbox inset="0,0,0,0">
                      <w:txbxContent>
                        <w:p w14:paraId="3BAA6CE5" w14:textId="77777777" w:rsidR="00CB53E4" w:rsidRDefault="00CB53E4" w:rsidP="0031675F">
                          <w:pPr>
                            <w:tabs>
                              <w:tab w:val="left" w:pos="499"/>
                              <w:tab w:val="left" w:pos="999"/>
                              <w:tab w:val="left" w:pos="1499"/>
                              <w:tab w:val="left" w:pos="1998"/>
                            </w:tabs>
                            <w:spacing w:line="101" w:lineRule="exact"/>
                            <w:rPr>
                              <w:rFonts w:eastAsia="Arial" w:cs="Arial"/>
                              <w:sz w:val="10"/>
                              <w:szCs w:val="10"/>
                            </w:rPr>
                          </w:pPr>
                          <w:r>
                            <w:rPr>
                              <w:spacing w:val="-1"/>
                              <w:w w:val="95"/>
                              <w:sz w:val="10"/>
                            </w:rPr>
                            <w:t>4.42</w:t>
                          </w:r>
                          <w:r>
                            <w:rPr>
                              <w:spacing w:val="-1"/>
                              <w:w w:val="95"/>
                              <w:sz w:val="10"/>
                            </w:rPr>
                            <w:tab/>
                            <w:t>0.55</w:t>
                          </w:r>
                          <w:r>
                            <w:rPr>
                              <w:spacing w:val="-1"/>
                              <w:w w:val="95"/>
                              <w:sz w:val="10"/>
                            </w:rPr>
                            <w:tab/>
                            <w:t>3.86</w:t>
                          </w:r>
                          <w:r>
                            <w:rPr>
                              <w:spacing w:val="-1"/>
                              <w:w w:val="95"/>
                              <w:sz w:val="10"/>
                            </w:rPr>
                            <w:tab/>
                            <w:t>3.79</w:t>
                          </w:r>
                          <w:r>
                            <w:rPr>
                              <w:spacing w:val="-1"/>
                              <w:w w:val="95"/>
                              <w:sz w:val="10"/>
                            </w:rPr>
                            <w:tab/>
                          </w:r>
                          <w:r>
                            <w:rPr>
                              <w:spacing w:val="-1"/>
                              <w:sz w:val="10"/>
                            </w:rPr>
                            <w:t>2.04</w:t>
                          </w:r>
                        </w:p>
                        <w:p w14:paraId="14205C52"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2.61</w:t>
                          </w:r>
                          <w:r>
                            <w:rPr>
                              <w:spacing w:val="-1"/>
                              <w:w w:val="95"/>
                              <w:sz w:val="10"/>
                            </w:rPr>
                            <w:tab/>
                            <w:t>0.55</w:t>
                          </w:r>
                          <w:r>
                            <w:rPr>
                              <w:spacing w:val="-1"/>
                              <w:w w:val="95"/>
                              <w:sz w:val="10"/>
                            </w:rPr>
                            <w:tab/>
                            <w:t>2.06</w:t>
                          </w:r>
                          <w:r>
                            <w:rPr>
                              <w:spacing w:val="-1"/>
                              <w:w w:val="95"/>
                              <w:sz w:val="10"/>
                            </w:rPr>
                            <w:tab/>
                            <w:t>3.81</w:t>
                          </w:r>
                          <w:r>
                            <w:rPr>
                              <w:spacing w:val="-1"/>
                              <w:w w:val="95"/>
                              <w:sz w:val="10"/>
                            </w:rPr>
                            <w:tab/>
                          </w:r>
                          <w:r>
                            <w:rPr>
                              <w:spacing w:val="-1"/>
                              <w:sz w:val="10"/>
                            </w:rPr>
                            <w:t>1.08</w:t>
                          </w:r>
                        </w:p>
                        <w:p w14:paraId="38826213"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0.64</w:t>
                          </w:r>
                          <w:r>
                            <w:rPr>
                              <w:spacing w:val="-1"/>
                              <w:w w:val="95"/>
                              <w:sz w:val="10"/>
                            </w:rPr>
                            <w:tab/>
                            <w:t>0.54</w:t>
                          </w:r>
                          <w:r>
                            <w:rPr>
                              <w:spacing w:val="-1"/>
                              <w:w w:val="95"/>
                              <w:sz w:val="10"/>
                            </w:rPr>
                            <w:tab/>
                            <w:t>0.09</w:t>
                          </w:r>
                          <w:r>
                            <w:rPr>
                              <w:spacing w:val="-1"/>
                              <w:w w:val="95"/>
                              <w:sz w:val="10"/>
                            </w:rPr>
                            <w:tab/>
                            <w:t>3.82</w:t>
                          </w:r>
                          <w:r>
                            <w:rPr>
                              <w:spacing w:val="-1"/>
                              <w:w w:val="95"/>
                              <w:sz w:val="10"/>
                            </w:rPr>
                            <w:tab/>
                          </w:r>
                          <w:r>
                            <w:rPr>
                              <w:spacing w:val="-1"/>
                              <w:sz w:val="10"/>
                            </w:rPr>
                            <w:t>0.05</w:t>
                          </w:r>
                        </w:p>
                        <w:p w14:paraId="7CF933C9" w14:textId="77777777" w:rsidR="00CB53E4" w:rsidRDefault="00CB53E4" w:rsidP="0031675F">
                          <w:pPr>
                            <w:tabs>
                              <w:tab w:val="left" w:pos="499"/>
                              <w:tab w:val="left" w:pos="982"/>
                              <w:tab w:val="left" w:pos="1499"/>
                              <w:tab w:val="left" w:pos="1982"/>
                            </w:tabs>
                            <w:spacing w:before="7"/>
                            <w:rPr>
                              <w:rFonts w:eastAsia="Arial" w:cs="Arial"/>
                              <w:sz w:val="10"/>
                              <w:szCs w:val="10"/>
                            </w:rPr>
                          </w:pPr>
                          <w:r>
                            <w:rPr>
                              <w:spacing w:val="-1"/>
                              <w:w w:val="95"/>
                              <w:sz w:val="10"/>
                            </w:rPr>
                            <w:t>0.43</w:t>
                          </w:r>
                          <w:r>
                            <w:rPr>
                              <w:spacing w:val="-1"/>
                              <w:w w:val="95"/>
                              <w:sz w:val="10"/>
                            </w:rPr>
                            <w:tab/>
                            <w:t>0.54</w:t>
                          </w:r>
                          <w:r>
                            <w:rPr>
                              <w:spacing w:val="-1"/>
                              <w:w w:val="95"/>
                              <w:sz w:val="10"/>
                            </w:rPr>
                            <w:tab/>
                            <w:t>-0.11</w:t>
                          </w:r>
                          <w:r>
                            <w:rPr>
                              <w:spacing w:val="-1"/>
                              <w:w w:val="95"/>
                              <w:sz w:val="10"/>
                            </w:rPr>
                            <w:tab/>
                            <w:t>3.83</w:t>
                          </w:r>
                          <w:r>
                            <w:rPr>
                              <w:spacing w:val="-1"/>
                              <w:w w:val="95"/>
                              <w:sz w:val="10"/>
                            </w:rPr>
                            <w:tab/>
                            <w:t>-0.06</w:t>
                          </w:r>
                        </w:p>
                        <w:p w14:paraId="7F44B1C2"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4.33</w:t>
                          </w:r>
                          <w:r>
                            <w:rPr>
                              <w:spacing w:val="-1"/>
                              <w:w w:val="95"/>
                              <w:sz w:val="10"/>
                            </w:rPr>
                            <w:tab/>
                            <w:t>0.53</w:t>
                          </w:r>
                          <w:r>
                            <w:rPr>
                              <w:spacing w:val="-1"/>
                              <w:w w:val="95"/>
                              <w:sz w:val="10"/>
                            </w:rPr>
                            <w:tab/>
                            <w:t>3.79</w:t>
                          </w:r>
                          <w:r>
                            <w:rPr>
                              <w:spacing w:val="-1"/>
                              <w:w w:val="95"/>
                              <w:sz w:val="10"/>
                            </w:rPr>
                            <w:tab/>
                            <w:t>3.84</w:t>
                          </w:r>
                          <w:r>
                            <w:rPr>
                              <w:spacing w:val="-1"/>
                              <w:w w:val="95"/>
                              <w:sz w:val="10"/>
                            </w:rPr>
                            <w:tab/>
                          </w:r>
                          <w:r>
                            <w:rPr>
                              <w:spacing w:val="-1"/>
                              <w:sz w:val="10"/>
                            </w:rPr>
                            <w:t>1.97</w:t>
                          </w:r>
                        </w:p>
                        <w:p w14:paraId="0964568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4.36</w:t>
                          </w:r>
                          <w:r>
                            <w:rPr>
                              <w:spacing w:val="-1"/>
                              <w:w w:val="95"/>
                              <w:sz w:val="10"/>
                            </w:rPr>
                            <w:tab/>
                            <w:t>0.52</w:t>
                          </w:r>
                          <w:r>
                            <w:rPr>
                              <w:spacing w:val="-1"/>
                              <w:w w:val="95"/>
                              <w:sz w:val="10"/>
                            </w:rPr>
                            <w:tab/>
                            <w:t>3.84</w:t>
                          </w:r>
                          <w:r>
                            <w:rPr>
                              <w:spacing w:val="-1"/>
                              <w:w w:val="95"/>
                              <w:sz w:val="10"/>
                            </w:rPr>
                            <w:tab/>
                            <w:t>3.86</w:t>
                          </w:r>
                          <w:r>
                            <w:rPr>
                              <w:spacing w:val="-1"/>
                              <w:w w:val="95"/>
                              <w:sz w:val="10"/>
                            </w:rPr>
                            <w:tab/>
                          </w:r>
                          <w:r>
                            <w:rPr>
                              <w:spacing w:val="-1"/>
                              <w:sz w:val="10"/>
                            </w:rPr>
                            <w:t>1.99</w:t>
                          </w:r>
                        </w:p>
                        <w:p w14:paraId="6958B7B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2.53</w:t>
                          </w:r>
                          <w:r>
                            <w:rPr>
                              <w:spacing w:val="-1"/>
                              <w:w w:val="95"/>
                              <w:sz w:val="10"/>
                            </w:rPr>
                            <w:tab/>
                            <w:t>0.52</w:t>
                          </w:r>
                          <w:r>
                            <w:rPr>
                              <w:spacing w:val="-1"/>
                              <w:w w:val="95"/>
                              <w:sz w:val="10"/>
                            </w:rPr>
                            <w:tab/>
                            <w:t>2.01</w:t>
                          </w:r>
                          <w:r>
                            <w:rPr>
                              <w:spacing w:val="-1"/>
                              <w:w w:val="95"/>
                              <w:sz w:val="10"/>
                            </w:rPr>
                            <w:tab/>
                            <w:t>3.87</w:t>
                          </w:r>
                          <w:r>
                            <w:rPr>
                              <w:spacing w:val="-1"/>
                              <w:w w:val="95"/>
                              <w:sz w:val="10"/>
                            </w:rPr>
                            <w:tab/>
                          </w:r>
                          <w:r>
                            <w:rPr>
                              <w:spacing w:val="-1"/>
                              <w:sz w:val="10"/>
                            </w:rPr>
                            <w:t>1.04</w:t>
                          </w:r>
                        </w:p>
                        <w:p w14:paraId="0B8D8BB4"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2.40</w:t>
                          </w:r>
                          <w:r>
                            <w:rPr>
                              <w:spacing w:val="-1"/>
                              <w:w w:val="95"/>
                              <w:sz w:val="10"/>
                            </w:rPr>
                            <w:tab/>
                            <w:t>0.51</w:t>
                          </w:r>
                          <w:r>
                            <w:rPr>
                              <w:spacing w:val="-1"/>
                              <w:w w:val="95"/>
                              <w:sz w:val="10"/>
                            </w:rPr>
                            <w:tab/>
                            <w:t>1.88</w:t>
                          </w:r>
                          <w:r>
                            <w:rPr>
                              <w:spacing w:val="-1"/>
                              <w:w w:val="95"/>
                              <w:sz w:val="10"/>
                            </w:rPr>
                            <w:tab/>
                            <w:t>3.88</w:t>
                          </w:r>
                          <w:r>
                            <w:rPr>
                              <w:spacing w:val="-1"/>
                              <w:w w:val="95"/>
                              <w:sz w:val="10"/>
                            </w:rPr>
                            <w:tab/>
                          </w:r>
                          <w:r>
                            <w:rPr>
                              <w:spacing w:val="-1"/>
                              <w:sz w:val="10"/>
                            </w:rPr>
                            <w:t>0.97</w:t>
                          </w:r>
                        </w:p>
                        <w:p w14:paraId="50353B2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2.56</w:t>
                          </w:r>
                          <w:r>
                            <w:rPr>
                              <w:spacing w:val="-1"/>
                              <w:w w:val="95"/>
                              <w:sz w:val="10"/>
                            </w:rPr>
                            <w:tab/>
                            <w:t>0.51</w:t>
                          </w:r>
                          <w:r>
                            <w:rPr>
                              <w:spacing w:val="-1"/>
                              <w:w w:val="95"/>
                              <w:sz w:val="10"/>
                            </w:rPr>
                            <w:tab/>
                            <w:t>2.06</w:t>
                          </w:r>
                          <w:r>
                            <w:rPr>
                              <w:spacing w:val="-1"/>
                              <w:w w:val="95"/>
                              <w:sz w:val="10"/>
                            </w:rPr>
                            <w:tab/>
                            <w:t>3.89</w:t>
                          </w:r>
                          <w:r>
                            <w:rPr>
                              <w:spacing w:val="-1"/>
                              <w:w w:val="95"/>
                              <w:sz w:val="10"/>
                            </w:rPr>
                            <w:tab/>
                          </w:r>
                          <w:r>
                            <w:rPr>
                              <w:spacing w:val="-1"/>
                              <w:sz w:val="10"/>
                            </w:rPr>
                            <w:t>1.06</w:t>
                          </w:r>
                        </w:p>
                        <w:p w14:paraId="252B1AF1"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0.70</w:t>
                          </w:r>
                          <w:r>
                            <w:rPr>
                              <w:spacing w:val="-1"/>
                              <w:w w:val="95"/>
                              <w:sz w:val="10"/>
                            </w:rPr>
                            <w:tab/>
                            <w:t>0.50</w:t>
                          </w:r>
                          <w:r>
                            <w:rPr>
                              <w:spacing w:val="-1"/>
                              <w:w w:val="95"/>
                              <w:sz w:val="10"/>
                            </w:rPr>
                            <w:tab/>
                            <w:t>0.20</w:t>
                          </w:r>
                          <w:r>
                            <w:rPr>
                              <w:spacing w:val="-1"/>
                              <w:w w:val="95"/>
                              <w:sz w:val="10"/>
                            </w:rPr>
                            <w:tab/>
                            <w:t>3.90</w:t>
                          </w:r>
                          <w:r>
                            <w:rPr>
                              <w:spacing w:val="-1"/>
                              <w:w w:val="95"/>
                              <w:sz w:val="10"/>
                            </w:rPr>
                            <w:tab/>
                          </w:r>
                          <w:r>
                            <w:rPr>
                              <w:spacing w:val="-1"/>
                              <w:sz w:val="10"/>
                            </w:rPr>
                            <w:t>0.10</w:t>
                          </w:r>
                        </w:p>
                        <w:p w14:paraId="01B545E1" w14:textId="77777777" w:rsidR="00CB53E4" w:rsidRDefault="00CB53E4" w:rsidP="0031675F">
                          <w:pPr>
                            <w:tabs>
                              <w:tab w:val="left" w:pos="499"/>
                              <w:tab w:val="left" w:pos="982"/>
                              <w:tab w:val="left" w:pos="1499"/>
                              <w:tab w:val="left" w:pos="1982"/>
                            </w:tabs>
                            <w:spacing w:before="7"/>
                            <w:rPr>
                              <w:rFonts w:eastAsia="Arial" w:cs="Arial"/>
                              <w:sz w:val="10"/>
                              <w:szCs w:val="10"/>
                            </w:rPr>
                          </w:pPr>
                          <w:r>
                            <w:rPr>
                              <w:spacing w:val="-1"/>
                              <w:w w:val="95"/>
                              <w:sz w:val="10"/>
                            </w:rPr>
                            <w:t>0.32</w:t>
                          </w:r>
                          <w:r>
                            <w:rPr>
                              <w:spacing w:val="-1"/>
                              <w:w w:val="95"/>
                              <w:sz w:val="10"/>
                            </w:rPr>
                            <w:tab/>
                            <w:t>0.50</w:t>
                          </w:r>
                          <w:r>
                            <w:rPr>
                              <w:spacing w:val="-1"/>
                              <w:w w:val="95"/>
                              <w:sz w:val="10"/>
                            </w:rPr>
                            <w:tab/>
                            <w:t>-0.17</w:t>
                          </w:r>
                          <w:r>
                            <w:rPr>
                              <w:spacing w:val="-1"/>
                              <w:w w:val="95"/>
                              <w:sz w:val="10"/>
                            </w:rPr>
                            <w:tab/>
                            <w:t>3.91</w:t>
                          </w:r>
                          <w:r>
                            <w:rPr>
                              <w:spacing w:val="-1"/>
                              <w:w w:val="95"/>
                              <w:sz w:val="10"/>
                            </w:rPr>
                            <w:tab/>
                            <w:t>-0.09</w:t>
                          </w:r>
                        </w:p>
                        <w:p w14:paraId="2246704D"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2.63</w:t>
                          </w:r>
                          <w:r>
                            <w:rPr>
                              <w:spacing w:val="-1"/>
                              <w:w w:val="95"/>
                              <w:sz w:val="10"/>
                            </w:rPr>
                            <w:tab/>
                            <w:t>0.49</w:t>
                          </w:r>
                          <w:r>
                            <w:rPr>
                              <w:spacing w:val="-1"/>
                              <w:w w:val="95"/>
                              <w:sz w:val="10"/>
                            </w:rPr>
                            <w:tab/>
                            <w:t>2.14</w:t>
                          </w:r>
                          <w:r>
                            <w:rPr>
                              <w:spacing w:val="-1"/>
                              <w:w w:val="95"/>
                              <w:sz w:val="10"/>
                            </w:rPr>
                            <w:tab/>
                            <w:t>3.92</w:t>
                          </w:r>
                          <w:r>
                            <w:rPr>
                              <w:spacing w:val="-1"/>
                              <w:w w:val="95"/>
                              <w:sz w:val="10"/>
                            </w:rPr>
                            <w:tab/>
                          </w:r>
                          <w:r>
                            <w:rPr>
                              <w:spacing w:val="-1"/>
                              <w:sz w:val="10"/>
                            </w:rPr>
                            <w:t>1.09</w:t>
                          </w:r>
                        </w:p>
                        <w:p w14:paraId="034F1039"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0.49</w:t>
                          </w:r>
                          <w:r>
                            <w:rPr>
                              <w:spacing w:val="-1"/>
                              <w:w w:val="95"/>
                              <w:sz w:val="10"/>
                            </w:rPr>
                            <w:tab/>
                            <w:t>1.66</w:t>
                          </w:r>
                          <w:r>
                            <w:rPr>
                              <w:spacing w:val="-1"/>
                              <w:w w:val="95"/>
                              <w:sz w:val="10"/>
                            </w:rPr>
                            <w:tab/>
                            <w:t>3.92</w:t>
                          </w:r>
                          <w:r>
                            <w:rPr>
                              <w:spacing w:val="-1"/>
                              <w:w w:val="95"/>
                              <w:sz w:val="10"/>
                            </w:rPr>
                            <w:tab/>
                          </w:r>
                          <w:r>
                            <w:rPr>
                              <w:spacing w:val="-1"/>
                              <w:sz w:val="10"/>
                            </w:rPr>
                            <w:t>0.84</w:t>
                          </w:r>
                        </w:p>
                        <w:p w14:paraId="0B2E0173"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2.02</w:t>
                          </w:r>
                          <w:r>
                            <w:rPr>
                              <w:spacing w:val="-1"/>
                              <w:w w:val="95"/>
                              <w:sz w:val="10"/>
                            </w:rPr>
                            <w:tab/>
                            <w:t>0.48</w:t>
                          </w:r>
                          <w:r>
                            <w:rPr>
                              <w:spacing w:val="-1"/>
                              <w:w w:val="95"/>
                              <w:sz w:val="10"/>
                            </w:rPr>
                            <w:tab/>
                            <w:t>1.54</w:t>
                          </w:r>
                          <w:r>
                            <w:rPr>
                              <w:spacing w:val="-1"/>
                              <w:w w:val="95"/>
                              <w:sz w:val="10"/>
                            </w:rPr>
                            <w:tab/>
                            <w:t>3.93</w:t>
                          </w:r>
                          <w:r>
                            <w:rPr>
                              <w:spacing w:val="-1"/>
                              <w:w w:val="95"/>
                              <w:sz w:val="10"/>
                            </w:rPr>
                            <w:tab/>
                          </w:r>
                          <w:r>
                            <w:rPr>
                              <w:spacing w:val="-1"/>
                              <w:sz w:val="10"/>
                            </w:rPr>
                            <w:t>0.78</w:t>
                          </w:r>
                        </w:p>
                        <w:p w14:paraId="7EFA48B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2.19</w:t>
                          </w:r>
                          <w:r>
                            <w:rPr>
                              <w:spacing w:val="-1"/>
                              <w:w w:val="95"/>
                              <w:sz w:val="10"/>
                            </w:rPr>
                            <w:tab/>
                            <w:t>0.48</w:t>
                          </w:r>
                          <w:r>
                            <w:rPr>
                              <w:spacing w:val="-1"/>
                              <w:w w:val="95"/>
                              <w:sz w:val="10"/>
                            </w:rPr>
                            <w:tab/>
                            <w:t>1.71</w:t>
                          </w:r>
                          <w:r>
                            <w:rPr>
                              <w:spacing w:val="-1"/>
                              <w:w w:val="95"/>
                              <w:sz w:val="10"/>
                            </w:rPr>
                            <w:tab/>
                            <w:t>3.94</w:t>
                          </w:r>
                          <w:r>
                            <w:rPr>
                              <w:spacing w:val="-1"/>
                              <w:w w:val="95"/>
                              <w:sz w:val="10"/>
                            </w:rPr>
                            <w:tab/>
                          </w:r>
                          <w:r>
                            <w:rPr>
                              <w:spacing w:val="-1"/>
                              <w:sz w:val="10"/>
                            </w:rPr>
                            <w:t>0.87</w:t>
                          </w:r>
                        </w:p>
                        <w:p w14:paraId="62C5285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0.47</w:t>
                          </w:r>
                          <w:r>
                            <w:rPr>
                              <w:spacing w:val="-1"/>
                              <w:w w:val="95"/>
                              <w:sz w:val="10"/>
                            </w:rPr>
                            <w:tab/>
                            <w:t>1.67</w:t>
                          </w:r>
                          <w:r>
                            <w:rPr>
                              <w:spacing w:val="-1"/>
                              <w:w w:val="95"/>
                              <w:sz w:val="10"/>
                            </w:rPr>
                            <w:tab/>
                            <w:t>3.95</w:t>
                          </w:r>
                          <w:r>
                            <w:rPr>
                              <w:spacing w:val="-1"/>
                              <w:w w:val="95"/>
                              <w:sz w:val="10"/>
                            </w:rPr>
                            <w:tab/>
                          </w:r>
                          <w:r>
                            <w:rPr>
                              <w:spacing w:val="-1"/>
                              <w:sz w:val="10"/>
                            </w:rPr>
                            <w:t>0.85</w:t>
                          </w:r>
                        </w:p>
                        <w:p w14:paraId="40AA147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2.66</w:t>
                          </w:r>
                          <w:r>
                            <w:rPr>
                              <w:spacing w:val="-1"/>
                              <w:w w:val="95"/>
                              <w:sz w:val="10"/>
                            </w:rPr>
                            <w:tab/>
                            <w:t>0.47</w:t>
                          </w:r>
                          <w:r>
                            <w:rPr>
                              <w:spacing w:val="-1"/>
                              <w:w w:val="95"/>
                              <w:sz w:val="10"/>
                            </w:rPr>
                            <w:tab/>
                            <w:t>2.19</w:t>
                          </w:r>
                          <w:r>
                            <w:rPr>
                              <w:spacing w:val="-1"/>
                              <w:w w:val="95"/>
                              <w:sz w:val="10"/>
                            </w:rPr>
                            <w:tab/>
                            <w:t>3.95</w:t>
                          </w:r>
                          <w:r>
                            <w:rPr>
                              <w:spacing w:val="-1"/>
                              <w:w w:val="95"/>
                              <w:sz w:val="10"/>
                            </w:rPr>
                            <w:tab/>
                          </w:r>
                          <w:r>
                            <w:rPr>
                              <w:spacing w:val="-1"/>
                              <w:sz w:val="10"/>
                            </w:rPr>
                            <w:t>1.11</w:t>
                          </w:r>
                        </w:p>
                        <w:p w14:paraId="57E0A253"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2.65</w:t>
                          </w:r>
                          <w:r>
                            <w:rPr>
                              <w:spacing w:val="-1"/>
                              <w:w w:val="95"/>
                              <w:sz w:val="10"/>
                            </w:rPr>
                            <w:tab/>
                            <w:t>0.46</w:t>
                          </w:r>
                          <w:r>
                            <w:rPr>
                              <w:spacing w:val="-1"/>
                              <w:w w:val="95"/>
                              <w:sz w:val="10"/>
                            </w:rPr>
                            <w:tab/>
                            <w:t>2.18</w:t>
                          </w:r>
                          <w:r>
                            <w:rPr>
                              <w:spacing w:val="-1"/>
                              <w:w w:val="95"/>
                              <w:sz w:val="10"/>
                            </w:rPr>
                            <w:tab/>
                            <w:t>3.96</w:t>
                          </w:r>
                          <w:r>
                            <w:rPr>
                              <w:spacing w:val="-1"/>
                              <w:w w:val="95"/>
                              <w:sz w:val="10"/>
                            </w:rPr>
                            <w:tab/>
                          </w:r>
                          <w:r>
                            <w:rPr>
                              <w:spacing w:val="-1"/>
                              <w:sz w:val="10"/>
                            </w:rPr>
                            <w:t>1.10</w:t>
                          </w:r>
                        </w:p>
                        <w:p w14:paraId="5FC03CB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2.07</w:t>
                          </w:r>
                          <w:r>
                            <w:rPr>
                              <w:spacing w:val="-1"/>
                              <w:w w:val="95"/>
                              <w:sz w:val="10"/>
                            </w:rPr>
                            <w:tab/>
                            <w:t>0.46</w:t>
                          </w:r>
                          <w:r>
                            <w:rPr>
                              <w:spacing w:val="-1"/>
                              <w:w w:val="95"/>
                              <w:sz w:val="10"/>
                            </w:rPr>
                            <w:tab/>
                            <w:t>1.61</w:t>
                          </w:r>
                          <w:r>
                            <w:rPr>
                              <w:spacing w:val="-1"/>
                              <w:w w:val="95"/>
                              <w:sz w:val="10"/>
                            </w:rPr>
                            <w:tab/>
                            <w:t>3.97</w:t>
                          </w:r>
                          <w:r>
                            <w:rPr>
                              <w:spacing w:val="-1"/>
                              <w:w w:val="95"/>
                              <w:sz w:val="10"/>
                            </w:rPr>
                            <w:tab/>
                          </w:r>
                          <w:r>
                            <w:rPr>
                              <w:spacing w:val="-1"/>
                              <w:sz w:val="10"/>
                            </w:rPr>
                            <w:t>0.81</w:t>
                          </w:r>
                        </w:p>
                        <w:p w14:paraId="6CE62E44"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2.08</w:t>
                          </w:r>
                          <w:r>
                            <w:rPr>
                              <w:spacing w:val="-1"/>
                              <w:w w:val="95"/>
                              <w:sz w:val="10"/>
                            </w:rPr>
                            <w:tab/>
                            <w:t>0.45</w:t>
                          </w:r>
                          <w:r>
                            <w:rPr>
                              <w:spacing w:val="-1"/>
                              <w:w w:val="95"/>
                              <w:sz w:val="10"/>
                            </w:rPr>
                            <w:tab/>
                            <w:t>1.62</w:t>
                          </w:r>
                          <w:r>
                            <w:rPr>
                              <w:spacing w:val="-1"/>
                              <w:w w:val="95"/>
                              <w:sz w:val="10"/>
                            </w:rPr>
                            <w:tab/>
                            <w:t>3.97</w:t>
                          </w:r>
                          <w:r>
                            <w:rPr>
                              <w:spacing w:val="-1"/>
                              <w:w w:val="95"/>
                              <w:sz w:val="10"/>
                            </w:rPr>
                            <w:tab/>
                          </w:r>
                          <w:r>
                            <w:rPr>
                              <w:spacing w:val="-1"/>
                              <w:sz w:val="10"/>
                            </w:rPr>
                            <w:t>0.82</w:t>
                          </w:r>
                        </w:p>
                        <w:p w14:paraId="5589D539"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2.30</w:t>
                          </w:r>
                          <w:r>
                            <w:rPr>
                              <w:spacing w:val="-1"/>
                              <w:w w:val="95"/>
                              <w:sz w:val="10"/>
                            </w:rPr>
                            <w:tab/>
                            <w:t>0.45</w:t>
                          </w:r>
                          <w:r>
                            <w:rPr>
                              <w:spacing w:val="-1"/>
                              <w:w w:val="95"/>
                              <w:sz w:val="10"/>
                            </w:rPr>
                            <w:tab/>
                            <w:t>1.85</w:t>
                          </w:r>
                          <w:r>
                            <w:rPr>
                              <w:spacing w:val="-1"/>
                              <w:w w:val="95"/>
                              <w:sz w:val="10"/>
                            </w:rPr>
                            <w:tab/>
                            <w:t>3.98</w:t>
                          </w:r>
                          <w:r>
                            <w:rPr>
                              <w:spacing w:val="-1"/>
                              <w:w w:val="95"/>
                              <w:sz w:val="10"/>
                            </w:rPr>
                            <w:tab/>
                          </w:r>
                          <w:r>
                            <w:rPr>
                              <w:spacing w:val="-1"/>
                              <w:sz w:val="10"/>
                            </w:rPr>
                            <w:t>0.93</w:t>
                          </w:r>
                        </w:p>
                        <w:p w14:paraId="23C5C28D"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2.27</w:t>
                          </w:r>
                          <w:r>
                            <w:rPr>
                              <w:spacing w:val="-1"/>
                              <w:w w:val="95"/>
                              <w:sz w:val="10"/>
                            </w:rPr>
                            <w:tab/>
                            <w:t>0.45</w:t>
                          </w:r>
                          <w:r>
                            <w:rPr>
                              <w:spacing w:val="-1"/>
                              <w:w w:val="95"/>
                              <w:sz w:val="10"/>
                            </w:rPr>
                            <w:tab/>
                            <w:t>1.82</w:t>
                          </w:r>
                          <w:r>
                            <w:rPr>
                              <w:spacing w:val="-1"/>
                              <w:w w:val="95"/>
                              <w:sz w:val="10"/>
                            </w:rPr>
                            <w:tab/>
                            <w:t>3.98</w:t>
                          </w:r>
                          <w:r>
                            <w:rPr>
                              <w:spacing w:val="-1"/>
                              <w:w w:val="95"/>
                              <w:sz w:val="10"/>
                            </w:rPr>
                            <w:tab/>
                          </w:r>
                          <w:r>
                            <w:rPr>
                              <w:spacing w:val="-1"/>
                              <w:sz w:val="10"/>
                            </w:rPr>
                            <w:t>0.91</w:t>
                          </w:r>
                        </w:p>
                        <w:p w14:paraId="74C562B4"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2.69</w:t>
                          </w:r>
                          <w:r>
                            <w:rPr>
                              <w:spacing w:val="-1"/>
                              <w:w w:val="95"/>
                              <w:sz w:val="10"/>
                            </w:rPr>
                            <w:tab/>
                            <w:t>0.44</w:t>
                          </w:r>
                          <w:r>
                            <w:rPr>
                              <w:spacing w:val="-1"/>
                              <w:w w:val="95"/>
                              <w:sz w:val="10"/>
                            </w:rPr>
                            <w:tab/>
                            <w:t>2.25</w:t>
                          </w:r>
                          <w:r>
                            <w:rPr>
                              <w:spacing w:val="-1"/>
                              <w:w w:val="95"/>
                              <w:sz w:val="10"/>
                            </w:rPr>
                            <w:tab/>
                            <w:t>3.99</w:t>
                          </w:r>
                          <w:r>
                            <w:rPr>
                              <w:spacing w:val="-1"/>
                              <w:w w:val="95"/>
                              <w:sz w:val="10"/>
                            </w:rPr>
                            <w:tab/>
                          </w:r>
                          <w:r>
                            <w:rPr>
                              <w:spacing w:val="-1"/>
                              <w:sz w:val="10"/>
                            </w:rPr>
                            <w:t>1.13</w:t>
                          </w:r>
                        </w:p>
                        <w:p w14:paraId="5368782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2.88</w:t>
                          </w:r>
                          <w:r>
                            <w:rPr>
                              <w:spacing w:val="-1"/>
                              <w:w w:val="95"/>
                              <w:sz w:val="10"/>
                            </w:rPr>
                            <w:tab/>
                            <w:t>0.44</w:t>
                          </w:r>
                          <w:r>
                            <w:rPr>
                              <w:spacing w:val="-1"/>
                              <w:w w:val="95"/>
                              <w:sz w:val="10"/>
                            </w:rPr>
                            <w:tab/>
                            <w:t>2.45</w:t>
                          </w:r>
                          <w:r>
                            <w:rPr>
                              <w:spacing w:val="-1"/>
                              <w:w w:val="95"/>
                              <w:sz w:val="10"/>
                            </w:rPr>
                            <w:tab/>
                            <w:t>3.99</w:t>
                          </w:r>
                          <w:r>
                            <w:rPr>
                              <w:spacing w:val="-1"/>
                              <w:w w:val="95"/>
                              <w:sz w:val="10"/>
                            </w:rPr>
                            <w:tab/>
                          </w:r>
                          <w:r>
                            <w:rPr>
                              <w:spacing w:val="-1"/>
                              <w:sz w:val="10"/>
                            </w:rPr>
                            <w:t>1.23</w:t>
                          </w:r>
                        </w:p>
                        <w:p w14:paraId="69D6EF4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2.65</w:t>
                          </w:r>
                          <w:r>
                            <w:rPr>
                              <w:spacing w:val="-1"/>
                              <w:w w:val="95"/>
                              <w:sz w:val="10"/>
                            </w:rPr>
                            <w:tab/>
                            <w:t>0.43</w:t>
                          </w:r>
                          <w:r>
                            <w:rPr>
                              <w:spacing w:val="-1"/>
                              <w:w w:val="95"/>
                              <w:sz w:val="10"/>
                            </w:rPr>
                            <w:tab/>
                            <w:t>2.21</w:t>
                          </w:r>
                          <w:r>
                            <w:rPr>
                              <w:spacing w:val="-1"/>
                              <w:w w:val="95"/>
                              <w:sz w:val="10"/>
                            </w:rPr>
                            <w:tab/>
                            <w:t>4.00</w:t>
                          </w:r>
                          <w:r>
                            <w:rPr>
                              <w:spacing w:val="-1"/>
                              <w:w w:val="95"/>
                              <w:sz w:val="10"/>
                            </w:rPr>
                            <w:tab/>
                          </w:r>
                          <w:r>
                            <w:rPr>
                              <w:spacing w:val="-1"/>
                              <w:sz w:val="10"/>
                            </w:rPr>
                            <w:t>1.11</w:t>
                          </w:r>
                        </w:p>
                        <w:p w14:paraId="75A7231A"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4.44</w:t>
                          </w:r>
                          <w:r>
                            <w:rPr>
                              <w:spacing w:val="-1"/>
                              <w:w w:val="95"/>
                              <w:sz w:val="10"/>
                            </w:rPr>
                            <w:tab/>
                            <w:t>0.43</w:t>
                          </w:r>
                          <w:r>
                            <w:rPr>
                              <w:spacing w:val="-1"/>
                              <w:w w:val="95"/>
                              <w:sz w:val="10"/>
                            </w:rPr>
                            <w:tab/>
                            <w:t>4.01</w:t>
                          </w:r>
                          <w:r>
                            <w:rPr>
                              <w:spacing w:val="-1"/>
                              <w:w w:val="95"/>
                              <w:sz w:val="10"/>
                            </w:rPr>
                            <w:tab/>
                            <w:t>4.00</w:t>
                          </w:r>
                          <w:r>
                            <w:rPr>
                              <w:spacing w:val="-1"/>
                              <w:w w:val="95"/>
                              <w:sz w:val="10"/>
                            </w:rPr>
                            <w:tab/>
                          </w:r>
                          <w:r>
                            <w:rPr>
                              <w:spacing w:val="-1"/>
                              <w:sz w:val="10"/>
                            </w:rPr>
                            <w:t>2.01</w:t>
                          </w:r>
                        </w:p>
                        <w:p w14:paraId="27FA9D40"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4.39</w:t>
                          </w:r>
                          <w:r>
                            <w:rPr>
                              <w:spacing w:val="-1"/>
                              <w:w w:val="95"/>
                              <w:sz w:val="10"/>
                            </w:rPr>
                            <w:tab/>
                            <w:t>0.43</w:t>
                          </w:r>
                          <w:r>
                            <w:rPr>
                              <w:spacing w:val="-1"/>
                              <w:w w:val="95"/>
                              <w:sz w:val="10"/>
                            </w:rPr>
                            <w:tab/>
                            <w:t>3.96</w:t>
                          </w:r>
                          <w:r>
                            <w:rPr>
                              <w:spacing w:val="-1"/>
                              <w:w w:val="95"/>
                              <w:sz w:val="10"/>
                            </w:rPr>
                            <w:tab/>
                            <w:t>4.00</w:t>
                          </w:r>
                          <w:r>
                            <w:rPr>
                              <w:spacing w:val="-1"/>
                              <w:w w:val="95"/>
                              <w:sz w:val="10"/>
                            </w:rPr>
                            <w:tab/>
                          </w:r>
                          <w:r>
                            <w:rPr>
                              <w:spacing w:val="-1"/>
                              <w:sz w:val="10"/>
                            </w:rPr>
                            <w:t>1.98</w:t>
                          </w:r>
                        </w:p>
                        <w:p w14:paraId="546F5D04"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2.66</w:t>
                          </w:r>
                          <w:r>
                            <w:rPr>
                              <w:spacing w:val="-1"/>
                              <w:w w:val="95"/>
                              <w:sz w:val="10"/>
                            </w:rPr>
                            <w:tab/>
                            <w:t>0.42</w:t>
                          </w:r>
                          <w:r>
                            <w:rPr>
                              <w:spacing w:val="-1"/>
                              <w:w w:val="95"/>
                              <w:sz w:val="10"/>
                            </w:rPr>
                            <w:tab/>
                            <w:t>2.23</w:t>
                          </w:r>
                          <w:r>
                            <w:rPr>
                              <w:spacing w:val="-1"/>
                              <w:w w:val="95"/>
                              <w:sz w:val="10"/>
                            </w:rPr>
                            <w:tab/>
                            <w:t>4.00</w:t>
                          </w:r>
                          <w:r>
                            <w:rPr>
                              <w:spacing w:val="-1"/>
                              <w:w w:val="95"/>
                              <w:sz w:val="10"/>
                            </w:rPr>
                            <w:tab/>
                          </w:r>
                          <w:r>
                            <w:rPr>
                              <w:spacing w:val="-1"/>
                              <w:sz w:val="10"/>
                            </w:rPr>
                            <w:t>1.12</w:t>
                          </w:r>
                        </w:p>
                        <w:p w14:paraId="4F504835"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2.49</w:t>
                          </w:r>
                          <w:r>
                            <w:rPr>
                              <w:spacing w:val="-1"/>
                              <w:w w:val="95"/>
                              <w:sz w:val="10"/>
                            </w:rPr>
                            <w:tab/>
                            <w:t>0.42</w:t>
                          </w:r>
                          <w:r>
                            <w:rPr>
                              <w:spacing w:val="-1"/>
                              <w:w w:val="95"/>
                              <w:sz w:val="10"/>
                            </w:rPr>
                            <w:tab/>
                            <w:t>2.07</w:t>
                          </w:r>
                          <w:r>
                            <w:rPr>
                              <w:spacing w:val="-1"/>
                              <w:w w:val="95"/>
                              <w:sz w:val="10"/>
                            </w:rPr>
                            <w:tab/>
                            <w:t>4.01</w:t>
                          </w:r>
                          <w:r>
                            <w:rPr>
                              <w:spacing w:val="-1"/>
                              <w:w w:val="95"/>
                              <w:sz w:val="10"/>
                            </w:rPr>
                            <w:tab/>
                          </w:r>
                          <w:r>
                            <w:rPr>
                              <w:spacing w:val="-1"/>
                              <w:sz w:val="10"/>
                            </w:rPr>
                            <w:t>1.03</w:t>
                          </w:r>
                        </w:p>
                        <w:p w14:paraId="55EEE65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2.32</w:t>
                          </w:r>
                          <w:r>
                            <w:rPr>
                              <w:spacing w:val="-1"/>
                              <w:w w:val="95"/>
                              <w:sz w:val="10"/>
                            </w:rPr>
                            <w:tab/>
                            <w:t>0.42</w:t>
                          </w:r>
                          <w:r>
                            <w:rPr>
                              <w:spacing w:val="-1"/>
                              <w:w w:val="95"/>
                              <w:sz w:val="10"/>
                            </w:rPr>
                            <w:tab/>
                            <w:t>1.90</w:t>
                          </w:r>
                          <w:r>
                            <w:rPr>
                              <w:spacing w:val="-1"/>
                              <w:w w:val="95"/>
                              <w:sz w:val="10"/>
                            </w:rPr>
                            <w:tab/>
                            <w:t>4.01</w:t>
                          </w:r>
                          <w:r>
                            <w:rPr>
                              <w:spacing w:val="-1"/>
                              <w:w w:val="95"/>
                              <w:sz w:val="10"/>
                            </w:rPr>
                            <w:tab/>
                          </w:r>
                          <w:r>
                            <w:rPr>
                              <w:spacing w:val="-1"/>
                              <w:sz w:val="10"/>
                            </w:rPr>
                            <w:t>0.95</w:t>
                          </w:r>
                        </w:p>
                        <w:p w14:paraId="49080760"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0.41</w:t>
                          </w:r>
                          <w:r>
                            <w:rPr>
                              <w:spacing w:val="-1"/>
                              <w:w w:val="95"/>
                              <w:sz w:val="10"/>
                            </w:rPr>
                            <w:tab/>
                            <w:t>0.42</w:t>
                          </w:r>
                          <w:r>
                            <w:rPr>
                              <w:spacing w:val="-1"/>
                              <w:w w:val="95"/>
                              <w:sz w:val="10"/>
                            </w:rPr>
                            <w:tab/>
                            <w:t>0.00</w:t>
                          </w:r>
                          <w:r>
                            <w:rPr>
                              <w:spacing w:val="-1"/>
                              <w:w w:val="95"/>
                              <w:sz w:val="10"/>
                            </w:rPr>
                            <w:tab/>
                            <w:t>4.01</w:t>
                          </w:r>
                          <w:r>
                            <w:rPr>
                              <w:spacing w:val="-1"/>
                              <w:w w:val="95"/>
                              <w:sz w:val="10"/>
                            </w:rPr>
                            <w:tab/>
                          </w:r>
                          <w:r>
                            <w:rPr>
                              <w:spacing w:val="-1"/>
                              <w:sz w:val="10"/>
                            </w:rPr>
                            <w:t>0.00</w:t>
                          </w:r>
                        </w:p>
                        <w:p w14:paraId="540FD14E" w14:textId="77777777" w:rsidR="00CB53E4" w:rsidRDefault="00CB53E4" w:rsidP="0031675F">
                          <w:pPr>
                            <w:tabs>
                              <w:tab w:val="left" w:pos="499"/>
                              <w:tab w:val="left" w:pos="982"/>
                              <w:tab w:val="left" w:pos="1499"/>
                              <w:tab w:val="left" w:pos="1982"/>
                            </w:tabs>
                            <w:spacing w:before="7"/>
                            <w:rPr>
                              <w:rFonts w:eastAsia="Arial" w:cs="Arial"/>
                              <w:sz w:val="10"/>
                              <w:szCs w:val="10"/>
                            </w:rPr>
                          </w:pPr>
                          <w:r>
                            <w:rPr>
                              <w:spacing w:val="-1"/>
                              <w:w w:val="95"/>
                              <w:sz w:val="10"/>
                            </w:rPr>
                            <w:t>0.36</w:t>
                          </w:r>
                          <w:r>
                            <w:rPr>
                              <w:spacing w:val="-1"/>
                              <w:w w:val="95"/>
                              <w:sz w:val="10"/>
                            </w:rPr>
                            <w:tab/>
                            <w:t>0.41</w:t>
                          </w:r>
                          <w:r>
                            <w:rPr>
                              <w:spacing w:val="-1"/>
                              <w:w w:val="95"/>
                              <w:sz w:val="10"/>
                            </w:rPr>
                            <w:tab/>
                            <w:t>-0.05</w:t>
                          </w:r>
                          <w:r>
                            <w:rPr>
                              <w:spacing w:val="-1"/>
                              <w:w w:val="95"/>
                              <w:sz w:val="10"/>
                            </w:rPr>
                            <w:tab/>
                            <w:t>4.01</w:t>
                          </w:r>
                          <w:r>
                            <w:rPr>
                              <w:spacing w:val="-1"/>
                              <w:w w:val="95"/>
                              <w:sz w:val="10"/>
                            </w:rPr>
                            <w:tab/>
                            <w:t>-0.02</w:t>
                          </w:r>
                        </w:p>
                        <w:p w14:paraId="7DDD7898"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2.55</w:t>
                          </w:r>
                          <w:r>
                            <w:rPr>
                              <w:spacing w:val="-1"/>
                              <w:w w:val="95"/>
                              <w:sz w:val="10"/>
                            </w:rPr>
                            <w:tab/>
                            <w:t>0.41</w:t>
                          </w:r>
                          <w:r>
                            <w:rPr>
                              <w:spacing w:val="-1"/>
                              <w:w w:val="95"/>
                              <w:sz w:val="10"/>
                            </w:rPr>
                            <w:tab/>
                            <w:t>2.14</w:t>
                          </w:r>
                          <w:r>
                            <w:rPr>
                              <w:spacing w:val="-1"/>
                              <w:w w:val="95"/>
                              <w:sz w:val="10"/>
                            </w:rPr>
                            <w:tab/>
                            <w:t>4.01</w:t>
                          </w:r>
                          <w:r>
                            <w:rPr>
                              <w:spacing w:val="-1"/>
                              <w:w w:val="95"/>
                              <w:sz w:val="10"/>
                            </w:rPr>
                            <w:tab/>
                          </w:r>
                          <w:r>
                            <w:rPr>
                              <w:spacing w:val="-1"/>
                              <w:sz w:val="10"/>
                            </w:rPr>
                            <w:t>1.07</w:t>
                          </w:r>
                        </w:p>
                        <w:p w14:paraId="34686890"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1.99</w:t>
                          </w:r>
                          <w:r>
                            <w:rPr>
                              <w:spacing w:val="-1"/>
                              <w:w w:val="95"/>
                              <w:sz w:val="10"/>
                            </w:rPr>
                            <w:tab/>
                            <w:t>0.41</w:t>
                          </w:r>
                          <w:r>
                            <w:rPr>
                              <w:spacing w:val="-1"/>
                              <w:w w:val="95"/>
                              <w:sz w:val="10"/>
                            </w:rPr>
                            <w:tab/>
                            <w:t>1.59</w:t>
                          </w:r>
                          <w:r>
                            <w:rPr>
                              <w:spacing w:val="-1"/>
                              <w:w w:val="95"/>
                              <w:sz w:val="10"/>
                            </w:rPr>
                            <w:tab/>
                            <w:t>4.01</w:t>
                          </w:r>
                          <w:r>
                            <w:rPr>
                              <w:spacing w:val="-1"/>
                              <w:w w:val="95"/>
                              <w:sz w:val="10"/>
                            </w:rPr>
                            <w:tab/>
                          </w:r>
                          <w:r>
                            <w:rPr>
                              <w:spacing w:val="-1"/>
                              <w:sz w:val="10"/>
                            </w:rPr>
                            <w:t>0.79</w:t>
                          </w:r>
                        </w:p>
                        <w:p w14:paraId="24803435"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2.07</w:t>
                          </w:r>
                          <w:r>
                            <w:rPr>
                              <w:spacing w:val="-1"/>
                              <w:w w:val="95"/>
                              <w:sz w:val="10"/>
                            </w:rPr>
                            <w:tab/>
                            <w:t>0.40</w:t>
                          </w:r>
                          <w:r>
                            <w:rPr>
                              <w:spacing w:val="-1"/>
                              <w:w w:val="95"/>
                              <w:sz w:val="10"/>
                            </w:rPr>
                            <w:tab/>
                            <w:t>1.66</w:t>
                          </w:r>
                          <w:r>
                            <w:rPr>
                              <w:spacing w:val="-1"/>
                              <w:w w:val="95"/>
                              <w:sz w:val="10"/>
                            </w:rPr>
                            <w:tab/>
                            <w:t>4.01</w:t>
                          </w:r>
                          <w:r>
                            <w:rPr>
                              <w:spacing w:val="-1"/>
                              <w:w w:val="95"/>
                              <w:sz w:val="10"/>
                            </w:rPr>
                            <w:tab/>
                          </w:r>
                          <w:r>
                            <w:rPr>
                              <w:spacing w:val="-1"/>
                              <w:sz w:val="10"/>
                            </w:rPr>
                            <w:t>0.83</w:t>
                          </w:r>
                        </w:p>
                        <w:p w14:paraId="655F8B33"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2.25</w:t>
                          </w:r>
                          <w:r>
                            <w:rPr>
                              <w:spacing w:val="-1"/>
                              <w:w w:val="95"/>
                              <w:sz w:val="10"/>
                            </w:rPr>
                            <w:tab/>
                            <w:t>0.40</w:t>
                          </w:r>
                          <w:r>
                            <w:rPr>
                              <w:spacing w:val="-1"/>
                              <w:w w:val="95"/>
                              <w:sz w:val="10"/>
                            </w:rPr>
                            <w:tab/>
                            <w:t>1.84</w:t>
                          </w:r>
                          <w:r>
                            <w:rPr>
                              <w:spacing w:val="-1"/>
                              <w:w w:val="95"/>
                              <w:sz w:val="10"/>
                            </w:rPr>
                            <w:tab/>
                            <w:t>4.01</w:t>
                          </w:r>
                          <w:r>
                            <w:rPr>
                              <w:spacing w:val="-1"/>
                              <w:w w:val="95"/>
                              <w:sz w:val="10"/>
                            </w:rPr>
                            <w:tab/>
                          </w:r>
                          <w:r>
                            <w:rPr>
                              <w:spacing w:val="-1"/>
                              <w:sz w:val="10"/>
                            </w:rPr>
                            <w:t>0.92</w:t>
                          </w:r>
                        </w:p>
                        <w:p w14:paraId="1D6C1B5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2.12</w:t>
                          </w:r>
                          <w:r>
                            <w:rPr>
                              <w:spacing w:val="-1"/>
                              <w:w w:val="95"/>
                              <w:sz w:val="10"/>
                            </w:rPr>
                            <w:tab/>
                            <w:t>0.40</w:t>
                          </w:r>
                          <w:r>
                            <w:rPr>
                              <w:spacing w:val="-1"/>
                              <w:w w:val="95"/>
                              <w:sz w:val="10"/>
                            </w:rPr>
                            <w:tab/>
                            <w:t>1.72</w:t>
                          </w:r>
                          <w:r>
                            <w:rPr>
                              <w:spacing w:val="-1"/>
                              <w:w w:val="95"/>
                              <w:sz w:val="10"/>
                            </w:rPr>
                            <w:tab/>
                            <w:t>4.01</w:t>
                          </w:r>
                          <w:r>
                            <w:rPr>
                              <w:spacing w:val="-1"/>
                              <w:w w:val="95"/>
                              <w:sz w:val="10"/>
                            </w:rPr>
                            <w:tab/>
                          </w:r>
                          <w:r>
                            <w:rPr>
                              <w:spacing w:val="-1"/>
                              <w:sz w:val="10"/>
                            </w:rPr>
                            <w:t>0.86</w:t>
                          </w:r>
                        </w:p>
                        <w:p w14:paraId="57619D1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3.69</w:t>
                          </w:r>
                          <w:r>
                            <w:rPr>
                              <w:spacing w:val="-1"/>
                              <w:w w:val="95"/>
                              <w:sz w:val="10"/>
                            </w:rPr>
                            <w:tab/>
                            <w:t>0.40</w:t>
                          </w:r>
                          <w:r>
                            <w:rPr>
                              <w:spacing w:val="-1"/>
                              <w:w w:val="95"/>
                              <w:sz w:val="10"/>
                            </w:rPr>
                            <w:tab/>
                            <w:t>3.29</w:t>
                          </w:r>
                          <w:r>
                            <w:rPr>
                              <w:spacing w:val="-1"/>
                              <w:w w:val="95"/>
                              <w:sz w:val="10"/>
                            </w:rPr>
                            <w:tab/>
                            <w:t>4.00</w:t>
                          </w:r>
                          <w:r>
                            <w:rPr>
                              <w:spacing w:val="-1"/>
                              <w:w w:val="95"/>
                              <w:sz w:val="10"/>
                            </w:rPr>
                            <w:tab/>
                          </w:r>
                          <w:r>
                            <w:rPr>
                              <w:spacing w:val="-1"/>
                              <w:sz w:val="10"/>
                            </w:rPr>
                            <w:t>1.64</w:t>
                          </w:r>
                        </w:p>
                        <w:p w14:paraId="56D455F1"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4.05</w:t>
                          </w:r>
                          <w:r>
                            <w:rPr>
                              <w:spacing w:val="-1"/>
                              <w:w w:val="95"/>
                              <w:sz w:val="10"/>
                            </w:rPr>
                            <w:tab/>
                            <w:t>0.39</w:t>
                          </w:r>
                          <w:r>
                            <w:rPr>
                              <w:spacing w:val="-1"/>
                              <w:w w:val="95"/>
                              <w:sz w:val="10"/>
                            </w:rPr>
                            <w:tab/>
                            <w:t>3.65</w:t>
                          </w:r>
                          <w:r>
                            <w:rPr>
                              <w:spacing w:val="-1"/>
                              <w:w w:val="95"/>
                              <w:sz w:val="10"/>
                            </w:rPr>
                            <w:tab/>
                            <w:t>4.00</w:t>
                          </w:r>
                          <w:r>
                            <w:rPr>
                              <w:spacing w:val="-1"/>
                              <w:w w:val="95"/>
                              <w:sz w:val="10"/>
                            </w:rPr>
                            <w:tab/>
                          </w:r>
                          <w:r>
                            <w:rPr>
                              <w:spacing w:val="-1"/>
                              <w:sz w:val="10"/>
                            </w:rPr>
                            <w:t>1.83</w:t>
                          </w:r>
                        </w:p>
                        <w:p w14:paraId="2AF1EF8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2.34</w:t>
                          </w:r>
                          <w:r>
                            <w:rPr>
                              <w:spacing w:val="-1"/>
                              <w:w w:val="95"/>
                              <w:sz w:val="10"/>
                            </w:rPr>
                            <w:tab/>
                            <w:t>0.39</w:t>
                          </w:r>
                          <w:r>
                            <w:rPr>
                              <w:spacing w:val="-1"/>
                              <w:w w:val="95"/>
                              <w:sz w:val="10"/>
                            </w:rPr>
                            <w:tab/>
                            <w:t>1.95</w:t>
                          </w:r>
                          <w:r>
                            <w:rPr>
                              <w:spacing w:val="-1"/>
                              <w:w w:val="95"/>
                              <w:sz w:val="10"/>
                            </w:rPr>
                            <w:tab/>
                            <w:t>4.00</w:t>
                          </w:r>
                          <w:r>
                            <w:rPr>
                              <w:spacing w:val="-1"/>
                              <w:w w:val="95"/>
                              <w:sz w:val="10"/>
                            </w:rPr>
                            <w:tab/>
                          </w:r>
                          <w:r>
                            <w:rPr>
                              <w:spacing w:val="-1"/>
                              <w:sz w:val="10"/>
                            </w:rPr>
                            <w:t>0.97</w:t>
                          </w:r>
                        </w:p>
                        <w:p w14:paraId="1E7F7E0A"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2.10</w:t>
                          </w:r>
                          <w:r>
                            <w:rPr>
                              <w:spacing w:val="-1"/>
                              <w:w w:val="95"/>
                              <w:sz w:val="10"/>
                            </w:rPr>
                            <w:tab/>
                            <w:t>0.39</w:t>
                          </w:r>
                          <w:r>
                            <w:rPr>
                              <w:spacing w:val="-1"/>
                              <w:w w:val="95"/>
                              <w:sz w:val="10"/>
                            </w:rPr>
                            <w:tab/>
                            <w:t>1.71</w:t>
                          </w:r>
                          <w:r>
                            <w:rPr>
                              <w:spacing w:val="-1"/>
                              <w:w w:val="95"/>
                              <w:sz w:val="10"/>
                            </w:rPr>
                            <w:tab/>
                            <w:t>4.00</w:t>
                          </w:r>
                          <w:r>
                            <w:rPr>
                              <w:spacing w:val="-1"/>
                              <w:w w:val="95"/>
                              <w:sz w:val="10"/>
                            </w:rPr>
                            <w:tab/>
                          </w:r>
                          <w:r>
                            <w:rPr>
                              <w:spacing w:val="-1"/>
                              <w:sz w:val="10"/>
                            </w:rPr>
                            <w:t>0.86</w:t>
                          </w:r>
                        </w:p>
                        <w:p w14:paraId="1C13179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2.28</w:t>
                          </w:r>
                          <w:r>
                            <w:rPr>
                              <w:spacing w:val="-1"/>
                              <w:w w:val="95"/>
                              <w:sz w:val="10"/>
                            </w:rPr>
                            <w:tab/>
                            <w:t>0.39</w:t>
                          </w:r>
                          <w:r>
                            <w:rPr>
                              <w:spacing w:val="-1"/>
                              <w:w w:val="95"/>
                              <w:sz w:val="10"/>
                            </w:rPr>
                            <w:tab/>
                            <w:t>1.89</w:t>
                          </w:r>
                          <w:r>
                            <w:rPr>
                              <w:spacing w:val="-1"/>
                              <w:w w:val="95"/>
                              <w:sz w:val="10"/>
                            </w:rPr>
                            <w:tab/>
                            <w:t>3.99</w:t>
                          </w:r>
                          <w:r>
                            <w:rPr>
                              <w:spacing w:val="-1"/>
                              <w:w w:val="95"/>
                              <w:sz w:val="10"/>
                            </w:rPr>
                            <w:tab/>
                          </w:r>
                          <w:r>
                            <w:rPr>
                              <w:spacing w:val="-1"/>
                              <w:sz w:val="10"/>
                            </w:rPr>
                            <w:t>0.95</w:t>
                          </w:r>
                        </w:p>
                        <w:p w14:paraId="237D6436"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0.39</w:t>
                          </w:r>
                          <w:r>
                            <w:rPr>
                              <w:spacing w:val="-1"/>
                              <w:w w:val="95"/>
                              <w:sz w:val="10"/>
                            </w:rPr>
                            <w:tab/>
                            <w:t>1.81</w:t>
                          </w:r>
                          <w:r>
                            <w:rPr>
                              <w:spacing w:val="-1"/>
                              <w:w w:val="95"/>
                              <w:sz w:val="10"/>
                            </w:rPr>
                            <w:tab/>
                            <w:t>3.99</w:t>
                          </w:r>
                          <w:r>
                            <w:rPr>
                              <w:spacing w:val="-1"/>
                              <w:w w:val="95"/>
                              <w:sz w:val="10"/>
                            </w:rPr>
                            <w:tab/>
                          </w:r>
                          <w:r>
                            <w:rPr>
                              <w:spacing w:val="-1"/>
                              <w:sz w:val="10"/>
                            </w:rPr>
                            <w:t>0.91</w:t>
                          </w:r>
                        </w:p>
                        <w:p w14:paraId="1C7A295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2.06</w:t>
                          </w:r>
                          <w:r>
                            <w:rPr>
                              <w:spacing w:val="-1"/>
                              <w:w w:val="95"/>
                              <w:sz w:val="10"/>
                            </w:rPr>
                            <w:tab/>
                            <w:t>0.39</w:t>
                          </w:r>
                          <w:r>
                            <w:rPr>
                              <w:spacing w:val="-1"/>
                              <w:w w:val="95"/>
                              <w:sz w:val="10"/>
                            </w:rPr>
                            <w:tab/>
                            <w:t>1.67</w:t>
                          </w:r>
                          <w:r>
                            <w:rPr>
                              <w:spacing w:val="-1"/>
                              <w:w w:val="95"/>
                              <w:sz w:val="10"/>
                            </w:rPr>
                            <w:tab/>
                            <w:t>3.98</w:t>
                          </w:r>
                          <w:r>
                            <w:rPr>
                              <w:spacing w:val="-1"/>
                              <w:w w:val="95"/>
                              <w:sz w:val="10"/>
                            </w:rPr>
                            <w:tab/>
                          </w:r>
                          <w:r>
                            <w:rPr>
                              <w:spacing w:val="-1"/>
                              <w:sz w:val="10"/>
                            </w:rPr>
                            <w:t>0.84</w:t>
                          </w:r>
                        </w:p>
                        <w:p w14:paraId="15917BAD"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1.97</w:t>
                          </w:r>
                          <w:r>
                            <w:rPr>
                              <w:spacing w:val="-1"/>
                              <w:w w:val="95"/>
                              <w:sz w:val="10"/>
                            </w:rPr>
                            <w:tab/>
                            <w:t>0.38</w:t>
                          </w:r>
                          <w:r>
                            <w:rPr>
                              <w:spacing w:val="-1"/>
                              <w:w w:val="95"/>
                              <w:sz w:val="10"/>
                            </w:rPr>
                            <w:tab/>
                            <w:t>1.58</w:t>
                          </w:r>
                          <w:r>
                            <w:rPr>
                              <w:spacing w:val="-1"/>
                              <w:w w:val="95"/>
                              <w:sz w:val="10"/>
                            </w:rPr>
                            <w:tab/>
                            <w:t>3.98</w:t>
                          </w:r>
                          <w:r>
                            <w:rPr>
                              <w:spacing w:val="-1"/>
                              <w:w w:val="95"/>
                              <w:sz w:val="10"/>
                            </w:rPr>
                            <w:tab/>
                          </w:r>
                          <w:r>
                            <w:rPr>
                              <w:spacing w:val="-1"/>
                              <w:sz w:val="10"/>
                            </w:rPr>
                            <w:t>0.80</w:t>
                          </w:r>
                        </w:p>
                        <w:p w14:paraId="094259BE"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2.47</w:t>
                          </w:r>
                          <w:r>
                            <w:rPr>
                              <w:spacing w:val="-1"/>
                              <w:w w:val="95"/>
                              <w:sz w:val="10"/>
                            </w:rPr>
                            <w:tab/>
                            <w:t>0.38</w:t>
                          </w:r>
                          <w:r>
                            <w:rPr>
                              <w:spacing w:val="-1"/>
                              <w:w w:val="95"/>
                              <w:sz w:val="10"/>
                            </w:rPr>
                            <w:tab/>
                            <w:t>2.09</w:t>
                          </w:r>
                          <w:r>
                            <w:rPr>
                              <w:spacing w:val="-1"/>
                              <w:w w:val="95"/>
                              <w:sz w:val="10"/>
                            </w:rPr>
                            <w:tab/>
                            <w:t>3.97</w:t>
                          </w:r>
                          <w:r>
                            <w:rPr>
                              <w:spacing w:val="-1"/>
                              <w:w w:val="95"/>
                              <w:sz w:val="10"/>
                            </w:rPr>
                            <w:tab/>
                          </w:r>
                          <w:r>
                            <w:rPr>
                              <w:spacing w:val="-1"/>
                              <w:sz w:val="10"/>
                            </w:rPr>
                            <w:t>1.05</w:t>
                          </w:r>
                        </w:p>
                        <w:p w14:paraId="517982D9"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2.53</w:t>
                          </w:r>
                          <w:r>
                            <w:rPr>
                              <w:spacing w:val="-1"/>
                              <w:w w:val="95"/>
                              <w:sz w:val="10"/>
                            </w:rPr>
                            <w:tab/>
                            <w:t>0.38</w:t>
                          </w:r>
                          <w:r>
                            <w:rPr>
                              <w:spacing w:val="-1"/>
                              <w:w w:val="95"/>
                              <w:sz w:val="10"/>
                            </w:rPr>
                            <w:tab/>
                            <w:t>2.15</w:t>
                          </w:r>
                          <w:r>
                            <w:rPr>
                              <w:spacing w:val="-1"/>
                              <w:w w:val="95"/>
                              <w:sz w:val="10"/>
                            </w:rPr>
                            <w:tab/>
                            <w:t>3.97</w:t>
                          </w:r>
                          <w:r>
                            <w:rPr>
                              <w:spacing w:val="-1"/>
                              <w:w w:val="95"/>
                              <w:sz w:val="10"/>
                            </w:rPr>
                            <w:tab/>
                          </w:r>
                          <w:r>
                            <w:rPr>
                              <w:spacing w:val="-1"/>
                              <w:sz w:val="10"/>
                            </w:rPr>
                            <w:t>1.08</w:t>
                          </w:r>
                        </w:p>
                        <w:p w14:paraId="3D9D9AD8"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2.36</w:t>
                          </w:r>
                          <w:r>
                            <w:rPr>
                              <w:spacing w:val="-1"/>
                              <w:w w:val="95"/>
                              <w:sz w:val="10"/>
                            </w:rPr>
                            <w:tab/>
                            <w:t>0.38</w:t>
                          </w:r>
                          <w:r>
                            <w:rPr>
                              <w:spacing w:val="-1"/>
                              <w:w w:val="95"/>
                              <w:sz w:val="10"/>
                            </w:rPr>
                            <w:tab/>
                            <w:t>1.98</w:t>
                          </w:r>
                          <w:r>
                            <w:rPr>
                              <w:spacing w:val="-1"/>
                              <w:w w:val="95"/>
                              <w:sz w:val="10"/>
                            </w:rPr>
                            <w:tab/>
                            <w:t>3.96</w:t>
                          </w:r>
                          <w:r>
                            <w:rPr>
                              <w:spacing w:val="-1"/>
                              <w:w w:val="95"/>
                              <w:sz w:val="10"/>
                            </w:rPr>
                            <w:tab/>
                          </w:r>
                          <w:r>
                            <w:rPr>
                              <w:spacing w:val="-1"/>
                              <w:sz w:val="10"/>
                            </w:rPr>
                            <w:t>1.00</w:t>
                          </w:r>
                        </w:p>
                        <w:p w14:paraId="624A2C6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4.30</w:t>
                          </w:r>
                          <w:r>
                            <w:rPr>
                              <w:spacing w:val="-1"/>
                              <w:w w:val="95"/>
                              <w:sz w:val="10"/>
                            </w:rPr>
                            <w:tab/>
                            <w:t>0.38</w:t>
                          </w:r>
                          <w:r>
                            <w:rPr>
                              <w:spacing w:val="-1"/>
                              <w:w w:val="95"/>
                              <w:sz w:val="10"/>
                            </w:rPr>
                            <w:tab/>
                            <w:t>3.92</w:t>
                          </w:r>
                          <w:r>
                            <w:rPr>
                              <w:spacing w:val="-1"/>
                              <w:w w:val="95"/>
                              <w:sz w:val="10"/>
                            </w:rPr>
                            <w:tab/>
                            <w:t>3.96</w:t>
                          </w:r>
                          <w:r>
                            <w:rPr>
                              <w:spacing w:val="-1"/>
                              <w:w w:val="95"/>
                              <w:sz w:val="10"/>
                            </w:rPr>
                            <w:tab/>
                          </w:r>
                          <w:r>
                            <w:rPr>
                              <w:spacing w:val="-1"/>
                              <w:sz w:val="10"/>
                            </w:rPr>
                            <w:t>1.98</w:t>
                          </w:r>
                        </w:p>
                        <w:p w14:paraId="529666C0"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4.42</w:t>
                          </w:r>
                          <w:r>
                            <w:rPr>
                              <w:spacing w:val="-1"/>
                              <w:w w:val="95"/>
                              <w:sz w:val="10"/>
                            </w:rPr>
                            <w:tab/>
                            <w:t>0.38</w:t>
                          </w:r>
                          <w:r>
                            <w:rPr>
                              <w:spacing w:val="-1"/>
                              <w:w w:val="95"/>
                              <w:sz w:val="10"/>
                            </w:rPr>
                            <w:tab/>
                            <w:t>4.04</w:t>
                          </w:r>
                          <w:r>
                            <w:rPr>
                              <w:spacing w:val="-1"/>
                              <w:w w:val="95"/>
                              <w:sz w:val="10"/>
                            </w:rPr>
                            <w:tab/>
                            <w:t>3.95</w:t>
                          </w:r>
                          <w:r>
                            <w:rPr>
                              <w:spacing w:val="-1"/>
                              <w:w w:val="95"/>
                              <w:sz w:val="10"/>
                            </w:rPr>
                            <w:tab/>
                          </w:r>
                          <w:r>
                            <w:rPr>
                              <w:spacing w:val="-1"/>
                              <w:sz w:val="10"/>
                            </w:rPr>
                            <w:t>2.04</w:t>
                          </w:r>
                        </w:p>
                        <w:p w14:paraId="6EF0ACD6"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2.42</w:t>
                          </w:r>
                          <w:r>
                            <w:rPr>
                              <w:spacing w:val="-1"/>
                              <w:w w:val="95"/>
                              <w:sz w:val="10"/>
                            </w:rPr>
                            <w:tab/>
                            <w:t>0.38</w:t>
                          </w:r>
                          <w:r>
                            <w:rPr>
                              <w:spacing w:val="-1"/>
                              <w:w w:val="95"/>
                              <w:sz w:val="10"/>
                            </w:rPr>
                            <w:tab/>
                            <w:t>2.05</w:t>
                          </w:r>
                          <w:r>
                            <w:rPr>
                              <w:spacing w:val="-1"/>
                              <w:w w:val="95"/>
                              <w:sz w:val="10"/>
                            </w:rPr>
                            <w:tab/>
                            <w:t>3.94</w:t>
                          </w:r>
                          <w:r>
                            <w:rPr>
                              <w:spacing w:val="-1"/>
                              <w:w w:val="95"/>
                              <w:sz w:val="10"/>
                            </w:rPr>
                            <w:tab/>
                          </w:r>
                          <w:r>
                            <w:rPr>
                              <w:spacing w:val="-1"/>
                              <w:sz w:val="10"/>
                            </w:rPr>
                            <w:t>1.04</w:t>
                          </w:r>
                        </w:p>
                        <w:p w14:paraId="22238CD3"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2.30</w:t>
                          </w:r>
                          <w:r>
                            <w:rPr>
                              <w:spacing w:val="-1"/>
                              <w:w w:val="95"/>
                              <w:sz w:val="10"/>
                            </w:rPr>
                            <w:tab/>
                            <w:t>0.38</w:t>
                          </w:r>
                          <w:r>
                            <w:rPr>
                              <w:spacing w:val="-1"/>
                              <w:w w:val="95"/>
                              <w:sz w:val="10"/>
                            </w:rPr>
                            <w:tab/>
                            <w:t>1.92</w:t>
                          </w:r>
                          <w:r>
                            <w:rPr>
                              <w:spacing w:val="-1"/>
                              <w:w w:val="95"/>
                              <w:sz w:val="10"/>
                            </w:rPr>
                            <w:tab/>
                            <w:t>3.93</w:t>
                          </w:r>
                          <w:r>
                            <w:rPr>
                              <w:spacing w:val="-1"/>
                              <w:w w:val="95"/>
                              <w:sz w:val="10"/>
                            </w:rPr>
                            <w:tab/>
                          </w:r>
                          <w:r>
                            <w:rPr>
                              <w:spacing w:val="-1"/>
                              <w:sz w:val="10"/>
                            </w:rPr>
                            <w:t>0.98</w:t>
                          </w:r>
                        </w:p>
                        <w:p w14:paraId="48DE3087"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2.37</w:t>
                          </w:r>
                          <w:r>
                            <w:rPr>
                              <w:spacing w:val="-1"/>
                              <w:w w:val="95"/>
                              <w:sz w:val="10"/>
                            </w:rPr>
                            <w:tab/>
                            <w:t>0.38</w:t>
                          </w:r>
                          <w:r>
                            <w:rPr>
                              <w:spacing w:val="-1"/>
                              <w:w w:val="95"/>
                              <w:sz w:val="10"/>
                            </w:rPr>
                            <w:tab/>
                            <w:t>2.00</w:t>
                          </w:r>
                          <w:r>
                            <w:rPr>
                              <w:spacing w:val="-1"/>
                              <w:w w:val="95"/>
                              <w:sz w:val="10"/>
                            </w:rPr>
                            <w:tab/>
                            <w:t>3.92</w:t>
                          </w:r>
                          <w:r>
                            <w:rPr>
                              <w:spacing w:val="-1"/>
                              <w:w w:val="95"/>
                              <w:sz w:val="10"/>
                            </w:rPr>
                            <w:tab/>
                          </w:r>
                          <w:r>
                            <w:rPr>
                              <w:spacing w:val="-1"/>
                              <w:sz w:val="10"/>
                            </w:rPr>
                            <w:t>1.02</w:t>
                          </w:r>
                        </w:p>
                        <w:p w14:paraId="0EF87586"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0.43</w:t>
                          </w:r>
                          <w:r>
                            <w:rPr>
                              <w:spacing w:val="-1"/>
                              <w:w w:val="95"/>
                              <w:sz w:val="10"/>
                            </w:rPr>
                            <w:tab/>
                            <w:t>0.38</w:t>
                          </w:r>
                          <w:r>
                            <w:rPr>
                              <w:spacing w:val="-1"/>
                              <w:w w:val="95"/>
                              <w:sz w:val="10"/>
                            </w:rPr>
                            <w:tab/>
                            <w:t>0.06</w:t>
                          </w:r>
                          <w:r>
                            <w:rPr>
                              <w:spacing w:val="-1"/>
                              <w:w w:val="95"/>
                              <w:sz w:val="10"/>
                            </w:rPr>
                            <w:tab/>
                            <w:t>3.92</w:t>
                          </w:r>
                          <w:r>
                            <w:rPr>
                              <w:spacing w:val="-1"/>
                              <w:w w:val="95"/>
                              <w:sz w:val="10"/>
                            </w:rPr>
                            <w:tab/>
                          </w:r>
                          <w:r>
                            <w:rPr>
                              <w:spacing w:val="-1"/>
                              <w:sz w:val="10"/>
                            </w:rPr>
                            <w:t>0.03</w:t>
                          </w:r>
                        </w:p>
                        <w:p w14:paraId="6CC15E48"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0.38</w:t>
                          </w:r>
                          <w:r>
                            <w:rPr>
                              <w:spacing w:val="-1"/>
                              <w:w w:val="95"/>
                              <w:sz w:val="10"/>
                            </w:rPr>
                            <w:tab/>
                            <w:t>0.38</w:t>
                          </w:r>
                          <w:r>
                            <w:rPr>
                              <w:spacing w:val="-1"/>
                              <w:w w:val="95"/>
                              <w:sz w:val="10"/>
                            </w:rPr>
                            <w:tab/>
                            <w:t>0.01</w:t>
                          </w:r>
                          <w:r>
                            <w:rPr>
                              <w:spacing w:val="-1"/>
                              <w:w w:val="95"/>
                              <w:sz w:val="10"/>
                            </w:rPr>
                            <w:tab/>
                            <w:t>3.91</w:t>
                          </w:r>
                          <w:r>
                            <w:rPr>
                              <w:spacing w:val="-1"/>
                              <w:w w:val="95"/>
                              <w:sz w:val="10"/>
                            </w:rPr>
                            <w:tab/>
                          </w:r>
                          <w:r>
                            <w:rPr>
                              <w:spacing w:val="-1"/>
                              <w:sz w:val="10"/>
                            </w:rPr>
                            <w:t>0.00</w:t>
                          </w:r>
                        </w:p>
                        <w:p w14:paraId="514AF0B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2.50</w:t>
                          </w:r>
                          <w:r>
                            <w:rPr>
                              <w:spacing w:val="-1"/>
                              <w:w w:val="95"/>
                              <w:sz w:val="10"/>
                            </w:rPr>
                            <w:tab/>
                            <w:t>0.37</w:t>
                          </w:r>
                          <w:r>
                            <w:rPr>
                              <w:spacing w:val="-1"/>
                              <w:w w:val="95"/>
                              <w:sz w:val="10"/>
                            </w:rPr>
                            <w:tab/>
                            <w:t>2.13</w:t>
                          </w:r>
                          <w:r>
                            <w:rPr>
                              <w:spacing w:val="-1"/>
                              <w:w w:val="95"/>
                              <w:sz w:val="10"/>
                            </w:rPr>
                            <w:tab/>
                            <w:t>3.90</w:t>
                          </w:r>
                          <w:r>
                            <w:rPr>
                              <w:spacing w:val="-1"/>
                              <w:w w:val="95"/>
                              <w:sz w:val="10"/>
                            </w:rPr>
                            <w:tab/>
                          </w:r>
                          <w:r>
                            <w:rPr>
                              <w:spacing w:val="-1"/>
                              <w:sz w:val="10"/>
                            </w:rPr>
                            <w:t>1.09</w:t>
                          </w:r>
                        </w:p>
                        <w:p w14:paraId="43022A72"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2.14</w:t>
                          </w:r>
                          <w:r>
                            <w:rPr>
                              <w:spacing w:val="-1"/>
                              <w:w w:val="95"/>
                              <w:sz w:val="10"/>
                            </w:rPr>
                            <w:tab/>
                            <w:t>0.37</w:t>
                          </w:r>
                          <w:r>
                            <w:rPr>
                              <w:spacing w:val="-1"/>
                              <w:w w:val="95"/>
                              <w:sz w:val="10"/>
                            </w:rPr>
                            <w:tab/>
                            <w:t>1.76</w:t>
                          </w:r>
                          <w:r>
                            <w:rPr>
                              <w:spacing w:val="-1"/>
                              <w:w w:val="95"/>
                              <w:sz w:val="10"/>
                            </w:rPr>
                            <w:tab/>
                            <w:t>3.89</w:t>
                          </w:r>
                          <w:r>
                            <w:rPr>
                              <w:spacing w:val="-1"/>
                              <w:w w:val="95"/>
                              <w:sz w:val="10"/>
                            </w:rPr>
                            <w:tab/>
                          </w:r>
                          <w:r>
                            <w:rPr>
                              <w:spacing w:val="-1"/>
                              <w:sz w:val="10"/>
                            </w:rPr>
                            <w:t>0.91</w:t>
                          </w:r>
                        </w:p>
                        <w:p w14:paraId="45234290"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2.06</w:t>
                          </w:r>
                          <w:r>
                            <w:rPr>
                              <w:spacing w:val="-1"/>
                              <w:w w:val="95"/>
                              <w:sz w:val="10"/>
                            </w:rPr>
                            <w:tab/>
                            <w:t>0.37</w:t>
                          </w:r>
                          <w:r>
                            <w:rPr>
                              <w:spacing w:val="-1"/>
                              <w:w w:val="95"/>
                              <w:sz w:val="10"/>
                            </w:rPr>
                            <w:tab/>
                            <w:t>1.68</w:t>
                          </w:r>
                          <w:r>
                            <w:rPr>
                              <w:spacing w:val="-1"/>
                              <w:w w:val="95"/>
                              <w:sz w:val="10"/>
                            </w:rPr>
                            <w:tab/>
                            <w:t>3.88</w:t>
                          </w:r>
                          <w:r>
                            <w:rPr>
                              <w:spacing w:val="-1"/>
                              <w:w w:val="95"/>
                              <w:sz w:val="10"/>
                            </w:rPr>
                            <w:tab/>
                          </w:r>
                          <w:r>
                            <w:rPr>
                              <w:spacing w:val="-1"/>
                              <w:sz w:val="10"/>
                            </w:rPr>
                            <w:t>0.87</w:t>
                          </w:r>
                        </w:p>
                        <w:p w14:paraId="74BD5E68"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0.37</w:t>
                          </w:r>
                          <w:r>
                            <w:rPr>
                              <w:spacing w:val="-1"/>
                              <w:w w:val="95"/>
                              <w:sz w:val="10"/>
                            </w:rPr>
                            <w:tab/>
                            <w:t>1.83</w:t>
                          </w:r>
                          <w:r>
                            <w:rPr>
                              <w:spacing w:val="-1"/>
                              <w:w w:val="95"/>
                              <w:sz w:val="10"/>
                            </w:rPr>
                            <w:tab/>
                            <w:t>3.87</w:t>
                          </w:r>
                          <w:r>
                            <w:rPr>
                              <w:spacing w:val="-1"/>
                              <w:w w:val="95"/>
                              <w:sz w:val="10"/>
                            </w:rPr>
                            <w:tab/>
                          </w:r>
                          <w:r>
                            <w:rPr>
                              <w:spacing w:val="-1"/>
                              <w:sz w:val="10"/>
                            </w:rPr>
                            <w:t>0.94</w:t>
                          </w:r>
                        </w:p>
                        <w:p w14:paraId="1FDBC2A8"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2.03</w:t>
                          </w:r>
                          <w:r>
                            <w:rPr>
                              <w:spacing w:val="-1"/>
                              <w:w w:val="95"/>
                              <w:sz w:val="10"/>
                            </w:rPr>
                            <w:tab/>
                            <w:t>0.38</w:t>
                          </w:r>
                          <w:r>
                            <w:rPr>
                              <w:spacing w:val="-1"/>
                              <w:w w:val="95"/>
                              <w:sz w:val="10"/>
                            </w:rPr>
                            <w:tab/>
                            <w:t>1.65</w:t>
                          </w:r>
                          <w:r>
                            <w:rPr>
                              <w:spacing w:val="-1"/>
                              <w:w w:val="95"/>
                              <w:sz w:val="10"/>
                            </w:rPr>
                            <w:tab/>
                            <w:t>3.86</w:t>
                          </w:r>
                          <w:r>
                            <w:rPr>
                              <w:spacing w:val="-1"/>
                              <w:w w:val="95"/>
                              <w:sz w:val="10"/>
                            </w:rPr>
                            <w:tab/>
                          </w:r>
                          <w:r>
                            <w:rPr>
                              <w:spacing w:val="-1"/>
                              <w:sz w:val="10"/>
                            </w:rPr>
                            <w:t>0.86</w:t>
                          </w:r>
                        </w:p>
                        <w:p w14:paraId="4CC758B5"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2.22</w:t>
                          </w:r>
                          <w:r>
                            <w:rPr>
                              <w:spacing w:val="-1"/>
                              <w:w w:val="95"/>
                              <w:sz w:val="10"/>
                            </w:rPr>
                            <w:tab/>
                            <w:t>0.38</w:t>
                          </w:r>
                          <w:r>
                            <w:rPr>
                              <w:spacing w:val="-1"/>
                              <w:w w:val="95"/>
                              <w:sz w:val="10"/>
                            </w:rPr>
                            <w:tab/>
                            <w:t>1.84</w:t>
                          </w:r>
                          <w:r>
                            <w:rPr>
                              <w:spacing w:val="-1"/>
                              <w:w w:val="95"/>
                              <w:sz w:val="10"/>
                            </w:rPr>
                            <w:tab/>
                            <w:t>3.84</w:t>
                          </w:r>
                          <w:r>
                            <w:rPr>
                              <w:spacing w:val="-1"/>
                              <w:w w:val="95"/>
                              <w:sz w:val="10"/>
                            </w:rPr>
                            <w:tab/>
                          </w:r>
                          <w:r>
                            <w:rPr>
                              <w:spacing w:val="-1"/>
                              <w:sz w:val="10"/>
                            </w:rPr>
                            <w:t>0.96</w:t>
                          </w:r>
                        </w:p>
                        <w:p w14:paraId="16A30201"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2.12</w:t>
                          </w:r>
                          <w:r>
                            <w:rPr>
                              <w:spacing w:val="-1"/>
                              <w:w w:val="95"/>
                              <w:sz w:val="10"/>
                            </w:rPr>
                            <w:tab/>
                            <w:t>0.38</w:t>
                          </w:r>
                          <w:r>
                            <w:rPr>
                              <w:spacing w:val="-1"/>
                              <w:w w:val="95"/>
                              <w:sz w:val="10"/>
                            </w:rPr>
                            <w:tab/>
                            <w:t>1.74</w:t>
                          </w:r>
                          <w:r>
                            <w:rPr>
                              <w:spacing w:val="-1"/>
                              <w:w w:val="95"/>
                              <w:sz w:val="10"/>
                            </w:rPr>
                            <w:tab/>
                            <w:t>3.83</w:t>
                          </w:r>
                          <w:r>
                            <w:rPr>
                              <w:spacing w:val="-1"/>
                              <w:w w:val="95"/>
                              <w:sz w:val="10"/>
                            </w:rPr>
                            <w:tab/>
                          </w:r>
                          <w:r>
                            <w:rPr>
                              <w:spacing w:val="-1"/>
                              <w:sz w:val="10"/>
                            </w:rPr>
                            <w:t>0.91</w:t>
                          </w:r>
                        </w:p>
                        <w:p w14:paraId="0690A992"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2.70</w:t>
                          </w:r>
                          <w:r>
                            <w:rPr>
                              <w:spacing w:val="-1"/>
                              <w:w w:val="95"/>
                              <w:sz w:val="10"/>
                            </w:rPr>
                            <w:tab/>
                            <w:t>0.38</w:t>
                          </w:r>
                          <w:r>
                            <w:rPr>
                              <w:spacing w:val="-1"/>
                              <w:w w:val="95"/>
                              <w:sz w:val="10"/>
                            </w:rPr>
                            <w:tab/>
                            <w:t>2.33</w:t>
                          </w:r>
                          <w:r>
                            <w:rPr>
                              <w:spacing w:val="-1"/>
                              <w:w w:val="95"/>
                              <w:sz w:val="10"/>
                            </w:rPr>
                            <w:tab/>
                            <w:t>3.82</w:t>
                          </w:r>
                          <w:r>
                            <w:rPr>
                              <w:spacing w:val="-1"/>
                              <w:w w:val="95"/>
                              <w:sz w:val="10"/>
                            </w:rPr>
                            <w:tab/>
                          </w:r>
                          <w:r>
                            <w:rPr>
                              <w:spacing w:val="-1"/>
                              <w:sz w:val="10"/>
                            </w:rPr>
                            <w:t>1.22</w:t>
                          </w:r>
                        </w:p>
                        <w:p w14:paraId="76C60B45"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2.79</w:t>
                          </w:r>
                          <w:r>
                            <w:rPr>
                              <w:spacing w:val="-1"/>
                              <w:w w:val="95"/>
                              <w:sz w:val="10"/>
                            </w:rPr>
                            <w:tab/>
                            <w:t>0.38</w:t>
                          </w:r>
                          <w:r>
                            <w:rPr>
                              <w:spacing w:val="-1"/>
                              <w:w w:val="95"/>
                              <w:sz w:val="10"/>
                            </w:rPr>
                            <w:tab/>
                            <w:t>2.41</w:t>
                          </w:r>
                          <w:r>
                            <w:rPr>
                              <w:spacing w:val="-1"/>
                              <w:w w:val="95"/>
                              <w:sz w:val="10"/>
                            </w:rPr>
                            <w:tab/>
                            <w:t>3.81</w:t>
                          </w:r>
                          <w:r>
                            <w:rPr>
                              <w:spacing w:val="-1"/>
                              <w:w w:val="95"/>
                              <w:sz w:val="10"/>
                            </w:rPr>
                            <w:tab/>
                          </w:r>
                          <w:r>
                            <w:rPr>
                              <w:spacing w:val="-1"/>
                              <w:sz w:val="10"/>
                            </w:rPr>
                            <w:t>1.27</w:t>
                          </w:r>
                        </w:p>
                        <w:p w14:paraId="26AB4FFA"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2.50</w:t>
                          </w:r>
                          <w:r>
                            <w:rPr>
                              <w:spacing w:val="-1"/>
                              <w:w w:val="95"/>
                              <w:sz w:val="10"/>
                            </w:rPr>
                            <w:tab/>
                            <w:t>0.38</w:t>
                          </w:r>
                          <w:r>
                            <w:rPr>
                              <w:spacing w:val="-1"/>
                              <w:w w:val="95"/>
                              <w:sz w:val="10"/>
                            </w:rPr>
                            <w:tab/>
                            <w:t>2.12</w:t>
                          </w:r>
                          <w:r>
                            <w:rPr>
                              <w:spacing w:val="-1"/>
                              <w:w w:val="95"/>
                              <w:sz w:val="10"/>
                            </w:rPr>
                            <w:tab/>
                            <w:t>3.79</w:t>
                          </w:r>
                          <w:r>
                            <w:rPr>
                              <w:spacing w:val="-1"/>
                              <w:w w:val="95"/>
                              <w:sz w:val="10"/>
                            </w:rPr>
                            <w:tab/>
                          </w:r>
                          <w:r>
                            <w:rPr>
                              <w:spacing w:val="-1"/>
                              <w:sz w:val="10"/>
                            </w:rPr>
                            <w:t>1.12</w:t>
                          </w:r>
                        </w:p>
                        <w:p w14:paraId="1527F1AE"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2.75</w:t>
                          </w:r>
                          <w:r>
                            <w:rPr>
                              <w:spacing w:val="-1"/>
                              <w:w w:val="95"/>
                              <w:sz w:val="10"/>
                            </w:rPr>
                            <w:tab/>
                            <w:t>0.38</w:t>
                          </w:r>
                          <w:r>
                            <w:rPr>
                              <w:spacing w:val="-1"/>
                              <w:w w:val="95"/>
                              <w:sz w:val="10"/>
                            </w:rPr>
                            <w:tab/>
                            <w:t>2.37</w:t>
                          </w:r>
                          <w:r>
                            <w:rPr>
                              <w:spacing w:val="-1"/>
                              <w:w w:val="95"/>
                              <w:sz w:val="10"/>
                            </w:rPr>
                            <w:tab/>
                            <w:t>3.78</w:t>
                          </w:r>
                          <w:r>
                            <w:rPr>
                              <w:spacing w:val="-1"/>
                              <w:w w:val="95"/>
                              <w:sz w:val="10"/>
                            </w:rPr>
                            <w:tab/>
                          </w:r>
                          <w:r>
                            <w:rPr>
                              <w:spacing w:val="-1"/>
                              <w:sz w:val="10"/>
                            </w:rPr>
                            <w:t>1.26</w:t>
                          </w:r>
                        </w:p>
                        <w:p w14:paraId="386F5B1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2.15</w:t>
                          </w:r>
                          <w:r>
                            <w:rPr>
                              <w:spacing w:val="-1"/>
                              <w:w w:val="95"/>
                              <w:sz w:val="10"/>
                            </w:rPr>
                            <w:tab/>
                            <w:t>0.38</w:t>
                          </w:r>
                          <w:r>
                            <w:rPr>
                              <w:spacing w:val="-1"/>
                              <w:w w:val="95"/>
                              <w:sz w:val="10"/>
                            </w:rPr>
                            <w:tab/>
                            <w:t>1.77</w:t>
                          </w:r>
                          <w:r>
                            <w:rPr>
                              <w:spacing w:val="-1"/>
                              <w:w w:val="95"/>
                              <w:sz w:val="10"/>
                            </w:rPr>
                            <w:tab/>
                            <w:t>3.77</w:t>
                          </w:r>
                          <w:r>
                            <w:rPr>
                              <w:spacing w:val="-1"/>
                              <w:w w:val="95"/>
                              <w:sz w:val="10"/>
                            </w:rPr>
                            <w:tab/>
                          </w:r>
                          <w:r>
                            <w:rPr>
                              <w:spacing w:val="-1"/>
                              <w:sz w:val="10"/>
                            </w:rPr>
                            <w:t>0.94</w:t>
                          </w:r>
                        </w:p>
                        <w:p w14:paraId="2306EBCF"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2.18</w:t>
                          </w:r>
                          <w:r>
                            <w:rPr>
                              <w:spacing w:val="-1"/>
                              <w:w w:val="95"/>
                              <w:sz w:val="10"/>
                            </w:rPr>
                            <w:tab/>
                            <w:t>0.38</w:t>
                          </w:r>
                          <w:r>
                            <w:rPr>
                              <w:spacing w:val="-1"/>
                              <w:w w:val="95"/>
                              <w:sz w:val="10"/>
                            </w:rPr>
                            <w:tab/>
                            <w:t>1.80</w:t>
                          </w:r>
                          <w:r>
                            <w:rPr>
                              <w:spacing w:val="-1"/>
                              <w:w w:val="95"/>
                              <w:sz w:val="10"/>
                            </w:rPr>
                            <w:tab/>
                            <w:t>3.75</w:t>
                          </w:r>
                          <w:r>
                            <w:rPr>
                              <w:spacing w:val="-1"/>
                              <w:w w:val="95"/>
                              <w:sz w:val="10"/>
                            </w:rPr>
                            <w:tab/>
                          </w:r>
                          <w:r>
                            <w:rPr>
                              <w:spacing w:val="-1"/>
                              <w:sz w:val="10"/>
                            </w:rPr>
                            <w:t>0.96</w:t>
                          </w:r>
                        </w:p>
                        <w:p w14:paraId="5B91253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1.84</w:t>
                          </w:r>
                          <w:r>
                            <w:rPr>
                              <w:spacing w:val="-1"/>
                              <w:w w:val="95"/>
                              <w:sz w:val="10"/>
                            </w:rPr>
                            <w:tab/>
                            <w:t>0.38</w:t>
                          </w:r>
                          <w:r>
                            <w:rPr>
                              <w:spacing w:val="-1"/>
                              <w:w w:val="95"/>
                              <w:sz w:val="10"/>
                            </w:rPr>
                            <w:tab/>
                            <w:t>1.46</w:t>
                          </w:r>
                          <w:r>
                            <w:rPr>
                              <w:spacing w:val="-1"/>
                              <w:w w:val="95"/>
                              <w:sz w:val="10"/>
                            </w:rPr>
                            <w:tab/>
                            <w:t>3.74</w:t>
                          </w:r>
                          <w:r>
                            <w:rPr>
                              <w:spacing w:val="-1"/>
                              <w:w w:val="95"/>
                              <w:sz w:val="10"/>
                            </w:rPr>
                            <w:tab/>
                          </w:r>
                          <w:r>
                            <w:rPr>
                              <w:spacing w:val="-1"/>
                              <w:sz w:val="10"/>
                            </w:rPr>
                            <w:t>0.78</w:t>
                          </w:r>
                        </w:p>
                        <w:p w14:paraId="6A4E621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1.94</w:t>
                          </w:r>
                          <w:r>
                            <w:rPr>
                              <w:spacing w:val="-1"/>
                              <w:w w:val="95"/>
                              <w:sz w:val="10"/>
                            </w:rPr>
                            <w:tab/>
                            <w:t>0.38</w:t>
                          </w:r>
                          <w:r>
                            <w:rPr>
                              <w:spacing w:val="-1"/>
                              <w:w w:val="95"/>
                              <w:sz w:val="10"/>
                            </w:rPr>
                            <w:tab/>
                            <w:t>1.55</w:t>
                          </w:r>
                          <w:r>
                            <w:rPr>
                              <w:spacing w:val="-1"/>
                              <w:w w:val="95"/>
                              <w:sz w:val="10"/>
                            </w:rPr>
                            <w:tab/>
                            <w:t>3.72</w:t>
                          </w:r>
                          <w:r>
                            <w:rPr>
                              <w:spacing w:val="-1"/>
                              <w:w w:val="95"/>
                              <w:sz w:val="10"/>
                            </w:rPr>
                            <w:tab/>
                          </w:r>
                          <w:r>
                            <w:rPr>
                              <w:spacing w:val="-1"/>
                              <w:sz w:val="10"/>
                            </w:rPr>
                            <w:t>0.84</w:t>
                          </w:r>
                        </w:p>
                        <w:p w14:paraId="5C16BAEA"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2.37</w:t>
                          </w:r>
                          <w:r>
                            <w:rPr>
                              <w:spacing w:val="-1"/>
                              <w:w w:val="95"/>
                              <w:sz w:val="10"/>
                            </w:rPr>
                            <w:tab/>
                            <w:t>0.38</w:t>
                          </w:r>
                          <w:r>
                            <w:rPr>
                              <w:spacing w:val="-1"/>
                              <w:w w:val="95"/>
                              <w:sz w:val="10"/>
                            </w:rPr>
                            <w:tab/>
                            <w:t>1.99</w:t>
                          </w:r>
                          <w:r>
                            <w:rPr>
                              <w:spacing w:val="-1"/>
                              <w:w w:val="95"/>
                              <w:sz w:val="10"/>
                            </w:rPr>
                            <w:tab/>
                            <w:t>3.71</w:t>
                          </w:r>
                          <w:r>
                            <w:rPr>
                              <w:spacing w:val="-1"/>
                              <w:w w:val="95"/>
                              <w:sz w:val="10"/>
                            </w:rPr>
                            <w:tab/>
                          </w:r>
                          <w:r>
                            <w:rPr>
                              <w:spacing w:val="-1"/>
                              <w:sz w:val="10"/>
                            </w:rPr>
                            <w:t>1.07</w:t>
                          </w:r>
                        </w:p>
                        <w:p w14:paraId="6F0D8EAD"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4.13</w:t>
                          </w:r>
                          <w:r>
                            <w:rPr>
                              <w:spacing w:val="-1"/>
                              <w:w w:val="95"/>
                              <w:sz w:val="10"/>
                            </w:rPr>
                            <w:tab/>
                            <w:t>0.39</w:t>
                          </w:r>
                          <w:r>
                            <w:rPr>
                              <w:spacing w:val="-1"/>
                              <w:w w:val="95"/>
                              <w:sz w:val="10"/>
                            </w:rPr>
                            <w:tab/>
                            <w:t>3.75</w:t>
                          </w:r>
                          <w:r>
                            <w:rPr>
                              <w:spacing w:val="-1"/>
                              <w:w w:val="95"/>
                              <w:sz w:val="10"/>
                            </w:rPr>
                            <w:tab/>
                            <w:t>3.69</w:t>
                          </w:r>
                          <w:r>
                            <w:rPr>
                              <w:spacing w:val="-1"/>
                              <w:w w:val="95"/>
                              <w:sz w:val="10"/>
                            </w:rPr>
                            <w:tab/>
                          </w:r>
                          <w:r>
                            <w:rPr>
                              <w:spacing w:val="-1"/>
                              <w:sz w:val="10"/>
                            </w:rPr>
                            <w:t>2.03</w:t>
                          </w:r>
                        </w:p>
                        <w:p w14:paraId="762783B9"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3.99</w:t>
                          </w:r>
                          <w:r>
                            <w:rPr>
                              <w:spacing w:val="-1"/>
                              <w:w w:val="95"/>
                              <w:sz w:val="10"/>
                            </w:rPr>
                            <w:tab/>
                            <w:t>0.39</w:t>
                          </w:r>
                          <w:r>
                            <w:rPr>
                              <w:spacing w:val="-1"/>
                              <w:w w:val="95"/>
                              <w:sz w:val="10"/>
                            </w:rPr>
                            <w:tab/>
                            <w:t>3.60</w:t>
                          </w:r>
                          <w:r>
                            <w:rPr>
                              <w:spacing w:val="-1"/>
                              <w:w w:val="95"/>
                              <w:sz w:val="10"/>
                            </w:rPr>
                            <w:tab/>
                            <w:t>3.67</w:t>
                          </w:r>
                          <w:r>
                            <w:rPr>
                              <w:spacing w:val="-1"/>
                              <w:w w:val="95"/>
                              <w:sz w:val="10"/>
                            </w:rPr>
                            <w:tab/>
                          </w:r>
                          <w:r>
                            <w:rPr>
                              <w:spacing w:val="-1"/>
                              <w:sz w:val="10"/>
                            </w:rPr>
                            <w:t>1.96</w:t>
                          </w:r>
                        </w:p>
                        <w:p w14:paraId="64F53A3B"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2.31</w:t>
                          </w:r>
                          <w:r>
                            <w:rPr>
                              <w:spacing w:val="-1"/>
                              <w:w w:val="95"/>
                              <w:sz w:val="10"/>
                            </w:rPr>
                            <w:tab/>
                            <w:t>0.39</w:t>
                          </w:r>
                          <w:r>
                            <w:rPr>
                              <w:spacing w:val="-1"/>
                              <w:w w:val="95"/>
                              <w:sz w:val="10"/>
                            </w:rPr>
                            <w:tab/>
                            <w:t>1.92</w:t>
                          </w:r>
                          <w:r>
                            <w:rPr>
                              <w:spacing w:val="-1"/>
                              <w:w w:val="95"/>
                              <w:sz w:val="10"/>
                            </w:rPr>
                            <w:tab/>
                            <w:t>3.66</w:t>
                          </w:r>
                          <w:r>
                            <w:rPr>
                              <w:spacing w:val="-1"/>
                              <w:w w:val="95"/>
                              <w:sz w:val="10"/>
                            </w:rPr>
                            <w:tab/>
                          </w:r>
                          <w:r>
                            <w:rPr>
                              <w:spacing w:val="-1"/>
                              <w:sz w:val="10"/>
                            </w:rPr>
                            <w:t>1.05</w:t>
                          </w:r>
                        </w:p>
                        <w:p w14:paraId="2EC7C42C"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2.20</w:t>
                          </w:r>
                          <w:r>
                            <w:rPr>
                              <w:spacing w:val="-1"/>
                              <w:w w:val="95"/>
                              <w:sz w:val="10"/>
                            </w:rPr>
                            <w:tab/>
                            <w:t>0.39</w:t>
                          </w:r>
                          <w:r>
                            <w:rPr>
                              <w:spacing w:val="-1"/>
                              <w:w w:val="95"/>
                              <w:sz w:val="10"/>
                            </w:rPr>
                            <w:tab/>
                            <w:t>1.81</w:t>
                          </w:r>
                          <w:r>
                            <w:rPr>
                              <w:spacing w:val="-1"/>
                              <w:w w:val="95"/>
                              <w:sz w:val="10"/>
                            </w:rPr>
                            <w:tab/>
                            <w:t>3.64</w:t>
                          </w:r>
                          <w:r>
                            <w:rPr>
                              <w:spacing w:val="-1"/>
                              <w:w w:val="95"/>
                              <w:sz w:val="10"/>
                            </w:rPr>
                            <w:tab/>
                          </w:r>
                          <w:r>
                            <w:rPr>
                              <w:spacing w:val="-1"/>
                              <w:sz w:val="10"/>
                            </w:rPr>
                            <w:t>0.99</w:t>
                          </w:r>
                        </w:p>
                        <w:p w14:paraId="40BDA48D" w14:textId="77777777" w:rsidR="00CB53E4" w:rsidRDefault="00CB53E4" w:rsidP="0031675F">
                          <w:pPr>
                            <w:tabs>
                              <w:tab w:val="left" w:pos="499"/>
                              <w:tab w:val="left" w:pos="999"/>
                              <w:tab w:val="left" w:pos="1499"/>
                              <w:tab w:val="left" w:pos="1998"/>
                            </w:tabs>
                            <w:spacing w:before="7"/>
                            <w:rPr>
                              <w:rFonts w:eastAsia="Arial" w:cs="Arial"/>
                              <w:sz w:val="10"/>
                              <w:szCs w:val="10"/>
                            </w:rPr>
                          </w:pPr>
                          <w:r>
                            <w:rPr>
                              <w:spacing w:val="-1"/>
                              <w:w w:val="95"/>
                              <w:sz w:val="10"/>
                            </w:rPr>
                            <w:t>2.41</w:t>
                          </w:r>
                          <w:r>
                            <w:rPr>
                              <w:spacing w:val="-1"/>
                              <w:w w:val="95"/>
                              <w:sz w:val="10"/>
                            </w:rPr>
                            <w:tab/>
                            <w:t>0.39</w:t>
                          </w:r>
                          <w:r>
                            <w:rPr>
                              <w:spacing w:val="-1"/>
                              <w:w w:val="95"/>
                              <w:sz w:val="10"/>
                            </w:rPr>
                            <w:tab/>
                            <w:t>2.02</w:t>
                          </w:r>
                          <w:r>
                            <w:rPr>
                              <w:spacing w:val="-1"/>
                              <w:w w:val="95"/>
                              <w:sz w:val="10"/>
                            </w:rPr>
                            <w:tab/>
                            <w:t>3.62</w:t>
                          </w:r>
                          <w:r>
                            <w:rPr>
                              <w:spacing w:val="-1"/>
                              <w:w w:val="95"/>
                              <w:sz w:val="10"/>
                            </w:rPr>
                            <w:tab/>
                          </w:r>
                          <w:r>
                            <w:rPr>
                              <w:spacing w:val="-1"/>
                              <w:sz w:val="10"/>
                            </w:rPr>
                            <w:t>1.12</w:t>
                          </w:r>
                        </w:p>
                        <w:p w14:paraId="465E8386" w14:textId="77777777" w:rsidR="00CB53E4" w:rsidRDefault="00CB53E4" w:rsidP="0031675F">
                          <w:pPr>
                            <w:tabs>
                              <w:tab w:val="left" w:pos="499"/>
                              <w:tab w:val="left" w:pos="982"/>
                              <w:tab w:val="left" w:pos="1499"/>
                              <w:tab w:val="left" w:pos="1998"/>
                            </w:tabs>
                            <w:spacing w:before="7"/>
                            <w:rPr>
                              <w:rFonts w:eastAsia="Arial" w:cs="Arial"/>
                              <w:sz w:val="10"/>
                              <w:szCs w:val="10"/>
                            </w:rPr>
                          </w:pPr>
                          <w:r>
                            <w:rPr>
                              <w:spacing w:val="-1"/>
                              <w:w w:val="95"/>
                              <w:sz w:val="10"/>
                            </w:rPr>
                            <w:t>0.39</w:t>
                          </w:r>
                          <w:r>
                            <w:rPr>
                              <w:spacing w:val="-1"/>
                              <w:w w:val="95"/>
                              <w:sz w:val="10"/>
                            </w:rPr>
                            <w:tab/>
                            <w:t>0.39</w:t>
                          </w:r>
                          <w:r>
                            <w:rPr>
                              <w:spacing w:val="-1"/>
                              <w:w w:val="95"/>
                              <w:sz w:val="10"/>
                            </w:rPr>
                            <w:tab/>
                            <w:t>-0.01</w:t>
                          </w:r>
                          <w:r>
                            <w:rPr>
                              <w:spacing w:val="-1"/>
                              <w:w w:val="95"/>
                              <w:sz w:val="10"/>
                            </w:rPr>
                            <w:tab/>
                            <w:t>3.60</w:t>
                          </w:r>
                          <w:r>
                            <w:rPr>
                              <w:spacing w:val="-1"/>
                              <w:w w:val="95"/>
                              <w:sz w:val="10"/>
                            </w:rPr>
                            <w:tab/>
                          </w:r>
                          <w:r>
                            <w:rPr>
                              <w:spacing w:val="-1"/>
                              <w:sz w:val="10"/>
                            </w:rPr>
                            <w:t>0.00</w:t>
                          </w:r>
                        </w:p>
                        <w:p w14:paraId="32E87E67" w14:textId="77777777" w:rsidR="00CB53E4" w:rsidRDefault="00CB53E4" w:rsidP="0031675F">
                          <w:pPr>
                            <w:tabs>
                              <w:tab w:val="left" w:pos="499"/>
                              <w:tab w:val="left" w:pos="982"/>
                              <w:tab w:val="left" w:pos="1499"/>
                              <w:tab w:val="left" w:pos="1982"/>
                            </w:tabs>
                            <w:spacing w:before="7" w:line="112" w:lineRule="exact"/>
                            <w:rPr>
                              <w:rFonts w:eastAsia="Arial" w:cs="Arial"/>
                              <w:sz w:val="10"/>
                              <w:szCs w:val="10"/>
                            </w:rPr>
                          </w:pPr>
                          <w:r>
                            <w:rPr>
                              <w:spacing w:val="-1"/>
                              <w:w w:val="95"/>
                              <w:sz w:val="10"/>
                            </w:rPr>
                            <w:t>0.38</w:t>
                          </w:r>
                          <w:r>
                            <w:rPr>
                              <w:spacing w:val="-1"/>
                              <w:w w:val="95"/>
                              <w:sz w:val="10"/>
                            </w:rPr>
                            <w:tab/>
                            <w:t>0.40</w:t>
                          </w:r>
                          <w:r>
                            <w:rPr>
                              <w:spacing w:val="-1"/>
                              <w:w w:val="95"/>
                              <w:sz w:val="10"/>
                            </w:rPr>
                            <w:tab/>
                            <w:t>-0.02</w:t>
                          </w:r>
                          <w:r>
                            <w:rPr>
                              <w:spacing w:val="-1"/>
                              <w:w w:val="95"/>
                              <w:sz w:val="10"/>
                            </w:rPr>
                            <w:tab/>
                            <w:t>3.58</w:t>
                          </w:r>
                          <w:r>
                            <w:rPr>
                              <w:spacing w:val="-1"/>
                              <w:w w:val="95"/>
                              <w:sz w:val="10"/>
                            </w:rPr>
                            <w:tab/>
                            <w:t>-0.01</w:t>
                          </w:r>
                        </w:p>
                      </w:txbxContent>
                    </v:textbox>
                  </v:shape>
                  <v:shape id="Text Box 8455" o:spid="_x0000_s1642" type="#_x0000_t202" style="position:absolute;left:4514;top:1006;width:225;height:9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ZX3cUA&#10;AADeAAAADwAAAGRycy9kb3ducmV2LnhtbERPTWvCQBC9F/oflil4q5tWCTZ1FSkKgiCN6cHjmB2T&#10;xexszK4a/71bKPQ2j/c503lvG3GlzhvHCt6GCQji0mnDlYKfYvU6AeEDssbGMSm4k4f57Plpipl2&#10;N87puguViCHsM1RQh9BmUvqyJot+6FriyB1dZzFE2FVSd3iL4baR70mSSouGY0ONLX3VVJ52F6tg&#10;sed8ac7bw3d+zE1RfCS8SU9KDV76xSeIQH34F/+51zrOn4zSMfy+E2+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BlfdxQAAAN4AAAAPAAAAAAAAAAAAAAAAAJgCAABkcnMv&#10;ZG93bnJldi54bWxQSwUGAAAAAAQABAD1AAAAigMAAAAA&#10;" filled="f" stroked="f">
                    <v:textbox inset="0,0,0,0">
                      <w:txbxContent>
                        <w:p w14:paraId="441247B0" w14:textId="77777777" w:rsidR="00CB53E4" w:rsidRDefault="00CB53E4" w:rsidP="0031675F">
                          <w:pPr>
                            <w:spacing w:line="101" w:lineRule="exact"/>
                            <w:ind w:left="16"/>
                            <w:rPr>
                              <w:rFonts w:eastAsia="Arial" w:cs="Arial"/>
                              <w:sz w:val="10"/>
                              <w:szCs w:val="10"/>
                            </w:rPr>
                          </w:pPr>
                          <w:r>
                            <w:rPr>
                              <w:spacing w:val="-1"/>
                              <w:sz w:val="10"/>
                            </w:rPr>
                            <w:t>2.04</w:t>
                          </w:r>
                        </w:p>
                        <w:p w14:paraId="0C54FBF0" w14:textId="77777777" w:rsidR="00CB53E4" w:rsidRDefault="00CB53E4" w:rsidP="0031675F">
                          <w:pPr>
                            <w:spacing w:before="7"/>
                            <w:ind w:left="16"/>
                            <w:rPr>
                              <w:rFonts w:eastAsia="Arial" w:cs="Arial"/>
                              <w:sz w:val="10"/>
                              <w:szCs w:val="10"/>
                            </w:rPr>
                          </w:pPr>
                          <w:r>
                            <w:rPr>
                              <w:spacing w:val="-1"/>
                              <w:sz w:val="10"/>
                            </w:rPr>
                            <w:t>1.05</w:t>
                          </w:r>
                        </w:p>
                        <w:p w14:paraId="3351E73A" w14:textId="77777777" w:rsidR="00CB53E4" w:rsidRDefault="00CB53E4" w:rsidP="0031675F">
                          <w:pPr>
                            <w:spacing w:before="7"/>
                            <w:ind w:left="16"/>
                            <w:rPr>
                              <w:rFonts w:eastAsia="Arial" w:cs="Arial"/>
                              <w:sz w:val="10"/>
                              <w:szCs w:val="10"/>
                            </w:rPr>
                          </w:pPr>
                          <w:r>
                            <w:rPr>
                              <w:spacing w:val="-1"/>
                              <w:sz w:val="10"/>
                            </w:rPr>
                            <w:t>0.05</w:t>
                          </w:r>
                        </w:p>
                        <w:p w14:paraId="68206905" w14:textId="77777777" w:rsidR="00CB53E4" w:rsidRDefault="00CB53E4" w:rsidP="0031675F">
                          <w:pPr>
                            <w:spacing w:before="7"/>
                            <w:rPr>
                              <w:rFonts w:eastAsia="Arial" w:cs="Arial"/>
                              <w:sz w:val="10"/>
                              <w:szCs w:val="10"/>
                            </w:rPr>
                          </w:pPr>
                          <w:r>
                            <w:rPr>
                              <w:spacing w:val="-1"/>
                              <w:sz w:val="10"/>
                            </w:rPr>
                            <w:t>-0.05</w:t>
                          </w:r>
                        </w:p>
                        <w:p w14:paraId="3E69D390" w14:textId="77777777" w:rsidR="00CB53E4" w:rsidRDefault="00CB53E4" w:rsidP="0031675F">
                          <w:pPr>
                            <w:spacing w:before="7"/>
                            <w:ind w:left="16"/>
                            <w:rPr>
                              <w:rFonts w:eastAsia="Arial" w:cs="Arial"/>
                              <w:sz w:val="10"/>
                              <w:szCs w:val="10"/>
                            </w:rPr>
                          </w:pPr>
                          <w:r>
                            <w:rPr>
                              <w:spacing w:val="-1"/>
                              <w:sz w:val="10"/>
                            </w:rPr>
                            <w:t>1.97</w:t>
                          </w:r>
                        </w:p>
                        <w:p w14:paraId="7CE6009E" w14:textId="77777777" w:rsidR="00CB53E4" w:rsidRDefault="00CB53E4" w:rsidP="0031675F">
                          <w:pPr>
                            <w:spacing w:before="7"/>
                            <w:ind w:left="16"/>
                            <w:rPr>
                              <w:rFonts w:eastAsia="Arial" w:cs="Arial"/>
                              <w:sz w:val="10"/>
                              <w:szCs w:val="10"/>
                            </w:rPr>
                          </w:pPr>
                          <w:r>
                            <w:rPr>
                              <w:spacing w:val="-1"/>
                              <w:sz w:val="10"/>
                            </w:rPr>
                            <w:t>1.99</w:t>
                          </w:r>
                        </w:p>
                        <w:p w14:paraId="1EB2AE47" w14:textId="77777777" w:rsidR="00CB53E4" w:rsidRDefault="00CB53E4" w:rsidP="0031675F">
                          <w:pPr>
                            <w:spacing w:before="7"/>
                            <w:ind w:left="16"/>
                            <w:rPr>
                              <w:rFonts w:eastAsia="Arial" w:cs="Arial"/>
                              <w:sz w:val="10"/>
                              <w:szCs w:val="10"/>
                            </w:rPr>
                          </w:pPr>
                          <w:r>
                            <w:rPr>
                              <w:spacing w:val="-1"/>
                              <w:sz w:val="10"/>
                            </w:rPr>
                            <w:t>1.01</w:t>
                          </w:r>
                        </w:p>
                        <w:p w14:paraId="47D49D74" w14:textId="77777777" w:rsidR="00CB53E4" w:rsidRDefault="00CB53E4" w:rsidP="0031675F">
                          <w:pPr>
                            <w:spacing w:before="7"/>
                            <w:ind w:left="16"/>
                            <w:rPr>
                              <w:rFonts w:eastAsia="Arial" w:cs="Arial"/>
                              <w:sz w:val="10"/>
                              <w:szCs w:val="10"/>
                            </w:rPr>
                          </w:pPr>
                          <w:r>
                            <w:rPr>
                              <w:spacing w:val="-1"/>
                              <w:sz w:val="10"/>
                            </w:rPr>
                            <w:t>0.94</w:t>
                          </w:r>
                        </w:p>
                        <w:p w14:paraId="42A945CE" w14:textId="77777777" w:rsidR="00CB53E4" w:rsidRDefault="00CB53E4" w:rsidP="0031675F">
                          <w:pPr>
                            <w:spacing w:before="7"/>
                            <w:ind w:left="16"/>
                            <w:rPr>
                              <w:rFonts w:eastAsia="Arial" w:cs="Arial"/>
                              <w:sz w:val="10"/>
                              <w:szCs w:val="10"/>
                            </w:rPr>
                          </w:pPr>
                          <w:r>
                            <w:rPr>
                              <w:spacing w:val="-1"/>
                              <w:sz w:val="10"/>
                            </w:rPr>
                            <w:t>1.03</w:t>
                          </w:r>
                        </w:p>
                        <w:p w14:paraId="72E7C16E" w14:textId="77777777" w:rsidR="00CB53E4" w:rsidRDefault="00CB53E4" w:rsidP="0031675F">
                          <w:pPr>
                            <w:spacing w:before="7"/>
                            <w:ind w:left="16"/>
                            <w:rPr>
                              <w:rFonts w:eastAsia="Arial" w:cs="Arial"/>
                              <w:sz w:val="10"/>
                              <w:szCs w:val="10"/>
                            </w:rPr>
                          </w:pPr>
                          <w:r>
                            <w:rPr>
                              <w:spacing w:val="-1"/>
                              <w:sz w:val="10"/>
                            </w:rPr>
                            <w:t>0.10</w:t>
                          </w:r>
                        </w:p>
                        <w:p w14:paraId="3FF491BF" w14:textId="77777777" w:rsidR="00CB53E4" w:rsidRDefault="00CB53E4" w:rsidP="0031675F">
                          <w:pPr>
                            <w:spacing w:before="7"/>
                            <w:rPr>
                              <w:rFonts w:eastAsia="Arial" w:cs="Arial"/>
                              <w:sz w:val="10"/>
                              <w:szCs w:val="10"/>
                            </w:rPr>
                          </w:pPr>
                          <w:r>
                            <w:rPr>
                              <w:spacing w:val="-1"/>
                              <w:sz w:val="10"/>
                            </w:rPr>
                            <w:t>-0.08</w:t>
                          </w:r>
                        </w:p>
                        <w:p w14:paraId="24881EBC" w14:textId="77777777" w:rsidR="00CB53E4" w:rsidRDefault="00CB53E4" w:rsidP="0031675F">
                          <w:pPr>
                            <w:spacing w:before="7"/>
                            <w:ind w:left="16"/>
                            <w:rPr>
                              <w:rFonts w:eastAsia="Arial" w:cs="Arial"/>
                              <w:sz w:val="10"/>
                              <w:szCs w:val="10"/>
                            </w:rPr>
                          </w:pPr>
                          <w:r>
                            <w:rPr>
                              <w:spacing w:val="-1"/>
                              <w:sz w:val="10"/>
                            </w:rPr>
                            <w:t>1.06</w:t>
                          </w:r>
                        </w:p>
                        <w:p w14:paraId="150FDDAD" w14:textId="77777777" w:rsidR="00CB53E4" w:rsidRDefault="00CB53E4" w:rsidP="0031675F">
                          <w:pPr>
                            <w:spacing w:before="7"/>
                            <w:ind w:left="16"/>
                            <w:rPr>
                              <w:rFonts w:eastAsia="Arial" w:cs="Arial"/>
                              <w:sz w:val="10"/>
                              <w:szCs w:val="10"/>
                            </w:rPr>
                          </w:pPr>
                          <w:r>
                            <w:rPr>
                              <w:spacing w:val="-1"/>
                              <w:sz w:val="10"/>
                            </w:rPr>
                            <w:t>0.82</w:t>
                          </w:r>
                        </w:p>
                        <w:p w14:paraId="1CB80559" w14:textId="77777777" w:rsidR="00CB53E4" w:rsidRDefault="00CB53E4" w:rsidP="0031675F">
                          <w:pPr>
                            <w:spacing w:before="7"/>
                            <w:ind w:left="16"/>
                            <w:rPr>
                              <w:rFonts w:eastAsia="Arial" w:cs="Arial"/>
                              <w:sz w:val="10"/>
                              <w:szCs w:val="10"/>
                            </w:rPr>
                          </w:pPr>
                          <w:r>
                            <w:rPr>
                              <w:spacing w:val="-1"/>
                              <w:sz w:val="10"/>
                            </w:rPr>
                            <w:t>0.76</w:t>
                          </w:r>
                        </w:p>
                        <w:p w14:paraId="5AB1F674" w14:textId="77777777" w:rsidR="00CB53E4" w:rsidRDefault="00CB53E4" w:rsidP="0031675F">
                          <w:pPr>
                            <w:spacing w:before="7"/>
                            <w:ind w:left="16"/>
                            <w:rPr>
                              <w:rFonts w:eastAsia="Arial" w:cs="Arial"/>
                              <w:sz w:val="10"/>
                              <w:szCs w:val="10"/>
                            </w:rPr>
                          </w:pPr>
                          <w:r>
                            <w:rPr>
                              <w:spacing w:val="-1"/>
                              <w:sz w:val="10"/>
                            </w:rPr>
                            <w:t>0.84</w:t>
                          </w:r>
                        </w:p>
                        <w:p w14:paraId="7848B926" w14:textId="77777777" w:rsidR="00CB53E4" w:rsidRDefault="00CB53E4" w:rsidP="0031675F">
                          <w:pPr>
                            <w:spacing w:before="7"/>
                            <w:ind w:left="16"/>
                            <w:rPr>
                              <w:rFonts w:eastAsia="Arial" w:cs="Arial"/>
                              <w:sz w:val="10"/>
                              <w:szCs w:val="10"/>
                            </w:rPr>
                          </w:pPr>
                          <w:r>
                            <w:rPr>
                              <w:spacing w:val="-1"/>
                              <w:sz w:val="10"/>
                            </w:rPr>
                            <w:t>0.82</w:t>
                          </w:r>
                        </w:p>
                        <w:p w14:paraId="18F3CE0F" w14:textId="77777777" w:rsidR="00CB53E4" w:rsidRDefault="00CB53E4" w:rsidP="0031675F">
                          <w:pPr>
                            <w:spacing w:before="7"/>
                            <w:ind w:left="16"/>
                            <w:rPr>
                              <w:rFonts w:eastAsia="Arial" w:cs="Arial"/>
                              <w:sz w:val="10"/>
                              <w:szCs w:val="10"/>
                            </w:rPr>
                          </w:pPr>
                          <w:r>
                            <w:rPr>
                              <w:spacing w:val="-1"/>
                              <w:sz w:val="10"/>
                            </w:rPr>
                            <w:t>1.08</w:t>
                          </w:r>
                        </w:p>
                        <w:p w14:paraId="5C34D49D" w14:textId="77777777" w:rsidR="00CB53E4" w:rsidRDefault="00CB53E4" w:rsidP="0031675F">
                          <w:pPr>
                            <w:spacing w:before="7"/>
                            <w:ind w:left="16"/>
                            <w:rPr>
                              <w:rFonts w:eastAsia="Arial" w:cs="Arial"/>
                              <w:sz w:val="10"/>
                              <w:szCs w:val="10"/>
                            </w:rPr>
                          </w:pPr>
                          <w:r>
                            <w:rPr>
                              <w:spacing w:val="-1"/>
                              <w:sz w:val="10"/>
                            </w:rPr>
                            <w:t>1.07</w:t>
                          </w:r>
                        </w:p>
                        <w:p w14:paraId="71CD6998" w14:textId="77777777" w:rsidR="00CB53E4" w:rsidRDefault="00CB53E4" w:rsidP="0031675F">
                          <w:pPr>
                            <w:spacing w:before="7"/>
                            <w:ind w:left="16"/>
                            <w:rPr>
                              <w:rFonts w:eastAsia="Arial" w:cs="Arial"/>
                              <w:sz w:val="10"/>
                              <w:szCs w:val="10"/>
                            </w:rPr>
                          </w:pPr>
                          <w:r>
                            <w:rPr>
                              <w:spacing w:val="-1"/>
                              <w:sz w:val="10"/>
                            </w:rPr>
                            <w:t>0.78</w:t>
                          </w:r>
                        </w:p>
                        <w:p w14:paraId="7058CEE6" w14:textId="77777777" w:rsidR="00CB53E4" w:rsidRDefault="00CB53E4" w:rsidP="0031675F">
                          <w:pPr>
                            <w:spacing w:before="7"/>
                            <w:ind w:left="16"/>
                            <w:rPr>
                              <w:rFonts w:eastAsia="Arial" w:cs="Arial"/>
                              <w:sz w:val="10"/>
                              <w:szCs w:val="10"/>
                            </w:rPr>
                          </w:pPr>
                          <w:r>
                            <w:rPr>
                              <w:spacing w:val="-1"/>
                              <w:sz w:val="10"/>
                            </w:rPr>
                            <w:t>0.79</w:t>
                          </w:r>
                        </w:p>
                        <w:p w14:paraId="1A062FF0" w14:textId="77777777" w:rsidR="00CB53E4" w:rsidRDefault="00CB53E4" w:rsidP="0031675F">
                          <w:pPr>
                            <w:spacing w:before="7"/>
                            <w:ind w:left="16"/>
                            <w:rPr>
                              <w:rFonts w:eastAsia="Arial" w:cs="Arial"/>
                              <w:sz w:val="10"/>
                              <w:szCs w:val="10"/>
                            </w:rPr>
                          </w:pPr>
                          <w:r>
                            <w:rPr>
                              <w:spacing w:val="-1"/>
                              <w:sz w:val="10"/>
                            </w:rPr>
                            <w:t>0.90</w:t>
                          </w:r>
                        </w:p>
                        <w:p w14:paraId="7A69D0B1" w14:textId="77777777" w:rsidR="00CB53E4" w:rsidRDefault="00CB53E4" w:rsidP="0031675F">
                          <w:pPr>
                            <w:spacing w:before="7"/>
                            <w:ind w:left="16"/>
                            <w:rPr>
                              <w:rFonts w:eastAsia="Arial" w:cs="Arial"/>
                              <w:sz w:val="10"/>
                              <w:szCs w:val="10"/>
                            </w:rPr>
                          </w:pPr>
                          <w:r>
                            <w:rPr>
                              <w:spacing w:val="-1"/>
                              <w:sz w:val="10"/>
                            </w:rPr>
                            <w:t>0.88</w:t>
                          </w:r>
                        </w:p>
                        <w:p w14:paraId="48781395" w14:textId="77777777" w:rsidR="00CB53E4" w:rsidRDefault="00CB53E4" w:rsidP="0031675F">
                          <w:pPr>
                            <w:spacing w:before="7"/>
                            <w:ind w:left="16"/>
                            <w:rPr>
                              <w:rFonts w:eastAsia="Arial" w:cs="Arial"/>
                              <w:sz w:val="10"/>
                              <w:szCs w:val="10"/>
                            </w:rPr>
                          </w:pPr>
                          <w:r>
                            <w:rPr>
                              <w:spacing w:val="-1"/>
                              <w:sz w:val="10"/>
                            </w:rPr>
                            <w:t>1.10</w:t>
                          </w:r>
                        </w:p>
                        <w:p w14:paraId="41940994" w14:textId="77777777" w:rsidR="00CB53E4" w:rsidRDefault="00CB53E4" w:rsidP="0031675F">
                          <w:pPr>
                            <w:spacing w:before="7"/>
                            <w:ind w:left="16"/>
                            <w:rPr>
                              <w:rFonts w:eastAsia="Arial" w:cs="Arial"/>
                              <w:sz w:val="10"/>
                              <w:szCs w:val="10"/>
                            </w:rPr>
                          </w:pPr>
                          <w:r>
                            <w:rPr>
                              <w:spacing w:val="-1"/>
                              <w:sz w:val="10"/>
                            </w:rPr>
                            <w:t>1.20</w:t>
                          </w:r>
                        </w:p>
                        <w:p w14:paraId="6740536C" w14:textId="77777777" w:rsidR="00CB53E4" w:rsidRDefault="00CB53E4" w:rsidP="0031675F">
                          <w:pPr>
                            <w:spacing w:before="7"/>
                            <w:ind w:left="16"/>
                            <w:rPr>
                              <w:rFonts w:eastAsia="Arial" w:cs="Arial"/>
                              <w:sz w:val="10"/>
                              <w:szCs w:val="10"/>
                            </w:rPr>
                          </w:pPr>
                          <w:r>
                            <w:rPr>
                              <w:spacing w:val="-1"/>
                              <w:sz w:val="10"/>
                            </w:rPr>
                            <w:t>1.08</w:t>
                          </w:r>
                        </w:p>
                        <w:p w14:paraId="29CD3C37" w14:textId="77777777" w:rsidR="00CB53E4" w:rsidRDefault="00CB53E4" w:rsidP="0031675F">
                          <w:pPr>
                            <w:spacing w:before="7"/>
                            <w:ind w:left="16"/>
                            <w:rPr>
                              <w:rFonts w:eastAsia="Arial" w:cs="Arial"/>
                              <w:sz w:val="10"/>
                              <w:szCs w:val="10"/>
                            </w:rPr>
                          </w:pPr>
                          <w:r>
                            <w:rPr>
                              <w:spacing w:val="-1"/>
                              <w:sz w:val="10"/>
                            </w:rPr>
                            <w:t>2.01</w:t>
                          </w:r>
                        </w:p>
                        <w:p w14:paraId="418BC5A0" w14:textId="77777777" w:rsidR="00CB53E4" w:rsidRDefault="00CB53E4" w:rsidP="0031675F">
                          <w:pPr>
                            <w:spacing w:before="7"/>
                            <w:ind w:left="16"/>
                            <w:rPr>
                              <w:rFonts w:eastAsia="Arial" w:cs="Arial"/>
                              <w:sz w:val="10"/>
                              <w:szCs w:val="10"/>
                            </w:rPr>
                          </w:pPr>
                          <w:r>
                            <w:rPr>
                              <w:spacing w:val="-1"/>
                              <w:sz w:val="10"/>
                            </w:rPr>
                            <w:t>1.98</w:t>
                          </w:r>
                        </w:p>
                        <w:p w14:paraId="2A295515" w14:textId="77777777" w:rsidR="00CB53E4" w:rsidRDefault="00CB53E4" w:rsidP="0031675F">
                          <w:pPr>
                            <w:spacing w:before="7"/>
                            <w:ind w:left="16"/>
                            <w:rPr>
                              <w:rFonts w:eastAsia="Arial" w:cs="Arial"/>
                              <w:sz w:val="10"/>
                              <w:szCs w:val="10"/>
                            </w:rPr>
                          </w:pPr>
                          <w:r>
                            <w:rPr>
                              <w:spacing w:val="-1"/>
                              <w:sz w:val="10"/>
                            </w:rPr>
                            <w:t>1.09</w:t>
                          </w:r>
                        </w:p>
                        <w:p w14:paraId="0EB1C4D3" w14:textId="77777777" w:rsidR="00CB53E4" w:rsidRDefault="00CB53E4" w:rsidP="0031675F">
                          <w:pPr>
                            <w:spacing w:before="7"/>
                            <w:ind w:left="16"/>
                            <w:rPr>
                              <w:rFonts w:eastAsia="Arial" w:cs="Arial"/>
                              <w:sz w:val="10"/>
                              <w:szCs w:val="10"/>
                            </w:rPr>
                          </w:pPr>
                          <w:r>
                            <w:rPr>
                              <w:spacing w:val="-1"/>
                              <w:sz w:val="10"/>
                            </w:rPr>
                            <w:t>1.00</w:t>
                          </w:r>
                        </w:p>
                        <w:p w14:paraId="54D87CFC" w14:textId="77777777" w:rsidR="00CB53E4" w:rsidRDefault="00CB53E4" w:rsidP="0031675F">
                          <w:pPr>
                            <w:spacing w:before="7"/>
                            <w:ind w:left="16"/>
                            <w:rPr>
                              <w:rFonts w:eastAsia="Arial" w:cs="Arial"/>
                              <w:sz w:val="10"/>
                              <w:szCs w:val="10"/>
                            </w:rPr>
                          </w:pPr>
                          <w:r>
                            <w:rPr>
                              <w:spacing w:val="-1"/>
                              <w:sz w:val="10"/>
                            </w:rPr>
                            <w:t>0.92</w:t>
                          </w:r>
                        </w:p>
                        <w:p w14:paraId="103FC171" w14:textId="77777777" w:rsidR="00CB53E4" w:rsidRDefault="00CB53E4" w:rsidP="0031675F">
                          <w:pPr>
                            <w:spacing w:before="7"/>
                            <w:ind w:left="16"/>
                            <w:rPr>
                              <w:rFonts w:eastAsia="Arial" w:cs="Arial"/>
                              <w:sz w:val="10"/>
                              <w:szCs w:val="10"/>
                            </w:rPr>
                          </w:pPr>
                          <w:r>
                            <w:rPr>
                              <w:spacing w:val="-1"/>
                              <w:sz w:val="10"/>
                            </w:rPr>
                            <w:t>0.00</w:t>
                          </w:r>
                        </w:p>
                        <w:p w14:paraId="78ECC31F" w14:textId="77777777" w:rsidR="00CB53E4" w:rsidRDefault="00CB53E4" w:rsidP="0031675F">
                          <w:pPr>
                            <w:spacing w:before="7"/>
                            <w:rPr>
                              <w:rFonts w:eastAsia="Arial" w:cs="Arial"/>
                              <w:sz w:val="10"/>
                              <w:szCs w:val="10"/>
                            </w:rPr>
                          </w:pPr>
                          <w:r>
                            <w:rPr>
                              <w:spacing w:val="-1"/>
                              <w:sz w:val="10"/>
                            </w:rPr>
                            <w:t>-0.02</w:t>
                          </w:r>
                        </w:p>
                        <w:p w14:paraId="2E066982" w14:textId="77777777" w:rsidR="00CB53E4" w:rsidRDefault="00CB53E4" w:rsidP="0031675F">
                          <w:pPr>
                            <w:spacing w:before="7"/>
                            <w:ind w:left="16"/>
                            <w:rPr>
                              <w:rFonts w:eastAsia="Arial" w:cs="Arial"/>
                              <w:sz w:val="10"/>
                              <w:szCs w:val="10"/>
                            </w:rPr>
                          </w:pPr>
                          <w:r>
                            <w:rPr>
                              <w:spacing w:val="-1"/>
                              <w:sz w:val="10"/>
                            </w:rPr>
                            <w:t>1.04</w:t>
                          </w:r>
                        </w:p>
                        <w:p w14:paraId="470A73C6" w14:textId="77777777" w:rsidR="00CB53E4" w:rsidRDefault="00CB53E4" w:rsidP="0031675F">
                          <w:pPr>
                            <w:spacing w:before="7"/>
                            <w:ind w:left="16"/>
                            <w:rPr>
                              <w:rFonts w:eastAsia="Arial" w:cs="Arial"/>
                              <w:sz w:val="10"/>
                              <w:szCs w:val="10"/>
                            </w:rPr>
                          </w:pPr>
                          <w:r>
                            <w:rPr>
                              <w:spacing w:val="-1"/>
                              <w:sz w:val="10"/>
                            </w:rPr>
                            <w:t>0.76</w:t>
                          </w:r>
                        </w:p>
                        <w:p w14:paraId="77083AB5" w14:textId="77777777" w:rsidR="00CB53E4" w:rsidRDefault="00CB53E4" w:rsidP="0031675F">
                          <w:pPr>
                            <w:spacing w:before="7"/>
                            <w:ind w:left="16"/>
                            <w:rPr>
                              <w:rFonts w:eastAsia="Arial" w:cs="Arial"/>
                              <w:sz w:val="10"/>
                              <w:szCs w:val="10"/>
                            </w:rPr>
                          </w:pPr>
                          <w:r>
                            <w:rPr>
                              <w:spacing w:val="-1"/>
                              <w:sz w:val="10"/>
                            </w:rPr>
                            <w:t>0.80</w:t>
                          </w:r>
                        </w:p>
                        <w:p w14:paraId="11C13269" w14:textId="77777777" w:rsidR="00CB53E4" w:rsidRDefault="00CB53E4" w:rsidP="0031675F">
                          <w:pPr>
                            <w:spacing w:before="7"/>
                            <w:ind w:left="16"/>
                            <w:rPr>
                              <w:rFonts w:eastAsia="Arial" w:cs="Arial"/>
                              <w:sz w:val="10"/>
                              <w:szCs w:val="10"/>
                            </w:rPr>
                          </w:pPr>
                          <w:r>
                            <w:rPr>
                              <w:spacing w:val="-1"/>
                              <w:sz w:val="10"/>
                            </w:rPr>
                            <w:t>0.89</w:t>
                          </w:r>
                        </w:p>
                        <w:p w14:paraId="3BB794FA" w14:textId="77777777" w:rsidR="00CB53E4" w:rsidRDefault="00CB53E4" w:rsidP="0031675F">
                          <w:pPr>
                            <w:spacing w:before="7"/>
                            <w:ind w:left="16"/>
                            <w:rPr>
                              <w:rFonts w:eastAsia="Arial" w:cs="Arial"/>
                              <w:sz w:val="10"/>
                              <w:szCs w:val="10"/>
                            </w:rPr>
                          </w:pPr>
                          <w:r>
                            <w:rPr>
                              <w:spacing w:val="-1"/>
                              <w:sz w:val="10"/>
                            </w:rPr>
                            <w:t>0.83</w:t>
                          </w:r>
                        </w:p>
                        <w:p w14:paraId="0CDB0275" w14:textId="77777777" w:rsidR="00CB53E4" w:rsidRDefault="00CB53E4" w:rsidP="0031675F">
                          <w:pPr>
                            <w:spacing w:before="7"/>
                            <w:ind w:left="16"/>
                            <w:rPr>
                              <w:rFonts w:eastAsia="Arial" w:cs="Arial"/>
                              <w:sz w:val="10"/>
                              <w:szCs w:val="10"/>
                            </w:rPr>
                          </w:pPr>
                          <w:r>
                            <w:rPr>
                              <w:spacing w:val="-1"/>
                              <w:sz w:val="10"/>
                            </w:rPr>
                            <w:t>1.63</w:t>
                          </w:r>
                        </w:p>
                        <w:p w14:paraId="48F9E87E" w14:textId="77777777" w:rsidR="00CB53E4" w:rsidRDefault="00CB53E4" w:rsidP="0031675F">
                          <w:pPr>
                            <w:spacing w:before="7"/>
                            <w:ind w:left="16"/>
                            <w:rPr>
                              <w:rFonts w:eastAsia="Arial" w:cs="Arial"/>
                              <w:sz w:val="10"/>
                              <w:szCs w:val="10"/>
                            </w:rPr>
                          </w:pPr>
                          <w:r>
                            <w:rPr>
                              <w:spacing w:val="-1"/>
                              <w:sz w:val="10"/>
                            </w:rPr>
                            <w:t>1.82</w:t>
                          </w:r>
                        </w:p>
                        <w:p w14:paraId="36590723" w14:textId="77777777" w:rsidR="00CB53E4" w:rsidRDefault="00CB53E4" w:rsidP="0031675F">
                          <w:pPr>
                            <w:spacing w:before="7"/>
                            <w:ind w:left="16"/>
                            <w:rPr>
                              <w:rFonts w:eastAsia="Arial" w:cs="Arial"/>
                              <w:sz w:val="10"/>
                              <w:szCs w:val="10"/>
                            </w:rPr>
                          </w:pPr>
                          <w:r>
                            <w:rPr>
                              <w:spacing w:val="-1"/>
                              <w:sz w:val="10"/>
                            </w:rPr>
                            <w:t>0.94</w:t>
                          </w:r>
                        </w:p>
                        <w:p w14:paraId="107389A2" w14:textId="77777777" w:rsidR="00CB53E4" w:rsidRDefault="00CB53E4" w:rsidP="0031675F">
                          <w:pPr>
                            <w:spacing w:before="7"/>
                            <w:ind w:left="16"/>
                            <w:rPr>
                              <w:rFonts w:eastAsia="Arial" w:cs="Arial"/>
                              <w:sz w:val="10"/>
                              <w:szCs w:val="10"/>
                            </w:rPr>
                          </w:pPr>
                          <w:r>
                            <w:rPr>
                              <w:spacing w:val="-1"/>
                              <w:sz w:val="10"/>
                            </w:rPr>
                            <w:t>0.83</w:t>
                          </w:r>
                        </w:p>
                        <w:p w14:paraId="3B73BD01" w14:textId="77777777" w:rsidR="00CB53E4" w:rsidRDefault="00CB53E4" w:rsidP="0031675F">
                          <w:pPr>
                            <w:spacing w:before="7"/>
                            <w:ind w:left="16"/>
                            <w:rPr>
                              <w:rFonts w:eastAsia="Arial" w:cs="Arial"/>
                              <w:sz w:val="10"/>
                              <w:szCs w:val="10"/>
                            </w:rPr>
                          </w:pPr>
                          <w:r>
                            <w:rPr>
                              <w:spacing w:val="-1"/>
                              <w:sz w:val="10"/>
                            </w:rPr>
                            <w:t>0.92</w:t>
                          </w:r>
                        </w:p>
                        <w:p w14:paraId="6226AF32" w14:textId="77777777" w:rsidR="00CB53E4" w:rsidRDefault="00CB53E4" w:rsidP="0031675F">
                          <w:pPr>
                            <w:spacing w:before="7"/>
                            <w:ind w:left="16"/>
                            <w:rPr>
                              <w:rFonts w:eastAsia="Arial" w:cs="Arial"/>
                              <w:sz w:val="10"/>
                              <w:szCs w:val="10"/>
                            </w:rPr>
                          </w:pPr>
                          <w:r>
                            <w:rPr>
                              <w:spacing w:val="-1"/>
                              <w:sz w:val="10"/>
                            </w:rPr>
                            <w:t>0.88</w:t>
                          </w:r>
                        </w:p>
                        <w:p w14:paraId="011BF738" w14:textId="77777777" w:rsidR="00CB53E4" w:rsidRDefault="00CB53E4" w:rsidP="0031675F">
                          <w:pPr>
                            <w:spacing w:before="7"/>
                            <w:ind w:left="16"/>
                            <w:rPr>
                              <w:rFonts w:eastAsia="Arial" w:cs="Arial"/>
                              <w:sz w:val="10"/>
                              <w:szCs w:val="10"/>
                            </w:rPr>
                          </w:pPr>
                          <w:r>
                            <w:rPr>
                              <w:spacing w:val="-1"/>
                              <w:sz w:val="10"/>
                            </w:rPr>
                            <w:t>0.81</w:t>
                          </w:r>
                        </w:p>
                        <w:p w14:paraId="28E7E1F5" w14:textId="77777777" w:rsidR="00CB53E4" w:rsidRDefault="00CB53E4" w:rsidP="0031675F">
                          <w:pPr>
                            <w:spacing w:before="7"/>
                            <w:ind w:left="16"/>
                            <w:rPr>
                              <w:rFonts w:eastAsia="Arial" w:cs="Arial"/>
                              <w:sz w:val="10"/>
                              <w:szCs w:val="10"/>
                            </w:rPr>
                          </w:pPr>
                          <w:r>
                            <w:rPr>
                              <w:spacing w:val="-1"/>
                              <w:sz w:val="10"/>
                            </w:rPr>
                            <w:t>0.77</w:t>
                          </w:r>
                        </w:p>
                        <w:p w14:paraId="62D439D6" w14:textId="77777777" w:rsidR="00CB53E4" w:rsidRDefault="00CB53E4" w:rsidP="0031675F">
                          <w:pPr>
                            <w:spacing w:before="7"/>
                            <w:ind w:left="16"/>
                            <w:rPr>
                              <w:rFonts w:eastAsia="Arial" w:cs="Arial"/>
                              <w:sz w:val="10"/>
                              <w:szCs w:val="10"/>
                            </w:rPr>
                          </w:pPr>
                          <w:r>
                            <w:rPr>
                              <w:spacing w:val="-1"/>
                              <w:sz w:val="10"/>
                            </w:rPr>
                            <w:t>1.02</w:t>
                          </w:r>
                        </w:p>
                        <w:p w14:paraId="02BBB72D" w14:textId="77777777" w:rsidR="00CB53E4" w:rsidRDefault="00CB53E4" w:rsidP="0031675F">
                          <w:pPr>
                            <w:spacing w:before="7"/>
                            <w:ind w:left="16"/>
                            <w:rPr>
                              <w:rFonts w:eastAsia="Arial" w:cs="Arial"/>
                              <w:sz w:val="10"/>
                              <w:szCs w:val="10"/>
                            </w:rPr>
                          </w:pPr>
                          <w:r>
                            <w:rPr>
                              <w:spacing w:val="-1"/>
                              <w:sz w:val="10"/>
                            </w:rPr>
                            <w:t>1.05</w:t>
                          </w:r>
                        </w:p>
                        <w:p w14:paraId="766EEED8" w14:textId="77777777" w:rsidR="00CB53E4" w:rsidRDefault="00CB53E4" w:rsidP="0031675F">
                          <w:pPr>
                            <w:spacing w:before="7"/>
                            <w:ind w:left="16"/>
                            <w:rPr>
                              <w:rFonts w:eastAsia="Arial" w:cs="Arial"/>
                              <w:sz w:val="10"/>
                              <w:szCs w:val="10"/>
                            </w:rPr>
                          </w:pPr>
                          <w:r>
                            <w:rPr>
                              <w:spacing w:val="-1"/>
                              <w:sz w:val="10"/>
                            </w:rPr>
                            <w:t>0.97</w:t>
                          </w:r>
                        </w:p>
                        <w:p w14:paraId="18CDC8D6" w14:textId="77777777" w:rsidR="00CB53E4" w:rsidRDefault="00CB53E4" w:rsidP="0031675F">
                          <w:pPr>
                            <w:spacing w:before="7"/>
                            <w:ind w:left="16"/>
                            <w:rPr>
                              <w:rFonts w:eastAsia="Arial" w:cs="Arial"/>
                              <w:sz w:val="10"/>
                              <w:szCs w:val="10"/>
                            </w:rPr>
                          </w:pPr>
                          <w:r>
                            <w:rPr>
                              <w:spacing w:val="-1"/>
                              <w:sz w:val="10"/>
                            </w:rPr>
                            <w:t>1.98</w:t>
                          </w:r>
                        </w:p>
                        <w:p w14:paraId="299E8798" w14:textId="77777777" w:rsidR="00CB53E4" w:rsidRDefault="00CB53E4" w:rsidP="0031675F">
                          <w:pPr>
                            <w:spacing w:before="7"/>
                            <w:ind w:left="16"/>
                            <w:rPr>
                              <w:rFonts w:eastAsia="Arial" w:cs="Arial"/>
                              <w:sz w:val="10"/>
                              <w:szCs w:val="10"/>
                            </w:rPr>
                          </w:pPr>
                          <w:r>
                            <w:rPr>
                              <w:spacing w:val="-1"/>
                              <w:sz w:val="10"/>
                            </w:rPr>
                            <w:t>2.05</w:t>
                          </w:r>
                        </w:p>
                        <w:p w14:paraId="41C4A17E" w14:textId="77777777" w:rsidR="00CB53E4" w:rsidRDefault="00CB53E4" w:rsidP="0031675F">
                          <w:pPr>
                            <w:spacing w:before="7"/>
                            <w:ind w:left="16"/>
                            <w:rPr>
                              <w:rFonts w:eastAsia="Arial" w:cs="Arial"/>
                              <w:sz w:val="10"/>
                              <w:szCs w:val="10"/>
                            </w:rPr>
                          </w:pPr>
                          <w:r>
                            <w:rPr>
                              <w:spacing w:val="-1"/>
                              <w:sz w:val="10"/>
                            </w:rPr>
                            <w:t>1.01</w:t>
                          </w:r>
                        </w:p>
                        <w:p w14:paraId="2F743F5B" w14:textId="77777777" w:rsidR="00CB53E4" w:rsidRDefault="00CB53E4" w:rsidP="0031675F">
                          <w:pPr>
                            <w:spacing w:before="7"/>
                            <w:ind w:left="16"/>
                            <w:rPr>
                              <w:rFonts w:eastAsia="Arial" w:cs="Arial"/>
                              <w:sz w:val="10"/>
                              <w:szCs w:val="10"/>
                            </w:rPr>
                          </w:pPr>
                          <w:r>
                            <w:rPr>
                              <w:spacing w:val="-1"/>
                              <w:sz w:val="10"/>
                            </w:rPr>
                            <w:t>0.95</w:t>
                          </w:r>
                        </w:p>
                        <w:p w14:paraId="19AF6512" w14:textId="77777777" w:rsidR="00CB53E4" w:rsidRDefault="00CB53E4" w:rsidP="0031675F">
                          <w:pPr>
                            <w:spacing w:before="7"/>
                            <w:ind w:left="16"/>
                            <w:rPr>
                              <w:rFonts w:eastAsia="Arial" w:cs="Arial"/>
                              <w:sz w:val="10"/>
                              <w:szCs w:val="10"/>
                            </w:rPr>
                          </w:pPr>
                          <w:r>
                            <w:rPr>
                              <w:spacing w:val="-1"/>
                              <w:sz w:val="10"/>
                            </w:rPr>
                            <w:t>0.99</w:t>
                          </w:r>
                        </w:p>
                        <w:p w14:paraId="78C5234D" w14:textId="77777777" w:rsidR="00CB53E4" w:rsidRDefault="00CB53E4" w:rsidP="0031675F">
                          <w:pPr>
                            <w:spacing w:before="7"/>
                            <w:ind w:left="16"/>
                            <w:rPr>
                              <w:rFonts w:eastAsia="Arial" w:cs="Arial"/>
                              <w:sz w:val="10"/>
                              <w:szCs w:val="10"/>
                            </w:rPr>
                          </w:pPr>
                          <w:r>
                            <w:rPr>
                              <w:spacing w:val="-1"/>
                              <w:sz w:val="10"/>
                            </w:rPr>
                            <w:t>0.03</w:t>
                          </w:r>
                        </w:p>
                        <w:p w14:paraId="3DE830EA" w14:textId="77777777" w:rsidR="00CB53E4" w:rsidRDefault="00CB53E4" w:rsidP="0031675F">
                          <w:pPr>
                            <w:spacing w:before="7"/>
                            <w:ind w:left="16"/>
                            <w:rPr>
                              <w:rFonts w:eastAsia="Arial" w:cs="Arial"/>
                              <w:sz w:val="10"/>
                              <w:szCs w:val="10"/>
                            </w:rPr>
                          </w:pPr>
                          <w:r>
                            <w:rPr>
                              <w:spacing w:val="-1"/>
                              <w:sz w:val="10"/>
                            </w:rPr>
                            <w:t>0.00</w:t>
                          </w:r>
                        </w:p>
                        <w:p w14:paraId="0FA9693D" w14:textId="77777777" w:rsidR="00CB53E4" w:rsidRDefault="00CB53E4" w:rsidP="0031675F">
                          <w:pPr>
                            <w:spacing w:before="7"/>
                            <w:ind w:left="16"/>
                            <w:rPr>
                              <w:rFonts w:eastAsia="Arial" w:cs="Arial"/>
                              <w:sz w:val="10"/>
                              <w:szCs w:val="10"/>
                            </w:rPr>
                          </w:pPr>
                          <w:r>
                            <w:rPr>
                              <w:spacing w:val="-1"/>
                              <w:sz w:val="10"/>
                            </w:rPr>
                            <w:t>1.06</w:t>
                          </w:r>
                        </w:p>
                        <w:p w14:paraId="7136EFAC" w14:textId="77777777" w:rsidR="00CB53E4" w:rsidRDefault="00CB53E4" w:rsidP="0031675F">
                          <w:pPr>
                            <w:spacing w:before="7"/>
                            <w:ind w:left="16"/>
                            <w:rPr>
                              <w:rFonts w:eastAsia="Arial" w:cs="Arial"/>
                              <w:sz w:val="10"/>
                              <w:szCs w:val="10"/>
                            </w:rPr>
                          </w:pPr>
                          <w:r>
                            <w:rPr>
                              <w:spacing w:val="-1"/>
                              <w:sz w:val="10"/>
                            </w:rPr>
                            <w:t>0.88</w:t>
                          </w:r>
                        </w:p>
                        <w:p w14:paraId="63958142" w14:textId="77777777" w:rsidR="00CB53E4" w:rsidRDefault="00CB53E4" w:rsidP="0031675F">
                          <w:pPr>
                            <w:spacing w:before="7"/>
                            <w:ind w:left="16"/>
                            <w:rPr>
                              <w:rFonts w:eastAsia="Arial" w:cs="Arial"/>
                              <w:sz w:val="10"/>
                              <w:szCs w:val="10"/>
                            </w:rPr>
                          </w:pPr>
                          <w:r>
                            <w:rPr>
                              <w:spacing w:val="-1"/>
                              <w:sz w:val="10"/>
                            </w:rPr>
                            <w:t>0.84</w:t>
                          </w:r>
                        </w:p>
                        <w:p w14:paraId="798CB0D7" w14:textId="77777777" w:rsidR="00CB53E4" w:rsidRDefault="00CB53E4" w:rsidP="0031675F">
                          <w:pPr>
                            <w:spacing w:before="7"/>
                            <w:ind w:left="16"/>
                            <w:rPr>
                              <w:rFonts w:eastAsia="Arial" w:cs="Arial"/>
                              <w:sz w:val="10"/>
                              <w:szCs w:val="10"/>
                            </w:rPr>
                          </w:pPr>
                          <w:r>
                            <w:rPr>
                              <w:spacing w:val="-1"/>
                              <w:sz w:val="10"/>
                            </w:rPr>
                            <w:t>0.91</w:t>
                          </w:r>
                        </w:p>
                        <w:p w14:paraId="25692F94" w14:textId="77777777" w:rsidR="00CB53E4" w:rsidRDefault="00CB53E4" w:rsidP="0031675F">
                          <w:pPr>
                            <w:spacing w:before="7"/>
                            <w:ind w:left="16"/>
                            <w:rPr>
                              <w:rFonts w:eastAsia="Arial" w:cs="Arial"/>
                              <w:sz w:val="10"/>
                              <w:szCs w:val="10"/>
                            </w:rPr>
                          </w:pPr>
                          <w:r>
                            <w:rPr>
                              <w:spacing w:val="-1"/>
                              <w:sz w:val="10"/>
                            </w:rPr>
                            <w:t>0.83</w:t>
                          </w:r>
                        </w:p>
                        <w:p w14:paraId="4F5303D3" w14:textId="77777777" w:rsidR="00CB53E4" w:rsidRDefault="00CB53E4" w:rsidP="0031675F">
                          <w:pPr>
                            <w:spacing w:before="7"/>
                            <w:ind w:left="16"/>
                            <w:rPr>
                              <w:rFonts w:eastAsia="Arial" w:cs="Arial"/>
                              <w:sz w:val="10"/>
                              <w:szCs w:val="10"/>
                            </w:rPr>
                          </w:pPr>
                          <w:r>
                            <w:rPr>
                              <w:spacing w:val="-1"/>
                              <w:sz w:val="10"/>
                            </w:rPr>
                            <w:t>0.93</w:t>
                          </w:r>
                        </w:p>
                        <w:p w14:paraId="3EC6A54C" w14:textId="77777777" w:rsidR="00CB53E4" w:rsidRDefault="00CB53E4" w:rsidP="0031675F">
                          <w:pPr>
                            <w:spacing w:before="7"/>
                            <w:ind w:left="16"/>
                            <w:rPr>
                              <w:rFonts w:eastAsia="Arial" w:cs="Arial"/>
                              <w:sz w:val="10"/>
                              <w:szCs w:val="10"/>
                            </w:rPr>
                          </w:pPr>
                          <w:r>
                            <w:rPr>
                              <w:spacing w:val="-1"/>
                              <w:sz w:val="10"/>
                            </w:rPr>
                            <w:t>0.88</w:t>
                          </w:r>
                        </w:p>
                        <w:p w14:paraId="65C020CF" w14:textId="77777777" w:rsidR="00CB53E4" w:rsidRDefault="00CB53E4" w:rsidP="0031675F">
                          <w:pPr>
                            <w:spacing w:before="7"/>
                            <w:ind w:left="16"/>
                            <w:rPr>
                              <w:rFonts w:eastAsia="Arial" w:cs="Arial"/>
                              <w:sz w:val="10"/>
                              <w:szCs w:val="10"/>
                            </w:rPr>
                          </w:pPr>
                          <w:r>
                            <w:rPr>
                              <w:spacing w:val="-1"/>
                              <w:sz w:val="10"/>
                            </w:rPr>
                            <w:t>1.19</w:t>
                          </w:r>
                        </w:p>
                        <w:p w14:paraId="16B79AFD" w14:textId="77777777" w:rsidR="00CB53E4" w:rsidRDefault="00CB53E4" w:rsidP="0031675F">
                          <w:pPr>
                            <w:spacing w:before="7"/>
                            <w:ind w:left="16"/>
                            <w:rPr>
                              <w:rFonts w:eastAsia="Arial" w:cs="Arial"/>
                              <w:sz w:val="10"/>
                              <w:szCs w:val="10"/>
                            </w:rPr>
                          </w:pPr>
                          <w:r>
                            <w:rPr>
                              <w:spacing w:val="-1"/>
                              <w:sz w:val="10"/>
                            </w:rPr>
                            <w:t>1.24</w:t>
                          </w:r>
                        </w:p>
                        <w:p w14:paraId="1CC1A412" w14:textId="77777777" w:rsidR="00CB53E4" w:rsidRDefault="00CB53E4" w:rsidP="0031675F">
                          <w:pPr>
                            <w:spacing w:before="7"/>
                            <w:ind w:left="16"/>
                            <w:rPr>
                              <w:rFonts w:eastAsia="Arial" w:cs="Arial"/>
                              <w:sz w:val="10"/>
                              <w:szCs w:val="10"/>
                            </w:rPr>
                          </w:pPr>
                          <w:r>
                            <w:rPr>
                              <w:spacing w:val="-1"/>
                              <w:sz w:val="10"/>
                            </w:rPr>
                            <w:t>1.09</w:t>
                          </w:r>
                        </w:p>
                        <w:p w14:paraId="4BBFF6F1" w14:textId="77777777" w:rsidR="00CB53E4" w:rsidRDefault="00CB53E4" w:rsidP="0031675F">
                          <w:pPr>
                            <w:spacing w:before="7"/>
                            <w:ind w:left="16"/>
                            <w:rPr>
                              <w:rFonts w:eastAsia="Arial" w:cs="Arial"/>
                              <w:sz w:val="10"/>
                              <w:szCs w:val="10"/>
                            </w:rPr>
                          </w:pPr>
                          <w:r>
                            <w:rPr>
                              <w:spacing w:val="-1"/>
                              <w:sz w:val="10"/>
                            </w:rPr>
                            <w:t>1.23</w:t>
                          </w:r>
                        </w:p>
                        <w:p w14:paraId="1E71626E" w14:textId="77777777" w:rsidR="00CB53E4" w:rsidRDefault="00CB53E4" w:rsidP="0031675F">
                          <w:pPr>
                            <w:spacing w:before="7"/>
                            <w:ind w:left="16"/>
                            <w:rPr>
                              <w:rFonts w:eastAsia="Arial" w:cs="Arial"/>
                              <w:sz w:val="10"/>
                              <w:szCs w:val="10"/>
                            </w:rPr>
                          </w:pPr>
                          <w:r>
                            <w:rPr>
                              <w:spacing w:val="-1"/>
                              <w:sz w:val="10"/>
                            </w:rPr>
                            <w:t>0.91</w:t>
                          </w:r>
                        </w:p>
                        <w:p w14:paraId="7ED9D87E" w14:textId="77777777" w:rsidR="00CB53E4" w:rsidRDefault="00CB53E4" w:rsidP="0031675F">
                          <w:pPr>
                            <w:spacing w:before="7"/>
                            <w:ind w:left="16"/>
                            <w:rPr>
                              <w:rFonts w:eastAsia="Arial" w:cs="Arial"/>
                              <w:sz w:val="10"/>
                              <w:szCs w:val="10"/>
                            </w:rPr>
                          </w:pPr>
                          <w:r>
                            <w:rPr>
                              <w:spacing w:val="-1"/>
                              <w:sz w:val="10"/>
                            </w:rPr>
                            <w:t>0.93</w:t>
                          </w:r>
                        </w:p>
                        <w:p w14:paraId="0653655E" w14:textId="77777777" w:rsidR="00CB53E4" w:rsidRDefault="00CB53E4" w:rsidP="0031675F">
                          <w:pPr>
                            <w:spacing w:before="7"/>
                            <w:ind w:left="16"/>
                            <w:rPr>
                              <w:rFonts w:eastAsia="Arial" w:cs="Arial"/>
                              <w:sz w:val="10"/>
                              <w:szCs w:val="10"/>
                            </w:rPr>
                          </w:pPr>
                          <w:r>
                            <w:rPr>
                              <w:spacing w:val="-1"/>
                              <w:sz w:val="10"/>
                            </w:rPr>
                            <w:t>0.75</w:t>
                          </w:r>
                        </w:p>
                        <w:p w14:paraId="486489E9" w14:textId="77777777" w:rsidR="00CB53E4" w:rsidRDefault="00CB53E4" w:rsidP="0031675F">
                          <w:pPr>
                            <w:spacing w:before="7"/>
                            <w:ind w:left="16"/>
                            <w:rPr>
                              <w:rFonts w:eastAsia="Arial" w:cs="Arial"/>
                              <w:sz w:val="10"/>
                              <w:szCs w:val="10"/>
                            </w:rPr>
                          </w:pPr>
                          <w:r>
                            <w:rPr>
                              <w:spacing w:val="-1"/>
                              <w:sz w:val="10"/>
                            </w:rPr>
                            <w:t>0.81</w:t>
                          </w:r>
                        </w:p>
                        <w:p w14:paraId="540B836A" w14:textId="77777777" w:rsidR="00CB53E4" w:rsidRDefault="00CB53E4" w:rsidP="0031675F">
                          <w:pPr>
                            <w:spacing w:before="7"/>
                            <w:ind w:left="16"/>
                            <w:rPr>
                              <w:rFonts w:eastAsia="Arial" w:cs="Arial"/>
                              <w:sz w:val="10"/>
                              <w:szCs w:val="10"/>
                            </w:rPr>
                          </w:pPr>
                          <w:r>
                            <w:rPr>
                              <w:spacing w:val="-1"/>
                              <w:sz w:val="10"/>
                            </w:rPr>
                            <w:t>1.04</w:t>
                          </w:r>
                        </w:p>
                        <w:p w14:paraId="58BD5631" w14:textId="77777777" w:rsidR="00CB53E4" w:rsidRDefault="00CB53E4" w:rsidP="0031675F">
                          <w:pPr>
                            <w:spacing w:before="7"/>
                            <w:ind w:left="16"/>
                            <w:rPr>
                              <w:rFonts w:eastAsia="Arial" w:cs="Arial"/>
                              <w:sz w:val="10"/>
                              <w:szCs w:val="10"/>
                            </w:rPr>
                          </w:pPr>
                          <w:r>
                            <w:rPr>
                              <w:spacing w:val="-1"/>
                              <w:sz w:val="10"/>
                            </w:rPr>
                            <w:t>2.03</w:t>
                          </w:r>
                        </w:p>
                        <w:p w14:paraId="72A08A16" w14:textId="77777777" w:rsidR="00CB53E4" w:rsidRDefault="00CB53E4" w:rsidP="0031675F">
                          <w:pPr>
                            <w:spacing w:before="7"/>
                            <w:ind w:left="16"/>
                            <w:rPr>
                              <w:rFonts w:eastAsia="Arial" w:cs="Arial"/>
                              <w:sz w:val="10"/>
                              <w:szCs w:val="10"/>
                            </w:rPr>
                          </w:pPr>
                          <w:r>
                            <w:rPr>
                              <w:spacing w:val="-1"/>
                              <w:sz w:val="10"/>
                            </w:rPr>
                            <w:t>1.96</w:t>
                          </w:r>
                        </w:p>
                        <w:p w14:paraId="13DE6A9A" w14:textId="77777777" w:rsidR="00CB53E4" w:rsidRDefault="00CB53E4" w:rsidP="0031675F">
                          <w:pPr>
                            <w:spacing w:before="7"/>
                            <w:ind w:left="16"/>
                            <w:rPr>
                              <w:rFonts w:eastAsia="Arial" w:cs="Arial"/>
                              <w:sz w:val="10"/>
                              <w:szCs w:val="10"/>
                            </w:rPr>
                          </w:pPr>
                          <w:r>
                            <w:rPr>
                              <w:spacing w:val="-1"/>
                              <w:sz w:val="10"/>
                            </w:rPr>
                            <w:t>1.02</w:t>
                          </w:r>
                        </w:p>
                        <w:p w14:paraId="56AC4C1E" w14:textId="77777777" w:rsidR="00CB53E4" w:rsidRDefault="00CB53E4" w:rsidP="0031675F">
                          <w:pPr>
                            <w:spacing w:before="7"/>
                            <w:ind w:left="16"/>
                            <w:rPr>
                              <w:rFonts w:eastAsia="Arial" w:cs="Arial"/>
                              <w:sz w:val="10"/>
                              <w:szCs w:val="10"/>
                            </w:rPr>
                          </w:pPr>
                          <w:r>
                            <w:rPr>
                              <w:spacing w:val="-1"/>
                              <w:sz w:val="10"/>
                            </w:rPr>
                            <w:t>0.96</w:t>
                          </w:r>
                        </w:p>
                        <w:p w14:paraId="2AF10141" w14:textId="77777777" w:rsidR="00CB53E4" w:rsidRDefault="00CB53E4" w:rsidP="0031675F">
                          <w:pPr>
                            <w:spacing w:before="7"/>
                            <w:ind w:left="16"/>
                            <w:rPr>
                              <w:rFonts w:eastAsia="Arial" w:cs="Arial"/>
                              <w:sz w:val="10"/>
                              <w:szCs w:val="10"/>
                            </w:rPr>
                          </w:pPr>
                          <w:r>
                            <w:rPr>
                              <w:spacing w:val="-1"/>
                              <w:sz w:val="10"/>
                            </w:rPr>
                            <w:t>1.09</w:t>
                          </w:r>
                        </w:p>
                        <w:p w14:paraId="7AC9D2BB" w14:textId="77777777" w:rsidR="00CB53E4" w:rsidRDefault="00CB53E4" w:rsidP="0031675F">
                          <w:pPr>
                            <w:spacing w:before="7"/>
                            <w:ind w:left="16"/>
                            <w:rPr>
                              <w:rFonts w:eastAsia="Arial" w:cs="Arial"/>
                              <w:sz w:val="10"/>
                              <w:szCs w:val="10"/>
                            </w:rPr>
                          </w:pPr>
                          <w:r>
                            <w:rPr>
                              <w:spacing w:val="-1"/>
                              <w:sz w:val="10"/>
                            </w:rPr>
                            <w:t>0.00</w:t>
                          </w:r>
                        </w:p>
                        <w:p w14:paraId="2BA65203" w14:textId="77777777" w:rsidR="00CB53E4" w:rsidRDefault="00CB53E4" w:rsidP="0031675F">
                          <w:pPr>
                            <w:spacing w:before="7" w:line="112" w:lineRule="exact"/>
                            <w:rPr>
                              <w:rFonts w:eastAsia="Arial" w:cs="Arial"/>
                              <w:sz w:val="10"/>
                              <w:szCs w:val="10"/>
                            </w:rPr>
                          </w:pPr>
                          <w:r>
                            <w:rPr>
                              <w:spacing w:val="-1"/>
                              <w:sz w:val="10"/>
                            </w:rPr>
                            <w:t>-0.01</w:t>
                          </w:r>
                        </w:p>
                      </w:txbxContent>
                    </v:textbox>
                  </v:shape>
                  <v:shape id="Text Box 8454" o:spid="_x0000_s1643" type="#_x0000_t202" style="position:absolute;left:5586;top:639;width:110;height:11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ryRsUA&#10;AADeAAAADwAAAGRycy9kb3ducmV2LnhtbERPTWvCQBC9F/oflil4q5tWDDZ1FSkKgiCN6cHjmB2T&#10;xexszK4a/71bKPQ2j/c503lvG3GlzhvHCt6GCQji0mnDlYKfYvU6AeEDssbGMSm4k4f57Plpipl2&#10;N87puguViCHsM1RQh9BmUvqyJot+6FriyB1dZzFE2FVSd3iL4baR70mSSouGY0ONLX3VVJ52F6tg&#10;sed8ac7bw3d+zE1RfCS8SU9KDV76xSeIQH34F/+51zrOn4zSMfy+E2+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SvJGxQAAAN4AAAAPAAAAAAAAAAAAAAAAAJgCAABkcnMv&#10;ZG93bnJldi54bWxQSwUGAAAAAAQABAD1AAAAigMAAAAA&#10;" filled="f" stroked="f">
                    <v:textbox inset="0,0,0,0">
                      <w:txbxContent>
                        <w:p w14:paraId="2290A69F" w14:textId="77777777" w:rsidR="00CB53E4" w:rsidRDefault="00CB53E4" w:rsidP="0031675F">
                          <w:pPr>
                            <w:spacing w:line="101" w:lineRule="exact"/>
                            <w:ind w:left="27"/>
                            <w:rPr>
                              <w:rFonts w:eastAsia="Arial" w:cs="Arial"/>
                              <w:sz w:val="10"/>
                              <w:szCs w:val="10"/>
                            </w:rPr>
                          </w:pPr>
                          <w:r>
                            <w:rPr>
                              <w:sz w:val="10"/>
                            </w:rPr>
                            <w:t>3</w:t>
                          </w:r>
                        </w:p>
                        <w:p w14:paraId="2254F95B" w14:textId="77777777" w:rsidR="00CB53E4" w:rsidRDefault="00CB53E4" w:rsidP="0031675F">
                          <w:pPr>
                            <w:spacing w:before="7"/>
                            <w:ind w:left="27"/>
                            <w:rPr>
                              <w:rFonts w:eastAsia="Arial" w:cs="Arial"/>
                              <w:sz w:val="10"/>
                              <w:szCs w:val="10"/>
                            </w:rPr>
                          </w:pPr>
                          <w:r>
                            <w:rPr>
                              <w:sz w:val="10"/>
                            </w:rPr>
                            <w:t>4</w:t>
                          </w:r>
                        </w:p>
                        <w:p w14:paraId="30EED880" w14:textId="77777777" w:rsidR="00CB53E4" w:rsidRDefault="00CB53E4" w:rsidP="0031675F">
                          <w:pPr>
                            <w:spacing w:before="7"/>
                            <w:rPr>
                              <w:rFonts w:eastAsia="Arial" w:cs="Arial"/>
                              <w:sz w:val="10"/>
                              <w:szCs w:val="10"/>
                            </w:rPr>
                          </w:pPr>
                          <w:r>
                            <w:rPr>
                              <w:spacing w:val="-1"/>
                              <w:w w:val="95"/>
                              <w:sz w:val="10"/>
                            </w:rPr>
                            <w:t>10</w:t>
                          </w:r>
                        </w:p>
                        <w:p w14:paraId="55F46211" w14:textId="77777777" w:rsidR="00CB53E4" w:rsidRDefault="00CB53E4" w:rsidP="0031675F">
                          <w:pPr>
                            <w:spacing w:before="7"/>
                            <w:rPr>
                              <w:rFonts w:eastAsia="Arial" w:cs="Arial"/>
                              <w:sz w:val="10"/>
                              <w:szCs w:val="10"/>
                            </w:rPr>
                          </w:pPr>
                          <w:r>
                            <w:rPr>
                              <w:spacing w:val="-1"/>
                              <w:w w:val="95"/>
                              <w:sz w:val="10"/>
                            </w:rPr>
                            <w:t>11</w:t>
                          </w:r>
                        </w:p>
                        <w:p w14:paraId="1B630F87" w14:textId="77777777" w:rsidR="00CB53E4" w:rsidRDefault="00CB53E4" w:rsidP="0031675F">
                          <w:pPr>
                            <w:spacing w:before="7"/>
                            <w:rPr>
                              <w:rFonts w:eastAsia="Arial" w:cs="Arial"/>
                              <w:sz w:val="10"/>
                              <w:szCs w:val="10"/>
                            </w:rPr>
                          </w:pPr>
                          <w:r>
                            <w:rPr>
                              <w:spacing w:val="-1"/>
                              <w:w w:val="95"/>
                              <w:sz w:val="10"/>
                            </w:rPr>
                            <w:t>31</w:t>
                          </w:r>
                        </w:p>
                        <w:p w14:paraId="4257705B" w14:textId="77777777" w:rsidR="00CB53E4" w:rsidRDefault="00CB53E4" w:rsidP="0031675F">
                          <w:pPr>
                            <w:spacing w:before="7"/>
                            <w:rPr>
                              <w:rFonts w:eastAsia="Arial" w:cs="Arial"/>
                              <w:sz w:val="10"/>
                              <w:szCs w:val="10"/>
                            </w:rPr>
                          </w:pPr>
                          <w:r>
                            <w:rPr>
                              <w:spacing w:val="-1"/>
                              <w:w w:val="95"/>
                              <w:sz w:val="10"/>
                            </w:rPr>
                            <w:t>32</w:t>
                          </w:r>
                        </w:p>
                        <w:p w14:paraId="2F7E2362" w14:textId="77777777" w:rsidR="00CB53E4" w:rsidRDefault="00CB53E4" w:rsidP="0031675F">
                          <w:pPr>
                            <w:spacing w:before="7"/>
                            <w:rPr>
                              <w:rFonts w:eastAsia="Arial" w:cs="Arial"/>
                              <w:sz w:val="10"/>
                              <w:szCs w:val="10"/>
                            </w:rPr>
                          </w:pPr>
                          <w:r>
                            <w:rPr>
                              <w:spacing w:val="-1"/>
                              <w:w w:val="95"/>
                              <w:sz w:val="10"/>
                            </w:rPr>
                            <w:t>54</w:t>
                          </w:r>
                        </w:p>
                        <w:p w14:paraId="152035A7" w14:textId="77777777" w:rsidR="00CB53E4" w:rsidRDefault="00CB53E4" w:rsidP="0031675F">
                          <w:pPr>
                            <w:spacing w:before="7"/>
                            <w:rPr>
                              <w:rFonts w:eastAsia="Arial" w:cs="Arial"/>
                              <w:sz w:val="10"/>
                              <w:szCs w:val="10"/>
                            </w:rPr>
                          </w:pPr>
                          <w:r>
                            <w:rPr>
                              <w:spacing w:val="-1"/>
                              <w:w w:val="95"/>
                              <w:sz w:val="10"/>
                            </w:rPr>
                            <w:t>55</w:t>
                          </w:r>
                        </w:p>
                        <w:p w14:paraId="0FB71359" w14:textId="77777777" w:rsidR="00CB53E4" w:rsidRDefault="00CB53E4" w:rsidP="0031675F">
                          <w:pPr>
                            <w:spacing w:before="7"/>
                            <w:rPr>
                              <w:rFonts w:eastAsia="Arial" w:cs="Arial"/>
                              <w:sz w:val="10"/>
                              <w:szCs w:val="10"/>
                            </w:rPr>
                          </w:pPr>
                          <w:r>
                            <w:rPr>
                              <w:spacing w:val="-1"/>
                              <w:w w:val="95"/>
                              <w:sz w:val="10"/>
                            </w:rPr>
                            <w:t>77</w:t>
                          </w:r>
                        </w:p>
                        <w:p w14:paraId="7D6E0256" w14:textId="77777777" w:rsidR="00CB53E4" w:rsidRDefault="00CB53E4" w:rsidP="0031675F">
                          <w:pPr>
                            <w:spacing w:before="7" w:line="112" w:lineRule="exact"/>
                            <w:rPr>
                              <w:rFonts w:eastAsia="Arial" w:cs="Arial"/>
                              <w:sz w:val="10"/>
                              <w:szCs w:val="10"/>
                            </w:rPr>
                          </w:pPr>
                          <w:r>
                            <w:rPr>
                              <w:spacing w:val="-1"/>
                              <w:w w:val="95"/>
                              <w:sz w:val="10"/>
                            </w:rPr>
                            <w:t>78</w:t>
                          </w:r>
                        </w:p>
                      </w:txbxContent>
                    </v:textbox>
                  </v:shape>
                  <v:shape id="Text Box 8453" o:spid="_x0000_s1644" type="#_x0000_t202" style="position:absolute;left:6045;top:639;width:191;height:11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hsMcQA&#10;AADeAAAADwAAAGRycy9kb3ducmV2LnhtbERPTWvCQBC9F/wPywi91Y0VgkZXEakgFEpjPHgcs2Oy&#10;mJ2N2VXTf98tFLzN433OYtXbRtyp88axgvEoAUFcOm24UnAotm9TED4ga2wck4If8rBaDl4WmGn3&#10;4Jzu+1CJGMI+QwV1CG0mpS9rsuhHriWO3Nl1FkOEXSV1h48Ybhv5niSptGg4NtTY0qam8rK/WQXr&#10;I+cf5vp1+s7PuSmKWcKf6UWp12G/noMI1Ien+N+903H+dJKm8PdOvEE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YbDHEAAAA3gAAAA8AAAAAAAAAAAAAAAAAmAIAAGRycy9k&#10;b3ducmV2LnhtbFBLBQYAAAAABAAEAPUAAACJAwAAAAA=&#10;" filled="f" stroked="f">
                    <v:textbox inset="0,0,0,0">
                      <w:txbxContent>
                        <w:p w14:paraId="7DBD3CD0" w14:textId="77777777" w:rsidR="00CB53E4" w:rsidRDefault="00CB53E4" w:rsidP="0031675F">
                          <w:pPr>
                            <w:spacing w:line="101" w:lineRule="exact"/>
                            <w:rPr>
                              <w:rFonts w:eastAsia="Arial" w:cs="Arial"/>
                              <w:sz w:val="10"/>
                              <w:szCs w:val="10"/>
                            </w:rPr>
                          </w:pPr>
                          <w:r>
                            <w:rPr>
                              <w:spacing w:val="-1"/>
                              <w:w w:val="95"/>
                              <w:sz w:val="10"/>
                            </w:rPr>
                            <w:t>0.64</w:t>
                          </w:r>
                        </w:p>
                        <w:p w14:paraId="5FD2F717" w14:textId="77777777" w:rsidR="00CB53E4" w:rsidRDefault="00CB53E4" w:rsidP="0031675F">
                          <w:pPr>
                            <w:spacing w:before="7"/>
                            <w:rPr>
                              <w:rFonts w:eastAsia="Arial" w:cs="Arial"/>
                              <w:sz w:val="10"/>
                              <w:szCs w:val="10"/>
                            </w:rPr>
                          </w:pPr>
                          <w:r>
                            <w:rPr>
                              <w:spacing w:val="-1"/>
                              <w:w w:val="95"/>
                              <w:sz w:val="10"/>
                            </w:rPr>
                            <w:t>0.43</w:t>
                          </w:r>
                        </w:p>
                        <w:p w14:paraId="3B5E1B6D" w14:textId="77777777" w:rsidR="00CB53E4" w:rsidRDefault="00CB53E4" w:rsidP="0031675F">
                          <w:pPr>
                            <w:spacing w:before="7"/>
                            <w:rPr>
                              <w:rFonts w:eastAsia="Arial" w:cs="Arial"/>
                              <w:sz w:val="10"/>
                              <w:szCs w:val="10"/>
                            </w:rPr>
                          </w:pPr>
                          <w:r>
                            <w:rPr>
                              <w:spacing w:val="-1"/>
                              <w:w w:val="95"/>
                              <w:sz w:val="10"/>
                            </w:rPr>
                            <w:t>0.70</w:t>
                          </w:r>
                        </w:p>
                        <w:p w14:paraId="244EF7EC" w14:textId="77777777" w:rsidR="00CB53E4" w:rsidRDefault="00CB53E4" w:rsidP="0031675F">
                          <w:pPr>
                            <w:spacing w:before="7"/>
                            <w:rPr>
                              <w:rFonts w:eastAsia="Arial" w:cs="Arial"/>
                              <w:sz w:val="10"/>
                              <w:szCs w:val="10"/>
                            </w:rPr>
                          </w:pPr>
                          <w:r>
                            <w:rPr>
                              <w:spacing w:val="-1"/>
                              <w:w w:val="95"/>
                              <w:sz w:val="10"/>
                            </w:rPr>
                            <w:t>0.32</w:t>
                          </w:r>
                        </w:p>
                        <w:p w14:paraId="0489CB9D" w14:textId="77777777" w:rsidR="00CB53E4" w:rsidRDefault="00CB53E4" w:rsidP="0031675F">
                          <w:pPr>
                            <w:spacing w:before="7"/>
                            <w:rPr>
                              <w:rFonts w:eastAsia="Arial" w:cs="Arial"/>
                              <w:sz w:val="10"/>
                              <w:szCs w:val="10"/>
                            </w:rPr>
                          </w:pPr>
                          <w:r>
                            <w:rPr>
                              <w:spacing w:val="-1"/>
                              <w:w w:val="95"/>
                              <w:sz w:val="10"/>
                            </w:rPr>
                            <w:t>0.41</w:t>
                          </w:r>
                        </w:p>
                        <w:p w14:paraId="35550653" w14:textId="77777777" w:rsidR="00CB53E4" w:rsidRDefault="00CB53E4" w:rsidP="0031675F">
                          <w:pPr>
                            <w:spacing w:before="7"/>
                            <w:rPr>
                              <w:rFonts w:eastAsia="Arial" w:cs="Arial"/>
                              <w:sz w:val="10"/>
                              <w:szCs w:val="10"/>
                            </w:rPr>
                          </w:pPr>
                          <w:r>
                            <w:rPr>
                              <w:spacing w:val="-1"/>
                              <w:w w:val="95"/>
                              <w:sz w:val="10"/>
                            </w:rPr>
                            <w:t>0.36</w:t>
                          </w:r>
                        </w:p>
                        <w:p w14:paraId="19E07226" w14:textId="77777777" w:rsidR="00CB53E4" w:rsidRDefault="00CB53E4" w:rsidP="0031675F">
                          <w:pPr>
                            <w:spacing w:before="7"/>
                            <w:rPr>
                              <w:rFonts w:eastAsia="Arial" w:cs="Arial"/>
                              <w:sz w:val="10"/>
                              <w:szCs w:val="10"/>
                            </w:rPr>
                          </w:pPr>
                          <w:r>
                            <w:rPr>
                              <w:spacing w:val="-1"/>
                              <w:w w:val="95"/>
                              <w:sz w:val="10"/>
                            </w:rPr>
                            <w:t>0.43</w:t>
                          </w:r>
                        </w:p>
                        <w:p w14:paraId="5287E708" w14:textId="77777777" w:rsidR="00CB53E4" w:rsidRDefault="00CB53E4" w:rsidP="0031675F">
                          <w:pPr>
                            <w:spacing w:before="7"/>
                            <w:rPr>
                              <w:rFonts w:eastAsia="Arial" w:cs="Arial"/>
                              <w:sz w:val="10"/>
                              <w:szCs w:val="10"/>
                            </w:rPr>
                          </w:pPr>
                          <w:r>
                            <w:rPr>
                              <w:spacing w:val="-1"/>
                              <w:w w:val="95"/>
                              <w:sz w:val="10"/>
                            </w:rPr>
                            <w:t>0.38</w:t>
                          </w:r>
                        </w:p>
                        <w:p w14:paraId="42B705D5" w14:textId="77777777" w:rsidR="00CB53E4" w:rsidRDefault="00CB53E4" w:rsidP="0031675F">
                          <w:pPr>
                            <w:spacing w:before="7"/>
                            <w:rPr>
                              <w:rFonts w:eastAsia="Arial" w:cs="Arial"/>
                              <w:sz w:val="10"/>
                              <w:szCs w:val="10"/>
                            </w:rPr>
                          </w:pPr>
                          <w:r>
                            <w:rPr>
                              <w:spacing w:val="-1"/>
                              <w:w w:val="95"/>
                              <w:sz w:val="10"/>
                            </w:rPr>
                            <w:t>0.39</w:t>
                          </w:r>
                        </w:p>
                        <w:p w14:paraId="026793C0" w14:textId="77777777" w:rsidR="00CB53E4" w:rsidRDefault="00CB53E4" w:rsidP="0031675F">
                          <w:pPr>
                            <w:spacing w:before="7" w:line="112" w:lineRule="exact"/>
                            <w:rPr>
                              <w:rFonts w:eastAsia="Arial" w:cs="Arial"/>
                              <w:sz w:val="10"/>
                              <w:szCs w:val="10"/>
                            </w:rPr>
                          </w:pPr>
                          <w:r>
                            <w:rPr>
                              <w:spacing w:val="-1"/>
                              <w:w w:val="95"/>
                              <w:sz w:val="10"/>
                            </w:rPr>
                            <w:t>0.38</w:t>
                          </w:r>
                        </w:p>
                      </w:txbxContent>
                    </v:textbox>
                  </v:shape>
                  <v:shape id="Text Box 8452" o:spid="_x0000_s1645" type="#_x0000_t202" style="position:absolute;left:6729;top:689;width:164;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TJqsUA&#10;AADeAAAADwAAAGRycy9kb3ducmV2LnhtbERPTWvCQBC9F/oflil4q5tWSG3qKlIUBEEa04PHMTsm&#10;i9nZmF01/ntXKPQ2j/c5k1lvG3GhzhvHCt6GCQji0mnDlYLfYvk6BuEDssbGMSm4kYfZ9Plpgpl2&#10;V87psg2ViCHsM1RQh9BmUvqyJot+6FriyB1cZzFE2FVSd3iN4baR70mSSouGY0ONLX3XVB63Z6tg&#10;vuN8YU6b/U9+yE1RfCa8To9KDV76+ReIQH34F/+5VzrOH4/SD3i8E2+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1MmqxQAAAN4AAAAPAAAAAAAAAAAAAAAAAJgCAABkcnMv&#10;ZG93bnJldi54bWxQSwUGAAAAAAQABAD1AAAAigMAAAAA&#10;" filled="f" stroked="f">
                    <v:textbox inset="0,0,0,0">
                      <w:txbxContent>
                        <w:p w14:paraId="27C53074" w14:textId="77777777" w:rsidR="00CB53E4" w:rsidRDefault="00CB53E4" w:rsidP="0031675F">
                          <w:pPr>
                            <w:spacing w:line="85" w:lineRule="exact"/>
                            <w:rPr>
                              <w:rFonts w:eastAsia="Arial" w:cs="Arial"/>
                              <w:sz w:val="8"/>
                              <w:szCs w:val="8"/>
                            </w:rPr>
                          </w:pPr>
                          <w:r>
                            <w:rPr>
                              <w:spacing w:val="-1"/>
                              <w:w w:val="105"/>
                              <w:sz w:val="8"/>
                            </w:rPr>
                            <w:t>0.80</w:t>
                          </w:r>
                        </w:p>
                        <w:p w14:paraId="52E0AB01" w14:textId="77777777" w:rsidR="00CB53E4" w:rsidRDefault="00CB53E4" w:rsidP="0031675F">
                          <w:pPr>
                            <w:spacing w:before="11"/>
                            <w:rPr>
                              <w:rFonts w:eastAsia="Arial" w:cs="Arial"/>
                              <w:b/>
                              <w:bCs/>
                              <w:sz w:val="7"/>
                              <w:szCs w:val="7"/>
                            </w:rPr>
                          </w:pPr>
                        </w:p>
                        <w:p w14:paraId="100D2F8A" w14:textId="77777777" w:rsidR="00CB53E4" w:rsidRDefault="00CB53E4" w:rsidP="0031675F">
                          <w:pPr>
                            <w:spacing w:line="91" w:lineRule="exact"/>
                            <w:rPr>
                              <w:rFonts w:eastAsia="Arial" w:cs="Arial"/>
                              <w:sz w:val="8"/>
                              <w:szCs w:val="8"/>
                            </w:rPr>
                          </w:pPr>
                          <w:r>
                            <w:rPr>
                              <w:spacing w:val="-1"/>
                              <w:w w:val="105"/>
                              <w:sz w:val="8"/>
                            </w:rPr>
                            <w:t>0.70</w:t>
                          </w:r>
                        </w:p>
                      </w:txbxContent>
                    </v:textbox>
                  </v:shape>
                  <v:shape id="Text Box 8451" o:spid="_x0000_s1646" type="#_x0000_t202" style="position:absolute;left:8086;top:938;width:33;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td2McA&#10;AADeAAAADwAAAGRycy9kb3ducmV2LnhtbESPQUvDQBCF7wX/wzJCb+1GhVBjt6WIglCQJvHgccxO&#10;k6XZ2Zhd2/jvOwfB2wzvzXvfrLeT79WZxugCG7hbZqCIm2AdtwY+6tfFClRMyBb7wGTglyJsNzez&#10;NRY2XLikc5VaJSEcCzTQpTQUWsemI49xGQZi0Y5h9JhkHVttR7xIuO/1fZbl2qNjaehwoOeOmlP1&#10;4w3sPrl8cd/vX4fyWLq6fsx4n5+Mmd9OuydQiab0b/67frOCv3rIhVfekRn05g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ZLXdjHAAAA3gAAAA8AAAAAAAAAAAAAAAAAmAIAAGRy&#10;cy9kb3ducmV2LnhtbFBLBQYAAAAABAAEAPUAAACMAwAAAAA=&#10;" filled="f" stroked="f">
                    <v:textbox inset="0,0,0,0">
                      <w:txbxContent>
                        <w:p w14:paraId="53ED9CDE" w14:textId="77777777" w:rsidR="00CB53E4" w:rsidRDefault="00CB53E4" w:rsidP="0031675F">
                          <w:pPr>
                            <w:spacing w:line="59" w:lineRule="exact"/>
                            <w:rPr>
                              <w:rFonts w:eastAsia="Arial" w:cs="Arial"/>
                              <w:sz w:val="6"/>
                              <w:szCs w:val="6"/>
                            </w:rPr>
                          </w:pPr>
                          <w:r>
                            <w:rPr>
                              <w:sz w:val="6"/>
                            </w:rPr>
                            <w:t>2</w:t>
                          </w:r>
                        </w:p>
                      </w:txbxContent>
                    </v:textbox>
                  </v:shape>
                  <v:shape id="Text Box 8450" o:spid="_x0000_s1647" type="#_x0000_t202" style="position:absolute;left:214;top:1006;width:110;height:9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f4Q8QA&#10;AADeAAAADwAAAGRycy9kb3ducmV2LnhtbERPTWvCQBC9F/wPywi91Y0WgkZXEVEoFKQxPXgcs2Oy&#10;mJ2N2VXjv+8WCr3N433OYtXbRtyp88axgvEoAUFcOm24UvBd7N6mIHxA1tg4JgVP8rBaDl4WmGn3&#10;4Jzuh1CJGMI+QwV1CG0mpS9rsuhHriWO3Nl1FkOEXSV1h48Ybhs5SZJUWjQcG2psaVNTeTncrIL1&#10;kfOtue5PX/k5N0UxS/gzvSj1OuzXcxCB+vAv/nN/6Dh/+p7O4PedeIN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H+EPEAAAA3gAAAA8AAAAAAAAAAAAAAAAAmAIAAGRycy9k&#10;b3ducmV2LnhtbFBLBQYAAAAABAAEAPUAAACJAwAAAAA=&#10;" filled="f" stroked="f">
                    <v:textbox inset="0,0,0,0">
                      <w:txbxContent>
                        <w:p w14:paraId="08101A99" w14:textId="77777777" w:rsidR="00CB53E4" w:rsidRDefault="00CB53E4" w:rsidP="0031675F">
                          <w:pPr>
                            <w:spacing w:line="101" w:lineRule="exact"/>
                            <w:ind w:left="27"/>
                            <w:rPr>
                              <w:rFonts w:eastAsia="Arial" w:cs="Arial"/>
                              <w:sz w:val="10"/>
                              <w:szCs w:val="10"/>
                            </w:rPr>
                          </w:pPr>
                          <w:r>
                            <w:rPr>
                              <w:sz w:val="10"/>
                            </w:rPr>
                            <w:t>1</w:t>
                          </w:r>
                        </w:p>
                        <w:p w14:paraId="6CD901BF" w14:textId="77777777" w:rsidR="00CB53E4" w:rsidRDefault="00CB53E4" w:rsidP="0031675F">
                          <w:pPr>
                            <w:spacing w:before="7"/>
                            <w:ind w:left="27"/>
                            <w:rPr>
                              <w:rFonts w:eastAsia="Arial" w:cs="Arial"/>
                              <w:sz w:val="10"/>
                              <w:szCs w:val="10"/>
                            </w:rPr>
                          </w:pPr>
                          <w:r>
                            <w:rPr>
                              <w:sz w:val="10"/>
                            </w:rPr>
                            <w:t>2</w:t>
                          </w:r>
                        </w:p>
                        <w:p w14:paraId="5C24F5FE" w14:textId="77777777" w:rsidR="00CB53E4" w:rsidRDefault="00CB53E4" w:rsidP="0031675F">
                          <w:pPr>
                            <w:spacing w:before="7"/>
                            <w:ind w:left="27"/>
                            <w:rPr>
                              <w:rFonts w:eastAsia="Arial" w:cs="Arial"/>
                              <w:sz w:val="10"/>
                              <w:szCs w:val="10"/>
                            </w:rPr>
                          </w:pPr>
                          <w:r>
                            <w:rPr>
                              <w:sz w:val="10"/>
                            </w:rPr>
                            <w:t>3</w:t>
                          </w:r>
                        </w:p>
                        <w:p w14:paraId="10FE09FC" w14:textId="77777777" w:rsidR="00CB53E4" w:rsidRDefault="00CB53E4" w:rsidP="0031675F">
                          <w:pPr>
                            <w:spacing w:before="7"/>
                            <w:ind w:left="27"/>
                            <w:rPr>
                              <w:rFonts w:eastAsia="Arial" w:cs="Arial"/>
                              <w:sz w:val="10"/>
                              <w:szCs w:val="10"/>
                            </w:rPr>
                          </w:pPr>
                          <w:r>
                            <w:rPr>
                              <w:sz w:val="10"/>
                            </w:rPr>
                            <w:t>4</w:t>
                          </w:r>
                        </w:p>
                        <w:p w14:paraId="7CD1D3EC" w14:textId="77777777" w:rsidR="00CB53E4" w:rsidRDefault="00CB53E4" w:rsidP="0031675F">
                          <w:pPr>
                            <w:spacing w:before="7"/>
                            <w:ind w:left="27"/>
                            <w:rPr>
                              <w:rFonts w:eastAsia="Arial" w:cs="Arial"/>
                              <w:sz w:val="10"/>
                              <w:szCs w:val="10"/>
                            </w:rPr>
                          </w:pPr>
                          <w:r>
                            <w:rPr>
                              <w:sz w:val="10"/>
                            </w:rPr>
                            <w:t>5</w:t>
                          </w:r>
                        </w:p>
                        <w:p w14:paraId="18BBFA99" w14:textId="77777777" w:rsidR="00CB53E4" w:rsidRDefault="00CB53E4" w:rsidP="0031675F">
                          <w:pPr>
                            <w:spacing w:before="7"/>
                            <w:ind w:left="27"/>
                            <w:rPr>
                              <w:rFonts w:eastAsia="Arial" w:cs="Arial"/>
                              <w:sz w:val="10"/>
                              <w:szCs w:val="10"/>
                            </w:rPr>
                          </w:pPr>
                          <w:r>
                            <w:rPr>
                              <w:sz w:val="10"/>
                            </w:rPr>
                            <w:t>6</w:t>
                          </w:r>
                        </w:p>
                        <w:p w14:paraId="7E898EC7" w14:textId="77777777" w:rsidR="00CB53E4" w:rsidRDefault="00CB53E4" w:rsidP="0031675F">
                          <w:pPr>
                            <w:spacing w:before="7"/>
                            <w:ind w:left="27"/>
                            <w:rPr>
                              <w:rFonts w:eastAsia="Arial" w:cs="Arial"/>
                              <w:sz w:val="10"/>
                              <w:szCs w:val="10"/>
                            </w:rPr>
                          </w:pPr>
                          <w:r>
                            <w:rPr>
                              <w:sz w:val="10"/>
                            </w:rPr>
                            <w:t>7</w:t>
                          </w:r>
                        </w:p>
                        <w:p w14:paraId="7E376844" w14:textId="77777777" w:rsidR="00CB53E4" w:rsidRDefault="00CB53E4" w:rsidP="0031675F">
                          <w:pPr>
                            <w:spacing w:before="7"/>
                            <w:ind w:left="27"/>
                            <w:rPr>
                              <w:rFonts w:eastAsia="Arial" w:cs="Arial"/>
                              <w:sz w:val="10"/>
                              <w:szCs w:val="10"/>
                            </w:rPr>
                          </w:pPr>
                          <w:r>
                            <w:rPr>
                              <w:sz w:val="10"/>
                            </w:rPr>
                            <w:t>8</w:t>
                          </w:r>
                        </w:p>
                        <w:p w14:paraId="2EA80233" w14:textId="77777777" w:rsidR="00CB53E4" w:rsidRDefault="00CB53E4" w:rsidP="0031675F">
                          <w:pPr>
                            <w:spacing w:before="7"/>
                            <w:ind w:left="27"/>
                            <w:rPr>
                              <w:rFonts w:eastAsia="Arial" w:cs="Arial"/>
                              <w:sz w:val="10"/>
                              <w:szCs w:val="10"/>
                            </w:rPr>
                          </w:pPr>
                          <w:r>
                            <w:rPr>
                              <w:sz w:val="10"/>
                            </w:rPr>
                            <w:t>9</w:t>
                          </w:r>
                        </w:p>
                        <w:p w14:paraId="7E691DFD" w14:textId="77777777" w:rsidR="00CB53E4" w:rsidRDefault="00CB53E4" w:rsidP="0031675F">
                          <w:pPr>
                            <w:spacing w:before="7"/>
                            <w:rPr>
                              <w:rFonts w:eastAsia="Arial" w:cs="Arial"/>
                              <w:sz w:val="10"/>
                              <w:szCs w:val="10"/>
                            </w:rPr>
                          </w:pPr>
                          <w:r>
                            <w:rPr>
                              <w:spacing w:val="-1"/>
                              <w:w w:val="95"/>
                              <w:sz w:val="10"/>
                            </w:rPr>
                            <w:t>10</w:t>
                          </w:r>
                        </w:p>
                        <w:p w14:paraId="21B06D58" w14:textId="77777777" w:rsidR="00CB53E4" w:rsidRDefault="00CB53E4" w:rsidP="0031675F">
                          <w:pPr>
                            <w:spacing w:before="7"/>
                            <w:rPr>
                              <w:rFonts w:eastAsia="Arial" w:cs="Arial"/>
                              <w:sz w:val="10"/>
                              <w:szCs w:val="10"/>
                            </w:rPr>
                          </w:pPr>
                          <w:r>
                            <w:rPr>
                              <w:spacing w:val="-1"/>
                              <w:w w:val="95"/>
                              <w:sz w:val="10"/>
                            </w:rPr>
                            <w:t>11</w:t>
                          </w:r>
                        </w:p>
                        <w:p w14:paraId="085F9B52" w14:textId="77777777" w:rsidR="00CB53E4" w:rsidRDefault="00CB53E4" w:rsidP="0031675F">
                          <w:pPr>
                            <w:spacing w:before="7"/>
                            <w:rPr>
                              <w:rFonts w:eastAsia="Arial" w:cs="Arial"/>
                              <w:sz w:val="10"/>
                              <w:szCs w:val="10"/>
                            </w:rPr>
                          </w:pPr>
                          <w:r>
                            <w:rPr>
                              <w:spacing w:val="-1"/>
                              <w:w w:val="95"/>
                              <w:sz w:val="10"/>
                            </w:rPr>
                            <w:t>12</w:t>
                          </w:r>
                        </w:p>
                        <w:p w14:paraId="56D63DCD" w14:textId="77777777" w:rsidR="00CB53E4" w:rsidRDefault="00CB53E4" w:rsidP="0031675F">
                          <w:pPr>
                            <w:spacing w:before="7"/>
                            <w:rPr>
                              <w:rFonts w:eastAsia="Arial" w:cs="Arial"/>
                              <w:sz w:val="10"/>
                              <w:szCs w:val="10"/>
                            </w:rPr>
                          </w:pPr>
                          <w:r>
                            <w:rPr>
                              <w:spacing w:val="-1"/>
                              <w:w w:val="95"/>
                              <w:sz w:val="10"/>
                            </w:rPr>
                            <w:t>13</w:t>
                          </w:r>
                        </w:p>
                        <w:p w14:paraId="740DD755" w14:textId="77777777" w:rsidR="00CB53E4" w:rsidRDefault="00CB53E4" w:rsidP="0031675F">
                          <w:pPr>
                            <w:spacing w:before="7"/>
                            <w:rPr>
                              <w:rFonts w:eastAsia="Arial" w:cs="Arial"/>
                              <w:sz w:val="10"/>
                              <w:szCs w:val="10"/>
                            </w:rPr>
                          </w:pPr>
                          <w:r>
                            <w:rPr>
                              <w:spacing w:val="-1"/>
                              <w:w w:val="95"/>
                              <w:sz w:val="10"/>
                            </w:rPr>
                            <w:t>14</w:t>
                          </w:r>
                        </w:p>
                        <w:p w14:paraId="520ACD5E" w14:textId="77777777" w:rsidR="00CB53E4" w:rsidRDefault="00CB53E4" w:rsidP="0031675F">
                          <w:pPr>
                            <w:spacing w:before="7"/>
                            <w:rPr>
                              <w:rFonts w:eastAsia="Arial" w:cs="Arial"/>
                              <w:sz w:val="10"/>
                              <w:szCs w:val="10"/>
                            </w:rPr>
                          </w:pPr>
                          <w:r>
                            <w:rPr>
                              <w:spacing w:val="-1"/>
                              <w:w w:val="95"/>
                              <w:sz w:val="10"/>
                            </w:rPr>
                            <w:t>15</w:t>
                          </w:r>
                        </w:p>
                        <w:p w14:paraId="037561CC" w14:textId="77777777" w:rsidR="00CB53E4" w:rsidRDefault="00CB53E4" w:rsidP="0031675F">
                          <w:pPr>
                            <w:spacing w:before="7"/>
                            <w:rPr>
                              <w:rFonts w:eastAsia="Arial" w:cs="Arial"/>
                              <w:sz w:val="10"/>
                              <w:szCs w:val="10"/>
                            </w:rPr>
                          </w:pPr>
                          <w:r>
                            <w:rPr>
                              <w:spacing w:val="-1"/>
                              <w:w w:val="95"/>
                              <w:sz w:val="10"/>
                            </w:rPr>
                            <w:t>16</w:t>
                          </w:r>
                        </w:p>
                        <w:p w14:paraId="49358FFF" w14:textId="77777777" w:rsidR="00CB53E4" w:rsidRDefault="00CB53E4" w:rsidP="0031675F">
                          <w:pPr>
                            <w:spacing w:before="7"/>
                            <w:rPr>
                              <w:rFonts w:eastAsia="Arial" w:cs="Arial"/>
                              <w:sz w:val="10"/>
                              <w:szCs w:val="10"/>
                            </w:rPr>
                          </w:pPr>
                          <w:r>
                            <w:rPr>
                              <w:spacing w:val="-1"/>
                              <w:w w:val="95"/>
                              <w:sz w:val="10"/>
                            </w:rPr>
                            <w:t>17</w:t>
                          </w:r>
                        </w:p>
                        <w:p w14:paraId="26E20F04" w14:textId="77777777" w:rsidR="00CB53E4" w:rsidRDefault="00CB53E4" w:rsidP="0031675F">
                          <w:pPr>
                            <w:spacing w:before="7"/>
                            <w:rPr>
                              <w:rFonts w:eastAsia="Arial" w:cs="Arial"/>
                              <w:sz w:val="10"/>
                              <w:szCs w:val="10"/>
                            </w:rPr>
                          </w:pPr>
                          <w:r>
                            <w:rPr>
                              <w:spacing w:val="-1"/>
                              <w:w w:val="95"/>
                              <w:sz w:val="10"/>
                            </w:rPr>
                            <w:t>18</w:t>
                          </w:r>
                        </w:p>
                        <w:p w14:paraId="4966DD13" w14:textId="77777777" w:rsidR="00CB53E4" w:rsidRDefault="00CB53E4" w:rsidP="0031675F">
                          <w:pPr>
                            <w:spacing w:before="7"/>
                            <w:rPr>
                              <w:rFonts w:eastAsia="Arial" w:cs="Arial"/>
                              <w:sz w:val="10"/>
                              <w:szCs w:val="10"/>
                            </w:rPr>
                          </w:pPr>
                          <w:r>
                            <w:rPr>
                              <w:spacing w:val="-1"/>
                              <w:w w:val="95"/>
                              <w:sz w:val="10"/>
                            </w:rPr>
                            <w:t>19</w:t>
                          </w:r>
                        </w:p>
                        <w:p w14:paraId="0A3C0CD4" w14:textId="77777777" w:rsidR="00CB53E4" w:rsidRDefault="00CB53E4" w:rsidP="0031675F">
                          <w:pPr>
                            <w:spacing w:before="7"/>
                            <w:rPr>
                              <w:rFonts w:eastAsia="Arial" w:cs="Arial"/>
                              <w:sz w:val="10"/>
                              <w:szCs w:val="10"/>
                            </w:rPr>
                          </w:pPr>
                          <w:r>
                            <w:rPr>
                              <w:spacing w:val="-1"/>
                              <w:w w:val="95"/>
                              <w:sz w:val="10"/>
                            </w:rPr>
                            <w:t>20</w:t>
                          </w:r>
                        </w:p>
                        <w:p w14:paraId="3CC4DC36" w14:textId="77777777" w:rsidR="00CB53E4" w:rsidRDefault="00CB53E4" w:rsidP="0031675F">
                          <w:pPr>
                            <w:spacing w:before="7"/>
                            <w:rPr>
                              <w:rFonts w:eastAsia="Arial" w:cs="Arial"/>
                              <w:sz w:val="10"/>
                              <w:szCs w:val="10"/>
                            </w:rPr>
                          </w:pPr>
                          <w:r>
                            <w:rPr>
                              <w:spacing w:val="-1"/>
                              <w:w w:val="95"/>
                              <w:sz w:val="10"/>
                            </w:rPr>
                            <w:t>21</w:t>
                          </w:r>
                        </w:p>
                        <w:p w14:paraId="6740CA1F" w14:textId="77777777" w:rsidR="00CB53E4" w:rsidRDefault="00CB53E4" w:rsidP="0031675F">
                          <w:pPr>
                            <w:spacing w:before="7"/>
                            <w:rPr>
                              <w:rFonts w:eastAsia="Arial" w:cs="Arial"/>
                              <w:sz w:val="10"/>
                              <w:szCs w:val="10"/>
                            </w:rPr>
                          </w:pPr>
                          <w:r>
                            <w:rPr>
                              <w:spacing w:val="-1"/>
                              <w:w w:val="95"/>
                              <w:sz w:val="10"/>
                            </w:rPr>
                            <w:t>22</w:t>
                          </w:r>
                        </w:p>
                        <w:p w14:paraId="3B97048B" w14:textId="77777777" w:rsidR="00CB53E4" w:rsidRDefault="00CB53E4" w:rsidP="0031675F">
                          <w:pPr>
                            <w:spacing w:before="7"/>
                            <w:rPr>
                              <w:rFonts w:eastAsia="Arial" w:cs="Arial"/>
                              <w:sz w:val="10"/>
                              <w:szCs w:val="10"/>
                            </w:rPr>
                          </w:pPr>
                          <w:r>
                            <w:rPr>
                              <w:spacing w:val="-1"/>
                              <w:w w:val="95"/>
                              <w:sz w:val="10"/>
                            </w:rPr>
                            <w:t>23</w:t>
                          </w:r>
                        </w:p>
                        <w:p w14:paraId="2B9616F3" w14:textId="77777777" w:rsidR="00CB53E4" w:rsidRDefault="00CB53E4" w:rsidP="0031675F">
                          <w:pPr>
                            <w:spacing w:before="7"/>
                            <w:rPr>
                              <w:rFonts w:eastAsia="Arial" w:cs="Arial"/>
                              <w:sz w:val="10"/>
                              <w:szCs w:val="10"/>
                            </w:rPr>
                          </w:pPr>
                          <w:r>
                            <w:rPr>
                              <w:spacing w:val="-1"/>
                              <w:w w:val="95"/>
                              <w:sz w:val="10"/>
                            </w:rPr>
                            <w:t>24</w:t>
                          </w:r>
                        </w:p>
                        <w:p w14:paraId="37FB2293" w14:textId="77777777" w:rsidR="00CB53E4" w:rsidRDefault="00CB53E4" w:rsidP="0031675F">
                          <w:pPr>
                            <w:spacing w:before="7"/>
                            <w:rPr>
                              <w:rFonts w:eastAsia="Arial" w:cs="Arial"/>
                              <w:sz w:val="10"/>
                              <w:szCs w:val="10"/>
                            </w:rPr>
                          </w:pPr>
                          <w:r>
                            <w:rPr>
                              <w:spacing w:val="-1"/>
                              <w:w w:val="95"/>
                              <w:sz w:val="10"/>
                            </w:rPr>
                            <w:t>25</w:t>
                          </w:r>
                        </w:p>
                        <w:p w14:paraId="386A2104" w14:textId="77777777" w:rsidR="00CB53E4" w:rsidRDefault="00CB53E4" w:rsidP="0031675F">
                          <w:pPr>
                            <w:spacing w:before="7"/>
                            <w:rPr>
                              <w:rFonts w:eastAsia="Arial" w:cs="Arial"/>
                              <w:sz w:val="10"/>
                              <w:szCs w:val="10"/>
                            </w:rPr>
                          </w:pPr>
                          <w:r>
                            <w:rPr>
                              <w:spacing w:val="-1"/>
                              <w:w w:val="95"/>
                              <w:sz w:val="10"/>
                            </w:rPr>
                            <w:t>26</w:t>
                          </w:r>
                        </w:p>
                        <w:p w14:paraId="5A817875" w14:textId="77777777" w:rsidR="00CB53E4" w:rsidRDefault="00CB53E4" w:rsidP="0031675F">
                          <w:pPr>
                            <w:spacing w:before="7"/>
                            <w:rPr>
                              <w:rFonts w:eastAsia="Arial" w:cs="Arial"/>
                              <w:sz w:val="10"/>
                              <w:szCs w:val="10"/>
                            </w:rPr>
                          </w:pPr>
                          <w:r>
                            <w:rPr>
                              <w:spacing w:val="-1"/>
                              <w:w w:val="95"/>
                              <w:sz w:val="10"/>
                            </w:rPr>
                            <w:t>27</w:t>
                          </w:r>
                        </w:p>
                        <w:p w14:paraId="33F710D3" w14:textId="77777777" w:rsidR="00CB53E4" w:rsidRDefault="00CB53E4" w:rsidP="0031675F">
                          <w:pPr>
                            <w:spacing w:before="7"/>
                            <w:rPr>
                              <w:rFonts w:eastAsia="Arial" w:cs="Arial"/>
                              <w:sz w:val="10"/>
                              <w:szCs w:val="10"/>
                            </w:rPr>
                          </w:pPr>
                          <w:r>
                            <w:rPr>
                              <w:spacing w:val="-1"/>
                              <w:w w:val="95"/>
                              <w:sz w:val="10"/>
                            </w:rPr>
                            <w:t>28</w:t>
                          </w:r>
                        </w:p>
                        <w:p w14:paraId="284D2CD8" w14:textId="77777777" w:rsidR="00CB53E4" w:rsidRDefault="00CB53E4" w:rsidP="0031675F">
                          <w:pPr>
                            <w:spacing w:before="7"/>
                            <w:rPr>
                              <w:rFonts w:eastAsia="Arial" w:cs="Arial"/>
                              <w:sz w:val="10"/>
                              <w:szCs w:val="10"/>
                            </w:rPr>
                          </w:pPr>
                          <w:r>
                            <w:rPr>
                              <w:spacing w:val="-1"/>
                              <w:w w:val="95"/>
                              <w:sz w:val="10"/>
                            </w:rPr>
                            <w:t>29</w:t>
                          </w:r>
                        </w:p>
                        <w:p w14:paraId="33BE2B2B" w14:textId="77777777" w:rsidR="00CB53E4" w:rsidRDefault="00CB53E4" w:rsidP="0031675F">
                          <w:pPr>
                            <w:spacing w:before="7"/>
                            <w:rPr>
                              <w:rFonts w:eastAsia="Arial" w:cs="Arial"/>
                              <w:sz w:val="10"/>
                              <w:szCs w:val="10"/>
                            </w:rPr>
                          </w:pPr>
                          <w:r>
                            <w:rPr>
                              <w:spacing w:val="-1"/>
                              <w:w w:val="95"/>
                              <w:sz w:val="10"/>
                            </w:rPr>
                            <w:t>30</w:t>
                          </w:r>
                        </w:p>
                        <w:p w14:paraId="218ADC27" w14:textId="77777777" w:rsidR="00CB53E4" w:rsidRDefault="00CB53E4" w:rsidP="0031675F">
                          <w:pPr>
                            <w:spacing w:before="7"/>
                            <w:rPr>
                              <w:rFonts w:eastAsia="Arial" w:cs="Arial"/>
                              <w:sz w:val="10"/>
                              <w:szCs w:val="10"/>
                            </w:rPr>
                          </w:pPr>
                          <w:r>
                            <w:rPr>
                              <w:spacing w:val="-1"/>
                              <w:w w:val="95"/>
                              <w:sz w:val="10"/>
                            </w:rPr>
                            <w:t>31</w:t>
                          </w:r>
                        </w:p>
                        <w:p w14:paraId="672C7B3D" w14:textId="77777777" w:rsidR="00CB53E4" w:rsidRDefault="00CB53E4" w:rsidP="0031675F">
                          <w:pPr>
                            <w:spacing w:before="7"/>
                            <w:rPr>
                              <w:rFonts w:eastAsia="Arial" w:cs="Arial"/>
                              <w:sz w:val="10"/>
                              <w:szCs w:val="10"/>
                            </w:rPr>
                          </w:pPr>
                          <w:r>
                            <w:rPr>
                              <w:spacing w:val="-1"/>
                              <w:w w:val="95"/>
                              <w:sz w:val="10"/>
                            </w:rPr>
                            <w:t>32</w:t>
                          </w:r>
                        </w:p>
                        <w:p w14:paraId="3080C068" w14:textId="77777777" w:rsidR="00CB53E4" w:rsidRDefault="00CB53E4" w:rsidP="0031675F">
                          <w:pPr>
                            <w:spacing w:before="7"/>
                            <w:rPr>
                              <w:rFonts w:eastAsia="Arial" w:cs="Arial"/>
                              <w:sz w:val="10"/>
                              <w:szCs w:val="10"/>
                            </w:rPr>
                          </w:pPr>
                          <w:r>
                            <w:rPr>
                              <w:spacing w:val="-1"/>
                              <w:w w:val="95"/>
                              <w:sz w:val="10"/>
                            </w:rPr>
                            <w:t>33</w:t>
                          </w:r>
                        </w:p>
                        <w:p w14:paraId="5662292D" w14:textId="77777777" w:rsidR="00CB53E4" w:rsidRDefault="00CB53E4" w:rsidP="0031675F">
                          <w:pPr>
                            <w:spacing w:before="7"/>
                            <w:rPr>
                              <w:rFonts w:eastAsia="Arial" w:cs="Arial"/>
                              <w:sz w:val="10"/>
                              <w:szCs w:val="10"/>
                            </w:rPr>
                          </w:pPr>
                          <w:r>
                            <w:rPr>
                              <w:spacing w:val="-1"/>
                              <w:w w:val="95"/>
                              <w:sz w:val="10"/>
                            </w:rPr>
                            <w:t>34</w:t>
                          </w:r>
                        </w:p>
                        <w:p w14:paraId="0ED2838F" w14:textId="77777777" w:rsidR="00CB53E4" w:rsidRDefault="00CB53E4" w:rsidP="0031675F">
                          <w:pPr>
                            <w:spacing w:before="7"/>
                            <w:rPr>
                              <w:rFonts w:eastAsia="Arial" w:cs="Arial"/>
                              <w:sz w:val="10"/>
                              <w:szCs w:val="10"/>
                            </w:rPr>
                          </w:pPr>
                          <w:r>
                            <w:rPr>
                              <w:spacing w:val="-1"/>
                              <w:w w:val="95"/>
                              <w:sz w:val="10"/>
                            </w:rPr>
                            <w:t>35</w:t>
                          </w:r>
                        </w:p>
                        <w:p w14:paraId="3D0DC11E" w14:textId="77777777" w:rsidR="00CB53E4" w:rsidRDefault="00CB53E4" w:rsidP="0031675F">
                          <w:pPr>
                            <w:spacing w:before="7"/>
                            <w:rPr>
                              <w:rFonts w:eastAsia="Arial" w:cs="Arial"/>
                              <w:sz w:val="10"/>
                              <w:szCs w:val="10"/>
                            </w:rPr>
                          </w:pPr>
                          <w:r>
                            <w:rPr>
                              <w:spacing w:val="-1"/>
                              <w:w w:val="95"/>
                              <w:sz w:val="10"/>
                            </w:rPr>
                            <w:t>36</w:t>
                          </w:r>
                        </w:p>
                        <w:p w14:paraId="53B67044" w14:textId="77777777" w:rsidR="00CB53E4" w:rsidRDefault="00CB53E4" w:rsidP="0031675F">
                          <w:pPr>
                            <w:spacing w:before="7"/>
                            <w:rPr>
                              <w:rFonts w:eastAsia="Arial" w:cs="Arial"/>
                              <w:sz w:val="10"/>
                              <w:szCs w:val="10"/>
                            </w:rPr>
                          </w:pPr>
                          <w:r>
                            <w:rPr>
                              <w:spacing w:val="-1"/>
                              <w:w w:val="95"/>
                              <w:sz w:val="10"/>
                            </w:rPr>
                            <w:t>37</w:t>
                          </w:r>
                        </w:p>
                        <w:p w14:paraId="18FDCEC7" w14:textId="77777777" w:rsidR="00CB53E4" w:rsidRDefault="00CB53E4" w:rsidP="0031675F">
                          <w:pPr>
                            <w:spacing w:before="7"/>
                            <w:rPr>
                              <w:rFonts w:eastAsia="Arial" w:cs="Arial"/>
                              <w:sz w:val="10"/>
                              <w:szCs w:val="10"/>
                            </w:rPr>
                          </w:pPr>
                          <w:r>
                            <w:rPr>
                              <w:spacing w:val="-1"/>
                              <w:w w:val="95"/>
                              <w:sz w:val="10"/>
                            </w:rPr>
                            <w:t>38</w:t>
                          </w:r>
                        </w:p>
                        <w:p w14:paraId="5BF25540" w14:textId="77777777" w:rsidR="00CB53E4" w:rsidRDefault="00CB53E4" w:rsidP="0031675F">
                          <w:pPr>
                            <w:spacing w:before="7"/>
                            <w:rPr>
                              <w:rFonts w:eastAsia="Arial" w:cs="Arial"/>
                              <w:sz w:val="10"/>
                              <w:szCs w:val="10"/>
                            </w:rPr>
                          </w:pPr>
                          <w:r>
                            <w:rPr>
                              <w:spacing w:val="-1"/>
                              <w:w w:val="95"/>
                              <w:sz w:val="10"/>
                            </w:rPr>
                            <w:t>39</w:t>
                          </w:r>
                        </w:p>
                        <w:p w14:paraId="7ABD517D" w14:textId="77777777" w:rsidR="00CB53E4" w:rsidRDefault="00CB53E4" w:rsidP="0031675F">
                          <w:pPr>
                            <w:spacing w:before="7"/>
                            <w:rPr>
                              <w:rFonts w:eastAsia="Arial" w:cs="Arial"/>
                              <w:sz w:val="10"/>
                              <w:szCs w:val="10"/>
                            </w:rPr>
                          </w:pPr>
                          <w:r>
                            <w:rPr>
                              <w:spacing w:val="-1"/>
                              <w:w w:val="95"/>
                              <w:sz w:val="10"/>
                            </w:rPr>
                            <w:t>40</w:t>
                          </w:r>
                        </w:p>
                        <w:p w14:paraId="4BEC0F10" w14:textId="77777777" w:rsidR="00CB53E4" w:rsidRDefault="00CB53E4" w:rsidP="0031675F">
                          <w:pPr>
                            <w:spacing w:before="7"/>
                            <w:rPr>
                              <w:rFonts w:eastAsia="Arial" w:cs="Arial"/>
                              <w:sz w:val="10"/>
                              <w:szCs w:val="10"/>
                            </w:rPr>
                          </w:pPr>
                          <w:r>
                            <w:rPr>
                              <w:spacing w:val="-1"/>
                              <w:w w:val="95"/>
                              <w:sz w:val="10"/>
                            </w:rPr>
                            <w:t>41</w:t>
                          </w:r>
                        </w:p>
                        <w:p w14:paraId="3A0AACF5" w14:textId="77777777" w:rsidR="00CB53E4" w:rsidRDefault="00CB53E4" w:rsidP="0031675F">
                          <w:pPr>
                            <w:spacing w:before="7"/>
                            <w:rPr>
                              <w:rFonts w:eastAsia="Arial" w:cs="Arial"/>
                              <w:sz w:val="10"/>
                              <w:szCs w:val="10"/>
                            </w:rPr>
                          </w:pPr>
                          <w:r>
                            <w:rPr>
                              <w:spacing w:val="-1"/>
                              <w:w w:val="95"/>
                              <w:sz w:val="10"/>
                            </w:rPr>
                            <w:t>42</w:t>
                          </w:r>
                        </w:p>
                        <w:p w14:paraId="469A0C2B" w14:textId="77777777" w:rsidR="00CB53E4" w:rsidRDefault="00CB53E4" w:rsidP="0031675F">
                          <w:pPr>
                            <w:spacing w:before="7"/>
                            <w:rPr>
                              <w:rFonts w:eastAsia="Arial" w:cs="Arial"/>
                              <w:sz w:val="10"/>
                              <w:szCs w:val="10"/>
                            </w:rPr>
                          </w:pPr>
                          <w:r>
                            <w:rPr>
                              <w:spacing w:val="-1"/>
                              <w:w w:val="95"/>
                              <w:sz w:val="10"/>
                            </w:rPr>
                            <w:t>43</w:t>
                          </w:r>
                        </w:p>
                        <w:p w14:paraId="1ED1AD4F" w14:textId="77777777" w:rsidR="00CB53E4" w:rsidRDefault="00CB53E4" w:rsidP="0031675F">
                          <w:pPr>
                            <w:spacing w:before="7"/>
                            <w:rPr>
                              <w:rFonts w:eastAsia="Arial" w:cs="Arial"/>
                              <w:sz w:val="10"/>
                              <w:szCs w:val="10"/>
                            </w:rPr>
                          </w:pPr>
                          <w:r>
                            <w:rPr>
                              <w:spacing w:val="-1"/>
                              <w:w w:val="95"/>
                              <w:sz w:val="10"/>
                            </w:rPr>
                            <w:t>44</w:t>
                          </w:r>
                        </w:p>
                        <w:p w14:paraId="6CF26173" w14:textId="77777777" w:rsidR="00CB53E4" w:rsidRDefault="00CB53E4" w:rsidP="0031675F">
                          <w:pPr>
                            <w:spacing w:before="7"/>
                            <w:rPr>
                              <w:rFonts w:eastAsia="Arial" w:cs="Arial"/>
                              <w:sz w:val="10"/>
                              <w:szCs w:val="10"/>
                            </w:rPr>
                          </w:pPr>
                          <w:r>
                            <w:rPr>
                              <w:spacing w:val="-1"/>
                              <w:w w:val="95"/>
                              <w:sz w:val="10"/>
                            </w:rPr>
                            <w:t>45</w:t>
                          </w:r>
                        </w:p>
                        <w:p w14:paraId="299169FF" w14:textId="77777777" w:rsidR="00CB53E4" w:rsidRDefault="00CB53E4" w:rsidP="0031675F">
                          <w:pPr>
                            <w:spacing w:before="7"/>
                            <w:rPr>
                              <w:rFonts w:eastAsia="Arial" w:cs="Arial"/>
                              <w:sz w:val="10"/>
                              <w:szCs w:val="10"/>
                            </w:rPr>
                          </w:pPr>
                          <w:r>
                            <w:rPr>
                              <w:spacing w:val="-1"/>
                              <w:w w:val="95"/>
                              <w:sz w:val="10"/>
                            </w:rPr>
                            <w:t>46</w:t>
                          </w:r>
                        </w:p>
                        <w:p w14:paraId="4A9C20CC" w14:textId="77777777" w:rsidR="00CB53E4" w:rsidRDefault="00CB53E4" w:rsidP="0031675F">
                          <w:pPr>
                            <w:spacing w:before="7"/>
                            <w:rPr>
                              <w:rFonts w:eastAsia="Arial" w:cs="Arial"/>
                              <w:sz w:val="10"/>
                              <w:szCs w:val="10"/>
                            </w:rPr>
                          </w:pPr>
                          <w:r>
                            <w:rPr>
                              <w:spacing w:val="-1"/>
                              <w:w w:val="95"/>
                              <w:sz w:val="10"/>
                            </w:rPr>
                            <w:t>47</w:t>
                          </w:r>
                        </w:p>
                        <w:p w14:paraId="62A2FEAF" w14:textId="77777777" w:rsidR="00CB53E4" w:rsidRDefault="00CB53E4" w:rsidP="0031675F">
                          <w:pPr>
                            <w:spacing w:before="7"/>
                            <w:rPr>
                              <w:rFonts w:eastAsia="Arial" w:cs="Arial"/>
                              <w:sz w:val="10"/>
                              <w:szCs w:val="10"/>
                            </w:rPr>
                          </w:pPr>
                          <w:r>
                            <w:rPr>
                              <w:spacing w:val="-1"/>
                              <w:w w:val="95"/>
                              <w:sz w:val="10"/>
                            </w:rPr>
                            <w:t>48</w:t>
                          </w:r>
                        </w:p>
                        <w:p w14:paraId="221171D8" w14:textId="77777777" w:rsidR="00CB53E4" w:rsidRDefault="00CB53E4" w:rsidP="0031675F">
                          <w:pPr>
                            <w:spacing w:before="7"/>
                            <w:rPr>
                              <w:rFonts w:eastAsia="Arial" w:cs="Arial"/>
                              <w:sz w:val="10"/>
                              <w:szCs w:val="10"/>
                            </w:rPr>
                          </w:pPr>
                          <w:r>
                            <w:rPr>
                              <w:spacing w:val="-1"/>
                              <w:w w:val="95"/>
                              <w:sz w:val="10"/>
                            </w:rPr>
                            <w:t>49</w:t>
                          </w:r>
                        </w:p>
                        <w:p w14:paraId="12491F06" w14:textId="77777777" w:rsidR="00CB53E4" w:rsidRDefault="00CB53E4" w:rsidP="0031675F">
                          <w:pPr>
                            <w:spacing w:before="7"/>
                            <w:rPr>
                              <w:rFonts w:eastAsia="Arial" w:cs="Arial"/>
                              <w:sz w:val="10"/>
                              <w:szCs w:val="10"/>
                            </w:rPr>
                          </w:pPr>
                          <w:r>
                            <w:rPr>
                              <w:spacing w:val="-1"/>
                              <w:w w:val="95"/>
                              <w:sz w:val="10"/>
                            </w:rPr>
                            <w:t>50</w:t>
                          </w:r>
                        </w:p>
                        <w:p w14:paraId="1A37DB76" w14:textId="77777777" w:rsidR="00CB53E4" w:rsidRDefault="00CB53E4" w:rsidP="0031675F">
                          <w:pPr>
                            <w:spacing w:before="7"/>
                            <w:rPr>
                              <w:rFonts w:eastAsia="Arial" w:cs="Arial"/>
                              <w:sz w:val="10"/>
                              <w:szCs w:val="10"/>
                            </w:rPr>
                          </w:pPr>
                          <w:r>
                            <w:rPr>
                              <w:spacing w:val="-1"/>
                              <w:w w:val="95"/>
                              <w:sz w:val="10"/>
                            </w:rPr>
                            <w:t>51</w:t>
                          </w:r>
                        </w:p>
                        <w:p w14:paraId="6BEAECC5" w14:textId="77777777" w:rsidR="00CB53E4" w:rsidRDefault="00CB53E4" w:rsidP="0031675F">
                          <w:pPr>
                            <w:spacing w:before="7"/>
                            <w:rPr>
                              <w:rFonts w:eastAsia="Arial" w:cs="Arial"/>
                              <w:sz w:val="10"/>
                              <w:szCs w:val="10"/>
                            </w:rPr>
                          </w:pPr>
                          <w:r>
                            <w:rPr>
                              <w:spacing w:val="-1"/>
                              <w:w w:val="95"/>
                              <w:sz w:val="10"/>
                            </w:rPr>
                            <w:t>52</w:t>
                          </w:r>
                        </w:p>
                        <w:p w14:paraId="2E8A3688" w14:textId="77777777" w:rsidR="00CB53E4" w:rsidRDefault="00CB53E4" w:rsidP="0031675F">
                          <w:pPr>
                            <w:spacing w:before="7"/>
                            <w:rPr>
                              <w:rFonts w:eastAsia="Arial" w:cs="Arial"/>
                              <w:sz w:val="10"/>
                              <w:szCs w:val="10"/>
                            </w:rPr>
                          </w:pPr>
                          <w:r>
                            <w:rPr>
                              <w:spacing w:val="-1"/>
                              <w:w w:val="95"/>
                              <w:sz w:val="10"/>
                            </w:rPr>
                            <w:t>53</w:t>
                          </w:r>
                        </w:p>
                        <w:p w14:paraId="075AC7B7" w14:textId="77777777" w:rsidR="00CB53E4" w:rsidRDefault="00CB53E4" w:rsidP="0031675F">
                          <w:pPr>
                            <w:spacing w:before="7"/>
                            <w:rPr>
                              <w:rFonts w:eastAsia="Arial" w:cs="Arial"/>
                              <w:sz w:val="10"/>
                              <w:szCs w:val="10"/>
                            </w:rPr>
                          </w:pPr>
                          <w:r>
                            <w:rPr>
                              <w:spacing w:val="-1"/>
                              <w:w w:val="95"/>
                              <w:sz w:val="10"/>
                            </w:rPr>
                            <w:t>54</w:t>
                          </w:r>
                        </w:p>
                        <w:p w14:paraId="40AC75D2" w14:textId="77777777" w:rsidR="00CB53E4" w:rsidRDefault="00CB53E4" w:rsidP="0031675F">
                          <w:pPr>
                            <w:spacing w:before="7"/>
                            <w:rPr>
                              <w:rFonts w:eastAsia="Arial" w:cs="Arial"/>
                              <w:sz w:val="10"/>
                              <w:szCs w:val="10"/>
                            </w:rPr>
                          </w:pPr>
                          <w:r>
                            <w:rPr>
                              <w:spacing w:val="-1"/>
                              <w:w w:val="95"/>
                              <w:sz w:val="10"/>
                            </w:rPr>
                            <w:t>55</w:t>
                          </w:r>
                        </w:p>
                        <w:p w14:paraId="3330D7ED" w14:textId="77777777" w:rsidR="00CB53E4" w:rsidRDefault="00CB53E4" w:rsidP="0031675F">
                          <w:pPr>
                            <w:spacing w:before="7"/>
                            <w:rPr>
                              <w:rFonts w:eastAsia="Arial" w:cs="Arial"/>
                              <w:sz w:val="10"/>
                              <w:szCs w:val="10"/>
                            </w:rPr>
                          </w:pPr>
                          <w:r>
                            <w:rPr>
                              <w:spacing w:val="-1"/>
                              <w:w w:val="95"/>
                              <w:sz w:val="10"/>
                            </w:rPr>
                            <w:t>56</w:t>
                          </w:r>
                        </w:p>
                        <w:p w14:paraId="73D86261" w14:textId="77777777" w:rsidR="00CB53E4" w:rsidRDefault="00CB53E4" w:rsidP="0031675F">
                          <w:pPr>
                            <w:spacing w:before="7"/>
                            <w:rPr>
                              <w:rFonts w:eastAsia="Arial" w:cs="Arial"/>
                              <w:sz w:val="10"/>
                              <w:szCs w:val="10"/>
                            </w:rPr>
                          </w:pPr>
                          <w:r>
                            <w:rPr>
                              <w:spacing w:val="-1"/>
                              <w:w w:val="95"/>
                              <w:sz w:val="10"/>
                            </w:rPr>
                            <w:t>57</w:t>
                          </w:r>
                        </w:p>
                        <w:p w14:paraId="4F4327C9" w14:textId="77777777" w:rsidR="00CB53E4" w:rsidRDefault="00CB53E4" w:rsidP="0031675F">
                          <w:pPr>
                            <w:spacing w:before="7"/>
                            <w:rPr>
                              <w:rFonts w:eastAsia="Arial" w:cs="Arial"/>
                              <w:sz w:val="10"/>
                              <w:szCs w:val="10"/>
                            </w:rPr>
                          </w:pPr>
                          <w:r>
                            <w:rPr>
                              <w:spacing w:val="-1"/>
                              <w:w w:val="95"/>
                              <w:sz w:val="10"/>
                            </w:rPr>
                            <w:t>58</w:t>
                          </w:r>
                        </w:p>
                        <w:p w14:paraId="5E5A304C" w14:textId="77777777" w:rsidR="00CB53E4" w:rsidRDefault="00CB53E4" w:rsidP="0031675F">
                          <w:pPr>
                            <w:spacing w:before="7"/>
                            <w:rPr>
                              <w:rFonts w:eastAsia="Arial" w:cs="Arial"/>
                              <w:sz w:val="10"/>
                              <w:szCs w:val="10"/>
                            </w:rPr>
                          </w:pPr>
                          <w:r>
                            <w:rPr>
                              <w:spacing w:val="-1"/>
                              <w:w w:val="95"/>
                              <w:sz w:val="10"/>
                            </w:rPr>
                            <w:t>59</w:t>
                          </w:r>
                        </w:p>
                        <w:p w14:paraId="44FBAB20" w14:textId="77777777" w:rsidR="00CB53E4" w:rsidRDefault="00CB53E4" w:rsidP="0031675F">
                          <w:pPr>
                            <w:spacing w:before="7"/>
                            <w:rPr>
                              <w:rFonts w:eastAsia="Arial" w:cs="Arial"/>
                              <w:sz w:val="10"/>
                              <w:szCs w:val="10"/>
                            </w:rPr>
                          </w:pPr>
                          <w:r>
                            <w:rPr>
                              <w:spacing w:val="-1"/>
                              <w:w w:val="95"/>
                              <w:sz w:val="10"/>
                            </w:rPr>
                            <w:t>60</w:t>
                          </w:r>
                        </w:p>
                        <w:p w14:paraId="05E0CA76" w14:textId="77777777" w:rsidR="00CB53E4" w:rsidRDefault="00CB53E4" w:rsidP="0031675F">
                          <w:pPr>
                            <w:spacing w:before="7"/>
                            <w:rPr>
                              <w:rFonts w:eastAsia="Arial" w:cs="Arial"/>
                              <w:sz w:val="10"/>
                              <w:szCs w:val="10"/>
                            </w:rPr>
                          </w:pPr>
                          <w:r>
                            <w:rPr>
                              <w:spacing w:val="-1"/>
                              <w:w w:val="95"/>
                              <w:sz w:val="10"/>
                            </w:rPr>
                            <w:t>61</w:t>
                          </w:r>
                        </w:p>
                        <w:p w14:paraId="1BC3D08F" w14:textId="77777777" w:rsidR="00CB53E4" w:rsidRDefault="00CB53E4" w:rsidP="0031675F">
                          <w:pPr>
                            <w:spacing w:before="7"/>
                            <w:rPr>
                              <w:rFonts w:eastAsia="Arial" w:cs="Arial"/>
                              <w:sz w:val="10"/>
                              <w:szCs w:val="10"/>
                            </w:rPr>
                          </w:pPr>
                          <w:r>
                            <w:rPr>
                              <w:spacing w:val="-1"/>
                              <w:w w:val="95"/>
                              <w:sz w:val="10"/>
                            </w:rPr>
                            <w:t>62</w:t>
                          </w:r>
                        </w:p>
                        <w:p w14:paraId="4224C090" w14:textId="77777777" w:rsidR="00CB53E4" w:rsidRDefault="00CB53E4" w:rsidP="0031675F">
                          <w:pPr>
                            <w:spacing w:before="7"/>
                            <w:rPr>
                              <w:rFonts w:eastAsia="Arial" w:cs="Arial"/>
                              <w:sz w:val="10"/>
                              <w:szCs w:val="10"/>
                            </w:rPr>
                          </w:pPr>
                          <w:r>
                            <w:rPr>
                              <w:spacing w:val="-1"/>
                              <w:w w:val="95"/>
                              <w:sz w:val="10"/>
                            </w:rPr>
                            <w:t>63</w:t>
                          </w:r>
                        </w:p>
                        <w:p w14:paraId="16FC1A26" w14:textId="77777777" w:rsidR="00CB53E4" w:rsidRDefault="00CB53E4" w:rsidP="0031675F">
                          <w:pPr>
                            <w:spacing w:before="7"/>
                            <w:rPr>
                              <w:rFonts w:eastAsia="Arial" w:cs="Arial"/>
                              <w:sz w:val="10"/>
                              <w:szCs w:val="10"/>
                            </w:rPr>
                          </w:pPr>
                          <w:r>
                            <w:rPr>
                              <w:spacing w:val="-1"/>
                              <w:w w:val="95"/>
                              <w:sz w:val="10"/>
                            </w:rPr>
                            <w:t>64</w:t>
                          </w:r>
                        </w:p>
                        <w:p w14:paraId="6083E25E" w14:textId="77777777" w:rsidR="00CB53E4" w:rsidRDefault="00CB53E4" w:rsidP="0031675F">
                          <w:pPr>
                            <w:spacing w:before="7"/>
                            <w:rPr>
                              <w:rFonts w:eastAsia="Arial" w:cs="Arial"/>
                              <w:sz w:val="10"/>
                              <w:szCs w:val="10"/>
                            </w:rPr>
                          </w:pPr>
                          <w:r>
                            <w:rPr>
                              <w:spacing w:val="-1"/>
                              <w:w w:val="95"/>
                              <w:sz w:val="10"/>
                            </w:rPr>
                            <w:t>65</w:t>
                          </w:r>
                        </w:p>
                        <w:p w14:paraId="3E9023B0" w14:textId="77777777" w:rsidR="00CB53E4" w:rsidRDefault="00CB53E4" w:rsidP="0031675F">
                          <w:pPr>
                            <w:spacing w:before="7"/>
                            <w:rPr>
                              <w:rFonts w:eastAsia="Arial" w:cs="Arial"/>
                              <w:sz w:val="10"/>
                              <w:szCs w:val="10"/>
                            </w:rPr>
                          </w:pPr>
                          <w:r>
                            <w:rPr>
                              <w:spacing w:val="-1"/>
                              <w:w w:val="95"/>
                              <w:sz w:val="10"/>
                            </w:rPr>
                            <w:t>66</w:t>
                          </w:r>
                        </w:p>
                        <w:p w14:paraId="3AB5F439" w14:textId="77777777" w:rsidR="00CB53E4" w:rsidRDefault="00CB53E4" w:rsidP="0031675F">
                          <w:pPr>
                            <w:spacing w:before="7"/>
                            <w:rPr>
                              <w:rFonts w:eastAsia="Arial" w:cs="Arial"/>
                              <w:sz w:val="10"/>
                              <w:szCs w:val="10"/>
                            </w:rPr>
                          </w:pPr>
                          <w:r>
                            <w:rPr>
                              <w:spacing w:val="-1"/>
                              <w:w w:val="95"/>
                              <w:sz w:val="10"/>
                            </w:rPr>
                            <w:t>67</w:t>
                          </w:r>
                        </w:p>
                        <w:p w14:paraId="71670E03" w14:textId="77777777" w:rsidR="00CB53E4" w:rsidRDefault="00CB53E4" w:rsidP="0031675F">
                          <w:pPr>
                            <w:spacing w:before="7"/>
                            <w:rPr>
                              <w:rFonts w:eastAsia="Arial" w:cs="Arial"/>
                              <w:sz w:val="10"/>
                              <w:szCs w:val="10"/>
                            </w:rPr>
                          </w:pPr>
                          <w:r>
                            <w:rPr>
                              <w:spacing w:val="-1"/>
                              <w:w w:val="95"/>
                              <w:sz w:val="10"/>
                            </w:rPr>
                            <w:t>68</w:t>
                          </w:r>
                        </w:p>
                        <w:p w14:paraId="19918B18" w14:textId="77777777" w:rsidR="00CB53E4" w:rsidRDefault="00CB53E4" w:rsidP="0031675F">
                          <w:pPr>
                            <w:spacing w:before="7"/>
                            <w:rPr>
                              <w:rFonts w:eastAsia="Arial" w:cs="Arial"/>
                              <w:sz w:val="10"/>
                              <w:szCs w:val="10"/>
                            </w:rPr>
                          </w:pPr>
                          <w:r>
                            <w:rPr>
                              <w:spacing w:val="-1"/>
                              <w:w w:val="95"/>
                              <w:sz w:val="10"/>
                            </w:rPr>
                            <w:t>69</w:t>
                          </w:r>
                        </w:p>
                        <w:p w14:paraId="7F91D0E3" w14:textId="77777777" w:rsidR="00CB53E4" w:rsidRDefault="00CB53E4" w:rsidP="0031675F">
                          <w:pPr>
                            <w:spacing w:before="7"/>
                            <w:rPr>
                              <w:rFonts w:eastAsia="Arial" w:cs="Arial"/>
                              <w:sz w:val="10"/>
                              <w:szCs w:val="10"/>
                            </w:rPr>
                          </w:pPr>
                          <w:r>
                            <w:rPr>
                              <w:spacing w:val="-1"/>
                              <w:w w:val="95"/>
                              <w:sz w:val="10"/>
                            </w:rPr>
                            <w:t>70</w:t>
                          </w:r>
                        </w:p>
                        <w:p w14:paraId="18078503" w14:textId="77777777" w:rsidR="00CB53E4" w:rsidRDefault="00CB53E4" w:rsidP="0031675F">
                          <w:pPr>
                            <w:spacing w:before="7"/>
                            <w:rPr>
                              <w:rFonts w:eastAsia="Arial" w:cs="Arial"/>
                              <w:sz w:val="10"/>
                              <w:szCs w:val="10"/>
                            </w:rPr>
                          </w:pPr>
                          <w:r>
                            <w:rPr>
                              <w:spacing w:val="-1"/>
                              <w:w w:val="95"/>
                              <w:sz w:val="10"/>
                            </w:rPr>
                            <w:t>71</w:t>
                          </w:r>
                        </w:p>
                        <w:p w14:paraId="738670F8" w14:textId="77777777" w:rsidR="00CB53E4" w:rsidRDefault="00CB53E4" w:rsidP="0031675F">
                          <w:pPr>
                            <w:spacing w:before="7"/>
                            <w:rPr>
                              <w:rFonts w:eastAsia="Arial" w:cs="Arial"/>
                              <w:sz w:val="10"/>
                              <w:szCs w:val="10"/>
                            </w:rPr>
                          </w:pPr>
                          <w:r>
                            <w:rPr>
                              <w:spacing w:val="-1"/>
                              <w:w w:val="95"/>
                              <w:sz w:val="10"/>
                            </w:rPr>
                            <w:t>72</w:t>
                          </w:r>
                        </w:p>
                        <w:p w14:paraId="07A8D2BB" w14:textId="77777777" w:rsidR="00CB53E4" w:rsidRDefault="00CB53E4" w:rsidP="0031675F">
                          <w:pPr>
                            <w:spacing w:before="7"/>
                            <w:rPr>
                              <w:rFonts w:eastAsia="Arial" w:cs="Arial"/>
                              <w:sz w:val="10"/>
                              <w:szCs w:val="10"/>
                            </w:rPr>
                          </w:pPr>
                          <w:r>
                            <w:rPr>
                              <w:spacing w:val="-1"/>
                              <w:w w:val="95"/>
                              <w:sz w:val="10"/>
                            </w:rPr>
                            <w:t>73</w:t>
                          </w:r>
                        </w:p>
                        <w:p w14:paraId="72A9147D" w14:textId="77777777" w:rsidR="00CB53E4" w:rsidRDefault="00CB53E4" w:rsidP="0031675F">
                          <w:pPr>
                            <w:spacing w:before="7"/>
                            <w:rPr>
                              <w:rFonts w:eastAsia="Arial" w:cs="Arial"/>
                              <w:sz w:val="10"/>
                              <w:szCs w:val="10"/>
                            </w:rPr>
                          </w:pPr>
                          <w:r>
                            <w:rPr>
                              <w:spacing w:val="-1"/>
                              <w:w w:val="95"/>
                              <w:sz w:val="10"/>
                            </w:rPr>
                            <w:t>74</w:t>
                          </w:r>
                        </w:p>
                        <w:p w14:paraId="5B840754" w14:textId="77777777" w:rsidR="00CB53E4" w:rsidRDefault="00CB53E4" w:rsidP="0031675F">
                          <w:pPr>
                            <w:spacing w:before="7"/>
                            <w:rPr>
                              <w:rFonts w:eastAsia="Arial" w:cs="Arial"/>
                              <w:sz w:val="10"/>
                              <w:szCs w:val="10"/>
                            </w:rPr>
                          </w:pPr>
                          <w:r>
                            <w:rPr>
                              <w:spacing w:val="-1"/>
                              <w:w w:val="95"/>
                              <w:sz w:val="10"/>
                            </w:rPr>
                            <w:t>75</w:t>
                          </w:r>
                        </w:p>
                        <w:p w14:paraId="731A0E89" w14:textId="77777777" w:rsidR="00CB53E4" w:rsidRDefault="00CB53E4" w:rsidP="0031675F">
                          <w:pPr>
                            <w:spacing w:before="7"/>
                            <w:rPr>
                              <w:rFonts w:eastAsia="Arial" w:cs="Arial"/>
                              <w:sz w:val="10"/>
                              <w:szCs w:val="10"/>
                            </w:rPr>
                          </w:pPr>
                          <w:r>
                            <w:rPr>
                              <w:spacing w:val="-1"/>
                              <w:w w:val="95"/>
                              <w:sz w:val="10"/>
                            </w:rPr>
                            <w:t>76</w:t>
                          </w:r>
                        </w:p>
                        <w:p w14:paraId="49AC829F" w14:textId="77777777" w:rsidR="00CB53E4" w:rsidRDefault="00CB53E4" w:rsidP="0031675F">
                          <w:pPr>
                            <w:spacing w:before="7"/>
                            <w:rPr>
                              <w:rFonts w:eastAsia="Arial" w:cs="Arial"/>
                              <w:sz w:val="10"/>
                              <w:szCs w:val="10"/>
                            </w:rPr>
                          </w:pPr>
                          <w:r>
                            <w:rPr>
                              <w:spacing w:val="-1"/>
                              <w:w w:val="95"/>
                              <w:sz w:val="10"/>
                            </w:rPr>
                            <w:t>77</w:t>
                          </w:r>
                        </w:p>
                        <w:p w14:paraId="7A1BFA7B" w14:textId="77777777" w:rsidR="00CB53E4" w:rsidRDefault="00CB53E4" w:rsidP="0031675F">
                          <w:pPr>
                            <w:spacing w:before="7" w:line="112" w:lineRule="exact"/>
                            <w:rPr>
                              <w:rFonts w:eastAsia="Arial" w:cs="Arial"/>
                              <w:sz w:val="10"/>
                              <w:szCs w:val="10"/>
                            </w:rPr>
                          </w:pPr>
                          <w:r>
                            <w:rPr>
                              <w:spacing w:val="-1"/>
                              <w:w w:val="95"/>
                              <w:sz w:val="10"/>
                            </w:rPr>
                            <w:t>78</w:t>
                          </w:r>
                        </w:p>
                      </w:txbxContent>
                    </v:textbox>
                  </v:shape>
                  <v:shape id="Text Box 8449" o:spid="_x0000_s1648" type="#_x0000_t202" style="position:absolute;left:7423;top:958;width:186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THA8gA&#10;AADeAAAADwAAAGRycy9kb3ducmV2LnhtbESPQWvCQBCF70L/wzKF3nTTFqxNXUVKC4Igjemhx2l2&#10;TBazs2l2q/HfOwfB2wzz5r33zZeDb9WR+ugCG3icZKCIq2Ad1wa+y8/xDFRMyBbbwGTgTBGWi7vR&#10;HHMbTlzQcZdqJSYcczTQpNTlWseqIY9xEjpiue1D7zHJ2tfa9ngSc9/qpyybao+OJaHBjt4bqg67&#10;f29g9cPFh/vb/n4V+8KV5WvGm+nBmIf7YfUGKtGQbuLr99pK/dnziwAIjsygF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95McDyAAAAN4AAAAPAAAAAAAAAAAAAAAAAJgCAABk&#10;cnMvZG93bnJldi54bWxQSwUGAAAAAAQABAD1AAAAjQMAAAAA&#10;" filled="f" stroked="f">
                    <v:textbox inset="0,0,0,0">
                      <w:txbxContent>
                        <w:p w14:paraId="2AF05363" w14:textId="77777777" w:rsidR="00CB53E4" w:rsidRDefault="00CB53E4" w:rsidP="0031675F">
                          <w:pPr>
                            <w:spacing w:line="89" w:lineRule="exact"/>
                            <w:rPr>
                              <w:rFonts w:eastAsia="Arial" w:cs="Arial"/>
                              <w:sz w:val="9"/>
                              <w:szCs w:val="9"/>
                            </w:rPr>
                          </w:pPr>
                          <w:r>
                            <w:rPr>
                              <w:sz w:val="9"/>
                            </w:rPr>
                            <w:t>y</w:t>
                          </w:r>
                          <w:r>
                            <w:rPr>
                              <w:spacing w:val="-6"/>
                              <w:sz w:val="9"/>
                            </w:rPr>
                            <w:t xml:space="preserve"> </w:t>
                          </w:r>
                          <w:r>
                            <w:rPr>
                              <w:sz w:val="9"/>
                            </w:rPr>
                            <w:t>=</w:t>
                          </w:r>
                          <w:r>
                            <w:rPr>
                              <w:spacing w:val="-5"/>
                              <w:sz w:val="9"/>
                            </w:rPr>
                            <w:t xml:space="preserve"> </w:t>
                          </w:r>
                          <w:r>
                            <w:rPr>
                              <w:sz w:val="9"/>
                            </w:rPr>
                            <w:t>0.00005550x</w:t>
                          </w:r>
                          <w:r>
                            <w:rPr>
                              <w:spacing w:val="21"/>
                              <w:sz w:val="9"/>
                            </w:rPr>
                            <w:t xml:space="preserve"> </w:t>
                          </w:r>
                          <w:r>
                            <w:rPr>
                              <w:sz w:val="9"/>
                            </w:rPr>
                            <w:t>-</w:t>
                          </w:r>
                          <w:r>
                            <w:rPr>
                              <w:spacing w:val="-4"/>
                              <w:sz w:val="9"/>
                            </w:rPr>
                            <w:t xml:space="preserve"> </w:t>
                          </w:r>
                          <w:r>
                            <w:rPr>
                              <w:sz w:val="9"/>
                            </w:rPr>
                            <w:t>0.00643085x</w:t>
                          </w:r>
                          <w:r>
                            <w:rPr>
                              <w:spacing w:val="-8"/>
                              <w:sz w:val="9"/>
                            </w:rPr>
                            <w:t xml:space="preserve"> </w:t>
                          </w:r>
                          <w:r>
                            <w:rPr>
                              <w:sz w:val="9"/>
                            </w:rPr>
                            <w:t>+</w:t>
                          </w:r>
                          <w:r>
                            <w:rPr>
                              <w:spacing w:val="-4"/>
                              <w:sz w:val="9"/>
                            </w:rPr>
                            <w:t xml:space="preserve"> </w:t>
                          </w:r>
                          <w:r>
                            <w:rPr>
                              <w:sz w:val="9"/>
                            </w:rPr>
                            <w:t>0.56106944</w:t>
                          </w:r>
                        </w:p>
                      </w:txbxContent>
                    </v:textbox>
                  </v:shape>
                  <v:shape id="Text Box 8448" o:spid="_x0000_s1649" type="#_x0000_t202" style="position:absolute;left:6729;top:1058;width:164;height:11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himMQA&#10;AADeAAAADwAAAGRycy9kb3ducmV2LnhtbERPTWvCQBC9C/6HZQRvutGC2ugqIi0IQjGmhx7H7Jgs&#10;ZmfT7Krpv+8WhN7m8T5ntelsLe7UeuNYwWScgCAunDZcKvjM30cLED4ga6wdk4If8rBZ93srTLV7&#10;cEb3UyhFDGGfooIqhCaV0hcVWfRj1xBH7uJaiyHCtpS6xUcMt7WcJslMWjQcGypsaFdRcT3drILt&#10;F2dv5vvjfMwumcnz14QPs6tSw0G3XYII1IV/8dO913H+4mU+gb934g1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oYpjEAAAA3gAAAA8AAAAAAAAAAAAAAAAAmAIAAGRycy9k&#10;b3ducmV2LnhtbFBLBQYAAAAABAAEAPUAAACJAwAAAAA=&#10;" filled="f" stroked="f">
                    <v:textbox inset="0,0,0,0">
                      <w:txbxContent>
                        <w:p w14:paraId="1E6C2E32" w14:textId="77777777" w:rsidR="00CB53E4" w:rsidRDefault="00CB53E4" w:rsidP="0031675F">
                          <w:pPr>
                            <w:spacing w:line="85" w:lineRule="exact"/>
                            <w:rPr>
                              <w:rFonts w:eastAsia="Arial" w:cs="Arial"/>
                              <w:sz w:val="8"/>
                              <w:szCs w:val="8"/>
                            </w:rPr>
                          </w:pPr>
                          <w:r>
                            <w:rPr>
                              <w:spacing w:val="-1"/>
                              <w:w w:val="105"/>
                              <w:sz w:val="8"/>
                            </w:rPr>
                            <w:t>0.60</w:t>
                          </w:r>
                        </w:p>
                        <w:p w14:paraId="3734F368" w14:textId="77777777" w:rsidR="00CB53E4" w:rsidRDefault="00CB53E4" w:rsidP="0031675F">
                          <w:pPr>
                            <w:spacing w:before="11"/>
                            <w:rPr>
                              <w:rFonts w:eastAsia="Arial" w:cs="Arial"/>
                              <w:b/>
                              <w:bCs/>
                              <w:sz w:val="7"/>
                              <w:szCs w:val="7"/>
                            </w:rPr>
                          </w:pPr>
                        </w:p>
                        <w:p w14:paraId="056A9BF3" w14:textId="77777777" w:rsidR="00CB53E4" w:rsidRDefault="00CB53E4" w:rsidP="0031675F">
                          <w:pPr>
                            <w:rPr>
                              <w:rFonts w:eastAsia="Arial" w:cs="Arial"/>
                              <w:sz w:val="8"/>
                              <w:szCs w:val="8"/>
                            </w:rPr>
                          </w:pPr>
                          <w:r>
                            <w:rPr>
                              <w:spacing w:val="-1"/>
                              <w:w w:val="105"/>
                              <w:sz w:val="8"/>
                            </w:rPr>
                            <w:t>0.50</w:t>
                          </w:r>
                        </w:p>
                        <w:p w14:paraId="65ED7179" w14:textId="77777777" w:rsidR="00CB53E4" w:rsidRDefault="00CB53E4" w:rsidP="0031675F">
                          <w:pPr>
                            <w:spacing w:before="11"/>
                            <w:rPr>
                              <w:rFonts w:eastAsia="Arial" w:cs="Arial"/>
                              <w:b/>
                              <w:bCs/>
                              <w:sz w:val="7"/>
                              <w:szCs w:val="7"/>
                            </w:rPr>
                          </w:pPr>
                        </w:p>
                        <w:p w14:paraId="612711A3" w14:textId="77777777" w:rsidR="00CB53E4" w:rsidRDefault="00CB53E4" w:rsidP="0031675F">
                          <w:pPr>
                            <w:rPr>
                              <w:rFonts w:eastAsia="Arial" w:cs="Arial"/>
                              <w:sz w:val="8"/>
                              <w:szCs w:val="8"/>
                            </w:rPr>
                          </w:pPr>
                          <w:r>
                            <w:rPr>
                              <w:spacing w:val="-1"/>
                              <w:w w:val="105"/>
                              <w:sz w:val="8"/>
                            </w:rPr>
                            <w:t>0.40</w:t>
                          </w:r>
                        </w:p>
                        <w:p w14:paraId="32DC7C86" w14:textId="77777777" w:rsidR="00CB53E4" w:rsidRDefault="00CB53E4" w:rsidP="0031675F">
                          <w:pPr>
                            <w:spacing w:before="11"/>
                            <w:rPr>
                              <w:rFonts w:eastAsia="Arial" w:cs="Arial"/>
                              <w:b/>
                              <w:bCs/>
                              <w:sz w:val="7"/>
                              <w:szCs w:val="7"/>
                            </w:rPr>
                          </w:pPr>
                        </w:p>
                        <w:p w14:paraId="4FA1E025" w14:textId="77777777" w:rsidR="00CB53E4" w:rsidRDefault="00CB53E4" w:rsidP="0031675F">
                          <w:pPr>
                            <w:rPr>
                              <w:rFonts w:eastAsia="Arial" w:cs="Arial"/>
                              <w:sz w:val="8"/>
                              <w:szCs w:val="8"/>
                            </w:rPr>
                          </w:pPr>
                          <w:r>
                            <w:rPr>
                              <w:spacing w:val="-1"/>
                              <w:w w:val="105"/>
                              <w:sz w:val="8"/>
                            </w:rPr>
                            <w:t>0.30</w:t>
                          </w:r>
                        </w:p>
                        <w:p w14:paraId="1020BF84" w14:textId="77777777" w:rsidR="00CB53E4" w:rsidRDefault="00CB53E4" w:rsidP="0031675F">
                          <w:pPr>
                            <w:spacing w:before="1"/>
                            <w:rPr>
                              <w:rFonts w:eastAsia="Arial" w:cs="Arial"/>
                              <w:b/>
                              <w:bCs/>
                              <w:sz w:val="8"/>
                              <w:szCs w:val="8"/>
                            </w:rPr>
                          </w:pPr>
                        </w:p>
                        <w:p w14:paraId="535FD6C9" w14:textId="77777777" w:rsidR="00CB53E4" w:rsidRDefault="00CB53E4" w:rsidP="0031675F">
                          <w:pPr>
                            <w:rPr>
                              <w:rFonts w:eastAsia="Arial" w:cs="Arial"/>
                              <w:sz w:val="8"/>
                              <w:szCs w:val="8"/>
                            </w:rPr>
                          </w:pPr>
                          <w:r>
                            <w:rPr>
                              <w:spacing w:val="-1"/>
                              <w:w w:val="105"/>
                              <w:sz w:val="8"/>
                            </w:rPr>
                            <w:t>0.20</w:t>
                          </w:r>
                        </w:p>
                        <w:p w14:paraId="1EBFC0D4" w14:textId="77777777" w:rsidR="00CB53E4" w:rsidRDefault="00CB53E4" w:rsidP="0031675F">
                          <w:pPr>
                            <w:spacing w:before="11"/>
                            <w:rPr>
                              <w:rFonts w:eastAsia="Arial" w:cs="Arial"/>
                              <w:b/>
                              <w:bCs/>
                              <w:sz w:val="7"/>
                              <w:szCs w:val="7"/>
                            </w:rPr>
                          </w:pPr>
                        </w:p>
                        <w:p w14:paraId="3D553665" w14:textId="77777777" w:rsidR="00CB53E4" w:rsidRDefault="00CB53E4" w:rsidP="0031675F">
                          <w:pPr>
                            <w:rPr>
                              <w:rFonts w:eastAsia="Arial" w:cs="Arial"/>
                              <w:sz w:val="8"/>
                              <w:szCs w:val="8"/>
                            </w:rPr>
                          </w:pPr>
                          <w:r>
                            <w:rPr>
                              <w:spacing w:val="-1"/>
                              <w:w w:val="105"/>
                              <w:sz w:val="8"/>
                            </w:rPr>
                            <w:t>0.10</w:t>
                          </w:r>
                        </w:p>
                        <w:p w14:paraId="09148F12" w14:textId="77777777" w:rsidR="00CB53E4" w:rsidRDefault="00CB53E4" w:rsidP="0031675F">
                          <w:pPr>
                            <w:spacing w:before="11"/>
                            <w:rPr>
                              <w:rFonts w:eastAsia="Arial" w:cs="Arial"/>
                              <w:b/>
                              <w:bCs/>
                              <w:sz w:val="7"/>
                              <w:szCs w:val="7"/>
                            </w:rPr>
                          </w:pPr>
                        </w:p>
                        <w:p w14:paraId="74C158DD" w14:textId="77777777" w:rsidR="00CB53E4" w:rsidRDefault="00CB53E4" w:rsidP="0031675F">
                          <w:pPr>
                            <w:spacing w:line="91" w:lineRule="exact"/>
                            <w:rPr>
                              <w:rFonts w:eastAsia="Arial" w:cs="Arial"/>
                              <w:sz w:val="8"/>
                              <w:szCs w:val="8"/>
                            </w:rPr>
                          </w:pPr>
                          <w:r>
                            <w:rPr>
                              <w:spacing w:val="-1"/>
                              <w:w w:val="105"/>
                              <w:sz w:val="8"/>
                            </w:rPr>
                            <w:t>0.00</w:t>
                          </w:r>
                        </w:p>
                      </w:txbxContent>
                    </v:textbox>
                  </v:shape>
                  <v:shape id="Text Box 8447" o:spid="_x0000_s1650" type="#_x0000_t202" style="position:absolute;left:10083;top:639;width:651;height:14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r878QA&#10;AADeAAAADwAAAGRycy9kb3ducmV2LnhtbERPTWvCQBC9C/0Pywi96UYLaqOrSLEgCMUYDz2O2TFZ&#10;zM7G7FbTf98tCN7m8T5nsepsLW7UeuNYwWiYgCAunDZcKjjmn4MZCB+QNdaOScEveVgtX3oLTLW7&#10;c0a3QyhFDGGfooIqhCaV0hcVWfRD1xBH7uxaiyHCtpS6xXsMt7UcJ8lEWjQcGyps6KOi4nL4sQrW&#10;35xtzPXrtM/Omcnz94R3k4tSr/1uPQcRqAtP8cO91XH+7G06hv934g1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6/O/EAAAA3gAAAA8AAAAAAAAAAAAAAAAAmAIAAGRycy9k&#10;b3ducmV2LnhtbFBLBQYAAAAABAAEAPUAAACJAwAAAAA=&#10;" filled="f" stroked="f">
                    <v:textbox inset="0,0,0,0">
                      <w:txbxContent>
                        <w:p w14:paraId="61CA913B" w14:textId="77777777" w:rsidR="00CB53E4" w:rsidRDefault="00CB53E4" w:rsidP="0031675F">
                          <w:pPr>
                            <w:tabs>
                              <w:tab w:val="left" w:pos="459"/>
                            </w:tabs>
                            <w:spacing w:line="101" w:lineRule="exact"/>
                            <w:ind w:left="27"/>
                            <w:rPr>
                              <w:rFonts w:eastAsia="Arial" w:cs="Arial"/>
                              <w:sz w:val="10"/>
                              <w:szCs w:val="10"/>
                            </w:rPr>
                          </w:pPr>
                          <w:r>
                            <w:rPr>
                              <w:w w:val="95"/>
                              <w:sz w:val="10"/>
                            </w:rPr>
                            <w:t>1</w:t>
                          </w:r>
                          <w:r>
                            <w:rPr>
                              <w:w w:val="95"/>
                              <w:sz w:val="10"/>
                            </w:rPr>
                            <w:tab/>
                          </w:r>
                          <w:r>
                            <w:rPr>
                              <w:spacing w:val="-1"/>
                              <w:w w:val="95"/>
                              <w:sz w:val="10"/>
                            </w:rPr>
                            <w:t>0.27</w:t>
                          </w:r>
                        </w:p>
                        <w:p w14:paraId="33327846" w14:textId="77777777" w:rsidR="00CB53E4" w:rsidRDefault="00CB53E4" w:rsidP="0031675F">
                          <w:pPr>
                            <w:tabs>
                              <w:tab w:val="left" w:pos="459"/>
                            </w:tabs>
                            <w:spacing w:before="7"/>
                            <w:ind w:left="27"/>
                            <w:rPr>
                              <w:rFonts w:eastAsia="Arial" w:cs="Arial"/>
                              <w:sz w:val="10"/>
                              <w:szCs w:val="10"/>
                            </w:rPr>
                          </w:pPr>
                          <w:r>
                            <w:rPr>
                              <w:w w:val="95"/>
                              <w:sz w:val="10"/>
                            </w:rPr>
                            <w:t>2</w:t>
                          </w:r>
                          <w:r>
                            <w:rPr>
                              <w:w w:val="95"/>
                              <w:sz w:val="10"/>
                            </w:rPr>
                            <w:tab/>
                          </w:r>
                          <w:r>
                            <w:rPr>
                              <w:spacing w:val="-1"/>
                              <w:w w:val="95"/>
                              <w:sz w:val="10"/>
                            </w:rPr>
                            <w:t>0.25</w:t>
                          </w:r>
                        </w:p>
                        <w:p w14:paraId="323CE83A" w14:textId="77777777" w:rsidR="00CB53E4" w:rsidRDefault="00CB53E4" w:rsidP="0031675F">
                          <w:pPr>
                            <w:tabs>
                              <w:tab w:val="left" w:pos="459"/>
                            </w:tabs>
                            <w:spacing w:before="7"/>
                            <w:ind w:left="27"/>
                            <w:rPr>
                              <w:rFonts w:eastAsia="Arial" w:cs="Arial"/>
                              <w:sz w:val="10"/>
                              <w:szCs w:val="10"/>
                            </w:rPr>
                          </w:pPr>
                          <w:r>
                            <w:rPr>
                              <w:w w:val="95"/>
                              <w:sz w:val="10"/>
                            </w:rPr>
                            <w:t>5</w:t>
                          </w:r>
                          <w:r>
                            <w:rPr>
                              <w:w w:val="95"/>
                              <w:sz w:val="10"/>
                            </w:rPr>
                            <w:tab/>
                          </w:r>
                          <w:r>
                            <w:rPr>
                              <w:spacing w:val="-1"/>
                              <w:w w:val="95"/>
                              <w:sz w:val="10"/>
                            </w:rPr>
                            <w:t>0.38</w:t>
                          </w:r>
                        </w:p>
                        <w:p w14:paraId="65A5C7E5" w14:textId="77777777" w:rsidR="00CB53E4" w:rsidRDefault="00CB53E4" w:rsidP="0031675F">
                          <w:pPr>
                            <w:tabs>
                              <w:tab w:val="left" w:pos="459"/>
                            </w:tabs>
                            <w:spacing w:before="7"/>
                            <w:ind w:left="27"/>
                            <w:rPr>
                              <w:rFonts w:eastAsia="Arial" w:cs="Arial"/>
                              <w:sz w:val="10"/>
                              <w:szCs w:val="10"/>
                            </w:rPr>
                          </w:pPr>
                          <w:r>
                            <w:rPr>
                              <w:w w:val="95"/>
                              <w:sz w:val="10"/>
                            </w:rPr>
                            <w:t>6</w:t>
                          </w:r>
                          <w:r>
                            <w:rPr>
                              <w:w w:val="95"/>
                              <w:sz w:val="10"/>
                            </w:rPr>
                            <w:tab/>
                          </w:r>
                          <w:r>
                            <w:rPr>
                              <w:spacing w:val="-1"/>
                              <w:w w:val="95"/>
                              <w:sz w:val="10"/>
                            </w:rPr>
                            <w:t>0.31</w:t>
                          </w:r>
                        </w:p>
                        <w:p w14:paraId="23F27954" w14:textId="77777777" w:rsidR="00CB53E4" w:rsidRDefault="00CB53E4" w:rsidP="0031675F">
                          <w:pPr>
                            <w:tabs>
                              <w:tab w:val="left" w:pos="459"/>
                            </w:tabs>
                            <w:spacing w:before="7"/>
                            <w:rPr>
                              <w:rFonts w:eastAsia="Arial" w:cs="Arial"/>
                              <w:sz w:val="10"/>
                              <w:szCs w:val="10"/>
                            </w:rPr>
                          </w:pPr>
                          <w:r>
                            <w:rPr>
                              <w:spacing w:val="-1"/>
                              <w:w w:val="95"/>
                              <w:sz w:val="10"/>
                            </w:rPr>
                            <w:t>12</w:t>
                          </w:r>
                          <w:r>
                            <w:rPr>
                              <w:spacing w:val="-1"/>
                              <w:w w:val="95"/>
                              <w:sz w:val="10"/>
                            </w:rPr>
                            <w:tab/>
                            <w:t>0.16</w:t>
                          </w:r>
                        </w:p>
                        <w:p w14:paraId="28255CE4" w14:textId="77777777" w:rsidR="00CB53E4" w:rsidRDefault="00CB53E4" w:rsidP="0031675F">
                          <w:pPr>
                            <w:tabs>
                              <w:tab w:val="left" w:pos="459"/>
                            </w:tabs>
                            <w:spacing w:before="7"/>
                            <w:rPr>
                              <w:rFonts w:eastAsia="Arial" w:cs="Arial"/>
                              <w:sz w:val="10"/>
                              <w:szCs w:val="10"/>
                            </w:rPr>
                          </w:pPr>
                          <w:r>
                            <w:rPr>
                              <w:spacing w:val="-1"/>
                              <w:w w:val="95"/>
                              <w:sz w:val="10"/>
                            </w:rPr>
                            <w:t>13</w:t>
                          </w:r>
                          <w:r>
                            <w:rPr>
                              <w:spacing w:val="-1"/>
                              <w:w w:val="95"/>
                              <w:sz w:val="10"/>
                            </w:rPr>
                            <w:tab/>
                            <w:t>0.18</w:t>
                          </w:r>
                        </w:p>
                        <w:p w14:paraId="3C695458" w14:textId="77777777" w:rsidR="00CB53E4" w:rsidRDefault="00CB53E4" w:rsidP="0031675F">
                          <w:pPr>
                            <w:tabs>
                              <w:tab w:val="left" w:pos="459"/>
                            </w:tabs>
                            <w:spacing w:before="7"/>
                            <w:rPr>
                              <w:rFonts w:eastAsia="Arial" w:cs="Arial"/>
                              <w:sz w:val="10"/>
                              <w:szCs w:val="10"/>
                            </w:rPr>
                          </w:pPr>
                          <w:r>
                            <w:rPr>
                              <w:spacing w:val="-1"/>
                              <w:w w:val="95"/>
                              <w:sz w:val="10"/>
                            </w:rPr>
                            <w:t>31</w:t>
                          </w:r>
                          <w:r>
                            <w:rPr>
                              <w:spacing w:val="-1"/>
                              <w:w w:val="95"/>
                              <w:sz w:val="10"/>
                            </w:rPr>
                            <w:tab/>
                            <w:t>0.31</w:t>
                          </w:r>
                        </w:p>
                        <w:p w14:paraId="2FD592AE" w14:textId="77777777" w:rsidR="00CB53E4" w:rsidRDefault="00CB53E4" w:rsidP="0031675F">
                          <w:pPr>
                            <w:tabs>
                              <w:tab w:val="left" w:pos="459"/>
                            </w:tabs>
                            <w:spacing w:before="7"/>
                            <w:rPr>
                              <w:rFonts w:eastAsia="Arial" w:cs="Arial"/>
                              <w:sz w:val="10"/>
                              <w:szCs w:val="10"/>
                            </w:rPr>
                          </w:pPr>
                          <w:r>
                            <w:rPr>
                              <w:spacing w:val="-1"/>
                              <w:w w:val="95"/>
                              <w:sz w:val="10"/>
                            </w:rPr>
                            <w:t>32</w:t>
                          </w:r>
                          <w:r>
                            <w:rPr>
                              <w:spacing w:val="-1"/>
                              <w:w w:val="95"/>
                              <w:sz w:val="10"/>
                            </w:rPr>
                            <w:tab/>
                            <w:t>0.29</w:t>
                          </w:r>
                        </w:p>
                        <w:p w14:paraId="2F68E777" w14:textId="77777777" w:rsidR="00CB53E4" w:rsidRDefault="00CB53E4" w:rsidP="0031675F">
                          <w:pPr>
                            <w:tabs>
                              <w:tab w:val="left" w:pos="459"/>
                            </w:tabs>
                            <w:spacing w:before="7"/>
                            <w:rPr>
                              <w:rFonts w:eastAsia="Arial" w:cs="Arial"/>
                              <w:sz w:val="10"/>
                              <w:szCs w:val="10"/>
                            </w:rPr>
                          </w:pPr>
                          <w:r>
                            <w:rPr>
                              <w:spacing w:val="-1"/>
                              <w:w w:val="95"/>
                              <w:sz w:val="10"/>
                            </w:rPr>
                            <w:t>54</w:t>
                          </w:r>
                          <w:r>
                            <w:rPr>
                              <w:spacing w:val="-1"/>
                              <w:w w:val="95"/>
                              <w:sz w:val="10"/>
                            </w:rPr>
                            <w:tab/>
                            <w:t>0.50</w:t>
                          </w:r>
                        </w:p>
                        <w:p w14:paraId="66849A4B" w14:textId="77777777" w:rsidR="00CB53E4" w:rsidRDefault="00CB53E4" w:rsidP="0031675F">
                          <w:pPr>
                            <w:tabs>
                              <w:tab w:val="left" w:pos="459"/>
                            </w:tabs>
                            <w:spacing w:before="7"/>
                            <w:rPr>
                              <w:rFonts w:eastAsia="Arial" w:cs="Arial"/>
                              <w:sz w:val="10"/>
                              <w:szCs w:val="10"/>
                            </w:rPr>
                          </w:pPr>
                          <w:r>
                            <w:rPr>
                              <w:spacing w:val="-1"/>
                              <w:w w:val="95"/>
                              <w:sz w:val="10"/>
                            </w:rPr>
                            <w:t>55</w:t>
                          </w:r>
                          <w:r>
                            <w:rPr>
                              <w:spacing w:val="-1"/>
                              <w:w w:val="95"/>
                              <w:sz w:val="10"/>
                            </w:rPr>
                            <w:tab/>
                            <w:t>0.41</w:t>
                          </w:r>
                        </w:p>
                        <w:p w14:paraId="082015D4" w14:textId="77777777" w:rsidR="00CB53E4" w:rsidRDefault="00CB53E4" w:rsidP="0031675F">
                          <w:pPr>
                            <w:tabs>
                              <w:tab w:val="left" w:pos="459"/>
                            </w:tabs>
                            <w:spacing w:before="7"/>
                            <w:rPr>
                              <w:rFonts w:eastAsia="Arial" w:cs="Arial"/>
                              <w:sz w:val="10"/>
                              <w:szCs w:val="10"/>
                            </w:rPr>
                          </w:pPr>
                          <w:r>
                            <w:rPr>
                              <w:spacing w:val="-1"/>
                              <w:w w:val="95"/>
                              <w:sz w:val="10"/>
                            </w:rPr>
                            <w:t>77</w:t>
                          </w:r>
                          <w:r>
                            <w:rPr>
                              <w:spacing w:val="-1"/>
                              <w:w w:val="95"/>
                              <w:sz w:val="10"/>
                            </w:rPr>
                            <w:tab/>
                            <w:t>0.30</w:t>
                          </w:r>
                        </w:p>
                        <w:p w14:paraId="51F20CAE" w14:textId="77777777" w:rsidR="00CB53E4" w:rsidRDefault="00CB53E4" w:rsidP="0031675F">
                          <w:pPr>
                            <w:tabs>
                              <w:tab w:val="left" w:pos="459"/>
                            </w:tabs>
                            <w:spacing w:before="7" w:line="112" w:lineRule="exact"/>
                            <w:rPr>
                              <w:rFonts w:eastAsia="Arial" w:cs="Arial"/>
                              <w:sz w:val="10"/>
                              <w:szCs w:val="10"/>
                            </w:rPr>
                          </w:pPr>
                          <w:r>
                            <w:rPr>
                              <w:spacing w:val="-1"/>
                              <w:w w:val="95"/>
                              <w:sz w:val="10"/>
                            </w:rPr>
                            <w:t>78</w:t>
                          </w:r>
                          <w:r>
                            <w:rPr>
                              <w:spacing w:val="-1"/>
                              <w:w w:val="95"/>
                              <w:sz w:val="10"/>
                            </w:rPr>
                            <w:tab/>
                            <w:t>0.38</w:t>
                          </w:r>
                        </w:p>
                      </w:txbxContent>
                    </v:textbox>
                  </v:shape>
                  <v:shape id="Text Box 8446" o:spid="_x0000_s1651" type="#_x0000_t202" style="position:absolute;left:6933;top:2287;width:47;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ZZdMQA&#10;AADeAAAADwAAAGRycy9kb3ducmV2LnhtbERPTWvCQBC9C/0Pywi96UYFtdFVpLRQKBRjPPQ4Zsdk&#10;MTsbs1uN/94tCN7m8T5nue5sLS7UeuNYwWiYgCAunDZcKtjnn4M5CB+QNdaOScGNPKxXL70lptpd&#10;OaPLLpQihrBPUUEVQpNK6YuKLPqha4gjd3StxRBhW0rd4jWG21qOk2QqLRqODRU29F5Rcdr9WQWb&#10;X84+zPnnsM2Omcnzt4S/pyelXvvdZgEiUBee4of7S8f588lsAv/vxBvk6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02WXTEAAAA3gAAAA8AAAAAAAAAAAAAAAAAmAIAAGRycy9k&#10;b3ducmV2LnhtbFBLBQYAAAAABAAEAPUAAACJAwAAAAA=&#10;" filled="f" stroked="f">
                    <v:textbox inset="0,0,0,0">
                      <w:txbxContent>
                        <w:p w14:paraId="3BB5DB80" w14:textId="77777777" w:rsidR="00CB53E4" w:rsidRDefault="00CB53E4" w:rsidP="0031675F">
                          <w:pPr>
                            <w:spacing w:line="84" w:lineRule="exact"/>
                            <w:rPr>
                              <w:rFonts w:eastAsia="Arial" w:cs="Arial"/>
                              <w:sz w:val="8"/>
                              <w:szCs w:val="8"/>
                            </w:rPr>
                          </w:pPr>
                          <w:r>
                            <w:rPr>
                              <w:w w:val="105"/>
                              <w:sz w:val="8"/>
                            </w:rPr>
                            <w:t>0</w:t>
                          </w:r>
                        </w:p>
                      </w:txbxContent>
                    </v:textbox>
                  </v:shape>
                  <v:shape id="Text Box 8445" o:spid="_x0000_s1652" type="#_x0000_t202" style="position:absolute;left:7459;top:2287;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BAMUA&#10;AADeAAAADwAAAGRycy9kb3ducmV2LnhtbERPS2vCQBC+F/wPywi91Y22+IiuImKhUCjGePA4Zsdk&#10;MTsbs1tN/323UPA2H99zFqvO1uJGrTeOFQwHCQjiwmnDpYJD/v4yBeEDssbaMSn4IQ+rZe9pgal2&#10;d87otg+liCHsU1RQhdCkUvqiIot+4BriyJ1dazFE2JZSt3iP4baWoyQZS4uGY0OFDW0qKi77b6tg&#10;feRsa65fp112zkyezxL+HF+Ueu536zmIQF14iP/dHzrOn75O3uDvnXiD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38EAxQAAAN4AAAAPAAAAAAAAAAAAAAAAAJgCAABkcnMv&#10;ZG93bnJldi54bWxQSwUGAAAAAAQABAD1AAAAigMAAAAA&#10;" filled="f" stroked="f">
                    <v:textbox inset="0,0,0,0">
                      <w:txbxContent>
                        <w:p w14:paraId="408CF478" w14:textId="77777777" w:rsidR="00CB53E4" w:rsidRDefault="00CB53E4" w:rsidP="0031675F">
                          <w:pPr>
                            <w:spacing w:line="84" w:lineRule="exact"/>
                            <w:rPr>
                              <w:rFonts w:eastAsia="Arial" w:cs="Arial"/>
                              <w:sz w:val="8"/>
                              <w:szCs w:val="8"/>
                            </w:rPr>
                          </w:pPr>
                          <w:r>
                            <w:rPr>
                              <w:spacing w:val="-1"/>
                              <w:w w:val="105"/>
                              <w:sz w:val="8"/>
                            </w:rPr>
                            <w:t>20</w:t>
                          </w:r>
                        </w:p>
                      </w:txbxContent>
                    </v:textbox>
                  </v:shape>
                  <v:shape id="Text Box 8444" o:spid="_x0000_s1653" type="#_x0000_t202" style="position:absolute;left:8008;top:2287;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Nkm8UA&#10;AADeAAAADwAAAGRycy9kb3ducmV2LnhtbERPS2vCQBC+F/wPywi91Y2W+oiuImKhUCjGePA4Zsdk&#10;MTsbs1tN/323UPA2H99zFqvO1uJGrTeOFQwHCQjiwmnDpYJD/v4yBeEDssbaMSn4IQ+rZe9pgal2&#10;d87otg+liCHsU1RQhdCkUvqiIot+4BriyJ1dazFE2JZSt3iP4baWoyQZS4uGY0OFDW0qKi77b6tg&#10;feRsa65fp112zkyezxL+HF+Ueu536zmIQF14iP/dHzrOn75O3uDvnXiD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k2SbxQAAAN4AAAAPAAAAAAAAAAAAAAAAAJgCAABkcnMv&#10;ZG93bnJldi54bWxQSwUGAAAAAAQABAD1AAAAigMAAAAA&#10;" filled="f" stroked="f">
                    <v:textbox inset="0,0,0,0">
                      <w:txbxContent>
                        <w:p w14:paraId="50C78B23" w14:textId="77777777" w:rsidR="00CB53E4" w:rsidRDefault="00CB53E4" w:rsidP="0031675F">
                          <w:pPr>
                            <w:spacing w:line="84" w:lineRule="exact"/>
                            <w:rPr>
                              <w:rFonts w:eastAsia="Arial" w:cs="Arial"/>
                              <w:sz w:val="8"/>
                              <w:szCs w:val="8"/>
                            </w:rPr>
                          </w:pPr>
                          <w:r>
                            <w:rPr>
                              <w:spacing w:val="-1"/>
                              <w:w w:val="105"/>
                              <w:sz w:val="8"/>
                            </w:rPr>
                            <w:t>40</w:t>
                          </w:r>
                        </w:p>
                      </w:txbxContent>
                    </v:textbox>
                  </v:shape>
                  <v:shape id="Text Box 8443" o:spid="_x0000_s1654" type="#_x0000_t202" style="position:absolute;left:8557;top:2287;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H67MUA&#10;AADeAAAADwAAAGRycy9kb3ducmV2LnhtbERPTWvCQBC9F/oflil4q5tWSG3qKlIUBEEa04PHMTsm&#10;i9nZmF01/ntXKPQ2j/c5k1lvG3GhzhvHCt6GCQji0mnDlYLfYvk6BuEDssbGMSm4kYfZ9Plpgpl2&#10;V87psg2ViCHsM1RQh9BmUvqyJot+6FriyB1cZzFE2FVSd3iN4baR70mSSouGY0ONLX3XVB63Z6tg&#10;vuN8YU6b/U9+yE1RfCa8To9KDV76+ReIQH34F/+5VzrOH48+Uni8E2+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QfrsxQAAAN4AAAAPAAAAAAAAAAAAAAAAAJgCAABkcnMv&#10;ZG93bnJldi54bWxQSwUGAAAAAAQABAD1AAAAigMAAAAA&#10;" filled="f" stroked="f">
                    <v:textbox inset="0,0,0,0">
                      <w:txbxContent>
                        <w:p w14:paraId="15955CFB" w14:textId="77777777" w:rsidR="00CB53E4" w:rsidRDefault="00CB53E4" w:rsidP="0031675F">
                          <w:pPr>
                            <w:spacing w:line="84" w:lineRule="exact"/>
                            <w:rPr>
                              <w:rFonts w:eastAsia="Arial" w:cs="Arial"/>
                              <w:sz w:val="8"/>
                              <w:szCs w:val="8"/>
                            </w:rPr>
                          </w:pPr>
                          <w:r>
                            <w:rPr>
                              <w:spacing w:val="-1"/>
                              <w:w w:val="105"/>
                              <w:sz w:val="8"/>
                            </w:rPr>
                            <w:t>60</w:t>
                          </w:r>
                        </w:p>
                      </w:txbxContent>
                    </v:textbox>
                  </v:shape>
                  <v:shape id="Text Box 8442" o:spid="_x0000_s1655" type="#_x0000_t202" style="position:absolute;left:9106;top:2287;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1fd8UA&#10;AADeAAAADwAAAGRycy9kb3ducmV2LnhtbERPTWvCQBC9C/0PyxS86aYV1EY3IqWFQkEa46HHMTsm&#10;S7KzaXar6b93C4K3ebzPWW8G24oz9d44VvA0TUAQl04brhQcivfJEoQPyBpbx6TgjzxssofRGlPt&#10;LpzTeR8qEUPYp6igDqFLpfRlTRb91HXEkTu53mKIsK+k7vESw20rn5NkLi0ajg01dvRaU9nsf62C&#10;7Tfnb+Znd/zKT7kpipeEP+eNUuPHYbsCEWgId/HN/aHj/OVssYD/d+INMr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DV93xQAAAN4AAAAPAAAAAAAAAAAAAAAAAJgCAABkcnMv&#10;ZG93bnJldi54bWxQSwUGAAAAAAQABAD1AAAAigMAAAAA&#10;" filled="f" stroked="f">
                    <v:textbox inset="0,0,0,0">
                      <w:txbxContent>
                        <w:p w14:paraId="533E85DF" w14:textId="77777777" w:rsidR="00CB53E4" w:rsidRDefault="00CB53E4" w:rsidP="0031675F">
                          <w:pPr>
                            <w:spacing w:line="84" w:lineRule="exact"/>
                            <w:rPr>
                              <w:rFonts w:eastAsia="Arial" w:cs="Arial"/>
                              <w:sz w:val="8"/>
                              <w:szCs w:val="8"/>
                            </w:rPr>
                          </w:pPr>
                          <w:r>
                            <w:rPr>
                              <w:spacing w:val="-1"/>
                              <w:w w:val="105"/>
                              <w:sz w:val="8"/>
                            </w:rPr>
                            <w:t>80</w:t>
                          </w:r>
                        </w:p>
                      </w:txbxContent>
                    </v:textbox>
                  </v:shape>
                  <v:shape id="Text Box 8441" o:spid="_x0000_s1656" type="#_x0000_t202" style="position:absolute;left:9634;top:2287;width:139;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LLBcgA&#10;AADeAAAADwAAAGRycy9kb3ducmV2LnhtbESPQWvCQBCF70L/wzKF3nTTFqxNXUVKC4Igjemhx2l2&#10;TBazs2l2q/HfOwfB2wzvzXvfzJeDb9WR+ugCG3icZKCIq2Ad1wa+y8/xDFRMyBbbwGTgTBGWi7vR&#10;HHMbTlzQcZdqJSEcczTQpNTlWseqIY9xEjpi0fah95hk7WttezxJuG/1U5ZNtUfH0tBgR+8NVYfd&#10;vzew+uHiw/1tf7+KfeHK8jXjzfRgzMP9sHoDlWhIN/P1em0Ff/b8IrzyjsygF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kssFyAAAAN4AAAAPAAAAAAAAAAAAAAAAAJgCAABk&#10;cnMvZG93bnJldi54bWxQSwUGAAAAAAQABAD1AAAAjQMAAAAA&#10;" filled="f" stroked="f">
                    <v:textbox inset="0,0,0,0">
                      <w:txbxContent>
                        <w:p w14:paraId="18FC96A1" w14:textId="77777777" w:rsidR="00CB53E4" w:rsidRDefault="00CB53E4" w:rsidP="0031675F">
                          <w:pPr>
                            <w:spacing w:line="84" w:lineRule="exact"/>
                            <w:rPr>
                              <w:rFonts w:eastAsia="Arial" w:cs="Arial"/>
                              <w:sz w:val="8"/>
                              <w:szCs w:val="8"/>
                            </w:rPr>
                          </w:pPr>
                          <w:r>
                            <w:rPr>
                              <w:spacing w:val="-1"/>
                              <w:w w:val="105"/>
                              <w:sz w:val="8"/>
                            </w:rPr>
                            <w:t>100</w:t>
                          </w:r>
                        </w:p>
                      </w:txbxContent>
                    </v:textbox>
                  </v:shape>
                  <v:shape id="Text Box 8440" o:spid="_x0000_s1657" type="#_x0000_t202" style="position:absolute;left:533;top:2482;width:420;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5unsUA&#10;AADeAAAADwAAAGRycy9kb3ducmV2LnhtbERPS2vCQBC+C/0PyxS86UYLPqKriLQgCMUYDz1Os2Oy&#10;mJ1Ns6um/75bELzNx/ec5bqztbhR641jBaNhAoK4cNpwqeCUfwxmIHxA1lg7JgW/5GG9euktMdXu&#10;zhndjqEUMYR9igqqEJpUSl9UZNEPXUMcubNrLYYI21LqFu8x3NZynCQTadFwbKiwoW1FxeV4tQo2&#10;X5y9m5/P70N2zkyezxPeTy5K9V+7zQJEoC48xQ/3Tsf5s7fpHP7fiT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3m6exQAAAN4AAAAPAAAAAAAAAAAAAAAAAJgCAABkcnMv&#10;ZG93bnJldi54bWxQSwUGAAAAAAQABAD1AAAAigMAAAAA&#10;" filled="f" stroked="f">
                    <v:textbox inset="0,0,0,0">
                      <w:txbxContent>
                        <w:p w14:paraId="71CC0436" w14:textId="77777777" w:rsidR="00CB53E4" w:rsidRDefault="00CB53E4" w:rsidP="0031675F">
                          <w:pPr>
                            <w:spacing w:line="96" w:lineRule="exact"/>
                            <w:jc w:val="both"/>
                            <w:rPr>
                              <w:rFonts w:eastAsia="Arial" w:cs="Arial"/>
                              <w:sz w:val="9"/>
                              <w:szCs w:val="9"/>
                            </w:rPr>
                          </w:pPr>
                          <w:r>
                            <w:rPr>
                              <w:spacing w:val="2"/>
                              <w:w w:val="105"/>
                              <w:sz w:val="9"/>
                            </w:rPr>
                            <w:t>WQM194</w:t>
                          </w:r>
                        </w:p>
                        <w:p w14:paraId="3ACA7857" w14:textId="77777777" w:rsidR="00CB53E4" w:rsidRDefault="00CB53E4" w:rsidP="0031675F">
                          <w:pPr>
                            <w:spacing w:before="18" w:line="283" w:lineRule="auto"/>
                            <w:jc w:val="both"/>
                            <w:rPr>
                              <w:rFonts w:eastAsia="Arial" w:cs="Arial"/>
                              <w:sz w:val="9"/>
                              <w:szCs w:val="9"/>
                            </w:rPr>
                          </w:pPr>
                          <w:r>
                            <w:rPr>
                              <w:spacing w:val="2"/>
                              <w:w w:val="105"/>
                              <w:sz w:val="9"/>
                            </w:rPr>
                            <w:t>WQM194</w:t>
                          </w:r>
                          <w:r>
                            <w:rPr>
                              <w:spacing w:val="23"/>
                              <w:w w:val="105"/>
                              <w:sz w:val="9"/>
                            </w:rPr>
                            <w:t xml:space="preserve"> </w:t>
                          </w:r>
                          <w:r>
                            <w:rPr>
                              <w:spacing w:val="2"/>
                              <w:w w:val="105"/>
                              <w:sz w:val="9"/>
                            </w:rPr>
                            <w:t>WQM194</w:t>
                          </w:r>
                          <w:r>
                            <w:rPr>
                              <w:spacing w:val="23"/>
                              <w:w w:val="105"/>
                              <w:sz w:val="9"/>
                            </w:rPr>
                            <w:t xml:space="preserve"> </w:t>
                          </w:r>
                          <w:r>
                            <w:rPr>
                              <w:spacing w:val="2"/>
                              <w:w w:val="105"/>
                              <w:sz w:val="9"/>
                            </w:rPr>
                            <w:t>WQM194</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r>
                            <w:rPr>
                              <w:spacing w:val="23"/>
                              <w:w w:val="105"/>
                              <w:sz w:val="9"/>
                            </w:rPr>
                            <w:t xml:space="preserve"> </w:t>
                          </w:r>
                          <w:r>
                            <w:rPr>
                              <w:spacing w:val="2"/>
                              <w:w w:val="105"/>
                              <w:sz w:val="9"/>
                            </w:rPr>
                            <w:t>WQM195</w:t>
                          </w:r>
                        </w:p>
                      </w:txbxContent>
                    </v:textbox>
                  </v:shape>
                  <v:shape id="Text Box 8439" o:spid="_x0000_s1658" type="#_x0000_t202" style="position:absolute;left:1040;top:2482;width:110;height:1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G3JMcA&#10;AADeAAAADwAAAGRycy9kb3ducmV2LnhtbESPQUvDQBCF70L/wzIFb3ZThRLTbkoRBUEQ03jwOGYn&#10;ydLsbMyubfz3zkHwNsO8ee99u/3sB3WmKbrABtarDBRxE6zjzsB7/XSTg4oJ2eIQmAz8UIR9ubja&#10;YWHDhSs6H1OnxIRjgQb6lMZC69j05DGuwkgstzZMHpOsU6fthBcx94O+zbKN9uhYEnoc6aGn5nT8&#10;9gYOH1w9uq/Xz7eqrVxd32f8sjkZc72cD1tQieb0L/77frZSP7/LBUBwZAZd/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gxtyTHAAAA3gAAAA8AAAAAAAAAAAAAAAAAmAIAAGRy&#10;cy9kb3ducmV2LnhtbFBLBQYAAAAABAAEAPUAAACMAwAAAAA=&#10;" filled="f" stroked="f">
                    <v:textbox inset="0,0,0,0">
                      <w:txbxContent>
                        <w:p w14:paraId="7443B30D" w14:textId="77777777" w:rsidR="00CB53E4" w:rsidRDefault="00CB53E4" w:rsidP="0031675F">
                          <w:pPr>
                            <w:spacing w:line="96" w:lineRule="exact"/>
                            <w:jc w:val="both"/>
                            <w:rPr>
                              <w:rFonts w:eastAsia="Arial" w:cs="Arial"/>
                              <w:sz w:val="9"/>
                              <w:szCs w:val="9"/>
                            </w:rPr>
                          </w:pPr>
                          <w:r>
                            <w:rPr>
                              <w:spacing w:val="1"/>
                              <w:w w:val="105"/>
                              <w:sz w:val="9"/>
                            </w:rPr>
                            <w:t>d0</w:t>
                          </w:r>
                        </w:p>
                        <w:p w14:paraId="6438FBDF" w14:textId="77777777" w:rsidR="00CB53E4" w:rsidRDefault="00CB53E4" w:rsidP="0031675F">
                          <w:pPr>
                            <w:spacing w:before="18" w:line="283" w:lineRule="auto"/>
                            <w:jc w:val="both"/>
                            <w:rPr>
                              <w:rFonts w:eastAsia="Arial" w:cs="Arial"/>
                              <w:sz w:val="9"/>
                              <w:szCs w:val="9"/>
                            </w:rPr>
                          </w:pPr>
                          <w:r>
                            <w:rPr>
                              <w:spacing w:val="1"/>
                              <w:w w:val="105"/>
                              <w:sz w:val="9"/>
                            </w:rPr>
                            <w:t>d0 d1 d1 d0 d0 d1 d1</w:t>
                          </w:r>
                        </w:p>
                        <w:p w14:paraId="7923877B" w14:textId="77777777" w:rsidR="00CB53E4" w:rsidRDefault="00CB53E4" w:rsidP="0031675F">
                          <w:pPr>
                            <w:spacing w:line="99" w:lineRule="exact"/>
                            <w:jc w:val="both"/>
                            <w:rPr>
                              <w:rFonts w:eastAsia="Arial" w:cs="Arial"/>
                              <w:sz w:val="10"/>
                              <w:szCs w:val="10"/>
                            </w:rPr>
                          </w:pPr>
                          <w:r>
                            <w:rPr>
                              <w:spacing w:val="-1"/>
                              <w:w w:val="95"/>
                              <w:sz w:val="10"/>
                            </w:rPr>
                            <w:t>d2</w:t>
                          </w:r>
                        </w:p>
                        <w:p w14:paraId="631161FB" w14:textId="77777777" w:rsidR="00CB53E4" w:rsidRDefault="00CB53E4" w:rsidP="0031675F">
                          <w:pPr>
                            <w:spacing w:before="7" w:line="254" w:lineRule="auto"/>
                            <w:jc w:val="both"/>
                            <w:rPr>
                              <w:rFonts w:eastAsia="Arial" w:cs="Arial"/>
                              <w:sz w:val="10"/>
                              <w:szCs w:val="10"/>
                            </w:rPr>
                          </w:pPr>
                          <w:r>
                            <w:rPr>
                              <w:spacing w:val="-1"/>
                              <w:w w:val="95"/>
                              <w:sz w:val="10"/>
                            </w:rPr>
                            <w:t>d2</w:t>
                          </w:r>
                          <w:r>
                            <w:rPr>
                              <w:spacing w:val="19"/>
                              <w:w w:val="98"/>
                              <w:sz w:val="10"/>
                            </w:rPr>
                            <w:t xml:space="preserve"> </w:t>
                          </w:r>
                          <w:r>
                            <w:rPr>
                              <w:spacing w:val="-1"/>
                              <w:w w:val="95"/>
                              <w:sz w:val="10"/>
                            </w:rPr>
                            <w:t>d3</w:t>
                          </w:r>
                          <w:r>
                            <w:rPr>
                              <w:spacing w:val="19"/>
                              <w:w w:val="98"/>
                              <w:sz w:val="10"/>
                            </w:rPr>
                            <w:t xml:space="preserve"> </w:t>
                          </w:r>
                          <w:r>
                            <w:rPr>
                              <w:spacing w:val="-1"/>
                              <w:w w:val="95"/>
                              <w:sz w:val="10"/>
                            </w:rPr>
                            <w:t>d3</w:t>
                          </w:r>
                        </w:p>
                      </w:txbxContent>
                    </v:textbox>
                  </v:shape>
                  <v:shape id="Text Box 8438" o:spid="_x0000_s1659" type="#_x0000_t202" style="position:absolute;left:5405;top:2961;width:724;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0Sv8QA&#10;AADeAAAADwAAAGRycy9kb3ducmV2LnhtbERPTWvCQBC9F/wPywi91Y0tSBpdRaRCoSCN8eBxzI7J&#10;YnY2ZleN/74rCL3N433ObNHbRlyp88axgvEoAUFcOm24UrAr1m8pCB+QNTaOScGdPCzmg5cZZtrd&#10;OKfrNlQihrDPUEEdQptJ6cuaLPqRa4kjd3SdxRBhV0nd4S2G20a+J8lEWjQcG2psaVVTedperILl&#10;nvMvc94cfvNjboriM+GfyUmp12G/nIII1Id/8dP9reP89CMdw+OdeIO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9Er/EAAAA3gAAAA8AAAAAAAAAAAAAAAAAmAIAAGRycy9k&#10;b3ducmV2LnhtbFBLBQYAAAAABAAEAPUAAACJAwAAAAA=&#10;" filled="f" stroked="f">
                    <v:textbox inset="0,0,0,0">
                      <w:txbxContent>
                        <w:p w14:paraId="7B28E3FB" w14:textId="77777777" w:rsidR="00CB53E4" w:rsidRDefault="00CB53E4" w:rsidP="0031675F">
                          <w:pPr>
                            <w:spacing w:line="98" w:lineRule="exact"/>
                            <w:rPr>
                              <w:rFonts w:eastAsia="Arial" w:cs="Arial"/>
                              <w:sz w:val="10"/>
                              <w:szCs w:val="10"/>
                            </w:rPr>
                          </w:pPr>
                          <w:r>
                            <w:rPr>
                              <w:spacing w:val="-1"/>
                              <w:sz w:val="10"/>
                            </w:rPr>
                            <w:t>2ppm</w:t>
                          </w:r>
                          <w:r>
                            <w:rPr>
                              <w:spacing w:val="-14"/>
                              <w:sz w:val="10"/>
                            </w:rPr>
                            <w:t xml:space="preserve"> </w:t>
                          </w:r>
                          <w:r>
                            <w:rPr>
                              <w:spacing w:val="-1"/>
                              <w:sz w:val="10"/>
                            </w:rPr>
                            <w:t>Standards</w:t>
                          </w:r>
                        </w:p>
                      </w:txbxContent>
                    </v:textbox>
                  </v:shape>
                  <v:shape id="Text Box 8437" o:spid="_x0000_s1660" type="#_x0000_t202" style="position:absolute;left:533;top:3205;width:5162;height:1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MyMQA&#10;AADeAAAADwAAAGRycy9kb3ducmV2LnhtbERPTWvCQBC9F/wPywi91Y0KkkZXEVEQCqUxHjyO2TFZ&#10;zM7G7Krpv+8WCr3N433OYtXbRjyo88axgvEoAUFcOm24UnAsdm8pCB+QNTaOScE3eVgtBy8LzLR7&#10;ck6PQ6hEDGGfoYI6hDaT0pc1WfQj1xJH7uI6iyHCrpK6w2cMt42cJMlMWjQcG2psaVNTeT3crYL1&#10;ifOtuX2ev/JLboriPeGP2VWp12G/noMI1Id/8Z97r+P8dJpO4PedeIN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vjMjEAAAA3gAAAA8AAAAAAAAAAAAAAAAAmAIAAGRycy9k&#10;b3ducmV2LnhtbFBLBQYAAAAABAAEAPUAAACJAwAAAAA=&#10;" filled="f" stroked="f">
                    <v:textbox inset="0,0,0,0">
                      <w:txbxContent>
                        <w:p w14:paraId="3D16C763" w14:textId="77777777" w:rsidR="00CB53E4" w:rsidRDefault="00CB53E4" w:rsidP="0031675F">
                          <w:pPr>
                            <w:spacing w:line="101" w:lineRule="exact"/>
                            <w:ind w:right="25"/>
                            <w:jc w:val="right"/>
                            <w:rPr>
                              <w:rFonts w:eastAsia="Arial" w:cs="Arial"/>
                              <w:sz w:val="10"/>
                              <w:szCs w:val="10"/>
                            </w:rPr>
                          </w:pPr>
                          <w:r>
                            <w:rPr>
                              <w:w w:val="95"/>
                              <w:sz w:val="10"/>
                            </w:rPr>
                            <w:t>1</w:t>
                          </w:r>
                        </w:p>
                        <w:p w14:paraId="2DEC00E0" w14:textId="77777777" w:rsidR="00CB53E4" w:rsidRDefault="00CB53E4" w:rsidP="0031675F">
                          <w:pPr>
                            <w:spacing w:before="7"/>
                            <w:ind w:right="25"/>
                            <w:jc w:val="right"/>
                            <w:rPr>
                              <w:rFonts w:eastAsia="Arial" w:cs="Arial"/>
                              <w:sz w:val="10"/>
                              <w:szCs w:val="10"/>
                            </w:rPr>
                          </w:pPr>
                          <w:r>
                            <w:rPr>
                              <w:w w:val="95"/>
                              <w:sz w:val="10"/>
                            </w:rPr>
                            <w:t>5</w:t>
                          </w:r>
                        </w:p>
                        <w:p w14:paraId="51EA5808" w14:textId="77777777" w:rsidR="00CB53E4" w:rsidRDefault="00CB53E4" w:rsidP="0031675F">
                          <w:pPr>
                            <w:spacing w:before="7"/>
                            <w:ind w:right="25"/>
                            <w:jc w:val="right"/>
                            <w:rPr>
                              <w:rFonts w:eastAsia="Arial" w:cs="Arial"/>
                              <w:sz w:val="10"/>
                              <w:szCs w:val="10"/>
                            </w:rPr>
                          </w:pPr>
                          <w:r>
                            <w:rPr>
                              <w:w w:val="95"/>
                              <w:sz w:val="10"/>
                            </w:rPr>
                            <w:t>6</w:t>
                          </w:r>
                        </w:p>
                        <w:p w14:paraId="26400FC3" w14:textId="77777777" w:rsidR="00CB53E4" w:rsidRDefault="00CB53E4" w:rsidP="0031675F">
                          <w:pPr>
                            <w:spacing w:before="7"/>
                            <w:jc w:val="right"/>
                            <w:rPr>
                              <w:rFonts w:eastAsia="Arial" w:cs="Arial"/>
                              <w:sz w:val="10"/>
                              <w:szCs w:val="10"/>
                            </w:rPr>
                          </w:pPr>
                          <w:r>
                            <w:rPr>
                              <w:spacing w:val="-1"/>
                              <w:w w:val="95"/>
                              <w:sz w:val="10"/>
                            </w:rPr>
                            <w:t>26</w:t>
                          </w:r>
                        </w:p>
                        <w:p w14:paraId="02A9720D" w14:textId="77777777" w:rsidR="00CB53E4" w:rsidRDefault="00CB53E4" w:rsidP="0031675F">
                          <w:pPr>
                            <w:spacing w:before="7"/>
                            <w:jc w:val="right"/>
                            <w:rPr>
                              <w:rFonts w:eastAsia="Arial" w:cs="Arial"/>
                              <w:sz w:val="10"/>
                              <w:szCs w:val="10"/>
                            </w:rPr>
                          </w:pPr>
                          <w:r>
                            <w:rPr>
                              <w:spacing w:val="-1"/>
                              <w:w w:val="95"/>
                              <w:sz w:val="10"/>
                            </w:rPr>
                            <w:t>27</w:t>
                          </w:r>
                        </w:p>
                        <w:p w14:paraId="398917C4" w14:textId="77777777" w:rsidR="00CB53E4" w:rsidRDefault="00CB53E4" w:rsidP="0031675F">
                          <w:pPr>
                            <w:spacing w:before="7"/>
                            <w:jc w:val="right"/>
                            <w:rPr>
                              <w:rFonts w:eastAsia="Arial" w:cs="Arial"/>
                              <w:sz w:val="10"/>
                              <w:szCs w:val="10"/>
                            </w:rPr>
                          </w:pPr>
                          <w:r>
                            <w:rPr>
                              <w:spacing w:val="-1"/>
                              <w:w w:val="95"/>
                              <w:sz w:val="10"/>
                            </w:rPr>
                            <w:t>49</w:t>
                          </w:r>
                        </w:p>
                        <w:p w14:paraId="5B619923" w14:textId="77777777" w:rsidR="00CB53E4" w:rsidRDefault="00CB53E4" w:rsidP="0031675F">
                          <w:pPr>
                            <w:tabs>
                              <w:tab w:val="right" w:pos="5161"/>
                            </w:tabs>
                            <w:spacing w:before="7"/>
                            <w:jc w:val="right"/>
                            <w:rPr>
                              <w:rFonts w:eastAsia="Arial" w:cs="Arial"/>
                              <w:sz w:val="10"/>
                              <w:szCs w:val="10"/>
                            </w:rPr>
                          </w:pPr>
                          <w:r>
                            <w:rPr>
                              <w:spacing w:val="-1"/>
                              <w:sz w:val="10"/>
                            </w:rPr>
                            <w:t>Pontoon</w:t>
                          </w:r>
                          <w:r>
                            <w:rPr>
                              <w:spacing w:val="-2"/>
                              <w:sz w:val="10"/>
                            </w:rPr>
                            <w:t xml:space="preserve"> </w:t>
                          </w:r>
                          <w:r>
                            <w:rPr>
                              <w:spacing w:val="-1"/>
                              <w:sz w:val="10"/>
                            </w:rPr>
                            <w:t>Seawater 22-Dec</w:t>
                          </w:r>
                          <w:r>
                            <w:rPr>
                              <w:spacing w:val="-1"/>
                              <w:sz w:val="10"/>
                            </w:rPr>
                            <w:tab/>
                            <w:t>50</w:t>
                          </w:r>
                        </w:p>
                        <w:p w14:paraId="4A3CC9E0" w14:textId="77777777" w:rsidR="00CB53E4" w:rsidRDefault="00CB53E4" w:rsidP="0031675F">
                          <w:pPr>
                            <w:tabs>
                              <w:tab w:val="right" w:pos="5161"/>
                            </w:tabs>
                            <w:spacing w:before="7"/>
                            <w:jc w:val="right"/>
                            <w:rPr>
                              <w:rFonts w:eastAsia="Arial" w:cs="Arial"/>
                              <w:sz w:val="10"/>
                              <w:szCs w:val="10"/>
                            </w:rPr>
                          </w:pPr>
                          <w:r>
                            <w:rPr>
                              <w:spacing w:val="-1"/>
                              <w:sz w:val="10"/>
                            </w:rPr>
                            <w:t>2ppm</w:t>
                          </w:r>
                          <w:r>
                            <w:rPr>
                              <w:sz w:val="10"/>
                            </w:rPr>
                            <w:t xml:space="preserve"> OC</w:t>
                          </w:r>
                          <w:r>
                            <w:rPr>
                              <w:sz w:val="10"/>
                            </w:rPr>
                            <w:tab/>
                          </w:r>
                          <w:r>
                            <w:rPr>
                              <w:spacing w:val="-1"/>
                              <w:sz w:val="10"/>
                            </w:rPr>
                            <w:t>72</w:t>
                          </w:r>
                        </w:p>
                        <w:p w14:paraId="19198160" w14:textId="77777777" w:rsidR="00CB53E4" w:rsidRDefault="00CB53E4" w:rsidP="0031675F">
                          <w:pPr>
                            <w:tabs>
                              <w:tab w:val="right" w:pos="5161"/>
                            </w:tabs>
                            <w:spacing w:before="7"/>
                            <w:jc w:val="right"/>
                            <w:rPr>
                              <w:rFonts w:eastAsia="Arial" w:cs="Arial"/>
                              <w:sz w:val="10"/>
                              <w:szCs w:val="10"/>
                            </w:rPr>
                          </w:pPr>
                          <w:r>
                            <w:rPr>
                              <w:spacing w:val="-1"/>
                              <w:sz w:val="10"/>
                            </w:rPr>
                            <w:t>2ppm</w:t>
                          </w:r>
                          <w:r>
                            <w:rPr>
                              <w:sz w:val="10"/>
                            </w:rPr>
                            <w:t xml:space="preserve"> OC</w:t>
                          </w:r>
                          <w:r>
                            <w:rPr>
                              <w:sz w:val="10"/>
                            </w:rPr>
                            <w:tab/>
                          </w:r>
                          <w:r>
                            <w:rPr>
                              <w:spacing w:val="-1"/>
                              <w:sz w:val="10"/>
                            </w:rPr>
                            <w:t>73</w:t>
                          </w:r>
                        </w:p>
                        <w:p w14:paraId="0285020A" w14:textId="77777777" w:rsidR="00CB53E4" w:rsidRDefault="00CB53E4" w:rsidP="0031675F">
                          <w:pPr>
                            <w:spacing w:before="7" w:line="254" w:lineRule="auto"/>
                            <w:ind w:right="4737"/>
                            <w:jc w:val="both"/>
                            <w:rPr>
                              <w:rFonts w:eastAsia="Arial" w:cs="Arial"/>
                              <w:sz w:val="10"/>
                              <w:szCs w:val="10"/>
                            </w:rPr>
                          </w:pP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p w14:paraId="43ABFC05" w14:textId="77777777" w:rsidR="00CB53E4" w:rsidRDefault="00CB53E4" w:rsidP="0031675F">
                          <w:pPr>
                            <w:spacing w:line="112" w:lineRule="exact"/>
                            <w:jc w:val="both"/>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p>
                      </w:txbxContent>
                    </v:textbox>
                  </v:shape>
                  <v:shape id="Text Box 8436" o:spid="_x0000_s1661" type="#_x0000_t202" style="position:absolute;left:6045;top:3205;width:191;height:10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MpU8QA&#10;AADeAAAADwAAAGRycy9kb3ducmV2LnhtbERPTWvCQBC9F/wPyxS81U0rSIyuImKhIIgxPfQ4Zsdk&#10;MTsbs1uN/94tFLzN433OfNnbRlyp88axgvdRAoK4dNpwpeC7+HxLQfiArLFxTAru5GG5GLzMMdPu&#10;xjldD6ESMYR9hgrqENpMSl/WZNGPXEscuZPrLIYIu0rqDm8x3DbyI0km0qLh2FBjS+uayvPh1ypY&#10;/XC+MZfdcZ+fclMU04S3k7NSw9d+NQMRqA9P8b/7S8f56Tgdw9878Qa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jKVPEAAAA3gAAAA8AAAAAAAAAAAAAAAAAmAIAAGRycy9k&#10;b3ducmV2LnhtbFBLBQYAAAAABAAEAPUAAACJAwAAAAA=&#10;" filled="f" stroked="f">
                    <v:textbox inset="0,0,0,0">
                      <w:txbxContent>
                        <w:p w14:paraId="127FCB1B" w14:textId="77777777" w:rsidR="00CB53E4" w:rsidRDefault="00CB53E4" w:rsidP="0031675F">
                          <w:pPr>
                            <w:spacing w:line="101" w:lineRule="exact"/>
                            <w:rPr>
                              <w:rFonts w:eastAsia="Arial" w:cs="Arial"/>
                              <w:sz w:val="10"/>
                              <w:szCs w:val="10"/>
                            </w:rPr>
                          </w:pPr>
                          <w:r>
                            <w:rPr>
                              <w:spacing w:val="-1"/>
                              <w:w w:val="95"/>
                              <w:sz w:val="10"/>
                            </w:rPr>
                            <w:t>3.86</w:t>
                          </w:r>
                        </w:p>
                        <w:p w14:paraId="4B9F8DCB" w14:textId="77777777" w:rsidR="00CB53E4" w:rsidRDefault="00CB53E4" w:rsidP="0031675F">
                          <w:pPr>
                            <w:spacing w:before="7"/>
                            <w:rPr>
                              <w:rFonts w:eastAsia="Arial" w:cs="Arial"/>
                              <w:sz w:val="10"/>
                              <w:szCs w:val="10"/>
                            </w:rPr>
                          </w:pPr>
                          <w:r>
                            <w:rPr>
                              <w:spacing w:val="-1"/>
                              <w:w w:val="95"/>
                              <w:sz w:val="10"/>
                            </w:rPr>
                            <w:t>3.79</w:t>
                          </w:r>
                        </w:p>
                        <w:p w14:paraId="430F8D6C" w14:textId="77777777" w:rsidR="00CB53E4" w:rsidRDefault="00CB53E4" w:rsidP="0031675F">
                          <w:pPr>
                            <w:spacing w:before="7"/>
                            <w:rPr>
                              <w:rFonts w:eastAsia="Arial" w:cs="Arial"/>
                              <w:sz w:val="10"/>
                              <w:szCs w:val="10"/>
                            </w:rPr>
                          </w:pPr>
                          <w:r>
                            <w:rPr>
                              <w:spacing w:val="-1"/>
                              <w:w w:val="95"/>
                              <w:sz w:val="10"/>
                            </w:rPr>
                            <w:t>3.84</w:t>
                          </w:r>
                        </w:p>
                        <w:p w14:paraId="46B1388F" w14:textId="77777777" w:rsidR="00CB53E4" w:rsidRDefault="00CB53E4" w:rsidP="0031675F">
                          <w:pPr>
                            <w:spacing w:before="7"/>
                            <w:rPr>
                              <w:rFonts w:eastAsia="Arial" w:cs="Arial"/>
                              <w:sz w:val="10"/>
                              <w:szCs w:val="10"/>
                            </w:rPr>
                          </w:pPr>
                          <w:r>
                            <w:rPr>
                              <w:spacing w:val="-1"/>
                              <w:w w:val="95"/>
                              <w:sz w:val="10"/>
                            </w:rPr>
                            <w:t>4.01</w:t>
                          </w:r>
                        </w:p>
                        <w:p w14:paraId="17D39500" w14:textId="77777777" w:rsidR="00CB53E4" w:rsidRDefault="00CB53E4" w:rsidP="0031675F">
                          <w:pPr>
                            <w:spacing w:before="7"/>
                            <w:rPr>
                              <w:rFonts w:eastAsia="Arial" w:cs="Arial"/>
                              <w:sz w:val="10"/>
                              <w:szCs w:val="10"/>
                            </w:rPr>
                          </w:pPr>
                          <w:r>
                            <w:rPr>
                              <w:spacing w:val="-1"/>
                              <w:w w:val="95"/>
                              <w:sz w:val="10"/>
                            </w:rPr>
                            <w:t>3.96</w:t>
                          </w:r>
                        </w:p>
                        <w:p w14:paraId="2B07ECAE" w14:textId="77777777" w:rsidR="00CB53E4" w:rsidRDefault="00CB53E4" w:rsidP="0031675F">
                          <w:pPr>
                            <w:spacing w:before="7"/>
                            <w:rPr>
                              <w:rFonts w:eastAsia="Arial" w:cs="Arial"/>
                              <w:sz w:val="10"/>
                              <w:szCs w:val="10"/>
                            </w:rPr>
                          </w:pPr>
                          <w:r>
                            <w:rPr>
                              <w:spacing w:val="-1"/>
                              <w:w w:val="95"/>
                              <w:sz w:val="10"/>
                            </w:rPr>
                            <w:t>3.92</w:t>
                          </w:r>
                        </w:p>
                        <w:p w14:paraId="6A0F9438" w14:textId="77777777" w:rsidR="00CB53E4" w:rsidRDefault="00CB53E4" w:rsidP="0031675F">
                          <w:pPr>
                            <w:spacing w:before="7"/>
                            <w:rPr>
                              <w:rFonts w:eastAsia="Arial" w:cs="Arial"/>
                              <w:sz w:val="10"/>
                              <w:szCs w:val="10"/>
                            </w:rPr>
                          </w:pPr>
                          <w:r>
                            <w:rPr>
                              <w:spacing w:val="-1"/>
                              <w:w w:val="95"/>
                              <w:sz w:val="10"/>
                            </w:rPr>
                            <w:t>4.04</w:t>
                          </w:r>
                        </w:p>
                        <w:p w14:paraId="72B60D58" w14:textId="77777777" w:rsidR="00CB53E4" w:rsidRDefault="00CB53E4" w:rsidP="0031675F">
                          <w:pPr>
                            <w:spacing w:before="7"/>
                            <w:rPr>
                              <w:rFonts w:eastAsia="Arial" w:cs="Arial"/>
                              <w:sz w:val="10"/>
                              <w:szCs w:val="10"/>
                            </w:rPr>
                          </w:pPr>
                          <w:r>
                            <w:rPr>
                              <w:spacing w:val="-1"/>
                              <w:w w:val="95"/>
                              <w:sz w:val="10"/>
                            </w:rPr>
                            <w:t>3.75</w:t>
                          </w:r>
                        </w:p>
                        <w:p w14:paraId="4D2AE37A" w14:textId="77777777" w:rsidR="00CB53E4" w:rsidRDefault="00CB53E4" w:rsidP="0031675F">
                          <w:pPr>
                            <w:spacing w:before="7" w:line="112" w:lineRule="exact"/>
                            <w:rPr>
                              <w:rFonts w:eastAsia="Arial" w:cs="Arial"/>
                              <w:sz w:val="10"/>
                              <w:szCs w:val="10"/>
                            </w:rPr>
                          </w:pPr>
                          <w:r>
                            <w:rPr>
                              <w:spacing w:val="-1"/>
                              <w:w w:val="95"/>
                              <w:sz w:val="10"/>
                            </w:rPr>
                            <w:t>3.60</w:t>
                          </w:r>
                        </w:p>
                      </w:txbxContent>
                    </v:textbox>
                  </v:shape>
                  <v:shape id="Text Box 8435" o:spid="_x0000_s1662" type="#_x0000_t202" style="position:absolute;left:6792;top:3225;width:164;height:16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qxJ8UA&#10;AADeAAAADwAAAGRycy9kb3ducmV2LnhtbERPTWvCQBC9F/oflil4q5tWkTR1FSkKgiCN6cHjmB2T&#10;xexszK4a/71bKPQ2j/c503lvG3GlzhvHCt6GCQji0mnDlYKfYvWagvABWWPjmBTcycN89vw0xUy7&#10;G+d03YVKxBD2GSqoQ2gzKX1Zk0U/dC1x5I6usxgi7CqpO7zFcNvI9ySZSIuGY0ONLX3VVJ52F6tg&#10;sed8ac7bw3d+zE1RfCS8mZyUGrz0i08QgfrwL/5zr3Wcn47SMfy+E2+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CrEnxQAAAN4AAAAPAAAAAAAAAAAAAAAAAJgCAABkcnMv&#10;ZG93bnJldi54bWxQSwUGAAAAAAQABAD1AAAAigMAAAAA&#10;" filled="f" stroked="f">
                    <v:textbox inset="0,0,0,0">
                      <w:txbxContent>
                        <w:p w14:paraId="319A8C9A" w14:textId="77777777" w:rsidR="00CB53E4" w:rsidRDefault="00CB53E4" w:rsidP="0031675F">
                          <w:pPr>
                            <w:spacing w:line="85" w:lineRule="exact"/>
                            <w:rPr>
                              <w:rFonts w:eastAsia="Arial" w:cs="Arial"/>
                              <w:sz w:val="8"/>
                              <w:szCs w:val="8"/>
                            </w:rPr>
                          </w:pPr>
                          <w:r>
                            <w:rPr>
                              <w:spacing w:val="-1"/>
                              <w:w w:val="105"/>
                              <w:sz w:val="8"/>
                            </w:rPr>
                            <w:t>4.10</w:t>
                          </w:r>
                        </w:p>
                        <w:p w14:paraId="1110C3F2" w14:textId="77777777" w:rsidR="00CB53E4" w:rsidRDefault="00CB53E4" w:rsidP="0031675F">
                          <w:pPr>
                            <w:spacing w:before="45"/>
                            <w:rPr>
                              <w:rFonts w:eastAsia="Arial" w:cs="Arial"/>
                              <w:sz w:val="8"/>
                              <w:szCs w:val="8"/>
                            </w:rPr>
                          </w:pPr>
                          <w:r>
                            <w:rPr>
                              <w:spacing w:val="-1"/>
                              <w:w w:val="105"/>
                              <w:sz w:val="8"/>
                            </w:rPr>
                            <w:t>4.05</w:t>
                          </w:r>
                        </w:p>
                        <w:p w14:paraId="4B39CB48" w14:textId="77777777" w:rsidR="00CB53E4" w:rsidRDefault="00CB53E4" w:rsidP="0031675F">
                          <w:pPr>
                            <w:spacing w:before="46"/>
                            <w:rPr>
                              <w:rFonts w:eastAsia="Arial" w:cs="Arial"/>
                              <w:sz w:val="8"/>
                              <w:szCs w:val="8"/>
                            </w:rPr>
                          </w:pPr>
                          <w:r>
                            <w:rPr>
                              <w:spacing w:val="-1"/>
                              <w:w w:val="105"/>
                              <w:sz w:val="8"/>
                            </w:rPr>
                            <w:t>4.00</w:t>
                          </w:r>
                        </w:p>
                        <w:p w14:paraId="0338595F" w14:textId="77777777" w:rsidR="00CB53E4" w:rsidRDefault="00CB53E4" w:rsidP="0031675F">
                          <w:pPr>
                            <w:spacing w:before="45"/>
                            <w:rPr>
                              <w:rFonts w:eastAsia="Arial" w:cs="Arial"/>
                              <w:sz w:val="8"/>
                              <w:szCs w:val="8"/>
                            </w:rPr>
                          </w:pPr>
                          <w:r>
                            <w:rPr>
                              <w:spacing w:val="-1"/>
                              <w:w w:val="105"/>
                              <w:sz w:val="8"/>
                            </w:rPr>
                            <w:t>3.95</w:t>
                          </w:r>
                        </w:p>
                        <w:p w14:paraId="23C942F7" w14:textId="77777777" w:rsidR="00CB53E4" w:rsidRDefault="00CB53E4" w:rsidP="0031675F">
                          <w:pPr>
                            <w:spacing w:before="45"/>
                            <w:rPr>
                              <w:rFonts w:eastAsia="Arial" w:cs="Arial"/>
                              <w:sz w:val="8"/>
                              <w:szCs w:val="8"/>
                            </w:rPr>
                          </w:pPr>
                          <w:r>
                            <w:rPr>
                              <w:spacing w:val="-1"/>
                              <w:w w:val="105"/>
                              <w:sz w:val="8"/>
                            </w:rPr>
                            <w:t>3.90</w:t>
                          </w:r>
                        </w:p>
                        <w:p w14:paraId="7B1AD313" w14:textId="77777777" w:rsidR="00CB53E4" w:rsidRDefault="00CB53E4" w:rsidP="0031675F">
                          <w:pPr>
                            <w:spacing w:before="45"/>
                            <w:rPr>
                              <w:rFonts w:eastAsia="Arial" w:cs="Arial"/>
                              <w:sz w:val="8"/>
                              <w:szCs w:val="8"/>
                            </w:rPr>
                          </w:pPr>
                          <w:r>
                            <w:rPr>
                              <w:spacing w:val="-1"/>
                              <w:w w:val="105"/>
                              <w:sz w:val="8"/>
                            </w:rPr>
                            <w:t>3.85</w:t>
                          </w:r>
                        </w:p>
                        <w:p w14:paraId="4F206C79" w14:textId="77777777" w:rsidR="00CB53E4" w:rsidRDefault="00CB53E4" w:rsidP="0031675F">
                          <w:pPr>
                            <w:spacing w:before="46"/>
                            <w:rPr>
                              <w:rFonts w:eastAsia="Arial" w:cs="Arial"/>
                              <w:sz w:val="8"/>
                              <w:szCs w:val="8"/>
                            </w:rPr>
                          </w:pPr>
                          <w:r>
                            <w:rPr>
                              <w:spacing w:val="-1"/>
                              <w:w w:val="105"/>
                              <w:sz w:val="8"/>
                            </w:rPr>
                            <w:t>3.80</w:t>
                          </w:r>
                        </w:p>
                        <w:p w14:paraId="29EE3F71" w14:textId="77777777" w:rsidR="00CB53E4" w:rsidRDefault="00CB53E4" w:rsidP="0031675F">
                          <w:pPr>
                            <w:spacing w:before="45"/>
                            <w:rPr>
                              <w:rFonts w:eastAsia="Arial" w:cs="Arial"/>
                              <w:sz w:val="8"/>
                              <w:szCs w:val="8"/>
                            </w:rPr>
                          </w:pPr>
                          <w:r>
                            <w:rPr>
                              <w:spacing w:val="-1"/>
                              <w:w w:val="105"/>
                              <w:sz w:val="8"/>
                            </w:rPr>
                            <w:t>3.75</w:t>
                          </w:r>
                        </w:p>
                        <w:p w14:paraId="34049197" w14:textId="77777777" w:rsidR="00CB53E4" w:rsidRDefault="00CB53E4" w:rsidP="0031675F">
                          <w:pPr>
                            <w:spacing w:before="45"/>
                            <w:rPr>
                              <w:rFonts w:eastAsia="Arial" w:cs="Arial"/>
                              <w:sz w:val="8"/>
                              <w:szCs w:val="8"/>
                            </w:rPr>
                          </w:pPr>
                          <w:r>
                            <w:rPr>
                              <w:spacing w:val="-1"/>
                              <w:w w:val="105"/>
                              <w:sz w:val="8"/>
                            </w:rPr>
                            <w:t>3.70</w:t>
                          </w:r>
                        </w:p>
                        <w:p w14:paraId="2E5228E5" w14:textId="77777777" w:rsidR="00CB53E4" w:rsidRDefault="00CB53E4" w:rsidP="0031675F">
                          <w:pPr>
                            <w:spacing w:before="45"/>
                            <w:rPr>
                              <w:rFonts w:eastAsia="Arial" w:cs="Arial"/>
                              <w:sz w:val="8"/>
                              <w:szCs w:val="8"/>
                            </w:rPr>
                          </w:pPr>
                          <w:r>
                            <w:rPr>
                              <w:spacing w:val="-1"/>
                              <w:w w:val="105"/>
                              <w:sz w:val="8"/>
                            </w:rPr>
                            <w:t>3.65</w:t>
                          </w:r>
                        </w:p>
                        <w:p w14:paraId="20F7A745" w14:textId="77777777" w:rsidR="00CB53E4" w:rsidRDefault="00CB53E4" w:rsidP="0031675F">
                          <w:pPr>
                            <w:spacing w:before="46"/>
                            <w:rPr>
                              <w:rFonts w:eastAsia="Arial" w:cs="Arial"/>
                              <w:sz w:val="8"/>
                              <w:szCs w:val="8"/>
                            </w:rPr>
                          </w:pPr>
                          <w:r>
                            <w:rPr>
                              <w:spacing w:val="-1"/>
                              <w:w w:val="105"/>
                              <w:sz w:val="8"/>
                            </w:rPr>
                            <w:t>3.60</w:t>
                          </w:r>
                        </w:p>
                        <w:p w14:paraId="57D8BFE2" w14:textId="77777777" w:rsidR="00CB53E4" w:rsidRDefault="00CB53E4" w:rsidP="0031675F">
                          <w:pPr>
                            <w:spacing w:before="45" w:line="91" w:lineRule="exact"/>
                            <w:rPr>
                              <w:rFonts w:eastAsia="Arial" w:cs="Arial"/>
                              <w:sz w:val="8"/>
                              <w:szCs w:val="8"/>
                            </w:rPr>
                          </w:pPr>
                          <w:r>
                            <w:rPr>
                              <w:spacing w:val="-1"/>
                              <w:w w:val="105"/>
                              <w:sz w:val="8"/>
                            </w:rPr>
                            <w:t>3.55</w:t>
                          </w:r>
                        </w:p>
                      </w:txbxContent>
                    </v:textbox>
                  </v:shape>
                  <v:shape id="Text Box 8434" o:spid="_x0000_s1663" type="#_x0000_t202" style="position:absolute;left:10083;top:3083;width:651;height:10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YUvMUA&#10;AADeAAAADwAAAGRycy9kb3ducmV2LnhtbERPTWvCQBC9F/oflil4q5tWlDR1FSkKgiCN6cHjmB2T&#10;xexszK4a/71bKPQ2j/c503lvG3GlzhvHCt6GCQji0mnDlYKfYvWagvABWWPjmBTcycN89vw0xUy7&#10;G+d03YVKxBD2GSqoQ2gzKX1Zk0U/dC1x5I6usxgi7CqpO7zFcNvI9ySZSIuGY0ONLX3VVJ52F6tg&#10;sed8ac7bw3d+zE1RfCS8mZyUGrz0i08QgfrwL/5zr3Wcn47SMfy+E2+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RhS8xQAAAN4AAAAPAAAAAAAAAAAAAAAAAJgCAABkcnMv&#10;ZG93bnJldi54bWxQSwUGAAAAAAQABAD1AAAAigMAAAAA&#10;" filled="f" stroked="f">
                    <v:textbox inset="0,0,0,0">
                      <w:txbxContent>
                        <w:p w14:paraId="68ACCAEB" w14:textId="77777777" w:rsidR="00CB53E4" w:rsidRDefault="00CB53E4" w:rsidP="0031675F">
                          <w:pPr>
                            <w:tabs>
                              <w:tab w:val="left" w:pos="459"/>
                            </w:tabs>
                            <w:spacing w:line="101" w:lineRule="exact"/>
                            <w:ind w:left="27"/>
                            <w:rPr>
                              <w:rFonts w:eastAsia="Arial" w:cs="Arial"/>
                              <w:sz w:val="10"/>
                              <w:szCs w:val="10"/>
                            </w:rPr>
                          </w:pPr>
                          <w:r>
                            <w:rPr>
                              <w:w w:val="95"/>
                              <w:sz w:val="10"/>
                            </w:rPr>
                            <w:t>5</w:t>
                          </w:r>
                          <w:r>
                            <w:rPr>
                              <w:w w:val="95"/>
                              <w:sz w:val="10"/>
                            </w:rPr>
                            <w:tab/>
                          </w:r>
                          <w:r>
                            <w:rPr>
                              <w:spacing w:val="-1"/>
                              <w:w w:val="95"/>
                              <w:sz w:val="10"/>
                            </w:rPr>
                            <w:t>4.56</w:t>
                          </w:r>
                        </w:p>
                        <w:p w14:paraId="47F19B4C" w14:textId="77777777" w:rsidR="00CB53E4" w:rsidRDefault="00CB53E4" w:rsidP="0031675F">
                          <w:pPr>
                            <w:tabs>
                              <w:tab w:val="left" w:pos="459"/>
                            </w:tabs>
                            <w:spacing w:before="7"/>
                            <w:ind w:left="27"/>
                            <w:rPr>
                              <w:rFonts w:eastAsia="Arial" w:cs="Arial"/>
                              <w:sz w:val="10"/>
                              <w:szCs w:val="10"/>
                            </w:rPr>
                          </w:pPr>
                          <w:r>
                            <w:rPr>
                              <w:w w:val="95"/>
                              <w:sz w:val="10"/>
                            </w:rPr>
                            <w:t>9</w:t>
                          </w:r>
                          <w:r>
                            <w:rPr>
                              <w:w w:val="95"/>
                              <w:sz w:val="10"/>
                            </w:rPr>
                            <w:tab/>
                          </w:r>
                          <w:r>
                            <w:rPr>
                              <w:spacing w:val="-1"/>
                              <w:w w:val="95"/>
                              <w:sz w:val="10"/>
                            </w:rPr>
                            <w:t>4.40</w:t>
                          </w:r>
                        </w:p>
                        <w:p w14:paraId="1ADF8B1A" w14:textId="77777777" w:rsidR="00CB53E4" w:rsidRDefault="00CB53E4" w:rsidP="0031675F">
                          <w:pPr>
                            <w:tabs>
                              <w:tab w:val="left" w:pos="459"/>
                            </w:tabs>
                            <w:spacing w:before="7"/>
                            <w:rPr>
                              <w:rFonts w:eastAsia="Arial" w:cs="Arial"/>
                              <w:sz w:val="10"/>
                              <w:szCs w:val="10"/>
                            </w:rPr>
                          </w:pPr>
                          <w:r>
                            <w:rPr>
                              <w:spacing w:val="-1"/>
                              <w:w w:val="95"/>
                              <w:sz w:val="10"/>
                            </w:rPr>
                            <w:t>10</w:t>
                          </w:r>
                          <w:r>
                            <w:rPr>
                              <w:spacing w:val="-1"/>
                              <w:w w:val="95"/>
                              <w:sz w:val="10"/>
                            </w:rPr>
                            <w:tab/>
                            <w:t>4.30</w:t>
                          </w:r>
                        </w:p>
                        <w:p w14:paraId="0CE82BC8" w14:textId="77777777" w:rsidR="00CB53E4" w:rsidRDefault="00CB53E4" w:rsidP="0031675F">
                          <w:pPr>
                            <w:tabs>
                              <w:tab w:val="left" w:pos="459"/>
                            </w:tabs>
                            <w:spacing w:before="7"/>
                            <w:rPr>
                              <w:rFonts w:eastAsia="Arial" w:cs="Arial"/>
                              <w:sz w:val="10"/>
                              <w:szCs w:val="10"/>
                            </w:rPr>
                          </w:pPr>
                          <w:r>
                            <w:rPr>
                              <w:spacing w:val="-1"/>
                              <w:w w:val="95"/>
                              <w:sz w:val="10"/>
                            </w:rPr>
                            <w:t>28</w:t>
                          </w:r>
                          <w:r>
                            <w:rPr>
                              <w:spacing w:val="-1"/>
                              <w:w w:val="95"/>
                              <w:sz w:val="10"/>
                            </w:rPr>
                            <w:tab/>
                            <w:t>4.29</w:t>
                          </w:r>
                        </w:p>
                        <w:p w14:paraId="41E44823" w14:textId="77777777" w:rsidR="00CB53E4" w:rsidRDefault="00CB53E4" w:rsidP="0031675F">
                          <w:pPr>
                            <w:tabs>
                              <w:tab w:val="left" w:pos="459"/>
                            </w:tabs>
                            <w:spacing w:before="7"/>
                            <w:rPr>
                              <w:rFonts w:eastAsia="Arial" w:cs="Arial"/>
                              <w:sz w:val="10"/>
                              <w:szCs w:val="10"/>
                            </w:rPr>
                          </w:pPr>
                          <w:r>
                            <w:rPr>
                              <w:spacing w:val="-1"/>
                              <w:w w:val="95"/>
                              <w:sz w:val="10"/>
                            </w:rPr>
                            <w:t>29</w:t>
                          </w:r>
                          <w:r>
                            <w:rPr>
                              <w:spacing w:val="-1"/>
                              <w:w w:val="95"/>
                              <w:sz w:val="10"/>
                            </w:rPr>
                            <w:tab/>
                            <w:t>4.20</w:t>
                          </w:r>
                        </w:p>
                        <w:p w14:paraId="6DB02E32" w14:textId="77777777" w:rsidR="00CB53E4" w:rsidRDefault="00CB53E4" w:rsidP="0031675F">
                          <w:pPr>
                            <w:tabs>
                              <w:tab w:val="left" w:pos="459"/>
                            </w:tabs>
                            <w:spacing w:before="7"/>
                            <w:rPr>
                              <w:rFonts w:eastAsia="Arial" w:cs="Arial"/>
                              <w:sz w:val="10"/>
                              <w:szCs w:val="10"/>
                            </w:rPr>
                          </w:pPr>
                          <w:r>
                            <w:rPr>
                              <w:spacing w:val="-1"/>
                              <w:w w:val="95"/>
                              <w:sz w:val="10"/>
                            </w:rPr>
                            <w:t>51</w:t>
                          </w:r>
                          <w:r>
                            <w:rPr>
                              <w:spacing w:val="-1"/>
                              <w:w w:val="95"/>
                              <w:sz w:val="10"/>
                            </w:rPr>
                            <w:tab/>
                            <w:t>4.24</w:t>
                          </w:r>
                        </w:p>
                        <w:p w14:paraId="1AE918F2" w14:textId="77777777" w:rsidR="00CB53E4" w:rsidRDefault="00CB53E4" w:rsidP="0031675F">
                          <w:pPr>
                            <w:tabs>
                              <w:tab w:val="left" w:pos="459"/>
                            </w:tabs>
                            <w:spacing w:before="7"/>
                            <w:rPr>
                              <w:rFonts w:eastAsia="Arial" w:cs="Arial"/>
                              <w:sz w:val="10"/>
                              <w:szCs w:val="10"/>
                            </w:rPr>
                          </w:pPr>
                          <w:r>
                            <w:rPr>
                              <w:spacing w:val="-1"/>
                              <w:w w:val="95"/>
                              <w:sz w:val="10"/>
                            </w:rPr>
                            <w:t>52</w:t>
                          </w:r>
                          <w:r>
                            <w:rPr>
                              <w:spacing w:val="-1"/>
                              <w:w w:val="95"/>
                              <w:sz w:val="10"/>
                            </w:rPr>
                            <w:tab/>
                            <w:t>4.11</w:t>
                          </w:r>
                        </w:p>
                        <w:p w14:paraId="7B6EBB3A" w14:textId="77777777" w:rsidR="00CB53E4" w:rsidRDefault="00CB53E4" w:rsidP="0031675F">
                          <w:pPr>
                            <w:tabs>
                              <w:tab w:val="left" w:pos="459"/>
                            </w:tabs>
                            <w:spacing w:before="7"/>
                            <w:rPr>
                              <w:rFonts w:eastAsia="Arial" w:cs="Arial"/>
                              <w:sz w:val="10"/>
                              <w:szCs w:val="10"/>
                            </w:rPr>
                          </w:pPr>
                          <w:r>
                            <w:rPr>
                              <w:spacing w:val="-1"/>
                              <w:w w:val="95"/>
                              <w:sz w:val="10"/>
                            </w:rPr>
                            <w:t>72</w:t>
                          </w:r>
                          <w:r>
                            <w:rPr>
                              <w:spacing w:val="-1"/>
                              <w:w w:val="95"/>
                              <w:sz w:val="10"/>
                            </w:rPr>
                            <w:tab/>
                            <w:t>4.12</w:t>
                          </w:r>
                        </w:p>
                        <w:p w14:paraId="62118C91" w14:textId="77777777" w:rsidR="00CB53E4" w:rsidRDefault="00CB53E4" w:rsidP="0031675F">
                          <w:pPr>
                            <w:tabs>
                              <w:tab w:val="left" w:pos="459"/>
                            </w:tabs>
                            <w:spacing w:before="7" w:line="112" w:lineRule="exact"/>
                            <w:rPr>
                              <w:rFonts w:eastAsia="Arial" w:cs="Arial"/>
                              <w:sz w:val="10"/>
                              <w:szCs w:val="10"/>
                            </w:rPr>
                          </w:pPr>
                          <w:r>
                            <w:rPr>
                              <w:spacing w:val="-1"/>
                              <w:w w:val="95"/>
                              <w:sz w:val="10"/>
                            </w:rPr>
                            <w:t>73</w:t>
                          </w:r>
                          <w:r>
                            <w:rPr>
                              <w:spacing w:val="-1"/>
                              <w:w w:val="95"/>
                              <w:sz w:val="10"/>
                            </w:rPr>
                            <w:tab/>
                            <w:t>3.97</w:t>
                          </w:r>
                        </w:p>
                      </w:txbxContent>
                    </v:textbox>
                  </v:shape>
                  <v:shape id="Text Box 8433" o:spid="_x0000_s1664" type="#_x0000_t202" style="position:absolute;left:7151;top:4349;width:1930;height:1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SKy8UA&#10;AADeAAAADwAAAGRycy9kb3ducmV2LnhtbERPTWvCQBC9C/0PyxR6MxtbCGl0FZEKhUJpTA8ex+yY&#10;LGZnY3bV9N93CwVv83ifs1iNthNXGrxxrGCWpCCIa6cNNwq+q+00B+EDssbOMSn4IQ+r5cNkgYV2&#10;Ny7puguNiCHsC1TQhtAXUvq6JYs+cT1x5I5usBgiHBqpB7zFcNvJ5zTNpEXDsaHFnjYt1afdxSpY&#10;77l8M+fPw1d5LE1Vvab8kZ2Uenoc13MQgcZwF/+733Wcn7/kGfy9E2+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lIrLxQAAAN4AAAAPAAAAAAAAAAAAAAAAAJgCAABkcnMv&#10;ZG93bnJldi54bWxQSwUGAAAAAAQABAD1AAAAigMAAAAA&#10;" filled="f" stroked="f">
                    <v:textbox inset="0,0,0,0">
                      <w:txbxContent>
                        <w:p w14:paraId="00E24898" w14:textId="77777777" w:rsidR="00CB53E4" w:rsidRDefault="00CB53E4" w:rsidP="0031675F">
                          <w:pPr>
                            <w:spacing w:line="103" w:lineRule="exact"/>
                            <w:rPr>
                              <w:rFonts w:eastAsia="Arial" w:cs="Arial"/>
                              <w:sz w:val="8"/>
                              <w:szCs w:val="8"/>
                            </w:rPr>
                          </w:pPr>
                          <w:r>
                            <w:rPr>
                              <w:w w:val="105"/>
                              <w:sz w:val="8"/>
                            </w:rPr>
                            <w:t>y</w:t>
                          </w:r>
                          <w:r>
                            <w:rPr>
                              <w:spacing w:val="-1"/>
                              <w:w w:val="105"/>
                              <w:sz w:val="8"/>
                            </w:rPr>
                            <w:t xml:space="preserve"> </w:t>
                          </w:r>
                          <w:r>
                            <w:rPr>
                              <w:w w:val="105"/>
                              <w:sz w:val="8"/>
                            </w:rPr>
                            <w:t>=</w:t>
                          </w:r>
                          <w:r>
                            <w:rPr>
                              <w:spacing w:val="-1"/>
                              <w:w w:val="105"/>
                              <w:sz w:val="8"/>
                            </w:rPr>
                            <w:t xml:space="preserve"> -0.000209729x</w:t>
                          </w:r>
                          <w:r>
                            <w:rPr>
                              <w:spacing w:val="-1"/>
                              <w:w w:val="105"/>
                              <w:position w:val="4"/>
                              <w:sz w:val="5"/>
                            </w:rPr>
                            <w:t>2</w:t>
                          </w:r>
                          <w:r>
                            <w:rPr>
                              <w:spacing w:val="8"/>
                              <w:w w:val="105"/>
                              <w:position w:val="4"/>
                              <w:sz w:val="5"/>
                            </w:rPr>
                            <w:t xml:space="preserve"> </w:t>
                          </w:r>
                          <w:r>
                            <w:rPr>
                              <w:w w:val="105"/>
                              <w:sz w:val="8"/>
                            </w:rPr>
                            <w:t xml:space="preserve">+ </w:t>
                          </w:r>
                          <w:r>
                            <w:rPr>
                              <w:spacing w:val="-1"/>
                              <w:w w:val="105"/>
                              <w:sz w:val="8"/>
                            </w:rPr>
                            <w:t>0.013846387x</w:t>
                          </w:r>
                          <w:r>
                            <w:rPr>
                              <w:spacing w:val="-2"/>
                              <w:w w:val="105"/>
                              <w:sz w:val="8"/>
                            </w:rPr>
                            <w:t xml:space="preserve"> </w:t>
                          </w:r>
                          <w:r>
                            <w:rPr>
                              <w:w w:val="105"/>
                              <w:sz w:val="8"/>
                            </w:rPr>
                            <w:t>+</w:t>
                          </w:r>
                          <w:r>
                            <w:rPr>
                              <w:spacing w:val="-1"/>
                              <w:w w:val="105"/>
                              <w:sz w:val="8"/>
                            </w:rPr>
                            <w:t xml:space="preserve"> 3.780167920</w:t>
                          </w:r>
                        </w:p>
                      </w:txbxContent>
                    </v:textbox>
                  </v:shape>
                  <v:shape id="Text Box 8432" o:spid="_x0000_s1665" type="#_x0000_t202" style="position:absolute;left:6996;top:4866;width:408;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gvUMUA&#10;AADeAAAADwAAAGRycy9kb3ducmV2LnhtbERPTWvCQBC9F/oflil4q5tWsGnqKlIUBEEa04PHMTsm&#10;i9nZmF01/ntXKPQ2j/c5k1lvG3GhzhvHCt6GCQji0mnDlYLfYvmagvABWWPjmBTcyMNs+vw0wUy7&#10;K+d02YZKxBD2GSqoQ2gzKX1Zk0U/dC1x5A6usxgi7CqpO7zGcNvI9yQZS4uGY0ONLX3XVB63Z6tg&#10;vuN8YU6b/U9+yE1RfCa8Hh+VGrz08y8QgfrwL/5zr3Scn47SD3i8E2+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2C9QxQAAAN4AAAAPAAAAAAAAAAAAAAAAAJgCAABkcnMv&#10;ZG93bnJldi54bWxQSwUGAAAAAAQABAD1AAAAigMAAAAA&#10;" filled="f" stroked="f">
                    <v:textbox inset="0,0,0,0">
                      <w:txbxContent>
                        <w:p w14:paraId="34B70FCD" w14:textId="77777777" w:rsidR="00CB53E4" w:rsidRDefault="00CB53E4" w:rsidP="0031675F">
                          <w:pPr>
                            <w:tabs>
                              <w:tab w:val="left" w:pos="314"/>
                            </w:tabs>
                            <w:spacing w:line="84" w:lineRule="exact"/>
                            <w:rPr>
                              <w:rFonts w:eastAsia="Arial" w:cs="Arial"/>
                              <w:sz w:val="8"/>
                              <w:szCs w:val="8"/>
                            </w:rPr>
                          </w:pPr>
                          <w:r>
                            <w:rPr>
                              <w:w w:val="105"/>
                              <w:sz w:val="8"/>
                            </w:rPr>
                            <w:t>0</w:t>
                          </w:r>
                          <w:r>
                            <w:rPr>
                              <w:w w:val="105"/>
                              <w:sz w:val="8"/>
                            </w:rPr>
                            <w:tab/>
                          </w:r>
                          <w:r>
                            <w:rPr>
                              <w:spacing w:val="-1"/>
                              <w:w w:val="105"/>
                              <w:sz w:val="8"/>
                            </w:rPr>
                            <w:t>10</w:t>
                          </w:r>
                        </w:p>
                      </w:txbxContent>
                    </v:textbox>
                  </v:shape>
                  <v:shape id="Text Box 8431" o:spid="_x0000_s1666" type="#_x0000_t202" style="position:absolute;left:7648;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e7IscA&#10;AADeAAAADwAAAGRycy9kb3ducmV2LnhtbESPQUvDQBCF70L/wzIFb3ZThRLTbkoRBUEQ03jwOGYn&#10;ydLsbMyubfz3zkHwNsN78943u/3sB3WmKbrABtarDBRxE6zjzsB7/XSTg4oJ2eIQmAz8UIR9ubja&#10;YWHDhSs6H1OnJIRjgQb6lMZC69j05DGuwkgsWhsmj0nWqdN2wouE+0HfZtlGe3QsDT2O9NBTczp+&#10;ewOHD64e3dfr51vVVq6u7zN+2ZyMuV7Ohy2oRHP6N/9dP1vBz+9y4ZV3ZAZd/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ZHuyLHAAAA3gAAAA8AAAAAAAAAAAAAAAAAmAIAAGRy&#10;cy9kb3ducmV2LnhtbFBLBQYAAAAABAAEAPUAAACMAwAAAAA=&#10;" filled="f" stroked="f">
                    <v:textbox inset="0,0,0,0">
                      <w:txbxContent>
                        <w:p w14:paraId="2D8A349A" w14:textId="77777777" w:rsidR="00CB53E4" w:rsidRDefault="00CB53E4" w:rsidP="0031675F">
                          <w:pPr>
                            <w:spacing w:line="84" w:lineRule="exact"/>
                            <w:rPr>
                              <w:rFonts w:eastAsia="Arial" w:cs="Arial"/>
                              <w:sz w:val="8"/>
                              <w:szCs w:val="8"/>
                            </w:rPr>
                          </w:pPr>
                          <w:r>
                            <w:rPr>
                              <w:spacing w:val="-1"/>
                              <w:w w:val="105"/>
                              <w:sz w:val="8"/>
                            </w:rPr>
                            <w:t>20</w:t>
                          </w:r>
                        </w:p>
                      </w:txbxContent>
                    </v:textbox>
                  </v:shape>
                  <v:shape id="Text Box 8430" o:spid="_x0000_s1667" type="#_x0000_t202" style="position:absolute;left:7986;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seucUA&#10;AADeAAAADwAAAGRycy9kb3ducmV2LnhtbERPTWvCQBC9F/oflil4qxsrSIxuRKSCIJTG9NDjNDsm&#10;S7KzMbtq+u+7hUJv83ifs96MthM3GrxxrGA2TUAQV04brhV8lPvnFIQPyBo7x6Tgmzxs8seHNWba&#10;3bmg2ynUIoawz1BBE0KfSemrhiz6qeuJI3d2g8UQ4VBLPeA9httOviTJQlo0HBsa7GnXUNWerlbB&#10;9pOLV3N5+3ovzoUpy2XCx0Wr1ORp3K5ABBrDv/jPfdBxfjpPl/D7TrxB5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Cx65xQAAAN4AAAAPAAAAAAAAAAAAAAAAAJgCAABkcnMv&#10;ZG93bnJldi54bWxQSwUGAAAAAAQABAD1AAAAigMAAAAA&#10;" filled="f" stroked="f">
                    <v:textbox inset="0,0,0,0">
                      <w:txbxContent>
                        <w:p w14:paraId="62A319CF" w14:textId="77777777" w:rsidR="00CB53E4" w:rsidRDefault="00CB53E4" w:rsidP="0031675F">
                          <w:pPr>
                            <w:spacing w:line="84" w:lineRule="exact"/>
                            <w:rPr>
                              <w:rFonts w:eastAsia="Arial" w:cs="Arial"/>
                              <w:sz w:val="8"/>
                              <w:szCs w:val="8"/>
                            </w:rPr>
                          </w:pPr>
                          <w:r>
                            <w:rPr>
                              <w:spacing w:val="-1"/>
                              <w:w w:val="105"/>
                              <w:sz w:val="8"/>
                            </w:rPr>
                            <w:t>30</w:t>
                          </w:r>
                        </w:p>
                      </w:txbxContent>
                    </v:textbox>
                  </v:shape>
                  <v:shape id="Text Box 8429" o:spid="_x0000_s1668" type="#_x0000_t202" style="position:absolute;left:8323;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gh+ccA&#10;AADeAAAADwAAAGRycy9kb3ducmV2LnhtbESPQWvCQBCF74X+h2UK3uqmFkRTVxGxUBBKYzx4HLNj&#10;spidjdmtpv++cyj0NsO8ee99i9XgW3WjPrrABl7GGSjiKljHtYFD+f48AxUTssU2MBn4oQir5ePD&#10;AnMb7lzQbZ9qJSYcczTQpNTlWseqIY9xHDpiuZ1D7zHJ2tfa9ngXc9/qSZZNtUfHktBgR5uGqsv+&#10;2xtYH7nYuuvn6as4F64s5xnvphdjRk/D+g1UoiH9i/++P6zUn73OBUBwZAa9/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3oIfnHAAAA3gAAAA8AAAAAAAAAAAAAAAAAmAIAAGRy&#10;cy9kb3ducmV2LnhtbFBLBQYAAAAABAAEAPUAAACMAwAAAAA=&#10;" filled="f" stroked="f">
                    <v:textbox inset="0,0,0,0">
                      <w:txbxContent>
                        <w:p w14:paraId="0402C29D" w14:textId="77777777" w:rsidR="00CB53E4" w:rsidRDefault="00CB53E4" w:rsidP="0031675F">
                          <w:pPr>
                            <w:spacing w:line="84" w:lineRule="exact"/>
                            <w:rPr>
                              <w:rFonts w:eastAsia="Arial" w:cs="Arial"/>
                              <w:sz w:val="8"/>
                              <w:szCs w:val="8"/>
                            </w:rPr>
                          </w:pPr>
                          <w:r>
                            <w:rPr>
                              <w:spacing w:val="-1"/>
                              <w:w w:val="105"/>
                              <w:sz w:val="8"/>
                            </w:rPr>
                            <w:t>40</w:t>
                          </w:r>
                        </w:p>
                      </w:txbxContent>
                    </v:textbox>
                  </v:shape>
                  <v:shape id="Text Box 8428" o:spid="_x0000_s1669" type="#_x0000_t202" style="position:absolute;left:8661;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SEYsQA&#10;AADeAAAADwAAAGRycy9kb3ducmV2LnhtbERPTYvCMBC9L/gfwgh7W1N3QbQaRWSFhQXZWg8ex2Zs&#10;g82kNlHrv98Igrd5vM+ZLTpbiyu13jhWMBwkIIgLpw2XCnb5+mMMwgdkjbVjUnAnD4t5722GqXY3&#10;zui6DaWIIexTVFCF0KRS+qIii37gGuLIHV1rMUTYllK3eIvhtpafSTKSFg3HhgobWlVUnLYXq2C5&#10;5+zbnDeHv+yYmTyfJPw7Oin13u+WUxCBuvASP90/Os4ff02G8Hgn3i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khGLEAAAA3gAAAA8AAAAAAAAAAAAAAAAAmAIAAGRycy9k&#10;b3ducmV2LnhtbFBLBQYAAAAABAAEAPUAAACJAwAAAAA=&#10;" filled="f" stroked="f">
                    <v:textbox inset="0,0,0,0">
                      <w:txbxContent>
                        <w:p w14:paraId="44979F48" w14:textId="77777777" w:rsidR="00CB53E4" w:rsidRDefault="00CB53E4" w:rsidP="0031675F">
                          <w:pPr>
                            <w:spacing w:line="84" w:lineRule="exact"/>
                            <w:rPr>
                              <w:rFonts w:eastAsia="Arial" w:cs="Arial"/>
                              <w:sz w:val="8"/>
                              <w:szCs w:val="8"/>
                            </w:rPr>
                          </w:pPr>
                          <w:r>
                            <w:rPr>
                              <w:spacing w:val="-1"/>
                              <w:w w:val="105"/>
                              <w:sz w:val="8"/>
                            </w:rPr>
                            <w:t>50</w:t>
                          </w:r>
                        </w:p>
                      </w:txbxContent>
                    </v:textbox>
                  </v:shape>
                  <v:shape id="Text Box 8427" o:spid="_x0000_s1670" type="#_x0000_t202" style="position:absolute;left:8998;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YaFcQA&#10;AADeAAAADwAAAGRycy9kb3ducmV2LnhtbERPTYvCMBC9L/gfwgh7W1MVRKtRRHZBWJCt9eBxbMY2&#10;2Ey6TVbrv98Igrd5vM9ZrDpbiyu13jhWMBwkIIgLpw2XCg7518cUhA/IGmvHpOBOHlbL3tsCU+1u&#10;nNF1H0oRQ9inqKAKoUml9EVFFv3ANcSRO7vWYoiwLaVu8RbDbS1HSTKRFg3Hhgob2lRUXPZ/VsH6&#10;yNmn+d2dfrJzZvJ8lvD35KLUe79bz0EE6sJL/HRvdZw/Hc9G8Hgn3i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2GhXEAAAA3gAAAA8AAAAAAAAAAAAAAAAAmAIAAGRycy9k&#10;b3ducmV2LnhtbFBLBQYAAAAABAAEAPUAAACJAwAAAAA=&#10;" filled="f" stroked="f">
                    <v:textbox inset="0,0,0,0">
                      <w:txbxContent>
                        <w:p w14:paraId="5F64AD96" w14:textId="77777777" w:rsidR="00CB53E4" w:rsidRDefault="00CB53E4" w:rsidP="0031675F">
                          <w:pPr>
                            <w:spacing w:line="84" w:lineRule="exact"/>
                            <w:rPr>
                              <w:rFonts w:eastAsia="Arial" w:cs="Arial"/>
                              <w:sz w:val="8"/>
                              <w:szCs w:val="8"/>
                            </w:rPr>
                          </w:pPr>
                          <w:r>
                            <w:rPr>
                              <w:spacing w:val="-1"/>
                              <w:w w:val="105"/>
                              <w:sz w:val="8"/>
                            </w:rPr>
                            <w:t>60</w:t>
                          </w:r>
                        </w:p>
                      </w:txbxContent>
                    </v:textbox>
                  </v:shape>
                  <v:shape id="Text Box 8426" o:spid="_x0000_s1671" type="#_x0000_t202" style="position:absolute;left:9337;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q/jsQA&#10;AADeAAAADwAAAGRycy9kb3ducmV2LnhtbERPTYvCMBC9L/gfwgje1tQVRKtRRHZBEBZrPXgcm7EN&#10;NpNuE7X7783Cgrd5vM9ZrDpbizu13jhWMBomIIgLpw2XCo751/sUhA/IGmvHpOCXPKyWvbcFpto9&#10;OKP7IZQihrBPUUEVQpNK6YuKLPqha4gjd3GtxRBhW0rd4iOG21p+JMlEWjQcGypsaFNRcT3crIL1&#10;ibNP8/N93meXzOT5LOHd5KrUoN+t5yACdeEl/ndvdZw/Hc/G8PdOvEE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6v47EAAAA3gAAAA8AAAAAAAAAAAAAAAAAmAIAAGRycy9k&#10;b3ducmV2LnhtbFBLBQYAAAAABAAEAPUAAACJAwAAAAA=&#10;" filled="f" stroked="f">
                    <v:textbox inset="0,0,0,0">
                      <w:txbxContent>
                        <w:p w14:paraId="04091216" w14:textId="77777777" w:rsidR="00CB53E4" w:rsidRDefault="00CB53E4" w:rsidP="0031675F">
                          <w:pPr>
                            <w:spacing w:line="84" w:lineRule="exact"/>
                            <w:rPr>
                              <w:rFonts w:eastAsia="Arial" w:cs="Arial"/>
                              <w:sz w:val="8"/>
                              <w:szCs w:val="8"/>
                            </w:rPr>
                          </w:pPr>
                          <w:r>
                            <w:rPr>
                              <w:spacing w:val="-1"/>
                              <w:w w:val="105"/>
                              <w:sz w:val="8"/>
                            </w:rPr>
                            <w:t>70</w:t>
                          </w:r>
                        </w:p>
                      </w:txbxContent>
                    </v:textbox>
                  </v:shape>
                  <v:shape id="Text Box 8425" o:spid="_x0000_s1672" type="#_x0000_t202" style="position:absolute;left:9674;top:4866;width:93;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Mn+sQA&#10;AADeAAAADwAAAGRycy9kb3ducmV2LnhtbERPTWvCQBC9C/0PyxR6041WRKOriLQgCMUYDz1Os2Oy&#10;mJ1Ns1uN/74rCN7m8T5nsepsLS7UeuNYwXCQgCAunDZcKjjmn/0pCB+QNdaOScGNPKyWL70Fptpd&#10;OaPLIZQihrBPUUEVQpNK6YuKLPqBa4gjd3KtxRBhW0rd4jWG21qOkmQiLRqODRU2tKmoOB/+rIL1&#10;N2cf5vfrZ5+dMpPns4R3k7NSb6/deg4iUBee4od7q+P86ftsDPd34g1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TJ/rEAAAA3gAAAA8AAAAAAAAAAAAAAAAAmAIAAGRycy9k&#10;b3ducmV2LnhtbFBLBQYAAAAABAAEAPUAAACJAwAAAAA=&#10;" filled="f" stroked="f">
                    <v:textbox inset="0,0,0,0">
                      <w:txbxContent>
                        <w:p w14:paraId="1C1787EC" w14:textId="77777777" w:rsidR="00CB53E4" w:rsidRDefault="00CB53E4" w:rsidP="0031675F">
                          <w:pPr>
                            <w:spacing w:line="84" w:lineRule="exact"/>
                            <w:rPr>
                              <w:rFonts w:eastAsia="Arial" w:cs="Arial"/>
                              <w:sz w:val="8"/>
                              <w:szCs w:val="8"/>
                            </w:rPr>
                          </w:pPr>
                          <w:r>
                            <w:rPr>
                              <w:spacing w:val="-1"/>
                              <w:w w:val="105"/>
                              <w:sz w:val="8"/>
                            </w:rPr>
                            <w:t>80</w:t>
                          </w:r>
                        </w:p>
                      </w:txbxContent>
                    </v:textbox>
                  </v:shape>
                  <v:shape id="Text Box 8424" o:spid="_x0000_s1673" type="#_x0000_t202" style="position:absolute;left:533;top:5047;width:420;height:16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CYcQA&#10;AADeAAAADwAAAGRycy9kb3ducmV2LnhtbERPTWvCQBC9C/0PyxR6040WRaOriLQgCMUYDz1Os2Oy&#10;mJ1Ns1uN/74rCN7m8T5nsepsLS7UeuNYwXCQgCAunDZcKjjmn/0pCB+QNdaOScGNPKyWL70Fptpd&#10;OaPLIZQihrBPUUEVQpNK6YuKLPqBa4gjd3KtxRBhW0rd4jWG21qOkmQiLRqODRU2tKmoOB/+rIL1&#10;N2cf5vfrZ5+dMpPns4R3k7NSb6/deg4iUBee4od7q+P86ftsDPd34g1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fgmHEAAAA3gAAAA8AAAAAAAAAAAAAAAAAmAIAAGRycy9k&#10;b3ducmV2LnhtbFBLBQYAAAAABAAEAPUAAACJAwAAAAA=&#10;" filled="f" stroked="f">
                    <v:textbox inset="0,0,0,0">
                      <w:txbxContent>
                        <w:p w14:paraId="467F7AE8" w14:textId="77777777" w:rsidR="00CB53E4" w:rsidRDefault="00CB53E4" w:rsidP="0031675F">
                          <w:pPr>
                            <w:spacing w:line="96" w:lineRule="exact"/>
                            <w:jc w:val="both"/>
                            <w:rPr>
                              <w:rFonts w:eastAsia="Arial" w:cs="Arial"/>
                              <w:sz w:val="9"/>
                              <w:szCs w:val="9"/>
                            </w:rPr>
                          </w:pPr>
                          <w:r>
                            <w:rPr>
                              <w:spacing w:val="2"/>
                              <w:w w:val="105"/>
                              <w:sz w:val="9"/>
                            </w:rPr>
                            <w:t>WQM196</w:t>
                          </w:r>
                        </w:p>
                        <w:p w14:paraId="239AF2F8" w14:textId="77777777" w:rsidR="00CB53E4" w:rsidRDefault="00CB53E4" w:rsidP="0031675F">
                          <w:pPr>
                            <w:spacing w:before="18" w:line="283" w:lineRule="auto"/>
                            <w:jc w:val="both"/>
                            <w:rPr>
                              <w:rFonts w:eastAsia="Arial" w:cs="Arial"/>
                              <w:sz w:val="9"/>
                              <w:szCs w:val="9"/>
                            </w:rPr>
                          </w:pPr>
                          <w:r>
                            <w:rPr>
                              <w:spacing w:val="2"/>
                              <w:w w:val="105"/>
                              <w:sz w:val="9"/>
                            </w:rPr>
                            <w:t>WQM196</w:t>
                          </w:r>
                          <w:r>
                            <w:rPr>
                              <w:spacing w:val="23"/>
                              <w:w w:val="105"/>
                              <w:sz w:val="9"/>
                            </w:rPr>
                            <w:t xml:space="preserve"> </w:t>
                          </w:r>
                          <w:r>
                            <w:rPr>
                              <w:spacing w:val="2"/>
                              <w:w w:val="105"/>
                              <w:sz w:val="9"/>
                            </w:rPr>
                            <w:t>WQM196</w:t>
                          </w:r>
                          <w:r>
                            <w:rPr>
                              <w:spacing w:val="23"/>
                              <w:w w:val="105"/>
                              <w:sz w:val="9"/>
                            </w:rPr>
                            <w:t xml:space="preserve"> </w:t>
                          </w:r>
                          <w:r>
                            <w:rPr>
                              <w:spacing w:val="2"/>
                              <w:w w:val="105"/>
                              <w:sz w:val="9"/>
                            </w:rPr>
                            <w:t>WQM196</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WQM197</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WQM198</w:t>
                          </w:r>
                          <w:r>
                            <w:rPr>
                              <w:spacing w:val="23"/>
                              <w:w w:val="105"/>
                              <w:sz w:val="9"/>
                            </w:rPr>
                            <w:t xml:space="preserve"> </w:t>
                          </w:r>
                          <w:r>
                            <w:rPr>
                              <w:spacing w:val="2"/>
                              <w:w w:val="105"/>
                              <w:sz w:val="9"/>
                            </w:rPr>
                            <w:t>WQM199</w:t>
                          </w:r>
                          <w:r>
                            <w:rPr>
                              <w:spacing w:val="23"/>
                              <w:w w:val="105"/>
                              <w:sz w:val="9"/>
                            </w:rPr>
                            <w:t xml:space="preserve"> </w:t>
                          </w:r>
                          <w:r>
                            <w:rPr>
                              <w:spacing w:val="2"/>
                              <w:w w:val="105"/>
                              <w:sz w:val="9"/>
                            </w:rPr>
                            <w:t>WQM199</w:t>
                          </w:r>
                        </w:p>
                      </w:txbxContent>
                    </v:textbox>
                  </v:shape>
                  <v:shape id="Text Box 8423" o:spid="_x0000_s1674" type="#_x0000_t202" style="position:absolute;left:1040;top:5047;width:110;height:16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0cFsQA&#10;AADeAAAADwAAAGRycy9kb3ducmV2LnhtbERPTWvCQBC9F/wPywi91Y0WgkZXEVEoFKQxPXgcs2Oy&#10;mJ2N2VXjv+8WCr3N433OYtXbRtyp88axgvEoAUFcOm24UvBd7N6mIHxA1tg4JgVP8rBaDl4WmGn3&#10;4Jzuh1CJGMI+QwV1CG0mpS9rsuhHriWO3Nl1FkOEXSV1h48Ybhs5SZJUWjQcG2psaVNTeTncrIL1&#10;kfOtue5PX/k5N0UxS/gzvSj1OuzXcxCB+vAv/nN/6Dh/+j5L4fedeIN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NHBbEAAAA3gAAAA8AAAAAAAAAAAAAAAAAmAIAAGRycy9k&#10;b3ducmV2LnhtbFBLBQYAAAAABAAEAPUAAACJAwAAAAA=&#10;" filled="f" stroked="f">
                    <v:textbox inset="0,0,0,0">
                      <w:txbxContent>
                        <w:p w14:paraId="4E56B00F" w14:textId="77777777" w:rsidR="00CB53E4" w:rsidRDefault="00CB53E4" w:rsidP="0031675F">
                          <w:pPr>
                            <w:spacing w:line="96" w:lineRule="exact"/>
                            <w:jc w:val="both"/>
                            <w:rPr>
                              <w:rFonts w:eastAsia="Arial" w:cs="Arial"/>
                              <w:sz w:val="9"/>
                              <w:szCs w:val="9"/>
                            </w:rPr>
                          </w:pPr>
                          <w:r>
                            <w:rPr>
                              <w:spacing w:val="1"/>
                              <w:w w:val="105"/>
                              <w:sz w:val="9"/>
                            </w:rPr>
                            <w:t>d0</w:t>
                          </w:r>
                        </w:p>
                        <w:p w14:paraId="6EAD0BE9" w14:textId="77777777" w:rsidR="00CB53E4" w:rsidRDefault="00CB53E4" w:rsidP="0031675F">
                          <w:pPr>
                            <w:spacing w:before="18" w:line="283" w:lineRule="auto"/>
                            <w:jc w:val="both"/>
                            <w:rPr>
                              <w:rFonts w:eastAsia="Arial" w:cs="Arial"/>
                              <w:sz w:val="9"/>
                              <w:szCs w:val="9"/>
                            </w:rPr>
                          </w:pPr>
                          <w:r>
                            <w:rPr>
                              <w:spacing w:val="1"/>
                              <w:w w:val="105"/>
                              <w:sz w:val="9"/>
                            </w:rPr>
                            <w:t>d0 d1 d1 d0 d0 d1 d1 d0 d0 d1 d1 d0 d0</w:t>
                          </w:r>
                        </w:p>
                      </w:txbxContent>
                    </v:textbox>
                  </v:shape>
                  <v:shape id="Text Box 8422" o:spid="_x0000_s1675" type="#_x0000_t202" style="position:absolute;left:5405;top:5282;width:990;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G5jcUA&#10;AADeAAAADwAAAGRycy9kb3ducmV2LnhtbERPS2vCQBC+C/0PyxS86UYLPqKriLQgCMUYDz1Os2Oy&#10;mJ1Ns6um/75bELzNx/ec5bqztbhR641jBaNhAoK4cNpwqeCUfwxmIHxA1lg7JgW/5GG9euktMdXu&#10;zhndjqEUMYR9igqqEJpUSl9UZNEPXUMcubNrLYYI21LqFu8x3NZynCQTadFwbKiwoW1FxeV4tQo2&#10;X5y9m5/P70N2zkyezxPeTy5K9V+7zQJEoC48xQ/3Tsf5s7f5FP7fiT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AbmNxQAAAN4AAAAPAAAAAAAAAAAAAAAAAJgCAABkcnMv&#10;ZG93bnJldi54bWxQSwUGAAAAAAQABAD1AAAAigMAAAAA&#10;" filled="f" stroked="f">
                    <v:textbox inset="0,0,0,0">
                      <w:txbxContent>
                        <w:p w14:paraId="6F62F439" w14:textId="77777777" w:rsidR="00CB53E4" w:rsidRDefault="00CB53E4" w:rsidP="0031675F">
                          <w:pPr>
                            <w:spacing w:line="98" w:lineRule="exact"/>
                            <w:rPr>
                              <w:rFonts w:eastAsia="Arial" w:cs="Arial"/>
                              <w:sz w:val="10"/>
                              <w:szCs w:val="10"/>
                            </w:rPr>
                          </w:pPr>
                          <w:r>
                            <w:rPr>
                              <w:spacing w:val="-1"/>
                              <w:w w:val="95"/>
                              <w:sz w:val="10"/>
                            </w:rPr>
                            <w:t>Reslope</w:t>
                          </w:r>
                          <w:r>
                            <w:rPr>
                              <w:w w:val="95"/>
                              <w:sz w:val="10"/>
                            </w:rPr>
                            <w:t xml:space="preserve"> </w:t>
                          </w:r>
                          <w:r>
                            <w:rPr>
                              <w:spacing w:val="3"/>
                              <w:w w:val="95"/>
                              <w:sz w:val="10"/>
                            </w:rPr>
                            <w:t xml:space="preserve"> </w:t>
                          </w:r>
                          <w:r>
                            <w:rPr>
                              <w:spacing w:val="-1"/>
                              <w:w w:val="95"/>
                              <w:sz w:val="10"/>
                            </w:rPr>
                            <w:t>(recalibration)</w:t>
                          </w:r>
                        </w:p>
                      </w:txbxContent>
                    </v:textbox>
                  </v:shape>
                  <v:shape id="Text Box 8421" o:spid="_x0000_s1676" type="#_x0000_t202" style="position:absolute;left:5545;top:5526;width:191;height: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4t/8cA&#10;AADeAAAADwAAAGRycy9kb3ducmV2LnhtbESPQWvCQBCF74X+h2UK3uqmFkRTVxGxUBBKYzx4HLNj&#10;spidjdmtpv++cyj0NsN78943i9XgW3WjPrrABl7GGSjiKljHtYFD+f48AxUTssU2MBn4oQir5ePD&#10;AnMb7lzQbZ9qJSEcczTQpNTlWseqIY9xHDpi0c6h95hk7Wtte7xLuG/1JMum2qNjaWiwo01D1WX/&#10;7Q2sj1xs3fXz9FWcC1eW84x304sxo6dh/QYq0ZD+zX/XH1bwZ69z4ZV3ZAa9/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OeLf/HAAAA3gAAAA8AAAAAAAAAAAAAAAAAmAIAAGRy&#10;cy9kb3ducmV2LnhtbFBLBQYAAAAABAAEAPUAAACMAwAAAAA=&#10;" filled="f" stroked="f">
                    <v:textbox inset="0,0,0,0">
                      <w:txbxContent>
                        <w:p w14:paraId="2EDC65DD" w14:textId="77777777" w:rsidR="00CB53E4" w:rsidRDefault="00CB53E4" w:rsidP="0031675F">
                          <w:pPr>
                            <w:spacing w:line="101" w:lineRule="exact"/>
                            <w:rPr>
                              <w:rFonts w:eastAsia="Arial" w:cs="Arial"/>
                              <w:sz w:val="10"/>
                              <w:szCs w:val="10"/>
                            </w:rPr>
                          </w:pPr>
                          <w:r>
                            <w:rPr>
                              <w:spacing w:val="-1"/>
                              <w:w w:val="95"/>
                              <w:sz w:val="10"/>
                            </w:rPr>
                            <w:t>2.00</w:t>
                          </w:r>
                        </w:p>
                        <w:p w14:paraId="583CA633" w14:textId="77777777" w:rsidR="00CB53E4" w:rsidRDefault="00CB53E4" w:rsidP="0031675F">
                          <w:pPr>
                            <w:spacing w:before="7"/>
                            <w:rPr>
                              <w:rFonts w:eastAsia="Arial" w:cs="Arial"/>
                              <w:sz w:val="10"/>
                              <w:szCs w:val="10"/>
                            </w:rPr>
                          </w:pPr>
                          <w:r>
                            <w:rPr>
                              <w:spacing w:val="-1"/>
                              <w:w w:val="95"/>
                              <w:sz w:val="10"/>
                            </w:rPr>
                            <w:t>1.03</w:t>
                          </w:r>
                        </w:p>
                        <w:p w14:paraId="29C0E758" w14:textId="77777777" w:rsidR="00CB53E4" w:rsidRDefault="00CB53E4" w:rsidP="0031675F">
                          <w:pPr>
                            <w:spacing w:before="7" w:line="112" w:lineRule="exact"/>
                            <w:rPr>
                              <w:rFonts w:eastAsia="Arial" w:cs="Arial"/>
                              <w:sz w:val="10"/>
                              <w:szCs w:val="10"/>
                            </w:rPr>
                          </w:pPr>
                          <w:r>
                            <w:rPr>
                              <w:spacing w:val="-1"/>
                              <w:w w:val="95"/>
                              <w:sz w:val="10"/>
                            </w:rPr>
                            <w:t>0.00</w:t>
                          </w:r>
                        </w:p>
                      </w:txbxContent>
                    </v:textbox>
                  </v:shape>
                  <v:shape id="Text Box 8420" o:spid="_x0000_s1677" type="#_x0000_t202" style="position:absolute;left:6045;top:5526;width:191;height: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KIZMQA&#10;AADeAAAADwAAAGRycy9kb3ducmV2LnhtbERPTWvCQBC9C/0PyxR6040WxERXEVEoFIoxHnqcZsdk&#10;MTsbs6um/94tFLzN433OYtXbRtyo88axgvEoAUFcOm24UnAsdsMZCB+QNTaOScEveVgtXwYLzLS7&#10;c063Q6hEDGGfoYI6hDaT0pc1WfQj1xJH7uQ6iyHCrpK6w3sMt42cJMlUWjQcG2psaVNTeT5crYL1&#10;N+dbc/n62een3BRFmvDn9KzU22u/noMI1Ien+N/9oeP82Xuawt878Qa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SiGTEAAAA3gAAAA8AAAAAAAAAAAAAAAAAmAIAAGRycy9k&#10;b3ducmV2LnhtbFBLBQYAAAAABAAEAPUAAACJAwAAAAA=&#10;" filled="f" stroked="f">
                    <v:textbox inset="0,0,0,0">
                      <w:txbxContent>
                        <w:p w14:paraId="583D5151" w14:textId="77777777" w:rsidR="00CB53E4" w:rsidRDefault="00CB53E4" w:rsidP="0031675F">
                          <w:pPr>
                            <w:spacing w:line="101" w:lineRule="exact"/>
                            <w:rPr>
                              <w:rFonts w:eastAsia="Arial" w:cs="Arial"/>
                              <w:sz w:val="10"/>
                              <w:szCs w:val="10"/>
                            </w:rPr>
                          </w:pPr>
                          <w:r>
                            <w:rPr>
                              <w:spacing w:val="-1"/>
                              <w:w w:val="95"/>
                              <w:sz w:val="10"/>
                            </w:rPr>
                            <w:t>2.00</w:t>
                          </w:r>
                        </w:p>
                        <w:p w14:paraId="4365726F" w14:textId="77777777" w:rsidR="00CB53E4" w:rsidRDefault="00CB53E4" w:rsidP="0031675F">
                          <w:pPr>
                            <w:spacing w:before="7"/>
                            <w:rPr>
                              <w:rFonts w:eastAsia="Arial" w:cs="Arial"/>
                              <w:sz w:val="10"/>
                              <w:szCs w:val="10"/>
                            </w:rPr>
                          </w:pPr>
                          <w:r>
                            <w:rPr>
                              <w:spacing w:val="-1"/>
                              <w:w w:val="95"/>
                              <w:sz w:val="10"/>
                            </w:rPr>
                            <w:t>1.00</w:t>
                          </w:r>
                        </w:p>
                        <w:p w14:paraId="25E3D648" w14:textId="77777777" w:rsidR="00CB53E4" w:rsidRDefault="00CB53E4" w:rsidP="0031675F">
                          <w:pPr>
                            <w:spacing w:before="7" w:line="112" w:lineRule="exact"/>
                            <w:rPr>
                              <w:rFonts w:eastAsia="Arial" w:cs="Arial"/>
                              <w:sz w:val="10"/>
                              <w:szCs w:val="10"/>
                            </w:rPr>
                          </w:pPr>
                          <w:r>
                            <w:rPr>
                              <w:spacing w:val="-1"/>
                              <w:w w:val="95"/>
                              <w:sz w:val="10"/>
                            </w:rPr>
                            <w:t>0.00</w:t>
                          </w:r>
                        </w:p>
                      </w:txbxContent>
                    </v:textbox>
                  </v:shape>
                  <v:shape id="Text Box 8419" o:spid="_x0000_s1678" type="#_x0000_t202" style="position:absolute;left:6812;top:5682;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h5G8cA&#10;AADeAAAADwAAAGRycy9kb3ducmV2LnhtbESPQUsDMRCF74L/IYzgzSYVKXXbtJRiQRDE7XrwOG6m&#10;u6GbyXaTtuu/dw6CtxnmzXvvW67H0KkLDclHtjCdGFDEdXSeGwuf1e5hDiplZIddZLLwQwnWq9ub&#10;JRYuXrmkyz43Skw4FWihzbkvtE51SwHTJPbEcjvEIWCWdWi0G/Aq5qHTj8bMdEDPktBiT9uW6uP+&#10;HCxsvrh88af374/yUPqqejb8Njtae383bhagMo35X/z3/eqk/vzJCIDgyAx6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IeRvHAAAA3gAAAA8AAAAAAAAAAAAAAAAAmAIAAGRy&#10;cy9kb3ducmV2LnhtbFBLBQYAAAAABAAEAPUAAACMAwAAAAA=&#10;" filled="f" stroked="f">
                    <v:textbox inset="0,0,0,0">
                      <w:txbxContent>
                        <w:p w14:paraId="0FB79508" w14:textId="77777777" w:rsidR="00CB53E4" w:rsidRDefault="00CB53E4" w:rsidP="0031675F">
                          <w:pPr>
                            <w:spacing w:line="84" w:lineRule="exact"/>
                            <w:rPr>
                              <w:rFonts w:eastAsia="Arial" w:cs="Arial"/>
                              <w:sz w:val="8"/>
                              <w:szCs w:val="8"/>
                            </w:rPr>
                          </w:pPr>
                          <w:r>
                            <w:rPr>
                              <w:spacing w:val="-1"/>
                              <w:w w:val="105"/>
                              <w:sz w:val="8"/>
                            </w:rPr>
                            <w:t>2.50</w:t>
                          </w:r>
                        </w:p>
                      </w:txbxContent>
                    </v:textbox>
                  </v:shape>
                  <v:shape id="Text Box 8418" o:spid="_x0000_s1679" type="#_x0000_t202" style="position:absolute;left:7555;top:5841;width:32;height: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TcgMQA&#10;AADeAAAADwAAAGRycy9kb3ducmV2LnhtbERPTWsCMRC9F/ofwhR6q4kiYrdGEVEQCqXrevA43Yy7&#10;wc1k3UTd/vtGEHqbx/uc2aJ3jbhSF6xnDcOBAkFcemO50rAvNm9TECEiG2w8k4ZfCrCYPz/NMDP+&#10;xjldd7ESKYRDhhrqGNtMylDW5DAMfEucuKPvHMYEu0qaDm8p3DVypNREOrScGmpsaVVTedpdnIbl&#10;gfO1PX/9fOfH3BbFu+LPyUnr15d++QEiUh//xQ/31qT507Eawv2ddIO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E3IDEAAAA3gAAAA8AAAAAAAAAAAAAAAAAmAIAAGRycy9k&#10;b3ducmV2LnhtbFBLBQYAAAAABAAEAPUAAACJAwAAAAA=&#10;" filled="f" stroked="f">
                    <v:textbox inset="0,0,0,0">
                      <w:txbxContent>
                        <w:p w14:paraId="0E0BC2C3" w14:textId="77777777" w:rsidR="00CB53E4" w:rsidRDefault="00CB53E4" w:rsidP="0031675F">
                          <w:pPr>
                            <w:spacing w:line="56" w:lineRule="exact"/>
                            <w:rPr>
                              <w:rFonts w:eastAsia="Arial" w:cs="Arial"/>
                              <w:sz w:val="5"/>
                              <w:szCs w:val="5"/>
                            </w:rPr>
                          </w:pPr>
                          <w:r>
                            <w:rPr>
                              <w:w w:val="110"/>
                              <w:sz w:val="5"/>
                            </w:rPr>
                            <w:t>2</w:t>
                          </w:r>
                        </w:p>
                      </w:txbxContent>
                    </v:textbox>
                  </v:shape>
                  <v:shape id="Text Box 8417" o:spid="_x0000_s1680" type="#_x0000_t202" style="position:absolute;left:7029;top:5859;width:1466;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ZC98QA&#10;AADeAAAADwAAAGRycy9kb3ducmV2LnhtbERPTWsCMRC9C/0PYQreNKmI2K1RpFQQBHHdHnqcbsbd&#10;4Gay3URd/70pFHqbx/ucxap3jbhSF6xnDS9jBYK49MZypeGz2IzmIEJENth4Jg13CrBaPg0WmBl/&#10;45yux1iJFMIhQw11jG0mZShrchjGviVO3Ml3DmOCXSVNh7cU7ho5UWomHVpODTW29F5TeT5enIb1&#10;F+cf9mf/fchPuS2KV8W72Vnr4XO/fgMRqY//4j/31qT586mawO876Qa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WQvfEAAAA3gAAAA8AAAAAAAAAAAAAAAAAmAIAAGRycy9k&#10;b3ducmV2LnhtbFBLBQYAAAAABAAEAPUAAACJAwAAAAA=&#10;" filled="f" stroked="f">
                    <v:textbox inset="0,0,0,0">
                      <w:txbxContent>
                        <w:p w14:paraId="28B9819B" w14:textId="77777777" w:rsidR="00CB53E4" w:rsidRDefault="00CB53E4" w:rsidP="0031675F">
                          <w:pPr>
                            <w:spacing w:line="84" w:lineRule="exact"/>
                            <w:rPr>
                              <w:rFonts w:eastAsia="Arial" w:cs="Arial"/>
                              <w:sz w:val="8"/>
                              <w:szCs w:val="8"/>
                            </w:rPr>
                          </w:pPr>
                          <w:r>
                            <w:rPr>
                              <w:w w:val="105"/>
                              <w:sz w:val="8"/>
                            </w:rPr>
                            <w:t>y</w:t>
                          </w:r>
                          <w:r>
                            <w:rPr>
                              <w:spacing w:val="-2"/>
                              <w:w w:val="105"/>
                              <w:sz w:val="8"/>
                            </w:rPr>
                            <w:t xml:space="preserve"> </w:t>
                          </w:r>
                          <w:r>
                            <w:rPr>
                              <w:w w:val="105"/>
                              <w:sz w:val="8"/>
                            </w:rPr>
                            <w:t>=</w:t>
                          </w:r>
                          <w:r>
                            <w:rPr>
                              <w:spacing w:val="-1"/>
                              <w:w w:val="105"/>
                              <w:sz w:val="8"/>
                            </w:rPr>
                            <w:t xml:space="preserve"> 0.029900x</w:t>
                          </w:r>
                          <w:r>
                            <w:rPr>
                              <w:w w:val="105"/>
                              <w:sz w:val="8"/>
                            </w:rPr>
                            <w:t xml:space="preserve"> </w:t>
                          </w:r>
                          <w:r>
                            <w:rPr>
                              <w:spacing w:val="6"/>
                              <w:w w:val="105"/>
                              <w:sz w:val="8"/>
                            </w:rPr>
                            <w:t xml:space="preserve"> </w:t>
                          </w:r>
                          <w:r>
                            <w:rPr>
                              <w:w w:val="105"/>
                              <w:sz w:val="8"/>
                            </w:rPr>
                            <w:t>+</w:t>
                          </w:r>
                          <w:r>
                            <w:rPr>
                              <w:spacing w:val="-1"/>
                              <w:w w:val="105"/>
                              <w:sz w:val="8"/>
                            </w:rPr>
                            <w:t xml:space="preserve"> 0.940200x</w:t>
                          </w:r>
                          <w:r>
                            <w:rPr>
                              <w:spacing w:val="-2"/>
                              <w:w w:val="105"/>
                              <w:sz w:val="8"/>
                            </w:rPr>
                            <w:t xml:space="preserve"> </w:t>
                          </w:r>
                          <w:r>
                            <w:rPr>
                              <w:w w:val="105"/>
                              <w:sz w:val="8"/>
                            </w:rPr>
                            <w:t xml:space="preserve">- </w:t>
                          </w:r>
                          <w:r>
                            <w:rPr>
                              <w:spacing w:val="-1"/>
                              <w:w w:val="105"/>
                              <w:sz w:val="8"/>
                            </w:rPr>
                            <w:t>0.000000</w:t>
                          </w:r>
                        </w:p>
                      </w:txbxContent>
                    </v:textbox>
                  </v:shape>
                  <v:shape id="Text Box 8416" o:spid="_x0000_s1681" type="#_x0000_t202" style="position:absolute;left:6812;top:6007;width:164;height:7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rnbMUA&#10;AADeAAAADwAAAGRycy9kb3ducmV2LnhtbERPTWsCMRC9F/ofwhS81aRWxG6NItKCIEjX7aHH6Wbc&#10;DW4m203U9d+bguBtHu9zZoveNeJEXbCeNbwMFQji0hvLlYbv4vN5CiJEZIONZ9JwoQCL+ePDDDPj&#10;z5zTaRcrkUI4ZKihjrHNpAxlTQ7D0LfEidv7zmFMsKuk6fCcwl0jR0pNpEPLqaHGllY1lYfd0WlY&#10;/nD+Yf+2v1/5PrdF8aZ4MzloPXjql+8gIvXxLr651ybNn47VK/y/k26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mudsxQAAAN4AAAAPAAAAAAAAAAAAAAAAAJgCAABkcnMv&#10;ZG93bnJldi54bWxQSwUGAAAAAAQABAD1AAAAigMAAAAA&#10;" filled="f" stroked="f">
                    <v:textbox inset="0,0,0,0">
                      <w:txbxContent>
                        <w:p w14:paraId="7A408791" w14:textId="77777777" w:rsidR="00CB53E4" w:rsidRDefault="00CB53E4" w:rsidP="0031675F">
                          <w:pPr>
                            <w:spacing w:line="85" w:lineRule="exact"/>
                            <w:rPr>
                              <w:rFonts w:eastAsia="Arial" w:cs="Arial"/>
                              <w:sz w:val="8"/>
                              <w:szCs w:val="8"/>
                            </w:rPr>
                          </w:pPr>
                          <w:r>
                            <w:rPr>
                              <w:spacing w:val="-1"/>
                              <w:w w:val="105"/>
                              <w:sz w:val="8"/>
                            </w:rPr>
                            <w:t>2.00</w:t>
                          </w:r>
                        </w:p>
                        <w:p w14:paraId="189DBC4A" w14:textId="77777777" w:rsidR="00CB53E4" w:rsidRDefault="00CB53E4" w:rsidP="0031675F">
                          <w:pPr>
                            <w:rPr>
                              <w:rFonts w:eastAsia="Arial" w:cs="Arial"/>
                              <w:b/>
                              <w:bCs/>
                              <w:sz w:val="8"/>
                              <w:szCs w:val="8"/>
                            </w:rPr>
                          </w:pPr>
                        </w:p>
                        <w:p w14:paraId="764D2B09" w14:textId="77777777" w:rsidR="00CB53E4" w:rsidRDefault="00CB53E4" w:rsidP="0031675F">
                          <w:pPr>
                            <w:rPr>
                              <w:rFonts w:eastAsia="Arial" w:cs="Arial"/>
                              <w:b/>
                              <w:bCs/>
                              <w:sz w:val="8"/>
                              <w:szCs w:val="8"/>
                            </w:rPr>
                          </w:pPr>
                        </w:p>
                        <w:p w14:paraId="0978F567" w14:textId="77777777" w:rsidR="00CB53E4" w:rsidRDefault="00CB53E4" w:rsidP="0031675F">
                          <w:pPr>
                            <w:spacing w:before="49"/>
                            <w:rPr>
                              <w:rFonts w:eastAsia="Arial" w:cs="Arial"/>
                              <w:sz w:val="8"/>
                              <w:szCs w:val="8"/>
                            </w:rPr>
                          </w:pPr>
                          <w:r>
                            <w:rPr>
                              <w:spacing w:val="-1"/>
                              <w:w w:val="105"/>
                              <w:sz w:val="8"/>
                            </w:rPr>
                            <w:t>1.50</w:t>
                          </w:r>
                        </w:p>
                        <w:p w14:paraId="006B3116" w14:textId="77777777" w:rsidR="00CB53E4" w:rsidRDefault="00CB53E4" w:rsidP="0031675F">
                          <w:pPr>
                            <w:rPr>
                              <w:rFonts w:eastAsia="Arial" w:cs="Arial"/>
                              <w:b/>
                              <w:bCs/>
                              <w:sz w:val="8"/>
                              <w:szCs w:val="8"/>
                            </w:rPr>
                          </w:pPr>
                        </w:p>
                        <w:p w14:paraId="2B46C31A" w14:textId="77777777" w:rsidR="00CB53E4" w:rsidRDefault="00CB53E4" w:rsidP="0031675F">
                          <w:pPr>
                            <w:rPr>
                              <w:rFonts w:eastAsia="Arial" w:cs="Arial"/>
                              <w:b/>
                              <w:bCs/>
                              <w:sz w:val="8"/>
                              <w:szCs w:val="8"/>
                            </w:rPr>
                          </w:pPr>
                        </w:p>
                        <w:p w14:paraId="54B7996E" w14:textId="77777777" w:rsidR="00CB53E4" w:rsidRDefault="00CB53E4" w:rsidP="0031675F">
                          <w:pPr>
                            <w:spacing w:before="49" w:line="91" w:lineRule="exact"/>
                            <w:rPr>
                              <w:rFonts w:eastAsia="Arial" w:cs="Arial"/>
                              <w:sz w:val="8"/>
                              <w:szCs w:val="8"/>
                            </w:rPr>
                          </w:pPr>
                          <w:r>
                            <w:rPr>
                              <w:spacing w:val="-1"/>
                              <w:w w:val="105"/>
                              <w:sz w:val="8"/>
                            </w:rPr>
                            <w:t>1.00</w:t>
                          </w:r>
                        </w:p>
                      </w:txbxContent>
                    </v:textbox>
                  </v:shape>
                  <v:shape id="Text Box 8415" o:spid="_x0000_s1682" type="#_x0000_t202" style="position:absolute;left:10543;top:5526;width:191;height:14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N/GMQA&#10;AADeAAAADwAAAGRycy9kb3ducmV2LnhtbERPTWsCMRC9F/ofwgjeaqKI2NUoUioIgnTdHnocN+Nu&#10;cDPZbqKu/74pFHqbx/uc5bp3jbhRF6xnDeORAkFcemO50vBZbF/mIEJENth4Jg0PCrBePT8tMTP+&#10;zjndjrESKYRDhhrqGNtMylDW5DCMfEucuLPvHMYEu0qaDu8p3DVyotRMOrScGmps6a2m8nK8Og2b&#10;L87f7ffh9JGfc1sUr4r3s4vWw0G/WYCI1Md/8Z97Z9L8+VRN4feddIN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zfxjEAAAA3gAAAA8AAAAAAAAAAAAAAAAAmAIAAGRycy9k&#10;b3ducmV2LnhtbFBLBQYAAAAABAAEAPUAAACJAwAAAAA=&#10;" filled="f" stroked="f">
                    <v:textbox inset="0,0,0,0">
                      <w:txbxContent>
                        <w:p w14:paraId="0AAB0CB6" w14:textId="77777777" w:rsidR="00CB53E4" w:rsidRDefault="00CB53E4" w:rsidP="0031675F">
                          <w:pPr>
                            <w:spacing w:line="101" w:lineRule="exact"/>
                            <w:rPr>
                              <w:rFonts w:eastAsia="Arial" w:cs="Arial"/>
                              <w:sz w:val="10"/>
                              <w:szCs w:val="10"/>
                            </w:rPr>
                          </w:pPr>
                          <w:r>
                            <w:rPr>
                              <w:spacing w:val="-1"/>
                              <w:w w:val="95"/>
                              <w:sz w:val="10"/>
                            </w:rPr>
                            <w:t>1.04</w:t>
                          </w:r>
                        </w:p>
                        <w:p w14:paraId="5F1369D2" w14:textId="77777777" w:rsidR="00CB53E4" w:rsidRDefault="00CB53E4" w:rsidP="0031675F">
                          <w:pPr>
                            <w:spacing w:before="7"/>
                            <w:rPr>
                              <w:rFonts w:eastAsia="Arial" w:cs="Arial"/>
                              <w:sz w:val="10"/>
                              <w:szCs w:val="10"/>
                            </w:rPr>
                          </w:pPr>
                          <w:r>
                            <w:rPr>
                              <w:spacing w:val="-1"/>
                              <w:w w:val="95"/>
                              <w:sz w:val="10"/>
                            </w:rPr>
                            <w:t>0.97</w:t>
                          </w:r>
                        </w:p>
                        <w:p w14:paraId="06CF96FA" w14:textId="77777777" w:rsidR="00CB53E4" w:rsidRDefault="00CB53E4" w:rsidP="0031675F">
                          <w:pPr>
                            <w:spacing w:before="7"/>
                            <w:rPr>
                              <w:rFonts w:eastAsia="Arial" w:cs="Arial"/>
                              <w:sz w:val="10"/>
                              <w:szCs w:val="10"/>
                            </w:rPr>
                          </w:pPr>
                          <w:r>
                            <w:rPr>
                              <w:spacing w:val="-1"/>
                              <w:w w:val="95"/>
                              <w:sz w:val="10"/>
                            </w:rPr>
                            <w:t>1.06</w:t>
                          </w:r>
                        </w:p>
                        <w:p w14:paraId="64DFA7B2" w14:textId="77777777" w:rsidR="00CB53E4" w:rsidRDefault="00CB53E4" w:rsidP="0031675F">
                          <w:pPr>
                            <w:spacing w:before="7"/>
                            <w:rPr>
                              <w:rFonts w:eastAsia="Arial" w:cs="Arial"/>
                              <w:sz w:val="10"/>
                              <w:szCs w:val="10"/>
                            </w:rPr>
                          </w:pPr>
                          <w:r>
                            <w:rPr>
                              <w:spacing w:val="-1"/>
                              <w:w w:val="95"/>
                              <w:sz w:val="10"/>
                            </w:rPr>
                            <w:t>1.12</w:t>
                          </w:r>
                        </w:p>
                        <w:p w14:paraId="73313E50" w14:textId="77777777" w:rsidR="00CB53E4" w:rsidRDefault="00CB53E4" w:rsidP="0031675F">
                          <w:pPr>
                            <w:spacing w:before="7"/>
                            <w:rPr>
                              <w:rFonts w:eastAsia="Arial" w:cs="Arial"/>
                              <w:sz w:val="10"/>
                              <w:szCs w:val="10"/>
                            </w:rPr>
                          </w:pPr>
                          <w:r>
                            <w:rPr>
                              <w:spacing w:val="-1"/>
                              <w:w w:val="95"/>
                              <w:sz w:val="10"/>
                            </w:rPr>
                            <w:t>1.03</w:t>
                          </w:r>
                        </w:p>
                        <w:p w14:paraId="43307D6C" w14:textId="77777777" w:rsidR="00CB53E4" w:rsidRDefault="00CB53E4" w:rsidP="0031675F">
                          <w:pPr>
                            <w:spacing w:before="7"/>
                            <w:rPr>
                              <w:rFonts w:eastAsia="Arial" w:cs="Arial"/>
                              <w:sz w:val="10"/>
                              <w:szCs w:val="10"/>
                            </w:rPr>
                          </w:pPr>
                          <w:r>
                            <w:rPr>
                              <w:spacing w:val="-1"/>
                              <w:w w:val="95"/>
                              <w:sz w:val="10"/>
                            </w:rPr>
                            <w:t>0.95</w:t>
                          </w:r>
                        </w:p>
                        <w:p w14:paraId="3648638A" w14:textId="77777777" w:rsidR="00CB53E4" w:rsidRDefault="00CB53E4" w:rsidP="0031675F">
                          <w:pPr>
                            <w:spacing w:before="7"/>
                            <w:rPr>
                              <w:rFonts w:eastAsia="Arial" w:cs="Arial"/>
                              <w:sz w:val="10"/>
                              <w:szCs w:val="10"/>
                            </w:rPr>
                          </w:pPr>
                          <w:r>
                            <w:rPr>
                              <w:spacing w:val="-1"/>
                              <w:w w:val="95"/>
                              <w:sz w:val="10"/>
                            </w:rPr>
                            <w:t>1.04</w:t>
                          </w:r>
                        </w:p>
                        <w:p w14:paraId="121F6DAB" w14:textId="77777777" w:rsidR="00CB53E4" w:rsidRDefault="00CB53E4" w:rsidP="0031675F">
                          <w:pPr>
                            <w:spacing w:before="7"/>
                            <w:rPr>
                              <w:rFonts w:eastAsia="Arial" w:cs="Arial"/>
                              <w:sz w:val="10"/>
                              <w:szCs w:val="10"/>
                            </w:rPr>
                          </w:pPr>
                          <w:r>
                            <w:rPr>
                              <w:spacing w:val="-1"/>
                              <w:w w:val="95"/>
                              <w:sz w:val="10"/>
                            </w:rPr>
                            <w:t>0.98</w:t>
                          </w:r>
                        </w:p>
                        <w:p w14:paraId="5ABEE600" w14:textId="77777777" w:rsidR="00CB53E4" w:rsidRDefault="00CB53E4" w:rsidP="0031675F">
                          <w:pPr>
                            <w:spacing w:before="7"/>
                            <w:rPr>
                              <w:rFonts w:eastAsia="Arial" w:cs="Arial"/>
                              <w:sz w:val="10"/>
                              <w:szCs w:val="10"/>
                            </w:rPr>
                          </w:pPr>
                          <w:r>
                            <w:rPr>
                              <w:spacing w:val="-1"/>
                              <w:w w:val="95"/>
                              <w:sz w:val="10"/>
                            </w:rPr>
                            <w:t>1.02</w:t>
                          </w:r>
                        </w:p>
                        <w:p w14:paraId="688A86A2" w14:textId="77777777" w:rsidR="00CB53E4" w:rsidRDefault="00CB53E4" w:rsidP="0031675F">
                          <w:pPr>
                            <w:spacing w:before="7"/>
                            <w:rPr>
                              <w:rFonts w:eastAsia="Arial" w:cs="Arial"/>
                              <w:sz w:val="10"/>
                              <w:szCs w:val="10"/>
                            </w:rPr>
                          </w:pPr>
                          <w:r>
                            <w:rPr>
                              <w:spacing w:val="-1"/>
                              <w:w w:val="95"/>
                              <w:sz w:val="10"/>
                            </w:rPr>
                            <w:t>1.05</w:t>
                          </w:r>
                        </w:p>
                        <w:p w14:paraId="255BDFA0" w14:textId="77777777" w:rsidR="00CB53E4" w:rsidRDefault="00CB53E4" w:rsidP="0031675F">
                          <w:pPr>
                            <w:spacing w:before="7"/>
                            <w:rPr>
                              <w:rFonts w:eastAsia="Arial" w:cs="Arial"/>
                              <w:sz w:val="10"/>
                              <w:szCs w:val="10"/>
                            </w:rPr>
                          </w:pPr>
                          <w:r>
                            <w:rPr>
                              <w:spacing w:val="-1"/>
                              <w:w w:val="95"/>
                              <w:sz w:val="10"/>
                            </w:rPr>
                            <w:t>0.99</w:t>
                          </w:r>
                        </w:p>
                        <w:p w14:paraId="509ED0BF" w14:textId="77777777" w:rsidR="00CB53E4" w:rsidRDefault="00CB53E4" w:rsidP="0031675F">
                          <w:pPr>
                            <w:spacing w:before="7" w:line="112" w:lineRule="exact"/>
                            <w:rPr>
                              <w:rFonts w:eastAsia="Arial" w:cs="Arial"/>
                              <w:sz w:val="10"/>
                              <w:szCs w:val="10"/>
                            </w:rPr>
                          </w:pPr>
                          <w:r>
                            <w:rPr>
                              <w:spacing w:val="-1"/>
                              <w:w w:val="95"/>
                              <w:sz w:val="10"/>
                            </w:rPr>
                            <w:t>1.12</w:t>
                          </w:r>
                        </w:p>
                      </w:txbxContent>
                    </v:textbox>
                  </v:shape>
                  <v:shape id="Text Box 8414" o:spid="_x0000_s1683" type="#_x0000_t202" style="position:absolute;left:6812;top:6982;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ag8UA&#10;AADeAAAADwAAAGRycy9kb3ducmV2LnhtbERPTWsCMRC9F/ofwhS81aRSxW6NItKCIEjX7aHH6Wbc&#10;DW4m203U9d+bguBtHu9zZoveNeJEXbCeNbwMFQji0hvLlYbv4vN5CiJEZIONZ9JwoQCL+ePDDDPj&#10;z5zTaRcrkUI4ZKihjrHNpAxlTQ7D0LfEidv7zmFMsKuk6fCcwl0jR0pNpEPLqaHGllY1lYfd0WlY&#10;/nD+Yf+2v1/5PrdF8aZ4MzloPXjql+8gIvXxLr651ybNn76qMfy/k26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P9qDxQAAAN4AAAAPAAAAAAAAAAAAAAAAAJgCAABkcnMv&#10;ZG93bnJldi54bWxQSwUGAAAAAAQABAD1AAAAigMAAAAA&#10;" filled="f" stroked="f">
                    <v:textbox inset="0,0,0,0">
                      <w:txbxContent>
                        <w:p w14:paraId="5BB45AE2" w14:textId="77777777" w:rsidR="00CB53E4" w:rsidRDefault="00CB53E4" w:rsidP="0031675F">
                          <w:pPr>
                            <w:spacing w:line="84" w:lineRule="exact"/>
                            <w:rPr>
                              <w:rFonts w:eastAsia="Arial" w:cs="Arial"/>
                              <w:sz w:val="8"/>
                              <w:szCs w:val="8"/>
                            </w:rPr>
                          </w:pPr>
                          <w:r>
                            <w:rPr>
                              <w:spacing w:val="-1"/>
                              <w:w w:val="105"/>
                              <w:sz w:val="8"/>
                            </w:rPr>
                            <w:t>0.50</w:t>
                          </w:r>
                        </w:p>
                      </w:txbxContent>
                    </v:textbox>
                  </v:shape>
                  <v:shape id="Text Box 8413" o:spid="_x0000_s1684" type="#_x0000_t202" style="position:absolute;left:10543;top:7114;width:191;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E9MQA&#10;AADeAAAADwAAAGRycy9kb3ducmV2LnhtbERP32vCMBB+H+x/CDfY20wUKa4aRYaCMBir3cMeb83Z&#10;BptL10Tt/vtFEHy7j+/nLVaDa8WZ+mA9axiPFAjiyhvLtYavcvsyAxEissHWM2n4owCr5ePDAnPj&#10;L1zQeR9rkUI45KihibHLpQxVQw7DyHfEiTv43mFMsK+l6fGSwl0rJ0pl0qHl1NBgR28NVcf9yWlY&#10;f3Oxsb8fP5/FobBl+ar4PTtq/fw0rOcgIg3xLr65dybNn01VBtd30g1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tRPTEAAAA3gAAAA8AAAAAAAAAAAAAAAAAmAIAAGRycy9k&#10;b3ducmV2LnhtbFBLBQYAAAAABAAEAPUAAACJAwAAAAA=&#10;" filled="f" stroked="f">
                    <v:textbox inset="0,0,0,0">
                      <w:txbxContent>
                        <w:p w14:paraId="36BF1B77" w14:textId="77777777" w:rsidR="00CB53E4" w:rsidRDefault="00CB53E4" w:rsidP="0031675F">
                          <w:pPr>
                            <w:spacing w:line="98" w:lineRule="exact"/>
                            <w:rPr>
                              <w:rFonts w:eastAsia="Arial" w:cs="Arial"/>
                              <w:sz w:val="10"/>
                              <w:szCs w:val="10"/>
                            </w:rPr>
                          </w:pPr>
                          <w:r>
                            <w:rPr>
                              <w:spacing w:val="-1"/>
                              <w:w w:val="95"/>
                              <w:sz w:val="10"/>
                            </w:rPr>
                            <w:t>1.03</w:t>
                          </w:r>
                        </w:p>
                      </w:txbxContent>
                    </v:textbox>
                  </v:shape>
                  <v:shape id="Text Box 8412" o:spid="_x0000_s1685" type="#_x0000_t202" style="position:absolute;left:6812;top:7307;width:310;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Hhb8UA&#10;AADeAAAADwAAAGRycy9kb3ducmV2LnhtbERPTWsCMRC9C/0PYQq9aVIpardGEWlBEMR1e+hxuhl3&#10;g5vJdpPq9t83guBtHu9z5sveNeJMXbCeNTyPFAji0hvLlYbP4mM4AxEissHGM2n4owDLxcNgjpnx&#10;F87pfIiVSCEcMtRQx9hmUoayJodh5FvixB195zAm2FXSdHhJ4a6RY6Um0qHl1FBjS+uaytPh12lY&#10;fXH+bn923/v8mNuieFW8nZy0fnrsV28gIvXxLr65NybNn72oKVzfSTfI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oeFvxQAAAN4AAAAPAAAAAAAAAAAAAAAAAJgCAABkcnMv&#10;ZG93bnJldi54bWxQSwUGAAAAAAQABAD1AAAAigMAAAAA&#10;" filled="f" stroked="f">
                    <v:textbox inset="0,0,0,0">
                      <w:txbxContent>
                        <w:p w14:paraId="3B3009F4" w14:textId="77777777" w:rsidR="00CB53E4" w:rsidRDefault="00CB53E4" w:rsidP="0031675F">
                          <w:pPr>
                            <w:spacing w:line="85" w:lineRule="exact"/>
                            <w:rPr>
                              <w:rFonts w:eastAsia="Arial" w:cs="Arial"/>
                              <w:sz w:val="8"/>
                              <w:szCs w:val="8"/>
                            </w:rPr>
                          </w:pPr>
                          <w:r>
                            <w:rPr>
                              <w:spacing w:val="-1"/>
                              <w:w w:val="105"/>
                              <w:sz w:val="8"/>
                            </w:rPr>
                            <w:t>0.00</w:t>
                          </w:r>
                        </w:p>
                        <w:p w14:paraId="3CFAA6CA" w14:textId="77777777" w:rsidR="00CB53E4" w:rsidRDefault="00CB53E4" w:rsidP="0031675F">
                          <w:pPr>
                            <w:spacing w:before="32" w:line="91" w:lineRule="exact"/>
                            <w:ind w:left="145"/>
                            <w:rPr>
                              <w:rFonts w:eastAsia="Arial" w:cs="Arial"/>
                              <w:sz w:val="8"/>
                              <w:szCs w:val="8"/>
                            </w:rPr>
                          </w:pPr>
                          <w:r>
                            <w:rPr>
                              <w:spacing w:val="-1"/>
                              <w:w w:val="105"/>
                              <w:sz w:val="8"/>
                            </w:rPr>
                            <w:t>0.00</w:t>
                          </w:r>
                        </w:p>
                      </w:txbxContent>
                    </v:textbox>
                  </v:shape>
                  <v:shape id="Text Box 8411" o:spid="_x0000_s1686" type="#_x0000_t202" style="position:absolute;left:7491;top:7431;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51HccA&#10;AADeAAAADwAAAGRycy9kb3ducmV2LnhtbESPQUsDMRCF74L/IYzgzSYVKXXbtJRiQRDE7XrwOG6m&#10;u6GbyXaTtuu/dw6Ctxnem/e+Wa7H0KkLDclHtjCdGFDEdXSeGwuf1e5hDiplZIddZLLwQwnWq9ub&#10;JRYuXrmkyz43SkI4FWihzbkvtE51SwHTJPbEoh3iEDDLOjTaDXiV8NDpR2NmOqBnaWixp21L9XF/&#10;DhY2X1y++NP790d5KH1VPRt+mx2tvb8bNwtQmcb8b/67fnWCP38ywivvyAx6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s+dR3HAAAA3gAAAA8AAAAAAAAAAAAAAAAAmAIAAGRy&#10;cy9kb3ducmV2LnhtbFBLBQYAAAAABAAEAPUAAACMAwAAAAA=&#10;" filled="f" stroked="f">
                    <v:textbox inset="0,0,0,0">
                      <w:txbxContent>
                        <w:p w14:paraId="26132822" w14:textId="77777777" w:rsidR="00CB53E4" w:rsidRDefault="00CB53E4" w:rsidP="0031675F">
                          <w:pPr>
                            <w:spacing w:line="84" w:lineRule="exact"/>
                            <w:rPr>
                              <w:rFonts w:eastAsia="Arial" w:cs="Arial"/>
                              <w:sz w:val="8"/>
                              <w:szCs w:val="8"/>
                            </w:rPr>
                          </w:pPr>
                          <w:r>
                            <w:rPr>
                              <w:spacing w:val="-1"/>
                              <w:w w:val="105"/>
                              <w:sz w:val="8"/>
                            </w:rPr>
                            <w:t>0.50</w:t>
                          </w:r>
                        </w:p>
                      </w:txbxContent>
                    </v:textbox>
                  </v:shape>
                  <v:shape id="Text Box 8410" o:spid="_x0000_s1687" type="#_x0000_t202" style="position:absolute;left:8023;top:7431;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LQhsQA&#10;AADeAAAADwAAAGRycy9kb3ducmV2LnhtbERPTWsCMRC9F/ofwhR6q0lFRLdGEVEQCqXr9uBx3Iy7&#10;wc1k3UTd/vtGEHqbx/uc2aJ3jbhSF6xnDe8DBYK49MZypeGn2LxNQISIbLDxTBp+KcBi/vw0w8z4&#10;G+d03cVKpBAOGWqoY2wzKUNZk8Mw8C1x4o6+cxgT7CppOrylcNfIoVJj6dByaqixpVVN5Wl3cRqW&#10;e87X9vx1+M6PuS2KqeLP8Unr15d++QEiUh//xQ/31qT5k5Gawv2ddIO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y0IbEAAAA3gAAAA8AAAAAAAAAAAAAAAAAmAIAAGRycy9k&#10;b3ducmV2LnhtbFBLBQYAAAAABAAEAPUAAACJAwAAAAA=&#10;" filled="f" stroked="f">
                    <v:textbox inset="0,0,0,0">
                      <w:txbxContent>
                        <w:p w14:paraId="7999582E" w14:textId="77777777" w:rsidR="00CB53E4" w:rsidRDefault="00CB53E4" w:rsidP="0031675F">
                          <w:pPr>
                            <w:spacing w:line="84" w:lineRule="exact"/>
                            <w:rPr>
                              <w:rFonts w:eastAsia="Arial" w:cs="Arial"/>
                              <w:sz w:val="8"/>
                              <w:szCs w:val="8"/>
                            </w:rPr>
                          </w:pPr>
                          <w:r>
                            <w:rPr>
                              <w:spacing w:val="-1"/>
                              <w:w w:val="105"/>
                              <w:sz w:val="8"/>
                            </w:rPr>
                            <w:t>1.00</w:t>
                          </w:r>
                        </w:p>
                      </w:txbxContent>
                    </v:textbox>
                  </v:shape>
                  <v:shape id="Text Box 8409" o:spid="_x0000_s1688" type="#_x0000_t202" style="position:absolute;left:8556;top:7431;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HvxscA&#10;AADeAAAADwAAAGRycy9kb3ducmV2LnhtbESPQWvCQBCF74X+h2UKvdWNRURTVxGpIBRKYzx4nGbH&#10;ZDE7G7Orpv++cyj0NsO8ee99i9XgW3WjPrrABsajDBRxFazj2sCh3L7MQMWEbLENTAZ+KMJq+fiw&#10;wNyGOxd026daiQnHHA00KXW51rFqyGMchY5YbqfQe0yy9rW2Pd7F3Lf6Ncum2qNjSWiwo01D1Xl/&#10;9QbWRy7e3eXz+6s4Fa4s5xl/TM/GPD8N6zdQiYb0L/773lmpP5uMBUBwZAa9/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CR78bHAAAA3gAAAA8AAAAAAAAAAAAAAAAAmAIAAGRy&#10;cy9kb3ducmV2LnhtbFBLBQYAAAAABAAEAPUAAACMAwAAAAA=&#10;" filled="f" stroked="f">
                    <v:textbox inset="0,0,0,0">
                      <w:txbxContent>
                        <w:p w14:paraId="3BAE599E" w14:textId="77777777" w:rsidR="00CB53E4" w:rsidRDefault="00CB53E4" w:rsidP="0031675F">
                          <w:pPr>
                            <w:spacing w:line="84" w:lineRule="exact"/>
                            <w:rPr>
                              <w:rFonts w:eastAsia="Arial" w:cs="Arial"/>
                              <w:sz w:val="8"/>
                              <w:szCs w:val="8"/>
                            </w:rPr>
                          </w:pPr>
                          <w:r>
                            <w:rPr>
                              <w:spacing w:val="-1"/>
                              <w:w w:val="105"/>
                              <w:sz w:val="8"/>
                            </w:rPr>
                            <w:t>1.50</w:t>
                          </w:r>
                        </w:p>
                      </w:txbxContent>
                    </v:textbox>
                  </v:shape>
                  <v:shape id="Text Box 8408" o:spid="_x0000_s1689" type="#_x0000_t202" style="position:absolute;left:9087;top:7431;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1KXcQA&#10;AADeAAAADwAAAGRycy9kb3ducmV2LnhtbERPTWvCQBC9F/wPywi91U1KERtdRaRCoSCN8eBxzI7J&#10;YnY2ZleN/74rCL3N433ObNHbRlyp88axgnSUgCAunTZcKdgV67cJCB+QNTaOScGdPCzmg5cZZtrd&#10;OKfrNlQihrDPUEEdQptJ6cuaLPqRa4kjd3SdxRBhV0nd4S2G20a+J8lYWjQcG2psaVVTedperILl&#10;nvMvc94cfvNjboriM+Gf8Ump12G/nIII1Id/8dP9reP8yUeawuOdeIO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Sl3EAAAA3gAAAA8AAAAAAAAAAAAAAAAAmAIAAGRycy9k&#10;b3ducmV2LnhtbFBLBQYAAAAABAAEAPUAAACJAwAAAAA=&#10;" filled="f" stroked="f">
                    <v:textbox inset="0,0,0,0">
                      <w:txbxContent>
                        <w:p w14:paraId="5F1A7507" w14:textId="77777777" w:rsidR="00CB53E4" w:rsidRDefault="00CB53E4" w:rsidP="0031675F">
                          <w:pPr>
                            <w:spacing w:line="84" w:lineRule="exact"/>
                            <w:rPr>
                              <w:rFonts w:eastAsia="Arial" w:cs="Arial"/>
                              <w:sz w:val="8"/>
                              <w:szCs w:val="8"/>
                            </w:rPr>
                          </w:pPr>
                          <w:r>
                            <w:rPr>
                              <w:spacing w:val="-1"/>
                              <w:w w:val="105"/>
                              <w:sz w:val="8"/>
                            </w:rPr>
                            <w:t>2.00</w:t>
                          </w:r>
                        </w:p>
                      </w:txbxContent>
                    </v:textbox>
                  </v:shape>
                  <v:shape id="Text Box 8407" o:spid="_x0000_s1690" type="#_x0000_t202" style="position:absolute;left:9621;top:7431;width:164;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KsUA&#10;AADeAAAADwAAAGRycy9kb3ducmV2LnhtbERPTWvCQBC9F/oflhF6azaKiEY3IsWCUCiN8dDjNDsm&#10;S7KzMbvV9N93CwVv83ifs9mOthNXGrxxrGCapCCIK6cN1wpO5evzEoQPyBo7x6Tghzxs88eHDWba&#10;3big6zHUIoawz1BBE0KfSemrhiz6xPXEkTu7wWKIcKilHvAWw20nZ2m6kBYNx4YGe3ppqGqP31bB&#10;7pOLvbm8f30U58KU5Srlt0Wr1NNk3K1BBBrDXfzvPug4fzmfzuDvnXiD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9QqxQAAAN4AAAAPAAAAAAAAAAAAAAAAAJgCAABkcnMv&#10;ZG93bnJldi54bWxQSwUGAAAAAAQABAD1AAAAigMAAAAA&#10;" filled="f" stroked="f">
                    <v:textbox inset="0,0,0,0">
                      <w:txbxContent>
                        <w:p w14:paraId="007B34DF" w14:textId="77777777" w:rsidR="00CB53E4" w:rsidRDefault="00CB53E4" w:rsidP="0031675F">
                          <w:pPr>
                            <w:spacing w:line="84" w:lineRule="exact"/>
                            <w:rPr>
                              <w:rFonts w:eastAsia="Arial" w:cs="Arial"/>
                              <w:sz w:val="8"/>
                              <w:szCs w:val="8"/>
                            </w:rPr>
                          </w:pPr>
                          <w:r>
                            <w:rPr>
                              <w:spacing w:val="-1"/>
                              <w:w w:val="105"/>
                              <w:sz w:val="8"/>
                            </w:rPr>
                            <w:t>2.50</w:t>
                          </w:r>
                        </w:p>
                      </w:txbxContent>
                    </v:textbox>
                  </v:shape>
                  <v:shape id="Text Box 8406" o:spid="_x0000_s1691" type="#_x0000_t202" style="position:absolute;left:6783;top:7632;width:192;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NxscQA&#10;AADeAAAADwAAAGRycy9kb3ducmV2LnhtbERPTWvCQBC9C/6HZYTedKMVsdFVRFoQhGJMDz2O2TFZ&#10;zM6m2a3Gf98VhN7m8T5nue5sLa7UeuNYwXiUgCAunDZcKvjKP4ZzED4ga6wdk4I7eViv+r0lptrd&#10;OKPrMZQihrBPUUEVQpNK6YuKLPqRa4gjd3atxRBhW0rd4i2G21pOkmQmLRqODRU2tK2ouBx/rYLN&#10;N2fv5ufzdMjOmcnzt4T3s4tSL4NuswARqAv/4qd7p+P8+XT8Co934g1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DcbHEAAAA3gAAAA8AAAAAAAAAAAAAAAAAmAIAAGRycy9k&#10;b3ducmV2LnhtbFBLBQYAAAAABAAEAPUAAACJAwAAAAA=&#10;" filled="f" stroked="f">
                    <v:textbox inset="0,0,0,0">
                      <w:txbxContent>
                        <w:p w14:paraId="72D68537" w14:textId="77777777" w:rsidR="00CB53E4" w:rsidRDefault="00CB53E4" w:rsidP="0031675F">
                          <w:pPr>
                            <w:spacing w:line="84" w:lineRule="exact"/>
                            <w:rPr>
                              <w:rFonts w:eastAsia="Arial" w:cs="Arial"/>
                              <w:sz w:val="8"/>
                              <w:szCs w:val="8"/>
                            </w:rPr>
                          </w:pPr>
                          <w:r>
                            <w:rPr>
                              <w:spacing w:val="-1"/>
                              <w:w w:val="105"/>
                              <w:sz w:val="8"/>
                            </w:rPr>
                            <w:t>-0.50</w:t>
                          </w:r>
                        </w:p>
                      </w:txbxContent>
                    </v:textbox>
                  </v:shape>
                  <v:shape id="Text Box 8405" o:spid="_x0000_s1692" type="#_x0000_t202" style="position:absolute;left:533;top:7857;width:1152;height:2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rpxcQA&#10;AADeAAAADwAAAGRycy9kb3ducmV2LnhtbERPTYvCMBC9L/gfwgje1tRFRKtRRHZBEBZrPXgcm7EN&#10;NpNuE7X7783Cgrd5vM9ZrDpbizu13jhWMBomIIgLpw2XCo751/sUhA/IGmvHpOCXPKyWvbcFpto9&#10;OKP7IZQihrBPUUEVQpNK6YuKLPqha4gjd3GtxRBhW0rd4iOG21p+JMlEWjQcGypsaFNRcT3crIL1&#10;ibNP8/N93meXzOT5LOHd5KrUoN+t5yACdeEl/ndvdZw/HY/G8PdOvEE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6cXEAAAA3gAAAA8AAAAAAAAAAAAAAAAAmAIAAGRycy9k&#10;b3ducmV2LnhtbFBLBQYAAAAABAAEAPUAAACJAwAAAAA=&#10;" filled="f" stroked="f">
                    <v:textbox inset="0,0,0,0">
                      <w:txbxContent>
                        <w:p w14:paraId="5AB22CFB" w14:textId="77777777" w:rsidR="00CB53E4" w:rsidRDefault="00CB53E4" w:rsidP="0031675F">
                          <w:pPr>
                            <w:spacing w:line="96" w:lineRule="exact"/>
                            <w:jc w:val="both"/>
                            <w:rPr>
                              <w:rFonts w:eastAsia="Arial" w:cs="Arial"/>
                              <w:sz w:val="9"/>
                              <w:szCs w:val="9"/>
                            </w:rPr>
                          </w:pPr>
                          <w:r>
                            <w:rPr>
                              <w:spacing w:val="2"/>
                              <w:w w:val="105"/>
                              <w:sz w:val="9"/>
                            </w:rPr>
                            <w:t>WQM199</w:t>
                          </w:r>
                          <w:r>
                            <w:rPr>
                              <w:w w:val="105"/>
                              <w:sz w:val="9"/>
                            </w:rPr>
                            <w:t xml:space="preserve">  </w:t>
                          </w:r>
                          <w:r>
                            <w:rPr>
                              <w:spacing w:val="8"/>
                              <w:w w:val="105"/>
                              <w:sz w:val="9"/>
                            </w:rPr>
                            <w:t xml:space="preserve"> </w:t>
                          </w:r>
                          <w:r>
                            <w:rPr>
                              <w:spacing w:val="1"/>
                              <w:w w:val="105"/>
                              <w:sz w:val="9"/>
                            </w:rPr>
                            <w:t>d1</w:t>
                          </w:r>
                        </w:p>
                        <w:p w14:paraId="00748AEE" w14:textId="77777777" w:rsidR="00CB53E4" w:rsidRDefault="00CB53E4" w:rsidP="0031675F">
                          <w:pPr>
                            <w:spacing w:before="5" w:line="122" w:lineRule="exact"/>
                            <w:ind w:right="533"/>
                            <w:jc w:val="both"/>
                            <w:rPr>
                              <w:rFonts w:eastAsia="Arial" w:cs="Arial"/>
                              <w:sz w:val="10"/>
                              <w:szCs w:val="10"/>
                            </w:rPr>
                          </w:pPr>
                          <w:r>
                            <w:rPr>
                              <w:spacing w:val="2"/>
                              <w:w w:val="105"/>
                              <w:sz w:val="9"/>
                            </w:rPr>
                            <w:t>WQM199</w:t>
                          </w:r>
                          <w:r>
                            <w:rPr>
                              <w:spacing w:val="8"/>
                              <w:w w:val="105"/>
                              <w:sz w:val="9"/>
                            </w:rPr>
                            <w:t xml:space="preserve"> </w:t>
                          </w:r>
                          <w:r>
                            <w:rPr>
                              <w:spacing w:val="1"/>
                              <w:w w:val="105"/>
                              <w:sz w:val="9"/>
                            </w:rPr>
                            <w:t>d1</w:t>
                          </w:r>
                          <w:r>
                            <w:rPr>
                              <w:spacing w:val="24"/>
                              <w:w w:val="105"/>
                              <w:sz w:val="9"/>
                            </w:rPr>
                            <w:t xml:space="preserve"> </w:t>
                          </w:r>
                          <w:r>
                            <w:rPr>
                              <w:spacing w:val="2"/>
                              <w:w w:val="105"/>
                              <w:sz w:val="9"/>
                            </w:rPr>
                            <w:t>WQM200</w:t>
                          </w:r>
                          <w:r>
                            <w:rPr>
                              <w:spacing w:val="8"/>
                              <w:w w:val="105"/>
                              <w:sz w:val="9"/>
                            </w:rPr>
                            <w:t xml:space="preserve"> </w:t>
                          </w:r>
                          <w:r>
                            <w:rPr>
                              <w:spacing w:val="1"/>
                              <w:w w:val="105"/>
                              <w:sz w:val="9"/>
                            </w:rPr>
                            <w:t>d0</w:t>
                          </w:r>
                          <w:r>
                            <w:rPr>
                              <w:spacing w:val="24"/>
                              <w:w w:val="105"/>
                              <w:sz w:val="9"/>
                            </w:rPr>
                            <w:t xml:space="preserve"> </w:t>
                          </w:r>
                          <w:r>
                            <w:rPr>
                              <w:spacing w:val="2"/>
                              <w:w w:val="105"/>
                              <w:sz w:val="9"/>
                            </w:rPr>
                            <w:t>WQM200</w:t>
                          </w:r>
                          <w:r>
                            <w:rPr>
                              <w:spacing w:val="8"/>
                              <w:w w:val="105"/>
                              <w:sz w:val="9"/>
                            </w:rPr>
                            <w:t xml:space="preserve"> </w:t>
                          </w:r>
                          <w:r>
                            <w:rPr>
                              <w:spacing w:val="1"/>
                              <w:w w:val="105"/>
                              <w:sz w:val="9"/>
                            </w:rPr>
                            <w:t>d0</w:t>
                          </w:r>
                          <w:r>
                            <w:rPr>
                              <w:spacing w:val="24"/>
                              <w:w w:val="105"/>
                              <w:sz w:val="9"/>
                            </w:rPr>
                            <w:t xml:space="preserve"> </w:t>
                          </w:r>
                          <w:r>
                            <w:rPr>
                              <w:spacing w:val="2"/>
                              <w:w w:val="105"/>
                              <w:sz w:val="9"/>
                            </w:rPr>
                            <w:t>WQM200</w:t>
                          </w:r>
                          <w:r>
                            <w:rPr>
                              <w:spacing w:val="8"/>
                              <w:w w:val="105"/>
                              <w:sz w:val="9"/>
                            </w:rPr>
                            <w:t xml:space="preserve"> </w:t>
                          </w:r>
                          <w:r>
                            <w:rPr>
                              <w:spacing w:val="1"/>
                              <w:w w:val="105"/>
                              <w:sz w:val="9"/>
                            </w:rPr>
                            <w:t>d1</w:t>
                          </w:r>
                          <w:r>
                            <w:rPr>
                              <w:spacing w:val="24"/>
                              <w:w w:val="105"/>
                              <w:sz w:val="9"/>
                            </w:rPr>
                            <w:t xml:space="preserve"> </w:t>
                          </w:r>
                          <w:r>
                            <w:rPr>
                              <w:spacing w:val="2"/>
                              <w:w w:val="105"/>
                              <w:sz w:val="9"/>
                            </w:rPr>
                            <w:t>WQM200</w:t>
                          </w:r>
                          <w:r>
                            <w:rPr>
                              <w:spacing w:val="8"/>
                              <w:w w:val="105"/>
                              <w:sz w:val="9"/>
                            </w:rPr>
                            <w:t xml:space="preserve"> </w:t>
                          </w:r>
                          <w:r>
                            <w:rPr>
                              <w:spacing w:val="1"/>
                              <w:w w:val="105"/>
                              <w:sz w:val="9"/>
                            </w:rPr>
                            <w:t>d1</w:t>
                          </w:r>
                          <w:r>
                            <w:rPr>
                              <w:spacing w:val="24"/>
                              <w:w w:val="105"/>
                              <w:sz w:val="9"/>
                            </w:rPr>
                            <w:t xml:space="preserve"> </w:t>
                          </w:r>
                          <w:r>
                            <w:rPr>
                              <w:spacing w:val="2"/>
                              <w:w w:val="105"/>
                              <w:sz w:val="9"/>
                            </w:rPr>
                            <w:t>WQM201</w:t>
                          </w:r>
                          <w:r>
                            <w:rPr>
                              <w:spacing w:val="3"/>
                              <w:w w:val="105"/>
                              <w:sz w:val="9"/>
                            </w:rPr>
                            <w:t xml:space="preserve"> </w:t>
                          </w:r>
                          <w:r>
                            <w:rPr>
                              <w:spacing w:val="-2"/>
                              <w:w w:val="105"/>
                              <w:position w:val="1"/>
                              <w:sz w:val="10"/>
                            </w:rPr>
                            <w:t>d0</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d0</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d1</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d1</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d2</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d2</w:t>
                          </w:r>
                          <w:r>
                            <w:rPr>
                              <w:spacing w:val="22"/>
                              <w:w w:val="98"/>
                              <w:position w:val="1"/>
                              <w:sz w:val="10"/>
                            </w:rPr>
                            <w:t xml:space="preserve"> </w:t>
                          </w:r>
                          <w:r>
                            <w:rPr>
                              <w:spacing w:val="2"/>
                              <w:w w:val="105"/>
                              <w:sz w:val="9"/>
                            </w:rPr>
                            <w:t>WQM201</w:t>
                          </w:r>
                          <w:r>
                            <w:rPr>
                              <w:spacing w:val="3"/>
                              <w:w w:val="105"/>
                              <w:sz w:val="9"/>
                            </w:rPr>
                            <w:t xml:space="preserve"> </w:t>
                          </w:r>
                          <w:r>
                            <w:rPr>
                              <w:spacing w:val="-2"/>
                              <w:w w:val="105"/>
                              <w:position w:val="1"/>
                              <w:sz w:val="10"/>
                            </w:rPr>
                            <w:t>d3</w:t>
                          </w:r>
                          <w:r>
                            <w:rPr>
                              <w:spacing w:val="22"/>
                              <w:w w:val="98"/>
                              <w:position w:val="1"/>
                              <w:sz w:val="10"/>
                            </w:rPr>
                            <w:t xml:space="preserve"> </w:t>
                          </w:r>
                          <w:r>
                            <w:rPr>
                              <w:spacing w:val="2"/>
                              <w:w w:val="105"/>
                              <w:sz w:val="9"/>
                            </w:rPr>
                            <w:t>WQM201</w:t>
                          </w:r>
                          <w:r>
                            <w:rPr>
                              <w:w w:val="105"/>
                              <w:sz w:val="9"/>
                            </w:rPr>
                            <w:t xml:space="preserve">  </w:t>
                          </w:r>
                          <w:r>
                            <w:rPr>
                              <w:spacing w:val="2"/>
                              <w:w w:val="105"/>
                              <w:sz w:val="9"/>
                            </w:rPr>
                            <w:t xml:space="preserve"> </w:t>
                          </w:r>
                          <w:r>
                            <w:rPr>
                              <w:spacing w:val="-2"/>
                              <w:w w:val="105"/>
                              <w:position w:val="1"/>
                              <w:sz w:val="10"/>
                            </w:rPr>
                            <w:t>d3</w:t>
                          </w:r>
                        </w:p>
                        <w:p w14:paraId="1202759A" w14:textId="77777777" w:rsidR="00CB53E4" w:rsidRDefault="00CB53E4" w:rsidP="0031675F">
                          <w:pPr>
                            <w:spacing w:line="254" w:lineRule="auto"/>
                            <w:rPr>
                              <w:rFonts w:eastAsia="Arial" w:cs="Arial"/>
                              <w:sz w:val="10"/>
                              <w:szCs w:val="10"/>
                            </w:rPr>
                          </w:pPr>
                          <w:r>
                            <w:rPr>
                              <w:spacing w:val="-1"/>
                              <w:sz w:val="10"/>
                            </w:rPr>
                            <w:t>Pontoon</w:t>
                          </w:r>
                          <w:r>
                            <w:rPr>
                              <w:spacing w:val="-13"/>
                              <w:sz w:val="10"/>
                            </w:rPr>
                            <w:t xml:space="preserve"> </w:t>
                          </w:r>
                          <w:r>
                            <w:rPr>
                              <w:spacing w:val="-1"/>
                              <w:sz w:val="10"/>
                            </w:rPr>
                            <w:t>Seawater</w:t>
                          </w:r>
                          <w:r>
                            <w:rPr>
                              <w:spacing w:val="-12"/>
                              <w:sz w:val="10"/>
                            </w:rPr>
                            <w:t xml:space="preserve"> </w:t>
                          </w:r>
                          <w:r>
                            <w:rPr>
                              <w:spacing w:val="-1"/>
                              <w:sz w:val="10"/>
                            </w:rPr>
                            <w:t>22-Dec</w:t>
                          </w:r>
                          <w:r>
                            <w:rPr>
                              <w:spacing w:val="25"/>
                              <w:w w:val="98"/>
                              <w:sz w:val="10"/>
                            </w:rPr>
                            <w:t xml:space="preserve"> </w:t>
                          </w:r>
                          <w:r>
                            <w:rPr>
                              <w:spacing w:val="-1"/>
                              <w:sz w:val="10"/>
                            </w:rPr>
                            <w:t>2ppm</w:t>
                          </w:r>
                          <w:r>
                            <w:rPr>
                              <w:spacing w:val="-7"/>
                              <w:sz w:val="10"/>
                            </w:rPr>
                            <w:t xml:space="preserve"> </w:t>
                          </w:r>
                          <w:r>
                            <w:rPr>
                              <w:sz w:val="10"/>
                            </w:rPr>
                            <w:t>OC</w:t>
                          </w:r>
                        </w:p>
                        <w:p w14:paraId="03663DB6" w14:textId="77777777" w:rsidR="00CB53E4" w:rsidRDefault="00CB53E4" w:rsidP="0031675F">
                          <w:pPr>
                            <w:spacing w:line="255" w:lineRule="auto"/>
                            <w:ind w:right="726"/>
                            <w:jc w:val="both"/>
                            <w:rPr>
                              <w:rFonts w:eastAsia="Arial" w:cs="Arial"/>
                              <w:sz w:val="10"/>
                              <w:szCs w:val="10"/>
                            </w:rPr>
                          </w:pPr>
                          <w:r>
                            <w:rPr>
                              <w:spacing w:val="-1"/>
                              <w:sz w:val="10"/>
                            </w:rPr>
                            <w:t>2ppm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1ppm</w:t>
                          </w:r>
                          <w:r>
                            <w:rPr>
                              <w:spacing w:val="-6"/>
                              <w:sz w:val="10"/>
                            </w:rPr>
                            <w:t xml:space="preserve"> </w:t>
                          </w:r>
                          <w:r>
                            <w:rPr>
                              <w:sz w:val="10"/>
                            </w:rPr>
                            <w:t>OC</w:t>
                          </w:r>
                          <w:r>
                            <w:rPr>
                              <w:spacing w:val="23"/>
                              <w:w w:val="98"/>
                              <w:sz w:val="10"/>
                            </w:rPr>
                            <w:t xml:space="preserve"> </w:t>
                          </w:r>
                          <w:r>
                            <w:rPr>
                              <w:spacing w:val="-1"/>
                              <w:sz w:val="10"/>
                            </w:rPr>
                            <w:t>0ppm</w:t>
                          </w:r>
                          <w:r>
                            <w:rPr>
                              <w:spacing w:val="-6"/>
                              <w:sz w:val="10"/>
                            </w:rPr>
                            <w:t xml:space="preserve"> </w:t>
                          </w:r>
                          <w:r>
                            <w:rPr>
                              <w:sz w:val="10"/>
                            </w:rPr>
                            <w:t>OC</w:t>
                          </w:r>
                          <w:r>
                            <w:rPr>
                              <w:spacing w:val="23"/>
                              <w:w w:val="98"/>
                              <w:sz w:val="10"/>
                            </w:rPr>
                            <w:t xml:space="preserve"> </w:t>
                          </w:r>
                          <w:r>
                            <w:rPr>
                              <w:spacing w:val="-1"/>
                              <w:sz w:val="10"/>
                            </w:rPr>
                            <w:t>0ppm</w:t>
                          </w:r>
                          <w:r>
                            <w:rPr>
                              <w:spacing w:val="-7"/>
                              <w:sz w:val="10"/>
                            </w:rPr>
                            <w:t xml:space="preserve"> </w:t>
                          </w:r>
                          <w:r>
                            <w:rPr>
                              <w:sz w:val="10"/>
                            </w:rPr>
                            <w:t>OC</w:t>
                          </w:r>
                        </w:p>
                      </w:txbxContent>
                    </v:textbox>
                  </v:shape>
                </v:group>
                <w10:anchorlock/>
              </v:group>
            </w:pict>
          </mc:Fallback>
        </mc:AlternateContent>
      </w:r>
    </w:p>
    <w:p w14:paraId="2A1F3361" w14:textId="77777777" w:rsidR="0031675F" w:rsidRPr="0031675F" w:rsidRDefault="0031675F" w:rsidP="0031675F">
      <w:pPr>
        <w:spacing w:line="200" w:lineRule="atLeast"/>
        <w:rPr>
          <w:rFonts w:eastAsia="Arial" w:cs="Arial"/>
          <w:sz w:val="20"/>
          <w:szCs w:val="20"/>
        </w:rPr>
        <w:sectPr w:rsidR="0031675F" w:rsidRPr="0031675F" w:rsidSect="004A5C83">
          <w:type w:val="nextColumn"/>
          <w:pgSz w:w="11910" w:h="16850"/>
          <w:pgMar w:top="720" w:right="318" w:bottom="697" w:left="459" w:header="522" w:footer="499" w:gutter="0"/>
          <w:paperSrc w:first="7" w:other="7"/>
          <w:cols w:space="720"/>
        </w:sectPr>
      </w:pPr>
    </w:p>
    <w:p w14:paraId="0A02C72A" w14:textId="77777777" w:rsidR="0031675F" w:rsidRPr="0031675F" w:rsidRDefault="0031675F" w:rsidP="0031675F">
      <w:pPr>
        <w:tabs>
          <w:tab w:val="left" w:pos="2387"/>
        </w:tabs>
        <w:ind w:left="2387" w:right="120" w:hanging="2269"/>
        <w:rPr>
          <w:rFonts w:eastAsia="Arial" w:cs="Arial"/>
          <w:sz w:val="24"/>
          <w:szCs w:val="24"/>
        </w:rPr>
      </w:pPr>
      <w:r w:rsidRPr="0031675F">
        <w:rPr>
          <w:b/>
          <w:spacing w:val="-1"/>
          <w:sz w:val="24"/>
        </w:rPr>
        <w:t>Attachment</w:t>
      </w:r>
      <w:r w:rsidRPr="0031675F">
        <w:rPr>
          <w:b/>
          <w:sz w:val="24"/>
        </w:rPr>
        <w:t xml:space="preserve"> 5.2</w:t>
      </w:r>
      <w:r w:rsidRPr="0031675F">
        <w:rPr>
          <w:b/>
          <w:sz w:val="24"/>
        </w:rPr>
        <w:tab/>
      </w:r>
      <w:r w:rsidRPr="0031675F">
        <w:rPr>
          <w:b/>
          <w:spacing w:val="-1"/>
          <w:sz w:val="24"/>
        </w:rPr>
        <w:t>Example</w:t>
      </w:r>
      <w:r w:rsidRPr="0031675F">
        <w:rPr>
          <w:b/>
          <w:spacing w:val="12"/>
          <w:sz w:val="24"/>
        </w:rPr>
        <w:t xml:space="preserve"> </w:t>
      </w:r>
      <w:r w:rsidRPr="0031675F">
        <w:rPr>
          <w:b/>
          <w:sz w:val="24"/>
        </w:rPr>
        <w:t>report</w:t>
      </w:r>
      <w:r w:rsidRPr="0031675F">
        <w:rPr>
          <w:b/>
          <w:spacing w:val="11"/>
          <w:sz w:val="24"/>
        </w:rPr>
        <w:t xml:space="preserve"> </w:t>
      </w:r>
      <w:r w:rsidRPr="0031675F">
        <w:rPr>
          <w:b/>
          <w:sz w:val="24"/>
        </w:rPr>
        <w:t>from</w:t>
      </w:r>
      <w:r w:rsidRPr="0031675F">
        <w:rPr>
          <w:b/>
          <w:spacing w:val="14"/>
          <w:sz w:val="24"/>
        </w:rPr>
        <w:t xml:space="preserve"> </w:t>
      </w:r>
      <w:r w:rsidRPr="0031675F">
        <w:rPr>
          <w:b/>
          <w:spacing w:val="-2"/>
          <w:sz w:val="24"/>
        </w:rPr>
        <w:t>AIMS</w:t>
      </w:r>
      <w:r w:rsidRPr="0031675F">
        <w:rPr>
          <w:b/>
          <w:spacing w:val="17"/>
          <w:sz w:val="24"/>
        </w:rPr>
        <w:t xml:space="preserve"> </w:t>
      </w:r>
      <w:r w:rsidRPr="0031675F">
        <w:rPr>
          <w:b/>
          <w:spacing w:val="-1"/>
          <w:sz w:val="24"/>
        </w:rPr>
        <w:t>Analytical</w:t>
      </w:r>
      <w:r w:rsidRPr="0031675F">
        <w:rPr>
          <w:b/>
          <w:spacing w:val="12"/>
          <w:sz w:val="24"/>
        </w:rPr>
        <w:t xml:space="preserve"> </w:t>
      </w:r>
      <w:r w:rsidRPr="0031675F">
        <w:rPr>
          <w:b/>
          <w:spacing w:val="-1"/>
          <w:sz w:val="24"/>
        </w:rPr>
        <w:t>Services</w:t>
      </w:r>
      <w:r w:rsidRPr="0031675F">
        <w:rPr>
          <w:b/>
          <w:spacing w:val="19"/>
          <w:sz w:val="24"/>
        </w:rPr>
        <w:t xml:space="preserve"> </w:t>
      </w:r>
      <w:r w:rsidRPr="0031675F">
        <w:rPr>
          <w:b/>
          <w:spacing w:val="-1"/>
          <w:sz w:val="24"/>
        </w:rPr>
        <w:t>for</w:t>
      </w:r>
      <w:r w:rsidRPr="0031675F">
        <w:rPr>
          <w:b/>
          <w:spacing w:val="14"/>
          <w:sz w:val="24"/>
        </w:rPr>
        <w:t xml:space="preserve"> </w:t>
      </w:r>
      <w:r w:rsidRPr="0031675F">
        <w:rPr>
          <w:b/>
          <w:spacing w:val="-1"/>
          <w:sz w:val="24"/>
        </w:rPr>
        <w:t>Analysis</w:t>
      </w:r>
      <w:r w:rsidRPr="0031675F">
        <w:rPr>
          <w:b/>
          <w:spacing w:val="61"/>
          <w:sz w:val="24"/>
        </w:rPr>
        <w:t xml:space="preserve"> </w:t>
      </w:r>
      <w:r w:rsidRPr="0031675F">
        <w:rPr>
          <w:b/>
          <w:sz w:val="24"/>
        </w:rPr>
        <w:t>of</w:t>
      </w:r>
      <w:r w:rsidRPr="0031675F">
        <w:rPr>
          <w:b/>
          <w:spacing w:val="-1"/>
          <w:sz w:val="24"/>
        </w:rPr>
        <w:t xml:space="preserve"> Dissolved</w:t>
      </w:r>
      <w:r w:rsidRPr="0031675F">
        <w:rPr>
          <w:b/>
          <w:sz w:val="24"/>
        </w:rPr>
        <w:t xml:space="preserve"> Organic Carbon using the </w:t>
      </w:r>
      <w:r w:rsidRPr="0031675F">
        <w:rPr>
          <w:b/>
          <w:spacing w:val="-1"/>
          <w:sz w:val="24"/>
        </w:rPr>
        <w:t>Shimadzu</w:t>
      </w:r>
      <w:r w:rsidRPr="0031675F">
        <w:rPr>
          <w:b/>
          <w:sz w:val="24"/>
        </w:rPr>
        <w:t xml:space="preserve"> TOC-V</w:t>
      </w:r>
    </w:p>
    <w:p w14:paraId="279F4F35" w14:textId="77777777" w:rsidR="0031675F" w:rsidRPr="0031675F" w:rsidRDefault="0031675F" w:rsidP="0031675F">
      <w:pPr>
        <w:spacing w:before="4"/>
        <w:rPr>
          <w:rFonts w:eastAsia="Arial" w:cs="Arial"/>
          <w:b/>
          <w:bCs/>
          <w:sz w:val="23"/>
          <w:szCs w:val="23"/>
        </w:rPr>
      </w:pPr>
    </w:p>
    <w:tbl>
      <w:tblPr>
        <w:tblW w:w="0" w:type="auto"/>
        <w:tblInd w:w="1707" w:type="dxa"/>
        <w:tblLayout w:type="fixed"/>
        <w:tblCellMar>
          <w:left w:w="0" w:type="dxa"/>
          <w:right w:w="0" w:type="dxa"/>
        </w:tblCellMar>
        <w:tblLook w:val="01E0" w:firstRow="1" w:lastRow="1" w:firstColumn="1" w:lastColumn="1" w:noHBand="0" w:noVBand="0"/>
      </w:tblPr>
      <w:tblGrid>
        <w:gridCol w:w="767"/>
        <w:gridCol w:w="597"/>
        <w:gridCol w:w="833"/>
        <w:gridCol w:w="751"/>
        <w:gridCol w:w="762"/>
        <w:gridCol w:w="761"/>
        <w:gridCol w:w="598"/>
        <w:gridCol w:w="836"/>
        <w:gridCol w:w="1334"/>
      </w:tblGrid>
      <w:tr w:rsidR="0031675F" w:rsidRPr="0031675F" w14:paraId="48AE40D7" w14:textId="77777777" w:rsidTr="00B00729">
        <w:trPr>
          <w:trHeight w:hRule="exact" w:val="6973"/>
        </w:trPr>
        <w:tc>
          <w:tcPr>
            <w:tcW w:w="5905" w:type="dxa"/>
            <w:gridSpan w:val="8"/>
            <w:tcBorders>
              <w:top w:val="single" w:sz="7" w:space="0" w:color="000000"/>
              <w:left w:val="single" w:sz="7" w:space="0" w:color="000000"/>
              <w:bottom w:val="single" w:sz="4" w:space="0" w:color="000000"/>
              <w:right w:val="single" w:sz="7" w:space="0" w:color="000000"/>
            </w:tcBorders>
            <w:shd w:val="clear" w:color="auto" w:fill="CCFFCC"/>
          </w:tcPr>
          <w:p w14:paraId="25AE5988" w14:textId="77777777" w:rsidR="0031675F" w:rsidRPr="0031675F" w:rsidRDefault="0031675F" w:rsidP="0031675F">
            <w:pPr>
              <w:widowControl w:val="0"/>
              <w:spacing w:before="0" w:after="0" w:line="130" w:lineRule="exact"/>
              <w:ind w:left="12" w:right="-18"/>
              <w:rPr>
                <w:rFonts w:eastAsia="Arial" w:cs="Arial"/>
                <w:sz w:val="12"/>
                <w:szCs w:val="12"/>
                <w:lang w:val="en-US"/>
              </w:rPr>
            </w:pPr>
            <w:r w:rsidRPr="0031675F">
              <w:rPr>
                <w:rFonts w:eastAsia="Calibri" w:hAnsi="Calibri"/>
                <w:sz w:val="12"/>
                <w:lang w:val="en-US"/>
              </w:rPr>
              <w:t>..............................................................................................................................................................................</w:t>
            </w:r>
          </w:p>
          <w:p w14:paraId="2CAD6F81" w14:textId="77777777" w:rsidR="0031675F" w:rsidRPr="0031675F" w:rsidRDefault="0031675F" w:rsidP="0031675F">
            <w:pPr>
              <w:widowControl w:val="0"/>
              <w:spacing w:before="19" w:after="0" w:line="240" w:lineRule="auto"/>
              <w:ind w:left="12"/>
              <w:rPr>
                <w:rFonts w:eastAsia="Arial" w:cs="Arial"/>
                <w:sz w:val="38"/>
                <w:szCs w:val="38"/>
                <w:lang w:val="en-US"/>
              </w:rPr>
            </w:pPr>
            <w:r w:rsidRPr="0031675F">
              <w:rPr>
                <w:rFonts w:eastAsia="Calibri" w:hAnsi="Calibri"/>
                <w:spacing w:val="-1"/>
                <w:sz w:val="35"/>
                <w:lang w:val="en-US"/>
              </w:rPr>
              <w:t>Australian</w:t>
            </w:r>
            <w:r w:rsidRPr="0031675F">
              <w:rPr>
                <w:rFonts w:eastAsia="Calibri" w:hAnsi="Calibri"/>
                <w:spacing w:val="13"/>
                <w:sz w:val="35"/>
                <w:lang w:val="en-US"/>
              </w:rPr>
              <w:t xml:space="preserve"> </w:t>
            </w:r>
            <w:r w:rsidRPr="0031675F">
              <w:rPr>
                <w:rFonts w:eastAsia="Calibri" w:hAnsi="Calibri"/>
                <w:spacing w:val="-1"/>
                <w:sz w:val="35"/>
                <w:lang w:val="en-US"/>
              </w:rPr>
              <w:t>Institute</w:t>
            </w:r>
            <w:r w:rsidRPr="0031675F">
              <w:rPr>
                <w:rFonts w:eastAsia="Calibri" w:hAnsi="Calibri"/>
                <w:spacing w:val="17"/>
                <w:sz w:val="35"/>
                <w:lang w:val="en-US"/>
              </w:rPr>
              <w:t xml:space="preserve"> </w:t>
            </w:r>
            <w:r w:rsidRPr="0031675F">
              <w:rPr>
                <w:rFonts w:eastAsia="Calibri" w:hAnsi="Calibri"/>
                <w:spacing w:val="-1"/>
                <w:sz w:val="35"/>
                <w:lang w:val="en-US"/>
              </w:rPr>
              <w:t>of</w:t>
            </w:r>
            <w:r w:rsidRPr="0031675F">
              <w:rPr>
                <w:rFonts w:eastAsia="Calibri" w:hAnsi="Calibri"/>
                <w:spacing w:val="15"/>
                <w:sz w:val="35"/>
                <w:lang w:val="en-US"/>
              </w:rPr>
              <w:t xml:space="preserve"> </w:t>
            </w:r>
            <w:r w:rsidRPr="0031675F">
              <w:rPr>
                <w:rFonts w:eastAsia="Calibri" w:hAnsi="Calibri"/>
                <w:spacing w:val="-1"/>
                <w:sz w:val="35"/>
                <w:lang w:val="en-US"/>
              </w:rPr>
              <w:t>Marine</w:t>
            </w:r>
            <w:r w:rsidRPr="0031675F">
              <w:rPr>
                <w:rFonts w:eastAsia="Calibri" w:hAnsi="Calibri"/>
                <w:spacing w:val="18"/>
                <w:sz w:val="35"/>
                <w:lang w:val="en-US"/>
              </w:rPr>
              <w:t xml:space="preserve"> </w:t>
            </w:r>
            <w:r w:rsidRPr="0031675F">
              <w:rPr>
                <w:rFonts w:eastAsia="Calibri" w:hAnsi="Calibri"/>
                <w:spacing w:val="-1"/>
                <w:sz w:val="38"/>
                <w:lang w:val="en-US"/>
              </w:rPr>
              <w:t>Scienc</w:t>
            </w:r>
          </w:p>
          <w:p w14:paraId="149B6B14" w14:textId="77777777" w:rsidR="0031675F" w:rsidRPr="0031675F" w:rsidRDefault="0031675F" w:rsidP="0031675F">
            <w:pPr>
              <w:widowControl w:val="0"/>
              <w:spacing w:before="19" w:after="0" w:line="240" w:lineRule="auto"/>
              <w:ind w:left="12"/>
              <w:rPr>
                <w:rFonts w:eastAsia="Arial" w:cs="Arial"/>
                <w:sz w:val="41"/>
                <w:szCs w:val="41"/>
                <w:lang w:val="en-US"/>
              </w:rPr>
            </w:pPr>
            <w:r w:rsidRPr="0031675F">
              <w:rPr>
                <w:rFonts w:eastAsia="Calibri" w:hAnsi="Calibri"/>
                <w:spacing w:val="-1"/>
                <w:sz w:val="41"/>
                <w:lang w:val="en-US"/>
              </w:rPr>
              <w:t>LABORATORY</w:t>
            </w:r>
            <w:r w:rsidRPr="0031675F">
              <w:rPr>
                <w:rFonts w:eastAsia="Calibri" w:hAnsi="Calibri"/>
                <w:spacing w:val="47"/>
                <w:sz w:val="41"/>
                <w:lang w:val="en-US"/>
              </w:rPr>
              <w:t xml:space="preserve"> </w:t>
            </w:r>
            <w:r w:rsidRPr="0031675F">
              <w:rPr>
                <w:rFonts w:eastAsia="Calibri" w:hAnsi="Calibri"/>
                <w:spacing w:val="-1"/>
                <w:sz w:val="41"/>
                <w:lang w:val="en-US"/>
              </w:rPr>
              <w:t>SERVICES</w:t>
            </w:r>
          </w:p>
          <w:p w14:paraId="29678F1F" w14:textId="77777777" w:rsidR="0031675F" w:rsidRPr="0031675F" w:rsidRDefault="0031675F" w:rsidP="0031675F">
            <w:pPr>
              <w:widowControl w:val="0"/>
              <w:tabs>
                <w:tab w:val="left" w:pos="1390"/>
                <w:tab w:val="left" w:pos="1930"/>
                <w:tab w:val="left" w:pos="2840"/>
                <w:tab w:val="left" w:pos="3354"/>
                <w:tab w:val="right" w:pos="4473"/>
                <w:tab w:val="left" w:pos="4658"/>
              </w:tabs>
              <w:spacing w:before="17" w:after="0" w:line="269" w:lineRule="auto"/>
              <w:ind w:left="709" w:right="340" w:hanging="698"/>
              <w:rPr>
                <w:rFonts w:ascii="Times New Roman" w:eastAsia="Times New Roman" w:hAnsi="Times New Roman"/>
                <w:sz w:val="12"/>
                <w:szCs w:val="12"/>
                <w:lang w:val="en-US"/>
              </w:rPr>
            </w:pPr>
            <w:r w:rsidRPr="0031675F">
              <w:rPr>
                <w:rFonts w:ascii="Times New Roman" w:eastAsia="Calibri" w:hAnsi="Calibri"/>
                <w:spacing w:val="-2"/>
                <w:sz w:val="12"/>
                <w:lang w:val="en-US"/>
              </w:rPr>
              <w:t>Telephone:</w:t>
            </w:r>
            <w:r w:rsidRPr="0031675F">
              <w:rPr>
                <w:rFonts w:ascii="Times New Roman" w:eastAsia="Calibri" w:hAnsi="Calibri"/>
                <w:sz w:val="12"/>
                <w:lang w:val="en-US"/>
              </w:rPr>
              <w:t xml:space="preserve">   </w:t>
            </w:r>
            <w:r w:rsidRPr="0031675F">
              <w:rPr>
                <w:rFonts w:ascii="Times New Roman" w:eastAsia="Calibri" w:hAnsi="Calibri"/>
                <w:spacing w:val="20"/>
                <w:sz w:val="12"/>
                <w:lang w:val="en-US"/>
              </w:rPr>
              <w:t xml:space="preserve"> </w:t>
            </w:r>
            <w:r w:rsidRPr="0031675F">
              <w:rPr>
                <w:rFonts w:ascii="Times New Roman" w:eastAsia="Calibri" w:hAnsi="Calibri"/>
                <w:spacing w:val="-1"/>
                <w:sz w:val="12"/>
                <w:lang w:val="en-US"/>
              </w:rPr>
              <w:t>Manager</w:t>
            </w:r>
            <w:r w:rsidRPr="0031675F">
              <w:rPr>
                <w:rFonts w:ascii="Times New Roman" w:eastAsia="Calibri" w:hAnsi="Calibri"/>
                <w:spacing w:val="-1"/>
                <w:sz w:val="12"/>
                <w:lang w:val="en-US"/>
              </w:rPr>
              <w:tab/>
            </w:r>
            <w:r w:rsidRPr="0031675F">
              <w:rPr>
                <w:rFonts w:ascii="Times New Roman" w:eastAsia="Calibri" w:hAnsi="Calibri"/>
                <w:sz w:val="12"/>
                <w:lang w:val="en-US"/>
              </w:rPr>
              <w:t>263</w:t>
            </w:r>
            <w:r w:rsidRPr="0031675F">
              <w:rPr>
                <w:rFonts w:ascii="Times New Roman" w:eastAsia="Calibri" w:hAnsi="Calibri"/>
                <w:sz w:val="12"/>
                <w:lang w:val="en-US"/>
              </w:rPr>
              <w:tab/>
            </w:r>
            <w:r w:rsidRPr="0031675F">
              <w:rPr>
                <w:rFonts w:ascii="Times New Roman" w:eastAsia="Calibri" w:hAnsi="Calibri"/>
                <w:spacing w:val="-2"/>
                <w:sz w:val="12"/>
                <w:lang w:val="en-US"/>
              </w:rPr>
              <w:t>ICP</w:t>
            </w:r>
            <w:r w:rsidRPr="0031675F">
              <w:rPr>
                <w:rFonts w:ascii="Times New Roman" w:eastAsia="Calibri" w:hAnsi="Calibri"/>
                <w:spacing w:val="-1"/>
                <w:sz w:val="12"/>
                <w:lang w:val="en-US"/>
              </w:rPr>
              <w:t xml:space="preserve"> </w:t>
            </w:r>
            <w:r w:rsidRPr="0031675F">
              <w:rPr>
                <w:rFonts w:ascii="Times New Roman" w:eastAsia="Calibri" w:hAnsi="Calibri"/>
                <w:spacing w:val="-1"/>
                <w:w w:val="95"/>
                <w:sz w:val="12"/>
                <w:lang w:val="en-US"/>
              </w:rPr>
              <w:t>Facility</w:t>
            </w:r>
            <w:r w:rsidRPr="0031675F">
              <w:rPr>
                <w:rFonts w:ascii="Times New Roman" w:eastAsia="Calibri" w:hAnsi="Calibri"/>
                <w:spacing w:val="-1"/>
                <w:w w:val="95"/>
                <w:sz w:val="12"/>
                <w:lang w:val="en-US"/>
              </w:rPr>
              <w:tab/>
            </w:r>
            <w:r w:rsidRPr="0031675F">
              <w:rPr>
                <w:rFonts w:ascii="Times New Roman" w:eastAsia="Calibri" w:hAnsi="Calibri"/>
                <w:w w:val="95"/>
                <w:sz w:val="12"/>
                <w:lang w:val="en-US"/>
              </w:rPr>
              <w:t>385</w:t>
            </w:r>
            <w:r w:rsidRPr="0031675F">
              <w:rPr>
                <w:rFonts w:ascii="Times New Roman" w:eastAsia="Calibri" w:hAnsi="Calibri"/>
                <w:w w:val="95"/>
                <w:sz w:val="12"/>
                <w:lang w:val="en-US"/>
              </w:rPr>
              <w:tab/>
            </w:r>
            <w:r w:rsidRPr="0031675F">
              <w:rPr>
                <w:rFonts w:ascii="Times New Roman" w:eastAsia="Calibri" w:hAnsi="Calibri"/>
                <w:spacing w:val="-1"/>
                <w:sz w:val="12"/>
                <w:lang w:val="en-US"/>
              </w:rPr>
              <w:t>Nutrient</w:t>
            </w:r>
            <w:r w:rsidRPr="0031675F">
              <w:rPr>
                <w:rFonts w:ascii="Times New Roman" w:eastAsia="Calibri" w:hAnsi="Calibri"/>
                <w:spacing w:val="-2"/>
                <w:sz w:val="12"/>
                <w:lang w:val="en-US"/>
              </w:rPr>
              <w:t xml:space="preserve"> </w:t>
            </w:r>
            <w:r w:rsidRPr="0031675F">
              <w:rPr>
                <w:rFonts w:ascii="Times New Roman" w:eastAsia="Calibri" w:hAnsi="Calibri"/>
                <w:spacing w:val="-1"/>
                <w:sz w:val="12"/>
                <w:lang w:val="en-US"/>
              </w:rPr>
              <w:t>Facility</w:t>
            </w:r>
            <w:r w:rsidRPr="0031675F">
              <w:rPr>
                <w:rFonts w:ascii="Times New Roman" w:eastAsia="Calibri" w:hAnsi="Calibri"/>
                <w:sz w:val="12"/>
                <w:lang w:val="en-US"/>
              </w:rPr>
              <w:t xml:space="preserve">  </w:t>
            </w:r>
            <w:r w:rsidRPr="0031675F">
              <w:rPr>
                <w:rFonts w:ascii="Times New Roman" w:eastAsia="Calibri" w:hAnsi="Calibri"/>
                <w:spacing w:val="20"/>
                <w:sz w:val="12"/>
                <w:lang w:val="en-US"/>
              </w:rPr>
              <w:t xml:space="preserve"> </w:t>
            </w:r>
            <w:r w:rsidRPr="0031675F">
              <w:rPr>
                <w:rFonts w:ascii="Times New Roman" w:eastAsia="Calibri" w:hAnsi="Calibri"/>
                <w:sz w:val="12"/>
                <w:lang w:val="en-US"/>
              </w:rPr>
              <w:t>363</w:t>
            </w:r>
            <w:r w:rsidRPr="0031675F">
              <w:rPr>
                <w:rFonts w:ascii="Times New Roman" w:eastAsia="Calibri" w:hAnsi="Calibri"/>
                <w:sz w:val="12"/>
                <w:lang w:val="en-US"/>
              </w:rPr>
              <w:tab/>
            </w:r>
            <w:r w:rsidRPr="0031675F">
              <w:rPr>
                <w:rFonts w:ascii="Times New Roman" w:eastAsia="Calibri" w:hAnsi="Calibri"/>
                <w:sz w:val="12"/>
                <w:lang w:val="en-US"/>
              </w:rPr>
              <w:tab/>
            </w:r>
            <w:r w:rsidRPr="0031675F">
              <w:rPr>
                <w:rFonts w:ascii="Times New Roman" w:eastAsia="Calibri" w:hAnsi="Calibri"/>
                <w:spacing w:val="-1"/>
                <w:sz w:val="12"/>
                <w:lang w:val="en-US"/>
              </w:rPr>
              <w:t>E-mail</w:t>
            </w:r>
            <w:r w:rsidRPr="0031675F">
              <w:rPr>
                <w:rFonts w:ascii="Times New Roman" w:eastAsia="Calibri" w:hAnsi="Calibri"/>
                <w:sz w:val="12"/>
                <w:lang w:val="en-US"/>
              </w:rPr>
              <w:t xml:space="preserve">   </w:t>
            </w:r>
            <w:r w:rsidRPr="0031675F">
              <w:rPr>
                <w:rFonts w:ascii="Times New Roman" w:eastAsia="Calibri" w:hAnsi="Calibri"/>
                <w:spacing w:val="23"/>
                <w:sz w:val="12"/>
                <w:lang w:val="en-US"/>
              </w:rPr>
              <w:t xml:space="preserve"> </w:t>
            </w:r>
            <w:r w:rsidRPr="0031675F">
              <w:rPr>
                <w:rFonts w:ascii="Times New Roman" w:eastAsia="Calibri" w:hAnsi="Calibri"/>
                <w:spacing w:val="-1"/>
                <w:sz w:val="12"/>
                <w:lang w:val="en-US"/>
              </w:rPr>
              <w:t>f_tirendi</w:t>
            </w:r>
            <w:r w:rsidRPr="0031675F">
              <w:rPr>
                <w:rFonts w:ascii="Times New Roman" w:eastAsia="Calibri" w:hAnsi="Calibri"/>
                <w:spacing w:val="69"/>
                <w:w w:val="99"/>
                <w:sz w:val="12"/>
                <w:lang w:val="en-US"/>
              </w:rPr>
              <w:t xml:space="preserve"> </w:t>
            </w:r>
            <w:r w:rsidRPr="0031675F">
              <w:rPr>
                <w:rFonts w:ascii="Times New Roman" w:eastAsia="Calibri" w:hAnsi="Calibri"/>
                <w:spacing w:val="-1"/>
                <w:sz w:val="12"/>
                <w:lang w:val="en-US"/>
              </w:rPr>
              <w:t>Laboratory</w:t>
            </w:r>
            <w:r w:rsidRPr="0031675F">
              <w:rPr>
                <w:rFonts w:ascii="Times New Roman" w:eastAsia="Calibri" w:hAnsi="Calibri"/>
                <w:sz w:val="12"/>
                <w:lang w:val="en-US"/>
              </w:rPr>
              <w:t xml:space="preserve">   </w:t>
            </w:r>
            <w:r w:rsidRPr="0031675F">
              <w:rPr>
                <w:rFonts w:ascii="Times New Roman" w:eastAsia="Calibri" w:hAnsi="Calibri"/>
                <w:spacing w:val="20"/>
                <w:sz w:val="12"/>
                <w:lang w:val="en-US"/>
              </w:rPr>
              <w:t xml:space="preserve"> </w:t>
            </w:r>
            <w:r w:rsidRPr="0031675F">
              <w:rPr>
                <w:rFonts w:ascii="Times New Roman" w:eastAsia="Calibri" w:hAnsi="Calibri"/>
                <w:sz w:val="12"/>
                <w:lang w:val="en-US"/>
              </w:rPr>
              <w:t>223</w:t>
            </w:r>
            <w:r w:rsidRPr="0031675F">
              <w:rPr>
                <w:rFonts w:ascii="Times New Roman" w:eastAsia="Calibri" w:hAnsi="Calibri"/>
                <w:sz w:val="12"/>
                <w:lang w:val="en-US"/>
              </w:rPr>
              <w:tab/>
            </w:r>
            <w:r w:rsidRPr="0031675F">
              <w:rPr>
                <w:rFonts w:ascii="Times New Roman" w:eastAsia="Calibri" w:hAnsi="Calibri"/>
                <w:spacing w:val="-1"/>
                <w:w w:val="95"/>
                <w:sz w:val="12"/>
                <w:lang w:val="en-US"/>
              </w:rPr>
              <w:t>TOC/CHNS</w:t>
            </w:r>
            <w:r w:rsidRPr="0031675F">
              <w:rPr>
                <w:rFonts w:ascii="Times New Roman" w:eastAsia="Calibri" w:hAnsi="Calibri"/>
                <w:spacing w:val="-1"/>
                <w:w w:val="95"/>
                <w:sz w:val="12"/>
                <w:lang w:val="en-US"/>
              </w:rPr>
              <w:tab/>
            </w:r>
            <w:r w:rsidRPr="0031675F">
              <w:rPr>
                <w:rFonts w:ascii="Times New Roman" w:eastAsia="Calibri" w:hAnsi="Calibri"/>
                <w:sz w:val="12"/>
                <w:lang w:val="en-US"/>
              </w:rPr>
              <w:t>214</w:t>
            </w:r>
            <w:r w:rsidRPr="0031675F">
              <w:rPr>
                <w:rFonts w:ascii="Times New Roman" w:eastAsia="Calibri" w:hAnsi="Calibri"/>
                <w:sz w:val="12"/>
                <w:lang w:val="en-US"/>
              </w:rPr>
              <w:tab/>
            </w:r>
            <w:r w:rsidRPr="0031675F">
              <w:rPr>
                <w:rFonts w:ascii="Times New Roman" w:eastAsia="Calibri" w:hAnsi="Calibri"/>
                <w:spacing w:val="-2"/>
                <w:sz w:val="12"/>
                <w:lang w:val="en-US"/>
              </w:rPr>
              <w:t>GC</w:t>
            </w:r>
            <w:r w:rsidRPr="0031675F">
              <w:rPr>
                <w:rFonts w:ascii="Times New Roman" w:eastAsia="Calibri" w:hAnsi="Calibri"/>
                <w:sz w:val="12"/>
                <w:lang w:val="en-US"/>
              </w:rPr>
              <w:t xml:space="preserve"> </w:t>
            </w:r>
            <w:r w:rsidRPr="0031675F">
              <w:rPr>
                <w:rFonts w:ascii="Times New Roman" w:eastAsia="Calibri" w:hAnsi="Calibri"/>
                <w:spacing w:val="-1"/>
                <w:sz w:val="12"/>
                <w:lang w:val="en-US"/>
              </w:rPr>
              <w:t>facility</w:t>
            </w:r>
            <w:r w:rsidRPr="0031675F">
              <w:rPr>
                <w:rFonts w:ascii="Times New Roman" w:eastAsia="Calibri" w:hAnsi="Calibri"/>
                <w:spacing w:val="-1"/>
                <w:sz w:val="12"/>
                <w:lang w:val="en-US"/>
              </w:rPr>
              <w:tab/>
            </w:r>
            <w:r w:rsidRPr="0031675F">
              <w:rPr>
                <w:rFonts w:ascii="Times New Roman" w:eastAsia="Calibri" w:hAnsi="Calibri"/>
                <w:sz w:val="12"/>
                <w:lang w:val="en-US"/>
              </w:rPr>
              <w:t>392</w:t>
            </w:r>
          </w:p>
          <w:p w14:paraId="04EA5C3A" w14:textId="77777777" w:rsidR="0031675F" w:rsidRPr="0031675F" w:rsidRDefault="0031675F" w:rsidP="0031675F">
            <w:pPr>
              <w:widowControl w:val="0"/>
              <w:spacing w:before="0" w:after="0" w:line="240" w:lineRule="auto"/>
              <w:ind w:right="673"/>
              <w:jc w:val="center"/>
              <w:rPr>
                <w:rFonts w:ascii="Times New Roman" w:eastAsia="Times New Roman" w:hAnsi="Times New Roman"/>
                <w:sz w:val="12"/>
                <w:szCs w:val="12"/>
                <w:lang w:val="en-US"/>
              </w:rPr>
            </w:pPr>
            <w:r w:rsidRPr="0031675F">
              <w:rPr>
                <w:rFonts w:ascii="Times New Roman" w:eastAsia="Calibri" w:hAnsi="Calibri"/>
                <w:spacing w:val="-1"/>
                <w:sz w:val="12"/>
                <w:lang w:val="en-US"/>
              </w:rPr>
              <w:t>Postal</w:t>
            </w:r>
            <w:r w:rsidRPr="0031675F">
              <w:rPr>
                <w:rFonts w:ascii="Times New Roman" w:eastAsia="Calibri" w:hAnsi="Calibri"/>
                <w:spacing w:val="-4"/>
                <w:sz w:val="12"/>
                <w:lang w:val="en-US"/>
              </w:rPr>
              <w:t xml:space="preserve"> </w:t>
            </w:r>
            <w:r w:rsidRPr="0031675F">
              <w:rPr>
                <w:rFonts w:ascii="Times New Roman" w:eastAsia="Calibri" w:hAnsi="Calibri"/>
                <w:spacing w:val="-1"/>
                <w:sz w:val="12"/>
                <w:lang w:val="en-US"/>
              </w:rPr>
              <w:t>Mail:</w:t>
            </w:r>
            <w:r w:rsidRPr="0031675F">
              <w:rPr>
                <w:rFonts w:ascii="Times New Roman" w:eastAsia="Calibri" w:hAnsi="Calibri"/>
                <w:spacing w:val="23"/>
                <w:sz w:val="12"/>
                <w:lang w:val="en-US"/>
              </w:rPr>
              <w:t xml:space="preserve"> </w:t>
            </w:r>
            <w:r w:rsidRPr="0031675F">
              <w:rPr>
                <w:rFonts w:ascii="Times New Roman" w:eastAsia="Calibri" w:hAnsi="Calibri"/>
                <w:spacing w:val="-1"/>
                <w:sz w:val="12"/>
                <w:lang w:val="en-US"/>
              </w:rPr>
              <w:t>PMB</w:t>
            </w:r>
            <w:r w:rsidRPr="0031675F">
              <w:rPr>
                <w:rFonts w:ascii="Times New Roman" w:eastAsia="Calibri" w:hAnsi="Calibri"/>
                <w:spacing w:val="-2"/>
                <w:sz w:val="12"/>
                <w:lang w:val="en-US"/>
              </w:rPr>
              <w:t xml:space="preserve"> </w:t>
            </w:r>
            <w:r w:rsidRPr="0031675F">
              <w:rPr>
                <w:rFonts w:ascii="Times New Roman" w:eastAsia="Calibri" w:hAnsi="Calibri"/>
                <w:sz w:val="12"/>
                <w:lang w:val="en-US"/>
              </w:rPr>
              <w:t>3,</w:t>
            </w:r>
            <w:r w:rsidRPr="0031675F">
              <w:rPr>
                <w:rFonts w:ascii="Times New Roman" w:eastAsia="Calibri" w:hAnsi="Calibri"/>
                <w:spacing w:val="-3"/>
                <w:sz w:val="12"/>
                <w:lang w:val="en-US"/>
              </w:rPr>
              <w:t xml:space="preserve"> </w:t>
            </w:r>
            <w:r w:rsidRPr="0031675F">
              <w:rPr>
                <w:rFonts w:ascii="Times New Roman" w:eastAsia="Calibri" w:hAnsi="Calibri"/>
                <w:spacing w:val="-2"/>
                <w:sz w:val="12"/>
                <w:lang w:val="en-US"/>
              </w:rPr>
              <w:t>Townsville</w:t>
            </w:r>
            <w:r w:rsidRPr="0031675F">
              <w:rPr>
                <w:rFonts w:ascii="Times New Roman" w:eastAsia="Calibri" w:hAnsi="Calibri"/>
                <w:spacing w:val="-5"/>
                <w:sz w:val="12"/>
                <w:lang w:val="en-US"/>
              </w:rPr>
              <w:t xml:space="preserve"> </w:t>
            </w:r>
            <w:r w:rsidRPr="0031675F">
              <w:rPr>
                <w:rFonts w:ascii="Times New Roman" w:eastAsia="Calibri" w:hAnsi="Calibri"/>
                <w:spacing w:val="-1"/>
                <w:sz w:val="12"/>
                <w:lang w:val="en-US"/>
              </w:rPr>
              <w:t>Qld.</w:t>
            </w:r>
            <w:r w:rsidRPr="0031675F">
              <w:rPr>
                <w:rFonts w:ascii="Times New Roman" w:eastAsia="Calibri" w:hAnsi="Calibri"/>
                <w:spacing w:val="-3"/>
                <w:sz w:val="12"/>
                <w:lang w:val="en-US"/>
              </w:rPr>
              <w:t xml:space="preserve"> </w:t>
            </w:r>
            <w:r w:rsidRPr="0031675F">
              <w:rPr>
                <w:rFonts w:ascii="Times New Roman" w:eastAsia="Calibri" w:hAnsi="Calibri"/>
                <w:spacing w:val="-1"/>
                <w:sz w:val="12"/>
                <w:lang w:val="en-US"/>
              </w:rPr>
              <w:t>Australia.</w:t>
            </w:r>
            <w:r w:rsidRPr="0031675F">
              <w:rPr>
                <w:rFonts w:ascii="Times New Roman" w:eastAsia="Calibri" w:hAnsi="Calibri"/>
                <w:spacing w:val="-3"/>
                <w:sz w:val="12"/>
                <w:lang w:val="en-US"/>
              </w:rPr>
              <w:t xml:space="preserve"> </w:t>
            </w:r>
            <w:r w:rsidRPr="0031675F">
              <w:rPr>
                <w:rFonts w:ascii="Times New Roman" w:eastAsia="Calibri" w:hAnsi="Calibri"/>
                <w:sz w:val="12"/>
                <w:lang w:val="en-US"/>
              </w:rPr>
              <w:t>4810</w:t>
            </w:r>
          </w:p>
          <w:p w14:paraId="2DE0C6E2" w14:textId="77777777" w:rsidR="0031675F" w:rsidRPr="0031675F" w:rsidRDefault="0031675F" w:rsidP="0031675F">
            <w:pPr>
              <w:widowControl w:val="0"/>
              <w:spacing w:before="43" w:after="0" w:line="240" w:lineRule="auto"/>
              <w:ind w:left="12"/>
              <w:rPr>
                <w:rFonts w:ascii="Times New Roman" w:eastAsia="Times New Roman" w:hAnsi="Times New Roman"/>
                <w:sz w:val="12"/>
                <w:szCs w:val="12"/>
                <w:lang w:val="en-US"/>
              </w:rPr>
            </w:pPr>
            <w:r w:rsidRPr="0031675F">
              <w:rPr>
                <w:rFonts w:ascii="Times New Roman" w:eastAsia="Calibri" w:hAnsi="Calibri"/>
                <w:sz w:val="12"/>
                <w:lang w:val="en-US"/>
              </w:rPr>
              <w:t>............................................................................................................................................................................................</w:t>
            </w:r>
          </w:p>
          <w:p w14:paraId="233A8D37" w14:textId="77777777" w:rsidR="0031675F" w:rsidRPr="0031675F" w:rsidRDefault="0031675F" w:rsidP="0031675F">
            <w:pPr>
              <w:widowControl w:val="0"/>
              <w:spacing w:before="0" w:after="0" w:line="240" w:lineRule="auto"/>
              <w:rPr>
                <w:rFonts w:eastAsia="Arial" w:cs="Arial"/>
                <w:b/>
                <w:bCs/>
                <w:sz w:val="12"/>
                <w:szCs w:val="12"/>
                <w:lang w:val="en-US"/>
              </w:rPr>
            </w:pPr>
          </w:p>
          <w:p w14:paraId="18484AE7" w14:textId="77777777" w:rsidR="0031675F" w:rsidRPr="0031675F" w:rsidRDefault="0031675F" w:rsidP="0031675F">
            <w:pPr>
              <w:widowControl w:val="0"/>
              <w:spacing w:before="74" w:after="0" w:line="240" w:lineRule="auto"/>
              <w:ind w:left="12"/>
              <w:rPr>
                <w:rFonts w:eastAsia="Arial" w:cs="Arial"/>
                <w:sz w:val="53"/>
                <w:szCs w:val="53"/>
                <w:lang w:val="en-US"/>
              </w:rPr>
            </w:pPr>
            <w:r w:rsidRPr="0031675F">
              <w:rPr>
                <w:rFonts w:eastAsia="Calibri" w:hAnsi="Calibri"/>
                <w:b/>
                <w:spacing w:val="-1"/>
                <w:sz w:val="53"/>
                <w:lang w:val="en-US"/>
              </w:rPr>
              <w:t>ANALYTICAL</w:t>
            </w:r>
            <w:r w:rsidRPr="0031675F">
              <w:rPr>
                <w:rFonts w:eastAsia="Calibri" w:hAnsi="Calibri"/>
                <w:b/>
                <w:spacing w:val="1"/>
                <w:sz w:val="53"/>
                <w:lang w:val="en-US"/>
              </w:rPr>
              <w:t xml:space="preserve"> </w:t>
            </w:r>
            <w:r w:rsidRPr="0031675F">
              <w:rPr>
                <w:rFonts w:eastAsia="Calibri" w:hAnsi="Calibri"/>
                <w:b/>
                <w:sz w:val="53"/>
                <w:lang w:val="en-US"/>
              </w:rPr>
              <w:t>REPORT</w:t>
            </w:r>
          </w:p>
          <w:p w14:paraId="286E442E" w14:textId="77777777" w:rsidR="0031675F" w:rsidRPr="0031675F" w:rsidRDefault="0031675F" w:rsidP="0031675F">
            <w:pPr>
              <w:widowControl w:val="0"/>
              <w:tabs>
                <w:tab w:val="left" w:pos="2076"/>
              </w:tabs>
              <w:spacing w:before="201" w:after="0" w:line="240" w:lineRule="auto"/>
              <w:ind w:left="12"/>
              <w:rPr>
                <w:rFonts w:eastAsia="Arial" w:cs="Arial"/>
                <w:sz w:val="18"/>
                <w:szCs w:val="18"/>
                <w:lang w:val="en-US"/>
              </w:rPr>
            </w:pPr>
            <w:r w:rsidRPr="0031675F">
              <w:rPr>
                <w:rFonts w:eastAsia="Calibri" w:hAnsi="Calibri"/>
                <w:b/>
                <w:spacing w:val="-1"/>
                <w:w w:val="95"/>
                <w:sz w:val="18"/>
                <w:lang w:val="en-US"/>
              </w:rPr>
              <w:t>Organisation/Project:</w:t>
            </w:r>
            <w:r w:rsidRPr="0031675F">
              <w:rPr>
                <w:rFonts w:eastAsia="Calibri" w:hAnsi="Calibri"/>
                <w:b/>
                <w:spacing w:val="-1"/>
                <w:w w:val="95"/>
                <w:sz w:val="18"/>
                <w:lang w:val="en-US"/>
              </w:rPr>
              <w:tab/>
            </w:r>
            <w:r w:rsidRPr="0031675F">
              <w:rPr>
                <w:rFonts w:eastAsia="Calibri" w:hAnsi="Calibri"/>
                <w:b/>
                <w:spacing w:val="-2"/>
                <w:sz w:val="18"/>
                <w:lang w:val="en-US"/>
              </w:rPr>
              <w:t>AIMS</w:t>
            </w:r>
          </w:p>
          <w:p w14:paraId="293A5E65" w14:textId="77777777" w:rsidR="0031675F" w:rsidRPr="0031675F" w:rsidRDefault="0031675F" w:rsidP="0031675F">
            <w:pPr>
              <w:widowControl w:val="0"/>
              <w:tabs>
                <w:tab w:val="left" w:pos="1475"/>
                <w:tab w:val="left" w:pos="2082"/>
              </w:tabs>
              <w:spacing w:before="17" w:after="0" w:line="260" w:lineRule="auto"/>
              <w:ind w:left="561" w:right="2652"/>
              <w:jc w:val="center"/>
              <w:rPr>
                <w:rFonts w:eastAsia="Arial" w:cs="Arial"/>
                <w:sz w:val="18"/>
                <w:szCs w:val="18"/>
                <w:lang w:val="en-US"/>
              </w:rPr>
            </w:pPr>
            <w:r w:rsidRPr="0031675F">
              <w:rPr>
                <w:rFonts w:eastAsia="Calibri" w:hAnsi="Calibri"/>
                <w:b/>
                <w:spacing w:val="-1"/>
                <w:sz w:val="18"/>
                <w:lang w:val="en-US"/>
              </w:rPr>
              <w:t>Project</w:t>
            </w:r>
            <w:r w:rsidRPr="0031675F">
              <w:rPr>
                <w:rFonts w:eastAsia="Calibri" w:hAnsi="Calibri"/>
                <w:b/>
                <w:spacing w:val="-4"/>
                <w:sz w:val="18"/>
                <w:lang w:val="en-US"/>
              </w:rPr>
              <w:t xml:space="preserve"> </w:t>
            </w:r>
            <w:r w:rsidRPr="0031675F">
              <w:rPr>
                <w:rFonts w:eastAsia="Calibri" w:hAnsi="Calibri"/>
                <w:b/>
                <w:spacing w:val="-1"/>
                <w:sz w:val="18"/>
                <w:lang w:val="en-US"/>
              </w:rPr>
              <w:t>Leader:</w:t>
            </w:r>
            <w:r w:rsidRPr="0031675F">
              <w:rPr>
                <w:rFonts w:eastAsia="Calibri" w:hAnsi="Calibri"/>
                <w:b/>
                <w:spacing w:val="-1"/>
                <w:sz w:val="18"/>
                <w:lang w:val="en-US"/>
              </w:rPr>
              <w:tab/>
              <w:t>B.</w:t>
            </w:r>
            <w:r w:rsidRPr="0031675F">
              <w:rPr>
                <w:rFonts w:eastAsia="Calibri" w:hAnsi="Calibri"/>
                <w:b/>
                <w:sz w:val="18"/>
                <w:lang w:val="en-US"/>
              </w:rPr>
              <w:t xml:space="preserve"> </w:t>
            </w:r>
            <w:r w:rsidRPr="0031675F">
              <w:rPr>
                <w:rFonts w:eastAsia="Calibri" w:hAnsi="Calibri"/>
                <w:b/>
                <w:spacing w:val="-1"/>
                <w:w w:val="95"/>
                <w:sz w:val="18"/>
                <w:lang w:val="en-US"/>
              </w:rPr>
              <w:t>Schaffelke</w:t>
            </w:r>
            <w:r w:rsidRPr="0031675F">
              <w:rPr>
                <w:rFonts w:eastAsia="Calibri" w:hAnsi="Calibri"/>
                <w:b/>
                <w:spacing w:val="39"/>
                <w:w w:val="99"/>
                <w:sz w:val="18"/>
                <w:lang w:val="en-US"/>
              </w:rPr>
              <w:t xml:space="preserve"> </w:t>
            </w:r>
            <w:r w:rsidRPr="0031675F">
              <w:rPr>
                <w:rFonts w:eastAsia="Calibri" w:hAnsi="Calibri"/>
                <w:b/>
                <w:spacing w:val="-1"/>
                <w:sz w:val="18"/>
                <w:lang w:val="en-US"/>
              </w:rPr>
              <w:t>Order</w:t>
            </w:r>
            <w:r w:rsidRPr="0031675F">
              <w:rPr>
                <w:rFonts w:eastAsia="Calibri" w:hAnsi="Calibri"/>
                <w:b/>
                <w:spacing w:val="-13"/>
                <w:sz w:val="18"/>
                <w:lang w:val="en-US"/>
              </w:rPr>
              <w:t xml:space="preserve"> </w:t>
            </w:r>
            <w:r w:rsidRPr="0031675F">
              <w:rPr>
                <w:rFonts w:eastAsia="Calibri" w:hAnsi="Calibri"/>
                <w:b/>
                <w:spacing w:val="-1"/>
                <w:sz w:val="18"/>
                <w:lang w:val="en-US"/>
              </w:rPr>
              <w:t>Number:</w:t>
            </w:r>
            <w:r w:rsidRPr="0031675F">
              <w:rPr>
                <w:rFonts w:eastAsia="Calibri" w:hAnsi="Calibri"/>
                <w:b/>
                <w:spacing w:val="-1"/>
                <w:sz w:val="18"/>
                <w:lang w:val="en-US"/>
              </w:rPr>
              <w:tab/>
              <w:t>2215L15090</w:t>
            </w:r>
            <w:r w:rsidRPr="0031675F">
              <w:rPr>
                <w:rFonts w:eastAsia="Calibri" w:hAnsi="Calibri"/>
                <w:b/>
                <w:spacing w:val="35"/>
                <w:w w:val="99"/>
                <w:sz w:val="18"/>
                <w:lang w:val="en-US"/>
              </w:rPr>
              <w:t xml:space="preserve"> </w:t>
            </w:r>
            <w:r w:rsidRPr="0031675F">
              <w:rPr>
                <w:rFonts w:eastAsia="Calibri" w:hAnsi="Calibri"/>
                <w:b/>
                <w:sz w:val="18"/>
                <w:lang w:val="en-US"/>
              </w:rPr>
              <w:t>Job</w:t>
            </w:r>
            <w:r w:rsidRPr="0031675F">
              <w:rPr>
                <w:rFonts w:eastAsia="Calibri" w:hAnsi="Calibri"/>
                <w:b/>
                <w:spacing w:val="-8"/>
                <w:sz w:val="18"/>
                <w:lang w:val="en-US"/>
              </w:rPr>
              <w:t xml:space="preserve"> </w:t>
            </w:r>
            <w:r w:rsidRPr="0031675F">
              <w:rPr>
                <w:rFonts w:eastAsia="Calibri" w:hAnsi="Calibri"/>
                <w:b/>
                <w:spacing w:val="-1"/>
                <w:sz w:val="18"/>
                <w:lang w:val="en-US"/>
              </w:rPr>
              <w:t>No:</w:t>
            </w:r>
            <w:r w:rsidRPr="0031675F">
              <w:rPr>
                <w:rFonts w:eastAsia="Calibri" w:hAnsi="Calibri"/>
                <w:b/>
                <w:spacing w:val="-1"/>
                <w:sz w:val="18"/>
                <w:lang w:val="en-US"/>
              </w:rPr>
              <w:tab/>
            </w:r>
            <w:r w:rsidRPr="0031675F">
              <w:rPr>
                <w:rFonts w:eastAsia="Calibri" w:hAnsi="Calibri"/>
                <w:b/>
                <w:sz w:val="18"/>
                <w:lang w:val="en-US"/>
              </w:rPr>
              <w:t>2598</w:t>
            </w:r>
          </w:p>
          <w:p w14:paraId="3F441FAF" w14:textId="77777777" w:rsidR="0031675F" w:rsidRPr="0031675F" w:rsidRDefault="0031675F" w:rsidP="0031675F">
            <w:pPr>
              <w:widowControl w:val="0"/>
              <w:tabs>
                <w:tab w:val="left" w:pos="2090"/>
              </w:tabs>
              <w:spacing w:before="0" w:after="0" w:line="260" w:lineRule="auto"/>
              <w:ind w:left="811" w:right="2728" w:hanging="250"/>
              <w:rPr>
                <w:rFonts w:eastAsia="Arial" w:cs="Arial"/>
                <w:sz w:val="18"/>
                <w:szCs w:val="18"/>
                <w:lang w:val="en-US"/>
              </w:rPr>
            </w:pPr>
            <w:r w:rsidRPr="0031675F">
              <w:rPr>
                <w:rFonts w:eastAsia="Calibri" w:hAnsi="Calibri"/>
                <w:b/>
                <w:spacing w:val="-1"/>
                <w:sz w:val="18"/>
                <w:lang w:val="en-US"/>
              </w:rPr>
              <w:t>Date</w:t>
            </w:r>
            <w:r w:rsidRPr="0031675F">
              <w:rPr>
                <w:rFonts w:eastAsia="Calibri" w:hAnsi="Calibri"/>
                <w:b/>
                <w:spacing w:val="-13"/>
                <w:sz w:val="18"/>
                <w:lang w:val="en-US"/>
              </w:rPr>
              <w:t xml:space="preserve"> </w:t>
            </w:r>
            <w:r w:rsidRPr="0031675F">
              <w:rPr>
                <w:rFonts w:eastAsia="Calibri" w:hAnsi="Calibri"/>
                <w:b/>
                <w:spacing w:val="-1"/>
                <w:sz w:val="18"/>
                <w:lang w:val="en-US"/>
              </w:rPr>
              <w:t>Received:</w:t>
            </w:r>
            <w:r w:rsidRPr="0031675F">
              <w:rPr>
                <w:rFonts w:eastAsia="Calibri" w:hAnsi="Calibri"/>
                <w:b/>
                <w:spacing w:val="-1"/>
                <w:sz w:val="18"/>
                <w:lang w:val="en-US"/>
              </w:rPr>
              <w:tab/>
              <w:t>02-Mar-2009</w:t>
            </w:r>
            <w:r w:rsidRPr="0031675F">
              <w:rPr>
                <w:rFonts w:eastAsia="Calibri" w:hAnsi="Calibri"/>
                <w:b/>
                <w:spacing w:val="33"/>
                <w:w w:val="99"/>
                <w:sz w:val="18"/>
                <w:lang w:val="en-US"/>
              </w:rPr>
              <w:t xml:space="preserve"> </w:t>
            </w:r>
            <w:r w:rsidRPr="0031675F">
              <w:rPr>
                <w:rFonts w:eastAsia="Calibri" w:hAnsi="Calibri"/>
                <w:b/>
                <w:spacing w:val="-1"/>
                <w:sz w:val="18"/>
                <w:lang w:val="en-US"/>
              </w:rPr>
              <w:t>Date</w:t>
            </w:r>
            <w:r w:rsidRPr="0031675F">
              <w:rPr>
                <w:rFonts w:eastAsia="Calibri" w:hAnsi="Calibri"/>
                <w:b/>
                <w:spacing w:val="-4"/>
                <w:sz w:val="18"/>
                <w:lang w:val="en-US"/>
              </w:rPr>
              <w:t xml:space="preserve"> </w:t>
            </w:r>
            <w:r w:rsidRPr="0031675F">
              <w:rPr>
                <w:rFonts w:eastAsia="Calibri" w:hAnsi="Calibri"/>
                <w:b/>
                <w:sz w:val="18"/>
                <w:lang w:val="en-US"/>
              </w:rPr>
              <w:t>Issued:</w:t>
            </w:r>
            <w:r w:rsidRPr="0031675F">
              <w:rPr>
                <w:rFonts w:eastAsia="Calibri" w:hAnsi="Calibri"/>
                <w:b/>
                <w:sz w:val="18"/>
                <w:lang w:val="en-US"/>
              </w:rPr>
              <w:tab/>
            </w:r>
            <w:r w:rsidRPr="0031675F">
              <w:rPr>
                <w:rFonts w:eastAsia="Calibri" w:hAnsi="Calibri"/>
                <w:b/>
                <w:spacing w:val="-1"/>
                <w:sz w:val="18"/>
                <w:lang w:val="en-US"/>
              </w:rPr>
              <w:t>13-Mar-2009</w:t>
            </w:r>
          </w:p>
          <w:p w14:paraId="338051FE" w14:textId="77777777" w:rsidR="0031675F" w:rsidRPr="0031675F" w:rsidRDefault="0031675F" w:rsidP="0031675F">
            <w:pPr>
              <w:widowControl w:val="0"/>
              <w:tabs>
                <w:tab w:val="left" w:pos="2069"/>
              </w:tabs>
              <w:spacing w:before="0" w:after="0" w:line="260" w:lineRule="auto"/>
              <w:ind w:left="411" w:right="116" w:firstLine="299"/>
              <w:rPr>
                <w:rFonts w:eastAsia="Arial" w:cs="Arial"/>
                <w:sz w:val="18"/>
                <w:szCs w:val="18"/>
                <w:lang w:val="en-US"/>
              </w:rPr>
            </w:pPr>
            <w:r w:rsidRPr="0031675F">
              <w:rPr>
                <w:rFonts w:eastAsia="Calibri" w:hAnsi="Calibri"/>
                <w:b/>
                <w:sz w:val="18"/>
                <w:lang w:val="en-US"/>
              </w:rPr>
              <w:t>Sample</w:t>
            </w:r>
            <w:r w:rsidRPr="0031675F">
              <w:rPr>
                <w:rFonts w:eastAsia="Calibri" w:hAnsi="Calibri"/>
                <w:b/>
                <w:spacing w:val="-12"/>
                <w:sz w:val="18"/>
                <w:lang w:val="en-US"/>
              </w:rPr>
              <w:t xml:space="preserve"> </w:t>
            </w:r>
            <w:r w:rsidRPr="0031675F">
              <w:rPr>
                <w:rFonts w:eastAsia="Calibri" w:hAnsi="Calibri"/>
                <w:b/>
                <w:spacing w:val="-2"/>
                <w:sz w:val="18"/>
                <w:lang w:val="en-US"/>
              </w:rPr>
              <w:t>Type:</w:t>
            </w:r>
            <w:r w:rsidRPr="0031675F">
              <w:rPr>
                <w:rFonts w:eastAsia="Calibri" w:hAnsi="Calibri"/>
                <w:b/>
                <w:spacing w:val="-2"/>
                <w:sz w:val="18"/>
                <w:lang w:val="en-US"/>
              </w:rPr>
              <w:tab/>
            </w:r>
            <w:r w:rsidRPr="0031675F">
              <w:rPr>
                <w:rFonts w:eastAsia="Calibri" w:hAnsi="Calibri"/>
                <w:b/>
                <w:spacing w:val="-1"/>
                <w:sz w:val="18"/>
                <w:lang w:val="en-US"/>
              </w:rPr>
              <w:t>Feb</w:t>
            </w:r>
            <w:r w:rsidRPr="0031675F">
              <w:rPr>
                <w:rFonts w:eastAsia="Calibri" w:hAnsi="Calibri"/>
                <w:b/>
                <w:spacing w:val="-5"/>
                <w:sz w:val="18"/>
                <w:lang w:val="en-US"/>
              </w:rPr>
              <w:t xml:space="preserve"> </w:t>
            </w:r>
            <w:r w:rsidRPr="0031675F">
              <w:rPr>
                <w:rFonts w:eastAsia="Calibri" w:hAnsi="Calibri"/>
                <w:b/>
                <w:sz w:val="18"/>
                <w:lang w:val="en-US"/>
              </w:rPr>
              <w:t>2009</w:t>
            </w:r>
            <w:r w:rsidRPr="0031675F">
              <w:rPr>
                <w:rFonts w:eastAsia="Calibri" w:hAnsi="Calibri"/>
                <w:b/>
                <w:spacing w:val="-4"/>
                <w:sz w:val="18"/>
                <w:lang w:val="en-US"/>
              </w:rPr>
              <w:t xml:space="preserve"> </w:t>
            </w:r>
            <w:r w:rsidRPr="0031675F">
              <w:rPr>
                <w:rFonts w:eastAsia="Calibri" w:hAnsi="Calibri"/>
                <w:b/>
                <w:sz w:val="18"/>
                <w:lang w:val="en-US"/>
              </w:rPr>
              <w:t>WQ</w:t>
            </w:r>
            <w:r w:rsidRPr="0031675F">
              <w:rPr>
                <w:rFonts w:eastAsia="Calibri" w:hAnsi="Calibri"/>
                <w:b/>
                <w:spacing w:val="-5"/>
                <w:sz w:val="18"/>
                <w:lang w:val="en-US"/>
              </w:rPr>
              <w:t xml:space="preserve"> </w:t>
            </w:r>
            <w:r w:rsidRPr="0031675F">
              <w:rPr>
                <w:rFonts w:eastAsia="Calibri" w:hAnsi="Calibri"/>
                <w:b/>
                <w:sz w:val="18"/>
                <w:lang w:val="en-US"/>
              </w:rPr>
              <w:t>Seawaters</w:t>
            </w:r>
            <w:r w:rsidRPr="0031675F">
              <w:rPr>
                <w:rFonts w:eastAsia="Calibri" w:hAnsi="Calibri"/>
                <w:b/>
                <w:spacing w:val="-5"/>
                <w:sz w:val="18"/>
                <w:lang w:val="en-US"/>
              </w:rPr>
              <w:t xml:space="preserve"> </w:t>
            </w:r>
            <w:r w:rsidRPr="0031675F">
              <w:rPr>
                <w:rFonts w:eastAsia="Calibri" w:hAnsi="Calibri"/>
                <w:b/>
                <w:spacing w:val="-1"/>
                <w:sz w:val="18"/>
                <w:lang w:val="en-US"/>
              </w:rPr>
              <w:t>for</w:t>
            </w:r>
            <w:r w:rsidRPr="0031675F">
              <w:rPr>
                <w:rFonts w:eastAsia="Calibri" w:hAnsi="Calibri"/>
                <w:b/>
                <w:spacing w:val="-5"/>
                <w:sz w:val="18"/>
                <w:lang w:val="en-US"/>
              </w:rPr>
              <w:t xml:space="preserve"> </w:t>
            </w:r>
            <w:r w:rsidRPr="0031675F">
              <w:rPr>
                <w:rFonts w:eastAsia="Calibri" w:hAnsi="Calibri"/>
                <w:b/>
                <w:spacing w:val="-1"/>
                <w:sz w:val="18"/>
                <w:lang w:val="en-US"/>
              </w:rPr>
              <w:t>DOC</w:t>
            </w:r>
            <w:r w:rsidRPr="0031675F">
              <w:rPr>
                <w:rFonts w:eastAsia="Calibri" w:hAnsi="Calibri"/>
                <w:b/>
                <w:spacing w:val="-6"/>
                <w:sz w:val="18"/>
                <w:lang w:val="en-US"/>
              </w:rPr>
              <w:t xml:space="preserve"> </w:t>
            </w:r>
            <w:r w:rsidRPr="0031675F">
              <w:rPr>
                <w:rFonts w:eastAsia="Calibri" w:hAnsi="Calibri"/>
                <w:b/>
                <w:spacing w:val="-1"/>
                <w:sz w:val="18"/>
                <w:lang w:val="en-US"/>
              </w:rPr>
              <w:t>(trip</w:t>
            </w:r>
            <w:r w:rsidRPr="0031675F">
              <w:rPr>
                <w:rFonts w:eastAsia="Calibri" w:hAnsi="Calibri"/>
                <w:b/>
                <w:spacing w:val="-5"/>
                <w:sz w:val="18"/>
                <w:lang w:val="en-US"/>
              </w:rPr>
              <w:t xml:space="preserve"> </w:t>
            </w:r>
            <w:r w:rsidRPr="0031675F">
              <w:rPr>
                <w:rFonts w:eastAsia="Calibri" w:hAnsi="Calibri"/>
                <w:b/>
                <w:sz w:val="18"/>
                <w:lang w:val="en-US"/>
              </w:rPr>
              <w:t>4725)</w:t>
            </w:r>
            <w:r w:rsidRPr="0031675F">
              <w:rPr>
                <w:rFonts w:eastAsia="Calibri" w:hAnsi="Calibri"/>
                <w:b/>
                <w:spacing w:val="34"/>
                <w:w w:val="99"/>
                <w:sz w:val="18"/>
                <w:lang w:val="en-US"/>
              </w:rPr>
              <w:t xml:space="preserve"> </w:t>
            </w:r>
            <w:r w:rsidRPr="0031675F">
              <w:rPr>
                <w:rFonts w:eastAsia="Calibri" w:hAnsi="Calibri"/>
                <w:b/>
                <w:spacing w:val="-1"/>
                <w:sz w:val="18"/>
                <w:lang w:val="en-US"/>
              </w:rPr>
              <w:t>Report</w:t>
            </w:r>
            <w:r w:rsidRPr="0031675F">
              <w:rPr>
                <w:rFonts w:eastAsia="Calibri" w:hAnsi="Calibri"/>
                <w:b/>
                <w:spacing w:val="-11"/>
                <w:sz w:val="18"/>
                <w:lang w:val="en-US"/>
              </w:rPr>
              <w:t xml:space="preserve"> </w:t>
            </w:r>
            <w:r w:rsidRPr="0031675F">
              <w:rPr>
                <w:rFonts w:eastAsia="Calibri" w:hAnsi="Calibri"/>
                <w:b/>
                <w:spacing w:val="-1"/>
                <w:sz w:val="18"/>
                <w:lang w:val="en-US"/>
              </w:rPr>
              <w:t>Filename:</w:t>
            </w:r>
            <w:r w:rsidRPr="0031675F">
              <w:rPr>
                <w:rFonts w:eastAsia="Calibri" w:hAnsi="Calibri"/>
                <w:b/>
                <w:sz w:val="18"/>
                <w:lang w:val="en-US"/>
              </w:rPr>
              <w:t xml:space="preserve"> </w:t>
            </w:r>
            <w:r w:rsidRPr="0031675F">
              <w:rPr>
                <w:rFonts w:eastAsia="Calibri" w:hAnsi="Calibri"/>
                <w:b/>
                <w:spacing w:val="22"/>
                <w:sz w:val="18"/>
                <w:lang w:val="en-US"/>
              </w:rPr>
              <w:t xml:space="preserve"> </w:t>
            </w:r>
            <w:r w:rsidRPr="0031675F">
              <w:rPr>
                <w:rFonts w:eastAsia="Calibri" w:hAnsi="Calibri"/>
                <w:sz w:val="18"/>
                <w:lang w:val="en-US"/>
              </w:rPr>
              <w:t>\\pearl\labdata\b_schaff\Sch2598</w:t>
            </w:r>
            <w:r w:rsidRPr="0031675F">
              <w:rPr>
                <w:rFonts w:eastAsia="Calibri" w:hAnsi="Calibri"/>
                <w:spacing w:val="-10"/>
                <w:sz w:val="18"/>
                <w:lang w:val="en-US"/>
              </w:rPr>
              <w:t xml:space="preserve"> </w:t>
            </w:r>
            <w:r w:rsidRPr="0031675F">
              <w:rPr>
                <w:rFonts w:eastAsia="Calibri" w:hAnsi="Calibri"/>
                <w:spacing w:val="-2"/>
                <w:sz w:val="18"/>
                <w:lang w:val="en-US"/>
              </w:rPr>
              <w:t>DOC.xls</w:t>
            </w:r>
          </w:p>
          <w:p w14:paraId="5CD659CF" w14:textId="77777777" w:rsidR="0031675F" w:rsidRPr="0031675F" w:rsidRDefault="0031675F" w:rsidP="0031675F">
            <w:pPr>
              <w:widowControl w:val="0"/>
              <w:spacing w:before="0" w:after="0" w:line="240" w:lineRule="auto"/>
              <w:ind w:left="112"/>
              <w:rPr>
                <w:rFonts w:eastAsia="Arial" w:cs="Arial"/>
                <w:sz w:val="18"/>
                <w:szCs w:val="18"/>
                <w:lang w:val="en-US"/>
              </w:rPr>
            </w:pPr>
            <w:r w:rsidRPr="0031675F">
              <w:rPr>
                <w:rFonts w:eastAsia="Calibri" w:hAnsi="Calibri"/>
                <w:b/>
                <w:sz w:val="18"/>
                <w:lang w:val="en-US"/>
              </w:rPr>
              <w:t>Sample</w:t>
            </w:r>
            <w:r w:rsidRPr="0031675F">
              <w:rPr>
                <w:rFonts w:eastAsia="Calibri" w:hAnsi="Calibri"/>
                <w:b/>
                <w:spacing w:val="-17"/>
                <w:sz w:val="18"/>
                <w:lang w:val="en-US"/>
              </w:rPr>
              <w:t xml:space="preserve"> </w:t>
            </w:r>
            <w:r w:rsidRPr="0031675F">
              <w:rPr>
                <w:rFonts w:eastAsia="Calibri" w:hAnsi="Calibri"/>
                <w:b/>
                <w:sz w:val="18"/>
                <w:lang w:val="en-US"/>
              </w:rPr>
              <w:t>Preparation:</w:t>
            </w:r>
          </w:p>
          <w:p w14:paraId="2640408E" w14:textId="77777777" w:rsidR="0031675F" w:rsidRPr="0031675F" w:rsidRDefault="0031675F" w:rsidP="0031675F">
            <w:pPr>
              <w:widowControl w:val="0"/>
              <w:spacing w:before="1" w:after="0" w:line="240" w:lineRule="auto"/>
              <w:rPr>
                <w:rFonts w:eastAsia="Arial" w:cs="Arial"/>
                <w:b/>
                <w:bCs/>
                <w:sz w:val="21"/>
                <w:szCs w:val="21"/>
                <w:lang w:val="en-US"/>
              </w:rPr>
            </w:pPr>
          </w:p>
          <w:p w14:paraId="09F93FB6" w14:textId="77777777" w:rsidR="0031675F" w:rsidRPr="0031675F" w:rsidRDefault="0031675F" w:rsidP="0031675F">
            <w:pPr>
              <w:widowControl w:val="0"/>
              <w:spacing w:before="0" w:after="0" w:line="240" w:lineRule="auto"/>
              <w:ind w:left="311"/>
              <w:rPr>
                <w:rFonts w:eastAsia="Arial" w:cs="Arial"/>
                <w:sz w:val="18"/>
                <w:szCs w:val="18"/>
                <w:lang w:val="en-US"/>
              </w:rPr>
            </w:pPr>
            <w:r w:rsidRPr="0031675F">
              <w:rPr>
                <w:rFonts w:eastAsia="Calibri" w:hAnsi="Calibri"/>
                <w:b/>
                <w:spacing w:val="-2"/>
                <w:sz w:val="18"/>
                <w:lang w:val="en-US"/>
              </w:rPr>
              <w:t>Analytical</w:t>
            </w:r>
            <w:r w:rsidRPr="0031675F">
              <w:rPr>
                <w:rFonts w:eastAsia="Calibri" w:hAnsi="Calibri"/>
                <w:b/>
                <w:spacing w:val="-12"/>
                <w:sz w:val="18"/>
                <w:lang w:val="en-US"/>
              </w:rPr>
              <w:t xml:space="preserve"> </w:t>
            </w:r>
            <w:r w:rsidRPr="0031675F">
              <w:rPr>
                <w:rFonts w:eastAsia="Calibri" w:hAnsi="Calibri"/>
                <w:b/>
                <w:spacing w:val="-1"/>
                <w:sz w:val="18"/>
                <w:lang w:val="en-US"/>
              </w:rPr>
              <w:t>Method:</w:t>
            </w:r>
            <w:r w:rsidRPr="0031675F">
              <w:rPr>
                <w:rFonts w:eastAsia="Calibri" w:hAnsi="Calibri"/>
                <w:b/>
                <w:spacing w:val="-10"/>
                <w:sz w:val="18"/>
                <w:lang w:val="en-US"/>
              </w:rPr>
              <w:t xml:space="preserve"> </w:t>
            </w:r>
            <w:r w:rsidRPr="0031675F">
              <w:rPr>
                <w:rFonts w:eastAsia="Calibri" w:hAnsi="Calibri"/>
                <w:spacing w:val="-1"/>
                <w:sz w:val="18"/>
                <w:lang w:val="en-US"/>
              </w:rPr>
              <w:t>SHIMADZU</w:t>
            </w:r>
            <w:r w:rsidRPr="0031675F">
              <w:rPr>
                <w:rFonts w:eastAsia="Calibri" w:hAnsi="Calibri"/>
                <w:spacing w:val="-12"/>
                <w:sz w:val="18"/>
                <w:lang w:val="en-US"/>
              </w:rPr>
              <w:t xml:space="preserve"> </w:t>
            </w:r>
            <w:r w:rsidRPr="0031675F">
              <w:rPr>
                <w:rFonts w:eastAsia="Calibri" w:hAnsi="Calibri"/>
                <w:sz w:val="18"/>
                <w:lang w:val="en-US"/>
              </w:rPr>
              <w:t>TOC-5000A</w:t>
            </w:r>
          </w:p>
          <w:p w14:paraId="3A0DDE78" w14:textId="77777777" w:rsidR="0031675F" w:rsidRPr="0031675F" w:rsidRDefault="0031675F" w:rsidP="0031675F">
            <w:pPr>
              <w:widowControl w:val="0"/>
              <w:spacing w:before="17" w:after="0" w:line="240" w:lineRule="auto"/>
              <w:ind w:left="-75" w:right="3782"/>
              <w:jc w:val="center"/>
              <w:rPr>
                <w:rFonts w:eastAsia="Arial" w:cs="Arial"/>
                <w:sz w:val="18"/>
                <w:szCs w:val="18"/>
                <w:lang w:val="en-US"/>
              </w:rPr>
            </w:pPr>
            <w:r w:rsidRPr="0031675F">
              <w:rPr>
                <w:rFonts w:eastAsia="Calibri" w:hAnsi="Calibri"/>
                <w:b/>
                <w:spacing w:val="-1"/>
                <w:sz w:val="18"/>
                <w:lang w:val="en-US"/>
              </w:rPr>
              <w:t>Method</w:t>
            </w:r>
            <w:r w:rsidRPr="0031675F">
              <w:rPr>
                <w:rFonts w:eastAsia="Calibri" w:hAnsi="Calibri"/>
                <w:b/>
                <w:sz w:val="18"/>
                <w:lang w:val="en-US"/>
              </w:rPr>
              <w:t xml:space="preserve"> </w:t>
            </w:r>
            <w:r w:rsidRPr="0031675F">
              <w:rPr>
                <w:rFonts w:eastAsia="Calibri" w:hAnsi="Calibri"/>
                <w:b/>
                <w:spacing w:val="33"/>
                <w:sz w:val="18"/>
                <w:lang w:val="en-US"/>
              </w:rPr>
              <w:t xml:space="preserve"> </w:t>
            </w:r>
            <w:r w:rsidRPr="0031675F">
              <w:rPr>
                <w:rFonts w:eastAsia="Calibri" w:hAnsi="Calibri"/>
                <w:b/>
                <w:sz w:val="18"/>
                <w:lang w:val="en-US"/>
              </w:rPr>
              <w:t>Reference:</w:t>
            </w:r>
          </w:p>
          <w:p w14:paraId="411C61A8" w14:textId="77777777" w:rsidR="0031675F" w:rsidRPr="0031675F" w:rsidRDefault="0031675F" w:rsidP="0031675F">
            <w:pPr>
              <w:widowControl w:val="0"/>
              <w:spacing w:before="0" w:after="0" w:line="240" w:lineRule="auto"/>
              <w:rPr>
                <w:rFonts w:eastAsia="Arial" w:cs="Arial"/>
                <w:b/>
                <w:bCs/>
                <w:sz w:val="18"/>
                <w:szCs w:val="18"/>
                <w:lang w:val="en-US"/>
              </w:rPr>
            </w:pPr>
          </w:p>
          <w:p w14:paraId="78DB4F7B" w14:textId="77777777" w:rsidR="0031675F" w:rsidRPr="0031675F" w:rsidRDefault="0031675F" w:rsidP="0031675F">
            <w:pPr>
              <w:widowControl w:val="0"/>
              <w:spacing w:before="0" w:after="0" w:line="240" w:lineRule="auto"/>
              <w:rPr>
                <w:rFonts w:eastAsia="Arial" w:cs="Arial"/>
                <w:b/>
                <w:bCs/>
                <w:sz w:val="18"/>
                <w:szCs w:val="18"/>
                <w:lang w:val="en-US"/>
              </w:rPr>
            </w:pPr>
          </w:p>
          <w:p w14:paraId="10851FA4" w14:textId="77777777" w:rsidR="0031675F" w:rsidRPr="0031675F" w:rsidRDefault="0031675F" w:rsidP="0031675F">
            <w:pPr>
              <w:widowControl w:val="0"/>
              <w:spacing w:before="8" w:after="0" w:line="240" w:lineRule="auto"/>
              <w:rPr>
                <w:rFonts w:eastAsia="Arial" w:cs="Arial"/>
                <w:b/>
                <w:bCs/>
                <w:sz w:val="23"/>
                <w:szCs w:val="23"/>
                <w:lang w:val="en-US"/>
              </w:rPr>
            </w:pPr>
          </w:p>
          <w:p w14:paraId="5E1B9717" w14:textId="77777777" w:rsidR="0031675F" w:rsidRPr="0031675F" w:rsidRDefault="0031675F" w:rsidP="0031675F">
            <w:pPr>
              <w:widowControl w:val="0"/>
              <w:tabs>
                <w:tab w:val="left" w:pos="1404"/>
              </w:tabs>
              <w:spacing w:before="0" w:after="0" w:line="260" w:lineRule="auto"/>
              <w:ind w:left="12" w:right="3766"/>
              <w:rPr>
                <w:rFonts w:eastAsia="Arial" w:cs="Arial"/>
                <w:sz w:val="18"/>
                <w:szCs w:val="18"/>
                <w:lang w:val="en-US"/>
              </w:rPr>
            </w:pPr>
            <w:r w:rsidRPr="0031675F">
              <w:rPr>
                <w:rFonts w:eastAsia="Calibri" w:hAnsi="Calibri"/>
                <w:b/>
                <w:spacing w:val="-2"/>
                <w:w w:val="95"/>
                <w:sz w:val="18"/>
                <w:lang w:val="en-US"/>
              </w:rPr>
              <w:t>Analyst:</w:t>
            </w:r>
            <w:r w:rsidRPr="0031675F">
              <w:rPr>
                <w:rFonts w:eastAsia="Calibri" w:hAnsi="Calibri"/>
                <w:b/>
                <w:spacing w:val="-2"/>
                <w:w w:val="95"/>
                <w:sz w:val="18"/>
                <w:lang w:val="en-US"/>
              </w:rPr>
              <w:tab/>
            </w:r>
            <w:r w:rsidRPr="0031675F">
              <w:rPr>
                <w:rFonts w:eastAsia="Calibri" w:hAnsi="Calibri"/>
                <w:b/>
                <w:sz w:val="18"/>
                <w:lang w:val="en-US"/>
              </w:rPr>
              <w:t>S.</w:t>
            </w:r>
            <w:r w:rsidRPr="0031675F">
              <w:rPr>
                <w:rFonts w:eastAsia="Calibri" w:hAnsi="Calibri"/>
                <w:b/>
                <w:spacing w:val="-7"/>
                <w:sz w:val="18"/>
                <w:lang w:val="en-US"/>
              </w:rPr>
              <w:t xml:space="preserve"> </w:t>
            </w:r>
            <w:r w:rsidRPr="0031675F">
              <w:rPr>
                <w:rFonts w:eastAsia="Calibri" w:hAnsi="Calibri"/>
                <w:b/>
                <w:spacing w:val="-2"/>
                <w:sz w:val="18"/>
                <w:lang w:val="en-US"/>
              </w:rPr>
              <w:t>Boyle</w:t>
            </w:r>
            <w:r w:rsidRPr="0031675F">
              <w:rPr>
                <w:rFonts w:eastAsia="Calibri" w:hAnsi="Calibri"/>
                <w:b/>
                <w:spacing w:val="29"/>
                <w:w w:val="99"/>
                <w:sz w:val="18"/>
                <w:lang w:val="en-US"/>
              </w:rPr>
              <w:t xml:space="preserve"> </w:t>
            </w:r>
            <w:r w:rsidRPr="0031675F">
              <w:rPr>
                <w:rFonts w:eastAsia="Calibri" w:hAnsi="Calibri"/>
                <w:b/>
                <w:sz w:val="18"/>
                <w:lang w:val="en-US"/>
              </w:rPr>
              <w:t>Reviewed</w:t>
            </w:r>
            <w:r w:rsidRPr="0031675F">
              <w:rPr>
                <w:rFonts w:eastAsia="Calibri" w:hAnsi="Calibri"/>
                <w:b/>
                <w:spacing w:val="-3"/>
                <w:sz w:val="18"/>
                <w:lang w:val="en-US"/>
              </w:rPr>
              <w:t xml:space="preserve"> </w:t>
            </w:r>
            <w:r w:rsidRPr="0031675F">
              <w:rPr>
                <w:rFonts w:eastAsia="Calibri" w:hAnsi="Calibri"/>
                <w:b/>
                <w:spacing w:val="-2"/>
                <w:sz w:val="18"/>
                <w:lang w:val="en-US"/>
              </w:rPr>
              <w:t>By:</w:t>
            </w:r>
            <w:r w:rsidRPr="0031675F">
              <w:rPr>
                <w:rFonts w:eastAsia="Calibri" w:hAnsi="Calibri"/>
                <w:b/>
                <w:spacing w:val="-2"/>
                <w:sz w:val="18"/>
                <w:lang w:val="en-US"/>
              </w:rPr>
              <w:tab/>
            </w:r>
            <w:r w:rsidRPr="0031675F">
              <w:rPr>
                <w:rFonts w:eastAsia="Calibri" w:hAnsi="Calibri"/>
                <w:b/>
                <w:sz w:val="18"/>
                <w:lang w:val="en-US"/>
              </w:rPr>
              <w:t>C.</w:t>
            </w:r>
            <w:r w:rsidRPr="0031675F">
              <w:rPr>
                <w:rFonts w:eastAsia="Calibri" w:hAnsi="Calibri"/>
                <w:b/>
                <w:spacing w:val="-1"/>
                <w:sz w:val="18"/>
                <w:lang w:val="en-US"/>
              </w:rPr>
              <w:t xml:space="preserve"> </w:t>
            </w:r>
            <w:r w:rsidRPr="0031675F">
              <w:rPr>
                <w:rFonts w:eastAsia="Calibri" w:hAnsi="Calibri"/>
                <w:b/>
                <w:spacing w:val="-2"/>
                <w:sz w:val="18"/>
                <w:lang w:val="en-US"/>
              </w:rPr>
              <w:t>Payn</w:t>
            </w:r>
          </w:p>
        </w:tc>
        <w:tc>
          <w:tcPr>
            <w:tcW w:w="1334" w:type="dxa"/>
            <w:tcBorders>
              <w:top w:val="single" w:sz="4" w:space="0" w:color="000000"/>
              <w:left w:val="single" w:sz="7" w:space="0" w:color="000000"/>
              <w:bottom w:val="single" w:sz="4" w:space="0" w:color="000000"/>
              <w:right w:val="single" w:sz="4" w:space="0" w:color="000000"/>
            </w:tcBorders>
            <w:shd w:val="clear" w:color="auto" w:fill="CCFFCC"/>
          </w:tcPr>
          <w:p w14:paraId="63803641" w14:textId="77777777" w:rsidR="0031675F" w:rsidRPr="0031675F" w:rsidRDefault="0031675F" w:rsidP="0031675F"/>
        </w:tc>
      </w:tr>
      <w:tr w:rsidR="0031675F" w:rsidRPr="0031675F" w14:paraId="78340C37" w14:textId="77777777" w:rsidTr="00B00729">
        <w:trPr>
          <w:trHeight w:hRule="exact" w:val="190"/>
        </w:trPr>
        <w:tc>
          <w:tcPr>
            <w:tcW w:w="767" w:type="dxa"/>
            <w:tcBorders>
              <w:top w:val="single" w:sz="4" w:space="0" w:color="000000"/>
              <w:left w:val="single" w:sz="7" w:space="0" w:color="000000"/>
              <w:bottom w:val="single" w:sz="2" w:space="0" w:color="000000"/>
              <w:right w:val="single" w:sz="2" w:space="0" w:color="000000"/>
            </w:tcBorders>
          </w:tcPr>
          <w:p w14:paraId="5FFA6127" w14:textId="77777777" w:rsidR="0031675F" w:rsidRPr="0031675F" w:rsidRDefault="0031675F" w:rsidP="0031675F"/>
        </w:tc>
        <w:tc>
          <w:tcPr>
            <w:tcW w:w="597" w:type="dxa"/>
            <w:tcBorders>
              <w:top w:val="single" w:sz="4" w:space="0" w:color="000000"/>
              <w:left w:val="single" w:sz="2" w:space="0" w:color="000000"/>
              <w:bottom w:val="single" w:sz="2" w:space="0" w:color="000000"/>
              <w:right w:val="single" w:sz="2" w:space="0" w:color="000000"/>
            </w:tcBorders>
          </w:tcPr>
          <w:p w14:paraId="236E0856" w14:textId="77777777" w:rsidR="0031675F" w:rsidRPr="0031675F" w:rsidRDefault="0031675F" w:rsidP="0031675F"/>
        </w:tc>
        <w:tc>
          <w:tcPr>
            <w:tcW w:w="833" w:type="dxa"/>
            <w:tcBorders>
              <w:top w:val="single" w:sz="4" w:space="0" w:color="000000"/>
              <w:left w:val="single" w:sz="2" w:space="0" w:color="000000"/>
              <w:bottom w:val="single" w:sz="2" w:space="0" w:color="000000"/>
              <w:right w:val="single" w:sz="2" w:space="0" w:color="000000"/>
            </w:tcBorders>
          </w:tcPr>
          <w:p w14:paraId="4F4285B0" w14:textId="77777777" w:rsidR="0031675F" w:rsidRPr="0031675F" w:rsidRDefault="0031675F" w:rsidP="0031675F"/>
        </w:tc>
        <w:tc>
          <w:tcPr>
            <w:tcW w:w="751" w:type="dxa"/>
            <w:tcBorders>
              <w:top w:val="single" w:sz="4" w:space="0" w:color="000000"/>
              <w:left w:val="single" w:sz="2" w:space="0" w:color="000000"/>
              <w:bottom w:val="single" w:sz="2" w:space="0" w:color="000000"/>
              <w:right w:val="single" w:sz="2" w:space="0" w:color="000000"/>
            </w:tcBorders>
          </w:tcPr>
          <w:p w14:paraId="460F7E7D" w14:textId="77777777" w:rsidR="0031675F" w:rsidRPr="0031675F" w:rsidRDefault="0031675F" w:rsidP="0031675F"/>
        </w:tc>
        <w:tc>
          <w:tcPr>
            <w:tcW w:w="762" w:type="dxa"/>
            <w:tcBorders>
              <w:top w:val="single" w:sz="4" w:space="0" w:color="000000"/>
              <w:left w:val="single" w:sz="2" w:space="0" w:color="000000"/>
              <w:bottom w:val="single" w:sz="2" w:space="0" w:color="000000"/>
              <w:right w:val="single" w:sz="2" w:space="0" w:color="000000"/>
            </w:tcBorders>
          </w:tcPr>
          <w:p w14:paraId="5B745B2C" w14:textId="77777777" w:rsidR="0031675F" w:rsidRPr="0031675F" w:rsidRDefault="0031675F" w:rsidP="0031675F"/>
        </w:tc>
        <w:tc>
          <w:tcPr>
            <w:tcW w:w="761" w:type="dxa"/>
            <w:tcBorders>
              <w:top w:val="single" w:sz="4" w:space="0" w:color="000000"/>
              <w:left w:val="single" w:sz="2" w:space="0" w:color="000000"/>
              <w:bottom w:val="single" w:sz="2" w:space="0" w:color="000000"/>
              <w:right w:val="single" w:sz="2" w:space="0" w:color="000000"/>
            </w:tcBorders>
          </w:tcPr>
          <w:p w14:paraId="19DA980E" w14:textId="77777777" w:rsidR="0031675F" w:rsidRPr="0031675F" w:rsidRDefault="0031675F" w:rsidP="0031675F"/>
        </w:tc>
        <w:tc>
          <w:tcPr>
            <w:tcW w:w="598" w:type="dxa"/>
            <w:tcBorders>
              <w:top w:val="single" w:sz="4" w:space="0" w:color="000000"/>
              <w:left w:val="single" w:sz="2" w:space="0" w:color="000000"/>
              <w:bottom w:val="single" w:sz="2" w:space="0" w:color="000000"/>
              <w:right w:val="single" w:sz="2" w:space="0" w:color="000000"/>
            </w:tcBorders>
          </w:tcPr>
          <w:p w14:paraId="7208083B" w14:textId="77777777" w:rsidR="0031675F" w:rsidRPr="0031675F" w:rsidRDefault="0031675F" w:rsidP="0031675F"/>
        </w:tc>
        <w:tc>
          <w:tcPr>
            <w:tcW w:w="836" w:type="dxa"/>
            <w:tcBorders>
              <w:top w:val="single" w:sz="4" w:space="0" w:color="000000"/>
              <w:left w:val="single" w:sz="2" w:space="0" w:color="000000"/>
              <w:bottom w:val="single" w:sz="2" w:space="0" w:color="000000"/>
              <w:right w:val="single" w:sz="7" w:space="0" w:color="000000"/>
            </w:tcBorders>
          </w:tcPr>
          <w:p w14:paraId="3930B3A6" w14:textId="77777777" w:rsidR="0031675F" w:rsidRPr="0031675F" w:rsidRDefault="0031675F" w:rsidP="0031675F"/>
        </w:tc>
        <w:tc>
          <w:tcPr>
            <w:tcW w:w="1334" w:type="dxa"/>
            <w:vMerge w:val="restart"/>
            <w:tcBorders>
              <w:top w:val="single" w:sz="4" w:space="0" w:color="000000"/>
              <w:left w:val="single" w:sz="7" w:space="0" w:color="000000"/>
              <w:right w:val="nil"/>
            </w:tcBorders>
          </w:tcPr>
          <w:p w14:paraId="1C68B6A8" w14:textId="77777777" w:rsidR="0031675F" w:rsidRPr="0031675F" w:rsidRDefault="0031675F" w:rsidP="0031675F"/>
        </w:tc>
      </w:tr>
      <w:tr w:rsidR="0031675F" w:rsidRPr="0031675F" w14:paraId="6723B0E4"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7FC59B3A" w14:textId="77777777" w:rsidR="0031675F" w:rsidRPr="0031675F" w:rsidRDefault="0031675F" w:rsidP="0031675F"/>
        </w:tc>
        <w:tc>
          <w:tcPr>
            <w:tcW w:w="597" w:type="dxa"/>
            <w:tcBorders>
              <w:top w:val="single" w:sz="2" w:space="0" w:color="000000"/>
              <w:left w:val="single" w:sz="2" w:space="0" w:color="000000"/>
              <w:bottom w:val="single" w:sz="2" w:space="0" w:color="000000"/>
              <w:right w:val="single" w:sz="2" w:space="0" w:color="000000"/>
            </w:tcBorders>
          </w:tcPr>
          <w:p w14:paraId="5AE10D02" w14:textId="77777777" w:rsidR="0031675F" w:rsidRPr="0031675F" w:rsidRDefault="0031675F" w:rsidP="0031675F"/>
        </w:tc>
        <w:tc>
          <w:tcPr>
            <w:tcW w:w="833" w:type="dxa"/>
            <w:tcBorders>
              <w:top w:val="single" w:sz="2" w:space="0" w:color="000000"/>
              <w:left w:val="single" w:sz="2" w:space="0" w:color="000000"/>
              <w:bottom w:val="single" w:sz="2" w:space="0" w:color="000000"/>
              <w:right w:val="single" w:sz="2" w:space="0" w:color="000000"/>
            </w:tcBorders>
          </w:tcPr>
          <w:p w14:paraId="06BCF932" w14:textId="77777777" w:rsidR="0031675F" w:rsidRPr="0031675F" w:rsidRDefault="0031675F" w:rsidP="0031675F"/>
        </w:tc>
        <w:tc>
          <w:tcPr>
            <w:tcW w:w="751" w:type="dxa"/>
            <w:tcBorders>
              <w:top w:val="single" w:sz="2" w:space="0" w:color="000000"/>
              <w:left w:val="single" w:sz="2" w:space="0" w:color="000000"/>
              <w:bottom w:val="single" w:sz="2" w:space="0" w:color="000000"/>
              <w:right w:val="single" w:sz="2" w:space="0" w:color="000000"/>
            </w:tcBorders>
          </w:tcPr>
          <w:p w14:paraId="1AB0A31F"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056E9955"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7EFD06C6"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4BF9E346"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4C90CC52" w14:textId="77777777" w:rsidR="0031675F" w:rsidRPr="0031675F" w:rsidRDefault="0031675F" w:rsidP="0031675F"/>
        </w:tc>
        <w:tc>
          <w:tcPr>
            <w:tcW w:w="1334" w:type="dxa"/>
            <w:vMerge/>
            <w:tcBorders>
              <w:left w:val="single" w:sz="7" w:space="0" w:color="000000"/>
              <w:right w:val="nil"/>
            </w:tcBorders>
          </w:tcPr>
          <w:p w14:paraId="69FB4219" w14:textId="77777777" w:rsidR="0031675F" w:rsidRPr="0031675F" w:rsidRDefault="0031675F" w:rsidP="0031675F"/>
        </w:tc>
      </w:tr>
      <w:tr w:rsidR="0031675F" w:rsidRPr="0031675F" w14:paraId="6E12BE5D"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5F4605AD" w14:textId="77777777" w:rsidR="0031675F" w:rsidRPr="0031675F" w:rsidRDefault="0031675F" w:rsidP="0031675F">
            <w:pPr>
              <w:widowControl w:val="0"/>
              <w:spacing w:before="6" w:after="0" w:line="240" w:lineRule="auto"/>
              <w:ind w:left="24"/>
              <w:rPr>
                <w:rFonts w:eastAsia="Arial" w:cs="Arial"/>
                <w:sz w:val="14"/>
                <w:szCs w:val="14"/>
                <w:lang w:val="en-US"/>
              </w:rPr>
            </w:pPr>
            <w:r w:rsidRPr="0031675F">
              <w:rPr>
                <w:rFonts w:eastAsia="Calibri" w:hAnsi="Calibri"/>
                <w:spacing w:val="-1"/>
                <w:w w:val="105"/>
                <w:sz w:val="14"/>
                <w:lang w:val="en-US"/>
              </w:rPr>
              <w:t>Sample</w:t>
            </w:r>
          </w:p>
        </w:tc>
        <w:tc>
          <w:tcPr>
            <w:tcW w:w="597" w:type="dxa"/>
            <w:tcBorders>
              <w:top w:val="single" w:sz="2" w:space="0" w:color="000000"/>
              <w:left w:val="single" w:sz="2" w:space="0" w:color="000000"/>
              <w:bottom w:val="single" w:sz="2" w:space="0" w:color="000000"/>
              <w:right w:val="single" w:sz="2" w:space="0" w:color="000000"/>
            </w:tcBorders>
          </w:tcPr>
          <w:p w14:paraId="1C549870" w14:textId="77777777" w:rsidR="0031675F" w:rsidRPr="0031675F" w:rsidRDefault="0031675F" w:rsidP="0031675F"/>
        </w:tc>
        <w:tc>
          <w:tcPr>
            <w:tcW w:w="833" w:type="dxa"/>
            <w:tcBorders>
              <w:top w:val="single" w:sz="2" w:space="0" w:color="000000"/>
              <w:left w:val="single" w:sz="2" w:space="0" w:color="000000"/>
              <w:bottom w:val="single" w:sz="2" w:space="0" w:color="000000"/>
              <w:right w:val="single" w:sz="2" w:space="0" w:color="000000"/>
            </w:tcBorders>
          </w:tcPr>
          <w:p w14:paraId="7468CB50" w14:textId="77777777" w:rsidR="0031675F" w:rsidRPr="0031675F" w:rsidRDefault="0031675F" w:rsidP="0031675F">
            <w:pPr>
              <w:widowControl w:val="0"/>
              <w:spacing w:before="6" w:after="0" w:line="240" w:lineRule="auto"/>
              <w:ind w:left="206"/>
              <w:rPr>
                <w:rFonts w:eastAsia="Arial" w:cs="Arial"/>
                <w:sz w:val="14"/>
                <w:szCs w:val="14"/>
                <w:lang w:val="en-US"/>
              </w:rPr>
            </w:pPr>
            <w:r w:rsidRPr="0031675F">
              <w:rPr>
                <w:rFonts w:eastAsia="Calibri" w:hAnsi="Calibri"/>
                <w:spacing w:val="-1"/>
                <w:w w:val="105"/>
                <w:sz w:val="14"/>
                <w:lang w:val="en-US"/>
              </w:rPr>
              <w:t>NPOC</w:t>
            </w:r>
          </w:p>
        </w:tc>
        <w:tc>
          <w:tcPr>
            <w:tcW w:w="751" w:type="dxa"/>
            <w:tcBorders>
              <w:top w:val="single" w:sz="2" w:space="0" w:color="000000"/>
              <w:left w:val="single" w:sz="2" w:space="0" w:color="000000"/>
              <w:bottom w:val="single" w:sz="2" w:space="0" w:color="000000"/>
              <w:right w:val="single" w:sz="2" w:space="0" w:color="000000"/>
            </w:tcBorders>
          </w:tcPr>
          <w:p w14:paraId="734CB8F7"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6160D423"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5AB73F05" w14:textId="77777777" w:rsidR="0031675F" w:rsidRPr="0031675F" w:rsidRDefault="0031675F" w:rsidP="0031675F">
            <w:pPr>
              <w:widowControl w:val="0"/>
              <w:spacing w:before="6" w:after="0" w:line="240" w:lineRule="auto"/>
              <w:ind w:left="25"/>
              <w:rPr>
                <w:rFonts w:eastAsia="Arial" w:cs="Arial"/>
                <w:sz w:val="14"/>
                <w:szCs w:val="14"/>
                <w:lang w:val="en-US"/>
              </w:rPr>
            </w:pPr>
            <w:r w:rsidRPr="0031675F">
              <w:rPr>
                <w:rFonts w:eastAsia="Calibri" w:hAnsi="Calibri"/>
                <w:spacing w:val="-1"/>
                <w:w w:val="105"/>
                <w:sz w:val="14"/>
                <w:lang w:val="en-US"/>
              </w:rPr>
              <w:t>Sample</w:t>
            </w:r>
          </w:p>
        </w:tc>
        <w:tc>
          <w:tcPr>
            <w:tcW w:w="598" w:type="dxa"/>
            <w:tcBorders>
              <w:top w:val="single" w:sz="2" w:space="0" w:color="000000"/>
              <w:left w:val="single" w:sz="2" w:space="0" w:color="000000"/>
              <w:bottom w:val="single" w:sz="2" w:space="0" w:color="000000"/>
              <w:right w:val="single" w:sz="2" w:space="0" w:color="000000"/>
            </w:tcBorders>
          </w:tcPr>
          <w:p w14:paraId="42F989C5"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7A271411" w14:textId="77777777" w:rsidR="0031675F" w:rsidRPr="0031675F" w:rsidRDefault="0031675F" w:rsidP="0031675F">
            <w:pPr>
              <w:widowControl w:val="0"/>
              <w:spacing w:before="6" w:after="0" w:line="240" w:lineRule="auto"/>
              <w:ind w:left="205"/>
              <w:rPr>
                <w:rFonts w:eastAsia="Arial" w:cs="Arial"/>
                <w:sz w:val="14"/>
                <w:szCs w:val="14"/>
                <w:lang w:val="en-US"/>
              </w:rPr>
            </w:pPr>
            <w:r w:rsidRPr="0031675F">
              <w:rPr>
                <w:rFonts w:eastAsia="Calibri" w:hAnsi="Calibri"/>
                <w:spacing w:val="-1"/>
                <w:w w:val="105"/>
                <w:sz w:val="14"/>
                <w:lang w:val="en-US"/>
              </w:rPr>
              <w:t>NPOC</w:t>
            </w:r>
          </w:p>
        </w:tc>
        <w:tc>
          <w:tcPr>
            <w:tcW w:w="1334" w:type="dxa"/>
            <w:vMerge/>
            <w:tcBorders>
              <w:left w:val="single" w:sz="7" w:space="0" w:color="000000"/>
              <w:right w:val="nil"/>
            </w:tcBorders>
          </w:tcPr>
          <w:p w14:paraId="4839D7A5" w14:textId="77777777" w:rsidR="0031675F" w:rsidRPr="0031675F" w:rsidRDefault="0031675F" w:rsidP="0031675F"/>
        </w:tc>
      </w:tr>
      <w:tr w:rsidR="0031675F" w:rsidRPr="0031675F" w14:paraId="7D90700C"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601DE56D" w14:textId="77777777" w:rsidR="0031675F" w:rsidRPr="0031675F" w:rsidRDefault="0031675F" w:rsidP="0031675F"/>
        </w:tc>
        <w:tc>
          <w:tcPr>
            <w:tcW w:w="597" w:type="dxa"/>
            <w:tcBorders>
              <w:top w:val="single" w:sz="2" w:space="0" w:color="000000"/>
              <w:left w:val="single" w:sz="2" w:space="0" w:color="000000"/>
              <w:bottom w:val="single" w:sz="2" w:space="0" w:color="000000"/>
              <w:right w:val="single" w:sz="2" w:space="0" w:color="000000"/>
            </w:tcBorders>
          </w:tcPr>
          <w:p w14:paraId="75F7794F" w14:textId="77777777" w:rsidR="0031675F" w:rsidRPr="0031675F" w:rsidRDefault="0031675F" w:rsidP="0031675F"/>
        </w:tc>
        <w:tc>
          <w:tcPr>
            <w:tcW w:w="833" w:type="dxa"/>
            <w:tcBorders>
              <w:top w:val="single" w:sz="2" w:space="0" w:color="000000"/>
              <w:left w:val="single" w:sz="2" w:space="0" w:color="000000"/>
              <w:bottom w:val="single" w:sz="2" w:space="0" w:color="000000"/>
              <w:right w:val="single" w:sz="2" w:space="0" w:color="000000"/>
            </w:tcBorders>
          </w:tcPr>
          <w:p w14:paraId="31F5CF6D" w14:textId="77777777" w:rsidR="0031675F" w:rsidRPr="0031675F" w:rsidRDefault="0031675F" w:rsidP="0031675F">
            <w:pPr>
              <w:widowControl w:val="0"/>
              <w:spacing w:before="6" w:after="0" w:line="240" w:lineRule="auto"/>
              <w:ind w:left="279"/>
              <w:rPr>
                <w:rFonts w:eastAsia="Arial" w:cs="Arial"/>
                <w:sz w:val="14"/>
                <w:szCs w:val="14"/>
                <w:lang w:val="en-US"/>
              </w:rPr>
            </w:pPr>
            <w:r w:rsidRPr="0031675F">
              <w:rPr>
                <w:rFonts w:eastAsia="Calibri" w:hAnsi="Calibri"/>
                <w:w w:val="105"/>
                <w:sz w:val="14"/>
                <w:lang w:val="en-US"/>
              </w:rPr>
              <w:t>mg/l</w:t>
            </w:r>
          </w:p>
        </w:tc>
        <w:tc>
          <w:tcPr>
            <w:tcW w:w="751" w:type="dxa"/>
            <w:tcBorders>
              <w:top w:val="single" w:sz="2" w:space="0" w:color="000000"/>
              <w:left w:val="single" w:sz="2" w:space="0" w:color="000000"/>
              <w:bottom w:val="single" w:sz="2" w:space="0" w:color="000000"/>
              <w:right w:val="single" w:sz="2" w:space="0" w:color="000000"/>
            </w:tcBorders>
          </w:tcPr>
          <w:p w14:paraId="3E2348A9"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6AA760D8"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323B3C6D"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2589E20A"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35B15534" w14:textId="77777777" w:rsidR="0031675F" w:rsidRPr="0031675F" w:rsidRDefault="0031675F" w:rsidP="0031675F">
            <w:pPr>
              <w:widowControl w:val="0"/>
              <w:spacing w:before="6" w:after="0" w:line="240" w:lineRule="auto"/>
              <w:ind w:left="278"/>
              <w:rPr>
                <w:rFonts w:eastAsia="Arial" w:cs="Arial"/>
                <w:sz w:val="14"/>
                <w:szCs w:val="14"/>
                <w:lang w:val="en-US"/>
              </w:rPr>
            </w:pPr>
            <w:r w:rsidRPr="0031675F">
              <w:rPr>
                <w:rFonts w:eastAsia="Calibri" w:hAnsi="Calibri"/>
                <w:w w:val="105"/>
                <w:sz w:val="14"/>
                <w:lang w:val="en-US"/>
              </w:rPr>
              <w:t>mg/l</w:t>
            </w:r>
          </w:p>
        </w:tc>
        <w:tc>
          <w:tcPr>
            <w:tcW w:w="1334" w:type="dxa"/>
            <w:vMerge/>
            <w:tcBorders>
              <w:left w:val="single" w:sz="7" w:space="0" w:color="000000"/>
              <w:right w:val="nil"/>
            </w:tcBorders>
          </w:tcPr>
          <w:p w14:paraId="6F1E6EE0" w14:textId="77777777" w:rsidR="0031675F" w:rsidRPr="0031675F" w:rsidRDefault="0031675F" w:rsidP="0031675F"/>
        </w:tc>
      </w:tr>
      <w:tr w:rsidR="0031675F" w:rsidRPr="0031675F" w14:paraId="00BCC8C2"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2927731F" w14:textId="77777777" w:rsidR="0031675F" w:rsidRPr="0031675F" w:rsidRDefault="0031675F" w:rsidP="0031675F"/>
        </w:tc>
        <w:tc>
          <w:tcPr>
            <w:tcW w:w="597" w:type="dxa"/>
            <w:tcBorders>
              <w:top w:val="single" w:sz="2" w:space="0" w:color="000000"/>
              <w:left w:val="single" w:sz="2" w:space="0" w:color="000000"/>
              <w:bottom w:val="single" w:sz="2" w:space="0" w:color="000000"/>
              <w:right w:val="single" w:sz="2" w:space="0" w:color="000000"/>
            </w:tcBorders>
          </w:tcPr>
          <w:p w14:paraId="6978425A" w14:textId="77777777" w:rsidR="0031675F" w:rsidRPr="0031675F" w:rsidRDefault="0031675F" w:rsidP="0031675F"/>
        </w:tc>
        <w:tc>
          <w:tcPr>
            <w:tcW w:w="833" w:type="dxa"/>
            <w:tcBorders>
              <w:top w:val="single" w:sz="2" w:space="0" w:color="000000"/>
              <w:left w:val="single" w:sz="2" w:space="0" w:color="000000"/>
              <w:bottom w:val="single" w:sz="2" w:space="0" w:color="000000"/>
              <w:right w:val="single" w:sz="2" w:space="0" w:color="000000"/>
            </w:tcBorders>
          </w:tcPr>
          <w:p w14:paraId="45966B95" w14:textId="77777777" w:rsidR="0031675F" w:rsidRPr="0031675F" w:rsidRDefault="0031675F" w:rsidP="0031675F"/>
        </w:tc>
        <w:tc>
          <w:tcPr>
            <w:tcW w:w="751" w:type="dxa"/>
            <w:tcBorders>
              <w:top w:val="single" w:sz="2" w:space="0" w:color="000000"/>
              <w:left w:val="single" w:sz="2" w:space="0" w:color="000000"/>
              <w:bottom w:val="single" w:sz="2" w:space="0" w:color="000000"/>
              <w:right w:val="single" w:sz="2" w:space="0" w:color="000000"/>
            </w:tcBorders>
          </w:tcPr>
          <w:p w14:paraId="36AA1AC1"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36D13FF8"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148FEF7A"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70E2E1C0"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4AFB7910" w14:textId="77777777" w:rsidR="0031675F" w:rsidRPr="0031675F" w:rsidRDefault="0031675F" w:rsidP="0031675F"/>
        </w:tc>
        <w:tc>
          <w:tcPr>
            <w:tcW w:w="1334" w:type="dxa"/>
            <w:vMerge/>
            <w:tcBorders>
              <w:left w:val="single" w:sz="7" w:space="0" w:color="000000"/>
              <w:right w:val="nil"/>
            </w:tcBorders>
          </w:tcPr>
          <w:p w14:paraId="2C602D76" w14:textId="77777777" w:rsidR="0031675F" w:rsidRPr="0031675F" w:rsidRDefault="0031675F" w:rsidP="0031675F"/>
        </w:tc>
      </w:tr>
      <w:tr w:rsidR="0031675F" w:rsidRPr="0031675F" w14:paraId="39663F44"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656E797D"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WQM177</w:t>
            </w:r>
          </w:p>
        </w:tc>
        <w:tc>
          <w:tcPr>
            <w:tcW w:w="597" w:type="dxa"/>
            <w:tcBorders>
              <w:top w:val="single" w:sz="2" w:space="0" w:color="000000"/>
              <w:left w:val="single" w:sz="2" w:space="0" w:color="000000"/>
              <w:bottom w:val="single" w:sz="2" w:space="0" w:color="000000"/>
              <w:right w:val="single" w:sz="2" w:space="0" w:color="000000"/>
            </w:tcBorders>
          </w:tcPr>
          <w:p w14:paraId="5A37A765"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d0</w:t>
            </w:r>
          </w:p>
        </w:tc>
        <w:tc>
          <w:tcPr>
            <w:tcW w:w="833" w:type="dxa"/>
            <w:tcBorders>
              <w:top w:val="single" w:sz="2" w:space="0" w:color="000000"/>
              <w:left w:val="single" w:sz="2" w:space="0" w:color="000000"/>
              <w:bottom w:val="single" w:sz="2" w:space="0" w:color="000000"/>
              <w:right w:val="single" w:sz="2" w:space="0" w:color="000000"/>
            </w:tcBorders>
          </w:tcPr>
          <w:p w14:paraId="241DC415"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1.09</w:t>
            </w:r>
          </w:p>
        </w:tc>
        <w:tc>
          <w:tcPr>
            <w:tcW w:w="751" w:type="dxa"/>
            <w:tcBorders>
              <w:top w:val="single" w:sz="2" w:space="0" w:color="000000"/>
              <w:left w:val="single" w:sz="2" w:space="0" w:color="000000"/>
              <w:bottom w:val="single" w:sz="2" w:space="0" w:color="000000"/>
              <w:right w:val="single" w:sz="2" w:space="0" w:color="000000"/>
            </w:tcBorders>
          </w:tcPr>
          <w:p w14:paraId="24F80CCF"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5B1016FF"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134F1E83"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IOP001</w:t>
            </w:r>
          </w:p>
        </w:tc>
        <w:tc>
          <w:tcPr>
            <w:tcW w:w="598" w:type="dxa"/>
            <w:tcBorders>
              <w:top w:val="single" w:sz="2" w:space="0" w:color="000000"/>
              <w:left w:val="single" w:sz="2" w:space="0" w:color="000000"/>
              <w:bottom w:val="single" w:sz="2" w:space="0" w:color="000000"/>
              <w:right w:val="single" w:sz="2" w:space="0" w:color="000000"/>
            </w:tcBorders>
          </w:tcPr>
          <w:p w14:paraId="5D525451"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d0</w:t>
            </w:r>
          </w:p>
        </w:tc>
        <w:tc>
          <w:tcPr>
            <w:tcW w:w="836" w:type="dxa"/>
            <w:tcBorders>
              <w:top w:val="single" w:sz="2" w:space="0" w:color="000000"/>
              <w:left w:val="single" w:sz="2" w:space="0" w:color="000000"/>
              <w:bottom w:val="single" w:sz="2" w:space="0" w:color="000000"/>
              <w:right w:val="single" w:sz="7" w:space="0" w:color="000000"/>
            </w:tcBorders>
          </w:tcPr>
          <w:p w14:paraId="3A798144"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1.20</w:t>
            </w:r>
          </w:p>
        </w:tc>
        <w:tc>
          <w:tcPr>
            <w:tcW w:w="1334" w:type="dxa"/>
            <w:vMerge/>
            <w:tcBorders>
              <w:left w:val="single" w:sz="7" w:space="0" w:color="000000"/>
              <w:right w:val="nil"/>
            </w:tcBorders>
          </w:tcPr>
          <w:p w14:paraId="6260DF60" w14:textId="77777777" w:rsidR="0031675F" w:rsidRPr="0031675F" w:rsidRDefault="0031675F" w:rsidP="0031675F"/>
        </w:tc>
      </w:tr>
      <w:tr w:rsidR="0031675F" w:rsidRPr="0031675F" w14:paraId="33ED3AE8"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2295E1EE"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WQM177</w:t>
            </w:r>
          </w:p>
        </w:tc>
        <w:tc>
          <w:tcPr>
            <w:tcW w:w="597" w:type="dxa"/>
            <w:tcBorders>
              <w:top w:val="single" w:sz="2" w:space="0" w:color="000000"/>
              <w:left w:val="single" w:sz="2" w:space="0" w:color="000000"/>
              <w:bottom w:val="single" w:sz="2" w:space="0" w:color="000000"/>
              <w:right w:val="single" w:sz="2" w:space="0" w:color="000000"/>
            </w:tcBorders>
          </w:tcPr>
          <w:p w14:paraId="6B093336"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d0</w:t>
            </w:r>
          </w:p>
        </w:tc>
        <w:tc>
          <w:tcPr>
            <w:tcW w:w="833" w:type="dxa"/>
            <w:tcBorders>
              <w:top w:val="single" w:sz="2" w:space="0" w:color="000000"/>
              <w:left w:val="single" w:sz="2" w:space="0" w:color="000000"/>
              <w:bottom w:val="single" w:sz="2" w:space="0" w:color="000000"/>
              <w:right w:val="single" w:sz="2" w:space="0" w:color="000000"/>
            </w:tcBorders>
          </w:tcPr>
          <w:p w14:paraId="5AFE90F5"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0.99</w:t>
            </w:r>
          </w:p>
        </w:tc>
        <w:tc>
          <w:tcPr>
            <w:tcW w:w="751" w:type="dxa"/>
            <w:tcBorders>
              <w:top w:val="single" w:sz="2" w:space="0" w:color="000000"/>
              <w:left w:val="single" w:sz="2" w:space="0" w:color="000000"/>
              <w:bottom w:val="single" w:sz="2" w:space="0" w:color="000000"/>
              <w:right w:val="single" w:sz="2" w:space="0" w:color="000000"/>
            </w:tcBorders>
          </w:tcPr>
          <w:p w14:paraId="730BE809"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2AD183BA"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42B7441F"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IOP001</w:t>
            </w:r>
          </w:p>
        </w:tc>
        <w:tc>
          <w:tcPr>
            <w:tcW w:w="598" w:type="dxa"/>
            <w:tcBorders>
              <w:top w:val="single" w:sz="2" w:space="0" w:color="000000"/>
              <w:left w:val="single" w:sz="2" w:space="0" w:color="000000"/>
              <w:bottom w:val="single" w:sz="2" w:space="0" w:color="000000"/>
              <w:right w:val="single" w:sz="2" w:space="0" w:color="000000"/>
            </w:tcBorders>
          </w:tcPr>
          <w:p w14:paraId="0BBD3308"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d0</w:t>
            </w:r>
          </w:p>
        </w:tc>
        <w:tc>
          <w:tcPr>
            <w:tcW w:w="836" w:type="dxa"/>
            <w:tcBorders>
              <w:top w:val="single" w:sz="2" w:space="0" w:color="000000"/>
              <w:left w:val="single" w:sz="2" w:space="0" w:color="000000"/>
              <w:bottom w:val="single" w:sz="2" w:space="0" w:color="000000"/>
              <w:right w:val="single" w:sz="7" w:space="0" w:color="000000"/>
            </w:tcBorders>
          </w:tcPr>
          <w:p w14:paraId="745B5E3E"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b/>
                <w:spacing w:val="-1"/>
                <w:w w:val="105"/>
                <w:sz w:val="14"/>
                <w:lang w:val="en-US"/>
              </w:rPr>
              <w:t>21.0</w:t>
            </w:r>
          </w:p>
        </w:tc>
        <w:tc>
          <w:tcPr>
            <w:tcW w:w="1334" w:type="dxa"/>
            <w:vMerge/>
            <w:tcBorders>
              <w:left w:val="single" w:sz="7" w:space="0" w:color="000000"/>
              <w:right w:val="nil"/>
            </w:tcBorders>
          </w:tcPr>
          <w:p w14:paraId="703B7465" w14:textId="77777777" w:rsidR="0031675F" w:rsidRPr="0031675F" w:rsidRDefault="0031675F" w:rsidP="0031675F"/>
        </w:tc>
      </w:tr>
      <w:tr w:rsidR="0031675F" w:rsidRPr="0031675F" w14:paraId="51FCE941"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2EF9A5A2"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WQM177</w:t>
            </w:r>
          </w:p>
        </w:tc>
        <w:tc>
          <w:tcPr>
            <w:tcW w:w="597" w:type="dxa"/>
            <w:tcBorders>
              <w:top w:val="single" w:sz="2" w:space="0" w:color="000000"/>
              <w:left w:val="single" w:sz="2" w:space="0" w:color="000000"/>
              <w:bottom w:val="single" w:sz="2" w:space="0" w:color="000000"/>
              <w:right w:val="single" w:sz="2" w:space="0" w:color="000000"/>
            </w:tcBorders>
          </w:tcPr>
          <w:p w14:paraId="3A53F90A"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d1</w:t>
            </w:r>
          </w:p>
        </w:tc>
        <w:tc>
          <w:tcPr>
            <w:tcW w:w="833" w:type="dxa"/>
            <w:tcBorders>
              <w:top w:val="single" w:sz="2" w:space="0" w:color="000000"/>
              <w:left w:val="single" w:sz="2" w:space="0" w:color="000000"/>
              <w:bottom w:val="single" w:sz="2" w:space="0" w:color="000000"/>
              <w:right w:val="single" w:sz="2" w:space="0" w:color="000000"/>
            </w:tcBorders>
          </w:tcPr>
          <w:p w14:paraId="4285CF85"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1.02</w:t>
            </w:r>
          </w:p>
        </w:tc>
        <w:tc>
          <w:tcPr>
            <w:tcW w:w="751" w:type="dxa"/>
            <w:tcBorders>
              <w:top w:val="single" w:sz="2" w:space="0" w:color="000000"/>
              <w:left w:val="single" w:sz="2" w:space="0" w:color="000000"/>
              <w:bottom w:val="single" w:sz="2" w:space="0" w:color="000000"/>
              <w:right w:val="single" w:sz="2" w:space="0" w:color="000000"/>
            </w:tcBorders>
          </w:tcPr>
          <w:p w14:paraId="227707D2"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4B73C959"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34002ECE"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IOP001</w:t>
            </w:r>
          </w:p>
        </w:tc>
        <w:tc>
          <w:tcPr>
            <w:tcW w:w="598" w:type="dxa"/>
            <w:tcBorders>
              <w:top w:val="single" w:sz="2" w:space="0" w:color="000000"/>
              <w:left w:val="single" w:sz="2" w:space="0" w:color="000000"/>
              <w:bottom w:val="single" w:sz="2" w:space="0" w:color="000000"/>
              <w:right w:val="single" w:sz="2" w:space="0" w:color="000000"/>
            </w:tcBorders>
          </w:tcPr>
          <w:p w14:paraId="061055A7"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d1</w:t>
            </w:r>
          </w:p>
        </w:tc>
        <w:tc>
          <w:tcPr>
            <w:tcW w:w="836" w:type="dxa"/>
            <w:tcBorders>
              <w:top w:val="single" w:sz="2" w:space="0" w:color="000000"/>
              <w:left w:val="single" w:sz="2" w:space="0" w:color="000000"/>
              <w:bottom w:val="single" w:sz="2" w:space="0" w:color="000000"/>
              <w:right w:val="single" w:sz="7" w:space="0" w:color="000000"/>
            </w:tcBorders>
          </w:tcPr>
          <w:p w14:paraId="3BB29FB7"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1.42</w:t>
            </w:r>
          </w:p>
        </w:tc>
        <w:tc>
          <w:tcPr>
            <w:tcW w:w="1334" w:type="dxa"/>
            <w:vMerge/>
            <w:tcBorders>
              <w:left w:val="single" w:sz="7" w:space="0" w:color="000000"/>
              <w:right w:val="nil"/>
            </w:tcBorders>
          </w:tcPr>
          <w:p w14:paraId="4EA60439" w14:textId="77777777" w:rsidR="0031675F" w:rsidRPr="0031675F" w:rsidRDefault="0031675F" w:rsidP="0031675F"/>
        </w:tc>
      </w:tr>
      <w:tr w:rsidR="0031675F" w:rsidRPr="0031675F" w14:paraId="4BBF88A1"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6E8D47B0"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WQM177</w:t>
            </w:r>
          </w:p>
        </w:tc>
        <w:tc>
          <w:tcPr>
            <w:tcW w:w="597" w:type="dxa"/>
            <w:tcBorders>
              <w:top w:val="single" w:sz="2" w:space="0" w:color="000000"/>
              <w:left w:val="single" w:sz="2" w:space="0" w:color="000000"/>
              <w:bottom w:val="single" w:sz="2" w:space="0" w:color="000000"/>
              <w:right w:val="single" w:sz="2" w:space="0" w:color="000000"/>
            </w:tcBorders>
          </w:tcPr>
          <w:p w14:paraId="3D042C6A"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d1</w:t>
            </w:r>
          </w:p>
        </w:tc>
        <w:tc>
          <w:tcPr>
            <w:tcW w:w="833" w:type="dxa"/>
            <w:tcBorders>
              <w:top w:val="single" w:sz="2" w:space="0" w:color="000000"/>
              <w:left w:val="single" w:sz="2" w:space="0" w:color="000000"/>
              <w:bottom w:val="single" w:sz="2" w:space="0" w:color="000000"/>
              <w:right w:val="single" w:sz="2" w:space="0" w:color="000000"/>
            </w:tcBorders>
          </w:tcPr>
          <w:p w14:paraId="6428B38D"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1.02</w:t>
            </w:r>
          </w:p>
        </w:tc>
        <w:tc>
          <w:tcPr>
            <w:tcW w:w="751" w:type="dxa"/>
            <w:tcBorders>
              <w:top w:val="single" w:sz="2" w:space="0" w:color="000000"/>
              <w:left w:val="single" w:sz="2" w:space="0" w:color="000000"/>
              <w:bottom w:val="single" w:sz="2" w:space="0" w:color="000000"/>
              <w:right w:val="single" w:sz="2" w:space="0" w:color="000000"/>
            </w:tcBorders>
          </w:tcPr>
          <w:p w14:paraId="087D0849"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3FB386C0"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6545505C"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IOP001</w:t>
            </w:r>
          </w:p>
        </w:tc>
        <w:tc>
          <w:tcPr>
            <w:tcW w:w="598" w:type="dxa"/>
            <w:tcBorders>
              <w:top w:val="single" w:sz="2" w:space="0" w:color="000000"/>
              <w:left w:val="single" w:sz="2" w:space="0" w:color="000000"/>
              <w:bottom w:val="single" w:sz="2" w:space="0" w:color="000000"/>
              <w:right w:val="single" w:sz="2" w:space="0" w:color="000000"/>
            </w:tcBorders>
          </w:tcPr>
          <w:p w14:paraId="2F28C6BE"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d1</w:t>
            </w:r>
          </w:p>
        </w:tc>
        <w:tc>
          <w:tcPr>
            <w:tcW w:w="836" w:type="dxa"/>
            <w:tcBorders>
              <w:top w:val="single" w:sz="2" w:space="0" w:color="000000"/>
              <w:left w:val="single" w:sz="2" w:space="0" w:color="000000"/>
              <w:bottom w:val="single" w:sz="2" w:space="0" w:color="000000"/>
              <w:right w:val="single" w:sz="7" w:space="0" w:color="000000"/>
            </w:tcBorders>
          </w:tcPr>
          <w:p w14:paraId="4A5D4163"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1.12</w:t>
            </w:r>
          </w:p>
        </w:tc>
        <w:tc>
          <w:tcPr>
            <w:tcW w:w="1334" w:type="dxa"/>
            <w:vMerge/>
            <w:tcBorders>
              <w:left w:val="single" w:sz="7" w:space="0" w:color="000000"/>
              <w:right w:val="nil"/>
            </w:tcBorders>
          </w:tcPr>
          <w:p w14:paraId="76A24F0C" w14:textId="77777777" w:rsidR="0031675F" w:rsidRPr="0031675F" w:rsidRDefault="0031675F" w:rsidP="0031675F"/>
        </w:tc>
      </w:tr>
      <w:tr w:rsidR="0031675F" w:rsidRPr="0031675F" w14:paraId="69095EB7"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0DE95957"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WQM177</w:t>
            </w:r>
          </w:p>
        </w:tc>
        <w:tc>
          <w:tcPr>
            <w:tcW w:w="597" w:type="dxa"/>
            <w:tcBorders>
              <w:top w:val="single" w:sz="2" w:space="0" w:color="000000"/>
              <w:left w:val="single" w:sz="2" w:space="0" w:color="000000"/>
              <w:bottom w:val="single" w:sz="2" w:space="0" w:color="000000"/>
              <w:right w:val="single" w:sz="2" w:space="0" w:color="000000"/>
            </w:tcBorders>
          </w:tcPr>
          <w:p w14:paraId="4C1511B5"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d2</w:t>
            </w:r>
          </w:p>
        </w:tc>
        <w:tc>
          <w:tcPr>
            <w:tcW w:w="833" w:type="dxa"/>
            <w:tcBorders>
              <w:top w:val="single" w:sz="2" w:space="0" w:color="000000"/>
              <w:left w:val="single" w:sz="2" w:space="0" w:color="000000"/>
              <w:bottom w:val="single" w:sz="2" w:space="0" w:color="000000"/>
              <w:right w:val="single" w:sz="2" w:space="0" w:color="000000"/>
            </w:tcBorders>
          </w:tcPr>
          <w:p w14:paraId="5F5521F2" w14:textId="77777777" w:rsidR="0031675F" w:rsidRPr="0031675F" w:rsidRDefault="0031675F" w:rsidP="0031675F">
            <w:pPr>
              <w:widowControl w:val="0"/>
              <w:spacing w:before="7" w:after="0" w:line="240" w:lineRule="auto"/>
              <w:ind w:left="277"/>
              <w:rPr>
                <w:rFonts w:eastAsia="Arial" w:cs="Arial"/>
                <w:sz w:val="14"/>
                <w:szCs w:val="14"/>
                <w:lang w:val="en-US"/>
              </w:rPr>
            </w:pPr>
            <w:r w:rsidRPr="0031675F">
              <w:rPr>
                <w:rFonts w:eastAsia="Calibri" w:hAnsi="Calibri"/>
                <w:spacing w:val="-1"/>
                <w:w w:val="105"/>
                <w:sz w:val="14"/>
                <w:lang w:val="en-US"/>
              </w:rPr>
              <w:t>0.80</w:t>
            </w:r>
          </w:p>
        </w:tc>
        <w:tc>
          <w:tcPr>
            <w:tcW w:w="751" w:type="dxa"/>
            <w:tcBorders>
              <w:top w:val="single" w:sz="2" w:space="0" w:color="000000"/>
              <w:left w:val="single" w:sz="2" w:space="0" w:color="000000"/>
              <w:bottom w:val="single" w:sz="2" w:space="0" w:color="000000"/>
              <w:right w:val="single" w:sz="2" w:space="0" w:color="000000"/>
            </w:tcBorders>
          </w:tcPr>
          <w:p w14:paraId="60042EE8"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1B886D00"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5BCA4FFF"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7B6BCFE9"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72141B85" w14:textId="77777777" w:rsidR="0031675F" w:rsidRPr="0031675F" w:rsidRDefault="0031675F" w:rsidP="0031675F"/>
        </w:tc>
        <w:tc>
          <w:tcPr>
            <w:tcW w:w="1334" w:type="dxa"/>
            <w:vMerge/>
            <w:tcBorders>
              <w:left w:val="single" w:sz="7" w:space="0" w:color="000000"/>
              <w:right w:val="nil"/>
            </w:tcBorders>
          </w:tcPr>
          <w:p w14:paraId="0870C384" w14:textId="77777777" w:rsidR="0031675F" w:rsidRPr="0031675F" w:rsidRDefault="0031675F" w:rsidP="0031675F"/>
        </w:tc>
      </w:tr>
      <w:tr w:rsidR="0031675F" w:rsidRPr="0031675F" w14:paraId="7AE9891C"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2783826D"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WQM177</w:t>
            </w:r>
          </w:p>
        </w:tc>
        <w:tc>
          <w:tcPr>
            <w:tcW w:w="597" w:type="dxa"/>
            <w:tcBorders>
              <w:top w:val="single" w:sz="2" w:space="0" w:color="000000"/>
              <w:left w:val="single" w:sz="2" w:space="0" w:color="000000"/>
              <w:bottom w:val="single" w:sz="2" w:space="0" w:color="000000"/>
              <w:right w:val="single" w:sz="2" w:space="0" w:color="000000"/>
            </w:tcBorders>
          </w:tcPr>
          <w:p w14:paraId="7B2F514E"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d2</w:t>
            </w:r>
          </w:p>
        </w:tc>
        <w:tc>
          <w:tcPr>
            <w:tcW w:w="833" w:type="dxa"/>
            <w:tcBorders>
              <w:top w:val="single" w:sz="2" w:space="0" w:color="000000"/>
              <w:left w:val="single" w:sz="2" w:space="0" w:color="000000"/>
              <w:bottom w:val="single" w:sz="2" w:space="0" w:color="000000"/>
              <w:right w:val="single" w:sz="2" w:space="0" w:color="000000"/>
            </w:tcBorders>
          </w:tcPr>
          <w:p w14:paraId="614F2900"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0.80</w:t>
            </w:r>
          </w:p>
        </w:tc>
        <w:tc>
          <w:tcPr>
            <w:tcW w:w="751" w:type="dxa"/>
            <w:tcBorders>
              <w:top w:val="single" w:sz="2" w:space="0" w:color="000000"/>
              <w:left w:val="single" w:sz="2" w:space="0" w:color="000000"/>
              <w:bottom w:val="single" w:sz="2" w:space="0" w:color="000000"/>
              <w:right w:val="single" w:sz="2" w:space="0" w:color="000000"/>
            </w:tcBorders>
          </w:tcPr>
          <w:p w14:paraId="34E4D505"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49CCE97F"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55268E51"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432EA9D1"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7035A272" w14:textId="77777777" w:rsidR="0031675F" w:rsidRPr="0031675F" w:rsidRDefault="0031675F" w:rsidP="0031675F"/>
        </w:tc>
        <w:tc>
          <w:tcPr>
            <w:tcW w:w="1334" w:type="dxa"/>
            <w:vMerge/>
            <w:tcBorders>
              <w:left w:val="single" w:sz="7" w:space="0" w:color="000000"/>
              <w:right w:val="nil"/>
            </w:tcBorders>
          </w:tcPr>
          <w:p w14:paraId="54A5E25A" w14:textId="77777777" w:rsidR="0031675F" w:rsidRPr="0031675F" w:rsidRDefault="0031675F" w:rsidP="0031675F"/>
        </w:tc>
      </w:tr>
      <w:tr w:rsidR="0031675F" w:rsidRPr="0031675F" w14:paraId="58C3B7CD"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6C3DDF05"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WQM177</w:t>
            </w:r>
          </w:p>
        </w:tc>
        <w:tc>
          <w:tcPr>
            <w:tcW w:w="597" w:type="dxa"/>
            <w:tcBorders>
              <w:top w:val="single" w:sz="2" w:space="0" w:color="000000"/>
              <w:left w:val="single" w:sz="2" w:space="0" w:color="000000"/>
              <w:bottom w:val="single" w:sz="2" w:space="0" w:color="000000"/>
              <w:right w:val="single" w:sz="2" w:space="0" w:color="000000"/>
            </w:tcBorders>
          </w:tcPr>
          <w:p w14:paraId="1CA1B9BB"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d3</w:t>
            </w:r>
          </w:p>
        </w:tc>
        <w:tc>
          <w:tcPr>
            <w:tcW w:w="833" w:type="dxa"/>
            <w:tcBorders>
              <w:top w:val="single" w:sz="2" w:space="0" w:color="000000"/>
              <w:left w:val="single" w:sz="2" w:space="0" w:color="000000"/>
              <w:bottom w:val="single" w:sz="2" w:space="0" w:color="000000"/>
              <w:right w:val="single" w:sz="2" w:space="0" w:color="000000"/>
            </w:tcBorders>
          </w:tcPr>
          <w:p w14:paraId="035EF89B"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0.85</w:t>
            </w:r>
          </w:p>
        </w:tc>
        <w:tc>
          <w:tcPr>
            <w:tcW w:w="751" w:type="dxa"/>
            <w:tcBorders>
              <w:top w:val="single" w:sz="2" w:space="0" w:color="000000"/>
              <w:left w:val="single" w:sz="2" w:space="0" w:color="000000"/>
              <w:bottom w:val="single" w:sz="2" w:space="0" w:color="000000"/>
              <w:right w:val="single" w:sz="2" w:space="0" w:color="000000"/>
            </w:tcBorders>
          </w:tcPr>
          <w:p w14:paraId="6D73F23A"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14208373"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3E5F874D"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71D67B79"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4C4BBD61" w14:textId="77777777" w:rsidR="0031675F" w:rsidRPr="0031675F" w:rsidRDefault="0031675F" w:rsidP="0031675F"/>
        </w:tc>
        <w:tc>
          <w:tcPr>
            <w:tcW w:w="1334" w:type="dxa"/>
            <w:vMerge/>
            <w:tcBorders>
              <w:left w:val="single" w:sz="7" w:space="0" w:color="000000"/>
              <w:right w:val="nil"/>
            </w:tcBorders>
          </w:tcPr>
          <w:p w14:paraId="10AD05C9" w14:textId="77777777" w:rsidR="0031675F" w:rsidRPr="0031675F" w:rsidRDefault="0031675F" w:rsidP="0031675F"/>
        </w:tc>
      </w:tr>
      <w:tr w:rsidR="0031675F" w:rsidRPr="0031675F" w14:paraId="54D61F97"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676F0DC2"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WQM177</w:t>
            </w:r>
          </w:p>
        </w:tc>
        <w:tc>
          <w:tcPr>
            <w:tcW w:w="597" w:type="dxa"/>
            <w:tcBorders>
              <w:top w:val="single" w:sz="2" w:space="0" w:color="000000"/>
              <w:left w:val="single" w:sz="2" w:space="0" w:color="000000"/>
              <w:bottom w:val="single" w:sz="2" w:space="0" w:color="000000"/>
              <w:right w:val="single" w:sz="2" w:space="0" w:color="000000"/>
            </w:tcBorders>
          </w:tcPr>
          <w:p w14:paraId="2A6FC6F6"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d3</w:t>
            </w:r>
          </w:p>
        </w:tc>
        <w:tc>
          <w:tcPr>
            <w:tcW w:w="833" w:type="dxa"/>
            <w:tcBorders>
              <w:top w:val="single" w:sz="2" w:space="0" w:color="000000"/>
              <w:left w:val="single" w:sz="2" w:space="0" w:color="000000"/>
              <w:bottom w:val="single" w:sz="2" w:space="0" w:color="000000"/>
              <w:right w:val="single" w:sz="2" w:space="0" w:color="000000"/>
            </w:tcBorders>
          </w:tcPr>
          <w:p w14:paraId="1D308C08"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0.87</w:t>
            </w:r>
          </w:p>
        </w:tc>
        <w:tc>
          <w:tcPr>
            <w:tcW w:w="751" w:type="dxa"/>
            <w:tcBorders>
              <w:top w:val="single" w:sz="2" w:space="0" w:color="000000"/>
              <w:left w:val="single" w:sz="2" w:space="0" w:color="000000"/>
              <w:bottom w:val="single" w:sz="2" w:space="0" w:color="000000"/>
              <w:right w:val="single" w:sz="2" w:space="0" w:color="000000"/>
            </w:tcBorders>
          </w:tcPr>
          <w:p w14:paraId="6A78DF61"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3A1E693A"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3BB79982"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0D88D5FD"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55860282" w14:textId="77777777" w:rsidR="0031675F" w:rsidRPr="0031675F" w:rsidRDefault="0031675F" w:rsidP="0031675F"/>
        </w:tc>
        <w:tc>
          <w:tcPr>
            <w:tcW w:w="1334" w:type="dxa"/>
            <w:vMerge/>
            <w:tcBorders>
              <w:left w:val="single" w:sz="7" w:space="0" w:color="000000"/>
              <w:right w:val="nil"/>
            </w:tcBorders>
          </w:tcPr>
          <w:p w14:paraId="111B0687" w14:textId="77777777" w:rsidR="0031675F" w:rsidRPr="0031675F" w:rsidRDefault="0031675F" w:rsidP="0031675F"/>
        </w:tc>
      </w:tr>
      <w:tr w:rsidR="0031675F" w:rsidRPr="0031675F" w14:paraId="1D01C767"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3586C6B0"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WQM178</w:t>
            </w:r>
          </w:p>
        </w:tc>
        <w:tc>
          <w:tcPr>
            <w:tcW w:w="597" w:type="dxa"/>
            <w:tcBorders>
              <w:top w:val="single" w:sz="2" w:space="0" w:color="000000"/>
              <w:left w:val="single" w:sz="2" w:space="0" w:color="000000"/>
              <w:bottom w:val="single" w:sz="2" w:space="0" w:color="000000"/>
              <w:right w:val="single" w:sz="2" w:space="0" w:color="000000"/>
            </w:tcBorders>
          </w:tcPr>
          <w:p w14:paraId="0E8117D2"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d0</w:t>
            </w:r>
          </w:p>
        </w:tc>
        <w:tc>
          <w:tcPr>
            <w:tcW w:w="833" w:type="dxa"/>
            <w:tcBorders>
              <w:top w:val="single" w:sz="2" w:space="0" w:color="000000"/>
              <w:left w:val="single" w:sz="2" w:space="0" w:color="000000"/>
              <w:bottom w:val="single" w:sz="2" w:space="0" w:color="000000"/>
              <w:right w:val="single" w:sz="2" w:space="0" w:color="000000"/>
            </w:tcBorders>
          </w:tcPr>
          <w:p w14:paraId="097B8A84"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1.00</w:t>
            </w:r>
          </w:p>
        </w:tc>
        <w:tc>
          <w:tcPr>
            <w:tcW w:w="751" w:type="dxa"/>
            <w:tcBorders>
              <w:top w:val="single" w:sz="2" w:space="0" w:color="000000"/>
              <w:left w:val="single" w:sz="2" w:space="0" w:color="000000"/>
              <w:bottom w:val="single" w:sz="2" w:space="0" w:color="000000"/>
              <w:right w:val="single" w:sz="2" w:space="0" w:color="000000"/>
            </w:tcBorders>
          </w:tcPr>
          <w:p w14:paraId="637D9868"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644CBF4C"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6F53A790"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77504129"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5CE0B9DA" w14:textId="77777777" w:rsidR="0031675F" w:rsidRPr="0031675F" w:rsidRDefault="0031675F" w:rsidP="0031675F"/>
        </w:tc>
        <w:tc>
          <w:tcPr>
            <w:tcW w:w="1334" w:type="dxa"/>
            <w:vMerge/>
            <w:tcBorders>
              <w:left w:val="single" w:sz="7" w:space="0" w:color="000000"/>
              <w:right w:val="nil"/>
            </w:tcBorders>
          </w:tcPr>
          <w:p w14:paraId="3446D90E" w14:textId="77777777" w:rsidR="0031675F" w:rsidRPr="0031675F" w:rsidRDefault="0031675F" w:rsidP="0031675F"/>
        </w:tc>
      </w:tr>
      <w:tr w:rsidR="0031675F" w:rsidRPr="0031675F" w14:paraId="0074D301"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684B81AC"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WQM178</w:t>
            </w:r>
          </w:p>
        </w:tc>
        <w:tc>
          <w:tcPr>
            <w:tcW w:w="597" w:type="dxa"/>
            <w:tcBorders>
              <w:top w:val="single" w:sz="2" w:space="0" w:color="000000"/>
              <w:left w:val="single" w:sz="2" w:space="0" w:color="000000"/>
              <w:bottom w:val="single" w:sz="2" w:space="0" w:color="000000"/>
              <w:right w:val="single" w:sz="2" w:space="0" w:color="000000"/>
            </w:tcBorders>
          </w:tcPr>
          <w:p w14:paraId="33BA99B9"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d0</w:t>
            </w:r>
          </w:p>
        </w:tc>
        <w:tc>
          <w:tcPr>
            <w:tcW w:w="833" w:type="dxa"/>
            <w:tcBorders>
              <w:top w:val="single" w:sz="2" w:space="0" w:color="000000"/>
              <w:left w:val="single" w:sz="2" w:space="0" w:color="000000"/>
              <w:bottom w:val="single" w:sz="2" w:space="0" w:color="000000"/>
              <w:right w:val="single" w:sz="2" w:space="0" w:color="000000"/>
            </w:tcBorders>
          </w:tcPr>
          <w:p w14:paraId="18A819D0"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1.06</w:t>
            </w:r>
          </w:p>
        </w:tc>
        <w:tc>
          <w:tcPr>
            <w:tcW w:w="751" w:type="dxa"/>
            <w:tcBorders>
              <w:top w:val="single" w:sz="2" w:space="0" w:color="000000"/>
              <w:left w:val="single" w:sz="2" w:space="0" w:color="000000"/>
              <w:bottom w:val="single" w:sz="2" w:space="0" w:color="000000"/>
              <w:right w:val="single" w:sz="2" w:space="0" w:color="000000"/>
            </w:tcBorders>
          </w:tcPr>
          <w:p w14:paraId="03F2FE9B"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1C1E4312"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4FFFDD4F"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25D9FC63"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36B42FE4" w14:textId="77777777" w:rsidR="0031675F" w:rsidRPr="0031675F" w:rsidRDefault="0031675F" w:rsidP="0031675F"/>
        </w:tc>
        <w:tc>
          <w:tcPr>
            <w:tcW w:w="1334" w:type="dxa"/>
            <w:vMerge/>
            <w:tcBorders>
              <w:left w:val="single" w:sz="7" w:space="0" w:color="000000"/>
              <w:right w:val="nil"/>
            </w:tcBorders>
          </w:tcPr>
          <w:p w14:paraId="399E1412" w14:textId="77777777" w:rsidR="0031675F" w:rsidRPr="0031675F" w:rsidRDefault="0031675F" w:rsidP="0031675F"/>
        </w:tc>
      </w:tr>
      <w:tr w:rsidR="0031675F" w:rsidRPr="0031675F" w14:paraId="48ACFA80"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1CCF8663"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WQM178</w:t>
            </w:r>
          </w:p>
        </w:tc>
        <w:tc>
          <w:tcPr>
            <w:tcW w:w="597" w:type="dxa"/>
            <w:tcBorders>
              <w:top w:val="single" w:sz="2" w:space="0" w:color="000000"/>
              <w:left w:val="single" w:sz="2" w:space="0" w:color="000000"/>
              <w:bottom w:val="single" w:sz="2" w:space="0" w:color="000000"/>
              <w:right w:val="single" w:sz="2" w:space="0" w:color="000000"/>
            </w:tcBorders>
          </w:tcPr>
          <w:p w14:paraId="60634035"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d1</w:t>
            </w:r>
          </w:p>
        </w:tc>
        <w:tc>
          <w:tcPr>
            <w:tcW w:w="833" w:type="dxa"/>
            <w:tcBorders>
              <w:top w:val="single" w:sz="2" w:space="0" w:color="000000"/>
              <w:left w:val="single" w:sz="2" w:space="0" w:color="000000"/>
              <w:bottom w:val="single" w:sz="2" w:space="0" w:color="000000"/>
              <w:right w:val="single" w:sz="2" w:space="0" w:color="000000"/>
            </w:tcBorders>
          </w:tcPr>
          <w:p w14:paraId="5AA31817"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0.96</w:t>
            </w:r>
          </w:p>
        </w:tc>
        <w:tc>
          <w:tcPr>
            <w:tcW w:w="751" w:type="dxa"/>
            <w:tcBorders>
              <w:top w:val="single" w:sz="2" w:space="0" w:color="000000"/>
              <w:left w:val="single" w:sz="2" w:space="0" w:color="000000"/>
              <w:bottom w:val="single" w:sz="2" w:space="0" w:color="000000"/>
              <w:right w:val="single" w:sz="2" w:space="0" w:color="000000"/>
            </w:tcBorders>
          </w:tcPr>
          <w:p w14:paraId="3DE022FE"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5AAB2EAF"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742AC331"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278F23EA"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39619E40" w14:textId="77777777" w:rsidR="0031675F" w:rsidRPr="0031675F" w:rsidRDefault="0031675F" w:rsidP="0031675F"/>
        </w:tc>
        <w:tc>
          <w:tcPr>
            <w:tcW w:w="1334" w:type="dxa"/>
            <w:vMerge/>
            <w:tcBorders>
              <w:left w:val="single" w:sz="7" w:space="0" w:color="000000"/>
              <w:right w:val="nil"/>
            </w:tcBorders>
          </w:tcPr>
          <w:p w14:paraId="7100D9B5" w14:textId="77777777" w:rsidR="0031675F" w:rsidRPr="0031675F" w:rsidRDefault="0031675F" w:rsidP="0031675F"/>
        </w:tc>
      </w:tr>
      <w:tr w:rsidR="0031675F" w:rsidRPr="0031675F" w14:paraId="37E61588"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2F12E32F"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WQM178</w:t>
            </w:r>
          </w:p>
        </w:tc>
        <w:tc>
          <w:tcPr>
            <w:tcW w:w="597" w:type="dxa"/>
            <w:tcBorders>
              <w:top w:val="single" w:sz="2" w:space="0" w:color="000000"/>
              <w:left w:val="single" w:sz="2" w:space="0" w:color="000000"/>
              <w:bottom w:val="single" w:sz="2" w:space="0" w:color="000000"/>
              <w:right w:val="single" w:sz="2" w:space="0" w:color="000000"/>
            </w:tcBorders>
          </w:tcPr>
          <w:p w14:paraId="02A23E05"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d1</w:t>
            </w:r>
          </w:p>
        </w:tc>
        <w:tc>
          <w:tcPr>
            <w:tcW w:w="833" w:type="dxa"/>
            <w:tcBorders>
              <w:top w:val="single" w:sz="2" w:space="0" w:color="000000"/>
              <w:left w:val="single" w:sz="2" w:space="0" w:color="000000"/>
              <w:bottom w:val="single" w:sz="2" w:space="0" w:color="000000"/>
              <w:right w:val="single" w:sz="2" w:space="0" w:color="000000"/>
            </w:tcBorders>
          </w:tcPr>
          <w:p w14:paraId="25320548"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0.87</w:t>
            </w:r>
          </w:p>
        </w:tc>
        <w:tc>
          <w:tcPr>
            <w:tcW w:w="751" w:type="dxa"/>
            <w:tcBorders>
              <w:top w:val="single" w:sz="2" w:space="0" w:color="000000"/>
              <w:left w:val="single" w:sz="2" w:space="0" w:color="000000"/>
              <w:bottom w:val="single" w:sz="2" w:space="0" w:color="000000"/>
              <w:right w:val="single" w:sz="2" w:space="0" w:color="000000"/>
            </w:tcBorders>
          </w:tcPr>
          <w:p w14:paraId="0B016F3B"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5114ED45"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2ADF4ACE"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53459966"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301AD2B8" w14:textId="77777777" w:rsidR="0031675F" w:rsidRPr="0031675F" w:rsidRDefault="0031675F" w:rsidP="0031675F"/>
        </w:tc>
        <w:tc>
          <w:tcPr>
            <w:tcW w:w="1334" w:type="dxa"/>
            <w:vMerge/>
            <w:tcBorders>
              <w:left w:val="single" w:sz="7" w:space="0" w:color="000000"/>
              <w:right w:val="nil"/>
            </w:tcBorders>
          </w:tcPr>
          <w:p w14:paraId="1012AF91" w14:textId="77777777" w:rsidR="0031675F" w:rsidRPr="0031675F" w:rsidRDefault="0031675F" w:rsidP="0031675F"/>
        </w:tc>
      </w:tr>
      <w:tr w:rsidR="0031675F" w:rsidRPr="0031675F" w14:paraId="53CB3A5F"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10D4E3AB"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WQM178</w:t>
            </w:r>
          </w:p>
        </w:tc>
        <w:tc>
          <w:tcPr>
            <w:tcW w:w="597" w:type="dxa"/>
            <w:tcBorders>
              <w:top w:val="single" w:sz="2" w:space="0" w:color="000000"/>
              <w:left w:val="single" w:sz="2" w:space="0" w:color="000000"/>
              <w:bottom w:val="single" w:sz="2" w:space="0" w:color="000000"/>
              <w:right w:val="single" w:sz="2" w:space="0" w:color="000000"/>
            </w:tcBorders>
          </w:tcPr>
          <w:p w14:paraId="522EC1C1"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d2</w:t>
            </w:r>
          </w:p>
        </w:tc>
        <w:tc>
          <w:tcPr>
            <w:tcW w:w="833" w:type="dxa"/>
            <w:tcBorders>
              <w:top w:val="single" w:sz="2" w:space="0" w:color="000000"/>
              <w:left w:val="single" w:sz="2" w:space="0" w:color="000000"/>
              <w:bottom w:val="single" w:sz="2" w:space="0" w:color="000000"/>
              <w:right w:val="single" w:sz="2" w:space="0" w:color="000000"/>
            </w:tcBorders>
          </w:tcPr>
          <w:p w14:paraId="66CBF083"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0.83</w:t>
            </w:r>
          </w:p>
        </w:tc>
        <w:tc>
          <w:tcPr>
            <w:tcW w:w="751" w:type="dxa"/>
            <w:tcBorders>
              <w:top w:val="single" w:sz="2" w:space="0" w:color="000000"/>
              <w:left w:val="single" w:sz="2" w:space="0" w:color="000000"/>
              <w:bottom w:val="single" w:sz="2" w:space="0" w:color="000000"/>
              <w:right w:val="single" w:sz="2" w:space="0" w:color="000000"/>
            </w:tcBorders>
          </w:tcPr>
          <w:p w14:paraId="38D6C4E8"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224CC0AA"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7587FF10"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7D5109B0"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28ED8EF6" w14:textId="77777777" w:rsidR="0031675F" w:rsidRPr="0031675F" w:rsidRDefault="0031675F" w:rsidP="0031675F"/>
        </w:tc>
        <w:tc>
          <w:tcPr>
            <w:tcW w:w="1334" w:type="dxa"/>
            <w:vMerge/>
            <w:tcBorders>
              <w:left w:val="single" w:sz="7" w:space="0" w:color="000000"/>
              <w:right w:val="nil"/>
            </w:tcBorders>
          </w:tcPr>
          <w:p w14:paraId="3C924E1B" w14:textId="77777777" w:rsidR="0031675F" w:rsidRPr="0031675F" w:rsidRDefault="0031675F" w:rsidP="0031675F"/>
        </w:tc>
      </w:tr>
      <w:tr w:rsidR="0031675F" w:rsidRPr="0031675F" w14:paraId="2F90F0A2"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368B432D"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WQM178</w:t>
            </w:r>
          </w:p>
        </w:tc>
        <w:tc>
          <w:tcPr>
            <w:tcW w:w="597" w:type="dxa"/>
            <w:tcBorders>
              <w:top w:val="single" w:sz="2" w:space="0" w:color="000000"/>
              <w:left w:val="single" w:sz="2" w:space="0" w:color="000000"/>
              <w:bottom w:val="single" w:sz="2" w:space="0" w:color="000000"/>
              <w:right w:val="single" w:sz="2" w:space="0" w:color="000000"/>
            </w:tcBorders>
          </w:tcPr>
          <w:p w14:paraId="179CE812"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d2</w:t>
            </w:r>
          </w:p>
        </w:tc>
        <w:tc>
          <w:tcPr>
            <w:tcW w:w="833" w:type="dxa"/>
            <w:tcBorders>
              <w:top w:val="single" w:sz="2" w:space="0" w:color="000000"/>
              <w:left w:val="single" w:sz="2" w:space="0" w:color="000000"/>
              <w:bottom w:val="single" w:sz="2" w:space="0" w:color="000000"/>
              <w:right w:val="single" w:sz="2" w:space="0" w:color="000000"/>
            </w:tcBorders>
          </w:tcPr>
          <w:p w14:paraId="797FC264"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0.84</w:t>
            </w:r>
          </w:p>
        </w:tc>
        <w:tc>
          <w:tcPr>
            <w:tcW w:w="751" w:type="dxa"/>
            <w:tcBorders>
              <w:top w:val="single" w:sz="2" w:space="0" w:color="000000"/>
              <w:left w:val="single" w:sz="2" w:space="0" w:color="000000"/>
              <w:bottom w:val="single" w:sz="2" w:space="0" w:color="000000"/>
              <w:right w:val="single" w:sz="2" w:space="0" w:color="000000"/>
            </w:tcBorders>
          </w:tcPr>
          <w:p w14:paraId="35517DF3"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1259A46E"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1405B893"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3A86A41D"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5A52B5AA" w14:textId="77777777" w:rsidR="0031675F" w:rsidRPr="0031675F" w:rsidRDefault="0031675F" w:rsidP="0031675F"/>
        </w:tc>
        <w:tc>
          <w:tcPr>
            <w:tcW w:w="1334" w:type="dxa"/>
            <w:vMerge/>
            <w:tcBorders>
              <w:left w:val="single" w:sz="7" w:space="0" w:color="000000"/>
              <w:right w:val="nil"/>
            </w:tcBorders>
          </w:tcPr>
          <w:p w14:paraId="32101F63" w14:textId="77777777" w:rsidR="0031675F" w:rsidRPr="0031675F" w:rsidRDefault="0031675F" w:rsidP="0031675F"/>
        </w:tc>
      </w:tr>
      <w:tr w:rsidR="0031675F" w:rsidRPr="0031675F" w14:paraId="5F55C00A"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666C3E42"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WQM178</w:t>
            </w:r>
          </w:p>
        </w:tc>
        <w:tc>
          <w:tcPr>
            <w:tcW w:w="597" w:type="dxa"/>
            <w:tcBorders>
              <w:top w:val="single" w:sz="2" w:space="0" w:color="000000"/>
              <w:left w:val="single" w:sz="2" w:space="0" w:color="000000"/>
              <w:bottom w:val="single" w:sz="2" w:space="0" w:color="000000"/>
              <w:right w:val="single" w:sz="2" w:space="0" w:color="000000"/>
            </w:tcBorders>
          </w:tcPr>
          <w:p w14:paraId="619D47C9"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d3</w:t>
            </w:r>
          </w:p>
        </w:tc>
        <w:tc>
          <w:tcPr>
            <w:tcW w:w="833" w:type="dxa"/>
            <w:tcBorders>
              <w:top w:val="single" w:sz="2" w:space="0" w:color="000000"/>
              <w:left w:val="single" w:sz="2" w:space="0" w:color="000000"/>
              <w:bottom w:val="single" w:sz="2" w:space="0" w:color="000000"/>
              <w:right w:val="single" w:sz="2" w:space="0" w:color="000000"/>
            </w:tcBorders>
          </w:tcPr>
          <w:p w14:paraId="69D7D3BE"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0.78</w:t>
            </w:r>
          </w:p>
        </w:tc>
        <w:tc>
          <w:tcPr>
            <w:tcW w:w="751" w:type="dxa"/>
            <w:tcBorders>
              <w:top w:val="single" w:sz="2" w:space="0" w:color="000000"/>
              <w:left w:val="single" w:sz="2" w:space="0" w:color="000000"/>
              <w:bottom w:val="single" w:sz="2" w:space="0" w:color="000000"/>
              <w:right w:val="single" w:sz="2" w:space="0" w:color="000000"/>
            </w:tcBorders>
          </w:tcPr>
          <w:p w14:paraId="17E3052E"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7B4A716D"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71EE59E1"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5FFB1388"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3E293FEB" w14:textId="77777777" w:rsidR="0031675F" w:rsidRPr="0031675F" w:rsidRDefault="0031675F" w:rsidP="0031675F"/>
        </w:tc>
        <w:tc>
          <w:tcPr>
            <w:tcW w:w="1334" w:type="dxa"/>
            <w:vMerge/>
            <w:tcBorders>
              <w:left w:val="single" w:sz="7" w:space="0" w:color="000000"/>
              <w:right w:val="nil"/>
            </w:tcBorders>
          </w:tcPr>
          <w:p w14:paraId="4F85E958" w14:textId="77777777" w:rsidR="0031675F" w:rsidRPr="0031675F" w:rsidRDefault="0031675F" w:rsidP="0031675F"/>
        </w:tc>
      </w:tr>
      <w:tr w:rsidR="0031675F" w:rsidRPr="0031675F" w14:paraId="0DE4DF3B"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77B52F1F"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WQM178</w:t>
            </w:r>
          </w:p>
        </w:tc>
        <w:tc>
          <w:tcPr>
            <w:tcW w:w="597" w:type="dxa"/>
            <w:tcBorders>
              <w:top w:val="single" w:sz="2" w:space="0" w:color="000000"/>
              <w:left w:val="single" w:sz="2" w:space="0" w:color="000000"/>
              <w:bottom w:val="single" w:sz="2" w:space="0" w:color="000000"/>
              <w:right w:val="single" w:sz="2" w:space="0" w:color="000000"/>
            </w:tcBorders>
          </w:tcPr>
          <w:p w14:paraId="7CDDC340"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d3</w:t>
            </w:r>
          </w:p>
        </w:tc>
        <w:tc>
          <w:tcPr>
            <w:tcW w:w="833" w:type="dxa"/>
            <w:tcBorders>
              <w:top w:val="single" w:sz="2" w:space="0" w:color="000000"/>
              <w:left w:val="single" w:sz="2" w:space="0" w:color="000000"/>
              <w:bottom w:val="single" w:sz="2" w:space="0" w:color="000000"/>
              <w:right w:val="single" w:sz="2" w:space="0" w:color="000000"/>
            </w:tcBorders>
          </w:tcPr>
          <w:p w14:paraId="62986C5A"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0.77</w:t>
            </w:r>
          </w:p>
        </w:tc>
        <w:tc>
          <w:tcPr>
            <w:tcW w:w="751" w:type="dxa"/>
            <w:tcBorders>
              <w:top w:val="single" w:sz="2" w:space="0" w:color="000000"/>
              <w:left w:val="single" w:sz="2" w:space="0" w:color="000000"/>
              <w:bottom w:val="single" w:sz="2" w:space="0" w:color="000000"/>
              <w:right w:val="single" w:sz="2" w:space="0" w:color="000000"/>
            </w:tcBorders>
          </w:tcPr>
          <w:p w14:paraId="0C81AD83"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65EA34E2"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64FBA814"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256BE946"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37E0EC62" w14:textId="77777777" w:rsidR="0031675F" w:rsidRPr="0031675F" w:rsidRDefault="0031675F" w:rsidP="0031675F"/>
        </w:tc>
        <w:tc>
          <w:tcPr>
            <w:tcW w:w="1334" w:type="dxa"/>
            <w:vMerge/>
            <w:tcBorders>
              <w:left w:val="single" w:sz="7" w:space="0" w:color="000000"/>
              <w:right w:val="nil"/>
            </w:tcBorders>
          </w:tcPr>
          <w:p w14:paraId="4AD95028" w14:textId="77777777" w:rsidR="0031675F" w:rsidRPr="0031675F" w:rsidRDefault="0031675F" w:rsidP="0031675F"/>
        </w:tc>
      </w:tr>
      <w:tr w:rsidR="0031675F" w:rsidRPr="0031675F" w14:paraId="0B085C0E"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2054A5F7"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WQM179</w:t>
            </w:r>
          </w:p>
        </w:tc>
        <w:tc>
          <w:tcPr>
            <w:tcW w:w="597" w:type="dxa"/>
            <w:tcBorders>
              <w:top w:val="single" w:sz="2" w:space="0" w:color="000000"/>
              <w:left w:val="single" w:sz="2" w:space="0" w:color="000000"/>
              <w:bottom w:val="single" w:sz="2" w:space="0" w:color="000000"/>
              <w:right w:val="single" w:sz="2" w:space="0" w:color="000000"/>
            </w:tcBorders>
          </w:tcPr>
          <w:p w14:paraId="6A6FABCD"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d0</w:t>
            </w:r>
          </w:p>
        </w:tc>
        <w:tc>
          <w:tcPr>
            <w:tcW w:w="833" w:type="dxa"/>
            <w:tcBorders>
              <w:top w:val="single" w:sz="2" w:space="0" w:color="000000"/>
              <w:left w:val="single" w:sz="2" w:space="0" w:color="000000"/>
              <w:bottom w:val="single" w:sz="2" w:space="0" w:color="000000"/>
              <w:right w:val="single" w:sz="2" w:space="0" w:color="000000"/>
            </w:tcBorders>
          </w:tcPr>
          <w:p w14:paraId="591EC4B8"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1.21</w:t>
            </w:r>
          </w:p>
        </w:tc>
        <w:tc>
          <w:tcPr>
            <w:tcW w:w="751" w:type="dxa"/>
            <w:tcBorders>
              <w:top w:val="single" w:sz="2" w:space="0" w:color="000000"/>
              <w:left w:val="single" w:sz="2" w:space="0" w:color="000000"/>
              <w:bottom w:val="single" w:sz="2" w:space="0" w:color="000000"/>
              <w:right w:val="single" w:sz="2" w:space="0" w:color="000000"/>
            </w:tcBorders>
          </w:tcPr>
          <w:p w14:paraId="0C6D9A3E"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63C2F65E"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497256AE"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42742595"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7CD28CD5" w14:textId="77777777" w:rsidR="0031675F" w:rsidRPr="0031675F" w:rsidRDefault="0031675F" w:rsidP="0031675F"/>
        </w:tc>
        <w:tc>
          <w:tcPr>
            <w:tcW w:w="1334" w:type="dxa"/>
            <w:vMerge/>
            <w:tcBorders>
              <w:left w:val="single" w:sz="7" w:space="0" w:color="000000"/>
              <w:right w:val="nil"/>
            </w:tcBorders>
          </w:tcPr>
          <w:p w14:paraId="3471C110" w14:textId="77777777" w:rsidR="0031675F" w:rsidRPr="0031675F" w:rsidRDefault="0031675F" w:rsidP="0031675F"/>
        </w:tc>
      </w:tr>
      <w:tr w:rsidR="0031675F" w:rsidRPr="0031675F" w14:paraId="7D910848"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5AC04560"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WQM179</w:t>
            </w:r>
          </w:p>
        </w:tc>
        <w:tc>
          <w:tcPr>
            <w:tcW w:w="597" w:type="dxa"/>
            <w:tcBorders>
              <w:top w:val="single" w:sz="2" w:space="0" w:color="000000"/>
              <w:left w:val="single" w:sz="2" w:space="0" w:color="000000"/>
              <w:bottom w:val="single" w:sz="2" w:space="0" w:color="000000"/>
              <w:right w:val="single" w:sz="2" w:space="0" w:color="000000"/>
            </w:tcBorders>
          </w:tcPr>
          <w:p w14:paraId="1D3247DF"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d0</w:t>
            </w:r>
          </w:p>
        </w:tc>
        <w:tc>
          <w:tcPr>
            <w:tcW w:w="833" w:type="dxa"/>
            <w:tcBorders>
              <w:top w:val="single" w:sz="2" w:space="0" w:color="000000"/>
              <w:left w:val="single" w:sz="2" w:space="0" w:color="000000"/>
              <w:bottom w:val="single" w:sz="2" w:space="0" w:color="000000"/>
              <w:right w:val="single" w:sz="2" w:space="0" w:color="000000"/>
            </w:tcBorders>
          </w:tcPr>
          <w:p w14:paraId="2CFC013E"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1.23</w:t>
            </w:r>
          </w:p>
        </w:tc>
        <w:tc>
          <w:tcPr>
            <w:tcW w:w="751" w:type="dxa"/>
            <w:tcBorders>
              <w:top w:val="single" w:sz="2" w:space="0" w:color="000000"/>
              <w:left w:val="single" w:sz="2" w:space="0" w:color="000000"/>
              <w:bottom w:val="single" w:sz="2" w:space="0" w:color="000000"/>
              <w:right w:val="single" w:sz="2" w:space="0" w:color="000000"/>
            </w:tcBorders>
          </w:tcPr>
          <w:p w14:paraId="5AC86916"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5574485C"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6908C351"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1039E8B9"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18A1C312" w14:textId="77777777" w:rsidR="0031675F" w:rsidRPr="0031675F" w:rsidRDefault="0031675F" w:rsidP="0031675F"/>
        </w:tc>
        <w:tc>
          <w:tcPr>
            <w:tcW w:w="1334" w:type="dxa"/>
            <w:vMerge/>
            <w:tcBorders>
              <w:left w:val="single" w:sz="7" w:space="0" w:color="000000"/>
              <w:right w:val="nil"/>
            </w:tcBorders>
          </w:tcPr>
          <w:p w14:paraId="10C5566B" w14:textId="77777777" w:rsidR="0031675F" w:rsidRPr="0031675F" w:rsidRDefault="0031675F" w:rsidP="0031675F"/>
        </w:tc>
      </w:tr>
      <w:tr w:rsidR="0031675F" w:rsidRPr="0031675F" w14:paraId="02496265"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3FF7A1F3"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WQM179</w:t>
            </w:r>
          </w:p>
        </w:tc>
        <w:tc>
          <w:tcPr>
            <w:tcW w:w="597" w:type="dxa"/>
            <w:tcBorders>
              <w:top w:val="single" w:sz="2" w:space="0" w:color="000000"/>
              <w:left w:val="single" w:sz="2" w:space="0" w:color="000000"/>
              <w:bottom w:val="single" w:sz="2" w:space="0" w:color="000000"/>
              <w:right w:val="single" w:sz="2" w:space="0" w:color="000000"/>
            </w:tcBorders>
          </w:tcPr>
          <w:p w14:paraId="1A0CC16B"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d1</w:t>
            </w:r>
          </w:p>
        </w:tc>
        <w:tc>
          <w:tcPr>
            <w:tcW w:w="833" w:type="dxa"/>
            <w:tcBorders>
              <w:top w:val="single" w:sz="2" w:space="0" w:color="000000"/>
              <w:left w:val="single" w:sz="2" w:space="0" w:color="000000"/>
              <w:bottom w:val="single" w:sz="2" w:space="0" w:color="000000"/>
              <w:right w:val="single" w:sz="2" w:space="0" w:color="000000"/>
            </w:tcBorders>
          </w:tcPr>
          <w:p w14:paraId="7664ED0D"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1.10</w:t>
            </w:r>
          </w:p>
        </w:tc>
        <w:tc>
          <w:tcPr>
            <w:tcW w:w="751" w:type="dxa"/>
            <w:tcBorders>
              <w:top w:val="single" w:sz="2" w:space="0" w:color="000000"/>
              <w:left w:val="single" w:sz="2" w:space="0" w:color="000000"/>
              <w:bottom w:val="single" w:sz="2" w:space="0" w:color="000000"/>
              <w:right w:val="single" w:sz="2" w:space="0" w:color="000000"/>
            </w:tcBorders>
          </w:tcPr>
          <w:p w14:paraId="18E6FAFE"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7037B212"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23B7478A"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49403B4B"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402F94FF" w14:textId="77777777" w:rsidR="0031675F" w:rsidRPr="0031675F" w:rsidRDefault="0031675F" w:rsidP="0031675F"/>
        </w:tc>
        <w:tc>
          <w:tcPr>
            <w:tcW w:w="1334" w:type="dxa"/>
            <w:vMerge/>
            <w:tcBorders>
              <w:left w:val="single" w:sz="7" w:space="0" w:color="000000"/>
              <w:right w:val="nil"/>
            </w:tcBorders>
          </w:tcPr>
          <w:p w14:paraId="7C73D1ED" w14:textId="77777777" w:rsidR="0031675F" w:rsidRPr="0031675F" w:rsidRDefault="0031675F" w:rsidP="0031675F"/>
        </w:tc>
      </w:tr>
      <w:tr w:rsidR="0031675F" w:rsidRPr="0031675F" w14:paraId="6F770887"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54506261"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WQM179</w:t>
            </w:r>
          </w:p>
        </w:tc>
        <w:tc>
          <w:tcPr>
            <w:tcW w:w="597" w:type="dxa"/>
            <w:tcBorders>
              <w:top w:val="single" w:sz="2" w:space="0" w:color="000000"/>
              <w:left w:val="single" w:sz="2" w:space="0" w:color="000000"/>
              <w:bottom w:val="single" w:sz="2" w:space="0" w:color="000000"/>
              <w:right w:val="single" w:sz="2" w:space="0" w:color="000000"/>
            </w:tcBorders>
          </w:tcPr>
          <w:p w14:paraId="2ADB0B18"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d1</w:t>
            </w:r>
          </w:p>
        </w:tc>
        <w:tc>
          <w:tcPr>
            <w:tcW w:w="833" w:type="dxa"/>
            <w:tcBorders>
              <w:top w:val="single" w:sz="2" w:space="0" w:color="000000"/>
              <w:left w:val="single" w:sz="2" w:space="0" w:color="000000"/>
              <w:bottom w:val="single" w:sz="2" w:space="0" w:color="000000"/>
              <w:right w:val="single" w:sz="2" w:space="0" w:color="000000"/>
            </w:tcBorders>
          </w:tcPr>
          <w:p w14:paraId="304558C2"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1.13</w:t>
            </w:r>
          </w:p>
        </w:tc>
        <w:tc>
          <w:tcPr>
            <w:tcW w:w="751" w:type="dxa"/>
            <w:tcBorders>
              <w:top w:val="single" w:sz="2" w:space="0" w:color="000000"/>
              <w:left w:val="single" w:sz="2" w:space="0" w:color="000000"/>
              <w:bottom w:val="single" w:sz="2" w:space="0" w:color="000000"/>
              <w:right w:val="single" w:sz="2" w:space="0" w:color="000000"/>
            </w:tcBorders>
          </w:tcPr>
          <w:p w14:paraId="6F6AD76D"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70D75F57"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1171786E"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4925D61F"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4B944C03" w14:textId="77777777" w:rsidR="0031675F" w:rsidRPr="0031675F" w:rsidRDefault="0031675F" w:rsidP="0031675F"/>
        </w:tc>
        <w:tc>
          <w:tcPr>
            <w:tcW w:w="1334" w:type="dxa"/>
            <w:vMerge/>
            <w:tcBorders>
              <w:left w:val="single" w:sz="7" w:space="0" w:color="000000"/>
              <w:right w:val="nil"/>
            </w:tcBorders>
          </w:tcPr>
          <w:p w14:paraId="1334E662" w14:textId="77777777" w:rsidR="0031675F" w:rsidRPr="0031675F" w:rsidRDefault="0031675F" w:rsidP="0031675F"/>
        </w:tc>
      </w:tr>
      <w:tr w:rsidR="0031675F" w:rsidRPr="0031675F" w14:paraId="7149C0A1" w14:textId="77777777" w:rsidTr="00B00729">
        <w:trPr>
          <w:trHeight w:hRule="exact" w:val="184"/>
        </w:trPr>
        <w:tc>
          <w:tcPr>
            <w:tcW w:w="767" w:type="dxa"/>
            <w:tcBorders>
              <w:top w:val="single" w:sz="2" w:space="0" w:color="000000"/>
              <w:left w:val="single" w:sz="7" w:space="0" w:color="000000"/>
              <w:bottom w:val="single" w:sz="2" w:space="0" w:color="000000"/>
              <w:right w:val="single" w:sz="2" w:space="0" w:color="000000"/>
            </w:tcBorders>
          </w:tcPr>
          <w:p w14:paraId="448F1575" w14:textId="77777777" w:rsidR="0031675F" w:rsidRPr="0031675F" w:rsidRDefault="0031675F" w:rsidP="0031675F">
            <w:pPr>
              <w:widowControl w:val="0"/>
              <w:spacing w:before="17" w:after="0" w:line="240" w:lineRule="auto"/>
              <w:ind w:left="24"/>
              <w:rPr>
                <w:rFonts w:eastAsia="Arial" w:cs="Arial"/>
                <w:sz w:val="14"/>
                <w:szCs w:val="14"/>
                <w:lang w:val="en-US"/>
              </w:rPr>
            </w:pPr>
            <w:r w:rsidRPr="0031675F">
              <w:rPr>
                <w:rFonts w:eastAsia="Calibri" w:hAnsi="Calibri"/>
                <w:spacing w:val="3"/>
                <w:sz w:val="14"/>
                <w:lang w:val="en-US"/>
              </w:rPr>
              <w:t>WQM179</w:t>
            </w:r>
          </w:p>
        </w:tc>
        <w:tc>
          <w:tcPr>
            <w:tcW w:w="597" w:type="dxa"/>
            <w:tcBorders>
              <w:top w:val="single" w:sz="2" w:space="0" w:color="000000"/>
              <w:left w:val="single" w:sz="2" w:space="0" w:color="000000"/>
              <w:bottom w:val="single" w:sz="2" w:space="0" w:color="000000"/>
              <w:right w:val="single" w:sz="2" w:space="0" w:color="000000"/>
            </w:tcBorders>
          </w:tcPr>
          <w:p w14:paraId="4037116E" w14:textId="77777777" w:rsidR="0031675F" w:rsidRPr="0031675F" w:rsidRDefault="0031675F" w:rsidP="0031675F">
            <w:pPr>
              <w:widowControl w:val="0"/>
              <w:spacing w:before="17" w:after="0" w:line="240" w:lineRule="auto"/>
              <w:ind w:left="25"/>
              <w:rPr>
                <w:rFonts w:eastAsia="Arial" w:cs="Arial"/>
                <w:sz w:val="14"/>
                <w:szCs w:val="14"/>
                <w:lang w:val="en-US"/>
              </w:rPr>
            </w:pPr>
            <w:r w:rsidRPr="0031675F">
              <w:rPr>
                <w:rFonts w:eastAsia="Calibri" w:hAnsi="Calibri"/>
                <w:spacing w:val="1"/>
                <w:sz w:val="14"/>
                <w:lang w:val="en-US"/>
              </w:rPr>
              <w:t>d2</w:t>
            </w:r>
          </w:p>
        </w:tc>
        <w:tc>
          <w:tcPr>
            <w:tcW w:w="833" w:type="dxa"/>
            <w:tcBorders>
              <w:top w:val="single" w:sz="2" w:space="0" w:color="000000"/>
              <w:left w:val="single" w:sz="2" w:space="0" w:color="000000"/>
              <w:bottom w:val="single" w:sz="2" w:space="0" w:color="000000"/>
              <w:right w:val="single" w:sz="2" w:space="0" w:color="000000"/>
            </w:tcBorders>
          </w:tcPr>
          <w:p w14:paraId="1BA48054"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0.78</w:t>
            </w:r>
          </w:p>
        </w:tc>
        <w:tc>
          <w:tcPr>
            <w:tcW w:w="751" w:type="dxa"/>
            <w:tcBorders>
              <w:top w:val="single" w:sz="2" w:space="0" w:color="000000"/>
              <w:left w:val="single" w:sz="2" w:space="0" w:color="000000"/>
              <w:bottom w:val="single" w:sz="2" w:space="0" w:color="000000"/>
              <w:right w:val="single" w:sz="2" w:space="0" w:color="000000"/>
            </w:tcBorders>
          </w:tcPr>
          <w:p w14:paraId="10DBE86A" w14:textId="77777777" w:rsidR="0031675F" w:rsidRPr="0031675F" w:rsidRDefault="0031675F" w:rsidP="0031675F"/>
        </w:tc>
        <w:tc>
          <w:tcPr>
            <w:tcW w:w="762" w:type="dxa"/>
            <w:tcBorders>
              <w:top w:val="single" w:sz="2" w:space="0" w:color="000000"/>
              <w:left w:val="single" w:sz="2" w:space="0" w:color="000000"/>
              <w:bottom w:val="single" w:sz="2" w:space="0" w:color="000000"/>
              <w:right w:val="single" w:sz="2" w:space="0" w:color="000000"/>
            </w:tcBorders>
          </w:tcPr>
          <w:p w14:paraId="5F6FF270" w14:textId="77777777" w:rsidR="0031675F" w:rsidRPr="0031675F" w:rsidRDefault="0031675F" w:rsidP="0031675F"/>
        </w:tc>
        <w:tc>
          <w:tcPr>
            <w:tcW w:w="761" w:type="dxa"/>
            <w:tcBorders>
              <w:top w:val="single" w:sz="2" w:space="0" w:color="000000"/>
              <w:left w:val="single" w:sz="2" w:space="0" w:color="000000"/>
              <w:bottom w:val="single" w:sz="2" w:space="0" w:color="000000"/>
              <w:right w:val="single" w:sz="2" w:space="0" w:color="000000"/>
            </w:tcBorders>
          </w:tcPr>
          <w:p w14:paraId="64B49AE9" w14:textId="77777777" w:rsidR="0031675F" w:rsidRPr="0031675F" w:rsidRDefault="0031675F" w:rsidP="0031675F"/>
        </w:tc>
        <w:tc>
          <w:tcPr>
            <w:tcW w:w="598" w:type="dxa"/>
            <w:tcBorders>
              <w:top w:val="single" w:sz="2" w:space="0" w:color="000000"/>
              <w:left w:val="single" w:sz="2" w:space="0" w:color="000000"/>
              <w:bottom w:val="single" w:sz="2" w:space="0" w:color="000000"/>
              <w:right w:val="single" w:sz="2" w:space="0" w:color="000000"/>
            </w:tcBorders>
          </w:tcPr>
          <w:p w14:paraId="7FA7CFE1" w14:textId="77777777" w:rsidR="0031675F" w:rsidRPr="0031675F" w:rsidRDefault="0031675F" w:rsidP="0031675F"/>
        </w:tc>
        <w:tc>
          <w:tcPr>
            <w:tcW w:w="836" w:type="dxa"/>
            <w:tcBorders>
              <w:top w:val="single" w:sz="2" w:space="0" w:color="000000"/>
              <w:left w:val="single" w:sz="2" w:space="0" w:color="000000"/>
              <w:bottom w:val="single" w:sz="2" w:space="0" w:color="000000"/>
              <w:right w:val="single" w:sz="7" w:space="0" w:color="000000"/>
            </w:tcBorders>
          </w:tcPr>
          <w:p w14:paraId="63DEF8E0" w14:textId="77777777" w:rsidR="0031675F" w:rsidRPr="0031675F" w:rsidRDefault="0031675F" w:rsidP="0031675F"/>
        </w:tc>
        <w:tc>
          <w:tcPr>
            <w:tcW w:w="1334" w:type="dxa"/>
            <w:vMerge/>
            <w:tcBorders>
              <w:left w:val="single" w:sz="7" w:space="0" w:color="000000"/>
              <w:right w:val="nil"/>
            </w:tcBorders>
          </w:tcPr>
          <w:p w14:paraId="7BFE993D" w14:textId="77777777" w:rsidR="0031675F" w:rsidRPr="0031675F" w:rsidRDefault="0031675F" w:rsidP="0031675F"/>
        </w:tc>
      </w:tr>
      <w:tr w:rsidR="0031675F" w:rsidRPr="0031675F" w14:paraId="4F298894" w14:textId="77777777" w:rsidTr="00B00729">
        <w:trPr>
          <w:trHeight w:hRule="exact" w:val="187"/>
        </w:trPr>
        <w:tc>
          <w:tcPr>
            <w:tcW w:w="767" w:type="dxa"/>
            <w:tcBorders>
              <w:top w:val="single" w:sz="2" w:space="0" w:color="000000"/>
              <w:left w:val="single" w:sz="7" w:space="0" w:color="000000"/>
              <w:bottom w:val="single" w:sz="7" w:space="0" w:color="000000"/>
              <w:right w:val="single" w:sz="2" w:space="0" w:color="000000"/>
            </w:tcBorders>
          </w:tcPr>
          <w:p w14:paraId="356FC9EA" w14:textId="77777777" w:rsidR="0031675F" w:rsidRPr="0031675F" w:rsidRDefault="0031675F" w:rsidP="0031675F">
            <w:pPr>
              <w:widowControl w:val="0"/>
              <w:spacing w:before="17" w:after="0" w:line="160" w:lineRule="exact"/>
              <w:ind w:left="24"/>
              <w:rPr>
                <w:rFonts w:eastAsia="Arial" w:cs="Arial"/>
                <w:sz w:val="14"/>
                <w:szCs w:val="14"/>
                <w:lang w:val="en-US"/>
              </w:rPr>
            </w:pPr>
            <w:r w:rsidRPr="0031675F">
              <w:rPr>
                <w:rFonts w:eastAsia="Calibri" w:hAnsi="Calibri"/>
                <w:spacing w:val="3"/>
                <w:sz w:val="14"/>
                <w:lang w:val="en-US"/>
              </w:rPr>
              <w:t>WQM179</w:t>
            </w:r>
          </w:p>
        </w:tc>
        <w:tc>
          <w:tcPr>
            <w:tcW w:w="597" w:type="dxa"/>
            <w:tcBorders>
              <w:top w:val="single" w:sz="2" w:space="0" w:color="000000"/>
              <w:left w:val="single" w:sz="2" w:space="0" w:color="000000"/>
              <w:bottom w:val="single" w:sz="7" w:space="0" w:color="000000"/>
              <w:right w:val="single" w:sz="2" w:space="0" w:color="000000"/>
            </w:tcBorders>
          </w:tcPr>
          <w:p w14:paraId="1CA1DF5D" w14:textId="77777777" w:rsidR="0031675F" w:rsidRPr="0031675F" w:rsidRDefault="0031675F" w:rsidP="0031675F">
            <w:pPr>
              <w:widowControl w:val="0"/>
              <w:spacing w:before="17" w:after="0" w:line="160" w:lineRule="exact"/>
              <w:ind w:left="25"/>
              <w:rPr>
                <w:rFonts w:eastAsia="Arial" w:cs="Arial"/>
                <w:sz w:val="14"/>
                <w:szCs w:val="14"/>
                <w:lang w:val="en-US"/>
              </w:rPr>
            </w:pPr>
            <w:r w:rsidRPr="0031675F">
              <w:rPr>
                <w:rFonts w:eastAsia="Calibri" w:hAnsi="Calibri"/>
                <w:spacing w:val="1"/>
                <w:sz w:val="14"/>
                <w:lang w:val="en-US"/>
              </w:rPr>
              <w:t>d2</w:t>
            </w:r>
          </w:p>
        </w:tc>
        <w:tc>
          <w:tcPr>
            <w:tcW w:w="833" w:type="dxa"/>
            <w:tcBorders>
              <w:top w:val="single" w:sz="2" w:space="0" w:color="000000"/>
              <w:left w:val="single" w:sz="2" w:space="0" w:color="000000"/>
              <w:bottom w:val="single" w:sz="7" w:space="0" w:color="000000"/>
              <w:right w:val="single" w:sz="2" w:space="0" w:color="000000"/>
            </w:tcBorders>
          </w:tcPr>
          <w:p w14:paraId="0902C5F6" w14:textId="77777777" w:rsidR="0031675F" w:rsidRPr="0031675F" w:rsidRDefault="0031675F" w:rsidP="0031675F">
            <w:pPr>
              <w:widowControl w:val="0"/>
              <w:spacing w:before="6" w:after="0" w:line="240" w:lineRule="auto"/>
              <w:ind w:left="277"/>
              <w:rPr>
                <w:rFonts w:eastAsia="Arial" w:cs="Arial"/>
                <w:sz w:val="14"/>
                <w:szCs w:val="14"/>
                <w:lang w:val="en-US"/>
              </w:rPr>
            </w:pPr>
            <w:r w:rsidRPr="0031675F">
              <w:rPr>
                <w:rFonts w:eastAsia="Calibri" w:hAnsi="Calibri"/>
                <w:spacing w:val="-1"/>
                <w:w w:val="105"/>
                <w:sz w:val="14"/>
                <w:lang w:val="en-US"/>
              </w:rPr>
              <w:t>0.80</w:t>
            </w:r>
          </w:p>
        </w:tc>
        <w:tc>
          <w:tcPr>
            <w:tcW w:w="751" w:type="dxa"/>
            <w:tcBorders>
              <w:top w:val="single" w:sz="2" w:space="0" w:color="000000"/>
              <w:left w:val="single" w:sz="2" w:space="0" w:color="000000"/>
              <w:bottom w:val="single" w:sz="7" w:space="0" w:color="000000"/>
              <w:right w:val="single" w:sz="2" w:space="0" w:color="000000"/>
            </w:tcBorders>
          </w:tcPr>
          <w:p w14:paraId="4A71134E" w14:textId="77777777" w:rsidR="0031675F" w:rsidRPr="0031675F" w:rsidRDefault="0031675F" w:rsidP="0031675F"/>
        </w:tc>
        <w:tc>
          <w:tcPr>
            <w:tcW w:w="762" w:type="dxa"/>
            <w:tcBorders>
              <w:top w:val="single" w:sz="2" w:space="0" w:color="000000"/>
              <w:left w:val="single" w:sz="2" w:space="0" w:color="000000"/>
              <w:bottom w:val="single" w:sz="7" w:space="0" w:color="000000"/>
              <w:right w:val="single" w:sz="2" w:space="0" w:color="000000"/>
            </w:tcBorders>
          </w:tcPr>
          <w:p w14:paraId="6EFE863A" w14:textId="77777777" w:rsidR="0031675F" w:rsidRPr="0031675F" w:rsidRDefault="0031675F" w:rsidP="0031675F"/>
        </w:tc>
        <w:tc>
          <w:tcPr>
            <w:tcW w:w="761" w:type="dxa"/>
            <w:tcBorders>
              <w:top w:val="single" w:sz="2" w:space="0" w:color="000000"/>
              <w:left w:val="single" w:sz="2" w:space="0" w:color="000000"/>
              <w:bottom w:val="single" w:sz="7" w:space="0" w:color="000000"/>
              <w:right w:val="single" w:sz="2" w:space="0" w:color="000000"/>
            </w:tcBorders>
          </w:tcPr>
          <w:p w14:paraId="357058AE" w14:textId="77777777" w:rsidR="0031675F" w:rsidRPr="0031675F" w:rsidRDefault="0031675F" w:rsidP="0031675F"/>
        </w:tc>
        <w:tc>
          <w:tcPr>
            <w:tcW w:w="598" w:type="dxa"/>
            <w:tcBorders>
              <w:top w:val="single" w:sz="2" w:space="0" w:color="000000"/>
              <w:left w:val="single" w:sz="2" w:space="0" w:color="000000"/>
              <w:bottom w:val="single" w:sz="7" w:space="0" w:color="000000"/>
              <w:right w:val="single" w:sz="2" w:space="0" w:color="000000"/>
            </w:tcBorders>
          </w:tcPr>
          <w:p w14:paraId="3206DD8F" w14:textId="77777777" w:rsidR="0031675F" w:rsidRPr="0031675F" w:rsidRDefault="0031675F" w:rsidP="0031675F"/>
        </w:tc>
        <w:tc>
          <w:tcPr>
            <w:tcW w:w="836" w:type="dxa"/>
            <w:tcBorders>
              <w:top w:val="single" w:sz="2" w:space="0" w:color="000000"/>
              <w:left w:val="single" w:sz="2" w:space="0" w:color="000000"/>
              <w:bottom w:val="single" w:sz="7" w:space="0" w:color="000000"/>
              <w:right w:val="single" w:sz="7" w:space="0" w:color="000000"/>
            </w:tcBorders>
          </w:tcPr>
          <w:p w14:paraId="4C6E8254" w14:textId="77777777" w:rsidR="0031675F" w:rsidRPr="0031675F" w:rsidRDefault="0031675F" w:rsidP="0031675F"/>
        </w:tc>
        <w:tc>
          <w:tcPr>
            <w:tcW w:w="1334" w:type="dxa"/>
            <w:vMerge/>
            <w:tcBorders>
              <w:left w:val="single" w:sz="7" w:space="0" w:color="000000"/>
              <w:bottom w:val="nil"/>
              <w:right w:val="nil"/>
            </w:tcBorders>
          </w:tcPr>
          <w:p w14:paraId="468AA004" w14:textId="77777777" w:rsidR="0031675F" w:rsidRPr="0031675F" w:rsidRDefault="0031675F" w:rsidP="0031675F"/>
        </w:tc>
      </w:tr>
    </w:tbl>
    <w:p w14:paraId="0769686A" w14:textId="77777777" w:rsidR="0031675F" w:rsidRPr="0031675F" w:rsidRDefault="0031675F" w:rsidP="0031675F">
      <w:pPr>
        <w:sectPr w:rsidR="0031675F" w:rsidRPr="0031675F" w:rsidSect="004A5C83">
          <w:type w:val="nextColumn"/>
          <w:pgSz w:w="11910" w:h="16850"/>
          <w:pgMar w:top="720" w:right="1281" w:bottom="697" w:left="1281" w:header="520" w:footer="500" w:gutter="0"/>
          <w:paperSrc w:first="7" w:other="7"/>
          <w:cols w:space="720"/>
        </w:sectPr>
      </w:pPr>
    </w:p>
    <w:p w14:paraId="71D76B65" w14:textId="77777777" w:rsidR="0031675F" w:rsidRPr="0031675F" w:rsidRDefault="0031675F" w:rsidP="0031675F">
      <w:pPr>
        <w:rPr>
          <w:rFonts w:eastAsia="Arial" w:cs="Arial"/>
          <w:b/>
          <w:bCs/>
          <w:sz w:val="20"/>
          <w:szCs w:val="20"/>
        </w:rPr>
      </w:pPr>
    </w:p>
    <w:p w14:paraId="703FE711" w14:textId="4A85CB2F" w:rsidR="0031675F" w:rsidRPr="0031675F" w:rsidRDefault="0031675F" w:rsidP="005A35E3">
      <w:pPr>
        <w:pStyle w:val="Heading2"/>
        <w:numPr>
          <w:ilvl w:val="0"/>
          <w:numId w:val="0"/>
        </w:numPr>
        <w:ind w:left="284"/>
      </w:pPr>
      <w:bookmarkStart w:id="641" w:name="_Toc423356992"/>
      <w:bookmarkStart w:id="642" w:name="_Toc523830553"/>
      <w:bookmarkStart w:id="643" w:name="_Toc523905139"/>
      <w:bookmarkStart w:id="644" w:name="_Toc523905381"/>
      <w:bookmarkStart w:id="645" w:name="_Toc534968692"/>
      <w:bookmarkStart w:id="646" w:name="_Toc12365633"/>
      <w:r w:rsidRPr="00FF3C2F">
        <w:t>Section A6: Analysis of Chromophoric Dissolved Ocean Matter (CDOM) in marine waters</w:t>
      </w:r>
      <w:bookmarkEnd w:id="641"/>
      <w:bookmarkEnd w:id="642"/>
      <w:bookmarkEnd w:id="643"/>
      <w:bookmarkEnd w:id="644"/>
      <w:bookmarkEnd w:id="645"/>
      <w:bookmarkEnd w:id="646"/>
    </w:p>
    <w:p w14:paraId="5E906E3C" w14:textId="77777777" w:rsidR="0031675F" w:rsidRPr="0031675F" w:rsidRDefault="0031675F" w:rsidP="0031675F">
      <w:pPr>
        <w:spacing w:before="8"/>
        <w:rPr>
          <w:rFonts w:eastAsia="Arial" w:cs="Arial"/>
          <w:b/>
          <w:bCs/>
          <w:sz w:val="20"/>
          <w:szCs w:val="20"/>
        </w:rPr>
      </w:pPr>
    </w:p>
    <w:p w14:paraId="65E1E5C3" w14:textId="77777777" w:rsidR="0031675F" w:rsidRPr="0031675F" w:rsidRDefault="0031675F" w:rsidP="0031675F">
      <w:pPr>
        <w:widowControl w:val="0"/>
        <w:numPr>
          <w:ilvl w:val="1"/>
          <w:numId w:val="107"/>
        </w:numPr>
        <w:tabs>
          <w:tab w:val="left" w:pos="706"/>
        </w:tabs>
        <w:spacing w:before="69" w:after="0" w:line="240" w:lineRule="auto"/>
        <w:rPr>
          <w:rFonts w:eastAsia="Arial" w:cs="Arial"/>
          <w:sz w:val="24"/>
          <w:szCs w:val="24"/>
        </w:rPr>
      </w:pPr>
      <w:bookmarkStart w:id="647" w:name="_TOC_250048"/>
      <w:r w:rsidRPr="0031675F">
        <w:rPr>
          <w:b/>
          <w:spacing w:val="-1"/>
          <w:sz w:val="24"/>
        </w:rPr>
        <w:t>Objective</w:t>
      </w:r>
      <w:bookmarkEnd w:id="647"/>
    </w:p>
    <w:p w14:paraId="26384E3F" w14:textId="77777777" w:rsidR="0031675F" w:rsidRPr="0031675F" w:rsidRDefault="0031675F" w:rsidP="0031675F">
      <w:pPr>
        <w:spacing w:before="11"/>
        <w:rPr>
          <w:rFonts w:eastAsia="Arial" w:cs="Arial"/>
          <w:b/>
          <w:bCs/>
          <w:sz w:val="20"/>
          <w:szCs w:val="20"/>
        </w:rPr>
      </w:pPr>
    </w:p>
    <w:p w14:paraId="591E89A6" w14:textId="77777777" w:rsidR="0031675F" w:rsidRPr="0031675F" w:rsidRDefault="0031675F" w:rsidP="0031675F">
      <w:pPr>
        <w:spacing w:after="120"/>
        <w:ind w:left="138" w:right="135"/>
      </w:pPr>
      <w:r w:rsidRPr="0031675F">
        <w:rPr>
          <w:spacing w:val="-1"/>
        </w:rPr>
        <w:t>The</w:t>
      </w:r>
      <w:r w:rsidRPr="0031675F">
        <w:t xml:space="preserve"> </w:t>
      </w:r>
      <w:r w:rsidRPr="0031675F">
        <w:rPr>
          <w:spacing w:val="-1"/>
        </w:rPr>
        <w:t>analysis</w:t>
      </w:r>
      <w:r w:rsidRPr="0031675F">
        <w:t xml:space="preserve"> of Chromophoric Dissolved Ocean Matter (CDOM) in</w:t>
      </w:r>
      <w:r w:rsidRPr="0031675F">
        <w:rPr>
          <w:spacing w:val="36"/>
        </w:rPr>
        <w:t xml:space="preserve"> </w:t>
      </w:r>
      <w:r w:rsidRPr="0031675F">
        <w:rPr>
          <w:spacing w:val="-1"/>
        </w:rPr>
        <w:t>seawater</w:t>
      </w:r>
      <w:r w:rsidRPr="0031675F">
        <w:t xml:space="preserve"> with a </w:t>
      </w:r>
      <w:r w:rsidRPr="0031675F">
        <w:rPr>
          <w:spacing w:val="-1"/>
        </w:rPr>
        <w:t>focus</w:t>
      </w:r>
      <w:r w:rsidRPr="0031675F">
        <w:t xml:space="preserve"> on </w:t>
      </w:r>
      <w:r w:rsidRPr="0031675F">
        <w:rPr>
          <w:spacing w:val="-1"/>
        </w:rPr>
        <w:t>detecting</w:t>
      </w:r>
      <w:r w:rsidRPr="0031675F">
        <w:t xml:space="preserve"> </w:t>
      </w:r>
      <w:r w:rsidRPr="0031675F">
        <w:rPr>
          <w:spacing w:val="-1"/>
        </w:rPr>
        <w:t>low</w:t>
      </w:r>
      <w:r w:rsidRPr="0031675F">
        <w:t xml:space="preserve"> </w:t>
      </w:r>
      <w:r w:rsidRPr="0031675F">
        <w:rPr>
          <w:spacing w:val="-1"/>
        </w:rPr>
        <w:t>level</w:t>
      </w:r>
      <w:r w:rsidRPr="0031675F">
        <w:rPr>
          <w:spacing w:val="79"/>
        </w:rPr>
        <w:t xml:space="preserve"> </w:t>
      </w:r>
      <w:r w:rsidRPr="0031675F">
        <w:rPr>
          <w:spacing w:val="-1"/>
        </w:rPr>
        <w:t>concentrations.</w:t>
      </w:r>
    </w:p>
    <w:p w14:paraId="03937914" w14:textId="77777777" w:rsidR="0031675F" w:rsidRPr="0031675F" w:rsidRDefault="0031675F" w:rsidP="0031675F">
      <w:pPr>
        <w:spacing w:before="11"/>
        <w:rPr>
          <w:rFonts w:cs="Calibri"/>
          <w:sz w:val="21"/>
          <w:szCs w:val="21"/>
        </w:rPr>
      </w:pPr>
    </w:p>
    <w:p w14:paraId="4B98AA97" w14:textId="77777777" w:rsidR="0031675F" w:rsidRPr="0031675F" w:rsidRDefault="0031675F" w:rsidP="0031675F">
      <w:pPr>
        <w:widowControl w:val="0"/>
        <w:numPr>
          <w:ilvl w:val="1"/>
          <w:numId w:val="107"/>
        </w:numPr>
        <w:tabs>
          <w:tab w:val="left" w:pos="706"/>
        </w:tabs>
        <w:spacing w:before="0" w:after="0" w:line="240" w:lineRule="auto"/>
        <w:rPr>
          <w:rFonts w:eastAsia="Arial" w:cs="Arial"/>
          <w:sz w:val="24"/>
          <w:szCs w:val="24"/>
        </w:rPr>
      </w:pPr>
      <w:bookmarkStart w:id="648" w:name="_TOC_250047"/>
      <w:r w:rsidRPr="0031675F">
        <w:rPr>
          <w:b/>
          <w:spacing w:val="-1"/>
          <w:sz w:val="24"/>
        </w:rPr>
        <w:t>Principle</w:t>
      </w:r>
      <w:r w:rsidRPr="0031675F">
        <w:rPr>
          <w:b/>
          <w:sz w:val="24"/>
        </w:rPr>
        <w:t xml:space="preserve"> of </w:t>
      </w:r>
      <w:r w:rsidRPr="0031675F">
        <w:rPr>
          <w:b/>
          <w:spacing w:val="-1"/>
          <w:sz w:val="24"/>
        </w:rPr>
        <w:t>analysis</w:t>
      </w:r>
      <w:bookmarkEnd w:id="648"/>
    </w:p>
    <w:p w14:paraId="3AD530C8" w14:textId="77777777" w:rsidR="0031675F" w:rsidRPr="0031675F" w:rsidRDefault="0031675F" w:rsidP="0031675F">
      <w:pPr>
        <w:spacing w:after="120"/>
        <w:rPr>
          <w:lang w:eastAsia="en-AU"/>
        </w:rPr>
      </w:pPr>
      <w:r w:rsidRPr="0031675F">
        <w:rPr>
          <w:lang w:eastAsia="en-AU"/>
        </w:rPr>
        <w:t>Chromophoric dissolved organic matter (CDOM) is a term used to describe a group of mixed, and mostly undefined, organic compounds dissolved in natural waters that absorb ultraviolet or short-wavelength visible light. This characteristic is used to operationally quantify CDOM by spectroscopic UV-visible absorption spectroscopy. The applied method is based on Nelson and Coble (2009).</w:t>
      </w:r>
    </w:p>
    <w:p w14:paraId="1FBD3EE7" w14:textId="77777777" w:rsidR="0031675F" w:rsidRPr="0031675F" w:rsidRDefault="0031675F" w:rsidP="0031675F">
      <w:pPr>
        <w:spacing w:before="11"/>
        <w:rPr>
          <w:rFonts w:cs="Calibri"/>
          <w:sz w:val="21"/>
          <w:szCs w:val="21"/>
        </w:rPr>
      </w:pPr>
    </w:p>
    <w:p w14:paraId="3A22DA04" w14:textId="77777777" w:rsidR="0031675F" w:rsidRPr="0031675F" w:rsidRDefault="0031675F" w:rsidP="0031675F">
      <w:pPr>
        <w:widowControl w:val="0"/>
        <w:numPr>
          <w:ilvl w:val="1"/>
          <w:numId w:val="107"/>
        </w:numPr>
        <w:tabs>
          <w:tab w:val="left" w:pos="706"/>
        </w:tabs>
        <w:spacing w:before="0" w:after="0" w:line="240" w:lineRule="auto"/>
        <w:rPr>
          <w:rFonts w:eastAsia="Arial" w:cs="Arial"/>
          <w:sz w:val="24"/>
          <w:szCs w:val="24"/>
        </w:rPr>
      </w:pPr>
      <w:bookmarkStart w:id="649" w:name="_TOC_250046"/>
      <w:r w:rsidRPr="0031675F">
        <w:rPr>
          <w:b/>
          <w:sz w:val="24"/>
        </w:rPr>
        <w:t>Sample</w:t>
      </w:r>
      <w:r w:rsidRPr="0031675F">
        <w:rPr>
          <w:b/>
          <w:spacing w:val="-1"/>
          <w:sz w:val="24"/>
        </w:rPr>
        <w:t xml:space="preserve"> collection</w:t>
      </w:r>
      <w:r w:rsidRPr="0031675F">
        <w:rPr>
          <w:b/>
          <w:sz w:val="24"/>
        </w:rPr>
        <w:t xml:space="preserve"> </w:t>
      </w:r>
      <w:r w:rsidRPr="0031675F">
        <w:rPr>
          <w:b/>
          <w:spacing w:val="-1"/>
          <w:sz w:val="24"/>
        </w:rPr>
        <w:t>procedure</w:t>
      </w:r>
      <w:r w:rsidRPr="0031675F">
        <w:rPr>
          <w:b/>
          <w:spacing w:val="-2"/>
          <w:sz w:val="24"/>
        </w:rPr>
        <w:t xml:space="preserve"> </w:t>
      </w:r>
      <w:r w:rsidRPr="0031675F">
        <w:rPr>
          <w:b/>
          <w:sz w:val="24"/>
        </w:rPr>
        <w:t xml:space="preserve">and </w:t>
      </w:r>
      <w:r w:rsidRPr="0031675F">
        <w:rPr>
          <w:b/>
          <w:spacing w:val="-1"/>
          <w:sz w:val="24"/>
        </w:rPr>
        <w:t>storage</w:t>
      </w:r>
      <w:bookmarkEnd w:id="649"/>
    </w:p>
    <w:p w14:paraId="6612AAD6" w14:textId="77777777" w:rsidR="0031675F" w:rsidRPr="0031675F" w:rsidRDefault="0031675F" w:rsidP="0031675F">
      <w:pPr>
        <w:tabs>
          <w:tab w:val="left" w:pos="706"/>
        </w:tabs>
        <w:ind w:left="705"/>
        <w:rPr>
          <w:rFonts w:eastAsia="Arial" w:cs="Arial"/>
          <w:sz w:val="24"/>
          <w:szCs w:val="24"/>
        </w:rPr>
      </w:pPr>
    </w:p>
    <w:p w14:paraId="7530B658" w14:textId="77777777" w:rsidR="0031675F" w:rsidRPr="0031675F" w:rsidRDefault="0031675F" w:rsidP="0031675F">
      <w:pPr>
        <w:widowControl w:val="0"/>
        <w:numPr>
          <w:ilvl w:val="2"/>
          <w:numId w:val="107"/>
        </w:numPr>
        <w:tabs>
          <w:tab w:val="left" w:pos="859"/>
        </w:tabs>
        <w:spacing w:before="0" w:after="0" w:line="240" w:lineRule="auto"/>
        <w:rPr>
          <w:rFonts w:eastAsia="Arial" w:cs="Arial"/>
        </w:rPr>
      </w:pPr>
      <w:r w:rsidRPr="0031675F">
        <w:rPr>
          <w:b/>
          <w:spacing w:val="-1"/>
        </w:rPr>
        <w:t>Equipment</w:t>
      </w:r>
    </w:p>
    <w:p w14:paraId="68D04FAB" w14:textId="172324F5" w:rsidR="0031675F" w:rsidRPr="0031675F" w:rsidRDefault="0031675F" w:rsidP="0031675F">
      <w:pPr>
        <w:widowControl w:val="0"/>
        <w:numPr>
          <w:ilvl w:val="0"/>
          <w:numId w:val="157"/>
        </w:numPr>
        <w:spacing w:before="0" w:after="0" w:line="240" w:lineRule="auto"/>
      </w:pPr>
      <w:r w:rsidRPr="0031675F">
        <w:t xml:space="preserve">50 </w:t>
      </w:r>
      <w:r w:rsidR="00BB13FD">
        <w:t>mL</w:t>
      </w:r>
      <w:r w:rsidRPr="0031675F">
        <w:t xml:space="preserve"> Amber (Glass) Bottles. </w:t>
      </w:r>
    </w:p>
    <w:p w14:paraId="1A8D3D26" w14:textId="77777777" w:rsidR="0031675F" w:rsidRPr="0031675F" w:rsidRDefault="0031675F" w:rsidP="0031675F">
      <w:pPr>
        <w:widowControl w:val="0"/>
        <w:numPr>
          <w:ilvl w:val="0"/>
          <w:numId w:val="157"/>
        </w:numPr>
        <w:spacing w:before="0" w:after="0" w:line="240" w:lineRule="auto"/>
      </w:pPr>
      <w:r w:rsidRPr="0031675F">
        <w:t>Gloves must be worn</w:t>
      </w:r>
    </w:p>
    <w:p w14:paraId="376F8F1B" w14:textId="77777777" w:rsidR="0031675F" w:rsidRPr="0031675F" w:rsidRDefault="0031675F" w:rsidP="0031675F">
      <w:pPr>
        <w:spacing w:after="120"/>
        <w:ind w:left="138"/>
      </w:pPr>
    </w:p>
    <w:p w14:paraId="4DD1D068" w14:textId="77777777" w:rsidR="0031675F" w:rsidRPr="0031675F" w:rsidRDefault="0031675F" w:rsidP="0031675F">
      <w:pPr>
        <w:widowControl w:val="0"/>
        <w:numPr>
          <w:ilvl w:val="2"/>
          <w:numId w:val="107"/>
        </w:numPr>
        <w:tabs>
          <w:tab w:val="left" w:pos="859"/>
        </w:tabs>
        <w:spacing w:before="0" w:after="0" w:line="240" w:lineRule="auto"/>
        <w:rPr>
          <w:rFonts w:eastAsia="Arial" w:cs="Arial"/>
        </w:rPr>
      </w:pPr>
      <w:r w:rsidRPr="0031675F">
        <w:rPr>
          <w:b/>
          <w:spacing w:val="-1"/>
        </w:rPr>
        <w:t>Collection</w:t>
      </w:r>
      <w:r w:rsidRPr="0031675F">
        <w:rPr>
          <w:b/>
        </w:rPr>
        <w:t xml:space="preserve"> </w:t>
      </w:r>
      <w:r w:rsidRPr="0031675F">
        <w:rPr>
          <w:b/>
          <w:spacing w:val="-1"/>
        </w:rPr>
        <w:t>and</w:t>
      </w:r>
      <w:r w:rsidRPr="0031675F">
        <w:rPr>
          <w:b/>
          <w:spacing w:val="-2"/>
        </w:rPr>
        <w:t xml:space="preserve"> </w:t>
      </w:r>
      <w:r w:rsidRPr="0031675F">
        <w:rPr>
          <w:b/>
          <w:spacing w:val="-1"/>
        </w:rPr>
        <w:t>Storage</w:t>
      </w:r>
    </w:p>
    <w:p w14:paraId="0534F835" w14:textId="77777777" w:rsidR="0031675F" w:rsidRPr="0031675F" w:rsidRDefault="0031675F" w:rsidP="0031675F">
      <w:pPr>
        <w:widowControl w:val="0"/>
        <w:numPr>
          <w:ilvl w:val="0"/>
          <w:numId w:val="158"/>
        </w:numPr>
        <w:spacing w:before="0" w:after="0" w:line="240" w:lineRule="auto"/>
      </w:pPr>
      <w:r w:rsidRPr="0031675F">
        <w:t xml:space="preserve">Collected water sample (taken from the niskin bottle) is filtered with a clean syringe through the 0.2 </w:t>
      </w:r>
      <w:r w:rsidRPr="0031675F">
        <w:rPr>
          <w:rFonts w:ascii="Symbol" w:hAnsi="Symbol"/>
        </w:rPr>
        <w:t></w:t>
      </w:r>
      <w:r w:rsidRPr="0031675F">
        <w:t>m filter (Pall-Acropak supor Membrane).</w:t>
      </w:r>
    </w:p>
    <w:p w14:paraId="5C22B53C" w14:textId="77777777" w:rsidR="0031675F" w:rsidRPr="0031675F" w:rsidRDefault="0031675F" w:rsidP="0031675F">
      <w:pPr>
        <w:widowControl w:val="0"/>
        <w:numPr>
          <w:ilvl w:val="0"/>
          <w:numId w:val="156"/>
        </w:numPr>
        <w:spacing w:before="0" w:after="0" w:line="240" w:lineRule="auto"/>
      </w:pPr>
      <w:r w:rsidRPr="0031675F">
        <w:t xml:space="preserve">Fill up the syringe with water and wash once, attach 0.2 </w:t>
      </w:r>
      <w:r w:rsidRPr="0031675F">
        <w:rPr>
          <w:rFonts w:ascii="Symbol" w:hAnsi="Symbol"/>
        </w:rPr>
        <w:t></w:t>
      </w:r>
      <w:r w:rsidRPr="0031675F">
        <w:t>m filter to syringe and push some sample through to prime the filter.</w:t>
      </w:r>
    </w:p>
    <w:p w14:paraId="3A8FB08A" w14:textId="4DA8DBF0" w:rsidR="0031675F" w:rsidRPr="0031675F" w:rsidRDefault="0031675F" w:rsidP="0031675F">
      <w:pPr>
        <w:widowControl w:val="0"/>
        <w:numPr>
          <w:ilvl w:val="0"/>
          <w:numId w:val="156"/>
        </w:numPr>
        <w:spacing w:before="0" w:after="0" w:line="240" w:lineRule="auto"/>
      </w:pPr>
      <w:r w:rsidRPr="0031675F">
        <w:t xml:space="preserve">Fill up the glass amber bottle provided – minimum 50 </w:t>
      </w:r>
      <w:r w:rsidR="00BB13FD">
        <w:t>mL</w:t>
      </w:r>
      <w:r w:rsidRPr="0031675F">
        <w:t xml:space="preserve"> filtered sample is required.</w:t>
      </w:r>
    </w:p>
    <w:p w14:paraId="35746DA2" w14:textId="77777777" w:rsidR="0031675F" w:rsidRPr="0031675F" w:rsidRDefault="0031675F" w:rsidP="0031675F">
      <w:pPr>
        <w:widowControl w:val="0"/>
        <w:numPr>
          <w:ilvl w:val="0"/>
          <w:numId w:val="156"/>
        </w:numPr>
        <w:spacing w:before="0" w:after="0" w:line="240" w:lineRule="auto"/>
      </w:pPr>
      <w:r w:rsidRPr="0031675F">
        <w:t>Store sample at 4ºC until analysis.</w:t>
      </w:r>
    </w:p>
    <w:p w14:paraId="4E9EAEFA" w14:textId="77777777" w:rsidR="0031675F" w:rsidRPr="0031675F" w:rsidRDefault="0031675F" w:rsidP="0031675F">
      <w:pPr>
        <w:rPr>
          <w:rFonts w:cs="Calibri"/>
          <w:sz w:val="20"/>
          <w:szCs w:val="20"/>
        </w:rPr>
      </w:pPr>
    </w:p>
    <w:p w14:paraId="38AB7F78" w14:textId="77777777" w:rsidR="0031675F" w:rsidRPr="0031675F" w:rsidRDefault="0031675F" w:rsidP="0031675F">
      <w:pPr>
        <w:widowControl w:val="0"/>
        <w:numPr>
          <w:ilvl w:val="1"/>
          <w:numId w:val="154"/>
        </w:numPr>
        <w:tabs>
          <w:tab w:val="left" w:pos="686"/>
        </w:tabs>
        <w:spacing w:before="206" w:after="0" w:line="240" w:lineRule="auto"/>
        <w:jc w:val="both"/>
        <w:rPr>
          <w:rFonts w:eastAsia="Arial" w:cs="Arial"/>
          <w:sz w:val="24"/>
          <w:szCs w:val="24"/>
        </w:rPr>
      </w:pPr>
      <w:bookmarkStart w:id="650" w:name="_TOC_250045"/>
      <w:r w:rsidRPr="0031675F">
        <w:rPr>
          <w:b/>
          <w:sz w:val="24"/>
        </w:rPr>
        <w:t>Sample</w:t>
      </w:r>
      <w:r w:rsidRPr="0031675F">
        <w:rPr>
          <w:b/>
          <w:spacing w:val="-1"/>
          <w:sz w:val="24"/>
        </w:rPr>
        <w:t xml:space="preserve"> analysis</w:t>
      </w:r>
      <w:bookmarkEnd w:id="650"/>
    </w:p>
    <w:p w14:paraId="2645DF7C" w14:textId="77777777" w:rsidR="0031675F" w:rsidRPr="0031675F" w:rsidRDefault="0031675F" w:rsidP="0031675F">
      <w:pPr>
        <w:tabs>
          <w:tab w:val="left" w:pos="686"/>
        </w:tabs>
        <w:spacing w:before="206"/>
        <w:ind w:left="685"/>
        <w:jc w:val="both"/>
        <w:rPr>
          <w:rFonts w:eastAsia="Arial" w:cs="Arial"/>
          <w:sz w:val="24"/>
          <w:szCs w:val="24"/>
        </w:rPr>
      </w:pPr>
    </w:p>
    <w:p w14:paraId="619B570F" w14:textId="77777777" w:rsidR="0031675F" w:rsidRPr="0031675F" w:rsidRDefault="0031675F" w:rsidP="0031675F">
      <w:pPr>
        <w:widowControl w:val="0"/>
        <w:numPr>
          <w:ilvl w:val="2"/>
          <w:numId w:val="154"/>
        </w:numPr>
        <w:tabs>
          <w:tab w:val="left" w:pos="686"/>
        </w:tabs>
        <w:spacing w:before="0" w:after="0" w:line="240" w:lineRule="auto"/>
        <w:jc w:val="both"/>
        <w:rPr>
          <w:rFonts w:eastAsia="Arial" w:cs="Arial"/>
        </w:rPr>
      </w:pPr>
      <w:r w:rsidRPr="0031675F">
        <w:rPr>
          <w:b/>
          <w:spacing w:val="-1"/>
        </w:rPr>
        <w:t>Materials</w:t>
      </w:r>
      <w:r w:rsidRPr="0031675F">
        <w:rPr>
          <w:b/>
        </w:rPr>
        <w:t xml:space="preserve"> and</w:t>
      </w:r>
      <w:r w:rsidRPr="0031675F">
        <w:rPr>
          <w:b/>
          <w:spacing w:val="-2"/>
        </w:rPr>
        <w:t xml:space="preserve"> </w:t>
      </w:r>
      <w:r w:rsidRPr="0031675F">
        <w:rPr>
          <w:b/>
          <w:spacing w:val="-1"/>
        </w:rPr>
        <w:t>Equipment</w:t>
      </w:r>
    </w:p>
    <w:p w14:paraId="1F67D170" w14:textId="77777777" w:rsidR="0031675F" w:rsidRPr="0031675F" w:rsidRDefault="0031675F" w:rsidP="0031675F">
      <w:pPr>
        <w:spacing w:after="120"/>
      </w:pPr>
      <w:r w:rsidRPr="0031675F">
        <w:t xml:space="preserve">The analysis require: Two 1x10 cm quartz cuvette, Lens tissue to clean the cuvette surfaces, fresh MilliQ water for baseline and cleaning the cuvette, and a spectrophotometer (AIMS uses a </w:t>
      </w:r>
      <w:r w:rsidRPr="0031675F">
        <w:rPr>
          <w:rFonts w:ascii="Calibri" w:eastAsia="Calibri" w:hAnsi="Calibri"/>
          <w:lang w:val="en-US"/>
        </w:rPr>
        <w:t>Shimadzu UV-1800 Spectrophotometer, see Section A 6 Attachment for detailed instructions).</w:t>
      </w:r>
      <w:r w:rsidRPr="0031675F">
        <w:t xml:space="preserve"> Gloves must be worn during analysis to ensure that the quartz cuvette remains clean.</w:t>
      </w:r>
    </w:p>
    <w:p w14:paraId="6CDA7A3F" w14:textId="77777777" w:rsidR="0031675F" w:rsidRPr="0031675F" w:rsidRDefault="0031675F" w:rsidP="0031675F">
      <w:pPr>
        <w:spacing w:before="10"/>
        <w:rPr>
          <w:rFonts w:cs="Calibri"/>
          <w:sz w:val="21"/>
          <w:szCs w:val="21"/>
        </w:rPr>
      </w:pPr>
    </w:p>
    <w:p w14:paraId="1490A472" w14:textId="77777777" w:rsidR="0031675F" w:rsidRPr="0031675F" w:rsidRDefault="0031675F" w:rsidP="0031675F">
      <w:pPr>
        <w:widowControl w:val="0"/>
        <w:numPr>
          <w:ilvl w:val="2"/>
          <w:numId w:val="154"/>
        </w:numPr>
        <w:tabs>
          <w:tab w:val="left" w:pos="686"/>
        </w:tabs>
        <w:spacing w:before="0" w:after="0" w:line="240" w:lineRule="auto"/>
        <w:jc w:val="both"/>
        <w:rPr>
          <w:rFonts w:eastAsia="Arial" w:cs="Arial"/>
        </w:rPr>
      </w:pPr>
      <w:r w:rsidRPr="0031675F">
        <w:rPr>
          <w:b/>
        </w:rPr>
        <w:t>Method</w:t>
      </w:r>
    </w:p>
    <w:p w14:paraId="0C017013" w14:textId="77777777" w:rsidR="0031675F" w:rsidRPr="0031675F" w:rsidRDefault="0031675F" w:rsidP="0031675F">
      <w:pPr>
        <w:spacing w:before="9"/>
        <w:rPr>
          <w:rFonts w:eastAsia="Arial" w:cs="Arial"/>
          <w:b/>
          <w:bCs/>
          <w:sz w:val="20"/>
          <w:szCs w:val="20"/>
        </w:rPr>
      </w:pPr>
    </w:p>
    <w:p w14:paraId="2E354765" w14:textId="77777777" w:rsidR="0031675F" w:rsidRPr="0031675F" w:rsidRDefault="0031675F" w:rsidP="0031675F">
      <w:pPr>
        <w:widowControl w:val="0"/>
        <w:numPr>
          <w:ilvl w:val="0"/>
          <w:numId w:val="155"/>
        </w:numPr>
        <w:spacing w:before="0" w:after="0" w:line="240" w:lineRule="auto"/>
      </w:pPr>
      <w:r w:rsidRPr="0031675F">
        <w:t xml:space="preserve">The Spectrophotometer should be allowed to warm up for at least 30 min before analysis. </w:t>
      </w:r>
    </w:p>
    <w:p w14:paraId="4D00B3E6" w14:textId="77777777" w:rsidR="0031675F" w:rsidRPr="0031675F" w:rsidRDefault="0031675F" w:rsidP="0031675F">
      <w:pPr>
        <w:widowControl w:val="0"/>
        <w:numPr>
          <w:ilvl w:val="0"/>
          <w:numId w:val="155"/>
        </w:numPr>
        <w:spacing w:before="0" w:after="0" w:line="240" w:lineRule="auto"/>
      </w:pPr>
      <w:r w:rsidRPr="0031675F">
        <w:t>With MilliQ in both cuvettes run a baseline absorption spectrum between 240 and 700 nm.</w:t>
      </w:r>
    </w:p>
    <w:p w14:paraId="2F025FF6" w14:textId="77777777" w:rsidR="0031675F" w:rsidRPr="0031675F" w:rsidRDefault="0031675F" w:rsidP="0031675F">
      <w:pPr>
        <w:widowControl w:val="0"/>
        <w:numPr>
          <w:ilvl w:val="0"/>
          <w:numId w:val="155"/>
        </w:numPr>
        <w:spacing w:before="0" w:after="0" w:line="240" w:lineRule="auto"/>
        <w:rPr>
          <w:rFonts w:cs="Calibri"/>
          <w:sz w:val="20"/>
          <w:szCs w:val="20"/>
        </w:rPr>
      </w:pPr>
      <w:r w:rsidRPr="0031675F">
        <w:t xml:space="preserve">Rinse cuvette twice with some sample water, then fill to just below the label on the cuvette and run an absorption spectrum between 240 and 700 nm. </w:t>
      </w:r>
    </w:p>
    <w:p w14:paraId="09283F4E" w14:textId="77777777" w:rsidR="0031675F" w:rsidRPr="0031675F" w:rsidRDefault="0031675F" w:rsidP="0031675F">
      <w:pPr>
        <w:spacing w:before="10"/>
        <w:rPr>
          <w:rFonts w:cs="Calibri"/>
          <w:sz w:val="16"/>
          <w:szCs w:val="16"/>
        </w:rPr>
      </w:pPr>
    </w:p>
    <w:p w14:paraId="68114C21" w14:textId="77777777" w:rsidR="0031675F" w:rsidRPr="0031675F" w:rsidRDefault="0031675F" w:rsidP="0031675F">
      <w:pPr>
        <w:widowControl w:val="0"/>
        <w:numPr>
          <w:ilvl w:val="2"/>
          <w:numId w:val="154"/>
        </w:numPr>
        <w:tabs>
          <w:tab w:val="left" w:pos="839"/>
        </w:tabs>
        <w:spacing w:before="12" w:after="0" w:line="240" w:lineRule="auto"/>
        <w:ind w:left="838" w:hanging="720"/>
        <w:rPr>
          <w:rFonts w:cs="Calibri"/>
          <w:sz w:val="15"/>
          <w:szCs w:val="15"/>
        </w:rPr>
      </w:pPr>
      <w:r w:rsidRPr="0031675F">
        <w:rPr>
          <w:b/>
          <w:spacing w:val="-1"/>
        </w:rPr>
        <w:t>Calculation</w:t>
      </w:r>
    </w:p>
    <w:p w14:paraId="7AA2820D" w14:textId="77777777" w:rsidR="0031675F" w:rsidRPr="0031675F" w:rsidRDefault="0031675F" w:rsidP="0031675F">
      <w:pPr>
        <w:spacing w:after="120"/>
        <w:ind w:left="138"/>
        <w:rPr>
          <w:bCs/>
          <w:lang w:val="en-GB"/>
        </w:rPr>
      </w:pPr>
      <w:r w:rsidRPr="0031675F">
        <w:t xml:space="preserve">Firstly the absorption spectrum of the MilliQ blank is subtracted from the sample absorption measured between 240 and 700 nm. </w:t>
      </w:r>
      <w:r w:rsidRPr="0031675F">
        <w:rPr>
          <w:bCs/>
          <w:lang w:val="en-GB"/>
        </w:rPr>
        <w:t xml:space="preserve">The absorption coefficient at any wavelength, </w:t>
      </w:r>
      <w:r w:rsidRPr="0031675F">
        <w:rPr>
          <w:bCs/>
          <w:i/>
          <w:lang w:val="en-GB"/>
        </w:rPr>
        <w:t>a</w:t>
      </w:r>
      <w:r w:rsidRPr="0031675F">
        <w:rPr>
          <w:bCs/>
          <w:vertAlign w:val="subscript"/>
          <w:lang w:val="en-GB"/>
        </w:rPr>
        <w:t>CDOM</w:t>
      </w:r>
      <w:r w:rsidRPr="0031675F">
        <w:rPr>
          <w:bCs/>
          <w:lang w:val="en-GB"/>
        </w:rPr>
        <w:t>(λ) (m</w:t>
      </w:r>
      <w:r w:rsidRPr="0031675F">
        <w:rPr>
          <w:bCs/>
          <w:vertAlign w:val="superscript"/>
          <w:lang w:val="en-GB"/>
        </w:rPr>
        <w:t>–1</w:t>
      </w:r>
      <w:r w:rsidRPr="0031675F">
        <w:rPr>
          <w:bCs/>
          <w:lang w:val="en-GB"/>
        </w:rPr>
        <w:t>), is hereafter calculated as:</w:t>
      </w:r>
    </w:p>
    <w:tbl>
      <w:tblPr>
        <w:tblW w:w="0" w:type="auto"/>
        <w:jc w:val="center"/>
        <w:tblLook w:val="01E0" w:firstRow="1" w:lastRow="1" w:firstColumn="1" w:lastColumn="1" w:noHBand="0" w:noVBand="0"/>
      </w:tblPr>
      <w:tblGrid>
        <w:gridCol w:w="7848"/>
        <w:gridCol w:w="796"/>
      </w:tblGrid>
      <w:tr w:rsidR="0031675F" w:rsidRPr="0031675F" w14:paraId="228889B6" w14:textId="77777777" w:rsidTr="00B00729">
        <w:trPr>
          <w:jc w:val="center"/>
        </w:trPr>
        <w:tc>
          <w:tcPr>
            <w:tcW w:w="7848" w:type="dxa"/>
            <w:vAlign w:val="center"/>
          </w:tcPr>
          <w:p w14:paraId="4764146C" w14:textId="77777777" w:rsidR="0031675F" w:rsidRPr="0031675F" w:rsidRDefault="0031675F" w:rsidP="0031675F">
            <w:pPr>
              <w:spacing w:after="120"/>
              <w:ind w:left="138"/>
              <w:jc w:val="center"/>
              <w:rPr>
                <w:sz w:val="24"/>
                <w:szCs w:val="24"/>
                <w:lang w:val="en-GB"/>
              </w:rPr>
            </w:pPr>
            <w:r w:rsidRPr="0031675F">
              <w:rPr>
                <w:lang w:val="en-GB"/>
              </w:rPr>
              <w:t>a</w:t>
            </w:r>
            <w:r w:rsidRPr="0031675F">
              <w:rPr>
                <w:vertAlign w:val="subscript"/>
                <w:lang w:val="en-GB"/>
              </w:rPr>
              <w:t>CDOM</w:t>
            </w:r>
            <w:r w:rsidRPr="0031675F">
              <w:rPr>
                <w:lang w:val="en-GB"/>
              </w:rPr>
              <w:t>(λ) = 23.03 × [Abs(λ) – Abs(600–750)]</w:t>
            </w:r>
          </w:p>
        </w:tc>
        <w:tc>
          <w:tcPr>
            <w:tcW w:w="796" w:type="dxa"/>
            <w:vAlign w:val="center"/>
          </w:tcPr>
          <w:p w14:paraId="65705C0F" w14:textId="77777777" w:rsidR="0031675F" w:rsidRPr="0031675F" w:rsidRDefault="0031675F" w:rsidP="0031675F">
            <w:pPr>
              <w:spacing w:after="120"/>
              <w:ind w:left="138"/>
              <w:jc w:val="center"/>
              <w:rPr>
                <w:sz w:val="24"/>
                <w:szCs w:val="24"/>
                <w:lang w:val="en-GB"/>
              </w:rPr>
            </w:pPr>
          </w:p>
        </w:tc>
      </w:tr>
    </w:tbl>
    <w:p w14:paraId="0BDD3D87" w14:textId="77777777" w:rsidR="0031675F" w:rsidRPr="0031675F" w:rsidRDefault="0031675F" w:rsidP="0031675F">
      <w:pPr>
        <w:spacing w:after="120"/>
        <w:ind w:left="136"/>
        <w:rPr>
          <w:lang w:val="en-GB"/>
        </w:rPr>
      </w:pPr>
      <w:r w:rsidRPr="0031675F">
        <w:rPr>
          <w:lang w:val="en-GB"/>
        </w:rPr>
        <w:t>Where Abs(λ) is the absorbance at wavelength λ, and Abs(600–750) is the average absorbance between 600 and 750 nm, which corrects for the residual scattering by fine size particle fractions, micro-air bubbles or colloidal material present in the sample, or refractive index differences between the sample and the reference (m</w:t>
      </w:r>
      <w:r w:rsidRPr="0031675F">
        <w:rPr>
          <w:kern w:val="24"/>
          <w:vertAlign w:val="superscript"/>
          <w:lang w:val="en-GB"/>
        </w:rPr>
        <w:t>–1</w:t>
      </w:r>
      <w:r w:rsidRPr="0031675F">
        <w:rPr>
          <w:lang w:val="en-GB"/>
        </w:rPr>
        <w:t>), the factor 23.03 converts from decadic to natural logarithms and furthermore considers the cell path-length.</w:t>
      </w:r>
    </w:p>
    <w:p w14:paraId="418E2202" w14:textId="77777777" w:rsidR="0031675F" w:rsidRPr="0031675F" w:rsidRDefault="0031675F" w:rsidP="0031675F">
      <w:pPr>
        <w:spacing w:after="120"/>
        <w:ind w:left="138"/>
        <w:rPr>
          <w:lang w:val="en-GB" w:eastAsia="en-GB"/>
        </w:rPr>
      </w:pPr>
    </w:p>
    <w:p w14:paraId="04BB88E3" w14:textId="77777777" w:rsidR="0031675F" w:rsidRPr="0031675F" w:rsidRDefault="0031675F" w:rsidP="0031675F">
      <w:pPr>
        <w:spacing w:after="120"/>
        <w:ind w:left="138"/>
        <w:rPr>
          <w:lang w:val="en-GB" w:eastAsia="en-GB"/>
        </w:rPr>
      </w:pPr>
      <w:r w:rsidRPr="0031675F">
        <w:rPr>
          <w:lang w:val="en-GB" w:eastAsia="en-GB"/>
        </w:rPr>
        <w:t xml:space="preserve">The </w:t>
      </w:r>
      <w:r w:rsidRPr="0031675F">
        <w:t xml:space="preserve">CDOMs spectral properties can thereafter be modelled by: </w:t>
      </w:r>
    </w:p>
    <w:tbl>
      <w:tblPr>
        <w:tblW w:w="0" w:type="auto"/>
        <w:jc w:val="center"/>
        <w:tblLook w:val="01E0" w:firstRow="1" w:lastRow="1" w:firstColumn="1" w:lastColumn="1" w:noHBand="0" w:noVBand="0"/>
      </w:tblPr>
      <w:tblGrid>
        <w:gridCol w:w="7848"/>
        <w:gridCol w:w="796"/>
      </w:tblGrid>
      <w:tr w:rsidR="0031675F" w:rsidRPr="0031675F" w14:paraId="1BE1CCF1" w14:textId="77777777" w:rsidTr="00B00729">
        <w:trPr>
          <w:trHeight w:val="665"/>
          <w:jc w:val="center"/>
        </w:trPr>
        <w:tc>
          <w:tcPr>
            <w:tcW w:w="7848" w:type="dxa"/>
            <w:vAlign w:val="center"/>
          </w:tcPr>
          <w:p w14:paraId="297F1DFF" w14:textId="77777777" w:rsidR="0031675F" w:rsidRPr="0031675F" w:rsidRDefault="0031675F" w:rsidP="0031675F">
            <w:pPr>
              <w:spacing w:after="120"/>
              <w:ind w:left="138"/>
              <w:jc w:val="center"/>
              <w:rPr>
                <w:sz w:val="24"/>
                <w:szCs w:val="24"/>
                <w:lang w:val="en-GB"/>
              </w:rPr>
            </w:pPr>
            <w:r w:rsidRPr="0031675F">
              <w:rPr>
                <w:lang w:val="en-GB"/>
              </w:rPr>
              <w:t>a</w:t>
            </w:r>
            <w:r w:rsidRPr="0031675F">
              <w:rPr>
                <w:vertAlign w:val="subscript"/>
                <w:lang w:val="en-GB"/>
              </w:rPr>
              <w:t>CDOM</w:t>
            </w:r>
            <w:r w:rsidRPr="0031675F">
              <w:rPr>
                <w:lang w:val="en-GB"/>
              </w:rPr>
              <w:t>(λ) = a</w:t>
            </w:r>
            <w:r w:rsidRPr="0031675F">
              <w:rPr>
                <w:vertAlign w:val="subscript"/>
                <w:lang w:val="en-GB"/>
              </w:rPr>
              <w:t>CDOM</w:t>
            </w:r>
            <w:r w:rsidRPr="0031675F">
              <w:rPr>
                <w:lang w:val="en-GB"/>
              </w:rPr>
              <w:t>(λ</w:t>
            </w:r>
            <w:r w:rsidRPr="0031675F">
              <w:rPr>
                <w:vertAlign w:val="subscript"/>
                <w:lang w:val="en-GB"/>
              </w:rPr>
              <w:t>0</w:t>
            </w:r>
            <w:r w:rsidRPr="0031675F">
              <w:rPr>
                <w:lang w:val="en-GB"/>
              </w:rPr>
              <w:t>) × EXP[-S×(λ- λ</w:t>
            </w:r>
            <w:r w:rsidRPr="0031675F">
              <w:rPr>
                <w:vertAlign w:val="subscript"/>
                <w:lang w:val="en-GB"/>
              </w:rPr>
              <w:t>0</w:t>
            </w:r>
            <w:r w:rsidRPr="0031675F">
              <w:rPr>
                <w:lang w:val="en-GB"/>
              </w:rPr>
              <w:t xml:space="preserve">)] </w:t>
            </w:r>
          </w:p>
        </w:tc>
        <w:tc>
          <w:tcPr>
            <w:tcW w:w="796" w:type="dxa"/>
            <w:vAlign w:val="center"/>
          </w:tcPr>
          <w:p w14:paraId="0CAE7597" w14:textId="77777777" w:rsidR="0031675F" w:rsidRPr="0031675F" w:rsidRDefault="0031675F" w:rsidP="0031675F">
            <w:pPr>
              <w:spacing w:after="120"/>
              <w:ind w:left="138"/>
              <w:jc w:val="center"/>
              <w:rPr>
                <w:sz w:val="24"/>
                <w:szCs w:val="24"/>
                <w:lang w:val="en-GB"/>
              </w:rPr>
            </w:pPr>
          </w:p>
        </w:tc>
      </w:tr>
    </w:tbl>
    <w:p w14:paraId="094179DD" w14:textId="77777777" w:rsidR="0031675F" w:rsidRPr="0031675F" w:rsidRDefault="0031675F" w:rsidP="0031675F">
      <w:pPr>
        <w:spacing w:after="120"/>
        <w:ind w:left="138"/>
      </w:pPr>
      <w:r w:rsidRPr="0031675F">
        <w:t xml:space="preserve">Where </w:t>
      </w:r>
      <w:r w:rsidRPr="0031675F">
        <w:rPr>
          <w:bCs/>
          <w:i/>
          <w:lang w:val="en-GB"/>
        </w:rPr>
        <w:t>a</w:t>
      </w:r>
      <w:r w:rsidRPr="0031675F">
        <w:rPr>
          <w:bCs/>
          <w:vertAlign w:val="subscript"/>
          <w:lang w:val="en-GB"/>
        </w:rPr>
        <w:t>CDOM</w:t>
      </w:r>
      <w:r w:rsidRPr="0031675F">
        <w:rPr>
          <w:bCs/>
          <w:lang w:val="en-GB"/>
        </w:rPr>
        <w:t xml:space="preserve">(λ) </w:t>
      </w:r>
      <w:r w:rsidRPr="0031675F">
        <w:t xml:space="preserve">is the absorption coefficient at wavelength λ, </w:t>
      </w:r>
      <w:r w:rsidRPr="0031675F">
        <w:rPr>
          <w:bCs/>
          <w:i/>
          <w:lang w:val="en-GB"/>
        </w:rPr>
        <w:t>a</w:t>
      </w:r>
      <w:r w:rsidRPr="0031675F">
        <w:rPr>
          <w:bCs/>
          <w:vertAlign w:val="subscript"/>
          <w:lang w:val="en-GB"/>
        </w:rPr>
        <w:t>CDOM</w:t>
      </w:r>
      <w:r w:rsidRPr="0031675F">
        <w:rPr>
          <w:bCs/>
          <w:lang w:val="en-GB"/>
        </w:rPr>
        <w:t>(λ</w:t>
      </w:r>
      <w:r w:rsidRPr="0031675F">
        <w:rPr>
          <w:bCs/>
          <w:vertAlign w:val="subscript"/>
          <w:lang w:val="en-GB"/>
        </w:rPr>
        <w:t>0</w:t>
      </w:r>
      <w:r w:rsidRPr="0031675F">
        <w:rPr>
          <w:bCs/>
          <w:lang w:val="en-GB"/>
        </w:rPr>
        <w:t>)</w:t>
      </w:r>
      <w:r w:rsidRPr="0031675F">
        <w:t xml:space="preserve"> absorption at reference wavelength λ0, and S is the spectral slope coefficient. The parameters were calculated simultaneously via a nonlinear regression of the equation using the Sigmaplot package.</w:t>
      </w:r>
    </w:p>
    <w:p w14:paraId="2FECB78D" w14:textId="77777777" w:rsidR="0031675F" w:rsidRPr="0031675F" w:rsidRDefault="0031675F" w:rsidP="0031675F">
      <w:pPr>
        <w:tabs>
          <w:tab w:val="left" w:pos="839"/>
        </w:tabs>
        <w:spacing w:before="12"/>
        <w:rPr>
          <w:b/>
          <w:spacing w:val="-1"/>
        </w:rPr>
      </w:pPr>
    </w:p>
    <w:p w14:paraId="274A72C4" w14:textId="77777777" w:rsidR="0031675F" w:rsidRPr="0031675F" w:rsidRDefault="0031675F" w:rsidP="0031675F">
      <w:pPr>
        <w:widowControl w:val="0"/>
        <w:numPr>
          <w:ilvl w:val="1"/>
          <w:numId w:val="154"/>
        </w:numPr>
        <w:tabs>
          <w:tab w:val="left" w:pos="839"/>
        </w:tabs>
        <w:spacing w:before="69" w:after="0" w:line="240" w:lineRule="auto"/>
        <w:ind w:left="838" w:hanging="720"/>
        <w:jc w:val="both"/>
        <w:rPr>
          <w:rFonts w:eastAsia="Arial" w:cs="Arial"/>
          <w:sz w:val="24"/>
          <w:szCs w:val="24"/>
        </w:rPr>
      </w:pPr>
      <w:bookmarkStart w:id="651" w:name="_TOC_250044"/>
      <w:r w:rsidRPr="0031675F">
        <w:rPr>
          <w:b/>
          <w:spacing w:val="-1"/>
          <w:sz w:val="24"/>
        </w:rPr>
        <w:t>Method</w:t>
      </w:r>
      <w:r w:rsidRPr="0031675F">
        <w:rPr>
          <w:b/>
          <w:sz w:val="24"/>
        </w:rPr>
        <w:t xml:space="preserve"> </w:t>
      </w:r>
      <w:r w:rsidRPr="0031675F">
        <w:rPr>
          <w:b/>
          <w:spacing w:val="-1"/>
          <w:sz w:val="24"/>
        </w:rPr>
        <w:t>capabilities</w:t>
      </w:r>
      <w:r w:rsidRPr="0031675F">
        <w:rPr>
          <w:b/>
          <w:spacing w:val="-2"/>
          <w:sz w:val="24"/>
        </w:rPr>
        <w:t xml:space="preserve"> </w:t>
      </w:r>
      <w:r w:rsidRPr="0031675F">
        <w:rPr>
          <w:b/>
          <w:spacing w:val="-1"/>
          <w:sz w:val="24"/>
        </w:rPr>
        <w:t>and</w:t>
      </w:r>
      <w:r w:rsidRPr="0031675F">
        <w:rPr>
          <w:b/>
          <w:spacing w:val="1"/>
          <w:sz w:val="24"/>
        </w:rPr>
        <w:t xml:space="preserve"> </w:t>
      </w:r>
      <w:r w:rsidRPr="0031675F">
        <w:rPr>
          <w:b/>
          <w:sz w:val="24"/>
        </w:rPr>
        <w:t xml:space="preserve">limits of </w:t>
      </w:r>
      <w:r w:rsidRPr="0031675F">
        <w:rPr>
          <w:b/>
          <w:spacing w:val="-1"/>
          <w:sz w:val="24"/>
        </w:rPr>
        <w:t>detection</w:t>
      </w:r>
      <w:bookmarkEnd w:id="651"/>
    </w:p>
    <w:p w14:paraId="6E219B2C" w14:textId="77777777" w:rsidR="0031675F" w:rsidRPr="0031675F" w:rsidRDefault="0031675F" w:rsidP="0031675F">
      <w:pPr>
        <w:spacing w:after="120"/>
        <w:rPr>
          <w:rFonts w:cs="Calibri"/>
          <w:sz w:val="20"/>
          <w:szCs w:val="20"/>
        </w:rPr>
      </w:pPr>
      <w:r w:rsidRPr="0031675F">
        <w:t xml:space="preserve">The method is newly added to the suite of AIMS water quality methods and the limit of detection for the analytical set up used has not been fully quantified. The main determinant of the LOD is the </w:t>
      </w:r>
      <w:r w:rsidRPr="0031675F">
        <w:rPr>
          <w:lang w:eastAsia="en-AU"/>
        </w:rPr>
        <w:t xml:space="preserve">photometric accuracy of a spectrophotometer, which is typically around 0.005 absorption units. Literature LODs for CDOM range </w:t>
      </w:r>
      <w:r w:rsidRPr="0031675F">
        <w:t>from an absorption coefficient of</w:t>
      </w:r>
      <w:r w:rsidRPr="0031675F">
        <w:rPr>
          <w:lang w:eastAsia="en-AU"/>
        </w:rPr>
        <w:t xml:space="preserve"> 0.004 m</w:t>
      </w:r>
      <w:r w:rsidRPr="0031675F">
        <w:rPr>
          <w:vertAlign w:val="superscript"/>
          <w:lang w:eastAsia="en-AU"/>
        </w:rPr>
        <w:t>-1</w:t>
      </w:r>
      <w:r w:rsidRPr="0031675F">
        <w:rPr>
          <w:lang w:eastAsia="en-AU"/>
        </w:rPr>
        <w:t xml:space="preserve"> to </w:t>
      </w:r>
      <w:r w:rsidRPr="0031675F">
        <w:rPr>
          <w:sz w:val="12"/>
          <w:szCs w:val="12"/>
          <w:vertAlign w:val="subscript"/>
          <w:lang w:eastAsia="en-AU"/>
        </w:rPr>
        <w:t>o</w:t>
      </w:r>
      <w:r w:rsidRPr="0031675F">
        <w:rPr>
          <w:sz w:val="12"/>
          <w:szCs w:val="12"/>
          <w:lang w:eastAsia="en-AU"/>
        </w:rPr>
        <w:t xml:space="preserve"> </w:t>
      </w:r>
      <w:r w:rsidRPr="0031675F">
        <w:rPr>
          <w:lang w:eastAsia="en-AU"/>
        </w:rPr>
        <w:t>0.013 m</w:t>
      </w:r>
      <w:r w:rsidRPr="0031675F">
        <w:rPr>
          <w:vertAlign w:val="superscript"/>
          <w:lang w:eastAsia="en-AU"/>
        </w:rPr>
        <w:t>-1</w:t>
      </w:r>
      <w:r w:rsidRPr="0031675F">
        <w:rPr>
          <w:lang w:eastAsia="en-AU"/>
        </w:rPr>
        <w:t>. (Nelson and Coble 2009)</w:t>
      </w:r>
    </w:p>
    <w:p w14:paraId="1A4ADC40" w14:textId="77777777" w:rsidR="0031675F" w:rsidRPr="0031675F" w:rsidRDefault="0031675F" w:rsidP="0031675F">
      <w:pPr>
        <w:rPr>
          <w:rFonts w:cs="Calibri"/>
          <w:sz w:val="20"/>
          <w:szCs w:val="20"/>
        </w:rPr>
      </w:pPr>
    </w:p>
    <w:p w14:paraId="44F04111" w14:textId="77777777" w:rsidR="0031675F" w:rsidRPr="0031675F" w:rsidRDefault="0031675F" w:rsidP="0031675F">
      <w:pPr>
        <w:widowControl w:val="0"/>
        <w:numPr>
          <w:ilvl w:val="1"/>
          <w:numId w:val="154"/>
        </w:numPr>
        <w:tabs>
          <w:tab w:val="left" w:pos="839"/>
        </w:tabs>
        <w:spacing w:before="206" w:after="0" w:line="240" w:lineRule="auto"/>
        <w:ind w:left="838" w:hanging="720"/>
        <w:rPr>
          <w:rFonts w:eastAsia="Arial" w:cs="Arial"/>
          <w:sz w:val="24"/>
          <w:szCs w:val="24"/>
        </w:rPr>
      </w:pPr>
      <w:bookmarkStart w:id="652" w:name="_TOC_250043"/>
      <w:r w:rsidRPr="0031675F">
        <w:rPr>
          <w:b/>
          <w:sz w:val="24"/>
        </w:rPr>
        <w:t>Data</w:t>
      </w:r>
      <w:r w:rsidRPr="0031675F">
        <w:rPr>
          <w:b/>
          <w:spacing w:val="1"/>
          <w:sz w:val="24"/>
        </w:rPr>
        <w:t xml:space="preserve"> </w:t>
      </w:r>
      <w:r w:rsidRPr="0031675F">
        <w:rPr>
          <w:b/>
          <w:spacing w:val="-1"/>
          <w:sz w:val="24"/>
        </w:rPr>
        <w:t>management</w:t>
      </w:r>
      <w:bookmarkEnd w:id="652"/>
    </w:p>
    <w:p w14:paraId="4FFCFD65" w14:textId="578B284F" w:rsidR="0031675F" w:rsidRPr="0031675F" w:rsidRDefault="0031675F" w:rsidP="0031675F">
      <w:pPr>
        <w:spacing w:after="120"/>
      </w:pPr>
      <w:r w:rsidRPr="0031675F">
        <w:t>Each sample is assigned a unique identifier</w:t>
      </w:r>
      <w:r w:rsidR="00FE34ED">
        <w:t xml:space="preserve">: </w:t>
      </w:r>
      <w:r w:rsidRPr="0031675F">
        <w:t xml:space="preserve">usually a combination of sampling site reference, depth in the water column from which the sample was taken and the replicate number. </w:t>
      </w:r>
    </w:p>
    <w:p w14:paraId="3791EBD3" w14:textId="77777777" w:rsidR="0031675F" w:rsidRPr="0031675F" w:rsidRDefault="0031675F" w:rsidP="0031675F">
      <w:pPr>
        <w:spacing w:after="120"/>
      </w:pPr>
      <w:r w:rsidRPr="0031675F">
        <w:t>All absorption spectra are saved as Excel files on the spectrophotometer and archived. All calculation results are saved in SigmaPlot and archived. An Excel worksheet combining sample details and analysis results is then used to create a feeder sheet for the Oracle database (</w:t>
      </w:r>
      <w:hyperlink r:id="rId125" w:history="1">
        <w:r w:rsidRPr="0031675F">
          <w:rPr>
            <w:u w:val="single"/>
          </w:rPr>
          <w:t>http://waterquality.aims.gov.au:8080/waterquality</w:t>
        </w:r>
      </w:hyperlink>
      <w:r w:rsidRPr="0031675F">
        <w:t>). It will also keep a copy of the related excel file complete with QAQC data. All laboratory work forms are then archived. For details about data management procedures developed at AIMS under Reef Rescue MMP see Section A12.</w:t>
      </w:r>
    </w:p>
    <w:p w14:paraId="7410D936" w14:textId="77777777" w:rsidR="0031675F" w:rsidRPr="0031675F" w:rsidRDefault="0031675F" w:rsidP="0031675F">
      <w:pPr>
        <w:spacing w:after="120"/>
      </w:pPr>
    </w:p>
    <w:p w14:paraId="4569EB79" w14:textId="77777777" w:rsidR="0031675F" w:rsidRPr="0031675F" w:rsidRDefault="0031675F" w:rsidP="0031675F">
      <w:pPr>
        <w:widowControl w:val="0"/>
        <w:numPr>
          <w:ilvl w:val="1"/>
          <w:numId w:val="154"/>
        </w:numPr>
        <w:tabs>
          <w:tab w:val="left" w:pos="839"/>
        </w:tabs>
        <w:spacing w:before="0" w:after="0" w:line="240" w:lineRule="auto"/>
        <w:ind w:left="838" w:hanging="720"/>
        <w:rPr>
          <w:rFonts w:eastAsia="Arial" w:cs="Arial"/>
          <w:sz w:val="24"/>
          <w:szCs w:val="24"/>
        </w:rPr>
      </w:pPr>
      <w:bookmarkStart w:id="653" w:name="_TOC_250042"/>
      <w:r w:rsidRPr="0031675F">
        <w:rPr>
          <w:b/>
          <w:sz w:val="24"/>
        </w:rPr>
        <w:t>Quality</w:t>
      </w:r>
      <w:r w:rsidRPr="0031675F">
        <w:rPr>
          <w:b/>
          <w:spacing w:val="-6"/>
          <w:sz w:val="24"/>
        </w:rPr>
        <w:t xml:space="preserve"> </w:t>
      </w:r>
      <w:r w:rsidRPr="0031675F">
        <w:rPr>
          <w:b/>
          <w:spacing w:val="-1"/>
          <w:sz w:val="24"/>
        </w:rPr>
        <w:t>control</w:t>
      </w:r>
      <w:bookmarkEnd w:id="653"/>
    </w:p>
    <w:p w14:paraId="0B7B485E" w14:textId="77777777" w:rsidR="0031675F" w:rsidRPr="0031675F" w:rsidRDefault="0031675F" w:rsidP="0031675F">
      <w:pPr>
        <w:spacing w:before="20" w:after="120" w:line="538" w:lineRule="exact"/>
        <w:ind w:right="2040"/>
      </w:pPr>
      <w:r w:rsidRPr="0031675F">
        <w:t xml:space="preserve">QAQC </w:t>
      </w:r>
      <w:r w:rsidRPr="0031675F">
        <w:rPr>
          <w:spacing w:val="-1"/>
        </w:rPr>
        <w:t>tests</w:t>
      </w:r>
      <w:r w:rsidRPr="0031675F">
        <w:rPr>
          <w:spacing w:val="-3"/>
        </w:rPr>
        <w:t xml:space="preserve"> </w:t>
      </w:r>
      <w:r w:rsidRPr="0031675F">
        <w:rPr>
          <w:spacing w:val="-1"/>
        </w:rPr>
        <w:t>undertaken</w:t>
      </w:r>
      <w:r w:rsidRPr="0031675F">
        <w:t xml:space="preserve"> </w:t>
      </w:r>
      <w:r w:rsidRPr="0031675F">
        <w:rPr>
          <w:spacing w:val="-2"/>
        </w:rPr>
        <w:t>and</w:t>
      </w:r>
      <w:r w:rsidRPr="0031675F">
        <w:rPr>
          <w:spacing w:val="-1"/>
        </w:rPr>
        <w:t xml:space="preserve"> reporting as</w:t>
      </w:r>
      <w:r w:rsidRPr="0031675F">
        <w:t xml:space="preserve"> </w:t>
      </w:r>
      <w:r w:rsidRPr="0031675F">
        <w:rPr>
          <w:spacing w:val="-1"/>
        </w:rPr>
        <w:t>part</w:t>
      </w:r>
      <w:r w:rsidRPr="0031675F">
        <w:rPr>
          <w:spacing w:val="-2"/>
        </w:rPr>
        <w:t xml:space="preserve"> </w:t>
      </w:r>
      <w:r w:rsidRPr="0031675F">
        <w:t>of</w:t>
      </w:r>
      <w:r w:rsidRPr="0031675F">
        <w:rPr>
          <w:spacing w:val="-2"/>
        </w:rPr>
        <w:t xml:space="preserve"> </w:t>
      </w:r>
      <w:r w:rsidRPr="0031675F">
        <w:t xml:space="preserve">the </w:t>
      </w:r>
      <w:r w:rsidRPr="0031675F">
        <w:rPr>
          <w:spacing w:val="-1"/>
        </w:rPr>
        <w:t>data</w:t>
      </w:r>
      <w:r w:rsidRPr="0031675F">
        <w:t xml:space="preserve"> </w:t>
      </w:r>
      <w:r w:rsidRPr="0031675F">
        <w:rPr>
          <w:spacing w:val="-1"/>
        </w:rPr>
        <w:t>reporting include:</w:t>
      </w:r>
      <w:r w:rsidRPr="0031675F">
        <w:rPr>
          <w:spacing w:val="61"/>
        </w:rPr>
        <w:t xml:space="preserve"> </w:t>
      </w: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limit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detection (LOD)</w:t>
      </w:r>
    </w:p>
    <w:p w14:paraId="1393F599" w14:textId="77777777" w:rsidR="0031675F" w:rsidRPr="0031675F" w:rsidRDefault="0031675F" w:rsidP="0031675F">
      <w:pPr>
        <w:spacing w:line="220" w:lineRule="exact"/>
        <w:ind w:left="118"/>
        <w:rPr>
          <w:rFonts w:cs="Calibri"/>
        </w:rPr>
      </w:pPr>
      <w:r w:rsidRPr="0031675F">
        <w:rPr>
          <w:i/>
          <w:spacing w:val="-1"/>
        </w:rPr>
        <w:t>NB:</w:t>
      </w:r>
      <w:r w:rsidRPr="0031675F">
        <w:rPr>
          <w:i/>
          <w:spacing w:val="38"/>
        </w:rPr>
        <w:t xml:space="preserve"> </w:t>
      </w:r>
      <w:r w:rsidRPr="0031675F">
        <w:rPr>
          <w:i/>
        </w:rPr>
        <w:t>the</w:t>
      </w:r>
      <w:r w:rsidRPr="0031675F">
        <w:rPr>
          <w:i/>
          <w:spacing w:val="38"/>
        </w:rPr>
        <w:t xml:space="preserve"> </w:t>
      </w:r>
      <w:r w:rsidRPr="0031675F">
        <w:rPr>
          <w:i/>
          <w:spacing w:val="-1"/>
        </w:rPr>
        <w:t>Limit</w:t>
      </w:r>
      <w:r w:rsidRPr="0031675F">
        <w:rPr>
          <w:i/>
          <w:spacing w:val="39"/>
        </w:rPr>
        <w:t xml:space="preserve"> </w:t>
      </w:r>
      <w:r w:rsidRPr="0031675F">
        <w:rPr>
          <w:i/>
          <w:spacing w:val="-1"/>
        </w:rPr>
        <w:t>of</w:t>
      </w:r>
      <w:r w:rsidRPr="0031675F">
        <w:rPr>
          <w:i/>
          <w:spacing w:val="35"/>
        </w:rPr>
        <w:t xml:space="preserve"> </w:t>
      </w:r>
      <w:r w:rsidRPr="0031675F">
        <w:rPr>
          <w:i/>
          <w:spacing w:val="-1"/>
        </w:rPr>
        <w:t>Detection</w:t>
      </w:r>
      <w:r w:rsidRPr="0031675F">
        <w:rPr>
          <w:i/>
          <w:spacing w:val="38"/>
        </w:rPr>
        <w:t xml:space="preserve"> </w:t>
      </w:r>
      <w:r w:rsidRPr="0031675F">
        <w:rPr>
          <w:i/>
          <w:spacing w:val="-1"/>
        </w:rPr>
        <w:t>(LOD)</w:t>
      </w:r>
      <w:r w:rsidRPr="0031675F">
        <w:rPr>
          <w:i/>
          <w:spacing w:val="39"/>
        </w:rPr>
        <w:t xml:space="preserve"> </w:t>
      </w:r>
      <w:r w:rsidRPr="0031675F">
        <w:rPr>
          <w:i/>
          <w:spacing w:val="-1"/>
        </w:rPr>
        <w:t>or</w:t>
      </w:r>
      <w:r w:rsidRPr="0031675F">
        <w:rPr>
          <w:i/>
          <w:spacing w:val="39"/>
        </w:rPr>
        <w:t xml:space="preserve"> </w:t>
      </w:r>
      <w:r w:rsidRPr="0031675F">
        <w:rPr>
          <w:i/>
          <w:spacing w:val="-1"/>
        </w:rPr>
        <w:t>detection</w:t>
      </w:r>
      <w:r w:rsidRPr="0031675F">
        <w:rPr>
          <w:i/>
          <w:spacing w:val="36"/>
        </w:rPr>
        <w:t xml:space="preserve"> </w:t>
      </w:r>
      <w:r w:rsidRPr="0031675F">
        <w:rPr>
          <w:i/>
          <w:spacing w:val="-1"/>
        </w:rPr>
        <w:t>limit,</w:t>
      </w:r>
      <w:r w:rsidRPr="0031675F">
        <w:rPr>
          <w:i/>
          <w:spacing w:val="36"/>
        </w:rPr>
        <w:t xml:space="preserve"> </w:t>
      </w:r>
      <w:r w:rsidRPr="0031675F">
        <w:rPr>
          <w:i/>
        </w:rPr>
        <w:t>is</w:t>
      </w:r>
      <w:r w:rsidRPr="0031675F">
        <w:rPr>
          <w:i/>
          <w:spacing w:val="39"/>
        </w:rPr>
        <w:t xml:space="preserve"> </w:t>
      </w:r>
      <w:r w:rsidRPr="0031675F">
        <w:rPr>
          <w:i/>
        </w:rPr>
        <w:t>the</w:t>
      </w:r>
      <w:r w:rsidRPr="0031675F">
        <w:rPr>
          <w:i/>
          <w:spacing w:val="37"/>
        </w:rPr>
        <w:t xml:space="preserve"> </w:t>
      </w:r>
      <w:r w:rsidRPr="0031675F">
        <w:rPr>
          <w:i/>
          <w:spacing w:val="-1"/>
        </w:rPr>
        <w:t>lowest</w:t>
      </w:r>
      <w:r w:rsidRPr="0031675F">
        <w:rPr>
          <w:i/>
          <w:spacing w:val="39"/>
        </w:rPr>
        <w:t xml:space="preserve"> </w:t>
      </w:r>
      <w:r w:rsidRPr="0031675F">
        <w:rPr>
          <w:i/>
          <w:spacing w:val="-1"/>
        </w:rPr>
        <w:t>concentration</w:t>
      </w:r>
      <w:r w:rsidRPr="0031675F">
        <w:rPr>
          <w:i/>
          <w:spacing w:val="38"/>
        </w:rPr>
        <w:t xml:space="preserve"> </w:t>
      </w:r>
      <w:r w:rsidRPr="0031675F">
        <w:rPr>
          <w:i/>
        </w:rPr>
        <w:t>level</w:t>
      </w:r>
      <w:r w:rsidRPr="0031675F">
        <w:rPr>
          <w:i/>
          <w:spacing w:val="38"/>
        </w:rPr>
        <w:t xml:space="preserve"> </w:t>
      </w:r>
      <w:r w:rsidRPr="0031675F">
        <w:rPr>
          <w:i/>
          <w:spacing w:val="-1"/>
        </w:rPr>
        <w:t>that</w:t>
      </w:r>
      <w:r w:rsidRPr="0031675F">
        <w:rPr>
          <w:i/>
          <w:spacing w:val="38"/>
        </w:rPr>
        <w:t xml:space="preserve"> </w:t>
      </w:r>
      <w:r w:rsidRPr="0031675F">
        <w:rPr>
          <w:i/>
          <w:spacing w:val="-1"/>
        </w:rPr>
        <w:t>can</w:t>
      </w:r>
      <w:r w:rsidRPr="0031675F">
        <w:rPr>
          <w:i/>
          <w:spacing w:val="38"/>
        </w:rPr>
        <w:t xml:space="preserve"> </w:t>
      </w:r>
      <w:r w:rsidRPr="0031675F">
        <w:rPr>
          <w:i/>
          <w:spacing w:val="-1"/>
        </w:rPr>
        <w:t xml:space="preserve">be determined </w:t>
      </w:r>
      <w:r w:rsidRPr="0031675F">
        <w:rPr>
          <w:i/>
        </w:rPr>
        <w:t xml:space="preserve">to </w:t>
      </w:r>
      <w:r w:rsidRPr="0031675F">
        <w:rPr>
          <w:i/>
          <w:spacing w:val="-1"/>
        </w:rPr>
        <w:t>be</w:t>
      </w:r>
      <w:r w:rsidRPr="0031675F">
        <w:rPr>
          <w:i/>
          <w:spacing w:val="-3"/>
        </w:rPr>
        <w:t xml:space="preserve"> </w:t>
      </w:r>
      <w:r w:rsidRPr="0031675F">
        <w:rPr>
          <w:i/>
          <w:spacing w:val="-1"/>
        </w:rPr>
        <w:t>statistically different</w:t>
      </w:r>
      <w:r w:rsidRPr="0031675F">
        <w:rPr>
          <w:i/>
          <w:spacing w:val="-3"/>
        </w:rPr>
        <w:t xml:space="preserve"> </w:t>
      </w:r>
      <w:r w:rsidRPr="0031675F">
        <w:rPr>
          <w:i/>
          <w:spacing w:val="-1"/>
        </w:rPr>
        <w:t>from</w:t>
      </w:r>
      <w:r w:rsidRPr="0031675F">
        <w:rPr>
          <w:i/>
          <w:spacing w:val="1"/>
        </w:rPr>
        <w:t xml:space="preserve"> </w:t>
      </w:r>
      <w:r w:rsidRPr="0031675F">
        <w:rPr>
          <w:i/>
        </w:rPr>
        <w:t>a</w:t>
      </w:r>
      <w:r w:rsidRPr="0031675F">
        <w:rPr>
          <w:i/>
          <w:spacing w:val="-1"/>
        </w:rPr>
        <w:t xml:space="preserve"> blank</w:t>
      </w:r>
      <w:r w:rsidRPr="0031675F">
        <w:rPr>
          <w:i/>
        </w:rPr>
        <w:t xml:space="preserve"> </w:t>
      </w:r>
      <w:r w:rsidRPr="0031675F">
        <w:rPr>
          <w:i/>
          <w:spacing w:val="-2"/>
        </w:rPr>
        <w:t>(99%</w:t>
      </w:r>
      <w:r w:rsidRPr="0031675F">
        <w:rPr>
          <w:i/>
          <w:spacing w:val="1"/>
        </w:rPr>
        <w:t xml:space="preserve"> </w:t>
      </w:r>
      <w:r w:rsidRPr="0031675F">
        <w:rPr>
          <w:i/>
          <w:spacing w:val="-1"/>
        </w:rPr>
        <w:t>confidence).</w:t>
      </w:r>
    </w:p>
    <w:p w14:paraId="2E41B1F2" w14:textId="77777777" w:rsidR="0031675F" w:rsidRPr="0031675F" w:rsidRDefault="0031675F" w:rsidP="0031675F">
      <w:pPr>
        <w:tabs>
          <w:tab w:val="left" w:pos="547"/>
        </w:tabs>
        <w:spacing w:after="120"/>
        <w:ind w:left="478"/>
      </w:pPr>
      <w:r w:rsidRPr="0031675F">
        <w:rPr>
          <w:spacing w:val="-1"/>
        </w:rPr>
        <w:t>Minimum</w:t>
      </w:r>
      <w:r w:rsidRPr="0031675F">
        <w:rPr>
          <w:spacing w:val="1"/>
        </w:rPr>
        <w:t xml:space="preserve"> </w:t>
      </w:r>
      <w:r w:rsidRPr="0031675F">
        <w:rPr>
          <w:spacing w:val="-1"/>
        </w:rPr>
        <w:t>detection limits</w:t>
      </w:r>
      <w:r w:rsidRPr="0031675F">
        <w:rPr>
          <w:spacing w:val="-5"/>
        </w:rPr>
        <w:t xml:space="preserve"> </w:t>
      </w:r>
      <w:r w:rsidRPr="0031675F">
        <w:t xml:space="preserve">will be </w:t>
      </w:r>
      <w:r w:rsidRPr="0031675F">
        <w:rPr>
          <w:spacing w:val="-1"/>
        </w:rPr>
        <w:t>calculated</w:t>
      </w:r>
      <w:r w:rsidRPr="0031675F">
        <w:t xml:space="preserve"> for</w:t>
      </w:r>
      <w:r w:rsidRPr="0031675F">
        <w:rPr>
          <w:spacing w:val="-3"/>
        </w:rPr>
        <w:t xml:space="preserve"> </w:t>
      </w:r>
      <w:r w:rsidRPr="0031675F">
        <w:rPr>
          <w:spacing w:val="-1"/>
        </w:rPr>
        <w:t>this</w:t>
      </w:r>
      <w:r w:rsidRPr="0031675F">
        <w:rPr>
          <w:spacing w:val="-3"/>
        </w:rPr>
        <w:t xml:space="preserve"> </w:t>
      </w:r>
      <w:r w:rsidRPr="0031675F">
        <w:rPr>
          <w:spacing w:val="-1"/>
        </w:rPr>
        <w:t xml:space="preserve">method using repetition </w:t>
      </w:r>
      <w:r w:rsidRPr="0031675F">
        <w:t>of</w:t>
      </w:r>
      <w:r w:rsidRPr="0031675F">
        <w:rPr>
          <w:spacing w:val="-3"/>
        </w:rPr>
        <w:t xml:space="preserve"> </w:t>
      </w:r>
      <w:r w:rsidRPr="0031675F">
        <w:rPr>
          <w:spacing w:val="-1"/>
        </w:rPr>
        <w:t>baseline spectra.</w:t>
      </w:r>
    </w:p>
    <w:p w14:paraId="29544FB5" w14:textId="77777777" w:rsidR="0031675F" w:rsidRPr="0031675F" w:rsidRDefault="0031675F" w:rsidP="0031675F">
      <w:pPr>
        <w:spacing w:before="11"/>
        <w:rPr>
          <w:rFonts w:cs="Calibri"/>
          <w:sz w:val="21"/>
          <w:szCs w:val="21"/>
        </w:rPr>
      </w:pPr>
    </w:p>
    <w:p w14:paraId="22828E79" w14:textId="77777777" w:rsidR="0031675F" w:rsidRPr="0031675F" w:rsidRDefault="0031675F" w:rsidP="0031675F">
      <w:pPr>
        <w:spacing w:after="120"/>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1"/>
          <w:u w:val="single" w:color="000000"/>
        </w:rPr>
        <w:t xml:space="preserve"> precision </w:t>
      </w:r>
      <w:r w:rsidRPr="0031675F">
        <w:rPr>
          <w:u w:val="single" w:color="000000"/>
        </w:rPr>
        <w:t>of</w:t>
      </w:r>
      <w:r w:rsidRPr="0031675F">
        <w:rPr>
          <w:spacing w:val="-5"/>
          <w:u w:val="single" w:color="000000"/>
        </w:rPr>
        <w:t xml:space="preserve"> </w:t>
      </w:r>
      <w:r w:rsidRPr="0031675F">
        <w:rPr>
          <w:u w:val="single" w:color="000000"/>
        </w:rPr>
        <w:t>the</w:t>
      </w:r>
      <w:r w:rsidRPr="0031675F">
        <w:rPr>
          <w:spacing w:val="-1"/>
          <w:u w:val="single" w:color="000000"/>
        </w:rPr>
        <w:t xml:space="preserve"> analysis</w:t>
      </w:r>
    </w:p>
    <w:p w14:paraId="05A088E2" w14:textId="77777777" w:rsidR="0031675F" w:rsidRPr="0031675F" w:rsidRDefault="0031675F" w:rsidP="0031675F">
      <w:pPr>
        <w:ind w:left="118" w:right="120"/>
        <w:rPr>
          <w:rFonts w:cs="Calibri"/>
        </w:rPr>
      </w:pPr>
      <w:r w:rsidRPr="0031675F">
        <w:rPr>
          <w:i/>
          <w:spacing w:val="-1"/>
        </w:rPr>
        <w:t>NB:</w:t>
      </w:r>
      <w:r w:rsidRPr="0031675F">
        <w:rPr>
          <w:i/>
          <w:spacing w:val="3"/>
        </w:rPr>
        <w:t xml:space="preserve"> </w:t>
      </w:r>
      <w:r w:rsidRPr="0031675F">
        <w:rPr>
          <w:i/>
          <w:spacing w:val="-1"/>
        </w:rPr>
        <w:t>This</w:t>
      </w:r>
      <w:r w:rsidRPr="0031675F">
        <w:rPr>
          <w:i/>
          <w:spacing w:val="3"/>
        </w:rPr>
        <w:t xml:space="preserve"> </w:t>
      </w:r>
      <w:r w:rsidRPr="0031675F">
        <w:rPr>
          <w:i/>
        </w:rPr>
        <w:t>is</w:t>
      </w:r>
      <w:r w:rsidRPr="0031675F">
        <w:rPr>
          <w:i/>
          <w:spacing w:val="2"/>
        </w:rPr>
        <w:t xml:space="preserve"> </w:t>
      </w:r>
      <w:r w:rsidRPr="0031675F">
        <w:rPr>
          <w:i/>
          <w:spacing w:val="-1"/>
        </w:rPr>
        <w:t>generally</w:t>
      </w:r>
      <w:r w:rsidRPr="0031675F">
        <w:rPr>
          <w:i/>
          <w:spacing w:val="2"/>
        </w:rPr>
        <w:t xml:space="preserve"> </w:t>
      </w:r>
      <w:r w:rsidRPr="0031675F">
        <w:rPr>
          <w:i/>
          <w:spacing w:val="-1"/>
        </w:rPr>
        <w:t>achieved</w:t>
      </w:r>
      <w:r w:rsidRPr="0031675F">
        <w:rPr>
          <w:i/>
          <w:spacing w:val="1"/>
        </w:rPr>
        <w:t xml:space="preserve"> </w:t>
      </w:r>
      <w:r w:rsidRPr="0031675F">
        <w:rPr>
          <w:i/>
          <w:spacing w:val="-1"/>
        </w:rPr>
        <w:t>by</w:t>
      </w:r>
      <w:r w:rsidRPr="0031675F">
        <w:rPr>
          <w:i/>
          <w:spacing w:val="2"/>
        </w:rPr>
        <w:t xml:space="preserve"> </w:t>
      </w:r>
      <w:r w:rsidRPr="0031675F">
        <w:rPr>
          <w:i/>
        </w:rPr>
        <w:t>the</w:t>
      </w:r>
      <w:r w:rsidRPr="0031675F">
        <w:rPr>
          <w:i/>
          <w:spacing w:val="2"/>
        </w:rPr>
        <w:t xml:space="preserve"> </w:t>
      </w:r>
      <w:r w:rsidRPr="0031675F">
        <w:rPr>
          <w:i/>
          <w:spacing w:val="-1"/>
        </w:rPr>
        <w:t>repeated</w:t>
      </w:r>
      <w:r w:rsidRPr="0031675F">
        <w:rPr>
          <w:i/>
          <w:spacing w:val="2"/>
        </w:rPr>
        <w:t xml:space="preserve"> </w:t>
      </w:r>
      <w:r w:rsidRPr="0031675F">
        <w:rPr>
          <w:i/>
          <w:spacing w:val="-1"/>
        </w:rPr>
        <w:t>analyses</w:t>
      </w:r>
      <w:r w:rsidRPr="0031675F">
        <w:rPr>
          <w:i/>
          <w:spacing w:val="3"/>
        </w:rPr>
        <w:t xml:space="preserve"> </w:t>
      </w:r>
      <w:r w:rsidRPr="0031675F">
        <w:rPr>
          <w:i/>
          <w:spacing w:val="-1"/>
        </w:rPr>
        <w:t>of</w:t>
      </w:r>
      <w:r w:rsidRPr="0031675F">
        <w:rPr>
          <w:i/>
          <w:spacing w:val="2"/>
        </w:rPr>
        <w:t xml:space="preserve"> </w:t>
      </w:r>
      <w:r w:rsidRPr="0031675F">
        <w:rPr>
          <w:i/>
        </w:rPr>
        <w:t>the</w:t>
      </w:r>
      <w:r w:rsidRPr="0031675F">
        <w:rPr>
          <w:i/>
          <w:spacing w:val="2"/>
        </w:rPr>
        <w:t xml:space="preserve"> </w:t>
      </w:r>
      <w:r w:rsidRPr="0031675F">
        <w:rPr>
          <w:i/>
          <w:spacing w:val="-1"/>
        </w:rPr>
        <w:t>same</w:t>
      </w:r>
      <w:r w:rsidRPr="0031675F">
        <w:rPr>
          <w:i/>
          <w:spacing w:val="3"/>
        </w:rPr>
        <w:t xml:space="preserve"> </w:t>
      </w:r>
      <w:r w:rsidRPr="0031675F">
        <w:rPr>
          <w:i/>
          <w:spacing w:val="-1"/>
        </w:rPr>
        <w:t>concentration</w:t>
      </w:r>
      <w:r w:rsidRPr="0031675F">
        <w:rPr>
          <w:i/>
          <w:spacing w:val="2"/>
        </w:rPr>
        <w:t xml:space="preserve"> </w:t>
      </w:r>
      <w:r w:rsidRPr="0031675F">
        <w:rPr>
          <w:i/>
          <w:spacing w:val="-1"/>
        </w:rPr>
        <w:t>of</w:t>
      </w:r>
      <w:r w:rsidRPr="0031675F">
        <w:rPr>
          <w:i/>
          <w:spacing w:val="7"/>
        </w:rPr>
        <w:t xml:space="preserve"> </w:t>
      </w:r>
      <w:r w:rsidRPr="0031675F">
        <w:rPr>
          <w:i/>
          <w:spacing w:val="-1"/>
        </w:rPr>
        <w:t>analyte</w:t>
      </w:r>
      <w:r w:rsidRPr="0031675F">
        <w:rPr>
          <w:i/>
          <w:spacing w:val="3"/>
        </w:rPr>
        <w:t xml:space="preserve"> </w:t>
      </w:r>
      <w:r w:rsidRPr="0031675F">
        <w:rPr>
          <w:i/>
        </w:rPr>
        <w:t>to</w:t>
      </w:r>
      <w:r w:rsidRPr="0031675F">
        <w:rPr>
          <w:i/>
          <w:spacing w:val="2"/>
        </w:rPr>
        <w:t xml:space="preserve"> </w:t>
      </w:r>
      <w:r w:rsidRPr="0031675F">
        <w:rPr>
          <w:i/>
          <w:spacing w:val="-1"/>
        </w:rPr>
        <w:t>check</w:t>
      </w:r>
      <w:r w:rsidRPr="0031675F">
        <w:rPr>
          <w:i/>
          <w:spacing w:val="61"/>
        </w:rPr>
        <w:t xml:space="preserve"> </w:t>
      </w:r>
      <w:r w:rsidRPr="0031675F">
        <w:rPr>
          <w:i/>
          <w:spacing w:val="-1"/>
        </w:rPr>
        <w:t>for</w:t>
      </w:r>
      <w:r w:rsidRPr="0031675F">
        <w:rPr>
          <w:i/>
        </w:rPr>
        <w:t xml:space="preserve"> </w:t>
      </w:r>
      <w:r w:rsidRPr="0031675F">
        <w:rPr>
          <w:i/>
          <w:spacing w:val="-1"/>
        </w:rPr>
        <w:t>reproducibility.</w:t>
      </w:r>
    </w:p>
    <w:p w14:paraId="7AB0002B" w14:textId="77777777" w:rsidR="0031675F" w:rsidRPr="0031675F" w:rsidRDefault="0031675F" w:rsidP="0031675F">
      <w:pPr>
        <w:spacing w:before="12"/>
        <w:rPr>
          <w:rFonts w:cs="Calibri"/>
          <w:sz w:val="16"/>
          <w:szCs w:val="16"/>
        </w:rPr>
      </w:pPr>
    </w:p>
    <w:p w14:paraId="4D03690E" w14:textId="77777777" w:rsidR="0031675F" w:rsidRPr="0031675F" w:rsidRDefault="0031675F" w:rsidP="0031675F">
      <w:pPr>
        <w:spacing w:after="120"/>
      </w:pPr>
      <w:r w:rsidRPr="0031675F">
        <w:rPr>
          <w:spacing w:val="-1"/>
          <w:u w:val="single" w:color="000000"/>
        </w:rPr>
        <w:t>Reproducibility</w:t>
      </w:r>
      <w:r w:rsidRPr="0031675F">
        <w:rPr>
          <w:u w:val="single" w:color="000000"/>
        </w:rPr>
        <w:t xml:space="preserve"> of</w:t>
      </w:r>
      <w:r w:rsidRPr="0031675F">
        <w:rPr>
          <w:spacing w:val="-3"/>
          <w:u w:val="single" w:color="000000"/>
        </w:rPr>
        <w:t xml:space="preserve"> </w:t>
      </w:r>
      <w:r w:rsidRPr="0031675F">
        <w:rPr>
          <w:spacing w:val="-1"/>
          <w:u w:val="single" w:color="000000"/>
        </w:rPr>
        <w:t>duplicate</w:t>
      </w:r>
      <w:r w:rsidRPr="0031675F">
        <w:rPr>
          <w:u w:val="single" w:color="000000"/>
        </w:rPr>
        <w:t xml:space="preserve"> </w:t>
      </w:r>
      <w:r w:rsidRPr="0031675F">
        <w:rPr>
          <w:spacing w:val="-1"/>
          <w:u w:val="single" w:color="000000"/>
        </w:rPr>
        <w:t>analytical units:</w:t>
      </w:r>
    </w:p>
    <w:p w14:paraId="16E22C9C" w14:textId="77777777" w:rsidR="0031675F" w:rsidRPr="0031675F" w:rsidRDefault="0031675F" w:rsidP="0031675F">
      <w:pPr>
        <w:ind w:left="118" w:right="114"/>
        <w:jc w:val="both"/>
        <w:rPr>
          <w:rFonts w:cs="Calibri"/>
        </w:rPr>
      </w:pPr>
      <w:r w:rsidRPr="0031675F">
        <w:rPr>
          <w:i/>
          <w:spacing w:val="-1"/>
        </w:rPr>
        <w:t>NB:</w:t>
      </w:r>
      <w:r w:rsidRPr="0031675F">
        <w:rPr>
          <w:i/>
          <w:spacing w:val="20"/>
        </w:rPr>
        <w:t xml:space="preserve"> </w:t>
      </w:r>
      <w:r w:rsidRPr="0031675F">
        <w:rPr>
          <w:i/>
          <w:spacing w:val="-1"/>
        </w:rPr>
        <w:t>The</w:t>
      </w:r>
      <w:r w:rsidRPr="0031675F">
        <w:rPr>
          <w:i/>
          <w:spacing w:val="19"/>
        </w:rPr>
        <w:t xml:space="preserve"> </w:t>
      </w:r>
      <w:r w:rsidRPr="0031675F">
        <w:rPr>
          <w:i/>
          <w:spacing w:val="-1"/>
        </w:rPr>
        <w:t>variation</w:t>
      </w:r>
      <w:r w:rsidRPr="0031675F">
        <w:rPr>
          <w:i/>
          <w:spacing w:val="18"/>
        </w:rPr>
        <w:t xml:space="preserve"> </w:t>
      </w:r>
      <w:r w:rsidRPr="0031675F">
        <w:rPr>
          <w:i/>
          <w:spacing w:val="-1"/>
        </w:rPr>
        <w:t>between</w:t>
      </w:r>
      <w:r w:rsidRPr="0031675F">
        <w:rPr>
          <w:i/>
          <w:spacing w:val="17"/>
        </w:rPr>
        <w:t xml:space="preserve"> </w:t>
      </w:r>
      <w:r w:rsidRPr="0031675F">
        <w:rPr>
          <w:i/>
          <w:spacing w:val="-1"/>
        </w:rPr>
        <w:t>results</w:t>
      </w:r>
      <w:r w:rsidRPr="0031675F">
        <w:rPr>
          <w:i/>
          <w:spacing w:val="20"/>
        </w:rPr>
        <w:t xml:space="preserve"> </w:t>
      </w:r>
      <w:r w:rsidRPr="0031675F">
        <w:rPr>
          <w:i/>
          <w:spacing w:val="-1"/>
        </w:rPr>
        <w:t>for</w:t>
      </w:r>
      <w:r w:rsidRPr="0031675F">
        <w:rPr>
          <w:i/>
          <w:spacing w:val="17"/>
        </w:rPr>
        <w:t xml:space="preserve"> </w:t>
      </w:r>
      <w:r w:rsidRPr="0031675F">
        <w:rPr>
          <w:i/>
          <w:spacing w:val="-1"/>
        </w:rPr>
        <w:t>sample</w:t>
      </w:r>
      <w:r w:rsidRPr="0031675F">
        <w:rPr>
          <w:i/>
          <w:spacing w:val="19"/>
        </w:rPr>
        <w:t xml:space="preserve"> </w:t>
      </w:r>
      <w:r w:rsidRPr="0031675F">
        <w:rPr>
          <w:i/>
          <w:spacing w:val="-1"/>
        </w:rPr>
        <w:t>duplicates</w:t>
      </w:r>
      <w:r w:rsidRPr="0031675F">
        <w:rPr>
          <w:i/>
          <w:spacing w:val="20"/>
        </w:rPr>
        <w:t xml:space="preserve"> </w:t>
      </w:r>
      <w:r w:rsidRPr="0031675F">
        <w:rPr>
          <w:i/>
          <w:spacing w:val="-1"/>
        </w:rPr>
        <w:t>indicates</w:t>
      </w:r>
      <w:r w:rsidRPr="0031675F">
        <w:rPr>
          <w:i/>
          <w:spacing w:val="22"/>
        </w:rPr>
        <w:t xml:space="preserve"> </w:t>
      </w:r>
      <w:r w:rsidRPr="0031675F">
        <w:rPr>
          <w:i/>
        </w:rPr>
        <w:t>the</w:t>
      </w:r>
      <w:r w:rsidRPr="0031675F">
        <w:rPr>
          <w:i/>
          <w:spacing w:val="19"/>
        </w:rPr>
        <w:t xml:space="preserve"> </w:t>
      </w:r>
      <w:r w:rsidRPr="0031675F">
        <w:rPr>
          <w:i/>
          <w:spacing w:val="-1"/>
        </w:rPr>
        <w:t>reproducibility</w:t>
      </w:r>
      <w:r w:rsidRPr="0031675F">
        <w:rPr>
          <w:i/>
          <w:spacing w:val="19"/>
        </w:rPr>
        <w:t xml:space="preserve"> </w:t>
      </w:r>
      <w:r w:rsidRPr="0031675F">
        <w:rPr>
          <w:i/>
          <w:spacing w:val="-1"/>
        </w:rPr>
        <w:t>of</w:t>
      </w:r>
      <w:r w:rsidRPr="0031675F">
        <w:rPr>
          <w:i/>
          <w:spacing w:val="18"/>
        </w:rPr>
        <w:t xml:space="preserve"> </w:t>
      </w:r>
      <w:r w:rsidRPr="0031675F">
        <w:rPr>
          <w:i/>
        </w:rPr>
        <w:t>the</w:t>
      </w:r>
      <w:r w:rsidRPr="0031675F">
        <w:rPr>
          <w:i/>
          <w:spacing w:val="19"/>
        </w:rPr>
        <w:t xml:space="preserve"> </w:t>
      </w:r>
      <w:r w:rsidRPr="0031675F">
        <w:rPr>
          <w:i/>
          <w:spacing w:val="-1"/>
        </w:rPr>
        <w:t>analysis</w:t>
      </w:r>
      <w:r w:rsidRPr="0031675F">
        <w:rPr>
          <w:i/>
          <w:spacing w:val="54"/>
        </w:rPr>
        <w:t xml:space="preserve"> </w:t>
      </w:r>
      <w:r w:rsidRPr="0031675F">
        <w:rPr>
          <w:i/>
          <w:spacing w:val="-1"/>
        </w:rPr>
        <w:t>and also</w:t>
      </w:r>
      <w:r w:rsidRPr="0031675F">
        <w:rPr>
          <w:i/>
        </w:rPr>
        <w:t xml:space="preserve"> the effects</w:t>
      </w:r>
      <w:r w:rsidRPr="0031675F">
        <w:rPr>
          <w:i/>
          <w:spacing w:val="-1"/>
        </w:rPr>
        <w:t xml:space="preserve"> of</w:t>
      </w:r>
      <w:r w:rsidRPr="0031675F">
        <w:rPr>
          <w:i/>
        </w:rPr>
        <w:t xml:space="preserve"> </w:t>
      </w:r>
      <w:r w:rsidRPr="0031675F">
        <w:rPr>
          <w:i/>
          <w:spacing w:val="-1"/>
        </w:rPr>
        <w:t>various</w:t>
      </w:r>
      <w:r w:rsidRPr="0031675F">
        <w:rPr>
          <w:i/>
          <w:spacing w:val="1"/>
        </w:rPr>
        <w:t xml:space="preserve"> </w:t>
      </w:r>
      <w:r w:rsidRPr="0031675F">
        <w:rPr>
          <w:i/>
          <w:spacing w:val="-1"/>
        </w:rPr>
        <w:t>sources</w:t>
      </w:r>
      <w:r w:rsidRPr="0031675F">
        <w:rPr>
          <w:i/>
          <w:spacing w:val="1"/>
        </w:rPr>
        <w:t xml:space="preserve"> </w:t>
      </w:r>
      <w:r w:rsidRPr="0031675F">
        <w:rPr>
          <w:i/>
          <w:spacing w:val="-1"/>
        </w:rPr>
        <w:t>of</w:t>
      </w:r>
      <w:r w:rsidRPr="0031675F">
        <w:rPr>
          <w:i/>
        </w:rPr>
        <w:t xml:space="preserve"> </w:t>
      </w:r>
      <w:r w:rsidRPr="0031675F">
        <w:rPr>
          <w:i/>
          <w:spacing w:val="-1"/>
        </w:rPr>
        <w:t>contamination and</w:t>
      </w:r>
      <w:r w:rsidRPr="0031675F">
        <w:rPr>
          <w:i/>
          <w:spacing w:val="1"/>
        </w:rPr>
        <w:t xml:space="preserve"> </w:t>
      </w:r>
      <w:r w:rsidRPr="0031675F">
        <w:rPr>
          <w:i/>
          <w:spacing w:val="-1"/>
        </w:rPr>
        <w:t>analytical</w:t>
      </w:r>
      <w:r w:rsidRPr="0031675F">
        <w:rPr>
          <w:i/>
        </w:rPr>
        <w:t xml:space="preserve"> error</w:t>
      </w:r>
      <w:r w:rsidRPr="0031675F">
        <w:rPr>
          <w:i/>
          <w:spacing w:val="1"/>
        </w:rPr>
        <w:t xml:space="preserve"> </w:t>
      </w:r>
      <w:r w:rsidRPr="0031675F">
        <w:rPr>
          <w:i/>
          <w:spacing w:val="-1"/>
        </w:rPr>
        <w:t>during collection,</w:t>
      </w:r>
      <w:r w:rsidRPr="0031675F">
        <w:rPr>
          <w:i/>
        </w:rPr>
        <w:t xml:space="preserve"> </w:t>
      </w:r>
      <w:r w:rsidRPr="0031675F">
        <w:rPr>
          <w:i/>
          <w:spacing w:val="-1"/>
        </w:rPr>
        <w:t>sample</w:t>
      </w:r>
      <w:r w:rsidRPr="0031675F">
        <w:rPr>
          <w:i/>
          <w:spacing w:val="69"/>
        </w:rPr>
        <w:t xml:space="preserve"> </w:t>
      </w:r>
      <w:r w:rsidRPr="0031675F">
        <w:rPr>
          <w:i/>
          <w:spacing w:val="-1"/>
        </w:rPr>
        <w:t>preparation and analyses.</w:t>
      </w:r>
      <w:r w:rsidRPr="0031675F">
        <w:rPr>
          <w:i/>
          <w:spacing w:val="-5"/>
        </w:rPr>
        <w:t xml:space="preserve"> </w:t>
      </w:r>
      <w:r w:rsidRPr="0031675F">
        <w:rPr>
          <w:i/>
          <w:spacing w:val="-1"/>
        </w:rPr>
        <w:t>Before</w:t>
      </w:r>
      <w:r w:rsidRPr="0031675F">
        <w:rPr>
          <w:i/>
        </w:rPr>
        <w:t xml:space="preserve"> </w:t>
      </w:r>
      <w:r w:rsidRPr="0031675F">
        <w:rPr>
          <w:i/>
          <w:spacing w:val="-1"/>
        </w:rPr>
        <w:t>data</w:t>
      </w:r>
      <w:r w:rsidRPr="0031675F">
        <w:rPr>
          <w:i/>
          <w:spacing w:val="-3"/>
        </w:rPr>
        <w:t xml:space="preserve"> </w:t>
      </w:r>
      <w:r w:rsidRPr="0031675F">
        <w:rPr>
          <w:i/>
          <w:spacing w:val="-1"/>
        </w:rPr>
        <w:t>analysis, results</w:t>
      </w:r>
      <w:r w:rsidRPr="0031675F">
        <w:rPr>
          <w:i/>
          <w:spacing w:val="1"/>
        </w:rPr>
        <w:t xml:space="preserve"> </w:t>
      </w:r>
      <w:r w:rsidRPr="0031675F">
        <w:rPr>
          <w:i/>
          <w:spacing w:val="-1"/>
        </w:rPr>
        <w:t>are</w:t>
      </w:r>
      <w:r w:rsidRPr="0031675F">
        <w:rPr>
          <w:i/>
          <w:spacing w:val="-3"/>
        </w:rPr>
        <w:t xml:space="preserve"> </w:t>
      </w:r>
      <w:r w:rsidRPr="0031675F">
        <w:rPr>
          <w:i/>
          <w:spacing w:val="-1"/>
        </w:rPr>
        <w:t>generally</w:t>
      </w:r>
      <w:r w:rsidRPr="0031675F">
        <w:rPr>
          <w:i/>
        </w:rPr>
        <w:t xml:space="preserve"> </w:t>
      </w:r>
      <w:r w:rsidRPr="0031675F">
        <w:rPr>
          <w:i/>
          <w:spacing w:val="-1"/>
        </w:rPr>
        <w:t>averaged</w:t>
      </w:r>
      <w:r w:rsidRPr="0031675F">
        <w:rPr>
          <w:i/>
        </w:rPr>
        <w:t xml:space="preserve"> </w:t>
      </w:r>
      <w:r w:rsidRPr="0031675F">
        <w:rPr>
          <w:i/>
          <w:spacing w:val="-2"/>
        </w:rPr>
        <w:t>over</w:t>
      </w:r>
      <w:r w:rsidRPr="0031675F">
        <w:rPr>
          <w:i/>
          <w:spacing w:val="1"/>
        </w:rPr>
        <w:t xml:space="preserve"> </w:t>
      </w:r>
      <w:r w:rsidRPr="0031675F">
        <w:rPr>
          <w:i/>
          <w:spacing w:val="-1"/>
        </w:rPr>
        <w:t>duplicates.</w:t>
      </w:r>
    </w:p>
    <w:p w14:paraId="7DD60D12" w14:textId="77777777" w:rsidR="0031675F" w:rsidRPr="0031675F" w:rsidRDefault="0031675F" w:rsidP="0031675F">
      <w:pPr>
        <w:widowControl w:val="0"/>
        <w:numPr>
          <w:ilvl w:val="0"/>
          <w:numId w:val="106"/>
        </w:numPr>
        <w:tabs>
          <w:tab w:val="left" w:pos="547"/>
        </w:tabs>
        <w:spacing w:before="0" w:after="0" w:line="240" w:lineRule="auto"/>
        <w:ind w:right="114"/>
        <w:jc w:val="both"/>
      </w:pPr>
      <w:r w:rsidRPr="0031675F">
        <w:rPr>
          <w:spacing w:val="-1"/>
        </w:rPr>
        <w:t>Coefficients</w:t>
      </w:r>
      <w:r w:rsidRPr="0031675F">
        <w:rPr>
          <w:spacing w:val="24"/>
        </w:rPr>
        <w:t xml:space="preserve"> </w:t>
      </w:r>
      <w:r w:rsidRPr="0031675F">
        <w:t>of</w:t>
      </w:r>
      <w:r w:rsidRPr="0031675F">
        <w:rPr>
          <w:spacing w:val="24"/>
        </w:rPr>
        <w:t xml:space="preserve"> </w:t>
      </w:r>
      <w:r w:rsidRPr="0031675F">
        <w:rPr>
          <w:spacing w:val="-1"/>
        </w:rPr>
        <w:t>variance</w:t>
      </w:r>
      <w:r w:rsidRPr="0031675F">
        <w:rPr>
          <w:spacing w:val="26"/>
        </w:rPr>
        <w:t xml:space="preserve"> </w:t>
      </w:r>
      <w:r w:rsidRPr="0031675F">
        <w:rPr>
          <w:spacing w:val="-2"/>
        </w:rPr>
        <w:t>are</w:t>
      </w:r>
      <w:r w:rsidRPr="0031675F">
        <w:rPr>
          <w:spacing w:val="27"/>
        </w:rPr>
        <w:t xml:space="preserve"> </w:t>
      </w:r>
      <w:r w:rsidRPr="0031675F">
        <w:rPr>
          <w:spacing w:val="-1"/>
        </w:rPr>
        <w:t>calculated</w:t>
      </w:r>
      <w:r w:rsidRPr="0031675F">
        <w:rPr>
          <w:spacing w:val="26"/>
        </w:rPr>
        <w:t xml:space="preserve"> </w:t>
      </w:r>
      <w:r w:rsidRPr="0031675F">
        <w:rPr>
          <w:spacing w:val="-2"/>
        </w:rPr>
        <w:t>from</w:t>
      </w:r>
      <w:r w:rsidRPr="0031675F">
        <w:rPr>
          <w:spacing w:val="27"/>
        </w:rPr>
        <w:t xml:space="preserve"> </w:t>
      </w:r>
      <w:r w:rsidRPr="0031675F">
        <w:rPr>
          <w:spacing w:val="-1"/>
        </w:rPr>
        <w:t>analytical</w:t>
      </w:r>
      <w:r w:rsidRPr="0031675F">
        <w:rPr>
          <w:spacing w:val="26"/>
        </w:rPr>
        <w:t xml:space="preserve"> </w:t>
      </w:r>
      <w:r w:rsidRPr="0031675F">
        <w:rPr>
          <w:spacing w:val="-1"/>
        </w:rPr>
        <w:t>results</w:t>
      </w:r>
      <w:r w:rsidRPr="0031675F">
        <w:rPr>
          <w:spacing w:val="25"/>
        </w:rPr>
        <w:t xml:space="preserve"> </w:t>
      </w:r>
      <w:r w:rsidRPr="0031675F">
        <w:rPr>
          <w:spacing w:val="-1"/>
        </w:rPr>
        <w:t>of</w:t>
      </w:r>
      <w:r w:rsidRPr="0031675F">
        <w:rPr>
          <w:spacing w:val="26"/>
        </w:rPr>
        <w:t xml:space="preserve"> </w:t>
      </w:r>
      <w:r w:rsidRPr="0031675F">
        <w:rPr>
          <w:spacing w:val="-1"/>
        </w:rPr>
        <w:t>sample</w:t>
      </w:r>
      <w:r w:rsidRPr="0031675F">
        <w:rPr>
          <w:spacing w:val="24"/>
        </w:rPr>
        <w:t xml:space="preserve"> </w:t>
      </w:r>
      <w:r w:rsidRPr="0031675F">
        <w:rPr>
          <w:spacing w:val="-1"/>
        </w:rPr>
        <w:t>duplicates.</w:t>
      </w:r>
      <w:r w:rsidRPr="0031675F">
        <w:rPr>
          <w:spacing w:val="23"/>
        </w:rPr>
        <w:t xml:space="preserve"> </w:t>
      </w:r>
      <w:r w:rsidRPr="0031675F">
        <w:rPr>
          <w:spacing w:val="-1"/>
        </w:rPr>
        <w:t>Duplicates</w:t>
      </w:r>
      <w:r w:rsidRPr="0031675F">
        <w:rPr>
          <w:spacing w:val="81"/>
        </w:rPr>
        <w:t xml:space="preserve"> </w:t>
      </w:r>
      <w:r w:rsidRPr="0031675F">
        <w:t>with</w:t>
      </w:r>
      <w:r w:rsidRPr="0031675F">
        <w:rPr>
          <w:spacing w:val="21"/>
        </w:rPr>
        <w:t xml:space="preserve"> </w:t>
      </w:r>
      <w:r w:rsidRPr="0031675F">
        <w:rPr>
          <w:spacing w:val="-2"/>
        </w:rPr>
        <w:t>CV&gt;30%</w:t>
      </w:r>
      <w:r w:rsidRPr="0031675F">
        <w:rPr>
          <w:spacing w:val="22"/>
        </w:rPr>
        <w:t xml:space="preserve"> </w:t>
      </w:r>
      <w:r w:rsidRPr="0031675F">
        <w:rPr>
          <w:spacing w:val="-1"/>
        </w:rPr>
        <w:t>are</w:t>
      </w:r>
      <w:r w:rsidRPr="0031675F">
        <w:rPr>
          <w:spacing w:val="22"/>
        </w:rPr>
        <w:t xml:space="preserve"> </w:t>
      </w:r>
      <w:r w:rsidRPr="0031675F">
        <w:rPr>
          <w:spacing w:val="-1"/>
        </w:rPr>
        <w:t>discarded</w:t>
      </w:r>
      <w:r w:rsidRPr="0031675F">
        <w:rPr>
          <w:spacing w:val="21"/>
        </w:rPr>
        <w:t xml:space="preserve"> </w:t>
      </w:r>
      <w:r w:rsidRPr="0031675F">
        <w:rPr>
          <w:spacing w:val="-1"/>
        </w:rPr>
        <w:t>from</w:t>
      </w:r>
      <w:r w:rsidRPr="0031675F">
        <w:rPr>
          <w:spacing w:val="22"/>
        </w:rPr>
        <w:t xml:space="preserve"> </w:t>
      </w:r>
      <w:r w:rsidRPr="0031675F">
        <w:t>the</w:t>
      </w:r>
      <w:r w:rsidRPr="0031675F">
        <w:rPr>
          <w:spacing w:val="19"/>
        </w:rPr>
        <w:t xml:space="preserve"> </w:t>
      </w:r>
      <w:r w:rsidRPr="0031675F">
        <w:rPr>
          <w:spacing w:val="-1"/>
        </w:rPr>
        <w:t>analysis</w:t>
      </w:r>
      <w:r w:rsidRPr="0031675F">
        <w:rPr>
          <w:spacing w:val="19"/>
        </w:rPr>
        <w:t xml:space="preserve"> </w:t>
      </w:r>
      <w:r w:rsidRPr="0031675F">
        <w:rPr>
          <w:spacing w:val="-1"/>
        </w:rPr>
        <w:t>and</w:t>
      </w:r>
      <w:r w:rsidRPr="0031675F">
        <w:rPr>
          <w:spacing w:val="21"/>
        </w:rPr>
        <w:t xml:space="preserve"> </w:t>
      </w:r>
      <w:r w:rsidRPr="0031675F">
        <w:rPr>
          <w:spacing w:val="-1"/>
        </w:rPr>
        <w:t>the</w:t>
      </w:r>
      <w:r w:rsidRPr="0031675F">
        <w:rPr>
          <w:spacing w:val="22"/>
        </w:rPr>
        <w:t xml:space="preserve"> </w:t>
      </w:r>
      <w:r w:rsidRPr="0031675F">
        <w:rPr>
          <w:spacing w:val="-1"/>
        </w:rPr>
        <w:t>analysis</w:t>
      </w:r>
      <w:r w:rsidRPr="0031675F">
        <w:rPr>
          <w:spacing w:val="19"/>
        </w:rPr>
        <w:t xml:space="preserve"> </w:t>
      </w:r>
      <w:r w:rsidRPr="0031675F">
        <w:rPr>
          <w:spacing w:val="-1"/>
        </w:rPr>
        <w:t>repeated</w:t>
      </w:r>
      <w:r w:rsidRPr="0031675F">
        <w:rPr>
          <w:spacing w:val="21"/>
        </w:rPr>
        <w:t xml:space="preserve"> </w:t>
      </w:r>
      <w:r w:rsidRPr="0031675F">
        <w:rPr>
          <w:spacing w:val="-1"/>
        </w:rPr>
        <w:t>using</w:t>
      </w:r>
      <w:r w:rsidRPr="0031675F">
        <w:rPr>
          <w:spacing w:val="18"/>
        </w:rPr>
        <w:t xml:space="preserve"> </w:t>
      </w:r>
      <w:r w:rsidRPr="0031675F">
        <w:t>extra</w:t>
      </w:r>
      <w:r w:rsidRPr="0031675F">
        <w:rPr>
          <w:spacing w:val="22"/>
        </w:rPr>
        <w:t xml:space="preserve"> </w:t>
      </w:r>
      <w:r w:rsidRPr="0031675F">
        <w:rPr>
          <w:spacing w:val="-1"/>
        </w:rPr>
        <w:t>duplicates</w:t>
      </w:r>
      <w:r w:rsidRPr="0031675F">
        <w:rPr>
          <w:spacing w:val="65"/>
        </w:rPr>
        <w:t xml:space="preserve"> </w:t>
      </w:r>
      <w:r w:rsidRPr="0031675F">
        <w:t>that are</w:t>
      </w:r>
      <w:r w:rsidRPr="0031675F">
        <w:rPr>
          <w:spacing w:val="-2"/>
        </w:rPr>
        <w:t xml:space="preserve"> </w:t>
      </w:r>
      <w:r w:rsidRPr="0031675F">
        <w:rPr>
          <w:spacing w:val="-1"/>
        </w:rPr>
        <w:t>generally</w:t>
      </w:r>
      <w:r w:rsidRPr="0031675F">
        <w:t xml:space="preserve"> </w:t>
      </w:r>
      <w:r w:rsidRPr="0031675F">
        <w:rPr>
          <w:spacing w:val="-1"/>
        </w:rPr>
        <w:t>collected</w:t>
      </w:r>
      <w:r w:rsidRPr="0031675F">
        <w:rPr>
          <w:spacing w:val="-3"/>
        </w:rPr>
        <w:t xml:space="preserve"> </w:t>
      </w:r>
      <w:r w:rsidRPr="0031675F">
        <w:t xml:space="preserve">as a </w:t>
      </w:r>
      <w:r w:rsidRPr="0031675F">
        <w:rPr>
          <w:spacing w:val="-2"/>
        </w:rPr>
        <w:t>back</w:t>
      </w:r>
      <w:r w:rsidRPr="0031675F">
        <w:t>u</w:t>
      </w:r>
      <w:r w:rsidRPr="0031675F">
        <w:rPr>
          <w:spacing w:val="-1"/>
        </w:rPr>
        <w:t>p.</w:t>
      </w:r>
    </w:p>
    <w:p w14:paraId="17C078C8" w14:textId="77777777" w:rsidR="0031675F" w:rsidRPr="0031675F" w:rsidRDefault="0031675F" w:rsidP="0031675F">
      <w:pPr>
        <w:spacing w:before="10"/>
        <w:rPr>
          <w:rFonts w:cs="Calibri"/>
          <w:sz w:val="21"/>
          <w:szCs w:val="21"/>
        </w:rPr>
      </w:pPr>
    </w:p>
    <w:p w14:paraId="4DE65344" w14:textId="77777777" w:rsidR="0031675F" w:rsidRPr="0031675F" w:rsidRDefault="0031675F" w:rsidP="0031675F">
      <w:pPr>
        <w:numPr>
          <w:ilvl w:val="1"/>
          <w:numId w:val="154"/>
        </w:numPr>
        <w:tabs>
          <w:tab w:val="left" w:pos="839"/>
        </w:tabs>
        <w:spacing w:before="0" w:after="0" w:line="240" w:lineRule="auto"/>
        <w:ind w:left="838" w:hanging="720"/>
        <w:rPr>
          <w:rFonts w:eastAsia="Arial" w:cs="Arial"/>
          <w:sz w:val="24"/>
          <w:szCs w:val="24"/>
        </w:rPr>
      </w:pPr>
      <w:bookmarkStart w:id="654" w:name="_TOC_250041"/>
      <w:r w:rsidRPr="0031675F">
        <w:rPr>
          <w:b/>
          <w:spacing w:val="-1"/>
          <w:sz w:val="24"/>
        </w:rPr>
        <w:t>References</w:t>
      </w:r>
      <w:bookmarkEnd w:id="654"/>
    </w:p>
    <w:p w14:paraId="181543E7" w14:textId="77777777" w:rsidR="0031675F" w:rsidRPr="0031675F" w:rsidRDefault="0031675F" w:rsidP="0031675F">
      <w:pPr>
        <w:spacing w:after="120"/>
      </w:pPr>
      <w:r w:rsidRPr="0031675F">
        <w:t xml:space="preserve">Nelson, N.B., and P.G. Coble, 2009: Optical analysis of chromophoric dissolved organic matter. Chapter 5 in: </w:t>
      </w:r>
      <w:r w:rsidRPr="0031675F">
        <w:rPr>
          <w:i/>
          <w:iCs/>
        </w:rPr>
        <w:t>Practical Guidelines for the Analysis of Seawater</w:t>
      </w:r>
      <w:r w:rsidRPr="0031675F">
        <w:t>, O. Wurl (editor), CRC Press, 401 pp.</w:t>
      </w:r>
    </w:p>
    <w:p w14:paraId="02DAB37D" w14:textId="453D8C2C" w:rsidR="0031675F" w:rsidRPr="0031675F" w:rsidRDefault="0031675F" w:rsidP="005A35E3">
      <w:pPr>
        <w:pStyle w:val="Heading4"/>
        <w:numPr>
          <w:ilvl w:val="0"/>
          <w:numId w:val="0"/>
        </w:numPr>
        <w:ind w:left="864" w:hanging="864"/>
      </w:pPr>
      <w:r w:rsidRPr="0031675F">
        <w:rPr>
          <w:rFonts w:eastAsia="Arial" w:cs="Arial"/>
          <w:szCs w:val="20"/>
        </w:rPr>
        <w:br w:type="page"/>
      </w:r>
      <w:bookmarkStart w:id="655" w:name="_Toc523830554"/>
      <w:bookmarkStart w:id="656" w:name="_Toc523905140"/>
      <w:bookmarkStart w:id="657" w:name="_Toc523905382"/>
      <w:bookmarkStart w:id="658" w:name="_Toc534968693"/>
      <w:bookmarkStart w:id="659" w:name="_TOC_250040"/>
      <w:r w:rsidRPr="0031675F">
        <w:rPr>
          <w:highlight w:val="lightGray"/>
        </w:rPr>
        <w:t>Section A6 Attachments</w:t>
      </w:r>
      <w:bookmarkEnd w:id="655"/>
      <w:bookmarkEnd w:id="656"/>
      <w:bookmarkEnd w:id="657"/>
      <w:bookmarkEnd w:id="658"/>
      <w:r w:rsidRPr="0031675F">
        <w:rPr>
          <w:highlight w:val="lightGray"/>
        </w:rPr>
        <w:t xml:space="preserve"> </w:t>
      </w:r>
      <w:bookmarkEnd w:id="659"/>
    </w:p>
    <w:p w14:paraId="5EE58CFE" w14:textId="77777777" w:rsidR="0031675F" w:rsidRPr="0031675F" w:rsidRDefault="0031675F" w:rsidP="0031675F">
      <w:pPr>
        <w:ind w:left="1134" w:hanging="567"/>
        <w:rPr>
          <w:b/>
          <w:iCs/>
          <w:sz w:val="24"/>
          <w:szCs w:val="24"/>
        </w:rPr>
      </w:pPr>
      <w:r w:rsidRPr="0031675F">
        <w:rPr>
          <w:b/>
          <w:iCs/>
          <w:sz w:val="24"/>
          <w:szCs w:val="24"/>
        </w:rPr>
        <w:t>Attachment 6.1 Detailed procedures for the analysis CDOM using the Shimadzu UV-1800 Spectrophotometer</w:t>
      </w:r>
    </w:p>
    <w:p w14:paraId="7E27670F" w14:textId="77777777" w:rsidR="0031675F" w:rsidRPr="0031675F" w:rsidRDefault="0031675F" w:rsidP="0031675F">
      <w:pPr>
        <w:widowControl w:val="0"/>
        <w:numPr>
          <w:ilvl w:val="0"/>
          <w:numId w:val="159"/>
        </w:numPr>
        <w:spacing w:before="0" w:after="0" w:line="240" w:lineRule="auto"/>
      </w:pPr>
      <w:r w:rsidRPr="0031675F">
        <w:t>Turn on the spectrophotometer (switch on side) and open the UV-Probe software. At the bottom of the screen is a button called “Connect”, click on in and the instruments lamps and filters will be turned on and initialised. This takes 5 mins. as the software goes through a check list. Click “OK” after the test is finished.</w:t>
      </w:r>
    </w:p>
    <w:p w14:paraId="48A9B118" w14:textId="77777777" w:rsidR="0031675F" w:rsidRPr="0031675F" w:rsidRDefault="0031675F" w:rsidP="0031675F">
      <w:pPr>
        <w:widowControl w:val="0"/>
        <w:numPr>
          <w:ilvl w:val="0"/>
          <w:numId w:val="159"/>
        </w:numPr>
        <w:spacing w:before="0" w:after="0" w:line="240" w:lineRule="auto"/>
      </w:pPr>
      <w:r w:rsidRPr="0031675F">
        <w:t>The instrument should be allowed to warm up for at least 1 hour (2 hours is best). Before you leave the instrument (to warm up), place the reference cuvette with MilliQ water in into the sample compartment in the reference holder. While the instrument warms up the temperature of the reference water also warms up a becomes stable.</w:t>
      </w:r>
    </w:p>
    <w:p w14:paraId="30FBCF4B" w14:textId="77777777" w:rsidR="0031675F" w:rsidRPr="0031675F" w:rsidRDefault="0031675F" w:rsidP="0031675F">
      <w:pPr>
        <w:widowControl w:val="0"/>
        <w:numPr>
          <w:ilvl w:val="0"/>
          <w:numId w:val="159"/>
        </w:numPr>
        <w:spacing w:before="0" w:after="0" w:line="240" w:lineRule="auto"/>
      </w:pPr>
      <w:r w:rsidRPr="0031675F">
        <w:t>Click the “File” menu and select “open”. Go to “C:\Absorption\Methods\”. In the “File of type” box select “Method File” and then the file “Galathea-DOM.smd” should be visible. Select it and click “open”.</w:t>
      </w:r>
    </w:p>
    <w:p w14:paraId="474C4776" w14:textId="77777777" w:rsidR="0031675F" w:rsidRPr="0031675F" w:rsidRDefault="0031675F" w:rsidP="0031675F">
      <w:pPr>
        <w:widowControl w:val="0"/>
        <w:numPr>
          <w:ilvl w:val="0"/>
          <w:numId w:val="159"/>
        </w:numPr>
        <w:spacing w:before="0" w:after="0" w:line="240" w:lineRule="auto"/>
      </w:pPr>
      <w:r w:rsidRPr="0031675F">
        <w:t>Rinse and fill both 10cm cuvettes with fresh collected MilliQ water. Fill to just below the label on the cuvettes. Hold up to the light and ensure there is no bubbles, dirt or fingerprints on the cuvette windows. Clean with lens paper.</w:t>
      </w:r>
    </w:p>
    <w:p w14:paraId="545E6431" w14:textId="77777777" w:rsidR="0031675F" w:rsidRPr="0031675F" w:rsidRDefault="0031675F" w:rsidP="0031675F">
      <w:pPr>
        <w:widowControl w:val="0"/>
        <w:numPr>
          <w:ilvl w:val="0"/>
          <w:numId w:val="159"/>
        </w:numPr>
        <w:spacing w:before="0" w:after="0" w:line="240" w:lineRule="auto"/>
      </w:pPr>
      <w:r w:rsidRPr="0031675F">
        <w:t xml:space="preserve">Place the cuvettes in each of the cuvette holders with the cuvette labels facing right (towards the light source). The cuvettes do not sit absolutely tight in the cuvette holders and it is important they are placed in the same position each time. So push them gently to the right and then nudge towards you. </w:t>
      </w:r>
    </w:p>
    <w:p w14:paraId="44367BF9" w14:textId="77777777" w:rsidR="0031675F" w:rsidRPr="0031675F" w:rsidRDefault="0031675F" w:rsidP="0031675F">
      <w:pPr>
        <w:widowControl w:val="0"/>
        <w:numPr>
          <w:ilvl w:val="0"/>
          <w:numId w:val="159"/>
        </w:numPr>
        <w:spacing w:before="0" w:after="0" w:line="240" w:lineRule="auto"/>
      </w:pPr>
      <w:r w:rsidRPr="0031675F">
        <w:t>With MilliQ in both cuvettes you can now run a baseline by clicking the “Baseline” button at the bottom of the screen. This will zero the instrument. A box with “Baseline Properties” will come up. It should be 240nm to 700nm, click “OK”. The instrument will run a baseline and then you are ready to start measuring samples.</w:t>
      </w:r>
    </w:p>
    <w:p w14:paraId="793EE6EE" w14:textId="77777777" w:rsidR="0031675F" w:rsidRPr="0031675F" w:rsidRDefault="0031675F" w:rsidP="0031675F">
      <w:pPr>
        <w:widowControl w:val="0"/>
        <w:numPr>
          <w:ilvl w:val="0"/>
          <w:numId w:val="159"/>
        </w:numPr>
        <w:spacing w:before="0" w:after="0" w:line="240" w:lineRule="auto"/>
      </w:pPr>
      <w:r w:rsidRPr="0031675F">
        <w:t>Take the sample cuvette out and rinse twice with some sample water, then fill to just below the label on the cuvette. Clean the cuvette windows and place in the cuvette holder. As before ensure the cuvette is sitting in the same position within the holder (bottom right corner). Look at the Abs. (absorbance) value at 700nm (bottom left of screen), this should be between –0.005 and 0.005. If it is higher, check the cuvette is sitting correctly in the holder, cuvette windows are clean and that there are no bubbles, and that the sample water is a room temperature. If the value is still high, run a new MQ baseline (step 6).</w:t>
      </w:r>
    </w:p>
    <w:p w14:paraId="7D2E32BE" w14:textId="77777777" w:rsidR="0031675F" w:rsidRPr="0031675F" w:rsidRDefault="0031675F" w:rsidP="0031675F">
      <w:pPr>
        <w:widowControl w:val="0"/>
        <w:numPr>
          <w:ilvl w:val="0"/>
          <w:numId w:val="159"/>
        </w:numPr>
        <w:spacing w:before="0" w:after="0" w:line="240" w:lineRule="auto"/>
      </w:pPr>
      <w:r w:rsidRPr="0031675F">
        <w:t>Click “Start” at the bottom of the screen. After it has completed the scan a box will pop up and ask for a location and name for the file. Save the data in “C:\Absorption\Data\Leg#\”  and call the file “DOMABS#”, where # is the sample number. Next click “File” “Save” (or keyboard short cut [Ctrl] [S]) to save the data. Record the sample number details in the cruiseleg log file (excel sheet).</w:t>
      </w:r>
    </w:p>
    <w:p w14:paraId="705D8DA5" w14:textId="77777777" w:rsidR="0031675F" w:rsidRPr="0031675F" w:rsidRDefault="0031675F" w:rsidP="0031675F">
      <w:pPr>
        <w:widowControl w:val="0"/>
        <w:numPr>
          <w:ilvl w:val="0"/>
          <w:numId w:val="159"/>
        </w:numPr>
        <w:spacing w:before="0" w:after="0" w:line="240" w:lineRule="auto"/>
      </w:pPr>
      <w:r w:rsidRPr="0031675F">
        <w:t>Repeat 7-8 for the next sample. If you want to stop for a while ensure that you run a MilliQ blank as the last sample otherwise run a MilliQ blank every 10</w:t>
      </w:r>
      <w:r w:rsidRPr="0031675F">
        <w:rPr>
          <w:vertAlign w:val="superscript"/>
        </w:rPr>
        <w:t>th</w:t>
      </w:r>
      <w:r w:rsidRPr="0031675F">
        <w:t xml:space="preserve"> sample. This will take into account most of the variability in the temperature that can occur as a results of changes in room temperature (samples) and warming of the instrument (reference cuvette). Save the MilliQ data as “DOMABSMQ#” where # corresponds to the sample number of the last seawater sample run before the blank.When finished with all DOM ABS samples and the final MilliQ blank is run, select “File”, “Save all”. </w:t>
      </w:r>
    </w:p>
    <w:p w14:paraId="500FDF10" w14:textId="77777777" w:rsidR="0031675F" w:rsidRPr="0031675F" w:rsidRDefault="0031675F" w:rsidP="0031675F">
      <w:pPr>
        <w:widowControl w:val="0"/>
        <w:numPr>
          <w:ilvl w:val="0"/>
          <w:numId w:val="159"/>
        </w:numPr>
        <w:spacing w:before="0" w:after="0" w:line="240" w:lineRule="auto"/>
      </w:pPr>
      <w:r w:rsidRPr="0031675F">
        <w:t>Now select “Operations” then “Data Print”. All the data that you have measured now appear in a table on screen to the right. Right click on a cell in the table and click “Select all”. Right click again and select “Copy”. Paste the data into an Excel file. Save the Excel file as “DOMABSDDMMYY.xls” in the same location as the spectra (C:\Absorption\Data\Leg#). Close the file.</w:t>
      </w:r>
    </w:p>
    <w:p w14:paraId="0BED46DA" w14:textId="77777777" w:rsidR="0031675F" w:rsidRPr="0031675F" w:rsidRDefault="0031675F" w:rsidP="0031675F">
      <w:pPr>
        <w:widowControl w:val="0"/>
        <w:numPr>
          <w:ilvl w:val="0"/>
          <w:numId w:val="159"/>
        </w:numPr>
        <w:spacing w:before="0" w:after="0" w:line="240" w:lineRule="auto"/>
      </w:pPr>
      <w:r w:rsidRPr="0031675F">
        <w:t>Close the “UV Probe” program. Turn off spectrophotometer if finished with all absorption measurements for the day.</w:t>
      </w:r>
    </w:p>
    <w:p w14:paraId="28C3CB19" w14:textId="77777777" w:rsidR="0031675F" w:rsidRPr="0031675F" w:rsidRDefault="0031675F" w:rsidP="0031675F">
      <w:r w:rsidRPr="0031675F">
        <w:br w:type="page"/>
      </w:r>
    </w:p>
    <w:p w14:paraId="7A5356DE" w14:textId="77777777" w:rsidR="0031675F" w:rsidRPr="0031675F" w:rsidRDefault="0031675F" w:rsidP="0031675F">
      <w:pPr>
        <w:ind w:left="720"/>
        <w:contextualSpacing/>
      </w:pPr>
    </w:p>
    <w:p w14:paraId="6A388C37" w14:textId="69962A02" w:rsidR="0031675F" w:rsidRPr="0031675F" w:rsidRDefault="0031675F" w:rsidP="005A35E3">
      <w:pPr>
        <w:pStyle w:val="Heading2"/>
        <w:numPr>
          <w:ilvl w:val="0"/>
          <w:numId w:val="0"/>
        </w:numPr>
        <w:ind w:left="284"/>
      </w:pPr>
      <w:bookmarkStart w:id="660" w:name="_Toc423356993"/>
      <w:bookmarkStart w:id="661" w:name="_Toc523830555"/>
      <w:bookmarkStart w:id="662" w:name="_Toc523905141"/>
      <w:bookmarkStart w:id="663" w:name="_Toc523905383"/>
      <w:bookmarkStart w:id="664" w:name="_Toc534968694"/>
      <w:bookmarkStart w:id="665" w:name="_Toc12365634"/>
      <w:r w:rsidRPr="00FF3C2F">
        <w:t>Section A7: Analysis of particulate phosphorus in marine waters</w:t>
      </w:r>
      <w:bookmarkEnd w:id="660"/>
      <w:bookmarkEnd w:id="661"/>
      <w:bookmarkEnd w:id="662"/>
      <w:bookmarkEnd w:id="663"/>
      <w:bookmarkEnd w:id="664"/>
      <w:bookmarkEnd w:id="665"/>
    </w:p>
    <w:p w14:paraId="166806B4" w14:textId="77777777" w:rsidR="0031675F" w:rsidRPr="0031675F" w:rsidRDefault="0031675F" w:rsidP="0031675F">
      <w:pPr>
        <w:spacing w:before="5"/>
        <w:rPr>
          <w:rFonts w:eastAsia="Arial" w:cs="Arial"/>
          <w:b/>
          <w:bCs/>
          <w:sz w:val="14"/>
          <w:szCs w:val="14"/>
        </w:rPr>
      </w:pPr>
    </w:p>
    <w:p w14:paraId="2FD5F05F" w14:textId="77777777" w:rsidR="0031675F" w:rsidRPr="0031675F" w:rsidRDefault="0031675F" w:rsidP="0031675F">
      <w:pPr>
        <w:widowControl w:val="0"/>
        <w:numPr>
          <w:ilvl w:val="1"/>
          <w:numId w:val="105"/>
        </w:numPr>
        <w:tabs>
          <w:tab w:val="left" w:pos="706"/>
        </w:tabs>
        <w:spacing w:before="69" w:after="0" w:line="240" w:lineRule="auto"/>
        <w:jc w:val="both"/>
        <w:rPr>
          <w:rFonts w:eastAsia="Arial" w:cs="Arial"/>
          <w:sz w:val="24"/>
          <w:szCs w:val="24"/>
        </w:rPr>
      </w:pPr>
      <w:bookmarkStart w:id="666" w:name="_TOC_250037"/>
      <w:r w:rsidRPr="0031675F">
        <w:rPr>
          <w:b/>
          <w:spacing w:val="-1"/>
          <w:sz w:val="24"/>
        </w:rPr>
        <w:t>Objective</w:t>
      </w:r>
      <w:bookmarkEnd w:id="666"/>
    </w:p>
    <w:p w14:paraId="3D734334" w14:textId="77777777" w:rsidR="0031675F" w:rsidRPr="0031675F" w:rsidRDefault="0031675F" w:rsidP="0031675F">
      <w:pPr>
        <w:spacing w:before="11"/>
        <w:rPr>
          <w:rFonts w:eastAsia="Arial" w:cs="Arial"/>
          <w:b/>
          <w:bCs/>
          <w:sz w:val="20"/>
          <w:szCs w:val="20"/>
        </w:rPr>
      </w:pPr>
    </w:p>
    <w:p w14:paraId="09E601CD" w14:textId="77777777" w:rsidR="0031675F" w:rsidRPr="0031675F" w:rsidRDefault="0031675F" w:rsidP="0031675F">
      <w:pPr>
        <w:spacing w:after="120"/>
        <w:ind w:left="138" w:right="135"/>
      </w:pPr>
      <w:r w:rsidRPr="0031675F">
        <w:rPr>
          <w:spacing w:val="-1"/>
        </w:rPr>
        <w:t>Analysis</w:t>
      </w:r>
      <w:r w:rsidRPr="0031675F">
        <w:t xml:space="preserve"> </w:t>
      </w:r>
      <w:r w:rsidRPr="0031675F">
        <w:rPr>
          <w:spacing w:val="48"/>
        </w:rPr>
        <w:t xml:space="preserve"> </w:t>
      </w:r>
      <w:r w:rsidRPr="0031675F">
        <w:t xml:space="preserve">of </w:t>
      </w:r>
      <w:r w:rsidRPr="0031675F">
        <w:rPr>
          <w:spacing w:val="46"/>
        </w:rPr>
        <w:t xml:space="preserve"> </w:t>
      </w:r>
      <w:r w:rsidRPr="0031675F">
        <w:rPr>
          <w:spacing w:val="-1"/>
        </w:rPr>
        <w:t>total</w:t>
      </w:r>
      <w:r w:rsidRPr="0031675F">
        <w:t xml:space="preserve"> </w:t>
      </w:r>
      <w:r w:rsidRPr="0031675F">
        <w:rPr>
          <w:spacing w:val="49"/>
        </w:rPr>
        <w:t xml:space="preserve"> </w:t>
      </w:r>
      <w:r w:rsidRPr="0031675F">
        <w:rPr>
          <w:spacing w:val="-1"/>
        </w:rPr>
        <w:t>particulate</w:t>
      </w:r>
      <w:r w:rsidRPr="0031675F">
        <w:t xml:space="preserve">   </w:t>
      </w:r>
      <w:r w:rsidRPr="0031675F">
        <w:rPr>
          <w:spacing w:val="-1"/>
        </w:rPr>
        <w:t>phosphorus</w:t>
      </w:r>
      <w:r w:rsidRPr="0031675F">
        <w:t xml:space="preserve"> </w:t>
      </w:r>
      <w:r w:rsidRPr="0031675F">
        <w:rPr>
          <w:spacing w:val="48"/>
        </w:rPr>
        <w:t xml:space="preserve"> </w:t>
      </w:r>
      <w:r w:rsidRPr="0031675F">
        <w:t xml:space="preserve">in </w:t>
      </w:r>
      <w:r w:rsidRPr="0031675F">
        <w:rPr>
          <w:spacing w:val="48"/>
        </w:rPr>
        <w:t xml:space="preserve"> </w:t>
      </w:r>
      <w:r w:rsidRPr="0031675F">
        <w:rPr>
          <w:spacing w:val="-1"/>
        </w:rPr>
        <w:t>seawater</w:t>
      </w:r>
      <w:r w:rsidRPr="0031675F">
        <w:t xml:space="preserve"> </w:t>
      </w:r>
      <w:r w:rsidRPr="0031675F">
        <w:rPr>
          <w:spacing w:val="49"/>
        </w:rPr>
        <w:t xml:space="preserve"> </w:t>
      </w:r>
      <w:r w:rsidRPr="0031675F">
        <w:rPr>
          <w:spacing w:val="-1"/>
        </w:rPr>
        <w:t>with</w:t>
      </w:r>
      <w:r w:rsidRPr="0031675F">
        <w:t xml:space="preserve"> </w:t>
      </w:r>
      <w:r w:rsidRPr="0031675F">
        <w:rPr>
          <w:spacing w:val="49"/>
        </w:rPr>
        <w:t xml:space="preserve"> </w:t>
      </w:r>
      <w:r w:rsidRPr="0031675F">
        <w:t xml:space="preserve">a </w:t>
      </w:r>
      <w:r w:rsidRPr="0031675F">
        <w:rPr>
          <w:spacing w:val="48"/>
        </w:rPr>
        <w:t xml:space="preserve"> </w:t>
      </w:r>
      <w:r w:rsidRPr="0031675F">
        <w:rPr>
          <w:spacing w:val="-1"/>
        </w:rPr>
        <w:t>focus</w:t>
      </w:r>
      <w:r w:rsidRPr="0031675F">
        <w:t xml:space="preserve"> </w:t>
      </w:r>
      <w:r w:rsidRPr="0031675F">
        <w:rPr>
          <w:spacing w:val="48"/>
        </w:rPr>
        <w:t xml:space="preserve"> </w:t>
      </w:r>
      <w:r w:rsidRPr="0031675F">
        <w:t xml:space="preserve">on </w:t>
      </w:r>
      <w:r w:rsidRPr="0031675F">
        <w:rPr>
          <w:spacing w:val="48"/>
        </w:rPr>
        <w:t xml:space="preserve"> </w:t>
      </w:r>
      <w:r w:rsidRPr="0031675F">
        <w:rPr>
          <w:spacing w:val="-1"/>
        </w:rPr>
        <w:t>detecting</w:t>
      </w:r>
      <w:r w:rsidRPr="0031675F">
        <w:t xml:space="preserve"> </w:t>
      </w:r>
      <w:r w:rsidRPr="0031675F">
        <w:rPr>
          <w:spacing w:val="47"/>
        </w:rPr>
        <w:t xml:space="preserve"> </w:t>
      </w:r>
      <w:r w:rsidRPr="0031675F">
        <w:t xml:space="preserve">low </w:t>
      </w:r>
      <w:r w:rsidRPr="0031675F">
        <w:rPr>
          <w:spacing w:val="47"/>
        </w:rPr>
        <w:t xml:space="preserve"> </w:t>
      </w:r>
      <w:r w:rsidRPr="0031675F">
        <w:rPr>
          <w:spacing w:val="-1"/>
        </w:rPr>
        <w:t>level</w:t>
      </w:r>
      <w:r w:rsidRPr="0031675F">
        <w:rPr>
          <w:spacing w:val="61"/>
        </w:rPr>
        <w:t xml:space="preserve"> </w:t>
      </w:r>
      <w:r w:rsidRPr="0031675F">
        <w:rPr>
          <w:spacing w:val="-1"/>
        </w:rPr>
        <w:t>concentrations</w:t>
      </w:r>
      <w:r w:rsidRPr="0031675F">
        <w:t xml:space="preserve"> of</w:t>
      </w:r>
      <w:r w:rsidRPr="0031675F">
        <w:rPr>
          <w:spacing w:val="-3"/>
        </w:rPr>
        <w:t xml:space="preserve"> </w:t>
      </w:r>
      <w:r w:rsidRPr="0031675F">
        <w:rPr>
          <w:spacing w:val="-1"/>
        </w:rPr>
        <w:t>bioavailable</w:t>
      </w:r>
      <w:r w:rsidRPr="0031675F">
        <w:t xml:space="preserve"> </w:t>
      </w:r>
      <w:r w:rsidRPr="0031675F">
        <w:rPr>
          <w:spacing w:val="-1"/>
        </w:rPr>
        <w:t>phosphorus.</w:t>
      </w:r>
    </w:p>
    <w:p w14:paraId="57DFDC21" w14:textId="77777777" w:rsidR="0031675F" w:rsidRPr="0031675F" w:rsidRDefault="0031675F" w:rsidP="0031675F">
      <w:pPr>
        <w:spacing w:before="7"/>
        <w:rPr>
          <w:rFonts w:cs="Calibri"/>
          <w:sz w:val="20"/>
          <w:szCs w:val="20"/>
        </w:rPr>
      </w:pPr>
    </w:p>
    <w:p w14:paraId="420CC2D8" w14:textId="77777777" w:rsidR="0031675F" w:rsidRPr="0031675F" w:rsidRDefault="0031675F" w:rsidP="0031675F">
      <w:pPr>
        <w:widowControl w:val="0"/>
        <w:numPr>
          <w:ilvl w:val="1"/>
          <w:numId w:val="105"/>
        </w:numPr>
        <w:tabs>
          <w:tab w:val="left" w:pos="706"/>
        </w:tabs>
        <w:spacing w:before="0" w:after="0" w:line="240" w:lineRule="auto"/>
        <w:jc w:val="both"/>
        <w:rPr>
          <w:rFonts w:eastAsia="Arial" w:cs="Arial"/>
          <w:sz w:val="24"/>
          <w:szCs w:val="24"/>
        </w:rPr>
      </w:pPr>
      <w:bookmarkStart w:id="667" w:name="_TOC_250036"/>
      <w:r w:rsidRPr="0031675F">
        <w:rPr>
          <w:b/>
          <w:spacing w:val="-1"/>
          <w:sz w:val="24"/>
        </w:rPr>
        <w:t>Principle</w:t>
      </w:r>
      <w:r w:rsidRPr="0031675F">
        <w:rPr>
          <w:b/>
          <w:sz w:val="24"/>
        </w:rPr>
        <w:t xml:space="preserve"> of </w:t>
      </w:r>
      <w:r w:rsidRPr="0031675F">
        <w:rPr>
          <w:b/>
          <w:spacing w:val="-1"/>
          <w:sz w:val="24"/>
        </w:rPr>
        <w:t>analysis</w:t>
      </w:r>
      <w:bookmarkEnd w:id="667"/>
    </w:p>
    <w:p w14:paraId="7E9B9EAC" w14:textId="77777777" w:rsidR="0031675F" w:rsidRPr="0031675F" w:rsidRDefault="0031675F" w:rsidP="0031675F">
      <w:pPr>
        <w:spacing w:before="11"/>
        <w:rPr>
          <w:rFonts w:eastAsia="Arial" w:cs="Arial"/>
          <w:b/>
          <w:bCs/>
          <w:sz w:val="20"/>
          <w:szCs w:val="20"/>
        </w:rPr>
      </w:pPr>
    </w:p>
    <w:p w14:paraId="33233441" w14:textId="77777777" w:rsidR="0031675F" w:rsidRPr="0031675F" w:rsidRDefault="0031675F" w:rsidP="0031675F">
      <w:pPr>
        <w:spacing w:after="120"/>
        <w:ind w:left="138" w:right="130"/>
        <w:jc w:val="both"/>
      </w:pPr>
      <w:r w:rsidRPr="0031675F">
        <w:rPr>
          <w:spacing w:val="-1"/>
        </w:rPr>
        <w:t>The</w:t>
      </w:r>
      <w:r w:rsidRPr="0031675F">
        <w:rPr>
          <w:spacing w:val="3"/>
        </w:rPr>
        <w:t xml:space="preserve"> </w:t>
      </w:r>
      <w:r w:rsidRPr="0031675F">
        <w:rPr>
          <w:spacing w:val="-1"/>
        </w:rPr>
        <w:t>method</w:t>
      </w:r>
      <w:r w:rsidRPr="0031675F">
        <w:rPr>
          <w:spacing w:val="2"/>
        </w:rPr>
        <w:t xml:space="preserve"> </w:t>
      </w:r>
      <w:r w:rsidRPr="0031675F">
        <w:t>is</w:t>
      </w:r>
      <w:r w:rsidRPr="0031675F">
        <w:rPr>
          <w:spacing w:val="3"/>
        </w:rPr>
        <w:t xml:space="preserve"> </w:t>
      </w:r>
      <w:r w:rsidRPr="0031675F">
        <w:rPr>
          <w:spacing w:val="-1"/>
        </w:rPr>
        <w:t>based</w:t>
      </w:r>
      <w:r w:rsidRPr="0031675F">
        <w:t xml:space="preserve"> on</w:t>
      </w:r>
      <w:r w:rsidRPr="0031675F">
        <w:rPr>
          <w:spacing w:val="2"/>
        </w:rPr>
        <w:t xml:space="preserve"> </w:t>
      </w:r>
      <w:r w:rsidRPr="0031675F">
        <w:t>the</w:t>
      </w:r>
      <w:r w:rsidRPr="0031675F">
        <w:rPr>
          <w:spacing w:val="3"/>
        </w:rPr>
        <w:t xml:space="preserve"> </w:t>
      </w:r>
      <w:r w:rsidRPr="0031675F">
        <w:rPr>
          <w:spacing w:val="-1"/>
        </w:rPr>
        <w:t>oxidation</w:t>
      </w:r>
      <w:r w:rsidRPr="0031675F">
        <w:rPr>
          <w:spacing w:val="2"/>
        </w:rPr>
        <w:t xml:space="preserve"> </w:t>
      </w:r>
      <w:r w:rsidRPr="0031675F">
        <w:t>of</w:t>
      </w:r>
      <w:r w:rsidRPr="0031675F">
        <w:rPr>
          <w:spacing w:val="1"/>
        </w:rPr>
        <w:t xml:space="preserve"> </w:t>
      </w:r>
      <w:r w:rsidRPr="0031675F">
        <w:rPr>
          <w:spacing w:val="-1"/>
        </w:rPr>
        <w:t>organic</w:t>
      </w:r>
      <w:r w:rsidRPr="0031675F">
        <w:rPr>
          <w:spacing w:val="4"/>
        </w:rPr>
        <w:t xml:space="preserve"> </w:t>
      </w:r>
      <w:r w:rsidRPr="0031675F">
        <w:rPr>
          <w:spacing w:val="-1"/>
        </w:rPr>
        <w:t>phosphorus</w:t>
      </w:r>
      <w:r w:rsidRPr="0031675F">
        <w:rPr>
          <w:spacing w:val="3"/>
        </w:rPr>
        <w:t xml:space="preserve"> </w:t>
      </w:r>
      <w:r w:rsidRPr="0031675F">
        <w:rPr>
          <w:spacing w:val="-1"/>
        </w:rPr>
        <w:t>and</w:t>
      </w:r>
      <w:r w:rsidRPr="0031675F">
        <w:rPr>
          <w:spacing w:val="2"/>
        </w:rPr>
        <w:t xml:space="preserve"> </w:t>
      </w:r>
      <w:r w:rsidRPr="0031675F">
        <w:t>the</w:t>
      </w:r>
      <w:r w:rsidRPr="0031675F">
        <w:rPr>
          <w:spacing w:val="3"/>
        </w:rPr>
        <w:t xml:space="preserve"> </w:t>
      </w:r>
      <w:r w:rsidRPr="0031675F">
        <w:rPr>
          <w:spacing w:val="-1"/>
        </w:rPr>
        <w:t>extraction</w:t>
      </w:r>
      <w:r w:rsidRPr="0031675F">
        <w:rPr>
          <w:spacing w:val="49"/>
        </w:rPr>
        <w:t xml:space="preserve"> </w:t>
      </w:r>
      <w:r w:rsidRPr="0031675F">
        <w:t>of</w:t>
      </w:r>
      <w:r w:rsidRPr="0031675F">
        <w:rPr>
          <w:spacing w:val="3"/>
        </w:rPr>
        <w:t xml:space="preserve"> </w:t>
      </w:r>
      <w:r w:rsidRPr="0031675F">
        <w:rPr>
          <w:spacing w:val="-1"/>
        </w:rPr>
        <w:t>acid-labile</w:t>
      </w:r>
      <w:r w:rsidRPr="0031675F">
        <w:rPr>
          <w:spacing w:val="91"/>
        </w:rPr>
        <w:t xml:space="preserve"> </w:t>
      </w:r>
      <w:r w:rsidRPr="0031675F">
        <w:rPr>
          <w:spacing w:val="-1"/>
        </w:rPr>
        <w:t>inorganic</w:t>
      </w:r>
      <w:r w:rsidRPr="0031675F">
        <w:rPr>
          <w:spacing w:val="8"/>
        </w:rPr>
        <w:t xml:space="preserve"> </w:t>
      </w:r>
      <w:r w:rsidRPr="0031675F">
        <w:rPr>
          <w:spacing w:val="-1"/>
        </w:rPr>
        <w:t>phosphorus</w:t>
      </w:r>
      <w:r w:rsidRPr="0031675F">
        <w:rPr>
          <w:spacing w:val="8"/>
        </w:rPr>
        <w:t xml:space="preserve"> </w:t>
      </w:r>
      <w:r w:rsidRPr="0031675F">
        <w:rPr>
          <w:spacing w:val="-2"/>
        </w:rPr>
        <w:t>from</w:t>
      </w:r>
      <w:r w:rsidRPr="0031675F">
        <w:rPr>
          <w:spacing w:val="9"/>
        </w:rPr>
        <w:t xml:space="preserve"> </w:t>
      </w:r>
      <w:r w:rsidRPr="0031675F">
        <w:rPr>
          <w:spacing w:val="-1"/>
        </w:rPr>
        <w:t>particles</w:t>
      </w:r>
      <w:r w:rsidRPr="0031675F">
        <w:rPr>
          <w:spacing w:val="8"/>
        </w:rPr>
        <w:t xml:space="preserve"> </w:t>
      </w:r>
      <w:r w:rsidRPr="0031675F">
        <w:rPr>
          <w:spacing w:val="-1"/>
        </w:rPr>
        <w:t>by</w:t>
      </w:r>
      <w:r w:rsidRPr="0031675F">
        <w:rPr>
          <w:spacing w:val="9"/>
        </w:rPr>
        <w:t xml:space="preserve"> </w:t>
      </w:r>
      <w:r w:rsidRPr="0031675F">
        <w:rPr>
          <w:spacing w:val="-1"/>
        </w:rPr>
        <w:t>hot</w:t>
      </w:r>
      <w:r w:rsidRPr="0031675F">
        <w:rPr>
          <w:spacing w:val="8"/>
        </w:rPr>
        <w:t xml:space="preserve"> </w:t>
      </w:r>
      <w:r w:rsidRPr="0031675F">
        <w:t>acid</w:t>
      </w:r>
      <w:r w:rsidRPr="0031675F">
        <w:rPr>
          <w:spacing w:val="4"/>
        </w:rPr>
        <w:t xml:space="preserve"> </w:t>
      </w:r>
      <w:r w:rsidRPr="0031675F">
        <w:rPr>
          <w:spacing w:val="-1"/>
        </w:rPr>
        <w:t>persulfate</w:t>
      </w:r>
      <w:r w:rsidRPr="0031675F">
        <w:rPr>
          <w:spacing w:val="9"/>
        </w:rPr>
        <w:t xml:space="preserve"> </w:t>
      </w:r>
      <w:r w:rsidRPr="0031675F">
        <w:rPr>
          <w:spacing w:val="-1"/>
        </w:rPr>
        <w:t>(Menzel</w:t>
      </w:r>
      <w:r w:rsidRPr="0031675F">
        <w:rPr>
          <w:spacing w:val="8"/>
        </w:rPr>
        <w:t xml:space="preserve"> </w:t>
      </w:r>
      <w:r w:rsidRPr="0031675F">
        <w:rPr>
          <w:spacing w:val="-1"/>
        </w:rPr>
        <w:t>and</w:t>
      </w:r>
      <w:r w:rsidRPr="0031675F">
        <w:rPr>
          <w:spacing w:val="7"/>
        </w:rPr>
        <w:t xml:space="preserve"> </w:t>
      </w:r>
      <w:r w:rsidRPr="0031675F">
        <w:rPr>
          <w:spacing w:val="-1"/>
        </w:rPr>
        <w:t>Corwin,1965)</w:t>
      </w:r>
      <w:r w:rsidRPr="0031675F">
        <w:rPr>
          <w:spacing w:val="6"/>
        </w:rPr>
        <w:t xml:space="preserve"> </w:t>
      </w:r>
      <w:r w:rsidRPr="0031675F">
        <w:rPr>
          <w:spacing w:val="-1"/>
        </w:rPr>
        <w:t>and</w:t>
      </w:r>
      <w:r w:rsidRPr="0031675F">
        <w:rPr>
          <w:spacing w:val="7"/>
        </w:rPr>
        <w:t xml:space="preserve"> </w:t>
      </w:r>
      <w:r w:rsidRPr="0031675F">
        <w:t>the</w:t>
      </w:r>
      <w:r w:rsidRPr="0031675F">
        <w:rPr>
          <w:spacing w:val="65"/>
        </w:rPr>
        <w:t xml:space="preserve"> </w:t>
      </w:r>
      <w:r w:rsidRPr="0031675F">
        <w:rPr>
          <w:spacing w:val="-1"/>
        </w:rPr>
        <w:t>subsequent</w:t>
      </w:r>
      <w:r w:rsidRPr="0031675F">
        <w:rPr>
          <w:spacing w:val="28"/>
        </w:rPr>
        <w:t xml:space="preserve"> </w:t>
      </w:r>
      <w:r w:rsidRPr="0031675F">
        <w:rPr>
          <w:spacing w:val="-1"/>
        </w:rPr>
        <w:t>colorimetric</w:t>
      </w:r>
      <w:r w:rsidRPr="0031675F">
        <w:rPr>
          <w:spacing w:val="29"/>
        </w:rPr>
        <w:t xml:space="preserve"> </w:t>
      </w:r>
      <w:r w:rsidRPr="0031675F">
        <w:rPr>
          <w:spacing w:val="-1"/>
        </w:rPr>
        <w:t>determination</w:t>
      </w:r>
      <w:r w:rsidRPr="0031675F">
        <w:rPr>
          <w:spacing w:val="28"/>
        </w:rPr>
        <w:t xml:space="preserve"> </w:t>
      </w:r>
      <w:r w:rsidRPr="0031675F">
        <w:t>of</w:t>
      </w:r>
      <w:r w:rsidRPr="0031675F">
        <w:rPr>
          <w:spacing w:val="28"/>
        </w:rPr>
        <w:t xml:space="preserve"> </w:t>
      </w:r>
      <w:r w:rsidRPr="0031675F">
        <w:t>the</w:t>
      </w:r>
      <w:r w:rsidRPr="0031675F">
        <w:rPr>
          <w:spacing w:val="27"/>
        </w:rPr>
        <w:t xml:space="preserve"> </w:t>
      </w:r>
      <w:r w:rsidRPr="0031675F">
        <w:t>P</w:t>
      </w:r>
      <w:r w:rsidRPr="0031675F">
        <w:rPr>
          <w:spacing w:val="30"/>
        </w:rPr>
        <w:t xml:space="preserve"> </w:t>
      </w:r>
      <w:r w:rsidRPr="0031675F">
        <w:rPr>
          <w:spacing w:val="-1"/>
        </w:rPr>
        <w:t>released</w:t>
      </w:r>
      <w:r w:rsidRPr="0031675F">
        <w:rPr>
          <w:spacing w:val="29"/>
        </w:rPr>
        <w:t xml:space="preserve"> </w:t>
      </w:r>
      <w:r w:rsidRPr="0031675F">
        <w:t>as</w:t>
      </w:r>
      <w:r w:rsidRPr="0031675F">
        <w:rPr>
          <w:spacing w:val="28"/>
        </w:rPr>
        <w:t xml:space="preserve"> </w:t>
      </w:r>
      <w:r w:rsidRPr="0031675F">
        <w:rPr>
          <w:spacing w:val="-1"/>
        </w:rPr>
        <w:t>orthophosphate</w:t>
      </w:r>
      <w:r w:rsidRPr="0031675F">
        <w:rPr>
          <w:spacing w:val="30"/>
        </w:rPr>
        <w:t xml:space="preserve"> </w:t>
      </w:r>
      <w:r w:rsidRPr="0031675F">
        <w:rPr>
          <w:spacing w:val="-1"/>
        </w:rPr>
        <w:t>(Parsons</w:t>
      </w:r>
      <w:r w:rsidRPr="0031675F">
        <w:rPr>
          <w:spacing w:val="29"/>
        </w:rPr>
        <w:t xml:space="preserve"> </w:t>
      </w:r>
      <w:r w:rsidRPr="0031675F">
        <w:t>et</w:t>
      </w:r>
      <w:r w:rsidRPr="0031675F">
        <w:rPr>
          <w:spacing w:val="29"/>
        </w:rPr>
        <w:t xml:space="preserve"> </w:t>
      </w:r>
      <w:r w:rsidRPr="0031675F">
        <w:rPr>
          <w:spacing w:val="-1"/>
        </w:rPr>
        <w:t>al,1984),.</w:t>
      </w:r>
      <w:r w:rsidRPr="0031675F">
        <w:rPr>
          <w:spacing w:val="49"/>
        </w:rPr>
        <w:t xml:space="preserve"> </w:t>
      </w:r>
      <w:r w:rsidRPr="0031675F">
        <w:rPr>
          <w:spacing w:val="-1"/>
        </w:rPr>
        <w:t>Phosphorus</w:t>
      </w:r>
      <w:r w:rsidRPr="0031675F">
        <w:rPr>
          <w:spacing w:val="31"/>
        </w:rPr>
        <w:t xml:space="preserve"> </w:t>
      </w:r>
      <w:r w:rsidRPr="0031675F">
        <w:rPr>
          <w:spacing w:val="-1"/>
        </w:rPr>
        <w:t>occurs</w:t>
      </w:r>
      <w:r w:rsidRPr="0031675F">
        <w:rPr>
          <w:spacing w:val="31"/>
        </w:rPr>
        <w:t xml:space="preserve"> </w:t>
      </w:r>
      <w:r w:rsidRPr="0031675F">
        <w:t>in</w:t>
      </w:r>
      <w:r w:rsidRPr="0031675F">
        <w:rPr>
          <w:spacing w:val="29"/>
        </w:rPr>
        <w:t xml:space="preserve"> </w:t>
      </w:r>
      <w:r w:rsidRPr="0031675F">
        <w:rPr>
          <w:spacing w:val="-1"/>
        </w:rPr>
        <w:t>many</w:t>
      </w:r>
      <w:r w:rsidRPr="0031675F">
        <w:rPr>
          <w:spacing w:val="31"/>
        </w:rPr>
        <w:t xml:space="preserve"> </w:t>
      </w:r>
      <w:r w:rsidRPr="0031675F">
        <w:rPr>
          <w:spacing w:val="-1"/>
        </w:rPr>
        <w:t>organic</w:t>
      </w:r>
      <w:r w:rsidRPr="0031675F">
        <w:rPr>
          <w:spacing w:val="31"/>
        </w:rPr>
        <w:t xml:space="preserve"> </w:t>
      </w:r>
      <w:r w:rsidRPr="0031675F">
        <w:rPr>
          <w:spacing w:val="-1"/>
        </w:rPr>
        <w:t>and</w:t>
      </w:r>
      <w:r w:rsidRPr="0031675F">
        <w:rPr>
          <w:spacing w:val="31"/>
        </w:rPr>
        <w:t xml:space="preserve"> </w:t>
      </w:r>
      <w:r w:rsidRPr="0031675F">
        <w:rPr>
          <w:spacing w:val="-1"/>
        </w:rPr>
        <w:t>inorganic</w:t>
      </w:r>
      <w:r w:rsidRPr="0031675F">
        <w:rPr>
          <w:spacing w:val="31"/>
        </w:rPr>
        <w:t xml:space="preserve"> </w:t>
      </w:r>
      <w:r w:rsidRPr="0031675F">
        <w:rPr>
          <w:spacing w:val="-1"/>
        </w:rPr>
        <w:t>forms</w:t>
      </w:r>
      <w:r w:rsidRPr="0031675F">
        <w:rPr>
          <w:spacing w:val="31"/>
        </w:rPr>
        <w:t xml:space="preserve"> </w:t>
      </w:r>
      <w:r w:rsidRPr="0031675F">
        <w:t>in</w:t>
      </w:r>
      <w:r w:rsidRPr="0031675F">
        <w:rPr>
          <w:spacing w:val="30"/>
        </w:rPr>
        <w:t xml:space="preserve"> </w:t>
      </w:r>
      <w:r w:rsidRPr="0031675F">
        <w:t>the</w:t>
      </w:r>
      <w:r w:rsidRPr="0031675F">
        <w:rPr>
          <w:spacing w:val="29"/>
        </w:rPr>
        <w:t xml:space="preserve"> </w:t>
      </w:r>
      <w:r w:rsidRPr="0031675F">
        <w:rPr>
          <w:spacing w:val="-1"/>
        </w:rPr>
        <w:t>environment.</w:t>
      </w:r>
      <w:r w:rsidRPr="0031675F">
        <w:rPr>
          <w:spacing w:val="10"/>
        </w:rPr>
        <w:t xml:space="preserve"> </w:t>
      </w:r>
      <w:r w:rsidRPr="0031675F">
        <w:rPr>
          <w:spacing w:val="-1"/>
        </w:rPr>
        <w:t>Forms</w:t>
      </w:r>
      <w:r w:rsidRPr="0031675F">
        <w:rPr>
          <w:spacing w:val="28"/>
        </w:rPr>
        <w:t xml:space="preserve"> </w:t>
      </w:r>
      <w:r w:rsidRPr="0031675F">
        <w:rPr>
          <w:spacing w:val="-1"/>
        </w:rPr>
        <w:t>available</w:t>
      </w:r>
      <w:r w:rsidRPr="0031675F">
        <w:rPr>
          <w:spacing w:val="32"/>
        </w:rPr>
        <w:t xml:space="preserve"> </w:t>
      </w:r>
      <w:r w:rsidRPr="0031675F">
        <w:rPr>
          <w:spacing w:val="-1"/>
        </w:rPr>
        <w:t>for</w:t>
      </w:r>
      <w:r w:rsidRPr="0031675F">
        <w:rPr>
          <w:spacing w:val="75"/>
        </w:rPr>
        <w:t xml:space="preserve"> </w:t>
      </w:r>
      <w:r w:rsidRPr="0031675F">
        <w:rPr>
          <w:spacing w:val="-1"/>
        </w:rPr>
        <w:t>quantitation</w:t>
      </w:r>
      <w:r w:rsidRPr="0031675F">
        <w:rPr>
          <w:spacing w:val="5"/>
        </w:rPr>
        <w:t xml:space="preserve"> </w:t>
      </w:r>
      <w:r w:rsidRPr="0031675F">
        <w:rPr>
          <w:spacing w:val="-1"/>
        </w:rPr>
        <w:t>by</w:t>
      </w:r>
      <w:r w:rsidRPr="0031675F">
        <w:rPr>
          <w:spacing w:val="6"/>
        </w:rPr>
        <w:t xml:space="preserve"> </w:t>
      </w:r>
      <w:r w:rsidRPr="0031675F">
        <w:rPr>
          <w:spacing w:val="-1"/>
        </w:rPr>
        <w:t>instrumental</w:t>
      </w:r>
      <w:r w:rsidRPr="0031675F">
        <w:rPr>
          <w:spacing w:val="5"/>
        </w:rPr>
        <w:t xml:space="preserve"> </w:t>
      </w:r>
      <w:r w:rsidRPr="0031675F">
        <w:t>means</w:t>
      </w:r>
      <w:r w:rsidRPr="0031675F">
        <w:rPr>
          <w:spacing w:val="5"/>
        </w:rPr>
        <w:t xml:space="preserve"> </w:t>
      </w:r>
      <w:r w:rsidRPr="0031675F">
        <w:rPr>
          <w:spacing w:val="-1"/>
        </w:rPr>
        <w:t>depend</w:t>
      </w:r>
      <w:r w:rsidRPr="0031675F">
        <w:rPr>
          <w:spacing w:val="4"/>
        </w:rPr>
        <w:t xml:space="preserve"> </w:t>
      </w:r>
      <w:r w:rsidRPr="0031675F">
        <w:rPr>
          <w:spacing w:val="-1"/>
        </w:rPr>
        <w:t>strongly</w:t>
      </w:r>
      <w:r w:rsidRPr="0031675F">
        <w:rPr>
          <w:spacing w:val="6"/>
        </w:rPr>
        <w:t xml:space="preserve"> </w:t>
      </w:r>
      <w:r w:rsidRPr="0031675F">
        <w:t>on</w:t>
      </w:r>
      <w:r w:rsidRPr="0031675F">
        <w:rPr>
          <w:spacing w:val="5"/>
        </w:rPr>
        <w:t xml:space="preserve"> </w:t>
      </w:r>
      <w:r w:rsidRPr="0031675F">
        <w:t>the</w:t>
      </w:r>
      <w:r w:rsidRPr="0031675F">
        <w:rPr>
          <w:spacing w:val="6"/>
        </w:rPr>
        <w:t xml:space="preserve"> </w:t>
      </w:r>
      <w:r w:rsidRPr="0031675F">
        <w:rPr>
          <w:spacing w:val="-1"/>
        </w:rPr>
        <w:t>extraction</w:t>
      </w:r>
      <w:r w:rsidRPr="0031675F">
        <w:rPr>
          <w:spacing w:val="5"/>
        </w:rPr>
        <w:t xml:space="preserve"> </w:t>
      </w:r>
      <w:r w:rsidRPr="0031675F">
        <w:rPr>
          <w:spacing w:val="-1"/>
        </w:rPr>
        <w:t>method</w:t>
      </w:r>
      <w:r w:rsidRPr="0031675F">
        <w:rPr>
          <w:spacing w:val="5"/>
        </w:rPr>
        <w:t xml:space="preserve"> </w:t>
      </w:r>
      <w:r w:rsidRPr="0031675F">
        <w:rPr>
          <w:spacing w:val="-1"/>
        </w:rPr>
        <w:t>employed</w:t>
      </w:r>
      <w:r w:rsidRPr="0031675F">
        <w:rPr>
          <w:spacing w:val="5"/>
        </w:rPr>
        <w:t xml:space="preserve"> </w:t>
      </w:r>
      <w:r w:rsidRPr="0031675F">
        <w:rPr>
          <w:spacing w:val="-1"/>
        </w:rPr>
        <w:t>(e.g.</w:t>
      </w:r>
      <w:r w:rsidRPr="0031675F">
        <w:rPr>
          <w:spacing w:val="67"/>
        </w:rPr>
        <w:t xml:space="preserve"> </w:t>
      </w:r>
      <w:r w:rsidRPr="0031675F">
        <w:rPr>
          <w:spacing w:val="-1"/>
        </w:rPr>
        <w:t>Ruttenberg,</w:t>
      </w:r>
      <w:r w:rsidRPr="0031675F">
        <w:rPr>
          <w:spacing w:val="-3"/>
        </w:rPr>
        <w:t xml:space="preserve"> </w:t>
      </w:r>
      <w:r w:rsidRPr="0031675F">
        <w:rPr>
          <w:spacing w:val="-1"/>
        </w:rPr>
        <w:t>1992).</w:t>
      </w:r>
    </w:p>
    <w:p w14:paraId="6898808C" w14:textId="77777777" w:rsidR="0031675F" w:rsidRPr="0031675F" w:rsidRDefault="0031675F" w:rsidP="0031675F">
      <w:pPr>
        <w:spacing w:before="7"/>
        <w:rPr>
          <w:rFonts w:cs="Calibri"/>
          <w:sz w:val="20"/>
          <w:szCs w:val="20"/>
        </w:rPr>
      </w:pPr>
    </w:p>
    <w:p w14:paraId="3D885A05" w14:textId="77777777" w:rsidR="0031675F" w:rsidRPr="0031675F" w:rsidRDefault="0031675F" w:rsidP="0031675F">
      <w:pPr>
        <w:widowControl w:val="0"/>
        <w:numPr>
          <w:ilvl w:val="1"/>
          <w:numId w:val="105"/>
        </w:numPr>
        <w:tabs>
          <w:tab w:val="left" w:pos="706"/>
        </w:tabs>
        <w:spacing w:before="0" w:after="0" w:line="240" w:lineRule="auto"/>
        <w:jc w:val="both"/>
        <w:rPr>
          <w:rFonts w:eastAsia="Arial" w:cs="Arial"/>
          <w:sz w:val="24"/>
          <w:szCs w:val="24"/>
        </w:rPr>
      </w:pPr>
      <w:bookmarkStart w:id="668" w:name="_TOC_250035"/>
      <w:r w:rsidRPr="0031675F">
        <w:rPr>
          <w:b/>
          <w:sz w:val="24"/>
        </w:rPr>
        <w:t>Sample</w:t>
      </w:r>
      <w:r w:rsidRPr="0031675F">
        <w:rPr>
          <w:b/>
          <w:spacing w:val="-1"/>
          <w:sz w:val="24"/>
        </w:rPr>
        <w:t xml:space="preserve"> collection</w:t>
      </w:r>
      <w:r w:rsidRPr="0031675F">
        <w:rPr>
          <w:b/>
          <w:sz w:val="24"/>
        </w:rPr>
        <w:t xml:space="preserve"> </w:t>
      </w:r>
      <w:r w:rsidRPr="0031675F">
        <w:rPr>
          <w:b/>
          <w:spacing w:val="-1"/>
          <w:sz w:val="24"/>
        </w:rPr>
        <w:t>procedure</w:t>
      </w:r>
      <w:r w:rsidRPr="0031675F">
        <w:rPr>
          <w:b/>
          <w:spacing w:val="-2"/>
          <w:sz w:val="24"/>
        </w:rPr>
        <w:t xml:space="preserve"> </w:t>
      </w:r>
      <w:r w:rsidRPr="0031675F">
        <w:rPr>
          <w:b/>
          <w:sz w:val="24"/>
        </w:rPr>
        <w:t xml:space="preserve">and </w:t>
      </w:r>
      <w:r w:rsidRPr="0031675F">
        <w:rPr>
          <w:b/>
          <w:spacing w:val="-1"/>
          <w:sz w:val="24"/>
        </w:rPr>
        <w:t>storage</w:t>
      </w:r>
      <w:bookmarkEnd w:id="668"/>
    </w:p>
    <w:p w14:paraId="32F23F85" w14:textId="77777777" w:rsidR="0031675F" w:rsidRPr="0031675F" w:rsidRDefault="0031675F" w:rsidP="0031675F">
      <w:pPr>
        <w:spacing w:before="10"/>
        <w:rPr>
          <w:rFonts w:eastAsia="Arial" w:cs="Arial"/>
          <w:b/>
          <w:bCs/>
          <w:sz w:val="20"/>
          <w:szCs w:val="20"/>
        </w:rPr>
      </w:pPr>
    </w:p>
    <w:p w14:paraId="127B92A8" w14:textId="77777777" w:rsidR="0031675F" w:rsidRPr="0031675F" w:rsidRDefault="0031675F" w:rsidP="0031675F">
      <w:pPr>
        <w:ind w:left="138"/>
        <w:jc w:val="both"/>
        <w:rPr>
          <w:rFonts w:eastAsia="Arial" w:cs="Arial"/>
        </w:rPr>
      </w:pPr>
      <w:r w:rsidRPr="0031675F">
        <w:rPr>
          <w:b/>
        </w:rPr>
        <w:t xml:space="preserve">7.3.1  </w:t>
      </w:r>
      <w:r w:rsidRPr="0031675F">
        <w:rPr>
          <w:b/>
          <w:spacing w:val="44"/>
        </w:rPr>
        <w:t xml:space="preserve"> </w:t>
      </w:r>
      <w:r w:rsidRPr="0031675F">
        <w:rPr>
          <w:b/>
          <w:spacing w:val="-1"/>
        </w:rPr>
        <w:t>Equipment</w:t>
      </w:r>
    </w:p>
    <w:p w14:paraId="29B5F97F" w14:textId="77777777" w:rsidR="0031675F" w:rsidRPr="0031675F" w:rsidRDefault="0031675F" w:rsidP="0031675F">
      <w:pPr>
        <w:spacing w:before="11"/>
        <w:rPr>
          <w:rFonts w:eastAsia="Arial" w:cs="Arial"/>
          <w:b/>
          <w:bCs/>
          <w:sz w:val="20"/>
          <w:szCs w:val="20"/>
        </w:rPr>
      </w:pPr>
    </w:p>
    <w:p w14:paraId="45313509" w14:textId="77777777" w:rsidR="0031675F" w:rsidRPr="0031675F" w:rsidRDefault="0031675F" w:rsidP="0031675F">
      <w:pPr>
        <w:widowControl w:val="0"/>
        <w:numPr>
          <w:ilvl w:val="2"/>
          <w:numId w:val="105"/>
        </w:numPr>
        <w:tabs>
          <w:tab w:val="left" w:pos="859"/>
        </w:tabs>
        <w:spacing w:before="0" w:after="0" w:line="240" w:lineRule="auto"/>
      </w:pPr>
      <w:r w:rsidRPr="0031675F">
        <w:t>25</w:t>
      </w:r>
      <w:r w:rsidRPr="0031675F">
        <w:rPr>
          <w:spacing w:val="-2"/>
        </w:rPr>
        <w:t xml:space="preserve"> </w:t>
      </w:r>
      <w:r w:rsidRPr="0031675F">
        <w:rPr>
          <w:spacing w:val="-1"/>
        </w:rPr>
        <w:t xml:space="preserve">mm Whatman </w:t>
      </w:r>
      <w:r w:rsidRPr="0031675F">
        <w:t>GF/F</w:t>
      </w:r>
      <w:r w:rsidRPr="0031675F">
        <w:rPr>
          <w:spacing w:val="-3"/>
        </w:rPr>
        <w:t xml:space="preserve"> </w:t>
      </w:r>
      <w:r w:rsidRPr="0031675F">
        <w:rPr>
          <w:spacing w:val="-1"/>
        </w:rPr>
        <w:t>glass</w:t>
      </w:r>
      <w:r w:rsidRPr="0031675F">
        <w:t xml:space="preserve"> </w:t>
      </w:r>
      <w:r w:rsidRPr="0031675F">
        <w:rPr>
          <w:spacing w:val="-1"/>
        </w:rPr>
        <w:t>fibre</w:t>
      </w:r>
      <w:r w:rsidRPr="0031675F">
        <w:t xml:space="preserve"> </w:t>
      </w:r>
      <w:r w:rsidRPr="0031675F">
        <w:rPr>
          <w:spacing w:val="-1"/>
        </w:rPr>
        <w:t>filters</w:t>
      </w:r>
    </w:p>
    <w:p w14:paraId="0BCC6115" w14:textId="77777777" w:rsidR="0031675F" w:rsidRPr="0031675F" w:rsidRDefault="0031675F" w:rsidP="0031675F">
      <w:pPr>
        <w:widowControl w:val="0"/>
        <w:numPr>
          <w:ilvl w:val="2"/>
          <w:numId w:val="105"/>
        </w:numPr>
        <w:tabs>
          <w:tab w:val="left" w:pos="859"/>
        </w:tabs>
        <w:spacing w:before="0" w:after="0" w:line="240" w:lineRule="auto"/>
      </w:pPr>
      <w:r w:rsidRPr="0031675F">
        <w:rPr>
          <w:spacing w:val="-1"/>
        </w:rPr>
        <w:t>tweezers, aluminium</w:t>
      </w:r>
      <w:r w:rsidRPr="0031675F">
        <w:rPr>
          <w:spacing w:val="-2"/>
        </w:rPr>
        <w:t xml:space="preserve"> </w:t>
      </w:r>
      <w:r w:rsidRPr="0031675F">
        <w:t>foil</w:t>
      </w:r>
    </w:p>
    <w:p w14:paraId="3AB508B1" w14:textId="77777777" w:rsidR="0031675F" w:rsidRPr="0031675F" w:rsidRDefault="0031675F" w:rsidP="0031675F">
      <w:pPr>
        <w:widowControl w:val="0"/>
        <w:numPr>
          <w:ilvl w:val="2"/>
          <w:numId w:val="105"/>
        </w:numPr>
        <w:tabs>
          <w:tab w:val="left" w:pos="859"/>
        </w:tabs>
        <w:spacing w:before="0" w:after="0" w:line="240" w:lineRule="auto"/>
      </w:pPr>
      <w:r w:rsidRPr="0031675F">
        <w:rPr>
          <w:spacing w:val="-1"/>
        </w:rPr>
        <w:t>black labelling pen</w:t>
      </w:r>
    </w:p>
    <w:p w14:paraId="4E1B52A1" w14:textId="41A88E83" w:rsidR="0031675F" w:rsidRPr="0031675F" w:rsidRDefault="0031675F" w:rsidP="0031675F">
      <w:pPr>
        <w:widowControl w:val="0"/>
        <w:numPr>
          <w:ilvl w:val="2"/>
          <w:numId w:val="105"/>
        </w:numPr>
        <w:tabs>
          <w:tab w:val="left" w:pos="859"/>
        </w:tabs>
        <w:spacing w:before="0" w:after="0" w:line="280" w:lineRule="exact"/>
      </w:pPr>
      <w:r w:rsidRPr="0031675F">
        <w:rPr>
          <w:spacing w:val="-1"/>
        </w:rPr>
        <w:t>250</w:t>
      </w:r>
      <w:r w:rsidRPr="0031675F">
        <w:rPr>
          <w:spacing w:val="-2"/>
        </w:rPr>
        <w:t xml:space="preserve"> </w:t>
      </w:r>
      <w:r w:rsidR="00BB13FD">
        <w:t>mL</w:t>
      </w:r>
      <w:r w:rsidRPr="0031675F">
        <w:t xml:space="preserve"> </w:t>
      </w:r>
      <w:r w:rsidRPr="0031675F">
        <w:rPr>
          <w:spacing w:val="-1"/>
        </w:rPr>
        <w:t>plastic</w:t>
      </w:r>
      <w:r w:rsidRPr="0031675F">
        <w:rPr>
          <w:spacing w:val="-2"/>
        </w:rPr>
        <w:t xml:space="preserve"> </w:t>
      </w:r>
      <w:r w:rsidRPr="0031675F">
        <w:rPr>
          <w:spacing w:val="-1"/>
        </w:rPr>
        <w:t>measuring cylinder</w:t>
      </w:r>
    </w:p>
    <w:p w14:paraId="093DCCA6" w14:textId="77777777" w:rsidR="0031675F" w:rsidRPr="0031675F" w:rsidRDefault="0031675F" w:rsidP="0031675F">
      <w:pPr>
        <w:widowControl w:val="0"/>
        <w:numPr>
          <w:ilvl w:val="2"/>
          <w:numId w:val="105"/>
        </w:numPr>
        <w:tabs>
          <w:tab w:val="left" w:pos="859"/>
        </w:tabs>
        <w:spacing w:before="0" w:after="0" w:line="280" w:lineRule="exact"/>
      </w:pPr>
      <w:r w:rsidRPr="0031675F">
        <w:t>25</w:t>
      </w:r>
      <w:r w:rsidRPr="0031675F">
        <w:rPr>
          <w:spacing w:val="-2"/>
        </w:rPr>
        <w:t xml:space="preserve"> </w:t>
      </w:r>
      <w:r w:rsidRPr="0031675F">
        <w:rPr>
          <w:spacing w:val="-1"/>
        </w:rPr>
        <w:t>mm</w:t>
      </w:r>
      <w:r w:rsidRPr="0031675F">
        <w:rPr>
          <w:spacing w:val="1"/>
        </w:rPr>
        <w:t xml:space="preserve"> </w:t>
      </w:r>
      <w:r w:rsidRPr="0031675F">
        <w:rPr>
          <w:spacing w:val="-1"/>
        </w:rPr>
        <w:t>filter</w:t>
      </w:r>
      <w:r w:rsidRPr="0031675F">
        <w:t xml:space="preserve"> </w:t>
      </w:r>
      <w:r w:rsidRPr="0031675F">
        <w:rPr>
          <w:spacing w:val="-1"/>
        </w:rPr>
        <w:t>funnels,</w:t>
      </w:r>
      <w:r w:rsidRPr="0031675F">
        <w:rPr>
          <w:spacing w:val="-3"/>
        </w:rPr>
        <w:t xml:space="preserve"> </w:t>
      </w:r>
      <w:r w:rsidRPr="0031675F">
        <w:rPr>
          <w:spacing w:val="-1"/>
        </w:rPr>
        <w:t>manifold,</w:t>
      </w:r>
      <w:r w:rsidRPr="0031675F">
        <w:t xml:space="preserve"> </w:t>
      </w:r>
      <w:r w:rsidRPr="0031675F">
        <w:rPr>
          <w:spacing w:val="-1"/>
        </w:rPr>
        <w:t>water</w:t>
      </w:r>
      <w:r w:rsidRPr="0031675F">
        <w:t xml:space="preserve"> </w:t>
      </w:r>
      <w:r w:rsidRPr="0031675F">
        <w:rPr>
          <w:spacing w:val="-1"/>
        </w:rPr>
        <w:t>reservoir</w:t>
      </w:r>
      <w:r w:rsidRPr="0031675F">
        <w:t xml:space="preserve"> </w:t>
      </w:r>
      <w:r w:rsidRPr="0031675F">
        <w:rPr>
          <w:spacing w:val="-1"/>
        </w:rPr>
        <w:t>and</w:t>
      </w:r>
      <w:r w:rsidRPr="0031675F">
        <w:rPr>
          <w:spacing w:val="-3"/>
        </w:rPr>
        <w:t xml:space="preserve"> </w:t>
      </w:r>
      <w:r w:rsidRPr="0031675F">
        <w:rPr>
          <w:spacing w:val="-1"/>
        </w:rPr>
        <w:t>vacuum</w:t>
      </w:r>
      <w:r w:rsidRPr="0031675F">
        <w:rPr>
          <w:spacing w:val="1"/>
        </w:rPr>
        <w:t xml:space="preserve"> </w:t>
      </w:r>
      <w:r w:rsidRPr="0031675F">
        <w:rPr>
          <w:spacing w:val="-1"/>
        </w:rPr>
        <w:t>pump.</w:t>
      </w:r>
    </w:p>
    <w:p w14:paraId="22E0ADD6" w14:textId="77777777" w:rsidR="0031675F" w:rsidRPr="0031675F" w:rsidRDefault="0031675F" w:rsidP="0031675F">
      <w:pPr>
        <w:spacing w:before="9"/>
        <w:rPr>
          <w:rFonts w:cs="Calibri"/>
          <w:sz w:val="20"/>
          <w:szCs w:val="20"/>
        </w:rPr>
      </w:pPr>
    </w:p>
    <w:p w14:paraId="2079A0B1" w14:textId="77777777" w:rsidR="0031675F" w:rsidRPr="0031675F" w:rsidRDefault="0031675F" w:rsidP="0031675F">
      <w:pPr>
        <w:ind w:left="138"/>
        <w:jc w:val="both"/>
        <w:rPr>
          <w:rFonts w:eastAsia="Arial" w:cs="Arial"/>
        </w:rPr>
      </w:pPr>
      <w:r w:rsidRPr="0031675F">
        <w:rPr>
          <w:b/>
        </w:rPr>
        <w:t xml:space="preserve">7.3.2  </w:t>
      </w:r>
      <w:r w:rsidRPr="0031675F">
        <w:rPr>
          <w:b/>
          <w:spacing w:val="44"/>
        </w:rPr>
        <w:t xml:space="preserve"> </w:t>
      </w:r>
      <w:r w:rsidRPr="0031675F">
        <w:rPr>
          <w:b/>
          <w:spacing w:val="-1"/>
        </w:rPr>
        <w:t>Methods</w:t>
      </w:r>
    </w:p>
    <w:p w14:paraId="751677BF" w14:textId="77777777" w:rsidR="0031675F" w:rsidRPr="0031675F" w:rsidRDefault="0031675F" w:rsidP="0031675F">
      <w:pPr>
        <w:spacing w:before="11"/>
        <w:rPr>
          <w:rFonts w:eastAsia="Arial" w:cs="Arial"/>
          <w:b/>
          <w:bCs/>
          <w:sz w:val="20"/>
          <w:szCs w:val="20"/>
        </w:rPr>
      </w:pPr>
    </w:p>
    <w:p w14:paraId="79FCC53B" w14:textId="359C1A30" w:rsidR="0031675F" w:rsidRPr="0031675F" w:rsidRDefault="0031675F" w:rsidP="0031675F">
      <w:pPr>
        <w:widowControl w:val="0"/>
        <w:numPr>
          <w:ilvl w:val="0"/>
          <w:numId w:val="104"/>
        </w:numPr>
        <w:tabs>
          <w:tab w:val="left" w:pos="499"/>
        </w:tabs>
        <w:spacing w:before="0" w:after="0" w:line="240" w:lineRule="auto"/>
        <w:ind w:right="677"/>
      </w:pPr>
      <w:r w:rsidRPr="0031675F">
        <w:rPr>
          <w:spacing w:val="-1"/>
        </w:rPr>
        <w:t>Duplicate</w:t>
      </w:r>
      <w:r w:rsidRPr="0031675F">
        <w:rPr>
          <w:spacing w:val="5"/>
        </w:rPr>
        <w:t xml:space="preserve"> </w:t>
      </w:r>
      <w:r w:rsidRPr="0031675F">
        <w:rPr>
          <w:spacing w:val="-1"/>
        </w:rPr>
        <w:t>250</w:t>
      </w:r>
      <w:r w:rsidRPr="0031675F">
        <w:rPr>
          <w:spacing w:val="5"/>
        </w:rPr>
        <w:t xml:space="preserve"> </w:t>
      </w:r>
      <w:r w:rsidR="00BB13FD">
        <w:t>mL</w:t>
      </w:r>
      <w:r w:rsidRPr="0031675F">
        <w:rPr>
          <w:spacing w:val="7"/>
        </w:rPr>
        <w:t xml:space="preserve"> </w:t>
      </w:r>
      <w:r w:rsidRPr="0031675F">
        <w:t>of</w:t>
      </w:r>
      <w:r w:rsidRPr="0031675F">
        <w:rPr>
          <w:spacing w:val="5"/>
        </w:rPr>
        <w:t xml:space="preserve"> </w:t>
      </w:r>
      <w:r w:rsidRPr="0031675F">
        <w:rPr>
          <w:spacing w:val="-1"/>
        </w:rPr>
        <w:t>seawater</w:t>
      </w:r>
      <w:r w:rsidRPr="0031675F">
        <w:rPr>
          <w:spacing w:val="7"/>
        </w:rPr>
        <w:t xml:space="preserve"> </w:t>
      </w:r>
      <w:r w:rsidRPr="0031675F">
        <w:rPr>
          <w:spacing w:val="-1"/>
        </w:rPr>
        <w:t>sub-sample</w:t>
      </w:r>
      <w:r w:rsidRPr="0031675F">
        <w:rPr>
          <w:spacing w:val="7"/>
        </w:rPr>
        <w:t xml:space="preserve"> </w:t>
      </w:r>
      <w:r w:rsidRPr="0031675F">
        <w:t>are</w:t>
      </w:r>
      <w:r w:rsidRPr="0031675F">
        <w:rPr>
          <w:spacing w:val="7"/>
        </w:rPr>
        <w:t xml:space="preserve"> </w:t>
      </w:r>
      <w:r w:rsidRPr="0031675F">
        <w:rPr>
          <w:spacing w:val="-1"/>
        </w:rPr>
        <w:t>filtered</w:t>
      </w:r>
      <w:r w:rsidRPr="0031675F">
        <w:rPr>
          <w:spacing w:val="4"/>
        </w:rPr>
        <w:t xml:space="preserve"> </w:t>
      </w:r>
      <w:r w:rsidRPr="0031675F">
        <w:rPr>
          <w:spacing w:val="-1"/>
        </w:rPr>
        <w:t>through</w:t>
      </w:r>
      <w:r w:rsidRPr="0031675F">
        <w:rPr>
          <w:spacing w:val="6"/>
        </w:rPr>
        <w:t xml:space="preserve"> </w:t>
      </w:r>
      <w:r w:rsidRPr="0031675F">
        <w:rPr>
          <w:spacing w:val="-1"/>
        </w:rPr>
        <w:t>25</w:t>
      </w:r>
      <w:r w:rsidRPr="0031675F">
        <w:rPr>
          <w:spacing w:val="8"/>
        </w:rPr>
        <w:t xml:space="preserve"> </w:t>
      </w:r>
      <w:r w:rsidRPr="0031675F">
        <w:rPr>
          <w:spacing w:val="-1"/>
        </w:rPr>
        <w:t>mm</w:t>
      </w:r>
      <w:r w:rsidRPr="0031675F">
        <w:rPr>
          <w:spacing w:val="6"/>
        </w:rPr>
        <w:t xml:space="preserve"> </w:t>
      </w:r>
      <w:r w:rsidRPr="0031675F">
        <w:rPr>
          <w:spacing w:val="-1"/>
        </w:rPr>
        <w:t>Whatman</w:t>
      </w:r>
      <w:r w:rsidRPr="0031675F">
        <w:rPr>
          <w:spacing w:val="4"/>
        </w:rPr>
        <w:t xml:space="preserve"> </w:t>
      </w:r>
      <w:r w:rsidRPr="0031675F">
        <w:rPr>
          <w:spacing w:val="-1"/>
        </w:rPr>
        <w:t>GF/F</w:t>
      </w:r>
      <w:r w:rsidRPr="0031675F">
        <w:rPr>
          <w:spacing w:val="6"/>
        </w:rPr>
        <w:t xml:space="preserve"> </w:t>
      </w:r>
      <w:r w:rsidRPr="0031675F">
        <w:rPr>
          <w:spacing w:val="-1"/>
        </w:rPr>
        <w:t>glass</w:t>
      </w:r>
      <w:r w:rsidRPr="0031675F">
        <w:rPr>
          <w:spacing w:val="67"/>
        </w:rPr>
        <w:t xml:space="preserve"> </w:t>
      </w:r>
      <w:r w:rsidRPr="0031675F">
        <w:rPr>
          <w:spacing w:val="-1"/>
        </w:rPr>
        <w:t>fibre</w:t>
      </w:r>
      <w:r w:rsidRPr="0031675F">
        <w:t xml:space="preserve"> </w:t>
      </w:r>
      <w:r w:rsidRPr="0031675F">
        <w:rPr>
          <w:spacing w:val="-1"/>
        </w:rPr>
        <w:t>filters</w:t>
      </w:r>
      <w:r w:rsidRPr="0031675F">
        <w:rPr>
          <w:spacing w:val="-3"/>
        </w:rPr>
        <w:t xml:space="preserve"> </w:t>
      </w:r>
      <w:r w:rsidRPr="0031675F">
        <w:rPr>
          <w:spacing w:val="-1"/>
        </w:rPr>
        <w:t>to</w:t>
      </w:r>
      <w:r w:rsidRPr="0031675F">
        <w:rPr>
          <w:spacing w:val="1"/>
        </w:rPr>
        <w:t xml:space="preserve"> </w:t>
      </w:r>
      <w:r w:rsidRPr="0031675F">
        <w:rPr>
          <w:spacing w:val="-1"/>
        </w:rPr>
        <w:t>collect</w:t>
      </w:r>
      <w:r w:rsidRPr="0031675F">
        <w:t xml:space="preserve"> the</w:t>
      </w:r>
      <w:r w:rsidRPr="0031675F">
        <w:rPr>
          <w:spacing w:val="-3"/>
        </w:rPr>
        <w:t xml:space="preserve"> </w:t>
      </w:r>
      <w:r w:rsidRPr="0031675F">
        <w:rPr>
          <w:spacing w:val="-1"/>
        </w:rPr>
        <w:t>particulate</w:t>
      </w:r>
      <w:r w:rsidRPr="0031675F">
        <w:rPr>
          <w:spacing w:val="-2"/>
        </w:rPr>
        <w:t xml:space="preserve"> </w:t>
      </w:r>
      <w:r w:rsidRPr="0031675F">
        <w:rPr>
          <w:spacing w:val="-1"/>
        </w:rPr>
        <w:t>matter</w:t>
      </w:r>
      <w:r w:rsidRPr="0031675F">
        <w:rPr>
          <w:spacing w:val="-2"/>
        </w:rPr>
        <w:t xml:space="preserve"> </w:t>
      </w:r>
      <w:r w:rsidRPr="0031675F">
        <w:t>for</w:t>
      </w:r>
      <w:r w:rsidRPr="0031675F">
        <w:rPr>
          <w:spacing w:val="-3"/>
        </w:rPr>
        <w:t xml:space="preserve"> </w:t>
      </w:r>
      <w:r w:rsidRPr="0031675F">
        <w:rPr>
          <w:spacing w:val="-1"/>
        </w:rPr>
        <w:t>phosphorus</w:t>
      </w:r>
      <w:r w:rsidRPr="0031675F">
        <w:t xml:space="preserve"> </w:t>
      </w:r>
      <w:r w:rsidRPr="0031675F">
        <w:rPr>
          <w:spacing w:val="-1"/>
        </w:rPr>
        <w:t>analysis.</w:t>
      </w:r>
    </w:p>
    <w:p w14:paraId="71276988" w14:textId="6F9DE4B5" w:rsidR="0031675F" w:rsidRPr="0031675F" w:rsidRDefault="0031675F" w:rsidP="0031675F">
      <w:pPr>
        <w:widowControl w:val="0"/>
        <w:numPr>
          <w:ilvl w:val="0"/>
          <w:numId w:val="104"/>
        </w:numPr>
        <w:tabs>
          <w:tab w:val="left" w:pos="499"/>
        </w:tabs>
        <w:spacing w:before="0" w:after="0" w:line="240" w:lineRule="auto"/>
        <w:ind w:right="677"/>
      </w:pPr>
      <w:r w:rsidRPr="0031675F">
        <w:rPr>
          <w:spacing w:val="-1"/>
        </w:rPr>
        <w:t>The</w:t>
      </w:r>
      <w:r w:rsidRPr="0031675F">
        <w:rPr>
          <w:spacing w:val="12"/>
        </w:rPr>
        <w:t xml:space="preserve"> </w:t>
      </w:r>
      <w:r w:rsidRPr="0031675F">
        <w:rPr>
          <w:spacing w:val="-1"/>
        </w:rPr>
        <w:t>filters</w:t>
      </w:r>
      <w:r w:rsidRPr="0031675F">
        <w:rPr>
          <w:spacing w:val="12"/>
        </w:rPr>
        <w:t xml:space="preserve"> </w:t>
      </w:r>
      <w:r w:rsidR="00F505EE">
        <w:rPr>
          <w:spacing w:val="12"/>
        </w:rPr>
        <w:t xml:space="preserve">folded in half so sediment will not dislodge and </w:t>
      </w:r>
      <w:r w:rsidRPr="0031675F">
        <w:t>then</w:t>
      </w:r>
      <w:r w:rsidRPr="0031675F">
        <w:rPr>
          <w:spacing w:val="11"/>
        </w:rPr>
        <w:t xml:space="preserve"> </w:t>
      </w:r>
      <w:r w:rsidRPr="0031675F">
        <w:rPr>
          <w:spacing w:val="-1"/>
        </w:rPr>
        <w:t>wrapped</w:t>
      </w:r>
      <w:r w:rsidRPr="0031675F">
        <w:rPr>
          <w:spacing w:val="11"/>
        </w:rPr>
        <w:t xml:space="preserve"> </w:t>
      </w:r>
      <w:r w:rsidRPr="0031675F">
        <w:t>in</w:t>
      </w:r>
      <w:r w:rsidRPr="0031675F">
        <w:rPr>
          <w:spacing w:val="11"/>
        </w:rPr>
        <w:t xml:space="preserve"> </w:t>
      </w:r>
      <w:r w:rsidRPr="0031675F">
        <w:rPr>
          <w:spacing w:val="-1"/>
        </w:rPr>
        <w:t>alfoil,</w:t>
      </w:r>
      <w:r w:rsidRPr="0031675F">
        <w:rPr>
          <w:spacing w:val="12"/>
        </w:rPr>
        <w:t xml:space="preserve"> </w:t>
      </w:r>
      <w:r w:rsidRPr="0031675F">
        <w:rPr>
          <w:spacing w:val="-1"/>
        </w:rPr>
        <w:t>labelled</w:t>
      </w:r>
      <w:r w:rsidRPr="0031675F">
        <w:rPr>
          <w:spacing w:val="11"/>
        </w:rPr>
        <w:t xml:space="preserve"> </w:t>
      </w:r>
      <w:r w:rsidRPr="0031675F">
        <w:t>with</w:t>
      </w:r>
      <w:r w:rsidRPr="0031675F">
        <w:rPr>
          <w:spacing w:val="12"/>
        </w:rPr>
        <w:t xml:space="preserve"> </w:t>
      </w:r>
      <w:r w:rsidRPr="0031675F">
        <w:rPr>
          <w:spacing w:val="-1"/>
        </w:rPr>
        <w:t>site,</w:t>
      </w:r>
      <w:r w:rsidRPr="0031675F">
        <w:rPr>
          <w:spacing w:val="12"/>
        </w:rPr>
        <w:t xml:space="preserve"> </w:t>
      </w:r>
      <w:r w:rsidRPr="0031675F">
        <w:rPr>
          <w:spacing w:val="-1"/>
        </w:rPr>
        <w:t>depth,</w:t>
      </w:r>
      <w:r w:rsidRPr="0031675F">
        <w:rPr>
          <w:spacing w:val="11"/>
        </w:rPr>
        <w:t xml:space="preserve"> </w:t>
      </w:r>
      <w:r w:rsidRPr="0031675F">
        <w:rPr>
          <w:spacing w:val="-1"/>
        </w:rPr>
        <w:t>date</w:t>
      </w:r>
      <w:r w:rsidRPr="0031675F">
        <w:rPr>
          <w:spacing w:val="13"/>
        </w:rPr>
        <w:t xml:space="preserve"> </w:t>
      </w:r>
      <w:r w:rsidRPr="0031675F">
        <w:rPr>
          <w:spacing w:val="-1"/>
        </w:rPr>
        <w:t>collected</w:t>
      </w:r>
      <w:r w:rsidRPr="0031675F">
        <w:rPr>
          <w:spacing w:val="11"/>
        </w:rPr>
        <w:t xml:space="preserve"> </w:t>
      </w:r>
      <w:r w:rsidRPr="0031675F">
        <w:rPr>
          <w:spacing w:val="-2"/>
        </w:rPr>
        <w:t>and</w:t>
      </w:r>
      <w:r w:rsidRPr="0031675F">
        <w:rPr>
          <w:spacing w:val="11"/>
        </w:rPr>
        <w:t xml:space="preserve"> </w:t>
      </w:r>
      <w:r w:rsidRPr="0031675F">
        <w:rPr>
          <w:spacing w:val="-1"/>
        </w:rPr>
        <w:t>volume</w:t>
      </w:r>
      <w:r w:rsidRPr="0031675F">
        <w:rPr>
          <w:spacing w:val="77"/>
        </w:rPr>
        <w:t xml:space="preserve"> </w:t>
      </w:r>
      <w:r w:rsidRPr="0031675F">
        <w:rPr>
          <w:spacing w:val="-1"/>
        </w:rPr>
        <w:t>filtered. There</w:t>
      </w:r>
      <w:r w:rsidRPr="0031675F">
        <w:t xml:space="preserve"> </w:t>
      </w:r>
      <w:r w:rsidRPr="0031675F">
        <w:rPr>
          <w:spacing w:val="-1"/>
        </w:rPr>
        <w:t>should be</w:t>
      </w:r>
      <w:r w:rsidRPr="0031675F">
        <w:rPr>
          <w:spacing w:val="-2"/>
        </w:rPr>
        <w:t xml:space="preserve"> </w:t>
      </w:r>
      <w:r w:rsidRPr="0031675F">
        <w:t>2</w:t>
      </w:r>
      <w:r w:rsidRPr="0031675F">
        <w:rPr>
          <w:spacing w:val="-2"/>
        </w:rPr>
        <w:t xml:space="preserve"> </w:t>
      </w:r>
      <w:r w:rsidRPr="0031675F">
        <w:rPr>
          <w:spacing w:val="-1"/>
        </w:rPr>
        <w:t>replicate</w:t>
      </w:r>
      <w:r w:rsidRPr="0031675F">
        <w:t xml:space="preserve"> </w:t>
      </w:r>
      <w:r w:rsidRPr="0031675F">
        <w:rPr>
          <w:spacing w:val="-1"/>
        </w:rPr>
        <w:t>filters</w:t>
      </w:r>
      <w:r w:rsidRPr="0031675F">
        <w:rPr>
          <w:spacing w:val="-3"/>
        </w:rPr>
        <w:t xml:space="preserve"> </w:t>
      </w:r>
      <w:r w:rsidRPr="0031675F">
        <w:rPr>
          <w:spacing w:val="-1"/>
        </w:rPr>
        <w:t>per</w:t>
      </w:r>
      <w:r w:rsidRPr="0031675F">
        <w:t xml:space="preserve"> </w:t>
      </w:r>
      <w:r w:rsidRPr="0031675F">
        <w:rPr>
          <w:spacing w:val="-1"/>
        </w:rPr>
        <w:t>alfoil packet.</w:t>
      </w:r>
    </w:p>
    <w:p w14:paraId="1008856A" w14:textId="6F641E0B" w:rsidR="0031675F" w:rsidRPr="0031675F" w:rsidRDefault="0031675F" w:rsidP="0031675F">
      <w:pPr>
        <w:widowControl w:val="0"/>
        <w:numPr>
          <w:ilvl w:val="0"/>
          <w:numId w:val="104"/>
        </w:numPr>
        <w:tabs>
          <w:tab w:val="left" w:pos="499"/>
        </w:tabs>
        <w:spacing w:before="0" w:after="0" w:line="240" w:lineRule="auto"/>
        <w:jc w:val="both"/>
      </w:pPr>
      <w:r w:rsidRPr="0031675F">
        <w:rPr>
          <w:spacing w:val="-1"/>
        </w:rPr>
        <w:t xml:space="preserve">Freeze </w:t>
      </w:r>
      <w:r w:rsidRPr="0031675F">
        <w:t xml:space="preserve">or </w:t>
      </w:r>
      <w:r w:rsidR="00A74C5A">
        <w:t>freeze-</w:t>
      </w:r>
      <w:r w:rsidRPr="0031675F">
        <w:rPr>
          <w:spacing w:val="-1"/>
        </w:rPr>
        <w:t>dry</w:t>
      </w:r>
      <w:r w:rsidRPr="0031675F">
        <w:rPr>
          <w:spacing w:val="-2"/>
        </w:rPr>
        <w:t xml:space="preserve"> </w:t>
      </w:r>
      <w:r w:rsidRPr="0031675F">
        <w:rPr>
          <w:spacing w:val="-1"/>
        </w:rPr>
        <w:t>the</w:t>
      </w:r>
      <w:r w:rsidRPr="0031675F">
        <w:rPr>
          <w:spacing w:val="-2"/>
        </w:rPr>
        <w:t xml:space="preserve"> </w:t>
      </w:r>
      <w:r w:rsidRPr="0031675F">
        <w:rPr>
          <w:spacing w:val="-1"/>
        </w:rPr>
        <w:t>filters</w:t>
      </w:r>
      <w:r w:rsidRPr="0031675F">
        <w:rPr>
          <w:spacing w:val="-2"/>
        </w:rPr>
        <w:t xml:space="preserve"> </w:t>
      </w:r>
      <w:r w:rsidRPr="0031675F">
        <w:rPr>
          <w:spacing w:val="-1"/>
        </w:rPr>
        <w:t>immediately.</w:t>
      </w:r>
    </w:p>
    <w:p w14:paraId="31F2E27D" w14:textId="77777777" w:rsidR="0031675F" w:rsidRPr="0031675F" w:rsidRDefault="0031675F" w:rsidP="0031675F">
      <w:pPr>
        <w:spacing w:before="9"/>
        <w:rPr>
          <w:rFonts w:cs="Calibri"/>
          <w:sz w:val="21"/>
          <w:szCs w:val="21"/>
        </w:rPr>
      </w:pPr>
    </w:p>
    <w:p w14:paraId="4DE7AAFA" w14:textId="77777777" w:rsidR="0031675F" w:rsidRPr="0031675F" w:rsidRDefault="0031675F" w:rsidP="0031675F">
      <w:pPr>
        <w:spacing w:before="9"/>
        <w:rPr>
          <w:rFonts w:cs="Calibri"/>
          <w:sz w:val="21"/>
          <w:szCs w:val="21"/>
        </w:rPr>
      </w:pPr>
    </w:p>
    <w:p w14:paraId="4B97234B" w14:textId="77777777" w:rsidR="0031675F" w:rsidRPr="0031675F" w:rsidRDefault="0031675F" w:rsidP="0031675F">
      <w:pPr>
        <w:widowControl w:val="0"/>
        <w:numPr>
          <w:ilvl w:val="1"/>
          <w:numId w:val="103"/>
        </w:numPr>
        <w:tabs>
          <w:tab w:val="left" w:pos="706"/>
        </w:tabs>
        <w:spacing w:before="0" w:after="0" w:line="240" w:lineRule="auto"/>
        <w:jc w:val="both"/>
        <w:rPr>
          <w:rFonts w:eastAsia="Arial" w:cs="Arial"/>
          <w:sz w:val="24"/>
          <w:szCs w:val="24"/>
        </w:rPr>
      </w:pPr>
      <w:bookmarkStart w:id="669" w:name="_TOC_250034"/>
      <w:r w:rsidRPr="0031675F">
        <w:rPr>
          <w:b/>
          <w:sz w:val="24"/>
        </w:rPr>
        <w:t>Sample</w:t>
      </w:r>
      <w:r w:rsidRPr="0031675F">
        <w:rPr>
          <w:b/>
          <w:spacing w:val="-1"/>
          <w:sz w:val="24"/>
        </w:rPr>
        <w:t xml:space="preserve"> analysis</w:t>
      </w:r>
      <w:bookmarkEnd w:id="669"/>
    </w:p>
    <w:p w14:paraId="0031D25C" w14:textId="77777777" w:rsidR="0031675F" w:rsidRPr="0031675F" w:rsidRDefault="0031675F" w:rsidP="0031675F">
      <w:pPr>
        <w:spacing w:before="10"/>
        <w:rPr>
          <w:rFonts w:eastAsia="Arial" w:cs="Arial"/>
          <w:b/>
          <w:bCs/>
          <w:sz w:val="20"/>
          <w:szCs w:val="20"/>
        </w:rPr>
      </w:pPr>
    </w:p>
    <w:p w14:paraId="125FCC4C" w14:textId="77777777" w:rsidR="0031675F" w:rsidRPr="0031675F" w:rsidRDefault="0031675F" w:rsidP="0031675F">
      <w:pPr>
        <w:widowControl w:val="0"/>
        <w:numPr>
          <w:ilvl w:val="2"/>
          <w:numId w:val="103"/>
        </w:numPr>
        <w:tabs>
          <w:tab w:val="left" w:pos="859"/>
        </w:tabs>
        <w:spacing w:before="0" w:after="0" w:line="240" w:lineRule="auto"/>
        <w:jc w:val="both"/>
        <w:rPr>
          <w:rFonts w:eastAsia="Arial" w:cs="Arial"/>
        </w:rPr>
      </w:pPr>
      <w:r w:rsidRPr="0031675F">
        <w:rPr>
          <w:b/>
          <w:spacing w:val="-1"/>
        </w:rPr>
        <w:t>Materials</w:t>
      </w:r>
      <w:r w:rsidRPr="0031675F">
        <w:rPr>
          <w:b/>
        </w:rPr>
        <w:t xml:space="preserve"> and</w:t>
      </w:r>
      <w:r w:rsidRPr="0031675F">
        <w:rPr>
          <w:b/>
          <w:spacing w:val="-2"/>
        </w:rPr>
        <w:t xml:space="preserve"> </w:t>
      </w:r>
      <w:r w:rsidRPr="0031675F">
        <w:rPr>
          <w:b/>
          <w:spacing w:val="-1"/>
        </w:rPr>
        <w:t>Equipment</w:t>
      </w:r>
    </w:p>
    <w:p w14:paraId="002D2DEC" w14:textId="77777777" w:rsidR="0031675F" w:rsidRPr="0031675F" w:rsidRDefault="0031675F" w:rsidP="0031675F">
      <w:pPr>
        <w:spacing w:before="2"/>
        <w:rPr>
          <w:rFonts w:eastAsia="Arial" w:cs="Arial"/>
          <w:b/>
          <w:bCs/>
          <w:sz w:val="21"/>
          <w:szCs w:val="21"/>
        </w:rPr>
      </w:pPr>
    </w:p>
    <w:p w14:paraId="60475BF4" w14:textId="77777777" w:rsidR="0031675F" w:rsidRPr="0031675F" w:rsidRDefault="0031675F" w:rsidP="0031675F">
      <w:pPr>
        <w:ind w:left="138" w:right="669"/>
        <w:jc w:val="both"/>
        <w:rPr>
          <w:rFonts w:cs="Calibri"/>
        </w:rPr>
      </w:pPr>
      <w:r w:rsidRPr="0031675F">
        <w:rPr>
          <w:i/>
          <w:spacing w:val="-1"/>
        </w:rPr>
        <w:t>NB.</w:t>
      </w:r>
      <w:r w:rsidRPr="0031675F">
        <w:rPr>
          <w:i/>
          <w:spacing w:val="17"/>
        </w:rPr>
        <w:t xml:space="preserve"> </w:t>
      </w:r>
      <w:r w:rsidRPr="0031675F">
        <w:rPr>
          <w:i/>
          <w:spacing w:val="-1"/>
        </w:rPr>
        <w:t>All</w:t>
      </w:r>
      <w:r w:rsidRPr="0031675F">
        <w:rPr>
          <w:i/>
          <w:spacing w:val="33"/>
        </w:rPr>
        <w:t xml:space="preserve"> </w:t>
      </w:r>
      <w:r w:rsidRPr="0031675F">
        <w:rPr>
          <w:i/>
          <w:spacing w:val="-1"/>
        </w:rPr>
        <w:t>plasticware</w:t>
      </w:r>
      <w:r w:rsidRPr="0031675F">
        <w:rPr>
          <w:i/>
          <w:spacing w:val="31"/>
        </w:rPr>
        <w:t xml:space="preserve"> </w:t>
      </w:r>
      <w:r w:rsidRPr="0031675F">
        <w:rPr>
          <w:i/>
          <w:spacing w:val="-1"/>
        </w:rPr>
        <w:t>and</w:t>
      </w:r>
      <w:r w:rsidRPr="0031675F">
        <w:rPr>
          <w:i/>
          <w:spacing w:val="33"/>
        </w:rPr>
        <w:t xml:space="preserve"> </w:t>
      </w:r>
      <w:r w:rsidRPr="0031675F">
        <w:rPr>
          <w:i/>
          <w:spacing w:val="-1"/>
        </w:rPr>
        <w:t>glassware</w:t>
      </w:r>
      <w:r w:rsidRPr="0031675F">
        <w:rPr>
          <w:i/>
          <w:spacing w:val="33"/>
        </w:rPr>
        <w:t xml:space="preserve"> </w:t>
      </w:r>
      <w:r w:rsidRPr="0031675F">
        <w:rPr>
          <w:i/>
          <w:spacing w:val="-1"/>
        </w:rPr>
        <w:t>should</w:t>
      </w:r>
      <w:r w:rsidRPr="0031675F">
        <w:rPr>
          <w:i/>
          <w:spacing w:val="33"/>
        </w:rPr>
        <w:t xml:space="preserve"> </w:t>
      </w:r>
      <w:r w:rsidRPr="0031675F">
        <w:rPr>
          <w:i/>
          <w:spacing w:val="-1"/>
        </w:rPr>
        <w:t>be</w:t>
      </w:r>
      <w:r w:rsidRPr="0031675F">
        <w:rPr>
          <w:i/>
          <w:spacing w:val="31"/>
        </w:rPr>
        <w:t xml:space="preserve"> </w:t>
      </w:r>
      <w:r w:rsidRPr="0031675F">
        <w:rPr>
          <w:i/>
          <w:spacing w:val="-1"/>
        </w:rPr>
        <w:t>well-rinsed,</w:t>
      </w:r>
      <w:r w:rsidRPr="0031675F">
        <w:rPr>
          <w:i/>
          <w:spacing w:val="34"/>
        </w:rPr>
        <w:t xml:space="preserve"> </w:t>
      </w:r>
      <w:r w:rsidRPr="0031675F">
        <w:rPr>
          <w:i/>
          <w:spacing w:val="-1"/>
        </w:rPr>
        <w:t>soaked</w:t>
      </w:r>
      <w:r w:rsidRPr="0031675F">
        <w:rPr>
          <w:i/>
          <w:spacing w:val="30"/>
        </w:rPr>
        <w:t xml:space="preserve"> </w:t>
      </w:r>
      <w:r w:rsidRPr="0031675F">
        <w:rPr>
          <w:i/>
        </w:rPr>
        <w:t>in</w:t>
      </w:r>
      <w:r w:rsidRPr="0031675F">
        <w:rPr>
          <w:i/>
          <w:spacing w:val="33"/>
        </w:rPr>
        <w:t xml:space="preserve"> </w:t>
      </w:r>
      <w:r w:rsidRPr="0031675F">
        <w:rPr>
          <w:i/>
          <w:spacing w:val="-1"/>
        </w:rPr>
        <w:t>dilute</w:t>
      </w:r>
      <w:r w:rsidRPr="0031675F">
        <w:rPr>
          <w:i/>
          <w:spacing w:val="32"/>
        </w:rPr>
        <w:t xml:space="preserve"> </w:t>
      </w:r>
      <w:r w:rsidRPr="0031675F">
        <w:rPr>
          <w:i/>
          <w:spacing w:val="-1"/>
        </w:rPr>
        <w:t>Hydrochloric</w:t>
      </w:r>
      <w:r w:rsidRPr="0031675F">
        <w:rPr>
          <w:i/>
          <w:spacing w:val="32"/>
        </w:rPr>
        <w:t xml:space="preserve"> </w:t>
      </w:r>
      <w:r w:rsidRPr="0031675F">
        <w:rPr>
          <w:i/>
          <w:spacing w:val="-1"/>
        </w:rPr>
        <w:t>Acid</w:t>
      </w:r>
      <w:r w:rsidRPr="0031675F">
        <w:rPr>
          <w:i/>
          <w:spacing w:val="57"/>
        </w:rPr>
        <w:t xml:space="preserve"> </w:t>
      </w:r>
      <w:r w:rsidRPr="0031675F">
        <w:rPr>
          <w:i/>
          <w:spacing w:val="-1"/>
        </w:rPr>
        <w:t>(HCl),</w:t>
      </w:r>
      <w:r w:rsidRPr="0031675F">
        <w:rPr>
          <w:i/>
          <w:spacing w:val="40"/>
        </w:rPr>
        <w:t xml:space="preserve"> </w:t>
      </w:r>
      <w:r w:rsidRPr="0031675F">
        <w:rPr>
          <w:i/>
          <w:spacing w:val="-1"/>
        </w:rPr>
        <w:t>rinsed</w:t>
      </w:r>
      <w:r w:rsidRPr="0031675F">
        <w:rPr>
          <w:i/>
          <w:spacing w:val="40"/>
        </w:rPr>
        <w:t xml:space="preserve"> </w:t>
      </w:r>
      <w:r w:rsidRPr="0031675F">
        <w:rPr>
          <w:i/>
          <w:spacing w:val="-1"/>
        </w:rPr>
        <w:t>again</w:t>
      </w:r>
      <w:r w:rsidRPr="0031675F">
        <w:rPr>
          <w:i/>
          <w:spacing w:val="40"/>
        </w:rPr>
        <w:t xml:space="preserve"> </w:t>
      </w:r>
      <w:r w:rsidRPr="0031675F">
        <w:rPr>
          <w:i/>
        </w:rPr>
        <w:t>in</w:t>
      </w:r>
      <w:r w:rsidRPr="0031675F">
        <w:rPr>
          <w:i/>
          <w:spacing w:val="39"/>
        </w:rPr>
        <w:t xml:space="preserve"> </w:t>
      </w:r>
      <w:r w:rsidRPr="0031675F">
        <w:rPr>
          <w:i/>
          <w:spacing w:val="-1"/>
        </w:rPr>
        <w:t>Deionised</w:t>
      </w:r>
      <w:r w:rsidRPr="0031675F">
        <w:rPr>
          <w:i/>
          <w:spacing w:val="40"/>
        </w:rPr>
        <w:t xml:space="preserve"> </w:t>
      </w:r>
      <w:r w:rsidRPr="0031675F">
        <w:rPr>
          <w:i/>
          <w:spacing w:val="-2"/>
        </w:rPr>
        <w:t>Water</w:t>
      </w:r>
      <w:r w:rsidRPr="0031675F">
        <w:rPr>
          <w:i/>
          <w:spacing w:val="42"/>
        </w:rPr>
        <w:t xml:space="preserve"> </w:t>
      </w:r>
      <w:r w:rsidRPr="0031675F">
        <w:rPr>
          <w:i/>
          <w:spacing w:val="-1"/>
        </w:rPr>
        <w:t>(DiW)</w:t>
      </w:r>
      <w:r w:rsidRPr="0031675F">
        <w:rPr>
          <w:i/>
          <w:spacing w:val="39"/>
        </w:rPr>
        <w:t xml:space="preserve"> </w:t>
      </w:r>
      <w:r w:rsidRPr="0031675F">
        <w:rPr>
          <w:i/>
          <w:spacing w:val="-1"/>
        </w:rPr>
        <w:t>and</w:t>
      </w:r>
      <w:r w:rsidRPr="0031675F">
        <w:rPr>
          <w:i/>
          <w:spacing w:val="39"/>
        </w:rPr>
        <w:t xml:space="preserve"> </w:t>
      </w:r>
      <w:r w:rsidRPr="0031675F">
        <w:rPr>
          <w:i/>
          <w:spacing w:val="-1"/>
        </w:rPr>
        <w:t>heat</w:t>
      </w:r>
      <w:r w:rsidRPr="0031675F">
        <w:rPr>
          <w:i/>
          <w:spacing w:val="40"/>
        </w:rPr>
        <w:t xml:space="preserve"> </w:t>
      </w:r>
      <w:r w:rsidRPr="0031675F">
        <w:rPr>
          <w:i/>
          <w:spacing w:val="-1"/>
        </w:rPr>
        <w:t>dried</w:t>
      </w:r>
      <w:r w:rsidRPr="0031675F">
        <w:rPr>
          <w:i/>
          <w:spacing w:val="40"/>
        </w:rPr>
        <w:t xml:space="preserve"> </w:t>
      </w:r>
      <w:r w:rsidRPr="0031675F">
        <w:rPr>
          <w:i/>
          <w:spacing w:val="-1"/>
        </w:rPr>
        <w:t>(where</w:t>
      </w:r>
      <w:r w:rsidRPr="0031675F">
        <w:rPr>
          <w:i/>
          <w:spacing w:val="40"/>
        </w:rPr>
        <w:t xml:space="preserve"> </w:t>
      </w:r>
      <w:r w:rsidRPr="0031675F">
        <w:rPr>
          <w:i/>
          <w:spacing w:val="-1"/>
        </w:rPr>
        <w:t>possible).</w:t>
      </w:r>
      <w:r w:rsidRPr="0031675F">
        <w:rPr>
          <w:i/>
          <w:spacing w:val="38"/>
        </w:rPr>
        <w:t xml:space="preserve"> </w:t>
      </w:r>
      <w:r w:rsidRPr="0031675F">
        <w:rPr>
          <w:i/>
          <w:spacing w:val="-1"/>
        </w:rPr>
        <w:t>Detergents,</w:t>
      </w:r>
      <w:r w:rsidRPr="0031675F">
        <w:rPr>
          <w:i/>
          <w:spacing w:val="49"/>
        </w:rPr>
        <w:t xml:space="preserve"> </w:t>
      </w:r>
      <w:r w:rsidRPr="0031675F">
        <w:rPr>
          <w:i/>
          <w:spacing w:val="-1"/>
        </w:rPr>
        <w:t>which may</w:t>
      </w:r>
      <w:r w:rsidRPr="0031675F">
        <w:rPr>
          <w:i/>
        </w:rPr>
        <w:t xml:space="preserve"> </w:t>
      </w:r>
      <w:r w:rsidRPr="0031675F">
        <w:rPr>
          <w:i/>
          <w:spacing w:val="-1"/>
        </w:rPr>
        <w:t>contain</w:t>
      </w:r>
      <w:r w:rsidRPr="0031675F">
        <w:rPr>
          <w:i/>
          <w:spacing w:val="-2"/>
        </w:rPr>
        <w:t xml:space="preserve"> </w:t>
      </w:r>
      <w:r w:rsidRPr="0031675F">
        <w:rPr>
          <w:i/>
          <w:spacing w:val="-1"/>
        </w:rPr>
        <w:t>phosphates,</w:t>
      </w:r>
      <w:r w:rsidRPr="0031675F">
        <w:rPr>
          <w:i/>
          <w:spacing w:val="-2"/>
        </w:rPr>
        <w:t xml:space="preserve"> </w:t>
      </w:r>
      <w:r w:rsidRPr="0031675F">
        <w:rPr>
          <w:i/>
        </w:rPr>
        <w:t xml:space="preserve">must </w:t>
      </w:r>
      <w:r w:rsidRPr="0031675F">
        <w:rPr>
          <w:i/>
          <w:spacing w:val="-1"/>
        </w:rPr>
        <w:t>be</w:t>
      </w:r>
      <w:r w:rsidRPr="0031675F">
        <w:rPr>
          <w:i/>
          <w:spacing w:val="-3"/>
        </w:rPr>
        <w:t xml:space="preserve"> </w:t>
      </w:r>
      <w:r w:rsidRPr="0031675F">
        <w:rPr>
          <w:i/>
          <w:spacing w:val="-1"/>
        </w:rPr>
        <w:t>avoided.</w:t>
      </w:r>
    </w:p>
    <w:p w14:paraId="7FC6ABFA" w14:textId="28EED104" w:rsidR="0031675F" w:rsidRPr="0031675F" w:rsidRDefault="0031675F" w:rsidP="0031675F">
      <w:pPr>
        <w:widowControl w:val="0"/>
        <w:numPr>
          <w:ilvl w:val="0"/>
          <w:numId w:val="102"/>
        </w:numPr>
        <w:tabs>
          <w:tab w:val="left" w:pos="535"/>
        </w:tabs>
        <w:spacing w:before="0" w:after="0" w:line="240" w:lineRule="auto"/>
        <w:jc w:val="both"/>
      </w:pPr>
      <w:r w:rsidRPr="0031675F">
        <w:rPr>
          <w:spacing w:val="-1"/>
        </w:rPr>
        <w:t>Automatic</w:t>
      </w:r>
      <w:r w:rsidRPr="0031675F">
        <w:t xml:space="preserve"> </w:t>
      </w:r>
      <w:r w:rsidRPr="0031675F">
        <w:rPr>
          <w:spacing w:val="-1"/>
        </w:rPr>
        <w:t>pipettes</w:t>
      </w:r>
      <w:r w:rsidRPr="0031675F">
        <w:rPr>
          <w:spacing w:val="-2"/>
        </w:rPr>
        <w:t xml:space="preserve"> </w:t>
      </w:r>
      <w:r w:rsidRPr="0031675F">
        <w:rPr>
          <w:spacing w:val="-1"/>
        </w:rPr>
        <w:t>(volumes</w:t>
      </w:r>
      <w:r w:rsidRPr="0031675F">
        <w:t xml:space="preserve"> </w:t>
      </w:r>
      <w:r w:rsidRPr="0031675F">
        <w:rPr>
          <w:spacing w:val="-1"/>
        </w:rPr>
        <w:t>needed</w:t>
      </w:r>
      <w:r w:rsidRPr="0031675F">
        <w:t xml:space="preserve"> </w:t>
      </w:r>
      <w:r w:rsidRPr="0031675F">
        <w:rPr>
          <w:spacing w:val="-1"/>
        </w:rPr>
        <w:t>50,</w:t>
      </w:r>
      <w:r w:rsidRPr="0031675F">
        <w:rPr>
          <w:spacing w:val="-2"/>
        </w:rPr>
        <w:t xml:space="preserve"> </w:t>
      </w:r>
      <w:r w:rsidRPr="0031675F">
        <w:rPr>
          <w:spacing w:val="-1"/>
        </w:rPr>
        <w:t>100</w:t>
      </w:r>
      <w:r w:rsidRPr="0031675F">
        <w:t xml:space="preserve"> and</w:t>
      </w:r>
      <w:r w:rsidRPr="0031675F">
        <w:rPr>
          <w:spacing w:val="-4"/>
        </w:rPr>
        <w:t xml:space="preserve"> </w:t>
      </w:r>
      <w:r w:rsidRPr="0031675F">
        <w:rPr>
          <w:spacing w:val="-1"/>
        </w:rPr>
        <w:t>250µl,</w:t>
      </w:r>
      <w:r w:rsidRPr="0031675F">
        <w:t xml:space="preserve"> </w:t>
      </w:r>
      <w:r w:rsidRPr="0031675F">
        <w:rPr>
          <w:spacing w:val="-1"/>
        </w:rPr>
        <w:t>2.5</w:t>
      </w:r>
      <w:r w:rsidRPr="0031675F">
        <w:t xml:space="preserve"> and</w:t>
      </w:r>
      <w:r w:rsidRPr="0031675F">
        <w:rPr>
          <w:spacing w:val="-4"/>
        </w:rPr>
        <w:t xml:space="preserve"> </w:t>
      </w:r>
      <w:r w:rsidRPr="0031675F">
        <w:t>5</w:t>
      </w:r>
      <w:r w:rsidRPr="0031675F">
        <w:rPr>
          <w:spacing w:val="-2"/>
        </w:rPr>
        <w:t xml:space="preserve"> </w:t>
      </w:r>
      <w:r w:rsidR="00BB13FD">
        <w:t>mL</w:t>
      </w:r>
      <w:r w:rsidRPr="0031675F">
        <w:t>).</w:t>
      </w:r>
    </w:p>
    <w:p w14:paraId="03C08338" w14:textId="33AE2A56" w:rsidR="0031675F" w:rsidRPr="0031675F" w:rsidRDefault="0031675F" w:rsidP="0031675F">
      <w:pPr>
        <w:widowControl w:val="0"/>
        <w:numPr>
          <w:ilvl w:val="0"/>
          <w:numId w:val="102"/>
        </w:numPr>
        <w:tabs>
          <w:tab w:val="left" w:pos="535"/>
        </w:tabs>
        <w:spacing w:before="60" w:after="0" w:line="240" w:lineRule="auto"/>
        <w:jc w:val="both"/>
      </w:pPr>
      <w:r w:rsidRPr="0031675F">
        <w:rPr>
          <w:spacing w:val="-1"/>
        </w:rPr>
        <w:t>2.5</w:t>
      </w:r>
      <w:r w:rsidRPr="0031675F">
        <w:rPr>
          <w:spacing w:val="-2"/>
        </w:rPr>
        <w:t xml:space="preserve"> </w:t>
      </w:r>
      <w:r w:rsidR="00BB13FD">
        <w:t>mL</w:t>
      </w:r>
      <w:r w:rsidRPr="0031675F">
        <w:t xml:space="preserve"> </w:t>
      </w:r>
      <w:r w:rsidRPr="0031675F">
        <w:rPr>
          <w:spacing w:val="-1"/>
        </w:rPr>
        <w:t>dispenser</w:t>
      </w:r>
      <w:r w:rsidRPr="0031675F">
        <w:rPr>
          <w:spacing w:val="-2"/>
        </w:rPr>
        <w:t xml:space="preserve"> </w:t>
      </w:r>
      <w:r w:rsidRPr="0031675F">
        <w:t>on</w:t>
      </w:r>
      <w:r w:rsidRPr="0031675F">
        <w:rPr>
          <w:spacing w:val="-1"/>
        </w:rPr>
        <w:t xml:space="preserve"> </w:t>
      </w:r>
      <w:r w:rsidRPr="0031675F">
        <w:t xml:space="preserve">a </w:t>
      </w:r>
      <w:r w:rsidRPr="0031675F">
        <w:rPr>
          <w:spacing w:val="-1"/>
        </w:rPr>
        <w:t>reagent bottle</w:t>
      </w:r>
      <w:r w:rsidRPr="0031675F">
        <w:rPr>
          <w:spacing w:val="-2"/>
        </w:rPr>
        <w:t xml:space="preserve"> </w:t>
      </w:r>
      <w:r w:rsidRPr="0031675F">
        <w:rPr>
          <w:spacing w:val="-1"/>
        </w:rPr>
        <w:t>for</w:t>
      </w:r>
      <w:r w:rsidRPr="0031675F">
        <w:rPr>
          <w:spacing w:val="-2"/>
        </w:rPr>
        <w:t xml:space="preserve"> </w:t>
      </w:r>
      <w:r w:rsidRPr="0031675F">
        <w:t xml:space="preserve">the </w:t>
      </w:r>
      <w:r w:rsidRPr="0031675F">
        <w:rPr>
          <w:spacing w:val="-1"/>
        </w:rPr>
        <w:t>persul</w:t>
      </w:r>
      <w:r w:rsidR="00CC6786">
        <w:rPr>
          <w:spacing w:val="-1"/>
        </w:rPr>
        <w:t>f</w:t>
      </w:r>
      <w:r w:rsidRPr="0031675F">
        <w:rPr>
          <w:spacing w:val="-1"/>
        </w:rPr>
        <w:t>ate</w:t>
      </w:r>
      <w:r w:rsidRPr="0031675F">
        <w:t xml:space="preserve"> </w:t>
      </w:r>
      <w:r w:rsidRPr="0031675F">
        <w:rPr>
          <w:spacing w:val="-1"/>
        </w:rPr>
        <w:t>digestion reagent.</w:t>
      </w:r>
    </w:p>
    <w:p w14:paraId="0B76B651" w14:textId="555E4201" w:rsidR="0031675F" w:rsidRPr="0031675F" w:rsidRDefault="0031675F" w:rsidP="0031675F">
      <w:pPr>
        <w:widowControl w:val="0"/>
        <w:numPr>
          <w:ilvl w:val="0"/>
          <w:numId w:val="102"/>
        </w:numPr>
        <w:tabs>
          <w:tab w:val="left" w:pos="535"/>
        </w:tabs>
        <w:spacing w:before="60" w:after="0" w:line="240" w:lineRule="auto"/>
        <w:jc w:val="both"/>
      </w:pPr>
      <w:r w:rsidRPr="0031675F">
        <w:t>5</w:t>
      </w:r>
      <w:r w:rsidRPr="0031675F">
        <w:rPr>
          <w:spacing w:val="-2"/>
        </w:rPr>
        <w:t xml:space="preserve"> </w:t>
      </w:r>
      <w:r w:rsidR="00BB13FD">
        <w:t>mL</w:t>
      </w:r>
      <w:r w:rsidRPr="0031675F">
        <w:t xml:space="preserve"> </w:t>
      </w:r>
      <w:r w:rsidRPr="0031675F">
        <w:rPr>
          <w:spacing w:val="-1"/>
        </w:rPr>
        <w:t>dispenser</w:t>
      </w:r>
      <w:r w:rsidRPr="0031675F">
        <w:rPr>
          <w:spacing w:val="-2"/>
        </w:rPr>
        <w:t xml:space="preserve"> </w:t>
      </w:r>
      <w:r w:rsidRPr="0031675F">
        <w:t>on</w:t>
      </w:r>
      <w:r w:rsidRPr="0031675F">
        <w:rPr>
          <w:spacing w:val="-3"/>
        </w:rPr>
        <w:t xml:space="preserve"> </w:t>
      </w:r>
      <w:r w:rsidRPr="0031675F">
        <w:t xml:space="preserve">a </w:t>
      </w:r>
      <w:r w:rsidRPr="0031675F">
        <w:rPr>
          <w:spacing w:val="-1"/>
        </w:rPr>
        <w:t>reagent bottle</w:t>
      </w:r>
      <w:r w:rsidRPr="0031675F">
        <w:rPr>
          <w:spacing w:val="1"/>
        </w:rPr>
        <w:t xml:space="preserve"> </w:t>
      </w:r>
      <w:r w:rsidRPr="0031675F">
        <w:rPr>
          <w:spacing w:val="-1"/>
        </w:rPr>
        <w:t>for</w:t>
      </w:r>
      <w:r w:rsidRPr="0031675F">
        <w:t xml:space="preserve"> </w:t>
      </w:r>
      <w:r w:rsidRPr="0031675F">
        <w:rPr>
          <w:spacing w:val="-1"/>
        </w:rPr>
        <w:t>deionized</w:t>
      </w:r>
      <w:r w:rsidRPr="0031675F">
        <w:t xml:space="preserve"> </w:t>
      </w:r>
      <w:r w:rsidRPr="0031675F">
        <w:rPr>
          <w:spacing w:val="-1"/>
        </w:rPr>
        <w:t>water.</w:t>
      </w:r>
    </w:p>
    <w:p w14:paraId="643CF307" w14:textId="3A0A9D3C" w:rsidR="0031675F" w:rsidRPr="0031675F" w:rsidRDefault="0031675F" w:rsidP="0031675F">
      <w:pPr>
        <w:widowControl w:val="0"/>
        <w:numPr>
          <w:ilvl w:val="0"/>
          <w:numId w:val="102"/>
        </w:numPr>
        <w:tabs>
          <w:tab w:val="left" w:pos="535"/>
        </w:tabs>
        <w:spacing w:before="60" w:after="0" w:line="240" w:lineRule="auto"/>
        <w:jc w:val="both"/>
      </w:pPr>
      <w:r w:rsidRPr="0031675F">
        <w:t>50</w:t>
      </w:r>
      <w:r w:rsidRPr="0031675F">
        <w:rPr>
          <w:spacing w:val="-2"/>
        </w:rPr>
        <w:t xml:space="preserve"> </w:t>
      </w:r>
      <w:r w:rsidR="00BB13FD">
        <w:t>mL</w:t>
      </w:r>
      <w:r w:rsidRPr="0031675F">
        <w:t xml:space="preserve"> </w:t>
      </w:r>
      <w:r w:rsidRPr="0031675F">
        <w:rPr>
          <w:spacing w:val="-1"/>
        </w:rPr>
        <w:t>stoppered graduated</w:t>
      </w:r>
      <w:r w:rsidRPr="0031675F">
        <w:rPr>
          <w:spacing w:val="-3"/>
        </w:rPr>
        <w:t xml:space="preserve"> </w:t>
      </w:r>
      <w:r w:rsidRPr="0031675F">
        <w:rPr>
          <w:spacing w:val="-1"/>
        </w:rPr>
        <w:t>measuring cylinder</w:t>
      </w:r>
      <w:r w:rsidRPr="0031675F">
        <w:rPr>
          <w:spacing w:val="-2"/>
        </w:rPr>
        <w:t xml:space="preserve"> </w:t>
      </w:r>
      <w:r w:rsidRPr="0031675F">
        <w:rPr>
          <w:spacing w:val="-1"/>
        </w:rPr>
        <w:t>for</w:t>
      </w:r>
      <w:r w:rsidRPr="0031675F">
        <w:rPr>
          <w:spacing w:val="-2"/>
        </w:rPr>
        <w:t xml:space="preserve"> </w:t>
      </w:r>
      <w:r w:rsidRPr="0031675F">
        <w:rPr>
          <w:spacing w:val="-1"/>
        </w:rPr>
        <w:t>making up mixed</w:t>
      </w:r>
      <w:r w:rsidRPr="0031675F">
        <w:t xml:space="preserve"> </w:t>
      </w:r>
      <w:r w:rsidRPr="0031675F">
        <w:rPr>
          <w:spacing w:val="-1"/>
        </w:rPr>
        <w:t>reagent.</w:t>
      </w:r>
    </w:p>
    <w:p w14:paraId="114436D3" w14:textId="38E6B9CA" w:rsidR="0031675F" w:rsidRPr="0031675F" w:rsidRDefault="0031675F" w:rsidP="0031675F">
      <w:pPr>
        <w:widowControl w:val="0"/>
        <w:numPr>
          <w:ilvl w:val="0"/>
          <w:numId w:val="102"/>
        </w:numPr>
        <w:tabs>
          <w:tab w:val="left" w:pos="535"/>
        </w:tabs>
        <w:spacing w:before="12" w:after="0" w:line="240" w:lineRule="auto"/>
        <w:ind w:right="140"/>
        <w:rPr>
          <w:rFonts w:cs="Calibri"/>
          <w:sz w:val="16"/>
          <w:szCs w:val="16"/>
        </w:rPr>
      </w:pPr>
      <w:r w:rsidRPr="0031675F">
        <w:rPr>
          <w:spacing w:val="-1"/>
        </w:rPr>
        <w:t>200</w:t>
      </w:r>
      <w:r w:rsidRPr="0031675F">
        <w:rPr>
          <w:spacing w:val="20"/>
        </w:rPr>
        <w:t xml:space="preserve"> </w:t>
      </w:r>
      <w:r w:rsidRPr="0031675F">
        <w:t>x</w:t>
      </w:r>
      <w:r w:rsidRPr="0031675F">
        <w:rPr>
          <w:spacing w:val="17"/>
        </w:rPr>
        <w:t xml:space="preserve"> </w:t>
      </w:r>
      <w:r w:rsidRPr="0031675F">
        <w:t>7</w:t>
      </w:r>
      <w:r w:rsidRPr="0031675F">
        <w:rPr>
          <w:spacing w:val="15"/>
        </w:rPr>
        <w:t xml:space="preserve"> </w:t>
      </w:r>
      <w:r w:rsidR="00BB13FD">
        <w:t>mL</w:t>
      </w:r>
      <w:r w:rsidRPr="0031675F">
        <w:rPr>
          <w:spacing w:val="19"/>
        </w:rPr>
        <w:t xml:space="preserve"> </w:t>
      </w:r>
      <w:r w:rsidRPr="0031675F">
        <w:rPr>
          <w:spacing w:val="-1"/>
        </w:rPr>
        <w:t>glass</w:t>
      </w:r>
      <w:r w:rsidRPr="0031675F">
        <w:rPr>
          <w:spacing w:val="16"/>
        </w:rPr>
        <w:t xml:space="preserve"> </w:t>
      </w:r>
      <w:r w:rsidRPr="0031675F">
        <w:rPr>
          <w:spacing w:val="-1"/>
        </w:rPr>
        <w:t>scintillation</w:t>
      </w:r>
      <w:r w:rsidRPr="0031675F">
        <w:rPr>
          <w:spacing w:val="16"/>
        </w:rPr>
        <w:t xml:space="preserve"> </w:t>
      </w:r>
      <w:r w:rsidRPr="0031675F">
        <w:rPr>
          <w:spacing w:val="-1"/>
        </w:rPr>
        <w:t>vials</w:t>
      </w:r>
      <w:r w:rsidRPr="0031675F">
        <w:rPr>
          <w:spacing w:val="19"/>
        </w:rPr>
        <w:t xml:space="preserve"> </w:t>
      </w:r>
      <w:r w:rsidRPr="0031675F">
        <w:t>in</w:t>
      </w:r>
      <w:r w:rsidRPr="0031675F">
        <w:rPr>
          <w:spacing w:val="16"/>
        </w:rPr>
        <w:t xml:space="preserve"> </w:t>
      </w:r>
      <w:r w:rsidRPr="0031675F">
        <w:t>2</w:t>
      </w:r>
      <w:r w:rsidRPr="0031675F">
        <w:rPr>
          <w:spacing w:val="20"/>
        </w:rPr>
        <w:t xml:space="preserve"> </w:t>
      </w:r>
      <w:r w:rsidRPr="0031675F">
        <w:rPr>
          <w:spacing w:val="-2"/>
        </w:rPr>
        <w:t>foam</w:t>
      </w:r>
      <w:r w:rsidRPr="0031675F">
        <w:rPr>
          <w:spacing w:val="18"/>
        </w:rPr>
        <w:t xml:space="preserve"> </w:t>
      </w:r>
      <w:r w:rsidRPr="0031675F">
        <w:rPr>
          <w:spacing w:val="-1"/>
        </w:rPr>
        <w:t>trays.</w:t>
      </w:r>
      <w:r w:rsidRPr="0031675F">
        <w:t xml:space="preserve"> </w:t>
      </w:r>
      <w:r w:rsidRPr="0031675F">
        <w:rPr>
          <w:spacing w:val="33"/>
        </w:rPr>
        <w:t xml:space="preserve"> </w:t>
      </w:r>
      <w:r w:rsidRPr="0031675F">
        <w:rPr>
          <w:spacing w:val="-1"/>
        </w:rPr>
        <w:t>One</w:t>
      </w:r>
      <w:r w:rsidRPr="0031675F">
        <w:rPr>
          <w:spacing w:val="19"/>
        </w:rPr>
        <w:t xml:space="preserve"> </w:t>
      </w:r>
      <w:r w:rsidRPr="0031675F">
        <w:rPr>
          <w:spacing w:val="-1"/>
        </w:rPr>
        <w:t>tray</w:t>
      </w:r>
      <w:r w:rsidRPr="0031675F">
        <w:rPr>
          <w:spacing w:val="17"/>
        </w:rPr>
        <w:t xml:space="preserve"> </w:t>
      </w:r>
      <w:r w:rsidRPr="0031675F">
        <w:t>of</w:t>
      </w:r>
      <w:r w:rsidRPr="0031675F">
        <w:rPr>
          <w:spacing w:val="17"/>
        </w:rPr>
        <w:t xml:space="preserve"> </w:t>
      </w:r>
      <w:r w:rsidRPr="0031675F">
        <w:rPr>
          <w:spacing w:val="-1"/>
        </w:rPr>
        <w:t>vials</w:t>
      </w:r>
      <w:r w:rsidRPr="0031675F">
        <w:rPr>
          <w:spacing w:val="17"/>
        </w:rPr>
        <w:t xml:space="preserve"> </w:t>
      </w:r>
      <w:r w:rsidRPr="0031675F">
        <w:rPr>
          <w:spacing w:val="-1"/>
        </w:rPr>
        <w:t>(100)</w:t>
      </w:r>
      <w:r w:rsidRPr="0031675F">
        <w:rPr>
          <w:spacing w:val="20"/>
        </w:rPr>
        <w:t xml:space="preserve"> </w:t>
      </w:r>
      <w:r w:rsidRPr="0031675F">
        <w:t>is</w:t>
      </w:r>
      <w:r w:rsidRPr="0031675F">
        <w:rPr>
          <w:spacing w:val="16"/>
        </w:rPr>
        <w:t xml:space="preserve"> </w:t>
      </w:r>
      <w:r w:rsidRPr="0031675F">
        <w:rPr>
          <w:spacing w:val="-1"/>
        </w:rPr>
        <w:t>to</w:t>
      </w:r>
      <w:r w:rsidRPr="0031675F">
        <w:rPr>
          <w:spacing w:val="20"/>
        </w:rPr>
        <w:t xml:space="preserve"> </w:t>
      </w:r>
      <w:r w:rsidRPr="0031675F">
        <w:rPr>
          <w:spacing w:val="-1"/>
        </w:rPr>
        <w:t>be</w:t>
      </w:r>
      <w:r w:rsidRPr="0031675F">
        <w:rPr>
          <w:spacing w:val="17"/>
        </w:rPr>
        <w:t xml:space="preserve"> </w:t>
      </w:r>
      <w:r w:rsidRPr="0031675F">
        <w:rPr>
          <w:spacing w:val="-1"/>
        </w:rPr>
        <w:t>used</w:t>
      </w:r>
      <w:r w:rsidRPr="0031675F">
        <w:rPr>
          <w:spacing w:val="19"/>
        </w:rPr>
        <w:t xml:space="preserve"> </w:t>
      </w:r>
      <w:r w:rsidRPr="0031675F">
        <w:rPr>
          <w:spacing w:val="-1"/>
        </w:rPr>
        <w:t>for</w:t>
      </w:r>
      <w:r w:rsidRPr="0031675F">
        <w:rPr>
          <w:spacing w:val="17"/>
        </w:rPr>
        <w:t xml:space="preserve"> </w:t>
      </w:r>
      <w:r w:rsidRPr="0031675F">
        <w:t>the</w:t>
      </w:r>
      <w:r w:rsidRPr="0031675F">
        <w:rPr>
          <w:spacing w:val="67"/>
        </w:rPr>
        <w:t xml:space="preserve"> </w:t>
      </w:r>
      <w:r w:rsidRPr="0031675F">
        <w:rPr>
          <w:spacing w:val="-1"/>
        </w:rPr>
        <w:t>sample</w:t>
      </w:r>
      <w:r w:rsidRPr="0031675F">
        <w:rPr>
          <w:spacing w:val="17"/>
        </w:rPr>
        <w:t xml:space="preserve"> </w:t>
      </w:r>
      <w:r w:rsidRPr="0031675F">
        <w:rPr>
          <w:spacing w:val="-1"/>
        </w:rPr>
        <w:t>digestions</w:t>
      </w:r>
      <w:r w:rsidRPr="0031675F">
        <w:rPr>
          <w:spacing w:val="17"/>
        </w:rPr>
        <w:t xml:space="preserve"> </w:t>
      </w:r>
      <w:r w:rsidRPr="0031675F">
        <w:rPr>
          <w:spacing w:val="-1"/>
        </w:rPr>
        <w:t>and</w:t>
      </w:r>
      <w:r w:rsidRPr="0031675F">
        <w:rPr>
          <w:spacing w:val="14"/>
        </w:rPr>
        <w:t xml:space="preserve"> </w:t>
      </w:r>
      <w:r w:rsidRPr="0031675F">
        <w:t>the</w:t>
      </w:r>
      <w:r w:rsidRPr="0031675F">
        <w:rPr>
          <w:spacing w:val="14"/>
        </w:rPr>
        <w:t xml:space="preserve"> </w:t>
      </w:r>
      <w:r w:rsidRPr="0031675F">
        <w:t>other</w:t>
      </w:r>
      <w:r w:rsidRPr="0031675F">
        <w:rPr>
          <w:spacing w:val="17"/>
        </w:rPr>
        <w:t xml:space="preserve"> </w:t>
      </w:r>
      <w:r w:rsidRPr="0031675F">
        <w:rPr>
          <w:spacing w:val="-1"/>
        </w:rPr>
        <w:t>for</w:t>
      </w:r>
      <w:r w:rsidRPr="0031675F">
        <w:rPr>
          <w:spacing w:val="17"/>
        </w:rPr>
        <w:t xml:space="preserve"> </w:t>
      </w:r>
      <w:r w:rsidRPr="0031675F">
        <w:rPr>
          <w:spacing w:val="-1"/>
        </w:rPr>
        <w:t>the</w:t>
      </w:r>
      <w:r w:rsidRPr="0031675F">
        <w:rPr>
          <w:spacing w:val="17"/>
        </w:rPr>
        <w:t xml:space="preserve"> </w:t>
      </w:r>
      <w:r w:rsidRPr="0031675F">
        <w:rPr>
          <w:spacing w:val="-1"/>
        </w:rPr>
        <w:t>colorimetric</w:t>
      </w:r>
      <w:r w:rsidRPr="0031675F">
        <w:rPr>
          <w:spacing w:val="14"/>
        </w:rPr>
        <w:t xml:space="preserve"> </w:t>
      </w:r>
      <w:r w:rsidRPr="0031675F">
        <w:rPr>
          <w:spacing w:val="-1"/>
        </w:rPr>
        <w:t>analyses.</w:t>
      </w:r>
      <w:r w:rsidRPr="0031675F">
        <w:t xml:space="preserve"> </w:t>
      </w:r>
      <w:r w:rsidRPr="0031675F">
        <w:rPr>
          <w:spacing w:val="33"/>
        </w:rPr>
        <w:t xml:space="preserve"> </w:t>
      </w:r>
      <w:r w:rsidRPr="0031675F">
        <w:rPr>
          <w:spacing w:val="-1"/>
        </w:rPr>
        <w:t>Clean</w:t>
      </w:r>
      <w:r w:rsidRPr="0031675F">
        <w:rPr>
          <w:spacing w:val="16"/>
        </w:rPr>
        <w:t xml:space="preserve"> </w:t>
      </w:r>
      <w:r w:rsidRPr="0031675F">
        <w:t>the</w:t>
      </w:r>
      <w:r w:rsidRPr="0031675F">
        <w:rPr>
          <w:spacing w:val="22"/>
        </w:rPr>
        <w:t xml:space="preserve"> </w:t>
      </w:r>
      <w:r w:rsidRPr="0031675F">
        <w:rPr>
          <w:spacing w:val="-1"/>
        </w:rPr>
        <w:t>glass</w:t>
      </w:r>
      <w:r w:rsidRPr="0031675F">
        <w:rPr>
          <w:spacing w:val="13"/>
        </w:rPr>
        <w:t xml:space="preserve"> </w:t>
      </w:r>
      <w:r w:rsidRPr="0031675F">
        <w:rPr>
          <w:spacing w:val="-1"/>
        </w:rPr>
        <w:t>vials</w:t>
      </w:r>
      <w:r w:rsidRPr="0031675F">
        <w:rPr>
          <w:spacing w:val="17"/>
        </w:rPr>
        <w:t xml:space="preserve"> </w:t>
      </w:r>
      <w:r w:rsidRPr="0031675F">
        <w:t>in</w:t>
      </w:r>
      <w:r w:rsidRPr="0031675F">
        <w:rPr>
          <w:spacing w:val="16"/>
        </w:rPr>
        <w:t xml:space="preserve"> </w:t>
      </w:r>
      <w:r w:rsidRPr="0031675F">
        <w:rPr>
          <w:spacing w:val="-1"/>
        </w:rPr>
        <w:t>10%</w:t>
      </w:r>
      <w:r w:rsidRPr="0031675F">
        <w:rPr>
          <w:spacing w:val="17"/>
        </w:rPr>
        <w:t xml:space="preserve"> </w:t>
      </w:r>
      <w:r w:rsidRPr="0031675F">
        <w:rPr>
          <w:spacing w:val="-1"/>
        </w:rPr>
        <w:t>HCl</w:t>
      </w:r>
    </w:p>
    <w:p w14:paraId="00F809FC" w14:textId="77777777" w:rsidR="0031675F" w:rsidRPr="0031675F" w:rsidRDefault="0031675F" w:rsidP="0031675F">
      <w:pPr>
        <w:spacing w:after="120"/>
        <w:ind w:left="514" w:right="120"/>
      </w:pPr>
      <w:r w:rsidRPr="0031675F">
        <w:rPr>
          <w:spacing w:val="-1"/>
        </w:rPr>
        <w:t>and</w:t>
      </w:r>
      <w:r w:rsidRPr="0031675F">
        <w:rPr>
          <w:spacing w:val="2"/>
        </w:rPr>
        <w:t xml:space="preserve"> </w:t>
      </w:r>
      <w:r w:rsidRPr="0031675F">
        <w:t>oven</w:t>
      </w:r>
      <w:r w:rsidRPr="0031675F">
        <w:rPr>
          <w:spacing w:val="2"/>
        </w:rPr>
        <w:t xml:space="preserve"> </w:t>
      </w:r>
      <w:r w:rsidRPr="0031675F">
        <w:rPr>
          <w:spacing w:val="-1"/>
        </w:rPr>
        <w:t>dry.</w:t>
      </w:r>
      <w:r w:rsidRPr="0031675F">
        <w:t xml:space="preserve"> </w:t>
      </w:r>
      <w:r w:rsidRPr="0031675F">
        <w:rPr>
          <w:spacing w:val="5"/>
        </w:rPr>
        <w:t xml:space="preserve"> </w:t>
      </w:r>
      <w:r w:rsidRPr="0031675F">
        <w:t>It</w:t>
      </w:r>
      <w:r w:rsidRPr="0031675F">
        <w:rPr>
          <w:spacing w:val="2"/>
        </w:rPr>
        <w:t xml:space="preserve"> </w:t>
      </w:r>
      <w:r w:rsidRPr="0031675F">
        <w:t>is</w:t>
      </w:r>
      <w:r w:rsidRPr="0031675F">
        <w:rPr>
          <w:spacing w:val="2"/>
        </w:rPr>
        <w:t xml:space="preserve"> </w:t>
      </w:r>
      <w:r w:rsidRPr="0031675F">
        <w:rPr>
          <w:spacing w:val="-1"/>
        </w:rPr>
        <w:t>convenient</w:t>
      </w:r>
      <w:r w:rsidRPr="0031675F">
        <w:rPr>
          <w:spacing w:val="2"/>
        </w:rPr>
        <w:t xml:space="preserve"> </w:t>
      </w:r>
      <w:r w:rsidRPr="0031675F">
        <w:t>to</w:t>
      </w:r>
      <w:r w:rsidRPr="0031675F">
        <w:rPr>
          <w:spacing w:val="4"/>
        </w:rPr>
        <w:t xml:space="preserve"> </w:t>
      </w:r>
      <w:r w:rsidRPr="0031675F">
        <w:rPr>
          <w:spacing w:val="-1"/>
        </w:rPr>
        <w:t>bake</w:t>
      </w:r>
      <w:r w:rsidRPr="0031675F">
        <w:rPr>
          <w:spacing w:val="3"/>
        </w:rPr>
        <w:t xml:space="preserve"> </w:t>
      </w:r>
      <w:r w:rsidRPr="0031675F">
        <w:t>the vials</w:t>
      </w:r>
      <w:r w:rsidRPr="0031675F">
        <w:rPr>
          <w:spacing w:val="2"/>
        </w:rPr>
        <w:t xml:space="preserve"> </w:t>
      </w:r>
      <w:r w:rsidRPr="0031675F">
        <w:t>at</w:t>
      </w:r>
      <w:r w:rsidRPr="0031675F">
        <w:rPr>
          <w:spacing w:val="3"/>
        </w:rPr>
        <w:t xml:space="preserve"> </w:t>
      </w:r>
      <w:r w:rsidRPr="0031675F">
        <w:rPr>
          <w:spacing w:val="-1"/>
        </w:rPr>
        <w:t>450°C</w:t>
      </w:r>
      <w:r w:rsidRPr="0031675F">
        <w:rPr>
          <w:spacing w:val="2"/>
        </w:rPr>
        <w:t xml:space="preserve"> </w:t>
      </w:r>
      <w:r w:rsidRPr="0031675F">
        <w:t>in</w:t>
      </w:r>
      <w:r w:rsidRPr="0031675F">
        <w:rPr>
          <w:spacing w:val="1"/>
        </w:rPr>
        <w:t xml:space="preserve"> </w:t>
      </w:r>
      <w:r w:rsidRPr="0031675F">
        <w:t>a</w:t>
      </w:r>
      <w:r w:rsidRPr="0031675F">
        <w:rPr>
          <w:spacing w:val="2"/>
        </w:rPr>
        <w:t xml:space="preserve"> </w:t>
      </w:r>
      <w:r w:rsidRPr="0031675F">
        <w:rPr>
          <w:spacing w:val="-1"/>
        </w:rPr>
        <w:t>muffle</w:t>
      </w:r>
      <w:r w:rsidRPr="0031675F">
        <w:rPr>
          <w:spacing w:val="3"/>
        </w:rPr>
        <w:t xml:space="preserve"> </w:t>
      </w:r>
      <w:r w:rsidRPr="0031675F">
        <w:rPr>
          <w:spacing w:val="-1"/>
        </w:rPr>
        <w:t>furnace</w:t>
      </w:r>
      <w:r w:rsidRPr="0031675F">
        <w:rPr>
          <w:spacing w:val="3"/>
        </w:rPr>
        <w:t xml:space="preserve"> </w:t>
      </w:r>
      <w:r w:rsidRPr="0031675F">
        <w:rPr>
          <w:spacing w:val="-1"/>
        </w:rPr>
        <w:t>to</w:t>
      </w:r>
      <w:r w:rsidRPr="0031675F">
        <w:rPr>
          <w:spacing w:val="3"/>
        </w:rPr>
        <w:t xml:space="preserve"> </w:t>
      </w:r>
      <w:r w:rsidRPr="0031675F">
        <w:rPr>
          <w:spacing w:val="-1"/>
        </w:rPr>
        <w:t>remove</w:t>
      </w:r>
      <w:r w:rsidRPr="0031675F">
        <w:t xml:space="preserve"> the</w:t>
      </w:r>
      <w:r w:rsidRPr="0031675F">
        <w:rPr>
          <w:spacing w:val="3"/>
        </w:rPr>
        <w:t xml:space="preserve"> </w:t>
      </w:r>
      <w:r w:rsidRPr="0031675F">
        <w:rPr>
          <w:spacing w:val="-1"/>
        </w:rPr>
        <w:t>inked</w:t>
      </w:r>
      <w:r w:rsidRPr="0031675F">
        <w:rPr>
          <w:spacing w:val="43"/>
        </w:rPr>
        <w:t xml:space="preserve"> </w:t>
      </w:r>
      <w:r w:rsidRPr="0031675F">
        <w:rPr>
          <w:spacing w:val="-1"/>
        </w:rPr>
        <w:t xml:space="preserve">labels </w:t>
      </w:r>
      <w:r w:rsidRPr="0031675F">
        <w:t>on</w:t>
      </w:r>
      <w:r w:rsidRPr="0031675F">
        <w:rPr>
          <w:spacing w:val="-1"/>
        </w:rPr>
        <w:t xml:space="preserve"> used</w:t>
      </w:r>
      <w:r w:rsidRPr="0031675F">
        <w:t xml:space="preserve"> </w:t>
      </w:r>
      <w:r w:rsidRPr="0031675F">
        <w:rPr>
          <w:spacing w:val="-1"/>
        </w:rPr>
        <w:t>vials</w:t>
      </w:r>
      <w:r w:rsidRPr="0031675F">
        <w:t xml:space="preserve"> </w:t>
      </w:r>
      <w:r w:rsidRPr="0031675F">
        <w:rPr>
          <w:spacing w:val="-1"/>
        </w:rPr>
        <w:t>rather</w:t>
      </w:r>
      <w:r w:rsidRPr="0031675F">
        <w:t xml:space="preserve"> </w:t>
      </w:r>
      <w:r w:rsidRPr="0031675F">
        <w:rPr>
          <w:spacing w:val="-1"/>
        </w:rPr>
        <w:t>than wiping them</w:t>
      </w:r>
      <w:r w:rsidRPr="0031675F">
        <w:rPr>
          <w:spacing w:val="1"/>
        </w:rPr>
        <w:t xml:space="preserve"> </w:t>
      </w:r>
      <w:r w:rsidRPr="0031675F">
        <w:t>off</w:t>
      </w:r>
      <w:r w:rsidRPr="0031675F">
        <w:rPr>
          <w:spacing w:val="-3"/>
        </w:rPr>
        <w:t xml:space="preserve"> </w:t>
      </w:r>
      <w:r w:rsidRPr="0031675F">
        <w:t>with</w:t>
      </w:r>
      <w:r w:rsidRPr="0031675F">
        <w:rPr>
          <w:spacing w:val="-4"/>
        </w:rPr>
        <w:t xml:space="preserve"> </w:t>
      </w:r>
      <w:r w:rsidRPr="0031675F">
        <w:rPr>
          <w:spacing w:val="-1"/>
        </w:rPr>
        <w:t>solvent.</w:t>
      </w:r>
    </w:p>
    <w:p w14:paraId="46A3A70B" w14:textId="77777777" w:rsidR="0031675F" w:rsidRPr="0031675F" w:rsidRDefault="0031675F" w:rsidP="0031675F">
      <w:pPr>
        <w:widowControl w:val="0"/>
        <w:numPr>
          <w:ilvl w:val="0"/>
          <w:numId w:val="102"/>
        </w:numPr>
        <w:tabs>
          <w:tab w:val="left" w:pos="515"/>
        </w:tabs>
        <w:spacing w:before="60" w:after="0" w:line="240" w:lineRule="auto"/>
        <w:ind w:left="514"/>
        <w:jc w:val="both"/>
        <w:rPr>
          <w:spacing w:val="-1"/>
        </w:rPr>
      </w:pPr>
      <w:r w:rsidRPr="0031675F">
        <w:rPr>
          <w:spacing w:val="-1"/>
        </w:rPr>
        <w:t>Aluminium</w:t>
      </w:r>
      <w:r w:rsidRPr="0031675F">
        <w:rPr>
          <w:spacing w:val="1"/>
        </w:rPr>
        <w:t xml:space="preserve"> </w:t>
      </w:r>
      <w:r w:rsidRPr="0031675F">
        <w:rPr>
          <w:spacing w:val="-1"/>
        </w:rPr>
        <w:t>heating block</w:t>
      </w:r>
      <w:r w:rsidRPr="0031675F">
        <w:t xml:space="preserve"> in</w:t>
      </w:r>
      <w:r w:rsidRPr="0031675F">
        <w:rPr>
          <w:spacing w:val="-4"/>
        </w:rPr>
        <w:t xml:space="preserve"> </w:t>
      </w:r>
      <w:r w:rsidRPr="0031675F">
        <w:t xml:space="preserve">a </w:t>
      </w:r>
      <w:r w:rsidRPr="0031675F">
        <w:rPr>
          <w:spacing w:val="-1"/>
        </w:rPr>
        <w:t>sand-filled electric</w:t>
      </w:r>
      <w:r w:rsidRPr="0031675F">
        <w:rPr>
          <w:spacing w:val="-3"/>
        </w:rPr>
        <w:t xml:space="preserve"> </w:t>
      </w:r>
      <w:r w:rsidRPr="0031675F">
        <w:rPr>
          <w:spacing w:val="-1"/>
        </w:rPr>
        <w:t>frypan</w:t>
      </w:r>
    </w:p>
    <w:p w14:paraId="0F4C2811" w14:textId="77777777" w:rsidR="0031675F" w:rsidRPr="0031675F" w:rsidRDefault="0031675F" w:rsidP="0031675F">
      <w:pPr>
        <w:widowControl w:val="0"/>
        <w:numPr>
          <w:ilvl w:val="0"/>
          <w:numId w:val="102"/>
        </w:numPr>
        <w:tabs>
          <w:tab w:val="left" w:pos="515"/>
        </w:tabs>
        <w:spacing w:before="57" w:after="0" w:line="266" w:lineRule="exact"/>
        <w:ind w:left="514" w:right="119"/>
      </w:pPr>
      <w:r w:rsidRPr="0031675F">
        <w:rPr>
          <w:spacing w:val="-1"/>
        </w:rPr>
        <w:t>GF/F</w:t>
      </w:r>
      <w:r w:rsidRPr="0031675F">
        <w:rPr>
          <w:spacing w:val="9"/>
        </w:rPr>
        <w:t xml:space="preserve"> </w:t>
      </w:r>
      <w:r w:rsidRPr="0031675F">
        <w:rPr>
          <w:spacing w:val="-1"/>
        </w:rPr>
        <w:t>glass</w:t>
      </w:r>
      <w:r w:rsidRPr="0031675F">
        <w:rPr>
          <w:spacing w:val="6"/>
        </w:rPr>
        <w:t xml:space="preserve"> </w:t>
      </w:r>
      <w:r w:rsidRPr="0031675F">
        <w:rPr>
          <w:spacing w:val="-1"/>
        </w:rPr>
        <w:t>fibre</w:t>
      </w:r>
      <w:r w:rsidRPr="0031675F">
        <w:rPr>
          <w:spacing w:val="10"/>
        </w:rPr>
        <w:t xml:space="preserve"> </w:t>
      </w:r>
      <w:r w:rsidRPr="0031675F">
        <w:rPr>
          <w:spacing w:val="-1"/>
        </w:rPr>
        <w:t>filters.</w:t>
      </w:r>
      <w:r w:rsidRPr="0031675F">
        <w:rPr>
          <w:spacing w:val="6"/>
        </w:rPr>
        <w:t xml:space="preserve"> </w:t>
      </w:r>
      <w:r w:rsidRPr="0031675F">
        <w:rPr>
          <w:spacing w:val="-2"/>
        </w:rPr>
        <w:t>(Can</w:t>
      </w:r>
      <w:r w:rsidRPr="0031675F">
        <w:rPr>
          <w:spacing w:val="9"/>
        </w:rPr>
        <w:t xml:space="preserve"> </w:t>
      </w:r>
      <w:r w:rsidRPr="0031675F">
        <w:rPr>
          <w:spacing w:val="-1"/>
        </w:rPr>
        <w:t>be</w:t>
      </w:r>
      <w:r w:rsidRPr="0031675F">
        <w:rPr>
          <w:spacing w:val="10"/>
        </w:rPr>
        <w:t xml:space="preserve"> </w:t>
      </w:r>
      <w:r w:rsidRPr="0031675F">
        <w:rPr>
          <w:spacing w:val="-1"/>
        </w:rPr>
        <w:t>used</w:t>
      </w:r>
      <w:r w:rsidRPr="0031675F">
        <w:rPr>
          <w:spacing w:val="7"/>
        </w:rPr>
        <w:t xml:space="preserve"> </w:t>
      </w:r>
      <w:r w:rsidRPr="0031675F">
        <w:rPr>
          <w:spacing w:val="-1"/>
        </w:rPr>
        <w:t>either</w:t>
      </w:r>
      <w:r w:rsidRPr="0031675F">
        <w:rPr>
          <w:spacing w:val="9"/>
        </w:rPr>
        <w:t xml:space="preserve"> </w:t>
      </w:r>
      <w:r w:rsidRPr="0031675F">
        <w:rPr>
          <w:spacing w:val="-1"/>
        </w:rPr>
        <w:t>straight</w:t>
      </w:r>
      <w:r w:rsidRPr="0031675F">
        <w:rPr>
          <w:spacing w:val="10"/>
        </w:rPr>
        <w:t xml:space="preserve"> </w:t>
      </w:r>
      <w:r w:rsidRPr="0031675F">
        <w:rPr>
          <w:spacing w:val="-1"/>
        </w:rPr>
        <w:t>from</w:t>
      </w:r>
      <w:r w:rsidRPr="0031675F">
        <w:rPr>
          <w:spacing w:val="8"/>
        </w:rPr>
        <w:t xml:space="preserve"> </w:t>
      </w:r>
      <w:r w:rsidRPr="0031675F">
        <w:t>the</w:t>
      </w:r>
      <w:r w:rsidRPr="0031675F">
        <w:rPr>
          <w:spacing w:val="7"/>
        </w:rPr>
        <w:t xml:space="preserve"> </w:t>
      </w:r>
      <w:r w:rsidRPr="0031675F">
        <w:rPr>
          <w:spacing w:val="-1"/>
        </w:rPr>
        <w:t>packet</w:t>
      </w:r>
      <w:r w:rsidRPr="0031675F">
        <w:rPr>
          <w:spacing w:val="8"/>
        </w:rPr>
        <w:t xml:space="preserve"> </w:t>
      </w:r>
      <w:r w:rsidRPr="0031675F">
        <w:t>or</w:t>
      </w:r>
      <w:r w:rsidRPr="0031675F">
        <w:rPr>
          <w:spacing w:val="7"/>
        </w:rPr>
        <w:t xml:space="preserve"> </w:t>
      </w:r>
      <w:r w:rsidRPr="0031675F">
        <w:rPr>
          <w:spacing w:val="-1"/>
        </w:rPr>
        <w:t>denitrified</w:t>
      </w:r>
      <w:r w:rsidRPr="0031675F">
        <w:rPr>
          <w:spacing w:val="9"/>
        </w:rPr>
        <w:t xml:space="preserve"> </w:t>
      </w:r>
      <w:r w:rsidRPr="0031675F">
        <w:rPr>
          <w:spacing w:val="-1"/>
        </w:rPr>
        <w:t>by</w:t>
      </w:r>
      <w:r w:rsidRPr="0031675F">
        <w:rPr>
          <w:spacing w:val="10"/>
        </w:rPr>
        <w:t xml:space="preserve"> </w:t>
      </w:r>
      <w:r w:rsidRPr="0031675F">
        <w:rPr>
          <w:spacing w:val="-1"/>
        </w:rPr>
        <w:t>heating</w:t>
      </w:r>
      <w:r w:rsidRPr="0031675F">
        <w:rPr>
          <w:spacing w:val="9"/>
        </w:rPr>
        <w:t xml:space="preserve"> </w:t>
      </w:r>
      <w:r w:rsidRPr="0031675F">
        <w:rPr>
          <w:spacing w:val="-1"/>
        </w:rPr>
        <w:t>for</w:t>
      </w:r>
      <w:r w:rsidRPr="0031675F">
        <w:rPr>
          <w:spacing w:val="71"/>
        </w:rPr>
        <w:t xml:space="preserve"> </w:t>
      </w:r>
      <w:r w:rsidRPr="0031675F">
        <w:t>2</w:t>
      </w:r>
      <w:r w:rsidRPr="0031675F">
        <w:rPr>
          <w:spacing w:val="-1"/>
        </w:rPr>
        <w:t xml:space="preserve"> hours</w:t>
      </w:r>
      <w:r w:rsidRPr="0031675F">
        <w:rPr>
          <w:spacing w:val="-3"/>
        </w:rPr>
        <w:t xml:space="preserve"> </w:t>
      </w:r>
      <w:r w:rsidRPr="0031675F">
        <w:t>at</w:t>
      </w:r>
      <w:r w:rsidRPr="0031675F">
        <w:rPr>
          <w:spacing w:val="-2"/>
        </w:rPr>
        <w:t xml:space="preserve"> </w:t>
      </w:r>
      <w:r w:rsidRPr="0031675F">
        <w:t>450</w:t>
      </w:r>
      <w:r w:rsidRPr="0031675F">
        <w:rPr>
          <w:position w:val="10"/>
          <w:sz w:val="14"/>
        </w:rPr>
        <w:t>o</w:t>
      </w:r>
      <w:r w:rsidRPr="0031675F">
        <w:t>C in</w:t>
      </w:r>
      <w:r w:rsidRPr="0031675F">
        <w:rPr>
          <w:spacing w:val="-3"/>
        </w:rPr>
        <w:t xml:space="preserve"> </w:t>
      </w:r>
      <w:r w:rsidRPr="0031675F">
        <w:t>a</w:t>
      </w:r>
      <w:r w:rsidRPr="0031675F">
        <w:rPr>
          <w:spacing w:val="-2"/>
        </w:rPr>
        <w:t xml:space="preserve"> </w:t>
      </w:r>
      <w:r w:rsidRPr="0031675F">
        <w:rPr>
          <w:spacing w:val="-1"/>
        </w:rPr>
        <w:t>muffle</w:t>
      </w:r>
      <w:r w:rsidRPr="0031675F">
        <w:t xml:space="preserve"> </w:t>
      </w:r>
      <w:r w:rsidRPr="0031675F">
        <w:rPr>
          <w:spacing w:val="-1"/>
        </w:rPr>
        <w:t>furnace).</w:t>
      </w:r>
    </w:p>
    <w:p w14:paraId="77A9D5A9" w14:textId="77777777" w:rsidR="0031675F" w:rsidRPr="0031675F" w:rsidRDefault="0031675F" w:rsidP="0031675F">
      <w:pPr>
        <w:widowControl w:val="0"/>
        <w:numPr>
          <w:ilvl w:val="0"/>
          <w:numId w:val="102"/>
        </w:numPr>
        <w:tabs>
          <w:tab w:val="left" w:pos="515"/>
        </w:tabs>
        <w:spacing w:before="66" w:after="0" w:line="240" w:lineRule="auto"/>
        <w:ind w:left="514"/>
        <w:jc w:val="both"/>
      </w:pPr>
      <w:r w:rsidRPr="0031675F">
        <w:rPr>
          <w:spacing w:val="-1"/>
        </w:rPr>
        <w:t>100</w:t>
      </w:r>
      <w:r w:rsidRPr="0031675F">
        <w:t xml:space="preserve"> </w:t>
      </w:r>
      <w:r w:rsidRPr="0031675F">
        <w:rPr>
          <w:spacing w:val="-1"/>
        </w:rPr>
        <w:t>small glass</w:t>
      </w:r>
      <w:r w:rsidRPr="0031675F">
        <w:rPr>
          <w:spacing w:val="-3"/>
        </w:rPr>
        <w:t xml:space="preserve"> </w:t>
      </w:r>
      <w:r w:rsidRPr="0031675F">
        <w:rPr>
          <w:spacing w:val="-1"/>
        </w:rPr>
        <w:t>marbles</w:t>
      </w:r>
      <w:r w:rsidRPr="0031675F">
        <w:t xml:space="preserve"> </w:t>
      </w:r>
      <w:r w:rsidRPr="0031675F">
        <w:rPr>
          <w:spacing w:val="-2"/>
        </w:rPr>
        <w:t>(acid</w:t>
      </w:r>
      <w:r w:rsidRPr="0031675F">
        <w:rPr>
          <w:spacing w:val="-1"/>
        </w:rPr>
        <w:t xml:space="preserve"> washed</w:t>
      </w:r>
      <w:r w:rsidRPr="0031675F">
        <w:t xml:space="preserve"> in</w:t>
      </w:r>
      <w:r w:rsidRPr="0031675F">
        <w:rPr>
          <w:spacing w:val="-3"/>
        </w:rPr>
        <w:t xml:space="preserve"> </w:t>
      </w:r>
      <w:r w:rsidRPr="0031675F">
        <w:rPr>
          <w:spacing w:val="-1"/>
        </w:rPr>
        <w:t>10%</w:t>
      </w:r>
      <w:r w:rsidRPr="0031675F">
        <w:rPr>
          <w:spacing w:val="1"/>
        </w:rPr>
        <w:t xml:space="preserve"> </w:t>
      </w:r>
      <w:r w:rsidRPr="0031675F">
        <w:rPr>
          <w:spacing w:val="-1"/>
        </w:rPr>
        <w:t>HCl,</w:t>
      </w:r>
      <w:r w:rsidRPr="0031675F">
        <w:rPr>
          <w:spacing w:val="-2"/>
        </w:rPr>
        <w:t xml:space="preserve"> </w:t>
      </w:r>
      <w:r w:rsidRPr="0031675F">
        <w:t>DiW</w:t>
      </w:r>
      <w:r w:rsidRPr="0031675F">
        <w:rPr>
          <w:spacing w:val="-5"/>
        </w:rPr>
        <w:t xml:space="preserve"> </w:t>
      </w:r>
      <w:r w:rsidRPr="0031675F">
        <w:rPr>
          <w:spacing w:val="-1"/>
        </w:rPr>
        <w:t>rinsed).</w:t>
      </w:r>
    </w:p>
    <w:p w14:paraId="4976AB28" w14:textId="77777777" w:rsidR="0031675F" w:rsidRPr="0031675F" w:rsidRDefault="0031675F" w:rsidP="0031675F">
      <w:pPr>
        <w:widowControl w:val="0"/>
        <w:numPr>
          <w:ilvl w:val="0"/>
          <w:numId w:val="102"/>
        </w:numPr>
        <w:tabs>
          <w:tab w:val="left" w:pos="515"/>
        </w:tabs>
        <w:spacing w:before="60" w:after="0" w:line="240" w:lineRule="auto"/>
        <w:ind w:left="514"/>
        <w:jc w:val="both"/>
      </w:pPr>
      <w:r w:rsidRPr="0031675F">
        <w:rPr>
          <w:spacing w:val="-1"/>
        </w:rPr>
        <w:t>Mini</w:t>
      </w:r>
      <w:r w:rsidRPr="0031675F">
        <w:t xml:space="preserve"> </w:t>
      </w:r>
      <w:r w:rsidRPr="0031675F">
        <w:rPr>
          <w:spacing w:val="-1"/>
        </w:rPr>
        <w:t>homogeniser</w:t>
      </w:r>
      <w:r w:rsidRPr="0031675F">
        <w:rPr>
          <w:spacing w:val="-2"/>
        </w:rPr>
        <w:t xml:space="preserve"> </w:t>
      </w:r>
      <w:r w:rsidRPr="0031675F">
        <w:rPr>
          <w:spacing w:val="-1"/>
        </w:rPr>
        <w:t>(see</w:t>
      </w:r>
      <w:r w:rsidRPr="0031675F">
        <w:rPr>
          <w:spacing w:val="2"/>
        </w:rPr>
        <w:t xml:space="preserve"> </w:t>
      </w:r>
      <w:r w:rsidRPr="0031675F">
        <w:rPr>
          <w:spacing w:val="-1"/>
        </w:rPr>
        <w:t>Attachment</w:t>
      </w:r>
      <w:r w:rsidRPr="0031675F">
        <w:rPr>
          <w:spacing w:val="-2"/>
        </w:rPr>
        <w:t xml:space="preserve"> </w:t>
      </w:r>
      <w:r w:rsidRPr="0031675F">
        <w:rPr>
          <w:spacing w:val="-1"/>
        </w:rPr>
        <w:t>7.1)</w:t>
      </w:r>
      <w:r w:rsidRPr="0031675F">
        <w:rPr>
          <w:spacing w:val="-2"/>
        </w:rPr>
        <w:t xml:space="preserve"> </w:t>
      </w:r>
      <w:r w:rsidRPr="0031675F">
        <w:t xml:space="preserve">with </w:t>
      </w:r>
      <w:r w:rsidRPr="0031675F">
        <w:rPr>
          <w:spacing w:val="-1"/>
        </w:rPr>
        <w:t>beaker</w:t>
      </w:r>
      <w:r w:rsidRPr="0031675F">
        <w:rPr>
          <w:spacing w:val="-2"/>
        </w:rPr>
        <w:t xml:space="preserve"> </w:t>
      </w:r>
      <w:r w:rsidRPr="0031675F">
        <w:t>of</w:t>
      </w:r>
      <w:r w:rsidRPr="0031675F">
        <w:rPr>
          <w:spacing w:val="-2"/>
        </w:rPr>
        <w:t xml:space="preserve"> </w:t>
      </w:r>
      <w:r w:rsidRPr="0031675F">
        <w:t xml:space="preserve">DiW </w:t>
      </w:r>
      <w:r w:rsidRPr="0031675F">
        <w:rPr>
          <w:spacing w:val="-1"/>
        </w:rPr>
        <w:t>for</w:t>
      </w:r>
      <w:r w:rsidRPr="0031675F">
        <w:t xml:space="preserve"> </w:t>
      </w:r>
      <w:r w:rsidRPr="0031675F">
        <w:rPr>
          <w:spacing w:val="-1"/>
        </w:rPr>
        <w:t>rinsing.</w:t>
      </w:r>
    </w:p>
    <w:p w14:paraId="6890F39F" w14:textId="77777777" w:rsidR="0031675F" w:rsidRPr="0031675F" w:rsidRDefault="0031675F" w:rsidP="0031675F">
      <w:pPr>
        <w:widowControl w:val="0"/>
        <w:numPr>
          <w:ilvl w:val="0"/>
          <w:numId w:val="102"/>
        </w:numPr>
        <w:tabs>
          <w:tab w:val="left" w:pos="515"/>
        </w:tabs>
        <w:spacing w:before="60" w:after="0" w:line="240" w:lineRule="auto"/>
        <w:ind w:left="514"/>
        <w:jc w:val="both"/>
      </w:pPr>
      <w:r w:rsidRPr="0031675F">
        <w:rPr>
          <w:spacing w:val="-1"/>
        </w:rPr>
        <w:t>Reagent</w:t>
      </w:r>
      <w:r w:rsidRPr="0031675F">
        <w:t xml:space="preserve"> </w:t>
      </w:r>
      <w:r w:rsidRPr="0031675F">
        <w:rPr>
          <w:spacing w:val="-1"/>
        </w:rPr>
        <w:t>bottles.</w:t>
      </w:r>
    </w:p>
    <w:p w14:paraId="1BDF0FA7" w14:textId="77777777" w:rsidR="0031675F" w:rsidRPr="0031675F" w:rsidRDefault="0031675F" w:rsidP="0031675F">
      <w:pPr>
        <w:widowControl w:val="0"/>
        <w:numPr>
          <w:ilvl w:val="0"/>
          <w:numId w:val="102"/>
        </w:numPr>
        <w:tabs>
          <w:tab w:val="left" w:pos="515"/>
        </w:tabs>
        <w:spacing w:before="60" w:after="0" w:line="240" w:lineRule="auto"/>
        <w:ind w:left="514"/>
        <w:jc w:val="both"/>
      </w:pPr>
      <w:r w:rsidRPr="0031675F">
        <w:rPr>
          <w:spacing w:val="-1"/>
        </w:rPr>
        <w:t xml:space="preserve">Tweezers </w:t>
      </w:r>
      <w:r w:rsidRPr="0031675F">
        <w:t>and</w:t>
      </w:r>
      <w:r w:rsidRPr="0031675F">
        <w:rPr>
          <w:spacing w:val="-2"/>
        </w:rPr>
        <w:t xml:space="preserve"> </w:t>
      </w:r>
      <w:r w:rsidRPr="0031675F">
        <w:rPr>
          <w:spacing w:val="-1"/>
        </w:rPr>
        <w:t>al-foil</w:t>
      </w:r>
    </w:p>
    <w:p w14:paraId="57683AEE" w14:textId="773D435D" w:rsidR="0031675F" w:rsidRPr="0031675F" w:rsidRDefault="0031675F" w:rsidP="0031675F">
      <w:pPr>
        <w:widowControl w:val="0"/>
        <w:numPr>
          <w:ilvl w:val="0"/>
          <w:numId w:val="102"/>
        </w:numPr>
        <w:tabs>
          <w:tab w:val="left" w:pos="566"/>
        </w:tabs>
        <w:spacing w:before="60" w:after="0" w:line="240" w:lineRule="auto"/>
        <w:ind w:left="565" w:hanging="447"/>
        <w:jc w:val="both"/>
      </w:pPr>
      <w:r w:rsidRPr="0031675F">
        <w:t>3 x</w:t>
      </w:r>
      <w:r w:rsidRPr="0031675F">
        <w:rPr>
          <w:spacing w:val="-2"/>
        </w:rPr>
        <w:t xml:space="preserve"> </w:t>
      </w:r>
      <w:r w:rsidRPr="0031675F">
        <w:rPr>
          <w:spacing w:val="-1"/>
        </w:rPr>
        <w:t>100</w:t>
      </w:r>
      <w:r w:rsidRPr="0031675F">
        <w:rPr>
          <w:spacing w:val="-2"/>
        </w:rPr>
        <w:t xml:space="preserve"> </w:t>
      </w:r>
      <w:r w:rsidR="00BB13FD">
        <w:t>mL</w:t>
      </w:r>
      <w:r w:rsidRPr="0031675F">
        <w:rPr>
          <w:spacing w:val="-3"/>
        </w:rPr>
        <w:t xml:space="preserve"> </w:t>
      </w:r>
      <w:r w:rsidRPr="0031675F">
        <w:t>and</w:t>
      </w:r>
      <w:r w:rsidRPr="0031675F">
        <w:rPr>
          <w:spacing w:val="-2"/>
        </w:rPr>
        <w:t xml:space="preserve"> </w:t>
      </w:r>
      <w:r w:rsidRPr="0031675F">
        <w:rPr>
          <w:spacing w:val="-1"/>
        </w:rPr>
        <w:t>1000</w:t>
      </w:r>
      <w:r w:rsidRPr="0031675F">
        <w:rPr>
          <w:spacing w:val="-2"/>
        </w:rPr>
        <w:t xml:space="preserve"> </w:t>
      </w:r>
      <w:r w:rsidR="00BB13FD">
        <w:t>mL</w:t>
      </w:r>
      <w:r w:rsidRPr="0031675F">
        <w:rPr>
          <w:spacing w:val="-2"/>
        </w:rPr>
        <w:t xml:space="preserve"> </w:t>
      </w:r>
      <w:r w:rsidRPr="0031675F">
        <w:rPr>
          <w:spacing w:val="-1"/>
        </w:rPr>
        <w:t>volumetric</w:t>
      </w:r>
      <w:r w:rsidRPr="0031675F">
        <w:t xml:space="preserve"> </w:t>
      </w:r>
      <w:r w:rsidRPr="0031675F">
        <w:rPr>
          <w:spacing w:val="-1"/>
        </w:rPr>
        <w:t>flasks.</w:t>
      </w:r>
    </w:p>
    <w:p w14:paraId="54A99E51" w14:textId="77777777" w:rsidR="0031675F" w:rsidRPr="0031675F" w:rsidRDefault="0031675F" w:rsidP="0031675F">
      <w:pPr>
        <w:widowControl w:val="0"/>
        <w:numPr>
          <w:ilvl w:val="0"/>
          <w:numId w:val="102"/>
        </w:numPr>
        <w:tabs>
          <w:tab w:val="left" w:pos="515"/>
        </w:tabs>
        <w:spacing w:before="60" w:after="0" w:line="240" w:lineRule="auto"/>
        <w:ind w:left="514"/>
        <w:jc w:val="both"/>
      </w:pPr>
      <w:r w:rsidRPr="0031675F">
        <w:rPr>
          <w:spacing w:val="-1"/>
        </w:rPr>
        <w:t>Safety</w:t>
      </w:r>
      <w:r w:rsidRPr="0031675F">
        <w:t xml:space="preserve"> </w:t>
      </w:r>
      <w:r w:rsidRPr="0031675F">
        <w:rPr>
          <w:spacing w:val="-1"/>
        </w:rPr>
        <w:t>glasses.</w:t>
      </w:r>
    </w:p>
    <w:p w14:paraId="0A2B6BCF" w14:textId="77777777" w:rsidR="0031675F" w:rsidRPr="0031675F" w:rsidRDefault="0031675F" w:rsidP="0031675F">
      <w:pPr>
        <w:widowControl w:val="0"/>
        <w:numPr>
          <w:ilvl w:val="0"/>
          <w:numId w:val="102"/>
        </w:numPr>
        <w:tabs>
          <w:tab w:val="left" w:pos="515"/>
        </w:tabs>
        <w:spacing w:before="60" w:after="0" w:line="240" w:lineRule="auto"/>
        <w:ind w:left="514" w:right="112"/>
        <w:jc w:val="both"/>
      </w:pPr>
      <w:r w:rsidRPr="0031675F">
        <w:rPr>
          <w:spacing w:val="-1"/>
        </w:rPr>
        <w:t>Spectrophotometer</w:t>
      </w:r>
      <w:r w:rsidRPr="0031675F">
        <w:rPr>
          <w:spacing w:val="19"/>
        </w:rPr>
        <w:t xml:space="preserve"> </w:t>
      </w:r>
      <w:r w:rsidRPr="0031675F">
        <w:t>with</w:t>
      </w:r>
      <w:r w:rsidRPr="0031675F">
        <w:rPr>
          <w:spacing w:val="19"/>
        </w:rPr>
        <w:t xml:space="preserve"> </w:t>
      </w:r>
      <w:r w:rsidRPr="0031675F">
        <w:t>1</w:t>
      </w:r>
      <w:r w:rsidRPr="0031675F">
        <w:rPr>
          <w:spacing w:val="20"/>
        </w:rPr>
        <w:t xml:space="preserve"> </w:t>
      </w:r>
      <w:r w:rsidRPr="0031675F">
        <w:t>cm</w:t>
      </w:r>
      <w:r w:rsidRPr="0031675F">
        <w:rPr>
          <w:spacing w:val="23"/>
        </w:rPr>
        <w:t xml:space="preserve"> </w:t>
      </w:r>
      <w:r w:rsidRPr="0031675F">
        <w:rPr>
          <w:spacing w:val="-1"/>
        </w:rPr>
        <w:t>cell</w:t>
      </w:r>
      <w:r w:rsidRPr="0031675F">
        <w:rPr>
          <w:spacing w:val="21"/>
        </w:rPr>
        <w:t xml:space="preserve"> </w:t>
      </w:r>
      <w:r w:rsidRPr="0031675F">
        <w:rPr>
          <w:spacing w:val="-1"/>
        </w:rPr>
        <w:t>(capable</w:t>
      </w:r>
      <w:r w:rsidRPr="0031675F">
        <w:rPr>
          <w:spacing w:val="19"/>
        </w:rPr>
        <w:t xml:space="preserve"> </w:t>
      </w:r>
      <w:r w:rsidRPr="0031675F">
        <w:t>of</w:t>
      </w:r>
      <w:r w:rsidRPr="0031675F">
        <w:rPr>
          <w:spacing w:val="21"/>
        </w:rPr>
        <w:t xml:space="preserve"> </w:t>
      </w:r>
      <w:r w:rsidRPr="0031675F">
        <w:rPr>
          <w:spacing w:val="-1"/>
        </w:rPr>
        <w:t>reading</w:t>
      </w:r>
      <w:r w:rsidRPr="0031675F">
        <w:rPr>
          <w:spacing w:val="21"/>
        </w:rPr>
        <w:t xml:space="preserve"> </w:t>
      </w:r>
      <w:r w:rsidRPr="0031675F">
        <w:t>to</w:t>
      </w:r>
      <w:r w:rsidRPr="0031675F">
        <w:rPr>
          <w:spacing w:val="23"/>
        </w:rPr>
        <w:t xml:space="preserve"> </w:t>
      </w:r>
      <w:r w:rsidRPr="0031675F">
        <w:rPr>
          <w:spacing w:val="-1"/>
        </w:rPr>
        <w:t>900</w:t>
      </w:r>
      <w:r w:rsidRPr="0031675F">
        <w:rPr>
          <w:spacing w:val="22"/>
        </w:rPr>
        <w:t xml:space="preserve"> </w:t>
      </w:r>
      <w:r w:rsidRPr="0031675F">
        <w:rPr>
          <w:spacing w:val="-2"/>
        </w:rPr>
        <w:t>nm).</w:t>
      </w:r>
      <w:r w:rsidRPr="0031675F">
        <w:rPr>
          <w:spacing w:val="43"/>
        </w:rPr>
        <w:t xml:space="preserve"> </w:t>
      </w:r>
      <w:r w:rsidRPr="0031675F">
        <w:rPr>
          <w:spacing w:val="-1"/>
        </w:rPr>
        <w:t>Although</w:t>
      </w:r>
      <w:r w:rsidRPr="0031675F">
        <w:rPr>
          <w:spacing w:val="21"/>
        </w:rPr>
        <w:t xml:space="preserve"> </w:t>
      </w:r>
      <w:r w:rsidRPr="0031675F">
        <w:t>not</w:t>
      </w:r>
      <w:r w:rsidRPr="0031675F">
        <w:rPr>
          <w:spacing w:val="22"/>
        </w:rPr>
        <w:t xml:space="preserve"> </w:t>
      </w:r>
      <w:r w:rsidRPr="0031675F">
        <w:rPr>
          <w:spacing w:val="-1"/>
        </w:rPr>
        <w:t>essential,</w:t>
      </w:r>
      <w:r w:rsidRPr="0031675F">
        <w:rPr>
          <w:spacing w:val="22"/>
        </w:rPr>
        <w:t xml:space="preserve"> </w:t>
      </w:r>
      <w:r w:rsidRPr="0031675F">
        <w:t>an</w:t>
      </w:r>
      <w:r w:rsidRPr="0031675F">
        <w:rPr>
          <w:spacing w:val="41"/>
        </w:rPr>
        <w:t xml:space="preserve"> </w:t>
      </w:r>
      <w:r w:rsidRPr="0031675F">
        <w:rPr>
          <w:spacing w:val="-1"/>
        </w:rPr>
        <w:t>automated,</w:t>
      </w:r>
      <w:r w:rsidRPr="0031675F">
        <w:rPr>
          <w:spacing w:val="5"/>
        </w:rPr>
        <w:t xml:space="preserve"> </w:t>
      </w:r>
      <w:r w:rsidRPr="0031675F">
        <w:rPr>
          <w:spacing w:val="-1"/>
        </w:rPr>
        <w:t>low-volume,</w:t>
      </w:r>
      <w:r w:rsidRPr="0031675F">
        <w:rPr>
          <w:spacing w:val="5"/>
        </w:rPr>
        <w:t xml:space="preserve"> </w:t>
      </w:r>
      <w:r w:rsidRPr="0031675F">
        <w:rPr>
          <w:spacing w:val="-1"/>
        </w:rPr>
        <w:t>sipper</w:t>
      </w:r>
      <w:r w:rsidRPr="0031675F">
        <w:rPr>
          <w:spacing w:val="6"/>
        </w:rPr>
        <w:t xml:space="preserve"> </w:t>
      </w:r>
      <w:r w:rsidRPr="0031675F">
        <w:t>cell</w:t>
      </w:r>
      <w:r w:rsidRPr="0031675F">
        <w:rPr>
          <w:spacing w:val="5"/>
        </w:rPr>
        <w:t xml:space="preserve"> </w:t>
      </w:r>
      <w:r w:rsidRPr="0031675F">
        <w:rPr>
          <w:spacing w:val="-1"/>
        </w:rPr>
        <w:t>attachment</w:t>
      </w:r>
      <w:r w:rsidRPr="0031675F">
        <w:rPr>
          <w:spacing w:val="5"/>
        </w:rPr>
        <w:t xml:space="preserve"> </w:t>
      </w:r>
      <w:r w:rsidRPr="0031675F">
        <w:rPr>
          <w:spacing w:val="-1"/>
        </w:rPr>
        <w:t>for</w:t>
      </w:r>
      <w:r w:rsidRPr="0031675F">
        <w:rPr>
          <w:spacing w:val="5"/>
        </w:rPr>
        <w:t xml:space="preserve"> </w:t>
      </w:r>
      <w:r w:rsidRPr="0031675F">
        <w:rPr>
          <w:spacing w:val="-1"/>
        </w:rPr>
        <w:t>the</w:t>
      </w:r>
      <w:r w:rsidRPr="0031675F">
        <w:rPr>
          <w:spacing w:val="5"/>
        </w:rPr>
        <w:t xml:space="preserve"> </w:t>
      </w:r>
      <w:r w:rsidRPr="0031675F">
        <w:rPr>
          <w:spacing w:val="-1"/>
        </w:rPr>
        <w:t>spectrometer</w:t>
      </w:r>
      <w:r w:rsidRPr="0031675F">
        <w:rPr>
          <w:spacing w:val="3"/>
        </w:rPr>
        <w:t xml:space="preserve"> </w:t>
      </w:r>
      <w:r w:rsidRPr="0031675F">
        <w:t>will</w:t>
      </w:r>
      <w:r w:rsidRPr="0031675F">
        <w:rPr>
          <w:spacing w:val="4"/>
        </w:rPr>
        <w:t xml:space="preserve"> </w:t>
      </w:r>
      <w:r w:rsidRPr="0031675F">
        <w:rPr>
          <w:spacing w:val="-1"/>
        </w:rPr>
        <w:t>speed</w:t>
      </w:r>
      <w:r w:rsidRPr="0031675F">
        <w:rPr>
          <w:spacing w:val="2"/>
        </w:rPr>
        <w:t xml:space="preserve"> </w:t>
      </w:r>
      <w:r w:rsidRPr="0031675F">
        <w:rPr>
          <w:spacing w:val="-1"/>
        </w:rPr>
        <w:t>up</w:t>
      </w:r>
      <w:r w:rsidRPr="0031675F">
        <w:rPr>
          <w:spacing w:val="4"/>
        </w:rPr>
        <w:t xml:space="preserve"> </w:t>
      </w:r>
      <w:r w:rsidRPr="0031675F">
        <w:rPr>
          <w:spacing w:val="-1"/>
        </w:rPr>
        <w:t>analysis</w:t>
      </w:r>
      <w:r w:rsidRPr="0031675F">
        <w:rPr>
          <w:spacing w:val="5"/>
        </w:rPr>
        <w:t xml:space="preserve"> </w:t>
      </w:r>
      <w:r w:rsidRPr="0031675F">
        <w:rPr>
          <w:spacing w:val="-1"/>
        </w:rPr>
        <w:t>time</w:t>
      </w:r>
      <w:r w:rsidRPr="0031675F">
        <w:rPr>
          <w:spacing w:val="55"/>
        </w:rPr>
        <w:t xml:space="preserve"> </w:t>
      </w:r>
      <w:r w:rsidRPr="0031675F">
        <w:rPr>
          <w:spacing w:val="-1"/>
        </w:rPr>
        <w:t>considerably.</w:t>
      </w:r>
    </w:p>
    <w:p w14:paraId="3ED3AAA2" w14:textId="77777777" w:rsidR="0031675F" w:rsidRPr="0031675F" w:rsidRDefault="0031675F" w:rsidP="0031675F">
      <w:pPr>
        <w:spacing w:before="8"/>
        <w:rPr>
          <w:rFonts w:cs="Calibri"/>
          <w:sz w:val="26"/>
          <w:szCs w:val="26"/>
        </w:rPr>
      </w:pPr>
    </w:p>
    <w:p w14:paraId="5945D8CD" w14:textId="77777777" w:rsidR="0031675F" w:rsidRPr="0031675F" w:rsidRDefault="0031675F" w:rsidP="0031675F">
      <w:pPr>
        <w:widowControl w:val="0"/>
        <w:numPr>
          <w:ilvl w:val="2"/>
          <w:numId w:val="103"/>
        </w:numPr>
        <w:tabs>
          <w:tab w:val="left" w:pos="839"/>
        </w:tabs>
        <w:spacing w:before="0" w:after="0" w:line="240" w:lineRule="auto"/>
        <w:ind w:left="838"/>
        <w:jc w:val="both"/>
        <w:rPr>
          <w:rFonts w:eastAsia="Arial" w:cs="Arial"/>
        </w:rPr>
      </w:pPr>
      <w:r w:rsidRPr="0031675F">
        <w:rPr>
          <w:b/>
          <w:spacing w:val="-1"/>
        </w:rPr>
        <w:t>Methods</w:t>
      </w:r>
    </w:p>
    <w:p w14:paraId="679B030B" w14:textId="77777777" w:rsidR="0031675F" w:rsidRPr="0031675F" w:rsidRDefault="0031675F" w:rsidP="0031675F">
      <w:pPr>
        <w:spacing w:before="2"/>
        <w:rPr>
          <w:rFonts w:eastAsia="Arial" w:cs="Arial"/>
          <w:b/>
          <w:bCs/>
          <w:sz w:val="21"/>
          <w:szCs w:val="21"/>
        </w:rPr>
      </w:pPr>
    </w:p>
    <w:p w14:paraId="40D09D47" w14:textId="77777777" w:rsidR="0031675F" w:rsidRPr="0031675F" w:rsidRDefault="0031675F" w:rsidP="0031675F">
      <w:pPr>
        <w:widowControl w:val="0"/>
        <w:numPr>
          <w:ilvl w:val="3"/>
          <w:numId w:val="103"/>
        </w:numPr>
        <w:tabs>
          <w:tab w:val="left" w:pos="839"/>
        </w:tabs>
        <w:spacing w:before="0" w:after="0" w:line="240" w:lineRule="auto"/>
        <w:jc w:val="both"/>
        <w:rPr>
          <w:rFonts w:cs="Calibri"/>
        </w:rPr>
      </w:pPr>
      <w:r w:rsidRPr="0031675F">
        <w:rPr>
          <w:b/>
          <w:i/>
          <w:spacing w:val="-1"/>
        </w:rPr>
        <w:t>Samples</w:t>
      </w:r>
    </w:p>
    <w:p w14:paraId="1E2E964B" w14:textId="77777777" w:rsidR="0031675F" w:rsidRPr="0031675F" w:rsidRDefault="0031675F" w:rsidP="0031675F">
      <w:pPr>
        <w:spacing w:before="121" w:after="120" w:line="239" w:lineRule="auto"/>
        <w:ind w:right="112"/>
        <w:jc w:val="both"/>
      </w:pPr>
      <w:r w:rsidRPr="0031675F">
        <w:rPr>
          <w:spacing w:val="-1"/>
        </w:rPr>
        <w:t>Samples</w:t>
      </w:r>
      <w:r w:rsidRPr="0031675F">
        <w:rPr>
          <w:spacing w:val="19"/>
        </w:rPr>
        <w:t xml:space="preserve"> </w:t>
      </w:r>
      <w:r w:rsidRPr="0031675F">
        <w:rPr>
          <w:spacing w:val="-1"/>
        </w:rPr>
        <w:t>(on</w:t>
      </w:r>
      <w:r w:rsidRPr="0031675F">
        <w:rPr>
          <w:spacing w:val="18"/>
        </w:rPr>
        <w:t xml:space="preserve"> </w:t>
      </w:r>
      <w:r w:rsidRPr="0031675F">
        <w:rPr>
          <w:spacing w:val="-1"/>
        </w:rPr>
        <w:t>filters)</w:t>
      </w:r>
      <w:r w:rsidRPr="0031675F">
        <w:rPr>
          <w:spacing w:val="19"/>
        </w:rPr>
        <w:t xml:space="preserve"> </w:t>
      </w:r>
      <w:r w:rsidRPr="0031675F">
        <w:rPr>
          <w:spacing w:val="-1"/>
        </w:rPr>
        <w:t>remain</w:t>
      </w:r>
      <w:r w:rsidRPr="0031675F">
        <w:rPr>
          <w:spacing w:val="18"/>
        </w:rPr>
        <w:t xml:space="preserve"> </w:t>
      </w:r>
      <w:r w:rsidRPr="0031675F">
        <w:rPr>
          <w:spacing w:val="-1"/>
        </w:rPr>
        <w:t>frozen</w:t>
      </w:r>
      <w:r w:rsidRPr="0031675F">
        <w:rPr>
          <w:spacing w:val="19"/>
        </w:rPr>
        <w:t xml:space="preserve"> </w:t>
      </w:r>
      <w:r w:rsidRPr="0031675F">
        <w:rPr>
          <w:spacing w:val="-1"/>
        </w:rPr>
        <w:t>until</w:t>
      </w:r>
      <w:r w:rsidRPr="0031675F">
        <w:rPr>
          <w:spacing w:val="19"/>
        </w:rPr>
        <w:t xml:space="preserve"> </w:t>
      </w:r>
      <w:r w:rsidRPr="0031675F">
        <w:rPr>
          <w:spacing w:val="-1"/>
        </w:rPr>
        <w:t>analysis.</w:t>
      </w:r>
      <w:r w:rsidRPr="0031675F">
        <w:rPr>
          <w:spacing w:val="38"/>
        </w:rPr>
        <w:t xml:space="preserve"> </w:t>
      </w:r>
      <w:r w:rsidRPr="0031675F">
        <w:rPr>
          <w:spacing w:val="-1"/>
        </w:rPr>
        <w:t>The</w:t>
      </w:r>
      <w:r w:rsidRPr="0031675F">
        <w:rPr>
          <w:spacing w:val="20"/>
        </w:rPr>
        <w:t xml:space="preserve"> </w:t>
      </w:r>
      <w:r w:rsidRPr="0031675F">
        <w:rPr>
          <w:spacing w:val="-1"/>
        </w:rPr>
        <w:t>frozen</w:t>
      </w:r>
      <w:r w:rsidRPr="0031675F">
        <w:rPr>
          <w:spacing w:val="19"/>
        </w:rPr>
        <w:t xml:space="preserve"> </w:t>
      </w:r>
      <w:r w:rsidRPr="0031675F">
        <w:rPr>
          <w:spacing w:val="-1"/>
        </w:rPr>
        <w:t>filters</w:t>
      </w:r>
      <w:r w:rsidRPr="0031675F">
        <w:rPr>
          <w:spacing w:val="19"/>
        </w:rPr>
        <w:t xml:space="preserve"> </w:t>
      </w:r>
      <w:r w:rsidRPr="0031675F">
        <w:rPr>
          <w:spacing w:val="-1"/>
        </w:rPr>
        <w:t>are</w:t>
      </w:r>
      <w:r w:rsidRPr="0031675F">
        <w:rPr>
          <w:spacing w:val="20"/>
        </w:rPr>
        <w:t xml:space="preserve"> </w:t>
      </w:r>
      <w:r w:rsidRPr="0031675F">
        <w:rPr>
          <w:spacing w:val="-1"/>
        </w:rPr>
        <w:t>placed</w:t>
      </w:r>
      <w:r w:rsidRPr="0031675F">
        <w:rPr>
          <w:spacing w:val="16"/>
        </w:rPr>
        <w:t xml:space="preserve"> </w:t>
      </w:r>
      <w:r w:rsidRPr="0031675F">
        <w:rPr>
          <w:spacing w:val="-1"/>
        </w:rPr>
        <w:t>directly</w:t>
      </w:r>
      <w:r w:rsidRPr="0031675F">
        <w:rPr>
          <w:spacing w:val="20"/>
        </w:rPr>
        <w:t xml:space="preserve"> </w:t>
      </w:r>
      <w:r w:rsidRPr="0031675F">
        <w:rPr>
          <w:spacing w:val="-1"/>
        </w:rPr>
        <w:t>into</w:t>
      </w:r>
      <w:r w:rsidRPr="0031675F">
        <w:rPr>
          <w:spacing w:val="20"/>
        </w:rPr>
        <w:t xml:space="preserve"> </w:t>
      </w:r>
      <w:r w:rsidRPr="0031675F">
        <w:rPr>
          <w:spacing w:val="-1"/>
        </w:rPr>
        <w:t>labelled</w:t>
      </w:r>
      <w:r w:rsidRPr="0031675F">
        <w:rPr>
          <w:spacing w:val="103"/>
        </w:rPr>
        <w:t xml:space="preserve"> </w:t>
      </w:r>
      <w:r w:rsidRPr="0031675F">
        <w:rPr>
          <w:spacing w:val="-1"/>
        </w:rPr>
        <w:t>reaction</w:t>
      </w:r>
      <w:r w:rsidRPr="0031675F">
        <w:rPr>
          <w:spacing w:val="21"/>
        </w:rPr>
        <w:t xml:space="preserve"> </w:t>
      </w:r>
      <w:r w:rsidRPr="0031675F">
        <w:rPr>
          <w:spacing w:val="-1"/>
        </w:rPr>
        <w:t>vessels</w:t>
      </w:r>
      <w:r w:rsidRPr="0031675F">
        <w:rPr>
          <w:spacing w:val="22"/>
        </w:rPr>
        <w:t xml:space="preserve"> </w:t>
      </w:r>
      <w:r w:rsidRPr="0031675F">
        <w:rPr>
          <w:spacing w:val="-1"/>
        </w:rPr>
        <w:t>for</w:t>
      </w:r>
      <w:r w:rsidRPr="0031675F">
        <w:rPr>
          <w:spacing w:val="21"/>
        </w:rPr>
        <w:t xml:space="preserve"> </w:t>
      </w:r>
      <w:r w:rsidRPr="0031675F">
        <w:rPr>
          <w:spacing w:val="-1"/>
        </w:rPr>
        <w:t>digestion.</w:t>
      </w:r>
      <w:r w:rsidRPr="0031675F">
        <w:rPr>
          <w:spacing w:val="42"/>
        </w:rPr>
        <w:t xml:space="preserve"> </w:t>
      </w:r>
      <w:r w:rsidRPr="0031675F">
        <w:rPr>
          <w:spacing w:val="-1"/>
        </w:rPr>
        <w:t>After</w:t>
      </w:r>
      <w:r w:rsidRPr="0031675F">
        <w:rPr>
          <w:spacing w:val="21"/>
        </w:rPr>
        <w:t xml:space="preserve"> </w:t>
      </w:r>
      <w:r w:rsidRPr="0031675F">
        <w:t>the</w:t>
      </w:r>
      <w:r w:rsidRPr="0031675F">
        <w:rPr>
          <w:spacing w:val="22"/>
        </w:rPr>
        <w:t xml:space="preserve"> </w:t>
      </w:r>
      <w:r w:rsidRPr="0031675F">
        <w:rPr>
          <w:spacing w:val="-1"/>
        </w:rPr>
        <w:t>digestion</w:t>
      </w:r>
      <w:r w:rsidRPr="0031675F">
        <w:rPr>
          <w:spacing w:val="21"/>
        </w:rPr>
        <w:t xml:space="preserve"> </w:t>
      </w:r>
      <w:r w:rsidRPr="0031675F">
        <w:rPr>
          <w:spacing w:val="-1"/>
        </w:rPr>
        <w:t>step</w:t>
      </w:r>
      <w:r w:rsidRPr="0031675F">
        <w:rPr>
          <w:spacing w:val="21"/>
        </w:rPr>
        <w:t xml:space="preserve"> </w:t>
      </w:r>
      <w:r w:rsidRPr="0031675F">
        <w:t>they</w:t>
      </w:r>
      <w:r w:rsidRPr="0031675F">
        <w:rPr>
          <w:spacing w:val="20"/>
        </w:rPr>
        <w:t xml:space="preserve"> </w:t>
      </w:r>
      <w:r w:rsidRPr="0031675F">
        <w:t>may</w:t>
      </w:r>
      <w:r w:rsidRPr="0031675F">
        <w:rPr>
          <w:spacing w:val="22"/>
        </w:rPr>
        <w:t xml:space="preserve"> </w:t>
      </w:r>
      <w:r w:rsidRPr="0031675F">
        <w:rPr>
          <w:spacing w:val="-1"/>
        </w:rPr>
        <w:t>be</w:t>
      </w:r>
      <w:r w:rsidRPr="0031675F">
        <w:rPr>
          <w:spacing w:val="28"/>
        </w:rPr>
        <w:t xml:space="preserve"> </w:t>
      </w:r>
      <w:r w:rsidRPr="0031675F">
        <w:rPr>
          <w:spacing w:val="-1"/>
        </w:rPr>
        <w:t>stored</w:t>
      </w:r>
      <w:r w:rsidRPr="0031675F">
        <w:rPr>
          <w:spacing w:val="21"/>
        </w:rPr>
        <w:t xml:space="preserve"> </w:t>
      </w:r>
      <w:r w:rsidRPr="0031675F">
        <w:t>in</w:t>
      </w:r>
      <w:r w:rsidRPr="0031675F">
        <w:rPr>
          <w:spacing w:val="18"/>
        </w:rPr>
        <w:t xml:space="preserve"> </w:t>
      </w:r>
      <w:r w:rsidRPr="0031675F">
        <w:t>a</w:t>
      </w:r>
      <w:r w:rsidRPr="0031675F">
        <w:rPr>
          <w:spacing w:val="21"/>
        </w:rPr>
        <w:t xml:space="preserve"> </w:t>
      </w:r>
      <w:r w:rsidRPr="0031675F">
        <w:rPr>
          <w:spacing w:val="-1"/>
        </w:rPr>
        <w:t>covered,</w:t>
      </w:r>
      <w:r w:rsidRPr="0031675F">
        <w:rPr>
          <w:spacing w:val="21"/>
        </w:rPr>
        <w:t xml:space="preserve"> </w:t>
      </w:r>
      <w:r w:rsidRPr="0031675F">
        <w:rPr>
          <w:spacing w:val="-1"/>
        </w:rPr>
        <w:t>dust-free</w:t>
      </w:r>
      <w:r w:rsidRPr="0031675F">
        <w:rPr>
          <w:spacing w:val="73"/>
        </w:rPr>
        <w:t xml:space="preserve"> </w:t>
      </w:r>
      <w:r w:rsidRPr="0031675F">
        <w:rPr>
          <w:spacing w:val="-1"/>
        </w:rPr>
        <w:t>container</w:t>
      </w:r>
      <w:r w:rsidRPr="0031675F">
        <w:rPr>
          <w:spacing w:val="-2"/>
        </w:rPr>
        <w:t xml:space="preserve"> </w:t>
      </w:r>
      <w:r w:rsidRPr="0031675F">
        <w:t xml:space="preserve">at </w:t>
      </w:r>
      <w:r w:rsidRPr="0031675F">
        <w:rPr>
          <w:spacing w:val="-1"/>
        </w:rPr>
        <w:t>room</w:t>
      </w:r>
      <w:r w:rsidRPr="0031675F">
        <w:rPr>
          <w:spacing w:val="-2"/>
        </w:rPr>
        <w:t xml:space="preserve"> </w:t>
      </w:r>
      <w:r w:rsidRPr="0031675F">
        <w:rPr>
          <w:spacing w:val="-1"/>
        </w:rPr>
        <w:t>temperature</w:t>
      </w:r>
      <w:r w:rsidRPr="0031675F">
        <w:t xml:space="preserve"> </w:t>
      </w:r>
      <w:r w:rsidRPr="0031675F">
        <w:rPr>
          <w:spacing w:val="-1"/>
        </w:rPr>
        <w:t>for</w:t>
      </w:r>
      <w:r w:rsidRPr="0031675F">
        <w:t xml:space="preserve"> </w:t>
      </w:r>
      <w:r w:rsidRPr="0031675F">
        <w:rPr>
          <w:spacing w:val="-1"/>
        </w:rPr>
        <w:t>several</w:t>
      </w:r>
      <w:r w:rsidRPr="0031675F">
        <w:rPr>
          <w:spacing w:val="-3"/>
        </w:rPr>
        <w:t xml:space="preserve"> </w:t>
      </w:r>
      <w:r w:rsidRPr="0031675F">
        <w:rPr>
          <w:spacing w:val="-1"/>
        </w:rPr>
        <w:t>days.</w:t>
      </w:r>
    </w:p>
    <w:p w14:paraId="7C488B7E" w14:textId="77777777" w:rsidR="0031675F" w:rsidRPr="0031675F" w:rsidRDefault="0031675F" w:rsidP="0031675F">
      <w:pPr>
        <w:spacing w:before="1"/>
        <w:rPr>
          <w:rFonts w:cs="Calibri"/>
        </w:rPr>
      </w:pPr>
    </w:p>
    <w:p w14:paraId="061C4F39" w14:textId="77777777" w:rsidR="0031675F" w:rsidRPr="0031675F" w:rsidRDefault="0031675F" w:rsidP="0031675F">
      <w:pPr>
        <w:keepNext/>
        <w:widowControl w:val="0"/>
        <w:numPr>
          <w:ilvl w:val="3"/>
          <w:numId w:val="103"/>
        </w:numPr>
        <w:tabs>
          <w:tab w:val="left" w:pos="839"/>
        </w:tabs>
        <w:spacing w:before="0" w:after="0" w:line="240" w:lineRule="auto"/>
        <w:jc w:val="both"/>
        <w:rPr>
          <w:rFonts w:cs="Calibri"/>
        </w:rPr>
      </w:pPr>
      <w:r w:rsidRPr="0031675F">
        <w:rPr>
          <w:b/>
          <w:i/>
          <w:spacing w:val="-1"/>
        </w:rPr>
        <w:t>Reagents</w:t>
      </w:r>
    </w:p>
    <w:p w14:paraId="0717E74C" w14:textId="67E6A1C9" w:rsidR="0031675F" w:rsidRPr="00E817CB" w:rsidRDefault="0031675F" w:rsidP="0031675F">
      <w:pPr>
        <w:keepNext/>
        <w:spacing w:before="120"/>
        <w:ind w:left="118"/>
        <w:jc w:val="both"/>
        <w:rPr>
          <w:rFonts w:cs="Arial"/>
        </w:rPr>
      </w:pPr>
      <w:r w:rsidRPr="00E817CB">
        <w:rPr>
          <w:rFonts w:cs="Arial"/>
          <w:i/>
          <w:spacing w:val="-1"/>
        </w:rPr>
        <w:t>NB:</w:t>
      </w:r>
      <w:r w:rsidRPr="00E817CB">
        <w:rPr>
          <w:rFonts w:cs="Arial"/>
          <w:i/>
        </w:rPr>
        <w:t xml:space="preserve"> </w:t>
      </w:r>
      <w:r w:rsidRPr="00E817CB">
        <w:rPr>
          <w:rFonts w:cs="Arial"/>
          <w:i/>
          <w:spacing w:val="1"/>
        </w:rPr>
        <w:t xml:space="preserve"> </w:t>
      </w:r>
      <w:r w:rsidRPr="00E817CB">
        <w:rPr>
          <w:rFonts w:cs="Arial"/>
          <w:i/>
          <w:spacing w:val="-1"/>
        </w:rPr>
        <w:t>All</w:t>
      </w:r>
      <w:r w:rsidRPr="00E817CB">
        <w:rPr>
          <w:rFonts w:cs="Arial"/>
          <w:i/>
        </w:rPr>
        <w:t xml:space="preserve"> </w:t>
      </w:r>
      <w:r w:rsidRPr="00E817CB">
        <w:rPr>
          <w:rFonts w:cs="Arial"/>
          <w:i/>
          <w:spacing w:val="-1"/>
        </w:rPr>
        <w:t>deionised</w:t>
      </w:r>
      <w:r w:rsidRPr="00E817CB">
        <w:rPr>
          <w:rFonts w:cs="Arial"/>
          <w:i/>
        </w:rPr>
        <w:t xml:space="preserve"> </w:t>
      </w:r>
      <w:r w:rsidRPr="00E817CB">
        <w:rPr>
          <w:rFonts w:cs="Arial"/>
          <w:i/>
          <w:spacing w:val="-1"/>
        </w:rPr>
        <w:t>water</w:t>
      </w:r>
      <w:r w:rsidRPr="00E817CB">
        <w:rPr>
          <w:rFonts w:cs="Arial"/>
          <w:i/>
          <w:spacing w:val="1"/>
        </w:rPr>
        <w:t xml:space="preserve"> </w:t>
      </w:r>
      <w:r w:rsidRPr="00E817CB">
        <w:rPr>
          <w:rFonts w:cs="Arial"/>
          <w:i/>
          <w:spacing w:val="-2"/>
        </w:rPr>
        <w:t xml:space="preserve">is </w:t>
      </w:r>
      <w:r w:rsidRPr="00E817CB">
        <w:rPr>
          <w:rFonts w:cs="Arial"/>
          <w:i/>
          <w:spacing w:val="-1"/>
        </w:rPr>
        <w:t>18</w:t>
      </w:r>
      <w:r w:rsidR="00E817CB">
        <w:rPr>
          <w:rFonts w:cs="Arial"/>
          <w:i/>
          <w:spacing w:val="-1"/>
        </w:rPr>
        <w:t xml:space="preserve"> </w:t>
      </w:r>
      <w:r w:rsidRPr="00E817CB">
        <w:rPr>
          <w:rFonts w:cs="Arial"/>
          <w:i/>
          <w:spacing w:val="-1"/>
        </w:rPr>
        <w:t>MΩ</w:t>
      </w:r>
      <w:r w:rsidRPr="00E817CB">
        <w:rPr>
          <w:rFonts w:cs="Arial"/>
          <w:i/>
          <w:spacing w:val="-11"/>
        </w:rPr>
        <w:t xml:space="preserve"> </w:t>
      </w:r>
      <w:r w:rsidRPr="00E817CB">
        <w:rPr>
          <w:rFonts w:cs="Arial"/>
          <w:i/>
          <w:spacing w:val="-1"/>
        </w:rPr>
        <w:t>quality</w:t>
      </w:r>
    </w:p>
    <w:p w14:paraId="15730436" w14:textId="158946EC" w:rsidR="0031675F" w:rsidRPr="00E817CB" w:rsidRDefault="0031675F" w:rsidP="0031675F">
      <w:pPr>
        <w:keepNext/>
        <w:widowControl w:val="0"/>
        <w:numPr>
          <w:ilvl w:val="0"/>
          <w:numId w:val="101"/>
        </w:numPr>
        <w:tabs>
          <w:tab w:val="left" w:pos="479"/>
        </w:tabs>
        <w:spacing w:before="0" w:after="0" w:line="240" w:lineRule="auto"/>
        <w:jc w:val="both"/>
        <w:rPr>
          <w:rFonts w:cs="Arial"/>
        </w:rPr>
      </w:pPr>
      <w:r w:rsidRPr="00E817CB">
        <w:rPr>
          <w:rFonts w:cs="Arial"/>
          <w:spacing w:val="-1"/>
        </w:rPr>
        <w:t>Potassium</w:t>
      </w:r>
      <w:r w:rsidRPr="00E817CB">
        <w:rPr>
          <w:rFonts w:cs="Arial"/>
        </w:rPr>
        <w:t xml:space="preserve"> </w:t>
      </w:r>
      <w:r w:rsidR="00CC6786" w:rsidRPr="00E817CB">
        <w:rPr>
          <w:rFonts w:cs="Arial"/>
          <w:spacing w:val="-1"/>
        </w:rPr>
        <w:t>Persulf</w:t>
      </w:r>
      <w:r w:rsidRPr="00E817CB">
        <w:rPr>
          <w:rFonts w:cs="Arial"/>
          <w:spacing w:val="-1"/>
        </w:rPr>
        <w:t>ate:</w:t>
      </w:r>
      <w:r w:rsidRPr="00E817CB">
        <w:rPr>
          <w:rFonts w:cs="Arial"/>
          <w:spacing w:val="49"/>
        </w:rPr>
        <w:t xml:space="preserve"> </w:t>
      </w:r>
      <w:r w:rsidRPr="00E817CB">
        <w:rPr>
          <w:rFonts w:cs="Arial"/>
        </w:rPr>
        <w:t>5</w:t>
      </w:r>
      <w:r w:rsidR="00E817CB">
        <w:rPr>
          <w:rFonts w:cs="Arial"/>
        </w:rPr>
        <w:t xml:space="preserve"> </w:t>
      </w:r>
      <w:r w:rsidRPr="00E817CB">
        <w:rPr>
          <w:rFonts w:cs="Arial"/>
        </w:rPr>
        <w:t>g</w:t>
      </w:r>
      <w:r w:rsidRPr="00E817CB">
        <w:rPr>
          <w:rFonts w:cs="Arial"/>
          <w:spacing w:val="-3"/>
        </w:rPr>
        <w:t xml:space="preserve"> </w:t>
      </w:r>
      <w:r w:rsidRPr="00E817CB">
        <w:rPr>
          <w:rFonts w:cs="Arial"/>
        </w:rPr>
        <w:t>of</w:t>
      </w:r>
      <w:r w:rsidRPr="00E817CB">
        <w:rPr>
          <w:rFonts w:cs="Arial"/>
          <w:spacing w:val="-3"/>
        </w:rPr>
        <w:t xml:space="preserve"> </w:t>
      </w:r>
      <w:r w:rsidRPr="00E817CB">
        <w:rPr>
          <w:rFonts w:cs="Arial"/>
          <w:spacing w:val="-1"/>
        </w:rPr>
        <w:t>K</w:t>
      </w:r>
      <w:r w:rsidR="00E817CB" w:rsidRPr="00E817CB">
        <w:rPr>
          <w:rFonts w:cs="Arial"/>
          <w:spacing w:val="-1"/>
          <w:vertAlign w:val="subscript"/>
        </w:rPr>
        <w:t>2</w:t>
      </w:r>
      <w:r w:rsidRPr="00E817CB">
        <w:rPr>
          <w:rFonts w:cs="Arial"/>
          <w:spacing w:val="-1"/>
        </w:rPr>
        <w:t>S</w:t>
      </w:r>
      <w:r w:rsidR="00E817CB" w:rsidRPr="00E817CB">
        <w:rPr>
          <w:rFonts w:cs="Arial"/>
          <w:spacing w:val="-1"/>
          <w:vertAlign w:val="subscript"/>
        </w:rPr>
        <w:t>2</w:t>
      </w:r>
      <w:r w:rsidRPr="00E817CB">
        <w:rPr>
          <w:rFonts w:cs="Arial"/>
          <w:spacing w:val="-1"/>
        </w:rPr>
        <w:t>O</w:t>
      </w:r>
      <w:r w:rsidR="00E817CB" w:rsidRPr="00E817CB">
        <w:rPr>
          <w:rFonts w:cs="Arial"/>
          <w:spacing w:val="-1"/>
          <w:vertAlign w:val="subscript"/>
        </w:rPr>
        <w:t>8</w:t>
      </w:r>
      <w:r w:rsidRPr="00E817CB">
        <w:rPr>
          <w:rFonts w:cs="Arial"/>
          <w:spacing w:val="18"/>
          <w:position w:val="-6"/>
        </w:rPr>
        <w:t xml:space="preserve"> </w:t>
      </w:r>
      <w:r w:rsidRPr="00E817CB">
        <w:rPr>
          <w:rFonts w:cs="Arial"/>
        </w:rPr>
        <w:t>in</w:t>
      </w:r>
      <w:r w:rsidRPr="00E817CB">
        <w:rPr>
          <w:rFonts w:cs="Arial"/>
          <w:spacing w:val="-1"/>
        </w:rPr>
        <w:t xml:space="preserve"> </w:t>
      </w:r>
      <w:r w:rsidRPr="00E817CB">
        <w:rPr>
          <w:rFonts w:cs="Arial"/>
        </w:rPr>
        <w:t>100</w:t>
      </w:r>
      <w:r w:rsidR="00E817CB">
        <w:rPr>
          <w:rFonts w:cs="Arial"/>
        </w:rPr>
        <w:t xml:space="preserve"> </w:t>
      </w:r>
      <w:r w:rsidRPr="00E817CB">
        <w:rPr>
          <w:rFonts w:cs="Arial"/>
        </w:rPr>
        <w:t>g</w:t>
      </w:r>
      <w:r w:rsidRPr="00E817CB">
        <w:rPr>
          <w:rFonts w:cs="Arial"/>
          <w:spacing w:val="-3"/>
        </w:rPr>
        <w:t xml:space="preserve"> </w:t>
      </w:r>
      <w:r w:rsidRPr="00E817CB">
        <w:rPr>
          <w:rFonts w:cs="Arial"/>
        </w:rPr>
        <w:t xml:space="preserve">of </w:t>
      </w:r>
      <w:r w:rsidRPr="00E817CB">
        <w:rPr>
          <w:rFonts w:cs="Arial"/>
          <w:spacing w:val="-2"/>
        </w:rPr>
        <w:t>deionised</w:t>
      </w:r>
      <w:r w:rsidRPr="00E817CB">
        <w:rPr>
          <w:rFonts w:cs="Arial"/>
          <w:spacing w:val="-1"/>
        </w:rPr>
        <w:t xml:space="preserve"> water</w:t>
      </w:r>
      <w:r w:rsidRPr="00E817CB">
        <w:rPr>
          <w:rFonts w:cs="Arial"/>
        </w:rPr>
        <w:t xml:space="preserve"> </w:t>
      </w:r>
      <w:r w:rsidRPr="00E817CB">
        <w:rPr>
          <w:rFonts w:cs="Arial"/>
          <w:spacing w:val="-2"/>
        </w:rPr>
        <w:t>(DiW).</w:t>
      </w:r>
      <w:r w:rsidRPr="00E817CB">
        <w:rPr>
          <w:rFonts w:cs="Arial"/>
        </w:rPr>
        <w:t xml:space="preserve"> </w:t>
      </w:r>
      <w:r w:rsidRPr="00E817CB">
        <w:rPr>
          <w:rFonts w:cs="Arial"/>
          <w:spacing w:val="-1"/>
        </w:rPr>
        <w:t>Make</w:t>
      </w:r>
      <w:r w:rsidRPr="00E817CB">
        <w:rPr>
          <w:rFonts w:cs="Arial"/>
        </w:rPr>
        <w:t xml:space="preserve"> </w:t>
      </w:r>
      <w:r w:rsidRPr="00E817CB">
        <w:rPr>
          <w:rFonts w:cs="Arial"/>
          <w:spacing w:val="-2"/>
        </w:rPr>
        <w:t>fresh</w:t>
      </w:r>
      <w:r w:rsidRPr="00E817CB">
        <w:rPr>
          <w:rFonts w:cs="Arial"/>
          <w:spacing w:val="-1"/>
        </w:rPr>
        <w:t xml:space="preserve"> daily.</w:t>
      </w:r>
    </w:p>
    <w:p w14:paraId="475B125D" w14:textId="77777777" w:rsidR="0031675F" w:rsidRPr="00E817CB" w:rsidRDefault="0031675F" w:rsidP="0031675F">
      <w:pPr>
        <w:widowControl w:val="0"/>
        <w:numPr>
          <w:ilvl w:val="0"/>
          <w:numId w:val="101"/>
        </w:numPr>
        <w:tabs>
          <w:tab w:val="left" w:pos="479"/>
        </w:tabs>
        <w:spacing w:before="0" w:after="0" w:line="240" w:lineRule="auto"/>
        <w:jc w:val="both"/>
        <w:rPr>
          <w:rFonts w:cs="Arial"/>
        </w:rPr>
      </w:pPr>
      <w:r w:rsidRPr="00E817CB">
        <w:rPr>
          <w:rFonts w:cs="Arial"/>
          <w:spacing w:val="-1"/>
        </w:rPr>
        <w:t>Colour</w:t>
      </w:r>
      <w:r w:rsidRPr="00E817CB">
        <w:rPr>
          <w:rFonts w:cs="Arial"/>
          <w:spacing w:val="-3"/>
        </w:rPr>
        <w:t xml:space="preserve"> </w:t>
      </w:r>
      <w:r w:rsidRPr="00E817CB">
        <w:rPr>
          <w:rFonts w:cs="Arial"/>
          <w:spacing w:val="-1"/>
        </w:rPr>
        <w:t>Reagent:</w:t>
      </w:r>
    </w:p>
    <w:p w14:paraId="0BDC41F2" w14:textId="4A342796" w:rsidR="0031675F" w:rsidRPr="00E817CB" w:rsidRDefault="0031675F" w:rsidP="0031675F">
      <w:pPr>
        <w:widowControl w:val="0"/>
        <w:numPr>
          <w:ilvl w:val="1"/>
          <w:numId w:val="101"/>
        </w:numPr>
        <w:tabs>
          <w:tab w:val="left" w:pos="971"/>
        </w:tabs>
        <w:spacing w:before="2" w:after="0" w:line="237" w:lineRule="auto"/>
        <w:ind w:right="654" w:hanging="424"/>
        <w:jc w:val="both"/>
        <w:rPr>
          <w:rFonts w:cs="Arial"/>
        </w:rPr>
      </w:pPr>
      <w:r w:rsidRPr="00E817CB">
        <w:rPr>
          <w:rFonts w:cs="Arial"/>
          <w:spacing w:val="-1"/>
        </w:rPr>
        <w:t>Ammonium</w:t>
      </w:r>
      <w:r w:rsidRPr="00E817CB">
        <w:rPr>
          <w:rFonts w:cs="Arial"/>
          <w:spacing w:val="10"/>
        </w:rPr>
        <w:t xml:space="preserve"> </w:t>
      </w:r>
      <w:r w:rsidRPr="00E817CB">
        <w:rPr>
          <w:rFonts w:cs="Arial"/>
          <w:spacing w:val="-1"/>
        </w:rPr>
        <w:t>Molybdate</w:t>
      </w:r>
      <w:r w:rsidRPr="00E817CB">
        <w:rPr>
          <w:rFonts w:cs="Arial"/>
          <w:spacing w:val="12"/>
        </w:rPr>
        <w:t xml:space="preserve"> </w:t>
      </w:r>
      <w:r w:rsidRPr="00E817CB">
        <w:rPr>
          <w:rFonts w:cs="Arial"/>
        </w:rPr>
        <w:t>-</w:t>
      </w:r>
      <w:r w:rsidRPr="00E817CB">
        <w:rPr>
          <w:rFonts w:cs="Arial"/>
          <w:spacing w:val="7"/>
        </w:rPr>
        <w:t xml:space="preserve"> </w:t>
      </w:r>
      <w:r w:rsidRPr="00E817CB">
        <w:rPr>
          <w:rFonts w:cs="Arial"/>
          <w:spacing w:val="-1"/>
        </w:rPr>
        <w:t>15</w:t>
      </w:r>
      <w:r w:rsidRPr="00E817CB">
        <w:rPr>
          <w:rFonts w:cs="Arial"/>
          <w:spacing w:val="10"/>
        </w:rPr>
        <w:t xml:space="preserve"> </w:t>
      </w:r>
      <w:r w:rsidRPr="00E817CB">
        <w:rPr>
          <w:rFonts w:cs="Arial"/>
        </w:rPr>
        <w:t>g</w:t>
      </w:r>
      <w:r w:rsidRPr="00E817CB">
        <w:rPr>
          <w:rFonts w:cs="Arial"/>
          <w:spacing w:val="8"/>
        </w:rPr>
        <w:t xml:space="preserve"> </w:t>
      </w:r>
      <w:r w:rsidRPr="00E817CB">
        <w:rPr>
          <w:rFonts w:cs="Arial"/>
        </w:rPr>
        <w:t>of</w:t>
      </w:r>
      <w:r w:rsidRPr="00E817CB">
        <w:rPr>
          <w:rFonts w:cs="Arial"/>
          <w:spacing w:val="7"/>
        </w:rPr>
        <w:t xml:space="preserve"> </w:t>
      </w:r>
      <w:r w:rsidRPr="00E817CB">
        <w:rPr>
          <w:rFonts w:cs="Arial"/>
          <w:spacing w:val="-1"/>
        </w:rPr>
        <w:t>(NH</w:t>
      </w:r>
      <w:r w:rsidRPr="00E817CB">
        <w:rPr>
          <w:rFonts w:cs="Arial"/>
          <w:spacing w:val="-1"/>
          <w:position w:val="-6"/>
        </w:rPr>
        <w:t>4</w:t>
      </w:r>
      <w:r w:rsidRPr="00E817CB">
        <w:rPr>
          <w:rFonts w:cs="Arial"/>
          <w:spacing w:val="-1"/>
        </w:rPr>
        <w:t>)</w:t>
      </w:r>
      <w:r w:rsidRPr="00E817CB">
        <w:rPr>
          <w:rFonts w:cs="Arial"/>
          <w:spacing w:val="-1"/>
          <w:position w:val="-6"/>
        </w:rPr>
        <w:t>6</w:t>
      </w:r>
      <w:r w:rsidRPr="00E817CB">
        <w:rPr>
          <w:rFonts w:cs="Arial"/>
          <w:spacing w:val="-1"/>
        </w:rPr>
        <w:t>Mo</w:t>
      </w:r>
      <w:r w:rsidRPr="00E817CB">
        <w:rPr>
          <w:rFonts w:cs="Arial"/>
          <w:spacing w:val="-1"/>
          <w:position w:val="-6"/>
        </w:rPr>
        <w:t>7</w:t>
      </w:r>
      <w:r w:rsidRPr="00E817CB">
        <w:rPr>
          <w:rFonts w:cs="Arial"/>
          <w:spacing w:val="-1"/>
        </w:rPr>
        <w:t>O</w:t>
      </w:r>
      <w:r w:rsidRPr="00E817CB">
        <w:rPr>
          <w:rFonts w:cs="Arial"/>
          <w:spacing w:val="-1"/>
          <w:position w:val="-6"/>
        </w:rPr>
        <w:t>24</w:t>
      </w:r>
      <w:r w:rsidRPr="00E817CB">
        <w:rPr>
          <w:rFonts w:cs="Arial"/>
          <w:spacing w:val="27"/>
          <w:position w:val="-6"/>
        </w:rPr>
        <w:t xml:space="preserve"> </w:t>
      </w:r>
      <w:r w:rsidRPr="00E817CB">
        <w:rPr>
          <w:rFonts w:cs="Arial"/>
        </w:rPr>
        <w:t>in</w:t>
      </w:r>
      <w:r w:rsidRPr="00E817CB">
        <w:rPr>
          <w:rFonts w:cs="Arial"/>
          <w:spacing w:val="7"/>
        </w:rPr>
        <w:t xml:space="preserve"> </w:t>
      </w:r>
      <w:r w:rsidRPr="00E817CB">
        <w:rPr>
          <w:rFonts w:cs="Arial"/>
        </w:rPr>
        <w:t>500</w:t>
      </w:r>
      <w:r w:rsidRPr="00E817CB">
        <w:rPr>
          <w:rFonts w:cs="Arial"/>
          <w:spacing w:val="8"/>
        </w:rPr>
        <w:t xml:space="preserve"> </w:t>
      </w:r>
      <w:r w:rsidR="00BB13FD" w:rsidRPr="00E817CB">
        <w:rPr>
          <w:rFonts w:cs="Arial"/>
        </w:rPr>
        <w:t>mL</w:t>
      </w:r>
      <w:r w:rsidRPr="00E817CB">
        <w:rPr>
          <w:rFonts w:cs="Arial"/>
          <w:spacing w:val="7"/>
        </w:rPr>
        <w:t xml:space="preserve"> </w:t>
      </w:r>
      <w:r w:rsidRPr="00E817CB">
        <w:rPr>
          <w:rFonts w:cs="Arial"/>
        </w:rPr>
        <w:t>of</w:t>
      </w:r>
      <w:r w:rsidRPr="00E817CB">
        <w:rPr>
          <w:rFonts w:cs="Arial"/>
          <w:spacing w:val="7"/>
        </w:rPr>
        <w:t xml:space="preserve"> </w:t>
      </w:r>
      <w:r w:rsidRPr="00E817CB">
        <w:rPr>
          <w:rFonts w:cs="Arial"/>
        </w:rPr>
        <w:t xml:space="preserve">DiW. </w:t>
      </w:r>
      <w:r w:rsidRPr="00E817CB">
        <w:rPr>
          <w:rFonts w:cs="Arial"/>
          <w:spacing w:val="26"/>
        </w:rPr>
        <w:t xml:space="preserve"> </w:t>
      </w:r>
      <w:r w:rsidRPr="00E817CB">
        <w:rPr>
          <w:rFonts w:cs="Arial"/>
          <w:spacing w:val="-1"/>
        </w:rPr>
        <w:t>Reasonably</w:t>
      </w:r>
      <w:r w:rsidRPr="00E817CB">
        <w:rPr>
          <w:rFonts w:cs="Arial"/>
          <w:spacing w:val="10"/>
        </w:rPr>
        <w:t xml:space="preserve"> </w:t>
      </w:r>
      <w:r w:rsidRPr="00E817CB">
        <w:rPr>
          <w:rFonts w:cs="Arial"/>
          <w:spacing w:val="-1"/>
        </w:rPr>
        <w:t>stable.</w:t>
      </w:r>
      <w:r w:rsidRPr="00E817CB">
        <w:rPr>
          <w:rFonts w:cs="Arial"/>
          <w:spacing w:val="47"/>
        </w:rPr>
        <w:t xml:space="preserve"> </w:t>
      </w:r>
      <w:r w:rsidRPr="00E817CB">
        <w:rPr>
          <w:rFonts w:cs="Arial"/>
        </w:rPr>
        <w:t>If</w:t>
      </w:r>
      <w:r w:rsidRPr="00E817CB">
        <w:rPr>
          <w:rFonts w:cs="Arial"/>
          <w:spacing w:val="9"/>
        </w:rPr>
        <w:t xml:space="preserve"> </w:t>
      </w:r>
      <w:r w:rsidRPr="00E817CB">
        <w:rPr>
          <w:rFonts w:cs="Arial"/>
          <w:spacing w:val="-1"/>
        </w:rPr>
        <w:t>kept</w:t>
      </w:r>
      <w:r w:rsidRPr="00E817CB">
        <w:rPr>
          <w:rFonts w:cs="Arial"/>
          <w:spacing w:val="10"/>
        </w:rPr>
        <w:t xml:space="preserve"> </w:t>
      </w:r>
      <w:r w:rsidRPr="00E817CB">
        <w:rPr>
          <w:rFonts w:cs="Arial"/>
          <w:spacing w:val="-1"/>
        </w:rPr>
        <w:t>for</w:t>
      </w:r>
      <w:r w:rsidRPr="00E817CB">
        <w:rPr>
          <w:rFonts w:cs="Arial"/>
          <w:spacing w:val="9"/>
        </w:rPr>
        <w:t xml:space="preserve"> </w:t>
      </w:r>
      <w:r w:rsidRPr="00E817CB">
        <w:rPr>
          <w:rFonts w:cs="Arial"/>
          <w:spacing w:val="-1"/>
        </w:rPr>
        <w:t>too</w:t>
      </w:r>
      <w:r w:rsidRPr="00E817CB">
        <w:rPr>
          <w:rFonts w:cs="Arial"/>
          <w:spacing w:val="11"/>
        </w:rPr>
        <w:t xml:space="preserve"> </w:t>
      </w:r>
      <w:r w:rsidRPr="00E817CB">
        <w:rPr>
          <w:rFonts w:cs="Arial"/>
          <w:spacing w:val="-1"/>
        </w:rPr>
        <w:t>long,</w:t>
      </w:r>
      <w:r w:rsidRPr="00E817CB">
        <w:rPr>
          <w:rFonts w:cs="Arial"/>
          <w:spacing w:val="10"/>
        </w:rPr>
        <w:t xml:space="preserve"> </w:t>
      </w:r>
      <w:r w:rsidRPr="00E817CB">
        <w:rPr>
          <w:rFonts w:cs="Arial"/>
        </w:rPr>
        <w:t>a</w:t>
      </w:r>
      <w:r w:rsidRPr="00E817CB">
        <w:rPr>
          <w:rFonts w:cs="Arial"/>
          <w:spacing w:val="9"/>
        </w:rPr>
        <w:t xml:space="preserve"> </w:t>
      </w:r>
      <w:r w:rsidRPr="00E817CB">
        <w:rPr>
          <w:rFonts w:cs="Arial"/>
          <w:spacing w:val="-1"/>
        </w:rPr>
        <w:t>precipitate</w:t>
      </w:r>
      <w:r w:rsidRPr="00E817CB">
        <w:rPr>
          <w:rFonts w:cs="Arial"/>
          <w:spacing w:val="10"/>
        </w:rPr>
        <w:t xml:space="preserve"> </w:t>
      </w:r>
      <w:r w:rsidRPr="00E817CB">
        <w:rPr>
          <w:rFonts w:cs="Arial"/>
        </w:rPr>
        <w:t>will</w:t>
      </w:r>
      <w:r w:rsidRPr="00E817CB">
        <w:rPr>
          <w:rFonts w:cs="Arial"/>
          <w:spacing w:val="9"/>
        </w:rPr>
        <w:t xml:space="preserve"> </w:t>
      </w:r>
      <w:r w:rsidRPr="00E817CB">
        <w:rPr>
          <w:rFonts w:cs="Arial"/>
          <w:spacing w:val="-1"/>
        </w:rPr>
        <w:t>form.</w:t>
      </w:r>
      <w:r w:rsidRPr="00E817CB">
        <w:rPr>
          <w:rFonts w:cs="Arial"/>
          <w:spacing w:val="19"/>
        </w:rPr>
        <w:t xml:space="preserve"> </w:t>
      </w:r>
      <w:r w:rsidRPr="00E817CB">
        <w:rPr>
          <w:rFonts w:cs="Arial"/>
        </w:rPr>
        <w:t>If</w:t>
      </w:r>
      <w:r w:rsidRPr="00E817CB">
        <w:rPr>
          <w:rFonts w:cs="Arial"/>
          <w:spacing w:val="9"/>
        </w:rPr>
        <w:t xml:space="preserve"> </w:t>
      </w:r>
      <w:r w:rsidRPr="00E817CB">
        <w:rPr>
          <w:rFonts w:cs="Arial"/>
          <w:spacing w:val="-1"/>
        </w:rPr>
        <w:t>this</w:t>
      </w:r>
      <w:r w:rsidRPr="00E817CB">
        <w:rPr>
          <w:rFonts w:cs="Arial"/>
          <w:spacing w:val="10"/>
        </w:rPr>
        <w:t xml:space="preserve"> </w:t>
      </w:r>
      <w:r w:rsidRPr="00E817CB">
        <w:rPr>
          <w:rFonts w:cs="Arial"/>
          <w:spacing w:val="-1"/>
        </w:rPr>
        <w:t>happens,</w:t>
      </w:r>
      <w:r w:rsidRPr="00E817CB">
        <w:rPr>
          <w:rFonts w:cs="Arial"/>
          <w:spacing w:val="9"/>
        </w:rPr>
        <w:t xml:space="preserve"> </w:t>
      </w:r>
      <w:r w:rsidRPr="00E817CB">
        <w:rPr>
          <w:rFonts w:cs="Arial"/>
          <w:spacing w:val="-1"/>
        </w:rPr>
        <w:t>discard</w:t>
      </w:r>
      <w:r w:rsidRPr="00E817CB">
        <w:rPr>
          <w:rFonts w:cs="Arial"/>
          <w:spacing w:val="8"/>
        </w:rPr>
        <w:t xml:space="preserve"> </w:t>
      </w:r>
      <w:r w:rsidRPr="00E817CB">
        <w:rPr>
          <w:rFonts w:cs="Arial"/>
        </w:rPr>
        <w:t>it</w:t>
      </w:r>
      <w:r w:rsidRPr="00E817CB">
        <w:rPr>
          <w:rFonts w:cs="Arial"/>
          <w:spacing w:val="10"/>
        </w:rPr>
        <w:t xml:space="preserve"> </w:t>
      </w:r>
      <w:r w:rsidRPr="00E817CB">
        <w:rPr>
          <w:rFonts w:cs="Arial"/>
          <w:spacing w:val="-1"/>
        </w:rPr>
        <w:t>and</w:t>
      </w:r>
      <w:r w:rsidRPr="00E817CB">
        <w:rPr>
          <w:rFonts w:cs="Arial"/>
          <w:spacing w:val="9"/>
        </w:rPr>
        <w:t xml:space="preserve"> </w:t>
      </w:r>
      <w:r w:rsidRPr="00E817CB">
        <w:rPr>
          <w:rFonts w:cs="Arial"/>
          <w:spacing w:val="-1"/>
        </w:rPr>
        <w:t>make</w:t>
      </w:r>
      <w:r w:rsidRPr="00E817CB">
        <w:rPr>
          <w:rFonts w:cs="Arial"/>
          <w:spacing w:val="8"/>
        </w:rPr>
        <w:t xml:space="preserve"> </w:t>
      </w:r>
      <w:r w:rsidRPr="00E817CB">
        <w:rPr>
          <w:rFonts w:cs="Arial"/>
          <w:spacing w:val="-1"/>
        </w:rPr>
        <w:t>up</w:t>
      </w:r>
      <w:r w:rsidRPr="00E817CB">
        <w:rPr>
          <w:rFonts w:cs="Arial"/>
          <w:spacing w:val="9"/>
        </w:rPr>
        <w:t xml:space="preserve"> </w:t>
      </w:r>
      <w:r w:rsidRPr="00E817CB">
        <w:rPr>
          <w:rFonts w:cs="Arial"/>
        </w:rPr>
        <w:t>a</w:t>
      </w:r>
      <w:r w:rsidRPr="00E817CB">
        <w:rPr>
          <w:rFonts w:cs="Arial"/>
          <w:spacing w:val="51"/>
        </w:rPr>
        <w:t xml:space="preserve"> </w:t>
      </w:r>
      <w:r w:rsidRPr="00E817CB">
        <w:rPr>
          <w:rFonts w:cs="Arial"/>
          <w:spacing w:val="-1"/>
        </w:rPr>
        <w:t>fresh</w:t>
      </w:r>
      <w:r w:rsidRPr="00E817CB">
        <w:rPr>
          <w:rFonts w:cs="Arial"/>
        </w:rPr>
        <w:t xml:space="preserve"> </w:t>
      </w:r>
      <w:r w:rsidRPr="00E817CB">
        <w:rPr>
          <w:rFonts w:cs="Arial"/>
          <w:spacing w:val="-1"/>
        </w:rPr>
        <w:t>solution,</w:t>
      </w:r>
      <w:r w:rsidRPr="00E817CB">
        <w:rPr>
          <w:rFonts w:cs="Arial"/>
          <w:spacing w:val="-2"/>
        </w:rPr>
        <w:t xml:space="preserve"> </w:t>
      </w:r>
      <w:r w:rsidRPr="00E817CB">
        <w:rPr>
          <w:rFonts w:cs="Arial"/>
          <w:spacing w:val="-1"/>
        </w:rPr>
        <w:t>though small</w:t>
      </w:r>
      <w:r w:rsidRPr="00E817CB">
        <w:rPr>
          <w:rFonts w:cs="Arial"/>
        </w:rPr>
        <w:t xml:space="preserve"> </w:t>
      </w:r>
      <w:r w:rsidRPr="00E817CB">
        <w:rPr>
          <w:rFonts w:cs="Arial"/>
          <w:spacing w:val="-1"/>
        </w:rPr>
        <w:t>amounts</w:t>
      </w:r>
      <w:r w:rsidRPr="00E817CB">
        <w:rPr>
          <w:rFonts w:cs="Arial"/>
          <w:spacing w:val="-2"/>
        </w:rPr>
        <w:t xml:space="preserve"> </w:t>
      </w:r>
      <w:r w:rsidRPr="00E817CB">
        <w:rPr>
          <w:rFonts w:cs="Arial"/>
        </w:rPr>
        <w:t xml:space="preserve">of </w:t>
      </w:r>
      <w:r w:rsidRPr="00E817CB">
        <w:rPr>
          <w:rFonts w:cs="Arial"/>
          <w:spacing w:val="-1"/>
        </w:rPr>
        <w:t>precipitate</w:t>
      </w:r>
      <w:r w:rsidRPr="00E817CB">
        <w:rPr>
          <w:rFonts w:cs="Arial"/>
          <w:spacing w:val="-2"/>
        </w:rPr>
        <w:t xml:space="preserve"> </w:t>
      </w:r>
      <w:r w:rsidRPr="00E817CB">
        <w:rPr>
          <w:rFonts w:cs="Arial"/>
          <w:spacing w:val="-1"/>
        </w:rPr>
        <w:t>will</w:t>
      </w:r>
      <w:r w:rsidRPr="00E817CB">
        <w:rPr>
          <w:rFonts w:cs="Arial"/>
        </w:rPr>
        <w:t xml:space="preserve"> </w:t>
      </w:r>
      <w:r w:rsidRPr="00E817CB">
        <w:rPr>
          <w:rFonts w:cs="Arial"/>
          <w:spacing w:val="-1"/>
        </w:rPr>
        <w:t>not</w:t>
      </w:r>
      <w:r w:rsidRPr="00E817CB">
        <w:rPr>
          <w:rFonts w:cs="Arial"/>
          <w:spacing w:val="1"/>
        </w:rPr>
        <w:t xml:space="preserve"> </w:t>
      </w:r>
      <w:r w:rsidRPr="00E817CB">
        <w:rPr>
          <w:rFonts w:cs="Arial"/>
          <w:spacing w:val="-1"/>
        </w:rPr>
        <w:t>affect</w:t>
      </w:r>
      <w:r w:rsidRPr="00E817CB">
        <w:rPr>
          <w:rFonts w:cs="Arial"/>
          <w:spacing w:val="-2"/>
        </w:rPr>
        <w:t xml:space="preserve"> </w:t>
      </w:r>
      <w:r w:rsidRPr="00E817CB">
        <w:rPr>
          <w:rFonts w:cs="Arial"/>
          <w:spacing w:val="-1"/>
        </w:rPr>
        <w:t>the</w:t>
      </w:r>
      <w:r w:rsidRPr="00E817CB">
        <w:rPr>
          <w:rFonts w:cs="Arial"/>
        </w:rPr>
        <w:t xml:space="preserve"> </w:t>
      </w:r>
      <w:r w:rsidRPr="00E817CB">
        <w:rPr>
          <w:rFonts w:cs="Arial"/>
          <w:spacing w:val="-1"/>
        </w:rPr>
        <w:t>analysis.</w:t>
      </w:r>
    </w:p>
    <w:p w14:paraId="1BDA9152" w14:textId="5FF07F19" w:rsidR="0031675F" w:rsidRPr="00E817CB" w:rsidRDefault="0031675F" w:rsidP="0031675F">
      <w:pPr>
        <w:widowControl w:val="0"/>
        <w:numPr>
          <w:ilvl w:val="1"/>
          <w:numId w:val="101"/>
        </w:numPr>
        <w:tabs>
          <w:tab w:val="left" w:pos="971"/>
        </w:tabs>
        <w:spacing w:before="1" w:after="0" w:line="312" w:lineRule="exact"/>
        <w:ind w:hanging="424"/>
        <w:rPr>
          <w:rFonts w:cs="Arial"/>
        </w:rPr>
      </w:pPr>
      <w:r w:rsidRPr="00E817CB">
        <w:rPr>
          <w:rFonts w:cs="Arial"/>
          <w:spacing w:val="-1"/>
        </w:rPr>
        <w:t xml:space="preserve">Sulphuric Acid </w:t>
      </w:r>
      <w:r w:rsidRPr="00E817CB">
        <w:rPr>
          <w:rFonts w:cs="Arial"/>
        </w:rPr>
        <w:t xml:space="preserve">- </w:t>
      </w:r>
      <w:r w:rsidRPr="00E817CB">
        <w:rPr>
          <w:rFonts w:cs="Arial"/>
          <w:spacing w:val="-1"/>
        </w:rPr>
        <w:t>140</w:t>
      </w:r>
      <w:r w:rsidRPr="00E817CB">
        <w:rPr>
          <w:rFonts w:cs="Arial"/>
          <w:spacing w:val="-2"/>
        </w:rPr>
        <w:t xml:space="preserve"> </w:t>
      </w:r>
      <w:r w:rsidR="00BB13FD" w:rsidRPr="00E817CB">
        <w:rPr>
          <w:rFonts w:cs="Arial"/>
        </w:rPr>
        <w:t>mL</w:t>
      </w:r>
      <w:r w:rsidRPr="00E817CB">
        <w:rPr>
          <w:rFonts w:cs="Arial"/>
          <w:spacing w:val="-2"/>
        </w:rPr>
        <w:t xml:space="preserve"> </w:t>
      </w:r>
      <w:r w:rsidRPr="00E817CB">
        <w:rPr>
          <w:rFonts w:cs="Arial"/>
        </w:rPr>
        <w:t>of</w:t>
      </w:r>
      <w:r w:rsidRPr="00E817CB">
        <w:rPr>
          <w:rFonts w:cs="Arial"/>
          <w:spacing w:val="-2"/>
        </w:rPr>
        <w:t xml:space="preserve"> </w:t>
      </w:r>
      <w:r w:rsidRPr="00E817CB">
        <w:rPr>
          <w:rFonts w:cs="Arial"/>
          <w:spacing w:val="-1"/>
        </w:rPr>
        <w:t>H</w:t>
      </w:r>
      <w:r w:rsidRPr="00E817CB">
        <w:rPr>
          <w:rFonts w:cs="Arial"/>
          <w:spacing w:val="-1"/>
          <w:position w:val="-6"/>
        </w:rPr>
        <w:t>2</w:t>
      </w:r>
      <w:r w:rsidRPr="00E817CB">
        <w:rPr>
          <w:rFonts w:cs="Arial"/>
          <w:spacing w:val="-1"/>
        </w:rPr>
        <w:t>SO</w:t>
      </w:r>
      <w:r w:rsidRPr="00E817CB">
        <w:rPr>
          <w:rFonts w:cs="Arial"/>
          <w:spacing w:val="-1"/>
          <w:position w:val="-6"/>
        </w:rPr>
        <w:t>4</w:t>
      </w:r>
      <w:r w:rsidRPr="00E817CB">
        <w:rPr>
          <w:rFonts w:cs="Arial"/>
          <w:spacing w:val="17"/>
          <w:position w:val="-6"/>
        </w:rPr>
        <w:t xml:space="preserve"> </w:t>
      </w:r>
      <w:r w:rsidRPr="00E817CB">
        <w:rPr>
          <w:rFonts w:cs="Arial"/>
          <w:spacing w:val="-1"/>
        </w:rPr>
        <w:t xml:space="preserve">and </w:t>
      </w:r>
      <w:r w:rsidRPr="00E817CB">
        <w:rPr>
          <w:rFonts w:cs="Arial"/>
        </w:rPr>
        <w:t>900</w:t>
      </w:r>
      <w:r w:rsidRPr="00E817CB">
        <w:rPr>
          <w:rFonts w:cs="Arial"/>
          <w:spacing w:val="-2"/>
        </w:rPr>
        <w:t xml:space="preserve"> </w:t>
      </w:r>
      <w:r w:rsidR="00BB13FD" w:rsidRPr="00E817CB">
        <w:rPr>
          <w:rFonts w:cs="Arial"/>
        </w:rPr>
        <w:t>mL</w:t>
      </w:r>
      <w:r w:rsidRPr="00E817CB">
        <w:rPr>
          <w:rFonts w:cs="Arial"/>
          <w:spacing w:val="-2"/>
        </w:rPr>
        <w:t xml:space="preserve"> </w:t>
      </w:r>
      <w:r w:rsidRPr="00E817CB">
        <w:rPr>
          <w:rFonts w:cs="Arial"/>
        </w:rPr>
        <w:t>DiW.</w:t>
      </w:r>
      <w:r w:rsidRPr="00E817CB">
        <w:rPr>
          <w:rFonts w:cs="Arial"/>
          <w:spacing w:val="46"/>
        </w:rPr>
        <w:t xml:space="preserve"> </w:t>
      </w:r>
      <w:r w:rsidRPr="00E817CB">
        <w:rPr>
          <w:rFonts w:cs="Arial"/>
          <w:spacing w:val="-1"/>
        </w:rPr>
        <w:t>Stable.</w:t>
      </w:r>
    </w:p>
    <w:p w14:paraId="2B05B74E" w14:textId="3835E39E" w:rsidR="0031675F" w:rsidRPr="00E817CB" w:rsidRDefault="0031675F" w:rsidP="0031675F">
      <w:pPr>
        <w:widowControl w:val="0"/>
        <w:numPr>
          <w:ilvl w:val="1"/>
          <w:numId w:val="101"/>
        </w:numPr>
        <w:tabs>
          <w:tab w:val="left" w:pos="971"/>
        </w:tabs>
        <w:spacing w:before="0" w:after="0" w:line="234" w:lineRule="auto"/>
        <w:ind w:right="656" w:hanging="424"/>
        <w:rPr>
          <w:rFonts w:cs="Arial"/>
        </w:rPr>
      </w:pPr>
      <w:r w:rsidRPr="00E817CB">
        <w:rPr>
          <w:rFonts w:cs="Arial"/>
          <w:spacing w:val="-1"/>
        </w:rPr>
        <w:t>Ascorbic</w:t>
      </w:r>
      <w:r w:rsidRPr="00E817CB">
        <w:rPr>
          <w:rFonts w:cs="Arial"/>
          <w:spacing w:val="1"/>
        </w:rPr>
        <w:t xml:space="preserve"> </w:t>
      </w:r>
      <w:r w:rsidRPr="00E817CB">
        <w:rPr>
          <w:rFonts w:cs="Arial"/>
          <w:spacing w:val="-1"/>
        </w:rPr>
        <w:t>Acid</w:t>
      </w:r>
      <w:r w:rsidRPr="00E817CB">
        <w:rPr>
          <w:rFonts w:cs="Arial"/>
          <w:spacing w:val="2"/>
        </w:rPr>
        <w:t xml:space="preserve"> </w:t>
      </w:r>
      <w:r w:rsidRPr="00E817CB">
        <w:rPr>
          <w:rFonts w:cs="Arial"/>
        </w:rPr>
        <w:t>-</w:t>
      </w:r>
      <w:r w:rsidRPr="00E817CB">
        <w:rPr>
          <w:rFonts w:cs="Arial"/>
          <w:spacing w:val="3"/>
        </w:rPr>
        <w:t xml:space="preserve"> </w:t>
      </w:r>
      <w:r w:rsidRPr="00E817CB">
        <w:rPr>
          <w:rFonts w:cs="Arial"/>
          <w:spacing w:val="-1"/>
        </w:rPr>
        <w:t>2.4</w:t>
      </w:r>
      <w:r w:rsidRPr="00E817CB">
        <w:rPr>
          <w:rFonts w:cs="Arial"/>
          <w:spacing w:val="3"/>
        </w:rPr>
        <w:t xml:space="preserve"> </w:t>
      </w:r>
      <w:r w:rsidRPr="00E817CB">
        <w:rPr>
          <w:rFonts w:cs="Arial"/>
        </w:rPr>
        <w:t>g</w:t>
      </w:r>
      <w:r w:rsidRPr="00E817CB">
        <w:rPr>
          <w:rFonts w:cs="Arial"/>
          <w:spacing w:val="2"/>
        </w:rPr>
        <w:t xml:space="preserve"> </w:t>
      </w:r>
      <w:r w:rsidRPr="00E817CB">
        <w:rPr>
          <w:rFonts w:cs="Arial"/>
        </w:rPr>
        <w:t>of</w:t>
      </w:r>
      <w:r w:rsidRPr="00E817CB">
        <w:rPr>
          <w:rFonts w:cs="Arial"/>
          <w:spacing w:val="2"/>
        </w:rPr>
        <w:t xml:space="preserve"> </w:t>
      </w:r>
      <w:r w:rsidRPr="00E817CB">
        <w:rPr>
          <w:rFonts w:cs="Arial"/>
          <w:spacing w:val="-1"/>
        </w:rPr>
        <w:t>C</w:t>
      </w:r>
      <w:r w:rsidRPr="00E817CB">
        <w:rPr>
          <w:rFonts w:cs="Arial"/>
          <w:spacing w:val="-1"/>
          <w:position w:val="-6"/>
        </w:rPr>
        <w:t>6</w:t>
      </w:r>
      <w:r w:rsidRPr="00E817CB">
        <w:rPr>
          <w:rFonts w:cs="Arial"/>
          <w:spacing w:val="-1"/>
        </w:rPr>
        <w:t>H</w:t>
      </w:r>
      <w:r w:rsidRPr="00E817CB">
        <w:rPr>
          <w:rFonts w:cs="Arial"/>
          <w:spacing w:val="-1"/>
          <w:position w:val="-6"/>
        </w:rPr>
        <w:t>8</w:t>
      </w:r>
      <w:r w:rsidRPr="00E817CB">
        <w:rPr>
          <w:rFonts w:cs="Arial"/>
          <w:spacing w:val="-1"/>
        </w:rPr>
        <w:t>O</w:t>
      </w:r>
      <w:r w:rsidRPr="00E817CB">
        <w:rPr>
          <w:rFonts w:cs="Arial"/>
          <w:spacing w:val="-1"/>
          <w:position w:val="-6"/>
        </w:rPr>
        <w:t>6</w:t>
      </w:r>
      <w:r w:rsidRPr="00E817CB">
        <w:rPr>
          <w:rFonts w:cs="Arial"/>
          <w:spacing w:val="-1"/>
        </w:rPr>
        <w:t>in</w:t>
      </w:r>
      <w:r w:rsidRPr="00E817CB">
        <w:rPr>
          <w:rFonts w:cs="Arial"/>
          <w:spacing w:val="3"/>
        </w:rPr>
        <w:t xml:space="preserve"> </w:t>
      </w:r>
      <w:r w:rsidRPr="00E817CB">
        <w:rPr>
          <w:rFonts w:cs="Arial"/>
        </w:rPr>
        <w:t>50</w:t>
      </w:r>
      <w:r w:rsidRPr="00E817CB">
        <w:rPr>
          <w:rFonts w:cs="Arial"/>
          <w:spacing w:val="3"/>
        </w:rPr>
        <w:t xml:space="preserve"> </w:t>
      </w:r>
      <w:r w:rsidR="00BB13FD" w:rsidRPr="00E817CB">
        <w:rPr>
          <w:rFonts w:cs="Arial"/>
        </w:rPr>
        <w:t>mL</w:t>
      </w:r>
      <w:r w:rsidRPr="00E817CB">
        <w:rPr>
          <w:rFonts w:cs="Arial"/>
          <w:spacing w:val="2"/>
        </w:rPr>
        <w:t xml:space="preserve"> </w:t>
      </w:r>
      <w:r w:rsidRPr="00E817CB">
        <w:rPr>
          <w:rFonts w:cs="Arial"/>
        </w:rPr>
        <w:t>of</w:t>
      </w:r>
      <w:r w:rsidRPr="00E817CB">
        <w:rPr>
          <w:rFonts w:cs="Arial"/>
          <w:spacing w:val="1"/>
        </w:rPr>
        <w:t xml:space="preserve"> </w:t>
      </w:r>
      <w:r w:rsidRPr="00E817CB">
        <w:rPr>
          <w:rFonts w:cs="Arial"/>
          <w:spacing w:val="-1"/>
        </w:rPr>
        <w:t>DiW.</w:t>
      </w:r>
      <w:r w:rsidRPr="00E817CB">
        <w:rPr>
          <w:rFonts w:cs="Arial"/>
        </w:rPr>
        <w:t xml:space="preserve"> </w:t>
      </w:r>
      <w:r w:rsidRPr="00E817CB">
        <w:rPr>
          <w:rFonts w:cs="Arial"/>
          <w:spacing w:val="5"/>
        </w:rPr>
        <w:t xml:space="preserve"> </w:t>
      </w:r>
      <w:r w:rsidRPr="00E817CB">
        <w:rPr>
          <w:rFonts w:cs="Arial"/>
          <w:spacing w:val="-1"/>
        </w:rPr>
        <w:t>This</w:t>
      </w:r>
      <w:r w:rsidRPr="00E817CB">
        <w:rPr>
          <w:rFonts w:cs="Arial"/>
          <w:spacing w:val="2"/>
        </w:rPr>
        <w:t xml:space="preserve"> </w:t>
      </w:r>
      <w:r w:rsidRPr="00E817CB">
        <w:rPr>
          <w:rFonts w:cs="Arial"/>
        </w:rPr>
        <w:t>solution</w:t>
      </w:r>
      <w:r w:rsidRPr="00E817CB">
        <w:rPr>
          <w:rFonts w:cs="Arial"/>
          <w:spacing w:val="2"/>
        </w:rPr>
        <w:t xml:space="preserve"> </w:t>
      </w:r>
      <w:r w:rsidRPr="00E817CB">
        <w:rPr>
          <w:rFonts w:cs="Arial"/>
        </w:rPr>
        <w:t>is</w:t>
      </w:r>
      <w:r w:rsidRPr="00E817CB">
        <w:rPr>
          <w:rFonts w:cs="Arial"/>
          <w:spacing w:val="2"/>
        </w:rPr>
        <w:t xml:space="preserve"> </w:t>
      </w:r>
      <w:r w:rsidRPr="00E817CB">
        <w:rPr>
          <w:rFonts w:cs="Arial"/>
          <w:spacing w:val="-1"/>
        </w:rPr>
        <w:t>unstable.</w:t>
      </w:r>
      <w:r w:rsidRPr="00E817CB">
        <w:rPr>
          <w:rFonts w:cs="Arial"/>
        </w:rPr>
        <w:t xml:space="preserve"> </w:t>
      </w:r>
      <w:r w:rsidRPr="00E817CB">
        <w:rPr>
          <w:rFonts w:cs="Arial"/>
          <w:spacing w:val="5"/>
        </w:rPr>
        <w:t xml:space="preserve"> </w:t>
      </w:r>
      <w:r w:rsidRPr="00E817CB">
        <w:rPr>
          <w:rFonts w:cs="Arial"/>
          <w:spacing w:val="-1"/>
        </w:rPr>
        <w:t>Freeze</w:t>
      </w:r>
      <w:r w:rsidRPr="00E817CB">
        <w:rPr>
          <w:rFonts w:cs="Arial"/>
          <w:spacing w:val="2"/>
        </w:rPr>
        <w:t xml:space="preserve"> </w:t>
      </w:r>
      <w:r w:rsidRPr="00E817CB">
        <w:rPr>
          <w:rFonts w:cs="Arial"/>
        </w:rPr>
        <w:t>in</w:t>
      </w:r>
      <w:r w:rsidRPr="00E817CB">
        <w:rPr>
          <w:rFonts w:cs="Arial"/>
          <w:spacing w:val="1"/>
        </w:rPr>
        <w:t xml:space="preserve"> </w:t>
      </w:r>
      <w:r w:rsidRPr="00E817CB">
        <w:rPr>
          <w:rFonts w:cs="Arial"/>
        </w:rPr>
        <w:t>10</w:t>
      </w:r>
      <w:r w:rsidRPr="00E817CB">
        <w:rPr>
          <w:rFonts w:cs="Arial"/>
          <w:spacing w:val="61"/>
        </w:rPr>
        <w:t xml:space="preserve"> </w:t>
      </w:r>
      <w:r w:rsidR="00BB13FD" w:rsidRPr="00E817CB">
        <w:rPr>
          <w:rFonts w:cs="Arial"/>
        </w:rPr>
        <w:t>mL</w:t>
      </w:r>
      <w:r w:rsidRPr="00E817CB">
        <w:rPr>
          <w:rFonts w:cs="Arial"/>
        </w:rPr>
        <w:t xml:space="preserve"> </w:t>
      </w:r>
      <w:r w:rsidRPr="00E817CB">
        <w:rPr>
          <w:rFonts w:cs="Arial"/>
          <w:spacing w:val="-1"/>
        </w:rPr>
        <w:t>portions</w:t>
      </w:r>
      <w:r w:rsidRPr="00E817CB">
        <w:rPr>
          <w:rFonts w:cs="Arial"/>
          <w:spacing w:val="-3"/>
        </w:rPr>
        <w:t xml:space="preserve"> </w:t>
      </w:r>
      <w:r w:rsidRPr="00E817CB">
        <w:rPr>
          <w:rFonts w:cs="Arial"/>
        </w:rPr>
        <w:t>and</w:t>
      </w:r>
      <w:r w:rsidRPr="00E817CB">
        <w:rPr>
          <w:rFonts w:cs="Arial"/>
          <w:spacing w:val="-2"/>
        </w:rPr>
        <w:t xml:space="preserve"> </w:t>
      </w:r>
      <w:r w:rsidRPr="00E817CB">
        <w:rPr>
          <w:rFonts w:cs="Arial"/>
          <w:spacing w:val="-1"/>
        </w:rPr>
        <w:t>defrost</w:t>
      </w:r>
      <w:r w:rsidRPr="00E817CB">
        <w:rPr>
          <w:rFonts w:cs="Arial"/>
          <w:spacing w:val="1"/>
        </w:rPr>
        <w:t xml:space="preserve"> </w:t>
      </w:r>
      <w:r w:rsidRPr="00E817CB">
        <w:rPr>
          <w:rFonts w:cs="Arial"/>
          <w:spacing w:val="-2"/>
        </w:rPr>
        <w:t xml:space="preserve">as </w:t>
      </w:r>
      <w:r w:rsidRPr="00E817CB">
        <w:rPr>
          <w:rFonts w:cs="Arial"/>
          <w:spacing w:val="-1"/>
        </w:rPr>
        <w:t>needed.</w:t>
      </w:r>
    </w:p>
    <w:p w14:paraId="1555EDE0" w14:textId="28967B00" w:rsidR="0031675F" w:rsidRPr="00E817CB" w:rsidRDefault="0031675F" w:rsidP="0031675F">
      <w:pPr>
        <w:widowControl w:val="0"/>
        <w:numPr>
          <w:ilvl w:val="1"/>
          <w:numId w:val="101"/>
        </w:numPr>
        <w:tabs>
          <w:tab w:val="left" w:pos="971"/>
        </w:tabs>
        <w:spacing w:before="1" w:after="0" w:line="312" w:lineRule="exact"/>
        <w:ind w:hanging="424"/>
        <w:rPr>
          <w:rFonts w:cs="Arial"/>
        </w:rPr>
      </w:pPr>
      <w:r w:rsidRPr="00E817CB">
        <w:rPr>
          <w:rFonts w:cs="Arial"/>
          <w:spacing w:val="-1"/>
        </w:rPr>
        <w:t>Potassium</w:t>
      </w:r>
      <w:r w:rsidRPr="00E817CB">
        <w:rPr>
          <w:rFonts w:cs="Arial"/>
        </w:rPr>
        <w:t xml:space="preserve"> </w:t>
      </w:r>
      <w:r w:rsidRPr="00E817CB">
        <w:rPr>
          <w:rFonts w:cs="Arial"/>
          <w:spacing w:val="-1"/>
        </w:rPr>
        <w:t>Antimonyl</w:t>
      </w:r>
      <w:r w:rsidRPr="00E817CB">
        <w:rPr>
          <w:rFonts w:cs="Arial"/>
        </w:rPr>
        <w:t xml:space="preserve"> </w:t>
      </w:r>
      <w:r w:rsidRPr="00E817CB">
        <w:rPr>
          <w:rFonts w:cs="Arial"/>
          <w:spacing w:val="-1"/>
        </w:rPr>
        <w:t>Tartrate</w:t>
      </w:r>
      <w:r w:rsidRPr="00E817CB">
        <w:rPr>
          <w:rFonts w:cs="Arial"/>
          <w:spacing w:val="3"/>
        </w:rPr>
        <w:t xml:space="preserve"> </w:t>
      </w:r>
      <w:r w:rsidRPr="00E817CB">
        <w:rPr>
          <w:rFonts w:cs="Arial"/>
        </w:rPr>
        <w:t>-</w:t>
      </w:r>
      <w:r w:rsidRPr="00E817CB">
        <w:rPr>
          <w:rFonts w:cs="Arial"/>
          <w:spacing w:val="-3"/>
        </w:rPr>
        <w:t xml:space="preserve"> </w:t>
      </w:r>
      <w:r w:rsidRPr="00E817CB">
        <w:rPr>
          <w:rFonts w:cs="Arial"/>
          <w:spacing w:val="-1"/>
        </w:rPr>
        <w:t>0.34</w:t>
      </w:r>
      <w:r w:rsidRPr="00E817CB">
        <w:rPr>
          <w:rFonts w:cs="Arial"/>
        </w:rPr>
        <w:t xml:space="preserve"> g</w:t>
      </w:r>
      <w:r w:rsidRPr="00E817CB">
        <w:rPr>
          <w:rFonts w:cs="Arial"/>
          <w:spacing w:val="-2"/>
        </w:rPr>
        <w:t xml:space="preserve"> </w:t>
      </w:r>
      <w:r w:rsidRPr="00E817CB">
        <w:rPr>
          <w:rFonts w:cs="Arial"/>
        </w:rPr>
        <w:t xml:space="preserve">of </w:t>
      </w:r>
      <w:r w:rsidRPr="00E817CB">
        <w:rPr>
          <w:rFonts w:cs="Arial"/>
          <w:spacing w:val="-1"/>
        </w:rPr>
        <w:t>K(SbO)C</w:t>
      </w:r>
      <w:r w:rsidRPr="00E817CB">
        <w:rPr>
          <w:rFonts w:cs="Arial"/>
          <w:spacing w:val="-1"/>
          <w:position w:val="-6"/>
        </w:rPr>
        <w:t>4</w:t>
      </w:r>
      <w:r w:rsidRPr="00E817CB">
        <w:rPr>
          <w:rFonts w:cs="Arial"/>
          <w:spacing w:val="-1"/>
        </w:rPr>
        <w:t>H</w:t>
      </w:r>
      <w:r w:rsidRPr="00E817CB">
        <w:rPr>
          <w:rFonts w:cs="Arial"/>
          <w:spacing w:val="-1"/>
          <w:position w:val="-6"/>
        </w:rPr>
        <w:t>4</w:t>
      </w:r>
      <w:r w:rsidRPr="00E817CB">
        <w:rPr>
          <w:rFonts w:cs="Arial"/>
          <w:spacing w:val="-1"/>
        </w:rPr>
        <w:t>O</w:t>
      </w:r>
      <w:r w:rsidRPr="00E817CB">
        <w:rPr>
          <w:rFonts w:cs="Arial"/>
          <w:spacing w:val="-1"/>
          <w:position w:val="-6"/>
        </w:rPr>
        <w:t>6</w:t>
      </w:r>
      <w:r w:rsidRPr="00E817CB">
        <w:rPr>
          <w:rFonts w:cs="Arial"/>
          <w:position w:val="-6"/>
        </w:rPr>
        <w:t xml:space="preserve">  </w:t>
      </w:r>
      <w:r w:rsidRPr="00E817CB">
        <w:rPr>
          <w:rFonts w:cs="Arial"/>
          <w:spacing w:val="3"/>
          <w:position w:val="-6"/>
        </w:rPr>
        <w:t xml:space="preserve"> </w:t>
      </w:r>
      <w:r w:rsidRPr="00E817CB">
        <w:rPr>
          <w:rFonts w:cs="Arial"/>
        </w:rPr>
        <w:t>in</w:t>
      </w:r>
      <w:r w:rsidRPr="00E817CB">
        <w:rPr>
          <w:rFonts w:cs="Arial"/>
          <w:spacing w:val="-1"/>
        </w:rPr>
        <w:t xml:space="preserve"> 250 </w:t>
      </w:r>
      <w:r w:rsidR="00BB13FD" w:rsidRPr="00E817CB">
        <w:rPr>
          <w:rFonts w:cs="Arial"/>
        </w:rPr>
        <w:t>mL</w:t>
      </w:r>
      <w:r w:rsidRPr="00E817CB">
        <w:rPr>
          <w:rFonts w:cs="Arial"/>
          <w:spacing w:val="-2"/>
        </w:rPr>
        <w:t xml:space="preserve"> </w:t>
      </w:r>
      <w:r w:rsidRPr="00E817CB">
        <w:rPr>
          <w:rFonts w:cs="Arial"/>
        </w:rPr>
        <w:t xml:space="preserve">of </w:t>
      </w:r>
      <w:r w:rsidRPr="00E817CB">
        <w:rPr>
          <w:rFonts w:cs="Arial"/>
          <w:spacing w:val="-1"/>
        </w:rPr>
        <w:t>DiW.</w:t>
      </w:r>
      <w:r w:rsidRPr="00E817CB">
        <w:rPr>
          <w:rFonts w:cs="Arial"/>
          <w:spacing w:val="49"/>
        </w:rPr>
        <w:t xml:space="preserve"> </w:t>
      </w:r>
      <w:r w:rsidRPr="00E817CB">
        <w:rPr>
          <w:rFonts w:cs="Arial"/>
          <w:spacing w:val="-1"/>
        </w:rPr>
        <w:t>Stable.</w:t>
      </w:r>
    </w:p>
    <w:p w14:paraId="1C93693E" w14:textId="2C4731E3" w:rsidR="0031675F" w:rsidRPr="00E817CB" w:rsidRDefault="0031675F" w:rsidP="0031675F">
      <w:pPr>
        <w:widowControl w:val="0"/>
        <w:numPr>
          <w:ilvl w:val="1"/>
          <w:numId w:val="101"/>
        </w:numPr>
        <w:tabs>
          <w:tab w:val="left" w:pos="971"/>
        </w:tabs>
        <w:spacing w:before="0" w:after="0" w:line="240" w:lineRule="auto"/>
        <w:ind w:right="651" w:hanging="424"/>
        <w:rPr>
          <w:rFonts w:cs="Arial"/>
        </w:rPr>
      </w:pPr>
      <w:r w:rsidRPr="00E817CB">
        <w:rPr>
          <w:rFonts w:cs="Arial"/>
        </w:rPr>
        <w:t>Mixed</w:t>
      </w:r>
      <w:r w:rsidRPr="00E817CB">
        <w:rPr>
          <w:rFonts w:cs="Arial"/>
          <w:spacing w:val="13"/>
        </w:rPr>
        <w:t xml:space="preserve"> </w:t>
      </w:r>
      <w:r w:rsidRPr="00E817CB">
        <w:rPr>
          <w:rFonts w:cs="Arial"/>
          <w:spacing w:val="-1"/>
        </w:rPr>
        <w:t>Reagent</w:t>
      </w:r>
      <w:r w:rsidRPr="00E817CB">
        <w:rPr>
          <w:rFonts w:cs="Arial"/>
          <w:spacing w:val="16"/>
        </w:rPr>
        <w:t xml:space="preserve"> </w:t>
      </w:r>
      <w:r w:rsidRPr="00E817CB">
        <w:rPr>
          <w:rFonts w:cs="Arial"/>
        </w:rPr>
        <w:t>-</w:t>
      </w:r>
      <w:r w:rsidRPr="00E817CB">
        <w:rPr>
          <w:rFonts w:cs="Arial"/>
          <w:spacing w:val="12"/>
        </w:rPr>
        <w:t xml:space="preserve"> </w:t>
      </w:r>
      <w:r w:rsidRPr="00E817CB">
        <w:rPr>
          <w:rFonts w:cs="Arial"/>
        </w:rPr>
        <w:t>Mix</w:t>
      </w:r>
      <w:r w:rsidRPr="00E817CB">
        <w:rPr>
          <w:rFonts w:cs="Arial"/>
          <w:spacing w:val="12"/>
        </w:rPr>
        <w:t xml:space="preserve"> </w:t>
      </w:r>
      <w:r w:rsidRPr="00E817CB">
        <w:rPr>
          <w:rFonts w:cs="Arial"/>
        </w:rPr>
        <w:t>10</w:t>
      </w:r>
      <w:r w:rsidRPr="00E817CB">
        <w:rPr>
          <w:rFonts w:cs="Arial"/>
          <w:spacing w:val="13"/>
        </w:rPr>
        <w:t xml:space="preserve"> </w:t>
      </w:r>
      <w:r w:rsidR="00BB13FD" w:rsidRPr="00E817CB">
        <w:rPr>
          <w:rFonts w:cs="Arial"/>
          <w:spacing w:val="-1"/>
        </w:rPr>
        <w:t>mL</w:t>
      </w:r>
      <w:r w:rsidRPr="00E817CB">
        <w:rPr>
          <w:rFonts w:cs="Arial"/>
          <w:spacing w:val="14"/>
        </w:rPr>
        <w:t xml:space="preserve"> </w:t>
      </w:r>
      <w:r w:rsidRPr="00E817CB">
        <w:rPr>
          <w:rFonts w:cs="Arial"/>
        </w:rPr>
        <w:t>of</w:t>
      </w:r>
      <w:r w:rsidRPr="00E817CB">
        <w:rPr>
          <w:rFonts w:cs="Arial"/>
          <w:spacing w:val="14"/>
        </w:rPr>
        <w:t xml:space="preserve"> </w:t>
      </w:r>
      <w:r w:rsidRPr="00E817CB">
        <w:rPr>
          <w:rFonts w:cs="Arial"/>
          <w:spacing w:val="-1"/>
        </w:rPr>
        <w:t>(a)</w:t>
      </w:r>
      <w:r w:rsidRPr="00E817CB">
        <w:rPr>
          <w:rFonts w:cs="Arial"/>
          <w:spacing w:val="13"/>
        </w:rPr>
        <w:t xml:space="preserve"> </w:t>
      </w:r>
      <w:r w:rsidRPr="00E817CB">
        <w:rPr>
          <w:rFonts w:cs="Arial"/>
        </w:rPr>
        <w:t>with</w:t>
      </w:r>
      <w:r w:rsidRPr="00E817CB">
        <w:rPr>
          <w:rFonts w:cs="Arial"/>
          <w:spacing w:val="14"/>
        </w:rPr>
        <w:t xml:space="preserve"> </w:t>
      </w:r>
      <w:r w:rsidRPr="00E817CB">
        <w:rPr>
          <w:rFonts w:cs="Arial"/>
          <w:spacing w:val="-1"/>
        </w:rPr>
        <w:t>25</w:t>
      </w:r>
      <w:r w:rsidRPr="00E817CB">
        <w:rPr>
          <w:rFonts w:cs="Arial"/>
          <w:spacing w:val="13"/>
        </w:rPr>
        <w:t xml:space="preserve"> </w:t>
      </w:r>
      <w:r w:rsidR="00BB13FD" w:rsidRPr="00E817CB">
        <w:rPr>
          <w:rFonts w:cs="Arial"/>
        </w:rPr>
        <w:t>mL</w:t>
      </w:r>
      <w:r w:rsidRPr="00E817CB">
        <w:rPr>
          <w:rFonts w:cs="Arial"/>
          <w:spacing w:val="14"/>
        </w:rPr>
        <w:t xml:space="preserve"> </w:t>
      </w:r>
      <w:r w:rsidRPr="00E817CB">
        <w:rPr>
          <w:rFonts w:cs="Arial"/>
        </w:rPr>
        <w:t>of</w:t>
      </w:r>
      <w:r w:rsidRPr="00E817CB">
        <w:rPr>
          <w:rFonts w:cs="Arial"/>
          <w:spacing w:val="12"/>
        </w:rPr>
        <w:t xml:space="preserve"> </w:t>
      </w:r>
      <w:r w:rsidRPr="00E817CB">
        <w:rPr>
          <w:rFonts w:cs="Arial"/>
          <w:spacing w:val="-1"/>
        </w:rPr>
        <w:t>(b),</w:t>
      </w:r>
      <w:r w:rsidRPr="00E817CB">
        <w:rPr>
          <w:rFonts w:cs="Arial"/>
          <w:spacing w:val="14"/>
        </w:rPr>
        <w:t xml:space="preserve"> </w:t>
      </w:r>
      <w:r w:rsidRPr="00E817CB">
        <w:rPr>
          <w:rFonts w:cs="Arial"/>
          <w:spacing w:val="-1"/>
        </w:rPr>
        <w:t>then</w:t>
      </w:r>
      <w:r w:rsidRPr="00E817CB">
        <w:rPr>
          <w:rFonts w:cs="Arial"/>
          <w:spacing w:val="14"/>
        </w:rPr>
        <w:t xml:space="preserve"> </w:t>
      </w:r>
      <w:r w:rsidRPr="00E817CB">
        <w:rPr>
          <w:rFonts w:cs="Arial"/>
          <w:spacing w:val="-1"/>
        </w:rPr>
        <w:t>add</w:t>
      </w:r>
      <w:r w:rsidRPr="00E817CB">
        <w:rPr>
          <w:rFonts w:cs="Arial"/>
          <w:spacing w:val="14"/>
        </w:rPr>
        <w:t xml:space="preserve"> </w:t>
      </w:r>
      <w:r w:rsidRPr="00E817CB">
        <w:rPr>
          <w:rFonts w:cs="Arial"/>
        </w:rPr>
        <w:t>10</w:t>
      </w:r>
      <w:r w:rsidRPr="00E817CB">
        <w:rPr>
          <w:rFonts w:cs="Arial"/>
          <w:spacing w:val="13"/>
        </w:rPr>
        <w:t xml:space="preserve"> </w:t>
      </w:r>
      <w:r w:rsidR="00BB13FD" w:rsidRPr="00E817CB">
        <w:rPr>
          <w:rFonts w:cs="Arial"/>
        </w:rPr>
        <w:t>mL</w:t>
      </w:r>
      <w:r w:rsidRPr="00E817CB">
        <w:rPr>
          <w:rFonts w:cs="Arial"/>
          <w:spacing w:val="14"/>
        </w:rPr>
        <w:t xml:space="preserve"> </w:t>
      </w:r>
      <w:r w:rsidRPr="00E817CB">
        <w:rPr>
          <w:rFonts w:cs="Arial"/>
          <w:spacing w:val="-1"/>
        </w:rPr>
        <w:t>of</w:t>
      </w:r>
      <w:r w:rsidRPr="00E817CB">
        <w:rPr>
          <w:rFonts w:cs="Arial"/>
          <w:spacing w:val="20"/>
        </w:rPr>
        <w:t xml:space="preserve"> </w:t>
      </w:r>
      <w:r w:rsidRPr="00E817CB">
        <w:rPr>
          <w:rFonts w:cs="Arial"/>
          <w:spacing w:val="-1"/>
        </w:rPr>
        <w:t>(c)</w:t>
      </w:r>
      <w:r w:rsidRPr="00E817CB">
        <w:rPr>
          <w:rFonts w:cs="Arial"/>
          <w:spacing w:val="15"/>
        </w:rPr>
        <w:t xml:space="preserve"> </w:t>
      </w:r>
      <w:r w:rsidRPr="00E817CB">
        <w:rPr>
          <w:rFonts w:cs="Arial"/>
          <w:spacing w:val="-1"/>
        </w:rPr>
        <w:t>and</w:t>
      </w:r>
      <w:r w:rsidRPr="00E817CB">
        <w:rPr>
          <w:rFonts w:cs="Arial"/>
          <w:spacing w:val="14"/>
        </w:rPr>
        <w:t xml:space="preserve"> </w:t>
      </w:r>
      <w:r w:rsidRPr="00E817CB">
        <w:rPr>
          <w:rFonts w:cs="Arial"/>
          <w:spacing w:val="-1"/>
        </w:rPr>
        <w:t>finally</w:t>
      </w:r>
      <w:r w:rsidRPr="00E817CB">
        <w:rPr>
          <w:rFonts w:cs="Arial"/>
          <w:spacing w:val="27"/>
        </w:rPr>
        <w:t xml:space="preserve"> </w:t>
      </w:r>
      <w:r w:rsidRPr="00E817CB">
        <w:rPr>
          <w:rFonts w:cs="Arial"/>
          <w:spacing w:val="-1"/>
        </w:rPr>
        <w:t xml:space="preserve">add </w:t>
      </w:r>
      <w:r w:rsidRPr="00E817CB">
        <w:rPr>
          <w:rFonts w:cs="Arial"/>
        </w:rPr>
        <w:t>5</w:t>
      </w:r>
      <w:r w:rsidRPr="00E817CB">
        <w:rPr>
          <w:rFonts w:cs="Arial"/>
          <w:spacing w:val="-1"/>
        </w:rPr>
        <w:t xml:space="preserve"> </w:t>
      </w:r>
      <w:r w:rsidR="00BB13FD" w:rsidRPr="00E817CB">
        <w:rPr>
          <w:rFonts w:cs="Arial"/>
        </w:rPr>
        <w:t>mL</w:t>
      </w:r>
      <w:r w:rsidRPr="00E817CB">
        <w:rPr>
          <w:rFonts w:cs="Arial"/>
          <w:spacing w:val="-2"/>
        </w:rPr>
        <w:t xml:space="preserve"> </w:t>
      </w:r>
      <w:r w:rsidRPr="00E817CB">
        <w:rPr>
          <w:rFonts w:cs="Arial"/>
        </w:rPr>
        <w:t xml:space="preserve">of </w:t>
      </w:r>
      <w:r w:rsidRPr="00E817CB">
        <w:rPr>
          <w:rFonts w:cs="Arial"/>
          <w:spacing w:val="-1"/>
        </w:rPr>
        <w:t>(d).</w:t>
      </w:r>
      <w:r w:rsidRPr="00E817CB">
        <w:rPr>
          <w:rFonts w:cs="Arial"/>
          <w:spacing w:val="47"/>
        </w:rPr>
        <w:t xml:space="preserve"> </w:t>
      </w:r>
      <w:r w:rsidRPr="00E817CB">
        <w:rPr>
          <w:rFonts w:cs="Arial"/>
          <w:spacing w:val="-1"/>
        </w:rPr>
        <w:t>This</w:t>
      </w:r>
      <w:r w:rsidRPr="00E817CB">
        <w:rPr>
          <w:rFonts w:cs="Arial"/>
        </w:rPr>
        <w:t xml:space="preserve"> </w:t>
      </w:r>
      <w:r w:rsidRPr="00E817CB">
        <w:rPr>
          <w:rFonts w:cs="Arial"/>
          <w:spacing w:val="-1"/>
        </w:rPr>
        <w:t>solution will</w:t>
      </w:r>
      <w:r w:rsidRPr="00E817CB">
        <w:rPr>
          <w:rFonts w:cs="Arial"/>
        </w:rPr>
        <w:t xml:space="preserve"> </w:t>
      </w:r>
      <w:r w:rsidRPr="00E817CB">
        <w:rPr>
          <w:rFonts w:cs="Arial"/>
          <w:spacing w:val="-1"/>
        </w:rPr>
        <w:t>remain</w:t>
      </w:r>
      <w:r w:rsidRPr="00E817CB">
        <w:rPr>
          <w:rFonts w:cs="Arial"/>
          <w:spacing w:val="-2"/>
        </w:rPr>
        <w:t xml:space="preserve"> </w:t>
      </w:r>
      <w:r w:rsidRPr="00E817CB">
        <w:rPr>
          <w:rFonts w:cs="Arial"/>
          <w:spacing w:val="-1"/>
        </w:rPr>
        <w:t>stable</w:t>
      </w:r>
      <w:r w:rsidRPr="00E817CB">
        <w:rPr>
          <w:rFonts w:cs="Arial"/>
          <w:spacing w:val="-3"/>
        </w:rPr>
        <w:t xml:space="preserve"> </w:t>
      </w:r>
      <w:r w:rsidRPr="00E817CB">
        <w:rPr>
          <w:rFonts w:cs="Arial"/>
        </w:rPr>
        <w:t>for</w:t>
      </w:r>
      <w:r w:rsidRPr="00E817CB">
        <w:rPr>
          <w:rFonts w:cs="Arial"/>
          <w:spacing w:val="-3"/>
        </w:rPr>
        <w:t xml:space="preserve"> </w:t>
      </w:r>
      <w:r w:rsidRPr="00E817CB">
        <w:rPr>
          <w:rFonts w:cs="Arial"/>
          <w:spacing w:val="-1"/>
        </w:rPr>
        <w:t>no</w:t>
      </w:r>
      <w:r w:rsidRPr="00E817CB">
        <w:rPr>
          <w:rFonts w:cs="Arial"/>
          <w:spacing w:val="-2"/>
        </w:rPr>
        <w:t xml:space="preserve"> </w:t>
      </w:r>
      <w:r w:rsidRPr="00E817CB">
        <w:rPr>
          <w:rFonts w:cs="Arial"/>
          <w:spacing w:val="-1"/>
        </w:rPr>
        <w:t>longer</w:t>
      </w:r>
      <w:r w:rsidRPr="00E817CB">
        <w:rPr>
          <w:rFonts w:cs="Arial"/>
          <w:spacing w:val="-2"/>
        </w:rPr>
        <w:t xml:space="preserve"> </w:t>
      </w:r>
      <w:r w:rsidRPr="00E817CB">
        <w:rPr>
          <w:rFonts w:cs="Arial"/>
        </w:rPr>
        <w:t>than</w:t>
      </w:r>
      <w:r w:rsidRPr="00E817CB">
        <w:rPr>
          <w:rFonts w:cs="Arial"/>
          <w:spacing w:val="-2"/>
        </w:rPr>
        <w:t xml:space="preserve"> </w:t>
      </w:r>
      <w:r w:rsidRPr="00E817CB">
        <w:rPr>
          <w:rFonts w:cs="Arial"/>
        </w:rPr>
        <w:t>4</w:t>
      </w:r>
      <w:r w:rsidRPr="00E817CB">
        <w:rPr>
          <w:rFonts w:cs="Arial"/>
          <w:spacing w:val="1"/>
        </w:rPr>
        <w:t xml:space="preserve"> </w:t>
      </w:r>
      <w:r w:rsidRPr="00E817CB">
        <w:rPr>
          <w:rFonts w:cs="Arial"/>
          <w:spacing w:val="-1"/>
        </w:rPr>
        <w:t>hours.</w:t>
      </w:r>
    </w:p>
    <w:p w14:paraId="5E393235" w14:textId="77777777" w:rsidR="0031675F" w:rsidRPr="00E817CB" w:rsidRDefault="0031675F" w:rsidP="0031675F">
      <w:pPr>
        <w:spacing w:before="12"/>
        <w:rPr>
          <w:rFonts w:cs="Arial"/>
        </w:rPr>
      </w:pPr>
    </w:p>
    <w:p w14:paraId="53480E6B" w14:textId="77777777" w:rsidR="0031675F" w:rsidRPr="00E817CB" w:rsidRDefault="0031675F" w:rsidP="0031675F">
      <w:pPr>
        <w:widowControl w:val="0"/>
        <w:numPr>
          <w:ilvl w:val="0"/>
          <w:numId w:val="101"/>
        </w:numPr>
        <w:tabs>
          <w:tab w:val="left" w:pos="338"/>
        </w:tabs>
        <w:spacing w:before="0" w:after="0" w:line="240" w:lineRule="auto"/>
        <w:ind w:left="337" w:hanging="219"/>
        <w:jc w:val="both"/>
        <w:rPr>
          <w:rFonts w:cs="Arial"/>
        </w:rPr>
      </w:pPr>
      <w:r w:rsidRPr="00E817CB">
        <w:rPr>
          <w:rFonts w:cs="Arial"/>
          <w:spacing w:val="-1"/>
        </w:rPr>
        <w:t>Standard solutions:</w:t>
      </w:r>
    </w:p>
    <w:p w14:paraId="0E5DFFAF" w14:textId="77777777" w:rsidR="0031675F" w:rsidRPr="00E817CB" w:rsidRDefault="0031675F" w:rsidP="0031675F">
      <w:pPr>
        <w:ind w:left="118"/>
        <w:jc w:val="both"/>
        <w:rPr>
          <w:rFonts w:cs="Arial"/>
        </w:rPr>
      </w:pPr>
      <w:r w:rsidRPr="00E817CB">
        <w:rPr>
          <w:rFonts w:cs="Arial"/>
          <w:i/>
          <w:spacing w:val="-1"/>
        </w:rPr>
        <w:t>Primary</w:t>
      </w:r>
      <w:r w:rsidRPr="00E817CB">
        <w:rPr>
          <w:rFonts w:cs="Arial"/>
          <w:i/>
          <w:spacing w:val="-3"/>
        </w:rPr>
        <w:t xml:space="preserve"> </w:t>
      </w:r>
      <w:r w:rsidRPr="00E817CB">
        <w:rPr>
          <w:rFonts w:cs="Arial"/>
          <w:i/>
          <w:spacing w:val="-1"/>
        </w:rPr>
        <w:t>Standard</w:t>
      </w:r>
    </w:p>
    <w:p w14:paraId="472683C3" w14:textId="3D4C4646" w:rsidR="0031675F" w:rsidRPr="00E817CB" w:rsidRDefault="0031675F" w:rsidP="0031675F">
      <w:pPr>
        <w:spacing w:before="6" w:after="120" w:line="232" w:lineRule="auto"/>
        <w:ind w:left="826" w:right="656"/>
        <w:rPr>
          <w:rFonts w:cs="Arial"/>
        </w:rPr>
      </w:pPr>
      <w:r w:rsidRPr="00E817CB">
        <w:rPr>
          <w:rFonts w:cs="Arial"/>
          <w:spacing w:val="-1"/>
        </w:rPr>
        <w:t>1</w:t>
      </w:r>
      <w:r w:rsidR="00E37A70">
        <w:rPr>
          <w:rFonts w:cs="Arial"/>
          <w:spacing w:val="-1"/>
        </w:rPr>
        <w:t xml:space="preserve"> </w:t>
      </w:r>
      <w:r w:rsidRPr="00E817CB">
        <w:rPr>
          <w:rFonts w:cs="Arial"/>
          <w:spacing w:val="-1"/>
        </w:rPr>
        <w:t>mM</w:t>
      </w:r>
      <w:r w:rsidRPr="00E817CB">
        <w:rPr>
          <w:rFonts w:cs="Arial"/>
          <w:spacing w:val="5"/>
        </w:rPr>
        <w:t xml:space="preserve"> </w:t>
      </w:r>
      <w:r w:rsidRPr="00E817CB">
        <w:rPr>
          <w:rFonts w:cs="Arial"/>
        </w:rPr>
        <w:t>-</w:t>
      </w:r>
      <w:r w:rsidRPr="00E817CB">
        <w:rPr>
          <w:rFonts w:cs="Arial"/>
          <w:spacing w:val="2"/>
        </w:rPr>
        <w:t xml:space="preserve"> </w:t>
      </w:r>
      <w:r w:rsidRPr="00E817CB">
        <w:rPr>
          <w:rFonts w:cs="Arial"/>
          <w:spacing w:val="-1"/>
        </w:rPr>
        <w:t>P</w:t>
      </w:r>
      <w:r w:rsidR="00E37A70">
        <w:rPr>
          <w:rFonts w:cs="Arial"/>
          <w:spacing w:val="-1"/>
        </w:rPr>
        <w:t>O</w:t>
      </w:r>
      <w:r w:rsidRPr="00E37A70">
        <w:rPr>
          <w:rFonts w:cs="Arial"/>
          <w:spacing w:val="-1"/>
          <w:position w:val="-2"/>
          <w:vertAlign w:val="subscript"/>
        </w:rPr>
        <w:t>4</w:t>
      </w:r>
      <w:r w:rsidRPr="00E817CB">
        <w:rPr>
          <w:rFonts w:cs="Arial"/>
          <w:spacing w:val="-1"/>
        </w:rPr>
        <w:t>-P</w:t>
      </w:r>
      <w:r w:rsidRPr="00E817CB">
        <w:rPr>
          <w:rFonts w:cs="Arial"/>
        </w:rPr>
        <w:t xml:space="preserve"> </w:t>
      </w:r>
      <w:r w:rsidRPr="00E817CB">
        <w:rPr>
          <w:rFonts w:cs="Arial"/>
          <w:spacing w:val="9"/>
        </w:rPr>
        <w:t xml:space="preserve"> </w:t>
      </w:r>
      <w:r w:rsidRPr="00E817CB">
        <w:rPr>
          <w:rFonts w:cs="Arial"/>
          <w:spacing w:val="-1"/>
        </w:rPr>
        <w:t>Dissolve</w:t>
      </w:r>
      <w:r w:rsidRPr="00E817CB">
        <w:rPr>
          <w:rFonts w:cs="Arial"/>
          <w:spacing w:val="3"/>
        </w:rPr>
        <w:t xml:space="preserve"> </w:t>
      </w:r>
      <w:r w:rsidRPr="00E817CB">
        <w:rPr>
          <w:rFonts w:cs="Arial"/>
          <w:spacing w:val="-1"/>
        </w:rPr>
        <w:t>0.136</w:t>
      </w:r>
      <w:r w:rsidRPr="00E817CB">
        <w:rPr>
          <w:rFonts w:cs="Arial"/>
          <w:spacing w:val="4"/>
        </w:rPr>
        <w:t xml:space="preserve"> </w:t>
      </w:r>
      <w:r w:rsidRPr="00E817CB">
        <w:rPr>
          <w:rFonts w:cs="Arial"/>
        </w:rPr>
        <w:t>g</w:t>
      </w:r>
      <w:r w:rsidRPr="00E817CB">
        <w:rPr>
          <w:rFonts w:cs="Arial"/>
          <w:spacing w:val="2"/>
        </w:rPr>
        <w:t xml:space="preserve"> </w:t>
      </w:r>
      <w:r w:rsidRPr="00E817CB">
        <w:rPr>
          <w:rFonts w:cs="Arial"/>
        </w:rPr>
        <w:t>of</w:t>
      </w:r>
      <w:r w:rsidRPr="00E817CB">
        <w:rPr>
          <w:rFonts w:cs="Arial"/>
          <w:spacing w:val="5"/>
        </w:rPr>
        <w:t xml:space="preserve"> </w:t>
      </w:r>
      <w:r w:rsidRPr="00E817CB">
        <w:rPr>
          <w:rFonts w:cs="Arial"/>
          <w:spacing w:val="-1"/>
        </w:rPr>
        <w:t>anhydrous</w:t>
      </w:r>
      <w:r w:rsidRPr="00E817CB">
        <w:rPr>
          <w:rFonts w:cs="Arial"/>
          <w:spacing w:val="5"/>
        </w:rPr>
        <w:t xml:space="preserve"> </w:t>
      </w:r>
      <w:r w:rsidRPr="00E817CB">
        <w:rPr>
          <w:rFonts w:cs="Arial"/>
          <w:spacing w:val="-1"/>
        </w:rPr>
        <w:t>potassium</w:t>
      </w:r>
      <w:r w:rsidRPr="00E817CB">
        <w:rPr>
          <w:rFonts w:cs="Arial"/>
          <w:spacing w:val="6"/>
        </w:rPr>
        <w:t xml:space="preserve"> </w:t>
      </w:r>
      <w:r w:rsidRPr="00E817CB">
        <w:rPr>
          <w:rFonts w:cs="Arial"/>
          <w:spacing w:val="-1"/>
        </w:rPr>
        <w:t>dihydrogen</w:t>
      </w:r>
      <w:r w:rsidRPr="00E817CB">
        <w:rPr>
          <w:rFonts w:cs="Arial"/>
          <w:spacing w:val="4"/>
        </w:rPr>
        <w:t xml:space="preserve"> </w:t>
      </w:r>
      <w:r w:rsidRPr="00E817CB">
        <w:rPr>
          <w:rFonts w:cs="Arial"/>
          <w:spacing w:val="-1"/>
        </w:rPr>
        <w:t>phosphate</w:t>
      </w:r>
      <w:r w:rsidRPr="00E817CB">
        <w:rPr>
          <w:rFonts w:cs="Arial"/>
          <w:spacing w:val="2"/>
        </w:rPr>
        <w:t xml:space="preserve"> </w:t>
      </w:r>
      <w:r w:rsidRPr="00E817CB">
        <w:rPr>
          <w:rFonts w:cs="Arial"/>
          <w:spacing w:val="-1"/>
        </w:rPr>
        <w:t>(K</w:t>
      </w:r>
      <w:r w:rsidR="00E37A70">
        <w:rPr>
          <w:rFonts w:cs="Arial"/>
          <w:spacing w:val="-1"/>
        </w:rPr>
        <w:t>H</w:t>
      </w:r>
      <w:r w:rsidR="00E37A70" w:rsidRPr="00E37A70">
        <w:rPr>
          <w:rFonts w:cs="Arial"/>
          <w:spacing w:val="-1"/>
          <w:vertAlign w:val="subscript"/>
        </w:rPr>
        <w:t>2</w:t>
      </w:r>
      <w:r w:rsidRPr="00E817CB">
        <w:rPr>
          <w:rFonts w:cs="Arial"/>
          <w:spacing w:val="-1"/>
        </w:rPr>
        <w:t>P</w:t>
      </w:r>
      <w:r w:rsidR="00E37A70">
        <w:rPr>
          <w:rFonts w:cs="Arial"/>
          <w:spacing w:val="-1"/>
        </w:rPr>
        <w:t>O</w:t>
      </w:r>
      <w:r w:rsidR="00E37A70" w:rsidRPr="00E37A70">
        <w:rPr>
          <w:rFonts w:cs="Arial"/>
          <w:spacing w:val="-1"/>
          <w:vertAlign w:val="subscript"/>
        </w:rPr>
        <w:t>4</w:t>
      </w:r>
      <w:r w:rsidRPr="00E817CB">
        <w:rPr>
          <w:rFonts w:cs="Arial"/>
          <w:spacing w:val="-1"/>
          <w:position w:val="-3"/>
        </w:rPr>
        <w:t>)</w:t>
      </w:r>
      <w:r w:rsidRPr="00E817CB">
        <w:rPr>
          <w:rFonts w:cs="Arial"/>
          <w:spacing w:val="51"/>
          <w:position w:val="-3"/>
        </w:rPr>
        <w:t xml:space="preserve"> </w:t>
      </w:r>
      <w:r w:rsidRPr="00E817CB">
        <w:rPr>
          <w:rFonts w:cs="Arial"/>
        </w:rPr>
        <w:t>in</w:t>
      </w:r>
      <w:r w:rsidRPr="00E817CB">
        <w:rPr>
          <w:rFonts w:cs="Arial"/>
          <w:spacing w:val="-1"/>
        </w:rPr>
        <w:t xml:space="preserve"> 1000</w:t>
      </w:r>
      <w:r w:rsidRPr="00E817CB">
        <w:rPr>
          <w:rFonts w:cs="Arial"/>
          <w:spacing w:val="-2"/>
        </w:rPr>
        <w:t xml:space="preserve"> </w:t>
      </w:r>
      <w:r w:rsidR="00BB13FD" w:rsidRPr="00E817CB">
        <w:rPr>
          <w:rFonts w:cs="Arial"/>
        </w:rPr>
        <w:t>mL</w:t>
      </w:r>
      <w:r w:rsidRPr="00E817CB">
        <w:rPr>
          <w:rFonts w:cs="Arial"/>
          <w:spacing w:val="-2"/>
        </w:rPr>
        <w:t xml:space="preserve"> </w:t>
      </w:r>
      <w:r w:rsidRPr="00E817CB">
        <w:rPr>
          <w:rFonts w:cs="Arial"/>
        </w:rPr>
        <w:t>of</w:t>
      </w:r>
      <w:r w:rsidRPr="00E817CB">
        <w:rPr>
          <w:rFonts w:cs="Arial"/>
          <w:spacing w:val="-2"/>
        </w:rPr>
        <w:t xml:space="preserve"> </w:t>
      </w:r>
      <w:r w:rsidRPr="00E817CB">
        <w:rPr>
          <w:rFonts w:cs="Arial"/>
        </w:rPr>
        <w:t xml:space="preserve">DiW.  </w:t>
      </w:r>
      <w:r w:rsidRPr="00E817CB">
        <w:rPr>
          <w:rFonts w:cs="Arial"/>
          <w:spacing w:val="48"/>
        </w:rPr>
        <w:t xml:space="preserve"> </w:t>
      </w:r>
      <w:r w:rsidRPr="00E817CB">
        <w:rPr>
          <w:rFonts w:cs="Arial"/>
          <w:spacing w:val="-1"/>
        </w:rPr>
        <w:t xml:space="preserve">Add </w:t>
      </w:r>
      <w:r w:rsidRPr="00E817CB">
        <w:rPr>
          <w:rFonts w:cs="Arial"/>
        </w:rPr>
        <w:t>a</w:t>
      </w:r>
      <w:r w:rsidRPr="00E817CB">
        <w:rPr>
          <w:rFonts w:cs="Arial"/>
          <w:spacing w:val="-4"/>
        </w:rPr>
        <w:t xml:space="preserve"> </w:t>
      </w:r>
      <w:r w:rsidRPr="00E817CB">
        <w:rPr>
          <w:rFonts w:cs="Arial"/>
          <w:spacing w:val="-1"/>
        </w:rPr>
        <w:t>few</w:t>
      </w:r>
      <w:r w:rsidRPr="00E817CB">
        <w:rPr>
          <w:rFonts w:cs="Arial"/>
          <w:spacing w:val="1"/>
        </w:rPr>
        <w:t xml:space="preserve"> </w:t>
      </w:r>
      <w:r w:rsidRPr="00E817CB">
        <w:rPr>
          <w:rFonts w:cs="Arial"/>
          <w:spacing w:val="-1"/>
        </w:rPr>
        <w:t>drops</w:t>
      </w:r>
      <w:r w:rsidRPr="00E817CB">
        <w:rPr>
          <w:rFonts w:cs="Arial"/>
          <w:spacing w:val="-2"/>
        </w:rPr>
        <w:t xml:space="preserve"> </w:t>
      </w:r>
      <w:r w:rsidRPr="00E817CB">
        <w:rPr>
          <w:rFonts w:cs="Arial"/>
        </w:rPr>
        <w:t xml:space="preserve">of </w:t>
      </w:r>
      <w:r w:rsidRPr="00E817CB">
        <w:rPr>
          <w:rFonts w:cs="Arial"/>
          <w:spacing w:val="-1"/>
        </w:rPr>
        <w:t>chloroform.</w:t>
      </w:r>
      <w:r w:rsidRPr="00E817CB">
        <w:rPr>
          <w:rFonts w:cs="Arial"/>
        </w:rPr>
        <w:t xml:space="preserve">  </w:t>
      </w:r>
      <w:r w:rsidRPr="00E817CB">
        <w:rPr>
          <w:rFonts w:cs="Arial"/>
          <w:spacing w:val="-1"/>
        </w:rPr>
        <w:t>Stable</w:t>
      </w:r>
      <w:r w:rsidRPr="00E817CB">
        <w:rPr>
          <w:rFonts w:cs="Arial"/>
        </w:rPr>
        <w:t xml:space="preserve"> if </w:t>
      </w:r>
      <w:r w:rsidRPr="00E817CB">
        <w:rPr>
          <w:rFonts w:cs="Arial"/>
          <w:spacing w:val="-1"/>
        </w:rPr>
        <w:t>preserved.</w:t>
      </w:r>
    </w:p>
    <w:p w14:paraId="2B99A99B" w14:textId="77777777" w:rsidR="0031675F" w:rsidRPr="00E817CB" w:rsidRDefault="0031675F" w:rsidP="0031675F">
      <w:pPr>
        <w:spacing w:before="2"/>
        <w:rPr>
          <w:rFonts w:cs="Arial"/>
        </w:rPr>
      </w:pPr>
    </w:p>
    <w:p w14:paraId="410C6A03" w14:textId="77777777" w:rsidR="0031675F" w:rsidRPr="00E817CB" w:rsidRDefault="0031675F" w:rsidP="0031675F">
      <w:pPr>
        <w:ind w:left="118"/>
        <w:jc w:val="both"/>
        <w:rPr>
          <w:rFonts w:cs="Arial"/>
        </w:rPr>
      </w:pPr>
      <w:r w:rsidRPr="00E817CB">
        <w:rPr>
          <w:rFonts w:cs="Arial"/>
          <w:i/>
          <w:spacing w:val="-1"/>
        </w:rPr>
        <w:t>Working</w:t>
      </w:r>
      <w:r w:rsidRPr="00E817CB">
        <w:rPr>
          <w:rFonts w:cs="Arial"/>
          <w:i/>
          <w:spacing w:val="-3"/>
        </w:rPr>
        <w:t xml:space="preserve"> </w:t>
      </w:r>
      <w:r w:rsidRPr="00E817CB">
        <w:rPr>
          <w:rFonts w:cs="Arial"/>
          <w:i/>
          <w:spacing w:val="-1"/>
        </w:rPr>
        <w:t>Standards</w:t>
      </w:r>
    </w:p>
    <w:p w14:paraId="144BD29A" w14:textId="77777777" w:rsidR="0031675F" w:rsidRPr="00E817CB" w:rsidRDefault="0031675F" w:rsidP="0031675F">
      <w:pPr>
        <w:widowControl w:val="0"/>
        <w:numPr>
          <w:ilvl w:val="0"/>
          <w:numId w:val="100"/>
        </w:numPr>
        <w:tabs>
          <w:tab w:val="left" w:pos="839"/>
        </w:tabs>
        <w:spacing w:before="0" w:after="0" w:line="240" w:lineRule="auto"/>
        <w:rPr>
          <w:rFonts w:cs="Arial"/>
        </w:rPr>
      </w:pPr>
      <w:r w:rsidRPr="00E817CB">
        <w:rPr>
          <w:rFonts w:cs="Arial"/>
          <w:spacing w:val="-1"/>
        </w:rPr>
        <w:t>Blank-</w:t>
      </w:r>
      <w:r w:rsidRPr="00E817CB">
        <w:rPr>
          <w:rFonts w:cs="Arial"/>
        </w:rPr>
        <w:t xml:space="preserve"> </w:t>
      </w:r>
      <w:r w:rsidRPr="00E817CB">
        <w:rPr>
          <w:rFonts w:cs="Arial"/>
          <w:spacing w:val="-1"/>
        </w:rPr>
        <w:t>Deionised</w:t>
      </w:r>
      <w:r w:rsidRPr="00E817CB">
        <w:rPr>
          <w:rFonts w:cs="Arial"/>
          <w:spacing w:val="-4"/>
        </w:rPr>
        <w:t xml:space="preserve"> </w:t>
      </w:r>
      <w:r w:rsidRPr="00E817CB">
        <w:rPr>
          <w:rFonts w:cs="Arial"/>
          <w:spacing w:val="-1"/>
        </w:rPr>
        <w:t>water</w:t>
      </w:r>
    </w:p>
    <w:p w14:paraId="3BDB2BCC" w14:textId="7651592B" w:rsidR="0031675F" w:rsidRPr="00E817CB" w:rsidRDefault="0031675F" w:rsidP="0031675F">
      <w:pPr>
        <w:widowControl w:val="0"/>
        <w:numPr>
          <w:ilvl w:val="0"/>
          <w:numId w:val="100"/>
        </w:numPr>
        <w:tabs>
          <w:tab w:val="left" w:pos="839"/>
        </w:tabs>
        <w:spacing w:before="5" w:after="0" w:line="232" w:lineRule="auto"/>
        <w:ind w:right="656"/>
        <w:rPr>
          <w:rFonts w:cs="Arial"/>
        </w:rPr>
      </w:pPr>
      <w:r w:rsidRPr="00E817CB">
        <w:rPr>
          <w:rFonts w:cs="Arial"/>
          <w:spacing w:val="-1"/>
        </w:rPr>
        <w:t>5</w:t>
      </w:r>
      <w:r w:rsidR="00E37A70">
        <w:rPr>
          <w:rFonts w:cs="Arial"/>
          <w:spacing w:val="-1"/>
        </w:rPr>
        <w:t xml:space="preserve"> </w:t>
      </w:r>
      <w:r w:rsidRPr="00E817CB">
        <w:rPr>
          <w:rFonts w:cs="Arial"/>
          <w:spacing w:val="-1"/>
        </w:rPr>
        <w:t>µmol</w:t>
      </w:r>
      <w:r w:rsidR="00E37A70">
        <w:rPr>
          <w:rFonts w:cs="Arial"/>
          <w:spacing w:val="-1"/>
        </w:rPr>
        <w:t xml:space="preserve"> L</w:t>
      </w:r>
      <w:r w:rsidR="00E37A70" w:rsidRPr="00E37A70">
        <w:rPr>
          <w:rFonts w:cs="Arial"/>
          <w:spacing w:val="-1"/>
          <w:vertAlign w:val="superscript"/>
        </w:rPr>
        <w:t>-1</w:t>
      </w:r>
      <w:r w:rsidRPr="00E817CB">
        <w:rPr>
          <w:rFonts w:cs="Arial"/>
        </w:rPr>
        <w:t xml:space="preserve"> </w:t>
      </w:r>
      <w:r w:rsidRPr="00E817CB">
        <w:rPr>
          <w:rFonts w:cs="Arial"/>
          <w:spacing w:val="15"/>
        </w:rPr>
        <w:t xml:space="preserve"> </w:t>
      </w:r>
      <w:r w:rsidRPr="00E817CB">
        <w:rPr>
          <w:rFonts w:cs="Arial"/>
          <w:spacing w:val="-1"/>
        </w:rPr>
        <w:t>P</w:t>
      </w:r>
      <w:r w:rsidR="00E37A70">
        <w:rPr>
          <w:rFonts w:cs="Arial"/>
        </w:rPr>
        <w:t>O</w:t>
      </w:r>
      <w:r w:rsidR="00E37A70" w:rsidRPr="00E37A70">
        <w:rPr>
          <w:rFonts w:cs="Arial"/>
          <w:vertAlign w:val="subscript"/>
        </w:rPr>
        <w:t>4</w:t>
      </w:r>
      <w:r w:rsidRPr="00E817CB">
        <w:rPr>
          <w:rFonts w:cs="Arial"/>
          <w:spacing w:val="-1"/>
        </w:rPr>
        <w:t>-P</w:t>
      </w:r>
      <w:r w:rsidRPr="00E817CB">
        <w:rPr>
          <w:rFonts w:cs="Arial"/>
          <w:spacing w:val="9"/>
        </w:rPr>
        <w:t xml:space="preserve"> </w:t>
      </w:r>
      <w:r w:rsidRPr="00E817CB">
        <w:rPr>
          <w:rFonts w:cs="Arial"/>
        </w:rPr>
        <w:t>-</w:t>
      </w:r>
      <w:r w:rsidRPr="00E817CB">
        <w:rPr>
          <w:rFonts w:cs="Arial"/>
          <w:spacing w:val="7"/>
        </w:rPr>
        <w:t xml:space="preserve"> </w:t>
      </w:r>
      <w:r w:rsidRPr="00E817CB">
        <w:rPr>
          <w:rFonts w:cs="Arial"/>
          <w:spacing w:val="-1"/>
        </w:rPr>
        <w:t>Pipette</w:t>
      </w:r>
      <w:r w:rsidRPr="00E817CB">
        <w:rPr>
          <w:rFonts w:cs="Arial"/>
          <w:spacing w:val="6"/>
        </w:rPr>
        <w:t xml:space="preserve"> </w:t>
      </w:r>
      <w:r w:rsidRPr="00E817CB">
        <w:rPr>
          <w:rFonts w:cs="Arial"/>
          <w:spacing w:val="-1"/>
        </w:rPr>
        <w:t>0.5</w:t>
      </w:r>
      <w:r w:rsidRPr="00E817CB">
        <w:rPr>
          <w:rFonts w:cs="Arial"/>
          <w:spacing w:val="5"/>
        </w:rPr>
        <w:t xml:space="preserve"> </w:t>
      </w:r>
      <w:r w:rsidR="00BB13FD" w:rsidRPr="00E817CB">
        <w:rPr>
          <w:rFonts w:cs="Arial"/>
          <w:spacing w:val="-1"/>
        </w:rPr>
        <w:t>mL</w:t>
      </w:r>
      <w:r w:rsidRPr="00E817CB">
        <w:rPr>
          <w:rFonts w:cs="Arial"/>
          <w:spacing w:val="7"/>
        </w:rPr>
        <w:t xml:space="preserve"> </w:t>
      </w:r>
      <w:r w:rsidRPr="00E817CB">
        <w:rPr>
          <w:rFonts w:cs="Arial"/>
        </w:rPr>
        <w:t>of</w:t>
      </w:r>
      <w:r w:rsidRPr="00E817CB">
        <w:rPr>
          <w:rFonts w:cs="Arial"/>
          <w:spacing w:val="7"/>
        </w:rPr>
        <w:t xml:space="preserve"> </w:t>
      </w:r>
      <w:r w:rsidRPr="00E817CB">
        <w:rPr>
          <w:rFonts w:cs="Arial"/>
        </w:rPr>
        <w:t>the</w:t>
      </w:r>
      <w:r w:rsidRPr="00E817CB">
        <w:rPr>
          <w:rFonts w:cs="Arial"/>
          <w:spacing w:val="7"/>
        </w:rPr>
        <w:t xml:space="preserve"> </w:t>
      </w:r>
      <w:r w:rsidRPr="00E817CB">
        <w:rPr>
          <w:rFonts w:cs="Arial"/>
          <w:spacing w:val="-1"/>
        </w:rPr>
        <w:t>primary</w:t>
      </w:r>
      <w:r w:rsidRPr="00E817CB">
        <w:rPr>
          <w:rFonts w:cs="Arial"/>
          <w:spacing w:val="8"/>
        </w:rPr>
        <w:t xml:space="preserve"> </w:t>
      </w:r>
      <w:r w:rsidRPr="00E817CB">
        <w:rPr>
          <w:rFonts w:cs="Arial"/>
          <w:spacing w:val="-1"/>
        </w:rPr>
        <w:t>standard</w:t>
      </w:r>
      <w:r w:rsidRPr="00E817CB">
        <w:rPr>
          <w:rFonts w:cs="Arial"/>
          <w:spacing w:val="6"/>
        </w:rPr>
        <w:t xml:space="preserve"> </w:t>
      </w:r>
      <w:r w:rsidRPr="00E817CB">
        <w:rPr>
          <w:rFonts w:cs="Arial"/>
          <w:spacing w:val="-1"/>
        </w:rPr>
        <w:t>into</w:t>
      </w:r>
      <w:r w:rsidRPr="00E817CB">
        <w:rPr>
          <w:rFonts w:cs="Arial"/>
          <w:spacing w:val="9"/>
        </w:rPr>
        <w:t xml:space="preserve"> </w:t>
      </w:r>
      <w:r w:rsidRPr="00E817CB">
        <w:rPr>
          <w:rFonts w:cs="Arial"/>
        </w:rPr>
        <w:t>a</w:t>
      </w:r>
      <w:r w:rsidRPr="00E817CB">
        <w:rPr>
          <w:rFonts w:cs="Arial"/>
          <w:spacing w:val="7"/>
        </w:rPr>
        <w:t xml:space="preserve"> </w:t>
      </w:r>
      <w:r w:rsidRPr="00E817CB">
        <w:rPr>
          <w:rFonts w:cs="Arial"/>
          <w:spacing w:val="-1"/>
        </w:rPr>
        <w:t>100</w:t>
      </w:r>
      <w:r w:rsidRPr="00E817CB">
        <w:rPr>
          <w:rFonts w:cs="Arial"/>
          <w:spacing w:val="8"/>
        </w:rPr>
        <w:t xml:space="preserve"> </w:t>
      </w:r>
      <w:r w:rsidR="00BB13FD" w:rsidRPr="00E817CB">
        <w:rPr>
          <w:rFonts w:cs="Arial"/>
        </w:rPr>
        <w:t>mL</w:t>
      </w:r>
      <w:r w:rsidRPr="00E817CB">
        <w:rPr>
          <w:rFonts w:cs="Arial"/>
          <w:spacing w:val="4"/>
        </w:rPr>
        <w:t xml:space="preserve"> </w:t>
      </w:r>
      <w:r w:rsidRPr="00E817CB">
        <w:rPr>
          <w:rFonts w:cs="Arial"/>
          <w:spacing w:val="-1"/>
        </w:rPr>
        <w:t>volumetric</w:t>
      </w:r>
      <w:r w:rsidRPr="00E817CB">
        <w:rPr>
          <w:rFonts w:cs="Arial"/>
          <w:spacing w:val="7"/>
        </w:rPr>
        <w:t xml:space="preserve"> </w:t>
      </w:r>
      <w:r w:rsidRPr="00E817CB">
        <w:rPr>
          <w:rFonts w:cs="Arial"/>
          <w:spacing w:val="-2"/>
        </w:rPr>
        <w:t>flask</w:t>
      </w:r>
      <w:r w:rsidRPr="00E817CB">
        <w:rPr>
          <w:rFonts w:cs="Arial"/>
          <w:spacing w:val="14"/>
        </w:rPr>
        <w:t xml:space="preserve"> </w:t>
      </w:r>
      <w:r w:rsidRPr="00E817CB">
        <w:rPr>
          <w:rFonts w:cs="Arial"/>
          <w:spacing w:val="-1"/>
        </w:rPr>
        <w:t>and</w:t>
      </w:r>
      <w:r w:rsidRPr="00E817CB">
        <w:rPr>
          <w:rFonts w:cs="Arial"/>
          <w:spacing w:val="61"/>
        </w:rPr>
        <w:t xml:space="preserve"> </w:t>
      </w:r>
      <w:r w:rsidRPr="00E817CB">
        <w:rPr>
          <w:rFonts w:cs="Arial"/>
          <w:spacing w:val="-1"/>
        </w:rPr>
        <w:t>make</w:t>
      </w:r>
      <w:r w:rsidRPr="00E817CB">
        <w:rPr>
          <w:rFonts w:cs="Arial"/>
        </w:rPr>
        <w:t xml:space="preserve"> </w:t>
      </w:r>
      <w:r w:rsidRPr="00E817CB">
        <w:rPr>
          <w:rFonts w:cs="Arial"/>
          <w:spacing w:val="-1"/>
        </w:rPr>
        <w:t>to</w:t>
      </w:r>
      <w:r w:rsidRPr="00E817CB">
        <w:rPr>
          <w:rFonts w:cs="Arial"/>
          <w:spacing w:val="1"/>
        </w:rPr>
        <w:t xml:space="preserve"> </w:t>
      </w:r>
      <w:r w:rsidRPr="00E817CB">
        <w:rPr>
          <w:rFonts w:cs="Arial"/>
          <w:spacing w:val="-2"/>
        </w:rPr>
        <w:t xml:space="preserve">the </w:t>
      </w:r>
      <w:r w:rsidRPr="00E817CB">
        <w:rPr>
          <w:rFonts w:cs="Arial"/>
        </w:rPr>
        <w:t>mark</w:t>
      </w:r>
      <w:r w:rsidRPr="00E817CB">
        <w:rPr>
          <w:rFonts w:cs="Arial"/>
          <w:spacing w:val="-2"/>
        </w:rPr>
        <w:t xml:space="preserve"> </w:t>
      </w:r>
      <w:r w:rsidRPr="00E817CB">
        <w:rPr>
          <w:rFonts w:cs="Arial"/>
        </w:rPr>
        <w:t xml:space="preserve">with </w:t>
      </w:r>
      <w:r w:rsidRPr="00E817CB">
        <w:rPr>
          <w:rFonts w:cs="Arial"/>
          <w:spacing w:val="-1"/>
        </w:rPr>
        <w:t>deionised</w:t>
      </w:r>
      <w:r w:rsidRPr="00E817CB">
        <w:rPr>
          <w:rFonts w:cs="Arial"/>
          <w:spacing w:val="-3"/>
        </w:rPr>
        <w:t xml:space="preserve"> </w:t>
      </w:r>
      <w:r w:rsidRPr="00E817CB">
        <w:rPr>
          <w:rFonts w:cs="Arial"/>
        </w:rPr>
        <w:t>water.</w:t>
      </w:r>
    </w:p>
    <w:p w14:paraId="622C0062" w14:textId="4748D14B" w:rsidR="0031675F" w:rsidRPr="00E817CB" w:rsidRDefault="0031675F" w:rsidP="0031675F">
      <w:pPr>
        <w:widowControl w:val="0"/>
        <w:numPr>
          <w:ilvl w:val="0"/>
          <w:numId w:val="100"/>
        </w:numPr>
        <w:tabs>
          <w:tab w:val="left" w:pos="839"/>
        </w:tabs>
        <w:spacing w:before="0" w:after="0" w:line="270" w:lineRule="exact"/>
        <w:ind w:right="636"/>
        <w:rPr>
          <w:rFonts w:cs="Arial"/>
        </w:rPr>
      </w:pPr>
      <w:r w:rsidRPr="00E817CB">
        <w:rPr>
          <w:rFonts w:cs="Arial"/>
          <w:spacing w:val="-1"/>
        </w:rPr>
        <w:t>10</w:t>
      </w:r>
      <w:r w:rsidR="00E37A70">
        <w:rPr>
          <w:rFonts w:cs="Arial"/>
          <w:spacing w:val="-1"/>
        </w:rPr>
        <w:t xml:space="preserve"> </w:t>
      </w:r>
      <w:r w:rsidRPr="00E817CB">
        <w:rPr>
          <w:rFonts w:cs="Arial"/>
          <w:spacing w:val="-1"/>
        </w:rPr>
        <w:t>µmol</w:t>
      </w:r>
      <w:r w:rsidR="00E37A70" w:rsidRPr="00E37A70">
        <w:rPr>
          <w:rFonts w:cs="Arial"/>
          <w:spacing w:val="-1"/>
        </w:rPr>
        <w:t xml:space="preserve"> </w:t>
      </w:r>
      <w:r w:rsidR="00E37A70">
        <w:rPr>
          <w:rFonts w:cs="Arial"/>
          <w:spacing w:val="-1"/>
        </w:rPr>
        <w:t>L</w:t>
      </w:r>
      <w:r w:rsidR="00E37A70" w:rsidRPr="00E37A70">
        <w:rPr>
          <w:rFonts w:cs="Arial"/>
          <w:spacing w:val="-1"/>
          <w:vertAlign w:val="superscript"/>
        </w:rPr>
        <w:t>-1</w:t>
      </w:r>
      <w:r w:rsidRPr="00E817CB">
        <w:rPr>
          <w:rFonts w:cs="Arial"/>
        </w:rPr>
        <w:t xml:space="preserve">  P</w:t>
      </w:r>
      <w:r w:rsidR="00E37A70">
        <w:rPr>
          <w:rFonts w:cs="Arial"/>
        </w:rPr>
        <w:t>O</w:t>
      </w:r>
      <w:r w:rsidR="00E37A70" w:rsidRPr="00E37A70">
        <w:rPr>
          <w:rFonts w:cs="Arial"/>
          <w:vertAlign w:val="subscript"/>
        </w:rPr>
        <w:t>4</w:t>
      </w:r>
      <w:r w:rsidRPr="00E817CB">
        <w:rPr>
          <w:rFonts w:cs="Arial"/>
        </w:rPr>
        <w:t>-P</w:t>
      </w:r>
      <w:r w:rsidRPr="00E817CB">
        <w:rPr>
          <w:rFonts w:cs="Arial"/>
          <w:spacing w:val="1"/>
        </w:rPr>
        <w:t xml:space="preserve"> </w:t>
      </w:r>
      <w:r w:rsidRPr="00E817CB">
        <w:rPr>
          <w:rFonts w:cs="Arial"/>
        </w:rPr>
        <w:t xml:space="preserve">- </w:t>
      </w:r>
      <w:r w:rsidRPr="00E817CB">
        <w:rPr>
          <w:rFonts w:cs="Arial"/>
          <w:spacing w:val="-1"/>
        </w:rPr>
        <w:t>Pipette</w:t>
      </w:r>
      <w:r w:rsidRPr="00E817CB">
        <w:rPr>
          <w:rFonts w:cs="Arial"/>
        </w:rPr>
        <w:t xml:space="preserve"> 1.0</w:t>
      </w:r>
      <w:r w:rsidRPr="00E817CB">
        <w:rPr>
          <w:rFonts w:cs="Arial"/>
          <w:spacing w:val="-2"/>
        </w:rPr>
        <w:t xml:space="preserve"> </w:t>
      </w:r>
      <w:r w:rsidR="00BB13FD" w:rsidRPr="00E817CB">
        <w:rPr>
          <w:rFonts w:cs="Arial"/>
        </w:rPr>
        <w:t>mL</w:t>
      </w:r>
      <w:r w:rsidRPr="00E817CB">
        <w:rPr>
          <w:rFonts w:cs="Arial"/>
        </w:rPr>
        <w:t xml:space="preserve"> of </w:t>
      </w:r>
      <w:r w:rsidRPr="00E817CB">
        <w:rPr>
          <w:rFonts w:cs="Arial"/>
          <w:spacing w:val="-1"/>
        </w:rPr>
        <w:t>the</w:t>
      </w:r>
      <w:r w:rsidRPr="00E817CB">
        <w:rPr>
          <w:rFonts w:cs="Arial"/>
          <w:spacing w:val="3"/>
        </w:rPr>
        <w:t xml:space="preserve"> </w:t>
      </w:r>
      <w:r w:rsidRPr="00E817CB">
        <w:rPr>
          <w:rFonts w:cs="Arial"/>
          <w:spacing w:val="-1"/>
        </w:rPr>
        <w:t>primary</w:t>
      </w:r>
      <w:r w:rsidRPr="00E817CB">
        <w:rPr>
          <w:rFonts w:cs="Arial"/>
          <w:spacing w:val="1"/>
        </w:rPr>
        <w:t xml:space="preserve"> </w:t>
      </w:r>
      <w:r w:rsidRPr="00E817CB">
        <w:rPr>
          <w:rFonts w:cs="Arial"/>
          <w:spacing w:val="-1"/>
        </w:rPr>
        <w:t>standard into</w:t>
      </w:r>
      <w:r w:rsidRPr="00E817CB">
        <w:rPr>
          <w:rFonts w:cs="Arial"/>
          <w:spacing w:val="2"/>
        </w:rPr>
        <w:t xml:space="preserve"> </w:t>
      </w:r>
      <w:r w:rsidRPr="00E817CB">
        <w:rPr>
          <w:rFonts w:cs="Arial"/>
        </w:rPr>
        <w:t xml:space="preserve">a </w:t>
      </w:r>
      <w:r w:rsidRPr="00E817CB">
        <w:rPr>
          <w:rFonts w:cs="Arial"/>
          <w:spacing w:val="-1"/>
        </w:rPr>
        <w:t>100</w:t>
      </w:r>
      <w:r w:rsidRPr="00E817CB">
        <w:rPr>
          <w:rFonts w:cs="Arial"/>
        </w:rPr>
        <w:t xml:space="preserve"> </w:t>
      </w:r>
      <w:r w:rsidR="00BB13FD" w:rsidRPr="00E817CB">
        <w:rPr>
          <w:rFonts w:cs="Arial"/>
        </w:rPr>
        <w:t>mL</w:t>
      </w:r>
      <w:r w:rsidRPr="00E817CB">
        <w:rPr>
          <w:rFonts w:cs="Arial"/>
        </w:rPr>
        <w:t xml:space="preserve"> </w:t>
      </w:r>
      <w:r w:rsidRPr="00E817CB">
        <w:rPr>
          <w:rFonts w:cs="Arial"/>
          <w:spacing w:val="-1"/>
        </w:rPr>
        <w:t>volumetric</w:t>
      </w:r>
      <w:r w:rsidRPr="00E817CB">
        <w:rPr>
          <w:rFonts w:cs="Arial"/>
        </w:rPr>
        <w:t xml:space="preserve"> </w:t>
      </w:r>
      <w:r w:rsidRPr="00E817CB">
        <w:rPr>
          <w:rFonts w:cs="Arial"/>
          <w:spacing w:val="-1"/>
        </w:rPr>
        <w:t>flask</w:t>
      </w:r>
      <w:r w:rsidRPr="00E817CB">
        <w:rPr>
          <w:rFonts w:cs="Arial"/>
          <w:spacing w:val="3"/>
        </w:rPr>
        <w:t xml:space="preserve"> </w:t>
      </w:r>
      <w:r w:rsidRPr="00E817CB">
        <w:rPr>
          <w:rFonts w:cs="Arial"/>
          <w:spacing w:val="-1"/>
        </w:rPr>
        <w:t>and</w:t>
      </w:r>
      <w:r w:rsidRPr="00E817CB">
        <w:rPr>
          <w:rFonts w:cs="Arial"/>
          <w:spacing w:val="53"/>
        </w:rPr>
        <w:t xml:space="preserve"> </w:t>
      </w:r>
      <w:r w:rsidRPr="00E817CB">
        <w:rPr>
          <w:rFonts w:cs="Arial"/>
          <w:spacing w:val="-1"/>
        </w:rPr>
        <w:t>make</w:t>
      </w:r>
      <w:r w:rsidRPr="00E817CB">
        <w:rPr>
          <w:rFonts w:cs="Arial"/>
        </w:rPr>
        <w:t xml:space="preserve"> </w:t>
      </w:r>
      <w:r w:rsidRPr="00E817CB">
        <w:rPr>
          <w:rFonts w:cs="Arial"/>
          <w:spacing w:val="-1"/>
        </w:rPr>
        <w:t>to</w:t>
      </w:r>
      <w:r w:rsidRPr="00E817CB">
        <w:rPr>
          <w:rFonts w:cs="Arial"/>
          <w:spacing w:val="1"/>
        </w:rPr>
        <w:t xml:space="preserve"> </w:t>
      </w:r>
      <w:r w:rsidRPr="00E817CB">
        <w:rPr>
          <w:rFonts w:cs="Arial"/>
          <w:spacing w:val="-2"/>
        </w:rPr>
        <w:t xml:space="preserve">the </w:t>
      </w:r>
      <w:r w:rsidRPr="00E817CB">
        <w:rPr>
          <w:rFonts w:cs="Arial"/>
        </w:rPr>
        <w:t>mark</w:t>
      </w:r>
      <w:r w:rsidRPr="00E817CB">
        <w:rPr>
          <w:rFonts w:cs="Arial"/>
          <w:spacing w:val="-2"/>
        </w:rPr>
        <w:t xml:space="preserve"> </w:t>
      </w:r>
      <w:r w:rsidRPr="00E817CB">
        <w:rPr>
          <w:rFonts w:cs="Arial"/>
        </w:rPr>
        <w:t xml:space="preserve">with </w:t>
      </w:r>
      <w:r w:rsidRPr="00E817CB">
        <w:rPr>
          <w:rFonts w:cs="Arial"/>
          <w:spacing w:val="-1"/>
        </w:rPr>
        <w:t>deionised</w:t>
      </w:r>
      <w:r w:rsidRPr="00E817CB">
        <w:rPr>
          <w:rFonts w:cs="Arial"/>
          <w:spacing w:val="-3"/>
        </w:rPr>
        <w:t xml:space="preserve"> </w:t>
      </w:r>
      <w:r w:rsidRPr="00E817CB">
        <w:rPr>
          <w:rFonts w:cs="Arial"/>
        </w:rPr>
        <w:t>water.</w:t>
      </w:r>
    </w:p>
    <w:p w14:paraId="4D17902F" w14:textId="523529C1" w:rsidR="0031675F" w:rsidRPr="00E817CB" w:rsidRDefault="0031675F" w:rsidP="0031675F">
      <w:pPr>
        <w:widowControl w:val="0"/>
        <w:numPr>
          <w:ilvl w:val="0"/>
          <w:numId w:val="100"/>
        </w:numPr>
        <w:tabs>
          <w:tab w:val="left" w:pos="839"/>
        </w:tabs>
        <w:spacing w:before="11" w:after="0" w:line="232" w:lineRule="auto"/>
        <w:ind w:right="632"/>
        <w:rPr>
          <w:rFonts w:cs="Arial"/>
        </w:rPr>
      </w:pPr>
      <w:r w:rsidRPr="00E817CB">
        <w:rPr>
          <w:rFonts w:cs="Arial"/>
          <w:spacing w:val="-1"/>
        </w:rPr>
        <w:t>20</w:t>
      </w:r>
      <w:r w:rsidR="00E37A70">
        <w:rPr>
          <w:rFonts w:cs="Arial"/>
          <w:spacing w:val="-1"/>
        </w:rPr>
        <w:t xml:space="preserve"> </w:t>
      </w:r>
      <w:r w:rsidRPr="00E817CB">
        <w:rPr>
          <w:rFonts w:cs="Arial"/>
          <w:spacing w:val="-1"/>
        </w:rPr>
        <w:t>µmol</w:t>
      </w:r>
      <w:r w:rsidR="00E37A70" w:rsidRPr="00E37A70">
        <w:rPr>
          <w:rFonts w:cs="Arial"/>
          <w:spacing w:val="-1"/>
        </w:rPr>
        <w:t xml:space="preserve"> </w:t>
      </w:r>
      <w:r w:rsidR="00E37A70">
        <w:rPr>
          <w:rFonts w:cs="Arial"/>
          <w:spacing w:val="-1"/>
        </w:rPr>
        <w:t>L</w:t>
      </w:r>
      <w:r w:rsidR="00E37A70" w:rsidRPr="00E37A70">
        <w:rPr>
          <w:rFonts w:cs="Arial"/>
          <w:spacing w:val="-1"/>
          <w:vertAlign w:val="superscript"/>
        </w:rPr>
        <w:t>-1</w:t>
      </w:r>
      <w:r w:rsidRPr="00E817CB">
        <w:rPr>
          <w:rFonts w:cs="Arial"/>
        </w:rPr>
        <w:t xml:space="preserve"> P</w:t>
      </w:r>
      <w:r w:rsidR="00E37A70">
        <w:rPr>
          <w:rFonts w:cs="Arial"/>
        </w:rPr>
        <w:t>O</w:t>
      </w:r>
      <w:r w:rsidR="00E37A70" w:rsidRPr="00E37A70">
        <w:rPr>
          <w:rFonts w:cs="Arial"/>
          <w:vertAlign w:val="subscript"/>
        </w:rPr>
        <w:t>4</w:t>
      </w:r>
      <w:r w:rsidRPr="00E817CB">
        <w:rPr>
          <w:rFonts w:cs="Arial"/>
        </w:rPr>
        <w:t>-P</w:t>
      </w:r>
      <w:r w:rsidRPr="00E817CB">
        <w:rPr>
          <w:rFonts w:cs="Arial"/>
          <w:spacing w:val="1"/>
        </w:rPr>
        <w:t xml:space="preserve"> </w:t>
      </w:r>
      <w:r w:rsidRPr="00E817CB">
        <w:rPr>
          <w:rFonts w:cs="Arial"/>
        </w:rPr>
        <w:t xml:space="preserve">- </w:t>
      </w:r>
      <w:r w:rsidRPr="00E817CB">
        <w:rPr>
          <w:rFonts w:cs="Arial"/>
          <w:spacing w:val="-1"/>
        </w:rPr>
        <w:t>Pipette</w:t>
      </w:r>
      <w:r w:rsidRPr="00E817CB">
        <w:rPr>
          <w:rFonts w:cs="Arial"/>
        </w:rPr>
        <w:t xml:space="preserve"> 2.0</w:t>
      </w:r>
      <w:r w:rsidRPr="00E817CB">
        <w:rPr>
          <w:rFonts w:cs="Arial"/>
          <w:spacing w:val="-2"/>
        </w:rPr>
        <w:t xml:space="preserve"> </w:t>
      </w:r>
      <w:r w:rsidR="00BB13FD" w:rsidRPr="00E817CB">
        <w:rPr>
          <w:rFonts w:cs="Arial"/>
        </w:rPr>
        <w:t>mL</w:t>
      </w:r>
      <w:r w:rsidRPr="00E817CB">
        <w:rPr>
          <w:rFonts w:cs="Arial"/>
        </w:rPr>
        <w:t xml:space="preserve"> of </w:t>
      </w:r>
      <w:r w:rsidRPr="00E817CB">
        <w:rPr>
          <w:rFonts w:cs="Arial"/>
          <w:spacing w:val="-1"/>
        </w:rPr>
        <w:t>the</w:t>
      </w:r>
      <w:r w:rsidRPr="00E817CB">
        <w:rPr>
          <w:rFonts w:cs="Arial"/>
          <w:spacing w:val="3"/>
        </w:rPr>
        <w:t xml:space="preserve"> </w:t>
      </w:r>
      <w:r w:rsidRPr="00E817CB">
        <w:rPr>
          <w:rFonts w:cs="Arial"/>
          <w:spacing w:val="-1"/>
        </w:rPr>
        <w:t>primary</w:t>
      </w:r>
      <w:r w:rsidRPr="00E817CB">
        <w:rPr>
          <w:rFonts w:cs="Arial"/>
          <w:spacing w:val="1"/>
        </w:rPr>
        <w:t xml:space="preserve"> </w:t>
      </w:r>
      <w:r w:rsidRPr="00E817CB">
        <w:rPr>
          <w:rFonts w:cs="Arial"/>
          <w:spacing w:val="-1"/>
        </w:rPr>
        <w:t>standard into</w:t>
      </w:r>
      <w:r w:rsidRPr="00E817CB">
        <w:rPr>
          <w:rFonts w:cs="Arial"/>
          <w:spacing w:val="2"/>
        </w:rPr>
        <w:t xml:space="preserve"> </w:t>
      </w:r>
      <w:r w:rsidRPr="00E817CB">
        <w:rPr>
          <w:rFonts w:cs="Arial"/>
        </w:rPr>
        <w:t xml:space="preserve">a </w:t>
      </w:r>
      <w:r w:rsidRPr="00E817CB">
        <w:rPr>
          <w:rFonts w:cs="Arial"/>
          <w:spacing w:val="-1"/>
        </w:rPr>
        <w:t>100</w:t>
      </w:r>
      <w:r w:rsidRPr="00E817CB">
        <w:rPr>
          <w:rFonts w:cs="Arial"/>
        </w:rPr>
        <w:t xml:space="preserve"> </w:t>
      </w:r>
      <w:r w:rsidR="00BB13FD" w:rsidRPr="00E817CB">
        <w:rPr>
          <w:rFonts w:cs="Arial"/>
        </w:rPr>
        <w:t>mL</w:t>
      </w:r>
      <w:r w:rsidRPr="00E817CB">
        <w:rPr>
          <w:rFonts w:cs="Arial"/>
        </w:rPr>
        <w:t xml:space="preserve"> </w:t>
      </w:r>
      <w:r w:rsidRPr="00E817CB">
        <w:rPr>
          <w:rFonts w:cs="Arial"/>
          <w:spacing w:val="-1"/>
        </w:rPr>
        <w:t>volumetric</w:t>
      </w:r>
      <w:r w:rsidRPr="00E817CB">
        <w:rPr>
          <w:rFonts w:cs="Arial"/>
        </w:rPr>
        <w:t xml:space="preserve"> </w:t>
      </w:r>
      <w:r w:rsidRPr="00E817CB">
        <w:rPr>
          <w:rFonts w:cs="Arial"/>
          <w:spacing w:val="-1"/>
        </w:rPr>
        <w:t>flask</w:t>
      </w:r>
      <w:r w:rsidRPr="00E817CB">
        <w:rPr>
          <w:rFonts w:cs="Arial"/>
          <w:spacing w:val="3"/>
        </w:rPr>
        <w:t xml:space="preserve"> </w:t>
      </w:r>
      <w:r w:rsidRPr="00E817CB">
        <w:rPr>
          <w:rFonts w:cs="Arial"/>
          <w:spacing w:val="1"/>
        </w:rPr>
        <w:t>and</w:t>
      </w:r>
      <w:r w:rsidRPr="00E817CB">
        <w:rPr>
          <w:rFonts w:cs="Arial"/>
          <w:spacing w:val="48"/>
        </w:rPr>
        <w:t xml:space="preserve"> </w:t>
      </w:r>
      <w:r w:rsidRPr="00E817CB">
        <w:rPr>
          <w:rFonts w:cs="Arial"/>
          <w:spacing w:val="-1"/>
        </w:rPr>
        <w:t>make</w:t>
      </w:r>
      <w:r w:rsidRPr="00E817CB">
        <w:rPr>
          <w:rFonts w:cs="Arial"/>
        </w:rPr>
        <w:t xml:space="preserve"> </w:t>
      </w:r>
      <w:r w:rsidRPr="00E817CB">
        <w:rPr>
          <w:rFonts w:cs="Arial"/>
          <w:spacing w:val="-1"/>
        </w:rPr>
        <w:t>to</w:t>
      </w:r>
      <w:r w:rsidRPr="00E817CB">
        <w:rPr>
          <w:rFonts w:cs="Arial"/>
          <w:spacing w:val="1"/>
        </w:rPr>
        <w:t xml:space="preserve"> </w:t>
      </w:r>
      <w:r w:rsidRPr="00E817CB">
        <w:rPr>
          <w:rFonts w:cs="Arial"/>
          <w:spacing w:val="-2"/>
        </w:rPr>
        <w:t xml:space="preserve">the </w:t>
      </w:r>
      <w:r w:rsidRPr="00E817CB">
        <w:rPr>
          <w:rFonts w:cs="Arial"/>
        </w:rPr>
        <w:t>mark</w:t>
      </w:r>
      <w:r w:rsidRPr="00E817CB">
        <w:rPr>
          <w:rFonts w:cs="Arial"/>
          <w:spacing w:val="-2"/>
        </w:rPr>
        <w:t xml:space="preserve"> </w:t>
      </w:r>
      <w:r w:rsidRPr="00E817CB">
        <w:rPr>
          <w:rFonts w:cs="Arial"/>
        </w:rPr>
        <w:t xml:space="preserve">with </w:t>
      </w:r>
      <w:r w:rsidRPr="00E817CB">
        <w:rPr>
          <w:rFonts w:cs="Arial"/>
          <w:spacing w:val="-1"/>
        </w:rPr>
        <w:t>deionised</w:t>
      </w:r>
      <w:r w:rsidRPr="00E817CB">
        <w:rPr>
          <w:rFonts w:cs="Arial"/>
          <w:spacing w:val="-3"/>
        </w:rPr>
        <w:t xml:space="preserve"> </w:t>
      </w:r>
      <w:r w:rsidRPr="00E817CB">
        <w:rPr>
          <w:rFonts w:cs="Arial"/>
        </w:rPr>
        <w:t>water.</w:t>
      </w:r>
    </w:p>
    <w:p w14:paraId="1C033A16" w14:textId="3F3BFDFB" w:rsidR="0031675F" w:rsidRPr="00E817CB" w:rsidRDefault="0031675F" w:rsidP="0031675F">
      <w:pPr>
        <w:rPr>
          <w:rFonts w:cs="Arial"/>
        </w:rPr>
      </w:pPr>
    </w:p>
    <w:p w14:paraId="5C03B229" w14:textId="77777777" w:rsidR="0031675F" w:rsidRPr="0031675F" w:rsidRDefault="0031675F" w:rsidP="0031675F">
      <w:pPr>
        <w:widowControl w:val="0"/>
        <w:numPr>
          <w:ilvl w:val="3"/>
          <w:numId w:val="103"/>
        </w:numPr>
        <w:tabs>
          <w:tab w:val="left" w:pos="839"/>
        </w:tabs>
        <w:spacing w:before="0" w:after="0" w:line="240" w:lineRule="auto"/>
        <w:jc w:val="both"/>
        <w:rPr>
          <w:rFonts w:cs="Calibri"/>
        </w:rPr>
      </w:pPr>
      <w:r w:rsidRPr="0031675F">
        <w:rPr>
          <w:b/>
          <w:i/>
          <w:spacing w:val="-1"/>
        </w:rPr>
        <w:t>Procedure</w:t>
      </w:r>
    </w:p>
    <w:p w14:paraId="14D6B447" w14:textId="041D93AD" w:rsidR="0031675F" w:rsidRPr="0031675F" w:rsidRDefault="0031675F" w:rsidP="0031675F">
      <w:pPr>
        <w:spacing w:before="120" w:after="120"/>
        <w:ind w:right="634"/>
        <w:jc w:val="both"/>
      </w:pPr>
      <w:r w:rsidRPr="0031675F">
        <w:t>Place</w:t>
      </w:r>
      <w:r w:rsidRPr="0031675F">
        <w:rPr>
          <w:spacing w:val="7"/>
        </w:rPr>
        <w:t xml:space="preserve"> </w:t>
      </w:r>
      <w:r w:rsidRPr="0031675F">
        <w:t>each</w:t>
      </w:r>
      <w:r w:rsidRPr="0031675F">
        <w:rPr>
          <w:spacing w:val="9"/>
        </w:rPr>
        <w:t xml:space="preserve"> </w:t>
      </w:r>
      <w:r w:rsidRPr="0031675F">
        <w:rPr>
          <w:spacing w:val="-1"/>
        </w:rPr>
        <w:t>sample</w:t>
      </w:r>
      <w:r w:rsidRPr="0031675F">
        <w:rPr>
          <w:spacing w:val="7"/>
        </w:rPr>
        <w:t xml:space="preserve"> </w:t>
      </w:r>
      <w:r w:rsidRPr="0031675F">
        <w:rPr>
          <w:spacing w:val="-1"/>
        </w:rPr>
        <w:t>filter</w:t>
      </w:r>
      <w:r w:rsidRPr="0031675F">
        <w:rPr>
          <w:spacing w:val="7"/>
        </w:rPr>
        <w:t xml:space="preserve"> </w:t>
      </w:r>
      <w:r w:rsidRPr="0031675F">
        <w:t>in</w:t>
      </w:r>
      <w:r w:rsidRPr="0031675F">
        <w:rPr>
          <w:spacing w:val="6"/>
        </w:rPr>
        <w:t xml:space="preserve"> </w:t>
      </w:r>
      <w:r w:rsidRPr="0031675F">
        <w:t>a</w:t>
      </w:r>
      <w:r w:rsidRPr="0031675F">
        <w:rPr>
          <w:spacing w:val="9"/>
        </w:rPr>
        <w:t xml:space="preserve"> </w:t>
      </w:r>
      <w:r w:rsidRPr="0031675F">
        <w:rPr>
          <w:spacing w:val="-1"/>
        </w:rPr>
        <w:t>numbered</w:t>
      </w:r>
      <w:r w:rsidRPr="0031675F">
        <w:rPr>
          <w:spacing w:val="7"/>
        </w:rPr>
        <w:t xml:space="preserve"> </w:t>
      </w:r>
      <w:r w:rsidRPr="0031675F">
        <w:rPr>
          <w:spacing w:val="-1"/>
        </w:rPr>
        <w:t>7</w:t>
      </w:r>
      <w:r w:rsidR="00BB13FD">
        <w:rPr>
          <w:spacing w:val="-1"/>
        </w:rPr>
        <w:t xml:space="preserve"> </w:t>
      </w:r>
      <w:r w:rsidRPr="0031675F">
        <w:rPr>
          <w:spacing w:val="-1"/>
        </w:rPr>
        <w:t>m</w:t>
      </w:r>
      <w:r w:rsidR="00BB13FD">
        <w:rPr>
          <w:spacing w:val="-1"/>
        </w:rPr>
        <w:t>L</w:t>
      </w:r>
      <w:r w:rsidRPr="0031675F">
        <w:rPr>
          <w:spacing w:val="9"/>
        </w:rPr>
        <w:t xml:space="preserve"> </w:t>
      </w:r>
      <w:r w:rsidRPr="0031675F">
        <w:rPr>
          <w:spacing w:val="-1"/>
        </w:rPr>
        <w:t>scintillation</w:t>
      </w:r>
      <w:r w:rsidRPr="0031675F">
        <w:rPr>
          <w:spacing w:val="9"/>
        </w:rPr>
        <w:t xml:space="preserve"> </w:t>
      </w:r>
      <w:r w:rsidRPr="0031675F">
        <w:t>vial</w:t>
      </w:r>
      <w:r w:rsidRPr="0031675F">
        <w:rPr>
          <w:spacing w:val="6"/>
        </w:rPr>
        <w:t xml:space="preserve"> </w:t>
      </w:r>
      <w:r w:rsidRPr="0031675F">
        <w:rPr>
          <w:spacing w:val="-1"/>
        </w:rPr>
        <w:t>and</w:t>
      </w:r>
      <w:r w:rsidRPr="0031675F">
        <w:rPr>
          <w:spacing w:val="9"/>
        </w:rPr>
        <w:t xml:space="preserve"> </w:t>
      </w:r>
      <w:r w:rsidRPr="0031675F">
        <w:rPr>
          <w:spacing w:val="-1"/>
        </w:rPr>
        <w:t>add</w:t>
      </w:r>
      <w:r w:rsidRPr="0031675F">
        <w:rPr>
          <w:spacing w:val="9"/>
        </w:rPr>
        <w:t xml:space="preserve"> </w:t>
      </w:r>
      <w:r w:rsidRPr="0031675F">
        <w:rPr>
          <w:spacing w:val="-1"/>
        </w:rPr>
        <w:t>2.5</w:t>
      </w:r>
      <w:r w:rsidRPr="0031675F">
        <w:rPr>
          <w:spacing w:val="8"/>
        </w:rPr>
        <w:t xml:space="preserve"> </w:t>
      </w:r>
      <w:r w:rsidR="00BB13FD">
        <w:t>mL</w:t>
      </w:r>
      <w:r w:rsidRPr="0031675F">
        <w:rPr>
          <w:spacing w:val="7"/>
        </w:rPr>
        <w:t xml:space="preserve"> </w:t>
      </w:r>
      <w:r w:rsidRPr="0031675F">
        <w:t>of</w:t>
      </w:r>
      <w:r w:rsidRPr="0031675F">
        <w:rPr>
          <w:spacing w:val="7"/>
        </w:rPr>
        <w:t xml:space="preserve"> </w:t>
      </w:r>
      <w:r w:rsidRPr="0031675F">
        <w:rPr>
          <w:spacing w:val="-1"/>
        </w:rPr>
        <w:t>the</w:t>
      </w:r>
      <w:r w:rsidRPr="0031675F">
        <w:rPr>
          <w:spacing w:val="10"/>
        </w:rPr>
        <w:t xml:space="preserve"> </w:t>
      </w:r>
      <w:r w:rsidRPr="0031675F">
        <w:rPr>
          <w:spacing w:val="-1"/>
        </w:rPr>
        <w:t>persul</w:t>
      </w:r>
      <w:r w:rsidR="00CC6786">
        <w:rPr>
          <w:spacing w:val="-1"/>
        </w:rPr>
        <w:t>f</w:t>
      </w:r>
      <w:r w:rsidRPr="0031675F">
        <w:rPr>
          <w:spacing w:val="-1"/>
        </w:rPr>
        <w:t>ate</w:t>
      </w:r>
      <w:r w:rsidRPr="0031675F">
        <w:rPr>
          <w:spacing w:val="55"/>
        </w:rPr>
        <w:t xml:space="preserve"> </w:t>
      </w:r>
      <w:r w:rsidRPr="0031675F">
        <w:rPr>
          <w:spacing w:val="-1"/>
        </w:rPr>
        <w:t>solution.</w:t>
      </w:r>
      <w:r w:rsidRPr="0031675F">
        <w:rPr>
          <w:spacing w:val="8"/>
        </w:rPr>
        <w:t xml:space="preserve"> </w:t>
      </w:r>
      <w:r w:rsidRPr="0031675F">
        <w:t>When</w:t>
      </w:r>
      <w:r w:rsidRPr="0031675F">
        <w:rPr>
          <w:spacing w:val="27"/>
        </w:rPr>
        <w:t xml:space="preserve"> </w:t>
      </w:r>
      <w:r w:rsidRPr="0031675F">
        <w:t>all</w:t>
      </w:r>
      <w:r w:rsidRPr="0031675F">
        <w:rPr>
          <w:spacing w:val="28"/>
        </w:rPr>
        <w:t xml:space="preserve"> </w:t>
      </w:r>
      <w:r w:rsidRPr="0031675F">
        <w:rPr>
          <w:spacing w:val="-1"/>
        </w:rPr>
        <w:t>samples</w:t>
      </w:r>
      <w:r w:rsidRPr="0031675F">
        <w:rPr>
          <w:spacing w:val="29"/>
        </w:rPr>
        <w:t xml:space="preserve"> </w:t>
      </w:r>
      <w:r w:rsidRPr="0031675F">
        <w:t>are</w:t>
      </w:r>
      <w:r w:rsidRPr="0031675F">
        <w:rPr>
          <w:spacing w:val="26"/>
        </w:rPr>
        <w:t xml:space="preserve"> </w:t>
      </w:r>
      <w:r w:rsidRPr="0031675F">
        <w:rPr>
          <w:spacing w:val="-1"/>
        </w:rPr>
        <w:t>completed,</w:t>
      </w:r>
      <w:r w:rsidRPr="0031675F">
        <w:rPr>
          <w:spacing w:val="27"/>
        </w:rPr>
        <w:t xml:space="preserve"> </w:t>
      </w:r>
      <w:r w:rsidRPr="0031675F">
        <w:rPr>
          <w:spacing w:val="-1"/>
        </w:rPr>
        <w:t>move</w:t>
      </w:r>
      <w:r w:rsidRPr="0031675F">
        <w:rPr>
          <w:spacing w:val="27"/>
        </w:rPr>
        <w:t xml:space="preserve"> </w:t>
      </w:r>
      <w:r w:rsidRPr="0031675F">
        <w:rPr>
          <w:spacing w:val="-1"/>
        </w:rPr>
        <w:t>the</w:t>
      </w:r>
      <w:r w:rsidRPr="0031675F">
        <w:rPr>
          <w:spacing w:val="30"/>
        </w:rPr>
        <w:t xml:space="preserve"> </w:t>
      </w:r>
      <w:r w:rsidRPr="0031675F">
        <w:rPr>
          <w:spacing w:val="-1"/>
        </w:rPr>
        <w:t>vials</w:t>
      </w:r>
      <w:r w:rsidRPr="0031675F">
        <w:rPr>
          <w:spacing w:val="26"/>
        </w:rPr>
        <w:t xml:space="preserve"> </w:t>
      </w:r>
      <w:r w:rsidRPr="0031675F">
        <w:t>to</w:t>
      </w:r>
      <w:r w:rsidRPr="0031675F">
        <w:rPr>
          <w:spacing w:val="28"/>
        </w:rPr>
        <w:t xml:space="preserve"> </w:t>
      </w:r>
      <w:r w:rsidRPr="0031675F">
        <w:t>the</w:t>
      </w:r>
      <w:r w:rsidRPr="0031675F">
        <w:rPr>
          <w:spacing w:val="29"/>
        </w:rPr>
        <w:t xml:space="preserve"> </w:t>
      </w:r>
      <w:r w:rsidRPr="0031675F">
        <w:rPr>
          <w:spacing w:val="-1"/>
        </w:rPr>
        <w:t>heating</w:t>
      </w:r>
      <w:r w:rsidRPr="0031675F">
        <w:rPr>
          <w:spacing w:val="27"/>
        </w:rPr>
        <w:t xml:space="preserve"> </w:t>
      </w:r>
      <w:r w:rsidRPr="0031675F">
        <w:rPr>
          <w:spacing w:val="-1"/>
        </w:rPr>
        <w:t>block.</w:t>
      </w:r>
      <w:r w:rsidRPr="0031675F">
        <w:rPr>
          <w:spacing w:val="8"/>
        </w:rPr>
        <w:t xml:space="preserve"> </w:t>
      </w:r>
      <w:r w:rsidRPr="0031675F">
        <w:t>A</w:t>
      </w:r>
      <w:r w:rsidRPr="0031675F">
        <w:rPr>
          <w:spacing w:val="29"/>
        </w:rPr>
        <w:t xml:space="preserve"> </w:t>
      </w:r>
      <w:r w:rsidRPr="0031675F">
        <w:rPr>
          <w:spacing w:val="-1"/>
        </w:rPr>
        <w:t>distilled</w:t>
      </w:r>
      <w:r w:rsidRPr="0031675F">
        <w:rPr>
          <w:spacing w:val="51"/>
        </w:rPr>
        <w:t xml:space="preserve"> </w:t>
      </w:r>
      <w:r w:rsidRPr="0031675F">
        <w:t>water</w:t>
      </w:r>
      <w:r w:rsidRPr="0031675F">
        <w:rPr>
          <w:spacing w:val="18"/>
        </w:rPr>
        <w:t xml:space="preserve"> </w:t>
      </w:r>
      <w:r w:rsidRPr="0031675F">
        <w:rPr>
          <w:spacing w:val="-1"/>
        </w:rPr>
        <w:t>blank</w:t>
      </w:r>
      <w:r w:rsidRPr="0031675F">
        <w:rPr>
          <w:spacing w:val="18"/>
        </w:rPr>
        <w:t xml:space="preserve"> </w:t>
      </w:r>
      <w:r w:rsidRPr="0031675F">
        <w:rPr>
          <w:spacing w:val="-1"/>
        </w:rPr>
        <w:t>and</w:t>
      </w:r>
      <w:r w:rsidRPr="0031675F">
        <w:rPr>
          <w:spacing w:val="17"/>
        </w:rPr>
        <w:t xml:space="preserve"> </w:t>
      </w:r>
      <w:r w:rsidRPr="0031675F">
        <w:t>two</w:t>
      </w:r>
      <w:r w:rsidRPr="0031675F">
        <w:rPr>
          <w:spacing w:val="19"/>
        </w:rPr>
        <w:t xml:space="preserve"> </w:t>
      </w:r>
      <w:r w:rsidRPr="0031675F">
        <w:rPr>
          <w:spacing w:val="-1"/>
        </w:rPr>
        <w:t>digestion/recovery</w:t>
      </w:r>
      <w:r w:rsidRPr="0031675F">
        <w:rPr>
          <w:spacing w:val="18"/>
        </w:rPr>
        <w:t xml:space="preserve"> </w:t>
      </w:r>
      <w:r w:rsidRPr="0031675F">
        <w:rPr>
          <w:spacing w:val="-1"/>
        </w:rPr>
        <w:t>standards</w:t>
      </w:r>
      <w:r w:rsidRPr="0031675F">
        <w:rPr>
          <w:spacing w:val="15"/>
        </w:rPr>
        <w:t xml:space="preserve"> </w:t>
      </w:r>
      <w:r w:rsidRPr="0031675F">
        <w:rPr>
          <w:spacing w:val="-1"/>
        </w:rPr>
        <w:t>(in</w:t>
      </w:r>
      <w:r w:rsidRPr="0031675F">
        <w:rPr>
          <w:spacing w:val="17"/>
        </w:rPr>
        <w:t xml:space="preserve"> </w:t>
      </w:r>
      <w:r w:rsidRPr="0031675F">
        <w:rPr>
          <w:spacing w:val="-1"/>
        </w:rPr>
        <w:t>duplicate)</w:t>
      </w:r>
      <w:r w:rsidRPr="0031675F">
        <w:rPr>
          <w:spacing w:val="18"/>
        </w:rPr>
        <w:t xml:space="preserve"> </w:t>
      </w:r>
      <w:r w:rsidRPr="0031675F">
        <w:t>should</w:t>
      </w:r>
      <w:r w:rsidRPr="0031675F">
        <w:rPr>
          <w:spacing w:val="16"/>
        </w:rPr>
        <w:t xml:space="preserve"> </w:t>
      </w:r>
      <w:r w:rsidRPr="0031675F">
        <w:rPr>
          <w:spacing w:val="-1"/>
        </w:rPr>
        <w:t>be</w:t>
      </w:r>
      <w:r w:rsidRPr="0031675F">
        <w:rPr>
          <w:spacing w:val="18"/>
        </w:rPr>
        <w:t xml:space="preserve"> </w:t>
      </w:r>
      <w:r w:rsidRPr="0031675F">
        <w:rPr>
          <w:spacing w:val="-1"/>
        </w:rPr>
        <w:t>run</w:t>
      </w:r>
      <w:r w:rsidRPr="0031675F">
        <w:rPr>
          <w:spacing w:val="17"/>
        </w:rPr>
        <w:t xml:space="preserve"> </w:t>
      </w:r>
      <w:r w:rsidRPr="0031675F">
        <w:t>in</w:t>
      </w:r>
      <w:r w:rsidRPr="0031675F">
        <w:rPr>
          <w:spacing w:val="19"/>
        </w:rPr>
        <w:t xml:space="preserve"> </w:t>
      </w:r>
      <w:r w:rsidRPr="0031675F">
        <w:t>each</w:t>
      </w:r>
      <w:r w:rsidRPr="0031675F">
        <w:rPr>
          <w:spacing w:val="37"/>
        </w:rPr>
        <w:t xml:space="preserve"> </w:t>
      </w:r>
      <w:r w:rsidRPr="0031675F">
        <w:rPr>
          <w:spacing w:val="-1"/>
        </w:rPr>
        <w:t>digestion</w:t>
      </w:r>
      <w:r w:rsidRPr="0031675F">
        <w:rPr>
          <w:spacing w:val="6"/>
        </w:rPr>
        <w:t xml:space="preserve"> </w:t>
      </w:r>
      <w:r w:rsidRPr="0031675F">
        <w:t>(vial</w:t>
      </w:r>
      <w:r w:rsidRPr="0031675F">
        <w:rPr>
          <w:spacing w:val="6"/>
        </w:rPr>
        <w:t xml:space="preserve"> </w:t>
      </w:r>
      <w:r w:rsidRPr="0031675F">
        <w:rPr>
          <w:spacing w:val="-1"/>
        </w:rPr>
        <w:t>pairs</w:t>
      </w:r>
      <w:r w:rsidRPr="0031675F">
        <w:rPr>
          <w:spacing w:val="10"/>
        </w:rPr>
        <w:t xml:space="preserve"> </w:t>
      </w:r>
      <w:r w:rsidRPr="0031675F">
        <w:rPr>
          <w:spacing w:val="-1"/>
        </w:rPr>
        <w:t>numbered</w:t>
      </w:r>
      <w:r w:rsidRPr="0031675F">
        <w:rPr>
          <w:spacing w:val="9"/>
        </w:rPr>
        <w:t xml:space="preserve"> </w:t>
      </w:r>
      <w:r w:rsidRPr="0031675F">
        <w:rPr>
          <w:spacing w:val="-1"/>
        </w:rPr>
        <w:t>1-3).</w:t>
      </w:r>
      <w:r w:rsidRPr="0031675F">
        <w:t xml:space="preserve"> </w:t>
      </w:r>
      <w:r w:rsidRPr="0031675F">
        <w:rPr>
          <w:spacing w:val="17"/>
        </w:rPr>
        <w:t xml:space="preserve"> </w:t>
      </w:r>
      <w:r w:rsidRPr="0031675F">
        <w:rPr>
          <w:spacing w:val="-1"/>
        </w:rPr>
        <w:t>Sample</w:t>
      </w:r>
      <w:r w:rsidRPr="0031675F">
        <w:rPr>
          <w:spacing w:val="8"/>
        </w:rPr>
        <w:t xml:space="preserve"> </w:t>
      </w:r>
      <w:r w:rsidRPr="0031675F">
        <w:rPr>
          <w:spacing w:val="-1"/>
        </w:rPr>
        <w:t>vials</w:t>
      </w:r>
      <w:r w:rsidRPr="0031675F">
        <w:rPr>
          <w:spacing w:val="10"/>
        </w:rPr>
        <w:t xml:space="preserve"> </w:t>
      </w:r>
      <w:r w:rsidRPr="0031675F">
        <w:rPr>
          <w:spacing w:val="-1"/>
        </w:rPr>
        <w:t>(in</w:t>
      </w:r>
      <w:r w:rsidRPr="0031675F">
        <w:rPr>
          <w:spacing w:val="4"/>
        </w:rPr>
        <w:t xml:space="preserve"> </w:t>
      </w:r>
      <w:r w:rsidRPr="0031675F">
        <w:rPr>
          <w:spacing w:val="-1"/>
        </w:rPr>
        <w:t>duplicate)</w:t>
      </w:r>
      <w:r w:rsidRPr="0031675F">
        <w:rPr>
          <w:spacing w:val="10"/>
        </w:rPr>
        <w:t xml:space="preserve"> </w:t>
      </w:r>
      <w:r w:rsidRPr="0031675F">
        <w:rPr>
          <w:spacing w:val="-1"/>
        </w:rPr>
        <w:t>should</w:t>
      </w:r>
      <w:r w:rsidRPr="0031675F">
        <w:rPr>
          <w:spacing w:val="8"/>
        </w:rPr>
        <w:t xml:space="preserve"> </w:t>
      </w:r>
      <w:r w:rsidRPr="0031675F">
        <w:rPr>
          <w:spacing w:val="-1"/>
        </w:rPr>
        <w:t>be</w:t>
      </w:r>
      <w:r w:rsidRPr="0031675F">
        <w:rPr>
          <w:spacing w:val="10"/>
        </w:rPr>
        <w:t xml:space="preserve"> </w:t>
      </w:r>
      <w:r w:rsidRPr="0031675F">
        <w:rPr>
          <w:spacing w:val="-2"/>
        </w:rPr>
        <w:t>numbered</w:t>
      </w:r>
      <w:r w:rsidRPr="0031675F">
        <w:rPr>
          <w:spacing w:val="9"/>
        </w:rPr>
        <w:t xml:space="preserve"> </w:t>
      </w:r>
      <w:r w:rsidRPr="0031675F">
        <w:rPr>
          <w:spacing w:val="-2"/>
        </w:rPr>
        <w:t>from</w:t>
      </w:r>
      <w:r w:rsidRPr="0031675F">
        <w:rPr>
          <w:spacing w:val="8"/>
        </w:rPr>
        <w:t xml:space="preserve"> </w:t>
      </w:r>
      <w:r w:rsidRPr="0031675F">
        <w:t>4</w:t>
      </w:r>
      <w:r w:rsidRPr="0031675F">
        <w:rPr>
          <w:spacing w:val="10"/>
        </w:rPr>
        <w:t xml:space="preserve"> </w:t>
      </w:r>
      <w:r w:rsidRPr="0031675F">
        <w:rPr>
          <w:spacing w:val="-1"/>
        </w:rPr>
        <w:t>to</w:t>
      </w:r>
    </w:p>
    <w:p w14:paraId="0BCEB20E" w14:textId="77777777" w:rsidR="0031675F" w:rsidRPr="0031675F" w:rsidRDefault="0031675F" w:rsidP="0031675F">
      <w:pPr>
        <w:spacing w:after="120"/>
        <w:ind w:right="634"/>
        <w:jc w:val="both"/>
      </w:pPr>
      <w:r w:rsidRPr="0031675F">
        <w:t>50.</w:t>
      </w:r>
      <w:r w:rsidRPr="0031675F">
        <w:rPr>
          <w:spacing w:val="1"/>
        </w:rPr>
        <w:t xml:space="preserve"> </w:t>
      </w:r>
      <w:r w:rsidRPr="0031675F">
        <w:rPr>
          <w:spacing w:val="-1"/>
        </w:rPr>
        <w:t>Put</w:t>
      </w:r>
      <w:r w:rsidRPr="0031675F">
        <w:rPr>
          <w:spacing w:val="1"/>
        </w:rPr>
        <w:t xml:space="preserve"> </w:t>
      </w:r>
      <w:r w:rsidRPr="0031675F">
        <w:t>a</w:t>
      </w:r>
      <w:r w:rsidRPr="0031675F">
        <w:rPr>
          <w:spacing w:val="1"/>
        </w:rPr>
        <w:t xml:space="preserve"> </w:t>
      </w:r>
      <w:r w:rsidRPr="0031675F">
        <w:t xml:space="preserve">clean </w:t>
      </w:r>
      <w:r w:rsidRPr="0031675F">
        <w:rPr>
          <w:spacing w:val="-1"/>
        </w:rPr>
        <w:t>glass</w:t>
      </w:r>
      <w:r w:rsidRPr="0031675F">
        <w:rPr>
          <w:spacing w:val="46"/>
        </w:rPr>
        <w:t xml:space="preserve"> </w:t>
      </w:r>
      <w:r w:rsidRPr="0031675F">
        <w:rPr>
          <w:spacing w:val="-1"/>
        </w:rPr>
        <w:t>marble</w:t>
      </w:r>
      <w:r w:rsidRPr="0031675F">
        <w:rPr>
          <w:spacing w:val="1"/>
        </w:rPr>
        <w:t xml:space="preserve"> </w:t>
      </w:r>
      <w:r w:rsidRPr="0031675F">
        <w:t xml:space="preserve">on  each  vial  </w:t>
      </w:r>
      <w:r w:rsidRPr="0031675F">
        <w:rPr>
          <w:spacing w:val="-1"/>
        </w:rPr>
        <w:t>to</w:t>
      </w:r>
      <w:r w:rsidRPr="0031675F">
        <w:rPr>
          <w:spacing w:val="2"/>
        </w:rPr>
        <w:t xml:space="preserve"> </w:t>
      </w:r>
      <w:r w:rsidRPr="0031675F">
        <w:rPr>
          <w:spacing w:val="-1"/>
        </w:rPr>
        <w:t>allow</w:t>
      </w:r>
      <w:r w:rsidRPr="0031675F">
        <w:rPr>
          <w:spacing w:val="1"/>
        </w:rPr>
        <w:t xml:space="preserve"> </w:t>
      </w:r>
      <w:r w:rsidRPr="0031675F">
        <w:t>the</w:t>
      </w:r>
      <w:r w:rsidRPr="0031675F">
        <w:rPr>
          <w:spacing w:val="1"/>
        </w:rPr>
        <w:t xml:space="preserve"> </w:t>
      </w:r>
      <w:r w:rsidRPr="0031675F">
        <w:rPr>
          <w:spacing w:val="-1"/>
        </w:rPr>
        <w:t>sample</w:t>
      </w:r>
      <w:r w:rsidRPr="0031675F">
        <w:rPr>
          <w:spacing w:val="1"/>
        </w:rPr>
        <w:t xml:space="preserve"> </w:t>
      </w:r>
      <w:r w:rsidRPr="0031675F">
        <w:t>to</w:t>
      </w:r>
      <w:r w:rsidRPr="0031675F">
        <w:rPr>
          <w:spacing w:val="2"/>
        </w:rPr>
        <w:t xml:space="preserve"> </w:t>
      </w:r>
      <w:r w:rsidRPr="0031675F">
        <w:rPr>
          <w:spacing w:val="-1"/>
        </w:rPr>
        <w:t>reflux</w:t>
      </w:r>
      <w:r w:rsidRPr="0031675F">
        <w:rPr>
          <w:spacing w:val="1"/>
        </w:rPr>
        <w:t xml:space="preserve"> </w:t>
      </w:r>
      <w:r w:rsidRPr="0031675F">
        <w:rPr>
          <w:spacing w:val="-1"/>
        </w:rPr>
        <w:t>while</w:t>
      </w:r>
      <w:r w:rsidRPr="0031675F">
        <w:rPr>
          <w:spacing w:val="1"/>
        </w:rPr>
        <w:t xml:space="preserve"> </w:t>
      </w:r>
      <w:r w:rsidRPr="0031675F">
        <w:rPr>
          <w:spacing w:val="-1"/>
        </w:rPr>
        <w:t>gradually</w:t>
      </w:r>
      <w:r w:rsidRPr="0031675F">
        <w:rPr>
          <w:spacing w:val="43"/>
        </w:rPr>
        <w:t xml:space="preserve"> </w:t>
      </w:r>
      <w:r w:rsidRPr="0031675F">
        <w:rPr>
          <w:spacing w:val="-1"/>
        </w:rPr>
        <w:t>evaporating</w:t>
      </w:r>
      <w:r w:rsidRPr="0031675F">
        <w:rPr>
          <w:spacing w:val="27"/>
        </w:rPr>
        <w:t xml:space="preserve"> </w:t>
      </w:r>
      <w:r w:rsidRPr="0031675F">
        <w:rPr>
          <w:spacing w:val="-1"/>
        </w:rPr>
        <w:t>to</w:t>
      </w:r>
      <w:r w:rsidRPr="0031675F">
        <w:rPr>
          <w:spacing w:val="30"/>
        </w:rPr>
        <w:t xml:space="preserve"> </w:t>
      </w:r>
      <w:r w:rsidRPr="0031675F">
        <w:rPr>
          <w:spacing w:val="-1"/>
        </w:rPr>
        <w:t>dryness.</w:t>
      </w:r>
      <w:r w:rsidRPr="0031675F">
        <w:rPr>
          <w:spacing w:val="5"/>
        </w:rPr>
        <w:t xml:space="preserve"> </w:t>
      </w:r>
      <w:r w:rsidRPr="0031675F">
        <w:rPr>
          <w:spacing w:val="-1"/>
        </w:rPr>
        <w:t>Turn</w:t>
      </w:r>
      <w:r w:rsidRPr="0031675F">
        <w:rPr>
          <w:spacing w:val="28"/>
        </w:rPr>
        <w:t xml:space="preserve"> </w:t>
      </w:r>
      <w:r w:rsidRPr="0031675F">
        <w:t>on</w:t>
      </w:r>
      <w:r w:rsidRPr="0031675F">
        <w:rPr>
          <w:spacing w:val="27"/>
        </w:rPr>
        <w:t xml:space="preserve"> </w:t>
      </w:r>
      <w:r w:rsidRPr="0031675F">
        <w:t>the</w:t>
      </w:r>
      <w:r w:rsidRPr="0031675F">
        <w:rPr>
          <w:spacing w:val="29"/>
        </w:rPr>
        <w:t xml:space="preserve"> </w:t>
      </w:r>
      <w:r w:rsidRPr="0031675F">
        <w:rPr>
          <w:spacing w:val="-1"/>
        </w:rPr>
        <w:t>fry</w:t>
      </w:r>
      <w:r w:rsidRPr="0031675F">
        <w:rPr>
          <w:spacing w:val="30"/>
        </w:rPr>
        <w:t xml:space="preserve"> </w:t>
      </w:r>
      <w:r w:rsidRPr="0031675F">
        <w:rPr>
          <w:spacing w:val="-1"/>
        </w:rPr>
        <w:t>pan</w:t>
      </w:r>
      <w:r w:rsidRPr="0031675F">
        <w:rPr>
          <w:spacing w:val="28"/>
        </w:rPr>
        <w:t xml:space="preserve"> </w:t>
      </w:r>
      <w:r w:rsidRPr="0031675F">
        <w:rPr>
          <w:spacing w:val="-1"/>
        </w:rPr>
        <w:t>and</w:t>
      </w:r>
      <w:r w:rsidRPr="0031675F">
        <w:rPr>
          <w:spacing w:val="27"/>
        </w:rPr>
        <w:t xml:space="preserve"> </w:t>
      </w:r>
      <w:r w:rsidRPr="0031675F">
        <w:rPr>
          <w:spacing w:val="-1"/>
        </w:rPr>
        <w:t>adjust</w:t>
      </w:r>
      <w:r w:rsidRPr="0031675F">
        <w:rPr>
          <w:spacing w:val="30"/>
        </w:rPr>
        <w:t xml:space="preserve"> </w:t>
      </w:r>
      <w:r w:rsidRPr="0031675F">
        <w:t>the</w:t>
      </w:r>
      <w:r w:rsidRPr="0031675F">
        <w:rPr>
          <w:spacing w:val="29"/>
        </w:rPr>
        <w:t xml:space="preserve"> </w:t>
      </w:r>
      <w:r w:rsidRPr="0031675F">
        <w:rPr>
          <w:spacing w:val="-1"/>
        </w:rPr>
        <w:t>temperature</w:t>
      </w:r>
      <w:r w:rsidRPr="0031675F">
        <w:rPr>
          <w:spacing w:val="27"/>
        </w:rPr>
        <w:t xml:space="preserve"> </w:t>
      </w:r>
      <w:r w:rsidRPr="0031675F">
        <w:rPr>
          <w:spacing w:val="-2"/>
        </w:rPr>
        <w:t>so</w:t>
      </w:r>
      <w:r w:rsidRPr="0031675F">
        <w:rPr>
          <w:spacing w:val="30"/>
        </w:rPr>
        <w:t xml:space="preserve"> </w:t>
      </w:r>
      <w:r w:rsidRPr="0031675F">
        <w:rPr>
          <w:spacing w:val="-1"/>
        </w:rPr>
        <w:t>the</w:t>
      </w:r>
      <w:r w:rsidRPr="0031675F">
        <w:rPr>
          <w:spacing w:val="30"/>
        </w:rPr>
        <w:t xml:space="preserve"> </w:t>
      </w:r>
      <w:r w:rsidRPr="0031675F">
        <w:rPr>
          <w:spacing w:val="-1"/>
        </w:rPr>
        <w:t>vials</w:t>
      </w:r>
      <w:r w:rsidRPr="0031675F">
        <w:rPr>
          <w:spacing w:val="29"/>
        </w:rPr>
        <w:t xml:space="preserve"> </w:t>
      </w:r>
      <w:r w:rsidRPr="0031675F">
        <w:rPr>
          <w:spacing w:val="-1"/>
        </w:rPr>
        <w:t>reflux</w:t>
      </w:r>
      <w:r w:rsidRPr="0031675F">
        <w:rPr>
          <w:spacing w:val="71"/>
        </w:rPr>
        <w:t xml:space="preserve"> </w:t>
      </w:r>
      <w:r w:rsidRPr="0031675F">
        <w:rPr>
          <w:spacing w:val="-1"/>
        </w:rPr>
        <w:t>gently.</w:t>
      </w:r>
    </w:p>
    <w:p w14:paraId="139187A6" w14:textId="77777777" w:rsidR="0031675F" w:rsidRPr="0031675F" w:rsidRDefault="0031675F" w:rsidP="0031675F">
      <w:pPr>
        <w:spacing w:before="11"/>
        <w:rPr>
          <w:rFonts w:cs="Calibri"/>
          <w:sz w:val="21"/>
          <w:szCs w:val="21"/>
        </w:rPr>
      </w:pPr>
    </w:p>
    <w:p w14:paraId="510DA67F" w14:textId="3D87DD36" w:rsidR="0031675F" w:rsidRPr="0031675F" w:rsidRDefault="0031675F" w:rsidP="0031675F">
      <w:pPr>
        <w:widowControl w:val="0"/>
        <w:numPr>
          <w:ilvl w:val="0"/>
          <w:numId w:val="99"/>
        </w:numPr>
        <w:tabs>
          <w:tab w:val="left" w:pos="530"/>
        </w:tabs>
        <w:spacing w:before="0" w:after="0" w:line="240" w:lineRule="auto"/>
        <w:ind w:right="638" w:hanging="360"/>
        <w:jc w:val="both"/>
      </w:pPr>
      <w:r w:rsidRPr="0031675F">
        <w:t>When</w:t>
      </w:r>
      <w:r w:rsidRPr="0031675F">
        <w:rPr>
          <w:spacing w:val="4"/>
        </w:rPr>
        <w:t xml:space="preserve"> </w:t>
      </w:r>
      <w:r w:rsidRPr="0031675F">
        <w:t>all</w:t>
      </w:r>
      <w:r w:rsidRPr="0031675F">
        <w:rPr>
          <w:spacing w:val="4"/>
        </w:rPr>
        <w:t xml:space="preserve"> </w:t>
      </w:r>
      <w:r w:rsidRPr="0031675F">
        <w:rPr>
          <w:spacing w:val="-1"/>
        </w:rPr>
        <w:t>vials</w:t>
      </w:r>
      <w:r w:rsidRPr="0031675F">
        <w:rPr>
          <w:spacing w:val="4"/>
        </w:rPr>
        <w:t xml:space="preserve"> </w:t>
      </w:r>
      <w:r w:rsidRPr="0031675F">
        <w:t>are</w:t>
      </w:r>
      <w:r w:rsidRPr="0031675F">
        <w:rPr>
          <w:spacing w:val="5"/>
        </w:rPr>
        <w:t xml:space="preserve"> </w:t>
      </w:r>
      <w:r w:rsidRPr="0031675F">
        <w:rPr>
          <w:spacing w:val="-1"/>
        </w:rPr>
        <w:t>refluxed</w:t>
      </w:r>
      <w:r w:rsidRPr="0031675F">
        <w:rPr>
          <w:spacing w:val="2"/>
        </w:rPr>
        <w:t xml:space="preserve"> </w:t>
      </w:r>
      <w:r w:rsidRPr="0031675F">
        <w:rPr>
          <w:spacing w:val="-1"/>
        </w:rPr>
        <w:t>dry,</w:t>
      </w:r>
      <w:r w:rsidRPr="0031675F">
        <w:rPr>
          <w:spacing w:val="5"/>
        </w:rPr>
        <w:t xml:space="preserve"> </w:t>
      </w:r>
      <w:r w:rsidRPr="0031675F">
        <w:rPr>
          <w:spacing w:val="-1"/>
        </w:rPr>
        <w:t>allow</w:t>
      </w:r>
      <w:r w:rsidRPr="0031675F">
        <w:rPr>
          <w:spacing w:val="5"/>
        </w:rPr>
        <w:t xml:space="preserve"> </w:t>
      </w:r>
      <w:r w:rsidRPr="0031675F">
        <w:rPr>
          <w:spacing w:val="-1"/>
        </w:rPr>
        <w:t>to</w:t>
      </w:r>
      <w:r w:rsidRPr="0031675F">
        <w:rPr>
          <w:spacing w:val="6"/>
        </w:rPr>
        <w:t xml:space="preserve"> </w:t>
      </w:r>
      <w:r w:rsidRPr="0031675F">
        <w:rPr>
          <w:spacing w:val="-1"/>
        </w:rPr>
        <w:t>cool</w:t>
      </w:r>
      <w:r w:rsidRPr="0031675F">
        <w:rPr>
          <w:spacing w:val="4"/>
        </w:rPr>
        <w:t xml:space="preserve"> </w:t>
      </w:r>
      <w:r w:rsidRPr="0031675F">
        <w:rPr>
          <w:spacing w:val="-1"/>
        </w:rPr>
        <w:t>and</w:t>
      </w:r>
      <w:r w:rsidRPr="0031675F">
        <w:rPr>
          <w:spacing w:val="4"/>
        </w:rPr>
        <w:t xml:space="preserve"> </w:t>
      </w:r>
      <w:r w:rsidRPr="0031675F">
        <w:rPr>
          <w:spacing w:val="-2"/>
        </w:rPr>
        <w:t>then</w:t>
      </w:r>
      <w:r w:rsidRPr="0031675F">
        <w:rPr>
          <w:spacing w:val="4"/>
        </w:rPr>
        <w:t xml:space="preserve"> </w:t>
      </w:r>
      <w:r w:rsidRPr="0031675F">
        <w:rPr>
          <w:spacing w:val="-1"/>
        </w:rPr>
        <w:t>add</w:t>
      </w:r>
      <w:r w:rsidRPr="0031675F">
        <w:rPr>
          <w:spacing w:val="4"/>
        </w:rPr>
        <w:t xml:space="preserve"> </w:t>
      </w:r>
      <w:r w:rsidRPr="0031675F">
        <w:rPr>
          <w:spacing w:val="-1"/>
        </w:rPr>
        <w:t>precisely</w:t>
      </w:r>
      <w:r w:rsidRPr="0031675F">
        <w:rPr>
          <w:spacing w:val="3"/>
        </w:rPr>
        <w:t xml:space="preserve"> </w:t>
      </w:r>
      <w:r w:rsidRPr="0031675F">
        <w:t>5</w:t>
      </w:r>
      <w:r w:rsidRPr="0031675F">
        <w:rPr>
          <w:spacing w:val="3"/>
        </w:rPr>
        <w:t xml:space="preserve"> </w:t>
      </w:r>
      <w:r w:rsidR="00BB13FD">
        <w:t>mL</w:t>
      </w:r>
      <w:r w:rsidRPr="0031675F">
        <w:rPr>
          <w:spacing w:val="4"/>
        </w:rPr>
        <w:t xml:space="preserve"> </w:t>
      </w:r>
      <w:r w:rsidRPr="0031675F">
        <w:rPr>
          <w:spacing w:val="-1"/>
        </w:rPr>
        <w:t>DiW</w:t>
      </w:r>
      <w:r w:rsidRPr="0031675F">
        <w:rPr>
          <w:spacing w:val="5"/>
        </w:rPr>
        <w:t xml:space="preserve"> </w:t>
      </w:r>
      <w:r w:rsidRPr="0031675F">
        <w:rPr>
          <w:spacing w:val="-1"/>
        </w:rPr>
        <w:t>to</w:t>
      </w:r>
      <w:r w:rsidRPr="0031675F">
        <w:rPr>
          <w:spacing w:val="6"/>
        </w:rPr>
        <w:t xml:space="preserve"> </w:t>
      </w:r>
      <w:r w:rsidRPr="0031675F">
        <w:t>each</w:t>
      </w:r>
      <w:r w:rsidRPr="0031675F">
        <w:rPr>
          <w:spacing w:val="2"/>
        </w:rPr>
        <w:t xml:space="preserve"> </w:t>
      </w:r>
      <w:r w:rsidRPr="0031675F">
        <w:rPr>
          <w:spacing w:val="-1"/>
        </w:rPr>
        <w:t>vial.</w:t>
      </w:r>
      <w:r w:rsidRPr="0031675F">
        <w:rPr>
          <w:spacing w:val="63"/>
        </w:rPr>
        <w:t xml:space="preserve"> </w:t>
      </w:r>
      <w:r w:rsidRPr="0031675F">
        <w:rPr>
          <w:spacing w:val="-1"/>
        </w:rPr>
        <w:t>Cover</w:t>
      </w:r>
      <w:r w:rsidRPr="0031675F">
        <w:rPr>
          <w:spacing w:val="-2"/>
        </w:rPr>
        <w:t xml:space="preserve"> </w:t>
      </w:r>
      <w:r w:rsidRPr="0031675F">
        <w:t xml:space="preserve">with </w:t>
      </w:r>
      <w:r w:rsidRPr="0031675F">
        <w:rPr>
          <w:spacing w:val="-1"/>
        </w:rPr>
        <w:t>plastic</w:t>
      </w:r>
      <w:r w:rsidRPr="0031675F">
        <w:rPr>
          <w:spacing w:val="-2"/>
        </w:rPr>
        <w:t xml:space="preserve"> </w:t>
      </w:r>
      <w:r w:rsidRPr="0031675F">
        <w:t>wrap</w:t>
      </w:r>
      <w:r w:rsidRPr="0031675F">
        <w:rPr>
          <w:spacing w:val="-4"/>
        </w:rPr>
        <w:t xml:space="preserve"> </w:t>
      </w:r>
      <w:r w:rsidRPr="0031675F">
        <w:rPr>
          <w:spacing w:val="-1"/>
        </w:rPr>
        <w:t>(e.g.</w:t>
      </w:r>
      <w:r w:rsidRPr="0031675F">
        <w:t xml:space="preserve"> </w:t>
      </w:r>
      <w:r w:rsidRPr="0031675F">
        <w:rPr>
          <w:spacing w:val="-1"/>
        </w:rPr>
        <w:t>Gladwrap) and let</w:t>
      </w:r>
      <w:r w:rsidRPr="0031675F">
        <w:t xml:space="preserve"> </w:t>
      </w:r>
      <w:r w:rsidRPr="0031675F">
        <w:rPr>
          <w:spacing w:val="-1"/>
        </w:rPr>
        <w:t>stand</w:t>
      </w:r>
      <w:r w:rsidRPr="0031675F">
        <w:rPr>
          <w:spacing w:val="-3"/>
        </w:rPr>
        <w:t xml:space="preserve"> </w:t>
      </w:r>
      <w:r w:rsidRPr="0031675F">
        <w:rPr>
          <w:spacing w:val="-1"/>
        </w:rPr>
        <w:t>overnight.</w:t>
      </w:r>
    </w:p>
    <w:p w14:paraId="13B94303" w14:textId="77777777" w:rsidR="0031675F" w:rsidRPr="0031675F" w:rsidRDefault="0031675F" w:rsidP="0031675F">
      <w:pPr>
        <w:widowControl w:val="0"/>
        <w:numPr>
          <w:ilvl w:val="0"/>
          <w:numId w:val="99"/>
        </w:numPr>
        <w:tabs>
          <w:tab w:val="left" w:pos="479"/>
        </w:tabs>
        <w:spacing w:before="0" w:after="0" w:line="240" w:lineRule="auto"/>
        <w:ind w:right="634" w:hanging="360"/>
        <w:jc w:val="both"/>
      </w:pPr>
      <w:r w:rsidRPr="0031675F">
        <w:rPr>
          <w:spacing w:val="-1"/>
        </w:rPr>
        <w:t>The</w:t>
      </w:r>
      <w:r w:rsidRPr="0031675F">
        <w:rPr>
          <w:spacing w:val="22"/>
        </w:rPr>
        <w:t xml:space="preserve"> </w:t>
      </w:r>
      <w:r w:rsidRPr="0031675F">
        <w:rPr>
          <w:spacing w:val="-1"/>
        </w:rPr>
        <w:t>filter</w:t>
      </w:r>
      <w:r w:rsidRPr="0031675F">
        <w:rPr>
          <w:spacing w:val="21"/>
        </w:rPr>
        <w:t xml:space="preserve"> </w:t>
      </w:r>
      <w:r w:rsidRPr="0031675F">
        <w:t>in</w:t>
      </w:r>
      <w:r w:rsidRPr="0031675F">
        <w:rPr>
          <w:spacing w:val="20"/>
        </w:rPr>
        <w:t xml:space="preserve"> </w:t>
      </w:r>
      <w:r w:rsidRPr="0031675F">
        <w:rPr>
          <w:spacing w:val="-1"/>
        </w:rPr>
        <w:t>each</w:t>
      </w:r>
      <w:r w:rsidRPr="0031675F">
        <w:rPr>
          <w:spacing w:val="21"/>
        </w:rPr>
        <w:t xml:space="preserve"> </w:t>
      </w:r>
      <w:r w:rsidRPr="0031675F">
        <w:t>vial</w:t>
      </w:r>
      <w:r w:rsidRPr="0031675F">
        <w:rPr>
          <w:spacing w:val="21"/>
        </w:rPr>
        <w:t xml:space="preserve"> </w:t>
      </w:r>
      <w:r w:rsidRPr="0031675F">
        <w:t>is</w:t>
      </w:r>
      <w:r w:rsidRPr="0031675F">
        <w:rPr>
          <w:spacing w:val="21"/>
        </w:rPr>
        <w:t xml:space="preserve"> </w:t>
      </w:r>
      <w:r w:rsidRPr="0031675F">
        <w:rPr>
          <w:spacing w:val="-1"/>
        </w:rPr>
        <w:t>homogenized</w:t>
      </w:r>
      <w:r w:rsidRPr="0031675F">
        <w:rPr>
          <w:spacing w:val="21"/>
        </w:rPr>
        <w:t xml:space="preserve"> </w:t>
      </w:r>
      <w:r w:rsidRPr="0031675F">
        <w:rPr>
          <w:spacing w:val="-1"/>
        </w:rPr>
        <w:t>using</w:t>
      </w:r>
      <w:r w:rsidRPr="0031675F">
        <w:rPr>
          <w:spacing w:val="24"/>
        </w:rPr>
        <w:t xml:space="preserve"> </w:t>
      </w:r>
      <w:r w:rsidRPr="0031675F">
        <w:t>a</w:t>
      </w:r>
      <w:r w:rsidRPr="0031675F">
        <w:rPr>
          <w:spacing w:val="21"/>
        </w:rPr>
        <w:t xml:space="preserve"> </w:t>
      </w:r>
      <w:r w:rsidRPr="0031675F">
        <w:rPr>
          <w:spacing w:val="-1"/>
        </w:rPr>
        <w:t>small</w:t>
      </w:r>
      <w:r w:rsidRPr="0031675F">
        <w:rPr>
          <w:spacing w:val="18"/>
        </w:rPr>
        <w:t xml:space="preserve"> </w:t>
      </w:r>
      <w:r w:rsidRPr="0031675F">
        <w:rPr>
          <w:spacing w:val="-1"/>
        </w:rPr>
        <w:t>motorized</w:t>
      </w:r>
      <w:r w:rsidRPr="0031675F">
        <w:rPr>
          <w:spacing w:val="21"/>
        </w:rPr>
        <w:t xml:space="preserve"> </w:t>
      </w:r>
      <w:r w:rsidRPr="0031675F">
        <w:rPr>
          <w:spacing w:val="-1"/>
        </w:rPr>
        <w:t>mixer</w:t>
      </w:r>
      <w:r w:rsidRPr="0031675F">
        <w:rPr>
          <w:spacing w:val="22"/>
        </w:rPr>
        <w:t xml:space="preserve"> </w:t>
      </w:r>
      <w:r w:rsidRPr="0031675F">
        <w:rPr>
          <w:spacing w:val="-1"/>
        </w:rPr>
        <w:t>made</w:t>
      </w:r>
      <w:r w:rsidRPr="0031675F">
        <w:rPr>
          <w:spacing w:val="22"/>
        </w:rPr>
        <w:t xml:space="preserve"> </w:t>
      </w:r>
      <w:r w:rsidRPr="0031675F">
        <w:rPr>
          <w:spacing w:val="-1"/>
        </w:rPr>
        <w:t>from</w:t>
      </w:r>
      <w:r w:rsidRPr="0031675F">
        <w:rPr>
          <w:spacing w:val="22"/>
        </w:rPr>
        <w:t xml:space="preserve"> </w:t>
      </w:r>
      <w:r w:rsidRPr="0031675F">
        <w:t>a</w:t>
      </w:r>
      <w:r w:rsidRPr="0031675F">
        <w:rPr>
          <w:spacing w:val="21"/>
        </w:rPr>
        <w:t xml:space="preserve"> </w:t>
      </w:r>
      <w:r w:rsidRPr="0031675F">
        <w:rPr>
          <w:spacing w:val="-1"/>
        </w:rPr>
        <w:t>hobby</w:t>
      </w:r>
      <w:r w:rsidRPr="0031675F">
        <w:rPr>
          <w:spacing w:val="43"/>
        </w:rPr>
        <w:t xml:space="preserve"> </w:t>
      </w:r>
      <w:r w:rsidRPr="0031675F">
        <w:rPr>
          <w:spacing w:val="-1"/>
        </w:rPr>
        <w:t>engraver.</w:t>
      </w:r>
      <w:r w:rsidRPr="0031675F">
        <w:rPr>
          <w:spacing w:val="42"/>
        </w:rPr>
        <w:t xml:space="preserve"> </w:t>
      </w:r>
      <w:r w:rsidRPr="0031675F">
        <w:rPr>
          <w:spacing w:val="-1"/>
        </w:rPr>
        <w:t>Rinse</w:t>
      </w:r>
      <w:r w:rsidRPr="0031675F">
        <w:rPr>
          <w:spacing w:val="22"/>
        </w:rPr>
        <w:t xml:space="preserve"> </w:t>
      </w:r>
      <w:r w:rsidRPr="0031675F">
        <w:t>the</w:t>
      </w:r>
      <w:r w:rsidRPr="0031675F">
        <w:rPr>
          <w:spacing w:val="19"/>
        </w:rPr>
        <w:t xml:space="preserve"> </w:t>
      </w:r>
      <w:r w:rsidRPr="0031675F">
        <w:rPr>
          <w:spacing w:val="-1"/>
        </w:rPr>
        <w:t>head</w:t>
      </w:r>
      <w:r w:rsidRPr="0031675F">
        <w:rPr>
          <w:spacing w:val="18"/>
        </w:rPr>
        <w:t xml:space="preserve"> </w:t>
      </w:r>
      <w:r w:rsidRPr="0031675F">
        <w:t>of</w:t>
      </w:r>
      <w:r w:rsidRPr="0031675F">
        <w:rPr>
          <w:spacing w:val="21"/>
        </w:rPr>
        <w:t xml:space="preserve"> </w:t>
      </w:r>
      <w:r w:rsidRPr="0031675F">
        <w:t>the</w:t>
      </w:r>
      <w:r w:rsidRPr="0031675F">
        <w:rPr>
          <w:spacing w:val="19"/>
        </w:rPr>
        <w:t xml:space="preserve"> </w:t>
      </w:r>
      <w:r w:rsidRPr="0031675F">
        <w:rPr>
          <w:spacing w:val="-1"/>
        </w:rPr>
        <w:t>mixer</w:t>
      </w:r>
      <w:r w:rsidRPr="0031675F">
        <w:rPr>
          <w:spacing w:val="22"/>
        </w:rPr>
        <w:t xml:space="preserve"> </w:t>
      </w:r>
      <w:r w:rsidRPr="0031675F">
        <w:rPr>
          <w:spacing w:val="-1"/>
        </w:rPr>
        <w:t>between</w:t>
      </w:r>
      <w:r w:rsidRPr="0031675F">
        <w:rPr>
          <w:spacing w:val="21"/>
        </w:rPr>
        <w:t xml:space="preserve"> </w:t>
      </w:r>
      <w:r w:rsidRPr="0031675F">
        <w:rPr>
          <w:spacing w:val="-1"/>
        </w:rPr>
        <w:t>samples</w:t>
      </w:r>
      <w:r w:rsidRPr="0031675F">
        <w:rPr>
          <w:spacing w:val="22"/>
        </w:rPr>
        <w:t xml:space="preserve"> </w:t>
      </w:r>
      <w:r w:rsidRPr="0031675F">
        <w:t>in</w:t>
      </w:r>
      <w:r w:rsidRPr="0031675F">
        <w:rPr>
          <w:spacing w:val="20"/>
        </w:rPr>
        <w:t xml:space="preserve"> </w:t>
      </w:r>
      <w:r w:rsidRPr="0031675F">
        <w:t>a</w:t>
      </w:r>
      <w:r w:rsidRPr="0031675F">
        <w:rPr>
          <w:spacing w:val="21"/>
        </w:rPr>
        <w:t xml:space="preserve"> </w:t>
      </w:r>
      <w:r w:rsidRPr="0031675F">
        <w:rPr>
          <w:spacing w:val="-1"/>
        </w:rPr>
        <w:t>beaker</w:t>
      </w:r>
      <w:r w:rsidRPr="0031675F">
        <w:rPr>
          <w:spacing w:val="22"/>
        </w:rPr>
        <w:t xml:space="preserve"> </w:t>
      </w:r>
      <w:r w:rsidRPr="0031675F">
        <w:t>of</w:t>
      </w:r>
      <w:r w:rsidRPr="0031675F">
        <w:rPr>
          <w:spacing w:val="19"/>
        </w:rPr>
        <w:t xml:space="preserve"> </w:t>
      </w:r>
      <w:r w:rsidRPr="0031675F">
        <w:t>clean</w:t>
      </w:r>
      <w:r w:rsidRPr="0031675F">
        <w:rPr>
          <w:spacing w:val="18"/>
        </w:rPr>
        <w:t xml:space="preserve"> </w:t>
      </w:r>
      <w:r w:rsidRPr="0031675F">
        <w:t>DiW.</w:t>
      </w:r>
      <w:r w:rsidRPr="0031675F">
        <w:rPr>
          <w:spacing w:val="21"/>
        </w:rPr>
        <w:t xml:space="preserve"> </w:t>
      </w:r>
      <w:r w:rsidRPr="0031675F">
        <w:rPr>
          <w:spacing w:val="-1"/>
        </w:rPr>
        <w:t>After</w:t>
      </w:r>
      <w:r w:rsidRPr="0031675F">
        <w:rPr>
          <w:spacing w:val="43"/>
        </w:rPr>
        <w:t xml:space="preserve"> </w:t>
      </w:r>
      <w:r w:rsidRPr="0031675F">
        <w:rPr>
          <w:spacing w:val="-1"/>
        </w:rPr>
        <w:t>mixing,</w:t>
      </w:r>
      <w:r w:rsidRPr="0031675F">
        <w:t xml:space="preserve"> </w:t>
      </w:r>
      <w:r w:rsidRPr="0031675F">
        <w:rPr>
          <w:spacing w:val="-2"/>
        </w:rPr>
        <w:t>the</w:t>
      </w:r>
      <w:r w:rsidRPr="0031675F">
        <w:t xml:space="preserve"> </w:t>
      </w:r>
      <w:r w:rsidRPr="0031675F">
        <w:rPr>
          <w:spacing w:val="-1"/>
        </w:rPr>
        <w:t>solid particles</w:t>
      </w:r>
      <w:r w:rsidRPr="0031675F">
        <w:t xml:space="preserve"> </w:t>
      </w:r>
      <w:r w:rsidRPr="0031675F">
        <w:rPr>
          <w:spacing w:val="-2"/>
        </w:rPr>
        <w:t>in</w:t>
      </w:r>
      <w:r w:rsidRPr="0031675F">
        <w:rPr>
          <w:spacing w:val="-1"/>
        </w:rPr>
        <w:t xml:space="preserve"> the</w:t>
      </w:r>
      <w:r w:rsidRPr="0031675F">
        <w:t xml:space="preserve"> </w:t>
      </w:r>
      <w:r w:rsidRPr="0031675F">
        <w:rPr>
          <w:spacing w:val="-1"/>
        </w:rPr>
        <w:t>vials</w:t>
      </w:r>
      <w:r w:rsidRPr="0031675F">
        <w:t xml:space="preserve"> are</w:t>
      </w:r>
      <w:r w:rsidRPr="0031675F">
        <w:rPr>
          <w:spacing w:val="-3"/>
        </w:rPr>
        <w:t xml:space="preserve"> </w:t>
      </w:r>
      <w:r w:rsidRPr="0031675F">
        <w:rPr>
          <w:spacing w:val="-1"/>
        </w:rPr>
        <w:t>spun down</w:t>
      </w:r>
      <w:r w:rsidRPr="0031675F">
        <w:t xml:space="preserve"> </w:t>
      </w:r>
      <w:r w:rsidRPr="0031675F">
        <w:rPr>
          <w:spacing w:val="-2"/>
        </w:rPr>
        <w:t>in</w:t>
      </w:r>
      <w:r w:rsidRPr="0031675F">
        <w:rPr>
          <w:spacing w:val="-1"/>
        </w:rPr>
        <w:t xml:space="preserve"> </w:t>
      </w:r>
      <w:r w:rsidRPr="0031675F">
        <w:t xml:space="preserve">a </w:t>
      </w:r>
      <w:r w:rsidRPr="0031675F">
        <w:rPr>
          <w:spacing w:val="-1"/>
        </w:rPr>
        <w:t>centrifuge.</w:t>
      </w:r>
    </w:p>
    <w:p w14:paraId="454C7AA5" w14:textId="62FAC98B" w:rsidR="0031675F" w:rsidRPr="0031675F" w:rsidRDefault="0031675F" w:rsidP="0031675F">
      <w:pPr>
        <w:widowControl w:val="0"/>
        <w:numPr>
          <w:ilvl w:val="0"/>
          <w:numId w:val="99"/>
        </w:numPr>
        <w:tabs>
          <w:tab w:val="left" w:pos="479"/>
        </w:tabs>
        <w:spacing w:before="0" w:after="0" w:line="240" w:lineRule="auto"/>
        <w:ind w:hanging="360"/>
        <w:jc w:val="both"/>
      </w:pPr>
      <w:r w:rsidRPr="0031675F">
        <w:rPr>
          <w:spacing w:val="-1"/>
        </w:rPr>
        <w:t>Pipette</w:t>
      </w:r>
      <w:r w:rsidRPr="0031675F">
        <w:rPr>
          <w:spacing w:val="-2"/>
        </w:rPr>
        <w:t xml:space="preserve"> </w:t>
      </w:r>
      <w:r w:rsidRPr="0031675F">
        <w:rPr>
          <w:spacing w:val="-1"/>
        </w:rPr>
        <w:t>2.5</w:t>
      </w:r>
      <w:r w:rsidRPr="0031675F">
        <w:rPr>
          <w:spacing w:val="-2"/>
        </w:rPr>
        <w:t xml:space="preserve"> </w:t>
      </w:r>
      <w:r w:rsidR="00BB13FD">
        <w:t>mL</w:t>
      </w:r>
      <w:r w:rsidRPr="0031675F">
        <w:rPr>
          <w:spacing w:val="-2"/>
        </w:rPr>
        <w:t xml:space="preserve"> </w:t>
      </w:r>
      <w:r w:rsidRPr="0031675F">
        <w:t>of</w:t>
      </w:r>
      <w:r w:rsidRPr="0031675F">
        <w:rPr>
          <w:spacing w:val="-2"/>
        </w:rPr>
        <w:t xml:space="preserve"> </w:t>
      </w:r>
      <w:r w:rsidRPr="0031675F">
        <w:t xml:space="preserve">the </w:t>
      </w:r>
      <w:r w:rsidRPr="0031675F">
        <w:rPr>
          <w:spacing w:val="-1"/>
        </w:rPr>
        <w:t>supernatant</w:t>
      </w:r>
      <w:r w:rsidRPr="0031675F">
        <w:t xml:space="preserve"> </w:t>
      </w:r>
      <w:r w:rsidRPr="0031675F">
        <w:rPr>
          <w:spacing w:val="-1"/>
        </w:rPr>
        <w:t xml:space="preserve">into </w:t>
      </w:r>
      <w:r w:rsidRPr="0031675F">
        <w:t xml:space="preserve">a </w:t>
      </w:r>
      <w:r w:rsidRPr="0031675F">
        <w:rPr>
          <w:spacing w:val="-1"/>
        </w:rPr>
        <w:t>similarly</w:t>
      </w:r>
      <w:r w:rsidRPr="0031675F">
        <w:rPr>
          <w:spacing w:val="-2"/>
        </w:rPr>
        <w:t xml:space="preserve"> </w:t>
      </w:r>
      <w:r w:rsidRPr="0031675F">
        <w:rPr>
          <w:spacing w:val="-1"/>
        </w:rPr>
        <w:t xml:space="preserve">numbered, clean </w:t>
      </w:r>
      <w:r w:rsidRPr="0031675F">
        <w:t>7</w:t>
      </w:r>
      <w:r w:rsidRPr="0031675F">
        <w:rPr>
          <w:spacing w:val="-1"/>
        </w:rPr>
        <w:t xml:space="preserve"> </w:t>
      </w:r>
      <w:r w:rsidR="00BB13FD">
        <w:t>mL</w:t>
      </w:r>
      <w:r w:rsidRPr="0031675F">
        <w:rPr>
          <w:spacing w:val="-2"/>
        </w:rPr>
        <w:t xml:space="preserve"> </w:t>
      </w:r>
      <w:r w:rsidRPr="0031675F">
        <w:rPr>
          <w:spacing w:val="-1"/>
        </w:rPr>
        <w:t xml:space="preserve">scintillation </w:t>
      </w:r>
      <w:r w:rsidRPr="0031675F">
        <w:t>vial.</w:t>
      </w:r>
    </w:p>
    <w:p w14:paraId="2209DA65" w14:textId="4CC12188" w:rsidR="0031675F" w:rsidRPr="0031675F" w:rsidRDefault="0031675F" w:rsidP="0031675F">
      <w:pPr>
        <w:widowControl w:val="0"/>
        <w:numPr>
          <w:ilvl w:val="0"/>
          <w:numId w:val="99"/>
        </w:numPr>
        <w:tabs>
          <w:tab w:val="left" w:pos="479"/>
        </w:tabs>
        <w:spacing w:before="0" w:after="0" w:line="240" w:lineRule="auto"/>
        <w:ind w:hanging="360"/>
        <w:jc w:val="both"/>
      </w:pPr>
      <w:r w:rsidRPr="0031675F">
        <w:rPr>
          <w:spacing w:val="-1"/>
        </w:rPr>
        <w:t xml:space="preserve">Add 0.25 </w:t>
      </w:r>
      <w:r w:rsidR="00BB13FD">
        <w:t>mL</w:t>
      </w:r>
      <w:r w:rsidRPr="0031675F">
        <w:rPr>
          <w:spacing w:val="-3"/>
        </w:rPr>
        <w:t xml:space="preserve"> </w:t>
      </w:r>
      <w:r w:rsidRPr="0031675F">
        <w:t>of</w:t>
      </w:r>
      <w:r w:rsidRPr="0031675F">
        <w:rPr>
          <w:spacing w:val="-3"/>
        </w:rPr>
        <w:t xml:space="preserve"> </w:t>
      </w:r>
      <w:r w:rsidRPr="0031675F">
        <w:rPr>
          <w:spacing w:val="-1"/>
        </w:rPr>
        <w:t>colour</w:t>
      </w:r>
      <w:r w:rsidRPr="0031675F">
        <w:t xml:space="preserve"> </w:t>
      </w:r>
      <w:r w:rsidRPr="0031675F">
        <w:rPr>
          <w:spacing w:val="-1"/>
        </w:rPr>
        <w:t>reagent to</w:t>
      </w:r>
      <w:r w:rsidRPr="0031675F">
        <w:rPr>
          <w:spacing w:val="1"/>
        </w:rPr>
        <w:t xml:space="preserve"> </w:t>
      </w:r>
      <w:r w:rsidRPr="0031675F">
        <w:rPr>
          <w:spacing w:val="-1"/>
        </w:rPr>
        <w:t>each</w:t>
      </w:r>
      <w:r w:rsidRPr="0031675F">
        <w:t xml:space="preserve"> vial</w:t>
      </w:r>
      <w:r w:rsidRPr="0031675F">
        <w:rPr>
          <w:spacing w:val="-4"/>
        </w:rPr>
        <w:t xml:space="preserve"> </w:t>
      </w:r>
      <w:r w:rsidRPr="0031675F">
        <w:t>and</w:t>
      </w:r>
      <w:r w:rsidRPr="0031675F">
        <w:rPr>
          <w:spacing w:val="-4"/>
        </w:rPr>
        <w:t xml:space="preserve"> </w:t>
      </w:r>
      <w:r w:rsidRPr="0031675F">
        <w:t xml:space="preserve">mix </w:t>
      </w:r>
      <w:r w:rsidRPr="0031675F">
        <w:rPr>
          <w:spacing w:val="-1"/>
        </w:rPr>
        <w:t>gently.</w:t>
      </w:r>
    </w:p>
    <w:p w14:paraId="6F0C0EFC" w14:textId="77777777" w:rsidR="0031675F" w:rsidRPr="0031675F" w:rsidRDefault="0031675F" w:rsidP="0031675F">
      <w:pPr>
        <w:widowControl w:val="0"/>
        <w:numPr>
          <w:ilvl w:val="0"/>
          <w:numId w:val="99"/>
        </w:numPr>
        <w:tabs>
          <w:tab w:val="left" w:pos="479"/>
        </w:tabs>
        <w:spacing w:before="1" w:after="0" w:line="239" w:lineRule="auto"/>
        <w:ind w:right="631" w:hanging="360"/>
        <w:jc w:val="both"/>
        <w:rPr>
          <w:rFonts w:cs="Calibri"/>
        </w:rPr>
      </w:pPr>
      <w:r w:rsidRPr="0031675F">
        <w:rPr>
          <w:spacing w:val="-1"/>
        </w:rPr>
        <w:t>After</w:t>
      </w:r>
      <w:r w:rsidRPr="0031675F">
        <w:rPr>
          <w:spacing w:val="7"/>
        </w:rPr>
        <w:t xml:space="preserve"> </w:t>
      </w:r>
      <w:r w:rsidRPr="0031675F">
        <w:rPr>
          <w:spacing w:val="-1"/>
        </w:rPr>
        <w:t>30</w:t>
      </w:r>
      <w:r w:rsidRPr="0031675F">
        <w:rPr>
          <w:spacing w:val="8"/>
        </w:rPr>
        <w:t xml:space="preserve"> </w:t>
      </w:r>
      <w:r w:rsidRPr="0031675F">
        <w:rPr>
          <w:spacing w:val="-1"/>
        </w:rPr>
        <w:t>minutes</w:t>
      </w:r>
      <w:r w:rsidRPr="0031675F">
        <w:rPr>
          <w:spacing w:val="8"/>
        </w:rPr>
        <w:t xml:space="preserve"> </w:t>
      </w:r>
      <w:r w:rsidRPr="0031675F">
        <w:rPr>
          <w:spacing w:val="-1"/>
        </w:rPr>
        <w:t>(but</w:t>
      </w:r>
      <w:r w:rsidRPr="0031675F">
        <w:rPr>
          <w:spacing w:val="8"/>
        </w:rPr>
        <w:t xml:space="preserve"> </w:t>
      </w:r>
      <w:r w:rsidRPr="0031675F">
        <w:t>in</w:t>
      </w:r>
      <w:r w:rsidRPr="0031675F">
        <w:rPr>
          <w:spacing w:val="6"/>
        </w:rPr>
        <w:t xml:space="preserve"> </w:t>
      </w:r>
      <w:r w:rsidRPr="0031675F">
        <w:rPr>
          <w:spacing w:val="-1"/>
        </w:rPr>
        <w:t>less</w:t>
      </w:r>
      <w:r w:rsidRPr="0031675F">
        <w:rPr>
          <w:spacing w:val="7"/>
        </w:rPr>
        <w:t xml:space="preserve"> </w:t>
      </w:r>
      <w:r w:rsidRPr="0031675F">
        <w:t>than</w:t>
      </w:r>
      <w:r w:rsidRPr="0031675F">
        <w:rPr>
          <w:spacing w:val="6"/>
        </w:rPr>
        <w:t xml:space="preserve"> </w:t>
      </w:r>
      <w:r w:rsidRPr="0031675F">
        <w:t>2</w:t>
      </w:r>
      <w:r w:rsidRPr="0031675F">
        <w:rPr>
          <w:spacing w:val="8"/>
        </w:rPr>
        <w:t xml:space="preserve"> </w:t>
      </w:r>
      <w:r w:rsidRPr="0031675F">
        <w:rPr>
          <w:spacing w:val="-1"/>
        </w:rPr>
        <w:t>hours)</w:t>
      </w:r>
      <w:r w:rsidRPr="0031675F">
        <w:rPr>
          <w:spacing w:val="4"/>
        </w:rPr>
        <w:t xml:space="preserve"> </w:t>
      </w:r>
      <w:r w:rsidRPr="0031675F">
        <w:rPr>
          <w:spacing w:val="-1"/>
        </w:rPr>
        <w:t>measure</w:t>
      </w:r>
      <w:r w:rsidRPr="0031675F">
        <w:rPr>
          <w:spacing w:val="8"/>
        </w:rPr>
        <w:t xml:space="preserve"> </w:t>
      </w:r>
      <w:r w:rsidRPr="0031675F">
        <w:rPr>
          <w:spacing w:val="-1"/>
        </w:rPr>
        <w:t>the</w:t>
      </w:r>
      <w:r w:rsidRPr="0031675F">
        <w:rPr>
          <w:spacing w:val="8"/>
        </w:rPr>
        <w:t xml:space="preserve"> </w:t>
      </w:r>
      <w:r w:rsidRPr="0031675F">
        <w:rPr>
          <w:spacing w:val="-1"/>
        </w:rPr>
        <w:t>absorbance</w:t>
      </w:r>
      <w:r w:rsidRPr="0031675F">
        <w:rPr>
          <w:spacing w:val="6"/>
        </w:rPr>
        <w:t xml:space="preserve"> </w:t>
      </w:r>
      <w:r w:rsidRPr="0031675F">
        <w:t>of</w:t>
      </w:r>
      <w:r w:rsidRPr="0031675F">
        <w:rPr>
          <w:spacing w:val="7"/>
        </w:rPr>
        <w:t xml:space="preserve"> </w:t>
      </w:r>
      <w:r w:rsidRPr="0031675F">
        <w:t>the</w:t>
      </w:r>
      <w:r w:rsidRPr="0031675F">
        <w:rPr>
          <w:spacing w:val="7"/>
        </w:rPr>
        <w:t xml:space="preserve"> </w:t>
      </w:r>
      <w:r w:rsidRPr="0031675F">
        <w:rPr>
          <w:spacing w:val="-1"/>
        </w:rPr>
        <w:t>solutions</w:t>
      </w:r>
      <w:r w:rsidRPr="0031675F">
        <w:rPr>
          <w:spacing w:val="7"/>
        </w:rPr>
        <w:t xml:space="preserve"> </w:t>
      </w:r>
      <w:r w:rsidRPr="0031675F">
        <w:t>in</w:t>
      </w:r>
      <w:r w:rsidRPr="0031675F">
        <w:rPr>
          <w:spacing w:val="6"/>
        </w:rPr>
        <w:t xml:space="preserve"> </w:t>
      </w:r>
      <w:r w:rsidRPr="0031675F">
        <w:t>the</w:t>
      </w:r>
      <w:r w:rsidRPr="0031675F">
        <w:rPr>
          <w:spacing w:val="49"/>
        </w:rPr>
        <w:t xml:space="preserve"> </w:t>
      </w:r>
      <w:r w:rsidRPr="0031675F">
        <w:rPr>
          <w:spacing w:val="-1"/>
        </w:rPr>
        <w:t>vials</w:t>
      </w:r>
      <w:r w:rsidRPr="0031675F">
        <w:rPr>
          <w:spacing w:val="28"/>
        </w:rPr>
        <w:t xml:space="preserve"> </w:t>
      </w:r>
      <w:r w:rsidRPr="0031675F">
        <w:t>at</w:t>
      </w:r>
      <w:r w:rsidRPr="0031675F">
        <w:rPr>
          <w:spacing w:val="27"/>
        </w:rPr>
        <w:t xml:space="preserve"> </w:t>
      </w:r>
      <w:r w:rsidRPr="0031675F">
        <w:rPr>
          <w:spacing w:val="-2"/>
        </w:rPr>
        <w:t>885nm</w:t>
      </w:r>
      <w:r w:rsidRPr="0031675F">
        <w:rPr>
          <w:spacing w:val="28"/>
        </w:rPr>
        <w:t xml:space="preserve"> </w:t>
      </w:r>
      <w:r w:rsidRPr="0031675F">
        <w:t>on</w:t>
      </w:r>
      <w:r w:rsidRPr="0031675F">
        <w:rPr>
          <w:spacing w:val="27"/>
        </w:rPr>
        <w:t xml:space="preserve"> </w:t>
      </w:r>
      <w:r w:rsidRPr="0031675F">
        <w:t>a</w:t>
      </w:r>
      <w:r w:rsidRPr="0031675F">
        <w:rPr>
          <w:spacing w:val="26"/>
        </w:rPr>
        <w:t xml:space="preserve"> </w:t>
      </w:r>
      <w:r w:rsidRPr="0031675F">
        <w:rPr>
          <w:spacing w:val="-1"/>
        </w:rPr>
        <w:t>spectrophotometer</w:t>
      </w:r>
      <w:r w:rsidRPr="0031675F">
        <w:rPr>
          <w:spacing w:val="29"/>
        </w:rPr>
        <w:t xml:space="preserve"> </w:t>
      </w:r>
      <w:r w:rsidRPr="0031675F">
        <w:rPr>
          <w:spacing w:val="-1"/>
        </w:rPr>
        <w:t>using</w:t>
      </w:r>
      <w:r w:rsidRPr="0031675F">
        <w:rPr>
          <w:spacing w:val="28"/>
        </w:rPr>
        <w:t xml:space="preserve"> </w:t>
      </w:r>
      <w:r w:rsidRPr="0031675F">
        <w:t>a</w:t>
      </w:r>
      <w:r w:rsidRPr="0031675F">
        <w:rPr>
          <w:spacing w:val="25"/>
        </w:rPr>
        <w:t xml:space="preserve"> </w:t>
      </w:r>
      <w:r w:rsidRPr="0031675F">
        <w:t>1</w:t>
      </w:r>
      <w:r w:rsidRPr="0031675F">
        <w:rPr>
          <w:spacing w:val="30"/>
        </w:rPr>
        <w:t xml:space="preserve"> </w:t>
      </w:r>
      <w:r w:rsidRPr="0031675F">
        <w:rPr>
          <w:spacing w:val="-2"/>
        </w:rPr>
        <w:t>cm</w:t>
      </w:r>
      <w:r w:rsidRPr="0031675F">
        <w:rPr>
          <w:spacing w:val="30"/>
        </w:rPr>
        <w:t xml:space="preserve"> </w:t>
      </w:r>
      <w:r w:rsidRPr="0031675F">
        <w:rPr>
          <w:spacing w:val="-1"/>
        </w:rPr>
        <w:t>cell.</w:t>
      </w:r>
      <w:r w:rsidRPr="0031675F">
        <w:rPr>
          <w:spacing w:val="8"/>
        </w:rPr>
        <w:t xml:space="preserve"> </w:t>
      </w:r>
      <w:r w:rsidRPr="0031675F">
        <w:rPr>
          <w:spacing w:val="-1"/>
        </w:rPr>
        <w:t>All</w:t>
      </w:r>
      <w:r w:rsidRPr="0031675F">
        <w:rPr>
          <w:spacing w:val="25"/>
        </w:rPr>
        <w:t xml:space="preserve"> </w:t>
      </w:r>
      <w:r w:rsidRPr="0031675F">
        <w:rPr>
          <w:spacing w:val="-1"/>
        </w:rPr>
        <w:t>measurements</w:t>
      </w:r>
      <w:r w:rsidRPr="0031675F">
        <w:rPr>
          <w:spacing w:val="27"/>
        </w:rPr>
        <w:t xml:space="preserve"> </w:t>
      </w:r>
      <w:r w:rsidRPr="0031675F">
        <w:rPr>
          <w:spacing w:val="-1"/>
        </w:rPr>
        <w:t>should</w:t>
      </w:r>
      <w:r w:rsidRPr="0031675F">
        <w:rPr>
          <w:spacing w:val="28"/>
        </w:rPr>
        <w:t xml:space="preserve"> </w:t>
      </w:r>
      <w:r w:rsidRPr="0031675F">
        <w:rPr>
          <w:spacing w:val="-2"/>
        </w:rPr>
        <w:t>be</w:t>
      </w:r>
      <w:r w:rsidRPr="0031675F">
        <w:rPr>
          <w:spacing w:val="59"/>
        </w:rPr>
        <w:t xml:space="preserve"> </w:t>
      </w:r>
      <w:r w:rsidRPr="0031675F">
        <w:rPr>
          <w:rFonts w:cs="Calibri"/>
          <w:spacing w:val="-1"/>
        </w:rPr>
        <w:t>recorded</w:t>
      </w:r>
      <w:r w:rsidRPr="0031675F">
        <w:rPr>
          <w:rFonts w:cs="Calibri"/>
        </w:rPr>
        <w:t xml:space="preserve"> on</w:t>
      </w:r>
      <w:r w:rsidRPr="0031675F">
        <w:rPr>
          <w:rFonts w:cs="Calibri"/>
          <w:spacing w:val="-3"/>
        </w:rPr>
        <w:t xml:space="preserve"> </w:t>
      </w:r>
      <w:r w:rsidRPr="0031675F">
        <w:rPr>
          <w:rFonts w:cs="Calibri"/>
        </w:rPr>
        <w:t xml:space="preserve">the </w:t>
      </w:r>
      <w:r w:rsidRPr="0031675F">
        <w:rPr>
          <w:rFonts w:cs="Calibri"/>
          <w:spacing w:val="-1"/>
        </w:rPr>
        <w:t>Excel</w:t>
      </w:r>
      <w:r w:rsidRPr="0031675F">
        <w:rPr>
          <w:rFonts w:cs="Calibri"/>
          <w:spacing w:val="-3"/>
        </w:rPr>
        <w:t xml:space="preserve"> </w:t>
      </w:r>
      <w:r w:rsidRPr="0031675F">
        <w:rPr>
          <w:rFonts w:cs="Calibri"/>
          <w:spacing w:val="-1"/>
        </w:rPr>
        <w:t>Spreadsheet</w:t>
      </w:r>
      <w:r w:rsidRPr="0031675F">
        <w:rPr>
          <w:rFonts w:cs="Calibri"/>
          <w:spacing w:val="-2"/>
        </w:rPr>
        <w:t xml:space="preserve"> </w:t>
      </w:r>
      <w:r w:rsidRPr="0031675F">
        <w:rPr>
          <w:rFonts w:cs="Calibri"/>
        </w:rPr>
        <w:t>“pp</w:t>
      </w:r>
      <w:r w:rsidRPr="0031675F">
        <w:rPr>
          <w:rFonts w:cs="Calibri"/>
          <w:spacing w:val="-1"/>
        </w:rPr>
        <w:t xml:space="preserve"> work</w:t>
      </w:r>
      <w:r w:rsidRPr="0031675F">
        <w:rPr>
          <w:rFonts w:cs="Calibri"/>
          <w:spacing w:val="-3"/>
        </w:rPr>
        <w:t xml:space="preserve"> </w:t>
      </w:r>
      <w:r w:rsidRPr="0031675F">
        <w:rPr>
          <w:rFonts w:cs="Calibri"/>
          <w:spacing w:val="-1"/>
        </w:rPr>
        <w:t>form”.</w:t>
      </w:r>
    </w:p>
    <w:p w14:paraId="3CA7BF86" w14:textId="77777777" w:rsidR="0031675F" w:rsidRPr="0031675F" w:rsidRDefault="0031675F" w:rsidP="0031675F">
      <w:pPr>
        <w:spacing w:before="11"/>
        <w:rPr>
          <w:rFonts w:cs="Calibri"/>
          <w:sz w:val="21"/>
          <w:szCs w:val="21"/>
        </w:rPr>
      </w:pPr>
    </w:p>
    <w:p w14:paraId="0A6B59C4" w14:textId="77777777" w:rsidR="0031675F" w:rsidRPr="0031675F" w:rsidRDefault="0031675F" w:rsidP="0031675F">
      <w:pPr>
        <w:widowControl w:val="0"/>
        <w:numPr>
          <w:ilvl w:val="2"/>
          <w:numId w:val="103"/>
        </w:numPr>
        <w:tabs>
          <w:tab w:val="left" w:pos="839"/>
        </w:tabs>
        <w:spacing w:before="0" w:after="0" w:line="240" w:lineRule="auto"/>
        <w:ind w:left="838"/>
        <w:jc w:val="both"/>
        <w:rPr>
          <w:rFonts w:eastAsia="Arial" w:cs="Arial"/>
        </w:rPr>
      </w:pPr>
      <w:r w:rsidRPr="0031675F">
        <w:rPr>
          <w:b/>
          <w:spacing w:val="-1"/>
        </w:rPr>
        <w:t>Calibration</w:t>
      </w:r>
    </w:p>
    <w:p w14:paraId="535F5EC3" w14:textId="77777777" w:rsidR="0031675F" w:rsidRPr="0031675F" w:rsidRDefault="0031675F" w:rsidP="0031675F">
      <w:pPr>
        <w:spacing w:before="2"/>
        <w:rPr>
          <w:rFonts w:eastAsia="Arial" w:cs="Arial"/>
          <w:b/>
          <w:bCs/>
          <w:sz w:val="21"/>
          <w:szCs w:val="21"/>
        </w:rPr>
      </w:pPr>
    </w:p>
    <w:p w14:paraId="0CC33F47" w14:textId="77777777" w:rsidR="0031675F" w:rsidRPr="0031675F" w:rsidRDefault="0031675F" w:rsidP="0031675F">
      <w:pPr>
        <w:spacing w:after="120"/>
        <w:jc w:val="both"/>
      </w:pPr>
      <w:r w:rsidRPr="0031675F">
        <w:rPr>
          <w:spacing w:val="-1"/>
          <w:u w:val="single" w:color="000000"/>
        </w:rPr>
        <w:t>Standard</w:t>
      </w:r>
      <w:r w:rsidRPr="0031675F">
        <w:rPr>
          <w:spacing w:val="-2"/>
          <w:u w:val="single" w:color="000000"/>
        </w:rPr>
        <w:t xml:space="preserve"> </w:t>
      </w:r>
      <w:r w:rsidRPr="0031675F">
        <w:rPr>
          <w:spacing w:val="-1"/>
          <w:u w:val="single" w:color="000000"/>
        </w:rPr>
        <w:t>Curve</w:t>
      </w:r>
    </w:p>
    <w:p w14:paraId="395F3181" w14:textId="432B7054" w:rsidR="0031675F" w:rsidRPr="0031675F" w:rsidRDefault="0031675F" w:rsidP="0031675F">
      <w:pPr>
        <w:spacing w:before="4" w:after="120" w:line="235" w:lineRule="auto"/>
        <w:ind w:right="633"/>
        <w:jc w:val="both"/>
        <w:rPr>
          <w:spacing w:val="-1"/>
        </w:rPr>
      </w:pPr>
      <w:r w:rsidRPr="0031675F">
        <w:t>A</w:t>
      </w:r>
      <w:r w:rsidRPr="0031675F">
        <w:rPr>
          <w:spacing w:val="7"/>
        </w:rPr>
        <w:t xml:space="preserve"> </w:t>
      </w:r>
      <w:r w:rsidRPr="0031675F">
        <w:rPr>
          <w:spacing w:val="-1"/>
        </w:rPr>
        <w:t>standard</w:t>
      </w:r>
      <w:r w:rsidRPr="0031675F">
        <w:rPr>
          <w:spacing w:val="6"/>
        </w:rPr>
        <w:t xml:space="preserve"> </w:t>
      </w:r>
      <w:r w:rsidRPr="0031675F">
        <w:rPr>
          <w:spacing w:val="-1"/>
        </w:rPr>
        <w:t>curve</w:t>
      </w:r>
      <w:r w:rsidRPr="0031675F">
        <w:rPr>
          <w:spacing w:val="5"/>
        </w:rPr>
        <w:t xml:space="preserve"> </w:t>
      </w:r>
      <w:r w:rsidRPr="0031675F">
        <w:t>of</w:t>
      </w:r>
      <w:r w:rsidRPr="0031675F">
        <w:rPr>
          <w:spacing w:val="7"/>
        </w:rPr>
        <w:t xml:space="preserve"> </w:t>
      </w:r>
      <w:r w:rsidRPr="0031675F">
        <w:t>0,</w:t>
      </w:r>
      <w:r w:rsidRPr="0031675F">
        <w:rPr>
          <w:spacing w:val="5"/>
        </w:rPr>
        <w:t xml:space="preserve"> </w:t>
      </w:r>
      <w:r w:rsidRPr="0031675F">
        <w:t>5,</w:t>
      </w:r>
      <w:r w:rsidRPr="0031675F">
        <w:rPr>
          <w:spacing w:val="7"/>
        </w:rPr>
        <w:t xml:space="preserve"> </w:t>
      </w:r>
      <w:r w:rsidRPr="0031675F">
        <w:rPr>
          <w:spacing w:val="-1"/>
        </w:rPr>
        <w:t>10</w:t>
      </w:r>
      <w:r w:rsidRPr="0031675F">
        <w:rPr>
          <w:spacing w:val="8"/>
        </w:rPr>
        <w:t xml:space="preserve"> </w:t>
      </w:r>
      <w:r w:rsidRPr="0031675F">
        <w:rPr>
          <w:spacing w:val="-1"/>
        </w:rPr>
        <w:t>and</w:t>
      </w:r>
      <w:r w:rsidRPr="0031675F">
        <w:rPr>
          <w:spacing w:val="6"/>
        </w:rPr>
        <w:t xml:space="preserve"> </w:t>
      </w:r>
      <w:r w:rsidRPr="0031675F">
        <w:rPr>
          <w:spacing w:val="-1"/>
        </w:rPr>
        <w:t>20 µ</w:t>
      </w:r>
      <w:r w:rsidRPr="0031675F">
        <w:t>mol</w:t>
      </w:r>
      <w:r w:rsidR="00E37A70" w:rsidRPr="00E37A70">
        <w:rPr>
          <w:rFonts w:cs="Arial"/>
          <w:spacing w:val="-1"/>
        </w:rPr>
        <w:t xml:space="preserve"> </w:t>
      </w:r>
      <w:r w:rsidR="00E37A70">
        <w:rPr>
          <w:rFonts w:cs="Arial"/>
          <w:spacing w:val="-1"/>
        </w:rPr>
        <w:t>L</w:t>
      </w:r>
      <w:r w:rsidR="00E37A70" w:rsidRPr="00E37A70">
        <w:rPr>
          <w:rFonts w:cs="Arial"/>
          <w:spacing w:val="-1"/>
          <w:vertAlign w:val="superscript"/>
        </w:rPr>
        <w:t>-1</w:t>
      </w:r>
      <w:r w:rsidRPr="0031675F">
        <w:rPr>
          <w:spacing w:val="8"/>
        </w:rPr>
        <w:t xml:space="preserve"> </w:t>
      </w:r>
      <w:r w:rsidRPr="0031675F">
        <w:rPr>
          <w:spacing w:val="-1"/>
        </w:rPr>
        <w:t>phosphate</w:t>
      </w:r>
      <w:r w:rsidRPr="0031675F">
        <w:rPr>
          <w:spacing w:val="8"/>
        </w:rPr>
        <w:t xml:space="preserve"> </w:t>
      </w:r>
      <w:r w:rsidRPr="0031675F">
        <w:rPr>
          <w:spacing w:val="-1"/>
        </w:rPr>
        <w:t>(prepared</w:t>
      </w:r>
      <w:r w:rsidRPr="0031675F">
        <w:rPr>
          <w:spacing w:val="7"/>
        </w:rPr>
        <w:t xml:space="preserve"> </w:t>
      </w:r>
      <w:r w:rsidRPr="0031675F">
        <w:rPr>
          <w:spacing w:val="-1"/>
        </w:rPr>
        <w:t>from</w:t>
      </w:r>
      <w:r w:rsidRPr="0031675F">
        <w:rPr>
          <w:spacing w:val="8"/>
        </w:rPr>
        <w:t xml:space="preserve"> </w:t>
      </w:r>
      <w:r w:rsidRPr="0031675F">
        <w:t>the</w:t>
      </w:r>
      <w:r w:rsidRPr="0031675F">
        <w:rPr>
          <w:spacing w:val="7"/>
        </w:rPr>
        <w:t xml:space="preserve"> </w:t>
      </w:r>
      <w:r w:rsidRPr="0031675F">
        <w:rPr>
          <w:spacing w:val="-1"/>
        </w:rPr>
        <w:t>primary</w:t>
      </w:r>
      <w:r w:rsidRPr="0031675F">
        <w:rPr>
          <w:spacing w:val="8"/>
        </w:rPr>
        <w:t xml:space="preserve"> </w:t>
      </w:r>
      <w:r w:rsidRPr="0031675F">
        <w:rPr>
          <w:spacing w:val="-1"/>
        </w:rPr>
        <w:t>standard)</w:t>
      </w:r>
      <w:r w:rsidRPr="0031675F">
        <w:rPr>
          <w:spacing w:val="7"/>
        </w:rPr>
        <w:t xml:space="preserve"> </w:t>
      </w:r>
      <w:r w:rsidRPr="0031675F">
        <w:t>is</w:t>
      </w:r>
      <w:r w:rsidRPr="0031675F">
        <w:rPr>
          <w:spacing w:val="7"/>
        </w:rPr>
        <w:t xml:space="preserve"> </w:t>
      </w:r>
      <w:r w:rsidRPr="0031675F">
        <w:rPr>
          <w:spacing w:val="-1"/>
        </w:rPr>
        <w:t>run</w:t>
      </w:r>
      <w:r w:rsidRPr="0031675F">
        <w:rPr>
          <w:spacing w:val="37"/>
        </w:rPr>
        <w:t xml:space="preserve"> </w:t>
      </w:r>
      <w:r w:rsidRPr="0031675F">
        <w:t>each</w:t>
      </w:r>
      <w:r w:rsidRPr="0031675F">
        <w:rPr>
          <w:spacing w:val="16"/>
        </w:rPr>
        <w:t xml:space="preserve"> </w:t>
      </w:r>
      <w:r w:rsidRPr="0031675F">
        <w:rPr>
          <w:spacing w:val="-1"/>
        </w:rPr>
        <w:t>day.</w:t>
      </w:r>
      <w:r w:rsidRPr="0031675F">
        <w:rPr>
          <w:spacing w:val="33"/>
        </w:rPr>
        <w:t xml:space="preserve"> </w:t>
      </w:r>
      <w:r w:rsidRPr="0031675F">
        <w:rPr>
          <w:spacing w:val="-1"/>
        </w:rPr>
        <w:t>This</w:t>
      </w:r>
      <w:r w:rsidRPr="0031675F">
        <w:rPr>
          <w:spacing w:val="17"/>
        </w:rPr>
        <w:t xml:space="preserve"> </w:t>
      </w:r>
      <w:r w:rsidRPr="0031675F">
        <w:t>is</w:t>
      </w:r>
      <w:r w:rsidRPr="0031675F">
        <w:rPr>
          <w:spacing w:val="16"/>
        </w:rPr>
        <w:t xml:space="preserve"> </w:t>
      </w:r>
      <w:r w:rsidRPr="0031675F">
        <w:rPr>
          <w:spacing w:val="-1"/>
        </w:rPr>
        <w:t>done</w:t>
      </w:r>
      <w:r w:rsidRPr="0031675F">
        <w:rPr>
          <w:spacing w:val="17"/>
        </w:rPr>
        <w:t xml:space="preserve"> </w:t>
      </w:r>
      <w:r w:rsidRPr="0031675F">
        <w:rPr>
          <w:spacing w:val="-1"/>
        </w:rPr>
        <w:t>by</w:t>
      </w:r>
      <w:r w:rsidRPr="0031675F">
        <w:rPr>
          <w:spacing w:val="17"/>
        </w:rPr>
        <w:t xml:space="preserve"> </w:t>
      </w:r>
      <w:r w:rsidRPr="0031675F">
        <w:rPr>
          <w:spacing w:val="-1"/>
        </w:rPr>
        <w:t>pipetting</w:t>
      </w:r>
      <w:r w:rsidRPr="0031675F">
        <w:rPr>
          <w:spacing w:val="16"/>
        </w:rPr>
        <w:t xml:space="preserve"> </w:t>
      </w:r>
      <w:r w:rsidRPr="0031675F">
        <w:t>0,</w:t>
      </w:r>
      <w:r w:rsidRPr="0031675F">
        <w:rPr>
          <w:spacing w:val="17"/>
        </w:rPr>
        <w:t xml:space="preserve"> </w:t>
      </w:r>
      <w:r w:rsidRPr="0031675F">
        <w:rPr>
          <w:spacing w:val="-1"/>
        </w:rPr>
        <w:t>0.5,</w:t>
      </w:r>
      <w:r w:rsidRPr="0031675F">
        <w:rPr>
          <w:spacing w:val="15"/>
        </w:rPr>
        <w:t xml:space="preserve"> </w:t>
      </w:r>
      <w:r w:rsidRPr="0031675F">
        <w:rPr>
          <w:spacing w:val="-1"/>
        </w:rPr>
        <w:t>1.0</w:t>
      </w:r>
      <w:r w:rsidRPr="0031675F">
        <w:rPr>
          <w:spacing w:val="17"/>
        </w:rPr>
        <w:t xml:space="preserve"> </w:t>
      </w:r>
      <w:r w:rsidRPr="0031675F">
        <w:rPr>
          <w:spacing w:val="-1"/>
        </w:rPr>
        <w:t>and</w:t>
      </w:r>
      <w:r w:rsidRPr="0031675F">
        <w:rPr>
          <w:spacing w:val="16"/>
        </w:rPr>
        <w:t xml:space="preserve"> </w:t>
      </w:r>
      <w:r w:rsidRPr="0031675F">
        <w:rPr>
          <w:spacing w:val="-1"/>
        </w:rPr>
        <w:t>2.0</w:t>
      </w:r>
      <w:r w:rsidRPr="0031675F">
        <w:rPr>
          <w:spacing w:val="17"/>
        </w:rPr>
        <w:t xml:space="preserve"> </w:t>
      </w:r>
      <w:r w:rsidR="00BB13FD">
        <w:rPr>
          <w:spacing w:val="3"/>
        </w:rPr>
        <w:t>mL</w:t>
      </w:r>
      <w:r w:rsidRPr="0031675F">
        <w:rPr>
          <w:spacing w:val="17"/>
        </w:rPr>
        <w:t xml:space="preserve"> </w:t>
      </w:r>
      <w:r w:rsidRPr="0031675F">
        <w:t>of</w:t>
      </w:r>
      <w:r w:rsidRPr="0031675F">
        <w:rPr>
          <w:spacing w:val="17"/>
        </w:rPr>
        <w:t xml:space="preserve"> </w:t>
      </w:r>
      <w:r w:rsidRPr="0031675F">
        <w:rPr>
          <w:spacing w:val="-1"/>
        </w:rPr>
        <w:t>primary</w:t>
      </w:r>
      <w:r w:rsidRPr="0031675F">
        <w:rPr>
          <w:spacing w:val="17"/>
        </w:rPr>
        <w:t xml:space="preserve"> </w:t>
      </w:r>
      <w:r w:rsidRPr="0031675F">
        <w:rPr>
          <w:spacing w:val="-1"/>
        </w:rPr>
        <w:t>standard</w:t>
      </w:r>
      <w:r w:rsidRPr="0031675F">
        <w:rPr>
          <w:spacing w:val="16"/>
        </w:rPr>
        <w:t xml:space="preserve"> </w:t>
      </w:r>
      <w:r w:rsidRPr="0031675F">
        <w:t>in</w:t>
      </w:r>
      <w:r w:rsidRPr="0031675F">
        <w:rPr>
          <w:spacing w:val="16"/>
        </w:rPr>
        <w:t xml:space="preserve"> </w:t>
      </w:r>
      <w:r w:rsidRPr="0031675F">
        <w:rPr>
          <w:spacing w:val="-1"/>
        </w:rPr>
        <w:t>four</w:t>
      </w:r>
      <w:r w:rsidRPr="0031675F">
        <w:rPr>
          <w:spacing w:val="17"/>
        </w:rPr>
        <w:t xml:space="preserve"> </w:t>
      </w:r>
      <w:r w:rsidRPr="0031675F">
        <w:t>100</w:t>
      </w:r>
      <w:r w:rsidRPr="0031675F">
        <w:rPr>
          <w:spacing w:val="15"/>
        </w:rPr>
        <w:t xml:space="preserve"> </w:t>
      </w:r>
      <w:r w:rsidR="00BB13FD">
        <w:t>mL</w:t>
      </w:r>
      <w:r w:rsidRPr="0031675F">
        <w:rPr>
          <w:spacing w:val="57"/>
        </w:rPr>
        <w:t xml:space="preserve"> </w:t>
      </w:r>
      <w:r w:rsidRPr="0031675F">
        <w:rPr>
          <w:spacing w:val="-1"/>
        </w:rPr>
        <w:t>volumetric</w:t>
      </w:r>
      <w:r w:rsidRPr="0031675F">
        <w:rPr>
          <w:spacing w:val="25"/>
        </w:rPr>
        <w:t xml:space="preserve"> </w:t>
      </w:r>
      <w:r w:rsidRPr="0031675F">
        <w:rPr>
          <w:spacing w:val="-1"/>
        </w:rPr>
        <w:t>flasks.</w:t>
      </w:r>
      <w:r w:rsidRPr="0031675F">
        <w:rPr>
          <w:spacing w:val="4"/>
        </w:rPr>
        <w:t xml:space="preserve"> </w:t>
      </w:r>
      <w:r w:rsidRPr="0031675F">
        <w:rPr>
          <w:spacing w:val="-1"/>
        </w:rPr>
        <w:t>The</w:t>
      </w:r>
      <w:r w:rsidRPr="0031675F">
        <w:rPr>
          <w:spacing w:val="27"/>
        </w:rPr>
        <w:t xml:space="preserve"> </w:t>
      </w:r>
      <w:r w:rsidRPr="0031675F">
        <w:rPr>
          <w:spacing w:val="-2"/>
        </w:rPr>
        <w:t>slope</w:t>
      </w:r>
      <w:r w:rsidRPr="0031675F">
        <w:rPr>
          <w:spacing w:val="27"/>
        </w:rPr>
        <w:t xml:space="preserve"> </w:t>
      </w:r>
      <w:r w:rsidRPr="0031675F">
        <w:t>is</w:t>
      </w:r>
      <w:r w:rsidRPr="0031675F">
        <w:rPr>
          <w:spacing w:val="25"/>
        </w:rPr>
        <w:t xml:space="preserve"> </w:t>
      </w:r>
      <w:r w:rsidRPr="0031675F">
        <w:rPr>
          <w:spacing w:val="-1"/>
        </w:rPr>
        <w:t>calculated</w:t>
      </w:r>
      <w:r w:rsidRPr="0031675F">
        <w:rPr>
          <w:spacing w:val="25"/>
        </w:rPr>
        <w:t xml:space="preserve"> </w:t>
      </w:r>
      <w:r w:rsidRPr="0031675F">
        <w:rPr>
          <w:spacing w:val="-1"/>
        </w:rPr>
        <w:t>and</w:t>
      </w:r>
      <w:r w:rsidRPr="0031675F">
        <w:rPr>
          <w:spacing w:val="26"/>
        </w:rPr>
        <w:t xml:space="preserve"> </w:t>
      </w:r>
      <w:r w:rsidRPr="0031675F">
        <w:rPr>
          <w:spacing w:val="-1"/>
        </w:rPr>
        <w:t>used</w:t>
      </w:r>
      <w:r w:rsidRPr="0031675F">
        <w:rPr>
          <w:spacing w:val="27"/>
        </w:rPr>
        <w:t xml:space="preserve"> </w:t>
      </w:r>
      <w:r w:rsidRPr="0031675F">
        <w:t>to</w:t>
      </w:r>
      <w:r w:rsidRPr="0031675F">
        <w:rPr>
          <w:spacing w:val="27"/>
        </w:rPr>
        <w:t xml:space="preserve"> </w:t>
      </w:r>
      <w:r w:rsidRPr="0031675F">
        <w:rPr>
          <w:spacing w:val="-1"/>
        </w:rPr>
        <w:t>convert</w:t>
      </w:r>
      <w:r w:rsidRPr="0031675F">
        <w:rPr>
          <w:spacing w:val="27"/>
        </w:rPr>
        <w:t xml:space="preserve"> </w:t>
      </w:r>
      <w:r w:rsidRPr="0031675F">
        <w:t>the</w:t>
      </w:r>
      <w:r w:rsidRPr="0031675F">
        <w:rPr>
          <w:spacing w:val="27"/>
        </w:rPr>
        <w:t xml:space="preserve"> </w:t>
      </w:r>
      <w:r w:rsidRPr="0031675F">
        <w:rPr>
          <w:spacing w:val="-1"/>
        </w:rPr>
        <w:t>sample</w:t>
      </w:r>
      <w:r w:rsidRPr="0031675F">
        <w:rPr>
          <w:spacing w:val="26"/>
        </w:rPr>
        <w:t xml:space="preserve"> </w:t>
      </w:r>
      <w:r w:rsidRPr="0031675F">
        <w:rPr>
          <w:spacing w:val="-1"/>
        </w:rPr>
        <w:t>absorbance</w:t>
      </w:r>
      <w:r w:rsidRPr="0031675F">
        <w:rPr>
          <w:spacing w:val="27"/>
        </w:rPr>
        <w:t xml:space="preserve"> </w:t>
      </w:r>
      <w:r w:rsidRPr="0031675F">
        <w:rPr>
          <w:spacing w:val="-1"/>
        </w:rPr>
        <w:t>(with</w:t>
      </w:r>
      <w:r w:rsidRPr="0031675F">
        <w:rPr>
          <w:spacing w:val="65"/>
        </w:rPr>
        <w:t xml:space="preserve"> </w:t>
      </w:r>
      <w:r w:rsidRPr="0031675F">
        <w:rPr>
          <w:spacing w:val="-1"/>
        </w:rPr>
        <w:t>correction</w:t>
      </w:r>
      <w:r w:rsidRPr="0031675F">
        <w:rPr>
          <w:spacing w:val="25"/>
        </w:rPr>
        <w:t xml:space="preserve"> </w:t>
      </w:r>
      <w:r w:rsidRPr="0031675F">
        <w:rPr>
          <w:spacing w:val="-1"/>
        </w:rPr>
        <w:t>for</w:t>
      </w:r>
      <w:r w:rsidRPr="0031675F">
        <w:rPr>
          <w:spacing w:val="27"/>
        </w:rPr>
        <w:t xml:space="preserve"> </w:t>
      </w:r>
      <w:r w:rsidRPr="0031675F">
        <w:rPr>
          <w:spacing w:val="-1"/>
        </w:rPr>
        <w:t>blank)</w:t>
      </w:r>
      <w:r w:rsidRPr="0031675F">
        <w:rPr>
          <w:spacing w:val="25"/>
        </w:rPr>
        <w:t xml:space="preserve"> </w:t>
      </w:r>
      <w:r w:rsidRPr="0031675F">
        <w:t>to</w:t>
      </w:r>
      <w:r w:rsidRPr="0031675F">
        <w:rPr>
          <w:spacing w:val="27"/>
        </w:rPr>
        <w:t xml:space="preserve"> </w:t>
      </w:r>
      <w:r w:rsidRPr="0031675F">
        <w:rPr>
          <w:spacing w:val="-1"/>
        </w:rPr>
        <w:t>phosphate</w:t>
      </w:r>
      <w:r w:rsidRPr="0031675F">
        <w:rPr>
          <w:spacing w:val="27"/>
        </w:rPr>
        <w:t xml:space="preserve"> </w:t>
      </w:r>
      <w:r w:rsidRPr="0031675F">
        <w:rPr>
          <w:spacing w:val="-1"/>
        </w:rPr>
        <w:t>concentration</w:t>
      </w:r>
      <w:r w:rsidRPr="0031675F">
        <w:rPr>
          <w:spacing w:val="26"/>
        </w:rPr>
        <w:t xml:space="preserve"> </w:t>
      </w:r>
      <w:r w:rsidRPr="0031675F">
        <w:t>in</w:t>
      </w:r>
      <w:r w:rsidRPr="0031675F">
        <w:rPr>
          <w:spacing w:val="26"/>
        </w:rPr>
        <w:t xml:space="preserve"> </w:t>
      </w:r>
      <w:r w:rsidRPr="0031675F">
        <w:t>the</w:t>
      </w:r>
      <w:r w:rsidRPr="0031675F">
        <w:rPr>
          <w:spacing w:val="26"/>
        </w:rPr>
        <w:t xml:space="preserve"> </w:t>
      </w:r>
      <w:r w:rsidRPr="0031675F">
        <w:rPr>
          <w:spacing w:val="-1"/>
        </w:rPr>
        <w:t>sample.</w:t>
      </w:r>
      <w:r w:rsidRPr="0031675F">
        <w:rPr>
          <w:spacing w:val="3"/>
        </w:rPr>
        <w:t xml:space="preserve"> </w:t>
      </w:r>
      <w:r w:rsidRPr="0031675F">
        <w:rPr>
          <w:spacing w:val="-1"/>
        </w:rPr>
        <w:t>The</w:t>
      </w:r>
      <w:r w:rsidRPr="0031675F">
        <w:rPr>
          <w:spacing w:val="27"/>
        </w:rPr>
        <w:t xml:space="preserve"> </w:t>
      </w:r>
      <w:r w:rsidRPr="0031675F">
        <w:rPr>
          <w:spacing w:val="-1"/>
        </w:rPr>
        <w:t>efficiency</w:t>
      </w:r>
      <w:r w:rsidRPr="0031675F">
        <w:rPr>
          <w:spacing w:val="27"/>
        </w:rPr>
        <w:t xml:space="preserve"> </w:t>
      </w:r>
      <w:r w:rsidRPr="0031675F">
        <w:rPr>
          <w:spacing w:val="-1"/>
        </w:rPr>
        <w:t>factor</w:t>
      </w:r>
      <w:r w:rsidRPr="0031675F">
        <w:rPr>
          <w:spacing w:val="26"/>
        </w:rPr>
        <w:t xml:space="preserve"> </w:t>
      </w:r>
      <w:r w:rsidRPr="0031675F">
        <w:rPr>
          <w:spacing w:val="-1"/>
        </w:rPr>
        <w:t>and</w:t>
      </w:r>
      <w:r w:rsidRPr="0031675F">
        <w:rPr>
          <w:spacing w:val="26"/>
        </w:rPr>
        <w:t xml:space="preserve"> </w:t>
      </w:r>
      <w:r w:rsidRPr="0031675F">
        <w:t>a</w:t>
      </w:r>
      <w:r w:rsidRPr="0031675F">
        <w:rPr>
          <w:spacing w:val="53"/>
        </w:rPr>
        <w:t xml:space="preserve"> </w:t>
      </w:r>
      <w:r w:rsidRPr="0031675F">
        <w:rPr>
          <w:spacing w:val="-1"/>
        </w:rPr>
        <w:t>dilution factor</w:t>
      </w:r>
      <w:r w:rsidRPr="0031675F">
        <w:t xml:space="preserve"> </w:t>
      </w:r>
      <w:r w:rsidRPr="0031675F">
        <w:rPr>
          <w:spacing w:val="-1"/>
        </w:rPr>
        <w:t>are</w:t>
      </w:r>
      <w:r w:rsidRPr="0031675F">
        <w:t xml:space="preserve"> then </w:t>
      </w:r>
      <w:r w:rsidRPr="0031675F">
        <w:rPr>
          <w:spacing w:val="-1"/>
        </w:rPr>
        <w:t>applied</w:t>
      </w:r>
      <w:r w:rsidRPr="0031675F">
        <w:t xml:space="preserve"> to</w:t>
      </w:r>
      <w:r w:rsidRPr="0031675F">
        <w:rPr>
          <w:spacing w:val="1"/>
        </w:rPr>
        <w:t xml:space="preserve"> </w:t>
      </w:r>
      <w:r w:rsidRPr="0031675F">
        <w:rPr>
          <w:spacing w:val="-1"/>
        </w:rPr>
        <w:t>calculate</w:t>
      </w:r>
      <w:r w:rsidRPr="0031675F">
        <w:t xml:space="preserve"> the P</w:t>
      </w:r>
      <w:r w:rsidRPr="0031675F">
        <w:rPr>
          <w:spacing w:val="1"/>
        </w:rPr>
        <w:t xml:space="preserve"> </w:t>
      </w:r>
      <w:r w:rsidRPr="0031675F">
        <w:rPr>
          <w:spacing w:val="-1"/>
        </w:rPr>
        <w:t>content</w:t>
      </w:r>
      <w:r w:rsidRPr="0031675F">
        <w:t xml:space="preserve"> of </w:t>
      </w:r>
      <w:r w:rsidRPr="0031675F">
        <w:rPr>
          <w:spacing w:val="-2"/>
        </w:rPr>
        <w:t>the</w:t>
      </w:r>
      <w:r w:rsidRPr="0031675F">
        <w:t xml:space="preserve"> </w:t>
      </w:r>
      <w:r w:rsidRPr="0031675F">
        <w:rPr>
          <w:spacing w:val="-1"/>
        </w:rPr>
        <w:t>sample.</w:t>
      </w:r>
      <w:r w:rsidRPr="0031675F">
        <w:rPr>
          <w:spacing w:val="1"/>
        </w:rPr>
        <w:t xml:space="preserve"> </w:t>
      </w:r>
      <w:r w:rsidRPr="0031675F">
        <w:rPr>
          <w:spacing w:val="-1"/>
        </w:rPr>
        <w:t>The</w:t>
      </w:r>
      <w:r w:rsidRPr="0031675F">
        <w:t xml:space="preserve"> </w:t>
      </w:r>
      <w:r w:rsidRPr="0031675F">
        <w:rPr>
          <w:spacing w:val="-1"/>
        </w:rPr>
        <w:t>final</w:t>
      </w:r>
      <w:r w:rsidRPr="0031675F">
        <w:t xml:space="preserve"> </w:t>
      </w:r>
      <w:r w:rsidRPr="0031675F">
        <w:rPr>
          <w:spacing w:val="-1"/>
        </w:rPr>
        <w:t>value</w:t>
      </w:r>
      <w:r w:rsidRPr="0031675F">
        <w:t xml:space="preserve"> </w:t>
      </w:r>
      <w:r w:rsidRPr="0031675F">
        <w:rPr>
          <w:spacing w:val="-1"/>
        </w:rPr>
        <w:t>should</w:t>
      </w:r>
      <w:r w:rsidRPr="0031675F">
        <w:rPr>
          <w:spacing w:val="52"/>
        </w:rPr>
        <w:t xml:space="preserve"> </w:t>
      </w:r>
      <w:r w:rsidRPr="0031675F">
        <w:rPr>
          <w:spacing w:val="-1"/>
        </w:rPr>
        <w:t xml:space="preserve">be </w:t>
      </w:r>
      <w:r w:rsidRPr="0031675F">
        <w:t>the</w:t>
      </w:r>
      <w:r w:rsidRPr="0031675F">
        <w:rPr>
          <w:spacing w:val="-2"/>
        </w:rPr>
        <w:t xml:space="preserve"> </w:t>
      </w:r>
      <w:r w:rsidRPr="0031675F">
        <w:rPr>
          <w:spacing w:val="-1"/>
        </w:rPr>
        <w:t>concentration</w:t>
      </w:r>
      <w:r w:rsidRPr="0031675F">
        <w:rPr>
          <w:spacing w:val="-3"/>
        </w:rPr>
        <w:t xml:space="preserve"> </w:t>
      </w:r>
      <w:r w:rsidRPr="0031675F">
        <w:t xml:space="preserve">of </w:t>
      </w:r>
      <w:r w:rsidRPr="0031675F">
        <w:rPr>
          <w:spacing w:val="-1"/>
        </w:rPr>
        <w:t>particulate</w:t>
      </w:r>
      <w:r w:rsidRPr="0031675F">
        <w:t xml:space="preserve"> </w:t>
      </w:r>
      <w:r w:rsidRPr="0031675F">
        <w:rPr>
          <w:spacing w:val="-1"/>
        </w:rPr>
        <w:t>phosphorus</w:t>
      </w:r>
      <w:r w:rsidRPr="0031675F">
        <w:rPr>
          <w:spacing w:val="-2"/>
        </w:rPr>
        <w:t xml:space="preserve"> </w:t>
      </w:r>
      <w:r w:rsidRPr="0031675F">
        <w:rPr>
          <w:spacing w:val="-1"/>
        </w:rPr>
        <w:t>(PP),</w:t>
      </w:r>
      <w:r w:rsidRPr="0031675F">
        <w:rPr>
          <w:spacing w:val="-2"/>
        </w:rPr>
        <w:t xml:space="preserve"> in</w:t>
      </w:r>
      <w:r w:rsidRPr="0031675F">
        <w:rPr>
          <w:spacing w:val="-1"/>
        </w:rPr>
        <w:t xml:space="preserve"> </w:t>
      </w:r>
      <w:r w:rsidRPr="0031675F">
        <w:t>µmol</w:t>
      </w:r>
      <w:r w:rsidR="00E37A70" w:rsidRPr="00E37A70">
        <w:rPr>
          <w:rFonts w:cs="Arial"/>
          <w:spacing w:val="-1"/>
        </w:rPr>
        <w:t xml:space="preserve"> </w:t>
      </w:r>
      <w:r w:rsidR="00E37A70">
        <w:rPr>
          <w:rFonts w:cs="Arial"/>
          <w:spacing w:val="-1"/>
        </w:rPr>
        <w:t>L</w:t>
      </w:r>
      <w:r w:rsidR="00E37A70" w:rsidRPr="00E37A70">
        <w:rPr>
          <w:rFonts w:cs="Arial"/>
          <w:spacing w:val="-1"/>
          <w:vertAlign w:val="superscript"/>
        </w:rPr>
        <w:t>-1</w:t>
      </w:r>
      <w:r w:rsidRPr="0031675F">
        <w:rPr>
          <w:spacing w:val="-1"/>
        </w:rPr>
        <w:t>.</w:t>
      </w:r>
    </w:p>
    <w:p w14:paraId="13FAE9DF" w14:textId="77777777" w:rsidR="0031675F" w:rsidRPr="0031675F" w:rsidRDefault="0031675F" w:rsidP="0031675F">
      <w:pPr>
        <w:spacing w:before="12"/>
        <w:rPr>
          <w:rFonts w:cs="Calibri"/>
        </w:rPr>
      </w:pPr>
    </w:p>
    <w:p w14:paraId="1BEAD8D8" w14:textId="77777777" w:rsidR="0031675F" w:rsidRPr="0031675F" w:rsidRDefault="0031675F" w:rsidP="0031675F">
      <w:pPr>
        <w:spacing w:after="120"/>
        <w:jc w:val="both"/>
      </w:pPr>
      <w:r w:rsidRPr="0031675F">
        <w:rPr>
          <w:spacing w:val="-1"/>
          <w:u w:val="single" w:color="000000"/>
        </w:rPr>
        <w:t>Control</w:t>
      </w:r>
      <w:r w:rsidRPr="0031675F">
        <w:rPr>
          <w:u w:val="single" w:color="000000"/>
        </w:rPr>
        <w:t xml:space="preserve"> </w:t>
      </w:r>
      <w:r w:rsidRPr="0031675F">
        <w:rPr>
          <w:spacing w:val="-1"/>
          <w:u w:val="single" w:color="000000"/>
        </w:rPr>
        <w:t>Standards</w:t>
      </w:r>
    </w:p>
    <w:p w14:paraId="1B8D9F3A" w14:textId="0B6F956A" w:rsidR="0031675F" w:rsidRPr="0031675F" w:rsidRDefault="0031675F" w:rsidP="0031675F">
      <w:pPr>
        <w:spacing w:before="1" w:after="120" w:line="239" w:lineRule="auto"/>
        <w:ind w:right="655"/>
        <w:jc w:val="both"/>
      </w:pPr>
      <w:r w:rsidRPr="0031675F">
        <w:rPr>
          <w:spacing w:val="-1"/>
        </w:rPr>
        <w:t>Deionized</w:t>
      </w:r>
      <w:r w:rsidRPr="0031675F">
        <w:t xml:space="preserve"> water </w:t>
      </w:r>
      <w:r w:rsidRPr="0031675F">
        <w:rPr>
          <w:spacing w:val="-1"/>
        </w:rPr>
        <w:t>blanks</w:t>
      </w:r>
      <w:r w:rsidRPr="0031675F">
        <w:t xml:space="preserve"> </w:t>
      </w:r>
      <w:r w:rsidRPr="0031675F">
        <w:rPr>
          <w:spacing w:val="-2"/>
        </w:rPr>
        <w:t>and</w:t>
      </w:r>
      <w:r w:rsidRPr="0031675F">
        <w:rPr>
          <w:spacing w:val="-1"/>
        </w:rPr>
        <w:t xml:space="preserve"> digestion/recovery</w:t>
      </w:r>
      <w:r w:rsidRPr="0031675F">
        <w:t xml:space="preserve"> </w:t>
      </w:r>
      <w:r w:rsidRPr="0031675F">
        <w:rPr>
          <w:spacing w:val="-1"/>
        </w:rPr>
        <w:t>control</w:t>
      </w:r>
      <w:r w:rsidRPr="0031675F">
        <w:t xml:space="preserve"> </w:t>
      </w:r>
      <w:r w:rsidRPr="0031675F">
        <w:rPr>
          <w:spacing w:val="-1"/>
        </w:rPr>
        <w:t>standards</w:t>
      </w:r>
      <w:r w:rsidRPr="0031675F">
        <w:t xml:space="preserve"> are</w:t>
      </w:r>
      <w:r w:rsidRPr="0031675F">
        <w:rPr>
          <w:spacing w:val="1"/>
        </w:rPr>
        <w:t xml:space="preserve"> </w:t>
      </w:r>
      <w:r w:rsidRPr="0031675F">
        <w:rPr>
          <w:spacing w:val="-1"/>
        </w:rPr>
        <w:t>to</w:t>
      </w:r>
      <w:r w:rsidRPr="0031675F">
        <w:rPr>
          <w:spacing w:val="1"/>
        </w:rPr>
        <w:t xml:space="preserve"> </w:t>
      </w:r>
      <w:r w:rsidRPr="0031675F">
        <w:rPr>
          <w:spacing w:val="-1"/>
        </w:rPr>
        <w:t>be</w:t>
      </w:r>
      <w:r w:rsidRPr="0031675F">
        <w:t xml:space="preserve"> </w:t>
      </w:r>
      <w:r w:rsidRPr="0031675F">
        <w:rPr>
          <w:spacing w:val="-1"/>
        </w:rPr>
        <w:t xml:space="preserve">run </w:t>
      </w:r>
      <w:r w:rsidRPr="0031675F">
        <w:t>with</w:t>
      </w:r>
      <w:r w:rsidRPr="0031675F">
        <w:rPr>
          <w:spacing w:val="-1"/>
        </w:rPr>
        <w:t xml:space="preserve"> </w:t>
      </w:r>
      <w:r w:rsidRPr="0031675F">
        <w:t>each</w:t>
      </w:r>
      <w:r w:rsidRPr="0031675F">
        <w:rPr>
          <w:spacing w:val="-1"/>
        </w:rPr>
        <w:t xml:space="preserve"> batch</w:t>
      </w:r>
      <w:r w:rsidRPr="0031675F">
        <w:rPr>
          <w:spacing w:val="48"/>
        </w:rPr>
        <w:t xml:space="preserve"> </w:t>
      </w:r>
      <w:r w:rsidRPr="0031675F">
        <w:t>of</w:t>
      </w:r>
      <w:r w:rsidRPr="0031675F">
        <w:rPr>
          <w:spacing w:val="21"/>
        </w:rPr>
        <w:t xml:space="preserve"> </w:t>
      </w:r>
      <w:r w:rsidRPr="0031675F">
        <w:rPr>
          <w:spacing w:val="-1"/>
        </w:rPr>
        <w:t>samples</w:t>
      </w:r>
      <w:r w:rsidRPr="0031675F">
        <w:rPr>
          <w:spacing w:val="19"/>
        </w:rPr>
        <w:t xml:space="preserve"> </w:t>
      </w:r>
      <w:r w:rsidRPr="0031675F">
        <w:rPr>
          <w:spacing w:val="-1"/>
        </w:rPr>
        <w:t>digested</w:t>
      </w:r>
      <w:r w:rsidRPr="0031675F">
        <w:rPr>
          <w:spacing w:val="19"/>
        </w:rPr>
        <w:t xml:space="preserve"> </w:t>
      </w:r>
      <w:r w:rsidRPr="0031675F">
        <w:rPr>
          <w:spacing w:val="-1"/>
        </w:rPr>
        <w:t>and</w:t>
      </w:r>
      <w:r w:rsidRPr="0031675F">
        <w:rPr>
          <w:spacing w:val="21"/>
        </w:rPr>
        <w:t xml:space="preserve"> </w:t>
      </w:r>
      <w:r w:rsidRPr="0031675F">
        <w:rPr>
          <w:spacing w:val="-1"/>
        </w:rPr>
        <w:t>treated</w:t>
      </w:r>
      <w:r w:rsidRPr="0031675F">
        <w:rPr>
          <w:spacing w:val="21"/>
        </w:rPr>
        <w:t xml:space="preserve"> </w:t>
      </w:r>
      <w:r w:rsidRPr="0031675F">
        <w:t>in</w:t>
      </w:r>
      <w:r w:rsidRPr="0031675F">
        <w:rPr>
          <w:spacing w:val="18"/>
        </w:rPr>
        <w:t xml:space="preserve"> </w:t>
      </w:r>
      <w:r w:rsidRPr="0031675F">
        <w:t>the</w:t>
      </w:r>
      <w:r w:rsidRPr="0031675F">
        <w:rPr>
          <w:spacing w:val="22"/>
        </w:rPr>
        <w:t xml:space="preserve"> </w:t>
      </w:r>
      <w:r w:rsidRPr="0031675F">
        <w:rPr>
          <w:spacing w:val="-2"/>
        </w:rPr>
        <w:t>same</w:t>
      </w:r>
      <w:r w:rsidRPr="0031675F">
        <w:rPr>
          <w:spacing w:val="22"/>
        </w:rPr>
        <w:t xml:space="preserve"> </w:t>
      </w:r>
      <w:r w:rsidRPr="0031675F">
        <w:rPr>
          <w:spacing w:val="-1"/>
        </w:rPr>
        <w:t>way</w:t>
      </w:r>
      <w:r w:rsidRPr="0031675F">
        <w:rPr>
          <w:spacing w:val="22"/>
        </w:rPr>
        <w:t xml:space="preserve"> </w:t>
      </w:r>
      <w:r w:rsidRPr="0031675F">
        <w:rPr>
          <w:spacing w:val="-2"/>
        </w:rPr>
        <w:t>as</w:t>
      </w:r>
      <w:r w:rsidRPr="0031675F">
        <w:rPr>
          <w:spacing w:val="19"/>
        </w:rPr>
        <w:t xml:space="preserve"> </w:t>
      </w:r>
      <w:r w:rsidRPr="0031675F">
        <w:rPr>
          <w:spacing w:val="-1"/>
        </w:rPr>
        <w:t>unknowns</w:t>
      </w:r>
      <w:r w:rsidRPr="0031675F">
        <w:rPr>
          <w:spacing w:val="19"/>
        </w:rPr>
        <w:t xml:space="preserve"> </w:t>
      </w:r>
      <w:r w:rsidRPr="0031675F">
        <w:t>to</w:t>
      </w:r>
      <w:r w:rsidRPr="0031675F">
        <w:rPr>
          <w:spacing w:val="21"/>
        </w:rPr>
        <w:t xml:space="preserve"> </w:t>
      </w:r>
      <w:r w:rsidRPr="0031675F">
        <w:rPr>
          <w:spacing w:val="-1"/>
        </w:rPr>
        <w:t>determine</w:t>
      </w:r>
      <w:r w:rsidRPr="0031675F">
        <w:rPr>
          <w:spacing w:val="20"/>
        </w:rPr>
        <w:t xml:space="preserve"> </w:t>
      </w:r>
      <w:r w:rsidRPr="0031675F">
        <w:rPr>
          <w:spacing w:val="-1"/>
        </w:rPr>
        <w:t>efficiency.</w:t>
      </w:r>
      <w:r w:rsidRPr="0031675F">
        <w:rPr>
          <w:spacing w:val="40"/>
        </w:rPr>
        <w:t xml:space="preserve"> </w:t>
      </w:r>
      <w:r w:rsidRPr="0031675F">
        <w:rPr>
          <w:spacing w:val="-1"/>
        </w:rPr>
        <w:t>The</w:t>
      </w:r>
      <w:r w:rsidRPr="0031675F">
        <w:rPr>
          <w:spacing w:val="64"/>
        </w:rPr>
        <w:t xml:space="preserve"> </w:t>
      </w:r>
      <w:r w:rsidRPr="0031675F">
        <w:rPr>
          <w:spacing w:val="-1"/>
        </w:rPr>
        <w:t>suggested</w:t>
      </w:r>
      <w:r w:rsidRPr="0031675F">
        <w:rPr>
          <w:spacing w:val="40"/>
        </w:rPr>
        <w:t xml:space="preserve"> </w:t>
      </w:r>
      <w:r w:rsidRPr="0031675F">
        <w:rPr>
          <w:spacing w:val="-1"/>
        </w:rPr>
        <w:t>range</w:t>
      </w:r>
      <w:r w:rsidRPr="0031675F">
        <w:rPr>
          <w:spacing w:val="42"/>
        </w:rPr>
        <w:t xml:space="preserve"> </w:t>
      </w:r>
      <w:r w:rsidRPr="0031675F">
        <w:t>of</w:t>
      </w:r>
      <w:r w:rsidRPr="0031675F">
        <w:rPr>
          <w:spacing w:val="41"/>
        </w:rPr>
        <w:t xml:space="preserve"> </w:t>
      </w:r>
      <w:r w:rsidRPr="0031675F">
        <w:rPr>
          <w:spacing w:val="-1"/>
        </w:rPr>
        <w:t>controls</w:t>
      </w:r>
      <w:r w:rsidRPr="0031675F">
        <w:rPr>
          <w:spacing w:val="40"/>
        </w:rPr>
        <w:t xml:space="preserve"> </w:t>
      </w:r>
      <w:r w:rsidRPr="0031675F">
        <w:t>is</w:t>
      </w:r>
      <w:r w:rsidRPr="0031675F">
        <w:rPr>
          <w:spacing w:val="41"/>
        </w:rPr>
        <w:t xml:space="preserve"> </w:t>
      </w:r>
      <w:r w:rsidRPr="0031675F">
        <w:t>0,</w:t>
      </w:r>
      <w:r w:rsidRPr="0031675F">
        <w:rPr>
          <w:spacing w:val="41"/>
        </w:rPr>
        <w:t xml:space="preserve"> </w:t>
      </w:r>
      <w:r w:rsidRPr="0031675F">
        <w:t>50</w:t>
      </w:r>
      <w:r w:rsidRPr="0031675F">
        <w:rPr>
          <w:spacing w:val="42"/>
        </w:rPr>
        <w:t xml:space="preserve"> </w:t>
      </w:r>
      <w:r w:rsidRPr="0031675F">
        <w:rPr>
          <w:spacing w:val="-1"/>
        </w:rPr>
        <w:t>and</w:t>
      </w:r>
      <w:r w:rsidRPr="0031675F">
        <w:rPr>
          <w:spacing w:val="39"/>
        </w:rPr>
        <w:t xml:space="preserve"> </w:t>
      </w:r>
      <w:r w:rsidRPr="0031675F">
        <w:rPr>
          <w:spacing w:val="-1"/>
        </w:rPr>
        <w:t>100</w:t>
      </w:r>
      <w:r w:rsidRPr="0031675F">
        <w:rPr>
          <w:spacing w:val="42"/>
        </w:rPr>
        <w:t xml:space="preserve"> </w:t>
      </w:r>
      <w:r w:rsidRPr="0031675F">
        <w:t>µ</w:t>
      </w:r>
      <w:r w:rsidR="00E37A70">
        <w:t>L</w:t>
      </w:r>
      <w:r w:rsidRPr="0031675F">
        <w:rPr>
          <w:spacing w:val="41"/>
        </w:rPr>
        <w:t xml:space="preserve"> </w:t>
      </w:r>
      <w:r w:rsidRPr="0031675F">
        <w:t>of</w:t>
      </w:r>
      <w:r w:rsidRPr="0031675F">
        <w:rPr>
          <w:spacing w:val="37"/>
        </w:rPr>
        <w:t xml:space="preserve"> </w:t>
      </w:r>
      <w:r w:rsidRPr="0031675F">
        <w:t>the</w:t>
      </w:r>
      <w:r w:rsidRPr="0031675F">
        <w:rPr>
          <w:spacing w:val="41"/>
        </w:rPr>
        <w:t xml:space="preserve"> </w:t>
      </w:r>
      <w:r w:rsidRPr="0031675F">
        <w:rPr>
          <w:spacing w:val="-1"/>
        </w:rPr>
        <w:t>primary</w:t>
      </w:r>
      <w:r w:rsidRPr="0031675F">
        <w:rPr>
          <w:spacing w:val="42"/>
        </w:rPr>
        <w:t xml:space="preserve"> </w:t>
      </w:r>
      <w:r w:rsidRPr="0031675F">
        <w:rPr>
          <w:spacing w:val="-1"/>
        </w:rPr>
        <w:t>standard</w:t>
      </w:r>
      <w:r w:rsidRPr="0031675F">
        <w:rPr>
          <w:spacing w:val="40"/>
        </w:rPr>
        <w:t xml:space="preserve"> </w:t>
      </w:r>
      <w:r w:rsidRPr="0031675F">
        <w:rPr>
          <w:spacing w:val="-1"/>
        </w:rPr>
        <w:t>solution</w:t>
      </w:r>
      <w:r w:rsidRPr="0031675F">
        <w:rPr>
          <w:spacing w:val="39"/>
        </w:rPr>
        <w:t xml:space="preserve"> </w:t>
      </w:r>
      <w:r w:rsidRPr="0031675F">
        <w:rPr>
          <w:spacing w:val="-1"/>
        </w:rPr>
        <w:t>per</w:t>
      </w:r>
      <w:r w:rsidRPr="0031675F">
        <w:rPr>
          <w:spacing w:val="41"/>
        </w:rPr>
        <w:t xml:space="preserve"> </w:t>
      </w:r>
      <w:r w:rsidRPr="0031675F">
        <w:rPr>
          <w:spacing w:val="-1"/>
        </w:rPr>
        <w:t>vial,</w:t>
      </w:r>
      <w:r w:rsidRPr="0031675F">
        <w:rPr>
          <w:spacing w:val="73"/>
        </w:rPr>
        <w:t xml:space="preserve"> </w:t>
      </w:r>
      <w:r w:rsidRPr="0031675F">
        <w:rPr>
          <w:spacing w:val="-1"/>
        </w:rPr>
        <w:t>corresponding to</w:t>
      </w:r>
      <w:r w:rsidRPr="0031675F">
        <w:rPr>
          <w:spacing w:val="1"/>
        </w:rPr>
        <w:t xml:space="preserve"> </w:t>
      </w:r>
      <w:r w:rsidRPr="0031675F">
        <w:t>0,</w:t>
      </w:r>
      <w:r w:rsidRPr="0031675F">
        <w:rPr>
          <w:spacing w:val="-3"/>
        </w:rPr>
        <w:t xml:space="preserve"> </w:t>
      </w:r>
      <w:r w:rsidRPr="0031675F">
        <w:rPr>
          <w:spacing w:val="-1"/>
        </w:rPr>
        <w:t>10</w:t>
      </w:r>
      <w:r w:rsidRPr="0031675F">
        <w:t xml:space="preserve"> and</w:t>
      </w:r>
      <w:r w:rsidRPr="0031675F">
        <w:rPr>
          <w:spacing w:val="-4"/>
        </w:rPr>
        <w:t xml:space="preserve"> </w:t>
      </w:r>
      <w:r w:rsidRPr="0031675F">
        <w:rPr>
          <w:spacing w:val="-1"/>
        </w:rPr>
        <w:t>20</w:t>
      </w:r>
      <w:r w:rsidR="00E37A70">
        <w:rPr>
          <w:spacing w:val="-1"/>
        </w:rPr>
        <w:t xml:space="preserve"> </w:t>
      </w:r>
      <w:r w:rsidRPr="0031675F">
        <w:rPr>
          <w:spacing w:val="-1"/>
        </w:rPr>
        <w:t>µM</w:t>
      </w:r>
      <w:r w:rsidRPr="0031675F">
        <w:rPr>
          <w:spacing w:val="-2"/>
        </w:rPr>
        <w:t xml:space="preserve"> </w:t>
      </w:r>
      <w:r w:rsidRPr="0031675F">
        <w:t>P</w:t>
      </w:r>
      <w:r w:rsidRPr="0031675F">
        <w:rPr>
          <w:spacing w:val="-1"/>
        </w:rPr>
        <w:t xml:space="preserve"> respectively.</w:t>
      </w:r>
    </w:p>
    <w:p w14:paraId="232235DC" w14:textId="77777777" w:rsidR="0031675F" w:rsidRPr="0031675F" w:rsidRDefault="0031675F" w:rsidP="0031675F">
      <w:pPr>
        <w:spacing w:before="11"/>
        <w:rPr>
          <w:rFonts w:cs="Calibri"/>
        </w:rPr>
      </w:pPr>
    </w:p>
    <w:p w14:paraId="7278FED4" w14:textId="77777777" w:rsidR="0031675F" w:rsidRPr="0031675F" w:rsidRDefault="0031675F" w:rsidP="0031675F">
      <w:pPr>
        <w:keepNext/>
        <w:widowControl w:val="0"/>
        <w:numPr>
          <w:ilvl w:val="2"/>
          <w:numId w:val="103"/>
        </w:numPr>
        <w:tabs>
          <w:tab w:val="left" w:pos="839"/>
        </w:tabs>
        <w:spacing w:before="0" w:after="0" w:line="240" w:lineRule="auto"/>
        <w:ind w:left="838"/>
        <w:jc w:val="both"/>
        <w:rPr>
          <w:rFonts w:eastAsia="Arial" w:cs="Arial"/>
        </w:rPr>
      </w:pPr>
      <w:r w:rsidRPr="0031675F">
        <w:rPr>
          <w:b/>
          <w:spacing w:val="-1"/>
        </w:rPr>
        <w:t>Calculations</w:t>
      </w:r>
    </w:p>
    <w:p w14:paraId="26D4F6EA" w14:textId="77777777" w:rsidR="0031675F" w:rsidRPr="0031675F" w:rsidRDefault="0031675F" w:rsidP="0031675F">
      <w:pPr>
        <w:keepNext/>
        <w:spacing w:before="2"/>
        <w:rPr>
          <w:rFonts w:eastAsia="Arial" w:cs="Arial"/>
          <w:b/>
          <w:bCs/>
          <w:sz w:val="21"/>
          <w:szCs w:val="21"/>
        </w:rPr>
      </w:pPr>
    </w:p>
    <w:p w14:paraId="53113810" w14:textId="77777777" w:rsidR="0031675F" w:rsidRPr="0031675F" w:rsidRDefault="0031675F" w:rsidP="0031675F">
      <w:pPr>
        <w:keepNext/>
        <w:spacing w:after="120"/>
        <w:jc w:val="both"/>
      </w:pPr>
      <w:r w:rsidRPr="0031675F">
        <w:rPr>
          <w:spacing w:val="-1"/>
        </w:rPr>
        <w:t>The</w:t>
      </w:r>
      <w:r w:rsidRPr="0031675F">
        <w:t xml:space="preserve"> </w:t>
      </w:r>
      <w:r w:rsidRPr="0031675F">
        <w:rPr>
          <w:spacing w:val="-1"/>
        </w:rPr>
        <w:t xml:space="preserve">following equation </w:t>
      </w:r>
      <w:r w:rsidRPr="0031675F">
        <w:t xml:space="preserve">is </w:t>
      </w:r>
      <w:r w:rsidRPr="0031675F">
        <w:rPr>
          <w:spacing w:val="-2"/>
        </w:rPr>
        <w:t>used</w:t>
      </w:r>
      <w:r w:rsidRPr="0031675F">
        <w:t xml:space="preserve"> </w:t>
      </w:r>
      <w:r w:rsidRPr="0031675F">
        <w:rPr>
          <w:spacing w:val="-1"/>
        </w:rPr>
        <w:t>to</w:t>
      </w:r>
      <w:r w:rsidRPr="0031675F">
        <w:rPr>
          <w:spacing w:val="1"/>
        </w:rPr>
        <w:t xml:space="preserve"> </w:t>
      </w:r>
      <w:r w:rsidRPr="0031675F">
        <w:rPr>
          <w:spacing w:val="-1"/>
        </w:rPr>
        <w:t>calculate</w:t>
      </w:r>
      <w:r w:rsidRPr="0031675F">
        <w:t xml:space="preserve"> </w:t>
      </w:r>
      <w:r w:rsidRPr="0031675F">
        <w:rPr>
          <w:spacing w:val="-1"/>
        </w:rPr>
        <w:t>particulate</w:t>
      </w:r>
      <w:r w:rsidRPr="0031675F">
        <w:rPr>
          <w:spacing w:val="-2"/>
        </w:rPr>
        <w:t xml:space="preserve"> </w:t>
      </w:r>
      <w:r w:rsidRPr="0031675F">
        <w:rPr>
          <w:spacing w:val="-1"/>
        </w:rPr>
        <w:t>phosphorus</w:t>
      </w:r>
      <w:r w:rsidRPr="0031675F">
        <w:rPr>
          <w:spacing w:val="-2"/>
        </w:rPr>
        <w:t xml:space="preserve"> </w:t>
      </w:r>
      <w:r w:rsidRPr="0031675F">
        <w:rPr>
          <w:spacing w:val="-1"/>
        </w:rPr>
        <w:t>concentration:</w:t>
      </w:r>
    </w:p>
    <w:p w14:paraId="56A09B79" w14:textId="77777777" w:rsidR="0031675F" w:rsidRPr="0031675F" w:rsidRDefault="0031675F" w:rsidP="0031675F">
      <w:pPr>
        <w:spacing w:before="6"/>
        <w:rPr>
          <w:rFonts w:cs="Calibri"/>
          <w:sz w:val="17"/>
          <w:szCs w:val="17"/>
        </w:rPr>
      </w:pPr>
    </w:p>
    <w:p w14:paraId="6A794CBE" w14:textId="04D2F227" w:rsidR="0031675F" w:rsidRPr="0031675F" w:rsidRDefault="0031675F" w:rsidP="0031675F">
      <w:pPr>
        <w:spacing w:before="56" w:after="120"/>
        <w:ind w:left="1525" w:right="5260" w:hanging="699"/>
        <w:rPr>
          <w:sz w:val="14"/>
          <w:szCs w:val="14"/>
        </w:rPr>
      </w:pPr>
      <w:r w:rsidRPr="0031675F">
        <w:t>F =</w:t>
      </w:r>
      <w:r w:rsidRPr="0031675F">
        <w:rPr>
          <w:spacing w:val="1"/>
        </w:rPr>
        <w:t xml:space="preserve"> </w:t>
      </w:r>
      <w:r w:rsidRPr="0031675F">
        <w:rPr>
          <w:spacing w:val="-1"/>
          <w:u w:val="single" w:color="000000"/>
        </w:rPr>
        <w:t>concentration</w:t>
      </w:r>
      <w:r w:rsidRPr="0031675F">
        <w:rPr>
          <w:spacing w:val="-3"/>
          <w:u w:val="single" w:color="000000"/>
        </w:rPr>
        <w:t xml:space="preserve"> </w:t>
      </w:r>
      <w:r w:rsidRPr="0031675F">
        <w:rPr>
          <w:u w:val="single" w:color="000000"/>
        </w:rPr>
        <w:t>of</w:t>
      </w:r>
      <w:r w:rsidRPr="0031675F">
        <w:rPr>
          <w:spacing w:val="-1"/>
          <w:u w:val="single" w:color="000000"/>
        </w:rPr>
        <w:t xml:space="preserve"> standard</w:t>
      </w:r>
      <w:r w:rsidRPr="0031675F">
        <w:rPr>
          <w:spacing w:val="-2"/>
          <w:u w:val="single" w:color="000000"/>
        </w:rPr>
        <w:t xml:space="preserve"> </w:t>
      </w:r>
      <w:r w:rsidRPr="0031675F">
        <w:rPr>
          <w:u w:val="single" w:color="000000"/>
        </w:rPr>
        <w:t>in</w:t>
      </w:r>
      <w:r w:rsidRPr="0031675F">
        <w:rPr>
          <w:spacing w:val="-1"/>
          <w:u w:val="single" w:color="000000"/>
        </w:rPr>
        <w:t xml:space="preserve"> </w:t>
      </w:r>
      <w:r w:rsidRPr="0031675F">
        <w:rPr>
          <w:u w:val="single" w:color="000000"/>
        </w:rPr>
        <w:t>µ</w:t>
      </w:r>
      <w:r w:rsidRPr="0031675F">
        <w:t>mol</w:t>
      </w:r>
      <w:r w:rsidR="00E37A70" w:rsidRPr="00E37A70">
        <w:rPr>
          <w:rFonts w:cs="Arial"/>
          <w:spacing w:val="-1"/>
        </w:rPr>
        <w:t xml:space="preserve"> </w:t>
      </w:r>
      <w:r w:rsidR="00E37A70">
        <w:rPr>
          <w:rFonts w:cs="Arial"/>
          <w:spacing w:val="-1"/>
        </w:rPr>
        <w:t>L</w:t>
      </w:r>
      <w:r w:rsidR="00E37A70" w:rsidRPr="00E37A70">
        <w:rPr>
          <w:rFonts w:cs="Arial"/>
          <w:spacing w:val="-1"/>
          <w:vertAlign w:val="superscript"/>
        </w:rPr>
        <w:t>-1</w:t>
      </w:r>
      <w:r w:rsidRPr="0031675F">
        <w:rPr>
          <w:spacing w:val="21"/>
        </w:rPr>
        <w:t xml:space="preserve"> </w:t>
      </w:r>
      <w:r w:rsidRPr="0031675F">
        <w:rPr>
          <w:spacing w:val="-1"/>
          <w:position w:val="3"/>
        </w:rPr>
        <w:t>Abs</w:t>
      </w:r>
      <w:r w:rsidRPr="0031675F">
        <w:rPr>
          <w:spacing w:val="-1"/>
          <w:sz w:val="14"/>
        </w:rPr>
        <w:t>Std</w:t>
      </w:r>
      <w:r w:rsidRPr="0031675F">
        <w:rPr>
          <w:spacing w:val="-1"/>
          <w:position w:val="3"/>
        </w:rPr>
        <w:t>-Abs</w:t>
      </w:r>
      <w:r w:rsidRPr="0031675F">
        <w:rPr>
          <w:spacing w:val="-1"/>
          <w:sz w:val="14"/>
        </w:rPr>
        <w:t>Blank</w:t>
      </w:r>
    </w:p>
    <w:p w14:paraId="78A3A433" w14:textId="47A57767" w:rsidR="0031675F" w:rsidRPr="0031675F" w:rsidRDefault="0031675F" w:rsidP="0031675F">
      <w:pPr>
        <w:spacing w:after="120"/>
        <w:ind w:right="652"/>
        <w:jc w:val="both"/>
      </w:pPr>
      <w:r w:rsidRPr="0031675F">
        <w:rPr>
          <w:spacing w:val="-1"/>
        </w:rPr>
        <w:t>For</w:t>
      </w:r>
      <w:r w:rsidRPr="0031675F">
        <w:rPr>
          <w:spacing w:val="17"/>
        </w:rPr>
        <w:t xml:space="preserve"> </w:t>
      </w:r>
      <w:r w:rsidRPr="0031675F">
        <w:t>a</w:t>
      </w:r>
      <w:r w:rsidRPr="0031675F">
        <w:rPr>
          <w:spacing w:val="17"/>
        </w:rPr>
        <w:t xml:space="preserve"> </w:t>
      </w:r>
      <w:r w:rsidRPr="0031675F">
        <w:rPr>
          <w:spacing w:val="-1"/>
        </w:rPr>
        <w:t>given</w:t>
      </w:r>
      <w:r w:rsidRPr="0031675F">
        <w:rPr>
          <w:spacing w:val="16"/>
        </w:rPr>
        <w:t xml:space="preserve"> </w:t>
      </w:r>
      <w:r w:rsidRPr="0031675F">
        <w:rPr>
          <w:spacing w:val="-1"/>
        </w:rPr>
        <w:t>standard</w:t>
      </w:r>
      <w:r w:rsidRPr="0031675F">
        <w:rPr>
          <w:spacing w:val="16"/>
        </w:rPr>
        <w:t xml:space="preserve"> </w:t>
      </w:r>
      <w:r w:rsidRPr="0031675F">
        <w:rPr>
          <w:spacing w:val="-1"/>
        </w:rPr>
        <w:t>concentration</w:t>
      </w:r>
      <w:r w:rsidRPr="0031675F">
        <w:rPr>
          <w:spacing w:val="16"/>
        </w:rPr>
        <w:t xml:space="preserve"> </w:t>
      </w:r>
      <w:r w:rsidRPr="0031675F">
        <w:rPr>
          <w:spacing w:val="-1"/>
        </w:rPr>
        <w:t>and</w:t>
      </w:r>
      <w:r w:rsidRPr="0031675F">
        <w:rPr>
          <w:spacing w:val="16"/>
        </w:rPr>
        <w:t xml:space="preserve"> </w:t>
      </w:r>
      <w:r w:rsidRPr="0031675F">
        <w:t>a</w:t>
      </w:r>
      <w:r w:rsidRPr="0031675F">
        <w:rPr>
          <w:spacing w:val="17"/>
        </w:rPr>
        <w:t xml:space="preserve"> </w:t>
      </w:r>
      <w:r w:rsidRPr="0031675F">
        <w:rPr>
          <w:spacing w:val="-1"/>
        </w:rPr>
        <w:t>1</w:t>
      </w:r>
      <w:r w:rsidR="00E37A70">
        <w:rPr>
          <w:spacing w:val="-1"/>
        </w:rPr>
        <w:t xml:space="preserve"> </w:t>
      </w:r>
      <w:r w:rsidRPr="0031675F">
        <w:rPr>
          <w:spacing w:val="-1"/>
        </w:rPr>
        <w:t>cm</w:t>
      </w:r>
      <w:r w:rsidRPr="0031675F">
        <w:rPr>
          <w:spacing w:val="18"/>
        </w:rPr>
        <w:t xml:space="preserve"> </w:t>
      </w:r>
      <w:r w:rsidRPr="0031675F">
        <w:rPr>
          <w:spacing w:val="-1"/>
        </w:rPr>
        <w:t>spectrophotometer</w:t>
      </w:r>
      <w:r w:rsidRPr="0031675F">
        <w:rPr>
          <w:spacing w:val="17"/>
        </w:rPr>
        <w:t xml:space="preserve"> </w:t>
      </w:r>
      <w:r w:rsidRPr="0031675F">
        <w:rPr>
          <w:spacing w:val="-1"/>
        </w:rPr>
        <w:t>cell,</w:t>
      </w:r>
      <w:r w:rsidRPr="0031675F">
        <w:rPr>
          <w:spacing w:val="16"/>
        </w:rPr>
        <w:t xml:space="preserve"> </w:t>
      </w:r>
      <w:r w:rsidRPr="0031675F">
        <w:t>the</w:t>
      </w:r>
      <w:r w:rsidRPr="0031675F">
        <w:rPr>
          <w:spacing w:val="14"/>
        </w:rPr>
        <w:t xml:space="preserve"> </w:t>
      </w:r>
      <w:r w:rsidRPr="0031675F">
        <w:rPr>
          <w:spacing w:val="-1"/>
        </w:rPr>
        <w:t>value</w:t>
      </w:r>
      <w:r w:rsidRPr="0031675F">
        <w:rPr>
          <w:spacing w:val="17"/>
        </w:rPr>
        <w:t xml:space="preserve"> </w:t>
      </w:r>
      <w:r w:rsidRPr="0031675F">
        <w:t>of</w:t>
      </w:r>
      <w:r w:rsidRPr="0031675F">
        <w:rPr>
          <w:spacing w:val="17"/>
        </w:rPr>
        <w:t xml:space="preserve"> </w:t>
      </w:r>
      <w:r w:rsidRPr="0031675F">
        <w:t>F</w:t>
      </w:r>
      <w:r w:rsidRPr="0031675F">
        <w:rPr>
          <w:spacing w:val="16"/>
        </w:rPr>
        <w:t xml:space="preserve"> </w:t>
      </w:r>
      <w:r w:rsidRPr="0031675F">
        <w:rPr>
          <w:spacing w:val="-1"/>
        </w:rPr>
        <w:t>should</w:t>
      </w:r>
      <w:r w:rsidRPr="0031675F">
        <w:rPr>
          <w:spacing w:val="60"/>
        </w:rPr>
        <w:t xml:space="preserve"> </w:t>
      </w:r>
      <w:r w:rsidRPr="0031675F">
        <w:rPr>
          <w:spacing w:val="-1"/>
        </w:rPr>
        <w:t>be</w:t>
      </w:r>
      <w:r w:rsidRPr="0031675F">
        <w:rPr>
          <w:spacing w:val="13"/>
        </w:rPr>
        <w:t xml:space="preserve"> </w:t>
      </w:r>
      <w:r w:rsidRPr="0031675F">
        <w:rPr>
          <w:spacing w:val="-1"/>
        </w:rPr>
        <w:t>very</w:t>
      </w:r>
      <w:r w:rsidRPr="0031675F">
        <w:rPr>
          <w:spacing w:val="11"/>
        </w:rPr>
        <w:t xml:space="preserve"> </w:t>
      </w:r>
      <w:r w:rsidRPr="0031675F">
        <w:rPr>
          <w:spacing w:val="-1"/>
        </w:rPr>
        <w:t>close</w:t>
      </w:r>
      <w:r w:rsidRPr="0031675F">
        <w:rPr>
          <w:spacing w:val="10"/>
        </w:rPr>
        <w:t xml:space="preserve"> </w:t>
      </w:r>
      <w:r w:rsidRPr="0031675F">
        <w:rPr>
          <w:spacing w:val="-1"/>
        </w:rPr>
        <w:t>to</w:t>
      </w:r>
      <w:r w:rsidRPr="0031675F">
        <w:rPr>
          <w:spacing w:val="12"/>
        </w:rPr>
        <w:t xml:space="preserve"> </w:t>
      </w:r>
      <w:r w:rsidRPr="0031675F">
        <w:rPr>
          <w:u w:val="single" w:color="000000"/>
        </w:rPr>
        <w:t>50</w:t>
      </w:r>
      <w:r w:rsidRPr="0031675F">
        <w:t>.</w:t>
      </w:r>
      <w:r w:rsidRPr="0031675F">
        <w:rPr>
          <w:spacing w:val="22"/>
        </w:rPr>
        <w:t xml:space="preserve"> </w:t>
      </w:r>
      <w:r w:rsidRPr="0031675F">
        <w:rPr>
          <w:spacing w:val="-1"/>
        </w:rPr>
        <w:t>When</w:t>
      </w:r>
      <w:r w:rsidRPr="0031675F">
        <w:rPr>
          <w:spacing w:val="9"/>
        </w:rPr>
        <w:t xml:space="preserve"> </w:t>
      </w:r>
      <w:r w:rsidRPr="0031675F">
        <w:rPr>
          <w:spacing w:val="-1"/>
        </w:rPr>
        <w:t>using</w:t>
      </w:r>
      <w:r w:rsidRPr="0031675F">
        <w:rPr>
          <w:spacing w:val="11"/>
        </w:rPr>
        <w:t xml:space="preserve"> </w:t>
      </w:r>
      <w:r w:rsidRPr="0031675F">
        <w:rPr>
          <w:spacing w:val="-1"/>
        </w:rPr>
        <w:t>spec</w:t>
      </w:r>
      <w:r w:rsidRPr="0031675F">
        <w:rPr>
          <w:spacing w:val="10"/>
        </w:rPr>
        <w:t xml:space="preserve"> </w:t>
      </w:r>
      <w:r w:rsidRPr="0031675F">
        <w:t>cells</w:t>
      </w:r>
      <w:r w:rsidRPr="0031675F">
        <w:rPr>
          <w:spacing w:val="7"/>
        </w:rPr>
        <w:t xml:space="preserve"> </w:t>
      </w:r>
      <w:r w:rsidRPr="0031675F">
        <w:t>of</w:t>
      </w:r>
      <w:r w:rsidRPr="0031675F">
        <w:rPr>
          <w:spacing w:val="9"/>
        </w:rPr>
        <w:t xml:space="preserve"> </w:t>
      </w:r>
      <w:r w:rsidRPr="0031675F">
        <w:t>other</w:t>
      </w:r>
      <w:r w:rsidRPr="0031675F">
        <w:rPr>
          <w:spacing w:val="9"/>
        </w:rPr>
        <w:t xml:space="preserve"> </w:t>
      </w:r>
      <w:r w:rsidRPr="0031675F">
        <w:rPr>
          <w:spacing w:val="-1"/>
        </w:rPr>
        <w:t>pathlengths,</w:t>
      </w:r>
      <w:r w:rsidRPr="0031675F">
        <w:rPr>
          <w:spacing w:val="9"/>
        </w:rPr>
        <w:t xml:space="preserve"> </w:t>
      </w:r>
      <w:r w:rsidRPr="0031675F">
        <w:rPr>
          <w:spacing w:val="-1"/>
        </w:rPr>
        <w:t>divide</w:t>
      </w:r>
      <w:r w:rsidRPr="0031675F">
        <w:rPr>
          <w:spacing w:val="9"/>
        </w:rPr>
        <w:t xml:space="preserve"> </w:t>
      </w:r>
      <w:r w:rsidRPr="0031675F">
        <w:t>F</w:t>
      </w:r>
      <w:r w:rsidRPr="0031675F">
        <w:rPr>
          <w:spacing w:val="9"/>
        </w:rPr>
        <w:t xml:space="preserve"> </w:t>
      </w:r>
      <w:r w:rsidRPr="0031675F">
        <w:rPr>
          <w:spacing w:val="-1"/>
        </w:rPr>
        <w:t>by</w:t>
      </w:r>
      <w:r w:rsidRPr="0031675F">
        <w:rPr>
          <w:spacing w:val="10"/>
        </w:rPr>
        <w:t xml:space="preserve"> </w:t>
      </w:r>
      <w:r w:rsidRPr="0031675F">
        <w:t>the</w:t>
      </w:r>
      <w:r w:rsidRPr="0031675F">
        <w:rPr>
          <w:spacing w:val="10"/>
        </w:rPr>
        <w:t xml:space="preserve"> </w:t>
      </w:r>
      <w:r w:rsidRPr="0031675F">
        <w:rPr>
          <w:spacing w:val="-1"/>
        </w:rPr>
        <w:t>pathlength</w:t>
      </w:r>
      <w:r w:rsidRPr="0031675F">
        <w:rPr>
          <w:spacing w:val="9"/>
        </w:rPr>
        <w:t xml:space="preserve"> </w:t>
      </w:r>
      <w:r w:rsidRPr="0031675F">
        <w:t>in</w:t>
      </w:r>
      <w:r w:rsidRPr="0031675F">
        <w:rPr>
          <w:spacing w:val="55"/>
        </w:rPr>
        <w:t xml:space="preserve"> </w:t>
      </w:r>
      <w:r w:rsidRPr="0031675F">
        <w:t>cm.</w:t>
      </w:r>
    </w:p>
    <w:p w14:paraId="38DF36DB" w14:textId="77777777" w:rsidR="0031675F" w:rsidRPr="0031675F" w:rsidRDefault="0031675F" w:rsidP="0031675F">
      <w:pPr>
        <w:spacing w:before="10"/>
        <w:rPr>
          <w:rFonts w:cs="Calibri"/>
          <w:sz w:val="21"/>
          <w:szCs w:val="21"/>
        </w:rPr>
      </w:pPr>
    </w:p>
    <w:p w14:paraId="664852FD" w14:textId="77777777" w:rsidR="0031675F" w:rsidRPr="0031675F" w:rsidRDefault="0031675F" w:rsidP="0031675F">
      <w:pPr>
        <w:spacing w:after="120"/>
        <w:ind w:left="2122" w:right="3318" w:hanging="1296"/>
      </w:pPr>
      <w:r w:rsidRPr="0031675F">
        <w:rPr>
          <w:spacing w:val="-1"/>
        </w:rPr>
        <w:t>efficiency</w:t>
      </w:r>
      <w:r w:rsidRPr="0031675F">
        <w:t xml:space="preserve"> =</w:t>
      </w:r>
      <w:r w:rsidRPr="0031675F">
        <w:rPr>
          <w:spacing w:val="-1"/>
        </w:rPr>
        <w:t xml:space="preserve"> </w:t>
      </w:r>
      <w:r w:rsidRPr="0031675F">
        <w:rPr>
          <w:spacing w:val="-1"/>
          <w:u w:val="single" w:color="000000"/>
        </w:rPr>
        <w:t>measured</w:t>
      </w:r>
      <w:r w:rsidRPr="0031675F">
        <w:rPr>
          <w:spacing w:val="-2"/>
          <w:u w:val="single" w:color="000000"/>
        </w:rPr>
        <w:t xml:space="preserve"> </w:t>
      </w:r>
      <w:r w:rsidRPr="0031675F">
        <w:rPr>
          <w:spacing w:val="-1"/>
          <w:u w:val="single" w:color="000000"/>
        </w:rPr>
        <w:t xml:space="preserve">concentration </w:t>
      </w:r>
      <w:r w:rsidRPr="0031675F">
        <w:rPr>
          <w:u w:val="single" w:color="000000"/>
        </w:rPr>
        <w:t>of</w:t>
      </w:r>
      <w:r w:rsidRPr="0031675F">
        <w:rPr>
          <w:spacing w:val="-3"/>
          <w:u w:val="single" w:color="000000"/>
        </w:rPr>
        <w:t xml:space="preserve"> </w:t>
      </w:r>
      <w:r w:rsidRPr="0031675F">
        <w:rPr>
          <w:spacing w:val="-1"/>
          <w:u w:val="single" w:color="000000"/>
        </w:rPr>
        <w:t>control</w:t>
      </w:r>
      <w:r w:rsidRPr="0031675F">
        <w:rPr>
          <w:spacing w:val="-3"/>
          <w:u w:val="single" w:color="000000"/>
        </w:rPr>
        <w:t xml:space="preserve"> </w:t>
      </w:r>
      <w:r w:rsidRPr="0031675F">
        <w:rPr>
          <w:spacing w:val="-1"/>
          <w:u w:val="single" w:color="000000"/>
        </w:rPr>
        <w:t>standard</w:t>
      </w:r>
      <w:r w:rsidRPr="0031675F">
        <w:rPr>
          <w:spacing w:val="53"/>
        </w:rPr>
        <w:t xml:space="preserve"> </w:t>
      </w:r>
      <w:r w:rsidRPr="0031675F">
        <w:rPr>
          <w:spacing w:val="-1"/>
        </w:rPr>
        <w:t>real</w:t>
      </w:r>
      <w:r w:rsidRPr="0031675F">
        <w:t xml:space="preserve"> </w:t>
      </w:r>
      <w:r w:rsidRPr="0031675F">
        <w:rPr>
          <w:spacing w:val="-1"/>
        </w:rPr>
        <w:t>concentration</w:t>
      </w:r>
      <w:r w:rsidRPr="0031675F">
        <w:rPr>
          <w:spacing w:val="-3"/>
        </w:rPr>
        <w:t xml:space="preserve"> </w:t>
      </w:r>
      <w:r w:rsidRPr="0031675F">
        <w:t xml:space="preserve">of </w:t>
      </w:r>
      <w:r w:rsidRPr="0031675F">
        <w:rPr>
          <w:spacing w:val="-1"/>
        </w:rPr>
        <w:t>control</w:t>
      </w:r>
      <w:r w:rsidRPr="0031675F">
        <w:t xml:space="preserve"> </w:t>
      </w:r>
      <w:r w:rsidRPr="0031675F">
        <w:rPr>
          <w:spacing w:val="-1"/>
        </w:rPr>
        <w:t>standard</w:t>
      </w:r>
    </w:p>
    <w:p w14:paraId="7FA48F2B" w14:textId="77777777" w:rsidR="0031675F" w:rsidRPr="0031675F" w:rsidRDefault="0031675F" w:rsidP="0031675F">
      <w:pPr>
        <w:rPr>
          <w:rFonts w:cs="Calibri"/>
        </w:rPr>
      </w:pPr>
    </w:p>
    <w:p w14:paraId="67156DF6" w14:textId="744E39C5" w:rsidR="0031675F" w:rsidRPr="0031675F" w:rsidRDefault="0031675F" w:rsidP="0031675F">
      <w:pPr>
        <w:spacing w:after="120"/>
        <w:ind w:left="826"/>
      </w:pPr>
      <w:r w:rsidRPr="0031675F">
        <w:rPr>
          <w:spacing w:val="-1"/>
        </w:rPr>
        <w:t>dilution factor</w:t>
      </w:r>
      <w:r w:rsidRPr="0031675F">
        <w:rPr>
          <w:spacing w:val="-2"/>
        </w:rPr>
        <w:t xml:space="preserve"> </w:t>
      </w:r>
      <w:r w:rsidRPr="0031675F">
        <w:t xml:space="preserve">= </w:t>
      </w:r>
      <w:r w:rsidRPr="0031675F">
        <w:rPr>
          <w:spacing w:val="2"/>
        </w:rPr>
        <w:t xml:space="preserve"> </w:t>
      </w:r>
      <w:r w:rsidRPr="0031675F">
        <w:rPr>
          <w:spacing w:val="-1"/>
          <w:u w:val="single" w:color="000000"/>
        </w:rPr>
        <w:t>initial</w:t>
      </w:r>
      <w:r w:rsidRPr="0031675F">
        <w:rPr>
          <w:spacing w:val="-4"/>
          <w:u w:val="single" w:color="000000"/>
        </w:rPr>
        <w:t xml:space="preserve"> </w:t>
      </w:r>
      <w:r w:rsidRPr="0031675F">
        <w:rPr>
          <w:spacing w:val="-1"/>
          <w:u w:val="single" w:color="000000"/>
        </w:rPr>
        <w:t>volume</w:t>
      </w:r>
      <w:r w:rsidRPr="0031675F">
        <w:rPr>
          <w:spacing w:val="-2"/>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sample</w:t>
      </w:r>
      <w:r w:rsidRPr="0031675F">
        <w:rPr>
          <w:u w:val="single" w:color="000000"/>
        </w:rPr>
        <w:t xml:space="preserve"> </w:t>
      </w:r>
      <w:r w:rsidRPr="0031675F">
        <w:rPr>
          <w:spacing w:val="-1"/>
          <w:u w:val="single" w:color="000000"/>
        </w:rPr>
        <w:t>(i.e.</w:t>
      </w:r>
      <w:r w:rsidRPr="0031675F">
        <w:rPr>
          <w:spacing w:val="-2"/>
          <w:u w:val="single" w:color="000000"/>
        </w:rPr>
        <w:t xml:space="preserve"> </w:t>
      </w:r>
      <w:r w:rsidRPr="0031675F">
        <w:rPr>
          <w:spacing w:val="-1"/>
          <w:u w:val="single" w:color="000000"/>
        </w:rPr>
        <w:t>250</w:t>
      </w:r>
      <w:r w:rsidRPr="0031675F">
        <w:rPr>
          <w:spacing w:val="-2"/>
          <w:u w:val="single" w:color="000000"/>
        </w:rPr>
        <w:t xml:space="preserve"> </w:t>
      </w:r>
      <w:r w:rsidR="00BB13FD">
        <w:rPr>
          <w:u w:val="single" w:color="000000"/>
        </w:rPr>
        <w:t>mL</w:t>
      </w:r>
      <w:r w:rsidRPr="0031675F">
        <w:rPr>
          <w:u w:val="single" w:color="000000"/>
        </w:rPr>
        <w:t>)</w:t>
      </w:r>
    </w:p>
    <w:p w14:paraId="3C28749F" w14:textId="6213E6BA" w:rsidR="0031675F" w:rsidRPr="0031675F" w:rsidRDefault="0031675F" w:rsidP="0031675F">
      <w:pPr>
        <w:spacing w:after="120"/>
        <w:ind w:left="2271"/>
      </w:pPr>
      <w:r w:rsidRPr="0031675F">
        <w:rPr>
          <w:spacing w:val="-1"/>
        </w:rPr>
        <w:t>concentrated</w:t>
      </w:r>
      <w:r w:rsidRPr="0031675F">
        <w:t xml:space="preserve"> </w:t>
      </w:r>
      <w:r w:rsidRPr="0031675F">
        <w:rPr>
          <w:spacing w:val="-1"/>
        </w:rPr>
        <w:t>volume</w:t>
      </w:r>
      <w:r w:rsidRPr="0031675F">
        <w:rPr>
          <w:spacing w:val="-2"/>
        </w:rPr>
        <w:t xml:space="preserve"> </w:t>
      </w:r>
      <w:r w:rsidRPr="0031675F">
        <w:t xml:space="preserve">of </w:t>
      </w:r>
      <w:r w:rsidRPr="0031675F">
        <w:rPr>
          <w:spacing w:val="-1"/>
        </w:rPr>
        <w:t>sample</w:t>
      </w:r>
      <w:r w:rsidRPr="0031675F">
        <w:rPr>
          <w:spacing w:val="-2"/>
        </w:rPr>
        <w:t xml:space="preserve"> </w:t>
      </w:r>
      <w:r w:rsidRPr="0031675F">
        <w:rPr>
          <w:spacing w:val="-1"/>
        </w:rPr>
        <w:t>(i.e.</w:t>
      </w:r>
      <w:r w:rsidRPr="0031675F">
        <w:t xml:space="preserve"> 5</w:t>
      </w:r>
      <w:r w:rsidRPr="0031675F">
        <w:rPr>
          <w:spacing w:val="-2"/>
        </w:rPr>
        <w:t xml:space="preserve"> </w:t>
      </w:r>
      <w:r w:rsidR="00BB13FD">
        <w:t>mL</w:t>
      </w:r>
      <w:r w:rsidRPr="0031675F">
        <w:t>)</w:t>
      </w:r>
    </w:p>
    <w:p w14:paraId="770ED412" w14:textId="77777777" w:rsidR="0031675F" w:rsidRPr="0031675F" w:rsidRDefault="0031675F" w:rsidP="0031675F">
      <w:pPr>
        <w:rPr>
          <w:rFonts w:cs="Calibri"/>
        </w:rPr>
      </w:pPr>
    </w:p>
    <w:p w14:paraId="0EEAAE5A" w14:textId="77777777" w:rsidR="0031675F" w:rsidRPr="0031675F" w:rsidRDefault="0031675F" w:rsidP="0031675F">
      <w:pPr>
        <w:rPr>
          <w:rFonts w:cs="Calibri"/>
          <w:sz w:val="21"/>
          <w:szCs w:val="21"/>
        </w:rPr>
      </w:pPr>
      <w:r w:rsidRPr="0031675F">
        <w:rPr>
          <w:rFonts w:cs="Calibri"/>
          <w:sz w:val="21"/>
          <w:szCs w:val="21"/>
        </w:rPr>
        <w:br w:type="page"/>
      </w:r>
    </w:p>
    <w:p w14:paraId="5C2F7741" w14:textId="77777777" w:rsidR="0031675F" w:rsidRPr="0031675F" w:rsidRDefault="0031675F" w:rsidP="0031675F">
      <w:pPr>
        <w:spacing w:before="12"/>
        <w:rPr>
          <w:rFonts w:cs="Calibri"/>
          <w:sz w:val="21"/>
          <w:szCs w:val="21"/>
        </w:rPr>
      </w:pPr>
    </w:p>
    <w:p w14:paraId="23FEDA2C" w14:textId="77777777" w:rsidR="0031675F" w:rsidRPr="0031675F" w:rsidRDefault="0031675F" w:rsidP="0031675F">
      <w:pPr>
        <w:widowControl w:val="0"/>
        <w:numPr>
          <w:ilvl w:val="1"/>
          <w:numId w:val="103"/>
        </w:numPr>
        <w:tabs>
          <w:tab w:val="left" w:pos="686"/>
        </w:tabs>
        <w:spacing w:before="0" w:after="0" w:line="240" w:lineRule="auto"/>
        <w:ind w:left="685"/>
        <w:jc w:val="both"/>
        <w:rPr>
          <w:rFonts w:eastAsia="Arial" w:cs="Arial"/>
          <w:sz w:val="24"/>
          <w:szCs w:val="24"/>
        </w:rPr>
      </w:pPr>
      <w:bookmarkStart w:id="670" w:name="_TOC_250033"/>
      <w:r w:rsidRPr="0031675F">
        <w:rPr>
          <w:b/>
          <w:spacing w:val="-1"/>
          <w:sz w:val="24"/>
        </w:rPr>
        <w:t>Method</w:t>
      </w:r>
      <w:r w:rsidRPr="0031675F">
        <w:rPr>
          <w:b/>
          <w:sz w:val="24"/>
        </w:rPr>
        <w:t xml:space="preserve"> </w:t>
      </w:r>
      <w:r w:rsidRPr="0031675F">
        <w:rPr>
          <w:b/>
          <w:spacing w:val="-1"/>
          <w:sz w:val="24"/>
        </w:rPr>
        <w:t>capabilities</w:t>
      </w:r>
      <w:r w:rsidRPr="0031675F">
        <w:rPr>
          <w:b/>
          <w:spacing w:val="-2"/>
          <w:sz w:val="24"/>
        </w:rPr>
        <w:t xml:space="preserve"> </w:t>
      </w:r>
      <w:r w:rsidRPr="0031675F">
        <w:rPr>
          <w:b/>
          <w:spacing w:val="-1"/>
          <w:sz w:val="24"/>
        </w:rPr>
        <w:t>and</w:t>
      </w:r>
      <w:r w:rsidRPr="0031675F">
        <w:rPr>
          <w:b/>
          <w:spacing w:val="1"/>
          <w:sz w:val="24"/>
        </w:rPr>
        <w:t xml:space="preserve"> </w:t>
      </w:r>
      <w:r w:rsidRPr="0031675F">
        <w:rPr>
          <w:b/>
          <w:sz w:val="24"/>
        </w:rPr>
        <w:t xml:space="preserve">limits of </w:t>
      </w:r>
      <w:r w:rsidRPr="0031675F">
        <w:rPr>
          <w:b/>
          <w:spacing w:val="-1"/>
          <w:sz w:val="24"/>
        </w:rPr>
        <w:t>detection</w:t>
      </w:r>
      <w:bookmarkEnd w:id="670"/>
    </w:p>
    <w:p w14:paraId="0304907F" w14:textId="77777777" w:rsidR="0031675F" w:rsidRPr="0031675F" w:rsidRDefault="0031675F" w:rsidP="0031675F">
      <w:pPr>
        <w:spacing w:before="11"/>
        <w:rPr>
          <w:rFonts w:eastAsia="Arial" w:cs="Arial"/>
          <w:b/>
          <w:bCs/>
          <w:sz w:val="20"/>
          <w:szCs w:val="20"/>
        </w:rPr>
      </w:pPr>
    </w:p>
    <w:p w14:paraId="57E23CC0" w14:textId="4218AEB1" w:rsidR="0031675F" w:rsidRPr="0031675F" w:rsidRDefault="0031675F" w:rsidP="00E37A70">
      <w:pPr>
        <w:spacing w:after="120" w:line="267" w:lineRule="exact"/>
        <w:jc w:val="both"/>
      </w:pPr>
      <w:r w:rsidRPr="0031675F">
        <w:rPr>
          <w:spacing w:val="-1"/>
        </w:rPr>
        <w:t>The</w:t>
      </w:r>
      <w:r w:rsidRPr="0031675F">
        <w:rPr>
          <w:spacing w:val="24"/>
        </w:rPr>
        <w:t xml:space="preserve"> </w:t>
      </w:r>
      <w:r w:rsidRPr="0031675F">
        <w:rPr>
          <w:spacing w:val="-1"/>
        </w:rPr>
        <w:t>colorimetric</w:t>
      </w:r>
      <w:r w:rsidRPr="0031675F">
        <w:rPr>
          <w:spacing w:val="21"/>
        </w:rPr>
        <w:t xml:space="preserve"> </w:t>
      </w:r>
      <w:r w:rsidRPr="0031675F">
        <w:rPr>
          <w:spacing w:val="-1"/>
        </w:rPr>
        <w:t>method</w:t>
      </w:r>
      <w:r w:rsidRPr="0031675F">
        <w:rPr>
          <w:spacing w:val="23"/>
        </w:rPr>
        <w:t xml:space="preserve"> </w:t>
      </w:r>
      <w:r w:rsidRPr="0031675F">
        <w:t>is</w:t>
      </w:r>
      <w:r w:rsidRPr="0031675F">
        <w:rPr>
          <w:spacing w:val="24"/>
        </w:rPr>
        <w:t xml:space="preserve"> </w:t>
      </w:r>
      <w:r w:rsidRPr="0031675F">
        <w:rPr>
          <w:spacing w:val="-1"/>
        </w:rPr>
        <w:t>linear</w:t>
      </w:r>
      <w:r w:rsidRPr="0031675F">
        <w:rPr>
          <w:spacing w:val="24"/>
        </w:rPr>
        <w:t xml:space="preserve"> </w:t>
      </w:r>
      <w:r w:rsidRPr="0031675F">
        <w:t>over</w:t>
      </w:r>
      <w:r w:rsidRPr="0031675F">
        <w:rPr>
          <w:spacing w:val="24"/>
        </w:rPr>
        <w:t xml:space="preserve"> </w:t>
      </w:r>
      <w:r w:rsidRPr="0031675F">
        <w:t>the</w:t>
      </w:r>
      <w:r w:rsidRPr="0031675F">
        <w:rPr>
          <w:spacing w:val="24"/>
        </w:rPr>
        <w:t xml:space="preserve"> </w:t>
      </w:r>
      <w:r w:rsidRPr="0031675F">
        <w:rPr>
          <w:spacing w:val="-1"/>
        </w:rPr>
        <w:t>range</w:t>
      </w:r>
      <w:r w:rsidRPr="0031675F">
        <w:rPr>
          <w:spacing w:val="25"/>
        </w:rPr>
        <w:t xml:space="preserve"> </w:t>
      </w:r>
      <w:r w:rsidRPr="0031675F">
        <w:t>0</w:t>
      </w:r>
      <w:r w:rsidRPr="0031675F">
        <w:rPr>
          <w:spacing w:val="25"/>
        </w:rPr>
        <w:t xml:space="preserve"> </w:t>
      </w:r>
      <w:r w:rsidRPr="0031675F">
        <w:rPr>
          <w:spacing w:val="-1"/>
        </w:rPr>
        <w:t>to</w:t>
      </w:r>
      <w:r w:rsidRPr="0031675F">
        <w:rPr>
          <w:spacing w:val="24"/>
        </w:rPr>
        <w:t xml:space="preserve"> </w:t>
      </w:r>
      <w:r w:rsidRPr="0031675F">
        <w:t>20</w:t>
      </w:r>
      <w:r w:rsidRPr="0031675F">
        <w:rPr>
          <w:spacing w:val="22"/>
        </w:rPr>
        <w:t xml:space="preserve"> </w:t>
      </w:r>
      <w:r w:rsidRPr="0031675F">
        <w:rPr>
          <w:spacing w:val="-1"/>
        </w:rPr>
        <w:t>µ</w:t>
      </w:r>
      <w:r w:rsidRPr="0031675F">
        <w:t>mol</w:t>
      </w:r>
      <w:r w:rsidR="00E37A70" w:rsidRPr="00E37A70">
        <w:rPr>
          <w:rFonts w:cs="Arial"/>
          <w:spacing w:val="-1"/>
        </w:rPr>
        <w:t xml:space="preserve"> </w:t>
      </w:r>
      <w:r w:rsidR="00E37A70">
        <w:rPr>
          <w:rFonts w:cs="Arial"/>
          <w:spacing w:val="-1"/>
        </w:rPr>
        <w:t>L</w:t>
      </w:r>
      <w:r w:rsidR="00E37A70" w:rsidRPr="00E37A70">
        <w:rPr>
          <w:rFonts w:cs="Arial"/>
          <w:spacing w:val="-1"/>
          <w:vertAlign w:val="superscript"/>
        </w:rPr>
        <w:t>-1</w:t>
      </w:r>
      <w:r w:rsidRPr="0031675F">
        <w:rPr>
          <w:spacing w:val="25"/>
        </w:rPr>
        <w:t xml:space="preserve"> </w:t>
      </w:r>
      <w:r w:rsidRPr="0031675F">
        <w:rPr>
          <w:spacing w:val="-1"/>
        </w:rPr>
        <w:t>phosphate</w:t>
      </w:r>
      <w:r w:rsidRPr="0031675F">
        <w:rPr>
          <w:spacing w:val="25"/>
        </w:rPr>
        <w:t xml:space="preserve"> </w:t>
      </w:r>
      <w:r w:rsidRPr="0031675F">
        <w:t>in</w:t>
      </w:r>
      <w:r w:rsidRPr="0031675F">
        <w:rPr>
          <w:spacing w:val="23"/>
        </w:rPr>
        <w:t xml:space="preserve"> </w:t>
      </w:r>
      <w:r w:rsidRPr="0031675F">
        <w:rPr>
          <w:spacing w:val="-1"/>
        </w:rPr>
        <w:t>solution</w:t>
      </w:r>
      <w:r w:rsidRPr="0031675F">
        <w:rPr>
          <w:spacing w:val="23"/>
        </w:rPr>
        <w:t xml:space="preserve"> </w:t>
      </w:r>
      <w:r w:rsidRPr="0031675F">
        <w:t>(or</w:t>
      </w:r>
      <w:r w:rsidRPr="0031675F">
        <w:rPr>
          <w:spacing w:val="24"/>
        </w:rPr>
        <w:t xml:space="preserve"> </w:t>
      </w:r>
      <w:r w:rsidRPr="0031675F">
        <w:t>0</w:t>
      </w:r>
      <w:r w:rsidRPr="0031675F">
        <w:rPr>
          <w:spacing w:val="25"/>
        </w:rPr>
        <w:t xml:space="preserve"> </w:t>
      </w:r>
      <w:r w:rsidRPr="0031675F">
        <w:rPr>
          <w:spacing w:val="-1"/>
        </w:rPr>
        <w:t>to</w:t>
      </w:r>
      <w:r w:rsidRPr="0031675F">
        <w:rPr>
          <w:spacing w:val="24"/>
        </w:rPr>
        <w:t xml:space="preserve"> </w:t>
      </w:r>
      <w:r w:rsidRPr="0031675F">
        <w:rPr>
          <w:spacing w:val="-1"/>
        </w:rPr>
        <w:t>0.100</w:t>
      </w:r>
      <w:r w:rsidR="00E37A70">
        <w:rPr>
          <w:spacing w:val="-1"/>
        </w:rPr>
        <w:t xml:space="preserve"> </w:t>
      </w:r>
      <w:r w:rsidRPr="0031675F">
        <w:rPr>
          <w:spacing w:val="-1"/>
        </w:rPr>
        <w:t>µmol</w:t>
      </w:r>
      <w:r w:rsidRPr="0031675F">
        <w:rPr>
          <w:spacing w:val="2"/>
        </w:rPr>
        <w:t xml:space="preserve"> </w:t>
      </w:r>
      <w:r w:rsidRPr="0031675F">
        <w:t>of</w:t>
      </w:r>
      <w:r w:rsidRPr="0031675F">
        <w:rPr>
          <w:spacing w:val="2"/>
        </w:rPr>
        <w:t xml:space="preserve"> </w:t>
      </w:r>
      <w:r w:rsidRPr="0031675F">
        <w:rPr>
          <w:spacing w:val="-1"/>
        </w:rPr>
        <w:t>total</w:t>
      </w:r>
      <w:r w:rsidRPr="0031675F">
        <w:rPr>
          <w:spacing w:val="5"/>
        </w:rPr>
        <w:t xml:space="preserve"> </w:t>
      </w:r>
      <w:r w:rsidRPr="0031675F">
        <w:rPr>
          <w:spacing w:val="-1"/>
        </w:rPr>
        <w:t>phosphorus</w:t>
      </w:r>
      <w:r w:rsidRPr="0031675F">
        <w:rPr>
          <w:spacing w:val="2"/>
        </w:rPr>
        <w:t xml:space="preserve"> </w:t>
      </w:r>
      <w:r w:rsidRPr="0031675F">
        <w:rPr>
          <w:spacing w:val="-1"/>
        </w:rPr>
        <w:t>per</w:t>
      </w:r>
      <w:r w:rsidRPr="0031675F">
        <w:rPr>
          <w:spacing w:val="5"/>
        </w:rPr>
        <w:t xml:space="preserve"> </w:t>
      </w:r>
      <w:r w:rsidRPr="0031675F">
        <w:rPr>
          <w:spacing w:val="-1"/>
        </w:rPr>
        <w:t>filter).</w:t>
      </w:r>
      <w:r w:rsidRPr="0031675F">
        <w:rPr>
          <w:spacing w:val="10"/>
        </w:rPr>
        <w:t xml:space="preserve"> </w:t>
      </w:r>
      <w:r w:rsidRPr="0031675F">
        <w:rPr>
          <w:spacing w:val="-1"/>
        </w:rPr>
        <w:t>Samples</w:t>
      </w:r>
      <w:r w:rsidRPr="0031675F">
        <w:rPr>
          <w:spacing w:val="3"/>
        </w:rPr>
        <w:t xml:space="preserve"> </w:t>
      </w:r>
      <w:r w:rsidRPr="0031675F">
        <w:t>with</w:t>
      </w:r>
      <w:r w:rsidRPr="0031675F">
        <w:rPr>
          <w:spacing w:val="2"/>
        </w:rPr>
        <w:t xml:space="preserve"> </w:t>
      </w:r>
      <w:r w:rsidRPr="0031675F">
        <w:rPr>
          <w:spacing w:val="-1"/>
        </w:rPr>
        <w:t>phosphate</w:t>
      </w:r>
      <w:r w:rsidRPr="0031675F">
        <w:rPr>
          <w:spacing w:val="3"/>
        </w:rPr>
        <w:t xml:space="preserve"> </w:t>
      </w:r>
      <w:r w:rsidRPr="0031675F">
        <w:rPr>
          <w:spacing w:val="-1"/>
        </w:rPr>
        <w:t>concentrations</w:t>
      </w:r>
      <w:r w:rsidRPr="0031675F">
        <w:rPr>
          <w:spacing w:val="5"/>
        </w:rPr>
        <w:t xml:space="preserve"> </w:t>
      </w:r>
      <w:r w:rsidRPr="0031675F">
        <w:rPr>
          <w:spacing w:val="-1"/>
        </w:rPr>
        <w:t>greater</w:t>
      </w:r>
      <w:r w:rsidRPr="0031675F">
        <w:rPr>
          <w:spacing w:val="2"/>
        </w:rPr>
        <w:t xml:space="preserve"> </w:t>
      </w:r>
      <w:r w:rsidRPr="0031675F">
        <w:t>than</w:t>
      </w:r>
      <w:r w:rsidRPr="0031675F">
        <w:rPr>
          <w:spacing w:val="3"/>
        </w:rPr>
        <w:t xml:space="preserve"> </w:t>
      </w:r>
      <w:r w:rsidRPr="0031675F">
        <w:rPr>
          <w:spacing w:val="-1"/>
        </w:rPr>
        <w:t>this</w:t>
      </w:r>
      <w:r w:rsidRPr="0031675F">
        <w:rPr>
          <w:spacing w:val="2"/>
        </w:rPr>
        <w:t xml:space="preserve"> </w:t>
      </w:r>
      <w:r w:rsidRPr="0031675F">
        <w:rPr>
          <w:spacing w:val="-1"/>
        </w:rPr>
        <w:t>range</w:t>
      </w:r>
      <w:r w:rsidRPr="0031675F">
        <w:rPr>
          <w:spacing w:val="63"/>
        </w:rPr>
        <w:t xml:space="preserve"> </w:t>
      </w:r>
      <w:r w:rsidRPr="0031675F">
        <w:rPr>
          <w:spacing w:val="-1"/>
        </w:rPr>
        <w:t>(as</w:t>
      </w:r>
      <w:r w:rsidRPr="0031675F">
        <w:t xml:space="preserve"> is </w:t>
      </w:r>
      <w:r w:rsidRPr="0031675F">
        <w:rPr>
          <w:spacing w:val="-1"/>
        </w:rPr>
        <w:t xml:space="preserve">often </w:t>
      </w:r>
      <w:r w:rsidRPr="0031675F">
        <w:rPr>
          <w:spacing w:val="-2"/>
        </w:rPr>
        <w:t>the</w:t>
      </w:r>
      <w:r w:rsidRPr="0031675F">
        <w:t xml:space="preserve"> </w:t>
      </w:r>
      <w:r w:rsidRPr="0031675F">
        <w:rPr>
          <w:spacing w:val="-1"/>
        </w:rPr>
        <w:t>case</w:t>
      </w:r>
      <w:r w:rsidRPr="0031675F">
        <w:t xml:space="preserve"> with </w:t>
      </w:r>
      <w:r w:rsidRPr="0031675F">
        <w:rPr>
          <w:spacing w:val="-1"/>
        </w:rPr>
        <w:t>river</w:t>
      </w:r>
      <w:r w:rsidRPr="0031675F">
        <w:rPr>
          <w:spacing w:val="-2"/>
        </w:rPr>
        <w:t xml:space="preserve"> </w:t>
      </w:r>
      <w:r w:rsidRPr="0031675F">
        <w:t xml:space="preserve">or </w:t>
      </w:r>
      <w:r w:rsidRPr="0031675F">
        <w:rPr>
          <w:spacing w:val="-1"/>
        </w:rPr>
        <w:t>estuarine</w:t>
      </w:r>
      <w:r w:rsidRPr="0031675F">
        <w:t xml:space="preserve"> </w:t>
      </w:r>
      <w:r w:rsidRPr="0031675F">
        <w:rPr>
          <w:spacing w:val="-1"/>
        </w:rPr>
        <w:t>samples)</w:t>
      </w:r>
      <w:r w:rsidRPr="0031675F">
        <w:rPr>
          <w:spacing w:val="-2"/>
        </w:rPr>
        <w:t xml:space="preserve"> </w:t>
      </w:r>
      <w:r w:rsidRPr="0031675F">
        <w:t>will</w:t>
      </w:r>
      <w:r w:rsidRPr="0031675F">
        <w:rPr>
          <w:spacing w:val="-1"/>
        </w:rPr>
        <w:t xml:space="preserve"> need to</w:t>
      </w:r>
      <w:r w:rsidRPr="0031675F">
        <w:rPr>
          <w:spacing w:val="1"/>
        </w:rPr>
        <w:t xml:space="preserve"> </w:t>
      </w:r>
      <w:r w:rsidRPr="0031675F">
        <w:rPr>
          <w:spacing w:val="-1"/>
        </w:rPr>
        <w:t>be</w:t>
      </w:r>
      <w:r w:rsidRPr="0031675F">
        <w:t xml:space="preserve"> </w:t>
      </w:r>
      <w:r w:rsidRPr="0031675F">
        <w:rPr>
          <w:spacing w:val="-1"/>
        </w:rPr>
        <w:t>diluted</w:t>
      </w:r>
      <w:r w:rsidRPr="0031675F">
        <w:t xml:space="preserve"> </w:t>
      </w:r>
      <w:r w:rsidRPr="0031675F">
        <w:rPr>
          <w:spacing w:val="-1"/>
        </w:rPr>
        <w:t>before</w:t>
      </w:r>
      <w:r w:rsidRPr="0031675F">
        <w:t xml:space="preserve"> </w:t>
      </w:r>
      <w:r w:rsidRPr="0031675F">
        <w:rPr>
          <w:spacing w:val="-1"/>
        </w:rPr>
        <w:t>the</w:t>
      </w:r>
      <w:r w:rsidRPr="0031675F">
        <w:t xml:space="preserve"> </w:t>
      </w:r>
      <w:r w:rsidRPr="0031675F">
        <w:rPr>
          <w:spacing w:val="-1"/>
        </w:rPr>
        <w:t>colour</w:t>
      </w:r>
      <w:r w:rsidRPr="0031675F">
        <w:t xml:space="preserve"> </w:t>
      </w:r>
      <w:r w:rsidRPr="0031675F">
        <w:rPr>
          <w:spacing w:val="-1"/>
        </w:rPr>
        <w:t>reagent</w:t>
      </w:r>
      <w:r w:rsidRPr="0031675F">
        <w:rPr>
          <w:spacing w:val="57"/>
        </w:rPr>
        <w:t xml:space="preserve"> </w:t>
      </w:r>
      <w:r w:rsidRPr="0031675F">
        <w:t>is</w:t>
      </w:r>
      <w:r w:rsidRPr="0031675F">
        <w:rPr>
          <w:spacing w:val="21"/>
        </w:rPr>
        <w:t xml:space="preserve"> </w:t>
      </w:r>
      <w:r w:rsidRPr="0031675F">
        <w:rPr>
          <w:spacing w:val="-1"/>
        </w:rPr>
        <w:t>added.</w:t>
      </w:r>
      <w:r w:rsidRPr="0031675F">
        <w:rPr>
          <w:spacing w:val="42"/>
        </w:rPr>
        <w:t xml:space="preserve"> </w:t>
      </w:r>
      <w:r w:rsidRPr="0031675F">
        <w:t>Where</w:t>
      </w:r>
      <w:r w:rsidRPr="0031675F">
        <w:rPr>
          <w:spacing w:val="21"/>
        </w:rPr>
        <w:t xml:space="preserve"> </w:t>
      </w:r>
      <w:r w:rsidRPr="0031675F">
        <w:rPr>
          <w:spacing w:val="-1"/>
        </w:rPr>
        <w:t>high</w:t>
      </w:r>
      <w:r w:rsidRPr="0031675F">
        <w:rPr>
          <w:spacing w:val="18"/>
        </w:rPr>
        <w:t xml:space="preserve"> </w:t>
      </w:r>
      <w:r w:rsidRPr="0031675F">
        <w:t>P</w:t>
      </w:r>
      <w:r w:rsidRPr="0031675F">
        <w:rPr>
          <w:spacing w:val="23"/>
        </w:rPr>
        <w:t xml:space="preserve"> </w:t>
      </w:r>
      <w:r w:rsidRPr="0031675F">
        <w:rPr>
          <w:spacing w:val="-1"/>
        </w:rPr>
        <w:t>concentrations</w:t>
      </w:r>
      <w:r w:rsidRPr="0031675F">
        <w:rPr>
          <w:spacing w:val="22"/>
        </w:rPr>
        <w:t xml:space="preserve"> </w:t>
      </w:r>
      <w:r w:rsidRPr="0031675F">
        <w:rPr>
          <w:spacing w:val="-1"/>
        </w:rPr>
        <w:t>are</w:t>
      </w:r>
      <w:r w:rsidRPr="0031675F">
        <w:rPr>
          <w:spacing w:val="22"/>
        </w:rPr>
        <w:t xml:space="preserve"> </w:t>
      </w:r>
      <w:r w:rsidRPr="0031675F">
        <w:rPr>
          <w:spacing w:val="-1"/>
        </w:rPr>
        <w:t>likely,</w:t>
      </w:r>
      <w:r w:rsidRPr="0031675F">
        <w:rPr>
          <w:spacing w:val="22"/>
        </w:rPr>
        <w:t xml:space="preserve"> </w:t>
      </w:r>
      <w:r w:rsidRPr="0031675F">
        <w:t>it</w:t>
      </w:r>
      <w:r w:rsidRPr="0031675F">
        <w:rPr>
          <w:spacing w:val="19"/>
        </w:rPr>
        <w:t xml:space="preserve"> </w:t>
      </w:r>
      <w:r w:rsidRPr="0031675F">
        <w:rPr>
          <w:spacing w:val="-1"/>
        </w:rPr>
        <w:t>maybe</w:t>
      </w:r>
      <w:r w:rsidRPr="0031675F">
        <w:rPr>
          <w:spacing w:val="22"/>
        </w:rPr>
        <w:t xml:space="preserve"> </w:t>
      </w:r>
      <w:r w:rsidRPr="0031675F">
        <w:rPr>
          <w:spacing w:val="-1"/>
        </w:rPr>
        <w:t>beneficial</w:t>
      </w:r>
      <w:r w:rsidRPr="0031675F">
        <w:rPr>
          <w:spacing w:val="19"/>
        </w:rPr>
        <w:t xml:space="preserve"> </w:t>
      </w:r>
      <w:r w:rsidRPr="0031675F">
        <w:t>to</w:t>
      </w:r>
      <w:r w:rsidRPr="0031675F">
        <w:rPr>
          <w:spacing w:val="21"/>
        </w:rPr>
        <w:t xml:space="preserve"> </w:t>
      </w:r>
      <w:r w:rsidRPr="0031675F">
        <w:rPr>
          <w:spacing w:val="-1"/>
        </w:rPr>
        <w:t>filter</w:t>
      </w:r>
      <w:r w:rsidRPr="0031675F">
        <w:rPr>
          <w:spacing w:val="19"/>
        </w:rPr>
        <w:t xml:space="preserve"> </w:t>
      </w:r>
      <w:r w:rsidRPr="0031675F">
        <w:t>a</w:t>
      </w:r>
      <w:r w:rsidRPr="0031675F">
        <w:rPr>
          <w:spacing w:val="21"/>
        </w:rPr>
        <w:t xml:space="preserve"> </w:t>
      </w:r>
      <w:r w:rsidRPr="0031675F">
        <w:rPr>
          <w:spacing w:val="-1"/>
        </w:rPr>
        <w:t>few</w:t>
      </w:r>
      <w:r w:rsidRPr="0031675F">
        <w:rPr>
          <w:spacing w:val="22"/>
        </w:rPr>
        <w:t xml:space="preserve"> </w:t>
      </w:r>
      <w:r w:rsidRPr="0031675F">
        <w:rPr>
          <w:spacing w:val="-1"/>
        </w:rPr>
        <w:t>extra</w:t>
      </w:r>
      <w:r w:rsidRPr="0031675F">
        <w:rPr>
          <w:spacing w:val="21"/>
        </w:rPr>
        <w:t xml:space="preserve"> </w:t>
      </w:r>
      <w:r w:rsidRPr="0031675F">
        <w:rPr>
          <w:spacing w:val="-1"/>
        </w:rPr>
        <w:t>samples</w:t>
      </w:r>
      <w:r w:rsidRPr="0031675F">
        <w:rPr>
          <w:spacing w:val="67"/>
        </w:rPr>
        <w:t xml:space="preserve"> </w:t>
      </w:r>
      <w:r w:rsidRPr="0031675F">
        <w:t>that</w:t>
      </w:r>
      <w:r w:rsidRPr="0031675F">
        <w:rPr>
          <w:spacing w:val="45"/>
        </w:rPr>
        <w:t xml:space="preserve"> </w:t>
      </w:r>
      <w:r w:rsidRPr="0031675F">
        <w:t>can</w:t>
      </w:r>
      <w:r w:rsidRPr="0031675F">
        <w:rPr>
          <w:spacing w:val="45"/>
        </w:rPr>
        <w:t xml:space="preserve"> </w:t>
      </w:r>
      <w:r w:rsidRPr="0031675F">
        <w:rPr>
          <w:spacing w:val="-1"/>
        </w:rPr>
        <w:t>be</w:t>
      </w:r>
      <w:r w:rsidRPr="0031675F">
        <w:rPr>
          <w:spacing w:val="46"/>
        </w:rPr>
        <w:t xml:space="preserve"> </w:t>
      </w:r>
      <w:r w:rsidRPr="0031675F">
        <w:rPr>
          <w:spacing w:val="-1"/>
        </w:rPr>
        <w:t>used</w:t>
      </w:r>
      <w:r w:rsidRPr="0031675F">
        <w:rPr>
          <w:spacing w:val="45"/>
        </w:rPr>
        <w:t xml:space="preserve"> </w:t>
      </w:r>
      <w:r w:rsidRPr="0031675F">
        <w:t>to</w:t>
      </w:r>
      <w:r w:rsidRPr="0031675F">
        <w:rPr>
          <w:spacing w:val="47"/>
        </w:rPr>
        <w:t xml:space="preserve"> </w:t>
      </w:r>
      <w:r w:rsidRPr="0031675F">
        <w:rPr>
          <w:spacing w:val="-1"/>
        </w:rPr>
        <w:t>establish</w:t>
      </w:r>
      <w:r w:rsidRPr="0031675F">
        <w:rPr>
          <w:spacing w:val="45"/>
        </w:rPr>
        <w:t xml:space="preserve"> </w:t>
      </w:r>
      <w:r w:rsidRPr="0031675F">
        <w:rPr>
          <w:spacing w:val="-1"/>
        </w:rPr>
        <w:t>approximate</w:t>
      </w:r>
      <w:r w:rsidRPr="0031675F">
        <w:rPr>
          <w:spacing w:val="46"/>
        </w:rPr>
        <w:t xml:space="preserve"> </w:t>
      </w:r>
      <w:r w:rsidRPr="0031675F">
        <w:rPr>
          <w:spacing w:val="-1"/>
        </w:rPr>
        <w:t>concentration</w:t>
      </w:r>
      <w:r w:rsidRPr="0031675F">
        <w:rPr>
          <w:spacing w:val="44"/>
        </w:rPr>
        <w:t xml:space="preserve"> </w:t>
      </w:r>
      <w:r w:rsidRPr="0031675F">
        <w:rPr>
          <w:spacing w:val="-1"/>
        </w:rPr>
        <w:t>ranges.</w:t>
      </w:r>
      <w:r w:rsidRPr="0031675F">
        <w:rPr>
          <w:spacing w:val="38"/>
        </w:rPr>
        <w:t xml:space="preserve"> </w:t>
      </w:r>
      <w:r w:rsidRPr="0031675F">
        <w:rPr>
          <w:spacing w:val="-1"/>
        </w:rPr>
        <w:t>Remember</w:t>
      </w:r>
      <w:r w:rsidRPr="0031675F">
        <w:rPr>
          <w:spacing w:val="46"/>
        </w:rPr>
        <w:t xml:space="preserve"> </w:t>
      </w:r>
      <w:r w:rsidRPr="0031675F">
        <w:t>if</w:t>
      </w:r>
      <w:r w:rsidRPr="0031675F">
        <w:rPr>
          <w:spacing w:val="44"/>
        </w:rPr>
        <w:t xml:space="preserve"> </w:t>
      </w:r>
      <w:r w:rsidRPr="0031675F">
        <w:t>you</w:t>
      </w:r>
      <w:r w:rsidRPr="0031675F">
        <w:rPr>
          <w:spacing w:val="45"/>
        </w:rPr>
        <w:t xml:space="preserve"> </w:t>
      </w:r>
      <w:r w:rsidRPr="0031675F">
        <w:rPr>
          <w:spacing w:val="-1"/>
        </w:rPr>
        <w:t>dilute</w:t>
      </w:r>
      <w:r w:rsidRPr="0031675F">
        <w:rPr>
          <w:spacing w:val="47"/>
        </w:rPr>
        <w:t xml:space="preserve"> </w:t>
      </w:r>
      <w:r w:rsidRPr="0031675F">
        <w:t>the</w:t>
      </w:r>
      <w:r w:rsidRPr="0031675F">
        <w:rPr>
          <w:spacing w:val="67"/>
        </w:rPr>
        <w:t xml:space="preserve"> </w:t>
      </w:r>
      <w:r w:rsidRPr="0031675F">
        <w:rPr>
          <w:spacing w:val="-1"/>
        </w:rPr>
        <w:t>samples,</w:t>
      </w:r>
      <w:r w:rsidRPr="0031675F">
        <w:rPr>
          <w:spacing w:val="7"/>
        </w:rPr>
        <w:t xml:space="preserve"> </w:t>
      </w:r>
      <w:r w:rsidRPr="0031675F">
        <w:rPr>
          <w:spacing w:val="-1"/>
        </w:rPr>
        <w:t>then</w:t>
      </w:r>
      <w:r w:rsidRPr="0031675F">
        <w:rPr>
          <w:spacing w:val="7"/>
        </w:rPr>
        <w:t xml:space="preserve"> </w:t>
      </w:r>
      <w:r w:rsidRPr="0031675F">
        <w:t>you</w:t>
      </w:r>
      <w:r w:rsidRPr="0031675F">
        <w:rPr>
          <w:spacing w:val="6"/>
        </w:rPr>
        <w:t xml:space="preserve"> </w:t>
      </w:r>
      <w:r w:rsidRPr="0031675F">
        <w:t>will</w:t>
      </w:r>
      <w:r w:rsidRPr="0031675F">
        <w:rPr>
          <w:spacing w:val="7"/>
        </w:rPr>
        <w:t xml:space="preserve"> </w:t>
      </w:r>
      <w:r w:rsidRPr="0031675F">
        <w:rPr>
          <w:spacing w:val="-1"/>
        </w:rPr>
        <w:t>need</w:t>
      </w:r>
      <w:r w:rsidRPr="0031675F">
        <w:rPr>
          <w:spacing w:val="6"/>
        </w:rPr>
        <w:t xml:space="preserve"> </w:t>
      </w:r>
      <w:r w:rsidRPr="0031675F">
        <w:t>to</w:t>
      </w:r>
      <w:r w:rsidRPr="0031675F">
        <w:rPr>
          <w:spacing w:val="9"/>
        </w:rPr>
        <w:t xml:space="preserve"> </w:t>
      </w:r>
      <w:r w:rsidRPr="0031675F">
        <w:rPr>
          <w:spacing w:val="-1"/>
        </w:rPr>
        <w:t>dilute</w:t>
      </w:r>
      <w:r w:rsidRPr="0031675F">
        <w:rPr>
          <w:spacing w:val="8"/>
        </w:rPr>
        <w:t xml:space="preserve"> </w:t>
      </w:r>
      <w:r w:rsidRPr="0031675F">
        <w:t>the</w:t>
      </w:r>
      <w:r w:rsidRPr="0031675F">
        <w:rPr>
          <w:spacing w:val="7"/>
        </w:rPr>
        <w:t xml:space="preserve"> </w:t>
      </w:r>
      <w:r w:rsidRPr="0031675F">
        <w:rPr>
          <w:spacing w:val="-1"/>
        </w:rPr>
        <w:t>control</w:t>
      </w:r>
      <w:r w:rsidRPr="0031675F">
        <w:rPr>
          <w:spacing w:val="7"/>
        </w:rPr>
        <w:t xml:space="preserve"> </w:t>
      </w:r>
      <w:r w:rsidRPr="0031675F">
        <w:rPr>
          <w:spacing w:val="-1"/>
        </w:rPr>
        <w:t>standards</w:t>
      </w:r>
      <w:r w:rsidRPr="0031675F">
        <w:rPr>
          <w:spacing w:val="7"/>
        </w:rPr>
        <w:t xml:space="preserve"> </w:t>
      </w:r>
      <w:r w:rsidRPr="0031675F">
        <w:rPr>
          <w:spacing w:val="-1"/>
        </w:rPr>
        <w:t>(vials</w:t>
      </w:r>
      <w:r w:rsidRPr="0031675F">
        <w:rPr>
          <w:spacing w:val="7"/>
        </w:rPr>
        <w:t xml:space="preserve"> </w:t>
      </w:r>
      <w:r w:rsidRPr="0031675F">
        <w:t>1</w:t>
      </w:r>
      <w:r w:rsidRPr="0031675F">
        <w:rPr>
          <w:spacing w:val="8"/>
        </w:rPr>
        <w:t xml:space="preserve"> </w:t>
      </w:r>
      <w:r w:rsidRPr="0031675F">
        <w:t>to</w:t>
      </w:r>
      <w:r w:rsidRPr="0031675F">
        <w:rPr>
          <w:spacing w:val="9"/>
        </w:rPr>
        <w:t xml:space="preserve"> </w:t>
      </w:r>
      <w:r w:rsidRPr="0031675F">
        <w:t>3)</w:t>
      </w:r>
      <w:r w:rsidRPr="0031675F">
        <w:rPr>
          <w:spacing w:val="7"/>
        </w:rPr>
        <w:t xml:space="preserve"> </w:t>
      </w:r>
      <w:r w:rsidRPr="0031675F">
        <w:t>as</w:t>
      </w:r>
      <w:r w:rsidRPr="0031675F">
        <w:rPr>
          <w:spacing w:val="7"/>
        </w:rPr>
        <w:t xml:space="preserve"> </w:t>
      </w:r>
      <w:r w:rsidRPr="0031675F">
        <w:rPr>
          <w:spacing w:val="-1"/>
        </w:rPr>
        <w:t>well</w:t>
      </w:r>
      <w:r w:rsidRPr="0031675F">
        <w:rPr>
          <w:spacing w:val="7"/>
        </w:rPr>
        <w:t xml:space="preserve"> </w:t>
      </w:r>
      <w:r w:rsidRPr="0031675F">
        <w:t>in</w:t>
      </w:r>
      <w:r w:rsidRPr="0031675F">
        <w:rPr>
          <w:spacing w:val="6"/>
        </w:rPr>
        <w:t xml:space="preserve"> </w:t>
      </w:r>
      <w:r w:rsidRPr="0031675F">
        <w:t>order</w:t>
      </w:r>
      <w:r w:rsidRPr="0031675F">
        <w:rPr>
          <w:spacing w:val="7"/>
        </w:rPr>
        <w:t xml:space="preserve"> </w:t>
      </w:r>
      <w:r w:rsidRPr="0031675F">
        <w:t>to</w:t>
      </w:r>
      <w:r w:rsidRPr="0031675F">
        <w:rPr>
          <w:spacing w:val="9"/>
        </w:rPr>
        <w:t xml:space="preserve"> </w:t>
      </w:r>
      <w:r w:rsidRPr="0031675F">
        <w:rPr>
          <w:spacing w:val="-1"/>
        </w:rPr>
        <w:t>calculate</w:t>
      </w:r>
      <w:r w:rsidRPr="0031675F">
        <w:rPr>
          <w:spacing w:val="59"/>
        </w:rPr>
        <w:t xml:space="preserve"> </w:t>
      </w:r>
      <w:r w:rsidRPr="0031675F">
        <w:t>true</w:t>
      </w:r>
      <w:r w:rsidRPr="0031675F">
        <w:rPr>
          <w:spacing w:val="17"/>
        </w:rPr>
        <w:t xml:space="preserve"> </w:t>
      </w:r>
      <w:r w:rsidRPr="0031675F">
        <w:rPr>
          <w:spacing w:val="-1"/>
        </w:rPr>
        <w:t>digestion</w:t>
      </w:r>
      <w:r w:rsidRPr="0031675F">
        <w:rPr>
          <w:spacing w:val="16"/>
        </w:rPr>
        <w:t xml:space="preserve"> </w:t>
      </w:r>
      <w:r w:rsidRPr="0031675F">
        <w:rPr>
          <w:spacing w:val="-1"/>
        </w:rPr>
        <w:t>and</w:t>
      </w:r>
      <w:r w:rsidRPr="0031675F">
        <w:rPr>
          <w:spacing w:val="16"/>
        </w:rPr>
        <w:t xml:space="preserve"> </w:t>
      </w:r>
      <w:r w:rsidRPr="0031675F">
        <w:rPr>
          <w:spacing w:val="-1"/>
        </w:rPr>
        <w:t>extraction</w:t>
      </w:r>
      <w:r w:rsidRPr="0031675F">
        <w:rPr>
          <w:spacing w:val="16"/>
        </w:rPr>
        <w:t xml:space="preserve"> </w:t>
      </w:r>
      <w:r w:rsidRPr="0031675F">
        <w:rPr>
          <w:spacing w:val="-1"/>
        </w:rPr>
        <w:t>efficiencies.</w:t>
      </w:r>
      <w:r w:rsidRPr="0031675F">
        <w:rPr>
          <w:spacing w:val="19"/>
        </w:rPr>
        <w:t xml:space="preserve"> </w:t>
      </w:r>
      <w:r w:rsidRPr="0031675F">
        <w:rPr>
          <w:spacing w:val="-1"/>
        </w:rPr>
        <w:t>The</w:t>
      </w:r>
      <w:r w:rsidRPr="0031675F">
        <w:rPr>
          <w:spacing w:val="17"/>
        </w:rPr>
        <w:t xml:space="preserve"> </w:t>
      </w:r>
      <w:r w:rsidRPr="0031675F">
        <w:rPr>
          <w:spacing w:val="-1"/>
        </w:rPr>
        <w:t>effective</w:t>
      </w:r>
      <w:r w:rsidRPr="0031675F">
        <w:rPr>
          <w:spacing w:val="17"/>
        </w:rPr>
        <w:t xml:space="preserve"> </w:t>
      </w:r>
      <w:r w:rsidRPr="0031675F">
        <w:rPr>
          <w:spacing w:val="-1"/>
        </w:rPr>
        <w:t>detection</w:t>
      </w:r>
      <w:r w:rsidRPr="0031675F">
        <w:rPr>
          <w:spacing w:val="16"/>
        </w:rPr>
        <w:t xml:space="preserve"> </w:t>
      </w:r>
      <w:r w:rsidRPr="0031675F">
        <w:rPr>
          <w:spacing w:val="-1"/>
        </w:rPr>
        <w:t>limit</w:t>
      </w:r>
      <w:r w:rsidRPr="0031675F">
        <w:rPr>
          <w:spacing w:val="17"/>
        </w:rPr>
        <w:t xml:space="preserve"> </w:t>
      </w:r>
      <w:r w:rsidRPr="0031675F">
        <w:t>is</w:t>
      </w:r>
      <w:r w:rsidRPr="0031675F">
        <w:rPr>
          <w:spacing w:val="14"/>
        </w:rPr>
        <w:t xml:space="preserve"> </w:t>
      </w:r>
      <w:r w:rsidRPr="0031675F">
        <w:rPr>
          <w:spacing w:val="-1"/>
        </w:rPr>
        <w:t>0.010</w:t>
      </w:r>
      <w:r w:rsidRPr="0031675F">
        <w:rPr>
          <w:spacing w:val="15"/>
        </w:rPr>
        <w:t xml:space="preserve"> </w:t>
      </w:r>
      <w:r w:rsidRPr="0031675F">
        <w:rPr>
          <w:spacing w:val="-1"/>
        </w:rPr>
        <w:t>µmol</w:t>
      </w:r>
      <w:r w:rsidRPr="0031675F">
        <w:rPr>
          <w:spacing w:val="17"/>
        </w:rPr>
        <w:t xml:space="preserve"> </w:t>
      </w:r>
      <w:r w:rsidRPr="0031675F">
        <w:t>P</w:t>
      </w:r>
      <w:r w:rsidRPr="0031675F">
        <w:rPr>
          <w:spacing w:val="18"/>
        </w:rPr>
        <w:t xml:space="preserve"> </w:t>
      </w:r>
      <w:r w:rsidRPr="0031675F">
        <w:rPr>
          <w:spacing w:val="-1"/>
        </w:rPr>
        <w:t>(0.310</w:t>
      </w:r>
      <w:r w:rsidRPr="0031675F">
        <w:rPr>
          <w:spacing w:val="15"/>
        </w:rPr>
        <w:t xml:space="preserve"> </w:t>
      </w:r>
      <w:r w:rsidRPr="0031675F">
        <w:t>µg</w:t>
      </w:r>
      <w:r w:rsidRPr="0031675F">
        <w:rPr>
          <w:spacing w:val="16"/>
        </w:rPr>
        <w:t xml:space="preserve"> </w:t>
      </w:r>
      <w:r w:rsidRPr="0031675F">
        <w:rPr>
          <w:spacing w:val="-1"/>
        </w:rPr>
        <w:t>P)</w:t>
      </w:r>
      <w:r w:rsidRPr="0031675F">
        <w:rPr>
          <w:spacing w:val="81"/>
        </w:rPr>
        <w:t xml:space="preserve"> </w:t>
      </w:r>
      <w:r w:rsidRPr="0031675F">
        <w:t>on</w:t>
      </w:r>
      <w:r w:rsidRPr="0031675F">
        <w:rPr>
          <w:spacing w:val="-1"/>
        </w:rPr>
        <w:t xml:space="preserve"> </w:t>
      </w:r>
      <w:r w:rsidRPr="0031675F">
        <w:t xml:space="preserve">a </w:t>
      </w:r>
      <w:r w:rsidRPr="0031675F">
        <w:rPr>
          <w:spacing w:val="-1"/>
        </w:rPr>
        <w:t>filter.</w:t>
      </w:r>
    </w:p>
    <w:p w14:paraId="1D41896A" w14:textId="77777777" w:rsidR="0031675F" w:rsidRPr="0031675F" w:rsidRDefault="0031675F" w:rsidP="0031675F">
      <w:pPr>
        <w:spacing w:before="11"/>
        <w:rPr>
          <w:rFonts w:cs="Calibri"/>
          <w:sz w:val="21"/>
          <w:szCs w:val="21"/>
        </w:rPr>
      </w:pPr>
    </w:p>
    <w:p w14:paraId="76415E0D" w14:textId="77777777" w:rsidR="0031675F" w:rsidRPr="0031675F" w:rsidRDefault="0031675F" w:rsidP="0031675F">
      <w:pPr>
        <w:widowControl w:val="0"/>
        <w:numPr>
          <w:ilvl w:val="1"/>
          <w:numId w:val="103"/>
        </w:numPr>
        <w:tabs>
          <w:tab w:val="left" w:pos="686"/>
        </w:tabs>
        <w:spacing w:before="0" w:after="0" w:line="240" w:lineRule="auto"/>
        <w:ind w:left="685"/>
        <w:jc w:val="both"/>
        <w:rPr>
          <w:rFonts w:eastAsia="Arial" w:cs="Arial"/>
          <w:sz w:val="24"/>
          <w:szCs w:val="24"/>
        </w:rPr>
      </w:pPr>
      <w:bookmarkStart w:id="671" w:name="_TOC_250032"/>
      <w:r w:rsidRPr="0031675F">
        <w:rPr>
          <w:b/>
          <w:sz w:val="24"/>
        </w:rPr>
        <w:t>Data</w:t>
      </w:r>
      <w:r w:rsidRPr="0031675F">
        <w:rPr>
          <w:b/>
          <w:spacing w:val="1"/>
          <w:sz w:val="24"/>
        </w:rPr>
        <w:t xml:space="preserve"> </w:t>
      </w:r>
      <w:r w:rsidRPr="0031675F">
        <w:rPr>
          <w:b/>
          <w:spacing w:val="-1"/>
          <w:sz w:val="24"/>
        </w:rPr>
        <w:t>management</w:t>
      </w:r>
      <w:bookmarkEnd w:id="671"/>
    </w:p>
    <w:p w14:paraId="44C221EB" w14:textId="77777777" w:rsidR="0031675F" w:rsidRPr="0031675F" w:rsidRDefault="0031675F" w:rsidP="0031675F">
      <w:pPr>
        <w:rPr>
          <w:rFonts w:eastAsia="Arial" w:cs="Arial"/>
          <w:b/>
          <w:bCs/>
          <w:sz w:val="21"/>
          <w:szCs w:val="21"/>
        </w:rPr>
      </w:pPr>
    </w:p>
    <w:p w14:paraId="669BFE53" w14:textId="77777777" w:rsidR="0031675F" w:rsidRPr="0031675F" w:rsidRDefault="0031675F" w:rsidP="0031675F">
      <w:pPr>
        <w:spacing w:after="120"/>
        <w:ind w:right="113"/>
        <w:jc w:val="both"/>
      </w:pPr>
      <w:r w:rsidRPr="0031675F">
        <w:rPr>
          <w:spacing w:val="-1"/>
        </w:rPr>
        <w:t>Each</w:t>
      </w:r>
      <w:r w:rsidRPr="0031675F">
        <w:rPr>
          <w:spacing w:val="17"/>
        </w:rPr>
        <w:t xml:space="preserve"> </w:t>
      </w:r>
      <w:r w:rsidRPr="0031675F">
        <w:rPr>
          <w:spacing w:val="-1"/>
        </w:rPr>
        <w:t>filter</w:t>
      </w:r>
      <w:r w:rsidRPr="0031675F">
        <w:rPr>
          <w:spacing w:val="17"/>
        </w:rPr>
        <w:t xml:space="preserve"> </w:t>
      </w:r>
      <w:r w:rsidRPr="0031675F">
        <w:t>is</w:t>
      </w:r>
      <w:r w:rsidRPr="0031675F">
        <w:rPr>
          <w:spacing w:val="16"/>
        </w:rPr>
        <w:t xml:space="preserve"> </w:t>
      </w:r>
      <w:r w:rsidRPr="0031675F">
        <w:rPr>
          <w:spacing w:val="-1"/>
        </w:rPr>
        <w:t>assigned</w:t>
      </w:r>
      <w:r w:rsidRPr="0031675F">
        <w:rPr>
          <w:spacing w:val="16"/>
        </w:rPr>
        <w:t xml:space="preserve"> </w:t>
      </w:r>
      <w:r w:rsidRPr="0031675F">
        <w:t>a</w:t>
      </w:r>
      <w:r w:rsidRPr="0031675F">
        <w:rPr>
          <w:spacing w:val="17"/>
        </w:rPr>
        <w:t xml:space="preserve"> </w:t>
      </w:r>
      <w:r w:rsidRPr="0031675F">
        <w:rPr>
          <w:spacing w:val="-1"/>
        </w:rPr>
        <w:t>unique</w:t>
      </w:r>
      <w:r w:rsidRPr="0031675F">
        <w:rPr>
          <w:spacing w:val="17"/>
        </w:rPr>
        <w:t xml:space="preserve"> </w:t>
      </w:r>
      <w:r w:rsidRPr="0031675F">
        <w:rPr>
          <w:spacing w:val="-1"/>
        </w:rPr>
        <w:t>identifier</w:t>
      </w:r>
      <w:r w:rsidRPr="0031675F">
        <w:rPr>
          <w:spacing w:val="17"/>
        </w:rPr>
        <w:t xml:space="preserve"> </w:t>
      </w:r>
      <w:r w:rsidRPr="0031675F">
        <w:t>which</w:t>
      </w:r>
      <w:r w:rsidRPr="0031675F">
        <w:rPr>
          <w:spacing w:val="15"/>
        </w:rPr>
        <w:t xml:space="preserve"> </w:t>
      </w:r>
      <w:r w:rsidRPr="0031675F">
        <w:t>is</w:t>
      </w:r>
      <w:r w:rsidRPr="0031675F">
        <w:rPr>
          <w:spacing w:val="16"/>
        </w:rPr>
        <w:t xml:space="preserve"> </w:t>
      </w:r>
      <w:r w:rsidRPr="0031675F">
        <w:rPr>
          <w:spacing w:val="-1"/>
        </w:rPr>
        <w:t>usually</w:t>
      </w:r>
      <w:r w:rsidRPr="0031675F">
        <w:rPr>
          <w:spacing w:val="17"/>
        </w:rPr>
        <w:t xml:space="preserve"> </w:t>
      </w:r>
      <w:r w:rsidRPr="0031675F">
        <w:t>a</w:t>
      </w:r>
      <w:r w:rsidRPr="0031675F">
        <w:rPr>
          <w:spacing w:val="17"/>
        </w:rPr>
        <w:t xml:space="preserve"> </w:t>
      </w:r>
      <w:r w:rsidRPr="0031675F">
        <w:rPr>
          <w:spacing w:val="-1"/>
        </w:rPr>
        <w:t>combination</w:t>
      </w:r>
      <w:r w:rsidRPr="0031675F">
        <w:rPr>
          <w:spacing w:val="14"/>
        </w:rPr>
        <w:t xml:space="preserve"> </w:t>
      </w:r>
      <w:r w:rsidRPr="0031675F">
        <w:t>of</w:t>
      </w:r>
      <w:r w:rsidRPr="0031675F">
        <w:rPr>
          <w:spacing w:val="17"/>
        </w:rPr>
        <w:t xml:space="preserve"> </w:t>
      </w:r>
      <w:r w:rsidRPr="0031675F">
        <w:rPr>
          <w:spacing w:val="-1"/>
        </w:rPr>
        <w:t>sampling</w:t>
      </w:r>
      <w:r w:rsidRPr="0031675F">
        <w:rPr>
          <w:spacing w:val="16"/>
        </w:rPr>
        <w:t xml:space="preserve"> </w:t>
      </w:r>
      <w:r w:rsidRPr="0031675F">
        <w:rPr>
          <w:spacing w:val="-1"/>
        </w:rPr>
        <w:t>site</w:t>
      </w:r>
      <w:r w:rsidRPr="0031675F">
        <w:rPr>
          <w:spacing w:val="18"/>
        </w:rPr>
        <w:t xml:space="preserve"> </w:t>
      </w:r>
      <w:r w:rsidRPr="0031675F">
        <w:rPr>
          <w:spacing w:val="-1"/>
        </w:rPr>
        <w:t>reference,</w:t>
      </w:r>
      <w:r w:rsidRPr="0031675F">
        <w:rPr>
          <w:spacing w:val="73"/>
        </w:rPr>
        <w:t xml:space="preserve"> </w:t>
      </w:r>
      <w:r w:rsidRPr="0031675F">
        <w:rPr>
          <w:spacing w:val="-1"/>
        </w:rPr>
        <w:t xml:space="preserve">depth </w:t>
      </w:r>
      <w:r w:rsidRPr="0031675F">
        <w:t>in</w:t>
      </w:r>
      <w:r w:rsidRPr="0031675F">
        <w:rPr>
          <w:spacing w:val="-1"/>
        </w:rPr>
        <w:t xml:space="preserve"> the</w:t>
      </w:r>
      <w:r w:rsidRPr="0031675F">
        <w:rPr>
          <w:spacing w:val="-2"/>
        </w:rPr>
        <w:t xml:space="preserve"> </w:t>
      </w:r>
      <w:r w:rsidRPr="0031675F">
        <w:rPr>
          <w:spacing w:val="-1"/>
        </w:rPr>
        <w:t>water</w:t>
      </w:r>
      <w:r w:rsidRPr="0031675F">
        <w:t xml:space="preserve"> </w:t>
      </w:r>
      <w:r w:rsidRPr="0031675F">
        <w:rPr>
          <w:spacing w:val="-1"/>
        </w:rPr>
        <w:t>column</w:t>
      </w:r>
      <w:r w:rsidRPr="0031675F">
        <w:rPr>
          <w:spacing w:val="-3"/>
        </w:rPr>
        <w:t xml:space="preserve"> </w:t>
      </w:r>
      <w:r w:rsidRPr="0031675F">
        <w:rPr>
          <w:spacing w:val="-1"/>
        </w:rPr>
        <w:t>from</w:t>
      </w:r>
      <w:r w:rsidRPr="0031675F">
        <w:rPr>
          <w:spacing w:val="-2"/>
        </w:rPr>
        <w:t xml:space="preserve"> </w:t>
      </w:r>
      <w:r w:rsidRPr="0031675F">
        <w:rPr>
          <w:spacing w:val="-1"/>
        </w:rPr>
        <w:t>which</w:t>
      </w:r>
      <w:r w:rsidRPr="0031675F">
        <w:rPr>
          <w:spacing w:val="-3"/>
        </w:rPr>
        <w:t xml:space="preserve"> </w:t>
      </w:r>
      <w:r w:rsidRPr="0031675F">
        <w:t xml:space="preserve">the </w:t>
      </w:r>
      <w:r w:rsidRPr="0031675F">
        <w:rPr>
          <w:spacing w:val="-1"/>
        </w:rPr>
        <w:t>sample</w:t>
      </w:r>
      <w:r w:rsidRPr="0031675F">
        <w:rPr>
          <w:spacing w:val="-3"/>
        </w:rPr>
        <w:t xml:space="preserve"> </w:t>
      </w:r>
      <w:r w:rsidRPr="0031675F">
        <w:rPr>
          <w:spacing w:val="-1"/>
        </w:rPr>
        <w:t>was</w:t>
      </w:r>
      <w:r w:rsidRPr="0031675F">
        <w:t xml:space="preserve"> </w:t>
      </w:r>
      <w:r w:rsidRPr="0031675F">
        <w:rPr>
          <w:spacing w:val="-1"/>
        </w:rPr>
        <w:t>taken</w:t>
      </w:r>
      <w:r w:rsidRPr="0031675F">
        <w:t xml:space="preserve"> and</w:t>
      </w:r>
      <w:r w:rsidRPr="0031675F">
        <w:rPr>
          <w:spacing w:val="-2"/>
        </w:rPr>
        <w:t xml:space="preserve"> </w:t>
      </w:r>
      <w:r w:rsidRPr="0031675F">
        <w:rPr>
          <w:spacing w:val="-1"/>
        </w:rPr>
        <w:t>the</w:t>
      </w:r>
      <w:r w:rsidRPr="0031675F">
        <w:t xml:space="preserve"> </w:t>
      </w:r>
      <w:r w:rsidRPr="0031675F">
        <w:rPr>
          <w:spacing w:val="-1"/>
        </w:rPr>
        <w:t>replicate</w:t>
      </w:r>
      <w:r w:rsidRPr="0031675F">
        <w:t xml:space="preserve"> </w:t>
      </w:r>
      <w:r w:rsidRPr="0031675F">
        <w:rPr>
          <w:spacing w:val="-1"/>
        </w:rPr>
        <w:t>number.</w:t>
      </w:r>
    </w:p>
    <w:p w14:paraId="72D3E273" w14:textId="77777777" w:rsidR="0031675F" w:rsidRPr="0031675F" w:rsidRDefault="0031675F" w:rsidP="0031675F">
      <w:pPr>
        <w:tabs>
          <w:tab w:val="left" w:pos="1131"/>
          <w:tab w:val="left" w:pos="2156"/>
          <w:tab w:val="left" w:pos="2945"/>
          <w:tab w:val="left" w:pos="4188"/>
          <w:tab w:val="left" w:pos="5420"/>
          <w:tab w:val="left" w:pos="6279"/>
          <w:tab w:val="left" w:pos="7174"/>
          <w:tab w:val="left" w:pos="8354"/>
        </w:tabs>
        <w:spacing w:after="120"/>
        <w:ind w:right="111"/>
      </w:pPr>
      <w:r w:rsidRPr="0031675F">
        <w:rPr>
          <w:spacing w:val="-1"/>
        </w:rPr>
        <w:t>The</w:t>
      </w:r>
      <w:r w:rsidRPr="0031675F">
        <w:rPr>
          <w:spacing w:val="38"/>
        </w:rPr>
        <w:t xml:space="preserve"> </w:t>
      </w:r>
      <w:r w:rsidRPr="0031675F">
        <w:rPr>
          <w:spacing w:val="-1"/>
        </w:rPr>
        <w:t>sample</w:t>
      </w:r>
      <w:r w:rsidRPr="0031675F">
        <w:rPr>
          <w:spacing w:val="39"/>
        </w:rPr>
        <w:t xml:space="preserve"> </w:t>
      </w:r>
      <w:r w:rsidRPr="0031675F">
        <w:rPr>
          <w:spacing w:val="-1"/>
        </w:rPr>
        <w:t>identifier</w:t>
      </w:r>
      <w:r w:rsidRPr="0031675F">
        <w:rPr>
          <w:spacing w:val="39"/>
        </w:rPr>
        <w:t xml:space="preserve"> </w:t>
      </w:r>
      <w:r w:rsidRPr="0031675F">
        <w:t>is</w:t>
      </w:r>
      <w:r w:rsidRPr="0031675F">
        <w:rPr>
          <w:spacing w:val="37"/>
        </w:rPr>
        <w:t xml:space="preserve"> </w:t>
      </w:r>
      <w:r w:rsidRPr="0031675F">
        <w:rPr>
          <w:spacing w:val="-1"/>
        </w:rPr>
        <w:t>logged</w:t>
      </w:r>
      <w:r w:rsidRPr="0031675F">
        <w:rPr>
          <w:spacing w:val="38"/>
        </w:rPr>
        <w:t xml:space="preserve"> </w:t>
      </w:r>
      <w:r w:rsidRPr="0031675F">
        <w:t>on</w:t>
      </w:r>
      <w:r w:rsidRPr="0031675F">
        <w:rPr>
          <w:spacing w:val="38"/>
        </w:rPr>
        <w:t xml:space="preserve"> </w:t>
      </w:r>
      <w:r w:rsidRPr="0031675F">
        <w:t>a</w:t>
      </w:r>
      <w:r w:rsidRPr="0031675F">
        <w:rPr>
          <w:spacing w:val="38"/>
        </w:rPr>
        <w:t xml:space="preserve"> </w:t>
      </w:r>
      <w:r w:rsidRPr="0031675F">
        <w:rPr>
          <w:spacing w:val="-1"/>
        </w:rPr>
        <w:t>laboratory</w:t>
      </w:r>
      <w:r w:rsidRPr="0031675F">
        <w:rPr>
          <w:spacing w:val="38"/>
        </w:rPr>
        <w:t xml:space="preserve"> </w:t>
      </w:r>
      <w:r w:rsidRPr="0031675F">
        <w:rPr>
          <w:spacing w:val="-1"/>
        </w:rPr>
        <w:t>worksheet</w:t>
      </w:r>
      <w:r w:rsidRPr="0031675F">
        <w:rPr>
          <w:spacing w:val="39"/>
        </w:rPr>
        <w:t xml:space="preserve"> </w:t>
      </w:r>
      <w:r w:rsidRPr="0031675F">
        <w:rPr>
          <w:spacing w:val="-1"/>
        </w:rPr>
        <w:t>against</w:t>
      </w:r>
      <w:r w:rsidRPr="0031675F">
        <w:rPr>
          <w:spacing w:val="39"/>
        </w:rPr>
        <w:t xml:space="preserve"> </w:t>
      </w:r>
      <w:r w:rsidRPr="0031675F">
        <w:t>the</w:t>
      </w:r>
      <w:r w:rsidRPr="0031675F">
        <w:rPr>
          <w:spacing w:val="38"/>
        </w:rPr>
        <w:t xml:space="preserve"> </w:t>
      </w:r>
      <w:r w:rsidRPr="0031675F">
        <w:rPr>
          <w:spacing w:val="-1"/>
        </w:rPr>
        <w:t>vial</w:t>
      </w:r>
      <w:r w:rsidRPr="0031675F">
        <w:rPr>
          <w:spacing w:val="38"/>
        </w:rPr>
        <w:t xml:space="preserve"> </w:t>
      </w:r>
      <w:r w:rsidRPr="0031675F">
        <w:rPr>
          <w:spacing w:val="-1"/>
        </w:rPr>
        <w:t>into</w:t>
      </w:r>
      <w:r w:rsidRPr="0031675F">
        <w:rPr>
          <w:spacing w:val="40"/>
        </w:rPr>
        <w:t xml:space="preserve"> </w:t>
      </w:r>
      <w:r w:rsidRPr="0031675F">
        <w:t>which</w:t>
      </w:r>
      <w:r w:rsidRPr="0031675F">
        <w:rPr>
          <w:spacing w:val="37"/>
        </w:rPr>
        <w:t xml:space="preserve"> </w:t>
      </w:r>
      <w:r w:rsidRPr="0031675F">
        <w:t>it</w:t>
      </w:r>
      <w:r w:rsidRPr="0031675F">
        <w:rPr>
          <w:spacing w:val="38"/>
        </w:rPr>
        <w:t xml:space="preserve"> </w:t>
      </w:r>
      <w:r w:rsidRPr="0031675F">
        <w:t>is</w:t>
      </w:r>
      <w:r w:rsidRPr="0031675F">
        <w:rPr>
          <w:spacing w:val="38"/>
        </w:rPr>
        <w:t xml:space="preserve"> </w:t>
      </w:r>
      <w:r w:rsidRPr="0031675F">
        <w:t>being</w:t>
      </w:r>
      <w:r w:rsidRPr="0031675F">
        <w:rPr>
          <w:spacing w:val="71"/>
        </w:rPr>
        <w:t xml:space="preserve"> </w:t>
      </w:r>
      <w:r w:rsidRPr="0031675F">
        <w:rPr>
          <w:spacing w:val="-1"/>
        </w:rPr>
        <w:t>placed.</w:t>
      </w:r>
      <w:r w:rsidRPr="0031675F">
        <w:rPr>
          <w:spacing w:val="30"/>
        </w:rPr>
        <w:t xml:space="preserve"> </w:t>
      </w:r>
      <w:r w:rsidRPr="0031675F">
        <w:t>A</w:t>
      </w:r>
      <w:r w:rsidRPr="0031675F">
        <w:rPr>
          <w:spacing w:val="40"/>
        </w:rPr>
        <w:t xml:space="preserve"> </w:t>
      </w:r>
      <w:r w:rsidRPr="0031675F">
        <w:rPr>
          <w:spacing w:val="-1"/>
        </w:rPr>
        <w:t>proforma</w:t>
      </w:r>
      <w:r w:rsidRPr="0031675F">
        <w:rPr>
          <w:spacing w:val="38"/>
        </w:rPr>
        <w:t xml:space="preserve"> </w:t>
      </w:r>
      <w:r w:rsidRPr="0031675F">
        <w:t>of</w:t>
      </w:r>
      <w:r w:rsidRPr="0031675F">
        <w:rPr>
          <w:spacing w:val="40"/>
        </w:rPr>
        <w:t xml:space="preserve"> </w:t>
      </w:r>
      <w:r w:rsidRPr="0031675F">
        <w:rPr>
          <w:spacing w:val="-1"/>
        </w:rPr>
        <w:t>this</w:t>
      </w:r>
      <w:r w:rsidRPr="0031675F">
        <w:rPr>
          <w:spacing w:val="41"/>
        </w:rPr>
        <w:t xml:space="preserve"> </w:t>
      </w:r>
      <w:r w:rsidRPr="0031675F">
        <w:t>log</w:t>
      </w:r>
      <w:r w:rsidRPr="0031675F">
        <w:rPr>
          <w:spacing w:val="40"/>
        </w:rPr>
        <w:t xml:space="preserve"> </w:t>
      </w:r>
      <w:r w:rsidRPr="0031675F">
        <w:rPr>
          <w:spacing w:val="-2"/>
        </w:rPr>
        <w:t>sheet</w:t>
      </w:r>
      <w:r w:rsidRPr="0031675F">
        <w:rPr>
          <w:spacing w:val="41"/>
        </w:rPr>
        <w:t xml:space="preserve"> </w:t>
      </w:r>
      <w:r w:rsidRPr="0031675F">
        <w:t>can</w:t>
      </w:r>
      <w:r w:rsidRPr="0031675F">
        <w:rPr>
          <w:spacing w:val="39"/>
        </w:rPr>
        <w:t xml:space="preserve"> </w:t>
      </w:r>
      <w:r w:rsidRPr="0031675F">
        <w:rPr>
          <w:spacing w:val="-1"/>
        </w:rPr>
        <w:t>be</w:t>
      </w:r>
      <w:r w:rsidRPr="0031675F">
        <w:rPr>
          <w:spacing w:val="42"/>
        </w:rPr>
        <w:t xml:space="preserve"> </w:t>
      </w:r>
      <w:r w:rsidRPr="0031675F">
        <w:rPr>
          <w:spacing w:val="-1"/>
        </w:rPr>
        <w:t>found</w:t>
      </w:r>
      <w:r w:rsidRPr="0031675F">
        <w:rPr>
          <w:spacing w:val="40"/>
        </w:rPr>
        <w:t xml:space="preserve"> </w:t>
      </w:r>
      <w:r w:rsidRPr="0031675F">
        <w:t>in</w:t>
      </w:r>
      <w:r w:rsidRPr="0031675F">
        <w:rPr>
          <w:spacing w:val="44"/>
        </w:rPr>
        <w:t xml:space="preserve"> </w:t>
      </w:r>
      <w:r w:rsidRPr="0031675F">
        <w:rPr>
          <w:spacing w:val="-1"/>
        </w:rPr>
        <w:t>Attachment</w:t>
      </w:r>
      <w:r w:rsidRPr="0031675F">
        <w:rPr>
          <w:spacing w:val="41"/>
        </w:rPr>
        <w:t xml:space="preserve"> </w:t>
      </w:r>
      <w:r w:rsidRPr="0031675F">
        <w:rPr>
          <w:spacing w:val="-1"/>
        </w:rPr>
        <w:t>7.2.</w:t>
      </w:r>
      <w:r w:rsidRPr="0031675F">
        <w:rPr>
          <w:spacing w:val="32"/>
        </w:rPr>
        <w:t xml:space="preserve"> </w:t>
      </w:r>
      <w:r w:rsidRPr="0031675F">
        <w:rPr>
          <w:spacing w:val="-1"/>
        </w:rPr>
        <w:t>The</w:t>
      </w:r>
      <w:r w:rsidRPr="0031675F">
        <w:rPr>
          <w:spacing w:val="39"/>
        </w:rPr>
        <w:t xml:space="preserve"> </w:t>
      </w:r>
      <w:r w:rsidRPr="0031675F">
        <w:rPr>
          <w:spacing w:val="-1"/>
        </w:rPr>
        <w:t>spectrophotometer</w:t>
      </w:r>
      <w:r w:rsidRPr="0031675F">
        <w:rPr>
          <w:spacing w:val="61"/>
        </w:rPr>
        <w:t xml:space="preserve"> </w:t>
      </w:r>
      <w:r w:rsidRPr="0031675F">
        <w:rPr>
          <w:spacing w:val="-1"/>
        </w:rPr>
        <w:t>absorption</w:t>
      </w:r>
      <w:r w:rsidRPr="0031675F">
        <w:rPr>
          <w:spacing w:val="9"/>
        </w:rPr>
        <w:t xml:space="preserve"> </w:t>
      </w:r>
      <w:r w:rsidRPr="0031675F">
        <w:rPr>
          <w:spacing w:val="-1"/>
        </w:rPr>
        <w:t>reading</w:t>
      </w:r>
      <w:r w:rsidRPr="0031675F">
        <w:rPr>
          <w:spacing w:val="9"/>
        </w:rPr>
        <w:t xml:space="preserve"> </w:t>
      </w:r>
      <w:r w:rsidRPr="0031675F">
        <w:rPr>
          <w:spacing w:val="-1"/>
        </w:rPr>
        <w:t>for</w:t>
      </w:r>
      <w:r w:rsidRPr="0031675F">
        <w:rPr>
          <w:spacing w:val="9"/>
        </w:rPr>
        <w:t xml:space="preserve"> </w:t>
      </w:r>
      <w:r w:rsidRPr="0031675F">
        <w:rPr>
          <w:spacing w:val="-1"/>
        </w:rPr>
        <w:t>each</w:t>
      </w:r>
      <w:r w:rsidRPr="0031675F">
        <w:rPr>
          <w:spacing w:val="9"/>
        </w:rPr>
        <w:t xml:space="preserve"> </w:t>
      </w:r>
      <w:r w:rsidRPr="0031675F">
        <w:rPr>
          <w:spacing w:val="-1"/>
        </w:rPr>
        <w:t>sample</w:t>
      </w:r>
      <w:r w:rsidRPr="0031675F">
        <w:rPr>
          <w:spacing w:val="10"/>
        </w:rPr>
        <w:t xml:space="preserve"> </w:t>
      </w:r>
      <w:r w:rsidRPr="0031675F">
        <w:t>is</w:t>
      </w:r>
      <w:r w:rsidRPr="0031675F">
        <w:rPr>
          <w:spacing w:val="9"/>
        </w:rPr>
        <w:t xml:space="preserve"> </w:t>
      </w:r>
      <w:r w:rsidRPr="0031675F">
        <w:t>then</w:t>
      </w:r>
      <w:r w:rsidRPr="0031675F">
        <w:rPr>
          <w:spacing w:val="6"/>
        </w:rPr>
        <w:t xml:space="preserve"> </w:t>
      </w:r>
      <w:r w:rsidRPr="0031675F">
        <w:t>written</w:t>
      </w:r>
      <w:r w:rsidRPr="0031675F">
        <w:rPr>
          <w:spacing w:val="7"/>
        </w:rPr>
        <w:t xml:space="preserve"> </w:t>
      </w:r>
      <w:r w:rsidRPr="0031675F">
        <w:rPr>
          <w:spacing w:val="-1"/>
        </w:rPr>
        <w:t>on</w:t>
      </w:r>
      <w:r w:rsidRPr="0031675F">
        <w:rPr>
          <w:spacing w:val="9"/>
        </w:rPr>
        <w:t xml:space="preserve"> </w:t>
      </w:r>
      <w:r w:rsidRPr="0031675F">
        <w:rPr>
          <w:spacing w:val="-1"/>
        </w:rPr>
        <w:t>this</w:t>
      </w:r>
      <w:r w:rsidRPr="0031675F">
        <w:rPr>
          <w:spacing w:val="10"/>
        </w:rPr>
        <w:t xml:space="preserve"> </w:t>
      </w:r>
      <w:r w:rsidRPr="0031675F">
        <w:rPr>
          <w:spacing w:val="-1"/>
        </w:rPr>
        <w:t>sheet.</w:t>
      </w:r>
      <w:r w:rsidRPr="0031675F">
        <w:rPr>
          <w:spacing w:val="9"/>
        </w:rPr>
        <w:t xml:space="preserve"> </w:t>
      </w:r>
      <w:r w:rsidRPr="0031675F">
        <w:rPr>
          <w:spacing w:val="-1"/>
        </w:rPr>
        <w:t>All</w:t>
      </w:r>
      <w:r w:rsidRPr="0031675F">
        <w:rPr>
          <w:spacing w:val="9"/>
        </w:rPr>
        <w:t xml:space="preserve"> </w:t>
      </w:r>
      <w:r w:rsidRPr="0031675F">
        <w:rPr>
          <w:spacing w:val="-1"/>
        </w:rPr>
        <w:t>information</w:t>
      </w:r>
      <w:r w:rsidRPr="0031675F">
        <w:rPr>
          <w:spacing w:val="9"/>
        </w:rPr>
        <w:t xml:space="preserve"> </w:t>
      </w:r>
      <w:r w:rsidRPr="0031675F">
        <w:rPr>
          <w:spacing w:val="-1"/>
        </w:rPr>
        <w:t>from</w:t>
      </w:r>
      <w:r w:rsidRPr="0031675F">
        <w:rPr>
          <w:spacing w:val="11"/>
        </w:rPr>
        <w:t xml:space="preserve"> </w:t>
      </w:r>
      <w:r w:rsidRPr="0031675F">
        <w:rPr>
          <w:spacing w:val="-1"/>
        </w:rPr>
        <w:t>this</w:t>
      </w:r>
      <w:r w:rsidRPr="0031675F">
        <w:rPr>
          <w:spacing w:val="10"/>
        </w:rPr>
        <w:t xml:space="preserve"> </w:t>
      </w:r>
      <w:r w:rsidRPr="0031675F">
        <w:t>lab</w:t>
      </w:r>
      <w:r w:rsidRPr="0031675F">
        <w:rPr>
          <w:spacing w:val="8"/>
        </w:rPr>
        <w:t xml:space="preserve"> </w:t>
      </w:r>
      <w:r w:rsidRPr="0031675F">
        <w:rPr>
          <w:spacing w:val="-1"/>
        </w:rPr>
        <w:t>sheet</w:t>
      </w:r>
      <w:r w:rsidRPr="0031675F">
        <w:rPr>
          <w:spacing w:val="57"/>
        </w:rPr>
        <w:t xml:space="preserve"> </w:t>
      </w:r>
      <w:r w:rsidRPr="0031675F">
        <w:t>is</w:t>
      </w:r>
      <w:r w:rsidRPr="0031675F">
        <w:rPr>
          <w:spacing w:val="35"/>
        </w:rPr>
        <w:t xml:space="preserve"> </w:t>
      </w:r>
      <w:r w:rsidRPr="0031675F">
        <w:t>then</w:t>
      </w:r>
      <w:r w:rsidRPr="0031675F">
        <w:rPr>
          <w:spacing w:val="36"/>
        </w:rPr>
        <w:t xml:space="preserve"> </w:t>
      </w:r>
      <w:r w:rsidRPr="0031675F">
        <w:rPr>
          <w:spacing w:val="-1"/>
        </w:rPr>
        <w:t>entered</w:t>
      </w:r>
      <w:r w:rsidRPr="0031675F">
        <w:rPr>
          <w:spacing w:val="36"/>
        </w:rPr>
        <w:t xml:space="preserve"> </w:t>
      </w:r>
      <w:r w:rsidRPr="0031675F">
        <w:rPr>
          <w:spacing w:val="-1"/>
        </w:rPr>
        <w:t>into</w:t>
      </w:r>
      <w:r w:rsidRPr="0031675F">
        <w:rPr>
          <w:spacing w:val="37"/>
        </w:rPr>
        <w:t xml:space="preserve"> </w:t>
      </w:r>
      <w:r w:rsidRPr="0031675F">
        <w:t>a</w:t>
      </w:r>
      <w:r w:rsidRPr="0031675F">
        <w:rPr>
          <w:spacing w:val="34"/>
        </w:rPr>
        <w:t xml:space="preserve"> </w:t>
      </w:r>
      <w:r w:rsidRPr="0031675F">
        <w:rPr>
          <w:spacing w:val="-1"/>
        </w:rPr>
        <w:t>Microsoft</w:t>
      </w:r>
      <w:r w:rsidRPr="0031675F">
        <w:rPr>
          <w:spacing w:val="37"/>
        </w:rPr>
        <w:t xml:space="preserve"> </w:t>
      </w:r>
      <w:r w:rsidRPr="0031675F">
        <w:rPr>
          <w:spacing w:val="-1"/>
        </w:rPr>
        <w:t>Excel</w:t>
      </w:r>
      <w:r w:rsidRPr="0031675F">
        <w:rPr>
          <w:spacing w:val="36"/>
        </w:rPr>
        <w:t xml:space="preserve"> </w:t>
      </w:r>
      <w:r w:rsidRPr="0031675F">
        <w:rPr>
          <w:spacing w:val="-1"/>
        </w:rPr>
        <w:t>spreadsheet</w:t>
      </w:r>
      <w:r w:rsidRPr="0031675F">
        <w:rPr>
          <w:spacing w:val="33"/>
        </w:rPr>
        <w:t xml:space="preserve"> </w:t>
      </w:r>
      <w:r w:rsidRPr="0031675F">
        <w:rPr>
          <w:spacing w:val="-1"/>
        </w:rPr>
        <w:t>template</w:t>
      </w:r>
      <w:r w:rsidRPr="0031675F">
        <w:rPr>
          <w:spacing w:val="42"/>
        </w:rPr>
        <w:t xml:space="preserve"> </w:t>
      </w:r>
      <w:r w:rsidRPr="0031675F">
        <w:rPr>
          <w:spacing w:val="-1"/>
        </w:rPr>
        <w:t>called</w:t>
      </w:r>
      <w:r w:rsidRPr="0031675F">
        <w:rPr>
          <w:spacing w:val="36"/>
        </w:rPr>
        <w:t xml:space="preserve"> </w:t>
      </w:r>
      <w:r w:rsidRPr="0031675F">
        <w:rPr>
          <w:spacing w:val="-1"/>
        </w:rPr>
        <w:t>"Phosphorus</w:t>
      </w:r>
      <w:r w:rsidRPr="0031675F">
        <w:rPr>
          <w:spacing w:val="35"/>
        </w:rPr>
        <w:t xml:space="preserve"> </w:t>
      </w:r>
      <w:r w:rsidRPr="0031675F">
        <w:rPr>
          <w:spacing w:val="-1"/>
        </w:rPr>
        <w:t>Calc"</w:t>
      </w:r>
      <w:r w:rsidRPr="0031675F">
        <w:rPr>
          <w:spacing w:val="37"/>
        </w:rPr>
        <w:t xml:space="preserve"> </w:t>
      </w:r>
      <w:r w:rsidRPr="0031675F">
        <w:t>which</w:t>
      </w:r>
      <w:r w:rsidRPr="0031675F">
        <w:rPr>
          <w:spacing w:val="35"/>
        </w:rPr>
        <w:t xml:space="preserve"> </w:t>
      </w:r>
      <w:r w:rsidRPr="0031675F">
        <w:t>is</w:t>
      </w:r>
      <w:r w:rsidRPr="0031675F">
        <w:rPr>
          <w:spacing w:val="36"/>
        </w:rPr>
        <w:t xml:space="preserve"> </w:t>
      </w:r>
      <w:r w:rsidRPr="0031675F">
        <w:t>a</w:t>
      </w:r>
      <w:r w:rsidRPr="0031675F">
        <w:rPr>
          <w:spacing w:val="43"/>
        </w:rPr>
        <w:t xml:space="preserve"> </w:t>
      </w:r>
      <w:r w:rsidRPr="0031675F">
        <w:rPr>
          <w:spacing w:val="-1"/>
        </w:rPr>
        <w:t>visual</w:t>
      </w:r>
      <w:r w:rsidRPr="0031675F">
        <w:rPr>
          <w:spacing w:val="26"/>
        </w:rPr>
        <w:t xml:space="preserve"> </w:t>
      </w:r>
      <w:r w:rsidRPr="0031675F">
        <w:rPr>
          <w:spacing w:val="-1"/>
        </w:rPr>
        <w:t>copy</w:t>
      </w:r>
      <w:r w:rsidRPr="0031675F">
        <w:rPr>
          <w:spacing w:val="28"/>
        </w:rPr>
        <w:t xml:space="preserve"> </w:t>
      </w:r>
      <w:r w:rsidRPr="0031675F">
        <w:t>of</w:t>
      </w:r>
      <w:r w:rsidRPr="0031675F">
        <w:rPr>
          <w:spacing w:val="27"/>
        </w:rPr>
        <w:t xml:space="preserve"> </w:t>
      </w:r>
      <w:r w:rsidRPr="0031675F">
        <w:rPr>
          <w:spacing w:val="-1"/>
        </w:rPr>
        <w:t>the</w:t>
      </w:r>
      <w:r w:rsidRPr="0031675F">
        <w:rPr>
          <w:spacing w:val="27"/>
        </w:rPr>
        <w:t xml:space="preserve"> </w:t>
      </w:r>
      <w:r w:rsidRPr="0031675F">
        <w:rPr>
          <w:spacing w:val="-1"/>
        </w:rPr>
        <w:t>laboratory</w:t>
      </w:r>
      <w:r w:rsidRPr="0031675F">
        <w:rPr>
          <w:spacing w:val="28"/>
        </w:rPr>
        <w:t xml:space="preserve"> </w:t>
      </w:r>
      <w:r w:rsidRPr="0031675F">
        <w:rPr>
          <w:spacing w:val="-1"/>
        </w:rPr>
        <w:t>form</w:t>
      </w:r>
      <w:r w:rsidRPr="0031675F">
        <w:rPr>
          <w:spacing w:val="28"/>
        </w:rPr>
        <w:t xml:space="preserve"> </w:t>
      </w:r>
      <w:r w:rsidRPr="0031675F">
        <w:rPr>
          <w:spacing w:val="-1"/>
        </w:rPr>
        <w:t>but</w:t>
      </w:r>
      <w:r w:rsidRPr="0031675F">
        <w:rPr>
          <w:spacing w:val="28"/>
        </w:rPr>
        <w:t xml:space="preserve"> </w:t>
      </w:r>
      <w:r w:rsidRPr="0031675F">
        <w:rPr>
          <w:spacing w:val="-1"/>
        </w:rPr>
        <w:t>has</w:t>
      </w:r>
      <w:r w:rsidRPr="0031675F">
        <w:rPr>
          <w:spacing w:val="26"/>
        </w:rPr>
        <w:t xml:space="preserve"> </w:t>
      </w:r>
      <w:r w:rsidRPr="0031675F">
        <w:t>all</w:t>
      </w:r>
      <w:r w:rsidRPr="0031675F">
        <w:rPr>
          <w:spacing w:val="27"/>
        </w:rPr>
        <w:t xml:space="preserve"> </w:t>
      </w:r>
      <w:r w:rsidRPr="0031675F">
        <w:rPr>
          <w:spacing w:val="-1"/>
        </w:rPr>
        <w:t>the</w:t>
      </w:r>
      <w:r w:rsidRPr="0031675F">
        <w:rPr>
          <w:spacing w:val="28"/>
        </w:rPr>
        <w:t xml:space="preserve"> </w:t>
      </w:r>
      <w:r w:rsidRPr="0031675F">
        <w:rPr>
          <w:spacing w:val="-1"/>
        </w:rPr>
        <w:t>calculation</w:t>
      </w:r>
      <w:r w:rsidRPr="0031675F">
        <w:rPr>
          <w:spacing w:val="24"/>
        </w:rPr>
        <w:t xml:space="preserve"> </w:t>
      </w:r>
      <w:r w:rsidRPr="0031675F">
        <w:rPr>
          <w:spacing w:val="-1"/>
        </w:rPr>
        <w:t>equations</w:t>
      </w:r>
      <w:r w:rsidRPr="0031675F">
        <w:rPr>
          <w:spacing w:val="24"/>
        </w:rPr>
        <w:t xml:space="preserve"> </w:t>
      </w:r>
      <w:r w:rsidRPr="0031675F">
        <w:rPr>
          <w:spacing w:val="-1"/>
        </w:rPr>
        <w:t>imbedded.</w:t>
      </w:r>
      <w:r w:rsidRPr="0031675F">
        <w:rPr>
          <w:spacing w:val="4"/>
        </w:rPr>
        <w:t xml:space="preserve"> </w:t>
      </w:r>
      <w:r w:rsidRPr="0031675F">
        <w:t>It</w:t>
      </w:r>
      <w:r w:rsidRPr="0031675F">
        <w:rPr>
          <w:spacing w:val="27"/>
        </w:rPr>
        <w:t xml:space="preserve"> </w:t>
      </w:r>
      <w:r w:rsidRPr="0031675F">
        <w:t>will</w:t>
      </w:r>
      <w:r w:rsidRPr="0031675F">
        <w:rPr>
          <w:spacing w:val="71"/>
        </w:rPr>
        <w:t xml:space="preserve"> </w:t>
      </w:r>
      <w:r w:rsidRPr="0031675F">
        <w:rPr>
          <w:spacing w:val="-1"/>
        </w:rPr>
        <w:t>automatically</w:t>
      </w:r>
      <w:r w:rsidRPr="0031675F">
        <w:rPr>
          <w:spacing w:val="8"/>
        </w:rPr>
        <w:t xml:space="preserve"> </w:t>
      </w:r>
      <w:r w:rsidRPr="0031675F">
        <w:rPr>
          <w:spacing w:val="-1"/>
        </w:rPr>
        <w:t>perform</w:t>
      </w:r>
      <w:r w:rsidRPr="0031675F">
        <w:rPr>
          <w:spacing w:val="8"/>
        </w:rPr>
        <w:t xml:space="preserve"> </w:t>
      </w:r>
      <w:r w:rsidRPr="0031675F">
        <w:rPr>
          <w:spacing w:val="-1"/>
        </w:rPr>
        <w:t>the</w:t>
      </w:r>
      <w:r w:rsidRPr="0031675F">
        <w:rPr>
          <w:spacing w:val="5"/>
        </w:rPr>
        <w:t xml:space="preserve"> </w:t>
      </w:r>
      <w:r w:rsidRPr="0031675F">
        <w:t>all</w:t>
      </w:r>
      <w:r w:rsidRPr="0031675F">
        <w:rPr>
          <w:spacing w:val="7"/>
        </w:rPr>
        <w:t xml:space="preserve"> </w:t>
      </w:r>
      <w:r w:rsidRPr="0031675F">
        <w:rPr>
          <w:spacing w:val="-1"/>
        </w:rPr>
        <w:t>calculations</w:t>
      </w:r>
      <w:r w:rsidRPr="0031675F">
        <w:rPr>
          <w:spacing w:val="5"/>
        </w:rPr>
        <w:t xml:space="preserve"> </w:t>
      </w:r>
      <w:r w:rsidRPr="0031675F">
        <w:t>once</w:t>
      </w:r>
      <w:r w:rsidRPr="0031675F">
        <w:rPr>
          <w:spacing w:val="8"/>
        </w:rPr>
        <w:t xml:space="preserve"> </w:t>
      </w:r>
      <w:r w:rsidRPr="0031675F">
        <w:rPr>
          <w:spacing w:val="-1"/>
        </w:rPr>
        <w:t>the</w:t>
      </w:r>
      <w:r w:rsidRPr="0031675F">
        <w:rPr>
          <w:spacing w:val="8"/>
        </w:rPr>
        <w:t xml:space="preserve"> </w:t>
      </w:r>
      <w:r w:rsidRPr="0031675F">
        <w:rPr>
          <w:spacing w:val="-1"/>
        </w:rPr>
        <w:t>values</w:t>
      </w:r>
      <w:r w:rsidRPr="0031675F">
        <w:rPr>
          <w:spacing w:val="8"/>
        </w:rPr>
        <w:t xml:space="preserve"> </w:t>
      </w:r>
      <w:r w:rsidRPr="0031675F">
        <w:t>are</w:t>
      </w:r>
      <w:r w:rsidRPr="0031675F">
        <w:rPr>
          <w:spacing w:val="7"/>
        </w:rPr>
        <w:t xml:space="preserve"> </w:t>
      </w:r>
      <w:r w:rsidRPr="0031675F">
        <w:rPr>
          <w:spacing w:val="-1"/>
        </w:rPr>
        <w:t>typed</w:t>
      </w:r>
      <w:r w:rsidRPr="0031675F">
        <w:rPr>
          <w:spacing w:val="7"/>
        </w:rPr>
        <w:t xml:space="preserve"> </w:t>
      </w:r>
      <w:r w:rsidRPr="0031675F">
        <w:rPr>
          <w:spacing w:val="-1"/>
        </w:rPr>
        <w:t>in.</w:t>
      </w:r>
      <w:r w:rsidRPr="0031675F">
        <w:rPr>
          <w:spacing w:val="22"/>
        </w:rPr>
        <w:t xml:space="preserve"> </w:t>
      </w:r>
      <w:r w:rsidRPr="0031675F">
        <w:rPr>
          <w:spacing w:val="-1"/>
        </w:rPr>
        <w:t>These</w:t>
      </w:r>
      <w:r w:rsidRPr="0031675F">
        <w:rPr>
          <w:spacing w:val="8"/>
        </w:rPr>
        <w:t xml:space="preserve"> </w:t>
      </w:r>
      <w:r w:rsidRPr="0031675F">
        <w:rPr>
          <w:spacing w:val="-1"/>
        </w:rPr>
        <w:t>Excel</w:t>
      </w:r>
      <w:r w:rsidRPr="0031675F">
        <w:rPr>
          <w:spacing w:val="7"/>
        </w:rPr>
        <w:t xml:space="preserve"> </w:t>
      </w:r>
      <w:r w:rsidRPr="0031675F">
        <w:rPr>
          <w:spacing w:val="-1"/>
        </w:rPr>
        <w:t>worksheets</w:t>
      </w:r>
      <w:r w:rsidRPr="0031675F">
        <w:rPr>
          <w:spacing w:val="8"/>
        </w:rPr>
        <w:t xml:space="preserve"> </w:t>
      </w:r>
      <w:r w:rsidRPr="0031675F">
        <w:rPr>
          <w:spacing w:val="-1"/>
        </w:rPr>
        <w:t>are</w:t>
      </w:r>
      <w:r w:rsidRPr="0031675F">
        <w:rPr>
          <w:spacing w:val="65"/>
        </w:rPr>
        <w:t xml:space="preserve"> </w:t>
      </w:r>
      <w:r w:rsidRPr="0031675F">
        <w:rPr>
          <w:rFonts w:cs="Calibri"/>
        </w:rPr>
        <w:t xml:space="preserve">then </w:t>
      </w:r>
      <w:r w:rsidRPr="0031675F">
        <w:rPr>
          <w:rFonts w:cs="Calibri"/>
          <w:spacing w:val="-1"/>
          <w:w w:val="95"/>
        </w:rPr>
        <w:t xml:space="preserve">used </w:t>
      </w:r>
      <w:r w:rsidRPr="0031675F">
        <w:rPr>
          <w:rFonts w:cs="Calibri"/>
        </w:rPr>
        <w:t xml:space="preserve">as </w:t>
      </w:r>
      <w:r w:rsidRPr="0031675F">
        <w:rPr>
          <w:rFonts w:cs="Calibri"/>
          <w:spacing w:val="-1"/>
          <w:w w:val="95"/>
        </w:rPr>
        <w:t xml:space="preserve">feeder </w:t>
      </w:r>
      <w:r w:rsidRPr="0031675F">
        <w:rPr>
          <w:rFonts w:cs="Calibri"/>
          <w:spacing w:val="-1"/>
        </w:rPr>
        <w:t xml:space="preserve">sheets’ </w:t>
      </w:r>
      <w:r w:rsidRPr="0031675F">
        <w:rPr>
          <w:rFonts w:cs="Calibri"/>
          <w:w w:val="95"/>
        </w:rPr>
        <w:t xml:space="preserve">for the </w:t>
      </w:r>
      <w:r w:rsidRPr="0031675F">
        <w:rPr>
          <w:rFonts w:cs="Calibri"/>
        </w:rPr>
        <w:t xml:space="preserve">Oracle </w:t>
      </w:r>
      <w:r w:rsidRPr="0031675F">
        <w:rPr>
          <w:rFonts w:cs="Calibri"/>
          <w:spacing w:val="-1"/>
        </w:rPr>
        <w:t>Database</w:t>
      </w:r>
      <w:r w:rsidRPr="0031675F">
        <w:rPr>
          <w:rFonts w:cs="Calibri"/>
          <w:spacing w:val="37"/>
        </w:rPr>
        <w:t xml:space="preserve"> </w:t>
      </w:r>
      <w:r w:rsidRPr="0031675F">
        <w:rPr>
          <w:spacing w:val="-1"/>
        </w:rPr>
        <w:t>(</w:t>
      </w:r>
      <w:r w:rsidRPr="0031675F">
        <w:rPr>
          <w:color w:val="0000FF"/>
          <w:spacing w:val="-1"/>
          <w:u w:val="single" w:color="0000FF"/>
        </w:rPr>
        <w:t>http://waterquality.aims.gov.au:8080/waterquality</w:t>
      </w:r>
      <w:r w:rsidRPr="0031675F">
        <w:rPr>
          <w:spacing w:val="-1"/>
        </w:rPr>
        <w:t>).</w:t>
      </w:r>
      <w:r w:rsidRPr="0031675F">
        <w:t xml:space="preserve"> </w:t>
      </w:r>
      <w:r w:rsidRPr="0031675F">
        <w:rPr>
          <w:spacing w:val="15"/>
        </w:rPr>
        <w:t xml:space="preserve"> </w:t>
      </w:r>
      <w:r w:rsidRPr="0031675F">
        <w:rPr>
          <w:spacing w:val="-1"/>
        </w:rPr>
        <w:t>Utilising</w:t>
      </w:r>
      <w:r w:rsidRPr="0031675F">
        <w:rPr>
          <w:spacing w:val="6"/>
        </w:rPr>
        <w:t xml:space="preserve"> </w:t>
      </w:r>
      <w:r w:rsidRPr="0031675F">
        <w:t>the</w:t>
      </w:r>
      <w:r w:rsidRPr="0031675F">
        <w:rPr>
          <w:spacing w:val="7"/>
        </w:rPr>
        <w:t xml:space="preserve"> </w:t>
      </w:r>
      <w:r w:rsidRPr="0031675F">
        <w:t>import</w:t>
      </w:r>
      <w:r w:rsidRPr="0031675F">
        <w:rPr>
          <w:spacing w:val="7"/>
        </w:rPr>
        <w:t xml:space="preserve"> </w:t>
      </w:r>
      <w:r w:rsidRPr="0031675F">
        <w:t>tool,</w:t>
      </w:r>
      <w:r w:rsidRPr="0031675F">
        <w:rPr>
          <w:spacing w:val="7"/>
        </w:rPr>
        <w:t xml:space="preserve"> </w:t>
      </w:r>
      <w:r w:rsidRPr="0031675F">
        <w:t>all</w:t>
      </w:r>
      <w:r w:rsidRPr="0031675F">
        <w:rPr>
          <w:spacing w:val="4"/>
        </w:rPr>
        <w:t xml:space="preserve"> </w:t>
      </w:r>
      <w:r w:rsidRPr="0031675F">
        <w:t>the</w:t>
      </w:r>
      <w:r w:rsidRPr="0031675F">
        <w:rPr>
          <w:spacing w:val="7"/>
        </w:rPr>
        <w:t xml:space="preserve"> </w:t>
      </w:r>
      <w:r w:rsidRPr="0031675F">
        <w:rPr>
          <w:spacing w:val="-1"/>
        </w:rPr>
        <w:t>analytical</w:t>
      </w:r>
      <w:r w:rsidRPr="0031675F">
        <w:rPr>
          <w:spacing w:val="6"/>
        </w:rPr>
        <w:t xml:space="preserve"> </w:t>
      </w:r>
      <w:r w:rsidRPr="0031675F">
        <w:rPr>
          <w:spacing w:val="-1"/>
        </w:rPr>
        <w:t xml:space="preserve">results </w:t>
      </w:r>
      <w:r w:rsidRPr="0031675F">
        <w:t>are</w:t>
      </w:r>
      <w:r w:rsidRPr="0031675F">
        <w:rPr>
          <w:spacing w:val="22"/>
        </w:rPr>
        <w:t xml:space="preserve"> </w:t>
      </w:r>
      <w:r w:rsidRPr="0031675F">
        <w:rPr>
          <w:spacing w:val="-1"/>
        </w:rPr>
        <w:t>transferred</w:t>
      </w:r>
      <w:r w:rsidRPr="0031675F">
        <w:rPr>
          <w:spacing w:val="22"/>
        </w:rPr>
        <w:t xml:space="preserve"> </w:t>
      </w:r>
      <w:r w:rsidRPr="0031675F">
        <w:rPr>
          <w:spacing w:val="-1"/>
        </w:rPr>
        <w:t>into</w:t>
      </w:r>
      <w:r w:rsidRPr="0031675F">
        <w:rPr>
          <w:spacing w:val="23"/>
        </w:rPr>
        <w:t xml:space="preserve"> </w:t>
      </w:r>
      <w:r w:rsidRPr="0031675F">
        <w:t>the</w:t>
      </w:r>
      <w:r w:rsidRPr="0031675F">
        <w:rPr>
          <w:spacing w:val="22"/>
        </w:rPr>
        <w:t xml:space="preserve"> </w:t>
      </w:r>
      <w:r w:rsidRPr="0031675F">
        <w:rPr>
          <w:spacing w:val="-1"/>
        </w:rPr>
        <w:t>database</w:t>
      </w:r>
      <w:r w:rsidRPr="0031675F">
        <w:rPr>
          <w:spacing w:val="22"/>
        </w:rPr>
        <w:t xml:space="preserve"> </w:t>
      </w:r>
      <w:r w:rsidRPr="0031675F">
        <w:rPr>
          <w:spacing w:val="-1"/>
        </w:rPr>
        <w:t>and</w:t>
      </w:r>
      <w:r w:rsidRPr="0031675F">
        <w:rPr>
          <w:spacing w:val="21"/>
        </w:rPr>
        <w:t xml:space="preserve"> </w:t>
      </w:r>
      <w:r w:rsidRPr="0031675F">
        <w:t>a</w:t>
      </w:r>
      <w:r w:rsidRPr="0031675F">
        <w:rPr>
          <w:spacing w:val="21"/>
        </w:rPr>
        <w:t xml:space="preserve"> </w:t>
      </w:r>
      <w:r w:rsidRPr="0031675F">
        <w:t>copy</w:t>
      </w:r>
      <w:r w:rsidRPr="0031675F">
        <w:rPr>
          <w:spacing w:val="22"/>
        </w:rPr>
        <w:t xml:space="preserve"> </w:t>
      </w:r>
      <w:r w:rsidRPr="0031675F">
        <w:t>of</w:t>
      </w:r>
      <w:r w:rsidRPr="0031675F">
        <w:rPr>
          <w:spacing w:val="21"/>
        </w:rPr>
        <w:t xml:space="preserve"> </w:t>
      </w:r>
      <w:r w:rsidRPr="0031675F">
        <w:t>the</w:t>
      </w:r>
      <w:r w:rsidRPr="0031675F">
        <w:rPr>
          <w:spacing w:val="19"/>
        </w:rPr>
        <w:t xml:space="preserve"> </w:t>
      </w:r>
      <w:r w:rsidRPr="0031675F">
        <w:t>related</w:t>
      </w:r>
      <w:r w:rsidRPr="0031675F">
        <w:rPr>
          <w:spacing w:val="21"/>
        </w:rPr>
        <w:t xml:space="preserve"> </w:t>
      </w:r>
      <w:r w:rsidRPr="0031675F">
        <w:t>excel</w:t>
      </w:r>
      <w:r w:rsidRPr="0031675F">
        <w:rPr>
          <w:spacing w:val="22"/>
        </w:rPr>
        <w:t xml:space="preserve"> </w:t>
      </w:r>
      <w:r w:rsidRPr="0031675F">
        <w:rPr>
          <w:spacing w:val="-1"/>
        </w:rPr>
        <w:t>file</w:t>
      </w:r>
      <w:r w:rsidRPr="0031675F">
        <w:rPr>
          <w:spacing w:val="22"/>
        </w:rPr>
        <w:t xml:space="preserve"> </w:t>
      </w:r>
      <w:r w:rsidRPr="0031675F">
        <w:rPr>
          <w:spacing w:val="-1"/>
        </w:rPr>
        <w:t>complete</w:t>
      </w:r>
      <w:r w:rsidRPr="0031675F">
        <w:rPr>
          <w:spacing w:val="22"/>
        </w:rPr>
        <w:t xml:space="preserve"> </w:t>
      </w:r>
      <w:r w:rsidRPr="0031675F">
        <w:t>with</w:t>
      </w:r>
      <w:r w:rsidRPr="0031675F">
        <w:rPr>
          <w:spacing w:val="21"/>
        </w:rPr>
        <w:t xml:space="preserve"> </w:t>
      </w:r>
      <w:r w:rsidRPr="0031675F">
        <w:t>QAQA</w:t>
      </w:r>
      <w:r w:rsidRPr="0031675F">
        <w:rPr>
          <w:spacing w:val="21"/>
        </w:rPr>
        <w:t xml:space="preserve"> </w:t>
      </w:r>
      <w:r w:rsidRPr="0031675F">
        <w:rPr>
          <w:spacing w:val="-1"/>
        </w:rPr>
        <w:t>data</w:t>
      </w:r>
      <w:r w:rsidRPr="0031675F">
        <w:rPr>
          <w:spacing w:val="22"/>
        </w:rPr>
        <w:t xml:space="preserve"> </w:t>
      </w:r>
      <w:r w:rsidRPr="0031675F">
        <w:t>is</w:t>
      </w:r>
      <w:r w:rsidRPr="0031675F">
        <w:rPr>
          <w:spacing w:val="39"/>
        </w:rPr>
        <w:t xml:space="preserve"> </w:t>
      </w:r>
      <w:r w:rsidRPr="0031675F">
        <w:rPr>
          <w:spacing w:val="-1"/>
        </w:rPr>
        <w:t>stored</w:t>
      </w:r>
      <w:r w:rsidRPr="0031675F">
        <w:rPr>
          <w:spacing w:val="2"/>
        </w:rPr>
        <w:t xml:space="preserve"> </w:t>
      </w:r>
      <w:r w:rsidRPr="0031675F">
        <w:t>within</w:t>
      </w:r>
      <w:r w:rsidRPr="0031675F">
        <w:rPr>
          <w:spacing w:val="1"/>
        </w:rPr>
        <w:t xml:space="preserve"> </w:t>
      </w:r>
      <w:r w:rsidRPr="0031675F">
        <w:t>the</w:t>
      </w:r>
      <w:r w:rsidRPr="0031675F">
        <w:rPr>
          <w:spacing w:val="3"/>
        </w:rPr>
        <w:t xml:space="preserve"> </w:t>
      </w:r>
      <w:r w:rsidRPr="0031675F">
        <w:rPr>
          <w:spacing w:val="-1"/>
        </w:rPr>
        <w:t>database.</w:t>
      </w:r>
      <w:r w:rsidRPr="0031675F">
        <w:rPr>
          <w:spacing w:val="5"/>
        </w:rPr>
        <w:t xml:space="preserve"> </w:t>
      </w:r>
      <w:r w:rsidRPr="0031675F">
        <w:rPr>
          <w:spacing w:val="-1"/>
        </w:rPr>
        <w:t>All</w:t>
      </w:r>
      <w:r w:rsidRPr="0031675F">
        <w:rPr>
          <w:spacing w:val="2"/>
        </w:rPr>
        <w:t xml:space="preserve"> </w:t>
      </w:r>
      <w:r w:rsidRPr="0031675F">
        <w:rPr>
          <w:spacing w:val="-1"/>
        </w:rPr>
        <w:t>hard</w:t>
      </w:r>
      <w:r w:rsidRPr="0031675F">
        <w:rPr>
          <w:spacing w:val="1"/>
        </w:rPr>
        <w:t xml:space="preserve"> </w:t>
      </w:r>
      <w:r w:rsidRPr="0031675F">
        <w:t>copy</w:t>
      </w:r>
      <w:r w:rsidRPr="0031675F">
        <w:rPr>
          <w:spacing w:val="3"/>
        </w:rPr>
        <w:t xml:space="preserve"> </w:t>
      </w:r>
      <w:r w:rsidRPr="0031675F">
        <w:rPr>
          <w:spacing w:val="-1"/>
        </w:rPr>
        <w:t>laboratory</w:t>
      </w:r>
      <w:r w:rsidRPr="0031675F">
        <w:rPr>
          <w:spacing w:val="1"/>
        </w:rPr>
        <w:t xml:space="preserve"> </w:t>
      </w:r>
      <w:r w:rsidRPr="0031675F">
        <w:t>work</w:t>
      </w:r>
      <w:r w:rsidRPr="0031675F">
        <w:rPr>
          <w:spacing w:val="2"/>
        </w:rPr>
        <w:t xml:space="preserve"> </w:t>
      </w:r>
      <w:r w:rsidRPr="0031675F">
        <w:rPr>
          <w:spacing w:val="-1"/>
        </w:rPr>
        <w:t>forms</w:t>
      </w:r>
      <w:r w:rsidRPr="0031675F">
        <w:rPr>
          <w:spacing w:val="2"/>
        </w:rPr>
        <w:t xml:space="preserve"> </w:t>
      </w:r>
      <w:r w:rsidRPr="0031675F">
        <w:t xml:space="preserve">are </w:t>
      </w:r>
      <w:r w:rsidRPr="0031675F">
        <w:rPr>
          <w:spacing w:val="-1"/>
        </w:rPr>
        <w:t>then</w:t>
      </w:r>
      <w:r w:rsidRPr="0031675F">
        <w:rPr>
          <w:spacing w:val="2"/>
        </w:rPr>
        <w:t xml:space="preserve"> </w:t>
      </w:r>
      <w:r w:rsidRPr="0031675F">
        <w:rPr>
          <w:spacing w:val="-1"/>
        </w:rPr>
        <w:t>archived.</w:t>
      </w:r>
      <w:r w:rsidRPr="0031675F">
        <w:rPr>
          <w:spacing w:val="8"/>
        </w:rPr>
        <w:t xml:space="preserve"> </w:t>
      </w:r>
      <w:r w:rsidRPr="0031675F">
        <w:rPr>
          <w:spacing w:val="-1"/>
        </w:rPr>
        <w:t>For</w:t>
      </w:r>
      <w:r w:rsidRPr="0031675F">
        <w:rPr>
          <w:spacing w:val="2"/>
        </w:rPr>
        <w:t xml:space="preserve"> </w:t>
      </w:r>
      <w:r w:rsidRPr="0031675F">
        <w:rPr>
          <w:spacing w:val="-1"/>
        </w:rPr>
        <w:t>details</w:t>
      </w:r>
      <w:r w:rsidRPr="0031675F">
        <w:rPr>
          <w:spacing w:val="2"/>
        </w:rPr>
        <w:t xml:space="preserve"> </w:t>
      </w:r>
      <w:r w:rsidRPr="0031675F">
        <w:rPr>
          <w:spacing w:val="-1"/>
        </w:rPr>
        <w:t>about</w:t>
      </w:r>
      <w:r w:rsidRPr="0031675F">
        <w:rPr>
          <w:spacing w:val="69"/>
        </w:rPr>
        <w:t xml:space="preserve"> </w:t>
      </w:r>
      <w:r w:rsidRPr="0031675F">
        <w:rPr>
          <w:spacing w:val="-1"/>
        </w:rPr>
        <w:t>data</w:t>
      </w:r>
      <w:r w:rsidRPr="0031675F">
        <w:t xml:space="preserve"> </w:t>
      </w:r>
      <w:r w:rsidRPr="0031675F">
        <w:rPr>
          <w:spacing w:val="-1"/>
        </w:rPr>
        <w:t>management procedures</w:t>
      </w:r>
      <w:r w:rsidRPr="0031675F">
        <w:t xml:space="preserve"> </w:t>
      </w:r>
      <w:r w:rsidRPr="0031675F">
        <w:rPr>
          <w:spacing w:val="-1"/>
        </w:rPr>
        <w:t>developed</w:t>
      </w:r>
      <w:r w:rsidRPr="0031675F">
        <w:t xml:space="preserve"> at</w:t>
      </w:r>
      <w:r w:rsidRPr="0031675F">
        <w:rPr>
          <w:spacing w:val="-2"/>
        </w:rPr>
        <w:t xml:space="preserve"> </w:t>
      </w:r>
      <w:r w:rsidRPr="0031675F">
        <w:t>AIMS</w:t>
      </w:r>
      <w:r w:rsidRPr="0031675F">
        <w:rPr>
          <w:spacing w:val="-1"/>
        </w:rPr>
        <w:t xml:space="preserve"> </w:t>
      </w:r>
      <w:r w:rsidRPr="0031675F">
        <w:rPr>
          <w:spacing w:val="-2"/>
        </w:rPr>
        <w:t>under</w:t>
      </w:r>
      <w:r w:rsidRPr="0031675F">
        <w:t xml:space="preserve"> </w:t>
      </w:r>
      <w:r w:rsidRPr="0031675F">
        <w:rPr>
          <w:spacing w:val="-1"/>
        </w:rPr>
        <w:t>Reef</w:t>
      </w:r>
      <w:r w:rsidRPr="0031675F">
        <w:t xml:space="preserve"> </w:t>
      </w:r>
      <w:r w:rsidRPr="0031675F">
        <w:rPr>
          <w:spacing w:val="-1"/>
        </w:rPr>
        <w:t>Rescue</w:t>
      </w:r>
      <w:r w:rsidRPr="0031675F">
        <w:rPr>
          <w:spacing w:val="-2"/>
        </w:rPr>
        <w:t xml:space="preserve"> </w:t>
      </w:r>
      <w:r w:rsidRPr="0031675F">
        <w:rPr>
          <w:spacing w:val="-1"/>
        </w:rPr>
        <w:t>MMP</w:t>
      </w:r>
      <w:r w:rsidRPr="0031675F">
        <w:rPr>
          <w:spacing w:val="-2"/>
        </w:rPr>
        <w:t xml:space="preserve"> </w:t>
      </w:r>
      <w:r w:rsidRPr="0031675F">
        <w:t>see</w:t>
      </w:r>
      <w:r w:rsidRPr="0031675F">
        <w:rPr>
          <w:spacing w:val="1"/>
        </w:rPr>
        <w:t xml:space="preserve"> </w:t>
      </w:r>
      <w:r w:rsidRPr="0031675F">
        <w:rPr>
          <w:spacing w:val="-1"/>
        </w:rPr>
        <w:t>Section A12.</w:t>
      </w:r>
    </w:p>
    <w:p w14:paraId="45A347AB" w14:textId="77777777" w:rsidR="0031675F" w:rsidRPr="0031675F" w:rsidRDefault="0031675F" w:rsidP="0031675F">
      <w:pPr>
        <w:spacing w:before="9"/>
        <w:rPr>
          <w:rFonts w:cs="Calibri"/>
          <w:sz w:val="21"/>
          <w:szCs w:val="21"/>
        </w:rPr>
      </w:pPr>
    </w:p>
    <w:p w14:paraId="2401488F" w14:textId="77777777" w:rsidR="0031675F" w:rsidRPr="0031675F" w:rsidRDefault="0031675F" w:rsidP="0031675F">
      <w:pPr>
        <w:widowControl w:val="0"/>
        <w:numPr>
          <w:ilvl w:val="1"/>
          <w:numId w:val="103"/>
        </w:numPr>
        <w:tabs>
          <w:tab w:val="left" w:pos="686"/>
        </w:tabs>
        <w:spacing w:before="0" w:after="0" w:line="240" w:lineRule="auto"/>
        <w:ind w:left="685"/>
        <w:jc w:val="both"/>
        <w:rPr>
          <w:rFonts w:eastAsia="Arial" w:cs="Arial"/>
          <w:sz w:val="24"/>
          <w:szCs w:val="24"/>
        </w:rPr>
      </w:pPr>
      <w:bookmarkStart w:id="672" w:name="_TOC_250031"/>
      <w:r w:rsidRPr="0031675F">
        <w:rPr>
          <w:b/>
          <w:sz w:val="24"/>
        </w:rPr>
        <w:t>Quality</w:t>
      </w:r>
      <w:r w:rsidRPr="0031675F">
        <w:rPr>
          <w:b/>
          <w:spacing w:val="-6"/>
          <w:sz w:val="24"/>
        </w:rPr>
        <w:t xml:space="preserve"> </w:t>
      </w:r>
      <w:r w:rsidRPr="0031675F">
        <w:rPr>
          <w:b/>
          <w:spacing w:val="-1"/>
          <w:sz w:val="24"/>
        </w:rPr>
        <w:t>control</w:t>
      </w:r>
      <w:bookmarkEnd w:id="672"/>
    </w:p>
    <w:p w14:paraId="60495CD4" w14:textId="77777777" w:rsidR="0031675F" w:rsidRPr="0031675F" w:rsidRDefault="0031675F" w:rsidP="0031675F">
      <w:pPr>
        <w:spacing w:before="20" w:after="120" w:line="538" w:lineRule="exact"/>
        <w:ind w:right="2176"/>
      </w:pPr>
      <w:r w:rsidRPr="0031675F">
        <w:t xml:space="preserve">QAQC </w:t>
      </w:r>
      <w:r w:rsidRPr="0031675F">
        <w:rPr>
          <w:spacing w:val="-1"/>
        </w:rPr>
        <w:t>tests</w:t>
      </w:r>
      <w:r w:rsidRPr="0031675F">
        <w:rPr>
          <w:spacing w:val="-3"/>
        </w:rPr>
        <w:t xml:space="preserve"> </w:t>
      </w:r>
      <w:r w:rsidRPr="0031675F">
        <w:rPr>
          <w:spacing w:val="-1"/>
        </w:rPr>
        <w:t>undertaken</w:t>
      </w:r>
      <w:r w:rsidRPr="0031675F">
        <w:t xml:space="preserve"> </w:t>
      </w:r>
      <w:r w:rsidRPr="0031675F">
        <w:rPr>
          <w:spacing w:val="-2"/>
        </w:rPr>
        <w:t>and</w:t>
      </w:r>
      <w:r w:rsidRPr="0031675F">
        <w:rPr>
          <w:spacing w:val="-1"/>
        </w:rPr>
        <w:t xml:space="preserve"> reporting as</w:t>
      </w:r>
      <w:r w:rsidRPr="0031675F">
        <w:t xml:space="preserve"> </w:t>
      </w:r>
      <w:r w:rsidRPr="0031675F">
        <w:rPr>
          <w:spacing w:val="-1"/>
        </w:rPr>
        <w:t>part</w:t>
      </w:r>
      <w:r w:rsidRPr="0031675F">
        <w:rPr>
          <w:spacing w:val="-2"/>
        </w:rPr>
        <w:t xml:space="preserve"> </w:t>
      </w:r>
      <w:r w:rsidRPr="0031675F">
        <w:t>of</w:t>
      </w:r>
      <w:r w:rsidRPr="0031675F">
        <w:rPr>
          <w:spacing w:val="-2"/>
        </w:rPr>
        <w:t xml:space="preserve"> </w:t>
      </w:r>
      <w:r w:rsidRPr="0031675F">
        <w:t xml:space="preserve">the </w:t>
      </w:r>
      <w:r w:rsidRPr="0031675F">
        <w:rPr>
          <w:spacing w:val="-1"/>
        </w:rPr>
        <w:t>data</w:t>
      </w:r>
      <w:r w:rsidRPr="0031675F">
        <w:t xml:space="preserve"> </w:t>
      </w:r>
      <w:r w:rsidRPr="0031675F">
        <w:rPr>
          <w:spacing w:val="-1"/>
        </w:rPr>
        <w:t>reporting include:</w:t>
      </w:r>
      <w:r w:rsidRPr="0031675F">
        <w:rPr>
          <w:spacing w:val="61"/>
        </w:rPr>
        <w:t xml:space="preserve"> </w:t>
      </w: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limit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detection (LOD)</w:t>
      </w:r>
    </w:p>
    <w:p w14:paraId="797B2AC5" w14:textId="77777777" w:rsidR="0031675F" w:rsidRPr="0031675F" w:rsidRDefault="0031675F" w:rsidP="0031675F">
      <w:pPr>
        <w:spacing w:line="220" w:lineRule="exact"/>
        <w:ind w:left="118"/>
        <w:jc w:val="both"/>
        <w:rPr>
          <w:rFonts w:cs="Calibri"/>
        </w:rPr>
      </w:pPr>
      <w:r w:rsidRPr="0031675F">
        <w:rPr>
          <w:i/>
          <w:spacing w:val="-1"/>
        </w:rPr>
        <w:t>NB:</w:t>
      </w:r>
      <w:r w:rsidRPr="0031675F">
        <w:rPr>
          <w:i/>
          <w:spacing w:val="38"/>
        </w:rPr>
        <w:t xml:space="preserve"> </w:t>
      </w:r>
      <w:r w:rsidRPr="0031675F">
        <w:rPr>
          <w:i/>
        </w:rPr>
        <w:t>the</w:t>
      </w:r>
      <w:r w:rsidRPr="0031675F">
        <w:rPr>
          <w:i/>
          <w:spacing w:val="38"/>
        </w:rPr>
        <w:t xml:space="preserve"> </w:t>
      </w:r>
      <w:r w:rsidRPr="0031675F">
        <w:rPr>
          <w:i/>
          <w:spacing w:val="-1"/>
        </w:rPr>
        <w:t>Limit</w:t>
      </w:r>
      <w:r w:rsidRPr="0031675F">
        <w:rPr>
          <w:i/>
          <w:spacing w:val="39"/>
        </w:rPr>
        <w:t xml:space="preserve"> </w:t>
      </w:r>
      <w:r w:rsidRPr="0031675F">
        <w:rPr>
          <w:i/>
          <w:spacing w:val="-1"/>
        </w:rPr>
        <w:t>of</w:t>
      </w:r>
      <w:r w:rsidRPr="0031675F">
        <w:rPr>
          <w:i/>
          <w:spacing w:val="35"/>
        </w:rPr>
        <w:t xml:space="preserve"> </w:t>
      </w:r>
      <w:r w:rsidRPr="0031675F">
        <w:rPr>
          <w:i/>
          <w:spacing w:val="-1"/>
        </w:rPr>
        <w:t>Detection</w:t>
      </w:r>
      <w:r w:rsidRPr="0031675F">
        <w:rPr>
          <w:i/>
          <w:spacing w:val="38"/>
        </w:rPr>
        <w:t xml:space="preserve"> </w:t>
      </w:r>
      <w:r w:rsidRPr="0031675F">
        <w:rPr>
          <w:i/>
          <w:spacing w:val="-1"/>
        </w:rPr>
        <w:t>(LOD)</w:t>
      </w:r>
      <w:r w:rsidRPr="0031675F">
        <w:rPr>
          <w:i/>
          <w:spacing w:val="39"/>
        </w:rPr>
        <w:t xml:space="preserve"> </w:t>
      </w:r>
      <w:r w:rsidRPr="0031675F">
        <w:rPr>
          <w:i/>
          <w:spacing w:val="-1"/>
        </w:rPr>
        <w:t>or</w:t>
      </w:r>
      <w:r w:rsidRPr="0031675F">
        <w:rPr>
          <w:i/>
          <w:spacing w:val="39"/>
        </w:rPr>
        <w:t xml:space="preserve"> </w:t>
      </w:r>
      <w:r w:rsidRPr="0031675F">
        <w:rPr>
          <w:i/>
          <w:spacing w:val="-1"/>
        </w:rPr>
        <w:t>detection</w:t>
      </w:r>
      <w:r w:rsidRPr="0031675F">
        <w:rPr>
          <w:i/>
          <w:spacing w:val="36"/>
        </w:rPr>
        <w:t xml:space="preserve"> </w:t>
      </w:r>
      <w:r w:rsidRPr="0031675F">
        <w:rPr>
          <w:i/>
          <w:spacing w:val="-1"/>
        </w:rPr>
        <w:t>limit,</w:t>
      </w:r>
      <w:r w:rsidRPr="0031675F">
        <w:rPr>
          <w:i/>
          <w:spacing w:val="36"/>
        </w:rPr>
        <w:t xml:space="preserve"> </w:t>
      </w:r>
      <w:r w:rsidRPr="0031675F">
        <w:rPr>
          <w:i/>
        </w:rPr>
        <w:t>is</w:t>
      </w:r>
      <w:r w:rsidRPr="0031675F">
        <w:rPr>
          <w:i/>
          <w:spacing w:val="39"/>
        </w:rPr>
        <w:t xml:space="preserve"> </w:t>
      </w:r>
      <w:r w:rsidRPr="0031675F">
        <w:rPr>
          <w:i/>
        </w:rPr>
        <w:t>the</w:t>
      </w:r>
      <w:r w:rsidRPr="0031675F">
        <w:rPr>
          <w:i/>
          <w:spacing w:val="37"/>
        </w:rPr>
        <w:t xml:space="preserve"> </w:t>
      </w:r>
      <w:r w:rsidRPr="0031675F">
        <w:rPr>
          <w:i/>
          <w:spacing w:val="-1"/>
        </w:rPr>
        <w:t>lowest</w:t>
      </w:r>
      <w:r w:rsidRPr="0031675F">
        <w:rPr>
          <w:i/>
          <w:spacing w:val="39"/>
        </w:rPr>
        <w:t xml:space="preserve"> </w:t>
      </w:r>
      <w:r w:rsidRPr="0031675F">
        <w:rPr>
          <w:i/>
          <w:spacing w:val="-1"/>
        </w:rPr>
        <w:t>concentration</w:t>
      </w:r>
      <w:r w:rsidRPr="0031675F">
        <w:rPr>
          <w:i/>
          <w:spacing w:val="38"/>
        </w:rPr>
        <w:t xml:space="preserve"> </w:t>
      </w:r>
      <w:r w:rsidRPr="0031675F">
        <w:rPr>
          <w:i/>
        </w:rPr>
        <w:t>level</w:t>
      </w:r>
      <w:r w:rsidRPr="0031675F">
        <w:rPr>
          <w:i/>
          <w:spacing w:val="38"/>
        </w:rPr>
        <w:t xml:space="preserve"> </w:t>
      </w:r>
      <w:r w:rsidRPr="0031675F">
        <w:rPr>
          <w:i/>
          <w:spacing w:val="-1"/>
        </w:rPr>
        <w:t>that</w:t>
      </w:r>
      <w:r w:rsidRPr="0031675F">
        <w:rPr>
          <w:i/>
          <w:spacing w:val="38"/>
        </w:rPr>
        <w:t xml:space="preserve"> </w:t>
      </w:r>
      <w:r w:rsidRPr="0031675F">
        <w:rPr>
          <w:i/>
          <w:spacing w:val="-1"/>
        </w:rPr>
        <w:t>can</w:t>
      </w:r>
      <w:r w:rsidRPr="0031675F">
        <w:rPr>
          <w:i/>
          <w:spacing w:val="38"/>
        </w:rPr>
        <w:t xml:space="preserve"> </w:t>
      </w:r>
      <w:r w:rsidRPr="0031675F">
        <w:rPr>
          <w:i/>
          <w:spacing w:val="-1"/>
        </w:rPr>
        <w:t>be</w:t>
      </w:r>
    </w:p>
    <w:p w14:paraId="0524CE24" w14:textId="77777777" w:rsidR="0031675F" w:rsidRPr="0031675F" w:rsidRDefault="0031675F" w:rsidP="0031675F">
      <w:pPr>
        <w:ind w:left="118"/>
        <w:jc w:val="both"/>
        <w:rPr>
          <w:rFonts w:cs="Calibri"/>
        </w:rPr>
      </w:pPr>
      <w:r w:rsidRPr="0031675F">
        <w:rPr>
          <w:i/>
          <w:spacing w:val="-1"/>
        </w:rPr>
        <w:t xml:space="preserve">determined </w:t>
      </w:r>
      <w:r w:rsidRPr="0031675F">
        <w:rPr>
          <w:i/>
        </w:rPr>
        <w:t xml:space="preserve">to </w:t>
      </w:r>
      <w:r w:rsidRPr="0031675F">
        <w:rPr>
          <w:i/>
          <w:spacing w:val="-1"/>
        </w:rPr>
        <w:t>be</w:t>
      </w:r>
      <w:r w:rsidRPr="0031675F">
        <w:rPr>
          <w:i/>
          <w:spacing w:val="-3"/>
        </w:rPr>
        <w:t xml:space="preserve"> </w:t>
      </w:r>
      <w:r w:rsidRPr="0031675F">
        <w:rPr>
          <w:i/>
          <w:spacing w:val="-1"/>
        </w:rPr>
        <w:t>statistically different</w:t>
      </w:r>
      <w:r w:rsidRPr="0031675F">
        <w:rPr>
          <w:i/>
          <w:spacing w:val="-3"/>
        </w:rPr>
        <w:t xml:space="preserve"> </w:t>
      </w:r>
      <w:r w:rsidRPr="0031675F">
        <w:rPr>
          <w:i/>
          <w:spacing w:val="-1"/>
        </w:rPr>
        <w:t>from</w:t>
      </w:r>
      <w:r w:rsidRPr="0031675F">
        <w:rPr>
          <w:i/>
          <w:spacing w:val="1"/>
        </w:rPr>
        <w:t xml:space="preserve"> </w:t>
      </w:r>
      <w:r w:rsidRPr="0031675F">
        <w:rPr>
          <w:i/>
        </w:rPr>
        <w:t>a</w:t>
      </w:r>
      <w:r w:rsidRPr="0031675F">
        <w:rPr>
          <w:i/>
          <w:spacing w:val="2"/>
        </w:rPr>
        <w:t xml:space="preserve"> </w:t>
      </w:r>
      <w:r w:rsidRPr="0031675F">
        <w:rPr>
          <w:i/>
          <w:spacing w:val="-1"/>
        </w:rPr>
        <w:t>blank</w:t>
      </w:r>
      <w:r w:rsidRPr="0031675F">
        <w:rPr>
          <w:i/>
        </w:rPr>
        <w:t xml:space="preserve"> </w:t>
      </w:r>
      <w:r w:rsidRPr="0031675F">
        <w:rPr>
          <w:i/>
          <w:spacing w:val="-2"/>
        </w:rPr>
        <w:t>(99%</w:t>
      </w:r>
      <w:r w:rsidRPr="0031675F">
        <w:rPr>
          <w:i/>
          <w:spacing w:val="1"/>
        </w:rPr>
        <w:t xml:space="preserve"> </w:t>
      </w:r>
      <w:r w:rsidRPr="0031675F">
        <w:rPr>
          <w:i/>
          <w:spacing w:val="-1"/>
        </w:rPr>
        <w:t>confidence).</w:t>
      </w:r>
    </w:p>
    <w:p w14:paraId="7004F73E" w14:textId="77777777" w:rsidR="0031675F" w:rsidRPr="0031675F" w:rsidRDefault="0031675F" w:rsidP="0031675F">
      <w:pPr>
        <w:widowControl w:val="0"/>
        <w:numPr>
          <w:ilvl w:val="0"/>
          <w:numId w:val="106"/>
        </w:numPr>
        <w:tabs>
          <w:tab w:val="left" w:pos="403"/>
        </w:tabs>
        <w:spacing w:before="0" w:after="0" w:line="240" w:lineRule="auto"/>
        <w:ind w:left="402" w:hanging="284"/>
        <w:jc w:val="both"/>
      </w:pPr>
      <w:r w:rsidRPr="0031675F">
        <w:rPr>
          <w:spacing w:val="-1"/>
        </w:rPr>
        <w:t>Minimum</w:t>
      </w:r>
      <w:r w:rsidRPr="0031675F">
        <w:rPr>
          <w:spacing w:val="1"/>
        </w:rPr>
        <w:t xml:space="preserve"> </w:t>
      </w:r>
      <w:r w:rsidRPr="0031675F">
        <w:rPr>
          <w:spacing w:val="-1"/>
        </w:rPr>
        <w:t>detection limits</w:t>
      </w:r>
      <w:r w:rsidRPr="0031675F">
        <w:rPr>
          <w:spacing w:val="-5"/>
        </w:rPr>
        <w:t xml:space="preserve"> </w:t>
      </w:r>
      <w:r w:rsidRPr="0031675F">
        <w:t>were</w:t>
      </w:r>
      <w:r w:rsidRPr="0031675F">
        <w:rPr>
          <w:spacing w:val="-2"/>
        </w:rPr>
        <w:t xml:space="preserve"> </w:t>
      </w:r>
      <w:r w:rsidRPr="0031675F">
        <w:rPr>
          <w:spacing w:val="-1"/>
        </w:rPr>
        <w:t>calculated</w:t>
      </w:r>
      <w:r w:rsidRPr="0031675F">
        <w:t xml:space="preserve"> for</w:t>
      </w:r>
      <w:r w:rsidRPr="0031675F">
        <w:rPr>
          <w:spacing w:val="-3"/>
        </w:rPr>
        <w:t xml:space="preserve"> </w:t>
      </w:r>
      <w:r w:rsidRPr="0031675F">
        <w:rPr>
          <w:spacing w:val="-1"/>
        </w:rPr>
        <w:t>this</w:t>
      </w:r>
      <w:r w:rsidRPr="0031675F">
        <w:rPr>
          <w:spacing w:val="-3"/>
        </w:rPr>
        <w:t xml:space="preserve"> </w:t>
      </w:r>
      <w:r w:rsidRPr="0031675F">
        <w:rPr>
          <w:spacing w:val="-1"/>
        </w:rPr>
        <w:t xml:space="preserve">method using repetition </w:t>
      </w:r>
      <w:r w:rsidRPr="0031675F">
        <w:t>of</w:t>
      </w:r>
      <w:r w:rsidRPr="0031675F">
        <w:rPr>
          <w:spacing w:val="-3"/>
        </w:rPr>
        <w:t xml:space="preserve"> </w:t>
      </w:r>
      <w:r w:rsidRPr="0031675F">
        <w:rPr>
          <w:spacing w:val="-1"/>
        </w:rPr>
        <w:t>blanks.</w:t>
      </w:r>
    </w:p>
    <w:p w14:paraId="098E0042" w14:textId="77777777" w:rsidR="0031675F" w:rsidRPr="0031675F" w:rsidRDefault="0031675F" w:rsidP="0031675F">
      <w:pPr>
        <w:rPr>
          <w:rFonts w:cs="Calibri"/>
        </w:rPr>
      </w:pPr>
    </w:p>
    <w:p w14:paraId="27ACABD6" w14:textId="77777777" w:rsidR="0031675F" w:rsidRPr="0031675F" w:rsidRDefault="0031675F" w:rsidP="0031675F">
      <w:pPr>
        <w:spacing w:after="120"/>
        <w:jc w:val="both"/>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accuracy</w:t>
      </w:r>
      <w:r w:rsidRPr="0031675F">
        <w:rPr>
          <w:spacing w:val="-2"/>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analysis</w:t>
      </w:r>
    </w:p>
    <w:p w14:paraId="2648EBA3" w14:textId="77777777" w:rsidR="0031675F" w:rsidRPr="0031675F" w:rsidRDefault="0031675F" w:rsidP="0031675F">
      <w:pPr>
        <w:spacing w:before="2" w:line="238" w:lineRule="auto"/>
        <w:ind w:left="118" w:right="120"/>
        <w:rPr>
          <w:rFonts w:cs="Calibri"/>
        </w:rPr>
      </w:pPr>
      <w:r w:rsidRPr="0031675F">
        <w:rPr>
          <w:i/>
          <w:spacing w:val="-1"/>
        </w:rPr>
        <w:t>NB:</w:t>
      </w:r>
      <w:r w:rsidRPr="0031675F">
        <w:rPr>
          <w:i/>
          <w:spacing w:val="24"/>
        </w:rPr>
        <w:t xml:space="preserve"> </w:t>
      </w:r>
      <w:r w:rsidRPr="0031675F">
        <w:rPr>
          <w:i/>
          <w:spacing w:val="-1"/>
        </w:rPr>
        <w:t>This</w:t>
      </w:r>
      <w:r w:rsidRPr="0031675F">
        <w:rPr>
          <w:i/>
          <w:spacing w:val="24"/>
        </w:rPr>
        <w:t xml:space="preserve"> </w:t>
      </w:r>
      <w:r w:rsidRPr="0031675F">
        <w:rPr>
          <w:i/>
          <w:spacing w:val="-2"/>
        </w:rPr>
        <w:t>is</w:t>
      </w:r>
      <w:r w:rsidRPr="0031675F">
        <w:rPr>
          <w:i/>
          <w:spacing w:val="25"/>
        </w:rPr>
        <w:t xml:space="preserve"> </w:t>
      </w:r>
      <w:r w:rsidRPr="0031675F">
        <w:rPr>
          <w:i/>
          <w:spacing w:val="-1"/>
        </w:rPr>
        <w:t>generally</w:t>
      </w:r>
      <w:r w:rsidRPr="0031675F">
        <w:rPr>
          <w:i/>
          <w:spacing w:val="24"/>
        </w:rPr>
        <w:t xml:space="preserve"> </w:t>
      </w:r>
      <w:r w:rsidRPr="0031675F">
        <w:rPr>
          <w:i/>
          <w:spacing w:val="-1"/>
        </w:rPr>
        <w:t>achieved</w:t>
      </w:r>
      <w:r w:rsidRPr="0031675F">
        <w:rPr>
          <w:i/>
          <w:spacing w:val="23"/>
        </w:rPr>
        <w:t xml:space="preserve"> </w:t>
      </w:r>
      <w:r w:rsidRPr="0031675F">
        <w:rPr>
          <w:i/>
          <w:spacing w:val="-1"/>
        </w:rPr>
        <w:t>by</w:t>
      </w:r>
      <w:r w:rsidRPr="0031675F">
        <w:rPr>
          <w:i/>
          <w:spacing w:val="24"/>
        </w:rPr>
        <w:t xml:space="preserve"> </w:t>
      </w:r>
      <w:r w:rsidRPr="0031675F">
        <w:rPr>
          <w:i/>
          <w:spacing w:val="-1"/>
        </w:rPr>
        <w:t>using</w:t>
      </w:r>
      <w:r w:rsidRPr="0031675F">
        <w:rPr>
          <w:i/>
          <w:spacing w:val="23"/>
        </w:rPr>
        <w:t xml:space="preserve"> </w:t>
      </w:r>
      <w:r w:rsidRPr="0031675F">
        <w:rPr>
          <w:i/>
          <w:spacing w:val="-1"/>
        </w:rPr>
        <w:t>reference</w:t>
      </w:r>
      <w:r w:rsidRPr="0031675F">
        <w:rPr>
          <w:i/>
          <w:spacing w:val="22"/>
        </w:rPr>
        <w:t xml:space="preserve"> </w:t>
      </w:r>
      <w:r w:rsidRPr="0031675F">
        <w:rPr>
          <w:i/>
          <w:spacing w:val="-1"/>
        </w:rPr>
        <w:t>materials</w:t>
      </w:r>
      <w:r w:rsidRPr="0031675F">
        <w:rPr>
          <w:i/>
          <w:spacing w:val="22"/>
        </w:rPr>
        <w:t xml:space="preserve"> </w:t>
      </w:r>
      <w:r w:rsidRPr="0031675F">
        <w:rPr>
          <w:i/>
        </w:rPr>
        <w:t>to</w:t>
      </w:r>
      <w:r w:rsidRPr="0031675F">
        <w:rPr>
          <w:i/>
          <w:spacing w:val="24"/>
        </w:rPr>
        <w:t xml:space="preserve"> </w:t>
      </w:r>
      <w:r w:rsidRPr="0031675F">
        <w:rPr>
          <w:i/>
          <w:spacing w:val="-1"/>
        </w:rPr>
        <w:t>assess</w:t>
      </w:r>
      <w:r w:rsidRPr="0031675F">
        <w:rPr>
          <w:i/>
          <w:spacing w:val="22"/>
        </w:rPr>
        <w:t xml:space="preserve"> </w:t>
      </w:r>
      <w:r w:rsidRPr="0031675F">
        <w:rPr>
          <w:i/>
          <w:spacing w:val="-1"/>
        </w:rPr>
        <w:t>recovery</w:t>
      </w:r>
      <w:r w:rsidRPr="0031675F">
        <w:rPr>
          <w:i/>
          <w:spacing w:val="21"/>
        </w:rPr>
        <w:t xml:space="preserve"> </w:t>
      </w:r>
      <w:r w:rsidRPr="0031675F">
        <w:rPr>
          <w:i/>
          <w:spacing w:val="-1"/>
        </w:rPr>
        <w:t>of</w:t>
      </w:r>
      <w:r w:rsidRPr="0031675F">
        <w:rPr>
          <w:i/>
          <w:spacing w:val="23"/>
        </w:rPr>
        <w:t xml:space="preserve"> </w:t>
      </w:r>
      <w:r w:rsidRPr="0031675F">
        <w:rPr>
          <w:i/>
          <w:spacing w:val="-1"/>
        </w:rPr>
        <w:t>known</w:t>
      </w:r>
      <w:r w:rsidRPr="0031675F">
        <w:rPr>
          <w:i/>
          <w:spacing w:val="24"/>
        </w:rPr>
        <w:t xml:space="preserve"> </w:t>
      </w:r>
      <w:r w:rsidRPr="0031675F">
        <w:rPr>
          <w:i/>
          <w:spacing w:val="-1"/>
        </w:rPr>
        <w:t>amount</w:t>
      </w:r>
      <w:r w:rsidRPr="0031675F">
        <w:rPr>
          <w:i/>
          <w:spacing w:val="25"/>
        </w:rPr>
        <w:t xml:space="preserve"> </w:t>
      </w:r>
      <w:r w:rsidRPr="0031675F">
        <w:rPr>
          <w:i/>
          <w:spacing w:val="-2"/>
        </w:rPr>
        <w:t>of</w:t>
      </w:r>
      <w:r w:rsidRPr="0031675F">
        <w:rPr>
          <w:i/>
          <w:spacing w:val="73"/>
        </w:rPr>
        <w:t xml:space="preserve"> </w:t>
      </w:r>
      <w:r w:rsidRPr="0031675F">
        <w:rPr>
          <w:i/>
          <w:spacing w:val="-1"/>
        </w:rPr>
        <w:t>analyte..</w:t>
      </w:r>
    </w:p>
    <w:p w14:paraId="56849D36" w14:textId="77777777" w:rsidR="0031675F" w:rsidRPr="0031675F" w:rsidRDefault="0031675F" w:rsidP="0031675F">
      <w:pPr>
        <w:widowControl w:val="0"/>
        <w:numPr>
          <w:ilvl w:val="0"/>
          <w:numId w:val="106"/>
        </w:numPr>
        <w:tabs>
          <w:tab w:val="left" w:pos="403"/>
        </w:tabs>
        <w:spacing w:before="0" w:after="0" w:line="240" w:lineRule="auto"/>
        <w:ind w:left="402" w:right="111" w:hanging="284"/>
        <w:jc w:val="both"/>
      </w:pPr>
      <w:r w:rsidRPr="0031675F">
        <w:rPr>
          <w:spacing w:val="-1"/>
        </w:rPr>
        <w:t>There</w:t>
      </w:r>
      <w:r w:rsidRPr="0031675F">
        <w:rPr>
          <w:spacing w:val="41"/>
        </w:rPr>
        <w:t xml:space="preserve"> </w:t>
      </w:r>
      <w:r w:rsidRPr="0031675F">
        <w:t>is</w:t>
      </w:r>
      <w:r w:rsidRPr="0031675F">
        <w:rPr>
          <w:spacing w:val="41"/>
        </w:rPr>
        <w:t xml:space="preserve"> </w:t>
      </w:r>
      <w:r w:rsidRPr="0031675F">
        <w:rPr>
          <w:spacing w:val="-2"/>
        </w:rPr>
        <w:t>no</w:t>
      </w:r>
      <w:r w:rsidRPr="0031675F">
        <w:rPr>
          <w:spacing w:val="42"/>
        </w:rPr>
        <w:t xml:space="preserve"> </w:t>
      </w:r>
      <w:r w:rsidRPr="0031675F">
        <w:rPr>
          <w:spacing w:val="-1"/>
        </w:rPr>
        <w:t>certified</w:t>
      </w:r>
      <w:r w:rsidRPr="0031675F">
        <w:rPr>
          <w:spacing w:val="40"/>
        </w:rPr>
        <w:t xml:space="preserve"> </w:t>
      </w:r>
      <w:r w:rsidRPr="0031675F">
        <w:rPr>
          <w:spacing w:val="-1"/>
        </w:rPr>
        <w:t>reference</w:t>
      </w:r>
      <w:r w:rsidRPr="0031675F">
        <w:rPr>
          <w:spacing w:val="39"/>
        </w:rPr>
        <w:t xml:space="preserve"> </w:t>
      </w:r>
      <w:r w:rsidRPr="0031675F">
        <w:rPr>
          <w:spacing w:val="-1"/>
        </w:rPr>
        <w:t>material</w:t>
      </w:r>
      <w:r w:rsidRPr="0031675F">
        <w:rPr>
          <w:spacing w:val="41"/>
        </w:rPr>
        <w:t xml:space="preserve"> </w:t>
      </w:r>
      <w:r w:rsidRPr="0031675F">
        <w:rPr>
          <w:spacing w:val="-1"/>
        </w:rPr>
        <w:t>available</w:t>
      </w:r>
      <w:r w:rsidRPr="0031675F">
        <w:rPr>
          <w:spacing w:val="42"/>
        </w:rPr>
        <w:t xml:space="preserve"> </w:t>
      </w:r>
      <w:r w:rsidRPr="0031675F">
        <w:t>in</w:t>
      </w:r>
      <w:r w:rsidRPr="0031675F">
        <w:rPr>
          <w:spacing w:val="39"/>
        </w:rPr>
        <w:t xml:space="preserve"> </w:t>
      </w:r>
      <w:r w:rsidRPr="0031675F">
        <w:t>the</w:t>
      </w:r>
      <w:r w:rsidRPr="0031675F">
        <w:rPr>
          <w:spacing w:val="41"/>
        </w:rPr>
        <w:t xml:space="preserve"> </w:t>
      </w:r>
      <w:r w:rsidRPr="0031675F">
        <w:rPr>
          <w:spacing w:val="-1"/>
        </w:rPr>
        <w:t>particulate</w:t>
      </w:r>
      <w:r w:rsidRPr="0031675F">
        <w:rPr>
          <w:spacing w:val="42"/>
        </w:rPr>
        <w:t xml:space="preserve"> </w:t>
      </w:r>
      <w:r w:rsidRPr="0031675F">
        <w:rPr>
          <w:spacing w:val="-1"/>
        </w:rPr>
        <w:t>phosphorus</w:t>
      </w:r>
      <w:r w:rsidRPr="0031675F">
        <w:rPr>
          <w:spacing w:val="40"/>
        </w:rPr>
        <w:t xml:space="preserve"> </w:t>
      </w:r>
      <w:r w:rsidRPr="0031675F">
        <w:rPr>
          <w:spacing w:val="-1"/>
        </w:rPr>
        <w:t>concentration</w:t>
      </w:r>
      <w:r w:rsidRPr="0031675F">
        <w:rPr>
          <w:spacing w:val="63"/>
        </w:rPr>
        <w:t xml:space="preserve"> </w:t>
      </w:r>
      <w:r w:rsidRPr="0031675F">
        <w:rPr>
          <w:spacing w:val="-1"/>
        </w:rPr>
        <w:t>range</w:t>
      </w:r>
      <w:r w:rsidRPr="0031675F">
        <w:rPr>
          <w:spacing w:val="6"/>
        </w:rPr>
        <w:t xml:space="preserve"> </w:t>
      </w:r>
      <w:r w:rsidRPr="0031675F">
        <w:t>of</w:t>
      </w:r>
      <w:r w:rsidRPr="0031675F">
        <w:rPr>
          <w:spacing w:val="5"/>
        </w:rPr>
        <w:t xml:space="preserve"> </w:t>
      </w:r>
      <w:r w:rsidRPr="0031675F">
        <w:t>GBR</w:t>
      </w:r>
      <w:r w:rsidRPr="0031675F">
        <w:rPr>
          <w:spacing w:val="3"/>
        </w:rPr>
        <w:t xml:space="preserve"> </w:t>
      </w:r>
      <w:r w:rsidRPr="0031675F">
        <w:rPr>
          <w:spacing w:val="-1"/>
        </w:rPr>
        <w:t>marine</w:t>
      </w:r>
      <w:r w:rsidRPr="0031675F">
        <w:rPr>
          <w:spacing w:val="6"/>
        </w:rPr>
        <w:t xml:space="preserve"> </w:t>
      </w:r>
      <w:r w:rsidRPr="0031675F">
        <w:rPr>
          <w:spacing w:val="-1"/>
        </w:rPr>
        <w:t>samples.</w:t>
      </w:r>
      <w:r w:rsidRPr="0031675F">
        <w:rPr>
          <w:spacing w:val="5"/>
        </w:rPr>
        <w:t xml:space="preserve"> </w:t>
      </w:r>
      <w:r w:rsidRPr="0031675F">
        <w:rPr>
          <w:spacing w:val="-1"/>
        </w:rPr>
        <w:t>Hence,</w:t>
      </w:r>
      <w:r w:rsidRPr="0031675F">
        <w:rPr>
          <w:spacing w:val="6"/>
        </w:rPr>
        <w:t xml:space="preserve"> </w:t>
      </w:r>
      <w:r w:rsidRPr="0031675F">
        <w:rPr>
          <w:spacing w:val="-1"/>
        </w:rPr>
        <w:t>no</w:t>
      </w:r>
      <w:r w:rsidRPr="0031675F">
        <w:rPr>
          <w:spacing w:val="6"/>
        </w:rPr>
        <w:t xml:space="preserve"> </w:t>
      </w:r>
      <w:r w:rsidRPr="0031675F">
        <w:rPr>
          <w:spacing w:val="-1"/>
        </w:rPr>
        <w:t>direct</w:t>
      </w:r>
      <w:r w:rsidRPr="0031675F">
        <w:rPr>
          <w:spacing w:val="4"/>
        </w:rPr>
        <w:t xml:space="preserve"> </w:t>
      </w:r>
      <w:r w:rsidRPr="0031675F">
        <w:rPr>
          <w:spacing w:val="-1"/>
        </w:rPr>
        <w:t>assessment</w:t>
      </w:r>
      <w:r w:rsidRPr="0031675F">
        <w:rPr>
          <w:spacing w:val="3"/>
        </w:rPr>
        <w:t xml:space="preserve"> </w:t>
      </w:r>
      <w:r w:rsidRPr="0031675F">
        <w:t>of</w:t>
      </w:r>
      <w:r w:rsidRPr="0031675F">
        <w:rPr>
          <w:spacing w:val="5"/>
        </w:rPr>
        <w:t xml:space="preserve"> </w:t>
      </w:r>
      <w:r w:rsidRPr="0031675F">
        <w:rPr>
          <w:spacing w:val="-1"/>
        </w:rPr>
        <w:t>accuracy</w:t>
      </w:r>
      <w:r w:rsidRPr="0031675F">
        <w:rPr>
          <w:spacing w:val="6"/>
        </w:rPr>
        <w:t xml:space="preserve"> </w:t>
      </w:r>
      <w:r w:rsidRPr="0031675F">
        <w:t>is</w:t>
      </w:r>
      <w:r w:rsidRPr="0031675F">
        <w:rPr>
          <w:spacing w:val="3"/>
        </w:rPr>
        <w:t xml:space="preserve"> </w:t>
      </w:r>
      <w:r w:rsidRPr="0031675F">
        <w:rPr>
          <w:spacing w:val="-1"/>
        </w:rPr>
        <w:t>possible</w:t>
      </w:r>
      <w:r w:rsidRPr="0031675F">
        <w:rPr>
          <w:spacing w:val="6"/>
        </w:rPr>
        <w:t xml:space="preserve"> </w:t>
      </w:r>
      <w:r w:rsidRPr="0031675F">
        <w:rPr>
          <w:spacing w:val="-1"/>
        </w:rPr>
        <w:t>for</w:t>
      </w:r>
      <w:r w:rsidRPr="0031675F">
        <w:t xml:space="preserve"> </w:t>
      </w:r>
      <w:r w:rsidRPr="0031675F">
        <w:rPr>
          <w:spacing w:val="5"/>
        </w:rPr>
        <w:t xml:space="preserve"> </w:t>
      </w:r>
      <w:r w:rsidRPr="0031675F">
        <w:rPr>
          <w:spacing w:val="-1"/>
        </w:rPr>
        <w:t>this</w:t>
      </w:r>
      <w:r w:rsidRPr="0031675F">
        <w:rPr>
          <w:spacing w:val="67"/>
        </w:rPr>
        <w:t xml:space="preserve"> </w:t>
      </w:r>
      <w:r w:rsidRPr="0031675F">
        <w:rPr>
          <w:spacing w:val="-1"/>
        </w:rPr>
        <w:t>method.</w:t>
      </w:r>
      <w:r w:rsidRPr="0031675F">
        <w:rPr>
          <w:spacing w:val="2"/>
        </w:rPr>
        <w:t xml:space="preserve"> </w:t>
      </w:r>
      <w:r w:rsidRPr="0031675F">
        <w:t>As</w:t>
      </w:r>
      <w:r w:rsidRPr="0031675F">
        <w:rPr>
          <w:spacing w:val="2"/>
        </w:rPr>
        <w:t xml:space="preserve"> </w:t>
      </w:r>
      <w:r w:rsidRPr="0031675F">
        <w:t>an</w:t>
      </w:r>
      <w:r w:rsidRPr="0031675F">
        <w:rPr>
          <w:spacing w:val="2"/>
        </w:rPr>
        <w:t xml:space="preserve"> </w:t>
      </w:r>
      <w:r w:rsidRPr="0031675F">
        <w:rPr>
          <w:spacing w:val="-1"/>
        </w:rPr>
        <w:t>indirect</w:t>
      </w:r>
      <w:r w:rsidRPr="0031675F">
        <w:t xml:space="preserve"> </w:t>
      </w:r>
      <w:r w:rsidRPr="0031675F">
        <w:rPr>
          <w:spacing w:val="-1"/>
        </w:rPr>
        <w:t>assessment,</w:t>
      </w:r>
      <w:r w:rsidRPr="0031675F">
        <w:rPr>
          <w:spacing w:val="49"/>
        </w:rPr>
        <w:t xml:space="preserve"> </w:t>
      </w:r>
      <w:r w:rsidRPr="0031675F">
        <w:t>a</w:t>
      </w:r>
      <w:r w:rsidRPr="0031675F">
        <w:rPr>
          <w:spacing w:val="3"/>
        </w:rPr>
        <w:t xml:space="preserve"> </w:t>
      </w:r>
      <w:r w:rsidRPr="0031675F">
        <w:rPr>
          <w:spacing w:val="-1"/>
        </w:rPr>
        <w:t>set</w:t>
      </w:r>
      <w:r w:rsidRPr="0031675F">
        <w:rPr>
          <w:spacing w:val="2"/>
        </w:rPr>
        <w:t xml:space="preserve"> </w:t>
      </w:r>
      <w:r w:rsidRPr="0031675F">
        <w:t>of</w:t>
      </w:r>
      <w:r w:rsidRPr="0031675F">
        <w:rPr>
          <w:spacing w:val="3"/>
        </w:rPr>
        <w:t xml:space="preserve"> </w:t>
      </w:r>
      <w:r w:rsidRPr="0031675F">
        <w:rPr>
          <w:spacing w:val="-1"/>
        </w:rPr>
        <w:t>separate</w:t>
      </w:r>
      <w:r w:rsidRPr="0031675F">
        <w:rPr>
          <w:spacing w:val="4"/>
        </w:rPr>
        <w:t xml:space="preserve"> </w:t>
      </w:r>
      <w:r w:rsidRPr="0031675F">
        <w:rPr>
          <w:spacing w:val="-1"/>
        </w:rPr>
        <w:t>standards</w:t>
      </w:r>
      <w:r w:rsidRPr="0031675F">
        <w:rPr>
          <w:spacing w:val="3"/>
        </w:rPr>
        <w:t xml:space="preserve"> </w:t>
      </w:r>
      <w:r w:rsidRPr="0031675F">
        <w:t>is</w:t>
      </w:r>
      <w:r w:rsidRPr="0031675F">
        <w:rPr>
          <w:spacing w:val="3"/>
        </w:rPr>
        <w:t xml:space="preserve"> </w:t>
      </w:r>
      <w:r w:rsidRPr="0031675F">
        <w:rPr>
          <w:spacing w:val="-1"/>
        </w:rPr>
        <w:t>analysed</w:t>
      </w:r>
      <w:r w:rsidRPr="0031675F">
        <w:t xml:space="preserve">  to</w:t>
      </w:r>
      <w:r w:rsidRPr="0031675F">
        <w:rPr>
          <w:spacing w:val="4"/>
        </w:rPr>
        <w:t xml:space="preserve"> </w:t>
      </w:r>
      <w:r w:rsidRPr="0031675F">
        <w:rPr>
          <w:spacing w:val="-1"/>
        </w:rPr>
        <w:t>determine</w:t>
      </w:r>
      <w:r w:rsidRPr="0031675F">
        <w:rPr>
          <w:spacing w:val="4"/>
        </w:rPr>
        <w:t xml:space="preserve"> </w:t>
      </w:r>
      <w:r w:rsidRPr="0031675F">
        <w:t>a</w:t>
      </w:r>
      <w:r w:rsidRPr="0031675F">
        <w:rPr>
          <w:spacing w:val="45"/>
        </w:rPr>
        <w:t xml:space="preserve"> </w:t>
      </w:r>
      <w:r w:rsidRPr="0031675F">
        <w:rPr>
          <w:spacing w:val="-1"/>
        </w:rPr>
        <w:t>method</w:t>
      </w:r>
      <w:r w:rsidRPr="0031675F">
        <w:rPr>
          <w:spacing w:val="18"/>
        </w:rPr>
        <w:t xml:space="preserve"> </w:t>
      </w:r>
      <w:r w:rsidRPr="0031675F">
        <w:rPr>
          <w:spacing w:val="-1"/>
        </w:rPr>
        <w:t>efficiency</w:t>
      </w:r>
      <w:r w:rsidRPr="0031675F">
        <w:rPr>
          <w:spacing w:val="22"/>
        </w:rPr>
        <w:t xml:space="preserve"> </w:t>
      </w:r>
      <w:r w:rsidRPr="0031675F">
        <w:rPr>
          <w:spacing w:val="-1"/>
        </w:rPr>
        <w:t>factor</w:t>
      </w:r>
      <w:r w:rsidRPr="0031675F">
        <w:rPr>
          <w:spacing w:val="19"/>
        </w:rPr>
        <w:t xml:space="preserve"> </w:t>
      </w:r>
      <w:r w:rsidRPr="0031675F">
        <w:rPr>
          <w:spacing w:val="-1"/>
        </w:rPr>
        <w:t>for</w:t>
      </w:r>
      <w:r w:rsidRPr="0031675F">
        <w:rPr>
          <w:spacing w:val="21"/>
        </w:rPr>
        <w:t xml:space="preserve"> </w:t>
      </w:r>
      <w:r w:rsidRPr="0031675F">
        <w:rPr>
          <w:spacing w:val="-1"/>
        </w:rPr>
        <w:t>each</w:t>
      </w:r>
      <w:r w:rsidRPr="0031675F">
        <w:rPr>
          <w:spacing w:val="21"/>
        </w:rPr>
        <w:t xml:space="preserve"> </w:t>
      </w:r>
      <w:r w:rsidRPr="0031675F">
        <w:rPr>
          <w:spacing w:val="-1"/>
        </w:rPr>
        <w:t>analytical</w:t>
      </w:r>
      <w:r w:rsidRPr="0031675F">
        <w:rPr>
          <w:spacing w:val="22"/>
        </w:rPr>
        <w:t xml:space="preserve"> </w:t>
      </w:r>
      <w:r w:rsidRPr="0031675F">
        <w:rPr>
          <w:spacing w:val="-1"/>
        </w:rPr>
        <w:t>batch.</w:t>
      </w:r>
      <w:r w:rsidRPr="0031675F">
        <w:rPr>
          <w:spacing w:val="21"/>
        </w:rPr>
        <w:t xml:space="preserve"> </w:t>
      </w:r>
      <w:r w:rsidRPr="0031675F">
        <w:rPr>
          <w:spacing w:val="-1"/>
        </w:rPr>
        <w:t>Analytical</w:t>
      </w:r>
      <w:r w:rsidRPr="0031675F">
        <w:rPr>
          <w:spacing w:val="21"/>
        </w:rPr>
        <w:t xml:space="preserve"> </w:t>
      </w:r>
      <w:r w:rsidRPr="0031675F">
        <w:rPr>
          <w:spacing w:val="-1"/>
        </w:rPr>
        <w:t>data</w:t>
      </w:r>
      <w:r w:rsidRPr="0031675F">
        <w:rPr>
          <w:spacing w:val="22"/>
        </w:rPr>
        <w:t xml:space="preserve"> </w:t>
      </w:r>
      <w:r w:rsidRPr="0031675F">
        <w:t>are</w:t>
      </w:r>
      <w:r w:rsidRPr="0031675F">
        <w:rPr>
          <w:spacing w:val="19"/>
        </w:rPr>
        <w:t xml:space="preserve"> </w:t>
      </w:r>
      <w:r w:rsidRPr="0031675F">
        <w:rPr>
          <w:spacing w:val="-1"/>
        </w:rPr>
        <w:t>adjusted</w:t>
      </w:r>
      <w:r w:rsidRPr="0031675F">
        <w:rPr>
          <w:spacing w:val="21"/>
        </w:rPr>
        <w:t xml:space="preserve"> </w:t>
      </w:r>
      <w:r w:rsidRPr="0031675F">
        <w:rPr>
          <w:spacing w:val="-1"/>
        </w:rPr>
        <w:t>using</w:t>
      </w:r>
      <w:r w:rsidRPr="0031675F">
        <w:rPr>
          <w:spacing w:val="21"/>
        </w:rPr>
        <w:t xml:space="preserve"> </w:t>
      </w:r>
      <w:r w:rsidRPr="0031675F">
        <w:t>the</w:t>
      </w:r>
      <w:r w:rsidRPr="0031675F">
        <w:rPr>
          <w:spacing w:val="22"/>
        </w:rPr>
        <w:t xml:space="preserve"> </w:t>
      </w:r>
      <w:r w:rsidRPr="0031675F">
        <w:t>batch-</w:t>
      </w:r>
      <w:r w:rsidRPr="0031675F">
        <w:rPr>
          <w:spacing w:val="63"/>
        </w:rPr>
        <w:t xml:space="preserve"> </w:t>
      </w:r>
      <w:r w:rsidRPr="0031675F">
        <w:rPr>
          <w:spacing w:val="-1"/>
        </w:rPr>
        <w:t>specific</w:t>
      </w:r>
      <w:r w:rsidRPr="0031675F">
        <w:t xml:space="preserve"> </w:t>
      </w:r>
      <w:r w:rsidRPr="0031675F">
        <w:rPr>
          <w:spacing w:val="-1"/>
        </w:rPr>
        <w:t>efficiency</w:t>
      </w:r>
      <w:r w:rsidRPr="0031675F">
        <w:t xml:space="preserve"> </w:t>
      </w:r>
      <w:r w:rsidRPr="0031675F">
        <w:rPr>
          <w:spacing w:val="-1"/>
        </w:rPr>
        <w:t>factor.</w:t>
      </w:r>
    </w:p>
    <w:p w14:paraId="38900805" w14:textId="77777777" w:rsidR="0031675F" w:rsidRPr="0031675F" w:rsidRDefault="0031675F" w:rsidP="0031675F">
      <w:pPr>
        <w:rPr>
          <w:rFonts w:cs="Calibri"/>
        </w:rPr>
      </w:pPr>
    </w:p>
    <w:p w14:paraId="089074C5" w14:textId="77777777" w:rsidR="0031675F" w:rsidRPr="0031675F" w:rsidRDefault="0031675F" w:rsidP="0031675F">
      <w:pPr>
        <w:spacing w:after="120"/>
        <w:jc w:val="both"/>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1"/>
          <w:u w:val="single" w:color="000000"/>
        </w:rPr>
        <w:t xml:space="preserve"> precision </w:t>
      </w:r>
      <w:r w:rsidRPr="0031675F">
        <w:rPr>
          <w:u w:val="single" w:color="000000"/>
        </w:rPr>
        <w:t>of</w:t>
      </w:r>
      <w:r w:rsidRPr="0031675F">
        <w:rPr>
          <w:spacing w:val="-5"/>
          <w:u w:val="single" w:color="000000"/>
        </w:rPr>
        <w:t xml:space="preserve"> </w:t>
      </w:r>
      <w:r w:rsidRPr="0031675F">
        <w:rPr>
          <w:u w:val="single" w:color="000000"/>
        </w:rPr>
        <w:t>the</w:t>
      </w:r>
      <w:r w:rsidRPr="0031675F">
        <w:rPr>
          <w:spacing w:val="-1"/>
          <w:u w:val="single" w:color="000000"/>
        </w:rPr>
        <w:t xml:space="preserve"> analysis</w:t>
      </w:r>
    </w:p>
    <w:p w14:paraId="28DC71F3" w14:textId="77777777" w:rsidR="0031675F" w:rsidRPr="0031675F" w:rsidRDefault="0031675F" w:rsidP="0031675F">
      <w:pPr>
        <w:ind w:left="118" w:right="120"/>
        <w:rPr>
          <w:rFonts w:cs="Calibri"/>
        </w:rPr>
      </w:pPr>
      <w:r w:rsidRPr="0031675F">
        <w:rPr>
          <w:i/>
          <w:spacing w:val="-1"/>
        </w:rPr>
        <w:t>NB:</w:t>
      </w:r>
      <w:r w:rsidRPr="0031675F">
        <w:rPr>
          <w:i/>
          <w:spacing w:val="3"/>
        </w:rPr>
        <w:t xml:space="preserve"> </w:t>
      </w:r>
      <w:r w:rsidRPr="0031675F">
        <w:rPr>
          <w:i/>
          <w:spacing w:val="-1"/>
        </w:rPr>
        <w:t>This</w:t>
      </w:r>
      <w:r w:rsidRPr="0031675F">
        <w:rPr>
          <w:i/>
          <w:spacing w:val="3"/>
        </w:rPr>
        <w:t xml:space="preserve"> </w:t>
      </w:r>
      <w:r w:rsidRPr="0031675F">
        <w:rPr>
          <w:i/>
        </w:rPr>
        <w:t>is</w:t>
      </w:r>
      <w:r w:rsidRPr="0031675F">
        <w:rPr>
          <w:i/>
          <w:spacing w:val="2"/>
        </w:rPr>
        <w:t xml:space="preserve"> </w:t>
      </w:r>
      <w:r w:rsidRPr="0031675F">
        <w:rPr>
          <w:i/>
          <w:spacing w:val="-1"/>
        </w:rPr>
        <w:t>generally</w:t>
      </w:r>
      <w:r w:rsidRPr="0031675F">
        <w:rPr>
          <w:i/>
          <w:spacing w:val="2"/>
        </w:rPr>
        <w:t xml:space="preserve"> </w:t>
      </w:r>
      <w:r w:rsidRPr="0031675F">
        <w:rPr>
          <w:i/>
          <w:spacing w:val="-1"/>
        </w:rPr>
        <w:t>achieved</w:t>
      </w:r>
      <w:r w:rsidRPr="0031675F">
        <w:rPr>
          <w:i/>
          <w:spacing w:val="1"/>
        </w:rPr>
        <w:t xml:space="preserve"> </w:t>
      </w:r>
      <w:r w:rsidRPr="0031675F">
        <w:rPr>
          <w:i/>
          <w:spacing w:val="-1"/>
        </w:rPr>
        <w:t>by</w:t>
      </w:r>
      <w:r w:rsidRPr="0031675F">
        <w:rPr>
          <w:i/>
          <w:spacing w:val="2"/>
        </w:rPr>
        <w:t xml:space="preserve"> </w:t>
      </w:r>
      <w:r w:rsidRPr="0031675F">
        <w:rPr>
          <w:i/>
        </w:rPr>
        <w:t>the</w:t>
      </w:r>
      <w:r w:rsidRPr="0031675F">
        <w:rPr>
          <w:i/>
          <w:spacing w:val="2"/>
        </w:rPr>
        <w:t xml:space="preserve"> </w:t>
      </w:r>
      <w:r w:rsidRPr="0031675F">
        <w:rPr>
          <w:i/>
          <w:spacing w:val="-1"/>
        </w:rPr>
        <w:t>repeated</w:t>
      </w:r>
      <w:r w:rsidRPr="0031675F">
        <w:rPr>
          <w:i/>
          <w:spacing w:val="2"/>
        </w:rPr>
        <w:t xml:space="preserve"> </w:t>
      </w:r>
      <w:r w:rsidRPr="0031675F">
        <w:rPr>
          <w:i/>
          <w:spacing w:val="-1"/>
        </w:rPr>
        <w:t>analyses</w:t>
      </w:r>
      <w:r w:rsidRPr="0031675F">
        <w:rPr>
          <w:i/>
          <w:spacing w:val="3"/>
        </w:rPr>
        <w:t xml:space="preserve"> </w:t>
      </w:r>
      <w:r w:rsidRPr="0031675F">
        <w:rPr>
          <w:i/>
          <w:spacing w:val="-1"/>
        </w:rPr>
        <w:t>of</w:t>
      </w:r>
      <w:r w:rsidRPr="0031675F">
        <w:rPr>
          <w:i/>
          <w:spacing w:val="5"/>
        </w:rPr>
        <w:t xml:space="preserve"> </w:t>
      </w:r>
      <w:r w:rsidRPr="0031675F">
        <w:rPr>
          <w:i/>
        </w:rPr>
        <w:t>the</w:t>
      </w:r>
      <w:r w:rsidRPr="0031675F">
        <w:rPr>
          <w:i/>
          <w:spacing w:val="2"/>
        </w:rPr>
        <w:t xml:space="preserve"> </w:t>
      </w:r>
      <w:r w:rsidRPr="0031675F">
        <w:rPr>
          <w:i/>
          <w:spacing w:val="-1"/>
        </w:rPr>
        <w:t>same</w:t>
      </w:r>
      <w:r w:rsidRPr="0031675F">
        <w:rPr>
          <w:i/>
          <w:spacing w:val="3"/>
        </w:rPr>
        <w:t xml:space="preserve"> </w:t>
      </w:r>
      <w:r w:rsidRPr="0031675F">
        <w:rPr>
          <w:i/>
          <w:spacing w:val="-1"/>
        </w:rPr>
        <w:t>concentration</w:t>
      </w:r>
      <w:r w:rsidRPr="0031675F">
        <w:rPr>
          <w:i/>
          <w:spacing w:val="2"/>
        </w:rPr>
        <w:t xml:space="preserve"> </w:t>
      </w:r>
      <w:r w:rsidRPr="0031675F">
        <w:rPr>
          <w:i/>
          <w:spacing w:val="-1"/>
        </w:rPr>
        <w:t>of</w:t>
      </w:r>
      <w:r w:rsidRPr="0031675F">
        <w:rPr>
          <w:i/>
          <w:spacing w:val="2"/>
        </w:rPr>
        <w:t xml:space="preserve"> </w:t>
      </w:r>
      <w:r w:rsidRPr="0031675F">
        <w:rPr>
          <w:i/>
          <w:spacing w:val="-1"/>
        </w:rPr>
        <w:t>analyte</w:t>
      </w:r>
      <w:r w:rsidRPr="0031675F">
        <w:rPr>
          <w:i/>
          <w:spacing w:val="3"/>
        </w:rPr>
        <w:t xml:space="preserve"> </w:t>
      </w:r>
      <w:r w:rsidRPr="0031675F">
        <w:rPr>
          <w:i/>
        </w:rPr>
        <w:t>to</w:t>
      </w:r>
      <w:r w:rsidRPr="0031675F">
        <w:rPr>
          <w:i/>
          <w:spacing w:val="2"/>
        </w:rPr>
        <w:t xml:space="preserve"> </w:t>
      </w:r>
      <w:r w:rsidRPr="0031675F">
        <w:rPr>
          <w:i/>
          <w:spacing w:val="-1"/>
        </w:rPr>
        <w:t>check</w:t>
      </w:r>
      <w:r w:rsidRPr="0031675F">
        <w:rPr>
          <w:i/>
          <w:spacing w:val="61"/>
        </w:rPr>
        <w:t xml:space="preserve"> </w:t>
      </w:r>
      <w:r w:rsidRPr="0031675F">
        <w:rPr>
          <w:i/>
          <w:spacing w:val="-1"/>
        </w:rPr>
        <w:t>for</w:t>
      </w:r>
      <w:r w:rsidRPr="0031675F">
        <w:rPr>
          <w:i/>
        </w:rPr>
        <w:t xml:space="preserve"> </w:t>
      </w:r>
      <w:r w:rsidRPr="0031675F">
        <w:rPr>
          <w:i/>
          <w:spacing w:val="-1"/>
        </w:rPr>
        <w:t>reproducibility.</w:t>
      </w:r>
    </w:p>
    <w:p w14:paraId="2C0C3C96" w14:textId="77777777" w:rsidR="0031675F" w:rsidRPr="0031675F" w:rsidRDefault="0031675F" w:rsidP="0031675F">
      <w:pPr>
        <w:widowControl w:val="0"/>
        <w:numPr>
          <w:ilvl w:val="0"/>
          <w:numId w:val="106"/>
        </w:numPr>
        <w:tabs>
          <w:tab w:val="left" w:pos="403"/>
        </w:tabs>
        <w:spacing w:before="0" w:after="0" w:line="266" w:lineRule="exact"/>
        <w:ind w:left="402" w:hanging="284"/>
        <w:jc w:val="both"/>
      </w:pPr>
      <w:r w:rsidRPr="0031675F">
        <w:rPr>
          <w:spacing w:val="-1"/>
        </w:rPr>
        <w:t>Repeated</w:t>
      </w:r>
      <w:r w:rsidRPr="0031675F">
        <w:t xml:space="preserve"> </w:t>
      </w:r>
      <w:r w:rsidRPr="0031675F">
        <w:rPr>
          <w:spacing w:val="-1"/>
        </w:rPr>
        <w:t>analysis</w:t>
      </w:r>
      <w:r w:rsidRPr="0031675F">
        <w:rPr>
          <w:spacing w:val="-3"/>
        </w:rPr>
        <w:t xml:space="preserve"> </w:t>
      </w:r>
      <w:r w:rsidRPr="0031675F">
        <w:t>of</w:t>
      </w:r>
      <w:r w:rsidRPr="0031675F">
        <w:rPr>
          <w:spacing w:val="-3"/>
        </w:rPr>
        <w:t xml:space="preserve"> </w:t>
      </w:r>
      <w:r w:rsidRPr="0031675F">
        <w:rPr>
          <w:spacing w:val="-1"/>
        </w:rPr>
        <w:t>replicate</w:t>
      </w:r>
      <w:r w:rsidRPr="0031675F">
        <w:t xml:space="preserve"> </w:t>
      </w:r>
      <w:r w:rsidRPr="0031675F">
        <w:rPr>
          <w:spacing w:val="-1"/>
        </w:rPr>
        <w:t>standards</w:t>
      </w:r>
    </w:p>
    <w:p w14:paraId="6C7D2101" w14:textId="77777777" w:rsidR="0031675F" w:rsidRPr="0031675F" w:rsidRDefault="0031675F" w:rsidP="0031675F">
      <w:pPr>
        <w:spacing w:before="1"/>
        <w:rPr>
          <w:rFonts w:cs="Calibri"/>
        </w:rPr>
      </w:pPr>
    </w:p>
    <w:p w14:paraId="17680D64" w14:textId="77777777" w:rsidR="0031675F" w:rsidRPr="0031675F" w:rsidRDefault="0031675F" w:rsidP="0031675F">
      <w:pPr>
        <w:spacing w:after="120"/>
        <w:jc w:val="both"/>
      </w:pPr>
      <w:r w:rsidRPr="0031675F">
        <w:rPr>
          <w:spacing w:val="-1"/>
          <w:u w:val="single" w:color="000000"/>
        </w:rPr>
        <w:t>Procedural blanks:</w:t>
      </w:r>
    </w:p>
    <w:p w14:paraId="0DD669B5" w14:textId="77777777" w:rsidR="0031675F" w:rsidRPr="0031675F" w:rsidRDefault="0031675F" w:rsidP="0031675F">
      <w:pPr>
        <w:widowControl w:val="0"/>
        <w:numPr>
          <w:ilvl w:val="0"/>
          <w:numId w:val="106"/>
        </w:numPr>
        <w:tabs>
          <w:tab w:val="left" w:pos="403"/>
        </w:tabs>
        <w:spacing w:before="0" w:after="0" w:line="240" w:lineRule="auto"/>
        <w:ind w:left="402" w:right="120" w:hanging="284"/>
      </w:pPr>
      <w:r w:rsidRPr="0031675F">
        <w:rPr>
          <w:spacing w:val="-1"/>
        </w:rPr>
        <w:t>Filter</w:t>
      </w:r>
      <w:r w:rsidRPr="0031675F">
        <w:rPr>
          <w:spacing w:val="24"/>
        </w:rPr>
        <w:t xml:space="preserve"> </w:t>
      </w:r>
      <w:r w:rsidRPr="0031675F">
        <w:rPr>
          <w:spacing w:val="-1"/>
        </w:rPr>
        <w:t>blanks</w:t>
      </w:r>
      <w:r w:rsidRPr="0031675F">
        <w:rPr>
          <w:spacing w:val="22"/>
        </w:rPr>
        <w:t xml:space="preserve"> </w:t>
      </w:r>
      <w:r w:rsidRPr="0031675F">
        <w:t>are</w:t>
      </w:r>
      <w:r w:rsidRPr="0031675F">
        <w:rPr>
          <w:spacing w:val="22"/>
        </w:rPr>
        <w:t xml:space="preserve"> </w:t>
      </w:r>
      <w:r w:rsidRPr="0031675F">
        <w:rPr>
          <w:spacing w:val="-1"/>
        </w:rPr>
        <w:t>run</w:t>
      </w:r>
      <w:r w:rsidRPr="0031675F">
        <w:rPr>
          <w:spacing w:val="23"/>
        </w:rPr>
        <w:t xml:space="preserve"> </w:t>
      </w:r>
      <w:r w:rsidRPr="0031675F">
        <w:t>with</w:t>
      </w:r>
      <w:r w:rsidRPr="0031675F">
        <w:rPr>
          <w:spacing w:val="19"/>
        </w:rPr>
        <w:t xml:space="preserve"> </w:t>
      </w:r>
      <w:r w:rsidRPr="0031675F">
        <w:rPr>
          <w:spacing w:val="-1"/>
        </w:rPr>
        <w:t>every</w:t>
      </w:r>
      <w:r w:rsidRPr="0031675F">
        <w:rPr>
          <w:spacing w:val="24"/>
        </w:rPr>
        <w:t xml:space="preserve"> </w:t>
      </w:r>
      <w:r w:rsidRPr="0031675F">
        <w:rPr>
          <w:spacing w:val="-1"/>
        </w:rPr>
        <w:t>batch</w:t>
      </w:r>
      <w:r w:rsidRPr="0031675F">
        <w:rPr>
          <w:spacing w:val="24"/>
        </w:rPr>
        <w:t xml:space="preserve"> </w:t>
      </w:r>
      <w:r w:rsidRPr="0031675F">
        <w:rPr>
          <w:spacing w:val="-1"/>
        </w:rPr>
        <w:t>(generally</w:t>
      </w:r>
      <w:r w:rsidRPr="0031675F">
        <w:rPr>
          <w:spacing w:val="23"/>
        </w:rPr>
        <w:t xml:space="preserve"> </w:t>
      </w:r>
      <w:r w:rsidRPr="0031675F">
        <w:rPr>
          <w:spacing w:val="-1"/>
        </w:rPr>
        <w:t>daily).</w:t>
      </w:r>
      <w:r w:rsidRPr="0031675F">
        <w:rPr>
          <w:spacing w:val="24"/>
        </w:rPr>
        <w:t xml:space="preserve"> </w:t>
      </w:r>
      <w:r w:rsidRPr="0031675F">
        <w:rPr>
          <w:spacing w:val="-1"/>
        </w:rPr>
        <w:t>These</w:t>
      </w:r>
      <w:r w:rsidRPr="0031675F">
        <w:rPr>
          <w:spacing w:val="22"/>
        </w:rPr>
        <w:t xml:space="preserve"> </w:t>
      </w:r>
      <w:r w:rsidRPr="0031675F">
        <w:t>are</w:t>
      </w:r>
      <w:r w:rsidRPr="0031675F">
        <w:rPr>
          <w:spacing w:val="24"/>
        </w:rPr>
        <w:t xml:space="preserve"> </w:t>
      </w:r>
      <w:r w:rsidRPr="0031675F">
        <w:rPr>
          <w:spacing w:val="-1"/>
        </w:rPr>
        <w:t>used</w:t>
      </w:r>
      <w:r w:rsidRPr="0031675F">
        <w:rPr>
          <w:spacing w:val="24"/>
        </w:rPr>
        <w:t xml:space="preserve"> </w:t>
      </w:r>
      <w:r w:rsidRPr="0031675F">
        <w:t>as</w:t>
      </w:r>
      <w:r w:rsidRPr="0031675F">
        <w:rPr>
          <w:spacing w:val="22"/>
        </w:rPr>
        <w:t xml:space="preserve"> </w:t>
      </w:r>
      <w:r w:rsidRPr="0031675F">
        <w:rPr>
          <w:spacing w:val="-1"/>
        </w:rPr>
        <w:t>blank</w:t>
      </w:r>
      <w:r w:rsidRPr="0031675F">
        <w:rPr>
          <w:spacing w:val="24"/>
        </w:rPr>
        <w:t xml:space="preserve"> </w:t>
      </w:r>
      <w:r w:rsidRPr="0031675F">
        <w:rPr>
          <w:spacing w:val="-1"/>
        </w:rPr>
        <w:t>readings</w:t>
      </w:r>
      <w:r w:rsidRPr="0031675F">
        <w:rPr>
          <w:spacing w:val="24"/>
        </w:rPr>
        <w:t xml:space="preserve"> </w:t>
      </w:r>
      <w:r w:rsidRPr="0031675F">
        <w:t>in</w:t>
      </w:r>
      <w:r w:rsidRPr="0031675F">
        <w:rPr>
          <w:spacing w:val="20"/>
        </w:rPr>
        <w:t xml:space="preserve"> </w:t>
      </w:r>
      <w:r w:rsidRPr="0031675F">
        <w:t>the</w:t>
      </w:r>
      <w:r w:rsidRPr="0031675F">
        <w:rPr>
          <w:spacing w:val="49"/>
        </w:rPr>
        <w:t xml:space="preserve"> </w:t>
      </w:r>
      <w:r w:rsidRPr="0031675F">
        <w:rPr>
          <w:spacing w:val="-1"/>
        </w:rPr>
        <w:t>calculation</w:t>
      </w:r>
      <w:r w:rsidRPr="0031675F">
        <w:rPr>
          <w:spacing w:val="-3"/>
        </w:rPr>
        <w:t xml:space="preserve"> </w:t>
      </w:r>
      <w:r w:rsidRPr="0031675F">
        <w:t xml:space="preserve">of </w:t>
      </w:r>
      <w:r w:rsidRPr="0031675F">
        <w:rPr>
          <w:spacing w:val="-1"/>
        </w:rPr>
        <w:t>analytical</w:t>
      </w:r>
      <w:r w:rsidRPr="0031675F">
        <w:rPr>
          <w:spacing w:val="-3"/>
        </w:rPr>
        <w:t xml:space="preserve"> </w:t>
      </w:r>
      <w:r w:rsidRPr="0031675F">
        <w:rPr>
          <w:spacing w:val="-1"/>
        </w:rPr>
        <w:t>results.</w:t>
      </w:r>
    </w:p>
    <w:p w14:paraId="75A1F6F4" w14:textId="77777777" w:rsidR="0031675F" w:rsidRPr="0031675F" w:rsidRDefault="0031675F" w:rsidP="0031675F">
      <w:pPr>
        <w:widowControl w:val="0"/>
        <w:numPr>
          <w:ilvl w:val="0"/>
          <w:numId w:val="106"/>
        </w:numPr>
        <w:tabs>
          <w:tab w:val="left" w:pos="403"/>
        </w:tabs>
        <w:spacing w:before="0" w:after="0" w:line="240" w:lineRule="auto"/>
        <w:ind w:left="402" w:right="114" w:hanging="284"/>
        <w:jc w:val="both"/>
      </w:pPr>
      <w:r w:rsidRPr="0031675F">
        <w:t>Wet</w:t>
      </w:r>
      <w:r w:rsidRPr="0031675F">
        <w:rPr>
          <w:spacing w:val="22"/>
        </w:rPr>
        <w:t xml:space="preserve"> </w:t>
      </w:r>
      <w:r w:rsidRPr="0031675F">
        <w:rPr>
          <w:spacing w:val="-1"/>
        </w:rPr>
        <w:t>filter</w:t>
      </w:r>
      <w:r w:rsidRPr="0031675F">
        <w:rPr>
          <w:spacing w:val="21"/>
        </w:rPr>
        <w:t xml:space="preserve"> </w:t>
      </w:r>
      <w:r w:rsidRPr="0031675F">
        <w:rPr>
          <w:spacing w:val="-1"/>
        </w:rPr>
        <w:t>blanks</w:t>
      </w:r>
      <w:r w:rsidRPr="0031675F">
        <w:rPr>
          <w:spacing w:val="19"/>
        </w:rPr>
        <w:t xml:space="preserve"> </w:t>
      </w:r>
      <w:r w:rsidRPr="0031675F">
        <w:rPr>
          <w:spacing w:val="-1"/>
        </w:rPr>
        <w:t>(filter</w:t>
      </w:r>
      <w:r w:rsidRPr="0031675F">
        <w:rPr>
          <w:spacing w:val="22"/>
        </w:rPr>
        <w:t xml:space="preserve"> </w:t>
      </w:r>
      <w:r w:rsidRPr="0031675F">
        <w:rPr>
          <w:spacing w:val="-1"/>
        </w:rPr>
        <w:t>placed</w:t>
      </w:r>
      <w:r w:rsidRPr="0031675F">
        <w:rPr>
          <w:spacing w:val="21"/>
        </w:rPr>
        <w:t xml:space="preserve"> </w:t>
      </w:r>
      <w:r w:rsidRPr="0031675F">
        <w:t>on</w:t>
      </w:r>
      <w:r w:rsidRPr="0031675F">
        <w:rPr>
          <w:spacing w:val="21"/>
        </w:rPr>
        <w:t xml:space="preserve"> </w:t>
      </w:r>
      <w:r w:rsidRPr="0031675F">
        <w:rPr>
          <w:spacing w:val="-1"/>
        </w:rPr>
        <w:t>filtration</w:t>
      </w:r>
      <w:r w:rsidRPr="0031675F">
        <w:rPr>
          <w:spacing w:val="21"/>
        </w:rPr>
        <w:t xml:space="preserve"> </w:t>
      </w:r>
      <w:r w:rsidRPr="0031675F">
        <w:rPr>
          <w:spacing w:val="-1"/>
        </w:rPr>
        <w:t>unit</w:t>
      </w:r>
      <w:r w:rsidRPr="0031675F">
        <w:rPr>
          <w:spacing w:val="21"/>
        </w:rPr>
        <w:t xml:space="preserve"> </w:t>
      </w:r>
      <w:r w:rsidRPr="0031675F">
        <w:rPr>
          <w:spacing w:val="-1"/>
        </w:rPr>
        <w:t>and</w:t>
      </w:r>
      <w:r w:rsidRPr="0031675F">
        <w:rPr>
          <w:spacing w:val="21"/>
        </w:rPr>
        <w:t xml:space="preserve"> </w:t>
      </w:r>
      <w:r w:rsidRPr="0031675F">
        <w:rPr>
          <w:spacing w:val="-1"/>
        </w:rPr>
        <w:t>wetted</w:t>
      </w:r>
      <w:r w:rsidRPr="0031675F">
        <w:rPr>
          <w:spacing w:val="21"/>
        </w:rPr>
        <w:t xml:space="preserve"> </w:t>
      </w:r>
      <w:r w:rsidRPr="0031675F">
        <w:rPr>
          <w:spacing w:val="-1"/>
        </w:rPr>
        <w:t>with</w:t>
      </w:r>
      <w:r w:rsidRPr="0031675F">
        <w:rPr>
          <w:spacing w:val="21"/>
        </w:rPr>
        <w:t xml:space="preserve"> </w:t>
      </w:r>
      <w:r w:rsidRPr="0031675F">
        <w:rPr>
          <w:spacing w:val="-1"/>
        </w:rPr>
        <w:t>filtered</w:t>
      </w:r>
      <w:r w:rsidRPr="0031675F">
        <w:rPr>
          <w:spacing w:val="21"/>
        </w:rPr>
        <w:t xml:space="preserve"> </w:t>
      </w:r>
      <w:r w:rsidRPr="0031675F">
        <w:rPr>
          <w:spacing w:val="-1"/>
        </w:rPr>
        <w:t>seawater,</w:t>
      </w:r>
      <w:r w:rsidRPr="0031675F">
        <w:rPr>
          <w:spacing w:val="21"/>
        </w:rPr>
        <w:t xml:space="preserve"> </w:t>
      </w:r>
      <w:r w:rsidRPr="0031675F">
        <w:rPr>
          <w:spacing w:val="-1"/>
        </w:rPr>
        <w:t>then</w:t>
      </w:r>
      <w:r w:rsidRPr="0031675F">
        <w:rPr>
          <w:spacing w:val="21"/>
        </w:rPr>
        <w:t xml:space="preserve"> </w:t>
      </w:r>
      <w:r w:rsidRPr="0031675F">
        <w:rPr>
          <w:spacing w:val="-1"/>
        </w:rPr>
        <w:t>further</w:t>
      </w:r>
      <w:r w:rsidRPr="0031675F">
        <w:rPr>
          <w:spacing w:val="61"/>
        </w:rPr>
        <w:t xml:space="preserve"> </w:t>
      </w:r>
      <w:r w:rsidRPr="0031675F">
        <w:rPr>
          <w:spacing w:val="-1"/>
        </w:rPr>
        <w:t>handled</w:t>
      </w:r>
      <w:r w:rsidRPr="0031675F">
        <w:rPr>
          <w:spacing w:val="17"/>
        </w:rPr>
        <w:t xml:space="preserve"> </w:t>
      </w:r>
      <w:r w:rsidRPr="0031675F">
        <w:rPr>
          <w:spacing w:val="-1"/>
        </w:rPr>
        <w:t>like</w:t>
      </w:r>
      <w:r w:rsidRPr="0031675F">
        <w:rPr>
          <w:spacing w:val="18"/>
        </w:rPr>
        <w:t xml:space="preserve"> </w:t>
      </w:r>
      <w:r w:rsidRPr="0031675F">
        <w:rPr>
          <w:spacing w:val="-1"/>
        </w:rPr>
        <w:t>samples)</w:t>
      </w:r>
      <w:r w:rsidRPr="0031675F">
        <w:rPr>
          <w:spacing w:val="15"/>
        </w:rPr>
        <w:t xml:space="preserve"> </w:t>
      </w:r>
      <w:r w:rsidRPr="0031675F">
        <w:rPr>
          <w:spacing w:val="-1"/>
        </w:rPr>
        <w:t>were</w:t>
      </w:r>
      <w:r w:rsidRPr="0031675F">
        <w:rPr>
          <w:spacing w:val="18"/>
        </w:rPr>
        <w:t xml:space="preserve"> </w:t>
      </w:r>
      <w:r w:rsidRPr="0031675F">
        <w:rPr>
          <w:spacing w:val="-1"/>
        </w:rPr>
        <w:t>prepared</w:t>
      </w:r>
      <w:r w:rsidRPr="0031675F">
        <w:rPr>
          <w:spacing w:val="17"/>
        </w:rPr>
        <w:t xml:space="preserve"> </w:t>
      </w:r>
      <w:r w:rsidRPr="0031675F">
        <w:rPr>
          <w:spacing w:val="-1"/>
        </w:rPr>
        <w:t>during</w:t>
      </w:r>
      <w:r w:rsidRPr="0031675F">
        <w:rPr>
          <w:spacing w:val="17"/>
        </w:rPr>
        <w:t xml:space="preserve"> </w:t>
      </w:r>
      <w:r w:rsidRPr="0031675F">
        <w:t>the</w:t>
      </w:r>
      <w:r w:rsidRPr="0031675F">
        <w:rPr>
          <w:spacing w:val="18"/>
        </w:rPr>
        <w:t xml:space="preserve"> </w:t>
      </w:r>
      <w:r w:rsidRPr="0031675F">
        <w:t>on-board</w:t>
      </w:r>
      <w:r w:rsidRPr="0031675F">
        <w:rPr>
          <w:spacing w:val="16"/>
        </w:rPr>
        <w:t xml:space="preserve"> </w:t>
      </w:r>
      <w:r w:rsidRPr="0031675F">
        <w:rPr>
          <w:spacing w:val="-1"/>
        </w:rPr>
        <w:t>sample</w:t>
      </w:r>
      <w:r w:rsidRPr="0031675F">
        <w:rPr>
          <w:spacing w:val="18"/>
        </w:rPr>
        <w:t xml:space="preserve"> </w:t>
      </w:r>
      <w:r w:rsidRPr="0031675F">
        <w:rPr>
          <w:spacing w:val="-1"/>
        </w:rPr>
        <w:t>preparation</w:t>
      </w:r>
      <w:r w:rsidRPr="0031675F">
        <w:rPr>
          <w:spacing w:val="17"/>
        </w:rPr>
        <w:t xml:space="preserve"> </w:t>
      </w:r>
      <w:r w:rsidRPr="0031675F">
        <w:t>to</w:t>
      </w:r>
      <w:r w:rsidRPr="0031675F">
        <w:rPr>
          <w:spacing w:val="17"/>
        </w:rPr>
        <w:t xml:space="preserve"> </w:t>
      </w:r>
      <w:r w:rsidRPr="0031675F">
        <w:rPr>
          <w:spacing w:val="-1"/>
        </w:rPr>
        <w:t>measure</w:t>
      </w:r>
      <w:r w:rsidRPr="0031675F">
        <w:rPr>
          <w:spacing w:val="65"/>
        </w:rPr>
        <w:t xml:space="preserve"> </w:t>
      </w:r>
      <w:r w:rsidRPr="0031675F">
        <w:rPr>
          <w:spacing w:val="-1"/>
        </w:rPr>
        <w:t>contamination during the</w:t>
      </w:r>
      <w:r w:rsidRPr="0031675F">
        <w:t xml:space="preserve"> </w:t>
      </w:r>
      <w:r w:rsidRPr="0031675F">
        <w:rPr>
          <w:spacing w:val="-1"/>
        </w:rPr>
        <w:t>preparation procedure</w:t>
      </w:r>
    </w:p>
    <w:p w14:paraId="618BE34D" w14:textId="77777777" w:rsidR="0031675F" w:rsidRPr="0031675F" w:rsidRDefault="0031675F" w:rsidP="0031675F">
      <w:pPr>
        <w:rPr>
          <w:rFonts w:cs="Calibri"/>
        </w:rPr>
      </w:pPr>
    </w:p>
    <w:p w14:paraId="4E9BFA22" w14:textId="77777777" w:rsidR="0031675F" w:rsidRPr="0031675F" w:rsidRDefault="0031675F" w:rsidP="0031675F">
      <w:pPr>
        <w:spacing w:after="120" w:line="267" w:lineRule="exact"/>
        <w:jc w:val="both"/>
      </w:pPr>
      <w:r w:rsidRPr="0031675F">
        <w:rPr>
          <w:spacing w:val="-1"/>
          <w:u w:val="single" w:color="000000"/>
        </w:rPr>
        <w:t>Reproducibility</w:t>
      </w:r>
      <w:r w:rsidRPr="0031675F">
        <w:rPr>
          <w:u w:val="single" w:color="000000"/>
        </w:rPr>
        <w:t xml:space="preserve"> of</w:t>
      </w:r>
      <w:r w:rsidRPr="0031675F">
        <w:rPr>
          <w:spacing w:val="-3"/>
          <w:u w:val="single" w:color="000000"/>
        </w:rPr>
        <w:t xml:space="preserve"> </w:t>
      </w:r>
      <w:r w:rsidRPr="0031675F">
        <w:rPr>
          <w:spacing w:val="-1"/>
          <w:u w:val="single" w:color="000000"/>
        </w:rPr>
        <w:t>duplicate</w:t>
      </w:r>
      <w:r w:rsidRPr="0031675F">
        <w:rPr>
          <w:u w:val="single" w:color="000000"/>
        </w:rPr>
        <w:t xml:space="preserve"> </w:t>
      </w:r>
      <w:r w:rsidRPr="0031675F">
        <w:rPr>
          <w:spacing w:val="-1"/>
          <w:u w:val="single" w:color="000000"/>
        </w:rPr>
        <w:t>analytical units</w:t>
      </w:r>
    </w:p>
    <w:p w14:paraId="50D7B92D" w14:textId="77777777" w:rsidR="0031675F" w:rsidRPr="0031675F" w:rsidRDefault="0031675F" w:rsidP="0031675F">
      <w:pPr>
        <w:ind w:left="118" w:right="114"/>
        <w:jc w:val="both"/>
        <w:rPr>
          <w:rFonts w:cs="Calibri"/>
        </w:rPr>
      </w:pPr>
      <w:r w:rsidRPr="0031675F">
        <w:rPr>
          <w:i/>
          <w:spacing w:val="-1"/>
        </w:rPr>
        <w:t>NB:</w:t>
      </w:r>
      <w:r w:rsidRPr="0031675F">
        <w:rPr>
          <w:i/>
          <w:spacing w:val="20"/>
        </w:rPr>
        <w:t xml:space="preserve"> </w:t>
      </w:r>
      <w:r w:rsidRPr="0031675F">
        <w:rPr>
          <w:i/>
          <w:spacing w:val="-1"/>
        </w:rPr>
        <w:t>The</w:t>
      </w:r>
      <w:r w:rsidRPr="0031675F">
        <w:rPr>
          <w:i/>
          <w:spacing w:val="19"/>
        </w:rPr>
        <w:t xml:space="preserve"> </w:t>
      </w:r>
      <w:r w:rsidRPr="0031675F">
        <w:rPr>
          <w:i/>
          <w:spacing w:val="-1"/>
        </w:rPr>
        <w:t>variation</w:t>
      </w:r>
      <w:r w:rsidRPr="0031675F">
        <w:rPr>
          <w:i/>
          <w:spacing w:val="18"/>
        </w:rPr>
        <w:t xml:space="preserve"> </w:t>
      </w:r>
      <w:r w:rsidRPr="0031675F">
        <w:rPr>
          <w:i/>
          <w:spacing w:val="-1"/>
        </w:rPr>
        <w:t>between</w:t>
      </w:r>
      <w:r w:rsidRPr="0031675F">
        <w:rPr>
          <w:i/>
          <w:spacing w:val="17"/>
        </w:rPr>
        <w:t xml:space="preserve"> </w:t>
      </w:r>
      <w:r w:rsidRPr="0031675F">
        <w:rPr>
          <w:i/>
          <w:spacing w:val="-1"/>
        </w:rPr>
        <w:t>results</w:t>
      </w:r>
      <w:r w:rsidRPr="0031675F">
        <w:rPr>
          <w:i/>
          <w:spacing w:val="20"/>
        </w:rPr>
        <w:t xml:space="preserve"> </w:t>
      </w:r>
      <w:r w:rsidRPr="0031675F">
        <w:rPr>
          <w:i/>
          <w:spacing w:val="-1"/>
        </w:rPr>
        <w:t>for</w:t>
      </w:r>
      <w:r w:rsidRPr="0031675F">
        <w:rPr>
          <w:i/>
          <w:spacing w:val="17"/>
        </w:rPr>
        <w:t xml:space="preserve"> </w:t>
      </w:r>
      <w:r w:rsidRPr="0031675F">
        <w:rPr>
          <w:i/>
          <w:spacing w:val="-1"/>
        </w:rPr>
        <w:t>sample</w:t>
      </w:r>
      <w:r w:rsidRPr="0031675F">
        <w:rPr>
          <w:i/>
          <w:spacing w:val="19"/>
        </w:rPr>
        <w:t xml:space="preserve"> </w:t>
      </w:r>
      <w:r w:rsidRPr="0031675F">
        <w:rPr>
          <w:i/>
          <w:spacing w:val="-1"/>
        </w:rPr>
        <w:t>duplicates</w:t>
      </w:r>
      <w:r w:rsidRPr="0031675F">
        <w:rPr>
          <w:i/>
          <w:spacing w:val="20"/>
        </w:rPr>
        <w:t xml:space="preserve"> </w:t>
      </w:r>
      <w:r w:rsidRPr="0031675F">
        <w:rPr>
          <w:i/>
          <w:spacing w:val="-1"/>
        </w:rPr>
        <w:t>indicates</w:t>
      </w:r>
      <w:r w:rsidRPr="0031675F">
        <w:rPr>
          <w:i/>
          <w:spacing w:val="18"/>
        </w:rPr>
        <w:t xml:space="preserve"> </w:t>
      </w:r>
      <w:r w:rsidRPr="0031675F">
        <w:rPr>
          <w:i/>
        </w:rPr>
        <w:t>the</w:t>
      </w:r>
      <w:r w:rsidRPr="0031675F">
        <w:rPr>
          <w:i/>
          <w:spacing w:val="19"/>
        </w:rPr>
        <w:t xml:space="preserve"> </w:t>
      </w:r>
      <w:r w:rsidRPr="0031675F">
        <w:rPr>
          <w:i/>
          <w:spacing w:val="-1"/>
        </w:rPr>
        <w:t>reproducibility</w:t>
      </w:r>
      <w:r w:rsidRPr="0031675F">
        <w:rPr>
          <w:i/>
          <w:spacing w:val="19"/>
        </w:rPr>
        <w:t xml:space="preserve"> </w:t>
      </w:r>
      <w:r w:rsidRPr="0031675F">
        <w:rPr>
          <w:i/>
          <w:spacing w:val="-1"/>
        </w:rPr>
        <w:t>of</w:t>
      </w:r>
      <w:r w:rsidRPr="0031675F">
        <w:rPr>
          <w:i/>
          <w:spacing w:val="18"/>
        </w:rPr>
        <w:t xml:space="preserve"> </w:t>
      </w:r>
      <w:r w:rsidRPr="0031675F">
        <w:rPr>
          <w:i/>
        </w:rPr>
        <w:t>the</w:t>
      </w:r>
      <w:r w:rsidRPr="0031675F">
        <w:rPr>
          <w:i/>
          <w:spacing w:val="19"/>
        </w:rPr>
        <w:t xml:space="preserve"> </w:t>
      </w:r>
      <w:r w:rsidRPr="0031675F">
        <w:rPr>
          <w:i/>
          <w:spacing w:val="-1"/>
        </w:rPr>
        <w:t>analysis</w:t>
      </w:r>
      <w:r w:rsidRPr="0031675F">
        <w:rPr>
          <w:i/>
          <w:spacing w:val="54"/>
        </w:rPr>
        <w:t xml:space="preserve"> </w:t>
      </w:r>
      <w:r w:rsidRPr="0031675F">
        <w:rPr>
          <w:i/>
          <w:spacing w:val="-1"/>
        </w:rPr>
        <w:t>and also</w:t>
      </w:r>
      <w:r w:rsidRPr="0031675F">
        <w:rPr>
          <w:i/>
        </w:rPr>
        <w:t xml:space="preserve"> the effects</w:t>
      </w:r>
      <w:r w:rsidRPr="0031675F">
        <w:rPr>
          <w:i/>
          <w:spacing w:val="-1"/>
        </w:rPr>
        <w:t xml:space="preserve"> of</w:t>
      </w:r>
      <w:r w:rsidRPr="0031675F">
        <w:rPr>
          <w:i/>
        </w:rPr>
        <w:t xml:space="preserve"> </w:t>
      </w:r>
      <w:r w:rsidRPr="0031675F">
        <w:rPr>
          <w:i/>
          <w:spacing w:val="-1"/>
        </w:rPr>
        <w:t>various</w:t>
      </w:r>
      <w:r w:rsidRPr="0031675F">
        <w:rPr>
          <w:i/>
          <w:spacing w:val="1"/>
        </w:rPr>
        <w:t xml:space="preserve"> </w:t>
      </w:r>
      <w:r w:rsidRPr="0031675F">
        <w:rPr>
          <w:i/>
          <w:spacing w:val="-1"/>
        </w:rPr>
        <w:t>sources</w:t>
      </w:r>
      <w:r w:rsidRPr="0031675F">
        <w:rPr>
          <w:i/>
          <w:spacing w:val="1"/>
        </w:rPr>
        <w:t xml:space="preserve"> </w:t>
      </w:r>
      <w:r w:rsidRPr="0031675F">
        <w:rPr>
          <w:i/>
          <w:spacing w:val="-1"/>
        </w:rPr>
        <w:t>of</w:t>
      </w:r>
      <w:r w:rsidRPr="0031675F">
        <w:rPr>
          <w:i/>
        </w:rPr>
        <w:t xml:space="preserve"> </w:t>
      </w:r>
      <w:r w:rsidRPr="0031675F">
        <w:rPr>
          <w:i/>
          <w:spacing w:val="-1"/>
        </w:rPr>
        <w:t>contamination and</w:t>
      </w:r>
      <w:r w:rsidRPr="0031675F">
        <w:rPr>
          <w:i/>
          <w:spacing w:val="1"/>
        </w:rPr>
        <w:t xml:space="preserve"> </w:t>
      </w:r>
      <w:r w:rsidRPr="0031675F">
        <w:rPr>
          <w:i/>
          <w:spacing w:val="-1"/>
        </w:rPr>
        <w:t>analytical</w:t>
      </w:r>
      <w:r w:rsidRPr="0031675F">
        <w:rPr>
          <w:i/>
        </w:rPr>
        <w:t xml:space="preserve"> error</w:t>
      </w:r>
      <w:r w:rsidRPr="0031675F">
        <w:rPr>
          <w:i/>
          <w:spacing w:val="1"/>
        </w:rPr>
        <w:t xml:space="preserve"> </w:t>
      </w:r>
      <w:r w:rsidRPr="0031675F">
        <w:rPr>
          <w:i/>
          <w:spacing w:val="-1"/>
        </w:rPr>
        <w:t>during collection,</w:t>
      </w:r>
      <w:r w:rsidRPr="0031675F">
        <w:rPr>
          <w:i/>
        </w:rPr>
        <w:t xml:space="preserve"> </w:t>
      </w:r>
      <w:r w:rsidRPr="0031675F">
        <w:rPr>
          <w:i/>
          <w:spacing w:val="-1"/>
        </w:rPr>
        <w:t>sample</w:t>
      </w:r>
      <w:r w:rsidRPr="0031675F">
        <w:rPr>
          <w:i/>
          <w:spacing w:val="69"/>
        </w:rPr>
        <w:t xml:space="preserve"> </w:t>
      </w:r>
      <w:r w:rsidRPr="0031675F">
        <w:rPr>
          <w:i/>
          <w:spacing w:val="-1"/>
        </w:rPr>
        <w:t>preparation and analyses.</w:t>
      </w:r>
      <w:r w:rsidRPr="0031675F">
        <w:rPr>
          <w:i/>
          <w:spacing w:val="-5"/>
        </w:rPr>
        <w:t xml:space="preserve"> </w:t>
      </w:r>
      <w:r w:rsidRPr="0031675F">
        <w:rPr>
          <w:i/>
          <w:spacing w:val="-1"/>
        </w:rPr>
        <w:t>Before</w:t>
      </w:r>
      <w:r w:rsidRPr="0031675F">
        <w:rPr>
          <w:i/>
        </w:rPr>
        <w:t xml:space="preserve"> </w:t>
      </w:r>
      <w:r w:rsidRPr="0031675F">
        <w:rPr>
          <w:i/>
          <w:spacing w:val="-1"/>
        </w:rPr>
        <w:t>data</w:t>
      </w:r>
      <w:r w:rsidRPr="0031675F">
        <w:rPr>
          <w:i/>
          <w:spacing w:val="-3"/>
        </w:rPr>
        <w:t xml:space="preserve"> </w:t>
      </w:r>
      <w:r w:rsidRPr="0031675F">
        <w:rPr>
          <w:i/>
          <w:spacing w:val="-1"/>
        </w:rPr>
        <w:t>analysis, results</w:t>
      </w:r>
      <w:r w:rsidRPr="0031675F">
        <w:rPr>
          <w:i/>
          <w:spacing w:val="1"/>
        </w:rPr>
        <w:t xml:space="preserve"> </w:t>
      </w:r>
      <w:r w:rsidRPr="0031675F">
        <w:rPr>
          <w:i/>
          <w:spacing w:val="-1"/>
        </w:rPr>
        <w:t>are</w:t>
      </w:r>
      <w:r w:rsidRPr="0031675F">
        <w:rPr>
          <w:i/>
          <w:spacing w:val="-3"/>
        </w:rPr>
        <w:t xml:space="preserve"> </w:t>
      </w:r>
      <w:r w:rsidRPr="0031675F">
        <w:rPr>
          <w:i/>
          <w:spacing w:val="-1"/>
        </w:rPr>
        <w:t>generally</w:t>
      </w:r>
      <w:r w:rsidRPr="0031675F">
        <w:rPr>
          <w:i/>
        </w:rPr>
        <w:t xml:space="preserve"> </w:t>
      </w:r>
      <w:r w:rsidRPr="0031675F">
        <w:rPr>
          <w:i/>
          <w:spacing w:val="-1"/>
        </w:rPr>
        <w:t>averaged</w:t>
      </w:r>
      <w:r w:rsidRPr="0031675F">
        <w:rPr>
          <w:i/>
        </w:rPr>
        <w:t xml:space="preserve"> </w:t>
      </w:r>
      <w:r w:rsidRPr="0031675F">
        <w:rPr>
          <w:i/>
          <w:spacing w:val="-2"/>
        </w:rPr>
        <w:t>over</w:t>
      </w:r>
      <w:r w:rsidRPr="0031675F">
        <w:rPr>
          <w:i/>
          <w:spacing w:val="1"/>
        </w:rPr>
        <w:t xml:space="preserve"> </w:t>
      </w:r>
      <w:r w:rsidRPr="0031675F">
        <w:rPr>
          <w:i/>
          <w:spacing w:val="-1"/>
        </w:rPr>
        <w:t>duplicates.</w:t>
      </w:r>
    </w:p>
    <w:p w14:paraId="7EE7D07B" w14:textId="77777777" w:rsidR="0031675F" w:rsidRPr="0031675F" w:rsidRDefault="0031675F" w:rsidP="0031675F">
      <w:pPr>
        <w:widowControl w:val="0"/>
        <w:numPr>
          <w:ilvl w:val="0"/>
          <w:numId w:val="106"/>
        </w:numPr>
        <w:tabs>
          <w:tab w:val="left" w:pos="403"/>
        </w:tabs>
        <w:spacing w:before="0" w:after="0" w:line="240" w:lineRule="auto"/>
        <w:ind w:left="402" w:right="112" w:hanging="284"/>
        <w:jc w:val="both"/>
      </w:pPr>
      <w:r w:rsidRPr="0031675F">
        <w:rPr>
          <w:spacing w:val="-1"/>
        </w:rPr>
        <w:t>Coefficients</w:t>
      </w:r>
      <w:r w:rsidRPr="0031675F">
        <w:rPr>
          <w:spacing w:val="35"/>
        </w:rPr>
        <w:t xml:space="preserve"> </w:t>
      </w:r>
      <w:r w:rsidRPr="0031675F">
        <w:t>of</w:t>
      </w:r>
      <w:r w:rsidRPr="0031675F">
        <w:rPr>
          <w:spacing w:val="36"/>
        </w:rPr>
        <w:t xml:space="preserve"> </w:t>
      </w:r>
      <w:r w:rsidRPr="0031675F">
        <w:rPr>
          <w:spacing w:val="-1"/>
        </w:rPr>
        <w:t>variance</w:t>
      </w:r>
      <w:r w:rsidRPr="0031675F">
        <w:rPr>
          <w:spacing w:val="39"/>
        </w:rPr>
        <w:t xml:space="preserve"> </w:t>
      </w:r>
      <w:r w:rsidRPr="0031675F">
        <w:rPr>
          <w:spacing w:val="-1"/>
        </w:rPr>
        <w:t>are</w:t>
      </w:r>
      <w:r w:rsidRPr="0031675F">
        <w:rPr>
          <w:spacing w:val="38"/>
        </w:rPr>
        <w:t xml:space="preserve"> </w:t>
      </w:r>
      <w:r w:rsidRPr="0031675F">
        <w:rPr>
          <w:spacing w:val="-1"/>
        </w:rPr>
        <w:t>calculated</w:t>
      </w:r>
      <w:r w:rsidRPr="0031675F">
        <w:rPr>
          <w:spacing w:val="38"/>
        </w:rPr>
        <w:t xml:space="preserve"> </w:t>
      </w:r>
      <w:r w:rsidRPr="0031675F">
        <w:rPr>
          <w:spacing w:val="-1"/>
        </w:rPr>
        <w:t>from</w:t>
      </w:r>
      <w:r w:rsidRPr="0031675F">
        <w:rPr>
          <w:spacing w:val="40"/>
        </w:rPr>
        <w:t xml:space="preserve"> </w:t>
      </w:r>
      <w:r w:rsidRPr="0031675F">
        <w:rPr>
          <w:spacing w:val="-1"/>
        </w:rPr>
        <w:t>analytical</w:t>
      </w:r>
      <w:r w:rsidRPr="0031675F">
        <w:rPr>
          <w:spacing w:val="38"/>
        </w:rPr>
        <w:t xml:space="preserve"> </w:t>
      </w:r>
      <w:r w:rsidRPr="0031675F">
        <w:rPr>
          <w:spacing w:val="-1"/>
        </w:rPr>
        <w:t>results</w:t>
      </w:r>
      <w:r w:rsidRPr="0031675F">
        <w:rPr>
          <w:spacing w:val="36"/>
        </w:rPr>
        <w:t xml:space="preserve"> </w:t>
      </w:r>
      <w:r w:rsidRPr="0031675F">
        <w:t>of</w:t>
      </w:r>
      <w:r w:rsidRPr="0031675F">
        <w:rPr>
          <w:spacing w:val="39"/>
        </w:rPr>
        <w:t xml:space="preserve"> </w:t>
      </w:r>
      <w:r w:rsidRPr="0031675F">
        <w:rPr>
          <w:spacing w:val="-1"/>
        </w:rPr>
        <w:t>sample</w:t>
      </w:r>
      <w:r w:rsidRPr="0031675F">
        <w:rPr>
          <w:spacing w:val="39"/>
        </w:rPr>
        <w:t xml:space="preserve"> </w:t>
      </w:r>
      <w:r w:rsidRPr="0031675F">
        <w:rPr>
          <w:spacing w:val="-1"/>
        </w:rPr>
        <w:t>duplicates.</w:t>
      </w:r>
      <w:r w:rsidRPr="0031675F">
        <w:rPr>
          <w:spacing w:val="35"/>
        </w:rPr>
        <w:t xml:space="preserve"> </w:t>
      </w:r>
      <w:r w:rsidRPr="0031675F">
        <w:rPr>
          <w:spacing w:val="-1"/>
        </w:rPr>
        <w:t>Duplicates</w:t>
      </w:r>
      <w:r w:rsidRPr="0031675F">
        <w:rPr>
          <w:spacing w:val="83"/>
        </w:rPr>
        <w:t xml:space="preserve"> </w:t>
      </w:r>
      <w:r w:rsidRPr="0031675F">
        <w:t xml:space="preserve">with </w:t>
      </w:r>
      <w:r w:rsidRPr="0031675F">
        <w:rPr>
          <w:spacing w:val="-2"/>
        </w:rPr>
        <w:t>CV&gt;30%</w:t>
      </w:r>
      <w:r w:rsidRPr="0031675F">
        <w:rPr>
          <w:spacing w:val="1"/>
        </w:rPr>
        <w:t xml:space="preserve"> </w:t>
      </w:r>
      <w:r w:rsidRPr="0031675F">
        <w:t>are</w:t>
      </w:r>
      <w:r w:rsidRPr="0031675F">
        <w:rPr>
          <w:spacing w:val="-3"/>
        </w:rPr>
        <w:t xml:space="preserve"> </w:t>
      </w:r>
      <w:r w:rsidRPr="0031675F">
        <w:rPr>
          <w:spacing w:val="-1"/>
        </w:rPr>
        <w:t>discarded</w:t>
      </w:r>
      <w:r w:rsidRPr="0031675F">
        <w:rPr>
          <w:spacing w:val="-3"/>
        </w:rPr>
        <w:t xml:space="preserve"> </w:t>
      </w:r>
      <w:r w:rsidRPr="0031675F">
        <w:rPr>
          <w:spacing w:val="-1"/>
        </w:rPr>
        <w:t>from</w:t>
      </w:r>
      <w:r w:rsidRPr="0031675F">
        <w:rPr>
          <w:spacing w:val="1"/>
        </w:rPr>
        <w:t xml:space="preserve"> </w:t>
      </w:r>
      <w:r w:rsidRPr="0031675F">
        <w:rPr>
          <w:spacing w:val="-1"/>
        </w:rPr>
        <w:t>the</w:t>
      </w:r>
      <w:r w:rsidRPr="0031675F">
        <w:rPr>
          <w:spacing w:val="-2"/>
        </w:rPr>
        <w:t xml:space="preserve"> </w:t>
      </w:r>
      <w:r w:rsidRPr="0031675F">
        <w:rPr>
          <w:spacing w:val="-1"/>
        </w:rPr>
        <w:t>analysis</w:t>
      </w:r>
      <w:r w:rsidRPr="0031675F">
        <w:t xml:space="preserve"> and</w:t>
      </w:r>
      <w:r w:rsidRPr="0031675F">
        <w:rPr>
          <w:spacing w:val="-4"/>
        </w:rPr>
        <w:t xml:space="preserve"> </w:t>
      </w:r>
      <w:r w:rsidRPr="0031675F">
        <w:t>the</w:t>
      </w:r>
      <w:r w:rsidRPr="0031675F">
        <w:rPr>
          <w:spacing w:val="-2"/>
        </w:rPr>
        <w:t xml:space="preserve"> </w:t>
      </w:r>
      <w:r w:rsidRPr="0031675F">
        <w:rPr>
          <w:spacing w:val="-1"/>
        </w:rPr>
        <w:t>analysis</w:t>
      </w:r>
      <w:r w:rsidRPr="0031675F">
        <w:t xml:space="preserve"> </w:t>
      </w:r>
      <w:r w:rsidRPr="0031675F">
        <w:rPr>
          <w:spacing w:val="-1"/>
        </w:rPr>
        <w:t>repeated</w:t>
      </w:r>
      <w:r w:rsidRPr="0031675F">
        <w:t xml:space="preserve"> </w:t>
      </w:r>
      <w:r w:rsidRPr="0031675F">
        <w:rPr>
          <w:spacing w:val="-1"/>
        </w:rPr>
        <w:t>using extra</w:t>
      </w:r>
      <w:r w:rsidRPr="0031675F">
        <w:t xml:space="preserve"> </w:t>
      </w:r>
      <w:r w:rsidRPr="0031675F">
        <w:rPr>
          <w:spacing w:val="-1"/>
        </w:rPr>
        <w:t>duplicates</w:t>
      </w:r>
      <w:r w:rsidRPr="0031675F">
        <w:t xml:space="preserve"> </w:t>
      </w:r>
      <w:r w:rsidRPr="0031675F">
        <w:rPr>
          <w:spacing w:val="-1"/>
        </w:rPr>
        <w:t>that</w:t>
      </w:r>
      <w:r w:rsidRPr="0031675F">
        <w:rPr>
          <w:spacing w:val="73"/>
        </w:rPr>
        <w:t xml:space="preserve"> </w:t>
      </w:r>
      <w:r w:rsidRPr="0031675F">
        <w:t xml:space="preserve">are </w:t>
      </w:r>
      <w:r w:rsidRPr="0031675F">
        <w:rPr>
          <w:spacing w:val="-1"/>
        </w:rPr>
        <w:t>generally</w:t>
      </w:r>
      <w:r w:rsidRPr="0031675F">
        <w:t xml:space="preserve"> </w:t>
      </w:r>
      <w:r w:rsidRPr="0031675F">
        <w:rPr>
          <w:spacing w:val="-1"/>
        </w:rPr>
        <w:t>collected as</w:t>
      </w:r>
      <w:r w:rsidRPr="0031675F">
        <w:t xml:space="preserve"> a</w:t>
      </w:r>
      <w:r w:rsidRPr="0031675F">
        <w:rPr>
          <w:spacing w:val="-2"/>
        </w:rPr>
        <w:t xml:space="preserve"> </w:t>
      </w:r>
      <w:r w:rsidRPr="0031675F">
        <w:rPr>
          <w:spacing w:val="-1"/>
        </w:rPr>
        <w:t>back</w:t>
      </w:r>
      <w:r w:rsidRPr="0031675F">
        <w:t xml:space="preserve"> </w:t>
      </w:r>
      <w:r w:rsidRPr="0031675F">
        <w:rPr>
          <w:spacing w:val="-1"/>
        </w:rPr>
        <w:t>up.</w:t>
      </w:r>
    </w:p>
    <w:p w14:paraId="1E35F66C" w14:textId="77777777" w:rsidR="0031675F" w:rsidRPr="0031675F" w:rsidRDefault="0031675F" w:rsidP="0031675F">
      <w:pPr>
        <w:rPr>
          <w:rFonts w:cs="Calibri"/>
        </w:rPr>
      </w:pPr>
    </w:p>
    <w:p w14:paraId="173B4AE7" w14:textId="77777777" w:rsidR="0031675F" w:rsidRPr="0031675F" w:rsidRDefault="0031675F" w:rsidP="0031675F">
      <w:pPr>
        <w:spacing w:after="120"/>
        <w:jc w:val="both"/>
      </w:pPr>
      <w:r w:rsidRPr="0031675F">
        <w:rPr>
          <w:spacing w:val="-1"/>
          <w:u w:val="single" w:color="000000"/>
        </w:rPr>
        <w:t>Other</w:t>
      </w:r>
    </w:p>
    <w:p w14:paraId="58B54633" w14:textId="77777777" w:rsidR="0031675F" w:rsidRPr="0031675F" w:rsidRDefault="0031675F" w:rsidP="0031675F">
      <w:pPr>
        <w:widowControl w:val="0"/>
        <w:numPr>
          <w:ilvl w:val="0"/>
          <w:numId w:val="106"/>
        </w:numPr>
        <w:tabs>
          <w:tab w:val="left" w:pos="403"/>
        </w:tabs>
        <w:spacing w:before="0" w:after="0" w:line="240" w:lineRule="auto"/>
        <w:ind w:left="402" w:right="119" w:hanging="284"/>
      </w:pPr>
      <w:r w:rsidRPr="0031675F">
        <w:rPr>
          <w:spacing w:val="-1"/>
        </w:rPr>
        <w:t>Intercalibration</w:t>
      </w:r>
      <w:r w:rsidRPr="0031675F">
        <w:rPr>
          <w:spacing w:val="21"/>
        </w:rPr>
        <w:t xml:space="preserve"> </w:t>
      </w:r>
      <w:r w:rsidRPr="0031675F">
        <w:t>of</w:t>
      </w:r>
      <w:r w:rsidRPr="0031675F">
        <w:rPr>
          <w:spacing w:val="24"/>
        </w:rPr>
        <w:t xml:space="preserve"> </w:t>
      </w:r>
      <w:r w:rsidRPr="0031675F">
        <w:rPr>
          <w:spacing w:val="-1"/>
        </w:rPr>
        <w:t>this</w:t>
      </w:r>
      <w:r w:rsidRPr="0031675F">
        <w:rPr>
          <w:spacing w:val="22"/>
        </w:rPr>
        <w:t xml:space="preserve"> </w:t>
      </w:r>
      <w:r w:rsidRPr="0031675F">
        <w:rPr>
          <w:spacing w:val="-1"/>
        </w:rPr>
        <w:t>method</w:t>
      </w:r>
      <w:r w:rsidRPr="0031675F">
        <w:rPr>
          <w:spacing w:val="21"/>
        </w:rPr>
        <w:t xml:space="preserve"> </w:t>
      </w:r>
      <w:r w:rsidRPr="0031675F">
        <w:t>with</w:t>
      </w:r>
      <w:r w:rsidRPr="0031675F">
        <w:rPr>
          <w:spacing w:val="24"/>
        </w:rPr>
        <w:t xml:space="preserve"> </w:t>
      </w:r>
      <w:r w:rsidRPr="0031675F">
        <w:rPr>
          <w:spacing w:val="-1"/>
        </w:rPr>
        <w:t>the</w:t>
      </w:r>
      <w:r w:rsidRPr="0031675F">
        <w:rPr>
          <w:spacing w:val="24"/>
        </w:rPr>
        <w:t xml:space="preserve"> </w:t>
      </w:r>
      <w:r w:rsidRPr="0031675F">
        <w:rPr>
          <w:spacing w:val="-1"/>
        </w:rPr>
        <w:t>ICP</w:t>
      </w:r>
      <w:r w:rsidRPr="0031675F">
        <w:rPr>
          <w:spacing w:val="23"/>
        </w:rPr>
        <w:t xml:space="preserve"> </w:t>
      </w:r>
      <w:r w:rsidRPr="0031675F">
        <w:rPr>
          <w:spacing w:val="-1"/>
        </w:rPr>
        <w:t>method</w:t>
      </w:r>
      <w:r w:rsidRPr="0031675F">
        <w:rPr>
          <w:spacing w:val="21"/>
        </w:rPr>
        <w:t xml:space="preserve"> </w:t>
      </w:r>
      <w:r w:rsidRPr="0031675F">
        <w:rPr>
          <w:spacing w:val="-1"/>
        </w:rPr>
        <w:t>used</w:t>
      </w:r>
      <w:r w:rsidRPr="0031675F">
        <w:rPr>
          <w:spacing w:val="24"/>
        </w:rPr>
        <w:t xml:space="preserve"> </w:t>
      </w:r>
      <w:r w:rsidRPr="0031675F">
        <w:rPr>
          <w:spacing w:val="-1"/>
        </w:rPr>
        <w:t>by</w:t>
      </w:r>
      <w:r w:rsidRPr="0031675F">
        <w:rPr>
          <w:spacing w:val="23"/>
        </w:rPr>
        <w:t xml:space="preserve"> </w:t>
      </w:r>
      <w:r w:rsidRPr="0031675F">
        <w:rPr>
          <w:spacing w:val="-1"/>
        </w:rPr>
        <w:t>AIMS</w:t>
      </w:r>
      <w:r w:rsidRPr="0031675F">
        <w:rPr>
          <w:spacing w:val="21"/>
        </w:rPr>
        <w:t xml:space="preserve"> </w:t>
      </w:r>
      <w:r w:rsidRPr="0031675F">
        <w:rPr>
          <w:spacing w:val="-1"/>
        </w:rPr>
        <w:t>laboratories</w:t>
      </w:r>
      <w:r w:rsidRPr="0031675F">
        <w:rPr>
          <w:spacing w:val="24"/>
        </w:rPr>
        <w:t xml:space="preserve"> </w:t>
      </w:r>
      <w:r w:rsidRPr="0031675F">
        <w:rPr>
          <w:spacing w:val="-1"/>
        </w:rPr>
        <w:t>(Thompson</w:t>
      </w:r>
      <w:r w:rsidRPr="0031675F">
        <w:rPr>
          <w:spacing w:val="23"/>
        </w:rPr>
        <w:t xml:space="preserve"> </w:t>
      </w:r>
      <w:r w:rsidRPr="0031675F">
        <w:rPr>
          <w:spacing w:val="-1"/>
        </w:rPr>
        <w:t>and</w:t>
      </w:r>
      <w:r w:rsidRPr="0031675F">
        <w:rPr>
          <w:spacing w:val="65"/>
        </w:rPr>
        <w:t xml:space="preserve"> </w:t>
      </w:r>
      <w:r w:rsidRPr="0031675F">
        <w:rPr>
          <w:spacing w:val="-1"/>
        </w:rPr>
        <w:t>Walsh,</w:t>
      </w:r>
      <w:r w:rsidRPr="0031675F">
        <w:t xml:space="preserve"> </w:t>
      </w:r>
      <w:r w:rsidRPr="0031675F">
        <w:rPr>
          <w:spacing w:val="-1"/>
        </w:rPr>
        <w:t>1993)</w:t>
      </w:r>
      <w:r w:rsidRPr="0031675F">
        <w:rPr>
          <w:spacing w:val="-2"/>
        </w:rPr>
        <w:t xml:space="preserve"> </w:t>
      </w:r>
      <w:r w:rsidRPr="0031675F">
        <w:rPr>
          <w:spacing w:val="-1"/>
        </w:rPr>
        <w:t>showed agreement</w:t>
      </w:r>
      <w:r w:rsidRPr="0031675F">
        <w:rPr>
          <w:spacing w:val="-2"/>
        </w:rPr>
        <w:t xml:space="preserve"> </w:t>
      </w:r>
      <w:r w:rsidRPr="0031675F">
        <w:t>of +/-</w:t>
      </w:r>
      <w:r w:rsidRPr="0031675F">
        <w:rPr>
          <w:spacing w:val="-3"/>
        </w:rPr>
        <w:t xml:space="preserve"> </w:t>
      </w:r>
      <w:r w:rsidRPr="0031675F">
        <w:rPr>
          <w:spacing w:val="-1"/>
        </w:rPr>
        <w:t>15%.</w:t>
      </w:r>
    </w:p>
    <w:p w14:paraId="3D52FAE7" w14:textId="77777777" w:rsidR="0031675F" w:rsidRPr="0031675F" w:rsidRDefault="0031675F" w:rsidP="0031675F">
      <w:pPr>
        <w:widowControl w:val="0"/>
        <w:numPr>
          <w:ilvl w:val="0"/>
          <w:numId w:val="106"/>
        </w:numPr>
        <w:tabs>
          <w:tab w:val="left" w:pos="403"/>
        </w:tabs>
        <w:spacing w:before="0" w:after="0" w:line="240" w:lineRule="auto"/>
        <w:ind w:left="402" w:right="120" w:hanging="284"/>
      </w:pPr>
      <w:r w:rsidRPr="0031675F">
        <w:rPr>
          <w:spacing w:val="-1"/>
        </w:rPr>
        <w:t>The</w:t>
      </w:r>
      <w:r w:rsidRPr="0031675F">
        <w:rPr>
          <w:spacing w:val="36"/>
        </w:rPr>
        <w:t xml:space="preserve"> </w:t>
      </w:r>
      <w:r w:rsidRPr="0031675F">
        <w:rPr>
          <w:spacing w:val="-1"/>
        </w:rPr>
        <w:t>linear</w:t>
      </w:r>
      <w:r w:rsidRPr="0031675F">
        <w:rPr>
          <w:spacing w:val="36"/>
        </w:rPr>
        <w:t xml:space="preserve"> </w:t>
      </w:r>
      <w:r w:rsidRPr="0031675F">
        <w:rPr>
          <w:spacing w:val="-1"/>
        </w:rPr>
        <w:t>range</w:t>
      </w:r>
      <w:r w:rsidRPr="0031675F">
        <w:rPr>
          <w:spacing w:val="34"/>
        </w:rPr>
        <w:t xml:space="preserve"> </w:t>
      </w:r>
      <w:r w:rsidRPr="0031675F">
        <w:t>of</w:t>
      </w:r>
      <w:r w:rsidRPr="0031675F">
        <w:rPr>
          <w:spacing w:val="35"/>
        </w:rPr>
        <w:t xml:space="preserve"> </w:t>
      </w:r>
      <w:r w:rsidRPr="0031675F">
        <w:rPr>
          <w:spacing w:val="-1"/>
        </w:rPr>
        <w:t>this</w:t>
      </w:r>
      <w:r w:rsidRPr="0031675F">
        <w:rPr>
          <w:spacing w:val="34"/>
        </w:rPr>
        <w:t xml:space="preserve"> </w:t>
      </w:r>
      <w:r w:rsidRPr="0031675F">
        <w:rPr>
          <w:spacing w:val="-1"/>
        </w:rPr>
        <w:t>method</w:t>
      </w:r>
      <w:r w:rsidRPr="0031675F">
        <w:rPr>
          <w:spacing w:val="33"/>
        </w:rPr>
        <w:t xml:space="preserve"> </w:t>
      </w:r>
      <w:r w:rsidRPr="0031675F">
        <w:t>was</w:t>
      </w:r>
      <w:r w:rsidRPr="0031675F">
        <w:rPr>
          <w:spacing w:val="37"/>
        </w:rPr>
        <w:t xml:space="preserve"> </w:t>
      </w:r>
      <w:r w:rsidRPr="0031675F">
        <w:rPr>
          <w:spacing w:val="-1"/>
        </w:rPr>
        <w:t>established</w:t>
      </w:r>
      <w:r w:rsidRPr="0031675F">
        <w:rPr>
          <w:spacing w:val="35"/>
        </w:rPr>
        <w:t xml:space="preserve"> </w:t>
      </w:r>
      <w:r w:rsidRPr="0031675F">
        <w:rPr>
          <w:spacing w:val="-1"/>
        </w:rPr>
        <w:t>utilising</w:t>
      </w:r>
      <w:r w:rsidRPr="0031675F">
        <w:rPr>
          <w:spacing w:val="35"/>
        </w:rPr>
        <w:t xml:space="preserve"> </w:t>
      </w:r>
      <w:r w:rsidRPr="0031675F">
        <w:t>increasing</w:t>
      </w:r>
      <w:r w:rsidRPr="0031675F">
        <w:rPr>
          <w:spacing w:val="35"/>
        </w:rPr>
        <w:t xml:space="preserve"> </w:t>
      </w:r>
      <w:r w:rsidRPr="0031675F">
        <w:rPr>
          <w:spacing w:val="-1"/>
        </w:rPr>
        <w:t>concentrations</w:t>
      </w:r>
      <w:r w:rsidRPr="0031675F">
        <w:rPr>
          <w:spacing w:val="33"/>
        </w:rPr>
        <w:t xml:space="preserve"> </w:t>
      </w:r>
      <w:r w:rsidRPr="0031675F">
        <w:t>of</w:t>
      </w:r>
      <w:r w:rsidRPr="0031675F">
        <w:rPr>
          <w:spacing w:val="36"/>
        </w:rPr>
        <w:t xml:space="preserve"> </w:t>
      </w:r>
      <w:r w:rsidRPr="0031675F">
        <w:rPr>
          <w:spacing w:val="-1"/>
        </w:rPr>
        <w:t>primary</w:t>
      </w:r>
      <w:r w:rsidRPr="0031675F">
        <w:rPr>
          <w:spacing w:val="45"/>
        </w:rPr>
        <w:t xml:space="preserve"> </w:t>
      </w:r>
      <w:r w:rsidRPr="0031675F">
        <w:rPr>
          <w:spacing w:val="-1"/>
        </w:rPr>
        <w:t>standard.</w:t>
      </w:r>
      <w:r w:rsidRPr="0031675F">
        <w:t xml:space="preserve"> </w:t>
      </w:r>
      <w:r w:rsidRPr="0031675F">
        <w:rPr>
          <w:spacing w:val="-1"/>
        </w:rPr>
        <w:t>Samples</w:t>
      </w:r>
      <w:r w:rsidRPr="0031675F">
        <w:rPr>
          <w:spacing w:val="-2"/>
        </w:rPr>
        <w:t xml:space="preserve"> </w:t>
      </w:r>
      <w:r w:rsidRPr="0031675F">
        <w:t>are</w:t>
      </w:r>
      <w:r w:rsidRPr="0031675F">
        <w:rPr>
          <w:spacing w:val="1"/>
        </w:rPr>
        <w:t xml:space="preserve"> </w:t>
      </w:r>
      <w:r w:rsidRPr="0031675F">
        <w:rPr>
          <w:spacing w:val="-1"/>
        </w:rPr>
        <w:t>diluted</w:t>
      </w:r>
      <w:r w:rsidRPr="0031675F">
        <w:t xml:space="preserve"> if </w:t>
      </w:r>
      <w:r w:rsidRPr="0031675F">
        <w:rPr>
          <w:spacing w:val="-1"/>
        </w:rPr>
        <w:t>above</w:t>
      </w:r>
      <w:r w:rsidRPr="0031675F">
        <w:rPr>
          <w:spacing w:val="-2"/>
        </w:rPr>
        <w:t xml:space="preserve"> </w:t>
      </w:r>
      <w:r w:rsidRPr="0031675F">
        <w:rPr>
          <w:spacing w:val="-1"/>
        </w:rPr>
        <w:t>this</w:t>
      </w:r>
      <w:r w:rsidRPr="0031675F">
        <w:t xml:space="preserve"> </w:t>
      </w:r>
      <w:r w:rsidRPr="0031675F">
        <w:rPr>
          <w:spacing w:val="-1"/>
        </w:rPr>
        <w:t>range.</w:t>
      </w:r>
    </w:p>
    <w:p w14:paraId="33704ABB" w14:textId="77777777" w:rsidR="0031675F" w:rsidRPr="0031675F" w:rsidRDefault="0031675F" w:rsidP="0031675F">
      <w:pPr>
        <w:widowControl w:val="0"/>
        <w:numPr>
          <w:ilvl w:val="0"/>
          <w:numId w:val="106"/>
        </w:numPr>
        <w:tabs>
          <w:tab w:val="left" w:pos="403"/>
        </w:tabs>
        <w:spacing w:before="0" w:after="0" w:line="240" w:lineRule="auto"/>
        <w:ind w:left="402" w:hanging="284"/>
        <w:jc w:val="both"/>
        <w:rPr>
          <w:rFonts w:cs="Calibri"/>
          <w:sz w:val="20"/>
          <w:szCs w:val="20"/>
        </w:rPr>
      </w:pPr>
      <w:r w:rsidRPr="0031675F">
        <w:t xml:space="preserve">A </w:t>
      </w:r>
      <w:r w:rsidRPr="0031675F">
        <w:rPr>
          <w:spacing w:val="-1"/>
        </w:rPr>
        <w:t>reference</w:t>
      </w:r>
      <w:r w:rsidRPr="0031675F">
        <w:rPr>
          <w:spacing w:val="1"/>
        </w:rPr>
        <w:t xml:space="preserve"> </w:t>
      </w:r>
      <w:r w:rsidRPr="0031675F">
        <w:rPr>
          <w:spacing w:val="-1"/>
        </w:rPr>
        <w:t>curve</w:t>
      </w:r>
      <w:r w:rsidRPr="0031675F">
        <w:rPr>
          <w:spacing w:val="-2"/>
        </w:rPr>
        <w:t xml:space="preserve"> </w:t>
      </w:r>
      <w:r w:rsidRPr="0031675F">
        <w:t xml:space="preserve">is </w:t>
      </w:r>
      <w:r w:rsidRPr="0031675F">
        <w:rPr>
          <w:spacing w:val="-1"/>
        </w:rPr>
        <w:t>generated with</w:t>
      </w:r>
      <w:r w:rsidRPr="0031675F">
        <w:t xml:space="preserve"> </w:t>
      </w:r>
      <w:r w:rsidRPr="0031675F">
        <w:rPr>
          <w:spacing w:val="-1"/>
        </w:rPr>
        <w:t>every</w:t>
      </w:r>
      <w:r w:rsidRPr="0031675F">
        <w:t xml:space="preserve"> </w:t>
      </w:r>
      <w:r w:rsidRPr="0031675F">
        <w:rPr>
          <w:spacing w:val="-1"/>
        </w:rPr>
        <w:t>sample</w:t>
      </w:r>
      <w:r w:rsidRPr="0031675F">
        <w:t xml:space="preserve"> </w:t>
      </w:r>
      <w:r w:rsidRPr="0031675F">
        <w:rPr>
          <w:spacing w:val="-2"/>
        </w:rPr>
        <w:t>batch.</w:t>
      </w:r>
    </w:p>
    <w:p w14:paraId="75EFC777" w14:textId="77777777" w:rsidR="0031675F" w:rsidRPr="0031675F" w:rsidRDefault="0031675F" w:rsidP="0031675F">
      <w:pPr>
        <w:rPr>
          <w:rFonts w:cs="Calibri"/>
          <w:sz w:val="20"/>
          <w:szCs w:val="20"/>
        </w:rPr>
      </w:pPr>
    </w:p>
    <w:p w14:paraId="0AC410C7" w14:textId="77777777" w:rsidR="0031675F" w:rsidRPr="0031675F" w:rsidRDefault="0031675F" w:rsidP="0031675F">
      <w:pPr>
        <w:widowControl w:val="0"/>
        <w:numPr>
          <w:ilvl w:val="1"/>
          <w:numId w:val="103"/>
        </w:numPr>
        <w:tabs>
          <w:tab w:val="left" w:pos="839"/>
        </w:tabs>
        <w:spacing w:before="206" w:after="0" w:line="240" w:lineRule="auto"/>
        <w:ind w:left="838" w:hanging="720"/>
        <w:jc w:val="both"/>
        <w:rPr>
          <w:rFonts w:eastAsia="Arial" w:cs="Arial"/>
          <w:sz w:val="24"/>
          <w:szCs w:val="24"/>
        </w:rPr>
      </w:pPr>
      <w:bookmarkStart w:id="673" w:name="_TOC_250030"/>
      <w:r w:rsidRPr="0031675F">
        <w:rPr>
          <w:b/>
          <w:spacing w:val="-1"/>
          <w:sz w:val="24"/>
        </w:rPr>
        <w:t>References</w:t>
      </w:r>
      <w:bookmarkEnd w:id="673"/>
    </w:p>
    <w:p w14:paraId="1EC44F2D" w14:textId="77777777" w:rsidR="0031675F" w:rsidRPr="0031675F" w:rsidRDefault="0031675F" w:rsidP="0031675F">
      <w:pPr>
        <w:spacing w:before="11"/>
        <w:rPr>
          <w:rFonts w:eastAsia="Arial" w:cs="Arial"/>
          <w:b/>
          <w:bCs/>
          <w:sz w:val="20"/>
          <w:szCs w:val="20"/>
        </w:rPr>
      </w:pPr>
    </w:p>
    <w:p w14:paraId="6C1E439E" w14:textId="77777777" w:rsidR="0031675F" w:rsidRPr="0031675F" w:rsidRDefault="0031675F" w:rsidP="0031675F">
      <w:pPr>
        <w:spacing w:after="120"/>
        <w:ind w:right="116"/>
        <w:jc w:val="both"/>
      </w:pPr>
      <w:r w:rsidRPr="0031675F">
        <w:rPr>
          <w:spacing w:val="-1"/>
        </w:rPr>
        <w:t>Menzel,</w:t>
      </w:r>
      <w:r w:rsidRPr="0031675F">
        <w:rPr>
          <w:spacing w:val="7"/>
        </w:rPr>
        <w:t xml:space="preserve"> </w:t>
      </w:r>
      <w:r w:rsidRPr="0031675F">
        <w:rPr>
          <w:spacing w:val="-1"/>
        </w:rPr>
        <w:t>D.W.</w:t>
      </w:r>
      <w:r w:rsidRPr="0031675F">
        <w:rPr>
          <w:spacing w:val="9"/>
        </w:rPr>
        <w:t xml:space="preserve"> </w:t>
      </w:r>
      <w:r w:rsidRPr="0031675F">
        <w:rPr>
          <w:spacing w:val="-1"/>
        </w:rPr>
        <w:t>and</w:t>
      </w:r>
      <w:r w:rsidRPr="0031675F">
        <w:rPr>
          <w:spacing w:val="9"/>
        </w:rPr>
        <w:t xml:space="preserve"> </w:t>
      </w:r>
      <w:r w:rsidRPr="0031675F">
        <w:rPr>
          <w:spacing w:val="-1"/>
        </w:rPr>
        <w:t>Corwin,</w:t>
      </w:r>
      <w:r w:rsidRPr="0031675F">
        <w:rPr>
          <w:spacing w:val="7"/>
        </w:rPr>
        <w:t xml:space="preserve"> </w:t>
      </w:r>
      <w:r w:rsidRPr="0031675F">
        <w:rPr>
          <w:spacing w:val="-1"/>
        </w:rPr>
        <w:t>N.</w:t>
      </w:r>
      <w:r w:rsidRPr="0031675F">
        <w:rPr>
          <w:spacing w:val="9"/>
        </w:rPr>
        <w:t xml:space="preserve"> </w:t>
      </w:r>
      <w:r w:rsidRPr="0031675F">
        <w:rPr>
          <w:spacing w:val="-1"/>
        </w:rPr>
        <w:t>1965.</w:t>
      </w:r>
      <w:r w:rsidRPr="0031675F">
        <w:rPr>
          <w:spacing w:val="9"/>
        </w:rPr>
        <w:t xml:space="preserve"> </w:t>
      </w:r>
      <w:r w:rsidRPr="0031675F">
        <w:rPr>
          <w:spacing w:val="-2"/>
        </w:rPr>
        <w:t>The</w:t>
      </w:r>
      <w:r w:rsidRPr="0031675F">
        <w:rPr>
          <w:spacing w:val="8"/>
        </w:rPr>
        <w:t xml:space="preserve"> </w:t>
      </w:r>
      <w:r w:rsidRPr="0031675F">
        <w:rPr>
          <w:spacing w:val="-1"/>
        </w:rPr>
        <w:t>measurement</w:t>
      </w:r>
      <w:r w:rsidRPr="0031675F">
        <w:rPr>
          <w:spacing w:val="10"/>
        </w:rPr>
        <w:t xml:space="preserve"> </w:t>
      </w:r>
      <w:r w:rsidRPr="0031675F">
        <w:t>of</w:t>
      </w:r>
      <w:r w:rsidRPr="0031675F">
        <w:rPr>
          <w:spacing w:val="7"/>
        </w:rPr>
        <w:t xml:space="preserve"> </w:t>
      </w:r>
      <w:r w:rsidRPr="0031675F">
        <w:rPr>
          <w:spacing w:val="-1"/>
        </w:rPr>
        <w:t>total</w:t>
      </w:r>
      <w:r w:rsidRPr="0031675F">
        <w:rPr>
          <w:spacing w:val="10"/>
        </w:rPr>
        <w:t xml:space="preserve"> </w:t>
      </w:r>
      <w:r w:rsidRPr="0031675F">
        <w:rPr>
          <w:spacing w:val="-1"/>
        </w:rPr>
        <w:t>phosphorus</w:t>
      </w:r>
      <w:r w:rsidRPr="0031675F">
        <w:rPr>
          <w:spacing w:val="10"/>
        </w:rPr>
        <w:t xml:space="preserve"> </w:t>
      </w:r>
      <w:r w:rsidRPr="0031675F">
        <w:t>in</w:t>
      </w:r>
      <w:r w:rsidRPr="0031675F">
        <w:rPr>
          <w:spacing w:val="8"/>
        </w:rPr>
        <w:t xml:space="preserve"> </w:t>
      </w:r>
      <w:r w:rsidRPr="0031675F">
        <w:rPr>
          <w:spacing w:val="-1"/>
        </w:rPr>
        <w:t>seawater</w:t>
      </w:r>
      <w:r w:rsidRPr="0031675F">
        <w:rPr>
          <w:spacing w:val="7"/>
        </w:rPr>
        <w:t xml:space="preserve"> </w:t>
      </w:r>
      <w:r w:rsidRPr="0031675F">
        <w:rPr>
          <w:spacing w:val="-1"/>
        </w:rPr>
        <w:t>based</w:t>
      </w:r>
      <w:r w:rsidRPr="0031675F">
        <w:rPr>
          <w:spacing w:val="7"/>
        </w:rPr>
        <w:t xml:space="preserve"> </w:t>
      </w:r>
      <w:r w:rsidRPr="0031675F">
        <w:t>on</w:t>
      </w:r>
      <w:r w:rsidRPr="0031675F">
        <w:rPr>
          <w:spacing w:val="9"/>
        </w:rPr>
        <w:t xml:space="preserve"> </w:t>
      </w:r>
      <w:r w:rsidRPr="0031675F">
        <w:t>the</w:t>
      </w:r>
      <w:r w:rsidRPr="0031675F">
        <w:rPr>
          <w:spacing w:val="75"/>
        </w:rPr>
        <w:t xml:space="preserve"> </w:t>
      </w:r>
      <w:r w:rsidRPr="0031675F">
        <w:rPr>
          <w:spacing w:val="-1"/>
        </w:rPr>
        <w:t>liberation</w:t>
      </w:r>
      <w:r w:rsidRPr="0031675F">
        <w:rPr>
          <w:spacing w:val="4"/>
        </w:rPr>
        <w:t xml:space="preserve"> </w:t>
      </w:r>
      <w:r w:rsidRPr="0031675F">
        <w:t>of</w:t>
      </w:r>
      <w:r w:rsidRPr="0031675F">
        <w:rPr>
          <w:spacing w:val="2"/>
        </w:rPr>
        <w:t xml:space="preserve"> </w:t>
      </w:r>
      <w:r w:rsidRPr="0031675F">
        <w:rPr>
          <w:spacing w:val="-1"/>
        </w:rPr>
        <w:t>organically</w:t>
      </w:r>
      <w:r w:rsidRPr="0031675F">
        <w:rPr>
          <w:spacing w:val="5"/>
        </w:rPr>
        <w:t xml:space="preserve"> </w:t>
      </w:r>
      <w:r w:rsidRPr="0031675F">
        <w:rPr>
          <w:spacing w:val="-1"/>
        </w:rPr>
        <w:t>bound</w:t>
      </w:r>
      <w:r w:rsidRPr="0031675F">
        <w:rPr>
          <w:spacing w:val="4"/>
        </w:rPr>
        <w:t xml:space="preserve"> </w:t>
      </w:r>
      <w:r w:rsidRPr="0031675F">
        <w:rPr>
          <w:spacing w:val="-1"/>
        </w:rPr>
        <w:t>fractions</w:t>
      </w:r>
      <w:r w:rsidRPr="0031675F">
        <w:rPr>
          <w:spacing w:val="5"/>
        </w:rPr>
        <w:t xml:space="preserve"> </w:t>
      </w:r>
      <w:r w:rsidRPr="0031675F">
        <w:rPr>
          <w:spacing w:val="-1"/>
        </w:rPr>
        <w:t>by</w:t>
      </w:r>
      <w:r w:rsidRPr="0031675F">
        <w:rPr>
          <w:spacing w:val="6"/>
        </w:rPr>
        <w:t xml:space="preserve"> </w:t>
      </w:r>
      <w:r w:rsidRPr="0031675F">
        <w:rPr>
          <w:spacing w:val="-1"/>
        </w:rPr>
        <w:t>persulphate</w:t>
      </w:r>
      <w:r w:rsidRPr="0031675F">
        <w:rPr>
          <w:spacing w:val="5"/>
        </w:rPr>
        <w:t xml:space="preserve"> </w:t>
      </w:r>
      <w:r w:rsidRPr="0031675F">
        <w:rPr>
          <w:spacing w:val="-1"/>
        </w:rPr>
        <w:t>oxidation.</w:t>
      </w:r>
      <w:r w:rsidRPr="0031675F">
        <w:rPr>
          <w:spacing w:val="10"/>
        </w:rPr>
        <w:t xml:space="preserve"> </w:t>
      </w:r>
      <w:r w:rsidRPr="0031675F">
        <w:rPr>
          <w:spacing w:val="-1"/>
        </w:rPr>
        <w:t>Limnology</w:t>
      </w:r>
      <w:r w:rsidRPr="0031675F">
        <w:rPr>
          <w:spacing w:val="6"/>
        </w:rPr>
        <w:t xml:space="preserve"> </w:t>
      </w:r>
      <w:r w:rsidRPr="0031675F">
        <w:rPr>
          <w:spacing w:val="-1"/>
        </w:rPr>
        <w:t>and</w:t>
      </w:r>
      <w:r w:rsidRPr="0031675F">
        <w:rPr>
          <w:spacing w:val="4"/>
        </w:rPr>
        <w:t xml:space="preserve"> </w:t>
      </w:r>
      <w:r w:rsidRPr="0031675F">
        <w:rPr>
          <w:spacing w:val="-1"/>
        </w:rPr>
        <w:t>Oceanography</w:t>
      </w:r>
      <w:r w:rsidRPr="0031675F">
        <w:rPr>
          <w:spacing w:val="6"/>
        </w:rPr>
        <w:t xml:space="preserve"> </w:t>
      </w:r>
      <w:r w:rsidRPr="0031675F">
        <w:rPr>
          <w:spacing w:val="-2"/>
        </w:rPr>
        <w:t>10:</w:t>
      </w:r>
      <w:r w:rsidRPr="0031675F">
        <w:rPr>
          <w:spacing w:val="89"/>
        </w:rPr>
        <w:t xml:space="preserve"> </w:t>
      </w:r>
      <w:r w:rsidRPr="0031675F">
        <w:rPr>
          <w:spacing w:val="-1"/>
        </w:rPr>
        <w:t>280</w:t>
      </w:r>
    </w:p>
    <w:p w14:paraId="6014EF2B" w14:textId="77777777" w:rsidR="0031675F" w:rsidRPr="0031675F" w:rsidRDefault="0031675F" w:rsidP="0031675F">
      <w:pPr>
        <w:spacing w:before="117" w:after="120" w:line="266" w:lineRule="exact"/>
        <w:ind w:right="116"/>
        <w:jc w:val="both"/>
      </w:pPr>
      <w:r w:rsidRPr="0031675F">
        <w:rPr>
          <w:spacing w:val="-1"/>
        </w:rPr>
        <w:t>Parsons,T.R.,</w:t>
      </w:r>
      <w:r w:rsidRPr="0031675F">
        <w:rPr>
          <w:spacing w:val="35"/>
        </w:rPr>
        <w:t xml:space="preserve"> </w:t>
      </w:r>
      <w:r w:rsidRPr="0031675F">
        <w:rPr>
          <w:spacing w:val="-1"/>
        </w:rPr>
        <w:t>Yoshiaki,</w:t>
      </w:r>
      <w:r w:rsidRPr="0031675F">
        <w:rPr>
          <w:spacing w:val="36"/>
        </w:rPr>
        <w:t xml:space="preserve"> </w:t>
      </w:r>
      <w:r w:rsidRPr="0031675F">
        <w:t>M.</w:t>
      </w:r>
      <w:r w:rsidRPr="0031675F">
        <w:rPr>
          <w:spacing w:val="33"/>
        </w:rPr>
        <w:t xml:space="preserve"> </w:t>
      </w:r>
      <w:r w:rsidRPr="0031675F">
        <w:rPr>
          <w:spacing w:val="-1"/>
        </w:rPr>
        <w:t>and</w:t>
      </w:r>
      <w:r w:rsidRPr="0031675F">
        <w:rPr>
          <w:spacing w:val="34"/>
        </w:rPr>
        <w:t xml:space="preserve"> </w:t>
      </w:r>
      <w:r w:rsidRPr="0031675F">
        <w:rPr>
          <w:spacing w:val="-1"/>
        </w:rPr>
        <w:t>Lalli,</w:t>
      </w:r>
      <w:r w:rsidRPr="0031675F">
        <w:rPr>
          <w:spacing w:val="36"/>
        </w:rPr>
        <w:t xml:space="preserve"> </w:t>
      </w:r>
      <w:r w:rsidRPr="0031675F">
        <w:rPr>
          <w:spacing w:val="-1"/>
        </w:rPr>
        <w:t>C.M.</w:t>
      </w:r>
      <w:r w:rsidRPr="0031675F">
        <w:rPr>
          <w:spacing w:val="36"/>
        </w:rPr>
        <w:t xml:space="preserve"> </w:t>
      </w:r>
      <w:r w:rsidRPr="0031675F">
        <w:rPr>
          <w:spacing w:val="-1"/>
        </w:rPr>
        <w:t>1984.</w:t>
      </w:r>
      <w:r w:rsidRPr="0031675F">
        <w:rPr>
          <w:spacing w:val="36"/>
        </w:rPr>
        <w:t xml:space="preserve"> </w:t>
      </w:r>
      <w:r w:rsidRPr="0031675F">
        <w:t>A</w:t>
      </w:r>
      <w:r w:rsidRPr="0031675F">
        <w:rPr>
          <w:spacing w:val="35"/>
        </w:rPr>
        <w:t xml:space="preserve"> </w:t>
      </w:r>
      <w:r w:rsidRPr="0031675F">
        <w:rPr>
          <w:spacing w:val="-1"/>
        </w:rPr>
        <w:t>manual</w:t>
      </w:r>
      <w:r w:rsidRPr="0031675F">
        <w:rPr>
          <w:spacing w:val="36"/>
        </w:rPr>
        <w:t xml:space="preserve"> </w:t>
      </w:r>
      <w:r w:rsidRPr="0031675F">
        <w:t>of</w:t>
      </w:r>
      <w:r w:rsidRPr="0031675F">
        <w:rPr>
          <w:spacing w:val="36"/>
        </w:rPr>
        <w:t xml:space="preserve"> </w:t>
      </w:r>
      <w:r w:rsidRPr="0031675F">
        <w:t>chemical</w:t>
      </w:r>
      <w:r w:rsidRPr="0031675F">
        <w:rPr>
          <w:spacing w:val="34"/>
        </w:rPr>
        <w:t xml:space="preserve"> </w:t>
      </w:r>
      <w:r w:rsidRPr="0031675F">
        <w:rPr>
          <w:spacing w:val="-1"/>
        </w:rPr>
        <w:t>and</w:t>
      </w:r>
      <w:r w:rsidRPr="0031675F">
        <w:rPr>
          <w:spacing w:val="35"/>
        </w:rPr>
        <w:t xml:space="preserve"> </w:t>
      </w:r>
      <w:r w:rsidRPr="0031675F">
        <w:rPr>
          <w:spacing w:val="-1"/>
        </w:rPr>
        <w:t>biological</w:t>
      </w:r>
      <w:r w:rsidRPr="0031675F">
        <w:rPr>
          <w:spacing w:val="35"/>
        </w:rPr>
        <w:t xml:space="preserve"> </w:t>
      </w:r>
      <w:r w:rsidRPr="0031675F">
        <w:rPr>
          <w:spacing w:val="-1"/>
        </w:rPr>
        <w:t>methods</w:t>
      </w:r>
      <w:r w:rsidRPr="0031675F">
        <w:rPr>
          <w:spacing w:val="36"/>
        </w:rPr>
        <w:t xml:space="preserve"> </w:t>
      </w:r>
      <w:r w:rsidRPr="0031675F">
        <w:rPr>
          <w:spacing w:val="-1"/>
        </w:rPr>
        <w:t>for</w:t>
      </w:r>
      <w:r w:rsidRPr="0031675F">
        <w:rPr>
          <w:spacing w:val="75"/>
        </w:rPr>
        <w:t xml:space="preserve"> </w:t>
      </w:r>
      <w:r w:rsidRPr="0031675F">
        <w:rPr>
          <w:spacing w:val="-1"/>
        </w:rPr>
        <w:t>seawater</w:t>
      </w:r>
      <w:r w:rsidRPr="0031675F">
        <w:t xml:space="preserve"> </w:t>
      </w:r>
      <w:r w:rsidRPr="0031675F">
        <w:rPr>
          <w:spacing w:val="-1"/>
        </w:rPr>
        <w:t>analysis,</w:t>
      </w:r>
      <w:r w:rsidRPr="0031675F">
        <w:rPr>
          <w:spacing w:val="-2"/>
        </w:rPr>
        <w:t xml:space="preserve"> </w:t>
      </w:r>
      <w:r w:rsidRPr="0031675F">
        <w:rPr>
          <w:spacing w:val="-1"/>
        </w:rPr>
        <w:t>Pergamon,</w:t>
      </w:r>
      <w:r w:rsidRPr="0031675F">
        <w:t xml:space="preserve"> </w:t>
      </w:r>
      <w:r w:rsidRPr="0031675F">
        <w:rPr>
          <w:spacing w:val="-1"/>
        </w:rPr>
        <w:t>London.</w:t>
      </w:r>
      <w:r w:rsidRPr="0031675F">
        <w:t xml:space="preserve"> </w:t>
      </w:r>
      <w:r w:rsidRPr="0031675F">
        <w:rPr>
          <w:spacing w:val="-1"/>
        </w:rPr>
        <w:t>pp22-25</w:t>
      </w:r>
    </w:p>
    <w:p w14:paraId="1E283EAF" w14:textId="77777777" w:rsidR="0031675F" w:rsidRPr="0031675F" w:rsidRDefault="0031675F" w:rsidP="0031675F">
      <w:pPr>
        <w:spacing w:before="126" w:after="120"/>
        <w:ind w:right="118"/>
        <w:jc w:val="both"/>
      </w:pPr>
      <w:r w:rsidRPr="0031675F">
        <w:rPr>
          <w:spacing w:val="-1"/>
        </w:rPr>
        <w:t>Ruttenberg,</w:t>
      </w:r>
      <w:r w:rsidRPr="0031675F">
        <w:rPr>
          <w:spacing w:val="13"/>
        </w:rPr>
        <w:t xml:space="preserve"> </w:t>
      </w:r>
      <w:r w:rsidRPr="0031675F">
        <w:t>K.C.</w:t>
      </w:r>
      <w:r w:rsidRPr="0031675F">
        <w:rPr>
          <w:spacing w:val="11"/>
        </w:rPr>
        <w:t xml:space="preserve"> </w:t>
      </w:r>
      <w:r w:rsidRPr="0031675F">
        <w:rPr>
          <w:spacing w:val="-1"/>
        </w:rPr>
        <w:t>1992.</w:t>
      </w:r>
      <w:r w:rsidRPr="0031675F">
        <w:rPr>
          <w:spacing w:val="12"/>
        </w:rPr>
        <w:t xml:space="preserve"> </w:t>
      </w:r>
      <w:r w:rsidRPr="0031675F">
        <w:rPr>
          <w:spacing w:val="-1"/>
        </w:rPr>
        <w:t>Development</w:t>
      </w:r>
      <w:r w:rsidRPr="0031675F">
        <w:rPr>
          <w:spacing w:val="13"/>
        </w:rPr>
        <w:t xml:space="preserve"> </w:t>
      </w:r>
      <w:r w:rsidRPr="0031675F">
        <w:t>of</w:t>
      </w:r>
      <w:r w:rsidRPr="0031675F">
        <w:rPr>
          <w:spacing w:val="12"/>
        </w:rPr>
        <w:t xml:space="preserve"> </w:t>
      </w:r>
      <w:r w:rsidRPr="0031675F">
        <w:t>a</w:t>
      </w:r>
      <w:r w:rsidRPr="0031675F">
        <w:rPr>
          <w:spacing w:val="12"/>
        </w:rPr>
        <w:t xml:space="preserve"> </w:t>
      </w:r>
      <w:r w:rsidRPr="0031675F">
        <w:rPr>
          <w:spacing w:val="-1"/>
        </w:rPr>
        <w:t>sequential</w:t>
      </w:r>
      <w:r w:rsidRPr="0031675F">
        <w:rPr>
          <w:spacing w:val="12"/>
        </w:rPr>
        <w:t xml:space="preserve"> </w:t>
      </w:r>
      <w:r w:rsidRPr="0031675F">
        <w:rPr>
          <w:spacing w:val="-1"/>
        </w:rPr>
        <w:t>extraction</w:t>
      </w:r>
      <w:r w:rsidRPr="0031675F">
        <w:rPr>
          <w:spacing w:val="12"/>
        </w:rPr>
        <w:t xml:space="preserve"> </w:t>
      </w:r>
      <w:r w:rsidRPr="0031675F">
        <w:rPr>
          <w:spacing w:val="-1"/>
        </w:rPr>
        <w:t>method</w:t>
      </w:r>
      <w:r w:rsidRPr="0031675F">
        <w:rPr>
          <w:spacing w:val="12"/>
        </w:rPr>
        <w:t xml:space="preserve"> </w:t>
      </w:r>
      <w:r w:rsidRPr="0031675F">
        <w:rPr>
          <w:spacing w:val="-1"/>
        </w:rPr>
        <w:t>for</w:t>
      </w:r>
      <w:r w:rsidRPr="0031675F">
        <w:rPr>
          <w:spacing w:val="10"/>
        </w:rPr>
        <w:t xml:space="preserve"> </w:t>
      </w:r>
      <w:r w:rsidRPr="0031675F">
        <w:rPr>
          <w:spacing w:val="-1"/>
        </w:rPr>
        <w:t>different</w:t>
      </w:r>
      <w:r w:rsidRPr="0031675F">
        <w:rPr>
          <w:spacing w:val="12"/>
        </w:rPr>
        <w:t xml:space="preserve"> </w:t>
      </w:r>
      <w:r w:rsidRPr="0031675F">
        <w:rPr>
          <w:spacing w:val="-1"/>
        </w:rPr>
        <w:t>forms</w:t>
      </w:r>
      <w:r w:rsidRPr="0031675F">
        <w:rPr>
          <w:spacing w:val="13"/>
        </w:rPr>
        <w:t xml:space="preserve"> </w:t>
      </w:r>
      <w:r w:rsidRPr="0031675F">
        <w:t>of</w:t>
      </w:r>
      <w:r w:rsidRPr="0031675F">
        <w:rPr>
          <w:spacing w:val="77"/>
        </w:rPr>
        <w:t xml:space="preserve"> </w:t>
      </w:r>
      <w:r w:rsidRPr="0031675F">
        <w:rPr>
          <w:spacing w:val="-1"/>
        </w:rPr>
        <w:t>phosphorus</w:t>
      </w:r>
      <w:r w:rsidRPr="0031675F">
        <w:t xml:space="preserve"> in</w:t>
      </w:r>
      <w:r w:rsidRPr="0031675F">
        <w:rPr>
          <w:spacing w:val="-3"/>
        </w:rPr>
        <w:t xml:space="preserve"> </w:t>
      </w:r>
      <w:r w:rsidRPr="0031675F">
        <w:rPr>
          <w:spacing w:val="-1"/>
        </w:rPr>
        <w:t>marine</w:t>
      </w:r>
      <w:r w:rsidRPr="0031675F">
        <w:rPr>
          <w:spacing w:val="-2"/>
        </w:rPr>
        <w:t xml:space="preserve"> </w:t>
      </w:r>
      <w:r w:rsidRPr="0031675F">
        <w:rPr>
          <w:spacing w:val="-1"/>
        </w:rPr>
        <w:t>sediments.</w:t>
      </w:r>
      <w:r w:rsidRPr="0031675F">
        <w:rPr>
          <w:spacing w:val="47"/>
        </w:rPr>
        <w:t xml:space="preserve"> </w:t>
      </w:r>
      <w:r w:rsidRPr="0031675F">
        <w:rPr>
          <w:spacing w:val="-1"/>
        </w:rPr>
        <w:t>Limnology</w:t>
      </w:r>
      <w:r w:rsidRPr="0031675F">
        <w:rPr>
          <w:spacing w:val="-2"/>
        </w:rPr>
        <w:t xml:space="preserve"> </w:t>
      </w:r>
      <w:r w:rsidRPr="0031675F">
        <w:t>and</w:t>
      </w:r>
      <w:r w:rsidRPr="0031675F">
        <w:rPr>
          <w:spacing w:val="-2"/>
        </w:rPr>
        <w:t xml:space="preserve"> </w:t>
      </w:r>
      <w:r w:rsidRPr="0031675F">
        <w:rPr>
          <w:spacing w:val="-1"/>
        </w:rPr>
        <w:t>Oceanography</w:t>
      </w:r>
      <w:r w:rsidRPr="0031675F">
        <w:rPr>
          <w:spacing w:val="-2"/>
        </w:rPr>
        <w:t xml:space="preserve"> </w:t>
      </w:r>
      <w:r w:rsidRPr="0031675F">
        <w:rPr>
          <w:spacing w:val="-1"/>
        </w:rPr>
        <w:t>37(7):</w:t>
      </w:r>
      <w:r w:rsidRPr="0031675F">
        <w:rPr>
          <w:spacing w:val="-2"/>
        </w:rPr>
        <w:t xml:space="preserve"> </w:t>
      </w:r>
      <w:r w:rsidRPr="0031675F">
        <w:rPr>
          <w:spacing w:val="-1"/>
        </w:rPr>
        <w:t>1460-1482.</w:t>
      </w:r>
    </w:p>
    <w:p w14:paraId="08F96EEF" w14:textId="77777777" w:rsidR="0031675F" w:rsidRPr="0031675F" w:rsidRDefault="0031675F" w:rsidP="0031675F">
      <w:pPr>
        <w:spacing w:before="120" w:after="120"/>
        <w:ind w:right="117"/>
        <w:jc w:val="both"/>
        <w:rPr>
          <w:rFonts w:cs="Calibri"/>
          <w:sz w:val="20"/>
          <w:szCs w:val="20"/>
        </w:rPr>
      </w:pPr>
      <w:r w:rsidRPr="0031675F">
        <w:rPr>
          <w:spacing w:val="-1"/>
        </w:rPr>
        <w:t>Thompson</w:t>
      </w:r>
      <w:r w:rsidRPr="0031675F">
        <w:rPr>
          <w:spacing w:val="9"/>
        </w:rPr>
        <w:t xml:space="preserve"> </w:t>
      </w:r>
      <w:r w:rsidRPr="0031675F">
        <w:t>M.</w:t>
      </w:r>
      <w:r w:rsidRPr="0031675F">
        <w:rPr>
          <w:spacing w:val="12"/>
        </w:rPr>
        <w:t xml:space="preserve"> </w:t>
      </w:r>
      <w:r w:rsidRPr="0031675F">
        <w:rPr>
          <w:spacing w:val="-1"/>
        </w:rPr>
        <w:t>and</w:t>
      </w:r>
      <w:r w:rsidRPr="0031675F">
        <w:rPr>
          <w:spacing w:val="11"/>
        </w:rPr>
        <w:t xml:space="preserve"> </w:t>
      </w:r>
      <w:r w:rsidRPr="0031675F">
        <w:t>Walsh</w:t>
      </w:r>
      <w:r w:rsidRPr="0031675F">
        <w:rPr>
          <w:spacing w:val="11"/>
        </w:rPr>
        <w:t xml:space="preserve"> </w:t>
      </w:r>
      <w:r w:rsidRPr="0031675F">
        <w:rPr>
          <w:spacing w:val="-1"/>
        </w:rPr>
        <w:t>J.</w:t>
      </w:r>
      <w:r w:rsidRPr="0031675F">
        <w:rPr>
          <w:spacing w:val="12"/>
        </w:rPr>
        <w:t xml:space="preserve"> </w:t>
      </w:r>
      <w:r w:rsidRPr="0031675F">
        <w:rPr>
          <w:spacing w:val="-1"/>
        </w:rPr>
        <w:t>N.</w:t>
      </w:r>
      <w:r w:rsidRPr="0031675F">
        <w:rPr>
          <w:spacing w:val="12"/>
        </w:rPr>
        <w:t xml:space="preserve"> </w:t>
      </w:r>
      <w:r w:rsidRPr="0031675F">
        <w:t>1993</w:t>
      </w:r>
      <w:r w:rsidRPr="0031675F">
        <w:rPr>
          <w:spacing w:val="13"/>
        </w:rPr>
        <w:t xml:space="preserve"> </w:t>
      </w:r>
      <w:r w:rsidRPr="0031675F">
        <w:rPr>
          <w:spacing w:val="-1"/>
        </w:rPr>
        <w:t>Handbook</w:t>
      </w:r>
      <w:r w:rsidRPr="0031675F">
        <w:rPr>
          <w:spacing w:val="12"/>
        </w:rPr>
        <w:t xml:space="preserve"> </w:t>
      </w:r>
      <w:r w:rsidRPr="0031675F">
        <w:t>of</w:t>
      </w:r>
      <w:r w:rsidRPr="0031675F">
        <w:rPr>
          <w:spacing w:val="12"/>
        </w:rPr>
        <w:t xml:space="preserve"> </w:t>
      </w:r>
      <w:r w:rsidRPr="0031675F">
        <w:rPr>
          <w:spacing w:val="-1"/>
        </w:rPr>
        <w:t>Inductively</w:t>
      </w:r>
      <w:r w:rsidRPr="0031675F">
        <w:rPr>
          <w:spacing w:val="13"/>
        </w:rPr>
        <w:t xml:space="preserve"> </w:t>
      </w:r>
      <w:r w:rsidRPr="0031675F">
        <w:rPr>
          <w:spacing w:val="-1"/>
        </w:rPr>
        <w:t>Coupled</w:t>
      </w:r>
      <w:r w:rsidRPr="0031675F">
        <w:rPr>
          <w:spacing w:val="9"/>
        </w:rPr>
        <w:t xml:space="preserve"> </w:t>
      </w:r>
      <w:r w:rsidRPr="0031675F">
        <w:rPr>
          <w:spacing w:val="-1"/>
        </w:rPr>
        <w:t>Plasma</w:t>
      </w:r>
      <w:r w:rsidRPr="0031675F">
        <w:rPr>
          <w:spacing w:val="12"/>
        </w:rPr>
        <w:t xml:space="preserve"> </w:t>
      </w:r>
      <w:r w:rsidRPr="0031675F">
        <w:rPr>
          <w:spacing w:val="-1"/>
        </w:rPr>
        <w:t>spectrometry.</w:t>
      </w:r>
      <w:r w:rsidRPr="0031675F">
        <w:rPr>
          <w:spacing w:val="9"/>
        </w:rPr>
        <w:t xml:space="preserve"> </w:t>
      </w:r>
      <w:r w:rsidRPr="0031675F">
        <w:rPr>
          <w:spacing w:val="-1"/>
        </w:rPr>
        <w:t>2nd</w:t>
      </w:r>
      <w:r w:rsidRPr="0031675F">
        <w:rPr>
          <w:spacing w:val="11"/>
        </w:rPr>
        <w:t xml:space="preserve"> </w:t>
      </w:r>
      <w:r w:rsidRPr="0031675F">
        <w:t>ed.</w:t>
      </w:r>
      <w:r w:rsidRPr="0031675F">
        <w:rPr>
          <w:spacing w:val="49"/>
        </w:rPr>
        <w:t xml:space="preserve"> </w:t>
      </w:r>
      <w:r w:rsidRPr="0031675F">
        <w:rPr>
          <w:spacing w:val="-1"/>
        </w:rPr>
        <w:t xml:space="preserve">Chapman </w:t>
      </w:r>
      <w:r w:rsidRPr="0031675F">
        <w:t>and</w:t>
      </w:r>
      <w:r w:rsidRPr="0031675F">
        <w:rPr>
          <w:spacing w:val="-2"/>
        </w:rPr>
        <w:t xml:space="preserve"> </w:t>
      </w:r>
      <w:r w:rsidRPr="0031675F">
        <w:rPr>
          <w:spacing w:val="-1"/>
        </w:rPr>
        <w:t>Hall.</w:t>
      </w:r>
    </w:p>
    <w:p w14:paraId="64217281" w14:textId="77777777" w:rsidR="0031675F" w:rsidRPr="0031675F" w:rsidRDefault="0031675F" w:rsidP="0031675F">
      <w:pPr>
        <w:rPr>
          <w:rFonts w:cs="Calibri"/>
          <w:sz w:val="20"/>
          <w:szCs w:val="20"/>
        </w:rPr>
      </w:pPr>
      <w:r w:rsidRPr="0031675F">
        <w:rPr>
          <w:rFonts w:cs="Calibri"/>
          <w:sz w:val="20"/>
          <w:szCs w:val="20"/>
        </w:rPr>
        <w:br w:type="page"/>
      </w:r>
    </w:p>
    <w:p w14:paraId="7232BB17" w14:textId="77777777" w:rsidR="0031675F" w:rsidRPr="0031675F" w:rsidRDefault="0031675F" w:rsidP="0031675F">
      <w:pPr>
        <w:rPr>
          <w:rFonts w:cs="Calibri"/>
          <w:sz w:val="20"/>
          <w:szCs w:val="20"/>
        </w:rPr>
      </w:pPr>
    </w:p>
    <w:p w14:paraId="1F4067B4" w14:textId="1C80954C" w:rsidR="0031675F" w:rsidRPr="0031675F" w:rsidRDefault="0031675F" w:rsidP="005A35E3">
      <w:pPr>
        <w:pStyle w:val="Heading4"/>
        <w:numPr>
          <w:ilvl w:val="0"/>
          <w:numId w:val="0"/>
        </w:numPr>
        <w:ind w:left="864" w:hanging="864"/>
      </w:pPr>
      <w:bookmarkStart w:id="674" w:name="_TOC_250029"/>
      <w:r w:rsidRPr="0031675F">
        <w:rPr>
          <w:highlight w:val="lightGray"/>
        </w:rPr>
        <w:t xml:space="preserve"> </w:t>
      </w:r>
      <w:bookmarkStart w:id="675" w:name="_Toc523830556"/>
      <w:bookmarkStart w:id="676" w:name="_Toc523905142"/>
      <w:bookmarkStart w:id="677" w:name="_Toc523905384"/>
      <w:bookmarkStart w:id="678" w:name="_Toc534968695"/>
      <w:r w:rsidRPr="0031675F">
        <w:rPr>
          <w:highlight w:val="lightGray"/>
        </w:rPr>
        <w:t>Section A7 Attachments</w:t>
      </w:r>
      <w:bookmarkEnd w:id="675"/>
      <w:bookmarkEnd w:id="676"/>
      <w:bookmarkEnd w:id="677"/>
      <w:bookmarkEnd w:id="678"/>
      <w:r w:rsidRPr="0031675F">
        <w:rPr>
          <w:highlight w:val="lightGray"/>
        </w:rPr>
        <w:t xml:space="preserve"> </w:t>
      </w:r>
      <w:bookmarkEnd w:id="674"/>
    </w:p>
    <w:p w14:paraId="04D73218" w14:textId="77777777" w:rsidR="0031675F" w:rsidRPr="0031675F" w:rsidRDefault="0031675F" w:rsidP="0031675F">
      <w:pPr>
        <w:rPr>
          <w:rFonts w:cs="Calibri"/>
          <w:sz w:val="20"/>
          <w:szCs w:val="20"/>
        </w:rPr>
      </w:pPr>
    </w:p>
    <w:p w14:paraId="4EA9840E" w14:textId="77777777" w:rsidR="0031675F" w:rsidRPr="0031675F" w:rsidRDefault="0031675F" w:rsidP="0031675F">
      <w:pPr>
        <w:keepNext/>
        <w:keepLines/>
        <w:spacing w:after="120"/>
        <w:ind w:left="138"/>
        <w:jc w:val="both"/>
        <w:outlineLvl w:val="3"/>
        <w:rPr>
          <w:rFonts w:eastAsia="Times New Roman"/>
          <w:b/>
          <w:bCs/>
          <w:i/>
          <w:iCs/>
          <w:color w:val="365F91" w:themeColor="accent1" w:themeShade="BF"/>
          <w:sz w:val="20"/>
        </w:rPr>
      </w:pPr>
      <w:bookmarkStart w:id="679" w:name="_TOC_250028"/>
      <w:r w:rsidRPr="0031675F">
        <w:rPr>
          <w:rFonts w:eastAsia="Times New Roman"/>
          <w:b/>
          <w:bCs/>
          <w:i/>
          <w:iCs/>
          <w:color w:val="365F91" w:themeColor="accent1" w:themeShade="BF"/>
          <w:spacing w:val="-1"/>
          <w:sz w:val="20"/>
        </w:rPr>
        <w:t>Attachment</w:t>
      </w:r>
      <w:r w:rsidRPr="0031675F">
        <w:rPr>
          <w:rFonts w:eastAsia="Times New Roman"/>
          <w:b/>
          <w:bCs/>
          <w:i/>
          <w:iCs/>
          <w:color w:val="365F91" w:themeColor="accent1" w:themeShade="BF"/>
          <w:spacing w:val="-39"/>
          <w:sz w:val="20"/>
        </w:rPr>
        <w:t xml:space="preserve"> </w:t>
      </w:r>
      <w:r w:rsidRPr="0031675F">
        <w:rPr>
          <w:rFonts w:eastAsia="Times New Roman"/>
          <w:b/>
          <w:bCs/>
          <w:i/>
          <w:iCs/>
          <w:color w:val="365F91" w:themeColor="accent1" w:themeShade="BF"/>
          <w:sz w:val="20"/>
        </w:rPr>
        <w:t>7.1Homogeniser</w:t>
      </w:r>
      <w:bookmarkEnd w:id="679"/>
    </w:p>
    <w:p w14:paraId="583BF5E9" w14:textId="77777777" w:rsidR="0031675F" w:rsidRPr="0031675F" w:rsidRDefault="0031675F" w:rsidP="0031675F">
      <w:pPr>
        <w:spacing w:before="244" w:after="120" w:line="239" w:lineRule="auto"/>
        <w:ind w:left="138" w:right="109"/>
        <w:jc w:val="both"/>
      </w:pPr>
      <w:r w:rsidRPr="0031675F">
        <w:rPr>
          <w:spacing w:val="-1"/>
        </w:rPr>
        <w:t>Made</w:t>
      </w:r>
      <w:r w:rsidRPr="0031675F">
        <w:rPr>
          <w:spacing w:val="5"/>
        </w:rPr>
        <w:t xml:space="preserve"> </w:t>
      </w:r>
      <w:r w:rsidRPr="0031675F">
        <w:rPr>
          <w:spacing w:val="-1"/>
        </w:rPr>
        <w:t>from</w:t>
      </w:r>
      <w:r w:rsidRPr="0031675F">
        <w:rPr>
          <w:spacing w:val="6"/>
        </w:rPr>
        <w:t xml:space="preserve"> </w:t>
      </w:r>
      <w:r w:rsidRPr="0031675F">
        <w:t>a</w:t>
      </w:r>
      <w:r w:rsidRPr="0031675F">
        <w:rPr>
          <w:spacing w:val="5"/>
        </w:rPr>
        <w:t xml:space="preserve"> </w:t>
      </w:r>
      <w:r w:rsidRPr="0031675F">
        <w:rPr>
          <w:spacing w:val="-1"/>
        </w:rPr>
        <w:t>hand</w:t>
      </w:r>
      <w:r w:rsidRPr="0031675F">
        <w:rPr>
          <w:spacing w:val="4"/>
        </w:rPr>
        <w:t xml:space="preserve"> </w:t>
      </w:r>
      <w:r w:rsidRPr="0031675F">
        <w:rPr>
          <w:spacing w:val="-1"/>
        </w:rPr>
        <w:t>held</w:t>
      </w:r>
      <w:r w:rsidRPr="0031675F">
        <w:rPr>
          <w:spacing w:val="4"/>
        </w:rPr>
        <w:t xml:space="preserve"> </w:t>
      </w:r>
      <w:r w:rsidRPr="0031675F">
        <w:rPr>
          <w:spacing w:val="-1"/>
        </w:rPr>
        <w:t>hobby</w:t>
      </w:r>
      <w:r w:rsidRPr="0031675F">
        <w:rPr>
          <w:spacing w:val="6"/>
        </w:rPr>
        <w:t xml:space="preserve"> </w:t>
      </w:r>
      <w:r w:rsidRPr="0031675F">
        <w:rPr>
          <w:spacing w:val="-1"/>
        </w:rPr>
        <w:t>engraver</w:t>
      </w:r>
      <w:r w:rsidRPr="0031675F">
        <w:rPr>
          <w:spacing w:val="2"/>
        </w:rPr>
        <w:t xml:space="preserve"> </w:t>
      </w:r>
      <w:r w:rsidRPr="0031675F">
        <w:rPr>
          <w:spacing w:val="-1"/>
        </w:rPr>
        <w:t>(Arlec</w:t>
      </w:r>
      <w:r w:rsidRPr="0031675F">
        <w:rPr>
          <w:spacing w:val="5"/>
        </w:rPr>
        <w:t xml:space="preserve"> </w:t>
      </w:r>
      <w:r w:rsidRPr="0031675F">
        <w:rPr>
          <w:spacing w:val="-1"/>
        </w:rPr>
        <w:t>Supertool)</w:t>
      </w:r>
      <w:r w:rsidRPr="0031675F">
        <w:rPr>
          <w:spacing w:val="5"/>
        </w:rPr>
        <w:t xml:space="preserve"> </w:t>
      </w:r>
      <w:r w:rsidRPr="0031675F">
        <w:rPr>
          <w:spacing w:val="-1"/>
        </w:rPr>
        <w:t>fitted</w:t>
      </w:r>
      <w:r w:rsidRPr="0031675F">
        <w:rPr>
          <w:spacing w:val="2"/>
        </w:rPr>
        <w:t xml:space="preserve"> </w:t>
      </w:r>
      <w:r w:rsidRPr="0031675F">
        <w:t>with</w:t>
      </w:r>
      <w:r w:rsidRPr="0031675F">
        <w:rPr>
          <w:spacing w:val="4"/>
        </w:rPr>
        <w:t xml:space="preserve"> </w:t>
      </w:r>
      <w:r w:rsidRPr="0031675F">
        <w:rPr>
          <w:spacing w:val="-1"/>
        </w:rPr>
        <w:t>custom-built</w:t>
      </w:r>
      <w:r w:rsidRPr="0031675F">
        <w:rPr>
          <w:spacing w:val="5"/>
        </w:rPr>
        <w:t xml:space="preserve"> </w:t>
      </w:r>
      <w:r w:rsidRPr="0031675F">
        <w:rPr>
          <w:spacing w:val="-1"/>
        </w:rPr>
        <w:t>shaft</w:t>
      </w:r>
      <w:r w:rsidRPr="0031675F">
        <w:rPr>
          <w:spacing w:val="5"/>
        </w:rPr>
        <w:t xml:space="preserve"> </w:t>
      </w:r>
      <w:r w:rsidRPr="0031675F">
        <w:rPr>
          <w:spacing w:val="-1"/>
        </w:rPr>
        <w:t>made</w:t>
      </w:r>
      <w:r w:rsidRPr="0031675F">
        <w:rPr>
          <w:spacing w:val="5"/>
        </w:rPr>
        <w:t xml:space="preserve"> </w:t>
      </w:r>
      <w:r w:rsidRPr="0031675F">
        <w:rPr>
          <w:spacing w:val="-1"/>
        </w:rPr>
        <w:t>from</w:t>
      </w:r>
      <w:r w:rsidRPr="0031675F">
        <w:rPr>
          <w:spacing w:val="3"/>
        </w:rPr>
        <w:t xml:space="preserve"> </w:t>
      </w:r>
      <w:r w:rsidRPr="0031675F">
        <w:t>a</w:t>
      </w:r>
      <w:r w:rsidRPr="0031675F">
        <w:rPr>
          <w:spacing w:val="69"/>
        </w:rPr>
        <w:t xml:space="preserve"> </w:t>
      </w:r>
      <w:r w:rsidRPr="0031675F">
        <w:rPr>
          <w:spacing w:val="-1"/>
        </w:rPr>
        <w:t>thin</w:t>
      </w:r>
      <w:r w:rsidRPr="0031675F">
        <w:rPr>
          <w:spacing w:val="18"/>
        </w:rPr>
        <w:t xml:space="preserve"> </w:t>
      </w:r>
      <w:r w:rsidRPr="0031675F">
        <w:rPr>
          <w:spacing w:val="-1"/>
        </w:rPr>
        <w:t>(1</w:t>
      </w:r>
      <w:r w:rsidRPr="0031675F">
        <w:rPr>
          <w:spacing w:val="18"/>
        </w:rPr>
        <w:t xml:space="preserve"> </w:t>
      </w:r>
      <w:r w:rsidRPr="0031675F">
        <w:rPr>
          <w:spacing w:val="-1"/>
        </w:rPr>
        <w:t>mm)</w:t>
      </w:r>
      <w:r w:rsidRPr="0031675F">
        <w:rPr>
          <w:spacing w:val="20"/>
        </w:rPr>
        <w:t xml:space="preserve"> </w:t>
      </w:r>
      <w:r w:rsidRPr="0031675F">
        <w:rPr>
          <w:spacing w:val="-1"/>
        </w:rPr>
        <w:t>stainless</w:t>
      </w:r>
      <w:r w:rsidRPr="0031675F">
        <w:rPr>
          <w:spacing w:val="19"/>
        </w:rPr>
        <w:t xml:space="preserve"> </w:t>
      </w:r>
      <w:r w:rsidRPr="0031675F">
        <w:rPr>
          <w:spacing w:val="-1"/>
        </w:rPr>
        <w:t>steel</w:t>
      </w:r>
      <w:r w:rsidRPr="0031675F">
        <w:rPr>
          <w:spacing w:val="16"/>
        </w:rPr>
        <w:t xml:space="preserve"> </w:t>
      </w:r>
      <w:r w:rsidRPr="0031675F">
        <w:t>rod</w:t>
      </w:r>
      <w:r w:rsidRPr="0031675F">
        <w:rPr>
          <w:spacing w:val="18"/>
        </w:rPr>
        <w:t xml:space="preserve"> </w:t>
      </w:r>
      <w:r w:rsidRPr="0031675F">
        <w:t>with</w:t>
      </w:r>
      <w:r w:rsidRPr="0031675F">
        <w:rPr>
          <w:spacing w:val="19"/>
        </w:rPr>
        <w:t xml:space="preserve"> </w:t>
      </w:r>
      <w:r w:rsidRPr="0031675F">
        <w:t>a</w:t>
      </w:r>
      <w:r w:rsidRPr="0031675F">
        <w:rPr>
          <w:spacing w:val="16"/>
        </w:rPr>
        <w:t xml:space="preserve"> </w:t>
      </w:r>
      <w:r w:rsidRPr="0031675F">
        <w:rPr>
          <w:spacing w:val="-1"/>
        </w:rPr>
        <w:t>fluted</w:t>
      </w:r>
      <w:r w:rsidRPr="0031675F">
        <w:rPr>
          <w:spacing w:val="18"/>
        </w:rPr>
        <w:t xml:space="preserve"> </w:t>
      </w:r>
      <w:r w:rsidRPr="0031675F">
        <w:rPr>
          <w:spacing w:val="-1"/>
        </w:rPr>
        <w:t>Teflon</w:t>
      </w:r>
      <w:r w:rsidRPr="0031675F">
        <w:rPr>
          <w:spacing w:val="18"/>
        </w:rPr>
        <w:t xml:space="preserve"> </w:t>
      </w:r>
      <w:r w:rsidRPr="0031675F">
        <w:rPr>
          <w:spacing w:val="-1"/>
        </w:rPr>
        <w:t>disc</w:t>
      </w:r>
      <w:r w:rsidRPr="0031675F">
        <w:rPr>
          <w:spacing w:val="19"/>
        </w:rPr>
        <w:t xml:space="preserve"> </w:t>
      </w:r>
      <w:r w:rsidRPr="0031675F">
        <w:t>at</w:t>
      </w:r>
      <w:r w:rsidRPr="0031675F">
        <w:rPr>
          <w:spacing w:val="19"/>
        </w:rPr>
        <w:t xml:space="preserve"> </w:t>
      </w:r>
      <w:r w:rsidRPr="0031675F">
        <w:t>the</w:t>
      </w:r>
      <w:r w:rsidRPr="0031675F">
        <w:rPr>
          <w:spacing w:val="17"/>
        </w:rPr>
        <w:t xml:space="preserve"> </w:t>
      </w:r>
      <w:r w:rsidRPr="0031675F">
        <w:t>end</w:t>
      </w:r>
      <w:r w:rsidRPr="0031675F">
        <w:rPr>
          <w:spacing w:val="18"/>
        </w:rPr>
        <w:t xml:space="preserve"> </w:t>
      </w:r>
      <w:r w:rsidRPr="0031675F">
        <w:rPr>
          <w:spacing w:val="-1"/>
        </w:rPr>
        <w:t>to</w:t>
      </w:r>
      <w:r w:rsidRPr="0031675F">
        <w:rPr>
          <w:spacing w:val="20"/>
        </w:rPr>
        <w:t xml:space="preserve"> </w:t>
      </w:r>
      <w:r w:rsidRPr="0031675F">
        <w:t>act</w:t>
      </w:r>
      <w:r w:rsidRPr="0031675F">
        <w:rPr>
          <w:spacing w:val="20"/>
        </w:rPr>
        <w:t xml:space="preserve"> </w:t>
      </w:r>
      <w:r w:rsidRPr="0031675F">
        <w:rPr>
          <w:spacing w:val="-2"/>
        </w:rPr>
        <w:t>as</w:t>
      </w:r>
      <w:r w:rsidRPr="0031675F">
        <w:rPr>
          <w:spacing w:val="19"/>
        </w:rPr>
        <w:t xml:space="preserve"> </w:t>
      </w:r>
      <w:r w:rsidRPr="0031675F">
        <w:t>a</w:t>
      </w:r>
      <w:r w:rsidRPr="0031675F">
        <w:rPr>
          <w:spacing w:val="17"/>
        </w:rPr>
        <w:t xml:space="preserve"> </w:t>
      </w:r>
      <w:r w:rsidRPr="0031675F">
        <w:rPr>
          <w:spacing w:val="-1"/>
        </w:rPr>
        <w:t>mixing</w:t>
      </w:r>
      <w:r w:rsidRPr="0031675F">
        <w:rPr>
          <w:spacing w:val="18"/>
        </w:rPr>
        <w:t xml:space="preserve"> </w:t>
      </w:r>
      <w:r w:rsidRPr="0031675F">
        <w:t>blade.</w:t>
      </w:r>
      <w:r w:rsidRPr="0031675F">
        <w:rPr>
          <w:spacing w:val="19"/>
        </w:rPr>
        <w:t xml:space="preserve"> </w:t>
      </w:r>
      <w:r w:rsidRPr="0031675F">
        <w:rPr>
          <w:spacing w:val="-1"/>
        </w:rPr>
        <w:t>This</w:t>
      </w:r>
      <w:r w:rsidRPr="0031675F">
        <w:rPr>
          <w:spacing w:val="19"/>
        </w:rPr>
        <w:t xml:space="preserve"> </w:t>
      </w:r>
      <w:r w:rsidRPr="0031675F">
        <w:t>is</w:t>
      </w:r>
      <w:r w:rsidRPr="0031675F">
        <w:rPr>
          <w:spacing w:val="49"/>
        </w:rPr>
        <w:t xml:space="preserve"> </w:t>
      </w:r>
      <w:r w:rsidRPr="0031675F">
        <w:rPr>
          <w:spacing w:val="-1"/>
        </w:rPr>
        <w:t>basically</w:t>
      </w:r>
      <w:r w:rsidRPr="0031675F">
        <w:rPr>
          <w:spacing w:val="-2"/>
        </w:rPr>
        <w:t xml:space="preserve"> </w:t>
      </w:r>
      <w:r w:rsidRPr="0031675F">
        <w:rPr>
          <w:spacing w:val="-1"/>
        </w:rPr>
        <w:t>modelled</w:t>
      </w:r>
      <w:r w:rsidRPr="0031675F">
        <w:rPr>
          <w:spacing w:val="-3"/>
        </w:rPr>
        <w:t xml:space="preserve"> </w:t>
      </w:r>
      <w:r w:rsidRPr="0031675F">
        <w:t>on</w:t>
      </w:r>
      <w:r w:rsidRPr="0031675F">
        <w:rPr>
          <w:spacing w:val="-1"/>
        </w:rPr>
        <w:t xml:space="preserve"> </w:t>
      </w:r>
      <w:r w:rsidRPr="0031675F">
        <w:t>a</w:t>
      </w:r>
      <w:r w:rsidRPr="0031675F">
        <w:rPr>
          <w:spacing w:val="-2"/>
        </w:rPr>
        <w:t xml:space="preserve"> </w:t>
      </w:r>
      <w:r w:rsidRPr="0031675F">
        <w:rPr>
          <w:spacing w:val="-1"/>
        </w:rPr>
        <w:t>kitchen</w:t>
      </w:r>
      <w:r w:rsidRPr="0031675F">
        <w:t xml:space="preserve"> </w:t>
      </w:r>
      <w:r w:rsidRPr="0031675F">
        <w:rPr>
          <w:spacing w:val="-1"/>
        </w:rPr>
        <w:t>hand-held milkshake</w:t>
      </w:r>
      <w:r w:rsidRPr="0031675F">
        <w:rPr>
          <w:spacing w:val="-2"/>
        </w:rPr>
        <w:t xml:space="preserve"> </w:t>
      </w:r>
      <w:r w:rsidRPr="0031675F">
        <w:rPr>
          <w:spacing w:val="-1"/>
        </w:rPr>
        <w:t>maker.</w:t>
      </w:r>
    </w:p>
    <w:p w14:paraId="0F55C9E8" w14:textId="77777777" w:rsidR="0031675F" w:rsidRPr="0031675F" w:rsidRDefault="0031675F" w:rsidP="0031675F">
      <w:pPr>
        <w:spacing w:before="4"/>
        <w:rPr>
          <w:rFonts w:cs="Calibri"/>
        </w:rPr>
      </w:pPr>
    </w:p>
    <w:p w14:paraId="692F9016" w14:textId="77777777" w:rsidR="0031675F" w:rsidRPr="0031675F" w:rsidRDefault="0031675F" w:rsidP="0031675F">
      <w:pPr>
        <w:spacing w:line="200" w:lineRule="atLeast"/>
        <w:ind w:left="1043"/>
        <w:rPr>
          <w:rFonts w:cs="Calibri"/>
          <w:sz w:val="20"/>
          <w:szCs w:val="20"/>
        </w:rPr>
      </w:pPr>
      <w:r w:rsidRPr="0031675F">
        <w:rPr>
          <w:rFonts w:cs="Calibri"/>
          <w:noProof/>
          <w:sz w:val="20"/>
          <w:szCs w:val="20"/>
          <w:lang w:eastAsia="en-AU"/>
        </w:rPr>
        <w:drawing>
          <wp:inline distT="0" distB="0" distL="0" distR="0" wp14:anchorId="2468B174" wp14:editId="1D8EA858">
            <wp:extent cx="4610100" cy="1762125"/>
            <wp:effectExtent l="0" t="0" r="0" b="9525"/>
            <wp:docPr id="27" name="image10.jpeg" descr="Hand held hobby engraver with custom built shaft photo." title="Hand held hobby engraver with custom built sha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0.jpeg"/>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4610100" cy="1762125"/>
                    </a:xfrm>
                    <a:prstGeom prst="rect">
                      <a:avLst/>
                    </a:prstGeom>
                    <a:noFill/>
                    <a:ln>
                      <a:noFill/>
                    </a:ln>
                  </pic:spPr>
                </pic:pic>
              </a:graphicData>
            </a:graphic>
          </wp:inline>
        </w:drawing>
      </w:r>
    </w:p>
    <w:p w14:paraId="60B78EC8" w14:textId="77777777" w:rsidR="0031675F" w:rsidRPr="0031675F" w:rsidRDefault="0031675F" w:rsidP="0031675F">
      <w:pPr>
        <w:spacing w:before="7"/>
        <w:rPr>
          <w:rFonts w:cs="Calibri"/>
        </w:rPr>
      </w:pPr>
    </w:p>
    <w:p w14:paraId="7CED72FB" w14:textId="77777777" w:rsidR="0031675F" w:rsidRPr="0031675F" w:rsidRDefault="0031675F" w:rsidP="0031675F">
      <w:pPr>
        <w:spacing w:after="120"/>
        <w:ind w:left="2122" w:right="2103"/>
        <w:jc w:val="center"/>
      </w:pPr>
      <w:r w:rsidRPr="0031675F">
        <w:rPr>
          <w:spacing w:val="-1"/>
        </w:rPr>
        <w:t xml:space="preserve">Fig </w:t>
      </w:r>
      <w:r w:rsidRPr="0031675F">
        <w:t>1:</w:t>
      </w:r>
      <w:r w:rsidRPr="0031675F">
        <w:rPr>
          <w:spacing w:val="48"/>
        </w:rPr>
        <w:t xml:space="preserve"> </w:t>
      </w:r>
      <w:r w:rsidRPr="0031675F">
        <w:rPr>
          <w:spacing w:val="-1"/>
        </w:rPr>
        <w:t>Hand held hobby</w:t>
      </w:r>
      <w:r w:rsidRPr="0031675F">
        <w:rPr>
          <w:spacing w:val="-2"/>
        </w:rPr>
        <w:t xml:space="preserve"> </w:t>
      </w:r>
      <w:r w:rsidRPr="0031675F">
        <w:rPr>
          <w:spacing w:val="-1"/>
        </w:rPr>
        <w:t>engraver</w:t>
      </w:r>
      <w:r w:rsidRPr="0031675F">
        <w:rPr>
          <w:spacing w:val="-2"/>
        </w:rPr>
        <w:t xml:space="preserve"> </w:t>
      </w:r>
      <w:r w:rsidRPr="0031675F">
        <w:t xml:space="preserve">with </w:t>
      </w:r>
      <w:r w:rsidRPr="0031675F">
        <w:rPr>
          <w:spacing w:val="-1"/>
        </w:rPr>
        <w:t>custom</w:t>
      </w:r>
      <w:r w:rsidRPr="0031675F">
        <w:rPr>
          <w:spacing w:val="1"/>
        </w:rPr>
        <w:t xml:space="preserve"> </w:t>
      </w:r>
      <w:r w:rsidRPr="0031675F">
        <w:rPr>
          <w:spacing w:val="-1"/>
        </w:rPr>
        <w:t>built</w:t>
      </w:r>
      <w:r w:rsidRPr="0031675F">
        <w:rPr>
          <w:spacing w:val="-2"/>
        </w:rPr>
        <w:t xml:space="preserve"> </w:t>
      </w:r>
      <w:r w:rsidRPr="0031675F">
        <w:rPr>
          <w:spacing w:val="-1"/>
        </w:rPr>
        <w:t>shaft.</w:t>
      </w:r>
    </w:p>
    <w:p w14:paraId="3C610FB4" w14:textId="77777777" w:rsidR="0031675F" w:rsidRPr="0031675F" w:rsidRDefault="0031675F" w:rsidP="0031675F">
      <w:pPr>
        <w:rPr>
          <w:rFonts w:cs="Calibri"/>
          <w:sz w:val="20"/>
          <w:szCs w:val="20"/>
        </w:rPr>
      </w:pPr>
    </w:p>
    <w:p w14:paraId="72A4446E" w14:textId="77777777" w:rsidR="0031675F" w:rsidRPr="0031675F" w:rsidRDefault="0031675F" w:rsidP="0031675F">
      <w:pPr>
        <w:spacing w:before="1"/>
        <w:rPr>
          <w:rFonts w:cs="Calibri"/>
          <w:sz w:val="24"/>
          <w:szCs w:val="24"/>
        </w:rPr>
      </w:pPr>
    </w:p>
    <w:p w14:paraId="22E21A36" w14:textId="77777777" w:rsidR="0031675F" w:rsidRPr="0031675F" w:rsidRDefault="0031675F" w:rsidP="0031675F">
      <w:pPr>
        <w:spacing w:line="200" w:lineRule="atLeast"/>
        <w:ind w:left="1043"/>
        <w:rPr>
          <w:rFonts w:cs="Calibri"/>
          <w:sz w:val="20"/>
          <w:szCs w:val="20"/>
        </w:rPr>
      </w:pPr>
      <w:r w:rsidRPr="0031675F">
        <w:rPr>
          <w:rFonts w:cs="Calibri"/>
          <w:noProof/>
          <w:sz w:val="20"/>
          <w:szCs w:val="20"/>
          <w:lang w:eastAsia="en-AU"/>
        </w:rPr>
        <w:drawing>
          <wp:inline distT="0" distB="0" distL="0" distR="0" wp14:anchorId="619C192E" wp14:editId="14635B66">
            <wp:extent cx="4610100" cy="1971675"/>
            <wp:effectExtent l="0" t="0" r="0" b="9525"/>
            <wp:docPr id="28" name="image11.jpeg" descr="Detail of modified shaft photo." title="Detail of modified sha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jpeg"/>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4610100" cy="1971675"/>
                    </a:xfrm>
                    <a:prstGeom prst="rect">
                      <a:avLst/>
                    </a:prstGeom>
                    <a:noFill/>
                    <a:ln>
                      <a:noFill/>
                    </a:ln>
                  </pic:spPr>
                </pic:pic>
              </a:graphicData>
            </a:graphic>
          </wp:inline>
        </w:drawing>
      </w:r>
    </w:p>
    <w:p w14:paraId="571452F9" w14:textId="77777777" w:rsidR="0031675F" w:rsidRPr="0031675F" w:rsidRDefault="0031675F" w:rsidP="0031675F">
      <w:pPr>
        <w:spacing w:before="1"/>
        <w:rPr>
          <w:rFonts w:cs="Calibri"/>
          <w:sz w:val="23"/>
          <w:szCs w:val="23"/>
        </w:rPr>
      </w:pPr>
    </w:p>
    <w:p w14:paraId="41BFEDA1" w14:textId="77777777" w:rsidR="0031675F" w:rsidRPr="0031675F" w:rsidRDefault="0031675F" w:rsidP="0031675F">
      <w:pPr>
        <w:spacing w:after="120"/>
        <w:ind w:left="2122" w:right="2099"/>
        <w:jc w:val="center"/>
      </w:pPr>
      <w:r w:rsidRPr="0031675F">
        <w:rPr>
          <w:spacing w:val="-1"/>
        </w:rPr>
        <w:t xml:space="preserve">Fig </w:t>
      </w:r>
      <w:r w:rsidRPr="0031675F">
        <w:t>2:</w:t>
      </w:r>
      <w:r w:rsidRPr="0031675F">
        <w:rPr>
          <w:spacing w:val="-2"/>
        </w:rPr>
        <w:t xml:space="preserve"> </w:t>
      </w:r>
      <w:r w:rsidRPr="0031675F">
        <w:rPr>
          <w:spacing w:val="-1"/>
        </w:rPr>
        <w:t>Detail</w:t>
      </w:r>
      <w:r w:rsidRPr="0031675F">
        <w:t xml:space="preserve"> of</w:t>
      </w:r>
      <w:r w:rsidRPr="0031675F">
        <w:rPr>
          <w:spacing w:val="-5"/>
        </w:rPr>
        <w:t xml:space="preserve"> </w:t>
      </w:r>
      <w:r w:rsidRPr="0031675F">
        <w:rPr>
          <w:spacing w:val="-1"/>
        </w:rPr>
        <w:t>modified</w:t>
      </w:r>
      <w:r w:rsidRPr="0031675F">
        <w:rPr>
          <w:spacing w:val="-3"/>
        </w:rPr>
        <w:t xml:space="preserve"> </w:t>
      </w:r>
      <w:r w:rsidRPr="0031675F">
        <w:rPr>
          <w:spacing w:val="-1"/>
        </w:rPr>
        <w:t>shaft.</w:t>
      </w:r>
    </w:p>
    <w:p w14:paraId="7B0C04CA" w14:textId="77777777" w:rsidR="0031675F" w:rsidRPr="0031675F" w:rsidRDefault="0031675F" w:rsidP="0031675F">
      <w:pPr>
        <w:jc w:val="center"/>
        <w:sectPr w:rsidR="0031675F" w:rsidRPr="0031675F" w:rsidSect="004A5C83">
          <w:type w:val="nextColumn"/>
          <w:pgSz w:w="11910" w:h="16850"/>
          <w:pgMar w:top="720" w:right="1281" w:bottom="697" w:left="1281" w:header="520" w:footer="500" w:gutter="0"/>
          <w:paperSrc w:first="7" w:other="7"/>
          <w:cols w:space="720"/>
        </w:sectPr>
      </w:pPr>
    </w:p>
    <w:p w14:paraId="1720A848" w14:textId="77777777" w:rsidR="0031675F" w:rsidRPr="0031675F" w:rsidRDefault="0031675F" w:rsidP="0031675F">
      <w:pPr>
        <w:rPr>
          <w:rFonts w:cs="Calibri"/>
          <w:sz w:val="20"/>
          <w:szCs w:val="20"/>
        </w:rPr>
      </w:pPr>
    </w:p>
    <w:p w14:paraId="5AE47F09" w14:textId="77777777" w:rsidR="0031675F" w:rsidRPr="0031675F" w:rsidRDefault="0031675F" w:rsidP="0031675F">
      <w:pPr>
        <w:tabs>
          <w:tab w:val="left" w:pos="2278"/>
        </w:tabs>
        <w:spacing w:before="206"/>
        <w:ind w:left="118"/>
        <w:rPr>
          <w:rFonts w:eastAsia="Arial" w:cs="Arial"/>
          <w:sz w:val="24"/>
          <w:szCs w:val="24"/>
        </w:rPr>
      </w:pPr>
      <w:bookmarkStart w:id="680" w:name="_TOC_250027"/>
      <w:r w:rsidRPr="0031675F">
        <w:rPr>
          <w:b/>
          <w:spacing w:val="-1"/>
          <w:sz w:val="24"/>
        </w:rPr>
        <w:t>Attachment</w:t>
      </w:r>
      <w:r w:rsidRPr="0031675F">
        <w:rPr>
          <w:b/>
          <w:sz w:val="24"/>
        </w:rPr>
        <w:t xml:space="preserve"> 7.2</w:t>
      </w:r>
      <w:r w:rsidRPr="0031675F">
        <w:rPr>
          <w:b/>
          <w:sz w:val="24"/>
        </w:rPr>
        <w:tab/>
      </w:r>
      <w:r w:rsidRPr="0031675F">
        <w:rPr>
          <w:b/>
          <w:spacing w:val="-1"/>
          <w:sz w:val="24"/>
        </w:rPr>
        <w:t>Example</w:t>
      </w:r>
      <w:r w:rsidRPr="0031675F">
        <w:rPr>
          <w:b/>
          <w:sz w:val="24"/>
        </w:rPr>
        <w:t xml:space="preserve"> </w:t>
      </w:r>
      <w:r w:rsidRPr="0031675F">
        <w:rPr>
          <w:b/>
          <w:spacing w:val="-1"/>
          <w:sz w:val="24"/>
        </w:rPr>
        <w:t>blank</w:t>
      </w:r>
      <w:r w:rsidRPr="0031675F">
        <w:rPr>
          <w:b/>
          <w:sz w:val="24"/>
        </w:rPr>
        <w:t xml:space="preserve"> </w:t>
      </w:r>
      <w:r w:rsidRPr="0031675F">
        <w:rPr>
          <w:b/>
          <w:spacing w:val="-1"/>
          <w:sz w:val="24"/>
        </w:rPr>
        <w:t>laboratory</w:t>
      </w:r>
      <w:r w:rsidRPr="0031675F">
        <w:rPr>
          <w:b/>
          <w:spacing w:val="-7"/>
          <w:sz w:val="24"/>
        </w:rPr>
        <w:t xml:space="preserve"> </w:t>
      </w:r>
      <w:r w:rsidRPr="0031675F">
        <w:rPr>
          <w:b/>
          <w:sz w:val="24"/>
        </w:rPr>
        <w:t>worksheet</w:t>
      </w:r>
      <w:bookmarkEnd w:id="680"/>
    </w:p>
    <w:p w14:paraId="5F93ACB0" w14:textId="3F3A8223" w:rsidR="0031675F" w:rsidRPr="0031675F" w:rsidRDefault="0031675F" w:rsidP="0031675F">
      <w:pPr>
        <w:spacing w:line="200" w:lineRule="atLeast"/>
        <w:ind w:left="168"/>
        <w:rPr>
          <w:rFonts w:eastAsia="Arial" w:cs="Arial"/>
          <w:sz w:val="20"/>
          <w:szCs w:val="20"/>
        </w:rPr>
      </w:pPr>
      <w:r w:rsidRPr="0031675F">
        <w:rPr>
          <w:noProof/>
          <w:lang w:eastAsia="en-AU"/>
        </w:rPr>
        <mc:AlternateContent>
          <mc:Choice Requires="wpg">
            <w:drawing>
              <wp:inline distT="0" distB="0" distL="0" distR="0" wp14:anchorId="6DD35CDA" wp14:editId="7BF228C4">
                <wp:extent cx="5981700" cy="7434580"/>
                <wp:effectExtent l="9525" t="9525" r="9525" b="4445"/>
                <wp:docPr id="108" name="Group 8075" descr="Data collection template for particulate phosphorus." title="Particulate Phosphorus data shee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1700" cy="7434580"/>
                          <a:chOff x="0" y="0"/>
                          <a:chExt cx="9420" cy="11708"/>
                        </a:xfrm>
                      </wpg:grpSpPr>
                      <pic:pic xmlns:pic="http://schemas.openxmlformats.org/drawingml/2006/picture">
                        <pic:nvPicPr>
                          <pic:cNvPr id="109" name="Picture 8078" descr="Data collection template for particulate phosphorus.&#10;" title="Particulate phosphorus data sheet"/>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10" y="10"/>
                            <a:ext cx="9400" cy="11688"/>
                          </a:xfrm>
                          <a:prstGeom prst="rect">
                            <a:avLst/>
                          </a:prstGeom>
                          <a:noFill/>
                          <a:extLst>
                            <a:ext uri="{909E8E84-426E-40DD-AFC4-6F175D3DCCD1}">
                              <a14:hiddenFill xmlns:a14="http://schemas.microsoft.com/office/drawing/2010/main">
                                <a:solidFill>
                                  <a:srgbClr val="FFFFFF"/>
                                </a:solidFill>
                              </a14:hiddenFill>
                            </a:ext>
                          </a:extLst>
                        </pic:spPr>
                      </pic:pic>
                      <wpg:grpSp>
                        <wpg:cNvPr id="110" name="Group 8076"/>
                        <wpg:cNvGrpSpPr>
                          <a:grpSpLocks/>
                        </wpg:cNvGrpSpPr>
                        <wpg:grpSpPr bwMode="auto">
                          <a:xfrm>
                            <a:off x="5" y="5"/>
                            <a:ext cx="9410" cy="11698"/>
                            <a:chOff x="5" y="5"/>
                            <a:chExt cx="9410" cy="11698"/>
                          </a:xfrm>
                        </wpg:grpSpPr>
                        <wps:wsp>
                          <wps:cNvPr id="111" name="Freeform 8077"/>
                          <wps:cNvSpPr>
                            <a:spLocks/>
                          </wps:cNvSpPr>
                          <wps:spPr bwMode="auto">
                            <a:xfrm>
                              <a:off x="5" y="5"/>
                              <a:ext cx="9410" cy="11698"/>
                            </a:xfrm>
                            <a:custGeom>
                              <a:avLst/>
                              <a:gdLst>
                                <a:gd name="T0" fmla="*/ 0 w 9410"/>
                                <a:gd name="T1" fmla="*/ 11703 h 11698"/>
                                <a:gd name="T2" fmla="*/ 9410 w 9410"/>
                                <a:gd name="T3" fmla="*/ 11703 h 11698"/>
                                <a:gd name="T4" fmla="*/ 9410 w 9410"/>
                                <a:gd name="T5" fmla="*/ 5 h 11698"/>
                                <a:gd name="T6" fmla="*/ 0 w 9410"/>
                                <a:gd name="T7" fmla="*/ 5 h 11698"/>
                                <a:gd name="T8" fmla="*/ 0 w 9410"/>
                                <a:gd name="T9" fmla="*/ 11703 h 1169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10" h="11698">
                                  <a:moveTo>
                                    <a:pt x="0" y="11698"/>
                                  </a:moveTo>
                                  <a:lnTo>
                                    <a:pt x="9410" y="11698"/>
                                  </a:lnTo>
                                  <a:lnTo>
                                    <a:pt x="9410" y="0"/>
                                  </a:lnTo>
                                  <a:lnTo>
                                    <a:pt x="0" y="0"/>
                                  </a:lnTo>
                                  <a:lnTo>
                                    <a:pt x="0" y="11698"/>
                                  </a:lnTo>
                                  <a:close/>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0FBC5CB" id="Group 8075" o:spid="_x0000_s1026" alt="Title: Particulate Phosphorus data sheet - Description: Data collection template for particulate phosphorus." style="width:471pt;height:585.4pt;mso-position-horizontal-relative:char;mso-position-vertical-relative:line" coordsize="9420,117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">
                <v:shape id="Picture 8078" o:spid="_x0000_s1027" type="#_x0000_t75" alt="Data collection template for particulate phosphorus.&#10;" style="position:absolute;left:10;top:10;width:9400;height:116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XEf8HDAAAA3AAAAA8AAABkcnMvZG93bnJldi54bWxEj81qwzAQhO+FvIPYQG+N3ATcxI0SQiCQ&#10;9lbHD7BYW9m1tTKW/NO3rwqB3HaZmW9n98fZtmKk3teOFbyuEhDEpdM1GwXF7fKyBeEDssbWMSn4&#10;JQ/Hw+Jpj5l2E3/RmAcjIoR9hgqqELpMSl9WZNGvXEcctW/XWwxx7Y3UPU4Rblu5TpJUWqw5Xqiw&#10;o3NFZZMPNlKKfEoL7d7SZjSbH/M5fLTNoNTzcj69gwg0h4f5nr7qWD/Zwf8zcQJ5+A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cR/wcMAAADcAAAADwAAAAAAAAAAAAAAAACf&#10;AgAAZHJzL2Rvd25yZXYueG1sUEsFBgAAAAAEAAQA9wAAAI8DAAAAAA==&#10;">
                  <v:imagedata r:id="rId129" o:title="Data collection template for particulate phosphorus"/>
                </v:shape>
                <v:group id="Group 8076" o:spid="_x0000_s1028" style="position:absolute;left:5;top:5;width:9410;height:11698" coordorigin="5,5" coordsize="9410,116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0MgcYAAADcAAAADwAAAGRycy9kb3ducmV2LnhtbESPT2vCQBDF70K/wzKF&#10;3nQTS0tJ3YhIlR6kUC2ItyE7+YPZ2ZBdk/jtO4dCbzO8N+/9ZrWeXKsG6kPj2UC6SEARF942XBn4&#10;Oe3mb6BCRLbYeiYDdwqwzh9mK8ysH/mbhmOslIRwyNBAHWOXaR2KmhyGhe+IRSt97zDK2lfa9jhK&#10;uGv1MkletcOGpaHGjrY1FdfjzRnYjzhuntOP4XAtt/fL6eXrfEjJmKfHafMOKtIU/81/159W8F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HQyBxgAAANwA&#10;AAAPAAAAAAAAAAAAAAAAAKoCAABkcnMvZG93bnJldi54bWxQSwUGAAAAAAQABAD6AAAAnQMAAAAA&#10;">
                  <v:shape id="Freeform 8077" o:spid="_x0000_s1029" style="position:absolute;left:5;top:5;width:9410;height:11698;visibility:visible;mso-wrap-style:square;v-text-anchor:top" coordsize="9410,116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5assQA&#10;AADcAAAADwAAAGRycy9kb3ducmV2LnhtbERP22rCQBB9L/gPywh9q5uIaIiuUgVtwWLxAr4O2TGb&#10;mp0N2a3Gv+8WCn2bw7nObNHZWtyo9ZVjBekgAUFcOF1xqeB0XL9kIHxA1lg7JgUP8rCY955mmGt3&#10;5z3dDqEUMYR9jgpMCE0upS8MWfQD1xBH7uJaiyHCtpS6xXsMt7UcJslYWqw4NhhsaGWouB6+rYLP&#10;Zfq2PFfn7LIbmfHXZjupP7KJUs/97nUKIlAX/sV/7ncd56cp/D4TL5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eWrLEAAAA3AAAAA8AAAAAAAAAAAAAAAAAmAIAAGRycy9k&#10;b3ducmV2LnhtbFBLBQYAAAAABAAEAPUAAACJAwAAAAA=&#10;" path="m,11698r9410,l9410,,,,,11698xe" filled="f" strokeweight=".5pt">
                    <v:path arrowok="t" o:connecttype="custom" o:connectlocs="0,11703;9410,11703;9410,5;0,5;0,11703" o:connectangles="0,0,0,0,0"/>
                  </v:shape>
                </v:group>
                <w10:anchorlock/>
              </v:group>
            </w:pict>
          </mc:Fallback>
        </mc:AlternateContent>
      </w:r>
    </w:p>
    <w:p w14:paraId="3F54D5EC" w14:textId="77777777" w:rsidR="0031675F" w:rsidRPr="0031675F" w:rsidRDefault="0031675F" w:rsidP="0031675F">
      <w:pPr>
        <w:spacing w:line="200" w:lineRule="atLeast"/>
        <w:rPr>
          <w:rFonts w:eastAsia="Arial" w:cs="Arial"/>
          <w:sz w:val="20"/>
          <w:szCs w:val="20"/>
        </w:rPr>
        <w:sectPr w:rsidR="0031675F" w:rsidRPr="0031675F" w:rsidSect="004A5C83">
          <w:type w:val="nextColumn"/>
          <w:pgSz w:w="11910" w:h="16850"/>
          <w:pgMar w:top="720" w:right="1281" w:bottom="697" w:left="1281" w:header="520" w:footer="500" w:gutter="0"/>
          <w:paperSrc w:first="7" w:other="7"/>
          <w:cols w:space="720"/>
        </w:sectPr>
      </w:pPr>
    </w:p>
    <w:p w14:paraId="349F8D7C" w14:textId="77777777" w:rsidR="0031675F" w:rsidRPr="0031675F" w:rsidRDefault="0031675F" w:rsidP="0031675F">
      <w:pPr>
        <w:rPr>
          <w:rFonts w:eastAsia="Arial" w:cs="Arial"/>
          <w:b/>
          <w:bCs/>
          <w:sz w:val="20"/>
          <w:szCs w:val="20"/>
        </w:rPr>
      </w:pPr>
    </w:p>
    <w:p w14:paraId="6803A436" w14:textId="73AAA6D9" w:rsidR="0031675F" w:rsidRPr="0031675F" w:rsidRDefault="0031675F" w:rsidP="005A35E3">
      <w:pPr>
        <w:pStyle w:val="Heading2"/>
        <w:numPr>
          <w:ilvl w:val="0"/>
          <w:numId w:val="0"/>
        </w:numPr>
        <w:ind w:left="284"/>
      </w:pPr>
      <w:bookmarkStart w:id="681" w:name="_Toc423356994"/>
      <w:bookmarkStart w:id="682" w:name="_Toc523830557"/>
      <w:bookmarkStart w:id="683" w:name="_Toc523905143"/>
      <w:bookmarkStart w:id="684" w:name="_Toc523905385"/>
      <w:bookmarkStart w:id="685" w:name="_Toc534968696"/>
      <w:bookmarkStart w:id="686" w:name="_Toc12365635"/>
      <w:r w:rsidRPr="00FF3C2F">
        <w:t>Section A8: Analysis of particulate organic carbon and particulate nitrogen in marine waters</w:t>
      </w:r>
      <w:bookmarkEnd w:id="681"/>
      <w:bookmarkEnd w:id="682"/>
      <w:bookmarkEnd w:id="683"/>
      <w:bookmarkEnd w:id="684"/>
      <w:bookmarkEnd w:id="685"/>
      <w:bookmarkEnd w:id="686"/>
    </w:p>
    <w:p w14:paraId="6EBFA779" w14:textId="77777777" w:rsidR="0031675F" w:rsidRPr="0031675F" w:rsidRDefault="0031675F" w:rsidP="0031675F">
      <w:pPr>
        <w:spacing w:before="8"/>
        <w:rPr>
          <w:rFonts w:eastAsia="Arial" w:cs="Arial"/>
          <w:b/>
          <w:bCs/>
          <w:sz w:val="20"/>
          <w:szCs w:val="20"/>
        </w:rPr>
      </w:pPr>
    </w:p>
    <w:p w14:paraId="4988B076" w14:textId="77777777" w:rsidR="0031675F" w:rsidRPr="0031675F" w:rsidRDefault="0031675F" w:rsidP="0031675F">
      <w:pPr>
        <w:widowControl w:val="0"/>
        <w:numPr>
          <w:ilvl w:val="1"/>
          <w:numId w:val="98"/>
        </w:numPr>
        <w:tabs>
          <w:tab w:val="left" w:pos="859"/>
        </w:tabs>
        <w:spacing w:before="69" w:after="0" w:line="240" w:lineRule="auto"/>
        <w:jc w:val="both"/>
        <w:rPr>
          <w:rFonts w:eastAsia="Arial" w:cs="Arial"/>
          <w:sz w:val="24"/>
          <w:szCs w:val="24"/>
        </w:rPr>
      </w:pPr>
      <w:bookmarkStart w:id="687" w:name="_TOC_250026"/>
      <w:r w:rsidRPr="0031675F">
        <w:rPr>
          <w:b/>
          <w:spacing w:val="-1"/>
          <w:sz w:val="24"/>
        </w:rPr>
        <w:t>Objective</w:t>
      </w:r>
      <w:bookmarkEnd w:id="687"/>
    </w:p>
    <w:p w14:paraId="1BE6811A" w14:textId="77777777" w:rsidR="0031675F" w:rsidRPr="0031675F" w:rsidRDefault="0031675F" w:rsidP="0031675F">
      <w:pPr>
        <w:spacing w:before="11"/>
        <w:rPr>
          <w:rFonts w:eastAsia="Arial" w:cs="Arial"/>
          <w:b/>
          <w:bCs/>
          <w:sz w:val="20"/>
          <w:szCs w:val="20"/>
        </w:rPr>
      </w:pPr>
    </w:p>
    <w:p w14:paraId="74F37AF0" w14:textId="77777777" w:rsidR="0031675F" w:rsidRPr="0031675F" w:rsidRDefault="0031675F" w:rsidP="0031675F">
      <w:pPr>
        <w:spacing w:after="120"/>
        <w:ind w:left="138" w:right="140"/>
      </w:pPr>
      <w:r w:rsidRPr="0031675F">
        <w:rPr>
          <w:spacing w:val="-1"/>
        </w:rPr>
        <w:t>The</w:t>
      </w:r>
      <w:r w:rsidRPr="0031675F">
        <w:rPr>
          <w:spacing w:val="43"/>
        </w:rPr>
        <w:t xml:space="preserve"> </w:t>
      </w:r>
      <w:r w:rsidRPr="0031675F">
        <w:rPr>
          <w:spacing w:val="-1"/>
        </w:rPr>
        <w:t>analysis</w:t>
      </w:r>
      <w:r w:rsidRPr="0031675F">
        <w:rPr>
          <w:spacing w:val="43"/>
        </w:rPr>
        <w:t xml:space="preserve"> </w:t>
      </w:r>
      <w:r w:rsidRPr="0031675F">
        <w:t>of</w:t>
      </w:r>
      <w:r w:rsidRPr="0031675F">
        <w:rPr>
          <w:spacing w:val="41"/>
        </w:rPr>
        <w:t xml:space="preserve"> </w:t>
      </w:r>
      <w:r w:rsidRPr="0031675F">
        <w:rPr>
          <w:spacing w:val="-1"/>
        </w:rPr>
        <w:t>total</w:t>
      </w:r>
      <w:r w:rsidRPr="0031675F">
        <w:rPr>
          <w:spacing w:val="42"/>
        </w:rPr>
        <w:t xml:space="preserve"> </w:t>
      </w:r>
      <w:r w:rsidRPr="0031675F">
        <w:rPr>
          <w:spacing w:val="-1"/>
        </w:rPr>
        <w:t>particulate</w:t>
      </w:r>
      <w:r w:rsidRPr="0031675F">
        <w:rPr>
          <w:spacing w:val="42"/>
        </w:rPr>
        <w:t xml:space="preserve"> </w:t>
      </w:r>
      <w:r w:rsidRPr="0031675F">
        <w:rPr>
          <w:spacing w:val="-1"/>
        </w:rPr>
        <w:t>organic</w:t>
      </w:r>
      <w:r w:rsidRPr="0031675F">
        <w:rPr>
          <w:spacing w:val="43"/>
        </w:rPr>
        <w:t xml:space="preserve"> </w:t>
      </w:r>
      <w:r w:rsidRPr="0031675F">
        <w:rPr>
          <w:spacing w:val="-1"/>
        </w:rPr>
        <w:t>carbon</w:t>
      </w:r>
      <w:r w:rsidRPr="0031675F">
        <w:rPr>
          <w:spacing w:val="43"/>
        </w:rPr>
        <w:t xml:space="preserve"> </w:t>
      </w:r>
      <w:r w:rsidRPr="0031675F">
        <w:t>in</w:t>
      </w:r>
      <w:r w:rsidRPr="0031675F">
        <w:rPr>
          <w:spacing w:val="41"/>
        </w:rPr>
        <w:t xml:space="preserve"> </w:t>
      </w:r>
      <w:r w:rsidRPr="0031675F">
        <w:rPr>
          <w:spacing w:val="-1"/>
        </w:rPr>
        <w:t>seawater</w:t>
      </w:r>
      <w:r w:rsidRPr="0031675F">
        <w:rPr>
          <w:spacing w:val="44"/>
        </w:rPr>
        <w:t xml:space="preserve"> </w:t>
      </w:r>
      <w:r w:rsidRPr="0031675F">
        <w:rPr>
          <w:spacing w:val="-1"/>
        </w:rPr>
        <w:t>with</w:t>
      </w:r>
      <w:r w:rsidRPr="0031675F">
        <w:rPr>
          <w:spacing w:val="43"/>
        </w:rPr>
        <w:t xml:space="preserve"> </w:t>
      </w:r>
      <w:r w:rsidRPr="0031675F">
        <w:t>a</w:t>
      </w:r>
      <w:r w:rsidRPr="0031675F">
        <w:rPr>
          <w:spacing w:val="42"/>
        </w:rPr>
        <w:t xml:space="preserve"> </w:t>
      </w:r>
      <w:r w:rsidRPr="0031675F">
        <w:rPr>
          <w:spacing w:val="-1"/>
        </w:rPr>
        <w:t>focus</w:t>
      </w:r>
      <w:r w:rsidRPr="0031675F">
        <w:rPr>
          <w:spacing w:val="40"/>
        </w:rPr>
        <w:t xml:space="preserve"> </w:t>
      </w:r>
      <w:r w:rsidRPr="0031675F">
        <w:t>on</w:t>
      </w:r>
      <w:r w:rsidRPr="0031675F">
        <w:rPr>
          <w:spacing w:val="40"/>
        </w:rPr>
        <w:t xml:space="preserve"> </w:t>
      </w:r>
      <w:r w:rsidRPr="0031675F">
        <w:rPr>
          <w:spacing w:val="-1"/>
        </w:rPr>
        <w:t>detecting</w:t>
      </w:r>
      <w:r w:rsidRPr="0031675F">
        <w:rPr>
          <w:spacing w:val="43"/>
        </w:rPr>
        <w:t xml:space="preserve"> </w:t>
      </w:r>
      <w:r w:rsidRPr="0031675F">
        <w:rPr>
          <w:spacing w:val="-1"/>
        </w:rPr>
        <w:t>low</w:t>
      </w:r>
      <w:r w:rsidRPr="0031675F">
        <w:rPr>
          <w:spacing w:val="41"/>
        </w:rPr>
        <w:t xml:space="preserve"> </w:t>
      </w:r>
      <w:r w:rsidRPr="0031675F">
        <w:rPr>
          <w:spacing w:val="-1"/>
        </w:rPr>
        <w:t>level</w:t>
      </w:r>
      <w:r w:rsidRPr="0031675F">
        <w:rPr>
          <w:spacing w:val="81"/>
        </w:rPr>
        <w:t xml:space="preserve"> </w:t>
      </w:r>
      <w:r w:rsidRPr="0031675F">
        <w:rPr>
          <w:spacing w:val="-1"/>
        </w:rPr>
        <w:t>concentrations.</w:t>
      </w:r>
    </w:p>
    <w:p w14:paraId="3BC047BE" w14:textId="77777777" w:rsidR="0031675F" w:rsidRPr="0031675F" w:rsidRDefault="0031675F" w:rsidP="0031675F">
      <w:pPr>
        <w:spacing w:before="11"/>
        <w:rPr>
          <w:rFonts w:cs="Calibri"/>
          <w:sz w:val="21"/>
          <w:szCs w:val="21"/>
        </w:rPr>
      </w:pPr>
    </w:p>
    <w:p w14:paraId="5A8D15EB" w14:textId="77777777" w:rsidR="0031675F" w:rsidRPr="0031675F" w:rsidRDefault="0031675F" w:rsidP="0031675F">
      <w:pPr>
        <w:widowControl w:val="0"/>
        <w:numPr>
          <w:ilvl w:val="1"/>
          <w:numId w:val="98"/>
        </w:numPr>
        <w:tabs>
          <w:tab w:val="left" w:pos="859"/>
        </w:tabs>
        <w:spacing w:before="0" w:after="0" w:line="240" w:lineRule="auto"/>
        <w:jc w:val="both"/>
        <w:rPr>
          <w:rFonts w:eastAsia="Arial" w:cs="Arial"/>
          <w:sz w:val="24"/>
          <w:szCs w:val="24"/>
        </w:rPr>
      </w:pPr>
      <w:bookmarkStart w:id="688" w:name="_TOC_250025"/>
      <w:r w:rsidRPr="0031675F">
        <w:rPr>
          <w:b/>
          <w:spacing w:val="-1"/>
          <w:sz w:val="24"/>
        </w:rPr>
        <w:t>Principle</w:t>
      </w:r>
      <w:r w:rsidRPr="0031675F">
        <w:rPr>
          <w:b/>
          <w:sz w:val="24"/>
        </w:rPr>
        <w:t xml:space="preserve"> of </w:t>
      </w:r>
      <w:r w:rsidRPr="0031675F">
        <w:rPr>
          <w:b/>
          <w:spacing w:val="-1"/>
          <w:sz w:val="24"/>
        </w:rPr>
        <w:t>analys</w:t>
      </w:r>
      <w:bookmarkEnd w:id="688"/>
      <w:r w:rsidRPr="0031675F">
        <w:rPr>
          <w:b/>
          <w:spacing w:val="-1"/>
          <w:sz w:val="24"/>
        </w:rPr>
        <w:t>es</w:t>
      </w:r>
    </w:p>
    <w:p w14:paraId="718EC6AA" w14:textId="77777777" w:rsidR="0031675F" w:rsidRPr="0031675F" w:rsidRDefault="0031675F" w:rsidP="0031675F">
      <w:pPr>
        <w:spacing w:before="11"/>
        <w:rPr>
          <w:rFonts w:eastAsia="Arial" w:cs="Arial"/>
          <w:b/>
          <w:bCs/>
          <w:sz w:val="20"/>
          <w:szCs w:val="20"/>
        </w:rPr>
      </w:pPr>
    </w:p>
    <w:p w14:paraId="0D684FFD" w14:textId="77777777" w:rsidR="0031675F" w:rsidRPr="0031675F" w:rsidRDefault="0031675F" w:rsidP="0031675F">
      <w:pPr>
        <w:spacing w:after="120"/>
        <w:ind w:left="138" w:right="131"/>
        <w:jc w:val="both"/>
        <w:rPr>
          <w:spacing w:val="-1"/>
        </w:rPr>
      </w:pPr>
      <w:r w:rsidRPr="0031675F">
        <w:rPr>
          <w:spacing w:val="-1"/>
        </w:rPr>
        <w:t>For Carbon:  The</w:t>
      </w:r>
      <w:r w:rsidRPr="0031675F">
        <w:rPr>
          <w:spacing w:val="48"/>
        </w:rPr>
        <w:t xml:space="preserve"> </w:t>
      </w:r>
      <w:r w:rsidRPr="0031675F">
        <w:rPr>
          <w:spacing w:val="-1"/>
        </w:rPr>
        <w:t>Shimadzu</w:t>
      </w:r>
      <w:r w:rsidRPr="0031675F">
        <w:rPr>
          <w:spacing w:val="45"/>
        </w:rPr>
        <w:t xml:space="preserve"> </w:t>
      </w:r>
      <w:r w:rsidRPr="0031675F">
        <w:rPr>
          <w:spacing w:val="-1"/>
        </w:rPr>
        <w:t>TOC-V</w:t>
      </w:r>
      <w:r w:rsidRPr="0031675F">
        <w:rPr>
          <w:spacing w:val="48"/>
        </w:rPr>
        <w:t xml:space="preserve"> </w:t>
      </w:r>
      <w:r w:rsidRPr="0031675F">
        <w:rPr>
          <w:spacing w:val="-1"/>
        </w:rPr>
        <w:t>analyser</w:t>
      </w:r>
      <w:r w:rsidRPr="0031675F">
        <w:rPr>
          <w:spacing w:val="48"/>
        </w:rPr>
        <w:t xml:space="preserve"> </w:t>
      </w:r>
      <w:r w:rsidRPr="0031675F">
        <w:rPr>
          <w:spacing w:val="-1"/>
        </w:rPr>
        <w:t>uses</w:t>
      </w:r>
      <w:r w:rsidRPr="0031675F">
        <w:t xml:space="preserve">  </w:t>
      </w:r>
      <w:r w:rsidRPr="0031675F">
        <w:rPr>
          <w:spacing w:val="-1"/>
        </w:rPr>
        <w:t>high</w:t>
      </w:r>
      <w:r w:rsidRPr="0031675F">
        <w:rPr>
          <w:spacing w:val="48"/>
        </w:rPr>
        <w:t xml:space="preserve"> </w:t>
      </w:r>
      <w:r w:rsidRPr="0031675F">
        <w:rPr>
          <w:spacing w:val="-1"/>
        </w:rPr>
        <w:t>temperature</w:t>
      </w:r>
      <w:r w:rsidRPr="0031675F">
        <w:rPr>
          <w:spacing w:val="48"/>
        </w:rPr>
        <w:t xml:space="preserve"> </w:t>
      </w:r>
      <w:r w:rsidRPr="0031675F">
        <w:rPr>
          <w:spacing w:val="-1"/>
        </w:rPr>
        <w:t>combustion</w:t>
      </w:r>
      <w:r w:rsidRPr="0031675F">
        <w:rPr>
          <w:spacing w:val="45"/>
        </w:rPr>
        <w:t xml:space="preserve"> </w:t>
      </w:r>
      <w:r w:rsidRPr="0031675F">
        <w:t>to</w:t>
      </w:r>
      <w:r w:rsidRPr="0031675F">
        <w:rPr>
          <w:spacing w:val="44"/>
        </w:rPr>
        <w:t xml:space="preserve"> </w:t>
      </w:r>
      <w:r w:rsidRPr="0031675F">
        <w:rPr>
          <w:spacing w:val="-1"/>
        </w:rPr>
        <w:t>measure</w:t>
      </w:r>
      <w:r w:rsidRPr="0031675F">
        <w:rPr>
          <w:spacing w:val="49"/>
        </w:rPr>
        <w:t xml:space="preserve"> </w:t>
      </w:r>
      <w:r w:rsidRPr="0031675F">
        <w:t>the</w:t>
      </w:r>
      <w:r w:rsidRPr="0031675F">
        <w:rPr>
          <w:spacing w:val="46"/>
        </w:rPr>
        <w:t xml:space="preserve"> </w:t>
      </w:r>
      <w:r w:rsidRPr="0031675F">
        <w:rPr>
          <w:spacing w:val="-1"/>
        </w:rPr>
        <w:t>Total</w:t>
      </w:r>
      <w:r w:rsidRPr="0031675F">
        <w:rPr>
          <w:spacing w:val="45"/>
        </w:rPr>
        <w:t xml:space="preserve"> </w:t>
      </w:r>
      <w:r w:rsidRPr="0031675F">
        <w:rPr>
          <w:spacing w:val="-1"/>
        </w:rPr>
        <w:t>Organic</w:t>
      </w:r>
      <w:r w:rsidRPr="0031675F">
        <w:rPr>
          <w:spacing w:val="53"/>
        </w:rPr>
        <w:t xml:space="preserve"> </w:t>
      </w:r>
      <w:r w:rsidRPr="0031675F">
        <w:rPr>
          <w:spacing w:val="-1"/>
        </w:rPr>
        <w:t>Carbon</w:t>
      </w:r>
      <w:r w:rsidRPr="0031675F">
        <w:rPr>
          <w:spacing w:val="4"/>
        </w:rPr>
        <w:t xml:space="preserve"> </w:t>
      </w:r>
      <w:r w:rsidRPr="0031675F">
        <w:rPr>
          <w:spacing w:val="-1"/>
        </w:rPr>
        <w:t>(TOC)</w:t>
      </w:r>
      <w:r w:rsidRPr="0031675F">
        <w:rPr>
          <w:spacing w:val="5"/>
        </w:rPr>
        <w:t xml:space="preserve"> </w:t>
      </w:r>
      <w:r w:rsidRPr="0031675F">
        <w:t>in</w:t>
      </w:r>
      <w:r w:rsidRPr="0031675F">
        <w:rPr>
          <w:spacing w:val="4"/>
        </w:rPr>
        <w:t xml:space="preserve"> </w:t>
      </w:r>
      <w:r w:rsidRPr="0031675F">
        <w:rPr>
          <w:spacing w:val="-1"/>
        </w:rPr>
        <w:t>samples.</w:t>
      </w:r>
      <w:r w:rsidRPr="0031675F">
        <w:rPr>
          <w:spacing w:val="4"/>
        </w:rPr>
        <w:t xml:space="preserve"> </w:t>
      </w:r>
      <w:r w:rsidRPr="0031675F">
        <w:t>In</w:t>
      </w:r>
      <w:r w:rsidRPr="0031675F">
        <w:rPr>
          <w:spacing w:val="4"/>
        </w:rPr>
        <w:t xml:space="preserve"> </w:t>
      </w:r>
      <w:r w:rsidRPr="0031675F">
        <w:rPr>
          <w:spacing w:val="-1"/>
        </w:rPr>
        <w:t>preparation</w:t>
      </w:r>
      <w:r w:rsidRPr="0031675F">
        <w:rPr>
          <w:spacing w:val="4"/>
        </w:rPr>
        <w:t xml:space="preserve"> </w:t>
      </w:r>
      <w:r w:rsidRPr="0031675F">
        <w:rPr>
          <w:spacing w:val="-1"/>
        </w:rPr>
        <w:t>for</w:t>
      </w:r>
      <w:r w:rsidRPr="0031675F">
        <w:rPr>
          <w:spacing w:val="5"/>
        </w:rPr>
        <w:t xml:space="preserve"> </w:t>
      </w:r>
      <w:r w:rsidRPr="0031675F">
        <w:rPr>
          <w:spacing w:val="-1"/>
        </w:rPr>
        <w:t>analysis,</w:t>
      </w:r>
      <w:r w:rsidRPr="0031675F">
        <w:rPr>
          <w:spacing w:val="5"/>
        </w:rPr>
        <w:t xml:space="preserve"> </w:t>
      </w:r>
      <w:r w:rsidRPr="0031675F">
        <w:t>a</w:t>
      </w:r>
      <w:r w:rsidRPr="0031675F">
        <w:rPr>
          <w:spacing w:val="5"/>
        </w:rPr>
        <w:t xml:space="preserve"> </w:t>
      </w:r>
      <w:r w:rsidRPr="0031675F">
        <w:t>small</w:t>
      </w:r>
      <w:r w:rsidRPr="0031675F">
        <w:rPr>
          <w:spacing w:val="4"/>
        </w:rPr>
        <w:t xml:space="preserve"> </w:t>
      </w:r>
      <w:r w:rsidRPr="0031675F">
        <w:rPr>
          <w:spacing w:val="-1"/>
        </w:rPr>
        <w:t>amount</w:t>
      </w:r>
      <w:r w:rsidRPr="0031675F">
        <w:rPr>
          <w:spacing w:val="5"/>
        </w:rPr>
        <w:t xml:space="preserve"> </w:t>
      </w:r>
      <w:r w:rsidRPr="0031675F">
        <w:t>of</w:t>
      </w:r>
      <w:r w:rsidRPr="0031675F">
        <w:rPr>
          <w:spacing w:val="5"/>
        </w:rPr>
        <w:t xml:space="preserve"> </w:t>
      </w:r>
      <w:r w:rsidRPr="0031675F">
        <w:rPr>
          <w:spacing w:val="-1"/>
        </w:rPr>
        <w:t>hydrochloric</w:t>
      </w:r>
      <w:r w:rsidRPr="0031675F">
        <w:rPr>
          <w:spacing w:val="4"/>
        </w:rPr>
        <w:t xml:space="preserve"> </w:t>
      </w:r>
      <w:r w:rsidRPr="0031675F">
        <w:t>acid</w:t>
      </w:r>
      <w:r w:rsidRPr="0031675F">
        <w:rPr>
          <w:spacing w:val="4"/>
        </w:rPr>
        <w:t xml:space="preserve"> </w:t>
      </w:r>
      <w:r w:rsidRPr="0031675F">
        <w:t>is</w:t>
      </w:r>
      <w:r w:rsidRPr="0031675F">
        <w:rPr>
          <w:spacing w:val="4"/>
        </w:rPr>
        <w:t xml:space="preserve"> </w:t>
      </w:r>
      <w:r w:rsidRPr="0031675F">
        <w:rPr>
          <w:spacing w:val="-1"/>
        </w:rPr>
        <w:t>added</w:t>
      </w:r>
      <w:r w:rsidRPr="0031675F">
        <w:rPr>
          <w:spacing w:val="4"/>
        </w:rPr>
        <w:t xml:space="preserve"> </w:t>
      </w:r>
      <w:r w:rsidRPr="0031675F">
        <w:t>to</w:t>
      </w:r>
      <w:r w:rsidRPr="0031675F">
        <w:rPr>
          <w:spacing w:val="71"/>
        </w:rPr>
        <w:t xml:space="preserve"> </w:t>
      </w:r>
      <w:r w:rsidRPr="0031675F">
        <w:t>the</w:t>
      </w:r>
      <w:r w:rsidRPr="0031675F">
        <w:rPr>
          <w:spacing w:val="7"/>
        </w:rPr>
        <w:t xml:space="preserve"> </w:t>
      </w:r>
      <w:r w:rsidRPr="0031675F">
        <w:rPr>
          <w:spacing w:val="-1"/>
        </w:rPr>
        <w:t>sample</w:t>
      </w:r>
      <w:r w:rsidRPr="0031675F">
        <w:rPr>
          <w:spacing w:val="7"/>
        </w:rPr>
        <w:t xml:space="preserve"> </w:t>
      </w:r>
      <w:r w:rsidRPr="0031675F">
        <w:rPr>
          <w:spacing w:val="-1"/>
        </w:rPr>
        <w:t>to</w:t>
      </w:r>
      <w:r w:rsidRPr="0031675F">
        <w:rPr>
          <w:spacing w:val="8"/>
        </w:rPr>
        <w:t xml:space="preserve"> </w:t>
      </w:r>
      <w:r w:rsidRPr="0031675F">
        <w:rPr>
          <w:spacing w:val="-1"/>
        </w:rPr>
        <w:t>convert</w:t>
      </w:r>
      <w:r w:rsidRPr="0031675F">
        <w:rPr>
          <w:spacing w:val="8"/>
        </w:rPr>
        <w:t xml:space="preserve"> </w:t>
      </w:r>
      <w:r w:rsidRPr="0031675F">
        <w:t>all</w:t>
      </w:r>
      <w:r w:rsidRPr="0031675F">
        <w:rPr>
          <w:spacing w:val="7"/>
        </w:rPr>
        <w:t xml:space="preserve"> </w:t>
      </w:r>
      <w:r w:rsidRPr="0031675F">
        <w:rPr>
          <w:spacing w:val="-1"/>
        </w:rPr>
        <w:t>Inorganic</w:t>
      </w:r>
      <w:r w:rsidRPr="0031675F">
        <w:rPr>
          <w:spacing w:val="7"/>
        </w:rPr>
        <w:t xml:space="preserve"> </w:t>
      </w:r>
      <w:r w:rsidRPr="0031675F">
        <w:rPr>
          <w:spacing w:val="-1"/>
        </w:rPr>
        <w:t>Carbon</w:t>
      </w:r>
      <w:r w:rsidRPr="0031675F">
        <w:rPr>
          <w:spacing w:val="6"/>
        </w:rPr>
        <w:t xml:space="preserve"> </w:t>
      </w:r>
      <w:r w:rsidRPr="0031675F">
        <w:rPr>
          <w:spacing w:val="-1"/>
        </w:rPr>
        <w:t>(IC)</w:t>
      </w:r>
      <w:r w:rsidRPr="0031675F">
        <w:rPr>
          <w:spacing w:val="7"/>
        </w:rPr>
        <w:t xml:space="preserve"> </w:t>
      </w:r>
      <w:r w:rsidRPr="0031675F">
        <w:t>in</w:t>
      </w:r>
      <w:r w:rsidRPr="0031675F">
        <w:rPr>
          <w:spacing w:val="6"/>
        </w:rPr>
        <w:t xml:space="preserve"> </w:t>
      </w:r>
      <w:r w:rsidRPr="0031675F">
        <w:t>the</w:t>
      </w:r>
      <w:r w:rsidRPr="0031675F">
        <w:rPr>
          <w:spacing w:val="7"/>
        </w:rPr>
        <w:t xml:space="preserve"> </w:t>
      </w:r>
      <w:r w:rsidRPr="0031675F">
        <w:rPr>
          <w:spacing w:val="-1"/>
        </w:rPr>
        <w:t>sample</w:t>
      </w:r>
      <w:r w:rsidRPr="0031675F">
        <w:rPr>
          <w:spacing w:val="7"/>
        </w:rPr>
        <w:t xml:space="preserve"> </w:t>
      </w:r>
      <w:r w:rsidRPr="0031675F">
        <w:t>to</w:t>
      </w:r>
      <w:r w:rsidRPr="0031675F">
        <w:rPr>
          <w:spacing w:val="9"/>
        </w:rPr>
        <w:t xml:space="preserve"> </w:t>
      </w:r>
      <w:r w:rsidRPr="0031675F">
        <w:rPr>
          <w:spacing w:val="-1"/>
        </w:rPr>
        <w:t>carbon</w:t>
      </w:r>
      <w:r w:rsidRPr="0031675F">
        <w:rPr>
          <w:spacing w:val="6"/>
        </w:rPr>
        <w:t xml:space="preserve"> </w:t>
      </w:r>
      <w:r w:rsidRPr="0031675F">
        <w:rPr>
          <w:spacing w:val="-1"/>
        </w:rPr>
        <w:t>dioxide.</w:t>
      </w:r>
      <w:r w:rsidRPr="0031675F">
        <w:rPr>
          <w:spacing w:val="12"/>
        </w:rPr>
        <w:t xml:space="preserve"> </w:t>
      </w:r>
      <w:r w:rsidRPr="0031675F">
        <w:rPr>
          <w:spacing w:val="-1"/>
        </w:rPr>
        <w:t>The</w:t>
      </w:r>
      <w:r w:rsidRPr="0031675F">
        <w:rPr>
          <w:spacing w:val="8"/>
        </w:rPr>
        <w:t xml:space="preserve"> </w:t>
      </w:r>
      <w:r w:rsidRPr="0031675F">
        <w:rPr>
          <w:spacing w:val="-1"/>
        </w:rPr>
        <w:t>sample</w:t>
      </w:r>
      <w:r w:rsidRPr="0031675F">
        <w:rPr>
          <w:spacing w:val="7"/>
        </w:rPr>
        <w:t xml:space="preserve"> </w:t>
      </w:r>
      <w:r w:rsidRPr="0031675F">
        <w:t>is</w:t>
      </w:r>
      <w:r w:rsidRPr="0031675F">
        <w:rPr>
          <w:spacing w:val="7"/>
        </w:rPr>
        <w:t xml:space="preserve"> </w:t>
      </w:r>
      <w:r w:rsidRPr="0031675F">
        <w:rPr>
          <w:spacing w:val="1"/>
        </w:rPr>
        <w:t>dried</w:t>
      </w:r>
      <w:r w:rsidRPr="0031675F">
        <w:rPr>
          <w:spacing w:val="61"/>
        </w:rPr>
        <w:t xml:space="preserve"> </w:t>
      </w:r>
      <w:r w:rsidRPr="0031675F">
        <w:rPr>
          <w:rFonts w:cs="Calibri"/>
          <w:spacing w:val="-1"/>
        </w:rPr>
        <w:t>(100</w:t>
      </w:r>
      <w:r w:rsidRPr="0031675F">
        <w:rPr>
          <w:rFonts w:cs="Calibri"/>
          <w:spacing w:val="5"/>
        </w:rPr>
        <w:t xml:space="preserve"> </w:t>
      </w:r>
      <w:r w:rsidRPr="0031675F">
        <w:rPr>
          <w:rFonts w:cs="Calibri"/>
          <w:spacing w:val="-1"/>
        </w:rPr>
        <w:t>degrees</w:t>
      </w:r>
      <w:r w:rsidRPr="0031675F">
        <w:rPr>
          <w:rFonts w:cs="Calibri"/>
          <w:spacing w:val="2"/>
        </w:rPr>
        <w:t xml:space="preserve"> </w:t>
      </w:r>
      <w:r w:rsidRPr="0031675F">
        <w:rPr>
          <w:rFonts w:cs="Calibri"/>
        </w:rPr>
        <w:t>C)</w:t>
      </w:r>
      <w:r w:rsidRPr="0031675F">
        <w:rPr>
          <w:rFonts w:cs="Calibri"/>
          <w:spacing w:val="5"/>
        </w:rPr>
        <w:t xml:space="preserve"> </w:t>
      </w:r>
      <w:r w:rsidRPr="0031675F">
        <w:rPr>
          <w:rFonts w:cs="Calibri"/>
        </w:rPr>
        <w:t>in</w:t>
      </w:r>
      <w:r w:rsidRPr="0031675F">
        <w:rPr>
          <w:rFonts w:cs="Calibri"/>
          <w:spacing w:val="4"/>
        </w:rPr>
        <w:t xml:space="preserve"> </w:t>
      </w:r>
      <w:r w:rsidRPr="0031675F">
        <w:rPr>
          <w:rFonts w:cs="Calibri"/>
        </w:rPr>
        <w:t>a</w:t>
      </w:r>
      <w:r w:rsidRPr="0031675F">
        <w:rPr>
          <w:rFonts w:cs="Calibri"/>
          <w:spacing w:val="2"/>
        </w:rPr>
        <w:t xml:space="preserve"> </w:t>
      </w:r>
      <w:r w:rsidRPr="0031675F">
        <w:rPr>
          <w:rFonts w:cs="Calibri"/>
          <w:spacing w:val="-1"/>
        </w:rPr>
        <w:t>“sample</w:t>
      </w:r>
      <w:r w:rsidRPr="0031675F">
        <w:rPr>
          <w:rFonts w:cs="Calibri"/>
          <w:spacing w:val="5"/>
        </w:rPr>
        <w:t xml:space="preserve"> </w:t>
      </w:r>
      <w:r w:rsidRPr="0031675F">
        <w:rPr>
          <w:rFonts w:cs="Calibri"/>
          <w:spacing w:val="-1"/>
        </w:rPr>
        <w:t>boat”</w:t>
      </w:r>
      <w:r w:rsidRPr="0031675F">
        <w:rPr>
          <w:rFonts w:cs="Calibri"/>
          <w:spacing w:val="4"/>
        </w:rPr>
        <w:t xml:space="preserve"> </w:t>
      </w:r>
      <w:r w:rsidRPr="0031675F">
        <w:rPr>
          <w:rFonts w:cs="Calibri"/>
          <w:spacing w:val="-1"/>
        </w:rPr>
        <w:t>and</w:t>
      </w:r>
      <w:r w:rsidRPr="0031675F">
        <w:rPr>
          <w:rFonts w:cs="Calibri"/>
          <w:spacing w:val="4"/>
        </w:rPr>
        <w:t xml:space="preserve"> </w:t>
      </w:r>
      <w:r w:rsidRPr="0031675F">
        <w:rPr>
          <w:rFonts w:cs="Calibri"/>
          <w:spacing w:val="-1"/>
        </w:rPr>
        <w:t>introduced</w:t>
      </w:r>
      <w:r w:rsidRPr="0031675F">
        <w:rPr>
          <w:rFonts w:cs="Calibri"/>
          <w:spacing w:val="5"/>
        </w:rPr>
        <w:t xml:space="preserve"> </w:t>
      </w:r>
      <w:r w:rsidRPr="0031675F">
        <w:rPr>
          <w:rFonts w:cs="Calibri"/>
          <w:spacing w:val="-1"/>
        </w:rPr>
        <w:t>into</w:t>
      </w:r>
      <w:r w:rsidRPr="0031675F">
        <w:rPr>
          <w:rFonts w:cs="Calibri"/>
          <w:spacing w:val="6"/>
        </w:rPr>
        <w:t xml:space="preserve"> </w:t>
      </w:r>
      <w:r w:rsidRPr="0031675F">
        <w:rPr>
          <w:rFonts w:cs="Calibri"/>
          <w:spacing w:val="-1"/>
        </w:rPr>
        <w:t>the</w:t>
      </w:r>
      <w:r w:rsidRPr="0031675F">
        <w:rPr>
          <w:rFonts w:cs="Calibri"/>
          <w:spacing w:val="5"/>
        </w:rPr>
        <w:t xml:space="preserve"> </w:t>
      </w:r>
      <w:r w:rsidRPr="0031675F">
        <w:rPr>
          <w:rFonts w:cs="Calibri"/>
          <w:spacing w:val="-1"/>
        </w:rPr>
        <w:t>combustion</w:t>
      </w:r>
      <w:r w:rsidRPr="0031675F">
        <w:rPr>
          <w:rFonts w:cs="Calibri"/>
          <w:spacing w:val="2"/>
        </w:rPr>
        <w:t xml:space="preserve"> </w:t>
      </w:r>
      <w:r w:rsidRPr="0031675F">
        <w:rPr>
          <w:rFonts w:cs="Calibri"/>
          <w:spacing w:val="-1"/>
        </w:rPr>
        <w:t>tube</w:t>
      </w:r>
      <w:r w:rsidRPr="0031675F">
        <w:rPr>
          <w:rFonts w:cs="Calibri"/>
          <w:spacing w:val="5"/>
        </w:rPr>
        <w:t xml:space="preserve"> </w:t>
      </w:r>
      <w:r w:rsidRPr="0031675F">
        <w:rPr>
          <w:rFonts w:cs="Calibri"/>
          <w:spacing w:val="-1"/>
        </w:rPr>
        <w:t>(950°C),</w:t>
      </w:r>
      <w:r w:rsidRPr="0031675F">
        <w:rPr>
          <w:rFonts w:cs="Calibri"/>
          <w:spacing w:val="2"/>
        </w:rPr>
        <w:t xml:space="preserve"> </w:t>
      </w:r>
      <w:r w:rsidRPr="0031675F">
        <w:rPr>
          <w:rFonts w:cs="Calibri"/>
        </w:rPr>
        <w:t>where</w:t>
      </w:r>
      <w:r w:rsidRPr="0031675F">
        <w:rPr>
          <w:rFonts w:cs="Calibri"/>
          <w:spacing w:val="3"/>
        </w:rPr>
        <w:t xml:space="preserve"> </w:t>
      </w:r>
      <w:r w:rsidRPr="0031675F">
        <w:rPr>
          <w:rFonts w:cs="Calibri"/>
        </w:rPr>
        <w:t>the</w:t>
      </w:r>
      <w:r w:rsidRPr="0031675F">
        <w:rPr>
          <w:rFonts w:cs="Calibri"/>
          <w:spacing w:val="3"/>
        </w:rPr>
        <w:t xml:space="preserve"> </w:t>
      </w:r>
      <w:r w:rsidRPr="0031675F">
        <w:rPr>
          <w:rFonts w:cs="Calibri"/>
          <w:spacing w:val="-1"/>
        </w:rPr>
        <w:t>TOC</w:t>
      </w:r>
      <w:r w:rsidRPr="0031675F">
        <w:rPr>
          <w:rFonts w:cs="Calibri"/>
          <w:spacing w:val="47"/>
        </w:rPr>
        <w:t xml:space="preserve"> </w:t>
      </w:r>
      <w:r w:rsidRPr="0031675F">
        <w:t>of</w:t>
      </w:r>
      <w:r w:rsidRPr="0031675F">
        <w:rPr>
          <w:spacing w:val="17"/>
        </w:rPr>
        <w:t xml:space="preserve"> </w:t>
      </w:r>
      <w:r w:rsidRPr="0031675F">
        <w:t>the</w:t>
      </w:r>
      <w:r w:rsidRPr="0031675F">
        <w:rPr>
          <w:spacing w:val="18"/>
        </w:rPr>
        <w:t xml:space="preserve"> </w:t>
      </w:r>
      <w:r w:rsidRPr="0031675F">
        <w:rPr>
          <w:spacing w:val="-1"/>
        </w:rPr>
        <w:t>sample</w:t>
      </w:r>
      <w:r w:rsidRPr="0031675F">
        <w:rPr>
          <w:spacing w:val="18"/>
        </w:rPr>
        <w:t xml:space="preserve"> </w:t>
      </w:r>
      <w:r w:rsidRPr="0031675F">
        <w:t>is</w:t>
      </w:r>
      <w:r w:rsidRPr="0031675F">
        <w:rPr>
          <w:spacing w:val="17"/>
        </w:rPr>
        <w:t xml:space="preserve"> </w:t>
      </w:r>
      <w:r w:rsidRPr="0031675F">
        <w:rPr>
          <w:spacing w:val="-1"/>
        </w:rPr>
        <w:t>simultaneously</w:t>
      </w:r>
      <w:r w:rsidRPr="0031675F">
        <w:rPr>
          <w:spacing w:val="16"/>
        </w:rPr>
        <w:t xml:space="preserve"> </w:t>
      </w:r>
      <w:r w:rsidRPr="0031675F">
        <w:rPr>
          <w:spacing w:val="-1"/>
        </w:rPr>
        <w:t>oxidized</w:t>
      </w:r>
      <w:r w:rsidRPr="0031675F">
        <w:rPr>
          <w:spacing w:val="17"/>
        </w:rPr>
        <w:t xml:space="preserve"> </w:t>
      </w:r>
      <w:r w:rsidRPr="0031675F">
        <w:t>to</w:t>
      </w:r>
      <w:r w:rsidRPr="0031675F">
        <w:rPr>
          <w:spacing w:val="19"/>
        </w:rPr>
        <w:t xml:space="preserve"> </w:t>
      </w:r>
      <w:r w:rsidRPr="0031675F">
        <w:rPr>
          <w:spacing w:val="-2"/>
        </w:rPr>
        <w:t>form</w:t>
      </w:r>
      <w:r w:rsidRPr="0031675F">
        <w:rPr>
          <w:spacing w:val="16"/>
        </w:rPr>
        <w:t xml:space="preserve"> </w:t>
      </w:r>
      <w:r w:rsidRPr="0031675F">
        <w:rPr>
          <w:spacing w:val="-1"/>
        </w:rPr>
        <w:t>CO2.</w:t>
      </w:r>
      <w:r w:rsidRPr="0031675F">
        <w:rPr>
          <w:spacing w:val="17"/>
        </w:rPr>
        <w:t xml:space="preserve"> </w:t>
      </w:r>
      <w:r w:rsidRPr="0031675F">
        <w:rPr>
          <w:spacing w:val="-1"/>
        </w:rPr>
        <w:t>This</w:t>
      </w:r>
      <w:r w:rsidRPr="0031675F">
        <w:rPr>
          <w:spacing w:val="17"/>
        </w:rPr>
        <w:t xml:space="preserve"> </w:t>
      </w:r>
      <w:r w:rsidRPr="0031675F">
        <w:t>carbon</w:t>
      </w:r>
      <w:r w:rsidRPr="0031675F">
        <w:rPr>
          <w:spacing w:val="17"/>
        </w:rPr>
        <w:t xml:space="preserve"> </w:t>
      </w:r>
      <w:r w:rsidRPr="0031675F">
        <w:rPr>
          <w:spacing w:val="-1"/>
        </w:rPr>
        <w:t>dioxide</w:t>
      </w:r>
      <w:r w:rsidRPr="0031675F">
        <w:rPr>
          <w:spacing w:val="18"/>
        </w:rPr>
        <w:t xml:space="preserve"> </w:t>
      </w:r>
      <w:r w:rsidRPr="0031675F">
        <w:t>is</w:t>
      </w:r>
      <w:r w:rsidRPr="0031675F">
        <w:rPr>
          <w:spacing w:val="17"/>
        </w:rPr>
        <w:t xml:space="preserve"> </w:t>
      </w:r>
      <w:r w:rsidRPr="0031675F">
        <w:rPr>
          <w:spacing w:val="-1"/>
        </w:rPr>
        <w:t>detected</w:t>
      </w:r>
      <w:r w:rsidRPr="0031675F">
        <w:rPr>
          <w:spacing w:val="17"/>
        </w:rPr>
        <w:t xml:space="preserve"> </w:t>
      </w:r>
      <w:r w:rsidRPr="0031675F">
        <w:rPr>
          <w:spacing w:val="-1"/>
        </w:rPr>
        <w:t>by</w:t>
      </w:r>
      <w:r w:rsidRPr="0031675F">
        <w:rPr>
          <w:spacing w:val="18"/>
        </w:rPr>
        <w:t xml:space="preserve"> </w:t>
      </w:r>
      <w:r w:rsidRPr="0031675F">
        <w:t>a</w:t>
      </w:r>
      <w:r w:rsidRPr="0031675F">
        <w:rPr>
          <w:spacing w:val="43"/>
        </w:rPr>
        <w:t xml:space="preserve"> </w:t>
      </w:r>
      <w:r w:rsidRPr="0031675F">
        <w:rPr>
          <w:spacing w:val="-1"/>
        </w:rPr>
        <w:t>nondispersive</w:t>
      </w:r>
      <w:r w:rsidRPr="0031675F">
        <w:rPr>
          <w:spacing w:val="20"/>
        </w:rPr>
        <w:t xml:space="preserve"> </w:t>
      </w:r>
      <w:r w:rsidRPr="0031675F">
        <w:rPr>
          <w:spacing w:val="-1"/>
        </w:rPr>
        <w:t>infrared</w:t>
      </w:r>
      <w:r w:rsidRPr="0031675F">
        <w:rPr>
          <w:spacing w:val="16"/>
        </w:rPr>
        <w:t xml:space="preserve"> </w:t>
      </w:r>
      <w:r w:rsidRPr="0031675F">
        <w:rPr>
          <w:spacing w:val="-1"/>
        </w:rPr>
        <w:t>(NDIR)</w:t>
      </w:r>
      <w:r w:rsidRPr="0031675F">
        <w:rPr>
          <w:spacing w:val="19"/>
        </w:rPr>
        <w:t xml:space="preserve"> </w:t>
      </w:r>
      <w:r w:rsidRPr="0031675F">
        <w:rPr>
          <w:spacing w:val="-1"/>
        </w:rPr>
        <w:t>gas</w:t>
      </w:r>
      <w:r w:rsidRPr="0031675F">
        <w:rPr>
          <w:spacing w:val="19"/>
        </w:rPr>
        <w:t xml:space="preserve"> </w:t>
      </w:r>
      <w:r w:rsidRPr="0031675F">
        <w:rPr>
          <w:spacing w:val="-1"/>
        </w:rPr>
        <w:t>analyser.</w:t>
      </w:r>
      <w:r w:rsidRPr="0031675F">
        <w:rPr>
          <w:spacing w:val="17"/>
        </w:rPr>
        <w:t xml:space="preserve"> </w:t>
      </w:r>
      <w:r w:rsidRPr="0031675F">
        <w:rPr>
          <w:spacing w:val="-1"/>
        </w:rPr>
        <w:t>The</w:t>
      </w:r>
      <w:r w:rsidRPr="0031675F">
        <w:rPr>
          <w:spacing w:val="20"/>
        </w:rPr>
        <w:t xml:space="preserve"> </w:t>
      </w:r>
      <w:r w:rsidRPr="0031675F">
        <w:rPr>
          <w:spacing w:val="-1"/>
        </w:rPr>
        <w:t>area</w:t>
      </w:r>
      <w:r w:rsidRPr="0031675F">
        <w:rPr>
          <w:spacing w:val="17"/>
        </w:rPr>
        <w:t xml:space="preserve"> </w:t>
      </w:r>
      <w:r w:rsidRPr="0031675F">
        <w:t>of</w:t>
      </w:r>
      <w:r w:rsidRPr="0031675F">
        <w:rPr>
          <w:spacing w:val="19"/>
        </w:rPr>
        <w:t xml:space="preserve"> </w:t>
      </w:r>
      <w:r w:rsidRPr="0031675F">
        <w:rPr>
          <w:spacing w:val="-1"/>
        </w:rPr>
        <w:t>the</w:t>
      </w:r>
      <w:r w:rsidRPr="0031675F">
        <w:rPr>
          <w:spacing w:val="20"/>
        </w:rPr>
        <w:t xml:space="preserve"> </w:t>
      </w:r>
      <w:r w:rsidRPr="0031675F">
        <w:t>carbon</w:t>
      </w:r>
      <w:r w:rsidRPr="0031675F">
        <w:rPr>
          <w:spacing w:val="18"/>
        </w:rPr>
        <w:t xml:space="preserve"> </w:t>
      </w:r>
      <w:r w:rsidRPr="0031675F">
        <w:rPr>
          <w:spacing w:val="-1"/>
        </w:rPr>
        <w:t>dioxide</w:t>
      </w:r>
      <w:r w:rsidRPr="0031675F">
        <w:rPr>
          <w:spacing w:val="20"/>
        </w:rPr>
        <w:t xml:space="preserve"> </w:t>
      </w:r>
      <w:r w:rsidRPr="0031675F">
        <w:rPr>
          <w:spacing w:val="-1"/>
        </w:rPr>
        <w:t>peak</w:t>
      </w:r>
      <w:r w:rsidRPr="0031675F">
        <w:rPr>
          <w:spacing w:val="20"/>
        </w:rPr>
        <w:t xml:space="preserve"> </w:t>
      </w:r>
      <w:r w:rsidRPr="0031675F">
        <w:rPr>
          <w:spacing w:val="-1"/>
        </w:rPr>
        <w:t>signal</w:t>
      </w:r>
      <w:r w:rsidRPr="0031675F">
        <w:rPr>
          <w:spacing w:val="19"/>
        </w:rPr>
        <w:t xml:space="preserve"> </w:t>
      </w:r>
      <w:r w:rsidRPr="0031675F">
        <w:t>is</w:t>
      </w:r>
      <w:r w:rsidRPr="0031675F">
        <w:rPr>
          <w:spacing w:val="16"/>
        </w:rPr>
        <w:t xml:space="preserve"> </w:t>
      </w:r>
      <w:r w:rsidRPr="0031675F">
        <w:rPr>
          <w:spacing w:val="-1"/>
        </w:rPr>
        <w:t>measured</w:t>
      </w:r>
      <w:r w:rsidRPr="0031675F">
        <w:rPr>
          <w:spacing w:val="47"/>
        </w:rPr>
        <w:t xml:space="preserve"> </w:t>
      </w:r>
      <w:r w:rsidRPr="0031675F">
        <w:rPr>
          <w:spacing w:val="-1"/>
        </w:rPr>
        <w:t>and</w:t>
      </w:r>
      <w:r w:rsidRPr="0031675F">
        <w:rPr>
          <w:spacing w:val="16"/>
        </w:rPr>
        <w:t xml:space="preserve"> </w:t>
      </w:r>
      <w:r w:rsidRPr="0031675F">
        <w:rPr>
          <w:spacing w:val="-1"/>
        </w:rPr>
        <w:t>this</w:t>
      </w:r>
      <w:r w:rsidRPr="0031675F">
        <w:rPr>
          <w:spacing w:val="17"/>
        </w:rPr>
        <w:t xml:space="preserve"> </w:t>
      </w:r>
      <w:r w:rsidRPr="0031675F">
        <w:rPr>
          <w:spacing w:val="-1"/>
        </w:rPr>
        <w:t>peak</w:t>
      </w:r>
      <w:r w:rsidRPr="0031675F">
        <w:rPr>
          <w:spacing w:val="17"/>
        </w:rPr>
        <w:t xml:space="preserve"> </w:t>
      </w:r>
      <w:r w:rsidRPr="0031675F">
        <w:t>area</w:t>
      </w:r>
      <w:r w:rsidRPr="0031675F">
        <w:rPr>
          <w:spacing w:val="17"/>
        </w:rPr>
        <w:t xml:space="preserve"> </w:t>
      </w:r>
      <w:r w:rsidRPr="0031675F">
        <w:t>is</w:t>
      </w:r>
      <w:r w:rsidRPr="0031675F">
        <w:rPr>
          <w:spacing w:val="16"/>
        </w:rPr>
        <w:t xml:space="preserve"> </w:t>
      </w:r>
      <w:r w:rsidRPr="0031675F">
        <w:rPr>
          <w:spacing w:val="-1"/>
        </w:rPr>
        <w:t>converted</w:t>
      </w:r>
      <w:r w:rsidRPr="0031675F">
        <w:rPr>
          <w:spacing w:val="16"/>
        </w:rPr>
        <w:t xml:space="preserve"> </w:t>
      </w:r>
      <w:r w:rsidRPr="0031675F">
        <w:rPr>
          <w:spacing w:val="-1"/>
        </w:rPr>
        <w:t>to</w:t>
      </w:r>
      <w:r w:rsidRPr="0031675F">
        <w:rPr>
          <w:spacing w:val="18"/>
        </w:rPr>
        <w:t xml:space="preserve"> </w:t>
      </w:r>
      <w:r w:rsidRPr="0031675F">
        <w:rPr>
          <w:spacing w:val="-1"/>
        </w:rPr>
        <w:t>TOC</w:t>
      </w:r>
      <w:r w:rsidRPr="0031675F">
        <w:rPr>
          <w:spacing w:val="17"/>
        </w:rPr>
        <w:t xml:space="preserve"> </w:t>
      </w:r>
      <w:r w:rsidRPr="0031675F">
        <w:rPr>
          <w:spacing w:val="-1"/>
        </w:rPr>
        <w:t>concentration,</w:t>
      </w:r>
      <w:r w:rsidRPr="0031675F">
        <w:rPr>
          <w:spacing w:val="17"/>
        </w:rPr>
        <w:t xml:space="preserve"> </w:t>
      </w:r>
      <w:r w:rsidRPr="0031675F">
        <w:rPr>
          <w:spacing w:val="-1"/>
        </w:rPr>
        <w:t>calculated</w:t>
      </w:r>
      <w:r w:rsidRPr="0031675F">
        <w:rPr>
          <w:spacing w:val="16"/>
        </w:rPr>
        <w:t xml:space="preserve"> </w:t>
      </w:r>
      <w:r w:rsidRPr="0031675F">
        <w:rPr>
          <w:spacing w:val="-1"/>
        </w:rPr>
        <w:t>from</w:t>
      </w:r>
      <w:r w:rsidRPr="0031675F">
        <w:rPr>
          <w:spacing w:val="18"/>
        </w:rPr>
        <w:t xml:space="preserve"> </w:t>
      </w:r>
      <w:r w:rsidRPr="0031675F">
        <w:t>a</w:t>
      </w:r>
      <w:r w:rsidRPr="0031675F">
        <w:rPr>
          <w:spacing w:val="14"/>
        </w:rPr>
        <w:t xml:space="preserve"> </w:t>
      </w:r>
      <w:r w:rsidRPr="0031675F">
        <w:rPr>
          <w:spacing w:val="-1"/>
        </w:rPr>
        <w:t>calibration</w:t>
      </w:r>
      <w:r w:rsidRPr="0031675F">
        <w:rPr>
          <w:spacing w:val="16"/>
        </w:rPr>
        <w:t xml:space="preserve"> </w:t>
      </w:r>
      <w:r w:rsidRPr="0031675F">
        <w:rPr>
          <w:spacing w:val="-1"/>
        </w:rPr>
        <w:t>curve</w:t>
      </w:r>
      <w:r w:rsidRPr="0031675F">
        <w:rPr>
          <w:spacing w:val="17"/>
        </w:rPr>
        <w:t xml:space="preserve"> </w:t>
      </w:r>
      <w:r w:rsidRPr="0031675F">
        <w:rPr>
          <w:spacing w:val="-1"/>
        </w:rPr>
        <w:t>prepared</w:t>
      </w:r>
      <w:r w:rsidRPr="0031675F">
        <w:rPr>
          <w:spacing w:val="83"/>
        </w:rPr>
        <w:t xml:space="preserve"> </w:t>
      </w:r>
      <w:r w:rsidRPr="0031675F">
        <w:rPr>
          <w:spacing w:val="-1"/>
        </w:rPr>
        <w:t>from</w:t>
      </w:r>
      <w:r w:rsidRPr="0031675F">
        <w:rPr>
          <w:spacing w:val="-2"/>
        </w:rPr>
        <w:t xml:space="preserve"> </w:t>
      </w:r>
      <w:r w:rsidRPr="0031675F">
        <w:rPr>
          <w:spacing w:val="-1"/>
        </w:rPr>
        <w:t>known</w:t>
      </w:r>
      <w:r w:rsidRPr="0031675F">
        <w:t xml:space="preserve"> </w:t>
      </w:r>
      <w:r w:rsidRPr="0031675F">
        <w:rPr>
          <w:spacing w:val="-1"/>
        </w:rPr>
        <w:t>amounts</w:t>
      </w:r>
      <w:r w:rsidRPr="0031675F">
        <w:rPr>
          <w:spacing w:val="-2"/>
        </w:rPr>
        <w:t xml:space="preserve"> </w:t>
      </w:r>
      <w:r w:rsidRPr="0031675F">
        <w:t xml:space="preserve">of </w:t>
      </w:r>
      <w:r w:rsidRPr="0031675F">
        <w:rPr>
          <w:spacing w:val="-1"/>
        </w:rPr>
        <w:t>carbon (using standard sediments).</w:t>
      </w:r>
    </w:p>
    <w:p w14:paraId="75D1437F" w14:textId="77777777" w:rsidR="0031675F" w:rsidRPr="0031675F" w:rsidRDefault="0031675F" w:rsidP="0031675F">
      <w:pPr>
        <w:spacing w:after="120"/>
        <w:ind w:left="138" w:right="131"/>
        <w:jc w:val="both"/>
        <w:rPr>
          <w:spacing w:val="-1"/>
        </w:rPr>
      </w:pPr>
    </w:p>
    <w:p w14:paraId="78174DE1" w14:textId="77777777" w:rsidR="0031675F" w:rsidRPr="0031675F" w:rsidRDefault="0031675F" w:rsidP="0031675F">
      <w:pPr>
        <w:spacing w:before="11"/>
        <w:ind w:left="142"/>
        <w:rPr>
          <w:rFonts w:eastAsia="Arial" w:cs="Arial"/>
          <w:b/>
          <w:bCs/>
        </w:rPr>
      </w:pPr>
      <w:r w:rsidRPr="0031675F">
        <w:rPr>
          <w:spacing w:val="-1"/>
        </w:rPr>
        <w:t>For Nitrogen:</w:t>
      </w:r>
      <w:r w:rsidRPr="0031675F">
        <w:rPr>
          <w:rFonts w:eastAsia="Arial" w:cs="Arial"/>
          <w:b/>
          <w:bCs/>
        </w:rPr>
        <w:t xml:space="preserve">   </w:t>
      </w:r>
      <w:r w:rsidRPr="0031675F">
        <w:rPr>
          <w:spacing w:val="-1"/>
        </w:rPr>
        <w:t>This method</w:t>
      </w:r>
      <w:r w:rsidRPr="0031675F">
        <w:rPr>
          <w:spacing w:val="7"/>
        </w:rPr>
        <w:t xml:space="preserve"> </w:t>
      </w:r>
      <w:r w:rsidRPr="0031675F">
        <w:t>is</w:t>
      </w:r>
      <w:r w:rsidRPr="0031675F">
        <w:rPr>
          <w:spacing w:val="7"/>
        </w:rPr>
        <w:t xml:space="preserve"> </w:t>
      </w:r>
      <w:r w:rsidRPr="0031675F">
        <w:rPr>
          <w:spacing w:val="-1"/>
        </w:rPr>
        <w:t>based</w:t>
      </w:r>
      <w:r w:rsidRPr="0031675F">
        <w:rPr>
          <w:spacing w:val="5"/>
        </w:rPr>
        <w:t xml:space="preserve"> </w:t>
      </w:r>
      <w:r w:rsidRPr="0031675F">
        <w:t>on</w:t>
      </w:r>
      <w:r w:rsidRPr="0031675F">
        <w:rPr>
          <w:spacing w:val="7"/>
        </w:rPr>
        <w:t xml:space="preserve"> </w:t>
      </w:r>
      <w:r w:rsidRPr="0031675F">
        <w:rPr>
          <w:spacing w:val="-1"/>
        </w:rPr>
        <w:t>high</w:t>
      </w:r>
      <w:r w:rsidRPr="0031675F">
        <w:rPr>
          <w:spacing w:val="7"/>
        </w:rPr>
        <w:t xml:space="preserve"> </w:t>
      </w:r>
      <w:r w:rsidRPr="0031675F">
        <w:rPr>
          <w:spacing w:val="-1"/>
        </w:rPr>
        <w:t>temperature</w:t>
      </w:r>
      <w:r w:rsidRPr="0031675F">
        <w:rPr>
          <w:spacing w:val="8"/>
        </w:rPr>
        <w:t xml:space="preserve"> </w:t>
      </w:r>
      <w:r w:rsidRPr="0031675F">
        <w:rPr>
          <w:spacing w:val="-1"/>
        </w:rPr>
        <w:t>combustion</w:t>
      </w:r>
      <w:r w:rsidRPr="0031675F">
        <w:rPr>
          <w:spacing w:val="5"/>
        </w:rPr>
        <w:t xml:space="preserve"> </w:t>
      </w:r>
      <w:r w:rsidRPr="0031675F">
        <w:t>of</w:t>
      </w:r>
      <w:r w:rsidRPr="0031675F">
        <w:rPr>
          <w:spacing w:val="5"/>
        </w:rPr>
        <w:t xml:space="preserve"> </w:t>
      </w:r>
      <w:r w:rsidRPr="0031675F">
        <w:t>organic</w:t>
      </w:r>
      <w:r w:rsidRPr="0031675F">
        <w:rPr>
          <w:spacing w:val="8"/>
        </w:rPr>
        <w:t xml:space="preserve"> </w:t>
      </w:r>
      <w:r w:rsidRPr="0031675F">
        <w:rPr>
          <w:spacing w:val="-1"/>
        </w:rPr>
        <w:t>nitrogen</w:t>
      </w:r>
      <w:r w:rsidRPr="0031675F">
        <w:rPr>
          <w:spacing w:val="7"/>
        </w:rPr>
        <w:t xml:space="preserve"> </w:t>
      </w:r>
      <w:r w:rsidRPr="0031675F">
        <w:t>to</w:t>
      </w:r>
      <w:r w:rsidRPr="0031675F">
        <w:rPr>
          <w:spacing w:val="7"/>
        </w:rPr>
        <w:t xml:space="preserve"> </w:t>
      </w:r>
      <w:r w:rsidRPr="0031675F">
        <w:rPr>
          <w:spacing w:val="-1"/>
        </w:rPr>
        <w:t>nitrogen</w:t>
      </w:r>
      <w:r w:rsidRPr="0031675F">
        <w:t xml:space="preserve"> </w:t>
      </w:r>
      <w:r w:rsidRPr="0031675F">
        <w:rPr>
          <w:spacing w:val="7"/>
        </w:rPr>
        <w:t xml:space="preserve"> </w:t>
      </w:r>
      <w:r w:rsidRPr="0031675F">
        <w:rPr>
          <w:spacing w:val="-2"/>
        </w:rPr>
        <w:t>oxides</w:t>
      </w:r>
      <w:r w:rsidRPr="0031675F">
        <w:rPr>
          <w:spacing w:val="47"/>
        </w:rPr>
        <w:t xml:space="preserve"> </w:t>
      </w:r>
      <w:r w:rsidRPr="0031675F">
        <w:rPr>
          <w:spacing w:val="-1"/>
        </w:rPr>
        <w:t>coupled</w:t>
      </w:r>
      <w:r w:rsidRPr="0031675F">
        <w:rPr>
          <w:spacing w:val="23"/>
        </w:rPr>
        <w:t xml:space="preserve"> </w:t>
      </w:r>
      <w:r w:rsidRPr="0031675F">
        <w:rPr>
          <w:spacing w:val="-1"/>
        </w:rPr>
        <w:t>to</w:t>
      </w:r>
      <w:r w:rsidRPr="0031675F">
        <w:rPr>
          <w:spacing w:val="24"/>
        </w:rPr>
        <w:t xml:space="preserve"> </w:t>
      </w:r>
      <w:r w:rsidRPr="0031675F">
        <w:t>the</w:t>
      </w:r>
      <w:r w:rsidRPr="0031675F">
        <w:rPr>
          <w:spacing w:val="24"/>
        </w:rPr>
        <w:t xml:space="preserve"> </w:t>
      </w:r>
      <w:r w:rsidRPr="0031675F">
        <w:rPr>
          <w:spacing w:val="-1"/>
        </w:rPr>
        <w:t>chemiluminescent</w:t>
      </w:r>
      <w:r w:rsidRPr="0031675F">
        <w:rPr>
          <w:spacing w:val="24"/>
        </w:rPr>
        <w:t xml:space="preserve"> </w:t>
      </w:r>
      <w:r w:rsidRPr="0031675F">
        <w:rPr>
          <w:spacing w:val="-1"/>
        </w:rPr>
        <w:t>emission</w:t>
      </w:r>
      <w:r w:rsidRPr="0031675F">
        <w:rPr>
          <w:spacing w:val="23"/>
        </w:rPr>
        <w:t xml:space="preserve"> </w:t>
      </w:r>
      <w:r w:rsidRPr="0031675F">
        <w:t>of</w:t>
      </w:r>
      <w:r w:rsidRPr="0031675F">
        <w:rPr>
          <w:spacing w:val="24"/>
        </w:rPr>
        <w:t xml:space="preserve"> </w:t>
      </w:r>
      <w:r w:rsidRPr="0031675F">
        <w:rPr>
          <w:spacing w:val="-1"/>
        </w:rPr>
        <w:t>light</w:t>
      </w:r>
      <w:r w:rsidRPr="0031675F">
        <w:rPr>
          <w:spacing w:val="22"/>
        </w:rPr>
        <w:t xml:space="preserve"> </w:t>
      </w:r>
      <w:r w:rsidRPr="0031675F">
        <w:rPr>
          <w:spacing w:val="-1"/>
        </w:rPr>
        <w:t>by</w:t>
      </w:r>
      <w:r w:rsidRPr="0031675F">
        <w:rPr>
          <w:spacing w:val="25"/>
        </w:rPr>
        <w:t xml:space="preserve"> </w:t>
      </w:r>
      <w:r w:rsidRPr="0031675F">
        <w:rPr>
          <w:spacing w:val="-1"/>
        </w:rPr>
        <w:t>meta-stable</w:t>
      </w:r>
      <w:r w:rsidRPr="0031675F">
        <w:rPr>
          <w:spacing w:val="25"/>
        </w:rPr>
        <w:t xml:space="preserve"> </w:t>
      </w:r>
      <w:r w:rsidRPr="0031675F">
        <w:rPr>
          <w:spacing w:val="-1"/>
        </w:rPr>
        <w:t>nitrogen</w:t>
      </w:r>
      <w:r w:rsidRPr="0031675F">
        <w:rPr>
          <w:spacing w:val="24"/>
        </w:rPr>
        <w:t xml:space="preserve"> </w:t>
      </w:r>
      <w:r w:rsidRPr="0031675F">
        <w:rPr>
          <w:spacing w:val="-1"/>
        </w:rPr>
        <w:t>dioxide</w:t>
      </w:r>
      <w:r w:rsidRPr="0031675F">
        <w:rPr>
          <w:spacing w:val="24"/>
        </w:rPr>
        <w:t xml:space="preserve"> </w:t>
      </w:r>
      <w:r w:rsidRPr="0031675F">
        <w:rPr>
          <w:spacing w:val="-1"/>
        </w:rPr>
        <w:t>(NO2*)</w:t>
      </w:r>
      <w:r w:rsidRPr="0031675F">
        <w:rPr>
          <w:spacing w:val="25"/>
        </w:rPr>
        <w:t xml:space="preserve"> </w:t>
      </w:r>
      <w:r w:rsidRPr="0031675F">
        <w:rPr>
          <w:rFonts w:cs="Arial"/>
        </w:rPr>
        <w:t xml:space="preserve">.  </w:t>
      </w:r>
      <w:r w:rsidRPr="0031675F">
        <w:rPr>
          <w:rFonts w:eastAsia="Arial" w:cs="Arial"/>
          <w:b/>
          <w:bCs/>
        </w:rPr>
        <w:t xml:space="preserve"> </w:t>
      </w:r>
      <w:r w:rsidRPr="0031675F">
        <w:rPr>
          <w:spacing w:val="-1"/>
        </w:rPr>
        <w:t>Using the same sample that was generated by the high temperature combustion chamber of the TOC-V,</w:t>
      </w:r>
      <w:r w:rsidRPr="0031675F">
        <w:rPr>
          <w:rFonts w:cs="Arial"/>
        </w:rPr>
        <w:t xml:space="preserve">  a carrier gas stream moves the oxidised sample</w:t>
      </w:r>
      <w:r w:rsidRPr="0031675F">
        <w:rPr>
          <w:rFonts w:cs="Arial"/>
          <w:color w:val="000000"/>
        </w:rPr>
        <w:t xml:space="preserve"> </w:t>
      </w:r>
      <w:r w:rsidRPr="0031675F">
        <w:rPr>
          <w:spacing w:val="-1"/>
        </w:rPr>
        <w:t xml:space="preserve">to </w:t>
      </w:r>
      <w:r w:rsidRPr="0031675F">
        <w:rPr>
          <w:rFonts w:cs="Arial"/>
          <w:spacing w:val="-1"/>
        </w:rPr>
        <w:t>a</w:t>
      </w:r>
      <w:r w:rsidRPr="0031675F">
        <w:rPr>
          <w:rFonts w:cs="Arial"/>
        </w:rPr>
        <w:t xml:space="preserve"> Shimadzu Total Nitrogen unit (model TNM-1) fitted in series to the aforementioned carbon analyser.</w:t>
      </w:r>
      <w:r w:rsidRPr="0031675F">
        <w:rPr>
          <w:rFonts w:cs="Arial"/>
          <w:spacing w:val="-1"/>
        </w:rPr>
        <w:t xml:space="preserve">   I</w:t>
      </w:r>
      <w:r w:rsidRPr="0031675F">
        <w:rPr>
          <w:rFonts w:cs="Arial"/>
          <w:color w:val="000000"/>
        </w:rPr>
        <w:t>t enters an ozone saturated reaction chamber where, on</w:t>
      </w:r>
      <w:r w:rsidRPr="0031675F">
        <w:rPr>
          <w:spacing w:val="27"/>
        </w:rPr>
        <w:t xml:space="preserve"> </w:t>
      </w:r>
      <w:r w:rsidRPr="0031675F">
        <w:rPr>
          <w:spacing w:val="-1"/>
        </w:rPr>
        <w:t>contact</w:t>
      </w:r>
      <w:r w:rsidRPr="0031675F">
        <w:rPr>
          <w:spacing w:val="27"/>
        </w:rPr>
        <w:t xml:space="preserve"> </w:t>
      </w:r>
      <w:r w:rsidRPr="0031675F">
        <w:t>with</w:t>
      </w:r>
      <w:r w:rsidRPr="0031675F">
        <w:rPr>
          <w:spacing w:val="26"/>
        </w:rPr>
        <w:t xml:space="preserve"> </w:t>
      </w:r>
      <w:r w:rsidRPr="0031675F">
        <w:rPr>
          <w:spacing w:val="-1"/>
        </w:rPr>
        <w:t>ozone,</w:t>
      </w:r>
      <w:r w:rsidRPr="0031675F">
        <w:rPr>
          <w:spacing w:val="28"/>
        </w:rPr>
        <w:t xml:space="preserve"> </w:t>
      </w:r>
      <w:r w:rsidRPr="0031675F">
        <w:t>the</w:t>
      </w:r>
      <w:r w:rsidRPr="0031675F">
        <w:rPr>
          <w:spacing w:val="27"/>
        </w:rPr>
        <w:t xml:space="preserve"> </w:t>
      </w:r>
      <w:r w:rsidRPr="0031675F">
        <w:rPr>
          <w:spacing w:val="-1"/>
        </w:rPr>
        <w:t>combustion</w:t>
      </w:r>
      <w:r w:rsidRPr="0031675F">
        <w:rPr>
          <w:spacing w:val="25"/>
        </w:rPr>
        <w:t xml:space="preserve"> </w:t>
      </w:r>
      <w:r w:rsidRPr="0031675F">
        <w:rPr>
          <w:spacing w:val="-1"/>
        </w:rPr>
        <w:t>gases</w:t>
      </w:r>
      <w:r w:rsidRPr="0031675F">
        <w:rPr>
          <w:spacing w:val="29"/>
        </w:rPr>
        <w:t xml:space="preserve"> </w:t>
      </w:r>
      <w:r w:rsidRPr="0031675F">
        <w:rPr>
          <w:spacing w:val="-1"/>
        </w:rPr>
        <w:t>forms</w:t>
      </w:r>
      <w:r w:rsidRPr="0031675F">
        <w:rPr>
          <w:spacing w:val="27"/>
        </w:rPr>
        <w:t xml:space="preserve"> </w:t>
      </w:r>
      <w:r w:rsidRPr="0031675F">
        <w:rPr>
          <w:spacing w:val="-1"/>
        </w:rPr>
        <w:t>NO2*.</w:t>
      </w:r>
      <w:r w:rsidRPr="0031675F">
        <w:rPr>
          <w:spacing w:val="6"/>
        </w:rPr>
        <w:t xml:space="preserve"> </w:t>
      </w:r>
      <w:r w:rsidRPr="0031675F">
        <w:t>When</w:t>
      </w:r>
      <w:r w:rsidRPr="0031675F">
        <w:rPr>
          <w:spacing w:val="25"/>
        </w:rPr>
        <w:t xml:space="preserve"> </w:t>
      </w:r>
      <w:r w:rsidRPr="0031675F">
        <w:rPr>
          <w:spacing w:val="-1"/>
        </w:rPr>
        <w:t>this</w:t>
      </w:r>
      <w:r w:rsidRPr="0031675F">
        <w:rPr>
          <w:spacing w:val="27"/>
        </w:rPr>
        <w:t xml:space="preserve"> </w:t>
      </w:r>
      <w:r w:rsidRPr="0031675F">
        <w:rPr>
          <w:spacing w:val="-1"/>
        </w:rPr>
        <w:t>meta-stable</w:t>
      </w:r>
      <w:r w:rsidRPr="0031675F">
        <w:rPr>
          <w:spacing w:val="30"/>
        </w:rPr>
        <w:t xml:space="preserve"> </w:t>
      </w:r>
      <w:r w:rsidRPr="0031675F">
        <w:rPr>
          <w:spacing w:val="-1"/>
        </w:rPr>
        <w:t>species</w:t>
      </w:r>
      <w:r w:rsidRPr="0031675F">
        <w:rPr>
          <w:spacing w:val="49"/>
        </w:rPr>
        <w:t xml:space="preserve"> </w:t>
      </w:r>
      <w:r w:rsidRPr="0031675F">
        <w:t>decays</w:t>
      </w:r>
      <w:r w:rsidRPr="0031675F">
        <w:rPr>
          <w:spacing w:val="38"/>
        </w:rPr>
        <w:t xml:space="preserve"> </w:t>
      </w:r>
      <w:r w:rsidRPr="0031675F">
        <w:t>it</w:t>
      </w:r>
      <w:r w:rsidRPr="0031675F">
        <w:rPr>
          <w:spacing w:val="41"/>
        </w:rPr>
        <w:t xml:space="preserve"> </w:t>
      </w:r>
      <w:r w:rsidRPr="0031675F">
        <w:rPr>
          <w:spacing w:val="-1"/>
        </w:rPr>
        <w:t>produces</w:t>
      </w:r>
      <w:r w:rsidRPr="0031675F">
        <w:rPr>
          <w:spacing w:val="39"/>
        </w:rPr>
        <w:t xml:space="preserve"> </w:t>
      </w:r>
      <w:r w:rsidRPr="0031675F">
        <w:t>a</w:t>
      </w:r>
      <w:r w:rsidRPr="0031675F">
        <w:rPr>
          <w:spacing w:val="40"/>
        </w:rPr>
        <w:t xml:space="preserve"> </w:t>
      </w:r>
      <w:r w:rsidRPr="0031675F">
        <w:rPr>
          <w:spacing w:val="-1"/>
        </w:rPr>
        <w:t>photon</w:t>
      </w:r>
      <w:r w:rsidRPr="0031675F">
        <w:rPr>
          <w:spacing w:val="38"/>
        </w:rPr>
        <w:t xml:space="preserve"> </w:t>
      </w:r>
      <w:r w:rsidRPr="0031675F">
        <w:t>of</w:t>
      </w:r>
      <w:r w:rsidRPr="0031675F">
        <w:rPr>
          <w:spacing w:val="41"/>
        </w:rPr>
        <w:t xml:space="preserve"> </w:t>
      </w:r>
      <w:r w:rsidRPr="0031675F">
        <w:rPr>
          <w:spacing w:val="-1"/>
        </w:rPr>
        <w:t>light</w:t>
      </w:r>
      <w:r w:rsidRPr="0031675F">
        <w:rPr>
          <w:spacing w:val="39"/>
        </w:rPr>
        <w:t xml:space="preserve"> </w:t>
      </w:r>
      <w:r w:rsidRPr="0031675F">
        <w:t>which</w:t>
      </w:r>
      <w:r w:rsidRPr="0031675F">
        <w:rPr>
          <w:spacing w:val="39"/>
        </w:rPr>
        <w:t xml:space="preserve"> </w:t>
      </w:r>
      <w:r w:rsidRPr="0031675F">
        <w:t>is</w:t>
      </w:r>
      <w:r w:rsidRPr="0031675F">
        <w:rPr>
          <w:spacing w:val="38"/>
        </w:rPr>
        <w:t xml:space="preserve"> </w:t>
      </w:r>
      <w:r w:rsidRPr="0031675F">
        <w:rPr>
          <w:spacing w:val="-1"/>
        </w:rPr>
        <w:t>detected</w:t>
      </w:r>
      <w:r w:rsidRPr="0031675F">
        <w:rPr>
          <w:spacing w:val="40"/>
        </w:rPr>
        <w:t xml:space="preserve"> </w:t>
      </w:r>
      <w:r w:rsidRPr="0031675F">
        <w:rPr>
          <w:spacing w:val="-1"/>
        </w:rPr>
        <w:t>by</w:t>
      </w:r>
      <w:r w:rsidRPr="0031675F">
        <w:rPr>
          <w:spacing w:val="39"/>
        </w:rPr>
        <w:t xml:space="preserve"> </w:t>
      </w:r>
      <w:r w:rsidRPr="0031675F">
        <w:t>a</w:t>
      </w:r>
      <w:r w:rsidRPr="0031675F">
        <w:rPr>
          <w:spacing w:val="41"/>
        </w:rPr>
        <w:t xml:space="preserve"> </w:t>
      </w:r>
      <w:r w:rsidRPr="0031675F">
        <w:rPr>
          <w:spacing w:val="-1"/>
        </w:rPr>
        <w:t>photomultiplier</w:t>
      </w:r>
      <w:r w:rsidRPr="0031675F">
        <w:rPr>
          <w:spacing w:val="39"/>
        </w:rPr>
        <w:t xml:space="preserve"> </w:t>
      </w:r>
      <w:r w:rsidRPr="0031675F">
        <w:rPr>
          <w:spacing w:val="-1"/>
        </w:rPr>
        <w:t>tube.</w:t>
      </w:r>
      <w:r w:rsidRPr="0031675F">
        <w:rPr>
          <w:spacing w:val="30"/>
        </w:rPr>
        <w:t xml:space="preserve"> </w:t>
      </w:r>
      <w:r w:rsidRPr="0031675F">
        <w:rPr>
          <w:spacing w:val="-1"/>
        </w:rPr>
        <w:t>The</w:t>
      </w:r>
      <w:r w:rsidRPr="0031675F">
        <w:rPr>
          <w:spacing w:val="40"/>
        </w:rPr>
        <w:t xml:space="preserve"> </w:t>
      </w:r>
      <w:r w:rsidRPr="0031675F">
        <w:rPr>
          <w:spacing w:val="-1"/>
        </w:rPr>
        <w:t>signal</w:t>
      </w:r>
      <w:r w:rsidRPr="0031675F">
        <w:rPr>
          <w:spacing w:val="38"/>
        </w:rPr>
        <w:t xml:space="preserve"> </w:t>
      </w:r>
      <w:r w:rsidRPr="0031675F">
        <w:t>is</w:t>
      </w:r>
      <w:r w:rsidRPr="0031675F">
        <w:rPr>
          <w:spacing w:val="41"/>
        </w:rPr>
        <w:t xml:space="preserve"> </w:t>
      </w:r>
      <w:r w:rsidRPr="0031675F">
        <w:rPr>
          <w:rFonts w:cs="Calibri"/>
          <w:spacing w:val="-1"/>
        </w:rPr>
        <w:t>integrated</w:t>
      </w:r>
      <w:r w:rsidRPr="0031675F">
        <w:rPr>
          <w:rFonts w:cs="Calibri"/>
          <w:spacing w:val="2"/>
        </w:rPr>
        <w:t xml:space="preserve"> </w:t>
      </w:r>
      <w:r w:rsidRPr="0031675F">
        <w:rPr>
          <w:rFonts w:cs="Calibri"/>
          <w:spacing w:val="-1"/>
        </w:rPr>
        <w:t>to</w:t>
      </w:r>
      <w:r w:rsidRPr="0031675F">
        <w:rPr>
          <w:rFonts w:cs="Calibri"/>
          <w:spacing w:val="3"/>
        </w:rPr>
        <w:t xml:space="preserve"> </w:t>
      </w:r>
      <w:r w:rsidRPr="0031675F">
        <w:rPr>
          <w:rFonts w:cs="Calibri"/>
          <w:spacing w:val="-1"/>
        </w:rPr>
        <w:t>produce</w:t>
      </w:r>
      <w:r w:rsidRPr="0031675F">
        <w:rPr>
          <w:rFonts w:cs="Calibri"/>
          <w:spacing w:val="3"/>
        </w:rPr>
        <w:t xml:space="preserve"> </w:t>
      </w:r>
      <w:r w:rsidRPr="0031675F">
        <w:rPr>
          <w:rFonts w:cs="Calibri"/>
        </w:rPr>
        <w:t>a</w:t>
      </w:r>
      <w:r w:rsidRPr="0031675F">
        <w:rPr>
          <w:rFonts w:cs="Calibri"/>
          <w:spacing w:val="2"/>
        </w:rPr>
        <w:t xml:space="preserve"> </w:t>
      </w:r>
      <w:r w:rsidRPr="0031675F">
        <w:rPr>
          <w:rFonts w:cs="Calibri"/>
          <w:spacing w:val="-1"/>
        </w:rPr>
        <w:t>numerical output.</w:t>
      </w:r>
      <w:r w:rsidRPr="0031675F">
        <w:rPr>
          <w:rFonts w:cs="Calibri"/>
          <w:spacing w:val="3"/>
        </w:rPr>
        <w:t xml:space="preserve"> </w:t>
      </w:r>
      <w:r w:rsidRPr="0031675F">
        <w:rPr>
          <w:rFonts w:cs="Calibri"/>
          <w:spacing w:val="-1"/>
        </w:rPr>
        <w:t>This</w:t>
      </w:r>
      <w:r w:rsidRPr="0031675F">
        <w:rPr>
          <w:rFonts w:cs="Calibri"/>
          <w:spacing w:val="2"/>
        </w:rPr>
        <w:t xml:space="preserve"> </w:t>
      </w:r>
      <w:r w:rsidRPr="0031675F">
        <w:rPr>
          <w:rFonts w:cs="Calibri"/>
          <w:spacing w:val="-1"/>
        </w:rPr>
        <w:t>‘count’</w:t>
      </w:r>
      <w:r w:rsidRPr="0031675F">
        <w:rPr>
          <w:rFonts w:cs="Calibri"/>
          <w:spacing w:val="3"/>
        </w:rPr>
        <w:t xml:space="preserve"> </w:t>
      </w:r>
      <w:r w:rsidRPr="0031675F">
        <w:rPr>
          <w:rFonts w:cs="Calibri"/>
        </w:rPr>
        <w:t xml:space="preserve">of </w:t>
      </w:r>
      <w:r w:rsidRPr="0031675F">
        <w:rPr>
          <w:rFonts w:cs="Calibri"/>
          <w:spacing w:val="-1"/>
        </w:rPr>
        <w:t>chemiluminescen</w:t>
      </w:r>
      <w:r w:rsidRPr="0031675F">
        <w:rPr>
          <w:spacing w:val="-1"/>
        </w:rPr>
        <w:t>t</w:t>
      </w:r>
      <w:r w:rsidRPr="0031675F">
        <w:t xml:space="preserve"> </w:t>
      </w:r>
      <w:r w:rsidRPr="0031675F">
        <w:rPr>
          <w:spacing w:val="-1"/>
        </w:rPr>
        <w:t>emission</w:t>
      </w:r>
      <w:r w:rsidRPr="0031675F">
        <w:rPr>
          <w:spacing w:val="1"/>
        </w:rPr>
        <w:t xml:space="preserve"> </w:t>
      </w:r>
      <w:r w:rsidRPr="0031675F">
        <w:t>is</w:t>
      </w:r>
      <w:r w:rsidRPr="0031675F">
        <w:rPr>
          <w:spacing w:val="2"/>
        </w:rPr>
        <w:t xml:space="preserve"> </w:t>
      </w:r>
      <w:r w:rsidRPr="0031675F">
        <w:rPr>
          <w:spacing w:val="-1"/>
        </w:rPr>
        <w:t>proportional</w:t>
      </w:r>
      <w:r w:rsidRPr="0031675F">
        <w:rPr>
          <w:spacing w:val="91"/>
        </w:rPr>
        <w:t xml:space="preserve"> </w:t>
      </w:r>
      <w:r w:rsidRPr="0031675F">
        <w:t>to</w:t>
      </w:r>
      <w:r w:rsidRPr="0031675F">
        <w:rPr>
          <w:spacing w:val="-1"/>
        </w:rPr>
        <w:t xml:space="preserve"> </w:t>
      </w:r>
      <w:r w:rsidRPr="0031675F">
        <w:t xml:space="preserve">the </w:t>
      </w:r>
      <w:r w:rsidRPr="0031675F">
        <w:rPr>
          <w:spacing w:val="-1"/>
        </w:rPr>
        <w:t>amount</w:t>
      </w:r>
      <w:r w:rsidRPr="0031675F">
        <w:t xml:space="preserve"> of</w:t>
      </w:r>
      <w:r w:rsidRPr="0031675F">
        <w:rPr>
          <w:spacing w:val="-3"/>
        </w:rPr>
        <w:t xml:space="preserve"> </w:t>
      </w:r>
      <w:r w:rsidRPr="0031675F">
        <w:rPr>
          <w:spacing w:val="-1"/>
        </w:rPr>
        <w:t>nitrogen</w:t>
      </w:r>
      <w:r w:rsidRPr="0031675F">
        <w:t xml:space="preserve"> </w:t>
      </w:r>
      <w:r w:rsidRPr="0031675F">
        <w:rPr>
          <w:spacing w:val="-2"/>
        </w:rPr>
        <w:t>in</w:t>
      </w:r>
      <w:r w:rsidRPr="0031675F">
        <w:rPr>
          <w:spacing w:val="-1"/>
        </w:rPr>
        <w:t xml:space="preserve"> the</w:t>
      </w:r>
      <w:r w:rsidRPr="0031675F">
        <w:t xml:space="preserve"> </w:t>
      </w:r>
      <w:r w:rsidRPr="0031675F">
        <w:rPr>
          <w:spacing w:val="-1"/>
        </w:rPr>
        <w:t>sample.</w:t>
      </w:r>
    </w:p>
    <w:p w14:paraId="31139C90" w14:textId="77777777" w:rsidR="0031675F" w:rsidRPr="0031675F" w:rsidRDefault="0031675F" w:rsidP="0031675F">
      <w:pPr>
        <w:spacing w:before="11"/>
        <w:rPr>
          <w:rFonts w:cs="Calibri"/>
          <w:sz w:val="21"/>
          <w:szCs w:val="21"/>
        </w:rPr>
      </w:pPr>
    </w:p>
    <w:p w14:paraId="586A0279" w14:textId="77777777" w:rsidR="0031675F" w:rsidRPr="0031675F" w:rsidRDefault="0031675F" w:rsidP="0031675F">
      <w:pPr>
        <w:widowControl w:val="0"/>
        <w:numPr>
          <w:ilvl w:val="1"/>
          <w:numId w:val="98"/>
        </w:numPr>
        <w:tabs>
          <w:tab w:val="left" w:pos="859"/>
        </w:tabs>
        <w:spacing w:before="0" w:after="0" w:line="240" w:lineRule="auto"/>
        <w:jc w:val="both"/>
        <w:rPr>
          <w:rFonts w:eastAsia="Arial" w:cs="Arial"/>
          <w:sz w:val="24"/>
          <w:szCs w:val="24"/>
        </w:rPr>
      </w:pPr>
      <w:bookmarkStart w:id="689" w:name="_TOC_250024"/>
      <w:r w:rsidRPr="0031675F">
        <w:rPr>
          <w:b/>
          <w:sz w:val="24"/>
        </w:rPr>
        <w:t xml:space="preserve">Sample </w:t>
      </w:r>
      <w:r w:rsidRPr="0031675F">
        <w:rPr>
          <w:b/>
          <w:spacing w:val="-1"/>
          <w:sz w:val="24"/>
        </w:rPr>
        <w:t>collection</w:t>
      </w:r>
      <w:r w:rsidRPr="0031675F">
        <w:rPr>
          <w:b/>
          <w:sz w:val="24"/>
        </w:rPr>
        <w:t xml:space="preserve"> </w:t>
      </w:r>
      <w:r w:rsidRPr="0031675F">
        <w:rPr>
          <w:b/>
          <w:spacing w:val="-1"/>
          <w:sz w:val="24"/>
        </w:rPr>
        <w:t>procedure</w:t>
      </w:r>
      <w:r w:rsidRPr="0031675F">
        <w:rPr>
          <w:b/>
          <w:spacing w:val="-2"/>
          <w:sz w:val="24"/>
        </w:rPr>
        <w:t xml:space="preserve"> </w:t>
      </w:r>
      <w:r w:rsidRPr="0031675F">
        <w:rPr>
          <w:b/>
          <w:sz w:val="24"/>
        </w:rPr>
        <w:t xml:space="preserve">and </w:t>
      </w:r>
      <w:r w:rsidRPr="0031675F">
        <w:rPr>
          <w:b/>
          <w:spacing w:val="-1"/>
          <w:sz w:val="24"/>
        </w:rPr>
        <w:t>storage</w:t>
      </w:r>
      <w:bookmarkEnd w:id="689"/>
    </w:p>
    <w:p w14:paraId="75EDC4B4" w14:textId="77777777" w:rsidR="0031675F" w:rsidRPr="0031675F" w:rsidRDefault="0031675F" w:rsidP="0031675F">
      <w:pPr>
        <w:spacing w:before="10"/>
        <w:rPr>
          <w:rFonts w:eastAsia="Arial" w:cs="Arial"/>
          <w:b/>
          <w:bCs/>
          <w:sz w:val="20"/>
          <w:szCs w:val="20"/>
        </w:rPr>
      </w:pPr>
    </w:p>
    <w:p w14:paraId="3DA02B0C" w14:textId="77777777" w:rsidR="0031675F" w:rsidRPr="0031675F" w:rsidRDefault="0031675F" w:rsidP="0031675F">
      <w:pPr>
        <w:ind w:left="138"/>
        <w:jc w:val="both"/>
        <w:rPr>
          <w:rFonts w:eastAsia="Arial" w:cs="Arial"/>
        </w:rPr>
      </w:pPr>
      <w:r w:rsidRPr="0031675F">
        <w:rPr>
          <w:b/>
        </w:rPr>
        <w:t xml:space="preserve">8.3.1  </w:t>
      </w:r>
      <w:r w:rsidRPr="0031675F">
        <w:rPr>
          <w:b/>
          <w:spacing w:val="44"/>
        </w:rPr>
        <w:t xml:space="preserve"> </w:t>
      </w:r>
      <w:r w:rsidRPr="0031675F">
        <w:rPr>
          <w:b/>
          <w:spacing w:val="-1"/>
        </w:rPr>
        <w:t>Equipment</w:t>
      </w:r>
    </w:p>
    <w:p w14:paraId="44A0365D" w14:textId="77777777" w:rsidR="0031675F" w:rsidRPr="0031675F" w:rsidRDefault="0031675F" w:rsidP="0031675F">
      <w:pPr>
        <w:spacing w:before="11"/>
        <w:rPr>
          <w:rFonts w:eastAsia="Arial" w:cs="Arial"/>
          <w:b/>
          <w:bCs/>
          <w:sz w:val="20"/>
          <w:szCs w:val="20"/>
        </w:rPr>
      </w:pPr>
    </w:p>
    <w:p w14:paraId="515260CE" w14:textId="77777777" w:rsidR="0031675F" w:rsidRPr="0031675F" w:rsidRDefault="0031675F" w:rsidP="0031675F">
      <w:pPr>
        <w:widowControl w:val="0"/>
        <w:numPr>
          <w:ilvl w:val="2"/>
          <w:numId w:val="98"/>
        </w:numPr>
        <w:tabs>
          <w:tab w:val="left" w:pos="859"/>
        </w:tabs>
        <w:spacing w:before="0" w:after="0" w:line="240" w:lineRule="auto"/>
      </w:pPr>
      <w:r w:rsidRPr="0031675F">
        <w:rPr>
          <w:spacing w:val="-1"/>
        </w:rPr>
        <w:t>Denitrified</w:t>
      </w:r>
      <w:r w:rsidRPr="0031675F">
        <w:rPr>
          <w:spacing w:val="-3"/>
        </w:rPr>
        <w:t xml:space="preserve"> </w:t>
      </w:r>
      <w:r w:rsidRPr="0031675F">
        <w:rPr>
          <w:spacing w:val="-1"/>
        </w:rPr>
        <w:t>25</w:t>
      </w:r>
      <w:r w:rsidRPr="0031675F">
        <w:rPr>
          <w:spacing w:val="-2"/>
        </w:rPr>
        <w:t xml:space="preserve"> </w:t>
      </w:r>
      <w:r w:rsidRPr="0031675F">
        <w:t>mm</w:t>
      </w:r>
      <w:r w:rsidRPr="0031675F">
        <w:rPr>
          <w:spacing w:val="-2"/>
        </w:rPr>
        <w:t xml:space="preserve"> </w:t>
      </w:r>
      <w:r w:rsidRPr="0031675F">
        <w:rPr>
          <w:spacing w:val="-1"/>
        </w:rPr>
        <w:t xml:space="preserve">Whatman </w:t>
      </w:r>
      <w:r w:rsidRPr="0031675F">
        <w:t xml:space="preserve">GF/F </w:t>
      </w:r>
      <w:r w:rsidRPr="0031675F">
        <w:rPr>
          <w:spacing w:val="-1"/>
        </w:rPr>
        <w:t>glass fibre.*</w:t>
      </w:r>
    </w:p>
    <w:p w14:paraId="6058A290" w14:textId="77777777" w:rsidR="0031675F" w:rsidRPr="0031675F" w:rsidRDefault="0031675F" w:rsidP="0031675F">
      <w:pPr>
        <w:widowControl w:val="0"/>
        <w:numPr>
          <w:ilvl w:val="2"/>
          <w:numId w:val="98"/>
        </w:numPr>
        <w:tabs>
          <w:tab w:val="left" w:pos="859"/>
        </w:tabs>
        <w:spacing w:before="0" w:after="0" w:line="240" w:lineRule="auto"/>
      </w:pPr>
      <w:r w:rsidRPr="0031675F">
        <w:rPr>
          <w:spacing w:val="-1"/>
        </w:rPr>
        <w:t>Millipore</w:t>
      </w:r>
      <w:r w:rsidRPr="0031675F">
        <w:rPr>
          <w:spacing w:val="-2"/>
        </w:rPr>
        <w:t xml:space="preserve"> </w:t>
      </w:r>
      <w:r w:rsidRPr="0031675F">
        <w:rPr>
          <w:spacing w:val="-1"/>
        </w:rPr>
        <w:t>filter</w:t>
      </w:r>
      <w:r w:rsidRPr="0031675F">
        <w:rPr>
          <w:spacing w:val="-2"/>
        </w:rPr>
        <w:t xml:space="preserve"> </w:t>
      </w:r>
      <w:r w:rsidRPr="0031675F">
        <w:rPr>
          <w:spacing w:val="-1"/>
        </w:rPr>
        <w:t>forceps</w:t>
      </w:r>
      <w:r w:rsidRPr="0031675F">
        <w:t xml:space="preserve"> </w:t>
      </w:r>
      <w:r w:rsidRPr="0031675F">
        <w:rPr>
          <w:spacing w:val="-1"/>
        </w:rPr>
        <w:t>(or</w:t>
      </w:r>
      <w:r w:rsidRPr="0031675F">
        <w:rPr>
          <w:spacing w:val="-2"/>
        </w:rPr>
        <w:t xml:space="preserve"> </w:t>
      </w:r>
      <w:r w:rsidRPr="0031675F">
        <w:rPr>
          <w:spacing w:val="-1"/>
        </w:rPr>
        <w:t>equivalent).</w:t>
      </w:r>
    </w:p>
    <w:p w14:paraId="43616573" w14:textId="77777777" w:rsidR="0031675F" w:rsidRPr="0031675F" w:rsidRDefault="0031675F" w:rsidP="0031675F">
      <w:pPr>
        <w:widowControl w:val="0"/>
        <w:numPr>
          <w:ilvl w:val="2"/>
          <w:numId w:val="98"/>
        </w:numPr>
        <w:tabs>
          <w:tab w:val="left" w:pos="859"/>
        </w:tabs>
        <w:spacing w:before="0" w:after="0" w:line="240" w:lineRule="auto"/>
      </w:pPr>
      <w:r w:rsidRPr="0031675F">
        <w:rPr>
          <w:spacing w:val="-1"/>
        </w:rPr>
        <w:t>Squares</w:t>
      </w:r>
      <w:r w:rsidRPr="0031675F">
        <w:t xml:space="preserve"> of </w:t>
      </w:r>
      <w:r w:rsidRPr="0031675F">
        <w:rPr>
          <w:spacing w:val="-1"/>
        </w:rPr>
        <w:t>denitrified</w:t>
      </w:r>
      <w:r w:rsidRPr="0031675F">
        <w:t xml:space="preserve"> </w:t>
      </w:r>
      <w:r w:rsidRPr="0031675F">
        <w:rPr>
          <w:spacing w:val="-2"/>
        </w:rPr>
        <w:t>aluminium</w:t>
      </w:r>
      <w:r w:rsidRPr="0031675F">
        <w:rPr>
          <w:spacing w:val="1"/>
        </w:rPr>
        <w:t xml:space="preserve"> </w:t>
      </w:r>
      <w:r w:rsidRPr="0031675F">
        <w:t>foil</w:t>
      </w:r>
      <w:r w:rsidRPr="0031675F">
        <w:rPr>
          <w:spacing w:val="-3"/>
        </w:rPr>
        <w:t xml:space="preserve"> </w:t>
      </w:r>
      <w:r w:rsidRPr="0031675F">
        <w:t>(8</w:t>
      </w:r>
      <w:r w:rsidRPr="0031675F">
        <w:rPr>
          <w:spacing w:val="-2"/>
        </w:rPr>
        <w:t xml:space="preserve"> </w:t>
      </w:r>
      <w:r w:rsidRPr="0031675F">
        <w:t>x</w:t>
      </w:r>
      <w:r w:rsidRPr="0031675F">
        <w:rPr>
          <w:spacing w:val="-2"/>
        </w:rPr>
        <w:t xml:space="preserve"> </w:t>
      </w:r>
      <w:r w:rsidRPr="0031675F">
        <w:t xml:space="preserve">8 </w:t>
      </w:r>
      <w:r w:rsidRPr="0031675F">
        <w:rPr>
          <w:spacing w:val="-1"/>
        </w:rPr>
        <w:t>cm).*</w:t>
      </w:r>
    </w:p>
    <w:p w14:paraId="0A7DBF47" w14:textId="77777777" w:rsidR="0031675F" w:rsidRPr="0031675F" w:rsidRDefault="0031675F" w:rsidP="0031675F">
      <w:pPr>
        <w:widowControl w:val="0"/>
        <w:numPr>
          <w:ilvl w:val="2"/>
          <w:numId w:val="98"/>
        </w:numPr>
        <w:tabs>
          <w:tab w:val="left" w:pos="859"/>
        </w:tabs>
        <w:spacing w:before="0" w:after="0" w:line="240" w:lineRule="auto"/>
        <w:ind w:right="680"/>
      </w:pPr>
      <w:r w:rsidRPr="0031675F">
        <w:rPr>
          <w:spacing w:val="-1"/>
        </w:rPr>
        <w:t>Black,</w:t>
      </w:r>
      <w:r w:rsidRPr="0031675F">
        <w:rPr>
          <w:spacing w:val="31"/>
        </w:rPr>
        <w:t xml:space="preserve"> </w:t>
      </w:r>
      <w:r w:rsidRPr="0031675F">
        <w:rPr>
          <w:spacing w:val="-1"/>
        </w:rPr>
        <w:t>fine-tipped,</w:t>
      </w:r>
      <w:r w:rsidRPr="0031675F">
        <w:rPr>
          <w:spacing w:val="31"/>
        </w:rPr>
        <w:t xml:space="preserve"> </w:t>
      </w:r>
      <w:r w:rsidRPr="0031675F">
        <w:rPr>
          <w:spacing w:val="-1"/>
        </w:rPr>
        <w:t>waterproof</w:t>
      </w:r>
      <w:r w:rsidRPr="0031675F">
        <w:rPr>
          <w:spacing w:val="31"/>
        </w:rPr>
        <w:t xml:space="preserve"> </w:t>
      </w:r>
      <w:r w:rsidRPr="0031675F">
        <w:rPr>
          <w:spacing w:val="-1"/>
        </w:rPr>
        <w:t>labelling</w:t>
      </w:r>
      <w:r w:rsidRPr="0031675F">
        <w:rPr>
          <w:spacing w:val="30"/>
        </w:rPr>
        <w:t xml:space="preserve"> </w:t>
      </w:r>
      <w:r w:rsidRPr="0031675F">
        <w:rPr>
          <w:spacing w:val="-1"/>
        </w:rPr>
        <w:t>pen</w:t>
      </w:r>
      <w:r w:rsidRPr="0031675F">
        <w:rPr>
          <w:spacing w:val="31"/>
        </w:rPr>
        <w:t xml:space="preserve"> </w:t>
      </w:r>
      <w:r w:rsidRPr="0031675F">
        <w:rPr>
          <w:spacing w:val="-1"/>
        </w:rPr>
        <w:t>(eg</w:t>
      </w:r>
      <w:r w:rsidRPr="0031675F">
        <w:rPr>
          <w:spacing w:val="31"/>
        </w:rPr>
        <w:t xml:space="preserve"> </w:t>
      </w:r>
      <w:r w:rsidRPr="0031675F">
        <w:rPr>
          <w:spacing w:val="-1"/>
        </w:rPr>
        <w:t>Staedtler</w:t>
      </w:r>
      <w:r w:rsidRPr="0031675F">
        <w:rPr>
          <w:spacing w:val="32"/>
        </w:rPr>
        <w:t xml:space="preserve"> </w:t>
      </w:r>
      <w:r w:rsidRPr="0031675F">
        <w:rPr>
          <w:spacing w:val="-1"/>
        </w:rPr>
        <w:t>Lumocolour)</w:t>
      </w:r>
      <w:r w:rsidRPr="0031675F">
        <w:rPr>
          <w:spacing w:val="28"/>
        </w:rPr>
        <w:t xml:space="preserve"> </w:t>
      </w:r>
      <w:r w:rsidRPr="0031675F">
        <w:t>or</w:t>
      </w:r>
      <w:r w:rsidRPr="0031675F">
        <w:rPr>
          <w:spacing w:val="31"/>
        </w:rPr>
        <w:t xml:space="preserve"> </w:t>
      </w:r>
      <w:r w:rsidRPr="0031675F">
        <w:rPr>
          <w:spacing w:val="-1"/>
        </w:rPr>
        <w:t>alternately</w:t>
      </w:r>
      <w:r w:rsidRPr="0031675F">
        <w:rPr>
          <w:spacing w:val="85"/>
        </w:rPr>
        <w:t xml:space="preserve"> </w:t>
      </w:r>
      <w:r w:rsidRPr="0031675F">
        <w:rPr>
          <w:spacing w:val="-1"/>
        </w:rPr>
        <w:t>use</w:t>
      </w:r>
      <w:r w:rsidRPr="0031675F">
        <w:rPr>
          <w:spacing w:val="1"/>
        </w:rPr>
        <w:t xml:space="preserve"> </w:t>
      </w:r>
      <w:r w:rsidRPr="0031675F">
        <w:rPr>
          <w:spacing w:val="-1"/>
        </w:rPr>
        <w:t>pre-printed label</w:t>
      </w:r>
      <w:r w:rsidRPr="0031675F">
        <w:t xml:space="preserve"> </w:t>
      </w:r>
      <w:r w:rsidRPr="0031675F">
        <w:rPr>
          <w:spacing w:val="-1"/>
        </w:rPr>
        <w:t>generated</w:t>
      </w:r>
      <w:r w:rsidRPr="0031675F">
        <w:t xml:space="preserve"> </w:t>
      </w:r>
      <w:r w:rsidRPr="0031675F">
        <w:rPr>
          <w:spacing w:val="-1"/>
        </w:rPr>
        <w:t>by</w:t>
      </w:r>
      <w:r w:rsidRPr="0031675F">
        <w:t xml:space="preserve"> </w:t>
      </w:r>
      <w:r w:rsidRPr="0031675F">
        <w:rPr>
          <w:spacing w:val="-1"/>
        </w:rPr>
        <w:t>Field Data</w:t>
      </w:r>
      <w:r w:rsidRPr="0031675F">
        <w:t xml:space="preserve"> </w:t>
      </w:r>
      <w:r w:rsidRPr="0031675F">
        <w:rPr>
          <w:spacing w:val="-1"/>
        </w:rPr>
        <w:t>Entry</w:t>
      </w:r>
      <w:r w:rsidRPr="0031675F">
        <w:rPr>
          <w:spacing w:val="1"/>
        </w:rPr>
        <w:t xml:space="preserve"> </w:t>
      </w:r>
      <w:r w:rsidRPr="0031675F">
        <w:rPr>
          <w:spacing w:val="-2"/>
        </w:rPr>
        <w:t>System.</w:t>
      </w:r>
    </w:p>
    <w:p w14:paraId="151FB9BF" w14:textId="50EDD744" w:rsidR="0031675F" w:rsidRPr="0031675F" w:rsidRDefault="0031675F" w:rsidP="0031675F">
      <w:pPr>
        <w:widowControl w:val="0"/>
        <w:numPr>
          <w:ilvl w:val="2"/>
          <w:numId w:val="98"/>
        </w:numPr>
        <w:tabs>
          <w:tab w:val="left" w:pos="859"/>
        </w:tabs>
        <w:spacing w:before="0" w:after="0" w:line="240" w:lineRule="auto"/>
      </w:pPr>
      <w:r w:rsidRPr="0031675F">
        <w:rPr>
          <w:spacing w:val="-1"/>
        </w:rPr>
        <w:t>500</w:t>
      </w:r>
      <w:r w:rsidRPr="0031675F">
        <w:rPr>
          <w:spacing w:val="-2"/>
        </w:rPr>
        <w:t xml:space="preserve"> </w:t>
      </w:r>
      <w:r w:rsidR="00BB13FD">
        <w:t>mL</w:t>
      </w:r>
      <w:r w:rsidRPr="0031675F">
        <w:rPr>
          <w:spacing w:val="-2"/>
        </w:rPr>
        <w:t xml:space="preserve"> </w:t>
      </w:r>
      <w:r w:rsidRPr="0031675F">
        <w:rPr>
          <w:spacing w:val="-1"/>
        </w:rPr>
        <w:t>measuring cylinders.</w:t>
      </w:r>
    </w:p>
    <w:p w14:paraId="7D259BA4" w14:textId="77777777" w:rsidR="0031675F" w:rsidRPr="0031675F" w:rsidRDefault="0031675F" w:rsidP="0031675F">
      <w:pPr>
        <w:widowControl w:val="0"/>
        <w:numPr>
          <w:ilvl w:val="2"/>
          <w:numId w:val="98"/>
        </w:numPr>
        <w:tabs>
          <w:tab w:val="left" w:pos="859"/>
        </w:tabs>
        <w:spacing w:before="0" w:after="0" w:line="267" w:lineRule="exact"/>
      </w:pPr>
      <w:r w:rsidRPr="0031675F">
        <w:t>25</w:t>
      </w:r>
      <w:r w:rsidRPr="0031675F">
        <w:rPr>
          <w:spacing w:val="-2"/>
        </w:rPr>
        <w:t xml:space="preserve"> </w:t>
      </w:r>
      <w:r w:rsidRPr="0031675F">
        <w:rPr>
          <w:spacing w:val="-1"/>
        </w:rPr>
        <w:t>mm</w:t>
      </w:r>
      <w:r w:rsidRPr="0031675F">
        <w:rPr>
          <w:spacing w:val="1"/>
        </w:rPr>
        <w:t xml:space="preserve"> </w:t>
      </w:r>
      <w:r w:rsidRPr="0031675F">
        <w:rPr>
          <w:spacing w:val="-1"/>
        </w:rPr>
        <w:t>filter</w:t>
      </w:r>
      <w:r w:rsidRPr="0031675F">
        <w:t xml:space="preserve"> </w:t>
      </w:r>
      <w:r w:rsidRPr="0031675F">
        <w:rPr>
          <w:spacing w:val="-1"/>
        </w:rPr>
        <w:t xml:space="preserve">funnels </w:t>
      </w:r>
      <w:r w:rsidRPr="0031675F">
        <w:t>and</w:t>
      </w:r>
      <w:r w:rsidRPr="0031675F">
        <w:rPr>
          <w:spacing w:val="-1"/>
        </w:rPr>
        <w:t xml:space="preserve"> bases.</w:t>
      </w:r>
    </w:p>
    <w:p w14:paraId="26D0D8D1" w14:textId="77777777" w:rsidR="0031675F" w:rsidRPr="0031675F" w:rsidRDefault="0031675F" w:rsidP="0031675F">
      <w:pPr>
        <w:widowControl w:val="0"/>
        <w:numPr>
          <w:ilvl w:val="2"/>
          <w:numId w:val="98"/>
        </w:numPr>
        <w:tabs>
          <w:tab w:val="left" w:pos="859"/>
        </w:tabs>
        <w:spacing w:before="0" w:after="0" w:line="267" w:lineRule="exact"/>
      </w:pPr>
      <w:r w:rsidRPr="0031675F">
        <w:rPr>
          <w:spacing w:val="-1"/>
        </w:rPr>
        <w:t>Vacuum manifold,</w:t>
      </w:r>
      <w:r w:rsidRPr="0031675F">
        <w:rPr>
          <w:spacing w:val="-3"/>
        </w:rPr>
        <w:t xml:space="preserve"> </w:t>
      </w:r>
      <w:r w:rsidRPr="0031675F">
        <w:rPr>
          <w:spacing w:val="-1"/>
        </w:rPr>
        <w:t>water</w:t>
      </w:r>
      <w:r w:rsidRPr="0031675F">
        <w:t xml:space="preserve"> </w:t>
      </w:r>
      <w:r w:rsidRPr="0031675F">
        <w:rPr>
          <w:spacing w:val="-1"/>
        </w:rPr>
        <w:t>reservoir,</w:t>
      </w:r>
      <w:r w:rsidRPr="0031675F">
        <w:rPr>
          <w:spacing w:val="-3"/>
        </w:rPr>
        <w:t xml:space="preserve"> </w:t>
      </w:r>
      <w:r w:rsidRPr="0031675F">
        <w:rPr>
          <w:spacing w:val="-1"/>
        </w:rPr>
        <w:t>vacuum</w:t>
      </w:r>
      <w:r w:rsidRPr="0031675F">
        <w:rPr>
          <w:spacing w:val="1"/>
        </w:rPr>
        <w:t xml:space="preserve"> </w:t>
      </w:r>
      <w:r w:rsidRPr="0031675F">
        <w:rPr>
          <w:spacing w:val="-1"/>
        </w:rPr>
        <w:t xml:space="preserve">tubing </w:t>
      </w:r>
      <w:r w:rsidRPr="0031675F">
        <w:t>and</w:t>
      </w:r>
      <w:r w:rsidRPr="0031675F">
        <w:rPr>
          <w:spacing w:val="-4"/>
        </w:rPr>
        <w:t xml:space="preserve"> </w:t>
      </w:r>
      <w:r w:rsidRPr="0031675F">
        <w:rPr>
          <w:spacing w:val="-1"/>
        </w:rPr>
        <w:t>vacuum</w:t>
      </w:r>
      <w:r w:rsidRPr="0031675F">
        <w:rPr>
          <w:spacing w:val="1"/>
        </w:rPr>
        <w:t xml:space="preserve"> </w:t>
      </w:r>
      <w:r w:rsidRPr="0031675F">
        <w:rPr>
          <w:spacing w:val="-1"/>
        </w:rPr>
        <w:t>pump.</w:t>
      </w:r>
    </w:p>
    <w:p w14:paraId="351A95AE" w14:textId="77777777" w:rsidR="0031675F" w:rsidRPr="0031675F" w:rsidRDefault="0031675F" w:rsidP="0031675F">
      <w:pPr>
        <w:rPr>
          <w:rFonts w:cs="Calibri"/>
        </w:rPr>
      </w:pPr>
    </w:p>
    <w:p w14:paraId="57ED0030" w14:textId="77777777" w:rsidR="0031675F" w:rsidRPr="0031675F" w:rsidRDefault="0031675F" w:rsidP="0031675F">
      <w:pPr>
        <w:ind w:left="498" w:right="677"/>
        <w:rPr>
          <w:rFonts w:cs="Calibri"/>
        </w:rPr>
      </w:pPr>
      <w:r w:rsidRPr="0031675F">
        <w:rPr>
          <w:i/>
          <w:spacing w:val="-1"/>
        </w:rPr>
        <w:t>NB.</w:t>
      </w:r>
      <w:r w:rsidRPr="0031675F">
        <w:rPr>
          <w:i/>
        </w:rPr>
        <w:t xml:space="preserve">  </w:t>
      </w:r>
      <w:r w:rsidRPr="0031675F">
        <w:rPr>
          <w:i/>
          <w:spacing w:val="36"/>
        </w:rPr>
        <w:t xml:space="preserve"> </w:t>
      </w:r>
      <w:r w:rsidRPr="0031675F">
        <w:rPr>
          <w:i/>
          <w:spacing w:val="-1"/>
        </w:rPr>
        <w:t>All</w:t>
      </w:r>
      <w:r w:rsidRPr="0031675F">
        <w:rPr>
          <w:i/>
          <w:spacing w:val="43"/>
        </w:rPr>
        <w:t xml:space="preserve"> </w:t>
      </w:r>
      <w:r w:rsidRPr="0031675F">
        <w:rPr>
          <w:i/>
          <w:spacing w:val="-1"/>
        </w:rPr>
        <w:t>plasticware</w:t>
      </w:r>
      <w:r w:rsidRPr="0031675F">
        <w:rPr>
          <w:i/>
          <w:spacing w:val="44"/>
        </w:rPr>
        <w:t xml:space="preserve"> </w:t>
      </w:r>
      <w:r w:rsidRPr="0031675F">
        <w:rPr>
          <w:i/>
          <w:spacing w:val="-1"/>
        </w:rPr>
        <w:t>and</w:t>
      </w:r>
      <w:r w:rsidRPr="0031675F">
        <w:rPr>
          <w:i/>
          <w:spacing w:val="42"/>
        </w:rPr>
        <w:t xml:space="preserve"> </w:t>
      </w:r>
      <w:r w:rsidRPr="0031675F">
        <w:rPr>
          <w:i/>
          <w:spacing w:val="-1"/>
        </w:rPr>
        <w:t>glassware</w:t>
      </w:r>
      <w:r w:rsidRPr="0031675F">
        <w:rPr>
          <w:i/>
          <w:spacing w:val="41"/>
        </w:rPr>
        <w:t xml:space="preserve"> </w:t>
      </w:r>
      <w:r w:rsidRPr="0031675F">
        <w:rPr>
          <w:i/>
          <w:spacing w:val="-1"/>
        </w:rPr>
        <w:t>should</w:t>
      </w:r>
      <w:r w:rsidRPr="0031675F">
        <w:rPr>
          <w:i/>
          <w:spacing w:val="42"/>
        </w:rPr>
        <w:t xml:space="preserve"> </w:t>
      </w:r>
      <w:r w:rsidRPr="0031675F">
        <w:rPr>
          <w:i/>
          <w:spacing w:val="-1"/>
        </w:rPr>
        <w:t>be</w:t>
      </w:r>
      <w:r w:rsidRPr="0031675F">
        <w:rPr>
          <w:i/>
          <w:spacing w:val="44"/>
        </w:rPr>
        <w:t xml:space="preserve"> </w:t>
      </w:r>
      <w:r w:rsidRPr="0031675F">
        <w:rPr>
          <w:i/>
          <w:spacing w:val="-1"/>
        </w:rPr>
        <w:t>soaked</w:t>
      </w:r>
      <w:r w:rsidRPr="0031675F">
        <w:rPr>
          <w:i/>
          <w:spacing w:val="42"/>
        </w:rPr>
        <w:t xml:space="preserve"> </w:t>
      </w:r>
      <w:r w:rsidRPr="0031675F">
        <w:rPr>
          <w:i/>
        </w:rPr>
        <w:t>in</w:t>
      </w:r>
      <w:r w:rsidRPr="0031675F">
        <w:rPr>
          <w:i/>
          <w:spacing w:val="42"/>
        </w:rPr>
        <w:t xml:space="preserve"> </w:t>
      </w:r>
      <w:r w:rsidRPr="0031675F">
        <w:rPr>
          <w:i/>
          <w:spacing w:val="-1"/>
        </w:rPr>
        <w:t>dilute</w:t>
      </w:r>
      <w:r w:rsidRPr="0031675F">
        <w:rPr>
          <w:i/>
          <w:spacing w:val="44"/>
        </w:rPr>
        <w:t xml:space="preserve"> </w:t>
      </w:r>
      <w:r w:rsidRPr="0031675F">
        <w:rPr>
          <w:i/>
          <w:spacing w:val="-1"/>
        </w:rPr>
        <w:t>hydrochloric</w:t>
      </w:r>
      <w:r w:rsidRPr="0031675F">
        <w:rPr>
          <w:i/>
          <w:spacing w:val="41"/>
        </w:rPr>
        <w:t xml:space="preserve"> </w:t>
      </w:r>
      <w:r w:rsidRPr="0031675F">
        <w:rPr>
          <w:i/>
          <w:spacing w:val="-1"/>
        </w:rPr>
        <w:t>acid</w:t>
      </w:r>
      <w:r w:rsidRPr="0031675F">
        <w:rPr>
          <w:i/>
          <w:spacing w:val="43"/>
        </w:rPr>
        <w:t xml:space="preserve"> </w:t>
      </w:r>
      <w:r w:rsidRPr="0031675F">
        <w:rPr>
          <w:i/>
          <w:spacing w:val="-1"/>
        </w:rPr>
        <w:t>(10%),</w:t>
      </w:r>
      <w:r w:rsidRPr="0031675F">
        <w:rPr>
          <w:i/>
          <w:spacing w:val="59"/>
        </w:rPr>
        <w:t xml:space="preserve"> </w:t>
      </w:r>
      <w:r w:rsidRPr="0031675F">
        <w:rPr>
          <w:i/>
          <w:spacing w:val="-1"/>
        </w:rPr>
        <w:t>rinsed</w:t>
      </w:r>
      <w:r w:rsidRPr="0031675F">
        <w:rPr>
          <w:i/>
        </w:rPr>
        <w:t xml:space="preserve"> in </w:t>
      </w:r>
      <w:r w:rsidRPr="0031675F">
        <w:rPr>
          <w:i/>
          <w:spacing w:val="-1"/>
        </w:rPr>
        <w:t>deionised</w:t>
      </w:r>
      <w:r w:rsidRPr="0031675F">
        <w:rPr>
          <w:i/>
        </w:rPr>
        <w:t xml:space="preserve"> </w:t>
      </w:r>
      <w:r w:rsidRPr="0031675F">
        <w:rPr>
          <w:i/>
          <w:spacing w:val="-1"/>
        </w:rPr>
        <w:t>water</w:t>
      </w:r>
      <w:r w:rsidRPr="0031675F">
        <w:rPr>
          <w:i/>
          <w:spacing w:val="1"/>
        </w:rPr>
        <w:t xml:space="preserve"> </w:t>
      </w:r>
      <w:r w:rsidRPr="0031675F">
        <w:rPr>
          <w:i/>
          <w:spacing w:val="-2"/>
        </w:rPr>
        <w:t>and</w:t>
      </w:r>
      <w:r w:rsidRPr="0031675F">
        <w:rPr>
          <w:i/>
          <w:spacing w:val="-1"/>
        </w:rPr>
        <w:t xml:space="preserve"> heat</w:t>
      </w:r>
      <w:r w:rsidRPr="0031675F">
        <w:rPr>
          <w:i/>
        </w:rPr>
        <w:t xml:space="preserve"> </w:t>
      </w:r>
      <w:r w:rsidRPr="0031675F">
        <w:rPr>
          <w:i/>
          <w:spacing w:val="-1"/>
        </w:rPr>
        <w:t>dried (where</w:t>
      </w:r>
      <w:r w:rsidRPr="0031675F">
        <w:rPr>
          <w:i/>
        </w:rPr>
        <w:t xml:space="preserve"> </w:t>
      </w:r>
      <w:r w:rsidRPr="0031675F">
        <w:rPr>
          <w:i/>
          <w:spacing w:val="-1"/>
        </w:rPr>
        <w:t>possible).</w:t>
      </w:r>
    </w:p>
    <w:p w14:paraId="3A2D1252" w14:textId="77777777" w:rsidR="0031675F" w:rsidRPr="0031675F" w:rsidRDefault="0031675F" w:rsidP="0031675F">
      <w:pPr>
        <w:spacing w:before="6"/>
        <w:rPr>
          <w:rFonts w:cs="Calibri"/>
          <w:i/>
          <w:sz w:val="20"/>
          <w:szCs w:val="20"/>
        </w:rPr>
      </w:pPr>
    </w:p>
    <w:p w14:paraId="6E24A84E" w14:textId="77777777" w:rsidR="0031675F" w:rsidRPr="0031675F" w:rsidRDefault="0031675F" w:rsidP="0031675F">
      <w:pPr>
        <w:ind w:left="138"/>
        <w:jc w:val="both"/>
        <w:rPr>
          <w:rFonts w:eastAsia="Arial" w:cs="Arial"/>
        </w:rPr>
      </w:pPr>
      <w:r w:rsidRPr="0031675F">
        <w:rPr>
          <w:b/>
        </w:rPr>
        <w:t xml:space="preserve">8.3.2  </w:t>
      </w:r>
      <w:r w:rsidRPr="0031675F">
        <w:rPr>
          <w:b/>
          <w:spacing w:val="44"/>
        </w:rPr>
        <w:t xml:space="preserve"> </w:t>
      </w:r>
      <w:r w:rsidRPr="0031675F">
        <w:rPr>
          <w:b/>
        </w:rPr>
        <w:t>Method</w:t>
      </w:r>
      <w:r w:rsidRPr="0031675F">
        <w:rPr>
          <w:b/>
          <w:spacing w:val="-2"/>
        </w:rPr>
        <w:t xml:space="preserve"> </w:t>
      </w:r>
      <w:r w:rsidRPr="0031675F">
        <w:rPr>
          <w:b/>
          <w:spacing w:val="-1"/>
        </w:rPr>
        <w:t>and</w:t>
      </w:r>
      <w:r w:rsidRPr="0031675F">
        <w:rPr>
          <w:b/>
        </w:rPr>
        <w:t xml:space="preserve"> </w:t>
      </w:r>
      <w:r w:rsidRPr="0031675F">
        <w:rPr>
          <w:b/>
          <w:spacing w:val="-1"/>
        </w:rPr>
        <w:t>Storage</w:t>
      </w:r>
    </w:p>
    <w:p w14:paraId="7F685F1E" w14:textId="67BA6B15" w:rsidR="0031675F" w:rsidRPr="0031675F" w:rsidRDefault="0031675F" w:rsidP="0031675F">
      <w:pPr>
        <w:widowControl w:val="0"/>
        <w:numPr>
          <w:ilvl w:val="0"/>
          <w:numId w:val="97"/>
        </w:numPr>
        <w:tabs>
          <w:tab w:val="left" w:pos="859"/>
        </w:tabs>
        <w:spacing w:before="0" w:after="0" w:line="240" w:lineRule="auto"/>
        <w:ind w:right="680"/>
      </w:pPr>
      <w:r w:rsidRPr="0031675F">
        <w:rPr>
          <w:spacing w:val="-1"/>
        </w:rPr>
        <w:t>Filter</w:t>
      </w:r>
      <w:r w:rsidRPr="0031675F">
        <w:rPr>
          <w:spacing w:val="14"/>
        </w:rPr>
        <w:t xml:space="preserve"> </w:t>
      </w:r>
      <w:r w:rsidRPr="0031675F">
        <w:rPr>
          <w:spacing w:val="-1"/>
        </w:rPr>
        <w:t>500</w:t>
      </w:r>
      <w:r w:rsidRPr="0031675F">
        <w:rPr>
          <w:spacing w:val="11"/>
        </w:rPr>
        <w:t xml:space="preserve"> </w:t>
      </w:r>
      <w:r w:rsidR="00BB13FD">
        <w:t>mL</w:t>
      </w:r>
      <w:r w:rsidRPr="0031675F">
        <w:rPr>
          <w:spacing w:val="14"/>
        </w:rPr>
        <w:t xml:space="preserve"> </w:t>
      </w:r>
      <w:r w:rsidRPr="0031675F">
        <w:t>of</w:t>
      </w:r>
      <w:r w:rsidRPr="0031675F">
        <w:rPr>
          <w:spacing w:val="12"/>
        </w:rPr>
        <w:t xml:space="preserve"> </w:t>
      </w:r>
      <w:r w:rsidRPr="0031675F">
        <w:rPr>
          <w:spacing w:val="-1"/>
        </w:rPr>
        <w:t>seawater</w:t>
      </w:r>
      <w:r w:rsidRPr="0031675F">
        <w:rPr>
          <w:spacing w:val="14"/>
        </w:rPr>
        <w:t xml:space="preserve"> </w:t>
      </w:r>
      <w:r w:rsidRPr="0031675F">
        <w:rPr>
          <w:spacing w:val="-1"/>
        </w:rPr>
        <w:t>sample</w:t>
      </w:r>
      <w:r w:rsidRPr="0031675F">
        <w:rPr>
          <w:spacing w:val="12"/>
        </w:rPr>
        <w:t xml:space="preserve"> </w:t>
      </w:r>
      <w:r w:rsidRPr="0031675F">
        <w:rPr>
          <w:spacing w:val="-1"/>
        </w:rPr>
        <w:t>through</w:t>
      </w:r>
      <w:r w:rsidRPr="0031675F">
        <w:rPr>
          <w:spacing w:val="14"/>
        </w:rPr>
        <w:t xml:space="preserve"> </w:t>
      </w:r>
      <w:r w:rsidRPr="0031675F">
        <w:t>a</w:t>
      </w:r>
      <w:r w:rsidRPr="0031675F">
        <w:rPr>
          <w:spacing w:val="12"/>
        </w:rPr>
        <w:t xml:space="preserve"> </w:t>
      </w:r>
      <w:r w:rsidRPr="0031675F">
        <w:t>25</w:t>
      </w:r>
      <w:r w:rsidRPr="0031675F">
        <w:rPr>
          <w:spacing w:val="11"/>
        </w:rPr>
        <w:t xml:space="preserve"> </w:t>
      </w:r>
      <w:r w:rsidRPr="0031675F">
        <w:t>mm</w:t>
      </w:r>
      <w:r w:rsidRPr="0031675F">
        <w:rPr>
          <w:spacing w:val="11"/>
        </w:rPr>
        <w:t xml:space="preserve"> </w:t>
      </w:r>
      <w:r w:rsidRPr="0031675F">
        <w:rPr>
          <w:spacing w:val="-1"/>
        </w:rPr>
        <w:t>Whatman</w:t>
      </w:r>
      <w:r w:rsidRPr="0031675F">
        <w:rPr>
          <w:spacing w:val="13"/>
        </w:rPr>
        <w:t xml:space="preserve"> </w:t>
      </w:r>
      <w:r w:rsidRPr="0031675F">
        <w:rPr>
          <w:spacing w:val="-1"/>
        </w:rPr>
        <w:t>GF/F</w:t>
      </w:r>
      <w:r w:rsidRPr="0031675F">
        <w:rPr>
          <w:spacing w:val="14"/>
        </w:rPr>
        <w:t xml:space="preserve"> </w:t>
      </w:r>
      <w:r w:rsidRPr="0031675F">
        <w:rPr>
          <w:spacing w:val="-1"/>
        </w:rPr>
        <w:t>glass</w:t>
      </w:r>
      <w:r w:rsidRPr="0031675F">
        <w:rPr>
          <w:spacing w:val="14"/>
        </w:rPr>
        <w:t xml:space="preserve"> </w:t>
      </w:r>
      <w:r w:rsidRPr="0031675F">
        <w:rPr>
          <w:spacing w:val="-1"/>
        </w:rPr>
        <w:t>fibre</w:t>
      </w:r>
      <w:r w:rsidRPr="0031675F">
        <w:rPr>
          <w:spacing w:val="10"/>
        </w:rPr>
        <w:t xml:space="preserve"> </w:t>
      </w:r>
      <w:r w:rsidRPr="0031675F">
        <w:rPr>
          <w:spacing w:val="-1"/>
        </w:rPr>
        <w:t>filter</w:t>
      </w:r>
      <w:r w:rsidRPr="0031675F">
        <w:rPr>
          <w:spacing w:val="14"/>
        </w:rPr>
        <w:t xml:space="preserve"> </w:t>
      </w:r>
      <w:r w:rsidRPr="0031675F">
        <w:rPr>
          <w:spacing w:val="-1"/>
        </w:rPr>
        <w:t>to</w:t>
      </w:r>
      <w:r w:rsidRPr="0031675F">
        <w:rPr>
          <w:spacing w:val="55"/>
        </w:rPr>
        <w:t xml:space="preserve"> </w:t>
      </w:r>
      <w:r w:rsidRPr="0031675F">
        <w:rPr>
          <w:spacing w:val="-1"/>
        </w:rPr>
        <w:t>collect</w:t>
      </w:r>
      <w:r w:rsidRPr="0031675F">
        <w:t xml:space="preserve"> </w:t>
      </w:r>
      <w:r w:rsidRPr="0031675F">
        <w:rPr>
          <w:spacing w:val="-1"/>
        </w:rPr>
        <w:t>the</w:t>
      </w:r>
      <w:r w:rsidRPr="0031675F">
        <w:t xml:space="preserve"> </w:t>
      </w:r>
      <w:r w:rsidRPr="0031675F">
        <w:rPr>
          <w:spacing w:val="-1"/>
        </w:rPr>
        <w:t>particulate</w:t>
      </w:r>
      <w:r w:rsidRPr="0031675F">
        <w:t xml:space="preserve"> </w:t>
      </w:r>
      <w:r w:rsidRPr="0031675F">
        <w:rPr>
          <w:spacing w:val="-1"/>
        </w:rPr>
        <w:t>nitrogen. Duplicate</w:t>
      </w:r>
      <w:r w:rsidRPr="0031675F">
        <w:rPr>
          <w:spacing w:val="-2"/>
        </w:rPr>
        <w:t xml:space="preserve"> </w:t>
      </w:r>
      <w:r w:rsidRPr="0031675F">
        <w:rPr>
          <w:spacing w:val="-1"/>
        </w:rPr>
        <w:t>samples are</w:t>
      </w:r>
      <w:r w:rsidRPr="0031675F">
        <w:rPr>
          <w:spacing w:val="-2"/>
        </w:rPr>
        <w:t xml:space="preserve"> </w:t>
      </w:r>
      <w:r w:rsidRPr="0031675F">
        <w:rPr>
          <w:spacing w:val="-1"/>
        </w:rPr>
        <w:t>recommended.</w:t>
      </w:r>
    </w:p>
    <w:p w14:paraId="62160938" w14:textId="77777777" w:rsidR="0031675F" w:rsidRPr="0031675F" w:rsidRDefault="0031675F" w:rsidP="0031675F">
      <w:pPr>
        <w:widowControl w:val="0"/>
        <w:numPr>
          <w:ilvl w:val="0"/>
          <w:numId w:val="97"/>
        </w:numPr>
        <w:tabs>
          <w:tab w:val="left" w:pos="859"/>
        </w:tabs>
        <w:spacing w:before="1" w:after="0" w:line="239" w:lineRule="auto"/>
        <w:ind w:right="673"/>
        <w:jc w:val="both"/>
      </w:pPr>
      <w:r w:rsidRPr="0031675F">
        <w:rPr>
          <w:spacing w:val="-1"/>
        </w:rPr>
        <w:t>The</w:t>
      </w:r>
      <w:r w:rsidRPr="0031675F">
        <w:rPr>
          <w:spacing w:val="5"/>
        </w:rPr>
        <w:t xml:space="preserve"> </w:t>
      </w:r>
      <w:r w:rsidRPr="0031675F">
        <w:rPr>
          <w:spacing w:val="-1"/>
        </w:rPr>
        <w:t>filter</w:t>
      </w:r>
      <w:r w:rsidRPr="0031675F">
        <w:rPr>
          <w:spacing w:val="5"/>
        </w:rPr>
        <w:t xml:space="preserve"> </w:t>
      </w:r>
      <w:r w:rsidRPr="0031675F">
        <w:t>is</w:t>
      </w:r>
      <w:r w:rsidRPr="0031675F">
        <w:rPr>
          <w:spacing w:val="2"/>
        </w:rPr>
        <w:t xml:space="preserve"> </w:t>
      </w:r>
      <w:r w:rsidRPr="0031675F">
        <w:t>then</w:t>
      </w:r>
      <w:r w:rsidRPr="0031675F">
        <w:rPr>
          <w:spacing w:val="4"/>
        </w:rPr>
        <w:t xml:space="preserve"> </w:t>
      </w:r>
      <w:r w:rsidRPr="0031675F">
        <w:rPr>
          <w:spacing w:val="-1"/>
        </w:rPr>
        <w:t>wrapped</w:t>
      </w:r>
      <w:r w:rsidRPr="0031675F">
        <w:rPr>
          <w:spacing w:val="4"/>
        </w:rPr>
        <w:t xml:space="preserve"> </w:t>
      </w:r>
      <w:r w:rsidRPr="0031675F">
        <w:rPr>
          <w:spacing w:val="-1"/>
        </w:rPr>
        <w:t>in</w:t>
      </w:r>
      <w:r w:rsidRPr="0031675F">
        <w:rPr>
          <w:spacing w:val="4"/>
        </w:rPr>
        <w:t xml:space="preserve"> </w:t>
      </w:r>
      <w:r w:rsidRPr="0031675F">
        <w:rPr>
          <w:spacing w:val="-1"/>
        </w:rPr>
        <w:t>alfoil,</w:t>
      </w:r>
      <w:r w:rsidRPr="0031675F">
        <w:rPr>
          <w:spacing w:val="5"/>
        </w:rPr>
        <w:t xml:space="preserve"> </w:t>
      </w:r>
      <w:r w:rsidRPr="0031675F">
        <w:rPr>
          <w:spacing w:val="-1"/>
        </w:rPr>
        <w:t>labelled</w:t>
      </w:r>
      <w:r w:rsidRPr="0031675F">
        <w:rPr>
          <w:spacing w:val="1"/>
        </w:rPr>
        <w:t xml:space="preserve"> </w:t>
      </w:r>
      <w:r w:rsidRPr="0031675F">
        <w:t>with</w:t>
      </w:r>
      <w:r w:rsidRPr="0031675F">
        <w:rPr>
          <w:spacing w:val="4"/>
        </w:rPr>
        <w:t xml:space="preserve"> </w:t>
      </w:r>
      <w:r w:rsidRPr="0031675F">
        <w:rPr>
          <w:spacing w:val="-1"/>
        </w:rPr>
        <w:t>site,</w:t>
      </w:r>
      <w:r w:rsidRPr="0031675F">
        <w:rPr>
          <w:spacing w:val="3"/>
        </w:rPr>
        <w:t xml:space="preserve"> </w:t>
      </w:r>
      <w:r w:rsidRPr="0031675F">
        <w:rPr>
          <w:spacing w:val="-1"/>
        </w:rPr>
        <w:t>depth,</w:t>
      </w:r>
      <w:r w:rsidRPr="0031675F">
        <w:rPr>
          <w:spacing w:val="3"/>
        </w:rPr>
        <w:t xml:space="preserve"> </w:t>
      </w:r>
      <w:r w:rsidRPr="0031675F">
        <w:rPr>
          <w:spacing w:val="-1"/>
        </w:rPr>
        <w:t>date</w:t>
      </w:r>
      <w:r w:rsidRPr="0031675F">
        <w:rPr>
          <w:spacing w:val="3"/>
        </w:rPr>
        <w:t xml:space="preserve"> </w:t>
      </w:r>
      <w:r w:rsidRPr="0031675F">
        <w:rPr>
          <w:spacing w:val="-1"/>
        </w:rPr>
        <w:t>collected</w:t>
      </w:r>
      <w:r w:rsidRPr="0031675F">
        <w:rPr>
          <w:spacing w:val="4"/>
        </w:rPr>
        <w:t xml:space="preserve"> </w:t>
      </w:r>
      <w:r w:rsidRPr="0031675F">
        <w:rPr>
          <w:spacing w:val="-1"/>
        </w:rPr>
        <w:t>and</w:t>
      </w:r>
      <w:r w:rsidRPr="0031675F">
        <w:rPr>
          <w:spacing w:val="2"/>
        </w:rPr>
        <w:t xml:space="preserve"> </w:t>
      </w:r>
      <w:r w:rsidRPr="0031675F">
        <w:rPr>
          <w:spacing w:val="-1"/>
        </w:rPr>
        <w:t>volume</w:t>
      </w:r>
      <w:r w:rsidRPr="0031675F">
        <w:rPr>
          <w:spacing w:val="61"/>
        </w:rPr>
        <w:t xml:space="preserve"> </w:t>
      </w:r>
      <w:r w:rsidRPr="0031675F">
        <w:rPr>
          <w:spacing w:val="-1"/>
        </w:rPr>
        <w:t>filtered</w:t>
      </w:r>
      <w:r w:rsidRPr="0031675F">
        <w:rPr>
          <w:spacing w:val="16"/>
        </w:rPr>
        <w:t xml:space="preserve"> </w:t>
      </w:r>
      <w:r w:rsidRPr="0031675F">
        <w:t>or</w:t>
      </w:r>
      <w:r w:rsidRPr="0031675F">
        <w:rPr>
          <w:spacing w:val="17"/>
        </w:rPr>
        <w:t xml:space="preserve"> </w:t>
      </w:r>
      <w:r w:rsidRPr="0031675F">
        <w:rPr>
          <w:spacing w:val="-1"/>
        </w:rPr>
        <w:t>alternately</w:t>
      </w:r>
      <w:r w:rsidRPr="0031675F">
        <w:rPr>
          <w:spacing w:val="17"/>
        </w:rPr>
        <w:t xml:space="preserve"> </w:t>
      </w:r>
      <w:r w:rsidRPr="0031675F">
        <w:rPr>
          <w:spacing w:val="-1"/>
        </w:rPr>
        <w:t>use</w:t>
      </w:r>
      <w:r w:rsidRPr="0031675F">
        <w:rPr>
          <w:spacing w:val="15"/>
        </w:rPr>
        <w:t xml:space="preserve"> </w:t>
      </w:r>
      <w:r w:rsidRPr="0031675F">
        <w:rPr>
          <w:spacing w:val="-1"/>
        </w:rPr>
        <w:t>pre-printed</w:t>
      </w:r>
      <w:r w:rsidRPr="0031675F">
        <w:rPr>
          <w:spacing w:val="16"/>
        </w:rPr>
        <w:t xml:space="preserve"> </w:t>
      </w:r>
      <w:r w:rsidRPr="0031675F">
        <w:rPr>
          <w:spacing w:val="-1"/>
        </w:rPr>
        <w:t>label.</w:t>
      </w:r>
      <w:r w:rsidRPr="0031675F">
        <w:rPr>
          <w:spacing w:val="16"/>
        </w:rPr>
        <w:t xml:space="preserve"> </w:t>
      </w:r>
      <w:r w:rsidRPr="0031675F">
        <w:t>When</w:t>
      </w:r>
      <w:r w:rsidRPr="0031675F">
        <w:rPr>
          <w:spacing w:val="16"/>
        </w:rPr>
        <w:t xml:space="preserve"> </w:t>
      </w:r>
      <w:r w:rsidRPr="0031675F">
        <w:rPr>
          <w:spacing w:val="-1"/>
        </w:rPr>
        <w:t>sampled</w:t>
      </w:r>
      <w:r w:rsidRPr="0031675F">
        <w:rPr>
          <w:spacing w:val="16"/>
        </w:rPr>
        <w:t xml:space="preserve"> </w:t>
      </w:r>
      <w:r w:rsidRPr="0031675F">
        <w:t>in</w:t>
      </w:r>
      <w:r w:rsidRPr="0031675F">
        <w:rPr>
          <w:spacing w:val="16"/>
        </w:rPr>
        <w:t xml:space="preserve"> </w:t>
      </w:r>
      <w:r w:rsidRPr="0031675F">
        <w:rPr>
          <w:spacing w:val="-1"/>
        </w:rPr>
        <w:t>duplicate,</w:t>
      </w:r>
      <w:r w:rsidRPr="0031675F">
        <w:rPr>
          <w:spacing w:val="17"/>
        </w:rPr>
        <w:t xml:space="preserve"> </w:t>
      </w:r>
      <w:r w:rsidRPr="0031675F">
        <w:rPr>
          <w:spacing w:val="-1"/>
        </w:rPr>
        <w:t>there</w:t>
      </w:r>
      <w:r w:rsidRPr="0031675F">
        <w:rPr>
          <w:spacing w:val="15"/>
        </w:rPr>
        <w:t xml:space="preserve"> </w:t>
      </w:r>
      <w:r w:rsidRPr="0031675F">
        <w:rPr>
          <w:spacing w:val="-1"/>
        </w:rPr>
        <w:t>should</w:t>
      </w:r>
      <w:r w:rsidRPr="0031675F">
        <w:rPr>
          <w:spacing w:val="66"/>
        </w:rPr>
        <w:t xml:space="preserve"> </w:t>
      </w:r>
      <w:r w:rsidRPr="0031675F">
        <w:rPr>
          <w:spacing w:val="-1"/>
        </w:rPr>
        <w:t>be</w:t>
      </w:r>
      <w:r w:rsidRPr="0031675F">
        <w:t xml:space="preserve"> 2 </w:t>
      </w:r>
      <w:r w:rsidRPr="0031675F">
        <w:rPr>
          <w:spacing w:val="-1"/>
        </w:rPr>
        <w:t>filters</w:t>
      </w:r>
      <w:r w:rsidRPr="0031675F">
        <w:t xml:space="preserve"> </w:t>
      </w:r>
      <w:r w:rsidRPr="0031675F">
        <w:rPr>
          <w:spacing w:val="-1"/>
        </w:rPr>
        <w:t>per</w:t>
      </w:r>
      <w:r w:rsidRPr="0031675F">
        <w:t xml:space="preserve"> </w:t>
      </w:r>
      <w:r w:rsidRPr="0031675F">
        <w:rPr>
          <w:spacing w:val="-1"/>
        </w:rPr>
        <w:t>alfoil packet.</w:t>
      </w:r>
    </w:p>
    <w:p w14:paraId="026C84FC" w14:textId="77777777" w:rsidR="0031675F" w:rsidRPr="0031675F" w:rsidRDefault="0031675F" w:rsidP="0031675F">
      <w:pPr>
        <w:widowControl w:val="0"/>
        <w:numPr>
          <w:ilvl w:val="0"/>
          <w:numId w:val="97"/>
        </w:numPr>
        <w:tabs>
          <w:tab w:val="left" w:pos="859"/>
        </w:tabs>
        <w:spacing w:before="0" w:after="0" w:line="240" w:lineRule="auto"/>
      </w:pPr>
      <w:r w:rsidRPr="0031675F">
        <w:rPr>
          <w:spacing w:val="-1"/>
        </w:rPr>
        <w:t>Freeze</w:t>
      </w:r>
      <w:r w:rsidRPr="0031675F">
        <w:t xml:space="preserve"> </w:t>
      </w:r>
      <w:r w:rsidRPr="0031675F">
        <w:rPr>
          <w:spacing w:val="-1"/>
        </w:rPr>
        <w:t>the</w:t>
      </w:r>
      <w:r w:rsidRPr="0031675F">
        <w:t xml:space="preserve"> </w:t>
      </w:r>
      <w:r w:rsidRPr="0031675F">
        <w:rPr>
          <w:spacing w:val="-1"/>
        </w:rPr>
        <w:t>filters</w:t>
      </w:r>
      <w:r w:rsidRPr="0031675F">
        <w:t xml:space="preserve"> </w:t>
      </w:r>
      <w:r w:rsidRPr="0031675F">
        <w:rPr>
          <w:spacing w:val="-1"/>
        </w:rPr>
        <w:t>immediately.</w:t>
      </w:r>
    </w:p>
    <w:p w14:paraId="183670A5" w14:textId="77777777" w:rsidR="0031675F" w:rsidRPr="0031675F" w:rsidRDefault="0031675F" w:rsidP="0031675F">
      <w:pPr>
        <w:widowControl w:val="0"/>
        <w:numPr>
          <w:ilvl w:val="0"/>
          <w:numId w:val="97"/>
        </w:numPr>
        <w:tabs>
          <w:tab w:val="left" w:pos="859"/>
        </w:tabs>
        <w:spacing w:before="0" w:after="0" w:line="240" w:lineRule="auto"/>
      </w:pPr>
      <w:r w:rsidRPr="0031675F">
        <w:rPr>
          <w:spacing w:val="-1"/>
        </w:rPr>
        <w:t>Without</w:t>
      </w:r>
      <w:r w:rsidRPr="0031675F">
        <w:rPr>
          <w:spacing w:val="-2"/>
        </w:rPr>
        <w:t xml:space="preserve"> </w:t>
      </w:r>
      <w:r w:rsidRPr="0031675F">
        <w:rPr>
          <w:spacing w:val="-1"/>
        </w:rPr>
        <w:t>allowing</w:t>
      </w:r>
      <w:r w:rsidRPr="0031675F">
        <w:rPr>
          <w:spacing w:val="-2"/>
        </w:rPr>
        <w:t xml:space="preserve"> </w:t>
      </w:r>
      <w:r w:rsidRPr="0031675F">
        <w:rPr>
          <w:spacing w:val="-1"/>
        </w:rPr>
        <w:t>the</w:t>
      </w:r>
      <w:r w:rsidRPr="0031675F">
        <w:t xml:space="preserve"> </w:t>
      </w:r>
      <w:r w:rsidRPr="0031675F">
        <w:rPr>
          <w:spacing w:val="-1"/>
        </w:rPr>
        <w:t>filters</w:t>
      </w:r>
      <w:r w:rsidRPr="0031675F">
        <w:rPr>
          <w:spacing w:val="-3"/>
        </w:rPr>
        <w:t xml:space="preserve"> </w:t>
      </w:r>
      <w:r w:rsidRPr="0031675F">
        <w:t>to</w:t>
      </w:r>
      <w:r w:rsidRPr="0031675F">
        <w:rPr>
          <w:spacing w:val="1"/>
        </w:rPr>
        <w:t xml:space="preserve"> </w:t>
      </w:r>
      <w:r w:rsidRPr="0031675F">
        <w:rPr>
          <w:spacing w:val="-1"/>
        </w:rPr>
        <w:t>defrost,</w:t>
      </w:r>
      <w:r w:rsidRPr="0031675F">
        <w:rPr>
          <w:spacing w:val="1"/>
        </w:rPr>
        <w:t xml:space="preserve"> </w:t>
      </w:r>
      <w:r w:rsidRPr="0031675F">
        <w:rPr>
          <w:spacing w:val="-1"/>
        </w:rPr>
        <w:t>place</w:t>
      </w:r>
      <w:r w:rsidRPr="0031675F">
        <w:t xml:space="preserve"> in</w:t>
      </w:r>
      <w:r w:rsidRPr="0031675F">
        <w:rPr>
          <w:spacing w:val="-1"/>
        </w:rPr>
        <w:t xml:space="preserve"> freeze</w:t>
      </w:r>
      <w:r w:rsidRPr="0031675F">
        <w:rPr>
          <w:spacing w:val="-2"/>
        </w:rPr>
        <w:t xml:space="preserve"> </w:t>
      </w:r>
      <w:r w:rsidRPr="0031675F">
        <w:rPr>
          <w:spacing w:val="-1"/>
        </w:rPr>
        <w:t>drier</w:t>
      </w:r>
      <w:r w:rsidRPr="0031675F">
        <w:t xml:space="preserve"> to</w:t>
      </w:r>
      <w:r w:rsidRPr="0031675F">
        <w:rPr>
          <w:spacing w:val="-1"/>
        </w:rPr>
        <w:t xml:space="preserve"> dry overnight.</w:t>
      </w:r>
    </w:p>
    <w:p w14:paraId="7B8C2D27" w14:textId="77777777" w:rsidR="0031675F" w:rsidRPr="0031675F" w:rsidRDefault="0031675F" w:rsidP="0031675F">
      <w:pPr>
        <w:widowControl w:val="0"/>
        <w:numPr>
          <w:ilvl w:val="0"/>
          <w:numId w:val="97"/>
        </w:numPr>
        <w:tabs>
          <w:tab w:val="left" w:pos="859"/>
        </w:tabs>
        <w:spacing w:before="0" w:after="0" w:line="240" w:lineRule="auto"/>
        <w:ind w:right="680"/>
        <w:rPr>
          <w:rFonts w:cs="Calibri"/>
          <w:sz w:val="20"/>
          <w:szCs w:val="20"/>
        </w:rPr>
      </w:pPr>
      <w:r w:rsidRPr="0031675F">
        <w:rPr>
          <w:spacing w:val="-1"/>
        </w:rPr>
        <w:t>Store</w:t>
      </w:r>
      <w:r w:rsidRPr="0031675F">
        <w:t xml:space="preserve">  </w:t>
      </w:r>
      <w:r w:rsidRPr="0031675F">
        <w:rPr>
          <w:spacing w:val="9"/>
        </w:rPr>
        <w:t xml:space="preserve"> </w:t>
      </w:r>
      <w:r w:rsidRPr="0031675F">
        <w:t>in</w:t>
      </w:r>
      <w:r w:rsidRPr="0031675F">
        <w:rPr>
          <w:spacing w:val="27"/>
        </w:rPr>
        <w:t xml:space="preserve"> </w:t>
      </w:r>
      <w:r w:rsidRPr="0031675F">
        <w:rPr>
          <w:spacing w:val="-1"/>
        </w:rPr>
        <w:t>desiccator.</w:t>
      </w:r>
      <w:r w:rsidRPr="0031675F">
        <w:t xml:space="preserve">  </w:t>
      </w:r>
      <w:r w:rsidRPr="0031675F">
        <w:rPr>
          <w:spacing w:val="8"/>
        </w:rPr>
        <w:t xml:space="preserve"> </w:t>
      </w:r>
      <w:r w:rsidRPr="0031675F">
        <w:rPr>
          <w:spacing w:val="-1"/>
        </w:rPr>
        <w:t>Do</w:t>
      </w:r>
      <w:r w:rsidRPr="0031675F">
        <w:rPr>
          <w:spacing w:val="30"/>
        </w:rPr>
        <w:t xml:space="preserve"> </w:t>
      </w:r>
      <w:r w:rsidRPr="0031675F">
        <w:t>not</w:t>
      </w:r>
      <w:r w:rsidRPr="0031675F">
        <w:rPr>
          <w:spacing w:val="30"/>
        </w:rPr>
        <w:t xml:space="preserve"> </w:t>
      </w:r>
      <w:r w:rsidRPr="0031675F">
        <w:rPr>
          <w:spacing w:val="-1"/>
        </w:rPr>
        <w:t>store</w:t>
      </w:r>
      <w:r w:rsidRPr="0031675F">
        <w:rPr>
          <w:spacing w:val="28"/>
        </w:rPr>
        <w:t xml:space="preserve"> </w:t>
      </w:r>
      <w:r w:rsidRPr="0031675F">
        <w:rPr>
          <w:spacing w:val="-1"/>
        </w:rPr>
        <w:t>your</w:t>
      </w:r>
      <w:r w:rsidRPr="0031675F">
        <w:rPr>
          <w:spacing w:val="29"/>
        </w:rPr>
        <w:t xml:space="preserve"> </w:t>
      </w:r>
      <w:r w:rsidRPr="0031675F">
        <w:rPr>
          <w:spacing w:val="-1"/>
        </w:rPr>
        <w:t>samples</w:t>
      </w:r>
      <w:r w:rsidRPr="0031675F">
        <w:rPr>
          <w:spacing w:val="29"/>
        </w:rPr>
        <w:t xml:space="preserve"> </w:t>
      </w:r>
      <w:r w:rsidRPr="0031675F">
        <w:rPr>
          <w:spacing w:val="-1"/>
        </w:rPr>
        <w:t>with</w:t>
      </w:r>
      <w:r w:rsidRPr="0031675F">
        <w:rPr>
          <w:spacing w:val="29"/>
        </w:rPr>
        <w:t xml:space="preserve"> </w:t>
      </w:r>
      <w:r w:rsidRPr="0031675F">
        <w:rPr>
          <w:spacing w:val="-1"/>
        </w:rPr>
        <w:t>organic/volatile</w:t>
      </w:r>
      <w:r w:rsidRPr="0031675F">
        <w:rPr>
          <w:spacing w:val="26"/>
        </w:rPr>
        <w:t xml:space="preserve"> </w:t>
      </w:r>
      <w:r w:rsidRPr="0031675F">
        <w:rPr>
          <w:spacing w:val="-1"/>
        </w:rPr>
        <w:t>materials</w:t>
      </w:r>
      <w:r w:rsidRPr="0031675F">
        <w:rPr>
          <w:spacing w:val="29"/>
        </w:rPr>
        <w:t xml:space="preserve"> </w:t>
      </w:r>
      <w:r w:rsidRPr="0031675F">
        <w:t>that</w:t>
      </w:r>
      <w:r w:rsidRPr="0031675F">
        <w:rPr>
          <w:spacing w:val="71"/>
        </w:rPr>
        <w:t xml:space="preserve"> </w:t>
      </w:r>
      <w:r w:rsidRPr="0031675F">
        <w:t>may</w:t>
      </w:r>
      <w:r w:rsidRPr="0031675F">
        <w:rPr>
          <w:spacing w:val="-2"/>
        </w:rPr>
        <w:t xml:space="preserve"> </w:t>
      </w:r>
      <w:r w:rsidRPr="0031675F">
        <w:rPr>
          <w:spacing w:val="-1"/>
        </w:rPr>
        <w:t>contaminate</w:t>
      </w:r>
      <w:r w:rsidRPr="0031675F">
        <w:rPr>
          <w:spacing w:val="-2"/>
        </w:rPr>
        <w:t xml:space="preserve"> </w:t>
      </w:r>
      <w:r w:rsidRPr="0031675F">
        <w:rPr>
          <w:spacing w:val="-1"/>
        </w:rPr>
        <w:t>them.</w:t>
      </w:r>
    </w:p>
    <w:p w14:paraId="4BAD1F63" w14:textId="77777777" w:rsidR="0031675F" w:rsidRPr="0031675F" w:rsidRDefault="0031675F" w:rsidP="0031675F">
      <w:pPr>
        <w:widowControl w:val="0"/>
        <w:numPr>
          <w:ilvl w:val="1"/>
          <w:numId w:val="96"/>
        </w:numPr>
        <w:tabs>
          <w:tab w:val="left" w:pos="839"/>
        </w:tabs>
        <w:spacing w:before="206" w:after="0" w:line="240" w:lineRule="auto"/>
        <w:jc w:val="both"/>
        <w:rPr>
          <w:rFonts w:eastAsia="Arial" w:cs="Arial"/>
          <w:sz w:val="24"/>
          <w:szCs w:val="24"/>
        </w:rPr>
      </w:pPr>
      <w:bookmarkStart w:id="690" w:name="_TOC_250023"/>
      <w:r w:rsidRPr="0031675F">
        <w:rPr>
          <w:b/>
          <w:sz w:val="24"/>
        </w:rPr>
        <w:t xml:space="preserve">Sample </w:t>
      </w:r>
      <w:r w:rsidRPr="0031675F">
        <w:rPr>
          <w:b/>
          <w:spacing w:val="-1"/>
          <w:sz w:val="24"/>
        </w:rPr>
        <w:t>analysis</w:t>
      </w:r>
      <w:bookmarkEnd w:id="690"/>
    </w:p>
    <w:p w14:paraId="4B99FA4C" w14:textId="77777777" w:rsidR="0031675F" w:rsidRPr="0031675F" w:rsidRDefault="0031675F" w:rsidP="0031675F">
      <w:pPr>
        <w:spacing w:before="10"/>
        <w:rPr>
          <w:rFonts w:eastAsia="Arial" w:cs="Arial"/>
          <w:b/>
          <w:bCs/>
          <w:sz w:val="20"/>
          <w:szCs w:val="20"/>
        </w:rPr>
      </w:pPr>
    </w:p>
    <w:p w14:paraId="6D240D93" w14:textId="77777777" w:rsidR="0031675F" w:rsidRPr="0031675F" w:rsidRDefault="0031675F" w:rsidP="0031675F">
      <w:pPr>
        <w:ind w:left="118"/>
        <w:jc w:val="both"/>
        <w:rPr>
          <w:rFonts w:eastAsia="Arial" w:cs="Arial"/>
        </w:rPr>
      </w:pPr>
      <w:r w:rsidRPr="0031675F">
        <w:rPr>
          <w:b/>
        </w:rPr>
        <w:t xml:space="preserve">8.4.1  </w:t>
      </w:r>
      <w:r w:rsidRPr="0031675F">
        <w:rPr>
          <w:b/>
          <w:spacing w:val="44"/>
        </w:rPr>
        <w:t xml:space="preserve"> </w:t>
      </w:r>
      <w:r w:rsidRPr="0031675F">
        <w:rPr>
          <w:b/>
          <w:spacing w:val="-1"/>
        </w:rPr>
        <w:t>Materials</w:t>
      </w:r>
      <w:r w:rsidRPr="0031675F">
        <w:rPr>
          <w:b/>
        </w:rPr>
        <w:t xml:space="preserve"> and</w:t>
      </w:r>
      <w:r w:rsidRPr="0031675F">
        <w:rPr>
          <w:b/>
          <w:spacing w:val="-2"/>
        </w:rPr>
        <w:t xml:space="preserve"> </w:t>
      </w:r>
      <w:r w:rsidRPr="0031675F">
        <w:rPr>
          <w:b/>
          <w:spacing w:val="-1"/>
        </w:rPr>
        <w:t>Reagents</w:t>
      </w:r>
    </w:p>
    <w:p w14:paraId="27793DFA" w14:textId="77777777" w:rsidR="0031675F" w:rsidRPr="0031675F" w:rsidRDefault="0031675F" w:rsidP="0031675F">
      <w:pPr>
        <w:widowControl w:val="0"/>
        <w:numPr>
          <w:ilvl w:val="2"/>
          <w:numId w:val="96"/>
        </w:numPr>
        <w:tabs>
          <w:tab w:val="left" w:pos="839"/>
        </w:tabs>
        <w:spacing w:before="0" w:after="0" w:line="240" w:lineRule="auto"/>
      </w:pPr>
      <w:r w:rsidRPr="0031675F">
        <w:rPr>
          <w:spacing w:val="-1"/>
        </w:rPr>
        <w:t>Hydrochloric</w:t>
      </w:r>
      <w:r w:rsidRPr="0031675F">
        <w:t xml:space="preserve"> </w:t>
      </w:r>
      <w:r w:rsidRPr="0031675F">
        <w:rPr>
          <w:spacing w:val="-1"/>
        </w:rPr>
        <w:t>Acid</w:t>
      </w:r>
    </w:p>
    <w:p w14:paraId="714B6BA5" w14:textId="77777777" w:rsidR="0031675F" w:rsidRPr="0031675F" w:rsidRDefault="0031675F" w:rsidP="0031675F">
      <w:pPr>
        <w:widowControl w:val="0"/>
        <w:numPr>
          <w:ilvl w:val="2"/>
          <w:numId w:val="96"/>
        </w:numPr>
        <w:tabs>
          <w:tab w:val="left" w:pos="839"/>
        </w:tabs>
        <w:spacing w:before="0" w:after="0" w:line="240" w:lineRule="auto"/>
        <w:ind w:right="119"/>
      </w:pPr>
      <w:r w:rsidRPr="0031675F">
        <w:rPr>
          <w:spacing w:val="-1"/>
        </w:rPr>
        <w:t>Primary</w:t>
      </w:r>
      <w:r w:rsidRPr="0031675F">
        <w:t xml:space="preserve"> </w:t>
      </w:r>
      <w:r w:rsidRPr="0031675F">
        <w:rPr>
          <w:spacing w:val="11"/>
        </w:rPr>
        <w:t xml:space="preserve"> </w:t>
      </w:r>
      <w:r w:rsidRPr="0031675F">
        <w:rPr>
          <w:spacing w:val="-1"/>
        </w:rPr>
        <w:t>Standard</w:t>
      </w:r>
      <w:r w:rsidRPr="0031675F">
        <w:t xml:space="preserve"> </w:t>
      </w:r>
      <w:r w:rsidRPr="0031675F">
        <w:rPr>
          <w:spacing w:val="10"/>
        </w:rPr>
        <w:t xml:space="preserve"> </w:t>
      </w:r>
      <w:r w:rsidRPr="0031675F">
        <w:t xml:space="preserve">- </w:t>
      </w:r>
      <w:r w:rsidRPr="0031675F">
        <w:rPr>
          <w:spacing w:val="10"/>
        </w:rPr>
        <w:t xml:space="preserve"> </w:t>
      </w:r>
      <w:r w:rsidRPr="0031675F">
        <w:rPr>
          <w:spacing w:val="-1"/>
        </w:rPr>
        <w:t>Standard</w:t>
      </w:r>
      <w:r w:rsidRPr="0031675F">
        <w:t xml:space="preserve"> </w:t>
      </w:r>
      <w:r w:rsidRPr="0031675F">
        <w:rPr>
          <w:spacing w:val="9"/>
        </w:rPr>
        <w:t xml:space="preserve"> </w:t>
      </w:r>
      <w:r w:rsidRPr="0031675F">
        <w:rPr>
          <w:spacing w:val="-1"/>
        </w:rPr>
        <w:t>reference</w:t>
      </w:r>
      <w:r w:rsidRPr="0031675F">
        <w:t xml:space="preserve"> </w:t>
      </w:r>
      <w:r w:rsidRPr="0031675F">
        <w:rPr>
          <w:spacing w:val="11"/>
        </w:rPr>
        <w:t xml:space="preserve"> </w:t>
      </w:r>
      <w:r w:rsidRPr="0031675F">
        <w:rPr>
          <w:spacing w:val="-1"/>
        </w:rPr>
        <w:t>material</w:t>
      </w:r>
      <w:r w:rsidRPr="0031675F">
        <w:t xml:space="preserve"> </w:t>
      </w:r>
      <w:r w:rsidRPr="0031675F">
        <w:rPr>
          <w:spacing w:val="10"/>
        </w:rPr>
        <w:t xml:space="preserve"> </w:t>
      </w:r>
      <w:r w:rsidRPr="0031675F">
        <w:rPr>
          <w:spacing w:val="-2"/>
        </w:rPr>
        <w:t>MESS1</w:t>
      </w:r>
      <w:r w:rsidRPr="0031675F">
        <w:t xml:space="preserve"> </w:t>
      </w:r>
      <w:r w:rsidRPr="0031675F">
        <w:rPr>
          <w:spacing w:val="12"/>
        </w:rPr>
        <w:t xml:space="preserve"> </w:t>
      </w:r>
      <w:r w:rsidRPr="0031675F">
        <w:rPr>
          <w:rFonts w:cs="Calibri"/>
        </w:rPr>
        <w:t xml:space="preserve">– </w:t>
      </w:r>
      <w:r w:rsidRPr="0031675F">
        <w:rPr>
          <w:rFonts w:cs="Calibri"/>
          <w:spacing w:val="11"/>
        </w:rPr>
        <w:t xml:space="preserve"> </w:t>
      </w:r>
      <w:r w:rsidRPr="0031675F">
        <w:rPr>
          <w:spacing w:val="-1"/>
        </w:rPr>
        <w:t>National</w:t>
      </w:r>
      <w:r w:rsidRPr="0031675F">
        <w:t xml:space="preserve"> </w:t>
      </w:r>
      <w:r w:rsidRPr="0031675F">
        <w:rPr>
          <w:spacing w:val="10"/>
        </w:rPr>
        <w:t xml:space="preserve"> </w:t>
      </w:r>
      <w:r w:rsidRPr="0031675F">
        <w:rPr>
          <w:spacing w:val="-1"/>
        </w:rPr>
        <w:t>Research</w:t>
      </w:r>
      <w:r w:rsidRPr="0031675F">
        <w:t xml:space="preserve"> </w:t>
      </w:r>
      <w:r w:rsidRPr="0031675F">
        <w:rPr>
          <w:spacing w:val="10"/>
        </w:rPr>
        <w:t xml:space="preserve"> </w:t>
      </w:r>
      <w:r w:rsidRPr="0031675F">
        <w:rPr>
          <w:spacing w:val="-1"/>
        </w:rPr>
        <w:t>Council</w:t>
      </w:r>
      <w:r w:rsidRPr="0031675F">
        <w:t xml:space="preserve"> </w:t>
      </w:r>
      <w:r w:rsidRPr="0031675F">
        <w:rPr>
          <w:spacing w:val="10"/>
        </w:rPr>
        <w:t xml:space="preserve"> </w:t>
      </w:r>
      <w:r w:rsidRPr="0031675F">
        <w:rPr>
          <w:spacing w:val="-1"/>
        </w:rPr>
        <w:t>of</w:t>
      </w:r>
      <w:r w:rsidRPr="0031675F">
        <w:rPr>
          <w:spacing w:val="77"/>
        </w:rPr>
        <w:t xml:space="preserve"> </w:t>
      </w:r>
      <w:r w:rsidRPr="0031675F">
        <w:rPr>
          <w:spacing w:val="-1"/>
        </w:rPr>
        <w:t>Canada</w:t>
      </w:r>
    </w:p>
    <w:p w14:paraId="756D923F" w14:textId="77777777" w:rsidR="0031675F" w:rsidRPr="0031675F" w:rsidRDefault="0031675F" w:rsidP="0031675F">
      <w:pPr>
        <w:widowControl w:val="0"/>
        <w:numPr>
          <w:ilvl w:val="2"/>
          <w:numId w:val="96"/>
        </w:numPr>
        <w:tabs>
          <w:tab w:val="left" w:pos="839"/>
        </w:tabs>
        <w:spacing w:before="0" w:after="0" w:line="240" w:lineRule="auto"/>
        <w:ind w:right="120"/>
      </w:pPr>
      <w:r w:rsidRPr="0031675F">
        <w:rPr>
          <w:spacing w:val="-1"/>
        </w:rPr>
        <w:t>Secondary</w:t>
      </w:r>
      <w:r w:rsidRPr="0031675F">
        <w:rPr>
          <w:spacing w:val="26"/>
        </w:rPr>
        <w:t xml:space="preserve"> </w:t>
      </w:r>
      <w:r w:rsidRPr="0031675F">
        <w:rPr>
          <w:spacing w:val="-1"/>
        </w:rPr>
        <w:t>Standard</w:t>
      </w:r>
      <w:r w:rsidRPr="0031675F">
        <w:rPr>
          <w:spacing w:val="27"/>
        </w:rPr>
        <w:t xml:space="preserve"> </w:t>
      </w:r>
      <w:r w:rsidRPr="0031675F">
        <w:t>-</w:t>
      </w:r>
      <w:r w:rsidRPr="0031675F">
        <w:rPr>
          <w:spacing w:val="26"/>
        </w:rPr>
        <w:t xml:space="preserve"> </w:t>
      </w:r>
      <w:r w:rsidRPr="0031675F">
        <w:rPr>
          <w:spacing w:val="-1"/>
        </w:rPr>
        <w:t>QTM070MS</w:t>
      </w:r>
      <w:r w:rsidRPr="0031675F">
        <w:rPr>
          <w:spacing w:val="25"/>
        </w:rPr>
        <w:t xml:space="preserve"> </w:t>
      </w:r>
      <w:r w:rsidRPr="0031675F">
        <w:rPr>
          <w:spacing w:val="-1"/>
        </w:rPr>
        <w:t>(from</w:t>
      </w:r>
      <w:r w:rsidRPr="0031675F">
        <w:rPr>
          <w:spacing w:val="28"/>
        </w:rPr>
        <w:t xml:space="preserve"> </w:t>
      </w:r>
      <w:r w:rsidRPr="0031675F">
        <w:rPr>
          <w:spacing w:val="-1"/>
        </w:rPr>
        <w:t>Round</w:t>
      </w:r>
      <w:r w:rsidRPr="0031675F">
        <w:rPr>
          <w:spacing w:val="26"/>
        </w:rPr>
        <w:t xml:space="preserve"> </w:t>
      </w:r>
      <w:r w:rsidRPr="0031675F">
        <w:t>40</w:t>
      </w:r>
      <w:r w:rsidRPr="0031675F">
        <w:rPr>
          <w:spacing w:val="25"/>
        </w:rPr>
        <w:t xml:space="preserve"> </w:t>
      </w:r>
      <w:r w:rsidRPr="0031675F">
        <w:t>of</w:t>
      </w:r>
      <w:r w:rsidRPr="0031675F">
        <w:rPr>
          <w:spacing w:val="25"/>
        </w:rPr>
        <w:t xml:space="preserve"> </w:t>
      </w:r>
      <w:r w:rsidRPr="0031675F">
        <w:rPr>
          <w:spacing w:val="-1"/>
        </w:rPr>
        <w:t>Quasimeme</w:t>
      </w:r>
      <w:r w:rsidRPr="0031675F">
        <w:rPr>
          <w:spacing w:val="27"/>
        </w:rPr>
        <w:t xml:space="preserve"> </w:t>
      </w:r>
      <w:r w:rsidRPr="0031675F">
        <w:rPr>
          <w:spacing w:val="-1"/>
        </w:rPr>
        <w:t>Laboratory</w:t>
      </w:r>
      <w:r w:rsidRPr="0031675F">
        <w:rPr>
          <w:spacing w:val="25"/>
        </w:rPr>
        <w:t xml:space="preserve"> </w:t>
      </w:r>
      <w:r w:rsidRPr="0031675F">
        <w:rPr>
          <w:spacing w:val="-1"/>
        </w:rPr>
        <w:t>Performance</w:t>
      </w:r>
      <w:r w:rsidRPr="0031675F">
        <w:rPr>
          <w:spacing w:val="47"/>
        </w:rPr>
        <w:t xml:space="preserve"> </w:t>
      </w:r>
      <w:r w:rsidRPr="0031675F">
        <w:rPr>
          <w:spacing w:val="-1"/>
        </w:rPr>
        <w:t>studies)</w:t>
      </w:r>
    </w:p>
    <w:p w14:paraId="07907E17" w14:textId="77777777" w:rsidR="0031675F" w:rsidRPr="0031675F" w:rsidRDefault="0031675F" w:rsidP="0031675F">
      <w:pPr>
        <w:widowControl w:val="0"/>
        <w:numPr>
          <w:ilvl w:val="2"/>
          <w:numId w:val="96"/>
        </w:numPr>
        <w:tabs>
          <w:tab w:val="left" w:pos="839"/>
        </w:tabs>
        <w:spacing w:before="0" w:after="0" w:line="240" w:lineRule="auto"/>
      </w:pPr>
      <w:r w:rsidRPr="0031675F">
        <w:rPr>
          <w:spacing w:val="-1"/>
        </w:rPr>
        <w:t>Secondary</w:t>
      </w:r>
      <w:r w:rsidRPr="0031675F">
        <w:rPr>
          <w:spacing w:val="-2"/>
        </w:rPr>
        <w:t xml:space="preserve"> </w:t>
      </w:r>
      <w:r w:rsidRPr="0031675F">
        <w:rPr>
          <w:spacing w:val="-1"/>
        </w:rPr>
        <w:t>Standard</w:t>
      </w:r>
      <w:r w:rsidRPr="0031675F">
        <w:t xml:space="preserve"> - </w:t>
      </w:r>
      <w:r w:rsidRPr="0031675F">
        <w:rPr>
          <w:spacing w:val="-1"/>
        </w:rPr>
        <w:t>Coastal</w:t>
      </w:r>
      <w:r w:rsidRPr="0031675F">
        <w:t xml:space="preserve"> </w:t>
      </w:r>
      <w:r w:rsidRPr="0031675F">
        <w:rPr>
          <w:spacing w:val="-1"/>
        </w:rPr>
        <w:t>Sediment (AIMS</w:t>
      </w:r>
      <w:r w:rsidRPr="0031675F">
        <w:t xml:space="preserve"> </w:t>
      </w:r>
      <w:r w:rsidRPr="0031675F">
        <w:rPr>
          <w:spacing w:val="-1"/>
        </w:rPr>
        <w:t>in-house</w:t>
      </w:r>
      <w:r w:rsidRPr="0031675F">
        <w:t xml:space="preserve"> </w:t>
      </w:r>
      <w:r w:rsidRPr="0031675F">
        <w:rPr>
          <w:spacing w:val="-1"/>
        </w:rPr>
        <w:t>sediment</w:t>
      </w:r>
      <w:r w:rsidRPr="0031675F">
        <w:rPr>
          <w:spacing w:val="-3"/>
        </w:rPr>
        <w:t xml:space="preserve"> </w:t>
      </w:r>
      <w:r w:rsidRPr="0031675F">
        <w:rPr>
          <w:spacing w:val="-1"/>
        </w:rPr>
        <w:t>reference</w:t>
      </w:r>
      <w:r w:rsidRPr="0031675F">
        <w:rPr>
          <w:spacing w:val="-2"/>
        </w:rPr>
        <w:t xml:space="preserve"> </w:t>
      </w:r>
      <w:r w:rsidRPr="0031675F">
        <w:rPr>
          <w:spacing w:val="-1"/>
        </w:rPr>
        <w:t>material)</w:t>
      </w:r>
    </w:p>
    <w:p w14:paraId="4D41EDEE" w14:textId="77777777" w:rsidR="0031675F" w:rsidRPr="0031675F" w:rsidRDefault="0031675F" w:rsidP="0031675F">
      <w:pPr>
        <w:widowControl w:val="0"/>
        <w:numPr>
          <w:ilvl w:val="2"/>
          <w:numId w:val="96"/>
        </w:numPr>
        <w:tabs>
          <w:tab w:val="left" w:pos="839"/>
        </w:tabs>
        <w:spacing w:before="0" w:after="0" w:line="240" w:lineRule="auto"/>
      </w:pPr>
      <w:r w:rsidRPr="0031675F">
        <w:rPr>
          <w:spacing w:val="-1"/>
        </w:rPr>
        <w:t>Shimadzu-TOC</w:t>
      </w:r>
      <w:r w:rsidRPr="0031675F">
        <w:t xml:space="preserve"> V</w:t>
      </w:r>
      <w:r w:rsidRPr="0031675F">
        <w:rPr>
          <w:spacing w:val="-2"/>
        </w:rPr>
        <w:t xml:space="preserve"> </w:t>
      </w:r>
      <w:r w:rsidRPr="0031675F">
        <w:rPr>
          <w:spacing w:val="-1"/>
        </w:rPr>
        <w:t>Total</w:t>
      </w:r>
      <w:r w:rsidRPr="0031675F">
        <w:t xml:space="preserve"> </w:t>
      </w:r>
      <w:r w:rsidRPr="0031675F">
        <w:rPr>
          <w:spacing w:val="-1"/>
        </w:rPr>
        <w:t>Organic</w:t>
      </w:r>
      <w:r w:rsidRPr="0031675F">
        <w:t xml:space="preserve"> </w:t>
      </w:r>
      <w:r w:rsidRPr="0031675F">
        <w:rPr>
          <w:spacing w:val="-1"/>
        </w:rPr>
        <w:t>Carbon Analyser</w:t>
      </w:r>
      <w:r w:rsidRPr="0031675F">
        <w:rPr>
          <w:spacing w:val="-2"/>
        </w:rPr>
        <w:t xml:space="preserve"> </w:t>
      </w:r>
      <w:r w:rsidRPr="0031675F">
        <w:t>with</w:t>
      </w:r>
      <w:r w:rsidRPr="0031675F">
        <w:rPr>
          <w:spacing w:val="-2"/>
        </w:rPr>
        <w:t xml:space="preserve"> </w:t>
      </w:r>
      <w:r w:rsidRPr="0031675F">
        <w:rPr>
          <w:spacing w:val="-1"/>
        </w:rPr>
        <w:t>Solid Sample</w:t>
      </w:r>
      <w:r w:rsidRPr="0031675F">
        <w:rPr>
          <w:spacing w:val="-5"/>
        </w:rPr>
        <w:t xml:space="preserve"> </w:t>
      </w:r>
      <w:r w:rsidRPr="0031675F">
        <w:rPr>
          <w:spacing w:val="-1"/>
        </w:rPr>
        <w:t>module</w:t>
      </w:r>
    </w:p>
    <w:p w14:paraId="7551986D" w14:textId="77777777" w:rsidR="0031675F" w:rsidRPr="0031675F" w:rsidRDefault="0031675F" w:rsidP="0031675F">
      <w:pPr>
        <w:widowControl w:val="0"/>
        <w:numPr>
          <w:ilvl w:val="2"/>
          <w:numId w:val="96"/>
        </w:numPr>
        <w:tabs>
          <w:tab w:val="left" w:pos="839"/>
        </w:tabs>
        <w:spacing w:before="0" w:after="0" w:line="267" w:lineRule="exact"/>
      </w:pPr>
      <w:r w:rsidRPr="0031675F">
        <w:t xml:space="preserve">AR </w:t>
      </w:r>
      <w:r w:rsidRPr="0031675F">
        <w:rPr>
          <w:spacing w:val="-1"/>
        </w:rPr>
        <w:t>grade</w:t>
      </w:r>
      <w:r w:rsidRPr="0031675F">
        <w:t xml:space="preserve"> </w:t>
      </w:r>
      <w:r w:rsidRPr="0031675F">
        <w:rPr>
          <w:spacing w:val="-1"/>
        </w:rPr>
        <w:t>HCl</w:t>
      </w:r>
      <w:r w:rsidRPr="0031675F">
        <w:t xml:space="preserve"> </w:t>
      </w:r>
      <w:r w:rsidRPr="0031675F">
        <w:rPr>
          <w:spacing w:val="-1"/>
        </w:rPr>
        <w:t>(32%)</w:t>
      </w:r>
    </w:p>
    <w:p w14:paraId="56518D0D" w14:textId="77777777" w:rsidR="0031675F" w:rsidRPr="0031675F" w:rsidRDefault="0031675F" w:rsidP="0031675F">
      <w:pPr>
        <w:widowControl w:val="0"/>
        <w:numPr>
          <w:ilvl w:val="2"/>
          <w:numId w:val="96"/>
        </w:numPr>
        <w:tabs>
          <w:tab w:val="left" w:pos="839"/>
        </w:tabs>
        <w:spacing w:before="0" w:after="0" w:line="267" w:lineRule="exact"/>
      </w:pPr>
      <w:r w:rsidRPr="0031675F">
        <w:rPr>
          <w:spacing w:val="-1"/>
        </w:rPr>
        <w:t>Muffle</w:t>
      </w:r>
      <w:r w:rsidRPr="0031675F">
        <w:t xml:space="preserve"> </w:t>
      </w:r>
      <w:r w:rsidRPr="0031675F">
        <w:rPr>
          <w:spacing w:val="-1"/>
        </w:rPr>
        <w:t>furnace</w:t>
      </w:r>
    </w:p>
    <w:p w14:paraId="119D0484" w14:textId="77777777" w:rsidR="0031675F" w:rsidRPr="0031675F" w:rsidRDefault="0031675F" w:rsidP="0031675F">
      <w:pPr>
        <w:widowControl w:val="0"/>
        <w:numPr>
          <w:ilvl w:val="2"/>
          <w:numId w:val="96"/>
        </w:numPr>
        <w:tabs>
          <w:tab w:val="left" w:pos="839"/>
        </w:tabs>
        <w:spacing w:before="0" w:after="0" w:line="240" w:lineRule="auto"/>
        <w:rPr>
          <w:rFonts w:cs="Calibri"/>
        </w:rPr>
      </w:pPr>
      <w:r w:rsidRPr="0031675F">
        <w:rPr>
          <w:spacing w:val="-1"/>
        </w:rPr>
        <w:t>Pre-</w:t>
      </w:r>
      <w:r w:rsidRPr="0031675F">
        <w:rPr>
          <w:rFonts w:cs="Calibri"/>
          <w:spacing w:val="-1"/>
        </w:rPr>
        <w:t>combusted</w:t>
      </w:r>
      <w:r w:rsidRPr="0031675F">
        <w:rPr>
          <w:rFonts w:cs="Calibri"/>
          <w:spacing w:val="-3"/>
        </w:rPr>
        <w:t xml:space="preserve"> </w:t>
      </w:r>
      <w:r w:rsidRPr="0031675F">
        <w:rPr>
          <w:rFonts w:cs="Calibri"/>
          <w:spacing w:val="-1"/>
        </w:rPr>
        <w:t>ceramic</w:t>
      </w:r>
      <w:r w:rsidRPr="0031675F">
        <w:rPr>
          <w:rFonts w:cs="Calibri"/>
        </w:rPr>
        <w:t xml:space="preserve"> </w:t>
      </w:r>
      <w:r w:rsidRPr="0031675F">
        <w:rPr>
          <w:rFonts w:cs="Calibri"/>
          <w:spacing w:val="-1"/>
        </w:rPr>
        <w:t>sample</w:t>
      </w:r>
      <w:r w:rsidRPr="0031675F">
        <w:rPr>
          <w:rFonts w:cs="Calibri"/>
        </w:rPr>
        <w:t xml:space="preserve"> </w:t>
      </w:r>
      <w:r w:rsidRPr="0031675F">
        <w:rPr>
          <w:rFonts w:cs="Calibri"/>
          <w:spacing w:val="-1"/>
        </w:rPr>
        <w:t>‘boats’</w:t>
      </w:r>
    </w:p>
    <w:p w14:paraId="4FC2F8CB" w14:textId="77777777" w:rsidR="0031675F" w:rsidRPr="0031675F" w:rsidRDefault="0031675F" w:rsidP="0031675F">
      <w:pPr>
        <w:widowControl w:val="0"/>
        <w:numPr>
          <w:ilvl w:val="2"/>
          <w:numId w:val="96"/>
        </w:numPr>
        <w:tabs>
          <w:tab w:val="left" w:pos="839"/>
        </w:tabs>
        <w:spacing w:before="1" w:after="0" w:line="240" w:lineRule="auto"/>
      </w:pPr>
      <w:r w:rsidRPr="0031675F">
        <w:rPr>
          <w:spacing w:val="-1"/>
        </w:rPr>
        <w:t>Small</w:t>
      </w:r>
      <w:r w:rsidRPr="0031675F">
        <w:rPr>
          <w:spacing w:val="1"/>
        </w:rPr>
        <w:t xml:space="preserve"> </w:t>
      </w:r>
      <w:r w:rsidRPr="0031675F">
        <w:rPr>
          <w:spacing w:val="-1"/>
        </w:rPr>
        <w:t>spatula</w:t>
      </w:r>
      <w:r w:rsidRPr="0031675F">
        <w:rPr>
          <w:spacing w:val="-3"/>
        </w:rPr>
        <w:t xml:space="preserve"> </w:t>
      </w:r>
      <w:r w:rsidRPr="0031675F">
        <w:rPr>
          <w:spacing w:val="-1"/>
        </w:rPr>
        <w:t>suitable</w:t>
      </w:r>
      <w:r w:rsidRPr="0031675F">
        <w:t xml:space="preserve"> </w:t>
      </w:r>
      <w:r w:rsidRPr="0031675F">
        <w:rPr>
          <w:spacing w:val="-1"/>
        </w:rPr>
        <w:t>for</w:t>
      </w:r>
      <w:r w:rsidRPr="0031675F">
        <w:rPr>
          <w:spacing w:val="-2"/>
        </w:rPr>
        <w:t xml:space="preserve"> </w:t>
      </w:r>
      <w:r w:rsidRPr="0031675F">
        <w:rPr>
          <w:spacing w:val="-1"/>
        </w:rPr>
        <w:t>weighing milligrams</w:t>
      </w:r>
      <w:r w:rsidRPr="0031675F">
        <w:rPr>
          <w:spacing w:val="-2"/>
        </w:rPr>
        <w:t xml:space="preserve"> </w:t>
      </w:r>
      <w:r w:rsidRPr="0031675F">
        <w:t xml:space="preserve">of </w:t>
      </w:r>
      <w:r w:rsidRPr="0031675F">
        <w:rPr>
          <w:spacing w:val="-1"/>
        </w:rPr>
        <w:t>standard.</w:t>
      </w:r>
    </w:p>
    <w:p w14:paraId="05CF7079" w14:textId="77777777" w:rsidR="0031675F" w:rsidRPr="0031675F" w:rsidRDefault="0031675F" w:rsidP="0031675F">
      <w:pPr>
        <w:widowControl w:val="0"/>
        <w:numPr>
          <w:ilvl w:val="2"/>
          <w:numId w:val="96"/>
        </w:numPr>
        <w:tabs>
          <w:tab w:val="left" w:pos="839"/>
        </w:tabs>
        <w:spacing w:before="0" w:after="0" w:line="240" w:lineRule="auto"/>
      </w:pPr>
      <w:r w:rsidRPr="0031675F">
        <w:t xml:space="preserve">5 </w:t>
      </w:r>
      <w:r w:rsidRPr="0031675F">
        <w:rPr>
          <w:spacing w:val="-1"/>
        </w:rPr>
        <w:t>place</w:t>
      </w:r>
      <w:r w:rsidRPr="0031675F">
        <w:rPr>
          <w:spacing w:val="-2"/>
        </w:rPr>
        <w:t xml:space="preserve"> </w:t>
      </w:r>
      <w:r w:rsidRPr="0031675F">
        <w:rPr>
          <w:spacing w:val="-1"/>
        </w:rPr>
        <w:t>analytical</w:t>
      </w:r>
      <w:r w:rsidRPr="0031675F">
        <w:t xml:space="preserve"> </w:t>
      </w:r>
      <w:r w:rsidRPr="0031675F">
        <w:rPr>
          <w:spacing w:val="-1"/>
        </w:rPr>
        <w:t>balance.</w:t>
      </w:r>
    </w:p>
    <w:p w14:paraId="021A7494" w14:textId="77777777" w:rsidR="0031675F" w:rsidRPr="0031675F" w:rsidRDefault="0031675F" w:rsidP="0031675F">
      <w:pPr>
        <w:widowControl w:val="0"/>
        <w:numPr>
          <w:ilvl w:val="2"/>
          <w:numId w:val="96"/>
        </w:numPr>
        <w:tabs>
          <w:tab w:val="left" w:pos="839"/>
        </w:tabs>
        <w:spacing w:before="0" w:after="0" w:line="240" w:lineRule="auto"/>
      </w:pPr>
      <w:r w:rsidRPr="0031675F">
        <w:rPr>
          <w:spacing w:val="-1"/>
        </w:rPr>
        <w:t>Pre-dried sediment samples</w:t>
      </w:r>
      <w:r w:rsidRPr="0031675F">
        <w:t xml:space="preserve"> to</w:t>
      </w:r>
      <w:r w:rsidRPr="0031675F">
        <w:rPr>
          <w:spacing w:val="-1"/>
        </w:rPr>
        <w:t xml:space="preserve"> be</w:t>
      </w:r>
      <w:r w:rsidRPr="0031675F">
        <w:t xml:space="preserve"> </w:t>
      </w:r>
      <w:r w:rsidRPr="0031675F">
        <w:rPr>
          <w:spacing w:val="-1"/>
        </w:rPr>
        <w:t>analysed,</w:t>
      </w:r>
      <w:r w:rsidRPr="0031675F">
        <w:t xml:space="preserve"> in</w:t>
      </w:r>
      <w:r w:rsidRPr="0031675F">
        <w:rPr>
          <w:spacing w:val="-3"/>
        </w:rPr>
        <w:t xml:space="preserve"> </w:t>
      </w:r>
      <w:r w:rsidRPr="0031675F">
        <w:rPr>
          <w:spacing w:val="-1"/>
        </w:rPr>
        <w:t>sample</w:t>
      </w:r>
      <w:r w:rsidRPr="0031675F">
        <w:rPr>
          <w:spacing w:val="-2"/>
        </w:rPr>
        <w:t xml:space="preserve"> </w:t>
      </w:r>
      <w:r w:rsidRPr="0031675F">
        <w:rPr>
          <w:spacing w:val="-1"/>
        </w:rPr>
        <w:t>jars</w:t>
      </w:r>
      <w:r w:rsidRPr="0031675F">
        <w:t xml:space="preserve"> labelled</w:t>
      </w:r>
      <w:r w:rsidRPr="0031675F">
        <w:rPr>
          <w:spacing w:val="-3"/>
        </w:rPr>
        <w:t xml:space="preserve"> </w:t>
      </w:r>
      <w:r w:rsidRPr="0031675F">
        <w:t xml:space="preserve">with </w:t>
      </w:r>
      <w:r w:rsidRPr="0031675F">
        <w:rPr>
          <w:spacing w:val="-1"/>
        </w:rPr>
        <w:t>unique</w:t>
      </w:r>
      <w:r w:rsidRPr="0031675F">
        <w:t xml:space="preserve"> </w:t>
      </w:r>
      <w:r w:rsidRPr="0031675F">
        <w:rPr>
          <w:spacing w:val="-1"/>
        </w:rPr>
        <w:t>Sample</w:t>
      </w:r>
      <w:r w:rsidRPr="0031675F">
        <w:t xml:space="preserve"> </w:t>
      </w:r>
      <w:r w:rsidRPr="0031675F">
        <w:rPr>
          <w:spacing w:val="-2"/>
        </w:rPr>
        <w:t>ID</w:t>
      </w:r>
    </w:p>
    <w:p w14:paraId="4BF70218" w14:textId="77777777" w:rsidR="0031675F" w:rsidRPr="0031675F" w:rsidRDefault="0031675F" w:rsidP="0031675F">
      <w:pPr>
        <w:spacing w:before="10"/>
        <w:rPr>
          <w:rFonts w:cs="Calibri"/>
          <w:sz w:val="27"/>
          <w:szCs w:val="27"/>
        </w:rPr>
      </w:pPr>
    </w:p>
    <w:p w14:paraId="5E1832A1" w14:textId="77777777" w:rsidR="0031675F" w:rsidRPr="0031675F" w:rsidRDefault="0031675F" w:rsidP="0031675F">
      <w:pPr>
        <w:keepNext/>
        <w:widowControl w:val="0"/>
        <w:numPr>
          <w:ilvl w:val="2"/>
          <w:numId w:val="95"/>
        </w:numPr>
        <w:tabs>
          <w:tab w:val="left" w:pos="839"/>
        </w:tabs>
        <w:spacing w:before="0" w:after="0" w:line="240" w:lineRule="auto"/>
        <w:jc w:val="both"/>
        <w:rPr>
          <w:rFonts w:eastAsia="Arial" w:cs="Arial"/>
        </w:rPr>
      </w:pPr>
      <w:r w:rsidRPr="0031675F">
        <w:rPr>
          <w:b/>
          <w:spacing w:val="-1"/>
        </w:rPr>
        <w:t>Procedure</w:t>
      </w:r>
    </w:p>
    <w:p w14:paraId="615B2826" w14:textId="77777777" w:rsidR="0031675F" w:rsidRPr="0031675F" w:rsidRDefault="0031675F" w:rsidP="0031675F">
      <w:pPr>
        <w:keepNext/>
        <w:spacing w:before="2"/>
        <w:rPr>
          <w:rFonts w:eastAsia="Arial" w:cs="Arial"/>
          <w:b/>
          <w:bCs/>
          <w:sz w:val="21"/>
          <w:szCs w:val="21"/>
        </w:rPr>
      </w:pPr>
    </w:p>
    <w:p w14:paraId="01201599" w14:textId="77777777" w:rsidR="0031675F" w:rsidRPr="0031675F" w:rsidRDefault="0031675F" w:rsidP="0031675F">
      <w:pPr>
        <w:keepNext/>
        <w:spacing w:after="120"/>
        <w:ind w:right="112"/>
        <w:jc w:val="both"/>
      </w:pPr>
      <w:r w:rsidRPr="0031675F">
        <w:rPr>
          <w:spacing w:val="-1"/>
        </w:rPr>
        <w:t>The</w:t>
      </w:r>
      <w:r w:rsidRPr="0031675F">
        <w:t xml:space="preserve"> </w:t>
      </w:r>
      <w:r w:rsidRPr="0031675F">
        <w:rPr>
          <w:spacing w:val="-1"/>
        </w:rPr>
        <w:t>samples</w:t>
      </w:r>
      <w:r w:rsidRPr="0031675F">
        <w:t xml:space="preserve"> </w:t>
      </w:r>
      <w:r w:rsidRPr="0031675F">
        <w:rPr>
          <w:spacing w:val="-1"/>
        </w:rPr>
        <w:t>were</w:t>
      </w:r>
      <w:r w:rsidRPr="0031675F">
        <w:t xml:space="preserve"> </w:t>
      </w:r>
      <w:r w:rsidRPr="0031675F">
        <w:rPr>
          <w:spacing w:val="-1"/>
        </w:rPr>
        <w:t>analysed</w:t>
      </w:r>
      <w:r w:rsidRPr="0031675F">
        <w:rPr>
          <w:spacing w:val="-3"/>
        </w:rPr>
        <w:t xml:space="preserve"> </w:t>
      </w:r>
      <w:r w:rsidRPr="0031675F">
        <w:rPr>
          <w:spacing w:val="-1"/>
        </w:rPr>
        <w:t xml:space="preserve">using </w:t>
      </w:r>
      <w:r w:rsidRPr="0031675F">
        <w:t xml:space="preserve">a </w:t>
      </w:r>
      <w:r w:rsidRPr="0031675F">
        <w:rPr>
          <w:spacing w:val="-1"/>
        </w:rPr>
        <w:t>Shimadzu-TOC</w:t>
      </w:r>
      <w:r w:rsidRPr="0031675F">
        <w:t xml:space="preserve"> V Total </w:t>
      </w:r>
      <w:r w:rsidRPr="0031675F">
        <w:rPr>
          <w:spacing w:val="-1"/>
        </w:rPr>
        <w:t>Organic</w:t>
      </w:r>
      <w:r w:rsidRPr="0031675F">
        <w:t xml:space="preserve"> </w:t>
      </w:r>
      <w:r w:rsidRPr="0031675F">
        <w:rPr>
          <w:spacing w:val="-1"/>
        </w:rPr>
        <w:t>Carbon Analyser</w:t>
      </w:r>
      <w:r w:rsidRPr="0031675F">
        <w:t xml:space="preserve"> with </w:t>
      </w:r>
      <w:r w:rsidRPr="0031675F">
        <w:rPr>
          <w:spacing w:val="-1"/>
        </w:rPr>
        <w:t>Solid Sample</w:t>
      </w:r>
      <w:r w:rsidRPr="0031675F">
        <w:rPr>
          <w:spacing w:val="61"/>
        </w:rPr>
        <w:t xml:space="preserve"> </w:t>
      </w:r>
      <w:r w:rsidRPr="0031675F">
        <w:rPr>
          <w:spacing w:val="-1"/>
        </w:rPr>
        <w:t>module fitted in series to a Shimadzu Total Nitrogen Module (model TNM-1).</w:t>
      </w:r>
      <w:r w:rsidRPr="0031675F">
        <w:rPr>
          <w:spacing w:val="18"/>
        </w:rPr>
        <w:t xml:space="preserve"> </w:t>
      </w:r>
      <w:r w:rsidRPr="0031675F">
        <w:rPr>
          <w:spacing w:val="-1"/>
        </w:rPr>
        <w:t>The</w:t>
      </w:r>
      <w:r w:rsidRPr="0031675F">
        <w:rPr>
          <w:spacing w:val="23"/>
        </w:rPr>
        <w:t xml:space="preserve"> </w:t>
      </w:r>
      <w:r w:rsidRPr="0031675F">
        <w:rPr>
          <w:spacing w:val="-1"/>
        </w:rPr>
        <w:t>detailed</w:t>
      </w:r>
      <w:r w:rsidRPr="0031675F">
        <w:rPr>
          <w:spacing w:val="21"/>
        </w:rPr>
        <w:t xml:space="preserve"> </w:t>
      </w:r>
      <w:r w:rsidRPr="0031675F">
        <w:rPr>
          <w:spacing w:val="-1"/>
        </w:rPr>
        <w:t>instructions</w:t>
      </w:r>
      <w:r w:rsidRPr="0031675F">
        <w:rPr>
          <w:spacing w:val="22"/>
        </w:rPr>
        <w:t xml:space="preserve"> </w:t>
      </w:r>
      <w:r w:rsidRPr="0031675F">
        <w:rPr>
          <w:spacing w:val="-1"/>
        </w:rPr>
        <w:t>for</w:t>
      </w:r>
      <w:r w:rsidRPr="0031675F">
        <w:rPr>
          <w:spacing w:val="21"/>
        </w:rPr>
        <w:t xml:space="preserve"> </w:t>
      </w:r>
      <w:r w:rsidRPr="0031675F">
        <w:t>the</w:t>
      </w:r>
      <w:r w:rsidRPr="0031675F">
        <w:rPr>
          <w:spacing w:val="19"/>
        </w:rPr>
        <w:t xml:space="preserve"> </w:t>
      </w:r>
      <w:r w:rsidRPr="0031675F">
        <w:rPr>
          <w:spacing w:val="-1"/>
        </w:rPr>
        <w:t>operation</w:t>
      </w:r>
      <w:r w:rsidRPr="0031675F">
        <w:rPr>
          <w:spacing w:val="18"/>
        </w:rPr>
        <w:t xml:space="preserve"> </w:t>
      </w:r>
      <w:r w:rsidRPr="0031675F">
        <w:t>of</w:t>
      </w:r>
      <w:r w:rsidRPr="0031675F">
        <w:rPr>
          <w:spacing w:val="21"/>
        </w:rPr>
        <w:t xml:space="preserve"> </w:t>
      </w:r>
      <w:r w:rsidRPr="0031675F">
        <w:t>these can</w:t>
      </w:r>
      <w:r w:rsidRPr="0031675F">
        <w:rPr>
          <w:spacing w:val="21"/>
        </w:rPr>
        <w:t xml:space="preserve"> </w:t>
      </w:r>
      <w:r w:rsidRPr="0031675F">
        <w:rPr>
          <w:spacing w:val="-2"/>
        </w:rPr>
        <w:t>be</w:t>
      </w:r>
      <w:r w:rsidRPr="0031675F">
        <w:rPr>
          <w:spacing w:val="22"/>
        </w:rPr>
        <w:t xml:space="preserve"> </w:t>
      </w:r>
      <w:r w:rsidRPr="0031675F">
        <w:rPr>
          <w:spacing w:val="-1"/>
        </w:rPr>
        <w:t>found</w:t>
      </w:r>
      <w:r w:rsidRPr="0031675F">
        <w:rPr>
          <w:spacing w:val="21"/>
        </w:rPr>
        <w:t xml:space="preserve"> </w:t>
      </w:r>
      <w:r w:rsidRPr="0031675F">
        <w:t>in</w:t>
      </w:r>
      <w:r w:rsidRPr="0031675F">
        <w:rPr>
          <w:spacing w:val="61"/>
        </w:rPr>
        <w:t xml:space="preserve"> </w:t>
      </w:r>
      <w:r w:rsidRPr="0031675F">
        <w:rPr>
          <w:spacing w:val="-1"/>
        </w:rPr>
        <w:t>Attachment</w:t>
      </w:r>
      <w:r w:rsidRPr="0031675F">
        <w:rPr>
          <w:spacing w:val="-2"/>
        </w:rPr>
        <w:t xml:space="preserve"> </w:t>
      </w:r>
      <w:r w:rsidRPr="0031675F">
        <w:rPr>
          <w:spacing w:val="-1"/>
        </w:rPr>
        <w:t>8.1</w:t>
      </w:r>
    </w:p>
    <w:p w14:paraId="46E92F40" w14:textId="77777777" w:rsidR="0031675F" w:rsidRPr="0031675F" w:rsidRDefault="0031675F" w:rsidP="0031675F">
      <w:pPr>
        <w:spacing w:before="9"/>
        <w:rPr>
          <w:rFonts w:cs="Calibri"/>
          <w:sz w:val="21"/>
          <w:szCs w:val="21"/>
        </w:rPr>
      </w:pPr>
    </w:p>
    <w:p w14:paraId="7AC68B94" w14:textId="77777777" w:rsidR="0031675F" w:rsidRPr="0031675F" w:rsidRDefault="0031675F" w:rsidP="0031675F">
      <w:pPr>
        <w:widowControl w:val="0"/>
        <w:numPr>
          <w:ilvl w:val="2"/>
          <w:numId w:val="95"/>
        </w:numPr>
        <w:tabs>
          <w:tab w:val="left" w:pos="902"/>
        </w:tabs>
        <w:spacing w:before="0" w:after="0" w:line="240" w:lineRule="auto"/>
        <w:ind w:left="901" w:hanging="783"/>
        <w:jc w:val="both"/>
        <w:rPr>
          <w:rFonts w:eastAsia="Arial" w:cs="Arial"/>
        </w:rPr>
      </w:pPr>
      <w:r w:rsidRPr="0031675F">
        <w:rPr>
          <w:b/>
          <w:spacing w:val="-1"/>
        </w:rPr>
        <w:t>Calibration</w:t>
      </w:r>
    </w:p>
    <w:p w14:paraId="2DE5B68F" w14:textId="77777777" w:rsidR="0031675F" w:rsidRPr="0031675F" w:rsidRDefault="0031675F" w:rsidP="0031675F">
      <w:pPr>
        <w:spacing w:before="2"/>
        <w:rPr>
          <w:rFonts w:eastAsia="Arial" w:cs="Arial"/>
          <w:b/>
          <w:bCs/>
          <w:sz w:val="21"/>
          <w:szCs w:val="21"/>
        </w:rPr>
      </w:pPr>
    </w:p>
    <w:p w14:paraId="60996749" w14:textId="77777777" w:rsidR="0031675F" w:rsidRPr="0031675F" w:rsidRDefault="0031675F" w:rsidP="0031675F">
      <w:pPr>
        <w:spacing w:after="120" w:line="239" w:lineRule="auto"/>
        <w:ind w:right="650"/>
        <w:jc w:val="both"/>
      </w:pPr>
      <w:r w:rsidRPr="0031675F">
        <w:rPr>
          <w:spacing w:val="-1"/>
        </w:rPr>
        <w:t>The</w:t>
      </w:r>
      <w:r w:rsidRPr="0031675F">
        <w:rPr>
          <w:spacing w:val="3"/>
        </w:rPr>
        <w:t xml:space="preserve"> </w:t>
      </w:r>
      <w:r w:rsidRPr="0031675F">
        <w:rPr>
          <w:spacing w:val="-1"/>
        </w:rPr>
        <w:t>Shimadzu-TOC</w:t>
      </w:r>
      <w:r w:rsidRPr="0031675F">
        <w:rPr>
          <w:spacing w:val="2"/>
        </w:rPr>
        <w:t xml:space="preserve"> </w:t>
      </w:r>
      <w:r w:rsidRPr="0031675F">
        <w:t>V</w:t>
      </w:r>
      <w:r w:rsidRPr="0031675F">
        <w:rPr>
          <w:spacing w:val="2"/>
        </w:rPr>
        <w:t xml:space="preserve"> </w:t>
      </w:r>
      <w:r w:rsidRPr="0031675F">
        <w:rPr>
          <w:spacing w:val="-1"/>
        </w:rPr>
        <w:t>Total</w:t>
      </w:r>
      <w:r w:rsidRPr="0031675F">
        <w:t xml:space="preserve"> </w:t>
      </w:r>
      <w:r w:rsidRPr="0031675F">
        <w:rPr>
          <w:spacing w:val="-1"/>
        </w:rPr>
        <w:t>Organic</w:t>
      </w:r>
      <w:r w:rsidRPr="0031675F">
        <w:rPr>
          <w:spacing w:val="2"/>
        </w:rPr>
        <w:t xml:space="preserve"> </w:t>
      </w:r>
      <w:r w:rsidRPr="0031675F">
        <w:rPr>
          <w:spacing w:val="-1"/>
        </w:rPr>
        <w:t>Carbon</w:t>
      </w:r>
      <w:r w:rsidRPr="0031675F">
        <w:rPr>
          <w:spacing w:val="2"/>
        </w:rPr>
        <w:t xml:space="preserve"> </w:t>
      </w:r>
      <w:r w:rsidRPr="0031675F">
        <w:rPr>
          <w:spacing w:val="-1"/>
        </w:rPr>
        <w:t>Analyser</w:t>
      </w:r>
      <w:r w:rsidRPr="0031675F">
        <w:rPr>
          <w:spacing w:val="5"/>
        </w:rPr>
        <w:t xml:space="preserve"> </w:t>
      </w:r>
      <w:r w:rsidRPr="0031675F">
        <w:t>are</w:t>
      </w:r>
      <w:r w:rsidRPr="0031675F">
        <w:rPr>
          <w:spacing w:val="3"/>
        </w:rPr>
        <w:t xml:space="preserve"> </w:t>
      </w:r>
      <w:r w:rsidRPr="0031675F">
        <w:rPr>
          <w:spacing w:val="-1"/>
        </w:rPr>
        <w:t>calibrated</w:t>
      </w:r>
      <w:r w:rsidRPr="0031675F">
        <w:rPr>
          <w:spacing w:val="2"/>
        </w:rPr>
        <w:t xml:space="preserve"> </w:t>
      </w:r>
      <w:r w:rsidRPr="0031675F">
        <w:rPr>
          <w:spacing w:val="-1"/>
        </w:rPr>
        <w:t>each</w:t>
      </w:r>
      <w:r w:rsidRPr="0031675F">
        <w:rPr>
          <w:spacing w:val="2"/>
        </w:rPr>
        <w:t xml:space="preserve"> </w:t>
      </w:r>
      <w:r w:rsidRPr="0031675F">
        <w:rPr>
          <w:spacing w:val="-1"/>
        </w:rPr>
        <w:t>day</w:t>
      </w:r>
      <w:r w:rsidRPr="0031675F">
        <w:rPr>
          <w:spacing w:val="3"/>
        </w:rPr>
        <w:t xml:space="preserve"> </w:t>
      </w:r>
      <w:r w:rsidRPr="0031675F">
        <w:rPr>
          <w:spacing w:val="-1"/>
        </w:rPr>
        <w:t>using</w:t>
      </w:r>
      <w:r w:rsidRPr="0031675F">
        <w:rPr>
          <w:spacing w:val="2"/>
        </w:rPr>
        <w:t xml:space="preserve"> </w:t>
      </w:r>
      <w:r w:rsidRPr="0031675F">
        <w:t>China NCS DC85104a.</w:t>
      </w:r>
      <w:r w:rsidRPr="0031675F">
        <w:rPr>
          <w:spacing w:val="2"/>
        </w:rPr>
        <w:t xml:space="preserve"> </w:t>
      </w:r>
      <w:r w:rsidRPr="0031675F">
        <w:rPr>
          <w:spacing w:val="-2"/>
        </w:rPr>
        <w:t>The</w:t>
      </w:r>
      <w:r w:rsidRPr="0031675F">
        <w:rPr>
          <w:spacing w:val="57"/>
        </w:rPr>
        <w:t xml:space="preserve"> </w:t>
      </w:r>
      <w:r w:rsidRPr="0031675F">
        <w:rPr>
          <w:spacing w:val="-1"/>
        </w:rPr>
        <w:t>procedures</w:t>
      </w:r>
      <w:r w:rsidRPr="0031675F">
        <w:rPr>
          <w:spacing w:val="26"/>
        </w:rPr>
        <w:t xml:space="preserve"> </w:t>
      </w:r>
      <w:r w:rsidRPr="0031675F">
        <w:rPr>
          <w:spacing w:val="-1"/>
        </w:rPr>
        <w:t>for</w:t>
      </w:r>
      <w:r w:rsidRPr="0031675F">
        <w:rPr>
          <w:spacing w:val="27"/>
        </w:rPr>
        <w:t xml:space="preserve"> </w:t>
      </w:r>
      <w:r w:rsidRPr="0031675F">
        <w:rPr>
          <w:spacing w:val="-1"/>
        </w:rPr>
        <w:t>calibration</w:t>
      </w:r>
      <w:r w:rsidRPr="0031675F">
        <w:rPr>
          <w:spacing w:val="23"/>
        </w:rPr>
        <w:t xml:space="preserve"> </w:t>
      </w:r>
      <w:r w:rsidRPr="0031675F">
        <w:t>were</w:t>
      </w:r>
      <w:r w:rsidRPr="0031675F">
        <w:rPr>
          <w:spacing w:val="27"/>
        </w:rPr>
        <w:t xml:space="preserve"> </w:t>
      </w:r>
      <w:r w:rsidRPr="0031675F">
        <w:rPr>
          <w:spacing w:val="-1"/>
        </w:rPr>
        <w:t>carried</w:t>
      </w:r>
      <w:r w:rsidRPr="0031675F">
        <w:rPr>
          <w:spacing w:val="25"/>
        </w:rPr>
        <w:t xml:space="preserve"> </w:t>
      </w:r>
      <w:r w:rsidRPr="0031675F">
        <w:t>out</w:t>
      </w:r>
      <w:r w:rsidRPr="0031675F">
        <w:rPr>
          <w:spacing w:val="27"/>
        </w:rPr>
        <w:t xml:space="preserve"> </w:t>
      </w:r>
      <w:r w:rsidRPr="0031675F">
        <w:rPr>
          <w:spacing w:val="-1"/>
        </w:rPr>
        <w:t>using</w:t>
      </w:r>
      <w:r w:rsidRPr="0031675F">
        <w:rPr>
          <w:spacing w:val="26"/>
        </w:rPr>
        <w:t xml:space="preserve"> </w:t>
      </w:r>
      <w:r w:rsidRPr="0031675F">
        <w:rPr>
          <w:spacing w:val="-1"/>
        </w:rPr>
        <w:t>the</w:t>
      </w:r>
      <w:r w:rsidRPr="0031675F">
        <w:rPr>
          <w:spacing w:val="27"/>
        </w:rPr>
        <w:t xml:space="preserve"> </w:t>
      </w:r>
      <w:r w:rsidRPr="0031675F">
        <w:rPr>
          <w:spacing w:val="-1"/>
        </w:rPr>
        <w:t>sample</w:t>
      </w:r>
      <w:r w:rsidRPr="0031675F">
        <w:rPr>
          <w:spacing w:val="26"/>
        </w:rPr>
        <w:t xml:space="preserve"> </w:t>
      </w:r>
      <w:r w:rsidRPr="0031675F">
        <w:rPr>
          <w:spacing w:val="-1"/>
        </w:rPr>
        <w:t>analysis</w:t>
      </w:r>
      <w:r w:rsidRPr="0031675F">
        <w:rPr>
          <w:spacing w:val="27"/>
        </w:rPr>
        <w:t xml:space="preserve"> </w:t>
      </w:r>
      <w:r w:rsidRPr="0031675F">
        <w:rPr>
          <w:spacing w:val="-1"/>
        </w:rPr>
        <w:t>protocols</w:t>
      </w:r>
      <w:r w:rsidRPr="0031675F">
        <w:rPr>
          <w:spacing w:val="27"/>
        </w:rPr>
        <w:t xml:space="preserve"> </w:t>
      </w:r>
      <w:r w:rsidRPr="0031675F">
        <w:rPr>
          <w:spacing w:val="-1"/>
        </w:rPr>
        <w:t>described</w:t>
      </w:r>
      <w:r w:rsidRPr="0031675F">
        <w:rPr>
          <w:spacing w:val="25"/>
        </w:rPr>
        <w:t xml:space="preserve"> </w:t>
      </w:r>
      <w:r w:rsidRPr="0031675F">
        <w:t>in</w:t>
      </w:r>
      <w:r w:rsidRPr="0031675F">
        <w:rPr>
          <w:spacing w:val="65"/>
        </w:rPr>
        <w:t xml:space="preserve"> </w:t>
      </w:r>
      <w:r w:rsidRPr="0031675F">
        <w:rPr>
          <w:spacing w:val="-1"/>
        </w:rPr>
        <w:t>Attachment</w:t>
      </w:r>
      <w:r w:rsidRPr="0031675F">
        <w:rPr>
          <w:spacing w:val="35"/>
        </w:rPr>
        <w:t xml:space="preserve"> </w:t>
      </w:r>
      <w:r w:rsidRPr="0031675F">
        <w:rPr>
          <w:spacing w:val="-1"/>
        </w:rPr>
        <w:t>8.1.</w:t>
      </w:r>
      <w:r w:rsidRPr="0031675F">
        <w:rPr>
          <w:spacing w:val="36"/>
        </w:rPr>
        <w:t xml:space="preserve"> </w:t>
      </w:r>
      <w:r w:rsidRPr="0031675F">
        <w:t>An</w:t>
      </w:r>
      <w:r w:rsidRPr="0031675F">
        <w:rPr>
          <w:spacing w:val="35"/>
        </w:rPr>
        <w:t xml:space="preserve"> </w:t>
      </w:r>
      <w:r w:rsidRPr="0031675F">
        <w:rPr>
          <w:spacing w:val="-1"/>
        </w:rPr>
        <w:t>example</w:t>
      </w:r>
      <w:r w:rsidRPr="0031675F">
        <w:rPr>
          <w:spacing w:val="35"/>
        </w:rPr>
        <w:t xml:space="preserve"> </w:t>
      </w:r>
      <w:r w:rsidRPr="0031675F">
        <w:t>of</w:t>
      </w:r>
      <w:r w:rsidRPr="0031675F">
        <w:rPr>
          <w:spacing w:val="36"/>
        </w:rPr>
        <w:t xml:space="preserve"> </w:t>
      </w:r>
      <w:r w:rsidRPr="0031675F">
        <w:t>the</w:t>
      </w:r>
      <w:r w:rsidRPr="0031675F">
        <w:rPr>
          <w:spacing w:val="36"/>
        </w:rPr>
        <w:t xml:space="preserve"> </w:t>
      </w:r>
      <w:r w:rsidRPr="0031675F">
        <w:rPr>
          <w:spacing w:val="-1"/>
        </w:rPr>
        <w:t>resulting</w:t>
      </w:r>
      <w:r w:rsidRPr="0031675F">
        <w:rPr>
          <w:spacing w:val="35"/>
        </w:rPr>
        <w:t xml:space="preserve"> </w:t>
      </w:r>
      <w:r w:rsidRPr="0031675F">
        <w:rPr>
          <w:spacing w:val="-1"/>
        </w:rPr>
        <w:t>calibration</w:t>
      </w:r>
      <w:r w:rsidRPr="0031675F">
        <w:rPr>
          <w:spacing w:val="34"/>
        </w:rPr>
        <w:t xml:space="preserve"> </w:t>
      </w:r>
      <w:r w:rsidRPr="0031675F">
        <w:rPr>
          <w:spacing w:val="-1"/>
        </w:rPr>
        <w:t>curves</w:t>
      </w:r>
      <w:r w:rsidRPr="0031675F">
        <w:rPr>
          <w:spacing w:val="37"/>
        </w:rPr>
        <w:t xml:space="preserve"> </w:t>
      </w:r>
      <w:r w:rsidRPr="0031675F">
        <w:rPr>
          <w:spacing w:val="-1"/>
        </w:rPr>
        <w:t>for</w:t>
      </w:r>
      <w:r w:rsidRPr="0031675F">
        <w:rPr>
          <w:spacing w:val="36"/>
        </w:rPr>
        <w:t xml:space="preserve"> </w:t>
      </w:r>
      <w:r w:rsidRPr="0031675F">
        <w:rPr>
          <w:spacing w:val="-1"/>
        </w:rPr>
        <w:t>carbon</w:t>
      </w:r>
      <w:r w:rsidRPr="0031675F">
        <w:rPr>
          <w:spacing w:val="34"/>
        </w:rPr>
        <w:t xml:space="preserve"> </w:t>
      </w:r>
      <w:r w:rsidRPr="0031675F">
        <w:rPr>
          <w:spacing w:val="-1"/>
        </w:rPr>
        <w:t>can</w:t>
      </w:r>
      <w:r w:rsidRPr="0031675F">
        <w:rPr>
          <w:spacing w:val="35"/>
        </w:rPr>
        <w:t xml:space="preserve"> </w:t>
      </w:r>
      <w:r w:rsidRPr="0031675F">
        <w:rPr>
          <w:spacing w:val="-1"/>
        </w:rPr>
        <w:t>be</w:t>
      </w:r>
      <w:r w:rsidRPr="0031675F">
        <w:rPr>
          <w:spacing w:val="37"/>
        </w:rPr>
        <w:t xml:space="preserve"> </w:t>
      </w:r>
      <w:r w:rsidRPr="0031675F">
        <w:rPr>
          <w:spacing w:val="-1"/>
        </w:rPr>
        <w:t>found</w:t>
      </w:r>
      <w:r w:rsidRPr="0031675F">
        <w:rPr>
          <w:spacing w:val="35"/>
        </w:rPr>
        <w:t xml:space="preserve"> </w:t>
      </w:r>
      <w:r w:rsidRPr="0031675F">
        <w:t>in</w:t>
      </w:r>
      <w:r w:rsidRPr="0031675F">
        <w:rPr>
          <w:spacing w:val="71"/>
        </w:rPr>
        <w:t xml:space="preserve"> </w:t>
      </w:r>
      <w:r w:rsidRPr="0031675F">
        <w:rPr>
          <w:spacing w:val="-1"/>
        </w:rPr>
        <w:t>Attachment</w:t>
      </w:r>
      <w:r w:rsidRPr="0031675F">
        <w:rPr>
          <w:spacing w:val="-2"/>
        </w:rPr>
        <w:t xml:space="preserve"> </w:t>
      </w:r>
      <w:r w:rsidRPr="0031675F">
        <w:rPr>
          <w:spacing w:val="-1"/>
        </w:rPr>
        <w:t>8.2.</w:t>
      </w:r>
    </w:p>
    <w:p w14:paraId="6FA1E049" w14:textId="77777777" w:rsidR="0031675F" w:rsidRPr="0031675F" w:rsidRDefault="0031675F" w:rsidP="0031675F">
      <w:pPr>
        <w:spacing w:after="120"/>
        <w:jc w:val="both"/>
      </w:pPr>
      <w:r w:rsidRPr="0031675F">
        <w:rPr>
          <w:spacing w:val="-1"/>
        </w:rPr>
        <w:t>QTM070MS</w:t>
      </w:r>
      <w:r w:rsidRPr="0031675F">
        <w:rPr>
          <w:spacing w:val="-3"/>
        </w:rPr>
        <w:t xml:space="preserve"> </w:t>
      </w:r>
      <w:r w:rsidRPr="0031675F">
        <w:t>and</w:t>
      </w:r>
      <w:r w:rsidRPr="0031675F">
        <w:rPr>
          <w:spacing w:val="-2"/>
        </w:rPr>
        <w:t xml:space="preserve"> </w:t>
      </w:r>
      <w:r w:rsidRPr="0031675F">
        <w:rPr>
          <w:spacing w:val="-1"/>
        </w:rPr>
        <w:t>Coastal</w:t>
      </w:r>
      <w:r w:rsidRPr="0031675F">
        <w:t xml:space="preserve"> </w:t>
      </w:r>
      <w:r w:rsidRPr="0031675F">
        <w:rPr>
          <w:spacing w:val="-1"/>
        </w:rPr>
        <w:t>Sediment</w:t>
      </w:r>
      <w:r w:rsidRPr="0031675F">
        <w:rPr>
          <w:spacing w:val="-2"/>
        </w:rPr>
        <w:t xml:space="preserve"> </w:t>
      </w:r>
      <w:r w:rsidRPr="0031675F">
        <w:rPr>
          <w:spacing w:val="-1"/>
        </w:rPr>
        <w:t>standards</w:t>
      </w:r>
      <w:r w:rsidRPr="0031675F">
        <w:t xml:space="preserve"> are</w:t>
      </w:r>
      <w:r w:rsidRPr="0031675F">
        <w:rPr>
          <w:spacing w:val="-2"/>
        </w:rPr>
        <w:t xml:space="preserve"> </w:t>
      </w:r>
      <w:r w:rsidRPr="0031675F">
        <w:rPr>
          <w:spacing w:val="-1"/>
        </w:rPr>
        <w:t>analysed</w:t>
      </w:r>
      <w:r w:rsidRPr="0031675F">
        <w:t xml:space="preserve"> as </w:t>
      </w:r>
      <w:r w:rsidRPr="0031675F">
        <w:rPr>
          <w:spacing w:val="-2"/>
        </w:rPr>
        <w:t>QC</w:t>
      </w:r>
      <w:r w:rsidRPr="0031675F">
        <w:t xml:space="preserve"> </w:t>
      </w:r>
      <w:r w:rsidRPr="0031675F">
        <w:rPr>
          <w:spacing w:val="-1"/>
        </w:rPr>
        <w:t>samples.</w:t>
      </w:r>
    </w:p>
    <w:p w14:paraId="485861F0" w14:textId="77777777" w:rsidR="0031675F" w:rsidRPr="0031675F" w:rsidRDefault="0031675F" w:rsidP="0031675F">
      <w:pPr>
        <w:spacing w:after="120"/>
        <w:ind w:right="120"/>
      </w:pPr>
      <w:r w:rsidRPr="0031675F">
        <w:rPr>
          <w:spacing w:val="-1"/>
        </w:rPr>
        <w:t>The</w:t>
      </w:r>
      <w:r w:rsidRPr="0031675F">
        <w:rPr>
          <w:spacing w:val="26"/>
        </w:rPr>
        <w:t xml:space="preserve"> </w:t>
      </w:r>
      <w:r w:rsidRPr="0031675F">
        <w:rPr>
          <w:spacing w:val="-1"/>
        </w:rPr>
        <w:t>following</w:t>
      </w:r>
      <w:r w:rsidRPr="0031675F">
        <w:rPr>
          <w:spacing w:val="25"/>
        </w:rPr>
        <w:t xml:space="preserve"> </w:t>
      </w:r>
      <w:r w:rsidRPr="0031675F">
        <w:rPr>
          <w:spacing w:val="-1"/>
        </w:rPr>
        <w:t>weights</w:t>
      </w:r>
      <w:r w:rsidRPr="0031675F">
        <w:rPr>
          <w:spacing w:val="27"/>
        </w:rPr>
        <w:t xml:space="preserve"> </w:t>
      </w:r>
      <w:r w:rsidRPr="0031675F">
        <w:rPr>
          <w:spacing w:val="-1"/>
        </w:rPr>
        <w:t>for</w:t>
      </w:r>
      <w:r w:rsidRPr="0031675F">
        <w:rPr>
          <w:spacing w:val="21"/>
        </w:rPr>
        <w:t xml:space="preserve"> </w:t>
      </w:r>
      <w:r w:rsidRPr="0031675F">
        <w:rPr>
          <w:spacing w:val="-1"/>
        </w:rPr>
        <w:t>standards</w:t>
      </w:r>
      <w:r w:rsidRPr="0031675F">
        <w:rPr>
          <w:spacing w:val="26"/>
        </w:rPr>
        <w:t xml:space="preserve"> </w:t>
      </w:r>
      <w:r w:rsidRPr="0031675F">
        <w:t>are</w:t>
      </w:r>
      <w:r w:rsidRPr="0031675F">
        <w:rPr>
          <w:spacing w:val="24"/>
        </w:rPr>
        <w:t xml:space="preserve"> </w:t>
      </w:r>
      <w:r w:rsidRPr="0031675F">
        <w:rPr>
          <w:spacing w:val="-1"/>
        </w:rPr>
        <w:t>generally</w:t>
      </w:r>
      <w:r w:rsidRPr="0031675F">
        <w:rPr>
          <w:spacing w:val="27"/>
        </w:rPr>
        <w:t xml:space="preserve"> </w:t>
      </w:r>
      <w:r w:rsidRPr="0031675F">
        <w:rPr>
          <w:spacing w:val="-1"/>
        </w:rPr>
        <w:t>appropriate</w:t>
      </w:r>
      <w:r w:rsidRPr="0031675F">
        <w:rPr>
          <w:spacing w:val="25"/>
        </w:rPr>
        <w:t xml:space="preserve"> </w:t>
      </w:r>
      <w:r w:rsidRPr="0031675F">
        <w:t>when</w:t>
      </w:r>
      <w:r w:rsidRPr="0031675F">
        <w:rPr>
          <w:spacing w:val="23"/>
        </w:rPr>
        <w:t xml:space="preserve"> </w:t>
      </w:r>
      <w:r w:rsidRPr="0031675F">
        <w:rPr>
          <w:spacing w:val="-1"/>
        </w:rPr>
        <w:t>analysing</w:t>
      </w:r>
      <w:r w:rsidRPr="0031675F">
        <w:rPr>
          <w:spacing w:val="23"/>
        </w:rPr>
        <w:t xml:space="preserve"> </w:t>
      </w:r>
      <w:r w:rsidRPr="0031675F">
        <w:t>GBR</w:t>
      </w:r>
      <w:r w:rsidRPr="0031675F">
        <w:rPr>
          <w:spacing w:val="26"/>
        </w:rPr>
        <w:t xml:space="preserve"> </w:t>
      </w:r>
      <w:r w:rsidRPr="0031675F">
        <w:rPr>
          <w:spacing w:val="-1"/>
        </w:rPr>
        <w:t>seawater</w:t>
      </w:r>
      <w:r w:rsidRPr="0031675F">
        <w:rPr>
          <w:spacing w:val="55"/>
        </w:rPr>
        <w:t xml:space="preserve"> </w:t>
      </w:r>
      <w:r w:rsidRPr="0031675F">
        <w:rPr>
          <w:spacing w:val="-1"/>
        </w:rPr>
        <w:t>particulates</w:t>
      </w:r>
    </w:p>
    <w:p w14:paraId="01B20CE8" w14:textId="7AFC2F84" w:rsidR="0031675F" w:rsidRPr="0031675F" w:rsidRDefault="0031675F" w:rsidP="0031675F">
      <w:pPr>
        <w:widowControl w:val="0"/>
        <w:numPr>
          <w:ilvl w:val="0"/>
          <w:numId w:val="94"/>
        </w:numPr>
        <w:tabs>
          <w:tab w:val="left" w:pos="479"/>
        </w:tabs>
        <w:spacing w:before="0" w:after="0" w:line="240" w:lineRule="auto"/>
        <w:ind w:hanging="361"/>
        <w:jc w:val="both"/>
      </w:pPr>
      <w:r w:rsidRPr="0031675F">
        <w:t xml:space="preserve">China NCS DC85104a (C-2%; N-0.197%) </w:t>
      </w:r>
      <w:r w:rsidRPr="0031675F">
        <w:rPr>
          <w:spacing w:val="-1"/>
        </w:rPr>
        <w:t>range</w:t>
      </w:r>
      <w:r w:rsidRPr="0031675F">
        <w:t xml:space="preserve"> </w:t>
      </w:r>
      <w:r w:rsidRPr="0031675F">
        <w:rPr>
          <w:spacing w:val="-1"/>
        </w:rPr>
        <w:t>1-6</w:t>
      </w:r>
      <w:r w:rsidR="00E37A70">
        <w:rPr>
          <w:spacing w:val="-1"/>
        </w:rPr>
        <w:t xml:space="preserve"> </w:t>
      </w:r>
      <w:r w:rsidRPr="0031675F">
        <w:rPr>
          <w:spacing w:val="-1"/>
        </w:rPr>
        <w:t>mg C</w:t>
      </w:r>
    </w:p>
    <w:p w14:paraId="26A5D628" w14:textId="37B7DB3B" w:rsidR="0031675F" w:rsidRPr="0031675F" w:rsidRDefault="0031675F" w:rsidP="0031675F">
      <w:pPr>
        <w:widowControl w:val="0"/>
        <w:numPr>
          <w:ilvl w:val="0"/>
          <w:numId w:val="94"/>
        </w:numPr>
        <w:tabs>
          <w:tab w:val="left" w:pos="479"/>
        </w:tabs>
        <w:spacing w:before="0" w:after="0" w:line="279" w:lineRule="exact"/>
        <w:ind w:left="478"/>
        <w:jc w:val="both"/>
      </w:pPr>
      <w:r w:rsidRPr="0031675F">
        <w:t>Round 40 (C –0.86%; N-0.032%)</w:t>
      </w:r>
      <w:r w:rsidRPr="0031675F">
        <w:rPr>
          <w:spacing w:val="47"/>
        </w:rPr>
        <w:t xml:space="preserve">  </w:t>
      </w:r>
      <w:r w:rsidRPr="0031675F">
        <w:rPr>
          <w:spacing w:val="-1"/>
        </w:rPr>
        <w:t>range</w:t>
      </w:r>
      <w:r w:rsidRPr="0031675F">
        <w:rPr>
          <w:spacing w:val="-2"/>
        </w:rPr>
        <w:t xml:space="preserve"> </w:t>
      </w:r>
      <w:r w:rsidRPr="0031675F">
        <w:rPr>
          <w:spacing w:val="-1"/>
        </w:rPr>
        <w:t>12-15</w:t>
      </w:r>
      <w:r w:rsidR="00E37A70">
        <w:rPr>
          <w:spacing w:val="-1"/>
        </w:rPr>
        <w:t xml:space="preserve"> </w:t>
      </w:r>
      <w:r w:rsidRPr="0031675F">
        <w:rPr>
          <w:spacing w:val="-1"/>
        </w:rPr>
        <w:t>mg C</w:t>
      </w:r>
    </w:p>
    <w:p w14:paraId="43158703" w14:textId="23623F13" w:rsidR="0031675F" w:rsidRPr="0031675F" w:rsidRDefault="0031675F" w:rsidP="0031675F">
      <w:pPr>
        <w:widowControl w:val="0"/>
        <w:numPr>
          <w:ilvl w:val="0"/>
          <w:numId w:val="94"/>
        </w:numPr>
        <w:tabs>
          <w:tab w:val="left" w:pos="479"/>
        </w:tabs>
        <w:spacing w:before="0" w:after="0" w:line="279" w:lineRule="exact"/>
        <w:ind w:left="478"/>
        <w:jc w:val="both"/>
      </w:pPr>
      <w:r w:rsidRPr="0031675F">
        <w:t xml:space="preserve">Coastal Sediments (C-3.32%; N-0.072%) </w:t>
      </w:r>
      <w:r w:rsidRPr="0031675F">
        <w:rPr>
          <w:spacing w:val="-1"/>
        </w:rPr>
        <w:t>range</w:t>
      </w:r>
      <w:r w:rsidRPr="0031675F">
        <w:t xml:space="preserve"> </w:t>
      </w:r>
      <w:r w:rsidRPr="0031675F">
        <w:rPr>
          <w:spacing w:val="-1"/>
        </w:rPr>
        <w:t>3-5</w:t>
      </w:r>
      <w:r w:rsidR="00E37A70">
        <w:rPr>
          <w:spacing w:val="-1"/>
        </w:rPr>
        <w:t xml:space="preserve"> </w:t>
      </w:r>
      <w:r w:rsidRPr="0031675F">
        <w:rPr>
          <w:spacing w:val="-1"/>
        </w:rPr>
        <w:t>mg C</w:t>
      </w:r>
    </w:p>
    <w:p w14:paraId="2BE95DB3" w14:textId="77777777" w:rsidR="0031675F" w:rsidRPr="0031675F" w:rsidRDefault="0031675F" w:rsidP="0031675F">
      <w:pPr>
        <w:spacing w:before="11"/>
        <w:rPr>
          <w:rFonts w:cs="Calibri"/>
          <w:sz w:val="21"/>
          <w:szCs w:val="21"/>
        </w:rPr>
      </w:pPr>
    </w:p>
    <w:p w14:paraId="32BC6D2D" w14:textId="77777777" w:rsidR="0031675F" w:rsidRPr="0031675F" w:rsidRDefault="0031675F" w:rsidP="0031675F">
      <w:pPr>
        <w:widowControl w:val="0"/>
        <w:numPr>
          <w:ilvl w:val="2"/>
          <w:numId w:val="95"/>
        </w:numPr>
        <w:tabs>
          <w:tab w:val="left" w:pos="839"/>
        </w:tabs>
        <w:spacing w:before="0" w:after="0" w:line="240" w:lineRule="auto"/>
        <w:jc w:val="both"/>
        <w:rPr>
          <w:rFonts w:eastAsia="Arial" w:cs="Arial"/>
        </w:rPr>
      </w:pPr>
      <w:r w:rsidRPr="0031675F">
        <w:rPr>
          <w:b/>
          <w:spacing w:val="-1"/>
        </w:rPr>
        <w:t>Calculation</w:t>
      </w:r>
    </w:p>
    <w:p w14:paraId="01B52654" w14:textId="77777777" w:rsidR="0031675F" w:rsidRPr="00E37A70" w:rsidRDefault="0031675F" w:rsidP="00E37A70">
      <w:pPr>
        <w:rPr>
          <w:b/>
        </w:rPr>
      </w:pPr>
      <w:r w:rsidRPr="00E37A70">
        <w:rPr>
          <w:b/>
        </w:rPr>
        <w:t>For Carbon:</w:t>
      </w:r>
    </w:p>
    <w:p w14:paraId="1D8C02DD" w14:textId="77777777" w:rsidR="0031675F" w:rsidRPr="00E37A70" w:rsidRDefault="0031675F" w:rsidP="00E37A70">
      <w:r w:rsidRPr="00E37A70">
        <w:rPr>
          <w:spacing w:val="-1"/>
        </w:rPr>
        <w:t>Plot C</w:t>
      </w:r>
      <w:r w:rsidRPr="00E37A70">
        <w:rPr>
          <w:spacing w:val="-1"/>
          <w:position w:val="-2"/>
        </w:rPr>
        <w:t>std</w:t>
      </w:r>
      <w:r w:rsidRPr="00E37A70">
        <w:rPr>
          <w:spacing w:val="15"/>
          <w:position w:val="-2"/>
        </w:rPr>
        <w:t xml:space="preserve"> </w:t>
      </w:r>
      <w:r w:rsidRPr="00E37A70">
        <w:rPr>
          <w:spacing w:val="-1"/>
        </w:rPr>
        <w:t>against</w:t>
      </w:r>
      <w:r w:rsidRPr="00E37A70">
        <w:rPr>
          <w:spacing w:val="1"/>
        </w:rPr>
        <w:t xml:space="preserve"> </w:t>
      </w:r>
      <w:r w:rsidRPr="00E37A70">
        <w:rPr>
          <w:spacing w:val="-1"/>
        </w:rPr>
        <w:t>As</w:t>
      </w:r>
      <w:r w:rsidRPr="00E37A70">
        <w:rPr>
          <w:spacing w:val="-1"/>
          <w:position w:val="-2"/>
        </w:rPr>
        <w:t>tandard</w:t>
      </w:r>
      <w:r w:rsidRPr="00E37A70">
        <w:rPr>
          <w:spacing w:val="16"/>
          <w:position w:val="-2"/>
        </w:rPr>
        <w:t xml:space="preserve"> </w:t>
      </w:r>
      <w:r w:rsidRPr="00E37A70">
        <w:t>and</w:t>
      </w:r>
      <w:r w:rsidRPr="00E37A70">
        <w:rPr>
          <w:spacing w:val="-2"/>
        </w:rPr>
        <w:t xml:space="preserve"> </w:t>
      </w:r>
      <w:r w:rsidRPr="00E37A70">
        <w:rPr>
          <w:spacing w:val="-1"/>
        </w:rPr>
        <w:t>use</w:t>
      </w:r>
      <w:r w:rsidRPr="00E37A70">
        <w:rPr>
          <w:spacing w:val="1"/>
        </w:rPr>
        <w:t xml:space="preserve"> </w:t>
      </w:r>
      <w:r w:rsidRPr="00E37A70">
        <w:t>the</w:t>
      </w:r>
      <w:r w:rsidRPr="00E37A70">
        <w:rPr>
          <w:spacing w:val="-4"/>
        </w:rPr>
        <w:t xml:space="preserve"> </w:t>
      </w:r>
      <w:r w:rsidRPr="00E37A70">
        <w:rPr>
          <w:spacing w:val="-1"/>
        </w:rPr>
        <w:t>slope to</w:t>
      </w:r>
      <w:r w:rsidRPr="00E37A70">
        <w:t xml:space="preserve"> </w:t>
      </w:r>
      <w:r w:rsidRPr="00E37A70">
        <w:rPr>
          <w:spacing w:val="-1"/>
        </w:rPr>
        <w:t>calculate</w:t>
      </w:r>
      <w:r w:rsidRPr="00E37A70">
        <w:rPr>
          <w:spacing w:val="-3"/>
        </w:rPr>
        <w:t xml:space="preserve"> </w:t>
      </w:r>
      <w:r w:rsidRPr="00E37A70">
        <w:rPr>
          <w:spacing w:val="-1"/>
        </w:rPr>
        <w:t>C</w:t>
      </w:r>
      <w:r w:rsidRPr="00E37A70">
        <w:rPr>
          <w:spacing w:val="-1"/>
          <w:position w:val="-2"/>
        </w:rPr>
        <w:t>sample</w:t>
      </w:r>
      <w:r w:rsidRPr="00E37A70">
        <w:rPr>
          <w:spacing w:val="18"/>
          <w:position w:val="-2"/>
        </w:rPr>
        <w:t xml:space="preserve"> </w:t>
      </w:r>
      <w:r w:rsidRPr="00E37A70">
        <w:t>as</w:t>
      </w:r>
      <w:r w:rsidRPr="00E37A70">
        <w:rPr>
          <w:spacing w:val="-1"/>
        </w:rPr>
        <w:t xml:space="preserve"> follows:</w:t>
      </w:r>
    </w:p>
    <w:p w14:paraId="597B5B23" w14:textId="77777777" w:rsidR="0031675F" w:rsidRPr="00E37A70" w:rsidRDefault="0031675F" w:rsidP="00E37A70">
      <w:r w:rsidRPr="00E37A70">
        <w:rPr>
          <w:spacing w:val="-1"/>
        </w:rPr>
        <w:t>Where:C</w:t>
      </w:r>
      <w:r w:rsidRPr="00E37A70">
        <w:rPr>
          <w:spacing w:val="-1"/>
          <w:position w:val="-2"/>
        </w:rPr>
        <w:t>sample</w:t>
      </w:r>
      <w:r w:rsidRPr="00E37A70">
        <w:rPr>
          <w:spacing w:val="16"/>
          <w:position w:val="-2"/>
        </w:rPr>
        <w:t xml:space="preserve"> </w:t>
      </w:r>
      <w:r w:rsidRPr="00E37A70">
        <w:rPr>
          <w:spacing w:val="-1"/>
        </w:rPr>
        <w:t>=[</w:t>
      </w:r>
      <w:r w:rsidRPr="00E37A70">
        <w:rPr>
          <w:spacing w:val="-2"/>
        </w:rPr>
        <w:t xml:space="preserve"> </w:t>
      </w:r>
      <w:r w:rsidRPr="00E37A70">
        <w:rPr>
          <w:spacing w:val="-1"/>
        </w:rPr>
        <w:t>(A</w:t>
      </w:r>
      <w:r w:rsidRPr="00E37A70">
        <w:rPr>
          <w:spacing w:val="-1"/>
          <w:position w:val="-2"/>
        </w:rPr>
        <w:t>sample</w:t>
      </w:r>
      <w:r w:rsidRPr="00E37A70">
        <w:rPr>
          <w:spacing w:val="-2"/>
          <w:position w:val="-2"/>
        </w:rPr>
        <w:t xml:space="preserve"> </w:t>
      </w:r>
      <w:r w:rsidRPr="00E37A70">
        <w:t>*</w:t>
      </w:r>
      <w:r w:rsidRPr="00E37A70">
        <w:rPr>
          <w:spacing w:val="-2"/>
        </w:rPr>
        <w:t xml:space="preserve"> </w:t>
      </w:r>
      <w:r w:rsidRPr="00E37A70">
        <w:rPr>
          <w:spacing w:val="-1"/>
        </w:rPr>
        <w:t>Slope)+intercept]</w:t>
      </w:r>
    </w:p>
    <w:p w14:paraId="5D5ED571" w14:textId="77777777" w:rsidR="0031675F" w:rsidRPr="00E37A70" w:rsidRDefault="0031675F" w:rsidP="00E37A70">
      <w:r w:rsidRPr="00E37A70">
        <w:rPr>
          <w:spacing w:val="-1"/>
        </w:rPr>
        <w:t>A</w:t>
      </w:r>
      <w:r w:rsidRPr="00E37A70">
        <w:rPr>
          <w:spacing w:val="-1"/>
          <w:position w:val="-2"/>
        </w:rPr>
        <w:t>standard</w:t>
      </w:r>
      <w:r w:rsidRPr="00E37A70">
        <w:rPr>
          <w:spacing w:val="16"/>
          <w:position w:val="-2"/>
        </w:rPr>
        <w:t xml:space="preserve"> </w:t>
      </w:r>
      <w:r w:rsidRPr="00E37A70">
        <w:t>=</w:t>
      </w:r>
      <w:r w:rsidRPr="00E37A70">
        <w:rPr>
          <w:spacing w:val="-1"/>
        </w:rPr>
        <w:t xml:space="preserve"> Area</w:t>
      </w:r>
      <w:r w:rsidRPr="00E37A70">
        <w:rPr>
          <w:spacing w:val="-2"/>
        </w:rPr>
        <w:t xml:space="preserve"> </w:t>
      </w:r>
      <w:r w:rsidRPr="00E37A70">
        <w:rPr>
          <w:spacing w:val="-1"/>
        </w:rPr>
        <w:t>per</w:t>
      </w:r>
      <w:r w:rsidRPr="00E37A70">
        <w:rPr>
          <w:spacing w:val="-3"/>
        </w:rPr>
        <w:t xml:space="preserve"> </w:t>
      </w:r>
      <w:r w:rsidRPr="00E37A70">
        <w:rPr>
          <w:spacing w:val="-1"/>
        </w:rPr>
        <w:t>standard</w:t>
      </w:r>
    </w:p>
    <w:p w14:paraId="1A2F2DCA" w14:textId="77777777" w:rsidR="0031675F" w:rsidRPr="00E37A70" w:rsidRDefault="0031675F" w:rsidP="00E37A70">
      <w:r w:rsidRPr="00E37A70">
        <w:rPr>
          <w:spacing w:val="-1"/>
        </w:rPr>
        <w:t>C</w:t>
      </w:r>
      <w:r w:rsidRPr="00E37A70">
        <w:rPr>
          <w:spacing w:val="-1"/>
          <w:position w:val="-2"/>
        </w:rPr>
        <w:t>std</w:t>
      </w:r>
      <w:r w:rsidRPr="00E37A70">
        <w:rPr>
          <w:spacing w:val="17"/>
          <w:position w:val="-2"/>
        </w:rPr>
        <w:t xml:space="preserve"> </w:t>
      </w:r>
      <w:r w:rsidRPr="00E37A70">
        <w:t xml:space="preserve">= </w:t>
      </w:r>
      <w:r w:rsidRPr="00E37A70">
        <w:rPr>
          <w:spacing w:val="-1"/>
        </w:rPr>
        <w:t>Amount</w:t>
      </w:r>
      <w:r w:rsidRPr="00E37A70">
        <w:rPr>
          <w:spacing w:val="-3"/>
        </w:rPr>
        <w:t xml:space="preserve"> </w:t>
      </w:r>
      <w:r w:rsidRPr="00E37A70">
        <w:t>of</w:t>
      </w:r>
      <w:r w:rsidRPr="00E37A70">
        <w:rPr>
          <w:spacing w:val="-3"/>
        </w:rPr>
        <w:t xml:space="preserve"> </w:t>
      </w:r>
      <w:r w:rsidRPr="00E37A70">
        <w:rPr>
          <w:spacing w:val="-1"/>
        </w:rPr>
        <w:t>Carbon</w:t>
      </w:r>
      <w:r w:rsidRPr="00E37A70">
        <w:rPr>
          <w:spacing w:val="-3"/>
        </w:rPr>
        <w:t xml:space="preserve"> </w:t>
      </w:r>
      <w:r w:rsidRPr="00E37A70">
        <w:rPr>
          <w:spacing w:val="-1"/>
        </w:rPr>
        <w:t>(µg)</w:t>
      </w:r>
      <w:r w:rsidRPr="00E37A70">
        <w:t xml:space="preserve"> in</w:t>
      </w:r>
      <w:r w:rsidRPr="00E37A70">
        <w:rPr>
          <w:spacing w:val="-2"/>
        </w:rPr>
        <w:t xml:space="preserve"> </w:t>
      </w:r>
      <w:r w:rsidRPr="00E37A70">
        <w:rPr>
          <w:spacing w:val="-1"/>
        </w:rPr>
        <w:t>standard</w:t>
      </w:r>
      <w:r w:rsidRPr="00E37A70">
        <w:rPr>
          <w:spacing w:val="33"/>
        </w:rPr>
        <w:t xml:space="preserve"> </w:t>
      </w:r>
      <w:r w:rsidRPr="00E37A70">
        <w:rPr>
          <w:spacing w:val="-1"/>
        </w:rPr>
        <w:t>A</w:t>
      </w:r>
      <w:r w:rsidRPr="00E37A70">
        <w:rPr>
          <w:spacing w:val="-1"/>
          <w:position w:val="-2"/>
        </w:rPr>
        <w:t>sample</w:t>
      </w:r>
      <w:r w:rsidRPr="00E37A70">
        <w:rPr>
          <w:spacing w:val="17"/>
          <w:position w:val="-2"/>
        </w:rPr>
        <w:t xml:space="preserve"> </w:t>
      </w:r>
      <w:r w:rsidRPr="00E37A70">
        <w:t xml:space="preserve">= </w:t>
      </w:r>
      <w:r w:rsidRPr="00E37A70">
        <w:rPr>
          <w:spacing w:val="-1"/>
        </w:rPr>
        <w:t>Area per sample filter</w:t>
      </w:r>
    </w:p>
    <w:p w14:paraId="1EFC5AC7" w14:textId="77777777" w:rsidR="0031675F" w:rsidRPr="00E37A70" w:rsidRDefault="0031675F" w:rsidP="00E37A70">
      <w:r w:rsidRPr="00E37A70">
        <w:rPr>
          <w:spacing w:val="-1"/>
        </w:rPr>
        <w:t>C</w:t>
      </w:r>
      <w:r w:rsidRPr="00E37A70">
        <w:rPr>
          <w:spacing w:val="-1"/>
          <w:position w:val="-2"/>
        </w:rPr>
        <w:t>sample</w:t>
      </w:r>
      <w:r w:rsidRPr="00E37A70">
        <w:rPr>
          <w:spacing w:val="18"/>
          <w:position w:val="-2"/>
        </w:rPr>
        <w:t xml:space="preserve"> </w:t>
      </w:r>
      <w:r w:rsidRPr="00E37A70">
        <w:t>=</w:t>
      </w:r>
      <w:r w:rsidRPr="00E37A70">
        <w:rPr>
          <w:spacing w:val="-1"/>
        </w:rPr>
        <w:t xml:space="preserve"> Amount</w:t>
      </w:r>
      <w:r w:rsidRPr="00E37A70">
        <w:rPr>
          <w:spacing w:val="-2"/>
        </w:rPr>
        <w:t xml:space="preserve"> </w:t>
      </w:r>
      <w:r w:rsidRPr="00E37A70">
        <w:t>of</w:t>
      </w:r>
      <w:r w:rsidRPr="00E37A70">
        <w:rPr>
          <w:spacing w:val="-1"/>
        </w:rPr>
        <w:t xml:space="preserve"> Carbon</w:t>
      </w:r>
      <w:r w:rsidRPr="00E37A70">
        <w:rPr>
          <w:spacing w:val="-3"/>
        </w:rPr>
        <w:t xml:space="preserve"> </w:t>
      </w:r>
      <w:r w:rsidRPr="00E37A70">
        <w:rPr>
          <w:spacing w:val="-1"/>
        </w:rPr>
        <w:t>(µg)</w:t>
      </w:r>
      <w:r w:rsidRPr="00E37A70">
        <w:rPr>
          <w:spacing w:val="-3"/>
        </w:rPr>
        <w:t xml:space="preserve"> </w:t>
      </w:r>
      <w:r w:rsidRPr="00E37A70">
        <w:t>on</w:t>
      </w:r>
      <w:r w:rsidRPr="00E37A70">
        <w:rPr>
          <w:spacing w:val="-1"/>
        </w:rPr>
        <w:t xml:space="preserve"> sample filter</w:t>
      </w:r>
    </w:p>
    <w:p w14:paraId="52334734" w14:textId="77777777" w:rsidR="0031675F" w:rsidRPr="00E37A70" w:rsidRDefault="0031675F" w:rsidP="00E37A70">
      <w:r w:rsidRPr="00E37A70">
        <w:rPr>
          <w:spacing w:val="-1"/>
        </w:rPr>
        <w:t>Slope</w:t>
      </w:r>
      <w:r w:rsidRPr="00E37A70">
        <w:t xml:space="preserve"> =</w:t>
      </w:r>
      <w:r w:rsidRPr="00E37A70">
        <w:rPr>
          <w:spacing w:val="-2"/>
        </w:rPr>
        <w:t xml:space="preserve"> </w:t>
      </w:r>
      <w:r w:rsidRPr="00E37A70">
        <w:rPr>
          <w:spacing w:val="-1"/>
        </w:rPr>
        <w:t>Slope</w:t>
      </w:r>
      <w:r w:rsidRPr="00E37A70">
        <w:rPr>
          <w:spacing w:val="-2"/>
        </w:rPr>
        <w:t xml:space="preserve"> </w:t>
      </w:r>
      <w:r w:rsidRPr="00E37A70">
        <w:t>of</w:t>
      </w:r>
      <w:r w:rsidRPr="00E37A70">
        <w:rPr>
          <w:spacing w:val="-3"/>
        </w:rPr>
        <w:t xml:space="preserve"> </w:t>
      </w:r>
      <w:r w:rsidRPr="00E37A70">
        <w:rPr>
          <w:spacing w:val="-1"/>
        </w:rPr>
        <w:t>line</w:t>
      </w:r>
      <w:r w:rsidRPr="00E37A70">
        <w:rPr>
          <w:spacing w:val="-2"/>
        </w:rPr>
        <w:t xml:space="preserve"> </w:t>
      </w:r>
      <w:r w:rsidRPr="00E37A70">
        <w:t xml:space="preserve">of </w:t>
      </w:r>
      <w:r w:rsidRPr="00E37A70">
        <w:rPr>
          <w:spacing w:val="-2"/>
        </w:rPr>
        <w:t>best</w:t>
      </w:r>
      <w:r w:rsidRPr="00E37A70">
        <w:t xml:space="preserve"> </w:t>
      </w:r>
      <w:r w:rsidRPr="00E37A70">
        <w:rPr>
          <w:spacing w:val="-1"/>
        </w:rPr>
        <w:t>fit</w:t>
      </w:r>
      <w:r w:rsidRPr="00E37A70">
        <w:t xml:space="preserve"> </w:t>
      </w:r>
      <w:r w:rsidRPr="00E37A70">
        <w:rPr>
          <w:spacing w:val="-1"/>
        </w:rPr>
        <w:t>for</w:t>
      </w:r>
      <w:r w:rsidRPr="00E37A70">
        <w:t xml:space="preserve"> </w:t>
      </w:r>
      <w:r w:rsidRPr="00E37A70">
        <w:rPr>
          <w:spacing w:val="-1"/>
        </w:rPr>
        <w:t xml:space="preserve">graph Astandard </w:t>
      </w:r>
      <w:r w:rsidRPr="00E37A70">
        <w:t>vs</w:t>
      </w:r>
      <w:r w:rsidRPr="00E37A70">
        <w:rPr>
          <w:spacing w:val="-2"/>
        </w:rPr>
        <w:t xml:space="preserve"> </w:t>
      </w:r>
      <w:r w:rsidRPr="00E37A70">
        <w:rPr>
          <w:spacing w:val="-1"/>
        </w:rPr>
        <w:t>Cstd</w:t>
      </w:r>
    </w:p>
    <w:p w14:paraId="143F779A" w14:textId="77777777" w:rsidR="0031675F" w:rsidRPr="00E37A70" w:rsidRDefault="0031675F" w:rsidP="00E37A70">
      <w:pPr>
        <w:rPr>
          <w:spacing w:val="-1"/>
        </w:rPr>
      </w:pPr>
      <w:r w:rsidRPr="00E37A70">
        <w:rPr>
          <w:spacing w:val="-1"/>
        </w:rPr>
        <w:t>Then</w:t>
      </w:r>
      <w:r w:rsidRPr="00E37A70">
        <w:t xml:space="preserve"> </w:t>
      </w:r>
      <w:r w:rsidRPr="00E37A70">
        <w:rPr>
          <w:spacing w:val="-1"/>
        </w:rPr>
        <w:t>calculate</w:t>
      </w:r>
      <w:r w:rsidRPr="00E37A70">
        <w:t xml:space="preserve"> </w:t>
      </w:r>
      <w:r w:rsidRPr="00E37A70">
        <w:rPr>
          <w:spacing w:val="-1"/>
        </w:rPr>
        <w:t>the</w:t>
      </w:r>
      <w:r w:rsidRPr="00E37A70">
        <w:t xml:space="preserve"> </w:t>
      </w:r>
      <w:r w:rsidRPr="00E37A70">
        <w:rPr>
          <w:spacing w:val="-1"/>
        </w:rPr>
        <w:t>amount</w:t>
      </w:r>
      <w:r w:rsidRPr="00E37A70">
        <w:rPr>
          <w:spacing w:val="-4"/>
        </w:rPr>
        <w:t xml:space="preserve"> </w:t>
      </w:r>
      <w:r w:rsidRPr="00E37A70">
        <w:t xml:space="preserve">of </w:t>
      </w:r>
      <w:r w:rsidRPr="00E37A70">
        <w:rPr>
          <w:spacing w:val="-1"/>
        </w:rPr>
        <w:t xml:space="preserve">carbon </w:t>
      </w:r>
      <w:r w:rsidRPr="00E37A70">
        <w:t xml:space="preserve">in </w:t>
      </w:r>
      <w:r w:rsidRPr="00E37A70">
        <w:rPr>
          <w:spacing w:val="-1"/>
        </w:rPr>
        <w:t>the</w:t>
      </w:r>
      <w:r w:rsidRPr="00E37A70">
        <w:t xml:space="preserve"> </w:t>
      </w:r>
      <w:r w:rsidRPr="00E37A70">
        <w:rPr>
          <w:spacing w:val="-1"/>
        </w:rPr>
        <w:t>wet</w:t>
      </w:r>
      <w:r w:rsidRPr="00E37A70">
        <w:t xml:space="preserve"> </w:t>
      </w:r>
      <w:r w:rsidRPr="00E37A70">
        <w:rPr>
          <w:spacing w:val="-1"/>
        </w:rPr>
        <w:t>filter</w:t>
      </w:r>
      <w:r w:rsidRPr="00E37A70">
        <w:t xml:space="preserve"> </w:t>
      </w:r>
      <w:r w:rsidRPr="00E37A70">
        <w:rPr>
          <w:spacing w:val="-1"/>
        </w:rPr>
        <w:t>(procedural)</w:t>
      </w:r>
      <w:r w:rsidRPr="00E37A70">
        <w:t xml:space="preserve"> </w:t>
      </w:r>
      <w:r w:rsidRPr="00E37A70">
        <w:rPr>
          <w:spacing w:val="-1"/>
        </w:rPr>
        <w:t>blank:</w:t>
      </w:r>
    </w:p>
    <w:p w14:paraId="61DBFD06" w14:textId="77777777" w:rsidR="0031675F" w:rsidRPr="00E37A70" w:rsidRDefault="0031675F" w:rsidP="0031675F">
      <w:pPr>
        <w:rPr>
          <w:rFonts w:cs="Arial"/>
        </w:rPr>
      </w:pPr>
      <w:r w:rsidRPr="00E37A70">
        <w:rPr>
          <w:rFonts w:cs="Arial"/>
          <w:spacing w:val="-1"/>
        </w:rPr>
        <w:t>Where:</w:t>
      </w:r>
      <w:r w:rsidRPr="00E37A70">
        <w:rPr>
          <w:rFonts w:cs="Arial"/>
        </w:rPr>
        <w:t xml:space="preserve"> </w:t>
      </w:r>
    </w:p>
    <w:p w14:paraId="4F86C438" w14:textId="520B77B2" w:rsidR="0031675F" w:rsidRPr="00E37A70" w:rsidRDefault="0031675F" w:rsidP="0031675F">
      <w:pPr>
        <w:ind w:left="13"/>
        <w:rPr>
          <w:rFonts w:cs="Arial"/>
        </w:rPr>
      </w:pPr>
      <w:r w:rsidRPr="00E37A70">
        <w:rPr>
          <w:rFonts w:cs="Arial"/>
          <w:spacing w:val="-1"/>
        </w:rPr>
        <w:t>C</w:t>
      </w:r>
      <w:r w:rsidRPr="00E37A70">
        <w:rPr>
          <w:rFonts w:cs="Arial"/>
          <w:spacing w:val="-1"/>
          <w:position w:val="-2"/>
        </w:rPr>
        <w:t>blank</w:t>
      </w:r>
      <w:r w:rsidRPr="00E37A70">
        <w:rPr>
          <w:rFonts w:cs="Arial"/>
          <w:spacing w:val="15"/>
          <w:position w:val="-2"/>
        </w:rPr>
        <w:t xml:space="preserve"> </w:t>
      </w:r>
      <w:r w:rsidRPr="00E37A70">
        <w:rPr>
          <w:rFonts w:cs="Arial"/>
          <w:spacing w:val="-1"/>
        </w:rPr>
        <w:t>=</w:t>
      </w:r>
      <w:r w:rsidR="00C050A4">
        <w:rPr>
          <w:rFonts w:cs="Arial"/>
          <w:spacing w:val="-1"/>
        </w:rPr>
        <w:t xml:space="preserve"> </w:t>
      </w:r>
      <w:r w:rsidRPr="00E37A70">
        <w:rPr>
          <w:rFonts w:cs="Arial"/>
          <w:spacing w:val="-1"/>
        </w:rPr>
        <w:t>[(A</w:t>
      </w:r>
      <w:r w:rsidRPr="00E37A70">
        <w:rPr>
          <w:rFonts w:cs="Arial"/>
          <w:spacing w:val="-1"/>
          <w:position w:val="-2"/>
        </w:rPr>
        <w:t>blank</w:t>
      </w:r>
      <w:r w:rsidRPr="00E37A70">
        <w:rPr>
          <w:rFonts w:cs="Arial"/>
          <w:spacing w:val="-3"/>
          <w:position w:val="-2"/>
        </w:rPr>
        <w:t xml:space="preserve"> </w:t>
      </w:r>
      <w:r w:rsidRPr="00E37A70">
        <w:rPr>
          <w:rFonts w:cs="Arial"/>
        </w:rPr>
        <w:t>*</w:t>
      </w:r>
      <w:r w:rsidRPr="00E37A70">
        <w:rPr>
          <w:rFonts w:cs="Arial"/>
          <w:spacing w:val="-2"/>
        </w:rPr>
        <w:t xml:space="preserve"> </w:t>
      </w:r>
      <w:r w:rsidRPr="00E37A70">
        <w:rPr>
          <w:rFonts w:cs="Arial"/>
          <w:spacing w:val="-1"/>
        </w:rPr>
        <w:t>Slope)+intercept]</w:t>
      </w:r>
    </w:p>
    <w:p w14:paraId="42EB191C" w14:textId="77777777" w:rsidR="0031675F" w:rsidRPr="00E37A70" w:rsidRDefault="0031675F" w:rsidP="0031675F">
      <w:pPr>
        <w:spacing w:after="120" w:line="266" w:lineRule="exact"/>
        <w:ind w:left="13" w:right="3721"/>
        <w:rPr>
          <w:rFonts w:cs="Arial"/>
        </w:rPr>
      </w:pPr>
      <w:r w:rsidRPr="00E37A70">
        <w:rPr>
          <w:rFonts w:cs="Arial"/>
          <w:spacing w:val="-1"/>
        </w:rPr>
        <w:t>C</w:t>
      </w:r>
      <w:r w:rsidRPr="00E37A70">
        <w:rPr>
          <w:rFonts w:cs="Arial"/>
          <w:spacing w:val="-1"/>
          <w:position w:val="-2"/>
        </w:rPr>
        <w:t>blank</w:t>
      </w:r>
      <w:r w:rsidRPr="00E37A70">
        <w:rPr>
          <w:rFonts w:cs="Arial"/>
          <w:spacing w:val="17"/>
          <w:position w:val="-2"/>
        </w:rPr>
        <w:t xml:space="preserve"> </w:t>
      </w:r>
      <w:r w:rsidRPr="00E37A70">
        <w:rPr>
          <w:rFonts w:cs="Arial"/>
        </w:rPr>
        <w:t>=</w:t>
      </w:r>
      <w:r w:rsidRPr="00E37A70">
        <w:rPr>
          <w:rFonts w:cs="Arial"/>
          <w:spacing w:val="-1"/>
        </w:rPr>
        <w:t xml:space="preserve"> Amount</w:t>
      </w:r>
      <w:r w:rsidRPr="00E37A70">
        <w:rPr>
          <w:rFonts w:cs="Arial"/>
          <w:spacing w:val="-2"/>
        </w:rPr>
        <w:t xml:space="preserve"> </w:t>
      </w:r>
      <w:r w:rsidRPr="00E37A70">
        <w:rPr>
          <w:rFonts w:cs="Arial"/>
        </w:rPr>
        <w:t>of</w:t>
      </w:r>
      <w:r w:rsidRPr="00E37A70">
        <w:rPr>
          <w:rFonts w:cs="Arial"/>
          <w:spacing w:val="-2"/>
        </w:rPr>
        <w:t xml:space="preserve"> </w:t>
      </w:r>
      <w:r w:rsidRPr="00E37A70">
        <w:rPr>
          <w:rFonts w:cs="Arial"/>
          <w:spacing w:val="-1"/>
        </w:rPr>
        <w:t>Carbon</w:t>
      </w:r>
      <w:r w:rsidRPr="00E37A70">
        <w:rPr>
          <w:rFonts w:cs="Arial"/>
          <w:spacing w:val="-2"/>
        </w:rPr>
        <w:t xml:space="preserve"> </w:t>
      </w:r>
      <w:r w:rsidRPr="00E37A70">
        <w:rPr>
          <w:rFonts w:cs="Arial"/>
          <w:spacing w:val="-1"/>
        </w:rPr>
        <w:t>(µg)</w:t>
      </w:r>
      <w:r w:rsidRPr="00E37A70">
        <w:rPr>
          <w:rFonts w:cs="Arial"/>
          <w:spacing w:val="-2"/>
        </w:rPr>
        <w:t xml:space="preserve"> </w:t>
      </w:r>
      <w:r w:rsidRPr="00E37A70">
        <w:rPr>
          <w:rFonts w:cs="Arial"/>
        </w:rPr>
        <w:t>on</w:t>
      </w:r>
      <w:r w:rsidRPr="00E37A70">
        <w:rPr>
          <w:rFonts w:cs="Arial"/>
          <w:spacing w:val="-1"/>
        </w:rPr>
        <w:t xml:space="preserve"> wet filter</w:t>
      </w:r>
      <w:r w:rsidRPr="00E37A70">
        <w:rPr>
          <w:rFonts w:cs="Arial"/>
        </w:rPr>
        <w:t xml:space="preserve"> </w:t>
      </w:r>
      <w:r w:rsidRPr="00E37A70">
        <w:rPr>
          <w:rFonts w:cs="Arial"/>
          <w:spacing w:val="-1"/>
        </w:rPr>
        <w:t>blank</w:t>
      </w:r>
      <w:r w:rsidRPr="00E37A70">
        <w:rPr>
          <w:rFonts w:cs="Arial"/>
          <w:spacing w:val="31"/>
        </w:rPr>
        <w:t xml:space="preserve"> </w:t>
      </w:r>
      <w:r w:rsidRPr="00E37A70">
        <w:rPr>
          <w:rFonts w:cs="Arial"/>
          <w:spacing w:val="-1"/>
        </w:rPr>
        <w:t>A</w:t>
      </w:r>
      <w:r w:rsidRPr="00E37A70">
        <w:rPr>
          <w:rFonts w:cs="Arial"/>
          <w:spacing w:val="-1"/>
          <w:position w:val="-2"/>
        </w:rPr>
        <w:t>blank</w:t>
      </w:r>
      <w:r w:rsidRPr="00E37A70">
        <w:rPr>
          <w:rFonts w:cs="Arial"/>
          <w:spacing w:val="17"/>
          <w:position w:val="-2"/>
        </w:rPr>
        <w:t xml:space="preserve"> </w:t>
      </w:r>
      <w:r w:rsidRPr="00E37A70">
        <w:rPr>
          <w:rFonts w:cs="Arial"/>
        </w:rPr>
        <w:t>=</w:t>
      </w:r>
      <w:r w:rsidRPr="00E37A70">
        <w:rPr>
          <w:rFonts w:cs="Arial"/>
          <w:spacing w:val="-1"/>
        </w:rPr>
        <w:t xml:space="preserve"> Area</w:t>
      </w:r>
      <w:r w:rsidRPr="00E37A70">
        <w:rPr>
          <w:rFonts w:cs="Arial"/>
        </w:rPr>
        <w:t xml:space="preserve"> </w:t>
      </w:r>
      <w:r w:rsidRPr="00E37A70">
        <w:rPr>
          <w:rFonts w:cs="Arial"/>
          <w:spacing w:val="-1"/>
        </w:rPr>
        <w:t>per wet</w:t>
      </w:r>
      <w:r w:rsidRPr="00E37A70">
        <w:rPr>
          <w:rFonts w:cs="Arial"/>
        </w:rPr>
        <w:t xml:space="preserve"> </w:t>
      </w:r>
      <w:r w:rsidRPr="00E37A70">
        <w:rPr>
          <w:rFonts w:cs="Arial"/>
          <w:spacing w:val="-1"/>
        </w:rPr>
        <w:t>filter blank</w:t>
      </w:r>
    </w:p>
    <w:p w14:paraId="502F2A4E" w14:textId="77777777" w:rsidR="0031675F" w:rsidRPr="00E37A70" w:rsidRDefault="0031675F" w:rsidP="0031675F">
      <w:pPr>
        <w:spacing w:before="56" w:after="120"/>
        <w:ind w:right="651"/>
        <w:rPr>
          <w:rFonts w:cs="Arial"/>
        </w:rPr>
      </w:pPr>
      <w:r w:rsidRPr="00E37A70">
        <w:rPr>
          <w:rFonts w:cs="Arial"/>
          <w:spacing w:val="-1"/>
        </w:rPr>
        <w:t>The</w:t>
      </w:r>
      <w:r w:rsidRPr="00E37A70">
        <w:rPr>
          <w:rFonts w:cs="Arial"/>
          <w:spacing w:val="5"/>
        </w:rPr>
        <w:t xml:space="preserve"> </w:t>
      </w:r>
      <w:r w:rsidRPr="00E37A70">
        <w:rPr>
          <w:rFonts w:cs="Arial"/>
          <w:spacing w:val="-1"/>
        </w:rPr>
        <w:t>concentration</w:t>
      </w:r>
      <w:r w:rsidRPr="00E37A70">
        <w:rPr>
          <w:rFonts w:cs="Arial"/>
          <w:spacing w:val="2"/>
        </w:rPr>
        <w:t xml:space="preserve"> </w:t>
      </w:r>
      <w:r w:rsidRPr="00E37A70">
        <w:rPr>
          <w:rFonts w:cs="Arial"/>
        </w:rPr>
        <w:t>of</w:t>
      </w:r>
      <w:r w:rsidRPr="00E37A70">
        <w:rPr>
          <w:rFonts w:cs="Arial"/>
          <w:spacing w:val="2"/>
        </w:rPr>
        <w:t xml:space="preserve"> </w:t>
      </w:r>
      <w:r w:rsidRPr="00E37A70">
        <w:rPr>
          <w:rFonts w:cs="Arial"/>
          <w:spacing w:val="-1"/>
        </w:rPr>
        <w:t>particulate</w:t>
      </w:r>
      <w:r w:rsidRPr="00E37A70">
        <w:rPr>
          <w:rFonts w:cs="Arial"/>
          <w:spacing w:val="5"/>
        </w:rPr>
        <w:t xml:space="preserve"> </w:t>
      </w:r>
      <w:r w:rsidRPr="00E37A70">
        <w:rPr>
          <w:rFonts w:cs="Arial"/>
          <w:spacing w:val="-1"/>
        </w:rPr>
        <w:t>carbon</w:t>
      </w:r>
      <w:r w:rsidRPr="00E37A70">
        <w:rPr>
          <w:rFonts w:cs="Arial"/>
          <w:spacing w:val="4"/>
        </w:rPr>
        <w:t xml:space="preserve"> </w:t>
      </w:r>
      <w:r w:rsidRPr="00E37A70">
        <w:rPr>
          <w:rFonts w:cs="Arial"/>
        </w:rPr>
        <w:t>in</w:t>
      </w:r>
      <w:r w:rsidRPr="00E37A70">
        <w:rPr>
          <w:rFonts w:cs="Arial"/>
          <w:spacing w:val="1"/>
        </w:rPr>
        <w:t xml:space="preserve"> </w:t>
      </w:r>
      <w:r w:rsidRPr="00E37A70">
        <w:rPr>
          <w:rFonts w:cs="Arial"/>
        </w:rPr>
        <w:t>the</w:t>
      </w:r>
      <w:r w:rsidRPr="00E37A70">
        <w:rPr>
          <w:rFonts w:cs="Arial"/>
          <w:spacing w:val="3"/>
        </w:rPr>
        <w:t xml:space="preserve"> </w:t>
      </w:r>
      <w:r w:rsidRPr="00E37A70">
        <w:rPr>
          <w:rFonts w:cs="Arial"/>
          <w:spacing w:val="-1"/>
        </w:rPr>
        <w:t>original</w:t>
      </w:r>
      <w:r w:rsidRPr="00E37A70">
        <w:rPr>
          <w:rFonts w:cs="Arial"/>
          <w:spacing w:val="2"/>
        </w:rPr>
        <w:t xml:space="preserve"> </w:t>
      </w:r>
      <w:r w:rsidRPr="00E37A70">
        <w:rPr>
          <w:rFonts w:cs="Arial"/>
          <w:spacing w:val="-1"/>
        </w:rPr>
        <w:t>seawater</w:t>
      </w:r>
      <w:r w:rsidRPr="00E37A70">
        <w:rPr>
          <w:rFonts w:cs="Arial"/>
          <w:spacing w:val="3"/>
        </w:rPr>
        <w:t xml:space="preserve"> </w:t>
      </w:r>
      <w:r w:rsidRPr="00E37A70">
        <w:rPr>
          <w:rFonts w:cs="Arial"/>
          <w:spacing w:val="-1"/>
        </w:rPr>
        <w:t>sample</w:t>
      </w:r>
      <w:r w:rsidRPr="00E37A70">
        <w:rPr>
          <w:rFonts w:cs="Arial"/>
          <w:spacing w:val="2"/>
        </w:rPr>
        <w:t xml:space="preserve"> </w:t>
      </w:r>
      <w:r w:rsidRPr="00E37A70">
        <w:rPr>
          <w:rFonts w:cs="Arial"/>
        </w:rPr>
        <w:t>can</w:t>
      </w:r>
      <w:r w:rsidRPr="00E37A70">
        <w:rPr>
          <w:rFonts w:cs="Arial"/>
          <w:spacing w:val="4"/>
        </w:rPr>
        <w:t xml:space="preserve"> </w:t>
      </w:r>
      <w:r w:rsidRPr="00E37A70">
        <w:rPr>
          <w:rFonts w:cs="Arial"/>
        </w:rPr>
        <w:t>then</w:t>
      </w:r>
      <w:r w:rsidRPr="00E37A70">
        <w:rPr>
          <w:rFonts w:cs="Arial"/>
          <w:spacing w:val="2"/>
        </w:rPr>
        <w:t xml:space="preserve"> </w:t>
      </w:r>
      <w:r w:rsidRPr="00E37A70">
        <w:rPr>
          <w:rFonts w:cs="Arial"/>
          <w:spacing w:val="-1"/>
        </w:rPr>
        <w:t>be</w:t>
      </w:r>
      <w:r w:rsidRPr="00E37A70">
        <w:rPr>
          <w:rFonts w:cs="Arial"/>
          <w:spacing w:val="5"/>
        </w:rPr>
        <w:t xml:space="preserve"> </w:t>
      </w:r>
      <w:r w:rsidRPr="00E37A70">
        <w:rPr>
          <w:rFonts w:cs="Arial"/>
          <w:spacing w:val="-1"/>
        </w:rPr>
        <w:t>calculated</w:t>
      </w:r>
      <w:r w:rsidRPr="00E37A70">
        <w:rPr>
          <w:rFonts w:cs="Arial"/>
          <w:spacing w:val="71"/>
        </w:rPr>
        <w:t xml:space="preserve"> </w:t>
      </w:r>
      <w:r w:rsidRPr="00E37A70">
        <w:rPr>
          <w:rFonts w:cs="Arial"/>
        </w:rPr>
        <w:t xml:space="preserve">as </w:t>
      </w:r>
      <w:r w:rsidRPr="00E37A70">
        <w:rPr>
          <w:rFonts w:cs="Arial"/>
          <w:spacing w:val="-1"/>
        </w:rPr>
        <w:t>follows:</w:t>
      </w:r>
    </w:p>
    <w:p w14:paraId="32B4E0D8" w14:textId="016F0136" w:rsidR="0031675F" w:rsidRPr="00E37A70" w:rsidRDefault="0031675F" w:rsidP="0031675F">
      <w:pPr>
        <w:ind w:left="838"/>
        <w:rPr>
          <w:rFonts w:cs="Arial"/>
        </w:rPr>
      </w:pPr>
      <w:r w:rsidRPr="00E37A70">
        <w:rPr>
          <w:rFonts w:cs="Arial"/>
          <w:spacing w:val="-1"/>
          <w:position w:val="3"/>
        </w:rPr>
        <w:t>M</w:t>
      </w:r>
      <w:r w:rsidRPr="00E37A70">
        <w:rPr>
          <w:rFonts w:cs="Arial"/>
          <w:spacing w:val="-1"/>
        </w:rPr>
        <w:t>sample</w:t>
      </w:r>
      <w:r w:rsidRPr="00E37A70">
        <w:rPr>
          <w:rFonts w:cs="Arial"/>
          <w:spacing w:val="16"/>
        </w:rPr>
        <w:t xml:space="preserve"> </w:t>
      </w:r>
      <w:r w:rsidRPr="00E37A70">
        <w:rPr>
          <w:rFonts w:cs="Arial"/>
          <w:position w:val="3"/>
        </w:rPr>
        <w:t xml:space="preserve">= </w:t>
      </w:r>
      <w:r w:rsidRPr="00E37A70">
        <w:rPr>
          <w:rFonts w:cs="Arial"/>
          <w:spacing w:val="-1"/>
          <w:position w:val="3"/>
        </w:rPr>
        <w:t>((C</w:t>
      </w:r>
      <w:r w:rsidRPr="00E37A70">
        <w:rPr>
          <w:rFonts w:cs="Arial"/>
          <w:spacing w:val="-1"/>
        </w:rPr>
        <w:t>sample</w:t>
      </w:r>
      <w:r w:rsidRPr="00E37A70">
        <w:rPr>
          <w:rFonts w:cs="Arial"/>
          <w:spacing w:val="18"/>
        </w:rPr>
        <w:t xml:space="preserve"> </w:t>
      </w:r>
      <w:r w:rsidRPr="00E37A70">
        <w:rPr>
          <w:rFonts w:cs="Arial"/>
          <w:position w:val="3"/>
        </w:rPr>
        <w:t>-</w:t>
      </w:r>
      <w:r w:rsidRPr="00E37A70">
        <w:rPr>
          <w:rFonts w:cs="Arial"/>
          <w:spacing w:val="-2"/>
          <w:position w:val="3"/>
        </w:rPr>
        <w:t xml:space="preserve"> </w:t>
      </w:r>
      <w:r w:rsidRPr="00E37A70">
        <w:rPr>
          <w:rFonts w:cs="Arial"/>
          <w:spacing w:val="-1"/>
          <w:position w:val="3"/>
        </w:rPr>
        <w:t>C</w:t>
      </w:r>
      <w:r w:rsidRPr="00E37A70">
        <w:rPr>
          <w:rFonts w:cs="Arial"/>
          <w:spacing w:val="-1"/>
        </w:rPr>
        <w:t>blank</w:t>
      </w:r>
      <w:r w:rsidRPr="00E37A70">
        <w:rPr>
          <w:rFonts w:cs="Arial"/>
          <w:spacing w:val="-1"/>
          <w:position w:val="3"/>
        </w:rPr>
        <w:t>)</w:t>
      </w:r>
      <w:r w:rsidR="00C050A4">
        <w:rPr>
          <w:rFonts w:cs="Arial"/>
          <w:spacing w:val="-1"/>
          <w:position w:val="3"/>
        </w:rPr>
        <w:t xml:space="preserve"> </w:t>
      </w:r>
      <w:r w:rsidRPr="00E37A70">
        <w:rPr>
          <w:rFonts w:cs="Arial"/>
          <w:spacing w:val="-1"/>
          <w:position w:val="3"/>
        </w:rPr>
        <w:t>/ 12)</w:t>
      </w:r>
      <w:r w:rsidRPr="00E37A70">
        <w:rPr>
          <w:rFonts w:cs="Arial"/>
          <w:spacing w:val="46"/>
          <w:position w:val="3"/>
        </w:rPr>
        <w:t xml:space="preserve"> </w:t>
      </w:r>
      <w:r w:rsidRPr="00E37A70">
        <w:rPr>
          <w:rFonts w:cs="Arial"/>
          <w:position w:val="3"/>
        </w:rPr>
        <w:t>/</w:t>
      </w:r>
      <w:r w:rsidRPr="00E37A70">
        <w:rPr>
          <w:rFonts w:cs="Arial"/>
          <w:spacing w:val="-1"/>
          <w:position w:val="3"/>
        </w:rPr>
        <w:t xml:space="preserve"> V</w:t>
      </w:r>
      <w:r w:rsidRPr="00E37A70">
        <w:rPr>
          <w:rFonts w:cs="Arial"/>
          <w:spacing w:val="-1"/>
        </w:rPr>
        <w:t>sample</w:t>
      </w:r>
    </w:p>
    <w:p w14:paraId="60227CCF" w14:textId="77777777" w:rsidR="0031675F" w:rsidRPr="00E37A70" w:rsidRDefault="0031675F" w:rsidP="0031675F">
      <w:pPr>
        <w:spacing w:before="56" w:after="120"/>
        <w:rPr>
          <w:rFonts w:cs="Arial"/>
        </w:rPr>
      </w:pPr>
      <w:r w:rsidRPr="00E37A70">
        <w:rPr>
          <w:rFonts w:cs="Arial"/>
          <w:spacing w:val="-1"/>
        </w:rPr>
        <w:t>here:</w:t>
      </w:r>
    </w:p>
    <w:p w14:paraId="261AEFD6" w14:textId="40F7BC36" w:rsidR="0031675F" w:rsidRPr="00E37A70" w:rsidRDefault="0031675F" w:rsidP="0031675F">
      <w:pPr>
        <w:spacing w:after="120" w:line="268" w:lineRule="exact"/>
        <w:ind w:left="13" w:right="2035"/>
        <w:rPr>
          <w:rFonts w:cs="Arial"/>
        </w:rPr>
      </w:pPr>
      <w:r w:rsidRPr="00E37A70">
        <w:rPr>
          <w:rFonts w:cs="Arial"/>
          <w:spacing w:val="-1"/>
        </w:rPr>
        <w:t>M</w:t>
      </w:r>
      <w:r w:rsidRPr="00E37A70">
        <w:rPr>
          <w:rFonts w:cs="Arial"/>
          <w:spacing w:val="-1"/>
          <w:position w:val="-2"/>
        </w:rPr>
        <w:t>sample</w:t>
      </w:r>
      <w:r w:rsidRPr="00E37A70">
        <w:rPr>
          <w:rFonts w:cs="Arial"/>
          <w:spacing w:val="18"/>
          <w:position w:val="-2"/>
        </w:rPr>
        <w:t xml:space="preserve"> </w:t>
      </w:r>
      <w:r w:rsidRPr="00E37A70">
        <w:rPr>
          <w:rFonts w:cs="Arial"/>
        </w:rPr>
        <w:t>=</w:t>
      </w:r>
      <w:r w:rsidRPr="00E37A70">
        <w:rPr>
          <w:rFonts w:cs="Arial"/>
          <w:spacing w:val="-1"/>
        </w:rPr>
        <w:t xml:space="preserve"> Concentration</w:t>
      </w:r>
      <w:r w:rsidRPr="00E37A70">
        <w:rPr>
          <w:rFonts w:cs="Arial"/>
          <w:spacing w:val="-3"/>
        </w:rPr>
        <w:t xml:space="preserve"> </w:t>
      </w:r>
      <w:r w:rsidRPr="00E37A70">
        <w:rPr>
          <w:rFonts w:cs="Arial"/>
        </w:rPr>
        <w:t>of</w:t>
      </w:r>
      <w:r w:rsidRPr="00E37A70">
        <w:rPr>
          <w:rFonts w:cs="Arial"/>
          <w:spacing w:val="-6"/>
        </w:rPr>
        <w:t xml:space="preserve"> </w:t>
      </w:r>
      <w:r w:rsidRPr="00E37A70">
        <w:rPr>
          <w:rFonts w:cs="Arial"/>
          <w:spacing w:val="-1"/>
        </w:rPr>
        <w:t xml:space="preserve">Carbon </w:t>
      </w:r>
      <w:r w:rsidRPr="00E37A70">
        <w:rPr>
          <w:rFonts w:cs="Arial"/>
        </w:rPr>
        <w:t>in</w:t>
      </w:r>
      <w:r w:rsidRPr="00E37A70">
        <w:rPr>
          <w:rFonts w:cs="Arial"/>
          <w:spacing w:val="-4"/>
        </w:rPr>
        <w:t xml:space="preserve"> </w:t>
      </w:r>
      <w:r w:rsidRPr="00E37A70">
        <w:rPr>
          <w:rFonts w:cs="Arial"/>
          <w:spacing w:val="-1"/>
        </w:rPr>
        <w:t>original</w:t>
      </w:r>
      <w:r w:rsidRPr="00E37A70">
        <w:rPr>
          <w:rFonts w:cs="Arial"/>
        </w:rPr>
        <w:t xml:space="preserve"> </w:t>
      </w:r>
      <w:r w:rsidRPr="00E37A70">
        <w:rPr>
          <w:rFonts w:cs="Arial"/>
          <w:spacing w:val="-1"/>
        </w:rPr>
        <w:t>seawater</w:t>
      </w:r>
      <w:r w:rsidRPr="00E37A70">
        <w:rPr>
          <w:rFonts w:cs="Arial"/>
          <w:spacing w:val="-2"/>
        </w:rPr>
        <w:t xml:space="preserve"> </w:t>
      </w:r>
      <w:r w:rsidRPr="00E37A70">
        <w:rPr>
          <w:rFonts w:cs="Arial"/>
          <w:spacing w:val="-1"/>
        </w:rPr>
        <w:t>sample</w:t>
      </w:r>
      <w:r w:rsidRPr="00E37A70">
        <w:rPr>
          <w:rFonts w:cs="Arial"/>
          <w:spacing w:val="-4"/>
        </w:rPr>
        <w:t xml:space="preserve"> </w:t>
      </w:r>
      <w:r w:rsidRPr="00E37A70">
        <w:rPr>
          <w:rFonts w:cs="Arial"/>
          <w:spacing w:val="-1"/>
        </w:rPr>
        <w:t>(µ</w:t>
      </w:r>
      <w:r w:rsidRPr="00E37A70">
        <w:rPr>
          <w:rFonts w:cs="Arial"/>
        </w:rPr>
        <w:t>mol</w:t>
      </w:r>
      <w:r w:rsidR="00E37A70" w:rsidRPr="00E37A70">
        <w:rPr>
          <w:rFonts w:cs="Arial"/>
          <w:spacing w:val="-1"/>
        </w:rPr>
        <w:t xml:space="preserve"> L</w:t>
      </w:r>
      <w:r w:rsidR="00E37A70" w:rsidRPr="00E37A70">
        <w:rPr>
          <w:rFonts w:cs="Arial"/>
          <w:spacing w:val="-1"/>
          <w:vertAlign w:val="superscript"/>
        </w:rPr>
        <w:t>-1</w:t>
      </w:r>
      <w:r w:rsidRPr="00E37A70">
        <w:rPr>
          <w:rFonts w:cs="Arial"/>
          <w:spacing w:val="-1"/>
        </w:rPr>
        <w:t>)</w:t>
      </w:r>
      <w:r w:rsidRPr="00E37A70">
        <w:rPr>
          <w:rFonts w:cs="Arial"/>
          <w:spacing w:val="57"/>
        </w:rPr>
        <w:t xml:space="preserve"> </w:t>
      </w:r>
      <w:r w:rsidRPr="00E37A70">
        <w:rPr>
          <w:rFonts w:cs="Arial"/>
          <w:spacing w:val="-1"/>
        </w:rPr>
        <w:t>C</w:t>
      </w:r>
      <w:r w:rsidRPr="00E37A70">
        <w:rPr>
          <w:rFonts w:cs="Arial"/>
          <w:spacing w:val="-1"/>
          <w:position w:val="-2"/>
        </w:rPr>
        <w:t>sample</w:t>
      </w:r>
      <w:r w:rsidRPr="00E37A70">
        <w:rPr>
          <w:rFonts w:cs="Arial"/>
          <w:spacing w:val="18"/>
          <w:position w:val="-2"/>
        </w:rPr>
        <w:t xml:space="preserve"> </w:t>
      </w:r>
      <w:r w:rsidRPr="00E37A70">
        <w:rPr>
          <w:rFonts w:cs="Arial"/>
        </w:rPr>
        <w:t>=</w:t>
      </w:r>
      <w:r w:rsidRPr="00E37A70">
        <w:rPr>
          <w:rFonts w:cs="Arial"/>
          <w:spacing w:val="-1"/>
        </w:rPr>
        <w:t xml:space="preserve"> Amount</w:t>
      </w:r>
      <w:r w:rsidRPr="00E37A70">
        <w:rPr>
          <w:rFonts w:cs="Arial"/>
          <w:spacing w:val="-2"/>
        </w:rPr>
        <w:t xml:space="preserve"> </w:t>
      </w:r>
      <w:r w:rsidRPr="00E37A70">
        <w:rPr>
          <w:rFonts w:cs="Arial"/>
        </w:rPr>
        <w:t>of</w:t>
      </w:r>
      <w:r w:rsidRPr="00E37A70">
        <w:rPr>
          <w:rFonts w:cs="Arial"/>
          <w:spacing w:val="-1"/>
        </w:rPr>
        <w:t xml:space="preserve"> Carbon</w:t>
      </w:r>
      <w:r w:rsidRPr="00E37A70">
        <w:rPr>
          <w:rFonts w:cs="Arial"/>
          <w:spacing w:val="-3"/>
        </w:rPr>
        <w:t xml:space="preserve"> </w:t>
      </w:r>
      <w:r w:rsidRPr="00E37A70">
        <w:rPr>
          <w:rFonts w:cs="Arial"/>
          <w:spacing w:val="-1"/>
        </w:rPr>
        <w:t>(µg)</w:t>
      </w:r>
      <w:r w:rsidRPr="00E37A70">
        <w:rPr>
          <w:rFonts w:cs="Arial"/>
          <w:spacing w:val="-3"/>
        </w:rPr>
        <w:t xml:space="preserve"> </w:t>
      </w:r>
      <w:r w:rsidRPr="00E37A70">
        <w:rPr>
          <w:rFonts w:cs="Arial"/>
        </w:rPr>
        <w:t>on</w:t>
      </w:r>
      <w:r w:rsidRPr="00E37A70">
        <w:rPr>
          <w:rFonts w:cs="Arial"/>
          <w:spacing w:val="-1"/>
        </w:rPr>
        <w:t xml:space="preserve"> sample filter</w:t>
      </w:r>
    </w:p>
    <w:p w14:paraId="726FA806" w14:textId="77777777" w:rsidR="0031675F" w:rsidRPr="00E37A70" w:rsidRDefault="0031675F" w:rsidP="0031675F">
      <w:pPr>
        <w:spacing w:before="4" w:after="120"/>
        <w:ind w:left="13"/>
        <w:rPr>
          <w:rFonts w:cs="Arial"/>
        </w:rPr>
      </w:pPr>
      <w:r w:rsidRPr="00E37A70">
        <w:rPr>
          <w:rFonts w:cs="Arial"/>
          <w:spacing w:val="-1"/>
        </w:rPr>
        <w:t>V</w:t>
      </w:r>
      <w:r w:rsidRPr="00E37A70">
        <w:rPr>
          <w:rFonts w:cs="Arial"/>
          <w:spacing w:val="-1"/>
          <w:position w:val="-2"/>
        </w:rPr>
        <w:t>sample</w:t>
      </w:r>
      <w:r w:rsidRPr="00E37A70">
        <w:rPr>
          <w:rFonts w:cs="Arial"/>
          <w:spacing w:val="17"/>
          <w:position w:val="-2"/>
        </w:rPr>
        <w:t xml:space="preserve"> </w:t>
      </w:r>
      <w:r w:rsidRPr="00E37A70">
        <w:rPr>
          <w:rFonts w:cs="Arial"/>
        </w:rPr>
        <w:t xml:space="preserve">= </w:t>
      </w:r>
      <w:r w:rsidRPr="00E37A70">
        <w:rPr>
          <w:rFonts w:cs="Arial"/>
          <w:spacing w:val="-1"/>
        </w:rPr>
        <w:t>Volume</w:t>
      </w:r>
      <w:r w:rsidRPr="00E37A70">
        <w:rPr>
          <w:rFonts w:cs="Arial"/>
          <w:spacing w:val="-3"/>
        </w:rPr>
        <w:t xml:space="preserve"> </w:t>
      </w:r>
      <w:r w:rsidRPr="00E37A70">
        <w:rPr>
          <w:rFonts w:cs="Arial"/>
        </w:rPr>
        <w:t>of</w:t>
      </w:r>
      <w:r w:rsidRPr="00E37A70">
        <w:rPr>
          <w:rFonts w:cs="Arial"/>
          <w:spacing w:val="-1"/>
        </w:rPr>
        <w:t xml:space="preserve"> sample</w:t>
      </w:r>
      <w:r w:rsidRPr="00E37A70">
        <w:rPr>
          <w:rFonts w:cs="Arial"/>
          <w:spacing w:val="-5"/>
        </w:rPr>
        <w:t xml:space="preserve"> </w:t>
      </w:r>
      <w:r w:rsidRPr="00E37A70">
        <w:rPr>
          <w:rFonts w:cs="Arial"/>
          <w:spacing w:val="-1"/>
        </w:rPr>
        <w:t>filtered</w:t>
      </w:r>
      <w:r w:rsidRPr="00E37A70">
        <w:rPr>
          <w:rFonts w:cs="Arial"/>
          <w:spacing w:val="-2"/>
        </w:rPr>
        <w:t xml:space="preserve"> (l)</w:t>
      </w:r>
    </w:p>
    <w:p w14:paraId="408DF2BA" w14:textId="77777777" w:rsidR="0031675F" w:rsidRPr="00E37A70" w:rsidRDefault="0031675F" w:rsidP="0031675F">
      <w:pPr>
        <w:rPr>
          <w:rFonts w:cs="Arial"/>
        </w:rPr>
      </w:pPr>
    </w:p>
    <w:p w14:paraId="20A5AFDA" w14:textId="77777777" w:rsidR="0031675F" w:rsidRPr="00E37A70" w:rsidRDefault="0031675F" w:rsidP="0031675F">
      <w:pPr>
        <w:spacing w:before="11"/>
        <w:rPr>
          <w:rFonts w:eastAsia="Arial" w:cs="Arial"/>
          <w:b/>
          <w:bCs/>
        </w:rPr>
      </w:pPr>
      <w:r w:rsidRPr="00E37A70">
        <w:rPr>
          <w:rFonts w:eastAsia="Arial" w:cs="Arial"/>
          <w:b/>
          <w:bCs/>
        </w:rPr>
        <w:t>For Nitrogen:</w:t>
      </w:r>
    </w:p>
    <w:p w14:paraId="0F57EF5A" w14:textId="77777777" w:rsidR="0031675F" w:rsidRPr="00E37A70" w:rsidRDefault="0031675F" w:rsidP="0031675F">
      <w:pPr>
        <w:ind w:left="118"/>
        <w:jc w:val="both"/>
        <w:rPr>
          <w:rFonts w:cs="Arial"/>
        </w:rPr>
      </w:pPr>
      <w:r w:rsidRPr="00E37A70">
        <w:rPr>
          <w:rFonts w:cs="Arial"/>
          <w:spacing w:val="-1"/>
        </w:rPr>
        <w:t>Plot N</w:t>
      </w:r>
      <w:r w:rsidRPr="00E37A70">
        <w:rPr>
          <w:rFonts w:cs="Arial"/>
          <w:spacing w:val="-1"/>
          <w:position w:val="-2"/>
        </w:rPr>
        <w:t>std</w:t>
      </w:r>
      <w:r w:rsidRPr="00E37A70">
        <w:rPr>
          <w:rFonts w:cs="Arial"/>
          <w:spacing w:val="15"/>
          <w:position w:val="-2"/>
        </w:rPr>
        <w:t xml:space="preserve"> </w:t>
      </w:r>
      <w:r w:rsidRPr="00E37A70">
        <w:rPr>
          <w:rFonts w:cs="Arial"/>
          <w:spacing w:val="-1"/>
        </w:rPr>
        <w:t>against</w:t>
      </w:r>
      <w:r w:rsidRPr="00E37A70">
        <w:rPr>
          <w:rFonts w:cs="Arial"/>
          <w:spacing w:val="1"/>
        </w:rPr>
        <w:t xml:space="preserve"> </w:t>
      </w:r>
      <w:r w:rsidRPr="00E37A70">
        <w:rPr>
          <w:rFonts w:cs="Arial"/>
          <w:spacing w:val="-1"/>
        </w:rPr>
        <w:t>As</w:t>
      </w:r>
      <w:r w:rsidRPr="00E37A70">
        <w:rPr>
          <w:rFonts w:cs="Arial"/>
          <w:spacing w:val="-1"/>
          <w:position w:val="-2"/>
        </w:rPr>
        <w:t>tandard</w:t>
      </w:r>
      <w:r w:rsidRPr="00E37A70">
        <w:rPr>
          <w:rFonts w:cs="Arial"/>
          <w:spacing w:val="16"/>
          <w:position w:val="-2"/>
        </w:rPr>
        <w:t xml:space="preserve"> </w:t>
      </w:r>
      <w:r w:rsidRPr="00E37A70">
        <w:rPr>
          <w:rFonts w:cs="Arial"/>
        </w:rPr>
        <w:t>and</w:t>
      </w:r>
      <w:r w:rsidRPr="00E37A70">
        <w:rPr>
          <w:rFonts w:cs="Arial"/>
          <w:spacing w:val="-2"/>
        </w:rPr>
        <w:t xml:space="preserve"> </w:t>
      </w:r>
      <w:r w:rsidRPr="00E37A70">
        <w:rPr>
          <w:rFonts w:cs="Arial"/>
          <w:spacing w:val="-1"/>
        </w:rPr>
        <w:t>use</w:t>
      </w:r>
      <w:r w:rsidRPr="00E37A70">
        <w:rPr>
          <w:rFonts w:cs="Arial"/>
          <w:spacing w:val="1"/>
        </w:rPr>
        <w:t xml:space="preserve"> </w:t>
      </w:r>
      <w:r w:rsidRPr="00E37A70">
        <w:rPr>
          <w:rFonts w:cs="Arial"/>
        </w:rPr>
        <w:t>the</w:t>
      </w:r>
      <w:r w:rsidRPr="00E37A70">
        <w:rPr>
          <w:rFonts w:cs="Arial"/>
          <w:spacing w:val="-4"/>
        </w:rPr>
        <w:t xml:space="preserve"> </w:t>
      </w:r>
      <w:r w:rsidRPr="00E37A70">
        <w:rPr>
          <w:rFonts w:cs="Arial"/>
          <w:spacing w:val="-1"/>
        </w:rPr>
        <w:t>slope to</w:t>
      </w:r>
      <w:r w:rsidRPr="00E37A70">
        <w:rPr>
          <w:rFonts w:cs="Arial"/>
        </w:rPr>
        <w:t xml:space="preserve"> </w:t>
      </w:r>
      <w:r w:rsidRPr="00E37A70">
        <w:rPr>
          <w:rFonts w:cs="Arial"/>
          <w:spacing w:val="-1"/>
        </w:rPr>
        <w:t>calculate</w:t>
      </w:r>
      <w:r w:rsidRPr="00E37A70">
        <w:rPr>
          <w:rFonts w:cs="Arial"/>
          <w:spacing w:val="-3"/>
        </w:rPr>
        <w:t xml:space="preserve"> </w:t>
      </w:r>
      <w:r w:rsidRPr="00E37A70">
        <w:rPr>
          <w:rFonts w:cs="Arial"/>
          <w:spacing w:val="-1"/>
        </w:rPr>
        <w:t>N</w:t>
      </w:r>
      <w:r w:rsidRPr="00E37A70">
        <w:rPr>
          <w:rFonts w:cs="Arial"/>
          <w:spacing w:val="-1"/>
          <w:position w:val="-2"/>
        </w:rPr>
        <w:t>sample</w:t>
      </w:r>
      <w:r w:rsidRPr="00E37A70">
        <w:rPr>
          <w:rFonts w:cs="Arial"/>
          <w:spacing w:val="18"/>
          <w:position w:val="-2"/>
        </w:rPr>
        <w:t xml:space="preserve"> </w:t>
      </w:r>
      <w:r w:rsidRPr="00E37A70">
        <w:rPr>
          <w:rFonts w:cs="Arial"/>
        </w:rPr>
        <w:t>as</w:t>
      </w:r>
      <w:r w:rsidRPr="00E37A70">
        <w:rPr>
          <w:rFonts w:cs="Arial"/>
          <w:spacing w:val="-1"/>
        </w:rPr>
        <w:t xml:space="preserve"> follows:</w:t>
      </w:r>
    </w:p>
    <w:p w14:paraId="3B86092A" w14:textId="77777777" w:rsidR="0031675F" w:rsidRPr="00E37A70" w:rsidRDefault="0031675F" w:rsidP="0031675F">
      <w:pPr>
        <w:spacing w:after="120"/>
        <w:rPr>
          <w:rFonts w:cs="Arial"/>
        </w:rPr>
      </w:pPr>
      <w:r w:rsidRPr="00E37A70">
        <w:rPr>
          <w:rFonts w:cs="Arial"/>
          <w:spacing w:val="-1"/>
        </w:rPr>
        <w:t>Where:</w:t>
      </w:r>
    </w:p>
    <w:p w14:paraId="201A7650" w14:textId="77777777" w:rsidR="0031675F" w:rsidRPr="00E37A70" w:rsidRDefault="0031675F" w:rsidP="0031675F">
      <w:pPr>
        <w:spacing w:before="56"/>
        <w:ind w:left="13"/>
        <w:rPr>
          <w:rFonts w:cs="Arial"/>
        </w:rPr>
      </w:pPr>
      <w:r w:rsidRPr="00E37A70">
        <w:rPr>
          <w:rFonts w:cs="Arial"/>
          <w:spacing w:val="-1"/>
        </w:rPr>
        <w:t>N</w:t>
      </w:r>
      <w:r w:rsidRPr="00E37A70">
        <w:rPr>
          <w:rFonts w:cs="Arial"/>
          <w:spacing w:val="-1"/>
          <w:position w:val="-2"/>
        </w:rPr>
        <w:t>sample</w:t>
      </w:r>
      <w:r w:rsidRPr="00E37A70">
        <w:rPr>
          <w:rFonts w:cs="Arial"/>
          <w:spacing w:val="16"/>
          <w:position w:val="-2"/>
        </w:rPr>
        <w:t xml:space="preserve"> </w:t>
      </w:r>
      <w:r w:rsidRPr="00E37A70">
        <w:rPr>
          <w:rFonts w:cs="Arial"/>
          <w:spacing w:val="-1"/>
        </w:rPr>
        <w:t>=[</w:t>
      </w:r>
      <w:r w:rsidRPr="00E37A70">
        <w:rPr>
          <w:rFonts w:cs="Arial"/>
          <w:spacing w:val="-2"/>
        </w:rPr>
        <w:t xml:space="preserve"> </w:t>
      </w:r>
      <w:r w:rsidRPr="00E37A70">
        <w:rPr>
          <w:rFonts w:cs="Arial"/>
          <w:spacing w:val="-1"/>
        </w:rPr>
        <w:t>(A</w:t>
      </w:r>
      <w:r w:rsidRPr="00E37A70">
        <w:rPr>
          <w:rFonts w:cs="Arial"/>
          <w:spacing w:val="-1"/>
          <w:position w:val="-2"/>
        </w:rPr>
        <w:t>sample</w:t>
      </w:r>
      <w:r w:rsidRPr="00E37A70">
        <w:rPr>
          <w:rFonts w:cs="Arial"/>
          <w:spacing w:val="-2"/>
          <w:position w:val="-2"/>
        </w:rPr>
        <w:t xml:space="preserve"> </w:t>
      </w:r>
      <w:r w:rsidRPr="00E37A70">
        <w:rPr>
          <w:rFonts w:cs="Arial"/>
        </w:rPr>
        <w:t>*</w:t>
      </w:r>
      <w:r w:rsidRPr="00E37A70">
        <w:rPr>
          <w:rFonts w:cs="Arial"/>
          <w:spacing w:val="-2"/>
        </w:rPr>
        <w:t xml:space="preserve"> </w:t>
      </w:r>
      <w:r w:rsidRPr="00E37A70">
        <w:rPr>
          <w:rFonts w:cs="Arial"/>
          <w:spacing w:val="-1"/>
        </w:rPr>
        <w:t>Slope)+intercept]</w:t>
      </w:r>
    </w:p>
    <w:p w14:paraId="6762BBAE" w14:textId="77777777" w:rsidR="0031675F" w:rsidRPr="00E37A70" w:rsidRDefault="0031675F" w:rsidP="0031675F">
      <w:pPr>
        <w:spacing w:line="273" w:lineRule="exact"/>
        <w:ind w:left="13"/>
        <w:rPr>
          <w:rFonts w:cs="Arial"/>
        </w:rPr>
      </w:pPr>
      <w:r w:rsidRPr="00E37A70">
        <w:rPr>
          <w:rFonts w:cs="Arial"/>
          <w:spacing w:val="-1"/>
        </w:rPr>
        <w:t>A</w:t>
      </w:r>
      <w:r w:rsidRPr="00E37A70">
        <w:rPr>
          <w:rFonts w:cs="Arial"/>
          <w:spacing w:val="-1"/>
          <w:position w:val="-2"/>
        </w:rPr>
        <w:t>standard</w:t>
      </w:r>
      <w:r w:rsidRPr="00E37A70">
        <w:rPr>
          <w:rFonts w:cs="Arial"/>
          <w:spacing w:val="16"/>
          <w:position w:val="-2"/>
        </w:rPr>
        <w:t xml:space="preserve"> </w:t>
      </w:r>
      <w:r w:rsidRPr="00E37A70">
        <w:rPr>
          <w:rFonts w:cs="Arial"/>
        </w:rPr>
        <w:t>=</w:t>
      </w:r>
      <w:r w:rsidRPr="00E37A70">
        <w:rPr>
          <w:rFonts w:cs="Arial"/>
          <w:spacing w:val="-1"/>
        </w:rPr>
        <w:t xml:space="preserve"> Area</w:t>
      </w:r>
      <w:r w:rsidRPr="00E37A70">
        <w:rPr>
          <w:rFonts w:cs="Arial"/>
          <w:spacing w:val="-2"/>
        </w:rPr>
        <w:t xml:space="preserve"> </w:t>
      </w:r>
      <w:r w:rsidRPr="00E37A70">
        <w:rPr>
          <w:rFonts w:cs="Arial"/>
          <w:spacing w:val="-1"/>
        </w:rPr>
        <w:t>per</w:t>
      </w:r>
      <w:r w:rsidRPr="00E37A70">
        <w:rPr>
          <w:rFonts w:cs="Arial"/>
          <w:spacing w:val="-3"/>
        </w:rPr>
        <w:t xml:space="preserve"> </w:t>
      </w:r>
      <w:r w:rsidRPr="00E37A70">
        <w:rPr>
          <w:rFonts w:cs="Arial"/>
          <w:spacing w:val="-1"/>
        </w:rPr>
        <w:t>standard</w:t>
      </w:r>
    </w:p>
    <w:p w14:paraId="51C6E723" w14:textId="77777777" w:rsidR="0031675F" w:rsidRPr="00E37A70" w:rsidRDefault="0031675F" w:rsidP="0031675F">
      <w:pPr>
        <w:spacing w:before="2" w:after="120" w:line="232" w:lineRule="auto"/>
        <w:ind w:left="13" w:right="4592"/>
        <w:rPr>
          <w:rFonts w:cs="Arial"/>
        </w:rPr>
      </w:pPr>
      <w:r w:rsidRPr="00E37A70">
        <w:rPr>
          <w:rFonts w:cs="Arial"/>
          <w:spacing w:val="-1"/>
        </w:rPr>
        <w:t>N</w:t>
      </w:r>
      <w:r w:rsidRPr="00E37A70">
        <w:rPr>
          <w:rFonts w:cs="Arial"/>
          <w:spacing w:val="-1"/>
          <w:position w:val="-2"/>
        </w:rPr>
        <w:t>std</w:t>
      </w:r>
      <w:r w:rsidRPr="00E37A70">
        <w:rPr>
          <w:rFonts w:cs="Arial"/>
          <w:spacing w:val="17"/>
          <w:position w:val="-2"/>
        </w:rPr>
        <w:t xml:space="preserve"> </w:t>
      </w:r>
      <w:r w:rsidRPr="00E37A70">
        <w:rPr>
          <w:rFonts w:cs="Arial"/>
        </w:rPr>
        <w:t xml:space="preserve">= </w:t>
      </w:r>
      <w:r w:rsidRPr="00E37A70">
        <w:rPr>
          <w:rFonts w:cs="Arial"/>
          <w:spacing w:val="-1"/>
        </w:rPr>
        <w:t>Amount</w:t>
      </w:r>
      <w:r w:rsidRPr="00E37A70">
        <w:rPr>
          <w:rFonts w:cs="Arial"/>
          <w:spacing w:val="-3"/>
        </w:rPr>
        <w:t xml:space="preserve"> </w:t>
      </w:r>
      <w:r w:rsidRPr="00E37A70">
        <w:rPr>
          <w:rFonts w:cs="Arial"/>
        </w:rPr>
        <w:t>of</w:t>
      </w:r>
      <w:r w:rsidRPr="00E37A70">
        <w:rPr>
          <w:rFonts w:cs="Arial"/>
          <w:spacing w:val="-3"/>
        </w:rPr>
        <w:t xml:space="preserve"> </w:t>
      </w:r>
      <w:r w:rsidRPr="00E37A70">
        <w:rPr>
          <w:rFonts w:cs="Arial"/>
          <w:spacing w:val="-1"/>
        </w:rPr>
        <w:t>Nitrogen</w:t>
      </w:r>
      <w:r w:rsidRPr="00E37A70">
        <w:rPr>
          <w:rFonts w:cs="Arial"/>
          <w:spacing w:val="-3"/>
        </w:rPr>
        <w:t xml:space="preserve"> </w:t>
      </w:r>
      <w:r w:rsidRPr="00E37A70">
        <w:rPr>
          <w:rFonts w:cs="Arial"/>
          <w:spacing w:val="-1"/>
        </w:rPr>
        <w:t>(µg)</w:t>
      </w:r>
      <w:r w:rsidRPr="00E37A70">
        <w:rPr>
          <w:rFonts w:cs="Arial"/>
        </w:rPr>
        <w:t xml:space="preserve"> in</w:t>
      </w:r>
      <w:r w:rsidRPr="00E37A70">
        <w:rPr>
          <w:rFonts w:cs="Arial"/>
          <w:spacing w:val="-2"/>
        </w:rPr>
        <w:t xml:space="preserve"> </w:t>
      </w:r>
      <w:r w:rsidRPr="00E37A70">
        <w:rPr>
          <w:rFonts w:cs="Arial"/>
          <w:spacing w:val="-1"/>
        </w:rPr>
        <w:t>standard</w:t>
      </w:r>
      <w:r w:rsidRPr="00E37A70">
        <w:rPr>
          <w:rFonts w:cs="Arial"/>
          <w:spacing w:val="33"/>
        </w:rPr>
        <w:t xml:space="preserve"> </w:t>
      </w:r>
      <w:r w:rsidRPr="00E37A70">
        <w:rPr>
          <w:rFonts w:cs="Arial"/>
          <w:spacing w:val="-1"/>
        </w:rPr>
        <w:t>A</w:t>
      </w:r>
      <w:r w:rsidRPr="00E37A70">
        <w:rPr>
          <w:rFonts w:cs="Arial"/>
          <w:spacing w:val="-1"/>
          <w:position w:val="-2"/>
        </w:rPr>
        <w:t>sample</w:t>
      </w:r>
      <w:r w:rsidRPr="00E37A70">
        <w:rPr>
          <w:rFonts w:cs="Arial"/>
          <w:spacing w:val="17"/>
          <w:position w:val="-2"/>
        </w:rPr>
        <w:t xml:space="preserve"> </w:t>
      </w:r>
      <w:r w:rsidRPr="00E37A70">
        <w:rPr>
          <w:rFonts w:cs="Arial"/>
        </w:rPr>
        <w:t xml:space="preserve">= </w:t>
      </w:r>
      <w:r w:rsidRPr="00E37A70">
        <w:rPr>
          <w:rFonts w:cs="Arial"/>
          <w:spacing w:val="-1"/>
        </w:rPr>
        <w:t>Area per sample filter</w:t>
      </w:r>
    </w:p>
    <w:p w14:paraId="569E1D41" w14:textId="77777777" w:rsidR="0031675F" w:rsidRPr="00E37A70" w:rsidRDefault="0031675F" w:rsidP="0031675F">
      <w:pPr>
        <w:spacing w:after="120" w:line="267" w:lineRule="exact"/>
        <w:ind w:left="13"/>
        <w:rPr>
          <w:rFonts w:cs="Arial"/>
        </w:rPr>
      </w:pPr>
      <w:r w:rsidRPr="00E37A70">
        <w:rPr>
          <w:rFonts w:cs="Arial"/>
          <w:spacing w:val="-1"/>
        </w:rPr>
        <w:t>N</w:t>
      </w:r>
      <w:r w:rsidRPr="00E37A70">
        <w:rPr>
          <w:rFonts w:cs="Arial"/>
          <w:spacing w:val="-1"/>
          <w:position w:val="-2"/>
        </w:rPr>
        <w:t>sample</w:t>
      </w:r>
      <w:r w:rsidRPr="00E37A70">
        <w:rPr>
          <w:rFonts w:cs="Arial"/>
          <w:spacing w:val="18"/>
          <w:position w:val="-2"/>
        </w:rPr>
        <w:t xml:space="preserve"> </w:t>
      </w:r>
      <w:r w:rsidRPr="00E37A70">
        <w:rPr>
          <w:rFonts w:cs="Arial"/>
        </w:rPr>
        <w:t>=</w:t>
      </w:r>
      <w:r w:rsidRPr="00E37A70">
        <w:rPr>
          <w:rFonts w:cs="Arial"/>
          <w:spacing w:val="-1"/>
        </w:rPr>
        <w:t xml:space="preserve"> Amount</w:t>
      </w:r>
      <w:r w:rsidRPr="00E37A70">
        <w:rPr>
          <w:rFonts w:cs="Arial"/>
          <w:spacing w:val="-2"/>
        </w:rPr>
        <w:t xml:space="preserve"> </w:t>
      </w:r>
      <w:r w:rsidRPr="00E37A70">
        <w:rPr>
          <w:rFonts w:cs="Arial"/>
        </w:rPr>
        <w:t>of</w:t>
      </w:r>
      <w:r w:rsidRPr="00E37A70">
        <w:rPr>
          <w:rFonts w:cs="Arial"/>
          <w:spacing w:val="-1"/>
        </w:rPr>
        <w:t xml:space="preserve"> Nitrogen</w:t>
      </w:r>
      <w:r w:rsidRPr="00E37A70">
        <w:rPr>
          <w:rFonts w:cs="Arial"/>
          <w:spacing w:val="-3"/>
        </w:rPr>
        <w:t xml:space="preserve"> </w:t>
      </w:r>
      <w:r w:rsidRPr="00E37A70">
        <w:rPr>
          <w:rFonts w:cs="Arial"/>
          <w:spacing w:val="-1"/>
        </w:rPr>
        <w:t>(µg)</w:t>
      </w:r>
      <w:r w:rsidRPr="00E37A70">
        <w:rPr>
          <w:rFonts w:cs="Arial"/>
          <w:spacing w:val="-3"/>
        </w:rPr>
        <w:t xml:space="preserve"> </w:t>
      </w:r>
      <w:r w:rsidRPr="00E37A70">
        <w:rPr>
          <w:rFonts w:cs="Arial"/>
        </w:rPr>
        <w:t>on</w:t>
      </w:r>
      <w:r w:rsidRPr="00E37A70">
        <w:rPr>
          <w:rFonts w:cs="Arial"/>
          <w:spacing w:val="-1"/>
        </w:rPr>
        <w:t xml:space="preserve"> sample filter</w:t>
      </w:r>
    </w:p>
    <w:p w14:paraId="0AD523E7" w14:textId="77777777" w:rsidR="0031675F" w:rsidRPr="00E37A70" w:rsidRDefault="0031675F" w:rsidP="0031675F">
      <w:pPr>
        <w:spacing w:after="120" w:line="264" w:lineRule="exact"/>
        <w:ind w:left="13"/>
        <w:rPr>
          <w:rFonts w:cs="Arial"/>
        </w:rPr>
      </w:pPr>
      <w:r w:rsidRPr="00E37A70">
        <w:rPr>
          <w:rFonts w:cs="Arial"/>
          <w:spacing w:val="-1"/>
        </w:rPr>
        <w:t>Slope</w:t>
      </w:r>
      <w:r w:rsidRPr="00E37A70">
        <w:rPr>
          <w:rFonts w:cs="Arial"/>
        </w:rPr>
        <w:t xml:space="preserve"> =</w:t>
      </w:r>
      <w:r w:rsidRPr="00E37A70">
        <w:rPr>
          <w:rFonts w:cs="Arial"/>
          <w:spacing w:val="-2"/>
        </w:rPr>
        <w:t xml:space="preserve"> </w:t>
      </w:r>
      <w:r w:rsidRPr="00E37A70">
        <w:rPr>
          <w:rFonts w:cs="Arial"/>
          <w:spacing w:val="-1"/>
        </w:rPr>
        <w:t>Slope</w:t>
      </w:r>
      <w:r w:rsidRPr="00E37A70">
        <w:rPr>
          <w:rFonts w:cs="Arial"/>
          <w:spacing w:val="-2"/>
        </w:rPr>
        <w:t xml:space="preserve"> </w:t>
      </w:r>
      <w:r w:rsidRPr="00E37A70">
        <w:rPr>
          <w:rFonts w:cs="Arial"/>
        </w:rPr>
        <w:t>of</w:t>
      </w:r>
      <w:r w:rsidRPr="00E37A70">
        <w:rPr>
          <w:rFonts w:cs="Arial"/>
          <w:spacing w:val="-3"/>
        </w:rPr>
        <w:t xml:space="preserve"> </w:t>
      </w:r>
      <w:r w:rsidRPr="00E37A70">
        <w:rPr>
          <w:rFonts w:cs="Arial"/>
          <w:spacing w:val="-1"/>
        </w:rPr>
        <w:t>line</w:t>
      </w:r>
      <w:r w:rsidRPr="00E37A70">
        <w:rPr>
          <w:rFonts w:cs="Arial"/>
          <w:spacing w:val="-2"/>
        </w:rPr>
        <w:t xml:space="preserve"> </w:t>
      </w:r>
      <w:r w:rsidRPr="00E37A70">
        <w:rPr>
          <w:rFonts w:cs="Arial"/>
        </w:rPr>
        <w:t xml:space="preserve">of </w:t>
      </w:r>
      <w:r w:rsidRPr="00E37A70">
        <w:rPr>
          <w:rFonts w:cs="Arial"/>
          <w:spacing w:val="-2"/>
        </w:rPr>
        <w:t>best</w:t>
      </w:r>
      <w:r w:rsidRPr="00E37A70">
        <w:rPr>
          <w:rFonts w:cs="Arial"/>
        </w:rPr>
        <w:t xml:space="preserve"> </w:t>
      </w:r>
      <w:r w:rsidRPr="00E37A70">
        <w:rPr>
          <w:rFonts w:cs="Arial"/>
          <w:spacing w:val="-1"/>
        </w:rPr>
        <w:t>fit</w:t>
      </w:r>
      <w:r w:rsidRPr="00E37A70">
        <w:rPr>
          <w:rFonts w:cs="Arial"/>
        </w:rPr>
        <w:t xml:space="preserve"> </w:t>
      </w:r>
      <w:r w:rsidRPr="00E37A70">
        <w:rPr>
          <w:rFonts w:cs="Arial"/>
          <w:spacing w:val="-1"/>
        </w:rPr>
        <w:t>for</w:t>
      </w:r>
      <w:r w:rsidRPr="00E37A70">
        <w:rPr>
          <w:rFonts w:cs="Arial"/>
        </w:rPr>
        <w:t xml:space="preserve"> </w:t>
      </w:r>
      <w:r w:rsidRPr="00E37A70">
        <w:rPr>
          <w:rFonts w:cs="Arial"/>
          <w:spacing w:val="-1"/>
        </w:rPr>
        <w:t>graph A</w:t>
      </w:r>
      <w:r w:rsidRPr="00E37A70">
        <w:rPr>
          <w:rFonts w:cs="Arial"/>
          <w:spacing w:val="-1"/>
          <w:position w:val="-2"/>
        </w:rPr>
        <w:t>standard</w:t>
      </w:r>
      <w:r w:rsidRPr="00E37A70">
        <w:rPr>
          <w:rFonts w:cs="Arial"/>
          <w:spacing w:val="-1"/>
        </w:rPr>
        <w:t xml:space="preserve"> </w:t>
      </w:r>
      <w:r w:rsidRPr="00E37A70">
        <w:rPr>
          <w:rFonts w:cs="Arial"/>
        </w:rPr>
        <w:t>vs</w:t>
      </w:r>
      <w:r w:rsidRPr="00E37A70">
        <w:rPr>
          <w:rFonts w:cs="Arial"/>
          <w:spacing w:val="-2"/>
        </w:rPr>
        <w:t xml:space="preserve"> </w:t>
      </w:r>
      <w:r w:rsidRPr="00E37A70">
        <w:rPr>
          <w:rFonts w:cs="Arial"/>
          <w:spacing w:val="-1"/>
        </w:rPr>
        <w:t>N</w:t>
      </w:r>
      <w:r w:rsidRPr="00E37A70">
        <w:rPr>
          <w:rFonts w:cs="Arial"/>
          <w:spacing w:val="-1"/>
          <w:position w:val="-2"/>
        </w:rPr>
        <w:t>std</w:t>
      </w:r>
    </w:p>
    <w:p w14:paraId="2DCF0DDD" w14:textId="77777777" w:rsidR="0031675F" w:rsidRPr="00E37A70" w:rsidRDefault="0031675F" w:rsidP="0031675F">
      <w:pPr>
        <w:spacing w:before="56" w:after="120"/>
        <w:rPr>
          <w:rFonts w:cs="Arial"/>
        </w:rPr>
      </w:pPr>
      <w:r w:rsidRPr="00E37A70">
        <w:rPr>
          <w:rFonts w:cs="Arial"/>
          <w:spacing w:val="-1"/>
        </w:rPr>
        <w:t>Then</w:t>
      </w:r>
      <w:r w:rsidRPr="00E37A70">
        <w:rPr>
          <w:rFonts w:cs="Arial"/>
        </w:rPr>
        <w:t xml:space="preserve"> </w:t>
      </w:r>
      <w:r w:rsidRPr="00E37A70">
        <w:rPr>
          <w:rFonts w:cs="Arial"/>
          <w:spacing w:val="-1"/>
        </w:rPr>
        <w:t>calculate</w:t>
      </w:r>
      <w:r w:rsidRPr="00E37A70">
        <w:rPr>
          <w:rFonts w:cs="Arial"/>
        </w:rPr>
        <w:t xml:space="preserve"> </w:t>
      </w:r>
      <w:r w:rsidRPr="00E37A70">
        <w:rPr>
          <w:rFonts w:cs="Arial"/>
          <w:spacing w:val="-1"/>
        </w:rPr>
        <w:t>the</w:t>
      </w:r>
      <w:r w:rsidRPr="00E37A70">
        <w:rPr>
          <w:rFonts w:cs="Arial"/>
        </w:rPr>
        <w:t xml:space="preserve"> </w:t>
      </w:r>
      <w:r w:rsidRPr="00E37A70">
        <w:rPr>
          <w:rFonts w:cs="Arial"/>
          <w:spacing w:val="-1"/>
        </w:rPr>
        <w:t>amount</w:t>
      </w:r>
      <w:r w:rsidRPr="00E37A70">
        <w:rPr>
          <w:rFonts w:cs="Arial"/>
          <w:spacing w:val="-4"/>
        </w:rPr>
        <w:t xml:space="preserve"> </w:t>
      </w:r>
      <w:r w:rsidRPr="00E37A70">
        <w:rPr>
          <w:rFonts w:cs="Arial"/>
        </w:rPr>
        <w:t xml:space="preserve">of </w:t>
      </w:r>
      <w:r w:rsidRPr="00E37A70">
        <w:rPr>
          <w:rFonts w:cs="Arial"/>
          <w:spacing w:val="-1"/>
        </w:rPr>
        <w:t xml:space="preserve">Nitrogen </w:t>
      </w:r>
      <w:r w:rsidRPr="00E37A70">
        <w:rPr>
          <w:rFonts w:cs="Arial"/>
        </w:rPr>
        <w:t xml:space="preserve">in </w:t>
      </w:r>
      <w:r w:rsidRPr="00E37A70">
        <w:rPr>
          <w:rFonts w:cs="Arial"/>
          <w:spacing w:val="-1"/>
        </w:rPr>
        <w:t>the</w:t>
      </w:r>
      <w:r w:rsidRPr="00E37A70">
        <w:rPr>
          <w:rFonts w:cs="Arial"/>
        </w:rPr>
        <w:t xml:space="preserve"> </w:t>
      </w:r>
      <w:r w:rsidRPr="00E37A70">
        <w:rPr>
          <w:rFonts w:cs="Arial"/>
          <w:spacing w:val="-1"/>
        </w:rPr>
        <w:t>wet</w:t>
      </w:r>
      <w:r w:rsidRPr="00E37A70">
        <w:rPr>
          <w:rFonts w:cs="Arial"/>
        </w:rPr>
        <w:t xml:space="preserve"> </w:t>
      </w:r>
      <w:r w:rsidRPr="00E37A70">
        <w:rPr>
          <w:rFonts w:cs="Arial"/>
          <w:spacing w:val="-1"/>
        </w:rPr>
        <w:t>filter</w:t>
      </w:r>
      <w:r w:rsidRPr="00E37A70">
        <w:rPr>
          <w:rFonts w:cs="Arial"/>
        </w:rPr>
        <w:t xml:space="preserve"> </w:t>
      </w:r>
      <w:r w:rsidRPr="00E37A70">
        <w:rPr>
          <w:rFonts w:cs="Arial"/>
          <w:spacing w:val="-1"/>
        </w:rPr>
        <w:t>(procedural)</w:t>
      </w:r>
      <w:r w:rsidRPr="00E37A70">
        <w:rPr>
          <w:rFonts w:cs="Arial"/>
        </w:rPr>
        <w:t xml:space="preserve"> </w:t>
      </w:r>
      <w:r w:rsidRPr="00E37A70">
        <w:rPr>
          <w:rFonts w:cs="Arial"/>
          <w:spacing w:val="-1"/>
        </w:rPr>
        <w:t>blank</w:t>
      </w:r>
    </w:p>
    <w:p w14:paraId="5503E731" w14:textId="77777777" w:rsidR="0031675F" w:rsidRPr="00E37A70" w:rsidRDefault="0031675F" w:rsidP="0031675F">
      <w:pPr>
        <w:spacing w:after="120"/>
        <w:rPr>
          <w:rFonts w:cs="Arial"/>
        </w:rPr>
      </w:pPr>
      <w:r w:rsidRPr="00E37A70">
        <w:rPr>
          <w:rFonts w:cs="Arial"/>
          <w:spacing w:val="-1"/>
        </w:rPr>
        <w:t>Where:</w:t>
      </w:r>
    </w:p>
    <w:p w14:paraId="6DBDF5D5" w14:textId="77777777" w:rsidR="0031675F" w:rsidRPr="00E37A70" w:rsidRDefault="0031675F" w:rsidP="0031675F">
      <w:pPr>
        <w:ind w:left="13"/>
        <w:rPr>
          <w:rFonts w:cs="Arial"/>
        </w:rPr>
      </w:pPr>
      <w:r w:rsidRPr="00E37A70">
        <w:rPr>
          <w:rFonts w:cs="Arial"/>
          <w:spacing w:val="-1"/>
        </w:rPr>
        <w:t>N</w:t>
      </w:r>
      <w:r w:rsidRPr="00E37A70">
        <w:rPr>
          <w:rFonts w:cs="Arial"/>
          <w:spacing w:val="-1"/>
          <w:position w:val="-2"/>
        </w:rPr>
        <w:t>blank</w:t>
      </w:r>
      <w:r w:rsidRPr="00E37A70">
        <w:rPr>
          <w:rFonts w:cs="Arial"/>
          <w:spacing w:val="15"/>
          <w:position w:val="-2"/>
        </w:rPr>
        <w:t xml:space="preserve"> </w:t>
      </w:r>
      <w:r w:rsidRPr="00E37A70">
        <w:rPr>
          <w:rFonts w:cs="Arial"/>
          <w:spacing w:val="-1"/>
        </w:rPr>
        <w:t>=[ (A</w:t>
      </w:r>
      <w:r w:rsidRPr="00E37A70">
        <w:rPr>
          <w:rFonts w:cs="Arial"/>
          <w:spacing w:val="-1"/>
          <w:position w:val="-2"/>
        </w:rPr>
        <w:t>blank</w:t>
      </w:r>
      <w:r w:rsidRPr="00E37A70">
        <w:rPr>
          <w:rFonts w:cs="Arial"/>
          <w:spacing w:val="-3"/>
          <w:position w:val="-2"/>
        </w:rPr>
        <w:t xml:space="preserve"> </w:t>
      </w:r>
      <w:r w:rsidRPr="00E37A70">
        <w:rPr>
          <w:rFonts w:cs="Arial"/>
        </w:rPr>
        <w:t>*</w:t>
      </w:r>
      <w:r w:rsidRPr="00E37A70">
        <w:rPr>
          <w:rFonts w:cs="Arial"/>
          <w:spacing w:val="-2"/>
        </w:rPr>
        <w:t xml:space="preserve"> </w:t>
      </w:r>
      <w:r w:rsidRPr="00E37A70">
        <w:rPr>
          <w:rFonts w:cs="Arial"/>
          <w:spacing w:val="-1"/>
        </w:rPr>
        <w:t>Slope)+intercept]</w:t>
      </w:r>
    </w:p>
    <w:p w14:paraId="53D955DD" w14:textId="77777777" w:rsidR="0031675F" w:rsidRPr="00E37A70" w:rsidRDefault="0031675F" w:rsidP="0031675F">
      <w:pPr>
        <w:spacing w:after="120" w:line="266" w:lineRule="exact"/>
        <w:ind w:left="13" w:right="3721"/>
        <w:rPr>
          <w:rFonts w:cs="Arial"/>
        </w:rPr>
      </w:pPr>
      <w:r w:rsidRPr="00E37A70">
        <w:rPr>
          <w:rFonts w:cs="Arial"/>
          <w:spacing w:val="-1"/>
        </w:rPr>
        <w:t>N</w:t>
      </w:r>
      <w:r w:rsidRPr="00E37A70">
        <w:rPr>
          <w:rFonts w:cs="Arial"/>
          <w:spacing w:val="-1"/>
          <w:position w:val="-2"/>
        </w:rPr>
        <w:t>blank</w:t>
      </w:r>
      <w:r w:rsidRPr="00E37A70">
        <w:rPr>
          <w:rFonts w:cs="Arial"/>
          <w:spacing w:val="17"/>
          <w:position w:val="-2"/>
        </w:rPr>
        <w:t xml:space="preserve"> </w:t>
      </w:r>
      <w:r w:rsidRPr="00E37A70">
        <w:rPr>
          <w:rFonts w:cs="Arial"/>
        </w:rPr>
        <w:t>=</w:t>
      </w:r>
      <w:r w:rsidRPr="00E37A70">
        <w:rPr>
          <w:rFonts w:cs="Arial"/>
          <w:spacing w:val="-1"/>
        </w:rPr>
        <w:t xml:space="preserve"> Amount</w:t>
      </w:r>
      <w:r w:rsidRPr="00E37A70">
        <w:rPr>
          <w:rFonts w:cs="Arial"/>
          <w:spacing w:val="-2"/>
        </w:rPr>
        <w:t xml:space="preserve"> </w:t>
      </w:r>
      <w:r w:rsidRPr="00E37A70">
        <w:rPr>
          <w:rFonts w:cs="Arial"/>
        </w:rPr>
        <w:t>of</w:t>
      </w:r>
      <w:r w:rsidRPr="00E37A70">
        <w:rPr>
          <w:rFonts w:cs="Arial"/>
          <w:spacing w:val="-2"/>
        </w:rPr>
        <w:t xml:space="preserve"> </w:t>
      </w:r>
      <w:r w:rsidRPr="00E37A70">
        <w:rPr>
          <w:rFonts w:cs="Arial"/>
          <w:spacing w:val="-1"/>
        </w:rPr>
        <w:t>Nitrogen</w:t>
      </w:r>
      <w:r w:rsidRPr="00E37A70">
        <w:rPr>
          <w:rFonts w:cs="Arial"/>
          <w:spacing w:val="-2"/>
        </w:rPr>
        <w:t xml:space="preserve"> </w:t>
      </w:r>
      <w:r w:rsidRPr="00E37A70">
        <w:rPr>
          <w:rFonts w:cs="Arial"/>
          <w:spacing w:val="-1"/>
        </w:rPr>
        <w:t>(µg)</w:t>
      </w:r>
      <w:r w:rsidRPr="00E37A70">
        <w:rPr>
          <w:rFonts w:cs="Arial"/>
          <w:spacing w:val="-2"/>
        </w:rPr>
        <w:t xml:space="preserve"> </w:t>
      </w:r>
      <w:r w:rsidRPr="00E37A70">
        <w:rPr>
          <w:rFonts w:cs="Arial"/>
        </w:rPr>
        <w:t>on</w:t>
      </w:r>
      <w:r w:rsidRPr="00E37A70">
        <w:rPr>
          <w:rFonts w:cs="Arial"/>
          <w:spacing w:val="-1"/>
        </w:rPr>
        <w:t xml:space="preserve"> wet filter</w:t>
      </w:r>
      <w:r w:rsidRPr="00E37A70">
        <w:rPr>
          <w:rFonts w:cs="Arial"/>
        </w:rPr>
        <w:t xml:space="preserve"> </w:t>
      </w:r>
      <w:r w:rsidRPr="00E37A70">
        <w:rPr>
          <w:rFonts w:cs="Arial"/>
          <w:spacing w:val="-1"/>
        </w:rPr>
        <w:t>blank</w:t>
      </w:r>
      <w:r w:rsidRPr="00E37A70">
        <w:rPr>
          <w:rFonts w:cs="Arial"/>
          <w:spacing w:val="31"/>
        </w:rPr>
        <w:t xml:space="preserve"> </w:t>
      </w:r>
      <w:r w:rsidRPr="00E37A70">
        <w:rPr>
          <w:rFonts w:cs="Arial"/>
          <w:spacing w:val="-1"/>
        </w:rPr>
        <w:t>A</w:t>
      </w:r>
      <w:r w:rsidRPr="00E37A70">
        <w:rPr>
          <w:rFonts w:cs="Arial"/>
          <w:spacing w:val="-1"/>
          <w:position w:val="-2"/>
        </w:rPr>
        <w:t>blank</w:t>
      </w:r>
      <w:r w:rsidRPr="00E37A70">
        <w:rPr>
          <w:rFonts w:cs="Arial"/>
          <w:spacing w:val="17"/>
          <w:position w:val="-2"/>
        </w:rPr>
        <w:t xml:space="preserve"> </w:t>
      </w:r>
      <w:r w:rsidRPr="00E37A70">
        <w:rPr>
          <w:rFonts w:cs="Arial"/>
        </w:rPr>
        <w:t>=</w:t>
      </w:r>
      <w:r w:rsidRPr="00E37A70">
        <w:rPr>
          <w:rFonts w:cs="Arial"/>
          <w:spacing w:val="-1"/>
        </w:rPr>
        <w:t xml:space="preserve"> Area</w:t>
      </w:r>
      <w:r w:rsidRPr="00E37A70">
        <w:rPr>
          <w:rFonts w:cs="Arial"/>
        </w:rPr>
        <w:t xml:space="preserve"> </w:t>
      </w:r>
      <w:r w:rsidRPr="00E37A70">
        <w:rPr>
          <w:rFonts w:cs="Arial"/>
          <w:spacing w:val="-1"/>
        </w:rPr>
        <w:t>per wet</w:t>
      </w:r>
      <w:r w:rsidRPr="00E37A70">
        <w:rPr>
          <w:rFonts w:cs="Arial"/>
        </w:rPr>
        <w:t xml:space="preserve"> </w:t>
      </w:r>
      <w:r w:rsidRPr="00E37A70">
        <w:rPr>
          <w:rFonts w:cs="Arial"/>
          <w:spacing w:val="-1"/>
        </w:rPr>
        <w:t>filter blank</w:t>
      </w:r>
    </w:p>
    <w:p w14:paraId="53BFE6AF" w14:textId="77777777" w:rsidR="0031675F" w:rsidRPr="00E37A70" w:rsidRDefault="0031675F" w:rsidP="0031675F">
      <w:pPr>
        <w:spacing w:before="56" w:after="120"/>
        <w:ind w:right="651"/>
        <w:rPr>
          <w:rFonts w:cs="Arial"/>
        </w:rPr>
      </w:pPr>
      <w:r w:rsidRPr="00E37A70">
        <w:rPr>
          <w:rFonts w:cs="Arial"/>
          <w:spacing w:val="-1"/>
        </w:rPr>
        <w:t>The</w:t>
      </w:r>
      <w:r w:rsidRPr="00E37A70">
        <w:rPr>
          <w:rFonts w:cs="Arial"/>
          <w:spacing w:val="5"/>
        </w:rPr>
        <w:t xml:space="preserve"> </w:t>
      </w:r>
      <w:r w:rsidRPr="00E37A70">
        <w:rPr>
          <w:rFonts w:cs="Arial"/>
          <w:spacing w:val="-1"/>
        </w:rPr>
        <w:t>concentration</w:t>
      </w:r>
      <w:r w:rsidRPr="00E37A70">
        <w:rPr>
          <w:rFonts w:cs="Arial"/>
          <w:spacing w:val="2"/>
        </w:rPr>
        <w:t xml:space="preserve"> </w:t>
      </w:r>
      <w:r w:rsidRPr="00E37A70">
        <w:rPr>
          <w:rFonts w:cs="Arial"/>
        </w:rPr>
        <w:t>of</w:t>
      </w:r>
      <w:r w:rsidRPr="00E37A70">
        <w:rPr>
          <w:rFonts w:cs="Arial"/>
          <w:spacing w:val="2"/>
        </w:rPr>
        <w:t xml:space="preserve"> </w:t>
      </w:r>
      <w:r w:rsidRPr="00E37A70">
        <w:rPr>
          <w:rFonts w:cs="Arial"/>
          <w:spacing w:val="-1"/>
        </w:rPr>
        <w:t>particulate</w:t>
      </w:r>
      <w:r w:rsidRPr="00E37A70">
        <w:rPr>
          <w:rFonts w:cs="Arial"/>
          <w:spacing w:val="5"/>
        </w:rPr>
        <w:t xml:space="preserve"> </w:t>
      </w:r>
      <w:r w:rsidRPr="00E37A70">
        <w:rPr>
          <w:rFonts w:cs="Arial"/>
          <w:spacing w:val="-1"/>
        </w:rPr>
        <w:t>carbon</w:t>
      </w:r>
      <w:r w:rsidRPr="00E37A70">
        <w:rPr>
          <w:rFonts w:cs="Arial"/>
          <w:spacing w:val="4"/>
        </w:rPr>
        <w:t xml:space="preserve"> </w:t>
      </w:r>
      <w:r w:rsidRPr="00E37A70">
        <w:rPr>
          <w:rFonts w:cs="Arial"/>
        </w:rPr>
        <w:t>in</w:t>
      </w:r>
      <w:r w:rsidRPr="00E37A70">
        <w:rPr>
          <w:rFonts w:cs="Arial"/>
          <w:spacing w:val="1"/>
        </w:rPr>
        <w:t xml:space="preserve"> </w:t>
      </w:r>
      <w:r w:rsidRPr="00E37A70">
        <w:rPr>
          <w:rFonts w:cs="Arial"/>
        </w:rPr>
        <w:t>the</w:t>
      </w:r>
      <w:r w:rsidRPr="00E37A70">
        <w:rPr>
          <w:rFonts w:cs="Arial"/>
          <w:spacing w:val="3"/>
        </w:rPr>
        <w:t xml:space="preserve"> </w:t>
      </w:r>
      <w:r w:rsidRPr="00E37A70">
        <w:rPr>
          <w:rFonts w:cs="Arial"/>
          <w:spacing w:val="-1"/>
        </w:rPr>
        <w:t>original</w:t>
      </w:r>
      <w:r w:rsidRPr="00E37A70">
        <w:rPr>
          <w:rFonts w:cs="Arial"/>
          <w:spacing w:val="2"/>
        </w:rPr>
        <w:t xml:space="preserve"> </w:t>
      </w:r>
      <w:r w:rsidRPr="00E37A70">
        <w:rPr>
          <w:rFonts w:cs="Arial"/>
          <w:spacing w:val="-1"/>
        </w:rPr>
        <w:t>seawater</w:t>
      </w:r>
      <w:r w:rsidRPr="00E37A70">
        <w:rPr>
          <w:rFonts w:cs="Arial"/>
          <w:spacing w:val="3"/>
        </w:rPr>
        <w:t xml:space="preserve"> </w:t>
      </w:r>
      <w:r w:rsidRPr="00E37A70">
        <w:rPr>
          <w:rFonts w:cs="Arial"/>
          <w:spacing w:val="-1"/>
        </w:rPr>
        <w:t>sample</w:t>
      </w:r>
      <w:r w:rsidRPr="00E37A70">
        <w:rPr>
          <w:rFonts w:cs="Arial"/>
          <w:spacing w:val="2"/>
        </w:rPr>
        <w:t xml:space="preserve"> </w:t>
      </w:r>
      <w:r w:rsidRPr="00E37A70">
        <w:rPr>
          <w:rFonts w:cs="Arial"/>
        </w:rPr>
        <w:t>can</w:t>
      </w:r>
      <w:r w:rsidRPr="00E37A70">
        <w:rPr>
          <w:rFonts w:cs="Arial"/>
          <w:spacing w:val="4"/>
        </w:rPr>
        <w:t xml:space="preserve"> </w:t>
      </w:r>
      <w:r w:rsidRPr="00E37A70">
        <w:rPr>
          <w:rFonts w:cs="Arial"/>
        </w:rPr>
        <w:t>then</w:t>
      </w:r>
      <w:r w:rsidRPr="00E37A70">
        <w:rPr>
          <w:rFonts w:cs="Arial"/>
          <w:spacing w:val="2"/>
        </w:rPr>
        <w:t xml:space="preserve"> </w:t>
      </w:r>
      <w:r w:rsidRPr="00E37A70">
        <w:rPr>
          <w:rFonts w:cs="Arial"/>
          <w:spacing w:val="-1"/>
        </w:rPr>
        <w:t>be</w:t>
      </w:r>
      <w:r w:rsidRPr="00E37A70">
        <w:rPr>
          <w:rFonts w:cs="Arial"/>
          <w:spacing w:val="5"/>
        </w:rPr>
        <w:t xml:space="preserve"> </w:t>
      </w:r>
      <w:r w:rsidRPr="00E37A70">
        <w:rPr>
          <w:rFonts w:cs="Arial"/>
          <w:spacing w:val="-1"/>
        </w:rPr>
        <w:t>calculated</w:t>
      </w:r>
      <w:r w:rsidRPr="00E37A70">
        <w:rPr>
          <w:rFonts w:cs="Arial"/>
          <w:spacing w:val="71"/>
        </w:rPr>
        <w:t xml:space="preserve"> </w:t>
      </w:r>
      <w:r w:rsidRPr="00E37A70">
        <w:rPr>
          <w:rFonts w:cs="Arial"/>
        </w:rPr>
        <w:t xml:space="preserve">as </w:t>
      </w:r>
      <w:r w:rsidRPr="00E37A70">
        <w:rPr>
          <w:rFonts w:cs="Arial"/>
          <w:spacing w:val="-1"/>
        </w:rPr>
        <w:t>follows:</w:t>
      </w:r>
    </w:p>
    <w:p w14:paraId="516B8535" w14:textId="42C607CB" w:rsidR="0031675F" w:rsidRPr="00E37A70" w:rsidRDefault="0031675F" w:rsidP="0031675F">
      <w:pPr>
        <w:ind w:left="838"/>
        <w:rPr>
          <w:rFonts w:cs="Arial"/>
        </w:rPr>
      </w:pPr>
      <w:r w:rsidRPr="00E37A70">
        <w:rPr>
          <w:rFonts w:cs="Arial"/>
          <w:spacing w:val="-1"/>
          <w:position w:val="3"/>
        </w:rPr>
        <w:t>M</w:t>
      </w:r>
      <w:r w:rsidRPr="00E37A70">
        <w:rPr>
          <w:rFonts w:cs="Arial"/>
          <w:spacing w:val="-1"/>
        </w:rPr>
        <w:t>sample</w:t>
      </w:r>
      <w:r w:rsidRPr="00E37A70">
        <w:rPr>
          <w:rFonts w:cs="Arial"/>
          <w:spacing w:val="16"/>
        </w:rPr>
        <w:t xml:space="preserve"> </w:t>
      </w:r>
      <w:r w:rsidRPr="00E37A70">
        <w:rPr>
          <w:rFonts w:cs="Arial"/>
          <w:position w:val="3"/>
        </w:rPr>
        <w:t xml:space="preserve">= </w:t>
      </w:r>
      <w:r w:rsidRPr="00E37A70">
        <w:rPr>
          <w:rFonts w:cs="Arial"/>
          <w:spacing w:val="-1"/>
          <w:position w:val="3"/>
        </w:rPr>
        <w:t>((N</w:t>
      </w:r>
      <w:r w:rsidRPr="00E37A70">
        <w:rPr>
          <w:rFonts w:cs="Arial"/>
          <w:spacing w:val="-1"/>
        </w:rPr>
        <w:t>sample</w:t>
      </w:r>
      <w:r w:rsidRPr="00E37A70">
        <w:rPr>
          <w:rFonts w:cs="Arial"/>
          <w:spacing w:val="18"/>
        </w:rPr>
        <w:t xml:space="preserve"> </w:t>
      </w:r>
      <w:r w:rsidRPr="00E37A70">
        <w:rPr>
          <w:rFonts w:cs="Arial"/>
          <w:position w:val="3"/>
        </w:rPr>
        <w:t>-</w:t>
      </w:r>
      <w:r w:rsidRPr="00E37A70">
        <w:rPr>
          <w:rFonts w:cs="Arial"/>
          <w:spacing w:val="-2"/>
          <w:position w:val="3"/>
        </w:rPr>
        <w:t xml:space="preserve"> </w:t>
      </w:r>
      <w:r w:rsidRPr="00E37A70">
        <w:rPr>
          <w:rFonts w:cs="Arial"/>
          <w:spacing w:val="-1"/>
          <w:position w:val="3"/>
        </w:rPr>
        <w:t>N</w:t>
      </w:r>
      <w:r w:rsidRPr="00E37A70">
        <w:rPr>
          <w:rFonts w:cs="Arial"/>
          <w:spacing w:val="-1"/>
        </w:rPr>
        <w:t>blank</w:t>
      </w:r>
      <w:r w:rsidRPr="00E37A70">
        <w:rPr>
          <w:rFonts w:cs="Arial"/>
          <w:spacing w:val="16"/>
        </w:rPr>
        <w:t xml:space="preserve"> </w:t>
      </w:r>
      <w:r w:rsidRPr="00E37A70">
        <w:rPr>
          <w:rFonts w:cs="Arial"/>
          <w:spacing w:val="-1"/>
          <w:position w:val="3"/>
        </w:rPr>
        <w:t>)</w:t>
      </w:r>
      <w:r w:rsidR="00660229">
        <w:rPr>
          <w:rFonts w:cs="Arial"/>
          <w:spacing w:val="-1"/>
          <w:position w:val="3"/>
        </w:rPr>
        <w:t xml:space="preserve"> </w:t>
      </w:r>
      <w:r w:rsidRPr="00E37A70">
        <w:rPr>
          <w:rFonts w:cs="Arial"/>
          <w:spacing w:val="-1"/>
          <w:position w:val="3"/>
        </w:rPr>
        <w:t>/ 14)</w:t>
      </w:r>
      <w:r w:rsidRPr="00E37A70">
        <w:rPr>
          <w:rFonts w:cs="Arial"/>
          <w:spacing w:val="46"/>
          <w:position w:val="3"/>
        </w:rPr>
        <w:t xml:space="preserve"> </w:t>
      </w:r>
      <w:r w:rsidRPr="00E37A70">
        <w:rPr>
          <w:rFonts w:cs="Arial"/>
          <w:position w:val="3"/>
        </w:rPr>
        <w:t>/</w:t>
      </w:r>
      <w:r w:rsidRPr="00E37A70">
        <w:rPr>
          <w:rFonts w:cs="Arial"/>
          <w:spacing w:val="-1"/>
          <w:position w:val="3"/>
        </w:rPr>
        <w:t xml:space="preserve"> V</w:t>
      </w:r>
      <w:r w:rsidRPr="00E37A70">
        <w:rPr>
          <w:rFonts w:cs="Arial"/>
          <w:spacing w:val="-1"/>
        </w:rPr>
        <w:t>sample</w:t>
      </w:r>
    </w:p>
    <w:p w14:paraId="1408B79D" w14:textId="77777777" w:rsidR="0031675F" w:rsidRPr="00E37A70" w:rsidRDefault="0031675F" w:rsidP="0031675F">
      <w:pPr>
        <w:spacing w:before="56" w:after="120"/>
        <w:rPr>
          <w:rFonts w:cs="Arial"/>
        </w:rPr>
      </w:pPr>
      <w:r w:rsidRPr="00E37A70">
        <w:rPr>
          <w:rFonts w:cs="Arial"/>
          <w:spacing w:val="-1"/>
        </w:rPr>
        <w:t>Where:</w:t>
      </w:r>
    </w:p>
    <w:p w14:paraId="0D451855" w14:textId="7A05174E" w:rsidR="0031675F" w:rsidRPr="00E37A70" w:rsidRDefault="0031675F" w:rsidP="0031675F">
      <w:pPr>
        <w:spacing w:after="120" w:line="268" w:lineRule="exact"/>
        <w:ind w:left="13" w:right="2035"/>
        <w:rPr>
          <w:rFonts w:cs="Arial"/>
        </w:rPr>
      </w:pPr>
      <w:r w:rsidRPr="00E37A70">
        <w:rPr>
          <w:rFonts w:cs="Arial"/>
          <w:spacing w:val="-1"/>
        </w:rPr>
        <w:t>M</w:t>
      </w:r>
      <w:r w:rsidRPr="00E37A70">
        <w:rPr>
          <w:rFonts w:cs="Arial"/>
          <w:spacing w:val="-1"/>
          <w:position w:val="-2"/>
        </w:rPr>
        <w:t>sample</w:t>
      </w:r>
      <w:r w:rsidRPr="00E37A70">
        <w:rPr>
          <w:rFonts w:cs="Arial"/>
          <w:spacing w:val="18"/>
          <w:position w:val="-2"/>
        </w:rPr>
        <w:t xml:space="preserve"> </w:t>
      </w:r>
      <w:r w:rsidRPr="00E37A70">
        <w:rPr>
          <w:rFonts w:cs="Arial"/>
        </w:rPr>
        <w:t>=</w:t>
      </w:r>
      <w:r w:rsidRPr="00E37A70">
        <w:rPr>
          <w:rFonts w:cs="Arial"/>
          <w:spacing w:val="-1"/>
        </w:rPr>
        <w:t xml:space="preserve"> Concentration</w:t>
      </w:r>
      <w:r w:rsidRPr="00E37A70">
        <w:rPr>
          <w:rFonts w:cs="Arial"/>
          <w:spacing w:val="-3"/>
        </w:rPr>
        <w:t xml:space="preserve"> </w:t>
      </w:r>
      <w:r w:rsidRPr="00E37A70">
        <w:rPr>
          <w:rFonts w:cs="Arial"/>
        </w:rPr>
        <w:t>of</w:t>
      </w:r>
      <w:r w:rsidRPr="00E37A70">
        <w:rPr>
          <w:rFonts w:cs="Arial"/>
          <w:spacing w:val="-6"/>
        </w:rPr>
        <w:t xml:space="preserve"> </w:t>
      </w:r>
      <w:r w:rsidRPr="00E37A70">
        <w:rPr>
          <w:rFonts w:cs="Arial"/>
          <w:spacing w:val="-1"/>
        </w:rPr>
        <w:t xml:space="preserve">Carbon </w:t>
      </w:r>
      <w:r w:rsidRPr="00E37A70">
        <w:rPr>
          <w:rFonts w:cs="Arial"/>
        </w:rPr>
        <w:t>in</w:t>
      </w:r>
      <w:r w:rsidRPr="00E37A70">
        <w:rPr>
          <w:rFonts w:cs="Arial"/>
          <w:spacing w:val="-4"/>
        </w:rPr>
        <w:t xml:space="preserve"> </w:t>
      </w:r>
      <w:r w:rsidRPr="00E37A70">
        <w:rPr>
          <w:rFonts w:cs="Arial"/>
          <w:spacing w:val="-1"/>
        </w:rPr>
        <w:t>original</w:t>
      </w:r>
      <w:r w:rsidRPr="00E37A70">
        <w:rPr>
          <w:rFonts w:cs="Arial"/>
        </w:rPr>
        <w:t xml:space="preserve"> </w:t>
      </w:r>
      <w:r w:rsidRPr="00E37A70">
        <w:rPr>
          <w:rFonts w:cs="Arial"/>
          <w:spacing w:val="-1"/>
        </w:rPr>
        <w:t>seawater</w:t>
      </w:r>
      <w:r w:rsidRPr="00E37A70">
        <w:rPr>
          <w:rFonts w:cs="Arial"/>
          <w:spacing w:val="-2"/>
        </w:rPr>
        <w:t xml:space="preserve"> </w:t>
      </w:r>
      <w:r w:rsidRPr="00E37A70">
        <w:rPr>
          <w:rFonts w:cs="Arial"/>
          <w:spacing w:val="-1"/>
        </w:rPr>
        <w:t>sample</w:t>
      </w:r>
      <w:r w:rsidRPr="00E37A70">
        <w:rPr>
          <w:rFonts w:cs="Arial"/>
          <w:spacing w:val="-4"/>
        </w:rPr>
        <w:t xml:space="preserve"> </w:t>
      </w:r>
      <w:r w:rsidRPr="00E37A70">
        <w:rPr>
          <w:rFonts w:cs="Arial"/>
          <w:spacing w:val="-1"/>
        </w:rPr>
        <w:t>(µ</w:t>
      </w:r>
      <w:r w:rsidRPr="00E37A70">
        <w:rPr>
          <w:rFonts w:cs="Arial"/>
        </w:rPr>
        <w:t>mol</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E37A70">
        <w:rPr>
          <w:rFonts w:cs="Arial"/>
          <w:spacing w:val="-1"/>
        </w:rPr>
        <w:t>)</w:t>
      </w:r>
      <w:r w:rsidRPr="00E37A70">
        <w:rPr>
          <w:rFonts w:cs="Arial"/>
          <w:spacing w:val="57"/>
        </w:rPr>
        <w:t xml:space="preserve"> </w:t>
      </w:r>
      <w:r w:rsidRPr="00E37A70">
        <w:rPr>
          <w:rFonts w:cs="Arial"/>
          <w:spacing w:val="-1"/>
        </w:rPr>
        <w:t>N</w:t>
      </w:r>
      <w:r w:rsidRPr="00E37A70">
        <w:rPr>
          <w:rFonts w:cs="Arial"/>
          <w:spacing w:val="-1"/>
          <w:position w:val="-2"/>
        </w:rPr>
        <w:t>sample</w:t>
      </w:r>
      <w:r w:rsidRPr="00E37A70">
        <w:rPr>
          <w:rFonts w:cs="Arial"/>
          <w:spacing w:val="18"/>
          <w:position w:val="-2"/>
        </w:rPr>
        <w:t xml:space="preserve"> </w:t>
      </w:r>
      <w:r w:rsidRPr="00E37A70">
        <w:rPr>
          <w:rFonts w:cs="Arial"/>
        </w:rPr>
        <w:t>=</w:t>
      </w:r>
      <w:r w:rsidRPr="00E37A70">
        <w:rPr>
          <w:rFonts w:cs="Arial"/>
          <w:spacing w:val="-1"/>
        </w:rPr>
        <w:t xml:space="preserve"> Amount</w:t>
      </w:r>
      <w:r w:rsidRPr="00E37A70">
        <w:rPr>
          <w:rFonts w:cs="Arial"/>
          <w:spacing w:val="-2"/>
        </w:rPr>
        <w:t xml:space="preserve"> </w:t>
      </w:r>
      <w:r w:rsidRPr="00E37A70">
        <w:rPr>
          <w:rFonts w:cs="Arial"/>
        </w:rPr>
        <w:t>of</w:t>
      </w:r>
      <w:r w:rsidRPr="00E37A70">
        <w:rPr>
          <w:rFonts w:cs="Arial"/>
          <w:spacing w:val="-1"/>
        </w:rPr>
        <w:t xml:space="preserve"> Carbon</w:t>
      </w:r>
      <w:r w:rsidRPr="00E37A70">
        <w:rPr>
          <w:rFonts w:cs="Arial"/>
          <w:spacing w:val="-3"/>
        </w:rPr>
        <w:t xml:space="preserve"> </w:t>
      </w:r>
      <w:r w:rsidRPr="00E37A70">
        <w:rPr>
          <w:rFonts w:cs="Arial"/>
          <w:spacing w:val="-1"/>
        </w:rPr>
        <w:t>(µg)</w:t>
      </w:r>
      <w:r w:rsidRPr="00E37A70">
        <w:rPr>
          <w:rFonts w:cs="Arial"/>
          <w:spacing w:val="-3"/>
        </w:rPr>
        <w:t xml:space="preserve"> </w:t>
      </w:r>
      <w:r w:rsidRPr="00E37A70">
        <w:rPr>
          <w:rFonts w:cs="Arial"/>
        </w:rPr>
        <w:t>on</w:t>
      </w:r>
      <w:r w:rsidRPr="00E37A70">
        <w:rPr>
          <w:rFonts w:cs="Arial"/>
          <w:spacing w:val="-1"/>
        </w:rPr>
        <w:t xml:space="preserve"> sample filter</w:t>
      </w:r>
    </w:p>
    <w:p w14:paraId="2EC3201D" w14:textId="3E896A22" w:rsidR="0031675F" w:rsidRPr="00E37A70" w:rsidRDefault="0031675F" w:rsidP="0031675F">
      <w:pPr>
        <w:spacing w:before="4" w:after="120"/>
        <w:ind w:left="13"/>
        <w:rPr>
          <w:rFonts w:cs="Arial"/>
          <w:spacing w:val="-2"/>
        </w:rPr>
      </w:pPr>
      <w:r w:rsidRPr="00E37A70">
        <w:rPr>
          <w:rFonts w:cs="Arial"/>
          <w:spacing w:val="-1"/>
        </w:rPr>
        <w:t>V</w:t>
      </w:r>
      <w:r w:rsidRPr="00E37A70">
        <w:rPr>
          <w:rFonts w:cs="Arial"/>
          <w:spacing w:val="-1"/>
          <w:position w:val="-2"/>
        </w:rPr>
        <w:t>sample</w:t>
      </w:r>
      <w:r w:rsidRPr="00E37A70">
        <w:rPr>
          <w:rFonts w:cs="Arial"/>
          <w:spacing w:val="17"/>
          <w:position w:val="-2"/>
        </w:rPr>
        <w:t xml:space="preserve"> </w:t>
      </w:r>
      <w:r w:rsidRPr="00E37A70">
        <w:rPr>
          <w:rFonts w:cs="Arial"/>
        </w:rPr>
        <w:t xml:space="preserve">= </w:t>
      </w:r>
      <w:r w:rsidRPr="00E37A70">
        <w:rPr>
          <w:rFonts w:cs="Arial"/>
          <w:spacing w:val="-1"/>
        </w:rPr>
        <w:t>Volume</w:t>
      </w:r>
      <w:r w:rsidRPr="00E37A70">
        <w:rPr>
          <w:rFonts w:cs="Arial"/>
          <w:spacing w:val="-3"/>
        </w:rPr>
        <w:t xml:space="preserve"> </w:t>
      </w:r>
      <w:r w:rsidRPr="00E37A70">
        <w:rPr>
          <w:rFonts w:cs="Arial"/>
        </w:rPr>
        <w:t>of</w:t>
      </w:r>
      <w:r w:rsidRPr="00E37A70">
        <w:rPr>
          <w:rFonts w:cs="Arial"/>
          <w:spacing w:val="-1"/>
        </w:rPr>
        <w:t xml:space="preserve"> sample</w:t>
      </w:r>
      <w:r w:rsidRPr="00E37A70">
        <w:rPr>
          <w:rFonts w:cs="Arial"/>
          <w:spacing w:val="-5"/>
        </w:rPr>
        <w:t xml:space="preserve"> </w:t>
      </w:r>
      <w:r w:rsidRPr="00E37A70">
        <w:rPr>
          <w:rFonts w:cs="Arial"/>
          <w:spacing w:val="-1"/>
        </w:rPr>
        <w:t>filtered</w:t>
      </w:r>
      <w:r w:rsidRPr="00E37A70">
        <w:rPr>
          <w:rFonts w:cs="Arial"/>
          <w:spacing w:val="-2"/>
        </w:rPr>
        <w:t xml:space="preserve"> (</w:t>
      </w:r>
      <w:r w:rsidR="00660229">
        <w:rPr>
          <w:rFonts w:cs="Arial"/>
          <w:spacing w:val="-2"/>
        </w:rPr>
        <w:t>L</w:t>
      </w:r>
      <w:r w:rsidRPr="00E37A70">
        <w:rPr>
          <w:rFonts w:cs="Arial"/>
          <w:spacing w:val="-2"/>
        </w:rPr>
        <w:t>)</w:t>
      </w:r>
    </w:p>
    <w:p w14:paraId="0EB3CAF6" w14:textId="77777777" w:rsidR="0031675F" w:rsidRPr="00E37A70" w:rsidRDefault="0031675F" w:rsidP="0031675F">
      <w:pPr>
        <w:spacing w:before="4" w:after="120"/>
        <w:ind w:left="13"/>
        <w:rPr>
          <w:rFonts w:cs="Arial"/>
          <w:sz w:val="20"/>
          <w:szCs w:val="20"/>
        </w:rPr>
      </w:pPr>
    </w:p>
    <w:p w14:paraId="227DEB5A" w14:textId="77777777" w:rsidR="0031675F" w:rsidRPr="0031675F" w:rsidRDefault="0031675F" w:rsidP="0031675F">
      <w:pPr>
        <w:widowControl w:val="0"/>
        <w:numPr>
          <w:ilvl w:val="1"/>
          <w:numId w:val="93"/>
        </w:numPr>
        <w:tabs>
          <w:tab w:val="left" w:pos="839"/>
        </w:tabs>
        <w:spacing w:before="69" w:after="0" w:line="240" w:lineRule="auto"/>
        <w:jc w:val="both"/>
        <w:rPr>
          <w:rFonts w:eastAsia="Arial" w:cs="Arial"/>
          <w:sz w:val="24"/>
          <w:szCs w:val="24"/>
        </w:rPr>
      </w:pPr>
      <w:bookmarkStart w:id="691" w:name="_TOC_250022"/>
      <w:r w:rsidRPr="0031675F">
        <w:rPr>
          <w:b/>
          <w:spacing w:val="-1"/>
          <w:sz w:val="24"/>
        </w:rPr>
        <w:t>Method</w:t>
      </w:r>
      <w:r w:rsidRPr="0031675F">
        <w:rPr>
          <w:b/>
          <w:sz w:val="24"/>
        </w:rPr>
        <w:t xml:space="preserve"> </w:t>
      </w:r>
      <w:r w:rsidRPr="0031675F">
        <w:rPr>
          <w:b/>
          <w:spacing w:val="-1"/>
          <w:sz w:val="24"/>
        </w:rPr>
        <w:t>capabilities</w:t>
      </w:r>
      <w:r w:rsidRPr="0031675F">
        <w:rPr>
          <w:b/>
          <w:spacing w:val="-2"/>
          <w:sz w:val="24"/>
        </w:rPr>
        <w:t xml:space="preserve"> </w:t>
      </w:r>
      <w:r w:rsidRPr="0031675F">
        <w:rPr>
          <w:b/>
          <w:spacing w:val="-1"/>
          <w:sz w:val="24"/>
        </w:rPr>
        <w:t>and</w:t>
      </w:r>
      <w:r w:rsidRPr="0031675F">
        <w:rPr>
          <w:b/>
          <w:spacing w:val="1"/>
          <w:sz w:val="24"/>
        </w:rPr>
        <w:t xml:space="preserve"> </w:t>
      </w:r>
      <w:r w:rsidRPr="0031675F">
        <w:rPr>
          <w:b/>
          <w:sz w:val="24"/>
        </w:rPr>
        <w:t xml:space="preserve">limits of </w:t>
      </w:r>
      <w:r w:rsidRPr="0031675F">
        <w:rPr>
          <w:b/>
          <w:spacing w:val="-1"/>
          <w:sz w:val="24"/>
        </w:rPr>
        <w:t>detection</w:t>
      </w:r>
      <w:bookmarkEnd w:id="691"/>
    </w:p>
    <w:p w14:paraId="53BAA713" w14:textId="77777777" w:rsidR="0031675F" w:rsidRPr="0031675F" w:rsidRDefault="0031675F" w:rsidP="0031675F">
      <w:pPr>
        <w:spacing w:before="11"/>
        <w:rPr>
          <w:rFonts w:eastAsia="Arial" w:cs="Arial"/>
          <w:b/>
          <w:bCs/>
          <w:sz w:val="20"/>
          <w:szCs w:val="20"/>
        </w:rPr>
      </w:pPr>
    </w:p>
    <w:p w14:paraId="3AA85367" w14:textId="77777777" w:rsidR="0031675F" w:rsidRPr="0031675F" w:rsidRDefault="0031675F" w:rsidP="0031675F">
      <w:pPr>
        <w:spacing w:after="120"/>
        <w:ind w:right="112"/>
        <w:jc w:val="both"/>
      </w:pPr>
      <w:r w:rsidRPr="0031675F">
        <w:rPr>
          <w:spacing w:val="-1"/>
        </w:rPr>
        <w:t>The</w:t>
      </w:r>
      <w:r w:rsidRPr="0031675F">
        <w:rPr>
          <w:spacing w:val="24"/>
        </w:rPr>
        <w:t xml:space="preserve"> </w:t>
      </w:r>
      <w:r w:rsidRPr="0031675F">
        <w:rPr>
          <w:spacing w:val="-1"/>
        </w:rPr>
        <w:t>limits</w:t>
      </w:r>
      <w:r w:rsidRPr="0031675F">
        <w:rPr>
          <w:spacing w:val="22"/>
        </w:rPr>
        <w:t xml:space="preserve"> </w:t>
      </w:r>
      <w:r w:rsidRPr="0031675F">
        <w:t>of</w:t>
      </w:r>
      <w:r w:rsidRPr="0031675F">
        <w:rPr>
          <w:spacing w:val="21"/>
        </w:rPr>
        <w:t xml:space="preserve"> </w:t>
      </w:r>
      <w:r w:rsidRPr="0031675F">
        <w:rPr>
          <w:spacing w:val="-1"/>
        </w:rPr>
        <w:t>detection</w:t>
      </w:r>
      <w:r w:rsidRPr="0031675F">
        <w:rPr>
          <w:spacing w:val="23"/>
        </w:rPr>
        <w:t xml:space="preserve"> </w:t>
      </w:r>
      <w:r w:rsidRPr="0031675F">
        <w:rPr>
          <w:spacing w:val="-1"/>
        </w:rPr>
        <w:t>for</w:t>
      </w:r>
      <w:r w:rsidRPr="0031675F">
        <w:rPr>
          <w:spacing w:val="21"/>
        </w:rPr>
        <w:t xml:space="preserve"> </w:t>
      </w:r>
      <w:r w:rsidRPr="0031675F">
        <w:rPr>
          <w:spacing w:val="-1"/>
        </w:rPr>
        <w:t>this</w:t>
      </w:r>
      <w:r w:rsidRPr="0031675F">
        <w:rPr>
          <w:spacing w:val="22"/>
        </w:rPr>
        <w:t xml:space="preserve"> </w:t>
      </w:r>
      <w:r w:rsidRPr="0031675F">
        <w:rPr>
          <w:spacing w:val="-1"/>
        </w:rPr>
        <w:t>method</w:t>
      </w:r>
      <w:r w:rsidRPr="0031675F">
        <w:rPr>
          <w:spacing w:val="23"/>
        </w:rPr>
        <w:t xml:space="preserve"> </w:t>
      </w:r>
      <w:r w:rsidRPr="0031675F">
        <w:rPr>
          <w:spacing w:val="-1"/>
        </w:rPr>
        <w:t>are</w:t>
      </w:r>
      <w:r w:rsidRPr="0031675F">
        <w:rPr>
          <w:spacing w:val="25"/>
        </w:rPr>
        <w:t xml:space="preserve"> </w:t>
      </w:r>
      <w:r w:rsidRPr="0031675F">
        <w:rPr>
          <w:spacing w:val="-2"/>
        </w:rPr>
        <w:t>influenced</w:t>
      </w:r>
      <w:r w:rsidRPr="0031675F">
        <w:rPr>
          <w:spacing w:val="23"/>
        </w:rPr>
        <w:t xml:space="preserve"> </w:t>
      </w:r>
      <w:r w:rsidRPr="0031675F">
        <w:rPr>
          <w:spacing w:val="-1"/>
        </w:rPr>
        <w:t>by</w:t>
      </w:r>
      <w:r w:rsidRPr="0031675F">
        <w:rPr>
          <w:spacing w:val="25"/>
        </w:rPr>
        <w:t xml:space="preserve"> </w:t>
      </w:r>
      <w:r w:rsidRPr="0031675F">
        <w:rPr>
          <w:spacing w:val="-1"/>
        </w:rPr>
        <w:t>the</w:t>
      </w:r>
      <w:r w:rsidRPr="0031675F">
        <w:rPr>
          <w:spacing w:val="24"/>
        </w:rPr>
        <w:t xml:space="preserve"> </w:t>
      </w:r>
      <w:r w:rsidRPr="0031675F">
        <w:rPr>
          <w:spacing w:val="-1"/>
        </w:rPr>
        <w:t>range</w:t>
      </w:r>
      <w:r w:rsidRPr="0031675F">
        <w:rPr>
          <w:spacing w:val="22"/>
        </w:rPr>
        <w:t xml:space="preserve"> </w:t>
      </w:r>
      <w:r w:rsidRPr="0031675F">
        <w:rPr>
          <w:spacing w:val="-1"/>
        </w:rPr>
        <w:t>and</w:t>
      </w:r>
      <w:r w:rsidRPr="0031675F">
        <w:rPr>
          <w:spacing w:val="23"/>
        </w:rPr>
        <w:t xml:space="preserve"> </w:t>
      </w:r>
      <w:r w:rsidRPr="0031675F">
        <w:rPr>
          <w:spacing w:val="-1"/>
        </w:rPr>
        <w:t>type</w:t>
      </w:r>
      <w:r w:rsidRPr="0031675F">
        <w:rPr>
          <w:spacing w:val="22"/>
        </w:rPr>
        <w:t xml:space="preserve"> </w:t>
      </w:r>
      <w:r w:rsidRPr="0031675F">
        <w:rPr>
          <w:spacing w:val="-1"/>
        </w:rPr>
        <w:t>of</w:t>
      </w:r>
      <w:r w:rsidRPr="0031675F">
        <w:rPr>
          <w:spacing w:val="24"/>
        </w:rPr>
        <w:t xml:space="preserve"> </w:t>
      </w:r>
      <w:r w:rsidRPr="0031675F">
        <w:rPr>
          <w:spacing w:val="-1"/>
        </w:rPr>
        <w:t>standards</w:t>
      </w:r>
      <w:r w:rsidRPr="0031675F">
        <w:rPr>
          <w:spacing w:val="24"/>
        </w:rPr>
        <w:t xml:space="preserve"> </w:t>
      </w:r>
      <w:r w:rsidRPr="0031675F">
        <w:rPr>
          <w:spacing w:val="-1"/>
        </w:rPr>
        <w:t>used</w:t>
      </w:r>
      <w:r w:rsidRPr="0031675F">
        <w:rPr>
          <w:spacing w:val="24"/>
        </w:rPr>
        <w:t xml:space="preserve"> </w:t>
      </w:r>
      <w:r w:rsidRPr="0031675F">
        <w:rPr>
          <w:spacing w:val="-1"/>
        </w:rPr>
        <w:t>to</w:t>
      </w:r>
      <w:r w:rsidRPr="0031675F">
        <w:rPr>
          <w:spacing w:val="67"/>
        </w:rPr>
        <w:t xml:space="preserve"> </w:t>
      </w:r>
      <w:r w:rsidRPr="0031675F">
        <w:rPr>
          <w:spacing w:val="-1"/>
        </w:rPr>
        <w:t>calibrate</w:t>
      </w:r>
      <w:r w:rsidRPr="0031675F">
        <w:rPr>
          <w:spacing w:val="24"/>
        </w:rPr>
        <w:t xml:space="preserve"> </w:t>
      </w:r>
      <w:r w:rsidRPr="0031675F">
        <w:rPr>
          <w:spacing w:val="-1"/>
        </w:rPr>
        <w:t>the</w:t>
      </w:r>
      <w:r w:rsidRPr="0031675F">
        <w:rPr>
          <w:spacing w:val="24"/>
        </w:rPr>
        <w:t xml:space="preserve"> </w:t>
      </w:r>
      <w:r w:rsidRPr="0031675F">
        <w:rPr>
          <w:spacing w:val="-1"/>
        </w:rPr>
        <w:t>instrument.</w:t>
      </w:r>
      <w:r w:rsidRPr="0031675F">
        <w:rPr>
          <w:spacing w:val="43"/>
        </w:rPr>
        <w:t xml:space="preserve"> </w:t>
      </w:r>
      <w:r w:rsidRPr="0031675F">
        <w:rPr>
          <w:spacing w:val="-1"/>
        </w:rPr>
        <w:t>The</w:t>
      </w:r>
      <w:r w:rsidRPr="0031675F">
        <w:rPr>
          <w:spacing w:val="25"/>
        </w:rPr>
        <w:t xml:space="preserve"> </w:t>
      </w:r>
      <w:r w:rsidRPr="0031675F">
        <w:rPr>
          <w:spacing w:val="-1"/>
        </w:rPr>
        <w:t>instrument</w:t>
      </w:r>
      <w:r w:rsidRPr="0031675F">
        <w:rPr>
          <w:spacing w:val="24"/>
        </w:rPr>
        <w:t xml:space="preserve"> </w:t>
      </w:r>
      <w:r w:rsidRPr="0031675F">
        <w:rPr>
          <w:spacing w:val="-2"/>
        </w:rPr>
        <w:t>is</w:t>
      </w:r>
      <w:r w:rsidRPr="0031675F">
        <w:rPr>
          <w:spacing w:val="24"/>
        </w:rPr>
        <w:t xml:space="preserve"> </w:t>
      </w:r>
      <w:r w:rsidRPr="0031675F">
        <w:rPr>
          <w:spacing w:val="-1"/>
        </w:rPr>
        <w:t>calibrated</w:t>
      </w:r>
      <w:r w:rsidRPr="0031675F">
        <w:rPr>
          <w:spacing w:val="24"/>
        </w:rPr>
        <w:t xml:space="preserve"> </w:t>
      </w:r>
      <w:r w:rsidRPr="0031675F">
        <w:t>each</w:t>
      </w:r>
      <w:r w:rsidRPr="0031675F">
        <w:rPr>
          <w:spacing w:val="23"/>
        </w:rPr>
        <w:t xml:space="preserve"> </w:t>
      </w:r>
      <w:r w:rsidRPr="0031675F">
        <w:rPr>
          <w:spacing w:val="-2"/>
        </w:rPr>
        <w:t>day</w:t>
      </w:r>
      <w:r w:rsidRPr="0031675F">
        <w:rPr>
          <w:spacing w:val="24"/>
        </w:rPr>
        <w:t xml:space="preserve"> </w:t>
      </w:r>
      <w:r w:rsidRPr="0031675F">
        <w:rPr>
          <w:spacing w:val="-1"/>
        </w:rPr>
        <w:t>with</w:t>
      </w:r>
      <w:r w:rsidRPr="0031675F">
        <w:rPr>
          <w:spacing w:val="24"/>
        </w:rPr>
        <w:t xml:space="preserve"> </w:t>
      </w:r>
      <w:r w:rsidRPr="0031675F">
        <w:t>a</w:t>
      </w:r>
      <w:r w:rsidRPr="0031675F">
        <w:rPr>
          <w:spacing w:val="24"/>
        </w:rPr>
        <w:t xml:space="preserve"> </w:t>
      </w:r>
      <w:r w:rsidRPr="0031675F">
        <w:rPr>
          <w:spacing w:val="-2"/>
        </w:rPr>
        <w:t>suite</w:t>
      </w:r>
      <w:r w:rsidRPr="0031675F">
        <w:rPr>
          <w:spacing w:val="22"/>
        </w:rPr>
        <w:t xml:space="preserve"> </w:t>
      </w:r>
      <w:r w:rsidRPr="0031675F">
        <w:t>of</w:t>
      </w:r>
      <w:r w:rsidRPr="0031675F">
        <w:rPr>
          <w:spacing w:val="24"/>
        </w:rPr>
        <w:t xml:space="preserve"> </w:t>
      </w:r>
      <w:r w:rsidRPr="0031675F">
        <w:rPr>
          <w:spacing w:val="-1"/>
        </w:rPr>
        <w:t>reference</w:t>
      </w:r>
      <w:r w:rsidRPr="0031675F">
        <w:rPr>
          <w:spacing w:val="22"/>
        </w:rPr>
        <w:t xml:space="preserve"> </w:t>
      </w:r>
      <w:r w:rsidRPr="0031675F">
        <w:rPr>
          <w:spacing w:val="-1"/>
        </w:rPr>
        <w:t>material</w:t>
      </w:r>
      <w:r w:rsidRPr="0031675F">
        <w:rPr>
          <w:spacing w:val="75"/>
        </w:rPr>
        <w:t xml:space="preserve"> </w:t>
      </w:r>
      <w:r w:rsidRPr="0031675F">
        <w:t>that</w:t>
      </w:r>
      <w:r w:rsidRPr="0031675F">
        <w:rPr>
          <w:spacing w:val="26"/>
        </w:rPr>
        <w:t xml:space="preserve"> </w:t>
      </w:r>
      <w:r w:rsidRPr="0031675F">
        <w:rPr>
          <w:spacing w:val="-1"/>
        </w:rPr>
        <w:t>accurately</w:t>
      </w:r>
      <w:r w:rsidRPr="0031675F">
        <w:rPr>
          <w:spacing w:val="25"/>
        </w:rPr>
        <w:t xml:space="preserve"> </w:t>
      </w:r>
      <w:r w:rsidRPr="0031675F">
        <w:rPr>
          <w:spacing w:val="-1"/>
        </w:rPr>
        <w:t>reflects</w:t>
      </w:r>
      <w:r w:rsidRPr="0031675F">
        <w:rPr>
          <w:spacing w:val="25"/>
        </w:rPr>
        <w:t xml:space="preserve"> </w:t>
      </w:r>
      <w:r w:rsidRPr="0031675F">
        <w:rPr>
          <w:spacing w:val="-1"/>
        </w:rPr>
        <w:t>the</w:t>
      </w:r>
      <w:r w:rsidRPr="0031675F">
        <w:rPr>
          <w:spacing w:val="27"/>
        </w:rPr>
        <w:t xml:space="preserve"> </w:t>
      </w:r>
      <w:r w:rsidRPr="0031675F">
        <w:rPr>
          <w:spacing w:val="-1"/>
        </w:rPr>
        <w:t>range</w:t>
      </w:r>
      <w:r w:rsidRPr="0031675F">
        <w:rPr>
          <w:spacing w:val="25"/>
        </w:rPr>
        <w:t xml:space="preserve"> </w:t>
      </w:r>
      <w:r w:rsidRPr="0031675F">
        <w:t>of</w:t>
      </w:r>
      <w:r w:rsidRPr="0031675F">
        <w:rPr>
          <w:spacing w:val="27"/>
        </w:rPr>
        <w:t xml:space="preserve"> </w:t>
      </w:r>
      <w:r w:rsidRPr="0031675F">
        <w:rPr>
          <w:spacing w:val="-1"/>
        </w:rPr>
        <w:t>carbon</w:t>
      </w:r>
      <w:r w:rsidRPr="0031675F">
        <w:rPr>
          <w:spacing w:val="27"/>
        </w:rPr>
        <w:t xml:space="preserve"> </w:t>
      </w:r>
      <w:r w:rsidRPr="0031675F">
        <w:rPr>
          <w:spacing w:val="-1"/>
        </w:rPr>
        <w:t>and</w:t>
      </w:r>
      <w:r w:rsidRPr="0031675F">
        <w:rPr>
          <w:spacing w:val="24"/>
        </w:rPr>
        <w:t xml:space="preserve"> </w:t>
      </w:r>
      <w:r w:rsidRPr="0031675F">
        <w:rPr>
          <w:spacing w:val="-1"/>
        </w:rPr>
        <w:t>nitrogen</w:t>
      </w:r>
      <w:r w:rsidRPr="0031675F">
        <w:rPr>
          <w:spacing w:val="27"/>
        </w:rPr>
        <w:t xml:space="preserve"> </w:t>
      </w:r>
      <w:r w:rsidRPr="0031675F">
        <w:rPr>
          <w:spacing w:val="-1"/>
        </w:rPr>
        <w:t>typical</w:t>
      </w:r>
      <w:r w:rsidRPr="0031675F">
        <w:rPr>
          <w:spacing w:val="24"/>
        </w:rPr>
        <w:t xml:space="preserve"> </w:t>
      </w:r>
      <w:r w:rsidRPr="0031675F">
        <w:t>of</w:t>
      </w:r>
      <w:r w:rsidRPr="0031675F">
        <w:rPr>
          <w:spacing w:val="25"/>
        </w:rPr>
        <w:t xml:space="preserve"> </w:t>
      </w:r>
      <w:r w:rsidRPr="0031675F">
        <w:rPr>
          <w:spacing w:val="-1"/>
        </w:rPr>
        <w:t>tropical</w:t>
      </w:r>
      <w:r w:rsidRPr="0031675F">
        <w:rPr>
          <w:spacing w:val="27"/>
        </w:rPr>
        <w:t xml:space="preserve"> </w:t>
      </w:r>
      <w:r w:rsidRPr="0031675F">
        <w:rPr>
          <w:spacing w:val="-1"/>
        </w:rPr>
        <w:t>inshore</w:t>
      </w:r>
      <w:r w:rsidRPr="0031675F">
        <w:rPr>
          <w:spacing w:val="25"/>
        </w:rPr>
        <w:t xml:space="preserve"> </w:t>
      </w:r>
      <w:r w:rsidRPr="0031675F">
        <w:rPr>
          <w:spacing w:val="-1"/>
        </w:rPr>
        <w:t>marine</w:t>
      </w:r>
      <w:r w:rsidRPr="0031675F">
        <w:rPr>
          <w:spacing w:val="79"/>
        </w:rPr>
        <w:t xml:space="preserve"> </w:t>
      </w:r>
      <w:r w:rsidRPr="0031675F">
        <w:rPr>
          <w:spacing w:val="-1"/>
        </w:rPr>
        <w:t>sediments.</w:t>
      </w:r>
      <w:r w:rsidRPr="0031675F">
        <w:t xml:space="preserve"> </w:t>
      </w:r>
      <w:r w:rsidRPr="0031675F">
        <w:rPr>
          <w:spacing w:val="-1"/>
        </w:rPr>
        <w:t>The</w:t>
      </w:r>
      <w:r w:rsidRPr="0031675F">
        <w:rPr>
          <w:spacing w:val="-2"/>
        </w:rPr>
        <w:t xml:space="preserve"> </w:t>
      </w:r>
      <w:r w:rsidRPr="0031675F">
        <w:rPr>
          <w:spacing w:val="-1"/>
        </w:rPr>
        <w:t xml:space="preserve">method </w:t>
      </w:r>
      <w:r w:rsidRPr="0031675F">
        <w:t>of</w:t>
      </w:r>
      <w:r w:rsidRPr="0031675F">
        <w:rPr>
          <w:spacing w:val="-2"/>
        </w:rPr>
        <w:t xml:space="preserve"> </w:t>
      </w:r>
      <w:r w:rsidRPr="0031675F">
        <w:rPr>
          <w:spacing w:val="-1"/>
        </w:rPr>
        <w:t>calculating inorganic</w:t>
      </w:r>
      <w:r w:rsidRPr="0031675F">
        <w:t xml:space="preserve"> </w:t>
      </w:r>
      <w:r w:rsidRPr="0031675F">
        <w:rPr>
          <w:spacing w:val="-1"/>
        </w:rPr>
        <w:t xml:space="preserve">carbon </w:t>
      </w:r>
      <w:r w:rsidRPr="0031675F">
        <w:t xml:space="preserve">as the </w:t>
      </w:r>
      <w:r w:rsidRPr="0031675F">
        <w:rPr>
          <w:spacing w:val="-1"/>
        </w:rPr>
        <w:t>difference</w:t>
      </w:r>
      <w:r w:rsidRPr="0031675F">
        <w:t xml:space="preserve"> </w:t>
      </w:r>
      <w:r w:rsidRPr="0031675F">
        <w:rPr>
          <w:spacing w:val="-1"/>
        </w:rPr>
        <w:t>between the</w:t>
      </w:r>
      <w:r w:rsidRPr="0031675F">
        <w:t xml:space="preserve"> </w:t>
      </w:r>
      <w:r w:rsidRPr="0031675F">
        <w:rPr>
          <w:spacing w:val="-1"/>
        </w:rPr>
        <w:t>measured</w:t>
      </w:r>
      <w:r w:rsidRPr="0031675F">
        <w:t xml:space="preserve"> total</w:t>
      </w:r>
      <w:r w:rsidRPr="0031675F">
        <w:rPr>
          <w:spacing w:val="79"/>
        </w:rPr>
        <w:t xml:space="preserve"> </w:t>
      </w:r>
      <w:r w:rsidRPr="0031675F">
        <w:t>carbon</w:t>
      </w:r>
      <w:r w:rsidRPr="0031675F">
        <w:rPr>
          <w:spacing w:val="14"/>
        </w:rPr>
        <w:t xml:space="preserve"> </w:t>
      </w:r>
      <w:r w:rsidRPr="0031675F">
        <w:rPr>
          <w:spacing w:val="-1"/>
        </w:rPr>
        <w:t>and</w:t>
      </w:r>
      <w:r w:rsidRPr="0031675F">
        <w:rPr>
          <w:spacing w:val="14"/>
        </w:rPr>
        <w:t xml:space="preserve"> </w:t>
      </w:r>
      <w:r w:rsidRPr="0031675F">
        <w:rPr>
          <w:spacing w:val="-1"/>
        </w:rPr>
        <w:t>measured</w:t>
      </w:r>
      <w:r w:rsidRPr="0031675F">
        <w:rPr>
          <w:spacing w:val="14"/>
        </w:rPr>
        <w:t xml:space="preserve"> </w:t>
      </w:r>
      <w:r w:rsidRPr="0031675F">
        <w:rPr>
          <w:spacing w:val="-1"/>
        </w:rPr>
        <w:t>organic</w:t>
      </w:r>
      <w:r w:rsidRPr="0031675F">
        <w:rPr>
          <w:spacing w:val="14"/>
        </w:rPr>
        <w:t xml:space="preserve"> </w:t>
      </w:r>
      <w:r w:rsidRPr="0031675F">
        <w:t>carbon</w:t>
      </w:r>
      <w:r w:rsidRPr="0031675F">
        <w:rPr>
          <w:spacing w:val="14"/>
        </w:rPr>
        <w:t xml:space="preserve"> </w:t>
      </w:r>
      <w:r w:rsidRPr="0031675F">
        <w:t>is</w:t>
      </w:r>
      <w:r w:rsidRPr="0031675F">
        <w:rPr>
          <w:spacing w:val="14"/>
        </w:rPr>
        <w:t xml:space="preserve"> </w:t>
      </w:r>
      <w:r w:rsidRPr="0031675F">
        <w:rPr>
          <w:spacing w:val="-1"/>
        </w:rPr>
        <w:t>preferred</w:t>
      </w:r>
      <w:r w:rsidRPr="0031675F">
        <w:rPr>
          <w:spacing w:val="13"/>
        </w:rPr>
        <w:t xml:space="preserve"> </w:t>
      </w:r>
      <w:r w:rsidRPr="0031675F">
        <w:rPr>
          <w:spacing w:val="-1"/>
        </w:rPr>
        <w:t>for</w:t>
      </w:r>
      <w:r w:rsidRPr="0031675F">
        <w:rPr>
          <w:spacing w:val="12"/>
        </w:rPr>
        <w:t xml:space="preserve"> </w:t>
      </w:r>
      <w:r w:rsidRPr="0031675F">
        <w:rPr>
          <w:spacing w:val="-1"/>
        </w:rPr>
        <w:t>samples</w:t>
      </w:r>
      <w:r w:rsidRPr="0031675F">
        <w:rPr>
          <w:spacing w:val="14"/>
        </w:rPr>
        <w:t xml:space="preserve"> </w:t>
      </w:r>
      <w:r w:rsidRPr="0031675F">
        <w:rPr>
          <w:spacing w:val="-1"/>
        </w:rPr>
        <w:t>high</w:t>
      </w:r>
      <w:r w:rsidRPr="0031675F">
        <w:rPr>
          <w:spacing w:val="14"/>
        </w:rPr>
        <w:t xml:space="preserve"> </w:t>
      </w:r>
      <w:r w:rsidRPr="0031675F">
        <w:t>in</w:t>
      </w:r>
      <w:r w:rsidRPr="0031675F">
        <w:rPr>
          <w:spacing w:val="13"/>
        </w:rPr>
        <w:t xml:space="preserve"> </w:t>
      </w:r>
      <w:r w:rsidRPr="0031675F">
        <w:t>IC</w:t>
      </w:r>
      <w:r w:rsidRPr="0031675F">
        <w:rPr>
          <w:spacing w:val="14"/>
        </w:rPr>
        <w:t xml:space="preserve"> </w:t>
      </w:r>
      <w:r w:rsidRPr="0031675F">
        <w:rPr>
          <w:spacing w:val="-1"/>
        </w:rPr>
        <w:t>and</w:t>
      </w:r>
      <w:r w:rsidRPr="0031675F">
        <w:rPr>
          <w:spacing w:val="14"/>
        </w:rPr>
        <w:t xml:space="preserve"> </w:t>
      </w:r>
      <w:r w:rsidRPr="0031675F">
        <w:t>low</w:t>
      </w:r>
      <w:r w:rsidRPr="0031675F">
        <w:rPr>
          <w:spacing w:val="15"/>
        </w:rPr>
        <w:t xml:space="preserve"> </w:t>
      </w:r>
      <w:r w:rsidRPr="0031675F">
        <w:t>in</w:t>
      </w:r>
      <w:r w:rsidRPr="0031675F">
        <w:rPr>
          <w:spacing w:val="13"/>
        </w:rPr>
        <w:t xml:space="preserve"> </w:t>
      </w:r>
      <w:r w:rsidRPr="0031675F">
        <w:rPr>
          <w:spacing w:val="-1"/>
        </w:rPr>
        <w:t>OC</w:t>
      </w:r>
      <w:r w:rsidRPr="0031675F">
        <w:rPr>
          <w:spacing w:val="14"/>
        </w:rPr>
        <w:t xml:space="preserve"> </w:t>
      </w:r>
      <w:r w:rsidRPr="0031675F">
        <w:rPr>
          <w:spacing w:val="-1"/>
        </w:rPr>
        <w:t>such</w:t>
      </w:r>
      <w:r w:rsidRPr="0031675F">
        <w:rPr>
          <w:spacing w:val="13"/>
        </w:rPr>
        <w:t xml:space="preserve"> </w:t>
      </w:r>
      <w:r w:rsidRPr="0031675F">
        <w:t>as</w:t>
      </w:r>
      <w:r w:rsidRPr="0031675F">
        <w:rPr>
          <w:spacing w:val="14"/>
        </w:rPr>
        <w:t xml:space="preserve"> </w:t>
      </w:r>
      <w:r w:rsidRPr="0031675F">
        <w:t>reef</w:t>
      </w:r>
      <w:r w:rsidRPr="0031675F">
        <w:rPr>
          <w:spacing w:val="53"/>
        </w:rPr>
        <w:t xml:space="preserve"> </w:t>
      </w:r>
      <w:r w:rsidRPr="0031675F">
        <w:rPr>
          <w:spacing w:val="-1"/>
        </w:rPr>
        <w:t>sediments</w:t>
      </w:r>
      <w:r w:rsidRPr="0031675F">
        <w:rPr>
          <w:spacing w:val="1"/>
        </w:rPr>
        <w:t xml:space="preserve"> </w:t>
      </w:r>
      <w:r w:rsidRPr="0031675F">
        <w:rPr>
          <w:spacing w:val="-1"/>
        </w:rPr>
        <w:t>(S. Boyle</w:t>
      </w:r>
      <w:r w:rsidRPr="0031675F">
        <w:t xml:space="preserve"> </w:t>
      </w:r>
      <w:r w:rsidRPr="0031675F">
        <w:rPr>
          <w:spacing w:val="-2"/>
        </w:rPr>
        <w:t>pers</w:t>
      </w:r>
      <w:r w:rsidRPr="0031675F">
        <w:rPr>
          <w:spacing w:val="1"/>
        </w:rPr>
        <w:t xml:space="preserve"> </w:t>
      </w:r>
      <w:r w:rsidRPr="0031675F">
        <w:rPr>
          <w:spacing w:val="-2"/>
        </w:rPr>
        <w:t>comm.)</w:t>
      </w:r>
    </w:p>
    <w:p w14:paraId="6694658A" w14:textId="77777777" w:rsidR="0031675F" w:rsidRDefault="0031675F" w:rsidP="0031675F">
      <w:pPr>
        <w:spacing w:before="9"/>
        <w:rPr>
          <w:rFonts w:cs="Calibri"/>
          <w:sz w:val="21"/>
          <w:szCs w:val="21"/>
        </w:rPr>
      </w:pPr>
    </w:p>
    <w:p w14:paraId="198E410E" w14:textId="4C67B7E3" w:rsidR="00613C82" w:rsidRDefault="00613C82" w:rsidP="0031675F">
      <w:pPr>
        <w:spacing w:before="9"/>
        <w:rPr>
          <w:rFonts w:cs="Calibri"/>
          <w:sz w:val="21"/>
          <w:szCs w:val="21"/>
        </w:rPr>
      </w:pPr>
    </w:p>
    <w:p w14:paraId="2BBB52E4" w14:textId="77777777" w:rsidR="00613C82" w:rsidRPr="0031675F" w:rsidRDefault="00613C82" w:rsidP="0031675F">
      <w:pPr>
        <w:spacing w:before="9"/>
        <w:rPr>
          <w:rFonts w:cs="Calibri"/>
          <w:sz w:val="21"/>
          <w:szCs w:val="21"/>
        </w:rPr>
      </w:pPr>
    </w:p>
    <w:p w14:paraId="66085824" w14:textId="77777777" w:rsidR="0031675F" w:rsidRPr="0031675F" w:rsidRDefault="0031675F" w:rsidP="0031675F">
      <w:pPr>
        <w:widowControl w:val="0"/>
        <w:numPr>
          <w:ilvl w:val="1"/>
          <w:numId w:val="93"/>
        </w:numPr>
        <w:tabs>
          <w:tab w:val="left" w:pos="839"/>
        </w:tabs>
        <w:spacing w:before="0" w:after="0" w:line="240" w:lineRule="auto"/>
        <w:jc w:val="both"/>
        <w:rPr>
          <w:rFonts w:eastAsia="Arial" w:cs="Arial"/>
          <w:sz w:val="24"/>
          <w:szCs w:val="24"/>
        </w:rPr>
      </w:pPr>
      <w:bookmarkStart w:id="692" w:name="_TOC_250021"/>
      <w:r w:rsidRPr="0031675F">
        <w:rPr>
          <w:b/>
          <w:sz w:val="24"/>
        </w:rPr>
        <w:t>Data</w:t>
      </w:r>
      <w:r w:rsidRPr="0031675F">
        <w:rPr>
          <w:b/>
          <w:spacing w:val="1"/>
          <w:sz w:val="24"/>
        </w:rPr>
        <w:t xml:space="preserve"> </w:t>
      </w:r>
      <w:r w:rsidRPr="0031675F">
        <w:rPr>
          <w:b/>
          <w:spacing w:val="-1"/>
          <w:sz w:val="24"/>
        </w:rPr>
        <w:t>management</w:t>
      </w:r>
      <w:bookmarkEnd w:id="692"/>
    </w:p>
    <w:p w14:paraId="692A4454" w14:textId="77777777" w:rsidR="0031675F" w:rsidRPr="0031675F" w:rsidRDefault="0031675F" w:rsidP="0031675F">
      <w:pPr>
        <w:rPr>
          <w:rFonts w:eastAsia="Arial" w:cs="Arial"/>
          <w:b/>
          <w:bCs/>
          <w:sz w:val="21"/>
          <w:szCs w:val="21"/>
        </w:rPr>
      </w:pPr>
    </w:p>
    <w:p w14:paraId="158C2FE6" w14:textId="77777777" w:rsidR="0031675F" w:rsidRPr="0031675F" w:rsidRDefault="0031675F" w:rsidP="0031675F">
      <w:pPr>
        <w:spacing w:after="120"/>
        <w:ind w:right="115"/>
        <w:jc w:val="both"/>
      </w:pPr>
      <w:r w:rsidRPr="0031675F">
        <w:rPr>
          <w:spacing w:val="-1"/>
        </w:rPr>
        <w:t>Each</w:t>
      </w:r>
      <w:r w:rsidRPr="0031675F">
        <w:rPr>
          <w:spacing w:val="17"/>
        </w:rPr>
        <w:t xml:space="preserve"> </w:t>
      </w:r>
      <w:r w:rsidRPr="0031675F">
        <w:rPr>
          <w:spacing w:val="-1"/>
        </w:rPr>
        <w:t>filter</w:t>
      </w:r>
      <w:r w:rsidRPr="0031675F">
        <w:rPr>
          <w:spacing w:val="17"/>
        </w:rPr>
        <w:t xml:space="preserve"> </w:t>
      </w:r>
      <w:r w:rsidRPr="0031675F">
        <w:t>is</w:t>
      </w:r>
      <w:r w:rsidRPr="0031675F">
        <w:rPr>
          <w:spacing w:val="16"/>
        </w:rPr>
        <w:t xml:space="preserve"> </w:t>
      </w:r>
      <w:r w:rsidRPr="0031675F">
        <w:rPr>
          <w:spacing w:val="-1"/>
        </w:rPr>
        <w:t>assigned</w:t>
      </w:r>
      <w:r w:rsidRPr="0031675F">
        <w:rPr>
          <w:spacing w:val="16"/>
        </w:rPr>
        <w:t xml:space="preserve"> </w:t>
      </w:r>
      <w:r w:rsidRPr="0031675F">
        <w:t>a</w:t>
      </w:r>
      <w:r w:rsidRPr="0031675F">
        <w:rPr>
          <w:spacing w:val="17"/>
        </w:rPr>
        <w:t xml:space="preserve"> </w:t>
      </w:r>
      <w:r w:rsidRPr="0031675F">
        <w:rPr>
          <w:spacing w:val="-1"/>
        </w:rPr>
        <w:t>unique</w:t>
      </w:r>
      <w:r w:rsidRPr="0031675F">
        <w:rPr>
          <w:spacing w:val="17"/>
        </w:rPr>
        <w:t xml:space="preserve"> </w:t>
      </w:r>
      <w:r w:rsidRPr="0031675F">
        <w:rPr>
          <w:spacing w:val="-1"/>
        </w:rPr>
        <w:t>identifier</w:t>
      </w:r>
      <w:r w:rsidRPr="0031675F">
        <w:rPr>
          <w:spacing w:val="17"/>
        </w:rPr>
        <w:t xml:space="preserve"> </w:t>
      </w:r>
      <w:r w:rsidRPr="0031675F">
        <w:t>which</w:t>
      </w:r>
      <w:r w:rsidRPr="0031675F">
        <w:rPr>
          <w:spacing w:val="15"/>
        </w:rPr>
        <w:t xml:space="preserve"> </w:t>
      </w:r>
      <w:r w:rsidRPr="0031675F">
        <w:t>is</w:t>
      </w:r>
      <w:r w:rsidRPr="0031675F">
        <w:rPr>
          <w:spacing w:val="16"/>
        </w:rPr>
        <w:t xml:space="preserve"> </w:t>
      </w:r>
      <w:r w:rsidRPr="0031675F">
        <w:rPr>
          <w:spacing w:val="-1"/>
        </w:rPr>
        <w:t>usually</w:t>
      </w:r>
      <w:r w:rsidRPr="0031675F">
        <w:rPr>
          <w:spacing w:val="17"/>
        </w:rPr>
        <w:t xml:space="preserve"> </w:t>
      </w:r>
      <w:r w:rsidRPr="0031675F">
        <w:t>a</w:t>
      </w:r>
      <w:r w:rsidRPr="0031675F">
        <w:rPr>
          <w:spacing w:val="17"/>
        </w:rPr>
        <w:t xml:space="preserve"> </w:t>
      </w:r>
      <w:r w:rsidRPr="0031675F">
        <w:rPr>
          <w:spacing w:val="-1"/>
        </w:rPr>
        <w:t>combination</w:t>
      </w:r>
      <w:r w:rsidRPr="0031675F">
        <w:rPr>
          <w:spacing w:val="14"/>
        </w:rPr>
        <w:t xml:space="preserve"> </w:t>
      </w:r>
      <w:r w:rsidRPr="0031675F">
        <w:t>of</w:t>
      </w:r>
      <w:r w:rsidRPr="0031675F">
        <w:rPr>
          <w:spacing w:val="17"/>
        </w:rPr>
        <w:t xml:space="preserve"> </w:t>
      </w:r>
      <w:r w:rsidRPr="0031675F">
        <w:rPr>
          <w:spacing w:val="-1"/>
        </w:rPr>
        <w:t>sampling</w:t>
      </w:r>
      <w:r w:rsidRPr="0031675F">
        <w:rPr>
          <w:spacing w:val="16"/>
        </w:rPr>
        <w:t xml:space="preserve"> </w:t>
      </w:r>
      <w:r w:rsidRPr="0031675F">
        <w:rPr>
          <w:spacing w:val="-1"/>
        </w:rPr>
        <w:t>site</w:t>
      </w:r>
      <w:r w:rsidRPr="0031675F">
        <w:rPr>
          <w:spacing w:val="18"/>
        </w:rPr>
        <w:t xml:space="preserve"> </w:t>
      </w:r>
      <w:r w:rsidRPr="0031675F">
        <w:rPr>
          <w:spacing w:val="-1"/>
        </w:rPr>
        <w:t>reference,</w:t>
      </w:r>
      <w:r w:rsidRPr="0031675F">
        <w:rPr>
          <w:spacing w:val="71"/>
        </w:rPr>
        <w:t xml:space="preserve"> </w:t>
      </w:r>
      <w:r w:rsidRPr="0031675F">
        <w:rPr>
          <w:spacing w:val="-1"/>
        </w:rPr>
        <w:t xml:space="preserve">depth </w:t>
      </w:r>
      <w:r w:rsidRPr="0031675F">
        <w:t>in</w:t>
      </w:r>
      <w:r w:rsidRPr="0031675F">
        <w:rPr>
          <w:spacing w:val="-1"/>
        </w:rPr>
        <w:t xml:space="preserve"> the</w:t>
      </w:r>
      <w:r w:rsidRPr="0031675F">
        <w:rPr>
          <w:spacing w:val="-2"/>
        </w:rPr>
        <w:t xml:space="preserve"> </w:t>
      </w:r>
      <w:r w:rsidRPr="0031675F">
        <w:rPr>
          <w:spacing w:val="-1"/>
        </w:rPr>
        <w:t>water</w:t>
      </w:r>
      <w:r w:rsidRPr="0031675F">
        <w:t xml:space="preserve"> </w:t>
      </w:r>
      <w:r w:rsidRPr="0031675F">
        <w:rPr>
          <w:spacing w:val="-1"/>
        </w:rPr>
        <w:t>column</w:t>
      </w:r>
      <w:r w:rsidRPr="0031675F">
        <w:rPr>
          <w:spacing w:val="-3"/>
        </w:rPr>
        <w:t xml:space="preserve"> </w:t>
      </w:r>
      <w:r w:rsidRPr="0031675F">
        <w:rPr>
          <w:spacing w:val="-1"/>
        </w:rPr>
        <w:t>from</w:t>
      </w:r>
      <w:r w:rsidRPr="0031675F">
        <w:rPr>
          <w:spacing w:val="-2"/>
        </w:rPr>
        <w:t xml:space="preserve"> </w:t>
      </w:r>
      <w:r w:rsidRPr="0031675F">
        <w:rPr>
          <w:spacing w:val="-1"/>
        </w:rPr>
        <w:t>which</w:t>
      </w:r>
      <w:r w:rsidRPr="0031675F">
        <w:rPr>
          <w:spacing w:val="-3"/>
        </w:rPr>
        <w:t xml:space="preserve"> </w:t>
      </w:r>
      <w:r w:rsidRPr="0031675F">
        <w:t xml:space="preserve">the </w:t>
      </w:r>
      <w:r w:rsidRPr="0031675F">
        <w:rPr>
          <w:spacing w:val="-1"/>
        </w:rPr>
        <w:t>sample</w:t>
      </w:r>
      <w:r w:rsidRPr="0031675F">
        <w:rPr>
          <w:spacing w:val="-3"/>
        </w:rPr>
        <w:t xml:space="preserve"> </w:t>
      </w:r>
      <w:r w:rsidRPr="0031675F">
        <w:rPr>
          <w:spacing w:val="-1"/>
        </w:rPr>
        <w:t>was</w:t>
      </w:r>
      <w:r w:rsidRPr="0031675F">
        <w:t xml:space="preserve"> </w:t>
      </w:r>
      <w:r w:rsidRPr="0031675F">
        <w:rPr>
          <w:spacing w:val="-1"/>
        </w:rPr>
        <w:t>taken</w:t>
      </w:r>
      <w:r w:rsidRPr="0031675F">
        <w:t xml:space="preserve"> and</w:t>
      </w:r>
      <w:r w:rsidRPr="0031675F">
        <w:rPr>
          <w:spacing w:val="-2"/>
        </w:rPr>
        <w:t xml:space="preserve"> </w:t>
      </w:r>
      <w:r w:rsidRPr="0031675F">
        <w:rPr>
          <w:spacing w:val="-1"/>
        </w:rPr>
        <w:t>the</w:t>
      </w:r>
      <w:r w:rsidRPr="0031675F">
        <w:t xml:space="preserve"> </w:t>
      </w:r>
      <w:r w:rsidRPr="0031675F">
        <w:rPr>
          <w:spacing w:val="-1"/>
        </w:rPr>
        <w:t>replicate</w:t>
      </w:r>
      <w:r w:rsidRPr="0031675F">
        <w:t xml:space="preserve"> </w:t>
      </w:r>
      <w:r w:rsidRPr="0031675F">
        <w:rPr>
          <w:spacing w:val="-1"/>
        </w:rPr>
        <w:t>number.</w:t>
      </w:r>
    </w:p>
    <w:p w14:paraId="753A489A" w14:textId="7B8B4A4A" w:rsidR="0031675F" w:rsidRPr="0031675F" w:rsidRDefault="0031675F" w:rsidP="00A47762">
      <w:pPr>
        <w:spacing w:after="120"/>
        <w:ind w:right="109"/>
        <w:jc w:val="both"/>
        <w:rPr>
          <w:spacing w:val="-1"/>
        </w:rPr>
      </w:pPr>
      <w:r w:rsidRPr="0031675F">
        <w:rPr>
          <w:spacing w:val="-1"/>
        </w:rPr>
        <w:t>The</w:t>
      </w:r>
      <w:r w:rsidRPr="0031675F">
        <w:rPr>
          <w:spacing w:val="17"/>
        </w:rPr>
        <w:t xml:space="preserve"> </w:t>
      </w:r>
      <w:r w:rsidRPr="0031675F">
        <w:rPr>
          <w:spacing w:val="-1"/>
        </w:rPr>
        <w:t>integrated</w:t>
      </w:r>
      <w:r w:rsidRPr="0031675F">
        <w:rPr>
          <w:spacing w:val="16"/>
        </w:rPr>
        <w:t xml:space="preserve"> </w:t>
      </w:r>
      <w:r w:rsidRPr="0031675F">
        <w:t>area</w:t>
      </w:r>
      <w:r w:rsidRPr="0031675F">
        <w:rPr>
          <w:spacing w:val="17"/>
        </w:rPr>
        <w:t xml:space="preserve"> </w:t>
      </w:r>
      <w:r w:rsidRPr="0031675F">
        <w:rPr>
          <w:spacing w:val="-1"/>
        </w:rPr>
        <w:t>reading</w:t>
      </w:r>
      <w:r w:rsidRPr="0031675F">
        <w:rPr>
          <w:spacing w:val="16"/>
        </w:rPr>
        <w:t xml:space="preserve"> of each analyte </w:t>
      </w:r>
      <w:r w:rsidRPr="0031675F">
        <w:t>is</w:t>
      </w:r>
      <w:r w:rsidRPr="0031675F">
        <w:rPr>
          <w:spacing w:val="16"/>
        </w:rPr>
        <w:t xml:space="preserve"> </w:t>
      </w:r>
      <w:r w:rsidRPr="0031675F">
        <w:rPr>
          <w:spacing w:val="-1"/>
        </w:rPr>
        <w:t>logged</w:t>
      </w:r>
      <w:r w:rsidRPr="0031675F">
        <w:rPr>
          <w:spacing w:val="16"/>
        </w:rPr>
        <w:t xml:space="preserve"> </w:t>
      </w:r>
      <w:r w:rsidRPr="0031675F">
        <w:rPr>
          <w:spacing w:val="-1"/>
        </w:rPr>
        <w:t>against</w:t>
      </w:r>
      <w:r w:rsidRPr="0031675F">
        <w:rPr>
          <w:spacing w:val="17"/>
        </w:rPr>
        <w:t xml:space="preserve"> </w:t>
      </w:r>
      <w:r w:rsidRPr="0031675F">
        <w:rPr>
          <w:spacing w:val="-1"/>
        </w:rPr>
        <w:t>each</w:t>
      </w:r>
      <w:r w:rsidRPr="0031675F">
        <w:rPr>
          <w:spacing w:val="16"/>
        </w:rPr>
        <w:t xml:space="preserve"> </w:t>
      </w:r>
      <w:r w:rsidRPr="0031675F">
        <w:rPr>
          <w:spacing w:val="-1"/>
        </w:rPr>
        <w:t>filter</w:t>
      </w:r>
      <w:r w:rsidRPr="0031675F">
        <w:rPr>
          <w:spacing w:val="17"/>
        </w:rPr>
        <w:t xml:space="preserve"> </w:t>
      </w:r>
      <w:r w:rsidRPr="0031675F">
        <w:t>on</w:t>
      </w:r>
      <w:r w:rsidRPr="0031675F">
        <w:rPr>
          <w:spacing w:val="16"/>
        </w:rPr>
        <w:t xml:space="preserve"> </w:t>
      </w:r>
      <w:r w:rsidRPr="0031675F">
        <w:t>a</w:t>
      </w:r>
      <w:r w:rsidRPr="0031675F">
        <w:rPr>
          <w:spacing w:val="17"/>
        </w:rPr>
        <w:t xml:space="preserve"> </w:t>
      </w:r>
      <w:r w:rsidRPr="0031675F">
        <w:rPr>
          <w:spacing w:val="-1"/>
        </w:rPr>
        <w:t>laboratory</w:t>
      </w:r>
      <w:r w:rsidRPr="0031675F">
        <w:rPr>
          <w:spacing w:val="17"/>
        </w:rPr>
        <w:t xml:space="preserve"> </w:t>
      </w:r>
      <w:r w:rsidRPr="0031675F">
        <w:rPr>
          <w:spacing w:val="-1"/>
        </w:rPr>
        <w:t>worksheet.</w:t>
      </w:r>
      <w:r w:rsidRPr="0031675F">
        <w:rPr>
          <w:spacing w:val="33"/>
        </w:rPr>
        <w:t xml:space="preserve"> </w:t>
      </w:r>
      <w:r w:rsidRPr="0031675F">
        <w:t>A</w:t>
      </w:r>
      <w:r w:rsidRPr="0031675F">
        <w:rPr>
          <w:spacing w:val="16"/>
        </w:rPr>
        <w:t xml:space="preserve"> </w:t>
      </w:r>
      <w:r w:rsidRPr="0031675F">
        <w:rPr>
          <w:spacing w:val="-1"/>
        </w:rPr>
        <w:t>proforma</w:t>
      </w:r>
      <w:r w:rsidRPr="0031675F">
        <w:rPr>
          <w:spacing w:val="14"/>
        </w:rPr>
        <w:t xml:space="preserve"> </w:t>
      </w:r>
      <w:r w:rsidRPr="0031675F">
        <w:t>of</w:t>
      </w:r>
      <w:r w:rsidRPr="0031675F">
        <w:rPr>
          <w:spacing w:val="49"/>
        </w:rPr>
        <w:t xml:space="preserve"> </w:t>
      </w:r>
      <w:r w:rsidRPr="0031675F">
        <w:rPr>
          <w:spacing w:val="-1"/>
        </w:rPr>
        <w:t>this</w:t>
      </w:r>
      <w:r w:rsidRPr="0031675F">
        <w:rPr>
          <w:spacing w:val="17"/>
        </w:rPr>
        <w:t xml:space="preserve"> </w:t>
      </w:r>
      <w:r w:rsidRPr="0031675F">
        <w:t>log</w:t>
      </w:r>
      <w:r w:rsidRPr="0031675F">
        <w:rPr>
          <w:spacing w:val="16"/>
        </w:rPr>
        <w:t xml:space="preserve"> </w:t>
      </w:r>
      <w:r w:rsidRPr="0031675F">
        <w:rPr>
          <w:spacing w:val="-1"/>
        </w:rPr>
        <w:t>sheet</w:t>
      </w:r>
      <w:r w:rsidRPr="0031675F">
        <w:rPr>
          <w:spacing w:val="17"/>
        </w:rPr>
        <w:t xml:space="preserve"> </w:t>
      </w:r>
      <w:r w:rsidRPr="0031675F">
        <w:rPr>
          <w:spacing w:val="-1"/>
        </w:rPr>
        <w:t>can</w:t>
      </w:r>
      <w:r w:rsidRPr="0031675F">
        <w:rPr>
          <w:spacing w:val="16"/>
        </w:rPr>
        <w:t xml:space="preserve"> </w:t>
      </w:r>
      <w:r w:rsidRPr="0031675F">
        <w:rPr>
          <w:spacing w:val="-1"/>
        </w:rPr>
        <w:t>be</w:t>
      </w:r>
      <w:r w:rsidRPr="0031675F">
        <w:rPr>
          <w:spacing w:val="17"/>
        </w:rPr>
        <w:t xml:space="preserve"> </w:t>
      </w:r>
      <w:r w:rsidRPr="0031675F">
        <w:rPr>
          <w:spacing w:val="-2"/>
        </w:rPr>
        <w:t>found</w:t>
      </w:r>
      <w:r w:rsidRPr="0031675F">
        <w:rPr>
          <w:spacing w:val="16"/>
        </w:rPr>
        <w:t xml:space="preserve"> </w:t>
      </w:r>
      <w:r w:rsidRPr="0031675F">
        <w:t>in</w:t>
      </w:r>
      <w:r w:rsidRPr="0031675F">
        <w:rPr>
          <w:spacing w:val="16"/>
        </w:rPr>
        <w:t xml:space="preserve"> </w:t>
      </w:r>
      <w:r w:rsidRPr="0031675F">
        <w:t>Attachment</w:t>
      </w:r>
      <w:r w:rsidRPr="0031675F">
        <w:rPr>
          <w:spacing w:val="18"/>
        </w:rPr>
        <w:t xml:space="preserve"> </w:t>
      </w:r>
      <w:r w:rsidRPr="0031675F">
        <w:rPr>
          <w:spacing w:val="-1"/>
        </w:rPr>
        <w:t>8.2.</w:t>
      </w:r>
      <w:r w:rsidRPr="0031675F">
        <w:rPr>
          <w:spacing w:val="33"/>
        </w:rPr>
        <w:t xml:space="preserve"> </w:t>
      </w:r>
      <w:r w:rsidRPr="0031675F">
        <w:t>It</w:t>
      </w:r>
      <w:r w:rsidRPr="0031675F">
        <w:rPr>
          <w:spacing w:val="17"/>
        </w:rPr>
        <w:t xml:space="preserve"> </w:t>
      </w:r>
      <w:r w:rsidRPr="0031675F">
        <w:rPr>
          <w:spacing w:val="-1"/>
        </w:rPr>
        <w:t>will</w:t>
      </w:r>
      <w:r w:rsidRPr="0031675F">
        <w:rPr>
          <w:spacing w:val="16"/>
        </w:rPr>
        <w:t xml:space="preserve"> </w:t>
      </w:r>
      <w:r w:rsidRPr="0031675F">
        <w:rPr>
          <w:spacing w:val="-1"/>
        </w:rPr>
        <w:t>graph</w:t>
      </w:r>
      <w:r w:rsidRPr="0031675F">
        <w:rPr>
          <w:spacing w:val="16"/>
        </w:rPr>
        <w:t xml:space="preserve"> </w:t>
      </w:r>
      <w:r w:rsidRPr="0031675F">
        <w:t>the</w:t>
      </w:r>
      <w:r w:rsidRPr="0031675F">
        <w:rPr>
          <w:spacing w:val="17"/>
        </w:rPr>
        <w:t xml:space="preserve"> C</w:t>
      </w:r>
      <w:r w:rsidRPr="0031675F">
        <w:rPr>
          <w:spacing w:val="-1"/>
        </w:rPr>
        <w:t>alibration</w:t>
      </w:r>
      <w:r w:rsidRPr="0031675F">
        <w:rPr>
          <w:spacing w:val="16"/>
        </w:rPr>
        <w:t xml:space="preserve"> </w:t>
      </w:r>
      <w:r w:rsidRPr="0031675F">
        <w:rPr>
          <w:spacing w:val="-1"/>
        </w:rPr>
        <w:t>curve</w:t>
      </w:r>
      <w:r w:rsidRPr="0031675F">
        <w:rPr>
          <w:spacing w:val="17"/>
        </w:rPr>
        <w:t xml:space="preserve"> </w:t>
      </w:r>
      <w:r w:rsidRPr="0031675F">
        <w:rPr>
          <w:spacing w:val="-1"/>
        </w:rPr>
        <w:t>and</w:t>
      </w:r>
      <w:r w:rsidRPr="0031675F">
        <w:rPr>
          <w:spacing w:val="16"/>
        </w:rPr>
        <w:t xml:space="preserve"> </w:t>
      </w:r>
      <w:r w:rsidRPr="0031675F">
        <w:rPr>
          <w:spacing w:val="-1"/>
        </w:rPr>
        <w:t>calculate</w:t>
      </w:r>
      <w:r w:rsidRPr="0031675F">
        <w:rPr>
          <w:spacing w:val="17"/>
        </w:rPr>
        <w:t xml:space="preserve"> </w:t>
      </w:r>
      <w:r w:rsidRPr="0031675F">
        <w:t>the</w:t>
      </w:r>
      <w:r w:rsidRPr="0031675F">
        <w:rPr>
          <w:spacing w:val="63"/>
        </w:rPr>
        <w:t xml:space="preserve"> </w:t>
      </w:r>
      <w:r w:rsidRPr="0031675F">
        <w:rPr>
          <w:spacing w:val="-1"/>
        </w:rPr>
        <w:t>slope</w:t>
      </w:r>
      <w:r w:rsidRPr="0031675F">
        <w:rPr>
          <w:spacing w:val="17"/>
        </w:rPr>
        <w:t xml:space="preserve"> </w:t>
      </w:r>
      <w:r w:rsidRPr="0031675F">
        <w:rPr>
          <w:spacing w:val="-1"/>
        </w:rPr>
        <w:t>and</w:t>
      </w:r>
      <w:r w:rsidRPr="0031675F">
        <w:rPr>
          <w:spacing w:val="16"/>
        </w:rPr>
        <w:t xml:space="preserve"> </w:t>
      </w:r>
      <w:r w:rsidRPr="0031675F">
        <w:rPr>
          <w:spacing w:val="-1"/>
        </w:rPr>
        <w:t>intercept for each analyte.</w:t>
      </w:r>
      <w:r w:rsidRPr="0031675F">
        <w:rPr>
          <w:spacing w:val="17"/>
        </w:rPr>
        <w:t xml:space="preserve"> </w:t>
      </w:r>
      <w:r w:rsidRPr="0031675F">
        <w:rPr>
          <w:spacing w:val="-1"/>
        </w:rPr>
        <w:t>Using</w:t>
      </w:r>
      <w:r w:rsidRPr="0031675F">
        <w:rPr>
          <w:spacing w:val="13"/>
        </w:rPr>
        <w:t xml:space="preserve"> </w:t>
      </w:r>
      <w:r w:rsidRPr="0031675F">
        <w:t>these</w:t>
      </w:r>
      <w:r w:rsidRPr="0031675F">
        <w:rPr>
          <w:spacing w:val="17"/>
        </w:rPr>
        <w:t xml:space="preserve"> </w:t>
      </w:r>
      <w:r w:rsidRPr="0031675F">
        <w:rPr>
          <w:spacing w:val="-1"/>
        </w:rPr>
        <w:t>derived</w:t>
      </w:r>
      <w:r w:rsidRPr="0031675F">
        <w:rPr>
          <w:spacing w:val="16"/>
        </w:rPr>
        <w:t xml:space="preserve"> </w:t>
      </w:r>
      <w:r w:rsidRPr="0031675F">
        <w:rPr>
          <w:spacing w:val="-1"/>
        </w:rPr>
        <w:t>values</w:t>
      </w:r>
      <w:r w:rsidRPr="0031675F">
        <w:rPr>
          <w:spacing w:val="17"/>
        </w:rPr>
        <w:t xml:space="preserve"> </w:t>
      </w:r>
      <w:r w:rsidRPr="0031675F">
        <w:t>it</w:t>
      </w:r>
      <w:r w:rsidRPr="0031675F">
        <w:rPr>
          <w:spacing w:val="14"/>
        </w:rPr>
        <w:t xml:space="preserve"> </w:t>
      </w:r>
      <w:r w:rsidRPr="0031675F">
        <w:t>then</w:t>
      </w:r>
      <w:r w:rsidRPr="0031675F">
        <w:rPr>
          <w:spacing w:val="16"/>
        </w:rPr>
        <w:t xml:space="preserve"> </w:t>
      </w:r>
      <w:r w:rsidRPr="0031675F">
        <w:rPr>
          <w:spacing w:val="-1"/>
        </w:rPr>
        <w:t>calculates</w:t>
      </w:r>
      <w:r w:rsidRPr="0031675F">
        <w:rPr>
          <w:spacing w:val="14"/>
        </w:rPr>
        <w:t xml:space="preserve"> </w:t>
      </w:r>
      <w:r w:rsidRPr="0031675F">
        <w:t>the</w:t>
      </w:r>
      <w:r w:rsidRPr="0031675F">
        <w:rPr>
          <w:spacing w:val="14"/>
        </w:rPr>
        <w:t xml:space="preserve"> </w:t>
      </w:r>
      <w:r w:rsidRPr="0031675F">
        <w:rPr>
          <w:spacing w:val="-1"/>
        </w:rPr>
        <w:t>original</w:t>
      </w:r>
      <w:r w:rsidRPr="0031675F">
        <w:rPr>
          <w:spacing w:val="16"/>
        </w:rPr>
        <w:t xml:space="preserve"> </w:t>
      </w:r>
      <w:r w:rsidRPr="0031675F">
        <w:rPr>
          <w:spacing w:val="-1"/>
        </w:rPr>
        <w:t>sample</w:t>
      </w:r>
      <w:r w:rsidRPr="0031675F">
        <w:rPr>
          <w:spacing w:val="17"/>
        </w:rPr>
        <w:t xml:space="preserve"> </w:t>
      </w:r>
      <w:r w:rsidRPr="0031675F">
        <w:rPr>
          <w:spacing w:val="-1"/>
        </w:rPr>
        <w:t>concentration</w:t>
      </w:r>
      <w:r w:rsidRPr="0031675F">
        <w:rPr>
          <w:spacing w:val="67"/>
        </w:rPr>
        <w:t xml:space="preserve"> </w:t>
      </w:r>
      <w:r w:rsidRPr="0031675F">
        <w:t>of</w:t>
      </w:r>
      <w:r w:rsidRPr="0031675F">
        <w:rPr>
          <w:spacing w:val="2"/>
        </w:rPr>
        <w:t xml:space="preserve"> </w:t>
      </w:r>
      <w:r w:rsidRPr="0031675F">
        <w:rPr>
          <w:spacing w:val="-1"/>
        </w:rPr>
        <w:t>particulate</w:t>
      </w:r>
      <w:r w:rsidRPr="0031675F">
        <w:rPr>
          <w:spacing w:val="3"/>
        </w:rPr>
        <w:t xml:space="preserve"> </w:t>
      </w:r>
      <w:r w:rsidRPr="0031675F">
        <w:rPr>
          <w:spacing w:val="-1"/>
        </w:rPr>
        <w:t>organic</w:t>
      </w:r>
      <w:r w:rsidRPr="0031675F">
        <w:rPr>
          <w:spacing w:val="2"/>
        </w:rPr>
        <w:t xml:space="preserve"> </w:t>
      </w:r>
      <w:r w:rsidRPr="0031675F">
        <w:rPr>
          <w:spacing w:val="-1"/>
        </w:rPr>
        <w:t>carbon</w:t>
      </w:r>
      <w:r w:rsidRPr="0031675F">
        <w:rPr>
          <w:spacing w:val="2"/>
        </w:rPr>
        <w:t xml:space="preserve"> </w:t>
      </w:r>
      <w:r w:rsidRPr="0031675F">
        <w:rPr>
          <w:spacing w:val="-1"/>
        </w:rPr>
        <w:t>per</w:t>
      </w:r>
      <w:r w:rsidRPr="0031675F">
        <w:rPr>
          <w:spacing w:val="3"/>
        </w:rPr>
        <w:t xml:space="preserve"> </w:t>
      </w:r>
      <w:r w:rsidRPr="0031675F">
        <w:rPr>
          <w:spacing w:val="-1"/>
        </w:rPr>
        <w:t>filter.</w:t>
      </w:r>
      <w:r w:rsidRPr="0031675F">
        <w:rPr>
          <w:spacing w:val="4"/>
        </w:rPr>
        <w:t xml:space="preserve"> </w:t>
      </w:r>
      <w:r w:rsidRPr="0031675F">
        <w:rPr>
          <w:spacing w:val="-1"/>
        </w:rPr>
        <w:t>All</w:t>
      </w:r>
      <w:r w:rsidRPr="0031675F">
        <w:rPr>
          <w:spacing w:val="2"/>
        </w:rPr>
        <w:t xml:space="preserve"> </w:t>
      </w:r>
      <w:r w:rsidRPr="0031675F">
        <w:rPr>
          <w:spacing w:val="-1"/>
        </w:rPr>
        <w:t>calculation</w:t>
      </w:r>
      <w:r w:rsidRPr="0031675F">
        <w:rPr>
          <w:spacing w:val="2"/>
        </w:rPr>
        <w:t xml:space="preserve"> </w:t>
      </w:r>
      <w:r w:rsidRPr="0031675F">
        <w:rPr>
          <w:spacing w:val="-1"/>
        </w:rPr>
        <w:t>equations</w:t>
      </w:r>
      <w:r w:rsidRPr="0031675F">
        <w:rPr>
          <w:spacing w:val="2"/>
        </w:rPr>
        <w:t xml:space="preserve"> </w:t>
      </w:r>
      <w:r w:rsidRPr="0031675F">
        <w:t>are</w:t>
      </w:r>
      <w:r w:rsidRPr="0031675F">
        <w:rPr>
          <w:spacing w:val="3"/>
        </w:rPr>
        <w:t xml:space="preserve"> </w:t>
      </w:r>
      <w:r w:rsidRPr="0031675F">
        <w:rPr>
          <w:spacing w:val="-1"/>
        </w:rPr>
        <w:t>embedded.</w:t>
      </w:r>
      <w:r w:rsidRPr="0031675F">
        <w:rPr>
          <w:spacing w:val="5"/>
        </w:rPr>
        <w:t xml:space="preserve"> </w:t>
      </w:r>
      <w:r w:rsidRPr="0031675F">
        <w:t>It</w:t>
      </w:r>
      <w:r w:rsidRPr="0031675F">
        <w:rPr>
          <w:spacing w:val="2"/>
        </w:rPr>
        <w:t xml:space="preserve"> </w:t>
      </w:r>
      <w:r w:rsidRPr="0031675F">
        <w:t>will</w:t>
      </w:r>
      <w:r w:rsidRPr="0031675F">
        <w:rPr>
          <w:spacing w:val="2"/>
        </w:rPr>
        <w:t xml:space="preserve"> </w:t>
      </w:r>
      <w:r w:rsidRPr="0031675F">
        <w:rPr>
          <w:spacing w:val="-1"/>
        </w:rPr>
        <w:t>automatically</w:t>
      </w:r>
      <w:r w:rsidRPr="0031675F">
        <w:rPr>
          <w:spacing w:val="89"/>
        </w:rPr>
        <w:t xml:space="preserve"> </w:t>
      </w:r>
      <w:r w:rsidRPr="0031675F">
        <w:rPr>
          <w:spacing w:val="-1"/>
        </w:rPr>
        <w:t>perform</w:t>
      </w:r>
      <w:r w:rsidRPr="0031675F">
        <w:rPr>
          <w:spacing w:val="48"/>
        </w:rPr>
        <w:t xml:space="preserve"> </w:t>
      </w:r>
      <w:r w:rsidRPr="0031675F">
        <w:rPr>
          <w:spacing w:val="-1"/>
        </w:rPr>
        <w:t>the</w:t>
      </w:r>
      <w:r w:rsidRPr="0031675F">
        <w:rPr>
          <w:spacing w:val="49"/>
        </w:rPr>
        <w:t xml:space="preserve"> </w:t>
      </w:r>
      <w:r w:rsidRPr="0031675F">
        <w:t>all</w:t>
      </w:r>
      <w:r w:rsidRPr="0031675F">
        <w:rPr>
          <w:spacing w:val="45"/>
        </w:rPr>
        <w:t xml:space="preserve"> </w:t>
      </w:r>
      <w:r w:rsidRPr="0031675F">
        <w:rPr>
          <w:spacing w:val="-1"/>
        </w:rPr>
        <w:t>calculations</w:t>
      </w:r>
      <w:r w:rsidRPr="0031675F">
        <w:rPr>
          <w:spacing w:val="47"/>
        </w:rPr>
        <w:t xml:space="preserve"> </w:t>
      </w:r>
      <w:r w:rsidRPr="0031675F">
        <w:rPr>
          <w:spacing w:val="-1"/>
        </w:rPr>
        <w:t>once</w:t>
      </w:r>
      <w:r w:rsidRPr="0031675F">
        <w:rPr>
          <w:spacing w:val="49"/>
        </w:rPr>
        <w:t xml:space="preserve"> </w:t>
      </w:r>
      <w:r w:rsidRPr="0031675F">
        <w:t>the</w:t>
      </w:r>
      <w:r w:rsidRPr="0031675F">
        <w:rPr>
          <w:spacing w:val="46"/>
        </w:rPr>
        <w:t xml:space="preserve"> </w:t>
      </w:r>
      <w:r w:rsidRPr="0031675F">
        <w:rPr>
          <w:spacing w:val="-1"/>
        </w:rPr>
        <w:t>values</w:t>
      </w:r>
      <w:r w:rsidRPr="0031675F">
        <w:rPr>
          <w:spacing w:val="49"/>
        </w:rPr>
        <w:t xml:space="preserve"> </w:t>
      </w:r>
      <w:r w:rsidRPr="0031675F">
        <w:rPr>
          <w:spacing w:val="-1"/>
        </w:rPr>
        <w:t>for</w:t>
      </w:r>
      <w:r w:rsidRPr="0031675F">
        <w:rPr>
          <w:spacing w:val="45"/>
        </w:rPr>
        <w:t xml:space="preserve"> </w:t>
      </w:r>
      <w:r w:rsidRPr="0031675F">
        <w:rPr>
          <w:spacing w:val="-1"/>
        </w:rPr>
        <w:t>the</w:t>
      </w:r>
      <w:r w:rsidRPr="0031675F">
        <w:rPr>
          <w:spacing w:val="49"/>
        </w:rPr>
        <w:t xml:space="preserve"> </w:t>
      </w:r>
      <w:r w:rsidRPr="0031675F">
        <w:rPr>
          <w:spacing w:val="-1"/>
        </w:rPr>
        <w:t>slope</w:t>
      </w:r>
      <w:r w:rsidRPr="0031675F">
        <w:rPr>
          <w:spacing w:val="49"/>
        </w:rPr>
        <w:t xml:space="preserve"> </w:t>
      </w:r>
      <w:r w:rsidRPr="0031675F">
        <w:rPr>
          <w:spacing w:val="-1"/>
        </w:rPr>
        <w:t>and</w:t>
      </w:r>
      <w:r w:rsidRPr="0031675F">
        <w:rPr>
          <w:spacing w:val="47"/>
        </w:rPr>
        <w:t xml:space="preserve"> </w:t>
      </w:r>
      <w:r w:rsidRPr="0031675F">
        <w:rPr>
          <w:spacing w:val="-1"/>
        </w:rPr>
        <w:t>intercept</w:t>
      </w:r>
      <w:r w:rsidRPr="0031675F">
        <w:rPr>
          <w:spacing w:val="48"/>
        </w:rPr>
        <w:t xml:space="preserve"> </w:t>
      </w:r>
      <w:r w:rsidRPr="0031675F">
        <w:rPr>
          <w:spacing w:val="-1"/>
        </w:rPr>
        <w:t>are</w:t>
      </w:r>
      <w:r w:rsidRPr="0031675F">
        <w:rPr>
          <w:spacing w:val="46"/>
        </w:rPr>
        <w:t xml:space="preserve"> </w:t>
      </w:r>
      <w:r w:rsidRPr="0031675F">
        <w:rPr>
          <w:spacing w:val="-1"/>
        </w:rPr>
        <w:t>typed</w:t>
      </w:r>
      <w:r w:rsidRPr="0031675F">
        <w:rPr>
          <w:spacing w:val="46"/>
        </w:rPr>
        <w:t xml:space="preserve"> </w:t>
      </w:r>
      <w:r w:rsidRPr="0031675F">
        <w:rPr>
          <w:spacing w:val="-1"/>
        </w:rPr>
        <w:t>in.</w:t>
      </w:r>
      <w:r w:rsidRPr="0031675F">
        <w:rPr>
          <w:spacing w:val="47"/>
        </w:rPr>
        <w:t xml:space="preserve"> </w:t>
      </w:r>
      <w:r w:rsidRPr="0031675F">
        <w:t>An</w:t>
      </w:r>
      <w:r w:rsidRPr="0031675F">
        <w:rPr>
          <w:spacing w:val="47"/>
        </w:rPr>
        <w:t xml:space="preserve"> </w:t>
      </w:r>
      <w:r w:rsidRPr="0031675F">
        <w:rPr>
          <w:spacing w:val="-1"/>
        </w:rPr>
        <w:t>Excel</w:t>
      </w:r>
      <w:r w:rsidRPr="0031675F">
        <w:rPr>
          <w:spacing w:val="49"/>
        </w:rPr>
        <w:t xml:space="preserve"> </w:t>
      </w:r>
      <w:r w:rsidRPr="0031675F">
        <w:rPr>
          <w:spacing w:val="-1"/>
        </w:rPr>
        <w:t>worksheet</w:t>
      </w:r>
      <w:r w:rsidRPr="0031675F">
        <w:rPr>
          <w:spacing w:val="33"/>
        </w:rPr>
        <w:t xml:space="preserve"> </w:t>
      </w:r>
      <w:r w:rsidRPr="0031675F">
        <w:rPr>
          <w:spacing w:val="-1"/>
        </w:rPr>
        <w:t>combining</w:t>
      </w:r>
      <w:r w:rsidRPr="0031675F">
        <w:rPr>
          <w:spacing w:val="33"/>
        </w:rPr>
        <w:t xml:space="preserve"> </w:t>
      </w:r>
      <w:r w:rsidRPr="0031675F">
        <w:t>the</w:t>
      </w:r>
      <w:r w:rsidRPr="0031675F">
        <w:rPr>
          <w:spacing w:val="32"/>
        </w:rPr>
        <w:t xml:space="preserve"> </w:t>
      </w:r>
      <w:r w:rsidRPr="0031675F">
        <w:rPr>
          <w:spacing w:val="-1"/>
        </w:rPr>
        <w:t>ug/filter,</w:t>
      </w:r>
      <w:r w:rsidRPr="0031675F">
        <w:rPr>
          <w:spacing w:val="33"/>
        </w:rPr>
        <w:t xml:space="preserve"> </w:t>
      </w:r>
      <w:r w:rsidRPr="0031675F">
        <w:rPr>
          <w:spacing w:val="-1"/>
        </w:rPr>
        <w:t>blank</w:t>
      </w:r>
      <w:r w:rsidRPr="0031675F">
        <w:rPr>
          <w:spacing w:val="32"/>
        </w:rPr>
        <w:t xml:space="preserve"> </w:t>
      </w:r>
      <w:r w:rsidRPr="0031675F">
        <w:rPr>
          <w:spacing w:val="-1"/>
        </w:rPr>
        <w:t>values</w:t>
      </w:r>
      <w:r w:rsidRPr="0031675F">
        <w:rPr>
          <w:spacing w:val="32"/>
        </w:rPr>
        <w:t xml:space="preserve"> </w:t>
      </w:r>
      <w:r w:rsidRPr="0031675F">
        <w:rPr>
          <w:spacing w:val="-1"/>
        </w:rPr>
        <w:t>and</w:t>
      </w:r>
      <w:r w:rsidRPr="0031675F">
        <w:rPr>
          <w:spacing w:val="33"/>
        </w:rPr>
        <w:t xml:space="preserve"> </w:t>
      </w:r>
      <w:r w:rsidRPr="0031675F">
        <w:t>the</w:t>
      </w:r>
      <w:r w:rsidRPr="0031675F">
        <w:rPr>
          <w:spacing w:val="33"/>
        </w:rPr>
        <w:t xml:space="preserve"> </w:t>
      </w:r>
      <w:r w:rsidRPr="0031675F">
        <w:rPr>
          <w:spacing w:val="-1"/>
        </w:rPr>
        <w:t>volume</w:t>
      </w:r>
      <w:r w:rsidRPr="0031675F">
        <w:rPr>
          <w:spacing w:val="34"/>
        </w:rPr>
        <w:t xml:space="preserve"> </w:t>
      </w:r>
      <w:r w:rsidRPr="0031675F">
        <w:rPr>
          <w:spacing w:val="-1"/>
        </w:rPr>
        <w:t>filtered</w:t>
      </w:r>
      <w:r w:rsidRPr="0031675F">
        <w:rPr>
          <w:spacing w:val="33"/>
        </w:rPr>
        <w:t xml:space="preserve"> </w:t>
      </w:r>
      <w:r w:rsidRPr="0031675F">
        <w:t>is</w:t>
      </w:r>
      <w:r w:rsidRPr="0031675F">
        <w:rPr>
          <w:spacing w:val="30"/>
        </w:rPr>
        <w:t xml:space="preserve"> </w:t>
      </w:r>
      <w:r w:rsidRPr="0031675F">
        <w:t>then</w:t>
      </w:r>
      <w:r w:rsidRPr="0031675F">
        <w:rPr>
          <w:spacing w:val="33"/>
        </w:rPr>
        <w:t xml:space="preserve"> </w:t>
      </w:r>
      <w:r w:rsidRPr="0031675F">
        <w:rPr>
          <w:spacing w:val="-1"/>
        </w:rPr>
        <w:t>used</w:t>
      </w:r>
      <w:r w:rsidRPr="0031675F">
        <w:rPr>
          <w:spacing w:val="34"/>
        </w:rPr>
        <w:t xml:space="preserve"> </w:t>
      </w:r>
      <w:r w:rsidRPr="0031675F">
        <w:rPr>
          <w:spacing w:val="-1"/>
        </w:rPr>
        <w:t>to</w:t>
      </w:r>
      <w:r w:rsidRPr="0031675F">
        <w:rPr>
          <w:spacing w:val="35"/>
        </w:rPr>
        <w:t xml:space="preserve"> </w:t>
      </w:r>
      <w:r w:rsidRPr="0031675F">
        <w:rPr>
          <w:spacing w:val="-1"/>
        </w:rPr>
        <w:t>create</w:t>
      </w:r>
      <w:r w:rsidRPr="0031675F">
        <w:rPr>
          <w:spacing w:val="31"/>
        </w:rPr>
        <w:t xml:space="preserve"> </w:t>
      </w:r>
      <w:r w:rsidRPr="0031675F">
        <w:t>a</w:t>
      </w:r>
      <w:r w:rsidRPr="0031675F">
        <w:rPr>
          <w:spacing w:val="51"/>
        </w:rPr>
        <w:t xml:space="preserve"> </w:t>
      </w:r>
      <w:r w:rsidRPr="0031675F">
        <w:rPr>
          <w:spacing w:val="-1"/>
        </w:rPr>
        <w:t>feeder</w:t>
      </w:r>
      <w:r w:rsidRPr="0031675F">
        <w:rPr>
          <w:spacing w:val="26"/>
        </w:rPr>
        <w:t xml:space="preserve"> </w:t>
      </w:r>
      <w:r w:rsidRPr="0031675F">
        <w:rPr>
          <w:spacing w:val="-1"/>
        </w:rPr>
        <w:t>sheet</w:t>
      </w:r>
      <w:r w:rsidRPr="0031675F">
        <w:rPr>
          <w:spacing w:val="27"/>
        </w:rPr>
        <w:t xml:space="preserve"> </w:t>
      </w:r>
      <w:r w:rsidRPr="0031675F">
        <w:rPr>
          <w:spacing w:val="-1"/>
        </w:rPr>
        <w:t>for</w:t>
      </w:r>
      <w:r w:rsidRPr="0031675F">
        <w:rPr>
          <w:spacing w:val="27"/>
        </w:rPr>
        <w:t xml:space="preserve"> </w:t>
      </w:r>
      <w:r w:rsidRPr="0031675F">
        <w:rPr>
          <w:spacing w:val="-1"/>
        </w:rPr>
        <w:t>the</w:t>
      </w:r>
      <w:r w:rsidRPr="0031675F">
        <w:rPr>
          <w:spacing w:val="26"/>
        </w:rPr>
        <w:t xml:space="preserve"> </w:t>
      </w:r>
      <w:r w:rsidRPr="0031675F">
        <w:rPr>
          <w:spacing w:val="-2"/>
        </w:rPr>
        <w:t>Oracle</w:t>
      </w:r>
      <w:r w:rsidRPr="0031675F">
        <w:rPr>
          <w:spacing w:val="27"/>
        </w:rPr>
        <w:t xml:space="preserve"> </w:t>
      </w:r>
      <w:r w:rsidRPr="0031675F">
        <w:rPr>
          <w:spacing w:val="-1"/>
        </w:rPr>
        <w:t>database</w:t>
      </w:r>
      <w:r w:rsidRPr="0031675F">
        <w:rPr>
          <w:spacing w:val="27"/>
        </w:rPr>
        <w:t xml:space="preserve"> </w:t>
      </w:r>
      <w:r w:rsidRPr="0031675F">
        <w:rPr>
          <w:spacing w:val="-1"/>
        </w:rPr>
        <w:t>(</w:t>
      </w:r>
      <w:r w:rsidRPr="0031675F">
        <w:rPr>
          <w:color w:val="0000FF"/>
          <w:spacing w:val="-1"/>
          <w:u w:val="single" w:color="0000FF"/>
        </w:rPr>
        <w:t>http://waterquality.aims.gov.au:8080/waterquality</w:t>
      </w:r>
      <w:r w:rsidRPr="0031675F">
        <w:rPr>
          <w:spacing w:val="-1"/>
        </w:rPr>
        <w:t>)</w:t>
      </w:r>
      <w:r w:rsidRPr="0031675F">
        <w:rPr>
          <w:spacing w:val="4"/>
        </w:rPr>
        <w:t xml:space="preserve"> </w:t>
      </w:r>
      <w:r w:rsidRPr="0031675F">
        <w:t>which</w:t>
      </w:r>
      <w:r w:rsidRPr="0031675F">
        <w:rPr>
          <w:spacing w:val="25"/>
        </w:rPr>
        <w:t xml:space="preserve"> </w:t>
      </w:r>
      <w:r w:rsidRPr="0031675F">
        <w:t>will</w:t>
      </w:r>
      <w:r w:rsidRPr="0031675F">
        <w:rPr>
          <w:spacing w:val="57"/>
        </w:rPr>
        <w:t xml:space="preserve"> </w:t>
      </w:r>
      <w:r w:rsidRPr="0031675F">
        <w:rPr>
          <w:spacing w:val="-1"/>
        </w:rPr>
        <w:t>input</w:t>
      </w:r>
      <w:r w:rsidRPr="0031675F">
        <w:rPr>
          <w:spacing w:val="24"/>
        </w:rPr>
        <w:t xml:space="preserve"> </w:t>
      </w:r>
      <w:r w:rsidRPr="0031675F">
        <w:rPr>
          <w:spacing w:val="-1"/>
        </w:rPr>
        <w:t>all</w:t>
      </w:r>
      <w:r w:rsidRPr="0031675F">
        <w:rPr>
          <w:spacing w:val="23"/>
        </w:rPr>
        <w:t xml:space="preserve"> </w:t>
      </w:r>
      <w:r w:rsidRPr="0031675F">
        <w:t>the</w:t>
      </w:r>
      <w:r w:rsidRPr="0031675F">
        <w:rPr>
          <w:spacing w:val="24"/>
        </w:rPr>
        <w:t xml:space="preserve"> </w:t>
      </w:r>
      <w:r w:rsidRPr="0031675F">
        <w:rPr>
          <w:spacing w:val="-1"/>
        </w:rPr>
        <w:t>analytical</w:t>
      </w:r>
      <w:r w:rsidRPr="0031675F">
        <w:rPr>
          <w:spacing w:val="23"/>
        </w:rPr>
        <w:t xml:space="preserve"> </w:t>
      </w:r>
      <w:r w:rsidRPr="0031675F">
        <w:rPr>
          <w:spacing w:val="-1"/>
        </w:rPr>
        <w:t>results,</w:t>
      </w:r>
      <w:r w:rsidRPr="0031675F">
        <w:rPr>
          <w:spacing w:val="24"/>
        </w:rPr>
        <w:t xml:space="preserve"> </w:t>
      </w:r>
      <w:r w:rsidRPr="0031675F">
        <w:rPr>
          <w:spacing w:val="-1"/>
        </w:rPr>
        <w:t>convert</w:t>
      </w:r>
      <w:r w:rsidRPr="0031675F">
        <w:rPr>
          <w:spacing w:val="22"/>
        </w:rPr>
        <w:t xml:space="preserve"> </w:t>
      </w:r>
      <w:r w:rsidRPr="0031675F">
        <w:rPr>
          <w:spacing w:val="-1"/>
        </w:rPr>
        <w:t>them</w:t>
      </w:r>
      <w:r w:rsidRPr="0031675F">
        <w:rPr>
          <w:spacing w:val="25"/>
        </w:rPr>
        <w:t xml:space="preserve"> </w:t>
      </w:r>
      <w:r w:rsidRPr="0031675F">
        <w:rPr>
          <w:spacing w:val="-1"/>
        </w:rPr>
        <w:t>to</w:t>
      </w:r>
      <w:r w:rsidRPr="0031675F">
        <w:rPr>
          <w:spacing w:val="25"/>
        </w:rPr>
        <w:t xml:space="preserve"> </w:t>
      </w:r>
      <w:r w:rsidRPr="0031675F">
        <w:rPr>
          <w:spacing w:val="-1"/>
        </w:rPr>
        <w:t>uM</w:t>
      </w:r>
      <w:r w:rsidRPr="0031675F">
        <w:rPr>
          <w:spacing w:val="22"/>
        </w:rPr>
        <w:t xml:space="preserve"> </w:t>
      </w:r>
      <w:r w:rsidRPr="0031675F">
        <w:rPr>
          <w:spacing w:val="-1"/>
        </w:rPr>
        <w:t>units</w:t>
      </w:r>
      <w:r w:rsidRPr="0031675F">
        <w:rPr>
          <w:spacing w:val="24"/>
        </w:rPr>
        <w:t xml:space="preserve"> </w:t>
      </w:r>
      <w:r w:rsidRPr="0031675F">
        <w:rPr>
          <w:spacing w:val="-1"/>
        </w:rPr>
        <w:t>and</w:t>
      </w:r>
      <w:r w:rsidRPr="0031675F">
        <w:rPr>
          <w:spacing w:val="23"/>
        </w:rPr>
        <w:t xml:space="preserve"> </w:t>
      </w:r>
      <w:r w:rsidRPr="0031675F">
        <w:t>keep</w:t>
      </w:r>
      <w:r w:rsidRPr="0031675F">
        <w:rPr>
          <w:spacing w:val="24"/>
        </w:rPr>
        <w:t xml:space="preserve"> </w:t>
      </w:r>
      <w:r w:rsidRPr="0031675F">
        <w:t>a</w:t>
      </w:r>
      <w:r w:rsidRPr="0031675F">
        <w:rPr>
          <w:spacing w:val="24"/>
        </w:rPr>
        <w:t xml:space="preserve"> </w:t>
      </w:r>
      <w:r w:rsidRPr="0031675F">
        <w:rPr>
          <w:spacing w:val="-1"/>
        </w:rPr>
        <w:t>copy</w:t>
      </w:r>
      <w:r w:rsidRPr="0031675F">
        <w:rPr>
          <w:spacing w:val="22"/>
        </w:rPr>
        <w:t xml:space="preserve"> </w:t>
      </w:r>
      <w:r w:rsidRPr="0031675F">
        <w:t>of</w:t>
      </w:r>
      <w:r w:rsidRPr="0031675F">
        <w:rPr>
          <w:spacing w:val="24"/>
        </w:rPr>
        <w:t xml:space="preserve"> </w:t>
      </w:r>
      <w:r w:rsidRPr="0031675F">
        <w:rPr>
          <w:spacing w:val="-1"/>
        </w:rPr>
        <w:t>the</w:t>
      </w:r>
      <w:r w:rsidRPr="0031675F">
        <w:rPr>
          <w:spacing w:val="24"/>
        </w:rPr>
        <w:t xml:space="preserve"> </w:t>
      </w:r>
      <w:r w:rsidRPr="0031675F">
        <w:t>related</w:t>
      </w:r>
      <w:r w:rsidRPr="0031675F">
        <w:rPr>
          <w:spacing w:val="21"/>
        </w:rPr>
        <w:t xml:space="preserve"> </w:t>
      </w:r>
      <w:r w:rsidRPr="0031675F">
        <w:t>excel</w:t>
      </w:r>
      <w:r w:rsidRPr="0031675F">
        <w:rPr>
          <w:spacing w:val="24"/>
        </w:rPr>
        <w:t xml:space="preserve"> </w:t>
      </w:r>
      <w:r w:rsidRPr="0031675F">
        <w:rPr>
          <w:spacing w:val="-2"/>
        </w:rPr>
        <w:t>file</w:t>
      </w:r>
      <w:r w:rsidRPr="0031675F">
        <w:rPr>
          <w:spacing w:val="59"/>
        </w:rPr>
        <w:t xml:space="preserve"> </w:t>
      </w:r>
      <w:r w:rsidRPr="0031675F">
        <w:rPr>
          <w:spacing w:val="-1"/>
        </w:rPr>
        <w:t>complete</w:t>
      </w:r>
      <w:r w:rsidRPr="0031675F">
        <w:t xml:space="preserve"> </w:t>
      </w:r>
      <w:r w:rsidRPr="0031675F">
        <w:rPr>
          <w:spacing w:val="-1"/>
        </w:rPr>
        <w:t>with</w:t>
      </w:r>
      <w:r w:rsidRPr="0031675F">
        <w:t xml:space="preserve"> QAQC</w:t>
      </w:r>
      <w:r w:rsidRPr="0031675F">
        <w:rPr>
          <w:spacing w:val="-3"/>
        </w:rPr>
        <w:t xml:space="preserve"> </w:t>
      </w:r>
      <w:r w:rsidRPr="0031675F">
        <w:rPr>
          <w:spacing w:val="-1"/>
        </w:rPr>
        <w:t>data.</w:t>
      </w:r>
      <w:r w:rsidRPr="0031675F">
        <w:rPr>
          <w:spacing w:val="47"/>
        </w:rPr>
        <w:t xml:space="preserve"> </w:t>
      </w:r>
      <w:r w:rsidRPr="0031675F">
        <w:t>All</w:t>
      </w:r>
      <w:r w:rsidRPr="0031675F">
        <w:rPr>
          <w:spacing w:val="-1"/>
        </w:rPr>
        <w:t xml:space="preserve"> laboratory</w:t>
      </w:r>
      <w:r w:rsidRPr="0031675F">
        <w:t xml:space="preserve"> </w:t>
      </w:r>
      <w:r w:rsidRPr="0031675F">
        <w:rPr>
          <w:spacing w:val="-1"/>
        </w:rPr>
        <w:t>work</w:t>
      </w:r>
      <w:r w:rsidRPr="0031675F">
        <w:rPr>
          <w:spacing w:val="-3"/>
        </w:rPr>
        <w:t xml:space="preserve"> </w:t>
      </w:r>
      <w:r w:rsidRPr="0031675F">
        <w:rPr>
          <w:spacing w:val="-1"/>
        </w:rPr>
        <w:t>forms</w:t>
      </w:r>
      <w:r w:rsidRPr="0031675F">
        <w:rPr>
          <w:spacing w:val="-5"/>
        </w:rPr>
        <w:t xml:space="preserve"> </w:t>
      </w:r>
      <w:r w:rsidRPr="0031675F">
        <w:t xml:space="preserve">are </w:t>
      </w:r>
      <w:r w:rsidRPr="0031675F">
        <w:rPr>
          <w:spacing w:val="-1"/>
        </w:rPr>
        <w:t>then</w:t>
      </w:r>
      <w:r w:rsidRPr="0031675F">
        <w:rPr>
          <w:spacing w:val="-3"/>
        </w:rPr>
        <w:t xml:space="preserve"> </w:t>
      </w:r>
      <w:r w:rsidRPr="0031675F">
        <w:rPr>
          <w:spacing w:val="-1"/>
        </w:rPr>
        <w:t>archived.</w:t>
      </w:r>
    </w:p>
    <w:p w14:paraId="580028F7" w14:textId="77777777" w:rsidR="0031675F" w:rsidRPr="0031675F" w:rsidRDefault="0031675F" w:rsidP="0031675F">
      <w:pPr>
        <w:spacing w:before="12"/>
        <w:rPr>
          <w:rFonts w:cs="Calibri"/>
          <w:sz w:val="21"/>
          <w:szCs w:val="21"/>
        </w:rPr>
      </w:pPr>
    </w:p>
    <w:p w14:paraId="193070A9" w14:textId="77777777" w:rsidR="0031675F" w:rsidRPr="0031675F" w:rsidRDefault="0031675F" w:rsidP="0031675F">
      <w:pPr>
        <w:widowControl w:val="0"/>
        <w:numPr>
          <w:ilvl w:val="1"/>
          <w:numId w:val="93"/>
        </w:numPr>
        <w:tabs>
          <w:tab w:val="left" w:pos="839"/>
        </w:tabs>
        <w:spacing w:before="0" w:after="0" w:line="240" w:lineRule="auto"/>
        <w:jc w:val="both"/>
        <w:rPr>
          <w:rFonts w:eastAsia="Arial" w:cs="Arial"/>
          <w:sz w:val="24"/>
          <w:szCs w:val="24"/>
        </w:rPr>
      </w:pPr>
      <w:bookmarkStart w:id="693" w:name="_TOC_250020"/>
      <w:r w:rsidRPr="0031675F">
        <w:rPr>
          <w:b/>
          <w:sz w:val="24"/>
        </w:rPr>
        <w:t>Quality</w:t>
      </w:r>
      <w:r w:rsidRPr="0031675F">
        <w:rPr>
          <w:b/>
          <w:spacing w:val="-6"/>
          <w:sz w:val="24"/>
        </w:rPr>
        <w:t xml:space="preserve"> </w:t>
      </w:r>
      <w:r w:rsidRPr="0031675F">
        <w:rPr>
          <w:b/>
          <w:spacing w:val="-1"/>
          <w:sz w:val="24"/>
        </w:rPr>
        <w:t>control</w:t>
      </w:r>
      <w:bookmarkEnd w:id="693"/>
    </w:p>
    <w:p w14:paraId="725ED091" w14:textId="77777777" w:rsidR="0031675F" w:rsidRPr="0031675F" w:rsidRDefault="0031675F" w:rsidP="0031675F">
      <w:pPr>
        <w:spacing w:before="20" w:after="120" w:line="538" w:lineRule="exact"/>
        <w:ind w:right="2040"/>
      </w:pPr>
      <w:r w:rsidRPr="0031675F">
        <w:t xml:space="preserve">QAQC </w:t>
      </w:r>
      <w:r w:rsidRPr="0031675F">
        <w:rPr>
          <w:spacing w:val="-1"/>
        </w:rPr>
        <w:t>tests</w:t>
      </w:r>
      <w:r w:rsidRPr="0031675F">
        <w:rPr>
          <w:spacing w:val="-3"/>
        </w:rPr>
        <w:t xml:space="preserve"> </w:t>
      </w:r>
      <w:r w:rsidRPr="0031675F">
        <w:rPr>
          <w:spacing w:val="-1"/>
        </w:rPr>
        <w:t>undertaken</w:t>
      </w:r>
      <w:r w:rsidRPr="0031675F">
        <w:t xml:space="preserve"> </w:t>
      </w:r>
      <w:r w:rsidRPr="0031675F">
        <w:rPr>
          <w:spacing w:val="-2"/>
        </w:rPr>
        <w:t>and</w:t>
      </w:r>
      <w:r w:rsidRPr="0031675F">
        <w:rPr>
          <w:spacing w:val="-1"/>
        </w:rPr>
        <w:t xml:space="preserve"> reporting as</w:t>
      </w:r>
      <w:r w:rsidRPr="0031675F">
        <w:t xml:space="preserve"> </w:t>
      </w:r>
      <w:r w:rsidRPr="0031675F">
        <w:rPr>
          <w:spacing w:val="-1"/>
        </w:rPr>
        <w:t>part</w:t>
      </w:r>
      <w:r w:rsidRPr="0031675F">
        <w:rPr>
          <w:spacing w:val="-2"/>
        </w:rPr>
        <w:t xml:space="preserve"> </w:t>
      </w:r>
      <w:r w:rsidRPr="0031675F">
        <w:t>of</w:t>
      </w:r>
      <w:r w:rsidRPr="0031675F">
        <w:rPr>
          <w:spacing w:val="-2"/>
        </w:rPr>
        <w:t xml:space="preserve"> </w:t>
      </w:r>
      <w:r w:rsidRPr="0031675F">
        <w:t xml:space="preserve">the </w:t>
      </w:r>
      <w:r w:rsidRPr="0031675F">
        <w:rPr>
          <w:spacing w:val="-1"/>
        </w:rPr>
        <w:t>data</w:t>
      </w:r>
      <w:r w:rsidRPr="0031675F">
        <w:t xml:space="preserve"> </w:t>
      </w:r>
      <w:r w:rsidRPr="0031675F">
        <w:rPr>
          <w:spacing w:val="-1"/>
        </w:rPr>
        <w:t>reporting include:</w:t>
      </w:r>
      <w:r w:rsidRPr="0031675F">
        <w:rPr>
          <w:spacing w:val="65"/>
        </w:rPr>
        <w:t xml:space="preserve"> </w:t>
      </w: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limit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detection (LOD)</w:t>
      </w:r>
    </w:p>
    <w:p w14:paraId="3A744E53" w14:textId="77777777" w:rsidR="0031675F" w:rsidRPr="0031675F" w:rsidRDefault="0031675F" w:rsidP="0031675F">
      <w:pPr>
        <w:spacing w:line="220" w:lineRule="exact"/>
        <w:ind w:left="118"/>
        <w:jc w:val="both"/>
        <w:rPr>
          <w:rFonts w:cs="Calibri"/>
        </w:rPr>
      </w:pPr>
      <w:r w:rsidRPr="0031675F">
        <w:rPr>
          <w:i/>
          <w:spacing w:val="-1"/>
        </w:rPr>
        <w:t>NB:</w:t>
      </w:r>
      <w:r w:rsidRPr="0031675F">
        <w:rPr>
          <w:i/>
          <w:spacing w:val="38"/>
        </w:rPr>
        <w:t xml:space="preserve"> </w:t>
      </w:r>
      <w:r w:rsidRPr="0031675F">
        <w:rPr>
          <w:i/>
        </w:rPr>
        <w:t>the</w:t>
      </w:r>
      <w:r w:rsidRPr="0031675F">
        <w:rPr>
          <w:i/>
          <w:spacing w:val="38"/>
        </w:rPr>
        <w:t xml:space="preserve"> </w:t>
      </w:r>
      <w:r w:rsidRPr="0031675F">
        <w:rPr>
          <w:i/>
          <w:spacing w:val="-1"/>
        </w:rPr>
        <w:t>Limit</w:t>
      </w:r>
      <w:r w:rsidRPr="0031675F">
        <w:rPr>
          <w:i/>
          <w:spacing w:val="39"/>
        </w:rPr>
        <w:t xml:space="preserve"> </w:t>
      </w:r>
      <w:r w:rsidRPr="0031675F">
        <w:rPr>
          <w:i/>
          <w:spacing w:val="-1"/>
        </w:rPr>
        <w:t>of</w:t>
      </w:r>
      <w:r w:rsidRPr="0031675F">
        <w:rPr>
          <w:i/>
          <w:spacing w:val="35"/>
        </w:rPr>
        <w:t xml:space="preserve"> </w:t>
      </w:r>
      <w:r w:rsidRPr="0031675F">
        <w:rPr>
          <w:i/>
          <w:spacing w:val="-1"/>
        </w:rPr>
        <w:t>Detection</w:t>
      </w:r>
      <w:r w:rsidRPr="0031675F">
        <w:rPr>
          <w:i/>
          <w:spacing w:val="38"/>
        </w:rPr>
        <w:t xml:space="preserve"> </w:t>
      </w:r>
      <w:r w:rsidRPr="0031675F">
        <w:rPr>
          <w:i/>
          <w:spacing w:val="-1"/>
        </w:rPr>
        <w:t>(LOD)</w:t>
      </w:r>
      <w:r w:rsidRPr="0031675F">
        <w:rPr>
          <w:i/>
          <w:spacing w:val="39"/>
        </w:rPr>
        <w:t xml:space="preserve"> </w:t>
      </w:r>
      <w:r w:rsidRPr="0031675F">
        <w:rPr>
          <w:i/>
          <w:spacing w:val="-1"/>
        </w:rPr>
        <w:t>or</w:t>
      </w:r>
      <w:r w:rsidRPr="0031675F">
        <w:rPr>
          <w:i/>
          <w:spacing w:val="39"/>
        </w:rPr>
        <w:t xml:space="preserve"> </w:t>
      </w:r>
      <w:r w:rsidRPr="0031675F">
        <w:rPr>
          <w:i/>
          <w:spacing w:val="-1"/>
        </w:rPr>
        <w:t>detection</w:t>
      </w:r>
      <w:r w:rsidRPr="0031675F">
        <w:rPr>
          <w:i/>
          <w:spacing w:val="36"/>
        </w:rPr>
        <w:t xml:space="preserve"> </w:t>
      </w:r>
      <w:r w:rsidRPr="0031675F">
        <w:rPr>
          <w:i/>
          <w:spacing w:val="-1"/>
        </w:rPr>
        <w:t>limit,</w:t>
      </w:r>
      <w:r w:rsidRPr="0031675F">
        <w:rPr>
          <w:i/>
          <w:spacing w:val="36"/>
        </w:rPr>
        <w:t xml:space="preserve"> </w:t>
      </w:r>
      <w:r w:rsidRPr="0031675F">
        <w:rPr>
          <w:i/>
        </w:rPr>
        <w:t>is</w:t>
      </w:r>
      <w:r w:rsidRPr="0031675F">
        <w:rPr>
          <w:i/>
          <w:spacing w:val="39"/>
        </w:rPr>
        <w:t xml:space="preserve"> </w:t>
      </w:r>
      <w:r w:rsidRPr="0031675F">
        <w:rPr>
          <w:i/>
        </w:rPr>
        <w:t>the</w:t>
      </w:r>
      <w:r w:rsidRPr="0031675F">
        <w:rPr>
          <w:i/>
          <w:spacing w:val="37"/>
        </w:rPr>
        <w:t xml:space="preserve"> </w:t>
      </w:r>
      <w:r w:rsidRPr="0031675F">
        <w:rPr>
          <w:i/>
          <w:spacing w:val="-1"/>
        </w:rPr>
        <w:t>lowest</w:t>
      </w:r>
      <w:r w:rsidRPr="0031675F">
        <w:rPr>
          <w:i/>
          <w:spacing w:val="39"/>
        </w:rPr>
        <w:t xml:space="preserve"> </w:t>
      </w:r>
      <w:r w:rsidRPr="0031675F">
        <w:rPr>
          <w:i/>
          <w:spacing w:val="-1"/>
        </w:rPr>
        <w:t>concentration</w:t>
      </w:r>
      <w:r w:rsidRPr="0031675F">
        <w:rPr>
          <w:i/>
          <w:spacing w:val="38"/>
        </w:rPr>
        <w:t xml:space="preserve"> </w:t>
      </w:r>
      <w:r w:rsidRPr="0031675F">
        <w:rPr>
          <w:i/>
        </w:rPr>
        <w:t>level</w:t>
      </w:r>
      <w:r w:rsidRPr="0031675F">
        <w:rPr>
          <w:i/>
          <w:spacing w:val="38"/>
        </w:rPr>
        <w:t xml:space="preserve"> </w:t>
      </w:r>
      <w:r w:rsidRPr="0031675F">
        <w:rPr>
          <w:i/>
          <w:spacing w:val="-1"/>
        </w:rPr>
        <w:t>that</w:t>
      </w:r>
      <w:r w:rsidRPr="0031675F">
        <w:rPr>
          <w:i/>
          <w:spacing w:val="38"/>
        </w:rPr>
        <w:t xml:space="preserve"> </w:t>
      </w:r>
      <w:r w:rsidRPr="0031675F">
        <w:rPr>
          <w:i/>
          <w:spacing w:val="-1"/>
        </w:rPr>
        <w:t>can</w:t>
      </w:r>
      <w:r w:rsidRPr="0031675F">
        <w:rPr>
          <w:i/>
          <w:spacing w:val="38"/>
        </w:rPr>
        <w:t xml:space="preserve"> </w:t>
      </w:r>
      <w:r w:rsidRPr="0031675F">
        <w:rPr>
          <w:i/>
          <w:spacing w:val="-1"/>
        </w:rPr>
        <w:t>be</w:t>
      </w:r>
    </w:p>
    <w:p w14:paraId="1AEDA58A" w14:textId="77777777" w:rsidR="0031675F" w:rsidRPr="0031675F" w:rsidRDefault="0031675F" w:rsidP="0031675F">
      <w:pPr>
        <w:ind w:left="118"/>
        <w:jc w:val="both"/>
        <w:rPr>
          <w:rFonts w:cs="Calibri"/>
        </w:rPr>
      </w:pPr>
      <w:r w:rsidRPr="0031675F">
        <w:rPr>
          <w:i/>
          <w:spacing w:val="-1"/>
        </w:rPr>
        <w:t xml:space="preserve">determined </w:t>
      </w:r>
      <w:r w:rsidRPr="0031675F">
        <w:rPr>
          <w:i/>
        </w:rPr>
        <w:t xml:space="preserve">to </w:t>
      </w:r>
      <w:r w:rsidRPr="0031675F">
        <w:rPr>
          <w:i/>
          <w:spacing w:val="-1"/>
        </w:rPr>
        <w:t>be</w:t>
      </w:r>
      <w:r w:rsidRPr="0031675F">
        <w:rPr>
          <w:i/>
          <w:spacing w:val="-3"/>
        </w:rPr>
        <w:t xml:space="preserve"> </w:t>
      </w:r>
      <w:r w:rsidRPr="0031675F">
        <w:rPr>
          <w:i/>
          <w:spacing w:val="-1"/>
        </w:rPr>
        <w:t>statistically different</w:t>
      </w:r>
      <w:r w:rsidRPr="0031675F">
        <w:rPr>
          <w:i/>
          <w:spacing w:val="-3"/>
        </w:rPr>
        <w:t xml:space="preserve"> </w:t>
      </w:r>
      <w:r w:rsidRPr="0031675F">
        <w:rPr>
          <w:i/>
          <w:spacing w:val="-1"/>
        </w:rPr>
        <w:t>from</w:t>
      </w:r>
      <w:r w:rsidRPr="0031675F">
        <w:rPr>
          <w:i/>
          <w:spacing w:val="1"/>
        </w:rPr>
        <w:t xml:space="preserve"> </w:t>
      </w:r>
      <w:r w:rsidRPr="0031675F">
        <w:rPr>
          <w:i/>
        </w:rPr>
        <w:t>a</w:t>
      </w:r>
      <w:r w:rsidRPr="0031675F">
        <w:rPr>
          <w:i/>
          <w:spacing w:val="-1"/>
        </w:rPr>
        <w:t xml:space="preserve"> blank</w:t>
      </w:r>
      <w:r w:rsidRPr="0031675F">
        <w:rPr>
          <w:i/>
        </w:rPr>
        <w:t xml:space="preserve"> </w:t>
      </w:r>
      <w:r w:rsidRPr="0031675F">
        <w:rPr>
          <w:i/>
          <w:spacing w:val="-2"/>
        </w:rPr>
        <w:t>(99%</w:t>
      </w:r>
      <w:r w:rsidRPr="0031675F">
        <w:rPr>
          <w:i/>
          <w:spacing w:val="1"/>
        </w:rPr>
        <w:t xml:space="preserve"> </w:t>
      </w:r>
      <w:r w:rsidRPr="0031675F">
        <w:rPr>
          <w:i/>
          <w:spacing w:val="-1"/>
        </w:rPr>
        <w:t>confidence).</w:t>
      </w:r>
    </w:p>
    <w:p w14:paraId="29F45B60" w14:textId="77777777" w:rsidR="0031675F" w:rsidRPr="0031675F" w:rsidRDefault="0031675F" w:rsidP="0031675F">
      <w:pPr>
        <w:widowControl w:val="0"/>
        <w:numPr>
          <w:ilvl w:val="2"/>
          <w:numId w:val="93"/>
        </w:numPr>
        <w:tabs>
          <w:tab w:val="left" w:pos="839"/>
        </w:tabs>
        <w:spacing w:before="0" w:after="0" w:line="240" w:lineRule="auto"/>
        <w:ind w:left="119" w:right="119" w:firstLine="360"/>
        <w:rPr>
          <w:rFonts w:cs="Calibri"/>
        </w:rPr>
      </w:pPr>
      <w:r w:rsidRPr="0031675F">
        <w:rPr>
          <w:spacing w:val="-1"/>
        </w:rPr>
        <w:t>Minimum</w:t>
      </w:r>
      <w:r w:rsidRPr="0031675F">
        <w:rPr>
          <w:spacing w:val="1"/>
        </w:rPr>
        <w:t xml:space="preserve"> </w:t>
      </w:r>
      <w:r w:rsidRPr="0031675F">
        <w:rPr>
          <w:spacing w:val="-1"/>
        </w:rPr>
        <w:t>detection limits</w:t>
      </w:r>
      <w:r w:rsidRPr="0031675F">
        <w:rPr>
          <w:spacing w:val="-5"/>
        </w:rPr>
        <w:t xml:space="preserve"> </w:t>
      </w:r>
      <w:r w:rsidRPr="0031675F">
        <w:t>were</w:t>
      </w:r>
      <w:r w:rsidRPr="0031675F">
        <w:rPr>
          <w:spacing w:val="-2"/>
        </w:rPr>
        <w:t xml:space="preserve"> </w:t>
      </w:r>
      <w:r w:rsidRPr="0031675F">
        <w:rPr>
          <w:spacing w:val="-1"/>
        </w:rPr>
        <w:t>calculated</w:t>
      </w:r>
      <w:r w:rsidRPr="0031675F">
        <w:t xml:space="preserve"> for</w:t>
      </w:r>
      <w:r w:rsidRPr="0031675F">
        <w:rPr>
          <w:spacing w:val="-3"/>
        </w:rPr>
        <w:t xml:space="preserve"> </w:t>
      </w:r>
      <w:r w:rsidRPr="0031675F">
        <w:rPr>
          <w:spacing w:val="-1"/>
        </w:rPr>
        <w:t>this</w:t>
      </w:r>
      <w:r w:rsidRPr="0031675F">
        <w:rPr>
          <w:spacing w:val="-3"/>
        </w:rPr>
        <w:t xml:space="preserve"> </w:t>
      </w:r>
      <w:r w:rsidRPr="0031675F">
        <w:rPr>
          <w:spacing w:val="-1"/>
        </w:rPr>
        <w:t xml:space="preserve">method using repetition </w:t>
      </w:r>
      <w:r w:rsidRPr="0031675F">
        <w:t>of</w:t>
      </w:r>
      <w:r w:rsidRPr="0031675F">
        <w:rPr>
          <w:spacing w:val="-3"/>
        </w:rPr>
        <w:t xml:space="preserve"> </w:t>
      </w:r>
      <w:r w:rsidRPr="0031675F">
        <w:rPr>
          <w:spacing w:val="-1"/>
        </w:rPr>
        <w:t>blanks.</w:t>
      </w:r>
    </w:p>
    <w:p w14:paraId="1E624D37" w14:textId="77777777" w:rsidR="0031675F" w:rsidRPr="0031675F" w:rsidRDefault="0031675F" w:rsidP="0031675F">
      <w:pPr>
        <w:tabs>
          <w:tab w:val="left" w:pos="839"/>
        </w:tabs>
        <w:spacing w:after="120"/>
        <w:ind w:right="119"/>
        <w:rPr>
          <w:spacing w:val="-1"/>
          <w:u w:val="single" w:color="000000"/>
        </w:rPr>
      </w:pPr>
    </w:p>
    <w:p w14:paraId="3C38FA91" w14:textId="77777777" w:rsidR="0031675F" w:rsidRPr="0031675F" w:rsidRDefault="0031675F" w:rsidP="0031675F">
      <w:pPr>
        <w:tabs>
          <w:tab w:val="left" w:pos="839"/>
        </w:tabs>
        <w:spacing w:after="120"/>
        <w:ind w:right="119"/>
        <w:rPr>
          <w:rFonts w:cs="Calibri"/>
        </w:rPr>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accuracy</w:t>
      </w:r>
      <w:r w:rsidRPr="0031675F">
        <w:rPr>
          <w:spacing w:val="-2"/>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analysis</w:t>
      </w:r>
    </w:p>
    <w:p w14:paraId="70F1605E" w14:textId="77777777" w:rsidR="0031675F" w:rsidRPr="0031675F" w:rsidRDefault="0031675F" w:rsidP="0031675F">
      <w:pPr>
        <w:tabs>
          <w:tab w:val="left" w:pos="839"/>
        </w:tabs>
        <w:spacing w:after="120"/>
        <w:ind w:left="119" w:right="119"/>
        <w:rPr>
          <w:rFonts w:cs="Calibri"/>
        </w:rPr>
      </w:pPr>
      <w:r w:rsidRPr="0031675F">
        <w:rPr>
          <w:i/>
          <w:spacing w:val="-1"/>
        </w:rPr>
        <w:t>NB:</w:t>
      </w:r>
      <w:r w:rsidRPr="0031675F">
        <w:rPr>
          <w:i/>
          <w:spacing w:val="24"/>
        </w:rPr>
        <w:t xml:space="preserve"> </w:t>
      </w:r>
      <w:r w:rsidRPr="0031675F">
        <w:rPr>
          <w:i/>
          <w:spacing w:val="-1"/>
        </w:rPr>
        <w:t>This</w:t>
      </w:r>
      <w:r w:rsidRPr="0031675F">
        <w:rPr>
          <w:i/>
          <w:spacing w:val="24"/>
        </w:rPr>
        <w:t xml:space="preserve"> </w:t>
      </w:r>
      <w:r w:rsidRPr="0031675F">
        <w:rPr>
          <w:i/>
          <w:spacing w:val="-2"/>
        </w:rPr>
        <w:t>is</w:t>
      </w:r>
      <w:r w:rsidRPr="0031675F">
        <w:rPr>
          <w:i/>
          <w:spacing w:val="25"/>
        </w:rPr>
        <w:t xml:space="preserve"> </w:t>
      </w:r>
      <w:r w:rsidRPr="0031675F">
        <w:rPr>
          <w:i/>
          <w:spacing w:val="-1"/>
        </w:rPr>
        <w:t>generally</w:t>
      </w:r>
      <w:r w:rsidRPr="0031675F">
        <w:rPr>
          <w:i/>
          <w:spacing w:val="24"/>
        </w:rPr>
        <w:t xml:space="preserve"> </w:t>
      </w:r>
      <w:r w:rsidRPr="0031675F">
        <w:rPr>
          <w:i/>
          <w:spacing w:val="-1"/>
        </w:rPr>
        <w:t>achieved</w:t>
      </w:r>
      <w:r w:rsidRPr="0031675F">
        <w:rPr>
          <w:i/>
          <w:spacing w:val="23"/>
        </w:rPr>
        <w:t xml:space="preserve"> </w:t>
      </w:r>
      <w:r w:rsidRPr="0031675F">
        <w:rPr>
          <w:i/>
          <w:spacing w:val="-1"/>
        </w:rPr>
        <w:t>by</w:t>
      </w:r>
      <w:r w:rsidRPr="0031675F">
        <w:rPr>
          <w:i/>
          <w:spacing w:val="24"/>
        </w:rPr>
        <w:t xml:space="preserve"> </w:t>
      </w:r>
      <w:r w:rsidRPr="0031675F">
        <w:rPr>
          <w:i/>
          <w:spacing w:val="-1"/>
        </w:rPr>
        <w:t>using</w:t>
      </w:r>
      <w:r w:rsidRPr="0031675F">
        <w:rPr>
          <w:i/>
          <w:spacing w:val="23"/>
        </w:rPr>
        <w:t xml:space="preserve"> </w:t>
      </w:r>
      <w:r w:rsidRPr="0031675F">
        <w:rPr>
          <w:i/>
          <w:spacing w:val="-1"/>
        </w:rPr>
        <w:t>reference</w:t>
      </w:r>
      <w:r w:rsidRPr="0031675F">
        <w:rPr>
          <w:i/>
          <w:spacing w:val="22"/>
        </w:rPr>
        <w:t xml:space="preserve"> </w:t>
      </w:r>
      <w:r w:rsidRPr="0031675F">
        <w:rPr>
          <w:i/>
          <w:spacing w:val="-1"/>
        </w:rPr>
        <w:t>materials</w:t>
      </w:r>
      <w:r w:rsidRPr="0031675F">
        <w:rPr>
          <w:i/>
          <w:spacing w:val="22"/>
        </w:rPr>
        <w:t xml:space="preserve"> </w:t>
      </w:r>
      <w:r w:rsidRPr="0031675F">
        <w:rPr>
          <w:i/>
        </w:rPr>
        <w:t>to</w:t>
      </w:r>
      <w:r w:rsidRPr="0031675F">
        <w:rPr>
          <w:i/>
          <w:spacing w:val="24"/>
        </w:rPr>
        <w:t xml:space="preserve"> </w:t>
      </w:r>
      <w:r w:rsidRPr="0031675F">
        <w:rPr>
          <w:i/>
          <w:spacing w:val="-1"/>
        </w:rPr>
        <w:t>assess</w:t>
      </w:r>
      <w:r w:rsidRPr="0031675F">
        <w:rPr>
          <w:i/>
          <w:spacing w:val="22"/>
        </w:rPr>
        <w:t xml:space="preserve"> </w:t>
      </w:r>
      <w:r w:rsidRPr="0031675F">
        <w:rPr>
          <w:i/>
          <w:spacing w:val="-1"/>
        </w:rPr>
        <w:t>recovery</w:t>
      </w:r>
      <w:r w:rsidRPr="0031675F">
        <w:rPr>
          <w:i/>
          <w:spacing w:val="21"/>
        </w:rPr>
        <w:t xml:space="preserve"> </w:t>
      </w:r>
      <w:r w:rsidRPr="0031675F">
        <w:rPr>
          <w:i/>
          <w:spacing w:val="-1"/>
        </w:rPr>
        <w:t>of</w:t>
      </w:r>
      <w:r w:rsidRPr="0031675F">
        <w:rPr>
          <w:i/>
          <w:spacing w:val="23"/>
        </w:rPr>
        <w:t xml:space="preserve"> </w:t>
      </w:r>
      <w:r w:rsidRPr="0031675F">
        <w:rPr>
          <w:i/>
          <w:spacing w:val="-1"/>
        </w:rPr>
        <w:t>known</w:t>
      </w:r>
      <w:r w:rsidRPr="0031675F">
        <w:rPr>
          <w:i/>
          <w:spacing w:val="24"/>
        </w:rPr>
        <w:t xml:space="preserve"> </w:t>
      </w:r>
      <w:r w:rsidRPr="0031675F">
        <w:rPr>
          <w:i/>
          <w:spacing w:val="-1"/>
        </w:rPr>
        <w:t>amount</w:t>
      </w:r>
      <w:r w:rsidRPr="0031675F">
        <w:rPr>
          <w:i/>
          <w:spacing w:val="25"/>
        </w:rPr>
        <w:t xml:space="preserve"> </w:t>
      </w:r>
      <w:r w:rsidRPr="0031675F">
        <w:rPr>
          <w:i/>
          <w:spacing w:val="-2"/>
        </w:rPr>
        <w:t xml:space="preserve">of </w:t>
      </w:r>
      <w:r w:rsidRPr="0031675F">
        <w:rPr>
          <w:i/>
          <w:spacing w:val="-1"/>
        </w:rPr>
        <w:t>analyte.</w:t>
      </w:r>
    </w:p>
    <w:p w14:paraId="770AF23A" w14:textId="77777777" w:rsidR="0031675F" w:rsidRPr="0031675F" w:rsidRDefault="0031675F" w:rsidP="0031675F">
      <w:pPr>
        <w:spacing w:after="120"/>
        <w:ind w:right="2423"/>
      </w:pPr>
      <w:r w:rsidRPr="0031675F">
        <w:rPr>
          <w:spacing w:val="-1"/>
        </w:rPr>
        <w:t>QTM070MS</w:t>
      </w:r>
      <w:r w:rsidRPr="0031675F">
        <w:rPr>
          <w:spacing w:val="-3"/>
        </w:rPr>
        <w:t xml:space="preserve"> </w:t>
      </w:r>
      <w:r w:rsidRPr="0031675F">
        <w:t>and</w:t>
      </w:r>
      <w:r w:rsidRPr="0031675F">
        <w:rPr>
          <w:spacing w:val="-2"/>
        </w:rPr>
        <w:t xml:space="preserve"> </w:t>
      </w:r>
      <w:r w:rsidRPr="0031675F">
        <w:rPr>
          <w:spacing w:val="-1"/>
        </w:rPr>
        <w:t>Coastal</w:t>
      </w:r>
      <w:r w:rsidRPr="0031675F">
        <w:t xml:space="preserve"> </w:t>
      </w:r>
      <w:r w:rsidRPr="0031675F">
        <w:rPr>
          <w:spacing w:val="-1"/>
        </w:rPr>
        <w:t>Sediment</w:t>
      </w:r>
      <w:r w:rsidRPr="0031675F">
        <w:rPr>
          <w:spacing w:val="-2"/>
        </w:rPr>
        <w:t xml:space="preserve"> </w:t>
      </w:r>
      <w:r w:rsidRPr="0031675F">
        <w:rPr>
          <w:spacing w:val="-1"/>
        </w:rPr>
        <w:t>standards</w:t>
      </w:r>
      <w:r w:rsidRPr="0031675F">
        <w:t xml:space="preserve"> </w:t>
      </w:r>
      <w:r w:rsidRPr="0031675F">
        <w:rPr>
          <w:spacing w:val="-1"/>
        </w:rPr>
        <w:t>were</w:t>
      </w:r>
      <w:r w:rsidRPr="0031675F">
        <w:rPr>
          <w:spacing w:val="-2"/>
        </w:rPr>
        <w:t xml:space="preserve"> </w:t>
      </w:r>
      <w:r w:rsidRPr="0031675F">
        <w:rPr>
          <w:spacing w:val="-1"/>
        </w:rPr>
        <w:t xml:space="preserve">analysed </w:t>
      </w:r>
      <w:r w:rsidRPr="0031675F">
        <w:t>as</w:t>
      </w:r>
      <w:r w:rsidRPr="0031675F">
        <w:rPr>
          <w:spacing w:val="-2"/>
        </w:rPr>
        <w:t xml:space="preserve"> </w:t>
      </w:r>
      <w:r w:rsidRPr="0031675F">
        <w:rPr>
          <w:spacing w:val="1"/>
        </w:rPr>
        <w:t>QC</w:t>
      </w:r>
      <w:r w:rsidRPr="0031675F">
        <w:t xml:space="preserve"> </w:t>
      </w:r>
      <w:r w:rsidRPr="0031675F">
        <w:rPr>
          <w:spacing w:val="-1"/>
        </w:rPr>
        <w:t>samples.</w:t>
      </w:r>
      <w:r w:rsidRPr="0031675F">
        <w:rPr>
          <w:spacing w:val="41"/>
        </w:rPr>
        <w:t xml:space="preserve"> </w:t>
      </w:r>
      <w:r w:rsidRPr="0031675F">
        <w:t xml:space="preserve">A </w:t>
      </w:r>
      <w:r w:rsidRPr="0031675F">
        <w:rPr>
          <w:spacing w:val="-1"/>
        </w:rPr>
        <w:t>reference</w:t>
      </w:r>
      <w:r w:rsidRPr="0031675F">
        <w:rPr>
          <w:spacing w:val="1"/>
        </w:rPr>
        <w:t xml:space="preserve"> </w:t>
      </w:r>
      <w:r w:rsidRPr="0031675F">
        <w:rPr>
          <w:spacing w:val="-1"/>
        </w:rPr>
        <w:t>curve</w:t>
      </w:r>
      <w:r w:rsidRPr="0031675F">
        <w:rPr>
          <w:spacing w:val="-2"/>
        </w:rPr>
        <w:t xml:space="preserve"> </w:t>
      </w:r>
      <w:r w:rsidRPr="0031675F">
        <w:t xml:space="preserve">is </w:t>
      </w:r>
      <w:r w:rsidRPr="0031675F">
        <w:rPr>
          <w:spacing w:val="-1"/>
        </w:rPr>
        <w:t>generated with</w:t>
      </w:r>
      <w:r w:rsidRPr="0031675F">
        <w:t xml:space="preserve"> </w:t>
      </w:r>
      <w:r w:rsidRPr="0031675F">
        <w:rPr>
          <w:spacing w:val="-1"/>
        </w:rPr>
        <w:t>every</w:t>
      </w:r>
      <w:r w:rsidRPr="0031675F">
        <w:t xml:space="preserve"> </w:t>
      </w:r>
      <w:r w:rsidRPr="0031675F">
        <w:rPr>
          <w:spacing w:val="-1"/>
        </w:rPr>
        <w:t>sample</w:t>
      </w:r>
      <w:r w:rsidRPr="0031675F">
        <w:t xml:space="preserve"> </w:t>
      </w:r>
      <w:r w:rsidRPr="0031675F">
        <w:rPr>
          <w:spacing w:val="-2"/>
        </w:rPr>
        <w:t>batch.</w:t>
      </w:r>
    </w:p>
    <w:p w14:paraId="79FB937A" w14:textId="77777777" w:rsidR="0031675F" w:rsidRPr="0031675F" w:rsidRDefault="0031675F" w:rsidP="0031675F">
      <w:pPr>
        <w:spacing w:before="10"/>
        <w:rPr>
          <w:rFonts w:cs="Calibri"/>
          <w:sz w:val="21"/>
          <w:szCs w:val="21"/>
        </w:rPr>
      </w:pPr>
    </w:p>
    <w:p w14:paraId="4355ABA0" w14:textId="77777777" w:rsidR="0031675F" w:rsidRPr="0031675F" w:rsidRDefault="0031675F" w:rsidP="0031675F">
      <w:pPr>
        <w:spacing w:after="120"/>
        <w:jc w:val="both"/>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1"/>
          <w:u w:val="single" w:color="000000"/>
        </w:rPr>
        <w:t xml:space="preserve"> precision </w:t>
      </w:r>
      <w:r w:rsidRPr="0031675F">
        <w:rPr>
          <w:u w:val="single" w:color="000000"/>
        </w:rPr>
        <w:t>of</w:t>
      </w:r>
      <w:r w:rsidRPr="0031675F">
        <w:rPr>
          <w:spacing w:val="-5"/>
          <w:u w:val="single" w:color="000000"/>
        </w:rPr>
        <w:t xml:space="preserve"> </w:t>
      </w:r>
      <w:r w:rsidRPr="0031675F">
        <w:rPr>
          <w:u w:val="single" w:color="000000"/>
        </w:rPr>
        <w:t>the</w:t>
      </w:r>
      <w:r w:rsidRPr="0031675F">
        <w:rPr>
          <w:spacing w:val="-1"/>
          <w:u w:val="single" w:color="000000"/>
        </w:rPr>
        <w:t xml:space="preserve"> analysis</w:t>
      </w:r>
    </w:p>
    <w:p w14:paraId="48A60027" w14:textId="77777777" w:rsidR="0031675F" w:rsidRPr="0031675F" w:rsidRDefault="0031675F" w:rsidP="0031675F">
      <w:pPr>
        <w:ind w:left="118" w:right="119"/>
        <w:rPr>
          <w:rFonts w:cs="Calibri"/>
        </w:rPr>
      </w:pPr>
      <w:r w:rsidRPr="0031675F">
        <w:rPr>
          <w:i/>
          <w:spacing w:val="-1"/>
        </w:rPr>
        <w:t>NB:</w:t>
      </w:r>
      <w:r w:rsidRPr="0031675F">
        <w:rPr>
          <w:i/>
          <w:spacing w:val="3"/>
        </w:rPr>
        <w:t xml:space="preserve"> </w:t>
      </w:r>
      <w:r w:rsidRPr="0031675F">
        <w:rPr>
          <w:i/>
          <w:spacing w:val="-1"/>
        </w:rPr>
        <w:t>This</w:t>
      </w:r>
      <w:r w:rsidRPr="0031675F">
        <w:rPr>
          <w:i/>
          <w:spacing w:val="3"/>
        </w:rPr>
        <w:t xml:space="preserve"> </w:t>
      </w:r>
      <w:r w:rsidRPr="0031675F">
        <w:rPr>
          <w:i/>
        </w:rPr>
        <w:t>is</w:t>
      </w:r>
      <w:r w:rsidRPr="0031675F">
        <w:rPr>
          <w:i/>
          <w:spacing w:val="2"/>
        </w:rPr>
        <w:t xml:space="preserve"> </w:t>
      </w:r>
      <w:r w:rsidRPr="0031675F">
        <w:rPr>
          <w:i/>
          <w:spacing w:val="-1"/>
        </w:rPr>
        <w:t>generally</w:t>
      </w:r>
      <w:r w:rsidRPr="0031675F">
        <w:rPr>
          <w:i/>
          <w:spacing w:val="2"/>
        </w:rPr>
        <w:t xml:space="preserve"> </w:t>
      </w:r>
      <w:r w:rsidRPr="0031675F">
        <w:rPr>
          <w:i/>
          <w:spacing w:val="-1"/>
        </w:rPr>
        <w:t>achieved</w:t>
      </w:r>
      <w:r w:rsidRPr="0031675F">
        <w:rPr>
          <w:i/>
          <w:spacing w:val="1"/>
        </w:rPr>
        <w:t xml:space="preserve"> </w:t>
      </w:r>
      <w:r w:rsidRPr="0031675F">
        <w:rPr>
          <w:i/>
          <w:spacing w:val="-1"/>
        </w:rPr>
        <w:t>by</w:t>
      </w:r>
      <w:r w:rsidRPr="0031675F">
        <w:rPr>
          <w:i/>
          <w:spacing w:val="2"/>
        </w:rPr>
        <w:t xml:space="preserve"> </w:t>
      </w:r>
      <w:r w:rsidRPr="0031675F">
        <w:rPr>
          <w:i/>
        </w:rPr>
        <w:t>the</w:t>
      </w:r>
      <w:r w:rsidRPr="0031675F">
        <w:rPr>
          <w:i/>
          <w:spacing w:val="2"/>
        </w:rPr>
        <w:t xml:space="preserve"> </w:t>
      </w:r>
      <w:r w:rsidRPr="0031675F">
        <w:rPr>
          <w:i/>
          <w:spacing w:val="-1"/>
        </w:rPr>
        <w:t>repeated</w:t>
      </w:r>
      <w:r w:rsidRPr="0031675F">
        <w:rPr>
          <w:i/>
          <w:spacing w:val="2"/>
        </w:rPr>
        <w:t xml:space="preserve"> </w:t>
      </w:r>
      <w:r w:rsidRPr="0031675F">
        <w:rPr>
          <w:i/>
          <w:spacing w:val="-1"/>
        </w:rPr>
        <w:t>analyses</w:t>
      </w:r>
      <w:r w:rsidRPr="0031675F">
        <w:rPr>
          <w:i/>
          <w:spacing w:val="3"/>
        </w:rPr>
        <w:t xml:space="preserve"> </w:t>
      </w:r>
      <w:r w:rsidRPr="0031675F">
        <w:rPr>
          <w:i/>
          <w:spacing w:val="-1"/>
        </w:rPr>
        <w:t>of</w:t>
      </w:r>
      <w:r w:rsidRPr="0031675F">
        <w:rPr>
          <w:i/>
          <w:spacing w:val="2"/>
        </w:rPr>
        <w:t xml:space="preserve"> </w:t>
      </w:r>
      <w:r w:rsidRPr="0031675F">
        <w:rPr>
          <w:i/>
        </w:rPr>
        <w:t>the</w:t>
      </w:r>
      <w:r w:rsidRPr="0031675F">
        <w:rPr>
          <w:i/>
          <w:spacing w:val="2"/>
        </w:rPr>
        <w:t xml:space="preserve"> </w:t>
      </w:r>
      <w:r w:rsidRPr="0031675F">
        <w:rPr>
          <w:i/>
          <w:spacing w:val="-1"/>
        </w:rPr>
        <w:t>same</w:t>
      </w:r>
      <w:r w:rsidRPr="0031675F">
        <w:rPr>
          <w:i/>
          <w:spacing w:val="3"/>
        </w:rPr>
        <w:t xml:space="preserve"> </w:t>
      </w:r>
      <w:r w:rsidRPr="0031675F">
        <w:rPr>
          <w:i/>
          <w:spacing w:val="-1"/>
        </w:rPr>
        <w:t>concentration</w:t>
      </w:r>
      <w:r w:rsidRPr="0031675F">
        <w:rPr>
          <w:i/>
          <w:spacing w:val="2"/>
        </w:rPr>
        <w:t xml:space="preserve"> </w:t>
      </w:r>
      <w:r w:rsidRPr="0031675F">
        <w:rPr>
          <w:i/>
          <w:spacing w:val="-1"/>
        </w:rPr>
        <w:t>of</w:t>
      </w:r>
      <w:r w:rsidRPr="0031675F">
        <w:rPr>
          <w:i/>
          <w:spacing w:val="2"/>
        </w:rPr>
        <w:t xml:space="preserve"> </w:t>
      </w:r>
      <w:r w:rsidRPr="0031675F">
        <w:rPr>
          <w:i/>
          <w:spacing w:val="-1"/>
        </w:rPr>
        <w:t>analyte</w:t>
      </w:r>
      <w:r w:rsidRPr="0031675F">
        <w:rPr>
          <w:i/>
          <w:spacing w:val="3"/>
        </w:rPr>
        <w:t xml:space="preserve"> </w:t>
      </w:r>
      <w:r w:rsidRPr="0031675F">
        <w:rPr>
          <w:i/>
        </w:rPr>
        <w:t>to</w:t>
      </w:r>
      <w:r w:rsidRPr="0031675F">
        <w:rPr>
          <w:i/>
          <w:spacing w:val="2"/>
        </w:rPr>
        <w:t xml:space="preserve"> </w:t>
      </w:r>
      <w:r w:rsidRPr="0031675F">
        <w:rPr>
          <w:i/>
          <w:spacing w:val="-1"/>
        </w:rPr>
        <w:t>check</w:t>
      </w:r>
      <w:r w:rsidRPr="0031675F">
        <w:rPr>
          <w:i/>
          <w:spacing w:val="61"/>
        </w:rPr>
        <w:t xml:space="preserve"> </w:t>
      </w:r>
      <w:r w:rsidRPr="0031675F">
        <w:rPr>
          <w:i/>
          <w:spacing w:val="-1"/>
        </w:rPr>
        <w:t>for</w:t>
      </w:r>
      <w:r w:rsidRPr="0031675F">
        <w:rPr>
          <w:i/>
        </w:rPr>
        <w:t xml:space="preserve"> </w:t>
      </w:r>
      <w:r w:rsidRPr="0031675F">
        <w:rPr>
          <w:i/>
          <w:spacing w:val="-1"/>
        </w:rPr>
        <w:t>reproducibility.</w:t>
      </w:r>
    </w:p>
    <w:p w14:paraId="2360A8A5" w14:textId="77777777" w:rsidR="0031675F" w:rsidRPr="0031675F" w:rsidRDefault="0031675F" w:rsidP="0031675F">
      <w:pPr>
        <w:widowControl w:val="0"/>
        <w:numPr>
          <w:ilvl w:val="2"/>
          <w:numId w:val="93"/>
        </w:numPr>
        <w:tabs>
          <w:tab w:val="left" w:pos="839"/>
        </w:tabs>
        <w:spacing w:before="0" w:after="0" w:line="240" w:lineRule="auto"/>
        <w:ind w:left="838"/>
      </w:pPr>
      <w:r w:rsidRPr="0031675F">
        <w:rPr>
          <w:spacing w:val="-1"/>
        </w:rPr>
        <w:t>Repeated</w:t>
      </w:r>
      <w:r w:rsidRPr="0031675F">
        <w:t xml:space="preserve"> </w:t>
      </w:r>
      <w:r w:rsidRPr="0031675F">
        <w:rPr>
          <w:spacing w:val="-1"/>
        </w:rPr>
        <w:t>analysis</w:t>
      </w:r>
      <w:r w:rsidRPr="0031675F">
        <w:rPr>
          <w:spacing w:val="-3"/>
        </w:rPr>
        <w:t xml:space="preserve"> </w:t>
      </w:r>
      <w:r w:rsidRPr="0031675F">
        <w:t>of</w:t>
      </w:r>
      <w:r w:rsidRPr="0031675F">
        <w:rPr>
          <w:spacing w:val="-3"/>
        </w:rPr>
        <w:t xml:space="preserve"> </w:t>
      </w:r>
      <w:r w:rsidRPr="0031675F">
        <w:rPr>
          <w:spacing w:val="-1"/>
        </w:rPr>
        <w:t>replicate</w:t>
      </w:r>
      <w:r w:rsidRPr="0031675F">
        <w:t xml:space="preserve"> </w:t>
      </w:r>
      <w:r w:rsidRPr="0031675F">
        <w:rPr>
          <w:spacing w:val="-1"/>
        </w:rPr>
        <w:t>standards</w:t>
      </w:r>
    </w:p>
    <w:p w14:paraId="4E327890" w14:textId="77777777" w:rsidR="0031675F" w:rsidRPr="0031675F" w:rsidRDefault="0031675F" w:rsidP="0031675F">
      <w:pPr>
        <w:rPr>
          <w:rFonts w:cs="Calibri"/>
        </w:rPr>
      </w:pPr>
    </w:p>
    <w:p w14:paraId="0148161E" w14:textId="77777777" w:rsidR="0031675F" w:rsidRPr="0031675F" w:rsidRDefault="0031675F" w:rsidP="0031675F">
      <w:pPr>
        <w:spacing w:after="120"/>
        <w:jc w:val="both"/>
      </w:pPr>
      <w:r w:rsidRPr="0031675F">
        <w:rPr>
          <w:spacing w:val="-1"/>
          <w:u w:val="single" w:color="000000"/>
        </w:rPr>
        <w:t>Procedural blanks:</w:t>
      </w:r>
    </w:p>
    <w:p w14:paraId="45851C4B" w14:textId="77777777" w:rsidR="0031675F" w:rsidRPr="0031675F" w:rsidRDefault="0031675F" w:rsidP="0031675F">
      <w:pPr>
        <w:widowControl w:val="0"/>
        <w:numPr>
          <w:ilvl w:val="2"/>
          <w:numId w:val="93"/>
        </w:numPr>
        <w:tabs>
          <w:tab w:val="left" w:pos="839"/>
        </w:tabs>
        <w:spacing w:before="0" w:after="0" w:line="240" w:lineRule="auto"/>
        <w:ind w:left="838" w:right="113"/>
        <w:jc w:val="both"/>
      </w:pPr>
      <w:r w:rsidRPr="0031675F">
        <w:rPr>
          <w:spacing w:val="-1"/>
        </w:rPr>
        <w:t>Filter</w:t>
      </w:r>
      <w:r w:rsidRPr="0031675F">
        <w:rPr>
          <w:spacing w:val="19"/>
        </w:rPr>
        <w:t xml:space="preserve"> </w:t>
      </w:r>
      <w:r w:rsidRPr="0031675F">
        <w:rPr>
          <w:spacing w:val="-1"/>
        </w:rPr>
        <w:t>blanks</w:t>
      </w:r>
      <w:r w:rsidRPr="0031675F">
        <w:rPr>
          <w:spacing w:val="19"/>
        </w:rPr>
        <w:t xml:space="preserve"> </w:t>
      </w:r>
      <w:r w:rsidRPr="0031675F">
        <w:rPr>
          <w:spacing w:val="-1"/>
        </w:rPr>
        <w:t>are</w:t>
      </w:r>
      <w:r w:rsidRPr="0031675F">
        <w:rPr>
          <w:spacing w:val="20"/>
        </w:rPr>
        <w:t xml:space="preserve"> </w:t>
      </w:r>
      <w:r w:rsidRPr="0031675F">
        <w:rPr>
          <w:spacing w:val="-1"/>
        </w:rPr>
        <w:t>run</w:t>
      </w:r>
      <w:r w:rsidRPr="0031675F">
        <w:rPr>
          <w:spacing w:val="18"/>
        </w:rPr>
        <w:t xml:space="preserve"> </w:t>
      </w:r>
      <w:r w:rsidRPr="0031675F">
        <w:t>with</w:t>
      </w:r>
      <w:r w:rsidRPr="0031675F">
        <w:rPr>
          <w:spacing w:val="17"/>
        </w:rPr>
        <w:t xml:space="preserve"> </w:t>
      </w:r>
      <w:r w:rsidRPr="0031675F">
        <w:rPr>
          <w:spacing w:val="-1"/>
        </w:rPr>
        <w:t>every</w:t>
      </w:r>
      <w:r w:rsidRPr="0031675F">
        <w:rPr>
          <w:spacing w:val="20"/>
        </w:rPr>
        <w:t xml:space="preserve"> </w:t>
      </w:r>
      <w:r w:rsidRPr="0031675F">
        <w:rPr>
          <w:spacing w:val="-1"/>
        </w:rPr>
        <w:t>batch</w:t>
      </w:r>
      <w:r w:rsidRPr="0031675F">
        <w:rPr>
          <w:spacing w:val="19"/>
        </w:rPr>
        <w:t xml:space="preserve"> </w:t>
      </w:r>
      <w:r w:rsidRPr="0031675F">
        <w:rPr>
          <w:spacing w:val="-1"/>
        </w:rPr>
        <w:t>(generally</w:t>
      </w:r>
      <w:r w:rsidRPr="0031675F">
        <w:rPr>
          <w:spacing w:val="20"/>
        </w:rPr>
        <w:t xml:space="preserve"> </w:t>
      </w:r>
      <w:r w:rsidRPr="0031675F">
        <w:rPr>
          <w:spacing w:val="-1"/>
        </w:rPr>
        <w:t>daily).</w:t>
      </w:r>
      <w:r w:rsidRPr="0031675F">
        <w:rPr>
          <w:spacing w:val="19"/>
        </w:rPr>
        <w:t xml:space="preserve"> </w:t>
      </w:r>
      <w:r w:rsidRPr="0031675F">
        <w:rPr>
          <w:spacing w:val="-2"/>
        </w:rPr>
        <w:t>These</w:t>
      </w:r>
      <w:r w:rsidRPr="0031675F">
        <w:rPr>
          <w:spacing w:val="20"/>
        </w:rPr>
        <w:t xml:space="preserve"> </w:t>
      </w:r>
      <w:r w:rsidRPr="0031675F">
        <w:rPr>
          <w:spacing w:val="-1"/>
        </w:rPr>
        <w:t>are</w:t>
      </w:r>
      <w:r w:rsidRPr="0031675F">
        <w:rPr>
          <w:spacing w:val="20"/>
        </w:rPr>
        <w:t xml:space="preserve"> </w:t>
      </w:r>
      <w:r w:rsidRPr="0031675F">
        <w:rPr>
          <w:spacing w:val="-1"/>
        </w:rPr>
        <w:t>used</w:t>
      </w:r>
      <w:r w:rsidRPr="0031675F">
        <w:rPr>
          <w:spacing w:val="19"/>
        </w:rPr>
        <w:t xml:space="preserve"> </w:t>
      </w:r>
      <w:r w:rsidRPr="0031675F">
        <w:t>as</w:t>
      </w:r>
      <w:r w:rsidRPr="0031675F">
        <w:rPr>
          <w:spacing w:val="17"/>
        </w:rPr>
        <w:t xml:space="preserve"> </w:t>
      </w:r>
      <w:r w:rsidRPr="0031675F">
        <w:rPr>
          <w:spacing w:val="-1"/>
        </w:rPr>
        <w:t>blank</w:t>
      </w:r>
      <w:r w:rsidRPr="0031675F">
        <w:rPr>
          <w:spacing w:val="20"/>
        </w:rPr>
        <w:t xml:space="preserve"> </w:t>
      </w:r>
      <w:r w:rsidRPr="0031675F">
        <w:rPr>
          <w:spacing w:val="-1"/>
        </w:rPr>
        <w:t>readings</w:t>
      </w:r>
      <w:r w:rsidRPr="0031675F">
        <w:rPr>
          <w:spacing w:val="19"/>
        </w:rPr>
        <w:t xml:space="preserve"> </w:t>
      </w:r>
      <w:r w:rsidRPr="0031675F">
        <w:t>in</w:t>
      </w:r>
      <w:r w:rsidRPr="0031675F">
        <w:rPr>
          <w:spacing w:val="55"/>
        </w:rPr>
        <w:t xml:space="preserve"> </w:t>
      </w:r>
      <w:r w:rsidRPr="0031675F">
        <w:t xml:space="preserve">the </w:t>
      </w:r>
      <w:r w:rsidRPr="0031675F">
        <w:rPr>
          <w:spacing w:val="-1"/>
        </w:rPr>
        <w:t>calculation</w:t>
      </w:r>
      <w:r w:rsidRPr="0031675F">
        <w:rPr>
          <w:spacing w:val="-3"/>
        </w:rPr>
        <w:t xml:space="preserve"> </w:t>
      </w:r>
      <w:r w:rsidRPr="0031675F">
        <w:t xml:space="preserve">of </w:t>
      </w:r>
      <w:r w:rsidRPr="0031675F">
        <w:rPr>
          <w:spacing w:val="-1"/>
        </w:rPr>
        <w:t>analytical</w:t>
      </w:r>
      <w:r w:rsidRPr="0031675F">
        <w:rPr>
          <w:spacing w:val="-3"/>
        </w:rPr>
        <w:t xml:space="preserve"> </w:t>
      </w:r>
      <w:r w:rsidRPr="0031675F">
        <w:rPr>
          <w:spacing w:val="-1"/>
        </w:rPr>
        <w:t>results.</w:t>
      </w:r>
    </w:p>
    <w:p w14:paraId="1E9B4736" w14:textId="77777777" w:rsidR="0031675F" w:rsidRPr="0031675F" w:rsidRDefault="0031675F" w:rsidP="0031675F">
      <w:pPr>
        <w:widowControl w:val="0"/>
        <w:numPr>
          <w:ilvl w:val="2"/>
          <w:numId w:val="93"/>
        </w:numPr>
        <w:tabs>
          <w:tab w:val="left" w:pos="839"/>
        </w:tabs>
        <w:spacing w:before="0" w:after="0" w:line="240" w:lineRule="auto"/>
        <w:ind w:left="838" w:right="109"/>
        <w:jc w:val="both"/>
      </w:pPr>
      <w:r w:rsidRPr="0031675F">
        <w:t>Wet</w:t>
      </w:r>
      <w:r w:rsidRPr="0031675F">
        <w:rPr>
          <w:spacing w:val="40"/>
        </w:rPr>
        <w:t xml:space="preserve"> </w:t>
      </w:r>
      <w:r w:rsidRPr="0031675F">
        <w:rPr>
          <w:spacing w:val="-1"/>
        </w:rPr>
        <w:t>filter</w:t>
      </w:r>
      <w:r w:rsidRPr="0031675F">
        <w:rPr>
          <w:spacing w:val="41"/>
        </w:rPr>
        <w:t xml:space="preserve"> </w:t>
      </w:r>
      <w:r w:rsidRPr="0031675F">
        <w:rPr>
          <w:spacing w:val="-1"/>
        </w:rPr>
        <w:t>blanks</w:t>
      </w:r>
      <w:r w:rsidRPr="0031675F">
        <w:rPr>
          <w:spacing w:val="41"/>
        </w:rPr>
        <w:t xml:space="preserve"> </w:t>
      </w:r>
      <w:r w:rsidRPr="0031675F">
        <w:rPr>
          <w:spacing w:val="-1"/>
        </w:rPr>
        <w:t>(filter</w:t>
      </w:r>
      <w:r w:rsidRPr="0031675F">
        <w:rPr>
          <w:spacing w:val="41"/>
        </w:rPr>
        <w:t xml:space="preserve"> </w:t>
      </w:r>
      <w:r w:rsidRPr="0031675F">
        <w:rPr>
          <w:spacing w:val="-1"/>
        </w:rPr>
        <w:t>placed</w:t>
      </w:r>
      <w:r w:rsidRPr="0031675F">
        <w:rPr>
          <w:spacing w:val="41"/>
        </w:rPr>
        <w:t xml:space="preserve"> </w:t>
      </w:r>
      <w:r w:rsidRPr="0031675F">
        <w:t>on</w:t>
      </w:r>
      <w:r w:rsidRPr="0031675F">
        <w:rPr>
          <w:spacing w:val="43"/>
        </w:rPr>
        <w:t xml:space="preserve"> </w:t>
      </w:r>
      <w:r w:rsidRPr="0031675F">
        <w:rPr>
          <w:spacing w:val="-1"/>
        </w:rPr>
        <w:t>filtration</w:t>
      </w:r>
      <w:r w:rsidRPr="0031675F">
        <w:rPr>
          <w:spacing w:val="40"/>
        </w:rPr>
        <w:t xml:space="preserve"> </w:t>
      </w:r>
      <w:r w:rsidRPr="0031675F">
        <w:rPr>
          <w:spacing w:val="-1"/>
        </w:rPr>
        <w:t>unit</w:t>
      </w:r>
      <w:r w:rsidRPr="0031675F">
        <w:rPr>
          <w:spacing w:val="42"/>
        </w:rPr>
        <w:t xml:space="preserve"> </w:t>
      </w:r>
      <w:r w:rsidRPr="0031675F">
        <w:rPr>
          <w:spacing w:val="-2"/>
        </w:rPr>
        <w:t>and</w:t>
      </w:r>
      <w:r w:rsidRPr="0031675F">
        <w:rPr>
          <w:spacing w:val="43"/>
        </w:rPr>
        <w:t xml:space="preserve"> </w:t>
      </w:r>
      <w:r w:rsidRPr="0031675F">
        <w:rPr>
          <w:spacing w:val="-1"/>
        </w:rPr>
        <w:t>wetted</w:t>
      </w:r>
      <w:r w:rsidRPr="0031675F">
        <w:rPr>
          <w:spacing w:val="40"/>
        </w:rPr>
        <w:t xml:space="preserve"> </w:t>
      </w:r>
      <w:r w:rsidRPr="0031675F">
        <w:t>with</w:t>
      </w:r>
      <w:r w:rsidRPr="0031675F">
        <w:rPr>
          <w:spacing w:val="40"/>
        </w:rPr>
        <w:t xml:space="preserve"> </w:t>
      </w:r>
      <w:r w:rsidRPr="0031675F">
        <w:rPr>
          <w:spacing w:val="-1"/>
        </w:rPr>
        <w:t>filtered</w:t>
      </w:r>
      <w:r w:rsidRPr="0031675F">
        <w:rPr>
          <w:spacing w:val="43"/>
        </w:rPr>
        <w:t xml:space="preserve"> </w:t>
      </w:r>
      <w:r w:rsidRPr="0031675F">
        <w:t>seawater,</w:t>
      </w:r>
      <w:r w:rsidRPr="0031675F">
        <w:rPr>
          <w:spacing w:val="41"/>
        </w:rPr>
        <w:t xml:space="preserve"> </w:t>
      </w:r>
      <w:r w:rsidRPr="0031675F">
        <w:t>then</w:t>
      </w:r>
      <w:r w:rsidRPr="0031675F">
        <w:rPr>
          <w:spacing w:val="57"/>
        </w:rPr>
        <w:t xml:space="preserve"> </w:t>
      </w:r>
      <w:r w:rsidRPr="0031675F">
        <w:rPr>
          <w:spacing w:val="-1"/>
        </w:rPr>
        <w:t>further</w:t>
      </w:r>
      <w:r w:rsidRPr="0031675F">
        <w:rPr>
          <w:spacing w:val="39"/>
        </w:rPr>
        <w:t xml:space="preserve"> </w:t>
      </w:r>
      <w:r w:rsidRPr="0031675F">
        <w:rPr>
          <w:spacing w:val="-1"/>
        </w:rPr>
        <w:t>handled</w:t>
      </w:r>
      <w:r w:rsidRPr="0031675F">
        <w:rPr>
          <w:spacing w:val="40"/>
        </w:rPr>
        <w:t xml:space="preserve"> </w:t>
      </w:r>
      <w:r w:rsidRPr="0031675F">
        <w:rPr>
          <w:spacing w:val="-1"/>
        </w:rPr>
        <w:t>like</w:t>
      </w:r>
      <w:r w:rsidRPr="0031675F">
        <w:rPr>
          <w:spacing w:val="42"/>
        </w:rPr>
        <w:t xml:space="preserve"> </w:t>
      </w:r>
      <w:r w:rsidRPr="0031675F">
        <w:rPr>
          <w:spacing w:val="-1"/>
        </w:rPr>
        <w:t>samples)</w:t>
      </w:r>
      <w:r w:rsidRPr="0031675F">
        <w:rPr>
          <w:spacing w:val="40"/>
        </w:rPr>
        <w:t xml:space="preserve"> </w:t>
      </w:r>
      <w:r w:rsidRPr="0031675F">
        <w:rPr>
          <w:spacing w:val="-1"/>
        </w:rPr>
        <w:t>were</w:t>
      </w:r>
      <w:r w:rsidRPr="0031675F">
        <w:rPr>
          <w:spacing w:val="42"/>
        </w:rPr>
        <w:t xml:space="preserve"> </w:t>
      </w:r>
      <w:r w:rsidRPr="0031675F">
        <w:rPr>
          <w:spacing w:val="-1"/>
        </w:rPr>
        <w:t>prepared</w:t>
      </w:r>
      <w:r w:rsidRPr="0031675F">
        <w:rPr>
          <w:spacing w:val="40"/>
        </w:rPr>
        <w:t xml:space="preserve"> </w:t>
      </w:r>
      <w:r w:rsidRPr="0031675F">
        <w:rPr>
          <w:spacing w:val="-1"/>
        </w:rPr>
        <w:t>during</w:t>
      </w:r>
      <w:r w:rsidRPr="0031675F">
        <w:rPr>
          <w:spacing w:val="40"/>
        </w:rPr>
        <w:t xml:space="preserve"> </w:t>
      </w:r>
      <w:r w:rsidRPr="0031675F">
        <w:t>the</w:t>
      </w:r>
      <w:r w:rsidRPr="0031675F">
        <w:rPr>
          <w:spacing w:val="40"/>
        </w:rPr>
        <w:t xml:space="preserve"> </w:t>
      </w:r>
      <w:r w:rsidRPr="0031675F">
        <w:t>on-board</w:t>
      </w:r>
      <w:r w:rsidRPr="0031675F">
        <w:rPr>
          <w:spacing w:val="40"/>
        </w:rPr>
        <w:t xml:space="preserve"> </w:t>
      </w:r>
      <w:r w:rsidRPr="0031675F">
        <w:rPr>
          <w:spacing w:val="-1"/>
        </w:rPr>
        <w:t>sample</w:t>
      </w:r>
      <w:r w:rsidRPr="0031675F">
        <w:rPr>
          <w:spacing w:val="41"/>
        </w:rPr>
        <w:t xml:space="preserve"> </w:t>
      </w:r>
      <w:r w:rsidRPr="0031675F">
        <w:rPr>
          <w:spacing w:val="-1"/>
        </w:rPr>
        <w:t>preparation</w:t>
      </w:r>
      <w:r w:rsidRPr="0031675F">
        <w:rPr>
          <w:spacing w:val="39"/>
        </w:rPr>
        <w:t xml:space="preserve"> </w:t>
      </w:r>
      <w:r w:rsidRPr="0031675F">
        <w:rPr>
          <w:spacing w:val="-1"/>
        </w:rPr>
        <w:t>to</w:t>
      </w:r>
      <w:r w:rsidRPr="0031675F">
        <w:rPr>
          <w:spacing w:val="65"/>
        </w:rPr>
        <w:t xml:space="preserve"> </w:t>
      </w:r>
      <w:r w:rsidRPr="0031675F">
        <w:rPr>
          <w:spacing w:val="-1"/>
        </w:rPr>
        <w:t>measure</w:t>
      </w:r>
      <w:r w:rsidRPr="0031675F">
        <w:t xml:space="preserve"> </w:t>
      </w:r>
      <w:r w:rsidRPr="0031675F">
        <w:rPr>
          <w:spacing w:val="-1"/>
        </w:rPr>
        <w:t>contamination during the</w:t>
      </w:r>
      <w:r w:rsidRPr="0031675F">
        <w:t xml:space="preserve"> </w:t>
      </w:r>
      <w:r w:rsidRPr="0031675F">
        <w:rPr>
          <w:spacing w:val="-1"/>
        </w:rPr>
        <w:t>preparation procedure</w:t>
      </w:r>
    </w:p>
    <w:p w14:paraId="46079904" w14:textId="77777777" w:rsidR="0031675F" w:rsidRPr="0031675F" w:rsidRDefault="0031675F" w:rsidP="0031675F">
      <w:pPr>
        <w:rPr>
          <w:rFonts w:cs="Calibri"/>
        </w:rPr>
      </w:pPr>
    </w:p>
    <w:p w14:paraId="2C860359" w14:textId="77777777" w:rsidR="0031675F" w:rsidRPr="0031675F" w:rsidRDefault="0031675F" w:rsidP="0031675F">
      <w:pPr>
        <w:spacing w:after="120"/>
        <w:jc w:val="both"/>
      </w:pPr>
      <w:r w:rsidRPr="0031675F">
        <w:rPr>
          <w:spacing w:val="-1"/>
          <w:u w:val="single" w:color="000000"/>
        </w:rPr>
        <w:t>Reproducibility</w:t>
      </w:r>
      <w:r w:rsidRPr="0031675F">
        <w:rPr>
          <w:u w:val="single" w:color="000000"/>
        </w:rPr>
        <w:t xml:space="preserve"> of</w:t>
      </w:r>
      <w:r w:rsidRPr="0031675F">
        <w:rPr>
          <w:spacing w:val="-3"/>
          <w:u w:val="single" w:color="000000"/>
        </w:rPr>
        <w:t xml:space="preserve"> </w:t>
      </w:r>
      <w:r w:rsidRPr="0031675F">
        <w:rPr>
          <w:spacing w:val="-1"/>
          <w:u w:val="single" w:color="000000"/>
        </w:rPr>
        <w:t>duplicate</w:t>
      </w:r>
      <w:r w:rsidRPr="0031675F">
        <w:rPr>
          <w:u w:val="single" w:color="000000"/>
        </w:rPr>
        <w:t xml:space="preserve"> </w:t>
      </w:r>
      <w:r w:rsidRPr="0031675F">
        <w:rPr>
          <w:spacing w:val="-1"/>
          <w:u w:val="single" w:color="000000"/>
        </w:rPr>
        <w:t>analytical units</w:t>
      </w:r>
    </w:p>
    <w:p w14:paraId="2C3B3F74" w14:textId="77777777" w:rsidR="0031675F" w:rsidRPr="0031675F" w:rsidRDefault="0031675F" w:rsidP="0031675F">
      <w:pPr>
        <w:ind w:left="118" w:right="114"/>
        <w:jc w:val="both"/>
        <w:rPr>
          <w:rFonts w:cs="Calibri"/>
        </w:rPr>
      </w:pPr>
      <w:r w:rsidRPr="0031675F">
        <w:rPr>
          <w:i/>
          <w:spacing w:val="-1"/>
        </w:rPr>
        <w:t>NB:</w:t>
      </w:r>
      <w:r w:rsidRPr="0031675F">
        <w:rPr>
          <w:i/>
          <w:spacing w:val="20"/>
        </w:rPr>
        <w:t xml:space="preserve"> </w:t>
      </w:r>
      <w:r w:rsidRPr="0031675F">
        <w:rPr>
          <w:i/>
          <w:spacing w:val="-1"/>
        </w:rPr>
        <w:t>The</w:t>
      </w:r>
      <w:r w:rsidRPr="0031675F">
        <w:rPr>
          <w:i/>
          <w:spacing w:val="19"/>
        </w:rPr>
        <w:t xml:space="preserve"> </w:t>
      </w:r>
      <w:r w:rsidRPr="0031675F">
        <w:rPr>
          <w:i/>
          <w:spacing w:val="-1"/>
        </w:rPr>
        <w:t>variation</w:t>
      </w:r>
      <w:r w:rsidRPr="0031675F">
        <w:rPr>
          <w:i/>
          <w:spacing w:val="18"/>
        </w:rPr>
        <w:t xml:space="preserve"> </w:t>
      </w:r>
      <w:r w:rsidRPr="0031675F">
        <w:rPr>
          <w:i/>
          <w:spacing w:val="-1"/>
        </w:rPr>
        <w:t>between</w:t>
      </w:r>
      <w:r w:rsidRPr="0031675F">
        <w:rPr>
          <w:i/>
          <w:spacing w:val="17"/>
        </w:rPr>
        <w:t xml:space="preserve"> </w:t>
      </w:r>
      <w:r w:rsidRPr="0031675F">
        <w:rPr>
          <w:i/>
          <w:spacing w:val="-1"/>
        </w:rPr>
        <w:t>results</w:t>
      </w:r>
      <w:r w:rsidRPr="0031675F">
        <w:rPr>
          <w:i/>
          <w:spacing w:val="20"/>
        </w:rPr>
        <w:t xml:space="preserve"> </w:t>
      </w:r>
      <w:r w:rsidRPr="0031675F">
        <w:rPr>
          <w:i/>
          <w:spacing w:val="-1"/>
        </w:rPr>
        <w:t>for</w:t>
      </w:r>
      <w:r w:rsidRPr="0031675F">
        <w:rPr>
          <w:i/>
          <w:spacing w:val="17"/>
        </w:rPr>
        <w:t xml:space="preserve"> </w:t>
      </w:r>
      <w:r w:rsidRPr="0031675F">
        <w:rPr>
          <w:i/>
          <w:spacing w:val="-1"/>
        </w:rPr>
        <w:t>sample</w:t>
      </w:r>
      <w:r w:rsidRPr="0031675F">
        <w:rPr>
          <w:i/>
          <w:spacing w:val="19"/>
        </w:rPr>
        <w:t xml:space="preserve"> </w:t>
      </w:r>
      <w:r w:rsidRPr="0031675F">
        <w:rPr>
          <w:i/>
          <w:spacing w:val="-1"/>
        </w:rPr>
        <w:t>duplicates</w:t>
      </w:r>
      <w:r w:rsidRPr="0031675F">
        <w:rPr>
          <w:i/>
          <w:spacing w:val="24"/>
        </w:rPr>
        <w:t xml:space="preserve"> </w:t>
      </w:r>
      <w:r w:rsidRPr="0031675F">
        <w:rPr>
          <w:i/>
          <w:spacing w:val="-1"/>
        </w:rPr>
        <w:t>indicates</w:t>
      </w:r>
      <w:r w:rsidRPr="0031675F">
        <w:rPr>
          <w:i/>
          <w:spacing w:val="18"/>
        </w:rPr>
        <w:t xml:space="preserve"> </w:t>
      </w:r>
      <w:r w:rsidRPr="0031675F">
        <w:rPr>
          <w:i/>
        </w:rPr>
        <w:t>the</w:t>
      </w:r>
      <w:r w:rsidRPr="0031675F">
        <w:rPr>
          <w:i/>
          <w:spacing w:val="19"/>
        </w:rPr>
        <w:t xml:space="preserve"> </w:t>
      </w:r>
      <w:r w:rsidRPr="0031675F">
        <w:rPr>
          <w:i/>
          <w:spacing w:val="-1"/>
        </w:rPr>
        <w:t>reproducibility</w:t>
      </w:r>
      <w:r w:rsidRPr="0031675F">
        <w:rPr>
          <w:i/>
          <w:spacing w:val="19"/>
        </w:rPr>
        <w:t xml:space="preserve"> </w:t>
      </w:r>
      <w:r w:rsidRPr="0031675F">
        <w:rPr>
          <w:i/>
          <w:spacing w:val="-1"/>
        </w:rPr>
        <w:t>of</w:t>
      </w:r>
      <w:r w:rsidRPr="0031675F">
        <w:rPr>
          <w:i/>
          <w:spacing w:val="18"/>
        </w:rPr>
        <w:t xml:space="preserve"> </w:t>
      </w:r>
      <w:r w:rsidRPr="0031675F">
        <w:rPr>
          <w:i/>
        </w:rPr>
        <w:t>the</w:t>
      </w:r>
      <w:r w:rsidRPr="0031675F">
        <w:rPr>
          <w:i/>
          <w:spacing w:val="19"/>
        </w:rPr>
        <w:t xml:space="preserve"> </w:t>
      </w:r>
      <w:r w:rsidRPr="0031675F">
        <w:rPr>
          <w:i/>
          <w:spacing w:val="-1"/>
        </w:rPr>
        <w:t>analysis</w:t>
      </w:r>
      <w:r w:rsidRPr="0031675F">
        <w:rPr>
          <w:i/>
          <w:spacing w:val="54"/>
        </w:rPr>
        <w:t xml:space="preserve"> </w:t>
      </w:r>
      <w:r w:rsidRPr="0031675F">
        <w:rPr>
          <w:i/>
          <w:spacing w:val="-1"/>
        </w:rPr>
        <w:t>and also</w:t>
      </w:r>
      <w:r w:rsidRPr="0031675F">
        <w:rPr>
          <w:i/>
        </w:rPr>
        <w:t xml:space="preserve"> the effects</w:t>
      </w:r>
      <w:r w:rsidRPr="0031675F">
        <w:rPr>
          <w:i/>
          <w:spacing w:val="-1"/>
        </w:rPr>
        <w:t xml:space="preserve"> of</w:t>
      </w:r>
      <w:r w:rsidRPr="0031675F">
        <w:rPr>
          <w:i/>
        </w:rPr>
        <w:t xml:space="preserve"> </w:t>
      </w:r>
      <w:r w:rsidRPr="0031675F">
        <w:rPr>
          <w:i/>
          <w:spacing w:val="-1"/>
        </w:rPr>
        <w:t>various</w:t>
      </w:r>
      <w:r w:rsidRPr="0031675F">
        <w:rPr>
          <w:i/>
          <w:spacing w:val="1"/>
        </w:rPr>
        <w:t xml:space="preserve"> </w:t>
      </w:r>
      <w:r w:rsidRPr="0031675F">
        <w:rPr>
          <w:i/>
          <w:spacing w:val="-1"/>
        </w:rPr>
        <w:t>sources</w:t>
      </w:r>
      <w:r w:rsidRPr="0031675F">
        <w:rPr>
          <w:i/>
          <w:spacing w:val="1"/>
        </w:rPr>
        <w:t xml:space="preserve"> </w:t>
      </w:r>
      <w:r w:rsidRPr="0031675F">
        <w:rPr>
          <w:i/>
          <w:spacing w:val="-1"/>
        </w:rPr>
        <w:t>of</w:t>
      </w:r>
      <w:r w:rsidRPr="0031675F">
        <w:rPr>
          <w:i/>
        </w:rPr>
        <w:t xml:space="preserve"> </w:t>
      </w:r>
      <w:r w:rsidRPr="0031675F">
        <w:rPr>
          <w:i/>
          <w:spacing w:val="-1"/>
        </w:rPr>
        <w:t>contamination and</w:t>
      </w:r>
      <w:r w:rsidRPr="0031675F">
        <w:rPr>
          <w:i/>
          <w:spacing w:val="1"/>
        </w:rPr>
        <w:t xml:space="preserve"> </w:t>
      </w:r>
      <w:r w:rsidRPr="0031675F">
        <w:rPr>
          <w:i/>
          <w:spacing w:val="-1"/>
        </w:rPr>
        <w:t>analytical</w:t>
      </w:r>
      <w:r w:rsidRPr="0031675F">
        <w:rPr>
          <w:i/>
        </w:rPr>
        <w:t xml:space="preserve"> error</w:t>
      </w:r>
      <w:r w:rsidRPr="0031675F">
        <w:rPr>
          <w:i/>
          <w:spacing w:val="1"/>
        </w:rPr>
        <w:t xml:space="preserve"> </w:t>
      </w:r>
      <w:r w:rsidRPr="0031675F">
        <w:rPr>
          <w:i/>
          <w:spacing w:val="-1"/>
        </w:rPr>
        <w:t>during collection,</w:t>
      </w:r>
      <w:r w:rsidRPr="0031675F">
        <w:rPr>
          <w:i/>
        </w:rPr>
        <w:t xml:space="preserve"> </w:t>
      </w:r>
      <w:r w:rsidRPr="0031675F">
        <w:rPr>
          <w:i/>
          <w:spacing w:val="-1"/>
        </w:rPr>
        <w:t>sample</w:t>
      </w:r>
      <w:r w:rsidRPr="0031675F">
        <w:rPr>
          <w:i/>
          <w:spacing w:val="69"/>
        </w:rPr>
        <w:t xml:space="preserve"> </w:t>
      </w:r>
      <w:r w:rsidRPr="0031675F">
        <w:rPr>
          <w:i/>
          <w:spacing w:val="-1"/>
        </w:rPr>
        <w:t>preparation and analyses.</w:t>
      </w:r>
      <w:r w:rsidRPr="0031675F">
        <w:rPr>
          <w:i/>
          <w:spacing w:val="-5"/>
        </w:rPr>
        <w:t xml:space="preserve"> </w:t>
      </w:r>
      <w:r w:rsidRPr="0031675F">
        <w:rPr>
          <w:i/>
          <w:spacing w:val="-1"/>
        </w:rPr>
        <w:t>Before</w:t>
      </w:r>
      <w:r w:rsidRPr="0031675F">
        <w:rPr>
          <w:i/>
        </w:rPr>
        <w:t xml:space="preserve"> </w:t>
      </w:r>
      <w:r w:rsidRPr="0031675F">
        <w:rPr>
          <w:i/>
          <w:spacing w:val="-1"/>
        </w:rPr>
        <w:t>data</w:t>
      </w:r>
      <w:r w:rsidRPr="0031675F">
        <w:rPr>
          <w:i/>
          <w:spacing w:val="-3"/>
        </w:rPr>
        <w:t xml:space="preserve"> </w:t>
      </w:r>
      <w:r w:rsidRPr="0031675F">
        <w:rPr>
          <w:i/>
          <w:spacing w:val="-1"/>
        </w:rPr>
        <w:t>analysis, results</w:t>
      </w:r>
      <w:r w:rsidRPr="0031675F">
        <w:rPr>
          <w:i/>
          <w:spacing w:val="1"/>
        </w:rPr>
        <w:t xml:space="preserve"> </w:t>
      </w:r>
      <w:r w:rsidRPr="0031675F">
        <w:rPr>
          <w:i/>
          <w:spacing w:val="-1"/>
        </w:rPr>
        <w:t>are</w:t>
      </w:r>
      <w:r w:rsidRPr="0031675F">
        <w:rPr>
          <w:i/>
          <w:spacing w:val="-3"/>
        </w:rPr>
        <w:t xml:space="preserve"> </w:t>
      </w:r>
      <w:r w:rsidRPr="0031675F">
        <w:rPr>
          <w:i/>
          <w:spacing w:val="-1"/>
        </w:rPr>
        <w:t>generally</w:t>
      </w:r>
      <w:r w:rsidRPr="0031675F">
        <w:rPr>
          <w:i/>
        </w:rPr>
        <w:t xml:space="preserve"> </w:t>
      </w:r>
      <w:r w:rsidRPr="0031675F">
        <w:rPr>
          <w:i/>
          <w:spacing w:val="-1"/>
        </w:rPr>
        <w:t>averaged</w:t>
      </w:r>
      <w:r w:rsidRPr="0031675F">
        <w:rPr>
          <w:i/>
        </w:rPr>
        <w:t xml:space="preserve"> </w:t>
      </w:r>
      <w:r w:rsidRPr="0031675F">
        <w:rPr>
          <w:i/>
          <w:spacing w:val="-2"/>
        </w:rPr>
        <w:t>over</w:t>
      </w:r>
      <w:r w:rsidRPr="0031675F">
        <w:rPr>
          <w:i/>
          <w:spacing w:val="1"/>
        </w:rPr>
        <w:t xml:space="preserve"> </w:t>
      </w:r>
      <w:r w:rsidRPr="0031675F">
        <w:rPr>
          <w:i/>
          <w:spacing w:val="-1"/>
        </w:rPr>
        <w:t>duplicates.</w:t>
      </w:r>
    </w:p>
    <w:p w14:paraId="77FE21F9" w14:textId="77777777" w:rsidR="0031675F" w:rsidRPr="0031675F" w:rsidRDefault="0031675F" w:rsidP="0031675F">
      <w:pPr>
        <w:widowControl w:val="0"/>
        <w:numPr>
          <w:ilvl w:val="0"/>
          <w:numId w:val="92"/>
        </w:numPr>
        <w:tabs>
          <w:tab w:val="left" w:pos="839"/>
        </w:tabs>
        <w:spacing w:before="0" w:after="0" w:line="279" w:lineRule="exact"/>
      </w:pPr>
      <w:r w:rsidRPr="0031675F">
        <w:rPr>
          <w:spacing w:val="-1"/>
        </w:rPr>
        <w:t>Coefficients</w:t>
      </w:r>
      <w:r w:rsidRPr="0031675F">
        <w:rPr>
          <w:spacing w:val="-2"/>
        </w:rPr>
        <w:t xml:space="preserve"> </w:t>
      </w:r>
      <w:r w:rsidRPr="0031675F">
        <w:t>of</w:t>
      </w:r>
      <w:r w:rsidRPr="0031675F">
        <w:rPr>
          <w:spacing w:val="-2"/>
        </w:rPr>
        <w:t xml:space="preserve"> </w:t>
      </w:r>
      <w:r w:rsidRPr="0031675F">
        <w:rPr>
          <w:spacing w:val="-1"/>
        </w:rPr>
        <w:t>variance</w:t>
      </w:r>
      <w:r w:rsidRPr="0031675F">
        <w:rPr>
          <w:spacing w:val="-2"/>
        </w:rPr>
        <w:t xml:space="preserve"> </w:t>
      </w:r>
      <w:r w:rsidRPr="0031675F">
        <w:t>are</w:t>
      </w:r>
      <w:r w:rsidRPr="0031675F">
        <w:rPr>
          <w:spacing w:val="-2"/>
        </w:rPr>
        <w:t xml:space="preserve"> </w:t>
      </w:r>
      <w:r w:rsidRPr="0031675F">
        <w:rPr>
          <w:spacing w:val="-1"/>
        </w:rPr>
        <w:t xml:space="preserve">calculated </w:t>
      </w:r>
      <w:r w:rsidRPr="0031675F">
        <w:rPr>
          <w:spacing w:val="-2"/>
        </w:rPr>
        <w:t>from</w:t>
      </w:r>
      <w:r w:rsidRPr="0031675F">
        <w:rPr>
          <w:spacing w:val="1"/>
        </w:rPr>
        <w:t xml:space="preserve"> </w:t>
      </w:r>
      <w:r w:rsidRPr="0031675F">
        <w:rPr>
          <w:spacing w:val="-1"/>
        </w:rPr>
        <w:t>analytical</w:t>
      </w:r>
      <w:r w:rsidRPr="0031675F">
        <w:rPr>
          <w:spacing w:val="-5"/>
        </w:rPr>
        <w:t xml:space="preserve"> </w:t>
      </w:r>
      <w:r w:rsidRPr="0031675F">
        <w:rPr>
          <w:spacing w:val="-1"/>
        </w:rPr>
        <w:t>results</w:t>
      </w:r>
      <w:r w:rsidRPr="0031675F">
        <w:rPr>
          <w:spacing w:val="-2"/>
        </w:rPr>
        <w:t xml:space="preserve"> </w:t>
      </w:r>
      <w:r w:rsidRPr="0031675F">
        <w:t xml:space="preserve">of </w:t>
      </w:r>
      <w:r w:rsidRPr="0031675F">
        <w:rPr>
          <w:spacing w:val="-1"/>
        </w:rPr>
        <w:t>sample</w:t>
      </w:r>
      <w:r w:rsidRPr="0031675F">
        <w:t xml:space="preserve"> </w:t>
      </w:r>
      <w:r w:rsidRPr="0031675F">
        <w:rPr>
          <w:spacing w:val="-1"/>
        </w:rPr>
        <w:t>duplicates.</w:t>
      </w:r>
    </w:p>
    <w:p w14:paraId="6B6A4FAE" w14:textId="77777777" w:rsidR="0031675F" w:rsidRPr="0031675F" w:rsidRDefault="0031675F" w:rsidP="0031675F">
      <w:pPr>
        <w:widowControl w:val="0"/>
        <w:numPr>
          <w:ilvl w:val="0"/>
          <w:numId w:val="92"/>
        </w:numPr>
        <w:tabs>
          <w:tab w:val="left" w:pos="890"/>
        </w:tabs>
        <w:spacing w:before="0" w:after="0" w:line="240" w:lineRule="auto"/>
        <w:ind w:right="116"/>
        <w:jc w:val="both"/>
        <w:rPr>
          <w:rFonts w:cs="Calibri"/>
          <w:sz w:val="20"/>
          <w:szCs w:val="20"/>
        </w:rPr>
      </w:pPr>
      <w:r w:rsidRPr="0031675F">
        <w:rPr>
          <w:spacing w:val="-1"/>
        </w:rPr>
        <w:t>Duplicates</w:t>
      </w:r>
      <w:r w:rsidRPr="0031675F">
        <w:rPr>
          <w:spacing w:val="33"/>
        </w:rPr>
        <w:t xml:space="preserve"> </w:t>
      </w:r>
      <w:r w:rsidRPr="0031675F">
        <w:t>with</w:t>
      </w:r>
      <w:r w:rsidRPr="0031675F">
        <w:rPr>
          <w:spacing w:val="36"/>
        </w:rPr>
        <w:t xml:space="preserve"> </w:t>
      </w:r>
      <w:r w:rsidRPr="0031675F">
        <w:rPr>
          <w:spacing w:val="-1"/>
        </w:rPr>
        <w:t>CV&gt;30%</w:t>
      </w:r>
      <w:r w:rsidRPr="0031675F">
        <w:rPr>
          <w:spacing w:val="32"/>
        </w:rPr>
        <w:t xml:space="preserve"> </w:t>
      </w:r>
      <w:r w:rsidRPr="0031675F">
        <w:t>are</w:t>
      </w:r>
      <w:r w:rsidRPr="0031675F">
        <w:rPr>
          <w:spacing w:val="35"/>
        </w:rPr>
        <w:t xml:space="preserve"> </w:t>
      </w:r>
      <w:r w:rsidRPr="0031675F">
        <w:rPr>
          <w:spacing w:val="-1"/>
        </w:rPr>
        <w:t>discarded</w:t>
      </w:r>
      <w:r w:rsidRPr="0031675F">
        <w:rPr>
          <w:spacing w:val="33"/>
        </w:rPr>
        <w:t xml:space="preserve"> </w:t>
      </w:r>
      <w:r w:rsidRPr="0031675F">
        <w:rPr>
          <w:spacing w:val="-1"/>
        </w:rPr>
        <w:t>from</w:t>
      </w:r>
      <w:r w:rsidRPr="0031675F">
        <w:rPr>
          <w:spacing w:val="35"/>
        </w:rPr>
        <w:t xml:space="preserve"> </w:t>
      </w:r>
      <w:r w:rsidRPr="0031675F">
        <w:t>the</w:t>
      </w:r>
      <w:r w:rsidRPr="0031675F">
        <w:rPr>
          <w:spacing w:val="34"/>
        </w:rPr>
        <w:t xml:space="preserve"> </w:t>
      </w:r>
      <w:r w:rsidRPr="0031675F">
        <w:rPr>
          <w:spacing w:val="-1"/>
        </w:rPr>
        <w:t>analysis</w:t>
      </w:r>
      <w:r w:rsidRPr="0031675F">
        <w:rPr>
          <w:spacing w:val="35"/>
        </w:rPr>
        <w:t xml:space="preserve"> </w:t>
      </w:r>
      <w:r w:rsidRPr="0031675F">
        <w:rPr>
          <w:spacing w:val="-1"/>
        </w:rPr>
        <w:t>and</w:t>
      </w:r>
      <w:r w:rsidRPr="0031675F">
        <w:rPr>
          <w:spacing w:val="33"/>
        </w:rPr>
        <w:t xml:space="preserve"> </w:t>
      </w:r>
      <w:r w:rsidRPr="0031675F">
        <w:t>the</w:t>
      </w:r>
      <w:r w:rsidRPr="0031675F">
        <w:rPr>
          <w:spacing w:val="34"/>
        </w:rPr>
        <w:t xml:space="preserve"> </w:t>
      </w:r>
      <w:r w:rsidRPr="0031675F">
        <w:rPr>
          <w:spacing w:val="-1"/>
        </w:rPr>
        <w:t>analysis</w:t>
      </w:r>
      <w:r w:rsidRPr="0031675F">
        <w:rPr>
          <w:spacing w:val="33"/>
        </w:rPr>
        <w:t xml:space="preserve"> </w:t>
      </w:r>
      <w:r w:rsidRPr="0031675F">
        <w:rPr>
          <w:spacing w:val="-1"/>
        </w:rPr>
        <w:t>repeated</w:t>
      </w:r>
      <w:r w:rsidRPr="0031675F">
        <w:rPr>
          <w:spacing w:val="36"/>
        </w:rPr>
        <w:t xml:space="preserve"> </w:t>
      </w:r>
      <w:r w:rsidRPr="0031675F">
        <w:rPr>
          <w:spacing w:val="-1"/>
        </w:rPr>
        <w:t>using</w:t>
      </w:r>
      <w:r w:rsidRPr="0031675F">
        <w:rPr>
          <w:spacing w:val="61"/>
        </w:rPr>
        <w:t xml:space="preserve"> </w:t>
      </w:r>
      <w:r w:rsidRPr="0031675F">
        <w:t xml:space="preserve">extra </w:t>
      </w:r>
      <w:r w:rsidRPr="0031675F">
        <w:rPr>
          <w:spacing w:val="-1"/>
        </w:rPr>
        <w:t>duplicates</w:t>
      </w:r>
      <w:r w:rsidRPr="0031675F">
        <w:rPr>
          <w:spacing w:val="-2"/>
        </w:rPr>
        <w:t xml:space="preserve"> </w:t>
      </w:r>
      <w:r w:rsidRPr="0031675F">
        <w:t xml:space="preserve">that </w:t>
      </w:r>
      <w:r w:rsidRPr="0031675F">
        <w:rPr>
          <w:spacing w:val="-1"/>
        </w:rPr>
        <w:t>are</w:t>
      </w:r>
      <w:r w:rsidRPr="0031675F">
        <w:t xml:space="preserve"> </w:t>
      </w:r>
      <w:r w:rsidRPr="0031675F">
        <w:rPr>
          <w:spacing w:val="-1"/>
        </w:rPr>
        <w:t>generally</w:t>
      </w:r>
      <w:r w:rsidRPr="0031675F">
        <w:t xml:space="preserve"> </w:t>
      </w:r>
      <w:r w:rsidRPr="0031675F">
        <w:rPr>
          <w:spacing w:val="-1"/>
        </w:rPr>
        <w:t>collected as</w:t>
      </w:r>
      <w:r w:rsidRPr="0031675F">
        <w:t xml:space="preserve"> a </w:t>
      </w:r>
      <w:r w:rsidRPr="0031675F">
        <w:rPr>
          <w:spacing w:val="-1"/>
        </w:rPr>
        <w:t>back</w:t>
      </w:r>
      <w:r w:rsidRPr="0031675F">
        <w:rPr>
          <w:spacing w:val="-2"/>
        </w:rPr>
        <w:t xml:space="preserve"> </w:t>
      </w:r>
      <w:r w:rsidRPr="0031675F">
        <w:rPr>
          <w:spacing w:val="-1"/>
        </w:rPr>
        <w:t>up.</w:t>
      </w:r>
    </w:p>
    <w:p w14:paraId="687FBAB9" w14:textId="77777777" w:rsidR="0031675F" w:rsidRPr="0031675F" w:rsidRDefault="0031675F" w:rsidP="0031675F">
      <w:pPr>
        <w:rPr>
          <w:rFonts w:cs="Calibri"/>
          <w:sz w:val="20"/>
          <w:szCs w:val="20"/>
        </w:rPr>
      </w:pPr>
    </w:p>
    <w:p w14:paraId="072B366F" w14:textId="77777777" w:rsidR="0031675F" w:rsidRPr="0031675F" w:rsidRDefault="0031675F" w:rsidP="0031675F">
      <w:pPr>
        <w:rPr>
          <w:rFonts w:cs="Calibri"/>
          <w:sz w:val="15"/>
          <w:szCs w:val="15"/>
        </w:rPr>
      </w:pPr>
      <w:r w:rsidRPr="0031675F">
        <w:rPr>
          <w:rFonts w:cs="Calibri"/>
          <w:sz w:val="15"/>
          <w:szCs w:val="15"/>
        </w:rPr>
        <w:br w:type="page"/>
      </w:r>
    </w:p>
    <w:p w14:paraId="1FD3F108" w14:textId="4BD0678D" w:rsidR="0031675F" w:rsidRPr="0031675F" w:rsidRDefault="0031675F" w:rsidP="005A35E3">
      <w:pPr>
        <w:pStyle w:val="Heading4"/>
        <w:numPr>
          <w:ilvl w:val="0"/>
          <w:numId w:val="0"/>
        </w:numPr>
        <w:ind w:left="864" w:hanging="864"/>
      </w:pPr>
      <w:bookmarkStart w:id="694" w:name="_TOC_250019"/>
      <w:r w:rsidRPr="0031675F">
        <w:rPr>
          <w:highlight w:val="lightGray"/>
        </w:rPr>
        <w:t xml:space="preserve"> </w:t>
      </w:r>
      <w:bookmarkStart w:id="695" w:name="_Toc523830558"/>
      <w:bookmarkStart w:id="696" w:name="_Toc523905144"/>
      <w:bookmarkStart w:id="697" w:name="_Toc523905386"/>
      <w:bookmarkStart w:id="698" w:name="_Toc534968697"/>
      <w:r w:rsidRPr="0031675F">
        <w:rPr>
          <w:highlight w:val="lightGray"/>
        </w:rPr>
        <w:t>Section A8 Attachments</w:t>
      </w:r>
      <w:bookmarkEnd w:id="695"/>
      <w:bookmarkEnd w:id="696"/>
      <w:bookmarkEnd w:id="697"/>
      <w:bookmarkEnd w:id="698"/>
      <w:r w:rsidRPr="0031675F">
        <w:rPr>
          <w:highlight w:val="lightGray"/>
        </w:rPr>
        <w:t xml:space="preserve"> </w:t>
      </w:r>
      <w:bookmarkEnd w:id="694"/>
    </w:p>
    <w:p w14:paraId="20D275EF" w14:textId="77777777" w:rsidR="0031675F" w:rsidRPr="0031675F" w:rsidRDefault="0031675F" w:rsidP="0031675F">
      <w:pPr>
        <w:tabs>
          <w:tab w:val="left" w:pos="2298"/>
        </w:tabs>
        <w:spacing w:before="235"/>
        <w:ind w:left="2298" w:right="119" w:hanging="2160"/>
        <w:rPr>
          <w:rFonts w:eastAsia="Arial" w:cs="Arial"/>
          <w:sz w:val="24"/>
          <w:szCs w:val="24"/>
        </w:rPr>
      </w:pPr>
      <w:r w:rsidRPr="0031675F">
        <w:rPr>
          <w:b/>
          <w:spacing w:val="-1"/>
          <w:sz w:val="24"/>
        </w:rPr>
        <w:t xml:space="preserve">Attachment </w:t>
      </w:r>
      <w:r w:rsidRPr="0031675F">
        <w:rPr>
          <w:b/>
          <w:sz w:val="24"/>
        </w:rPr>
        <w:t>8.1</w:t>
      </w:r>
      <w:r w:rsidRPr="0031675F">
        <w:rPr>
          <w:b/>
          <w:sz w:val="24"/>
        </w:rPr>
        <w:tab/>
        <w:t>Detailed</w:t>
      </w:r>
      <w:r w:rsidRPr="0031675F">
        <w:rPr>
          <w:b/>
          <w:spacing w:val="56"/>
          <w:sz w:val="24"/>
        </w:rPr>
        <w:t xml:space="preserve"> </w:t>
      </w:r>
      <w:r w:rsidRPr="0031675F">
        <w:rPr>
          <w:b/>
          <w:spacing w:val="-1"/>
          <w:sz w:val="24"/>
        </w:rPr>
        <w:t>procedure</w:t>
      </w:r>
      <w:r w:rsidRPr="0031675F">
        <w:rPr>
          <w:b/>
          <w:spacing w:val="58"/>
          <w:sz w:val="24"/>
        </w:rPr>
        <w:t xml:space="preserve"> </w:t>
      </w:r>
      <w:r w:rsidRPr="0031675F">
        <w:rPr>
          <w:b/>
          <w:spacing w:val="-2"/>
          <w:sz w:val="24"/>
        </w:rPr>
        <w:t>for</w:t>
      </w:r>
      <w:r w:rsidRPr="0031675F">
        <w:rPr>
          <w:b/>
          <w:spacing w:val="58"/>
          <w:sz w:val="24"/>
        </w:rPr>
        <w:t xml:space="preserve"> </w:t>
      </w:r>
      <w:r w:rsidRPr="0031675F">
        <w:rPr>
          <w:b/>
          <w:spacing w:val="-1"/>
          <w:sz w:val="24"/>
        </w:rPr>
        <w:t>the</w:t>
      </w:r>
      <w:r w:rsidRPr="0031675F">
        <w:rPr>
          <w:b/>
          <w:spacing w:val="57"/>
          <w:sz w:val="24"/>
        </w:rPr>
        <w:t xml:space="preserve"> </w:t>
      </w:r>
      <w:r w:rsidRPr="0031675F">
        <w:rPr>
          <w:b/>
          <w:spacing w:val="-1"/>
          <w:sz w:val="24"/>
        </w:rPr>
        <w:t>analysis</w:t>
      </w:r>
      <w:r w:rsidRPr="0031675F">
        <w:rPr>
          <w:b/>
          <w:spacing w:val="59"/>
          <w:sz w:val="24"/>
        </w:rPr>
        <w:t xml:space="preserve"> </w:t>
      </w:r>
      <w:r w:rsidRPr="0031675F">
        <w:rPr>
          <w:b/>
          <w:sz w:val="24"/>
        </w:rPr>
        <w:t>of</w:t>
      </w:r>
      <w:r w:rsidRPr="0031675F">
        <w:rPr>
          <w:b/>
          <w:spacing w:val="60"/>
          <w:sz w:val="24"/>
        </w:rPr>
        <w:t xml:space="preserve"> </w:t>
      </w:r>
      <w:r w:rsidRPr="0031675F">
        <w:rPr>
          <w:b/>
          <w:sz w:val="24"/>
        </w:rPr>
        <w:t>particulate</w:t>
      </w:r>
      <w:r w:rsidRPr="0031675F">
        <w:rPr>
          <w:b/>
          <w:spacing w:val="55"/>
          <w:sz w:val="24"/>
        </w:rPr>
        <w:t xml:space="preserve"> </w:t>
      </w:r>
      <w:r w:rsidRPr="0031675F">
        <w:rPr>
          <w:b/>
          <w:sz w:val="24"/>
        </w:rPr>
        <w:t>organic</w:t>
      </w:r>
      <w:r w:rsidRPr="0031675F">
        <w:rPr>
          <w:b/>
          <w:spacing w:val="45"/>
          <w:sz w:val="24"/>
        </w:rPr>
        <w:t xml:space="preserve"> </w:t>
      </w:r>
      <w:r w:rsidRPr="0031675F">
        <w:rPr>
          <w:b/>
          <w:sz w:val="24"/>
        </w:rPr>
        <w:t>carbon</w:t>
      </w:r>
      <w:r w:rsidRPr="0031675F">
        <w:rPr>
          <w:b/>
          <w:spacing w:val="1"/>
          <w:sz w:val="24"/>
        </w:rPr>
        <w:t xml:space="preserve"> and particulate nitrogen </w:t>
      </w:r>
      <w:r w:rsidRPr="0031675F">
        <w:rPr>
          <w:b/>
          <w:sz w:val="24"/>
        </w:rPr>
        <w:t>using the</w:t>
      </w:r>
      <w:r w:rsidRPr="0031675F">
        <w:rPr>
          <w:b/>
          <w:spacing w:val="-2"/>
          <w:sz w:val="24"/>
        </w:rPr>
        <w:t xml:space="preserve"> </w:t>
      </w:r>
      <w:r w:rsidRPr="0031675F">
        <w:rPr>
          <w:b/>
          <w:spacing w:val="-1"/>
          <w:sz w:val="24"/>
        </w:rPr>
        <w:t>Shimadzu</w:t>
      </w:r>
      <w:r w:rsidRPr="0031675F">
        <w:rPr>
          <w:b/>
          <w:sz w:val="24"/>
        </w:rPr>
        <w:t xml:space="preserve"> </w:t>
      </w:r>
      <w:r w:rsidRPr="0031675F">
        <w:rPr>
          <w:b/>
          <w:spacing w:val="-1"/>
          <w:sz w:val="24"/>
        </w:rPr>
        <w:t>TOC-V</w:t>
      </w:r>
      <w:r w:rsidRPr="0031675F">
        <w:rPr>
          <w:b/>
          <w:sz w:val="24"/>
        </w:rPr>
        <w:t xml:space="preserve"> with solid sample module in series with the TNM-1</w:t>
      </w:r>
    </w:p>
    <w:p w14:paraId="450303E0" w14:textId="77777777" w:rsidR="0031675F" w:rsidRPr="0031675F" w:rsidRDefault="0031675F" w:rsidP="0031675F">
      <w:pPr>
        <w:spacing w:before="11"/>
        <w:rPr>
          <w:rFonts w:eastAsia="Arial" w:cs="Arial"/>
          <w:b/>
          <w:bCs/>
          <w:sz w:val="20"/>
          <w:szCs w:val="20"/>
        </w:rPr>
      </w:pPr>
    </w:p>
    <w:p w14:paraId="1FB88F1B" w14:textId="77777777" w:rsidR="0031675F" w:rsidRPr="0031675F" w:rsidRDefault="0031675F" w:rsidP="0031675F">
      <w:pPr>
        <w:spacing w:after="120"/>
        <w:ind w:left="138" w:right="109"/>
        <w:jc w:val="both"/>
      </w:pPr>
      <w:r w:rsidRPr="0031675F">
        <w:rPr>
          <w:spacing w:val="-1"/>
        </w:rPr>
        <w:t>The</w:t>
      </w:r>
      <w:r w:rsidRPr="0031675F">
        <w:rPr>
          <w:spacing w:val="3"/>
        </w:rPr>
        <w:t xml:space="preserve"> </w:t>
      </w:r>
      <w:r w:rsidRPr="0031675F">
        <w:rPr>
          <w:spacing w:val="-1"/>
        </w:rPr>
        <w:t>Shimadzu</w:t>
      </w:r>
      <w:r w:rsidRPr="0031675F">
        <w:rPr>
          <w:spacing w:val="2"/>
        </w:rPr>
        <w:t xml:space="preserve"> </w:t>
      </w:r>
      <w:r w:rsidRPr="0031675F">
        <w:rPr>
          <w:spacing w:val="-1"/>
        </w:rPr>
        <w:t>TOC-V</w:t>
      </w:r>
      <w:r w:rsidRPr="0031675F">
        <w:rPr>
          <w:spacing w:val="3"/>
        </w:rPr>
        <w:t xml:space="preserve"> </w:t>
      </w:r>
      <w:r w:rsidRPr="0031675F">
        <w:rPr>
          <w:spacing w:val="-1"/>
        </w:rPr>
        <w:t>analyser</w:t>
      </w:r>
      <w:r w:rsidRPr="0031675F">
        <w:rPr>
          <w:spacing w:val="4"/>
        </w:rPr>
        <w:t xml:space="preserve"> </w:t>
      </w:r>
      <w:r w:rsidRPr="0031675F">
        <w:rPr>
          <w:spacing w:val="-1"/>
        </w:rPr>
        <w:t>uses</w:t>
      </w:r>
      <w:r w:rsidRPr="0031675F">
        <w:rPr>
          <w:spacing w:val="4"/>
        </w:rPr>
        <w:t xml:space="preserve"> </w:t>
      </w:r>
      <w:r w:rsidRPr="0031675F">
        <w:rPr>
          <w:spacing w:val="-1"/>
        </w:rPr>
        <w:t>high</w:t>
      </w:r>
      <w:r w:rsidRPr="0031675F">
        <w:rPr>
          <w:spacing w:val="2"/>
        </w:rPr>
        <w:t xml:space="preserve"> </w:t>
      </w:r>
      <w:r w:rsidRPr="0031675F">
        <w:rPr>
          <w:spacing w:val="-1"/>
        </w:rPr>
        <w:t>temperature</w:t>
      </w:r>
      <w:r w:rsidRPr="0031675F">
        <w:rPr>
          <w:spacing w:val="3"/>
        </w:rPr>
        <w:t xml:space="preserve"> </w:t>
      </w:r>
      <w:r w:rsidRPr="0031675F">
        <w:rPr>
          <w:spacing w:val="-1"/>
        </w:rPr>
        <w:t>combustion</w:t>
      </w:r>
      <w:r w:rsidRPr="0031675F">
        <w:rPr>
          <w:spacing w:val="2"/>
        </w:rPr>
        <w:t xml:space="preserve"> </w:t>
      </w:r>
      <w:r w:rsidRPr="0031675F">
        <w:rPr>
          <w:spacing w:val="-1"/>
        </w:rPr>
        <w:t>to</w:t>
      </w:r>
      <w:r w:rsidRPr="0031675F">
        <w:rPr>
          <w:spacing w:val="2"/>
        </w:rPr>
        <w:t xml:space="preserve"> </w:t>
      </w:r>
      <w:r w:rsidRPr="0031675F">
        <w:rPr>
          <w:spacing w:val="-1"/>
        </w:rPr>
        <w:t>measure</w:t>
      </w:r>
      <w:r w:rsidRPr="0031675F">
        <w:rPr>
          <w:spacing w:val="4"/>
        </w:rPr>
        <w:t xml:space="preserve"> </w:t>
      </w:r>
      <w:r w:rsidRPr="0031675F">
        <w:t xml:space="preserve">the </w:t>
      </w:r>
      <w:r w:rsidRPr="0031675F">
        <w:rPr>
          <w:spacing w:val="5"/>
        </w:rPr>
        <w:t xml:space="preserve"> </w:t>
      </w:r>
      <w:r w:rsidRPr="0031675F">
        <w:rPr>
          <w:spacing w:val="-1"/>
        </w:rPr>
        <w:t>total</w:t>
      </w:r>
      <w:r w:rsidRPr="0031675F">
        <w:t xml:space="preserve"> </w:t>
      </w:r>
      <w:r w:rsidRPr="0031675F">
        <w:rPr>
          <w:spacing w:val="3"/>
        </w:rPr>
        <w:t xml:space="preserve"> </w:t>
      </w:r>
      <w:r w:rsidRPr="0031675F">
        <w:rPr>
          <w:spacing w:val="-1"/>
        </w:rPr>
        <w:t>organic</w:t>
      </w:r>
      <w:r w:rsidRPr="0031675F">
        <w:rPr>
          <w:spacing w:val="41"/>
        </w:rPr>
        <w:t xml:space="preserve"> </w:t>
      </w:r>
      <w:r w:rsidRPr="0031675F">
        <w:rPr>
          <w:spacing w:val="-1"/>
        </w:rPr>
        <w:t>carbon (TOC)</w:t>
      </w:r>
      <w:r w:rsidRPr="0031675F">
        <w:t xml:space="preserve"> </w:t>
      </w:r>
      <w:r w:rsidRPr="0031675F">
        <w:rPr>
          <w:spacing w:val="-1"/>
        </w:rPr>
        <w:t>and</w:t>
      </w:r>
      <w:r w:rsidRPr="0031675F">
        <w:rPr>
          <w:spacing w:val="-3"/>
        </w:rPr>
        <w:t xml:space="preserve"> </w:t>
      </w:r>
      <w:r w:rsidRPr="0031675F">
        <w:rPr>
          <w:spacing w:val="-1"/>
        </w:rPr>
        <w:t>total</w:t>
      </w:r>
      <w:r w:rsidRPr="0031675F">
        <w:t xml:space="preserve"> </w:t>
      </w:r>
      <w:r w:rsidRPr="0031675F">
        <w:rPr>
          <w:spacing w:val="-1"/>
        </w:rPr>
        <w:t>nitrogen</w:t>
      </w:r>
      <w:r w:rsidRPr="0031675F">
        <w:t xml:space="preserve"> </w:t>
      </w:r>
      <w:r w:rsidRPr="0031675F">
        <w:rPr>
          <w:spacing w:val="-2"/>
        </w:rPr>
        <w:t>(TN)</w:t>
      </w:r>
      <w:r w:rsidRPr="0031675F">
        <w:t xml:space="preserve"> in</w:t>
      </w:r>
      <w:r w:rsidRPr="0031675F">
        <w:rPr>
          <w:spacing w:val="-1"/>
        </w:rPr>
        <w:t xml:space="preserve"> samples.</w:t>
      </w:r>
    </w:p>
    <w:p w14:paraId="472D8A40" w14:textId="77777777" w:rsidR="0031675F" w:rsidRPr="0031675F" w:rsidRDefault="0031675F" w:rsidP="0031675F">
      <w:pPr>
        <w:spacing w:after="120"/>
        <w:ind w:left="138" w:right="110"/>
        <w:jc w:val="both"/>
      </w:pPr>
      <w:r w:rsidRPr="0031675F">
        <w:t>In</w:t>
      </w:r>
      <w:r w:rsidRPr="0031675F">
        <w:rPr>
          <w:spacing w:val="4"/>
        </w:rPr>
        <w:t xml:space="preserve"> </w:t>
      </w:r>
      <w:r w:rsidRPr="0031675F">
        <w:rPr>
          <w:spacing w:val="-1"/>
        </w:rPr>
        <w:t>preparation</w:t>
      </w:r>
      <w:r w:rsidRPr="0031675F">
        <w:rPr>
          <w:spacing w:val="4"/>
        </w:rPr>
        <w:t xml:space="preserve"> </w:t>
      </w:r>
      <w:r w:rsidRPr="0031675F">
        <w:rPr>
          <w:spacing w:val="-1"/>
        </w:rPr>
        <w:t>for</w:t>
      </w:r>
      <w:r w:rsidRPr="0031675F">
        <w:rPr>
          <w:spacing w:val="5"/>
        </w:rPr>
        <w:t xml:space="preserve"> </w:t>
      </w:r>
      <w:r w:rsidRPr="0031675F">
        <w:rPr>
          <w:spacing w:val="-1"/>
        </w:rPr>
        <w:t>analysis,</w:t>
      </w:r>
      <w:r w:rsidRPr="0031675F">
        <w:rPr>
          <w:spacing w:val="3"/>
        </w:rPr>
        <w:t xml:space="preserve"> </w:t>
      </w:r>
      <w:r w:rsidRPr="0031675F">
        <w:t>a</w:t>
      </w:r>
      <w:r w:rsidRPr="0031675F">
        <w:rPr>
          <w:spacing w:val="5"/>
        </w:rPr>
        <w:t xml:space="preserve"> </w:t>
      </w:r>
      <w:r w:rsidRPr="0031675F">
        <w:t>small</w:t>
      </w:r>
      <w:r w:rsidRPr="0031675F">
        <w:rPr>
          <w:spacing w:val="4"/>
        </w:rPr>
        <w:t xml:space="preserve"> </w:t>
      </w:r>
      <w:r w:rsidRPr="0031675F">
        <w:rPr>
          <w:spacing w:val="-1"/>
        </w:rPr>
        <w:t>amount</w:t>
      </w:r>
      <w:r w:rsidRPr="0031675F">
        <w:rPr>
          <w:spacing w:val="5"/>
        </w:rPr>
        <w:t xml:space="preserve"> </w:t>
      </w:r>
      <w:r w:rsidRPr="0031675F">
        <w:t>of</w:t>
      </w:r>
      <w:r w:rsidRPr="0031675F">
        <w:rPr>
          <w:spacing w:val="5"/>
        </w:rPr>
        <w:t xml:space="preserve"> </w:t>
      </w:r>
      <w:r w:rsidRPr="0031675F">
        <w:rPr>
          <w:spacing w:val="-1"/>
        </w:rPr>
        <w:t>hydrochloric</w:t>
      </w:r>
      <w:r w:rsidRPr="0031675F">
        <w:rPr>
          <w:spacing w:val="4"/>
        </w:rPr>
        <w:t xml:space="preserve"> </w:t>
      </w:r>
      <w:r w:rsidRPr="0031675F">
        <w:t>acid</w:t>
      </w:r>
      <w:r w:rsidRPr="0031675F">
        <w:rPr>
          <w:spacing w:val="4"/>
        </w:rPr>
        <w:t xml:space="preserve"> </w:t>
      </w:r>
      <w:r w:rsidRPr="0031675F">
        <w:t>is</w:t>
      </w:r>
      <w:r w:rsidRPr="0031675F">
        <w:rPr>
          <w:spacing w:val="4"/>
        </w:rPr>
        <w:t xml:space="preserve"> </w:t>
      </w:r>
      <w:r w:rsidRPr="0031675F">
        <w:rPr>
          <w:spacing w:val="-1"/>
        </w:rPr>
        <w:t>added</w:t>
      </w:r>
      <w:r w:rsidRPr="0031675F">
        <w:rPr>
          <w:spacing w:val="4"/>
        </w:rPr>
        <w:t xml:space="preserve"> </w:t>
      </w:r>
      <w:r w:rsidRPr="0031675F">
        <w:rPr>
          <w:spacing w:val="-1"/>
        </w:rPr>
        <w:t>to</w:t>
      </w:r>
      <w:r w:rsidRPr="0031675F">
        <w:rPr>
          <w:spacing w:val="6"/>
        </w:rPr>
        <w:t xml:space="preserve"> </w:t>
      </w:r>
      <w:r w:rsidRPr="0031675F">
        <w:rPr>
          <w:spacing w:val="-1"/>
        </w:rPr>
        <w:t>the</w:t>
      </w:r>
      <w:r w:rsidRPr="0031675F">
        <w:rPr>
          <w:spacing w:val="3"/>
        </w:rPr>
        <w:t xml:space="preserve"> </w:t>
      </w:r>
      <w:r w:rsidRPr="0031675F">
        <w:rPr>
          <w:spacing w:val="-1"/>
        </w:rPr>
        <w:t>sample</w:t>
      </w:r>
      <w:r w:rsidRPr="0031675F">
        <w:rPr>
          <w:spacing w:val="11"/>
        </w:rPr>
        <w:t xml:space="preserve"> </w:t>
      </w:r>
      <w:r w:rsidRPr="0031675F">
        <w:rPr>
          <w:spacing w:val="-1"/>
        </w:rPr>
        <w:t>(e.g.</w:t>
      </w:r>
      <w:r w:rsidRPr="0031675F">
        <w:rPr>
          <w:spacing w:val="4"/>
        </w:rPr>
        <w:t xml:space="preserve"> </w:t>
      </w:r>
      <w:r w:rsidRPr="0031675F">
        <w:t>the</w:t>
      </w:r>
      <w:r w:rsidRPr="0031675F">
        <w:rPr>
          <w:spacing w:val="5"/>
        </w:rPr>
        <w:t xml:space="preserve"> </w:t>
      </w:r>
      <w:r w:rsidRPr="0031675F">
        <w:rPr>
          <w:spacing w:val="-1"/>
        </w:rPr>
        <w:t>filter</w:t>
      </w:r>
      <w:r w:rsidRPr="0031675F">
        <w:rPr>
          <w:spacing w:val="61"/>
        </w:rPr>
        <w:t xml:space="preserve"> </w:t>
      </w:r>
      <w:r w:rsidRPr="0031675F">
        <w:rPr>
          <w:spacing w:val="-1"/>
        </w:rPr>
        <w:t>containing the</w:t>
      </w:r>
      <w:r w:rsidRPr="0031675F">
        <w:rPr>
          <w:spacing w:val="-2"/>
        </w:rPr>
        <w:t xml:space="preserve"> </w:t>
      </w:r>
      <w:r w:rsidRPr="0031675F">
        <w:rPr>
          <w:spacing w:val="-1"/>
        </w:rPr>
        <w:t>solids)</w:t>
      </w:r>
      <w:r w:rsidRPr="0031675F">
        <w:rPr>
          <w:spacing w:val="1"/>
        </w:rPr>
        <w:t xml:space="preserve"> </w:t>
      </w:r>
      <w:r w:rsidRPr="0031675F">
        <w:rPr>
          <w:spacing w:val="-1"/>
        </w:rPr>
        <w:t>to</w:t>
      </w:r>
      <w:r w:rsidRPr="0031675F">
        <w:rPr>
          <w:spacing w:val="1"/>
        </w:rPr>
        <w:t xml:space="preserve"> </w:t>
      </w:r>
      <w:r w:rsidRPr="0031675F">
        <w:rPr>
          <w:spacing w:val="-1"/>
        </w:rPr>
        <w:t>convert</w:t>
      </w:r>
      <w:r w:rsidRPr="0031675F">
        <w:rPr>
          <w:spacing w:val="-2"/>
        </w:rPr>
        <w:t xml:space="preserve"> </w:t>
      </w:r>
      <w:r w:rsidRPr="0031675F">
        <w:t xml:space="preserve">all </w:t>
      </w:r>
      <w:r w:rsidRPr="0031675F">
        <w:rPr>
          <w:spacing w:val="-1"/>
        </w:rPr>
        <w:t>inorganic</w:t>
      </w:r>
      <w:r w:rsidRPr="0031675F">
        <w:rPr>
          <w:spacing w:val="-2"/>
        </w:rPr>
        <w:t xml:space="preserve"> </w:t>
      </w:r>
      <w:r w:rsidRPr="0031675F">
        <w:rPr>
          <w:spacing w:val="-1"/>
        </w:rPr>
        <w:t>carbon</w:t>
      </w:r>
      <w:r w:rsidRPr="0031675F">
        <w:rPr>
          <w:spacing w:val="-3"/>
        </w:rPr>
        <w:t xml:space="preserve"> </w:t>
      </w:r>
      <w:r w:rsidRPr="0031675F">
        <w:rPr>
          <w:spacing w:val="-2"/>
        </w:rPr>
        <w:t>(IC)</w:t>
      </w:r>
      <w:r w:rsidRPr="0031675F">
        <w:t xml:space="preserve"> in</w:t>
      </w:r>
      <w:r w:rsidRPr="0031675F">
        <w:rPr>
          <w:spacing w:val="-1"/>
        </w:rPr>
        <w:t xml:space="preserve"> the</w:t>
      </w:r>
      <w:r w:rsidRPr="0031675F">
        <w:rPr>
          <w:spacing w:val="-2"/>
        </w:rPr>
        <w:t xml:space="preserve"> </w:t>
      </w:r>
      <w:r w:rsidRPr="0031675F">
        <w:rPr>
          <w:spacing w:val="-1"/>
        </w:rPr>
        <w:t>sample</w:t>
      </w:r>
      <w:r w:rsidRPr="0031675F">
        <w:t xml:space="preserve"> </w:t>
      </w:r>
      <w:r w:rsidRPr="0031675F">
        <w:rPr>
          <w:spacing w:val="-1"/>
        </w:rPr>
        <w:t>to</w:t>
      </w:r>
      <w:r w:rsidRPr="0031675F">
        <w:rPr>
          <w:spacing w:val="1"/>
        </w:rPr>
        <w:t xml:space="preserve"> </w:t>
      </w:r>
      <w:r w:rsidRPr="0031675F">
        <w:rPr>
          <w:spacing w:val="-1"/>
        </w:rPr>
        <w:t>carbon</w:t>
      </w:r>
      <w:r w:rsidRPr="0031675F">
        <w:rPr>
          <w:spacing w:val="-3"/>
        </w:rPr>
        <w:t xml:space="preserve"> </w:t>
      </w:r>
      <w:r w:rsidRPr="0031675F">
        <w:rPr>
          <w:spacing w:val="-1"/>
        </w:rPr>
        <w:t>dioxide.</w:t>
      </w:r>
    </w:p>
    <w:p w14:paraId="391DA18D" w14:textId="77777777" w:rsidR="0031675F" w:rsidRPr="0031675F" w:rsidRDefault="0031675F" w:rsidP="0031675F">
      <w:pPr>
        <w:spacing w:after="120" w:line="238" w:lineRule="auto"/>
        <w:ind w:left="138" w:right="112"/>
        <w:jc w:val="both"/>
      </w:pPr>
      <w:r w:rsidRPr="0031675F">
        <w:rPr>
          <w:rFonts w:cs="Calibri"/>
        </w:rPr>
        <w:t>The</w:t>
      </w:r>
      <w:r w:rsidRPr="0031675F">
        <w:rPr>
          <w:rFonts w:cs="Calibri"/>
          <w:spacing w:val="26"/>
        </w:rPr>
        <w:t xml:space="preserve"> </w:t>
      </w:r>
      <w:r w:rsidRPr="0031675F">
        <w:rPr>
          <w:rFonts w:cs="Calibri"/>
          <w:spacing w:val="-1"/>
        </w:rPr>
        <w:t>sample</w:t>
      </w:r>
      <w:r w:rsidRPr="0031675F">
        <w:rPr>
          <w:rFonts w:cs="Calibri"/>
          <w:spacing w:val="27"/>
        </w:rPr>
        <w:t xml:space="preserve"> </w:t>
      </w:r>
      <w:r w:rsidRPr="0031675F">
        <w:rPr>
          <w:rFonts w:cs="Calibri"/>
        </w:rPr>
        <w:t>is</w:t>
      </w:r>
      <w:r w:rsidRPr="0031675F">
        <w:rPr>
          <w:rFonts w:cs="Calibri"/>
          <w:spacing w:val="26"/>
        </w:rPr>
        <w:t xml:space="preserve"> </w:t>
      </w:r>
      <w:r w:rsidRPr="0031675F">
        <w:rPr>
          <w:rFonts w:cs="Calibri"/>
          <w:spacing w:val="-1"/>
        </w:rPr>
        <w:t>dried</w:t>
      </w:r>
      <w:r w:rsidRPr="0031675F">
        <w:rPr>
          <w:rFonts w:cs="Calibri"/>
          <w:spacing w:val="25"/>
        </w:rPr>
        <w:t xml:space="preserve"> </w:t>
      </w:r>
      <w:r w:rsidRPr="0031675F">
        <w:rPr>
          <w:rFonts w:cs="Calibri"/>
          <w:spacing w:val="-1"/>
        </w:rPr>
        <w:t>(100</w:t>
      </w:r>
      <w:r w:rsidRPr="0031675F">
        <w:rPr>
          <w:rFonts w:cs="Calibri"/>
          <w:spacing w:val="25"/>
        </w:rPr>
        <w:t xml:space="preserve"> </w:t>
      </w:r>
      <w:r w:rsidRPr="0031675F">
        <w:rPr>
          <w:rFonts w:cs="Calibri"/>
          <w:spacing w:val="-1"/>
        </w:rPr>
        <w:t>degrees</w:t>
      </w:r>
      <w:r w:rsidRPr="0031675F">
        <w:rPr>
          <w:rFonts w:cs="Calibri"/>
          <w:spacing w:val="27"/>
        </w:rPr>
        <w:t xml:space="preserve"> </w:t>
      </w:r>
      <w:r w:rsidRPr="0031675F">
        <w:rPr>
          <w:rFonts w:cs="Calibri"/>
        </w:rPr>
        <w:t>C)</w:t>
      </w:r>
      <w:r w:rsidRPr="0031675F">
        <w:rPr>
          <w:rFonts w:cs="Calibri"/>
          <w:spacing w:val="27"/>
        </w:rPr>
        <w:t xml:space="preserve"> </w:t>
      </w:r>
      <w:r w:rsidRPr="0031675F">
        <w:rPr>
          <w:rFonts w:cs="Calibri"/>
        </w:rPr>
        <w:t>in</w:t>
      </w:r>
      <w:r w:rsidRPr="0031675F">
        <w:rPr>
          <w:rFonts w:cs="Calibri"/>
          <w:spacing w:val="25"/>
        </w:rPr>
        <w:t xml:space="preserve"> </w:t>
      </w:r>
      <w:r w:rsidRPr="0031675F">
        <w:rPr>
          <w:rFonts w:cs="Calibri"/>
        </w:rPr>
        <w:t>a</w:t>
      </w:r>
      <w:r w:rsidRPr="0031675F">
        <w:rPr>
          <w:rFonts w:cs="Calibri"/>
          <w:spacing w:val="26"/>
        </w:rPr>
        <w:t xml:space="preserve"> </w:t>
      </w:r>
      <w:r w:rsidRPr="0031675F">
        <w:rPr>
          <w:rFonts w:cs="Calibri"/>
          <w:spacing w:val="-1"/>
        </w:rPr>
        <w:t>“sample</w:t>
      </w:r>
      <w:r w:rsidRPr="0031675F">
        <w:rPr>
          <w:rFonts w:cs="Calibri"/>
          <w:spacing w:val="27"/>
        </w:rPr>
        <w:t xml:space="preserve"> </w:t>
      </w:r>
      <w:r w:rsidRPr="0031675F">
        <w:rPr>
          <w:rFonts w:cs="Calibri"/>
          <w:spacing w:val="-1"/>
        </w:rPr>
        <w:t>boat”</w:t>
      </w:r>
      <w:r w:rsidRPr="0031675F">
        <w:rPr>
          <w:rFonts w:cs="Calibri"/>
          <w:spacing w:val="31"/>
        </w:rPr>
        <w:t xml:space="preserve"> </w:t>
      </w:r>
      <w:r w:rsidRPr="0031675F">
        <w:rPr>
          <w:spacing w:val="-1"/>
        </w:rPr>
        <w:t>and</w:t>
      </w:r>
      <w:r w:rsidRPr="0031675F">
        <w:rPr>
          <w:spacing w:val="26"/>
        </w:rPr>
        <w:t xml:space="preserve"> </w:t>
      </w:r>
      <w:r w:rsidRPr="0031675F">
        <w:rPr>
          <w:spacing w:val="-1"/>
        </w:rPr>
        <w:t>introduced</w:t>
      </w:r>
      <w:r w:rsidRPr="0031675F">
        <w:rPr>
          <w:spacing w:val="26"/>
        </w:rPr>
        <w:t xml:space="preserve"> </w:t>
      </w:r>
      <w:r w:rsidRPr="0031675F">
        <w:rPr>
          <w:spacing w:val="-1"/>
        </w:rPr>
        <w:t>into</w:t>
      </w:r>
      <w:r w:rsidRPr="0031675F">
        <w:rPr>
          <w:spacing w:val="28"/>
        </w:rPr>
        <w:t xml:space="preserve"> </w:t>
      </w:r>
      <w:r w:rsidRPr="0031675F">
        <w:rPr>
          <w:spacing w:val="-1"/>
        </w:rPr>
        <w:t>the</w:t>
      </w:r>
      <w:r w:rsidRPr="0031675F">
        <w:rPr>
          <w:spacing w:val="26"/>
        </w:rPr>
        <w:t xml:space="preserve"> </w:t>
      </w:r>
      <w:r w:rsidRPr="0031675F">
        <w:rPr>
          <w:spacing w:val="-1"/>
        </w:rPr>
        <w:t>combustion</w:t>
      </w:r>
      <w:r w:rsidRPr="0031675F">
        <w:rPr>
          <w:spacing w:val="26"/>
        </w:rPr>
        <w:t xml:space="preserve"> </w:t>
      </w:r>
      <w:r w:rsidRPr="0031675F">
        <w:rPr>
          <w:spacing w:val="-1"/>
        </w:rPr>
        <w:t>tube</w:t>
      </w:r>
      <w:r w:rsidRPr="0031675F">
        <w:rPr>
          <w:spacing w:val="83"/>
        </w:rPr>
        <w:t xml:space="preserve"> </w:t>
      </w:r>
      <w:r w:rsidRPr="0031675F">
        <w:rPr>
          <w:spacing w:val="-1"/>
        </w:rPr>
        <w:t>(950°C),</w:t>
      </w:r>
      <w:r w:rsidRPr="0031675F">
        <w:rPr>
          <w:spacing w:val="12"/>
        </w:rPr>
        <w:t xml:space="preserve"> </w:t>
      </w:r>
      <w:r w:rsidRPr="0031675F">
        <w:t>where</w:t>
      </w:r>
      <w:r w:rsidRPr="0031675F">
        <w:rPr>
          <w:spacing w:val="15"/>
        </w:rPr>
        <w:t xml:space="preserve"> </w:t>
      </w:r>
      <w:r w:rsidRPr="0031675F">
        <w:rPr>
          <w:spacing w:val="-1"/>
        </w:rPr>
        <w:t>the</w:t>
      </w:r>
      <w:r w:rsidRPr="0031675F">
        <w:rPr>
          <w:spacing w:val="15"/>
        </w:rPr>
        <w:t xml:space="preserve"> </w:t>
      </w:r>
      <w:r w:rsidRPr="0031675F">
        <w:rPr>
          <w:spacing w:val="-1"/>
        </w:rPr>
        <w:t>TN</w:t>
      </w:r>
      <w:r w:rsidRPr="0031675F">
        <w:rPr>
          <w:spacing w:val="14"/>
        </w:rPr>
        <w:t xml:space="preserve"> </w:t>
      </w:r>
      <w:r w:rsidRPr="0031675F">
        <w:rPr>
          <w:spacing w:val="-1"/>
        </w:rPr>
        <w:t>decomposes</w:t>
      </w:r>
      <w:r w:rsidRPr="0031675F">
        <w:rPr>
          <w:spacing w:val="14"/>
        </w:rPr>
        <w:t xml:space="preserve"> </w:t>
      </w:r>
      <w:r w:rsidRPr="0031675F">
        <w:t>to</w:t>
      </w:r>
      <w:r w:rsidRPr="0031675F">
        <w:rPr>
          <w:spacing w:val="16"/>
        </w:rPr>
        <w:t xml:space="preserve"> </w:t>
      </w:r>
      <w:r w:rsidRPr="0031675F">
        <w:rPr>
          <w:spacing w:val="-1"/>
        </w:rPr>
        <w:t>nitrogen</w:t>
      </w:r>
      <w:r w:rsidRPr="0031675F">
        <w:rPr>
          <w:spacing w:val="11"/>
        </w:rPr>
        <w:t xml:space="preserve"> </w:t>
      </w:r>
      <w:r w:rsidRPr="0031675F">
        <w:rPr>
          <w:spacing w:val="-1"/>
        </w:rPr>
        <w:t>oxides</w:t>
      </w:r>
      <w:r w:rsidRPr="0031675F">
        <w:rPr>
          <w:spacing w:val="14"/>
        </w:rPr>
        <w:t xml:space="preserve"> </w:t>
      </w:r>
      <w:r w:rsidRPr="0031675F">
        <w:rPr>
          <w:spacing w:val="-1"/>
        </w:rPr>
        <w:t>and</w:t>
      </w:r>
      <w:r w:rsidRPr="0031675F">
        <w:rPr>
          <w:spacing w:val="14"/>
        </w:rPr>
        <w:t xml:space="preserve"> </w:t>
      </w:r>
      <w:r w:rsidRPr="0031675F">
        <w:t>the</w:t>
      </w:r>
      <w:r w:rsidRPr="0031675F">
        <w:rPr>
          <w:spacing w:val="14"/>
        </w:rPr>
        <w:t xml:space="preserve"> </w:t>
      </w:r>
      <w:r w:rsidRPr="0031675F">
        <w:rPr>
          <w:spacing w:val="-1"/>
        </w:rPr>
        <w:t>TOC</w:t>
      </w:r>
      <w:r w:rsidRPr="0031675F">
        <w:rPr>
          <w:spacing w:val="14"/>
        </w:rPr>
        <w:t xml:space="preserve"> </w:t>
      </w:r>
      <w:r w:rsidRPr="0031675F">
        <w:t>of</w:t>
      </w:r>
      <w:r w:rsidRPr="0031675F">
        <w:rPr>
          <w:spacing w:val="12"/>
        </w:rPr>
        <w:t xml:space="preserve"> </w:t>
      </w:r>
      <w:r w:rsidRPr="0031675F">
        <w:t>the</w:t>
      </w:r>
      <w:r w:rsidRPr="0031675F">
        <w:rPr>
          <w:spacing w:val="14"/>
        </w:rPr>
        <w:t xml:space="preserve"> </w:t>
      </w:r>
      <w:r w:rsidRPr="0031675F">
        <w:rPr>
          <w:spacing w:val="-1"/>
        </w:rPr>
        <w:t>sample</w:t>
      </w:r>
      <w:r w:rsidRPr="0031675F">
        <w:rPr>
          <w:spacing w:val="14"/>
        </w:rPr>
        <w:t xml:space="preserve"> </w:t>
      </w:r>
      <w:r w:rsidRPr="0031675F">
        <w:t>is</w:t>
      </w:r>
      <w:r w:rsidRPr="0031675F">
        <w:rPr>
          <w:spacing w:val="14"/>
        </w:rPr>
        <w:t xml:space="preserve"> </w:t>
      </w:r>
      <w:r w:rsidRPr="0031675F">
        <w:rPr>
          <w:spacing w:val="-1"/>
        </w:rPr>
        <w:t>simultaneously</w:t>
      </w:r>
      <w:r w:rsidRPr="0031675F">
        <w:rPr>
          <w:spacing w:val="47"/>
        </w:rPr>
        <w:t xml:space="preserve"> </w:t>
      </w:r>
      <w:r w:rsidRPr="0031675F">
        <w:rPr>
          <w:spacing w:val="-1"/>
        </w:rPr>
        <w:t>oxidized</w:t>
      </w:r>
      <w:r w:rsidRPr="0031675F">
        <w:rPr>
          <w:spacing w:val="1"/>
        </w:rPr>
        <w:t xml:space="preserve"> </w:t>
      </w:r>
      <w:r w:rsidRPr="0031675F">
        <w:rPr>
          <w:spacing w:val="-1"/>
        </w:rPr>
        <w:t>to</w:t>
      </w:r>
      <w:r w:rsidRPr="0031675F">
        <w:rPr>
          <w:spacing w:val="1"/>
        </w:rPr>
        <w:t xml:space="preserve"> </w:t>
      </w:r>
      <w:r w:rsidRPr="0031675F">
        <w:rPr>
          <w:spacing w:val="-1"/>
        </w:rPr>
        <w:t>form</w:t>
      </w:r>
      <w:r w:rsidRPr="0031675F">
        <w:rPr>
          <w:spacing w:val="1"/>
        </w:rPr>
        <w:t xml:space="preserve"> </w:t>
      </w:r>
      <w:r w:rsidRPr="0031675F">
        <w:rPr>
          <w:spacing w:val="-1"/>
        </w:rPr>
        <w:t>CO</w:t>
      </w:r>
      <w:r w:rsidRPr="0031675F">
        <w:rPr>
          <w:spacing w:val="-1"/>
          <w:position w:val="-2"/>
        </w:rPr>
        <w:t>2</w:t>
      </w:r>
      <w:r w:rsidRPr="0031675F">
        <w:rPr>
          <w:spacing w:val="-1"/>
        </w:rPr>
        <w:t>.</w:t>
      </w:r>
      <w:r w:rsidRPr="0031675F">
        <w:rPr>
          <w:spacing w:val="2"/>
        </w:rPr>
        <w:t xml:space="preserve"> </w:t>
      </w:r>
      <w:r w:rsidRPr="0031675F">
        <w:rPr>
          <w:spacing w:val="-1"/>
        </w:rPr>
        <w:t>This</w:t>
      </w:r>
      <w:r w:rsidRPr="0031675F">
        <w:t xml:space="preserve"> </w:t>
      </w:r>
      <w:r w:rsidRPr="0031675F">
        <w:rPr>
          <w:spacing w:val="-1"/>
        </w:rPr>
        <w:t>carbon</w:t>
      </w:r>
      <w:r w:rsidRPr="0031675F">
        <w:rPr>
          <w:spacing w:val="2"/>
        </w:rPr>
        <w:t xml:space="preserve"> </w:t>
      </w:r>
      <w:r w:rsidRPr="0031675F">
        <w:rPr>
          <w:spacing w:val="-1"/>
        </w:rPr>
        <w:t>dioxide</w:t>
      </w:r>
      <w:r w:rsidRPr="0031675F">
        <w:rPr>
          <w:spacing w:val="3"/>
        </w:rPr>
        <w:t xml:space="preserve"> </w:t>
      </w:r>
      <w:r w:rsidRPr="0031675F">
        <w:rPr>
          <w:spacing w:val="-2"/>
        </w:rPr>
        <w:t>is</w:t>
      </w:r>
      <w:r w:rsidRPr="0031675F">
        <w:rPr>
          <w:spacing w:val="2"/>
        </w:rPr>
        <w:t xml:space="preserve"> </w:t>
      </w:r>
      <w:r w:rsidRPr="0031675F">
        <w:rPr>
          <w:spacing w:val="-1"/>
        </w:rPr>
        <w:t>detected</w:t>
      </w:r>
      <w:r w:rsidRPr="0031675F">
        <w:t xml:space="preserve"> </w:t>
      </w:r>
      <w:r w:rsidRPr="0031675F">
        <w:rPr>
          <w:spacing w:val="-1"/>
        </w:rPr>
        <w:t>by</w:t>
      </w:r>
      <w:r w:rsidRPr="0031675F">
        <w:rPr>
          <w:spacing w:val="3"/>
        </w:rPr>
        <w:t xml:space="preserve"> </w:t>
      </w:r>
      <w:r w:rsidRPr="0031675F">
        <w:t>a</w:t>
      </w:r>
      <w:r w:rsidRPr="0031675F">
        <w:rPr>
          <w:spacing w:val="2"/>
        </w:rPr>
        <w:t xml:space="preserve"> </w:t>
      </w:r>
      <w:r w:rsidRPr="0031675F">
        <w:rPr>
          <w:spacing w:val="-1"/>
        </w:rPr>
        <w:t>nondispersive</w:t>
      </w:r>
      <w:r w:rsidRPr="0031675F">
        <w:rPr>
          <w:spacing w:val="3"/>
        </w:rPr>
        <w:t xml:space="preserve"> </w:t>
      </w:r>
      <w:r w:rsidRPr="0031675F">
        <w:rPr>
          <w:spacing w:val="-2"/>
        </w:rPr>
        <w:t>infrared</w:t>
      </w:r>
      <w:r w:rsidRPr="0031675F">
        <w:t xml:space="preserve"> </w:t>
      </w:r>
      <w:r w:rsidRPr="0031675F">
        <w:rPr>
          <w:spacing w:val="-1"/>
        </w:rPr>
        <w:t>(NDIR)</w:t>
      </w:r>
      <w:r w:rsidRPr="0031675F">
        <w:t xml:space="preserve"> </w:t>
      </w:r>
      <w:r w:rsidRPr="0031675F">
        <w:rPr>
          <w:spacing w:val="-1"/>
        </w:rPr>
        <w:t>gas</w:t>
      </w:r>
      <w:r w:rsidRPr="0031675F">
        <w:rPr>
          <w:spacing w:val="2"/>
        </w:rPr>
        <w:t xml:space="preserve"> </w:t>
      </w:r>
      <w:r w:rsidRPr="0031675F">
        <w:rPr>
          <w:spacing w:val="-1"/>
        </w:rPr>
        <w:t>analyser.</w:t>
      </w:r>
      <w:r w:rsidRPr="0031675F">
        <w:rPr>
          <w:spacing w:val="72"/>
        </w:rPr>
        <w:t xml:space="preserve"> </w:t>
      </w:r>
      <w:r w:rsidRPr="0031675F">
        <w:rPr>
          <w:spacing w:val="-1"/>
        </w:rPr>
        <w:t>The</w:t>
      </w:r>
      <w:r w:rsidRPr="0031675F">
        <w:rPr>
          <w:spacing w:val="38"/>
        </w:rPr>
        <w:t xml:space="preserve"> </w:t>
      </w:r>
      <w:r w:rsidRPr="0031675F">
        <w:t>area</w:t>
      </w:r>
      <w:r w:rsidRPr="0031675F">
        <w:rPr>
          <w:spacing w:val="39"/>
        </w:rPr>
        <w:t xml:space="preserve"> </w:t>
      </w:r>
      <w:r w:rsidRPr="0031675F">
        <w:t>of</w:t>
      </w:r>
      <w:r w:rsidRPr="0031675F">
        <w:rPr>
          <w:spacing w:val="36"/>
        </w:rPr>
        <w:t xml:space="preserve"> </w:t>
      </w:r>
      <w:r w:rsidRPr="0031675F">
        <w:t>the</w:t>
      </w:r>
      <w:r w:rsidRPr="0031675F">
        <w:rPr>
          <w:spacing w:val="39"/>
        </w:rPr>
        <w:t xml:space="preserve"> </w:t>
      </w:r>
      <w:r w:rsidRPr="0031675F">
        <w:t>carbon</w:t>
      </w:r>
      <w:r w:rsidRPr="0031675F">
        <w:rPr>
          <w:spacing w:val="38"/>
        </w:rPr>
        <w:t xml:space="preserve"> </w:t>
      </w:r>
      <w:r w:rsidRPr="0031675F">
        <w:rPr>
          <w:spacing w:val="-1"/>
        </w:rPr>
        <w:t>dioxide</w:t>
      </w:r>
      <w:r w:rsidRPr="0031675F">
        <w:rPr>
          <w:spacing w:val="39"/>
        </w:rPr>
        <w:t xml:space="preserve"> </w:t>
      </w:r>
      <w:r w:rsidRPr="0031675F">
        <w:rPr>
          <w:spacing w:val="-1"/>
        </w:rPr>
        <w:t>peak</w:t>
      </w:r>
      <w:r w:rsidRPr="0031675F">
        <w:rPr>
          <w:spacing w:val="39"/>
        </w:rPr>
        <w:t xml:space="preserve"> </w:t>
      </w:r>
      <w:r w:rsidRPr="0031675F">
        <w:rPr>
          <w:spacing w:val="-1"/>
        </w:rPr>
        <w:t>signal</w:t>
      </w:r>
      <w:r w:rsidRPr="0031675F">
        <w:rPr>
          <w:spacing w:val="37"/>
        </w:rPr>
        <w:t xml:space="preserve"> </w:t>
      </w:r>
      <w:r w:rsidRPr="0031675F">
        <w:t>is</w:t>
      </w:r>
      <w:r w:rsidRPr="0031675F">
        <w:rPr>
          <w:spacing w:val="38"/>
        </w:rPr>
        <w:t xml:space="preserve"> </w:t>
      </w:r>
      <w:r w:rsidRPr="0031675F">
        <w:rPr>
          <w:spacing w:val="-1"/>
        </w:rPr>
        <w:t>measured</w:t>
      </w:r>
      <w:r w:rsidRPr="0031675F">
        <w:rPr>
          <w:spacing w:val="38"/>
        </w:rPr>
        <w:t xml:space="preserve"> </w:t>
      </w:r>
      <w:r w:rsidRPr="0031675F">
        <w:rPr>
          <w:spacing w:val="-1"/>
        </w:rPr>
        <w:t>and</w:t>
      </w:r>
      <w:r w:rsidRPr="0031675F">
        <w:rPr>
          <w:spacing w:val="37"/>
        </w:rPr>
        <w:t xml:space="preserve"> </w:t>
      </w:r>
      <w:r w:rsidRPr="0031675F">
        <w:rPr>
          <w:spacing w:val="-1"/>
        </w:rPr>
        <w:t>this</w:t>
      </w:r>
      <w:r w:rsidRPr="0031675F">
        <w:rPr>
          <w:spacing w:val="39"/>
        </w:rPr>
        <w:t xml:space="preserve"> </w:t>
      </w:r>
      <w:r w:rsidRPr="0031675F">
        <w:rPr>
          <w:spacing w:val="-1"/>
        </w:rPr>
        <w:t>peak</w:t>
      </w:r>
      <w:r w:rsidRPr="0031675F">
        <w:rPr>
          <w:spacing w:val="39"/>
        </w:rPr>
        <w:t xml:space="preserve"> </w:t>
      </w:r>
      <w:r w:rsidRPr="0031675F">
        <w:t>area</w:t>
      </w:r>
      <w:r w:rsidRPr="0031675F">
        <w:rPr>
          <w:spacing w:val="39"/>
        </w:rPr>
        <w:t xml:space="preserve"> </w:t>
      </w:r>
      <w:r w:rsidRPr="0031675F">
        <w:t>is</w:t>
      </w:r>
      <w:r w:rsidRPr="0031675F">
        <w:rPr>
          <w:spacing w:val="37"/>
        </w:rPr>
        <w:t xml:space="preserve"> </w:t>
      </w:r>
      <w:r w:rsidRPr="0031675F">
        <w:rPr>
          <w:spacing w:val="-1"/>
        </w:rPr>
        <w:t>converted</w:t>
      </w:r>
      <w:r w:rsidRPr="0031675F">
        <w:rPr>
          <w:spacing w:val="38"/>
        </w:rPr>
        <w:t xml:space="preserve"> </w:t>
      </w:r>
      <w:r w:rsidRPr="0031675F">
        <w:rPr>
          <w:spacing w:val="-1"/>
        </w:rPr>
        <w:t>to</w:t>
      </w:r>
      <w:r w:rsidRPr="0031675F">
        <w:rPr>
          <w:spacing w:val="40"/>
        </w:rPr>
        <w:t xml:space="preserve"> </w:t>
      </w:r>
      <w:r w:rsidRPr="0031675F">
        <w:rPr>
          <w:spacing w:val="-1"/>
        </w:rPr>
        <w:t>TOC</w:t>
      </w:r>
      <w:r w:rsidRPr="0031675F">
        <w:rPr>
          <w:spacing w:val="49"/>
        </w:rPr>
        <w:t xml:space="preserve"> </w:t>
      </w:r>
      <w:r w:rsidRPr="0031675F">
        <w:rPr>
          <w:spacing w:val="-1"/>
        </w:rPr>
        <w:t>concentration,</w:t>
      </w:r>
      <w:r w:rsidRPr="0031675F">
        <w:rPr>
          <w:spacing w:val="22"/>
        </w:rPr>
        <w:t xml:space="preserve"> </w:t>
      </w:r>
      <w:r w:rsidRPr="0031675F">
        <w:rPr>
          <w:spacing w:val="-1"/>
        </w:rPr>
        <w:t>calculated</w:t>
      </w:r>
      <w:r w:rsidRPr="0031675F">
        <w:rPr>
          <w:spacing w:val="20"/>
        </w:rPr>
        <w:t xml:space="preserve"> </w:t>
      </w:r>
      <w:r w:rsidRPr="0031675F">
        <w:rPr>
          <w:spacing w:val="-1"/>
        </w:rPr>
        <w:t>from</w:t>
      </w:r>
      <w:r w:rsidRPr="0031675F">
        <w:rPr>
          <w:spacing w:val="22"/>
        </w:rPr>
        <w:t xml:space="preserve"> </w:t>
      </w:r>
      <w:r w:rsidRPr="0031675F">
        <w:t>a</w:t>
      </w:r>
      <w:r w:rsidRPr="0031675F">
        <w:rPr>
          <w:spacing w:val="19"/>
        </w:rPr>
        <w:t xml:space="preserve"> </w:t>
      </w:r>
      <w:r w:rsidRPr="0031675F">
        <w:rPr>
          <w:spacing w:val="-1"/>
        </w:rPr>
        <w:t>calibration</w:t>
      </w:r>
      <w:r w:rsidRPr="0031675F">
        <w:rPr>
          <w:spacing w:val="21"/>
        </w:rPr>
        <w:t xml:space="preserve"> </w:t>
      </w:r>
      <w:r w:rsidRPr="0031675F">
        <w:rPr>
          <w:spacing w:val="-1"/>
        </w:rPr>
        <w:t>curve</w:t>
      </w:r>
      <w:r w:rsidRPr="0031675F">
        <w:rPr>
          <w:spacing w:val="22"/>
        </w:rPr>
        <w:t xml:space="preserve"> </w:t>
      </w:r>
      <w:r w:rsidRPr="0031675F">
        <w:rPr>
          <w:spacing w:val="-1"/>
        </w:rPr>
        <w:t>prepared</w:t>
      </w:r>
      <w:r w:rsidRPr="0031675F">
        <w:rPr>
          <w:spacing w:val="21"/>
        </w:rPr>
        <w:t xml:space="preserve"> </w:t>
      </w:r>
      <w:r w:rsidRPr="0031675F">
        <w:rPr>
          <w:spacing w:val="-1"/>
        </w:rPr>
        <w:t>from</w:t>
      </w:r>
      <w:r w:rsidRPr="0031675F">
        <w:rPr>
          <w:spacing w:val="22"/>
        </w:rPr>
        <w:t xml:space="preserve"> </w:t>
      </w:r>
      <w:r w:rsidRPr="0031675F">
        <w:rPr>
          <w:spacing w:val="-1"/>
        </w:rPr>
        <w:t>known</w:t>
      </w:r>
      <w:r w:rsidRPr="0031675F">
        <w:rPr>
          <w:spacing w:val="21"/>
        </w:rPr>
        <w:t xml:space="preserve"> </w:t>
      </w:r>
      <w:r w:rsidRPr="0031675F">
        <w:rPr>
          <w:spacing w:val="-1"/>
        </w:rPr>
        <w:t>amounts</w:t>
      </w:r>
      <w:r w:rsidRPr="0031675F">
        <w:rPr>
          <w:spacing w:val="22"/>
        </w:rPr>
        <w:t xml:space="preserve"> </w:t>
      </w:r>
      <w:r w:rsidRPr="0031675F">
        <w:t>of</w:t>
      </w:r>
      <w:r w:rsidRPr="0031675F">
        <w:rPr>
          <w:spacing w:val="21"/>
        </w:rPr>
        <w:t xml:space="preserve"> </w:t>
      </w:r>
      <w:r w:rsidRPr="0031675F">
        <w:rPr>
          <w:spacing w:val="-1"/>
        </w:rPr>
        <w:t>carbon</w:t>
      </w:r>
      <w:r w:rsidRPr="0031675F">
        <w:rPr>
          <w:spacing w:val="21"/>
        </w:rPr>
        <w:t xml:space="preserve"> </w:t>
      </w:r>
      <w:r w:rsidRPr="0031675F">
        <w:rPr>
          <w:spacing w:val="-1"/>
        </w:rPr>
        <w:t>(using</w:t>
      </w:r>
      <w:r w:rsidRPr="0031675F">
        <w:rPr>
          <w:spacing w:val="83"/>
        </w:rPr>
        <w:t xml:space="preserve"> </w:t>
      </w:r>
      <w:r w:rsidRPr="0031675F">
        <w:rPr>
          <w:spacing w:val="-1"/>
        </w:rPr>
        <w:t>standard sediments).</w:t>
      </w:r>
    </w:p>
    <w:p w14:paraId="57E3D9D4" w14:textId="77777777" w:rsidR="0031675F" w:rsidRPr="0031675F" w:rsidRDefault="0031675F" w:rsidP="0031675F">
      <w:pPr>
        <w:spacing w:after="120" w:line="239" w:lineRule="auto"/>
        <w:ind w:left="138" w:right="110"/>
        <w:jc w:val="both"/>
      </w:pPr>
      <w:r w:rsidRPr="0031675F">
        <w:rPr>
          <w:spacing w:val="-1"/>
        </w:rPr>
        <w:t>After</w:t>
      </w:r>
      <w:r w:rsidRPr="0031675F">
        <w:rPr>
          <w:spacing w:val="21"/>
        </w:rPr>
        <w:t xml:space="preserve"> </w:t>
      </w:r>
      <w:r w:rsidRPr="0031675F">
        <w:rPr>
          <w:spacing w:val="-1"/>
        </w:rPr>
        <w:t>exiting</w:t>
      </w:r>
      <w:r w:rsidRPr="0031675F">
        <w:rPr>
          <w:spacing w:val="23"/>
        </w:rPr>
        <w:t xml:space="preserve"> </w:t>
      </w:r>
      <w:r w:rsidRPr="0031675F">
        <w:rPr>
          <w:spacing w:val="-1"/>
        </w:rPr>
        <w:t>the</w:t>
      </w:r>
      <w:r w:rsidRPr="0031675F">
        <w:rPr>
          <w:spacing w:val="24"/>
        </w:rPr>
        <w:t xml:space="preserve"> </w:t>
      </w:r>
      <w:r w:rsidRPr="0031675F">
        <w:rPr>
          <w:spacing w:val="-1"/>
        </w:rPr>
        <w:t>NDIR,</w:t>
      </w:r>
      <w:r w:rsidRPr="0031675F">
        <w:rPr>
          <w:spacing w:val="21"/>
        </w:rPr>
        <w:t xml:space="preserve"> </w:t>
      </w:r>
      <w:r w:rsidRPr="0031675F">
        <w:t>the</w:t>
      </w:r>
      <w:r w:rsidRPr="0031675F">
        <w:rPr>
          <w:spacing w:val="22"/>
        </w:rPr>
        <w:t xml:space="preserve"> </w:t>
      </w:r>
      <w:r w:rsidRPr="0031675F">
        <w:rPr>
          <w:spacing w:val="-1"/>
        </w:rPr>
        <w:t>carrier</w:t>
      </w:r>
      <w:r w:rsidRPr="0031675F">
        <w:rPr>
          <w:spacing w:val="22"/>
        </w:rPr>
        <w:t xml:space="preserve"> </w:t>
      </w:r>
      <w:r w:rsidRPr="0031675F">
        <w:rPr>
          <w:spacing w:val="-1"/>
        </w:rPr>
        <w:t>gas,</w:t>
      </w:r>
      <w:r w:rsidRPr="0031675F">
        <w:rPr>
          <w:spacing w:val="22"/>
        </w:rPr>
        <w:t xml:space="preserve"> </w:t>
      </w:r>
      <w:r w:rsidRPr="0031675F">
        <w:t>which</w:t>
      </w:r>
      <w:r w:rsidRPr="0031675F">
        <w:rPr>
          <w:spacing w:val="23"/>
        </w:rPr>
        <w:t xml:space="preserve"> </w:t>
      </w:r>
      <w:r w:rsidRPr="0031675F">
        <w:rPr>
          <w:spacing w:val="-1"/>
        </w:rPr>
        <w:t>contains</w:t>
      </w:r>
      <w:r w:rsidRPr="0031675F">
        <w:rPr>
          <w:spacing w:val="24"/>
        </w:rPr>
        <w:t xml:space="preserve"> </w:t>
      </w:r>
      <w:r w:rsidRPr="0031675F">
        <w:t>the</w:t>
      </w:r>
      <w:r w:rsidRPr="0031675F">
        <w:rPr>
          <w:spacing w:val="26"/>
        </w:rPr>
        <w:t xml:space="preserve"> </w:t>
      </w:r>
      <w:r w:rsidRPr="0031675F">
        <w:rPr>
          <w:spacing w:val="-1"/>
        </w:rPr>
        <w:t>nitrogen</w:t>
      </w:r>
      <w:r w:rsidRPr="0031675F">
        <w:rPr>
          <w:spacing w:val="21"/>
        </w:rPr>
        <w:t xml:space="preserve"> </w:t>
      </w:r>
      <w:r w:rsidRPr="0031675F">
        <w:rPr>
          <w:spacing w:val="-1"/>
        </w:rPr>
        <w:t>oxides,</w:t>
      </w:r>
      <w:r w:rsidRPr="0031675F">
        <w:rPr>
          <w:spacing w:val="22"/>
        </w:rPr>
        <w:t xml:space="preserve"> </w:t>
      </w:r>
      <w:r w:rsidRPr="0031675F">
        <w:rPr>
          <w:spacing w:val="-1"/>
        </w:rPr>
        <w:t>then</w:t>
      </w:r>
      <w:r w:rsidRPr="0031675F">
        <w:rPr>
          <w:spacing w:val="23"/>
        </w:rPr>
        <w:t xml:space="preserve"> </w:t>
      </w:r>
      <w:r w:rsidRPr="0031675F">
        <w:t>enters</w:t>
      </w:r>
      <w:r w:rsidRPr="0031675F">
        <w:rPr>
          <w:spacing w:val="22"/>
        </w:rPr>
        <w:t xml:space="preserve"> </w:t>
      </w:r>
      <w:r w:rsidRPr="0031675F">
        <w:t>the</w:t>
      </w:r>
      <w:r w:rsidRPr="0031675F">
        <w:rPr>
          <w:spacing w:val="22"/>
        </w:rPr>
        <w:t xml:space="preserve"> </w:t>
      </w:r>
      <w:r w:rsidRPr="0031675F">
        <w:rPr>
          <w:spacing w:val="-1"/>
        </w:rPr>
        <w:t>TMN-1</w:t>
      </w:r>
      <w:r w:rsidRPr="0031675F">
        <w:rPr>
          <w:spacing w:val="61"/>
        </w:rPr>
        <w:t xml:space="preserve"> </w:t>
      </w:r>
      <w:r w:rsidRPr="0031675F">
        <w:rPr>
          <w:spacing w:val="-1"/>
        </w:rPr>
        <w:t>nitrogen</w:t>
      </w:r>
      <w:r w:rsidRPr="0031675F">
        <w:rPr>
          <w:spacing w:val="30"/>
        </w:rPr>
        <w:t xml:space="preserve"> </w:t>
      </w:r>
      <w:r w:rsidRPr="0031675F">
        <w:rPr>
          <w:spacing w:val="-1"/>
        </w:rPr>
        <w:t>unit,</w:t>
      </w:r>
      <w:r w:rsidRPr="0031675F">
        <w:rPr>
          <w:spacing w:val="31"/>
        </w:rPr>
        <w:t xml:space="preserve"> </w:t>
      </w:r>
      <w:r w:rsidRPr="0031675F">
        <w:rPr>
          <w:spacing w:val="-1"/>
        </w:rPr>
        <w:t>where</w:t>
      </w:r>
      <w:r w:rsidRPr="0031675F">
        <w:rPr>
          <w:spacing w:val="32"/>
        </w:rPr>
        <w:t xml:space="preserve"> </w:t>
      </w:r>
      <w:r w:rsidRPr="0031675F">
        <w:rPr>
          <w:spacing w:val="-1"/>
        </w:rPr>
        <w:t>reaction</w:t>
      </w:r>
      <w:r w:rsidRPr="0031675F">
        <w:rPr>
          <w:spacing w:val="30"/>
        </w:rPr>
        <w:t xml:space="preserve"> </w:t>
      </w:r>
      <w:r w:rsidRPr="0031675F">
        <w:t>with</w:t>
      </w:r>
      <w:r w:rsidRPr="0031675F">
        <w:rPr>
          <w:spacing w:val="31"/>
        </w:rPr>
        <w:t xml:space="preserve"> </w:t>
      </w:r>
      <w:r w:rsidRPr="0031675F">
        <w:rPr>
          <w:spacing w:val="-1"/>
        </w:rPr>
        <w:t>ozone</w:t>
      </w:r>
      <w:r w:rsidRPr="0031675F">
        <w:rPr>
          <w:spacing w:val="32"/>
        </w:rPr>
        <w:t xml:space="preserve"> </w:t>
      </w:r>
      <w:r w:rsidRPr="0031675F">
        <w:rPr>
          <w:spacing w:val="-1"/>
        </w:rPr>
        <w:t>results</w:t>
      </w:r>
      <w:r w:rsidRPr="0031675F">
        <w:rPr>
          <w:spacing w:val="32"/>
        </w:rPr>
        <w:t xml:space="preserve"> </w:t>
      </w:r>
      <w:r w:rsidRPr="0031675F">
        <w:t>in</w:t>
      </w:r>
      <w:r w:rsidRPr="0031675F">
        <w:rPr>
          <w:spacing w:val="29"/>
        </w:rPr>
        <w:t xml:space="preserve"> </w:t>
      </w:r>
      <w:r w:rsidRPr="0031675F">
        <w:rPr>
          <w:spacing w:val="-1"/>
        </w:rPr>
        <w:t>emission</w:t>
      </w:r>
      <w:r w:rsidRPr="0031675F">
        <w:rPr>
          <w:spacing w:val="31"/>
        </w:rPr>
        <w:t xml:space="preserve"> </w:t>
      </w:r>
      <w:r w:rsidRPr="0031675F">
        <w:t>of</w:t>
      </w:r>
      <w:r w:rsidRPr="0031675F">
        <w:rPr>
          <w:spacing w:val="31"/>
        </w:rPr>
        <w:t xml:space="preserve"> </w:t>
      </w:r>
      <w:r w:rsidRPr="0031675F">
        <w:rPr>
          <w:spacing w:val="-1"/>
        </w:rPr>
        <w:t>light</w:t>
      </w:r>
      <w:r w:rsidRPr="0031675F">
        <w:rPr>
          <w:spacing w:val="31"/>
        </w:rPr>
        <w:t xml:space="preserve"> </w:t>
      </w:r>
      <w:r w:rsidRPr="0031675F">
        <w:rPr>
          <w:spacing w:val="-1"/>
        </w:rPr>
        <w:t>(chemiluminescence).</w:t>
      </w:r>
      <w:r w:rsidRPr="0031675F">
        <w:rPr>
          <w:spacing w:val="31"/>
        </w:rPr>
        <w:t xml:space="preserve"> </w:t>
      </w:r>
      <w:r w:rsidRPr="0031675F">
        <w:rPr>
          <w:spacing w:val="-1"/>
        </w:rPr>
        <w:t>This</w:t>
      </w:r>
      <w:r w:rsidRPr="0031675F">
        <w:rPr>
          <w:spacing w:val="31"/>
        </w:rPr>
        <w:t xml:space="preserve"> </w:t>
      </w:r>
      <w:r w:rsidRPr="0031675F">
        <w:t>is</w:t>
      </w:r>
      <w:r w:rsidRPr="0031675F">
        <w:rPr>
          <w:spacing w:val="85"/>
        </w:rPr>
        <w:t xml:space="preserve"> </w:t>
      </w:r>
      <w:r w:rsidRPr="0031675F">
        <w:rPr>
          <w:spacing w:val="-1"/>
        </w:rPr>
        <w:t>detected</w:t>
      </w:r>
      <w:r w:rsidRPr="0031675F">
        <w:rPr>
          <w:spacing w:val="42"/>
        </w:rPr>
        <w:t xml:space="preserve"> </w:t>
      </w:r>
      <w:r w:rsidRPr="0031675F">
        <w:rPr>
          <w:spacing w:val="-1"/>
        </w:rPr>
        <w:t>by</w:t>
      </w:r>
      <w:r w:rsidRPr="0031675F">
        <w:rPr>
          <w:spacing w:val="44"/>
        </w:rPr>
        <w:t xml:space="preserve"> </w:t>
      </w:r>
      <w:r w:rsidRPr="0031675F">
        <w:t>a</w:t>
      </w:r>
      <w:r w:rsidRPr="0031675F">
        <w:rPr>
          <w:spacing w:val="44"/>
        </w:rPr>
        <w:t xml:space="preserve"> </w:t>
      </w:r>
      <w:r w:rsidRPr="0031675F">
        <w:rPr>
          <w:spacing w:val="-1"/>
        </w:rPr>
        <w:t>photomultiplier</w:t>
      </w:r>
      <w:r w:rsidRPr="0031675F">
        <w:rPr>
          <w:spacing w:val="43"/>
        </w:rPr>
        <w:t xml:space="preserve"> </w:t>
      </w:r>
      <w:r w:rsidRPr="0031675F">
        <w:rPr>
          <w:spacing w:val="-1"/>
        </w:rPr>
        <w:t>and</w:t>
      </w:r>
      <w:r w:rsidRPr="0031675F">
        <w:rPr>
          <w:spacing w:val="43"/>
        </w:rPr>
        <w:t xml:space="preserve"> </w:t>
      </w:r>
      <w:r w:rsidRPr="0031675F">
        <w:rPr>
          <w:spacing w:val="-1"/>
        </w:rPr>
        <w:t>converted</w:t>
      </w:r>
      <w:r w:rsidRPr="0031675F">
        <w:rPr>
          <w:spacing w:val="43"/>
        </w:rPr>
        <w:t xml:space="preserve"> </w:t>
      </w:r>
      <w:r w:rsidRPr="0031675F">
        <w:rPr>
          <w:spacing w:val="-1"/>
        </w:rPr>
        <w:t>to</w:t>
      </w:r>
      <w:r w:rsidRPr="0031675F">
        <w:rPr>
          <w:spacing w:val="45"/>
        </w:rPr>
        <w:t xml:space="preserve"> </w:t>
      </w:r>
      <w:r w:rsidRPr="0031675F">
        <w:t>an</w:t>
      </w:r>
      <w:r w:rsidRPr="0031675F">
        <w:rPr>
          <w:spacing w:val="39"/>
        </w:rPr>
        <w:t xml:space="preserve"> </w:t>
      </w:r>
      <w:r w:rsidRPr="0031675F">
        <w:rPr>
          <w:spacing w:val="-1"/>
        </w:rPr>
        <w:t>analog</w:t>
      </w:r>
      <w:r w:rsidRPr="0031675F">
        <w:rPr>
          <w:spacing w:val="43"/>
        </w:rPr>
        <w:t xml:space="preserve"> </w:t>
      </w:r>
      <w:r w:rsidRPr="0031675F">
        <w:rPr>
          <w:spacing w:val="-1"/>
        </w:rPr>
        <w:t>signal.</w:t>
      </w:r>
      <w:r w:rsidRPr="0031675F">
        <w:rPr>
          <w:spacing w:val="37"/>
        </w:rPr>
        <w:t xml:space="preserve"> </w:t>
      </w:r>
      <w:r w:rsidRPr="0031675F">
        <w:rPr>
          <w:spacing w:val="-1"/>
        </w:rPr>
        <w:t>The</w:t>
      </w:r>
      <w:r w:rsidRPr="0031675F">
        <w:rPr>
          <w:spacing w:val="43"/>
        </w:rPr>
        <w:t xml:space="preserve"> </w:t>
      </w:r>
      <w:r w:rsidRPr="0031675F">
        <w:rPr>
          <w:spacing w:val="-1"/>
        </w:rPr>
        <w:t>TN</w:t>
      </w:r>
      <w:r w:rsidRPr="0031675F">
        <w:rPr>
          <w:spacing w:val="43"/>
        </w:rPr>
        <w:t xml:space="preserve"> </w:t>
      </w:r>
      <w:r w:rsidRPr="0031675F">
        <w:rPr>
          <w:spacing w:val="-1"/>
        </w:rPr>
        <w:t>concentration</w:t>
      </w:r>
      <w:r w:rsidRPr="0031675F">
        <w:rPr>
          <w:spacing w:val="40"/>
        </w:rPr>
        <w:t xml:space="preserve"> </w:t>
      </w:r>
      <w:r w:rsidRPr="0031675F">
        <w:t>of</w:t>
      </w:r>
      <w:r w:rsidRPr="0031675F">
        <w:rPr>
          <w:spacing w:val="43"/>
        </w:rPr>
        <w:t xml:space="preserve"> </w:t>
      </w:r>
      <w:r w:rsidRPr="0031675F">
        <w:t>the</w:t>
      </w:r>
      <w:r w:rsidRPr="0031675F">
        <w:rPr>
          <w:spacing w:val="81"/>
        </w:rPr>
        <w:t xml:space="preserve"> </w:t>
      </w:r>
      <w:r w:rsidRPr="0031675F">
        <w:rPr>
          <w:spacing w:val="-1"/>
        </w:rPr>
        <w:t>sample</w:t>
      </w:r>
      <w:r w:rsidRPr="0031675F">
        <w:t xml:space="preserve"> </w:t>
      </w:r>
      <w:r w:rsidRPr="0031675F">
        <w:rPr>
          <w:spacing w:val="-2"/>
        </w:rPr>
        <w:t xml:space="preserve">is </w:t>
      </w:r>
      <w:r w:rsidRPr="0031675F">
        <w:t>measured</w:t>
      </w:r>
      <w:r w:rsidRPr="0031675F">
        <w:rPr>
          <w:spacing w:val="-4"/>
        </w:rPr>
        <w:t xml:space="preserve"> </w:t>
      </w:r>
      <w:r w:rsidRPr="0031675F">
        <w:rPr>
          <w:spacing w:val="-1"/>
        </w:rPr>
        <w:t>against</w:t>
      </w:r>
      <w:r w:rsidRPr="0031675F">
        <w:t xml:space="preserve"> a </w:t>
      </w:r>
      <w:r w:rsidRPr="0031675F">
        <w:rPr>
          <w:spacing w:val="-1"/>
        </w:rPr>
        <w:t>calibration curve</w:t>
      </w:r>
      <w:r w:rsidRPr="0031675F">
        <w:rPr>
          <w:spacing w:val="-2"/>
        </w:rPr>
        <w:t xml:space="preserve"> </w:t>
      </w:r>
      <w:r w:rsidRPr="0031675F">
        <w:rPr>
          <w:spacing w:val="-1"/>
        </w:rPr>
        <w:t>prepared</w:t>
      </w:r>
      <w:r w:rsidRPr="0031675F">
        <w:t xml:space="preserve"> </w:t>
      </w:r>
      <w:r w:rsidRPr="0031675F">
        <w:rPr>
          <w:spacing w:val="-1"/>
        </w:rPr>
        <w:t>from known</w:t>
      </w:r>
      <w:r w:rsidRPr="0031675F">
        <w:t xml:space="preserve"> </w:t>
      </w:r>
      <w:r w:rsidRPr="0031675F">
        <w:rPr>
          <w:spacing w:val="-1"/>
        </w:rPr>
        <w:t>amounts</w:t>
      </w:r>
      <w:r w:rsidRPr="0031675F">
        <w:rPr>
          <w:spacing w:val="-2"/>
        </w:rPr>
        <w:t xml:space="preserve"> </w:t>
      </w:r>
      <w:r w:rsidRPr="0031675F">
        <w:t>of</w:t>
      </w:r>
      <w:r w:rsidRPr="0031675F">
        <w:rPr>
          <w:spacing w:val="-3"/>
        </w:rPr>
        <w:t xml:space="preserve"> </w:t>
      </w:r>
      <w:r w:rsidRPr="0031675F">
        <w:rPr>
          <w:spacing w:val="-1"/>
        </w:rPr>
        <w:t>nitrogen.</w:t>
      </w:r>
    </w:p>
    <w:p w14:paraId="5B288A2F" w14:textId="77777777" w:rsidR="0031675F" w:rsidRPr="0031675F" w:rsidRDefault="0031675F" w:rsidP="0031675F">
      <w:pPr>
        <w:spacing w:before="1"/>
        <w:rPr>
          <w:rFonts w:cs="Calibri"/>
        </w:rPr>
      </w:pPr>
    </w:p>
    <w:p w14:paraId="3D4A03B1" w14:textId="77777777" w:rsidR="0031675F" w:rsidRPr="0031675F" w:rsidRDefault="0031675F" w:rsidP="0031675F">
      <w:pPr>
        <w:ind w:left="138" w:right="109"/>
        <w:jc w:val="both"/>
        <w:rPr>
          <w:rFonts w:cs="Calibri"/>
        </w:rPr>
      </w:pPr>
      <w:r w:rsidRPr="0031675F">
        <w:rPr>
          <w:i/>
          <w:spacing w:val="-1"/>
        </w:rPr>
        <w:t>Users</w:t>
      </w:r>
      <w:r w:rsidRPr="0031675F">
        <w:rPr>
          <w:i/>
          <w:spacing w:val="31"/>
        </w:rPr>
        <w:t xml:space="preserve"> </w:t>
      </w:r>
      <w:r w:rsidRPr="0031675F">
        <w:rPr>
          <w:i/>
          <w:spacing w:val="-1"/>
        </w:rPr>
        <w:t>must</w:t>
      </w:r>
      <w:r w:rsidRPr="0031675F">
        <w:rPr>
          <w:i/>
          <w:spacing w:val="32"/>
        </w:rPr>
        <w:t xml:space="preserve"> </w:t>
      </w:r>
      <w:r w:rsidRPr="0031675F">
        <w:rPr>
          <w:i/>
          <w:spacing w:val="-1"/>
        </w:rPr>
        <w:t>have</w:t>
      </w:r>
      <w:r w:rsidRPr="0031675F">
        <w:rPr>
          <w:i/>
          <w:spacing w:val="29"/>
        </w:rPr>
        <w:t xml:space="preserve"> </w:t>
      </w:r>
      <w:r w:rsidRPr="0031675F">
        <w:rPr>
          <w:i/>
          <w:spacing w:val="-1"/>
        </w:rPr>
        <w:t>completed</w:t>
      </w:r>
      <w:r w:rsidRPr="0031675F">
        <w:rPr>
          <w:i/>
          <w:spacing w:val="30"/>
        </w:rPr>
        <w:t xml:space="preserve"> </w:t>
      </w:r>
      <w:r w:rsidRPr="0031675F">
        <w:rPr>
          <w:i/>
        </w:rPr>
        <w:t>a</w:t>
      </w:r>
      <w:r w:rsidRPr="0031675F">
        <w:rPr>
          <w:i/>
          <w:spacing w:val="31"/>
        </w:rPr>
        <w:t xml:space="preserve"> </w:t>
      </w:r>
      <w:r w:rsidRPr="0031675F">
        <w:rPr>
          <w:i/>
          <w:spacing w:val="-1"/>
        </w:rPr>
        <w:t>general</w:t>
      </w:r>
      <w:r w:rsidRPr="0031675F">
        <w:rPr>
          <w:i/>
          <w:spacing w:val="30"/>
        </w:rPr>
        <w:t xml:space="preserve"> </w:t>
      </w:r>
      <w:r w:rsidRPr="0031675F">
        <w:rPr>
          <w:i/>
          <w:spacing w:val="-1"/>
        </w:rPr>
        <w:t>laboratory</w:t>
      </w:r>
      <w:r w:rsidRPr="0031675F">
        <w:rPr>
          <w:i/>
          <w:spacing w:val="29"/>
        </w:rPr>
        <w:t xml:space="preserve"> </w:t>
      </w:r>
      <w:r w:rsidRPr="0031675F">
        <w:rPr>
          <w:i/>
          <w:spacing w:val="-1"/>
        </w:rPr>
        <w:t>safety</w:t>
      </w:r>
      <w:r w:rsidRPr="0031675F">
        <w:rPr>
          <w:i/>
          <w:spacing w:val="30"/>
        </w:rPr>
        <w:t xml:space="preserve"> </w:t>
      </w:r>
      <w:r w:rsidRPr="0031675F">
        <w:rPr>
          <w:i/>
          <w:spacing w:val="-1"/>
        </w:rPr>
        <w:t>induction</w:t>
      </w:r>
      <w:r w:rsidRPr="0031675F">
        <w:rPr>
          <w:i/>
          <w:spacing w:val="31"/>
        </w:rPr>
        <w:t xml:space="preserve"> </w:t>
      </w:r>
      <w:r w:rsidRPr="0031675F">
        <w:rPr>
          <w:i/>
          <w:spacing w:val="-1"/>
        </w:rPr>
        <w:t>and</w:t>
      </w:r>
      <w:r w:rsidRPr="0031675F">
        <w:rPr>
          <w:i/>
          <w:spacing w:val="31"/>
        </w:rPr>
        <w:t xml:space="preserve"> </w:t>
      </w:r>
      <w:r w:rsidRPr="0031675F">
        <w:rPr>
          <w:i/>
          <w:spacing w:val="-1"/>
        </w:rPr>
        <w:t>an</w:t>
      </w:r>
      <w:r w:rsidRPr="0031675F">
        <w:rPr>
          <w:i/>
          <w:spacing w:val="30"/>
        </w:rPr>
        <w:t xml:space="preserve"> </w:t>
      </w:r>
      <w:r w:rsidRPr="0031675F">
        <w:rPr>
          <w:i/>
          <w:spacing w:val="-1"/>
        </w:rPr>
        <w:t>induction</w:t>
      </w:r>
      <w:r w:rsidRPr="0031675F">
        <w:rPr>
          <w:i/>
          <w:spacing w:val="31"/>
        </w:rPr>
        <w:t xml:space="preserve"> </w:t>
      </w:r>
      <w:r w:rsidRPr="0031675F">
        <w:rPr>
          <w:i/>
          <w:spacing w:val="-1"/>
        </w:rPr>
        <w:t>specific</w:t>
      </w:r>
      <w:r w:rsidRPr="0031675F">
        <w:rPr>
          <w:i/>
          <w:spacing w:val="31"/>
        </w:rPr>
        <w:t xml:space="preserve"> </w:t>
      </w:r>
      <w:r w:rsidRPr="0031675F">
        <w:rPr>
          <w:i/>
        </w:rPr>
        <w:t>to</w:t>
      </w:r>
      <w:r w:rsidRPr="0031675F">
        <w:rPr>
          <w:i/>
          <w:spacing w:val="29"/>
        </w:rPr>
        <w:t xml:space="preserve"> </w:t>
      </w:r>
      <w:r w:rsidRPr="0031675F">
        <w:rPr>
          <w:i/>
        </w:rPr>
        <w:t>the</w:t>
      </w:r>
      <w:r w:rsidRPr="0031675F">
        <w:rPr>
          <w:i/>
          <w:spacing w:val="61"/>
        </w:rPr>
        <w:t xml:space="preserve"> </w:t>
      </w:r>
      <w:r w:rsidRPr="0031675F">
        <w:rPr>
          <w:i/>
          <w:spacing w:val="-1"/>
        </w:rPr>
        <w:t>equipment</w:t>
      </w:r>
      <w:r w:rsidRPr="0031675F">
        <w:rPr>
          <w:i/>
          <w:spacing w:val="5"/>
        </w:rPr>
        <w:t xml:space="preserve"> </w:t>
      </w:r>
      <w:r w:rsidRPr="0031675F">
        <w:rPr>
          <w:i/>
          <w:spacing w:val="-1"/>
        </w:rPr>
        <w:t>intended</w:t>
      </w:r>
      <w:r w:rsidRPr="0031675F">
        <w:rPr>
          <w:i/>
          <w:spacing w:val="4"/>
        </w:rPr>
        <w:t xml:space="preserve"> </w:t>
      </w:r>
      <w:r w:rsidRPr="0031675F">
        <w:rPr>
          <w:i/>
        </w:rPr>
        <w:t>to</w:t>
      </w:r>
      <w:r w:rsidRPr="0031675F">
        <w:rPr>
          <w:i/>
          <w:spacing w:val="5"/>
        </w:rPr>
        <w:t xml:space="preserve"> </w:t>
      </w:r>
      <w:r w:rsidRPr="0031675F">
        <w:rPr>
          <w:i/>
          <w:spacing w:val="-1"/>
        </w:rPr>
        <w:t>be</w:t>
      </w:r>
      <w:r w:rsidRPr="0031675F">
        <w:rPr>
          <w:i/>
          <w:spacing w:val="5"/>
        </w:rPr>
        <w:t xml:space="preserve"> </w:t>
      </w:r>
      <w:r w:rsidRPr="0031675F">
        <w:rPr>
          <w:i/>
          <w:spacing w:val="-1"/>
        </w:rPr>
        <w:t>used</w:t>
      </w:r>
      <w:r w:rsidRPr="0031675F">
        <w:rPr>
          <w:i/>
          <w:spacing w:val="5"/>
        </w:rPr>
        <w:t xml:space="preserve"> </w:t>
      </w:r>
      <w:r w:rsidRPr="0031675F">
        <w:rPr>
          <w:i/>
          <w:spacing w:val="-1"/>
        </w:rPr>
        <w:t>before</w:t>
      </w:r>
      <w:r w:rsidRPr="0031675F">
        <w:rPr>
          <w:i/>
          <w:spacing w:val="5"/>
        </w:rPr>
        <w:t xml:space="preserve"> </w:t>
      </w:r>
      <w:r w:rsidRPr="0031675F">
        <w:rPr>
          <w:i/>
          <w:spacing w:val="-1"/>
        </w:rPr>
        <w:t>operating</w:t>
      </w:r>
      <w:r w:rsidRPr="0031675F">
        <w:rPr>
          <w:i/>
          <w:spacing w:val="3"/>
        </w:rPr>
        <w:t xml:space="preserve"> </w:t>
      </w:r>
      <w:r w:rsidRPr="0031675F">
        <w:rPr>
          <w:i/>
        </w:rPr>
        <w:t>the</w:t>
      </w:r>
      <w:r w:rsidRPr="0031675F">
        <w:rPr>
          <w:i/>
          <w:spacing w:val="2"/>
        </w:rPr>
        <w:t xml:space="preserve"> </w:t>
      </w:r>
      <w:r w:rsidRPr="0031675F">
        <w:rPr>
          <w:i/>
          <w:spacing w:val="-1"/>
        </w:rPr>
        <w:t>equipment.</w:t>
      </w:r>
      <w:r w:rsidRPr="0031675F">
        <w:rPr>
          <w:i/>
          <w:spacing w:val="10"/>
        </w:rPr>
        <w:t xml:space="preserve"> </w:t>
      </w:r>
      <w:r w:rsidRPr="0031675F">
        <w:rPr>
          <w:i/>
          <w:spacing w:val="-1"/>
        </w:rPr>
        <w:t>Arrange</w:t>
      </w:r>
      <w:r w:rsidRPr="0031675F">
        <w:rPr>
          <w:i/>
          <w:spacing w:val="5"/>
        </w:rPr>
        <w:t xml:space="preserve"> </w:t>
      </w:r>
      <w:r w:rsidRPr="0031675F">
        <w:rPr>
          <w:i/>
          <w:spacing w:val="-1"/>
        </w:rPr>
        <w:t>inductions</w:t>
      </w:r>
      <w:r w:rsidRPr="0031675F">
        <w:rPr>
          <w:i/>
          <w:spacing w:val="5"/>
        </w:rPr>
        <w:t xml:space="preserve"> </w:t>
      </w:r>
      <w:r w:rsidRPr="0031675F">
        <w:rPr>
          <w:i/>
        </w:rPr>
        <w:t>with</w:t>
      </w:r>
      <w:r w:rsidRPr="0031675F">
        <w:rPr>
          <w:i/>
          <w:spacing w:val="4"/>
        </w:rPr>
        <w:t xml:space="preserve"> </w:t>
      </w:r>
      <w:r w:rsidRPr="0031675F">
        <w:rPr>
          <w:i/>
        </w:rPr>
        <w:t>designated</w:t>
      </w:r>
      <w:r w:rsidRPr="0031675F">
        <w:rPr>
          <w:i/>
          <w:spacing w:val="75"/>
        </w:rPr>
        <w:t xml:space="preserve"> </w:t>
      </w:r>
      <w:r w:rsidRPr="0031675F">
        <w:rPr>
          <w:i/>
          <w:spacing w:val="-1"/>
        </w:rPr>
        <w:t>laboratory</w:t>
      </w:r>
      <w:r w:rsidRPr="0031675F">
        <w:rPr>
          <w:i/>
          <w:spacing w:val="-3"/>
        </w:rPr>
        <w:t xml:space="preserve"> </w:t>
      </w:r>
      <w:r w:rsidRPr="0031675F">
        <w:rPr>
          <w:i/>
          <w:spacing w:val="-1"/>
        </w:rPr>
        <w:t>staff.</w:t>
      </w:r>
    </w:p>
    <w:p w14:paraId="5B7C763D" w14:textId="77777777" w:rsidR="0031675F" w:rsidRPr="0031675F" w:rsidRDefault="0031675F" w:rsidP="0031675F">
      <w:pPr>
        <w:spacing w:before="1"/>
        <w:rPr>
          <w:rFonts w:cs="Calibri"/>
          <w:i/>
        </w:rPr>
      </w:pPr>
    </w:p>
    <w:p w14:paraId="50D0F34D" w14:textId="77777777" w:rsidR="0031675F" w:rsidRPr="0031675F" w:rsidRDefault="0031675F" w:rsidP="0031675F">
      <w:pPr>
        <w:spacing w:line="268" w:lineRule="exact"/>
        <w:ind w:left="138"/>
        <w:jc w:val="both"/>
        <w:rPr>
          <w:rFonts w:cs="Calibri"/>
        </w:rPr>
      </w:pPr>
      <w:r w:rsidRPr="0031675F">
        <w:rPr>
          <w:b/>
          <w:spacing w:val="-1"/>
        </w:rPr>
        <w:t>Note: Potential</w:t>
      </w:r>
      <w:r w:rsidRPr="0031675F">
        <w:rPr>
          <w:b/>
        </w:rPr>
        <w:t xml:space="preserve"> </w:t>
      </w:r>
      <w:r w:rsidRPr="0031675F">
        <w:rPr>
          <w:b/>
          <w:spacing w:val="-1"/>
        </w:rPr>
        <w:t>hazards</w:t>
      </w:r>
    </w:p>
    <w:p w14:paraId="7B12B573" w14:textId="77777777" w:rsidR="0031675F" w:rsidRPr="0031675F" w:rsidRDefault="0031675F" w:rsidP="0031675F">
      <w:pPr>
        <w:widowControl w:val="0"/>
        <w:numPr>
          <w:ilvl w:val="0"/>
          <w:numId w:val="92"/>
        </w:numPr>
        <w:tabs>
          <w:tab w:val="left" w:pos="859"/>
        </w:tabs>
        <w:spacing w:before="0" w:after="0" w:line="240" w:lineRule="auto"/>
        <w:ind w:left="858" w:right="116"/>
      </w:pPr>
      <w:r w:rsidRPr="0031675F">
        <w:rPr>
          <w:spacing w:val="-1"/>
        </w:rPr>
        <w:t>CO</w:t>
      </w:r>
      <w:r w:rsidRPr="0031675F">
        <w:rPr>
          <w:spacing w:val="-1"/>
          <w:vertAlign w:val="subscript"/>
        </w:rPr>
        <w:t>2</w:t>
      </w:r>
      <w:r w:rsidRPr="0031675F">
        <w:rPr>
          <w:spacing w:val="15"/>
        </w:rPr>
        <w:t xml:space="preserve"> </w:t>
      </w:r>
      <w:r w:rsidRPr="0031675F">
        <w:rPr>
          <w:spacing w:val="-1"/>
        </w:rPr>
        <w:t>Absorber</w:t>
      </w:r>
      <w:r w:rsidRPr="0031675F">
        <w:rPr>
          <w:spacing w:val="14"/>
        </w:rPr>
        <w:t xml:space="preserve"> </w:t>
      </w:r>
      <w:r w:rsidRPr="0031675F">
        <w:rPr>
          <w:spacing w:val="-1"/>
        </w:rPr>
        <w:t>(soda</w:t>
      </w:r>
      <w:r w:rsidRPr="0031675F">
        <w:rPr>
          <w:spacing w:val="14"/>
        </w:rPr>
        <w:t xml:space="preserve"> </w:t>
      </w:r>
      <w:r w:rsidRPr="0031675F">
        <w:rPr>
          <w:spacing w:val="-1"/>
        </w:rPr>
        <w:t>Lime)</w:t>
      </w:r>
      <w:r w:rsidRPr="0031675F">
        <w:rPr>
          <w:spacing w:val="15"/>
        </w:rPr>
        <w:t xml:space="preserve"> </w:t>
      </w:r>
      <w:r w:rsidRPr="0031675F">
        <w:rPr>
          <w:spacing w:val="-1"/>
        </w:rPr>
        <w:t>and</w:t>
      </w:r>
      <w:r w:rsidRPr="0031675F">
        <w:rPr>
          <w:spacing w:val="14"/>
        </w:rPr>
        <w:t xml:space="preserve"> </w:t>
      </w:r>
      <w:r w:rsidRPr="0031675F">
        <w:rPr>
          <w:spacing w:val="-1"/>
        </w:rPr>
        <w:t>Acids</w:t>
      </w:r>
      <w:r w:rsidRPr="0031675F">
        <w:rPr>
          <w:spacing w:val="14"/>
        </w:rPr>
        <w:t xml:space="preserve"> </w:t>
      </w:r>
      <w:r w:rsidRPr="0031675F">
        <w:rPr>
          <w:spacing w:val="-1"/>
        </w:rPr>
        <w:t>used</w:t>
      </w:r>
      <w:r w:rsidRPr="0031675F">
        <w:rPr>
          <w:spacing w:val="14"/>
        </w:rPr>
        <w:t xml:space="preserve"> </w:t>
      </w:r>
      <w:r w:rsidRPr="0031675F">
        <w:t>in</w:t>
      </w:r>
      <w:r w:rsidRPr="0031675F">
        <w:rPr>
          <w:spacing w:val="13"/>
        </w:rPr>
        <w:t xml:space="preserve"> </w:t>
      </w:r>
      <w:r w:rsidRPr="0031675F">
        <w:rPr>
          <w:spacing w:val="-1"/>
        </w:rPr>
        <w:t>this</w:t>
      </w:r>
      <w:r w:rsidRPr="0031675F">
        <w:rPr>
          <w:spacing w:val="14"/>
        </w:rPr>
        <w:t xml:space="preserve"> </w:t>
      </w:r>
      <w:r w:rsidRPr="0031675F">
        <w:t>method</w:t>
      </w:r>
      <w:r w:rsidRPr="0031675F">
        <w:rPr>
          <w:spacing w:val="14"/>
        </w:rPr>
        <w:t xml:space="preserve"> </w:t>
      </w:r>
      <w:r w:rsidRPr="0031675F">
        <w:t>are</w:t>
      </w:r>
      <w:r w:rsidRPr="0031675F">
        <w:rPr>
          <w:spacing w:val="15"/>
        </w:rPr>
        <w:t xml:space="preserve"> </w:t>
      </w:r>
      <w:r w:rsidRPr="0031675F">
        <w:rPr>
          <w:spacing w:val="-1"/>
        </w:rPr>
        <w:t>corrosive</w:t>
      </w:r>
      <w:r w:rsidRPr="0031675F">
        <w:rPr>
          <w:spacing w:val="15"/>
        </w:rPr>
        <w:t xml:space="preserve"> </w:t>
      </w:r>
      <w:r w:rsidRPr="0031675F">
        <w:rPr>
          <w:spacing w:val="-1"/>
        </w:rPr>
        <w:t>and</w:t>
      </w:r>
      <w:r w:rsidRPr="0031675F">
        <w:rPr>
          <w:spacing w:val="14"/>
        </w:rPr>
        <w:t xml:space="preserve"> </w:t>
      </w:r>
      <w:r w:rsidRPr="0031675F">
        <w:rPr>
          <w:spacing w:val="-1"/>
        </w:rPr>
        <w:t>toxic.</w:t>
      </w:r>
      <w:r w:rsidRPr="0031675F">
        <w:rPr>
          <w:spacing w:val="14"/>
        </w:rPr>
        <w:t xml:space="preserve"> </w:t>
      </w:r>
      <w:r w:rsidRPr="0031675F">
        <w:rPr>
          <w:spacing w:val="-1"/>
        </w:rPr>
        <w:t>Ensure</w:t>
      </w:r>
      <w:r w:rsidRPr="0031675F">
        <w:rPr>
          <w:spacing w:val="15"/>
        </w:rPr>
        <w:t xml:space="preserve"> </w:t>
      </w:r>
      <w:r w:rsidRPr="0031675F">
        <w:t>all</w:t>
      </w:r>
      <w:r w:rsidRPr="0031675F">
        <w:rPr>
          <w:spacing w:val="51"/>
        </w:rPr>
        <w:t xml:space="preserve"> </w:t>
      </w:r>
      <w:r w:rsidRPr="0031675F">
        <w:rPr>
          <w:spacing w:val="-1"/>
        </w:rPr>
        <w:t>necessary</w:t>
      </w:r>
      <w:r w:rsidRPr="0031675F">
        <w:t xml:space="preserve"> </w:t>
      </w:r>
      <w:r w:rsidRPr="0031675F">
        <w:rPr>
          <w:spacing w:val="-1"/>
        </w:rPr>
        <w:t>precautions</w:t>
      </w:r>
      <w:r w:rsidRPr="0031675F">
        <w:rPr>
          <w:spacing w:val="-3"/>
        </w:rPr>
        <w:t xml:space="preserve"> </w:t>
      </w:r>
      <w:r w:rsidRPr="0031675F">
        <w:t>are</w:t>
      </w:r>
      <w:r w:rsidRPr="0031675F">
        <w:rPr>
          <w:spacing w:val="-1"/>
        </w:rPr>
        <w:t xml:space="preserve"> taken</w:t>
      </w:r>
      <w:r w:rsidRPr="0031675F">
        <w:t xml:space="preserve"> </w:t>
      </w:r>
      <w:r w:rsidRPr="0031675F">
        <w:rPr>
          <w:spacing w:val="-1"/>
        </w:rPr>
        <w:t>when</w:t>
      </w:r>
      <w:r w:rsidRPr="0031675F">
        <w:t xml:space="preserve"> </w:t>
      </w:r>
      <w:r w:rsidRPr="0031675F">
        <w:rPr>
          <w:spacing w:val="-1"/>
        </w:rPr>
        <w:t>handling these</w:t>
      </w:r>
      <w:r w:rsidRPr="0031675F">
        <w:rPr>
          <w:spacing w:val="-4"/>
        </w:rPr>
        <w:t xml:space="preserve"> </w:t>
      </w:r>
      <w:r w:rsidRPr="0031675F">
        <w:rPr>
          <w:spacing w:val="-1"/>
        </w:rPr>
        <w:t>materials.</w:t>
      </w:r>
    </w:p>
    <w:p w14:paraId="17C7ECDF" w14:textId="77777777" w:rsidR="0031675F" w:rsidRPr="0031675F" w:rsidRDefault="0031675F" w:rsidP="0031675F">
      <w:pPr>
        <w:widowControl w:val="0"/>
        <w:numPr>
          <w:ilvl w:val="0"/>
          <w:numId w:val="92"/>
        </w:numPr>
        <w:tabs>
          <w:tab w:val="left" w:pos="859"/>
        </w:tabs>
        <w:spacing w:before="0" w:after="0" w:line="240" w:lineRule="auto"/>
        <w:ind w:left="858" w:right="119"/>
      </w:pPr>
      <w:r w:rsidRPr="0031675F">
        <w:rPr>
          <w:spacing w:val="-1"/>
        </w:rPr>
        <w:t>High</w:t>
      </w:r>
      <w:r w:rsidRPr="0031675F">
        <w:rPr>
          <w:spacing w:val="14"/>
        </w:rPr>
        <w:t xml:space="preserve"> </w:t>
      </w:r>
      <w:r w:rsidRPr="0031675F">
        <w:rPr>
          <w:spacing w:val="-1"/>
        </w:rPr>
        <w:t>Temperature</w:t>
      </w:r>
      <w:r w:rsidRPr="0031675F">
        <w:rPr>
          <w:spacing w:val="14"/>
        </w:rPr>
        <w:t xml:space="preserve"> </w:t>
      </w:r>
      <w:r w:rsidRPr="0031675F">
        <w:rPr>
          <w:rFonts w:cs="Calibri"/>
        </w:rPr>
        <w:t>–</w:t>
      </w:r>
      <w:r w:rsidRPr="0031675F">
        <w:rPr>
          <w:rFonts w:cs="Calibri"/>
          <w:spacing w:val="15"/>
        </w:rPr>
        <w:t xml:space="preserve"> </w:t>
      </w:r>
      <w:r w:rsidRPr="0031675F">
        <w:rPr>
          <w:spacing w:val="-1"/>
        </w:rPr>
        <w:t>TOC-V</w:t>
      </w:r>
      <w:r w:rsidRPr="0031675F">
        <w:rPr>
          <w:spacing w:val="11"/>
        </w:rPr>
        <w:t xml:space="preserve"> </w:t>
      </w:r>
      <w:r w:rsidRPr="0031675F">
        <w:rPr>
          <w:spacing w:val="-1"/>
        </w:rPr>
        <w:t>furnace</w:t>
      </w:r>
      <w:r w:rsidRPr="0031675F">
        <w:rPr>
          <w:spacing w:val="13"/>
        </w:rPr>
        <w:t xml:space="preserve"> </w:t>
      </w:r>
      <w:r w:rsidRPr="0031675F">
        <w:rPr>
          <w:spacing w:val="-1"/>
        </w:rPr>
        <w:t>operates</w:t>
      </w:r>
      <w:r w:rsidRPr="0031675F">
        <w:rPr>
          <w:spacing w:val="15"/>
        </w:rPr>
        <w:t xml:space="preserve"> </w:t>
      </w:r>
      <w:r w:rsidRPr="0031675F">
        <w:t>at</w:t>
      </w:r>
      <w:r w:rsidRPr="0031675F">
        <w:rPr>
          <w:spacing w:val="12"/>
        </w:rPr>
        <w:t xml:space="preserve"> </w:t>
      </w:r>
      <w:r w:rsidRPr="0031675F">
        <w:rPr>
          <w:spacing w:val="-1"/>
        </w:rPr>
        <w:t>680C</w:t>
      </w:r>
      <w:r w:rsidRPr="0031675F">
        <w:rPr>
          <w:spacing w:val="10"/>
        </w:rPr>
        <w:t xml:space="preserve"> </w:t>
      </w:r>
      <w:r w:rsidRPr="0031675F">
        <w:t>or</w:t>
      </w:r>
      <w:r w:rsidRPr="0031675F">
        <w:rPr>
          <w:spacing w:val="17"/>
        </w:rPr>
        <w:t xml:space="preserve"> </w:t>
      </w:r>
      <w:r w:rsidRPr="0031675F">
        <w:rPr>
          <w:spacing w:val="-1"/>
        </w:rPr>
        <w:t>720C;</w:t>
      </w:r>
      <w:r w:rsidRPr="0031675F">
        <w:rPr>
          <w:spacing w:val="13"/>
        </w:rPr>
        <w:t xml:space="preserve"> </w:t>
      </w:r>
      <w:r w:rsidRPr="0031675F">
        <w:t>the</w:t>
      </w:r>
      <w:r w:rsidRPr="0031675F">
        <w:rPr>
          <w:spacing w:val="14"/>
        </w:rPr>
        <w:t xml:space="preserve"> </w:t>
      </w:r>
      <w:r w:rsidRPr="0031675F">
        <w:rPr>
          <w:spacing w:val="-2"/>
        </w:rPr>
        <w:t>SSM</w:t>
      </w:r>
      <w:r w:rsidRPr="0031675F">
        <w:rPr>
          <w:spacing w:val="15"/>
        </w:rPr>
        <w:t xml:space="preserve"> </w:t>
      </w:r>
      <w:r w:rsidRPr="0031675F">
        <w:rPr>
          <w:spacing w:val="-1"/>
        </w:rPr>
        <w:t>TC</w:t>
      </w:r>
      <w:r w:rsidRPr="0031675F">
        <w:rPr>
          <w:spacing w:val="15"/>
        </w:rPr>
        <w:t xml:space="preserve"> </w:t>
      </w:r>
      <w:r w:rsidRPr="0031675F">
        <w:rPr>
          <w:spacing w:val="-1"/>
        </w:rPr>
        <w:t>furnace</w:t>
      </w:r>
      <w:r w:rsidRPr="0031675F">
        <w:rPr>
          <w:spacing w:val="13"/>
        </w:rPr>
        <w:t xml:space="preserve"> </w:t>
      </w:r>
      <w:r w:rsidRPr="0031675F">
        <w:rPr>
          <w:spacing w:val="-1"/>
        </w:rPr>
        <w:t>operates</w:t>
      </w:r>
      <w:r w:rsidRPr="0031675F">
        <w:rPr>
          <w:spacing w:val="55"/>
        </w:rPr>
        <w:t xml:space="preserve"> </w:t>
      </w:r>
      <w:r w:rsidRPr="0031675F">
        <w:t xml:space="preserve">at </w:t>
      </w:r>
      <w:r w:rsidRPr="0031675F">
        <w:rPr>
          <w:spacing w:val="-1"/>
        </w:rPr>
        <w:t>950C</w:t>
      </w:r>
      <w:r w:rsidRPr="0031675F">
        <w:rPr>
          <w:spacing w:val="-3"/>
        </w:rPr>
        <w:t xml:space="preserve"> </w:t>
      </w:r>
      <w:r w:rsidRPr="0031675F">
        <w:t>and</w:t>
      </w:r>
      <w:r w:rsidRPr="0031675F">
        <w:rPr>
          <w:spacing w:val="-2"/>
        </w:rPr>
        <w:t xml:space="preserve"> </w:t>
      </w:r>
      <w:r w:rsidRPr="0031675F">
        <w:t>IC at</w:t>
      </w:r>
      <w:r w:rsidRPr="0031675F">
        <w:rPr>
          <w:spacing w:val="-2"/>
        </w:rPr>
        <w:t xml:space="preserve"> </w:t>
      </w:r>
      <w:r w:rsidRPr="0031675F">
        <w:rPr>
          <w:spacing w:val="-1"/>
        </w:rPr>
        <w:t>200C.</w:t>
      </w:r>
    </w:p>
    <w:p w14:paraId="6BD6F6A8" w14:textId="77777777" w:rsidR="0031675F" w:rsidRPr="0031675F" w:rsidRDefault="0031675F" w:rsidP="0031675F">
      <w:pPr>
        <w:widowControl w:val="0"/>
        <w:numPr>
          <w:ilvl w:val="0"/>
          <w:numId w:val="92"/>
        </w:numPr>
        <w:tabs>
          <w:tab w:val="left" w:pos="859"/>
        </w:tabs>
        <w:spacing w:before="0" w:after="0" w:line="240" w:lineRule="auto"/>
        <w:ind w:left="858"/>
      </w:pPr>
      <w:r w:rsidRPr="0031675F">
        <w:rPr>
          <w:spacing w:val="-1"/>
        </w:rPr>
        <w:t>Electric</w:t>
      </w:r>
      <w:r w:rsidRPr="0031675F">
        <w:rPr>
          <w:spacing w:val="-3"/>
        </w:rPr>
        <w:t xml:space="preserve"> </w:t>
      </w:r>
      <w:r w:rsidRPr="0031675F">
        <w:rPr>
          <w:spacing w:val="-1"/>
        </w:rPr>
        <w:t>Shock</w:t>
      </w:r>
      <w:r w:rsidRPr="0031675F">
        <w:rPr>
          <w:spacing w:val="1"/>
        </w:rPr>
        <w:t xml:space="preserve"> </w:t>
      </w:r>
      <w:r w:rsidRPr="0031675F">
        <w:rPr>
          <w:rFonts w:cs="Calibri"/>
        </w:rPr>
        <w:t>–</w:t>
      </w:r>
      <w:r w:rsidRPr="0031675F">
        <w:rPr>
          <w:rFonts w:cs="Calibri"/>
          <w:spacing w:val="-2"/>
        </w:rPr>
        <w:t xml:space="preserve"> </w:t>
      </w:r>
      <w:r w:rsidRPr="0031675F">
        <w:rPr>
          <w:spacing w:val="-1"/>
        </w:rPr>
        <w:t>Do</w:t>
      </w:r>
      <w:r w:rsidRPr="0031675F">
        <w:rPr>
          <w:spacing w:val="1"/>
        </w:rPr>
        <w:t xml:space="preserve"> </w:t>
      </w:r>
      <w:r w:rsidRPr="0031675F">
        <w:rPr>
          <w:spacing w:val="-1"/>
        </w:rPr>
        <w:t>not</w:t>
      </w:r>
      <w:r w:rsidRPr="0031675F">
        <w:t xml:space="preserve"> </w:t>
      </w:r>
      <w:r w:rsidRPr="0031675F">
        <w:rPr>
          <w:spacing w:val="-1"/>
        </w:rPr>
        <w:t>remove</w:t>
      </w:r>
      <w:r w:rsidRPr="0031675F">
        <w:rPr>
          <w:spacing w:val="-2"/>
        </w:rPr>
        <w:t xml:space="preserve"> </w:t>
      </w:r>
      <w:r w:rsidRPr="0031675F">
        <w:rPr>
          <w:spacing w:val="-1"/>
        </w:rPr>
        <w:t>the</w:t>
      </w:r>
      <w:r w:rsidRPr="0031675F">
        <w:t xml:space="preserve"> </w:t>
      </w:r>
      <w:r w:rsidRPr="0031675F">
        <w:rPr>
          <w:spacing w:val="-1"/>
        </w:rPr>
        <w:t>back</w:t>
      </w:r>
      <w:r w:rsidRPr="0031675F">
        <w:rPr>
          <w:spacing w:val="1"/>
        </w:rPr>
        <w:t xml:space="preserve"> </w:t>
      </w:r>
      <w:r w:rsidRPr="0031675F">
        <w:rPr>
          <w:spacing w:val="-1"/>
        </w:rPr>
        <w:t>panel</w:t>
      </w:r>
      <w:r w:rsidRPr="0031675F">
        <w:rPr>
          <w:spacing w:val="-3"/>
        </w:rPr>
        <w:t xml:space="preserve"> </w:t>
      </w:r>
      <w:r w:rsidRPr="0031675F">
        <w:t xml:space="preserve">as </w:t>
      </w:r>
      <w:r w:rsidRPr="0031675F">
        <w:rPr>
          <w:spacing w:val="-1"/>
        </w:rPr>
        <w:t>there</w:t>
      </w:r>
      <w:r w:rsidRPr="0031675F">
        <w:t xml:space="preserve"> is a </w:t>
      </w:r>
      <w:r w:rsidRPr="0031675F">
        <w:rPr>
          <w:spacing w:val="-1"/>
        </w:rPr>
        <w:t>danger</w:t>
      </w:r>
      <w:r w:rsidRPr="0031675F">
        <w:rPr>
          <w:spacing w:val="-2"/>
        </w:rPr>
        <w:t xml:space="preserve"> </w:t>
      </w:r>
      <w:r w:rsidRPr="0031675F">
        <w:t>of</w:t>
      </w:r>
      <w:r w:rsidRPr="0031675F">
        <w:rPr>
          <w:spacing w:val="-3"/>
        </w:rPr>
        <w:t xml:space="preserve"> </w:t>
      </w:r>
      <w:r w:rsidRPr="0031675F">
        <w:rPr>
          <w:spacing w:val="-1"/>
        </w:rPr>
        <w:t>electric</w:t>
      </w:r>
      <w:r w:rsidRPr="0031675F">
        <w:rPr>
          <w:spacing w:val="-2"/>
        </w:rPr>
        <w:t xml:space="preserve"> </w:t>
      </w:r>
      <w:r w:rsidRPr="0031675F">
        <w:rPr>
          <w:spacing w:val="-1"/>
        </w:rPr>
        <w:t>shock.</w:t>
      </w:r>
    </w:p>
    <w:p w14:paraId="30C18E75" w14:textId="77777777" w:rsidR="0031675F" w:rsidRPr="0031675F" w:rsidRDefault="0031675F" w:rsidP="0031675F">
      <w:pPr>
        <w:widowControl w:val="0"/>
        <w:numPr>
          <w:ilvl w:val="0"/>
          <w:numId w:val="92"/>
        </w:numPr>
        <w:tabs>
          <w:tab w:val="left" w:pos="859"/>
        </w:tabs>
        <w:spacing w:before="1" w:after="0" w:line="239" w:lineRule="auto"/>
        <w:ind w:left="858" w:right="115"/>
        <w:jc w:val="both"/>
      </w:pPr>
      <w:r w:rsidRPr="0031675F">
        <w:rPr>
          <w:spacing w:val="-1"/>
        </w:rPr>
        <w:t>Injury</w:t>
      </w:r>
      <w:r w:rsidRPr="0031675F">
        <w:rPr>
          <w:spacing w:val="13"/>
        </w:rPr>
        <w:t xml:space="preserve"> </w:t>
      </w:r>
      <w:r w:rsidRPr="0031675F">
        <w:rPr>
          <w:rFonts w:cs="Calibri"/>
        </w:rPr>
        <w:t>–</w:t>
      </w:r>
      <w:r w:rsidRPr="0031675F">
        <w:rPr>
          <w:rFonts w:cs="Calibri"/>
          <w:spacing w:val="13"/>
        </w:rPr>
        <w:t xml:space="preserve"> </w:t>
      </w:r>
      <w:r w:rsidRPr="0031675F">
        <w:rPr>
          <w:spacing w:val="-1"/>
        </w:rPr>
        <w:t>The</w:t>
      </w:r>
      <w:r w:rsidRPr="0031675F">
        <w:rPr>
          <w:spacing w:val="12"/>
        </w:rPr>
        <w:t xml:space="preserve"> </w:t>
      </w:r>
      <w:r w:rsidRPr="0031675F">
        <w:rPr>
          <w:spacing w:val="-1"/>
        </w:rPr>
        <w:t>sample</w:t>
      </w:r>
      <w:r w:rsidRPr="0031675F">
        <w:rPr>
          <w:spacing w:val="13"/>
        </w:rPr>
        <w:t xml:space="preserve"> </w:t>
      </w:r>
      <w:r w:rsidRPr="0031675F">
        <w:rPr>
          <w:spacing w:val="-1"/>
        </w:rPr>
        <w:t>injection</w:t>
      </w:r>
      <w:r w:rsidRPr="0031675F">
        <w:rPr>
          <w:spacing w:val="11"/>
        </w:rPr>
        <w:t xml:space="preserve"> </w:t>
      </w:r>
      <w:r w:rsidRPr="0031675F">
        <w:rPr>
          <w:spacing w:val="-1"/>
        </w:rPr>
        <w:t>components</w:t>
      </w:r>
      <w:r w:rsidRPr="0031675F">
        <w:rPr>
          <w:spacing w:val="12"/>
        </w:rPr>
        <w:t xml:space="preserve"> </w:t>
      </w:r>
      <w:r w:rsidRPr="0031675F">
        <w:rPr>
          <w:spacing w:val="-1"/>
        </w:rPr>
        <w:t>move</w:t>
      </w:r>
      <w:r w:rsidRPr="0031675F">
        <w:rPr>
          <w:spacing w:val="13"/>
        </w:rPr>
        <w:t xml:space="preserve"> </w:t>
      </w:r>
      <w:r w:rsidRPr="0031675F">
        <w:rPr>
          <w:spacing w:val="-1"/>
        </w:rPr>
        <w:t>during</w:t>
      </w:r>
      <w:r w:rsidRPr="0031675F">
        <w:rPr>
          <w:spacing w:val="11"/>
        </w:rPr>
        <w:t xml:space="preserve"> </w:t>
      </w:r>
      <w:r w:rsidRPr="0031675F">
        <w:rPr>
          <w:spacing w:val="-1"/>
        </w:rPr>
        <w:t>operation,</w:t>
      </w:r>
      <w:r w:rsidRPr="0031675F">
        <w:rPr>
          <w:spacing w:val="12"/>
        </w:rPr>
        <w:t xml:space="preserve"> </w:t>
      </w:r>
      <w:r w:rsidRPr="0031675F">
        <w:rPr>
          <w:spacing w:val="-2"/>
        </w:rPr>
        <w:t>do</w:t>
      </w:r>
      <w:r w:rsidRPr="0031675F">
        <w:rPr>
          <w:spacing w:val="13"/>
        </w:rPr>
        <w:t xml:space="preserve"> </w:t>
      </w:r>
      <w:r w:rsidRPr="0031675F">
        <w:t>not</w:t>
      </w:r>
      <w:r w:rsidRPr="0031675F">
        <w:rPr>
          <w:spacing w:val="13"/>
        </w:rPr>
        <w:t xml:space="preserve"> </w:t>
      </w:r>
      <w:r w:rsidRPr="0031675F">
        <w:rPr>
          <w:spacing w:val="-1"/>
        </w:rPr>
        <w:t>allow</w:t>
      </w:r>
      <w:r w:rsidRPr="0031675F">
        <w:rPr>
          <w:spacing w:val="10"/>
        </w:rPr>
        <w:t xml:space="preserve"> </w:t>
      </w:r>
      <w:r w:rsidRPr="0031675F">
        <w:rPr>
          <w:spacing w:val="-1"/>
        </w:rPr>
        <w:t>hands</w:t>
      </w:r>
      <w:r w:rsidRPr="0031675F">
        <w:rPr>
          <w:spacing w:val="12"/>
        </w:rPr>
        <w:t xml:space="preserve"> </w:t>
      </w:r>
      <w:r w:rsidRPr="0031675F">
        <w:t>to</w:t>
      </w:r>
      <w:r w:rsidRPr="0031675F">
        <w:rPr>
          <w:spacing w:val="14"/>
        </w:rPr>
        <w:t xml:space="preserve"> </w:t>
      </w:r>
      <w:r w:rsidRPr="0031675F">
        <w:rPr>
          <w:spacing w:val="-1"/>
        </w:rPr>
        <w:t>go</w:t>
      </w:r>
      <w:r w:rsidRPr="0031675F">
        <w:rPr>
          <w:spacing w:val="51"/>
        </w:rPr>
        <w:t xml:space="preserve"> </w:t>
      </w:r>
      <w:r w:rsidRPr="0031675F">
        <w:rPr>
          <w:spacing w:val="-1"/>
        </w:rPr>
        <w:t>near</w:t>
      </w:r>
      <w:r w:rsidRPr="0031675F">
        <w:rPr>
          <w:spacing w:val="7"/>
        </w:rPr>
        <w:t xml:space="preserve"> </w:t>
      </w:r>
      <w:r w:rsidRPr="0031675F">
        <w:t>the</w:t>
      </w:r>
      <w:r w:rsidRPr="0031675F">
        <w:rPr>
          <w:spacing w:val="7"/>
        </w:rPr>
        <w:t xml:space="preserve"> </w:t>
      </w:r>
      <w:r w:rsidRPr="0031675F">
        <w:rPr>
          <w:spacing w:val="-1"/>
        </w:rPr>
        <w:t>mechanism.</w:t>
      </w:r>
      <w:r w:rsidRPr="0031675F">
        <w:rPr>
          <w:spacing w:val="7"/>
        </w:rPr>
        <w:t xml:space="preserve"> </w:t>
      </w:r>
      <w:r w:rsidRPr="0031675F">
        <w:rPr>
          <w:spacing w:val="-1"/>
        </w:rPr>
        <w:t>During</w:t>
      </w:r>
      <w:r w:rsidRPr="0031675F">
        <w:rPr>
          <w:spacing w:val="6"/>
        </w:rPr>
        <w:t xml:space="preserve"> </w:t>
      </w:r>
      <w:r w:rsidRPr="0031675F">
        <w:rPr>
          <w:spacing w:val="-1"/>
        </w:rPr>
        <w:t>operation</w:t>
      </w:r>
      <w:r w:rsidRPr="0031675F">
        <w:rPr>
          <w:spacing w:val="6"/>
        </w:rPr>
        <w:t xml:space="preserve"> </w:t>
      </w:r>
      <w:r w:rsidRPr="0031675F">
        <w:t>the</w:t>
      </w:r>
      <w:r w:rsidRPr="0031675F">
        <w:rPr>
          <w:spacing w:val="7"/>
        </w:rPr>
        <w:t xml:space="preserve"> </w:t>
      </w:r>
      <w:r w:rsidRPr="0031675F">
        <w:rPr>
          <w:spacing w:val="-2"/>
        </w:rPr>
        <w:t>CO2</w:t>
      </w:r>
      <w:r w:rsidRPr="0031675F">
        <w:rPr>
          <w:spacing w:val="8"/>
        </w:rPr>
        <w:t xml:space="preserve"> </w:t>
      </w:r>
      <w:r w:rsidRPr="0031675F">
        <w:rPr>
          <w:spacing w:val="-1"/>
        </w:rPr>
        <w:t>absorber</w:t>
      </w:r>
      <w:r w:rsidRPr="0031675F">
        <w:rPr>
          <w:spacing w:val="7"/>
        </w:rPr>
        <w:t xml:space="preserve"> </w:t>
      </w:r>
      <w:r w:rsidRPr="0031675F">
        <w:t>is</w:t>
      </w:r>
      <w:r w:rsidRPr="0031675F">
        <w:rPr>
          <w:spacing w:val="7"/>
        </w:rPr>
        <w:t xml:space="preserve"> </w:t>
      </w:r>
      <w:r w:rsidRPr="0031675F">
        <w:rPr>
          <w:spacing w:val="-1"/>
        </w:rPr>
        <w:t>about</w:t>
      </w:r>
      <w:r w:rsidRPr="0031675F">
        <w:rPr>
          <w:spacing w:val="8"/>
        </w:rPr>
        <w:t xml:space="preserve"> </w:t>
      </w:r>
      <w:r w:rsidRPr="0031675F">
        <w:rPr>
          <w:spacing w:val="-1"/>
        </w:rPr>
        <w:t>200kPa.</w:t>
      </w:r>
      <w:r w:rsidRPr="0031675F">
        <w:rPr>
          <w:spacing w:val="4"/>
        </w:rPr>
        <w:t xml:space="preserve"> </w:t>
      </w:r>
      <w:r w:rsidRPr="0031675F">
        <w:rPr>
          <w:spacing w:val="-1"/>
        </w:rPr>
        <w:t>Turn</w:t>
      </w:r>
      <w:r w:rsidRPr="0031675F">
        <w:rPr>
          <w:spacing w:val="6"/>
        </w:rPr>
        <w:t xml:space="preserve"> </w:t>
      </w:r>
      <w:r w:rsidRPr="0031675F">
        <w:t>off</w:t>
      </w:r>
      <w:r w:rsidRPr="0031675F">
        <w:rPr>
          <w:spacing w:val="7"/>
        </w:rPr>
        <w:t xml:space="preserve"> </w:t>
      </w:r>
      <w:r w:rsidRPr="0031675F">
        <w:rPr>
          <w:spacing w:val="-1"/>
        </w:rPr>
        <w:t>power</w:t>
      </w:r>
      <w:r w:rsidRPr="0031675F">
        <w:rPr>
          <w:spacing w:val="7"/>
        </w:rPr>
        <w:t xml:space="preserve"> </w:t>
      </w:r>
      <w:r w:rsidRPr="0031675F">
        <w:rPr>
          <w:spacing w:val="-1"/>
        </w:rPr>
        <w:t>to</w:t>
      </w:r>
      <w:r w:rsidRPr="0031675F">
        <w:rPr>
          <w:spacing w:val="63"/>
        </w:rPr>
        <w:t xml:space="preserve"> </w:t>
      </w:r>
      <w:r w:rsidRPr="0031675F">
        <w:t>main</w:t>
      </w:r>
      <w:r w:rsidRPr="0031675F">
        <w:rPr>
          <w:spacing w:val="29"/>
        </w:rPr>
        <w:t xml:space="preserve"> </w:t>
      </w:r>
      <w:r w:rsidRPr="0031675F">
        <w:rPr>
          <w:spacing w:val="-1"/>
        </w:rPr>
        <w:t>unit</w:t>
      </w:r>
      <w:r w:rsidRPr="0031675F">
        <w:rPr>
          <w:spacing w:val="31"/>
        </w:rPr>
        <w:t xml:space="preserve"> </w:t>
      </w:r>
      <w:r w:rsidRPr="0031675F">
        <w:rPr>
          <w:spacing w:val="-1"/>
        </w:rPr>
        <w:t>and</w:t>
      </w:r>
      <w:r w:rsidRPr="0031675F">
        <w:rPr>
          <w:spacing w:val="31"/>
        </w:rPr>
        <w:t xml:space="preserve"> </w:t>
      </w:r>
      <w:r w:rsidRPr="0031675F">
        <w:t>wait</w:t>
      </w:r>
      <w:r w:rsidRPr="0031675F">
        <w:rPr>
          <w:spacing w:val="31"/>
        </w:rPr>
        <w:t xml:space="preserve"> </w:t>
      </w:r>
      <w:r w:rsidRPr="0031675F">
        <w:rPr>
          <w:spacing w:val="-1"/>
        </w:rPr>
        <w:t>for</w:t>
      </w:r>
      <w:r w:rsidRPr="0031675F">
        <w:rPr>
          <w:spacing w:val="31"/>
        </w:rPr>
        <w:t xml:space="preserve"> </w:t>
      </w:r>
      <w:r w:rsidRPr="0031675F">
        <w:rPr>
          <w:spacing w:val="-1"/>
        </w:rPr>
        <w:t>pressure</w:t>
      </w:r>
      <w:r w:rsidRPr="0031675F">
        <w:rPr>
          <w:spacing w:val="31"/>
        </w:rPr>
        <w:t xml:space="preserve"> </w:t>
      </w:r>
      <w:r w:rsidRPr="0031675F">
        <w:rPr>
          <w:spacing w:val="-1"/>
        </w:rPr>
        <w:t>to</w:t>
      </w:r>
      <w:r w:rsidRPr="0031675F">
        <w:rPr>
          <w:spacing w:val="33"/>
        </w:rPr>
        <w:t xml:space="preserve"> </w:t>
      </w:r>
      <w:r w:rsidRPr="0031675F">
        <w:rPr>
          <w:spacing w:val="-1"/>
        </w:rPr>
        <w:t>return</w:t>
      </w:r>
      <w:r w:rsidRPr="0031675F">
        <w:rPr>
          <w:spacing w:val="29"/>
        </w:rPr>
        <w:t xml:space="preserve"> </w:t>
      </w:r>
      <w:r w:rsidRPr="0031675F">
        <w:t>to</w:t>
      </w:r>
      <w:r w:rsidRPr="0031675F">
        <w:rPr>
          <w:spacing w:val="33"/>
        </w:rPr>
        <w:t xml:space="preserve"> </w:t>
      </w:r>
      <w:r w:rsidRPr="0031675F">
        <w:rPr>
          <w:spacing w:val="-1"/>
        </w:rPr>
        <w:t>atmosphere</w:t>
      </w:r>
      <w:r w:rsidRPr="0031675F">
        <w:rPr>
          <w:spacing w:val="32"/>
        </w:rPr>
        <w:t xml:space="preserve"> </w:t>
      </w:r>
      <w:r w:rsidRPr="0031675F">
        <w:rPr>
          <w:spacing w:val="-1"/>
        </w:rPr>
        <w:t>pressure</w:t>
      </w:r>
      <w:r w:rsidRPr="0031675F">
        <w:rPr>
          <w:spacing w:val="31"/>
        </w:rPr>
        <w:t xml:space="preserve"> </w:t>
      </w:r>
      <w:r w:rsidRPr="0031675F">
        <w:rPr>
          <w:spacing w:val="-2"/>
        </w:rPr>
        <w:t>before</w:t>
      </w:r>
      <w:r w:rsidRPr="0031675F">
        <w:rPr>
          <w:spacing w:val="32"/>
        </w:rPr>
        <w:t xml:space="preserve"> </w:t>
      </w:r>
      <w:r w:rsidRPr="0031675F">
        <w:rPr>
          <w:spacing w:val="-1"/>
        </w:rPr>
        <w:t>performing</w:t>
      </w:r>
      <w:r w:rsidRPr="0031675F">
        <w:rPr>
          <w:spacing w:val="31"/>
        </w:rPr>
        <w:t xml:space="preserve"> </w:t>
      </w:r>
      <w:r w:rsidRPr="0031675F">
        <w:rPr>
          <w:spacing w:val="-2"/>
        </w:rPr>
        <w:t>any</w:t>
      </w:r>
      <w:r w:rsidRPr="0031675F">
        <w:rPr>
          <w:spacing w:val="61"/>
        </w:rPr>
        <w:t xml:space="preserve"> </w:t>
      </w:r>
      <w:r w:rsidRPr="0031675F">
        <w:rPr>
          <w:spacing w:val="-1"/>
        </w:rPr>
        <w:t>maintenance.</w:t>
      </w:r>
    </w:p>
    <w:p w14:paraId="0C82E910" w14:textId="77777777" w:rsidR="0031675F" w:rsidRPr="0031675F" w:rsidRDefault="0031675F" w:rsidP="0031675F">
      <w:pPr>
        <w:widowControl w:val="0"/>
        <w:numPr>
          <w:ilvl w:val="0"/>
          <w:numId w:val="92"/>
        </w:numPr>
        <w:tabs>
          <w:tab w:val="left" w:pos="859"/>
        </w:tabs>
        <w:spacing w:before="0" w:after="0" w:line="240" w:lineRule="auto"/>
        <w:ind w:left="858"/>
      </w:pPr>
      <w:r w:rsidRPr="0031675F">
        <w:rPr>
          <w:spacing w:val="-1"/>
        </w:rPr>
        <w:t>Ozone</w:t>
      </w:r>
      <w:r w:rsidRPr="0031675F">
        <w:t xml:space="preserve"> is</w:t>
      </w:r>
      <w:r w:rsidRPr="0031675F">
        <w:rPr>
          <w:spacing w:val="-3"/>
        </w:rPr>
        <w:t xml:space="preserve"> </w:t>
      </w:r>
      <w:r w:rsidRPr="0031675F">
        <w:rPr>
          <w:spacing w:val="-1"/>
        </w:rPr>
        <w:t>generated within</w:t>
      </w:r>
      <w:r w:rsidRPr="0031675F">
        <w:rPr>
          <w:spacing w:val="-3"/>
        </w:rPr>
        <w:t xml:space="preserve"> </w:t>
      </w:r>
      <w:r w:rsidRPr="0031675F">
        <w:t xml:space="preserve">the </w:t>
      </w:r>
      <w:r w:rsidRPr="0031675F">
        <w:rPr>
          <w:spacing w:val="-1"/>
        </w:rPr>
        <w:t>Nitrogen</w:t>
      </w:r>
      <w:r w:rsidRPr="0031675F">
        <w:t xml:space="preserve"> </w:t>
      </w:r>
      <w:r w:rsidRPr="0031675F">
        <w:rPr>
          <w:spacing w:val="-1"/>
        </w:rPr>
        <w:t>unit.</w:t>
      </w:r>
    </w:p>
    <w:p w14:paraId="1533B407" w14:textId="77777777" w:rsidR="0031675F" w:rsidRPr="0031675F" w:rsidRDefault="0031675F" w:rsidP="0031675F">
      <w:pPr>
        <w:rPr>
          <w:rFonts w:cs="Calibri"/>
        </w:rPr>
      </w:pPr>
    </w:p>
    <w:p w14:paraId="7B8E2045" w14:textId="77777777" w:rsidR="0031675F" w:rsidRPr="0031675F" w:rsidRDefault="0031675F" w:rsidP="0031675F">
      <w:pPr>
        <w:ind w:left="138"/>
        <w:jc w:val="both"/>
        <w:rPr>
          <w:rFonts w:cs="Calibri"/>
        </w:rPr>
      </w:pPr>
      <w:r w:rsidRPr="0031675F">
        <w:rPr>
          <w:b/>
          <w:spacing w:val="-1"/>
        </w:rPr>
        <w:t>The following</w:t>
      </w:r>
      <w:r w:rsidRPr="0031675F">
        <w:rPr>
          <w:b/>
          <w:spacing w:val="-2"/>
        </w:rPr>
        <w:t xml:space="preserve"> </w:t>
      </w:r>
      <w:r w:rsidRPr="0031675F">
        <w:rPr>
          <w:b/>
          <w:spacing w:val="-1"/>
        </w:rPr>
        <w:t>Personal</w:t>
      </w:r>
      <w:r w:rsidRPr="0031675F">
        <w:rPr>
          <w:b/>
        </w:rPr>
        <w:t xml:space="preserve"> </w:t>
      </w:r>
      <w:r w:rsidRPr="0031675F">
        <w:rPr>
          <w:b/>
          <w:spacing w:val="-1"/>
        </w:rPr>
        <w:t>Protective Equipment</w:t>
      </w:r>
      <w:r w:rsidRPr="0031675F">
        <w:rPr>
          <w:b/>
        </w:rPr>
        <w:t xml:space="preserve"> </w:t>
      </w:r>
      <w:r w:rsidRPr="0031675F">
        <w:rPr>
          <w:b/>
          <w:spacing w:val="-2"/>
        </w:rPr>
        <w:t>(PPE)</w:t>
      </w:r>
      <w:r w:rsidRPr="0031675F">
        <w:rPr>
          <w:b/>
        </w:rPr>
        <w:t xml:space="preserve"> </w:t>
      </w:r>
      <w:r w:rsidRPr="0031675F">
        <w:rPr>
          <w:b/>
          <w:spacing w:val="-1"/>
        </w:rPr>
        <w:t>must</w:t>
      </w:r>
      <w:r w:rsidRPr="0031675F">
        <w:rPr>
          <w:b/>
        </w:rPr>
        <w:t xml:space="preserve"> </w:t>
      </w:r>
      <w:r w:rsidRPr="0031675F">
        <w:rPr>
          <w:b/>
          <w:spacing w:val="-1"/>
        </w:rPr>
        <w:t>be</w:t>
      </w:r>
      <w:r w:rsidRPr="0031675F">
        <w:rPr>
          <w:b/>
          <w:spacing w:val="3"/>
        </w:rPr>
        <w:t xml:space="preserve"> </w:t>
      </w:r>
      <w:r w:rsidRPr="0031675F">
        <w:rPr>
          <w:b/>
          <w:spacing w:val="-1"/>
        </w:rPr>
        <w:t>used:</w:t>
      </w:r>
    </w:p>
    <w:p w14:paraId="1678EBF5" w14:textId="77777777" w:rsidR="0031675F" w:rsidRPr="0031675F" w:rsidRDefault="0031675F" w:rsidP="0031675F">
      <w:pPr>
        <w:widowControl w:val="0"/>
        <w:numPr>
          <w:ilvl w:val="0"/>
          <w:numId w:val="92"/>
        </w:numPr>
        <w:tabs>
          <w:tab w:val="left" w:pos="859"/>
        </w:tabs>
        <w:spacing w:before="1" w:after="0" w:line="279" w:lineRule="exact"/>
        <w:ind w:left="858"/>
      </w:pPr>
      <w:r w:rsidRPr="0031675F">
        <w:rPr>
          <w:spacing w:val="-1"/>
        </w:rPr>
        <w:t>Safety</w:t>
      </w:r>
      <w:r w:rsidRPr="0031675F">
        <w:rPr>
          <w:spacing w:val="-2"/>
        </w:rPr>
        <w:t xml:space="preserve"> </w:t>
      </w:r>
      <w:r w:rsidRPr="0031675F">
        <w:rPr>
          <w:spacing w:val="-1"/>
        </w:rPr>
        <w:t>shoes/boots</w:t>
      </w:r>
    </w:p>
    <w:p w14:paraId="3800D744" w14:textId="77777777" w:rsidR="0031675F" w:rsidRPr="0031675F" w:rsidRDefault="0031675F" w:rsidP="0031675F">
      <w:pPr>
        <w:widowControl w:val="0"/>
        <w:numPr>
          <w:ilvl w:val="0"/>
          <w:numId w:val="92"/>
        </w:numPr>
        <w:tabs>
          <w:tab w:val="left" w:pos="859"/>
        </w:tabs>
        <w:spacing w:before="0" w:after="0" w:line="279" w:lineRule="exact"/>
        <w:ind w:left="858"/>
      </w:pPr>
      <w:r w:rsidRPr="0031675F">
        <w:t>Lab</w:t>
      </w:r>
      <w:r w:rsidRPr="0031675F">
        <w:rPr>
          <w:spacing w:val="-1"/>
        </w:rPr>
        <w:t xml:space="preserve"> coat</w:t>
      </w:r>
    </w:p>
    <w:p w14:paraId="134F2D90" w14:textId="77777777" w:rsidR="0031675F" w:rsidRPr="0031675F" w:rsidRDefault="0031675F" w:rsidP="0031675F">
      <w:pPr>
        <w:widowControl w:val="0"/>
        <w:numPr>
          <w:ilvl w:val="0"/>
          <w:numId w:val="92"/>
        </w:numPr>
        <w:tabs>
          <w:tab w:val="left" w:pos="859"/>
        </w:tabs>
        <w:spacing w:before="0" w:after="0" w:line="240" w:lineRule="auto"/>
        <w:ind w:left="858"/>
        <w:rPr>
          <w:rFonts w:cs="Calibri"/>
          <w:sz w:val="20"/>
          <w:szCs w:val="20"/>
        </w:rPr>
      </w:pPr>
      <w:r w:rsidRPr="0031675F">
        <w:rPr>
          <w:spacing w:val="-1"/>
        </w:rPr>
        <w:t>Safety</w:t>
      </w:r>
      <w:r w:rsidRPr="0031675F">
        <w:t xml:space="preserve"> </w:t>
      </w:r>
      <w:r w:rsidRPr="0031675F">
        <w:rPr>
          <w:spacing w:val="-1"/>
        </w:rPr>
        <w:t>glasses</w:t>
      </w:r>
    </w:p>
    <w:p w14:paraId="5F93A954" w14:textId="77777777" w:rsidR="0031675F" w:rsidRPr="0031675F" w:rsidRDefault="0031675F" w:rsidP="0031675F">
      <w:pPr>
        <w:spacing w:before="12"/>
        <w:rPr>
          <w:rFonts w:cs="Calibri"/>
          <w:sz w:val="16"/>
          <w:szCs w:val="16"/>
        </w:rPr>
      </w:pPr>
    </w:p>
    <w:p w14:paraId="3ED3E850" w14:textId="77777777" w:rsidR="0031675F" w:rsidRPr="0031675F" w:rsidRDefault="0031675F" w:rsidP="0031675F">
      <w:pPr>
        <w:ind w:left="118"/>
        <w:rPr>
          <w:rFonts w:cs="Calibri"/>
        </w:rPr>
      </w:pPr>
      <w:r w:rsidRPr="0031675F">
        <w:rPr>
          <w:b/>
          <w:spacing w:val="-1"/>
        </w:rPr>
        <w:t>Calibration preparation</w:t>
      </w:r>
    </w:p>
    <w:p w14:paraId="62841502" w14:textId="77777777" w:rsidR="0031675F" w:rsidRPr="0031675F" w:rsidRDefault="0031675F" w:rsidP="0031675F">
      <w:pPr>
        <w:widowControl w:val="0"/>
        <w:numPr>
          <w:ilvl w:val="0"/>
          <w:numId w:val="91"/>
        </w:numPr>
        <w:tabs>
          <w:tab w:val="left" w:pos="479"/>
        </w:tabs>
        <w:spacing w:before="0" w:after="0" w:line="240" w:lineRule="auto"/>
      </w:pPr>
      <w:r w:rsidRPr="0031675F">
        <w:t>With</w:t>
      </w:r>
      <w:r w:rsidRPr="0031675F">
        <w:rPr>
          <w:spacing w:val="-1"/>
        </w:rPr>
        <w:t xml:space="preserve"> </w:t>
      </w:r>
      <w:r w:rsidRPr="0031675F">
        <w:t xml:space="preserve">a </w:t>
      </w:r>
      <w:r w:rsidRPr="0031675F">
        <w:rPr>
          <w:spacing w:val="-1"/>
        </w:rPr>
        <w:t>ceramic</w:t>
      </w:r>
      <w:r w:rsidRPr="0031675F">
        <w:t xml:space="preserve"> </w:t>
      </w:r>
      <w:r w:rsidRPr="0031675F">
        <w:rPr>
          <w:spacing w:val="-1"/>
        </w:rPr>
        <w:t>boat</w:t>
      </w:r>
      <w:r w:rsidRPr="0031675F">
        <w:rPr>
          <w:spacing w:val="-2"/>
        </w:rPr>
        <w:t xml:space="preserve"> </w:t>
      </w:r>
      <w:r w:rsidRPr="0031675F">
        <w:t>on</w:t>
      </w:r>
      <w:r w:rsidRPr="0031675F">
        <w:rPr>
          <w:spacing w:val="-1"/>
        </w:rPr>
        <w:t xml:space="preserve"> </w:t>
      </w:r>
      <w:r w:rsidRPr="0031675F">
        <w:rPr>
          <w:spacing w:val="-2"/>
        </w:rPr>
        <w:t xml:space="preserve">the </w:t>
      </w:r>
      <w:r w:rsidRPr="0031675F">
        <w:rPr>
          <w:spacing w:val="-1"/>
        </w:rPr>
        <w:t>weighing balance,</w:t>
      </w:r>
      <w:r w:rsidRPr="0031675F">
        <w:rPr>
          <w:spacing w:val="-2"/>
        </w:rPr>
        <w:t xml:space="preserve"> </w:t>
      </w:r>
      <w:r w:rsidRPr="0031675F">
        <w:t>zero</w:t>
      </w:r>
      <w:r w:rsidRPr="0031675F">
        <w:rPr>
          <w:spacing w:val="-2"/>
        </w:rPr>
        <w:t xml:space="preserve"> </w:t>
      </w:r>
      <w:r w:rsidRPr="0031675F">
        <w:rPr>
          <w:spacing w:val="-1"/>
        </w:rPr>
        <w:t>the</w:t>
      </w:r>
      <w:r w:rsidRPr="0031675F">
        <w:rPr>
          <w:spacing w:val="-2"/>
        </w:rPr>
        <w:t xml:space="preserve"> </w:t>
      </w:r>
      <w:r w:rsidRPr="0031675F">
        <w:rPr>
          <w:spacing w:val="-1"/>
        </w:rPr>
        <w:t>balance</w:t>
      </w:r>
      <w:r w:rsidRPr="0031675F">
        <w:rPr>
          <w:spacing w:val="1"/>
        </w:rPr>
        <w:t xml:space="preserve"> </w:t>
      </w:r>
      <w:r w:rsidRPr="0031675F">
        <w:rPr>
          <w:spacing w:val="-2"/>
        </w:rPr>
        <w:t>(Tare)</w:t>
      </w:r>
    </w:p>
    <w:p w14:paraId="0026E6AA" w14:textId="77777777" w:rsidR="0031675F" w:rsidRPr="0031675F" w:rsidRDefault="0031675F" w:rsidP="0031675F">
      <w:pPr>
        <w:widowControl w:val="0"/>
        <w:numPr>
          <w:ilvl w:val="0"/>
          <w:numId w:val="91"/>
        </w:numPr>
        <w:tabs>
          <w:tab w:val="left" w:pos="479"/>
          <w:tab w:val="left" w:pos="1052"/>
          <w:tab w:val="left" w:pos="1568"/>
          <w:tab w:val="left" w:pos="2578"/>
          <w:tab w:val="left" w:pos="3542"/>
          <w:tab w:val="left" w:pos="4094"/>
          <w:tab w:val="left" w:pos="4727"/>
          <w:tab w:val="left" w:pos="5240"/>
          <w:tab w:val="left" w:pos="6068"/>
          <w:tab w:val="left" w:pos="6449"/>
          <w:tab w:val="left" w:pos="6965"/>
          <w:tab w:val="left" w:pos="7417"/>
          <w:tab w:val="left" w:pos="8087"/>
        </w:tabs>
        <w:spacing w:before="0" w:after="0" w:line="240" w:lineRule="auto"/>
        <w:ind w:right="113"/>
      </w:pPr>
      <w:r w:rsidRPr="0031675F">
        <w:rPr>
          <w:spacing w:val="-1"/>
        </w:rPr>
        <w:t>Add</w:t>
      </w:r>
      <w:r w:rsidRPr="0031675F">
        <w:rPr>
          <w:spacing w:val="-1"/>
        </w:rPr>
        <w:tab/>
      </w:r>
      <w:r w:rsidRPr="0031675F">
        <w:t>the</w:t>
      </w:r>
      <w:r w:rsidRPr="0031675F">
        <w:tab/>
      </w:r>
      <w:r w:rsidRPr="0031675F">
        <w:rPr>
          <w:spacing w:val="-1"/>
        </w:rPr>
        <w:t>standard</w:t>
      </w:r>
      <w:r w:rsidRPr="0031675F">
        <w:rPr>
          <w:spacing w:val="-1"/>
        </w:rPr>
        <w:tab/>
        <w:t>material</w:t>
      </w:r>
      <w:r w:rsidRPr="0031675F">
        <w:rPr>
          <w:spacing w:val="-1"/>
        </w:rPr>
        <w:tab/>
        <w:t>and</w:t>
      </w:r>
      <w:r w:rsidRPr="0031675F">
        <w:rPr>
          <w:spacing w:val="-1"/>
        </w:rPr>
        <w:tab/>
      </w:r>
      <w:r w:rsidRPr="0031675F">
        <w:rPr>
          <w:w w:val="95"/>
        </w:rPr>
        <w:t>note</w:t>
      </w:r>
      <w:r w:rsidRPr="0031675F">
        <w:rPr>
          <w:w w:val="95"/>
        </w:rPr>
        <w:tab/>
        <w:t>the</w:t>
      </w:r>
      <w:r w:rsidRPr="0031675F">
        <w:rPr>
          <w:w w:val="95"/>
        </w:rPr>
        <w:tab/>
      </w:r>
      <w:r w:rsidRPr="0031675F">
        <w:rPr>
          <w:spacing w:val="-1"/>
        </w:rPr>
        <w:t>weight</w:t>
      </w:r>
      <w:r w:rsidRPr="0031675F">
        <w:rPr>
          <w:spacing w:val="-1"/>
        </w:rPr>
        <w:tab/>
      </w:r>
      <w:r w:rsidRPr="0031675F">
        <w:rPr>
          <w:w w:val="95"/>
        </w:rPr>
        <w:t>in</w:t>
      </w:r>
      <w:r w:rsidRPr="0031675F">
        <w:rPr>
          <w:w w:val="95"/>
        </w:rPr>
        <w:tab/>
        <w:t>the</w:t>
      </w:r>
      <w:r w:rsidRPr="0031675F">
        <w:rPr>
          <w:w w:val="95"/>
        </w:rPr>
        <w:tab/>
      </w:r>
      <w:r w:rsidRPr="0031675F">
        <w:rPr>
          <w:spacing w:val="2"/>
        </w:rPr>
        <w:t>PC</w:t>
      </w:r>
      <w:r w:rsidRPr="0031675F">
        <w:rPr>
          <w:spacing w:val="2"/>
        </w:rPr>
        <w:tab/>
      </w:r>
      <w:r w:rsidRPr="0031675F">
        <w:rPr>
          <w:spacing w:val="-1"/>
        </w:rPr>
        <w:t>Excel</w:t>
      </w:r>
      <w:r w:rsidRPr="0031675F">
        <w:rPr>
          <w:spacing w:val="-1"/>
        </w:rPr>
        <w:tab/>
        <w:t>spreadsheet</w:t>
      </w:r>
      <w:r w:rsidRPr="0031675F">
        <w:rPr>
          <w:spacing w:val="37"/>
        </w:rPr>
        <w:t xml:space="preserve"> </w:t>
      </w:r>
      <w:r w:rsidRPr="0031675F">
        <w:rPr>
          <w:spacing w:val="-1"/>
        </w:rPr>
        <w:t>The</w:t>
      </w:r>
      <w:r w:rsidRPr="0031675F">
        <w:t xml:space="preserve"> </w:t>
      </w:r>
      <w:r w:rsidRPr="0031675F">
        <w:rPr>
          <w:spacing w:val="-1"/>
        </w:rPr>
        <w:t>repeats</w:t>
      </w:r>
      <w:r w:rsidRPr="0031675F">
        <w:t xml:space="preserve"> </w:t>
      </w:r>
      <w:r w:rsidRPr="0031675F">
        <w:rPr>
          <w:spacing w:val="-1"/>
        </w:rPr>
        <w:t>and</w:t>
      </w:r>
      <w:r w:rsidRPr="0031675F">
        <w:rPr>
          <w:spacing w:val="-3"/>
        </w:rPr>
        <w:t xml:space="preserve"> </w:t>
      </w:r>
      <w:r w:rsidRPr="0031675F">
        <w:rPr>
          <w:spacing w:val="-1"/>
        </w:rPr>
        <w:t>weights</w:t>
      </w:r>
      <w:r w:rsidRPr="0031675F">
        <w:rPr>
          <w:spacing w:val="-2"/>
        </w:rPr>
        <w:t xml:space="preserve"> </w:t>
      </w:r>
      <w:r w:rsidRPr="0031675F">
        <w:rPr>
          <w:spacing w:val="-1"/>
        </w:rPr>
        <w:t>for</w:t>
      </w:r>
      <w:r w:rsidRPr="0031675F">
        <w:t xml:space="preserve"> </w:t>
      </w:r>
      <w:r w:rsidRPr="0031675F">
        <w:rPr>
          <w:spacing w:val="-1"/>
        </w:rPr>
        <w:t>the</w:t>
      </w:r>
      <w:r w:rsidRPr="0031675F">
        <w:t xml:space="preserve"> </w:t>
      </w:r>
      <w:r w:rsidRPr="0031675F">
        <w:rPr>
          <w:spacing w:val="-1"/>
        </w:rPr>
        <w:t>standard material</w:t>
      </w:r>
      <w:r w:rsidRPr="0031675F">
        <w:t xml:space="preserve"> </w:t>
      </w:r>
      <w:r w:rsidRPr="0031675F">
        <w:rPr>
          <w:spacing w:val="-2"/>
        </w:rPr>
        <w:t>used</w:t>
      </w:r>
      <w:r w:rsidRPr="0031675F">
        <w:rPr>
          <w:spacing w:val="-1"/>
        </w:rPr>
        <w:t xml:space="preserve"> </w:t>
      </w:r>
      <w:r w:rsidRPr="0031675F">
        <w:t xml:space="preserve">in </w:t>
      </w:r>
      <w:r w:rsidRPr="0031675F">
        <w:rPr>
          <w:spacing w:val="-1"/>
        </w:rPr>
        <w:t>this</w:t>
      </w:r>
      <w:r w:rsidRPr="0031675F">
        <w:t xml:space="preserve"> </w:t>
      </w:r>
      <w:r w:rsidRPr="0031675F">
        <w:rPr>
          <w:spacing w:val="-1"/>
        </w:rPr>
        <w:t>study</w:t>
      </w:r>
      <w:r w:rsidRPr="0031675F">
        <w:rPr>
          <w:spacing w:val="-2"/>
        </w:rPr>
        <w:t xml:space="preserve"> </w:t>
      </w:r>
      <w:r w:rsidRPr="0031675F">
        <w:rPr>
          <w:spacing w:val="-1"/>
        </w:rPr>
        <w:t>are:</w:t>
      </w:r>
    </w:p>
    <w:p w14:paraId="6F6BC1AD" w14:textId="77777777" w:rsidR="0031675F" w:rsidRPr="0031675F" w:rsidRDefault="0031675F" w:rsidP="0031675F">
      <w:pPr>
        <w:widowControl w:val="0"/>
        <w:numPr>
          <w:ilvl w:val="1"/>
          <w:numId w:val="91"/>
        </w:numPr>
        <w:tabs>
          <w:tab w:val="left" w:pos="1199"/>
          <w:tab w:val="left" w:pos="2278"/>
        </w:tabs>
        <w:spacing w:before="0" w:after="0" w:line="266" w:lineRule="exact"/>
      </w:pPr>
      <w:r w:rsidRPr="0031675F">
        <w:rPr>
          <w:spacing w:val="-1"/>
        </w:rPr>
        <w:t>85104a</w:t>
      </w:r>
      <w:r w:rsidRPr="0031675F">
        <w:rPr>
          <w:spacing w:val="-1"/>
        </w:rPr>
        <w:tab/>
        <w:t>six</w:t>
      </w:r>
      <w:r w:rsidRPr="0031675F">
        <w:t xml:space="preserve"> </w:t>
      </w:r>
      <w:r w:rsidRPr="0031675F">
        <w:rPr>
          <w:spacing w:val="-1"/>
        </w:rPr>
        <w:t>samples,</w:t>
      </w:r>
      <w:r w:rsidRPr="0031675F">
        <w:rPr>
          <w:spacing w:val="47"/>
        </w:rPr>
        <w:t xml:space="preserve"> </w:t>
      </w:r>
      <w:r w:rsidRPr="0031675F">
        <w:t xml:space="preserve">1 </w:t>
      </w:r>
      <w:r w:rsidRPr="0031675F">
        <w:rPr>
          <w:rFonts w:cs="Calibri"/>
        </w:rPr>
        <w:t>–</w:t>
      </w:r>
      <w:r w:rsidRPr="0031675F">
        <w:rPr>
          <w:rFonts w:cs="Calibri"/>
          <w:spacing w:val="-2"/>
        </w:rPr>
        <w:t xml:space="preserve"> </w:t>
      </w:r>
      <w:r w:rsidRPr="0031675F">
        <w:t>6mg</w:t>
      </w:r>
    </w:p>
    <w:p w14:paraId="13F1F35A" w14:textId="77777777" w:rsidR="0031675F" w:rsidRPr="0031675F" w:rsidRDefault="0031675F" w:rsidP="0031675F">
      <w:pPr>
        <w:widowControl w:val="0"/>
        <w:numPr>
          <w:ilvl w:val="1"/>
          <w:numId w:val="91"/>
        </w:numPr>
        <w:tabs>
          <w:tab w:val="left" w:pos="1199"/>
        </w:tabs>
        <w:spacing w:before="0" w:after="0" w:line="240" w:lineRule="auto"/>
      </w:pPr>
      <w:r w:rsidRPr="0031675F">
        <w:t>Round40   two</w:t>
      </w:r>
      <w:r w:rsidRPr="0031675F">
        <w:rPr>
          <w:spacing w:val="-1"/>
        </w:rPr>
        <w:t xml:space="preserve"> samples,</w:t>
      </w:r>
      <w:r w:rsidRPr="0031675F">
        <w:rPr>
          <w:spacing w:val="-2"/>
        </w:rPr>
        <w:t xml:space="preserve"> </w:t>
      </w:r>
      <w:r w:rsidRPr="0031675F">
        <w:t xml:space="preserve">12 </w:t>
      </w:r>
      <w:r w:rsidRPr="0031675F">
        <w:rPr>
          <w:rFonts w:cs="Calibri"/>
        </w:rPr>
        <w:t>–</w:t>
      </w:r>
      <w:r w:rsidRPr="0031675F">
        <w:rPr>
          <w:rFonts w:cs="Calibri"/>
          <w:spacing w:val="-2"/>
        </w:rPr>
        <w:t xml:space="preserve"> </w:t>
      </w:r>
      <w:r w:rsidRPr="0031675F">
        <w:rPr>
          <w:spacing w:val="-1"/>
        </w:rPr>
        <w:t>15mg</w:t>
      </w:r>
    </w:p>
    <w:p w14:paraId="44117BF7" w14:textId="77777777" w:rsidR="0031675F" w:rsidRPr="0031675F" w:rsidRDefault="0031675F" w:rsidP="0031675F">
      <w:pPr>
        <w:widowControl w:val="0"/>
        <w:numPr>
          <w:ilvl w:val="1"/>
          <w:numId w:val="91"/>
        </w:numPr>
        <w:tabs>
          <w:tab w:val="left" w:pos="1199"/>
        </w:tabs>
        <w:spacing w:before="0" w:after="0" w:line="240" w:lineRule="auto"/>
      </w:pPr>
      <w:r w:rsidRPr="0031675F">
        <w:rPr>
          <w:spacing w:val="-1"/>
        </w:rPr>
        <w:t>Coastal</w:t>
      </w:r>
      <w:r w:rsidRPr="0031675F">
        <w:rPr>
          <w:spacing w:val="-3"/>
        </w:rPr>
        <w:t xml:space="preserve"> </w:t>
      </w:r>
      <w:r w:rsidRPr="0031675F">
        <w:rPr>
          <w:spacing w:val="-1"/>
        </w:rPr>
        <w:t>Sediments</w:t>
      </w:r>
      <w:r w:rsidRPr="0031675F">
        <w:t xml:space="preserve">  </w:t>
      </w:r>
      <w:r w:rsidRPr="0031675F">
        <w:rPr>
          <w:spacing w:val="7"/>
        </w:rPr>
        <w:t xml:space="preserve"> </w:t>
      </w:r>
      <w:r w:rsidRPr="0031675F">
        <w:t>two</w:t>
      </w:r>
      <w:r w:rsidRPr="0031675F">
        <w:rPr>
          <w:spacing w:val="-1"/>
        </w:rPr>
        <w:t xml:space="preserve"> samples,</w:t>
      </w:r>
      <w:r w:rsidRPr="0031675F">
        <w:t xml:space="preserve"> </w:t>
      </w:r>
      <w:r w:rsidRPr="0031675F">
        <w:rPr>
          <w:spacing w:val="46"/>
        </w:rPr>
        <w:t xml:space="preserve"> </w:t>
      </w:r>
      <w:r w:rsidRPr="0031675F">
        <w:t>3</w:t>
      </w:r>
      <w:r w:rsidRPr="0031675F">
        <w:rPr>
          <w:spacing w:val="1"/>
        </w:rPr>
        <w:t xml:space="preserve"> </w:t>
      </w:r>
      <w:r w:rsidRPr="0031675F">
        <w:rPr>
          <w:rFonts w:cs="Calibri"/>
        </w:rPr>
        <w:t>–</w:t>
      </w:r>
      <w:r w:rsidRPr="0031675F">
        <w:rPr>
          <w:rFonts w:cs="Calibri"/>
          <w:spacing w:val="-2"/>
        </w:rPr>
        <w:t xml:space="preserve"> </w:t>
      </w:r>
      <w:r w:rsidRPr="0031675F">
        <w:rPr>
          <w:spacing w:val="-1"/>
        </w:rPr>
        <w:t>5mg</w:t>
      </w:r>
    </w:p>
    <w:p w14:paraId="6DCD9C60" w14:textId="77777777" w:rsidR="0031675F" w:rsidRPr="0031675F" w:rsidRDefault="0031675F" w:rsidP="0031675F">
      <w:pPr>
        <w:widowControl w:val="0"/>
        <w:numPr>
          <w:ilvl w:val="0"/>
          <w:numId w:val="91"/>
        </w:numPr>
        <w:tabs>
          <w:tab w:val="left" w:pos="479"/>
        </w:tabs>
        <w:spacing w:before="0" w:after="0" w:line="240" w:lineRule="auto"/>
      </w:pPr>
      <w:r w:rsidRPr="0031675F">
        <w:rPr>
          <w:spacing w:val="-1"/>
        </w:rPr>
        <w:t>Analyse</w:t>
      </w:r>
      <w:r w:rsidRPr="0031675F">
        <w:t xml:space="preserve"> </w:t>
      </w:r>
      <w:r w:rsidRPr="0031675F">
        <w:rPr>
          <w:spacing w:val="-2"/>
        </w:rPr>
        <w:t>the</w:t>
      </w:r>
      <w:r w:rsidRPr="0031675F">
        <w:t xml:space="preserve"> </w:t>
      </w:r>
      <w:r w:rsidRPr="0031675F">
        <w:rPr>
          <w:spacing w:val="-1"/>
        </w:rPr>
        <w:t>standard</w:t>
      </w:r>
      <w:r w:rsidRPr="0031675F">
        <w:rPr>
          <w:spacing w:val="-3"/>
        </w:rPr>
        <w:t xml:space="preserve"> </w:t>
      </w:r>
      <w:r w:rsidRPr="0031675F">
        <w:rPr>
          <w:spacing w:val="-1"/>
        </w:rPr>
        <w:t>sample</w:t>
      </w:r>
      <w:r w:rsidRPr="0031675F">
        <w:t xml:space="preserve"> </w:t>
      </w:r>
      <w:r w:rsidRPr="0031675F">
        <w:rPr>
          <w:spacing w:val="-1"/>
        </w:rPr>
        <w:t>following</w:t>
      </w:r>
      <w:r w:rsidRPr="0031675F">
        <w:rPr>
          <w:spacing w:val="-2"/>
        </w:rPr>
        <w:t xml:space="preserve"> </w:t>
      </w:r>
      <w:r w:rsidRPr="0031675F">
        <w:rPr>
          <w:spacing w:val="-1"/>
        </w:rPr>
        <w:t>steps</w:t>
      </w:r>
      <w:r w:rsidRPr="0031675F">
        <w:rPr>
          <w:spacing w:val="-2"/>
        </w:rPr>
        <w:t xml:space="preserve"> </w:t>
      </w:r>
      <w:r w:rsidRPr="0031675F">
        <w:t>18</w:t>
      </w:r>
      <w:r w:rsidRPr="0031675F">
        <w:rPr>
          <w:spacing w:val="1"/>
        </w:rPr>
        <w:t xml:space="preserve"> </w:t>
      </w:r>
      <w:r w:rsidRPr="0031675F">
        <w:rPr>
          <w:rFonts w:cs="Calibri"/>
        </w:rPr>
        <w:t>–</w:t>
      </w:r>
      <w:r w:rsidRPr="0031675F">
        <w:rPr>
          <w:rFonts w:cs="Calibri"/>
          <w:spacing w:val="-1"/>
        </w:rPr>
        <w:t xml:space="preserve"> </w:t>
      </w:r>
      <w:r w:rsidRPr="0031675F">
        <w:t>24</w:t>
      </w:r>
      <w:r w:rsidRPr="0031675F">
        <w:rPr>
          <w:spacing w:val="-2"/>
        </w:rPr>
        <w:t xml:space="preserve"> </w:t>
      </w:r>
      <w:r w:rsidRPr="0031675F">
        <w:rPr>
          <w:spacing w:val="-1"/>
        </w:rPr>
        <w:t>below</w:t>
      </w:r>
    </w:p>
    <w:p w14:paraId="03F5136D" w14:textId="77777777" w:rsidR="0031675F" w:rsidRPr="0031675F" w:rsidRDefault="0031675F" w:rsidP="0031675F">
      <w:pPr>
        <w:widowControl w:val="0"/>
        <w:numPr>
          <w:ilvl w:val="0"/>
          <w:numId w:val="91"/>
        </w:numPr>
        <w:tabs>
          <w:tab w:val="left" w:pos="479"/>
        </w:tabs>
        <w:spacing w:before="0" w:after="0" w:line="240" w:lineRule="auto"/>
      </w:pPr>
      <w:r w:rsidRPr="0031675F">
        <w:t>Repeat</w:t>
      </w:r>
      <w:r w:rsidRPr="0031675F">
        <w:rPr>
          <w:spacing w:val="-2"/>
        </w:rPr>
        <w:t xml:space="preserve"> </w:t>
      </w:r>
      <w:r w:rsidRPr="0031675F">
        <w:rPr>
          <w:spacing w:val="-1"/>
        </w:rPr>
        <w:t>for</w:t>
      </w:r>
      <w:r w:rsidRPr="0031675F">
        <w:rPr>
          <w:spacing w:val="-2"/>
        </w:rPr>
        <w:t xml:space="preserve"> </w:t>
      </w:r>
      <w:r w:rsidRPr="0031675F">
        <w:t>each</w:t>
      </w:r>
      <w:r w:rsidRPr="0031675F">
        <w:rPr>
          <w:spacing w:val="-1"/>
        </w:rPr>
        <w:t xml:space="preserve"> standard sample</w:t>
      </w:r>
    </w:p>
    <w:p w14:paraId="6BF6FC82" w14:textId="77777777" w:rsidR="0031675F" w:rsidRPr="0031675F" w:rsidRDefault="0031675F" w:rsidP="0031675F">
      <w:pPr>
        <w:rPr>
          <w:rFonts w:cs="Calibri"/>
        </w:rPr>
      </w:pPr>
    </w:p>
    <w:p w14:paraId="7D42051A" w14:textId="77777777" w:rsidR="0031675F" w:rsidRPr="0031675F" w:rsidRDefault="0031675F" w:rsidP="0031675F">
      <w:pPr>
        <w:ind w:left="118"/>
        <w:rPr>
          <w:rFonts w:cs="Calibri"/>
        </w:rPr>
      </w:pPr>
      <w:r w:rsidRPr="0031675F">
        <w:rPr>
          <w:b/>
          <w:spacing w:val="-2"/>
        </w:rPr>
        <w:t>Sample</w:t>
      </w:r>
      <w:r w:rsidRPr="0031675F">
        <w:rPr>
          <w:b/>
        </w:rPr>
        <w:t xml:space="preserve"> </w:t>
      </w:r>
      <w:r w:rsidRPr="0031675F">
        <w:rPr>
          <w:b/>
          <w:spacing w:val="-1"/>
        </w:rPr>
        <w:t>preparation</w:t>
      </w:r>
    </w:p>
    <w:p w14:paraId="68CABCA4" w14:textId="77777777" w:rsidR="0031675F" w:rsidRPr="0031675F" w:rsidRDefault="0031675F" w:rsidP="0031675F">
      <w:pPr>
        <w:widowControl w:val="0"/>
        <w:numPr>
          <w:ilvl w:val="0"/>
          <w:numId w:val="90"/>
        </w:numPr>
        <w:tabs>
          <w:tab w:val="left" w:pos="479"/>
        </w:tabs>
        <w:spacing w:before="0" w:after="0" w:line="240" w:lineRule="auto"/>
      </w:pPr>
      <w:r w:rsidRPr="0031675F">
        <w:t>With</w:t>
      </w:r>
      <w:r w:rsidRPr="0031675F">
        <w:rPr>
          <w:spacing w:val="-1"/>
        </w:rPr>
        <w:t xml:space="preserve"> </w:t>
      </w:r>
      <w:r w:rsidRPr="0031675F">
        <w:t xml:space="preserve">a </w:t>
      </w:r>
      <w:r w:rsidRPr="0031675F">
        <w:rPr>
          <w:spacing w:val="-1"/>
        </w:rPr>
        <w:t>ceramic</w:t>
      </w:r>
      <w:r w:rsidRPr="0031675F">
        <w:t xml:space="preserve"> </w:t>
      </w:r>
      <w:r w:rsidRPr="0031675F">
        <w:rPr>
          <w:spacing w:val="-1"/>
        </w:rPr>
        <w:t>boat</w:t>
      </w:r>
      <w:r w:rsidRPr="0031675F">
        <w:rPr>
          <w:spacing w:val="-2"/>
        </w:rPr>
        <w:t xml:space="preserve"> </w:t>
      </w:r>
      <w:r w:rsidRPr="0031675F">
        <w:t>on</w:t>
      </w:r>
      <w:r w:rsidRPr="0031675F">
        <w:rPr>
          <w:spacing w:val="-1"/>
        </w:rPr>
        <w:t xml:space="preserve"> </w:t>
      </w:r>
      <w:r w:rsidRPr="0031675F">
        <w:rPr>
          <w:spacing w:val="-2"/>
        </w:rPr>
        <w:t xml:space="preserve">the </w:t>
      </w:r>
      <w:r w:rsidRPr="0031675F">
        <w:rPr>
          <w:spacing w:val="-1"/>
        </w:rPr>
        <w:t>weighing balance,</w:t>
      </w:r>
      <w:r w:rsidRPr="0031675F">
        <w:rPr>
          <w:spacing w:val="-2"/>
        </w:rPr>
        <w:t xml:space="preserve"> </w:t>
      </w:r>
      <w:r w:rsidRPr="0031675F">
        <w:t>zero</w:t>
      </w:r>
      <w:r w:rsidRPr="0031675F">
        <w:rPr>
          <w:spacing w:val="-2"/>
        </w:rPr>
        <w:t xml:space="preserve"> </w:t>
      </w:r>
      <w:r w:rsidRPr="0031675F">
        <w:rPr>
          <w:spacing w:val="-1"/>
        </w:rPr>
        <w:t>the</w:t>
      </w:r>
      <w:r w:rsidRPr="0031675F">
        <w:rPr>
          <w:spacing w:val="-2"/>
        </w:rPr>
        <w:t xml:space="preserve"> </w:t>
      </w:r>
      <w:r w:rsidRPr="0031675F">
        <w:rPr>
          <w:spacing w:val="-1"/>
        </w:rPr>
        <w:t>balance</w:t>
      </w:r>
      <w:r w:rsidRPr="0031675F">
        <w:rPr>
          <w:spacing w:val="1"/>
        </w:rPr>
        <w:t xml:space="preserve"> </w:t>
      </w:r>
      <w:r w:rsidRPr="0031675F">
        <w:rPr>
          <w:spacing w:val="-2"/>
        </w:rPr>
        <w:t>(Tare)</w:t>
      </w:r>
    </w:p>
    <w:p w14:paraId="44B3C5B5" w14:textId="77777777" w:rsidR="0031675F" w:rsidRPr="0031675F" w:rsidRDefault="0031675F" w:rsidP="0031675F">
      <w:pPr>
        <w:widowControl w:val="0"/>
        <w:numPr>
          <w:ilvl w:val="0"/>
          <w:numId w:val="90"/>
        </w:numPr>
        <w:tabs>
          <w:tab w:val="left" w:pos="479"/>
        </w:tabs>
        <w:spacing w:before="0" w:after="0" w:line="240" w:lineRule="auto"/>
      </w:pPr>
      <w:r w:rsidRPr="0031675F">
        <w:rPr>
          <w:spacing w:val="-1"/>
        </w:rPr>
        <w:t>Remove</w:t>
      </w:r>
      <w:r w:rsidRPr="0031675F">
        <w:rPr>
          <w:spacing w:val="-2"/>
        </w:rPr>
        <w:t xml:space="preserve"> </w:t>
      </w:r>
      <w:r w:rsidRPr="0031675F">
        <w:t xml:space="preserve">the </w:t>
      </w:r>
      <w:r w:rsidRPr="0031675F">
        <w:rPr>
          <w:spacing w:val="-1"/>
        </w:rPr>
        <w:t>boat</w:t>
      </w:r>
      <w:r w:rsidRPr="0031675F">
        <w:t xml:space="preserve"> </w:t>
      </w:r>
      <w:r w:rsidRPr="0031675F">
        <w:rPr>
          <w:spacing w:val="-2"/>
        </w:rPr>
        <w:t>from</w:t>
      </w:r>
      <w:r w:rsidRPr="0031675F">
        <w:rPr>
          <w:spacing w:val="1"/>
        </w:rPr>
        <w:t xml:space="preserve"> </w:t>
      </w:r>
      <w:r w:rsidRPr="0031675F">
        <w:rPr>
          <w:spacing w:val="-2"/>
        </w:rPr>
        <w:t xml:space="preserve">the </w:t>
      </w:r>
      <w:r w:rsidRPr="0031675F">
        <w:rPr>
          <w:spacing w:val="-1"/>
        </w:rPr>
        <w:t>balance</w:t>
      </w:r>
      <w:r w:rsidRPr="0031675F">
        <w:rPr>
          <w:spacing w:val="1"/>
        </w:rPr>
        <w:t xml:space="preserve"> </w:t>
      </w:r>
      <w:r w:rsidRPr="0031675F">
        <w:rPr>
          <w:spacing w:val="-1"/>
        </w:rPr>
        <w:t xml:space="preserve">and </w:t>
      </w:r>
      <w:r w:rsidRPr="0031675F">
        <w:t>add</w:t>
      </w:r>
      <w:r w:rsidRPr="0031675F">
        <w:rPr>
          <w:spacing w:val="-2"/>
        </w:rPr>
        <w:t xml:space="preserve"> </w:t>
      </w:r>
      <w:r w:rsidRPr="0031675F">
        <w:rPr>
          <w:spacing w:val="-1"/>
        </w:rPr>
        <w:t>the</w:t>
      </w:r>
      <w:r w:rsidRPr="0031675F">
        <w:rPr>
          <w:spacing w:val="-2"/>
        </w:rPr>
        <w:t xml:space="preserve"> </w:t>
      </w:r>
      <w:r w:rsidRPr="0031675F">
        <w:rPr>
          <w:spacing w:val="-1"/>
        </w:rPr>
        <w:t>sample</w:t>
      </w:r>
      <w:r w:rsidRPr="0031675F">
        <w:t xml:space="preserve"> </w:t>
      </w:r>
      <w:r w:rsidRPr="0031675F">
        <w:rPr>
          <w:spacing w:val="-1"/>
        </w:rPr>
        <w:t>material</w:t>
      </w:r>
      <w:r w:rsidRPr="0031675F">
        <w:rPr>
          <w:spacing w:val="-3"/>
        </w:rPr>
        <w:t xml:space="preserve"> </w:t>
      </w:r>
      <w:r w:rsidRPr="0031675F">
        <w:rPr>
          <w:spacing w:val="-1"/>
        </w:rPr>
        <w:t>(20</w:t>
      </w:r>
      <w:r w:rsidRPr="0031675F">
        <w:rPr>
          <w:spacing w:val="4"/>
        </w:rPr>
        <w:t xml:space="preserve"> </w:t>
      </w:r>
      <w:r w:rsidRPr="0031675F">
        <w:rPr>
          <w:rFonts w:cs="Calibri"/>
        </w:rPr>
        <w:t>–</w:t>
      </w:r>
      <w:r w:rsidRPr="0031675F">
        <w:rPr>
          <w:rFonts w:cs="Calibri"/>
          <w:spacing w:val="-2"/>
        </w:rPr>
        <w:t xml:space="preserve"> </w:t>
      </w:r>
      <w:r w:rsidRPr="0031675F">
        <w:rPr>
          <w:spacing w:val="-1"/>
        </w:rPr>
        <w:t>30mg)</w:t>
      </w:r>
    </w:p>
    <w:p w14:paraId="3FB47A55" w14:textId="77777777" w:rsidR="0031675F" w:rsidRPr="0031675F" w:rsidRDefault="0031675F" w:rsidP="0031675F">
      <w:pPr>
        <w:widowControl w:val="0"/>
        <w:numPr>
          <w:ilvl w:val="0"/>
          <w:numId w:val="90"/>
        </w:numPr>
        <w:tabs>
          <w:tab w:val="left" w:pos="479"/>
        </w:tabs>
        <w:spacing w:before="0" w:after="0" w:line="268" w:lineRule="exact"/>
      </w:pPr>
      <w:r w:rsidRPr="0031675F">
        <w:rPr>
          <w:spacing w:val="-1"/>
        </w:rPr>
        <w:t>Weigh the</w:t>
      </w:r>
      <w:r w:rsidRPr="0031675F">
        <w:rPr>
          <w:spacing w:val="-2"/>
        </w:rPr>
        <w:t xml:space="preserve"> </w:t>
      </w:r>
      <w:r w:rsidRPr="0031675F">
        <w:rPr>
          <w:spacing w:val="-1"/>
        </w:rPr>
        <w:t>sample</w:t>
      </w:r>
      <w:r w:rsidRPr="0031675F">
        <w:t xml:space="preserve"> and</w:t>
      </w:r>
      <w:r w:rsidRPr="0031675F">
        <w:rPr>
          <w:spacing w:val="-2"/>
        </w:rPr>
        <w:t xml:space="preserve"> </w:t>
      </w:r>
      <w:r w:rsidRPr="0031675F">
        <w:rPr>
          <w:spacing w:val="-1"/>
        </w:rPr>
        <w:t>note</w:t>
      </w:r>
      <w:r w:rsidRPr="0031675F">
        <w:t xml:space="preserve"> </w:t>
      </w:r>
      <w:r w:rsidRPr="0031675F">
        <w:rPr>
          <w:spacing w:val="-1"/>
        </w:rPr>
        <w:t>this</w:t>
      </w:r>
      <w:r w:rsidRPr="0031675F">
        <w:rPr>
          <w:spacing w:val="-2"/>
        </w:rPr>
        <w:t xml:space="preserve"> </w:t>
      </w:r>
      <w:r w:rsidRPr="0031675F">
        <w:rPr>
          <w:spacing w:val="-1"/>
        </w:rPr>
        <w:t>weight</w:t>
      </w:r>
      <w:r w:rsidRPr="0031675F">
        <w:t xml:space="preserve"> </w:t>
      </w:r>
      <w:r w:rsidRPr="0031675F">
        <w:rPr>
          <w:spacing w:val="-1"/>
        </w:rPr>
        <w:t>against</w:t>
      </w:r>
      <w:r w:rsidRPr="0031675F">
        <w:rPr>
          <w:spacing w:val="-2"/>
        </w:rPr>
        <w:t xml:space="preserve"> </w:t>
      </w:r>
      <w:r w:rsidRPr="0031675F">
        <w:rPr>
          <w:spacing w:val="-1"/>
        </w:rPr>
        <w:t>the</w:t>
      </w:r>
      <w:r w:rsidRPr="0031675F">
        <w:rPr>
          <w:spacing w:val="-2"/>
        </w:rPr>
        <w:t xml:space="preserve"> </w:t>
      </w:r>
      <w:r w:rsidRPr="0031675F">
        <w:rPr>
          <w:spacing w:val="-1"/>
        </w:rPr>
        <w:t>Sample</w:t>
      </w:r>
      <w:r w:rsidRPr="0031675F">
        <w:t xml:space="preserve"> </w:t>
      </w:r>
      <w:r w:rsidRPr="0031675F">
        <w:rPr>
          <w:spacing w:val="-2"/>
        </w:rPr>
        <w:t>ID</w:t>
      </w:r>
      <w:r w:rsidRPr="0031675F">
        <w:rPr>
          <w:spacing w:val="4"/>
        </w:rPr>
        <w:t xml:space="preserve"> </w:t>
      </w:r>
      <w:r w:rsidRPr="0031675F">
        <w:t>in</w:t>
      </w:r>
      <w:r w:rsidRPr="0031675F">
        <w:rPr>
          <w:spacing w:val="-1"/>
        </w:rPr>
        <w:t xml:space="preserve"> </w:t>
      </w:r>
      <w:r w:rsidRPr="0031675F">
        <w:rPr>
          <w:spacing w:val="-2"/>
        </w:rPr>
        <w:t>the</w:t>
      </w:r>
      <w:r w:rsidRPr="0031675F">
        <w:rPr>
          <w:spacing w:val="1"/>
        </w:rPr>
        <w:t xml:space="preserve"> </w:t>
      </w:r>
      <w:r w:rsidRPr="0031675F">
        <w:t>MS</w:t>
      </w:r>
      <w:r w:rsidRPr="0031675F">
        <w:rPr>
          <w:spacing w:val="-3"/>
        </w:rPr>
        <w:t xml:space="preserve"> </w:t>
      </w:r>
      <w:r w:rsidRPr="0031675F">
        <w:rPr>
          <w:spacing w:val="-1"/>
        </w:rPr>
        <w:t>Excel</w:t>
      </w:r>
      <w:r w:rsidRPr="0031675F">
        <w:t xml:space="preserve"> </w:t>
      </w:r>
      <w:r w:rsidRPr="0031675F">
        <w:rPr>
          <w:spacing w:val="-1"/>
        </w:rPr>
        <w:t>spreadsheet</w:t>
      </w:r>
    </w:p>
    <w:p w14:paraId="09C5F6F5" w14:textId="5D945380" w:rsidR="0031675F" w:rsidRPr="0031675F" w:rsidRDefault="0031675F" w:rsidP="0031675F">
      <w:pPr>
        <w:widowControl w:val="0"/>
        <w:numPr>
          <w:ilvl w:val="0"/>
          <w:numId w:val="90"/>
        </w:numPr>
        <w:tabs>
          <w:tab w:val="left" w:pos="479"/>
        </w:tabs>
        <w:spacing w:before="0" w:after="0" w:line="240" w:lineRule="auto"/>
        <w:ind w:right="119"/>
      </w:pPr>
      <w:r w:rsidRPr="0031675F">
        <w:rPr>
          <w:spacing w:val="-1"/>
        </w:rPr>
        <w:t>Add</w:t>
      </w:r>
      <w:r w:rsidRPr="0031675F">
        <w:rPr>
          <w:spacing w:val="9"/>
        </w:rPr>
        <w:t xml:space="preserve"> </w:t>
      </w:r>
      <w:r w:rsidRPr="0031675F">
        <w:t>5</w:t>
      </w:r>
      <w:r w:rsidRPr="0031675F">
        <w:rPr>
          <w:spacing w:val="10"/>
        </w:rPr>
        <w:t xml:space="preserve"> </w:t>
      </w:r>
      <w:r w:rsidRPr="0031675F">
        <w:t>x</w:t>
      </w:r>
      <w:r w:rsidRPr="0031675F">
        <w:rPr>
          <w:spacing w:val="10"/>
        </w:rPr>
        <w:t xml:space="preserve"> </w:t>
      </w:r>
      <w:r w:rsidRPr="0031675F">
        <w:rPr>
          <w:spacing w:val="-1"/>
        </w:rPr>
        <w:t>100</w:t>
      </w:r>
      <w:r w:rsidR="00BB13FD">
        <w:rPr>
          <w:spacing w:val="-1"/>
        </w:rPr>
        <w:t xml:space="preserve"> </w:t>
      </w:r>
      <w:r w:rsidRPr="0031675F">
        <w:rPr>
          <w:spacing w:val="-1"/>
        </w:rPr>
        <w:t>m</w:t>
      </w:r>
      <w:r w:rsidR="00BB13FD">
        <w:rPr>
          <w:spacing w:val="-1"/>
        </w:rPr>
        <w:t>L</w:t>
      </w:r>
      <w:r w:rsidRPr="0031675F">
        <w:rPr>
          <w:spacing w:val="9"/>
        </w:rPr>
        <w:t xml:space="preserve"> </w:t>
      </w:r>
      <w:r w:rsidRPr="0031675F">
        <w:rPr>
          <w:spacing w:val="-1"/>
        </w:rPr>
        <w:t>HCL</w:t>
      </w:r>
      <w:r w:rsidRPr="0031675F">
        <w:rPr>
          <w:spacing w:val="10"/>
        </w:rPr>
        <w:t xml:space="preserve"> </w:t>
      </w:r>
      <w:r w:rsidRPr="0031675F">
        <w:rPr>
          <w:spacing w:val="-1"/>
        </w:rPr>
        <w:t>(32%)</w:t>
      </w:r>
      <w:r w:rsidRPr="0031675F">
        <w:rPr>
          <w:spacing w:val="10"/>
        </w:rPr>
        <w:t xml:space="preserve"> </w:t>
      </w:r>
      <w:r w:rsidRPr="0031675F">
        <w:rPr>
          <w:spacing w:val="-1"/>
        </w:rPr>
        <w:t>to</w:t>
      </w:r>
      <w:r w:rsidRPr="0031675F">
        <w:rPr>
          <w:spacing w:val="11"/>
        </w:rPr>
        <w:t xml:space="preserve"> </w:t>
      </w:r>
      <w:r w:rsidRPr="0031675F">
        <w:t>the</w:t>
      </w:r>
      <w:r w:rsidRPr="0031675F">
        <w:rPr>
          <w:spacing w:val="10"/>
        </w:rPr>
        <w:t xml:space="preserve"> </w:t>
      </w:r>
      <w:r w:rsidRPr="0031675F">
        <w:rPr>
          <w:spacing w:val="-1"/>
        </w:rPr>
        <w:t>sample</w:t>
      </w:r>
      <w:r w:rsidRPr="0031675F">
        <w:rPr>
          <w:spacing w:val="10"/>
        </w:rPr>
        <w:t xml:space="preserve"> </w:t>
      </w:r>
      <w:r w:rsidRPr="0031675F">
        <w:t>to</w:t>
      </w:r>
      <w:r w:rsidRPr="0031675F">
        <w:rPr>
          <w:spacing w:val="11"/>
        </w:rPr>
        <w:t xml:space="preserve"> </w:t>
      </w:r>
      <w:r w:rsidRPr="0031675F">
        <w:rPr>
          <w:spacing w:val="-1"/>
        </w:rPr>
        <w:t>decompose</w:t>
      </w:r>
      <w:r w:rsidRPr="0031675F">
        <w:rPr>
          <w:spacing w:val="10"/>
        </w:rPr>
        <w:t xml:space="preserve"> </w:t>
      </w:r>
      <w:r w:rsidRPr="0031675F">
        <w:rPr>
          <w:spacing w:val="-1"/>
        </w:rPr>
        <w:t>Inorganic</w:t>
      </w:r>
      <w:r w:rsidRPr="0031675F">
        <w:rPr>
          <w:spacing w:val="9"/>
        </w:rPr>
        <w:t xml:space="preserve"> </w:t>
      </w:r>
      <w:r w:rsidRPr="0031675F">
        <w:rPr>
          <w:spacing w:val="-1"/>
        </w:rPr>
        <w:t>Carbon</w:t>
      </w:r>
      <w:r w:rsidRPr="0031675F">
        <w:rPr>
          <w:spacing w:val="9"/>
        </w:rPr>
        <w:t xml:space="preserve"> </w:t>
      </w:r>
      <w:r w:rsidRPr="0031675F">
        <w:rPr>
          <w:spacing w:val="-1"/>
        </w:rPr>
        <w:t>(IC)</w:t>
      </w:r>
      <w:r w:rsidRPr="0031675F">
        <w:rPr>
          <w:spacing w:val="10"/>
        </w:rPr>
        <w:t xml:space="preserve"> </w:t>
      </w:r>
      <w:r w:rsidRPr="0031675F">
        <w:rPr>
          <w:spacing w:val="-1"/>
        </w:rPr>
        <w:t>and</w:t>
      </w:r>
      <w:r w:rsidRPr="0031675F">
        <w:rPr>
          <w:spacing w:val="9"/>
        </w:rPr>
        <w:t xml:space="preserve"> </w:t>
      </w:r>
      <w:r w:rsidRPr="0031675F">
        <w:rPr>
          <w:spacing w:val="-1"/>
        </w:rPr>
        <w:t>set</w:t>
      </w:r>
      <w:r w:rsidRPr="0031675F">
        <w:rPr>
          <w:spacing w:val="10"/>
        </w:rPr>
        <w:t xml:space="preserve"> </w:t>
      </w:r>
      <w:r w:rsidRPr="0031675F">
        <w:t>to</w:t>
      </w:r>
      <w:r w:rsidRPr="0031675F">
        <w:rPr>
          <w:spacing w:val="11"/>
        </w:rPr>
        <w:t xml:space="preserve"> </w:t>
      </w:r>
      <w:r w:rsidRPr="0031675F">
        <w:rPr>
          <w:spacing w:val="-1"/>
        </w:rPr>
        <w:t>dry</w:t>
      </w:r>
      <w:r w:rsidRPr="0031675F">
        <w:rPr>
          <w:spacing w:val="10"/>
        </w:rPr>
        <w:t xml:space="preserve"> </w:t>
      </w:r>
      <w:r w:rsidRPr="0031675F">
        <w:t>on</w:t>
      </w:r>
      <w:r w:rsidRPr="0031675F">
        <w:rPr>
          <w:spacing w:val="9"/>
        </w:rPr>
        <w:t xml:space="preserve"> </w:t>
      </w:r>
      <w:r w:rsidRPr="0031675F">
        <w:t>a</w:t>
      </w:r>
      <w:r w:rsidRPr="0031675F">
        <w:rPr>
          <w:spacing w:val="45"/>
        </w:rPr>
        <w:t xml:space="preserve"> </w:t>
      </w:r>
      <w:r w:rsidRPr="0031675F">
        <w:rPr>
          <w:spacing w:val="-1"/>
        </w:rPr>
        <w:t>hotplate</w:t>
      </w:r>
      <w:r w:rsidRPr="0031675F">
        <w:rPr>
          <w:spacing w:val="-2"/>
        </w:rPr>
        <w:t xml:space="preserve"> </w:t>
      </w:r>
      <w:r w:rsidRPr="0031675F">
        <w:t>at</w:t>
      </w:r>
      <w:r w:rsidRPr="0031675F">
        <w:rPr>
          <w:spacing w:val="-2"/>
        </w:rPr>
        <w:t xml:space="preserve"> </w:t>
      </w:r>
      <w:r w:rsidRPr="0031675F">
        <w:rPr>
          <w:spacing w:val="-1"/>
        </w:rPr>
        <w:t>100</w:t>
      </w:r>
      <w:r w:rsidRPr="0031675F">
        <w:t xml:space="preserve"> </w:t>
      </w:r>
      <w:r w:rsidRPr="0031675F">
        <w:rPr>
          <w:spacing w:val="-1"/>
        </w:rPr>
        <w:t>degrees</w:t>
      </w:r>
      <w:r w:rsidRPr="0031675F">
        <w:rPr>
          <w:spacing w:val="-2"/>
        </w:rPr>
        <w:t xml:space="preserve"> </w:t>
      </w:r>
      <w:r w:rsidRPr="0031675F">
        <w:rPr>
          <w:spacing w:val="-1"/>
        </w:rPr>
        <w:t>Celsius.</w:t>
      </w:r>
    </w:p>
    <w:p w14:paraId="0A9FD3F2" w14:textId="77777777" w:rsidR="0031675F" w:rsidRPr="0031675F" w:rsidRDefault="0031675F" w:rsidP="0031675F">
      <w:pPr>
        <w:widowControl w:val="0"/>
        <w:numPr>
          <w:ilvl w:val="0"/>
          <w:numId w:val="90"/>
        </w:numPr>
        <w:tabs>
          <w:tab w:val="left" w:pos="479"/>
        </w:tabs>
        <w:spacing w:before="0" w:after="0" w:line="240" w:lineRule="auto"/>
      </w:pPr>
      <w:r w:rsidRPr="0031675F">
        <w:rPr>
          <w:spacing w:val="-1"/>
        </w:rPr>
        <w:t>Analyse</w:t>
      </w:r>
      <w:r w:rsidRPr="0031675F">
        <w:t xml:space="preserve"> </w:t>
      </w:r>
      <w:r w:rsidRPr="0031675F">
        <w:rPr>
          <w:spacing w:val="-2"/>
        </w:rPr>
        <w:t>the</w:t>
      </w:r>
      <w:r w:rsidRPr="0031675F">
        <w:t xml:space="preserve"> </w:t>
      </w:r>
      <w:r w:rsidRPr="0031675F">
        <w:rPr>
          <w:spacing w:val="-1"/>
        </w:rPr>
        <w:t>standard</w:t>
      </w:r>
      <w:r w:rsidRPr="0031675F">
        <w:rPr>
          <w:spacing w:val="-3"/>
        </w:rPr>
        <w:t xml:space="preserve"> </w:t>
      </w:r>
      <w:r w:rsidRPr="0031675F">
        <w:rPr>
          <w:spacing w:val="-1"/>
        </w:rPr>
        <w:t>sample</w:t>
      </w:r>
      <w:r w:rsidRPr="0031675F">
        <w:t xml:space="preserve"> </w:t>
      </w:r>
      <w:r w:rsidRPr="0031675F">
        <w:rPr>
          <w:spacing w:val="-1"/>
        </w:rPr>
        <w:t>following</w:t>
      </w:r>
      <w:r w:rsidRPr="0031675F">
        <w:rPr>
          <w:spacing w:val="-2"/>
        </w:rPr>
        <w:t xml:space="preserve"> </w:t>
      </w:r>
      <w:r w:rsidRPr="0031675F">
        <w:rPr>
          <w:spacing w:val="-1"/>
        </w:rPr>
        <w:t>steps</w:t>
      </w:r>
      <w:r w:rsidRPr="0031675F">
        <w:rPr>
          <w:spacing w:val="-2"/>
        </w:rPr>
        <w:t xml:space="preserve"> </w:t>
      </w:r>
      <w:r w:rsidRPr="0031675F">
        <w:t>18</w:t>
      </w:r>
      <w:r w:rsidRPr="0031675F">
        <w:rPr>
          <w:spacing w:val="1"/>
        </w:rPr>
        <w:t xml:space="preserve"> </w:t>
      </w:r>
      <w:r w:rsidRPr="0031675F">
        <w:rPr>
          <w:rFonts w:cs="Calibri"/>
        </w:rPr>
        <w:t>–</w:t>
      </w:r>
      <w:r w:rsidRPr="0031675F">
        <w:rPr>
          <w:rFonts w:cs="Calibri"/>
          <w:spacing w:val="-1"/>
        </w:rPr>
        <w:t xml:space="preserve"> </w:t>
      </w:r>
      <w:r w:rsidRPr="0031675F">
        <w:t>24</w:t>
      </w:r>
      <w:r w:rsidRPr="0031675F">
        <w:rPr>
          <w:spacing w:val="-2"/>
        </w:rPr>
        <w:t xml:space="preserve"> </w:t>
      </w:r>
      <w:r w:rsidRPr="0031675F">
        <w:rPr>
          <w:spacing w:val="-1"/>
        </w:rPr>
        <w:t>below</w:t>
      </w:r>
    </w:p>
    <w:p w14:paraId="3092B492" w14:textId="77777777" w:rsidR="0031675F" w:rsidRPr="0031675F" w:rsidRDefault="0031675F" w:rsidP="0031675F">
      <w:pPr>
        <w:widowControl w:val="0"/>
        <w:numPr>
          <w:ilvl w:val="0"/>
          <w:numId w:val="90"/>
        </w:numPr>
        <w:tabs>
          <w:tab w:val="left" w:pos="479"/>
        </w:tabs>
        <w:spacing w:before="0" w:after="0" w:line="240" w:lineRule="auto"/>
      </w:pPr>
      <w:r w:rsidRPr="0031675F">
        <w:t>Repeat</w:t>
      </w:r>
      <w:r w:rsidRPr="0031675F">
        <w:rPr>
          <w:spacing w:val="-2"/>
        </w:rPr>
        <w:t xml:space="preserve"> </w:t>
      </w:r>
      <w:r w:rsidRPr="0031675F">
        <w:rPr>
          <w:spacing w:val="-1"/>
        </w:rPr>
        <w:t>for</w:t>
      </w:r>
      <w:r w:rsidRPr="0031675F">
        <w:rPr>
          <w:spacing w:val="-2"/>
        </w:rPr>
        <w:t xml:space="preserve"> </w:t>
      </w:r>
      <w:r w:rsidRPr="0031675F">
        <w:t>each</w:t>
      </w:r>
      <w:r w:rsidRPr="0031675F">
        <w:rPr>
          <w:spacing w:val="-1"/>
        </w:rPr>
        <w:t xml:space="preserve"> sediment sample</w:t>
      </w:r>
    </w:p>
    <w:p w14:paraId="07260DB9" w14:textId="77777777" w:rsidR="0031675F" w:rsidRPr="0031675F" w:rsidRDefault="0031675F" w:rsidP="0031675F">
      <w:pPr>
        <w:rPr>
          <w:rFonts w:cs="Calibri"/>
        </w:rPr>
      </w:pPr>
    </w:p>
    <w:p w14:paraId="59E92D06" w14:textId="77777777" w:rsidR="0031675F" w:rsidRPr="0031675F" w:rsidRDefault="0031675F" w:rsidP="0031675F">
      <w:pPr>
        <w:ind w:left="118"/>
        <w:rPr>
          <w:rFonts w:cs="Calibri"/>
        </w:rPr>
      </w:pPr>
      <w:r w:rsidRPr="0031675F">
        <w:rPr>
          <w:b/>
          <w:spacing w:val="-1"/>
        </w:rPr>
        <w:t>Starting</w:t>
      </w:r>
      <w:r w:rsidRPr="0031675F">
        <w:rPr>
          <w:b/>
          <w:spacing w:val="-2"/>
        </w:rPr>
        <w:t xml:space="preserve"> </w:t>
      </w:r>
      <w:r w:rsidRPr="0031675F">
        <w:rPr>
          <w:b/>
          <w:spacing w:val="-1"/>
        </w:rPr>
        <w:t>the Instrument</w:t>
      </w:r>
    </w:p>
    <w:p w14:paraId="61712F92" w14:textId="77777777" w:rsidR="0031675F" w:rsidRPr="0031675F" w:rsidRDefault="0031675F" w:rsidP="0031675F">
      <w:pPr>
        <w:widowControl w:val="0"/>
        <w:numPr>
          <w:ilvl w:val="0"/>
          <w:numId w:val="89"/>
        </w:numPr>
        <w:tabs>
          <w:tab w:val="left" w:pos="479"/>
        </w:tabs>
        <w:spacing w:before="0" w:after="0" w:line="240" w:lineRule="auto"/>
      </w:pPr>
      <w:r w:rsidRPr="0031675F">
        <w:rPr>
          <w:spacing w:val="-1"/>
        </w:rPr>
        <w:t>Turn</w:t>
      </w:r>
      <w:r w:rsidRPr="0031675F">
        <w:rPr>
          <w:spacing w:val="-2"/>
        </w:rPr>
        <w:t xml:space="preserve"> </w:t>
      </w:r>
      <w:r w:rsidRPr="0031675F">
        <w:t>on</w:t>
      </w:r>
      <w:r w:rsidRPr="0031675F">
        <w:rPr>
          <w:spacing w:val="-1"/>
        </w:rPr>
        <w:t xml:space="preserve"> Gases</w:t>
      </w:r>
      <w:r w:rsidRPr="0031675F">
        <w:t xml:space="preserve"> </w:t>
      </w:r>
      <w:r w:rsidRPr="0031675F">
        <w:rPr>
          <w:spacing w:val="-1"/>
        </w:rPr>
        <w:t>(Air</w:t>
      </w:r>
      <w:r w:rsidRPr="0031675F">
        <w:rPr>
          <w:spacing w:val="-3"/>
        </w:rPr>
        <w:t xml:space="preserve"> </w:t>
      </w:r>
      <w:r w:rsidRPr="0031675F">
        <w:t>and</w:t>
      </w:r>
      <w:r w:rsidRPr="0031675F">
        <w:rPr>
          <w:spacing w:val="-2"/>
        </w:rPr>
        <w:t xml:space="preserve"> </w:t>
      </w:r>
      <w:r w:rsidRPr="0031675F">
        <w:rPr>
          <w:spacing w:val="-1"/>
        </w:rPr>
        <w:t>Oxygen)</w:t>
      </w:r>
    </w:p>
    <w:p w14:paraId="4E3ADF90" w14:textId="77777777" w:rsidR="0031675F" w:rsidRPr="0031675F" w:rsidRDefault="0031675F" w:rsidP="0031675F">
      <w:pPr>
        <w:widowControl w:val="0"/>
        <w:numPr>
          <w:ilvl w:val="0"/>
          <w:numId w:val="89"/>
        </w:numPr>
        <w:tabs>
          <w:tab w:val="left" w:pos="479"/>
        </w:tabs>
        <w:spacing w:before="0" w:after="0" w:line="240" w:lineRule="auto"/>
      </w:pPr>
      <w:r w:rsidRPr="0031675F">
        <w:rPr>
          <w:spacing w:val="-1"/>
        </w:rPr>
        <w:t>Turn</w:t>
      </w:r>
      <w:r w:rsidRPr="0031675F">
        <w:rPr>
          <w:spacing w:val="-2"/>
        </w:rPr>
        <w:t xml:space="preserve"> </w:t>
      </w:r>
      <w:r w:rsidRPr="0031675F">
        <w:t>on</w:t>
      </w:r>
      <w:r w:rsidRPr="0031675F">
        <w:rPr>
          <w:spacing w:val="-1"/>
        </w:rPr>
        <w:t xml:space="preserve"> TOC-V</w:t>
      </w:r>
      <w:r w:rsidRPr="0031675F">
        <w:t xml:space="preserve"> </w:t>
      </w:r>
      <w:r w:rsidRPr="0031675F">
        <w:rPr>
          <w:spacing w:val="-1"/>
        </w:rPr>
        <w:t>instrument,</w:t>
      </w:r>
      <w:r w:rsidRPr="0031675F">
        <w:rPr>
          <w:spacing w:val="-2"/>
        </w:rPr>
        <w:t xml:space="preserve"> </w:t>
      </w:r>
      <w:r w:rsidRPr="0031675F">
        <w:rPr>
          <w:spacing w:val="-1"/>
        </w:rPr>
        <w:t>TN</w:t>
      </w:r>
      <w:r w:rsidRPr="0031675F">
        <w:t xml:space="preserve"> </w:t>
      </w:r>
      <w:r w:rsidRPr="0031675F">
        <w:rPr>
          <w:spacing w:val="-1"/>
        </w:rPr>
        <w:t>unit</w:t>
      </w:r>
      <w:r w:rsidRPr="0031675F">
        <w:t xml:space="preserve"> and</w:t>
      </w:r>
      <w:r w:rsidRPr="0031675F">
        <w:rPr>
          <w:spacing w:val="-2"/>
        </w:rPr>
        <w:t xml:space="preserve"> </w:t>
      </w:r>
      <w:r w:rsidRPr="0031675F">
        <w:rPr>
          <w:spacing w:val="-1"/>
        </w:rPr>
        <w:t>Solid Sample</w:t>
      </w:r>
      <w:r w:rsidRPr="0031675F">
        <w:rPr>
          <w:spacing w:val="-2"/>
        </w:rPr>
        <w:t xml:space="preserve"> </w:t>
      </w:r>
      <w:r w:rsidRPr="0031675F">
        <w:rPr>
          <w:spacing w:val="-1"/>
        </w:rPr>
        <w:t>Module</w:t>
      </w:r>
      <w:r w:rsidRPr="0031675F">
        <w:rPr>
          <w:spacing w:val="-3"/>
        </w:rPr>
        <w:t xml:space="preserve"> </w:t>
      </w:r>
      <w:r w:rsidRPr="0031675F">
        <w:rPr>
          <w:spacing w:val="-1"/>
        </w:rPr>
        <w:t>(SSM)</w:t>
      </w:r>
    </w:p>
    <w:p w14:paraId="439F63E4" w14:textId="77777777" w:rsidR="0031675F" w:rsidRPr="0031675F" w:rsidRDefault="0031675F" w:rsidP="0031675F">
      <w:pPr>
        <w:widowControl w:val="0"/>
        <w:numPr>
          <w:ilvl w:val="0"/>
          <w:numId w:val="89"/>
        </w:numPr>
        <w:tabs>
          <w:tab w:val="left" w:pos="479"/>
        </w:tabs>
        <w:spacing w:before="0" w:after="0" w:line="267" w:lineRule="exact"/>
      </w:pPr>
      <w:r w:rsidRPr="0031675F">
        <w:rPr>
          <w:spacing w:val="-1"/>
        </w:rPr>
        <w:t>Turn</w:t>
      </w:r>
      <w:r w:rsidRPr="0031675F">
        <w:rPr>
          <w:spacing w:val="-2"/>
        </w:rPr>
        <w:t xml:space="preserve"> </w:t>
      </w:r>
      <w:r w:rsidRPr="0031675F">
        <w:t>on</w:t>
      </w:r>
      <w:r w:rsidRPr="0031675F">
        <w:rPr>
          <w:spacing w:val="-3"/>
        </w:rPr>
        <w:t xml:space="preserve"> </w:t>
      </w:r>
      <w:r w:rsidRPr="0031675F">
        <w:t>PC</w:t>
      </w:r>
    </w:p>
    <w:p w14:paraId="54C7EDBB" w14:textId="77777777" w:rsidR="0031675F" w:rsidRPr="0031675F" w:rsidRDefault="0031675F" w:rsidP="0031675F">
      <w:pPr>
        <w:widowControl w:val="0"/>
        <w:numPr>
          <w:ilvl w:val="0"/>
          <w:numId w:val="89"/>
        </w:numPr>
        <w:tabs>
          <w:tab w:val="left" w:pos="479"/>
        </w:tabs>
        <w:spacing w:before="0" w:after="0" w:line="267" w:lineRule="exact"/>
      </w:pPr>
      <w:r w:rsidRPr="0031675F">
        <w:rPr>
          <w:spacing w:val="-1"/>
        </w:rPr>
        <w:t>Double</w:t>
      </w:r>
      <w:r w:rsidRPr="0031675F">
        <w:rPr>
          <w:spacing w:val="-3"/>
        </w:rPr>
        <w:t xml:space="preserve"> </w:t>
      </w:r>
      <w:r w:rsidRPr="0031675F">
        <w:rPr>
          <w:spacing w:val="-1"/>
        </w:rPr>
        <w:t>click</w:t>
      </w:r>
      <w:r w:rsidRPr="0031675F">
        <w:rPr>
          <w:spacing w:val="-2"/>
        </w:rPr>
        <w:t xml:space="preserve"> </w:t>
      </w:r>
      <w:r w:rsidRPr="0031675F">
        <w:t>on</w:t>
      </w:r>
      <w:r w:rsidRPr="0031675F">
        <w:rPr>
          <w:spacing w:val="-3"/>
        </w:rPr>
        <w:t xml:space="preserve"> </w:t>
      </w:r>
      <w:r w:rsidRPr="0031675F">
        <w:rPr>
          <w:spacing w:val="-1"/>
        </w:rPr>
        <w:t>TOC_Control</w:t>
      </w:r>
      <w:r w:rsidRPr="0031675F">
        <w:t xml:space="preserve"> V </w:t>
      </w:r>
      <w:r w:rsidRPr="0031675F">
        <w:rPr>
          <w:spacing w:val="-1"/>
        </w:rPr>
        <w:t>icon</w:t>
      </w:r>
    </w:p>
    <w:p w14:paraId="14F7F8DA" w14:textId="77777777" w:rsidR="0031675F" w:rsidRPr="0031675F" w:rsidRDefault="0031675F" w:rsidP="0031675F">
      <w:pPr>
        <w:widowControl w:val="0"/>
        <w:numPr>
          <w:ilvl w:val="0"/>
          <w:numId w:val="89"/>
        </w:numPr>
        <w:tabs>
          <w:tab w:val="left" w:pos="479"/>
        </w:tabs>
        <w:spacing w:before="0" w:after="0" w:line="240" w:lineRule="auto"/>
      </w:pPr>
      <w:r w:rsidRPr="0031675F">
        <w:rPr>
          <w:spacing w:val="-1"/>
        </w:rPr>
        <w:t>Double</w:t>
      </w:r>
      <w:r w:rsidRPr="0031675F">
        <w:rPr>
          <w:spacing w:val="-3"/>
        </w:rPr>
        <w:t xml:space="preserve"> </w:t>
      </w:r>
      <w:r w:rsidRPr="0031675F">
        <w:rPr>
          <w:spacing w:val="-1"/>
        </w:rPr>
        <w:t>click</w:t>
      </w:r>
      <w:r w:rsidRPr="0031675F">
        <w:rPr>
          <w:spacing w:val="-2"/>
        </w:rPr>
        <w:t xml:space="preserve"> </w:t>
      </w:r>
      <w:r w:rsidRPr="0031675F">
        <w:t>on</w:t>
      </w:r>
      <w:r w:rsidRPr="0031675F">
        <w:rPr>
          <w:spacing w:val="-1"/>
        </w:rPr>
        <w:t xml:space="preserve"> Sample</w:t>
      </w:r>
      <w:r w:rsidRPr="0031675F">
        <w:rPr>
          <w:spacing w:val="-3"/>
        </w:rPr>
        <w:t xml:space="preserve"> </w:t>
      </w:r>
      <w:r w:rsidRPr="0031675F">
        <w:rPr>
          <w:spacing w:val="-1"/>
        </w:rPr>
        <w:t>Table</w:t>
      </w:r>
      <w:r w:rsidRPr="0031675F">
        <w:t xml:space="preserve"> </w:t>
      </w:r>
      <w:r w:rsidRPr="0031675F">
        <w:rPr>
          <w:spacing w:val="-1"/>
        </w:rPr>
        <w:t>Editor</w:t>
      </w:r>
    </w:p>
    <w:p w14:paraId="0812757A" w14:textId="77777777" w:rsidR="0031675F" w:rsidRPr="0031675F" w:rsidRDefault="0031675F" w:rsidP="0031675F">
      <w:pPr>
        <w:widowControl w:val="0"/>
        <w:numPr>
          <w:ilvl w:val="0"/>
          <w:numId w:val="89"/>
        </w:numPr>
        <w:tabs>
          <w:tab w:val="left" w:pos="479"/>
        </w:tabs>
        <w:spacing w:before="0" w:after="0" w:line="240" w:lineRule="auto"/>
      </w:pPr>
      <w:r w:rsidRPr="0031675F">
        <w:rPr>
          <w:spacing w:val="-1"/>
        </w:rPr>
        <w:t>Enter</w:t>
      </w:r>
      <w:r w:rsidRPr="0031675F">
        <w:t xml:space="preserve"> </w:t>
      </w:r>
      <w:r w:rsidRPr="0031675F">
        <w:rPr>
          <w:spacing w:val="-1"/>
        </w:rPr>
        <w:t>`OK'</w:t>
      </w:r>
      <w:r w:rsidRPr="0031675F">
        <w:t xml:space="preserve"> </w:t>
      </w:r>
      <w:r w:rsidRPr="0031675F">
        <w:rPr>
          <w:spacing w:val="-1"/>
        </w:rPr>
        <w:t xml:space="preserve">to </w:t>
      </w:r>
      <w:r w:rsidRPr="0031675F">
        <w:t>`user'</w:t>
      </w:r>
      <w:r w:rsidRPr="0031675F">
        <w:rPr>
          <w:spacing w:val="-1"/>
        </w:rPr>
        <w:t xml:space="preserve"> box</w:t>
      </w:r>
      <w:r w:rsidRPr="0031675F">
        <w:t xml:space="preserve"> </w:t>
      </w:r>
      <w:r w:rsidRPr="0031675F">
        <w:rPr>
          <w:spacing w:val="-2"/>
        </w:rPr>
        <w:t>(do</w:t>
      </w:r>
      <w:r w:rsidRPr="0031675F">
        <w:rPr>
          <w:spacing w:val="-1"/>
        </w:rPr>
        <w:t xml:space="preserve"> not</w:t>
      </w:r>
      <w:r w:rsidRPr="0031675F">
        <w:t xml:space="preserve"> </w:t>
      </w:r>
      <w:r w:rsidRPr="0031675F">
        <w:rPr>
          <w:spacing w:val="-1"/>
        </w:rPr>
        <w:t xml:space="preserve">need to </w:t>
      </w:r>
      <w:r w:rsidRPr="0031675F">
        <w:t>enter</w:t>
      </w:r>
      <w:r w:rsidRPr="0031675F">
        <w:rPr>
          <w:spacing w:val="-2"/>
        </w:rPr>
        <w:t xml:space="preserve"> </w:t>
      </w:r>
      <w:r w:rsidRPr="0031675F">
        <w:t xml:space="preserve">a </w:t>
      </w:r>
      <w:r w:rsidRPr="0031675F">
        <w:rPr>
          <w:spacing w:val="-1"/>
        </w:rPr>
        <w:t>name)</w:t>
      </w:r>
    </w:p>
    <w:p w14:paraId="4731783A" w14:textId="77777777" w:rsidR="0031675F" w:rsidRPr="0031675F" w:rsidRDefault="0031675F" w:rsidP="0031675F">
      <w:pPr>
        <w:widowControl w:val="0"/>
        <w:numPr>
          <w:ilvl w:val="0"/>
          <w:numId w:val="89"/>
        </w:numPr>
        <w:tabs>
          <w:tab w:val="left" w:pos="479"/>
        </w:tabs>
        <w:spacing w:before="0" w:after="0" w:line="240" w:lineRule="auto"/>
      </w:pPr>
      <w:r w:rsidRPr="0031675F">
        <w:rPr>
          <w:spacing w:val="-1"/>
        </w:rPr>
        <w:t>`Sample</w:t>
      </w:r>
      <w:r w:rsidRPr="0031675F">
        <w:rPr>
          <w:spacing w:val="-2"/>
        </w:rPr>
        <w:t xml:space="preserve"> </w:t>
      </w:r>
      <w:r w:rsidRPr="0031675F">
        <w:rPr>
          <w:spacing w:val="-1"/>
        </w:rPr>
        <w:t>Table'</w:t>
      </w:r>
      <w:r w:rsidRPr="0031675F">
        <w:rPr>
          <w:spacing w:val="-3"/>
        </w:rPr>
        <w:t xml:space="preserve"> </w:t>
      </w:r>
      <w:r w:rsidRPr="0031675F">
        <w:t xml:space="preserve">will </w:t>
      </w:r>
      <w:r w:rsidRPr="0031675F">
        <w:rPr>
          <w:spacing w:val="-1"/>
        </w:rPr>
        <w:t>open</w:t>
      </w:r>
      <w:r w:rsidRPr="0031675F">
        <w:t xml:space="preserve"> </w:t>
      </w:r>
      <w:r w:rsidRPr="0031675F">
        <w:rPr>
          <w:spacing w:val="-1"/>
        </w:rPr>
        <w:t>up.</w:t>
      </w:r>
      <w:r w:rsidRPr="0031675F">
        <w:t xml:space="preserve"> </w:t>
      </w:r>
      <w:r w:rsidRPr="0031675F">
        <w:rPr>
          <w:spacing w:val="-1"/>
        </w:rPr>
        <w:t>Click</w:t>
      </w:r>
      <w:r w:rsidRPr="0031675F">
        <w:rPr>
          <w:spacing w:val="1"/>
        </w:rPr>
        <w:t xml:space="preserve"> </w:t>
      </w:r>
      <w:r w:rsidRPr="0031675F">
        <w:rPr>
          <w:spacing w:val="-1"/>
        </w:rPr>
        <w:t>`File'</w:t>
      </w:r>
      <w:r w:rsidRPr="0031675F">
        <w:t xml:space="preserve"> then</w:t>
      </w:r>
      <w:r w:rsidRPr="0031675F">
        <w:rPr>
          <w:spacing w:val="-3"/>
        </w:rPr>
        <w:t xml:space="preserve"> </w:t>
      </w:r>
      <w:r w:rsidRPr="0031675F">
        <w:t>`New'</w:t>
      </w:r>
    </w:p>
    <w:p w14:paraId="4FDE17AB" w14:textId="77777777" w:rsidR="0031675F" w:rsidRPr="0031675F" w:rsidRDefault="0031675F" w:rsidP="0031675F">
      <w:pPr>
        <w:widowControl w:val="0"/>
        <w:numPr>
          <w:ilvl w:val="0"/>
          <w:numId w:val="89"/>
        </w:numPr>
        <w:tabs>
          <w:tab w:val="left" w:pos="479"/>
        </w:tabs>
        <w:spacing w:before="0" w:after="0" w:line="240" w:lineRule="auto"/>
      </w:pPr>
      <w:r w:rsidRPr="0031675F">
        <w:rPr>
          <w:spacing w:val="-1"/>
        </w:rPr>
        <w:t>Double</w:t>
      </w:r>
      <w:r w:rsidRPr="0031675F">
        <w:rPr>
          <w:spacing w:val="-3"/>
        </w:rPr>
        <w:t xml:space="preserve"> </w:t>
      </w:r>
      <w:r w:rsidRPr="0031675F">
        <w:rPr>
          <w:spacing w:val="-1"/>
        </w:rPr>
        <w:t>click</w:t>
      </w:r>
      <w:r w:rsidRPr="0031675F">
        <w:rPr>
          <w:spacing w:val="-2"/>
        </w:rPr>
        <w:t xml:space="preserve"> </w:t>
      </w:r>
      <w:r w:rsidRPr="0031675F">
        <w:rPr>
          <w:spacing w:val="-1"/>
        </w:rPr>
        <w:t>`sample</w:t>
      </w:r>
      <w:r w:rsidRPr="0031675F">
        <w:t xml:space="preserve"> run</w:t>
      </w:r>
      <w:r w:rsidRPr="0031675F">
        <w:rPr>
          <w:spacing w:val="-4"/>
        </w:rPr>
        <w:t xml:space="preserve"> </w:t>
      </w:r>
      <w:r w:rsidRPr="0031675F">
        <w:rPr>
          <w:spacing w:val="-1"/>
        </w:rPr>
        <w:t>(unless</w:t>
      </w:r>
      <w:r w:rsidRPr="0031675F">
        <w:t xml:space="preserve"> </w:t>
      </w:r>
      <w:r w:rsidRPr="0031675F">
        <w:rPr>
          <w:spacing w:val="-1"/>
        </w:rPr>
        <w:t>wanting</w:t>
      </w:r>
      <w:r w:rsidRPr="0031675F">
        <w:rPr>
          <w:spacing w:val="-3"/>
        </w:rPr>
        <w:t xml:space="preserve"> </w:t>
      </w:r>
      <w:r w:rsidRPr="0031675F">
        <w:t>to</w:t>
      </w:r>
      <w:r w:rsidRPr="0031675F">
        <w:rPr>
          <w:spacing w:val="-1"/>
        </w:rPr>
        <w:t xml:space="preserve"> do</w:t>
      </w:r>
      <w:r w:rsidRPr="0031675F">
        <w:rPr>
          <w:spacing w:val="1"/>
        </w:rPr>
        <w:t xml:space="preserve"> </w:t>
      </w:r>
      <w:r w:rsidRPr="0031675F">
        <w:t>a</w:t>
      </w:r>
      <w:r w:rsidRPr="0031675F">
        <w:rPr>
          <w:spacing w:val="-2"/>
        </w:rPr>
        <w:t xml:space="preserve"> </w:t>
      </w:r>
      <w:r w:rsidRPr="0031675F">
        <w:rPr>
          <w:spacing w:val="-1"/>
        </w:rPr>
        <w:t>new</w:t>
      </w:r>
      <w:r w:rsidRPr="0031675F">
        <w:rPr>
          <w:spacing w:val="-4"/>
        </w:rPr>
        <w:t xml:space="preserve"> </w:t>
      </w:r>
      <w:r w:rsidRPr="0031675F">
        <w:rPr>
          <w:spacing w:val="-1"/>
        </w:rPr>
        <w:t>curve</w:t>
      </w:r>
      <w:r w:rsidRPr="0031675F">
        <w:rPr>
          <w:spacing w:val="-2"/>
        </w:rPr>
        <w:t xml:space="preserve"> </w:t>
      </w:r>
      <w:r w:rsidRPr="0031675F">
        <w:t>or</w:t>
      </w:r>
      <w:r w:rsidRPr="0031675F">
        <w:rPr>
          <w:spacing w:val="-2"/>
        </w:rPr>
        <w:t xml:space="preserve"> </w:t>
      </w:r>
      <w:r w:rsidRPr="0031675F">
        <w:rPr>
          <w:spacing w:val="-1"/>
        </w:rPr>
        <w:t>method)</w:t>
      </w:r>
    </w:p>
    <w:p w14:paraId="163EE9B8" w14:textId="77777777" w:rsidR="0031675F" w:rsidRPr="0031675F" w:rsidRDefault="0031675F" w:rsidP="0031675F">
      <w:pPr>
        <w:widowControl w:val="0"/>
        <w:numPr>
          <w:ilvl w:val="0"/>
          <w:numId w:val="89"/>
        </w:numPr>
        <w:tabs>
          <w:tab w:val="left" w:pos="479"/>
        </w:tabs>
        <w:spacing w:before="0" w:after="0" w:line="240" w:lineRule="auto"/>
      </w:pPr>
      <w:r w:rsidRPr="0031675F">
        <w:t>In</w:t>
      </w:r>
      <w:r w:rsidRPr="0031675F">
        <w:rPr>
          <w:spacing w:val="-1"/>
        </w:rPr>
        <w:t xml:space="preserve"> </w:t>
      </w:r>
      <w:r w:rsidRPr="0031675F">
        <w:t>`General</w:t>
      </w:r>
      <w:r w:rsidRPr="0031675F">
        <w:rPr>
          <w:spacing w:val="-1"/>
        </w:rPr>
        <w:t xml:space="preserve"> Info' box</w:t>
      </w:r>
      <w:r w:rsidRPr="0031675F">
        <w:t xml:space="preserve"> </w:t>
      </w:r>
      <w:r w:rsidRPr="0031675F">
        <w:rPr>
          <w:spacing w:val="-1"/>
        </w:rPr>
        <w:t>change</w:t>
      </w:r>
      <w:r w:rsidRPr="0031675F">
        <w:t xml:space="preserve"> </w:t>
      </w:r>
      <w:r w:rsidRPr="0031675F">
        <w:rPr>
          <w:spacing w:val="-1"/>
        </w:rPr>
        <w:t>`system'</w:t>
      </w:r>
      <w:r w:rsidRPr="0031675F">
        <w:rPr>
          <w:spacing w:val="-3"/>
        </w:rPr>
        <w:t xml:space="preserve"> </w:t>
      </w:r>
      <w:r w:rsidRPr="0031675F">
        <w:t>to</w:t>
      </w:r>
      <w:r w:rsidRPr="0031675F">
        <w:rPr>
          <w:spacing w:val="-1"/>
        </w:rPr>
        <w:t xml:space="preserve"> `TC/TN</w:t>
      </w:r>
      <w:r w:rsidRPr="0031675F">
        <w:t xml:space="preserve"> </w:t>
      </w:r>
      <w:r w:rsidRPr="0031675F">
        <w:rPr>
          <w:spacing w:val="-1"/>
        </w:rPr>
        <w:t>Solid'</w:t>
      </w:r>
      <w:r w:rsidRPr="0031675F">
        <w:rPr>
          <w:spacing w:val="-3"/>
        </w:rPr>
        <w:t xml:space="preserve"> </w:t>
      </w:r>
      <w:r w:rsidRPr="0031675F">
        <w:rPr>
          <w:spacing w:val="-1"/>
        </w:rPr>
        <w:t>using drop down</w:t>
      </w:r>
      <w:r w:rsidRPr="0031675F">
        <w:t xml:space="preserve"> </w:t>
      </w:r>
      <w:r w:rsidRPr="0031675F">
        <w:rPr>
          <w:spacing w:val="-1"/>
        </w:rPr>
        <w:t>box,</w:t>
      </w:r>
      <w:r w:rsidRPr="0031675F">
        <w:t xml:space="preserve"> </w:t>
      </w:r>
      <w:r w:rsidRPr="0031675F">
        <w:rPr>
          <w:spacing w:val="-1"/>
        </w:rPr>
        <w:t>press</w:t>
      </w:r>
      <w:r w:rsidRPr="0031675F">
        <w:rPr>
          <w:spacing w:val="-2"/>
        </w:rPr>
        <w:t xml:space="preserve"> </w:t>
      </w:r>
      <w:r w:rsidRPr="0031675F">
        <w:rPr>
          <w:spacing w:val="-1"/>
        </w:rPr>
        <w:t>`ok'</w:t>
      </w:r>
    </w:p>
    <w:p w14:paraId="0698EF38" w14:textId="77777777" w:rsidR="0031675F" w:rsidRPr="0031675F" w:rsidRDefault="0031675F" w:rsidP="0031675F">
      <w:pPr>
        <w:widowControl w:val="0"/>
        <w:numPr>
          <w:ilvl w:val="0"/>
          <w:numId w:val="89"/>
        </w:numPr>
        <w:tabs>
          <w:tab w:val="left" w:pos="479"/>
        </w:tabs>
        <w:spacing w:before="0" w:after="0" w:line="240" w:lineRule="auto"/>
      </w:pPr>
      <w:r w:rsidRPr="0031675F">
        <w:t>`Save</w:t>
      </w:r>
      <w:r w:rsidRPr="0031675F">
        <w:rPr>
          <w:spacing w:val="-2"/>
        </w:rPr>
        <w:t xml:space="preserve"> </w:t>
      </w:r>
      <w:r w:rsidRPr="0031675F">
        <w:t>As'</w:t>
      </w:r>
      <w:r w:rsidRPr="0031675F">
        <w:rPr>
          <w:spacing w:val="-1"/>
        </w:rPr>
        <w:t xml:space="preserve"> box</w:t>
      </w:r>
      <w:r w:rsidRPr="0031675F">
        <w:rPr>
          <w:spacing w:val="-2"/>
        </w:rPr>
        <w:t xml:space="preserve"> </w:t>
      </w:r>
      <w:r w:rsidRPr="0031675F">
        <w:t xml:space="preserve">is </w:t>
      </w:r>
      <w:r w:rsidRPr="0031675F">
        <w:rPr>
          <w:spacing w:val="-1"/>
        </w:rPr>
        <w:t>displayed</w:t>
      </w:r>
      <w:r w:rsidRPr="0031675F">
        <w:rPr>
          <w:spacing w:val="-3"/>
        </w:rPr>
        <w:t xml:space="preserve"> </w:t>
      </w:r>
      <w:r w:rsidRPr="0031675F">
        <w:t xml:space="preserve">with a </w:t>
      </w:r>
      <w:r w:rsidRPr="0031675F">
        <w:rPr>
          <w:spacing w:val="-2"/>
        </w:rPr>
        <w:t>file</w:t>
      </w:r>
      <w:r w:rsidRPr="0031675F">
        <w:t xml:space="preserve"> </w:t>
      </w:r>
      <w:r w:rsidRPr="0031675F">
        <w:rPr>
          <w:spacing w:val="-1"/>
        </w:rPr>
        <w:t>name</w:t>
      </w:r>
      <w:r w:rsidRPr="0031675F">
        <w:t xml:space="preserve"> </w:t>
      </w:r>
      <w:r w:rsidRPr="0031675F">
        <w:rPr>
          <w:spacing w:val="-1"/>
        </w:rPr>
        <w:t>using current time</w:t>
      </w:r>
      <w:r w:rsidRPr="0031675F">
        <w:rPr>
          <w:spacing w:val="-2"/>
        </w:rPr>
        <w:t xml:space="preserve"> </w:t>
      </w:r>
      <w:r w:rsidRPr="0031675F">
        <w:rPr>
          <w:spacing w:val="-1"/>
        </w:rPr>
        <w:t>and date.</w:t>
      </w:r>
      <w:r w:rsidRPr="0031675F">
        <w:t xml:space="preserve"> </w:t>
      </w:r>
      <w:r w:rsidRPr="0031675F">
        <w:rPr>
          <w:spacing w:val="-1"/>
        </w:rPr>
        <w:t>Click</w:t>
      </w:r>
      <w:r w:rsidRPr="0031675F">
        <w:rPr>
          <w:spacing w:val="1"/>
        </w:rPr>
        <w:t xml:space="preserve"> </w:t>
      </w:r>
      <w:r w:rsidRPr="0031675F">
        <w:rPr>
          <w:spacing w:val="-1"/>
        </w:rPr>
        <w:t>`Save'</w:t>
      </w:r>
    </w:p>
    <w:p w14:paraId="341DF3BD" w14:textId="77777777" w:rsidR="0031675F" w:rsidRPr="0031675F" w:rsidRDefault="0031675F" w:rsidP="0031675F">
      <w:pPr>
        <w:widowControl w:val="0"/>
        <w:numPr>
          <w:ilvl w:val="0"/>
          <w:numId w:val="89"/>
        </w:numPr>
        <w:tabs>
          <w:tab w:val="left" w:pos="479"/>
        </w:tabs>
        <w:spacing w:before="0" w:after="0" w:line="240" w:lineRule="auto"/>
      </w:pPr>
      <w:r w:rsidRPr="0031675F">
        <w:rPr>
          <w:spacing w:val="-1"/>
        </w:rPr>
        <w:t>The</w:t>
      </w:r>
      <w:r w:rsidRPr="0031675F">
        <w:t xml:space="preserve"> </w:t>
      </w:r>
      <w:r w:rsidRPr="0031675F">
        <w:rPr>
          <w:spacing w:val="-1"/>
        </w:rPr>
        <w:t>sample</w:t>
      </w:r>
      <w:r w:rsidRPr="0031675F">
        <w:rPr>
          <w:spacing w:val="-2"/>
        </w:rPr>
        <w:t xml:space="preserve"> </w:t>
      </w:r>
      <w:r w:rsidRPr="0031675F">
        <w:rPr>
          <w:spacing w:val="-1"/>
        </w:rPr>
        <w:t>table</w:t>
      </w:r>
      <w:r w:rsidRPr="0031675F">
        <w:rPr>
          <w:spacing w:val="-2"/>
        </w:rPr>
        <w:t xml:space="preserve"> </w:t>
      </w:r>
      <w:r w:rsidRPr="0031675F">
        <w:t xml:space="preserve">will </w:t>
      </w:r>
      <w:r w:rsidRPr="0031675F">
        <w:rPr>
          <w:spacing w:val="-1"/>
        </w:rPr>
        <w:t>now</w:t>
      </w:r>
      <w:r w:rsidRPr="0031675F">
        <w:rPr>
          <w:spacing w:val="-2"/>
        </w:rPr>
        <w:t xml:space="preserve"> </w:t>
      </w:r>
      <w:r w:rsidRPr="0031675F">
        <w:rPr>
          <w:spacing w:val="-1"/>
        </w:rPr>
        <w:t>be</w:t>
      </w:r>
      <w:r w:rsidRPr="0031675F">
        <w:t xml:space="preserve"> on</w:t>
      </w:r>
      <w:r w:rsidRPr="0031675F">
        <w:rPr>
          <w:spacing w:val="-3"/>
        </w:rPr>
        <w:t xml:space="preserve"> </w:t>
      </w:r>
      <w:r w:rsidRPr="0031675F">
        <w:t xml:space="preserve">the </w:t>
      </w:r>
      <w:r w:rsidRPr="0031675F">
        <w:rPr>
          <w:spacing w:val="-1"/>
        </w:rPr>
        <w:t>screen.</w:t>
      </w:r>
      <w:r w:rsidRPr="0031675F">
        <w:rPr>
          <w:spacing w:val="-3"/>
        </w:rPr>
        <w:t xml:space="preserve"> </w:t>
      </w:r>
      <w:r w:rsidRPr="0031675F">
        <w:rPr>
          <w:spacing w:val="-1"/>
        </w:rPr>
        <w:t>Press</w:t>
      </w:r>
      <w:r w:rsidRPr="0031675F">
        <w:t xml:space="preserve"> </w:t>
      </w:r>
      <w:r w:rsidRPr="0031675F">
        <w:rPr>
          <w:spacing w:val="-1"/>
        </w:rPr>
        <w:t>`Insert' then</w:t>
      </w:r>
      <w:r w:rsidRPr="0031675F">
        <w:rPr>
          <w:spacing w:val="-3"/>
        </w:rPr>
        <w:t xml:space="preserve"> </w:t>
      </w:r>
      <w:r w:rsidRPr="0031675F">
        <w:rPr>
          <w:spacing w:val="-1"/>
        </w:rPr>
        <w:t>`Auto generate'</w:t>
      </w:r>
    </w:p>
    <w:p w14:paraId="7C1C5C91" w14:textId="77777777" w:rsidR="0031675F" w:rsidRPr="0031675F" w:rsidRDefault="0031675F" w:rsidP="0031675F">
      <w:pPr>
        <w:widowControl w:val="0"/>
        <w:numPr>
          <w:ilvl w:val="0"/>
          <w:numId w:val="89"/>
        </w:numPr>
        <w:tabs>
          <w:tab w:val="left" w:pos="479"/>
        </w:tabs>
        <w:spacing w:before="0" w:after="0" w:line="240" w:lineRule="auto"/>
      </w:pPr>
      <w:r w:rsidRPr="0031675F">
        <w:t>In</w:t>
      </w:r>
      <w:r w:rsidRPr="0031675F">
        <w:rPr>
          <w:spacing w:val="34"/>
        </w:rPr>
        <w:t xml:space="preserve"> </w:t>
      </w:r>
      <w:r w:rsidRPr="0031675F">
        <w:rPr>
          <w:spacing w:val="-1"/>
        </w:rPr>
        <w:t>`Sample</w:t>
      </w:r>
      <w:r w:rsidRPr="0031675F">
        <w:rPr>
          <w:spacing w:val="36"/>
        </w:rPr>
        <w:t xml:space="preserve"> </w:t>
      </w:r>
      <w:r w:rsidRPr="0031675F">
        <w:rPr>
          <w:spacing w:val="-1"/>
        </w:rPr>
        <w:t>Group</w:t>
      </w:r>
      <w:r w:rsidRPr="0031675F">
        <w:rPr>
          <w:spacing w:val="35"/>
        </w:rPr>
        <w:t xml:space="preserve"> </w:t>
      </w:r>
      <w:r w:rsidRPr="0031675F">
        <w:rPr>
          <w:spacing w:val="-1"/>
        </w:rPr>
        <w:t>Wizard</w:t>
      </w:r>
      <w:r w:rsidRPr="0031675F">
        <w:rPr>
          <w:spacing w:val="34"/>
        </w:rPr>
        <w:t xml:space="preserve"> </w:t>
      </w:r>
      <w:r w:rsidRPr="0031675F">
        <w:rPr>
          <w:spacing w:val="-1"/>
        </w:rPr>
        <w:t>Sample</w:t>
      </w:r>
      <w:r w:rsidRPr="0031675F">
        <w:rPr>
          <w:spacing w:val="36"/>
        </w:rPr>
        <w:t xml:space="preserve"> </w:t>
      </w:r>
      <w:r w:rsidRPr="0031675F">
        <w:rPr>
          <w:spacing w:val="-1"/>
        </w:rPr>
        <w:t>Source'</w:t>
      </w:r>
      <w:r w:rsidRPr="0031675F">
        <w:rPr>
          <w:spacing w:val="36"/>
        </w:rPr>
        <w:t xml:space="preserve"> </w:t>
      </w:r>
      <w:r w:rsidRPr="0031675F">
        <w:t>Box</w:t>
      </w:r>
      <w:r w:rsidRPr="0031675F">
        <w:rPr>
          <w:spacing w:val="37"/>
        </w:rPr>
        <w:t xml:space="preserve"> </w:t>
      </w:r>
      <w:r w:rsidRPr="0031675F">
        <w:rPr>
          <w:spacing w:val="-1"/>
        </w:rPr>
        <w:t>under</w:t>
      </w:r>
      <w:r w:rsidRPr="0031675F">
        <w:rPr>
          <w:spacing w:val="33"/>
        </w:rPr>
        <w:t xml:space="preserve"> </w:t>
      </w:r>
      <w:r w:rsidRPr="0031675F">
        <w:rPr>
          <w:spacing w:val="-1"/>
        </w:rPr>
        <w:t>`Method'</w:t>
      </w:r>
      <w:r w:rsidRPr="0031675F">
        <w:rPr>
          <w:spacing w:val="35"/>
        </w:rPr>
        <w:t xml:space="preserve"> </w:t>
      </w:r>
      <w:r w:rsidRPr="0031675F">
        <w:rPr>
          <w:spacing w:val="-1"/>
        </w:rPr>
        <w:t>use</w:t>
      </w:r>
      <w:r w:rsidRPr="0031675F">
        <w:rPr>
          <w:spacing w:val="37"/>
        </w:rPr>
        <w:t xml:space="preserve"> </w:t>
      </w:r>
      <w:r w:rsidRPr="0031675F">
        <w:rPr>
          <w:spacing w:val="-1"/>
        </w:rPr>
        <w:t>drop</w:t>
      </w:r>
      <w:r w:rsidRPr="0031675F">
        <w:rPr>
          <w:spacing w:val="34"/>
        </w:rPr>
        <w:t xml:space="preserve"> </w:t>
      </w:r>
      <w:r w:rsidRPr="0031675F">
        <w:t>down</w:t>
      </w:r>
      <w:r w:rsidRPr="0031675F">
        <w:rPr>
          <w:spacing w:val="33"/>
        </w:rPr>
        <w:t xml:space="preserve"> </w:t>
      </w:r>
      <w:r w:rsidRPr="0031675F">
        <w:t>box</w:t>
      </w:r>
      <w:r w:rsidRPr="0031675F">
        <w:rPr>
          <w:spacing w:val="37"/>
        </w:rPr>
        <w:t xml:space="preserve"> </w:t>
      </w:r>
      <w:r w:rsidRPr="0031675F">
        <w:t>to</w:t>
      </w:r>
      <w:r w:rsidRPr="0031675F">
        <w:rPr>
          <w:spacing w:val="38"/>
        </w:rPr>
        <w:t xml:space="preserve"> </w:t>
      </w:r>
      <w:r w:rsidRPr="0031675F">
        <w:rPr>
          <w:spacing w:val="-1"/>
        </w:rPr>
        <w:t>choose</w:t>
      </w:r>
    </w:p>
    <w:p w14:paraId="67182EBE" w14:textId="77777777" w:rsidR="0031675F" w:rsidRPr="0031675F" w:rsidRDefault="0031675F" w:rsidP="0031675F">
      <w:pPr>
        <w:spacing w:after="120" w:line="267" w:lineRule="exact"/>
        <w:ind w:left="478"/>
      </w:pPr>
      <w:r w:rsidRPr="0031675F">
        <w:rPr>
          <w:spacing w:val="-1"/>
        </w:rPr>
        <w:t xml:space="preserve">`TCNSSMonly.met' </w:t>
      </w:r>
      <w:r w:rsidRPr="0031675F">
        <w:t>and</w:t>
      </w:r>
      <w:r w:rsidRPr="0031675F">
        <w:rPr>
          <w:spacing w:val="-2"/>
        </w:rPr>
        <w:t xml:space="preserve"> press</w:t>
      </w:r>
      <w:r w:rsidRPr="0031675F">
        <w:t xml:space="preserve"> </w:t>
      </w:r>
      <w:r w:rsidRPr="0031675F">
        <w:rPr>
          <w:spacing w:val="-1"/>
        </w:rPr>
        <w:t>`open'</w:t>
      </w:r>
      <w:r w:rsidRPr="0031675F">
        <w:rPr>
          <w:spacing w:val="-2"/>
        </w:rPr>
        <w:t xml:space="preserve"> </w:t>
      </w:r>
      <w:r w:rsidRPr="0031675F">
        <w:rPr>
          <w:spacing w:val="-1"/>
        </w:rPr>
        <w:t>then</w:t>
      </w:r>
      <w:r w:rsidRPr="0031675F">
        <w:t xml:space="preserve"> </w:t>
      </w:r>
      <w:r w:rsidRPr="0031675F">
        <w:rPr>
          <w:spacing w:val="-1"/>
        </w:rPr>
        <w:t>press</w:t>
      </w:r>
      <w:r w:rsidRPr="0031675F">
        <w:t xml:space="preserve"> </w:t>
      </w:r>
      <w:r w:rsidRPr="0031675F">
        <w:rPr>
          <w:spacing w:val="-1"/>
        </w:rPr>
        <w:t>`Next.'</w:t>
      </w:r>
    </w:p>
    <w:p w14:paraId="25C629D5" w14:textId="77777777" w:rsidR="0031675F" w:rsidRPr="0031675F" w:rsidRDefault="0031675F" w:rsidP="0031675F">
      <w:pPr>
        <w:widowControl w:val="0"/>
        <w:numPr>
          <w:ilvl w:val="0"/>
          <w:numId w:val="89"/>
        </w:numPr>
        <w:tabs>
          <w:tab w:val="left" w:pos="479"/>
        </w:tabs>
        <w:spacing w:before="0" w:after="0" w:line="240" w:lineRule="auto"/>
        <w:ind w:right="120"/>
      </w:pPr>
      <w:r w:rsidRPr="0031675F">
        <w:rPr>
          <w:spacing w:val="-1"/>
        </w:rPr>
        <w:t>Enter</w:t>
      </w:r>
      <w:r w:rsidRPr="0031675F">
        <w:rPr>
          <w:spacing w:val="1"/>
        </w:rPr>
        <w:t xml:space="preserve"> </w:t>
      </w:r>
      <w:r w:rsidRPr="0031675F">
        <w:t xml:space="preserve">the </w:t>
      </w:r>
      <w:r w:rsidRPr="0031675F">
        <w:rPr>
          <w:spacing w:val="-1"/>
        </w:rPr>
        <w:t>number</w:t>
      </w:r>
      <w:r w:rsidRPr="0031675F">
        <w:rPr>
          <w:spacing w:val="-2"/>
        </w:rPr>
        <w:t xml:space="preserve"> </w:t>
      </w:r>
      <w:r w:rsidRPr="0031675F">
        <w:t xml:space="preserve">of </w:t>
      </w:r>
      <w:r w:rsidRPr="0031675F">
        <w:rPr>
          <w:spacing w:val="-1"/>
        </w:rPr>
        <w:t>samples</w:t>
      </w:r>
      <w:r w:rsidRPr="0031675F">
        <w:t xml:space="preserve"> to</w:t>
      </w:r>
      <w:r w:rsidRPr="0031675F">
        <w:rPr>
          <w:spacing w:val="1"/>
        </w:rPr>
        <w:t xml:space="preserve"> </w:t>
      </w:r>
      <w:r w:rsidRPr="0031675F">
        <w:rPr>
          <w:spacing w:val="-1"/>
        </w:rPr>
        <w:t>be</w:t>
      </w:r>
      <w:r w:rsidRPr="0031675F">
        <w:t xml:space="preserve"> </w:t>
      </w:r>
      <w:r w:rsidRPr="0031675F">
        <w:rPr>
          <w:spacing w:val="-1"/>
        </w:rPr>
        <w:t>analysed</w:t>
      </w:r>
      <w:r w:rsidRPr="0031675F">
        <w:t xml:space="preserve"> </w:t>
      </w:r>
      <w:r w:rsidRPr="0031675F">
        <w:rPr>
          <w:spacing w:val="-1"/>
        </w:rPr>
        <w:t>during the</w:t>
      </w:r>
      <w:r w:rsidRPr="0031675F">
        <w:t xml:space="preserve"> </w:t>
      </w:r>
      <w:r w:rsidRPr="0031675F">
        <w:rPr>
          <w:spacing w:val="-1"/>
        </w:rPr>
        <w:t>day</w:t>
      </w:r>
      <w:r w:rsidRPr="0031675F">
        <w:rPr>
          <w:spacing w:val="1"/>
        </w:rPr>
        <w:t xml:space="preserve"> </w:t>
      </w:r>
      <w:r w:rsidRPr="0031675F">
        <w:rPr>
          <w:spacing w:val="-1"/>
        </w:rPr>
        <w:t>and press</w:t>
      </w:r>
      <w:r w:rsidRPr="0031675F">
        <w:t xml:space="preserve"> </w:t>
      </w:r>
      <w:r w:rsidRPr="0031675F">
        <w:rPr>
          <w:spacing w:val="-1"/>
        </w:rPr>
        <w:t>`next'</w:t>
      </w:r>
      <w:r w:rsidRPr="0031675F">
        <w:t xml:space="preserve"> </w:t>
      </w:r>
      <w:r w:rsidRPr="0031675F">
        <w:rPr>
          <w:spacing w:val="-1"/>
        </w:rPr>
        <w:t>until</w:t>
      </w:r>
      <w:r w:rsidRPr="0031675F">
        <w:t xml:space="preserve"> </w:t>
      </w:r>
      <w:r w:rsidRPr="0031675F">
        <w:rPr>
          <w:spacing w:val="-1"/>
        </w:rPr>
        <w:t>`finish' pops</w:t>
      </w:r>
      <w:r w:rsidRPr="0031675F">
        <w:t xml:space="preserve"> </w:t>
      </w:r>
      <w:r w:rsidRPr="0031675F">
        <w:rPr>
          <w:spacing w:val="-1"/>
        </w:rPr>
        <w:t>up.</w:t>
      </w:r>
      <w:r w:rsidRPr="0031675F">
        <w:rPr>
          <w:spacing w:val="65"/>
        </w:rPr>
        <w:t xml:space="preserve"> </w:t>
      </w:r>
      <w:r w:rsidRPr="0031675F">
        <w:t>Press</w:t>
      </w:r>
      <w:r w:rsidRPr="0031675F">
        <w:rPr>
          <w:spacing w:val="-2"/>
        </w:rPr>
        <w:t xml:space="preserve"> </w:t>
      </w:r>
      <w:r w:rsidRPr="0031675F">
        <w:rPr>
          <w:spacing w:val="-1"/>
        </w:rPr>
        <w:t>`finish'.</w:t>
      </w:r>
      <w:r w:rsidRPr="0031675F">
        <w:t xml:space="preserve"> </w:t>
      </w:r>
      <w:r w:rsidRPr="0031675F">
        <w:rPr>
          <w:spacing w:val="-1"/>
        </w:rPr>
        <w:t>This</w:t>
      </w:r>
      <w:r w:rsidRPr="0031675F">
        <w:rPr>
          <w:spacing w:val="-2"/>
        </w:rPr>
        <w:t xml:space="preserve"> </w:t>
      </w:r>
      <w:r w:rsidRPr="0031675F">
        <w:t xml:space="preserve">will </w:t>
      </w:r>
      <w:r w:rsidRPr="0031675F">
        <w:rPr>
          <w:spacing w:val="-1"/>
        </w:rPr>
        <w:t>insert</w:t>
      </w:r>
      <w:r w:rsidRPr="0031675F">
        <w:t xml:space="preserve"> </w:t>
      </w:r>
      <w:r w:rsidRPr="0031675F">
        <w:rPr>
          <w:spacing w:val="-1"/>
        </w:rPr>
        <w:t>`defined'</w:t>
      </w:r>
      <w:r w:rsidRPr="0031675F">
        <w:rPr>
          <w:spacing w:val="-2"/>
        </w:rPr>
        <w:t xml:space="preserve"> </w:t>
      </w:r>
      <w:r w:rsidRPr="0031675F">
        <w:rPr>
          <w:spacing w:val="-1"/>
        </w:rPr>
        <w:t>samples</w:t>
      </w:r>
      <w:r w:rsidRPr="0031675F">
        <w:t xml:space="preserve"> </w:t>
      </w:r>
      <w:r w:rsidRPr="0031675F">
        <w:rPr>
          <w:spacing w:val="-1"/>
        </w:rPr>
        <w:t>into</w:t>
      </w:r>
      <w:r w:rsidRPr="0031675F">
        <w:rPr>
          <w:spacing w:val="1"/>
        </w:rPr>
        <w:t xml:space="preserve"> </w:t>
      </w:r>
      <w:r w:rsidRPr="0031675F">
        <w:rPr>
          <w:spacing w:val="-1"/>
        </w:rPr>
        <w:t>table.</w:t>
      </w:r>
    </w:p>
    <w:p w14:paraId="3E3F9F0E" w14:textId="77777777" w:rsidR="0031675F" w:rsidRPr="0031675F" w:rsidRDefault="0031675F" w:rsidP="0031675F">
      <w:pPr>
        <w:widowControl w:val="0"/>
        <w:numPr>
          <w:ilvl w:val="0"/>
          <w:numId w:val="89"/>
        </w:numPr>
        <w:tabs>
          <w:tab w:val="left" w:pos="479"/>
        </w:tabs>
        <w:spacing w:before="0" w:after="0" w:line="240" w:lineRule="auto"/>
      </w:pPr>
      <w:r w:rsidRPr="0031675F">
        <w:rPr>
          <w:spacing w:val="-1"/>
        </w:rPr>
        <w:t>Connect</w:t>
      </w:r>
      <w:r w:rsidRPr="0031675F">
        <w:rPr>
          <w:spacing w:val="-2"/>
        </w:rPr>
        <w:t xml:space="preserve"> </w:t>
      </w:r>
      <w:r w:rsidRPr="0031675F">
        <w:rPr>
          <w:spacing w:val="-1"/>
        </w:rPr>
        <w:t xml:space="preserve">instrument </w:t>
      </w:r>
      <w:r w:rsidRPr="0031675F">
        <w:rPr>
          <w:spacing w:val="-2"/>
        </w:rPr>
        <w:t>by</w:t>
      </w:r>
      <w:r w:rsidRPr="0031675F">
        <w:t xml:space="preserve"> </w:t>
      </w:r>
      <w:r w:rsidRPr="0031675F">
        <w:rPr>
          <w:spacing w:val="-2"/>
        </w:rPr>
        <w:t>pressing</w:t>
      </w:r>
      <w:r w:rsidRPr="0031675F">
        <w:rPr>
          <w:spacing w:val="-1"/>
        </w:rPr>
        <w:t xml:space="preserve"> the</w:t>
      </w:r>
      <w:r w:rsidRPr="0031675F">
        <w:t xml:space="preserve"> </w:t>
      </w:r>
      <w:r w:rsidRPr="0031675F">
        <w:rPr>
          <w:spacing w:val="-1"/>
        </w:rPr>
        <w:t>crooked</w:t>
      </w:r>
      <w:r w:rsidRPr="0031675F">
        <w:rPr>
          <w:spacing w:val="-3"/>
        </w:rPr>
        <w:t xml:space="preserve"> </w:t>
      </w:r>
      <w:r w:rsidRPr="0031675F">
        <w:rPr>
          <w:spacing w:val="-1"/>
        </w:rPr>
        <w:t>yellow</w:t>
      </w:r>
      <w:r w:rsidRPr="0031675F">
        <w:rPr>
          <w:spacing w:val="-2"/>
        </w:rPr>
        <w:t xml:space="preserve"> </w:t>
      </w:r>
      <w:r w:rsidRPr="0031675F">
        <w:rPr>
          <w:spacing w:val="-1"/>
        </w:rPr>
        <w:t>arrow</w:t>
      </w:r>
      <w:r w:rsidRPr="0031675F">
        <w:rPr>
          <w:spacing w:val="1"/>
        </w:rPr>
        <w:t xml:space="preserve"> </w:t>
      </w:r>
      <w:r w:rsidRPr="0031675F">
        <w:rPr>
          <w:spacing w:val="-1"/>
        </w:rPr>
        <w:t>icon.</w:t>
      </w:r>
      <w:r w:rsidRPr="0031675F">
        <w:t xml:space="preserve"> </w:t>
      </w:r>
      <w:r w:rsidRPr="0031675F">
        <w:rPr>
          <w:spacing w:val="-1"/>
        </w:rPr>
        <w:t>Click</w:t>
      </w:r>
      <w:r w:rsidRPr="0031675F">
        <w:rPr>
          <w:spacing w:val="1"/>
        </w:rPr>
        <w:t xml:space="preserve"> </w:t>
      </w:r>
      <w:r w:rsidRPr="0031675F">
        <w:rPr>
          <w:spacing w:val="-1"/>
        </w:rPr>
        <w:t>`use</w:t>
      </w:r>
      <w:r w:rsidRPr="0031675F">
        <w:t xml:space="preserve"> </w:t>
      </w:r>
      <w:r w:rsidRPr="0031675F">
        <w:rPr>
          <w:spacing w:val="-1"/>
        </w:rPr>
        <w:t>settings</w:t>
      </w:r>
      <w:r w:rsidRPr="0031675F">
        <w:t xml:space="preserve"> on</w:t>
      </w:r>
      <w:r w:rsidRPr="0031675F">
        <w:rPr>
          <w:spacing w:val="-3"/>
        </w:rPr>
        <w:t xml:space="preserve"> </w:t>
      </w:r>
      <w:r w:rsidRPr="0031675F">
        <w:rPr>
          <w:spacing w:val="-1"/>
        </w:rPr>
        <w:t>PC'</w:t>
      </w:r>
    </w:p>
    <w:p w14:paraId="29C5AB49" w14:textId="77777777" w:rsidR="0031675F" w:rsidRPr="0031675F" w:rsidRDefault="0031675F" w:rsidP="0031675F">
      <w:pPr>
        <w:widowControl w:val="0"/>
        <w:numPr>
          <w:ilvl w:val="0"/>
          <w:numId w:val="89"/>
        </w:numPr>
        <w:tabs>
          <w:tab w:val="left" w:pos="479"/>
        </w:tabs>
        <w:spacing w:before="0" w:after="0" w:line="240" w:lineRule="auto"/>
        <w:ind w:right="120"/>
      </w:pPr>
      <w:r w:rsidRPr="0031675F">
        <w:t>Wait</w:t>
      </w:r>
      <w:r w:rsidRPr="0031675F">
        <w:rPr>
          <w:spacing w:val="35"/>
        </w:rPr>
        <w:t xml:space="preserve"> </w:t>
      </w:r>
      <w:r w:rsidRPr="0031675F">
        <w:rPr>
          <w:spacing w:val="-1"/>
        </w:rPr>
        <w:t>for</w:t>
      </w:r>
      <w:r w:rsidRPr="0031675F">
        <w:rPr>
          <w:spacing w:val="36"/>
        </w:rPr>
        <w:t xml:space="preserve"> </w:t>
      </w:r>
      <w:r w:rsidRPr="0031675F">
        <w:rPr>
          <w:spacing w:val="-1"/>
        </w:rPr>
        <w:t>instruments</w:t>
      </w:r>
      <w:r w:rsidRPr="0031675F">
        <w:rPr>
          <w:spacing w:val="36"/>
        </w:rPr>
        <w:t xml:space="preserve"> </w:t>
      </w:r>
      <w:r w:rsidRPr="0031675F">
        <w:rPr>
          <w:spacing w:val="-1"/>
        </w:rPr>
        <w:t>to</w:t>
      </w:r>
      <w:r w:rsidRPr="0031675F">
        <w:rPr>
          <w:spacing w:val="36"/>
        </w:rPr>
        <w:t xml:space="preserve"> </w:t>
      </w:r>
      <w:r w:rsidRPr="0031675F">
        <w:rPr>
          <w:spacing w:val="-1"/>
        </w:rPr>
        <w:t>come</w:t>
      </w:r>
      <w:r w:rsidRPr="0031675F">
        <w:rPr>
          <w:spacing w:val="37"/>
        </w:rPr>
        <w:t xml:space="preserve"> </w:t>
      </w:r>
      <w:r w:rsidRPr="0031675F">
        <w:rPr>
          <w:spacing w:val="-1"/>
        </w:rPr>
        <w:t>up</w:t>
      </w:r>
      <w:r w:rsidRPr="0031675F">
        <w:rPr>
          <w:spacing w:val="35"/>
        </w:rPr>
        <w:t xml:space="preserve"> </w:t>
      </w:r>
      <w:r w:rsidRPr="0031675F">
        <w:t>to</w:t>
      </w:r>
      <w:r w:rsidRPr="0031675F">
        <w:rPr>
          <w:spacing w:val="38"/>
        </w:rPr>
        <w:t xml:space="preserve"> </w:t>
      </w:r>
      <w:r w:rsidRPr="0031675F">
        <w:rPr>
          <w:spacing w:val="-1"/>
        </w:rPr>
        <w:t>temperature</w:t>
      </w:r>
      <w:r w:rsidRPr="0031675F">
        <w:rPr>
          <w:spacing w:val="35"/>
        </w:rPr>
        <w:t xml:space="preserve"> </w:t>
      </w:r>
      <w:r w:rsidRPr="0031675F">
        <w:rPr>
          <w:spacing w:val="-1"/>
        </w:rPr>
        <w:t>(`Instrument'</w:t>
      </w:r>
      <w:r w:rsidRPr="0031675F">
        <w:rPr>
          <w:spacing w:val="35"/>
        </w:rPr>
        <w:t xml:space="preserve"> </w:t>
      </w:r>
      <w:r w:rsidRPr="0031675F">
        <w:t>then</w:t>
      </w:r>
      <w:r w:rsidRPr="0031675F">
        <w:rPr>
          <w:spacing w:val="36"/>
        </w:rPr>
        <w:t xml:space="preserve"> </w:t>
      </w:r>
      <w:r w:rsidRPr="0031675F">
        <w:rPr>
          <w:spacing w:val="-1"/>
        </w:rPr>
        <w:t>`Background</w:t>
      </w:r>
      <w:r w:rsidRPr="0031675F">
        <w:rPr>
          <w:spacing w:val="34"/>
        </w:rPr>
        <w:t xml:space="preserve"> </w:t>
      </w:r>
      <w:r w:rsidRPr="0031675F">
        <w:t xml:space="preserve">Monitor'  </w:t>
      </w:r>
      <w:r w:rsidRPr="0031675F">
        <w:rPr>
          <w:spacing w:val="28"/>
        </w:rPr>
        <w:t xml:space="preserve"> </w:t>
      </w:r>
      <w:r w:rsidRPr="0031675F">
        <w:t>-</w:t>
      </w:r>
      <w:r w:rsidRPr="0031675F">
        <w:rPr>
          <w:spacing w:val="35"/>
        </w:rPr>
        <w:t xml:space="preserve"> </w:t>
      </w:r>
      <w:r w:rsidRPr="0031675F">
        <w:rPr>
          <w:spacing w:val="-1"/>
        </w:rPr>
        <w:t>monitor</w:t>
      </w:r>
      <w:r w:rsidRPr="0031675F">
        <w:rPr>
          <w:spacing w:val="-2"/>
        </w:rPr>
        <w:t xml:space="preserve"> </w:t>
      </w:r>
      <w:r w:rsidRPr="0031675F">
        <w:rPr>
          <w:spacing w:val="-1"/>
        </w:rPr>
        <w:t>should</w:t>
      </w:r>
      <w:r w:rsidRPr="0031675F">
        <w:rPr>
          <w:spacing w:val="-2"/>
        </w:rPr>
        <w:t xml:space="preserve"> </w:t>
      </w:r>
      <w:r w:rsidRPr="0031675F">
        <w:rPr>
          <w:spacing w:val="-1"/>
        </w:rPr>
        <w:t>have</w:t>
      </w:r>
      <w:r w:rsidRPr="0031675F">
        <w:t xml:space="preserve"> all</w:t>
      </w:r>
      <w:r w:rsidRPr="0031675F">
        <w:rPr>
          <w:spacing w:val="-3"/>
        </w:rPr>
        <w:t xml:space="preserve"> </w:t>
      </w:r>
      <w:r w:rsidRPr="0031675F">
        <w:rPr>
          <w:spacing w:val="-1"/>
        </w:rPr>
        <w:t>ticks</w:t>
      </w:r>
      <w:r w:rsidRPr="0031675F">
        <w:t xml:space="preserve"> in</w:t>
      </w:r>
      <w:r w:rsidRPr="0031675F">
        <w:rPr>
          <w:spacing w:val="-1"/>
        </w:rPr>
        <w:t xml:space="preserve"> the</w:t>
      </w:r>
      <w:r w:rsidRPr="0031675F">
        <w:rPr>
          <w:spacing w:val="-2"/>
        </w:rPr>
        <w:t xml:space="preserve"> </w:t>
      </w:r>
      <w:r w:rsidRPr="0031675F">
        <w:rPr>
          <w:spacing w:val="-1"/>
        </w:rPr>
        <w:t>boxes)</w:t>
      </w:r>
    </w:p>
    <w:p w14:paraId="1F48E923" w14:textId="77777777" w:rsidR="0031675F" w:rsidRPr="0031675F" w:rsidRDefault="0031675F" w:rsidP="0031675F">
      <w:pPr>
        <w:widowControl w:val="0"/>
        <w:numPr>
          <w:ilvl w:val="0"/>
          <w:numId w:val="89"/>
        </w:numPr>
        <w:tabs>
          <w:tab w:val="left" w:pos="479"/>
        </w:tabs>
        <w:spacing w:before="0" w:after="0" w:line="240" w:lineRule="auto"/>
      </w:pPr>
      <w:r w:rsidRPr="0031675F">
        <w:rPr>
          <w:spacing w:val="-1"/>
        </w:rPr>
        <w:t>To</w:t>
      </w:r>
      <w:r w:rsidRPr="0031675F">
        <w:rPr>
          <w:spacing w:val="1"/>
        </w:rPr>
        <w:t xml:space="preserve"> </w:t>
      </w:r>
      <w:r w:rsidRPr="0031675F">
        <w:rPr>
          <w:spacing w:val="-1"/>
        </w:rPr>
        <w:t>see</w:t>
      </w:r>
      <w:r w:rsidRPr="0031675F">
        <w:t xml:space="preserve"> </w:t>
      </w:r>
      <w:r w:rsidRPr="0031675F">
        <w:rPr>
          <w:spacing w:val="-1"/>
        </w:rPr>
        <w:t>Sample</w:t>
      </w:r>
      <w:r w:rsidRPr="0031675F">
        <w:rPr>
          <w:spacing w:val="-3"/>
        </w:rPr>
        <w:t xml:space="preserve"> </w:t>
      </w:r>
      <w:r w:rsidRPr="0031675F">
        <w:rPr>
          <w:spacing w:val="-1"/>
        </w:rPr>
        <w:t>Window,</w:t>
      </w:r>
      <w:r w:rsidRPr="0031675F">
        <w:rPr>
          <w:spacing w:val="1"/>
        </w:rPr>
        <w:t xml:space="preserve"> </w:t>
      </w:r>
      <w:r w:rsidRPr="0031675F">
        <w:rPr>
          <w:spacing w:val="-1"/>
        </w:rPr>
        <w:t>press</w:t>
      </w:r>
      <w:r w:rsidRPr="0031675F">
        <w:t xml:space="preserve"> </w:t>
      </w:r>
      <w:r w:rsidRPr="0031675F">
        <w:rPr>
          <w:spacing w:val="-1"/>
        </w:rPr>
        <w:t>`View' then</w:t>
      </w:r>
      <w:r w:rsidRPr="0031675F">
        <w:t xml:space="preserve"> </w:t>
      </w:r>
      <w:r w:rsidRPr="0031675F">
        <w:rPr>
          <w:spacing w:val="-1"/>
        </w:rPr>
        <w:t>select `Sample</w:t>
      </w:r>
      <w:r w:rsidRPr="0031675F">
        <w:t xml:space="preserve"> </w:t>
      </w:r>
      <w:r w:rsidRPr="0031675F">
        <w:rPr>
          <w:spacing w:val="-1"/>
        </w:rPr>
        <w:t>Window'</w:t>
      </w:r>
    </w:p>
    <w:p w14:paraId="4B24A07B" w14:textId="77777777" w:rsidR="0031675F" w:rsidRPr="0031675F" w:rsidRDefault="0031675F" w:rsidP="0031675F">
      <w:pPr>
        <w:widowControl w:val="0"/>
        <w:numPr>
          <w:ilvl w:val="0"/>
          <w:numId w:val="89"/>
        </w:numPr>
        <w:tabs>
          <w:tab w:val="left" w:pos="479"/>
        </w:tabs>
        <w:spacing w:before="0" w:after="0" w:line="240" w:lineRule="auto"/>
      </w:pPr>
      <w:r w:rsidRPr="0031675F">
        <w:t>Press</w:t>
      </w:r>
      <w:r w:rsidRPr="0031675F">
        <w:rPr>
          <w:spacing w:val="-2"/>
        </w:rPr>
        <w:t xml:space="preserve"> </w:t>
      </w:r>
      <w:r w:rsidRPr="0031675F">
        <w:rPr>
          <w:spacing w:val="-1"/>
        </w:rPr>
        <w:t>`Instrument'</w:t>
      </w:r>
      <w:r w:rsidRPr="0031675F">
        <w:rPr>
          <w:spacing w:val="46"/>
        </w:rPr>
        <w:t xml:space="preserve"> </w:t>
      </w:r>
      <w:r w:rsidRPr="0031675F">
        <w:rPr>
          <w:spacing w:val="-1"/>
        </w:rPr>
        <w:t>then</w:t>
      </w:r>
      <w:r w:rsidRPr="0031675F">
        <w:rPr>
          <w:spacing w:val="-3"/>
        </w:rPr>
        <w:t xml:space="preserve"> </w:t>
      </w:r>
      <w:r w:rsidRPr="0031675F">
        <w:rPr>
          <w:spacing w:val="-1"/>
        </w:rPr>
        <w:t>`Start'</w:t>
      </w:r>
    </w:p>
    <w:p w14:paraId="572D746F" w14:textId="77777777" w:rsidR="0031675F" w:rsidRPr="0031675F" w:rsidRDefault="0031675F" w:rsidP="0031675F">
      <w:pPr>
        <w:spacing w:before="2"/>
        <w:rPr>
          <w:rFonts w:cs="Calibri"/>
        </w:rPr>
      </w:pPr>
    </w:p>
    <w:p w14:paraId="05D8B9CB" w14:textId="77777777" w:rsidR="0031675F" w:rsidRPr="0031675F" w:rsidRDefault="0031675F" w:rsidP="0031675F">
      <w:pPr>
        <w:spacing w:line="239" w:lineRule="auto"/>
        <w:ind w:left="118" w:right="108"/>
        <w:jc w:val="both"/>
        <w:rPr>
          <w:rFonts w:cs="Calibri"/>
        </w:rPr>
      </w:pPr>
      <w:r w:rsidRPr="0031675F">
        <w:rPr>
          <w:rFonts w:cs="Calibri"/>
          <w:i/>
          <w:spacing w:val="-1"/>
        </w:rPr>
        <w:t>Note:</w:t>
      </w:r>
      <w:r w:rsidRPr="0031675F">
        <w:rPr>
          <w:rFonts w:cs="Calibri"/>
          <w:i/>
          <w:spacing w:val="15"/>
        </w:rPr>
        <w:t xml:space="preserve"> </w:t>
      </w:r>
      <w:r w:rsidRPr="0031675F">
        <w:rPr>
          <w:rFonts w:cs="Calibri"/>
          <w:i/>
          <w:spacing w:val="-1"/>
        </w:rPr>
        <w:t>Before</w:t>
      </w:r>
      <w:r w:rsidRPr="0031675F">
        <w:rPr>
          <w:rFonts w:cs="Calibri"/>
          <w:i/>
          <w:spacing w:val="15"/>
        </w:rPr>
        <w:t xml:space="preserve"> </w:t>
      </w:r>
      <w:r w:rsidRPr="0031675F">
        <w:rPr>
          <w:rFonts w:cs="Calibri"/>
          <w:i/>
        </w:rPr>
        <w:t>the</w:t>
      </w:r>
      <w:r w:rsidRPr="0031675F">
        <w:rPr>
          <w:rFonts w:cs="Calibri"/>
          <w:i/>
          <w:spacing w:val="14"/>
        </w:rPr>
        <w:t xml:space="preserve"> </w:t>
      </w:r>
      <w:r w:rsidRPr="0031675F">
        <w:rPr>
          <w:rFonts w:cs="Calibri"/>
          <w:i/>
          <w:spacing w:val="-1"/>
        </w:rPr>
        <w:t>first</w:t>
      </w:r>
      <w:r w:rsidRPr="0031675F">
        <w:rPr>
          <w:rFonts w:cs="Calibri"/>
          <w:i/>
          <w:spacing w:val="13"/>
        </w:rPr>
        <w:t xml:space="preserve"> </w:t>
      </w:r>
      <w:r w:rsidRPr="0031675F">
        <w:rPr>
          <w:rFonts w:cs="Calibri"/>
          <w:i/>
          <w:spacing w:val="-1"/>
        </w:rPr>
        <w:t>standard</w:t>
      </w:r>
      <w:r w:rsidRPr="0031675F">
        <w:rPr>
          <w:rFonts w:cs="Calibri"/>
          <w:i/>
          <w:spacing w:val="14"/>
        </w:rPr>
        <w:t xml:space="preserve"> </w:t>
      </w:r>
      <w:r w:rsidRPr="0031675F">
        <w:rPr>
          <w:rFonts w:cs="Calibri"/>
          <w:i/>
        </w:rPr>
        <w:t>sediment</w:t>
      </w:r>
      <w:r w:rsidRPr="0031675F">
        <w:rPr>
          <w:rFonts w:cs="Calibri"/>
          <w:i/>
          <w:spacing w:val="14"/>
        </w:rPr>
        <w:t xml:space="preserve"> </w:t>
      </w:r>
      <w:r w:rsidRPr="0031675F">
        <w:rPr>
          <w:rFonts w:cs="Calibri"/>
          <w:i/>
          <w:spacing w:val="-2"/>
        </w:rPr>
        <w:t>is</w:t>
      </w:r>
      <w:r w:rsidRPr="0031675F">
        <w:rPr>
          <w:rFonts w:cs="Calibri"/>
          <w:i/>
          <w:spacing w:val="15"/>
        </w:rPr>
        <w:t xml:space="preserve"> </w:t>
      </w:r>
      <w:r w:rsidRPr="0031675F">
        <w:rPr>
          <w:rFonts w:cs="Calibri"/>
          <w:i/>
          <w:spacing w:val="-1"/>
        </w:rPr>
        <w:t>entered</w:t>
      </w:r>
      <w:r w:rsidRPr="0031675F">
        <w:rPr>
          <w:rFonts w:cs="Calibri"/>
          <w:i/>
          <w:spacing w:val="14"/>
        </w:rPr>
        <w:t xml:space="preserve"> </w:t>
      </w:r>
      <w:r w:rsidRPr="0031675F">
        <w:rPr>
          <w:rFonts w:cs="Calibri"/>
          <w:i/>
          <w:spacing w:val="-1"/>
        </w:rPr>
        <w:t>into</w:t>
      </w:r>
      <w:r w:rsidRPr="0031675F">
        <w:rPr>
          <w:rFonts w:cs="Calibri"/>
          <w:i/>
          <w:spacing w:val="14"/>
        </w:rPr>
        <w:t xml:space="preserve"> </w:t>
      </w:r>
      <w:r w:rsidRPr="0031675F">
        <w:rPr>
          <w:rFonts w:cs="Calibri"/>
          <w:i/>
        </w:rPr>
        <w:t>the</w:t>
      </w:r>
      <w:r w:rsidRPr="0031675F">
        <w:rPr>
          <w:rFonts w:cs="Calibri"/>
          <w:i/>
          <w:spacing w:val="14"/>
        </w:rPr>
        <w:t xml:space="preserve"> </w:t>
      </w:r>
      <w:r w:rsidRPr="0031675F">
        <w:rPr>
          <w:rFonts w:cs="Calibri"/>
          <w:i/>
          <w:spacing w:val="-1"/>
        </w:rPr>
        <w:t>analyser</w:t>
      </w:r>
      <w:r w:rsidRPr="0031675F">
        <w:rPr>
          <w:rFonts w:cs="Calibri"/>
          <w:i/>
          <w:spacing w:val="16"/>
        </w:rPr>
        <w:t xml:space="preserve"> </w:t>
      </w:r>
      <w:r w:rsidRPr="0031675F">
        <w:rPr>
          <w:rFonts w:cs="Calibri"/>
          <w:i/>
          <w:spacing w:val="-1"/>
        </w:rPr>
        <w:t>for</w:t>
      </w:r>
      <w:r w:rsidRPr="0031675F">
        <w:rPr>
          <w:rFonts w:cs="Calibri"/>
          <w:i/>
          <w:spacing w:val="15"/>
        </w:rPr>
        <w:t xml:space="preserve"> </w:t>
      </w:r>
      <w:r w:rsidRPr="0031675F">
        <w:rPr>
          <w:rFonts w:cs="Calibri"/>
          <w:i/>
          <w:spacing w:val="-1"/>
        </w:rPr>
        <w:t>calibration,</w:t>
      </w:r>
      <w:r w:rsidRPr="0031675F">
        <w:rPr>
          <w:rFonts w:cs="Calibri"/>
          <w:i/>
          <w:spacing w:val="14"/>
        </w:rPr>
        <w:t xml:space="preserve"> </w:t>
      </w:r>
      <w:r w:rsidRPr="0031675F">
        <w:rPr>
          <w:rFonts w:cs="Calibri"/>
          <w:i/>
        </w:rPr>
        <w:t>enter</w:t>
      </w:r>
      <w:r w:rsidRPr="0031675F">
        <w:rPr>
          <w:rFonts w:cs="Calibri"/>
          <w:i/>
          <w:spacing w:val="15"/>
        </w:rPr>
        <w:t xml:space="preserve"> </w:t>
      </w:r>
      <w:r w:rsidRPr="0031675F">
        <w:rPr>
          <w:rFonts w:cs="Calibri"/>
          <w:i/>
          <w:spacing w:val="-1"/>
        </w:rPr>
        <w:t>an</w:t>
      </w:r>
      <w:r w:rsidRPr="0031675F">
        <w:rPr>
          <w:rFonts w:cs="Calibri"/>
          <w:i/>
          <w:spacing w:val="14"/>
        </w:rPr>
        <w:t xml:space="preserve"> </w:t>
      </w:r>
      <w:r w:rsidRPr="0031675F">
        <w:rPr>
          <w:rFonts w:cs="Calibri"/>
          <w:i/>
          <w:spacing w:val="-1"/>
        </w:rPr>
        <w:t>empty</w:t>
      </w:r>
      <w:r w:rsidRPr="0031675F">
        <w:rPr>
          <w:rFonts w:cs="Calibri"/>
          <w:i/>
          <w:spacing w:val="35"/>
        </w:rPr>
        <w:t xml:space="preserve"> </w:t>
      </w:r>
      <w:r w:rsidRPr="0031675F">
        <w:rPr>
          <w:rFonts w:cs="Calibri"/>
          <w:i/>
          <w:spacing w:val="-1"/>
        </w:rPr>
        <w:t>boat</w:t>
      </w:r>
      <w:r w:rsidRPr="0031675F">
        <w:rPr>
          <w:rFonts w:cs="Calibri"/>
          <w:i/>
          <w:spacing w:val="16"/>
        </w:rPr>
        <w:t xml:space="preserve"> </w:t>
      </w:r>
      <w:r w:rsidRPr="0031675F">
        <w:rPr>
          <w:rFonts w:cs="Calibri"/>
          <w:i/>
          <w:spacing w:val="-1"/>
        </w:rPr>
        <w:t>as</w:t>
      </w:r>
      <w:r w:rsidRPr="0031675F">
        <w:rPr>
          <w:rFonts w:cs="Calibri"/>
          <w:i/>
          <w:spacing w:val="16"/>
        </w:rPr>
        <w:t xml:space="preserve"> </w:t>
      </w:r>
      <w:r w:rsidRPr="0031675F">
        <w:rPr>
          <w:rFonts w:cs="Calibri"/>
          <w:i/>
        </w:rPr>
        <w:t>a</w:t>
      </w:r>
      <w:r w:rsidRPr="0031675F">
        <w:rPr>
          <w:rFonts w:cs="Calibri"/>
          <w:i/>
          <w:spacing w:val="14"/>
        </w:rPr>
        <w:t xml:space="preserve"> </w:t>
      </w:r>
      <w:r w:rsidRPr="0031675F">
        <w:rPr>
          <w:rFonts w:cs="Calibri"/>
          <w:i/>
          <w:spacing w:val="-1"/>
        </w:rPr>
        <w:t>blank</w:t>
      </w:r>
      <w:r w:rsidRPr="0031675F">
        <w:rPr>
          <w:rFonts w:cs="Calibri"/>
          <w:i/>
          <w:spacing w:val="13"/>
        </w:rPr>
        <w:t xml:space="preserve"> </w:t>
      </w:r>
      <w:r w:rsidRPr="0031675F">
        <w:rPr>
          <w:rFonts w:cs="Calibri"/>
          <w:i/>
          <w:spacing w:val="-1"/>
        </w:rPr>
        <w:t>sample</w:t>
      </w:r>
      <w:r w:rsidRPr="0031675F">
        <w:rPr>
          <w:rFonts w:cs="Calibri"/>
          <w:i/>
          <w:spacing w:val="10"/>
        </w:rPr>
        <w:t xml:space="preserve"> </w:t>
      </w:r>
      <w:r w:rsidRPr="0031675F">
        <w:rPr>
          <w:rFonts w:cs="Calibri"/>
          <w:i/>
        </w:rPr>
        <w:t>to</w:t>
      </w:r>
      <w:r w:rsidRPr="0031675F">
        <w:rPr>
          <w:rFonts w:cs="Calibri"/>
          <w:i/>
          <w:spacing w:val="15"/>
        </w:rPr>
        <w:t xml:space="preserve"> </w:t>
      </w:r>
      <w:r w:rsidRPr="0031675F">
        <w:rPr>
          <w:rFonts w:cs="Calibri"/>
          <w:i/>
          <w:spacing w:val="-1"/>
        </w:rPr>
        <w:t>allow</w:t>
      </w:r>
      <w:r w:rsidRPr="0031675F">
        <w:rPr>
          <w:rFonts w:cs="Calibri"/>
          <w:i/>
          <w:spacing w:val="15"/>
        </w:rPr>
        <w:t xml:space="preserve"> </w:t>
      </w:r>
      <w:r w:rsidRPr="0031675F">
        <w:rPr>
          <w:rFonts w:cs="Calibri"/>
          <w:i/>
          <w:spacing w:val="-2"/>
        </w:rPr>
        <w:t>for</w:t>
      </w:r>
      <w:r w:rsidRPr="0031675F">
        <w:rPr>
          <w:rFonts w:cs="Calibri"/>
          <w:i/>
          <w:spacing w:val="14"/>
        </w:rPr>
        <w:t xml:space="preserve"> </w:t>
      </w:r>
      <w:r w:rsidRPr="0031675F">
        <w:rPr>
          <w:rFonts w:cs="Calibri"/>
          <w:i/>
        </w:rPr>
        <w:t>the</w:t>
      </w:r>
      <w:r w:rsidRPr="0031675F">
        <w:rPr>
          <w:rFonts w:cs="Calibri"/>
          <w:i/>
          <w:spacing w:val="15"/>
        </w:rPr>
        <w:t xml:space="preserve"> </w:t>
      </w:r>
      <w:r w:rsidRPr="0031675F">
        <w:rPr>
          <w:rFonts w:cs="Calibri"/>
          <w:i/>
          <w:spacing w:val="-1"/>
        </w:rPr>
        <w:t>contribution</w:t>
      </w:r>
      <w:r w:rsidRPr="0031675F">
        <w:rPr>
          <w:rFonts w:cs="Calibri"/>
          <w:i/>
          <w:spacing w:val="14"/>
        </w:rPr>
        <w:t xml:space="preserve"> </w:t>
      </w:r>
      <w:r w:rsidRPr="0031675F">
        <w:rPr>
          <w:rFonts w:cs="Calibri"/>
          <w:i/>
          <w:spacing w:val="-1"/>
        </w:rPr>
        <w:t>of</w:t>
      </w:r>
      <w:r w:rsidRPr="0031675F">
        <w:rPr>
          <w:rFonts w:cs="Calibri"/>
          <w:i/>
          <w:spacing w:val="14"/>
        </w:rPr>
        <w:t xml:space="preserve"> </w:t>
      </w:r>
      <w:r w:rsidRPr="0031675F">
        <w:rPr>
          <w:rFonts w:cs="Calibri"/>
          <w:i/>
          <w:spacing w:val="-1"/>
        </w:rPr>
        <w:t>carbon</w:t>
      </w:r>
      <w:r w:rsidRPr="0031675F">
        <w:rPr>
          <w:rFonts w:cs="Calibri"/>
          <w:i/>
          <w:spacing w:val="14"/>
        </w:rPr>
        <w:t xml:space="preserve"> </w:t>
      </w:r>
      <w:r w:rsidRPr="0031675F">
        <w:rPr>
          <w:rFonts w:cs="Calibri"/>
          <w:i/>
          <w:spacing w:val="-1"/>
        </w:rPr>
        <w:t>and</w:t>
      </w:r>
      <w:r w:rsidRPr="0031675F">
        <w:rPr>
          <w:rFonts w:cs="Calibri"/>
          <w:i/>
          <w:spacing w:val="14"/>
        </w:rPr>
        <w:t xml:space="preserve"> </w:t>
      </w:r>
      <w:r w:rsidRPr="0031675F">
        <w:rPr>
          <w:rFonts w:cs="Calibri"/>
          <w:i/>
          <w:spacing w:val="-1"/>
        </w:rPr>
        <w:t>nitrogen</w:t>
      </w:r>
      <w:r w:rsidRPr="0031675F">
        <w:rPr>
          <w:rFonts w:cs="Calibri"/>
          <w:i/>
          <w:spacing w:val="14"/>
        </w:rPr>
        <w:t xml:space="preserve"> </w:t>
      </w:r>
      <w:r w:rsidRPr="0031675F">
        <w:rPr>
          <w:rFonts w:cs="Calibri"/>
          <w:i/>
        </w:rPr>
        <w:t>in</w:t>
      </w:r>
      <w:r w:rsidRPr="0031675F">
        <w:rPr>
          <w:rFonts w:cs="Calibri"/>
          <w:i/>
          <w:spacing w:val="14"/>
        </w:rPr>
        <w:t xml:space="preserve"> </w:t>
      </w:r>
      <w:r w:rsidRPr="0031675F">
        <w:rPr>
          <w:rFonts w:cs="Calibri"/>
          <w:i/>
        </w:rPr>
        <w:t>the</w:t>
      </w:r>
      <w:r w:rsidRPr="0031675F">
        <w:rPr>
          <w:rFonts w:cs="Calibri"/>
          <w:i/>
          <w:spacing w:val="13"/>
        </w:rPr>
        <w:t xml:space="preserve"> </w:t>
      </w:r>
      <w:r w:rsidRPr="0031675F">
        <w:rPr>
          <w:rFonts w:cs="Calibri"/>
          <w:i/>
          <w:spacing w:val="-1"/>
        </w:rPr>
        <w:t>air</w:t>
      </w:r>
      <w:r w:rsidRPr="0031675F">
        <w:rPr>
          <w:rFonts w:cs="Calibri"/>
          <w:i/>
          <w:spacing w:val="13"/>
        </w:rPr>
        <w:t xml:space="preserve"> </w:t>
      </w:r>
      <w:r w:rsidRPr="0031675F">
        <w:rPr>
          <w:rFonts w:cs="Calibri"/>
          <w:i/>
          <w:spacing w:val="-1"/>
        </w:rPr>
        <w:t>that</w:t>
      </w:r>
      <w:r w:rsidRPr="0031675F">
        <w:rPr>
          <w:rFonts w:cs="Calibri"/>
          <w:i/>
          <w:spacing w:val="41"/>
        </w:rPr>
        <w:t xml:space="preserve"> </w:t>
      </w:r>
      <w:r w:rsidRPr="0031675F">
        <w:rPr>
          <w:rFonts w:cs="Calibri"/>
          <w:i/>
          <w:spacing w:val="-1"/>
        </w:rPr>
        <w:t>accompanies</w:t>
      </w:r>
      <w:r w:rsidRPr="0031675F">
        <w:rPr>
          <w:rFonts w:cs="Calibri"/>
          <w:i/>
          <w:spacing w:val="5"/>
        </w:rPr>
        <w:t xml:space="preserve"> </w:t>
      </w:r>
      <w:r w:rsidRPr="0031675F">
        <w:rPr>
          <w:rFonts w:cs="Calibri"/>
          <w:i/>
        </w:rPr>
        <w:t>the</w:t>
      </w:r>
      <w:r w:rsidRPr="0031675F">
        <w:rPr>
          <w:rFonts w:cs="Calibri"/>
          <w:i/>
          <w:spacing w:val="2"/>
        </w:rPr>
        <w:t xml:space="preserve"> </w:t>
      </w:r>
      <w:r w:rsidRPr="0031675F">
        <w:rPr>
          <w:rFonts w:cs="Calibri"/>
          <w:i/>
          <w:spacing w:val="-1"/>
        </w:rPr>
        <w:t>sample</w:t>
      </w:r>
      <w:r w:rsidRPr="0031675F">
        <w:rPr>
          <w:rFonts w:cs="Calibri"/>
          <w:i/>
          <w:spacing w:val="5"/>
        </w:rPr>
        <w:t xml:space="preserve"> </w:t>
      </w:r>
      <w:r w:rsidRPr="0031675F">
        <w:rPr>
          <w:rFonts w:cs="Calibri"/>
          <w:i/>
          <w:spacing w:val="-1"/>
        </w:rPr>
        <w:t>into</w:t>
      </w:r>
      <w:r w:rsidRPr="0031675F">
        <w:rPr>
          <w:rFonts w:cs="Calibri"/>
          <w:i/>
          <w:spacing w:val="5"/>
        </w:rPr>
        <w:t xml:space="preserve"> </w:t>
      </w:r>
      <w:r w:rsidRPr="0031675F">
        <w:rPr>
          <w:rFonts w:cs="Calibri"/>
          <w:i/>
        </w:rPr>
        <w:t>the</w:t>
      </w:r>
      <w:r w:rsidRPr="0031675F">
        <w:rPr>
          <w:rFonts w:cs="Calibri"/>
          <w:i/>
          <w:spacing w:val="5"/>
        </w:rPr>
        <w:t xml:space="preserve"> </w:t>
      </w:r>
      <w:r w:rsidRPr="0031675F">
        <w:rPr>
          <w:rFonts w:cs="Calibri"/>
          <w:i/>
          <w:spacing w:val="-1"/>
        </w:rPr>
        <w:t>analyser.</w:t>
      </w:r>
      <w:r w:rsidRPr="0031675F">
        <w:rPr>
          <w:rFonts w:cs="Calibri"/>
          <w:i/>
          <w:spacing w:val="4"/>
        </w:rPr>
        <w:t xml:space="preserve"> </w:t>
      </w:r>
      <w:r w:rsidRPr="0031675F">
        <w:rPr>
          <w:rFonts w:cs="Calibri"/>
          <w:i/>
          <w:spacing w:val="-2"/>
        </w:rPr>
        <w:t>Follow</w:t>
      </w:r>
      <w:r w:rsidRPr="0031675F">
        <w:rPr>
          <w:rFonts w:cs="Calibri"/>
          <w:i/>
          <w:spacing w:val="5"/>
        </w:rPr>
        <w:t xml:space="preserve"> </w:t>
      </w:r>
      <w:r w:rsidRPr="0031675F">
        <w:rPr>
          <w:rFonts w:cs="Calibri"/>
          <w:i/>
          <w:spacing w:val="-2"/>
        </w:rPr>
        <w:t>steps</w:t>
      </w:r>
      <w:r w:rsidRPr="0031675F">
        <w:rPr>
          <w:rFonts w:cs="Calibri"/>
          <w:i/>
          <w:spacing w:val="5"/>
        </w:rPr>
        <w:t xml:space="preserve"> </w:t>
      </w:r>
      <w:r w:rsidRPr="0031675F">
        <w:rPr>
          <w:rFonts w:cs="Calibri"/>
          <w:i/>
          <w:spacing w:val="-1"/>
        </w:rPr>
        <w:t>18</w:t>
      </w:r>
      <w:r w:rsidRPr="0031675F">
        <w:rPr>
          <w:rFonts w:cs="Calibri"/>
          <w:i/>
          <w:spacing w:val="9"/>
        </w:rPr>
        <w:t xml:space="preserve"> </w:t>
      </w:r>
      <w:r w:rsidRPr="0031675F">
        <w:rPr>
          <w:rFonts w:cs="Calibri"/>
          <w:i/>
        </w:rPr>
        <w:t>–</w:t>
      </w:r>
      <w:r w:rsidRPr="0031675F">
        <w:rPr>
          <w:rFonts w:cs="Calibri"/>
          <w:i/>
          <w:spacing w:val="3"/>
        </w:rPr>
        <w:t xml:space="preserve"> </w:t>
      </w:r>
      <w:r w:rsidRPr="0031675F">
        <w:rPr>
          <w:rFonts w:cs="Calibri"/>
          <w:i/>
          <w:spacing w:val="-1"/>
        </w:rPr>
        <w:t>24</w:t>
      </w:r>
      <w:r w:rsidRPr="0031675F">
        <w:rPr>
          <w:rFonts w:cs="Calibri"/>
          <w:i/>
          <w:spacing w:val="5"/>
        </w:rPr>
        <w:t xml:space="preserve"> </w:t>
      </w:r>
      <w:r w:rsidRPr="0031675F">
        <w:rPr>
          <w:rFonts w:cs="Calibri"/>
          <w:i/>
          <w:spacing w:val="-1"/>
        </w:rPr>
        <w:t>below.</w:t>
      </w:r>
      <w:r w:rsidRPr="0031675F">
        <w:rPr>
          <w:rFonts w:cs="Calibri"/>
          <w:i/>
          <w:spacing w:val="5"/>
        </w:rPr>
        <w:t xml:space="preserve"> </w:t>
      </w:r>
      <w:r w:rsidRPr="0031675F">
        <w:rPr>
          <w:rFonts w:cs="Calibri"/>
          <w:i/>
          <w:spacing w:val="-2"/>
        </w:rPr>
        <w:t>Withdraw</w:t>
      </w:r>
      <w:r w:rsidRPr="0031675F">
        <w:rPr>
          <w:rFonts w:cs="Calibri"/>
          <w:i/>
          <w:spacing w:val="5"/>
        </w:rPr>
        <w:t xml:space="preserve"> </w:t>
      </w:r>
      <w:r w:rsidRPr="0031675F">
        <w:rPr>
          <w:rFonts w:cs="Calibri"/>
          <w:i/>
        </w:rPr>
        <w:t>this</w:t>
      </w:r>
      <w:r w:rsidRPr="0031675F">
        <w:rPr>
          <w:rFonts w:cs="Calibri"/>
          <w:i/>
          <w:spacing w:val="2"/>
        </w:rPr>
        <w:t xml:space="preserve"> </w:t>
      </w:r>
      <w:r w:rsidRPr="0031675F">
        <w:rPr>
          <w:rFonts w:cs="Calibri"/>
          <w:i/>
          <w:spacing w:val="-1"/>
        </w:rPr>
        <w:t>blank</w:t>
      </w:r>
      <w:r w:rsidRPr="0031675F">
        <w:rPr>
          <w:rFonts w:cs="Calibri"/>
          <w:i/>
          <w:spacing w:val="5"/>
        </w:rPr>
        <w:t xml:space="preserve"> </w:t>
      </w:r>
      <w:r w:rsidRPr="0031675F">
        <w:rPr>
          <w:rFonts w:cs="Calibri"/>
          <w:i/>
          <w:spacing w:val="-1"/>
        </w:rPr>
        <w:t>boat</w:t>
      </w:r>
      <w:r w:rsidRPr="0031675F">
        <w:rPr>
          <w:rFonts w:cs="Calibri"/>
          <w:i/>
          <w:spacing w:val="5"/>
        </w:rPr>
        <w:t xml:space="preserve"> </w:t>
      </w:r>
      <w:r w:rsidRPr="0031675F">
        <w:rPr>
          <w:rFonts w:cs="Calibri"/>
          <w:i/>
        </w:rPr>
        <w:t>and</w:t>
      </w:r>
      <w:r w:rsidRPr="0031675F">
        <w:rPr>
          <w:rFonts w:cs="Calibri"/>
          <w:i/>
          <w:spacing w:val="47"/>
        </w:rPr>
        <w:t xml:space="preserve"> </w:t>
      </w:r>
      <w:r w:rsidRPr="0031675F">
        <w:rPr>
          <w:rFonts w:cs="Calibri"/>
          <w:i/>
          <w:spacing w:val="-1"/>
        </w:rPr>
        <w:t>continue</w:t>
      </w:r>
      <w:r w:rsidRPr="0031675F">
        <w:rPr>
          <w:rFonts w:cs="Calibri"/>
          <w:i/>
        </w:rPr>
        <w:t xml:space="preserve"> </w:t>
      </w:r>
      <w:r w:rsidRPr="0031675F">
        <w:rPr>
          <w:rFonts w:cs="Calibri"/>
          <w:i/>
          <w:spacing w:val="-1"/>
        </w:rPr>
        <w:t>calibration.</w:t>
      </w:r>
      <w:r w:rsidRPr="0031675F">
        <w:rPr>
          <w:rFonts w:cs="Calibri"/>
          <w:i/>
        </w:rPr>
        <w:t xml:space="preserve"> </w:t>
      </w:r>
      <w:r w:rsidRPr="0031675F">
        <w:rPr>
          <w:rFonts w:cs="Calibri"/>
          <w:i/>
          <w:spacing w:val="-1"/>
        </w:rPr>
        <w:t>After</w:t>
      </w:r>
      <w:r w:rsidRPr="0031675F">
        <w:rPr>
          <w:rFonts w:cs="Calibri"/>
          <w:i/>
          <w:spacing w:val="-3"/>
        </w:rPr>
        <w:t xml:space="preserve"> </w:t>
      </w:r>
      <w:r w:rsidRPr="0031675F">
        <w:rPr>
          <w:rFonts w:cs="Calibri"/>
          <w:i/>
          <w:spacing w:val="-1"/>
        </w:rPr>
        <w:t>calibration continue</w:t>
      </w:r>
      <w:r w:rsidRPr="0031675F">
        <w:rPr>
          <w:rFonts w:cs="Calibri"/>
          <w:i/>
        </w:rPr>
        <w:t xml:space="preserve"> with</w:t>
      </w:r>
      <w:r w:rsidRPr="0031675F">
        <w:rPr>
          <w:rFonts w:cs="Calibri"/>
          <w:i/>
          <w:spacing w:val="-3"/>
        </w:rPr>
        <w:t xml:space="preserve"> </w:t>
      </w:r>
      <w:r w:rsidRPr="0031675F">
        <w:rPr>
          <w:rFonts w:cs="Calibri"/>
          <w:i/>
          <w:spacing w:val="-1"/>
        </w:rPr>
        <w:t>samples</w:t>
      </w:r>
      <w:r w:rsidRPr="0031675F">
        <w:rPr>
          <w:rFonts w:cs="Calibri"/>
          <w:i/>
        </w:rPr>
        <w:t xml:space="preserve"> to</w:t>
      </w:r>
      <w:r w:rsidRPr="0031675F">
        <w:rPr>
          <w:rFonts w:cs="Calibri"/>
          <w:i/>
          <w:spacing w:val="-3"/>
        </w:rPr>
        <w:t xml:space="preserve"> </w:t>
      </w:r>
      <w:r w:rsidRPr="0031675F">
        <w:rPr>
          <w:rFonts w:cs="Calibri"/>
          <w:i/>
          <w:spacing w:val="-1"/>
        </w:rPr>
        <w:t>be</w:t>
      </w:r>
      <w:r w:rsidRPr="0031675F">
        <w:rPr>
          <w:rFonts w:cs="Calibri"/>
          <w:i/>
        </w:rPr>
        <w:t xml:space="preserve"> </w:t>
      </w:r>
      <w:r w:rsidRPr="0031675F">
        <w:rPr>
          <w:rFonts w:cs="Calibri"/>
          <w:i/>
          <w:spacing w:val="-1"/>
        </w:rPr>
        <w:t>analysed.</w:t>
      </w:r>
    </w:p>
    <w:p w14:paraId="665C50B3" w14:textId="77777777" w:rsidR="0031675F" w:rsidRPr="0031675F" w:rsidRDefault="0031675F" w:rsidP="0031675F">
      <w:pPr>
        <w:spacing w:before="1"/>
        <w:rPr>
          <w:rFonts w:cs="Calibri"/>
          <w:i/>
        </w:rPr>
      </w:pPr>
    </w:p>
    <w:p w14:paraId="7E90C674" w14:textId="77777777" w:rsidR="0031675F" w:rsidRPr="0031675F" w:rsidRDefault="0031675F" w:rsidP="0031675F">
      <w:pPr>
        <w:widowControl w:val="0"/>
        <w:numPr>
          <w:ilvl w:val="0"/>
          <w:numId w:val="89"/>
        </w:numPr>
        <w:tabs>
          <w:tab w:val="left" w:pos="479"/>
        </w:tabs>
        <w:spacing w:before="0" w:after="0" w:line="240" w:lineRule="auto"/>
      </w:pPr>
      <w:r w:rsidRPr="0031675F">
        <w:t>Place</w:t>
      </w:r>
      <w:r w:rsidRPr="0031675F">
        <w:rPr>
          <w:spacing w:val="-3"/>
        </w:rPr>
        <w:t xml:space="preserve"> </w:t>
      </w:r>
      <w:r w:rsidRPr="0031675F">
        <w:rPr>
          <w:spacing w:val="-1"/>
        </w:rPr>
        <w:t>boat</w:t>
      </w:r>
      <w:r w:rsidRPr="0031675F">
        <w:rPr>
          <w:spacing w:val="-2"/>
        </w:rPr>
        <w:t xml:space="preserve"> </w:t>
      </w:r>
      <w:r w:rsidRPr="0031675F">
        <w:t>into</w:t>
      </w:r>
      <w:r w:rsidRPr="0031675F">
        <w:rPr>
          <w:spacing w:val="-2"/>
        </w:rPr>
        <w:t xml:space="preserve"> </w:t>
      </w:r>
      <w:r w:rsidRPr="0031675F">
        <w:rPr>
          <w:spacing w:val="-1"/>
        </w:rPr>
        <w:t>holder,</w:t>
      </w:r>
      <w:r w:rsidRPr="0031675F">
        <w:t xml:space="preserve"> </w:t>
      </w:r>
      <w:r w:rsidRPr="0031675F">
        <w:rPr>
          <w:spacing w:val="-1"/>
        </w:rPr>
        <w:t>close</w:t>
      </w:r>
      <w:r w:rsidRPr="0031675F">
        <w:t xml:space="preserve"> port</w:t>
      </w:r>
      <w:r w:rsidRPr="0031675F">
        <w:rPr>
          <w:spacing w:val="-2"/>
        </w:rPr>
        <w:t xml:space="preserve"> </w:t>
      </w:r>
      <w:r w:rsidRPr="0031675F">
        <w:rPr>
          <w:spacing w:val="-1"/>
        </w:rPr>
        <w:t>cover</w:t>
      </w:r>
      <w:r w:rsidRPr="0031675F">
        <w:t xml:space="preserve"> </w:t>
      </w:r>
      <w:r w:rsidRPr="0031675F">
        <w:rPr>
          <w:spacing w:val="-1"/>
        </w:rPr>
        <w:t>and screw</w:t>
      </w:r>
      <w:r w:rsidRPr="0031675F">
        <w:rPr>
          <w:spacing w:val="-2"/>
        </w:rPr>
        <w:t xml:space="preserve"> </w:t>
      </w:r>
      <w:r w:rsidRPr="0031675F">
        <w:t>in.</w:t>
      </w:r>
    </w:p>
    <w:p w14:paraId="131A51C5" w14:textId="77777777" w:rsidR="0031675F" w:rsidRPr="0031675F" w:rsidRDefault="0031675F" w:rsidP="0031675F">
      <w:pPr>
        <w:widowControl w:val="0"/>
        <w:numPr>
          <w:ilvl w:val="0"/>
          <w:numId w:val="89"/>
        </w:numPr>
        <w:tabs>
          <w:tab w:val="left" w:pos="479"/>
        </w:tabs>
        <w:spacing w:before="0" w:after="0" w:line="240" w:lineRule="auto"/>
      </w:pPr>
      <w:r w:rsidRPr="0031675F">
        <w:t>Wait</w:t>
      </w:r>
      <w:r w:rsidRPr="0031675F">
        <w:rPr>
          <w:spacing w:val="-2"/>
        </w:rPr>
        <w:t xml:space="preserve"> </w:t>
      </w:r>
      <w:r w:rsidRPr="0031675F">
        <w:t>2</w:t>
      </w:r>
      <w:r w:rsidRPr="0031675F">
        <w:rPr>
          <w:spacing w:val="-2"/>
        </w:rPr>
        <w:t xml:space="preserve"> </w:t>
      </w:r>
      <w:r w:rsidRPr="0031675F">
        <w:rPr>
          <w:spacing w:val="-1"/>
        </w:rPr>
        <w:t>minutes.</w:t>
      </w:r>
    </w:p>
    <w:p w14:paraId="73BFAF55" w14:textId="77777777" w:rsidR="0031675F" w:rsidRPr="0031675F" w:rsidRDefault="0031675F" w:rsidP="0031675F">
      <w:pPr>
        <w:widowControl w:val="0"/>
        <w:numPr>
          <w:ilvl w:val="0"/>
          <w:numId w:val="89"/>
        </w:numPr>
        <w:tabs>
          <w:tab w:val="left" w:pos="479"/>
        </w:tabs>
        <w:spacing w:before="0" w:after="0" w:line="240" w:lineRule="auto"/>
        <w:ind w:right="119"/>
      </w:pPr>
      <w:r w:rsidRPr="0031675F">
        <w:t>Press</w:t>
      </w:r>
      <w:r w:rsidRPr="0031675F">
        <w:rPr>
          <w:spacing w:val="5"/>
        </w:rPr>
        <w:t xml:space="preserve"> </w:t>
      </w:r>
      <w:r w:rsidRPr="0031675F">
        <w:rPr>
          <w:spacing w:val="-1"/>
        </w:rPr>
        <w:t>`Set'</w:t>
      </w:r>
      <w:r w:rsidRPr="0031675F">
        <w:rPr>
          <w:spacing w:val="4"/>
        </w:rPr>
        <w:t xml:space="preserve"> </w:t>
      </w:r>
      <w:r w:rsidRPr="0031675F">
        <w:t>on</w:t>
      </w:r>
      <w:r w:rsidRPr="0031675F">
        <w:rPr>
          <w:spacing w:val="4"/>
        </w:rPr>
        <w:t xml:space="preserve"> </w:t>
      </w:r>
      <w:r w:rsidRPr="0031675F">
        <w:rPr>
          <w:spacing w:val="-1"/>
        </w:rPr>
        <w:t>PC,</w:t>
      </w:r>
      <w:r w:rsidRPr="0031675F">
        <w:rPr>
          <w:spacing w:val="5"/>
        </w:rPr>
        <w:t xml:space="preserve"> </w:t>
      </w:r>
      <w:r w:rsidRPr="0031675F">
        <w:rPr>
          <w:spacing w:val="-1"/>
        </w:rPr>
        <w:t>press</w:t>
      </w:r>
      <w:r w:rsidRPr="0031675F">
        <w:rPr>
          <w:spacing w:val="5"/>
        </w:rPr>
        <w:t xml:space="preserve"> </w:t>
      </w:r>
      <w:r w:rsidRPr="0031675F">
        <w:rPr>
          <w:spacing w:val="-1"/>
        </w:rPr>
        <w:t>`Start'</w:t>
      </w:r>
      <w:r w:rsidRPr="0031675F">
        <w:rPr>
          <w:spacing w:val="4"/>
        </w:rPr>
        <w:t xml:space="preserve"> </w:t>
      </w:r>
      <w:r w:rsidRPr="0031675F">
        <w:rPr>
          <w:spacing w:val="-1"/>
        </w:rPr>
        <w:t>(if</w:t>
      </w:r>
      <w:r w:rsidRPr="0031675F">
        <w:rPr>
          <w:spacing w:val="5"/>
        </w:rPr>
        <w:t xml:space="preserve"> </w:t>
      </w:r>
      <w:r w:rsidRPr="0031675F">
        <w:t>it</w:t>
      </w:r>
      <w:r w:rsidRPr="0031675F">
        <w:rPr>
          <w:spacing w:val="5"/>
        </w:rPr>
        <w:t xml:space="preserve"> </w:t>
      </w:r>
      <w:r w:rsidRPr="0031675F">
        <w:t>is</w:t>
      </w:r>
      <w:r w:rsidRPr="0031675F">
        <w:rPr>
          <w:spacing w:val="4"/>
        </w:rPr>
        <w:t xml:space="preserve"> </w:t>
      </w:r>
      <w:r w:rsidRPr="0031675F">
        <w:rPr>
          <w:spacing w:val="-1"/>
        </w:rPr>
        <w:t>available),</w:t>
      </w:r>
      <w:r w:rsidRPr="0031675F">
        <w:rPr>
          <w:spacing w:val="5"/>
        </w:rPr>
        <w:t xml:space="preserve"> </w:t>
      </w:r>
      <w:r w:rsidRPr="0031675F">
        <w:rPr>
          <w:spacing w:val="-1"/>
        </w:rPr>
        <w:t>push</w:t>
      </w:r>
      <w:r w:rsidRPr="0031675F">
        <w:rPr>
          <w:spacing w:val="6"/>
        </w:rPr>
        <w:t xml:space="preserve"> </w:t>
      </w:r>
      <w:r w:rsidRPr="0031675F">
        <w:t>boat</w:t>
      </w:r>
      <w:r w:rsidRPr="0031675F">
        <w:rPr>
          <w:spacing w:val="5"/>
        </w:rPr>
        <w:t xml:space="preserve"> </w:t>
      </w:r>
      <w:r w:rsidRPr="0031675F">
        <w:rPr>
          <w:spacing w:val="-1"/>
        </w:rPr>
        <w:t>into</w:t>
      </w:r>
      <w:r w:rsidRPr="0031675F">
        <w:rPr>
          <w:spacing w:val="6"/>
        </w:rPr>
        <w:t xml:space="preserve"> </w:t>
      </w:r>
      <w:r w:rsidRPr="0031675F">
        <w:t>the</w:t>
      </w:r>
      <w:r w:rsidRPr="0031675F">
        <w:rPr>
          <w:spacing w:val="5"/>
        </w:rPr>
        <w:t xml:space="preserve"> </w:t>
      </w:r>
      <w:r w:rsidRPr="0031675F">
        <w:rPr>
          <w:spacing w:val="-1"/>
        </w:rPr>
        <w:t>measure</w:t>
      </w:r>
      <w:r w:rsidRPr="0031675F">
        <w:rPr>
          <w:spacing w:val="4"/>
        </w:rPr>
        <w:t xml:space="preserve"> </w:t>
      </w:r>
      <w:r w:rsidRPr="0031675F">
        <w:rPr>
          <w:spacing w:val="-1"/>
        </w:rPr>
        <w:t>position</w:t>
      </w:r>
      <w:r w:rsidRPr="0031675F">
        <w:rPr>
          <w:spacing w:val="4"/>
        </w:rPr>
        <w:t xml:space="preserve"> </w:t>
      </w:r>
      <w:r w:rsidRPr="0031675F">
        <w:rPr>
          <w:spacing w:val="-1"/>
        </w:rPr>
        <w:t>(all</w:t>
      </w:r>
      <w:r w:rsidRPr="0031675F">
        <w:rPr>
          <w:spacing w:val="5"/>
        </w:rPr>
        <w:t xml:space="preserve"> </w:t>
      </w:r>
      <w:r w:rsidRPr="0031675F">
        <w:t>the</w:t>
      </w:r>
      <w:r w:rsidRPr="0031675F">
        <w:rPr>
          <w:spacing w:val="5"/>
        </w:rPr>
        <w:t xml:space="preserve"> </w:t>
      </w:r>
      <w:r w:rsidRPr="0031675F">
        <w:t>way</w:t>
      </w:r>
      <w:r w:rsidRPr="0031675F">
        <w:rPr>
          <w:spacing w:val="77"/>
        </w:rPr>
        <w:t xml:space="preserve"> </w:t>
      </w:r>
      <w:r w:rsidRPr="0031675F">
        <w:rPr>
          <w:spacing w:val="-1"/>
        </w:rPr>
        <w:t>in).</w:t>
      </w:r>
    </w:p>
    <w:p w14:paraId="1BB635A2" w14:textId="77777777" w:rsidR="0031675F" w:rsidRPr="0031675F" w:rsidRDefault="0031675F" w:rsidP="0031675F">
      <w:pPr>
        <w:widowControl w:val="0"/>
        <w:numPr>
          <w:ilvl w:val="0"/>
          <w:numId w:val="89"/>
        </w:numPr>
        <w:tabs>
          <w:tab w:val="left" w:pos="479"/>
        </w:tabs>
        <w:spacing w:before="12" w:after="0" w:line="240" w:lineRule="auto"/>
        <w:ind w:right="120"/>
        <w:rPr>
          <w:rFonts w:cs="Calibri"/>
          <w:sz w:val="16"/>
          <w:szCs w:val="16"/>
        </w:rPr>
      </w:pPr>
      <w:r w:rsidRPr="0031675F">
        <w:t>When</w:t>
      </w:r>
      <w:r w:rsidRPr="0031675F">
        <w:rPr>
          <w:spacing w:val="23"/>
        </w:rPr>
        <w:t xml:space="preserve"> </w:t>
      </w:r>
      <w:r w:rsidRPr="0031675F">
        <w:rPr>
          <w:spacing w:val="-1"/>
        </w:rPr>
        <w:t>you</w:t>
      </w:r>
      <w:r w:rsidRPr="0031675F">
        <w:rPr>
          <w:spacing w:val="23"/>
        </w:rPr>
        <w:t xml:space="preserve"> </w:t>
      </w:r>
      <w:r w:rsidRPr="0031675F">
        <w:t>can</w:t>
      </w:r>
      <w:r w:rsidRPr="0031675F">
        <w:rPr>
          <w:spacing w:val="23"/>
        </w:rPr>
        <w:t xml:space="preserve"> </w:t>
      </w:r>
      <w:r w:rsidRPr="0031675F">
        <w:rPr>
          <w:spacing w:val="-1"/>
        </w:rPr>
        <w:t>see</w:t>
      </w:r>
      <w:r w:rsidRPr="0031675F">
        <w:rPr>
          <w:spacing w:val="22"/>
        </w:rPr>
        <w:t xml:space="preserve"> </w:t>
      </w:r>
      <w:r w:rsidRPr="0031675F">
        <w:t>that</w:t>
      </w:r>
      <w:r w:rsidRPr="0031675F">
        <w:rPr>
          <w:spacing w:val="24"/>
        </w:rPr>
        <w:t xml:space="preserve"> </w:t>
      </w:r>
      <w:r w:rsidRPr="0031675F">
        <w:rPr>
          <w:spacing w:val="-2"/>
        </w:rPr>
        <w:t>both</w:t>
      </w:r>
      <w:r w:rsidRPr="0031675F">
        <w:rPr>
          <w:spacing w:val="24"/>
        </w:rPr>
        <w:t xml:space="preserve"> </w:t>
      </w:r>
      <w:r w:rsidRPr="0031675F">
        <w:rPr>
          <w:spacing w:val="-1"/>
        </w:rPr>
        <w:t>graphs</w:t>
      </w:r>
      <w:r w:rsidRPr="0031675F">
        <w:rPr>
          <w:spacing w:val="24"/>
        </w:rPr>
        <w:t xml:space="preserve"> </w:t>
      </w:r>
      <w:r w:rsidRPr="0031675F">
        <w:t>are</w:t>
      </w:r>
      <w:r w:rsidRPr="0031675F">
        <w:rPr>
          <w:spacing w:val="24"/>
        </w:rPr>
        <w:t xml:space="preserve"> </w:t>
      </w:r>
      <w:r w:rsidRPr="0031675F">
        <w:rPr>
          <w:spacing w:val="-1"/>
        </w:rPr>
        <w:t>returning</w:t>
      </w:r>
      <w:r w:rsidRPr="0031675F">
        <w:rPr>
          <w:spacing w:val="23"/>
        </w:rPr>
        <w:t xml:space="preserve"> </w:t>
      </w:r>
      <w:r w:rsidRPr="0031675F">
        <w:t>to</w:t>
      </w:r>
      <w:r w:rsidRPr="0031675F">
        <w:rPr>
          <w:spacing w:val="23"/>
        </w:rPr>
        <w:t xml:space="preserve"> </w:t>
      </w:r>
      <w:r w:rsidRPr="0031675F">
        <w:t>the</w:t>
      </w:r>
      <w:r w:rsidRPr="0031675F">
        <w:rPr>
          <w:spacing w:val="24"/>
        </w:rPr>
        <w:t xml:space="preserve"> </w:t>
      </w:r>
      <w:r w:rsidRPr="0031675F">
        <w:rPr>
          <w:spacing w:val="-1"/>
        </w:rPr>
        <w:t>baseline</w:t>
      </w:r>
      <w:r w:rsidRPr="0031675F">
        <w:rPr>
          <w:spacing w:val="24"/>
        </w:rPr>
        <w:t xml:space="preserve"> </w:t>
      </w:r>
      <w:r w:rsidRPr="0031675F">
        <w:rPr>
          <w:spacing w:val="-1"/>
        </w:rPr>
        <w:t>and</w:t>
      </w:r>
      <w:r w:rsidRPr="0031675F">
        <w:rPr>
          <w:spacing w:val="23"/>
        </w:rPr>
        <w:t xml:space="preserve"> </w:t>
      </w:r>
      <w:r w:rsidRPr="0031675F">
        <w:t>are</w:t>
      </w:r>
      <w:r w:rsidRPr="0031675F">
        <w:rPr>
          <w:spacing w:val="22"/>
        </w:rPr>
        <w:t xml:space="preserve"> </w:t>
      </w:r>
      <w:r w:rsidRPr="0031675F">
        <w:rPr>
          <w:spacing w:val="-1"/>
        </w:rPr>
        <w:t>more</w:t>
      </w:r>
      <w:r w:rsidRPr="0031675F">
        <w:rPr>
          <w:spacing w:val="25"/>
        </w:rPr>
        <w:t xml:space="preserve"> </w:t>
      </w:r>
      <w:r w:rsidRPr="0031675F">
        <w:t>than</w:t>
      </w:r>
      <w:r w:rsidRPr="0031675F">
        <w:rPr>
          <w:spacing w:val="23"/>
        </w:rPr>
        <w:t xml:space="preserve"> </w:t>
      </w:r>
      <w:r w:rsidRPr="0031675F">
        <w:rPr>
          <w:spacing w:val="-1"/>
        </w:rPr>
        <w:t>half</w:t>
      </w:r>
      <w:r w:rsidRPr="0031675F">
        <w:rPr>
          <w:spacing w:val="23"/>
        </w:rPr>
        <w:t xml:space="preserve"> </w:t>
      </w:r>
      <w:r w:rsidRPr="0031675F">
        <w:rPr>
          <w:spacing w:val="-1"/>
        </w:rPr>
        <w:t>way</w:t>
      </w:r>
      <w:r w:rsidRPr="0031675F">
        <w:rPr>
          <w:spacing w:val="35"/>
        </w:rPr>
        <w:t xml:space="preserve"> </w:t>
      </w:r>
      <w:r w:rsidRPr="0031675F">
        <w:rPr>
          <w:spacing w:val="-1"/>
        </w:rPr>
        <w:t>back,</w:t>
      </w:r>
      <w:r w:rsidRPr="0031675F">
        <w:rPr>
          <w:spacing w:val="1"/>
        </w:rPr>
        <w:t xml:space="preserve"> </w:t>
      </w:r>
      <w:r w:rsidRPr="0031675F">
        <w:rPr>
          <w:spacing w:val="-1"/>
        </w:rPr>
        <w:t>pull the</w:t>
      </w:r>
      <w:r w:rsidRPr="0031675F">
        <w:rPr>
          <w:spacing w:val="-2"/>
        </w:rPr>
        <w:t xml:space="preserve"> </w:t>
      </w:r>
      <w:r w:rsidRPr="0031675F">
        <w:rPr>
          <w:spacing w:val="-1"/>
        </w:rPr>
        <w:t>boat</w:t>
      </w:r>
      <w:r w:rsidRPr="0031675F">
        <w:rPr>
          <w:spacing w:val="-2"/>
        </w:rPr>
        <w:t xml:space="preserve"> </w:t>
      </w:r>
      <w:r w:rsidRPr="0031675F">
        <w:rPr>
          <w:spacing w:val="-1"/>
        </w:rPr>
        <w:t>to</w:t>
      </w:r>
      <w:r w:rsidRPr="0031675F">
        <w:rPr>
          <w:spacing w:val="1"/>
        </w:rPr>
        <w:t xml:space="preserve"> </w:t>
      </w:r>
      <w:r w:rsidRPr="0031675F">
        <w:rPr>
          <w:spacing w:val="-1"/>
        </w:rPr>
        <w:t>the</w:t>
      </w:r>
      <w:r w:rsidRPr="0031675F">
        <w:rPr>
          <w:spacing w:val="-2"/>
        </w:rPr>
        <w:t xml:space="preserve"> </w:t>
      </w:r>
      <w:r w:rsidRPr="0031675F">
        <w:rPr>
          <w:spacing w:val="-1"/>
        </w:rPr>
        <w:t>cooling position (half</w:t>
      </w:r>
      <w:r w:rsidRPr="0031675F">
        <w:rPr>
          <w:spacing w:val="-3"/>
        </w:rPr>
        <w:t xml:space="preserve"> </w:t>
      </w:r>
      <w:r w:rsidRPr="0031675F">
        <w:t>way)</w:t>
      </w:r>
    </w:p>
    <w:p w14:paraId="3834551A" w14:textId="77777777" w:rsidR="0031675F" w:rsidRPr="0031675F" w:rsidRDefault="0031675F" w:rsidP="0031675F">
      <w:pPr>
        <w:widowControl w:val="0"/>
        <w:numPr>
          <w:ilvl w:val="0"/>
          <w:numId w:val="89"/>
        </w:numPr>
        <w:tabs>
          <w:tab w:val="left" w:pos="479"/>
        </w:tabs>
        <w:spacing w:before="0" w:after="0" w:line="240" w:lineRule="auto"/>
        <w:ind w:right="119"/>
      </w:pPr>
      <w:r w:rsidRPr="0031675F">
        <w:rPr>
          <w:spacing w:val="-1"/>
        </w:rPr>
        <w:t>Note:</w:t>
      </w:r>
      <w:r w:rsidRPr="0031675F">
        <w:rPr>
          <w:spacing w:val="29"/>
        </w:rPr>
        <w:t xml:space="preserve"> </w:t>
      </w:r>
      <w:r w:rsidRPr="0031675F">
        <w:t>click</w:t>
      </w:r>
      <w:r w:rsidRPr="0031675F">
        <w:rPr>
          <w:spacing w:val="29"/>
        </w:rPr>
        <w:t xml:space="preserve"> </w:t>
      </w:r>
      <w:r w:rsidRPr="0031675F">
        <w:t>on</w:t>
      </w:r>
      <w:r w:rsidRPr="0031675F">
        <w:rPr>
          <w:spacing w:val="28"/>
        </w:rPr>
        <w:t xml:space="preserve"> </w:t>
      </w:r>
      <w:r w:rsidRPr="0031675F">
        <w:rPr>
          <w:spacing w:val="-1"/>
        </w:rPr>
        <w:t>TN</w:t>
      </w:r>
      <w:r w:rsidRPr="0031675F">
        <w:rPr>
          <w:spacing w:val="28"/>
        </w:rPr>
        <w:t xml:space="preserve"> </w:t>
      </w:r>
      <w:r w:rsidRPr="0031675F">
        <w:rPr>
          <w:spacing w:val="-1"/>
        </w:rPr>
        <w:t>graph.</w:t>
      </w:r>
      <w:r w:rsidRPr="0031675F">
        <w:rPr>
          <w:spacing w:val="31"/>
        </w:rPr>
        <w:t xml:space="preserve"> </w:t>
      </w:r>
      <w:r w:rsidRPr="0031675F">
        <w:rPr>
          <w:spacing w:val="-1"/>
        </w:rPr>
        <w:t>Right</w:t>
      </w:r>
      <w:r w:rsidRPr="0031675F">
        <w:rPr>
          <w:spacing w:val="30"/>
        </w:rPr>
        <w:t xml:space="preserve"> </w:t>
      </w:r>
      <w:r w:rsidRPr="0031675F">
        <w:t>click</w:t>
      </w:r>
      <w:r w:rsidRPr="0031675F">
        <w:rPr>
          <w:spacing w:val="29"/>
        </w:rPr>
        <w:t xml:space="preserve"> </w:t>
      </w:r>
      <w:r w:rsidRPr="0031675F">
        <w:t>on</w:t>
      </w:r>
      <w:r w:rsidRPr="0031675F">
        <w:rPr>
          <w:spacing w:val="27"/>
        </w:rPr>
        <w:t xml:space="preserve"> </w:t>
      </w:r>
      <w:r w:rsidRPr="0031675F">
        <w:rPr>
          <w:spacing w:val="-1"/>
        </w:rPr>
        <w:t>graph,</w:t>
      </w:r>
      <w:r w:rsidRPr="0031675F">
        <w:rPr>
          <w:spacing w:val="29"/>
        </w:rPr>
        <w:t xml:space="preserve"> </w:t>
      </w:r>
      <w:r w:rsidRPr="0031675F">
        <w:t>click</w:t>
      </w:r>
      <w:r w:rsidRPr="0031675F">
        <w:rPr>
          <w:spacing w:val="31"/>
        </w:rPr>
        <w:t xml:space="preserve"> </w:t>
      </w:r>
      <w:r w:rsidRPr="0031675F">
        <w:t>on</w:t>
      </w:r>
      <w:r w:rsidRPr="0031675F">
        <w:rPr>
          <w:spacing w:val="27"/>
        </w:rPr>
        <w:t xml:space="preserve"> </w:t>
      </w:r>
      <w:r w:rsidRPr="0031675F">
        <w:rPr>
          <w:spacing w:val="-1"/>
        </w:rPr>
        <w:t>`Limits'</w:t>
      </w:r>
      <w:r w:rsidRPr="0031675F">
        <w:rPr>
          <w:spacing w:val="28"/>
        </w:rPr>
        <w:t xml:space="preserve"> </w:t>
      </w:r>
      <w:r w:rsidRPr="0031675F">
        <w:rPr>
          <w:spacing w:val="-1"/>
        </w:rPr>
        <w:t>Change</w:t>
      </w:r>
      <w:r w:rsidRPr="0031675F">
        <w:rPr>
          <w:spacing w:val="30"/>
        </w:rPr>
        <w:t xml:space="preserve"> </w:t>
      </w:r>
      <w:r w:rsidRPr="0031675F">
        <w:t>`max'</w:t>
      </w:r>
      <w:r w:rsidRPr="0031675F">
        <w:rPr>
          <w:spacing w:val="29"/>
        </w:rPr>
        <w:t xml:space="preserve"> </w:t>
      </w:r>
      <w:r w:rsidRPr="0031675F">
        <w:rPr>
          <w:spacing w:val="-1"/>
        </w:rPr>
        <w:t>to</w:t>
      </w:r>
      <w:r w:rsidRPr="0031675F">
        <w:rPr>
          <w:spacing w:val="29"/>
        </w:rPr>
        <w:t xml:space="preserve"> </w:t>
      </w:r>
      <w:r w:rsidRPr="0031675F">
        <w:rPr>
          <w:spacing w:val="-1"/>
        </w:rPr>
        <w:t>required</w:t>
      </w:r>
      <w:r w:rsidRPr="0031675F">
        <w:rPr>
          <w:spacing w:val="28"/>
        </w:rPr>
        <w:t xml:space="preserve"> </w:t>
      </w:r>
      <w:r w:rsidRPr="0031675F">
        <w:rPr>
          <w:spacing w:val="-1"/>
        </w:rPr>
        <w:t>limit.</w:t>
      </w:r>
      <w:r w:rsidRPr="0031675F">
        <w:rPr>
          <w:spacing w:val="69"/>
        </w:rPr>
        <w:t xml:space="preserve"> </w:t>
      </w:r>
      <w:r w:rsidRPr="0031675F">
        <w:t>Press</w:t>
      </w:r>
      <w:r w:rsidRPr="0031675F">
        <w:rPr>
          <w:spacing w:val="-2"/>
        </w:rPr>
        <w:t xml:space="preserve"> </w:t>
      </w:r>
      <w:r w:rsidRPr="0031675F">
        <w:rPr>
          <w:spacing w:val="-1"/>
        </w:rPr>
        <w:t>`ok'</w:t>
      </w:r>
    </w:p>
    <w:p w14:paraId="4AB1AAB3" w14:textId="77777777" w:rsidR="0031675F" w:rsidRPr="0031675F" w:rsidRDefault="0031675F" w:rsidP="0031675F">
      <w:pPr>
        <w:widowControl w:val="0"/>
        <w:numPr>
          <w:ilvl w:val="0"/>
          <w:numId w:val="89"/>
        </w:numPr>
        <w:tabs>
          <w:tab w:val="left" w:pos="479"/>
        </w:tabs>
        <w:spacing w:before="0" w:after="0" w:line="240" w:lineRule="auto"/>
        <w:ind w:right="119"/>
      </w:pPr>
      <w:r w:rsidRPr="0031675F">
        <w:rPr>
          <w:spacing w:val="-1"/>
        </w:rPr>
        <w:t>`TOC</w:t>
      </w:r>
      <w:r w:rsidRPr="0031675F">
        <w:rPr>
          <w:spacing w:val="33"/>
        </w:rPr>
        <w:t xml:space="preserve"> </w:t>
      </w:r>
      <w:r w:rsidRPr="0031675F">
        <w:rPr>
          <w:spacing w:val="-1"/>
        </w:rPr>
        <w:t>Measurement'</w:t>
      </w:r>
      <w:r w:rsidRPr="0031675F">
        <w:rPr>
          <w:spacing w:val="33"/>
        </w:rPr>
        <w:t xml:space="preserve"> </w:t>
      </w:r>
      <w:r w:rsidRPr="0031675F">
        <w:t>will</w:t>
      </w:r>
      <w:r w:rsidRPr="0031675F">
        <w:rPr>
          <w:spacing w:val="36"/>
        </w:rPr>
        <w:t xml:space="preserve"> </w:t>
      </w:r>
      <w:r w:rsidRPr="0031675F">
        <w:rPr>
          <w:spacing w:val="-1"/>
        </w:rPr>
        <w:t>come</w:t>
      </w:r>
      <w:r w:rsidRPr="0031675F">
        <w:rPr>
          <w:spacing w:val="36"/>
        </w:rPr>
        <w:t xml:space="preserve"> </w:t>
      </w:r>
      <w:r w:rsidRPr="0031675F">
        <w:rPr>
          <w:spacing w:val="-1"/>
        </w:rPr>
        <w:t>up</w:t>
      </w:r>
      <w:r w:rsidRPr="0031675F">
        <w:rPr>
          <w:spacing w:val="33"/>
        </w:rPr>
        <w:t xml:space="preserve"> </w:t>
      </w:r>
      <w:r w:rsidRPr="0031675F">
        <w:t>on</w:t>
      </w:r>
      <w:r w:rsidRPr="0031675F">
        <w:rPr>
          <w:spacing w:val="33"/>
        </w:rPr>
        <w:t xml:space="preserve"> </w:t>
      </w:r>
      <w:r w:rsidRPr="0031675F">
        <w:rPr>
          <w:spacing w:val="-1"/>
        </w:rPr>
        <w:t>PC.</w:t>
      </w:r>
      <w:r w:rsidRPr="0031675F">
        <w:rPr>
          <w:spacing w:val="33"/>
        </w:rPr>
        <w:t xml:space="preserve"> </w:t>
      </w:r>
      <w:r w:rsidRPr="0031675F">
        <w:t>Write</w:t>
      </w:r>
      <w:r w:rsidRPr="0031675F">
        <w:rPr>
          <w:spacing w:val="33"/>
        </w:rPr>
        <w:t xml:space="preserve"> </w:t>
      </w:r>
      <w:r w:rsidRPr="0031675F">
        <w:rPr>
          <w:spacing w:val="-1"/>
        </w:rPr>
        <w:t>down</w:t>
      </w:r>
      <w:r w:rsidRPr="0031675F">
        <w:rPr>
          <w:spacing w:val="36"/>
        </w:rPr>
        <w:t xml:space="preserve"> </w:t>
      </w:r>
      <w:r w:rsidRPr="0031675F">
        <w:t>the</w:t>
      </w:r>
      <w:r w:rsidRPr="0031675F">
        <w:rPr>
          <w:spacing w:val="34"/>
        </w:rPr>
        <w:t xml:space="preserve"> </w:t>
      </w:r>
      <w:r w:rsidRPr="0031675F">
        <w:rPr>
          <w:spacing w:val="-1"/>
        </w:rPr>
        <w:t>TC</w:t>
      </w:r>
      <w:r w:rsidRPr="0031675F">
        <w:rPr>
          <w:spacing w:val="33"/>
        </w:rPr>
        <w:t xml:space="preserve"> </w:t>
      </w:r>
      <w:r w:rsidRPr="0031675F">
        <w:rPr>
          <w:spacing w:val="-1"/>
        </w:rPr>
        <w:t>and</w:t>
      </w:r>
      <w:r w:rsidRPr="0031675F">
        <w:rPr>
          <w:spacing w:val="35"/>
        </w:rPr>
        <w:t xml:space="preserve"> </w:t>
      </w:r>
      <w:r w:rsidRPr="0031675F">
        <w:rPr>
          <w:spacing w:val="-1"/>
        </w:rPr>
        <w:t>TN</w:t>
      </w:r>
      <w:r w:rsidRPr="0031675F">
        <w:rPr>
          <w:spacing w:val="36"/>
        </w:rPr>
        <w:t xml:space="preserve"> </w:t>
      </w:r>
      <w:r w:rsidRPr="0031675F">
        <w:rPr>
          <w:spacing w:val="-1"/>
        </w:rPr>
        <w:t>Area</w:t>
      </w:r>
      <w:r w:rsidRPr="0031675F">
        <w:rPr>
          <w:spacing w:val="34"/>
        </w:rPr>
        <w:t xml:space="preserve"> </w:t>
      </w:r>
      <w:r w:rsidRPr="0031675F">
        <w:rPr>
          <w:spacing w:val="-1"/>
        </w:rPr>
        <w:t>values</w:t>
      </w:r>
      <w:r w:rsidRPr="0031675F">
        <w:rPr>
          <w:spacing w:val="36"/>
        </w:rPr>
        <w:t xml:space="preserve"> </w:t>
      </w:r>
      <w:r w:rsidRPr="0031675F">
        <w:rPr>
          <w:spacing w:val="-1"/>
        </w:rPr>
        <w:t>against</w:t>
      </w:r>
      <w:r w:rsidRPr="0031675F">
        <w:rPr>
          <w:spacing w:val="34"/>
        </w:rPr>
        <w:t xml:space="preserve"> </w:t>
      </w:r>
      <w:r w:rsidRPr="0031675F">
        <w:t>the</w:t>
      </w:r>
      <w:r w:rsidRPr="0031675F">
        <w:rPr>
          <w:spacing w:val="47"/>
        </w:rPr>
        <w:t xml:space="preserve"> </w:t>
      </w:r>
      <w:r w:rsidRPr="0031675F">
        <w:rPr>
          <w:spacing w:val="-1"/>
        </w:rPr>
        <w:t>Sample</w:t>
      </w:r>
      <w:r w:rsidRPr="0031675F">
        <w:t xml:space="preserve"> </w:t>
      </w:r>
      <w:r w:rsidRPr="0031675F">
        <w:rPr>
          <w:spacing w:val="-1"/>
        </w:rPr>
        <w:t>ID.</w:t>
      </w:r>
      <w:r w:rsidRPr="0031675F">
        <w:t xml:space="preserve"> </w:t>
      </w:r>
      <w:r w:rsidRPr="0031675F">
        <w:rPr>
          <w:spacing w:val="-1"/>
        </w:rPr>
        <w:t>Click</w:t>
      </w:r>
      <w:r w:rsidRPr="0031675F">
        <w:rPr>
          <w:spacing w:val="-2"/>
        </w:rPr>
        <w:t xml:space="preserve"> </w:t>
      </w:r>
      <w:r w:rsidRPr="0031675F">
        <w:rPr>
          <w:spacing w:val="-1"/>
        </w:rPr>
        <w:t>`Next'</w:t>
      </w:r>
    </w:p>
    <w:p w14:paraId="0253C9FF" w14:textId="77777777" w:rsidR="0031675F" w:rsidRPr="0031675F" w:rsidRDefault="0031675F" w:rsidP="0031675F">
      <w:pPr>
        <w:widowControl w:val="0"/>
        <w:numPr>
          <w:ilvl w:val="0"/>
          <w:numId w:val="89"/>
        </w:numPr>
        <w:tabs>
          <w:tab w:val="left" w:pos="479"/>
        </w:tabs>
        <w:spacing w:before="0" w:after="0" w:line="240" w:lineRule="auto"/>
        <w:ind w:right="120"/>
      </w:pPr>
      <w:r w:rsidRPr="0031675F">
        <w:rPr>
          <w:spacing w:val="-1"/>
        </w:rPr>
        <w:t>Pull</w:t>
      </w:r>
      <w:r w:rsidRPr="0031675F">
        <w:rPr>
          <w:spacing w:val="23"/>
        </w:rPr>
        <w:t xml:space="preserve"> </w:t>
      </w:r>
      <w:r w:rsidRPr="0031675F">
        <w:t>boat</w:t>
      </w:r>
      <w:r w:rsidRPr="0031675F">
        <w:rPr>
          <w:spacing w:val="24"/>
        </w:rPr>
        <w:t xml:space="preserve"> </w:t>
      </w:r>
      <w:r w:rsidRPr="0031675F">
        <w:rPr>
          <w:spacing w:val="-1"/>
        </w:rPr>
        <w:t>back</w:t>
      </w:r>
      <w:r w:rsidRPr="0031675F">
        <w:rPr>
          <w:spacing w:val="24"/>
        </w:rPr>
        <w:t xml:space="preserve"> </w:t>
      </w:r>
      <w:r w:rsidRPr="0031675F">
        <w:rPr>
          <w:spacing w:val="-1"/>
        </w:rPr>
        <w:t>(there</w:t>
      </w:r>
      <w:r w:rsidRPr="0031675F">
        <w:rPr>
          <w:spacing w:val="25"/>
        </w:rPr>
        <w:t xml:space="preserve"> </w:t>
      </w:r>
      <w:r w:rsidRPr="0031675F">
        <w:rPr>
          <w:spacing w:val="-1"/>
        </w:rPr>
        <w:t>should</w:t>
      </w:r>
      <w:r w:rsidRPr="0031675F">
        <w:rPr>
          <w:spacing w:val="23"/>
        </w:rPr>
        <w:t xml:space="preserve"> </w:t>
      </w:r>
      <w:r w:rsidRPr="0031675F">
        <w:rPr>
          <w:spacing w:val="-1"/>
        </w:rPr>
        <w:t>be</w:t>
      </w:r>
      <w:r w:rsidRPr="0031675F">
        <w:rPr>
          <w:spacing w:val="25"/>
        </w:rPr>
        <w:t xml:space="preserve"> </w:t>
      </w:r>
      <w:r w:rsidRPr="0031675F">
        <w:t>at</w:t>
      </w:r>
      <w:r w:rsidRPr="0031675F">
        <w:rPr>
          <w:spacing w:val="24"/>
        </w:rPr>
        <w:t xml:space="preserve"> </w:t>
      </w:r>
      <w:r w:rsidRPr="0031675F">
        <w:t>least</w:t>
      </w:r>
      <w:r w:rsidRPr="0031675F">
        <w:rPr>
          <w:spacing w:val="24"/>
        </w:rPr>
        <w:t xml:space="preserve"> </w:t>
      </w:r>
      <w:r w:rsidRPr="0031675F">
        <w:t>two</w:t>
      </w:r>
      <w:r w:rsidRPr="0031675F">
        <w:rPr>
          <w:spacing w:val="24"/>
        </w:rPr>
        <w:t xml:space="preserve"> </w:t>
      </w:r>
      <w:r w:rsidRPr="0031675F">
        <w:rPr>
          <w:spacing w:val="-1"/>
        </w:rPr>
        <w:t>minutes</w:t>
      </w:r>
      <w:r w:rsidRPr="0031675F">
        <w:rPr>
          <w:spacing w:val="22"/>
        </w:rPr>
        <w:t xml:space="preserve"> </w:t>
      </w:r>
      <w:r w:rsidRPr="0031675F">
        <w:t>in</w:t>
      </w:r>
      <w:r w:rsidRPr="0031675F">
        <w:rPr>
          <w:spacing w:val="23"/>
        </w:rPr>
        <w:t xml:space="preserve"> </w:t>
      </w:r>
      <w:r w:rsidRPr="0031675F">
        <w:t>the</w:t>
      </w:r>
      <w:r w:rsidRPr="0031675F">
        <w:rPr>
          <w:spacing w:val="24"/>
        </w:rPr>
        <w:t xml:space="preserve"> </w:t>
      </w:r>
      <w:r w:rsidRPr="0031675F">
        <w:t>cool</w:t>
      </w:r>
      <w:r w:rsidRPr="0031675F">
        <w:rPr>
          <w:spacing w:val="24"/>
        </w:rPr>
        <w:t xml:space="preserve"> </w:t>
      </w:r>
      <w:r w:rsidRPr="0031675F">
        <w:rPr>
          <w:spacing w:val="-1"/>
        </w:rPr>
        <w:t>position)</w:t>
      </w:r>
      <w:r w:rsidRPr="0031675F">
        <w:rPr>
          <w:spacing w:val="24"/>
        </w:rPr>
        <w:t xml:space="preserve"> </w:t>
      </w:r>
      <w:r w:rsidRPr="0031675F">
        <w:rPr>
          <w:spacing w:val="-1"/>
        </w:rPr>
        <w:t>to</w:t>
      </w:r>
      <w:r w:rsidRPr="0031675F">
        <w:rPr>
          <w:spacing w:val="25"/>
        </w:rPr>
        <w:t xml:space="preserve"> </w:t>
      </w:r>
      <w:r w:rsidRPr="0031675F">
        <w:rPr>
          <w:spacing w:val="-1"/>
        </w:rPr>
        <w:t>the</w:t>
      </w:r>
      <w:r w:rsidRPr="0031675F">
        <w:rPr>
          <w:spacing w:val="25"/>
        </w:rPr>
        <w:t xml:space="preserve"> </w:t>
      </w:r>
      <w:r w:rsidRPr="0031675F">
        <w:rPr>
          <w:spacing w:val="-1"/>
        </w:rPr>
        <w:t>start</w:t>
      </w:r>
      <w:r w:rsidRPr="0031675F">
        <w:rPr>
          <w:spacing w:val="25"/>
        </w:rPr>
        <w:t xml:space="preserve"> </w:t>
      </w:r>
      <w:r w:rsidRPr="0031675F">
        <w:rPr>
          <w:spacing w:val="-1"/>
        </w:rPr>
        <w:t>position.</w:t>
      </w:r>
      <w:r w:rsidRPr="0031675F">
        <w:rPr>
          <w:spacing w:val="45"/>
        </w:rPr>
        <w:t xml:space="preserve"> </w:t>
      </w:r>
      <w:r w:rsidRPr="0031675F">
        <w:rPr>
          <w:spacing w:val="-1"/>
        </w:rPr>
        <w:t>Open up the</w:t>
      </w:r>
      <w:r w:rsidRPr="0031675F">
        <w:t xml:space="preserve"> </w:t>
      </w:r>
      <w:r w:rsidRPr="0031675F">
        <w:rPr>
          <w:spacing w:val="-1"/>
        </w:rPr>
        <w:t>holder.</w:t>
      </w:r>
      <w:r w:rsidRPr="0031675F">
        <w:rPr>
          <w:spacing w:val="-3"/>
        </w:rPr>
        <w:t xml:space="preserve"> </w:t>
      </w:r>
      <w:r w:rsidRPr="0031675F">
        <w:rPr>
          <w:spacing w:val="-1"/>
        </w:rPr>
        <w:t>Take the</w:t>
      </w:r>
      <w:r w:rsidRPr="0031675F">
        <w:t xml:space="preserve"> old</w:t>
      </w:r>
      <w:r w:rsidRPr="0031675F">
        <w:rPr>
          <w:spacing w:val="-1"/>
        </w:rPr>
        <w:t xml:space="preserve"> boat</w:t>
      </w:r>
      <w:r w:rsidRPr="0031675F">
        <w:rPr>
          <w:spacing w:val="-2"/>
        </w:rPr>
        <w:t xml:space="preserve"> </w:t>
      </w:r>
      <w:r w:rsidRPr="0031675F">
        <w:t>out</w:t>
      </w:r>
      <w:r w:rsidRPr="0031675F">
        <w:rPr>
          <w:spacing w:val="-2"/>
        </w:rPr>
        <w:t xml:space="preserve"> </w:t>
      </w:r>
      <w:r w:rsidRPr="0031675F">
        <w:rPr>
          <w:spacing w:val="-1"/>
        </w:rPr>
        <w:t>and</w:t>
      </w:r>
      <w:r w:rsidRPr="0031675F">
        <w:rPr>
          <w:spacing w:val="1"/>
        </w:rPr>
        <w:t xml:space="preserve"> </w:t>
      </w:r>
      <w:r w:rsidRPr="0031675F">
        <w:rPr>
          <w:spacing w:val="-1"/>
        </w:rPr>
        <w:t>put</w:t>
      </w:r>
      <w:r w:rsidRPr="0031675F">
        <w:t xml:space="preserve"> </w:t>
      </w:r>
      <w:r w:rsidRPr="0031675F">
        <w:rPr>
          <w:spacing w:val="-1"/>
        </w:rPr>
        <w:t>the</w:t>
      </w:r>
      <w:r w:rsidRPr="0031675F">
        <w:t xml:space="preserve"> </w:t>
      </w:r>
      <w:r w:rsidRPr="0031675F">
        <w:rPr>
          <w:spacing w:val="-1"/>
        </w:rPr>
        <w:t>new</w:t>
      </w:r>
      <w:r w:rsidRPr="0031675F">
        <w:rPr>
          <w:spacing w:val="-2"/>
        </w:rPr>
        <w:t xml:space="preserve"> </w:t>
      </w:r>
      <w:r w:rsidRPr="0031675F">
        <w:rPr>
          <w:spacing w:val="-1"/>
        </w:rPr>
        <w:t>boat</w:t>
      </w:r>
      <w:r w:rsidRPr="0031675F">
        <w:rPr>
          <w:spacing w:val="-2"/>
        </w:rPr>
        <w:t xml:space="preserve"> </w:t>
      </w:r>
      <w:r w:rsidRPr="0031675F">
        <w:t>in.</w:t>
      </w:r>
      <w:r w:rsidRPr="0031675F">
        <w:rPr>
          <w:spacing w:val="-2"/>
        </w:rPr>
        <w:t xml:space="preserve"> </w:t>
      </w:r>
      <w:r w:rsidRPr="0031675F">
        <w:rPr>
          <w:spacing w:val="-1"/>
        </w:rPr>
        <w:t>Seal</w:t>
      </w:r>
      <w:r w:rsidRPr="0031675F">
        <w:t xml:space="preserve"> </w:t>
      </w:r>
      <w:r w:rsidRPr="0031675F">
        <w:rPr>
          <w:spacing w:val="-1"/>
        </w:rPr>
        <w:t>holder.</w:t>
      </w:r>
      <w:r w:rsidRPr="0031675F">
        <w:rPr>
          <w:spacing w:val="-3"/>
        </w:rPr>
        <w:t xml:space="preserve"> </w:t>
      </w:r>
      <w:r w:rsidRPr="0031675F">
        <w:t>Repeat</w:t>
      </w:r>
      <w:r w:rsidRPr="0031675F">
        <w:rPr>
          <w:spacing w:val="-2"/>
        </w:rPr>
        <w:t xml:space="preserve"> </w:t>
      </w:r>
      <w:r w:rsidRPr="0031675F">
        <w:rPr>
          <w:spacing w:val="-1"/>
        </w:rPr>
        <w:t xml:space="preserve">from </w:t>
      </w:r>
      <w:r w:rsidRPr="0031675F">
        <w:t>18.</w:t>
      </w:r>
    </w:p>
    <w:p w14:paraId="6378F135" w14:textId="77777777" w:rsidR="0031675F" w:rsidRPr="0031675F" w:rsidRDefault="0031675F" w:rsidP="0031675F">
      <w:pPr>
        <w:rPr>
          <w:rFonts w:cs="Calibri"/>
        </w:rPr>
      </w:pPr>
    </w:p>
    <w:p w14:paraId="31CA7997" w14:textId="77777777" w:rsidR="0031675F" w:rsidRPr="0031675F" w:rsidRDefault="0031675F" w:rsidP="0031675F">
      <w:pPr>
        <w:spacing w:after="120"/>
      </w:pPr>
      <w:r w:rsidRPr="0031675F">
        <w:rPr>
          <w:spacing w:val="-1"/>
        </w:rPr>
        <w:t>Shutting down</w:t>
      </w:r>
      <w:r w:rsidRPr="0031675F">
        <w:t xml:space="preserve"> </w:t>
      </w:r>
      <w:r w:rsidRPr="0031675F">
        <w:rPr>
          <w:spacing w:val="-2"/>
        </w:rPr>
        <w:t>the</w:t>
      </w:r>
      <w:r w:rsidRPr="0031675F">
        <w:t xml:space="preserve"> </w:t>
      </w:r>
      <w:r w:rsidRPr="0031675F">
        <w:rPr>
          <w:spacing w:val="-1"/>
        </w:rPr>
        <w:t>Instrument</w:t>
      </w:r>
    </w:p>
    <w:p w14:paraId="3FA75F96" w14:textId="77777777" w:rsidR="0031675F" w:rsidRPr="0031675F" w:rsidRDefault="0031675F" w:rsidP="0031675F">
      <w:pPr>
        <w:widowControl w:val="0"/>
        <w:numPr>
          <w:ilvl w:val="0"/>
          <w:numId w:val="88"/>
        </w:numPr>
        <w:tabs>
          <w:tab w:val="left" w:pos="479"/>
        </w:tabs>
        <w:spacing w:before="0" w:after="0" w:line="240" w:lineRule="auto"/>
      </w:pPr>
      <w:r w:rsidRPr="0031675F">
        <w:rPr>
          <w:spacing w:val="-1"/>
        </w:rPr>
        <w:t>Save</w:t>
      </w:r>
      <w:r w:rsidRPr="0031675F">
        <w:t xml:space="preserve"> a</w:t>
      </w:r>
      <w:r w:rsidRPr="0031675F">
        <w:rPr>
          <w:spacing w:val="-3"/>
        </w:rPr>
        <w:t xml:space="preserve"> </w:t>
      </w:r>
      <w:r w:rsidRPr="0031675F">
        <w:rPr>
          <w:spacing w:val="-1"/>
        </w:rPr>
        <w:t>copy</w:t>
      </w:r>
      <w:r w:rsidRPr="0031675F">
        <w:rPr>
          <w:spacing w:val="-2"/>
        </w:rPr>
        <w:t xml:space="preserve"> </w:t>
      </w:r>
      <w:r w:rsidRPr="0031675F">
        <w:t>of</w:t>
      </w:r>
      <w:r w:rsidRPr="0031675F">
        <w:rPr>
          <w:spacing w:val="1"/>
        </w:rPr>
        <w:t xml:space="preserve"> </w:t>
      </w:r>
      <w:r w:rsidRPr="0031675F">
        <w:rPr>
          <w:spacing w:val="-1"/>
        </w:rPr>
        <w:t>the</w:t>
      </w:r>
      <w:r w:rsidRPr="0031675F">
        <w:t xml:space="preserve"> </w:t>
      </w:r>
      <w:r w:rsidRPr="0031675F">
        <w:rPr>
          <w:spacing w:val="-1"/>
        </w:rPr>
        <w:t>Excel</w:t>
      </w:r>
      <w:r w:rsidRPr="0031675F">
        <w:t xml:space="preserve"> </w:t>
      </w:r>
      <w:r w:rsidRPr="0031675F">
        <w:rPr>
          <w:spacing w:val="-2"/>
        </w:rPr>
        <w:t>file</w:t>
      </w:r>
      <w:r w:rsidRPr="0031675F">
        <w:t xml:space="preserve"> </w:t>
      </w:r>
      <w:r w:rsidRPr="0031675F">
        <w:rPr>
          <w:spacing w:val="-1"/>
        </w:rPr>
        <w:t>to</w:t>
      </w:r>
      <w:r w:rsidRPr="0031675F">
        <w:rPr>
          <w:spacing w:val="1"/>
        </w:rPr>
        <w:t xml:space="preserve"> </w:t>
      </w:r>
      <w:r w:rsidRPr="0031675F">
        <w:rPr>
          <w:spacing w:val="-1"/>
        </w:rPr>
        <w:t>disk</w:t>
      </w:r>
      <w:r w:rsidRPr="0031675F">
        <w:rPr>
          <w:spacing w:val="-2"/>
        </w:rPr>
        <w:t xml:space="preserve"> </w:t>
      </w:r>
      <w:r w:rsidRPr="0031675F">
        <w:t>/</w:t>
      </w:r>
      <w:r w:rsidRPr="0031675F">
        <w:rPr>
          <w:spacing w:val="-1"/>
        </w:rPr>
        <w:t xml:space="preserve"> memory</w:t>
      </w:r>
      <w:r w:rsidRPr="0031675F">
        <w:rPr>
          <w:spacing w:val="-2"/>
        </w:rPr>
        <w:t xml:space="preserve"> </w:t>
      </w:r>
      <w:r w:rsidRPr="0031675F">
        <w:rPr>
          <w:spacing w:val="-1"/>
        </w:rPr>
        <w:t>stick</w:t>
      </w:r>
      <w:r w:rsidRPr="0031675F">
        <w:t xml:space="preserve"> </w:t>
      </w:r>
      <w:r w:rsidRPr="0031675F">
        <w:rPr>
          <w:spacing w:val="-2"/>
        </w:rPr>
        <w:t>and</w:t>
      </w:r>
      <w:r w:rsidRPr="0031675F">
        <w:rPr>
          <w:spacing w:val="-1"/>
        </w:rPr>
        <w:t xml:space="preserve"> close</w:t>
      </w:r>
      <w:r w:rsidRPr="0031675F">
        <w:rPr>
          <w:spacing w:val="-2"/>
        </w:rPr>
        <w:t xml:space="preserve"> </w:t>
      </w:r>
      <w:r w:rsidRPr="0031675F">
        <w:rPr>
          <w:spacing w:val="-1"/>
        </w:rPr>
        <w:t>Excel</w:t>
      </w:r>
      <w:r w:rsidRPr="0031675F">
        <w:t xml:space="preserve"> </w:t>
      </w:r>
      <w:r w:rsidRPr="0031675F">
        <w:rPr>
          <w:spacing w:val="-1"/>
        </w:rPr>
        <w:t>file.</w:t>
      </w:r>
    </w:p>
    <w:p w14:paraId="130ACD25" w14:textId="77777777" w:rsidR="0031675F" w:rsidRPr="0031675F" w:rsidRDefault="0031675F" w:rsidP="0031675F">
      <w:pPr>
        <w:widowControl w:val="0"/>
        <w:numPr>
          <w:ilvl w:val="0"/>
          <w:numId w:val="88"/>
        </w:numPr>
        <w:tabs>
          <w:tab w:val="left" w:pos="479"/>
        </w:tabs>
        <w:spacing w:before="0" w:after="0" w:line="240" w:lineRule="auto"/>
      </w:pPr>
      <w:r w:rsidRPr="0031675F">
        <w:t>Press</w:t>
      </w:r>
      <w:r w:rsidRPr="0031675F">
        <w:rPr>
          <w:spacing w:val="-2"/>
        </w:rPr>
        <w:t xml:space="preserve"> </w:t>
      </w:r>
      <w:r w:rsidRPr="0031675F">
        <w:rPr>
          <w:spacing w:val="-1"/>
        </w:rPr>
        <w:t xml:space="preserve">`Stop' </w:t>
      </w:r>
      <w:r w:rsidRPr="0031675F">
        <w:t>on</w:t>
      </w:r>
      <w:r w:rsidRPr="0031675F">
        <w:rPr>
          <w:spacing w:val="-3"/>
        </w:rPr>
        <w:t xml:space="preserve"> </w:t>
      </w:r>
      <w:r w:rsidRPr="0031675F">
        <w:rPr>
          <w:spacing w:val="-1"/>
        </w:rPr>
        <w:t>PC,</w:t>
      </w:r>
      <w:r w:rsidRPr="0031675F">
        <w:rPr>
          <w:spacing w:val="-3"/>
        </w:rPr>
        <w:t xml:space="preserve"> </w:t>
      </w:r>
      <w:r w:rsidRPr="0031675F">
        <w:t>and</w:t>
      </w:r>
      <w:r w:rsidRPr="0031675F">
        <w:rPr>
          <w:spacing w:val="-2"/>
        </w:rPr>
        <w:t xml:space="preserve"> </w:t>
      </w:r>
      <w:r w:rsidRPr="0031675F">
        <w:rPr>
          <w:spacing w:val="-1"/>
        </w:rPr>
        <w:t>shut</w:t>
      </w:r>
      <w:r w:rsidRPr="0031675F">
        <w:t xml:space="preserve"> </w:t>
      </w:r>
      <w:r w:rsidRPr="0031675F">
        <w:rPr>
          <w:spacing w:val="-1"/>
        </w:rPr>
        <w:t>down</w:t>
      </w:r>
      <w:r w:rsidRPr="0031675F">
        <w:t xml:space="preserve"> </w:t>
      </w:r>
      <w:r w:rsidRPr="0031675F">
        <w:rPr>
          <w:spacing w:val="-1"/>
        </w:rPr>
        <w:t>PC.</w:t>
      </w:r>
    </w:p>
    <w:p w14:paraId="206CBB24" w14:textId="77777777" w:rsidR="0031675F" w:rsidRPr="0031675F" w:rsidRDefault="0031675F" w:rsidP="0031675F">
      <w:pPr>
        <w:widowControl w:val="0"/>
        <w:numPr>
          <w:ilvl w:val="0"/>
          <w:numId w:val="88"/>
        </w:numPr>
        <w:tabs>
          <w:tab w:val="left" w:pos="479"/>
        </w:tabs>
        <w:spacing w:before="0" w:after="0" w:line="240" w:lineRule="auto"/>
      </w:pPr>
      <w:r w:rsidRPr="0031675F">
        <w:rPr>
          <w:spacing w:val="-1"/>
        </w:rPr>
        <w:t>Turn</w:t>
      </w:r>
      <w:r w:rsidRPr="0031675F">
        <w:rPr>
          <w:spacing w:val="-2"/>
        </w:rPr>
        <w:t xml:space="preserve"> </w:t>
      </w:r>
      <w:r w:rsidRPr="0031675F">
        <w:t>off</w:t>
      </w:r>
      <w:r w:rsidRPr="0031675F">
        <w:rPr>
          <w:spacing w:val="-3"/>
        </w:rPr>
        <w:t xml:space="preserve"> </w:t>
      </w:r>
      <w:r w:rsidRPr="0031675F">
        <w:rPr>
          <w:spacing w:val="-1"/>
        </w:rPr>
        <w:t>TOC-V</w:t>
      </w:r>
      <w:r w:rsidRPr="0031675F">
        <w:t xml:space="preserve"> </w:t>
      </w:r>
      <w:r w:rsidRPr="0031675F">
        <w:rPr>
          <w:spacing w:val="-1"/>
        </w:rPr>
        <w:t>instrument,</w:t>
      </w:r>
      <w:r w:rsidRPr="0031675F">
        <w:rPr>
          <w:spacing w:val="-2"/>
        </w:rPr>
        <w:t xml:space="preserve"> </w:t>
      </w:r>
      <w:r w:rsidRPr="0031675F">
        <w:t>TN</w:t>
      </w:r>
      <w:r w:rsidRPr="0031675F">
        <w:rPr>
          <w:spacing w:val="-1"/>
        </w:rPr>
        <w:t xml:space="preserve"> unit</w:t>
      </w:r>
      <w:r w:rsidRPr="0031675F">
        <w:t xml:space="preserve"> and</w:t>
      </w:r>
      <w:r w:rsidRPr="0031675F">
        <w:rPr>
          <w:spacing w:val="-2"/>
        </w:rPr>
        <w:t xml:space="preserve"> </w:t>
      </w:r>
      <w:r w:rsidRPr="0031675F">
        <w:rPr>
          <w:spacing w:val="-1"/>
        </w:rPr>
        <w:t>Solid</w:t>
      </w:r>
      <w:r w:rsidRPr="0031675F">
        <w:rPr>
          <w:spacing w:val="-3"/>
        </w:rPr>
        <w:t xml:space="preserve"> </w:t>
      </w:r>
      <w:r w:rsidRPr="0031675F">
        <w:rPr>
          <w:spacing w:val="-1"/>
        </w:rPr>
        <w:t>Sample</w:t>
      </w:r>
      <w:r w:rsidRPr="0031675F">
        <w:rPr>
          <w:spacing w:val="-5"/>
        </w:rPr>
        <w:t xml:space="preserve"> </w:t>
      </w:r>
      <w:r w:rsidRPr="0031675F">
        <w:rPr>
          <w:spacing w:val="-1"/>
        </w:rPr>
        <w:t>Module</w:t>
      </w:r>
      <w:r w:rsidRPr="0031675F">
        <w:t xml:space="preserve"> </w:t>
      </w:r>
      <w:r w:rsidRPr="0031675F">
        <w:rPr>
          <w:spacing w:val="-1"/>
        </w:rPr>
        <w:t>(SSM)</w:t>
      </w:r>
    </w:p>
    <w:p w14:paraId="06541E7C" w14:textId="77777777" w:rsidR="0031675F" w:rsidRPr="0031675F" w:rsidRDefault="0031675F" w:rsidP="0031675F">
      <w:pPr>
        <w:widowControl w:val="0"/>
        <w:numPr>
          <w:ilvl w:val="0"/>
          <w:numId w:val="88"/>
        </w:numPr>
        <w:tabs>
          <w:tab w:val="left" w:pos="479"/>
        </w:tabs>
        <w:spacing w:before="0" w:after="0" w:line="240" w:lineRule="auto"/>
        <w:rPr>
          <w:rFonts w:cs="Calibri"/>
          <w:sz w:val="20"/>
          <w:szCs w:val="20"/>
        </w:rPr>
      </w:pPr>
      <w:r w:rsidRPr="0031675F">
        <w:rPr>
          <w:spacing w:val="-1"/>
        </w:rPr>
        <w:t>Turn</w:t>
      </w:r>
      <w:r w:rsidRPr="0031675F">
        <w:rPr>
          <w:spacing w:val="-2"/>
        </w:rPr>
        <w:t xml:space="preserve"> </w:t>
      </w:r>
      <w:r w:rsidRPr="0031675F">
        <w:t xml:space="preserve">off </w:t>
      </w:r>
      <w:r w:rsidRPr="0031675F">
        <w:rPr>
          <w:spacing w:val="-1"/>
        </w:rPr>
        <w:t>Gases</w:t>
      </w:r>
      <w:r w:rsidRPr="0031675F">
        <w:rPr>
          <w:spacing w:val="-2"/>
        </w:rPr>
        <w:t xml:space="preserve"> </w:t>
      </w:r>
      <w:r w:rsidRPr="0031675F">
        <w:rPr>
          <w:spacing w:val="-1"/>
        </w:rPr>
        <w:t>(Air</w:t>
      </w:r>
      <w:r w:rsidRPr="0031675F">
        <w:t xml:space="preserve"> and</w:t>
      </w:r>
      <w:r w:rsidRPr="0031675F">
        <w:rPr>
          <w:spacing w:val="-2"/>
        </w:rPr>
        <w:t xml:space="preserve"> </w:t>
      </w:r>
      <w:r w:rsidRPr="0031675F">
        <w:rPr>
          <w:spacing w:val="-1"/>
        </w:rPr>
        <w:t>Oxygen)</w:t>
      </w:r>
    </w:p>
    <w:p w14:paraId="64223CAF" w14:textId="77777777" w:rsidR="0031675F" w:rsidRPr="0031675F" w:rsidRDefault="0031675F" w:rsidP="0031675F">
      <w:pPr>
        <w:rPr>
          <w:rFonts w:cs="Calibri"/>
          <w:sz w:val="20"/>
          <w:szCs w:val="20"/>
        </w:rPr>
      </w:pPr>
      <w:r w:rsidRPr="0031675F">
        <w:rPr>
          <w:rFonts w:cs="Calibri"/>
          <w:sz w:val="20"/>
          <w:szCs w:val="20"/>
        </w:rPr>
        <w:br w:type="page"/>
      </w:r>
    </w:p>
    <w:p w14:paraId="107EE3EA" w14:textId="77777777" w:rsidR="0031675F" w:rsidRPr="0031675F" w:rsidRDefault="0031675F" w:rsidP="0031675F">
      <w:pPr>
        <w:rPr>
          <w:rFonts w:cs="Calibri"/>
          <w:sz w:val="20"/>
          <w:szCs w:val="20"/>
        </w:rPr>
      </w:pPr>
    </w:p>
    <w:p w14:paraId="6EFA2F6B" w14:textId="77777777" w:rsidR="0031675F" w:rsidRPr="0031675F" w:rsidRDefault="0031675F" w:rsidP="0031675F">
      <w:pPr>
        <w:tabs>
          <w:tab w:val="left" w:pos="2278"/>
        </w:tabs>
        <w:spacing w:before="206"/>
        <w:ind w:left="2278" w:right="99" w:hanging="2160"/>
        <w:rPr>
          <w:b/>
          <w:sz w:val="24"/>
        </w:rPr>
      </w:pPr>
      <w:r w:rsidRPr="0031675F">
        <w:rPr>
          <w:b/>
          <w:spacing w:val="-1"/>
          <w:sz w:val="24"/>
        </w:rPr>
        <w:t xml:space="preserve">Attachment </w:t>
      </w:r>
      <w:r w:rsidRPr="0031675F">
        <w:rPr>
          <w:b/>
          <w:sz w:val="24"/>
        </w:rPr>
        <w:t>8.2</w:t>
      </w:r>
      <w:r w:rsidRPr="0031675F">
        <w:rPr>
          <w:b/>
          <w:sz w:val="24"/>
        </w:rPr>
        <w:tab/>
      </w:r>
      <w:r w:rsidRPr="0031675F">
        <w:rPr>
          <w:b/>
          <w:spacing w:val="-1"/>
          <w:sz w:val="24"/>
        </w:rPr>
        <w:t>Example</w:t>
      </w:r>
      <w:r w:rsidRPr="0031675F">
        <w:rPr>
          <w:b/>
          <w:spacing w:val="15"/>
          <w:sz w:val="24"/>
        </w:rPr>
        <w:t xml:space="preserve"> </w:t>
      </w:r>
      <w:r w:rsidRPr="0031675F">
        <w:rPr>
          <w:b/>
          <w:sz w:val="24"/>
        </w:rPr>
        <w:t>worksheet</w:t>
      </w:r>
      <w:r w:rsidRPr="0031675F">
        <w:rPr>
          <w:b/>
          <w:spacing w:val="16"/>
          <w:sz w:val="24"/>
        </w:rPr>
        <w:t xml:space="preserve"> </w:t>
      </w:r>
      <w:r w:rsidRPr="0031675F">
        <w:rPr>
          <w:b/>
          <w:spacing w:val="-2"/>
          <w:sz w:val="24"/>
        </w:rPr>
        <w:t>for</w:t>
      </w:r>
      <w:r w:rsidRPr="0031675F">
        <w:rPr>
          <w:b/>
          <w:spacing w:val="17"/>
          <w:sz w:val="24"/>
        </w:rPr>
        <w:t xml:space="preserve"> </w:t>
      </w:r>
      <w:r w:rsidRPr="0031675F">
        <w:rPr>
          <w:b/>
          <w:spacing w:val="-1"/>
          <w:sz w:val="24"/>
        </w:rPr>
        <w:t>analysis</w:t>
      </w:r>
      <w:r w:rsidRPr="0031675F">
        <w:rPr>
          <w:b/>
          <w:spacing w:val="18"/>
          <w:sz w:val="24"/>
        </w:rPr>
        <w:t xml:space="preserve"> </w:t>
      </w:r>
      <w:r w:rsidRPr="0031675F">
        <w:rPr>
          <w:b/>
          <w:sz w:val="24"/>
        </w:rPr>
        <w:t>of</w:t>
      </w:r>
      <w:r w:rsidRPr="0031675F">
        <w:rPr>
          <w:b/>
          <w:spacing w:val="16"/>
          <w:sz w:val="24"/>
        </w:rPr>
        <w:t xml:space="preserve"> </w:t>
      </w:r>
      <w:r w:rsidRPr="0031675F">
        <w:rPr>
          <w:b/>
          <w:sz w:val="24"/>
        </w:rPr>
        <w:t>particulate</w:t>
      </w:r>
      <w:r w:rsidRPr="0031675F">
        <w:rPr>
          <w:b/>
          <w:spacing w:val="17"/>
          <w:sz w:val="24"/>
        </w:rPr>
        <w:t xml:space="preserve"> </w:t>
      </w:r>
      <w:r w:rsidRPr="0031675F">
        <w:rPr>
          <w:b/>
          <w:sz w:val="24"/>
        </w:rPr>
        <w:t>carbon</w:t>
      </w:r>
      <w:r w:rsidRPr="0031675F">
        <w:rPr>
          <w:b/>
          <w:spacing w:val="16"/>
          <w:sz w:val="24"/>
        </w:rPr>
        <w:t xml:space="preserve"> </w:t>
      </w:r>
      <w:r w:rsidRPr="0031675F">
        <w:rPr>
          <w:b/>
          <w:spacing w:val="-1"/>
          <w:sz w:val="24"/>
        </w:rPr>
        <w:t>using</w:t>
      </w:r>
      <w:r w:rsidRPr="0031675F">
        <w:rPr>
          <w:b/>
          <w:spacing w:val="45"/>
          <w:sz w:val="24"/>
        </w:rPr>
        <w:t xml:space="preserve"> </w:t>
      </w:r>
      <w:r w:rsidRPr="0031675F">
        <w:rPr>
          <w:b/>
          <w:spacing w:val="-1"/>
          <w:sz w:val="24"/>
        </w:rPr>
        <w:t>the</w:t>
      </w:r>
      <w:r w:rsidRPr="0031675F">
        <w:rPr>
          <w:b/>
          <w:sz w:val="24"/>
        </w:rPr>
        <w:t xml:space="preserve"> Shimadzu TOC-V</w:t>
      </w:r>
    </w:p>
    <w:p w14:paraId="0EFA0A8B" w14:textId="77777777" w:rsidR="0031675F" w:rsidRPr="0031675F" w:rsidRDefault="0031675F" w:rsidP="0031675F">
      <w:pPr>
        <w:tabs>
          <w:tab w:val="left" w:pos="2278"/>
        </w:tabs>
        <w:spacing w:before="206"/>
        <w:ind w:left="2278" w:right="99" w:hanging="2160"/>
        <w:rPr>
          <w:rFonts w:eastAsia="Arial" w:cs="Arial"/>
          <w:sz w:val="24"/>
          <w:szCs w:val="24"/>
        </w:rPr>
      </w:pPr>
    </w:p>
    <w:p w14:paraId="297334EA" w14:textId="77777777" w:rsidR="0031675F" w:rsidRPr="0031675F" w:rsidRDefault="0031675F" w:rsidP="0031675F">
      <w:pPr>
        <w:rPr>
          <w:rFonts w:eastAsia="Arial" w:cs="Arial"/>
          <w:b/>
          <w:bCs/>
          <w:sz w:val="20"/>
          <w:szCs w:val="20"/>
        </w:rPr>
      </w:pPr>
      <w:r w:rsidRPr="0031675F">
        <w:rPr>
          <w:noProof/>
          <w:lang w:eastAsia="en-AU"/>
        </w:rPr>
        <w:drawing>
          <wp:inline distT="0" distB="0" distL="0" distR="0" wp14:anchorId="27D86523" wp14:editId="353293D0">
            <wp:extent cx="4943475" cy="6200775"/>
            <wp:effectExtent l="0" t="0" r="9525" b="9525"/>
            <wp:docPr id="18525" name="Picture 18525" descr="Data sheet with calibration graph.&#10;" title="Example worksheet for analysis of particulate carbon using the Shimadzu TOC-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0"/>
                    <a:stretch>
                      <a:fillRect/>
                    </a:stretch>
                  </pic:blipFill>
                  <pic:spPr>
                    <a:xfrm>
                      <a:off x="0" y="0"/>
                      <a:ext cx="4943475" cy="6200775"/>
                    </a:xfrm>
                    <a:prstGeom prst="rect">
                      <a:avLst/>
                    </a:prstGeom>
                  </pic:spPr>
                </pic:pic>
              </a:graphicData>
            </a:graphic>
          </wp:inline>
        </w:drawing>
      </w:r>
    </w:p>
    <w:p w14:paraId="43C1B43F" w14:textId="77777777" w:rsidR="0031675F" w:rsidRPr="0031675F" w:rsidRDefault="0031675F" w:rsidP="0031675F">
      <w:pPr>
        <w:rPr>
          <w:rFonts w:eastAsia="Arial" w:cs="Arial"/>
          <w:b/>
          <w:bCs/>
          <w:sz w:val="20"/>
          <w:szCs w:val="20"/>
        </w:rPr>
      </w:pPr>
    </w:p>
    <w:p w14:paraId="792CBA69" w14:textId="77777777" w:rsidR="0031675F" w:rsidRPr="0031675F" w:rsidRDefault="0031675F" w:rsidP="0031675F">
      <w:pPr>
        <w:spacing w:before="6"/>
        <w:rPr>
          <w:rFonts w:eastAsia="Arial" w:cs="Arial"/>
          <w:b/>
          <w:bCs/>
          <w:sz w:val="23"/>
          <w:szCs w:val="23"/>
        </w:rPr>
      </w:pPr>
    </w:p>
    <w:p w14:paraId="43F85311" w14:textId="77777777" w:rsidR="0031675F" w:rsidRPr="0031675F" w:rsidRDefault="0031675F" w:rsidP="0031675F">
      <w:pPr>
        <w:rPr>
          <w:rFonts w:eastAsia="Arial" w:cs="Arial"/>
          <w:sz w:val="23"/>
          <w:szCs w:val="23"/>
        </w:rPr>
        <w:sectPr w:rsidR="0031675F" w:rsidRPr="0031675F" w:rsidSect="004A5C83">
          <w:type w:val="nextColumn"/>
          <w:pgSz w:w="11910" w:h="16850"/>
          <w:pgMar w:top="720" w:right="1281" w:bottom="697" w:left="1281" w:header="397" w:footer="500" w:gutter="0"/>
          <w:paperSrc w:first="7" w:other="7"/>
          <w:cols w:space="720"/>
          <w:docGrid w:linePitch="299"/>
        </w:sectPr>
      </w:pPr>
    </w:p>
    <w:p w14:paraId="28979602" w14:textId="77777777" w:rsidR="0031675F" w:rsidRPr="0031675F" w:rsidRDefault="0031675F" w:rsidP="0031675F">
      <w:pPr>
        <w:rPr>
          <w:rFonts w:ascii="Book Antiqua" w:eastAsia="Book Antiqua" w:hAnsi="Book Antiqua" w:cs="Book Antiqua"/>
          <w:sz w:val="20"/>
          <w:szCs w:val="20"/>
        </w:rPr>
      </w:pPr>
    </w:p>
    <w:p w14:paraId="5A62949B" w14:textId="5336EC87" w:rsidR="0031675F" w:rsidRPr="0031675F" w:rsidRDefault="0031675F" w:rsidP="005A35E3">
      <w:pPr>
        <w:pStyle w:val="Heading2"/>
        <w:numPr>
          <w:ilvl w:val="0"/>
          <w:numId w:val="0"/>
        </w:numPr>
        <w:ind w:left="284"/>
      </w:pPr>
      <w:bookmarkStart w:id="699" w:name="_Toc423356995"/>
      <w:bookmarkStart w:id="700" w:name="_Toc523830559"/>
      <w:bookmarkStart w:id="701" w:name="_Toc523905145"/>
      <w:bookmarkStart w:id="702" w:name="_Toc523905387"/>
      <w:bookmarkStart w:id="703" w:name="_Toc534968698"/>
      <w:bookmarkStart w:id="704" w:name="_Toc12365636"/>
      <w:r w:rsidRPr="00FF3C2F">
        <w:t>Section A9: Analysis of chlorophyll a in marine waters</w:t>
      </w:r>
      <w:bookmarkEnd w:id="699"/>
      <w:bookmarkEnd w:id="700"/>
      <w:bookmarkEnd w:id="701"/>
      <w:bookmarkEnd w:id="702"/>
      <w:bookmarkEnd w:id="703"/>
      <w:bookmarkEnd w:id="704"/>
    </w:p>
    <w:p w14:paraId="12EBDBE6" w14:textId="77777777" w:rsidR="0031675F" w:rsidRPr="0031675F" w:rsidRDefault="0031675F" w:rsidP="0031675F">
      <w:pPr>
        <w:spacing w:before="5"/>
        <w:rPr>
          <w:rFonts w:ascii="Book Antiqua" w:eastAsia="Book Antiqua" w:hAnsi="Book Antiqua" w:cs="Book Antiqua"/>
          <w:sz w:val="13"/>
          <w:szCs w:val="13"/>
        </w:rPr>
      </w:pPr>
    </w:p>
    <w:p w14:paraId="7D5FB502" w14:textId="77777777" w:rsidR="0031675F" w:rsidRPr="0031675F" w:rsidRDefault="0031675F" w:rsidP="0031675F">
      <w:pPr>
        <w:widowControl w:val="0"/>
        <w:numPr>
          <w:ilvl w:val="1"/>
          <w:numId w:val="87"/>
        </w:numPr>
        <w:tabs>
          <w:tab w:val="left" w:pos="859"/>
        </w:tabs>
        <w:spacing w:before="69" w:after="0" w:line="240" w:lineRule="auto"/>
        <w:jc w:val="both"/>
        <w:rPr>
          <w:rFonts w:eastAsia="Arial" w:cs="Arial"/>
          <w:sz w:val="24"/>
          <w:szCs w:val="24"/>
        </w:rPr>
      </w:pPr>
      <w:bookmarkStart w:id="705" w:name="_TOC_250018"/>
      <w:r w:rsidRPr="0031675F">
        <w:rPr>
          <w:b/>
          <w:spacing w:val="-1"/>
          <w:sz w:val="24"/>
        </w:rPr>
        <w:t>Objective</w:t>
      </w:r>
      <w:bookmarkEnd w:id="705"/>
    </w:p>
    <w:p w14:paraId="5BAFFF3E" w14:textId="77777777" w:rsidR="0031675F" w:rsidRPr="0031675F" w:rsidRDefault="0031675F" w:rsidP="0031675F">
      <w:pPr>
        <w:spacing w:before="11"/>
        <w:rPr>
          <w:rFonts w:eastAsia="Arial" w:cs="Arial"/>
          <w:b/>
          <w:bCs/>
          <w:sz w:val="20"/>
          <w:szCs w:val="20"/>
        </w:rPr>
      </w:pPr>
    </w:p>
    <w:p w14:paraId="09DFCE8F" w14:textId="77777777" w:rsidR="0031675F" w:rsidRPr="0031675F" w:rsidRDefault="0031675F" w:rsidP="0031675F">
      <w:pPr>
        <w:spacing w:after="120"/>
        <w:ind w:left="138" w:right="140"/>
      </w:pPr>
      <w:r w:rsidRPr="0031675F">
        <w:rPr>
          <w:spacing w:val="-1"/>
        </w:rPr>
        <w:t>To</w:t>
      </w:r>
      <w:r w:rsidRPr="0031675F">
        <w:rPr>
          <w:spacing w:val="44"/>
        </w:rPr>
        <w:t xml:space="preserve"> </w:t>
      </w:r>
      <w:r w:rsidRPr="0031675F">
        <w:rPr>
          <w:spacing w:val="-1"/>
        </w:rPr>
        <w:t>measure</w:t>
      </w:r>
      <w:r w:rsidRPr="0031675F">
        <w:rPr>
          <w:spacing w:val="42"/>
        </w:rPr>
        <w:t xml:space="preserve"> </w:t>
      </w:r>
      <w:r w:rsidRPr="0031675F">
        <w:t>the</w:t>
      </w:r>
      <w:r w:rsidRPr="0031675F">
        <w:rPr>
          <w:spacing w:val="44"/>
        </w:rPr>
        <w:t xml:space="preserve"> </w:t>
      </w:r>
      <w:r w:rsidRPr="0031675F">
        <w:rPr>
          <w:spacing w:val="-1"/>
        </w:rPr>
        <w:t>concentration</w:t>
      </w:r>
      <w:r w:rsidRPr="0031675F">
        <w:rPr>
          <w:spacing w:val="42"/>
        </w:rPr>
        <w:t xml:space="preserve"> </w:t>
      </w:r>
      <w:r w:rsidRPr="0031675F">
        <w:t>of</w:t>
      </w:r>
      <w:r w:rsidRPr="0031675F">
        <w:rPr>
          <w:spacing w:val="43"/>
        </w:rPr>
        <w:t xml:space="preserve"> </w:t>
      </w:r>
      <w:r w:rsidRPr="0031675F">
        <w:rPr>
          <w:spacing w:val="-1"/>
        </w:rPr>
        <w:t>chlorophyll</w:t>
      </w:r>
      <w:r w:rsidRPr="0031675F">
        <w:rPr>
          <w:spacing w:val="45"/>
        </w:rPr>
        <w:t xml:space="preserve"> </w:t>
      </w:r>
      <w:r w:rsidRPr="0031675F">
        <w:rPr>
          <w:i/>
        </w:rPr>
        <w:t xml:space="preserve">a  </w:t>
      </w:r>
      <w:r w:rsidRPr="0031675F">
        <w:rPr>
          <w:i/>
          <w:spacing w:val="37"/>
        </w:rPr>
        <w:t xml:space="preserve"> </w:t>
      </w:r>
      <w:r w:rsidRPr="0031675F">
        <w:rPr>
          <w:spacing w:val="-1"/>
        </w:rPr>
        <w:t>present</w:t>
      </w:r>
      <w:r w:rsidRPr="0031675F">
        <w:rPr>
          <w:spacing w:val="43"/>
        </w:rPr>
        <w:t xml:space="preserve"> </w:t>
      </w:r>
      <w:r w:rsidRPr="0031675F">
        <w:t>in</w:t>
      </w:r>
      <w:r w:rsidRPr="0031675F">
        <w:rPr>
          <w:spacing w:val="42"/>
        </w:rPr>
        <w:t xml:space="preserve"> </w:t>
      </w:r>
      <w:r w:rsidRPr="0031675F">
        <w:rPr>
          <w:spacing w:val="-1"/>
        </w:rPr>
        <w:t>seawater</w:t>
      </w:r>
      <w:r w:rsidRPr="0031675F">
        <w:rPr>
          <w:spacing w:val="43"/>
        </w:rPr>
        <w:t xml:space="preserve"> </w:t>
      </w:r>
      <w:r w:rsidRPr="0031675F">
        <w:rPr>
          <w:spacing w:val="-1"/>
        </w:rPr>
        <w:t>to</w:t>
      </w:r>
      <w:r w:rsidRPr="0031675F">
        <w:rPr>
          <w:spacing w:val="44"/>
        </w:rPr>
        <w:t xml:space="preserve"> </w:t>
      </w:r>
      <w:r w:rsidRPr="0031675F">
        <w:rPr>
          <w:spacing w:val="-1"/>
        </w:rPr>
        <w:t>obtain</w:t>
      </w:r>
      <w:r w:rsidRPr="0031675F">
        <w:rPr>
          <w:spacing w:val="42"/>
        </w:rPr>
        <w:t xml:space="preserve"> </w:t>
      </w:r>
      <w:r w:rsidRPr="0031675F">
        <w:t>an</w:t>
      </w:r>
      <w:r w:rsidRPr="0031675F">
        <w:rPr>
          <w:spacing w:val="43"/>
        </w:rPr>
        <w:t xml:space="preserve"> </w:t>
      </w:r>
      <w:r w:rsidRPr="0031675F">
        <w:rPr>
          <w:spacing w:val="-1"/>
        </w:rPr>
        <w:t>estimation</w:t>
      </w:r>
      <w:r w:rsidRPr="0031675F">
        <w:rPr>
          <w:spacing w:val="43"/>
        </w:rPr>
        <w:t xml:space="preserve"> </w:t>
      </w:r>
      <w:r w:rsidRPr="0031675F">
        <w:t>of</w:t>
      </w:r>
      <w:r w:rsidRPr="0031675F">
        <w:rPr>
          <w:spacing w:val="77"/>
        </w:rPr>
        <w:t xml:space="preserve"> </w:t>
      </w:r>
      <w:r w:rsidRPr="0031675F">
        <w:rPr>
          <w:spacing w:val="-1"/>
        </w:rPr>
        <w:t>phytoplankton biomass.</w:t>
      </w:r>
    </w:p>
    <w:p w14:paraId="6A04000A" w14:textId="77777777" w:rsidR="0031675F" w:rsidRPr="0031675F" w:rsidRDefault="0031675F" w:rsidP="0031675F">
      <w:pPr>
        <w:spacing w:before="11"/>
        <w:rPr>
          <w:rFonts w:cs="Calibri"/>
          <w:sz w:val="21"/>
          <w:szCs w:val="21"/>
        </w:rPr>
      </w:pPr>
    </w:p>
    <w:p w14:paraId="36827366" w14:textId="77777777" w:rsidR="0031675F" w:rsidRPr="0031675F" w:rsidRDefault="0031675F" w:rsidP="0031675F">
      <w:pPr>
        <w:widowControl w:val="0"/>
        <w:numPr>
          <w:ilvl w:val="1"/>
          <w:numId w:val="87"/>
        </w:numPr>
        <w:tabs>
          <w:tab w:val="left" w:pos="859"/>
        </w:tabs>
        <w:spacing w:before="0" w:after="0" w:line="240" w:lineRule="auto"/>
        <w:jc w:val="both"/>
        <w:rPr>
          <w:rFonts w:eastAsia="Arial" w:cs="Arial"/>
          <w:sz w:val="24"/>
          <w:szCs w:val="24"/>
        </w:rPr>
      </w:pPr>
      <w:bookmarkStart w:id="706" w:name="_TOC_250017"/>
      <w:r w:rsidRPr="0031675F">
        <w:rPr>
          <w:b/>
          <w:spacing w:val="-1"/>
          <w:sz w:val="24"/>
        </w:rPr>
        <w:t>Principle</w:t>
      </w:r>
      <w:r w:rsidRPr="0031675F">
        <w:rPr>
          <w:b/>
          <w:sz w:val="24"/>
        </w:rPr>
        <w:t xml:space="preserve"> of </w:t>
      </w:r>
      <w:r w:rsidRPr="0031675F">
        <w:rPr>
          <w:b/>
          <w:spacing w:val="-1"/>
          <w:sz w:val="24"/>
        </w:rPr>
        <w:t>analysis</w:t>
      </w:r>
      <w:bookmarkEnd w:id="706"/>
    </w:p>
    <w:p w14:paraId="4591DBE2" w14:textId="77777777" w:rsidR="0031675F" w:rsidRPr="0031675F" w:rsidRDefault="0031675F" w:rsidP="0031675F">
      <w:pPr>
        <w:spacing w:before="11"/>
        <w:rPr>
          <w:rFonts w:eastAsia="Arial" w:cs="Arial"/>
          <w:b/>
          <w:bCs/>
          <w:sz w:val="20"/>
          <w:szCs w:val="20"/>
        </w:rPr>
      </w:pPr>
    </w:p>
    <w:p w14:paraId="07AD400D" w14:textId="77777777" w:rsidR="0031675F" w:rsidRPr="0031675F" w:rsidRDefault="0031675F" w:rsidP="0031675F">
      <w:pPr>
        <w:spacing w:after="120"/>
        <w:ind w:left="138" w:right="130"/>
        <w:jc w:val="both"/>
      </w:pPr>
      <w:r w:rsidRPr="0031675F">
        <w:rPr>
          <w:spacing w:val="-1"/>
        </w:rPr>
        <w:t>This</w:t>
      </w:r>
      <w:r w:rsidRPr="0031675F">
        <w:rPr>
          <w:spacing w:val="35"/>
        </w:rPr>
        <w:t xml:space="preserve"> </w:t>
      </w:r>
      <w:r w:rsidRPr="0031675F">
        <w:rPr>
          <w:spacing w:val="-1"/>
        </w:rPr>
        <w:t>method</w:t>
      </w:r>
      <w:r w:rsidRPr="0031675F">
        <w:rPr>
          <w:spacing w:val="35"/>
        </w:rPr>
        <w:t xml:space="preserve"> </w:t>
      </w:r>
      <w:r w:rsidRPr="0031675F">
        <w:rPr>
          <w:spacing w:val="-1"/>
        </w:rPr>
        <w:t>utilises</w:t>
      </w:r>
      <w:r w:rsidRPr="0031675F">
        <w:rPr>
          <w:spacing w:val="37"/>
        </w:rPr>
        <w:t xml:space="preserve"> </w:t>
      </w:r>
      <w:r w:rsidRPr="0031675F">
        <w:t>the</w:t>
      </w:r>
      <w:r w:rsidRPr="0031675F">
        <w:rPr>
          <w:spacing w:val="35"/>
        </w:rPr>
        <w:t xml:space="preserve"> </w:t>
      </w:r>
      <w:r w:rsidRPr="0031675F">
        <w:rPr>
          <w:spacing w:val="-1"/>
        </w:rPr>
        <w:t>natural</w:t>
      </w:r>
      <w:r w:rsidRPr="0031675F">
        <w:rPr>
          <w:spacing w:val="36"/>
        </w:rPr>
        <w:t xml:space="preserve"> </w:t>
      </w:r>
      <w:r w:rsidRPr="0031675F">
        <w:rPr>
          <w:spacing w:val="-1"/>
        </w:rPr>
        <w:t>fluorescence</w:t>
      </w:r>
      <w:r w:rsidRPr="0031675F">
        <w:rPr>
          <w:spacing w:val="37"/>
        </w:rPr>
        <w:t xml:space="preserve"> </w:t>
      </w:r>
      <w:r w:rsidRPr="0031675F">
        <w:t>of</w:t>
      </w:r>
      <w:r w:rsidRPr="0031675F">
        <w:rPr>
          <w:spacing w:val="36"/>
        </w:rPr>
        <w:t xml:space="preserve"> </w:t>
      </w:r>
      <w:r w:rsidRPr="0031675F">
        <w:rPr>
          <w:spacing w:val="-1"/>
        </w:rPr>
        <w:t>chlorophyll</w:t>
      </w:r>
      <w:r w:rsidRPr="0031675F">
        <w:rPr>
          <w:spacing w:val="35"/>
        </w:rPr>
        <w:t xml:space="preserve"> </w:t>
      </w:r>
      <w:r w:rsidRPr="004F29DF">
        <w:rPr>
          <w:i/>
        </w:rPr>
        <w:t>a</w:t>
      </w:r>
      <w:r w:rsidRPr="0031675F">
        <w:rPr>
          <w:spacing w:val="36"/>
        </w:rPr>
        <w:t xml:space="preserve"> </w:t>
      </w:r>
      <w:r w:rsidRPr="0031675F">
        <w:t>to</w:t>
      </w:r>
      <w:r w:rsidRPr="0031675F">
        <w:rPr>
          <w:spacing w:val="38"/>
        </w:rPr>
        <w:t xml:space="preserve"> </w:t>
      </w:r>
      <w:r w:rsidRPr="0031675F">
        <w:rPr>
          <w:spacing w:val="-1"/>
        </w:rPr>
        <w:t>derive</w:t>
      </w:r>
      <w:r w:rsidRPr="0031675F">
        <w:rPr>
          <w:spacing w:val="36"/>
        </w:rPr>
        <w:t xml:space="preserve"> </w:t>
      </w:r>
      <w:r w:rsidRPr="0031675F">
        <w:t>the</w:t>
      </w:r>
      <w:r w:rsidRPr="0031675F">
        <w:rPr>
          <w:spacing w:val="36"/>
        </w:rPr>
        <w:t xml:space="preserve"> </w:t>
      </w:r>
      <w:r w:rsidRPr="0031675F">
        <w:rPr>
          <w:spacing w:val="-1"/>
        </w:rPr>
        <w:t>concentration</w:t>
      </w:r>
      <w:r w:rsidRPr="0031675F">
        <w:rPr>
          <w:spacing w:val="35"/>
        </w:rPr>
        <w:t xml:space="preserve"> </w:t>
      </w:r>
      <w:r w:rsidRPr="0031675F">
        <w:t>of</w:t>
      </w:r>
      <w:r w:rsidRPr="0031675F">
        <w:rPr>
          <w:spacing w:val="36"/>
        </w:rPr>
        <w:t xml:space="preserve"> </w:t>
      </w:r>
      <w:r w:rsidRPr="0031675F">
        <w:t>the</w:t>
      </w:r>
      <w:r w:rsidRPr="0031675F">
        <w:rPr>
          <w:spacing w:val="73"/>
        </w:rPr>
        <w:t xml:space="preserve"> </w:t>
      </w:r>
      <w:r w:rsidRPr="0031675F">
        <w:rPr>
          <w:spacing w:val="-1"/>
        </w:rPr>
        <w:t>pigment</w:t>
      </w:r>
      <w:r w:rsidRPr="0031675F">
        <w:rPr>
          <w:spacing w:val="7"/>
        </w:rPr>
        <w:t xml:space="preserve"> </w:t>
      </w:r>
      <w:r w:rsidRPr="0031675F">
        <w:rPr>
          <w:spacing w:val="-1"/>
        </w:rPr>
        <w:t>present</w:t>
      </w:r>
      <w:r w:rsidRPr="0031675F">
        <w:rPr>
          <w:spacing w:val="5"/>
        </w:rPr>
        <w:t xml:space="preserve"> </w:t>
      </w:r>
      <w:r w:rsidRPr="0031675F">
        <w:t>in</w:t>
      </w:r>
      <w:r w:rsidRPr="0031675F">
        <w:rPr>
          <w:spacing w:val="6"/>
        </w:rPr>
        <w:t xml:space="preserve"> </w:t>
      </w:r>
      <w:r w:rsidRPr="0031675F">
        <w:t>an</w:t>
      </w:r>
      <w:r w:rsidRPr="0031675F">
        <w:rPr>
          <w:spacing w:val="6"/>
        </w:rPr>
        <w:t xml:space="preserve"> </w:t>
      </w:r>
      <w:r w:rsidRPr="0031675F">
        <w:rPr>
          <w:spacing w:val="-1"/>
        </w:rPr>
        <w:t>extract</w:t>
      </w:r>
      <w:r w:rsidRPr="0031675F">
        <w:rPr>
          <w:spacing w:val="5"/>
        </w:rPr>
        <w:t xml:space="preserve"> </w:t>
      </w:r>
      <w:r w:rsidRPr="0031675F">
        <w:t>of</w:t>
      </w:r>
      <w:r w:rsidRPr="0031675F">
        <w:rPr>
          <w:spacing w:val="5"/>
        </w:rPr>
        <w:t xml:space="preserve"> </w:t>
      </w:r>
      <w:r w:rsidRPr="0031675F">
        <w:rPr>
          <w:spacing w:val="-1"/>
        </w:rPr>
        <w:t>material</w:t>
      </w:r>
      <w:r w:rsidRPr="0031675F">
        <w:rPr>
          <w:spacing w:val="7"/>
        </w:rPr>
        <w:t xml:space="preserve"> </w:t>
      </w:r>
      <w:r w:rsidRPr="0031675F">
        <w:rPr>
          <w:spacing w:val="-1"/>
        </w:rPr>
        <w:t>filtered</w:t>
      </w:r>
      <w:r w:rsidRPr="0031675F">
        <w:rPr>
          <w:spacing w:val="7"/>
        </w:rPr>
        <w:t xml:space="preserve"> </w:t>
      </w:r>
      <w:r w:rsidRPr="0031675F">
        <w:rPr>
          <w:spacing w:val="-2"/>
        </w:rPr>
        <w:t>from</w:t>
      </w:r>
      <w:r w:rsidRPr="0031675F">
        <w:rPr>
          <w:spacing w:val="8"/>
        </w:rPr>
        <w:t xml:space="preserve"> </w:t>
      </w:r>
      <w:r w:rsidRPr="0031675F">
        <w:rPr>
          <w:spacing w:val="-1"/>
        </w:rPr>
        <w:t>seawater.</w:t>
      </w:r>
      <w:r w:rsidRPr="0031675F">
        <w:rPr>
          <w:spacing w:val="4"/>
        </w:rPr>
        <w:t xml:space="preserve"> </w:t>
      </w:r>
      <w:r w:rsidRPr="0031675F">
        <w:rPr>
          <w:spacing w:val="-1"/>
        </w:rPr>
        <w:t>The</w:t>
      </w:r>
      <w:r w:rsidRPr="0031675F">
        <w:rPr>
          <w:spacing w:val="8"/>
        </w:rPr>
        <w:t xml:space="preserve"> </w:t>
      </w:r>
      <w:r w:rsidRPr="0031675F">
        <w:rPr>
          <w:spacing w:val="-1"/>
        </w:rPr>
        <w:t>fluorescence</w:t>
      </w:r>
      <w:r w:rsidRPr="0031675F">
        <w:rPr>
          <w:spacing w:val="8"/>
        </w:rPr>
        <w:t xml:space="preserve"> </w:t>
      </w:r>
      <w:r w:rsidRPr="0031675F">
        <w:rPr>
          <w:spacing w:val="-1"/>
        </w:rPr>
        <w:t>of</w:t>
      </w:r>
      <w:r w:rsidRPr="0031675F">
        <w:rPr>
          <w:spacing w:val="7"/>
        </w:rPr>
        <w:t xml:space="preserve"> </w:t>
      </w:r>
      <w:r w:rsidRPr="0031675F">
        <w:rPr>
          <w:spacing w:val="-1"/>
        </w:rPr>
        <w:t>decomposition</w:t>
      </w:r>
      <w:r w:rsidRPr="0031675F">
        <w:rPr>
          <w:spacing w:val="57"/>
        </w:rPr>
        <w:t xml:space="preserve"> </w:t>
      </w:r>
      <w:r w:rsidRPr="0031675F">
        <w:rPr>
          <w:spacing w:val="-1"/>
        </w:rPr>
        <w:t>products</w:t>
      </w:r>
      <w:r w:rsidRPr="0031675F">
        <w:rPr>
          <w:spacing w:val="29"/>
        </w:rPr>
        <w:t xml:space="preserve"> </w:t>
      </w:r>
      <w:r w:rsidRPr="0031675F">
        <w:rPr>
          <w:spacing w:val="-1"/>
        </w:rPr>
        <w:t>(phaeophytin)</w:t>
      </w:r>
      <w:r w:rsidRPr="0031675F">
        <w:rPr>
          <w:spacing w:val="29"/>
        </w:rPr>
        <w:t xml:space="preserve"> </w:t>
      </w:r>
      <w:r w:rsidRPr="0031675F">
        <w:rPr>
          <w:spacing w:val="-1"/>
        </w:rPr>
        <w:t>can</w:t>
      </w:r>
      <w:r w:rsidRPr="0031675F">
        <w:rPr>
          <w:spacing w:val="28"/>
        </w:rPr>
        <w:t xml:space="preserve"> </w:t>
      </w:r>
      <w:r w:rsidRPr="0031675F">
        <w:rPr>
          <w:spacing w:val="-1"/>
        </w:rPr>
        <w:t>cause</w:t>
      </w:r>
      <w:r w:rsidRPr="0031675F">
        <w:rPr>
          <w:spacing w:val="29"/>
        </w:rPr>
        <w:t xml:space="preserve"> </w:t>
      </w:r>
      <w:r w:rsidRPr="0031675F">
        <w:rPr>
          <w:spacing w:val="-1"/>
        </w:rPr>
        <w:t>significant</w:t>
      </w:r>
      <w:r w:rsidRPr="0031675F">
        <w:rPr>
          <w:spacing w:val="30"/>
        </w:rPr>
        <w:t xml:space="preserve"> </w:t>
      </w:r>
      <w:r w:rsidRPr="0031675F">
        <w:rPr>
          <w:spacing w:val="-1"/>
        </w:rPr>
        <w:t>interference.</w:t>
      </w:r>
      <w:r w:rsidRPr="0031675F">
        <w:rPr>
          <w:spacing w:val="28"/>
        </w:rPr>
        <w:t xml:space="preserve"> </w:t>
      </w:r>
      <w:r w:rsidRPr="0031675F">
        <w:rPr>
          <w:spacing w:val="-1"/>
        </w:rPr>
        <w:t>This</w:t>
      </w:r>
      <w:r w:rsidRPr="0031675F">
        <w:rPr>
          <w:spacing w:val="29"/>
        </w:rPr>
        <w:t xml:space="preserve"> </w:t>
      </w:r>
      <w:r w:rsidRPr="0031675F">
        <w:rPr>
          <w:spacing w:val="-1"/>
        </w:rPr>
        <w:t>method</w:t>
      </w:r>
      <w:r w:rsidRPr="0031675F">
        <w:rPr>
          <w:spacing w:val="27"/>
        </w:rPr>
        <w:t xml:space="preserve"> </w:t>
      </w:r>
      <w:r w:rsidRPr="0031675F">
        <w:rPr>
          <w:spacing w:val="-2"/>
        </w:rPr>
        <w:t>compensates</w:t>
      </w:r>
      <w:r w:rsidRPr="0031675F">
        <w:rPr>
          <w:spacing w:val="29"/>
        </w:rPr>
        <w:t xml:space="preserve"> </w:t>
      </w:r>
      <w:r w:rsidRPr="0031675F">
        <w:rPr>
          <w:spacing w:val="-1"/>
        </w:rPr>
        <w:t>by</w:t>
      </w:r>
      <w:r w:rsidRPr="0031675F">
        <w:rPr>
          <w:spacing w:val="30"/>
        </w:rPr>
        <w:t xml:space="preserve"> </w:t>
      </w:r>
      <w:r w:rsidRPr="0031675F">
        <w:t>taking</w:t>
      </w:r>
      <w:r w:rsidRPr="0031675F">
        <w:rPr>
          <w:spacing w:val="27"/>
        </w:rPr>
        <w:t xml:space="preserve"> </w:t>
      </w:r>
      <w:r w:rsidRPr="0031675F">
        <w:t>an</w:t>
      </w:r>
      <w:r w:rsidRPr="0031675F">
        <w:rPr>
          <w:spacing w:val="83"/>
        </w:rPr>
        <w:t xml:space="preserve"> </w:t>
      </w:r>
      <w:r w:rsidRPr="0031675F">
        <w:rPr>
          <w:spacing w:val="-1"/>
        </w:rPr>
        <w:t>additional</w:t>
      </w:r>
      <w:r w:rsidRPr="0031675F">
        <w:rPr>
          <w:spacing w:val="47"/>
        </w:rPr>
        <w:t xml:space="preserve"> </w:t>
      </w:r>
      <w:r w:rsidRPr="0031675F">
        <w:rPr>
          <w:spacing w:val="-1"/>
        </w:rPr>
        <w:t>fluorescence</w:t>
      </w:r>
      <w:r w:rsidRPr="0031675F">
        <w:rPr>
          <w:spacing w:val="48"/>
        </w:rPr>
        <w:t xml:space="preserve"> </w:t>
      </w:r>
      <w:r w:rsidRPr="0031675F">
        <w:rPr>
          <w:spacing w:val="-1"/>
        </w:rPr>
        <w:t>reading</w:t>
      </w:r>
      <w:r w:rsidRPr="0031675F">
        <w:rPr>
          <w:spacing w:val="48"/>
        </w:rPr>
        <w:t xml:space="preserve"> </w:t>
      </w:r>
      <w:r w:rsidRPr="0031675F">
        <w:t>after</w:t>
      </w:r>
      <w:r w:rsidRPr="0031675F">
        <w:rPr>
          <w:spacing w:val="48"/>
        </w:rPr>
        <w:t xml:space="preserve"> </w:t>
      </w:r>
      <w:r w:rsidRPr="0031675F">
        <w:rPr>
          <w:spacing w:val="-1"/>
        </w:rPr>
        <w:t>acidification</w:t>
      </w:r>
      <w:r w:rsidRPr="0031675F">
        <w:rPr>
          <w:spacing w:val="48"/>
        </w:rPr>
        <w:t xml:space="preserve"> </w:t>
      </w:r>
      <w:r w:rsidRPr="0031675F">
        <w:rPr>
          <w:spacing w:val="-1"/>
        </w:rPr>
        <w:t>of</w:t>
      </w:r>
      <w:r w:rsidRPr="0031675F">
        <w:rPr>
          <w:spacing w:val="48"/>
        </w:rPr>
        <w:t xml:space="preserve"> </w:t>
      </w:r>
      <w:r w:rsidRPr="0031675F">
        <w:t>the</w:t>
      </w:r>
      <w:r w:rsidRPr="0031675F">
        <w:rPr>
          <w:spacing w:val="48"/>
        </w:rPr>
        <w:t xml:space="preserve"> </w:t>
      </w:r>
      <w:r w:rsidRPr="0031675F">
        <w:rPr>
          <w:spacing w:val="-1"/>
        </w:rPr>
        <w:t>original</w:t>
      </w:r>
      <w:r w:rsidRPr="0031675F">
        <w:rPr>
          <w:spacing w:val="47"/>
        </w:rPr>
        <w:t xml:space="preserve"> </w:t>
      </w:r>
      <w:r w:rsidRPr="0031675F">
        <w:rPr>
          <w:spacing w:val="-1"/>
        </w:rPr>
        <w:t>sample</w:t>
      </w:r>
      <w:r w:rsidRPr="0031675F">
        <w:rPr>
          <w:spacing w:val="2"/>
        </w:rPr>
        <w:t xml:space="preserve"> </w:t>
      </w:r>
      <w:r w:rsidRPr="0031675F">
        <w:rPr>
          <w:spacing w:val="-1"/>
        </w:rPr>
        <w:t>(by</w:t>
      </w:r>
      <w:r w:rsidRPr="0031675F">
        <w:rPr>
          <w:spacing w:val="46"/>
        </w:rPr>
        <w:t xml:space="preserve"> </w:t>
      </w:r>
      <w:r w:rsidRPr="0031675F">
        <w:t>which</w:t>
      </w:r>
      <w:r w:rsidRPr="0031675F">
        <w:rPr>
          <w:spacing w:val="47"/>
        </w:rPr>
        <w:t xml:space="preserve"> </w:t>
      </w:r>
      <w:r w:rsidRPr="0031675F">
        <w:t>all</w:t>
      </w:r>
      <w:r w:rsidRPr="0031675F">
        <w:rPr>
          <w:spacing w:val="47"/>
        </w:rPr>
        <w:t xml:space="preserve"> </w:t>
      </w:r>
      <w:r w:rsidRPr="0031675F">
        <w:rPr>
          <w:spacing w:val="-1"/>
        </w:rPr>
        <w:t>pigments</w:t>
      </w:r>
      <w:r w:rsidRPr="0031675F">
        <w:rPr>
          <w:spacing w:val="79"/>
        </w:rPr>
        <w:t xml:space="preserve"> </w:t>
      </w:r>
      <w:r w:rsidRPr="0031675F">
        <w:rPr>
          <w:spacing w:val="-1"/>
        </w:rPr>
        <w:t>present</w:t>
      </w:r>
      <w:r w:rsidRPr="0031675F">
        <w:rPr>
          <w:spacing w:val="8"/>
        </w:rPr>
        <w:t xml:space="preserve"> </w:t>
      </w:r>
      <w:r w:rsidRPr="0031675F">
        <w:t>are</w:t>
      </w:r>
      <w:r w:rsidRPr="0031675F">
        <w:rPr>
          <w:spacing w:val="8"/>
        </w:rPr>
        <w:t xml:space="preserve"> </w:t>
      </w:r>
      <w:r w:rsidRPr="0031675F">
        <w:rPr>
          <w:spacing w:val="-1"/>
        </w:rPr>
        <w:t>decomposed)</w:t>
      </w:r>
      <w:r w:rsidRPr="0031675F">
        <w:rPr>
          <w:spacing w:val="6"/>
        </w:rPr>
        <w:t xml:space="preserve"> </w:t>
      </w:r>
      <w:r w:rsidRPr="0031675F">
        <w:rPr>
          <w:spacing w:val="-1"/>
        </w:rPr>
        <w:t>and</w:t>
      </w:r>
      <w:r w:rsidRPr="0031675F">
        <w:rPr>
          <w:spacing w:val="7"/>
        </w:rPr>
        <w:t xml:space="preserve"> </w:t>
      </w:r>
      <w:r w:rsidRPr="0031675F">
        <w:rPr>
          <w:spacing w:val="-1"/>
        </w:rPr>
        <w:t>using</w:t>
      </w:r>
      <w:r w:rsidRPr="0031675F">
        <w:rPr>
          <w:spacing w:val="7"/>
        </w:rPr>
        <w:t xml:space="preserve"> </w:t>
      </w:r>
      <w:r w:rsidRPr="0031675F">
        <w:t>the</w:t>
      </w:r>
      <w:r w:rsidRPr="0031675F">
        <w:rPr>
          <w:spacing w:val="8"/>
        </w:rPr>
        <w:t xml:space="preserve"> </w:t>
      </w:r>
      <w:r w:rsidRPr="0031675F">
        <w:rPr>
          <w:spacing w:val="-1"/>
        </w:rPr>
        <w:t>decreased</w:t>
      </w:r>
      <w:r w:rsidRPr="0031675F">
        <w:rPr>
          <w:spacing w:val="10"/>
        </w:rPr>
        <w:t xml:space="preserve"> </w:t>
      </w:r>
      <w:r w:rsidRPr="0031675F">
        <w:rPr>
          <w:spacing w:val="-1"/>
        </w:rPr>
        <w:t>fluorescence</w:t>
      </w:r>
      <w:r w:rsidRPr="0031675F">
        <w:rPr>
          <w:spacing w:val="9"/>
        </w:rPr>
        <w:t xml:space="preserve"> </w:t>
      </w:r>
      <w:r w:rsidRPr="0031675F">
        <w:rPr>
          <w:spacing w:val="-1"/>
        </w:rPr>
        <w:t>reading</w:t>
      </w:r>
      <w:r w:rsidRPr="0031675F">
        <w:rPr>
          <w:spacing w:val="7"/>
        </w:rPr>
        <w:t xml:space="preserve"> </w:t>
      </w:r>
      <w:r w:rsidRPr="0031675F">
        <w:t>to</w:t>
      </w:r>
      <w:r w:rsidRPr="0031675F">
        <w:rPr>
          <w:spacing w:val="9"/>
        </w:rPr>
        <w:t xml:space="preserve"> </w:t>
      </w:r>
      <w:r w:rsidRPr="0031675F">
        <w:rPr>
          <w:spacing w:val="-1"/>
        </w:rPr>
        <w:t>derive</w:t>
      </w:r>
      <w:r w:rsidRPr="0031675F">
        <w:rPr>
          <w:spacing w:val="8"/>
        </w:rPr>
        <w:t xml:space="preserve"> </w:t>
      </w:r>
      <w:r w:rsidRPr="0031675F">
        <w:t>the</w:t>
      </w:r>
      <w:r w:rsidRPr="0031675F">
        <w:rPr>
          <w:spacing w:val="8"/>
        </w:rPr>
        <w:t xml:space="preserve"> </w:t>
      </w:r>
      <w:r w:rsidRPr="0031675F">
        <w:rPr>
          <w:spacing w:val="-1"/>
        </w:rPr>
        <w:t>original</w:t>
      </w:r>
      <w:r w:rsidRPr="0031675F">
        <w:rPr>
          <w:spacing w:val="77"/>
        </w:rPr>
        <w:t xml:space="preserve"> </w:t>
      </w:r>
      <w:r w:rsidRPr="0031675F">
        <w:rPr>
          <w:spacing w:val="-1"/>
        </w:rPr>
        <w:t xml:space="preserve">concentration </w:t>
      </w:r>
      <w:r w:rsidRPr="0031675F">
        <w:t>of</w:t>
      </w:r>
      <w:r w:rsidRPr="0031675F">
        <w:rPr>
          <w:spacing w:val="-3"/>
        </w:rPr>
        <w:t xml:space="preserve"> </w:t>
      </w:r>
      <w:r w:rsidRPr="0031675F">
        <w:t>live</w:t>
      </w:r>
      <w:r w:rsidRPr="0031675F">
        <w:rPr>
          <w:spacing w:val="-2"/>
        </w:rPr>
        <w:t xml:space="preserve"> pigment.</w:t>
      </w:r>
    </w:p>
    <w:p w14:paraId="4BC21F28" w14:textId="77777777" w:rsidR="0031675F" w:rsidRPr="0031675F" w:rsidRDefault="0031675F" w:rsidP="0031675F">
      <w:pPr>
        <w:spacing w:after="120"/>
        <w:ind w:left="138" w:right="136"/>
        <w:jc w:val="both"/>
      </w:pPr>
      <w:r w:rsidRPr="0031675F">
        <w:rPr>
          <w:spacing w:val="-1"/>
        </w:rPr>
        <w:t>This</w:t>
      </w:r>
      <w:r w:rsidRPr="0031675F">
        <w:rPr>
          <w:spacing w:val="25"/>
        </w:rPr>
        <w:t xml:space="preserve"> </w:t>
      </w:r>
      <w:r w:rsidRPr="0031675F">
        <w:rPr>
          <w:spacing w:val="-1"/>
        </w:rPr>
        <w:t>method</w:t>
      </w:r>
      <w:r w:rsidRPr="0031675F">
        <w:rPr>
          <w:spacing w:val="26"/>
        </w:rPr>
        <w:t xml:space="preserve"> </w:t>
      </w:r>
      <w:r w:rsidRPr="0031675F">
        <w:rPr>
          <w:spacing w:val="-1"/>
        </w:rPr>
        <w:t>follows</w:t>
      </w:r>
      <w:r w:rsidRPr="0031675F">
        <w:rPr>
          <w:spacing w:val="25"/>
        </w:rPr>
        <w:t xml:space="preserve"> </w:t>
      </w:r>
      <w:r w:rsidRPr="0031675F">
        <w:t>the</w:t>
      </w:r>
      <w:r w:rsidRPr="0031675F">
        <w:rPr>
          <w:spacing w:val="26"/>
        </w:rPr>
        <w:t xml:space="preserve"> </w:t>
      </w:r>
      <w:r w:rsidRPr="0031675F">
        <w:rPr>
          <w:spacing w:val="-1"/>
        </w:rPr>
        <w:t>basic</w:t>
      </w:r>
      <w:r w:rsidRPr="0031675F">
        <w:rPr>
          <w:spacing w:val="27"/>
        </w:rPr>
        <w:t xml:space="preserve"> </w:t>
      </w:r>
      <w:r w:rsidRPr="0031675F">
        <w:rPr>
          <w:spacing w:val="-1"/>
        </w:rPr>
        <w:t>fluorometric</w:t>
      </w:r>
      <w:r w:rsidRPr="0031675F">
        <w:rPr>
          <w:spacing w:val="23"/>
        </w:rPr>
        <w:t xml:space="preserve"> </w:t>
      </w:r>
      <w:r w:rsidRPr="0031675F">
        <w:rPr>
          <w:spacing w:val="-1"/>
        </w:rPr>
        <w:t>method</w:t>
      </w:r>
      <w:r w:rsidRPr="0031675F">
        <w:rPr>
          <w:spacing w:val="26"/>
        </w:rPr>
        <w:t xml:space="preserve"> </w:t>
      </w:r>
      <w:r w:rsidRPr="0031675F">
        <w:rPr>
          <w:spacing w:val="-1"/>
        </w:rPr>
        <w:t>set</w:t>
      </w:r>
      <w:r w:rsidRPr="0031675F">
        <w:rPr>
          <w:spacing w:val="27"/>
        </w:rPr>
        <w:t xml:space="preserve"> </w:t>
      </w:r>
      <w:r w:rsidRPr="0031675F">
        <w:t>out</w:t>
      </w:r>
      <w:r w:rsidRPr="0031675F">
        <w:rPr>
          <w:spacing w:val="26"/>
        </w:rPr>
        <w:t xml:space="preserve"> </w:t>
      </w:r>
      <w:r w:rsidRPr="0031675F">
        <w:t>in</w:t>
      </w:r>
      <w:r w:rsidRPr="0031675F">
        <w:rPr>
          <w:spacing w:val="26"/>
        </w:rPr>
        <w:t xml:space="preserve"> </w:t>
      </w:r>
      <w:r w:rsidRPr="0031675F">
        <w:rPr>
          <w:spacing w:val="-1"/>
        </w:rPr>
        <w:t>Strickland</w:t>
      </w:r>
      <w:r w:rsidRPr="0031675F">
        <w:rPr>
          <w:spacing w:val="26"/>
        </w:rPr>
        <w:t xml:space="preserve"> </w:t>
      </w:r>
      <w:r w:rsidRPr="0031675F">
        <w:rPr>
          <w:spacing w:val="-1"/>
        </w:rPr>
        <w:t>and</w:t>
      </w:r>
      <w:r w:rsidRPr="0031675F">
        <w:rPr>
          <w:spacing w:val="25"/>
        </w:rPr>
        <w:t xml:space="preserve"> </w:t>
      </w:r>
      <w:r w:rsidRPr="0031675F">
        <w:rPr>
          <w:spacing w:val="-1"/>
        </w:rPr>
        <w:t>Parsons</w:t>
      </w:r>
      <w:r w:rsidRPr="0031675F">
        <w:rPr>
          <w:spacing w:val="27"/>
        </w:rPr>
        <w:t xml:space="preserve"> </w:t>
      </w:r>
      <w:r w:rsidRPr="0031675F">
        <w:rPr>
          <w:spacing w:val="-1"/>
        </w:rPr>
        <w:t>(1972).</w:t>
      </w:r>
      <w:r w:rsidRPr="0031675F">
        <w:rPr>
          <w:spacing w:val="3"/>
        </w:rPr>
        <w:t xml:space="preserve"> </w:t>
      </w:r>
      <w:r w:rsidRPr="0031675F">
        <w:rPr>
          <w:spacing w:val="-1"/>
        </w:rPr>
        <w:t>The</w:t>
      </w:r>
      <w:r w:rsidRPr="0031675F">
        <w:rPr>
          <w:spacing w:val="60"/>
        </w:rPr>
        <w:t xml:space="preserve"> </w:t>
      </w:r>
      <w:r w:rsidRPr="0031675F">
        <w:rPr>
          <w:spacing w:val="-1"/>
        </w:rPr>
        <w:t>concentration</w:t>
      </w:r>
      <w:r w:rsidRPr="0031675F">
        <w:rPr>
          <w:spacing w:val="39"/>
        </w:rPr>
        <w:t xml:space="preserve"> </w:t>
      </w:r>
      <w:r w:rsidRPr="0031675F">
        <w:t>of</w:t>
      </w:r>
      <w:r w:rsidRPr="0031675F">
        <w:rPr>
          <w:spacing w:val="41"/>
        </w:rPr>
        <w:t xml:space="preserve"> </w:t>
      </w:r>
      <w:r w:rsidRPr="0031675F">
        <w:t>the</w:t>
      </w:r>
      <w:r w:rsidRPr="0031675F">
        <w:rPr>
          <w:spacing w:val="41"/>
        </w:rPr>
        <w:t xml:space="preserve"> </w:t>
      </w:r>
      <w:r w:rsidRPr="0031675F">
        <w:rPr>
          <w:spacing w:val="-1"/>
        </w:rPr>
        <w:t>primary</w:t>
      </w:r>
      <w:r w:rsidRPr="0031675F">
        <w:rPr>
          <w:spacing w:val="41"/>
        </w:rPr>
        <w:t xml:space="preserve"> </w:t>
      </w:r>
      <w:r w:rsidRPr="0031675F">
        <w:rPr>
          <w:spacing w:val="-1"/>
        </w:rPr>
        <w:t>standard</w:t>
      </w:r>
      <w:r w:rsidRPr="0031675F">
        <w:rPr>
          <w:spacing w:val="40"/>
        </w:rPr>
        <w:t xml:space="preserve"> </w:t>
      </w:r>
      <w:r w:rsidRPr="0031675F">
        <w:rPr>
          <w:spacing w:val="-1"/>
        </w:rPr>
        <w:t>used</w:t>
      </w:r>
      <w:r w:rsidRPr="0031675F">
        <w:rPr>
          <w:spacing w:val="41"/>
        </w:rPr>
        <w:t xml:space="preserve"> </w:t>
      </w:r>
      <w:r w:rsidRPr="0031675F">
        <w:rPr>
          <w:spacing w:val="-1"/>
        </w:rPr>
        <w:t>for</w:t>
      </w:r>
      <w:r w:rsidRPr="0031675F">
        <w:rPr>
          <w:spacing w:val="41"/>
        </w:rPr>
        <w:t xml:space="preserve"> </w:t>
      </w:r>
      <w:r w:rsidRPr="0031675F">
        <w:rPr>
          <w:spacing w:val="-1"/>
        </w:rPr>
        <w:t>calibration</w:t>
      </w:r>
      <w:r w:rsidRPr="0031675F">
        <w:rPr>
          <w:spacing w:val="39"/>
        </w:rPr>
        <w:t xml:space="preserve"> </w:t>
      </w:r>
      <w:r w:rsidRPr="0031675F">
        <w:t>is</w:t>
      </w:r>
      <w:r w:rsidRPr="0031675F">
        <w:rPr>
          <w:spacing w:val="41"/>
        </w:rPr>
        <w:t xml:space="preserve"> </w:t>
      </w:r>
      <w:r w:rsidRPr="0031675F">
        <w:rPr>
          <w:spacing w:val="-1"/>
        </w:rPr>
        <w:t>determined</w:t>
      </w:r>
      <w:r w:rsidRPr="0031675F">
        <w:rPr>
          <w:spacing w:val="41"/>
        </w:rPr>
        <w:t xml:space="preserve"> </w:t>
      </w:r>
      <w:r w:rsidRPr="0031675F">
        <w:rPr>
          <w:spacing w:val="-1"/>
        </w:rPr>
        <w:t>spectrophotometrically</w:t>
      </w:r>
      <w:r w:rsidRPr="0031675F">
        <w:rPr>
          <w:spacing w:val="71"/>
        </w:rPr>
        <w:t xml:space="preserve"> </w:t>
      </w:r>
      <w:r w:rsidRPr="0031675F">
        <w:rPr>
          <w:spacing w:val="-1"/>
        </w:rPr>
        <w:t>using the</w:t>
      </w:r>
      <w:r w:rsidRPr="0031675F">
        <w:t xml:space="preserve"> </w:t>
      </w:r>
      <w:r w:rsidRPr="0031675F">
        <w:rPr>
          <w:spacing w:val="-1"/>
        </w:rPr>
        <w:t>equations</w:t>
      </w:r>
      <w:r w:rsidRPr="0031675F">
        <w:t xml:space="preserve"> laid</w:t>
      </w:r>
      <w:r w:rsidRPr="0031675F">
        <w:rPr>
          <w:spacing w:val="-4"/>
        </w:rPr>
        <w:t xml:space="preserve"> </w:t>
      </w:r>
      <w:r w:rsidRPr="0031675F">
        <w:rPr>
          <w:spacing w:val="-1"/>
        </w:rPr>
        <w:t>out</w:t>
      </w:r>
      <w:r w:rsidRPr="0031675F">
        <w:t xml:space="preserve"> in</w:t>
      </w:r>
      <w:r w:rsidRPr="0031675F">
        <w:rPr>
          <w:spacing w:val="-1"/>
        </w:rPr>
        <w:t xml:space="preserve"> Jeffrey</w:t>
      </w:r>
      <w:r w:rsidRPr="0031675F">
        <w:t xml:space="preserve"> and</w:t>
      </w:r>
      <w:r w:rsidRPr="0031675F">
        <w:rPr>
          <w:spacing w:val="-2"/>
        </w:rPr>
        <w:t xml:space="preserve"> </w:t>
      </w:r>
      <w:r w:rsidRPr="0031675F">
        <w:rPr>
          <w:spacing w:val="-1"/>
        </w:rPr>
        <w:t>Humphrey</w:t>
      </w:r>
      <w:r w:rsidRPr="0031675F">
        <w:rPr>
          <w:spacing w:val="-2"/>
        </w:rPr>
        <w:t xml:space="preserve"> </w:t>
      </w:r>
      <w:r w:rsidRPr="0031675F">
        <w:rPr>
          <w:spacing w:val="-1"/>
        </w:rPr>
        <w:t>(1975).</w:t>
      </w:r>
    </w:p>
    <w:p w14:paraId="713213A6" w14:textId="77777777" w:rsidR="0031675F" w:rsidRPr="0031675F" w:rsidRDefault="0031675F" w:rsidP="0031675F">
      <w:pPr>
        <w:spacing w:before="9"/>
        <w:rPr>
          <w:rFonts w:cs="Calibri"/>
          <w:sz w:val="21"/>
          <w:szCs w:val="21"/>
        </w:rPr>
      </w:pPr>
    </w:p>
    <w:p w14:paraId="2928CA81" w14:textId="77777777" w:rsidR="0031675F" w:rsidRPr="0031675F" w:rsidRDefault="0031675F" w:rsidP="0031675F">
      <w:pPr>
        <w:widowControl w:val="0"/>
        <w:numPr>
          <w:ilvl w:val="1"/>
          <w:numId w:val="87"/>
        </w:numPr>
        <w:tabs>
          <w:tab w:val="left" w:pos="859"/>
        </w:tabs>
        <w:spacing w:before="0" w:after="0" w:line="240" w:lineRule="auto"/>
        <w:jc w:val="both"/>
        <w:rPr>
          <w:rFonts w:eastAsia="Arial" w:cs="Arial"/>
          <w:sz w:val="24"/>
          <w:szCs w:val="24"/>
        </w:rPr>
      </w:pPr>
      <w:bookmarkStart w:id="707" w:name="_TOC_250016"/>
      <w:r w:rsidRPr="0031675F">
        <w:rPr>
          <w:b/>
          <w:sz w:val="24"/>
        </w:rPr>
        <w:t xml:space="preserve">Sample </w:t>
      </w:r>
      <w:r w:rsidRPr="0031675F">
        <w:rPr>
          <w:b/>
          <w:spacing w:val="-1"/>
          <w:sz w:val="24"/>
        </w:rPr>
        <w:t>collection</w:t>
      </w:r>
      <w:r w:rsidRPr="0031675F">
        <w:rPr>
          <w:b/>
          <w:sz w:val="24"/>
        </w:rPr>
        <w:t xml:space="preserve"> </w:t>
      </w:r>
      <w:r w:rsidRPr="0031675F">
        <w:rPr>
          <w:b/>
          <w:spacing w:val="-1"/>
          <w:sz w:val="24"/>
        </w:rPr>
        <w:t>procedure</w:t>
      </w:r>
      <w:r w:rsidRPr="0031675F">
        <w:rPr>
          <w:b/>
          <w:spacing w:val="-2"/>
          <w:sz w:val="24"/>
        </w:rPr>
        <w:t xml:space="preserve"> </w:t>
      </w:r>
      <w:r w:rsidRPr="0031675F">
        <w:rPr>
          <w:b/>
          <w:sz w:val="24"/>
        </w:rPr>
        <w:t xml:space="preserve">and </w:t>
      </w:r>
      <w:r w:rsidRPr="0031675F">
        <w:rPr>
          <w:b/>
          <w:spacing w:val="-1"/>
          <w:sz w:val="24"/>
        </w:rPr>
        <w:t>storage</w:t>
      </w:r>
      <w:bookmarkEnd w:id="707"/>
    </w:p>
    <w:p w14:paraId="1CED92CE" w14:textId="77777777" w:rsidR="0031675F" w:rsidRPr="0031675F" w:rsidRDefault="0031675F" w:rsidP="0031675F">
      <w:pPr>
        <w:spacing w:before="10"/>
        <w:rPr>
          <w:rFonts w:eastAsia="Arial" w:cs="Arial"/>
          <w:b/>
          <w:bCs/>
          <w:sz w:val="20"/>
          <w:szCs w:val="20"/>
        </w:rPr>
      </w:pPr>
    </w:p>
    <w:p w14:paraId="61259771" w14:textId="77777777" w:rsidR="0031675F" w:rsidRPr="0031675F" w:rsidRDefault="0031675F" w:rsidP="0031675F">
      <w:pPr>
        <w:ind w:left="138"/>
        <w:jc w:val="both"/>
        <w:rPr>
          <w:rFonts w:eastAsia="Arial" w:cs="Arial"/>
        </w:rPr>
      </w:pPr>
      <w:r w:rsidRPr="0031675F">
        <w:rPr>
          <w:b/>
        </w:rPr>
        <w:t xml:space="preserve">9.3.1  </w:t>
      </w:r>
      <w:r w:rsidRPr="0031675F">
        <w:rPr>
          <w:b/>
          <w:spacing w:val="44"/>
        </w:rPr>
        <w:t xml:space="preserve"> </w:t>
      </w:r>
      <w:r w:rsidRPr="0031675F">
        <w:rPr>
          <w:b/>
          <w:spacing w:val="-1"/>
        </w:rPr>
        <w:t>Equipment</w:t>
      </w:r>
    </w:p>
    <w:p w14:paraId="109274CC" w14:textId="77777777" w:rsidR="0031675F" w:rsidRPr="0031675F" w:rsidRDefault="0031675F" w:rsidP="0031675F">
      <w:pPr>
        <w:widowControl w:val="0"/>
        <w:numPr>
          <w:ilvl w:val="2"/>
          <w:numId w:val="87"/>
        </w:numPr>
        <w:tabs>
          <w:tab w:val="left" w:pos="859"/>
        </w:tabs>
        <w:spacing w:before="0" w:after="0" w:line="240" w:lineRule="auto"/>
      </w:pPr>
      <w:r w:rsidRPr="0031675F">
        <w:t>25</w:t>
      </w:r>
      <w:r w:rsidRPr="0031675F">
        <w:rPr>
          <w:spacing w:val="-2"/>
        </w:rPr>
        <w:t xml:space="preserve"> </w:t>
      </w:r>
      <w:r w:rsidRPr="0031675F">
        <w:rPr>
          <w:spacing w:val="-1"/>
        </w:rPr>
        <w:t xml:space="preserve">mm Whatman </w:t>
      </w:r>
      <w:r w:rsidRPr="0031675F">
        <w:t>GF/F</w:t>
      </w:r>
      <w:r w:rsidRPr="0031675F">
        <w:rPr>
          <w:spacing w:val="-3"/>
        </w:rPr>
        <w:t xml:space="preserve"> </w:t>
      </w:r>
      <w:r w:rsidRPr="0031675F">
        <w:rPr>
          <w:spacing w:val="-1"/>
        </w:rPr>
        <w:t>glass</w:t>
      </w:r>
      <w:r w:rsidRPr="0031675F">
        <w:t xml:space="preserve"> </w:t>
      </w:r>
      <w:r w:rsidRPr="0031675F">
        <w:rPr>
          <w:spacing w:val="-1"/>
        </w:rPr>
        <w:t>fibre</w:t>
      </w:r>
      <w:r w:rsidRPr="0031675F">
        <w:t xml:space="preserve"> </w:t>
      </w:r>
      <w:r w:rsidRPr="0031675F">
        <w:rPr>
          <w:spacing w:val="-1"/>
        </w:rPr>
        <w:t>filters.</w:t>
      </w:r>
    </w:p>
    <w:p w14:paraId="5D976BFB" w14:textId="77777777" w:rsidR="0031675F" w:rsidRPr="0031675F" w:rsidRDefault="0031675F" w:rsidP="0031675F">
      <w:pPr>
        <w:widowControl w:val="0"/>
        <w:numPr>
          <w:ilvl w:val="2"/>
          <w:numId w:val="87"/>
        </w:numPr>
        <w:tabs>
          <w:tab w:val="left" w:pos="859"/>
        </w:tabs>
        <w:spacing w:before="0" w:after="0" w:line="280" w:lineRule="exact"/>
      </w:pPr>
      <w:r w:rsidRPr="0031675F">
        <w:rPr>
          <w:spacing w:val="-1"/>
        </w:rPr>
        <w:t>Millipore</w:t>
      </w:r>
      <w:r w:rsidRPr="0031675F">
        <w:rPr>
          <w:spacing w:val="-2"/>
        </w:rPr>
        <w:t xml:space="preserve"> </w:t>
      </w:r>
      <w:r w:rsidRPr="0031675F">
        <w:rPr>
          <w:spacing w:val="-1"/>
        </w:rPr>
        <w:t>filter</w:t>
      </w:r>
      <w:r w:rsidRPr="0031675F">
        <w:rPr>
          <w:spacing w:val="-2"/>
        </w:rPr>
        <w:t xml:space="preserve"> </w:t>
      </w:r>
      <w:r w:rsidRPr="0031675F">
        <w:rPr>
          <w:spacing w:val="-1"/>
        </w:rPr>
        <w:t>forceps</w:t>
      </w:r>
      <w:r w:rsidRPr="0031675F">
        <w:t xml:space="preserve"> </w:t>
      </w:r>
      <w:r w:rsidRPr="0031675F">
        <w:rPr>
          <w:spacing w:val="-1"/>
        </w:rPr>
        <w:t>(or</w:t>
      </w:r>
      <w:r w:rsidRPr="0031675F">
        <w:rPr>
          <w:spacing w:val="-2"/>
        </w:rPr>
        <w:t xml:space="preserve"> </w:t>
      </w:r>
      <w:r w:rsidRPr="0031675F">
        <w:rPr>
          <w:spacing w:val="-1"/>
        </w:rPr>
        <w:t>equivalent).</w:t>
      </w:r>
    </w:p>
    <w:p w14:paraId="15166D07" w14:textId="77777777" w:rsidR="0031675F" w:rsidRPr="0031675F" w:rsidRDefault="0031675F" w:rsidP="0031675F">
      <w:pPr>
        <w:widowControl w:val="0"/>
        <w:numPr>
          <w:ilvl w:val="2"/>
          <w:numId w:val="87"/>
        </w:numPr>
        <w:tabs>
          <w:tab w:val="left" w:pos="859"/>
        </w:tabs>
        <w:spacing w:before="0" w:after="0" w:line="280" w:lineRule="exact"/>
      </w:pPr>
      <w:r w:rsidRPr="0031675F">
        <w:rPr>
          <w:spacing w:val="-1"/>
        </w:rPr>
        <w:t>Squares</w:t>
      </w:r>
      <w:r w:rsidRPr="0031675F">
        <w:t xml:space="preserve"> of</w:t>
      </w:r>
      <w:r w:rsidRPr="0031675F">
        <w:rPr>
          <w:spacing w:val="-2"/>
        </w:rPr>
        <w:t xml:space="preserve"> </w:t>
      </w:r>
      <w:r w:rsidRPr="0031675F">
        <w:rPr>
          <w:spacing w:val="-1"/>
        </w:rPr>
        <w:t>aluminium</w:t>
      </w:r>
      <w:r w:rsidRPr="0031675F">
        <w:rPr>
          <w:spacing w:val="-2"/>
        </w:rPr>
        <w:t xml:space="preserve"> </w:t>
      </w:r>
      <w:r w:rsidRPr="0031675F">
        <w:t>foil</w:t>
      </w:r>
      <w:r w:rsidRPr="0031675F">
        <w:rPr>
          <w:spacing w:val="-3"/>
        </w:rPr>
        <w:t xml:space="preserve"> </w:t>
      </w:r>
      <w:r w:rsidRPr="0031675F">
        <w:rPr>
          <w:spacing w:val="-1"/>
        </w:rPr>
        <w:t>(8</w:t>
      </w:r>
      <w:r w:rsidRPr="0031675F">
        <w:t xml:space="preserve"> x</w:t>
      </w:r>
      <w:r w:rsidRPr="0031675F">
        <w:rPr>
          <w:spacing w:val="-2"/>
        </w:rPr>
        <w:t xml:space="preserve"> </w:t>
      </w:r>
      <w:r w:rsidRPr="0031675F">
        <w:t xml:space="preserve">8 </w:t>
      </w:r>
      <w:r w:rsidRPr="0031675F">
        <w:rPr>
          <w:spacing w:val="-1"/>
        </w:rPr>
        <w:t>cm)</w:t>
      </w:r>
    </w:p>
    <w:p w14:paraId="18616E27" w14:textId="77777777" w:rsidR="0031675F" w:rsidRPr="0031675F" w:rsidRDefault="0031675F" w:rsidP="0031675F">
      <w:pPr>
        <w:widowControl w:val="0"/>
        <w:numPr>
          <w:ilvl w:val="2"/>
          <w:numId w:val="87"/>
        </w:numPr>
        <w:tabs>
          <w:tab w:val="left" w:pos="859"/>
        </w:tabs>
        <w:spacing w:before="0" w:after="0" w:line="240" w:lineRule="auto"/>
      </w:pPr>
      <w:r w:rsidRPr="0031675F">
        <w:rPr>
          <w:spacing w:val="-1"/>
        </w:rPr>
        <w:t>Black,</w:t>
      </w:r>
      <w:r w:rsidRPr="0031675F">
        <w:rPr>
          <w:spacing w:val="1"/>
        </w:rPr>
        <w:t xml:space="preserve"> </w:t>
      </w:r>
      <w:r w:rsidRPr="0031675F">
        <w:rPr>
          <w:spacing w:val="-1"/>
        </w:rPr>
        <w:t>fine-tipped, waterproof</w:t>
      </w:r>
      <w:r w:rsidRPr="0031675F">
        <w:rPr>
          <w:spacing w:val="-3"/>
        </w:rPr>
        <w:t xml:space="preserve"> </w:t>
      </w:r>
      <w:r w:rsidRPr="0031675F">
        <w:rPr>
          <w:spacing w:val="-1"/>
        </w:rPr>
        <w:t>labelling pen</w:t>
      </w:r>
      <w:r w:rsidRPr="0031675F">
        <w:t xml:space="preserve"> </w:t>
      </w:r>
      <w:r w:rsidRPr="0031675F">
        <w:rPr>
          <w:spacing w:val="-1"/>
        </w:rPr>
        <w:t>(eg</w:t>
      </w:r>
      <w:r w:rsidRPr="0031675F">
        <w:t xml:space="preserve"> </w:t>
      </w:r>
      <w:r w:rsidRPr="0031675F">
        <w:rPr>
          <w:spacing w:val="-1"/>
        </w:rPr>
        <w:t>Staedtler</w:t>
      </w:r>
      <w:r w:rsidRPr="0031675F">
        <w:t xml:space="preserve"> </w:t>
      </w:r>
      <w:r w:rsidRPr="0031675F">
        <w:rPr>
          <w:spacing w:val="-1"/>
        </w:rPr>
        <w:t>Lumocolour).</w:t>
      </w:r>
    </w:p>
    <w:p w14:paraId="6CCB8204" w14:textId="22C7DED1" w:rsidR="0031675F" w:rsidRPr="0031675F" w:rsidRDefault="0031675F" w:rsidP="0031675F">
      <w:pPr>
        <w:widowControl w:val="0"/>
        <w:numPr>
          <w:ilvl w:val="2"/>
          <w:numId w:val="87"/>
        </w:numPr>
        <w:tabs>
          <w:tab w:val="left" w:pos="859"/>
        </w:tabs>
        <w:spacing w:before="0" w:after="0" w:line="240" w:lineRule="auto"/>
      </w:pPr>
      <w:r w:rsidRPr="0031675F">
        <w:rPr>
          <w:spacing w:val="-1"/>
        </w:rPr>
        <w:t>250</w:t>
      </w:r>
      <w:r w:rsidRPr="0031675F">
        <w:rPr>
          <w:spacing w:val="-2"/>
        </w:rPr>
        <w:t xml:space="preserve"> </w:t>
      </w:r>
      <w:r w:rsidR="00BB13FD">
        <w:t>mL</w:t>
      </w:r>
      <w:r w:rsidRPr="0031675F">
        <w:rPr>
          <w:spacing w:val="-2"/>
        </w:rPr>
        <w:t xml:space="preserve"> </w:t>
      </w:r>
      <w:r w:rsidRPr="0031675F">
        <w:rPr>
          <w:spacing w:val="-1"/>
        </w:rPr>
        <w:t>measuring cylinders.</w:t>
      </w:r>
    </w:p>
    <w:p w14:paraId="5647C7F7" w14:textId="77777777" w:rsidR="0031675F" w:rsidRPr="0031675F" w:rsidRDefault="0031675F" w:rsidP="0031675F">
      <w:pPr>
        <w:widowControl w:val="0"/>
        <w:numPr>
          <w:ilvl w:val="2"/>
          <w:numId w:val="87"/>
        </w:numPr>
        <w:tabs>
          <w:tab w:val="left" w:pos="859"/>
        </w:tabs>
        <w:spacing w:before="0" w:after="0" w:line="240" w:lineRule="auto"/>
      </w:pPr>
      <w:r w:rsidRPr="0031675F">
        <w:t>25</w:t>
      </w:r>
      <w:r w:rsidRPr="0031675F">
        <w:rPr>
          <w:spacing w:val="-2"/>
        </w:rPr>
        <w:t xml:space="preserve"> </w:t>
      </w:r>
      <w:r w:rsidRPr="0031675F">
        <w:rPr>
          <w:spacing w:val="-1"/>
        </w:rPr>
        <w:t>mm</w:t>
      </w:r>
      <w:r w:rsidRPr="0031675F">
        <w:rPr>
          <w:spacing w:val="1"/>
        </w:rPr>
        <w:t xml:space="preserve"> </w:t>
      </w:r>
      <w:r w:rsidRPr="0031675F">
        <w:rPr>
          <w:spacing w:val="-1"/>
        </w:rPr>
        <w:t>filter</w:t>
      </w:r>
      <w:r w:rsidRPr="0031675F">
        <w:t xml:space="preserve"> </w:t>
      </w:r>
      <w:r w:rsidRPr="0031675F">
        <w:rPr>
          <w:spacing w:val="-1"/>
        </w:rPr>
        <w:t>funnels.</w:t>
      </w:r>
    </w:p>
    <w:p w14:paraId="1ACF39F5" w14:textId="77777777" w:rsidR="0031675F" w:rsidRPr="0031675F" w:rsidRDefault="0031675F" w:rsidP="0031675F">
      <w:pPr>
        <w:widowControl w:val="0"/>
        <w:numPr>
          <w:ilvl w:val="2"/>
          <w:numId w:val="87"/>
        </w:numPr>
        <w:tabs>
          <w:tab w:val="left" w:pos="859"/>
        </w:tabs>
        <w:spacing w:before="0" w:after="0" w:line="240" w:lineRule="auto"/>
      </w:pPr>
      <w:r w:rsidRPr="0031675F">
        <w:rPr>
          <w:spacing w:val="-1"/>
        </w:rPr>
        <w:t>Vacuum manifold,</w:t>
      </w:r>
      <w:r w:rsidRPr="0031675F">
        <w:rPr>
          <w:spacing w:val="-3"/>
        </w:rPr>
        <w:t xml:space="preserve"> </w:t>
      </w:r>
      <w:r w:rsidRPr="0031675F">
        <w:rPr>
          <w:spacing w:val="-1"/>
        </w:rPr>
        <w:t>water</w:t>
      </w:r>
      <w:r w:rsidRPr="0031675F">
        <w:t xml:space="preserve"> </w:t>
      </w:r>
      <w:r w:rsidRPr="0031675F">
        <w:rPr>
          <w:spacing w:val="-1"/>
        </w:rPr>
        <w:t>reservoir,</w:t>
      </w:r>
      <w:r w:rsidRPr="0031675F">
        <w:rPr>
          <w:spacing w:val="-3"/>
        </w:rPr>
        <w:t xml:space="preserve"> </w:t>
      </w:r>
      <w:r w:rsidRPr="0031675F">
        <w:rPr>
          <w:spacing w:val="-1"/>
        </w:rPr>
        <w:t>vacuum</w:t>
      </w:r>
      <w:r w:rsidRPr="0031675F">
        <w:rPr>
          <w:spacing w:val="1"/>
        </w:rPr>
        <w:t xml:space="preserve"> </w:t>
      </w:r>
      <w:r w:rsidRPr="0031675F">
        <w:rPr>
          <w:spacing w:val="-1"/>
        </w:rPr>
        <w:t xml:space="preserve">tubing </w:t>
      </w:r>
      <w:r w:rsidRPr="0031675F">
        <w:t>and</w:t>
      </w:r>
      <w:r w:rsidRPr="0031675F">
        <w:rPr>
          <w:spacing w:val="-4"/>
        </w:rPr>
        <w:t xml:space="preserve"> </w:t>
      </w:r>
      <w:r w:rsidRPr="0031675F">
        <w:rPr>
          <w:spacing w:val="-1"/>
        </w:rPr>
        <w:t>vacuum</w:t>
      </w:r>
      <w:r w:rsidRPr="0031675F">
        <w:rPr>
          <w:spacing w:val="1"/>
        </w:rPr>
        <w:t xml:space="preserve"> </w:t>
      </w:r>
      <w:r w:rsidRPr="0031675F">
        <w:rPr>
          <w:spacing w:val="-1"/>
        </w:rPr>
        <w:t>pump.</w:t>
      </w:r>
    </w:p>
    <w:p w14:paraId="1AEF1CB6" w14:textId="77777777" w:rsidR="0031675F" w:rsidRPr="0031675F" w:rsidRDefault="0031675F" w:rsidP="0031675F">
      <w:pPr>
        <w:spacing w:before="9"/>
        <w:rPr>
          <w:rFonts w:cs="Calibri"/>
          <w:sz w:val="21"/>
          <w:szCs w:val="21"/>
        </w:rPr>
      </w:pPr>
    </w:p>
    <w:p w14:paraId="622D2824" w14:textId="77777777" w:rsidR="0031675F" w:rsidRPr="0031675F" w:rsidRDefault="0031675F" w:rsidP="0031675F">
      <w:pPr>
        <w:ind w:left="138"/>
        <w:jc w:val="both"/>
        <w:rPr>
          <w:rFonts w:eastAsia="Arial" w:cs="Arial"/>
        </w:rPr>
      </w:pPr>
      <w:r w:rsidRPr="0031675F">
        <w:rPr>
          <w:b/>
        </w:rPr>
        <w:t xml:space="preserve">9.3.2  </w:t>
      </w:r>
      <w:r w:rsidRPr="0031675F">
        <w:rPr>
          <w:b/>
          <w:spacing w:val="44"/>
        </w:rPr>
        <w:t xml:space="preserve"> </w:t>
      </w:r>
      <w:r w:rsidRPr="0031675F">
        <w:rPr>
          <w:b/>
        </w:rPr>
        <w:t>Method</w:t>
      </w:r>
    </w:p>
    <w:p w14:paraId="69CA597F" w14:textId="05EA1AB8" w:rsidR="0031675F" w:rsidRPr="0031675F" w:rsidRDefault="0031675F" w:rsidP="0031675F">
      <w:pPr>
        <w:widowControl w:val="0"/>
        <w:numPr>
          <w:ilvl w:val="0"/>
          <w:numId w:val="86"/>
        </w:numPr>
        <w:tabs>
          <w:tab w:val="left" w:pos="859"/>
        </w:tabs>
        <w:spacing w:before="0" w:after="0" w:line="240" w:lineRule="auto"/>
        <w:ind w:right="677"/>
      </w:pPr>
      <w:r w:rsidRPr="0031675F">
        <w:rPr>
          <w:spacing w:val="-1"/>
        </w:rPr>
        <w:t>Filter</w:t>
      </w:r>
      <w:r w:rsidRPr="0031675F">
        <w:rPr>
          <w:spacing w:val="28"/>
        </w:rPr>
        <w:t xml:space="preserve"> </w:t>
      </w:r>
      <w:r w:rsidRPr="0031675F">
        <w:rPr>
          <w:spacing w:val="-2"/>
        </w:rPr>
        <w:t>100</w:t>
      </w:r>
      <w:r w:rsidRPr="0031675F">
        <w:rPr>
          <w:spacing w:val="27"/>
        </w:rPr>
        <w:t xml:space="preserve"> </w:t>
      </w:r>
      <w:r w:rsidR="00BB13FD">
        <w:t>mL</w:t>
      </w:r>
      <w:r w:rsidRPr="0031675F">
        <w:rPr>
          <w:spacing w:val="26"/>
        </w:rPr>
        <w:t xml:space="preserve"> </w:t>
      </w:r>
      <w:r w:rsidRPr="0031675F">
        <w:t>of</w:t>
      </w:r>
      <w:r w:rsidRPr="0031675F">
        <w:rPr>
          <w:spacing w:val="28"/>
        </w:rPr>
        <w:t xml:space="preserve"> </w:t>
      </w:r>
      <w:r w:rsidRPr="0031675F">
        <w:rPr>
          <w:spacing w:val="-1"/>
        </w:rPr>
        <w:t>seawater</w:t>
      </w:r>
      <w:r w:rsidRPr="0031675F">
        <w:rPr>
          <w:spacing w:val="27"/>
        </w:rPr>
        <w:t xml:space="preserve"> </w:t>
      </w:r>
      <w:r w:rsidRPr="0031675F">
        <w:rPr>
          <w:spacing w:val="-1"/>
        </w:rPr>
        <w:t>sample</w:t>
      </w:r>
      <w:r w:rsidRPr="0031675F">
        <w:rPr>
          <w:spacing w:val="27"/>
        </w:rPr>
        <w:t xml:space="preserve"> </w:t>
      </w:r>
      <w:r w:rsidRPr="0031675F">
        <w:rPr>
          <w:spacing w:val="-1"/>
        </w:rPr>
        <w:t>through</w:t>
      </w:r>
      <w:r w:rsidRPr="0031675F">
        <w:rPr>
          <w:spacing w:val="28"/>
        </w:rPr>
        <w:t xml:space="preserve"> </w:t>
      </w:r>
      <w:r w:rsidRPr="0031675F">
        <w:t>a</w:t>
      </w:r>
      <w:r w:rsidRPr="0031675F">
        <w:rPr>
          <w:spacing w:val="25"/>
        </w:rPr>
        <w:t xml:space="preserve"> </w:t>
      </w:r>
      <w:r w:rsidRPr="0031675F">
        <w:rPr>
          <w:spacing w:val="-1"/>
        </w:rPr>
        <w:t>25</w:t>
      </w:r>
      <w:r w:rsidRPr="0031675F">
        <w:rPr>
          <w:spacing w:val="27"/>
        </w:rPr>
        <w:t xml:space="preserve"> </w:t>
      </w:r>
      <w:r w:rsidRPr="0031675F">
        <w:rPr>
          <w:spacing w:val="-1"/>
        </w:rPr>
        <w:t>mm</w:t>
      </w:r>
      <w:r w:rsidRPr="0031675F">
        <w:rPr>
          <w:spacing w:val="28"/>
        </w:rPr>
        <w:t xml:space="preserve"> </w:t>
      </w:r>
      <w:r w:rsidRPr="0031675F">
        <w:rPr>
          <w:spacing w:val="-1"/>
        </w:rPr>
        <w:t>Whatman</w:t>
      </w:r>
      <w:r w:rsidRPr="0031675F">
        <w:rPr>
          <w:spacing w:val="27"/>
        </w:rPr>
        <w:t xml:space="preserve"> </w:t>
      </w:r>
      <w:r w:rsidRPr="0031675F">
        <w:rPr>
          <w:spacing w:val="-1"/>
        </w:rPr>
        <w:t>GF/F</w:t>
      </w:r>
      <w:r w:rsidRPr="0031675F">
        <w:rPr>
          <w:spacing w:val="26"/>
        </w:rPr>
        <w:t xml:space="preserve"> </w:t>
      </w:r>
      <w:r w:rsidRPr="0031675F">
        <w:rPr>
          <w:spacing w:val="-1"/>
        </w:rPr>
        <w:t>glass</w:t>
      </w:r>
      <w:r w:rsidRPr="0031675F">
        <w:rPr>
          <w:spacing w:val="28"/>
        </w:rPr>
        <w:t xml:space="preserve"> </w:t>
      </w:r>
      <w:r w:rsidRPr="0031675F">
        <w:rPr>
          <w:spacing w:val="-2"/>
        </w:rPr>
        <w:t>fibre</w:t>
      </w:r>
      <w:r w:rsidRPr="0031675F">
        <w:rPr>
          <w:spacing w:val="27"/>
        </w:rPr>
        <w:t xml:space="preserve"> </w:t>
      </w:r>
      <w:r w:rsidRPr="0031675F">
        <w:rPr>
          <w:spacing w:val="-1"/>
        </w:rPr>
        <w:t>filter.</w:t>
      </w:r>
      <w:r w:rsidRPr="0031675F">
        <w:rPr>
          <w:spacing w:val="73"/>
        </w:rPr>
        <w:t xml:space="preserve"> </w:t>
      </w:r>
      <w:r w:rsidRPr="0031675F">
        <w:rPr>
          <w:spacing w:val="-1"/>
        </w:rPr>
        <w:t>Duplicate</w:t>
      </w:r>
      <w:r w:rsidRPr="0031675F">
        <w:rPr>
          <w:spacing w:val="-2"/>
        </w:rPr>
        <w:t xml:space="preserve"> </w:t>
      </w:r>
      <w:r w:rsidRPr="0031675F">
        <w:rPr>
          <w:spacing w:val="-1"/>
        </w:rPr>
        <w:t>samples</w:t>
      </w:r>
      <w:r w:rsidRPr="0031675F">
        <w:t xml:space="preserve"> </w:t>
      </w:r>
      <w:r w:rsidRPr="0031675F">
        <w:rPr>
          <w:spacing w:val="-1"/>
        </w:rPr>
        <w:t>are</w:t>
      </w:r>
      <w:r w:rsidRPr="0031675F">
        <w:t xml:space="preserve"> </w:t>
      </w:r>
      <w:r w:rsidRPr="0031675F">
        <w:rPr>
          <w:spacing w:val="-1"/>
        </w:rPr>
        <w:t>recommended.</w:t>
      </w:r>
    </w:p>
    <w:p w14:paraId="12D85E8A" w14:textId="77777777" w:rsidR="0031675F" w:rsidRPr="0031675F" w:rsidRDefault="0031675F" w:rsidP="0031675F">
      <w:pPr>
        <w:widowControl w:val="0"/>
        <w:numPr>
          <w:ilvl w:val="0"/>
          <w:numId w:val="86"/>
        </w:numPr>
        <w:tabs>
          <w:tab w:val="left" w:pos="859"/>
        </w:tabs>
        <w:spacing w:before="0" w:after="0" w:line="240" w:lineRule="auto"/>
        <w:ind w:right="680"/>
      </w:pPr>
      <w:r w:rsidRPr="0031675F">
        <w:rPr>
          <w:spacing w:val="-1"/>
        </w:rPr>
        <w:t>The</w:t>
      </w:r>
      <w:r w:rsidRPr="0031675F">
        <w:rPr>
          <w:spacing w:val="5"/>
        </w:rPr>
        <w:t xml:space="preserve"> </w:t>
      </w:r>
      <w:r w:rsidRPr="0031675F">
        <w:rPr>
          <w:spacing w:val="-1"/>
        </w:rPr>
        <w:t>filter</w:t>
      </w:r>
      <w:r w:rsidRPr="0031675F">
        <w:rPr>
          <w:spacing w:val="5"/>
        </w:rPr>
        <w:t xml:space="preserve"> </w:t>
      </w:r>
      <w:r w:rsidRPr="0031675F">
        <w:t>is</w:t>
      </w:r>
      <w:r w:rsidRPr="0031675F">
        <w:rPr>
          <w:spacing w:val="2"/>
        </w:rPr>
        <w:t xml:space="preserve"> </w:t>
      </w:r>
      <w:r w:rsidRPr="0031675F">
        <w:t>then</w:t>
      </w:r>
      <w:r w:rsidRPr="0031675F">
        <w:rPr>
          <w:spacing w:val="4"/>
        </w:rPr>
        <w:t xml:space="preserve"> </w:t>
      </w:r>
      <w:r w:rsidRPr="0031675F">
        <w:rPr>
          <w:spacing w:val="-1"/>
        </w:rPr>
        <w:t>wrapped</w:t>
      </w:r>
      <w:r w:rsidRPr="0031675F">
        <w:rPr>
          <w:spacing w:val="4"/>
        </w:rPr>
        <w:t xml:space="preserve"> </w:t>
      </w:r>
      <w:r w:rsidRPr="0031675F">
        <w:rPr>
          <w:spacing w:val="-2"/>
        </w:rPr>
        <w:t>in</w:t>
      </w:r>
      <w:r w:rsidRPr="0031675F">
        <w:rPr>
          <w:spacing w:val="4"/>
        </w:rPr>
        <w:t xml:space="preserve"> </w:t>
      </w:r>
      <w:r w:rsidRPr="0031675F">
        <w:rPr>
          <w:spacing w:val="-1"/>
        </w:rPr>
        <w:t>alfoil,</w:t>
      </w:r>
      <w:r w:rsidRPr="0031675F">
        <w:rPr>
          <w:spacing w:val="5"/>
        </w:rPr>
        <w:t xml:space="preserve"> </w:t>
      </w:r>
      <w:r w:rsidRPr="0031675F">
        <w:rPr>
          <w:spacing w:val="-1"/>
        </w:rPr>
        <w:t>labelled</w:t>
      </w:r>
      <w:r w:rsidRPr="0031675F">
        <w:rPr>
          <w:spacing w:val="1"/>
        </w:rPr>
        <w:t xml:space="preserve"> </w:t>
      </w:r>
      <w:r w:rsidRPr="0031675F">
        <w:t>with</w:t>
      </w:r>
      <w:r w:rsidRPr="0031675F">
        <w:rPr>
          <w:spacing w:val="4"/>
        </w:rPr>
        <w:t xml:space="preserve"> </w:t>
      </w:r>
      <w:r w:rsidRPr="0031675F">
        <w:rPr>
          <w:spacing w:val="-1"/>
        </w:rPr>
        <w:t>site,</w:t>
      </w:r>
      <w:r w:rsidRPr="0031675F">
        <w:rPr>
          <w:spacing w:val="3"/>
        </w:rPr>
        <w:t xml:space="preserve"> </w:t>
      </w:r>
      <w:r w:rsidRPr="0031675F">
        <w:rPr>
          <w:spacing w:val="-1"/>
        </w:rPr>
        <w:t>depth,</w:t>
      </w:r>
      <w:r w:rsidRPr="0031675F">
        <w:rPr>
          <w:spacing w:val="3"/>
        </w:rPr>
        <w:t xml:space="preserve"> </w:t>
      </w:r>
      <w:r w:rsidRPr="0031675F">
        <w:rPr>
          <w:spacing w:val="-1"/>
        </w:rPr>
        <w:t>date</w:t>
      </w:r>
      <w:r w:rsidRPr="0031675F">
        <w:rPr>
          <w:spacing w:val="3"/>
        </w:rPr>
        <w:t xml:space="preserve"> </w:t>
      </w:r>
      <w:r w:rsidRPr="0031675F">
        <w:rPr>
          <w:spacing w:val="-1"/>
        </w:rPr>
        <w:t>collected</w:t>
      </w:r>
      <w:r w:rsidRPr="0031675F">
        <w:rPr>
          <w:spacing w:val="4"/>
        </w:rPr>
        <w:t xml:space="preserve"> </w:t>
      </w:r>
      <w:r w:rsidRPr="0031675F">
        <w:rPr>
          <w:spacing w:val="-1"/>
        </w:rPr>
        <w:t>and</w:t>
      </w:r>
      <w:r w:rsidRPr="0031675F">
        <w:rPr>
          <w:spacing w:val="2"/>
        </w:rPr>
        <w:t xml:space="preserve"> </w:t>
      </w:r>
      <w:r w:rsidRPr="0031675F">
        <w:rPr>
          <w:spacing w:val="-1"/>
        </w:rPr>
        <w:t>volume</w:t>
      </w:r>
      <w:r w:rsidRPr="0031675F">
        <w:rPr>
          <w:spacing w:val="63"/>
        </w:rPr>
        <w:t xml:space="preserve"> </w:t>
      </w:r>
      <w:r w:rsidRPr="0031675F">
        <w:rPr>
          <w:spacing w:val="-1"/>
        </w:rPr>
        <w:t>filtered. When</w:t>
      </w:r>
      <w:r w:rsidRPr="0031675F">
        <w:t xml:space="preserve"> </w:t>
      </w:r>
      <w:r w:rsidRPr="0031675F">
        <w:rPr>
          <w:spacing w:val="-1"/>
        </w:rPr>
        <w:t xml:space="preserve">sampled </w:t>
      </w:r>
      <w:r w:rsidRPr="0031675F">
        <w:t>in</w:t>
      </w:r>
      <w:r w:rsidRPr="0031675F">
        <w:rPr>
          <w:spacing w:val="-3"/>
        </w:rPr>
        <w:t xml:space="preserve"> </w:t>
      </w:r>
      <w:r w:rsidRPr="0031675F">
        <w:rPr>
          <w:spacing w:val="-1"/>
        </w:rPr>
        <w:t>duplicate,</w:t>
      </w:r>
      <w:r w:rsidRPr="0031675F">
        <w:t xml:space="preserve"> </w:t>
      </w:r>
      <w:r w:rsidRPr="0031675F">
        <w:rPr>
          <w:spacing w:val="-1"/>
        </w:rPr>
        <w:t>there</w:t>
      </w:r>
      <w:r w:rsidRPr="0031675F">
        <w:t xml:space="preserve"> </w:t>
      </w:r>
      <w:r w:rsidRPr="0031675F">
        <w:rPr>
          <w:spacing w:val="-1"/>
        </w:rPr>
        <w:t>should be</w:t>
      </w:r>
      <w:r w:rsidRPr="0031675F">
        <w:rPr>
          <w:spacing w:val="-2"/>
        </w:rPr>
        <w:t xml:space="preserve"> </w:t>
      </w:r>
      <w:r w:rsidRPr="0031675F">
        <w:t xml:space="preserve">2 </w:t>
      </w:r>
      <w:r w:rsidRPr="0031675F">
        <w:rPr>
          <w:spacing w:val="-1"/>
        </w:rPr>
        <w:t>filters</w:t>
      </w:r>
      <w:r w:rsidRPr="0031675F">
        <w:t xml:space="preserve"> </w:t>
      </w:r>
      <w:r w:rsidRPr="0031675F">
        <w:rPr>
          <w:spacing w:val="-1"/>
        </w:rPr>
        <w:t>per</w:t>
      </w:r>
      <w:r w:rsidRPr="0031675F">
        <w:rPr>
          <w:spacing w:val="-2"/>
        </w:rPr>
        <w:t xml:space="preserve"> </w:t>
      </w:r>
      <w:r w:rsidRPr="0031675F">
        <w:t>alfoil</w:t>
      </w:r>
      <w:r w:rsidRPr="0031675F">
        <w:rPr>
          <w:spacing w:val="-1"/>
        </w:rPr>
        <w:t xml:space="preserve"> packet.</w:t>
      </w:r>
    </w:p>
    <w:p w14:paraId="11AFA236" w14:textId="77777777" w:rsidR="0031675F" w:rsidRPr="0031675F" w:rsidRDefault="0031675F" w:rsidP="0031675F">
      <w:pPr>
        <w:widowControl w:val="0"/>
        <w:numPr>
          <w:ilvl w:val="0"/>
          <w:numId w:val="86"/>
        </w:numPr>
        <w:tabs>
          <w:tab w:val="left" w:pos="859"/>
        </w:tabs>
        <w:spacing w:before="0" w:after="0" w:line="240" w:lineRule="auto"/>
      </w:pPr>
      <w:r w:rsidRPr="0031675F">
        <w:rPr>
          <w:spacing w:val="-1"/>
        </w:rPr>
        <w:t>Freeze</w:t>
      </w:r>
      <w:r w:rsidRPr="0031675F">
        <w:t xml:space="preserve"> </w:t>
      </w:r>
      <w:r w:rsidRPr="0031675F">
        <w:rPr>
          <w:spacing w:val="-1"/>
        </w:rPr>
        <w:t>the</w:t>
      </w:r>
      <w:r w:rsidRPr="0031675F">
        <w:t xml:space="preserve"> </w:t>
      </w:r>
      <w:r w:rsidRPr="0031675F">
        <w:rPr>
          <w:spacing w:val="-1"/>
        </w:rPr>
        <w:t>filters</w:t>
      </w:r>
      <w:r w:rsidRPr="0031675F">
        <w:t xml:space="preserve"> </w:t>
      </w:r>
      <w:r w:rsidRPr="0031675F">
        <w:rPr>
          <w:spacing w:val="-1"/>
        </w:rPr>
        <w:t>immediately.</w:t>
      </w:r>
    </w:p>
    <w:p w14:paraId="19EEAF70" w14:textId="77777777" w:rsidR="0031675F" w:rsidRPr="0031675F" w:rsidRDefault="0031675F" w:rsidP="0031675F">
      <w:pPr>
        <w:spacing w:before="12"/>
        <w:rPr>
          <w:rFonts w:cs="Calibri"/>
          <w:sz w:val="21"/>
          <w:szCs w:val="21"/>
        </w:rPr>
      </w:pPr>
    </w:p>
    <w:p w14:paraId="74CD098A" w14:textId="77777777" w:rsidR="0031675F" w:rsidRPr="0031675F" w:rsidRDefault="0031675F" w:rsidP="0031675F">
      <w:pPr>
        <w:widowControl w:val="0"/>
        <w:numPr>
          <w:ilvl w:val="1"/>
          <w:numId w:val="85"/>
        </w:numPr>
        <w:tabs>
          <w:tab w:val="left" w:pos="859"/>
        </w:tabs>
        <w:spacing w:before="0" w:after="0" w:line="240" w:lineRule="auto"/>
        <w:jc w:val="both"/>
        <w:rPr>
          <w:rFonts w:eastAsia="Arial" w:cs="Arial"/>
          <w:sz w:val="24"/>
          <w:szCs w:val="24"/>
        </w:rPr>
      </w:pPr>
      <w:bookmarkStart w:id="708" w:name="_TOC_250015"/>
      <w:r w:rsidRPr="0031675F">
        <w:rPr>
          <w:b/>
          <w:sz w:val="24"/>
        </w:rPr>
        <w:t xml:space="preserve">Sample </w:t>
      </w:r>
      <w:r w:rsidRPr="0031675F">
        <w:rPr>
          <w:b/>
          <w:spacing w:val="-1"/>
          <w:sz w:val="24"/>
        </w:rPr>
        <w:t>analysis</w:t>
      </w:r>
      <w:bookmarkEnd w:id="708"/>
    </w:p>
    <w:p w14:paraId="78F3F9A0" w14:textId="77777777" w:rsidR="0031675F" w:rsidRPr="0031675F" w:rsidRDefault="0031675F" w:rsidP="0031675F">
      <w:pPr>
        <w:spacing w:before="10"/>
        <w:rPr>
          <w:rFonts w:eastAsia="Arial" w:cs="Arial"/>
          <w:b/>
          <w:bCs/>
          <w:sz w:val="20"/>
          <w:szCs w:val="20"/>
        </w:rPr>
      </w:pPr>
    </w:p>
    <w:p w14:paraId="42BC7120" w14:textId="77777777" w:rsidR="0031675F" w:rsidRPr="0031675F" w:rsidRDefault="0031675F" w:rsidP="0031675F">
      <w:pPr>
        <w:ind w:left="138"/>
        <w:jc w:val="both"/>
        <w:rPr>
          <w:rFonts w:eastAsia="Arial" w:cs="Arial"/>
        </w:rPr>
      </w:pPr>
      <w:r w:rsidRPr="0031675F">
        <w:rPr>
          <w:b/>
        </w:rPr>
        <w:t xml:space="preserve">9.4.1  </w:t>
      </w:r>
      <w:r w:rsidRPr="0031675F">
        <w:rPr>
          <w:b/>
          <w:spacing w:val="43"/>
        </w:rPr>
        <w:t xml:space="preserve"> </w:t>
      </w:r>
      <w:r w:rsidRPr="0031675F">
        <w:rPr>
          <w:b/>
          <w:spacing w:val="-1"/>
        </w:rPr>
        <w:t>Equipment</w:t>
      </w:r>
    </w:p>
    <w:p w14:paraId="6441C712" w14:textId="77777777" w:rsidR="0031675F" w:rsidRPr="0031675F" w:rsidRDefault="0031675F" w:rsidP="0031675F">
      <w:pPr>
        <w:widowControl w:val="0"/>
        <w:numPr>
          <w:ilvl w:val="2"/>
          <w:numId w:val="85"/>
        </w:numPr>
        <w:tabs>
          <w:tab w:val="left" w:pos="859"/>
        </w:tabs>
        <w:spacing w:before="0" w:after="0" w:line="240" w:lineRule="auto"/>
      </w:pPr>
      <w:r w:rsidRPr="0031675F">
        <w:rPr>
          <w:spacing w:val="-1"/>
        </w:rPr>
        <w:t>Turner</w:t>
      </w:r>
      <w:r w:rsidRPr="0031675F">
        <w:t xml:space="preserve"> </w:t>
      </w:r>
      <w:r w:rsidRPr="0031675F">
        <w:rPr>
          <w:spacing w:val="-1"/>
        </w:rPr>
        <w:t>Designs</w:t>
      </w:r>
      <w:r w:rsidRPr="0031675F">
        <w:rPr>
          <w:spacing w:val="-2"/>
        </w:rPr>
        <w:t xml:space="preserve"> </w:t>
      </w:r>
      <w:r w:rsidRPr="0031675F">
        <w:t>Model</w:t>
      </w:r>
      <w:r w:rsidRPr="0031675F">
        <w:rPr>
          <w:spacing w:val="-3"/>
        </w:rPr>
        <w:t xml:space="preserve"> </w:t>
      </w:r>
      <w:r w:rsidRPr="0031675F">
        <w:rPr>
          <w:spacing w:val="-1"/>
        </w:rPr>
        <w:t xml:space="preserve">10-Au </w:t>
      </w:r>
      <w:r w:rsidRPr="0031675F">
        <w:t xml:space="preserve">or </w:t>
      </w:r>
      <w:r w:rsidRPr="0031675F">
        <w:rPr>
          <w:spacing w:val="-2"/>
        </w:rPr>
        <w:t>TD700</w:t>
      </w:r>
      <w:r w:rsidRPr="0031675F">
        <w:t xml:space="preserve"> </w:t>
      </w:r>
      <w:r w:rsidRPr="0031675F">
        <w:rPr>
          <w:spacing w:val="-1"/>
        </w:rPr>
        <w:t>digital fluorometer.</w:t>
      </w:r>
    </w:p>
    <w:p w14:paraId="4A7EF6FF" w14:textId="76122E27" w:rsidR="0031675F" w:rsidRPr="0031675F" w:rsidRDefault="0031675F" w:rsidP="0031675F">
      <w:pPr>
        <w:widowControl w:val="0"/>
        <w:numPr>
          <w:ilvl w:val="2"/>
          <w:numId w:val="85"/>
        </w:numPr>
        <w:tabs>
          <w:tab w:val="left" w:pos="859"/>
        </w:tabs>
        <w:spacing w:before="0" w:after="0" w:line="240" w:lineRule="auto"/>
      </w:pPr>
      <w:r w:rsidRPr="0031675F">
        <w:rPr>
          <w:spacing w:val="-1"/>
        </w:rPr>
        <w:t>10</w:t>
      </w:r>
      <w:r w:rsidR="00BB13FD">
        <w:rPr>
          <w:spacing w:val="-1"/>
        </w:rPr>
        <w:t xml:space="preserve"> mL</w:t>
      </w:r>
      <w:r w:rsidRPr="0031675F">
        <w:t xml:space="preserve"> </w:t>
      </w:r>
      <w:r w:rsidRPr="0031675F">
        <w:rPr>
          <w:spacing w:val="-1"/>
        </w:rPr>
        <w:t>quartz cuvette.</w:t>
      </w:r>
    </w:p>
    <w:p w14:paraId="03D67F57" w14:textId="77777777" w:rsidR="0031675F" w:rsidRPr="0031675F" w:rsidRDefault="0031675F" w:rsidP="0031675F">
      <w:pPr>
        <w:widowControl w:val="0"/>
        <w:numPr>
          <w:ilvl w:val="2"/>
          <w:numId w:val="85"/>
        </w:numPr>
        <w:tabs>
          <w:tab w:val="left" w:pos="859"/>
        </w:tabs>
        <w:spacing w:before="0" w:after="0" w:line="240" w:lineRule="auto"/>
      </w:pPr>
      <w:r w:rsidRPr="0031675F">
        <w:rPr>
          <w:spacing w:val="-1"/>
        </w:rPr>
        <w:t>High speed tissue</w:t>
      </w:r>
      <w:r w:rsidRPr="0031675F">
        <w:rPr>
          <w:spacing w:val="-2"/>
        </w:rPr>
        <w:t xml:space="preserve"> </w:t>
      </w:r>
      <w:r w:rsidRPr="0031675F">
        <w:rPr>
          <w:spacing w:val="-1"/>
        </w:rPr>
        <w:t>grinder</w:t>
      </w:r>
      <w:r w:rsidRPr="0031675F">
        <w:t xml:space="preserve"> </w:t>
      </w:r>
      <w:r w:rsidRPr="0031675F">
        <w:rPr>
          <w:spacing w:val="-1"/>
        </w:rPr>
        <w:t>comprising</w:t>
      </w:r>
      <w:r w:rsidRPr="0031675F">
        <w:rPr>
          <w:spacing w:val="-3"/>
        </w:rPr>
        <w:t xml:space="preserve"> </w:t>
      </w:r>
      <w:r w:rsidRPr="0031675F">
        <w:rPr>
          <w:spacing w:val="-1"/>
        </w:rPr>
        <w:t>motor,</w:t>
      </w:r>
      <w:r w:rsidRPr="0031675F">
        <w:rPr>
          <w:spacing w:val="2"/>
        </w:rPr>
        <w:t xml:space="preserve"> </w:t>
      </w:r>
      <w:r w:rsidRPr="0031675F">
        <w:rPr>
          <w:spacing w:val="-1"/>
        </w:rPr>
        <w:t>pestle and tube</w:t>
      </w:r>
      <w:r w:rsidRPr="0031675F">
        <w:t xml:space="preserve"> </w:t>
      </w:r>
      <w:r w:rsidRPr="0031675F">
        <w:rPr>
          <w:spacing w:val="-1"/>
        </w:rPr>
        <w:t>(Potter</w:t>
      </w:r>
      <w:r w:rsidRPr="0031675F">
        <w:rPr>
          <w:spacing w:val="-2"/>
        </w:rPr>
        <w:t xml:space="preserve"> </w:t>
      </w:r>
      <w:r w:rsidRPr="0031675F">
        <w:rPr>
          <w:spacing w:val="-1"/>
        </w:rPr>
        <w:t>Elversham</w:t>
      </w:r>
      <w:r w:rsidRPr="0031675F">
        <w:rPr>
          <w:spacing w:val="1"/>
        </w:rPr>
        <w:t xml:space="preserve"> </w:t>
      </w:r>
      <w:r w:rsidRPr="0031675F">
        <w:rPr>
          <w:spacing w:val="-1"/>
        </w:rPr>
        <w:t>No.</w:t>
      </w:r>
      <w:r w:rsidRPr="0031675F">
        <w:t xml:space="preserve"> </w:t>
      </w:r>
      <w:r w:rsidRPr="0031675F">
        <w:rPr>
          <w:spacing w:val="-1"/>
        </w:rPr>
        <w:t>23).</w:t>
      </w:r>
    </w:p>
    <w:p w14:paraId="56DFD2E5" w14:textId="328185E8" w:rsidR="0031675F" w:rsidRPr="0031675F" w:rsidRDefault="0031675F" w:rsidP="0031675F">
      <w:pPr>
        <w:widowControl w:val="0"/>
        <w:numPr>
          <w:ilvl w:val="2"/>
          <w:numId w:val="85"/>
        </w:numPr>
        <w:tabs>
          <w:tab w:val="left" w:pos="859"/>
        </w:tabs>
        <w:spacing w:before="0" w:after="0" w:line="240" w:lineRule="auto"/>
      </w:pPr>
      <w:r w:rsidRPr="0031675F">
        <w:rPr>
          <w:spacing w:val="-1"/>
        </w:rPr>
        <w:t>12</w:t>
      </w:r>
      <w:r w:rsidR="00BB13FD">
        <w:rPr>
          <w:spacing w:val="-1"/>
        </w:rPr>
        <w:t xml:space="preserve"> mL</w:t>
      </w:r>
      <w:r w:rsidRPr="0031675F">
        <w:t xml:space="preserve"> </w:t>
      </w:r>
      <w:r w:rsidRPr="0031675F">
        <w:rPr>
          <w:spacing w:val="-1"/>
        </w:rPr>
        <w:t>centrifuge</w:t>
      </w:r>
      <w:r w:rsidRPr="0031675F">
        <w:t xml:space="preserve"> </w:t>
      </w:r>
      <w:r w:rsidRPr="0031675F">
        <w:rPr>
          <w:spacing w:val="-1"/>
        </w:rPr>
        <w:t>tubes</w:t>
      </w:r>
      <w:r w:rsidRPr="0031675F">
        <w:t xml:space="preserve"> </w:t>
      </w:r>
      <w:r w:rsidRPr="0031675F">
        <w:rPr>
          <w:spacing w:val="-1"/>
        </w:rPr>
        <w:t>with</w:t>
      </w:r>
      <w:r w:rsidRPr="0031675F">
        <w:rPr>
          <w:spacing w:val="-3"/>
        </w:rPr>
        <w:t xml:space="preserve"> </w:t>
      </w:r>
      <w:r w:rsidRPr="0031675F">
        <w:rPr>
          <w:spacing w:val="-1"/>
        </w:rPr>
        <w:t>caps.</w:t>
      </w:r>
    </w:p>
    <w:p w14:paraId="63AA6E0F" w14:textId="3E19A853" w:rsidR="0031675F" w:rsidRPr="0031675F" w:rsidRDefault="0031675F" w:rsidP="0031675F">
      <w:pPr>
        <w:widowControl w:val="0"/>
        <w:numPr>
          <w:ilvl w:val="2"/>
          <w:numId w:val="85"/>
        </w:numPr>
        <w:tabs>
          <w:tab w:val="left" w:pos="859"/>
        </w:tabs>
        <w:spacing w:before="0" w:after="0" w:line="279" w:lineRule="exact"/>
      </w:pPr>
      <w:r w:rsidRPr="0031675F">
        <w:rPr>
          <w:spacing w:val="-1"/>
        </w:rPr>
        <w:t>Centrifuge</w:t>
      </w:r>
      <w:r w:rsidRPr="0031675F">
        <w:t xml:space="preserve"> </w:t>
      </w:r>
      <w:r w:rsidRPr="0031675F">
        <w:rPr>
          <w:spacing w:val="-1"/>
        </w:rPr>
        <w:t>with</w:t>
      </w:r>
      <w:r w:rsidRPr="0031675F">
        <w:t xml:space="preserve"> </w:t>
      </w:r>
      <w:r w:rsidRPr="0031675F">
        <w:rPr>
          <w:spacing w:val="-1"/>
        </w:rPr>
        <w:t>12</w:t>
      </w:r>
      <w:r w:rsidR="00BB13FD">
        <w:rPr>
          <w:spacing w:val="-1"/>
        </w:rPr>
        <w:t xml:space="preserve"> </w:t>
      </w:r>
      <w:r w:rsidRPr="0031675F">
        <w:rPr>
          <w:spacing w:val="-1"/>
        </w:rPr>
        <w:t>m</w:t>
      </w:r>
      <w:r w:rsidR="00BB13FD">
        <w:rPr>
          <w:spacing w:val="-1"/>
        </w:rPr>
        <w:t>L</w:t>
      </w:r>
      <w:r w:rsidRPr="0031675F">
        <w:t xml:space="preserve"> </w:t>
      </w:r>
      <w:r w:rsidRPr="0031675F">
        <w:rPr>
          <w:spacing w:val="-1"/>
        </w:rPr>
        <w:t>holders.</w:t>
      </w:r>
    </w:p>
    <w:p w14:paraId="1C4D319C" w14:textId="77777777" w:rsidR="0031675F" w:rsidRPr="0031675F" w:rsidRDefault="0031675F" w:rsidP="0031675F">
      <w:pPr>
        <w:widowControl w:val="0"/>
        <w:numPr>
          <w:ilvl w:val="2"/>
          <w:numId w:val="85"/>
        </w:numPr>
        <w:tabs>
          <w:tab w:val="left" w:pos="859"/>
        </w:tabs>
        <w:spacing w:before="0" w:after="0" w:line="279" w:lineRule="exact"/>
      </w:pPr>
      <w:r w:rsidRPr="0031675F">
        <w:rPr>
          <w:spacing w:val="-1"/>
        </w:rPr>
        <w:t>Filter</w:t>
      </w:r>
      <w:r w:rsidRPr="0031675F">
        <w:t xml:space="preserve"> </w:t>
      </w:r>
      <w:r w:rsidRPr="0031675F">
        <w:rPr>
          <w:spacing w:val="-1"/>
        </w:rPr>
        <w:t>forceps.</w:t>
      </w:r>
    </w:p>
    <w:p w14:paraId="5874E052" w14:textId="77777777" w:rsidR="0031675F" w:rsidRPr="0031675F" w:rsidRDefault="0031675F" w:rsidP="0031675F">
      <w:pPr>
        <w:widowControl w:val="0"/>
        <w:numPr>
          <w:ilvl w:val="2"/>
          <w:numId w:val="85"/>
        </w:numPr>
        <w:tabs>
          <w:tab w:val="left" w:pos="839"/>
        </w:tabs>
        <w:spacing w:before="207" w:after="0" w:line="240" w:lineRule="auto"/>
        <w:ind w:left="838"/>
      </w:pPr>
      <w:r w:rsidRPr="0031675F">
        <w:rPr>
          <w:spacing w:val="-1"/>
        </w:rPr>
        <w:t>Thin</w:t>
      </w:r>
      <w:r w:rsidRPr="0031675F">
        <w:rPr>
          <w:spacing w:val="-2"/>
        </w:rPr>
        <w:t xml:space="preserve"> </w:t>
      </w:r>
      <w:r w:rsidRPr="0031675F">
        <w:rPr>
          <w:spacing w:val="-1"/>
        </w:rPr>
        <w:t>spatula.</w:t>
      </w:r>
    </w:p>
    <w:p w14:paraId="16CEA1E7" w14:textId="77777777" w:rsidR="0031675F" w:rsidRPr="0031675F" w:rsidRDefault="0031675F" w:rsidP="0031675F">
      <w:pPr>
        <w:widowControl w:val="0"/>
        <w:numPr>
          <w:ilvl w:val="2"/>
          <w:numId w:val="85"/>
        </w:numPr>
        <w:tabs>
          <w:tab w:val="left" w:pos="839"/>
        </w:tabs>
        <w:spacing w:before="207" w:after="0" w:line="240" w:lineRule="auto"/>
        <w:ind w:left="838"/>
      </w:pPr>
      <w:r w:rsidRPr="0031675F">
        <w:rPr>
          <w:spacing w:val="-1"/>
        </w:rPr>
        <w:t>Chlorophyll</w:t>
      </w:r>
      <w:r w:rsidRPr="0031675F">
        <w:rPr>
          <w:spacing w:val="-3"/>
        </w:rPr>
        <w:t xml:space="preserve"> </w:t>
      </w:r>
      <w:r w:rsidRPr="0031675F">
        <w:rPr>
          <w:spacing w:val="-1"/>
        </w:rPr>
        <w:t>laboratory</w:t>
      </w:r>
      <w:r w:rsidRPr="0031675F">
        <w:t xml:space="preserve"> </w:t>
      </w:r>
      <w:r w:rsidRPr="0031675F">
        <w:rPr>
          <w:spacing w:val="-1"/>
        </w:rPr>
        <w:t>log</w:t>
      </w:r>
      <w:r w:rsidRPr="0031675F">
        <w:rPr>
          <w:spacing w:val="-3"/>
        </w:rPr>
        <w:t xml:space="preserve"> </w:t>
      </w:r>
      <w:r w:rsidRPr="0031675F">
        <w:rPr>
          <w:spacing w:val="-1"/>
        </w:rPr>
        <w:t>sheets.</w:t>
      </w:r>
    </w:p>
    <w:p w14:paraId="1025D4EA" w14:textId="77777777" w:rsidR="0031675F" w:rsidRPr="0031675F" w:rsidRDefault="0031675F" w:rsidP="0031675F">
      <w:pPr>
        <w:widowControl w:val="0"/>
        <w:numPr>
          <w:ilvl w:val="2"/>
          <w:numId w:val="85"/>
        </w:numPr>
        <w:tabs>
          <w:tab w:val="left" w:pos="839"/>
        </w:tabs>
        <w:spacing w:before="1" w:after="0" w:line="240" w:lineRule="auto"/>
        <w:ind w:left="838"/>
      </w:pPr>
      <w:r w:rsidRPr="0031675F">
        <w:rPr>
          <w:spacing w:val="-1"/>
        </w:rPr>
        <w:t>Fume</w:t>
      </w:r>
      <w:r w:rsidRPr="0031675F">
        <w:t xml:space="preserve"> </w:t>
      </w:r>
      <w:r w:rsidRPr="0031675F">
        <w:rPr>
          <w:spacing w:val="-1"/>
        </w:rPr>
        <w:t>cupboard (see</w:t>
      </w:r>
      <w:r w:rsidRPr="0031675F">
        <w:t xml:space="preserve"> </w:t>
      </w:r>
      <w:r w:rsidRPr="0031675F">
        <w:rPr>
          <w:spacing w:val="-2"/>
        </w:rPr>
        <w:t>notes).</w:t>
      </w:r>
    </w:p>
    <w:p w14:paraId="1665DF1D" w14:textId="77777777" w:rsidR="0031675F" w:rsidRPr="0031675F" w:rsidRDefault="0031675F" w:rsidP="0031675F">
      <w:pPr>
        <w:spacing w:before="10"/>
        <w:rPr>
          <w:rFonts w:cs="Calibri"/>
          <w:sz w:val="21"/>
          <w:szCs w:val="21"/>
        </w:rPr>
      </w:pPr>
    </w:p>
    <w:p w14:paraId="5D2D27A9" w14:textId="77777777" w:rsidR="0031675F" w:rsidRPr="0031675F" w:rsidRDefault="0031675F" w:rsidP="0031675F">
      <w:pPr>
        <w:ind w:left="118" w:right="113"/>
        <w:jc w:val="both"/>
        <w:rPr>
          <w:rFonts w:cs="Calibri"/>
        </w:rPr>
      </w:pPr>
      <w:r w:rsidRPr="0031675F">
        <w:rPr>
          <w:i/>
          <w:spacing w:val="-1"/>
        </w:rPr>
        <w:t>Note</w:t>
      </w:r>
      <w:r w:rsidRPr="0031675F">
        <w:rPr>
          <w:i/>
          <w:spacing w:val="15"/>
        </w:rPr>
        <w:t xml:space="preserve"> </w:t>
      </w:r>
      <w:r w:rsidRPr="0031675F">
        <w:rPr>
          <w:i/>
        </w:rPr>
        <w:t>1:</w:t>
      </w:r>
      <w:r w:rsidRPr="0031675F">
        <w:rPr>
          <w:i/>
          <w:spacing w:val="29"/>
        </w:rPr>
        <w:t xml:space="preserve"> </w:t>
      </w:r>
      <w:r w:rsidRPr="0031675F">
        <w:rPr>
          <w:i/>
          <w:spacing w:val="-1"/>
        </w:rPr>
        <w:t>Chlorophyll,</w:t>
      </w:r>
      <w:r w:rsidRPr="0031675F">
        <w:rPr>
          <w:i/>
          <w:spacing w:val="14"/>
        </w:rPr>
        <w:t xml:space="preserve"> </w:t>
      </w:r>
      <w:r w:rsidRPr="0031675F">
        <w:rPr>
          <w:i/>
          <w:spacing w:val="-1"/>
        </w:rPr>
        <w:t>especially</w:t>
      </w:r>
      <w:r w:rsidRPr="0031675F">
        <w:rPr>
          <w:i/>
          <w:spacing w:val="14"/>
        </w:rPr>
        <w:t xml:space="preserve"> </w:t>
      </w:r>
      <w:r w:rsidRPr="0031675F">
        <w:rPr>
          <w:i/>
        </w:rPr>
        <w:t>when</w:t>
      </w:r>
      <w:r w:rsidRPr="0031675F">
        <w:rPr>
          <w:i/>
          <w:spacing w:val="13"/>
        </w:rPr>
        <w:t xml:space="preserve"> </w:t>
      </w:r>
      <w:r w:rsidRPr="0031675F">
        <w:rPr>
          <w:i/>
          <w:spacing w:val="-1"/>
        </w:rPr>
        <w:t>extracted,</w:t>
      </w:r>
      <w:r w:rsidRPr="0031675F">
        <w:rPr>
          <w:i/>
          <w:spacing w:val="14"/>
        </w:rPr>
        <w:t xml:space="preserve"> </w:t>
      </w:r>
      <w:r w:rsidRPr="0031675F">
        <w:rPr>
          <w:i/>
        </w:rPr>
        <w:t>is</w:t>
      </w:r>
      <w:r w:rsidRPr="0031675F">
        <w:rPr>
          <w:i/>
          <w:spacing w:val="14"/>
        </w:rPr>
        <w:t xml:space="preserve"> </w:t>
      </w:r>
      <w:r w:rsidRPr="0031675F">
        <w:rPr>
          <w:i/>
          <w:spacing w:val="-1"/>
        </w:rPr>
        <w:t>extremely</w:t>
      </w:r>
      <w:r w:rsidRPr="0031675F">
        <w:rPr>
          <w:i/>
          <w:spacing w:val="14"/>
        </w:rPr>
        <w:t xml:space="preserve"> </w:t>
      </w:r>
      <w:r w:rsidRPr="0031675F">
        <w:rPr>
          <w:i/>
          <w:spacing w:val="-1"/>
        </w:rPr>
        <w:t>light</w:t>
      </w:r>
      <w:r w:rsidRPr="0031675F">
        <w:rPr>
          <w:i/>
          <w:spacing w:val="15"/>
        </w:rPr>
        <w:t xml:space="preserve"> </w:t>
      </w:r>
      <w:r w:rsidRPr="0031675F">
        <w:rPr>
          <w:i/>
          <w:spacing w:val="-1"/>
        </w:rPr>
        <w:t>sensitive.</w:t>
      </w:r>
      <w:r w:rsidRPr="0031675F">
        <w:rPr>
          <w:i/>
          <w:spacing w:val="30"/>
        </w:rPr>
        <w:t xml:space="preserve"> </w:t>
      </w:r>
      <w:r w:rsidRPr="0031675F">
        <w:rPr>
          <w:i/>
        </w:rPr>
        <w:t>If</w:t>
      </w:r>
      <w:r w:rsidRPr="0031675F">
        <w:rPr>
          <w:i/>
          <w:spacing w:val="14"/>
        </w:rPr>
        <w:t xml:space="preserve"> </w:t>
      </w:r>
      <w:r w:rsidRPr="0031675F">
        <w:rPr>
          <w:i/>
          <w:spacing w:val="-1"/>
        </w:rPr>
        <w:t>possible,</w:t>
      </w:r>
      <w:r w:rsidRPr="0031675F">
        <w:rPr>
          <w:i/>
          <w:spacing w:val="14"/>
        </w:rPr>
        <w:t xml:space="preserve"> </w:t>
      </w:r>
      <w:r w:rsidRPr="0031675F">
        <w:rPr>
          <w:i/>
          <w:spacing w:val="-1"/>
        </w:rPr>
        <w:t>carry</w:t>
      </w:r>
      <w:r w:rsidRPr="0031675F">
        <w:rPr>
          <w:i/>
          <w:spacing w:val="14"/>
        </w:rPr>
        <w:t xml:space="preserve"> </w:t>
      </w:r>
      <w:r w:rsidRPr="0031675F">
        <w:rPr>
          <w:i/>
          <w:spacing w:val="-1"/>
        </w:rPr>
        <w:t>out</w:t>
      </w:r>
      <w:r w:rsidRPr="0031675F">
        <w:rPr>
          <w:i/>
          <w:spacing w:val="15"/>
        </w:rPr>
        <w:t xml:space="preserve"> </w:t>
      </w:r>
      <w:r w:rsidRPr="0031675F">
        <w:rPr>
          <w:i/>
          <w:spacing w:val="-1"/>
        </w:rPr>
        <w:t>all</w:t>
      </w:r>
      <w:r w:rsidRPr="0031675F">
        <w:rPr>
          <w:i/>
          <w:spacing w:val="67"/>
        </w:rPr>
        <w:t xml:space="preserve"> </w:t>
      </w:r>
      <w:r w:rsidRPr="0031675F">
        <w:rPr>
          <w:i/>
          <w:spacing w:val="-1"/>
        </w:rPr>
        <w:t>extractions</w:t>
      </w:r>
      <w:r w:rsidRPr="0031675F">
        <w:rPr>
          <w:i/>
          <w:spacing w:val="3"/>
        </w:rPr>
        <w:t xml:space="preserve"> </w:t>
      </w:r>
      <w:r w:rsidRPr="0031675F">
        <w:rPr>
          <w:i/>
        </w:rPr>
        <w:t>in</w:t>
      </w:r>
      <w:r w:rsidRPr="0031675F">
        <w:rPr>
          <w:i/>
          <w:spacing w:val="1"/>
        </w:rPr>
        <w:t xml:space="preserve"> </w:t>
      </w:r>
      <w:r w:rsidRPr="0031675F">
        <w:rPr>
          <w:i/>
        </w:rPr>
        <w:t>the</w:t>
      </w:r>
      <w:r w:rsidRPr="0031675F">
        <w:rPr>
          <w:i/>
          <w:spacing w:val="2"/>
        </w:rPr>
        <w:t xml:space="preserve"> </w:t>
      </w:r>
      <w:r w:rsidRPr="0031675F">
        <w:rPr>
          <w:i/>
          <w:spacing w:val="-1"/>
        </w:rPr>
        <w:t>dimmest</w:t>
      </w:r>
      <w:r w:rsidRPr="0031675F">
        <w:rPr>
          <w:i/>
          <w:spacing w:val="3"/>
        </w:rPr>
        <w:t xml:space="preserve"> </w:t>
      </w:r>
      <w:r w:rsidRPr="0031675F">
        <w:rPr>
          <w:i/>
          <w:spacing w:val="-1"/>
        </w:rPr>
        <w:t>light</w:t>
      </w:r>
      <w:r w:rsidRPr="0031675F">
        <w:rPr>
          <w:i/>
          <w:spacing w:val="3"/>
        </w:rPr>
        <w:t xml:space="preserve"> </w:t>
      </w:r>
      <w:r w:rsidRPr="0031675F">
        <w:rPr>
          <w:i/>
          <w:spacing w:val="-1"/>
        </w:rPr>
        <w:t>possible.</w:t>
      </w:r>
      <w:r w:rsidRPr="0031675F">
        <w:rPr>
          <w:i/>
          <w:spacing w:val="5"/>
        </w:rPr>
        <w:t xml:space="preserve"> </w:t>
      </w:r>
      <w:r w:rsidRPr="0031675F">
        <w:rPr>
          <w:i/>
          <w:spacing w:val="-1"/>
        </w:rPr>
        <w:t>When</w:t>
      </w:r>
      <w:r w:rsidRPr="0031675F">
        <w:rPr>
          <w:i/>
          <w:spacing w:val="1"/>
        </w:rPr>
        <w:t xml:space="preserve"> </w:t>
      </w:r>
      <w:r w:rsidRPr="0031675F">
        <w:rPr>
          <w:i/>
        </w:rPr>
        <w:t>not</w:t>
      </w:r>
      <w:r w:rsidRPr="0031675F">
        <w:rPr>
          <w:i/>
          <w:spacing w:val="2"/>
        </w:rPr>
        <w:t xml:space="preserve"> </w:t>
      </w:r>
      <w:r w:rsidRPr="0031675F">
        <w:rPr>
          <w:i/>
          <w:spacing w:val="-1"/>
        </w:rPr>
        <w:t>using</w:t>
      </w:r>
      <w:r w:rsidRPr="0031675F">
        <w:rPr>
          <w:i/>
          <w:spacing w:val="1"/>
        </w:rPr>
        <w:t xml:space="preserve"> </w:t>
      </w:r>
      <w:r w:rsidRPr="0031675F">
        <w:rPr>
          <w:i/>
          <w:spacing w:val="-1"/>
        </w:rPr>
        <w:t>extracted</w:t>
      </w:r>
      <w:r w:rsidRPr="0031675F">
        <w:rPr>
          <w:i/>
          <w:spacing w:val="2"/>
        </w:rPr>
        <w:t xml:space="preserve"> </w:t>
      </w:r>
      <w:r w:rsidRPr="0031675F">
        <w:rPr>
          <w:i/>
          <w:spacing w:val="-1"/>
        </w:rPr>
        <w:t>solutions,</w:t>
      </w:r>
      <w:r w:rsidRPr="0031675F">
        <w:rPr>
          <w:i/>
          <w:spacing w:val="3"/>
        </w:rPr>
        <w:t xml:space="preserve"> </w:t>
      </w:r>
      <w:r w:rsidRPr="0031675F">
        <w:rPr>
          <w:i/>
          <w:spacing w:val="-1"/>
        </w:rPr>
        <w:t>keep</w:t>
      </w:r>
      <w:r w:rsidRPr="0031675F">
        <w:rPr>
          <w:i/>
          <w:spacing w:val="2"/>
        </w:rPr>
        <w:t xml:space="preserve"> </w:t>
      </w:r>
      <w:r w:rsidRPr="0031675F">
        <w:rPr>
          <w:i/>
        </w:rPr>
        <w:t>them</w:t>
      </w:r>
      <w:r w:rsidRPr="0031675F">
        <w:rPr>
          <w:i/>
          <w:spacing w:val="3"/>
        </w:rPr>
        <w:t xml:space="preserve"> </w:t>
      </w:r>
      <w:r w:rsidRPr="0031675F">
        <w:rPr>
          <w:i/>
          <w:spacing w:val="-1"/>
        </w:rPr>
        <w:t>wrapped</w:t>
      </w:r>
      <w:r w:rsidRPr="0031675F">
        <w:rPr>
          <w:i/>
          <w:spacing w:val="2"/>
        </w:rPr>
        <w:t xml:space="preserve"> </w:t>
      </w:r>
      <w:r w:rsidRPr="0031675F">
        <w:rPr>
          <w:i/>
        </w:rPr>
        <w:t>to</w:t>
      </w:r>
      <w:r w:rsidRPr="0031675F">
        <w:rPr>
          <w:i/>
          <w:spacing w:val="75"/>
        </w:rPr>
        <w:t xml:space="preserve"> </w:t>
      </w:r>
      <w:r w:rsidRPr="0031675F">
        <w:rPr>
          <w:i/>
          <w:spacing w:val="-1"/>
        </w:rPr>
        <w:t>exclude</w:t>
      </w:r>
      <w:r w:rsidRPr="0031675F">
        <w:rPr>
          <w:i/>
          <w:spacing w:val="7"/>
        </w:rPr>
        <w:t xml:space="preserve"> </w:t>
      </w:r>
      <w:r w:rsidRPr="0031675F">
        <w:rPr>
          <w:i/>
          <w:spacing w:val="-1"/>
        </w:rPr>
        <w:t>light</w:t>
      </w:r>
      <w:r w:rsidRPr="0031675F">
        <w:rPr>
          <w:i/>
          <w:spacing w:val="8"/>
        </w:rPr>
        <w:t xml:space="preserve"> </w:t>
      </w:r>
      <w:r w:rsidRPr="0031675F">
        <w:rPr>
          <w:i/>
          <w:spacing w:val="-1"/>
        </w:rPr>
        <w:t>and</w:t>
      </w:r>
      <w:r w:rsidRPr="0031675F">
        <w:rPr>
          <w:i/>
          <w:spacing w:val="7"/>
        </w:rPr>
        <w:t xml:space="preserve"> </w:t>
      </w:r>
      <w:r w:rsidRPr="0031675F">
        <w:rPr>
          <w:i/>
          <w:spacing w:val="-1"/>
        </w:rPr>
        <w:t>store</w:t>
      </w:r>
      <w:r w:rsidRPr="0031675F">
        <w:rPr>
          <w:i/>
          <w:spacing w:val="7"/>
        </w:rPr>
        <w:t xml:space="preserve"> </w:t>
      </w:r>
      <w:r w:rsidRPr="0031675F">
        <w:rPr>
          <w:i/>
        </w:rPr>
        <w:t>in</w:t>
      </w:r>
      <w:r w:rsidRPr="0031675F">
        <w:rPr>
          <w:i/>
          <w:spacing w:val="6"/>
        </w:rPr>
        <w:t xml:space="preserve"> </w:t>
      </w:r>
      <w:r w:rsidRPr="0031675F">
        <w:rPr>
          <w:i/>
        </w:rPr>
        <w:t>a</w:t>
      </w:r>
      <w:r w:rsidRPr="0031675F">
        <w:rPr>
          <w:i/>
          <w:spacing w:val="4"/>
        </w:rPr>
        <w:t xml:space="preserve"> </w:t>
      </w:r>
      <w:r w:rsidRPr="0031675F">
        <w:rPr>
          <w:i/>
          <w:spacing w:val="-1"/>
        </w:rPr>
        <w:t>refrigerator.</w:t>
      </w:r>
      <w:r w:rsidRPr="0031675F">
        <w:rPr>
          <w:i/>
          <w:spacing w:val="12"/>
        </w:rPr>
        <w:t xml:space="preserve"> </w:t>
      </w:r>
      <w:r w:rsidRPr="0031675F">
        <w:rPr>
          <w:i/>
        </w:rPr>
        <w:t>Keep</w:t>
      </w:r>
      <w:r w:rsidRPr="0031675F">
        <w:rPr>
          <w:i/>
          <w:spacing w:val="7"/>
        </w:rPr>
        <w:t xml:space="preserve"> </w:t>
      </w:r>
      <w:r w:rsidRPr="0031675F">
        <w:rPr>
          <w:i/>
          <w:spacing w:val="-2"/>
        </w:rPr>
        <w:t>extracted</w:t>
      </w:r>
      <w:r w:rsidRPr="0031675F">
        <w:rPr>
          <w:i/>
          <w:spacing w:val="6"/>
        </w:rPr>
        <w:t xml:space="preserve"> </w:t>
      </w:r>
      <w:r w:rsidRPr="0031675F">
        <w:rPr>
          <w:i/>
          <w:spacing w:val="-1"/>
        </w:rPr>
        <w:t>samples</w:t>
      </w:r>
      <w:r w:rsidRPr="0031675F">
        <w:rPr>
          <w:i/>
          <w:spacing w:val="5"/>
        </w:rPr>
        <w:t xml:space="preserve"> </w:t>
      </w:r>
      <w:r w:rsidRPr="0031675F">
        <w:rPr>
          <w:i/>
        </w:rPr>
        <w:t>in</w:t>
      </w:r>
      <w:r w:rsidRPr="0031675F">
        <w:rPr>
          <w:i/>
          <w:spacing w:val="6"/>
        </w:rPr>
        <w:t xml:space="preserve"> </w:t>
      </w:r>
      <w:r w:rsidRPr="0031675F">
        <w:rPr>
          <w:i/>
        </w:rPr>
        <w:t>a</w:t>
      </w:r>
      <w:r w:rsidRPr="0031675F">
        <w:rPr>
          <w:i/>
          <w:spacing w:val="7"/>
        </w:rPr>
        <w:t xml:space="preserve"> </w:t>
      </w:r>
      <w:r w:rsidRPr="0031675F">
        <w:rPr>
          <w:i/>
          <w:spacing w:val="-1"/>
        </w:rPr>
        <w:t>closed</w:t>
      </w:r>
      <w:r w:rsidRPr="0031675F">
        <w:rPr>
          <w:i/>
          <w:spacing w:val="7"/>
        </w:rPr>
        <w:t xml:space="preserve"> </w:t>
      </w:r>
      <w:r w:rsidRPr="0031675F">
        <w:rPr>
          <w:i/>
          <w:spacing w:val="-2"/>
        </w:rPr>
        <w:t>light</w:t>
      </w:r>
      <w:r w:rsidRPr="0031675F">
        <w:rPr>
          <w:i/>
          <w:spacing w:val="8"/>
        </w:rPr>
        <w:t xml:space="preserve"> </w:t>
      </w:r>
      <w:r w:rsidRPr="0031675F">
        <w:rPr>
          <w:i/>
          <w:spacing w:val="-1"/>
        </w:rPr>
        <w:t>box</w:t>
      </w:r>
      <w:r w:rsidRPr="0031675F">
        <w:rPr>
          <w:i/>
          <w:spacing w:val="7"/>
        </w:rPr>
        <w:t xml:space="preserve"> </w:t>
      </w:r>
      <w:r w:rsidRPr="0031675F">
        <w:rPr>
          <w:i/>
          <w:spacing w:val="-1"/>
        </w:rPr>
        <w:t>or</w:t>
      </w:r>
      <w:r w:rsidRPr="0031675F">
        <w:rPr>
          <w:i/>
          <w:spacing w:val="5"/>
        </w:rPr>
        <w:t xml:space="preserve"> </w:t>
      </w:r>
      <w:r w:rsidRPr="0031675F">
        <w:rPr>
          <w:i/>
          <w:spacing w:val="-1"/>
        </w:rPr>
        <w:t>cover</w:t>
      </w:r>
      <w:r w:rsidRPr="0031675F">
        <w:rPr>
          <w:i/>
          <w:spacing w:val="6"/>
        </w:rPr>
        <w:t xml:space="preserve"> </w:t>
      </w:r>
      <w:r w:rsidRPr="0031675F">
        <w:rPr>
          <w:i/>
        </w:rPr>
        <w:t>with</w:t>
      </w:r>
      <w:r w:rsidRPr="0031675F">
        <w:rPr>
          <w:i/>
          <w:spacing w:val="5"/>
        </w:rPr>
        <w:t xml:space="preserve"> </w:t>
      </w:r>
      <w:r w:rsidRPr="0031675F">
        <w:rPr>
          <w:i/>
        </w:rPr>
        <w:t>a</w:t>
      </w:r>
      <w:r w:rsidRPr="0031675F">
        <w:rPr>
          <w:i/>
          <w:spacing w:val="67"/>
        </w:rPr>
        <w:t xml:space="preserve"> </w:t>
      </w:r>
      <w:r w:rsidRPr="0031675F">
        <w:rPr>
          <w:i/>
          <w:spacing w:val="-1"/>
        </w:rPr>
        <w:t>black</w:t>
      </w:r>
      <w:r w:rsidRPr="0031675F">
        <w:rPr>
          <w:i/>
        </w:rPr>
        <w:t xml:space="preserve"> </w:t>
      </w:r>
      <w:r w:rsidRPr="0031675F">
        <w:rPr>
          <w:i/>
          <w:spacing w:val="-1"/>
        </w:rPr>
        <w:t>cloth.</w:t>
      </w:r>
    </w:p>
    <w:p w14:paraId="3D05A342" w14:textId="77777777" w:rsidR="0031675F" w:rsidRPr="0031675F" w:rsidRDefault="0031675F" w:rsidP="0031675F">
      <w:pPr>
        <w:spacing w:line="239" w:lineRule="auto"/>
        <w:ind w:left="118" w:right="111"/>
        <w:jc w:val="both"/>
        <w:rPr>
          <w:rFonts w:cs="Calibri"/>
        </w:rPr>
      </w:pPr>
      <w:r w:rsidRPr="0031675F">
        <w:rPr>
          <w:i/>
          <w:spacing w:val="-1"/>
        </w:rPr>
        <w:t>Note</w:t>
      </w:r>
      <w:r w:rsidRPr="0031675F">
        <w:rPr>
          <w:i/>
          <w:spacing w:val="45"/>
        </w:rPr>
        <w:t xml:space="preserve"> </w:t>
      </w:r>
      <w:r w:rsidRPr="0031675F">
        <w:rPr>
          <w:i/>
        </w:rPr>
        <w:t>2:</w:t>
      </w:r>
      <w:r w:rsidRPr="0031675F">
        <w:rPr>
          <w:i/>
          <w:spacing w:val="47"/>
        </w:rPr>
        <w:t xml:space="preserve"> </w:t>
      </w:r>
      <w:r w:rsidRPr="0031675F">
        <w:rPr>
          <w:i/>
          <w:spacing w:val="-1"/>
        </w:rPr>
        <w:t>Chlorophyll</w:t>
      </w:r>
      <w:r w:rsidRPr="0031675F">
        <w:rPr>
          <w:i/>
          <w:spacing w:val="46"/>
        </w:rPr>
        <w:t xml:space="preserve"> </w:t>
      </w:r>
      <w:r w:rsidRPr="0031675F">
        <w:rPr>
          <w:i/>
        </w:rPr>
        <w:t>is</w:t>
      </w:r>
      <w:r w:rsidRPr="0031675F">
        <w:rPr>
          <w:i/>
          <w:spacing w:val="45"/>
        </w:rPr>
        <w:t xml:space="preserve"> </w:t>
      </w:r>
      <w:r w:rsidRPr="0031675F">
        <w:rPr>
          <w:i/>
          <w:spacing w:val="-1"/>
        </w:rPr>
        <w:t>rapidly</w:t>
      </w:r>
      <w:r w:rsidRPr="0031675F">
        <w:rPr>
          <w:i/>
          <w:spacing w:val="45"/>
        </w:rPr>
        <w:t xml:space="preserve"> </w:t>
      </w:r>
      <w:r w:rsidRPr="0031675F">
        <w:rPr>
          <w:i/>
          <w:spacing w:val="-1"/>
        </w:rPr>
        <w:t>and</w:t>
      </w:r>
      <w:r w:rsidRPr="0031675F">
        <w:rPr>
          <w:i/>
          <w:spacing w:val="45"/>
        </w:rPr>
        <w:t xml:space="preserve"> </w:t>
      </w:r>
      <w:r w:rsidRPr="0031675F">
        <w:rPr>
          <w:i/>
          <w:spacing w:val="-1"/>
        </w:rPr>
        <w:t>irreversibly</w:t>
      </w:r>
      <w:r w:rsidRPr="0031675F">
        <w:rPr>
          <w:i/>
          <w:spacing w:val="45"/>
        </w:rPr>
        <w:t xml:space="preserve"> </w:t>
      </w:r>
      <w:r w:rsidRPr="0031675F">
        <w:rPr>
          <w:i/>
          <w:spacing w:val="-1"/>
        </w:rPr>
        <w:t>degraded</w:t>
      </w:r>
      <w:r w:rsidRPr="0031675F">
        <w:rPr>
          <w:i/>
          <w:spacing w:val="44"/>
        </w:rPr>
        <w:t xml:space="preserve"> </w:t>
      </w:r>
      <w:r w:rsidRPr="0031675F">
        <w:rPr>
          <w:i/>
          <w:spacing w:val="-1"/>
        </w:rPr>
        <w:t>by</w:t>
      </w:r>
      <w:r w:rsidRPr="0031675F">
        <w:rPr>
          <w:i/>
          <w:spacing w:val="45"/>
        </w:rPr>
        <w:t xml:space="preserve"> </w:t>
      </w:r>
      <w:r w:rsidRPr="0031675F">
        <w:rPr>
          <w:i/>
        </w:rPr>
        <w:t>acid,</w:t>
      </w:r>
      <w:r w:rsidRPr="0031675F">
        <w:rPr>
          <w:i/>
          <w:spacing w:val="46"/>
        </w:rPr>
        <w:t xml:space="preserve"> </w:t>
      </w:r>
      <w:r w:rsidRPr="0031675F">
        <w:rPr>
          <w:i/>
          <w:spacing w:val="-1"/>
        </w:rPr>
        <w:t>converting</w:t>
      </w:r>
      <w:r w:rsidRPr="0031675F">
        <w:rPr>
          <w:i/>
          <w:spacing w:val="44"/>
        </w:rPr>
        <w:t xml:space="preserve"> </w:t>
      </w:r>
      <w:r w:rsidRPr="0031675F">
        <w:rPr>
          <w:i/>
          <w:spacing w:val="-1"/>
        </w:rPr>
        <w:t>active</w:t>
      </w:r>
      <w:r w:rsidRPr="0031675F">
        <w:rPr>
          <w:i/>
          <w:spacing w:val="46"/>
        </w:rPr>
        <w:t xml:space="preserve"> </w:t>
      </w:r>
      <w:r w:rsidRPr="0031675F">
        <w:rPr>
          <w:i/>
          <w:spacing w:val="-1"/>
        </w:rPr>
        <w:t>chlorophyll</w:t>
      </w:r>
      <w:r w:rsidRPr="0031675F">
        <w:rPr>
          <w:i/>
          <w:spacing w:val="46"/>
        </w:rPr>
        <w:t xml:space="preserve"> </w:t>
      </w:r>
      <w:r w:rsidRPr="0031675F">
        <w:rPr>
          <w:i/>
        </w:rPr>
        <w:t>to</w:t>
      </w:r>
      <w:r w:rsidRPr="0031675F">
        <w:rPr>
          <w:i/>
          <w:spacing w:val="65"/>
        </w:rPr>
        <w:t xml:space="preserve"> </w:t>
      </w:r>
      <w:r w:rsidRPr="0031675F">
        <w:rPr>
          <w:i/>
          <w:spacing w:val="-1"/>
        </w:rPr>
        <w:t>phaeophytin.</w:t>
      </w:r>
      <w:r w:rsidRPr="0031675F">
        <w:rPr>
          <w:i/>
          <w:spacing w:val="44"/>
        </w:rPr>
        <w:t xml:space="preserve"> </w:t>
      </w:r>
      <w:r w:rsidRPr="0031675F">
        <w:rPr>
          <w:i/>
        </w:rPr>
        <w:t>Do</w:t>
      </w:r>
      <w:r w:rsidRPr="0031675F">
        <w:rPr>
          <w:i/>
          <w:spacing w:val="22"/>
        </w:rPr>
        <w:t xml:space="preserve"> </w:t>
      </w:r>
      <w:r w:rsidRPr="0031675F">
        <w:rPr>
          <w:i/>
          <w:spacing w:val="-1"/>
        </w:rPr>
        <w:t>all</w:t>
      </w:r>
      <w:r w:rsidRPr="0031675F">
        <w:rPr>
          <w:i/>
          <w:spacing w:val="24"/>
        </w:rPr>
        <w:t xml:space="preserve"> </w:t>
      </w:r>
      <w:r w:rsidRPr="0031675F">
        <w:rPr>
          <w:i/>
          <w:spacing w:val="-1"/>
        </w:rPr>
        <w:t>chlorophyll</w:t>
      </w:r>
      <w:r w:rsidRPr="0031675F">
        <w:rPr>
          <w:i/>
          <w:spacing w:val="22"/>
        </w:rPr>
        <w:t xml:space="preserve"> </w:t>
      </w:r>
      <w:r w:rsidRPr="0031675F">
        <w:rPr>
          <w:i/>
          <w:spacing w:val="-1"/>
        </w:rPr>
        <w:t>sample</w:t>
      </w:r>
      <w:r w:rsidRPr="0031675F">
        <w:rPr>
          <w:i/>
          <w:spacing w:val="23"/>
        </w:rPr>
        <w:t xml:space="preserve"> </w:t>
      </w:r>
      <w:r w:rsidRPr="0031675F">
        <w:rPr>
          <w:i/>
          <w:spacing w:val="-1"/>
        </w:rPr>
        <w:t>grinding,</w:t>
      </w:r>
      <w:r w:rsidRPr="0031675F">
        <w:rPr>
          <w:i/>
          <w:spacing w:val="22"/>
        </w:rPr>
        <w:t xml:space="preserve"> </w:t>
      </w:r>
      <w:r w:rsidRPr="0031675F">
        <w:rPr>
          <w:i/>
          <w:spacing w:val="-1"/>
        </w:rPr>
        <w:t>extractions</w:t>
      </w:r>
      <w:r w:rsidRPr="0031675F">
        <w:rPr>
          <w:i/>
          <w:spacing w:val="23"/>
        </w:rPr>
        <w:t xml:space="preserve"> </w:t>
      </w:r>
      <w:r w:rsidRPr="0031675F">
        <w:rPr>
          <w:i/>
          <w:spacing w:val="-1"/>
        </w:rPr>
        <w:t>and</w:t>
      </w:r>
      <w:r w:rsidRPr="0031675F">
        <w:rPr>
          <w:i/>
          <w:spacing w:val="21"/>
        </w:rPr>
        <w:t xml:space="preserve"> </w:t>
      </w:r>
      <w:r w:rsidRPr="0031675F">
        <w:rPr>
          <w:i/>
          <w:spacing w:val="-1"/>
        </w:rPr>
        <w:t>analyses</w:t>
      </w:r>
      <w:r w:rsidRPr="0031675F">
        <w:rPr>
          <w:i/>
          <w:spacing w:val="23"/>
        </w:rPr>
        <w:t xml:space="preserve"> </w:t>
      </w:r>
      <w:r w:rsidRPr="0031675F">
        <w:rPr>
          <w:i/>
        </w:rPr>
        <w:t>in</w:t>
      </w:r>
      <w:r w:rsidRPr="0031675F">
        <w:rPr>
          <w:i/>
          <w:spacing w:val="21"/>
        </w:rPr>
        <w:t xml:space="preserve"> </w:t>
      </w:r>
      <w:r w:rsidRPr="0031675F">
        <w:rPr>
          <w:i/>
        </w:rPr>
        <w:t>the</w:t>
      </w:r>
      <w:r w:rsidRPr="0031675F">
        <w:rPr>
          <w:i/>
          <w:spacing w:val="22"/>
        </w:rPr>
        <w:t xml:space="preserve"> </w:t>
      </w:r>
      <w:r w:rsidRPr="0031675F">
        <w:rPr>
          <w:i/>
          <w:spacing w:val="-1"/>
        </w:rPr>
        <w:t>designated</w:t>
      </w:r>
      <w:r w:rsidRPr="0031675F">
        <w:rPr>
          <w:i/>
          <w:spacing w:val="53"/>
        </w:rPr>
        <w:t xml:space="preserve"> </w:t>
      </w:r>
      <w:r w:rsidRPr="0031675F">
        <w:rPr>
          <w:i/>
          <w:spacing w:val="-1"/>
        </w:rPr>
        <w:t>chlorophyll</w:t>
      </w:r>
      <w:r w:rsidRPr="0031675F">
        <w:rPr>
          <w:i/>
        </w:rPr>
        <w:t xml:space="preserve"> </w:t>
      </w:r>
      <w:r w:rsidRPr="0031675F">
        <w:rPr>
          <w:i/>
          <w:spacing w:val="-1"/>
        </w:rPr>
        <w:t>fume</w:t>
      </w:r>
      <w:r w:rsidRPr="0031675F">
        <w:rPr>
          <w:i/>
          <w:spacing w:val="1"/>
        </w:rPr>
        <w:t xml:space="preserve"> </w:t>
      </w:r>
      <w:r w:rsidRPr="0031675F">
        <w:rPr>
          <w:i/>
          <w:spacing w:val="-1"/>
        </w:rPr>
        <w:t>cupboard.</w:t>
      </w:r>
      <w:r w:rsidRPr="0031675F">
        <w:rPr>
          <w:i/>
        </w:rPr>
        <w:t xml:space="preserve"> Do </w:t>
      </w:r>
      <w:r w:rsidRPr="0031675F">
        <w:rPr>
          <w:i/>
          <w:spacing w:val="-1"/>
        </w:rPr>
        <w:t>not</w:t>
      </w:r>
      <w:r w:rsidRPr="0031675F">
        <w:rPr>
          <w:i/>
        </w:rPr>
        <w:t xml:space="preserve"> </w:t>
      </w:r>
      <w:r w:rsidRPr="0031675F">
        <w:rPr>
          <w:i/>
          <w:spacing w:val="-2"/>
        </w:rPr>
        <w:t>use</w:t>
      </w:r>
      <w:r w:rsidRPr="0031675F">
        <w:rPr>
          <w:i/>
        </w:rPr>
        <w:t xml:space="preserve"> </w:t>
      </w:r>
      <w:r w:rsidRPr="0031675F">
        <w:rPr>
          <w:i/>
          <w:spacing w:val="-1"/>
        </w:rPr>
        <w:t>acids</w:t>
      </w:r>
      <w:r w:rsidRPr="0031675F">
        <w:rPr>
          <w:i/>
          <w:spacing w:val="1"/>
        </w:rPr>
        <w:t xml:space="preserve"> </w:t>
      </w:r>
      <w:r w:rsidRPr="0031675F">
        <w:rPr>
          <w:i/>
          <w:spacing w:val="-1"/>
        </w:rPr>
        <w:t>especially</w:t>
      </w:r>
      <w:r w:rsidRPr="0031675F">
        <w:rPr>
          <w:i/>
        </w:rPr>
        <w:t xml:space="preserve"> HCl</w:t>
      </w:r>
      <w:r w:rsidRPr="0031675F">
        <w:rPr>
          <w:i/>
          <w:spacing w:val="-1"/>
        </w:rPr>
        <w:t xml:space="preserve"> </w:t>
      </w:r>
      <w:r w:rsidRPr="0031675F">
        <w:rPr>
          <w:i/>
        </w:rPr>
        <w:t xml:space="preserve">in </w:t>
      </w:r>
      <w:r w:rsidRPr="0031675F">
        <w:rPr>
          <w:i/>
          <w:spacing w:val="-1"/>
        </w:rPr>
        <w:t>this</w:t>
      </w:r>
      <w:r w:rsidRPr="0031675F">
        <w:rPr>
          <w:i/>
          <w:spacing w:val="1"/>
        </w:rPr>
        <w:t xml:space="preserve"> </w:t>
      </w:r>
      <w:r w:rsidRPr="0031675F">
        <w:rPr>
          <w:i/>
          <w:spacing w:val="-1"/>
        </w:rPr>
        <w:t>fume</w:t>
      </w:r>
      <w:r w:rsidRPr="0031675F">
        <w:rPr>
          <w:i/>
        </w:rPr>
        <w:t xml:space="preserve"> </w:t>
      </w:r>
      <w:r w:rsidRPr="0031675F">
        <w:rPr>
          <w:i/>
          <w:spacing w:val="-1"/>
        </w:rPr>
        <w:t>cupboard.</w:t>
      </w:r>
      <w:r w:rsidRPr="0031675F">
        <w:rPr>
          <w:i/>
          <w:spacing w:val="46"/>
        </w:rPr>
        <w:t xml:space="preserve"> </w:t>
      </w:r>
      <w:r w:rsidRPr="0031675F">
        <w:rPr>
          <w:i/>
        </w:rPr>
        <w:t>Keep</w:t>
      </w:r>
      <w:r w:rsidRPr="0031675F">
        <w:rPr>
          <w:i/>
          <w:spacing w:val="-1"/>
        </w:rPr>
        <w:t xml:space="preserve"> all equipment</w:t>
      </w:r>
      <w:r w:rsidRPr="0031675F">
        <w:rPr>
          <w:i/>
          <w:spacing w:val="39"/>
        </w:rPr>
        <w:t xml:space="preserve"> </w:t>
      </w:r>
      <w:r w:rsidRPr="0031675F">
        <w:rPr>
          <w:i/>
          <w:spacing w:val="-1"/>
        </w:rPr>
        <w:t>used</w:t>
      </w:r>
      <w:r w:rsidRPr="0031675F">
        <w:rPr>
          <w:i/>
        </w:rPr>
        <w:t xml:space="preserve"> </w:t>
      </w:r>
      <w:r w:rsidRPr="0031675F">
        <w:rPr>
          <w:i/>
          <w:spacing w:val="-1"/>
        </w:rPr>
        <w:t>for</w:t>
      </w:r>
      <w:r w:rsidRPr="0031675F">
        <w:rPr>
          <w:i/>
        </w:rPr>
        <w:t xml:space="preserve"> </w:t>
      </w:r>
      <w:r w:rsidRPr="0031675F">
        <w:rPr>
          <w:i/>
          <w:spacing w:val="-1"/>
        </w:rPr>
        <w:t>chlorophyll</w:t>
      </w:r>
      <w:r w:rsidRPr="0031675F">
        <w:rPr>
          <w:i/>
        </w:rPr>
        <w:t xml:space="preserve"> </w:t>
      </w:r>
      <w:r w:rsidRPr="0031675F">
        <w:rPr>
          <w:i/>
          <w:spacing w:val="-1"/>
        </w:rPr>
        <w:t>analysis</w:t>
      </w:r>
      <w:r w:rsidRPr="0031675F">
        <w:rPr>
          <w:i/>
        </w:rPr>
        <w:t xml:space="preserve"> </w:t>
      </w:r>
      <w:r w:rsidRPr="0031675F">
        <w:rPr>
          <w:i/>
          <w:spacing w:val="-1"/>
        </w:rPr>
        <w:t>free</w:t>
      </w:r>
      <w:r w:rsidRPr="0031675F">
        <w:rPr>
          <w:i/>
        </w:rPr>
        <w:t xml:space="preserve"> </w:t>
      </w:r>
      <w:r w:rsidRPr="0031675F">
        <w:rPr>
          <w:i/>
          <w:spacing w:val="-1"/>
        </w:rPr>
        <w:t>of</w:t>
      </w:r>
      <w:r w:rsidRPr="0031675F">
        <w:rPr>
          <w:i/>
        </w:rPr>
        <w:t xml:space="preserve"> </w:t>
      </w:r>
      <w:r w:rsidRPr="0031675F">
        <w:rPr>
          <w:i/>
          <w:spacing w:val="-1"/>
        </w:rPr>
        <w:t>acid.</w:t>
      </w:r>
    </w:p>
    <w:p w14:paraId="1C54F15F" w14:textId="77777777" w:rsidR="0031675F" w:rsidRPr="0031675F" w:rsidRDefault="0031675F" w:rsidP="0031675F">
      <w:pPr>
        <w:spacing w:before="11"/>
        <w:rPr>
          <w:rFonts w:cs="Calibri"/>
          <w:i/>
          <w:sz w:val="21"/>
          <w:szCs w:val="21"/>
        </w:rPr>
      </w:pPr>
    </w:p>
    <w:p w14:paraId="01BC8D8D" w14:textId="77777777" w:rsidR="0031675F" w:rsidRPr="0031675F" w:rsidRDefault="0031675F" w:rsidP="0031675F">
      <w:pPr>
        <w:widowControl w:val="0"/>
        <w:numPr>
          <w:ilvl w:val="2"/>
          <w:numId w:val="84"/>
        </w:numPr>
        <w:tabs>
          <w:tab w:val="left" w:pos="839"/>
        </w:tabs>
        <w:spacing w:before="0" w:after="0" w:line="240" w:lineRule="auto"/>
        <w:jc w:val="both"/>
        <w:rPr>
          <w:rFonts w:eastAsia="Arial" w:cs="Arial"/>
        </w:rPr>
      </w:pPr>
      <w:r w:rsidRPr="0031675F">
        <w:rPr>
          <w:b/>
          <w:spacing w:val="-1"/>
        </w:rPr>
        <w:t>Reagents</w:t>
      </w:r>
    </w:p>
    <w:p w14:paraId="3FA5E25C" w14:textId="303F1B24" w:rsidR="0031675F" w:rsidRPr="0031675F" w:rsidRDefault="0031675F" w:rsidP="0031675F">
      <w:pPr>
        <w:widowControl w:val="0"/>
        <w:numPr>
          <w:ilvl w:val="0"/>
          <w:numId w:val="83"/>
        </w:numPr>
        <w:tabs>
          <w:tab w:val="left" w:pos="839"/>
        </w:tabs>
        <w:spacing w:before="0" w:after="0" w:line="240" w:lineRule="auto"/>
      </w:pPr>
      <w:r w:rsidRPr="0031675F">
        <w:rPr>
          <w:spacing w:val="-1"/>
        </w:rPr>
        <w:t>90%</w:t>
      </w:r>
      <w:r w:rsidRPr="0031675F">
        <w:rPr>
          <w:spacing w:val="1"/>
        </w:rPr>
        <w:t xml:space="preserve"> </w:t>
      </w:r>
      <w:r w:rsidRPr="0031675F">
        <w:rPr>
          <w:spacing w:val="-1"/>
        </w:rPr>
        <w:t>Acetone</w:t>
      </w:r>
      <w:r w:rsidRPr="0031675F">
        <w:rPr>
          <w:spacing w:val="1"/>
        </w:rPr>
        <w:t xml:space="preserve"> </w:t>
      </w:r>
      <w:r w:rsidRPr="0031675F">
        <w:rPr>
          <w:rFonts w:cs="Calibri"/>
        </w:rPr>
        <w:t>–</w:t>
      </w:r>
      <w:r w:rsidRPr="0031675F">
        <w:rPr>
          <w:rFonts w:cs="Calibri"/>
          <w:spacing w:val="-2"/>
        </w:rPr>
        <w:t xml:space="preserve"> </w:t>
      </w:r>
      <w:r w:rsidRPr="0031675F">
        <w:rPr>
          <w:spacing w:val="-1"/>
        </w:rPr>
        <w:t>900</w:t>
      </w:r>
      <w:r w:rsidR="00BB13FD">
        <w:rPr>
          <w:spacing w:val="-1"/>
        </w:rPr>
        <w:t xml:space="preserve"> </w:t>
      </w:r>
      <w:r w:rsidRPr="0031675F">
        <w:rPr>
          <w:spacing w:val="-1"/>
        </w:rPr>
        <w:t>m</w:t>
      </w:r>
      <w:r w:rsidR="00BB13FD">
        <w:rPr>
          <w:spacing w:val="-1"/>
        </w:rPr>
        <w:t>L</w:t>
      </w:r>
      <w:r w:rsidRPr="0031675F">
        <w:rPr>
          <w:spacing w:val="-2"/>
        </w:rPr>
        <w:t xml:space="preserve"> </w:t>
      </w:r>
      <w:r w:rsidRPr="0031675F">
        <w:t xml:space="preserve">of </w:t>
      </w:r>
      <w:r w:rsidRPr="0031675F">
        <w:rPr>
          <w:spacing w:val="-1"/>
        </w:rPr>
        <w:t>analytical grade</w:t>
      </w:r>
      <w:r w:rsidRPr="0031675F">
        <w:t xml:space="preserve"> </w:t>
      </w:r>
      <w:r w:rsidRPr="0031675F">
        <w:rPr>
          <w:spacing w:val="-1"/>
        </w:rPr>
        <w:t>acetone</w:t>
      </w:r>
      <w:r w:rsidRPr="0031675F">
        <w:t xml:space="preserve"> </w:t>
      </w:r>
      <w:r w:rsidRPr="0031675F">
        <w:rPr>
          <w:spacing w:val="-1"/>
        </w:rPr>
        <w:t>and</w:t>
      </w:r>
      <w:r w:rsidRPr="0031675F">
        <w:rPr>
          <w:spacing w:val="-3"/>
        </w:rPr>
        <w:t xml:space="preserve"> </w:t>
      </w:r>
      <w:r w:rsidRPr="0031675F">
        <w:rPr>
          <w:spacing w:val="-1"/>
        </w:rPr>
        <w:t>100</w:t>
      </w:r>
      <w:r w:rsidR="00BB13FD">
        <w:rPr>
          <w:spacing w:val="-1"/>
        </w:rPr>
        <w:t xml:space="preserve"> </w:t>
      </w:r>
      <w:r w:rsidRPr="0031675F">
        <w:rPr>
          <w:spacing w:val="-1"/>
        </w:rPr>
        <w:t>m</w:t>
      </w:r>
      <w:r w:rsidR="00BB13FD">
        <w:rPr>
          <w:spacing w:val="-1"/>
        </w:rPr>
        <w:t>L</w:t>
      </w:r>
      <w:r w:rsidRPr="0031675F">
        <w:rPr>
          <w:spacing w:val="-3"/>
        </w:rPr>
        <w:t xml:space="preserve"> </w:t>
      </w:r>
      <w:r w:rsidRPr="0031675F">
        <w:t>of</w:t>
      </w:r>
      <w:r w:rsidRPr="0031675F">
        <w:rPr>
          <w:spacing w:val="-3"/>
        </w:rPr>
        <w:t xml:space="preserve"> </w:t>
      </w:r>
      <w:r w:rsidRPr="0031675F">
        <w:rPr>
          <w:spacing w:val="-1"/>
        </w:rPr>
        <w:t>deionised</w:t>
      </w:r>
      <w:r w:rsidRPr="0031675F">
        <w:t xml:space="preserve"> </w:t>
      </w:r>
      <w:r w:rsidRPr="0031675F">
        <w:rPr>
          <w:spacing w:val="-1"/>
        </w:rPr>
        <w:t>water.</w:t>
      </w:r>
    </w:p>
    <w:p w14:paraId="59E9A85B" w14:textId="5E3E5A6F" w:rsidR="0031675F" w:rsidRPr="0031675F" w:rsidRDefault="0031675F" w:rsidP="0031675F">
      <w:pPr>
        <w:widowControl w:val="0"/>
        <w:numPr>
          <w:ilvl w:val="0"/>
          <w:numId w:val="83"/>
        </w:numPr>
        <w:tabs>
          <w:tab w:val="left" w:pos="839"/>
        </w:tabs>
        <w:spacing w:before="2" w:after="0" w:line="238" w:lineRule="auto"/>
        <w:ind w:right="115"/>
        <w:jc w:val="both"/>
      </w:pPr>
      <w:r w:rsidRPr="0031675F">
        <w:rPr>
          <w:spacing w:val="-1"/>
        </w:rPr>
        <w:t>10%</w:t>
      </w:r>
      <w:r w:rsidRPr="0031675F">
        <w:rPr>
          <w:spacing w:val="31"/>
        </w:rPr>
        <w:t xml:space="preserve"> </w:t>
      </w:r>
      <w:r w:rsidRPr="0031675F">
        <w:rPr>
          <w:spacing w:val="-1"/>
        </w:rPr>
        <w:t>hydrochloric</w:t>
      </w:r>
      <w:r w:rsidRPr="0031675F">
        <w:rPr>
          <w:spacing w:val="31"/>
        </w:rPr>
        <w:t xml:space="preserve"> </w:t>
      </w:r>
      <w:r w:rsidRPr="0031675F">
        <w:t>acid</w:t>
      </w:r>
      <w:r w:rsidRPr="0031675F">
        <w:rPr>
          <w:spacing w:val="32"/>
        </w:rPr>
        <w:t xml:space="preserve"> </w:t>
      </w:r>
      <w:r w:rsidRPr="0031675F">
        <w:rPr>
          <w:rFonts w:cs="Calibri"/>
        </w:rPr>
        <w:t>–</w:t>
      </w:r>
      <w:r w:rsidRPr="0031675F">
        <w:rPr>
          <w:rFonts w:cs="Calibri"/>
          <w:spacing w:val="29"/>
        </w:rPr>
        <w:t xml:space="preserve"> </w:t>
      </w:r>
      <w:r w:rsidRPr="0031675F">
        <w:rPr>
          <w:spacing w:val="-1"/>
        </w:rPr>
        <w:t>10</w:t>
      </w:r>
      <w:r w:rsidR="00BB13FD">
        <w:rPr>
          <w:spacing w:val="-1"/>
        </w:rPr>
        <w:t xml:space="preserve"> </w:t>
      </w:r>
      <w:r w:rsidRPr="0031675F">
        <w:rPr>
          <w:spacing w:val="-1"/>
        </w:rPr>
        <w:t>m</w:t>
      </w:r>
      <w:r w:rsidR="00BB13FD">
        <w:rPr>
          <w:spacing w:val="-1"/>
        </w:rPr>
        <w:t>L</w:t>
      </w:r>
      <w:r w:rsidRPr="0031675F">
        <w:rPr>
          <w:spacing w:val="29"/>
        </w:rPr>
        <w:t xml:space="preserve"> </w:t>
      </w:r>
      <w:r w:rsidRPr="0031675F">
        <w:t>of</w:t>
      </w:r>
      <w:r w:rsidRPr="0031675F">
        <w:rPr>
          <w:spacing w:val="31"/>
        </w:rPr>
        <w:t xml:space="preserve"> </w:t>
      </w:r>
      <w:r w:rsidRPr="0031675F">
        <w:rPr>
          <w:spacing w:val="-1"/>
        </w:rPr>
        <w:t>analytical</w:t>
      </w:r>
      <w:r w:rsidRPr="0031675F">
        <w:rPr>
          <w:spacing w:val="31"/>
        </w:rPr>
        <w:t xml:space="preserve"> </w:t>
      </w:r>
      <w:r w:rsidRPr="0031675F">
        <w:rPr>
          <w:spacing w:val="-1"/>
        </w:rPr>
        <w:t>grade</w:t>
      </w:r>
      <w:r w:rsidRPr="0031675F">
        <w:rPr>
          <w:spacing w:val="31"/>
        </w:rPr>
        <w:t xml:space="preserve"> </w:t>
      </w:r>
      <w:r w:rsidRPr="0031675F">
        <w:rPr>
          <w:spacing w:val="-1"/>
        </w:rPr>
        <w:t>hydrochloric</w:t>
      </w:r>
      <w:r w:rsidRPr="0031675F">
        <w:rPr>
          <w:spacing w:val="31"/>
        </w:rPr>
        <w:t xml:space="preserve"> </w:t>
      </w:r>
      <w:r w:rsidRPr="0031675F">
        <w:rPr>
          <w:spacing w:val="-1"/>
        </w:rPr>
        <w:t>acid</w:t>
      </w:r>
      <w:r w:rsidRPr="0031675F">
        <w:rPr>
          <w:spacing w:val="31"/>
        </w:rPr>
        <w:t xml:space="preserve"> </w:t>
      </w:r>
      <w:r w:rsidRPr="0031675F">
        <w:rPr>
          <w:spacing w:val="-1"/>
        </w:rPr>
        <w:t>and</w:t>
      </w:r>
      <w:r w:rsidRPr="0031675F">
        <w:rPr>
          <w:spacing w:val="30"/>
        </w:rPr>
        <w:t xml:space="preserve"> </w:t>
      </w:r>
      <w:r w:rsidRPr="0031675F">
        <w:rPr>
          <w:spacing w:val="-1"/>
        </w:rPr>
        <w:t>95</w:t>
      </w:r>
      <w:r w:rsidR="00BB13FD">
        <w:rPr>
          <w:spacing w:val="-1"/>
        </w:rPr>
        <w:t xml:space="preserve"> </w:t>
      </w:r>
      <w:r w:rsidRPr="0031675F">
        <w:rPr>
          <w:spacing w:val="-1"/>
        </w:rPr>
        <w:t>m</w:t>
      </w:r>
      <w:r w:rsidR="00BB13FD">
        <w:rPr>
          <w:spacing w:val="-1"/>
        </w:rPr>
        <w:t>L</w:t>
      </w:r>
      <w:r w:rsidRPr="0031675F">
        <w:rPr>
          <w:spacing w:val="29"/>
        </w:rPr>
        <w:t xml:space="preserve"> </w:t>
      </w:r>
      <w:r w:rsidRPr="0031675F">
        <w:t>of</w:t>
      </w:r>
      <w:r w:rsidRPr="0031675F">
        <w:rPr>
          <w:spacing w:val="31"/>
        </w:rPr>
        <w:t xml:space="preserve"> </w:t>
      </w:r>
      <w:r w:rsidRPr="0031675F">
        <w:rPr>
          <w:spacing w:val="-1"/>
        </w:rPr>
        <w:t>deionised</w:t>
      </w:r>
      <w:r w:rsidRPr="0031675F">
        <w:rPr>
          <w:spacing w:val="79"/>
        </w:rPr>
        <w:t xml:space="preserve"> </w:t>
      </w:r>
      <w:r w:rsidRPr="0031675F">
        <w:t>water.</w:t>
      </w:r>
    </w:p>
    <w:p w14:paraId="73EC8917" w14:textId="77777777" w:rsidR="0031675F" w:rsidRPr="0031675F" w:rsidRDefault="0031675F" w:rsidP="0031675F">
      <w:pPr>
        <w:spacing w:before="11"/>
        <w:rPr>
          <w:rFonts w:cs="Calibri"/>
          <w:sz w:val="21"/>
          <w:szCs w:val="21"/>
        </w:rPr>
      </w:pPr>
    </w:p>
    <w:p w14:paraId="545435FC" w14:textId="77777777" w:rsidR="0031675F" w:rsidRPr="0031675F" w:rsidRDefault="0031675F" w:rsidP="0031675F">
      <w:pPr>
        <w:keepNext/>
        <w:widowControl w:val="0"/>
        <w:numPr>
          <w:ilvl w:val="2"/>
          <w:numId w:val="84"/>
        </w:numPr>
        <w:tabs>
          <w:tab w:val="left" w:pos="839"/>
        </w:tabs>
        <w:spacing w:before="0" w:after="0" w:line="240" w:lineRule="auto"/>
        <w:jc w:val="both"/>
        <w:rPr>
          <w:rFonts w:eastAsia="Arial" w:cs="Arial"/>
        </w:rPr>
      </w:pPr>
      <w:r w:rsidRPr="0031675F">
        <w:rPr>
          <w:b/>
          <w:spacing w:val="-1"/>
        </w:rPr>
        <w:t>Procedure</w:t>
      </w:r>
    </w:p>
    <w:p w14:paraId="6BE8CF30" w14:textId="77777777" w:rsidR="0031675F" w:rsidRPr="0031675F" w:rsidRDefault="0031675F" w:rsidP="0031675F">
      <w:pPr>
        <w:keepNext/>
        <w:widowControl w:val="0"/>
        <w:numPr>
          <w:ilvl w:val="3"/>
          <w:numId w:val="84"/>
        </w:numPr>
        <w:tabs>
          <w:tab w:val="left" w:pos="748"/>
        </w:tabs>
        <w:spacing w:before="0" w:after="0" w:line="240" w:lineRule="auto"/>
        <w:ind w:hanging="357"/>
      </w:pPr>
      <w:r w:rsidRPr="0031675F">
        <w:rPr>
          <w:spacing w:val="-1"/>
        </w:rPr>
        <w:t>Grind the</w:t>
      </w:r>
      <w:r w:rsidRPr="0031675F">
        <w:t xml:space="preserve"> </w:t>
      </w:r>
      <w:r w:rsidRPr="0031675F">
        <w:rPr>
          <w:spacing w:val="-1"/>
        </w:rPr>
        <w:t>filter</w:t>
      </w:r>
      <w:r w:rsidRPr="0031675F">
        <w:t xml:space="preserve"> in</w:t>
      </w:r>
      <w:r w:rsidRPr="0031675F">
        <w:rPr>
          <w:spacing w:val="-1"/>
        </w:rPr>
        <w:t xml:space="preserve"> 90%</w:t>
      </w:r>
      <w:r w:rsidRPr="0031675F">
        <w:rPr>
          <w:spacing w:val="-2"/>
        </w:rPr>
        <w:t xml:space="preserve"> </w:t>
      </w:r>
      <w:r w:rsidRPr="0031675F">
        <w:rPr>
          <w:spacing w:val="-1"/>
        </w:rPr>
        <w:t>acetone</w:t>
      </w:r>
      <w:r w:rsidRPr="0031675F">
        <w:rPr>
          <w:spacing w:val="2"/>
        </w:rPr>
        <w:t xml:space="preserve"> </w:t>
      </w:r>
      <w:r w:rsidRPr="0031675F">
        <w:t>in</w:t>
      </w:r>
      <w:r w:rsidRPr="0031675F">
        <w:rPr>
          <w:spacing w:val="-1"/>
        </w:rPr>
        <w:t xml:space="preserve"> </w:t>
      </w:r>
      <w:r w:rsidRPr="0031675F">
        <w:t>a</w:t>
      </w:r>
      <w:r w:rsidRPr="0031675F">
        <w:rPr>
          <w:spacing w:val="-2"/>
        </w:rPr>
        <w:t xml:space="preserve"> </w:t>
      </w:r>
      <w:r w:rsidRPr="0031675F">
        <w:rPr>
          <w:spacing w:val="-1"/>
        </w:rPr>
        <w:t>tissue</w:t>
      </w:r>
      <w:r w:rsidRPr="0031675F">
        <w:rPr>
          <w:spacing w:val="-2"/>
        </w:rPr>
        <w:t xml:space="preserve"> </w:t>
      </w:r>
      <w:r w:rsidRPr="0031675F">
        <w:rPr>
          <w:spacing w:val="-1"/>
        </w:rPr>
        <w:t>grinding tube.</w:t>
      </w:r>
    </w:p>
    <w:p w14:paraId="5D6148EA" w14:textId="1D3E7B37" w:rsidR="0031675F" w:rsidRPr="0031675F" w:rsidRDefault="0031675F" w:rsidP="0031675F">
      <w:pPr>
        <w:widowControl w:val="0"/>
        <w:numPr>
          <w:ilvl w:val="3"/>
          <w:numId w:val="84"/>
        </w:numPr>
        <w:tabs>
          <w:tab w:val="left" w:pos="748"/>
        </w:tabs>
        <w:spacing w:before="0" w:after="0" w:line="267" w:lineRule="exact"/>
        <w:ind w:hanging="357"/>
      </w:pPr>
      <w:r w:rsidRPr="0031675F">
        <w:t>Pour</w:t>
      </w:r>
      <w:r w:rsidRPr="0031675F">
        <w:rPr>
          <w:spacing w:val="-2"/>
        </w:rPr>
        <w:t xml:space="preserve"> </w:t>
      </w:r>
      <w:r w:rsidRPr="0031675F">
        <w:rPr>
          <w:spacing w:val="-1"/>
        </w:rPr>
        <w:t>suspension</w:t>
      </w:r>
      <w:r w:rsidRPr="0031675F">
        <w:rPr>
          <w:spacing w:val="-3"/>
        </w:rPr>
        <w:t xml:space="preserve"> </w:t>
      </w:r>
      <w:r w:rsidRPr="0031675F">
        <w:t>into</w:t>
      </w:r>
      <w:r w:rsidRPr="0031675F">
        <w:rPr>
          <w:spacing w:val="-2"/>
        </w:rPr>
        <w:t xml:space="preserve"> </w:t>
      </w:r>
      <w:r w:rsidRPr="0031675F">
        <w:t xml:space="preserve">a </w:t>
      </w:r>
      <w:r w:rsidRPr="0031675F">
        <w:rPr>
          <w:spacing w:val="-1"/>
        </w:rPr>
        <w:t xml:space="preserve">graduated </w:t>
      </w:r>
      <w:r w:rsidRPr="0031675F">
        <w:t>or</w:t>
      </w:r>
      <w:r w:rsidRPr="0031675F">
        <w:rPr>
          <w:spacing w:val="-3"/>
        </w:rPr>
        <w:t xml:space="preserve"> </w:t>
      </w:r>
      <w:r w:rsidRPr="0031675F">
        <w:rPr>
          <w:spacing w:val="-1"/>
        </w:rPr>
        <w:t>marked centrifuge</w:t>
      </w:r>
      <w:r w:rsidRPr="0031675F">
        <w:t xml:space="preserve"> </w:t>
      </w:r>
      <w:r w:rsidRPr="0031675F">
        <w:rPr>
          <w:spacing w:val="-1"/>
        </w:rPr>
        <w:t>tube</w:t>
      </w:r>
      <w:r w:rsidRPr="0031675F">
        <w:t xml:space="preserve"> </w:t>
      </w:r>
      <w:r w:rsidRPr="0031675F">
        <w:rPr>
          <w:spacing w:val="-1"/>
        </w:rPr>
        <w:t>and</w:t>
      </w:r>
      <w:r w:rsidRPr="0031675F">
        <w:rPr>
          <w:spacing w:val="-3"/>
        </w:rPr>
        <w:t xml:space="preserve"> </w:t>
      </w:r>
      <w:r w:rsidRPr="0031675F">
        <w:rPr>
          <w:spacing w:val="-1"/>
        </w:rPr>
        <w:t>make</w:t>
      </w:r>
      <w:r w:rsidRPr="0031675F">
        <w:t xml:space="preserve"> </w:t>
      </w:r>
      <w:r w:rsidRPr="0031675F">
        <w:rPr>
          <w:spacing w:val="-1"/>
        </w:rPr>
        <w:t>up to 10</w:t>
      </w:r>
      <w:r w:rsidR="00BB13FD">
        <w:rPr>
          <w:spacing w:val="-1"/>
        </w:rPr>
        <w:t xml:space="preserve"> </w:t>
      </w:r>
      <w:r w:rsidRPr="0031675F">
        <w:rPr>
          <w:spacing w:val="-1"/>
        </w:rPr>
        <w:t>m</w:t>
      </w:r>
      <w:r w:rsidR="00BB13FD">
        <w:rPr>
          <w:spacing w:val="-1"/>
        </w:rPr>
        <w:t>L</w:t>
      </w:r>
      <w:r w:rsidRPr="0031675F">
        <w:rPr>
          <w:spacing w:val="-1"/>
        </w:rPr>
        <w:t>.</w:t>
      </w:r>
    </w:p>
    <w:p w14:paraId="7837292C" w14:textId="77777777" w:rsidR="0031675F" w:rsidRPr="0031675F" w:rsidRDefault="0031675F" w:rsidP="0031675F">
      <w:pPr>
        <w:widowControl w:val="0"/>
        <w:numPr>
          <w:ilvl w:val="3"/>
          <w:numId w:val="84"/>
        </w:numPr>
        <w:tabs>
          <w:tab w:val="left" w:pos="748"/>
        </w:tabs>
        <w:spacing w:before="0" w:after="0" w:line="267" w:lineRule="exact"/>
        <w:ind w:hanging="357"/>
      </w:pPr>
      <w:r w:rsidRPr="0031675F">
        <w:rPr>
          <w:spacing w:val="-1"/>
        </w:rPr>
        <w:t>Cap tube</w:t>
      </w:r>
      <w:r w:rsidRPr="0031675F">
        <w:t xml:space="preserve"> </w:t>
      </w:r>
      <w:r w:rsidRPr="0031675F">
        <w:rPr>
          <w:spacing w:val="-1"/>
        </w:rPr>
        <w:t>and shake.</w:t>
      </w:r>
    </w:p>
    <w:p w14:paraId="773379F6" w14:textId="77777777" w:rsidR="0031675F" w:rsidRPr="0031675F" w:rsidRDefault="0031675F" w:rsidP="0031675F">
      <w:pPr>
        <w:widowControl w:val="0"/>
        <w:numPr>
          <w:ilvl w:val="3"/>
          <w:numId w:val="84"/>
        </w:numPr>
        <w:tabs>
          <w:tab w:val="left" w:pos="748"/>
        </w:tabs>
        <w:spacing w:before="0" w:after="0" w:line="240" w:lineRule="auto"/>
        <w:ind w:right="117" w:hanging="357"/>
        <w:jc w:val="both"/>
      </w:pPr>
      <w:r w:rsidRPr="0031675F">
        <w:rPr>
          <w:spacing w:val="-1"/>
        </w:rPr>
        <w:t>Leave</w:t>
      </w:r>
      <w:r w:rsidRPr="0031675F">
        <w:rPr>
          <w:spacing w:val="17"/>
        </w:rPr>
        <w:t xml:space="preserve"> </w:t>
      </w:r>
      <w:r w:rsidRPr="0031675F">
        <w:rPr>
          <w:spacing w:val="-1"/>
        </w:rPr>
        <w:t>stand</w:t>
      </w:r>
      <w:r w:rsidRPr="0031675F">
        <w:rPr>
          <w:spacing w:val="16"/>
        </w:rPr>
        <w:t xml:space="preserve"> </w:t>
      </w:r>
      <w:r w:rsidRPr="0031675F">
        <w:t>in</w:t>
      </w:r>
      <w:r w:rsidRPr="0031675F">
        <w:rPr>
          <w:spacing w:val="16"/>
        </w:rPr>
        <w:t xml:space="preserve"> </w:t>
      </w:r>
      <w:r w:rsidRPr="0031675F">
        <w:t>the</w:t>
      </w:r>
      <w:r w:rsidRPr="0031675F">
        <w:rPr>
          <w:spacing w:val="17"/>
        </w:rPr>
        <w:t xml:space="preserve"> </w:t>
      </w:r>
      <w:r w:rsidRPr="0031675F">
        <w:rPr>
          <w:spacing w:val="-1"/>
        </w:rPr>
        <w:t>dark</w:t>
      </w:r>
      <w:r w:rsidRPr="0031675F">
        <w:rPr>
          <w:spacing w:val="17"/>
        </w:rPr>
        <w:t xml:space="preserve"> </w:t>
      </w:r>
      <w:r w:rsidRPr="0031675F">
        <w:rPr>
          <w:spacing w:val="-1"/>
        </w:rPr>
        <w:t>for</w:t>
      </w:r>
      <w:r w:rsidRPr="0031675F">
        <w:rPr>
          <w:spacing w:val="17"/>
        </w:rPr>
        <w:t xml:space="preserve"> </w:t>
      </w:r>
      <w:r w:rsidRPr="0031675F">
        <w:t>2</w:t>
      </w:r>
      <w:r w:rsidRPr="0031675F">
        <w:rPr>
          <w:spacing w:val="17"/>
        </w:rPr>
        <w:t xml:space="preserve"> </w:t>
      </w:r>
      <w:r w:rsidRPr="0031675F">
        <w:rPr>
          <w:spacing w:val="-1"/>
        </w:rPr>
        <w:t>hours.</w:t>
      </w:r>
      <w:r w:rsidRPr="0031675F">
        <w:rPr>
          <w:spacing w:val="32"/>
        </w:rPr>
        <w:t xml:space="preserve"> </w:t>
      </w:r>
      <w:r w:rsidRPr="0031675F">
        <w:t>We</w:t>
      </w:r>
      <w:r w:rsidRPr="0031675F">
        <w:rPr>
          <w:spacing w:val="17"/>
        </w:rPr>
        <w:t xml:space="preserve"> </w:t>
      </w:r>
      <w:r w:rsidRPr="0031675F">
        <w:rPr>
          <w:spacing w:val="-1"/>
        </w:rPr>
        <w:t>either</w:t>
      </w:r>
      <w:r w:rsidRPr="0031675F">
        <w:rPr>
          <w:spacing w:val="17"/>
        </w:rPr>
        <w:t xml:space="preserve"> </w:t>
      </w:r>
      <w:r w:rsidRPr="0031675F">
        <w:rPr>
          <w:spacing w:val="-1"/>
        </w:rPr>
        <w:t>cover</w:t>
      </w:r>
      <w:r w:rsidRPr="0031675F">
        <w:rPr>
          <w:spacing w:val="17"/>
        </w:rPr>
        <w:t xml:space="preserve"> </w:t>
      </w:r>
      <w:r w:rsidRPr="0031675F">
        <w:t>the</w:t>
      </w:r>
      <w:r w:rsidRPr="0031675F">
        <w:rPr>
          <w:spacing w:val="17"/>
        </w:rPr>
        <w:t xml:space="preserve"> </w:t>
      </w:r>
      <w:r w:rsidRPr="0031675F">
        <w:t>box</w:t>
      </w:r>
      <w:r w:rsidRPr="0031675F">
        <w:rPr>
          <w:spacing w:val="17"/>
        </w:rPr>
        <w:t xml:space="preserve"> </w:t>
      </w:r>
      <w:r w:rsidRPr="0031675F">
        <w:t>of</w:t>
      </w:r>
      <w:r w:rsidRPr="0031675F">
        <w:rPr>
          <w:spacing w:val="14"/>
        </w:rPr>
        <w:t xml:space="preserve"> </w:t>
      </w:r>
      <w:r w:rsidRPr="0031675F">
        <w:rPr>
          <w:spacing w:val="-1"/>
        </w:rPr>
        <w:t>extracted</w:t>
      </w:r>
      <w:r w:rsidRPr="0031675F">
        <w:rPr>
          <w:spacing w:val="16"/>
        </w:rPr>
        <w:t xml:space="preserve"> </w:t>
      </w:r>
      <w:r w:rsidRPr="0031675F">
        <w:rPr>
          <w:spacing w:val="-1"/>
        </w:rPr>
        <w:t>samples</w:t>
      </w:r>
      <w:r w:rsidRPr="0031675F">
        <w:rPr>
          <w:spacing w:val="17"/>
        </w:rPr>
        <w:t xml:space="preserve"> </w:t>
      </w:r>
      <w:r w:rsidRPr="0031675F">
        <w:t>or</w:t>
      </w:r>
      <w:r w:rsidRPr="0031675F">
        <w:rPr>
          <w:spacing w:val="17"/>
        </w:rPr>
        <w:t xml:space="preserve"> </w:t>
      </w:r>
      <w:r w:rsidRPr="0031675F">
        <w:rPr>
          <w:spacing w:val="-1"/>
        </w:rPr>
        <w:t>cover</w:t>
      </w:r>
      <w:r w:rsidRPr="0031675F">
        <w:rPr>
          <w:spacing w:val="51"/>
        </w:rPr>
        <w:t xml:space="preserve"> </w:t>
      </w:r>
      <w:r w:rsidRPr="0031675F">
        <w:t xml:space="preserve">the </w:t>
      </w:r>
      <w:r w:rsidRPr="0031675F">
        <w:rPr>
          <w:spacing w:val="-1"/>
        </w:rPr>
        <w:t>tubes</w:t>
      </w:r>
      <w:r w:rsidRPr="0031675F">
        <w:rPr>
          <w:spacing w:val="-2"/>
        </w:rPr>
        <w:t xml:space="preserve"> </w:t>
      </w:r>
      <w:r w:rsidRPr="0031675F">
        <w:t>with</w:t>
      </w:r>
      <w:r w:rsidRPr="0031675F">
        <w:rPr>
          <w:spacing w:val="-1"/>
        </w:rPr>
        <w:t xml:space="preserve"> </w:t>
      </w:r>
      <w:r w:rsidRPr="0031675F">
        <w:t>a</w:t>
      </w:r>
      <w:r w:rsidRPr="0031675F">
        <w:rPr>
          <w:spacing w:val="-2"/>
        </w:rPr>
        <w:t xml:space="preserve"> </w:t>
      </w:r>
      <w:r w:rsidRPr="0031675F">
        <w:rPr>
          <w:spacing w:val="-1"/>
        </w:rPr>
        <w:t>thick</w:t>
      </w:r>
      <w:r w:rsidRPr="0031675F">
        <w:rPr>
          <w:spacing w:val="-2"/>
        </w:rPr>
        <w:t xml:space="preserve"> </w:t>
      </w:r>
      <w:r w:rsidRPr="0031675F">
        <w:rPr>
          <w:spacing w:val="-1"/>
        </w:rPr>
        <w:t>black</w:t>
      </w:r>
      <w:r w:rsidRPr="0031675F">
        <w:rPr>
          <w:spacing w:val="-2"/>
        </w:rPr>
        <w:t xml:space="preserve"> </w:t>
      </w:r>
      <w:r w:rsidRPr="0031675F">
        <w:t>cloth.</w:t>
      </w:r>
    </w:p>
    <w:p w14:paraId="0CDAD1AC" w14:textId="77777777" w:rsidR="0031675F" w:rsidRPr="0031675F" w:rsidRDefault="0031675F" w:rsidP="0031675F">
      <w:pPr>
        <w:widowControl w:val="0"/>
        <w:numPr>
          <w:ilvl w:val="3"/>
          <w:numId w:val="84"/>
        </w:numPr>
        <w:tabs>
          <w:tab w:val="left" w:pos="748"/>
        </w:tabs>
        <w:spacing w:before="0" w:after="0" w:line="240" w:lineRule="auto"/>
        <w:ind w:right="113" w:hanging="357"/>
        <w:jc w:val="both"/>
      </w:pPr>
      <w:r w:rsidRPr="0031675F">
        <w:rPr>
          <w:spacing w:val="-1"/>
        </w:rPr>
        <w:t>Centrifuge</w:t>
      </w:r>
      <w:r w:rsidRPr="0031675F">
        <w:rPr>
          <w:spacing w:val="20"/>
        </w:rPr>
        <w:t xml:space="preserve"> </w:t>
      </w:r>
      <w:r w:rsidRPr="0031675F">
        <w:rPr>
          <w:spacing w:val="-1"/>
        </w:rPr>
        <w:t>for</w:t>
      </w:r>
      <w:r w:rsidRPr="0031675F">
        <w:rPr>
          <w:spacing w:val="17"/>
        </w:rPr>
        <w:t xml:space="preserve"> </w:t>
      </w:r>
      <w:r w:rsidRPr="0031675F">
        <w:t>10</w:t>
      </w:r>
      <w:r w:rsidRPr="0031675F">
        <w:rPr>
          <w:spacing w:val="17"/>
        </w:rPr>
        <w:t xml:space="preserve"> </w:t>
      </w:r>
      <w:r w:rsidRPr="0031675F">
        <w:rPr>
          <w:spacing w:val="-1"/>
        </w:rPr>
        <w:t>minutes</w:t>
      </w:r>
      <w:r w:rsidRPr="0031675F">
        <w:rPr>
          <w:spacing w:val="17"/>
        </w:rPr>
        <w:t xml:space="preserve"> </w:t>
      </w:r>
      <w:r w:rsidRPr="0031675F">
        <w:t>at</w:t>
      </w:r>
      <w:r w:rsidRPr="0031675F">
        <w:rPr>
          <w:spacing w:val="19"/>
        </w:rPr>
        <w:t xml:space="preserve"> </w:t>
      </w:r>
      <w:r w:rsidRPr="0031675F">
        <w:rPr>
          <w:spacing w:val="-1"/>
        </w:rPr>
        <w:t>3500</w:t>
      </w:r>
      <w:r w:rsidRPr="0031675F">
        <w:rPr>
          <w:spacing w:val="20"/>
        </w:rPr>
        <w:t xml:space="preserve"> </w:t>
      </w:r>
      <w:r w:rsidRPr="0031675F">
        <w:rPr>
          <w:spacing w:val="-1"/>
        </w:rPr>
        <w:t>rev/min</w:t>
      </w:r>
      <w:r w:rsidRPr="0031675F">
        <w:rPr>
          <w:spacing w:val="16"/>
        </w:rPr>
        <w:t xml:space="preserve"> </w:t>
      </w:r>
      <w:r w:rsidRPr="0031675F">
        <w:rPr>
          <w:spacing w:val="-1"/>
        </w:rPr>
        <w:t>and</w:t>
      </w:r>
      <w:r w:rsidRPr="0031675F">
        <w:rPr>
          <w:spacing w:val="18"/>
        </w:rPr>
        <w:t xml:space="preserve"> </w:t>
      </w:r>
      <w:r w:rsidRPr="0031675F">
        <w:t>read</w:t>
      </w:r>
      <w:r w:rsidRPr="0031675F">
        <w:rPr>
          <w:spacing w:val="16"/>
        </w:rPr>
        <w:t xml:space="preserve"> </w:t>
      </w:r>
      <w:r w:rsidRPr="0031675F">
        <w:t>the</w:t>
      </w:r>
      <w:r w:rsidRPr="0031675F">
        <w:rPr>
          <w:spacing w:val="19"/>
        </w:rPr>
        <w:t xml:space="preserve"> </w:t>
      </w:r>
      <w:r w:rsidRPr="0031675F">
        <w:rPr>
          <w:spacing w:val="-1"/>
        </w:rPr>
        <w:t>fluorescence</w:t>
      </w:r>
      <w:r w:rsidRPr="0031675F">
        <w:rPr>
          <w:spacing w:val="17"/>
        </w:rPr>
        <w:t xml:space="preserve"> </w:t>
      </w:r>
      <w:r w:rsidRPr="0031675F">
        <w:t>of</w:t>
      </w:r>
      <w:r w:rsidRPr="0031675F">
        <w:rPr>
          <w:spacing w:val="19"/>
        </w:rPr>
        <w:t xml:space="preserve"> </w:t>
      </w:r>
      <w:r w:rsidRPr="0031675F">
        <w:rPr>
          <w:spacing w:val="-1"/>
        </w:rPr>
        <w:t>the</w:t>
      </w:r>
      <w:r w:rsidRPr="0031675F">
        <w:rPr>
          <w:spacing w:val="20"/>
        </w:rPr>
        <w:t xml:space="preserve"> </w:t>
      </w:r>
      <w:r w:rsidRPr="0031675F">
        <w:rPr>
          <w:spacing w:val="-1"/>
        </w:rPr>
        <w:t>supernatant</w:t>
      </w:r>
      <w:r w:rsidRPr="0031675F">
        <w:rPr>
          <w:spacing w:val="17"/>
        </w:rPr>
        <w:t xml:space="preserve"> </w:t>
      </w:r>
      <w:r w:rsidRPr="0031675F">
        <w:t>on</w:t>
      </w:r>
      <w:r w:rsidRPr="0031675F">
        <w:rPr>
          <w:spacing w:val="35"/>
        </w:rPr>
        <w:t xml:space="preserve"> </w:t>
      </w:r>
      <w:r w:rsidRPr="0031675F">
        <w:t>the</w:t>
      </w:r>
      <w:r w:rsidRPr="0031675F">
        <w:rPr>
          <w:spacing w:val="3"/>
        </w:rPr>
        <w:t xml:space="preserve"> </w:t>
      </w:r>
      <w:r w:rsidRPr="0031675F">
        <w:rPr>
          <w:spacing w:val="-1"/>
        </w:rPr>
        <w:t>Turner</w:t>
      </w:r>
      <w:r w:rsidRPr="0031675F">
        <w:t xml:space="preserve"> </w:t>
      </w:r>
      <w:r w:rsidRPr="0031675F">
        <w:rPr>
          <w:spacing w:val="-1"/>
        </w:rPr>
        <w:t>Designs</w:t>
      </w:r>
      <w:r w:rsidRPr="0031675F">
        <w:rPr>
          <w:spacing w:val="2"/>
        </w:rPr>
        <w:t xml:space="preserve"> </w:t>
      </w:r>
      <w:r w:rsidRPr="0031675F">
        <w:rPr>
          <w:spacing w:val="-1"/>
        </w:rPr>
        <w:t>(Model</w:t>
      </w:r>
      <w:r w:rsidRPr="0031675F">
        <w:t xml:space="preserve"> 10-AU</w:t>
      </w:r>
      <w:r w:rsidRPr="0031675F">
        <w:rPr>
          <w:spacing w:val="-1"/>
        </w:rPr>
        <w:t xml:space="preserve"> </w:t>
      </w:r>
      <w:r w:rsidRPr="0031675F">
        <w:t>or</w:t>
      </w:r>
      <w:r w:rsidRPr="0031675F">
        <w:rPr>
          <w:spacing w:val="2"/>
        </w:rPr>
        <w:t xml:space="preserve"> </w:t>
      </w:r>
      <w:r w:rsidRPr="0031675F">
        <w:rPr>
          <w:spacing w:val="-2"/>
        </w:rPr>
        <w:t>TD700)</w:t>
      </w:r>
      <w:r w:rsidRPr="0031675F">
        <w:rPr>
          <w:spacing w:val="3"/>
        </w:rPr>
        <w:t xml:space="preserve"> </w:t>
      </w:r>
      <w:r w:rsidRPr="0031675F">
        <w:rPr>
          <w:spacing w:val="-1"/>
        </w:rPr>
        <w:t>Digital</w:t>
      </w:r>
      <w:r w:rsidRPr="0031675F">
        <w:rPr>
          <w:spacing w:val="2"/>
        </w:rPr>
        <w:t xml:space="preserve"> </w:t>
      </w:r>
      <w:r w:rsidRPr="0031675F">
        <w:rPr>
          <w:spacing w:val="-1"/>
        </w:rPr>
        <w:t>Fluorometer.</w:t>
      </w:r>
      <w:r w:rsidRPr="0031675F">
        <w:rPr>
          <w:spacing w:val="2"/>
        </w:rPr>
        <w:t xml:space="preserve"> </w:t>
      </w:r>
      <w:r w:rsidRPr="0031675F">
        <w:rPr>
          <w:spacing w:val="-1"/>
        </w:rPr>
        <w:t>Make</w:t>
      </w:r>
      <w:r w:rsidRPr="0031675F">
        <w:rPr>
          <w:spacing w:val="3"/>
        </w:rPr>
        <w:t xml:space="preserve"> </w:t>
      </w:r>
      <w:r w:rsidRPr="0031675F">
        <w:rPr>
          <w:spacing w:val="-1"/>
        </w:rPr>
        <w:t>note</w:t>
      </w:r>
      <w:r w:rsidRPr="0031675F">
        <w:t xml:space="preserve"> of</w:t>
      </w:r>
      <w:r w:rsidRPr="0031675F">
        <w:rPr>
          <w:spacing w:val="2"/>
        </w:rPr>
        <w:t xml:space="preserve"> </w:t>
      </w:r>
      <w:r w:rsidRPr="0031675F">
        <w:rPr>
          <w:spacing w:val="-1"/>
        </w:rPr>
        <w:t>reading</w:t>
      </w:r>
      <w:r w:rsidRPr="0031675F">
        <w:rPr>
          <w:spacing w:val="2"/>
        </w:rPr>
        <w:t xml:space="preserve"> </w:t>
      </w:r>
      <w:r w:rsidRPr="0031675F">
        <w:t>on</w:t>
      </w:r>
      <w:r w:rsidRPr="0031675F">
        <w:rPr>
          <w:spacing w:val="2"/>
        </w:rPr>
        <w:t xml:space="preserve"> </w:t>
      </w:r>
      <w:r w:rsidRPr="0031675F">
        <w:t>log</w:t>
      </w:r>
      <w:r w:rsidRPr="0031675F">
        <w:rPr>
          <w:spacing w:val="59"/>
        </w:rPr>
        <w:t xml:space="preserve"> </w:t>
      </w:r>
      <w:r w:rsidRPr="0031675F">
        <w:rPr>
          <w:spacing w:val="-1"/>
        </w:rPr>
        <w:t>sheet</w:t>
      </w:r>
      <w:r w:rsidRPr="0031675F">
        <w:rPr>
          <w:spacing w:val="-2"/>
        </w:rPr>
        <w:t xml:space="preserve"> </w:t>
      </w:r>
      <w:r w:rsidRPr="0031675F">
        <w:rPr>
          <w:spacing w:val="-1"/>
        </w:rPr>
        <w:t>(Attachment</w:t>
      </w:r>
      <w:r w:rsidRPr="0031675F">
        <w:rPr>
          <w:spacing w:val="2"/>
        </w:rPr>
        <w:t xml:space="preserve"> </w:t>
      </w:r>
      <w:r w:rsidRPr="0031675F">
        <w:rPr>
          <w:spacing w:val="-1"/>
        </w:rPr>
        <w:t>9.1).</w:t>
      </w:r>
    </w:p>
    <w:p w14:paraId="41AA7E57" w14:textId="77777777" w:rsidR="0031675F" w:rsidRPr="0031675F" w:rsidRDefault="0031675F" w:rsidP="0031675F">
      <w:pPr>
        <w:widowControl w:val="0"/>
        <w:numPr>
          <w:ilvl w:val="3"/>
          <w:numId w:val="84"/>
        </w:numPr>
        <w:tabs>
          <w:tab w:val="left" w:pos="748"/>
        </w:tabs>
        <w:spacing w:before="0" w:after="0" w:line="240" w:lineRule="auto"/>
        <w:ind w:right="112" w:hanging="357"/>
        <w:jc w:val="both"/>
      </w:pPr>
      <w:r w:rsidRPr="0031675F">
        <w:rPr>
          <w:spacing w:val="-1"/>
        </w:rPr>
        <w:t>Add</w:t>
      </w:r>
      <w:r w:rsidRPr="0031675F">
        <w:rPr>
          <w:spacing w:val="37"/>
        </w:rPr>
        <w:t xml:space="preserve"> </w:t>
      </w:r>
      <w:r w:rsidRPr="0031675F">
        <w:t>2</w:t>
      </w:r>
      <w:r w:rsidRPr="0031675F">
        <w:rPr>
          <w:spacing w:val="39"/>
        </w:rPr>
        <w:t xml:space="preserve"> </w:t>
      </w:r>
      <w:r w:rsidRPr="0031675F">
        <w:rPr>
          <w:spacing w:val="-1"/>
        </w:rPr>
        <w:t>drops</w:t>
      </w:r>
      <w:r w:rsidRPr="0031675F">
        <w:rPr>
          <w:spacing w:val="36"/>
        </w:rPr>
        <w:t xml:space="preserve"> </w:t>
      </w:r>
      <w:r w:rsidRPr="0031675F">
        <w:rPr>
          <w:spacing w:val="-1"/>
        </w:rPr>
        <w:t>of</w:t>
      </w:r>
      <w:r w:rsidRPr="0031675F">
        <w:rPr>
          <w:spacing w:val="38"/>
        </w:rPr>
        <w:t xml:space="preserve"> </w:t>
      </w:r>
      <w:r w:rsidRPr="0031675F">
        <w:t>1N</w:t>
      </w:r>
      <w:r w:rsidRPr="0031675F">
        <w:rPr>
          <w:spacing w:val="35"/>
        </w:rPr>
        <w:t xml:space="preserve"> </w:t>
      </w:r>
      <w:r w:rsidRPr="0031675F">
        <w:rPr>
          <w:spacing w:val="-1"/>
        </w:rPr>
        <w:t>HCl.</w:t>
      </w:r>
      <w:r w:rsidRPr="0031675F">
        <w:rPr>
          <w:spacing w:val="24"/>
        </w:rPr>
        <w:t xml:space="preserve"> </w:t>
      </w:r>
      <w:r w:rsidRPr="0031675F">
        <w:rPr>
          <w:spacing w:val="-1"/>
        </w:rPr>
        <w:t>Allow</w:t>
      </w:r>
      <w:r w:rsidRPr="0031675F">
        <w:rPr>
          <w:spacing w:val="37"/>
        </w:rPr>
        <w:t xml:space="preserve"> </w:t>
      </w:r>
      <w:r w:rsidRPr="0031675F">
        <w:t>the</w:t>
      </w:r>
      <w:r w:rsidRPr="0031675F">
        <w:rPr>
          <w:spacing w:val="39"/>
        </w:rPr>
        <w:t xml:space="preserve"> </w:t>
      </w:r>
      <w:r w:rsidRPr="0031675F">
        <w:rPr>
          <w:spacing w:val="-1"/>
        </w:rPr>
        <w:t>acid</w:t>
      </w:r>
      <w:r w:rsidRPr="0031675F">
        <w:rPr>
          <w:spacing w:val="37"/>
        </w:rPr>
        <w:t xml:space="preserve"> </w:t>
      </w:r>
      <w:r w:rsidRPr="0031675F">
        <w:rPr>
          <w:spacing w:val="-1"/>
        </w:rPr>
        <w:t>to</w:t>
      </w:r>
      <w:r w:rsidRPr="0031675F">
        <w:rPr>
          <w:spacing w:val="40"/>
        </w:rPr>
        <w:t xml:space="preserve"> </w:t>
      </w:r>
      <w:r w:rsidRPr="0031675F">
        <w:t>react</w:t>
      </w:r>
      <w:r w:rsidRPr="0031675F">
        <w:rPr>
          <w:spacing w:val="37"/>
        </w:rPr>
        <w:t xml:space="preserve"> </w:t>
      </w:r>
      <w:r w:rsidRPr="0031675F">
        <w:rPr>
          <w:spacing w:val="-2"/>
        </w:rPr>
        <w:t>and</w:t>
      </w:r>
      <w:r w:rsidRPr="0031675F">
        <w:rPr>
          <w:spacing w:val="37"/>
        </w:rPr>
        <w:t xml:space="preserve"> </w:t>
      </w:r>
      <w:r w:rsidRPr="0031675F">
        <w:t>take</w:t>
      </w:r>
      <w:r w:rsidRPr="0031675F">
        <w:rPr>
          <w:spacing w:val="37"/>
        </w:rPr>
        <w:t xml:space="preserve"> </w:t>
      </w:r>
      <w:r w:rsidRPr="0031675F">
        <w:rPr>
          <w:spacing w:val="-1"/>
        </w:rPr>
        <w:t>another</w:t>
      </w:r>
      <w:r w:rsidRPr="0031675F">
        <w:rPr>
          <w:spacing w:val="39"/>
        </w:rPr>
        <w:t xml:space="preserve"> </w:t>
      </w:r>
      <w:r w:rsidRPr="0031675F">
        <w:rPr>
          <w:spacing w:val="-1"/>
        </w:rPr>
        <w:t>reading.</w:t>
      </w:r>
      <w:r w:rsidRPr="0031675F">
        <w:rPr>
          <w:spacing w:val="38"/>
        </w:rPr>
        <w:t xml:space="preserve"> </w:t>
      </w:r>
      <w:r w:rsidRPr="0031675F">
        <w:t>Make</w:t>
      </w:r>
      <w:r w:rsidRPr="0031675F">
        <w:rPr>
          <w:spacing w:val="36"/>
        </w:rPr>
        <w:t xml:space="preserve"> </w:t>
      </w:r>
      <w:r w:rsidRPr="0031675F">
        <w:rPr>
          <w:spacing w:val="-1"/>
        </w:rPr>
        <w:t>note</w:t>
      </w:r>
      <w:r w:rsidRPr="0031675F">
        <w:rPr>
          <w:spacing w:val="37"/>
        </w:rPr>
        <w:t xml:space="preserve"> </w:t>
      </w:r>
      <w:r w:rsidRPr="0031675F">
        <w:t>of</w:t>
      </w:r>
      <w:r w:rsidRPr="0031675F">
        <w:rPr>
          <w:spacing w:val="41"/>
        </w:rPr>
        <w:t xml:space="preserve"> </w:t>
      </w:r>
      <w:r w:rsidRPr="0031675F">
        <w:rPr>
          <w:spacing w:val="-1"/>
        </w:rPr>
        <w:t xml:space="preserve">reading </w:t>
      </w:r>
      <w:r w:rsidRPr="0031675F">
        <w:t>on</w:t>
      </w:r>
      <w:r w:rsidRPr="0031675F">
        <w:rPr>
          <w:spacing w:val="-1"/>
        </w:rPr>
        <w:t xml:space="preserve"> log sheet.</w:t>
      </w:r>
    </w:p>
    <w:p w14:paraId="44BD94B0" w14:textId="77777777" w:rsidR="0031675F" w:rsidRPr="0031675F" w:rsidRDefault="0031675F" w:rsidP="0031675F">
      <w:pPr>
        <w:widowControl w:val="0"/>
        <w:numPr>
          <w:ilvl w:val="3"/>
          <w:numId w:val="84"/>
        </w:numPr>
        <w:tabs>
          <w:tab w:val="left" w:pos="748"/>
        </w:tabs>
        <w:spacing w:before="0" w:after="0" w:line="240" w:lineRule="auto"/>
        <w:ind w:hanging="357"/>
      </w:pPr>
      <w:r w:rsidRPr="0031675F">
        <w:t>An</w:t>
      </w:r>
      <w:r w:rsidRPr="0031675F">
        <w:rPr>
          <w:spacing w:val="-2"/>
        </w:rPr>
        <w:t xml:space="preserve"> </w:t>
      </w:r>
      <w:r w:rsidRPr="0031675F">
        <w:rPr>
          <w:spacing w:val="-1"/>
        </w:rPr>
        <w:t>unused</w:t>
      </w:r>
      <w:r w:rsidRPr="0031675F">
        <w:t xml:space="preserve"> </w:t>
      </w:r>
      <w:r w:rsidRPr="0031675F">
        <w:rPr>
          <w:spacing w:val="-1"/>
        </w:rPr>
        <w:t>filter</w:t>
      </w:r>
      <w:r w:rsidRPr="0031675F">
        <w:t xml:space="preserve"> </w:t>
      </w:r>
      <w:r w:rsidRPr="0031675F">
        <w:rPr>
          <w:spacing w:val="-1"/>
        </w:rPr>
        <w:t>should also</w:t>
      </w:r>
      <w:r w:rsidRPr="0031675F">
        <w:rPr>
          <w:spacing w:val="1"/>
        </w:rPr>
        <w:t xml:space="preserve"> </w:t>
      </w:r>
      <w:r w:rsidRPr="0031675F">
        <w:rPr>
          <w:spacing w:val="-1"/>
        </w:rPr>
        <w:t>be</w:t>
      </w:r>
      <w:r w:rsidRPr="0031675F">
        <w:t xml:space="preserve"> </w:t>
      </w:r>
      <w:r w:rsidRPr="0031675F">
        <w:rPr>
          <w:spacing w:val="-1"/>
        </w:rPr>
        <w:t xml:space="preserve">processed </w:t>
      </w:r>
      <w:r w:rsidRPr="0031675F">
        <w:t>in</w:t>
      </w:r>
      <w:r w:rsidRPr="0031675F">
        <w:rPr>
          <w:spacing w:val="-3"/>
        </w:rPr>
        <w:t xml:space="preserve"> </w:t>
      </w:r>
      <w:r w:rsidRPr="0031675F">
        <w:t xml:space="preserve">the </w:t>
      </w:r>
      <w:r w:rsidRPr="0031675F">
        <w:rPr>
          <w:spacing w:val="-2"/>
        </w:rPr>
        <w:t xml:space="preserve">same </w:t>
      </w:r>
      <w:r w:rsidRPr="0031675F">
        <w:rPr>
          <w:spacing w:val="-1"/>
        </w:rPr>
        <w:t>manner</w:t>
      </w:r>
      <w:r w:rsidRPr="0031675F">
        <w:rPr>
          <w:spacing w:val="-2"/>
        </w:rPr>
        <w:t xml:space="preserve"> </w:t>
      </w:r>
      <w:r w:rsidRPr="0031675F">
        <w:t>to</w:t>
      </w:r>
      <w:r w:rsidRPr="0031675F">
        <w:rPr>
          <w:spacing w:val="-1"/>
        </w:rPr>
        <w:t xml:space="preserve"> give</w:t>
      </w:r>
      <w:r w:rsidRPr="0031675F">
        <w:t xml:space="preserve"> a </w:t>
      </w:r>
      <w:r w:rsidRPr="0031675F">
        <w:rPr>
          <w:spacing w:val="-1"/>
        </w:rPr>
        <w:t>blank</w:t>
      </w:r>
      <w:r w:rsidRPr="0031675F">
        <w:rPr>
          <w:spacing w:val="-2"/>
        </w:rPr>
        <w:t xml:space="preserve"> </w:t>
      </w:r>
      <w:r w:rsidRPr="0031675F">
        <w:rPr>
          <w:spacing w:val="-1"/>
        </w:rPr>
        <w:t>value.</w:t>
      </w:r>
    </w:p>
    <w:p w14:paraId="37FE0FE9" w14:textId="77777777" w:rsidR="0031675F" w:rsidRPr="0031675F" w:rsidRDefault="0031675F" w:rsidP="0031675F">
      <w:pPr>
        <w:spacing w:before="9"/>
        <w:rPr>
          <w:rFonts w:cs="Calibri"/>
          <w:sz w:val="21"/>
          <w:szCs w:val="21"/>
        </w:rPr>
      </w:pPr>
    </w:p>
    <w:p w14:paraId="28B52DAB" w14:textId="77777777" w:rsidR="0031675F" w:rsidRPr="0031675F" w:rsidRDefault="0031675F" w:rsidP="0031675F">
      <w:pPr>
        <w:widowControl w:val="0"/>
        <w:numPr>
          <w:ilvl w:val="2"/>
          <w:numId w:val="84"/>
        </w:numPr>
        <w:tabs>
          <w:tab w:val="left" w:pos="839"/>
        </w:tabs>
        <w:spacing w:before="0" w:after="0" w:line="240" w:lineRule="auto"/>
        <w:jc w:val="both"/>
        <w:rPr>
          <w:rFonts w:eastAsia="Arial" w:cs="Arial"/>
        </w:rPr>
      </w:pPr>
      <w:r w:rsidRPr="0031675F">
        <w:rPr>
          <w:b/>
          <w:spacing w:val="-1"/>
        </w:rPr>
        <w:t>Calibration</w:t>
      </w:r>
    </w:p>
    <w:p w14:paraId="49A5D2A9" w14:textId="77777777" w:rsidR="0031675F" w:rsidRPr="0031675F" w:rsidRDefault="0031675F" w:rsidP="0031675F">
      <w:pPr>
        <w:spacing w:before="2"/>
        <w:rPr>
          <w:rFonts w:eastAsia="Arial" w:cs="Arial"/>
          <w:b/>
          <w:bCs/>
          <w:sz w:val="21"/>
          <w:szCs w:val="21"/>
        </w:rPr>
      </w:pPr>
    </w:p>
    <w:p w14:paraId="798F798E" w14:textId="77777777" w:rsidR="0031675F" w:rsidRPr="0031675F" w:rsidRDefault="0031675F" w:rsidP="0031675F">
      <w:pPr>
        <w:widowControl w:val="0"/>
        <w:numPr>
          <w:ilvl w:val="0"/>
          <w:numId w:val="82"/>
        </w:numPr>
        <w:tabs>
          <w:tab w:val="left" w:pos="394"/>
        </w:tabs>
        <w:spacing w:before="0" w:after="0" w:line="240" w:lineRule="auto"/>
        <w:jc w:val="both"/>
        <w:rPr>
          <w:rFonts w:cs="Calibri"/>
        </w:rPr>
      </w:pPr>
      <w:r w:rsidRPr="0031675F">
        <w:rPr>
          <w:b/>
          <w:i/>
          <w:spacing w:val="-1"/>
        </w:rPr>
        <w:t>Machine</w:t>
      </w:r>
      <w:r w:rsidRPr="0031675F">
        <w:rPr>
          <w:b/>
          <w:i/>
          <w:spacing w:val="-3"/>
        </w:rPr>
        <w:t xml:space="preserve"> </w:t>
      </w:r>
      <w:r w:rsidRPr="0031675F">
        <w:rPr>
          <w:b/>
          <w:i/>
          <w:spacing w:val="-1"/>
        </w:rPr>
        <w:t>Calibration</w:t>
      </w:r>
    </w:p>
    <w:p w14:paraId="10372676" w14:textId="77777777" w:rsidR="0031675F" w:rsidRPr="0031675F" w:rsidRDefault="0031675F" w:rsidP="0031675F">
      <w:pPr>
        <w:ind w:left="118"/>
        <w:jc w:val="both"/>
        <w:rPr>
          <w:rFonts w:cs="Calibri"/>
        </w:rPr>
      </w:pPr>
      <w:r w:rsidRPr="0031675F">
        <w:rPr>
          <w:i/>
          <w:spacing w:val="-1"/>
        </w:rPr>
        <w:t>Primary</w:t>
      </w:r>
      <w:r w:rsidRPr="0031675F">
        <w:rPr>
          <w:i/>
          <w:spacing w:val="-3"/>
        </w:rPr>
        <w:t xml:space="preserve"> </w:t>
      </w:r>
      <w:r w:rsidRPr="0031675F">
        <w:rPr>
          <w:i/>
          <w:spacing w:val="-1"/>
        </w:rPr>
        <w:t>Standard</w:t>
      </w:r>
      <w:r w:rsidRPr="0031675F">
        <w:rPr>
          <w:spacing w:val="-1"/>
        </w:rPr>
        <w:t>:</w:t>
      </w:r>
    </w:p>
    <w:p w14:paraId="2ECB49AC" w14:textId="77777777" w:rsidR="0031675F" w:rsidRPr="0031675F" w:rsidRDefault="0031675F" w:rsidP="0031675F">
      <w:pPr>
        <w:widowControl w:val="0"/>
        <w:numPr>
          <w:ilvl w:val="1"/>
          <w:numId w:val="82"/>
        </w:numPr>
        <w:tabs>
          <w:tab w:val="left" w:pos="827"/>
        </w:tabs>
        <w:spacing w:before="0" w:after="0" w:line="239" w:lineRule="auto"/>
        <w:ind w:right="112" w:hanging="355"/>
        <w:jc w:val="both"/>
      </w:pPr>
      <w:r w:rsidRPr="0031675F">
        <w:rPr>
          <w:spacing w:val="-1"/>
        </w:rPr>
        <w:t>Filter</w:t>
      </w:r>
      <w:r w:rsidRPr="0031675F">
        <w:rPr>
          <w:spacing w:val="24"/>
        </w:rPr>
        <w:t xml:space="preserve"> </w:t>
      </w:r>
      <w:r w:rsidRPr="0031675F">
        <w:t>an</w:t>
      </w:r>
      <w:r w:rsidRPr="0031675F">
        <w:rPr>
          <w:spacing w:val="23"/>
        </w:rPr>
        <w:t xml:space="preserve"> </w:t>
      </w:r>
      <w:r w:rsidRPr="0031675F">
        <w:rPr>
          <w:spacing w:val="-1"/>
        </w:rPr>
        <w:t>aliquot</w:t>
      </w:r>
      <w:r w:rsidRPr="0031675F">
        <w:rPr>
          <w:spacing w:val="24"/>
        </w:rPr>
        <w:t xml:space="preserve"> </w:t>
      </w:r>
      <w:r w:rsidRPr="0031675F">
        <w:rPr>
          <w:spacing w:val="-2"/>
        </w:rPr>
        <w:t>from</w:t>
      </w:r>
      <w:r w:rsidRPr="0031675F">
        <w:rPr>
          <w:spacing w:val="25"/>
        </w:rPr>
        <w:t xml:space="preserve"> </w:t>
      </w:r>
      <w:r w:rsidRPr="0031675F">
        <w:t>an</w:t>
      </w:r>
      <w:r w:rsidRPr="0031675F">
        <w:rPr>
          <w:spacing w:val="23"/>
        </w:rPr>
        <w:t xml:space="preserve"> </w:t>
      </w:r>
      <w:r w:rsidRPr="0031675F">
        <w:rPr>
          <w:spacing w:val="-1"/>
        </w:rPr>
        <w:t>exponentially-growing</w:t>
      </w:r>
      <w:r w:rsidRPr="0031675F">
        <w:rPr>
          <w:spacing w:val="23"/>
        </w:rPr>
        <w:t xml:space="preserve"> </w:t>
      </w:r>
      <w:r w:rsidRPr="0031675F">
        <w:rPr>
          <w:spacing w:val="-1"/>
        </w:rPr>
        <w:t>phytoplankton</w:t>
      </w:r>
      <w:r w:rsidRPr="0031675F">
        <w:rPr>
          <w:spacing w:val="23"/>
        </w:rPr>
        <w:t xml:space="preserve"> </w:t>
      </w:r>
      <w:r w:rsidRPr="0031675F">
        <w:rPr>
          <w:spacing w:val="-1"/>
        </w:rPr>
        <w:t>culture</w:t>
      </w:r>
      <w:r w:rsidRPr="0031675F">
        <w:rPr>
          <w:spacing w:val="22"/>
        </w:rPr>
        <w:t xml:space="preserve"> </w:t>
      </w:r>
      <w:r w:rsidRPr="0031675F">
        <w:rPr>
          <w:spacing w:val="-1"/>
        </w:rPr>
        <w:t>through</w:t>
      </w:r>
      <w:r w:rsidRPr="0031675F">
        <w:rPr>
          <w:spacing w:val="21"/>
        </w:rPr>
        <w:t xml:space="preserve"> </w:t>
      </w:r>
      <w:r w:rsidRPr="0031675F">
        <w:t>a</w:t>
      </w:r>
      <w:r w:rsidRPr="0031675F">
        <w:rPr>
          <w:spacing w:val="24"/>
        </w:rPr>
        <w:t xml:space="preserve"> </w:t>
      </w:r>
      <w:r w:rsidRPr="0031675F">
        <w:rPr>
          <w:spacing w:val="-1"/>
        </w:rPr>
        <w:t>Whatman</w:t>
      </w:r>
      <w:r w:rsidRPr="0031675F">
        <w:rPr>
          <w:spacing w:val="85"/>
        </w:rPr>
        <w:t xml:space="preserve"> </w:t>
      </w:r>
      <w:r w:rsidRPr="0031675F">
        <w:rPr>
          <w:spacing w:val="-1"/>
        </w:rPr>
        <w:t>GF/F</w:t>
      </w:r>
      <w:r w:rsidRPr="0031675F">
        <w:rPr>
          <w:spacing w:val="25"/>
        </w:rPr>
        <w:t xml:space="preserve"> </w:t>
      </w:r>
      <w:r w:rsidRPr="0031675F">
        <w:rPr>
          <w:spacing w:val="-1"/>
        </w:rPr>
        <w:t>filter</w:t>
      </w:r>
      <w:r w:rsidRPr="0031675F">
        <w:rPr>
          <w:spacing w:val="24"/>
        </w:rPr>
        <w:t xml:space="preserve"> </w:t>
      </w:r>
      <w:r w:rsidRPr="0031675F">
        <w:t>(or</w:t>
      </w:r>
      <w:r w:rsidRPr="0031675F">
        <w:rPr>
          <w:spacing w:val="24"/>
        </w:rPr>
        <w:t xml:space="preserve"> </w:t>
      </w:r>
      <w:r w:rsidRPr="0031675F">
        <w:rPr>
          <w:spacing w:val="-1"/>
        </w:rPr>
        <w:t>equivalent).</w:t>
      </w:r>
      <w:r w:rsidRPr="0031675F">
        <w:rPr>
          <w:spacing w:val="1"/>
        </w:rPr>
        <w:t xml:space="preserve"> </w:t>
      </w:r>
      <w:r w:rsidRPr="0031675F">
        <w:t>It</w:t>
      </w:r>
      <w:r w:rsidRPr="0031675F">
        <w:rPr>
          <w:spacing w:val="27"/>
        </w:rPr>
        <w:t xml:space="preserve"> </w:t>
      </w:r>
      <w:r w:rsidRPr="0031675F">
        <w:t>is</w:t>
      </w:r>
      <w:r w:rsidRPr="0031675F">
        <w:rPr>
          <w:spacing w:val="26"/>
        </w:rPr>
        <w:t xml:space="preserve"> </w:t>
      </w:r>
      <w:r w:rsidRPr="0031675F">
        <w:rPr>
          <w:spacing w:val="-1"/>
        </w:rPr>
        <w:t>best</w:t>
      </w:r>
      <w:r w:rsidRPr="0031675F">
        <w:rPr>
          <w:spacing w:val="24"/>
        </w:rPr>
        <w:t xml:space="preserve"> </w:t>
      </w:r>
      <w:r w:rsidRPr="0031675F">
        <w:t>to</w:t>
      </w:r>
      <w:r w:rsidRPr="0031675F">
        <w:rPr>
          <w:spacing w:val="26"/>
        </w:rPr>
        <w:t xml:space="preserve"> </w:t>
      </w:r>
      <w:r w:rsidRPr="0031675F">
        <w:rPr>
          <w:spacing w:val="-1"/>
        </w:rPr>
        <w:t>use</w:t>
      </w:r>
      <w:r w:rsidRPr="0031675F">
        <w:rPr>
          <w:spacing w:val="27"/>
        </w:rPr>
        <w:t xml:space="preserve"> </w:t>
      </w:r>
      <w:r w:rsidRPr="0031675F">
        <w:rPr>
          <w:spacing w:val="-1"/>
        </w:rPr>
        <w:t>diatom</w:t>
      </w:r>
      <w:r w:rsidRPr="0031675F">
        <w:rPr>
          <w:spacing w:val="25"/>
        </w:rPr>
        <w:t xml:space="preserve"> </w:t>
      </w:r>
      <w:r w:rsidRPr="0031675F">
        <w:rPr>
          <w:spacing w:val="-1"/>
        </w:rPr>
        <w:t>(e.g.</w:t>
      </w:r>
      <w:r w:rsidRPr="0031675F">
        <w:rPr>
          <w:spacing w:val="30"/>
        </w:rPr>
        <w:t xml:space="preserve"> </w:t>
      </w:r>
      <w:r w:rsidRPr="0031675F">
        <w:rPr>
          <w:i/>
          <w:spacing w:val="-1"/>
        </w:rPr>
        <w:t>Chaetoceros</w:t>
      </w:r>
      <w:r w:rsidRPr="0031675F">
        <w:rPr>
          <w:spacing w:val="-1"/>
        </w:rPr>
        <w:t>)</w:t>
      </w:r>
      <w:r w:rsidRPr="0031675F">
        <w:rPr>
          <w:spacing w:val="27"/>
        </w:rPr>
        <w:t xml:space="preserve"> </w:t>
      </w:r>
      <w:r w:rsidRPr="0031675F">
        <w:rPr>
          <w:spacing w:val="-1"/>
        </w:rPr>
        <w:t>or</w:t>
      </w:r>
      <w:r w:rsidRPr="0031675F">
        <w:rPr>
          <w:spacing w:val="27"/>
        </w:rPr>
        <w:t xml:space="preserve"> </w:t>
      </w:r>
      <w:r w:rsidRPr="0031675F">
        <w:rPr>
          <w:spacing w:val="-1"/>
        </w:rPr>
        <w:t>chrysophyte</w:t>
      </w:r>
      <w:r w:rsidRPr="0031675F">
        <w:rPr>
          <w:spacing w:val="26"/>
        </w:rPr>
        <w:t xml:space="preserve"> </w:t>
      </w:r>
      <w:r w:rsidRPr="0031675F">
        <w:rPr>
          <w:spacing w:val="-1"/>
        </w:rPr>
        <w:t>(e.g.</w:t>
      </w:r>
      <w:r w:rsidRPr="0031675F">
        <w:rPr>
          <w:spacing w:val="59"/>
        </w:rPr>
        <w:t xml:space="preserve"> </w:t>
      </w:r>
      <w:r w:rsidRPr="0031675F">
        <w:rPr>
          <w:i/>
          <w:spacing w:val="-1"/>
        </w:rPr>
        <w:t>Isochrysis</w:t>
      </w:r>
      <w:r w:rsidRPr="0031675F">
        <w:rPr>
          <w:spacing w:val="-1"/>
        </w:rPr>
        <w:t>,</w:t>
      </w:r>
      <w:r w:rsidRPr="0031675F">
        <w:rPr>
          <w:spacing w:val="27"/>
        </w:rPr>
        <w:t xml:space="preserve"> </w:t>
      </w:r>
      <w:r w:rsidRPr="0031675F">
        <w:rPr>
          <w:i/>
          <w:spacing w:val="-1"/>
        </w:rPr>
        <w:t>Phaeodactylum</w:t>
      </w:r>
      <w:r w:rsidRPr="0031675F">
        <w:rPr>
          <w:spacing w:val="-1"/>
        </w:rPr>
        <w:t>)</w:t>
      </w:r>
      <w:r w:rsidRPr="0031675F">
        <w:rPr>
          <w:spacing w:val="30"/>
        </w:rPr>
        <w:t xml:space="preserve"> </w:t>
      </w:r>
      <w:r w:rsidRPr="0031675F">
        <w:rPr>
          <w:spacing w:val="-1"/>
        </w:rPr>
        <w:t>cultures.</w:t>
      </w:r>
      <w:r w:rsidRPr="0031675F">
        <w:rPr>
          <w:spacing w:val="4"/>
        </w:rPr>
        <w:t xml:space="preserve"> </w:t>
      </w:r>
      <w:r w:rsidRPr="0031675F">
        <w:rPr>
          <w:spacing w:val="-1"/>
        </w:rPr>
        <w:t>Do</w:t>
      </w:r>
      <w:r w:rsidRPr="0031675F">
        <w:rPr>
          <w:spacing w:val="31"/>
        </w:rPr>
        <w:t xml:space="preserve"> </w:t>
      </w:r>
      <w:r w:rsidRPr="0031675F">
        <w:rPr>
          <w:spacing w:val="-1"/>
        </w:rPr>
        <w:t>not</w:t>
      </w:r>
      <w:r w:rsidRPr="0031675F">
        <w:rPr>
          <w:spacing w:val="29"/>
        </w:rPr>
        <w:t xml:space="preserve"> </w:t>
      </w:r>
      <w:r w:rsidRPr="0031675F">
        <w:rPr>
          <w:spacing w:val="-2"/>
        </w:rPr>
        <w:t>use</w:t>
      </w:r>
      <w:r w:rsidRPr="0031675F">
        <w:rPr>
          <w:spacing w:val="28"/>
        </w:rPr>
        <w:t xml:space="preserve"> </w:t>
      </w:r>
      <w:r w:rsidRPr="0031675F">
        <w:t>a</w:t>
      </w:r>
      <w:r w:rsidRPr="0031675F">
        <w:rPr>
          <w:spacing w:val="27"/>
        </w:rPr>
        <w:t xml:space="preserve"> </w:t>
      </w:r>
      <w:r w:rsidRPr="0031675F">
        <w:t>of</w:t>
      </w:r>
      <w:r w:rsidRPr="0031675F">
        <w:rPr>
          <w:spacing w:val="29"/>
        </w:rPr>
        <w:t xml:space="preserve"> </w:t>
      </w:r>
      <w:r w:rsidRPr="0031675F">
        <w:t>a</w:t>
      </w:r>
      <w:r w:rsidRPr="0031675F">
        <w:rPr>
          <w:spacing w:val="26"/>
        </w:rPr>
        <w:t xml:space="preserve"> </w:t>
      </w:r>
      <w:r w:rsidRPr="0031675F">
        <w:rPr>
          <w:spacing w:val="-1"/>
        </w:rPr>
        <w:t>chlorophyte</w:t>
      </w:r>
      <w:r w:rsidRPr="0031675F">
        <w:rPr>
          <w:spacing w:val="28"/>
        </w:rPr>
        <w:t xml:space="preserve"> </w:t>
      </w:r>
      <w:r w:rsidRPr="0031675F">
        <w:rPr>
          <w:spacing w:val="-2"/>
        </w:rPr>
        <w:t>(e.g.</w:t>
      </w:r>
      <w:r w:rsidRPr="0031675F">
        <w:rPr>
          <w:spacing w:val="34"/>
        </w:rPr>
        <w:t xml:space="preserve"> </w:t>
      </w:r>
      <w:r w:rsidRPr="0031675F">
        <w:rPr>
          <w:i/>
          <w:spacing w:val="-1"/>
        </w:rPr>
        <w:t>Dunaliella</w:t>
      </w:r>
      <w:r w:rsidRPr="0031675F">
        <w:rPr>
          <w:spacing w:val="-1"/>
        </w:rPr>
        <w:t>,</w:t>
      </w:r>
      <w:r w:rsidRPr="0031675F">
        <w:rPr>
          <w:spacing w:val="69"/>
        </w:rPr>
        <w:t xml:space="preserve"> </w:t>
      </w:r>
      <w:r w:rsidRPr="0031675F">
        <w:rPr>
          <w:i/>
          <w:spacing w:val="-1"/>
        </w:rPr>
        <w:t>Tetraselmis</w:t>
      </w:r>
      <w:r w:rsidRPr="0031675F">
        <w:rPr>
          <w:spacing w:val="-1"/>
        </w:rPr>
        <w:t>)</w:t>
      </w:r>
      <w:r w:rsidRPr="0031675F">
        <w:rPr>
          <w:spacing w:val="12"/>
        </w:rPr>
        <w:t xml:space="preserve"> </w:t>
      </w:r>
      <w:r w:rsidRPr="0031675F">
        <w:rPr>
          <w:spacing w:val="-1"/>
        </w:rPr>
        <w:t>culture</w:t>
      </w:r>
      <w:r w:rsidRPr="0031675F">
        <w:rPr>
          <w:spacing w:val="12"/>
        </w:rPr>
        <w:t xml:space="preserve"> </w:t>
      </w:r>
      <w:r w:rsidRPr="0031675F">
        <w:rPr>
          <w:spacing w:val="-2"/>
        </w:rPr>
        <w:t>as</w:t>
      </w:r>
      <w:r w:rsidRPr="0031675F">
        <w:rPr>
          <w:spacing w:val="12"/>
        </w:rPr>
        <w:t xml:space="preserve"> </w:t>
      </w:r>
      <w:r w:rsidRPr="0031675F">
        <w:rPr>
          <w:spacing w:val="-1"/>
        </w:rPr>
        <w:t>they</w:t>
      </w:r>
      <w:r w:rsidRPr="0031675F">
        <w:rPr>
          <w:spacing w:val="13"/>
        </w:rPr>
        <w:t xml:space="preserve"> </w:t>
      </w:r>
      <w:r w:rsidRPr="0031675F">
        <w:rPr>
          <w:spacing w:val="-1"/>
        </w:rPr>
        <w:t>contain</w:t>
      </w:r>
      <w:r w:rsidRPr="0031675F">
        <w:rPr>
          <w:spacing w:val="11"/>
        </w:rPr>
        <w:t xml:space="preserve"> </w:t>
      </w:r>
      <w:r w:rsidRPr="0031675F">
        <w:rPr>
          <w:spacing w:val="-1"/>
        </w:rPr>
        <w:t>chlorophyll</w:t>
      </w:r>
      <w:r w:rsidRPr="0031675F">
        <w:rPr>
          <w:spacing w:val="12"/>
        </w:rPr>
        <w:t xml:space="preserve"> </w:t>
      </w:r>
      <w:r w:rsidRPr="004F29DF">
        <w:rPr>
          <w:i/>
        </w:rPr>
        <w:t>b</w:t>
      </w:r>
      <w:r w:rsidRPr="0031675F">
        <w:rPr>
          <w:spacing w:val="11"/>
        </w:rPr>
        <w:t xml:space="preserve"> </w:t>
      </w:r>
      <w:r w:rsidRPr="0031675F">
        <w:rPr>
          <w:spacing w:val="-1"/>
        </w:rPr>
        <w:t>which</w:t>
      </w:r>
      <w:r w:rsidRPr="0031675F">
        <w:rPr>
          <w:spacing w:val="11"/>
        </w:rPr>
        <w:t xml:space="preserve"> </w:t>
      </w:r>
      <w:r w:rsidRPr="0031675F">
        <w:rPr>
          <w:spacing w:val="-1"/>
        </w:rPr>
        <w:t>distorts</w:t>
      </w:r>
      <w:r w:rsidRPr="0031675F">
        <w:rPr>
          <w:spacing w:val="10"/>
        </w:rPr>
        <w:t xml:space="preserve"> </w:t>
      </w:r>
      <w:r w:rsidRPr="0031675F">
        <w:t>the</w:t>
      </w:r>
      <w:r w:rsidRPr="0031675F">
        <w:rPr>
          <w:spacing w:val="12"/>
        </w:rPr>
        <w:t xml:space="preserve"> </w:t>
      </w:r>
      <w:r w:rsidRPr="0031675F">
        <w:rPr>
          <w:spacing w:val="-2"/>
        </w:rPr>
        <w:t>fluorometric</w:t>
      </w:r>
      <w:r w:rsidRPr="0031675F">
        <w:rPr>
          <w:spacing w:val="12"/>
        </w:rPr>
        <w:t xml:space="preserve"> </w:t>
      </w:r>
      <w:r w:rsidRPr="0031675F">
        <w:rPr>
          <w:spacing w:val="-1"/>
        </w:rPr>
        <w:t>analysis</w:t>
      </w:r>
      <w:r w:rsidRPr="0031675F">
        <w:rPr>
          <w:spacing w:val="10"/>
        </w:rPr>
        <w:t xml:space="preserve"> </w:t>
      </w:r>
      <w:r w:rsidRPr="0031675F">
        <w:t>of</w:t>
      </w:r>
      <w:r w:rsidRPr="0031675F">
        <w:rPr>
          <w:spacing w:val="97"/>
        </w:rPr>
        <w:t xml:space="preserve"> </w:t>
      </w:r>
      <w:r w:rsidRPr="0031675F">
        <w:rPr>
          <w:spacing w:val="-1"/>
        </w:rPr>
        <w:t xml:space="preserve">chlorophyll </w:t>
      </w:r>
      <w:r w:rsidRPr="004F29DF">
        <w:rPr>
          <w:i/>
        </w:rPr>
        <w:t>a</w:t>
      </w:r>
      <w:r w:rsidRPr="0031675F">
        <w:t>.</w:t>
      </w:r>
    </w:p>
    <w:p w14:paraId="47D605EE" w14:textId="77777777" w:rsidR="0031675F" w:rsidRPr="0031675F" w:rsidRDefault="0031675F" w:rsidP="0031675F">
      <w:pPr>
        <w:widowControl w:val="0"/>
        <w:numPr>
          <w:ilvl w:val="1"/>
          <w:numId w:val="82"/>
        </w:numPr>
        <w:tabs>
          <w:tab w:val="left" w:pos="827"/>
        </w:tabs>
        <w:spacing w:before="0" w:after="0" w:line="240" w:lineRule="auto"/>
        <w:ind w:right="114" w:hanging="355"/>
        <w:jc w:val="both"/>
        <w:rPr>
          <w:rFonts w:cs="Calibri"/>
        </w:rPr>
      </w:pPr>
      <w:r w:rsidRPr="0031675F">
        <w:rPr>
          <w:spacing w:val="-1"/>
        </w:rPr>
        <w:t>Grind</w:t>
      </w:r>
      <w:r w:rsidRPr="0031675F">
        <w:rPr>
          <w:spacing w:val="6"/>
        </w:rPr>
        <w:t xml:space="preserve"> </w:t>
      </w:r>
      <w:r w:rsidRPr="0031675F">
        <w:t>the</w:t>
      </w:r>
      <w:r w:rsidRPr="0031675F">
        <w:rPr>
          <w:spacing w:val="7"/>
        </w:rPr>
        <w:t xml:space="preserve"> </w:t>
      </w:r>
      <w:r w:rsidRPr="0031675F">
        <w:rPr>
          <w:spacing w:val="-1"/>
        </w:rPr>
        <w:t>filter</w:t>
      </w:r>
      <w:r w:rsidRPr="0031675F">
        <w:rPr>
          <w:spacing w:val="7"/>
        </w:rPr>
        <w:t xml:space="preserve"> </w:t>
      </w:r>
      <w:r w:rsidRPr="0031675F">
        <w:t>in</w:t>
      </w:r>
      <w:r w:rsidRPr="0031675F">
        <w:rPr>
          <w:spacing w:val="4"/>
        </w:rPr>
        <w:t xml:space="preserve"> </w:t>
      </w:r>
      <w:r w:rsidRPr="0031675F">
        <w:rPr>
          <w:spacing w:val="-1"/>
        </w:rPr>
        <w:t>90%</w:t>
      </w:r>
      <w:r w:rsidRPr="0031675F">
        <w:rPr>
          <w:spacing w:val="8"/>
        </w:rPr>
        <w:t xml:space="preserve"> </w:t>
      </w:r>
      <w:r w:rsidRPr="0031675F">
        <w:rPr>
          <w:spacing w:val="-1"/>
        </w:rPr>
        <w:t>acetone</w:t>
      </w:r>
      <w:r w:rsidRPr="0031675F">
        <w:rPr>
          <w:spacing w:val="8"/>
        </w:rPr>
        <w:t xml:space="preserve"> </w:t>
      </w:r>
      <w:r w:rsidRPr="0031675F">
        <w:t>in</w:t>
      </w:r>
      <w:r w:rsidRPr="0031675F">
        <w:rPr>
          <w:spacing w:val="6"/>
        </w:rPr>
        <w:t xml:space="preserve"> </w:t>
      </w:r>
      <w:r w:rsidRPr="0031675F">
        <w:t>a</w:t>
      </w:r>
      <w:r w:rsidRPr="0031675F">
        <w:rPr>
          <w:spacing w:val="7"/>
        </w:rPr>
        <w:t xml:space="preserve"> </w:t>
      </w:r>
      <w:r w:rsidRPr="0031675F">
        <w:rPr>
          <w:spacing w:val="-1"/>
        </w:rPr>
        <w:t>tissue</w:t>
      </w:r>
      <w:r w:rsidRPr="0031675F">
        <w:rPr>
          <w:spacing w:val="7"/>
        </w:rPr>
        <w:t xml:space="preserve"> </w:t>
      </w:r>
      <w:r w:rsidRPr="0031675F">
        <w:rPr>
          <w:spacing w:val="-1"/>
        </w:rPr>
        <w:t>grinding</w:t>
      </w:r>
      <w:r w:rsidRPr="0031675F">
        <w:rPr>
          <w:spacing w:val="6"/>
        </w:rPr>
        <w:t xml:space="preserve"> </w:t>
      </w:r>
      <w:r w:rsidRPr="0031675F">
        <w:rPr>
          <w:spacing w:val="-1"/>
        </w:rPr>
        <w:t>tube.</w:t>
      </w:r>
      <w:r w:rsidRPr="0031675F">
        <w:t xml:space="preserve"> </w:t>
      </w:r>
      <w:r w:rsidRPr="0031675F">
        <w:rPr>
          <w:spacing w:val="15"/>
        </w:rPr>
        <w:t xml:space="preserve"> </w:t>
      </w:r>
      <w:r w:rsidRPr="0031675F">
        <w:t>If</w:t>
      </w:r>
      <w:r w:rsidRPr="0031675F">
        <w:rPr>
          <w:spacing w:val="6"/>
        </w:rPr>
        <w:t xml:space="preserve"> </w:t>
      </w:r>
      <w:r w:rsidRPr="0031675F">
        <w:rPr>
          <w:spacing w:val="-1"/>
        </w:rPr>
        <w:t>you</w:t>
      </w:r>
      <w:r w:rsidRPr="0031675F">
        <w:rPr>
          <w:spacing w:val="6"/>
        </w:rPr>
        <w:t xml:space="preserve"> </w:t>
      </w:r>
      <w:r w:rsidRPr="0031675F">
        <w:rPr>
          <w:spacing w:val="-1"/>
        </w:rPr>
        <w:t>have</w:t>
      </w:r>
      <w:r w:rsidRPr="0031675F">
        <w:rPr>
          <w:spacing w:val="5"/>
        </w:rPr>
        <w:t xml:space="preserve"> </w:t>
      </w:r>
      <w:r w:rsidRPr="0031675F">
        <w:rPr>
          <w:spacing w:val="-1"/>
        </w:rPr>
        <w:t>filtered</w:t>
      </w:r>
      <w:r w:rsidRPr="0031675F">
        <w:rPr>
          <w:spacing w:val="7"/>
        </w:rPr>
        <w:t xml:space="preserve"> </w:t>
      </w:r>
      <w:r w:rsidRPr="0031675F">
        <w:rPr>
          <w:spacing w:val="-1"/>
        </w:rPr>
        <w:t>enough</w:t>
      </w:r>
      <w:r w:rsidRPr="0031675F">
        <w:rPr>
          <w:spacing w:val="6"/>
        </w:rPr>
        <w:t xml:space="preserve"> </w:t>
      </w:r>
      <w:r w:rsidRPr="0031675F">
        <w:rPr>
          <w:spacing w:val="-1"/>
        </w:rPr>
        <w:t>culture,</w:t>
      </w:r>
      <w:r w:rsidRPr="0031675F">
        <w:rPr>
          <w:spacing w:val="57"/>
        </w:rPr>
        <w:t xml:space="preserve"> </w:t>
      </w:r>
      <w:r w:rsidRPr="0031675F">
        <w:t>a</w:t>
      </w:r>
      <w:r w:rsidRPr="0031675F">
        <w:rPr>
          <w:spacing w:val="17"/>
        </w:rPr>
        <w:t xml:space="preserve"> </w:t>
      </w:r>
      <w:r w:rsidRPr="0031675F">
        <w:rPr>
          <w:spacing w:val="-1"/>
        </w:rPr>
        <w:t>light</w:t>
      </w:r>
      <w:r w:rsidRPr="0031675F">
        <w:rPr>
          <w:spacing w:val="17"/>
        </w:rPr>
        <w:t xml:space="preserve"> </w:t>
      </w:r>
      <w:r w:rsidRPr="0031675F">
        <w:rPr>
          <w:spacing w:val="-1"/>
        </w:rPr>
        <w:t>green</w:t>
      </w:r>
      <w:r w:rsidRPr="0031675F">
        <w:rPr>
          <w:spacing w:val="16"/>
        </w:rPr>
        <w:t xml:space="preserve"> </w:t>
      </w:r>
      <w:r w:rsidRPr="0031675F">
        <w:rPr>
          <w:spacing w:val="-1"/>
        </w:rPr>
        <w:t>solution</w:t>
      </w:r>
      <w:r w:rsidRPr="0031675F">
        <w:rPr>
          <w:spacing w:val="14"/>
        </w:rPr>
        <w:t xml:space="preserve"> </w:t>
      </w:r>
      <w:r w:rsidRPr="0031675F">
        <w:t>will</w:t>
      </w:r>
      <w:r w:rsidRPr="0031675F">
        <w:rPr>
          <w:spacing w:val="14"/>
        </w:rPr>
        <w:t xml:space="preserve"> </w:t>
      </w:r>
      <w:r w:rsidRPr="0031675F">
        <w:rPr>
          <w:spacing w:val="-1"/>
        </w:rPr>
        <w:t>be</w:t>
      </w:r>
      <w:r w:rsidRPr="0031675F">
        <w:rPr>
          <w:spacing w:val="17"/>
        </w:rPr>
        <w:t xml:space="preserve"> </w:t>
      </w:r>
      <w:r w:rsidRPr="0031675F">
        <w:rPr>
          <w:spacing w:val="-1"/>
        </w:rPr>
        <w:t>obtained.</w:t>
      </w:r>
      <w:r w:rsidRPr="0031675F">
        <w:rPr>
          <w:spacing w:val="30"/>
        </w:rPr>
        <w:t xml:space="preserve"> </w:t>
      </w:r>
      <w:r w:rsidRPr="0031675F">
        <w:rPr>
          <w:spacing w:val="-1"/>
        </w:rPr>
        <w:t>Do</w:t>
      </w:r>
      <w:r w:rsidRPr="0031675F">
        <w:rPr>
          <w:spacing w:val="18"/>
        </w:rPr>
        <w:t xml:space="preserve"> </w:t>
      </w:r>
      <w:r w:rsidRPr="0031675F">
        <w:rPr>
          <w:spacing w:val="-1"/>
        </w:rPr>
        <w:t>the</w:t>
      </w:r>
      <w:r w:rsidRPr="0031675F">
        <w:rPr>
          <w:spacing w:val="17"/>
        </w:rPr>
        <w:t xml:space="preserve"> </w:t>
      </w:r>
      <w:r w:rsidRPr="0031675F">
        <w:rPr>
          <w:spacing w:val="-1"/>
        </w:rPr>
        <w:t>grinding</w:t>
      </w:r>
      <w:r w:rsidRPr="0031675F">
        <w:rPr>
          <w:spacing w:val="16"/>
        </w:rPr>
        <w:t xml:space="preserve"> </w:t>
      </w:r>
      <w:r w:rsidRPr="0031675F">
        <w:rPr>
          <w:spacing w:val="-1"/>
        </w:rPr>
        <w:t>and</w:t>
      </w:r>
      <w:r w:rsidRPr="0031675F">
        <w:rPr>
          <w:spacing w:val="16"/>
        </w:rPr>
        <w:t xml:space="preserve"> </w:t>
      </w:r>
      <w:r w:rsidRPr="0031675F">
        <w:rPr>
          <w:spacing w:val="-1"/>
        </w:rPr>
        <w:t>extraction</w:t>
      </w:r>
      <w:r w:rsidRPr="0031675F">
        <w:rPr>
          <w:spacing w:val="16"/>
        </w:rPr>
        <w:t xml:space="preserve"> </w:t>
      </w:r>
      <w:r w:rsidRPr="0031675F">
        <w:t>of</w:t>
      </w:r>
      <w:r w:rsidRPr="0031675F">
        <w:rPr>
          <w:spacing w:val="14"/>
        </w:rPr>
        <w:t xml:space="preserve"> </w:t>
      </w:r>
      <w:r w:rsidRPr="0031675F">
        <w:t>the</w:t>
      </w:r>
      <w:r w:rsidRPr="0031675F">
        <w:rPr>
          <w:spacing w:val="14"/>
        </w:rPr>
        <w:t xml:space="preserve"> </w:t>
      </w:r>
      <w:r w:rsidRPr="0031675F">
        <w:rPr>
          <w:spacing w:val="-1"/>
        </w:rPr>
        <w:t>culture</w:t>
      </w:r>
      <w:r w:rsidRPr="0031675F">
        <w:rPr>
          <w:spacing w:val="17"/>
        </w:rPr>
        <w:t xml:space="preserve"> </w:t>
      </w:r>
      <w:r w:rsidRPr="0031675F">
        <w:t>in</w:t>
      </w:r>
      <w:r w:rsidRPr="0031675F">
        <w:rPr>
          <w:spacing w:val="16"/>
        </w:rPr>
        <w:t xml:space="preserve"> </w:t>
      </w:r>
      <w:r w:rsidRPr="0031675F">
        <w:rPr>
          <w:spacing w:val="-1"/>
        </w:rPr>
        <w:t>the</w:t>
      </w:r>
      <w:r w:rsidRPr="0031675F">
        <w:rPr>
          <w:spacing w:val="57"/>
        </w:rPr>
        <w:t xml:space="preserve"> </w:t>
      </w:r>
      <w:r w:rsidRPr="0031675F">
        <w:rPr>
          <w:spacing w:val="-1"/>
        </w:rPr>
        <w:t>dark</w:t>
      </w:r>
      <w:r w:rsidRPr="0031675F">
        <w:rPr>
          <w:spacing w:val="5"/>
        </w:rPr>
        <w:t xml:space="preserve"> </w:t>
      </w:r>
      <w:r w:rsidRPr="0031675F">
        <w:t>to</w:t>
      </w:r>
      <w:r w:rsidRPr="0031675F">
        <w:rPr>
          <w:spacing w:val="6"/>
        </w:rPr>
        <w:t xml:space="preserve"> </w:t>
      </w:r>
      <w:r w:rsidRPr="0031675F">
        <w:rPr>
          <w:spacing w:val="-1"/>
        </w:rPr>
        <w:t>prevent</w:t>
      </w:r>
      <w:r w:rsidRPr="0031675F">
        <w:rPr>
          <w:spacing w:val="5"/>
        </w:rPr>
        <w:t xml:space="preserve"> </w:t>
      </w:r>
      <w:r w:rsidRPr="0031675F">
        <w:rPr>
          <w:spacing w:val="-1"/>
        </w:rPr>
        <w:t>photo-degradation</w:t>
      </w:r>
      <w:r w:rsidRPr="0031675F">
        <w:rPr>
          <w:spacing w:val="4"/>
        </w:rPr>
        <w:t xml:space="preserve"> </w:t>
      </w:r>
      <w:r w:rsidRPr="0031675F">
        <w:t>of</w:t>
      </w:r>
      <w:r w:rsidRPr="0031675F">
        <w:rPr>
          <w:spacing w:val="5"/>
        </w:rPr>
        <w:t xml:space="preserve"> </w:t>
      </w:r>
      <w:r w:rsidRPr="0031675F">
        <w:t>the</w:t>
      </w:r>
      <w:r w:rsidRPr="0031675F">
        <w:rPr>
          <w:spacing w:val="5"/>
        </w:rPr>
        <w:t xml:space="preserve"> </w:t>
      </w:r>
      <w:r w:rsidRPr="0031675F">
        <w:rPr>
          <w:spacing w:val="-1"/>
        </w:rPr>
        <w:t>pigments.</w:t>
      </w:r>
      <w:r w:rsidRPr="0031675F">
        <w:rPr>
          <w:spacing w:val="12"/>
        </w:rPr>
        <w:t xml:space="preserve"> </w:t>
      </w:r>
      <w:r w:rsidRPr="0031675F">
        <w:t>Keep</w:t>
      </w:r>
      <w:r w:rsidRPr="0031675F">
        <w:rPr>
          <w:spacing w:val="4"/>
        </w:rPr>
        <w:t xml:space="preserve"> </w:t>
      </w:r>
      <w:r w:rsidRPr="0031675F">
        <w:t>all</w:t>
      </w:r>
      <w:r w:rsidRPr="0031675F">
        <w:rPr>
          <w:spacing w:val="4"/>
        </w:rPr>
        <w:t xml:space="preserve"> </w:t>
      </w:r>
      <w:r w:rsidRPr="0031675F">
        <w:rPr>
          <w:spacing w:val="-1"/>
        </w:rPr>
        <w:t>extracts</w:t>
      </w:r>
      <w:r w:rsidRPr="0031675F">
        <w:rPr>
          <w:spacing w:val="5"/>
        </w:rPr>
        <w:t xml:space="preserve"> </w:t>
      </w:r>
      <w:r w:rsidRPr="0031675F">
        <w:t>in</w:t>
      </w:r>
      <w:r w:rsidRPr="0031675F">
        <w:rPr>
          <w:spacing w:val="4"/>
        </w:rPr>
        <w:t xml:space="preserve"> </w:t>
      </w:r>
      <w:r w:rsidRPr="0031675F">
        <w:t>the</w:t>
      </w:r>
      <w:r w:rsidRPr="0031675F">
        <w:rPr>
          <w:spacing w:val="5"/>
        </w:rPr>
        <w:t xml:space="preserve"> </w:t>
      </w:r>
      <w:r w:rsidRPr="0031675F">
        <w:rPr>
          <w:spacing w:val="-1"/>
        </w:rPr>
        <w:t>dark</w:t>
      </w:r>
      <w:r w:rsidRPr="0031675F">
        <w:rPr>
          <w:spacing w:val="5"/>
        </w:rPr>
        <w:t xml:space="preserve"> </w:t>
      </w:r>
      <w:r w:rsidRPr="0031675F">
        <w:t>as</w:t>
      </w:r>
      <w:r w:rsidRPr="0031675F">
        <w:rPr>
          <w:spacing w:val="5"/>
        </w:rPr>
        <w:t xml:space="preserve"> </w:t>
      </w:r>
      <w:r w:rsidRPr="0031675F">
        <w:rPr>
          <w:spacing w:val="-1"/>
        </w:rPr>
        <w:t>much</w:t>
      </w:r>
      <w:r w:rsidRPr="0031675F">
        <w:rPr>
          <w:spacing w:val="4"/>
        </w:rPr>
        <w:t xml:space="preserve"> </w:t>
      </w:r>
      <w:r w:rsidRPr="0031675F">
        <w:t>as</w:t>
      </w:r>
      <w:r w:rsidRPr="0031675F">
        <w:rPr>
          <w:spacing w:val="65"/>
        </w:rPr>
        <w:t xml:space="preserve"> </w:t>
      </w:r>
      <w:r w:rsidRPr="0031675F">
        <w:rPr>
          <w:rFonts w:cs="Calibri"/>
          <w:spacing w:val="-1"/>
        </w:rPr>
        <w:t>possible</w:t>
      </w:r>
      <w:r w:rsidRPr="0031675F">
        <w:rPr>
          <w:rFonts w:cs="Calibri"/>
        </w:rPr>
        <w:t xml:space="preserve"> </w:t>
      </w:r>
      <w:r w:rsidRPr="0031675F">
        <w:rPr>
          <w:rFonts w:cs="Calibri"/>
          <w:spacing w:val="-1"/>
        </w:rPr>
        <w:t>(wrap</w:t>
      </w:r>
      <w:r w:rsidRPr="0031675F">
        <w:rPr>
          <w:rFonts w:cs="Calibri"/>
        </w:rPr>
        <w:t xml:space="preserve"> </w:t>
      </w:r>
      <w:r w:rsidRPr="0031675F">
        <w:rPr>
          <w:rFonts w:cs="Calibri"/>
          <w:spacing w:val="-1"/>
        </w:rPr>
        <w:t>flasks</w:t>
      </w:r>
      <w:r w:rsidRPr="0031675F">
        <w:rPr>
          <w:rFonts w:cs="Calibri"/>
        </w:rPr>
        <w:t xml:space="preserve"> in</w:t>
      </w:r>
      <w:r w:rsidRPr="0031675F">
        <w:rPr>
          <w:rFonts w:cs="Calibri"/>
          <w:spacing w:val="-1"/>
        </w:rPr>
        <w:t xml:space="preserve"> foil,</w:t>
      </w:r>
      <w:r w:rsidRPr="0031675F">
        <w:rPr>
          <w:rFonts w:cs="Calibri"/>
          <w:spacing w:val="-3"/>
        </w:rPr>
        <w:t xml:space="preserve"> </w:t>
      </w:r>
      <w:r w:rsidRPr="0031675F">
        <w:rPr>
          <w:rFonts w:cs="Calibri"/>
          <w:spacing w:val="-1"/>
        </w:rPr>
        <w:t>etc…).</w:t>
      </w:r>
    </w:p>
    <w:p w14:paraId="78AE4902" w14:textId="77777777" w:rsidR="0031675F" w:rsidRPr="0031675F" w:rsidRDefault="0031675F" w:rsidP="0031675F">
      <w:pPr>
        <w:widowControl w:val="0"/>
        <w:numPr>
          <w:ilvl w:val="1"/>
          <w:numId w:val="82"/>
        </w:numPr>
        <w:tabs>
          <w:tab w:val="left" w:pos="827"/>
        </w:tabs>
        <w:spacing w:before="0" w:after="0" w:line="240" w:lineRule="auto"/>
        <w:ind w:hanging="355"/>
      </w:pPr>
      <w:r w:rsidRPr="0031675F">
        <w:rPr>
          <w:spacing w:val="-1"/>
        </w:rPr>
        <w:t>Clear</w:t>
      </w:r>
      <w:r w:rsidRPr="0031675F">
        <w:t xml:space="preserve"> the</w:t>
      </w:r>
      <w:r w:rsidRPr="0031675F">
        <w:rPr>
          <w:spacing w:val="-3"/>
        </w:rPr>
        <w:t xml:space="preserve"> </w:t>
      </w:r>
      <w:r w:rsidRPr="0031675F">
        <w:rPr>
          <w:spacing w:val="-1"/>
        </w:rPr>
        <w:t>extract</w:t>
      </w:r>
      <w:r w:rsidRPr="0031675F">
        <w:rPr>
          <w:spacing w:val="-2"/>
        </w:rPr>
        <w:t xml:space="preserve"> </w:t>
      </w:r>
      <w:r w:rsidRPr="0031675F">
        <w:rPr>
          <w:spacing w:val="-1"/>
        </w:rPr>
        <w:t>by</w:t>
      </w:r>
      <w:r w:rsidRPr="0031675F">
        <w:rPr>
          <w:spacing w:val="1"/>
        </w:rPr>
        <w:t xml:space="preserve"> </w:t>
      </w:r>
      <w:r w:rsidRPr="0031675F">
        <w:rPr>
          <w:spacing w:val="-1"/>
        </w:rPr>
        <w:t>centrifugation.</w:t>
      </w:r>
    </w:p>
    <w:p w14:paraId="5133D1DA" w14:textId="77777777" w:rsidR="0031675F" w:rsidRPr="0031675F" w:rsidRDefault="0031675F" w:rsidP="0031675F">
      <w:pPr>
        <w:widowControl w:val="0"/>
        <w:numPr>
          <w:ilvl w:val="1"/>
          <w:numId w:val="82"/>
        </w:numPr>
        <w:tabs>
          <w:tab w:val="left" w:pos="827"/>
        </w:tabs>
        <w:spacing w:before="0" w:after="0" w:line="240" w:lineRule="auto"/>
        <w:ind w:right="116" w:hanging="355"/>
        <w:jc w:val="both"/>
      </w:pPr>
      <w:r w:rsidRPr="0031675F">
        <w:t>Read</w:t>
      </w:r>
      <w:r w:rsidRPr="0031675F">
        <w:rPr>
          <w:spacing w:val="28"/>
        </w:rPr>
        <w:t xml:space="preserve"> </w:t>
      </w:r>
      <w:r w:rsidRPr="0031675F">
        <w:rPr>
          <w:spacing w:val="-1"/>
        </w:rPr>
        <w:t>extinctions</w:t>
      </w:r>
      <w:r w:rsidRPr="0031675F">
        <w:rPr>
          <w:spacing w:val="27"/>
        </w:rPr>
        <w:t xml:space="preserve"> </w:t>
      </w:r>
      <w:r w:rsidRPr="0031675F">
        <w:t>of</w:t>
      </w:r>
      <w:r w:rsidRPr="0031675F">
        <w:rPr>
          <w:spacing w:val="29"/>
        </w:rPr>
        <w:t xml:space="preserve"> </w:t>
      </w:r>
      <w:r w:rsidRPr="0031675F">
        <w:t>the</w:t>
      </w:r>
      <w:r w:rsidRPr="0031675F">
        <w:rPr>
          <w:spacing w:val="28"/>
        </w:rPr>
        <w:t xml:space="preserve"> </w:t>
      </w:r>
      <w:r w:rsidRPr="0031675F">
        <w:rPr>
          <w:spacing w:val="-1"/>
        </w:rPr>
        <w:t>extract</w:t>
      </w:r>
      <w:r w:rsidRPr="0031675F">
        <w:rPr>
          <w:spacing w:val="30"/>
        </w:rPr>
        <w:t xml:space="preserve"> </w:t>
      </w:r>
      <w:r w:rsidRPr="0031675F">
        <w:t>on</w:t>
      </w:r>
      <w:r w:rsidRPr="0031675F">
        <w:rPr>
          <w:spacing w:val="28"/>
        </w:rPr>
        <w:t xml:space="preserve"> </w:t>
      </w:r>
      <w:r w:rsidRPr="0031675F">
        <w:t>a</w:t>
      </w:r>
      <w:r w:rsidRPr="0031675F">
        <w:rPr>
          <w:spacing w:val="29"/>
        </w:rPr>
        <w:t xml:space="preserve"> </w:t>
      </w:r>
      <w:r w:rsidRPr="0031675F">
        <w:rPr>
          <w:spacing w:val="-1"/>
        </w:rPr>
        <w:t>UV/VIS</w:t>
      </w:r>
      <w:r w:rsidRPr="0031675F">
        <w:rPr>
          <w:spacing w:val="27"/>
        </w:rPr>
        <w:t xml:space="preserve"> </w:t>
      </w:r>
      <w:r w:rsidRPr="0031675F">
        <w:rPr>
          <w:spacing w:val="-1"/>
        </w:rPr>
        <w:t>spectrometer</w:t>
      </w:r>
      <w:r w:rsidRPr="0031675F">
        <w:rPr>
          <w:spacing w:val="29"/>
        </w:rPr>
        <w:t xml:space="preserve"> </w:t>
      </w:r>
      <w:r w:rsidRPr="0031675F">
        <w:rPr>
          <w:spacing w:val="-1"/>
        </w:rPr>
        <w:t>(using</w:t>
      </w:r>
      <w:r w:rsidRPr="0031675F">
        <w:rPr>
          <w:spacing w:val="28"/>
        </w:rPr>
        <w:t xml:space="preserve"> </w:t>
      </w:r>
      <w:r w:rsidRPr="0031675F">
        <w:t>a</w:t>
      </w:r>
      <w:r w:rsidRPr="0031675F">
        <w:rPr>
          <w:spacing w:val="28"/>
        </w:rPr>
        <w:t xml:space="preserve"> </w:t>
      </w:r>
      <w:r w:rsidRPr="0031675F">
        <w:rPr>
          <w:spacing w:val="-1"/>
        </w:rPr>
        <w:t>1cm</w:t>
      </w:r>
      <w:r w:rsidRPr="0031675F">
        <w:rPr>
          <w:spacing w:val="30"/>
        </w:rPr>
        <w:t xml:space="preserve"> </w:t>
      </w:r>
      <w:r w:rsidRPr="0031675F">
        <w:rPr>
          <w:spacing w:val="-1"/>
        </w:rPr>
        <w:t>quartz</w:t>
      </w:r>
      <w:r w:rsidRPr="0031675F">
        <w:rPr>
          <w:spacing w:val="28"/>
        </w:rPr>
        <w:t xml:space="preserve"> </w:t>
      </w:r>
      <w:r w:rsidRPr="0031675F">
        <w:t>cell)</w:t>
      </w:r>
      <w:r w:rsidRPr="0031675F">
        <w:rPr>
          <w:spacing w:val="29"/>
        </w:rPr>
        <w:t xml:space="preserve"> </w:t>
      </w:r>
      <w:r w:rsidRPr="0031675F">
        <w:t>at</w:t>
      </w:r>
      <w:r w:rsidRPr="0031675F">
        <w:rPr>
          <w:spacing w:val="28"/>
        </w:rPr>
        <w:t xml:space="preserve"> </w:t>
      </w:r>
      <w:r w:rsidRPr="0031675F">
        <w:t>the</w:t>
      </w:r>
      <w:r w:rsidRPr="0031675F">
        <w:rPr>
          <w:spacing w:val="27"/>
        </w:rPr>
        <w:t xml:space="preserve"> </w:t>
      </w:r>
      <w:r w:rsidRPr="0031675F">
        <w:rPr>
          <w:spacing w:val="-1"/>
        </w:rPr>
        <w:t>following</w:t>
      </w:r>
      <w:r w:rsidRPr="0031675F">
        <w:rPr>
          <w:spacing w:val="-2"/>
        </w:rPr>
        <w:t xml:space="preserve"> </w:t>
      </w:r>
      <w:r w:rsidRPr="0031675F">
        <w:rPr>
          <w:spacing w:val="-1"/>
        </w:rPr>
        <w:t>wavelengths;</w:t>
      </w:r>
      <w:r w:rsidRPr="0031675F">
        <w:rPr>
          <w:spacing w:val="-2"/>
        </w:rPr>
        <w:t xml:space="preserve"> </w:t>
      </w:r>
      <w:r w:rsidRPr="0031675F">
        <w:rPr>
          <w:spacing w:val="-1"/>
        </w:rPr>
        <w:t>750nm,</w:t>
      </w:r>
      <w:r w:rsidRPr="0031675F">
        <w:rPr>
          <w:spacing w:val="-2"/>
        </w:rPr>
        <w:t xml:space="preserve"> </w:t>
      </w:r>
      <w:r w:rsidRPr="0031675F">
        <w:rPr>
          <w:spacing w:val="-1"/>
        </w:rPr>
        <w:t>664nm,</w:t>
      </w:r>
      <w:r w:rsidRPr="0031675F">
        <w:rPr>
          <w:spacing w:val="-3"/>
        </w:rPr>
        <w:t xml:space="preserve"> </w:t>
      </w:r>
      <w:r w:rsidRPr="0031675F">
        <w:rPr>
          <w:spacing w:val="-2"/>
        </w:rPr>
        <w:t>647nm</w:t>
      </w:r>
      <w:r w:rsidRPr="0031675F">
        <w:rPr>
          <w:spacing w:val="1"/>
        </w:rPr>
        <w:t xml:space="preserve"> </w:t>
      </w:r>
      <w:r w:rsidRPr="0031675F">
        <w:t>and</w:t>
      </w:r>
      <w:r w:rsidRPr="0031675F">
        <w:rPr>
          <w:spacing w:val="-4"/>
        </w:rPr>
        <w:t xml:space="preserve"> </w:t>
      </w:r>
      <w:r w:rsidRPr="0031675F">
        <w:rPr>
          <w:spacing w:val="-1"/>
        </w:rPr>
        <w:t>630nm.</w:t>
      </w:r>
    </w:p>
    <w:p w14:paraId="4C068969" w14:textId="77777777" w:rsidR="0031675F" w:rsidRPr="0031675F" w:rsidRDefault="0031675F" w:rsidP="0031675F">
      <w:pPr>
        <w:spacing w:before="10"/>
        <w:rPr>
          <w:rFonts w:cs="Calibri"/>
          <w:sz w:val="21"/>
          <w:szCs w:val="21"/>
        </w:rPr>
      </w:pPr>
    </w:p>
    <w:p w14:paraId="31D26C98" w14:textId="7861831C" w:rsidR="0031675F" w:rsidRPr="0031675F" w:rsidRDefault="0031675F" w:rsidP="0031675F">
      <w:pPr>
        <w:spacing w:after="120"/>
        <w:jc w:val="both"/>
        <w:rPr>
          <w:rFonts w:cs="Calibri"/>
          <w:sz w:val="20"/>
          <w:szCs w:val="20"/>
        </w:rPr>
      </w:pPr>
      <w:r w:rsidRPr="0031675F">
        <w:rPr>
          <w:spacing w:val="-1"/>
        </w:rPr>
        <w:t>The</w:t>
      </w:r>
      <w:r w:rsidRPr="0031675F">
        <w:t xml:space="preserve"> </w:t>
      </w:r>
      <w:r w:rsidRPr="0031675F">
        <w:rPr>
          <w:spacing w:val="-1"/>
        </w:rPr>
        <w:t>concentration</w:t>
      </w:r>
      <w:r w:rsidRPr="0031675F">
        <w:rPr>
          <w:spacing w:val="-3"/>
        </w:rPr>
        <w:t xml:space="preserve"> </w:t>
      </w:r>
      <w:r w:rsidRPr="0031675F">
        <w:t>of</w:t>
      </w:r>
      <w:r w:rsidRPr="0031675F">
        <w:rPr>
          <w:spacing w:val="-2"/>
        </w:rPr>
        <w:t xml:space="preserve"> </w:t>
      </w:r>
      <w:r w:rsidRPr="0031675F">
        <w:rPr>
          <w:spacing w:val="-1"/>
        </w:rPr>
        <w:t>chlorophyll</w:t>
      </w:r>
      <w:r w:rsidRPr="0031675F">
        <w:rPr>
          <w:spacing w:val="1"/>
        </w:rPr>
        <w:t xml:space="preserve"> </w:t>
      </w:r>
      <w:r w:rsidRPr="0031675F">
        <w:rPr>
          <w:i/>
        </w:rPr>
        <w:t>a</w:t>
      </w:r>
      <w:r w:rsidRPr="0031675F">
        <w:rPr>
          <w:i/>
          <w:spacing w:val="47"/>
        </w:rPr>
        <w:t xml:space="preserve"> </w:t>
      </w:r>
      <w:r w:rsidRPr="0031675F">
        <w:rPr>
          <w:spacing w:val="-1"/>
        </w:rPr>
        <w:t>(C</w:t>
      </w:r>
      <w:r w:rsidRPr="0031675F">
        <w:rPr>
          <w:spacing w:val="-1"/>
          <w:position w:val="-3"/>
        </w:rPr>
        <w:t>a</w:t>
      </w:r>
      <w:r w:rsidRPr="0031675F">
        <w:rPr>
          <w:spacing w:val="-1"/>
        </w:rPr>
        <w:t>)</w:t>
      </w:r>
      <w:r w:rsidRPr="0031675F">
        <w:t xml:space="preserve"> in</w:t>
      </w:r>
      <w:r w:rsidRPr="0031675F">
        <w:rPr>
          <w:spacing w:val="-3"/>
        </w:rPr>
        <w:t xml:space="preserve"> </w:t>
      </w:r>
      <w:r w:rsidRPr="0031675F">
        <w:rPr>
          <w:spacing w:val="-1"/>
        </w:rPr>
        <w:t>µg</w:t>
      </w:r>
      <w:r w:rsidR="00E817CB">
        <w:rPr>
          <w:spacing w:val="-1"/>
        </w:rPr>
        <w:t xml:space="preserve"> L</w:t>
      </w:r>
      <w:r w:rsidR="00E817CB" w:rsidRPr="00E817CB">
        <w:rPr>
          <w:spacing w:val="-1"/>
          <w:vertAlign w:val="superscript"/>
        </w:rPr>
        <w:t>-1</w:t>
      </w:r>
      <w:r w:rsidRPr="0031675F">
        <w:rPr>
          <w:spacing w:val="-3"/>
        </w:rPr>
        <w:t xml:space="preserve"> </w:t>
      </w:r>
      <w:r w:rsidRPr="0031675F">
        <w:t>can</w:t>
      </w:r>
      <w:r w:rsidRPr="0031675F">
        <w:rPr>
          <w:spacing w:val="-1"/>
        </w:rPr>
        <w:t xml:space="preserve"> then</w:t>
      </w:r>
      <w:r w:rsidRPr="0031675F">
        <w:t xml:space="preserve"> </w:t>
      </w:r>
      <w:r w:rsidRPr="0031675F">
        <w:rPr>
          <w:spacing w:val="-1"/>
        </w:rPr>
        <w:t>be</w:t>
      </w:r>
      <w:r w:rsidRPr="0031675F">
        <w:t xml:space="preserve"> </w:t>
      </w:r>
      <w:r w:rsidRPr="0031675F">
        <w:rPr>
          <w:spacing w:val="-1"/>
        </w:rPr>
        <w:t xml:space="preserve">calculated using </w:t>
      </w:r>
      <w:r w:rsidRPr="0031675F">
        <w:rPr>
          <w:spacing w:val="-2"/>
        </w:rPr>
        <w:t>the</w:t>
      </w:r>
      <w:r w:rsidRPr="0031675F">
        <w:t xml:space="preserve"> </w:t>
      </w:r>
      <w:r w:rsidRPr="0031675F">
        <w:rPr>
          <w:spacing w:val="-1"/>
        </w:rPr>
        <w:t>formulae:</w:t>
      </w:r>
    </w:p>
    <w:p w14:paraId="709CC8D3" w14:textId="77777777" w:rsidR="0031675F" w:rsidRPr="0031675F" w:rsidRDefault="0031675F" w:rsidP="0031675F">
      <w:pPr>
        <w:spacing w:before="207" w:after="120"/>
        <w:ind w:left="826"/>
      </w:pPr>
      <w:r w:rsidRPr="0031675F">
        <w:rPr>
          <w:spacing w:val="-1"/>
        </w:rPr>
        <w:t>C</w:t>
      </w:r>
      <w:r w:rsidRPr="0031675F">
        <w:rPr>
          <w:spacing w:val="-1"/>
          <w:position w:val="-3"/>
        </w:rPr>
        <w:t>a</w:t>
      </w:r>
      <w:r w:rsidRPr="0031675F">
        <w:rPr>
          <w:position w:val="-3"/>
        </w:rPr>
        <w:t xml:space="preserve"> </w:t>
      </w:r>
      <w:r w:rsidRPr="0031675F">
        <w:t xml:space="preserve">= </w:t>
      </w:r>
      <w:r w:rsidRPr="0031675F">
        <w:rPr>
          <w:spacing w:val="-1"/>
        </w:rPr>
        <w:t>(11.85E</w:t>
      </w:r>
      <w:r w:rsidRPr="0031675F">
        <w:rPr>
          <w:spacing w:val="-1"/>
          <w:position w:val="-3"/>
        </w:rPr>
        <w:t>664</w:t>
      </w:r>
      <w:r w:rsidRPr="0031675F">
        <w:rPr>
          <w:spacing w:val="1"/>
          <w:position w:val="-3"/>
        </w:rPr>
        <w:t xml:space="preserve"> </w:t>
      </w:r>
      <w:r w:rsidRPr="0031675F">
        <w:t>-</w:t>
      </w:r>
      <w:r w:rsidRPr="0031675F">
        <w:rPr>
          <w:spacing w:val="-2"/>
        </w:rPr>
        <w:t xml:space="preserve"> </w:t>
      </w:r>
      <w:r w:rsidRPr="0031675F">
        <w:rPr>
          <w:spacing w:val="-1"/>
        </w:rPr>
        <w:t>1.54E</w:t>
      </w:r>
      <w:r w:rsidRPr="0031675F">
        <w:rPr>
          <w:spacing w:val="-1"/>
          <w:position w:val="-3"/>
        </w:rPr>
        <w:t xml:space="preserve">647 </w:t>
      </w:r>
      <w:r w:rsidRPr="0031675F">
        <w:t xml:space="preserve">- </w:t>
      </w:r>
      <w:r w:rsidRPr="0031675F">
        <w:rPr>
          <w:spacing w:val="-1"/>
        </w:rPr>
        <w:t>0.08E</w:t>
      </w:r>
      <w:r w:rsidRPr="0031675F">
        <w:rPr>
          <w:spacing w:val="-1"/>
          <w:position w:val="-3"/>
        </w:rPr>
        <w:t>630</w:t>
      </w:r>
      <w:r w:rsidRPr="0031675F">
        <w:rPr>
          <w:spacing w:val="-1"/>
        </w:rPr>
        <w:t>)</w:t>
      </w:r>
      <w:r w:rsidRPr="0031675F">
        <w:rPr>
          <w:spacing w:val="-2"/>
        </w:rPr>
        <w:t xml:space="preserve"> </w:t>
      </w:r>
      <w:r w:rsidRPr="0031675F">
        <w:t xml:space="preserve">x </w:t>
      </w:r>
      <w:r w:rsidRPr="0031675F">
        <w:rPr>
          <w:spacing w:val="-1"/>
        </w:rPr>
        <w:t>1000</w:t>
      </w:r>
    </w:p>
    <w:p w14:paraId="7B1F822B" w14:textId="77777777" w:rsidR="0031675F" w:rsidRPr="0031675F" w:rsidRDefault="0031675F" w:rsidP="0031675F">
      <w:pPr>
        <w:spacing w:after="120"/>
        <w:ind w:right="120"/>
      </w:pPr>
      <w:r w:rsidRPr="0031675F">
        <w:t>where</w:t>
      </w:r>
      <w:r w:rsidRPr="0031675F">
        <w:rPr>
          <w:spacing w:val="48"/>
        </w:rPr>
        <w:t xml:space="preserve"> </w:t>
      </w:r>
      <w:r w:rsidRPr="0031675F">
        <w:t>E</w:t>
      </w:r>
      <w:r w:rsidRPr="0031675F">
        <w:rPr>
          <w:position w:val="-3"/>
        </w:rPr>
        <w:t xml:space="preserve">x  </w:t>
      </w:r>
      <w:r w:rsidRPr="0031675F">
        <w:rPr>
          <w:spacing w:val="48"/>
          <w:position w:val="-3"/>
        </w:rPr>
        <w:t xml:space="preserve"> </w:t>
      </w:r>
      <w:r w:rsidRPr="0031675F">
        <w:t>is</w:t>
      </w:r>
      <w:r w:rsidRPr="0031675F">
        <w:rPr>
          <w:spacing w:val="48"/>
        </w:rPr>
        <w:t xml:space="preserve"> </w:t>
      </w:r>
      <w:r w:rsidRPr="0031675F">
        <w:t>the</w:t>
      </w:r>
      <w:r w:rsidRPr="0031675F">
        <w:rPr>
          <w:spacing w:val="47"/>
        </w:rPr>
        <w:t xml:space="preserve"> </w:t>
      </w:r>
      <w:r w:rsidRPr="0031675F">
        <w:rPr>
          <w:spacing w:val="-1"/>
        </w:rPr>
        <w:t>absorbance</w:t>
      </w:r>
      <w:r w:rsidRPr="0031675F">
        <w:rPr>
          <w:spacing w:val="49"/>
        </w:rPr>
        <w:t xml:space="preserve"> </w:t>
      </w:r>
      <w:r w:rsidRPr="0031675F">
        <w:t>at</w:t>
      </w:r>
      <w:r w:rsidRPr="0031675F">
        <w:rPr>
          <w:spacing w:val="49"/>
        </w:rPr>
        <w:t xml:space="preserve"> </w:t>
      </w:r>
      <w:r w:rsidRPr="0031675F">
        <w:rPr>
          <w:spacing w:val="-1"/>
        </w:rPr>
        <w:t>wavelength</w:t>
      </w:r>
      <w:r w:rsidRPr="0031675F">
        <w:rPr>
          <w:spacing w:val="48"/>
        </w:rPr>
        <w:t xml:space="preserve"> </w:t>
      </w:r>
      <w:r w:rsidRPr="0031675F">
        <w:t>X</w:t>
      </w:r>
      <w:r w:rsidRPr="0031675F">
        <w:rPr>
          <w:spacing w:val="48"/>
        </w:rPr>
        <w:t xml:space="preserve"> </w:t>
      </w:r>
      <w:r w:rsidRPr="0031675F">
        <w:rPr>
          <w:spacing w:val="-1"/>
        </w:rPr>
        <w:t>nm</w:t>
      </w:r>
      <w:r w:rsidRPr="0031675F">
        <w:rPr>
          <w:spacing w:val="49"/>
        </w:rPr>
        <w:t xml:space="preserve"> </w:t>
      </w:r>
      <w:r w:rsidRPr="0031675F">
        <w:rPr>
          <w:spacing w:val="-1"/>
        </w:rPr>
        <w:t>minus</w:t>
      </w:r>
      <w:r w:rsidRPr="0031675F">
        <w:rPr>
          <w:spacing w:val="48"/>
        </w:rPr>
        <w:t xml:space="preserve"> </w:t>
      </w:r>
      <w:r w:rsidRPr="0031675F">
        <w:t>the</w:t>
      </w:r>
      <w:r w:rsidRPr="0031675F">
        <w:rPr>
          <w:spacing w:val="47"/>
        </w:rPr>
        <w:t xml:space="preserve"> </w:t>
      </w:r>
      <w:r w:rsidRPr="0031675F">
        <w:rPr>
          <w:spacing w:val="-1"/>
        </w:rPr>
        <w:t>absorbance</w:t>
      </w:r>
      <w:r w:rsidRPr="0031675F">
        <w:rPr>
          <w:spacing w:val="49"/>
        </w:rPr>
        <w:t xml:space="preserve"> </w:t>
      </w:r>
      <w:r w:rsidRPr="0031675F">
        <w:t>at</w:t>
      </w:r>
      <w:r w:rsidRPr="0031675F">
        <w:rPr>
          <w:spacing w:val="46"/>
        </w:rPr>
        <w:t xml:space="preserve"> </w:t>
      </w:r>
      <w:r w:rsidRPr="0031675F">
        <w:rPr>
          <w:spacing w:val="-1"/>
        </w:rPr>
        <w:t>wavelength</w:t>
      </w:r>
      <w:r w:rsidRPr="0031675F">
        <w:rPr>
          <w:spacing w:val="59"/>
        </w:rPr>
        <w:t xml:space="preserve"> </w:t>
      </w:r>
      <w:r w:rsidRPr="0031675F">
        <w:rPr>
          <w:spacing w:val="-1"/>
        </w:rPr>
        <w:t>750nm.</w:t>
      </w:r>
    </w:p>
    <w:p w14:paraId="02D1AE26" w14:textId="77777777" w:rsidR="0031675F" w:rsidRPr="0031675F" w:rsidRDefault="0031675F" w:rsidP="0031675F">
      <w:pPr>
        <w:rPr>
          <w:rFonts w:cs="Calibri"/>
        </w:rPr>
      </w:pPr>
    </w:p>
    <w:p w14:paraId="4112AB77" w14:textId="77777777" w:rsidR="0031675F" w:rsidRPr="00E2020D" w:rsidRDefault="0031675F" w:rsidP="0031675F">
      <w:pPr>
        <w:ind w:left="118"/>
        <w:jc w:val="both"/>
        <w:rPr>
          <w:rFonts w:cs="Arial"/>
        </w:rPr>
      </w:pPr>
      <w:r w:rsidRPr="00E2020D">
        <w:rPr>
          <w:rFonts w:cs="Arial"/>
          <w:i/>
          <w:spacing w:val="-1"/>
        </w:rPr>
        <w:t>Calibration Curve:</w:t>
      </w:r>
    </w:p>
    <w:p w14:paraId="0448CEE6" w14:textId="4F6C503C" w:rsidR="0031675F" w:rsidRPr="00E2020D" w:rsidRDefault="0031675F" w:rsidP="0031675F">
      <w:pPr>
        <w:spacing w:before="135" w:after="120" w:line="239" w:lineRule="auto"/>
        <w:ind w:right="114"/>
        <w:jc w:val="both"/>
        <w:rPr>
          <w:rFonts w:cs="Arial"/>
        </w:rPr>
      </w:pPr>
      <w:r w:rsidRPr="00E2020D">
        <w:rPr>
          <w:rFonts w:cs="Arial"/>
          <w:spacing w:val="-1"/>
        </w:rPr>
        <w:t>Using</w:t>
      </w:r>
      <w:r w:rsidRPr="00E2020D">
        <w:rPr>
          <w:rFonts w:cs="Arial"/>
          <w:spacing w:val="2"/>
        </w:rPr>
        <w:t xml:space="preserve"> </w:t>
      </w:r>
      <w:r w:rsidRPr="00E2020D">
        <w:rPr>
          <w:rFonts w:cs="Arial"/>
          <w:spacing w:val="-1"/>
        </w:rPr>
        <w:t>this</w:t>
      </w:r>
      <w:r w:rsidRPr="00E2020D">
        <w:rPr>
          <w:rFonts w:cs="Arial"/>
          <w:spacing w:val="2"/>
        </w:rPr>
        <w:t xml:space="preserve"> </w:t>
      </w:r>
      <w:r w:rsidRPr="00E2020D">
        <w:rPr>
          <w:rFonts w:cs="Arial"/>
          <w:spacing w:val="-1"/>
        </w:rPr>
        <w:t>solution</w:t>
      </w:r>
      <w:r w:rsidRPr="00E2020D">
        <w:rPr>
          <w:rFonts w:cs="Arial"/>
          <w:spacing w:val="2"/>
        </w:rPr>
        <w:t xml:space="preserve"> </w:t>
      </w:r>
      <w:r w:rsidRPr="00E2020D">
        <w:rPr>
          <w:rFonts w:cs="Arial"/>
        </w:rPr>
        <w:t>as</w:t>
      </w:r>
      <w:r w:rsidRPr="00E2020D">
        <w:rPr>
          <w:rFonts w:cs="Arial"/>
          <w:spacing w:val="2"/>
        </w:rPr>
        <w:t xml:space="preserve"> </w:t>
      </w:r>
      <w:r w:rsidRPr="00E2020D">
        <w:rPr>
          <w:rFonts w:cs="Arial"/>
        </w:rPr>
        <w:t>a</w:t>
      </w:r>
      <w:r w:rsidRPr="00E2020D">
        <w:rPr>
          <w:rFonts w:cs="Arial"/>
          <w:spacing w:val="2"/>
        </w:rPr>
        <w:t xml:space="preserve"> </w:t>
      </w:r>
      <w:r w:rsidRPr="00E2020D">
        <w:rPr>
          <w:rFonts w:cs="Arial"/>
          <w:spacing w:val="-1"/>
        </w:rPr>
        <w:t>primary</w:t>
      </w:r>
      <w:r w:rsidRPr="00E2020D">
        <w:rPr>
          <w:rFonts w:cs="Arial"/>
          <w:spacing w:val="3"/>
        </w:rPr>
        <w:t xml:space="preserve"> </w:t>
      </w:r>
      <w:r w:rsidRPr="00E2020D">
        <w:rPr>
          <w:rFonts w:cs="Arial"/>
          <w:spacing w:val="-1"/>
        </w:rPr>
        <w:t>standard</w:t>
      </w:r>
      <w:r w:rsidRPr="00E2020D">
        <w:rPr>
          <w:rFonts w:cs="Arial"/>
          <w:spacing w:val="1"/>
        </w:rPr>
        <w:t xml:space="preserve"> </w:t>
      </w:r>
      <w:r w:rsidRPr="00E2020D">
        <w:rPr>
          <w:rFonts w:cs="Arial"/>
          <w:spacing w:val="-1"/>
        </w:rPr>
        <w:t>solution</w:t>
      </w:r>
      <w:r w:rsidRPr="00E2020D">
        <w:rPr>
          <w:rFonts w:cs="Arial"/>
          <w:spacing w:val="2"/>
        </w:rPr>
        <w:t xml:space="preserve"> </w:t>
      </w:r>
      <w:r w:rsidRPr="00E2020D">
        <w:rPr>
          <w:rFonts w:cs="Arial"/>
          <w:spacing w:val="-2"/>
        </w:rPr>
        <w:t>make</w:t>
      </w:r>
      <w:r w:rsidRPr="00E2020D">
        <w:rPr>
          <w:rFonts w:cs="Arial"/>
          <w:spacing w:val="3"/>
        </w:rPr>
        <w:t xml:space="preserve"> </w:t>
      </w:r>
      <w:r w:rsidRPr="00E2020D">
        <w:rPr>
          <w:rFonts w:cs="Arial"/>
          <w:spacing w:val="-1"/>
        </w:rPr>
        <w:t>up</w:t>
      </w:r>
      <w:r w:rsidRPr="00E2020D">
        <w:rPr>
          <w:rFonts w:cs="Arial"/>
          <w:spacing w:val="2"/>
        </w:rPr>
        <w:t xml:space="preserve"> </w:t>
      </w:r>
      <w:r w:rsidRPr="00E2020D">
        <w:rPr>
          <w:rFonts w:cs="Arial"/>
        </w:rPr>
        <w:t>a</w:t>
      </w:r>
      <w:r w:rsidRPr="00E2020D">
        <w:rPr>
          <w:rFonts w:cs="Arial"/>
          <w:spacing w:val="2"/>
        </w:rPr>
        <w:t xml:space="preserve"> </w:t>
      </w:r>
      <w:r w:rsidRPr="00E2020D">
        <w:rPr>
          <w:rFonts w:cs="Arial"/>
          <w:spacing w:val="-1"/>
        </w:rPr>
        <w:t>diluted</w:t>
      </w:r>
      <w:r w:rsidRPr="00E2020D">
        <w:rPr>
          <w:rFonts w:cs="Arial"/>
          <w:spacing w:val="2"/>
        </w:rPr>
        <w:t xml:space="preserve"> </w:t>
      </w:r>
      <w:r w:rsidRPr="00E2020D">
        <w:rPr>
          <w:rFonts w:cs="Arial"/>
          <w:spacing w:val="-1"/>
        </w:rPr>
        <w:t>pigment</w:t>
      </w:r>
      <w:r w:rsidRPr="00E2020D">
        <w:rPr>
          <w:rFonts w:cs="Arial"/>
          <w:spacing w:val="2"/>
        </w:rPr>
        <w:t xml:space="preserve"> </w:t>
      </w:r>
      <w:r w:rsidRPr="00E2020D">
        <w:rPr>
          <w:rFonts w:cs="Arial"/>
          <w:spacing w:val="-1"/>
        </w:rPr>
        <w:t>solution</w:t>
      </w:r>
      <w:r w:rsidRPr="00E2020D">
        <w:rPr>
          <w:rFonts w:cs="Arial"/>
          <w:spacing w:val="2"/>
        </w:rPr>
        <w:t xml:space="preserve"> </w:t>
      </w:r>
      <w:r w:rsidRPr="00E2020D">
        <w:rPr>
          <w:rFonts w:cs="Arial"/>
        </w:rPr>
        <w:t>of</w:t>
      </w:r>
      <w:r w:rsidRPr="00E2020D">
        <w:rPr>
          <w:rFonts w:cs="Arial"/>
          <w:spacing w:val="2"/>
        </w:rPr>
        <w:t xml:space="preserve"> </w:t>
      </w:r>
      <w:r w:rsidRPr="00E2020D">
        <w:rPr>
          <w:rFonts w:cs="Arial"/>
          <w:spacing w:val="-1"/>
        </w:rPr>
        <w:t>about</w:t>
      </w:r>
      <w:r w:rsidRPr="00E2020D">
        <w:rPr>
          <w:rFonts w:cs="Arial"/>
          <w:spacing w:val="3"/>
        </w:rPr>
        <w:t xml:space="preserve"> </w:t>
      </w:r>
      <w:r w:rsidRPr="00E2020D">
        <w:rPr>
          <w:rFonts w:cs="Arial"/>
          <w:spacing w:val="-1"/>
        </w:rPr>
        <w:t>4µg</w:t>
      </w:r>
      <w:r w:rsidR="00E817CB" w:rsidRPr="00DA347E">
        <w:rPr>
          <w:rFonts w:cs="Arial"/>
          <w:spacing w:val="-1"/>
        </w:rPr>
        <w:t xml:space="preserve"> L</w:t>
      </w:r>
      <w:r w:rsidR="00E817CB" w:rsidRPr="007C7215">
        <w:rPr>
          <w:rFonts w:cs="Arial"/>
          <w:spacing w:val="-1"/>
          <w:vertAlign w:val="superscript"/>
        </w:rPr>
        <w:t>-1</w:t>
      </w:r>
      <w:r w:rsidRPr="00E2020D">
        <w:rPr>
          <w:rFonts w:cs="Arial"/>
          <w:spacing w:val="-1"/>
        </w:rPr>
        <w:t>.</w:t>
      </w:r>
      <w:r w:rsidRPr="00E2020D">
        <w:rPr>
          <w:rFonts w:cs="Arial"/>
          <w:spacing w:val="87"/>
        </w:rPr>
        <w:t xml:space="preserve"> </w:t>
      </w:r>
      <w:r w:rsidRPr="00E2020D">
        <w:rPr>
          <w:rFonts w:cs="Arial"/>
          <w:spacing w:val="-1"/>
        </w:rPr>
        <w:t>This</w:t>
      </w:r>
      <w:r w:rsidRPr="00E2020D">
        <w:rPr>
          <w:rFonts w:cs="Arial"/>
          <w:spacing w:val="7"/>
        </w:rPr>
        <w:t xml:space="preserve"> </w:t>
      </w:r>
      <w:r w:rsidRPr="00E2020D">
        <w:rPr>
          <w:rFonts w:cs="Arial"/>
          <w:spacing w:val="-1"/>
        </w:rPr>
        <w:t>should</w:t>
      </w:r>
      <w:r w:rsidRPr="00E2020D">
        <w:rPr>
          <w:rFonts w:cs="Arial"/>
          <w:spacing w:val="6"/>
        </w:rPr>
        <w:t xml:space="preserve"> </w:t>
      </w:r>
      <w:r w:rsidRPr="00E2020D">
        <w:rPr>
          <w:rFonts w:cs="Arial"/>
        </w:rPr>
        <w:t>read</w:t>
      </w:r>
      <w:r w:rsidRPr="00E2020D">
        <w:rPr>
          <w:rFonts w:cs="Arial"/>
          <w:spacing w:val="6"/>
        </w:rPr>
        <w:t xml:space="preserve"> </w:t>
      </w:r>
      <w:r w:rsidRPr="00E2020D">
        <w:rPr>
          <w:rFonts w:cs="Arial"/>
          <w:spacing w:val="-1"/>
        </w:rPr>
        <w:t>about</w:t>
      </w:r>
      <w:r w:rsidRPr="00E2020D">
        <w:rPr>
          <w:rFonts w:cs="Arial"/>
          <w:spacing w:val="8"/>
        </w:rPr>
        <w:t xml:space="preserve"> </w:t>
      </w:r>
      <w:r w:rsidRPr="00E2020D">
        <w:rPr>
          <w:rFonts w:cs="Arial"/>
          <w:spacing w:val="-1"/>
        </w:rPr>
        <w:t>0.400</w:t>
      </w:r>
      <w:r w:rsidRPr="00E2020D">
        <w:rPr>
          <w:rFonts w:cs="Arial"/>
          <w:spacing w:val="5"/>
        </w:rPr>
        <w:t xml:space="preserve"> </w:t>
      </w:r>
      <w:r w:rsidRPr="00E2020D">
        <w:rPr>
          <w:rFonts w:cs="Arial"/>
        </w:rPr>
        <w:t>mV</w:t>
      </w:r>
      <w:r w:rsidRPr="00E2020D">
        <w:rPr>
          <w:rFonts w:cs="Arial"/>
          <w:spacing w:val="4"/>
        </w:rPr>
        <w:t xml:space="preserve"> </w:t>
      </w:r>
      <w:r w:rsidRPr="00E2020D">
        <w:rPr>
          <w:rFonts w:cs="Arial"/>
        </w:rPr>
        <w:t>on</w:t>
      </w:r>
      <w:r w:rsidRPr="00E2020D">
        <w:rPr>
          <w:rFonts w:cs="Arial"/>
          <w:spacing w:val="6"/>
        </w:rPr>
        <w:t xml:space="preserve"> </w:t>
      </w:r>
      <w:r w:rsidRPr="00E2020D">
        <w:rPr>
          <w:rFonts w:cs="Arial"/>
        </w:rPr>
        <w:t>the</w:t>
      </w:r>
      <w:r w:rsidRPr="00E2020D">
        <w:rPr>
          <w:rFonts w:cs="Arial"/>
          <w:spacing w:val="7"/>
        </w:rPr>
        <w:t xml:space="preserve"> </w:t>
      </w:r>
      <w:r w:rsidRPr="00E2020D">
        <w:rPr>
          <w:rFonts w:cs="Arial"/>
          <w:spacing w:val="-1"/>
        </w:rPr>
        <w:t>fluorometer.</w:t>
      </w:r>
      <w:r w:rsidRPr="00E2020D">
        <w:rPr>
          <w:rFonts w:cs="Arial"/>
          <w:spacing w:val="12"/>
        </w:rPr>
        <w:t xml:space="preserve"> </w:t>
      </w:r>
      <w:r w:rsidRPr="00E2020D">
        <w:rPr>
          <w:rFonts w:cs="Arial"/>
        </w:rPr>
        <w:t>If</w:t>
      </w:r>
      <w:r w:rsidRPr="00E2020D">
        <w:rPr>
          <w:rFonts w:cs="Arial"/>
          <w:spacing w:val="6"/>
        </w:rPr>
        <w:t xml:space="preserve"> </w:t>
      </w:r>
      <w:r w:rsidRPr="00E2020D">
        <w:rPr>
          <w:rFonts w:cs="Arial"/>
        </w:rPr>
        <w:t>it</w:t>
      </w:r>
      <w:r w:rsidRPr="00E2020D">
        <w:rPr>
          <w:rFonts w:cs="Arial"/>
          <w:spacing w:val="7"/>
        </w:rPr>
        <w:t xml:space="preserve"> </w:t>
      </w:r>
      <w:r w:rsidRPr="00E2020D">
        <w:rPr>
          <w:rFonts w:cs="Arial"/>
        </w:rPr>
        <w:t>does</w:t>
      </w:r>
      <w:r w:rsidRPr="00E2020D">
        <w:rPr>
          <w:rFonts w:cs="Arial"/>
          <w:spacing w:val="8"/>
        </w:rPr>
        <w:t xml:space="preserve"> </w:t>
      </w:r>
      <w:r w:rsidRPr="00E2020D">
        <w:rPr>
          <w:rFonts w:cs="Arial"/>
          <w:spacing w:val="-1"/>
        </w:rPr>
        <w:t>not</w:t>
      </w:r>
      <w:r w:rsidRPr="00E2020D">
        <w:rPr>
          <w:rFonts w:cs="Arial"/>
          <w:spacing w:val="8"/>
        </w:rPr>
        <w:t xml:space="preserve"> </w:t>
      </w:r>
      <w:r w:rsidRPr="00E2020D">
        <w:rPr>
          <w:rFonts w:cs="Arial"/>
          <w:spacing w:val="-1"/>
        </w:rPr>
        <w:t>the</w:t>
      </w:r>
      <w:r w:rsidRPr="00E2020D">
        <w:rPr>
          <w:rFonts w:cs="Arial"/>
          <w:spacing w:val="8"/>
        </w:rPr>
        <w:t xml:space="preserve"> </w:t>
      </w:r>
      <w:r w:rsidRPr="00E2020D">
        <w:rPr>
          <w:rFonts w:cs="Arial"/>
          <w:spacing w:val="-1"/>
        </w:rPr>
        <w:t>fluorometer</w:t>
      </w:r>
      <w:r w:rsidRPr="00E2020D">
        <w:rPr>
          <w:rFonts w:cs="Arial"/>
          <w:spacing w:val="5"/>
        </w:rPr>
        <w:t xml:space="preserve"> </w:t>
      </w:r>
      <w:r w:rsidRPr="00E2020D">
        <w:rPr>
          <w:rFonts w:cs="Arial"/>
        </w:rPr>
        <w:t>may</w:t>
      </w:r>
      <w:r w:rsidRPr="00E2020D">
        <w:rPr>
          <w:rFonts w:cs="Arial"/>
          <w:spacing w:val="6"/>
        </w:rPr>
        <w:t xml:space="preserve"> </w:t>
      </w:r>
      <w:r w:rsidRPr="00E2020D">
        <w:rPr>
          <w:rFonts w:cs="Arial"/>
          <w:spacing w:val="-1"/>
        </w:rPr>
        <w:t>need</w:t>
      </w:r>
      <w:r w:rsidRPr="00E2020D">
        <w:rPr>
          <w:rFonts w:cs="Arial"/>
          <w:spacing w:val="6"/>
        </w:rPr>
        <w:t xml:space="preserve"> </w:t>
      </w:r>
      <w:r w:rsidRPr="00E2020D">
        <w:rPr>
          <w:rFonts w:cs="Arial"/>
          <w:spacing w:val="-1"/>
        </w:rPr>
        <w:t>to</w:t>
      </w:r>
      <w:r w:rsidRPr="00E2020D">
        <w:rPr>
          <w:rFonts w:cs="Arial"/>
          <w:spacing w:val="8"/>
        </w:rPr>
        <w:t xml:space="preserve"> </w:t>
      </w:r>
      <w:r w:rsidRPr="00E2020D">
        <w:rPr>
          <w:rFonts w:cs="Arial"/>
          <w:spacing w:val="-1"/>
        </w:rPr>
        <w:t>be</w:t>
      </w:r>
      <w:r w:rsidRPr="00E2020D">
        <w:rPr>
          <w:rFonts w:cs="Arial"/>
          <w:spacing w:val="23"/>
        </w:rPr>
        <w:t xml:space="preserve"> </w:t>
      </w:r>
      <w:r w:rsidRPr="00E2020D">
        <w:rPr>
          <w:rFonts w:cs="Arial"/>
          <w:spacing w:val="-1"/>
        </w:rPr>
        <w:t>adjusted.</w:t>
      </w:r>
      <w:r w:rsidRPr="00E2020D">
        <w:rPr>
          <w:rFonts w:cs="Arial"/>
          <w:spacing w:val="25"/>
        </w:rPr>
        <w:t xml:space="preserve"> </w:t>
      </w:r>
      <w:r w:rsidRPr="00E2020D">
        <w:rPr>
          <w:rFonts w:cs="Arial"/>
          <w:spacing w:val="-1"/>
        </w:rPr>
        <w:t>The</w:t>
      </w:r>
      <w:r w:rsidRPr="00E2020D">
        <w:rPr>
          <w:rFonts w:cs="Arial"/>
          <w:spacing w:val="27"/>
        </w:rPr>
        <w:t xml:space="preserve"> </w:t>
      </w:r>
      <w:r w:rsidRPr="00E2020D">
        <w:rPr>
          <w:rFonts w:cs="Arial"/>
          <w:spacing w:val="-1"/>
        </w:rPr>
        <w:t>routine</w:t>
      </w:r>
      <w:r w:rsidRPr="00E2020D">
        <w:rPr>
          <w:rFonts w:cs="Arial"/>
          <w:spacing w:val="27"/>
        </w:rPr>
        <w:t xml:space="preserve"> </w:t>
      </w:r>
      <w:r w:rsidRPr="00E2020D">
        <w:rPr>
          <w:rFonts w:cs="Arial"/>
          <w:spacing w:val="-1"/>
        </w:rPr>
        <w:t>for</w:t>
      </w:r>
      <w:r w:rsidRPr="00E2020D">
        <w:rPr>
          <w:rFonts w:cs="Arial"/>
          <w:spacing w:val="24"/>
        </w:rPr>
        <w:t xml:space="preserve"> </w:t>
      </w:r>
      <w:r w:rsidRPr="00E2020D">
        <w:rPr>
          <w:rFonts w:cs="Arial"/>
          <w:spacing w:val="-1"/>
        </w:rPr>
        <w:t>adjusting</w:t>
      </w:r>
      <w:r w:rsidRPr="00E2020D">
        <w:rPr>
          <w:rFonts w:cs="Arial"/>
          <w:spacing w:val="25"/>
        </w:rPr>
        <w:t xml:space="preserve"> </w:t>
      </w:r>
      <w:r w:rsidRPr="00E2020D">
        <w:rPr>
          <w:rFonts w:cs="Arial"/>
        </w:rPr>
        <w:t>the</w:t>
      </w:r>
      <w:r w:rsidRPr="00E2020D">
        <w:rPr>
          <w:rFonts w:cs="Arial"/>
          <w:spacing w:val="27"/>
        </w:rPr>
        <w:t xml:space="preserve"> </w:t>
      </w:r>
      <w:r w:rsidRPr="00E2020D">
        <w:rPr>
          <w:rFonts w:cs="Arial"/>
          <w:spacing w:val="-1"/>
        </w:rPr>
        <w:t>Turner</w:t>
      </w:r>
      <w:r w:rsidRPr="00E2020D">
        <w:rPr>
          <w:rFonts w:cs="Arial"/>
          <w:spacing w:val="27"/>
        </w:rPr>
        <w:t xml:space="preserve"> </w:t>
      </w:r>
      <w:r w:rsidRPr="00E2020D">
        <w:rPr>
          <w:rFonts w:cs="Arial"/>
          <w:spacing w:val="-1"/>
        </w:rPr>
        <w:t>Designs</w:t>
      </w:r>
      <w:r w:rsidRPr="00E2020D">
        <w:rPr>
          <w:rFonts w:cs="Arial"/>
          <w:spacing w:val="30"/>
        </w:rPr>
        <w:t xml:space="preserve"> </w:t>
      </w:r>
      <w:r w:rsidRPr="00E2020D">
        <w:rPr>
          <w:rFonts w:cs="Arial"/>
          <w:spacing w:val="-1"/>
        </w:rPr>
        <w:t>Fluorometer</w:t>
      </w:r>
      <w:r w:rsidRPr="00E2020D">
        <w:rPr>
          <w:rFonts w:cs="Arial"/>
          <w:spacing w:val="26"/>
        </w:rPr>
        <w:t xml:space="preserve"> </w:t>
      </w:r>
      <w:r w:rsidRPr="00E2020D">
        <w:rPr>
          <w:rFonts w:cs="Arial"/>
          <w:spacing w:val="-1"/>
        </w:rPr>
        <w:t>Model</w:t>
      </w:r>
      <w:r w:rsidRPr="00E2020D">
        <w:rPr>
          <w:rFonts w:cs="Arial"/>
          <w:spacing w:val="27"/>
        </w:rPr>
        <w:t xml:space="preserve"> </w:t>
      </w:r>
      <w:r w:rsidRPr="00E2020D">
        <w:rPr>
          <w:rFonts w:cs="Arial"/>
          <w:spacing w:val="-1"/>
        </w:rPr>
        <w:t>10Au</w:t>
      </w:r>
      <w:r w:rsidRPr="00E2020D">
        <w:rPr>
          <w:rFonts w:cs="Arial"/>
          <w:spacing w:val="2"/>
        </w:rPr>
        <w:t xml:space="preserve"> </w:t>
      </w:r>
      <w:r w:rsidRPr="00E2020D">
        <w:rPr>
          <w:rFonts w:cs="Arial"/>
        </w:rPr>
        <w:t>to</w:t>
      </w:r>
      <w:r w:rsidRPr="00E2020D">
        <w:rPr>
          <w:rFonts w:cs="Arial"/>
          <w:spacing w:val="28"/>
        </w:rPr>
        <w:t xml:space="preserve"> </w:t>
      </w:r>
      <w:r w:rsidRPr="00E2020D">
        <w:rPr>
          <w:rFonts w:cs="Arial"/>
          <w:spacing w:val="-1"/>
        </w:rPr>
        <w:t>suit</w:t>
      </w:r>
      <w:r w:rsidRPr="00E2020D">
        <w:rPr>
          <w:rFonts w:cs="Arial"/>
          <w:spacing w:val="26"/>
        </w:rPr>
        <w:t xml:space="preserve"> </w:t>
      </w:r>
      <w:r w:rsidRPr="00E2020D">
        <w:rPr>
          <w:rFonts w:cs="Arial"/>
        </w:rPr>
        <w:t>low</w:t>
      </w:r>
      <w:r w:rsidRPr="00E2020D">
        <w:rPr>
          <w:rFonts w:cs="Arial"/>
          <w:spacing w:val="27"/>
        </w:rPr>
        <w:t xml:space="preserve"> </w:t>
      </w:r>
      <w:r w:rsidRPr="00E2020D">
        <w:rPr>
          <w:rFonts w:cs="Arial"/>
          <w:spacing w:val="-1"/>
        </w:rPr>
        <w:t>level</w:t>
      </w:r>
      <w:r w:rsidRPr="00E2020D">
        <w:rPr>
          <w:rFonts w:cs="Arial"/>
          <w:spacing w:val="51"/>
        </w:rPr>
        <w:t xml:space="preserve"> </w:t>
      </w:r>
      <w:r w:rsidRPr="00E2020D">
        <w:rPr>
          <w:rFonts w:cs="Arial"/>
          <w:spacing w:val="-1"/>
        </w:rPr>
        <w:t>marine</w:t>
      </w:r>
      <w:r w:rsidRPr="00E2020D">
        <w:rPr>
          <w:rFonts w:cs="Arial"/>
          <w:spacing w:val="5"/>
        </w:rPr>
        <w:t xml:space="preserve"> </w:t>
      </w:r>
      <w:r w:rsidRPr="00E2020D">
        <w:rPr>
          <w:rFonts w:cs="Arial"/>
          <w:spacing w:val="-1"/>
        </w:rPr>
        <w:t>samples</w:t>
      </w:r>
      <w:r w:rsidRPr="00E2020D">
        <w:rPr>
          <w:rFonts w:cs="Arial"/>
          <w:spacing w:val="5"/>
        </w:rPr>
        <w:t xml:space="preserve"> </w:t>
      </w:r>
      <w:r w:rsidRPr="00E2020D">
        <w:rPr>
          <w:rFonts w:cs="Arial"/>
        </w:rPr>
        <w:t>is</w:t>
      </w:r>
      <w:r w:rsidRPr="00E2020D">
        <w:rPr>
          <w:rFonts w:cs="Arial"/>
          <w:spacing w:val="4"/>
        </w:rPr>
        <w:t xml:space="preserve"> </w:t>
      </w:r>
      <w:r w:rsidRPr="00E2020D">
        <w:rPr>
          <w:rFonts w:cs="Arial"/>
          <w:spacing w:val="-1"/>
        </w:rPr>
        <w:t>shown</w:t>
      </w:r>
      <w:r w:rsidRPr="00E2020D">
        <w:rPr>
          <w:rFonts w:cs="Arial"/>
          <w:spacing w:val="4"/>
        </w:rPr>
        <w:t xml:space="preserve"> </w:t>
      </w:r>
      <w:r w:rsidRPr="00E2020D">
        <w:rPr>
          <w:rFonts w:cs="Arial"/>
          <w:spacing w:val="-2"/>
        </w:rPr>
        <w:t>in</w:t>
      </w:r>
      <w:r w:rsidRPr="00E2020D">
        <w:rPr>
          <w:rFonts w:cs="Arial"/>
          <w:spacing w:val="6"/>
        </w:rPr>
        <w:t xml:space="preserve"> </w:t>
      </w:r>
      <w:r w:rsidRPr="00E2020D">
        <w:rPr>
          <w:rFonts w:cs="Arial"/>
          <w:spacing w:val="-1"/>
        </w:rPr>
        <w:t>Attachment</w:t>
      </w:r>
      <w:r w:rsidRPr="00E2020D">
        <w:rPr>
          <w:rFonts w:cs="Arial"/>
          <w:spacing w:val="5"/>
        </w:rPr>
        <w:t xml:space="preserve"> </w:t>
      </w:r>
      <w:r w:rsidRPr="00E2020D">
        <w:rPr>
          <w:rFonts w:cs="Arial"/>
          <w:spacing w:val="-1"/>
        </w:rPr>
        <w:t>9.2.</w:t>
      </w:r>
      <w:r w:rsidRPr="00E2020D">
        <w:rPr>
          <w:rFonts w:cs="Arial"/>
          <w:spacing w:val="15"/>
        </w:rPr>
        <w:t xml:space="preserve"> </w:t>
      </w:r>
      <w:r w:rsidRPr="00E2020D">
        <w:rPr>
          <w:rFonts w:cs="Arial"/>
          <w:spacing w:val="-1"/>
        </w:rPr>
        <w:t>Make</w:t>
      </w:r>
      <w:r w:rsidRPr="00E2020D">
        <w:rPr>
          <w:rFonts w:cs="Arial"/>
          <w:spacing w:val="3"/>
        </w:rPr>
        <w:t xml:space="preserve"> </w:t>
      </w:r>
      <w:r w:rsidRPr="00E2020D">
        <w:rPr>
          <w:rFonts w:cs="Arial"/>
          <w:spacing w:val="-1"/>
        </w:rPr>
        <w:t>up</w:t>
      </w:r>
      <w:r w:rsidRPr="00E2020D">
        <w:rPr>
          <w:rFonts w:cs="Arial"/>
          <w:spacing w:val="4"/>
        </w:rPr>
        <w:t xml:space="preserve"> </w:t>
      </w:r>
      <w:r w:rsidRPr="00E2020D">
        <w:rPr>
          <w:rFonts w:cs="Arial"/>
        </w:rPr>
        <w:t>a</w:t>
      </w:r>
      <w:r w:rsidRPr="00E2020D">
        <w:rPr>
          <w:rFonts w:cs="Arial"/>
          <w:spacing w:val="5"/>
        </w:rPr>
        <w:t xml:space="preserve"> </w:t>
      </w:r>
      <w:r w:rsidRPr="00E2020D">
        <w:rPr>
          <w:rFonts w:cs="Arial"/>
          <w:spacing w:val="-1"/>
        </w:rPr>
        <w:t>series</w:t>
      </w:r>
      <w:r w:rsidRPr="00E2020D">
        <w:rPr>
          <w:rFonts w:cs="Arial"/>
          <w:spacing w:val="6"/>
        </w:rPr>
        <w:t xml:space="preserve"> </w:t>
      </w:r>
      <w:r w:rsidRPr="00E2020D">
        <w:rPr>
          <w:rFonts w:cs="Arial"/>
        </w:rPr>
        <w:t>of</w:t>
      </w:r>
      <w:r w:rsidRPr="00E2020D">
        <w:rPr>
          <w:rFonts w:cs="Arial"/>
          <w:spacing w:val="5"/>
        </w:rPr>
        <w:t xml:space="preserve"> </w:t>
      </w:r>
      <w:r w:rsidRPr="00E2020D">
        <w:rPr>
          <w:rFonts w:cs="Arial"/>
          <w:spacing w:val="-1"/>
        </w:rPr>
        <w:t>dilutions</w:t>
      </w:r>
      <w:r w:rsidRPr="00E2020D">
        <w:rPr>
          <w:rFonts w:cs="Arial"/>
          <w:spacing w:val="5"/>
        </w:rPr>
        <w:t xml:space="preserve"> </w:t>
      </w:r>
      <w:r w:rsidRPr="00E2020D">
        <w:rPr>
          <w:rFonts w:cs="Arial"/>
          <w:spacing w:val="-1"/>
        </w:rPr>
        <w:t>ranging</w:t>
      </w:r>
      <w:r w:rsidRPr="00E2020D">
        <w:rPr>
          <w:rFonts w:cs="Arial"/>
          <w:spacing w:val="4"/>
        </w:rPr>
        <w:t xml:space="preserve"> </w:t>
      </w:r>
      <w:r w:rsidRPr="00E2020D">
        <w:rPr>
          <w:rFonts w:cs="Arial"/>
          <w:spacing w:val="-1"/>
        </w:rPr>
        <w:t>from</w:t>
      </w:r>
      <w:r w:rsidRPr="00E2020D">
        <w:rPr>
          <w:rFonts w:cs="Arial"/>
          <w:spacing w:val="6"/>
        </w:rPr>
        <w:t xml:space="preserve"> </w:t>
      </w:r>
      <w:r w:rsidRPr="00E2020D">
        <w:rPr>
          <w:rFonts w:cs="Arial"/>
        </w:rPr>
        <w:t>1</w:t>
      </w:r>
      <w:r w:rsidRPr="00E2020D">
        <w:rPr>
          <w:rFonts w:cs="Arial"/>
          <w:spacing w:val="5"/>
        </w:rPr>
        <w:t xml:space="preserve"> </w:t>
      </w:r>
      <w:r w:rsidRPr="00E2020D">
        <w:rPr>
          <w:rFonts w:cs="Arial"/>
          <w:spacing w:val="-1"/>
        </w:rPr>
        <w:t>to</w:t>
      </w:r>
      <w:r w:rsidRPr="00E2020D">
        <w:rPr>
          <w:rFonts w:cs="Arial"/>
          <w:spacing w:val="6"/>
        </w:rPr>
        <w:t xml:space="preserve"> </w:t>
      </w:r>
      <w:r w:rsidRPr="00E2020D">
        <w:rPr>
          <w:rFonts w:cs="Arial"/>
          <w:spacing w:val="-1"/>
        </w:rPr>
        <w:t>25</w:t>
      </w:r>
      <w:r w:rsidRPr="00E2020D">
        <w:rPr>
          <w:rFonts w:cs="Arial"/>
          <w:spacing w:val="5"/>
        </w:rPr>
        <w:t xml:space="preserve"> </w:t>
      </w:r>
      <w:r w:rsidRPr="00E2020D">
        <w:rPr>
          <w:rFonts w:cs="Arial"/>
          <w:spacing w:val="-1"/>
        </w:rPr>
        <w:t>µg</w:t>
      </w:r>
      <w:r w:rsidR="00E817CB" w:rsidRPr="00DA347E">
        <w:rPr>
          <w:rFonts w:cs="Arial"/>
          <w:spacing w:val="-1"/>
        </w:rPr>
        <w:t xml:space="preserve"> L</w:t>
      </w:r>
      <w:r w:rsidR="00E817CB" w:rsidRPr="007C7215">
        <w:rPr>
          <w:rFonts w:cs="Arial"/>
          <w:spacing w:val="-1"/>
          <w:vertAlign w:val="superscript"/>
        </w:rPr>
        <w:t>-1</w:t>
      </w:r>
      <w:r w:rsidRPr="00E2020D">
        <w:rPr>
          <w:rFonts w:cs="Arial"/>
          <w:spacing w:val="61"/>
        </w:rPr>
        <w:t xml:space="preserve"> </w:t>
      </w:r>
      <w:r w:rsidRPr="00E2020D">
        <w:rPr>
          <w:rFonts w:cs="Arial"/>
          <w:spacing w:val="-1"/>
        </w:rPr>
        <w:t>and measure</w:t>
      </w:r>
      <w:r w:rsidRPr="00E2020D">
        <w:rPr>
          <w:rFonts w:cs="Arial"/>
        </w:rPr>
        <w:t xml:space="preserve"> the</w:t>
      </w:r>
      <w:r w:rsidRPr="00E2020D">
        <w:rPr>
          <w:rFonts w:cs="Arial"/>
          <w:spacing w:val="-3"/>
        </w:rPr>
        <w:t xml:space="preserve"> </w:t>
      </w:r>
      <w:r w:rsidRPr="00E2020D">
        <w:rPr>
          <w:rFonts w:cs="Arial"/>
          <w:spacing w:val="-1"/>
        </w:rPr>
        <w:t>original</w:t>
      </w:r>
      <w:r w:rsidRPr="00E2020D">
        <w:rPr>
          <w:rFonts w:cs="Arial"/>
        </w:rPr>
        <w:t xml:space="preserve"> </w:t>
      </w:r>
      <w:r w:rsidRPr="00E2020D">
        <w:rPr>
          <w:rFonts w:cs="Arial"/>
          <w:spacing w:val="-2"/>
        </w:rPr>
        <w:t>and</w:t>
      </w:r>
      <w:r w:rsidRPr="00E2020D">
        <w:rPr>
          <w:rFonts w:cs="Arial"/>
          <w:spacing w:val="-1"/>
        </w:rPr>
        <w:t xml:space="preserve"> acidified fluorescence</w:t>
      </w:r>
      <w:r w:rsidRPr="00E2020D">
        <w:rPr>
          <w:rFonts w:cs="Arial"/>
          <w:spacing w:val="-2"/>
        </w:rPr>
        <w:t xml:space="preserve"> </w:t>
      </w:r>
      <w:r w:rsidRPr="00E2020D">
        <w:rPr>
          <w:rFonts w:cs="Arial"/>
          <w:spacing w:val="-1"/>
        </w:rPr>
        <w:t>values.</w:t>
      </w:r>
    </w:p>
    <w:p w14:paraId="78360FCA" w14:textId="77777777" w:rsidR="0031675F" w:rsidRPr="00E2020D" w:rsidRDefault="0031675F" w:rsidP="0031675F">
      <w:pPr>
        <w:spacing w:before="1"/>
        <w:rPr>
          <w:rFonts w:cs="Arial"/>
        </w:rPr>
      </w:pPr>
    </w:p>
    <w:p w14:paraId="4D08A81A" w14:textId="77777777" w:rsidR="0031675F" w:rsidRPr="00E2020D" w:rsidRDefault="0031675F" w:rsidP="0031675F">
      <w:pPr>
        <w:spacing w:line="308" w:lineRule="exact"/>
        <w:ind w:left="118"/>
        <w:jc w:val="both"/>
        <w:rPr>
          <w:rFonts w:cs="Arial"/>
        </w:rPr>
      </w:pPr>
      <w:r w:rsidRPr="00E2020D">
        <w:rPr>
          <w:rFonts w:cs="Arial"/>
          <w:i/>
          <w:spacing w:val="-1"/>
        </w:rPr>
        <w:t>Calculating</w:t>
      </w:r>
      <w:r w:rsidRPr="00E2020D">
        <w:rPr>
          <w:rFonts w:cs="Arial"/>
          <w:i/>
          <w:spacing w:val="-2"/>
        </w:rPr>
        <w:t xml:space="preserve"> </w:t>
      </w:r>
      <w:r w:rsidRPr="00E2020D">
        <w:rPr>
          <w:rFonts w:cs="Arial"/>
          <w:i/>
          <w:spacing w:val="-1"/>
        </w:rPr>
        <w:t>Door</w:t>
      </w:r>
      <w:r w:rsidRPr="00E2020D">
        <w:rPr>
          <w:rFonts w:cs="Arial"/>
          <w:i/>
          <w:spacing w:val="1"/>
        </w:rPr>
        <w:t xml:space="preserve"> </w:t>
      </w:r>
      <w:r w:rsidRPr="00E2020D">
        <w:rPr>
          <w:rFonts w:cs="Arial"/>
          <w:i/>
          <w:spacing w:val="-1"/>
        </w:rPr>
        <w:t>Factor</w:t>
      </w:r>
      <w:r w:rsidRPr="00E2020D">
        <w:rPr>
          <w:rFonts w:cs="Arial"/>
          <w:i/>
          <w:spacing w:val="1"/>
        </w:rPr>
        <w:t xml:space="preserve"> </w:t>
      </w:r>
      <w:r w:rsidRPr="00E2020D">
        <w:rPr>
          <w:rFonts w:cs="Arial"/>
          <w:i/>
          <w:spacing w:val="-1"/>
        </w:rPr>
        <w:t>(F</w:t>
      </w:r>
      <w:r w:rsidRPr="00E2020D">
        <w:rPr>
          <w:rFonts w:cs="Arial"/>
          <w:i/>
          <w:spacing w:val="-1"/>
          <w:position w:val="-3"/>
        </w:rPr>
        <w:t>D</w:t>
      </w:r>
      <w:r w:rsidRPr="00E2020D">
        <w:rPr>
          <w:rFonts w:cs="Arial"/>
          <w:i/>
          <w:spacing w:val="-1"/>
        </w:rPr>
        <w:t>):</w:t>
      </w:r>
    </w:p>
    <w:p w14:paraId="6025C0B0" w14:textId="77777777" w:rsidR="0031675F" w:rsidRPr="00E2020D" w:rsidRDefault="0031675F" w:rsidP="0031675F">
      <w:pPr>
        <w:spacing w:after="120" w:line="308" w:lineRule="exact"/>
        <w:ind w:left="826"/>
        <w:rPr>
          <w:rFonts w:cs="Arial"/>
        </w:rPr>
      </w:pPr>
      <w:r w:rsidRPr="00E2020D">
        <w:rPr>
          <w:rFonts w:cs="Arial"/>
          <w:spacing w:val="-1"/>
        </w:rPr>
        <w:t>F</w:t>
      </w:r>
      <w:r w:rsidRPr="00E2020D">
        <w:rPr>
          <w:rFonts w:cs="Arial"/>
          <w:spacing w:val="-1"/>
          <w:position w:val="-3"/>
        </w:rPr>
        <w:t>D</w:t>
      </w:r>
      <w:r w:rsidRPr="00E2020D">
        <w:rPr>
          <w:rFonts w:cs="Arial"/>
          <w:spacing w:val="1"/>
          <w:position w:val="-3"/>
        </w:rPr>
        <w:t xml:space="preserve"> </w:t>
      </w:r>
      <w:r w:rsidRPr="00E2020D">
        <w:rPr>
          <w:rFonts w:cs="Arial"/>
        </w:rPr>
        <w:t>=</w:t>
      </w:r>
      <w:r w:rsidRPr="00E2020D">
        <w:rPr>
          <w:rFonts w:cs="Arial"/>
          <w:spacing w:val="1"/>
        </w:rPr>
        <w:t xml:space="preserve"> </w:t>
      </w:r>
      <w:r w:rsidRPr="00E2020D">
        <w:rPr>
          <w:rFonts w:cs="Arial"/>
          <w:spacing w:val="-2"/>
        </w:rPr>
        <w:t>C</w:t>
      </w:r>
      <w:r w:rsidRPr="00E2020D">
        <w:rPr>
          <w:rFonts w:cs="Arial"/>
          <w:spacing w:val="-2"/>
          <w:position w:val="-3"/>
        </w:rPr>
        <w:t>a</w:t>
      </w:r>
      <w:r w:rsidRPr="00E2020D">
        <w:rPr>
          <w:rFonts w:cs="Arial"/>
          <w:position w:val="-3"/>
        </w:rPr>
        <w:t xml:space="preserve"> </w:t>
      </w:r>
      <w:r w:rsidRPr="00E2020D">
        <w:rPr>
          <w:rFonts w:cs="Arial"/>
          <w:spacing w:val="-1"/>
        </w:rPr>
        <w:t>/(1830(R</w:t>
      </w:r>
      <w:r w:rsidRPr="00E2020D">
        <w:rPr>
          <w:rFonts w:cs="Arial"/>
          <w:spacing w:val="-1"/>
          <w:position w:val="-3"/>
        </w:rPr>
        <w:t>B</w:t>
      </w:r>
      <w:r w:rsidRPr="00E2020D">
        <w:rPr>
          <w:rFonts w:cs="Arial"/>
          <w:spacing w:val="-2"/>
          <w:position w:val="-3"/>
        </w:rPr>
        <w:t xml:space="preserve"> </w:t>
      </w:r>
      <w:r w:rsidRPr="00E2020D">
        <w:rPr>
          <w:rFonts w:cs="Arial"/>
        </w:rPr>
        <w:t xml:space="preserve">- </w:t>
      </w:r>
      <w:r w:rsidRPr="00E2020D">
        <w:rPr>
          <w:rFonts w:cs="Arial"/>
          <w:spacing w:val="-1"/>
        </w:rPr>
        <w:t>R</w:t>
      </w:r>
      <w:r w:rsidRPr="00E2020D">
        <w:rPr>
          <w:rFonts w:cs="Arial"/>
          <w:spacing w:val="-1"/>
          <w:position w:val="-3"/>
        </w:rPr>
        <w:t>A</w:t>
      </w:r>
      <w:r w:rsidRPr="00E2020D">
        <w:rPr>
          <w:rFonts w:cs="Arial"/>
          <w:spacing w:val="-1"/>
        </w:rPr>
        <w:t>))</w:t>
      </w:r>
    </w:p>
    <w:p w14:paraId="6BE183CF" w14:textId="77777777" w:rsidR="0031675F" w:rsidRPr="00E2020D" w:rsidRDefault="0031675F" w:rsidP="0031675F">
      <w:pPr>
        <w:spacing w:after="120"/>
        <w:ind w:left="826"/>
        <w:rPr>
          <w:rFonts w:cs="Arial"/>
        </w:rPr>
      </w:pPr>
      <w:r w:rsidRPr="00E2020D">
        <w:rPr>
          <w:rFonts w:cs="Arial"/>
          <w:spacing w:val="-1"/>
        </w:rPr>
        <w:t>where:</w:t>
      </w:r>
    </w:p>
    <w:p w14:paraId="458A962F" w14:textId="77777777" w:rsidR="0031675F" w:rsidRPr="00E2020D" w:rsidRDefault="0031675F" w:rsidP="0031675F">
      <w:pPr>
        <w:spacing w:after="120" w:line="308" w:lineRule="exact"/>
        <w:ind w:left="1251"/>
        <w:rPr>
          <w:rFonts w:cs="Arial"/>
        </w:rPr>
      </w:pPr>
      <w:r w:rsidRPr="00E2020D">
        <w:rPr>
          <w:rFonts w:cs="Arial"/>
          <w:spacing w:val="-1"/>
        </w:rPr>
        <w:t>F</w:t>
      </w:r>
      <w:r w:rsidRPr="00E2020D">
        <w:rPr>
          <w:rFonts w:cs="Arial"/>
          <w:spacing w:val="-1"/>
          <w:position w:val="-3"/>
        </w:rPr>
        <w:t>D</w:t>
      </w:r>
      <w:r w:rsidRPr="00E2020D">
        <w:rPr>
          <w:rFonts w:cs="Arial"/>
          <w:spacing w:val="1"/>
          <w:position w:val="-3"/>
        </w:rPr>
        <w:t xml:space="preserve"> </w:t>
      </w:r>
      <w:r w:rsidRPr="00E2020D">
        <w:rPr>
          <w:rFonts w:cs="Arial"/>
        </w:rPr>
        <w:t xml:space="preserve">= </w:t>
      </w:r>
      <w:r w:rsidRPr="00E2020D">
        <w:rPr>
          <w:rFonts w:cs="Arial"/>
          <w:spacing w:val="-2"/>
        </w:rPr>
        <w:t>door</w:t>
      </w:r>
      <w:r w:rsidRPr="00E2020D">
        <w:rPr>
          <w:rFonts w:cs="Arial"/>
        </w:rPr>
        <w:t xml:space="preserve"> </w:t>
      </w:r>
      <w:r w:rsidRPr="00E2020D">
        <w:rPr>
          <w:rFonts w:cs="Arial"/>
          <w:spacing w:val="-1"/>
        </w:rPr>
        <w:t>value</w:t>
      </w:r>
    </w:p>
    <w:p w14:paraId="70B057D2" w14:textId="77777777" w:rsidR="0031675F" w:rsidRPr="00E2020D" w:rsidRDefault="0031675F" w:rsidP="0031675F">
      <w:pPr>
        <w:spacing w:after="120"/>
        <w:ind w:left="1251" w:right="5658"/>
        <w:rPr>
          <w:rFonts w:cs="Arial"/>
        </w:rPr>
      </w:pPr>
      <w:r w:rsidRPr="00E2020D">
        <w:rPr>
          <w:rFonts w:cs="Arial"/>
        </w:rPr>
        <w:t>R</w:t>
      </w:r>
      <w:r w:rsidRPr="00E2020D">
        <w:rPr>
          <w:rFonts w:cs="Arial"/>
          <w:position w:val="-3"/>
        </w:rPr>
        <w:t xml:space="preserve">A </w:t>
      </w:r>
      <w:r w:rsidRPr="00E2020D">
        <w:rPr>
          <w:rFonts w:cs="Arial"/>
        </w:rPr>
        <w:t xml:space="preserve">= </w:t>
      </w:r>
      <w:r w:rsidRPr="00E2020D">
        <w:rPr>
          <w:rFonts w:cs="Arial"/>
          <w:spacing w:val="-1"/>
        </w:rPr>
        <w:t>reading before</w:t>
      </w:r>
      <w:r w:rsidRPr="00E2020D">
        <w:rPr>
          <w:rFonts w:cs="Arial"/>
        </w:rPr>
        <w:t xml:space="preserve"> acid</w:t>
      </w:r>
      <w:r w:rsidRPr="00E2020D">
        <w:rPr>
          <w:rFonts w:cs="Arial"/>
          <w:spacing w:val="23"/>
        </w:rPr>
        <w:t xml:space="preserve"> </w:t>
      </w:r>
      <w:r w:rsidRPr="00E2020D">
        <w:rPr>
          <w:rFonts w:cs="Arial"/>
        </w:rPr>
        <w:t>R</w:t>
      </w:r>
      <w:r w:rsidRPr="00E2020D">
        <w:rPr>
          <w:rFonts w:cs="Arial"/>
          <w:position w:val="-3"/>
        </w:rPr>
        <w:t xml:space="preserve">B </w:t>
      </w:r>
      <w:r w:rsidRPr="00E2020D">
        <w:rPr>
          <w:rFonts w:cs="Arial"/>
        </w:rPr>
        <w:t xml:space="preserve">= </w:t>
      </w:r>
      <w:r w:rsidRPr="00E2020D">
        <w:rPr>
          <w:rFonts w:cs="Arial"/>
          <w:spacing w:val="-1"/>
        </w:rPr>
        <w:t xml:space="preserve">reading </w:t>
      </w:r>
      <w:r w:rsidRPr="00E2020D">
        <w:rPr>
          <w:rFonts w:cs="Arial"/>
        </w:rPr>
        <w:t>after</w:t>
      </w:r>
      <w:r w:rsidRPr="00E2020D">
        <w:rPr>
          <w:rFonts w:cs="Arial"/>
          <w:spacing w:val="-3"/>
        </w:rPr>
        <w:t xml:space="preserve"> </w:t>
      </w:r>
      <w:r w:rsidRPr="00E2020D">
        <w:rPr>
          <w:rFonts w:cs="Arial"/>
        </w:rPr>
        <w:t>acid</w:t>
      </w:r>
    </w:p>
    <w:p w14:paraId="38260FD2" w14:textId="77777777" w:rsidR="0031675F" w:rsidRPr="00E2020D" w:rsidRDefault="0031675F" w:rsidP="0031675F">
      <w:pPr>
        <w:spacing w:before="1" w:after="120"/>
        <w:ind w:left="1251"/>
        <w:rPr>
          <w:rFonts w:cs="Arial"/>
        </w:rPr>
      </w:pPr>
      <w:r w:rsidRPr="00E2020D">
        <w:rPr>
          <w:rFonts w:cs="Arial"/>
          <w:spacing w:val="-1"/>
        </w:rPr>
        <w:t>C</w:t>
      </w:r>
      <w:r w:rsidRPr="00E2020D">
        <w:rPr>
          <w:rFonts w:cs="Arial"/>
          <w:spacing w:val="-1"/>
          <w:position w:val="-3"/>
        </w:rPr>
        <w:t>a</w:t>
      </w:r>
      <w:r w:rsidRPr="00E2020D">
        <w:rPr>
          <w:rFonts w:cs="Arial"/>
          <w:position w:val="-3"/>
        </w:rPr>
        <w:t xml:space="preserve"> </w:t>
      </w:r>
      <w:r w:rsidRPr="00E2020D">
        <w:rPr>
          <w:rFonts w:cs="Arial"/>
        </w:rPr>
        <w:t xml:space="preserve">= </w:t>
      </w:r>
      <w:r w:rsidRPr="00E2020D">
        <w:rPr>
          <w:rFonts w:cs="Arial"/>
          <w:spacing w:val="-1"/>
        </w:rPr>
        <w:t xml:space="preserve">concentration </w:t>
      </w:r>
      <w:r w:rsidRPr="00E2020D">
        <w:rPr>
          <w:rFonts w:cs="Arial"/>
        </w:rPr>
        <w:t>of</w:t>
      </w:r>
      <w:r w:rsidRPr="00E2020D">
        <w:rPr>
          <w:rFonts w:cs="Arial"/>
          <w:spacing w:val="-3"/>
        </w:rPr>
        <w:t xml:space="preserve"> </w:t>
      </w:r>
      <w:r w:rsidRPr="00E2020D">
        <w:rPr>
          <w:rFonts w:cs="Arial"/>
          <w:spacing w:val="-1"/>
        </w:rPr>
        <w:t>chlorophyll</w:t>
      </w:r>
      <w:r w:rsidRPr="00E2020D">
        <w:rPr>
          <w:rFonts w:cs="Arial"/>
          <w:spacing w:val="1"/>
        </w:rPr>
        <w:t xml:space="preserve"> </w:t>
      </w:r>
      <w:r w:rsidRPr="00E2020D">
        <w:rPr>
          <w:rFonts w:cs="Arial"/>
          <w:i/>
        </w:rPr>
        <w:t>a</w:t>
      </w:r>
      <w:r w:rsidRPr="00E2020D">
        <w:rPr>
          <w:rFonts w:cs="Arial"/>
          <w:i/>
          <w:spacing w:val="49"/>
        </w:rPr>
        <w:t xml:space="preserve"> </w:t>
      </w:r>
      <w:r w:rsidRPr="00E2020D">
        <w:rPr>
          <w:rFonts w:cs="Arial"/>
        </w:rPr>
        <w:t>in</w:t>
      </w:r>
      <w:r w:rsidRPr="00E2020D">
        <w:rPr>
          <w:rFonts w:cs="Arial"/>
          <w:spacing w:val="-4"/>
        </w:rPr>
        <w:t xml:space="preserve"> </w:t>
      </w:r>
      <w:r w:rsidRPr="00E2020D">
        <w:rPr>
          <w:rFonts w:cs="Arial"/>
          <w:spacing w:val="-1"/>
        </w:rPr>
        <w:t>diluted sample</w:t>
      </w:r>
    </w:p>
    <w:p w14:paraId="2739C0EF" w14:textId="77777777" w:rsidR="0031675F" w:rsidRPr="00E2020D" w:rsidRDefault="0031675F" w:rsidP="0031675F">
      <w:pPr>
        <w:spacing w:before="6" w:after="120" w:line="630" w:lineRule="atLeast"/>
        <w:ind w:left="826" w:right="872" w:hanging="708"/>
        <w:rPr>
          <w:rFonts w:cs="Arial"/>
          <w:spacing w:val="-1"/>
        </w:rPr>
      </w:pPr>
      <w:r w:rsidRPr="00E2020D">
        <w:rPr>
          <w:rFonts w:cs="Arial"/>
          <w:spacing w:val="-1"/>
        </w:rPr>
        <w:t>Calculate</w:t>
      </w:r>
      <w:r w:rsidRPr="00E2020D">
        <w:rPr>
          <w:rFonts w:cs="Arial"/>
        </w:rPr>
        <w:t xml:space="preserve"> a</w:t>
      </w:r>
      <w:r w:rsidRPr="00E2020D">
        <w:rPr>
          <w:rFonts w:cs="Arial"/>
          <w:spacing w:val="-3"/>
        </w:rPr>
        <w:t xml:space="preserve"> </w:t>
      </w:r>
      <w:r w:rsidRPr="00E2020D">
        <w:rPr>
          <w:rFonts w:cs="Arial"/>
          <w:spacing w:val="-1"/>
        </w:rPr>
        <w:t xml:space="preserve">working </w:t>
      </w:r>
      <w:r w:rsidRPr="00E2020D">
        <w:rPr>
          <w:rFonts w:cs="Arial"/>
        </w:rPr>
        <w:t>F</w:t>
      </w:r>
      <w:r w:rsidRPr="00E2020D">
        <w:rPr>
          <w:rFonts w:cs="Arial"/>
          <w:position w:val="-3"/>
        </w:rPr>
        <w:t>D</w:t>
      </w:r>
      <w:r w:rsidRPr="00E2020D">
        <w:rPr>
          <w:rFonts w:cs="Arial"/>
          <w:spacing w:val="-1"/>
          <w:position w:val="-3"/>
        </w:rPr>
        <w:t xml:space="preserve"> </w:t>
      </w:r>
      <w:r w:rsidRPr="00E2020D">
        <w:rPr>
          <w:rFonts w:cs="Arial"/>
          <w:spacing w:val="-1"/>
        </w:rPr>
        <w:t>value</w:t>
      </w:r>
      <w:r w:rsidRPr="00E2020D">
        <w:rPr>
          <w:rFonts w:cs="Arial"/>
        </w:rPr>
        <w:t xml:space="preserve"> </w:t>
      </w:r>
      <w:r w:rsidRPr="00E2020D">
        <w:rPr>
          <w:rFonts w:cs="Arial"/>
          <w:spacing w:val="1"/>
        </w:rPr>
        <w:t xml:space="preserve"> </w:t>
      </w:r>
      <w:r w:rsidRPr="00E2020D">
        <w:rPr>
          <w:rFonts w:cs="Arial"/>
          <w:spacing w:val="-1"/>
        </w:rPr>
        <w:t>(F</w:t>
      </w:r>
      <w:r w:rsidRPr="00E2020D">
        <w:rPr>
          <w:rFonts w:cs="Arial"/>
          <w:spacing w:val="-1"/>
          <w:position w:val="-3"/>
        </w:rPr>
        <w:t>D</w:t>
      </w:r>
      <w:r w:rsidRPr="00E2020D">
        <w:rPr>
          <w:rFonts w:cs="Arial"/>
          <w:spacing w:val="-1"/>
          <w:position w:val="6"/>
        </w:rPr>
        <w:t>"</w:t>
      </w:r>
      <w:r w:rsidRPr="00E2020D">
        <w:rPr>
          <w:rFonts w:cs="Arial"/>
          <w:spacing w:val="-1"/>
        </w:rPr>
        <w:t>)</w:t>
      </w:r>
      <w:r w:rsidRPr="00E2020D">
        <w:rPr>
          <w:rFonts w:cs="Arial"/>
        </w:rPr>
        <w:t xml:space="preserve"> </w:t>
      </w:r>
      <w:r w:rsidRPr="00E2020D">
        <w:rPr>
          <w:rFonts w:cs="Arial"/>
          <w:spacing w:val="-1"/>
        </w:rPr>
        <w:t>for</w:t>
      </w:r>
      <w:r w:rsidRPr="00E2020D">
        <w:rPr>
          <w:rFonts w:cs="Arial"/>
          <w:spacing w:val="-2"/>
        </w:rPr>
        <w:t xml:space="preserve"> </w:t>
      </w:r>
      <w:r w:rsidRPr="00E2020D">
        <w:rPr>
          <w:rFonts w:cs="Arial"/>
        </w:rPr>
        <w:t xml:space="preserve">the </w:t>
      </w:r>
      <w:r w:rsidRPr="00E2020D">
        <w:rPr>
          <w:rFonts w:cs="Arial"/>
          <w:spacing w:val="-1"/>
        </w:rPr>
        <w:t>Excel</w:t>
      </w:r>
      <w:r w:rsidRPr="00E2020D">
        <w:rPr>
          <w:rFonts w:cs="Arial"/>
          <w:spacing w:val="-3"/>
        </w:rPr>
        <w:t xml:space="preserve"> </w:t>
      </w:r>
      <w:r w:rsidRPr="00E2020D">
        <w:rPr>
          <w:rFonts w:cs="Arial"/>
          <w:spacing w:val="-2"/>
        </w:rPr>
        <w:t>spreadsheet</w:t>
      </w:r>
      <w:r w:rsidRPr="00E2020D">
        <w:rPr>
          <w:rFonts w:cs="Arial"/>
        </w:rPr>
        <w:t xml:space="preserve"> </w:t>
      </w:r>
      <w:r w:rsidRPr="00E2020D">
        <w:rPr>
          <w:rFonts w:cs="Arial"/>
          <w:spacing w:val="-1"/>
        </w:rPr>
        <w:t>that</w:t>
      </w:r>
      <w:r w:rsidRPr="00E2020D">
        <w:rPr>
          <w:rFonts w:cs="Arial"/>
        </w:rPr>
        <w:t xml:space="preserve"> </w:t>
      </w:r>
      <w:r w:rsidRPr="00E2020D">
        <w:rPr>
          <w:rFonts w:cs="Arial"/>
          <w:spacing w:val="-1"/>
        </w:rPr>
        <w:t>includes</w:t>
      </w:r>
      <w:r w:rsidRPr="00E2020D">
        <w:rPr>
          <w:rFonts w:cs="Arial"/>
        </w:rPr>
        <w:t xml:space="preserve"> </w:t>
      </w:r>
      <w:r w:rsidRPr="00E2020D">
        <w:rPr>
          <w:rFonts w:cs="Arial"/>
          <w:spacing w:val="-2"/>
        </w:rPr>
        <w:t>normal</w:t>
      </w:r>
      <w:r w:rsidRPr="00E2020D">
        <w:rPr>
          <w:rFonts w:cs="Arial"/>
        </w:rPr>
        <w:t xml:space="preserve"> </w:t>
      </w:r>
      <w:r w:rsidRPr="00E2020D">
        <w:rPr>
          <w:rFonts w:cs="Arial"/>
          <w:spacing w:val="-1"/>
        </w:rPr>
        <w:t>volumes</w:t>
      </w:r>
      <w:r w:rsidRPr="00E2020D">
        <w:rPr>
          <w:rFonts w:cs="Arial"/>
          <w:spacing w:val="69"/>
        </w:rPr>
        <w:t xml:space="preserve"> </w:t>
      </w:r>
      <w:r w:rsidRPr="00E2020D">
        <w:rPr>
          <w:rFonts w:cs="Arial"/>
          <w:spacing w:val="-1"/>
        </w:rPr>
        <w:t>F</w:t>
      </w:r>
      <w:r w:rsidRPr="00E2020D">
        <w:rPr>
          <w:rFonts w:cs="Arial"/>
          <w:spacing w:val="-1"/>
          <w:position w:val="-3"/>
        </w:rPr>
        <w:t>D</w:t>
      </w:r>
      <w:r w:rsidRPr="00E2020D">
        <w:rPr>
          <w:rFonts w:cs="Arial"/>
          <w:spacing w:val="-1"/>
          <w:position w:val="6"/>
        </w:rPr>
        <w:t>"</w:t>
      </w:r>
      <w:r w:rsidRPr="00E2020D">
        <w:rPr>
          <w:rFonts w:cs="Arial"/>
          <w:position w:val="6"/>
        </w:rPr>
        <w:t xml:space="preserve"> </w:t>
      </w:r>
      <w:r w:rsidRPr="00E2020D">
        <w:rPr>
          <w:rFonts w:cs="Arial"/>
        </w:rPr>
        <w:t>=</w:t>
      </w:r>
      <w:r w:rsidRPr="00E2020D">
        <w:rPr>
          <w:rFonts w:cs="Arial"/>
          <w:spacing w:val="-2"/>
        </w:rPr>
        <w:t xml:space="preserve"> </w:t>
      </w:r>
      <w:r w:rsidRPr="00E2020D">
        <w:rPr>
          <w:rFonts w:cs="Arial"/>
          <w:spacing w:val="-1"/>
        </w:rPr>
        <w:t>(1.83</w:t>
      </w:r>
      <w:r w:rsidRPr="00E2020D">
        <w:rPr>
          <w:rFonts w:cs="Arial"/>
          <w:spacing w:val="-2"/>
        </w:rPr>
        <w:t xml:space="preserve"> </w:t>
      </w:r>
      <w:r w:rsidRPr="00E2020D">
        <w:rPr>
          <w:rFonts w:cs="Arial"/>
        </w:rPr>
        <w:t>x</w:t>
      </w:r>
      <w:r w:rsidRPr="00E2020D">
        <w:rPr>
          <w:rFonts w:cs="Arial"/>
          <w:spacing w:val="-2"/>
        </w:rPr>
        <w:t xml:space="preserve"> </w:t>
      </w:r>
      <w:r w:rsidRPr="00E2020D">
        <w:rPr>
          <w:rFonts w:cs="Arial"/>
        </w:rPr>
        <w:t>v</w:t>
      </w:r>
      <w:r w:rsidRPr="00E2020D">
        <w:rPr>
          <w:rFonts w:cs="Arial"/>
          <w:spacing w:val="1"/>
        </w:rPr>
        <w:t xml:space="preserve"> </w:t>
      </w:r>
      <w:r w:rsidRPr="00E2020D">
        <w:rPr>
          <w:rFonts w:cs="Arial"/>
        </w:rPr>
        <w:t>x</w:t>
      </w:r>
      <w:r w:rsidRPr="00E2020D">
        <w:rPr>
          <w:rFonts w:cs="Arial"/>
          <w:spacing w:val="-2"/>
        </w:rPr>
        <w:t xml:space="preserve"> </w:t>
      </w:r>
      <w:r w:rsidRPr="00E2020D">
        <w:rPr>
          <w:rFonts w:cs="Arial"/>
          <w:spacing w:val="-1"/>
        </w:rPr>
        <w:t>F</w:t>
      </w:r>
      <w:r w:rsidRPr="00E2020D">
        <w:rPr>
          <w:rFonts w:cs="Arial"/>
          <w:spacing w:val="-1"/>
          <w:position w:val="-3"/>
        </w:rPr>
        <w:t>D</w:t>
      </w:r>
      <w:r w:rsidRPr="00E2020D">
        <w:rPr>
          <w:rFonts w:cs="Arial"/>
          <w:spacing w:val="-1"/>
        </w:rPr>
        <w:t>)/V</w:t>
      </w:r>
    </w:p>
    <w:p w14:paraId="6DAB5BE6" w14:textId="77777777" w:rsidR="0031675F" w:rsidRPr="00E2020D" w:rsidRDefault="0031675F" w:rsidP="0031675F">
      <w:pPr>
        <w:spacing w:before="1" w:after="120"/>
        <w:rPr>
          <w:rFonts w:cs="Arial"/>
        </w:rPr>
      </w:pPr>
      <w:r w:rsidRPr="00E2020D">
        <w:rPr>
          <w:rFonts w:cs="Arial"/>
          <w:spacing w:val="-1"/>
        </w:rPr>
        <w:t>where:</w:t>
      </w:r>
    </w:p>
    <w:p w14:paraId="09D151F8" w14:textId="6C0F5B23" w:rsidR="0031675F" w:rsidRPr="00E2020D" w:rsidRDefault="0031675F" w:rsidP="0031675F">
      <w:pPr>
        <w:spacing w:after="120"/>
        <w:ind w:left="40"/>
        <w:rPr>
          <w:rFonts w:cs="Arial"/>
        </w:rPr>
      </w:pPr>
      <w:r w:rsidRPr="00E2020D">
        <w:rPr>
          <w:rFonts w:cs="Arial"/>
        </w:rPr>
        <w:t>v</w:t>
      </w:r>
      <w:r w:rsidRPr="00E2020D">
        <w:rPr>
          <w:rFonts w:cs="Arial"/>
          <w:spacing w:val="1"/>
        </w:rPr>
        <w:t xml:space="preserve"> </w:t>
      </w:r>
      <w:r w:rsidRPr="00E2020D">
        <w:rPr>
          <w:rFonts w:cs="Arial"/>
        </w:rPr>
        <w:t>=</w:t>
      </w:r>
      <w:r w:rsidRPr="00E2020D">
        <w:rPr>
          <w:rFonts w:cs="Arial"/>
          <w:spacing w:val="-2"/>
        </w:rPr>
        <w:t xml:space="preserve"> </w:t>
      </w:r>
      <w:r w:rsidRPr="00E2020D">
        <w:rPr>
          <w:rFonts w:cs="Arial"/>
          <w:spacing w:val="-1"/>
        </w:rPr>
        <w:t>10</w:t>
      </w:r>
      <w:r w:rsidRPr="00E2020D">
        <w:rPr>
          <w:rFonts w:cs="Arial"/>
          <w:spacing w:val="-2"/>
        </w:rPr>
        <w:t xml:space="preserve"> </w:t>
      </w:r>
      <w:r w:rsidR="00BB13FD" w:rsidRPr="00E2020D">
        <w:rPr>
          <w:rFonts w:cs="Arial"/>
        </w:rPr>
        <w:t>mL</w:t>
      </w:r>
      <w:r w:rsidRPr="00E2020D">
        <w:rPr>
          <w:rFonts w:cs="Arial"/>
        </w:rPr>
        <w:t xml:space="preserve"> </w:t>
      </w:r>
      <w:r w:rsidRPr="00E2020D">
        <w:rPr>
          <w:rFonts w:cs="Arial"/>
          <w:spacing w:val="-1"/>
        </w:rPr>
        <w:t>acetone</w:t>
      </w:r>
      <w:r w:rsidRPr="00E2020D">
        <w:rPr>
          <w:rFonts w:cs="Arial"/>
        </w:rPr>
        <w:t xml:space="preserve"> </w:t>
      </w:r>
      <w:r w:rsidRPr="00E2020D">
        <w:rPr>
          <w:rFonts w:cs="Arial"/>
          <w:spacing w:val="-1"/>
        </w:rPr>
        <w:t>extract</w:t>
      </w:r>
    </w:p>
    <w:p w14:paraId="3E4248D9" w14:textId="34B3022A" w:rsidR="0031675F" w:rsidRPr="00E2020D" w:rsidRDefault="0031675F" w:rsidP="0031675F">
      <w:pPr>
        <w:spacing w:after="120"/>
        <w:ind w:left="40"/>
        <w:rPr>
          <w:rFonts w:cs="Arial"/>
        </w:rPr>
      </w:pPr>
      <w:r w:rsidRPr="00E2020D">
        <w:rPr>
          <w:rFonts w:cs="Arial"/>
        </w:rPr>
        <w:t>V =</w:t>
      </w:r>
      <w:r w:rsidRPr="00E2020D">
        <w:rPr>
          <w:rFonts w:cs="Arial"/>
          <w:spacing w:val="1"/>
        </w:rPr>
        <w:t xml:space="preserve"> </w:t>
      </w:r>
      <w:r w:rsidRPr="00E2020D">
        <w:rPr>
          <w:rFonts w:cs="Arial"/>
          <w:spacing w:val="-1"/>
        </w:rPr>
        <w:t>0.100</w:t>
      </w:r>
      <w:r w:rsidRPr="00E2020D">
        <w:rPr>
          <w:rFonts w:cs="Arial"/>
        </w:rPr>
        <w:t xml:space="preserve"> </w:t>
      </w:r>
      <w:r w:rsidRPr="00E2020D">
        <w:rPr>
          <w:rFonts w:cs="Arial"/>
          <w:spacing w:val="-1"/>
        </w:rPr>
        <w:t>litres</w:t>
      </w:r>
      <w:r w:rsidRPr="00E2020D">
        <w:rPr>
          <w:rFonts w:cs="Arial"/>
          <w:spacing w:val="-2"/>
        </w:rPr>
        <w:t xml:space="preserve"> </w:t>
      </w:r>
      <w:r w:rsidRPr="00E2020D">
        <w:rPr>
          <w:rFonts w:cs="Arial"/>
        </w:rPr>
        <w:t>of</w:t>
      </w:r>
      <w:r w:rsidRPr="00E2020D">
        <w:rPr>
          <w:rFonts w:cs="Arial"/>
          <w:spacing w:val="1"/>
        </w:rPr>
        <w:t xml:space="preserve"> </w:t>
      </w:r>
      <w:r w:rsidRPr="00E2020D">
        <w:rPr>
          <w:rFonts w:cs="Arial"/>
          <w:spacing w:val="-1"/>
        </w:rPr>
        <w:t>seawater</w:t>
      </w:r>
      <w:r w:rsidRPr="00E2020D">
        <w:rPr>
          <w:rFonts w:cs="Arial"/>
          <w:spacing w:val="-2"/>
        </w:rPr>
        <w:t xml:space="preserve"> </w:t>
      </w:r>
      <w:r w:rsidRPr="00E2020D">
        <w:rPr>
          <w:rFonts w:cs="Arial"/>
          <w:spacing w:val="-1"/>
        </w:rPr>
        <w:t xml:space="preserve">filtered </w:t>
      </w:r>
      <w:r w:rsidRPr="00E2020D">
        <w:rPr>
          <w:rFonts w:cs="Arial"/>
          <w:spacing w:val="-2"/>
        </w:rPr>
        <w:t>per</w:t>
      </w:r>
      <w:r w:rsidRPr="00E2020D">
        <w:rPr>
          <w:rFonts w:cs="Arial"/>
        </w:rPr>
        <w:t xml:space="preserve"> </w:t>
      </w:r>
      <w:r w:rsidRPr="00E2020D">
        <w:rPr>
          <w:rFonts w:cs="Arial"/>
          <w:spacing w:val="-1"/>
        </w:rPr>
        <w:t>sample</w:t>
      </w:r>
      <w:r w:rsidRPr="00E2020D">
        <w:rPr>
          <w:rFonts w:cs="Arial"/>
          <w:spacing w:val="-2"/>
        </w:rPr>
        <w:t xml:space="preserve"> </w:t>
      </w:r>
      <w:r w:rsidRPr="00E2020D">
        <w:rPr>
          <w:rFonts w:cs="Arial"/>
          <w:spacing w:val="-1"/>
        </w:rPr>
        <w:t>(100</w:t>
      </w:r>
      <w:r w:rsidRPr="00E2020D">
        <w:rPr>
          <w:rFonts w:cs="Arial"/>
          <w:spacing w:val="-2"/>
        </w:rPr>
        <w:t xml:space="preserve"> </w:t>
      </w:r>
      <w:r w:rsidR="00BB13FD" w:rsidRPr="00E2020D">
        <w:rPr>
          <w:rFonts w:cs="Arial"/>
          <w:spacing w:val="-1"/>
        </w:rPr>
        <w:t>mL</w:t>
      </w:r>
      <w:r w:rsidRPr="00E2020D">
        <w:rPr>
          <w:rFonts w:cs="Arial"/>
          <w:spacing w:val="-1"/>
        </w:rPr>
        <w:t>)</w:t>
      </w:r>
    </w:p>
    <w:p w14:paraId="0FF177B0" w14:textId="77777777" w:rsidR="0031675F" w:rsidRPr="00E2020D" w:rsidRDefault="0031675F" w:rsidP="0031675F">
      <w:pPr>
        <w:spacing w:before="56" w:after="120"/>
        <w:jc w:val="both"/>
        <w:rPr>
          <w:rFonts w:cs="Arial"/>
        </w:rPr>
      </w:pPr>
      <w:r w:rsidRPr="00E2020D">
        <w:rPr>
          <w:rFonts w:cs="Arial"/>
          <w:spacing w:val="-1"/>
        </w:rPr>
        <w:t>therefore:</w:t>
      </w:r>
    </w:p>
    <w:p w14:paraId="5A358BC9" w14:textId="77777777" w:rsidR="0031675F" w:rsidRPr="00E2020D" w:rsidRDefault="0031675F" w:rsidP="0031675F">
      <w:pPr>
        <w:spacing w:after="120"/>
        <w:ind w:left="826"/>
        <w:rPr>
          <w:rFonts w:cs="Arial"/>
        </w:rPr>
      </w:pPr>
      <w:r w:rsidRPr="00E2020D">
        <w:rPr>
          <w:rFonts w:cs="Arial"/>
          <w:spacing w:val="-1"/>
        </w:rPr>
        <w:t>F</w:t>
      </w:r>
      <w:r w:rsidRPr="00E2020D">
        <w:rPr>
          <w:rFonts w:cs="Arial"/>
          <w:spacing w:val="-1"/>
          <w:position w:val="-3"/>
        </w:rPr>
        <w:t>D</w:t>
      </w:r>
      <w:r w:rsidRPr="00E2020D">
        <w:rPr>
          <w:rFonts w:cs="Arial"/>
          <w:spacing w:val="-1"/>
          <w:position w:val="6"/>
        </w:rPr>
        <w:t>"</w:t>
      </w:r>
      <w:r w:rsidRPr="00E2020D">
        <w:rPr>
          <w:rFonts w:cs="Arial"/>
          <w:position w:val="6"/>
        </w:rPr>
        <w:t xml:space="preserve"> </w:t>
      </w:r>
      <w:r w:rsidRPr="00E2020D">
        <w:rPr>
          <w:rFonts w:cs="Arial"/>
        </w:rPr>
        <w:t>=</w:t>
      </w:r>
      <w:r w:rsidRPr="00E2020D">
        <w:rPr>
          <w:rFonts w:cs="Arial"/>
          <w:spacing w:val="-2"/>
        </w:rPr>
        <w:t xml:space="preserve"> </w:t>
      </w:r>
      <w:r w:rsidRPr="00E2020D">
        <w:rPr>
          <w:rFonts w:cs="Arial"/>
          <w:spacing w:val="-1"/>
        </w:rPr>
        <w:t>183</w:t>
      </w:r>
      <w:r w:rsidRPr="00E2020D">
        <w:rPr>
          <w:rFonts w:cs="Arial"/>
          <w:spacing w:val="-2"/>
        </w:rPr>
        <w:t xml:space="preserve"> </w:t>
      </w:r>
      <w:r w:rsidRPr="00E2020D">
        <w:rPr>
          <w:rFonts w:cs="Arial"/>
        </w:rPr>
        <w:t xml:space="preserve">x </w:t>
      </w:r>
      <w:r w:rsidRPr="00E2020D">
        <w:rPr>
          <w:rFonts w:cs="Arial"/>
          <w:spacing w:val="-2"/>
        </w:rPr>
        <w:t>F</w:t>
      </w:r>
      <w:r w:rsidRPr="00E2020D">
        <w:rPr>
          <w:rFonts w:cs="Arial"/>
          <w:spacing w:val="-2"/>
          <w:position w:val="-3"/>
        </w:rPr>
        <w:t>D</w:t>
      </w:r>
    </w:p>
    <w:p w14:paraId="53409468" w14:textId="77777777" w:rsidR="0031675F" w:rsidRPr="00E2020D" w:rsidRDefault="0031675F" w:rsidP="0031675F">
      <w:pPr>
        <w:spacing w:before="270" w:after="120"/>
        <w:ind w:left="138" w:right="115"/>
        <w:jc w:val="both"/>
        <w:rPr>
          <w:rFonts w:cs="Arial"/>
        </w:rPr>
      </w:pPr>
      <w:r w:rsidRPr="00E2020D">
        <w:rPr>
          <w:rFonts w:cs="Arial"/>
          <w:spacing w:val="-1"/>
        </w:rPr>
        <w:t>The</w:t>
      </w:r>
      <w:r w:rsidRPr="00E2020D">
        <w:rPr>
          <w:rFonts w:cs="Arial"/>
          <w:spacing w:val="3"/>
        </w:rPr>
        <w:t xml:space="preserve"> </w:t>
      </w:r>
      <w:r w:rsidRPr="00E2020D">
        <w:rPr>
          <w:rFonts w:cs="Arial"/>
          <w:spacing w:val="-1"/>
        </w:rPr>
        <w:t>calculations</w:t>
      </w:r>
      <w:r w:rsidRPr="00E2020D">
        <w:rPr>
          <w:rFonts w:cs="Arial"/>
          <w:spacing w:val="2"/>
        </w:rPr>
        <w:t xml:space="preserve"> </w:t>
      </w:r>
      <w:r w:rsidRPr="00E2020D">
        <w:rPr>
          <w:rFonts w:cs="Arial"/>
          <w:spacing w:val="-1"/>
        </w:rPr>
        <w:t>for</w:t>
      </w:r>
      <w:r w:rsidRPr="00E2020D">
        <w:rPr>
          <w:rFonts w:cs="Arial"/>
        </w:rPr>
        <w:t xml:space="preserve"> </w:t>
      </w:r>
      <w:r w:rsidRPr="00E2020D">
        <w:rPr>
          <w:rFonts w:cs="Arial"/>
          <w:spacing w:val="-1"/>
        </w:rPr>
        <w:t>this</w:t>
      </w:r>
      <w:r w:rsidRPr="00E2020D">
        <w:rPr>
          <w:rFonts w:cs="Arial"/>
          <w:spacing w:val="2"/>
        </w:rPr>
        <w:t xml:space="preserve"> </w:t>
      </w:r>
      <w:r w:rsidRPr="00E2020D">
        <w:rPr>
          <w:rFonts w:cs="Arial"/>
          <w:spacing w:val="-1"/>
        </w:rPr>
        <w:t>calibration</w:t>
      </w:r>
      <w:r w:rsidRPr="00E2020D">
        <w:rPr>
          <w:rFonts w:cs="Arial"/>
          <w:spacing w:val="2"/>
        </w:rPr>
        <w:t xml:space="preserve"> </w:t>
      </w:r>
      <w:r w:rsidRPr="00E2020D">
        <w:rPr>
          <w:rFonts w:cs="Arial"/>
        </w:rPr>
        <w:t>can</w:t>
      </w:r>
      <w:r w:rsidRPr="00E2020D">
        <w:rPr>
          <w:rFonts w:cs="Arial"/>
          <w:spacing w:val="2"/>
        </w:rPr>
        <w:t xml:space="preserve"> </w:t>
      </w:r>
      <w:r w:rsidRPr="00E2020D">
        <w:rPr>
          <w:rFonts w:cs="Arial"/>
          <w:spacing w:val="-1"/>
        </w:rPr>
        <w:t>be</w:t>
      </w:r>
      <w:r w:rsidRPr="00E2020D">
        <w:rPr>
          <w:rFonts w:cs="Arial"/>
          <w:spacing w:val="3"/>
        </w:rPr>
        <w:t xml:space="preserve"> </w:t>
      </w:r>
      <w:r w:rsidRPr="00E2020D">
        <w:rPr>
          <w:rFonts w:cs="Arial"/>
          <w:spacing w:val="-1"/>
        </w:rPr>
        <w:t>done</w:t>
      </w:r>
      <w:r w:rsidRPr="00E2020D">
        <w:rPr>
          <w:rFonts w:cs="Arial"/>
          <w:spacing w:val="3"/>
        </w:rPr>
        <w:t xml:space="preserve"> </w:t>
      </w:r>
      <w:r w:rsidRPr="00E2020D">
        <w:rPr>
          <w:rFonts w:cs="Arial"/>
          <w:spacing w:val="-1"/>
        </w:rPr>
        <w:t>automatically</w:t>
      </w:r>
      <w:r w:rsidRPr="00E2020D">
        <w:rPr>
          <w:rFonts w:cs="Arial"/>
          <w:spacing w:val="3"/>
        </w:rPr>
        <w:t xml:space="preserve"> </w:t>
      </w:r>
      <w:r w:rsidRPr="00E2020D">
        <w:rPr>
          <w:rFonts w:cs="Arial"/>
          <w:spacing w:val="-1"/>
        </w:rPr>
        <w:t>using</w:t>
      </w:r>
      <w:r w:rsidRPr="00E2020D">
        <w:rPr>
          <w:rFonts w:cs="Arial"/>
          <w:spacing w:val="2"/>
        </w:rPr>
        <w:t xml:space="preserve"> </w:t>
      </w:r>
      <w:r w:rsidRPr="00E2020D">
        <w:rPr>
          <w:rFonts w:cs="Arial"/>
        </w:rPr>
        <w:t>the</w:t>
      </w:r>
      <w:r w:rsidRPr="00E2020D">
        <w:rPr>
          <w:rFonts w:cs="Arial"/>
          <w:spacing w:val="3"/>
        </w:rPr>
        <w:t xml:space="preserve"> </w:t>
      </w:r>
      <w:r w:rsidRPr="00E2020D">
        <w:rPr>
          <w:rFonts w:cs="Arial"/>
          <w:spacing w:val="-1"/>
        </w:rPr>
        <w:t>EXCEL</w:t>
      </w:r>
      <w:r w:rsidRPr="00E2020D">
        <w:rPr>
          <w:rFonts w:cs="Arial"/>
          <w:spacing w:val="3"/>
        </w:rPr>
        <w:t xml:space="preserve"> </w:t>
      </w:r>
      <w:r w:rsidRPr="00E2020D">
        <w:rPr>
          <w:rFonts w:cs="Arial"/>
          <w:spacing w:val="-1"/>
        </w:rPr>
        <w:t>spreadsheet</w:t>
      </w:r>
      <w:r w:rsidRPr="00E2020D">
        <w:rPr>
          <w:rFonts w:cs="Arial"/>
          <w:spacing w:val="3"/>
        </w:rPr>
        <w:t xml:space="preserve"> </w:t>
      </w:r>
      <w:r w:rsidRPr="00E2020D">
        <w:rPr>
          <w:rFonts w:cs="Arial"/>
          <w:spacing w:val="-1"/>
        </w:rPr>
        <w:t>template</w:t>
      </w:r>
      <w:r w:rsidRPr="00E2020D">
        <w:rPr>
          <w:rFonts w:cs="Arial"/>
          <w:spacing w:val="69"/>
        </w:rPr>
        <w:t xml:space="preserve"> </w:t>
      </w:r>
      <w:r w:rsidRPr="00E2020D">
        <w:rPr>
          <w:rFonts w:cs="Arial"/>
          <w:spacing w:val="-1"/>
        </w:rPr>
        <w:t>"Calib.</w:t>
      </w:r>
      <w:r w:rsidRPr="00E2020D">
        <w:rPr>
          <w:rFonts w:cs="Arial"/>
          <w:spacing w:val="24"/>
        </w:rPr>
        <w:t xml:space="preserve"> </w:t>
      </w:r>
      <w:r w:rsidRPr="00E2020D">
        <w:rPr>
          <w:rFonts w:cs="Arial"/>
          <w:spacing w:val="-1"/>
        </w:rPr>
        <w:t>fluoro</w:t>
      </w:r>
      <w:r w:rsidRPr="00E2020D">
        <w:rPr>
          <w:rFonts w:cs="Arial"/>
          <w:spacing w:val="24"/>
        </w:rPr>
        <w:t xml:space="preserve"> </w:t>
      </w:r>
      <w:r w:rsidRPr="00E2020D">
        <w:rPr>
          <w:rFonts w:cs="Arial"/>
          <w:spacing w:val="-1"/>
        </w:rPr>
        <w:t>template".</w:t>
      </w:r>
      <w:r w:rsidRPr="00E2020D">
        <w:rPr>
          <w:rFonts w:cs="Arial"/>
          <w:spacing w:val="47"/>
        </w:rPr>
        <w:t xml:space="preserve"> </w:t>
      </w:r>
      <w:r w:rsidRPr="00E2020D">
        <w:rPr>
          <w:rFonts w:cs="Arial"/>
        </w:rPr>
        <w:t>A</w:t>
      </w:r>
      <w:r w:rsidRPr="00E2020D">
        <w:rPr>
          <w:rFonts w:cs="Arial"/>
          <w:spacing w:val="24"/>
        </w:rPr>
        <w:t xml:space="preserve"> </w:t>
      </w:r>
      <w:r w:rsidRPr="00E2020D">
        <w:rPr>
          <w:rFonts w:cs="Arial"/>
          <w:spacing w:val="-1"/>
        </w:rPr>
        <w:t>example</w:t>
      </w:r>
      <w:r w:rsidRPr="00E2020D">
        <w:rPr>
          <w:rFonts w:cs="Arial"/>
          <w:spacing w:val="25"/>
        </w:rPr>
        <w:t xml:space="preserve"> </w:t>
      </w:r>
      <w:r w:rsidRPr="00E2020D">
        <w:rPr>
          <w:rFonts w:cs="Arial"/>
          <w:spacing w:val="-1"/>
        </w:rPr>
        <w:t>work</w:t>
      </w:r>
      <w:r w:rsidRPr="00E2020D">
        <w:rPr>
          <w:rFonts w:cs="Arial"/>
          <w:spacing w:val="24"/>
        </w:rPr>
        <w:t xml:space="preserve"> </w:t>
      </w:r>
      <w:r w:rsidRPr="00E2020D">
        <w:rPr>
          <w:rFonts w:cs="Arial"/>
          <w:spacing w:val="-1"/>
        </w:rPr>
        <w:t>form</w:t>
      </w:r>
      <w:r w:rsidRPr="00E2020D">
        <w:rPr>
          <w:rFonts w:cs="Arial"/>
          <w:spacing w:val="23"/>
        </w:rPr>
        <w:t xml:space="preserve"> </w:t>
      </w:r>
      <w:r w:rsidRPr="00E2020D">
        <w:rPr>
          <w:rFonts w:cs="Arial"/>
          <w:spacing w:val="-1"/>
        </w:rPr>
        <w:t>derived</w:t>
      </w:r>
      <w:r w:rsidRPr="00E2020D">
        <w:rPr>
          <w:rFonts w:cs="Arial"/>
          <w:spacing w:val="24"/>
        </w:rPr>
        <w:t xml:space="preserve"> </w:t>
      </w:r>
      <w:r w:rsidRPr="00E2020D">
        <w:rPr>
          <w:rFonts w:cs="Arial"/>
          <w:spacing w:val="-1"/>
        </w:rPr>
        <w:t>from</w:t>
      </w:r>
      <w:r w:rsidRPr="00E2020D">
        <w:rPr>
          <w:rFonts w:cs="Arial"/>
          <w:spacing w:val="26"/>
        </w:rPr>
        <w:t xml:space="preserve"> </w:t>
      </w:r>
      <w:r w:rsidRPr="00E2020D">
        <w:rPr>
          <w:rFonts w:cs="Arial"/>
          <w:spacing w:val="-1"/>
        </w:rPr>
        <w:t>this</w:t>
      </w:r>
      <w:r w:rsidRPr="00E2020D">
        <w:rPr>
          <w:rFonts w:cs="Arial"/>
          <w:spacing w:val="25"/>
        </w:rPr>
        <w:t xml:space="preserve"> </w:t>
      </w:r>
      <w:r w:rsidRPr="00E2020D">
        <w:rPr>
          <w:rFonts w:cs="Arial"/>
          <w:spacing w:val="-1"/>
        </w:rPr>
        <w:t>spreadsheet</w:t>
      </w:r>
      <w:r w:rsidRPr="00E2020D">
        <w:rPr>
          <w:rFonts w:cs="Arial"/>
          <w:spacing w:val="26"/>
        </w:rPr>
        <w:t xml:space="preserve"> </w:t>
      </w:r>
      <w:r w:rsidRPr="00E2020D">
        <w:rPr>
          <w:rFonts w:cs="Arial"/>
        </w:rPr>
        <w:t>is</w:t>
      </w:r>
      <w:r w:rsidRPr="00E2020D">
        <w:rPr>
          <w:rFonts w:cs="Arial"/>
          <w:spacing w:val="24"/>
        </w:rPr>
        <w:t xml:space="preserve"> </w:t>
      </w:r>
      <w:r w:rsidRPr="00E2020D">
        <w:rPr>
          <w:rFonts w:cs="Arial"/>
          <w:spacing w:val="-1"/>
        </w:rPr>
        <w:t>shown</w:t>
      </w:r>
      <w:r w:rsidRPr="00E2020D">
        <w:rPr>
          <w:rFonts w:cs="Arial"/>
          <w:spacing w:val="24"/>
        </w:rPr>
        <w:t xml:space="preserve"> </w:t>
      </w:r>
      <w:r w:rsidRPr="00E2020D">
        <w:rPr>
          <w:rFonts w:cs="Arial"/>
        </w:rPr>
        <w:t>in</w:t>
      </w:r>
      <w:r w:rsidRPr="00E2020D">
        <w:rPr>
          <w:rFonts w:cs="Arial"/>
          <w:spacing w:val="63"/>
        </w:rPr>
        <w:t xml:space="preserve"> </w:t>
      </w:r>
      <w:r w:rsidRPr="00E2020D">
        <w:rPr>
          <w:rFonts w:cs="Arial"/>
          <w:spacing w:val="-1"/>
        </w:rPr>
        <w:t>Attachment</w:t>
      </w:r>
      <w:r w:rsidRPr="00E2020D">
        <w:rPr>
          <w:rFonts w:cs="Arial"/>
          <w:spacing w:val="-2"/>
        </w:rPr>
        <w:t xml:space="preserve"> </w:t>
      </w:r>
      <w:r w:rsidRPr="00E2020D">
        <w:rPr>
          <w:rFonts w:cs="Arial"/>
          <w:spacing w:val="-1"/>
        </w:rPr>
        <w:t>9.3.</w:t>
      </w:r>
    </w:p>
    <w:p w14:paraId="6F8A3351" w14:textId="77777777" w:rsidR="0031675F" w:rsidRPr="00E2020D" w:rsidRDefault="0031675F" w:rsidP="0031675F">
      <w:pPr>
        <w:spacing w:before="10"/>
        <w:rPr>
          <w:rFonts w:cs="Arial"/>
          <w:sz w:val="21"/>
          <w:szCs w:val="21"/>
        </w:rPr>
      </w:pPr>
    </w:p>
    <w:p w14:paraId="23DFACF4" w14:textId="32429690" w:rsidR="0031675F" w:rsidRPr="00E2020D" w:rsidRDefault="0031675F" w:rsidP="0031675F">
      <w:pPr>
        <w:spacing w:after="120"/>
        <w:ind w:left="138" w:right="112"/>
        <w:jc w:val="both"/>
        <w:rPr>
          <w:rFonts w:cs="Arial"/>
        </w:rPr>
      </w:pPr>
      <w:r w:rsidRPr="00E2020D">
        <w:rPr>
          <w:rFonts w:cs="Arial"/>
          <w:spacing w:val="-1"/>
        </w:rPr>
        <w:t>The</w:t>
      </w:r>
      <w:r w:rsidRPr="00E2020D">
        <w:rPr>
          <w:rFonts w:cs="Arial"/>
          <w:spacing w:val="6"/>
        </w:rPr>
        <w:t xml:space="preserve"> </w:t>
      </w:r>
      <w:r w:rsidRPr="00E2020D">
        <w:rPr>
          <w:rFonts w:cs="Arial"/>
          <w:spacing w:val="-1"/>
        </w:rPr>
        <w:t>new</w:t>
      </w:r>
      <w:r w:rsidRPr="00E2020D">
        <w:rPr>
          <w:rFonts w:cs="Arial"/>
          <w:spacing w:val="6"/>
        </w:rPr>
        <w:t xml:space="preserve"> </w:t>
      </w:r>
      <w:r w:rsidRPr="00E2020D">
        <w:rPr>
          <w:rFonts w:cs="Arial"/>
          <w:spacing w:val="-1"/>
        </w:rPr>
        <w:t>calibration</w:t>
      </w:r>
      <w:r w:rsidRPr="00E2020D">
        <w:rPr>
          <w:rFonts w:cs="Arial"/>
          <w:spacing w:val="5"/>
        </w:rPr>
        <w:t xml:space="preserve"> </w:t>
      </w:r>
      <w:r w:rsidRPr="00E2020D">
        <w:rPr>
          <w:rFonts w:cs="Arial"/>
          <w:spacing w:val="-2"/>
        </w:rPr>
        <w:t>should</w:t>
      </w:r>
      <w:r w:rsidRPr="00E2020D">
        <w:rPr>
          <w:rFonts w:cs="Arial"/>
          <w:spacing w:val="4"/>
        </w:rPr>
        <w:t xml:space="preserve"> </w:t>
      </w:r>
      <w:r w:rsidRPr="00E2020D">
        <w:rPr>
          <w:rFonts w:cs="Arial"/>
        </w:rPr>
        <w:t>then</w:t>
      </w:r>
      <w:r w:rsidRPr="00E2020D">
        <w:rPr>
          <w:rFonts w:cs="Arial"/>
          <w:spacing w:val="5"/>
        </w:rPr>
        <w:t xml:space="preserve"> </w:t>
      </w:r>
      <w:r w:rsidRPr="00E2020D">
        <w:rPr>
          <w:rFonts w:cs="Arial"/>
          <w:spacing w:val="-1"/>
        </w:rPr>
        <w:t>be</w:t>
      </w:r>
      <w:r w:rsidRPr="00E2020D">
        <w:rPr>
          <w:rFonts w:cs="Arial"/>
          <w:spacing w:val="6"/>
        </w:rPr>
        <w:t xml:space="preserve"> </w:t>
      </w:r>
      <w:r w:rsidRPr="00E2020D">
        <w:rPr>
          <w:rFonts w:cs="Arial"/>
          <w:spacing w:val="-1"/>
        </w:rPr>
        <w:t>assigned</w:t>
      </w:r>
      <w:r w:rsidRPr="00E2020D">
        <w:rPr>
          <w:rFonts w:cs="Arial"/>
          <w:spacing w:val="5"/>
        </w:rPr>
        <w:t xml:space="preserve"> </w:t>
      </w:r>
      <w:r w:rsidRPr="00E2020D">
        <w:rPr>
          <w:rFonts w:cs="Arial"/>
        </w:rPr>
        <w:t>a</w:t>
      </w:r>
      <w:r w:rsidRPr="00E2020D">
        <w:rPr>
          <w:rFonts w:cs="Arial"/>
          <w:spacing w:val="5"/>
        </w:rPr>
        <w:t xml:space="preserve"> </w:t>
      </w:r>
      <w:r w:rsidRPr="00E2020D">
        <w:rPr>
          <w:rFonts w:cs="Arial"/>
        </w:rPr>
        <w:t>number</w:t>
      </w:r>
      <w:r w:rsidRPr="00E2020D">
        <w:rPr>
          <w:rFonts w:cs="Arial"/>
          <w:spacing w:val="6"/>
        </w:rPr>
        <w:t xml:space="preserve"> </w:t>
      </w:r>
      <w:r w:rsidRPr="00E2020D">
        <w:rPr>
          <w:rFonts w:cs="Arial"/>
          <w:spacing w:val="-1"/>
        </w:rPr>
        <w:t>and</w:t>
      </w:r>
      <w:r w:rsidRPr="00E2020D">
        <w:rPr>
          <w:rFonts w:cs="Arial"/>
          <w:spacing w:val="5"/>
        </w:rPr>
        <w:t xml:space="preserve"> </w:t>
      </w:r>
      <w:r w:rsidRPr="00E2020D">
        <w:rPr>
          <w:rFonts w:cs="Arial"/>
          <w:spacing w:val="-1"/>
        </w:rPr>
        <w:t>recorded</w:t>
      </w:r>
      <w:r w:rsidRPr="00E2020D">
        <w:rPr>
          <w:rFonts w:cs="Arial"/>
          <w:spacing w:val="5"/>
        </w:rPr>
        <w:t xml:space="preserve"> </w:t>
      </w:r>
      <w:r w:rsidRPr="00E2020D">
        <w:rPr>
          <w:rFonts w:cs="Arial"/>
          <w:spacing w:val="-1"/>
        </w:rPr>
        <w:t>against</w:t>
      </w:r>
      <w:r w:rsidRPr="00E2020D">
        <w:rPr>
          <w:rFonts w:cs="Arial"/>
          <w:spacing w:val="6"/>
        </w:rPr>
        <w:t xml:space="preserve"> </w:t>
      </w:r>
      <w:r w:rsidRPr="00E2020D">
        <w:rPr>
          <w:rFonts w:cs="Arial"/>
        </w:rPr>
        <w:t>the</w:t>
      </w:r>
      <w:r w:rsidRPr="00E2020D">
        <w:rPr>
          <w:rFonts w:cs="Arial"/>
          <w:spacing w:val="6"/>
        </w:rPr>
        <w:t xml:space="preserve"> </w:t>
      </w:r>
      <w:r w:rsidRPr="00E2020D">
        <w:rPr>
          <w:rFonts w:cs="Arial"/>
          <w:spacing w:val="-1"/>
        </w:rPr>
        <w:t>date</w:t>
      </w:r>
      <w:r w:rsidRPr="00E2020D">
        <w:rPr>
          <w:rFonts w:cs="Arial"/>
          <w:spacing w:val="6"/>
        </w:rPr>
        <w:t xml:space="preserve"> </w:t>
      </w:r>
      <w:r w:rsidRPr="00E2020D">
        <w:rPr>
          <w:rFonts w:cs="Arial"/>
        </w:rPr>
        <w:t>of</w:t>
      </w:r>
      <w:r w:rsidRPr="00E2020D">
        <w:rPr>
          <w:rFonts w:cs="Arial"/>
          <w:spacing w:val="5"/>
        </w:rPr>
        <w:t xml:space="preserve"> </w:t>
      </w:r>
      <w:r w:rsidRPr="00E2020D">
        <w:rPr>
          <w:rFonts w:cs="Arial"/>
          <w:spacing w:val="-1"/>
        </w:rPr>
        <w:t>the</w:t>
      </w:r>
      <w:r w:rsidRPr="00E2020D">
        <w:rPr>
          <w:rFonts w:cs="Arial"/>
          <w:spacing w:val="63"/>
        </w:rPr>
        <w:t xml:space="preserve"> </w:t>
      </w:r>
      <w:r w:rsidRPr="00E2020D">
        <w:rPr>
          <w:rFonts w:cs="Arial"/>
          <w:spacing w:val="-1"/>
        </w:rPr>
        <w:t>calibration</w:t>
      </w:r>
      <w:r w:rsidRPr="00E2020D">
        <w:rPr>
          <w:rFonts w:cs="Arial"/>
          <w:spacing w:val="11"/>
        </w:rPr>
        <w:t xml:space="preserve"> </w:t>
      </w:r>
      <w:r w:rsidRPr="00E2020D">
        <w:rPr>
          <w:rFonts w:cs="Arial"/>
        </w:rPr>
        <w:t>on</w:t>
      </w:r>
      <w:r w:rsidRPr="00E2020D">
        <w:rPr>
          <w:rFonts w:cs="Arial"/>
          <w:spacing w:val="11"/>
        </w:rPr>
        <w:t xml:space="preserve"> </w:t>
      </w:r>
      <w:r w:rsidRPr="00E2020D">
        <w:rPr>
          <w:rFonts w:cs="Arial"/>
        </w:rPr>
        <w:t>the</w:t>
      </w:r>
      <w:r w:rsidRPr="00E2020D">
        <w:rPr>
          <w:rFonts w:cs="Arial"/>
          <w:spacing w:val="12"/>
        </w:rPr>
        <w:t xml:space="preserve"> </w:t>
      </w:r>
      <w:r w:rsidRPr="00E2020D">
        <w:rPr>
          <w:rFonts w:cs="Arial"/>
          <w:spacing w:val="-1"/>
        </w:rPr>
        <w:t>EXCEL</w:t>
      </w:r>
      <w:r w:rsidRPr="00E2020D">
        <w:rPr>
          <w:rFonts w:cs="Arial"/>
          <w:spacing w:val="13"/>
        </w:rPr>
        <w:t xml:space="preserve"> </w:t>
      </w:r>
      <w:r w:rsidRPr="00E2020D">
        <w:rPr>
          <w:rFonts w:cs="Arial"/>
          <w:spacing w:val="-1"/>
        </w:rPr>
        <w:t>spreadsheet</w:t>
      </w:r>
      <w:r w:rsidRPr="00E2020D">
        <w:rPr>
          <w:rFonts w:cs="Arial"/>
          <w:spacing w:val="13"/>
        </w:rPr>
        <w:t xml:space="preserve"> </w:t>
      </w:r>
      <w:r w:rsidRPr="00E2020D">
        <w:rPr>
          <w:rFonts w:cs="Arial"/>
        </w:rPr>
        <w:t>"Chl</w:t>
      </w:r>
      <w:r w:rsidR="004F29DF" w:rsidRPr="00E2020D">
        <w:rPr>
          <w:rFonts w:cs="Arial"/>
          <w:spacing w:val="11"/>
        </w:rPr>
        <w:t>-</w:t>
      </w:r>
      <w:r w:rsidRPr="00E2020D">
        <w:rPr>
          <w:rFonts w:cs="Arial"/>
          <w:i/>
        </w:rPr>
        <w:t>a</w:t>
      </w:r>
      <w:r w:rsidRPr="00E2020D">
        <w:rPr>
          <w:rFonts w:cs="Arial"/>
          <w:spacing w:val="12"/>
        </w:rPr>
        <w:t xml:space="preserve"> </w:t>
      </w:r>
      <w:r w:rsidRPr="00E2020D">
        <w:rPr>
          <w:rFonts w:cs="Arial"/>
          <w:spacing w:val="-1"/>
        </w:rPr>
        <w:t>calibration</w:t>
      </w:r>
      <w:r w:rsidRPr="00E2020D">
        <w:rPr>
          <w:rFonts w:cs="Arial"/>
          <w:spacing w:val="11"/>
        </w:rPr>
        <w:t xml:space="preserve"> </w:t>
      </w:r>
      <w:r w:rsidRPr="00E2020D">
        <w:rPr>
          <w:rFonts w:cs="Arial"/>
          <w:spacing w:val="-1"/>
        </w:rPr>
        <w:t>equations"</w:t>
      </w:r>
      <w:r w:rsidRPr="00E2020D">
        <w:rPr>
          <w:rFonts w:cs="Arial"/>
          <w:spacing w:val="12"/>
        </w:rPr>
        <w:t xml:space="preserve"> </w:t>
      </w:r>
      <w:r w:rsidRPr="00E2020D">
        <w:rPr>
          <w:rFonts w:cs="Arial"/>
        </w:rPr>
        <w:t>as</w:t>
      </w:r>
      <w:r w:rsidRPr="00E2020D">
        <w:rPr>
          <w:rFonts w:cs="Arial"/>
          <w:spacing w:val="12"/>
        </w:rPr>
        <w:t xml:space="preserve"> </w:t>
      </w:r>
      <w:r w:rsidRPr="00E2020D">
        <w:rPr>
          <w:rFonts w:cs="Arial"/>
          <w:spacing w:val="-1"/>
        </w:rPr>
        <w:t>shown</w:t>
      </w:r>
      <w:r w:rsidRPr="00E2020D">
        <w:rPr>
          <w:rFonts w:cs="Arial"/>
          <w:spacing w:val="12"/>
        </w:rPr>
        <w:t xml:space="preserve"> </w:t>
      </w:r>
      <w:r w:rsidRPr="00E2020D">
        <w:rPr>
          <w:rFonts w:cs="Arial"/>
        </w:rPr>
        <w:t>in</w:t>
      </w:r>
      <w:r w:rsidRPr="00E2020D">
        <w:rPr>
          <w:rFonts w:cs="Arial"/>
          <w:spacing w:val="13"/>
        </w:rPr>
        <w:t xml:space="preserve"> </w:t>
      </w:r>
      <w:r w:rsidRPr="00E2020D">
        <w:rPr>
          <w:rFonts w:cs="Arial"/>
          <w:spacing w:val="-1"/>
        </w:rPr>
        <w:t>Attachment</w:t>
      </w:r>
      <w:r w:rsidRPr="00E2020D">
        <w:rPr>
          <w:rFonts w:cs="Arial"/>
          <w:spacing w:val="12"/>
        </w:rPr>
        <w:t xml:space="preserve"> </w:t>
      </w:r>
      <w:r w:rsidRPr="00E2020D">
        <w:rPr>
          <w:rFonts w:cs="Arial"/>
          <w:spacing w:val="-1"/>
        </w:rPr>
        <w:t>9.4.</w:t>
      </w:r>
      <w:r w:rsidRPr="00E2020D">
        <w:rPr>
          <w:rFonts w:cs="Arial"/>
          <w:spacing w:val="24"/>
        </w:rPr>
        <w:t xml:space="preserve"> </w:t>
      </w:r>
      <w:r w:rsidRPr="00E2020D">
        <w:rPr>
          <w:rFonts w:cs="Arial"/>
          <w:spacing w:val="-1"/>
        </w:rPr>
        <w:t>All</w:t>
      </w:r>
      <w:r w:rsidRPr="00E2020D">
        <w:rPr>
          <w:rFonts w:cs="Arial"/>
          <w:spacing w:val="85"/>
        </w:rPr>
        <w:t xml:space="preserve"> </w:t>
      </w:r>
      <w:r w:rsidRPr="00E2020D">
        <w:rPr>
          <w:rFonts w:cs="Arial"/>
          <w:spacing w:val="-1"/>
        </w:rPr>
        <w:t>measurements</w:t>
      </w:r>
      <w:r w:rsidRPr="00E2020D">
        <w:rPr>
          <w:rFonts w:cs="Arial"/>
          <w:spacing w:val="-3"/>
        </w:rPr>
        <w:t xml:space="preserve"> </w:t>
      </w:r>
      <w:r w:rsidRPr="00E2020D">
        <w:rPr>
          <w:rFonts w:cs="Arial"/>
        </w:rPr>
        <w:t>taken</w:t>
      </w:r>
      <w:r w:rsidRPr="00E2020D">
        <w:rPr>
          <w:rFonts w:cs="Arial"/>
          <w:spacing w:val="-3"/>
        </w:rPr>
        <w:t xml:space="preserve"> </w:t>
      </w:r>
      <w:r w:rsidRPr="00E2020D">
        <w:rPr>
          <w:rFonts w:cs="Arial"/>
          <w:spacing w:val="-1"/>
        </w:rPr>
        <w:t>by</w:t>
      </w:r>
      <w:r w:rsidRPr="00E2020D">
        <w:rPr>
          <w:rFonts w:cs="Arial"/>
          <w:spacing w:val="1"/>
        </w:rPr>
        <w:t xml:space="preserve"> </w:t>
      </w:r>
      <w:r w:rsidRPr="00E2020D">
        <w:rPr>
          <w:rFonts w:cs="Arial"/>
          <w:spacing w:val="-1"/>
        </w:rPr>
        <w:t>the</w:t>
      </w:r>
      <w:r w:rsidRPr="00E2020D">
        <w:rPr>
          <w:rFonts w:cs="Arial"/>
        </w:rPr>
        <w:t xml:space="preserve"> </w:t>
      </w:r>
      <w:r w:rsidRPr="00E2020D">
        <w:rPr>
          <w:rFonts w:cs="Arial"/>
          <w:spacing w:val="-1"/>
        </w:rPr>
        <w:t>machine</w:t>
      </w:r>
      <w:r w:rsidRPr="00E2020D">
        <w:rPr>
          <w:rFonts w:cs="Arial"/>
        </w:rPr>
        <w:t xml:space="preserve"> </w:t>
      </w:r>
      <w:r w:rsidRPr="00E2020D">
        <w:rPr>
          <w:rFonts w:cs="Arial"/>
          <w:spacing w:val="-1"/>
        </w:rPr>
        <w:t>after</w:t>
      </w:r>
      <w:r w:rsidRPr="00E2020D">
        <w:rPr>
          <w:rFonts w:cs="Arial"/>
        </w:rPr>
        <w:t xml:space="preserve"> </w:t>
      </w:r>
      <w:r w:rsidRPr="00E2020D">
        <w:rPr>
          <w:rFonts w:cs="Arial"/>
          <w:spacing w:val="-1"/>
        </w:rPr>
        <w:t>this</w:t>
      </w:r>
      <w:r w:rsidRPr="00E2020D">
        <w:rPr>
          <w:rFonts w:cs="Arial"/>
          <w:spacing w:val="-3"/>
        </w:rPr>
        <w:t xml:space="preserve"> </w:t>
      </w:r>
      <w:r w:rsidRPr="00E2020D">
        <w:rPr>
          <w:rFonts w:cs="Arial"/>
          <w:spacing w:val="-1"/>
        </w:rPr>
        <w:t>date</w:t>
      </w:r>
      <w:r w:rsidRPr="00E2020D">
        <w:rPr>
          <w:rFonts w:cs="Arial"/>
          <w:spacing w:val="-4"/>
        </w:rPr>
        <w:t xml:space="preserve"> </w:t>
      </w:r>
      <w:r w:rsidRPr="00E2020D">
        <w:rPr>
          <w:rFonts w:cs="Arial"/>
          <w:spacing w:val="-1"/>
        </w:rPr>
        <w:t>must</w:t>
      </w:r>
      <w:r w:rsidRPr="00E2020D">
        <w:rPr>
          <w:rFonts w:cs="Arial"/>
          <w:spacing w:val="1"/>
        </w:rPr>
        <w:t xml:space="preserve"> </w:t>
      </w:r>
      <w:r w:rsidRPr="00E2020D">
        <w:rPr>
          <w:rFonts w:cs="Arial"/>
          <w:spacing w:val="-2"/>
        </w:rPr>
        <w:t>use</w:t>
      </w:r>
      <w:r w:rsidRPr="00E2020D">
        <w:rPr>
          <w:rFonts w:cs="Arial"/>
        </w:rPr>
        <w:t xml:space="preserve"> </w:t>
      </w:r>
      <w:r w:rsidRPr="00E2020D">
        <w:rPr>
          <w:rFonts w:cs="Arial"/>
          <w:spacing w:val="-1"/>
        </w:rPr>
        <w:t>this</w:t>
      </w:r>
      <w:r w:rsidRPr="00E2020D">
        <w:rPr>
          <w:rFonts w:cs="Arial"/>
          <w:spacing w:val="-2"/>
        </w:rPr>
        <w:t xml:space="preserve"> </w:t>
      </w:r>
      <w:r w:rsidRPr="00E2020D">
        <w:rPr>
          <w:rFonts w:cs="Arial"/>
          <w:spacing w:val="-1"/>
        </w:rPr>
        <w:t>calibration equation.</w:t>
      </w:r>
    </w:p>
    <w:p w14:paraId="56FAD04D" w14:textId="77777777" w:rsidR="0031675F" w:rsidRPr="00E2020D" w:rsidRDefault="0031675F" w:rsidP="0031675F">
      <w:pPr>
        <w:rPr>
          <w:rFonts w:cs="Arial"/>
        </w:rPr>
      </w:pPr>
    </w:p>
    <w:p w14:paraId="6F15F4A2" w14:textId="77777777" w:rsidR="0031675F" w:rsidRPr="00E2020D" w:rsidRDefault="0031675F" w:rsidP="0031675F">
      <w:pPr>
        <w:widowControl w:val="0"/>
        <w:numPr>
          <w:ilvl w:val="0"/>
          <w:numId w:val="82"/>
        </w:numPr>
        <w:tabs>
          <w:tab w:val="left" w:pos="394"/>
        </w:tabs>
        <w:spacing w:before="0" w:after="0" w:line="240" w:lineRule="auto"/>
        <w:jc w:val="both"/>
        <w:rPr>
          <w:rFonts w:cs="Arial"/>
        </w:rPr>
      </w:pPr>
      <w:r w:rsidRPr="00E2020D">
        <w:rPr>
          <w:rFonts w:cs="Arial"/>
          <w:b/>
          <w:i/>
          <w:spacing w:val="-2"/>
        </w:rPr>
        <w:t>Calibration</w:t>
      </w:r>
      <w:r w:rsidRPr="00E2020D">
        <w:rPr>
          <w:rFonts w:cs="Arial"/>
          <w:b/>
          <w:i/>
          <w:spacing w:val="1"/>
        </w:rPr>
        <w:t xml:space="preserve"> </w:t>
      </w:r>
      <w:r w:rsidRPr="00E2020D">
        <w:rPr>
          <w:rFonts w:cs="Arial"/>
          <w:b/>
          <w:i/>
          <w:spacing w:val="-1"/>
        </w:rPr>
        <w:t>Control</w:t>
      </w:r>
    </w:p>
    <w:p w14:paraId="3856E2D0" w14:textId="77777777" w:rsidR="0031675F" w:rsidRPr="00E2020D" w:rsidRDefault="0031675F" w:rsidP="0031675F">
      <w:pPr>
        <w:spacing w:after="120" w:line="239" w:lineRule="auto"/>
        <w:ind w:right="131"/>
        <w:jc w:val="both"/>
        <w:rPr>
          <w:rFonts w:cs="Arial"/>
        </w:rPr>
      </w:pPr>
      <w:r w:rsidRPr="00E2020D">
        <w:rPr>
          <w:rFonts w:cs="Arial"/>
          <w:spacing w:val="-1"/>
        </w:rPr>
        <w:t>Each</w:t>
      </w:r>
      <w:r w:rsidRPr="00E2020D">
        <w:rPr>
          <w:rFonts w:cs="Arial"/>
          <w:spacing w:val="26"/>
        </w:rPr>
        <w:t xml:space="preserve"> </w:t>
      </w:r>
      <w:r w:rsidRPr="00E2020D">
        <w:rPr>
          <w:rFonts w:cs="Arial"/>
          <w:spacing w:val="-1"/>
        </w:rPr>
        <w:t>fluorometer</w:t>
      </w:r>
      <w:r w:rsidRPr="00E2020D">
        <w:rPr>
          <w:rFonts w:cs="Arial"/>
          <w:spacing w:val="27"/>
        </w:rPr>
        <w:t xml:space="preserve"> </w:t>
      </w:r>
      <w:r w:rsidRPr="00E2020D">
        <w:rPr>
          <w:rFonts w:cs="Arial"/>
          <w:spacing w:val="-1"/>
        </w:rPr>
        <w:t>has</w:t>
      </w:r>
      <w:r w:rsidRPr="00E2020D">
        <w:rPr>
          <w:rFonts w:cs="Arial"/>
          <w:spacing w:val="26"/>
        </w:rPr>
        <w:t xml:space="preserve"> </w:t>
      </w:r>
      <w:r w:rsidRPr="00E2020D">
        <w:rPr>
          <w:rFonts w:cs="Arial"/>
        </w:rPr>
        <w:t>a</w:t>
      </w:r>
      <w:r w:rsidRPr="00E2020D">
        <w:rPr>
          <w:rFonts w:cs="Arial"/>
          <w:spacing w:val="25"/>
        </w:rPr>
        <w:t xml:space="preserve"> </w:t>
      </w:r>
      <w:r w:rsidRPr="00E2020D">
        <w:rPr>
          <w:rFonts w:cs="Arial"/>
          <w:spacing w:val="-1"/>
        </w:rPr>
        <w:t>manufactured</w:t>
      </w:r>
      <w:r w:rsidRPr="00E2020D">
        <w:rPr>
          <w:rFonts w:cs="Arial"/>
          <w:spacing w:val="26"/>
        </w:rPr>
        <w:t xml:space="preserve"> </w:t>
      </w:r>
      <w:r w:rsidRPr="00E2020D">
        <w:rPr>
          <w:rFonts w:cs="Arial"/>
          <w:spacing w:val="-1"/>
        </w:rPr>
        <w:t>fluorescence</w:t>
      </w:r>
      <w:r w:rsidRPr="00E2020D">
        <w:rPr>
          <w:rFonts w:cs="Arial"/>
          <w:spacing w:val="24"/>
        </w:rPr>
        <w:t xml:space="preserve"> </w:t>
      </w:r>
      <w:r w:rsidRPr="00E2020D">
        <w:rPr>
          <w:rFonts w:cs="Arial"/>
          <w:spacing w:val="-1"/>
        </w:rPr>
        <w:t>standard</w:t>
      </w:r>
      <w:r w:rsidRPr="00E2020D">
        <w:rPr>
          <w:rFonts w:cs="Arial"/>
          <w:spacing w:val="26"/>
        </w:rPr>
        <w:t xml:space="preserve"> </w:t>
      </w:r>
      <w:r w:rsidRPr="00E2020D">
        <w:rPr>
          <w:rFonts w:cs="Arial"/>
        </w:rPr>
        <w:t>that</w:t>
      </w:r>
      <w:r w:rsidRPr="00E2020D">
        <w:rPr>
          <w:rFonts w:cs="Arial"/>
          <w:spacing w:val="27"/>
        </w:rPr>
        <w:t xml:space="preserve"> </w:t>
      </w:r>
      <w:r w:rsidRPr="00E2020D">
        <w:rPr>
          <w:rFonts w:cs="Arial"/>
        </w:rPr>
        <w:t>can</w:t>
      </w:r>
      <w:r w:rsidRPr="00E2020D">
        <w:rPr>
          <w:rFonts w:cs="Arial"/>
          <w:spacing w:val="25"/>
        </w:rPr>
        <w:t xml:space="preserve"> </w:t>
      </w:r>
      <w:r w:rsidRPr="00E2020D">
        <w:rPr>
          <w:rFonts w:cs="Arial"/>
          <w:spacing w:val="-1"/>
        </w:rPr>
        <w:t>be</w:t>
      </w:r>
      <w:r w:rsidRPr="00E2020D">
        <w:rPr>
          <w:rFonts w:cs="Arial"/>
          <w:spacing w:val="27"/>
        </w:rPr>
        <w:t xml:space="preserve"> </w:t>
      </w:r>
      <w:r w:rsidRPr="00E2020D">
        <w:rPr>
          <w:rFonts w:cs="Arial"/>
          <w:spacing w:val="-1"/>
        </w:rPr>
        <w:t>used</w:t>
      </w:r>
      <w:r w:rsidRPr="00E2020D">
        <w:rPr>
          <w:rFonts w:cs="Arial"/>
          <w:spacing w:val="27"/>
        </w:rPr>
        <w:t xml:space="preserve"> </w:t>
      </w:r>
      <w:r w:rsidRPr="00E2020D">
        <w:rPr>
          <w:rFonts w:cs="Arial"/>
          <w:spacing w:val="-1"/>
        </w:rPr>
        <w:t>for</w:t>
      </w:r>
      <w:r w:rsidRPr="00E2020D">
        <w:rPr>
          <w:rFonts w:cs="Arial"/>
          <w:spacing w:val="26"/>
        </w:rPr>
        <w:t xml:space="preserve"> </w:t>
      </w:r>
      <w:r w:rsidRPr="00E2020D">
        <w:rPr>
          <w:rFonts w:cs="Arial"/>
        </w:rPr>
        <w:t>a</w:t>
      </w:r>
      <w:r w:rsidRPr="00E2020D">
        <w:rPr>
          <w:rFonts w:cs="Arial"/>
          <w:spacing w:val="26"/>
        </w:rPr>
        <w:t xml:space="preserve"> </w:t>
      </w:r>
      <w:r w:rsidRPr="00E2020D">
        <w:rPr>
          <w:rFonts w:cs="Arial"/>
          <w:spacing w:val="-1"/>
        </w:rPr>
        <w:t>daily</w:t>
      </w:r>
      <w:r w:rsidRPr="00E2020D">
        <w:rPr>
          <w:rFonts w:cs="Arial"/>
          <w:spacing w:val="27"/>
        </w:rPr>
        <w:t xml:space="preserve"> </w:t>
      </w:r>
      <w:r w:rsidRPr="00E2020D">
        <w:rPr>
          <w:rFonts w:cs="Arial"/>
          <w:spacing w:val="-1"/>
        </w:rPr>
        <w:t>working</w:t>
      </w:r>
      <w:r w:rsidRPr="00E2020D">
        <w:rPr>
          <w:rFonts w:cs="Arial"/>
          <w:spacing w:val="59"/>
        </w:rPr>
        <w:t xml:space="preserve"> </w:t>
      </w:r>
      <w:r w:rsidRPr="00E2020D">
        <w:rPr>
          <w:rFonts w:cs="Arial"/>
          <w:spacing w:val="-1"/>
        </w:rPr>
        <w:t>calibration</w:t>
      </w:r>
      <w:r w:rsidRPr="00E2020D">
        <w:rPr>
          <w:rFonts w:cs="Arial"/>
          <w:spacing w:val="11"/>
        </w:rPr>
        <w:t xml:space="preserve"> </w:t>
      </w:r>
      <w:r w:rsidRPr="00E2020D">
        <w:rPr>
          <w:rFonts w:cs="Arial"/>
        </w:rPr>
        <w:t>or</w:t>
      </w:r>
      <w:r w:rsidRPr="00E2020D">
        <w:rPr>
          <w:rFonts w:cs="Arial"/>
          <w:spacing w:val="12"/>
        </w:rPr>
        <w:t xml:space="preserve"> </w:t>
      </w:r>
      <w:r w:rsidRPr="00E2020D">
        <w:rPr>
          <w:rFonts w:cs="Arial"/>
        </w:rPr>
        <w:t>to</w:t>
      </w:r>
      <w:r w:rsidRPr="00E2020D">
        <w:rPr>
          <w:rFonts w:cs="Arial"/>
          <w:spacing w:val="14"/>
        </w:rPr>
        <w:t xml:space="preserve"> </w:t>
      </w:r>
      <w:r w:rsidRPr="00E2020D">
        <w:rPr>
          <w:rFonts w:cs="Arial"/>
          <w:spacing w:val="-1"/>
        </w:rPr>
        <w:t>calculate</w:t>
      </w:r>
      <w:r w:rsidRPr="00E2020D">
        <w:rPr>
          <w:rFonts w:cs="Arial"/>
          <w:spacing w:val="13"/>
        </w:rPr>
        <w:t xml:space="preserve"> </w:t>
      </w:r>
      <w:r w:rsidRPr="00E2020D">
        <w:rPr>
          <w:rFonts w:cs="Arial"/>
          <w:spacing w:val="-1"/>
        </w:rPr>
        <w:t>drift.</w:t>
      </w:r>
      <w:r w:rsidRPr="00E2020D">
        <w:rPr>
          <w:rFonts w:cs="Arial"/>
          <w:spacing w:val="14"/>
        </w:rPr>
        <w:t xml:space="preserve"> </w:t>
      </w:r>
      <w:r w:rsidRPr="00E2020D">
        <w:rPr>
          <w:rFonts w:cs="Arial"/>
          <w:spacing w:val="-1"/>
        </w:rPr>
        <w:t>Notes</w:t>
      </w:r>
      <w:r w:rsidRPr="00E2020D">
        <w:rPr>
          <w:rFonts w:cs="Arial"/>
          <w:spacing w:val="14"/>
        </w:rPr>
        <w:t xml:space="preserve"> </w:t>
      </w:r>
      <w:r w:rsidRPr="00E2020D">
        <w:rPr>
          <w:rFonts w:cs="Arial"/>
          <w:spacing w:val="-1"/>
        </w:rPr>
        <w:t>from</w:t>
      </w:r>
      <w:r w:rsidRPr="00E2020D">
        <w:rPr>
          <w:rFonts w:cs="Arial"/>
          <w:spacing w:val="13"/>
        </w:rPr>
        <w:t xml:space="preserve"> </w:t>
      </w:r>
      <w:r w:rsidRPr="00E2020D">
        <w:rPr>
          <w:rFonts w:cs="Arial"/>
          <w:spacing w:val="-1"/>
        </w:rPr>
        <w:t>Turner</w:t>
      </w:r>
      <w:r w:rsidRPr="00E2020D">
        <w:rPr>
          <w:rFonts w:cs="Arial"/>
          <w:spacing w:val="12"/>
        </w:rPr>
        <w:t xml:space="preserve"> </w:t>
      </w:r>
      <w:r w:rsidRPr="00E2020D">
        <w:rPr>
          <w:rFonts w:cs="Arial"/>
          <w:spacing w:val="-1"/>
        </w:rPr>
        <w:t>Designs</w:t>
      </w:r>
      <w:r w:rsidRPr="00E2020D">
        <w:rPr>
          <w:rFonts w:cs="Arial"/>
          <w:spacing w:val="14"/>
        </w:rPr>
        <w:t xml:space="preserve"> </w:t>
      </w:r>
      <w:r w:rsidRPr="00E2020D">
        <w:rPr>
          <w:rFonts w:cs="Arial"/>
        </w:rPr>
        <w:t>web</w:t>
      </w:r>
      <w:r w:rsidRPr="00E2020D">
        <w:rPr>
          <w:rFonts w:cs="Arial"/>
          <w:spacing w:val="11"/>
        </w:rPr>
        <w:t xml:space="preserve"> </w:t>
      </w:r>
      <w:r w:rsidRPr="00E2020D">
        <w:rPr>
          <w:rFonts w:cs="Arial"/>
          <w:spacing w:val="-1"/>
        </w:rPr>
        <w:t>page</w:t>
      </w:r>
      <w:r w:rsidRPr="00E2020D">
        <w:rPr>
          <w:rFonts w:cs="Arial"/>
          <w:spacing w:val="13"/>
        </w:rPr>
        <w:t xml:space="preserve"> </w:t>
      </w:r>
      <w:r w:rsidRPr="00E2020D">
        <w:rPr>
          <w:rFonts w:cs="Arial"/>
        </w:rPr>
        <w:t>on</w:t>
      </w:r>
      <w:r w:rsidRPr="00E2020D">
        <w:rPr>
          <w:rFonts w:cs="Arial"/>
          <w:spacing w:val="14"/>
        </w:rPr>
        <w:t xml:space="preserve"> </w:t>
      </w:r>
      <w:r w:rsidRPr="00E2020D">
        <w:rPr>
          <w:rFonts w:cs="Arial"/>
          <w:spacing w:val="-1"/>
        </w:rPr>
        <w:t>use</w:t>
      </w:r>
      <w:r w:rsidRPr="00E2020D">
        <w:rPr>
          <w:rFonts w:cs="Arial"/>
          <w:spacing w:val="12"/>
        </w:rPr>
        <w:t xml:space="preserve"> </w:t>
      </w:r>
      <w:r w:rsidRPr="00E2020D">
        <w:rPr>
          <w:rFonts w:cs="Arial"/>
        </w:rPr>
        <w:t>of</w:t>
      </w:r>
      <w:r w:rsidRPr="00E2020D">
        <w:rPr>
          <w:rFonts w:cs="Arial"/>
          <w:spacing w:val="12"/>
        </w:rPr>
        <w:t xml:space="preserve"> </w:t>
      </w:r>
      <w:r w:rsidRPr="00E2020D">
        <w:rPr>
          <w:rFonts w:cs="Arial"/>
        </w:rPr>
        <w:t>the</w:t>
      </w:r>
      <w:r w:rsidRPr="00E2020D">
        <w:rPr>
          <w:rFonts w:cs="Arial"/>
          <w:spacing w:val="14"/>
        </w:rPr>
        <w:t xml:space="preserve"> </w:t>
      </w:r>
      <w:r w:rsidRPr="00E2020D">
        <w:rPr>
          <w:rFonts w:cs="Arial"/>
          <w:spacing w:val="-1"/>
        </w:rPr>
        <w:t>Solid</w:t>
      </w:r>
      <w:r w:rsidRPr="00E2020D">
        <w:rPr>
          <w:rFonts w:cs="Arial"/>
          <w:spacing w:val="14"/>
        </w:rPr>
        <w:t xml:space="preserve"> </w:t>
      </w:r>
      <w:r w:rsidRPr="00E2020D">
        <w:rPr>
          <w:rFonts w:cs="Arial"/>
          <w:spacing w:val="-1"/>
        </w:rPr>
        <w:t>Secondary</w:t>
      </w:r>
      <w:r w:rsidRPr="00E2020D">
        <w:rPr>
          <w:rFonts w:cs="Arial"/>
          <w:spacing w:val="71"/>
        </w:rPr>
        <w:t xml:space="preserve"> </w:t>
      </w:r>
      <w:r w:rsidRPr="00E2020D">
        <w:rPr>
          <w:rFonts w:cs="Arial"/>
          <w:spacing w:val="-1"/>
        </w:rPr>
        <w:t>Standard</w:t>
      </w:r>
      <w:r w:rsidRPr="00E2020D">
        <w:rPr>
          <w:rFonts w:cs="Arial"/>
          <w:spacing w:val="6"/>
        </w:rPr>
        <w:t xml:space="preserve"> </w:t>
      </w:r>
      <w:r w:rsidRPr="00E2020D">
        <w:rPr>
          <w:rFonts w:cs="Arial"/>
        </w:rPr>
        <w:t>can</w:t>
      </w:r>
      <w:r w:rsidRPr="00E2020D">
        <w:rPr>
          <w:rFonts w:cs="Arial"/>
          <w:spacing w:val="6"/>
        </w:rPr>
        <w:t xml:space="preserve"> </w:t>
      </w:r>
      <w:r w:rsidRPr="00E2020D">
        <w:rPr>
          <w:rFonts w:cs="Arial"/>
          <w:spacing w:val="-1"/>
        </w:rPr>
        <w:t>be</w:t>
      </w:r>
      <w:r w:rsidRPr="00E2020D">
        <w:rPr>
          <w:rFonts w:cs="Arial"/>
          <w:spacing w:val="8"/>
        </w:rPr>
        <w:t xml:space="preserve"> </w:t>
      </w:r>
      <w:r w:rsidRPr="00E2020D">
        <w:rPr>
          <w:rFonts w:cs="Arial"/>
          <w:spacing w:val="-1"/>
        </w:rPr>
        <w:t>found</w:t>
      </w:r>
      <w:r w:rsidRPr="00E2020D">
        <w:rPr>
          <w:rFonts w:cs="Arial"/>
          <w:spacing w:val="6"/>
        </w:rPr>
        <w:t xml:space="preserve"> </w:t>
      </w:r>
      <w:r w:rsidRPr="00E2020D">
        <w:rPr>
          <w:rFonts w:cs="Arial"/>
        </w:rPr>
        <w:t>in</w:t>
      </w:r>
      <w:r w:rsidRPr="00E2020D">
        <w:rPr>
          <w:rFonts w:cs="Arial"/>
          <w:spacing w:val="5"/>
        </w:rPr>
        <w:t xml:space="preserve"> </w:t>
      </w:r>
      <w:r w:rsidRPr="00E2020D">
        <w:rPr>
          <w:rFonts w:cs="Arial"/>
          <w:spacing w:val="-1"/>
        </w:rPr>
        <w:t>Attachment</w:t>
      </w:r>
      <w:r w:rsidRPr="00E2020D">
        <w:rPr>
          <w:rFonts w:cs="Arial"/>
          <w:spacing w:val="5"/>
        </w:rPr>
        <w:t xml:space="preserve"> </w:t>
      </w:r>
      <w:r w:rsidRPr="00E2020D">
        <w:rPr>
          <w:rFonts w:cs="Arial"/>
          <w:spacing w:val="-1"/>
        </w:rPr>
        <w:t>9.5.</w:t>
      </w:r>
      <w:r w:rsidRPr="00E2020D">
        <w:rPr>
          <w:rFonts w:cs="Arial"/>
        </w:rPr>
        <w:t xml:space="preserve"> </w:t>
      </w:r>
      <w:r w:rsidRPr="00E2020D">
        <w:rPr>
          <w:rFonts w:cs="Arial"/>
          <w:spacing w:val="22"/>
        </w:rPr>
        <w:t xml:space="preserve"> </w:t>
      </w:r>
      <w:r w:rsidRPr="00E2020D">
        <w:rPr>
          <w:rFonts w:cs="Arial"/>
          <w:spacing w:val="-1"/>
        </w:rPr>
        <w:t>Insert</w:t>
      </w:r>
      <w:r w:rsidRPr="00E2020D">
        <w:rPr>
          <w:rFonts w:cs="Arial"/>
          <w:spacing w:val="8"/>
        </w:rPr>
        <w:t xml:space="preserve"> </w:t>
      </w:r>
      <w:r w:rsidRPr="00E2020D">
        <w:rPr>
          <w:rFonts w:cs="Arial"/>
          <w:spacing w:val="-1"/>
        </w:rPr>
        <w:t>the</w:t>
      </w:r>
      <w:r w:rsidRPr="00E2020D">
        <w:rPr>
          <w:rFonts w:cs="Arial"/>
          <w:spacing w:val="8"/>
        </w:rPr>
        <w:t xml:space="preserve"> </w:t>
      </w:r>
      <w:r w:rsidRPr="00E2020D">
        <w:rPr>
          <w:rFonts w:cs="Arial"/>
          <w:spacing w:val="-1"/>
        </w:rPr>
        <w:t>standard</w:t>
      </w:r>
      <w:r w:rsidRPr="00E2020D">
        <w:rPr>
          <w:rFonts w:cs="Arial"/>
          <w:spacing w:val="6"/>
        </w:rPr>
        <w:t xml:space="preserve"> </w:t>
      </w:r>
      <w:r w:rsidRPr="00E2020D">
        <w:rPr>
          <w:rFonts w:cs="Arial"/>
        </w:rPr>
        <w:t>at</w:t>
      </w:r>
      <w:r w:rsidRPr="00E2020D">
        <w:rPr>
          <w:rFonts w:cs="Arial"/>
          <w:spacing w:val="9"/>
        </w:rPr>
        <w:t xml:space="preserve"> </w:t>
      </w:r>
      <w:r w:rsidRPr="00E2020D">
        <w:rPr>
          <w:rFonts w:cs="Arial"/>
          <w:spacing w:val="-1"/>
        </w:rPr>
        <w:t>the</w:t>
      </w:r>
      <w:r w:rsidRPr="00E2020D">
        <w:rPr>
          <w:rFonts w:cs="Arial"/>
          <w:spacing w:val="8"/>
        </w:rPr>
        <w:t xml:space="preserve"> </w:t>
      </w:r>
      <w:r w:rsidRPr="00E2020D">
        <w:rPr>
          <w:rFonts w:cs="Arial"/>
          <w:spacing w:val="-1"/>
        </w:rPr>
        <w:t>beginning</w:t>
      </w:r>
      <w:r w:rsidRPr="00E2020D">
        <w:rPr>
          <w:rFonts w:cs="Arial"/>
          <w:spacing w:val="6"/>
        </w:rPr>
        <w:t xml:space="preserve"> </w:t>
      </w:r>
      <w:r w:rsidRPr="00E2020D">
        <w:rPr>
          <w:rFonts w:cs="Arial"/>
          <w:spacing w:val="-1"/>
        </w:rPr>
        <w:t>and</w:t>
      </w:r>
      <w:r w:rsidRPr="00E2020D">
        <w:rPr>
          <w:rFonts w:cs="Arial"/>
          <w:spacing w:val="6"/>
        </w:rPr>
        <w:t xml:space="preserve"> </w:t>
      </w:r>
      <w:r w:rsidRPr="00E2020D">
        <w:rPr>
          <w:rFonts w:cs="Arial"/>
        </w:rPr>
        <w:t>end</w:t>
      </w:r>
      <w:r w:rsidRPr="00E2020D">
        <w:rPr>
          <w:rFonts w:cs="Arial"/>
          <w:spacing w:val="6"/>
        </w:rPr>
        <w:t xml:space="preserve"> </w:t>
      </w:r>
      <w:r w:rsidRPr="00E2020D">
        <w:rPr>
          <w:rFonts w:cs="Arial"/>
        </w:rPr>
        <w:t>of</w:t>
      </w:r>
      <w:r w:rsidRPr="00E2020D">
        <w:rPr>
          <w:rFonts w:cs="Arial"/>
          <w:spacing w:val="7"/>
        </w:rPr>
        <w:t xml:space="preserve"> </w:t>
      </w:r>
      <w:r w:rsidRPr="00E2020D">
        <w:rPr>
          <w:rFonts w:cs="Arial"/>
        </w:rPr>
        <w:t>each</w:t>
      </w:r>
      <w:r w:rsidRPr="00E2020D">
        <w:rPr>
          <w:rFonts w:cs="Arial"/>
          <w:spacing w:val="6"/>
        </w:rPr>
        <w:t xml:space="preserve"> </w:t>
      </w:r>
      <w:r w:rsidRPr="00E2020D">
        <w:rPr>
          <w:rFonts w:cs="Arial"/>
          <w:spacing w:val="-1"/>
        </w:rPr>
        <w:t>set</w:t>
      </w:r>
      <w:r w:rsidRPr="00E2020D">
        <w:rPr>
          <w:rFonts w:cs="Arial"/>
          <w:spacing w:val="49"/>
        </w:rPr>
        <w:t xml:space="preserve"> </w:t>
      </w:r>
      <w:r w:rsidRPr="00E2020D">
        <w:rPr>
          <w:rFonts w:cs="Arial"/>
        </w:rPr>
        <w:t xml:space="preserve">of </w:t>
      </w:r>
      <w:r w:rsidRPr="00E2020D">
        <w:rPr>
          <w:rFonts w:cs="Arial"/>
          <w:spacing w:val="-1"/>
        </w:rPr>
        <w:t>samples</w:t>
      </w:r>
      <w:r w:rsidRPr="00E2020D">
        <w:rPr>
          <w:rFonts w:cs="Arial"/>
        </w:rPr>
        <w:t xml:space="preserve"> read</w:t>
      </w:r>
      <w:r w:rsidRPr="00E2020D">
        <w:rPr>
          <w:rFonts w:cs="Arial"/>
          <w:spacing w:val="-1"/>
        </w:rPr>
        <w:t xml:space="preserve"> </w:t>
      </w:r>
      <w:r w:rsidRPr="00E2020D">
        <w:rPr>
          <w:rFonts w:cs="Arial"/>
        </w:rPr>
        <w:t>and</w:t>
      </w:r>
      <w:r w:rsidRPr="00E2020D">
        <w:rPr>
          <w:rFonts w:cs="Arial"/>
          <w:spacing w:val="-1"/>
        </w:rPr>
        <w:t xml:space="preserve"> </w:t>
      </w:r>
      <w:r w:rsidRPr="00E2020D">
        <w:rPr>
          <w:rFonts w:cs="Arial"/>
        </w:rPr>
        <w:t xml:space="preserve">at </w:t>
      </w:r>
      <w:r w:rsidRPr="00E2020D">
        <w:rPr>
          <w:rFonts w:cs="Arial"/>
          <w:spacing w:val="-1"/>
        </w:rPr>
        <w:t xml:space="preserve">regular </w:t>
      </w:r>
      <w:r w:rsidRPr="00E2020D">
        <w:rPr>
          <w:rFonts w:cs="Arial"/>
        </w:rPr>
        <w:t xml:space="preserve">intervals </w:t>
      </w:r>
      <w:r w:rsidRPr="00E2020D">
        <w:rPr>
          <w:rFonts w:cs="Arial"/>
          <w:spacing w:val="-1"/>
        </w:rPr>
        <w:t>throughout</w:t>
      </w:r>
      <w:r w:rsidRPr="00E2020D">
        <w:rPr>
          <w:rFonts w:cs="Arial"/>
        </w:rPr>
        <w:t xml:space="preserve"> </w:t>
      </w:r>
      <w:r w:rsidRPr="00E2020D">
        <w:rPr>
          <w:rFonts w:cs="Arial"/>
          <w:spacing w:val="-1"/>
        </w:rPr>
        <w:t>the</w:t>
      </w:r>
      <w:r w:rsidRPr="00E2020D">
        <w:rPr>
          <w:rFonts w:cs="Arial"/>
        </w:rPr>
        <w:t xml:space="preserve"> set.</w:t>
      </w:r>
      <w:r w:rsidRPr="00E2020D">
        <w:rPr>
          <w:rFonts w:cs="Arial"/>
          <w:spacing w:val="49"/>
        </w:rPr>
        <w:t xml:space="preserve"> </w:t>
      </w:r>
      <w:r w:rsidRPr="00E2020D">
        <w:rPr>
          <w:rFonts w:cs="Arial"/>
          <w:spacing w:val="-1"/>
        </w:rPr>
        <w:t>Make</w:t>
      </w:r>
      <w:r w:rsidRPr="00E2020D">
        <w:rPr>
          <w:rFonts w:cs="Arial"/>
        </w:rPr>
        <w:t xml:space="preserve"> </w:t>
      </w:r>
      <w:r w:rsidRPr="00E2020D">
        <w:rPr>
          <w:rFonts w:cs="Arial"/>
          <w:spacing w:val="-1"/>
        </w:rPr>
        <w:t>sure</w:t>
      </w:r>
      <w:r w:rsidRPr="00E2020D">
        <w:rPr>
          <w:rFonts w:cs="Arial"/>
        </w:rPr>
        <w:t xml:space="preserve"> the</w:t>
      </w:r>
      <w:r w:rsidRPr="00E2020D">
        <w:rPr>
          <w:rFonts w:cs="Arial"/>
          <w:spacing w:val="-2"/>
        </w:rPr>
        <w:t xml:space="preserve"> </w:t>
      </w:r>
      <w:r w:rsidRPr="00E2020D">
        <w:rPr>
          <w:rFonts w:cs="Arial"/>
          <w:spacing w:val="-1"/>
        </w:rPr>
        <w:t xml:space="preserve">“L” marking </w:t>
      </w:r>
      <w:r w:rsidRPr="00E2020D">
        <w:rPr>
          <w:rFonts w:cs="Arial"/>
        </w:rPr>
        <w:t>on</w:t>
      </w:r>
      <w:r w:rsidRPr="00E2020D">
        <w:rPr>
          <w:rFonts w:cs="Arial"/>
          <w:spacing w:val="-3"/>
        </w:rPr>
        <w:t xml:space="preserve"> </w:t>
      </w:r>
      <w:r w:rsidRPr="00E2020D">
        <w:rPr>
          <w:rFonts w:cs="Arial"/>
        </w:rPr>
        <w:t xml:space="preserve">the </w:t>
      </w:r>
      <w:r w:rsidRPr="00E2020D">
        <w:rPr>
          <w:rFonts w:cs="Arial"/>
          <w:spacing w:val="-1"/>
        </w:rPr>
        <w:t>barrel</w:t>
      </w:r>
      <w:r w:rsidRPr="00E2020D">
        <w:rPr>
          <w:rFonts w:cs="Arial"/>
          <w:spacing w:val="51"/>
        </w:rPr>
        <w:t xml:space="preserve"> </w:t>
      </w:r>
      <w:r w:rsidRPr="00E2020D">
        <w:rPr>
          <w:rFonts w:cs="Arial"/>
        </w:rPr>
        <w:t>is</w:t>
      </w:r>
      <w:r w:rsidRPr="00E2020D">
        <w:rPr>
          <w:rFonts w:cs="Arial"/>
          <w:spacing w:val="7"/>
        </w:rPr>
        <w:t xml:space="preserve"> </w:t>
      </w:r>
      <w:r w:rsidRPr="00E2020D">
        <w:rPr>
          <w:rFonts w:cs="Arial"/>
          <w:spacing w:val="-1"/>
        </w:rPr>
        <w:t>placed</w:t>
      </w:r>
      <w:r w:rsidRPr="00E2020D">
        <w:rPr>
          <w:rFonts w:cs="Arial"/>
          <w:spacing w:val="6"/>
        </w:rPr>
        <w:t xml:space="preserve"> </w:t>
      </w:r>
      <w:r w:rsidRPr="00E2020D">
        <w:rPr>
          <w:rFonts w:cs="Arial"/>
          <w:spacing w:val="-1"/>
        </w:rPr>
        <w:t>toward</w:t>
      </w:r>
      <w:r w:rsidRPr="00E2020D">
        <w:rPr>
          <w:rFonts w:cs="Arial"/>
          <w:spacing w:val="6"/>
        </w:rPr>
        <w:t xml:space="preserve"> </w:t>
      </w:r>
      <w:r w:rsidRPr="00E2020D">
        <w:rPr>
          <w:rFonts w:cs="Arial"/>
        </w:rPr>
        <w:t>the</w:t>
      </w:r>
      <w:r w:rsidRPr="00E2020D">
        <w:rPr>
          <w:rFonts w:cs="Arial"/>
          <w:spacing w:val="7"/>
        </w:rPr>
        <w:t xml:space="preserve"> </w:t>
      </w:r>
      <w:r w:rsidRPr="00E2020D">
        <w:rPr>
          <w:rFonts w:cs="Arial"/>
        </w:rPr>
        <w:t>left</w:t>
      </w:r>
      <w:r w:rsidRPr="00E2020D">
        <w:rPr>
          <w:rFonts w:cs="Arial"/>
          <w:spacing w:val="7"/>
        </w:rPr>
        <w:t xml:space="preserve"> </w:t>
      </w:r>
      <w:r w:rsidRPr="00E2020D">
        <w:rPr>
          <w:rFonts w:cs="Arial"/>
          <w:spacing w:val="-2"/>
        </w:rPr>
        <w:t>hand</w:t>
      </w:r>
      <w:r w:rsidRPr="00E2020D">
        <w:rPr>
          <w:rFonts w:cs="Arial"/>
          <w:spacing w:val="6"/>
        </w:rPr>
        <w:t xml:space="preserve"> </w:t>
      </w:r>
      <w:r w:rsidRPr="00E2020D">
        <w:rPr>
          <w:rFonts w:cs="Arial"/>
          <w:spacing w:val="-1"/>
        </w:rPr>
        <w:t>side</w:t>
      </w:r>
      <w:r w:rsidRPr="00E2020D">
        <w:rPr>
          <w:rFonts w:cs="Arial"/>
          <w:spacing w:val="8"/>
        </w:rPr>
        <w:t xml:space="preserve"> </w:t>
      </w:r>
      <w:r w:rsidRPr="00E2020D">
        <w:rPr>
          <w:rFonts w:cs="Arial"/>
        </w:rPr>
        <w:t>of</w:t>
      </w:r>
      <w:r w:rsidRPr="00E2020D">
        <w:rPr>
          <w:rFonts w:cs="Arial"/>
          <w:spacing w:val="7"/>
        </w:rPr>
        <w:t xml:space="preserve"> </w:t>
      </w:r>
      <w:r w:rsidRPr="00E2020D">
        <w:rPr>
          <w:rFonts w:cs="Arial"/>
        </w:rPr>
        <w:t>the</w:t>
      </w:r>
      <w:r w:rsidRPr="00E2020D">
        <w:rPr>
          <w:rFonts w:cs="Arial"/>
          <w:spacing w:val="7"/>
        </w:rPr>
        <w:t xml:space="preserve"> </w:t>
      </w:r>
      <w:r w:rsidRPr="00E2020D">
        <w:rPr>
          <w:rFonts w:cs="Arial"/>
          <w:spacing w:val="-1"/>
        </w:rPr>
        <w:t>holder.</w:t>
      </w:r>
      <w:r w:rsidRPr="00E2020D">
        <w:rPr>
          <w:rFonts w:cs="Arial"/>
          <w:spacing w:val="7"/>
        </w:rPr>
        <w:t xml:space="preserve"> </w:t>
      </w:r>
      <w:r w:rsidRPr="00E2020D">
        <w:rPr>
          <w:rFonts w:cs="Arial"/>
        </w:rPr>
        <w:t>A</w:t>
      </w:r>
      <w:r w:rsidRPr="00E2020D">
        <w:rPr>
          <w:rFonts w:cs="Arial"/>
          <w:spacing w:val="7"/>
        </w:rPr>
        <w:t xml:space="preserve"> </w:t>
      </w:r>
      <w:r w:rsidRPr="00E2020D">
        <w:rPr>
          <w:rFonts w:cs="Arial"/>
          <w:spacing w:val="-1"/>
        </w:rPr>
        <w:t>record</w:t>
      </w:r>
      <w:r w:rsidRPr="00E2020D">
        <w:rPr>
          <w:rFonts w:cs="Arial"/>
          <w:spacing w:val="6"/>
        </w:rPr>
        <w:t xml:space="preserve"> </w:t>
      </w:r>
      <w:r w:rsidRPr="00E2020D">
        <w:rPr>
          <w:rFonts w:cs="Arial"/>
        </w:rPr>
        <w:t>is</w:t>
      </w:r>
      <w:r w:rsidRPr="00E2020D">
        <w:rPr>
          <w:rFonts w:cs="Arial"/>
          <w:spacing w:val="7"/>
        </w:rPr>
        <w:t xml:space="preserve"> </w:t>
      </w:r>
      <w:r w:rsidRPr="00E2020D">
        <w:rPr>
          <w:rFonts w:cs="Arial"/>
          <w:spacing w:val="-1"/>
        </w:rPr>
        <w:t>kept</w:t>
      </w:r>
      <w:r w:rsidRPr="00E2020D">
        <w:rPr>
          <w:rFonts w:cs="Arial"/>
          <w:spacing w:val="7"/>
        </w:rPr>
        <w:t xml:space="preserve"> </w:t>
      </w:r>
      <w:r w:rsidRPr="00E2020D">
        <w:rPr>
          <w:rFonts w:cs="Arial"/>
        </w:rPr>
        <w:t>of</w:t>
      </w:r>
      <w:r w:rsidRPr="00E2020D">
        <w:rPr>
          <w:rFonts w:cs="Arial"/>
          <w:spacing w:val="5"/>
        </w:rPr>
        <w:t xml:space="preserve"> </w:t>
      </w:r>
      <w:r w:rsidRPr="00E2020D">
        <w:rPr>
          <w:rFonts w:cs="Arial"/>
        </w:rPr>
        <w:t>the</w:t>
      </w:r>
      <w:r w:rsidRPr="00E2020D">
        <w:rPr>
          <w:rFonts w:cs="Arial"/>
          <w:spacing w:val="7"/>
        </w:rPr>
        <w:t xml:space="preserve"> </w:t>
      </w:r>
      <w:r w:rsidRPr="00E2020D">
        <w:rPr>
          <w:rFonts w:cs="Arial"/>
          <w:spacing w:val="-1"/>
        </w:rPr>
        <w:t>Solid</w:t>
      </w:r>
      <w:r w:rsidRPr="00E2020D">
        <w:rPr>
          <w:rFonts w:cs="Arial"/>
          <w:spacing w:val="6"/>
        </w:rPr>
        <w:t xml:space="preserve"> </w:t>
      </w:r>
      <w:r w:rsidRPr="00E2020D">
        <w:rPr>
          <w:rFonts w:cs="Arial"/>
          <w:spacing w:val="-1"/>
        </w:rPr>
        <w:t>Standard</w:t>
      </w:r>
      <w:r w:rsidRPr="00E2020D">
        <w:rPr>
          <w:rFonts w:cs="Arial"/>
          <w:spacing w:val="6"/>
        </w:rPr>
        <w:t xml:space="preserve"> </w:t>
      </w:r>
      <w:r w:rsidRPr="00E2020D">
        <w:rPr>
          <w:rFonts w:cs="Arial"/>
          <w:spacing w:val="-1"/>
        </w:rPr>
        <w:t>measured</w:t>
      </w:r>
      <w:r w:rsidRPr="00E2020D">
        <w:rPr>
          <w:rFonts w:cs="Arial"/>
          <w:spacing w:val="7"/>
        </w:rPr>
        <w:t xml:space="preserve"> </w:t>
      </w:r>
      <w:r w:rsidRPr="00E2020D">
        <w:rPr>
          <w:rFonts w:cs="Arial"/>
        </w:rPr>
        <w:t>at</w:t>
      </w:r>
      <w:r w:rsidRPr="00E2020D">
        <w:rPr>
          <w:rFonts w:cs="Arial"/>
          <w:spacing w:val="73"/>
        </w:rPr>
        <w:t xml:space="preserve"> </w:t>
      </w:r>
      <w:r w:rsidRPr="00E2020D">
        <w:rPr>
          <w:rFonts w:cs="Arial"/>
        </w:rPr>
        <w:t>the</w:t>
      </w:r>
      <w:r w:rsidRPr="00E2020D">
        <w:rPr>
          <w:rFonts w:cs="Arial"/>
          <w:spacing w:val="45"/>
        </w:rPr>
        <w:t xml:space="preserve"> </w:t>
      </w:r>
      <w:r w:rsidRPr="00E2020D">
        <w:rPr>
          <w:rFonts w:cs="Arial"/>
          <w:spacing w:val="-1"/>
        </w:rPr>
        <w:t>time</w:t>
      </w:r>
      <w:r w:rsidRPr="00E2020D">
        <w:rPr>
          <w:rFonts w:cs="Arial"/>
          <w:spacing w:val="44"/>
        </w:rPr>
        <w:t xml:space="preserve"> </w:t>
      </w:r>
      <w:r w:rsidRPr="00E2020D">
        <w:rPr>
          <w:rFonts w:cs="Arial"/>
        </w:rPr>
        <w:t>of</w:t>
      </w:r>
      <w:r w:rsidRPr="00E2020D">
        <w:rPr>
          <w:rFonts w:cs="Arial"/>
          <w:spacing w:val="43"/>
        </w:rPr>
        <w:t xml:space="preserve"> </w:t>
      </w:r>
      <w:r w:rsidRPr="00E2020D">
        <w:rPr>
          <w:rFonts w:cs="Arial"/>
          <w:spacing w:val="-1"/>
        </w:rPr>
        <w:t>machine</w:t>
      </w:r>
      <w:r w:rsidRPr="00E2020D">
        <w:rPr>
          <w:rFonts w:cs="Arial"/>
          <w:spacing w:val="45"/>
        </w:rPr>
        <w:t xml:space="preserve"> </w:t>
      </w:r>
      <w:r w:rsidRPr="00E2020D">
        <w:rPr>
          <w:rFonts w:cs="Arial"/>
          <w:spacing w:val="-1"/>
        </w:rPr>
        <w:t>calibration</w:t>
      </w:r>
      <w:r w:rsidRPr="00E2020D">
        <w:rPr>
          <w:rFonts w:cs="Arial"/>
          <w:spacing w:val="45"/>
        </w:rPr>
        <w:t xml:space="preserve"> </w:t>
      </w:r>
      <w:r w:rsidRPr="00E2020D">
        <w:rPr>
          <w:rFonts w:cs="Arial"/>
          <w:spacing w:val="-1"/>
        </w:rPr>
        <w:t>and</w:t>
      </w:r>
      <w:r w:rsidRPr="00E2020D">
        <w:rPr>
          <w:rFonts w:cs="Arial"/>
          <w:spacing w:val="45"/>
        </w:rPr>
        <w:t xml:space="preserve"> </w:t>
      </w:r>
      <w:r w:rsidRPr="00E2020D">
        <w:rPr>
          <w:rFonts w:cs="Arial"/>
          <w:spacing w:val="-1"/>
        </w:rPr>
        <w:t>drift</w:t>
      </w:r>
      <w:r w:rsidRPr="00E2020D">
        <w:rPr>
          <w:rFonts w:cs="Arial"/>
          <w:spacing w:val="44"/>
        </w:rPr>
        <w:t xml:space="preserve"> </w:t>
      </w:r>
      <w:r w:rsidRPr="00E2020D">
        <w:rPr>
          <w:rFonts w:cs="Arial"/>
          <w:spacing w:val="-1"/>
        </w:rPr>
        <w:t>should</w:t>
      </w:r>
      <w:r w:rsidRPr="00E2020D">
        <w:rPr>
          <w:rFonts w:cs="Arial"/>
          <w:spacing w:val="43"/>
        </w:rPr>
        <w:t xml:space="preserve"> </w:t>
      </w:r>
      <w:r w:rsidRPr="00E2020D">
        <w:rPr>
          <w:rFonts w:cs="Arial"/>
          <w:spacing w:val="-2"/>
        </w:rPr>
        <w:t>be</w:t>
      </w:r>
      <w:r w:rsidRPr="00E2020D">
        <w:rPr>
          <w:rFonts w:cs="Arial"/>
          <w:spacing w:val="46"/>
        </w:rPr>
        <w:t xml:space="preserve"> </w:t>
      </w:r>
      <w:r w:rsidRPr="00E2020D">
        <w:rPr>
          <w:rFonts w:cs="Arial"/>
          <w:spacing w:val="-1"/>
        </w:rPr>
        <w:t>corrected</w:t>
      </w:r>
      <w:r w:rsidRPr="00E2020D">
        <w:rPr>
          <w:rFonts w:cs="Arial"/>
          <w:spacing w:val="43"/>
        </w:rPr>
        <w:t xml:space="preserve"> </w:t>
      </w:r>
      <w:r w:rsidRPr="00E2020D">
        <w:rPr>
          <w:rFonts w:cs="Arial"/>
          <w:spacing w:val="-1"/>
        </w:rPr>
        <w:t>making</w:t>
      </w:r>
      <w:r w:rsidRPr="00E2020D">
        <w:rPr>
          <w:rFonts w:cs="Arial"/>
          <w:spacing w:val="44"/>
        </w:rPr>
        <w:t xml:space="preserve"> </w:t>
      </w:r>
      <w:r w:rsidRPr="00E2020D">
        <w:rPr>
          <w:rFonts w:cs="Arial"/>
          <w:spacing w:val="-1"/>
        </w:rPr>
        <w:t>reference</w:t>
      </w:r>
      <w:r w:rsidRPr="00E2020D">
        <w:rPr>
          <w:rFonts w:cs="Arial"/>
          <w:spacing w:val="46"/>
        </w:rPr>
        <w:t xml:space="preserve"> </w:t>
      </w:r>
      <w:r w:rsidRPr="00E2020D">
        <w:rPr>
          <w:rFonts w:cs="Arial"/>
          <w:spacing w:val="-1"/>
        </w:rPr>
        <w:t>to</w:t>
      </w:r>
      <w:r w:rsidRPr="00E2020D">
        <w:rPr>
          <w:rFonts w:cs="Arial"/>
          <w:spacing w:val="45"/>
        </w:rPr>
        <w:t xml:space="preserve"> </w:t>
      </w:r>
      <w:r w:rsidRPr="00E2020D">
        <w:rPr>
          <w:rFonts w:cs="Arial"/>
          <w:spacing w:val="-1"/>
        </w:rPr>
        <w:t>this</w:t>
      </w:r>
      <w:r w:rsidRPr="00E2020D">
        <w:rPr>
          <w:rFonts w:cs="Arial"/>
          <w:spacing w:val="43"/>
        </w:rPr>
        <w:t xml:space="preserve"> </w:t>
      </w:r>
      <w:r w:rsidRPr="00E2020D">
        <w:rPr>
          <w:rFonts w:cs="Arial"/>
          <w:spacing w:val="-1"/>
        </w:rPr>
        <w:t>original</w:t>
      </w:r>
      <w:r w:rsidRPr="00E2020D">
        <w:rPr>
          <w:rFonts w:cs="Arial"/>
          <w:spacing w:val="75"/>
        </w:rPr>
        <w:t xml:space="preserve"> </w:t>
      </w:r>
      <w:r w:rsidRPr="00E2020D">
        <w:rPr>
          <w:rFonts w:cs="Arial"/>
          <w:spacing w:val="-1"/>
        </w:rPr>
        <w:t>measurement.</w:t>
      </w:r>
    </w:p>
    <w:p w14:paraId="7848180E" w14:textId="77777777" w:rsidR="0031675F" w:rsidRPr="00E2020D" w:rsidRDefault="0031675F" w:rsidP="0031675F">
      <w:pPr>
        <w:spacing w:before="207" w:after="120"/>
        <w:ind w:left="409"/>
        <w:rPr>
          <w:rFonts w:cs="Arial"/>
        </w:rPr>
      </w:pPr>
      <w:r w:rsidRPr="00E2020D">
        <w:rPr>
          <w:rFonts w:cs="Arial"/>
          <w:spacing w:val="-1"/>
        </w:rPr>
        <w:t>Drift</w:t>
      </w:r>
      <w:r w:rsidRPr="00E2020D">
        <w:rPr>
          <w:rFonts w:cs="Arial"/>
          <w:spacing w:val="-2"/>
        </w:rPr>
        <w:t xml:space="preserve"> </w:t>
      </w:r>
      <w:r w:rsidRPr="00E2020D">
        <w:rPr>
          <w:rFonts w:cs="Arial"/>
          <w:spacing w:val="-1"/>
        </w:rPr>
        <w:t>corrected</w:t>
      </w:r>
      <w:r w:rsidRPr="00E2020D">
        <w:rPr>
          <w:rFonts w:cs="Arial"/>
        </w:rPr>
        <w:t xml:space="preserve"> C</w:t>
      </w:r>
      <w:r w:rsidRPr="00E2020D">
        <w:rPr>
          <w:rFonts w:cs="Arial"/>
          <w:position w:val="-3"/>
        </w:rPr>
        <w:t xml:space="preserve">a </w:t>
      </w:r>
      <w:r w:rsidRPr="00E2020D">
        <w:rPr>
          <w:rFonts w:cs="Arial"/>
        </w:rPr>
        <w:t>=</w:t>
      </w:r>
      <w:r w:rsidRPr="00E2020D">
        <w:rPr>
          <w:rFonts w:cs="Arial"/>
          <w:spacing w:val="-2"/>
        </w:rPr>
        <w:t xml:space="preserve"> </w:t>
      </w:r>
      <w:r w:rsidRPr="00E2020D">
        <w:rPr>
          <w:rFonts w:cs="Arial"/>
          <w:spacing w:val="-1"/>
        </w:rPr>
        <w:t xml:space="preserve">(Calculated </w:t>
      </w:r>
      <w:r w:rsidRPr="00E2020D">
        <w:rPr>
          <w:rFonts w:cs="Arial"/>
        </w:rPr>
        <w:t>C</w:t>
      </w:r>
      <w:r w:rsidRPr="00E2020D">
        <w:rPr>
          <w:rFonts w:cs="Arial"/>
          <w:position w:val="-3"/>
        </w:rPr>
        <w:t xml:space="preserve">a </w:t>
      </w:r>
      <w:r w:rsidRPr="00E2020D">
        <w:rPr>
          <w:rFonts w:cs="Arial"/>
        </w:rPr>
        <w:t>x</w:t>
      </w:r>
      <w:r w:rsidRPr="00E2020D">
        <w:rPr>
          <w:rFonts w:cs="Arial"/>
          <w:spacing w:val="-2"/>
        </w:rPr>
        <w:t xml:space="preserve"> </w:t>
      </w:r>
      <w:r w:rsidRPr="00E2020D">
        <w:rPr>
          <w:rFonts w:cs="Arial"/>
          <w:spacing w:val="-1"/>
        </w:rPr>
        <w:t>Original</w:t>
      </w:r>
      <w:r w:rsidRPr="00E2020D">
        <w:rPr>
          <w:rFonts w:cs="Arial"/>
        </w:rPr>
        <w:t xml:space="preserve"> </w:t>
      </w:r>
      <w:r w:rsidRPr="00E2020D">
        <w:rPr>
          <w:rFonts w:cs="Arial"/>
          <w:spacing w:val="-1"/>
        </w:rPr>
        <w:t>Solid Standard)</w:t>
      </w:r>
      <w:r w:rsidRPr="00E2020D">
        <w:rPr>
          <w:rFonts w:cs="Arial"/>
        </w:rPr>
        <w:t xml:space="preserve"> /</w:t>
      </w:r>
      <w:r w:rsidRPr="00E2020D">
        <w:rPr>
          <w:rFonts w:cs="Arial"/>
          <w:spacing w:val="1"/>
        </w:rPr>
        <w:t xml:space="preserve"> </w:t>
      </w:r>
      <w:r w:rsidRPr="00E2020D">
        <w:rPr>
          <w:rFonts w:cs="Arial"/>
          <w:spacing w:val="-1"/>
        </w:rPr>
        <w:t>(Measured</w:t>
      </w:r>
      <w:r w:rsidRPr="00E2020D">
        <w:rPr>
          <w:rFonts w:cs="Arial"/>
        </w:rPr>
        <w:t xml:space="preserve"> </w:t>
      </w:r>
      <w:r w:rsidRPr="00E2020D">
        <w:rPr>
          <w:rFonts w:cs="Arial"/>
          <w:spacing w:val="-1"/>
        </w:rPr>
        <w:t>Solid</w:t>
      </w:r>
      <w:r w:rsidRPr="00E2020D">
        <w:rPr>
          <w:rFonts w:cs="Arial"/>
          <w:spacing w:val="-3"/>
        </w:rPr>
        <w:t xml:space="preserve"> </w:t>
      </w:r>
      <w:r w:rsidRPr="00E2020D">
        <w:rPr>
          <w:rFonts w:cs="Arial"/>
          <w:spacing w:val="-1"/>
        </w:rPr>
        <w:t>Standard)</w:t>
      </w:r>
    </w:p>
    <w:p w14:paraId="3F88B676" w14:textId="77777777" w:rsidR="0031675F" w:rsidRPr="00E2020D" w:rsidRDefault="0031675F" w:rsidP="0031675F">
      <w:pPr>
        <w:spacing w:after="120"/>
        <w:ind w:right="111"/>
        <w:jc w:val="both"/>
        <w:rPr>
          <w:rFonts w:cs="Arial"/>
        </w:rPr>
      </w:pPr>
      <w:r w:rsidRPr="00E2020D">
        <w:rPr>
          <w:rFonts w:cs="Arial"/>
        </w:rPr>
        <w:t>If</w:t>
      </w:r>
      <w:r w:rsidRPr="00E2020D">
        <w:rPr>
          <w:rFonts w:cs="Arial"/>
          <w:spacing w:val="30"/>
        </w:rPr>
        <w:t xml:space="preserve"> </w:t>
      </w:r>
      <w:r w:rsidRPr="00E2020D">
        <w:rPr>
          <w:rFonts w:cs="Arial"/>
        </w:rPr>
        <w:t>at</w:t>
      </w:r>
      <w:r w:rsidRPr="00E2020D">
        <w:rPr>
          <w:rFonts w:cs="Arial"/>
          <w:spacing w:val="29"/>
        </w:rPr>
        <w:t xml:space="preserve"> </w:t>
      </w:r>
      <w:r w:rsidRPr="00E2020D">
        <w:rPr>
          <w:rFonts w:cs="Arial"/>
        </w:rPr>
        <w:t>the</w:t>
      </w:r>
      <w:r w:rsidRPr="00E2020D">
        <w:rPr>
          <w:rFonts w:cs="Arial"/>
          <w:spacing w:val="32"/>
        </w:rPr>
        <w:t xml:space="preserve"> </w:t>
      </w:r>
      <w:r w:rsidRPr="00E2020D">
        <w:rPr>
          <w:rFonts w:cs="Arial"/>
          <w:spacing w:val="-1"/>
        </w:rPr>
        <w:t>beginning</w:t>
      </w:r>
      <w:r w:rsidRPr="00E2020D">
        <w:rPr>
          <w:rFonts w:cs="Arial"/>
          <w:spacing w:val="27"/>
        </w:rPr>
        <w:t xml:space="preserve"> </w:t>
      </w:r>
      <w:r w:rsidRPr="00E2020D">
        <w:rPr>
          <w:rFonts w:cs="Arial"/>
        </w:rPr>
        <w:t>of</w:t>
      </w:r>
      <w:r w:rsidRPr="00E2020D">
        <w:rPr>
          <w:rFonts w:cs="Arial"/>
          <w:spacing w:val="31"/>
        </w:rPr>
        <w:t xml:space="preserve"> </w:t>
      </w:r>
      <w:r w:rsidRPr="00E2020D">
        <w:rPr>
          <w:rFonts w:cs="Arial"/>
          <w:spacing w:val="-1"/>
        </w:rPr>
        <w:t>the</w:t>
      </w:r>
      <w:r w:rsidRPr="00E2020D">
        <w:rPr>
          <w:rFonts w:cs="Arial"/>
          <w:spacing w:val="30"/>
        </w:rPr>
        <w:t xml:space="preserve"> </w:t>
      </w:r>
      <w:r w:rsidRPr="00E2020D">
        <w:rPr>
          <w:rFonts w:cs="Arial"/>
          <w:spacing w:val="-1"/>
        </w:rPr>
        <w:t>day</w:t>
      </w:r>
      <w:r w:rsidRPr="00E2020D">
        <w:rPr>
          <w:rFonts w:cs="Arial"/>
          <w:spacing w:val="32"/>
        </w:rPr>
        <w:t xml:space="preserve"> </w:t>
      </w:r>
      <w:r w:rsidRPr="00E2020D">
        <w:rPr>
          <w:rFonts w:cs="Arial"/>
        </w:rPr>
        <w:t>the</w:t>
      </w:r>
      <w:r w:rsidRPr="00E2020D">
        <w:rPr>
          <w:rFonts w:cs="Arial"/>
          <w:spacing w:val="28"/>
        </w:rPr>
        <w:t xml:space="preserve"> </w:t>
      </w:r>
      <w:r w:rsidRPr="00E2020D">
        <w:rPr>
          <w:rFonts w:cs="Arial"/>
          <w:spacing w:val="-1"/>
        </w:rPr>
        <w:t>reading</w:t>
      </w:r>
      <w:r w:rsidRPr="00E2020D">
        <w:rPr>
          <w:rFonts w:cs="Arial"/>
          <w:spacing w:val="31"/>
        </w:rPr>
        <w:t xml:space="preserve"> </w:t>
      </w:r>
      <w:r w:rsidRPr="00E2020D">
        <w:rPr>
          <w:rFonts w:cs="Arial"/>
          <w:spacing w:val="-2"/>
        </w:rPr>
        <w:t>shows</w:t>
      </w:r>
      <w:r w:rsidRPr="00E2020D">
        <w:rPr>
          <w:rFonts w:cs="Arial"/>
          <w:spacing w:val="32"/>
        </w:rPr>
        <w:t xml:space="preserve"> </w:t>
      </w:r>
      <w:r w:rsidRPr="00E2020D">
        <w:rPr>
          <w:rFonts w:cs="Arial"/>
          <w:spacing w:val="-1"/>
        </w:rPr>
        <w:t>greater</w:t>
      </w:r>
      <w:r w:rsidRPr="00E2020D">
        <w:rPr>
          <w:rFonts w:cs="Arial"/>
          <w:spacing w:val="28"/>
        </w:rPr>
        <w:t xml:space="preserve"> </w:t>
      </w:r>
      <w:r w:rsidRPr="00E2020D">
        <w:rPr>
          <w:rFonts w:cs="Arial"/>
        </w:rPr>
        <w:t>than</w:t>
      </w:r>
      <w:r w:rsidRPr="00E2020D">
        <w:rPr>
          <w:rFonts w:cs="Arial"/>
          <w:spacing w:val="28"/>
        </w:rPr>
        <w:t xml:space="preserve"> </w:t>
      </w:r>
      <w:r w:rsidRPr="00E2020D">
        <w:rPr>
          <w:rFonts w:cs="Arial"/>
        </w:rPr>
        <w:t>5%</w:t>
      </w:r>
      <w:r w:rsidRPr="00E2020D">
        <w:rPr>
          <w:rFonts w:cs="Arial"/>
          <w:spacing w:val="33"/>
        </w:rPr>
        <w:t xml:space="preserve"> </w:t>
      </w:r>
      <w:r w:rsidRPr="00E2020D">
        <w:rPr>
          <w:rFonts w:cs="Arial"/>
          <w:spacing w:val="-1"/>
        </w:rPr>
        <w:t>variation</w:t>
      </w:r>
      <w:r w:rsidRPr="00E2020D">
        <w:rPr>
          <w:rFonts w:cs="Arial"/>
          <w:spacing w:val="28"/>
        </w:rPr>
        <w:t xml:space="preserve"> </w:t>
      </w:r>
      <w:r w:rsidRPr="00E2020D">
        <w:rPr>
          <w:rFonts w:cs="Arial"/>
          <w:spacing w:val="-1"/>
        </w:rPr>
        <w:t>from</w:t>
      </w:r>
      <w:r w:rsidRPr="00E2020D">
        <w:rPr>
          <w:rFonts w:cs="Arial"/>
          <w:spacing w:val="29"/>
        </w:rPr>
        <w:t xml:space="preserve"> </w:t>
      </w:r>
      <w:r w:rsidRPr="00E2020D">
        <w:rPr>
          <w:rFonts w:cs="Arial"/>
        </w:rPr>
        <w:t>the</w:t>
      </w:r>
      <w:r w:rsidRPr="00E2020D">
        <w:rPr>
          <w:rFonts w:cs="Arial"/>
          <w:spacing w:val="27"/>
        </w:rPr>
        <w:t xml:space="preserve"> </w:t>
      </w:r>
      <w:r w:rsidRPr="00E2020D">
        <w:rPr>
          <w:rFonts w:cs="Arial"/>
          <w:spacing w:val="-1"/>
        </w:rPr>
        <w:t>original,</w:t>
      </w:r>
      <w:r w:rsidRPr="00E2020D">
        <w:rPr>
          <w:rFonts w:cs="Arial"/>
          <w:spacing w:val="31"/>
        </w:rPr>
        <w:t xml:space="preserve"> </w:t>
      </w:r>
      <w:r w:rsidRPr="00E2020D">
        <w:rPr>
          <w:rFonts w:cs="Arial"/>
        </w:rPr>
        <w:t>the</w:t>
      </w:r>
      <w:r w:rsidRPr="00E2020D">
        <w:rPr>
          <w:rFonts w:cs="Arial"/>
          <w:spacing w:val="61"/>
        </w:rPr>
        <w:t xml:space="preserve"> </w:t>
      </w:r>
      <w:r w:rsidRPr="00E2020D">
        <w:rPr>
          <w:rFonts w:cs="Arial"/>
          <w:spacing w:val="-1"/>
        </w:rPr>
        <w:t xml:space="preserve">emission </w:t>
      </w:r>
      <w:r w:rsidRPr="00E2020D">
        <w:rPr>
          <w:rFonts w:cs="Arial"/>
        </w:rPr>
        <w:t>and</w:t>
      </w:r>
      <w:r w:rsidRPr="00E2020D">
        <w:rPr>
          <w:rFonts w:cs="Arial"/>
          <w:spacing w:val="-2"/>
        </w:rPr>
        <w:t xml:space="preserve"> </w:t>
      </w:r>
      <w:r w:rsidRPr="00E2020D">
        <w:rPr>
          <w:rFonts w:cs="Arial"/>
          <w:spacing w:val="-1"/>
        </w:rPr>
        <w:t>excitation filters</w:t>
      </w:r>
      <w:r w:rsidRPr="00E2020D">
        <w:rPr>
          <w:rFonts w:cs="Arial"/>
        </w:rPr>
        <w:t xml:space="preserve"> of </w:t>
      </w:r>
      <w:r w:rsidRPr="00E2020D">
        <w:rPr>
          <w:rFonts w:cs="Arial"/>
          <w:spacing w:val="-1"/>
        </w:rPr>
        <w:t>the</w:t>
      </w:r>
      <w:r w:rsidRPr="00E2020D">
        <w:rPr>
          <w:rFonts w:cs="Arial"/>
        </w:rPr>
        <w:t xml:space="preserve"> </w:t>
      </w:r>
      <w:r w:rsidRPr="00E2020D">
        <w:rPr>
          <w:rFonts w:cs="Arial"/>
          <w:spacing w:val="-1"/>
        </w:rPr>
        <w:t>fluorometer</w:t>
      </w:r>
      <w:r w:rsidRPr="00E2020D">
        <w:rPr>
          <w:rFonts w:cs="Arial"/>
        </w:rPr>
        <w:t xml:space="preserve"> </w:t>
      </w:r>
      <w:r w:rsidRPr="00E2020D">
        <w:rPr>
          <w:rFonts w:cs="Arial"/>
          <w:spacing w:val="-1"/>
        </w:rPr>
        <w:t>may</w:t>
      </w:r>
      <w:r w:rsidRPr="00E2020D">
        <w:rPr>
          <w:rFonts w:cs="Arial"/>
          <w:spacing w:val="-2"/>
        </w:rPr>
        <w:t xml:space="preserve"> </w:t>
      </w:r>
      <w:r w:rsidRPr="00E2020D">
        <w:rPr>
          <w:rFonts w:cs="Arial"/>
          <w:spacing w:val="-1"/>
        </w:rPr>
        <w:t xml:space="preserve">need </w:t>
      </w:r>
      <w:r w:rsidRPr="00E2020D">
        <w:rPr>
          <w:rFonts w:cs="Arial"/>
        </w:rPr>
        <w:t>to</w:t>
      </w:r>
      <w:r w:rsidRPr="00E2020D">
        <w:rPr>
          <w:rFonts w:cs="Arial"/>
          <w:spacing w:val="1"/>
        </w:rPr>
        <w:t xml:space="preserve"> </w:t>
      </w:r>
      <w:r w:rsidRPr="00E2020D">
        <w:rPr>
          <w:rFonts w:cs="Arial"/>
          <w:spacing w:val="-1"/>
        </w:rPr>
        <w:t>be</w:t>
      </w:r>
      <w:r w:rsidRPr="00E2020D">
        <w:rPr>
          <w:rFonts w:cs="Arial"/>
        </w:rPr>
        <w:t xml:space="preserve"> cleaned</w:t>
      </w:r>
      <w:r w:rsidRPr="00E2020D">
        <w:rPr>
          <w:rFonts w:cs="Arial"/>
          <w:spacing w:val="-1"/>
        </w:rPr>
        <w:t xml:space="preserve"> </w:t>
      </w:r>
      <w:r w:rsidRPr="00E2020D">
        <w:rPr>
          <w:rFonts w:cs="Arial"/>
        </w:rPr>
        <w:t>with</w:t>
      </w:r>
      <w:r w:rsidRPr="00E2020D">
        <w:rPr>
          <w:rFonts w:cs="Arial"/>
          <w:spacing w:val="-1"/>
        </w:rPr>
        <w:t xml:space="preserve"> an ethanol</w:t>
      </w:r>
      <w:r w:rsidRPr="00E2020D">
        <w:rPr>
          <w:rFonts w:cs="Arial"/>
        </w:rPr>
        <w:t xml:space="preserve"> </w:t>
      </w:r>
      <w:r w:rsidRPr="00E2020D">
        <w:rPr>
          <w:rFonts w:cs="Arial"/>
          <w:spacing w:val="-1"/>
        </w:rPr>
        <w:t>dampened</w:t>
      </w:r>
      <w:r w:rsidRPr="00E2020D">
        <w:rPr>
          <w:rFonts w:cs="Arial"/>
          <w:spacing w:val="61"/>
        </w:rPr>
        <w:t xml:space="preserve"> </w:t>
      </w:r>
      <w:r w:rsidRPr="00E2020D">
        <w:rPr>
          <w:rFonts w:cs="Arial"/>
        </w:rPr>
        <w:t>tissue.</w:t>
      </w:r>
    </w:p>
    <w:p w14:paraId="7ACC9CBD" w14:textId="77777777" w:rsidR="0031675F" w:rsidRPr="00E2020D" w:rsidRDefault="0031675F" w:rsidP="0031675F">
      <w:pPr>
        <w:spacing w:before="11"/>
        <w:rPr>
          <w:rFonts w:cs="Arial"/>
          <w:sz w:val="21"/>
          <w:szCs w:val="21"/>
        </w:rPr>
      </w:pPr>
    </w:p>
    <w:p w14:paraId="16A5FC18" w14:textId="77777777" w:rsidR="0031675F" w:rsidRPr="00E2020D" w:rsidRDefault="0031675F" w:rsidP="0031675F">
      <w:pPr>
        <w:widowControl w:val="0"/>
        <w:numPr>
          <w:ilvl w:val="2"/>
          <w:numId w:val="84"/>
        </w:numPr>
        <w:tabs>
          <w:tab w:val="left" w:pos="839"/>
        </w:tabs>
        <w:spacing w:before="0" w:after="0" w:line="240" w:lineRule="auto"/>
        <w:jc w:val="both"/>
        <w:rPr>
          <w:rFonts w:eastAsia="Arial" w:cs="Arial"/>
        </w:rPr>
      </w:pPr>
      <w:r w:rsidRPr="00E2020D">
        <w:rPr>
          <w:rFonts w:cs="Arial"/>
          <w:b/>
          <w:spacing w:val="-1"/>
        </w:rPr>
        <w:t>Calculations</w:t>
      </w:r>
    </w:p>
    <w:p w14:paraId="78C4DAE4" w14:textId="77777777" w:rsidR="0031675F" w:rsidRPr="00E2020D" w:rsidRDefault="0031675F" w:rsidP="0031675F">
      <w:pPr>
        <w:spacing w:before="11"/>
        <w:rPr>
          <w:rFonts w:eastAsia="Arial" w:cs="Arial"/>
          <w:b/>
          <w:bCs/>
          <w:sz w:val="20"/>
          <w:szCs w:val="20"/>
        </w:rPr>
      </w:pPr>
    </w:p>
    <w:p w14:paraId="330E432E" w14:textId="41D2F5BE" w:rsidR="0031675F" w:rsidRPr="00E2020D" w:rsidRDefault="0031675F" w:rsidP="0031675F">
      <w:pPr>
        <w:spacing w:after="120"/>
        <w:ind w:right="118"/>
        <w:jc w:val="both"/>
        <w:rPr>
          <w:rFonts w:cs="Arial"/>
        </w:rPr>
      </w:pPr>
      <w:r w:rsidRPr="00E2020D">
        <w:rPr>
          <w:rFonts w:cs="Arial"/>
          <w:spacing w:val="-1"/>
        </w:rPr>
        <w:t>Chlorophyll</w:t>
      </w:r>
      <w:r w:rsidRPr="00E2020D">
        <w:rPr>
          <w:rFonts w:cs="Arial"/>
          <w:spacing w:val="45"/>
        </w:rPr>
        <w:t xml:space="preserve"> </w:t>
      </w:r>
      <w:r w:rsidRPr="00E2020D">
        <w:rPr>
          <w:rFonts w:cs="Arial"/>
          <w:i/>
        </w:rPr>
        <w:t>a</w:t>
      </w:r>
      <w:r w:rsidRPr="00E2020D">
        <w:rPr>
          <w:rFonts w:cs="Arial"/>
          <w:i/>
          <w:spacing w:val="42"/>
        </w:rPr>
        <w:t xml:space="preserve"> </w:t>
      </w:r>
      <w:r w:rsidRPr="00E2020D">
        <w:rPr>
          <w:rFonts w:cs="Arial"/>
          <w:spacing w:val="-1"/>
        </w:rPr>
        <w:t>and</w:t>
      </w:r>
      <w:r w:rsidRPr="00E2020D">
        <w:rPr>
          <w:rFonts w:cs="Arial"/>
          <w:spacing w:val="45"/>
        </w:rPr>
        <w:t xml:space="preserve"> </w:t>
      </w:r>
      <w:r w:rsidRPr="00E2020D">
        <w:rPr>
          <w:rFonts w:cs="Arial"/>
          <w:spacing w:val="-1"/>
        </w:rPr>
        <w:t>phaeophytin</w:t>
      </w:r>
      <w:r w:rsidRPr="00E2020D">
        <w:rPr>
          <w:rFonts w:cs="Arial"/>
          <w:spacing w:val="45"/>
        </w:rPr>
        <w:t xml:space="preserve"> </w:t>
      </w:r>
      <w:r w:rsidRPr="00E2020D">
        <w:rPr>
          <w:rFonts w:cs="Arial"/>
          <w:i/>
        </w:rPr>
        <w:t>a</w:t>
      </w:r>
      <w:r w:rsidRPr="00E2020D">
        <w:rPr>
          <w:rFonts w:cs="Arial"/>
          <w:i/>
          <w:spacing w:val="42"/>
        </w:rPr>
        <w:t xml:space="preserve"> </w:t>
      </w:r>
      <w:r w:rsidRPr="00E2020D">
        <w:rPr>
          <w:rFonts w:cs="Arial"/>
        </w:rPr>
        <w:t>may</w:t>
      </w:r>
      <w:r w:rsidRPr="00E2020D">
        <w:rPr>
          <w:rFonts w:cs="Arial"/>
          <w:spacing w:val="47"/>
        </w:rPr>
        <w:t xml:space="preserve"> </w:t>
      </w:r>
      <w:r w:rsidRPr="00E2020D">
        <w:rPr>
          <w:rFonts w:cs="Arial"/>
        </w:rPr>
        <w:t>then</w:t>
      </w:r>
      <w:r w:rsidRPr="00E2020D">
        <w:rPr>
          <w:rFonts w:cs="Arial"/>
          <w:spacing w:val="45"/>
        </w:rPr>
        <w:t xml:space="preserve"> </w:t>
      </w:r>
      <w:r w:rsidRPr="00E2020D">
        <w:rPr>
          <w:rFonts w:cs="Arial"/>
          <w:spacing w:val="-1"/>
        </w:rPr>
        <w:t>be</w:t>
      </w:r>
      <w:r w:rsidRPr="00E2020D">
        <w:rPr>
          <w:rFonts w:cs="Arial"/>
          <w:spacing w:val="45"/>
        </w:rPr>
        <w:t xml:space="preserve"> </w:t>
      </w:r>
      <w:r w:rsidRPr="00E2020D">
        <w:rPr>
          <w:rFonts w:cs="Arial"/>
          <w:spacing w:val="-1"/>
        </w:rPr>
        <w:t>calculated</w:t>
      </w:r>
      <w:r w:rsidRPr="00E2020D">
        <w:rPr>
          <w:rFonts w:cs="Arial"/>
          <w:spacing w:val="45"/>
        </w:rPr>
        <w:t xml:space="preserve"> </w:t>
      </w:r>
      <w:r w:rsidRPr="00E2020D">
        <w:rPr>
          <w:rFonts w:cs="Arial"/>
          <w:spacing w:val="-1"/>
        </w:rPr>
        <w:t>using</w:t>
      </w:r>
      <w:r w:rsidRPr="00E2020D">
        <w:rPr>
          <w:rFonts w:cs="Arial"/>
          <w:spacing w:val="45"/>
        </w:rPr>
        <w:t xml:space="preserve"> </w:t>
      </w:r>
      <w:r w:rsidRPr="00E2020D">
        <w:rPr>
          <w:rFonts w:cs="Arial"/>
        </w:rPr>
        <w:t>the</w:t>
      </w:r>
      <w:r w:rsidRPr="00E2020D">
        <w:rPr>
          <w:rFonts w:cs="Arial"/>
          <w:spacing w:val="45"/>
        </w:rPr>
        <w:t xml:space="preserve"> </w:t>
      </w:r>
      <w:r w:rsidRPr="00E2020D">
        <w:rPr>
          <w:rFonts w:cs="Arial"/>
          <w:spacing w:val="-1"/>
        </w:rPr>
        <w:t>following</w:t>
      </w:r>
      <w:r w:rsidRPr="00E2020D">
        <w:rPr>
          <w:rFonts w:cs="Arial"/>
          <w:spacing w:val="45"/>
        </w:rPr>
        <w:t xml:space="preserve"> </w:t>
      </w:r>
      <w:r w:rsidRPr="00E2020D">
        <w:rPr>
          <w:rFonts w:cs="Arial"/>
          <w:spacing w:val="-1"/>
        </w:rPr>
        <w:t>equations.</w:t>
      </w:r>
      <w:r w:rsidRPr="00E2020D">
        <w:rPr>
          <w:rFonts w:cs="Arial"/>
          <w:spacing w:val="42"/>
        </w:rPr>
        <w:t xml:space="preserve"> </w:t>
      </w:r>
      <w:r w:rsidRPr="00E2020D">
        <w:rPr>
          <w:rFonts w:cs="Arial"/>
          <w:spacing w:val="-1"/>
        </w:rPr>
        <w:t>The</w:t>
      </w:r>
      <w:r w:rsidRPr="00E2020D">
        <w:rPr>
          <w:rFonts w:cs="Arial"/>
          <w:spacing w:val="56"/>
        </w:rPr>
        <w:t xml:space="preserve"> </w:t>
      </w:r>
      <w:r w:rsidRPr="00E2020D">
        <w:rPr>
          <w:rFonts w:cs="Arial"/>
          <w:spacing w:val="-1"/>
        </w:rPr>
        <w:t>equation</w:t>
      </w:r>
      <w:r w:rsidRPr="00E2020D">
        <w:rPr>
          <w:rFonts w:cs="Arial"/>
          <w:spacing w:val="37"/>
        </w:rPr>
        <w:t xml:space="preserve"> </w:t>
      </w:r>
      <w:r w:rsidRPr="00E2020D">
        <w:rPr>
          <w:rFonts w:cs="Arial"/>
          <w:spacing w:val="-1"/>
        </w:rPr>
        <w:t>assumes</w:t>
      </w:r>
      <w:r w:rsidRPr="00E2020D">
        <w:rPr>
          <w:rFonts w:cs="Arial"/>
          <w:spacing w:val="39"/>
        </w:rPr>
        <w:t xml:space="preserve"> </w:t>
      </w:r>
      <w:r w:rsidRPr="00E2020D">
        <w:rPr>
          <w:rFonts w:cs="Arial"/>
          <w:spacing w:val="-1"/>
        </w:rPr>
        <w:t>that</w:t>
      </w:r>
      <w:r w:rsidRPr="00E2020D">
        <w:rPr>
          <w:rFonts w:cs="Arial"/>
          <w:spacing w:val="39"/>
        </w:rPr>
        <w:t xml:space="preserve"> </w:t>
      </w:r>
      <w:r w:rsidRPr="00E2020D">
        <w:rPr>
          <w:rFonts w:cs="Arial"/>
          <w:spacing w:val="-1"/>
        </w:rPr>
        <w:t>the</w:t>
      </w:r>
      <w:r w:rsidRPr="00E2020D">
        <w:rPr>
          <w:rFonts w:cs="Arial"/>
          <w:spacing w:val="38"/>
        </w:rPr>
        <w:t xml:space="preserve"> </w:t>
      </w:r>
      <w:r w:rsidRPr="00E2020D">
        <w:rPr>
          <w:rFonts w:cs="Arial"/>
          <w:spacing w:val="-1"/>
        </w:rPr>
        <w:t>filtered</w:t>
      </w:r>
      <w:r w:rsidRPr="00E2020D">
        <w:rPr>
          <w:rFonts w:cs="Arial"/>
          <w:spacing w:val="38"/>
        </w:rPr>
        <w:t xml:space="preserve"> </w:t>
      </w:r>
      <w:r w:rsidRPr="00E2020D">
        <w:rPr>
          <w:rFonts w:cs="Arial"/>
          <w:spacing w:val="-1"/>
        </w:rPr>
        <w:t>sample</w:t>
      </w:r>
      <w:r w:rsidRPr="00E2020D">
        <w:rPr>
          <w:rFonts w:cs="Arial"/>
          <w:spacing w:val="36"/>
        </w:rPr>
        <w:t xml:space="preserve"> </w:t>
      </w:r>
      <w:r w:rsidRPr="00E2020D">
        <w:rPr>
          <w:rFonts w:cs="Arial"/>
          <w:spacing w:val="-1"/>
        </w:rPr>
        <w:t>volume</w:t>
      </w:r>
      <w:r w:rsidRPr="00E2020D">
        <w:rPr>
          <w:rFonts w:cs="Arial"/>
          <w:spacing w:val="37"/>
        </w:rPr>
        <w:t xml:space="preserve"> </w:t>
      </w:r>
      <w:r w:rsidRPr="00E2020D">
        <w:rPr>
          <w:rFonts w:cs="Arial"/>
        </w:rPr>
        <w:t>is</w:t>
      </w:r>
      <w:r w:rsidRPr="00E2020D">
        <w:rPr>
          <w:rFonts w:cs="Arial"/>
          <w:spacing w:val="37"/>
        </w:rPr>
        <w:t xml:space="preserve"> </w:t>
      </w:r>
      <w:r w:rsidRPr="00E2020D">
        <w:rPr>
          <w:rFonts w:cs="Arial"/>
          <w:spacing w:val="-1"/>
        </w:rPr>
        <w:t>100</w:t>
      </w:r>
      <w:r w:rsidRPr="00E2020D">
        <w:rPr>
          <w:rFonts w:cs="Arial"/>
          <w:spacing w:val="37"/>
        </w:rPr>
        <w:t xml:space="preserve"> </w:t>
      </w:r>
      <w:r w:rsidR="00BB13FD" w:rsidRPr="00E2020D">
        <w:rPr>
          <w:rFonts w:cs="Arial"/>
        </w:rPr>
        <w:t>mL</w:t>
      </w:r>
      <w:r w:rsidRPr="00E2020D">
        <w:rPr>
          <w:rFonts w:cs="Arial"/>
          <w:spacing w:val="38"/>
        </w:rPr>
        <w:t xml:space="preserve"> </w:t>
      </w:r>
      <w:r w:rsidRPr="00E2020D">
        <w:rPr>
          <w:rFonts w:cs="Arial"/>
          <w:spacing w:val="-1"/>
        </w:rPr>
        <w:t>and</w:t>
      </w:r>
      <w:r w:rsidRPr="00E2020D">
        <w:rPr>
          <w:rFonts w:cs="Arial"/>
          <w:spacing w:val="34"/>
        </w:rPr>
        <w:t xml:space="preserve"> </w:t>
      </w:r>
      <w:r w:rsidRPr="00E2020D">
        <w:rPr>
          <w:rFonts w:cs="Arial"/>
        </w:rPr>
        <w:t>that</w:t>
      </w:r>
      <w:r w:rsidRPr="00E2020D">
        <w:rPr>
          <w:rFonts w:cs="Arial"/>
          <w:spacing w:val="36"/>
        </w:rPr>
        <w:t xml:space="preserve"> </w:t>
      </w:r>
      <w:r w:rsidRPr="00E2020D">
        <w:rPr>
          <w:rFonts w:cs="Arial"/>
        </w:rPr>
        <w:t>there</w:t>
      </w:r>
      <w:r w:rsidRPr="00E2020D">
        <w:rPr>
          <w:rFonts w:cs="Arial"/>
          <w:spacing w:val="34"/>
        </w:rPr>
        <w:t xml:space="preserve"> </w:t>
      </w:r>
      <w:r w:rsidRPr="00E2020D">
        <w:rPr>
          <w:rFonts w:cs="Arial"/>
        </w:rPr>
        <w:t>is</w:t>
      </w:r>
      <w:r w:rsidRPr="00E2020D">
        <w:rPr>
          <w:rFonts w:cs="Arial"/>
          <w:spacing w:val="38"/>
        </w:rPr>
        <w:t xml:space="preserve"> </w:t>
      </w:r>
      <w:r w:rsidRPr="00E2020D">
        <w:rPr>
          <w:rFonts w:cs="Arial"/>
        </w:rPr>
        <w:t>10</w:t>
      </w:r>
      <w:r w:rsidRPr="00E2020D">
        <w:rPr>
          <w:rFonts w:cs="Arial"/>
          <w:spacing w:val="34"/>
        </w:rPr>
        <w:t xml:space="preserve"> </w:t>
      </w:r>
      <w:r w:rsidR="00BB13FD" w:rsidRPr="00E2020D">
        <w:rPr>
          <w:rFonts w:cs="Arial"/>
        </w:rPr>
        <w:t>mL</w:t>
      </w:r>
      <w:r w:rsidRPr="00E2020D">
        <w:rPr>
          <w:rFonts w:cs="Arial"/>
          <w:spacing w:val="38"/>
        </w:rPr>
        <w:t xml:space="preserve"> </w:t>
      </w:r>
      <w:r w:rsidRPr="00E2020D">
        <w:rPr>
          <w:rFonts w:cs="Arial"/>
          <w:spacing w:val="-1"/>
        </w:rPr>
        <w:t>of</w:t>
      </w:r>
      <w:r w:rsidRPr="00E2020D">
        <w:rPr>
          <w:rFonts w:cs="Arial"/>
          <w:spacing w:val="39"/>
        </w:rPr>
        <w:t xml:space="preserve"> </w:t>
      </w:r>
      <w:r w:rsidRPr="00E2020D">
        <w:rPr>
          <w:rFonts w:cs="Arial"/>
          <w:spacing w:val="-1"/>
        </w:rPr>
        <w:t>acetone</w:t>
      </w:r>
      <w:r w:rsidRPr="00E2020D">
        <w:rPr>
          <w:rFonts w:cs="Arial"/>
          <w:spacing w:val="31"/>
        </w:rPr>
        <w:t xml:space="preserve"> </w:t>
      </w:r>
      <w:r w:rsidRPr="00E2020D">
        <w:rPr>
          <w:rFonts w:cs="Arial"/>
          <w:spacing w:val="-1"/>
        </w:rPr>
        <w:t>extract.</w:t>
      </w:r>
      <w:r w:rsidRPr="00E2020D">
        <w:rPr>
          <w:rFonts w:cs="Arial"/>
        </w:rPr>
        <w:t xml:space="preserve">  </w:t>
      </w:r>
      <w:r w:rsidRPr="00E2020D">
        <w:rPr>
          <w:rFonts w:cs="Arial"/>
          <w:spacing w:val="-2"/>
        </w:rPr>
        <w:t>The</w:t>
      </w:r>
      <w:r w:rsidRPr="00E2020D">
        <w:rPr>
          <w:rFonts w:cs="Arial"/>
        </w:rPr>
        <w:t xml:space="preserve"> </w:t>
      </w:r>
      <w:r w:rsidRPr="00E2020D">
        <w:rPr>
          <w:rFonts w:cs="Arial"/>
          <w:spacing w:val="-1"/>
        </w:rPr>
        <w:t>calculation spreadsheet</w:t>
      </w:r>
      <w:r w:rsidRPr="00E2020D">
        <w:rPr>
          <w:rFonts w:cs="Arial"/>
          <w:spacing w:val="-2"/>
        </w:rPr>
        <w:t xml:space="preserve"> </w:t>
      </w:r>
      <w:r w:rsidRPr="00E2020D">
        <w:rPr>
          <w:rFonts w:cs="Arial"/>
          <w:spacing w:val="-1"/>
        </w:rPr>
        <w:t>allows</w:t>
      </w:r>
      <w:r w:rsidRPr="00E2020D">
        <w:rPr>
          <w:rFonts w:cs="Arial"/>
          <w:spacing w:val="1"/>
        </w:rPr>
        <w:t xml:space="preserve"> </w:t>
      </w:r>
      <w:r w:rsidRPr="00E2020D">
        <w:rPr>
          <w:rFonts w:cs="Arial"/>
          <w:spacing w:val="-1"/>
        </w:rPr>
        <w:t>for</w:t>
      </w:r>
      <w:r w:rsidRPr="00E2020D">
        <w:rPr>
          <w:rFonts w:cs="Arial"/>
          <w:spacing w:val="-2"/>
        </w:rPr>
        <w:t xml:space="preserve"> </w:t>
      </w:r>
      <w:r w:rsidRPr="00E2020D">
        <w:rPr>
          <w:rFonts w:cs="Arial"/>
          <w:spacing w:val="-1"/>
        </w:rPr>
        <w:t xml:space="preserve">variation </w:t>
      </w:r>
      <w:r w:rsidRPr="00E2020D">
        <w:rPr>
          <w:rFonts w:cs="Arial"/>
        </w:rPr>
        <w:t>of</w:t>
      </w:r>
      <w:r w:rsidRPr="00E2020D">
        <w:rPr>
          <w:rFonts w:cs="Arial"/>
          <w:spacing w:val="-3"/>
        </w:rPr>
        <w:t xml:space="preserve"> </w:t>
      </w:r>
      <w:r w:rsidRPr="00E2020D">
        <w:rPr>
          <w:rFonts w:cs="Arial"/>
          <w:spacing w:val="-1"/>
        </w:rPr>
        <w:t>these</w:t>
      </w:r>
      <w:r w:rsidRPr="00E2020D">
        <w:rPr>
          <w:rFonts w:cs="Arial"/>
        </w:rPr>
        <w:t xml:space="preserve"> </w:t>
      </w:r>
      <w:r w:rsidRPr="00E2020D">
        <w:rPr>
          <w:rFonts w:cs="Arial"/>
          <w:spacing w:val="-1"/>
        </w:rPr>
        <w:t>numbers</w:t>
      </w:r>
      <w:r w:rsidRPr="00E2020D">
        <w:rPr>
          <w:rFonts w:cs="Arial"/>
        </w:rPr>
        <w:t xml:space="preserve"> </w:t>
      </w:r>
      <w:r w:rsidRPr="00E2020D">
        <w:rPr>
          <w:rFonts w:cs="Arial"/>
          <w:spacing w:val="-1"/>
        </w:rPr>
        <w:t>for</w:t>
      </w:r>
      <w:r w:rsidRPr="00E2020D">
        <w:rPr>
          <w:rFonts w:cs="Arial"/>
        </w:rPr>
        <w:t xml:space="preserve"> </w:t>
      </w:r>
      <w:r w:rsidRPr="00E2020D">
        <w:rPr>
          <w:rFonts w:cs="Arial"/>
          <w:spacing w:val="-1"/>
        </w:rPr>
        <w:t>individual</w:t>
      </w:r>
      <w:r w:rsidRPr="00E2020D">
        <w:rPr>
          <w:rFonts w:cs="Arial"/>
        </w:rPr>
        <w:t xml:space="preserve"> </w:t>
      </w:r>
      <w:r w:rsidRPr="00E2020D">
        <w:rPr>
          <w:rFonts w:cs="Arial"/>
          <w:spacing w:val="-1"/>
        </w:rPr>
        <w:t>samples.</w:t>
      </w:r>
    </w:p>
    <w:p w14:paraId="45341A58" w14:textId="77777777" w:rsidR="0031675F" w:rsidRPr="00E2020D" w:rsidRDefault="0031675F" w:rsidP="0031675F">
      <w:pPr>
        <w:rPr>
          <w:rFonts w:cs="Arial"/>
        </w:rPr>
      </w:pPr>
    </w:p>
    <w:p w14:paraId="7AE38B9D" w14:textId="77777777" w:rsidR="0031675F" w:rsidRPr="00E2020D" w:rsidRDefault="0031675F" w:rsidP="0031675F">
      <w:pPr>
        <w:spacing w:after="120" w:line="308" w:lineRule="exact"/>
        <w:ind w:left="529"/>
        <w:rPr>
          <w:rFonts w:cs="Arial"/>
        </w:rPr>
      </w:pPr>
      <w:r w:rsidRPr="00E2020D">
        <w:rPr>
          <w:rFonts w:cs="Arial"/>
          <w:spacing w:val="-1"/>
        </w:rPr>
        <w:t>C</w:t>
      </w:r>
      <w:r w:rsidRPr="00E2020D">
        <w:rPr>
          <w:rFonts w:cs="Arial"/>
          <w:spacing w:val="-1"/>
          <w:position w:val="-3"/>
        </w:rPr>
        <w:t>a</w:t>
      </w:r>
      <w:r w:rsidRPr="00E2020D">
        <w:rPr>
          <w:rFonts w:cs="Arial"/>
          <w:position w:val="-3"/>
        </w:rPr>
        <w:t xml:space="preserve"> </w:t>
      </w:r>
      <w:r w:rsidRPr="00E2020D">
        <w:rPr>
          <w:rFonts w:cs="Arial"/>
        </w:rPr>
        <w:t>=</w:t>
      </w:r>
      <w:r w:rsidRPr="00E2020D">
        <w:rPr>
          <w:rFonts w:cs="Arial"/>
          <w:spacing w:val="1"/>
        </w:rPr>
        <w:t xml:space="preserve"> </w:t>
      </w:r>
      <w:r w:rsidRPr="00E2020D">
        <w:rPr>
          <w:rFonts w:cs="Arial"/>
          <w:spacing w:val="-1"/>
        </w:rPr>
        <w:t>F</w:t>
      </w:r>
      <w:r w:rsidRPr="00E2020D">
        <w:rPr>
          <w:rFonts w:cs="Arial"/>
          <w:spacing w:val="-1"/>
          <w:position w:val="-3"/>
        </w:rPr>
        <w:t>D</w:t>
      </w:r>
      <w:r w:rsidRPr="00E2020D">
        <w:rPr>
          <w:rFonts w:cs="Arial"/>
          <w:spacing w:val="-1"/>
        </w:rPr>
        <w:t>"(R</w:t>
      </w:r>
      <w:r w:rsidRPr="00E2020D">
        <w:rPr>
          <w:rFonts w:cs="Arial"/>
          <w:spacing w:val="-1"/>
          <w:position w:val="-3"/>
        </w:rPr>
        <w:t>B</w:t>
      </w:r>
      <w:r w:rsidRPr="00E2020D">
        <w:rPr>
          <w:rFonts w:cs="Arial"/>
          <w:spacing w:val="-2"/>
          <w:position w:val="-3"/>
        </w:rPr>
        <w:t xml:space="preserve"> </w:t>
      </w:r>
      <w:r w:rsidRPr="00E2020D">
        <w:rPr>
          <w:rFonts w:cs="Arial"/>
        </w:rPr>
        <w:t xml:space="preserve">- </w:t>
      </w:r>
      <w:r w:rsidRPr="00E2020D">
        <w:rPr>
          <w:rFonts w:cs="Arial"/>
          <w:spacing w:val="-1"/>
        </w:rPr>
        <w:t>R</w:t>
      </w:r>
      <w:r w:rsidRPr="00E2020D">
        <w:rPr>
          <w:rFonts w:cs="Arial"/>
          <w:spacing w:val="-1"/>
          <w:position w:val="-3"/>
        </w:rPr>
        <w:t>A</w:t>
      </w:r>
      <w:r w:rsidRPr="00E2020D">
        <w:rPr>
          <w:rFonts w:cs="Arial"/>
          <w:spacing w:val="-1"/>
        </w:rPr>
        <w:t>)</w:t>
      </w:r>
    </w:p>
    <w:p w14:paraId="06700A96" w14:textId="77777777" w:rsidR="0031675F" w:rsidRPr="00E2020D" w:rsidRDefault="0031675F" w:rsidP="0031675F">
      <w:pPr>
        <w:spacing w:after="120" w:line="308" w:lineRule="exact"/>
        <w:ind w:left="529"/>
        <w:rPr>
          <w:rFonts w:cs="Arial"/>
        </w:rPr>
      </w:pPr>
      <w:r w:rsidRPr="00E2020D">
        <w:rPr>
          <w:rFonts w:cs="Arial"/>
          <w:spacing w:val="-1"/>
        </w:rPr>
        <w:t>Phaeo</w:t>
      </w:r>
      <w:r w:rsidRPr="00E2020D">
        <w:rPr>
          <w:rFonts w:cs="Arial"/>
          <w:spacing w:val="1"/>
        </w:rPr>
        <w:t xml:space="preserve"> </w:t>
      </w:r>
      <w:r w:rsidRPr="00E2020D">
        <w:rPr>
          <w:rFonts w:cs="Arial"/>
        </w:rPr>
        <w:t xml:space="preserve">= </w:t>
      </w:r>
      <w:r w:rsidRPr="00E2020D">
        <w:rPr>
          <w:rFonts w:cs="Arial"/>
          <w:spacing w:val="-1"/>
        </w:rPr>
        <w:t>F</w:t>
      </w:r>
      <w:r w:rsidRPr="00E2020D">
        <w:rPr>
          <w:rFonts w:cs="Arial"/>
          <w:spacing w:val="-1"/>
          <w:position w:val="-3"/>
        </w:rPr>
        <w:t>D</w:t>
      </w:r>
      <w:r w:rsidRPr="00E2020D">
        <w:rPr>
          <w:rFonts w:cs="Arial"/>
          <w:spacing w:val="-1"/>
        </w:rPr>
        <w:t>"(2.2R</w:t>
      </w:r>
      <w:r w:rsidRPr="00E2020D">
        <w:rPr>
          <w:rFonts w:cs="Arial"/>
          <w:spacing w:val="-1"/>
          <w:position w:val="-3"/>
        </w:rPr>
        <w:t>A</w:t>
      </w:r>
      <w:r w:rsidRPr="00E2020D">
        <w:rPr>
          <w:rFonts w:cs="Arial"/>
          <w:position w:val="-3"/>
        </w:rPr>
        <w:t xml:space="preserve"> </w:t>
      </w:r>
      <w:r w:rsidRPr="00E2020D">
        <w:rPr>
          <w:rFonts w:cs="Arial"/>
        </w:rPr>
        <w:t xml:space="preserve">- </w:t>
      </w:r>
      <w:r w:rsidRPr="00E2020D">
        <w:rPr>
          <w:rFonts w:cs="Arial"/>
          <w:spacing w:val="-1"/>
        </w:rPr>
        <w:t>R</w:t>
      </w:r>
      <w:r w:rsidRPr="00E2020D">
        <w:rPr>
          <w:rFonts w:cs="Arial"/>
          <w:spacing w:val="-1"/>
          <w:position w:val="-3"/>
        </w:rPr>
        <w:t>B</w:t>
      </w:r>
      <w:r w:rsidRPr="00E2020D">
        <w:rPr>
          <w:rFonts w:cs="Arial"/>
          <w:spacing w:val="-1"/>
        </w:rPr>
        <w:t>)</w:t>
      </w:r>
    </w:p>
    <w:p w14:paraId="1352DC69" w14:textId="77777777" w:rsidR="0031675F" w:rsidRPr="00E2020D" w:rsidRDefault="0031675F" w:rsidP="0031675F">
      <w:pPr>
        <w:spacing w:before="1"/>
        <w:rPr>
          <w:rFonts w:cs="Arial"/>
        </w:rPr>
      </w:pPr>
    </w:p>
    <w:p w14:paraId="6CDE594C" w14:textId="77777777" w:rsidR="0031675F" w:rsidRPr="00E2020D" w:rsidRDefault="0031675F" w:rsidP="0031675F">
      <w:pPr>
        <w:spacing w:after="120"/>
        <w:jc w:val="both"/>
        <w:rPr>
          <w:rFonts w:cs="Arial"/>
        </w:rPr>
      </w:pPr>
      <w:r w:rsidRPr="00E2020D">
        <w:rPr>
          <w:rFonts w:cs="Arial"/>
          <w:spacing w:val="-1"/>
        </w:rPr>
        <w:t>where:</w:t>
      </w:r>
    </w:p>
    <w:p w14:paraId="29149872" w14:textId="5E4594F0" w:rsidR="0031675F" w:rsidRPr="00E2020D" w:rsidRDefault="0031675F" w:rsidP="0031675F">
      <w:pPr>
        <w:spacing w:after="120"/>
        <w:ind w:left="529" w:right="4472"/>
        <w:rPr>
          <w:rFonts w:cs="Arial"/>
        </w:rPr>
      </w:pPr>
      <w:r w:rsidRPr="00E2020D">
        <w:rPr>
          <w:rFonts w:cs="Arial"/>
          <w:spacing w:val="-1"/>
        </w:rPr>
        <w:t>C</w:t>
      </w:r>
      <w:r w:rsidRPr="00E2020D">
        <w:rPr>
          <w:rFonts w:cs="Arial"/>
          <w:spacing w:val="-1"/>
          <w:position w:val="-3"/>
        </w:rPr>
        <w:t>a</w:t>
      </w:r>
      <w:r w:rsidRPr="00E2020D">
        <w:rPr>
          <w:rFonts w:cs="Arial"/>
          <w:position w:val="-3"/>
        </w:rPr>
        <w:t xml:space="preserve"> </w:t>
      </w:r>
      <w:r w:rsidRPr="00E2020D">
        <w:rPr>
          <w:rFonts w:cs="Arial"/>
        </w:rPr>
        <w:t xml:space="preserve">= </w:t>
      </w:r>
      <w:r w:rsidRPr="00E2020D">
        <w:rPr>
          <w:rFonts w:cs="Arial"/>
          <w:spacing w:val="-1"/>
        </w:rPr>
        <w:t xml:space="preserve">concentration </w:t>
      </w:r>
      <w:r w:rsidRPr="00E2020D">
        <w:rPr>
          <w:rFonts w:cs="Arial"/>
        </w:rPr>
        <w:t>of</w:t>
      </w:r>
      <w:r w:rsidRPr="00E2020D">
        <w:rPr>
          <w:rFonts w:cs="Arial"/>
          <w:spacing w:val="-3"/>
        </w:rPr>
        <w:t xml:space="preserve"> </w:t>
      </w:r>
      <w:r w:rsidRPr="00E2020D">
        <w:rPr>
          <w:rFonts w:cs="Arial"/>
          <w:spacing w:val="-1"/>
        </w:rPr>
        <w:t>chlorophyll</w:t>
      </w:r>
      <w:r w:rsidRPr="00E2020D">
        <w:rPr>
          <w:rFonts w:cs="Arial"/>
          <w:spacing w:val="1"/>
        </w:rPr>
        <w:t xml:space="preserve"> </w:t>
      </w:r>
      <w:r w:rsidRPr="00E2020D">
        <w:rPr>
          <w:rFonts w:cs="Arial"/>
          <w:i/>
        </w:rPr>
        <w:t>a</w:t>
      </w:r>
      <w:r w:rsidRPr="00E2020D">
        <w:rPr>
          <w:rFonts w:cs="Arial"/>
          <w:i/>
          <w:spacing w:val="49"/>
        </w:rPr>
        <w:t xml:space="preserve"> </w:t>
      </w:r>
      <w:r w:rsidRPr="00E2020D">
        <w:rPr>
          <w:rFonts w:cs="Arial"/>
        </w:rPr>
        <w:t>in</w:t>
      </w:r>
      <w:r w:rsidRPr="00E2020D">
        <w:rPr>
          <w:rFonts w:cs="Arial"/>
          <w:spacing w:val="-4"/>
        </w:rPr>
        <w:t xml:space="preserve"> </w:t>
      </w:r>
      <w:r w:rsidRPr="00E2020D">
        <w:rPr>
          <w:rFonts w:cs="Arial"/>
          <w:spacing w:val="-1"/>
        </w:rPr>
        <w:t>µg</w:t>
      </w:r>
      <w:r w:rsidR="00E817CB" w:rsidRPr="00E2020D">
        <w:rPr>
          <w:rFonts w:cs="Arial"/>
          <w:spacing w:val="-1"/>
        </w:rPr>
        <w:t xml:space="preserve"> L</w:t>
      </w:r>
      <w:r w:rsidR="00E817CB" w:rsidRPr="00E2020D">
        <w:rPr>
          <w:rFonts w:cs="Arial"/>
          <w:spacing w:val="-1"/>
          <w:vertAlign w:val="superscript"/>
        </w:rPr>
        <w:t>-1</w:t>
      </w:r>
      <w:r w:rsidRPr="00E2020D">
        <w:rPr>
          <w:rFonts w:cs="Arial"/>
          <w:spacing w:val="29"/>
        </w:rPr>
        <w:t xml:space="preserve"> </w:t>
      </w:r>
      <w:r w:rsidRPr="00E2020D">
        <w:rPr>
          <w:rFonts w:cs="Arial"/>
          <w:spacing w:val="-1"/>
        </w:rPr>
        <w:t>Phaeo</w:t>
      </w:r>
      <w:r w:rsidRPr="00E2020D">
        <w:rPr>
          <w:rFonts w:cs="Arial"/>
          <w:spacing w:val="1"/>
        </w:rPr>
        <w:t xml:space="preserve"> </w:t>
      </w:r>
      <w:r w:rsidRPr="00E2020D">
        <w:rPr>
          <w:rFonts w:cs="Arial"/>
        </w:rPr>
        <w:t>=</w:t>
      </w:r>
      <w:r w:rsidRPr="00E2020D">
        <w:rPr>
          <w:rFonts w:cs="Arial"/>
          <w:spacing w:val="-2"/>
        </w:rPr>
        <w:t xml:space="preserve"> </w:t>
      </w:r>
      <w:r w:rsidRPr="00E2020D">
        <w:rPr>
          <w:rFonts w:cs="Arial"/>
          <w:spacing w:val="-1"/>
        </w:rPr>
        <w:t>concentration</w:t>
      </w:r>
      <w:r w:rsidRPr="00E2020D">
        <w:rPr>
          <w:rFonts w:cs="Arial"/>
          <w:spacing w:val="-3"/>
        </w:rPr>
        <w:t xml:space="preserve"> </w:t>
      </w:r>
      <w:r w:rsidRPr="00E2020D">
        <w:rPr>
          <w:rFonts w:cs="Arial"/>
        </w:rPr>
        <w:t xml:space="preserve">of </w:t>
      </w:r>
      <w:r w:rsidRPr="00E2020D">
        <w:rPr>
          <w:rFonts w:cs="Arial"/>
          <w:spacing w:val="-1"/>
        </w:rPr>
        <w:t xml:space="preserve">phaeophytin </w:t>
      </w:r>
      <w:r w:rsidRPr="00E2020D">
        <w:rPr>
          <w:rFonts w:cs="Arial"/>
          <w:i/>
        </w:rPr>
        <w:t>a</w:t>
      </w:r>
      <w:r w:rsidRPr="00E2020D">
        <w:rPr>
          <w:rFonts w:cs="Arial"/>
          <w:i/>
          <w:spacing w:val="49"/>
        </w:rPr>
        <w:t xml:space="preserve"> </w:t>
      </w:r>
      <w:r w:rsidRPr="00E2020D">
        <w:rPr>
          <w:rFonts w:cs="Arial"/>
        </w:rPr>
        <w:t>in</w:t>
      </w:r>
      <w:r w:rsidRPr="00E2020D">
        <w:rPr>
          <w:rFonts w:cs="Arial"/>
          <w:spacing w:val="-3"/>
        </w:rPr>
        <w:t xml:space="preserve"> </w:t>
      </w:r>
      <w:r w:rsidRPr="00E2020D">
        <w:rPr>
          <w:rFonts w:cs="Arial"/>
          <w:spacing w:val="-1"/>
        </w:rPr>
        <w:t>µg</w:t>
      </w:r>
      <w:r w:rsidR="00E817CB" w:rsidRPr="00E2020D">
        <w:rPr>
          <w:rFonts w:cs="Arial"/>
          <w:spacing w:val="-1"/>
        </w:rPr>
        <w:t xml:space="preserve"> L</w:t>
      </w:r>
      <w:r w:rsidR="00E817CB" w:rsidRPr="00E2020D">
        <w:rPr>
          <w:rFonts w:cs="Arial"/>
          <w:spacing w:val="-1"/>
          <w:vertAlign w:val="superscript"/>
        </w:rPr>
        <w:t>-1</w:t>
      </w:r>
      <w:r w:rsidRPr="00E2020D">
        <w:rPr>
          <w:rFonts w:cs="Arial"/>
          <w:spacing w:val="39"/>
        </w:rPr>
        <w:t xml:space="preserve"> </w:t>
      </w:r>
      <w:r w:rsidRPr="00E2020D">
        <w:rPr>
          <w:rFonts w:cs="Arial"/>
          <w:spacing w:val="-1"/>
        </w:rPr>
        <w:t>F</w:t>
      </w:r>
      <w:r w:rsidRPr="00E2020D">
        <w:rPr>
          <w:rFonts w:cs="Arial"/>
          <w:spacing w:val="-1"/>
          <w:position w:val="-3"/>
        </w:rPr>
        <w:t>D</w:t>
      </w:r>
      <w:r w:rsidRPr="00E2020D">
        <w:rPr>
          <w:rFonts w:cs="Arial"/>
          <w:spacing w:val="-1"/>
        </w:rPr>
        <w:t>"</w:t>
      </w:r>
      <w:r w:rsidRPr="00E2020D">
        <w:rPr>
          <w:rFonts w:cs="Arial"/>
        </w:rPr>
        <w:t xml:space="preserve"> =</w:t>
      </w:r>
      <w:r w:rsidRPr="00E2020D">
        <w:rPr>
          <w:rFonts w:cs="Arial"/>
          <w:spacing w:val="-2"/>
        </w:rPr>
        <w:t xml:space="preserve"> </w:t>
      </w:r>
      <w:r w:rsidRPr="00E2020D">
        <w:rPr>
          <w:rFonts w:cs="Arial"/>
          <w:spacing w:val="-1"/>
        </w:rPr>
        <w:t>door</w:t>
      </w:r>
      <w:r w:rsidRPr="00E2020D">
        <w:rPr>
          <w:rFonts w:cs="Arial"/>
        </w:rPr>
        <w:t xml:space="preserve"> </w:t>
      </w:r>
      <w:r w:rsidRPr="00E2020D">
        <w:rPr>
          <w:rFonts w:cs="Arial"/>
          <w:spacing w:val="-1"/>
        </w:rPr>
        <w:t>factor</w:t>
      </w:r>
      <w:r w:rsidRPr="00E2020D">
        <w:rPr>
          <w:rFonts w:cs="Arial"/>
          <w:spacing w:val="-3"/>
        </w:rPr>
        <w:t xml:space="preserve"> </w:t>
      </w:r>
      <w:r w:rsidRPr="00E2020D">
        <w:rPr>
          <w:rFonts w:cs="Arial"/>
          <w:spacing w:val="-1"/>
        </w:rPr>
        <w:t>(see</w:t>
      </w:r>
      <w:r w:rsidRPr="00E2020D">
        <w:rPr>
          <w:rFonts w:cs="Arial"/>
          <w:spacing w:val="2"/>
        </w:rPr>
        <w:t xml:space="preserve"> </w:t>
      </w:r>
      <w:r w:rsidRPr="00E2020D">
        <w:rPr>
          <w:rFonts w:cs="Arial"/>
          <w:spacing w:val="-1"/>
        </w:rPr>
        <w:t>Attachment</w:t>
      </w:r>
      <w:r w:rsidRPr="00E2020D">
        <w:rPr>
          <w:rFonts w:cs="Arial"/>
          <w:spacing w:val="-2"/>
        </w:rPr>
        <w:t xml:space="preserve"> </w:t>
      </w:r>
      <w:r w:rsidRPr="00E2020D">
        <w:rPr>
          <w:rFonts w:cs="Arial"/>
          <w:spacing w:val="-1"/>
        </w:rPr>
        <w:t>9.1)</w:t>
      </w:r>
    </w:p>
    <w:p w14:paraId="16290D2E" w14:textId="77777777" w:rsidR="0031675F" w:rsidRPr="00E2020D" w:rsidRDefault="0031675F" w:rsidP="0031675F">
      <w:pPr>
        <w:spacing w:before="1" w:after="120"/>
        <w:ind w:left="529" w:right="5004"/>
        <w:rPr>
          <w:rFonts w:cs="Arial"/>
        </w:rPr>
      </w:pPr>
      <w:r w:rsidRPr="00E2020D">
        <w:rPr>
          <w:rFonts w:cs="Arial"/>
        </w:rPr>
        <w:t>R</w:t>
      </w:r>
      <w:r w:rsidRPr="00E2020D">
        <w:rPr>
          <w:rFonts w:cs="Arial"/>
          <w:position w:val="-3"/>
        </w:rPr>
        <w:t xml:space="preserve">B </w:t>
      </w:r>
      <w:r w:rsidRPr="00E2020D">
        <w:rPr>
          <w:rFonts w:cs="Arial"/>
          <w:spacing w:val="1"/>
          <w:position w:val="-3"/>
        </w:rPr>
        <w:t xml:space="preserve"> </w:t>
      </w:r>
      <w:r w:rsidRPr="00E2020D">
        <w:rPr>
          <w:rFonts w:cs="Arial"/>
        </w:rPr>
        <w:t>=</w:t>
      </w:r>
      <w:r w:rsidRPr="00E2020D">
        <w:rPr>
          <w:rFonts w:cs="Arial"/>
          <w:spacing w:val="-2"/>
        </w:rPr>
        <w:t xml:space="preserve"> </w:t>
      </w:r>
      <w:r w:rsidRPr="00E2020D">
        <w:rPr>
          <w:rFonts w:cs="Arial"/>
          <w:spacing w:val="-1"/>
        </w:rPr>
        <w:t>reading before</w:t>
      </w:r>
      <w:r w:rsidRPr="00E2020D">
        <w:rPr>
          <w:rFonts w:cs="Arial"/>
        </w:rPr>
        <w:t xml:space="preserve"> </w:t>
      </w:r>
      <w:r w:rsidRPr="00E2020D">
        <w:rPr>
          <w:rFonts w:cs="Arial"/>
          <w:spacing w:val="-1"/>
        </w:rPr>
        <w:t>acid addition-blank</w:t>
      </w:r>
      <w:r w:rsidRPr="00E2020D">
        <w:rPr>
          <w:rFonts w:cs="Arial"/>
          <w:spacing w:val="27"/>
        </w:rPr>
        <w:t xml:space="preserve"> </w:t>
      </w:r>
      <w:r w:rsidRPr="00E2020D">
        <w:rPr>
          <w:rFonts w:cs="Arial"/>
        </w:rPr>
        <w:t>R</w:t>
      </w:r>
      <w:r w:rsidRPr="00E2020D">
        <w:rPr>
          <w:rFonts w:cs="Arial"/>
          <w:position w:val="-3"/>
        </w:rPr>
        <w:t>A</w:t>
      </w:r>
      <w:r w:rsidRPr="00E2020D">
        <w:rPr>
          <w:rFonts w:cs="Arial"/>
          <w:spacing w:val="49"/>
          <w:position w:val="-3"/>
        </w:rPr>
        <w:t xml:space="preserve"> </w:t>
      </w:r>
      <w:r w:rsidRPr="00E2020D">
        <w:rPr>
          <w:rFonts w:cs="Arial"/>
        </w:rPr>
        <w:t xml:space="preserve">= </w:t>
      </w:r>
      <w:r w:rsidRPr="00E2020D">
        <w:rPr>
          <w:rFonts w:cs="Arial"/>
          <w:spacing w:val="-1"/>
        </w:rPr>
        <w:t xml:space="preserve">reading </w:t>
      </w:r>
      <w:r w:rsidRPr="00E2020D">
        <w:rPr>
          <w:rFonts w:cs="Arial"/>
        </w:rPr>
        <w:t>after</w:t>
      </w:r>
      <w:r w:rsidRPr="00E2020D">
        <w:rPr>
          <w:rFonts w:cs="Arial"/>
          <w:spacing w:val="-3"/>
        </w:rPr>
        <w:t xml:space="preserve"> </w:t>
      </w:r>
      <w:r w:rsidRPr="00E2020D">
        <w:rPr>
          <w:rFonts w:cs="Arial"/>
        </w:rPr>
        <w:t xml:space="preserve">acid </w:t>
      </w:r>
      <w:r w:rsidRPr="00E2020D">
        <w:rPr>
          <w:rFonts w:cs="Arial"/>
          <w:spacing w:val="-1"/>
        </w:rPr>
        <w:t>addition-blank</w:t>
      </w:r>
    </w:p>
    <w:p w14:paraId="3FEB674A" w14:textId="77777777" w:rsidR="0031675F" w:rsidRPr="0031675F" w:rsidRDefault="0031675F" w:rsidP="0031675F">
      <w:pPr>
        <w:rPr>
          <w:rFonts w:cs="Calibri"/>
        </w:rPr>
      </w:pPr>
    </w:p>
    <w:p w14:paraId="44E669F5" w14:textId="77777777" w:rsidR="0031675F" w:rsidRPr="0031675F" w:rsidRDefault="0031675F" w:rsidP="0031675F">
      <w:pPr>
        <w:widowControl w:val="0"/>
        <w:numPr>
          <w:ilvl w:val="1"/>
          <w:numId w:val="81"/>
        </w:numPr>
        <w:tabs>
          <w:tab w:val="left" w:pos="839"/>
        </w:tabs>
        <w:spacing w:before="0" w:after="0" w:line="240" w:lineRule="auto"/>
        <w:jc w:val="both"/>
        <w:rPr>
          <w:rFonts w:eastAsia="Arial" w:cs="Arial"/>
          <w:sz w:val="24"/>
          <w:szCs w:val="24"/>
        </w:rPr>
      </w:pPr>
      <w:bookmarkStart w:id="709" w:name="_TOC_250014"/>
      <w:r w:rsidRPr="0031675F">
        <w:rPr>
          <w:b/>
          <w:spacing w:val="-1"/>
          <w:sz w:val="24"/>
        </w:rPr>
        <w:t>Method</w:t>
      </w:r>
      <w:r w:rsidRPr="0031675F">
        <w:rPr>
          <w:b/>
          <w:sz w:val="24"/>
        </w:rPr>
        <w:t xml:space="preserve"> </w:t>
      </w:r>
      <w:r w:rsidRPr="0031675F">
        <w:rPr>
          <w:b/>
          <w:spacing w:val="-1"/>
          <w:sz w:val="24"/>
        </w:rPr>
        <w:t>capabilities</w:t>
      </w:r>
      <w:r w:rsidRPr="0031675F">
        <w:rPr>
          <w:b/>
          <w:spacing w:val="-2"/>
          <w:sz w:val="24"/>
        </w:rPr>
        <w:t xml:space="preserve"> </w:t>
      </w:r>
      <w:r w:rsidRPr="0031675F">
        <w:rPr>
          <w:b/>
          <w:spacing w:val="-1"/>
          <w:sz w:val="24"/>
        </w:rPr>
        <w:t>and</w:t>
      </w:r>
      <w:r w:rsidRPr="0031675F">
        <w:rPr>
          <w:b/>
          <w:spacing w:val="1"/>
          <w:sz w:val="24"/>
        </w:rPr>
        <w:t xml:space="preserve"> </w:t>
      </w:r>
      <w:r w:rsidRPr="0031675F">
        <w:rPr>
          <w:b/>
          <w:sz w:val="24"/>
        </w:rPr>
        <w:t xml:space="preserve">limits of </w:t>
      </w:r>
      <w:r w:rsidRPr="0031675F">
        <w:rPr>
          <w:b/>
          <w:spacing w:val="-1"/>
          <w:sz w:val="24"/>
        </w:rPr>
        <w:t>detection.</w:t>
      </w:r>
      <w:bookmarkEnd w:id="709"/>
    </w:p>
    <w:p w14:paraId="567BC14E" w14:textId="77777777" w:rsidR="0031675F" w:rsidRPr="0031675F" w:rsidRDefault="0031675F" w:rsidP="0031675F">
      <w:pPr>
        <w:spacing w:before="11"/>
        <w:rPr>
          <w:rFonts w:eastAsia="Arial" w:cs="Arial"/>
          <w:b/>
          <w:bCs/>
          <w:sz w:val="20"/>
          <w:szCs w:val="20"/>
        </w:rPr>
      </w:pPr>
    </w:p>
    <w:p w14:paraId="5E7414BD" w14:textId="35AA39E6" w:rsidR="0031675F" w:rsidRPr="0031675F" w:rsidRDefault="0031675F" w:rsidP="004F29DF">
      <w:pPr>
        <w:spacing w:after="120"/>
        <w:jc w:val="both"/>
      </w:pPr>
      <w:r w:rsidRPr="0031675F">
        <w:rPr>
          <w:spacing w:val="-1"/>
        </w:rPr>
        <w:t>The</w:t>
      </w:r>
      <w:r w:rsidRPr="0031675F">
        <w:rPr>
          <w:spacing w:val="10"/>
        </w:rPr>
        <w:t xml:space="preserve"> </w:t>
      </w:r>
      <w:r w:rsidRPr="0031675F">
        <w:rPr>
          <w:spacing w:val="-1"/>
        </w:rPr>
        <w:t>optimal</w:t>
      </w:r>
      <w:r w:rsidRPr="0031675F">
        <w:rPr>
          <w:spacing w:val="9"/>
        </w:rPr>
        <w:t xml:space="preserve"> </w:t>
      </w:r>
      <w:r w:rsidRPr="0031675F">
        <w:rPr>
          <w:spacing w:val="-1"/>
        </w:rPr>
        <w:t>working</w:t>
      </w:r>
      <w:r w:rsidRPr="0031675F">
        <w:rPr>
          <w:spacing w:val="9"/>
        </w:rPr>
        <w:t xml:space="preserve"> </w:t>
      </w:r>
      <w:r w:rsidRPr="0031675F">
        <w:rPr>
          <w:spacing w:val="-1"/>
        </w:rPr>
        <w:t>range</w:t>
      </w:r>
      <w:r w:rsidRPr="0031675F">
        <w:rPr>
          <w:spacing w:val="8"/>
        </w:rPr>
        <w:t xml:space="preserve"> </w:t>
      </w:r>
      <w:r w:rsidRPr="0031675F">
        <w:t>of</w:t>
      </w:r>
      <w:r w:rsidRPr="0031675F">
        <w:rPr>
          <w:spacing w:val="9"/>
        </w:rPr>
        <w:t xml:space="preserve"> </w:t>
      </w:r>
      <w:r w:rsidRPr="0031675F">
        <w:rPr>
          <w:spacing w:val="-1"/>
        </w:rPr>
        <w:t>this</w:t>
      </w:r>
      <w:r w:rsidRPr="0031675F">
        <w:rPr>
          <w:spacing w:val="10"/>
        </w:rPr>
        <w:t xml:space="preserve"> </w:t>
      </w:r>
      <w:r w:rsidRPr="0031675F">
        <w:rPr>
          <w:spacing w:val="-1"/>
        </w:rPr>
        <w:t>method</w:t>
      </w:r>
      <w:r w:rsidRPr="0031675F">
        <w:rPr>
          <w:spacing w:val="9"/>
        </w:rPr>
        <w:t xml:space="preserve"> </w:t>
      </w:r>
      <w:r w:rsidRPr="0031675F">
        <w:t>is</w:t>
      </w:r>
      <w:r w:rsidRPr="0031675F">
        <w:rPr>
          <w:spacing w:val="9"/>
        </w:rPr>
        <w:t xml:space="preserve"> </w:t>
      </w:r>
      <w:r w:rsidRPr="0031675F">
        <w:rPr>
          <w:spacing w:val="-1"/>
        </w:rPr>
        <w:t>for</w:t>
      </w:r>
      <w:r w:rsidRPr="0031675F">
        <w:rPr>
          <w:spacing w:val="9"/>
        </w:rPr>
        <w:t xml:space="preserve"> </w:t>
      </w:r>
      <w:r w:rsidRPr="0031675F">
        <w:rPr>
          <w:spacing w:val="-1"/>
        </w:rPr>
        <w:t>chlorophyll</w:t>
      </w:r>
      <w:r w:rsidRPr="0031675F">
        <w:rPr>
          <w:spacing w:val="9"/>
        </w:rPr>
        <w:t xml:space="preserve"> </w:t>
      </w:r>
      <w:r w:rsidRPr="004F29DF">
        <w:rPr>
          <w:i/>
        </w:rPr>
        <w:t>a</w:t>
      </w:r>
      <w:r w:rsidRPr="0031675F">
        <w:rPr>
          <w:spacing w:val="9"/>
        </w:rPr>
        <w:t xml:space="preserve"> </w:t>
      </w:r>
      <w:r w:rsidRPr="0031675F">
        <w:rPr>
          <w:spacing w:val="-1"/>
        </w:rPr>
        <w:t>concentrations</w:t>
      </w:r>
      <w:r w:rsidRPr="0031675F">
        <w:rPr>
          <w:spacing w:val="10"/>
        </w:rPr>
        <w:t xml:space="preserve"> </w:t>
      </w:r>
      <w:r w:rsidRPr="0031675F">
        <w:rPr>
          <w:spacing w:val="-1"/>
        </w:rPr>
        <w:t>ranging</w:t>
      </w:r>
      <w:r w:rsidRPr="0031675F">
        <w:rPr>
          <w:spacing w:val="9"/>
        </w:rPr>
        <w:t xml:space="preserve"> </w:t>
      </w:r>
      <w:r w:rsidRPr="0031675F">
        <w:rPr>
          <w:spacing w:val="-1"/>
        </w:rPr>
        <w:t>from</w:t>
      </w:r>
      <w:r w:rsidRPr="0031675F">
        <w:rPr>
          <w:spacing w:val="11"/>
        </w:rPr>
        <w:t xml:space="preserve"> </w:t>
      </w:r>
      <w:r w:rsidRPr="0031675F">
        <w:rPr>
          <w:spacing w:val="-1"/>
        </w:rPr>
        <w:t>0.5</w:t>
      </w:r>
      <w:r w:rsidRPr="0031675F">
        <w:rPr>
          <w:spacing w:val="8"/>
        </w:rPr>
        <w:t xml:space="preserve"> </w:t>
      </w:r>
      <w:r w:rsidRPr="0031675F">
        <w:t>to</w:t>
      </w:r>
      <w:r w:rsidRPr="0031675F">
        <w:rPr>
          <w:spacing w:val="9"/>
        </w:rPr>
        <w:t xml:space="preserve"> </w:t>
      </w:r>
      <w:r w:rsidRPr="0031675F">
        <w:t>50</w:t>
      </w:r>
      <w:r w:rsidR="004F29DF">
        <w:t xml:space="preserve"> </w:t>
      </w:r>
      <w:r w:rsidRPr="0031675F">
        <w:rPr>
          <w:spacing w:val="-1"/>
        </w:rPr>
        <w:t>µg</w:t>
      </w:r>
      <w:r w:rsidR="00E817CB">
        <w:rPr>
          <w:spacing w:val="-1"/>
        </w:rPr>
        <w:t xml:space="preserve"> L</w:t>
      </w:r>
      <w:r w:rsidR="00E817CB" w:rsidRPr="00E817CB">
        <w:rPr>
          <w:spacing w:val="-1"/>
          <w:vertAlign w:val="superscript"/>
        </w:rPr>
        <w:t>-1</w:t>
      </w:r>
      <w:r w:rsidRPr="0031675F">
        <w:rPr>
          <w:spacing w:val="30"/>
        </w:rPr>
        <w:t xml:space="preserve"> </w:t>
      </w:r>
      <w:r w:rsidRPr="0031675F">
        <w:t>in</w:t>
      </w:r>
      <w:r w:rsidRPr="0031675F">
        <w:rPr>
          <w:spacing w:val="30"/>
        </w:rPr>
        <w:t xml:space="preserve"> </w:t>
      </w:r>
      <w:r w:rsidRPr="0031675F">
        <w:t>the</w:t>
      </w:r>
      <w:r w:rsidRPr="0031675F">
        <w:rPr>
          <w:spacing w:val="32"/>
        </w:rPr>
        <w:t xml:space="preserve"> </w:t>
      </w:r>
      <w:r w:rsidRPr="0031675F">
        <w:rPr>
          <w:spacing w:val="-1"/>
        </w:rPr>
        <w:t>acetone</w:t>
      </w:r>
      <w:r w:rsidRPr="0031675F">
        <w:rPr>
          <w:spacing w:val="29"/>
        </w:rPr>
        <w:t xml:space="preserve"> </w:t>
      </w:r>
      <w:r w:rsidRPr="0031675F">
        <w:rPr>
          <w:spacing w:val="-1"/>
        </w:rPr>
        <w:t>extract</w:t>
      </w:r>
      <w:r w:rsidRPr="0031675F">
        <w:rPr>
          <w:spacing w:val="32"/>
        </w:rPr>
        <w:t xml:space="preserve"> </w:t>
      </w:r>
      <w:r w:rsidRPr="0031675F">
        <w:rPr>
          <w:spacing w:val="-1"/>
        </w:rPr>
        <w:t>(ie</w:t>
      </w:r>
      <w:r w:rsidRPr="0031675F">
        <w:rPr>
          <w:spacing w:val="32"/>
        </w:rPr>
        <w:t xml:space="preserve"> </w:t>
      </w:r>
      <w:r w:rsidRPr="0031675F">
        <w:t>a</w:t>
      </w:r>
      <w:r w:rsidRPr="0031675F">
        <w:rPr>
          <w:spacing w:val="31"/>
        </w:rPr>
        <w:t xml:space="preserve"> </w:t>
      </w:r>
      <w:r w:rsidRPr="0031675F">
        <w:rPr>
          <w:spacing w:val="-1"/>
        </w:rPr>
        <w:t>100</w:t>
      </w:r>
      <w:r w:rsidR="004F29DF">
        <w:rPr>
          <w:spacing w:val="-1"/>
        </w:rPr>
        <w:t xml:space="preserve"> </w:t>
      </w:r>
      <w:r w:rsidR="00BB13FD">
        <w:rPr>
          <w:spacing w:val="-1"/>
        </w:rPr>
        <w:t>mL</w:t>
      </w:r>
      <w:r w:rsidRPr="0031675F">
        <w:rPr>
          <w:spacing w:val="30"/>
        </w:rPr>
        <w:t xml:space="preserve"> </w:t>
      </w:r>
      <w:r w:rsidRPr="0031675F">
        <w:rPr>
          <w:spacing w:val="-1"/>
        </w:rPr>
        <w:t>sample</w:t>
      </w:r>
      <w:r w:rsidRPr="0031675F">
        <w:rPr>
          <w:spacing w:val="32"/>
        </w:rPr>
        <w:t xml:space="preserve"> </w:t>
      </w:r>
      <w:r w:rsidRPr="0031675F">
        <w:rPr>
          <w:spacing w:val="-1"/>
        </w:rPr>
        <w:t>ranging</w:t>
      </w:r>
      <w:r w:rsidRPr="0031675F">
        <w:rPr>
          <w:spacing w:val="31"/>
        </w:rPr>
        <w:t xml:space="preserve"> </w:t>
      </w:r>
      <w:r w:rsidRPr="0031675F">
        <w:t>in</w:t>
      </w:r>
      <w:r w:rsidRPr="0031675F">
        <w:rPr>
          <w:spacing w:val="29"/>
        </w:rPr>
        <w:t xml:space="preserve"> </w:t>
      </w:r>
      <w:r w:rsidRPr="0031675F">
        <w:rPr>
          <w:spacing w:val="-1"/>
        </w:rPr>
        <w:t>concentration</w:t>
      </w:r>
      <w:r w:rsidRPr="0031675F">
        <w:rPr>
          <w:spacing w:val="31"/>
        </w:rPr>
        <w:t xml:space="preserve"> </w:t>
      </w:r>
      <w:r w:rsidRPr="0031675F">
        <w:rPr>
          <w:spacing w:val="-1"/>
        </w:rPr>
        <w:t>between</w:t>
      </w:r>
      <w:r w:rsidRPr="0031675F">
        <w:rPr>
          <w:spacing w:val="31"/>
        </w:rPr>
        <w:t xml:space="preserve"> </w:t>
      </w:r>
      <w:r w:rsidRPr="0031675F">
        <w:rPr>
          <w:spacing w:val="-1"/>
        </w:rPr>
        <w:t>0.05</w:t>
      </w:r>
      <w:r w:rsidRPr="0031675F">
        <w:rPr>
          <w:spacing w:val="32"/>
        </w:rPr>
        <w:t xml:space="preserve"> </w:t>
      </w:r>
      <w:r w:rsidRPr="0031675F">
        <w:rPr>
          <w:spacing w:val="-1"/>
        </w:rPr>
        <w:t>to</w:t>
      </w:r>
      <w:r w:rsidRPr="0031675F">
        <w:rPr>
          <w:spacing w:val="29"/>
        </w:rPr>
        <w:t xml:space="preserve"> </w:t>
      </w:r>
      <w:r w:rsidRPr="0031675F">
        <w:t>5</w:t>
      </w:r>
      <w:r w:rsidRPr="0031675F">
        <w:rPr>
          <w:spacing w:val="32"/>
        </w:rPr>
        <w:t xml:space="preserve"> </w:t>
      </w:r>
      <w:r w:rsidRPr="0031675F">
        <w:rPr>
          <w:spacing w:val="-1"/>
        </w:rPr>
        <w:t>µg</w:t>
      </w:r>
      <w:r w:rsidR="00E817CB" w:rsidRPr="00E817CB">
        <w:rPr>
          <w:spacing w:val="-1"/>
        </w:rPr>
        <w:t xml:space="preserve"> </w:t>
      </w:r>
      <w:r w:rsidR="00E817CB">
        <w:rPr>
          <w:spacing w:val="-1"/>
        </w:rPr>
        <w:t>L</w:t>
      </w:r>
      <w:r w:rsidR="00E817CB" w:rsidRPr="00E817CB">
        <w:rPr>
          <w:spacing w:val="-1"/>
          <w:vertAlign w:val="superscript"/>
        </w:rPr>
        <w:t>-1</w:t>
      </w:r>
      <w:r w:rsidRPr="0031675F">
        <w:rPr>
          <w:spacing w:val="-1"/>
        </w:rPr>
        <w:t>).</w:t>
      </w:r>
      <w:r w:rsidRPr="0031675F">
        <w:rPr>
          <w:spacing w:val="51"/>
        </w:rPr>
        <w:t xml:space="preserve"> </w:t>
      </w:r>
      <w:r w:rsidRPr="0031675F">
        <w:rPr>
          <w:spacing w:val="-1"/>
        </w:rPr>
        <w:t>Actual</w:t>
      </w:r>
      <w:r w:rsidRPr="0031675F">
        <w:rPr>
          <w:spacing w:val="12"/>
        </w:rPr>
        <w:t xml:space="preserve"> </w:t>
      </w:r>
      <w:r w:rsidRPr="0031675F">
        <w:rPr>
          <w:spacing w:val="-1"/>
        </w:rPr>
        <w:t>detection</w:t>
      </w:r>
      <w:r w:rsidRPr="0031675F">
        <w:rPr>
          <w:spacing w:val="11"/>
        </w:rPr>
        <w:t xml:space="preserve"> </w:t>
      </w:r>
      <w:r w:rsidRPr="0031675F">
        <w:rPr>
          <w:spacing w:val="-1"/>
        </w:rPr>
        <w:t>limits</w:t>
      </w:r>
      <w:r w:rsidRPr="0031675F">
        <w:rPr>
          <w:spacing w:val="10"/>
        </w:rPr>
        <w:t xml:space="preserve"> </w:t>
      </w:r>
      <w:r w:rsidRPr="0031675F">
        <w:t>are</w:t>
      </w:r>
      <w:r w:rsidRPr="0031675F">
        <w:rPr>
          <w:spacing w:val="10"/>
        </w:rPr>
        <w:t xml:space="preserve"> </w:t>
      </w:r>
      <w:r w:rsidRPr="0031675F">
        <w:rPr>
          <w:spacing w:val="-1"/>
        </w:rPr>
        <w:t>estimated</w:t>
      </w:r>
      <w:r w:rsidRPr="0031675F">
        <w:rPr>
          <w:spacing w:val="11"/>
        </w:rPr>
        <w:t xml:space="preserve"> </w:t>
      </w:r>
      <w:r w:rsidRPr="0031675F">
        <w:rPr>
          <w:spacing w:val="-2"/>
        </w:rPr>
        <w:t>from</w:t>
      </w:r>
      <w:r w:rsidRPr="0031675F">
        <w:rPr>
          <w:spacing w:val="13"/>
        </w:rPr>
        <w:t xml:space="preserve"> </w:t>
      </w:r>
      <w:r w:rsidRPr="0031675F">
        <w:rPr>
          <w:spacing w:val="-1"/>
        </w:rPr>
        <w:t>individual</w:t>
      </w:r>
      <w:r w:rsidRPr="0031675F">
        <w:rPr>
          <w:spacing w:val="9"/>
        </w:rPr>
        <w:t xml:space="preserve"> </w:t>
      </w:r>
      <w:r w:rsidRPr="0031675F">
        <w:rPr>
          <w:spacing w:val="-1"/>
        </w:rPr>
        <w:t>batches</w:t>
      </w:r>
      <w:r w:rsidRPr="0031675F">
        <w:rPr>
          <w:spacing w:val="16"/>
        </w:rPr>
        <w:t xml:space="preserve"> </w:t>
      </w:r>
      <w:r w:rsidRPr="0031675F">
        <w:rPr>
          <w:spacing w:val="-1"/>
        </w:rPr>
        <w:t>and</w:t>
      </w:r>
      <w:r w:rsidRPr="0031675F">
        <w:rPr>
          <w:spacing w:val="11"/>
        </w:rPr>
        <w:t xml:space="preserve"> </w:t>
      </w:r>
      <w:r w:rsidRPr="0031675F">
        <w:rPr>
          <w:spacing w:val="-1"/>
        </w:rPr>
        <w:t>reported</w:t>
      </w:r>
      <w:r w:rsidRPr="0031675F">
        <w:rPr>
          <w:spacing w:val="9"/>
        </w:rPr>
        <w:t xml:space="preserve"> </w:t>
      </w:r>
      <w:r w:rsidRPr="0031675F">
        <w:t>with</w:t>
      </w:r>
      <w:r w:rsidRPr="0031675F">
        <w:rPr>
          <w:spacing w:val="9"/>
        </w:rPr>
        <w:t xml:space="preserve"> </w:t>
      </w:r>
      <w:r w:rsidRPr="0031675F">
        <w:t>the</w:t>
      </w:r>
      <w:r w:rsidRPr="0031675F">
        <w:rPr>
          <w:spacing w:val="12"/>
        </w:rPr>
        <w:t xml:space="preserve"> </w:t>
      </w:r>
      <w:r w:rsidRPr="0031675F">
        <w:rPr>
          <w:spacing w:val="-1"/>
        </w:rPr>
        <w:t>data.</w:t>
      </w:r>
      <w:r w:rsidRPr="0031675F">
        <w:rPr>
          <w:spacing w:val="13"/>
        </w:rPr>
        <w:t xml:space="preserve"> </w:t>
      </w:r>
      <w:r w:rsidRPr="0031675F">
        <w:rPr>
          <w:spacing w:val="-1"/>
        </w:rPr>
        <w:t>Detection</w:t>
      </w:r>
      <w:r w:rsidRPr="0031675F">
        <w:rPr>
          <w:spacing w:val="99"/>
        </w:rPr>
        <w:t xml:space="preserve"> </w:t>
      </w:r>
      <w:r w:rsidRPr="0031675F">
        <w:rPr>
          <w:spacing w:val="-1"/>
        </w:rPr>
        <w:t>capability</w:t>
      </w:r>
      <w:r w:rsidRPr="0031675F">
        <w:rPr>
          <w:spacing w:val="5"/>
        </w:rPr>
        <w:t xml:space="preserve"> </w:t>
      </w:r>
      <w:r w:rsidRPr="0031675F">
        <w:rPr>
          <w:spacing w:val="-1"/>
        </w:rPr>
        <w:t>for</w:t>
      </w:r>
      <w:r w:rsidRPr="0031675F">
        <w:rPr>
          <w:spacing w:val="5"/>
        </w:rPr>
        <w:t xml:space="preserve"> </w:t>
      </w:r>
      <w:r w:rsidRPr="0031675F">
        <w:rPr>
          <w:spacing w:val="-1"/>
        </w:rPr>
        <w:t>water</w:t>
      </w:r>
      <w:r w:rsidRPr="0031675F">
        <w:rPr>
          <w:spacing w:val="5"/>
        </w:rPr>
        <w:t xml:space="preserve"> </w:t>
      </w:r>
      <w:r w:rsidRPr="0031675F">
        <w:rPr>
          <w:spacing w:val="-2"/>
        </w:rPr>
        <w:t>samples</w:t>
      </w:r>
      <w:r w:rsidRPr="0031675F">
        <w:rPr>
          <w:spacing w:val="5"/>
        </w:rPr>
        <w:t xml:space="preserve"> </w:t>
      </w:r>
      <w:r w:rsidRPr="0031675F">
        <w:t>with</w:t>
      </w:r>
      <w:r w:rsidRPr="0031675F">
        <w:rPr>
          <w:spacing w:val="2"/>
        </w:rPr>
        <w:t xml:space="preserve"> </w:t>
      </w:r>
      <w:r w:rsidRPr="0031675F">
        <w:t>very</w:t>
      </w:r>
      <w:r w:rsidRPr="0031675F">
        <w:rPr>
          <w:spacing w:val="3"/>
        </w:rPr>
        <w:t xml:space="preserve"> </w:t>
      </w:r>
      <w:r w:rsidRPr="0031675F">
        <w:rPr>
          <w:spacing w:val="-1"/>
        </w:rPr>
        <w:t>low</w:t>
      </w:r>
      <w:r w:rsidRPr="0031675F">
        <w:rPr>
          <w:spacing w:val="5"/>
        </w:rPr>
        <w:t xml:space="preserve"> </w:t>
      </w:r>
      <w:r w:rsidRPr="0031675F">
        <w:rPr>
          <w:spacing w:val="-1"/>
        </w:rPr>
        <w:t>concentrations</w:t>
      </w:r>
      <w:r w:rsidRPr="0031675F">
        <w:rPr>
          <w:spacing w:val="5"/>
        </w:rPr>
        <w:t xml:space="preserve"> </w:t>
      </w:r>
      <w:r w:rsidRPr="0031675F">
        <w:t>can</w:t>
      </w:r>
      <w:r w:rsidRPr="0031675F">
        <w:rPr>
          <w:spacing w:val="4"/>
        </w:rPr>
        <w:t xml:space="preserve"> </w:t>
      </w:r>
      <w:r w:rsidRPr="0031675F">
        <w:rPr>
          <w:spacing w:val="-1"/>
        </w:rPr>
        <w:t>be</w:t>
      </w:r>
      <w:r w:rsidRPr="0031675F">
        <w:rPr>
          <w:spacing w:val="5"/>
        </w:rPr>
        <w:t xml:space="preserve"> </w:t>
      </w:r>
      <w:r w:rsidRPr="0031675F">
        <w:rPr>
          <w:spacing w:val="-1"/>
        </w:rPr>
        <w:t>improved</w:t>
      </w:r>
      <w:r w:rsidRPr="0031675F">
        <w:rPr>
          <w:spacing w:val="4"/>
        </w:rPr>
        <w:t xml:space="preserve"> </w:t>
      </w:r>
      <w:r w:rsidRPr="0031675F">
        <w:rPr>
          <w:spacing w:val="-1"/>
        </w:rPr>
        <w:t>by</w:t>
      </w:r>
      <w:r w:rsidRPr="0031675F">
        <w:rPr>
          <w:spacing w:val="6"/>
        </w:rPr>
        <w:t xml:space="preserve"> </w:t>
      </w:r>
      <w:r w:rsidRPr="0031675F">
        <w:rPr>
          <w:spacing w:val="-1"/>
        </w:rPr>
        <w:t>increasing</w:t>
      </w:r>
      <w:r w:rsidRPr="0031675F">
        <w:rPr>
          <w:spacing w:val="4"/>
        </w:rPr>
        <w:t xml:space="preserve"> </w:t>
      </w:r>
      <w:r w:rsidRPr="0031675F">
        <w:t>the</w:t>
      </w:r>
      <w:r w:rsidRPr="0031675F">
        <w:rPr>
          <w:spacing w:val="3"/>
        </w:rPr>
        <w:t xml:space="preserve"> </w:t>
      </w:r>
      <w:r w:rsidRPr="0031675F">
        <w:rPr>
          <w:spacing w:val="-1"/>
        </w:rPr>
        <w:t>volume</w:t>
      </w:r>
      <w:r w:rsidRPr="0031675F">
        <w:rPr>
          <w:spacing w:val="67"/>
        </w:rPr>
        <w:t xml:space="preserve"> </w:t>
      </w:r>
      <w:r w:rsidRPr="0031675F">
        <w:t>of</w:t>
      </w:r>
      <w:r w:rsidRPr="0031675F">
        <w:rPr>
          <w:spacing w:val="7"/>
        </w:rPr>
        <w:t xml:space="preserve"> </w:t>
      </w:r>
      <w:r w:rsidRPr="0031675F">
        <w:rPr>
          <w:spacing w:val="-1"/>
        </w:rPr>
        <w:t>water</w:t>
      </w:r>
      <w:r w:rsidRPr="0031675F">
        <w:rPr>
          <w:spacing w:val="7"/>
        </w:rPr>
        <w:t xml:space="preserve"> </w:t>
      </w:r>
      <w:r w:rsidRPr="0031675F">
        <w:rPr>
          <w:spacing w:val="-1"/>
        </w:rPr>
        <w:t>filtered.</w:t>
      </w:r>
      <w:r w:rsidRPr="0031675F">
        <w:rPr>
          <w:spacing w:val="14"/>
        </w:rPr>
        <w:t xml:space="preserve"> </w:t>
      </w:r>
      <w:r w:rsidRPr="0031675F">
        <w:rPr>
          <w:spacing w:val="-1"/>
        </w:rPr>
        <w:t>Likewise,</w:t>
      </w:r>
      <w:r w:rsidRPr="0031675F">
        <w:rPr>
          <w:spacing w:val="5"/>
        </w:rPr>
        <w:t xml:space="preserve"> </w:t>
      </w:r>
      <w:r w:rsidRPr="0031675F">
        <w:t>in</w:t>
      </w:r>
      <w:r w:rsidRPr="0031675F">
        <w:rPr>
          <w:spacing w:val="6"/>
        </w:rPr>
        <w:t xml:space="preserve"> </w:t>
      </w:r>
      <w:r w:rsidRPr="0031675F">
        <w:rPr>
          <w:spacing w:val="-1"/>
        </w:rPr>
        <w:t>high</w:t>
      </w:r>
      <w:r w:rsidRPr="0031675F">
        <w:rPr>
          <w:spacing w:val="6"/>
        </w:rPr>
        <w:t xml:space="preserve"> </w:t>
      </w:r>
      <w:r w:rsidRPr="0031675F">
        <w:rPr>
          <w:spacing w:val="-1"/>
        </w:rPr>
        <w:t>concentration</w:t>
      </w:r>
      <w:r w:rsidRPr="0031675F">
        <w:rPr>
          <w:spacing w:val="6"/>
        </w:rPr>
        <w:t xml:space="preserve"> </w:t>
      </w:r>
      <w:r w:rsidRPr="0031675F">
        <w:rPr>
          <w:spacing w:val="-1"/>
        </w:rPr>
        <w:t>samples,</w:t>
      </w:r>
      <w:r w:rsidRPr="0031675F">
        <w:rPr>
          <w:spacing w:val="7"/>
        </w:rPr>
        <w:t xml:space="preserve"> </w:t>
      </w:r>
      <w:r w:rsidRPr="0031675F">
        <w:t>either</w:t>
      </w:r>
      <w:r w:rsidRPr="0031675F">
        <w:rPr>
          <w:spacing w:val="4"/>
        </w:rPr>
        <w:t xml:space="preserve"> </w:t>
      </w:r>
      <w:r w:rsidRPr="0031675F">
        <w:rPr>
          <w:spacing w:val="-1"/>
        </w:rPr>
        <w:t>smaller</w:t>
      </w:r>
      <w:r w:rsidRPr="0031675F">
        <w:rPr>
          <w:spacing w:val="7"/>
        </w:rPr>
        <w:t xml:space="preserve"> </w:t>
      </w:r>
      <w:r w:rsidRPr="0031675F">
        <w:rPr>
          <w:spacing w:val="-1"/>
        </w:rPr>
        <w:t>volumes</w:t>
      </w:r>
      <w:r w:rsidRPr="0031675F">
        <w:rPr>
          <w:spacing w:val="7"/>
        </w:rPr>
        <w:t xml:space="preserve"> </w:t>
      </w:r>
      <w:r w:rsidRPr="0031675F">
        <w:rPr>
          <w:spacing w:val="-1"/>
        </w:rPr>
        <w:t>may</w:t>
      </w:r>
      <w:r w:rsidRPr="0031675F">
        <w:rPr>
          <w:spacing w:val="8"/>
        </w:rPr>
        <w:t xml:space="preserve"> </w:t>
      </w:r>
      <w:r w:rsidRPr="0031675F">
        <w:rPr>
          <w:spacing w:val="-1"/>
        </w:rPr>
        <w:t>be</w:t>
      </w:r>
      <w:r w:rsidRPr="0031675F">
        <w:rPr>
          <w:spacing w:val="8"/>
        </w:rPr>
        <w:t xml:space="preserve"> </w:t>
      </w:r>
      <w:r w:rsidRPr="0031675F">
        <w:rPr>
          <w:spacing w:val="-1"/>
        </w:rPr>
        <w:t>filtered</w:t>
      </w:r>
      <w:r w:rsidRPr="0031675F">
        <w:rPr>
          <w:spacing w:val="7"/>
        </w:rPr>
        <w:t xml:space="preserve"> </w:t>
      </w:r>
      <w:r w:rsidRPr="0031675F">
        <w:t>or</w:t>
      </w:r>
      <w:r w:rsidRPr="0031675F">
        <w:rPr>
          <w:spacing w:val="63"/>
        </w:rPr>
        <w:t xml:space="preserve"> </w:t>
      </w:r>
      <w:r w:rsidRPr="0031675F">
        <w:t xml:space="preserve">the </w:t>
      </w:r>
      <w:r w:rsidRPr="0031675F">
        <w:rPr>
          <w:spacing w:val="-1"/>
        </w:rPr>
        <w:t>extracted</w:t>
      </w:r>
      <w:r w:rsidRPr="0031675F">
        <w:t xml:space="preserve"> </w:t>
      </w:r>
      <w:r w:rsidRPr="0031675F">
        <w:rPr>
          <w:spacing w:val="-1"/>
        </w:rPr>
        <w:t>sample</w:t>
      </w:r>
      <w:r w:rsidRPr="0031675F">
        <w:rPr>
          <w:spacing w:val="-2"/>
        </w:rPr>
        <w:t xml:space="preserve"> </w:t>
      </w:r>
      <w:r w:rsidRPr="0031675F">
        <w:rPr>
          <w:spacing w:val="-1"/>
        </w:rPr>
        <w:t>may</w:t>
      </w:r>
      <w:r w:rsidRPr="0031675F">
        <w:rPr>
          <w:spacing w:val="-2"/>
        </w:rPr>
        <w:t xml:space="preserve"> </w:t>
      </w:r>
      <w:r w:rsidRPr="0031675F">
        <w:rPr>
          <w:spacing w:val="-1"/>
        </w:rPr>
        <w:t>be</w:t>
      </w:r>
      <w:r w:rsidRPr="0031675F">
        <w:t xml:space="preserve"> </w:t>
      </w:r>
      <w:r w:rsidRPr="0031675F">
        <w:rPr>
          <w:spacing w:val="-1"/>
        </w:rPr>
        <w:t>diluted.</w:t>
      </w:r>
    </w:p>
    <w:p w14:paraId="264C77D8" w14:textId="77777777" w:rsidR="0031675F" w:rsidRPr="0031675F" w:rsidRDefault="0031675F" w:rsidP="0031675F">
      <w:pPr>
        <w:spacing w:before="12"/>
        <w:rPr>
          <w:rFonts w:cs="Calibri"/>
          <w:sz w:val="21"/>
          <w:szCs w:val="21"/>
        </w:rPr>
      </w:pPr>
    </w:p>
    <w:p w14:paraId="5E9E637F" w14:textId="77777777" w:rsidR="0031675F" w:rsidRPr="0031675F" w:rsidRDefault="0031675F" w:rsidP="0031675F">
      <w:pPr>
        <w:widowControl w:val="0"/>
        <w:numPr>
          <w:ilvl w:val="1"/>
          <w:numId w:val="81"/>
        </w:numPr>
        <w:tabs>
          <w:tab w:val="left" w:pos="839"/>
        </w:tabs>
        <w:spacing w:before="0" w:after="0" w:line="240" w:lineRule="auto"/>
        <w:jc w:val="both"/>
        <w:rPr>
          <w:rFonts w:eastAsia="Arial" w:cs="Arial"/>
          <w:sz w:val="24"/>
          <w:szCs w:val="24"/>
        </w:rPr>
      </w:pPr>
      <w:bookmarkStart w:id="710" w:name="_TOC_250013"/>
      <w:r w:rsidRPr="0031675F">
        <w:rPr>
          <w:b/>
          <w:sz w:val="24"/>
        </w:rPr>
        <w:t>Data</w:t>
      </w:r>
      <w:r w:rsidRPr="0031675F">
        <w:rPr>
          <w:b/>
          <w:spacing w:val="1"/>
          <w:sz w:val="24"/>
        </w:rPr>
        <w:t xml:space="preserve"> </w:t>
      </w:r>
      <w:r w:rsidRPr="0031675F">
        <w:rPr>
          <w:b/>
          <w:spacing w:val="-1"/>
          <w:sz w:val="24"/>
        </w:rPr>
        <w:t>management</w:t>
      </w:r>
      <w:bookmarkEnd w:id="710"/>
    </w:p>
    <w:p w14:paraId="7D5BEAA8" w14:textId="77777777" w:rsidR="0031675F" w:rsidRPr="0031675F" w:rsidRDefault="0031675F" w:rsidP="0031675F">
      <w:pPr>
        <w:spacing w:before="11"/>
        <w:rPr>
          <w:rFonts w:eastAsia="Arial" w:cs="Arial"/>
          <w:b/>
          <w:bCs/>
          <w:sz w:val="20"/>
          <w:szCs w:val="20"/>
        </w:rPr>
      </w:pPr>
    </w:p>
    <w:p w14:paraId="4A4621F9" w14:textId="77777777" w:rsidR="0031675F" w:rsidRPr="0031675F" w:rsidRDefault="0031675F" w:rsidP="0031675F">
      <w:pPr>
        <w:spacing w:after="120"/>
        <w:ind w:right="115"/>
        <w:jc w:val="both"/>
      </w:pPr>
      <w:r w:rsidRPr="0031675F">
        <w:rPr>
          <w:spacing w:val="-1"/>
        </w:rPr>
        <w:t>Each</w:t>
      </w:r>
      <w:r w:rsidRPr="0031675F">
        <w:rPr>
          <w:spacing w:val="17"/>
        </w:rPr>
        <w:t xml:space="preserve"> </w:t>
      </w:r>
      <w:r w:rsidRPr="0031675F">
        <w:rPr>
          <w:spacing w:val="-1"/>
        </w:rPr>
        <w:t>filter</w:t>
      </w:r>
      <w:r w:rsidRPr="0031675F">
        <w:rPr>
          <w:spacing w:val="17"/>
        </w:rPr>
        <w:t xml:space="preserve"> </w:t>
      </w:r>
      <w:r w:rsidRPr="0031675F">
        <w:t>is</w:t>
      </w:r>
      <w:r w:rsidRPr="0031675F">
        <w:rPr>
          <w:spacing w:val="16"/>
        </w:rPr>
        <w:t xml:space="preserve"> </w:t>
      </w:r>
      <w:r w:rsidRPr="0031675F">
        <w:rPr>
          <w:spacing w:val="-1"/>
        </w:rPr>
        <w:t>assigned</w:t>
      </w:r>
      <w:r w:rsidRPr="0031675F">
        <w:rPr>
          <w:spacing w:val="16"/>
        </w:rPr>
        <w:t xml:space="preserve"> </w:t>
      </w:r>
      <w:r w:rsidRPr="0031675F">
        <w:t>a</w:t>
      </w:r>
      <w:r w:rsidRPr="0031675F">
        <w:rPr>
          <w:spacing w:val="17"/>
        </w:rPr>
        <w:t xml:space="preserve"> </w:t>
      </w:r>
      <w:r w:rsidRPr="0031675F">
        <w:rPr>
          <w:spacing w:val="-1"/>
        </w:rPr>
        <w:t>unique</w:t>
      </w:r>
      <w:r w:rsidRPr="0031675F">
        <w:rPr>
          <w:spacing w:val="17"/>
        </w:rPr>
        <w:t xml:space="preserve"> </w:t>
      </w:r>
      <w:r w:rsidRPr="0031675F">
        <w:rPr>
          <w:spacing w:val="-1"/>
        </w:rPr>
        <w:t>identifier</w:t>
      </w:r>
      <w:r w:rsidRPr="0031675F">
        <w:rPr>
          <w:spacing w:val="17"/>
        </w:rPr>
        <w:t xml:space="preserve"> </w:t>
      </w:r>
      <w:r w:rsidRPr="0031675F">
        <w:t>which</w:t>
      </w:r>
      <w:r w:rsidRPr="0031675F">
        <w:rPr>
          <w:spacing w:val="15"/>
        </w:rPr>
        <w:t xml:space="preserve"> </w:t>
      </w:r>
      <w:r w:rsidRPr="0031675F">
        <w:t>is</w:t>
      </w:r>
      <w:r w:rsidRPr="0031675F">
        <w:rPr>
          <w:spacing w:val="16"/>
        </w:rPr>
        <w:t xml:space="preserve"> </w:t>
      </w:r>
      <w:r w:rsidRPr="0031675F">
        <w:rPr>
          <w:spacing w:val="-1"/>
        </w:rPr>
        <w:t>usually</w:t>
      </w:r>
      <w:r w:rsidRPr="0031675F">
        <w:rPr>
          <w:spacing w:val="17"/>
        </w:rPr>
        <w:t xml:space="preserve"> </w:t>
      </w:r>
      <w:r w:rsidRPr="0031675F">
        <w:t>a</w:t>
      </w:r>
      <w:r w:rsidRPr="0031675F">
        <w:rPr>
          <w:spacing w:val="17"/>
        </w:rPr>
        <w:t xml:space="preserve"> </w:t>
      </w:r>
      <w:r w:rsidRPr="0031675F">
        <w:rPr>
          <w:spacing w:val="-1"/>
        </w:rPr>
        <w:t>combination</w:t>
      </w:r>
      <w:r w:rsidRPr="0031675F">
        <w:rPr>
          <w:spacing w:val="14"/>
        </w:rPr>
        <w:t xml:space="preserve"> </w:t>
      </w:r>
      <w:r w:rsidRPr="0031675F">
        <w:t>of</w:t>
      </w:r>
      <w:r w:rsidRPr="0031675F">
        <w:rPr>
          <w:spacing w:val="17"/>
        </w:rPr>
        <w:t xml:space="preserve"> </w:t>
      </w:r>
      <w:r w:rsidRPr="0031675F">
        <w:rPr>
          <w:spacing w:val="-1"/>
        </w:rPr>
        <w:t>sampling</w:t>
      </w:r>
      <w:r w:rsidRPr="0031675F">
        <w:rPr>
          <w:spacing w:val="16"/>
        </w:rPr>
        <w:t xml:space="preserve"> </w:t>
      </w:r>
      <w:r w:rsidRPr="0031675F">
        <w:rPr>
          <w:spacing w:val="-1"/>
        </w:rPr>
        <w:t>site</w:t>
      </w:r>
      <w:r w:rsidRPr="0031675F">
        <w:rPr>
          <w:spacing w:val="18"/>
        </w:rPr>
        <w:t xml:space="preserve"> </w:t>
      </w:r>
      <w:r w:rsidRPr="0031675F">
        <w:rPr>
          <w:spacing w:val="-1"/>
        </w:rPr>
        <w:t>reference,</w:t>
      </w:r>
      <w:r w:rsidRPr="0031675F">
        <w:rPr>
          <w:spacing w:val="71"/>
        </w:rPr>
        <w:t xml:space="preserve"> </w:t>
      </w:r>
      <w:r w:rsidRPr="0031675F">
        <w:t>(or</w:t>
      </w:r>
      <w:r w:rsidRPr="0031675F">
        <w:rPr>
          <w:spacing w:val="12"/>
        </w:rPr>
        <w:t xml:space="preserve"> </w:t>
      </w:r>
      <w:r w:rsidRPr="0031675F">
        <w:rPr>
          <w:spacing w:val="-1"/>
        </w:rPr>
        <w:t>site,</w:t>
      </w:r>
      <w:r w:rsidRPr="0031675F">
        <w:rPr>
          <w:spacing w:val="13"/>
        </w:rPr>
        <w:t xml:space="preserve"> </w:t>
      </w:r>
      <w:r w:rsidRPr="0031675F">
        <w:rPr>
          <w:spacing w:val="-1"/>
        </w:rPr>
        <w:t>date,</w:t>
      </w:r>
      <w:r w:rsidRPr="0031675F">
        <w:rPr>
          <w:spacing w:val="12"/>
        </w:rPr>
        <w:t xml:space="preserve"> </w:t>
      </w:r>
      <w:r w:rsidRPr="0031675F">
        <w:rPr>
          <w:spacing w:val="-1"/>
        </w:rPr>
        <w:t>time),</w:t>
      </w:r>
      <w:r w:rsidRPr="0031675F">
        <w:rPr>
          <w:spacing w:val="15"/>
        </w:rPr>
        <w:t xml:space="preserve"> </w:t>
      </w:r>
      <w:r w:rsidRPr="0031675F">
        <w:rPr>
          <w:spacing w:val="-1"/>
        </w:rPr>
        <w:t>depth</w:t>
      </w:r>
      <w:r w:rsidRPr="0031675F">
        <w:rPr>
          <w:spacing w:val="14"/>
        </w:rPr>
        <w:t xml:space="preserve"> </w:t>
      </w:r>
      <w:r w:rsidRPr="0031675F">
        <w:t>in</w:t>
      </w:r>
      <w:r w:rsidRPr="0031675F">
        <w:rPr>
          <w:spacing w:val="13"/>
        </w:rPr>
        <w:t xml:space="preserve"> </w:t>
      </w:r>
      <w:r w:rsidRPr="0031675F">
        <w:t>the</w:t>
      </w:r>
      <w:r w:rsidRPr="0031675F">
        <w:rPr>
          <w:spacing w:val="12"/>
        </w:rPr>
        <w:t xml:space="preserve"> </w:t>
      </w:r>
      <w:r w:rsidRPr="0031675F">
        <w:rPr>
          <w:spacing w:val="-1"/>
        </w:rPr>
        <w:t>water</w:t>
      </w:r>
      <w:r w:rsidRPr="0031675F">
        <w:rPr>
          <w:spacing w:val="12"/>
        </w:rPr>
        <w:t xml:space="preserve"> </w:t>
      </w:r>
      <w:r w:rsidRPr="0031675F">
        <w:rPr>
          <w:spacing w:val="-1"/>
        </w:rPr>
        <w:t>column</w:t>
      </w:r>
      <w:r w:rsidRPr="0031675F">
        <w:rPr>
          <w:spacing w:val="14"/>
        </w:rPr>
        <w:t xml:space="preserve"> </w:t>
      </w:r>
      <w:r w:rsidRPr="0031675F">
        <w:rPr>
          <w:spacing w:val="-2"/>
        </w:rPr>
        <w:t>from</w:t>
      </w:r>
      <w:r w:rsidRPr="0031675F">
        <w:rPr>
          <w:spacing w:val="13"/>
        </w:rPr>
        <w:t xml:space="preserve"> </w:t>
      </w:r>
      <w:r w:rsidRPr="0031675F">
        <w:t>which</w:t>
      </w:r>
      <w:r w:rsidRPr="0031675F">
        <w:rPr>
          <w:spacing w:val="11"/>
        </w:rPr>
        <w:t xml:space="preserve"> </w:t>
      </w:r>
      <w:r w:rsidRPr="0031675F">
        <w:t>the</w:t>
      </w:r>
      <w:r w:rsidRPr="0031675F">
        <w:rPr>
          <w:spacing w:val="14"/>
        </w:rPr>
        <w:t xml:space="preserve"> </w:t>
      </w:r>
      <w:r w:rsidRPr="0031675F">
        <w:rPr>
          <w:spacing w:val="-1"/>
        </w:rPr>
        <w:t>sample</w:t>
      </w:r>
      <w:r w:rsidRPr="0031675F">
        <w:rPr>
          <w:spacing w:val="12"/>
        </w:rPr>
        <w:t xml:space="preserve"> </w:t>
      </w:r>
      <w:r w:rsidRPr="0031675F">
        <w:rPr>
          <w:spacing w:val="-1"/>
        </w:rPr>
        <w:t>was</w:t>
      </w:r>
      <w:r w:rsidRPr="0031675F">
        <w:rPr>
          <w:spacing w:val="14"/>
        </w:rPr>
        <w:t xml:space="preserve"> </w:t>
      </w:r>
      <w:r w:rsidRPr="0031675F">
        <w:rPr>
          <w:spacing w:val="-1"/>
        </w:rPr>
        <w:t>taken</w:t>
      </w:r>
      <w:r w:rsidRPr="0031675F">
        <w:rPr>
          <w:spacing w:val="14"/>
        </w:rPr>
        <w:t xml:space="preserve"> </w:t>
      </w:r>
      <w:r w:rsidRPr="0031675F">
        <w:rPr>
          <w:spacing w:val="-1"/>
        </w:rPr>
        <w:t>and</w:t>
      </w:r>
      <w:r w:rsidRPr="0031675F">
        <w:rPr>
          <w:spacing w:val="14"/>
        </w:rPr>
        <w:t xml:space="preserve"> </w:t>
      </w:r>
      <w:r w:rsidRPr="0031675F">
        <w:t>the</w:t>
      </w:r>
      <w:r w:rsidRPr="0031675F">
        <w:rPr>
          <w:spacing w:val="12"/>
        </w:rPr>
        <w:t xml:space="preserve"> </w:t>
      </w:r>
      <w:r w:rsidRPr="0031675F">
        <w:rPr>
          <w:spacing w:val="-1"/>
        </w:rPr>
        <w:t>replicate</w:t>
      </w:r>
      <w:r w:rsidRPr="0031675F">
        <w:rPr>
          <w:spacing w:val="49"/>
        </w:rPr>
        <w:t xml:space="preserve"> </w:t>
      </w:r>
      <w:r w:rsidRPr="0031675F">
        <w:rPr>
          <w:spacing w:val="-1"/>
        </w:rPr>
        <w:t>number.</w:t>
      </w:r>
    </w:p>
    <w:p w14:paraId="7F921981" w14:textId="77777777" w:rsidR="0031675F" w:rsidRPr="0031675F" w:rsidRDefault="0031675F" w:rsidP="0031675F">
      <w:pPr>
        <w:spacing w:after="120"/>
        <w:ind w:right="110"/>
        <w:jc w:val="both"/>
        <w:rPr>
          <w:rFonts w:cs="Calibri"/>
          <w:sz w:val="20"/>
          <w:szCs w:val="20"/>
        </w:rPr>
      </w:pPr>
      <w:r w:rsidRPr="0031675F">
        <w:rPr>
          <w:spacing w:val="-1"/>
        </w:rPr>
        <w:t>The</w:t>
      </w:r>
      <w:r w:rsidRPr="0031675F">
        <w:rPr>
          <w:spacing w:val="41"/>
        </w:rPr>
        <w:t xml:space="preserve"> </w:t>
      </w:r>
      <w:r w:rsidRPr="0031675F">
        <w:rPr>
          <w:spacing w:val="-1"/>
        </w:rPr>
        <w:t>fluorescence</w:t>
      </w:r>
      <w:r w:rsidRPr="0031675F">
        <w:rPr>
          <w:spacing w:val="41"/>
        </w:rPr>
        <w:t xml:space="preserve"> </w:t>
      </w:r>
      <w:r w:rsidRPr="0031675F">
        <w:rPr>
          <w:spacing w:val="-1"/>
        </w:rPr>
        <w:t>reading</w:t>
      </w:r>
      <w:r w:rsidRPr="0031675F">
        <w:rPr>
          <w:spacing w:val="38"/>
        </w:rPr>
        <w:t xml:space="preserve"> </w:t>
      </w:r>
      <w:r w:rsidRPr="0031675F">
        <w:t>before</w:t>
      </w:r>
      <w:r w:rsidRPr="0031675F">
        <w:rPr>
          <w:spacing w:val="38"/>
        </w:rPr>
        <w:t xml:space="preserve"> </w:t>
      </w:r>
      <w:r w:rsidRPr="0031675F">
        <w:rPr>
          <w:spacing w:val="-1"/>
        </w:rPr>
        <w:t>and</w:t>
      </w:r>
      <w:r w:rsidRPr="0031675F">
        <w:rPr>
          <w:spacing w:val="40"/>
        </w:rPr>
        <w:t xml:space="preserve"> </w:t>
      </w:r>
      <w:r w:rsidRPr="0031675F">
        <w:t>after</w:t>
      </w:r>
      <w:r w:rsidRPr="0031675F">
        <w:rPr>
          <w:spacing w:val="39"/>
        </w:rPr>
        <w:t xml:space="preserve"> </w:t>
      </w:r>
      <w:r w:rsidRPr="0031675F">
        <w:t>the</w:t>
      </w:r>
      <w:r w:rsidRPr="0031675F">
        <w:rPr>
          <w:spacing w:val="39"/>
        </w:rPr>
        <w:t xml:space="preserve"> </w:t>
      </w:r>
      <w:r w:rsidRPr="0031675F">
        <w:t>acid</w:t>
      </w:r>
      <w:r w:rsidRPr="0031675F">
        <w:rPr>
          <w:spacing w:val="37"/>
        </w:rPr>
        <w:t xml:space="preserve"> </w:t>
      </w:r>
      <w:r w:rsidRPr="0031675F">
        <w:rPr>
          <w:spacing w:val="-1"/>
        </w:rPr>
        <w:t>addition</w:t>
      </w:r>
      <w:r w:rsidRPr="0031675F">
        <w:rPr>
          <w:spacing w:val="40"/>
        </w:rPr>
        <w:t xml:space="preserve"> </w:t>
      </w:r>
      <w:r w:rsidRPr="0031675F">
        <w:t>is</w:t>
      </w:r>
      <w:r w:rsidRPr="0031675F">
        <w:rPr>
          <w:spacing w:val="41"/>
        </w:rPr>
        <w:t xml:space="preserve"> </w:t>
      </w:r>
      <w:r w:rsidRPr="0031675F">
        <w:rPr>
          <w:spacing w:val="-1"/>
        </w:rPr>
        <w:t>noted</w:t>
      </w:r>
      <w:r w:rsidRPr="0031675F">
        <w:rPr>
          <w:spacing w:val="40"/>
        </w:rPr>
        <w:t xml:space="preserve"> </w:t>
      </w:r>
      <w:r w:rsidRPr="0031675F">
        <w:t>on</w:t>
      </w:r>
      <w:r w:rsidRPr="0031675F">
        <w:rPr>
          <w:spacing w:val="38"/>
        </w:rPr>
        <w:t xml:space="preserve"> </w:t>
      </w:r>
      <w:r w:rsidRPr="0031675F">
        <w:t>a</w:t>
      </w:r>
      <w:r w:rsidRPr="0031675F">
        <w:rPr>
          <w:spacing w:val="41"/>
        </w:rPr>
        <w:t xml:space="preserve"> </w:t>
      </w:r>
      <w:r w:rsidRPr="0031675F">
        <w:rPr>
          <w:spacing w:val="-1"/>
        </w:rPr>
        <w:t>laboratory</w:t>
      </w:r>
      <w:r w:rsidRPr="0031675F">
        <w:rPr>
          <w:spacing w:val="39"/>
        </w:rPr>
        <w:t xml:space="preserve"> </w:t>
      </w:r>
      <w:r w:rsidRPr="0031675F">
        <w:rPr>
          <w:spacing w:val="-1"/>
        </w:rPr>
        <w:t>worksheet</w:t>
      </w:r>
      <w:r w:rsidRPr="0031675F">
        <w:rPr>
          <w:spacing w:val="51"/>
        </w:rPr>
        <w:t xml:space="preserve"> </w:t>
      </w:r>
      <w:r w:rsidRPr="0031675F">
        <w:rPr>
          <w:spacing w:val="-1"/>
        </w:rPr>
        <w:t>against</w:t>
      </w:r>
      <w:r w:rsidRPr="0031675F">
        <w:rPr>
          <w:spacing w:val="1"/>
        </w:rPr>
        <w:t xml:space="preserve"> </w:t>
      </w:r>
      <w:r w:rsidRPr="0031675F">
        <w:t xml:space="preserve">the </w:t>
      </w:r>
      <w:r w:rsidRPr="0031675F">
        <w:rPr>
          <w:spacing w:val="-1"/>
        </w:rPr>
        <w:t>sample</w:t>
      </w:r>
      <w:r w:rsidRPr="0031675F">
        <w:t xml:space="preserve"> </w:t>
      </w:r>
      <w:r w:rsidRPr="0031675F">
        <w:rPr>
          <w:spacing w:val="-1"/>
        </w:rPr>
        <w:t>identifier</w:t>
      </w:r>
      <w:r w:rsidRPr="0031675F">
        <w:t xml:space="preserve"> on</w:t>
      </w:r>
      <w:r w:rsidRPr="0031675F">
        <w:rPr>
          <w:spacing w:val="-1"/>
        </w:rPr>
        <w:t xml:space="preserve"> </w:t>
      </w:r>
      <w:r w:rsidRPr="0031675F">
        <w:t xml:space="preserve">a </w:t>
      </w:r>
      <w:r w:rsidRPr="0031675F">
        <w:rPr>
          <w:spacing w:val="-1"/>
        </w:rPr>
        <w:t>laboratory</w:t>
      </w:r>
      <w:r w:rsidRPr="0031675F">
        <w:t xml:space="preserve"> </w:t>
      </w:r>
      <w:r w:rsidRPr="0031675F">
        <w:rPr>
          <w:spacing w:val="-1"/>
        </w:rPr>
        <w:t>worksheet.</w:t>
      </w:r>
      <w:r w:rsidRPr="0031675F">
        <w:rPr>
          <w:spacing w:val="49"/>
        </w:rPr>
        <w:t xml:space="preserve"> </w:t>
      </w:r>
      <w:r w:rsidRPr="0031675F">
        <w:t xml:space="preserve">A </w:t>
      </w:r>
      <w:r w:rsidRPr="0031675F">
        <w:rPr>
          <w:spacing w:val="-1"/>
        </w:rPr>
        <w:t>proforma</w:t>
      </w:r>
      <w:r w:rsidRPr="0031675F">
        <w:rPr>
          <w:spacing w:val="-2"/>
        </w:rPr>
        <w:t xml:space="preserve"> </w:t>
      </w:r>
      <w:r w:rsidRPr="0031675F">
        <w:t xml:space="preserve">of </w:t>
      </w:r>
      <w:r w:rsidRPr="0031675F">
        <w:rPr>
          <w:spacing w:val="-1"/>
        </w:rPr>
        <w:t>this</w:t>
      </w:r>
      <w:r w:rsidRPr="0031675F">
        <w:t xml:space="preserve"> log</w:t>
      </w:r>
      <w:r w:rsidRPr="0031675F">
        <w:rPr>
          <w:spacing w:val="-1"/>
        </w:rPr>
        <w:t xml:space="preserve"> sheet</w:t>
      </w:r>
      <w:r w:rsidRPr="0031675F">
        <w:t xml:space="preserve"> can</w:t>
      </w:r>
      <w:r w:rsidRPr="0031675F">
        <w:rPr>
          <w:spacing w:val="-1"/>
        </w:rPr>
        <w:t xml:space="preserve"> be</w:t>
      </w:r>
      <w:r w:rsidRPr="0031675F">
        <w:t xml:space="preserve"> </w:t>
      </w:r>
      <w:r w:rsidRPr="0031675F">
        <w:rPr>
          <w:spacing w:val="-1"/>
        </w:rPr>
        <w:t xml:space="preserve">found </w:t>
      </w:r>
      <w:r w:rsidRPr="0031675F">
        <w:t>in</w:t>
      </w:r>
      <w:r w:rsidRPr="0031675F">
        <w:rPr>
          <w:spacing w:val="61"/>
        </w:rPr>
        <w:t xml:space="preserve"> </w:t>
      </w:r>
      <w:r w:rsidRPr="0031675F">
        <w:rPr>
          <w:spacing w:val="-1"/>
        </w:rPr>
        <w:t>Attachment</w:t>
      </w:r>
      <w:r w:rsidRPr="0031675F">
        <w:rPr>
          <w:spacing w:val="5"/>
        </w:rPr>
        <w:t xml:space="preserve"> </w:t>
      </w:r>
      <w:r w:rsidRPr="0031675F">
        <w:rPr>
          <w:spacing w:val="-1"/>
        </w:rPr>
        <w:t>9.1.</w:t>
      </w:r>
      <w:r w:rsidRPr="0031675F">
        <w:rPr>
          <w:spacing w:val="12"/>
        </w:rPr>
        <w:t xml:space="preserve"> </w:t>
      </w:r>
      <w:r w:rsidRPr="0031675F">
        <w:rPr>
          <w:spacing w:val="-2"/>
        </w:rPr>
        <w:t>These</w:t>
      </w:r>
      <w:r w:rsidRPr="0031675F">
        <w:rPr>
          <w:spacing w:val="8"/>
        </w:rPr>
        <w:t xml:space="preserve"> </w:t>
      </w:r>
      <w:r w:rsidRPr="0031675F">
        <w:rPr>
          <w:spacing w:val="-2"/>
        </w:rPr>
        <w:t>readings</w:t>
      </w:r>
      <w:r w:rsidRPr="0031675F">
        <w:rPr>
          <w:spacing w:val="7"/>
        </w:rPr>
        <w:t xml:space="preserve"> </w:t>
      </w:r>
      <w:r w:rsidRPr="0031675F">
        <w:t>are</w:t>
      </w:r>
      <w:r w:rsidRPr="0031675F">
        <w:rPr>
          <w:spacing w:val="7"/>
        </w:rPr>
        <w:t xml:space="preserve"> </w:t>
      </w:r>
      <w:r w:rsidRPr="0031675F">
        <w:t>then</w:t>
      </w:r>
      <w:r w:rsidRPr="0031675F">
        <w:rPr>
          <w:spacing w:val="4"/>
        </w:rPr>
        <w:t xml:space="preserve"> </w:t>
      </w:r>
      <w:r w:rsidRPr="0031675F">
        <w:rPr>
          <w:spacing w:val="-1"/>
        </w:rPr>
        <w:t>enter</w:t>
      </w:r>
      <w:r w:rsidRPr="0031675F">
        <w:rPr>
          <w:spacing w:val="5"/>
        </w:rPr>
        <w:t xml:space="preserve"> </w:t>
      </w:r>
      <w:r w:rsidRPr="0031675F">
        <w:t>onto</w:t>
      </w:r>
      <w:r w:rsidRPr="0031675F">
        <w:rPr>
          <w:spacing w:val="4"/>
        </w:rPr>
        <w:t xml:space="preserve"> </w:t>
      </w:r>
      <w:r w:rsidRPr="0031675F">
        <w:t>an</w:t>
      </w:r>
      <w:r w:rsidRPr="0031675F">
        <w:rPr>
          <w:spacing w:val="6"/>
        </w:rPr>
        <w:t xml:space="preserve"> </w:t>
      </w:r>
      <w:r w:rsidRPr="0031675F">
        <w:rPr>
          <w:spacing w:val="-1"/>
        </w:rPr>
        <w:t>Excel</w:t>
      </w:r>
      <w:r w:rsidRPr="0031675F">
        <w:rPr>
          <w:spacing w:val="5"/>
        </w:rPr>
        <w:t xml:space="preserve"> </w:t>
      </w:r>
      <w:r w:rsidRPr="0031675F">
        <w:rPr>
          <w:spacing w:val="-1"/>
        </w:rPr>
        <w:t>spreadsheet</w:t>
      </w:r>
      <w:r w:rsidRPr="0031675F">
        <w:rPr>
          <w:spacing w:val="5"/>
        </w:rPr>
        <w:t xml:space="preserve"> </w:t>
      </w:r>
      <w:r w:rsidRPr="0031675F">
        <w:rPr>
          <w:spacing w:val="-1"/>
        </w:rPr>
        <w:t>which</w:t>
      </w:r>
      <w:r w:rsidRPr="0031675F">
        <w:rPr>
          <w:spacing w:val="6"/>
        </w:rPr>
        <w:t xml:space="preserve"> </w:t>
      </w:r>
      <w:r w:rsidRPr="0031675F">
        <w:t>then</w:t>
      </w:r>
      <w:r w:rsidRPr="0031675F">
        <w:rPr>
          <w:spacing w:val="6"/>
        </w:rPr>
        <w:t xml:space="preserve"> </w:t>
      </w:r>
      <w:r w:rsidRPr="0031675F">
        <w:rPr>
          <w:spacing w:val="-1"/>
        </w:rPr>
        <w:t>acts</w:t>
      </w:r>
      <w:r w:rsidRPr="0031675F">
        <w:rPr>
          <w:spacing w:val="8"/>
        </w:rPr>
        <w:t xml:space="preserve"> </w:t>
      </w:r>
      <w:r w:rsidRPr="0031675F">
        <w:t>as</w:t>
      </w:r>
      <w:r w:rsidRPr="0031675F">
        <w:rPr>
          <w:spacing w:val="5"/>
        </w:rPr>
        <w:t xml:space="preserve"> </w:t>
      </w:r>
      <w:r w:rsidRPr="0031675F">
        <w:rPr>
          <w:spacing w:val="-1"/>
        </w:rPr>
        <w:t>feeder</w:t>
      </w:r>
      <w:r w:rsidRPr="0031675F">
        <w:rPr>
          <w:spacing w:val="73"/>
        </w:rPr>
        <w:t xml:space="preserve"> </w:t>
      </w:r>
      <w:r w:rsidRPr="0031675F">
        <w:rPr>
          <w:spacing w:val="-1"/>
        </w:rPr>
        <w:t>sheets</w:t>
      </w:r>
      <w:r w:rsidRPr="0031675F">
        <w:rPr>
          <w:spacing w:val="18"/>
        </w:rPr>
        <w:t xml:space="preserve"> </w:t>
      </w:r>
      <w:r w:rsidRPr="0031675F">
        <w:rPr>
          <w:spacing w:val="-1"/>
        </w:rPr>
        <w:t>for</w:t>
      </w:r>
      <w:r w:rsidRPr="0031675F">
        <w:rPr>
          <w:spacing w:val="17"/>
        </w:rPr>
        <w:t xml:space="preserve"> </w:t>
      </w:r>
      <w:r w:rsidRPr="0031675F">
        <w:t>the</w:t>
      </w:r>
      <w:r w:rsidRPr="0031675F">
        <w:rPr>
          <w:spacing w:val="18"/>
        </w:rPr>
        <w:t xml:space="preserve"> </w:t>
      </w:r>
      <w:r w:rsidRPr="0031675F">
        <w:rPr>
          <w:spacing w:val="-1"/>
        </w:rPr>
        <w:t>Oracle</w:t>
      </w:r>
      <w:r w:rsidRPr="0031675F">
        <w:rPr>
          <w:spacing w:val="18"/>
        </w:rPr>
        <w:t xml:space="preserve"> </w:t>
      </w:r>
      <w:r w:rsidRPr="0031675F">
        <w:rPr>
          <w:spacing w:val="-1"/>
        </w:rPr>
        <w:t>Database</w:t>
      </w:r>
      <w:r w:rsidRPr="0031675F">
        <w:rPr>
          <w:spacing w:val="17"/>
        </w:rPr>
        <w:t xml:space="preserve"> </w:t>
      </w:r>
      <w:r w:rsidRPr="0031675F">
        <w:rPr>
          <w:spacing w:val="-1"/>
        </w:rPr>
        <w:t>(</w:t>
      </w:r>
      <w:r w:rsidRPr="0031675F">
        <w:rPr>
          <w:color w:val="0000FF"/>
          <w:spacing w:val="-1"/>
          <w:u w:val="single" w:color="0000FF"/>
        </w:rPr>
        <w:t>http://waterquality.aims.gov.au:8080/waterquality</w:t>
      </w:r>
      <w:r w:rsidRPr="0031675F">
        <w:rPr>
          <w:spacing w:val="-1"/>
        </w:rPr>
        <w:t>).</w:t>
      </w:r>
      <w:r w:rsidRPr="0031675F">
        <w:rPr>
          <w:spacing w:val="35"/>
        </w:rPr>
        <w:t xml:space="preserve"> </w:t>
      </w:r>
      <w:r w:rsidRPr="0031675F">
        <w:rPr>
          <w:spacing w:val="-1"/>
        </w:rPr>
        <w:t>Utilising</w:t>
      </w:r>
      <w:r w:rsidRPr="0031675F">
        <w:rPr>
          <w:spacing w:val="17"/>
        </w:rPr>
        <w:t xml:space="preserve"> </w:t>
      </w:r>
      <w:r w:rsidRPr="0031675F">
        <w:t>the</w:t>
      </w:r>
      <w:r w:rsidRPr="0031675F">
        <w:rPr>
          <w:spacing w:val="49"/>
        </w:rPr>
        <w:t xml:space="preserve"> </w:t>
      </w:r>
      <w:r w:rsidRPr="0031675F">
        <w:rPr>
          <w:spacing w:val="-1"/>
        </w:rPr>
        <w:t>import</w:t>
      </w:r>
      <w:r w:rsidRPr="0031675F">
        <w:rPr>
          <w:spacing w:val="22"/>
        </w:rPr>
        <w:t xml:space="preserve"> </w:t>
      </w:r>
      <w:r w:rsidRPr="0031675F">
        <w:t>tool,</w:t>
      </w:r>
      <w:r w:rsidRPr="0031675F">
        <w:rPr>
          <w:spacing w:val="21"/>
        </w:rPr>
        <w:t xml:space="preserve"> </w:t>
      </w:r>
      <w:r w:rsidRPr="0031675F">
        <w:t>all</w:t>
      </w:r>
      <w:r w:rsidRPr="0031675F">
        <w:rPr>
          <w:spacing w:val="21"/>
        </w:rPr>
        <w:t xml:space="preserve"> </w:t>
      </w:r>
      <w:r w:rsidRPr="0031675F">
        <w:t>the</w:t>
      </w:r>
      <w:r w:rsidRPr="0031675F">
        <w:rPr>
          <w:spacing w:val="22"/>
        </w:rPr>
        <w:t xml:space="preserve"> </w:t>
      </w:r>
      <w:r w:rsidRPr="0031675F">
        <w:rPr>
          <w:spacing w:val="-1"/>
        </w:rPr>
        <w:t>analytical</w:t>
      </w:r>
      <w:r w:rsidRPr="0031675F">
        <w:rPr>
          <w:spacing w:val="21"/>
        </w:rPr>
        <w:t xml:space="preserve"> </w:t>
      </w:r>
      <w:r w:rsidRPr="0031675F">
        <w:rPr>
          <w:spacing w:val="-1"/>
        </w:rPr>
        <w:t>results</w:t>
      </w:r>
      <w:r w:rsidRPr="0031675F">
        <w:rPr>
          <w:spacing w:val="22"/>
        </w:rPr>
        <w:t xml:space="preserve"> </w:t>
      </w:r>
      <w:r w:rsidRPr="0031675F">
        <w:t>will</w:t>
      </w:r>
      <w:r w:rsidRPr="0031675F">
        <w:rPr>
          <w:spacing w:val="21"/>
        </w:rPr>
        <w:t xml:space="preserve"> </w:t>
      </w:r>
      <w:r w:rsidRPr="0031675F">
        <w:rPr>
          <w:spacing w:val="-1"/>
        </w:rPr>
        <w:t>be</w:t>
      </w:r>
      <w:r w:rsidRPr="0031675F">
        <w:rPr>
          <w:spacing w:val="22"/>
        </w:rPr>
        <w:t xml:space="preserve"> </w:t>
      </w:r>
      <w:r w:rsidRPr="0031675F">
        <w:rPr>
          <w:spacing w:val="-1"/>
        </w:rPr>
        <w:t>inputted</w:t>
      </w:r>
      <w:r w:rsidRPr="0031675F">
        <w:rPr>
          <w:spacing w:val="19"/>
        </w:rPr>
        <w:t xml:space="preserve"> </w:t>
      </w:r>
      <w:r w:rsidRPr="0031675F">
        <w:rPr>
          <w:spacing w:val="-1"/>
        </w:rPr>
        <w:t>and</w:t>
      </w:r>
      <w:r w:rsidRPr="0031675F">
        <w:rPr>
          <w:spacing w:val="21"/>
        </w:rPr>
        <w:t xml:space="preserve"> </w:t>
      </w:r>
      <w:r w:rsidRPr="0031675F">
        <w:t>a</w:t>
      </w:r>
      <w:r w:rsidRPr="0031675F">
        <w:rPr>
          <w:spacing w:val="24"/>
        </w:rPr>
        <w:t xml:space="preserve"> </w:t>
      </w:r>
      <w:r w:rsidRPr="0031675F">
        <w:t>copy</w:t>
      </w:r>
      <w:r w:rsidRPr="0031675F">
        <w:rPr>
          <w:spacing w:val="22"/>
        </w:rPr>
        <w:t xml:space="preserve"> </w:t>
      </w:r>
      <w:r w:rsidRPr="0031675F">
        <w:t>of</w:t>
      </w:r>
      <w:r w:rsidRPr="0031675F">
        <w:rPr>
          <w:spacing w:val="19"/>
        </w:rPr>
        <w:t xml:space="preserve"> </w:t>
      </w:r>
      <w:r w:rsidRPr="0031675F">
        <w:t>the</w:t>
      </w:r>
      <w:r w:rsidRPr="0031675F">
        <w:rPr>
          <w:spacing w:val="22"/>
        </w:rPr>
        <w:t xml:space="preserve"> </w:t>
      </w:r>
      <w:r w:rsidRPr="0031675F">
        <w:rPr>
          <w:spacing w:val="-1"/>
        </w:rPr>
        <w:t>related</w:t>
      </w:r>
      <w:r w:rsidRPr="0031675F">
        <w:rPr>
          <w:spacing w:val="19"/>
        </w:rPr>
        <w:t xml:space="preserve"> </w:t>
      </w:r>
      <w:r w:rsidRPr="0031675F">
        <w:t>excel</w:t>
      </w:r>
      <w:r w:rsidRPr="0031675F">
        <w:rPr>
          <w:spacing w:val="22"/>
        </w:rPr>
        <w:t xml:space="preserve"> </w:t>
      </w:r>
      <w:r w:rsidRPr="0031675F">
        <w:rPr>
          <w:spacing w:val="-1"/>
        </w:rPr>
        <w:t>file</w:t>
      </w:r>
      <w:r w:rsidRPr="0031675F">
        <w:rPr>
          <w:spacing w:val="20"/>
        </w:rPr>
        <w:t xml:space="preserve"> </w:t>
      </w:r>
      <w:r w:rsidRPr="0031675F">
        <w:rPr>
          <w:spacing w:val="-1"/>
        </w:rPr>
        <w:t>complete</w:t>
      </w:r>
      <w:r w:rsidRPr="0031675F">
        <w:rPr>
          <w:spacing w:val="53"/>
        </w:rPr>
        <w:t xml:space="preserve"> </w:t>
      </w:r>
      <w:r w:rsidRPr="0031675F">
        <w:t>with</w:t>
      </w:r>
      <w:r w:rsidRPr="0031675F">
        <w:rPr>
          <w:spacing w:val="12"/>
        </w:rPr>
        <w:t xml:space="preserve"> </w:t>
      </w:r>
      <w:r w:rsidRPr="0031675F">
        <w:t>QAQA</w:t>
      </w:r>
      <w:r w:rsidRPr="0031675F">
        <w:rPr>
          <w:spacing w:val="12"/>
        </w:rPr>
        <w:t xml:space="preserve"> </w:t>
      </w:r>
      <w:r w:rsidRPr="0031675F">
        <w:rPr>
          <w:spacing w:val="-1"/>
        </w:rPr>
        <w:t>data</w:t>
      </w:r>
      <w:r w:rsidRPr="0031675F">
        <w:rPr>
          <w:spacing w:val="13"/>
        </w:rPr>
        <w:t xml:space="preserve"> </w:t>
      </w:r>
      <w:r w:rsidRPr="0031675F">
        <w:t>will</w:t>
      </w:r>
      <w:r w:rsidRPr="0031675F">
        <w:rPr>
          <w:spacing w:val="12"/>
        </w:rPr>
        <w:t xml:space="preserve"> </w:t>
      </w:r>
      <w:r w:rsidRPr="0031675F">
        <w:rPr>
          <w:spacing w:val="-1"/>
        </w:rPr>
        <w:t>be</w:t>
      </w:r>
      <w:r w:rsidRPr="0031675F">
        <w:rPr>
          <w:spacing w:val="13"/>
        </w:rPr>
        <w:t xml:space="preserve"> </w:t>
      </w:r>
      <w:r w:rsidRPr="0031675F">
        <w:rPr>
          <w:spacing w:val="-1"/>
        </w:rPr>
        <w:t>embedded</w:t>
      </w:r>
      <w:r w:rsidRPr="0031675F">
        <w:rPr>
          <w:spacing w:val="12"/>
        </w:rPr>
        <w:t xml:space="preserve"> </w:t>
      </w:r>
      <w:r w:rsidRPr="0031675F">
        <w:rPr>
          <w:spacing w:val="-1"/>
        </w:rPr>
        <w:t>within</w:t>
      </w:r>
      <w:r w:rsidRPr="0031675F">
        <w:rPr>
          <w:spacing w:val="12"/>
        </w:rPr>
        <w:t xml:space="preserve"> </w:t>
      </w:r>
      <w:r w:rsidRPr="0031675F">
        <w:t>the</w:t>
      </w:r>
      <w:r w:rsidRPr="0031675F">
        <w:rPr>
          <w:spacing w:val="13"/>
        </w:rPr>
        <w:t xml:space="preserve"> </w:t>
      </w:r>
      <w:r w:rsidRPr="0031675F">
        <w:rPr>
          <w:spacing w:val="-1"/>
        </w:rPr>
        <w:t>database.</w:t>
      </w:r>
      <w:r w:rsidRPr="0031675F">
        <w:rPr>
          <w:spacing w:val="13"/>
        </w:rPr>
        <w:t xml:space="preserve"> </w:t>
      </w:r>
      <w:r w:rsidRPr="0031675F">
        <w:t>It</w:t>
      </w:r>
      <w:r w:rsidRPr="0031675F">
        <w:rPr>
          <w:spacing w:val="13"/>
        </w:rPr>
        <w:t xml:space="preserve"> </w:t>
      </w:r>
      <w:r w:rsidRPr="0031675F">
        <w:t>will</w:t>
      </w:r>
      <w:r w:rsidRPr="0031675F">
        <w:rPr>
          <w:spacing w:val="12"/>
        </w:rPr>
        <w:t xml:space="preserve"> </w:t>
      </w:r>
      <w:r w:rsidRPr="0031675F">
        <w:rPr>
          <w:spacing w:val="-1"/>
        </w:rPr>
        <w:t>automatically</w:t>
      </w:r>
      <w:r w:rsidRPr="0031675F">
        <w:rPr>
          <w:spacing w:val="13"/>
        </w:rPr>
        <w:t xml:space="preserve"> </w:t>
      </w:r>
      <w:r w:rsidRPr="0031675F">
        <w:rPr>
          <w:spacing w:val="-1"/>
        </w:rPr>
        <w:t>perform</w:t>
      </w:r>
      <w:r w:rsidRPr="0031675F">
        <w:rPr>
          <w:spacing w:val="14"/>
        </w:rPr>
        <w:t xml:space="preserve"> </w:t>
      </w:r>
      <w:r w:rsidRPr="0031675F">
        <w:t>the</w:t>
      </w:r>
      <w:r w:rsidRPr="0031675F">
        <w:rPr>
          <w:spacing w:val="13"/>
        </w:rPr>
        <w:t xml:space="preserve"> </w:t>
      </w:r>
      <w:r w:rsidRPr="0031675F">
        <w:t>all</w:t>
      </w:r>
      <w:r w:rsidRPr="0031675F">
        <w:rPr>
          <w:spacing w:val="55"/>
        </w:rPr>
        <w:t xml:space="preserve"> </w:t>
      </w:r>
      <w:r w:rsidRPr="0031675F">
        <w:rPr>
          <w:spacing w:val="-1"/>
        </w:rPr>
        <w:t>calculations</w:t>
      </w:r>
      <w:r w:rsidRPr="0031675F">
        <w:rPr>
          <w:spacing w:val="7"/>
        </w:rPr>
        <w:t xml:space="preserve"> </w:t>
      </w:r>
      <w:r w:rsidRPr="0031675F">
        <w:rPr>
          <w:spacing w:val="-1"/>
        </w:rPr>
        <w:t>required.</w:t>
      </w:r>
      <w:r w:rsidRPr="0031675F">
        <w:rPr>
          <w:spacing w:val="14"/>
        </w:rPr>
        <w:t xml:space="preserve"> </w:t>
      </w:r>
      <w:r w:rsidRPr="0031675F">
        <w:rPr>
          <w:spacing w:val="-1"/>
        </w:rPr>
        <w:t>All</w:t>
      </w:r>
      <w:r w:rsidRPr="0031675F">
        <w:rPr>
          <w:spacing w:val="7"/>
        </w:rPr>
        <w:t xml:space="preserve"> </w:t>
      </w:r>
      <w:r w:rsidRPr="0031675F">
        <w:rPr>
          <w:spacing w:val="-1"/>
        </w:rPr>
        <w:t>laboratory</w:t>
      </w:r>
      <w:r w:rsidRPr="0031675F">
        <w:rPr>
          <w:spacing w:val="5"/>
        </w:rPr>
        <w:t xml:space="preserve"> </w:t>
      </w:r>
      <w:r w:rsidRPr="0031675F">
        <w:rPr>
          <w:spacing w:val="-1"/>
        </w:rPr>
        <w:t>work</w:t>
      </w:r>
      <w:r w:rsidRPr="0031675F">
        <w:rPr>
          <w:spacing w:val="8"/>
        </w:rPr>
        <w:t xml:space="preserve"> </w:t>
      </w:r>
      <w:r w:rsidRPr="0031675F">
        <w:rPr>
          <w:spacing w:val="-1"/>
        </w:rPr>
        <w:t>forms</w:t>
      </w:r>
      <w:r w:rsidRPr="0031675F">
        <w:rPr>
          <w:spacing w:val="7"/>
        </w:rPr>
        <w:t xml:space="preserve"> </w:t>
      </w:r>
      <w:r w:rsidRPr="0031675F">
        <w:t>are</w:t>
      </w:r>
      <w:r w:rsidRPr="0031675F">
        <w:rPr>
          <w:spacing w:val="5"/>
        </w:rPr>
        <w:t xml:space="preserve"> </w:t>
      </w:r>
      <w:r w:rsidRPr="0031675F">
        <w:rPr>
          <w:spacing w:val="-1"/>
        </w:rPr>
        <w:t>archived.</w:t>
      </w:r>
      <w:r w:rsidRPr="0031675F">
        <w:rPr>
          <w:spacing w:val="14"/>
        </w:rPr>
        <w:t xml:space="preserve"> </w:t>
      </w:r>
      <w:r w:rsidRPr="0031675F">
        <w:rPr>
          <w:spacing w:val="-1"/>
        </w:rPr>
        <w:t>All</w:t>
      </w:r>
      <w:r w:rsidRPr="0031675F">
        <w:rPr>
          <w:spacing w:val="7"/>
        </w:rPr>
        <w:t xml:space="preserve"> </w:t>
      </w:r>
      <w:r w:rsidRPr="0031675F">
        <w:rPr>
          <w:spacing w:val="-1"/>
        </w:rPr>
        <w:t>Excel</w:t>
      </w:r>
      <w:r w:rsidRPr="0031675F">
        <w:rPr>
          <w:spacing w:val="5"/>
        </w:rPr>
        <w:t xml:space="preserve"> </w:t>
      </w:r>
      <w:r w:rsidRPr="0031675F">
        <w:rPr>
          <w:spacing w:val="-1"/>
        </w:rPr>
        <w:t>calculation</w:t>
      </w:r>
      <w:r w:rsidRPr="0031675F">
        <w:rPr>
          <w:spacing w:val="6"/>
        </w:rPr>
        <w:t xml:space="preserve"> </w:t>
      </w:r>
      <w:r w:rsidRPr="0031675F">
        <w:rPr>
          <w:spacing w:val="-1"/>
        </w:rPr>
        <w:t>files</w:t>
      </w:r>
      <w:r w:rsidRPr="0031675F">
        <w:rPr>
          <w:spacing w:val="8"/>
        </w:rPr>
        <w:t xml:space="preserve"> </w:t>
      </w:r>
      <w:r w:rsidRPr="0031675F">
        <w:t>are</w:t>
      </w:r>
      <w:r w:rsidRPr="0031675F">
        <w:rPr>
          <w:spacing w:val="7"/>
        </w:rPr>
        <w:t xml:space="preserve"> </w:t>
      </w:r>
      <w:r w:rsidRPr="0031675F">
        <w:rPr>
          <w:spacing w:val="-1"/>
        </w:rPr>
        <w:t>archived</w:t>
      </w:r>
      <w:r w:rsidRPr="0031675F">
        <w:rPr>
          <w:spacing w:val="101"/>
        </w:rPr>
        <w:t xml:space="preserve"> </w:t>
      </w:r>
      <w:r w:rsidRPr="0031675F">
        <w:t>after</w:t>
      </w:r>
      <w:r w:rsidRPr="0031675F">
        <w:rPr>
          <w:spacing w:val="24"/>
        </w:rPr>
        <w:t xml:space="preserve"> </w:t>
      </w:r>
      <w:r w:rsidRPr="0031675F">
        <w:rPr>
          <w:spacing w:val="-1"/>
        </w:rPr>
        <w:t>the</w:t>
      </w:r>
      <w:r w:rsidRPr="0031675F">
        <w:rPr>
          <w:spacing w:val="25"/>
        </w:rPr>
        <w:t xml:space="preserve"> </w:t>
      </w:r>
      <w:r w:rsidRPr="0031675F">
        <w:rPr>
          <w:spacing w:val="-1"/>
        </w:rPr>
        <w:t>results</w:t>
      </w:r>
      <w:r w:rsidRPr="0031675F">
        <w:rPr>
          <w:spacing w:val="26"/>
        </w:rPr>
        <w:t xml:space="preserve"> </w:t>
      </w:r>
      <w:r w:rsidRPr="0031675F">
        <w:rPr>
          <w:spacing w:val="-1"/>
        </w:rPr>
        <w:t>have</w:t>
      </w:r>
      <w:r w:rsidRPr="0031675F">
        <w:rPr>
          <w:spacing w:val="24"/>
        </w:rPr>
        <w:t xml:space="preserve"> </w:t>
      </w:r>
      <w:r w:rsidRPr="0031675F">
        <w:rPr>
          <w:spacing w:val="-1"/>
        </w:rPr>
        <w:t>been</w:t>
      </w:r>
      <w:r w:rsidRPr="0031675F">
        <w:rPr>
          <w:spacing w:val="24"/>
        </w:rPr>
        <w:t xml:space="preserve"> </w:t>
      </w:r>
      <w:r w:rsidRPr="0031675F">
        <w:rPr>
          <w:spacing w:val="-1"/>
        </w:rPr>
        <w:t>entered</w:t>
      </w:r>
      <w:r w:rsidRPr="0031675F">
        <w:rPr>
          <w:spacing w:val="24"/>
        </w:rPr>
        <w:t xml:space="preserve"> </w:t>
      </w:r>
      <w:r w:rsidRPr="0031675F">
        <w:t>in</w:t>
      </w:r>
      <w:r w:rsidRPr="0031675F">
        <w:rPr>
          <w:spacing w:val="21"/>
        </w:rPr>
        <w:t xml:space="preserve"> </w:t>
      </w:r>
      <w:r w:rsidRPr="0031675F">
        <w:t>a</w:t>
      </w:r>
      <w:r w:rsidRPr="0031675F">
        <w:rPr>
          <w:spacing w:val="22"/>
        </w:rPr>
        <w:t xml:space="preserve"> </w:t>
      </w:r>
      <w:r w:rsidRPr="0031675F">
        <w:rPr>
          <w:spacing w:val="-1"/>
        </w:rPr>
        <w:t>Microsoft</w:t>
      </w:r>
      <w:r w:rsidRPr="0031675F">
        <w:rPr>
          <w:spacing w:val="25"/>
        </w:rPr>
        <w:t xml:space="preserve"> </w:t>
      </w:r>
      <w:r w:rsidRPr="0031675F">
        <w:rPr>
          <w:spacing w:val="-1"/>
        </w:rPr>
        <w:t>Access</w:t>
      </w:r>
      <w:r w:rsidRPr="0031675F">
        <w:rPr>
          <w:spacing w:val="22"/>
        </w:rPr>
        <w:t xml:space="preserve"> </w:t>
      </w:r>
      <w:r w:rsidRPr="0031675F">
        <w:rPr>
          <w:spacing w:val="-1"/>
        </w:rPr>
        <w:t>database.</w:t>
      </w:r>
      <w:r w:rsidRPr="0031675F">
        <w:rPr>
          <w:spacing w:val="29"/>
        </w:rPr>
        <w:t xml:space="preserve"> </w:t>
      </w:r>
      <w:r w:rsidRPr="0031675F">
        <w:rPr>
          <w:spacing w:val="-1"/>
        </w:rPr>
        <w:t>For</w:t>
      </w:r>
      <w:r w:rsidRPr="0031675F">
        <w:rPr>
          <w:spacing w:val="22"/>
        </w:rPr>
        <w:t xml:space="preserve"> </w:t>
      </w:r>
      <w:r w:rsidRPr="0031675F">
        <w:rPr>
          <w:spacing w:val="-1"/>
        </w:rPr>
        <w:t>details</w:t>
      </w:r>
      <w:r w:rsidRPr="0031675F">
        <w:rPr>
          <w:spacing w:val="25"/>
        </w:rPr>
        <w:t xml:space="preserve"> </w:t>
      </w:r>
      <w:r w:rsidRPr="0031675F">
        <w:rPr>
          <w:spacing w:val="-1"/>
        </w:rPr>
        <w:t>about</w:t>
      </w:r>
      <w:r w:rsidRPr="0031675F">
        <w:rPr>
          <w:spacing w:val="24"/>
        </w:rPr>
        <w:t xml:space="preserve"> </w:t>
      </w:r>
      <w:r w:rsidRPr="0031675F">
        <w:rPr>
          <w:spacing w:val="-1"/>
        </w:rPr>
        <w:t>data</w:t>
      </w:r>
      <w:r w:rsidRPr="0031675F">
        <w:rPr>
          <w:spacing w:val="45"/>
        </w:rPr>
        <w:t xml:space="preserve"> </w:t>
      </w:r>
      <w:r w:rsidRPr="0031675F">
        <w:rPr>
          <w:spacing w:val="-1"/>
        </w:rPr>
        <w:t>management</w:t>
      </w:r>
      <w:r w:rsidRPr="0031675F">
        <w:rPr>
          <w:spacing w:val="-3"/>
        </w:rPr>
        <w:t xml:space="preserve"> </w:t>
      </w:r>
      <w:r w:rsidRPr="0031675F">
        <w:rPr>
          <w:spacing w:val="-1"/>
        </w:rPr>
        <w:t>procedures</w:t>
      </w:r>
      <w:r w:rsidRPr="0031675F">
        <w:t xml:space="preserve"> </w:t>
      </w:r>
      <w:r w:rsidRPr="0031675F">
        <w:rPr>
          <w:spacing w:val="-1"/>
        </w:rPr>
        <w:t>developed</w:t>
      </w:r>
      <w:r w:rsidRPr="0031675F">
        <w:t xml:space="preserve"> </w:t>
      </w:r>
      <w:r w:rsidRPr="0031675F">
        <w:rPr>
          <w:spacing w:val="-2"/>
        </w:rPr>
        <w:t>at</w:t>
      </w:r>
      <w:r w:rsidRPr="0031675F">
        <w:t xml:space="preserve"> </w:t>
      </w:r>
      <w:r w:rsidRPr="0031675F">
        <w:rPr>
          <w:spacing w:val="-1"/>
        </w:rPr>
        <w:t>AIMS</w:t>
      </w:r>
      <w:r w:rsidRPr="0031675F">
        <w:rPr>
          <w:spacing w:val="-3"/>
        </w:rPr>
        <w:t xml:space="preserve"> </w:t>
      </w:r>
      <w:r w:rsidRPr="0031675F">
        <w:rPr>
          <w:spacing w:val="-1"/>
        </w:rPr>
        <w:t>under</w:t>
      </w:r>
      <w:r w:rsidRPr="0031675F">
        <w:t xml:space="preserve"> </w:t>
      </w:r>
      <w:r w:rsidRPr="0031675F">
        <w:rPr>
          <w:spacing w:val="-1"/>
        </w:rPr>
        <w:t>Reef</w:t>
      </w:r>
      <w:r w:rsidRPr="0031675F">
        <w:t xml:space="preserve"> </w:t>
      </w:r>
      <w:r w:rsidRPr="0031675F">
        <w:rPr>
          <w:spacing w:val="-1"/>
        </w:rPr>
        <w:t>Rescue</w:t>
      </w:r>
      <w:r w:rsidRPr="0031675F">
        <w:rPr>
          <w:spacing w:val="-2"/>
        </w:rPr>
        <w:t xml:space="preserve"> </w:t>
      </w:r>
      <w:r w:rsidRPr="0031675F">
        <w:rPr>
          <w:spacing w:val="-1"/>
        </w:rPr>
        <w:t>MMP</w:t>
      </w:r>
      <w:r w:rsidRPr="0031675F">
        <w:rPr>
          <w:spacing w:val="1"/>
        </w:rPr>
        <w:t xml:space="preserve"> </w:t>
      </w:r>
      <w:r w:rsidRPr="0031675F">
        <w:t>see</w:t>
      </w:r>
      <w:r w:rsidRPr="0031675F">
        <w:rPr>
          <w:spacing w:val="-1"/>
        </w:rPr>
        <w:t xml:space="preserve"> </w:t>
      </w:r>
      <w:r w:rsidRPr="0031675F">
        <w:rPr>
          <w:spacing w:val="-2"/>
        </w:rPr>
        <w:t>Section</w:t>
      </w:r>
      <w:r w:rsidRPr="0031675F">
        <w:rPr>
          <w:spacing w:val="-1"/>
        </w:rPr>
        <w:t xml:space="preserve"> A</w:t>
      </w:r>
      <w:r w:rsidRPr="0031675F">
        <w:t>12.</w:t>
      </w:r>
    </w:p>
    <w:p w14:paraId="22E97814" w14:textId="77777777" w:rsidR="0031675F" w:rsidRPr="0031675F" w:rsidRDefault="0031675F" w:rsidP="0031675F">
      <w:pPr>
        <w:rPr>
          <w:rFonts w:cs="Calibri"/>
          <w:sz w:val="20"/>
          <w:szCs w:val="20"/>
        </w:rPr>
      </w:pPr>
    </w:p>
    <w:p w14:paraId="71B067D0" w14:textId="77777777" w:rsidR="0031675F" w:rsidRPr="0031675F" w:rsidRDefault="0031675F" w:rsidP="0031675F">
      <w:pPr>
        <w:widowControl w:val="0"/>
        <w:numPr>
          <w:ilvl w:val="1"/>
          <w:numId w:val="81"/>
        </w:numPr>
        <w:tabs>
          <w:tab w:val="left" w:pos="839"/>
        </w:tabs>
        <w:spacing w:before="206" w:after="0" w:line="240" w:lineRule="auto"/>
        <w:jc w:val="both"/>
        <w:rPr>
          <w:rFonts w:eastAsia="Arial" w:cs="Arial"/>
          <w:sz w:val="24"/>
          <w:szCs w:val="24"/>
        </w:rPr>
      </w:pPr>
      <w:bookmarkStart w:id="711" w:name="_TOC_250012"/>
      <w:r w:rsidRPr="0031675F">
        <w:rPr>
          <w:b/>
          <w:sz w:val="24"/>
        </w:rPr>
        <w:t>Quality</w:t>
      </w:r>
      <w:r w:rsidRPr="0031675F">
        <w:rPr>
          <w:b/>
          <w:spacing w:val="-6"/>
          <w:sz w:val="24"/>
        </w:rPr>
        <w:t xml:space="preserve"> </w:t>
      </w:r>
      <w:r w:rsidRPr="0031675F">
        <w:rPr>
          <w:b/>
          <w:spacing w:val="-1"/>
          <w:sz w:val="24"/>
        </w:rPr>
        <w:t>control</w:t>
      </w:r>
      <w:bookmarkEnd w:id="711"/>
    </w:p>
    <w:p w14:paraId="178B7A85" w14:textId="77777777" w:rsidR="0031675F" w:rsidRPr="0031675F" w:rsidRDefault="0031675F" w:rsidP="0031675F">
      <w:pPr>
        <w:spacing w:before="20" w:after="120" w:line="538" w:lineRule="exact"/>
        <w:ind w:right="2040"/>
      </w:pPr>
      <w:r w:rsidRPr="0031675F">
        <w:t xml:space="preserve">QAQC </w:t>
      </w:r>
      <w:r w:rsidRPr="0031675F">
        <w:rPr>
          <w:spacing w:val="-1"/>
        </w:rPr>
        <w:t>tests</w:t>
      </w:r>
      <w:r w:rsidRPr="0031675F">
        <w:rPr>
          <w:spacing w:val="-3"/>
        </w:rPr>
        <w:t xml:space="preserve"> </w:t>
      </w:r>
      <w:r w:rsidRPr="0031675F">
        <w:rPr>
          <w:spacing w:val="-1"/>
        </w:rPr>
        <w:t>undertaken</w:t>
      </w:r>
      <w:r w:rsidRPr="0031675F">
        <w:t xml:space="preserve"> </w:t>
      </w:r>
      <w:r w:rsidRPr="0031675F">
        <w:rPr>
          <w:spacing w:val="-2"/>
        </w:rPr>
        <w:t>and</w:t>
      </w:r>
      <w:r w:rsidRPr="0031675F">
        <w:rPr>
          <w:spacing w:val="-1"/>
        </w:rPr>
        <w:t xml:space="preserve"> reporting as</w:t>
      </w:r>
      <w:r w:rsidRPr="0031675F">
        <w:t xml:space="preserve"> </w:t>
      </w:r>
      <w:r w:rsidRPr="0031675F">
        <w:rPr>
          <w:spacing w:val="-1"/>
        </w:rPr>
        <w:t>part</w:t>
      </w:r>
      <w:r w:rsidRPr="0031675F">
        <w:rPr>
          <w:spacing w:val="-2"/>
        </w:rPr>
        <w:t xml:space="preserve"> </w:t>
      </w:r>
      <w:r w:rsidRPr="0031675F">
        <w:t>of</w:t>
      </w:r>
      <w:r w:rsidRPr="0031675F">
        <w:rPr>
          <w:spacing w:val="-2"/>
        </w:rPr>
        <w:t xml:space="preserve"> </w:t>
      </w:r>
      <w:r w:rsidRPr="0031675F">
        <w:t xml:space="preserve">the </w:t>
      </w:r>
      <w:r w:rsidRPr="0031675F">
        <w:rPr>
          <w:spacing w:val="-1"/>
        </w:rPr>
        <w:t>data</w:t>
      </w:r>
      <w:r w:rsidRPr="0031675F">
        <w:t xml:space="preserve"> </w:t>
      </w:r>
      <w:r w:rsidRPr="0031675F">
        <w:rPr>
          <w:spacing w:val="-1"/>
        </w:rPr>
        <w:t>reporting include:</w:t>
      </w:r>
      <w:r w:rsidRPr="0031675F">
        <w:rPr>
          <w:spacing w:val="61"/>
        </w:rPr>
        <w:t xml:space="preserve"> </w:t>
      </w: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limit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detection (LOD)</w:t>
      </w:r>
    </w:p>
    <w:p w14:paraId="5CE7FFC7" w14:textId="77777777" w:rsidR="0031675F" w:rsidRPr="0031675F" w:rsidRDefault="0031675F" w:rsidP="0031675F">
      <w:pPr>
        <w:spacing w:line="219" w:lineRule="exact"/>
        <w:ind w:left="118"/>
        <w:jc w:val="both"/>
        <w:rPr>
          <w:rFonts w:cs="Calibri"/>
        </w:rPr>
      </w:pPr>
      <w:r w:rsidRPr="0031675F">
        <w:rPr>
          <w:i/>
          <w:spacing w:val="-1"/>
        </w:rPr>
        <w:t>NB:</w:t>
      </w:r>
      <w:r w:rsidRPr="0031675F">
        <w:rPr>
          <w:i/>
          <w:spacing w:val="38"/>
        </w:rPr>
        <w:t xml:space="preserve"> </w:t>
      </w:r>
      <w:r w:rsidRPr="0031675F">
        <w:rPr>
          <w:i/>
        </w:rPr>
        <w:t>the</w:t>
      </w:r>
      <w:r w:rsidRPr="0031675F">
        <w:rPr>
          <w:i/>
          <w:spacing w:val="38"/>
        </w:rPr>
        <w:t xml:space="preserve"> </w:t>
      </w:r>
      <w:r w:rsidRPr="0031675F">
        <w:rPr>
          <w:i/>
          <w:spacing w:val="-1"/>
        </w:rPr>
        <w:t>Limit</w:t>
      </w:r>
      <w:r w:rsidRPr="0031675F">
        <w:rPr>
          <w:i/>
          <w:spacing w:val="39"/>
        </w:rPr>
        <w:t xml:space="preserve"> </w:t>
      </w:r>
      <w:r w:rsidRPr="0031675F">
        <w:rPr>
          <w:i/>
          <w:spacing w:val="-1"/>
        </w:rPr>
        <w:t>of</w:t>
      </w:r>
      <w:r w:rsidRPr="0031675F">
        <w:rPr>
          <w:i/>
          <w:spacing w:val="35"/>
        </w:rPr>
        <w:t xml:space="preserve"> </w:t>
      </w:r>
      <w:r w:rsidRPr="0031675F">
        <w:rPr>
          <w:i/>
          <w:spacing w:val="-1"/>
        </w:rPr>
        <w:t>Detection</w:t>
      </w:r>
      <w:r w:rsidRPr="0031675F">
        <w:rPr>
          <w:i/>
          <w:spacing w:val="38"/>
        </w:rPr>
        <w:t xml:space="preserve"> </w:t>
      </w:r>
      <w:r w:rsidRPr="0031675F">
        <w:rPr>
          <w:i/>
          <w:spacing w:val="-1"/>
        </w:rPr>
        <w:t>(LOD)</w:t>
      </w:r>
      <w:r w:rsidRPr="0031675F">
        <w:rPr>
          <w:i/>
          <w:spacing w:val="39"/>
        </w:rPr>
        <w:t xml:space="preserve"> </w:t>
      </w:r>
      <w:r w:rsidRPr="0031675F">
        <w:rPr>
          <w:i/>
          <w:spacing w:val="-1"/>
        </w:rPr>
        <w:t>or</w:t>
      </w:r>
      <w:r w:rsidRPr="0031675F">
        <w:rPr>
          <w:i/>
          <w:spacing w:val="39"/>
        </w:rPr>
        <w:t xml:space="preserve"> </w:t>
      </w:r>
      <w:r w:rsidRPr="0031675F">
        <w:rPr>
          <w:i/>
          <w:spacing w:val="-1"/>
        </w:rPr>
        <w:t>detection</w:t>
      </w:r>
      <w:r w:rsidRPr="0031675F">
        <w:rPr>
          <w:i/>
          <w:spacing w:val="36"/>
        </w:rPr>
        <w:t xml:space="preserve"> </w:t>
      </w:r>
      <w:r w:rsidRPr="0031675F">
        <w:rPr>
          <w:i/>
          <w:spacing w:val="-1"/>
        </w:rPr>
        <w:t>limit,</w:t>
      </w:r>
      <w:r w:rsidRPr="0031675F">
        <w:rPr>
          <w:i/>
          <w:spacing w:val="36"/>
        </w:rPr>
        <w:t xml:space="preserve"> </w:t>
      </w:r>
      <w:r w:rsidRPr="0031675F">
        <w:rPr>
          <w:i/>
        </w:rPr>
        <w:t>is</w:t>
      </w:r>
      <w:r w:rsidRPr="0031675F">
        <w:rPr>
          <w:i/>
          <w:spacing w:val="39"/>
        </w:rPr>
        <w:t xml:space="preserve"> </w:t>
      </w:r>
      <w:r w:rsidRPr="0031675F">
        <w:rPr>
          <w:i/>
        </w:rPr>
        <w:t>the</w:t>
      </w:r>
      <w:r w:rsidRPr="0031675F">
        <w:rPr>
          <w:i/>
          <w:spacing w:val="37"/>
        </w:rPr>
        <w:t xml:space="preserve"> </w:t>
      </w:r>
      <w:r w:rsidRPr="0031675F">
        <w:rPr>
          <w:i/>
          <w:spacing w:val="-1"/>
        </w:rPr>
        <w:t>lowest</w:t>
      </w:r>
      <w:r w:rsidRPr="0031675F">
        <w:rPr>
          <w:i/>
          <w:spacing w:val="39"/>
        </w:rPr>
        <w:t xml:space="preserve"> </w:t>
      </w:r>
      <w:r w:rsidRPr="0031675F">
        <w:rPr>
          <w:i/>
          <w:spacing w:val="-1"/>
        </w:rPr>
        <w:t>concentration</w:t>
      </w:r>
      <w:r w:rsidRPr="0031675F">
        <w:rPr>
          <w:i/>
          <w:spacing w:val="38"/>
        </w:rPr>
        <w:t xml:space="preserve"> </w:t>
      </w:r>
      <w:r w:rsidRPr="0031675F">
        <w:rPr>
          <w:i/>
        </w:rPr>
        <w:t>level</w:t>
      </w:r>
      <w:r w:rsidRPr="0031675F">
        <w:rPr>
          <w:i/>
          <w:spacing w:val="38"/>
        </w:rPr>
        <w:t xml:space="preserve"> </w:t>
      </w:r>
      <w:r w:rsidRPr="0031675F">
        <w:rPr>
          <w:i/>
          <w:spacing w:val="-1"/>
        </w:rPr>
        <w:t>that</w:t>
      </w:r>
      <w:r w:rsidRPr="0031675F">
        <w:rPr>
          <w:i/>
          <w:spacing w:val="38"/>
        </w:rPr>
        <w:t xml:space="preserve"> </w:t>
      </w:r>
      <w:r w:rsidRPr="0031675F">
        <w:rPr>
          <w:i/>
          <w:spacing w:val="-1"/>
        </w:rPr>
        <w:t>can</w:t>
      </w:r>
      <w:r w:rsidRPr="0031675F">
        <w:rPr>
          <w:i/>
          <w:spacing w:val="38"/>
        </w:rPr>
        <w:t xml:space="preserve"> </w:t>
      </w:r>
      <w:r w:rsidRPr="0031675F">
        <w:rPr>
          <w:i/>
          <w:spacing w:val="-1"/>
        </w:rPr>
        <w:t>be</w:t>
      </w:r>
    </w:p>
    <w:p w14:paraId="4B4C6FBA" w14:textId="77777777" w:rsidR="0031675F" w:rsidRPr="0031675F" w:rsidRDefault="0031675F" w:rsidP="0031675F">
      <w:pPr>
        <w:spacing w:line="267" w:lineRule="exact"/>
        <w:ind w:left="118"/>
        <w:jc w:val="both"/>
        <w:rPr>
          <w:rFonts w:cs="Calibri"/>
        </w:rPr>
      </w:pPr>
      <w:r w:rsidRPr="0031675F">
        <w:rPr>
          <w:i/>
          <w:spacing w:val="-1"/>
        </w:rPr>
        <w:t xml:space="preserve">determined </w:t>
      </w:r>
      <w:r w:rsidRPr="0031675F">
        <w:rPr>
          <w:i/>
        </w:rPr>
        <w:t xml:space="preserve">to </w:t>
      </w:r>
      <w:r w:rsidRPr="0031675F">
        <w:rPr>
          <w:i/>
          <w:spacing w:val="-1"/>
        </w:rPr>
        <w:t>be</w:t>
      </w:r>
      <w:r w:rsidRPr="0031675F">
        <w:rPr>
          <w:i/>
          <w:spacing w:val="-3"/>
        </w:rPr>
        <w:t xml:space="preserve"> </w:t>
      </w:r>
      <w:r w:rsidRPr="0031675F">
        <w:rPr>
          <w:i/>
          <w:spacing w:val="-1"/>
        </w:rPr>
        <w:t>statistically different</w:t>
      </w:r>
      <w:r w:rsidRPr="0031675F">
        <w:rPr>
          <w:i/>
          <w:spacing w:val="-3"/>
        </w:rPr>
        <w:t xml:space="preserve"> </w:t>
      </w:r>
      <w:r w:rsidRPr="0031675F">
        <w:rPr>
          <w:i/>
          <w:spacing w:val="-1"/>
        </w:rPr>
        <w:t>from</w:t>
      </w:r>
      <w:r w:rsidRPr="0031675F">
        <w:rPr>
          <w:i/>
          <w:spacing w:val="1"/>
        </w:rPr>
        <w:t xml:space="preserve"> </w:t>
      </w:r>
      <w:r w:rsidRPr="0031675F">
        <w:rPr>
          <w:i/>
        </w:rPr>
        <w:t>a</w:t>
      </w:r>
      <w:r w:rsidRPr="0031675F">
        <w:rPr>
          <w:i/>
          <w:spacing w:val="-1"/>
        </w:rPr>
        <w:t xml:space="preserve"> blank</w:t>
      </w:r>
      <w:r w:rsidRPr="0031675F">
        <w:rPr>
          <w:i/>
        </w:rPr>
        <w:t xml:space="preserve"> </w:t>
      </w:r>
      <w:r w:rsidRPr="0031675F">
        <w:rPr>
          <w:i/>
          <w:spacing w:val="-2"/>
        </w:rPr>
        <w:t>(99%</w:t>
      </w:r>
      <w:r w:rsidRPr="0031675F">
        <w:rPr>
          <w:i/>
          <w:spacing w:val="1"/>
        </w:rPr>
        <w:t xml:space="preserve"> </w:t>
      </w:r>
      <w:r w:rsidRPr="0031675F">
        <w:rPr>
          <w:i/>
          <w:spacing w:val="-1"/>
        </w:rPr>
        <w:t>confidence).</w:t>
      </w:r>
    </w:p>
    <w:p w14:paraId="4E6704C4" w14:textId="77777777" w:rsidR="0031675F" w:rsidRPr="0031675F" w:rsidRDefault="0031675F" w:rsidP="0031675F">
      <w:pPr>
        <w:widowControl w:val="0"/>
        <w:numPr>
          <w:ilvl w:val="2"/>
          <w:numId w:val="81"/>
        </w:numPr>
        <w:tabs>
          <w:tab w:val="left" w:pos="839"/>
        </w:tabs>
        <w:spacing w:before="0" w:after="0" w:line="240" w:lineRule="auto"/>
      </w:pPr>
      <w:r w:rsidRPr="0031675F">
        <w:rPr>
          <w:spacing w:val="-1"/>
        </w:rPr>
        <w:t>Minimum</w:t>
      </w:r>
      <w:r w:rsidRPr="0031675F">
        <w:rPr>
          <w:spacing w:val="1"/>
        </w:rPr>
        <w:t xml:space="preserve"> </w:t>
      </w:r>
      <w:r w:rsidRPr="0031675F">
        <w:rPr>
          <w:spacing w:val="-1"/>
        </w:rPr>
        <w:t>detection limits</w:t>
      </w:r>
      <w:r w:rsidRPr="0031675F">
        <w:rPr>
          <w:spacing w:val="-5"/>
        </w:rPr>
        <w:t xml:space="preserve"> </w:t>
      </w:r>
      <w:r w:rsidRPr="0031675F">
        <w:t>were</w:t>
      </w:r>
      <w:r w:rsidRPr="0031675F">
        <w:rPr>
          <w:spacing w:val="-2"/>
        </w:rPr>
        <w:t xml:space="preserve"> </w:t>
      </w:r>
      <w:r w:rsidRPr="0031675F">
        <w:rPr>
          <w:spacing w:val="-1"/>
        </w:rPr>
        <w:t>calculated</w:t>
      </w:r>
      <w:r w:rsidRPr="0031675F">
        <w:t xml:space="preserve"> for</w:t>
      </w:r>
      <w:r w:rsidRPr="0031675F">
        <w:rPr>
          <w:spacing w:val="-3"/>
        </w:rPr>
        <w:t xml:space="preserve"> </w:t>
      </w:r>
      <w:r w:rsidRPr="0031675F">
        <w:rPr>
          <w:spacing w:val="-1"/>
        </w:rPr>
        <w:t>this</w:t>
      </w:r>
      <w:r w:rsidRPr="0031675F">
        <w:rPr>
          <w:spacing w:val="-3"/>
        </w:rPr>
        <w:t xml:space="preserve"> </w:t>
      </w:r>
      <w:r w:rsidRPr="0031675F">
        <w:rPr>
          <w:spacing w:val="-1"/>
        </w:rPr>
        <w:t xml:space="preserve">method using repetition </w:t>
      </w:r>
      <w:r w:rsidRPr="0031675F">
        <w:t>of</w:t>
      </w:r>
      <w:r w:rsidRPr="0031675F">
        <w:rPr>
          <w:spacing w:val="-3"/>
        </w:rPr>
        <w:t xml:space="preserve"> </w:t>
      </w:r>
      <w:r w:rsidRPr="0031675F">
        <w:rPr>
          <w:spacing w:val="-1"/>
        </w:rPr>
        <w:t>blanks.</w:t>
      </w:r>
    </w:p>
    <w:p w14:paraId="612EB702" w14:textId="77777777" w:rsidR="0031675F" w:rsidRPr="0031675F" w:rsidRDefault="0031675F" w:rsidP="0031675F">
      <w:pPr>
        <w:rPr>
          <w:rFonts w:cs="Calibri"/>
        </w:rPr>
      </w:pPr>
    </w:p>
    <w:p w14:paraId="582F9F77" w14:textId="77777777" w:rsidR="0031675F" w:rsidRPr="0031675F" w:rsidRDefault="0031675F" w:rsidP="0031675F">
      <w:pPr>
        <w:spacing w:after="120"/>
        <w:jc w:val="both"/>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accuracy</w:t>
      </w:r>
      <w:r w:rsidRPr="0031675F">
        <w:rPr>
          <w:spacing w:val="-2"/>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analysis</w:t>
      </w:r>
    </w:p>
    <w:p w14:paraId="36058CF8" w14:textId="77777777" w:rsidR="0031675F" w:rsidRPr="0031675F" w:rsidRDefault="0031675F" w:rsidP="0031675F">
      <w:pPr>
        <w:ind w:left="118" w:right="120"/>
        <w:rPr>
          <w:rFonts w:cs="Calibri"/>
        </w:rPr>
      </w:pPr>
      <w:r w:rsidRPr="0031675F">
        <w:rPr>
          <w:i/>
          <w:spacing w:val="-1"/>
        </w:rPr>
        <w:t>NB:</w:t>
      </w:r>
      <w:r w:rsidRPr="0031675F">
        <w:rPr>
          <w:i/>
          <w:spacing w:val="24"/>
        </w:rPr>
        <w:t xml:space="preserve"> </w:t>
      </w:r>
      <w:r w:rsidRPr="0031675F">
        <w:rPr>
          <w:i/>
          <w:spacing w:val="-1"/>
        </w:rPr>
        <w:t>This</w:t>
      </w:r>
      <w:r w:rsidRPr="0031675F">
        <w:rPr>
          <w:i/>
          <w:spacing w:val="24"/>
        </w:rPr>
        <w:t xml:space="preserve"> </w:t>
      </w:r>
      <w:r w:rsidRPr="0031675F">
        <w:rPr>
          <w:i/>
          <w:spacing w:val="-2"/>
        </w:rPr>
        <w:t>is</w:t>
      </w:r>
      <w:r w:rsidRPr="0031675F">
        <w:rPr>
          <w:i/>
          <w:spacing w:val="25"/>
        </w:rPr>
        <w:t xml:space="preserve"> </w:t>
      </w:r>
      <w:r w:rsidRPr="0031675F">
        <w:rPr>
          <w:i/>
          <w:spacing w:val="-1"/>
        </w:rPr>
        <w:t>generally</w:t>
      </w:r>
      <w:r w:rsidRPr="0031675F">
        <w:rPr>
          <w:i/>
          <w:spacing w:val="24"/>
        </w:rPr>
        <w:t xml:space="preserve"> </w:t>
      </w:r>
      <w:r w:rsidRPr="0031675F">
        <w:rPr>
          <w:i/>
          <w:spacing w:val="-1"/>
        </w:rPr>
        <w:t>achieved</w:t>
      </w:r>
      <w:r w:rsidRPr="0031675F">
        <w:rPr>
          <w:i/>
          <w:spacing w:val="23"/>
        </w:rPr>
        <w:t xml:space="preserve"> </w:t>
      </w:r>
      <w:r w:rsidRPr="0031675F">
        <w:rPr>
          <w:i/>
          <w:spacing w:val="-1"/>
        </w:rPr>
        <w:t>by</w:t>
      </w:r>
      <w:r w:rsidRPr="0031675F">
        <w:rPr>
          <w:i/>
          <w:spacing w:val="24"/>
        </w:rPr>
        <w:t xml:space="preserve"> </w:t>
      </w:r>
      <w:r w:rsidRPr="0031675F">
        <w:rPr>
          <w:i/>
          <w:spacing w:val="-1"/>
        </w:rPr>
        <w:t>using</w:t>
      </w:r>
      <w:r w:rsidRPr="0031675F">
        <w:rPr>
          <w:i/>
          <w:spacing w:val="23"/>
        </w:rPr>
        <w:t xml:space="preserve"> </w:t>
      </w:r>
      <w:r w:rsidRPr="0031675F">
        <w:rPr>
          <w:i/>
          <w:spacing w:val="-1"/>
        </w:rPr>
        <w:t>reference</w:t>
      </w:r>
      <w:r w:rsidRPr="0031675F">
        <w:rPr>
          <w:i/>
          <w:spacing w:val="22"/>
        </w:rPr>
        <w:t xml:space="preserve"> </w:t>
      </w:r>
      <w:r w:rsidRPr="0031675F">
        <w:rPr>
          <w:i/>
          <w:spacing w:val="-1"/>
        </w:rPr>
        <w:t>materials</w:t>
      </w:r>
      <w:r w:rsidRPr="0031675F">
        <w:rPr>
          <w:i/>
          <w:spacing w:val="22"/>
        </w:rPr>
        <w:t xml:space="preserve"> </w:t>
      </w:r>
      <w:r w:rsidRPr="0031675F">
        <w:rPr>
          <w:i/>
        </w:rPr>
        <w:t>to</w:t>
      </w:r>
      <w:r w:rsidRPr="0031675F">
        <w:rPr>
          <w:i/>
          <w:spacing w:val="24"/>
        </w:rPr>
        <w:t xml:space="preserve"> </w:t>
      </w:r>
      <w:r w:rsidRPr="0031675F">
        <w:rPr>
          <w:i/>
          <w:spacing w:val="-1"/>
        </w:rPr>
        <w:t>assess</w:t>
      </w:r>
      <w:r w:rsidRPr="0031675F">
        <w:rPr>
          <w:i/>
          <w:spacing w:val="22"/>
        </w:rPr>
        <w:t xml:space="preserve"> </w:t>
      </w:r>
      <w:r w:rsidRPr="0031675F">
        <w:rPr>
          <w:i/>
          <w:spacing w:val="-1"/>
        </w:rPr>
        <w:t>recovery</w:t>
      </w:r>
      <w:r w:rsidRPr="0031675F">
        <w:rPr>
          <w:i/>
          <w:spacing w:val="21"/>
        </w:rPr>
        <w:t xml:space="preserve"> </w:t>
      </w:r>
      <w:r w:rsidRPr="0031675F">
        <w:rPr>
          <w:i/>
          <w:spacing w:val="-1"/>
        </w:rPr>
        <w:t>of</w:t>
      </w:r>
      <w:r w:rsidRPr="0031675F">
        <w:rPr>
          <w:i/>
          <w:spacing w:val="23"/>
        </w:rPr>
        <w:t xml:space="preserve"> </w:t>
      </w:r>
      <w:r w:rsidRPr="0031675F">
        <w:rPr>
          <w:i/>
          <w:spacing w:val="-1"/>
        </w:rPr>
        <w:t>known</w:t>
      </w:r>
      <w:r w:rsidRPr="0031675F">
        <w:rPr>
          <w:i/>
          <w:spacing w:val="24"/>
        </w:rPr>
        <w:t xml:space="preserve"> </w:t>
      </w:r>
      <w:r w:rsidRPr="0031675F">
        <w:rPr>
          <w:i/>
          <w:spacing w:val="-1"/>
        </w:rPr>
        <w:t>amount</w:t>
      </w:r>
      <w:r w:rsidRPr="0031675F">
        <w:rPr>
          <w:i/>
          <w:spacing w:val="25"/>
        </w:rPr>
        <w:t xml:space="preserve"> </w:t>
      </w:r>
      <w:r w:rsidRPr="0031675F">
        <w:rPr>
          <w:i/>
          <w:spacing w:val="-2"/>
        </w:rPr>
        <w:t>of</w:t>
      </w:r>
      <w:r w:rsidRPr="0031675F">
        <w:rPr>
          <w:i/>
          <w:spacing w:val="73"/>
        </w:rPr>
        <w:t xml:space="preserve"> </w:t>
      </w:r>
      <w:r w:rsidRPr="0031675F">
        <w:rPr>
          <w:i/>
          <w:spacing w:val="-1"/>
        </w:rPr>
        <w:t>analyte.</w:t>
      </w:r>
    </w:p>
    <w:p w14:paraId="0DFDDFC9" w14:textId="77777777" w:rsidR="0031675F" w:rsidRPr="0031675F" w:rsidRDefault="0031675F" w:rsidP="0031675F">
      <w:pPr>
        <w:widowControl w:val="0"/>
        <w:numPr>
          <w:ilvl w:val="0"/>
          <w:numId w:val="80"/>
        </w:numPr>
        <w:tabs>
          <w:tab w:val="left" w:pos="839"/>
        </w:tabs>
        <w:spacing w:before="0" w:after="0" w:line="240" w:lineRule="auto"/>
        <w:ind w:right="116"/>
        <w:jc w:val="both"/>
      </w:pPr>
      <w:r w:rsidRPr="0031675F">
        <w:rPr>
          <w:spacing w:val="-1"/>
        </w:rPr>
        <w:t>The</w:t>
      </w:r>
      <w:r w:rsidRPr="0031675F">
        <w:rPr>
          <w:spacing w:val="5"/>
        </w:rPr>
        <w:t xml:space="preserve"> </w:t>
      </w:r>
      <w:r w:rsidRPr="0031675F">
        <w:rPr>
          <w:spacing w:val="-1"/>
        </w:rPr>
        <w:t>Solid</w:t>
      </w:r>
      <w:r w:rsidRPr="0031675F">
        <w:rPr>
          <w:spacing w:val="2"/>
        </w:rPr>
        <w:t xml:space="preserve"> </w:t>
      </w:r>
      <w:r w:rsidRPr="0031675F">
        <w:rPr>
          <w:spacing w:val="-1"/>
        </w:rPr>
        <w:t>secondary</w:t>
      </w:r>
      <w:r w:rsidRPr="0031675F">
        <w:rPr>
          <w:spacing w:val="3"/>
        </w:rPr>
        <w:t xml:space="preserve"> </w:t>
      </w:r>
      <w:r w:rsidRPr="0031675F">
        <w:rPr>
          <w:spacing w:val="-1"/>
        </w:rPr>
        <w:t>standard</w:t>
      </w:r>
      <w:r w:rsidRPr="0031675F">
        <w:rPr>
          <w:spacing w:val="4"/>
        </w:rPr>
        <w:t xml:space="preserve"> </w:t>
      </w:r>
      <w:r w:rsidRPr="0031675F">
        <w:t>is</w:t>
      </w:r>
      <w:r w:rsidRPr="0031675F">
        <w:rPr>
          <w:spacing w:val="4"/>
        </w:rPr>
        <w:t xml:space="preserve"> </w:t>
      </w:r>
      <w:r w:rsidRPr="0031675F">
        <w:rPr>
          <w:spacing w:val="-1"/>
        </w:rPr>
        <w:t>run</w:t>
      </w:r>
      <w:r w:rsidRPr="0031675F">
        <w:rPr>
          <w:spacing w:val="4"/>
        </w:rPr>
        <w:t xml:space="preserve"> </w:t>
      </w:r>
      <w:r w:rsidRPr="0031675F">
        <w:rPr>
          <w:spacing w:val="-1"/>
        </w:rPr>
        <w:t>daily</w:t>
      </w:r>
      <w:r w:rsidRPr="0031675F">
        <w:rPr>
          <w:spacing w:val="3"/>
        </w:rPr>
        <w:t xml:space="preserve"> </w:t>
      </w:r>
      <w:r w:rsidRPr="0031675F">
        <w:t>at</w:t>
      </w:r>
      <w:r w:rsidRPr="0031675F">
        <w:rPr>
          <w:spacing w:val="5"/>
        </w:rPr>
        <w:t xml:space="preserve"> </w:t>
      </w:r>
      <w:r w:rsidRPr="0031675F">
        <w:rPr>
          <w:spacing w:val="-1"/>
        </w:rPr>
        <w:t>beginning,</w:t>
      </w:r>
      <w:r w:rsidRPr="0031675F">
        <w:rPr>
          <w:spacing w:val="2"/>
        </w:rPr>
        <w:t xml:space="preserve"> </w:t>
      </w:r>
      <w:r w:rsidRPr="0031675F">
        <w:rPr>
          <w:spacing w:val="-1"/>
        </w:rPr>
        <w:t>middle</w:t>
      </w:r>
      <w:r w:rsidRPr="0031675F">
        <w:rPr>
          <w:spacing w:val="2"/>
        </w:rPr>
        <w:t xml:space="preserve"> </w:t>
      </w:r>
      <w:r w:rsidRPr="0031675F">
        <w:rPr>
          <w:spacing w:val="-1"/>
        </w:rPr>
        <w:t>and</w:t>
      </w:r>
      <w:r w:rsidRPr="0031675F">
        <w:rPr>
          <w:spacing w:val="4"/>
        </w:rPr>
        <w:t xml:space="preserve"> </w:t>
      </w:r>
      <w:r w:rsidRPr="0031675F">
        <w:t>end</w:t>
      </w:r>
      <w:r w:rsidRPr="0031675F">
        <w:rPr>
          <w:spacing w:val="1"/>
        </w:rPr>
        <w:t xml:space="preserve"> </w:t>
      </w:r>
      <w:r w:rsidRPr="0031675F">
        <w:t>of</w:t>
      </w:r>
      <w:r w:rsidRPr="0031675F">
        <w:rPr>
          <w:spacing w:val="5"/>
        </w:rPr>
        <w:t xml:space="preserve"> </w:t>
      </w:r>
      <w:r w:rsidRPr="0031675F">
        <w:rPr>
          <w:spacing w:val="-1"/>
        </w:rPr>
        <w:t>sample</w:t>
      </w:r>
      <w:r w:rsidRPr="0031675F">
        <w:t xml:space="preserve"> </w:t>
      </w:r>
      <w:r w:rsidRPr="0031675F">
        <w:rPr>
          <w:spacing w:val="-1"/>
        </w:rPr>
        <w:t>run</w:t>
      </w:r>
      <w:r w:rsidRPr="0031675F">
        <w:rPr>
          <w:spacing w:val="4"/>
        </w:rPr>
        <w:t xml:space="preserve"> </w:t>
      </w:r>
      <w:r w:rsidRPr="0031675F">
        <w:rPr>
          <w:spacing w:val="-1"/>
        </w:rPr>
        <w:t>and</w:t>
      </w:r>
      <w:r w:rsidRPr="0031675F">
        <w:rPr>
          <w:spacing w:val="4"/>
        </w:rPr>
        <w:t xml:space="preserve"> </w:t>
      </w:r>
      <w:r w:rsidRPr="0031675F">
        <w:rPr>
          <w:spacing w:val="-1"/>
        </w:rPr>
        <w:t>for</w:t>
      </w:r>
      <w:r w:rsidRPr="0031675F">
        <w:rPr>
          <w:spacing w:val="65"/>
        </w:rPr>
        <w:t xml:space="preserve"> </w:t>
      </w:r>
      <w:r w:rsidRPr="0031675F">
        <w:t>each</w:t>
      </w:r>
      <w:r w:rsidRPr="0031675F">
        <w:rPr>
          <w:spacing w:val="32"/>
        </w:rPr>
        <w:t xml:space="preserve"> </w:t>
      </w:r>
      <w:r w:rsidRPr="0031675F">
        <w:rPr>
          <w:spacing w:val="-1"/>
        </w:rPr>
        <w:t>sample</w:t>
      </w:r>
      <w:r w:rsidRPr="0031675F">
        <w:rPr>
          <w:spacing w:val="34"/>
        </w:rPr>
        <w:t xml:space="preserve"> </w:t>
      </w:r>
      <w:r w:rsidRPr="0031675F">
        <w:rPr>
          <w:spacing w:val="-1"/>
        </w:rPr>
        <w:t>set</w:t>
      </w:r>
      <w:r w:rsidRPr="0031675F">
        <w:rPr>
          <w:spacing w:val="34"/>
        </w:rPr>
        <w:t xml:space="preserve"> </w:t>
      </w:r>
      <w:r w:rsidRPr="0031675F">
        <w:t>an</w:t>
      </w:r>
      <w:r w:rsidRPr="0031675F">
        <w:rPr>
          <w:spacing w:val="32"/>
        </w:rPr>
        <w:t xml:space="preserve"> </w:t>
      </w:r>
      <w:r w:rsidRPr="0031675F">
        <w:rPr>
          <w:spacing w:val="-1"/>
        </w:rPr>
        <w:t>average</w:t>
      </w:r>
      <w:r w:rsidRPr="0031675F">
        <w:rPr>
          <w:spacing w:val="34"/>
        </w:rPr>
        <w:t xml:space="preserve"> </w:t>
      </w:r>
      <w:r w:rsidRPr="0031675F">
        <w:t>of</w:t>
      </w:r>
      <w:r w:rsidRPr="0031675F">
        <w:rPr>
          <w:spacing w:val="34"/>
        </w:rPr>
        <w:t xml:space="preserve"> </w:t>
      </w:r>
      <w:r w:rsidRPr="0031675F">
        <w:t>the</w:t>
      </w:r>
      <w:r w:rsidRPr="0031675F">
        <w:rPr>
          <w:spacing w:val="34"/>
        </w:rPr>
        <w:t xml:space="preserve"> </w:t>
      </w:r>
      <w:r w:rsidRPr="0031675F">
        <w:rPr>
          <w:spacing w:val="-1"/>
        </w:rPr>
        <w:t>readings</w:t>
      </w:r>
      <w:r w:rsidRPr="0031675F">
        <w:rPr>
          <w:spacing w:val="33"/>
        </w:rPr>
        <w:t xml:space="preserve"> </w:t>
      </w:r>
      <w:r w:rsidRPr="0031675F">
        <w:t>as</w:t>
      </w:r>
      <w:r w:rsidRPr="0031675F">
        <w:rPr>
          <w:spacing w:val="34"/>
        </w:rPr>
        <w:t xml:space="preserve"> </w:t>
      </w:r>
      <w:r w:rsidRPr="0031675F">
        <w:t>a</w:t>
      </w:r>
      <w:r w:rsidRPr="0031675F">
        <w:rPr>
          <w:spacing w:val="34"/>
        </w:rPr>
        <w:t xml:space="preserve"> </w:t>
      </w:r>
      <w:r w:rsidRPr="0031675F">
        <w:rPr>
          <w:spacing w:val="-1"/>
        </w:rPr>
        <w:t>percentage</w:t>
      </w:r>
      <w:r w:rsidRPr="0031675F">
        <w:rPr>
          <w:spacing w:val="33"/>
        </w:rPr>
        <w:t xml:space="preserve"> </w:t>
      </w:r>
      <w:r w:rsidRPr="0031675F">
        <w:t>of</w:t>
      </w:r>
      <w:r w:rsidRPr="0031675F">
        <w:rPr>
          <w:spacing w:val="34"/>
        </w:rPr>
        <w:t xml:space="preserve"> </w:t>
      </w:r>
      <w:r w:rsidRPr="0031675F">
        <w:t>the</w:t>
      </w:r>
      <w:r w:rsidRPr="0031675F">
        <w:rPr>
          <w:spacing w:val="34"/>
        </w:rPr>
        <w:t xml:space="preserve"> </w:t>
      </w:r>
      <w:r w:rsidRPr="0031675F">
        <w:t>true</w:t>
      </w:r>
      <w:r w:rsidRPr="0031675F">
        <w:rPr>
          <w:spacing w:val="31"/>
        </w:rPr>
        <w:t xml:space="preserve"> </w:t>
      </w:r>
      <w:r w:rsidRPr="0031675F">
        <w:rPr>
          <w:spacing w:val="-1"/>
        </w:rPr>
        <w:t>value</w:t>
      </w:r>
      <w:r w:rsidRPr="0031675F">
        <w:rPr>
          <w:spacing w:val="33"/>
        </w:rPr>
        <w:t xml:space="preserve"> </w:t>
      </w:r>
      <w:r w:rsidRPr="0031675F">
        <w:t>is</w:t>
      </w:r>
      <w:r w:rsidRPr="0031675F">
        <w:rPr>
          <w:spacing w:val="33"/>
        </w:rPr>
        <w:t xml:space="preserve"> </w:t>
      </w:r>
      <w:r w:rsidRPr="0031675F">
        <w:rPr>
          <w:spacing w:val="-1"/>
        </w:rPr>
        <w:t>used</w:t>
      </w:r>
      <w:r w:rsidRPr="0031675F">
        <w:rPr>
          <w:spacing w:val="34"/>
        </w:rPr>
        <w:t xml:space="preserve"> </w:t>
      </w:r>
      <w:r w:rsidRPr="0031675F">
        <w:t>to</w:t>
      </w:r>
      <w:r w:rsidRPr="0031675F">
        <w:rPr>
          <w:spacing w:val="39"/>
        </w:rPr>
        <w:t xml:space="preserve"> </w:t>
      </w:r>
      <w:r w:rsidRPr="0031675F">
        <w:rPr>
          <w:spacing w:val="-1"/>
        </w:rPr>
        <w:t>determine</w:t>
      </w:r>
      <w:r w:rsidRPr="0031675F">
        <w:t xml:space="preserve"> </w:t>
      </w:r>
      <w:r w:rsidRPr="0031675F">
        <w:rPr>
          <w:spacing w:val="-1"/>
        </w:rPr>
        <w:t>accuracy.</w:t>
      </w:r>
    </w:p>
    <w:p w14:paraId="5F7EE5C1" w14:textId="77777777" w:rsidR="0031675F" w:rsidRPr="0031675F" w:rsidRDefault="0031675F" w:rsidP="0031675F">
      <w:pPr>
        <w:rPr>
          <w:rFonts w:cs="Calibri"/>
        </w:rPr>
      </w:pPr>
    </w:p>
    <w:p w14:paraId="2240FEBF" w14:textId="77777777" w:rsidR="0031675F" w:rsidRPr="0031675F" w:rsidRDefault="0031675F" w:rsidP="0031675F">
      <w:pPr>
        <w:spacing w:after="120"/>
        <w:jc w:val="both"/>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1"/>
          <w:u w:val="single" w:color="000000"/>
        </w:rPr>
        <w:t xml:space="preserve"> precision </w:t>
      </w:r>
      <w:r w:rsidRPr="0031675F">
        <w:rPr>
          <w:u w:val="single" w:color="000000"/>
        </w:rPr>
        <w:t>of</w:t>
      </w:r>
      <w:r w:rsidRPr="0031675F">
        <w:rPr>
          <w:spacing w:val="-5"/>
          <w:u w:val="single" w:color="000000"/>
        </w:rPr>
        <w:t xml:space="preserve"> </w:t>
      </w:r>
      <w:r w:rsidRPr="0031675F">
        <w:rPr>
          <w:u w:val="single" w:color="000000"/>
        </w:rPr>
        <w:t>the</w:t>
      </w:r>
      <w:r w:rsidRPr="0031675F">
        <w:rPr>
          <w:spacing w:val="-1"/>
          <w:u w:val="single" w:color="000000"/>
        </w:rPr>
        <w:t xml:space="preserve"> analysis</w:t>
      </w:r>
    </w:p>
    <w:p w14:paraId="3279B2DD" w14:textId="77777777" w:rsidR="0031675F" w:rsidRPr="0031675F" w:rsidRDefault="0031675F" w:rsidP="0031675F">
      <w:pPr>
        <w:ind w:left="118" w:right="119"/>
        <w:rPr>
          <w:rFonts w:cs="Calibri"/>
        </w:rPr>
      </w:pPr>
      <w:r w:rsidRPr="0031675F">
        <w:rPr>
          <w:i/>
          <w:spacing w:val="-1"/>
        </w:rPr>
        <w:t>NB:</w:t>
      </w:r>
      <w:r w:rsidRPr="0031675F">
        <w:rPr>
          <w:i/>
          <w:spacing w:val="3"/>
        </w:rPr>
        <w:t xml:space="preserve"> </w:t>
      </w:r>
      <w:r w:rsidRPr="0031675F">
        <w:rPr>
          <w:i/>
          <w:spacing w:val="-1"/>
        </w:rPr>
        <w:t>This</w:t>
      </w:r>
      <w:r w:rsidRPr="0031675F">
        <w:rPr>
          <w:i/>
          <w:spacing w:val="3"/>
        </w:rPr>
        <w:t xml:space="preserve"> </w:t>
      </w:r>
      <w:r w:rsidRPr="0031675F">
        <w:rPr>
          <w:i/>
        </w:rPr>
        <w:t>is</w:t>
      </w:r>
      <w:r w:rsidRPr="0031675F">
        <w:rPr>
          <w:i/>
          <w:spacing w:val="2"/>
        </w:rPr>
        <w:t xml:space="preserve"> </w:t>
      </w:r>
      <w:r w:rsidRPr="0031675F">
        <w:rPr>
          <w:i/>
          <w:spacing w:val="-1"/>
        </w:rPr>
        <w:t>generally</w:t>
      </w:r>
      <w:r w:rsidRPr="0031675F">
        <w:rPr>
          <w:i/>
          <w:spacing w:val="2"/>
        </w:rPr>
        <w:t xml:space="preserve"> </w:t>
      </w:r>
      <w:r w:rsidRPr="0031675F">
        <w:rPr>
          <w:i/>
          <w:spacing w:val="-1"/>
        </w:rPr>
        <w:t>achieved</w:t>
      </w:r>
      <w:r w:rsidRPr="0031675F">
        <w:rPr>
          <w:i/>
          <w:spacing w:val="1"/>
        </w:rPr>
        <w:t xml:space="preserve"> </w:t>
      </w:r>
      <w:r w:rsidRPr="0031675F">
        <w:rPr>
          <w:i/>
          <w:spacing w:val="-1"/>
        </w:rPr>
        <w:t>by</w:t>
      </w:r>
      <w:r w:rsidRPr="0031675F">
        <w:rPr>
          <w:i/>
          <w:spacing w:val="2"/>
        </w:rPr>
        <w:t xml:space="preserve"> </w:t>
      </w:r>
      <w:r w:rsidRPr="0031675F">
        <w:rPr>
          <w:i/>
        </w:rPr>
        <w:t>the</w:t>
      </w:r>
      <w:r w:rsidRPr="0031675F">
        <w:rPr>
          <w:i/>
          <w:spacing w:val="2"/>
        </w:rPr>
        <w:t xml:space="preserve"> </w:t>
      </w:r>
      <w:r w:rsidRPr="0031675F">
        <w:rPr>
          <w:i/>
          <w:spacing w:val="-1"/>
        </w:rPr>
        <w:t>repeated</w:t>
      </w:r>
      <w:r w:rsidRPr="0031675F">
        <w:rPr>
          <w:i/>
          <w:spacing w:val="2"/>
        </w:rPr>
        <w:t xml:space="preserve"> </w:t>
      </w:r>
      <w:r w:rsidRPr="0031675F">
        <w:rPr>
          <w:i/>
          <w:spacing w:val="-1"/>
        </w:rPr>
        <w:t>analyses</w:t>
      </w:r>
      <w:r w:rsidRPr="0031675F">
        <w:rPr>
          <w:i/>
          <w:spacing w:val="3"/>
        </w:rPr>
        <w:t xml:space="preserve"> </w:t>
      </w:r>
      <w:r w:rsidRPr="0031675F">
        <w:rPr>
          <w:i/>
          <w:spacing w:val="-1"/>
        </w:rPr>
        <w:t>of</w:t>
      </w:r>
      <w:r w:rsidRPr="0031675F">
        <w:rPr>
          <w:i/>
          <w:spacing w:val="2"/>
        </w:rPr>
        <w:t xml:space="preserve"> </w:t>
      </w:r>
      <w:r w:rsidRPr="0031675F">
        <w:rPr>
          <w:i/>
        </w:rPr>
        <w:t>the</w:t>
      </w:r>
      <w:r w:rsidRPr="0031675F">
        <w:rPr>
          <w:i/>
          <w:spacing w:val="2"/>
        </w:rPr>
        <w:t xml:space="preserve"> </w:t>
      </w:r>
      <w:r w:rsidRPr="0031675F">
        <w:rPr>
          <w:i/>
          <w:spacing w:val="-1"/>
        </w:rPr>
        <w:t>same</w:t>
      </w:r>
      <w:r w:rsidRPr="0031675F">
        <w:rPr>
          <w:i/>
          <w:spacing w:val="3"/>
        </w:rPr>
        <w:t xml:space="preserve"> </w:t>
      </w:r>
      <w:r w:rsidRPr="0031675F">
        <w:rPr>
          <w:i/>
          <w:spacing w:val="-1"/>
        </w:rPr>
        <w:t>concentration</w:t>
      </w:r>
      <w:r w:rsidRPr="0031675F">
        <w:rPr>
          <w:i/>
          <w:spacing w:val="2"/>
        </w:rPr>
        <w:t xml:space="preserve"> </w:t>
      </w:r>
      <w:r w:rsidRPr="0031675F">
        <w:rPr>
          <w:i/>
          <w:spacing w:val="-1"/>
        </w:rPr>
        <w:t>of</w:t>
      </w:r>
      <w:r w:rsidRPr="0031675F">
        <w:rPr>
          <w:i/>
          <w:spacing w:val="2"/>
        </w:rPr>
        <w:t xml:space="preserve"> </w:t>
      </w:r>
      <w:r w:rsidRPr="0031675F">
        <w:rPr>
          <w:i/>
          <w:spacing w:val="-1"/>
        </w:rPr>
        <w:t>analyte</w:t>
      </w:r>
      <w:r w:rsidRPr="0031675F">
        <w:rPr>
          <w:i/>
          <w:spacing w:val="3"/>
        </w:rPr>
        <w:t xml:space="preserve"> </w:t>
      </w:r>
      <w:r w:rsidRPr="0031675F">
        <w:rPr>
          <w:i/>
        </w:rPr>
        <w:t>to</w:t>
      </w:r>
      <w:r w:rsidRPr="0031675F">
        <w:rPr>
          <w:i/>
          <w:spacing w:val="2"/>
        </w:rPr>
        <w:t xml:space="preserve"> </w:t>
      </w:r>
      <w:r w:rsidRPr="0031675F">
        <w:rPr>
          <w:i/>
          <w:spacing w:val="-1"/>
        </w:rPr>
        <w:t>check</w:t>
      </w:r>
      <w:r w:rsidRPr="0031675F">
        <w:rPr>
          <w:i/>
          <w:spacing w:val="63"/>
        </w:rPr>
        <w:t xml:space="preserve"> </w:t>
      </w:r>
      <w:r w:rsidRPr="0031675F">
        <w:rPr>
          <w:i/>
          <w:spacing w:val="-1"/>
        </w:rPr>
        <w:t>for</w:t>
      </w:r>
      <w:r w:rsidRPr="0031675F">
        <w:rPr>
          <w:i/>
        </w:rPr>
        <w:t xml:space="preserve"> </w:t>
      </w:r>
      <w:r w:rsidRPr="0031675F">
        <w:rPr>
          <w:i/>
          <w:spacing w:val="-1"/>
        </w:rPr>
        <w:t>reproducibility.</w:t>
      </w:r>
    </w:p>
    <w:p w14:paraId="01CF9B16" w14:textId="77777777" w:rsidR="0031675F" w:rsidRPr="0031675F" w:rsidRDefault="0031675F" w:rsidP="0031675F">
      <w:pPr>
        <w:widowControl w:val="0"/>
        <w:numPr>
          <w:ilvl w:val="0"/>
          <w:numId w:val="79"/>
        </w:numPr>
        <w:tabs>
          <w:tab w:val="left" w:pos="839"/>
        </w:tabs>
        <w:spacing w:before="0" w:after="0" w:line="240" w:lineRule="auto"/>
        <w:ind w:right="116"/>
        <w:jc w:val="both"/>
      </w:pPr>
      <w:r w:rsidRPr="0031675F">
        <w:rPr>
          <w:spacing w:val="-1"/>
        </w:rPr>
        <w:t>The</w:t>
      </w:r>
      <w:r w:rsidRPr="0031675F">
        <w:rPr>
          <w:spacing w:val="6"/>
        </w:rPr>
        <w:t xml:space="preserve"> </w:t>
      </w:r>
      <w:r w:rsidRPr="0031675F">
        <w:rPr>
          <w:spacing w:val="-1"/>
        </w:rPr>
        <w:t>coefficient</w:t>
      </w:r>
      <w:r w:rsidRPr="0031675F">
        <w:rPr>
          <w:spacing w:val="3"/>
        </w:rPr>
        <w:t xml:space="preserve"> </w:t>
      </w:r>
      <w:r w:rsidRPr="0031675F">
        <w:t>of</w:t>
      </w:r>
      <w:r w:rsidRPr="0031675F">
        <w:rPr>
          <w:spacing w:val="3"/>
        </w:rPr>
        <w:t xml:space="preserve"> </w:t>
      </w:r>
      <w:r w:rsidRPr="0031675F">
        <w:rPr>
          <w:spacing w:val="-1"/>
        </w:rPr>
        <w:t>variance</w:t>
      </w:r>
      <w:r w:rsidRPr="0031675F">
        <w:rPr>
          <w:spacing w:val="6"/>
        </w:rPr>
        <w:t xml:space="preserve"> </w:t>
      </w:r>
      <w:r w:rsidRPr="0031675F">
        <w:rPr>
          <w:spacing w:val="-1"/>
        </w:rPr>
        <w:t>between</w:t>
      </w:r>
      <w:r w:rsidRPr="0031675F">
        <w:rPr>
          <w:spacing w:val="3"/>
        </w:rPr>
        <w:t xml:space="preserve"> </w:t>
      </w:r>
      <w:r w:rsidRPr="0031675F">
        <w:rPr>
          <w:spacing w:val="-1"/>
        </w:rPr>
        <w:t>repeated</w:t>
      </w:r>
      <w:r w:rsidRPr="0031675F">
        <w:rPr>
          <w:spacing w:val="5"/>
        </w:rPr>
        <w:t xml:space="preserve"> </w:t>
      </w:r>
      <w:r w:rsidRPr="0031675F">
        <w:rPr>
          <w:spacing w:val="-1"/>
        </w:rPr>
        <w:t>readings</w:t>
      </w:r>
      <w:r w:rsidRPr="0031675F">
        <w:rPr>
          <w:spacing w:val="6"/>
        </w:rPr>
        <w:t xml:space="preserve"> </w:t>
      </w:r>
      <w:r w:rsidRPr="0031675F">
        <w:t>of</w:t>
      </w:r>
      <w:r w:rsidRPr="0031675F">
        <w:rPr>
          <w:spacing w:val="5"/>
        </w:rPr>
        <w:t xml:space="preserve"> </w:t>
      </w:r>
      <w:r w:rsidRPr="0031675F">
        <w:rPr>
          <w:spacing w:val="-1"/>
        </w:rPr>
        <w:t>the</w:t>
      </w:r>
      <w:r w:rsidRPr="0031675F">
        <w:rPr>
          <w:spacing w:val="6"/>
        </w:rPr>
        <w:t xml:space="preserve"> </w:t>
      </w:r>
      <w:r w:rsidRPr="0031675F">
        <w:rPr>
          <w:spacing w:val="-1"/>
        </w:rPr>
        <w:t>secondary</w:t>
      </w:r>
      <w:r w:rsidRPr="0031675F">
        <w:rPr>
          <w:spacing w:val="6"/>
        </w:rPr>
        <w:t xml:space="preserve"> </w:t>
      </w:r>
      <w:r w:rsidRPr="0031675F">
        <w:rPr>
          <w:spacing w:val="-1"/>
        </w:rPr>
        <w:t>solid</w:t>
      </w:r>
      <w:r w:rsidRPr="0031675F">
        <w:rPr>
          <w:spacing w:val="4"/>
        </w:rPr>
        <w:t xml:space="preserve"> </w:t>
      </w:r>
      <w:r w:rsidRPr="0031675F">
        <w:rPr>
          <w:spacing w:val="-1"/>
        </w:rPr>
        <w:t>standard</w:t>
      </w:r>
      <w:r w:rsidRPr="0031675F">
        <w:rPr>
          <w:spacing w:val="51"/>
        </w:rPr>
        <w:t xml:space="preserve"> </w:t>
      </w:r>
      <w:r w:rsidRPr="0031675F">
        <w:rPr>
          <w:spacing w:val="-1"/>
        </w:rPr>
        <w:t>associated</w:t>
      </w:r>
      <w:r w:rsidRPr="0031675F">
        <w:rPr>
          <w:spacing w:val="-3"/>
        </w:rPr>
        <w:t xml:space="preserve"> </w:t>
      </w:r>
      <w:r w:rsidRPr="0031675F">
        <w:t xml:space="preserve">with a </w:t>
      </w:r>
      <w:r w:rsidRPr="0031675F">
        <w:rPr>
          <w:spacing w:val="-1"/>
        </w:rPr>
        <w:t>set</w:t>
      </w:r>
      <w:r w:rsidRPr="0031675F">
        <w:rPr>
          <w:spacing w:val="-2"/>
        </w:rPr>
        <w:t xml:space="preserve"> </w:t>
      </w:r>
      <w:r w:rsidRPr="0031675F">
        <w:t>of</w:t>
      </w:r>
      <w:r w:rsidRPr="0031675F">
        <w:rPr>
          <w:spacing w:val="-2"/>
        </w:rPr>
        <w:t xml:space="preserve"> </w:t>
      </w:r>
      <w:r w:rsidRPr="0031675F">
        <w:rPr>
          <w:spacing w:val="-1"/>
        </w:rPr>
        <w:t xml:space="preserve">samples </w:t>
      </w:r>
      <w:r w:rsidRPr="0031675F">
        <w:t>is</w:t>
      </w:r>
      <w:r w:rsidRPr="0031675F">
        <w:rPr>
          <w:spacing w:val="-2"/>
        </w:rPr>
        <w:t xml:space="preserve"> </w:t>
      </w:r>
      <w:r w:rsidRPr="0031675F">
        <w:rPr>
          <w:spacing w:val="-1"/>
        </w:rPr>
        <w:t>calculated</w:t>
      </w:r>
      <w:r w:rsidRPr="0031675F">
        <w:t xml:space="preserve"> </w:t>
      </w:r>
      <w:r w:rsidRPr="0031675F">
        <w:rPr>
          <w:spacing w:val="-1"/>
        </w:rPr>
        <w:t>to</w:t>
      </w:r>
      <w:r w:rsidRPr="0031675F">
        <w:rPr>
          <w:spacing w:val="1"/>
        </w:rPr>
        <w:t xml:space="preserve"> </w:t>
      </w:r>
      <w:r w:rsidRPr="0031675F">
        <w:rPr>
          <w:spacing w:val="-1"/>
        </w:rPr>
        <w:t>assess</w:t>
      </w:r>
      <w:r w:rsidRPr="0031675F">
        <w:t xml:space="preserve"> </w:t>
      </w:r>
      <w:r w:rsidRPr="0031675F">
        <w:rPr>
          <w:spacing w:val="-1"/>
        </w:rPr>
        <w:t>precision.</w:t>
      </w:r>
    </w:p>
    <w:p w14:paraId="147D4375" w14:textId="77777777" w:rsidR="0031675F" w:rsidRPr="0031675F" w:rsidRDefault="0031675F" w:rsidP="0031675F">
      <w:pPr>
        <w:rPr>
          <w:rFonts w:cs="Calibri"/>
        </w:rPr>
      </w:pPr>
    </w:p>
    <w:p w14:paraId="24919648" w14:textId="77777777" w:rsidR="0031675F" w:rsidRPr="0031675F" w:rsidRDefault="0031675F" w:rsidP="0031675F">
      <w:pPr>
        <w:spacing w:after="120"/>
        <w:jc w:val="both"/>
      </w:pPr>
      <w:r w:rsidRPr="0031675F">
        <w:rPr>
          <w:spacing w:val="-1"/>
          <w:u w:val="single" w:color="000000"/>
        </w:rPr>
        <w:t>Procedural blanks:</w:t>
      </w:r>
    </w:p>
    <w:p w14:paraId="003F0A2C" w14:textId="77777777" w:rsidR="0031675F" w:rsidRPr="0031675F" w:rsidRDefault="0031675F" w:rsidP="0031675F">
      <w:pPr>
        <w:widowControl w:val="0"/>
        <w:numPr>
          <w:ilvl w:val="0"/>
          <w:numId w:val="79"/>
        </w:numPr>
        <w:tabs>
          <w:tab w:val="left" w:pos="839"/>
        </w:tabs>
        <w:spacing w:before="2" w:after="0" w:line="238" w:lineRule="auto"/>
        <w:ind w:right="113"/>
        <w:jc w:val="both"/>
      </w:pPr>
      <w:r w:rsidRPr="0031675F">
        <w:rPr>
          <w:spacing w:val="-1"/>
        </w:rPr>
        <w:t>Filter</w:t>
      </w:r>
      <w:r w:rsidRPr="0031675F">
        <w:rPr>
          <w:spacing w:val="19"/>
        </w:rPr>
        <w:t xml:space="preserve"> </w:t>
      </w:r>
      <w:r w:rsidRPr="0031675F">
        <w:rPr>
          <w:spacing w:val="-1"/>
        </w:rPr>
        <w:t>blanks</w:t>
      </w:r>
      <w:r w:rsidRPr="0031675F">
        <w:rPr>
          <w:spacing w:val="19"/>
        </w:rPr>
        <w:t xml:space="preserve"> </w:t>
      </w:r>
      <w:r w:rsidRPr="0031675F">
        <w:rPr>
          <w:spacing w:val="-1"/>
        </w:rPr>
        <w:t>are</w:t>
      </w:r>
      <w:r w:rsidRPr="0031675F">
        <w:rPr>
          <w:spacing w:val="20"/>
        </w:rPr>
        <w:t xml:space="preserve"> </w:t>
      </w:r>
      <w:r w:rsidRPr="0031675F">
        <w:rPr>
          <w:spacing w:val="-1"/>
        </w:rPr>
        <w:t>run</w:t>
      </w:r>
      <w:r w:rsidRPr="0031675F">
        <w:rPr>
          <w:spacing w:val="18"/>
        </w:rPr>
        <w:t xml:space="preserve"> </w:t>
      </w:r>
      <w:r w:rsidRPr="0031675F">
        <w:t>with</w:t>
      </w:r>
      <w:r w:rsidRPr="0031675F">
        <w:rPr>
          <w:spacing w:val="17"/>
        </w:rPr>
        <w:t xml:space="preserve"> </w:t>
      </w:r>
      <w:r w:rsidRPr="0031675F">
        <w:rPr>
          <w:spacing w:val="-1"/>
        </w:rPr>
        <w:t>every</w:t>
      </w:r>
      <w:r w:rsidRPr="0031675F">
        <w:rPr>
          <w:spacing w:val="20"/>
        </w:rPr>
        <w:t xml:space="preserve"> </w:t>
      </w:r>
      <w:r w:rsidRPr="0031675F">
        <w:rPr>
          <w:spacing w:val="-1"/>
        </w:rPr>
        <w:t>batch</w:t>
      </w:r>
      <w:r w:rsidRPr="0031675F">
        <w:rPr>
          <w:spacing w:val="19"/>
        </w:rPr>
        <w:t xml:space="preserve"> </w:t>
      </w:r>
      <w:r w:rsidRPr="0031675F">
        <w:rPr>
          <w:spacing w:val="-1"/>
        </w:rPr>
        <w:t>(generally</w:t>
      </w:r>
      <w:r w:rsidRPr="0031675F">
        <w:rPr>
          <w:spacing w:val="20"/>
        </w:rPr>
        <w:t xml:space="preserve"> </w:t>
      </w:r>
      <w:r w:rsidRPr="0031675F">
        <w:rPr>
          <w:spacing w:val="-1"/>
        </w:rPr>
        <w:t>daily).</w:t>
      </w:r>
      <w:r w:rsidRPr="0031675F">
        <w:rPr>
          <w:spacing w:val="19"/>
        </w:rPr>
        <w:t xml:space="preserve"> </w:t>
      </w:r>
      <w:r w:rsidRPr="0031675F">
        <w:rPr>
          <w:spacing w:val="-2"/>
        </w:rPr>
        <w:t>These</w:t>
      </w:r>
      <w:r w:rsidRPr="0031675F">
        <w:rPr>
          <w:spacing w:val="20"/>
        </w:rPr>
        <w:t xml:space="preserve"> </w:t>
      </w:r>
      <w:r w:rsidRPr="0031675F">
        <w:rPr>
          <w:spacing w:val="-1"/>
        </w:rPr>
        <w:t>are</w:t>
      </w:r>
      <w:r w:rsidRPr="0031675F">
        <w:rPr>
          <w:spacing w:val="20"/>
        </w:rPr>
        <w:t xml:space="preserve"> </w:t>
      </w:r>
      <w:r w:rsidRPr="0031675F">
        <w:rPr>
          <w:spacing w:val="-1"/>
        </w:rPr>
        <w:t>used</w:t>
      </w:r>
      <w:r w:rsidRPr="0031675F">
        <w:rPr>
          <w:spacing w:val="19"/>
        </w:rPr>
        <w:t xml:space="preserve"> </w:t>
      </w:r>
      <w:r w:rsidRPr="0031675F">
        <w:t>as</w:t>
      </w:r>
      <w:r w:rsidRPr="0031675F">
        <w:rPr>
          <w:spacing w:val="17"/>
        </w:rPr>
        <w:t xml:space="preserve"> </w:t>
      </w:r>
      <w:r w:rsidRPr="0031675F">
        <w:rPr>
          <w:spacing w:val="-1"/>
        </w:rPr>
        <w:t>blank</w:t>
      </w:r>
      <w:r w:rsidRPr="0031675F">
        <w:rPr>
          <w:spacing w:val="20"/>
        </w:rPr>
        <w:t xml:space="preserve"> </w:t>
      </w:r>
      <w:r w:rsidRPr="0031675F">
        <w:rPr>
          <w:spacing w:val="-1"/>
        </w:rPr>
        <w:t>readings</w:t>
      </w:r>
      <w:r w:rsidRPr="0031675F">
        <w:rPr>
          <w:spacing w:val="19"/>
        </w:rPr>
        <w:t xml:space="preserve"> </w:t>
      </w:r>
      <w:r w:rsidRPr="0031675F">
        <w:t>in</w:t>
      </w:r>
      <w:r w:rsidRPr="0031675F">
        <w:rPr>
          <w:spacing w:val="55"/>
        </w:rPr>
        <w:t xml:space="preserve"> </w:t>
      </w:r>
      <w:r w:rsidRPr="0031675F">
        <w:t xml:space="preserve">the </w:t>
      </w:r>
      <w:r w:rsidRPr="0031675F">
        <w:rPr>
          <w:spacing w:val="-1"/>
        </w:rPr>
        <w:t>calculation</w:t>
      </w:r>
      <w:r w:rsidRPr="0031675F">
        <w:rPr>
          <w:spacing w:val="-3"/>
        </w:rPr>
        <w:t xml:space="preserve"> </w:t>
      </w:r>
      <w:r w:rsidRPr="0031675F">
        <w:t xml:space="preserve">of </w:t>
      </w:r>
      <w:r w:rsidRPr="0031675F">
        <w:rPr>
          <w:spacing w:val="-1"/>
        </w:rPr>
        <w:t>analytical</w:t>
      </w:r>
      <w:r w:rsidRPr="0031675F">
        <w:rPr>
          <w:spacing w:val="-3"/>
        </w:rPr>
        <w:t xml:space="preserve"> </w:t>
      </w:r>
      <w:r w:rsidRPr="0031675F">
        <w:rPr>
          <w:spacing w:val="-1"/>
        </w:rPr>
        <w:t>results.</w:t>
      </w:r>
    </w:p>
    <w:p w14:paraId="0D75EE70" w14:textId="77777777" w:rsidR="0031675F" w:rsidRPr="0031675F" w:rsidRDefault="0031675F" w:rsidP="0031675F">
      <w:pPr>
        <w:widowControl w:val="0"/>
        <w:numPr>
          <w:ilvl w:val="0"/>
          <w:numId w:val="79"/>
        </w:numPr>
        <w:tabs>
          <w:tab w:val="left" w:pos="839"/>
        </w:tabs>
        <w:spacing w:before="0" w:after="0" w:line="240" w:lineRule="auto"/>
        <w:ind w:right="112"/>
        <w:jc w:val="both"/>
      </w:pPr>
      <w:r w:rsidRPr="0031675F">
        <w:t>Wet</w:t>
      </w:r>
      <w:r w:rsidRPr="0031675F">
        <w:rPr>
          <w:spacing w:val="40"/>
        </w:rPr>
        <w:t xml:space="preserve"> </w:t>
      </w:r>
      <w:r w:rsidRPr="0031675F">
        <w:rPr>
          <w:spacing w:val="-1"/>
        </w:rPr>
        <w:t>filter</w:t>
      </w:r>
      <w:r w:rsidRPr="0031675F">
        <w:rPr>
          <w:spacing w:val="41"/>
        </w:rPr>
        <w:t xml:space="preserve"> </w:t>
      </w:r>
      <w:r w:rsidRPr="0031675F">
        <w:rPr>
          <w:spacing w:val="-1"/>
        </w:rPr>
        <w:t>blanks</w:t>
      </w:r>
      <w:r w:rsidRPr="0031675F">
        <w:rPr>
          <w:spacing w:val="41"/>
        </w:rPr>
        <w:t xml:space="preserve"> </w:t>
      </w:r>
      <w:r w:rsidRPr="0031675F">
        <w:rPr>
          <w:spacing w:val="-1"/>
        </w:rPr>
        <w:t>(filter</w:t>
      </w:r>
      <w:r w:rsidRPr="0031675F">
        <w:rPr>
          <w:spacing w:val="41"/>
        </w:rPr>
        <w:t xml:space="preserve"> </w:t>
      </w:r>
      <w:r w:rsidRPr="0031675F">
        <w:rPr>
          <w:spacing w:val="-1"/>
        </w:rPr>
        <w:t>placed</w:t>
      </w:r>
      <w:r w:rsidRPr="0031675F">
        <w:rPr>
          <w:spacing w:val="41"/>
        </w:rPr>
        <w:t xml:space="preserve"> </w:t>
      </w:r>
      <w:r w:rsidRPr="0031675F">
        <w:t>on</w:t>
      </w:r>
      <w:r w:rsidRPr="0031675F">
        <w:rPr>
          <w:spacing w:val="43"/>
        </w:rPr>
        <w:t xml:space="preserve"> </w:t>
      </w:r>
      <w:r w:rsidRPr="0031675F">
        <w:rPr>
          <w:spacing w:val="-1"/>
        </w:rPr>
        <w:t>filtration</w:t>
      </w:r>
      <w:r w:rsidRPr="0031675F">
        <w:rPr>
          <w:spacing w:val="40"/>
        </w:rPr>
        <w:t xml:space="preserve"> </w:t>
      </w:r>
      <w:r w:rsidRPr="0031675F">
        <w:rPr>
          <w:spacing w:val="-1"/>
        </w:rPr>
        <w:t>unit</w:t>
      </w:r>
      <w:r w:rsidRPr="0031675F">
        <w:rPr>
          <w:spacing w:val="42"/>
        </w:rPr>
        <w:t xml:space="preserve"> </w:t>
      </w:r>
      <w:r w:rsidRPr="0031675F">
        <w:rPr>
          <w:spacing w:val="-2"/>
        </w:rPr>
        <w:t>and</w:t>
      </w:r>
      <w:r w:rsidRPr="0031675F">
        <w:rPr>
          <w:spacing w:val="43"/>
        </w:rPr>
        <w:t xml:space="preserve"> </w:t>
      </w:r>
      <w:r w:rsidRPr="0031675F">
        <w:rPr>
          <w:spacing w:val="-1"/>
        </w:rPr>
        <w:t>wetted</w:t>
      </w:r>
      <w:r w:rsidRPr="0031675F">
        <w:rPr>
          <w:spacing w:val="40"/>
        </w:rPr>
        <w:t xml:space="preserve"> </w:t>
      </w:r>
      <w:r w:rsidRPr="0031675F">
        <w:t>with</w:t>
      </w:r>
      <w:r w:rsidRPr="0031675F">
        <w:rPr>
          <w:spacing w:val="40"/>
        </w:rPr>
        <w:t xml:space="preserve"> </w:t>
      </w:r>
      <w:r w:rsidRPr="0031675F">
        <w:rPr>
          <w:spacing w:val="-1"/>
        </w:rPr>
        <w:t>filtered</w:t>
      </w:r>
      <w:r w:rsidRPr="0031675F">
        <w:rPr>
          <w:spacing w:val="43"/>
        </w:rPr>
        <w:t xml:space="preserve"> </w:t>
      </w:r>
      <w:r w:rsidRPr="0031675F">
        <w:rPr>
          <w:spacing w:val="-1"/>
        </w:rPr>
        <w:t>seawater,</w:t>
      </w:r>
      <w:r w:rsidRPr="0031675F">
        <w:rPr>
          <w:spacing w:val="41"/>
        </w:rPr>
        <w:t xml:space="preserve"> </w:t>
      </w:r>
      <w:r w:rsidRPr="0031675F">
        <w:t>then</w:t>
      </w:r>
      <w:r w:rsidRPr="0031675F">
        <w:rPr>
          <w:spacing w:val="65"/>
        </w:rPr>
        <w:t xml:space="preserve"> </w:t>
      </w:r>
      <w:r w:rsidRPr="0031675F">
        <w:rPr>
          <w:spacing w:val="-1"/>
        </w:rPr>
        <w:t>further</w:t>
      </w:r>
      <w:r w:rsidRPr="0031675F">
        <w:rPr>
          <w:spacing w:val="39"/>
        </w:rPr>
        <w:t xml:space="preserve"> </w:t>
      </w:r>
      <w:r w:rsidRPr="0031675F">
        <w:rPr>
          <w:spacing w:val="-1"/>
        </w:rPr>
        <w:t>handled</w:t>
      </w:r>
      <w:r w:rsidRPr="0031675F">
        <w:rPr>
          <w:spacing w:val="40"/>
        </w:rPr>
        <w:t xml:space="preserve"> </w:t>
      </w:r>
      <w:r w:rsidRPr="0031675F">
        <w:rPr>
          <w:spacing w:val="-1"/>
        </w:rPr>
        <w:t>like</w:t>
      </w:r>
      <w:r w:rsidRPr="0031675F">
        <w:rPr>
          <w:spacing w:val="42"/>
        </w:rPr>
        <w:t xml:space="preserve"> </w:t>
      </w:r>
      <w:r w:rsidRPr="0031675F">
        <w:rPr>
          <w:spacing w:val="-1"/>
        </w:rPr>
        <w:t>samples)</w:t>
      </w:r>
      <w:r w:rsidRPr="0031675F">
        <w:rPr>
          <w:spacing w:val="40"/>
        </w:rPr>
        <w:t xml:space="preserve"> </w:t>
      </w:r>
      <w:r w:rsidRPr="0031675F">
        <w:rPr>
          <w:spacing w:val="-1"/>
        </w:rPr>
        <w:t>were</w:t>
      </w:r>
      <w:r w:rsidRPr="0031675F">
        <w:rPr>
          <w:spacing w:val="42"/>
        </w:rPr>
        <w:t xml:space="preserve"> </w:t>
      </w:r>
      <w:r w:rsidRPr="0031675F">
        <w:rPr>
          <w:spacing w:val="-1"/>
        </w:rPr>
        <w:t>prepared</w:t>
      </w:r>
      <w:r w:rsidRPr="0031675F">
        <w:rPr>
          <w:spacing w:val="40"/>
        </w:rPr>
        <w:t xml:space="preserve"> </w:t>
      </w:r>
      <w:r w:rsidRPr="0031675F">
        <w:rPr>
          <w:spacing w:val="-1"/>
        </w:rPr>
        <w:t>during</w:t>
      </w:r>
      <w:r w:rsidRPr="0031675F">
        <w:rPr>
          <w:spacing w:val="40"/>
        </w:rPr>
        <w:t xml:space="preserve"> </w:t>
      </w:r>
      <w:r w:rsidRPr="0031675F">
        <w:t>the</w:t>
      </w:r>
      <w:r w:rsidRPr="0031675F">
        <w:rPr>
          <w:spacing w:val="40"/>
        </w:rPr>
        <w:t xml:space="preserve"> </w:t>
      </w:r>
      <w:r w:rsidRPr="0031675F">
        <w:t>on-board</w:t>
      </w:r>
      <w:r w:rsidRPr="0031675F">
        <w:rPr>
          <w:spacing w:val="40"/>
        </w:rPr>
        <w:t xml:space="preserve"> </w:t>
      </w:r>
      <w:r w:rsidRPr="0031675F">
        <w:rPr>
          <w:spacing w:val="-1"/>
        </w:rPr>
        <w:t>sample</w:t>
      </w:r>
      <w:r w:rsidRPr="0031675F">
        <w:rPr>
          <w:spacing w:val="41"/>
        </w:rPr>
        <w:t xml:space="preserve"> </w:t>
      </w:r>
      <w:r w:rsidRPr="0031675F">
        <w:rPr>
          <w:spacing w:val="-1"/>
        </w:rPr>
        <w:t>preparation</w:t>
      </w:r>
      <w:r w:rsidRPr="0031675F">
        <w:rPr>
          <w:spacing w:val="39"/>
        </w:rPr>
        <w:t xml:space="preserve"> </w:t>
      </w:r>
      <w:r w:rsidRPr="0031675F">
        <w:rPr>
          <w:spacing w:val="-1"/>
        </w:rPr>
        <w:t>to</w:t>
      </w:r>
      <w:r w:rsidRPr="0031675F">
        <w:rPr>
          <w:spacing w:val="65"/>
        </w:rPr>
        <w:t xml:space="preserve"> </w:t>
      </w:r>
      <w:r w:rsidRPr="0031675F">
        <w:rPr>
          <w:spacing w:val="-1"/>
        </w:rPr>
        <w:t>measure</w:t>
      </w:r>
      <w:r w:rsidRPr="0031675F">
        <w:t xml:space="preserve"> </w:t>
      </w:r>
      <w:r w:rsidRPr="0031675F">
        <w:rPr>
          <w:spacing w:val="-1"/>
        </w:rPr>
        <w:t>contamination during the</w:t>
      </w:r>
      <w:r w:rsidRPr="0031675F">
        <w:t xml:space="preserve"> </w:t>
      </w:r>
      <w:r w:rsidRPr="0031675F">
        <w:rPr>
          <w:spacing w:val="-1"/>
        </w:rPr>
        <w:t>preparation procedure</w:t>
      </w:r>
    </w:p>
    <w:p w14:paraId="0048F7DD" w14:textId="77777777" w:rsidR="0031675F" w:rsidRPr="0031675F" w:rsidRDefault="0031675F" w:rsidP="0031675F">
      <w:pPr>
        <w:rPr>
          <w:rFonts w:cs="Calibri"/>
        </w:rPr>
      </w:pPr>
    </w:p>
    <w:p w14:paraId="0A598B79" w14:textId="77777777" w:rsidR="0031675F" w:rsidRPr="0031675F" w:rsidRDefault="0031675F" w:rsidP="0031675F">
      <w:pPr>
        <w:spacing w:after="120"/>
        <w:jc w:val="both"/>
      </w:pPr>
      <w:r w:rsidRPr="0031675F">
        <w:rPr>
          <w:spacing w:val="-1"/>
          <w:u w:val="single" w:color="000000"/>
        </w:rPr>
        <w:t>Reproducibility</w:t>
      </w:r>
      <w:r w:rsidRPr="0031675F">
        <w:rPr>
          <w:u w:val="single" w:color="000000"/>
        </w:rPr>
        <w:t xml:space="preserve"> of</w:t>
      </w:r>
      <w:r w:rsidRPr="0031675F">
        <w:rPr>
          <w:spacing w:val="-3"/>
          <w:u w:val="single" w:color="000000"/>
        </w:rPr>
        <w:t xml:space="preserve"> </w:t>
      </w:r>
      <w:r w:rsidRPr="0031675F">
        <w:rPr>
          <w:spacing w:val="-1"/>
          <w:u w:val="single" w:color="000000"/>
        </w:rPr>
        <w:t>duplicate</w:t>
      </w:r>
      <w:r w:rsidRPr="0031675F">
        <w:rPr>
          <w:u w:val="single" w:color="000000"/>
        </w:rPr>
        <w:t xml:space="preserve"> </w:t>
      </w:r>
      <w:r w:rsidRPr="0031675F">
        <w:rPr>
          <w:spacing w:val="-1"/>
          <w:u w:val="single" w:color="000000"/>
        </w:rPr>
        <w:t>analytical units</w:t>
      </w:r>
    </w:p>
    <w:p w14:paraId="284850BF" w14:textId="77777777" w:rsidR="0031675F" w:rsidRPr="0031675F" w:rsidRDefault="0031675F" w:rsidP="0031675F">
      <w:pPr>
        <w:ind w:left="118" w:right="113"/>
        <w:jc w:val="both"/>
        <w:rPr>
          <w:rFonts w:cs="Calibri"/>
        </w:rPr>
      </w:pPr>
      <w:r w:rsidRPr="0031675F">
        <w:rPr>
          <w:i/>
          <w:spacing w:val="-1"/>
        </w:rPr>
        <w:t>NB:</w:t>
      </w:r>
      <w:r w:rsidRPr="0031675F">
        <w:rPr>
          <w:i/>
          <w:spacing w:val="20"/>
        </w:rPr>
        <w:t xml:space="preserve"> </w:t>
      </w:r>
      <w:r w:rsidRPr="0031675F">
        <w:rPr>
          <w:i/>
          <w:spacing w:val="-1"/>
        </w:rPr>
        <w:t>The</w:t>
      </w:r>
      <w:r w:rsidRPr="0031675F">
        <w:rPr>
          <w:i/>
          <w:spacing w:val="19"/>
        </w:rPr>
        <w:t xml:space="preserve"> </w:t>
      </w:r>
      <w:r w:rsidRPr="0031675F">
        <w:rPr>
          <w:i/>
          <w:spacing w:val="-1"/>
        </w:rPr>
        <w:t>variation</w:t>
      </w:r>
      <w:r w:rsidRPr="0031675F">
        <w:rPr>
          <w:i/>
          <w:spacing w:val="18"/>
        </w:rPr>
        <w:t xml:space="preserve"> </w:t>
      </w:r>
      <w:r w:rsidRPr="0031675F">
        <w:rPr>
          <w:i/>
          <w:spacing w:val="-1"/>
        </w:rPr>
        <w:t>between</w:t>
      </w:r>
      <w:r w:rsidRPr="0031675F">
        <w:rPr>
          <w:i/>
          <w:spacing w:val="17"/>
        </w:rPr>
        <w:t xml:space="preserve"> </w:t>
      </w:r>
      <w:r w:rsidRPr="0031675F">
        <w:rPr>
          <w:i/>
          <w:spacing w:val="-1"/>
        </w:rPr>
        <w:t>results</w:t>
      </w:r>
      <w:r w:rsidRPr="0031675F">
        <w:rPr>
          <w:i/>
          <w:spacing w:val="20"/>
        </w:rPr>
        <w:t xml:space="preserve"> </w:t>
      </w:r>
      <w:r w:rsidRPr="0031675F">
        <w:rPr>
          <w:i/>
          <w:spacing w:val="-1"/>
        </w:rPr>
        <w:t>for</w:t>
      </w:r>
      <w:r w:rsidRPr="0031675F">
        <w:rPr>
          <w:i/>
          <w:spacing w:val="17"/>
        </w:rPr>
        <w:t xml:space="preserve"> </w:t>
      </w:r>
      <w:r w:rsidRPr="0031675F">
        <w:rPr>
          <w:i/>
          <w:spacing w:val="-1"/>
        </w:rPr>
        <w:t>sample</w:t>
      </w:r>
      <w:r w:rsidRPr="0031675F">
        <w:rPr>
          <w:i/>
          <w:spacing w:val="19"/>
        </w:rPr>
        <w:t xml:space="preserve"> </w:t>
      </w:r>
      <w:r w:rsidRPr="0031675F">
        <w:rPr>
          <w:i/>
          <w:spacing w:val="-1"/>
        </w:rPr>
        <w:t>duplicates</w:t>
      </w:r>
      <w:r w:rsidRPr="0031675F">
        <w:rPr>
          <w:i/>
          <w:spacing w:val="20"/>
        </w:rPr>
        <w:t xml:space="preserve"> </w:t>
      </w:r>
      <w:r w:rsidRPr="0031675F">
        <w:rPr>
          <w:i/>
          <w:spacing w:val="-1"/>
        </w:rPr>
        <w:t>indicates</w:t>
      </w:r>
      <w:r w:rsidRPr="0031675F">
        <w:rPr>
          <w:i/>
          <w:spacing w:val="18"/>
        </w:rPr>
        <w:t xml:space="preserve"> </w:t>
      </w:r>
      <w:r w:rsidRPr="0031675F">
        <w:rPr>
          <w:i/>
        </w:rPr>
        <w:t>the</w:t>
      </w:r>
      <w:r w:rsidRPr="0031675F">
        <w:rPr>
          <w:i/>
          <w:spacing w:val="19"/>
        </w:rPr>
        <w:t xml:space="preserve"> </w:t>
      </w:r>
      <w:r w:rsidRPr="0031675F">
        <w:rPr>
          <w:i/>
          <w:spacing w:val="-1"/>
        </w:rPr>
        <w:t>reproducibility</w:t>
      </w:r>
      <w:r w:rsidRPr="0031675F">
        <w:rPr>
          <w:i/>
          <w:spacing w:val="19"/>
        </w:rPr>
        <w:t xml:space="preserve"> </w:t>
      </w:r>
      <w:r w:rsidRPr="0031675F">
        <w:rPr>
          <w:i/>
          <w:spacing w:val="-1"/>
        </w:rPr>
        <w:t>of</w:t>
      </w:r>
      <w:r w:rsidRPr="0031675F">
        <w:rPr>
          <w:i/>
          <w:spacing w:val="18"/>
        </w:rPr>
        <w:t xml:space="preserve"> </w:t>
      </w:r>
      <w:r w:rsidRPr="0031675F">
        <w:rPr>
          <w:i/>
          <w:spacing w:val="1"/>
        </w:rPr>
        <w:t>the</w:t>
      </w:r>
      <w:r w:rsidRPr="0031675F">
        <w:rPr>
          <w:i/>
          <w:spacing w:val="19"/>
        </w:rPr>
        <w:t xml:space="preserve"> </w:t>
      </w:r>
      <w:r w:rsidRPr="0031675F">
        <w:rPr>
          <w:i/>
          <w:spacing w:val="-1"/>
        </w:rPr>
        <w:t>analysis</w:t>
      </w:r>
      <w:r w:rsidRPr="0031675F">
        <w:rPr>
          <w:i/>
          <w:spacing w:val="58"/>
        </w:rPr>
        <w:t xml:space="preserve"> </w:t>
      </w:r>
      <w:r w:rsidRPr="0031675F">
        <w:rPr>
          <w:i/>
          <w:spacing w:val="-1"/>
        </w:rPr>
        <w:t>and also</w:t>
      </w:r>
      <w:r w:rsidRPr="0031675F">
        <w:rPr>
          <w:i/>
        </w:rPr>
        <w:t xml:space="preserve"> the effects</w:t>
      </w:r>
      <w:r w:rsidRPr="0031675F">
        <w:rPr>
          <w:i/>
          <w:spacing w:val="-1"/>
        </w:rPr>
        <w:t xml:space="preserve"> of</w:t>
      </w:r>
      <w:r w:rsidRPr="0031675F">
        <w:rPr>
          <w:i/>
        </w:rPr>
        <w:t xml:space="preserve"> </w:t>
      </w:r>
      <w:r w:rsidRPr="0031675F">
        <w:rPr>
          <w:i/>
          <w:spacing w:val="-1"/>
        </w:rPr>
        <w:t>various</w:t>
      </w:r>
      <w:r w:rsidRPr="0031675F">
        <w:rPr>
          <w:i/>
          <w:spacing w:val="1"/>
        </w:rPr>
        <w:t xml:space="preserve"> </w:t>
      </w:r>
      <w:r w:rsidRPr="0031675F">
        <w:rPr>
          <w:i/>
          <w:spacing w:val="-1"/>
        </w:rPr>
        <w:t>sources</w:t>
      </w:r>
      <w:r w:rsidRPr="0031675F">
        <w:rPr>
          <w:i/>
          <w:spacing w:val="1"/>
        </w:rPr>
        <w:t xml:space="preserve"> </w:t>
      </w:r>
      <w:r w:rsidRPr="0031675F">
        <w:rPr>
          <w:i/>
          <w:spacing w:val="-1"/>
        </w:rPr>
        <w:t>of</w:t>
      </w:r>
      <w:r w:rsidRPr="0031675F">
        <w:rPr>
          <w:i/>
        </w:rPr>
        <w:t xml:space="preserve"> </w:t>
      </w:r>
      <w:r w:rsidRPr="0031675F">
        <w:rPr>
          <w:i/>
          <w:spacing w:val="-1"/>
        </w:rPr>
        <w:t>contamination and</w:t>
      </w:r>
      <w:r w:rsidRPr="0031675F">
        <w:rPr>
          <w:i/>
          <w:spacing w:val="1"/>
        </w:rPr>
        <w:t xml:space="preserve"> </w:t>
      </w:r>
      <w:r w:rsidRPr="0031675F">
        <w:rPr>
          <w:i/>
          <w:spacing w:val="-1"/>
        </w:rPr>
        <w:t>analytical</w:t>
      </w:r>
      <w:r w:rsidRPr="0031675F">
        <w:rPr>
          <w:i/>
        </w:rPr>
        <w:t xml:space="preserve"> error</w:t>
      </w:r>
      <w:r w:rsidRPr="0031675F">
        <w:rPr>
          <w:i/>
          <w:spacing w:val="1"/>
        </w:rPr>
        <w:t xml:space="preserve"> </w:t>
      </w:r>
      <w:r w:rsidRPr="0031675F">
        <w:rPr>
          <w:i/>
          <w:spacing w:val="-1"/>
        </w:rPr>
        <w:t>during collection,</w:t>
      </w:r>
      <w:r w:rsidRPr="0031675F">
        <w:rPr>
          <w:i/>
        </w:rPr>
        <w:t xml:space="preserve"> </w:t>
      </w:r>
      <w:r w:rsidRPr="0031675F">
        <w:rPr>
          <w:i/>
          <w:spacing w:val="-1"/>
        </w:rPr>
        <w:t>sample</w:t>
      </w:r>
      <w:r w:rsidRPr="0031675F">
        <w:rPr>
          <w:i/>
          <w:spacing w:val="69"/>
        </w:rPr>
        <w:t xml:space="preserve"> </w:t>
      </w:r>
      <w:r w:rsidRPr="0031675F">
        <w:rPr>
          <w:i/>
          <w:spacing w:val="-1"/>
        </w:rPr>
        <w:t>preparation and analyses.</w:t>
      </w:r>
      <w:r w:rsidRPr="0031675F">
        <w:rPr>
          <w:i/>
          <w:spacing w:val="-5"/>
        </w:rPr>
        <w:t xml:space="preserve"> </w:t>
      </w:r>
      <w:r w:rsidRPr="0031675F">
        <w:rPr>
          <w:i/>
          <w:spacing w:val="-1"/>
        </w:rPr>
        <w:t>Before</w:t>
      </w:r>
      <w:r w:rsidRPr="0031675F">
        <w:rPr>
          <w:i/>
        </w:rPr>
        <w:t xml:space="preserve"> </w:t>
      </w:r>
      <w:r w:rsidRPr="0031675F">
        <w:rPr>
          <w:i/>
          <w:spacing w:val="-1"/>
        </w:rPr>
        <w:t>data</w:t>
      </w:r>
      <w:r w:rsidRPr="0031675F">
        <w:rPr>
          <w:i/>
          <w:spacing w:val="-3"/>
        </w:rPr>
        <w:t xml:space="preserve"> </w:t>
      </w:r>
      <w:r w:rsidRPr="0031675F">
        <w:rPr>
          <w:i/>
          <w:spacing w:val="-1"/>
        </w:rPr>
        <w:t>analysis, results</w:t>
      </w:r>
      <w:r w:rsidRPr="0031675F">
        <w:rPr>
          <w:i/>
          <w:spacing w:val="1"/>
        </w:rPr>
        <w:t xml:space="preserve"> </w:t>
      </w:r>
      <w:r w:rsidRPr="0031675F">
        <w:rPr>
          <w:i/>
          <w:spacing w:val="-1"/>
        </w:rPr>
        <w:t>are</w:t>
      </w:r>
      <w:r w:rsidRPr="0031675F">
        <w:rPr>
          <w:i/>
          <w:spacing w:val="-3"/>
        </w:rPr>
        <w:t xml:space="preserve"> </w:t>
      </w:r>
      <w:r w:rsidRPr="0031675F">
        <w:rPr>
          <w:i/>
          <w:spacing w:val="-1"/>
        </w:rPr>
        <w:t>generally</w:t>
      </w:r>
      <w:r w:rsidRPr="0031675F">
        <w:rPr>
          <w:i/>
        </w:rPr>
        <w:t xml:space="preserve"> </w:t>
      </w:r>
      <w:r w:rsidRPr="0031675F">
        <w:rPr>
          <w:i/>
          <w:spacing w:val="-1"/>
        </w:rPr>
        <w:t>averaged</w:t>
      </w:r>
      <w:r w:rsidRPr="0031675F">
        <w:rPr>
          <w:i/>
        </w:rPr>
        <w:t xml:space="preserve"> </w:t>
      </w:r>
      <w:r w:rsidRPr="0031675F">
        <w:rPr>
          <w:i/>
          <w:spacing w:val="-2"/>
        </w:rPr>
        <w:t>over</w:t>
      </w:r>
      <w:r w:rsidRPr="0031675F">
        <w:rPr>
          <w:i/>
          <w:spacing w:val="1"/>
        </w:rPr>
        <w:t xml:space="preserve"> </w:t>
      </w:r>
      <w:r w:rsidRPr="0031675F">
        <w:rPr>
          <w:i/>
          <w:spacing w:val="-1"/>
        </w:rPr>
        <w:t>duplicates.</w:t>
      </w:r>
    </w:p>
    <w:p w14:paraId="794E74BD" w14:textId="77777777" w:rsidR="0031675F" w:rsidRPr="0031675F" w:rsidRDefault="0031675F" w:rsidP="0031675F">
      <w:pPr>
        <w:widowControl w:val="0"/>
        <w:numPr>
          <w:ilvl w:val="0"/>
          <w:numId w:val="79"/>
        </w:numPr>
        <w:tabs>
          <w:tab w:val="left" w:pos="839"/>
        </w:tabs>
        <w:spacing w:before="1" w:after="0" w:line="239" w:lineRule="auto"/>
        <w:ind w:right="116"/>
        <w:jc w:val="both"/>
      </w:pPr>
      <w:r w:rsidRPr="0031675F">
        <w:rPr>
          <w:spacing w:val="-1"/>
        </w:rPr>
        <w:t>Coefficients</w:t>
      </w:r>
      <w:r w:rsidRPr="0031675F">
        <w:rPr>
          <w:spacing w:val="45"/>
        </w:rPr>
        <w:t xml:space="preserve"> </w:t>
      </w:r>
      <w:r w:rsidRPr="0031675F">
        <w:t>of</w:t>
      </w:r>
      <w:r w:rsidRPr="0031675F">
        <w:rPr>
          <w:spacing w:val="44"/>
        </w:rPr>
        <w:t xml:space="preserve"> </w:t>
      </w:r>
      <w:r w:rsidRPr="0031675F">
        <w:rPr>
          <w:spacing w:val="-1"/>
        </w:rPr>
        <w:t>variance</w:t>
      </w:r>
      <w:r w:rsidRPr="0031675F">
        <w:rPr>
          <w:spacing w:val="45"/>
        </w:rPr>
        <w:t xml:space="preserve"> </w:t>
      </w:r>
      <w:r w:rsidRPr="0031675F">
        <w:t>are</w:t>
      </w:r>
      <w:r w:rsidRPr="0031675F">
        <w:rPr>
          <w:spacing w:val="46"/>
        </w:rPr>
        <w:t xml:space="preserve"> </w:t>
      </w:r>
      <w:r w:rsidRPr="0031675F">
        <w:rPr>
          <w:spacing w:val="-1"/>
        </w:rPr>
        <w:t>calculated</w:t>
      </w:r>
      <w:r w:rsidRPr="0031675F">
        <w:rPr>
          <w:spacing w:val="45"/>
        </w:rPr>
        <w:t xml:space="preserve"> </w:t>
      </w:r>
      <w:r w:rsidRPr="0031675F">
        <w:rPr>
          <w:spacing w:val="-1"/>
        </w:rPr>
        <w:t>from</w:t>
      </w:r>
      <w:r w:rsidRPr="0031675F">
        <w:rPr>
          <w:spacing w:val="1"/>
        </w:rPr>
        <w:t xml:space="preserve"> </w:t>
      </w:r>
      <w:r w:rsidRPr="0031675F">
        <w:rPr>
          <w:spacing w:val="-1"/>
        </w:rPr>
        <w:t>analytical</w:t>
      </w:r>
      <w:r w:rsidRPr="0031675F">
        <w:rPr>
          <w:spacing w:val="46"/>
        </w:rPr>
        <w:t xml:space="preserve"> </w:t>
      </w:r>
      <w:r w:rsidRPr="0031675F">
        <w:rPr>
          <w:spacing w:val="-1"/>
        </w:rPr>
        <w:t>results</w:t>
      </w:r>
      <w:r w:rsidRPr="0031675F">
        <w:rPr>
          <w:spacing w:val="45"/>
        </w:rPr>
        <w:t xml:space="preserve"> </w:t>
      </w:r>
      <w:r w:rsidRPr="0031675F">
        <w:t>of</w:t>
      </w:r>
      <w:r w:rsidRPr="0031675F">
        <w:rPr>
          <w:spacing w:val="45"/>
        </w:rPr>
        <w:t xml:space="preserve"> </w:t>
      </w:r>
      <w:r w:rsidRPr="0031675F">
        <w:rPr>
          <w:spacing w:val="-1"/>
        </w:rPr>
        <w:t>sample</w:t>
      </w:r>
      <w:r w:rsidRPr="0031675F">
        <w:rPr>
          <w:spacing w:val="45"/>
        </w:rPr>
        <w:t xml:space="preserve"> </w:t>
      </w:r>
      <w:r w:rsidRPr="0031675F">
        <w:rPr>
          <w:spacing w:val="-1"/>
        </w:rPr>
        <w:t>duplicates.</w:t>
      </w:r>
      <w:r w:rsidRPr="0031675F">
        <w:rPr>
          <w:spacing w:val="80"/>
        </w:rPr>
        <w:t xml:space="preserve"> </w:t>
      </w:r>
      <w:r w:rsidRPr="0031675F">
        <w:rPr>
          <w:spacing w:val="-1"/>
        </w:rPr>
        <w:t>Duplicates</w:t>
      </w:r>
      <w:r w:rsidRPr="0031675F">
        <w:rPr>
          <w:spacing w:val="35"/>
        </w:rPr>
        <w:t xml:space="preserve"> </w:t>
      </w:r>
      <w:r w:rsidRPr="0031675F">
        <w:t>with</w:t>
      </w:r>
      <w:r w:rsidRPr="0031675F">
        <w:rPr>
          <w:spacing w:val="38"/>
        </w:rPr>
        <w:t xml:space="preserve"> </w:t>
      </w:r>
      <w:r w:rsidRPr="0031675F">
        <w:rPr>
          <w:spacing w:val="-1"/>
        </w:rPr>
        <w:t>CV&gt;30%</w:t>
      </w:r>
      <w:r w:rsidRPr="0031675F">
        <w:rPr>
          <w:spacing w:val="39"/>
        </w:rPr>
        <w:t xml:space="preserve"> </w:t>
      </w:r>
      <w:r w:rsidRPr="0031675F">
        <w:rPr>
          <w:spacing w:val="-1"/>
        </w:rPr>
        <w:t>are</w:t>
      </w:r>
      <w:r w:rsidRPr="0031675F">
        <w:rPr>
          <w:spacing w:val="38"/>
        </w:rPr>
        <w:t xml:space="preserve"> </w:t>
      </w:r>
      <w:r w:rsidRPr="0031675F">
        <w:rPr>
          <w:spacing w:val="-1"/>
        </w:rPr>
        <w:t>discarded</w:t>
      </w:r>
      <w:r w:rsidRPr="0031675F">
        <w:rPr>
          <w:spacing w:val="38"/>
        </w:rPr>
        <w:t xml:space="preserve"> </w:t>
      </w:r>
      <w:r w:rsidRPr="0031675F">
        <w:rPr>
          <w:spacing w:val="-1"/>
        </w:rPr>
        <w:t>from</w:t>
      </w:r>
      <w:r w:rsidRPr="0031675F">
        <w:rPr>
          <w:spacing w:val="40"/>
        </w:rPr>
        <w:t xml:space="preserve"> </w:t>
      </w:r>
      <w:r w:rsidRPr="0031675F">
        <w:t>the</w:t>
      </w:r>
      <w:r w:rsidRPr="0031675F">
        <w:rPr>
          <w:spacing w:val="39"/>
        </w:rPr>
        <w:t xml:space="preserve"> </w:t>
      </w:r>
      <w:r w:rsidRPr="0031675F">
        <w:rPr>
          <w:spacing w:val="-1"/>
        </w:rPr>
        <w:t>analysis</w:t>
      </w:r>
      <w:r w:rsidRPr="0031675F">
        <w:rPr>
          <w:spacing w:val="38"/>
        </w:rPr>
        <w:t xml:space="preserve"> </w:t>
      </w:r>
      <w:r w:rsidRPr="0031675F">
        <w:rPr>
          <w:spacing w:val="-1"/>
        </w:rPr>
        <w:t>and</w:t>
      </w:r>
      <w:r w:rsidRPr="0031675F">
        <w:rPr>
          <w:spacing w:val="38"/>
        </w:rPr>
        <w:t xml:space="preserve"> </w:t>
      </w:r>
      <w:r w:rsidRPr="0031675F">
        <w:t>the</w:t>
      </w:r>
      <w:r w:rsidRPr="0031675F">
        <w:rPr>
          <w:spacing w:val="39"/>
        </w:rPr>
        <w:t xml:space="preserve"> </w:t>
      </w:r>
      <w:r w:rsidRPr="0031675F">
        <w:rPr>
          <w:spacing w:val="-1"/>
        </w:rPr>
        <w:t>analysis</w:t>
      </w:r>
      <w:r w:rsidRPr="0031675F">
        <w:rPr>
          <w:spacing w:val="38"/>
        </w:rPr>
        <w:t xml:space="preserve"> </w:t>
      </w:r>
      <w:r w:rsidRPr="0031675F">
        <w:rPr>
          <w:spacing w:val="-1"/>
        </w:rPr>
        <w:t>repeated</w:t>
      </w:r>
      <w:r w:rsidRPr="0031675F">
        <w:rPr>
          <w:spacing w:val="38"/>
        </w:rPr>
        <w:t xml:space="preserve"> </w:t>
      </w:r>
      <w:r w:rsidRPr="0031675F">
        <w:rPr>
          <w:spacing w:val="-1"/>
        </w:rPr>
        <w:t>using</w:t>
      </w:r>
      <w:r w:rsidRPr="0031675F">
        <w:rPr>
          <w:spacing w:val="63"/>
        </w:rPr>
        <w:t xml:space="preserve"> </w:t>
      </w:r>
      <w:r w:rsidRPr="0031675F">
        <w:t xml:space="preserve">extra </w:t>
      </w:r>
      <w:r w:rsidRPr="0031675F">
        <w:rPr>
          <w:spacing w:val="-1"/>
        </w:rPr>
        <w:t>duplicates</w:t>
      </w:r>
      <w:r w:rsidRPr="0031675F">
        <w:rPr>
          <w:spacing w:val="-2"/>
        </w:rPr>
        <w:t xml:space="preserve"> </w:t>
      </w:r>
      <w:r w:rsidRPr="0031675F">
        <w:t xml:space="preserve">that </w:t>
      </w:r>
      <w:r w:rsidRPr="0031675F">
        <w:rPr>
          <w:spacing w:val="-1"/>
        </w:rPr>
        <w:t>are</w:t>
      </w:r>
      <w:r w:rsidRPr="0031675F">
        <w:t xml:space="preserve"> </w:t>
      </w:r>
      <w:r w:rsidRPr="0031675F">
        <w:rPr>
          <w:spacing w:val="-1"/>
        </w:rPr>
        <w:t>generally</w:t>
      </w:r>
      <w:r w:rsidRPr="0031675F">
        <w:t xml:space="preserve"> </w:t>
      </w:r>
      <w:r w:rsidRPr="0031675F">
        <w:rPr>
          <w:spacing w:val="-1"/>
        </w:rPr>
        <w:t>collected as</w:t>
      </w:r>
      <w:r w:rsidRPr="0031675F">
        <w:t xml:space="preserve"> a </w:t>
      </w:r>
      <w:r w:rsidRPr="0031675F">
        <w:rPr>
          <w:spacing w:val="-1"/>
        </w:rPr>
        <w:t>back</w:t>
      </w:r>
      <w:r w:rsidRPr="0031675F">
        <w:rPr>
          <w:spacing w:val="-2"/>
        </w:rPr>
        <w:t xml:space="preserve"> </w:t>
      </w:r>
      <w:r w:rsidRPr="0031675F">
        <w:rPr>
          <w:spacing w:val="-1"/>
        </w:rPr>
        <w:t>up.</w:t>
      </w:r>
    </w:p>
    <w:p w14:paraId="51E17716" w14:textId="77777777" w:rsidR="0031675F" w:rsidRPr="0031675F" w:rsidRDefault="0031675F" w:rsidP="0031675F">
      <w:pPr>
        <w:spacing w:before="1"/>
        <w:rPr>
          <w:rFonts w:cs="Calibri"/>
        </w:rPr>
      </w:pPr>
    </w:p>
    <w:p w14:paraId="51A26DB8" w14:textId="77777777" w:rsidR="0031675F" w:rsidRPr="0031675F" w:rsidRDefault="0031675F" w:rsidP="0031675F">
      <w:pPr>
        <w:spacing w:after="120"/>
        <w:jc w:val="both"/>
      </w:pPr>
      <w:r w:rsidRPr="0031675F">
        <w:rPr>
          <w:spacing w:val="-1"/>
          <w:u w:val="single" w:color="000000"/>
        </w:rPr>
        <w:t>Other</w:t>
      </w:r>
    </w:p>
    <w:p w14:paraId="5F5806CE" w14:textId="77777777" w:rsidR="0031675F" w:rsidRPr="0031675F" w:rsidRDefault="0031675F" w:rsidP="0031675F">
      <w:pPr>
        <w:widowControl w:val="0"/>
        <w:numPr>
          <w:ilvl w:val="0"/>
          <w:numId w:val="79"/>
        </w:numPr>
        <w:tabs>
          <w:tab w:val="left" w:pos="839"/>
        </w:tabs>
        <w:spacing w:before="0" w:after="0" w:line="240" w:lineRule="auto"/>
        <w:ind w:right="114"/>
        <w:jc w:val="both"/>
      </w:pPr>
      <w:r w:rsidRPr="0031675F">
        <w:rPr>
          <w:spacing w:val="-1"/>
        </w:rPr>
        <w:t>Inter-calibration</w:t>
      </w:r>
      <w:r w:rsidRPr="0031675F">
        <w:rPr>
          <w:spacing w:val="25"/>
        </w:rPr>
        <w:t xml:space="preserve"> </w:t>
      </w:r>
      <w:r w:rsidRPr="0031675F">
        <w:t>of</w:t>
      </w:r>
      <w:r w:rsidRPr="0031675F">
        <w:rPr>
          <w:spacing w:val="26"/>
        </w:rPr>
        <w:t xml:space="preserve"> </w:t>
      </w:r>
      <w:r w:rsidRPr="0031675F">
        <w:rPr>
          <w:spacing w:val="-1"/>
        </w:rPr>
        <w:t>this</w:t>
      </w:r>
      <w:r w:rsidRPr="0031675F">
        <w:rPr>
          <w:spacing w:val="27"/>
        </w:rPr>
        <w:t xml:space="preserve"> </w:t>
      </w:r>
      <w:r w:rsidRPr="0031675F">
        <w:rPr>
          <w:spacing w:val="-1"/>
        </w:rPr>
        <w:t>method</w:t>
      </w:r>
      <w:r w:rsidRPr="0031675F">
        <w:rPr>
          <w:spacing w:val="25"/>
        </w:rPr>
        <w:t xml:space="preserve"> </w:t>
      </w:r>
      <w:r w:rsidRPr="0031675F">
        <w:rPr>
          <w:spacing w:val="-1"/>
        </w:rPr>
        <w:t>with</w:t>
      </w:r>
      <w:r w:rsidRPr="0031675F">
        <w:rPr>
          <w:spacing w:val="26"/>
        </w:rPr>
        <w:t xml:space="preserve"> </w:t>
      </w:r>
      <w:r w:rsidRPr="0031675F">
        <w:t>the</w:t>
      </w:r>
      <w:r w:rsidRPr="0031675F">
        <w:rPr>
          <w:spacing w:val="27"/>
        </w:rPr>
        <w:t xml:space="preserve"> </w:t>
      </w:r>
      <w:r w:rsidRPr="0031675F">
        <w:rPr>
          <w:spacing w:val="-1"/>
        </w:rPr>
        <w:t>HPLC</w:t>
      </w:r>
      <w:r w:rsidRPr="0031675F">
        <w:rPr>
          <w:spacing w:val="26"/>
        </w:rPr>
        <w:t xml:space="preserve"> </w:t>
      </w:r>
      <w:r w:rsidRPr="0031675F">
        <w:rPr>
          <w:spacing w:val="-1"/>
        </w:rPr>
        <w:t>method</w:t>
      </w:r>
      <w:r w:rsidRPr="0031675F">
        <w:rPr>
          <w:spacing w:val="25"/>
        </w:rPr>
        <w:t xml:space="preserve"> </w:t>
      </w:r>
      <w:r w:rsidRPr="0031675F">
        <w:rPr>
          <w:spacing w:val="-1"/>
        </w:rPr>
        <w:t>used</w:t>
      </w:r>
      <w:r w:rsidRPr="0031675F">
        <w:rPr>
          <w:spacing w:val="27"/>
        </w:rPr>
        <w:t xml:space="preserve"> </w:t>
      </w:r>
      <w:r w:rsidRPr="0031675F">
        <w:rPr>
          <w:spacing w:val="-1"/>
        </w:rPr>
        <w:t>by</w:t>
      </w:r>
      <w:r w:rsidRPr="0031675F">
        <w:rPr>
          <w:spacing w:val="27"/>
        </w:rPr>
        <w:t xml:space="preserve"> </w:t>
      </w:r>
      <w:r w:rsidRPr="0031675F">
        <w:rPr>
          <w:spacing w:val="-1"/>
        </w:rPr>
        <w:t>AIMS</w:t>
      </w:r>
      <w:r w:rsidRPr="0031675F">
        <w:rPr>
          <w:spacing w:val="25"/>
        </w:rPr>
        <w:t xml:space="preserve"> </w:t>
      </w:r>
      <w:r w:rsidRPr="0031675F">
        <w:rPr>
          <w:spacing w:val="-1"/>
        </w:rPr>
        <w:t>laboratories</w:t>
      </w:r>
      <w:r w:rsidRPr="0031675F">
        <w:rPr>
          <w:spacing w:val="26"/>
        </w:rPr>
        <w:t xml:space="preserve"> </w:t>
      </w:r>
      <w:r w:rsidRPr="0031675F">
        <w:rPr>
          <w:spacing w:val="-1"/>
        </w:rPr>
        <w:t>showed</w:t>
      </w:r>
      <w:r w:rsidRPr="0031675F">
        <w:rPr>
          <w:spacing w:val="71"/>
        </w:rPr>
        <w:t xml:space="preserve"> </w:t>
      </w:r>
      <w:r w:rsidRPr="0031675F">
        <w:rPr>
          <w:spacing w:val="-1"/>
        </w:rPr>
        <w:t>agreement</w:t>
      </w:r>
      <w:r w:rsidRPr="0031675F">
        <w:rPr>
          <w:spacing w:val="-2"/>
        </w:rPr>
        <w:t xml:space="preserve"> </w:t>
      </w:r>
      <w:r w:rsidRPr="0031675F">
        <w:t>of</w:t>
      </w:r>
      <w:r w:rsidRPr="0031675F">
        <w:rPr>
          <w:spacing w:val="-2"/>
        </w:rPr>
        <w:t xml:space="preserve"> </w:t>
      </w:r>
      <w:r w:rsidRPr="0031675F">
        <w:t>+/-</w:t>
      </w:r>
      <w:r w:rsidRPr="0031675F">
        <w:rPr>
          <w:spacing w:val="-2"/>
        </w:rPr>
        <w:t xml:space="preserve"> </w:t>
      </w:r>
      <w:r w:rsidRPr="0031675F">
        <w:rPr>
          <w:spacing w:val="-1"/>
        </w:rPr>
        <w:t>%10.</w:t>
      </w:r>
    </w:p>
    <w:p w14:paraId="4F09FA4E" w14:textId="77777777" w:rsidR="0031675F" w:rsidRPr="0031675F" w:rsidRDefault="0031675F" w:rsidP="0031675F">
      <w:pPr>
        <w:widowControl w:val="0"/>
        <w:numPr>
          <w:ilvl w:val="0"/>
          <w:numId w:val="79"/>
        </w:numPr>
        <w:tabs>
          <w:tab w:val="left" w:pos="839"/>
        </w:tabs>
        <w:spacing w:before="1" w:after="0" w:line="240" w:lineRule="auto"/>
        <w:ind w:right="116"/>
        <w:jc w:val="both"/>
      </w:pPr>
      <w:r w:rsidRPr="0031675F">
        <w:rPr>
          <w:spacing w:val="-1"/>
        </w:rPr>
        <w:t>The</w:t>
      </w:r>
      <w:r w:rsidRPr="0031675F">
        <w:rPr>
          <w:spacing w:val="18"/>
        </w:rPr>
        <w:t xml:space="preserve"> </w:t>
      </w:r>
      <w:r w:rsidRPr="0031675F">
        <w:rPr>
          <w:spacing w:val="-1"/>
        </w:rPr>
        <w:t>linear</w:t>
      </w:r>
      <w:r w:rsidRPr="0031675F">
        <w:rPr>
          <w:spacing w:val="17"/>
        </w:rPr>
        <w:t xml:space="preserve"> </w:t>
      </w:r>
      <w:r w:rsidRPr="0031675F">
        <w:rPr>
          <w:spacing w:val="-1"/>
        </w:rPr>
        <w:t>range</w:t>
      </w:r>
      <w:r w:rsidRPr="0031675F">
        <w:rPr>
          <w:spacing w:val="16"/>
        </w:rPr>
        <w:t xml:space="preserve"> </w:t>
      </w:r>
      <w:r w:rsidRPr="0031675F">
        <w:t>of</w:t>
      </w:r>
      <w:r w:rsidRPr="0031675F">
        <w:rPr>
          <w:spacing w:val="17"/>
        </w:rPr>
        <w:t xml:space="preserve"> </w:t>
      </w:r>
      <w:r w:rsidRPr="0031675F">
        <w:rPr>
          <w:spacing w:val="-1"/>
        </w:rPr>
        <w:t>this</w:t>
      </w:r>
      <w:r w:rsidRPr="0031675F">
        <w:rPr>
          <w:spacing w:val="15"/>
        </w:rPr>
        <w:t xml:space="preserve"> </w:t>
      </w:r>
      <w:r w:rsidRPr="0031675F">
        <w:rPr>
          <w:spacing w:val="-1"/>
        </w:rPr>
        <w:t>method</w:t>
      </w:r>
      <w:r w:rsidRPr="0031675F">
        <w:rPr>
          <w:spacing w:val="17"/>
        </w:rPr>
        <w:t xml:space="preserve"> </w:t>
      </w:r>
      <w:r w:rsidRPr="0031675F">
        <w:rPr>
          <w:spacing w:val="-1"/>
        </w:rPr>
        <w:t>was</w:t>
      </w:r>
      <w:r w:rsidRPr="0031675F">
        <w:rPr>
          <w:spacing w:val="18"/>
        </w:rPr>
        <w:t xml:space="preserve"> </w:t>
      </w:r>
      <w:r w:rsidRPr="0031675F">
        <w:rPr>
          <w:spacing w:val="-1"/>
        </w:rPr>
        <w:t>established</w:t>
      </w:r>
      <w:r w:rsidRPr="0031675F">
        <w:rPr>
          <w:spacing w:val="14"/>
        </w:rPr>
        <w:t xml:space="preserve"> </w:t>
      </w:r>
      <w:r w:rsidRPr="0031675F">
        <w:rPr>
          <w:spacing w:val="-1"/>
        </w:rPr>
        <w:t>utilising</w:t>
      </w:r>
      <w:r w:rsidRPr="0031675F">
        <w:rPr>
          <w:spacing w:val="17"/>
        </w:rPr>
        <w:t xml:space="preserve"> </w:t>
      </w:r>
      <w:r w:rsidRPr="0031675F">
        <w:rPr>
          <w:spacing w:val="-1"/>
        </w:rPr>
        <w:t>increasing</w:t>
      </w:r>
      <w:r w:rsidRPr="0031675F">
        <w:rPr>
          <w:spacing w:val="17"/>
        </w:rPr>
        <w:t xml:space="preserve"> </w:t>
      </w:r>
      <w:r w:rsidRPr="0031675F">
        <w:rPr>
          <w:spacing w:val="-1"/>
        </w:rPr>
        <w:t>concentrations</w:t>
      </w:r>
      <w:r w:rsidRPr="0031675F">
        <w:rPr>
          <w:spacing w:val="15"/>
        </w:rPr>
        <w:t xml:space="preserve"> </w:t>
      </w:r>
      <w:r w:rsidRPr="0031675F">
        <w:t>of</w:t>
      </w:r>
      <w:r w:rsidRPr="0031675F">
        <w:rPr>
          <w:spacing w:val="77"/>
        </w:rPr>
        <w:t xml:space="preserve"> </w:t>
      </w:r>
      <w:r w:rsidRPr="0031675F">
        <w:rPr>
          <w:spacing w:val="-1"/>
        </w:rPr>
        <w:t>primary</w:t>
      </w:r>
      <w:r w:rsidRPr="0031675F">
        <w:rPr>
          <w:spacing w:val="-2"/>
        </w:rPr>
        <w:t xml:space="preserve"> </w:t>
      </w:r>
      <w:r w:rsidRPr="0031675F">
        <w:rPr>
          <w:spacing w:val="-1"/>
        </w:rPr>
        <w:t>standard.</w:t>
      </w:r>
      <w:r w:rsidRPr="0031675F">
        <w:t xml:space="preserve"> </w:t>
      </w:r>
      <w:r w:rsidRPr="0031675F">
        <w:rPr>
          <w:spacing w:val="-1"/>
        </w:rPr>
        <w:t>Samples</w:t>
      </w:r>
      <w:r w:rsidRPr="0031675F">
        <w:rPr>
          <w:spacing w:val="-2"/>
        </w:rPr>
        <w:t xml:space="preserve"> </w:t>
      </w:r>
      <w:r w:rsidRPr="0031675F">
        <w:t xml:space="preserve">are </w:t>
      </w:r>
      <w:r w:rsidRPr="0031675F">
        <w:rPr>
          <w:spacing w:val="-1"/>
        </w:rPr>
        <w:t xml:space="preserve">diluted </w:t>
      </w:r>
      <w:r w:rsidRPr="0031675F">
        <w:t>if</w:t>
      </w:r>
      <w:r w:rsidRPr="0031675F">
        <w:rPr>
          <w:spacing w:val="-2"/>
        </w:rPr>
        <w:t xml:space="preserve"> </w:t>
      </w:r>
      <w:r w:rsidRPr="0031675F">
        <w:rPr>
          <w:spacing w:val="-1"/>
        </w:rPr>
        <w:t>above</w:t>
      </w:r>
      <w:r w:rsidRPr="0031675F">
        <w:rPr>
          <w:spacing w:val="-2"/>
        </w:rPr>
        <w:t xml:space="preserve"> </w:t>
      </w:r>
      <w:r w:rsidRPr="0031675F">
        <w:rPr>
          <w:spacing w:val="-1"/>
        </w:rPr>
        <w:t>this</w:t>
      </w:r>
      <w:r w:rsidRPr="0031675F">
        <w:t xml:space="preserve"> </w:t>
      </w:r>
      <w:r w:rsidRPr="0031675F">
        <w:rPr>
          <w:spacing w:val="-1"/>
        </w:rPr>
        <w:t>range.</w:t>
      </w:r>
    </w:p>
    <w:p w14:paraId="4CD46AA3" w14:textId="77777777" w:rsidR="0031675F" w:rsidRPr="0031675F" w:rsidRDefault="0031675F" w:rsidP="0031675F">
      <w:pPr>
        <w:widowControl w:val="0"/>
        <w:numPr>
          <w:ilvl w:val="0"/>
          <w:numId w:val="79"/>
        </w:numPr>
        <w:tabs>
          <w:tab w:val="left" w:pos="839"/>
        </w:tabs>
        <w:spacing w:before="0" w:after="0" w:line="240" w:lineRule="auto"/>
      </w:pPr>
      <w:r w:rsidRPr="0031675F">
        <w:rPr>
          <w:spacing w:val="-1"/>
        </w:rPr>
        <w:t>Calibrations</w:t>
      </w:r>
      <w:r w:rsidRPr="0031675F">
        <w:t xml:space="preserve"> </w:t>
      </w:r>
      <w:r w:rsidRPr="0031675F">
        <w:rPr>
          <w:spacing w:val="-1"/>
        </w:rPr>
        <w:t>cross</w:t>
      </w:r>
      <w:r w:rsidRPr="0031675F">
        <w:rPr>
          <w:spacing w:val="-3"/>
        </w:rPr>
        <w:t xml:space="preserve"> </w:t>
      </w:r>
      <w:r w:rsidRPr="0031675F">
        <w:rPr>
          <w:spacing w:val="-1"/>
        </w:rPr>
        <w:t>referenced</w:t>
      </w:r>
      <w:r w:rsidRPr="0031675F">
        <w:t xml:space="preserve"> </w:t>
      </w:r>
      <w:r w:rsidRPr="0031675F">
        <w:rPr>
          <w:spacing w:val="-1"/>
        </w:rPr>
        <w:t>by</w:t>
      </w:r>
      <w:r w:rsidRPr="0031675F">
        <w:rPr>
          <w:spacing w:val="1"/>
        </w:rPr>
        <w:t xml:space="preserve"> </w:t>
      </w:r>
      <w:r w:rsidRPr="0031675F">
        <w:rPr>
          <w:spacing w:val="-1"/>
        </w:rPr>
        <w:t>computer</w:t>
      </w:r>
      <w:r w:rsidRPr="0031675F">
        <w:rPr>
          <w:spacing w:val="-2"/>
        </w:rPr>
        <w:t xml:space="preserve"> </w:t>
      </w:r>
      <w:r w:rsidRPr="0031675F">
        <w:t>to</w:t>
      </w:r>
      <w:r w:rsidRPr="0031675F">
        <w:rPr>
          <w:spacing w:val="-1"/>
        </w:rPr>
        <w:t xml:space="preserve"> analysis</w:t>
      </w:r>
      <w:r w:rsidRPr="0031675F">
        <w:rPr>
          <w:spacing w:val="-5"/>
        </w:rPr>
        <w:t xml:space="preserve"> </w:t>
      </w:r>
      <w:r w:rsidRPr="0031675F">
        <w:rPr>
          <w:spacing w:val="-1"/>
        </w:rPr>
        <w:t>date.</w:t>
      </w:r>
    </w:p>
    <w:p w14:paraId="0C0BC310" w14:textId="77777777" w:rsidR="0031675F" w:rsidRPr="0031675F" w:rsidRDefault="0031675F" w:rsidP="0031675F">
      <w:pPr>
        <w:widowControl w:val="0"/>
        <w:numPr>
          <w:ilvl w:val="0"/>
          <w:numId w:val="79"/>
        </w:numPr>
        <w:tabs>
          <w:tab w:val="left" w:pos="839"/>
        </w:tabs>
        <w:spacing w:before="2" w:after="0" w:line="238" w:lineRule="auto"/>
        <w:ind w:right="111"/>
        <w:jc w:val="both"/>
        <w:rPr>
          <w:rFonts w:cs="Calibri"/>
          <w:sz w:val="20"/>
          <w:szCs w:val="20"/>
        </w:rPr>
      </w:pPr>
      <w:r w:rsidRPr="0031675F">
        <w:rPr>
          <w:spacing w:val="-1"/>
        </w:rPr>
        <w:t>External</w:t>
      </w:r>
      <w:r w:rsidRPr="0031675F">
        <w:rPr>
          <w:spacing w:val="8"/>
        </w:rPr>
        <w:t xml:space="preserve"> </w:t>
      </w:r>
      <w:r w:rsidRPr="0031675F">
        <w:rPr>
          <w:spacing w:val="-1"/>
        </w:rPr>
        <w:t>calibration</w:t>
      </w:r>
      <w:r w:rsidRPr="0031675F">
        <w:rPr>
          <w:spacing w:val="7"/>
        </w:rPr>
        <w:t xml:space="preserve"> </w:t>
      </w:r>
      <w:r w:rsidRPr="0031675F">
        <w:rPr>
          <w:spacing w:val="-1"/>
        </w:rPr>
        <w:t>run</w:t>
      </w:r>
      <w:r w:rsidRPr="0031675F">
        <w:rPr>
          <w:spacing w:val="7"/>
        </w:rPr>
        <w:t xml:space="preserve"> </w:t>
      </w:r>
      <w:r w:rsidRPr="0031675F">
        <w:rPr>
          <w:spacing w:val="-1"/>
        </w:rPr>
        <w:t>periodically</w:t>
      </w:r>
      <w:r w:rsidRPr="0031675F">
        <w:rPr>
          <w:spacing w:val="10"/>
        </w:rPr>
        <w:t xml:space="preserve"> </w:t>
      </w:r>
      <w:r w:rsidRPr="0031675F">
        <w:t>or</w:t>
      </w:r>
      <w:r w:rsidRPr="0031675F">
        <w:rPr>
          <w:spacing w:val="8"/>
        </w:rPr>
        <w:t xml:space="preserve"> </w:t>
      </w:r>
      <w:r w:rsidRPr="0031675F">
        <w:t>if</w:t>
      </w:r>
      <w:r w:rsidRPr="0031675F">
        <w:rPr>
          <w:spacing w:val="7"/>
        </w:rPr>
        <w:t xml:space="preserve"> </w:t>
      </w:r>
      <w:r w:rsidRPr="0031675F">
        <w:rPr>
          <w:spacing w:val="-1"/>
        </w:rPr>
        <w:t>solid</w:t>
      </w:r>
      <w:r w:rsidRPr="0031675F">
        <w:rPr>
          <w:spacing w:val="7"/>
        </w:rPr>
        <w:t xml:space="preserve"> </w:t>
      </w:r>
      <w:r w:rsidRPr="0031675F">
        <w:rPr>
          <w:spacing w:val="-1"/>
        </w:rPr>
        <w:t>standard</w:t>
      </w:r>
      <w:r w:rsidRPr="0031675F">
        <w:rPr>
          <w:spacing w:val="7"/>
        </w:rPr>
        <w:t xml:space="preserve"> </w:t>
      </w:r>
      <w:r w:rsidRPr="0031675F">
        <w:rPr>
          <w:spacing w:val="-1"/>
        </w:rPr>
        <w:t>standard</w:t>
      </w:r>
      <w:r w:rsidRPr="0031675F">
        <w:rPr>
          <w:spacing w:val="8"/>
        </w:rPr>
        <w:t xml:space="preserve"> </w:t>
      </w:r>
      <w:r w:rsidRPr="0031675F">
        <w:rPr>
          <w:spacing w:val="-1"/>
        </w:rPr>
        <w:t>detects</w:t>
      </w:r>
      <w:r w:rsidRPr="0031675F">
        <w:rPr>
          <w:spacing w:val="8"/>
        </w:rPr>
        <w:t xml:space="preserve"> </w:t>
      </w:r>
      <w:r w:rsidRPr="0031675F">
        <w:rPr>
          <w:spacing w:val="-1"/>
        </w:rPr>
        <w:t>machine</w:t>
      </w:r>
      <w:r w:rsidRPr="0031675F">
        <w:rPr>
          <w:spacing w:val="8"/>
        </w:rPr>
        <w:t xml:space="preserve"> </w:t>
      </w:r>
      <w:r w:rsidRPr="0031675F">
        <w:rPr>
          <w:spacing w:val="-1"/>
        </w:rPr>
        <w:t>drift</w:t>
      </w:r>
      <w:r w:rsidRPr="0031675F">
        <w:rPr>
          <w:spacing w:val="85"/>
        </w:rPr>
        <w:t xml:space="preserve"> </w:t>
      </w:r>
      <w:r w:rsidRPr="0031675F">
        <w:rPr>
          <w:spacing w:val="-1"/>
        </w:rPr>
        <w:t>greater</w:t>
      </w:r>
      <w:r w:rsidRPr="0031675F">
        <w:rPr>
          <w:spacing w:val="-2"/>
        </w:rPr>
        <w:t xml:space="preserve"> </w:t>
      </w:r>
      <w:r w:rsidRPr="0031675F">
        <w:t>than</w:t>
      </w:r>
      <w:r w:rsidRPr="0031675F">
        <w:rPr>
          <w:spacing w:val="-2"/>
        </w:rPr>
        <w:t xml:space="preserve"> </w:t>
      </w:r>
      <w:r w:rsidRPr="0031675F">
        <w:rPr>
          <w:spacing w:val="-1"/>
        </w:rPr>
        <w:t>5%.</w:t>
      </w:r>
    </w:p>
    <w:p w14:paraId="3A46FA1B" w14:textId="77777777" w:rsidR="0031675F" w:rsidRPr="0031675F" w:rsidRDefault="0031675F" w:rsidP="0031675F">
      <w:pPr>
        <w:rPr>
          <w:rFonts w:cs="Calibri"/>
          <w:sz w:val="20"/>
          <w:szCs w:val="20"/>
        </w:rPr>
      </w:pPr>
    </w:p>
    <w:p w14:paraId="4FF5A79D" w14:textId="77777777" w:rsidR="0031675F" w:rsidRPr="0031675F" w:rsidRDefault="0031675F" w:rsidP="0031675F">
      <w:pPr>
        <w:widowControl w:val="0"/>
        <w:numPr>
          <w:ilvl w:val="1"/>
          <w:numId w:val="81"/>
        </w:numPr>
        <w:tabs>
          <w:tab w:val="left" w:pos="839"/>
        </w:tabs>
        <w:spacing w:before="206" w:after="0" w:line="240" w:lineRule="auto"/>
        <w:rPr>
          <w:rFonts w:eastAsia="Arial" w:cs="Arial"/>
          <w:sz w:val="24"/>
          <w:szCs w:val="24"/>
        </w:rPr>
      </w:pPr>
      <w:bookmarkStart w:id="712" w:name="_TOC_250011"/>
      <w:r w:rsidRPr="0031675F">
        <w:rPr>
          <w:b/>
          <w:spacing w:val="-1"/>
          <w:sz w:val="24"/>
        </w:rPr>
        <w:t>References</w:t>
      </w:r>
      <w:bookmarkEnd w:id="712"/>
    </w:p>
    <w:p w14:paraId="1E2C08A8" w14:textId="77777777" w:rsidR="0031675F" w:rsidRPr="0031675F" w:rsidRDefault="0031675F" w:rsidP="0031675F">
      <w:pPr>
        <w:spacing w:before="3"/>
        <w:rPr>
          <w:rFonts w:eastAsia="Arial" w:cs="Arial"/>
          <w:b/>
          <w:bCs/>
          <w:sz w:val="21"/>
          <w:szCs w:val="21"/>
        </w:rPr>
      </w:pPr>
    </w:p>
    <w:p w14:paraId="1A54C79C" w14:textId="77777777" w:rsidR="0031675F" w:rsidRPr="0031675F" w:rsidRDefault="0031675F" w:rsidP="0031675F">
      <w:pPr>
        <w:spacing w:after="120" w:line="236" w:lineRule="auto"/>
        <w:ind w:left="406" w:right="109" w:hanging="288"/>
        <w:jc w:val="both"/>
      </w:pPr>
      <w:r w:rsidRPr="0031675F">
        <w:rPr>
          <w:spacing w:val="-1"/>
        </w:rPr>
        <w:t>Jeffrey,</w:t>
      </w:r>
      <w:r w:rsidRPr="0031675F">
        <w:rPr>
          <w:spacing w:val="24"/>
        </w:rPr>
        <w:t xml:space="preserve"> </w:t>
      </w:r>
      <w:r w:rsidRPr="0031675F">
        <w:rPr>
          <w:spacing w:val="-1"/>
        </w:rPr>
        <w:t>S.W.</w:t>
      </w:r>
      <w:r w:rsidRPr="0031675F">
        <w:rPr>
          <w:spacing w:val="25"/>
        </w:rPr>
        <w:t xml:space="preserve"> </w:t>
      </w:r>
      <w:r w:rsidRPr="0031675F">
        <w:rPr>
          <w:spacing w:val="-1"/>
        </w:rPr>
        <w:t>and</w:t>
      </w:r>
      <w:r w:rsidRPr="0031675F">
        <w:rPr>
          <w:spacing w:val="24"/>
        </w:rPr>
        <w:t xml:space="preserve"> </w:t>
      </w:r>
      <w:r w:rsidRPr="0031675F">
        <w:rPr>
          <w:spacing w:val="-1"/>
        </w:rPr>
        <w:t>G.F.</w:t>
      </w:r>
      <w:r w:rsidRPr="0031675F">
        <w:rPr>
          <w:spacing w:val="24"/>
        </w:rPr>
        <w:t xml:space="preserve"> </w:t>
      </w:r>
      <w:r w:rsidRPr="0031675F">
        <w:rPr>
          <w:spacing w:val="-1"/>
        </w:rPr>
        <w:t>Humphrey,</w:t>
      </w:r>
      <w:r w:rsidRPr="0031675F">
        <w:rPr>
          <w:spacing w:val="22"/>
        </w:rPr>
        <w:t xml:space="preserve"> </w:t>
      </w:r>
      <w:r w:rsidRPr="0031675F">
        <w:rPr>
          <w:spacing w:val="-1"/>
        </w:rPr>
        <w:t>(1975).</w:t>
      </w:r>
      <w:r w:rsidRPr="0031675F">
        <w:rPr>
          <w:spacing w:val="25"/>
        </w:rPr>
        <w:t xml:space="preserve"> </w:t>
      </w:r>
      <w:r w:rsidRPr="0031675F">
        <w:rPr>
          <w:spacing w:val="-1"/>
        </w:rPr>
        <w:t>New</w:t>
      </w:r>
      <w:r w:rsidRPr="0031675F">
        <w:rPr>
          <w:spacing w:val="25"/>
        </w:rPr>
        <w:t xml:space="preserve"> </w:t>
      </w:r>
      <w:r w:rsidRPr="0031675F">
        <w:rPr>
          <w:spacing w:val="-1"/>
        </w:rPr>
        <w:t>spectrophotometric</w:t>
      </w:r>
      <w:r w:rsidRPr="0031675F">
        <w:rPr>
          <w:spacing w:val="22"/>
        </w:rPr>
        <w:t xml:space="preserve"> </w:t>
      </w:r>
      <w:r w:rsidRPr="0031675F">
        <w:t>equations</w:t>
      </w:r>
      <w:r w:rsidRPr="0031675F">
        <w:rPr>
          <w:spacing w:val="25"/>
        </w:rPr>
        <w:t xml:space="preserve"> </w:t>
      </w:r>
      <w:r w:rsidRPr="0031675F">
        <w:rPr>
          <w:spacing w:val="-1"/>
        </w:rPr>
        <w:t>for</w:t>
      </w:r>
      <w:r w:rsidRPr="0031675F">
        <w:rPr>
          <w:spacing w:val="25"/>
        </w:rPr>
        <w:t xml:space="preserve"> </w:t>
      </w:r>
      <w:r w:rsidRPr="0031675F">
        <w:rPr>
          <w:spacing w:val="-1"/>
        </w:rPr>
        <w:t>determining</w:t>
      </w:r>
      <w:r w:rsidRPr="0031675F">
        <w:rPr>
          <w:spacing w:val="51"/>
        </w:rPr>
        <w:t xml:space="preserve"> </w:t>
      </w:r>
      <w:r w:rsidRPr="0031675F">
        <w:rPr>
          <w:spacing w:val="-1"/>
        </w:rPr>
        <w:t>chlorophylls</w:t>
      </w:r>
      <w:r w:rsidRPr="0031675F">
        <w:rPr>
          <w:spacing w:val="41"/>
        </w:rPr>
        <w:t xml:space="preserve"> </w:t>
      </w:r>
      <w:r w:rsidRPr="0031675F">
        <w:rPr>
          <w:i/>
          <w:spacing w:val="-1"/>
        </w:rPr>
        <w:t>a,b,c</w:t>
      </w:r>
      <w:r w:rsidRPr="0031675F">
        <w:rPr>
          <w:i/>
          <w:spacing w:val="-1"/>
          <w:position w:val="-6"/>
        </w:rPr>
        <w:t>1</w:t>
      </w:r>
      <w:r w:rsidRPr="0031675F">
        <w:rPr>
          <w:i/>
          <w:spacing w:val="14"/>
          <w:position w:val="-6"/>
        </w:rPr>
        <w:t xml:space="preserve"> </w:t>
      </w:r>
      <w:r w:rsidRPr="0031675F">
        <w:rPr>
          <w:spacing w:val="-1"/>
        </w:rPr>
        <w:t>and</w:t>
      </w:r>
      <w:r w:rsidRPr="0031675F">
        <w:rPr>
          <w:spacing w:val="42"/>
        </w:rPr>
        <w:t xml:space="preserve"> </w:t>
      </w:r>
      <w:r w:rsidRPr="0031675F">
        <w:rPr>
          <w:i/>
        </w:rPr>
        <w:t>c</w:t>
      </w:r>
      <w:r w:rsidRPr="0031675F">
        <w:rPr>
          <w:i/>
          <w:position w:val="-6"/>
        </w:rPr>
        <w:t>2</w:t>
      </w:r>
      <w:r w:rsidRPr="0031675F">
        <w:rPr>
          <w:i/>
          <w:spacing w:val="14"/>
          <w:position w:val="-6"/>
        </w:rPr>
        <w:t xml:space="preserve"> </w:t>
      </w:r>
      <w:r w:rsidRPr="0031675F">
        <w:t>in</w:t>
      </w:r>
      <w:r w:rsidRPr="0031675F">
        <w:rPr>
          <w:spacing w:val="39"/>
        </w:rPr>
        <w:t xml:space="preserve"> </w:t>
      </w:r>
      <w:r w:rsidRPr="0031675F">
        <w:rPr>
          <w:spacing w:val="-1"/>
        </w:rPr>
        <w:t>higher</w:t>
      </w:r>
      <w:r w:rsidRPr="0031675F">
        <w:rPr>
          <w:spacing w:val="42"/>
        </w:rPr>
        <w:t xml:space="preserve"> </w:t>
      </w:r>
      <w:r w:rsidRPr="0031675F">
        <w:rPr>
          <w:spacing w:val="-1"/>
        </w:rPr>
        <w:t>plants,</w:t>
      </w:r>
      <w:r w:rsidRPr="0031675F">
        <w:rPr>
          <w:spacing w:val="41"/>
        </w:rPr>
        <w:t xml:space="preserve"> </w:t>
      </w:r>
      <w:r w:rsidRPr="0031675F">
        <w:rPr>
          <w:spacing w:val="-1"/>
        </w:rPr>
        <w:t>algae</w:t>
      </w:r>
      <w:r w:rsidRPr="0031675F">
        <w:rPr>
          <w:spacing w:val="42"/>
        </w:rPr>
        <w:t xml:space="preserve"> </w:t>
      </w:r>
      <w:r w:rsidRPr="0031675F">
        <w:rPr>
          <w:spacing w:val="-1"/>
        </w:rPr>
        <w:t>and</w:t>
      </w:r>
      <w:r w:rsidRPr="0031675F">
        <w:rPr>
          <w:spacing w:val="41"/>
        </w:rPr>
        <w:t xml:space="preserve"> </w:t>
      </w:r>
      <w:r w:rsidRPr="0031675F">
        <w:rPr>
          <w:spacing w:val="-1"/>
        </w:rPr>
        <w:t>natural</w:t>
      </w:r>
      <w:r w:rsidRPr="0031675F">
        <w:rPr>
          <w:spacing w:val="40"/>
        </w:rPr>
        <w:t xml:space="preserve"> </w:t>
      </w:r>
      <w:r w:rsidRPr="0031675F">
        <w:rPr>
          <w:spacing w:val="-1"/>
        </w:rPr>
        <w:t>phytoplankton.</w:t>
      </w:r>
      <w:r w:rsidRPr="0031675F">
        <w:rPr>
          <w:spacing w:val="36"/>
        </w:rPr>
        <w:t xml:space="preserve"> </w:t>
      </w:r>
      <w:r w:rsidRPr="0031675F">
        <w:rPr>
          <w:spacing w:val="-1"/>
        </w:rPr>
        <w:t>Biochem.</w:t>
      </w:r>
      <w:r w:rsidRPr="0031675F">
        <w:rPr>
          <w:spacing w:val="91"/>
        </w:rPr>
        <w:t xml:space="preserve"> </w:t>
      </w:r>
      <w:r w:rsidRPr="0031675F">
        <w:rPr>
          <w:spacing w:val="-1"/>
        </w:rPr>
        <w:t>Physiol.Pflanzen,</w:t>
      </w:r>
      <w:r w:rsidRPr="0031675F">
        <w:rPr>
          <w:spacing w:val="-3"/>
        </w:rPr>
        <w:t xml:space="preserve"> </w:t>
      </w:r>
      <w:r w:rsidRPr="0031675F">
        <w:rPr>
          <w:spacing w:val="-1"/>
        </w:rPr>
        <w:t>167:</w:t>
      </w:r>
      <w:r w:rsidRPr="0031675F">
        <w:t xml:space="preserve"> </w:t>
      </w:r>
      <w:r w:rsidRPr="0031675F">
        <w:rPr>
          <w:spacing w:val="-1"/>
        </w:rPr>
        <w:t>191-194</w:t>
      </w:r>
    </w:p>
    <w:p w14:paraId="417A7673" w14:textId="77777777" w:rsidR="0031675F" w:rsidRPr="0031675F" w:rsidRDefault="0031675F" w:rsidP="0031675F">
      <w:pPr>
        <w:spacing w:before="121" w:after="120"/>
      </w:pPr>
      <w:r w:rsidRPr="0031675F">
        <w:rPr>
          <w:spacing w:val="-1"/>
        </w:rPr>
        <w:t>Strickland,</w:t>
      </w:r>
      <w:r w:rsidRPr="0031675F">
        <w:rPr>
          <w:spacing w:val="2"/>
        </w:rPr>
        <w:t xml:space="preserve"> </w:t>
      </w:r>
      <w:r w:rsidRPr="0031675F">
        <w:rPr>
          <w:spacing w:val="-1"/>
        </w:rPr>
        <w:t>J.D.H.</w:t>
      </w:r>
      <w:r w:rsidRPr="0031675F">
        <w:rPr>
          <w:spacing w:val="1"/>
        </w:rPr>
        <w:t xml:space="preserve"> </w:t>
      </w:r>
      <w:r w:rsidRPr="0031675F">
        <w:rPr>
          <w:spacing w:val="-1"/>
        </w:rPr>
        <w:t>and</w:t>
      </w:r>
      <w:r w:rsidRPr="0031675F">
        <w:rPr>
          <w:spacing w:val="2"/>
        </w:rPr>
        <w:t xml:space="preserve"> </w:t>
      </w:r>
      <w:r w:rsidRPr="0031675F">
        <w:rPr>
          <w:spacing w:val="-1"/>
        </w:rPr>
        <w:t>T.R.</w:t>
      </w:r>
      <w:r w:rsidRPr="0031675F">
        <w:t xml:space="preserve"> </w:t>
      </w:r>
      <w:r w:rsidRPr="0031675F">
        <w:rPr>
          <w:spacing w:val="-1"/>
        </w:rPr>
        <w:t>Parsons,</w:t>
      </w:r>
      <w:r w:rsidRPr="0031675F">
        <w:rPr>
          <w:spacing w:val="2"/>
        </w:rPr>
        <w:t xml:space="preserve"> </w:t>
      </w:r>
      <w:r w:rsidRPr="0031675F">
        <w:rPr>
          <w:spacing w:val="-2"/>
        </w:rPr>
        <w:t>(1972).</w:t>
      </w:r>
      <w:r w:rsidRPr="0031675F">
        <w:t xml:space="preserve"> </w:t>
      </w:r>
      <w:r w:rsidRPr="0031675F">
        <w:rPr>
          <w:spacing w:val="7"/>
        </w:rPr>
        <w:t xml:space="preserve"> </w:t>
      </w:r>
      <w:r w:rsidRPr="0031675F">
        <w:t xml:space="preserve">A </w:t>
      </w:r>
      <w:r w:rsidRPr="0031675F">
        <w:rPr>
          <w:spacing w:val="-1"/>
        </w:rPr>
        <w:t>Practical</w:t>
      </w:r>
      <w:r w:rsidRPr="0031675F">
        <w:t xml:space="preserve"> </w:t>
      </w:r>
      <w:r w:rsidRPr="0031675F">
        <w:rPr>
          <w:spacing w:val="-1"/>
        </w:rPr>
        <w:t>Handbook</w:t>
      </w:r>
      <w:r w:rsidRPr="0031675F">
        <w:t xml:space="preserve"> of</w:t>
      </w:r>
      <w:r w:rsidRPr="0031675F">
        <w:rPr>
          <w:spacing w:val="2"/>
        </w:rPr>
        <w:t xml:space="preserve"> </w:t>
      </w:r>
      <w:r w:rsidRPr="0031675F">
        <w:rPr>
          <w:spacing w:val="-1"/>
        </w:rPr>
        <w:t>Seawater</w:t>
      </w:r>
      <w:r w:rsidRPr="0031675F">
        <w:rPr>
          <w:spacing w:val="2"/>
        </w:rPr>
        <w:t xml:space="preserve"> </w:t>
      </w:r>
      <w:r w:rsidRPr="0031675F">
        <w:rPr>
          <w:spacing w:val="-1"/>
        </w:rPr>
        <w:t>Analysis,</w:t>
      </w:r>
      <w:r w:rsidRPr="0031675F">
        <w:rPr>
          <w:spacing w:val="2"/>
        </w:rPr>
        <w:t xml:space="preserve"> </w:t>
      </w:r>
      <w:r w:rsidRPr="0031675F">
        <w:rPr>
          <w:spacing w:val="-1"/>
        </w:rPr>
        <w:t>Bull.</w:t>
      </w:r>
      <w:r w:rsidRPr="0031675F">
        <w:rPr>
          <w:spacing w:val="2"/>
        </w:rPr>
        <w:t xml:space="preserve"> </w:t>
      </w:r>
      <w:r w:rsidRPr="0031675F">
        <w:rPr>
          <w:spacing w:val="-1"/>
        </w:rPr>
        <w:t>Fish.</w:t>
      </w:r>
      <w:r w:rsidRPr="0031675F">
        <w:rPr>
          <w:spacing w:val="1"/>
        </w:rPr>
        <w:t xml:space="preserve"> </w:t>
      </w:r>
      <w:r w:rsidRPr="0031675F">
        <w:rPr>
          <w:spacing w:val="-1"/>
        </w:rPr>
        <w:t>Res.</w:t>
      </w:r>
    </w:p>
    <w:p w14:paraId="121EFE42" w14:textId="77777777" w:rsidR="0031675F" w:rsidRPr="0031675F" w:rsidRDefault="0031675F" w:rsidP="0031675F">
      <w:pPr>
        <w:spacing w:after="120"/>
        <w:ind w:left="406"/>
      </w:pPr>
      <w:r w:rsidRPr="0031675F">
        <w:t>Board</w:t>
      </w:r>
      <w:r w:rsidRPr="0031675F">
        <w:rPr>
          <w:spacing w:val="-1"/>
        </w:rPr>
        <w:t xml:space="preserve"> Can.167.</w:t>
      </w:r>
    </w:p>
    <w:p w14:paraId="4A0CF3B5" w14:textId="77777777" w:rsidR="0031675F" w:rsidRPr="0031675F" w:rsidRDefault="0031675F" w:rsidP="0031675F">
      <w:pPr>
        <w:spacing w:before="120" w:after="120"/>
        <w:ind w:left="406" w:right="109" w:hanging="288"/>
        <w:jc w:val="both"/>
        <w:rPr>
          <w:spacing w:val="-1"/>
        </w:rPr>
      </w:pPr>
      <w:r w:rsidRPr="0031675F">
        <w:rPr>
          <w:spacing w:val="-1"/>
        </w:rPr>
        <w:t>USEPA</w:t>
      </w:r>
      <w:r w:rsidRPr="0031675F">
        <w:rPr>
          <w:spacing w:val="28"/>
        </w:rPr>
        <w:t xml:space="preserve"> </w:t>
      </w:r>
      <w:r w:rsidRPr="0031675F">
        <w:rPr>
          <w:spacing w:val="-2"/>
        </w:rPr>
        <w:t>METHOD</w:t>
      </w:r>
      <w:r w:rsidRPr="0031675F">
        <w:rPr>
          <w:spacing w:val="30"/>
        </w:rPr>
        <w:t xml:space="preserve"> </w:t>
      </w:r>
      <w:r w:rsidRPr="0031675F">
        <w:rPr>
          <w:spacing w:val="-1"/>
        </w:rPr>
        <w:t>445.0:</w:t>
      </w:r>
      <w:r w:rsidRPr="0031675F">
        <w:rPr>
          <w:spacing w:val="9"/>
        </w:rPr>
        <w:t xml:space="preserve"> </w:t>
      </w:r>
      <w:r w:rsidRPr="0031675F">
        <w:rPr>
          <w:spacing w:val="-2"/>
        </w:rPr>
        <w:t>In</w:t>
      </w:r>
      <w:r w:rsidRPr="0031675F">
        <w:rPr>
          <w:spacing w:val="28"/>
        </w:rPr>
        <w:t xml:space="preserve"> </w:t>
      </w:r>
      <w:r w:rsidRPr="0031675F">
        <w:t>vitro</w:t>
      </w:r>
      <w:r w:rsidRPr="0031675F">
        <w:rPr>
          <w:spacing w:val="26"/>
        </w:rPr>
        <w:t xml:space="preserve"> </w:t>
      </w:r>
      <w:r w:rsidRPr="0031675F">
        <w:rPr>
          <w:spacing w:val="-1"/>
        </w:rPr>
        <w:t>Determination</w:t>
      </w:r>
      <w:r w:rsidRPr="0031675F">
        <w:rPr>
          <w:spacing w:val="28"/>
        </w:rPr>
        <w:t xml:space="preserve"> </w:t>
      </w:r>
      <w:r w:rsidRPr="0031675F">
        <w:t>of</w:t>
      </w:r>
      <w:r w:rsidRPr="0031675F">
        <w:rPr>
          <w:spacing w:val="29"/>
        </w:rPr>
        <w:t xml:space="preserve"> </w:t>
      </w:r>
      <w:r w:rsidRPr="0031675F">
        <w:rPr>
          <w:spacing w:val="-1"/>
        </w:rPr>
        <w:t>chlorophyll</w:t>
      </w:r>
      <w:r w:rsidRPr="0031675F">
        <w:rPr>
          <w:spacing w:val="34"/>
        </w:rPr>
        <w:t xml:space="preserve"> </w:t>
      </w:r>
      <w:r w:rsidRPr="0031675F">
        <w:rPr>
          <w:i/>
        </w:rPr>
        <w:t>a</w:t>
      </w:r>
      <w:r w:rsidRPr="0031675F">
        <w:rPr>
          <w:i/>
          <w:spacing w:val="28"/>
        </w:rPr>
        <w:t xml:space="preserve"> </w:t>
      </w:r>
      <w:r w:rsidRPr="0031675F">
        <w:rPr>
          <w:spacing w:val="-1"/>
        </w:rPr>
        <w:t>and</w:t>
      </w:r>
      <w:r w:rsidRPr="0031675F">
        <w:rPr>
          <w:spacing w:val="28"/>
        </w:rPr>
        <w:t xml:space="preserve"> </w:t>
      </w:r>
      <w:r w:rsidRPr="0031675F">
        <w:rPr>
          <w:spacing w:val="-1"/>
        </w:rPr>
        <w:t>phaeophytin</w:t>
      </w:r>
      <w:r w:rsidRPr="0031675F">
        <w:rPr>
          <w:spacing w:val="29"/>
        </w:rPr>
        <w:t xml:space="preserve"> </w:t>
      </w:r>
      <w:r w:rsidRPr="0031675F">
        <w:rPr>
          <w:i/>
        </w:rPr>
        <w:t>a</w:t>
      </w:r>
      <w:r w:rsidRPr="0031675F">
        <w:rPr>
          <w:i/>
          <w:spacing w:val="28"/>
        </w:rPr>
        <w:t xml:space="preserve"> </w:t>
      </w:r>
      <w:r w:rsidRPr="0031675F">
        <w:t>in</w:t>
      </w:r>
      <w:r w:rsidRPr="0031675F">
        <w:rPr>
          <w:spacing w:val="28"/>
        </w:rPr>
        <w:t xml:space="preserve"> </w:t>
      </w:r>
      <w:r w:rsidRPr="0031675F">
        <w:rPr>
          <w:spacing w:val="-1"/>
        </w:rPr>
        <w:t>marine</w:t>
      </w:r>
      <w:r w:rsidRPr="0031675F">
        <w:rPr>
          <w:spacing w:val="30"/>
        </w:rPr>
        <w:t xml:space="preserve"> </w:t>
      </w:r>
      <w:r w:rsidRPr="0031675F">
        <w:rPr>
          <w:spacing w:val="-1"/>
        </w:rPr>
        <w:t>and</w:t>
      </w:r>
      <w:r w:rsidRPr="0031675F">
        <w:rPr>
          <w:spacing w:val="69"/>
        </w:rPr>
        <w:t xml:space="preserve"> </w:t>
      </w:r>
      <w:r w:rsidRPr="0031675F">
        <w:rPr>
          <w:spacing w:val="-1"/>
        </w:rPr>
        <w:t>freshwater</w:t>
      </w:r>
      <w:r w:rsidRPr="0031675F">
        <w:rPr>
          <w:spacing w:val="27"/>
        </w:rPr>
        <w:t xml:space="preserve"> </w:t>
      </w:r>
      <w:r w:rsidRPr="0031675F">
        <w:rPr>
          <w:spacing w:val="-1"/>
        </w:rPr>
        <w:t>phytoplankton</w:t>
      </w:r>
      <w:r w:rsidRPr="0031675F">
        <w:rPr>
          <w:spacing w:val="24"/>
        </w:rPr>
        <w:t xml:space="preserve"> </w:t>
      </w:r>
      <w:r w:rsidRPr="0031675F">
        <w:rPr>
          <w:spacing w:val="-1"/>
        </w:rPr>
        <w:t>by</w:t>
      </w:r>
      <w:r w:rsidRPr="0031675F">
        <w:rPr>
          <w:spacing w:val="28"/>
        </w:rPr>
        <w:t xml:space="preserve"> </w:t>
      </w:r>
      <w:r w:rsidRPr="0031675F">
        <w:rPr>
          <w:spacing w:val="-1"/>
        </w:rPr>
        <w:t>fluorescence,</w:t>
      </w:r>
      <w:r w:rsidRPr="0031675F">
        <w:rPr>
          <w:spacing w:val="27"/>
        </w:rPr>
        <w:t xml:space="preserve"> </w:t>
      </w:r>
      <w:r w:rsidRPr="0031675F">
        <w:rPr>
          <w:spacing w:val="-1"/>
        </w:rPr>
        <w:t>United</w:t>
      </w:r>
      <w:r w:rsidRPr="0031675F">
        <w:rPr>
          <w:spacing w:val="24"/>
        </w:rPr>
        <w:t xml:space="preserve"> </w:t>
      </w:r>
      <w:r w:rsidRPr="0031675F">
        <w:rPr>
          <w:spacing w:val="-1"/>
        </w:rPr>
        <w:t>States</w:t>
      </w:r>
      <w:r w:rsidRPr="0031675F">
        <w:rPr>
          <w:spacing w:val="28"/>
        </w:rPr>
        <w:t xml:space="preserve"> </w:t>
      </w:r>
      <w:r w:rsidRPr="0031675F">
        <w:rPr>
          <w:spacing w:val="-1"/>
        </w:rPr>
        <w:t>Environmental</w:t>
      </w:r>
      <w:r w:rsidRPr="0031675F">
        <w:rPr>
          <w:spacing w:val="27"/>
        </w:rPr>
        <w:t xml:space="preserve"> </w:t>
      </w:r>
      <w:r w:rsidRPr="0031675F">
        <w:rPr>
          <w:spacing w:val="-1"/>
        </w:rPr>
        <w:t>Protection</w:t>
      </w:r>
      <w:r w:rsidRPr="0031675F">
        <w:rPr>
          <w:spacing w:val="27"/>
        </w:rPr>
        <w:t xml:space="preserve"> </w:t>
      </w:r>
      <w:r w:rsidRPr="0031675F">
        <w:rPr>
          <w:spacing w:val="-1"/>
        </w:rPr>
        <w:t>Agency</w:t>
      </w:r>
      <w:r w:rsidRPr="0031675F">
        <w:rPr>
          <w:spacing w:val="67"/>
        </w:rPr>
        <w:t xml:space="preserve"> </w:t>
      </w:r>
      <w:r w:rsidRPr="0031675F">
        <w:rPr>
          <w:spacing w:val="-1"/>
        </w:rPr>
        <w:t>Methods</w:t>
      </w:r>
      <w:r w:rsidRPr="0031675F">
        <w:rPr>
          <w:spacing w:val="24"/>
        </w:rPr>
        <w:t xml:space="preserve"> </w:t>
      </w:r>
      <w:r w:rsidRPr="0031675F">
        <w:rPr>
          <w:spacing w:val="-1"/>
        </w:rPr>
        <w:t>for</w:t>
      </w:r>
      <w:r w:rsidRPr="0031675F">
        <w:rPr>
          <w:spacing w:val="24"/>
        </w:rPr>
        <w:t xml:space="preserve"> </w:t>
      </w:r>
      <w:r w:rsidRPr="0031675F">
        <w:rPr>
          <w:spacing w:val="-1"/>
        </w:rPr>
        <w:t>the</w:t>
      </w:r>
      <w:r w:rsidRPr="0031675F">
        <w:rPr>
          <w:spacing w:val="22"/>
        </w:rPr>
        <w:t xml:space="preserve"> </w:t>
      </w:r>
      <w:r w:rsidRPr="0031675F">
        <w:rPr>
          <w:spacing w:val="-1"/>
        </w:rPr>
        <w:t>Determination</w:t>
      </w:r>
      <w:r w:rsidRPr="0031675F">
        <w:rPr>
          <w:spacing w:val="21"/>
        </w:rPr>
        <w:t xml:space="preserve"> </w:t>
      </w:r>
      <w:r w:rsidRPr="0031675F">
        <w:t>of</w:t>
      </w:r>
      <w:r w:rsidRPr="0031675F">
        <w:rPr>
          <w:spacing w:val="24"/>
        </w:rPr>
        <w:t xml:space="preserve"> </w:t>
      </w:r>
      <w:r w:rsidRPr="0031675F">
        <w:rPr>
          <w:spacing w:val="-1"/>
        </w:rPr>
        <w:t>Chemical</w:t>
      </w:r>
      <w:r w:rsidRPr="0031675F">
        <w:rPr>
          <w:spacing w:val="23"/>
        </w:rPr>
        <w:t xml:space="preserve"> </w:t>
      </w:r>
      <w:r w:rsidRPr="0031675F">
        <w:rPr>
          <w:spacing w:val="-1"/>
        </w:rPr>
        <w:t>Substances</w:t>
      </w:r>
      <w:r w:rsidRPr="0031675F">
        <w:rPr>
          <w:spacing w:val="24"/>
        </w:rPr>
        <w:t xml:space="preserve"> </w:t>
      </w:r>
      <w:r w:rsidRPr="0031675F">
        <w:t>in</w:t>
      </w:r>
      <w:r w:rsidRPr="0031675F">
        <w:rPr>
          <w:spacing w:val="20"/>
        </w:rPr>
        <w:t xml:space="preserve"> </w:t>
      </w:r>
      <w:r w:rsidRPr="0031675F">
        <w:rPr>
          <w:spacing w:val="-1"/>
        </w:rPr>
        <w:t>Marine</w:t>
      </w:r>
      <w:r w:rsidRPr="0031675F">
        <w:rPr>
          <w:spacing w:val="22"/>
        </w:rPr>
        <w:t xml:space="preserve"> </w:t>
      </w:r>
      <w:r w:rsidRPr="0031675F">
        <w:rPr>
          <w:spacing w:val="-1"/>
        </w:rPr>
        <w:t>and</w:t>
      </w:r>
      <w:r w:rsidRPr="0031675F">
        <w:rPr>
          <w:spacing w:val="29"/>
        </w:rPr>
        <w:t xml:space="preserve"> </w:t>
      </w:r>
      <w:r w:rsidRPr="0031675F">
        <w:rPr>
          <w:spacing w:val="-1"/>
        </w:rPr>
        <w:t>Estuarine</w:t>
      </w:r>
      <w:r w:rsidRPr="0031675F">
        <w:rPr>
          <w:spacing w:val="25"/>
        </w:rPr>
        <w:t xml:space="preserve"> </w:t>
      </w:r>
      <w:r w:rsidRPr="0031675F">
        <w:rPr>
          <w:spacing w:val="-1"/>
        </w:rPr>
        <w:t>Environmental</w:t>
      </w:r>
      <w:r w:rsidRPr="0031675F">
        <w:rPr>
          <w:spacing w:val="51"/>
        </w:rPr>
        <w:t xml:space="preserve"> </w:t>
      </w:r>
      <w:r w:rsidRPr="0031675F">
        <w:rPr>
          <w:spacing w:val="-1"/>
        </w:rPr>
        <w:t>Samples,</w:t>
      </w:r>
      <w:r w:rsidRPr="0031675F">
        <w:rPr>
          <w:spacing w:val="-2"/>
        </w:rPr>
        <w:t xml:space="preserve"> </w:t>
      </w:r>
      <w:r w:rsidRPr="0031675F">
        <w:rPr>
          <w:spacing w:val="-1"/>
        </w:rPr>
        <w:t>EPA/600/R-92/121.</w:t>
      </w:r>
    </w:p>
    <w:p w14:paraId="6DEE3666" w14:textId="77777777" w:rsidR="0031675F" w:rsidRPr="0031675F" w:rsidRDefault="0031675F" w:rsidP="0031675F">
      <w:pPr>
        <w:rPr>
          <w:spacing w:val="-1"/>
        </w:rPr>
      </w:pPr>
    </w:p>
    <w:p w14:paraId="66A9EA7A" w14:textId="77777777" w:rsidR="0031675F" w:rsidRPr="0031675F" w:rsidRDefault="0031675F" w:rsidP="0031675F">
      <w:pPr>
        <w:spacing w:before="120" w:after="120"/>
        <w:ind w:left="406" w:right="109" w:hanging="288"/>
        <w:jc w:val="both"/>
        <w:sectPr w:rsidR="0031675F" w:rsidRPr="0031675F" w:rsidSect="004A5C83">
          <w:type w:val="nextColumn"/>
          <w:pgSz w:w="11910" w:h="16850"/>
          <w:pgMar w:top="720" w:right="1281" w:bottom="697" w:left="1281" w:header="520" w:footer="500" w:gutter="0"/>
          <w:paperSrc w:first="7" w:other="7"/>
          <w:cols w:space="720"/>
        </w:sectPr>
      </w:pPr>
    </w:p>
    <w:p w14:paraId="1F953B3D" w14:textId="77777777" w:rsidR="0031675F" w:rsidRPr="0031675F" w:rsidRDefault="0031675F" w:rsidP="0031675F">
      <w:pPr>
        <w:tabs>
          <w:tab w:val="left" w:pos="9941"/>
        </w:tabs>
        <w:spacing w:before="33"/>
        <w:ind w:left="160"/>
        <w:rPr>
          <w:rFonts w:cs="Calibri"/>
          <w:sz w:val="20"/>
          <w:szCs w:val="20"/>
        </w:rPr>
      </w:pPr>
      <w:r w:rsidRPr="0031675F">
        <w:rPr>
          <w:sz w:val="20"/>
        </w:rPr>
        <w:t>MARINE</w:t>
      </w:r>
      <w:r w:rsidRPr="0031675F">
        <w:rPr>
          <w:spacing w:val="-13"/>
          <w:sz w:val="20"/>
        </w:rPr>
        <w:t xml:space="preserve"> </w:t>
      </w:r>
      <w:r w:rsidRPr="0031675F">
        <w:rPr>
          <w:sz w:val="20"/>
        </w:rPr>
        <w:t>MONITORING</w:t>
      </w:r>
      <w:r w:rsidRPr="0031675F">
        <w:rPr>
          <w:spacing w:val="-12"/>
          <w:sz w:val="20"/>
        </w:rPr>
        <w:t xml:space="preserve"> </w:t>
      </w:r>
      <w:r w:rsidRPr="0031675F">
        <w:rPr>
          <w:sz w:val="20"/>
        </w:rPr>
        <w:t>PROGRAM</w:t>
      </w:r>
      <w:r w:rsidRPr="0031675F">
        <w:rPr>
          <w:spacing w:val="-13"/>
          <w:sz w:val="20"/>
        </w:rPr>
        <w:t xml:space="preserve"> </w:t>
      </w:r>
      <w:r w:rsidRPr="0031675F">
        <w:rPr>
          <w:sz w:val="20"/>
        </w:rPr>
        <w:t>2015/2016</w:t>
      </w:r>
      <w:r w:rsidRPr="0031675F">
        <w:rPr>
          <w:sz w:val="20"/>
        </w:rPr>
        <w:tab/>
        <w:t>QA/QC</w:t>
      </w:r>
      <w:r w:rsidRPr="0031675F">
        <w:rPr>
          <w:spacing w:val="-5"/>
          <w:sz w:val="20"/>
        </w:rPr>
        <w:t xml:space="preserve"> </w:t>
      </w:r>
      <w:r w:rsidRPr="0031675F">
        <w:rPr>
          <w:sz w:val="20"/>
        </w:rPr>
        <w:t>METHODS</w:t>
      </w:r>
      <w:r w:rsidRPr="0031675F">
        <w:rPr>
          <w:spacing w:val="-5"/>
          <w:sz w:val="20"/>
        </w:rPr>
        <w:t xml:space="preserve"> </w:t>
      </w:r>
      <w:r w:rsidRPr="0031675F">
        <w:rPr>
          <w:sz w:val="20"/>
        </w:rPr>
        <w:t>AND</w:t>
      </w:r>
      <w:r w:rsidRPr="0031675F">
        <w:rPr>
          <w:spacing w:val="-5"/>
          <w:sz w:val="20"/>
        </w:rPr>
        <w:t xml:space="preserve"> </w:t>
      </w:r>
      <w:r w:rsidRPr="0031675F">
        <w:rPr>
          <w:sz w:val="20"/>
        </w:rPr>
        <w:t>PROCEDURES</w:t>
      </w:r>
      <w:r w:rsidRPr="0031675F">
        <w:rPr>
          <w:spacing w:val="-6"/>
          <w:sz w:val="20"/>
        </w:rPr>
        <w:t xml:space="preserve"> </w:t>
      </w:r>
      <w:r w:rsidRPr="0031675F">
        <w:rPr>
          <w:sz w:val="20"/>
        </w:rPr>
        <w:t>-</w:t>
      </w:r>
      <w:r w:rsidRPr="0031675F">
        <w:rPr>
          <w:spacing w:val="-4"/>
          <w:sz w:val="20"/>
        </w:rPr>
        <w:t xml:space="preserve"> </w:t>
      </w:r>
      <w:r w:rsidRPr="0031675F">
        <w:rPr>
          <w:sz w:val="20"/>
        </w:rPr>
        <w:t>APPENDICES</w:t>
      </w:r>
    </w:p>
    <w:p w14:paraId="55C670D2" w14:textId="52EC626D" w:rsidR="0031675F" w:rsidRPr="0031675F" w:rsidRDefault="0031675F" w:rsidP="005A35E3">
      <w:pPr>
        <w:pStyle w:val="Heading4"/>
        <w:numPr>
          <w:ilvl w:val="0"/>
          <w:numId w:val="0"/>
        </w:numPr>
        <w:ind w:left="864" w:hanging="864"/>
      </w:pPr>
      <w:bookmarkStart w:id="713" w:name="_TOC_250010"/>
      <w:r w:rsidRPr="0031675F">
        <w:rPr>
          <w:highlight w:val="lightGray"/>
        </w:rPr>
        <w:t xml:space="preserve"> </w:t>
      </w:r>
      <w:bookmarkStart w:id="714" w:name="_Toc523830560"/>
      <w:bookmarkStart w:id="715" w:name="_Toc523905146"/>
      <w:bookmarkStart w:id="716" w:name="_Toc523905388"/>
      <w:bookmarkStart w:id="717" w:name="_Toc534968699"/>
      <w:r w:rsidRPr="0031675F">
        <w:rPr>
          <w:highlight w:val="lightGray"/>
        </w:rPr>
        <w:t>Section A9 Attachments</w:t>
      </w:r>
      <w:bookmarkEnd w:id="714"/>
      <w:bookmarkEnd w:id="715"/>
      <w:bookmarkEnd w:id="716"/>
      <w:bookmarkEnd w:id="717"/>
      <w:r w:rsidRPr="0031675F">
        <w:rPr>
          <w:highlight w:val="lightGray"/>
        </w:rPr>
        <w:t xml:space="preserve"> </w:t>
      </w:r>
      <w:bookmarkEnd w:id="713"/>
    </w:p>
    <w:p w14:paraId="38E30A25" w14:textId="77777777" w:rsidR="0031675F" w:rsidRPr="0031675F" w:rsidRDefault="0031675F" w:rsidP="0031675F">
      <w:pPr>
        <w:tabs>
          <w:tab w:val="left" w:pos="2298"/>
        </w:tabs>
        <w:spacing w:before="235"/>
        <w:ind w:left="138"/>
        <w:rPr>
          <w:rFonts w:eastAsia="Arial" w:cs="Arial"/>
          <w:sz w:val="24"/>
          <w:szCs w:val="24"/>
        </w:rPr>
      </w:pPr>
      <w:bookmarkStart w:id="718" w:name="_TOC_250009"/>
      <w:r w:rsidRPr="0031675F">
        <w:rPr>
          <w:b/>
          <w:spacing w:val="-1"/>
          <w:sz w:val="24"/>
        </w:rPr>
        <w:t xml:space="preserve">Attachment </w:t>
      </w:r>
      <w:r w:rsidRPr="0031675F">
        <w:rPr>
          <w:b/>
          <w:sz w:val="24"/>
        </w:rPr>
        <w:t>9.1</w:t>
      </w:r>
      <w:r w:rsidRPr="0031675F">
        <w:rPr>
          <w:b/>
          <w:sz w:val="24"/>
        </w:rPr>
        <w:tab/>
      </w:r>
      <w:r w:rsidRPr="0031675F">
        <w:rPr>
          <w:b/>
          <w:spacing w:val="-1"/>
          <w:sz w:val="24"/>
        </w:rPr>
        <w:t>Chlorophyll</w:t>
      </w:r>
      <w:r w:rsidRPr="0031675F">
        <w:rPr>
          <w:b/>
          <w:sz w:val="24"/>
        </w:rPr>
        <w:t xml:space="preserve"> </w:t>
      </w:r>
      <w:r w:rsidRPr="0031675F">
        <w:rPr>
          <w:b/>
          <w:spacing w:val="-1"/>
          <w:sz w:val="24"/>
        </w:rPr>
        <w:t>laboratory</w:t>
      </w:r>
      <w:r w:rsidRPr="0031675F">
        <w:rPr>
          <w:b/>
          <w:spacing w:val="-4"/>
          <w:sz w:val="24"/>
        </w:rPr>
        <w:t xml:space="preserve"> </w:t>
      </w:r>
      <w:r w:rsidRPr="0031675F">
        <w:rPr>
          <w:b/>
          <w:sz w:val="24"/>
        </w:rPr>
        <w:t>log sheet</w:t>
      </w:r>
      <w:bookmarkEnd w:id="718"/>
    </w:p>
    <w:p w14:paraId="79090FD2" w14:textId="77777777" w:rsidR="0031675F" w:rsidRPr="0031675F" w:rsidRDefault="0031675F" w:rsidP="0031675F">
      <w:pPr>
        <w:spacing w:before="2"/>
        <w:rPr>
          <w:rFonts w:eastAsia="Arial" w:cs="Arial"/>
          <w:b/>
          <w:bCs/>
          <w:sz w:val="21"/>
          <w:szCs w:val="21"/>
        </w:rPr>
      </w:pPr>
    </w:p>
    <w:tbl>
      <w:tblPr>
        <w:tblW w:w="0" w:type="auto"/>
        <w:tblInd w:w="118" w:type="dxa"/>
        <w:tblLayout w:type="fixed"/>
        <w:tblCellMar>
          <w:left w:w="0" w:type="dxa"/>
          <w:right w:w="0" w:type="dxa"/>
        </w:tblCellMar>
        <w:tblLook w:val="01E0" w:firstRow="1" w:lastRow="1" w:firstColumn="1" w:lastColumn="1" w:noHBand="0" w:noVBand="0"/>
      </w:tblPr>
      <w:tblGrid>
        <w:gridCol w:w="1695"/>
        <w:gridCol w:w="2245"/>
        <w:gridCol w:w="2258"/>
        <w:gridCol w:w="761"/>
        <w:gridCol w:w="1361"/>
        <w:gridCol w:w="1260"/>
        <w:gridCol w:w="1659"/>
        <w:gridCol w:w="1241"/>
        <w:gridCol w:w="1301"/>
      </w:tblGrid>
      <w:tr w:rsidR="0031675F" w:rsidRPr="0031675F" w14:paraId="1B941DFC" w14:textId="77777777" w:rsidTr="00B00729">
        <w:trPr>
          <w:trHeight w:hRule="exact" w:val="310"/>
        </w:trPr>
        <w:tc>
          <w:tcPr>
            <w:tcW w:w="3939" w:type="dxa"/>
            <w:gridSpan w:val="2"/>
            <w:tcBorders>
              <w:top w:val="single" w:sz="5" w:space="0" w:color="000000"/>
              <w:left w:val="single" w:sz="5" w:space="0" w:color="000000"/>
              <w:bottom w:val="single" w:sz="5" w:space="0" w:color="000000"/>
              <w:right w:val="single" w:sz="5" w:space="0" w:color="000000"/>
            </w:tcBorders>
          </w:tcPr>
          <w:p w14:paraId="6BB0D815" w14:textId="77777777" w:rsidR="0031675F" w:rsidRPr="0031675F" w:rsidRDefault="0031675F" w:rsidP="0031675F">
            <w:pPr>
              <w:widowControl w:val="0"/>
              <w:spacing w:before="45" w:after="0" w:line="240" w:lineRule="auto"/>
              <w:ind w:left="102"/>
              <w:rPr>
                <w:rFonts w:ascii="Arial Narrow" w:eastAsia="Arial Narrow" w:hAnsi="Arial Narrow" w:cs="Arial Narrow"/>
                <w:lang w:val="en-US"/>
              </w:rPr>
            </w:pPr>
            <w:r w:rsidRPr="0031675F">
              <w:rPr>
                <w:rFonts w:ascii="Arial Narrow" w:eastAsia="Calibri" w:hAnsi="Calibri"/>
                <w:spacing w:val="-1"/>
                <w:lang w:val="en-US"/>
              </w:rPr>
              <w:t>Date</w:t>
            </w:r>
            <w:r w:rsidRPr="0031675F">
              <w:rPr>
                <w:rFonts w:ascii="Arial Narrow" w:eastAsia="Calibri" w:hAnsi="Calibri"/>
                <w:lang w:val="en-US"/>
              </w:rPr>
              <w:t xml:space="preserve"> </w:t>
            </w:r>
            <w:r w:rsidRPr="0031675F">
              <w:rPr>
                <w:rFonts w:ascii="Arial Narrow" w:eastAsia="Calibri" w:hAnsi="Calibri"/>
                <w:spacing w:val="-1"/>
                <w:lang w:val="en-US"/>
              </w:rPr>
              <w:t>Analysed:</w:t>
            </w:r>
          </w:p>
        </w:tc>
        <w:tc>
          <w:tcPr>
            <w:tcW w:w="2258" w:type="dxa"/>
            <w:tcBorders>
              <w:top w:val="single" w:sz="5" w:space="0" w:color="000000"/>
              <w:left w:val="single" w:sz="5" w:space="0" w:color="000000"/>
              <w:bottom w:val="single" w:sz="5" w:space="0" w:color="000000"/>
              <w:right w:val="single" w:sz="5" w:space="0" w:color="000000"/>
            </w:tcBorders>
          </w:tcPr>
          <w:p w14:paraId="7A5E93F0"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195E5733"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5344007D"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72D3A7C1"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3CD789FB"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33D52732" w14:textId="77777777" w:rsidR="0031675F" w:rsidRPr="0031675F" w:rsidRDefault="0031675F" w:rsidP="0031675F">
            <w:pPr>
              <w:widowControl w:val="0"/>
              <w:spacing w:before="45" w:after="0" w:line="240" w:lineRule="auto"/>
              <w:ind w:left="102"/>
              <w:rPr>
                <w:rFonts w:ascii="Arial Narrow" w:eastAsia="Arial Narrow" w:hAnsi="Arial Narrow" w:cs="Arial Narrow"/>
                <w:lang w:val="en-US"/>
              </w:rPr>
            </w:pPr>
            <w:r w:rsidRPr="0031675F">
              <w:rPr>
                <w:rFonts w:ascii="Arial Narrow" w:eastAsia="Calibri" w:hAnsi="Calibri"/>
                <w:spacing w:val="-1"/>
                <w:lang w:val="en-US"/>
              </w:rPr>
              <w:t>Blank:</w:t>
            </w:r>
          </w:p>
        </w:tc>
        <w:tc>
          <w:tcPr>
            <w:tcW w:w="1301" w:type="dxa"/>
            <w:tcBorders>
              <w:top w:val="single" w:sz="5" w:space="0" w:color="000000"/>
              <w:left w:val="single" w:sz="5" w:space="0" w:color="000000"/>
              <w:bottom w:val="single" w:sz="5" w:space="0" w:color="000000"/>
              <w:right w:val="single" w:sz="5" w:space="0" w:color="000000"/>
            </w:tcBorders>
          </w:tcPr>
          <w:p w14:paraId="134D67CF" w14:textId="77777777" w:rsidR="0031675F" w:rsidRPr="0031675F" w:rsidRDefault="0031675F" w:rsidP="0031675F"/>
        </w:tc>
      </w:tr>
      <w:tr w:rsidR="0031675F" w:rsidRPr="0031675F" w14:paraId="62DFF397" w14:textId="77777777" w:rsidTr="00B00729">
        <w:trPr>
          <w:trHeight w:hRule="exact" w:val="310"/>
        </w:trPr>
        <w:tc>
          <w:tcPr>
            <w:tcW w:w="3939" w:type="dxa"/>
            <w:gridSpan w:val="2"/>
            <w:tcBorders>
              <w:top w:val="single" w:sz="5" w:space="0" w:color="000000"/>
              <w:left w:val="single" w:sz="5" w:space="0" w:color="000000"/>
              <w:bottom w:val="single" w:sz="5" w:space="0" w:color="000000"/>
              <w:right w:val="single" w:sz="5" w:space="0" w:color="000000"/>
            </w:tcBorders>
          </w:tcPr>
          <w:p w14:paraId="1C4EFF5A" w14:textId="77777777" w:rsidR="0031675F" w:rsidRPr="0031675F" w:rsidRDefault="0031675F" w:rsidP="0031675F">
            <w:pPr>
              <w:widowControl w:val="0"/>
              <w:spacing w:before="45" w:after="0" w:line="240" w:lineRule="auto"/>
              <w:ind w:left="102"/>
              <w:rPr>
                <w:rFonts w:ascii="Arial Narrow" w:eastAsia="Arial Narrow" w:hAnsi="Arial Narrow" w:cs="Arial Narrow"/>
                <w:lang w:val="en-US"/>
              </w:rPr>
            </w:pPr>
            <w:r w:rsidRPr="0031675F">
              <w:rPr>
                <w:rFonts w:ascii="Arial Narrow" w:eastAsia="Calibri" w:hAnsi="Calibri"/>
                <w:spacing w:val="-1"/>
                <w:lang w:val="en-US"/>
              </w:rPr>
              <w:t>Transect:</w:t>
            </w:r>
          </w:p>
        </w:tc>
        <w:tc>
          <w:tcPr>
            <w:tcW w:w="2258" w:type="dxa"/>
            <w:tcBorders>
              <w:top w:val="single" w:sz="5" w:space="0" w:color="000000"/>
              <w:left w:val="single" w:sz="5" w:space="0" w:color="000000"/>
              <w:bottom w:val="single" w:sz="5" w:space="0" w:color="000000"/>
              <w:right w:val="single" w:sz="5" w:space="0" w:color="000000"/>
            </w:tcBorders>
          </w:tcPr>
          <w:p w14:paraId="1DA6D905"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24E04692"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4B0019E4"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5DEE2B46"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14FF0868" w14:textId="77777777" w:rsidR="0031675F" w:rsidRPr="0031675F" w:rsidRDefault="0031675F" w:rsidP="0031675F"/>
        </w:tc>
        <w:tc>
          <w:tcPr>
            <w:tcW w:w="2542" w:type="dxa"/>
            <w:gridSpan w:val="2"/>
            <w:tcBorders>
              <w:top w:val="single" w:sz="5" w:space="0" w:color="000000"/>
              <w:left w:val="single" w:sz="5" w:space="0" w:color="000000"/>
              <w:bottom w:val="single" w:sz="5" w:space="0" w:color="000000"/>
              <w:right w:val="single" w:sz="5" w:space="0" w:color="000000"/>
            </w:tcBorders>
          </w:tcPr>
          <w:p w14:paraId="16F22772" w14:textId="77777777" w:rsidR="0031675F" w:rsidRPr="0031675F" w:rsidRDefault="0031675F" w:rsidP="0031675F">
            <w:pPr>
              <w:widowControl w:val="0"/>
              <w:spacing w:before="45" w:after="0" w:line="240" w:lineRule="auto"/>
              <w:ind w:left="102"/>
              <w:rPr>
                <w:rFonts w:ascii="Arial Narrow" w:eastAsia="Arial Narrow" w:hAnsi="Arial Narrow" w:cs="Arial Narrow"/>
                <w:lang w:val="en-US"/>
              </w:rPr>
            </w:pPr>
            <w:r w:rsidRPr="0031675F">
              <w:rPr>
                <w:rFonts w:ascii="Arial Narrow" w:eastAsia="Calibri" w:hAnsi="Calibri"/>
                <w:spacing w:val="-1"/>
                <w:lang w:val="en-US"/>
              </w:rPr>
              <w:t>Calib</w:t>
            </w:r>
            <w:r w:rsidRPr="0031675F">
              <w:rPr>
                <w:rFonts w:ascii="Arial Narrow" w:eastAsia="Calibri" w:hAnsi="Calibri"/>
                <w:lang w:val="en-US"/>
              </w:rPr>
              <w:t xml:space="preserve"> </w:t>
            </w:r>
            <w:r w:rsidRPr="0031675F">
              <w:rPr>
                <w:rFonts w:ascii="Arial Narrow" w:eastAsia="Calibri" w:hAnsi="Calibri"/>
                <w:spacing w:val="-1"/>
                <w:lang w:val="en-US"/>
              </w:rPr>
              <w:t>Std</w:t>
            </w:r>
            <w:r w:rsidRPr="0031675F">
              <w:rPr>
                <w:rFonts w:ascii="Arial Narrow" w:eastAsia="Calibri" w:hAnsi="Calibri"/>
                <w:lang w:val="en-US"/>
              </w:rPr>
              <w:t xml:space="preserve"> (L):</w:t>
            </w:r>
          </w:p>
        </w:tc>
      </w:tr>
      <w:tr w:rsidR="0031675F" w:rsidRPr="0031675F" w14:paraId="72B05803" w14:textId="77777777" w:rsidTr="00B00729">
        <w:trPr>
          <w:trHeight w:hRule="exact" w:val="310"/>
        </w:trPr>
        <w:tc>
          <w:tcPr>
            <w:tcW w:w="1695" w:type="dxa"/>
            <w:tcBorders>
              <w:top w:val="single" w:sz="5" w:space="0" w:color="000000"/>
              <w:left w:val="single" w:sz="5" w:space="0" w:color="000000"/>
              <w:bottom w:val="single" w:sz="5" w:space="0" w:color="000000"/>
              <w:right w:val="single" w:sz="5" w:space="0" w:color="000000"/>
            </w:tcBorders>
          </w:tcPr>
          <w:p w14:paraId="4490C404" w14:textId="77777777" w:rsidR="0031675F" w:rsidRPr="0031675F" w:rsidRDefault="0031675F" w:rsidP="0031675F">
            <w:pPr>
              <w:widowControl w:val="0"/>
              <w:spacing w:before="45" w:after="0" w:line="240" w:lineRule="auto"/>
              <w:ind w:left="102"/>
              <w:rPr>
                <w:rFonts w:ascii="Arial Narrow" w:eastAsia="Arial Narrow" w:hAnsi="Arial Narrow" w:cs="Arial Narrow"/>
                <w:lang w:val="en-US"/>
              </w:rPr>
            </w:pPr>
            <w:r w:rsidRPr="0031675F">
              <w:rPr>
                <w:rFonts w:ascii="Arial Narrow" w:eastAsia="Calibri" w:hAnsi="Calibri"/>
                <w:spacing w:val="-1"/>
                <w:lang w:val="en-US"/>
              </w:rPr>
              <w:t>Analyst:</w:t>
            </w:r>
          </w:p>
        </w:tc>
        <w:tc>
          <w:tcPr>
            <w:tcW w:w="2245" w:type="dxa"/>
            <w:tcBorders>
              <w:top w:val="single" w:sz="5" w:space="0" w:color="000000"/>
              <w:left w:val="single" w:sz="5" w:space="0" w:color="000000"/>
              <w:bottom w:val="single" w:sz="5" w:space="0" w:color="000000"/>
              <w:right w:val="single" w:sz="5" w:space="0" w:color="000000"/>
            </w:tcBorders>
          </w:tcPr>
          <w:p w14:paraId="00BCB755"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62D1DE3E"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2847CA5E"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652B2EEB"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44B3E51B"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446920B0"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1017DEA6" w14:textId="77777777" w:rsidR="0031675F" w:rsidRPr="0031675F" w:rsidRDefault="0031675F" w:rsidP="0031675F">
            <w:pPr>
              <w:widowControl w:val="0"/>
              <w:spacing w:before="45" w:after="0" w:line="240" w:lineRule="auto"/>
              <w:ind w:left="102"/>
              <w:rPr>
                <w:rFonts w:ascii="Arial Narrow" w:eastAsia="Arial Narrow" w:hAnsi="Arial Narrow" w:cs="Arial Narrow"/>
                <w:lang w:val="en-US"/>
              </w:rPr>
            </w:pPr>
            <w:r w:rsidRPr="0031675F">
              <w:rPr>
                <w:rFonts w:ascii="Arial Narrow" w:eastAsia="Calibri" w:hAnsi="Calibri"/>
                <w:spacing w:val="-1"/>
                <w:lang w:val="en-US"/>
              </w:rPr>
              <w:t>Calib</w:t>
            </w:r>
            <w:r w:rsidRPr="0031675F">
              <w:rPr>
                <w:rFonts w:ascii="Arial Narrow" w:eastAsia="Calibri" w:hAnsi="Calibri"/>
                <w:lang w:val="en-US"/>
              </w:rPr>
              <w:t xml:space="preserve"> </w:t>
            </w:r>
            <w:r w:rsidRPr="0031675F">
              <w:rPr>
                <w:rFonts w:ascii="Arial Narrow" w:eastAsia="Calibri" w:hAnsi="Calibri"/>
                <w:spacing w:val="-1"/>
                <w:lang w:val="en-US"/>
              </w:rPr>
              <w:t>Equ:</w:t>
            </w:r>
          </w:p>
        </w:tc>
        <w:tc>
          <w:tcPr>
            <w:tcW w:w="1301" w:type="dxa"/>
            <w:tcBorders>
              <w:top w:val="single" w:sz="5" w:space="0" w:color="000000"/>
              <w:left w:val="single" w:sz="5" w:space="0" w:color="000000"/>
              <w:bottom w:val="single" w:sz="5" w:space="0" w:color="000000"/>
              <w:right w:val="single" w:sz="5" w:space="0" w:color="000000"/>
            </w:tcBorders>
          </w:tcPr>
          <w:p w14:paraId="7EC5508E" w14:textId="77777777" w:rsidR="0031675F" w:rsidRPr="0031675F" w:rsidRDefault="0031675F" w:rsidP="0031675F"/>
        </w:tc>
      </w:tr>
      <w:tr w:rsidR="0031675F" w:rsidRPr="0031675F" w14:paraId="5BF8C068" w14:textId="77777777" w:rsidTr="00B00729">
        <w:trPr>
          <w:trHeight w:hRule="exact" w:val="313"/>
        </w:trPr>
        <w:tc>
          <w:tcPr>
            <w:tcW w:w="3939" w:type="dxa"/>
            <w:gridSpan w:val="2"/>
            <w:tcBorders>
              <w:top w:val="single" w:sz="5" w:space="0" w:color="000000"/>
              <w:left w:val="single" w:sz="5" w:space="0" w:color="000000"/>
              <w:bottom w:val="single" w:sz="5" w:space="0" w:color="000000"/>
              <w:right w:val="single" w:sz="5" w:space="0" w:color="000000"/>
            </w:tcBorders>
          </w:tcPr>
          <w:p w14:paraId="722D51D0" w14:textId="77777777" w:rsidR="0031675F" w:rsidRPr="0031675F" w:rsidRDefault="0031675F" w:rsidP="0031675F">
            <w:pPr>
              <w:widowControl w:val="0"/>
              <w:spacing w:before="45" w:after="0" w:line="240" w:lineRule="auto"/>
              <w:ind w:left="102"/>
              <w:rPr>
                <w:rFonts w:ascii="Arial Narrow" w:eastAsia="Arial Narrow" w:hAnsi="Arial Narrow" w:cs="Arial Narrow"/>
                <w:lang w:val="en-US"/>
              </w:rPr>
            </w:pPr>
            <w:r w:rsidRPr="0031675F">
              <w:rPr>
                <w:rFonts w:ascii="Arial Narrow" w:eastAsia="Calibri" w:hAnsi="Calibri"/>
                <w:lang w:val="en-US"/>
              </w:rPr>
              <w:t xml:space="preserve">File </w:t>
            </w:r>
            <w:r w:rsidRPr="0031675F">
              <w:rPr>
                <w:rFonts w:ascii="Arial Narrow" w:eastAsia="Calibri" w:hAnsi="Calibri"/>
                <w:spacing w:val="-1"/>
                <w:lang w:val="en-US"/>
              </w:rPr>
              <w:t>Name:</w:t>
            </w:r>
          </w:p>
        </w:tc>
        <w:tc>
          <w:tcPr>
            <w:tcW w:w="2258" w:type="dxa"/>
            <w:tcBorders>
              <w:top w:val="single" w:sz="5" w:space="0" w:color="000000"/>
              <w:left w:val="single" w:sz="5" w:space="0" w:color="000000"/>
              <w:bottom w:val="single" w:sz="5" w:space="0" w:color="000000"/>
              <w:right w:val="single" w:sz="5" w:space="0" w:color="000000"/>
            </w:tcBorders>
          </w:tcPr>
          <w:p w14:paraId="4FA899F7"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122766E2"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0CA2B0E4"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5868C490"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4649A8D2"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12DE5855"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76EF78C3" w14:textId="77777777" w:rsidR="0031675F" w:rsidRPr="0031675F" w:rsidRDefault="0031675F" w:rsidP="0031675F"/>
        </w:tc>
      </w:tr>
      <w:tr w:rsidR="0031675F" w:rsidRPr="0031675F" w14:paraId="64FB1675" w14:textId="77777777" w:rsidTr="00B00729">
        <w:trPr>
          <w:trHeight w:hRule="exact" w:val="310"/>
        </w:trPr>
        <w:tc>
          <w:tcPr>
            <w:tcW w:w="1695" w:type="dxa"/>
            <w:tcBorders>
              <w:top w:val="single" w:sz="5" w:space="0" w:color="000000"/>
              <w:left w:val="single" w:sz="5" w:space="0" w:color="000000"/>
              <w:bottom w:val="single" w:sz="5" w:space="0" w:color="000000"/>
              <w:right w:val="single" w:sz="5" w:space="0" w:color="000000"/>
            </w:tcBorders>
          </w:tcPr>
          <w:p w14:paraId="70FA4173"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4BADD9A7"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6783C5B0"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4543F1F7"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5AA66253"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3C1702F0"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59D88388"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623AEA25"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0935834F" w14:textId="77777777" w:rsidR="0031675F" w:rsidRPr="0031675F" w:rsidRDefault="0031675F" w:rsidP="0031675F"/>
        </w:tc>
      </w:tr>
      <w:tr w:rsidR="0031675F" w:rsidRPr="0031675F" w14:paraId="0E742F2E" w14:textId="77777777" w:rsidTr="00B00729">
        <w:trPr>
          <w:trHeight w:hRule="exact" w:val="310"/>
        </w:trPr>
        <w:tc>
          <w:tcPr>
            <w:tcW w:w="1695" w:type="dxa"/>
            <w:tcBorders>
              <w:top w:val="single" w:sz="5" w:space="0" w:color="000000"/>
              <w:left w:val="single" w:sz="5" w:space="0" w:color="000000"/>
              <w:bottom w:val="single" w:sz="5" w:space="0" w:color="000000"/>
              <w:right w:val="single" w:sz="5" w:space="0" w:color="000000"/>
            </w:tcBorders>
          </w:tcPr>
          <w:p w14:paraId="0F997F84" w14:textId="77777777" w:rsidR="0031675F" w:rsidRPr="0031675F" w:rsidRDefault="0031675F" w:rsidP="0031675F">
            <w:pPr>
              <w:widowControl w:val="0"/>
              <w:spacing w:before="45" w:after="0" w:line="240" w:lineRule="auto"/>
              <w:ind w:left="102"/>
              <w:rPr>
                <w:rFonts w:ascii="Arial Narrow" w:eastAsia="Arial Narrow" w:hAnsi="Arial Narrow" w:cs="Arial Narrow"/>
                <w:lang w:val="en-US"/>
              </w:rPr>
            </w:pPr>
            <w:r w:rsidRPr="0031675F">
              <w:rPr>
                <w:rFonts w:ascii="Arial Narrow" w:eastAsia="Calibri" w:hAnsi="Calibri"/>
                <w:lang w:val="en-US"/>
              </w:rPr>
              <w:t xml:space="preserve">Tube </w:t>
            </w:r>
            <w:r w:rsidRPr="0031675F">
              <w:rPr>
                <w:rFonts w:ascii="Arial Narrow" w:eastAsia="Calibri" w:hAnsi="Calibri"/>
                <w:spacing w:val="-1"/>
                <w:lang w:val="en-US"/>
              </w:rPr>
              <w:t>No</w:t>
            </w:r>
          </w:p>
        </w:tc>
        <w:tc>
          <w:tcPr>
            <w:tcW w:w="2245" w:type="dxa"/>
            <w:tcBorders>
              <w:top w:val="single" w:sz="5" w:space="0" w:color="000000"/>
              <w:left w:val="single" w:sz="5" w:space="0" w:color="000000"/>
              <w:bottom w:val="single" w:sz="5" w:space="0" w:color="000000"/>
              <w:right w:val="single" w:sz="5" w:space="0" w:color="000000"/>
            </w:tcBorders>
          </w:tcPr>
          <w:p w14:paraId="0EBDABD8" w14:textId="77777777" w:rsidR="0031675F" w:rsidRPr="0031675F" w:rsidRDefault="0031675F" w:rsidP="0031675F">
            <w:pPr>
              <w:widowControl w:val="0"/>
              <w:spacing w:before="45" w:after="0" w:line="240" w:lineRule="auto"/>
              <w:ind w:left="654"/>
              <w:rPr>
                <w:rFonts w:ascii="Arial Narrow" w:eastAsia="Arial Narrow" w:hAnsi="Arial Narrow" w:cs="Arial Narrow"/>
                <w:lang w:val="en-US"/>
              </w:rPr>
            </w:pPr>
            <w:r w:rsidRPr="0031675F">
              <w:rPr>
                <w:rFonts w:ascii="Arial Narrow" w:eastAsia="Calibri" w:hAnsi="Calibri"/>
                <w:spacing w:val="-1"/>
                <w:lang w:val="en-US"/>
              </w:rPr>
              <w:t>Station/Site</w:t>
            </w:r>
          </w:p>
        </w:tc>
        <w:tc>
          <w:tcPr>
            <w:tcW w:w="2258" w:type="dxa"/>
            <w:tcBorders>
              <w:top w:val="single" w:sz="5" w:space="0" w:color="000000"/>
              <w:left w:val="single" w:sz="5" w:space="0" w:color="000000"/>
              <w:bottom w:val="single" w:sz="5" w:space="0" w:color="000000"/>
              <w:right w:val="single" w:sz="5" w:space="0" w:color="000000"/>
            </w:tcBorders>
          </w:tcPr>
          <w:p w14:paraId="1D763C7C" w14:textId="77777777" w:rsidR="0031675F" w:rsidRPr="0031675F" w:rsidRDefault="0031675F" w:rsidP="0031675F">
            <w:pPr>
              <w:widowControl w:val="0"/>
              <w:spacing w:before="45" w:after="0" w:line="240" w:lineRule="auto"/>
              <w:ind w:left="284"/>
              <w:rPr>
                <w:rFonts w:ascii="Arial Narrow" w:eastAsia="Arial Narrow" w:hAnsi="Arial Narrow" w:cs="Arial Narrow"/>
                <w:lang w:val="en-US"/>
              </w:rPr>
            </w:pPr>
            <w:r w:rsidRPr="0031675F">
              <w:rPr>
                <w:rFonts w:ascii="Arial Narrow" w:eastAsia="Calibri" w:hAnsi="Calibri"/>
                <w:spacing w:val="-1"/>
                <w:lang w:val="en-US"/>
              </w:rPr>
              <w:t>Depth/Date</w:t>
            </w:r>
            <w:r w:rsidRPr="0031675F">
              <w:rPr>
                <w:rFonts w:ascii="Arial Narrow" w:eastAsia="Calibri" w:hAnsi="Calibri"/>
                <w:lang w:val="en-US"/>
              </w:rPr>
              <w:t xml:space="preserve"> </w:t>
            </w:r>
            <w:r w:rsidRPr="0031675F">
              <w:rPr>
                <w:rFonts w:ascii="Arial Narrow" w:eastAsia="Calibri" w:hAnsi="Calibri"/>
                <w:spacing w:val="-1"/>
                <w:lang w:val="en-US"/>
              </w:rPr>
              <w:t>collected</w:t>
            </w:r>
          </w:p>
        </w:tc>
        <w:tc>
          <w:tcPr>
            <w:tcW w:w="761" w:type="dxa"/>
            <w:tcBorders>
              <w:top w:val="single" w:sz="5" w:space="0" w:color="000000"/>
              <w:left w:val="single" w:sz="5" w:space="0" w:color="000000"/>
              <w:bottom w:val="single" w:sz="5" w:space="0" w:color="000000"/>
              <w:right w:val="single" w:sz="5" w:space="0" w:color="000000"/>
            </w:tcBorders>
          </w:tcPr>
          <w:p w14:paraId="5BFB31AB" w14:textId="77777777" w:rsidR="0031675F" w:rsidRPr="0031675F" w:rsidRDefault="0031675F" w:rsidP="0031675F">
            <w:pPr>
              <w:widowControl w:val="0"/>
              <w:spacing w:before="45" w:after="0" w:line="240" w:lineRule="auto"/>
              <w:ind w:left="207"/>
              <w:rPr>
                <w:rFonts w:ascii="Arial Narrow" w:eastAsia="Arial Narrow" w:hAnsi="Arial Narrow" w:cs="Arial Narrow"/>
                <w:lang w:val="en-US"/>
              </w:rPr>
            </w:pPr>
            <w:r w:rsidRPr="0031675F">
              <w:rPr>
                <w:rFonts w:ascii="Arial Narrow" w:eastAsia="Calibri" w:hAnsi="Calibri"/>
                <w:spacing w:val="-1"/>
                <w:lang w:val="en-US"/>
              </w:rPr>
              <w:t>Rep</w:t>
            </w:r>
          </w:p>
        </w:tc>
        <w:tc>
          <w:tcPr>
            <w:tcW w:w="1361" w:type="dxa"/>
            <w:tcBorders>
              <w:top w:val="single" w:sz="5" w:space="0" w:color="000000"/>
              <w:left w:val="single" w:sz="5" w:space="0" w:color="000000"/>
              <w:bottom w:val="single" w:sz="5" w:space="0" w:color="000000"/>
              <w:right w:val="single" w:sz="5" w:space="0" w:color="000000"/>
            </w:tcBorders>
          </w:tcPr>
          <w:p w14:paraId="4EAD580B" w14:textId="77777777" w:rsidR="0031675F" w:rsidRPr="0031675F" w:rsidRDefault="0031675F" w:rsidP="0031675F">
            <w:pPr>
              <w:widowControl w:val="0"/>
              <w:spacing w:before="45" w:after="0" w:line="240" w:lineRule="auto"/>
              <w:ind w:left="102"/>
              <w:rPr>
                <w:rFonts w:ascii="Arial Narrow" w:eastAsia="Arial Narrow" w:hAnsi="Arial Narrow" w:cs="Arial Narrow"/>
                <w:lang w:val="en-US"/>
              </w:rPr>
            </w:pPr>
            <w:r w:rsidRPr="0031675F">
              <w:rPr>
                <w:rFonts w:ascii="Arial Narrow" w:eastAsia="Calibri" w:hAnsi="Calibri"/>
                <w:spacing w:val="-1"/>
                <w:lang w:val="en-US"/>
              </w:rPr>
              <w:t>Vol</w:t>
            </w:r>
            <w:r w:rsidRPr="0031675F">
              <w:rPr>
                <w:rFonts w:ascii="Arial Narrow" w:eastAsia="Calibri" w:hAnsi="Calibri"/>
                <w:lang w:val="en-US"/>
              </w:rPr>
              <w:t xml:space="preserve"> </w:t>
            </w:r>
            <w:r w:rsidRPr="0031675F">
              <w:rPr>
                <w:rFonts w:ascii="Arial Narrow" w:eastAsia="Calibri" w:hAnsi="Calibri"/>
                <w:spacing w:val="-1"/>
                <w:lang w:val="en-US"/>
              </w:rPr>
              <w:t>Filtered</w:t>
            </w:r>
          </w:p>
        </w:tc>
        <w:tc>
          <w:tcPr>
            <w:tcW w:w="1260" w:type="dxa"/>
            <w:tcBorders>
              <w:top w:val="single" w:sz="5" w:space="0" w:color="000000"/>
              <w:left w:val="single" w:sz="5" w:space="0" w:color="000000"/>
              <w:bottom w:val="single" w:sz="5" w:space="0" w:color="000000"/>
              <w:right w:val="single" w:sz="5" w:space="0" w:color="000000"/>
            </w:tcBorders>
          </w:tcPr>
          <w:p w14:paraId="6B177F8D" w14:textId="77777777" w:rsidR="0031675F" w:rsidRPr="0031675F" w:rsidRDefault="0031675F" w:rsidP="0031675F">
            <w:pPr>
              <w:widowControl w:val="0"/>
              <w:spacing w:before="45" w:after="0" w:line="240" w:lineRule="auto"/>
              <w:ind w:left="99"/>
              <w:rPr>
                <w:rFonts w:ascii="Arial Narrow" w:eastAsia="Arial Narrow" w:hAnsi="Arial Narrow" w:cs="Arial Narrow"/>
                <w:lang w:val="en-US"/>
              </w:rPr>
            </w:pPr>
            <w:r w:rsidRPr="0031675F">
              <w:rPr>
                <w:rFonts w:ascii="Arial Narrow" w:eastAsia="Calibri" w:hAnsi="Calibri"/>
                <w:spacing w:val="-1"/>
                <w:lang w:val="en-US"/>
              </w:rPr>
              <w:t>Vol</w:t>
            </w:r>
            <w:r w:rsidRPr="0031675F">
              <w:rPr>
                <w:rFonts w:ascii="Arial Narrow" w:eastAsia="Calibri" w:hAnsi="Calibri"/>
                <w:lang w:val="en-US"/>
              </w:rPr>
              <w:t xml:space="preserve"> </w:t>
            </w:r>
            <w:r w:rsidRPr="0031675F">
              <w:rPr>
                <w:rFonts w:ascii="Arial Narrow" w:eastAsia="Calibri" w:hAnsi="Calibri"/>
                <w:spacing w:val="-1"/>
                <w:lang w:val="en-US"/>
              </w:rPr>
              <w:t>Extract</w:t>
            </w:r>
          </w:p>
        </w:tc>
        <w:tc>
          <w:tcPr>
            <w:tcW w:w="1659" w:type="dxa"/>
            <w:tcBorders>
              <w:top w:val="single" w:sz="5" w:space="0" w:color="000000"/>
              <w:left w:val="single" w:sz="5" w:space="0" w:color="000000"/>
              <w:bottom w:val="single" w:sz="5" w:space="0" w:color="000000"/>
              <w:right w:val="single" w:sz="5" w:space="0" w:color="000000"/>
            </w:tcBorders>
          </w:tcPr>
          <w:p w14:paraId="7F853117" w14:textId="77777777" w:rsidR="0031675F" w:rsidRPr="0031675F" w:rsidRDefault="0031675F" w:rsidP="0031675F">
            <w:pPr>
              <w:widowControl w:val="0"/>
              <w:spacing w:before="45" w:after="0" w:line="240" w:lineRule="auto"/>
              <w:ind w:left="99"/>
              <w:rPr>
                <w:rFonts w:ascii="Arial Narrow" w:eastAsia="Arial Narrow" w:hAnsi="Arial Narrow" w:cs="Arial Narrow"/>
                <w:lang w:val="en-US"/>
              </w:rPr>
            </w:pPr>
            <w:r w:rsidRPr="0031675F">
              <w:rPr>
                <w:rFonts w:ascii="Arial Narrow" w:eastAsia="Calibri" w:hAnsi="Calibri"/>
                <w:spacing w:val="-1"/>
                <w:lang w:val="en-US"/>
              </w:rPr>
              <w:t>Dilution</w:t>
            </w:r>
          </w:p>
        </w:tc>
        <w:tc>
          <w:tcPr>
            <w:tcW w:w="1241" w:type="dxa"/>
            <w:tcBorders>
              <w:top w:val="single" w:sz="5" w:space="0" w:color="000000"/>
              <w:left w:val="single" w:sz="5" w:space="0" w:color="000000"/>
              <w:bottom w:val="single" w:sz="5" w:space="0" w:color="000000"/>
              <w:right w:val="single" w:sz="5" w:space="0" w:color="000000"/>
            </w:tcBorders>
          </w:tcPr>
          <w:p w14:paraId="33B93CB6" w14:textId="77777777" w:rsidR="0031675F" w:rsidRPr="0031675F" w:rsidRDefault="0031675F" w:rsidP="0031675F">
            <w:pPr>
              <w:widowControl w:val="0"/>
              <w:spacing w:before="45" w:after="0" w:line="240" w:lineRule="auto"/>
              <w:ind w:left="102"/>
              <w:rPr>
                <w:rFonts w:ascii="Arial Narrow" w:eastAsia="Arial Narrow" w:hAnsi="Arial Narrow" w:cs="Arial Narrow"/>
                <w:lang w:val="en-US"/>
              </w:rPr>
            </w:pPr>
            <w:r w:rsidRPr="0031675F">
              <w:rPr>
                <w:rFonts w:ascii="Arial Narrow" w:eastAsia="Calibri" w:hAnsi="Calibri"/>
                <w:lang w:val="en-US"/>
              </w:rPr>
              <w:t>Forig</w:t>
            </w:r>
          </w:p>
        </w:tc>
        <w:tc>
          <w:tcPr>
            <w:tcW w:w="1301" w:type="dxa"/>
            <w:tcBorders>
              <w:top w:val="single" w:sz="5" w:space="0" w:color="000000"/>
              <w:left w:val="single" w:sz="5" w:space="0" w:color="000000"/>
              <w:bottom w:val="single" w:sz="5" w:space="0" w:color="000000"/>
              <w:right w:val="single" w:sz="5" w:space="0" w:color="000000"/>
            </w:tcBorders>
          </w:tcPr>
          <w:p w14:paraId="645AE79C" w14:textId="77777777" w:rsidR="0031675F" w:rsidRPr="0031675F" w:rsidRDefault="0031675F" w:rsidP="0031675F">
            <w:pPr>
              <w:widowControl w:val="0"/>
              <w:spacing w:before="45" w:after="0" w:line="240" w:lineRule="auto"/>
              <w:ind w:left="102"/>
              <w:rPr>
                <w:rFonts w:ascii="Arial Narrow" w:eastAsia="Arial Narrow" w:hAnsi="Arial Narrow" w:cs="Arial Narrow"/>
                <w:lang w:val="en-US"/>
              </w:rPr>
            </w:pPr>
            <w:r w:rsidRPr="0031675F">
              <w:rPr>
                <w:rFonts w:ascii="Arial Narrow" w:eastAsia="Calibri" w:hAnsi="Calibri"/>
                <w:lang w:val="en-US"/>
              </w:rPr>
              <w:t>Facid</w:t>
            </w:r>
          </w:p>
        </w:tc>
      </w:tr>
      <w:tr w:rsidR="0031675F" w:rsidRPr="0031675F" w14:paraId="3589E05C" w14:textId="77777777" w:rsidTr="00B00729">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1A42B395"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0BF013A1"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142DB952"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392B2A40"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48009A36"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5A28F5F6"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7070D13B"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3317AFBB"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2EBD76F8" w14:textId="77777777" w:rsidR="0031675F" w:rsidRPr="0031675F" w:rsidRDefault="0031675F" w:rsidP="0031675F"/>
        </w:tc>
      </w:tr>
      <w:tr w:rsidR="0031675F" w:rsidRPr="0031675F" w14:paraId="7B5885CE" w14:textId="77777777" w:rsidTr="00B00729">
        <w:trPr>
          <w:trHeight w:hRule="exact" w:val="326"/>
        </w:trPr>
        <w:tc>
          <w:tcPr>
            <w:tcW w:w="1695" w:type="dxa"/>
            <w:tcBorders>
              <w:top w:val="single" w:sz="5" w:space="0" w:color="000000"/>
              <w:left w:val="single" w:sz="5" w:space="0" w:color="000000"/>
              <w:bottom w:val="single" w:sz="5" w:space="0" w:color="000000"/>
              <w:right w:val="single" w:sz="5" w:space="0" w:color="000000"/>
            </w:tcBorders>
          </w:tcPr>
          <w:p w14:paraId="05710237"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5B6EB4D2"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411BC903"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61FB4111"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7EFC263A"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2A538558"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612F47A0"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6DDBA9FA"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1F14C865" w14:textId="77777777" w:rsidR="0031675F" w:rsidRPr="0031675F" w:rsidRDefault="0031675F" w:rsidP="0031675F"/>
        </w:tc>
      </w:tr>
      <w:tr w:rsidR="0031675F" w:rsidRPr="0031675F" w14:paraId="3C1A8126" w14:textId="77777777" w:rsidTr="00B00729">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0E123C1B"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6C988C7B"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33523F20"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754C6C96"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0FEEBF04"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5522AE21"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2E7F123D"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5BEB775D"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734F1661" w14:textId="77777777" w:rsidR="0031675F" w:rsidRPr="0031675F" w:rsidRDefault="0031675F" w:rsidP="0031675F"/>
        </w:tc>
      </w:tr>
      <w:tr w:rsidR="0031675F" w:rsidRPr="0031675F" w14:paraId="704186F2" w14:textId="77777777" w:rsidTr="00B00729">
        <w:trPr>
          <w:trHeight w:hRule="exact" w:val="326"/>
        </w:trPr>
        <w:tc>
          <w:tcPr>
            <w:tcW w:w="1695" w:type="dxa"/>
            <w:tcBorders>
              <w:top w:val="single" w:sz="5" w:space="0" w:color="000000"/>
              <w:left w:val="single" w:sz="5" w:space="0" w:color="000000"/>
              <w:bottom w:val="single" w:sz="5" w:space="0" w:color="000000"/>
              <w:right w:val="single" w:sz="5" w:space="0" w:color="000000"/>
            </w:tcBorders>
          </w:tcPr>
          <w:p w14:paraId="5FD956A9"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2FDE72A7"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03E141AB"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73A0FE28"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024337DA"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67C24849"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235C0B2A"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1D25114B"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32152537" w14:textId="77777777" w:rsidR="0031675F" w:rsidRPr="0031675F" w:rsidRDefault="0031675F" w:rsidP="0031675F"/>
        </w:tc>
      </w:tr>
      <w:tr w:rsidR="0031675F" w:rsidRPr="0031675F" w14:paraId="3B6CF3C4" w14:textId="77777777" w:rsidTr="00B00729">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1CE2D532"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4519AC91"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04FE0282"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1FB2E1D0"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2C8D9EF6"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50181843"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47679476"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6BB74FB3"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72798840" w14:textId="77777777" w:rsidR="0031675F" w:rsidRPr="0031675F" w:rsidRDefault="0031675F" w:rsidP="0031675F"/>
        </w:tc>
      </w:tr>
      <w:tr w:rsidR="0031675F" w:rsidRPr="0031675F" w14:paraId="616D7FBC" w14:textId="77777777" w:rsidTr="00B00729">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5DD06B10"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1FA81BE2"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0F426321"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00E19B0B"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6A05B55B"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780B6562"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683D5989"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14A0BD35"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758744F6" w14:textId="77777777" w:rsidR="0031675F" w:rsidRPr="0031675F" w:rsidRDefault="0031675F" w:rsidP="0031675F"/>
        </w:tc>
      </w:tr>
      <w:tr w:rsidR="0031675F" w:rsidRPr="0031675F" w14:paraId="5290A2BB" w14:textId="77777777" w:rsidTr="00B00729">
        <w:trPr>
          <w:trHeight w:hRule="exact" w:val="326"/>
        </w:trPr>
        <w:tc>
          <w:tcPr>
            <w:tcW w:w="1695" w:type="dxa"/>
            <w:tcBorders>
              <w:top w:val="single" w:sz="5" w:space="0" w:color="000000"/>
              <w:left w:val="single" w:sz="5" w:space="0" w:color="000000"/>
              <w:bottom w:val="single" w:sz="5" w:space="0" w:color="000000"/>
              <w:right w:val="single" w:sz="5" w:space="0" w:color="000000"/>
            </w:tcBorders>
          </w:tcPr>
          <w:p w14:paraId="40CA3E91"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29CF1067"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07B4FD16"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455DFB46"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417D94CE"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09C27DA7"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055B28D8"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153A8A4A"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01D7E59E" w14:textId="77777777" w:rsidR="0031675F" w:rsidRPr="0031675F" w:rsidRDefault="0031675F" w:rsidP="0031675F"/>
        </w:tc>
      </w:tr>
      <w:tr w:rsidR="0031675F" w:rsidRPr="0031675F" w14:paraId="6A313CC3" w14:textId="77777777" w:rsidTr="00B00729">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11BFD2F4"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070C9E28"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0A1C0AE6"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70DACD07"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14F87D95"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1BF6704F"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583F3C7F"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0D00BE04"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708645D0" w14:textId="77777777" w:rsidR="0031675F" w:rsidRPr="0031675F" w:rsidRDefault="0031675F" w:rsidP="0031675F"/>
        </w:tc>
      </w:tr>
      <w:tr w:rsidR="0031675F" w:rsidRPr="0031675F" w14:paraId="187F40EC" w14:textId="77777777" w:rsidTr="00B00729">
        <w:trPr>
          <w:trHeight w:hRule="exact" w:val="326"/>
        </w:trPr>
        <w:tc>
          <w:tcPr>
            <w:tcW w:w="1695" w:type="dxa"/>
            <w:tcBorders>
              <w:top w:val="single" w:sz="5" w:space="0" w:color="000000"/>
              <w:left w:val="single" w:sz="5" w:space="0" w:color="000000"/>
              <w:bottom w:val="single" w:sz="5" w:space="0" w:color="000000"/>
              <w:right w:val="single" w:sz="5" w:space="0" w:color="000000"/>
            </w:tcBorders>
          </w:tcPr>
          <w:p w14:paraId="7DF4FCF2"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3A98D6A3"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146EF579"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7FCBD6A7"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49F6D19C"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1CD41AC7"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1013F440"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688DF850"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297C16B1" w14:textId="77777777" w:rsidR="0031675F" w:rsidRPr="0031675F" w:rsidRDefault="0031675F" w:rsidP="0031675F"/>
        </w:tc>
      </w:tr>
      <w:tr w:rsidR="0031675F" w:rsidRPr="0031675F" w14:paraId="38637B35" w14:textId="77777777" w:rsidTr="00B00729">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64EA4F2F"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0BECB9C9"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13A0033A"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7CA88C2D"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69169ED2"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23D7BD86"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268E925A"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469143E9"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4DE72AD8" w14:textId="77777777" w:rsidR="0031675F" w:rsidRPr="0031675F" w:rsidRDefault="0031675F" w:rsidP="0031675F"/>
        </w:tc>
      </w:tr>
      <w:tr w:rsidR="0031675F" w:rsidRPr="0031675F" w14:paraId="58D9ABF8" w14:textId="77777777" w:rsidTr="00B00729">
        <w:trPr>
          <w:trHeight w:hRule="exact" w:val="326"/>
        </w:trPr>
        <w:tc>
          <w:tcPr>
            <w:tcW w:w="1695" w:type="dxa"/>
            <w:tcBorders>
              <w:top w:val="single" w:sz="5" w:space="0" w:color="000000"/>
              <w:left w:val="single" w:sz="5" w:space="0" w:color="000000"/>
              <w:bottom w:val="single" w:sz="5" w:space="0" w:color="000000"/>
              <w:right w:val="single" w:sz="5" w:space="0" w:color="000000"/>
            </w:tcBorders>
          </w:tcPr>
          <w:p w14:paraId="5B7A78D1"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0479DE98"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525D1993"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58AB0A9F"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34C35705"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44EE2BD0"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0013B1F8"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0E9F1DAF"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09428AF6" w14:textId="77777777" w:rsidR="0031675F" w:rsidRPr="0031675F" w:rsidRDefault="0031675F" w:rsidP="0031675F"/>
        </w:tc>
      </w:tr>
      <w:tr w:rsidR="0031675F" w:rsidRPr="0031675F" w14:paraId="6E5BCDF9" w14:textId="77777777" w:rsidTr="00B00729">
        <w:trPr>
          <w:trHeight w:hRule="exact" w:val="324"/>
        </w:trPr>
        <w:tc>
          <w:tcPr>
            <w:tcW w:w="1695" w:type="dxa"/>
            <w:tcBorders>
              <w:top w:val="single" w:sz="5" w:space="0" w:color="000000"/>
              <w:left w:val="single" w:sz="5" w:space="0" w:color="000000"/>
              <w:bottom w:val="single" w:sz="5" w:space="0" w:color="000000"/>
              <w:right w:val="single" w:sz="5" w:space="0" w:color="000000"/>
            </w:tcBorders>
          </w:tcPr>
          <w:p w14:paraId="31A71E02" w14:textId="77777777" w:rsidR="0031675F" w:rsidRPr="0031675F" w:rsidRDefault="0031675F" w:rsidP="0031675F"/>
        </w:tc>
        <w:tc>
          <w:tcPr>
            <w:tcW w:w="2245" w:type="dxa"/>
            <w:tcBorders>
              <w:top w:val="single" w:sz="5" w:space="0" w:color="000000"/>
              <w:left w:val="single" w:sz="5" w:space="0" w:color="000000"/>
              <w:bottom w:val="single" w:sz="5" w:space="0" w:color="000000"/>
              <w:right w:val="single" w:sz="5" w:space="0" w:color="000000"/>
            </w:tcBorders>
          </w:tcPr>
          <w:p w14:paraId="7336FCFA" w14:textId="77777777" w:rsidR="0031675F" w:rsidRPr="0031675F" w:rsidRDefault="0031675F" w:rsidP="0031675F"/>
        </w:tc>
        <w:tc>
          <w:tcPr>
            <w:tcW w:w="2258" w:type="dxa"/>
            <w:tcBorders>
              <w:top w:val="single" w:sz="5" w:space="0" w:color="000000"/>
              <w:left w:val="single" w:sz="5" w:space="0" w:color="000000"/>
              <w:bottom w:val="single" w:sz="5" w:space="0" w:color="000000"/>
              <w:right w:val="single" w:sz="5" w:space="0" w:color="000000"/>
            </w:tcBorders>
          </w:tcPr>
          <w:p w14:paraId="1F940340" w14:textId="77777777" w:rsidR="0031675F" w:rsidRPr="0031675F" w:rsidRDefault="0031675F" w:rsidP="0031675F"/>
        </w:tc>
        <w:tc>
          <w:tcPr>
            <w:tcW w:w="761" w:type="dxa"/>
            <w:tcBorders>
              <w:top w:val="single" w:sz="5" w:space="0" w:color="000000"/>
              <w:left w:val="single" w:sz="5" w:space="0" w:color="000000"/>
              <w:bottom w:val="single" w:sz="5" w:space="0" w:color="000000"/>
              <w:right w:val="single" w:sz="5" w:space="0" w:color="000000"/>
            </w:tcBorders>
          </w:tcPr>
          <w:p w14:paraId="0C4D6E9E" w14:textId="77777777" w:rsidR="0031675F" w:rsidRPr="0031675F" w:rsidRDefault="0031675F" w:rsidP="0031675F"/>
        </w:tc>
        <w:tc>
          <w:tcPr>
            <w:tcW w:w="1361" w:type="dxa"/>
            <w:tcBorders>
              <w:top w:val="single" w:sz="5" w:space="0" w:color="000000"/>
              <w:left w:val="single" w:sz="5" w:space="0" w:color="000000"/>
              <w:bottom w:val="single" w:sz="5" w:space="0" w:color="000000"/>
              <w:right w:val="single" w:sz="5" w:space="0" w:color="000000"/>
            </w:tcBorders>
          </w:tcPr>
          <w:p w14:paraId="11995800" w14:textId="77777777" w:rsidR="0031675F" w:rsidRPr="0031675F" w:rsidRDefault="0031675F" w:rsidP="0031675F"/>
        </w:tc>
        <w:tc>
          <w:tcPr>
            <w:tcW w:w="1260" w:type="dxa"/>
            <w:tcBorders>
              <w:top w:val="single" w:sz="5" w:space="0" w:color="000000"/>
              <w:left w:val="single" w:sz="5" w:space="0" w:color="000000"/>
              <w:bottom w:val="single" w:sz="5" w:space="0" w:color="000000"/>
              <w:right w:val="single" w:sz="5" w:space="0" w:color="000000"/>
            </w:tcBorders>
          </w:tcPr>
          <w:p w14:paraId="42D1BF1B" w14:textId="77777777" w:rsidR="0031675F" w:rsidRPr="0031675F" w:rsidRDefault="0031675F" w:rsidP="0031675F"/>
        </w:tc>
        <w:tc>
          <w:tcPr>
            <w:tcW w:w="1659" w:type="dxa"/>
            <w:tcBorders>
              <w:top w:val="single" w:sz="5" w:space="0" w:color="000000"/>
              <w:left w:val="single" w:sz="5" w:space="0" w:color="000000"/>
              <w:bottom w:val="single" w:sz="5" w:space="0" w:color="000000"/>
              <w:right w:val="single" w:sz="5" w:space="0" w:color="000000"/>
            </w:tcBorders>
          </w:tcPr>
          <w:p w14:paraId="039D571D" w14:textId="77777777" w:rsidR="0031675F" w:rsidRPr="0031675F" w:rsidRDefault="0031675F" w:rsidP="0031675F"/>
        </w:tc>
        <w:tc>
          <w:tcPr>
            <w:tcW w:w="1241" w:type="dxa"/>
            <w:tcBorders>
              <w:top w:val="single" w:sz="5" w:space="0" w:color="000000"/>
              <w:left w:val="single" w:sz="5" w:space="0" w:color="000000"/>
              <w:bottom w:val="single" w:sz="5" w:space="0" w:color="000000"/>
              <w:right w:val="single" w:sz="5" w:space="0" w:color="000000"/>
            </w:tcBorders>
          </w:tcPr>
          <w:p w14:paraId="4623A104" w14:textId="77777777" w:rsidR="0031675F" w:rsidRPr="0031675F" w:rsidRDefault="0031675F" w:rsidP="0031675F"/>
        </w:tc>
        <w:tc>
          <w:tcPr>
            <w:tcW w:w="1301" w:type="dxa"/>
            <w:tcBorders>
              <w:top w:val="single" w:sz="5" w:space="0" w:color="000000"/>
              <w:left w:val="single" w:sz="5" w:space="0" w:color="000000"/>
              <w:bottom w:val="single" w:sz="5" w:space="0" w:color="000000"/>
              <w:right w:val="single" w:sz="5" w:space="0" w:color="000000"/>
            </w:tcBorders>
          </w:tcPr>
          <w:p w14:paraId="5FE4FA1B" w14:textId="77777777" w:rsidR="0031675F" w:rsidRPr="0031675F" w:rsidRDefault="0031675F" w:rsidP="0031675F"/>
        </w:tc>
      </w:tr>
    </w:tbl>
    <w:p w14:paraId="52F9C670" w14:textId="77777777" w:rsidR="0031675F" w:rsidRPr="0031675F" w:rsidRDefault="0031675F" w:rsidP="0031675F">
      <w:pPr>
        <w:rPr>
          <w:rFonts w:eastAsia="Arial" w:cs="Arial"/>
          <w:b/>
          <w:bCs/>
          <w:sz w:val="20"/>
          <w:szCs w:val="20"/>
        </w:rPr>
      </w:pPr>
    </w:p>
    <w:p w14:paraId="533E8FA0" w14:textId="77777777" w:rsidR="0031675F" w:rsidRPr="0031675F" w:rsidRDefault="0031675F" w:rsidP="0031675F">
      <w:pPr>
        <w:spacing w:before="59"/>
        <w:ind w:left="6948" w:right="6908"/>
        <w:jc w:val="center"/>
        <w:rPr>
          <w:rFonts w:cs="Calibri"/>
          <w:sz w:val="20"/>
          <w:szCs w:val="20"/>
        </w:rPr>
      </w:pPr>
      <w:r w:rsidRPr="0031675F">
        <w:rPr>
          <w:sz w:val="20"/>
        </w:rPr>
        <w:t>80</w:t>
      </w:r>
    </w:p>
    <w:p w14:paraId="2218DE45" w14:textId="77777777" w:rsidR="0031675F" w:rsidRPr="0031675F" w:rsidRDefault="0031675F" w:rsidP="0031675F">
      <w:pPr>
        <w:jc w:val="center"/>
        <w:rPr>
          <w:rFonts w:cs="Calibri"/>
          <w:sz w:val="20"/>
          <w:szCs w:val="20"/>
        </w:rPr>
        <w:sectPr w:rsidR="0031675F" w:rsidRPr="0031675F" w:rsidSect="004A5C83">
          <w:pgSz w:w="16850" w:h="11910" w:orient="landscape"/>
          <w:pgMar w:top="720" w:right="1281" w:bottom="697" w:left="1281" w:header="283" w:footer="0" w:gutter="0"/>
          <w:paperSrc w:first="7" w:other="7"/>
          <w:cols w:space="720"/>
          <w:docGrid w:linePitch="299"/>
        </w:sectPr>
      </w:pPr>
    </w:p>
    <w:p w14:paraId="6F64857B" w14:textId="77777777" w:rsidR="0031675F" w:rsidRPr="0031675F" w:rsidRDefault="0031675F" w:rsidP="0031675F">
      <w:pPr>
        <w:tabs>
          <w:tab w:val="left" w:pos="2387"/>
        </w:tabs>
        <w:spacing w:before="206"/>
        <w:ind w:left="2387" w:right="774" w:hanging="2269"/>
        <w:rPr>
          <w:rFonts w:eastAsia="Arial" w:cs="Arial"/>
          <w:sz w:val="24"/>
          <w:szCs w:val="24"/>
        </w:rPr>
      </w:pPr>
      <w:bookmarkStart w:id="719" w:name="_TOC_250008"/>
      <w:r w:rsidRPr="0031675F">
        <w:rPr>
          <w:b/>
          <w:spacing w:val="-1"/>
          <w:sz w:val="24"/>
        </w:rPr>
        <w:t>Attachment</w:t>
      </w:r>
      <w:r w:rsidRPr="0031675F">
        <w:rPr>
          <w:b/>
          <w:sz w:val="24"/>
        </w:rPr>
        <w:t xml:space="preserve"> 9.2</w:t>
      </w:r>
      <w:r w:rsidRPr="0031675F">
        <w:rPr>
          <w:b/>
          <w:sz w:val="24"/>
        </w:rPr>
        <w:tab/>
        <w:t xml:space="preserve">Initial </w:t>
      </w:r>
      <w:r w:rsidRPr="0031675F">
        <w:rPr>
          <w:b/>
          <w:spacing w:val="-1"/>
          <w:sz w:val="24"/>
        </w:rPr>
        <w:t>machine</w:t>
      </w:r>
      <w:r w:rsidRPr="0031675F">
        <w:rPr>
          <w:b/>
          <w:spacing w:val="-2"/>
          <w:sz w:val="24"/>
        </w:rPr>
        <w:t xml:space="preserve"> </w:t>
      </w:r>
      <w:r w:rsidRPr="0031675F">
        <w:rPr>
          <w:b/>
          <w:sz w:val="24"/>
        </w:rPr>
        <w:t>set up</w:t>
      </w:r>
      <w:r w:rsidRPr="0031675F">
        <w:rPr>
          <w:b/>
          <w:spacing w:val="-4"/>
          <w:sz w:val="24"/>
        </w:rPr>
        <w:t xml:space="preserve"> </w:t>
      </w:r>
      <w:r w:rsidRPr="0031675F">
        <w:rPr>
          <w:b/>
          <w:sz w:val="24"/>
        </w:rPr>
        <w:t xml:space="preserve">for Turner </w:t>
      </w:r>
      <w:r w:rsidRPr="0031675F">
        <w:rPr>
          <w:b/>
          <w:spacing w:val="-1"/>
          <w:sz w:val="24"/>
        </w:rPr>
        <w:t>Designs</w:t>
      </w:r>
      <w:r w:rsidRPr="0031675F">
        <w:rPr>
          <w:b/>
          <w:sz w:val="24"/>
        </w:rPr>
        <w:t xml:space="preserve"> Fluorometer</w:t>
      </w:r>
      <w:r w:rsidRPr="0031675F">
        <w:rPr>
          <w:b/>
          <w:spacing w:val="39"/>
          <w:sz w:val="24"/>
        </w:rPr>
        <w:t xml:space="preserve"> </w:t>
      </w:r>
      <w:r w:rsidRPr="0031675F">
        <w:rPr>
          <w:b/>
          <w:sz w:val="24"/>
        </w:rPr>
        <w:t xml:space="preserve">model </w:t>
      </w:r>
      <w:r w:rsidRPr="0031675F">
        <w:rPr>
          <w:b/>
          <w:spacing w:val="-1"/>
          <w:sz w:val="24"/>
        </w:rPr>
        <w:t>10au</w:t>
      </w:r>
      <w:bookmarkEnd w:id="719"/>
    </w:p>
    <w:p w14:paraId="0786D3BB" w14:textId="77777777" w:rsidR="0031675F" w:rsidRPr="0031675F" w:rsidRDefault="0031675F" w:rsidP="00A47762">
      <w:pPr>
        <w:widowControl w:val="0"/>
        <w:numPr>
          <w:ilvl w:val="2"/>
          <w:numId w:val="205"/>
        </w:numPr>
        <w:tabs>
          <w:tab w:val="left" w:pos="858"/>
        </w:tabs>
        <w:spacing w:before="0" w:after="0" w:line="240" w:lineRule="auto"/>
      </w:pPr>
      <w:r w:rsidRPr="0031675F">
        <w:rPr>
          <w:spacing w:val="-1"/>
        </w:rPr>
        <w:t>Turn</w:t>
      </w:r>
      <w:r w:rsidRPr="0031675F">
        <w:rPr>
          <w:spacing w:val="-2"/>
        </w:rPr>
        <w:t xml:space="preserve"> </w:t>
      </w:r>
      <w:r w:rsidRPr="0031675F">
        <w:t>on</w:t>
      </w:r>
      <w:r w:rsidRPr="0031675F">
        <w:rPr>
          <w:spacing w:val="-1"/>
        </w:rPr>
        <w:t xml:space="preserve"> </w:t>
      </w:r>
      <w:r w:rsidRPr="0031675F">
        <w:rPr>
          <w:spacing w:val="-2"/>
        </w:rPr>
        <w:t>the</w:t>
      </w:r>
      <w:r w:rsidRPr="0031675F">
        <w:t xml:space="preserve"> </w:t>
      </w:r>
      <w:r w:rsidRPr="0031675F">
        <w:rPr>
          <w:spacing w:val="-1"/>
        </w:rPr>
        <w:t>fluorometer</w:t>
      </w:r>
      <w:r w:rsidRPr="0031675F">
        <w:t xml:space="preserve"> </w:t>
      </w:r>
      <w:r w:rsidRPr="0031675F">
        <w:rPr>
          <w:spacing w:val="-2"/>
        </w:rPr>
        <w:t>and</w:t>
      </w:r>
      <w:r w:rsidRPr="0031675F">
        <w:rPr>
          <w:spacing w:val="-1"/>
        </w:rPr>
        <w:t xml:space="preserve"> </w:t>
      </w:r>
      <w:r w:rsidRPr="0031675F">
        <w:t>allow</w:t>
      </w:r>
      <w:r w:rsidRPr="0031675F">
        <w:rPr>
          <w:spacing w:val="-2"/>
        </w:rPr>
        <w:t xml:space="preserve"> </w:t>
      </w:r>
      <w:r w:rsidRPr="0031675F">
        <w:t>to</w:t>
      </w:r>
      <w:r w:rsidRPr="0031675F">
        <w:rPr>
          <w:spacing w:val="-1"/>
        </w:rPr>
        <w:t xml:space="preserve"> warm</w:t>
      </w:r>
      <w:r w:rsidRPr="0031675F">
        <w:rPr>
          <w:spacing w:val="1"/>
        </w:rPr>
        <w:t xml:space="preserve"> </w:t>
      </w:r>
      <w:r w:rsidRPr="0031675F">
        <w:rPr>
          <w:spacing w:val="-1"/>
        </w:rPr>
        <w:t>up for</w:t>
      </w:r>
      <w:r w:rsidRPr="0031675F">
        <w:t xml:space="preserve"> </w:t>
      </w:r>
      <w:r w:rsidRPr="0031675F">
        <w:rPr>
          <w:spacing w:val="-2"/>
        </w:rPr>
        <w:t>at</w:t>
      </w:r>
      <w:r w:rsidRPr="0031675F">
        <w:t xml:space="preserve"> </w:t>
      </w:r>
      <w:r w:rsidRPr="0031675F">
        <w:rPr>
          <w:spacing w:val="-1"/>
        </w:rPr>
        <w:t>least</w:t>
      </w:r>
      <w:r w:rsidRPr="0031675F">
        <w:rPr>
          <w:spacing w:val="-2"/>
        </w:rPr>
        <w:t xml:space="preserve"> </w:t>
      </w:r>
      <w:r w:rsidRPr="0031675F">
        <w:t xml:space="preserve">one </w:t>
      </w:r>
      <w:r w:rsidRPr="0031675F">
        <w:rPr>
          <w:spacing w:val="-1"/>
        </w:rPr>
        <w:t>hour.</w:t>
      </w:r>
    </w:p>
    <w:p w14:paraId="62797F67" w14:textId="77777777" w:rsidR="0031675F" w:rsidRPr="0031675F" w:rsidRDefault="0031675F" w:rsidP="00A47762">
      <w:pPr>
        <w:widowControl w:val="0"/>
        <w:numPr>
          <w:ilvl w:val="2"/>
          <w:numId w:val="205"/>
        </w:numPr>
        <w:tabs>
          <w:tab w:val="left" w:pos="858"/>
        </w:tabs>
        <w:spacing w:before="0" w:after="0" w:line="240" w:lineRule="auto"/>
      </w:pPr>
      <w:r w:rsidRPr="0031675F">
        <w:rPr>
          <w:spacing w:val="-1"/>
        </w:rPr>
        <w:t>See</w:t>
      </w:r>
      <w:r w:rsidRPr="0031675F">
        <w:rPr>
          <w:spacing w:val="1"/>
        </w:rPr>
        <w:t xml:space="preserve"> </w:t>
      </w:r>
      <w:r w:rsidRPr="0031675F">
        <w:rPr>
          <w:spacing w:val="-1"/>
        </w:rPr>
        <w:t>page</w:t>
      </w:r>
      <w:r w:rsidRPr="0031675F">
        <w:rPr>
          <w:spacing w:val="-2"/>
        </w:rPr>
        <w:t xml:space="preserve"> </w:t>
      </w:r>
      <w:r w:rsidRPr="0031675F">
        <w:rPr>
          <w:spacing w:val="-1"/>
        </w:rPr>
        <w:t>3-14</w:t>
      </w:r>
      <w:r w:rsidRPr="0031675F">
        <w:t xml:space="preserve"> and</w:t>
      </w:r>
      <w:r w:rsidRPr="0031675F">
        <w:rPr>
          <w:spacing w:val="-4"/>
        </w:rPr>
        <w:t xml:space="preserve"> </w:t>
      </w:r>
      <w:r w:rsidRPr="0031675F">
        <w:rPr>
          <w:spacing w:val="-1"/>
        </w:rPr>
        <w:t>3-15</w:t>
      </w:r>
      <w:r w:rsidRPr="0031675F">
        <w:rPr>
          <w:spacing w:val="-2"/>
        </w:rPr>
        <w:t xml:space="preserve"> </w:t>
      </w:r>
      <w:r w:rsidRPr="0031675F">
        <w:t>of</w:t>
      </w:r>
      <w:r w:rsidRPr="0031675F">
        <w:rPr>
          <w:spacing w:val="-2"/>
        </w:rPr>
        <w:t xml:space="preserve"> </w:t>
      </w:r>
      <w:r w:rsidRPr="0031675F">
        <w:rPr>
          <w:spacing w:val="-1"/>
        </w:rPr>
        <w:t>manual. Follow</w:t>
      </w:r>
      <w:r w:rsidRPr="0031675F">
        <w:rPr>
          <w:spacing w:val="-2"/>
        </w:rPr>
        <w:t xml:space="preserve"> </w:t>
      </w:r>
      <w:r w:rsidRPr="0031675F">
        <w:rPr>
          <w:spacing w:val="-1"/>
        </w:rPr>
        <w:t>instructions</w:t>
      </w:r>
      <w:r w:rsidRPr="0031675F">
        <w:t xml:space="preserve"> 1</w:t>
      </w:r>
      <w:r w:rsidRPr="0031675F">
        <w:rPr>
          <w:spacing w:val="-1"/>
        </w:rPr>
        <w:t xml:space="preserve"> </w:t>
      </w:r>
      <w:r w:rsidRPr="0031675F">
        <w:t>to</w:t>
      </w:r>
      <w:r w:rsidRPr="0031675F">
        <w:rPr>
          <w:spacing w:val="-1"/>
        </w:rPr>
        <w:t xml:space="preserve"> 7(choose</w:t>
      </w:r>
      <w:r w:rsidRPr="0031675F">
        <w:rPr>
          <w:spacing w:val="-2"/>
        </w:rPr>
        <w:t xml:space="preserve"> </w:t>
      </w:r>
      <w:r w:rsidRPr="0031675F">
        <w:rPr>
          <w:spacing w:val="-1"/>
        </w:rPr>
        <w:t>MED).</w:t>
      </w:r>
    </w:p>
    <w:p w14:paraId="6FCA8A12" w14:textId="77777777" w:rsidR="0031675F" w:rsidRPr="0031675F" w:rsidRDefault="0031675F" w:rsidP="00A47762">
      <w:pPr>
        <w:widowControl w:val="0"/>
        <w:numPr>
          <w:ilvl w:val="2"/>
          <w:numId w:val="205"/>
        </w:numPr>
        <w:tabs>
          <w:tab w:val="left" w:pos="858"/>
          <w:tab w:val="left" w:pos="2665"/>
        </w:tabs>
        <w:spacing w:before="0" w:after="0" w:line="240" w:lineRule="auto"/>
        <w:ind w:right="100"/>
      </w:pPr>
      <w:r w:rsidRPr="0031675F">
        <w:t>Access</w:t>
      </w:r>
      <w:r w:rsidRPr="0031675F">
        <w:rPr>
          <w:spacing w:val="7"/>
        </w:rPr>
        <w:t xml:space="preserve"> </w:t>
      </w:r>
      <w:r w:rsidRPr="0031675F">
        <w:rPr>
          <w:spacing w:val="-1"/>
        </w:rPr>
        <w:t>screen</w:t>
      </w:r>
      <w:r w:rsidRPr="0031675F">
        <w:rPr>
          <w:spacing w:val="4"/>
        </w:rPr>
        <w:t xml:space="preserve"> </w:t>
      </w:r>
      <w:r w:rsidRPr="0031675F">
        <w:rPr>
          <w:spacing w:val="-1"/>
        </w:rPr>
        <w:t>2.2</w:t>
      </w:r>
      <w:r w:rsidRPr="0031675F">
        <w:rPr>
          <w:spacing w:val="-1"/>
        </w:rPr>
        <w:tab/>
        <w:t>Use</w:t>
      </w:r>
      <w:r w:rsidRPr="0031675F">
        <w:rPr>
          <w:spacing w:val="8"/>
        </w:rPr>
        <w:t xml:space="preserve"> </w:t>
      </w:r>
      <w:r w:rsidRPr="0031675F">
        <w:rPr>
          <w:spacing w:val="-1"/>
        </w:rPr>
        <w:t>the</w:t>
      </w:r>
      <w:r w:rsidRPr="0031675F">
        <w:rPr>
          <w:spacing w:val="8"/>
        </w:rPr>
        <w:t xml:space="preserve"> </w:t>
      </w:r>
      <w:r w:rsidRPr="0031675F">
        <w:rPr>
          <w:spacing w:val="-1"/>
        </w:rPr>
        <w:t>solid</w:t>
      </w:r>
      <w:r w:rsidRPr="0031675F">
        <w:rPr>
          <w:spacing w:val="6"/>
        </w:rPr>
        <w:t xml:space="preserve"> </w:t>
      </w:r>
      <w:r w:rsidRPr="0031675F">
        <w:rPr>
          <w:spacing w:val="-1"/>
        </w:rPr>
        <w:t>state</w:t>
      </w:r>
      <w:r w:rsidRPr="0031675F">
        <w:rPr>
          <w:spacing w:val="8"/>
        </w:rPr>
        <w:t xml:space="preserve"> </w:t>
      </w:r>
      <w:r w:rsidRPr="0031675F">
        <w:rPr>
          <w:spacing w:val="-1"/>
        </w:rPr>
        <w:t>standard</w:t>
      </w:r>
      <w:r w:rsidRPr="0031675F">
        <w:rPr>
          <w:spacing w:val="6"/>
        </w:rPr>
        <w:t xml:space="preserve"> </w:t>
      </w:r>
      <w:r w:rsidRPr="0031675F">
        <w:t xml:space="preserve">L </w:t>
      </w:r>
      <w:r w:rsidRPr="0031675F">
        <w:rPr>
          <w:spacing w:val="13"/>
        </w:rPr>
        <w:t xml:space="preserve"> </w:t>
      </w:r>
      <w:r w:rsidRPr="0031675F">
        <w:rPr>
          <w:spacing w:val="-2"/>
        </w:rPr>
        <w:t>and</w:t>
      </w:r>
      <w:r w:rsidRPr="0031675F">
        <w:rPr>
          <w:spacing w:val="6"/>
        </w:rPr>
        <w:t xml:space="preserve"> </w:t>
      </w:r>
      <w:r w:rsidRPr="0031675F">
        <w:rPr>
          <w:spacing w:val="-1"/>
        </w:rPr>
        <w:t>set</w:t>
      </w:r>
      <w:r w:rsidRPr="0031675F">
        <w:rPr>
          <w:spacing w:val="8"/>
        </w:rPr>
        <w:t xml:space="preserve"> </w:t>
      </w:r>
      <w:r w:rsidRPr="0031675F">
        <w:rPr>
          <w:spacing w:val="-1"/>
        </w:rPr>
        <w:t>the</w:t>
      </w:r>
      <w:r w:rsidRPr="0031675F">
        <w:rPr>
          <w:spacing w:val="8"/>
        </w:rPr>
        <w:t xml:space="preserve"> </w:t>
      </w:r>
      <w:r w:rsidRPr="0031675F">
        <w:t>raw</w:t>
      </w:r>
      <w:r w:rsidRPr="0031675F">
        <w:rPr>
          <w:spacing w:val="5"/>
        </w:rPr>
        <w:t xml:space="preserve"> </w:t>
      </w:r>
      <w:r w:rsidRPr="0031675F">
        <w:rPr>
          <w:spacing w:val="-1"/>
        </w:rPr>
        <w:t>fluorescence</w:t>
      </w:r>
      <w:r w:rsidRPr="0031675F">
        <w:rPr>
          <w:spacing w:val="5"/>
        </w:rPr>
        <w:t xml:space="preserve"> </w:t>
      </w:r>
      <w:r w:rsidRPr="0031675F">
        <w:t>to</w:t>
      </w:r>
      <w:r w:rsidRPr="0031675F">
        <w:rPr>
          <w:spacing w:val="6"/>
        </w:rPr>
        <w:t xml:space="preserve"> </w:t>
      </w:r>
      <w:r w:rsidRPr="0031675F">
        <w:rPr>
          <w:spacing w:val="-1"/>
        </w:rPr>
        <w:t>0.999</w:t>
      </w:r>
      <w:r w:rsidRPr="0031675F">
        <w:rPr>
          <w:spacing w:val="5"/>
        </w:rPr>
        <w:t xml:space="preserve"> </w:t>
      </w:r>
      <w:r w:rsidRPr="0031675F">
        <w:rPr>
          <w:spacing w:val="-1"/>
        </w:rPr>
        <w:t>(as</w:t>
      </w:r>
      <w:r w:rsidRPr="0031675F">
        <w:rPr>
          <w:spacing w:val="32"/>
        </w:rPr>
        <w:t xml:space="preserve"> </w:t>
      </w:r>
      <w:r w:rsidRPr="0031675F">
        <w:rPr>
          <w:spacing w:val="-1"/>
        </w:rPr>
        <w:t>per</w:t>
      </w:r>
      <w:r w:rsidRPr="0031675F">
        <w:t xml:space="preserve"> </w:t>
      </w:r>
      <w:r w:rsidRPr="0031675F">
        <w:rPr>
          <w:spacing w:val="-1"/>
        </w:rPr>
        <w:t>page</w:t>
      </w:r>
      <w:r w:rsidRPr="0031675F">
        <w:rPr>
          <w:spacing w:val="-2"/>
        </w:rPr>
        <w:t xml:space="preserve"> </w:t>
      </w:r>
      <w:r w:rsidRPr="0031675F">
        <w:rPr>
          <w:spacing w:val="-1"/>
        </w:rPr>
        <w:t>3-15</w:t>
      </w:r>
      <w:r w:rsidRPr="0031675F">
        <w:t xml:space="preserve"> </w:t>
      </w:r>
      <w:r w:rsidRPr="0031675F">
        <w:rPr>
          <w:spacing w:val="-1"/>
        </w:rPr>
        <w:t>step</w:t>
      </w:r>
      <w:r w:rsidRPr="0031675F">
        <w:t xml:space="preserve"> </w:t>
      </w:r>
      <w:r w:rsidRPr="0031675F">
        <w:rPr>
          <w:spacing w:val="-1"/>
        </w:rPr>
        <w:t>8).</w:t>
      </w:r>
    </w:p>
    <w:p w14:paraId="08DDC704" w14:textId="77777777" w:rsidR="0031675F" w:rsidRPr="0031675F" w:rsidRDefault="0031675F" w:rsidP="00A47762">
      <w:pPr>
        <w:widowControl w:val="0"/>
        <w:numPr>
          <w:ilvl w:val="2"/>
          <w:numId w:val="205"/>
        </w:numPr>
        <w:tabs>
          <w:tab w:val="left" w:pos="858"/>
        </w:tabs>
        <w:spacing w:before="0" w:after="0" w:line="240" w:lineRule="auto"/>
      </w:pPr>
      <w:r w:rsidRPr="0031675F">
        <w:rPr>
          <w:spacing w:val="-1"/>
        </w:rPr>
        <w:t>Set</w:t>
      </w:r>
      <w:r w:rsidRPr="0031675F">
        <w:rPr>
          <w:spacing w:val="1"/>
        </w:rPr>
        <w:t xml:space="preserve"> </w:t>
      </w:r>
      <w:r w:rsidRPr="0031675F">
        <w:rPr>
          <w:spacing w:val="-1"/>
        </w:rPr>
        <w:t>subtract</w:t>
      </w:r>
      <w:r w:rsidRPr="0031675F">
        <w:t xml:space="preserve"> </w:t>
      </w:r>
      <w:r w:rsidRPr="0031675F">
        <w:rPr>
          <w:spacing w:val="-1"/>
        </w:rPr>
        <w:t>blank</w:t>
      </w:r>
      <w:r w:rsidRPr="0031675F">
        <w:t xml:space="preserve"> </w:t>
      </w:r>
      <w:r w:rsidRPr="0031675F">
        <w:rPr>
          <w:spacing w:val="-1"/>
        </w:rPr>
        <w:t>to</w:t>
      </w:r>
      <w:r w:rsidRPr="0031675F">
        <w:rPr>
          <w:spacing w:val="1"/>
        </w:rPr>
        <w:t xml:space="preserve"> </w:t>
      </w:r>
      <w:r w:rsidRPr="0031675F">
        <w:rPr>
          <w:spacing w:val="-2"/>
        </w:rPr>
        <w:t>NO</w:t>
      </w:r>
      <w:r w:rsidRPr="0031675F">
        <w:t xml:space="preserve"> </w:t>
      </w:r>
      <w:r w:rsidRPr="0031675F">
        <w:rPr>
          <w:spacing w:val="-1"/>
        </w:rPr>
        <w:t>(step9).</w:t>
      </w:r>
    </w:p>
    <w:p w14:paraId="11C4095F" w14:textId="77777777" w:rsidR="0031675F" w:rsidRPr="0031675F" w:rsidRDefault="0031675F" w:rsidP="00A47762">
      <w:pPr>
        <w:widowControl w:val="0"/>
        <w:numPr>
          <w:ilvl w:val="2"/>
          <w:numId w:val="205"/>
        </w:numPr>
        <w:tabs>
          <w:tab w:val="left" w:pos="858"/>
        </w:tabs>
        <w:spacing w:before="0" w:after="0" w:line="240" w:lineRule="auto"/>
      </w:pPr>
      <w:r w:rsidRPr="0031675F">
        <w:t>Run</w:t>
      </w:r>
      <w:r w:rsidRPr="0031675F">
        <w:rPr>
          <w:spacing w:val="-2"/>
        </w:rPr>
        <w:t xml:space="preserve"> </w:t>
      </w:r>
      <w:r w:rsidRPr="0031675F">
        <w:t xml:space="preserve">a </w:t>
      </w:r>
      <w:r w:rsidRPr="0031675F">
        <w:rPr>
          <w:spacing w:val="-1"/>
        </w:rPr>
        <w:t>blank(step</w:t>
      </w:r>
      <w:r w:rsidRPr="0031675F">
        <w:t xml:space="preserve"> </w:t>
      </w:r>
      <w:r w:rsidRPr="0031675F">
        <w:rPr>
          <w:spacing w:val="-1"/>
        </w:rPr>
        <w:t>10).</w:t>
      </w:r>
    </w:p>
    <w:p w14:paraId="58CBF6A8" w14:textId="77777777" w:rsidR="0031675F" w:rsidRPr="0031675F" w:rsidRDefault="0031675F" w:rsidP="00A47762">
      <w:pPr>
        <w:widowControl w:val="0"/>
        <w:numPr>
          <w:ilvl w:val="2"/>
          <w:numId w:val="205"/>
        </w:numPr>
        <w:tabs>
          <w:tab w:val="left" w:pos="858"/>
        </w:tabs>
        <w:spacing w:before="0" w:after="0" w:line="240" w:lineRule="auto"/>
      </w:pPr>
      <w:r w:rsidRPr="0031675F">
        <w:t>Access</w:t>
      </w:r>
      <w:r w:rsidRPr="0031675F">
        <w:rPr>
          <w:spacing w:val="-3"/>
        </w:rPr>
        <w:t xml:space="preserve"> </w:t>
      </w:r>
      <w:r w:rsidRPr="0031675F">
        <w:rPr>
          <w:spacing w:val="-1"/>
        </w:rPr>
        <w:t>screen</w:t>
      </w:r>
      <w:r w:rsidRPr="0031675F">
        <w:t xml:space="preserve"> </w:t>
      </w:r>
      <w:r w:rsidRPr="0031675F">
        <w:rPr>
          <w:spacing w:val="-1"/>
        </w:rPr>
        <w:t>2.11.</w:t>
      </w:r>
    </w:p>
    <w:p w14:paraId="23C27AFA" w14:textId="77777777" w:rsidR="0031675F" w:rsidRPr="0031675F" w:rsidRDefault="0031675F" w:rsidP="0031675F">
      <w:pPr>
        <w:rPr>
          <w:rFonts w:cs="Calibri"/>
          <w:sz w:val="20"/>
          <w:szCs w:val="20"/>
        </w:rPr>
      </w:pPr>
    </w:p>
    <w:p w14:paraId="76F48A88" w14:textId="77777777" w:rsidR="0031675F" w:rsidRPr="0031675F" w:rsidRDefault="0031675F" w:rsidP="0031675F">
      <w:pPr>
        <w:rPr>
          <w:rFonts w:cs="Calibri"/>
          <w:sz w:val="20"/>
          <w:szCs w:val="20"/>
        </w:rPr>
      </w:pPr>
    </w:p>
    <w:p w14:paraId="1E7368B6" w14:textId="77777777" w:rsidR="0031675F" w:rsidRPr="0031675F" w:rsidRDefault="0031675F" w:rsidP="0031675F">
      <w:pPr>
        <w:rPr>
          <w:rFonts w:cs="Calibri"/>
          <w:sz w:val="20"/>
          <w:szCs w:val="20"/>
        </w:rPr>
      </w:pPr>
    </w:p>
    <w:p w14:paraId="4C84D7C5" w14:textId="77777777" w:rsidR="0031675F" w:rsidRPr="0031675F" w:rsidRDefault="0031675F" w:rsidP="0031675F">
      <w:pPr>
        <w:rPr>
          <w:rFonts w:cs="Calibri"/>
          <w:sz w:val="20"/>
          <w:szCs w:val="20"/>
        </w:rPr>
      </w:pPr>
    </w:p>
    <w:p w14:paraId="1F568F9D" w14:textId="77777777" w:rsidR="0031675F" w:rsidRPr="0031675F" w:rsidRDefault="0031675F" w:rsidP="0031675F">
      <w:pPr>
        <w:rPr>
          <w:rFonts w:cs="Calibri"/>
          <w:sz w:val="20"/>
          <w:szCs w:val="20"/>
        </w:rPr>
      </w:pPr>
    </w:p>
    <w:p w14:paraId="56D034DA" w14:textId="77777777" w:rsidR="0031675F" w:rsidRPr="0031675F" w:rsidRDefault="0031675F" w:rsidP="0031675F">
      <w:pPr>
        <w:rPr>
          <w:rFonts w:cs="Calibri"/>
          <w:sz w:val="20"/>
          <w:szCs w:val="20"/>
        </w:rPr>
      </w:pPr>
    </w:p>
    <w:p w14:paraId="0C887F97" w14:textId="77777777" w:rsidR="0031675F" w:rsidRPr="0031675F" w:rsidRDefault="0031675F" w:rsidP="0031675F">
      <w:pPr>
        <w:rPr>
          <w:rFonts w:cs="Calibri"/>
          <w:sz w:val="20"/>
          <w:szCs w:val="20"/>
        </w:rPr>
      </w:pPr>
    </w:p>
    <w:p w14:paraId="6B938903" w14:textId="77777777" w:rsidR="0031675F" w:rsidRPr="0031675F" w:rsidRDefault="0031675F" w:rsidP="0031675F">
      <w:pPr>
        <w:rPr>
          <w:rFonts w:cs="Calibri"/>
          <w:sz w:val="20"/>
          <w:szCs w:val="20"/>
        </w:rPr>
      </w:pPr>
    </w:p>
    <w:p w14:paraId="15FC2B08" w14:textId="77777777" w:rsidR="0031675F" w:rsidRPr="0031675F" w:rsidRDefault="0031675F" w:rsidP="0031675F">
      <w:pPr>
        <w:rPr>
          <w:rFonts w:cs="Calibri"/>
          <w:sz w:val="20"/>
          <w:szCs w:val="20"/>
        </w:rPr>
      </w:pPr>
    </w:p>
    <w:p w14:paraId="060B9DF6" w14:textId="77777777" w:rsidR="0031675F" w:rsidRPr="0031675F" w:rsidRDefault="0031675F" w:rsidP="0031675F">
      <w:pPr>
        <w:rPr>
          <w:rFonts w:cs="Calibri"/>
          <w:sz w:val="20"/>
          <w:szCs w:val="20"/>
        </w:rPr>
      </w:pPr>
    </w:p>
    <w:p w14:paraId="06B7A7DC" w14:textId="77777777" w:rsidR="0031675F" w:rsidRPr="0031675F" w:rsidRDefault="0031675F" w:rsidP="0031675F">
      <w:pPr>
        <w:jc w:val="center"/>
        <w:rPr>
          <w:rFonts w:cs="Calibri"/>
          <w:sz w:val="20"/>
          <w:szCs w:val="20"/>
        </w:rPr>
        <w:sectPr w:rsidR="0031675F" w:rsidRPr="0031675F" w:rsidSect="004A5C83">
          <w:pgSz w:w="11910" w:h="16850"/>
          <w:pgMar w:top="720" w:right="1281" w:bottom="697" w:left="1281" w:header="520" w:footer="0" w:gutter="0"/>
          <w:paperSrc w:first="7" w:other="7"/>
          <w:cols w:space="720"/>
        </w:sectPr>
      </w:pPr>
    </w:p>
    <w:p w14:paraId="4EAF4CF5" w14:textId="77777777" w:rsidR="0031675F" w:rsidRPr="0031675F" w:rsidRDefault="0031675F" w:rsidP="0031675F">
      <w:pPr>
        <w:rPr>
          <w:rFonts w:eastAsia="Arial" w:cs="Arial"/>
          <w:sz w:val="24"/>
          <w:szCs w:val="24"/>
        </w:rPr>
      </w:pPr>
      <w:r w:rsidRPr="0031675F">
        <w:rPr>
          <w:noProof/>
          <w:lang w:eastAsia="en-AU"/>
        </w:rPr>
        <w:drawing>
          <wp:anchor distT="0" distB="0" distL="114300" distR="114300" simplePos="0" relativeHeight="251556864" behindDoc="1" locked="0" layoutInCell="1" allowOverlap="1" wp14:anchorId="03C92046" wp14:editId="7A322A26">
            <wp:simplePos x="0" y="0"/>
            <wp:positionH relativeFrom="page">
              <wp:posOffset>929640</wp:posOffset>
            </wp:positionH>
            <wp:positionV relativeFrom="page">
              <wp:posOffset>2659380</wp:posOffset>
            </wp:positionV>
            <wp:extent cx="7922260" cy="166370"/>
            <wp:effectExtent l="0" t="0" r="2540" b="5080"/>
            <wp:wrapNone/>
            <wp:docPr id="11578" name="Picture 8008" descr="Example spreadsheet with equations.&#10;" title="Example spreadsheet for spectrophotometric calibration of fluorome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08"/>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7922260" cy="166370"/>
                    </a:xfrm>
                    <a:prstGeom prst="rect">
                      <a:avLst/>
                    </a:prstGeom>
                    <a:noFill/>
                  </pic:spPr>
                </pic:pic>
              </a:graphicData>
            </a:graphic>
            <wp14:sizeRelH relativeFrom="page">
              <wp14:pctWidth>0</wp14:pctWidth>
            </wp14:sizeRelH>
            <wp14:sizeRelV relativeFrom="page">
              <wp14:pctHeight>0</wp14:pctHeight>
            </wp14:sizeRelV>
          </wp:anchor>
        </w:drawing>
      </w:r>
      <w:r w:rsidRPr="0031675F">
        <w:rPr>
          <w:b/>
          <w:spacing w:val="-1"/>
          <w:sz w:val="24"/>
        </w:rPr>
        <w:t>Attachment</w:t>
      </w:r>
      <w:r w:rsidRPr="0031675F">
        <w:rPr>
          <w:b/>
          <w:sz w:val="24"/>
        </w:rPr>
        <w:t xml:space="preserve"> 9.3</w:t>
      </w:r>
      <w:r w:rsidRPr="0031675F">
        <w:rPr>
          <w:b/>
          <w:sz w:val="24"/>
        </w:rPr>
        <w:tab/>
      </w:r>
      <w:r w:rsidRPr="0031675F">
        <w:rPr>
          <w:b/>
          <w:spacing w:val="-1"/>
          <w:sz w:val="24"/>
        </w:rPr>
        <w:t>Example</w:t>
      </w:r>
      <w:r w:rsidRPr="0031675F">
        <w:rPr>
          <w:b/>
          <w:spacing w:val="2"/>
          <w:sz w:val="24"/>
        </w:rPr>
        <w:t xml:space="preserve"> </w:t>
      </w:r>
      <w:r w:rsidRPr="0031675F">
        <w:rPr>
          <w:b/>
          <w:spacing w:val="-1"/>
          <w:sz w:val="24"/>
        </w:rPr>
        <w:t>spreadsheet</w:t>
      </w:r>
      <w:r w:rsidRPr="0031675F">
        <w:rPr>
          <w:b/>
          <w:sz w:val="24"/>
        </w:rPr>
        <w:t xml:space="preserve"> </w:t>
      </w:r>
      <w:r w:rsidRPr="0031675F">
        <w:rPr>
          <w:b/>
          <w:spacing w:val="-1"/>
          <w:sz w:val="24"/>
        </w:rPr>
        <w:t>for</w:t>
      </w:r>
      <w:r w:rsidRPr="0031675F">
        <w:rPr>
          <w:b/>
          <w:spacing w:val="2"/>
          <w:sz w:val="24"/>
        </w:rPr>
        <w:t xml:space="preserve"> </w:t>
      </w:r>
      <w:r w:rsidRPr="0031675F">
        <w:rPr>
          <w:b/>
          <w:spacing w:val="-1"/>
          <w:sz w:val="24"/>
        </w:rPr>
        <w:t>spectrophotometric</w:t>
      </w:r>
      <w:r w:rsidRPr="0031675F">
        <w:rPr>
          <w:b/>
          <w:spacing w:val="2"/>
          <w:sz w:val="24"/>
        </w:rPr>
        <w:t xml:space="preserve"> </w:t>
      </w:r>
      <w:r w:rsidRPr="0031675F">
        <w:rPr>
          <w:b/>
          <w:spacing w:val="-1"/>
          <w:sz w:val="24"/>
        </w:rPr>
        <w:t>calibration</w:t>
      </w:r>
      <w:r w:rsidRPr="0031675F">
        <w:rPr>
          <w:b/>
          <w:sz w:val="24"/>
        </w:rPr>
        <w:t xml:space="preserve"> of</w:t>
      </w:r>
      <w:r w:rsidRPr="0031675F">
        <w:rPr>
          <w:b/>
          <w:spacing w:val="-1"/>
          <w:sz w:val="24"/>
        </w:rPr>
        <w:t xml:space="preserve"> fluorometer</w:t>
      </w:r>
      <w:r w:rsidRPr="0031675F">
        <w:rPr>
          <w:b/>
          <w:spacing w:val="1"/>
          <w:sz w:val="24"/>
        </w:rPr>
        <w:t xml:space="preserve"> </w:t>
      </w:r>
      <w:r w:rsidRPr="0031675F">
        <w:rPr>
          <w:b/>
          <w:spacing w:val="-1"/>
          <w:sz w:val="24"/>
        </w:rPr>
        <w:t>(example showing</w:t>
      </w:r>
      <w:r w:rsidRPr="0031675F">
        <w:rPr>
          <w:b/>
          <w:spacing w:val="-2"/>
          <w:sz w:val="24"/>
        </w:rPr>
        <w:t xml:space="preserve"> </w:t>
      </w:r>
      <w:r w:rsidRPr="0031675F">
        <w:rPr>
          <w:b/>
          <w:sz w:val="24"/>
        </w:rPr>
        <w:t>equations)</w:t>
      </w:r>
    </w:p>
    <w:p w14:paraId="36282906" w14:textId="77777777" w:rsidR="0031675F" w:rsidRPr="0031675F" w:rsidRDefault="0031675F" w:rsidP="0031675F">
      <w:pPr>
        <w:spacing w:before="6"/>
        <w:rPr>
          <w:rFonts w:eastAsia="Arial" w:cs="Arial"/>
          <w:b/>
          <w:bCs/>
          <w:sz w:val="23"/>
          <w:szCs w:val="23"/>
        </w:rPr>
      </w:pPr>
    </w:p>
    <w:tbl>
      <w:tblPr>
        <w:tblW w:w="0" w:type="auto"/>
        <w:tblInd w:w="145" w:type="dxa"/>
        <w:tblLayout w:type="fixed"/>
        <w:tblCellMar>
          <w:left w:w="0" w:type="dxa"/>
          <w:right w:w="0" w:type="dxa"/>
        </w:tblCellMar>
        <w:tblLook w:val="01E0" w:firstRow="1" w:lastRow="1" w:firstColumn="1" w:lastColumn="1" w:noHBand="0" w:noVBand="0"/>
        <w:tblCaption w:val="Example spreadsheet for spectrophotometric calibration of fluorometer "/>
        <w:tblDescription w:val="Example spreadsheet for spectrophotometric calibration of fluorometer showing equations"/>
      </w:tblPr>
      <w:tblGrid>
        <w:gridCol w:w="2100"/>
        <w:gridCol w:w="2508"/>
        <w:gridCol w:w="1262"/>
        <w:gridCol w:w="1782"/>
        <w:gridCol w:w="1262"/>
        <w:gridCol w:w="1262"/>
        <w:gridCol w:w="2313"/>
      </w:tblGrid>
      <w:tr w:rsidR="0031675F" w:rsidRPr="0031675F" w14:paraId="40F5EFEB" w14:textId="77777777" w:rsidTr="00B00729">
        <w:trPr>
          <w:trHeight w:hRule="exact" w:val="249"/>
        </w:trPr>
        <w:tc>
          <w:tcPr>
            <w:tcW w:w="4608" w:type="dxa"/>
            <w:gridSpan w:val="2"/>
            <w:tcBorders>
              <w:top w:val="single" w:sz="7" w:space="0" w:color="C0C0C0"/>
              <w:left w:val="single" w:sz="7" w:space="0" w:color="C0C0C0"/>
              <w:bottom w:val="single" w:sz="7" w:space="0" w:color="C0C0C0"/>
              <w:right w:val="single" w:sz="7" w:space="0" w:color="C0C0C0"/>
            </w:tcBorders>
          </w:tcPr>
          <w:p w14:paraId="3DBA92BD" w14:textId="77777777" w:rsidR="0031675F" w:rsidRPr="0031675F" w:rsidRDefault="0031675F" w:rsidP="0031675F">
            <w:pPr>
              <w:widowControl w:val="0"/>
              <w:spacing w:before="12" w:after="0" w:line="240" w:lineRule="auto"/>
              <w:ind w:left="32"/>
              <w:rPr>
                <w:rFonts w:eastAsia="Arial" w:cs="Arial"/>
                <w:sz w:val="19"/>
                <w:szCs w:val="19"/>
                <w:lang w:val="en-US"/>
              </w:rPr>
            </w:pPr>
            <w:r w:rsidRPr="0031675F">
              <w:rPr>
                <w:rFonts w:eastAsia="Calibri" w:hAnsi="Calibri"/>
                <w:b/>
                <w:spacing w:val="-4"/>
                <w:w w:val="110"/>
                <w:sz w:val="19"/>
                <w:lang w:val="en-US"/>
              </w:rPr>
              <w:t>CALIBRATING</w:t>
            </w:r>
            <w:r w:rsidRPr="0031675F">
              <w:rPr>
                <w:rFonts w:eastAsia="Calibri" w:hAnsi="Calibri"/>
                <w:b/>
                <w:spacing w:val="-34"/>
                <w:w w:val="110"/>
                <w:sz w:val="19"/>
                <w:lang w:val="en-US"/>
              </w:rPr>
              <w:t xml:space="preserve"> </w:t>
            </w:r>
            <w:r w:rsidRPr="0031675F">
              <w:rPr>
                <w:rFonts w:eastAsia="Calibri" w:hAnsi="Calibri"/>
                <w:b/>
                <w:spacing w:val="-5"/>
                <w:w w:val="110"/>
                <w:sz w:val="19"/>
                <w:lang w:val="en-US"/>
              </w:rPr>
              <w:t>FLUOROMETERS</w:t>
            </w:r>
          </w:p>
        </w:tc>
        <w:tc>
          <w:tcPr>
            <w:tcW w:w="1262" w:type="dxa"/>
            <w:tcBorders>
              <w:top w:val="single" w:sz="7" w:space="0" w:color="C0C0C0"/>
              <w:left w:val="single" w:sz="7" w:space="0" w:color="C0C0C0"/>
              <w:bottom w:val="single" w:sz="7" w:space="0" w:color="C0C0C0"/>
              <w:right w:val="single" w:sz="7" w:space="0" w:color="C0C0C0"/>
            </w:tcBorders>
          </w:tcPr>
          <w:p w14:paraId="399C220B" w14:textId="77777777" w:rsidR="0031675F" w:rsidRPr="0031675F" w:rsidRDefault="0031675F" w:rsidP="0031675F"/>
        </w:tc>
        <w:tc>
          <w:tcPr>
            <w:tcW w:w="1782" w:type="dxa"/>
            <w:tcBorders>
              <w:top w:val="single" w:sz="7" w:space="0" w:color="C0C0C0"/>
              <w:left w:val="single" w:sz="7" w:space="0" w:color="C0C0C0"/>
              <w:bottom w:val="single" w:sz="7" w:space="0" w:color="C0C0C0"/>
              <w:right w:val="single" w:sz="7" w:space="0" w:color="C0C0C0"/>
            </w:tcBorders>
          </w:tcPr>
          <w:p w14:paraId="35D2E17B"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7620EB38"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67ECC4BE" w14:textId="77777777" w:rsidR="0031675F" w:rsidRPr="0031675F" w:rsidRDefault="0031675F" w:rsidP="0031675F"/>
        </w:tc>
        <w:tc>
          <w:tcPr>
            <w:tcW w:w="2313" w:type="dxa"/>
            <w:tcBorders>
              <w:top w:val="single" w:sz="7" w:space="0" w:color="C0C0C0"/>
              <w:left w:val="single" w:sz="7" w:space="0" w:color="C0C0C0"/>
              <w:bottom w:val="single" w:sz="7" w:space="0" w:color="C0C0C0"/>
              <w:right w:val="single" w:sz="7" w:space="0" w:color="C0C0C0"/>
            </w:tcBorders>
          </w:tcPr>
          <w:p w14:paraId="0144A18B" w14:textId="77777777" w:rsidR="0031675F" w:rsidRPr="0031675F" w:rsidRDefault="0031675F" w:rsidP="0031675F"/>
        </w:tc>
      </w:tr>
      <w:tr w:rsidR="0031675F" w:rsidRPr="0031675F" w14:paraId="0C7E0E9A" w14:textId="77777777" w:rsidTr="00B00729">
        <w:trPr>
          <w:trHeight w:hRule="exact" w:val="247"/>
        </w:trPr>
        <w:tc>
          <w:tcPr>
            <w:tcW w:w="2100" w:type="dxa"/>
            <w:tcBorders>
              <w:top w:val="single" w:sz="7" w:space="0" w:color="C0C0C0"/>
              <w:left w:val="single" w:sz="7" w:space="0" w:color="C0C0C0"/>
              <w:bottom w:val="single" w:sz="7" w:space="0" w:color="C0C0C0"/>
              <w:right w:val="single" w:sz="7" w:space="0" w:color="C0C0C0"/>
            </w:tcBorders>
          </w:tcPr>
          <w:p w14:paraId="3601DA79"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spacing w:val="-1"/>
                <w:w w:val="110"/>
                <w:sz w:val="19"/>
                <w:lang w:val="en-US"/>
              </w:rPr>
              <w:t>Da</w:t>
            </w:r>
            <w:r w:rsidRPr="0031675F">
              <w:rPr>
                <w:rFonts w:eastAsia="Calibri" w:hAnsi="Calibri"/>
                <w:spacing w:val="-2"/>
                <w:w w:val="110"/>
                <w:sz w:val="19"/>
                <w:lang w:val="en-US"/>
              </w:rPr>
              <w:t>t</w:t>
            </w:r>
            <w:r w:rsidRPr="0031675F">
              <w:rPr>
                <w:rFonts w:eastAsia="Calibri" w:hAnsi="Calibri"/>
                <w:spacing w:val="-1"/>
                <w:w w:val="110"/>
                <w:sz w:val="19"/>
                <w:lang w:val="en-US"/>
              </w:rPr>
              <w:t>e</w:t>
            </w:r>
            <w:r w:rsidRPr="0031675F">
              <w:rPr>
                <w:rFonts w:eastAsia="Calibri" w:hAnsi="Calibri"/>
                <w:spacing w:val="-2"/>
                <w:w w:val="110"/>
                <w:sz w:val="19"/>
                <w:lang w:val="en-US"/>
              </w:rPr>
              <w:t>:</w:t>
            </w:r>
            <w:r w:rsidRPr="0031675F">
              <w:rPr>
                <w:rFonts w:eastAsia="Calibri" w:hAnsi="Calibri"/>
                <w:spacing w:val="-1"/>
                <w:w w:val="110"/>
                <w:sz w:val="19"/>
                <w:lang w:val="en-US"/>
              </w:rPr>
              <w:t>9</w:t>
            </w:r>
            <w:r w:rsidRPr="0031675F">
              <w:rPr>
                <w:rFonts w:eastAsia="Calibri" w:hAnsi="Calibri"/>
                <w:spacing w:val="-9"/>
                <w:w w:val="110"/>
                <w:sz w:val="19"/>
                <w:lang w:val="en-US"/>
              </w:rPr>
              <w:t xml:space="preserve"> </w:t>
            </w:r>
            <w:r w:rsidRPr="0031675F">
              <w:rPr>
                <w:rFonts w:eastAsia="Calibri" w:hAnsi="Calibri"/>
                <w:spacing w:val="-3"/>
                <w:w w:val="110"/>
                <w:sz w:val="19"/>
                <w:lang w:val="en-US"/>
              </w:rPr>
              <w:t>Feb</w:t>
            </w:r>
            <w:r w:rsidRPr="0031675F">
              <w:rPr>
                <w:rFonts w:eastAsia="Calibri" w:hAnsi="Calibri"/>
                <w:spacing w:val="-8"/>
                <w:w w:val="110"/>
                <w:sz w:val="19"/>
                <w:lang w:val="en-US"/>
              </w:rPr>
              <w:t xml:space="preserve"> </w:t>
            </w:r>
            <w:r w:rsidRPr="0031675F">
              <w:rPr>
                <w:rFonts w:eastAsia="Calibri" w:hAnsi="Calibri"/>
                <w:spacing w:val="-4"/>
                <w:w w:val="110"/>
                <w:sz w:val="19"/>
                <w:lang w:val="en-US"/>
              </w:rPr>
              <w:t>2006</w:t>
            </w:r>
          </w:p>
        </w:tc>
        <w:tc>
          <w:tcPr>
            <w:tcW w:w="2508" w:type="dxa"/>
            <w:tcBorders>
              <w:top w:val="single" w:sz="7" w:space="0" w:color="C0C0C0"/>
              <w:left w:val="single" w:sz="7" w:space="0" w:color="C0C0C0"/>
              <w:bottom w:val="single" w:sz="7" w:space="0" w:color="C0C0C0"/>
              <w:right w:val="single" w:sz="7" w:space="0" w:color="C0C0C0"/>
            </w:tcBorders>
          </w:tcPr>
          <w:p w14:paraId="00271992"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770C9FB2" w14:textId="77777777" w:rsidR="0031675F" w:rsidRPr="0031675F" w:rsidRDefault="0031675F" w:rsidP="0031675F"/>
        </w:tc>
        <w:tc>
          <w:tcPr>
            <w:tcW w:w="1782" w:type="dxa"/>
            <w:tcBorders>
              <w:top w:val="single" w:sz="7" w:space="0" w:color="C0C0C0"/>
              <w:left w:val="single" w:sz="7" w:space="0" w:color="C0C0C0"/>
              <w:bottom w:val="single" w:sz="7" w:space="0" w:color="C0C0C0"/>
              <w:right w:val="single" w:sz="7" w:space="0" w:color="C0C0C0"/>
            </w:tcBorders>
          </w:tcPr>
          <w:p w14:paraId="3A576F92"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475FF84C"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47C567A8" w14:textId="77777777" w:rsidR="0031675F" w:rsidRPr="0031675F" w:rsidRDefault="0031675F" w:rsidP="0031675F"/>
        </w:tc>
        <w:tc>
          <w:tcPr>
            <w:tcW w:w="2313" w:type="dxa"/>
            <w:tcBorders>
              <w:top w:val="single" w:sz="7" w:space="0" w:color="C0C0C0"/>
              <w:left w:val="single" w:sz="7" w:space="0" w:color="C0C0C0"/>
              <w:bottom w:val="single" w:sz="7" w:space="0" w:color="C0C0C0"/>
              <w:right w:val="single" w:sz="7" w:space="0" w:color="C0C0C0"/>
            </w:tcBorders>
          </w:tcPr>
          <w:p w14:paraId="7B266F05" w14:textId="77777777" w:rsidR="0031675F" w:rsidRPr="0031675F" w:rsidRDefault="0031675F" w:rsidP="0031675F"/>
        </w:tc>
      </w:tr>
      <w:tr w:rsidR="0031675F" w:rsidRPr="0031675F" w14:paraId="5367AA9F" w14:textId="77777777" w:rsidTr="00B00729">
        <w:trPr>
          <w:trHeight w:hRule="exact" w:val="247"/>
        </w:trPr>
        <w:tc>
          <w:tcPr>
            <w:tcW w:w="4608" w:type="dxa"/>
            <w:gridSpan w:val="2"/>
            <w:tcBorders>
              <w:top w:val="single" w:sz="7" w:space="0" w:color="C0C0C0"/>
              <w:left w:val="single" w:sz="7" w:space="0" w:color="C0C0C0"/>
              <w:bottom w:val="single" w:sz="7" w:space="0" w:color="000000"/>
              <w:right w:val="single" w:sz="7" w:space="0" w:color="C0C0C0"/>
            </w:tcBorders>
          </w:tcPr>
          <w:p w14:paraId="5B02E01E" w14:textId="77777777" w:rsidR="0031675F" w:rsidRPr="0031675F" w:rsidRDefault="0031675F" w:rsidP="0031675F">
            <w:pPr>
              <w:widowControl w:val="0"/>
              <w:spacing w:before="10" w:after="0" w:line="240" w:lineRule="auto"/>
              <w:ind w:left="32"/>
              <w:rPr>
                <w:rFonts w:eastAsia="Arial" w:cs="Arial"/>
                <w:sz w:val="19"/>
                <w:szCs w:val="19"/>
                <w:lang w:val="en-US"/>
              </w:rPr>
            </w:pPr>
            <w:r w:rsidRPr="0031675F">
              <w:rPr>
                <w:rFonts w:eastAsia="Calibri" w:hAnsi="Calibri"/>
                <w:b/>
                <w:spacing w:val="-3"/>
                <w:w w:val="110"/>
                <w:sz w:val="19"/>
                <w:lang w:val="en-US"/>
              </w:rPr>
              <w:t>PRIMARY</w:t>
            </w:r>
            <w:r w:rsidRPr="0031675F">
              <w:rPr>
                <w:rFonts w:eastAsia="Calibri" w:hAnsi="Calibri"/>
                <w:b/>
                <w:spacing w:val="-31"/>
                <w:w w:val="110"/>
                <w:sz w:val="19"/>
                <w:lang w:val="en-US"/>
              </w:rPr>
              <w:t xml:space="preserve"> </w:t>
            </w:r>
            <w:r w:rsidRPr="0031675F">
              <w:rPr>
                <w:rFonts w:eastAsia="Calibri" w:hAnsi="Calibri"/>
                <w:b/>
                <w:spacing w:val="-5"/>
                <w:w w:val="110"/>
                <w:sz w:val="19"/>
                <w:lang w:val="en-US"/>
              </w:rPr>
              <w:t>STANDARD</w:t>
            </w:r>
          </w:p>
        </w:tc>
        <w:tc>
          <w:tcPr>
            <w:tcW w:w="1262" w:type="dxa"/>
            <w:tcBorders>
              <w:top w:val="single" w:sz="7" w:space="0" w:color="C0C0C0"/>
              <w:left w:val="single" w:sz="7" w:space="0" w:color="C0C0C0"/>
              <w:bottom w:val="single" w:sz="7" w:space="0" w:color="000000"/>
              <w:right w:val="single" w:sz="7" w:space="0" w:color="C0C0C0"/>
            </w:tcBorders>
          </w:tcPr>
          <w:p w14:paraId="185CC541" w14:textId="77777777" w:rsidR="0031675F" w:rsidRPr="0031675F" w:rsidRDefault="0031675F" w:rsidP="0031675F"/>
        </w:tc>
        <w:tc>
          <w:tcPr>
            <w:tcW w:w="1782" w:type="dxa"/>
            <w:tcBorders>
              <w:top w:val="single" w:sz="7" w:space="0" w:color="C0C0C0"/>
              <w:left w:val="single" w:sz="7" w:space="0" w:color="C0C0C0"/>
              <w:bottom w:val="single" w:sz="7" w:space="0" w:color="C0C0C0"/>
              <w:right w:val="single" w:sz="7" w:space="0" w:color="C0C0C0"/>
            </w:tcBorders>
          </w:tcPr>
          <w:p w14:paraId="3A0806BC" w14:textId="77777777" w:rsidR="0031675F" w:rsidRPr="0031675F" w:rsidRDefault="0031675F" w:rsidP="0031675F"/>
        </w:tc>
        <w:tc>
          <w:tcPr>
            <w:tcW w:w="2524" w:type="dxa"/>
            <w:gridSpan w:val="2"/>
            <w:tcBorders>
              <w:top w:val="single" w:sz="7" w:space="0" w:color="C0C0C0"/>
              <w:left w:val="single" w:sz="7" w:space="0" w:color="C0C0C0"/>
              <w:bottom w:val="single" w:sz="7" w:space="0" w:color="C0C0C0"/>
              <w:right w:val="single" w:sz="7" w:space="0" w:color="C0C0C0"/>
            </w:tcBorders>
          </w:tcPr>
          <w:p w14:paraId="60F73602" w14:textId="77777777" w:rsidR="0031675F" w:rsidRPr="0031675F" w:rsidRDefault="0031675F" w:rsidP="0031675F">
            <w:pPr>
              <w:widowControl w:val="0"/>
              <w:spacing w:before="10" w:after="0" w:line="240" w:lineRule="auto"/>
              <w:ind w:left="30"/>
              <w:rPr>
                <w:rFonts w:eastAsia="Arial" w:cs="Arial"/>
                <w:sz w:val="19"/>
                <w:szCs w:val="19"/>
                <w:lang w:val="en-US"/>
              </w:rPr>
            </w:pPr>
            <w:r w:rsidRPr="0031675F">
              <w:rPr>
                <w:rFonts w:eastAsia="Calibri"/>
                <w:spacing w:val="-5"/>
                <w:w w:val="110"/>
                <w:sz w:val="19"/>
                <w:lang w:val="en-US"/>
              </w:rPr>
              <w:t xml:space="preserve">Ca </w:t>
            </w:r>
            <w:r w:rsidRPr="0031675F">
              <w:rPr>
                <w:rFonts w:eastAsia="Calibri"/>
                <w:w w:val="110"/>
                <w:sz w:val="19"/>
                <w:lang w:val="en-US"/>
              </w:rPr>
              <w:t>in</w:t>
            </w:r>
            <w:r w:rsidRPr="0031675F">
              <w:rPr>
                <w:rFonts w:eastAsia="Calibri"/>
                <w:spacing w:val="-4"/>
                <w:w w:val="110"/>
                <w:sz w:val="19"/>
                <w:lang w:val="en-US"/>
              </w:rPr>
              <w:t xml:space="preserve"> primary</w:t>
            </w:r>
            <w:r w:rsidRPr="0031675F">
              <w:rPr>
                <w:rFonts w:eastAsia="Calibri"/>
                <w:spacing w:val="5"/>
                <w:w w:val="110"/>
                <w:sz w:val="19"/>
                <w:lang w:val="en-US"/>
              </w:rPr>
              <w:t xml:space="preserve"> </w:t>
            </w:r>
            <w:r w:rsidRPr="0031675F">
              <w:rPr>
                <w:rFonts w:eastAsia="Calibri"/>
                <w:spacing w:val="-3"/>
                <w:w w:val="110"/>
                <w:sz w:val="19"/>
                <w:lang w:val="en-US"/>
              </w:rPr>
              <w:t>standard</w:t>
            </w:r>
            <w:r w:rsidRPr="0031675F">
              <w:rPr>
                <w:rFonts w:eastAsia="Calibri"/>
                <w:spacing w:val="-4"/>
                <w:w w:val="110"/>
                <w:sz w:val="19"/>
                <w:lang w:val="en-US"/>
              </w:rPr>
              <w:t xml:space="preserve"> </w:t>
            </w:r>
            <w:r w:rsidRPr="0031675F">
              <w:rPr>
                <w:rFonts w:eastAsia="Calibri"/>
                <w:spacing w:val="-3"/>
                <w:w w:val="110"/>
                <w:sz w:val="19"/>
                <w:lang w:val="en-US"/>
              </w:rPr>
              <w:t>µg/l</w:t>
            </w:r>
          </w:p>
        </w:tc>
        <w:tc>
          <w:tcPr>
            <w:tcW w:w="2313" w:type="dxa"/>
            <w:tcBorders>
              <w:top w:val="single" w:sz="7" w:space="0" w:color="C0C0C0"/>
              <w:left w:val="single" w:sz="7" w:space="0" w:color="C0C0C0"/>
              <w:bottom w:val="single" w:sz="7" w:space="0" w:color="C0C0C0"/>
              <w:right w:val="single" w:sz="7" w:space="0" w:color="C0C0C0"/>
            </w:tcBorders>
          </w:tcPr>
          <w:p w14:paraId="06DFD128" w14:textId="77777777" w:rsidR="0031675F" w:rsidRPr="0031675F" w:rsidRDefault="0031675F" w:rsidP="0031675F"/>
        </w:tc>
      </w:tr>
      <w:tr w:rsidR="0031675F" w:rsidRPr="0031675F" w14:paraId="3BBD8775"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4B096D5A"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spacing w:val="11"/>
                <w:w w:val="110"/>
                <w:sz w:val="19"/>
                <w:lang w:val="en-US"/>
              </w:rPr>
              <w:t>W</w:t>
            </w:r>
            <w:r w:rsidRPr="0031675F">
              <w:rPr>
                <w:rFonts w:eastAsia="Calibri" w:hAnsi="Calibri"/>
                <w:spacing w:val="-5"/>
                <w:w w:val="110"/>
                <w:sz w:val="19"/>
                <w:lang w:val="en-US"/>
              </w:rPr>
              <w:t>a</w:t>
            </w:r>
            <w:r w:rsidRPr="0031675F">
              <w:rPr>
                <w:rFonts w:eastAsia="Calibri" w:hAnsi="Calibri"/>
                <w:spacing w:val="-25"/>
                <w:w w:val="110"/>
                <w:sz w:val="19"/>
                <w:lang w:val="en-US"/>
              </w:rPr>
              <w:t>v</w:t>
            </w:r>
            <w:r w:rsidRPr="0031675F">
              <w:rPr>
                <w:rFonts w:eastAsia="Calibri" w:hAnsi="Calibri"/>
                <w:spacing w:val="-5"/>
                <w:w w:val="110"/>
                <w:sz w:val="19"/>
                <w:lang w:val="en-US"/>
              </w:rPr>
              <w:t>e</w:t>
            </w:r>
            <w:r w:rsidRPr="0031675F">
              <w:rPr>
                <w:rFonts w:eastAsia="Calibri" w:hAnsi="Calibri"/>
                <w:spacing w:val="1"/>
                <w:w w:val="110"/>
                <w:sz w:val="19"/>
                <w:lang w:val="en-US"/>
              </w:rPr>
              <w:t>l</w:t>
            </w:r>
            <w:r w:rsidRPr="0031675F">
              <w:rPr>
                <w:rFonts w:eastAsia="Calibri" w:hAnsi="Calibri"/>
                <w:spacing w:val="-5"/>
                <w:w w:val="110"/>
                <w:sz w:val="19"/>
                <w:lang w:val="en-US"/>
              </w:rPr>
              <w:t>eng</w:t>
            </w:r>
            <w:r w:rsidRPr="0031675F">
              <w:rPr>
                <w:rFonts w:eastAsia="Calibri" w:hAnsi="Calibri"/>
                <w:spacing w:val="5"/>
                <w:w w:val="110"/>
                <w:sz w:val="19"/>
                <w:lang w:val="en-US"/>
              </w:rPr>
              <w:t>t</w:t>
            </w:r>
            <w:r w:rsidRPr="0031675F">
              <w:rPr>
                <w:rFonts w:eastAsia="Calibri" w:hAnsi="Calibri"/>
                <w:w w:val="110"/>
                <w:sz w:val="19"/>
                <w:lang w:val="en-US"/>
              </w:rPr>
              <w:t>h</w:t>
            </w:r>
          </w:p>
        </w:tc>
        <w:tc>
          <w:tcPr>
            <w:tcW w:w="2508" w:type="dxa"/>
            <w:tcBorders>
              <w:top w:val="single" w:sz="7" w:space="0" w:color="000000"/>
              <w:left w:val="single" w:sz="7" w:space="0" w:color="000000"/>
              <w:bottom w:val="single" w:sz="7" w:space="0" w:color="000000"/>
              <w:right w:val="single" w:sz="7" w:space="0" w:color="000000"/>
            </w:tcBorders>
          </w:tcPr>
          <w:p w14:paraId="43B4FC7F" w14:textId="77777777" w:rsidR="0031675F" w:rsidRPr="0031675F" w:rsidRDefault="0031675F" w:rsidP="0031675F">
            <w:pPr>
              <w:widowControl w:val="0"/>
              <w:spacing w:before="9" w:after="0" w:line="240" w:lineRule="auto"/>
              <w:ind w:left="30"/>
              <w:rPr>
                <w:rFonts w:eastAsia="Arial" w:cs="Arial"/>
                <w:sz w:val="19"/>
                <w:szCs w:val="19"/>
                <w:lang w:val="en-US"/>
              </w:rPr>
            </w:pPr>
            <w:r w:rsidRPr="0031675F">
              <w:rPr>
                <w:rFonts w:eastAsia="Calibri" w:hAnsi="Calibri"/>
                <w:spacing w:val="-1"/>
                <w:w w:val="110"/>
                <w:sz w:val="19"/>
                <w:lang w:val="en-US"/>
              </w:rPr>
              <w:t>Absorbance</w:t>
            </w:r>
          </w:p>
        </w:tc>
        <w:tc>
          <w:tcPr>
            <w:tcW w:w="1262" w:type="dxa"/>
            <w:tcBorders>
              <w:top w:val="single" w:sz="7" w:space="0" w:color="000000"/>
              <w:left w:val="single" w:sz="7" w:space="0" w:color="000000"/>
              <w:bottom w:val="single" w:sz="7" w:space="0" w:color="000000"/>
              <w:right w:val="single" w:sz="7" w:space="0" w:color="000000"/>
            </w:tcBorders>
          </w:tcPr>
          <w:p w14:paraId="11477612" w14:textId="77777777" w:rsidR="0031675F" w:rsidRPr="0031675F" w:rsidRDefault="0031675F" w:rsidP="0031675F">
            <w:pPr>
              <w:widowControl w:val="0"/>
              <w:spacing w:before="9" w:after="0" w:line="240" w:lineRule="auto"/>
              <w:ind w:left="30"/>
              <w:rPr>
                <w:rFonts w:eastAsia="Arial" w:cs="Arial"/>
                <w:sz w:val="19"/>
                <w:szCs w:val="19"/>
                <w:lang w:val="en-US"/>
              </w:rPr>
            </w:pPr>
            <w:r w:rsidRPr="0031675F">
              <w:rPr>
                <w:rFonts w:eastAsia="Calibri" w:hAnsi="Calibri"/>
                <w:spacing w:val="-1"/>
                <w:w w:val="110"/>
                <w:sz w:val="19"/>
                <w:lang w:val="en-US"/>
              </w:rPr>
              <w:t>Abs-Blank</w:t>
            </w:r>
          </w:p>
        </w:tc>
        <w:tc>
          <w:tcPr>
            <w:tcW w:w="1782" w:type="dxa"/>
            <w:tcBorders>
              <w:top w:val="single" w:sz="7" w:space="0" w:color="C0C0C0"/>
              <w:left w:val="single" w:sz="7" w:space="0" w:color="000000"/>
              <w:bottom w:val="single" w:sz="7" w:space="0" w:color="C0C0C0"/>
              <w:right w:val="single" w:sz="7" w:space="0" w:color="C0C0C0"/>
            </w:tcBorders>
          </w:tcPr>
          <w:p w14:paraId="7D895386" w14:textId="77777777" w:rsidR="0031675F" w:rsidRPr="0031675F" w:rsidRDefault="0031675F" w:rsidP="0031675F"/>
        </w:tc>
        <w:tc>
          <w:tcPr>
            <w:tcW w:w="4837" w:type="dxa"/>
            <w:gridSpan w:val="3"/>
            <w:tcBorders>
              <w:top w:val="single" w:sz="7" w:space="0" w:color="C0C0C0"/>
              <w:left w:val="single" w:sz="7" w:space="0" w:color="C0C0C0"/>
              <w:bottom w:val="single" w:sz="7" w:space="0" w:color="C0C0C0"/>
              <w:right w:val="single" w:sz="7" w:space="0" w:color="C0C0C0"/>
            </w:tcBorders>
          </w:tcPr>
          <w:p w14:paraId="1856245B" w14:textId="77777777" w:rsidR="0031675F" w:rsidRPr="0031675F" w:rsidRDefault="0031675F" w:rsidP="0031675F">
            <w:pPr>
              <w:widowControl w:val="0"/>
              <w:spacing w:before="9" w:after="0" w:line="240" w:lineRule="auto"/>
              <w:ind w:left="93"/>
              <w:rPr>
                <w:rFonts w:eastAsia="Arial" w:cs="Arial"/>
                <w:sz w:val="19"/>
                <w:szCs w:val="19"/>
                <w:lang w:val="en-US"/>
              </w:rPr>
            </w:pPr>
            <w:r w:rsidRPr="0031675F">
              <w:rPr>
                <w:rFonts w:eastAsia="Calibri" w:hAnsi="Calibri"/>
                <w:spacing w:val="-5"/>
                <w:w w:val="110"/>
                <w:sz w:val="19"/>
                <w:lang w:val="en-US"/>
              </w:rPr>
              <w:t>=(11.85*C6-1.54*C7-0.08*C8)*1000</w:t>
            </w:r>
          </w:p>
        </w:tc>
      </w:tr>
      <w:tr w:rsidR="0031675F" w:rsidRPr="0031675F" w14:paraId="05A4CB74"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71026985" w14:textId="77777777" w:rsidR="0031675F" w:rsidRPr="0031675F" w:rsidRDefault="0031675F" w:rsidP="0031675F">
            <w:pPr>
              <w:widowControl w:val="0"/>
              <w:spacing w:before="10" w:after="0" w:line="240" w:lineRule="auto"/>
              <w:ind w:left="32"/>
              <w:rPr>
                <w:rFonts w:eastAsia="Arial" w:cs="Arial"/>
                <w:sz w:val="19"/>
                <w:szCs w:val="19"/>
                <w:lang w:val="en-US"/>
              </w:rPr>
            </w:pPr>
            <w:r w:rsidRPr="0031675F">
              <w:rPr>
                <w:rFonts w:eastAsia="Calibri" w:hAnsi="Calibri"/>
                <w:spacing w:val="-5"/>
                <w:w w:val="110"/>
                <w:sz w:val="19"/>
                <w:lang w:val="en-US"/>
              </w:rPr>
              <w:t>750</w:t>
            </w:r>
          </w:p>
        </w:tc>
        <w:tc>
          <w:tcPr>
            <w:tcW w:w="2508" w:type="dxa"/>
            <w:tcBorders>
              <w:top w:val="single" w:sz="7" w:space="0" w:color="000000"/>
              <w:left w:val="single" w:sz="7" w:space="0" w:color="000000"/>
              <w:bottom w:val="single" w:sz="7" w:space="0" w:color="000000"/>
              <w:right w:val="single" w:sz="7" w:space="0" w:color="000000"/>
            </w:tcBorders>
          </w:tcPr>
          <w:p w14:paraId="0497013D" w14:textId="77777777" w:rsidR="0031675F" w:rsidRPr="0031675F" w:rsidRDefault="0031675F" w:rsidP="0031675F">
            <w:pPr>
              <w:widowControl w:val="0"/>
              <w:spacing w:before="10" w:after="0" w:line="240" w:lineRule="auto"/>
              <w:ind w:right="25"/>
              <w:jc w:val="right"/>
              <w:rPr>
                <w:rFonts w:eastAsia="Arial" w:cs="Arial"/>
                <w:sz w:val="19"/>
                <w:szCs w:val="19"/>
                <w:lang w:val="en-US"/>
              </w:rPr>
            </w:pPr>
            <w:r w:rsidRPr="0031675F">
              <w:rPr>
                <w:rFonts w:eastAsia="Calibri" w:hAnsi="Calibri"/>
                <w:spacing w:val="-2"/>
                <w:w w:val="105"/>
                <w:sz w:val="19"/>
                <w:lang w:val="en-US"/>
              </w:rPr>
              <w:t>0.003</w:t>
            </w:r>
          </w:p>
        </w:tc>
        <w:tc>
          <w:tcPr>
            <w:tcW w:w="1262" w:type="dxa"/>
            <w:tcBorders>
              <w:top w:val="single" w:sz="7" w:space="0" w:color="000000"/>
              <w:left w:val="single" w:sz="7" w:space="0" w:color="000000"/>
              <w:bottom w:val="single" w:sz="7" w:space="0" w:color="000000"/>
              <w:right w:val="single" w:sz="7" w:space="0" w:color="000000"/>
            </w:tcBorders>
          </w:tcPr>
          <w:p w14:paraId="3017469F" w14:textId="77777777" w:rsidR="0031675F" w:rsidRPr="0031675F" w:rsidRDefault="0031675F" w:rsidP="0031675F"/>
        </w:tc>
        <w:tc>
          <w:tcPr>
            <w:tcW w:w="1782" w:type="dxa"/>
            <w:tcBorders>
              <w:top w:val="single" w:sz="7" w:space="0" w:color="C0C0C0"/>
              <w:left w:val="single" w:sz="7" w:space="0" w:color="000000"/>
              <w:bottom w:val="single" w:sz="7" w:space="0" w:color="C0C0C0"/>
              <w:right w:val="single" w:sz="7" w:space="0" w:color="C0C0C0"/>
            </w:tcBorders>
          </w:tcPr>
          <w:p w14:paraId="07FD03DA" w14:textId="77777777" w:rsidR="0031675F" w:rsidRPr="0031675F" w:rsidRDefault="0031675F" w:rsidP="0031675F"/>
        </w:tc>
        <w:tc>
          <w:tcPr>
            <w:tcW w:w="4837" w:type="dxa"/>
            <w:gridSpan w:val="3"/>
            <w:tcBorders>
              <w:top w:val="single" w:sz="7" w:space="0" w:color="C0C0C0"/>
              <w:left w:val="single" w:sz="7" w:space="0" w:color="C0C0C0"/>
              <w:bottom w:val="single" w:sz="7" w:space="0" w:color="C0C0C0"/>
              <w:right w:val="single" w:sz="7" w:space="0" w:color="C0C0C0"/>
            </w:tcBorders>
          </w:tcPr>
          <w:p w14:paraId="10897D9E" w14:textId="77777777" w:rsidR="0031675F" w:rsidRPr="0031675F" w:rsidRDefault="0031675F" w:rsidP="0031675F">
            <w:pPr>
              <w:widowControl w:val="0"/>
              <w:spacing w:before="10" w:after="0" w:line="240" w:lineRule="auto"/>
              <w:ind w:left="30"/>
              <w:rPr>
                <w:rFonts w:eastAsia="Arial" w:cs="Arial"/>
                <w:sz w:val="19"/>
                <w:szCs w:val="19"/>
                <w:lang w:val="en-US"/>
              </w:rPr>
            </w:pPr>
            <w:r w:rsidRPr="0031675F">
              <w:rPr>
                <w:rFonts w:eastAsia="Calibri"/>
                <w:spacing w:val="-5"/>
                <w:w w:val="110"/>
                <w:sz w:val="19"/>
                <w:lang w:val="en-US"/>
              </w:rPr>
              <w:t xml:space="preserve">Ca </w:t>
            </w:r>
            <w:r w:rsidRPr="0031675F">
              <w:rPr>
                <w:rFonts w:eastAsia="Calibri"/>
                <w:w w:val="110"/>
                <w:sz w:val="19"/>
                <w:lang w:val="en-US"/>
              </w:rPr>
              <w:t>in</w:t>
            </w:r>
            <w:r w:rsidRPr="0031675F">
              <w:rPr>
                <w:rFonts w:eastAsia="Calibri"/>
                <w:spacing w:val="-5"/>
                <w:w w:val="110"/>
                <w:sz w:val="19"/>
                <w:lang w:val="en-US"/>
              </w:rPr>
              <w:t xml:space="preserve"> </w:t>
            </w:r>
            <w:r w:rsidRPr="0031675F">
              <w:rPr>
                <w:rFonts w:eastAsia="Calibri"/>
                <w:spacing w:val="-3"/>
                <w:w w:val="110"/>
                <w:sz w:val="19"/>
                <w:lang w:val="en-US"/>
              </w:rPr>
              <w:t>Secondary</w:t>
            </w:r>
            <w:r w:rsidRPr="0031675F">
              <w:rPr>
                <w:rFonts w:eastAsia="Calibri"/>
                <w:spacing w:val="6"/>
                <w:w w:val="110"/>
                <w:sz w:val="19"/>
                <w:lang w:val="en-US"/>
              </w:rPr>
              <w:t xml:space="preserve"> </w:t>
            </w:r>
            <w:r w:rsidRPr="0031675F">
              <w:rPr>
                <w:rFonts w:eastAsia="Calibri"/>
                <w:spacing w:val="-3"/>
                <w:w w:val="110"/>
                <w:sz w:val="19"/>
                <w:lang w:val="en-US"/>
              </w:rPr>
              <w:t>standard</w:t>
            </w:r>
            <w:r w:rsidRPr="0031675F">
              <w:rPr>
                <w:rFonts w:eastAsia="Calibri"/>
                <w:spacing w:val="-5"/>
                <w:w w:val="110"/>
                <w:sz w:val="19"/>
                <w:lang w:val="en-US"/>
              </w:rPr>
              <w:t xml:space="preserve"> </w:t>
            </w:r>
            <w:r w:rsidRPr="0031675F">
              <w:rPr>
                <w:rFonts w:eastAsia="Calibri"/>
                <w:spacing w:val="-3"/>
                <w:w w:val="110"/>
                <w:sz w:val="19"/>
                <w:lang w:val="en-US"/>
              </w:rPr>
              <w:t>µg/l</w:t>
            </w:r>
            <w:r w:rsidRPr="0031675F">
              <w:rPr>
                <w:rFonts w:eastAsia="Calibri"/>
                <w:w w:val="110"/>
                <w:sz w:val="19"/>
                <w:lang w:val="en-US"/>
              </w:rPr>
              <w:t xml:space="preserve"> </w:t>
            </w:r>
            <w:r w:rsidRPr="0031675F">
              <w:rPr>
                <w:rFonts w:eastAsia="Calibri"/>
                <w:spacing w:val="-1"/>
                <w:w w:val="110"/>
                <w:sz w:val="19"/>
                <w:lang w:val="en-US"/>
              </w:rPr>
              <w:t>1in</w:t>
            </w:r>
            <w:r w:rsidRPr="0031675F">
              <w:rPr>
                <w:rFonts w:eastAsia="Calibri"/>
                <w:spacing w:val="-5"/>
                <w:w w:val="110"/>
                <w:sz w:val="19"/>
                <w:lang w:val="en-US"/>
              </w:rPr>
              <w:t xml:space="preserve"> </w:t>
            </w:r>
            <w:r w:rsidRPr="0031675F">
              <w:rPr>
                <w:rFonts w:eastAsia="Calibri"/>
                <w:spacing w:val="-4"/>
                <w:w w:val="110"/>
                <w:sz w:val="19"/>
                <w:lang w:val="en-US"/>
              </w:rPr>
              <w:t>200</w:t>
            </w:r>
          </w:p>
        </w:tc>
      </w:tr>
      <w:tr w:rsidR="0031675F" w:rsidRPr="0031675F" w14:paraId="054AEC42"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1E1DC555"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spacing w:val="-5"/>
                <w:w w:val="110"/>
                <w:sz w:val="19"/>
                <w:lang w:val="en-US"/>
              </w:rPr>
              <w:t>664</w:t>
            </w:r>
          </w:p>
        </w:tc>
        <w:tc>
          <w:tcPr>
            <w:tcW w:w="2508" w:type="dxa"/>
            <w:tcBorders>
              <w:top w:val="single" w:sz="7" w:space="0" w:color="000000"/>
              <w:left w:val="single" w:sz="7" w:space="0" w:color="000000"/>
              <w:bottom w:val="single" w:sz="7" w:space="0" w:color="000000"/>
              <w:right w:val="single" w:sz="7" w:space="0" w:color="000000"/>
            </w:tcBorders>
          </w:tcPr>
          <w:p w14:paraId="77281D73" w14:textId="77777777" w:rsidR="0031675F" w:rsidRPr="0031675F" w:rsidRDefault="0031675F" w:rsidP="0031675F">
            <w:pPr>
              <w:widowControl w:val="0"/>
              <w:spacing w:before="9" w:after="0" w:line="240" w:lineRule="auto"/>
              <w:ind w:right="25"/>
              <w:jc w:val="right"/>
              <w:rPr>
                <w:rFonts w:eastAsia="Arial" w:cs="Arial"/>
                <w:sz w:val="19"/>
                <w:szCs w:val="19"/>
                <w:lang w:val="en-US"/>
              </w:rPr>
            </w:pPr>
            <w:r w:rsidRPr="0031675F">
              <w:rPr>
                <w:rFonts w:eastAsia="Calibri" w:hAnsi="Calibri"/>
                <w:spacing w:val="-2"/>
                <w:w w:val="105"/>
                <w:sz w:val="19"/>
                <w:lang w:val="en-US"/>
              </w:rPr>
              <w:t>0.264</w:t>
            </w:r>
          </w:p>
        </w:tc>
        <w:tc>
          <w:tcPr>
            <w:tcW w:w="1262" w:type="dxa"/>
            <w:tcBorders>
              <w:top w:val="single" w:sz="7" w:space="0" w:color="000000"/>
              <w:left w:val="single" w:sz="7" w:space="0" w:color="000000"/>
              <w:bottom w:val="single" w:sz="7" w:space="0" w:color="000000"/>
              <w:right w:val="single" w:sz="7" w:space="0" w:color="000000"/>
            </w:tcBorders>
          </w:tcPr>
          <w:p w14:paraId="58FEC13B" w14:textId="77777777" w:rsidR="0031675F" w:rsidRPr="0031675F" w:rsidRDefault="0031675F" w:rsidP="0031675F">
            <w:pPr>
              <w:widowControl w:val="0"/>
              <w:spacing w:before="9" w:after="0" w:line="240" w:lineRule="auto"/>
              <w:ind w:left="93"/>
              <w:rPr>
                <w:rFonts w:eastAsia="Arial" w:cs="Arial"/>
                <w:sz w:val="19"/>
                <w:szCs w:val="19"/>
                <w:lang w:val="en-US"/>
              </w:rPr>
            </w:pPr>
            <w:r w:rsidRPr="0031675F">
              <w:rPr>
                <w:rFonts w:eastAsia="Calibri" w:hAnsi="Calibri"/>
                <w:spacing w:val="-1"/>
                <w:w w:val="110"/>
                <w:sz w:val="19"/>
                <w:lang w:val="en-US"/>
              </w:rPr>
              <w:t>=B6-$B$5</w:t>
            </w:r>
          </w:p>
        </w:tc>
        <w:tc>
          <w:tcPr>
            <w:tcW w:w="1782" w:type="dxa"/>
            <w:tcBorders>
              <w:top w:val="single" w:sz="7" w:space="0" w:color="C0C0C0"/>
              <w:left w:val="single" w:sz="7" w:space="0" w:color="000000"/>
              <w:bottom w:val="single" w:sz="7" w:space="0" w:color="C0C0C0"/>
              <w:right w:val="single" w:sz="7" w:space="0" w:color="C0C0C0"/>
            </w:tcBorders>
          </w:tcPr>
          <w:p w14:paraId="4047E966" w14:textId="77777777" w:rsidR="0031675F" w:rsidRPr="0031675F" w:rsidRDefault="0031675F" w:rsidP="0031675F"/>
        </w:tc>
        <w:tc>
          <w:tcPr>
            <w:tcW w:w="4837" w:type="dxa"/>
            <w:gridSpan w:val="3"/>
            <w:tcBorders>
              <w:top w:val="single" w:sz="7" w:space="0" w:color="C0C0C0"/>
              <w:left w:val="single" w:sz="7" w:space="0" w:color="C0C0C0"/>
              <w:bottom w:val="single" w:sz="7" w:space="0" w:color="C0C0C0"/>
              <w:right w:val="single" w:sz="7" w:space="0" w:color="C0C0C0"/>
            </w:tcBorders>
          </w:tcPr>
          <w:p w14:paraId="21D1B64A" w14:textId="77777777" w:rsidR="0031675F" w:rsidRPr="0031675F" w:rsidRDefault="0031675F" w:rsidP="0031675F">
            <w:pPr>
              <w:widowControl w:val="0"/>
              <w:spacing w:before="9" w:after="0" w:line="240" w:lineRule="auto"/>
              <w:ind w:left="93"/>
              <w:rPr>
                <w:rFonts w:eastAsia="Arial" w:cs="Arial"/>
                <w:sz w:val="19"/>
                <w:szCs w:val="19"/>
                <w:lang w:val="en-US"/>
              </w:rPr>
            </w:pPr>
            <w:r w:rsidRPr="0031675F">
              <w:rPr>
                <w:rFonts w:eastAsia="Calibri" w:hAnsi="Calibri"/>
                <w:spacing w:val="-4"/>
                <w:w w:val="110"/>
                <w:sz w:val="19"/>
                <w:lang w:val="en-US"/>
              </w:rPr>
              <w:t>=(11.85*C6-1.54*C7-0.08*C8)*1000/50</w:t>
            </w:r>
          </w:p>
        </w:tc>
      </w:tr>
      <w:tr w:rsidR="0031675F" w:rsidRPr="0031675F" w14:paraId="585B83F9"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26565C5F" w14:textId="77777777" w:rsidR="0031675F" w:rsidRPr="0031675F" w:rsidRDefault="0031675F" w:rsidP="0031675F">
            <w:pPr>
              <w:widowControl w:val="0"/>
              <w:spacing w:before="10" w:after="0" w:line="240" w:lineRule="auto"/>
              <w:ind w:left="32"/>
              <w:rPr>
                <w:rFonts w:eastAsia="Arial" w:cs="Arial"/>
                <w:sz w:val="19"/>
                <w:szCs w:val="19"/>
                <w:lang w:val="en-US"/>
              </w:rPr>
            </w:pPr>
            <w:r w:rsidRPr="0031675F">
              <w:rPr>
                <w:rFonts w:eastAsia="Calibri" w:hAnsi="Calibri"/>
                <w:spacing w:val="-5"/>
                <w:w w:val="110"/>
                <w:sz w:val="19"/>
                <w:lang w:val="en-US"/>
              </w:rPr>
              <w:t>647</w:t>
            </w:r>
          </w:p>
        </w:tc>
        <w:tc>
          <w:tcPr>
            <w:tcW w:w="2508" w:type="dxa"/>
            <w:tcBorders>
              <w:top w:val="single" w:sz="7" w:space="0" w:color="000000"/>
              <w:left w:val="single" w:sz="7" w:space="0" w:color="000000"/>
              <w:bottom w:val="single" w:sz="7" w:space="0" w:color="000000"/>
              <w:right w:val="single" w:sz="7" w:space="0" w:color="000000"/>
            </w:tcBorders>
          </w:tcPr>
          <w:p w14:paraId="5A226B6C" w14:textId="77777777" w:rsidR="0031675F" w:rsidRPr="0031675F" w:rsidRDefault="0031675F" w:rsidP="0031675F">
            <w:pPr>
              <w:widowControl w:val="0"/>
              <w:spacing w:before="10" w:after="0" w:line="240" w:lineRule="auto"/>
              <w:ind w:right="25"/>
              <w:jc w:val="right"/>
              <w:rPr>
                <w:rFonts w:eastAsia="Arial" w:cs="Arial"/>
                <w:sz w:val="19"/>
                <w:szCs w:val="19"/>
                <w:lang w:val="en-US"/>
              </w:rPr>
            </w:pPr>
            <w:r w:rsidRPr="0031675F">
              <w:rPr>
                <w:rFonts w:eastAsia="Calibri" w:hAnsi="Calibri"/>
                <w:spacing w:val="-2"/>
                <w:w w:val="105"/>
                <w:sz w:val="19"/>
                <w:lang w:val="en-US"/>
              </w:rPr>
              <w:t>0.072</w:t>
            </w:r>
          </w:p>
        </w:tc>
        <w:tc>
          <w:tcPr>
            <w:tcW w:w="1262" w:type="dxa"/>
            <w:tcBorders>
              <w:top w:val="single" w:sz="7" w:space="0" w:color="000000"/>
              <w:left w:val="single" w:sz="7" w:space="0" w:color="000000"/>
              <w:bottom w:val="single" w:sz="7" w:space="0" w:color="000000"/>
              <w:right w:val="single" w:sz="7" w:space="0" w:color="000000"/>
            </w:tcBorders>
          </w:tcPr>
          <w:p w14:paraId="757FEFF0" w14:textId="77777777" w:rsidR="0031675F" w:rsidRPr="0031675F" w:rsidRDefault="0031675F" w:rsidP="0031675F">
            <w:pPr>
              <w:widowControl w:val="0"/>
              <w:spacing w:before="10" w:after="0" w:line="240" w:lineRule="auto"/>
              <w:ind w:left="93"/>
              <w:rPr>
                <w:rFonts w:eastAsia="Arial" w:cs="Arial"/>
                <w:sz w:val="19"/>
                <w:szCs w:val="19"/>
                <w:lang w:val="en-US"/>
              </w:rPr>
            </w:pPr>
            <w:r w:rsidRPr="0031675F">
              <w:rPr>
                <w:rFonts w:eastAsia="Calibri" w:hAnsi="Calibri"/>
                <w:spacing w:val="-1"/>
                <w:w w:val="110"/>
                <w:sz w:val="19"/>
                <w:lang w:val="en-US"/>
              </w:rPr>
              <w:t>=B7-$B$5</w:t>
            </w:r>
          </w:p>
        </w:tc>
        <w:tc>
          <w:tcPr>
            <w:tcW w:w="1782" w:type="dxa"/>
            <w:tcBorders>
              <w:top w:val="single" w:sz="7" w:space="0" w:color="C0C0C0"/>
              <w:left w:val="single" w:sz="7" w:space="0" w:color="000000"/>
              <w:bottom w:val="single" w:sz="7" w:space="0" w:color="C0C0C0"/>
              <w:right w:val="single" w:sz="7" w:space="0" w:color="C0C0C0"/>
            </w:tcBorders>
          </w:tcPr>
          <w:p w14:paraId="4824C4FF"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45A63963"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14F46123" w14:textId="77777777" w:rsidR="0031675F" w:rsidRPr="0031675F" w:rsidRDefault="0031675F" w:rsidP="0031675F"/>
        </w:tc>
        <w:tc>
          <w:tcPr>
            <w:tcW w:w="2313" w:type="dxa"/>
            <w:tcBorders>
              <w:top w:val="single" w:sz="7" w:space="0" w:color="C0C0C0"/>
              <w:left w:val="single" w:sz="7" w:space="0" w:color="C0C0C0"/>
              <w:bottom w:val="single" w:sz="7" w:space="0" w:color="C0C0C0"/>
              <w:right w:val="single" w:sz="7" w:space="0" w:color="C0C0C0"/>
            </w:tcBorders>
          </w:tcPr>
          <w:p w14:paraId="7E3F2AD7" w14:textId="77777777" w:rsidR="0031675F" w:rsidRPr="0031675F" w:rsidRDefault="0031675F" w:rsidP="0031675F"/>
        </w:tc>
      </w:tr>
      <w:tr w:rsidR="0031675F" w:rsidRPr="0031675F" w14:paraId="0C0C2408"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49E2C9B0"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spacing w:val="-5"/>
                <w:w w:val="110"/>
                <w:sz w:val="19"/>
                <w:lang w:val="en-US"/>
              </w:rPr>
              <w:t>630</w:t>
            </w:r>
          </w:p>
        </w:tc>
        <w:tc>
          <w:tcPr>
            <w:tcW w:w="2508" w:type="dxa"/>
            <w:tcBorders>
              <w:top w:val="single" w:sz="7" w:space="0" w:color="000000"/>
              <w:left w:val="single" w:sz="7" w:space="0" w:color="000000"/>
              <w:bottom w:val="single" w:sz="7" w:space="0" w:color="000000"/>
              <w:right w:val="single" w:sz="7" w:space="0" w:color="000000"/>
            </w:tcBorders>
          </w:tcPr>
          <w:p w14:paraId="1C6043CD" w14:textId="77777777" w:rsidR="0031675F" w:rsidRPr="0031675F" w:rsidRDefault="0031675F" w:rsidP="0031675F">
            <w:pPr>
              <w:widowControl w:val="0"/>
              <w:spacing w:before="9" w:after="0" w:line="240" w:lineRule="auto"/>
              <w:ind w:right="25"/>
              <w:jc w:val="right"/>
              <w:rPr>
                <w:rFonts w:eastAsia="Arial" w:cs="Arial"/>
                <w:sz w:val="19"/>
                <w:szCs w:val="19"/>
                <w:lang w:val="en-US"/>
              </w:rPr>
            </w:pPr>
            <w:r w:rsidRPr="0031675F">
              <w:rPr>
                <w:rFonts w:eastAsia="Calibri" w:hAnsi="Calibri"/>
                <w:spacing w:val="-2"/>
                <w:w w:val="105"/>
                <w:sz w:val="19"/>
                <w:lang w:val="en-US"/>
              </w:rPr>
              <w:t>0.081</w:t>
            </w:r>
          </w:p>
        </w:tc>
        <w:tc>
          <w:tcPr>
            <w:tcW w:w="1262" w:type="dxa"/>
            <w:tcBorders>
              <w:top w:val="single" w:sz="7" w:space="0" w:color="000000"/>
              <w:left w:val="single" w:sz="7" w:space="0" w:color="000000"/>
              <w:bottom w:val="single" w:sz="7" w:space="0" w:color="000000"/>
              <w:right w:val="single" w:sz="7" w:space="0" w:color="000000"/>
            </w:tcBorders>
          </w:tcPr>
          <w:p w14:paraId="3415C14D" w14:textId="77777777" w:rsidR="0031675F" w:rsidRPr="0031675F" w:rsidRDefault="0031675F" w:rsidP="0031675F">
            <w:pPr>
              <w:widowControl w:val="0"/>
              <w:spacing w:before="9" w:after="0" w:line="240" w:lineRule="auto"/>
              <w:ind w:left="93"/>
              <w:rPr>
                <w:rFonts w:eastAsia="Arial" w:cs="Arial"/>
                <w:sz w:val="19"/>
                <w:szCs w:val="19"/>
                <w:lang w:val="en-US"/>
              </w:rPr>
            </w:pPr>
            <w:r w:rsidRPr="0031675F">
              <w:rPr>
                <w:rFonts w:eastAsia="Calibri" w:hAnsi="Calibri"/>
                <w:spacing w:val="-1"/>
                <w:w w:val="110"/>
                <w:sz w:val="19"/>
                <w:lang w:val="en-US"/>
              </w:rPr>
              <w:t>=B8-$B$5</w:t>
            </w:r>
          </w:p>
        </w:tc>
        <w:tc>
          <w:tcPr>
            <w:tcW w:w="1782" w:type="dxa"/>
            <w:tcBorders>
              <w:top w:val="single" w:sz="7" w:space="0" w:color="C0C0C0"/>
              <w:left w:val="single" w:sz="7" w:space="0" w:color="000000"/>
              <w:bottom w:val="single" w:sz="7" w:space="0" w:color="C0C0C0"/>
              <w:right w:val="single" w:sz="7" w:space="0" w:color="C0C0C0"/>
            </w:tcBorders>
          </w:tcPr>
          <w:p w14:paraId="41A578CB"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0417EB14"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24A1FDE3" w14:textId="77777777" w:rsidR="0031675F" w:rsidRPr="0031675F" w:rsidRDefault="0031675F" w:rsidP="0031675F"/>
        </w:tc>
        <w:tc>
          <w:tcPr>
            <w:tcW w:w="2313" w:type="dxa"/>
            <w:tcBorders>
              <w:top w:val="single" w:sz="7" w:space="0" w:color="C0C0C0"/>
              <w:left w:val="single" w:sz="7" w:space="0" w:color="C0C0C0"/>
              <w:bottom w:val="single" w:sz="7" w:space="0" w:color="C0C0C0"/>
              <w:right w:val="single" w:sz="7" w:space="0" w:color="C0C0C0"/>
            </w:tcBorders>
          </w:tcPr>
          <w:p w14:paraId="7595B9F7" w14:textId="77777777" w:rsidR="0031675F" w:rsidRPr="0031675F" w:rsidRDefault="0031675F" w:rsidP="0031675F"/>
        </w:tc>
      </w:tr>
      <w:tr w:rsidR="0031675F" w:rsidRPr="0031675F" w14:paraId="00A288E2" w14:textId="77777777" w:rsidTr="00B00729">
        <w:trPr>
          <w:trHeight w:hRule="exact" w:val="240"/>
        </w:trPr>
        <w:tc>
          <w:tcPr>
            <w:tcW w:w="2100" w:type="dxa"/>
            <w:tcBorders>
              <w:top w:val="single" w:sz="7" w:space="0" w:color="000000"/>
              <w:left w:val="single" w:sz="7" w:space="0" w:color="C0C0C0"/>
              <w:bottom w:val="nil"/>
              <w:right w:val="single" w:sz="7" w:space="0" w:color="C0C0C0"/>
            </w:tcBorders>
          </w:tcPr>
          <w:p w14:paraId="48CEFE94" w14:textId="77777777" w:rsidR="0031675F" w:rsidRPr="0031675F" w:rsidRDefault="0031675F" w:rsidP="0031675F"/>
        </w:tc>
        <w:tc>
          <w:tcPr>
            <w:tcW w:w="2508" w:type="dxa"/>
            <w:tcBorders>
              <w:top w:val="single" w:sz="7" w:space="0" w:color="000000"/>
              <w:left w:val="single" w:sz="7" w:space="0" w:color="C0C0C0"/>
              <w:bottom w:val="nil"/>
              <w:right w:val="single" w:sz="7" w:space="0" w:color="C0C0C0"/>
            </w:tcBorders>
          </w:tcPr>
          <w:p w14:paraId="48094C08" w14:textId="77777777" w:rsidR="0031675F" w:rsidRPr="0031675F" w:rsidRDefault="0031675F" w:rsidP="0031675F"/>
        </w:tc>
        <w:tc>
          <w:tcPr>
            <w:tcW w:w="1262" w:type="dxa"/>
            <w:tcBorders>
              <w:top w:val="single" w:sz="7" w:space="0" w:color="000000"/>
              <w:left w:val="single" w:sz="7" w:space="0" w:color="C0C0C0"/>
              <w:bottom w:val="nil"/>
              <w:right w:val="single" w:sz="7" w:space="0" w:color="C0C0C0"/>
            </w:tcBorders>
          </w:tcPr>
          <w:p w14:paraId="27B6A7B3" w14:textId="77777777" w:rsidR="0031675F" w:rsidRPr="0031675F" w:rsidRDefault="0031675F" w:rsidP="0031675F"/>
        </w:tc>
        <w:tc>
          <w:tcPr>
            <w:tcW w:w="1782" w:type="dxa"/>
            <w:tcBorders>
              <w:top w:val="single" w:sz="7" w:space="0" w:color="C0C0C0"/>
              <w:left w:val="single" w:sz="7" w:space="0" w:color="C0C0C0"/>
              <w:bottom w:val="nil"/>
              <w:right w:val="single" w:sz="7" w:space="0" w:color="C0C0C0"/>
            </w:tcBorders>
          </w:tcPr>
          <w:p w14:paraId="254C3ADF" w14:textId="77777777" w:rsidR="0031675F" w:rsidRPr="0031675F" w:rsidRDefault="0031675F" w:rsidP="0031675F"/>
        </w:tc>
        <w:tc>
          <w:tcPr>
            <w:tcW w:w="1262" w:type="dxa"/>
            <w:tcBorders>
              <w:top w:val="single" w:sz="7" w:space="0" w:color="C0C0C0"/>
              <w:left w:val="single" w:sz="7" w:space="0" w:color="C0C0C0"/>
              <w:bottom w:val="nil"/>
              <w:right w:val="single" w:sz="7" w:space="0" w:color="C0C0C0"/>
            </w:tcBorders>
          </w:tcPr>
          <w:p w14:paraId="787B435E" w14:textId="77777777" w:rsidR="0031675F" w:rsidRPr="0031675F" w:rsidRDefault="0031675F" w:rsidP="0031675F"/>
        </w:tc>
        <w:tc>
          <w:tcPr>
            <w:tcW w:w="1262" w:type="dxa"/>
            <w:tcBorders>
              <w:top w:val="single" w:sz="7" w:space="0" w:color="C0C0C0"/>
              <w:left w:val="single" w:sz="7" w:space="0" w:color="C0C0C0"/>
              <w:bottom w:val="nil"/>
              <w:right w:val="single" w:sz="7" w:space="0" w:color="C0C0C0"/>
            </w:tcBorders>
          </w:tcPr>
          <w:p w14:paraId="2BD45C7E" w14:textId="77777777" w:rsidR="0031675F" w:rsidRPr="0031675F" w:rsidRDefault="0031675F" w:rsidP="0031675F"/>
        </w:tc>
        <w:tc>
          <w:tcPr>
            <w:tcW w:w="2313" w:type="dxa"/>
            <w:tcBorders>
              <w:top w:val="single" w:sz="7" w:space="0" w:color="C0C0C0"/>
              <w:left w:val="single" w:sz="7" w:space="0" w:color="C0C0C0"/>
              <w:bottom w:val="nil"/>
              <w:right w:val="single" w:sz="7" w:space="0" w:color="C0C0C0"/>
            </w:tcBorders>
          </w:tcPr>
          <w:p w14:paraId="0CED249E" w14:textId="77777777" w:rsidR="0031675F" w:rsidRPr="0031675F" w:rsidRDefault="0031675F" w:rsidP="0031675F"/>
        </w:tc>
      </w:tr>
      <w:tr w:rsidR="0031675F" w:rsidRPr="0031675F" w14:paraId="5C3C218E" w14:textId="77777777" w:rsidTr="00B00729">
        <w:trPr>
          <w:trHeight w:hRule="exact" w:val="262"/>
        </w:trPr>
        <w:tc>
          <w:tcPr>
            <w:tcW w:w="12489" w:type="dxa"/>
            <w:gridSpan w:val="7"/>
            <w:tcBorders>
              <w:top w:val="nil"/>
              <w:left w:val="single" w:sz="2" w:space="0" w:color="000000"/>
              <w:bottom w:val="nil"/>
              <w:right w:val="single" w:sz="2" w:space="0" w:color="000000"/>
            </w:tcBorders>
          </w:tcPr>
          <w:p w14:paraId="766A0484" w14:textId="77777777" w:rsidR="0031675F" w:rsidRPr="0031675F" w:rsidRDefault="0031675F" w:rsidP="0031675F"/>
        </w:tc>
      </w:tr>
      <w:tr w:rsidR="0031675F" w:rsidRPr="0031675F" w14:paraId="62C2FADD" w14:textId="77777777" w:rsidTr="00B00729">
        <w:trPr>
          <w:trHeight w:hRule="exact" w:val="240"/>
        </w:trPr>
        <w:tc>
          <w:tcPr>
            <w:tcW w:w="4608" w:type="dxa"/>
            <w:gridSpan w:val="2"/>
            <w:tcBorders>
              <w:top w:val="nil"/>
              <w:left w:val="single" w:sz="7" w:space="0" w:color="C0C0C0"/>
              <w:bottom w:val="single" w:sz="7" w:space="0" w:color="C0C0C0"/>
              <w:right w:val="single" w:sz="7" w:space="0" w:color="C0C0C0"/>
            </w:tcBorders>
          </w:tcPr>
          <w:p w14:paraId="09E035A8" w14:textId="77777777" w:rsidR="0031675F" w:rsidRPr="0031675F" w:rsidRDefault="0031675F" w:rsidP="0031675F">
            <w:pPr>
              <w:widowControl w:val="0"/>
              <w:spacing w:before="11" w:after="0" w:line="240" w:lineRule="auto"/>
              <w:ind w:left="32"/>
              <w:rPr>
                <w:rFonts w:eastAsia="Arial" w:cs="Arial"/>
                <w:sz w:val="19"/>
                <w:szCs w:val="19"/>
                <w:lang w:val="en-US"/>
              </w:rPr>
            </w:pPr>
            <w:r w:rsidRPr="0031675F">
              <w:rPr>
                <w:rFonts w:eastAsia="Calibri" w:hAnsi="Calibri"/>
                <w:b/>
                <w:spacing w:val="-1"/>
                <w:w w:val="110"/>
                <w:sz w:val="19"/>
                <w:lang w:val="en-US"/>
              </w:rPr>
              <w:t>Instrument</w:t>
            </w:r>
            <w:r w:rsidRPr="0031675F">
              <w:rPr>
                <w:rFonts w:eastAsia="Calibri" w:hAnsi="Calibri"/>
                <w:b/>
                <w:spacing w:val="-11"/>
                <w:w w:val="110"/>
                <w:sz w:val="19"/>
                <w:lang w:val="en-US"/>
              </w:rPr>
              <w:t xml:space="preserve"> </w:t>
            </w:r>
            <w:r w:rsidRPr="0031675F">
              <w:rPr>
                <w:rFonts w:eastAsia="Calibri" w:hAnsi="Calibri"/>
                <w:b/>
                <w:w w:val="110"/>
                <w:sz w:val="19"/>
                <w:lang w:val="en-US"/>
              </w:rPr>
              <w:t>-</w:t>
            </w:r>
            <w:r w:rsidRPr="0031675F">
              <w:rPr>
                <w:rFonts w:eastAsia="Calibri" w:hAnsi="Calibri"/>
                <w:b/>
                <w:spacing w:val="-9"/>
                <w:w w:val="110"/>
                <w:sz w:val="19"/>
                <w:lang w:val="en-US"/>
              </w:rPr>
              <w:t xml:space="preserve"> </w:t>
            </w:r>
            <w:r w:rsidRPr="0031675F">
              <w:rPr>
                <w:rFonts w:eastAsia="Calibri" w:hAnsi="Calibri"/>
                <w:spacing w:val="-7"/>
                <w:w w:val="110"/>
                <w:sz w:val="19"/>
                <w:lang w:val="en-US"/>
              </w:rPr>
              <w:t>Turner</w:t>
            </w:r>
            <w:r w:rsidRPr="0031675F">
              <w:rPr>
                <w:rFonts w:eastAsia="Calibri" w:hAnsi="Calibri"/>
                <w:spacing w:val="-11"/>
                <w:w w:val="110"/>
                <w:sz w:val="19"/>
                <w:lang w:val="en-US"/>
              </w:rPr>
              <w:t xml:space="preserve"> </w:t>
            </w:r>
            <w:r w:rsidRPr="0031675F">
              <w:rPr>
                <w:rFonts w:eastAsia="Calibri" w:hAnsi="Calibri"/>
                <w:spacing w:val="-3"/>
                <w:w w:val="110"/>
                <w:sz w:val="19"/>
                <w:lang w:val="en-US"/>
              </w:rPr>
              <w:t>Fluorometer</w:t>
            </w:r>
            <w:r w:rsidRPr="0031675F">
              <w:rPr>
                <w:rFonts w:eastAsia="Calibri" w:hAnsi="Calibri"/>
                <w:spacing w:val="-12"/>
                <w:w w:val="110"/>
                <w:sz w:val="19"/>
                <w:lang w:val="en-US"/>
              </w:rPr>
              <w:t xml:space="preserve"> </w:t>
            </w:r>
            <w:r w:rsidRPr="0031675F">
              <w:rPr>
                <w:rFonts w:eastAsia="Calibri" w:hAnsi="Calibri"/>
                <w:spacing w:val="-3"/>
                <w:w w:val="110"/>
                <w:sz w:val="19"/>
                <w:lang w:val="en-US"/>
              </w:rPr>
              <w:t>Model</w:t>
            </w:r>
            <w:r w:rsidRPr="0031675F">
              <w:rPr>
                <w:rFonts w:eastAsia="Calibri" w:hAnsi="Calibri"/>
                <w:spacing w:val="-5"/>
                <w:w w:val="110"/>
                <w:sz w:val="19"/>
                <w:lang w:val="en-US"/>
              </w:rPr>
              <w:t xml:space="preserve"> </w:t>
            </w:r>
            <w:r w:rsidRPr="0031675F">
              <w:rPr>
                <w:rFonts w:eastAsia="Calibri" w:hAnsi="Calibri"/>
                <w:spacing w:val="-1"/>
                <w:w w:val="110"/>
                <w:sz w:val="19"/>
                <w:lang w:val="en-US"/>
              </w:rPr>
              <w:t>10AU</w:t>
            </w:r>
          </w:p>
        </w:tc>
        <w:tc>
          <w:tcPr>
            <w:tcW w:w="1262" w:type="dxa"/>
            <w:tcBorders>
              <w:top w:val="nil"/>
              <w:left w:val="single" w:sz="7" w:space="0" w:color="C0C0C0"/>
              <w:bottom w:val="single" w:sz="7" w:space="0" w:color="C0C0C0"/>
              <w:right w:val="single" w:sz="7" w:space="0" w:color="C0C0C0"/>
            </w:tcBorders>
          </w:tcPr>
          <w:p w14:paraId="7977252D" w14:textId="77777777" w:rsidR="0031675F" w:rsidRPr="0031675F" w:rsidRDefault="0031675F" w:rsidP="0031675F"/>
        </w:tc>
        <w:tc>
          <w:tcPr>
            <w:tcW w:w="1782" w:type="dxa"/>
            <w:tcBorders>
              <w:top w:val="nil"/>
              <w:left w:val="single" w:sz="7" w:space="0" w:color="C0C0C0"/>
              <w:bottom w:val="single" w:sz="7" w:space="0" w:color="C0C0C0"/>
              <w:right w:val="single" w:sz="7" w:space="0" w:color="C0C0C0"/>
            </w:tcBorders>
          </w:tcPr>
          <w:p w14:paraId="6ADA238F" w14:textId="77777777" w:rsidR="0031675F" w:rsidRPr="0031675F" w:rsidRDefault="0031675F" w:rsidP="0031675F"/>
        </w:tc>
        <w:tc>
          <w:tcPr>
            <w:tcW w:w="1262" w:type="dxa"/>
            <w:tcBorders>
              <w:top w:val="nil"/>
              <w:left w:val="single" w:sz="7" w:space="0" w:color="C0C0C0"/>
              <w:bottom w:val="single" w:sz="7" w:space="0" w:color="C0C0C0"/>
              <w:right w:val="single" w:sz="7" w:space="0" w:color="C0C0C0"/>
            </w:tcBorders>
          </w:tcPr>
          <w:p w14:paraId="4D931AA9" w14:textId="77777777" w:rsidR="0031675F" w:rsidRPr="0031675F" w:rsidRDefault="0031675F" w:rsidP="0031675F"/>
        </w:tc>
        <w:tc>
          <w:tcPr>
            <w:tcW w:w="1262" w:type="dxa"/>
            <w:tcBorders>
              <w:top w:val="nil"/>
              <w:left w:val="single" w:sz="7" w:space="0" w:color="C0C0C0"/>
              <w:bottom w:val="single" w:sz="7" w:space="0" w:color="C0C0C0"/>
              <w:right w:val="single" w:sz="7" w:space="0" w:color="C0C0C0"/>
            </w:tcBorders>
          </w:tcPr>
          <w:p w14:paraId="1F72AD06" w14:textId="77777777" w:rsidR="0031675F" w:rsidRPr="0031675F" w:rsidRDefault="0031675F" w:rsidP="0031675F"/>
        </w:tc>
        <w:tc>
          <w:tcPr>
            <w:tcW w:w="2313" w:type="dxa"/>
            <w:tcBorders>
              <w:top w:val="nil"/>
              <w:left w:val="single" w:sz="7" w:space="0" w:color="C0C0C0"/>
              <w:bottom w:val="single" w:sz="7" w:space="0" w:color="C0C0C0"/>
              <w:right w:val="single" w:sz="7" w:space="0" w:color="C0C0C0"/>
            </w:tcBorders>
          </w:tcPr>
          <w:p w14:paraId="0D647AAD" w14:textId="77777777" w:rsidR="0031675F" w:rsidRPr="0031675F" w:rsidRDefault="0031675F" w:rsidP="0031675F"/>
        </w:tc>
      </w:tr>
      <w:tr w:rsidR="0031675F" w:rsidRPr="0031675F" w14:paraId="04D183D2" w14:textId="77777777" w:rsidTr="00B00729">
        <w:trPr>
          <w:trHeight w:hRule="exact" w:val="247"/>
        </w:trPr>
        <w:tc>
          <w:tcPr>
            <w:tcW w:w="4608" w:type="dxa"/>
            <w:gridSpan w:val="2"/>
            <w:tcBorders>
              <w:top w:val="single" w:sz="7" w:space="0" w:color="C0C0C0"/>
              <w:left w:val="single" w:sz="7" w:space="0" w:color="C0C0C0"/>
              <w:bottom w:val="single" w:sz="7" w:space="0" w:color="000000"/>
              <w:right w:val="single" w:sz="7" w:space="0" w:color="C0C0C0"/>
            </w:tcBorders>
          </w:tcPr>
          <w:p w14:paraId="6D1EDD14"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b/>
                <w:spacing w:val="-4"/>
                <w:w w:val="110"/>
                <w:sz w:val="19"/>
                <w:lang w:val="en-US"/>
              </w:rPr>
              <w:t>CALIBRATION</w:t>
            </w:r>
            <w:r w:rsidRPr="0031675F">
              <w:rPr>
                <w:rFonts w:eastAsia="Calibri" w:hAnsi="Calibri"/>
                <w:b/>
                <w:spacing w:val="-33"/>
                <w:w w:val="110"/>
                <w:sz w:val="19"/>
                <w:lang w:val="en-US"/>
              </w:rPr>
              <w:t xml:space="preserve"> </w:t>
            </w:r>
            <w:r w:rsidRPr="0031675F">
              <w:rPr>
                <w:rFonts w:eastAsia="Calibri" w:hAnsi="Calibri"/>
                <w:b/>
                <w:spacing w:val="-6"/>
                <w:w w:val="110"/>
                <w:sz w:val="19"/>
                <w:lang w:val="en-US"/>
              </w:rPr>
              <w:t>STANDARDS</w:t>
            </w:r>
          </w:p>
        </w:tc>
        <w:tc>
          <w:tcPr>
            <w:tcW w:w="1262" w:type="dxa"/>
            <w:tcBorders>
              <w:top w:val="single" w:sz="7" w:space="0" w:color="C0C0C0"/>
              <w:left w:val="single" w:sz="7" w:space="0" w:color="C0C0C0"/>
              <w:bottom w:val="single" w:sz="7" w:space="0" w:color="000000"/>
              <w:right w:val="single" w:sz="7" w:space="0" w:color="C0C0C0"/>
            </w:tcBorders>
          </w:tcPr>
          <w:p w14:paraId="54143E94" w14:textId="77777777" w:rsidR="0031675F" w:rsidRPr="0031675F" w:rsidRDefault="0031675F" w:rsidP="0031675F"/>
        </w:tc>
        <w:tc>
          <w:tcPr>
            <w:tcW w:w="1782" w:type="dxa"/>
            <w:tcBorders>
              <w:top w:val="single" w:sz="7" w:space="0" w:color="C0C0C0"/>
              <w:left w:val="single" w:sz="7" w:space="0" w:color="C0C0C0"/>
              <w:bottom w:val="single" w:sz="7" w:space="0" w:color="000000"/>
              <w:right w:val="single" w:sz="7" w:space="0" w:color="C0C0C0"/>
            </w:tcBorders>
          </w:tcPr>
          <w:p w14:paraId="27B1866A" w14:textId="77777777" w:rsidR="0031675F" w:rsidRPr="0031675F" w:rsidRDefault="0031675F" w:rsidP="0031675F"/>
        </w:tc>
        <w:tc>
          <w:tcPr>
            <w:tcW w:w="1262" w:type="dxa"/>
            <w:tcBorders>
              <w:top w:val="single" w:sz="7" w:space="0" w:color="C0C0C0"/>
              <w:left w:val="single" w:sz="7" w:space="0" w:color="C0C0C0"/>
              <w:bottom w:val="single" w:sz="7" w:space="0" w:color="000000"/>
              <w:right w:val="single" w:sz="7" w:space="0" w:color="C0C0C0"/>
            </w:tcBorders>
          </w:tcPr>
          <w:p w14:paraId="607E5165" w14:textId="77777777" w:rsidR="0031675F" w:rsidRPr="0031675F" w:rsidRDefault="0031675F" w:rsidP="0031675F"/>
        </w:tc>
        <w:tc>
          <w:tcPr>
            <w:tcW w:w="1262" w:type="dxa"/>
            <w:tcBorders>
              <w:top w:val="single" w:sz="7" w:space="0" w:color="C0C0C0"/>
              <w:left w:val="single" w:sz="7" w:space="0" w:color="C0C0C0"/>
              <w:bottom w:val="single" w:sz="7" w:space="0" w:color="000000"/>
              <w:right w:val="single" w:sz="7" w:space="0" w:color="C0C0C0"/>
            </w:tcBorders>
          </w:tcPr>
          <w:p w14:paraId="69057511" w14:textId="77777777" w:rsidR="0031675F" w:rsidRPr="0031675F" w:rsidRDefault="0031675F" w:rsidP="0031675F"/>
        </w:tc>
        <w:tc>
          <w:tcPr>
            <w:tcW w:w="2313" w:type="dxa"/>
            <w:tcBorders>
              <w:top w:val="single" w:sz="7" w:space="0" w:color="C0C0C0"/>
              <w:left w:val="single" w:sz="7" w:space="0" w:color="C0C0C0"/>
              <w:bottom w:val="single" w:sz="7" w:space="0" w:color="000000"/>
              <w:right w:val="single" w:sz="7" w:space="0" w:color="C0C0C0"/>
            </w:tcBorders>
          </w:tcPr>
          <w:p w14:paraId="1169042A" w14:textId="77777777" w:rsidR="0031675F" w:rsidRPr="0031675F" w:rsidRDefault="0031675F" w:rsidP="0031675F"/>
        </w:tc>
      </w:tr>
      <w:tr w:rsidR="0031675F" w:rsidRPr="0031675F" w14:paraId="51117978"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74BACA7B" w14:textId="77777777" w:rsidR="0031675F" w:rsidRPr="0031675F" w:rsidRDefault="0031675F" w:rsidP="0031675F">
            <w:pPr>
              <w:widowControl w:val="0"/>
              <w:spacing w:before="28" w:after="0" w:line="240" w:lineRule="auto"/>
              <w:ind w:left="32"/>
              <w:rPr>
                <w:rFonts w:eastAsia="Arial" w:cs="Arial"/>
                <w:sz w:val="17"/>
                <w:szCs w:val="17"/>
                <w:lang w:val="en-US"/>
              </w:rPr>
            </w:pPr>
            <w:r w:rsidRPr="0031675F">
              <w:rPr>
                <w:rFonts w:eastAsia="Calibri" w:hAnsi="Calibri"/>
                <w:spacing w:val="2"/>
                <w:w w:val="110"/>
                <w:sz w:val="17"/>
                <w:lang w:val="en-US"/>
              </w:rPr>
              <w:t>Flask</w:t>
            </w:r>
            <w:r w:rsidRPr="0031675F">
              <w:rPr>
                <w:rFonts w:eastAsia="Calibri" w:hAnsi="Calibri"/>
                <w:spacing w:val="9"/>
                <w:w w:val="110"/>
                <w:sz w:val="17"/>
                <w:lang w:val="en-US"/>
              </w:rPr>
              <w:t xml:space="preserve"> </w:t>
            </w:r>
            <w:r w:rsidRPr="0031675F">
              <w:rPr>
                <w:rFonts w:eastAsia="Calibri" w:hAnsi="Calibri"/>
                <w:spacing w:val="1"/>
                <w:w w:val="110"/>
                <w:sz w:val="17"/>
                <w:lang w:val="en-US"/>
              </w:rPr>
              <w:t>No.</w:t>
            </w:r>
          </w:p>
        </w:tc>
        <w:tc>
          <w:tcPr>
            <w:tcW w:w="2508" w:type="dxa"/>
            <w:tcBorders>
              <w:top w:val="single" w:sz="7" w:space="0" w:color="000000"/>
              <w:left w:val="single" w:sz="7" w:space="0" w:color="000000"/>
              <w:bottom w:val="single" w:sz="7" w:space="0" w:color="000000"/>
              <w:right w:val="single" w:sz="7" w:space="0" w:color="000000"/>
            </w:tcBorders>
          </w:tcPr>
          <w:p w14:paraId="3CF6BD8E" w14:textId="77777777" w:rsidR="0031675F" w:rsidRPr="0031675F" w:rsidRDefault="0031675F" w:rsidP="0031675F">
            <w:pPr>
              <w:widowControl w:val="0"/>
              <w:spacing w:before="28" w:after="0" w:line="240" w:lineRule="auto"/>
              <w:ind w:left="30"/>
              <w:rPr>
                <w:rFonts w:eastAsia="Arial" w:cs="Arial"/>
                <w:sz w:val="17"/>
                <w:szCs w:val="17"/>
                <w:lang w:val="en-US"/>
              </w:rPr>
            </w:pPr>
            <w:r w:rsidRPr="0031675F">
              <w:rPr>
                <w:rFonts w:eastAsia="Calibri" w:hAnsi="Calibri"/>
                <w:spacing w:val="-4"/>
                <w:w w:val="110"/>
                <w:sz w:val="17"/>
                <w:lang w:val="en-US"/>
              </w:rPr>
              <w:t>FLASK</w:t>
            </w:r>
            <w:r w:rsidRPr="0031675F">
              <w:rPr>
                <w:rFonts w:eastAsia="Calibri" w:hAnsi="Calibri"/>
                <w:spacing w:val="3"/>
                <w:w w:val="110"/>
                <w:sz w:val="17"/>
                <w:lang w:val="en-US"/>
              </w:rPr>
              <w:t xml:space="preserve"> </w:t>
            </w:r>
            <w:r w:rsidRPr="0031675F">
              <w:rPr>
                <w:rFonts w:eastAsia="Calibri" w:hAnsi="Calibri"/>
                <w:spacing w:val="-5"/>
                <w:w w:val="110"/>
                <w:sz w:val="17"/>
                <w:lang w:val="en-US"/>
              </w:rPr>
              <w:t>VOL.</w:t>
            </w:r>
          </w:p>
        </w:tc>
        <w:tc>
          <w:tcPr>
            <w:tcW w:w="1262" w:type="dxa"/>
            <w:tcBorders>
              <w:top w:val="single" w:sz="7" w:space="0" w:color="000000"/>
              <w:left w:val="single" w:sz="7" w:space="0" w:color="000000"/>
              <w:bottom w:val="single" w:sz="7" w:space="0" w:color="000000"/>
              <w:right w:val="single" w:sz="7" w:space="0" w:color="000000"/>
            </w:tcBorders>
          </w:tcPr>
          <w:p w14:paraId="60D2C793" w14:textId="77777777" w:rsidR="0031675F" w:rsidRPr="0031675F" w:rsidRDefault="0031675F" w:rsidP="0031675F">
            <w:pPr>
              <w:widowControl w:val="0"/>
              <w:spacing w:before="28" w:after="0" w:line="240" w:lineRule="auto"/>
              <w:ind w:left="30" w:right="-16"/>
              <w:rPr>
                <w:rFonts w:eastAsia="Arial" w:cs="Arial"/>
                <w:sz w:val="17"/>
                <w:szCs w:val="17"/>
                <w:lang w:val="en-US"/>
              </w:rPr>
            </w:pPr>
            <w:r w:rsidRPr="0031675F">
              <w:rPr>
                <w:rFonts w:eastAsia="Calibri" w:hAnsi="Calibri"/>
                <w:spacing w:val="-8"/>
                <w:w w:val="110"/>
                <w:sz w:val="17"/>
                <w:lang w:val="en-US"/>
              </w:rPr>
              <w:t>VOL</w:t>
            </w:r>
            <w:r w:rsidRPr="0031675F">
              <w:rPr>
                <w:rFonts w:eastAsia="Calibri" w:hAnsi="Calibri"/>
                <w:spacing w:val="4"/>
                <w:w w:val="110"/>
                <w:sz w:val="17"/>
                <w:lang w:val="en-US"/>
              </w:rPr>
              <w:t xml:space="preserve"> </w:t>
            </w:r>
            <w:r w:rsidRPr="0031675F">
              <w:rPr>
                <w:rFonts w:eastAsia="Calibri" w:hAnsi="Calibri"/>
                <w:spacing w:val="-2"/>
                <w:w w:val="110"/>
                <w:sz w:val="17"/>
                <w:lang w:val="en-US"/>
              </w:rPr>
              <w:t>STD</w:t>
            </w:r>
            <w:r w:rsidRPr="0031675F">
              <w:rPr>
                <w:rFonts w:eastAsia="Calibri" w:hAnsi="Calibri"/>
                <w:spacing w:val="4"/>
                <w:w w:val="110"/>
                <w:sz w:val="17"/>
                <w:lang w:val="en-US"/>
              </w:rPr>
              <w:t xml:space="preserve"> </w:t>
            </w:r>
            <w:r w:rsidRPr="0031675F">
              <w:rPr>
                <w:rFonts w:eastAsia="Calibri" w:hAnsi="Calibri"/>
                <w:spacing w:val="1"/>
                <w:w w:val="110"/>
                <w:sz w:val="17"/>
                <w:lang w:val="en-US"/>
              </w:rPr>
              <w:t>USE</w:t>
            </w:r>
          </w:p>
        </w:tc>
        <w:tc>
          <w:tcPr>
            <w:tcW w:w="1782" w:type="dxa"/>
            <w:tcBorders>
              <w:top w:val="single" w:sz="7" w:space="0" w:color="000000"/>
              <w:left w:val="single" w:sz="7" w:space="0" w:color="000000"/>
              <w:bottom w:val="single" w:sz="7" w:space="0" w:color="000000"/>
              <w:right w:val="single" w:sz="7" w:space="0" w:color="000000"/>
            </w:tcBorders>
          </w:tcPr>
          <w:p w14:paraId="113F4E30" w14:textId="77777777" w:rsidR="0031675F" w:rsidRPr="0031675F" w:rsidRDefault="0031675F" w:rsidP="0031675F">
            <w:pPr>
              <w:widowControl w:val="0"/>
              <w:spacing w:before="28" w:after="0" w:line="240" w:lineRule="auto"/>
              <w:ind w:left="30"/>
              <w:rPr>
                <w:rFonts w:eastAsia="Arial" w:cs="Arial"/>
                <w:sz w:val="17"/>
                <w:szCs w:val="17"/>
                <w:lang w:val="en-US"/>
              </w:rPr>
            </w:pPr>
            <w:r w:rsidRPr="0031675F">
              <w:rPr>
                <w:rFonts w:eastAsia="Calibri" w:hAnsi="Calibri"/>
                <w:spacing w:val="1"/>
                <w:w w:val="110"/>
                <w:sz w:val="17"/>
                <w:lang w:val="en-US"/>
              </w:rPr>
              <w:t>Ca</w:t>
            </w:r>
            <w:r w:rsidRPr="0031675F">
              <w:rPr>
                <w:rFonts w:eastAsia="Calibri" w:hAnsi="Calibri"/>
                <w:spacing w:val="8"/>
                <w:w w:val="110"/>
                <w:sz w:val="17"/>
                <w:lang w:val="en-US"/>
              </w:rPr>
              <w:t xml:space="preserve"> </w:t>
            </w:r>
            <w:r w:rsidRPr="0031675F">
              <w:rPr>
                <w:rFonts w:eastAsia="Calibri" w:hAnsi="Calibri"/>
                <w:spacing w:val="1"/>
                <w:w w:val="110"/>
                <w:sz w:val="17"/>
                <w:lang w:val="en-US"/>
              </w:rPr>
              <w:t>in</w:t>
            </w:r>
            <w:r w:rsidRPr="0031675F">
              <w:rPr>
                <w:rFonts w:eastAsia="Calibri" w:hAnsi="Calibri"/>
                <w:spacing w:val="8"/>
                <w:w w:val="110"/>
                <w:sz w:val="17"/>
                <w:lang w:val="en-US"/>
              </w:rPr>
              <w:t xml:space="preserve"> </w:t>
            </w:r>
            <w:r w:rsidRPr="0031675F">
              <w:rPr>
                <w:rFonts w:eastAsia="Calibri" w:hAnsi="Calibri"/>
                <w:spacing w:val="1"/>
                <w:w w:val="110"/>
                <w:sz w:val="17"/>
                <w:lang w:val="en-US"/>
              </w:rPr>
              <w:t>calib</w:t>
            </w:r>
            <w:r w:rsidRPr="0031675F">
              <w:rPr>
                <w:rFonts w:eastAsia="Calibri" w:hAnsi="Calibri"/>
                <w:spacing w:val="9"/>
                <w:w w:val="110"/>
                <w:sz w:val="17"/>
                <w:lang w:val="en-US"/>
              </w:rPr>
              <w:t xml:space="preserve"> </w:t>
            </w:r>
            <w:r w:rsidRPr="0031675F">
              <w:rPr>
                <w:rFonts w:eastAsia="Calibri" w:hAnsi="Calibri"/>
                <w:spacing w:val="6"/>
                <w:w w:val="110"/>
                <w:sz w:val="17"/>
                <w:lang w:val="en-US"/>
              </w:rPr>
              <w:t>sample</w:t>
            </w:r>
          </w:p>
        </w:tc>
        <w:tc>
          <w:tcPr>
            <w:tcW w:w="1262" w:type="dxa"/>
            <w:tcBorders>
              <w:top w:val="single" w:sz="7" w:space="0" w:color="000000"/>
              <w:left w:val="single" w:sz="7" w:space="0" w:color="000000"/>
              <w:bottom w:val="single" w:sz="7" w:space="0" w:color="000000"/>
              <w:right w:val="single" w:sz="7" w:space="0" w:color="000000"/>
            </w:tcBorders>
          </w:tcPr>
          <w:p w14:paraId="44A73D9C" w14:textId="77777777" w:rsidR="0031675F" w:rsidRPr="0031675F" w:rsidRDefault="0031675F" w:rsidP="0031675F">
            <w:pPr>
              <w:widowControl w:val="0"/>
              <w:spacing w:before="28" w:after="0" w:line="240" w:lineRule="auto"/>
              <w:ind w:left="30" w:right="-10"/>
              <w:rPr>
                <w:rFonts w:eastAsia="Arial" w:cs="Arial"/>
                <w:sz w:val="17"/>
                <w:szCs w:val="17"/>
                <w:lang w:val="en-US"/>
              </w:rPr>
            </w:pPr>
            <w:r w:rsidRPr="0031675F">
              <w:rPr>
                <w:rFonts w:eastAsia="Calibri" w:hAnsi="Calibri"/>
                <w:spacing w:val="-5"/>
                <w:w w:val="110"/>
                <w:sz w:val="17"/>
                <w:lang w:val="en-US"/>
              </w:rPr>
              <w:t>Abs</w:t>
            </w:r>
            <w:r w:rsidRPr="0031675F">
              <w:rPr>
                <w:rFonts w:eastAsia="Calibri" w:hAnsi="Calibri"/>
                <w:spacing w:val="15"/>
                <w:w w:val="110"/>
                <w:sz w:val="17"/>
                <w:lang w:val="en-US"/>
              </w:rPr>
              <w:t xml:space="preserve"> </w:t>
            </w:r>
            <w:r w:rsidRPr="0031675F">
              <w:rPr>
                <w:rFonts w:eastAsia="Calibri" w:hAnsi="Calibri"/>
                <w:spacing w:val="1"/>
                <w:w w:val="110"/>
                <w:sz w:val="17"/>
                <w:lang w:val="en-US"/>
              </w:rPr>
              <w:t>before</w:t>
            </w:r>
            <w:r w:rsidRPr="0031675F">
              <w:rPr>
                <w:rFonts w:eastAsia="Calibri" w:hAnsi="Calibri"/>
                <w:spacing w:val="4"/>
                <w:w w:val="110"/>
                <w:sz w:val="17"/>
                <w:lang w:val="en-US"/>
              </w:rPr>
              <w:t xml:space="preserve"> </w:t>
            </w:r>
            <w:r w:rsidRPr="0031675F">
              <w:rPr>
                <w:rFonts w:eastAsia="Calibri" w:hAnsi="Calibri"/>
                <w:spacing w:val="1"/>
                <w:w w:val="110"/>
                <w:sz w:val="17"/>
                <w:lang w:val="en-US"/>
              </w:rPr>
              <w:t>aci</w:t>
            </w:r>
          </w:p>
        </w:tc>
        <w:tc>
          <w:tcPr>
            <w:tcW w:w="1262" w:type="dxa"/>
            <w:tcBorders>
              <w:top w:val="single" w:sz="7" w:space="0" w:color="000000"/>
              <w:left w:val="single" w:sz="7" w:space="0" w:color="000000"/>
              <w:bottom w:val="single" w:sz="7" w:space="0" w:color="000000"/>
              <w:right w:val="single" w:sz="7" w:space="0" w:color="000000"/>
            </w:tcBorders>
          </w:tcPr>
          <w:p w14:paraId="5EF37006" w14:textId="77777777" w:rsidR="0031675F" w:rsidRPr="0031675F" w:rsidRDefault="0031675F" w:rsidP="0031675F">
            <w:pPr>
              <w:widowControl w:val="0"/>
              <w:spacing w:before="28" w:after="0" w:line="240" w:lineRule="auto"/>
              <w:ind w:left="30"/>
              <w:rPr>
                <w:rFonts w:eastAsia="Arial" w:cs="Arial"/>
                <w:sz w:val="17"/>
                <w:szCs w:val="17"/>
                <w:lang w:val="en-US"/>
              </w:rPr>
            </w:pPr>
            <w:r w:rsidRPr="0031675F">
              <w:rPr>
                <w:rFonts w:eastAsia="Calibri" w:hAnsi="Calibri"/>
                <w:spacing w:val="-5"/>
                <w:w w:val="110"/>
                <w:sz w:val="17"/>
                <w:lang w:val="en-US"/>
              </w:rPr>
              <w:t>Abs</w:t>
            </w:r>
            <w:r w:rsidRPr="0031675F">
              <w:rPr>
                <w:rFonts w:eastAsia="Calibri" w:hAnsi="Calibri"/>
                <w:spacing w:val="18"/>
                <w:w w:val="110"/>
                <w:sz w:val="17"/>
                <w:lang w:val="en-US"/>
              </w:rPr>
              <w:t xml:space="preserve"> </w:t>
            </w:r>
            <w:r w:rsidRPr="0031675F">
              <w:rPr>
                <w:rFonts w:eastAsia="Calibri" w:hAnsi="Calibri"/>
                <w:spacing w:val="-1"/>
                <w:w w:val="110"/>
                <w:sz w:val="17"/>
                <w:lang w:val="en-US"/>
              </w:rPr>
              <w:t>after</w:t>
            </w:r>
            <w:r w:rsidRPr="0031675F">
              <w:rPr>
                <w:rFonts w:eastAsia="Calibri" w:hAnsi="Calibri"/>
                <w:w w:val="110"/>
                <w:sz w:val="17"/>
                <w:lang w:val="en-US"/>
              </w:rPr>
              <w:t xml:space="preserve"> </w:t>
            </w:r>
            <w:r w:rsidRPr="0031675F">
              <w:rPr>
                <w:rFonts w:eastAsia="Calibri" w:hAnsi="Calibri"/>
                <w:spacing w:val="1"/>
                <w:w w:val="110"/>
                <w:sz w:val="17"/>
                <w:lang w:val="en-US"/>
              </w:rPr>
              <w:t>acid</w:t>
            </w:r>
          </w:p>
        </w:tc>
        <w:tc>
          <w:tcPr>
            <w:tcW w:w="2313" w:type="dxa"/>
            <w:tcBorders>
              <w:top w:val="single" w:sz="7" w:space="0" w:color="000000"/>
              <w:left w:val="single" w:sz="7" w:space="0" w:color="000000"/>
              <w:bottom w:val="single" w:sz="7" w:space="0" w:color="000000"/>
              <w:right w:val="single" w:sz="7" w:space="0" w:color="000000"/>
            </w:tcBorders>
          </w:tcPr>
          <w:p w14:paraId="3C1D74AA" w14:textId="77777777" w:rsidR="0031675F" w:rsidRPr="0031675F" w:rsidRDefault="0031675F" w:rsidP="0031675F">
            <w:pPr>
              <w:widowControl w:val="0"/>
              <w:spacing w:before="28" w:after="0" w:line="240" w:lineRule="auto"/>
              <w:ind w:left="30"/>
              <w:rPr>
                <w:rFonts w:eastAsia="Arial" w:cs="Arial"/>
                <w:sz w:val="17"/>
                <w:szCs w:val="17"/>
                <w:lang w:val="en-US"/>
              </w:rPr>
            </w:pPr>
            <w:r w:rsidRPr="0031675F">
              <w:rPr>
                <w:rFonts w:eastAsia="Calibri" w:hAnsi="Calibri"/>
                <w:spacing w:val="3"/>
                <w:w w:val="110"/>
                <w:sz w:val="17"/>
                <w:lang w:val="en-US"/>
              </w:rPr>
              <w:t>Doo</w:t>
            </w:r>
            <w:r w:rsidRPr="0031675F">
              <w:rPr>
                <w:rFonts w:eastAsia="Calibri" w:hAnsi="Calibri"/>
                <w:w w:val="110"/>
                <w:sz w:val="17"/>
                <w:lang w:val="en-US"/>
              </w:rPr>
              <w:t>r</w:t>
            </w:r>
            <w:r w:rsidRPr="0031675F">
              <w:rPr>
                <w:rFonts w:eastAsia="Calibri" w:hAnsi="Calibri"/>
                <w:spacing w:val="8"/>
                <w:w w:val="110"/>
                <w:sz w:val="17"/>
                <w:lang w:val="en-US"/>
              </w:rPr>
              <w:t xml:space="preserve"> </w:t>
            </w:r>
            <w:r w:rsidRPr="0031675F">
              <w:rPr>
                <w:rFonts w:eastAsia="Calibri" w:hAnsi="Calibri"/>
                <w:spacing w:val="-17"/>
                <w:w w:val="110"/>
                <w:sz w:val="17"/>
                <w:lang w:val="en-US"/>
              </w:rPr>
              <w:t>V</w:t>
            </w:r>
            <w:r w:rsidRPr="0031675F">
              <w:rPr>
                <w:rFonts w:eastAsia="Calibri" w:hAnsi="Calibri"/>
                <w:spacing w:val="3"/>
                <w:w w:val="110"/>
                <w:sz w:val="17"/>
                <w:lang w:val="en-US"/>
              </w:rPr>
              <w:t>alu</w:t>
            </w:r>
            <w:r w:rsidRPr="0031675F">
              <w:rPr>
                <w:rFonts w:eastAsia="Calibri" w:hAnsi="Calibri"/>
                <w:w w:val="110"/>
                <w:sz w:val="17"/>
                <w:lang w:val="en-US"/>
              </w:rPr>
              <w:t>e</w:t>
            </w:r>
          </w:p>
        </w:tc>
      </w:tr>
      <w:tr w:rsidR="0031675F" w:rsidRPr="0031675F" w14:paraId="23394456"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266DD706"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w w:val="110"/>
                <w:sz w:val="19"/>
                <w:lang w:val="en-US"/>
              </w:rPr>
              <w:t>1</w:t>
            </w:r>
          </w:p>
        </w:tc>
        <w:tc>
          <w:tcPr>
            <w:tcW w:w="2508" w:type="dxa"/>
            <w:tcBorders>
              <w:top w:val="single" w:sz="7" w:space="0" w:color="000000"/>
              <w:left w:val="single" w:sz="7" w:space="0" w:color="000000"/>
              <w:bottom w:val="single" w:sz="7" w:space="0" w:color="000000"/>
              <w:right w:val="single" w:sz="7" w:space="0" w:color="000000"/>
            </w:tcBorders>
          </w:tcPr>
          <w:p w14:paraId="5EDEC045" w14:textId="77777777" w:rsidR="0031675F" w:rsidRPr="0031675F" w:rsidRDefault="0031675F" w:rsidP="0031675F">
            <w:pPr>
              <w:widowControl w:val="0"/>
              <w:spacing w:before="9" w:after="0" w:line="240" w:lineRule="auto"/>
              <w:ind w:right="28"/>
              <w:jc w:val="right"/>
              <w:rPr>
                <w:rFonts w:eastAsia="Arial" w:cs="Arial"/>
                <w:sz w:val="19"/>
                <w:szCs w:val="19"/>
                <w:lang w:val="en-US"/>
              </w:rPr>
            </w:pPr>
            <w:r w:rsidRPr="0031675F">
              <w:rPr>
                <w:rFonts w:eastAsia="Calibri" w:hAnsi="Calibri"/>
                <w:spacing w:val="-4"/>
                <w:w w:val="105"/>
                <w:sz w:val="19"/>
                <w:lang w:val="en-US"/>
              </w:rPr>
              <w:t>50</w:t>
            </w:r>
          </w:p>
        </w:tc>
        <w:tc>
          <w:tcPr>
            <w:tcW w:w="1262" w:type="dxa"/>
            <w:tcBorders>
              <w:top w:val="single" w:sz="7" w:space="0" w:color="000000"/>
              <w:left w:val="single" w:sz="7" w:space="0" w:color="000000"/>
              <w:bottom w:val="single" w:sz="7" w:space="0" w:color="000000"/>
              <w:right w:val="single" w:sz="7" w:space="0" w:color="000000"/>
            </w:tcBorders>
          </w:tcPr>
          <w:p w14:paraId="2282EEA9" w14:textId="77777777" w:rsidR="0031675F" w:rsidRPr="0031675F" w:rsidRDefault="0031675F" w:rsidP="0031675F">
            <w:pPr>
              <w:widowControl w:val="0"/>
              <w:spacing w:before="9" w:after="0" w:line="240" w:lineRule="auto"/>
              <w:ind w:right="25"/>
              <w:jc w:val="right"/>
              <w:rPr>
                <w:rFonts w:eastAsia="Arial" w:cs="Arial"/>
                <w:sz w:val="19"/>
                <w:szCs w:val="19"/>
                <w:lang w:val="en-US"/>
              </w:rPr>
            </w:pPr>
            <w:r w:rsidRPr="0031675F">
              <w:rPr>
                <w:rFonts w:eastAsia="Calibri" w:hAnsi="Calibri"/>
                <w:w w:val="105"/>
                <w:sz w:val="19"/>
                <w:lang w:val="en-US"/>
              </w:rPr>
              <w:t>0.5</w:t>
            </w:r>
          </w:p>
        </w:tc>
        <w:tc>
          <w:tcPr>
            <w:tcW w:w="1782" w:type="dxa"/>
            <w:tcBorders>
              <w:top w:val="single" w:sz="7" w:space="0" w:color="000000"/>
              <w:left w:val="single" w:sz="7" w:space="0" w:color="000000"/>
              <w:bottom w:val="single" w:sz="7" w:space="0" w:color="000000"/>
              <w:right w:val="single" w:sz="7" w:space="0" w:color="000000"/>
            </w:tcBorders>
          </w:tcPr>
          <w:p w14:paraId="140A89D6"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3"/>
                <w:w w:val="110"/>
                <w:sz w:val="19"/>
                <w:lang w:val="en-US"/>
              </w:rPr>
              <w:t>=(C14/B14)*$E$6</w:t>
            </w:r>
          </w:p>
        </w:tc>
        <w:tc>
          <w:tcPr>
            <w:tcW w:w="1262" w:type="dxa"/>
            <w:tcBorders>
              <w:top w:val="single" w:sz="7" w:space="0" w:color="000000"/>
              <w:left w:val="single" w:sz="7" w:space="0" w:color="000000"/>
              <w:bottom w:val="single" w:sz="7" w:space="0" w:color="000000"/>
              <w:right w:val="single" w:sz="7" w:space="0" w:color="000000"/>
            </w:tcBorders>
          </w:tcPr>
          <w:p w14:paraId="7356924F" w14:textId="77777777" w:rsidR="0031675F" w:rsidRPr="0031675F" w:rsidRDefault="0031675F" w:rsidP="0031675F">
            <w:pPr>
              <w:widowControl w:val="0"/>
              <w:spacing w:before="9" w:after="0" w:line="240" w:lineRule="auto"/>
              <w:ind w:left="708"/>
              <w:rPr>
                <w:rFonts w:eastAsia="Arial" w:cs="Arial"/>
                <w:sz w:val="19"/>
                <w:szCs w:val="19"/>
                <w:lang w:val="en-US"/>
              </w:rPr>
            </w:pPr>
            <w:r w:rsidRPr="0031675F">
              <w:rPr>
                <w:rFonts w:eastAsia="Calibri" w:hAnsi="Calibri"/>
                <w:spacing w:val="-3"/>
                <w:w w:val="110"/>
                <w:sz w:val="19"/>
                <w:lang w:val="en-US"/>
              </w:rPr>
              <w:t>0.073</w:t>
            </w:r>
          </w:p>
        </w:tc>
        <w:tc>
          <w:tcPr>
            <w:tcW w:w="1262" w:type="dxa"/>
            <w:tcBorders>
              <w:top w:val="single" w:sz="7" w:space="0" w:color="000000"/>
              <w:left w:val="single" w:sz="7" w:space="0" w:color="000000"/>
              <w:bottom w:val="single" w:sz="7" w:space="0" w:color="000000"/>
              <w:right w:val="single" w:sz="7" w:space="0" w:color="000000"/>
            </w:tcBorders>
          </w:tcPr>
          <w:p w14:paraId="5B37CA0C" w14:textId="77777777" w:rsidR="0031675F" w:rsidRPr="0031675F" w:rsidRDefault="0031675F" w:rsidP="0031675F">
            <w:pPr>
              <w:widowControl w:val="0"/>
              <w:spacing w:before="9" w:after="0" w:line="240" w:lineRule="auto"/>
              <w:ind w:left="709"/>
              <w:rPr>
                <w:rFonts w:eastAsia="Arial" w:cs="Arial"/>
                <w:sz w:val="19"/>
                <w:szCs w:val="19"/>
                <w:lang w:val="en-US"/>
              </w:rPr>
            </w:pPr>
            <w:r w:rsidRPr="0031675F">
              <w:rPr>
                <w:rFonts w:eastAsia="Calibri" w:hAnsi="Calibri"/>
                <w:spacing w:val="-3"/>
                <w:w w:val="110"/>
                <w:sz w:val="19"/>
                <w:lang w:val="en-US"/>
              </w:rPr>
              <w:t>0.053</w:t>
            </w:r>
          </w:p>
        </w:tc>
        <w:tc>
          <w:tcPr>
            <w:tcW w:w="2313" w:type="dxa"/>
            <w:tcBorders>
              <w:top w:val="single" w:sz="7" w:space="0" w:color="000000"/>
              <w:left w:val="single" w:sz="7" w:space="0" w:color="000000"/>
              <w:bottom w:val="single" w:sz="7" w:space="0" w:color="000000"/>
              <w:right w:val="single" w:sz="7" w:space="0" w:color="000000"/>
            </w:tcBorders>
          </w:tcPr>
          <w:p w14:paraId="064F1730"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4"/>
                <w:w w:val="110"/>
                <w:sz w:val="19"/>
                <w:lang w:val="en-US"/>
              </w:rPr>
              <w:t>=D14/(1830*(E14-F14))</w:t>
            </w:r>
          </w:p>
        </w:tc>
      </w:tr>
      <w:tr w:rsidR="0031675F" w:rsidRPr="0031675F" w14:paraId="155D3408"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66FF5E0C"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w w:val="110"/>
                <w:sz w:val="19"/>
                <w:lang w:val="en-US"/>
              </w:rPr>
              <w:t>3</w:t>
            </w:r>
          </w:p>
        </w:tc>
        <w:tc>
          <w:tcPr>
            <w:tcW w:w="2508" w:type="dxa"/>
            <w:tcBorders>
              <w:top w:val="single" w:sz="7" w:space="0" w:color="000000"/>
              <w:left w:val="single" w:sz="7" w:space="0" w:color="000000"/>
              <w:bottom w:val="single" w:sz="7" w:space="0" w:color="000000"/>
              <w:right w:val="single" w:sz="7" w:space="0" w:color="000000"/>
            </w:tcBorders>
          </w:tcPr>
          <w:p w14:paraId="6DC7E526" w14:textId="77777777" w:rsidR="0031675F" w:rsidRPr="0031675F" w:rsidRDefault="0031675F" w:rsidP="0031675F">
            <w:pPr>
              <w:widowControl w:val="0"/>
              <w:spacing w:before="9" w:after="0" w:line="240" w:lineRule="auto"/>
              <w:ind w:right="28"/>
              <w:jc w:val="right"/>
              <w:rPr>
                <w:rFonts w:eastAsia="Arial" w:cs="Arial"/>
                <w:sz w:val="19"/>
                <w:szCs w:val="19"/>
                <w:lang w:val="en-US"/>
              </w:rPr>
            </w:pPr>
            <w:r w:rsidRPr="0031675F">
              <w:rPr>
                <w:rFonts w:eastAsia="Calibri" w:hAnsi="Calibri"/>
                <w:spacing w:val="-4"/>
                <w:w w:val="105"/>
                <w:sz w:val="19"/>
                <w:lang w:val="en-US"/>
              </w:rPr>
              <w:t>50</w:t>
            </w:r>
          </w:p>
        </w:tc>
        <w:tc>
          <w:tcPr>
            <w:tcW w:w="1262" w:type="dxa"/>
            <w:tcBorders>
              <w:top w:val="single" w:sz="7" w:space="0" w:color="000000"/>
              <w:left w:val="single" w:sz="7" w:space="0" w:color="000000"/>
              <w:bottom w:val="single" w:sz="7" w:space="0" w:color="000000"/>
              <w:right w:val="single" w:sz="7" w:space="0" w:color="000000"/>
            </w:tcBorders>
          </w:tcPr>
          <w:p w14:paraId="28AEC723" w14:textId="77777777" w:rsidR="0031675F" w:rsidRPr="0031675F" w:rsidRDefault="0031675F" w:rsidP="0031675F">
            <w:pPr>
              <w:widowControl w:val="0"/>
              <w:spacing w:before="9" w:after="0" w:line="240" w:lineRule="auto"/>
              <w:ind w:right="24"/>
              <w:jc w:val="right"/>
              <w:rPr>
                <w:rFonts w:eastAsia="Arial" w:cs="Arial"/>
                <w:sz w:val="19"/>
                <w:szCs w:val="19"/>
                <w:lang w:val="en-US"/>
              </w:rPr>
            </w:pPr>
            <w:r w:rsidRPr="0031675F">
              <w:rPr>
                <w:rFonts w:eastAsia="Calibri" w:hAnsi="Calibri"/>
                <w:w w:val="105"/>
                <w:sz w:val="19"/>
                <w:lang w:val="en-US"/>
              </w:rPr>
              <w:t>1</w:t>
            </w:r>
          </w:p>
        </w:tc>
        <w:tc>
          <w:tcPr>
            <w:tcW w:w="1782" w:type="dxa"/>
            <w:tcBorders>
              <w:top w:val="single" w:sz="7" w:space="0" w:color="000000"/>
              <w:left w:val="single" w:sz="7" w:space="0" w:color="000000"/>
              <w:bottom w:val="single" w:sz="7" w:space="0" w:color="000000"/>
              <w:right w:val="single" w:sz="7" w:space="0" w:color="000000"/>
            </w:tcBorders>
          </w:tcPr>
          <w:p w14:paraId="541A4595"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3"/>
                <w:w w:val="110"/>
                <w:sz w:val="19"/>
                <w:lang w:val="en-US"/>
              </w:rPr>
              <w:t>=(C15/B15)*$E$6</w:t>
            </w:r>
          </w:p>
        </w:tc>
        <w:tc>
          <w:tcPr>
            <w:tcW w:w="1262" w:type="dxa"/>
            <w:tcBorders>
              <w:top w:val="single" w:sz="7" w:space="0" w:color="000000"/>
              <w:left w:val="single" w:sz="7" w:space="0" w:color="000000"/>
              <w:bottom w:val="single" w:sz="7" w:space="0" w:color="000000"/>
              <w:right w:val="single" w:sz="7" w:space="0" w:color="000000"/>
            </w:tcBorders>
          </w:tcPr>
          <w:p w14:paraId="0EEC43FE" w14:textId="77777777" w:rsidR="0031675F" w:rsidRPr="0031675F" w:rsidRDefault="0031675F" w:rsidP="0031675F">
            <w:pPr>
              <w:widowControl w:val="0"/>
              <w:spacing w:before="9" w:after="0" w:line="240" w:lineRule="auto"/>
              <w:ind w:left="708"/>
              <w:rPr>
                <w:rFonts w:eastAsia="Arial" w:cs="Arial"/>
                <w:sz w:val="19"/>
                <w:szCs w:val="19"/>
                <w:lang w:val="en-US"/>
              </w:rPr>
            </w:pPr>
            <w:r w:rsidRPr="0031675F">
              <w:rPr>
                <w:rFonts w:eastAsia="Calibri" w:hAnsi="Calibri"/>
                <w:spacing w:val="-3"/>
                <w:w w:val="110"/>
                <w:sz w:val="19"/>
                <w:lang w:val="en-US"/>
              </w:rPr>
              <w:t>0.112</w:t>
            </w:r>
          </w:p>
        </w:tc>
        <w:tc>
          <w:tcPr>
            <w:tcW w:w="1262" w:type="dxa"/>
            <w:tcBorders>
              <w:top w:val="single" w:sz="7" w:space="0" w:color="000000"/>
              <w:left w:val="single" w:sz="7" w:space="0" w:color="000000"/>
              <w:bottom w:val="single" w:sz="7" w:space="0" w:color="000000"/>
              <w:right w:val="single" w:sz="7" w:space="0" w:color="000000"/>
            </w:tcBorders>
          </w:tcPr>
          <w:p w14:paraId="18F9191A" w14:textId="77777777" w:rsidR="0031675F" w:rsidRPr="0031675F" w:rsidRDefault="0031675F" w:rsidP="0031675F">
            <w:pPr>
              <w:widowControl w:val="0"/>
              <w:spacing w:before="9" w:after="0" w:line="240" w:lineRule="auto"/>
              <w:ind w:left="709"/>
              <w:rPr>
                <w:rFonts w:eastAsia="Arial" w:cs="Arial"/>
                <w:sz w:val="19"/>
                <w:szCs w:val="19"/>
                <w:lang w:val="en-US"/>
              </w:rPr>
            </w:pPr>
            <w:r w:rsidRPr="0031675F">
              <w:rPr>
                <w:rFonts w:eastAsia="Calibri" w:hAnsi="Calibri"/>
                <w:spacing w:val="-3"/>
                <w:w w:val="110"/>
                <w:sz w:val="19"/>
                <w:lang w:val="en-US"/>
              </w:rPr>
              <w:t>0.072</w:t>
            </w:r>
          </w:p>
        </w:tc>
        <w:tc>
          <w:tcPr>
            <w:tcW w:w="2313" w:type="dxa"/>
            <w:tcBorders>
              <w:top w:val="single" w:sz="7" w:space="0" w:color="000000"/>
              <w:left w:val="single" w:sz="7" w:space="0" w:color="000000"/>
              <w:bottom w:val="single" w:sz="7" w:space="0" w:color="000000"/>
              <w:right w:val="single" w:sz="7" w:space="0" w:color="000000"/>
            </w:tcBorders>
          </w:tcPr>
          <w:p w14:paraId="2744CC45"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4"/>
                <w:w w:val="110"/>
                <w:sz w:val="19"/>
                <w:lang w:val="en-US"/>
              </w:rPr>
              <w:t>=D15/(1830*(E15-F15))</w:t>
            </w:r>
          </w:p>
        </w:tc>
      </w:tr>
      <w:tr w:rsidR="0031675F" w:rsidRPr="0031675F" w14:paraId="52CCBD52"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33A1DCE4"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w w:val="110"/>
                <w:sz w:val="19"/>
                <w:lang w:val="en-US"/>
              </w:rPr>
              <w:t>4</w:t>
            </w:r>
          </w:p>
        </w:tc>
        <w:tc>
          <w:tcPr>
            <w:tcW w:w="2508" w:type="dxa"/>
            <w:tcBorders>
              <w:top w:val="single" w:sz="7" w:space="0" w:color="000000"/>
              <w:left w:val="single" w:sz="7" w:space="0" w:color="000000"/>
              <w:bottom w:val="single" w:sz="7" w:space="0" w:color="000000"/>
              <w:right w:val="single" w:sz="7" w:space="0" w:color="000000"/>
            </w:tcBorders>
          </w:tcPr>
          <w:p w14:paraId="63A3E354" w14:textId="77777777" w:rsidR="0031675F" w:rsidRPr="0031675F" w:rsidRDefault="0031675F" w:rsidP="0031675F">
            <w:pPr>
              <w:widowControl w:val="0"/>
              <w:spacing w:before="9" w:after="0" w:line="240" w:lineRule="auto"/>
              <w:ind w:right="28"/>
              <w:jc w:val="right"/>
              <w:rPr>
                <w:rFonts w:eastAsia="Arial" w:cs="Arial"/>
                <w:sz w:val="19"/>
                <w:szCs w:val="19"/>
                <w:lang w:val="en-US"/>
              </w:rPr>
            </w:pPr>
            <w:r w:rsidRPr="0031675F">
              <w:rPr>
                <w:rFonts w:eastAsia="Calibri" w:hAnsi="Calibri"/>
                <w:spacing w:val="-4"/>
                <w:w w:val="105"/>
                <w:sz w:val="19"/>
                <w:lang w:val="en-US"/>
              </w:rPr>
              <w:t>50</w:t>
            </w:r>
          </w:p>
        </w:tc>
        <w:tc>
          <w:tcPr>
            <w:tcW w:w="1262" w:type="dxa"/>
            <w:tcBorders>
              <w:top w:val="single" w:sz="7" w:space="0" w:color="000000"/>
              <w:left w:val="single" w:sz="7" w:space="0" w:color="000000"/>
              <w:bottom w:val="single" w:sz="7" w:space="0" w:color="000000"/>
              <w:right w:val="single" w:sz="7" w:space="0" w:color="000000"/>
            </w:tcBorders>
          </w:tcPr>
          <w:p w14:paraId="2154F8D1" w14:textId="77777777" w:rsidR="0031675F" w:rsidRPr="0031675F" w:rsidRDefault="0031675F" w:rsidP="0031675F">
            <w:pPr>
              <w:widowControl w:val="0"/>
              <w:spacing w:before="9" w:after="0" w:line="240" w:lineRule="auto"/>
              <w:ind w:right="24"/>
              <w:jc w:val="right"/>
              <w:rPr>
                <w:rFonts w:eastAsia="Arial" w:cs="Arial"/>
                <w:sz w:val="19"/>
                <w:szCs w:val="19"/>
                <w:lang w:val="en-US"/>
              </w:rPr>
            </w:pPr>
            <w:r w:rsidRPr="0031675F">
              <w:rPr>
                <w:rFonts w:eastAsia="Calibri" w:hAnsi="Calibri"/>
                <w:w w:val="105"/>
                <w:sz w:val="19"/>
                <w:lang w:val="en-US"/>
              </w:rPr>
              <w:t>2</w:t>
            </w:r>
          </w:p>
        </w:tc>
        <w:tc>
          <w:tcPr>
            <w:tcW w:w="1782" w:type="dxa"/>
            <w:tcBorders>
              <w:top w:val="single" w:sz="7" w:space="0" w:color="000000"/>
              <w:left w:val="single" w:sz="7" w:space="0" w:color="000000"/>
              <w:bottom w:val="single" w:sz="7" w:space="0" w:color="000000"/>
              <w:right w:val="single" w:sz="7" w:space="0" w:color="000000"/>
            </w:tcBorders>
          </w:tcPr>
          <w:p w14:paraId="53DA2199"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3"/>
                <w:w w:val="110"/>
                <w:sz w:val="19"/>
                <w:lang w:val="en-US"/>
              </w:rPr>
              <w:t>=(C16/B16)*$E$6</w:t>
            </w:r>
          </w:p>
        </w:tc>
        <w:tc>
          <w:tcPr>
            <w:tcW w:w="1262" w:type="dxa"/>
            <w:tcBorders>
              <w:top w:val="single" w:sz="7" w:space="0" w:color="000000"/>
              <w:left w:val="single" w:sz="7" w:space="0" w:color="000000"/>
              <w:bottom w:val="single" w:sz="7" w:space="0" w:color="000000"/>
              <w:right w:val="single" w:sz="7" w:space="0" w:color="000000"/>
            </w:tcBorders>
          </w:tcPr>
          <w:p w14:paraId="7247C2D8" w14:textId="77777777" w:rsidR="0031675F" w:rsidRPr="0031675F" w:rsidRDefault="0031675F" w:rsidP="0031675F">
            <w:pPr>
              <w:widowControl w:val="0"/>
              <w:spacing w:before="9" w:after="0" w:line="240" w:lineRule="auto"/>
              <w:ind w:left="708"/>
              <w:rPr>
                <w:rFonts w:eastAsia="Arial" w:cs="Arial"/>
                <w:sz w:val="19"/>
                <w:szCs w:val="19"/>
                <w:lang w:val="en-US"/>
              </w:rPr>
            </w:pPr>
            <w:r w:rsidRPr="0031675F">
              <w:rPr>
                <w:rFonts w:eastAsia="Calibri" w:hAnsi="Calibri"/>
                <w:spacing w:val="-3"/>
                <w:w w:val="110"/>
                <w:sz w:val="19"/>
                <w:lang w:val="en-US"/>
              </w:rPr>
              <w:t>0.193</w:t>
            </w:r>
          </w:p>
        </w:tc>
        <w:tc>
          <w:tcPr>
            <w:tcW w:w="1262" w:type="dxa"/>
            <w:tcBorders>
              <w:top w:val="single" w:sz="7" w:space="0" w:color="000000"/>
              <w:left w:val="single" w:sz="7" w:space="0" w:color="000000"/>
              <w:bottom w:val="single" w:sz="7" w:space="0" w:color="000000"/>
              <w:right w:val="single" w:sz="7" w:space="0" w:color="000000"/>
            </w:tcBorders>
          </w:tcPr>
          <w:p w14:paraId="460AD79F" w14:textId="77777777" w:rsidR="0031675F" w:rsidRPr="0031675F" w:rsidRDefault="0031675F" w:rsidP="0031675F">
            <w:pPr>
              <w:widowControl w:val="0"/>
              <w:spacing w:before="9" w:after="0" w:line="240" w:lineRule="auto"/>
              <w:ind w:left="709"/>
              <w:rPr>
                <w:rFonts w:eastAsia="Arial" w:cs="Arial"/>
                <w:sz w:val="19"/>
                <w:szCs w:val="19"/>
                <w:lang w:val="en-US"/>
              </w:rPr>
            </w:pPr>
            <w:r w:rsidRPr="0031675F">
              <w:rPr>
                <w:rFonts w:eastAsia="Calibri" w:hAnsi="Calibri"/>
                <w:spacing w:val="-3"/>
                <w:w w:val="110"/>
                <w:sz w:val="19"/>
                <w:lang w:val="en-US"/>
              </w:rPr>
              <w:t>0.112</w:t>
            </w:r>
          </w:p>
        </w:tc>
        <w:tc>
          <w:tcPr>
            <w:tcW w:w="2313" w:type="dxa"/>
            <w:tcBorders>
              <w:top w:val="single" w:sz="7" w:space="0" w:color="000000"/>
              <w:left w:val="single" w:sz="7" w:space="0" w:color="000000"/>
              <w:bottom w:val="single" w:sz="7" w:space="0" w:color="000000"/>
              <w:right w:val="single" w:sz="7" w:space="0" w:color="000000"/>
            </w:tcBorders>
          </w:tcPr>
          <w:p w14:paraId="28FED20B"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4"/>
                <w:w w:val="110"/>
                <w:sz w:val="19"/>
                <w:lang w:val="en-US"/>
              </w:rPr>
              <w:t>=D16/(1830*(E16-F16))</w:t>
            </w:r>
          </w:p>
        </w:tc>
      </w:tr>
      <w:tr w:rsidR="0031675F" w:rsidRPr="0031675F" w14:paraId="7DA797F5"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1387DE04"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w w:val="110"/>
                <w:sz w:val="19"/>
                <w:lang w:val="en-US"/>
              </w:rPr>
              <w:t>5</w:t>
            </w:r>
          </w:p>
        </w:tc>
        <w:tc>
          <w:tcPr>
            <w:tcW w:w="2508" w:type="dxa"/>
            <w:tcBorders>
              <w:top w:val="single" w:sz="7" w:space="0" w:color="000000"/>
              <w:left w:val="single" w:sz="7" w:space="0" w:color="000000"/>
              <w:bottom w:val="single" w:sz="7" w:space="0" w:color="000000"/>
              <w:right w:val="single" w:sz="7" w:space="0" w:color="000000"/>
            </w:tcBorders>
          </w:tcPr>
          <w:p w14:paraId="5E5CF028" w14:textId="77777777" w:rsidR="0031675F" w:rsidRPr="0031675F" w:rsidRDefault="0031675F" w:rsidP="0031675F">
            <w:pPr>
              <w:widowControl w:val="0"/>
              <w:spacing w:before="9" w:after="0" w:line="240" w:lineRule="auto"/>
              <w:ind w:right="28"/>
              <w:jc w:val="right"/>
              <w:rPr>
                <w:rFonts w:eastAsia="Arial" w:cs="Arial"/>
                <w:sz w:val="19"/>
                <w:szCs w:val="19"/>
                <w:lang w:val="en-US"/>
              </w:rPr>
            </w:pPr>
            <w:r w:rsidRPr="0031675F">
              <w:rPr>
                <w:rFonts w:eastAsia="Calibri" w:hAnsi="Calibri"/>
                <w:spacing w:val="-4"/>
                <w:w w:val="105"/>
                <w:sz w:val="19"/>
                <w:lang w:val="en-US"/>
              </w:rPr>
              <w:t>50</w:t>
            </w:r>
          </w:p>
        </w:tc>
        <w:tc>
          <w:tcPr>
            <w:tcW w:w="1262" w:type="dxa"/>
            <w:tcBorders>
              <w:top w:val="single" w:sz="7" w:space="0" w:color="000000"/>
              <w:left w:val="single" w:sz="7" w:space="0" w:color="000000"/>
              <w:bottom w:val="single" w:sz="7" w:space="0" w:color="000000"/>
              <w:right w:val="single" w:sz="7" w:space="0" w:color="000000"/>
            </w:tcBorders>
          </w:tcPr>
          <w:p w14:paraId="2E760AEB" w14:textId="77777777" w:rsidR="0031675F" w:rsidRPr="0031675F" w:rsidRDefault="0031675F" w:rsidP="0031675F">
            <w:pPr>
              <w:widowControl w:val="0"/>
              <w:spacing w:before="9" w:after="0" w:line="240" w:lineRule="auto"/>
              <w:ind w:right="24"/>
              <w:jc w:val="right"/>
              <w:rPr>
                <w:rFonts w:eastAsia="Arial" w:cs="Arial"/>
                <w:sz w:val="19"/>
                <w:szCs w:val="19"/>
                <w:lang w:val="en-US"/>
              </w:rPr>
            </w:pPr>
            <w:r w:rsidRPr="0031675F">
              <w:rPr>
                <w:rFonts w:eastAsia="Calibri" w:hAnsi="Calibri"/>
                <w:w w:val="105"/>
                <w:sz w:val="19"/>
                <w:lang w:val="en-US"/>
              </w:rPr>
              <w:t>3</w:t>
            </w:r>
          </w:p>
        </w:tc>
        <w:tc>
          <w:tcPr>
            <w:tcW w:w="1782" w:type="dxa"/>
            <w:tcBorders>
              <w:top w:val="single" w:sz="7" w:space="0" w:color="000000"/>
              <w:left w:val="single" w:sz="7" w:space="0" w:color="000000"/>
              <w:bottom w:val="single" w:sz="7" w:space="0" w:color="000000"/>
              <w:right w:val="single" w:sz="7" w:space="0" w:color="000000"/>
            </w:tcBorders>
          </w:tcPr>
          <w:p w14:paraId="018DB1CA"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3"/>
                <w:w w:val="110"/>
                <w:sz w:val="19"/>
                <w:lang w:val="en-US"/>
              </w:rPr>
              <w:t>=(C17/B17)*$E$6</w:t>
            </w:r>
          </w:p>
        </w:tc>
        <w:tc>
          <w:tcPr>
            <w:tcW w:w="1262" w:type="dxa"/>
            <w:tcBorders>
              <w:top w:val="single" w:sz="7" w:space="0" w:color="000000"/>
              <w:left w:val="single" w:sz="7" w:space="0" w:color="000000"/>
              <w:bottom w:val="single" w:sz="7" w:space="0" w:color="000000"/>
              <w:right w:val="single" w:sz="7" w:space="0" w:color="000000"/>
            </w:tcBorders>
          </w:tcPr>
          <w:p w14:paraId="33EA52BF" w14:textId="77777777" w:rsidR="0031675F" w:rsidRPr="0031675F" w:rsidRDefault="0031675F" w:rsidP="0031675F">
            <w:pPr>
              <w:widowControl w:val="0"/>
              <w:spacing w:before="9" w:after="0" w:line="240" w:lineRule="auto"/>
              <w:ind w:left="708"/>
              <w:rPr>
                <w:rFonts w:eastAsia="Arial" w:cs="Arial"/>
                <w:sz w:val="19"/>
                <w:szCs w:val="19"/>
                <w:lang w:val="en-US"/>
              </w:rPr>
            </w:pPr>
            <w:r w:rsidRPr="0031675F">
              <w:rPr>
                <w:rFonts w:eastAsia="Calibri" w:hAnsi="Calibri"/>
                <w:spacing w:val="-3"/>
                <w:w w:val="110"/>
                <w:sz w:val="19"/>
                <w:lang w:val="en-US"/>
              </w:rPr>
              <w:t>0.272</w:t>
            </w:r>
          </w:p>
        </w:tc>
        <w:tc>
          <w:tcPr>
            <w:tcW w:w="1262" w:type="dxa"/>
            <w:tcBorders>
              <w:top w:val="single" w:sz="7" w:space="0" w:color="000000"/>
              <w:left w:val="single" w:sz="7" w:space="0" w:color="000000"/>
              <w:bottom w:val="single" w:sz="7" w:space="0" w:color="000000"/>
              <w:right w:val="single" w:sz="7" w:space="0" w:color="000000"/>
            </w:tcBorders>
          </w:tcPr>
          <w:p w14:paraId="3F75445A" w14:textId="77777777" w:rsidR="0031675F" w:rsidRPr="0031675F" w:rsidRDefault="0031675F" w:rsidP="0031675F">
            <w:pPr>
              <w:widowControl w:val="0"/>
              <w:spacing w:before="9" w:after="0" w:line="240" w:lineRule="auto"/>
              <w:ind w:left="819"/>
              <w:rPr>
                <w:rFonts w:eastAsia="Arial" w:cs="Arial"/>
                <w:sz w:val="19"/>
                <w:szCs w:val="19"/>
                <w:lang w:val="en-US"/>
              </w:rPr>
            </w:pPr>
            <w:r w:rsidRPr="0031675F">
              <w:rPr>
                <w:rFonts w:eastAsia="Calibri" w:hAnsi="Calibri"/>
                <w:spacing w:val="-1"/>
                <w:w w:val="110"/>
                <w:sz w:val="19"/>
                <w:lang w:val="en-US"/>
              </w:rPr>
              <w:t>0</w:t>
            </w:r>
            <w:r w:rsidRPr="0031675F">
              <w:rPr>
                <w:rFonts w:eastAsia="Calibri" w:hAnsi="Calibri"/>
                <w:spacing w:val="-2"/>
                <w:w w:val="110"/>
                <w:sz w:val="19"/>
                <w:lang w:val="en-US"/>
              </w:rPr>
              <w:t>.</w:t>
            </w:r>
            <w:r w:rsidRPr="0031675F">
              <w:rPr>
                <w:rFonts w:eastAsia="Calibri" w:hAnsi="Calibri"/>
                <w:spacing w:val="-1"/>
                <w:w w:val="110"/>
                <w:sz w:val="19"/>
                <w:lang w:val="en-US"/>
              </w:rPr>
              <w:t>15</w:t>
            </w:r>
          </w:p>
        </w:tc>
        <w:tc>
          <w:tcPr>
            <w:tcW w:w="2313" w:type="dxa"/>
            <w:tcBorders>
              <w:top w:val="single" w:sz="7" w:space="0" w:color="000000"/>
              <w:left w:val="single" w:sz="7" w:space="0" w:color="000000"/>
              <w:bottom w:val="single" w:sz="7" w:space="0" w:color="000000"/>
              <w:right w:val="single" w:sz="7" w:space="0" w:color="000000"/>
            </w:tcBorders>
          </w:tcPr>
          <w:p w14:paraId="10CC034F"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4"/>
                <w:w w:val="110"/>
                <w:sz w:val="19"/>
                <w:lang w:val="en-US"/>
              </w:rPr>
              <w:t>=D17/(1830*(E17-F17))</w:t>
            </w:r>
          </w:p>
        </w:tc>
      </w:tr>
      <w:tr w:rsidR="0031675F" w:rsidRPr="0031675F" w14:paraId="268F509F"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217D7CEE"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w w:val="110"/>
                <w:sz w:val="19"/>
                <w:lang w:val="en-US"/>
              </w:rPr>
              <w:t>6</w:t>
            </w:r>
          </w:p>
        </w:tc>
        <w:tc>
          <w:tcPr>
            <w:tcW w:w="2508" w:type="dxa"/>
            <w:tcBorders>
              <w:top w:val="single" w:sz="7" w:space="0" w:color="000000"/>
              <w:left w:val="single" w:sz="7" w:space="0" w:color="000000"/>
              <w:bottom w:val="single" w:sz="7" w:space="0" w:color="000000"/>
              <w:right w:val="single" w:sz="7" w:space="0" w:color="000000"/>
            </w:tcBorders>
          </w:tcPr>
          <w:p w14:paraId="662E71BA" w14:textId="77777777" w:rsidR="0031675F" w:rsidRPr="0031675F" w:rsidRDefault="0031675F" w:rsidP="0031675F">
            <w:pPr>
              <w:widowControl w:val="0"/>
              <w:spacing w:before="9" w:after="0" w:line="240" w:lineRule="auto"/>
              <w:ind w:right="28"/>
              <w:jc w:val="right"/>
              <w:rPr>
                <w:rFonts w:eastAsia="Arial" w:cs="Arial"/>
                <w:sz w:val="19"/>
                <w:szCs w:val="19"/>
                <w:lang w:val="en-US"/>
              </w:rPr>
            </w:pPr>
            <w:r w:rsidRPr="0031675F">
              <w:rPr>
                <w:rFonts w:eastAsia="Calibri" w:hAnsi="Calibri"/>
                <w:spacing w:val="-4"/>
                <w:w w:val="105"/>
                <w:sz w:val="19"/>
                <w:lang w:val="en-US"/>
              </w:rPr>
              <w:t>25</w:t>
            </w:r>
          </w:p>
        </w:tc>
        <w:tc>
          <w:tcPr>
            <w:tcW w:w="1262" w:type="dxa"/>
            <w:tcBorders>
              <w:top w:val="single" w:sz="7" w:space="0" w:color="000000"/>
              <w:left w:val="single" w:sz="7" w:space="0" w:color="000000"/>
              <w:bottom w:val="single" w:sz="7" w:space="0" w:color="000000"/>
              <w:right w:val="single" w:sz="7" w:space="0" w:color="000000"/>
            </w:tcBorders>
          </w:tcPr>
          <w:p w14:paraId="1ECDE069" w14:textId="77777777" w:rsidR="0031675F" w:rsidRPr="0031675F" w:rsidRDefault="0031675F" w:rsidP="0031675F">
            <w:pPr>
              <w:widowControl w:val="0"/>
              <w:spacing w:before="9" w:after="0" w:line="240" w:lineRule="auto"/>
              <w:ind w:right="25"/>
              <w:jc w:val="right"/>
              <w:rPr>
                <w:rFonts w:eastAsia="Arial" w:cs="Arial"/>
                <w:sz w:val="19"/>
                <w:szCs w:val="19"/>
                <w:lang w:val="en-US"/>
              </w:rPr>
            </w:pPr>
            <w:r w:rsidRPr="0031675F">
              <w:rPr>
                <w:rFonts w:eastAsia="Calibri" w:hAnsi="Calibri"/>
                <w:w w:val="105"/>
                <w:sz w:val="19"/>
                <w:lang w:val="en-US"/>
              </w:rPr>
              <w:t>2.5</w:t>
            </w:r>
          </w:p>
        </w:tc>
        <w:tc>
          <w:tcPr>
            <w:tcW w:w="1782" w:type="dxa"/>
            <w:tcBorders>
              <w:top w:val="single" w:sz="7" w:space="0" w:color="000000"/>
              <w:left w:val="single" w:sz="7" w:space="0" w:color="000000"/>
              <w:bottom w:val="single" w:sz="7" w:space="0" w:color="000000"/>
              <w:right w:val="single" w:sz="7" w:space="0" w:color="000000"/>
            </w:tcBorders>
          </w:tcPr>
          <w:p w14:paraId="5B26EEF0"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3"/>
                <w:w w:val="110"/>
                <w:sz w:val="19"/>
                <w:lang w:val="en-US"/>
              </w:rPr>
              <w:t>=(C18/B18)*$E$6</w:t>
            </w:r>
          </w:p>
        </w:tc>
        <w:tc>
          <w:tcPr>
            <w:tcW w:w="1262" w:type="dxa"/>
            <w:tcBorders>
              <w:top w:val="single" w:sz="7" w:space="0" w:color="000000"/>
              <w:left w:val="single" w:sz="7" w:space="0" w:color="000000"/>
              <w:bottom w:val="single" w:sz="7" w:space="0" w:color="000000"/>
              <w:right w:val="single" w:sz="7" w:space="0" w:color="000000"/>
            </w:tcBorders>
          </w:tcPr>
          <w:p w14:paraId="7FA9625F" w14:textId="77777777" w:rsidR="0031675F" w:rsidRPr="0031675F" w:rsidRDefault="0031675F" w:rsidP="0031675F">
            <w:pPr>
              <w:widowControl w:val="0"/>
              <w:spacing w:before="9" w:after="0" w:line="240" w:lineRule="auto"/>
              <w:ind w:left="708"/>
              <w:rPr>
                <w:rFonts w:eastAsia="Arial" w:cs="Arial"/>
                <w:sz w:val="19"/>
                <w:szCs w:val="19"/>
                <w:lang w:val="en-US"/>
              </w:rPr>
            </w:pPr>
            <w:r w:rsidRPr="0031675F">
              <w:rPr>
                <w:rFonts w:eastAsia="Calibri" w:hAnsi="Calibri"/>
                <w:spacing w:val="-3"/>
                <w:w w:val="110"/>
                <w:sz w:val="19"/>
                <w:lang w:val="en-US"/>
              </w:rPr>
              <w:t>0.433</w:t>
            </w:r>
          </w:p>
        </w:tc>
        <w:tc>
          <w:tcPr>
            <w:tcW w:w="1262" w:type="dxa"/>
            <w:tcBorders>
              <w:top w:val="single" w:sz="7" w:space="0" w:color="000000"/>
              <w:left w:val="single" w:sz="7" w:space="0" w:color="000000"/>
              <w:bottom w:val="single" w:sz="7" w:space="0" w:color="000000"/>
              <w:right w:val="single" w:sz="7" w:space="0" w:color="000000"/>
            </w:tcBorders>
          </w:tcPr>
          <w:p w14:paraId="202FDA03" w14:textId="77777777" w:rsidR="0031675F" w:rsidRPr="0031675F" w:rsidRDefault="0031675F" w:rsidP="0031675F">
            <w:pPr>
              <w:widowControl w:val="0"/>
              <w:spacing w:before="9" w:after="0" w:line="240" w:lineRule="auto"/>
              <w:ind w:left="709"/>
              <w:rPr>
                <w:rFonts w:eastAsia="Arial" w:cs="Arial"/>
                <w:sz w:val="19"/>
                <w:szCs w:val="19"/>
                <w:lang w:val="en-US"/>
              </w:rPr>
            </w:pPr>
            <w:r w:rsidRPr="0031675F">
              <w:rPr>
                <w:rFonts w:eastAsia="Calibri" w:hAnsi="Calibri"/>
                <w:spacing w:val="-3"/>
                <w:w w:val="110"/>
                <w:sz w:val="19"/>
                <w:lang w:val="en-US"/>
              </w:rPr>
              <w:t>0.229</w:t>
            </w:r>
          </w:p>
        </w:tc>
        <w:tc>
          <w:tcPr>
            <w:tcW w:w="2313" w:type="dxa"/>
            <w:tcBorders>
              <w:top w:val="single" w:sz="7" w:space="0" w:color="000000"/>
              <w:left w:val="single" w:sz="7" w:space="0" w:color="000000"/>
              <w:bottom w:val="single" w:sz="7" w:space="0" w:color="000000"/>
              <w:right w:val="single" w:sz="7" w:space="0" w:color="000000"/>
            </w:tcBorders>
          </w:tcPr>
          <w:p w14:paraId="66CB7689"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4"/>
                <w:w w:val="110"/>
                <w:sz w:val="19"/>
                <w:lang w:val="en-US"/>
              </w:rPr>
              <w:t>=D18/(1830*(E18-F18))</w:t>
            </w:r>
          </w:p>
        </w:tc>
      </w:tr>
      <w:tr w:rsidR="0031675F" w:rsidRPr="0031675F" w14:paraId="15AF9389"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631497FC"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w w:val="110"/>
                <w:sz w:val="19"/>
                <w:lang w:val="en-US"/>
              </w:rPr>
              <w:t>7</w:t>
            </w:r>
          </w:p>
        </w:tc>
        <w:tc>
          <w:tcPr>
            <w:tcW w:w="2508" w:type="dxa"/>
            <w:tcBorders>
              <w:top w:val="single" w:sz="7" w:space="0" w:color="000000"/>
              <w:left w:val="single" w:sz="7" w:space="0" w:color="000000"/>
              <w:bottom w:val="single" w:sz="7" w:space="0" w:color="000000"/>
              <w:right w:val="single" w:sz="7" w:space="0" w:color="000000"/>
            </w:tcBorders>
          </w:tcPr>
          <w:p w14:paraId="28178F8A" w14:textId="77777777" w:rsidR="0031675F" w:rsidRPr="0031675F" w:rsidRDefault="0031675F" w:rsidP="0031675F">
            <w:pPr>
              <w:widowControl w:val="0"/>
              <w:spacing w:before="9" w:after="0" w:line="240" w:lineRule="auto"/>
              <w:ind w:right="28"/>
              <w:jc w:val="right"/>
              <w:rPr>
                <w:rFonts w:eastAsia="Arial" w:cs="Arial"/>
                <w:sz w:val="19"/>
                <w:szCs w:val="19"/>
                <w:lang w:val="en-US"/>
              </w:rPr>
            </w:pPr>
            <w:r w:rsidRPr="0031675F">
              <w:rPr>
                <w:rFonts w:eastAsia="Calibri" w:hAnsi="Calibri"/>
                <w:spacing w:val="-4"/>
                <w:w w:val="105"/>
                <w:sz w:val="19"/>
                <w:lang w:val="en-US"/>
              </w:rPr>
              <w:t>25</w:t>
            </w:r>
          </w:p>
        </w:tc>
        <w:tc>
          <w:tcPr>
            <w:tcW w:w="1262" w:type="dxa"/>
            <w:tcBorders>
              <w:top w:val="single" w:sz="7" w:space="0" w:color="000000"/>
              <w:left w:val="single" w:sz="7" w:space="0" w:color="000000"/>
              <w:bottom w:val="single" w:sz="7" w:space="0" w:color="000000"/>
              <w:right w:val="single" w:sz="7" w:space="0" w:color="000000"/>
            </w:tcBorders>
          </w:tcPr>
          <w:p w14:paraId="2AEA77AD" w14:textId="77777777" w:rsidR="0031675F" w:rsidRPr="0031675F" w:rsidRDefault="0031675F" w:rsidP="0031675F">
            <w:pPr>
              <w:widowControl w:val="0"/>
              <w:spacing w:before="9" w:after="0" w:line="240" w:lineRule="auto"/>
              <w:ind w:right="25"/>
              <w:jc w:val="right"/>
              <w:rPr>
                <w:rFonts w:eastAsia="Arial" w:cs="Arial"/>
                <w:sz w:val="19"/>
                <w:szCs w:val="19"/>
                <w:lang w:val="en-US"/>
              </w:rPr>
            </w:pPr>
            <w:r w:rsidRPr="0031675F">
              <w:rPr>
                <w:rFonts w:eastAsia="Calibri" w:hAnsi="Calibri"/>
                <w:w w:val="105"/>
                <w:sz w:val="19"/>
                <w:lang w:val="en-US"/>
              </w:rPr>
              <w:t>3.5</w:t>
            </w:r>
          </w:p>
        </w:tc>
        <w:tc>
          <w:tcPr>
            <w:tcW w:w="1782" w:type="dxa"/>
            <w:tcBorders>
              <w:top w:val="single" w:sz="7" w:space="0" w:color="000000"/>
              <w:left w:val="single" w:sz="7" w:space="0" w:color="000000"/>
              <w:bottom w:val="single" w:sz="7" w:space="0" w:color="000000"/>
              <w:right w:val="single" w:sz="7" w:space="0" w:color="000000"/>
            </w:tcBorders>
          </w:tcPr>
          <w:p w14:paraId="7FFDF9D1"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3"/>
                <w:w w:val="110"/>
                <w:sz w:val="19"/>
                <w:lang w:val="en-US"/>
              </w:rPr>
              <w:t>=(C19/B19)*$E$6</w:t>
            </w:r>
          </w:p>
        </w:tc>
        <w:tc>
          <w:tcPr>
            <w:tcW w:w="1262" w:type="dxa"/>
            <w:tcBorders>
              <w:top w:val="single" w:sz="7" w:space="0" w:color="000000"/>
              <w:left w:val="single" w:sz="7" w:space="0" w:color="000000"/>
              <w:bottom w:val="single" w:sz="7" w:space="0" w:color="000000"/>
              <w:right w:val="single" w:sz="7" w:space="0" w:color="000000"/>
            </w:tcBorders>
          </w:tcPr>
          <w:p w14:paraId="4D65BC30" w14:textId="77777777" w:rsidR="0031675F" w:rsidRPr="0031675F" w:rsidRDefault="0031675F" w:rsidP="0031675F">
            <w:pPr>
              <w:widowControl w:val="0"/>
              <w:spacing w:before="9" w:after="0" w:line="240" w:lineRule="auto"/>
              <w:ind w:left="708"/>
              <w:rPr>
                <w:rFonts w:eastAsia="Arial" w:cs="Arial"/>
                <w:sz w:val="19"/>
                <w:szCs w:val="19"/>
                <w:lang w:val="en-US"/>
              </w:rPr>
            </w:pPr>
            <w:r w:rsidRPr="0031675F">
              <w:rPr>
                <w:rFonts w:eastAsia="Calibri" w:hAnsi="Calibri"/>
                <w:spacing w:val="-3"/>
                <w:w w:val="110"/>
                <w:sz w:val="19"/>
                <w:lang w:val="en-US"/>
              </w:rPr>
              <w:t>0.595</w:t>
            </w:r>
          </w:p>
        </w:tc>
        <w:tc>
          <w:tcPr>
            <w:tcW w:w="1262" w:type="dxa"/>
            <w:tcBorders>
              <w:top w:val="single" w:sz="7" w:space="0" w:color="000000"/>
              <w:left w:val="single" w:sz="7" w:space="0" w:color="000000"/>
              <w:bottom w:val="single" w:sz="7" w:space="0" w:color="000000"/>
              <w:right w:val="single" w:sz="7" w:space="0" w:color="000000"/>
            </w:tcBorders>
          </w:tcPr>
          <w:p w14:paraId="52F1619E" w14:textId="77777777" w:rsidR="0031675F" w:rsidRPr="0031675F" w:rsidRDefault="0031675F" w:rsidP="0031675F">
            <w:pPr>
              <w:widowControl w:val="0"/>
              <w:spacing w:before="9" w:after="0" w:line="240" w:lineRule="auto"/>
              <w:ind w:left="709"/>
              <w:rPr>
                <w:rFonts w:eastAsia="Arial" w:cs="Arial"/>
                <w:sz w:val="19"/>
                <w:szCs w:val="19"/>
                <w:lang w:val="en-US"/>
              </w:rPr>
            </w:pPr>
            <w:r w:rsidRPr="0031675F">
              <w:rPr>
                <w:rFonts w:eastAsia="Calibri" w:hAnsi="Calibri"/>
                <w:spacing w:val="-3"/>
                <w:w w:val="110"/>
                <w:sz w:val="19"/>
                <w:lang w:val="en-US"/>
              </w:rPr>
              <w:t>0.313</w:t>
            </w:r>
          </w:p>
        </w:tc>
        <w:tc>
          <w:tcPr>
            <w:tcW w:w="2313" w:type="dxa"/>
            <w:tcBorders>
              <w:top w:val="single" w:sz="7" w:space="0" w:color="000000"/>
              <w:left w:val="single" w:sz="7" w:space="0" w:color="000000"/>
              <w:bottom w:val="single" w:sz="7" w:space="0" w:color="000000"/>
              <w:right w:val="single" w:sz="7" w:space="0" w:color="000000"/>
            </w:tcBorders>
          </w:tcPr>
          <w:p w14:paraId="113ABE9F"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4"/>
                <w:w w:val="110"/>
                <w:sz w:val="19"/>
                <w:lang w:val="en-US"/>
              </w:rPr>
              <w:t>=D19/(1830*(E19-F19))</w:t>
            </w:r>
          </w:p>
        </w:tc>
      </w:tr>
      <w:tr w:rsidR="0031675F" w:rsidRPr="0031675F" w14:paraId="2C4E76CF"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0BBBA3F9" w14:textId="77777777" w:rsidR="0031675F" w:rsidRPr="0031675F" w:rsidRDefault="0031675F" w:rsidP="0031675F">
            <w:pPr>
              <w:widowControl w:val="0"/>
              <w:spacing w:before="10" w:after="0" w:line="240" w:lineRule="auto"/>
              <w:ind w:left="32"/>
              <w:rPr>
                <w:rFonts w:eastAsia="Arial" w:cs="Arial"/>
                <w:sz w:val="19"/>
                <w:szCs w:val="19"/>
                <w:lang w:val="en-US"/>
              </w:rPr>
            </w:pPr>
            <w:r w:rsidRPr="0031675F">
              <w:rPr>
                <w:rFonts w:eastAsia="Calibri" w:hAnsi="Calibri"/>
                <w:w w:val="110"/>
                <w:sz w:val="19"/>
                <w:lang w:val="en-US"/>
              </w:rPr>
              <w:t>8</w:t>
            </w:r>
          </w:p>
        </w:tc>
        <w:tc>
          <w:tcPr>
            <w:tcW w:w="2508" w:type="dxa"/>
            <w:tcBorders>
              <w:top w:val="single" w:sz="7" w:space="0" w:color="000000"/>
              <w:left w:val="single" w:sz="7" w:space="0" w:color="000000"/>
              <w:bottom w:val="single" w:sz="7" w:space="0" w:color="000000"/>
              <w:right w:val="single" w:sz="7" w:space="0" w:color="000000"/>
            </w:tcBorders>
          </w:tcPr>
          <w:p w14:paraId="388E3996" w14:textId="77777777" w:rsidR="0031675F" w:rsidRPr="0031675F" w:rsidRDefault="0031675F" w:rsidP="0031675F">
            <w:pPr>
              <w:widowControl w:val="0"/>
              <w:spacing w:before="10" w:after="0" w:line="240" w:lineRule="auto"/>
              <w:ind w:right="28"/>
              <w:jc w:val="right"/>
              <w:rPr>
                <w:rFonts w:eastAsia="Arial" w:cs="Arial"/>
                <w:sz w:val="19"/>
                <w:szCs w:val="19"/>
                <w:lang w:val="en-US"/>
              </w:rPr>
            </w:pPr>
            <w:r w:rsidRPr="0031675F">
              <w:rPr>
                <w:rFonts w:eastAsia="Calibri" w:hAnsi="Calibri"/>
                <w:spacing w:val="-4"/>
                <w:w w:val="105"/>
                <w:sz w:val="19"/>
                <w:lang w:val="en-US"/>
              </w:rPr>
              <w:t>25</w:t>
            </w:r>
          </w:p>
        </w:tc>
        <w:tc>
          <w:tcPr>
            <w:tcW w:w="1262" w:type="dxa"/>
            <w:tcBorders>
              <w:top w:val="single" w:sz="7" w:space="0" w:color="000000"/>
              <w:left w:val="single" w:sz="7" w:space="0" w:color="000000"/>
              <w:bottom w:val="single" w:sz="7" w:space="0" w:color="000000"/>
              <w:right w:val="single" w:sz="7" w:space="0" w:color="000000"/>
            </w:tcBorders>
          </w:tcPr>
          <w:p w14:paraId="4343F6D3" w14:textId="77777777" w:rsidR="0031675F" w:rsidRPr="0031675F" w:rsidRDefault="0031675F" w:rsidP="0031675F">
            <w:pPr>
              <w:widowControl w:val="0"/>
              <w:spacing w:before="10" w:after="0" w:line="240" w:lineRule="auto"/>
              <w:ind w:right="25"/>
              <w:jc w:val="right"/>
              <w:rPr>
                <w:rFonts w:eastAsia="Arial" w:cs="Arial"/>
                <w:sz w:val="19"/>
                <w:szCs w:val="19"/>
                <w:lang w:val="en-US"/>
              </w:rPr>
            </w:pPr>
            <w:r w:rsidRPr="0031675F">
              <w:rPr>
                <w:rFonts w:eastAsia="Calibri" w:hAnsi="Calibri"/>
                <w:w w:val="105"/>
                <w:sz w:val="19"/>
                <w:lang w:val="en-US"/>
              </w:rPr>
              <w:t>4.5</w:t>
            </w:r>
          </w:p>
        </w:tc>
        <w:tc>
          <w:tcPr>
            <w:tcW w:w="1782" w:type="dxa"/>
            <w:tcBorders>
              <w:top w:val="single" w:sz="7" w:space="0" w:color="000000"/>
              <w:left w:val="single" w:sz="7" w:space="0" w:color="000000"/>
              <w:bottom w:val="single" w:sz="7" w:space="0" w:color="000000"/>
              <w:right w:val="single" w:sz="7" w:space="0" w:color="000000"/>
            </w:tcBorders>
          </w:tcPr>
          <w:p w14:paraId="2160D37F" w14:textId="77777777" w:rsidR="0031675F" w:rsidRPr="0031675F" w:rsidRDefault="0031675F" w:rsidP="0031675F">
            <w:pPr>
              <w:widowControl w:val="0"/>
              <w:spacing w:before="10" w:after="0" w:line="240" w:lineRule="auto"/>
              <w:ind w:left="156"/>
              <w:rPr>
                <w:rFonts w:eastAsia="Arial" w:cs="Arial"/>
                <w:sz w:val="19"/>
                <w:szCs w:val="19"/>
                <w:lang w:val="en-US"/>
              </w:rPr>
            </w:pPr>
            <w:r w:rsidRPr="0031675F">
              <w:rPr>
                <w:rFonts w:eastAsia="Calibri" w:hAnsi="Calibri"/>
                <w:spacing w:val="-3"/>
                <w:w w:val="110"/>
                <w:sz w:val="19"/>
                <w:lang w:val="en-US"/>
              </w:rPr>
              <w:t>=(C20/B20)*$E$6</w:t>
            </w:r>
          </w:p>
        </w:tc>
        <w:tc>
          <w:tcPr>
            <w:tcW w:w="1262" w:type="dxa"/>
            <w:tcBorders>
              <w:top w:val="single" w:sz="7" w:space="0" w:color="000000"/>
              <w:left w:val="single" w:sz="7" w:space="0" w:color="000000"/>
              <w:bottom w:val="single" w:sz="7" w:space="0" w:color="000000"/>
              <w:right w:val="single" w:sz="7" w:space="0" w:color="000000"/>
            </w:tcBorders>
          </w:tcPr>
          <w:p w14:paraId="1A9E769F" w14:textId="77777777" w:rsidR="0031675F" w:rsidRPr="0031675F" w:rsidRDefault="0031675F" w:rsidP="0031675F">
            <w:pPr>
              <w:widowControl w:val="0"/>
              <w:spacing w:before="10" w:after="0" w:line="240" w:lineRule="auto"/>
              <w:ind w:left="708"/>
              <w:rPr>
                <w:rFonts w:eastAsia="Arial" w:cs="Arial"/>
                <w:sz w:val="19"/>
                <w:szCs w:val="19"/>
                <w:lang w:val="en-US"/>
              </w:rPr>
            </w:pPr>
            <w:r w:rsidRPr="0031675F">
              <w:rPr>
                <w:rFonts w:eastAsia="Calibri" w:hAnsi="Calibri"/>
                <w:spacing w:val="-3"/>
                <w:w w:val="110"/>
                <w:sz w:val="19"/>
                <w:lang w:val="en-US"/>
              </w:rPr>
              <w:t>0.761</w:t>
            </w:r>
          </w:p>
        </w:tc>
        <w:tc>
          <w:tcPr>
            <w:tcW w:w="1262" w:type="dxa"/>
            <w:tcBorders>
              <w:top w:val="single" w:sz="7" w:space="0" w:color="000000"/>
              <w:left w:val="single" w:sz="7" w:space="0" w:color="000000"/>
              <w:bottom w:val="single" w:sz="7" w:space="0" w:color="000000"/>
              <w:right w:val="single" w:sz="7" w:space="0" w:color="000000"/>
            </w:tcBorders>
          </w:tcPr>
          <w:p w14:paraId="4C39702D" w14:textId="77777777" w:rsidR="0031675F" w:rsidRPr="0031675F" w:rsidRDefault="0031675F" w:rsidP="0031675F">
            <w:pPr>
              <w:widowControl w:val="0"/>
              <w:spacing w:before="10" w:after="0" w:line="240" w:lineRule="auto"/>
              <w:ind w:left="709"/>
              <w:rPr>
                <w:rFonts w:eastAsia="Arial" w:cs="Arial"/>
                <w:sz w:val="19"/>
                <w:szCs w:val="19"/>
                <w:lang w:val="en-US"/>
              </w:rPr>
            </w:pPr>
            <w:r w:rsidRPr="0031675F">
              <w:rPr>
                <w:rFonts w:eastAsia="Calibri" w:hAnsi="Calibri"/>
                <w:spacing w:val="-3"/>
                <w:w w:val="110"/>
                <w:sz w:val="19"/>
                <w:lang w:val="en-US"/>
              </w:rPr>
              <w:t>0.398</w:t>
            </w:r>
          </w:p>
        </w:tc>
        <w:tc>
          <w:tcPr>
            <w:tcW w:w="2313" w:type="dxa"/>
            <w:tcBorders>
              <w:top w:val="single" w:sz="7" w:space="0" w:color="000000"/>
              <w:left w:val="single" w:sz="7" w:space="0" w:color="000000"/>
              <w:bottom w:val="single" w:sz="7" w:space="0" w:color="000000"/>
              <w:right w:val="single" w:sz="7" w:space="0" w:color="000000"/>
            </w:tcBorders>
          </w:tcPr>
          <w:p w14:paraId="529153F3" w14:textId="77777777" w:rsidR="0031675F" w:rsidRPr="0031675F" w:rsidRDefault="0031675F" w:rsidP="0031675F">
            <w:pPr>
              <w:widowControl w:val="0"/>
              <w:spacing w:before="10" w:after="0" w:line="240" w:lineRule="auto"/>
              <w:ind w:left="156"/>
              <w:rPr>
                <w:rFonts w:eastAsia="Arial" w:cs="Arial"/>
                <w:sz w:val="19"/>
                <w:szCs w:val="19"/>
                <w:lang w:val="en-US"/>
              </w:rPr>
            </w:pPr>
            <w:r w:rsidRPr="0031675F">
              <w:rPr>
                <w:rFonts w:eastAsia="Calibri" w:hAnsi="Calibri"/>
                <w:spacing w:val="-4"/>
                <w:w w:val="110"/>
                <w:sz w:val="19"/>
                <w:lang w:val="en-US"/>
              </w:rPr>
              <w:t>=D20/(1830*(E20-F20))</w:t>
            </w:r>
          </w:p>
        </w:tc>
      </w:tr>
      <w:tr w:rsidR="0031675F" w:rsidRPr="0031675F" w14:paraId="2DC791C2"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59309B65" w14:textId="77777777" w:rsidR="0031675F" w:rsidRPr="0031675F" w:rsidRDefault="0031675F" w:rsidP="0031675F">
            <w:pPr>
              <w:widowControl w:val="0"/>
              <w:spacing w:before="9" w:after="0" w:line="240" w:lineRule="auto"/>
              <w:ind w:left="32"/>
              <w:rPr>
                <w:rFonts w:eastAsia="Arial" w:cs="Arial"/>
                <w:sz w:val="19"/>
                <w:szCs w:val="19"/>
                <w:lang w:val="en-US"/>
              </w:rPr>
            </w:pPr>
            <w:r w:rsidRPr="0031675F">
              <w:rPr>
                <w:rFonts w:eastAsia="Calibri" w:hAnsi="Calibri"/>
                <w:w w:val="110"/>
                <w:sz w:val="19"/>
                <w:lang w:val="en-US"/>
              </w:rPr>
              <w:t>9</w:t>
            </w:r>
          </w:p>
        </w:tc>
        <w:tc>
          <w:tcPr>
            <w:tcW w:w="2508" w:type="dxa"/>
            <w:tcBorders>
              <w:top w:val="single" w:sz="7" w:space="0" w:color="000000"/>
              <w:left w:val="single" w:sz="7" w:space="0" w:color="000000"/>
              <w:bottom w:val="single" w:sz="7" w:space="0" w:color="000000"/>
              <w:right w:val="single" w:sz="7" w:space="0" w:color="000000"/>
            </w:tcBorders>
          </w:tcPr>
          <w:p w14:paraId="38C6545F" w14:textId="77777777" w:rsidR="0031675F" w:rsidRPr="0031675F" w:rsidRDefault="0031675F" w:rsidP="0031675F">
            <w:pPr>
              <w:widowControl w:val="0"/>
              <w:spacing w:before="9" w:after="0" w:line="240" w:lineRule="auto"/>
              <w:ind w:right="28"/>
              <w:jc w:val="right"/>
              <w:rPr>
                <w:rFonts w:eastAsia="Arial" w:cs="Arial"/>
                <w:sz w:val="19"/>
                <w:szCs w:val="19"/>
                <w:lang w:val="en-US"/>
              </w:rPr>
            </w:pPr>
            <w:r w:rsidRPr="0031675F">
              <w:rPr>
                <w:rFonts w:eastAsia="Calibri" w:hAnsi="Calibri"/>
                <w:spacing w:val="-4"/>
                <w:w w:val="105"/>
                <w:sz w:val="19"/>
                <w:lang w:val="en-US"/>
              </w:rPr>
              <w:t>25</w:t>
            </w:r>
          </w:p>
        </w:tc>
        <w:tc>
          <w:tcPr>
            <w:tcW w:w="1262" w:type="dxa"/>
            <w:tcBorders>
              <w:top w:val="single" w:sz="7" w:space="0" w:color="000000"/>
              <w:left w:val="single" w:sz="7" w:space="0" w:color="000000"/>
              <w:bottom w:val="single" w:sz="7" w:space="0" w:color="000000"/>
              <w:right w:val="single" w:sz="7" w:space="0" w:color="000000"/>
            </w:tcBorders>
          </w:tcPr>
          <w:p w14:paraId="2B9FA2D2" w14:textId="77777777" w:rsidR="0031675F" w:rsidRPr="0031675F" w:rsidRDefault="0031675F" w:rsidP="0031675F">
            <w:pPr>
              <w:widowControl w:val="0"/>
              <w:spacing w:before="9" w:after="0" w:line="240" w:lineRule="auto"/>
              <w:ind w:right="25"/>
              <w:jc w:val="right"/>
              <w:rPr>
                <w:rFonts w:eastAsia="Arial" w:cs="Arial"/>
                <w:sz w:val="19"/>
                <w:szCs w:val="19"/>
                <w:lang w:val="en-US"/>
              </w:rPr>
            </w:pPr>
            <w:r w:rsidRPr="0031675F">
              <w:rPr>
                <w:rFonts w:eastAsia="Calibri" w:hAnsi="Calibri"/>
                <w:w w:val="105"/>
                <w:sz w:val="19"/>
                <w:lang w:val="en-US"/>
              </w:rPr>
              <w:t>5.5</w:t>
            </w:r>
          </w:p>
        </w:tc>
        <w:tc>
          <w:tcPr>
            <w:tcW w:w="1782" w:type="dxa"/>
            <w:tcBorders>
              <w:top w:val="single" w:sz="7" w:space="0" w:color="000000"/>
              <w:left w:val="single" w:sz="7" w:space="0" w:color="000000"/>
              <w:bottom w:val="single" w:sz="7" w:space="0" w:color="000000"/>
              <w:right w:val="single" w:sz="7" w:space="0" w:color="000000"/>
            </w:tcBorders>
          </w:tcPr>
          <w:p w14:paraId="263611C1"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3"/>
                <w:w w:val="110"/>
                <w:sz w:val="19"/>
                <w:lang w:val="en-US"/>
              </w:rPr>
              <w:t>=(C21/B21)*$E$6</w:t>
            </w:r>
          </w:p>
        </w:tc>
        <w:tc>
          <w:tcPr>
            <w:tcW w:w="1262" w:type="dxa"/>
            <w:tcBorders>
              <w:top w:val="single" w:sz="7" w:space="0" w:color="000000"/>
              <w:left w:val="single" w:sz="7" w:space="0" w:color="000000"/>
              <w:bottom w:val="single" w:sz="7" w:space="0" w:color="000000"/>
              <w:right w:val="single" w:sz="7" w:space="0" w:color="000000"/>
            </w:tcBorders>
          </w:tcPr>
          <w:p w14:paraId="0353ED30" w14:textId="77777777" w:rsidR="0031675F" w:rsidRPr="0031675F" w:rsidRDefault="0031675F" w:rsidP="0031675F">
            <w:pPr>
              <w:widowControl w:val="0"/>
              <w:spacing w:before="9" w:after="0" w:line="240" w:lineRule="auto"/>
              <w:ind w:left="708"/>
              <w:rPr>
                <w:rFonts w:eastAsia="Arial" w:cs="Arial"/>
                <w:sz w:val="19"/>
                <w:szCs w:val="19"/>
                <w:lang w:val="en-US"/>
              </w:rPr>
            </w:pPr>
            <w:r w:rsidRPr="0031675F">
              <w:rPr>
                <w:rFonts w:eastAsia="Calibri" w:hAnsi="Calibri"/>
                <w:spacing w:val="-3"/>
                <w:w w:val="110"/>
                <w:sz w:val="19"/>
                <w:lang w:val="en-US"/>
              </w:rPr>
              <w:t>0.793</w:t>
            </w:r>
          </w:p>
        </w:tc>
        <w:tc>
          <w:tcPr>
            <w:tcW w:w="1262" w:type="dxa"/>
            <w:tcBorders>
              <w:top w:val="single" w:sz="7" w:space="0" w:color="000000"/>
              <w:left w:val="single" w:sz="7" w:space="0" w:color="000000"/>
              <w:bottom w:val="single" w:sz="7" w:space="0" w:color="000000"/>
              <w:right w:val="single" w:sz="7" w:space="0" w:color="000000"/>
            </w:tcBorders>
          </w:tcPr>
          <w:p w14:paraId="45BEF645" w14:textId="77777777" w:rsidR="0031675F" w:rsidRPr="0031675F" w:rsidRDefault="0031675F" w:rsidP="0031675F">
            <w:pPr>
              <w:widowControl w:val="0"/>
              <w:spacing w:before="9" w:after="0" w:line="240" w:lineRule="auto"/>
              <w:ind w:left="709"/>
              <w:rPr>
                <w:rFonts w:eastAsia="Arial" w:cs="Arial"/>
                <w:sz w:val="19"/>
                <w:szCs w:val="19"/>
                <w:lang w:val="en-US"/>
              </w:rPr>
            </w:pPr>
            <w:r w:rsidRPr="0031675F">
              <w:rPr>
                <w:rFonts w:eastAsia="Calibri" w:hAnsi="Calibri"/>
                <w:spacing w:val="-3"/>
                <w:w w:val="110"/>
                <w:sz w:val="19"/>
                <w:lang w:val="en-US"/>
              </w:rPr>
              <w:t>0.413</w:t>
            </w:r>
          </w:p>
        </w:tc>
        <w:tc>
          <w:tcPr>
            <w:tcW w:w="2313" w:type="dxa"/>
            <w:tcBorders>
              <w:top w:val="single" w:sz="7" w:space="0" w:color="000000"/>
              <w:left w:val="single" w:sz="7" w:space="0" w:color="000000"/>
              <w:bottom w:val="single" w:sz="7" w:space="0" w:color="000000"/>
              <w:right w:val="single" w:sz="7" w:space="0" w:color="000000"/>
            </w:tcBorders>
          </w:tcPr>
          <w:p w14:paraId="49FA98DF" w14:textId="77777777" w:rsidR="0031675F" w:rsidRPr="0031675F" w:rsidRDefault="0031675F" w:rsidP="0031675F">
            <w:pPr>
              <w:widowControl w:val="0"/>
              <w:spacing w:before="9" w:after="0" w:line="240" w:lineRule="auto"/>
              <w:ind w:left="156"/>
              <w:rPr>
                <w:rFonts w:eastAsia="Arial" w:cs="Arial"/>
                <w:sz w:val="19"/>
                <w:szCs w:val="19"/>
                <w:lang w:val="en-US"/>
              </w:rPr>
            </w:pPr>
            <w:r w:rsidRPr="0031675F">
              <w:rPr>
                <w:rFonts w:eastAsia="Calibri" w:hAnsi="Calibri"/>
                <w:spacing w:val="-4"/>
                <w:w w:val="110"/>
                <w:sz w:val="19"/>
                <w:lang w:val="en-US"/>
              </w:rPr>
              <w:t>=D21/(1830*(E21-F21))</w:t>
            </w:r>
          </w:p>
        </w:tc>
      </w:tr>
      <w:tr w:rsidR="0031675F" w:rsidRPr="0031675F" w14:paraId="53271503"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5C2F84C9" w14:textId="77777777" w:rsidR="0031675F" w:rsidRPr="0031675F" w:rsidRDefault="0031675F" w:rsidP="0031675F">
            <w:pPr>
              <w:widowControl w:val="0"/>
              <w:spacing w:before="10" w:after="0" w:line="240" w:lineRule="auto"/>
              <w:ind w:left="32"/>
              <w:rPr>
                <w:rFonts w:eastAsia="Arial" w:cs="Arial"/>
                <w:sz w:val="19"/>
                <w:szCs w:val="19"/>
                <w:lang w:val="en-US"/>
              </w:rPr>
            </w:pPr>
            <w:r w:rsidRPr="0031675F">
              <w:rPr>
                <w:rFonts w:eastAsia="Calibri" w:hAnsi="Calibri"/>
                <w:w w:val="110"/>
                <w:sz w:val="19"/>
                <w:lang w:val="en-US"/>
              </w:rPr>
              <w:t>9</w:t>
            </w:r>
          </w:p>
        </w:tc>
        <w:tc>
          <w:tcPr>
            <w:tcW w:w="2508" w:type="dxa"/>
            <w:tcBorders>
              <w:top w:val="single" w:sz="7" w:space="0" w:color="000000"/>
              <w:left w:val="single" w:sz="7" w:space="0" w:color="000000"/>
              <w:bottom w:val="single" w:sz="7" w:space="0" w:color="000000"/>
              <w:right w:val="single" w:sz="7" w:space="0" w:color="000000"/>
            </w:tcBorders>
          </w:tcPr>
          <w:p w14:paraId="2605ED89" w14:textId="77777777" w:rsidR="0031675F" w:rsidRPr="0031675F" w:rsidRDefault="0031675F" w:rsidP="0031675F">
            <w:pPr>
              <w:widowControl w:val="0"/>
              <w:spacing w:before="10" w:after="0" w:line="240" w:lineRule="auto"/>
              <w:ind w:right="28"/>
              <w:jc w:val="right"/>
              <w:rPr>
                <w:rFonts w:eastAsia="Arial" w:cs="Arial"/>
                <w:sz w:val="19"/>
                <w:szCs w:val="19"/>
                <w:lang w:val="en-US"/>
              </w:rPr>
            </w:pPr>
            <w:r w:rsidRPr="0031675F">
              <w:rPr>
                <w:rFonts w:eastAsia="Calibri" w:hAnsi="Calibri"/>
                <w:spacing w:val="-4"/>
                <w:w w:val="105"/>
                <w:sz w:val="19"/>
                <w:lang w:val="en-US"/>
              </w:rPr>
              <w:t>25</w:t>
            </w:r>
          </w:p>
        </w:tc>
        <w:tc>
          <w:tcPr>
            <w:tcW w:w="1262" w:type="dxa"/>
            <w:tcBorders>
              <w:top w:val="single" w:sz="7" w:space="0" w:color="000000"/>
              <w:left w:val="single" w:sz="7" w:space="0" w:color="000000"/>
              <w:bottom w:val="single" w:sz="7" w:space="0" w:color="000000"/>
              <w:right w:val="single" w:sz="7" w:space="0" w:color="000000"/>
            </w:tcBorders>
          </w:tcPr>
          <w:p w14:paraId="4C76646E" w14:textId="77777777" w:rsidR="0031675F" w:rsidRPr="0031675F" w:rsidRDefault="0031675F" w:rsidP="0031675F">
            <w:pPr>
              <w:widowControl w:val="0"/>
              <w:spacing w:before="10" w:after="0" w:line="240" w:lineRule="auto"/>
              <w:ind w:right="28"/>
              <w:jc w:val="right"/>
              <w:rPr>
                <w:rFonts w:eastAsia="Arial" w:cs="Arial"/>
                <w:sz w:val="19"/>
                <w:szCs w:val="19"/>
                <w:lang w:val="en-US"/>
              </w:rPr>
            </w:pPr>
            <w:r w:rsidRPr="0031675F">
              <w:rPr>
                <w:rFonts w:eastAsia="Calibri" w:hAnsi="Calibri"/>
                <w:spacing w:val="-4"/>
                <w:w w:val="105"/>
                <w:sz w:val="19"/>
                <w:lang w:val="en-US"/>
              </w:rPr>
              <w:t>10</w:t>
            </w:r>
          </w:p>
        </w:tc>
        <w:tc>
          <w:tcPr>
            <w:tcW w:w="1782" w:type="dxa"/>
            <w:tcBorders>
              <w:top w:val="single" w:sz="7" w:space="0" w:color="000000"/>
              <w:left w:val="single" w:sz="7" w:space="0" w:color="000000"/>
              <w:bottom w:val="single" w:sz="7" w:space="0" w:color="000000"/>
              <w:right w:val="single" w:sz="7" w:space="0" w:color="000000"/>
            </w:tcBorders>
          </w:tcPr>
          <w:p w14:paraId="74F7AA9F" w14:textId="77777777" w:rsidR="0031675F" w:rsidRPr="0031675F" w:rsidRDefault="0031675F" w:rsidP="0031675F">
            <w:pPr>
              <w:widowControl w:val="0"/>
              <w:spacing w:before="10" w:after="0" w:line="240" w:lineRule="auto"/>
              <w:ind w:left="156"/>
              <w:rPr>
                <w:rFonts w:eastAsia="Arial" w:cs="Arial"/>
                <w:sz w:val="19"/>
                <w:szCs w:val="19"/>
                <w:lang w:val="en-US"/>
              </w:rPr>
            </w:pPr>
            <w:r w:rsidRPr="0031675F">
              <w:rPr>
                <w:rFonts w:eastAsia="Calibri" w:hAnsi="Calibri"/>
                <w:spacing w:val="-3"/>
                <w:w w:val="110"/>
                <w:sz w:val="19"/>
                <w:lang w:val="en-US"/>
              </w:rPr>
              <w:t>=(C22/B22)*$E$6</w:t>
            </w:r>
          </w:p>
        </w:tc>
        <w:tc>
          <w:tcPr>
            <w:tcW w:w="1262" w:type="dxa"/>
            <w:tcBorders>
              <w:top w:val="single" w:sz="7" w:space="0" w:color="000000"/>
              <w:left w:val="single" w:sz="7" w:space="0" w:color="000000"/>
              <w:bottom w:val="single" w:sz="7" w:space="0" w:color="000000"/>
              <w:right w:val="single" w:sz="7" w:space="0" w:color="000000"/>
            </w:tcBorders>
          </w:tcPr>
          <w:p w14:paraId="5C598DB8" w14:textId="77777777" w:rsidR="0031675F" w:rsidRPr="0031675F" w:rsidRDefault="0031675F" w:rsidP="0031675F">
            <w:pPr>
              <w:widowControl w:val="0"/>
              <w:spacing w:before="10" w:after="0" w:line="240" w:lineRule="auto"/>
              <w:ind w:left="819"/>
              <w:rPr>
                <w:rFonts w:eastAsia="Arial" w:cs="Arial"/>
                <w:sz w:val="19"/>
                <w:szCs w:val="19"/>
                <w:lang w:val="en-US"/>
              </w:rPr>
            </w:pPr>
            <w:r w:rsidRPr="0031675F">
              <w:rPr>
                <w:rFonts w:eastAsia="Calibri" w:hAnsi="Calibri"/>
                <w:spacing w:val="-1"/>
                <w:w w:val="110"/>
                <w:sz w:val="19"/>
                <w:lang w:val="en-US"/>
              </w:rPr>
              <w:t>1</w:t>
            </w:r>
            <w:r w:rsidRPr="0031675F">
              <w:rPr>
                <w:rFonts w:eastAsia="Calibri" w:hAnsi="Calibri"/>
                <w:spacing w:val="-2"/>
                <w:w w:val="110"/>
                <w:sz w:val="19"/>
                <w:lang w:val="en-US"/>
              </w:rPr>
              <w:t>.</w:t>
            </w:r>
            <w:r w:rsidRPr="0031675F">
              <w:rPr>
                <w:rFonts w:eastAsia="Calibri" w:hAnsi="Calibri"/>
                <w:spacing w:val="-1"/>
                <w:w w:val="110"/>
                <w:sz w:val="19"/>
                <w:lang w:val="en-US"/>
              </w:rPr>
              <w:t>65</w:t>
            </w:r>
          </w:p>
        </w:tc>
        <w:tc>
          <w:tcPr>
            <w:tcW w:w="1262" w:type="dxa"/>
            <w:tcBorders>
              <w:top w:val="single" w:sz="7" w:space="0" w:color="000000"/>
              <w:left w:val="single" w:sz="7" w:space="0" w:color="000000"/>
              <w:bottom w:val="single" w:sz="7" w:space="0" w:color="000000"/>
              <w:right w:val="single" w:sz="7" w:space="0" w:color="000000"/>
            </w:tcBorders>
          </w:tcPr>
          <w:p w14:paraId="729EC4B3" w14:textId="77777777" w:rsidR="0031675F" w:rsidRPr="0031675F" w:rsidRDefault="0031675F" w:rsidP="0031675F">
            <w:pPr>
              <w:widowControl w:val="0"/>
              <w:spacing w:before="10" w:after="0" w:line="240" w:lineRule="auto"/>
              <w:ind w:left="709"/>
              <w:rPr>
                <w:rFonts w:eastAsia="Arial" w:cs="Arial"/>
                <w:sz w:val="19"/>
                <w:szCs w:val="19"/>
                <w:lang w:val="en-US"/>
              </w:rPr>
            </w:pPr>
            <w:r w:rsidRPr="0031675F">
              <w:rPr>
                <w:rFonts w:eastAsia="Calibri" w:hAnsi="Calibri"/>
                <w:spacing w:val="-3"/>
                <w:w w:val="110"/>
                <w:sz w:val="19"/>
                <w:lang w:val="en-US"/>
              </w:rPr>
              <w:t>0.807</w:t>
            </w:r>
          </w:p>
        </w:tc>
        <w:tc>
          <w:tcPr>
            <w:tcW w:w="2313" w:type="dxa"/>
            <w:tcBorders>
              <w:top w:val="single" w:sz="7" w:space="0" w:color="000000"/>
              <w:left w:val="single" w:sz="7" w:space="0" w:color="000000"/>
              <w:bottom w:val="single" w:sz="7" w:space="0" w:color="000000"/>
              <w:right w:val="single" w:sz="7" w:space="0" w:color="000000"/>
            </w:tcBorders>
          </w:tcPr>
          <w:p w14:paraId="4FED06B4" w14:textId="77777777" w:rsidR="0031675F" w:rsidRPr="0031675F" w:rsidRDefault="0031675F" w:rsidP="0031675F">
            <w:pPr>
              <w:widowControl w:val="0"/>
              <w:spacing w:before="10" w:after="0" w:line="240" w:lineRule="auto"/>
              <w:ind w:left="156"/>
              <w:rPr>
                <w:rFonts w:eastAsia="Arial" w:cs="Arial"/>
                <w:sz w:val="19"/>
                <w:szCs w:val="19"/>
                <w:lang w:val="en-US"/>
              </w:rPr>
            </w:pPr>
            <w:r w:rsidRPr="0031675F">
              <w:rPr>
                <w:rFonts w:eastAsia="Calibri" w:hAnsi="Calibri"/>
                <w:spacing w:val="-4"/>
                <w:w w:val="110"/>
                <w:sz w:val="19"/>
                <w:lang w:val="en-US"/>
              </w:rPr>
              <w:t>=D22/(1830*(E22-F22))</w:t>
            </w:r>
          </w:p>
        </w:tc>
      </w:tr>
      <w:tr w:rsidR="0031675F" w:rsidRPr="0031675F" w14:paraId="54EF2D07" w14:textId="77777777" w:rsidTr="00B00729">
        <w:trPr>
          <w:trHeight w:hRule="exact" w:val="247"/>
        </w:trPr>
        <w:tc>
          <w:tcPr>
            <w:tcW w:w="2100" w:type="dxa"/>
            <w:tcBorders>
              <w:top w:val="single" w:sz="7" w:space="0" w:color="000000"/>
              <w:left w:val="single" w:sz="7" w:space="0" w:color="000000"/>
              <w:bottom w:val="single" w:sz="7" w:space="0" w:color="000000"/>
              <w:right w:val="single" w:sz="7" w:space="0" w:color="000000"/>
            </w:tcBorders>
          </w:tcPr>
          <w:p w14:paraId="1D5DE3F7" w14:textId="77777777" w:rsidR="0031675F" w:rsidRPr="0031675F" w:rsidRDefault="0031675F" w:rsidP="0031675F">
            <w:pPr>
              <w:widowControl w:val="0"/>
              <w:spacing w:before="10" w:after="0" w:line="240" w:lineRule="auto"/>
              <w:ind w:left="32"/>
              <w:rPr>
                <w:rFonts w:eastAsia="Arial" w:cs="Arial"/>
                <w:sz w:val="19"/>
                <w:szCs w:val="19"/>
                <w:lang w:val="en-US"/>
              </w:rPr>
            </w:pPr>
            <w:r w:rsidRPr="0031675F">
              <w:rPr>
                <w:rFonts w:eastAsia="Calibri" w:hAnsi="Calibri"/>
                <w:w w:val="110"/>
                <w:sz w:val="19"/>
                <w:lang w:val="en-US"/>
              </w:rPr>
              <w:t>9</w:t>
            </w:r>
          </w:p>
        </w:tc>
        <w:tc>
          <w:tcPr>
            <w:tcW w:w="2508" w:type="dxa"/>
            <w:tcBorders>
              <w:top w:val="single" w:sz="7" w:space="0" w:color="000000"/>
              <w:left w:val="single" w:sz="7" w:space="0" w:color="000000"/>
              <w:bottom w:val="single" w:sz="7" w:space="0" w:color="000000"/>
              <w:right w:val="single" w:sz="7" w:space="0" w:color="000000"/>
            </w:tcBorders>
          </w:tcPr>
          <w:p w14:paraId="35FF4656" w14:textId="77777777" w:rsidR="0031675F" w:rsidRPr="0031675F" w:rsidRDefault="0031675F" w:rsidP="0031675F">
            <w:pPr>
              <w:widowControl w:val="0"/>
              <w:spacing w:before="10" w:after="0" w:line="240" w:lineRule="auto"/>
              <w:ind w:right="28"/>
              <w:jc w:val="right"/>
              <w:rPr>
                <w:rFonts w:eastAsia="Arial" w:cs="Arial"/>
                <w:sz w:val="19"/>
                <w:szCs w:val="19"/>
                <w:lang w:val="en-US"/>
              </w:rPr>
            </w:pPr>
            <w:r w:rsidRPr="0031675F">
              <w:rPr>
                <w:rFonts w:eastAsia="Calibri" w:hAnsi="Calibri"/>
                <w:spacing w:val="-4"/>
                <w:w w:val="105"/>
                <w:sz w:val="19"/>
                <w:lang w:val="en-US"/>
              </w:rPr>
              <w:t>25</w:t>
            </w:r>
          </w:p>
        </w:tc>
        <w:tc>
          <w:tcPr>
            <w:tcW w:w="1262" w:type="dxa"/>
            <w:tcBorders>
              <w:top w:val="single" w:sz="7" w:space="0" w:color="000000"/>
              <w:left w:val="single" w:sz="7" w:space="0" w:color="000000"/>
              <w:bottom w:val="single" w:sz="7" w:space="0" w:color="000000"/>
              <w:right w:val="single" w:sz="7" w:space="0" w:color="000000"/>
            </w:tcBorders>
          </w:tcPr>
          <w:p w14:paraId="1D3A0F49" w14:textId="77777777" w:rsidR="0031675F" w:rsidRPr="0031675F" w:rsidRDefault="0031675F" w:rsidP="0031675F">
            <w:pPr>
              <w:widowControl w:val="0"/>
              <w:spacing w:before="10" w:after="0" w:line="240" w:lineRule="auto"/>
              <w:ind w:right="28"/>
              <w:jc w:val="right"/>
              <w:rPr>
                <w:rFonts w:eastAsia="Arial" w:cs="Arial"/>
                <w:sz w:val="19"/>
                <w:szCs w:val="19"/>
                <w:lang w:val="en-US"/>
              </w:rPr>
            </w:pPr>
            <w:r w:rsidRPr="0031675F">
              <w:rPr>
                <w:rFonts w:eastAsia="Calibri" w:hAnsi="Calibri"/>
                <w:spacing w:val="-4"/>
                <w:w w:val="105"/>
                <w:sz w:val="19"/>
                <w:lang w:val="en-US"/>
              </w:rPr>
              <w:t>25</w:t>
            </w:r>
          </w:p>
        </w:tc>
        <w:tc>
          <w:tcPr>
            <w:tcW w:w="1782" w:type="dxa"/>
            <w:tcBorders>
              <w:top w:val="single" w:sz="7" w:space="0" w:color="000000"/>
              <w:left w:val="single" w:sz="7" w:space="0" w:color="000000"/>
              <w:bottom w:val="single" w:sz="7" w:space="0" w:color="000000"/>
              <w:right w:val="single" w:sz="7" w:space="0" w:color="000000"/>
            </w:tcBorders>
          </w:tcPr>
          <w:p w14:paraId="57692648" w14:textId="77777777" w:rsidR="0031675F" w:rsidRPr="0031675F" w:rsidRDefault="0031675F" w:rsidP="0031675F">
            <w:pPr>
              <w:widowControl w:val="0"/>
              <w:spacing w:before="10" w:after="0" w:line="240" w:lineRule="auto"/>
              <w:ind w:left="156"/>
              <w:rPr>
                <w:rFonts w:eastAsia="Arial" w:cs="Arial"/>
                <w:sz w:val="19"/>
                <w:szCs w:val="19"/>
                <w:lang w:val="en-US"/>
              </w:rPr>
            </w:pPr>
            <w:r w:rsidRPr="0031675F">
              <w:rPr>
                <w:rFonts w:eastAsia="Calibri" w:hAnsi="Calibri"/>
                <w:spacing w:val="-3"/>
                <w:w w:val="110"/>
                <w:sz w:val="19"/>
                <w:lang w:val="en-US"/>
              </w:rPr>
              <w:t>=(C23/B23)*$E$6</w:t>
            </w:r>
          </w:p>
        </w:tc>
        <w:tc>
          <w:tcPr>
            <w:tcW w:w="1262" w:type="dxa"/>
            <w:tcBorders>
              <w:top w:val="single" w:sz="7" w:space="0" w:color="000000"/>
              <w:left w:val="single" w:sz="7" w:space="0" w:color="000000"/>
              <w:bottom w:val="single" w:sz="7" w:space="0" w:color="000000"/>
              <w:right w:val="single" w:sz="7" w:space="0" w:color="000000"/>
            </w:tcBorders>
          </w:tcPr>
          <w:p w14:paraId="77EE6BEC" w14:textId="77777777" w:rsidR="0031675F" w:rsidRPr="0031675F" w:rsidRDefault="0031675F" w:rsidP="0031675F">
            <w:pPr>
              <w:widowControl w:val="0"/>
              <w:spacing w:before="10" w:after="0" w:line="240" w:lineRule="auto"/>
              <w:ind w:left="819"/>
              <w:rPr>
                <w:rFonts w:eastAsia="Arial" w:cs="Arial"/>
                <w:sz w:val="19"/>
                <w:szCs w:val="19"/>
                <w:lang w:val="en-US"/>
              </w:rPr>
            </w:pPr>
            <w:r w:rsidRPr="0031675F">
              <w:rPr>
                <w:rFonts w:eastAsia="Calibri" w:hAnsi="Calibri"/>
                <w:spacing w:val="-1"/>
                <w:w w:val="110"/>
                <w:sz w:val="19"/>
                <w:lang w:val="en-US"/>
              </w:rPr>
              <w:t>3</w:t>
            </w:r>
            <w:r w:rsidRPr="0031675F">
              <w:rPr>
                <w:rFonts w:eastAsia="Calibri" w:hAnsi="Calibri"/>
                <w:spacing w:val="-2"/>
                <w:w w:val="110"/>
                <w:sz w:val="19"/>
                <w:lang w:val="en-US"/>
              </w:rPr>
              <w:t>.</w:t>
            </w:r>
            <w:r w:rsidRPr="0031675F">
              <w:rPr>
                <w:rFonts w:eastAsia="Calibri" w:hAnsi="Calibri"/>
                <w:spacing w:val="-1"/>
                <w:w w:val="110"/>
                <w:sz w:val="19"/>
                <w:lang w:val="en-US"/>
              </w:rPr>
              <w:t>88</w:t>
            </w:r>
          </w:p>
        </w:tc>
        <w:tc>
          <w:tcPr>
            <w:tcW w:w="1262" w:type="dxa"/>
            <w:tcBorders>
              <w:top w:val="single" w:sz="7" w:space="0" w:color="000000"/>
              <w:left w:val="single" w:sz="7" w:space="0" w:color="000000"/>
              <w:bottom w:val="single" w:sz="7" w:space="0" w:color="000000"/>
              <w:right w:val="single" w:sz="7" w:space="0" w:color="000000"/>
            </w:tcBorders>
          </w:tcPr>
          <w:p w14:paraId="10AF3FCA" w14:textId="77777777" w:rsidR="0031675F" w:rsidRPr="0031675F" w:rsidRDefault="0031675F" w:rsidP="0031675F">
            <w:pPr>
              <w:widowControl w:val="0"/>
              <w:spacing w:before="10" w:after="0" w:line="240" w:lineRule="auto"/>
              <w:ind w:left="819"/>
              <w:rPr>
                <w:rFonts w:eastAsia="Arial" w:cs="Arial"/>
                <w:sz w:val="19"/>
                <w:szCs w:val="19"/>
                <w:lang w:val="en-US"/>
              </w:rPr>
            </w:pPr>
            <w:r w:rsidRPr="0031675F">
              <w:rPr>
                <w:rFonts w:eastAsia="Calibri" w:hAnsi="Calibri"/>
                <w:spacing w:val="-1"/>
                <w:w w:val="110"/>
                <w:sz w:val="19"/>
                <w:lang w:val="en-US"/>
              </w:rPr>
              <w:t>1</w:t>
            </w:r>
            <w:r w:rsidRPr="0031675F">
              <w:rPr>
                <w:rFonts w:eastAsia="Calibri" w:hAnsi="Calibri"/>
                <w:spacing w:val="-2"/>
                <w:w w:val="110"/>
                <w:sz w:val="19"/>
                <w:lang w:val="en-US"/>
              </w:rPr>
              <w:t>.</w:t>
            </w:r>
            <w:r w:rsidRPr="0031675F">
              <w:rPr>
                <w:rFonts w:eastAsia="Calibri" w:hAnsi="Calibri"/>
                <w:spacing w:val="-1"/>
                <w:w w:val="110"/>
                <w:sz w:val="19"/>
                <w:lang w:val="en-US"/>
              </w:rPr>
              <w:t>98</w:t>
            </w:r>
          </w:p>
        </w:tc>
        <w:tc>
          <w:tcPr>
            <w:tcW w:w="2313" w:type="dxa"/>
            <w:tcBorders>
              <w:top w:val="single" w:sz="7" w:space="0" w:color="000000"/>
              <w:left w:val="single" w:sz="7" w:space="0" w:color="000000"/>
              <w:bottom w:val="single" w:sz="7" w:space="0" w:color="000000"/>
              <w:right w:val="single" w:sz="7" w:space="0" w:color="000000"/>
            </w:tcBorders>
          </w:tcPr>
          <w:p w14:paraId="2E2ED005" w14:textId="77777777" w:rsidR="0031675F" w:rsidRPr="0031675F" w:rsidRDefault="0031675F" w:rsidP="0031675F">
            <w:pPr>
              <w:widowControl w:val="0"/>
              <w:spacing w:before="10" w:after="0" w:line="240" w:lineRule="auto"/>
              <w:ind w:left="156"/>
              <w:rPr>
                <w:rFonts w:eastAsia="Arial" w:cs="Arial"/>
                <w:sz w:val="19"/>
                <w:szCs w:val="19"/>
                <w:lang w:val="en-US"/>
              </w:rPr>
            </w:pPr>
            <w:r w:rsidRPr="0031675F">
              <w:rPr>
                <w:rFonts w:eastAsia="Calibri" w:hAnsi="Calibri"/>
                <w:spacing w:val="-4"/>
                <w:w w:val="110"/>
                <w:sz w:val="19"/>
                <w:lang w:val="en-US"/>
              </w:rPr>
              <w:t>=D23/(1830*(E23-F23))</w:t>
            </w:r>
          </w:p>
        </w:tc>
      </w:tr>
      <w:tr w:rsidR="0031675F" w:rsidRPr="0031675F" w14:paraId="5022A1DF" w14:textId="77777777" w:rsidTr="00B00729">
        <w:trPr>
          <w:trHeight w:hRule="exact" w:val="247"/>
        </w:trPr>
        <w:tc>
          <w:tcPr>
            <w:tcW w:w="2100" w:type="dxa"/>
            <w:tcBorders>
              <w:top w:val="single" w:sz="7" w:space="0" w:color="000000"/>
              <w:left w:val="single" w:sz="7" w:space="0" w:color="C0C0C0"/>
              <w:bottom w:val="single" w:sz="7" w:space="0" w:color="C0C0C0"/>
              <w:right w:val="single" w:sz="7" w:space="0" w:color="C0C0C0"/>
            </w:tcBorders>
          </w:tcPr>
          <w:p w14:paraId="769F3DE1" w14:textId="77777777" w:rsidR="0031675F" w:rsidRPr="0031675F" w:rsidRDefault="0031675F" w:rsidP="0031675F">
            <w:pPr>
              <w:widowControl w:val="0"/>
              <w:spacing w:before="10" w:after="0" w:line="240" w:lineRule="auto"/>
              <w:ind w:left="32"/>
              <w:rPr>
                <w:rFonts w:eastAsia="Arial" w:cs="Arial"/>
                <w:sz w:val="19"/>
                <w:szCs w:val="19"/>
                <w:lang w:val="en-US"/>
              </w:rPr>
            </w:pPr>
            <w:r w:rsidRPr="0031675F">
              <w:rPr>
                <w:rFonts w:eastAsia="Calibri" w:hAnsi="Calibri"/>
                <w:spacing w:val="-7"/>
                <w:w w:val="110"/>
                <w:sz w:val="19"/>
                <w:lang w:val="en-US"/>
              </w:rPr>
              <w:t xml:space="preserve">Average </w:t>
            </w:r>
            <w:r w:rsidRPr="0031675F">
              <w:rPr>
                <w:rFonts w:eastAsia="Calibri" w:hAnsi="Calibri"/>
                <w:spacing w:val="-4"/>
                <w:w w:val="110"/>
                <w:sz w:val="19"/>
                <w:lang w:val="en-US"/>
              </w:rPr>
              <w:t>door</w:t>
            </w:r>
            <w:r w:rsidRPr="0031675F">
              <w:rPr>
                <w:rFonts w:eastAsia="Calibri" w:hAnsi="Calibri"/>
                <w:spacing w:val="-9"/>
                <w:w w:val="110"/>
                <w:sz w:val="19"/>
                <w:lang w:val="en-US"/>
              </w:rPr>
              <w:t xml:space="preserve"> </w:t>
            </w:r>
            <w:r w:rsidRPr="0031675F">
              <w:rPr>
                <w:rFonts w:eastAsia="Calibri" w:hAnsi="Calibri"/>
                <w:spacing w:val="-8"/>
                <w:w w:val="110"/>
                <w:sz w:val="19"/>
                <w:lang w:val="en-US"/>
              </w:rPr>
              <w:t>value</w:t>
            </w:r>
          </w:p>
        </w:tc>
        <w:tc>
          <w:tcPr>
            <w:tcW w:w="2508" w:type="dxa"/>
            <w:tcBorders>
              <w:top w:val="single" w:sz="7" w:space="0" w:color="000000"/>
              <w:left w:val="single" w:sz="7" w:space="0" w:color="C0C0C0"/>
              <w:bottom w:val="single" w:sz="7" w:space="0" w:color="C0C0C0"/>
              <w:right w:val="single" w:sz="7" w:space="0" w:color="C0C0C0"/>
            </w:tcBorders>
          </w:tcPr>
          <w:p w14:paraId="5615E6DC" w14:textId="77777777" w:rsidR="0031675F" w:rsidRPr="0031675F" w:rsidRDefault="0031675F" w:rsidP="0031675F">
            <w:pPr>
              <w:widowControl w:val="0"/>
              <w:spacing w:before="10" w:after="0" w:line="240" w:lineRule="auto"/>
              <w:ind w:left="93"/>
              <w:rPr>
                <w:rFonts w:eastAsia="Arial" w:cs="Arial"/>
                <w:sz w:val="19"/>
                <w:szCs w:val="19"/>
                <w:lang w:val="en-US"/>
              </w:rPr>
            </w:pPr>
            <w:r w:rsidRPr="0031675F">
              <w:rPr>
                <w:rFonts w:eastAsia="Calibri" w:hAnsi="Calibri"/>
                <w:spacing w:val="-1"/>
                <w:w w:val="110"/>
                <w:sz w:val="19"/>
                <w:lang w:val="en-US"/>
              </w:rPr>
              <w:t>=AVERAGE(G14</w:t>
            </w:r>
            <w:r w:rsidRPr="0031675F">
              <w:rPr>
                <w:rFonts w:eastAsia="Calibri" w:hAnsi="Calibri"/>
                <w:spacing w:val="-2"/>
                <w:w w:val="110"/>
                <w:sz w:val="19"/>
                <w:lang w:val="en-US"/>
              </w:rPr>
              <w:t>:</w:t>
            </w:r>
            <w:r w:rsidRPr="0031675F">
              <w:rPr>
                <w:rFonts w:eastAsia="Calibri" w:hAnsi="Calibri"/>
                <w:spacing w:val="-1"/>
                <w:w w:val="110"/>
                <w:sz w:val="19"/>
                <w:lang w:val="en-US"/>
              </w:rPr>
              <w:t>G23)</w:t>
            </w:r>
          </w:p>
        </w:tc>
        <w:tc>
          <w:tcPr>
            <w:tcW w:w="1262" w:type="dxa"/>
            <w:tcBorders>
              <w:top w:val="single" w:sz="7" w:space="0" w:color="000000"/>
              <w:left w:val="single" w:sz="7" w:space="0" w:color="C0C0C0"/>
              <w:bottom w:val="single" w:sz="7" w:space="0" w:color="C0C0C0"/>
              <w:right w:val="single" w:sz="7" w:space="0" w:color="C0C0C0"/>
            </w:tcBorders>
          </w:tcPr>
          <w:p w14:paraId="21466528" w14:textId="77777777" w:rsidR="0031675F" w:rsidRPr="0031675F" w:rsidRDefault="0031675F" w:rsidP="0031675F"/>
        </w:tc>
        <w:tc>
          <w:tcPr>
            <w:tcW w:w="1782" w:type="dxa"/>
            <w:tcBorders>
              <w:top w:val="single" w:sz="7" w:space="0" w:color="000000"/>
              <w:left w:val="single" w:sz="7" w:space="0" w:color="C0C0C0"/>
              <w:bottom w:val="single" w:sz="7" w:space="0" w:color="C0C0C0"/>
              <w:right w:val="single" w:sz="7" w:space="0" w:color="C0C0C0"/>
            </w:tcBorders>
          </w:tcPr>
          <w:p w14:paraId="24A38434" w14:textId="77777777" w:rsidR="0031675F" w:rsidRPr="0031675F" w:rsidRDefault="0031675F" w:rsidP="0031675F">
            <w:pPr>
              <w:widowControl w:val="0"/>
              <w:spacing w:before="10" w:after="0" w:line="240" w:lineRule="auto"/>
              <w:ind w:right="25"/>
              <w:jc w:val="right"/>
              <w:rPr>
                <w:rFonts w:eastAsia="Arial" w:cs="Arial"/>
                <w:sz w:val="19"/>
                <w:szCs w:val="19"/>
                <w:lang w:val="en-US"/>
              </w:rPr>
            </w:pPr>
            <w:r w:rsidRPr="0031675F">
              <w:rPr>
                <w:rFonts w:eastAsia="Calibri" w:hAnsi="Calibri"/>
                <w:spacing w:val="-2"/>
                <w:w w:val="105"/>
                <w:sz w:val="19"/>
                <w:lang w:val="en-US"/>
              </w:rPr>
              <w:t>0.033</w:t>
            </w:r>
          </w:p>
        </w:tc>
        <w:tc>
          <w:tcPr>
            <w:tcW w:w="1262" w:type="dxa"/>
            <w:tcBorders>
              <w:top w:val="single" w:sz="7" w:space="0" w:color="000000"/>
              <w:left w:val="single" w:sz="7" w:space="0" w:color="C0C0C0"/>
              <w:bottom w:val="single" w:sz="7" w:space="0" w:color="C0C0C0"/>
              <w:right w:val="single" w:sz="7" w:space="0" w:color="C0C0C0"/>
            </w:tcBorders>
          </w:tcPr>
          <w:p w14:paraId="30137C1C" w14:textId="77777777" w:rsidR="0031675F" w:rsidRPr="0031675F" w:rsidRDefault="0031675F" w:rsidP="0031675F"/>
        </w:tc>
        <w:tc>
          <w:tcPr>
            <w:tcW w:w="1262" w:type="dxa"/>
            <w:tcBorders>
              <w:top w:val="single" w:sz="7" w:space="0" w:color="000000"/>
              <w:left w:val="single" w:sz="7" w:space="0" w:color="C0C0C0"/>
              <w:bottom w:val="single" w:sz="7" w:space="0" w:color="C0C0C0"/>
              <w:right w:val="single" w:sz="7" w:space="0" w:color="C0C0C0"/>
            </w:tcBorders>
          </w:tcPr>
          <w:p w14:paraId="768D0101" w14:textId="77777777" w:rsidR="0031675F" w:rsidRPr="0031675F" w:rsidRDefault="0031675F" w:rsidP="0031675F"/>
        </w:tc>
        <w:tc>
          <w:tcPr>
            <w:tcW w:w="2313" w:type="dxa"/>
            <w:tcBorders>
              <w:top w:val="single" w:sz="7" w:space="0" w:color="000000"/>
              <w:left w:val="single" w:sz="7" w:space="0" w:color="C0C0C0"/>
              <w:bottom w:val="single" w:sz="7" w:space="0" w:color="C0C0C0"/>
              <w:right w:val="single" w:sz="7" w:space="0" w:color="C0C0C0"/>
            </w:tcBorders>
          </w:tcPr>
          <w:p w14:paraId="1A6C8478" w14:textId="77777777" w:rsidR="0031675F" w:rsidRPr="0031675F" w:rsidRDefault="0031675F" w:rsidP="0031675F"/>
        </w:tc>
      </w:tr>
      <w:tr w:rsidR="0031675F" w:rsidRPr="0031675F" w14:paraId="06181423" w14:textId="77777777" w:rsidTr="00B00729">
        <w:trPr>
          <w:trHeight w:hRule="exact" w:val="247"/>
        </w:trPr>
        <w:tc>
          <w:tcPr>
            <w:tcW w:w="2100" w:type="dxa"/>
            <w:tcBorders>
              <w:top w:val="single" w:sz="7" w:space="0" w:color="C0C0C0"/>
              <w:left w:val="single" w:sz="7" w:space="0" w:color="C0C0C0"/>
              <w:bottom w:val="single" w:sz="7" w:space="0" w:color="C0C0C0"/>
              <w:right w:val="single" w:sz="7" w:space="0" w:color="C0C0C0"/>
            </w:tcBorders>
          </w:tcPr>
          <w:p w14:paraId="5BA8BD47" w14:textId="77777777" w:rsidR="0031675F" w:rsidRPr="0031675F" w:rsidRDefault="0031675F" w:rsidP="0031675F"/>
        </w:tc>
        <w:tc>
          <w:tcPr>
            <w:tcW w:w="2508" w:type="dxa"/>
            <w:tcBorders>
              <w:top w:val="single" w:sz="7" w:space="0" w:color="C0C0C0"/>
              <w:left w:val="single" w:sz="7" w:space="0" w:color="C0C0C0"/>
              <w:bottom w:val="single" w:sz="7" w:space="0" w:color="C0C0C0"/>
              <w:right w:val="single" w:sz="7" w:space="0" w:color="C0C0C0"/>
            </w:tcBorders>
          </w:tcPr>
          <w:p w14:paraId="737241C1"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015177B6" w14:textId="77777777" w:rsidR="0031675F" w:rsidRPr="0031675F" w:rsidRDefault="0031675F" w:rsidP="0031675F"/>
        </w:tc>
        <w:tc>
          <w:tcPr>
            <w:tcW w:w="1782" w:type="dxa"/>
            <w:tcBorders>
              <w:top w:val="single" w:sz="7" w:space="0" w:color="C0C0C0"/>
              <w:left w:val="single" w:sz="7" w:space="0" w:color="C0C0C0"/>
              <w:bottom w:val="single" w:sz="7" w:space="0" w:color="C0C0C0"/>
              <w:right w:val="single" w:sz="7" w:space="0" w:color="C0C0C0"/>
            </w:tcBorders>
          </w:tcPr>
          <w:p w14:paraId="2D6A387E"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5F05F62A"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02C19E0A" w14:textId="77777777" w:rsidR="0031675F" w:rsidRPr="0031675F" w:rsidRDefault="0031675F" w:rsidP="0031675F"/>
        </w:tc>
        <w:tc>
          <w:tcPr>
            <w:tcW w:w="2313" w:type="dxa"/>
            <w:tcBorders>
              <w:top w:val="single" w:sz="7" w:space="0" w:color="C0C0C0"/>
              <w:left w:val="single" w:sz="7" w:space="0" w:color="C0C0C0"/>
              <w:bottom w:val="single" w:sz="7" w:space="0" w:color="C0C0C0"/>
              <w:right w:val="single" w:sz="7" w:space="0" w:color="C0C0C0"/>
            </w:tcBorders>
          </w:tcPr>
          <w:p w14:paraId="58D8894C" w14:textId="77777777" w:rsidR="0031675F" w:rsidRPr="0031675F" w:rsidRDefault="0031675F" w:rsidP="0031675F"/>
        </w:tc>
      </w:tr>
      <w:tr w:rsidR="0031675F" w:rsidRPr="0031675F" w14:paraId="45A08E81" w14:textId="77777777" w:rsidTr="00B00729">
        <w:trPr>
          <w:trHeight w:hRule="exact" w:val="247"/>
        </w:trPr>
        <w:tc>
          <w:tcPr>
            <w:tcW w:w="2100" w:type="dxa"/>
            <w:tcBorders>
              <w:top w:val="single" w:sz="7" w:space="0" w:color="C0C0C0"/>
              <w:left w:val="single" w:sz="7" w:space="0" w:color="C0C0C0"/>
              <w:bottom w:val="single" w:sz="7" w:space="0" w:color="C0C0C0"/>
              <w:right w:val="single" w:sz="7" w:space="0" w:color="C0C0C0"/>
            </w:tcBorders>
          </w:tcPr>
          <w:p w14:paraId="64C93FEE" w14:textId="77777777" w:rsidR="0031675F" w:rsidRPr="0031675F" w:rsidRDefault="0031675F" w:rsidP="0031675F">
            <w:pPr>
              <w:widowControl w:val="0"/>
              <w:spacing w:before="10" w:after="0" w:line="240" w:lineRule="auto"/>
              <w:ind w:left="32" w:right="-26"/>
              <w:rPr>
                <w:rFonts w:eastAsia="Arial" w:cs="Arial"/>
                <w:sz w:val="19"/>
                <w:szCs w:val="19"/>
                <w:lang w:val="en-US"/>
              </w:rPr>
            </w:pPr>
            <w:r w:rsidRPr="0031675F">
              <w:rPr>
                <w:rFonts w:eastAsia="Calibri" w:hAnsi="Calibri"/>
                <w:w w:val="110"/>
                <w:sz w:val="19"/>
                <w:lang w:val="en-US"/>
              </w:rPr>
              <w:t>Vol.</w:t>
            </w:r>
            <w:r w:rsidRPr="0031675F">
              <w:rPr>
                <w:rFonts w:eastAsia="Calibri" w:hAnsi="Calibri"/>
                <w:spacing w:val="-11"/>
                <w:w w:val="110"/>
                <w:sz w:val="19"/>
                <w:lang w:val="en-US"/>
              </w:rPr>
              <w:t xml:space="preserve"> </w:t>
            </w:r>
            <w:r w:rsidRPr="0031675F">
              <w:rPr>
                <w:rFonts w:eastAsia="Calibri" w:hAnsi="Calibri"/>
                <w:spacing w:val="-1"/>
                <w:w w:val="110"/>
                <w:sz w:val="19"/>
                <w:lang w:val="en-US"/>
              </w:rPr>
              <w:t>ace</w:t>
            </w:r>
            <w:r w:rsidRPr="0031675F">
              <w:rPr>
                <w:rFonts w:eastAsia="Calibri" w:hAnsi="Calibri"/>
                <w:spacing w:val="-2"/>
                <w:w w:val="110"/>
                <w:sz w:val="19"/>
                <w:lang w:val="en-US"/>
              </w:rPr>
              <w:t>t</w:t>
            </w:r>
            <w:r w:rsidRPr="0031675F">
              <w:rPr>
                <w:rFonts w:eastAsia="Calibri" w:hAnsi="Calibri"/>
                <w:spacing w:val="-1"/>
                <w:w w:val="110"/>
                <w:sz w:val="19"/>
                <w:lang w:val="en-US"/>
              </w:rPr>
              <w:t>one</w:t>
            </w:r>
            <w:r w:rsidRPr="0031675F">
              <w:rPr>
                <w:rFonts w:eastAsia="Calibri" w:hAnsi="Calibri"/>
                <w:spacing w:val="-16"/>
                <w:w w:val="110"/>
                <w:sz w:val="19"/>
                <w:lang w:val="en-US"/>
              </w:rPr>
              <w:t xml:space="preserve"> </w:t>
            </w:r>
            <w:r w:rsidRPr="0031675F">
              <w:rPr>
                <w:rFonts w:eastAsia="Calibri" w:hAnsi="Calibri"/>
                <w:w w:val="110"/>
                <w:sz w:val="19"/>
                <w:lang w:val="en-US"/>
              </w:rPr>
              <w:t>extract(m</w:t>
            </w:r>
          </w:p>
        </w:tc>
        <w:tc>
          <w:tcPr>
            <w:tcW w:w="2508" w:type="dxa"/>
            <w:tcBorders>
              <w:top w:val="single" w:sz="7" w:space="0" w:color="C0C0C0"/>
              <w:left w:val="single" w:sz="7" w:space="0" w:color="C0C0C0"/>
              <w:bottom w:val="single" w:sz="7" w:space="0" w:color="C0C0C0"/>
              <w:right w:val="single" w:sz="7" w:space="0" w:color="C0C0C0"/>
            </w:tcBorders>
          </w:tcPr>
          <w:p w14:paraId="17A676AA" w14:textId="77777777" w:rsidR="0031675F" w:rsidRPr="0031675F" w:rsidRDefault="0031675F" w:rsidP="0031675F">
            <w:pPr>
              <w:widowControl w:val="0"/>
              <w:spacing w:before="10" w:after="0" w:line="240" w:lineRule="auto"/>
              <w:ind w:right="28"/>
              <w:jc w:val="right"/>
              <w:rPr>
                <w:rFonts w:eastAsia="Arial" w:cs="Arial"/>
                <w:sz w:val="19"/>
                <w:szCs w:val="19"/>
                <w:lang w:val="en-US"/>
              </w:rPr>
            </w:pPr>
            <w:r w:rsidRPr="0031675F">
              <w:rPr>
                <w:rFonts w:eastAsia="Calibri" w:hAnsi="Calibri"/>
                <w:spacing w:val="-4"/>
                <w:w w:val="105"/>
                <w:sz w:val="19"/>
                <w:lang w:val="en-US"/>
              </w:rPr>
              <w:t>10</w:t>
            </w:r>
          </w:p>
        </w:tc>
        <w:tc>
          <w:tcPr>
            <w:tcW w:w="1262" w:type="dxa"/>
            <w:tcBorders>
              <w:top w:val="single" w:sz="7" w:space="0" w:color="C0C0C0"/>
              <w:left w:val="single" w:sz="7" w:space="0" w:color="C0C0C0"/>
              <w:bottom w:val="single" w:sz="7" w:space="0" w:color="C0C0C0"/>
              <w:right w:val="single" w:sz="7" w:space="0" w:color="C0C0C0"/>
            </w:tcBorders>
          </w:tcPr>
          <w:p w14:paraId="68230C21" w14:textId="77777777" w:rsidR="0031675F" w:rsidRPr="0031675F" w:rsidRDefault="0031675F" w:rsidP="0031675F"/>
        </w:tc>
        <w:tc>
          <w:tcPr>
            <w:tcW w:w="1782" w:type="dxa"/>
            <w:tcBorders>
              <w:top w:val="single" w:sz="7" w:space="0" w:color="C0C0C0"/>
              <w:left w:val="single" w:sz="7" w:space="0" w:color="C0C0C0"/>
              <w:bottom w:val="single" w:sz="7" w:space="0" w:color="C0C0C0"/>
              <w:right w:val="single" w:sz="7" w:space="0" w:color="C0C0C0"/>
            </w:tcBorders>
          </w:tcPr>
          <w:p w14:paraId="23954CEB" w14:textId="77777777" w:rsidR="0031675F" w:rsidRPr="0031675F" w:rsidRDefault="0031675F" w:rsidP="0031675F">
            <w:pPr>
              <w:widowControl w:val="0"/>
              <w:spacing w:before="10" w:after="0" w:line="240" w:lineRule="auto"/>
              <w:ind w:left="30"/>
              <w:rPr>
                <w:rFonts w:eastAsia="Arial" w:cs="Arial"/>
                <w:sz w:val="19"/>
                <w:szCs w:val="19"/>
                <w:lang w:val="en-US"/>
              </w:rPr>
            </w:pPr>
            <w:r w:rsidRPr="0031675F">
              <w:rPr>
                <w:rFonts w:eastAsia="Calibri" w:hAnsi="Calibri"/>
                <w:color w:val="FF0000"/>
                <w:spacing w:val="1"/>
                <w:w w:val="110"/>
                <w:sz w:val="19"/>
                <w:lang w:val="en-US"/>
              </w:rPr>
              <w:t>solid</w:t>
            </w:r>
            <w:r w:rsidRPr="0031675F">
              <w:rPr>
                <w:rFonts w:eastAsia="Calibri" w:hAnsi="Calibri"/>
                <w:color w:val="FF0000"/>
                <w:spacing w:val="-8"/>
                <w:w w:val="110"/>
                <w:sz w:val="19"/>
                <w:lang w:val="en-US"/>
              </w:rPr>
              <w:t xml:space="preserve"> </w:t>
            </w:r>
            <w:r w:rsidRPr="0031675F">
              <w:rPr>
                <w:rFonts w:eastAsia="Calibri" w:hAnsi="Calibri"/>
                <w:color w:val="FF0000"/>
                <w:spacing w:val="-3"/>
                <w:w w:val="110"/>
                <w:sz w:val="19"/>
                <w:lang w:val="en-US"/>
              </w:rPr>
              <w:t>standard</w:t>
            </w:r>
            <w:r w:rsidRPr="0031675F">
              <w:rPr>
                <w:rFonts w:eastAsia="Calibri" w:hAnsi="Calibri"/>
                <w:color w:val="FF0000"/>
                <w:spacing w:val="-8"/>
                <w:w w:val="110"/>
                <w:sz w:val="19"/>
                <w:lang w:val="en-US"/>
              </w:rPr>
              <w:t xml:space="preserve"> </w:t>
            </w:r>
            <w:r w:rsidRPr="0031675F">
              <w:rPr>
                <w:rFonts w:eastAsia="Calibri" w:hAnsi="Calibri"/>
                <w:color w:val="FF0000"/>
                <w:w w:val="110"/>
                <w:sz w:val="19"/>
                <w:lang w:val="en-US"/>
              </w:rPr>
              <w:t>=</w:t>
            </w:r>
          </w:p>
        </w:tc>
        <w:tc>
          <w:tcPr>
            <w:tcW w:w="1262" w:type="dxa"/>
            <w:tcBorders>
              <w:top w:val="single" w:sz="7" w:space="0" w:color="C0C0C0"/>
              <w:left w:val="single" w:sz="7" w:space="0" w:color="C0C0C0"/>
              <w:bottom w:val="single" w:sz="7" w:space="0" w:color="C0C0C0"/>
              <w:right w:val="single" w:sz="7" w:space="0" w:color="C0C0C0"/>
            </w:tcBorders>
          </w:tcPr>
          <w:p w14:paraId="31B4A1AC" w14:textId="77777777" w:rsidR="0031675F" w:rsidRPr="0031675F" w:rsidRDefault="0031675F" w:rsidP="0031675F">
            <w:pPr>
              <w:widowControl w:val="0"/>
              <w:spacing w:before="10" w:after="0" w:line="240" w:lineRule="auto"/>
              <w:ind w:left="708"/>
              <w:rPr>
                <w:rFonts w:eastAsia="Arial" w:cs="Arial"/>
                <w:sz w:val="19"/>
                <w:szCs w:val="19"/>
                <w:lang w:val="en-US"/>
              </w:rPr>
            </w:pPr>
            <w:r w:rsidRPr="0031675F">
              <w:rPr>
                <w:rFonts w:eastAsia="Calibri" w:hAnsi="Calibri"/>
                <w:color w:val="FF0000"/>
                <w:spacing w:val="-3"/>
                <w:w w:val="110"/>
                <w:sz w:val="19"/>
                <w:lang w:val="en-US"/>
              </w:rPr>
              <w:t>0.982</w:t>
            </w:r>
          </w:p>
        </w:tc>
        <w:tc>
          <w:tcPr>
            <w:tcW w:w="1262" w:type="dxa"/>
            <w:tcBorders>
              <w:top w:val="single" w:sz="7" w:space="0" w:color="C0C0C0"/>
              <w:left w:val="single" w:sz="7" w:space="0" w:color="C0C0C0"/>
              <w:bottom w:val="single" w:sz="7" w:space="0" w:color="C0C0C0"/>
              <w:right w:val="single" w:sz="7" w:space="0" w:color="C0C0C0"/>
            </w:tcBorders>
          </w:tcPr>
          <w:p w14:paraId="79AB1634" w14:textId="77777777" w:rsidR="0031675F" w:rsidRPr="0031675F" w:rsidRDefault="0031675F" w:rsidP="0031675F"/>
        </w:tc>
        <w:tc>
          <w:tcPr>
            <w:tcW w:w="2313" w:type="dxa"/>
            <w:tcBorders>
              <w:top w:val="single" w:sz="7" w:space="0" w:color="C0C0C0"/>
              <w:left w:val="single" w:sz="7" w:space="0" w:color="C0C0C0"/>
              <w:bottom w:val="single" w:sz="7" w:space="0" w:color="C0C0C0"/>
              <w:right w:val="single" w:sz="7" w:space="0" w:color="C0C0C0"/>
            </w:tcBorders>
          </w:tcPr>
          <w:p w14:paraId="337FB71C" w14:textId="77777777" w:rsidR="0031675F" w:rsidRPr="0031675F" w:rsidRDefault="0031675F" w:rsidP="0031675F"/>
        </w:tc>
      </w:tr>
      <w:tr w:rsidR="0031675F" w:rsidRPr="0031675F" w14:paraId="7B3EF918" w14:textId="77777777" w:rsidTr="00B00729">
        <w:trPr>
          <w:trHeight w:hRule="exact" w:val="247"/>
        </w:trPr>
        <w:tc>
          <w:tcPr>
            <w:tcW w:w="2100" w:type="dxa"/>
            <w:tcBorders>
              <w:top w:val="single" w:sz="7" w:space="0" w:color="C0C0C0"/>
              <w:left w:val="single" w:sz="7" w:space="0" w:color="C0C0C0"/>
              <w:bottom w:val="single" w:sz="7" w:space="0" w:color="C0C0C0"/>
              <w:right w:val="single" w:sz="7" w:space="0" w:color="C0C0C0"/>
            </w:tcBorders>
          </w:tcPr>
          <w:p w14:paraId="3B87C2D4" w14:textId="77777777" w:rsidR="0031675F" w:rsidRPr="0031675F" w:rsidRDefault="0031675F" w:rsidP="0031675F">
            <w:pPr>
              <w:widowControl w:val="0"/>
              <w:spacing w:before="10" w:after="0" w:line="240" w:lineRule="auto"/>
              <w:ind w:left="32" w:right="-32"/>
              <w:rPr>
                <w:rFonts w:eastAsia="Arial" w:cs="Arial"/>
                <w:sz w:val="19"/>
                <w:szCs w:val="19"/>
                <w:lang w:val="en-US"/>
              </w:rPr>
            </w:pPr>
            <w:r w:rsidRPr="0031675F">
              <w:rPr>
                <w:rFonts w:eastAsia="Calibri" w:hAnsi="Calibri"/>
                <w:w w:val="110"/>
                <w:sz w:val="19"/>
                <w:lang w:val="en-US"/>
              </w:rPr>
              <w:t>Vol.</w:t>
            </w:r>
            <w:r w:rsidRPr="0031675F">
              <w:rPr>
                <w:rFonts w:eastAsia="Calibri" w:hAnsi="Calibri"/>
                <w:spacing w:val="-7"/>
                <w:w w:val="110"/>
                <w:sz w:val="19"/>
                <w:lang w:val="en-US"/>
              </w:rPr>
              <w:t xml:space="preserve"> </w:t>
            </w:r>
            <w:r w:rsidRPr="0031675F">
              <w:rPr>
                <w:rFonts w:eastAsia="Calibri" w:hAnsi="Calibri"/>
                <w:spacing w:val="-3"/>
                <w:w w:val="110"/>
                <w:sz w:val="19"/>
                <w:lang w:val="en-US"/>
              </w:rPr>
              <w:t>seawater</w:t>
            </w:r>
            <w:r w:rsidRPr="0031675F">
              <w:rPr>
                <w:rFonts w:eastAsia="Calibri" w:hAnsi="Calibri"/>
                <w:spacing w:val="-14"/>
                <w:w w:val="110"/>
                <w:sz w:val="19"/>
                <w:lang w:val="en-US"/>
              </w:rPr>
              <w:t xml:space="preserve"> </w:t>
            </w:r>
            <w:r w:rsidRPr="0031675F">
              <w:rPr>
                <w:rFonts w:eastAsia="Calibri" w:hAnsi="Calibri"/>
                <w:spacing w:val="-1"/>
                <w:w w:val="110"/>
                <w:sz w:val="19"/>
                <w:lang w:val="en-US"/>
              </w:rPr>
              <w:t>sampled</w:t>
            </w:r>
          </w:p>
        </w:tc>
        <w:tc>
          <w:tcPr>
            <w:tcW w:w="2508" w:type="dxa"/>
            <w:tcBorders>
              <w:top w:val="single" w:sz="7" w:space="0" w:color="C0C0C0"/>
              <w:left w:val="single" w:sz="7" w:space="0" w:color="C0C0C0"/>
              <w:bottom w:val="single" w:sz="7" w:space="0" w:color="C0C0C0"/>
              <w:right w:val="single" w:sz="7" w:space="0" w:color="C0C0C0"/>
            </w:tcBorders>
          </w:tcPr>
          <w:p w14:paraId="624A224B" w14:textId="77777777" w:rsidR="0031675F" w:rsidRPr="0031675F" w:rsidRDefault="0031675F" w:rsidP="0031675F">
            <w:pPr>
              <w:widowControl w:val="0"/>
              <w:spacing w:before="10" w:after="0" w:line="240" w:lineRule="auto"/>
              <w:ind w:right="25"/>
              <w:jc w:val="right"/>
              <w:rPr>
                <w:rFonts w:eastAsia="Arial" w:cs="Arial"/>
                <w:sz w:val="19"/>
                <w:szCs w:val="19"/>
                <w:lang w:val="en-US"/>
              </w:rPr>
            </w:pPr>
            <w:r w:rsidRPr="0031675F">
              <w:rPr>
                <w:rFonts w:eastAsia="Calibri" w:hAnsi="Calibri"/>
                <w:w w:val="105"/>
                <w:sz w:val="19"/>
                <w:lang w:val="en-US"/>
              </w:rPr>
              <w:t>0.1</w:t>
            </w:r>
          </w:p>
        </w:tc>
        <w:tc>
          <w:tcPr>
            <w:tcW w:w="1262" w:type="dxa"/>
            <w:tcBorders>
              <w:top w:val="single" w:sz="7" w:space="0" w:color="C0C0C0"/>
              <w:left w:val="single" w:sz="7" w:space="0" w:color="C0C0C0"/>
              <w:bottom w:val="single" w:sz="7" w:space="0" w:color="C0C0C0"/>
              <w:right w:val="single" w:sz="7" w:space="0" w:color="C0C0C0"/>
            </w:tcBorders>
          </w:tcPr>
          <w:p w14:paraId="51128AEF" w14:textId="77777777" w:rsidR="0031675F" w:rsidRPr="0031675F" w:rsidRDefault="0031675F" w:rsidP="0031675F"/>
        </w:tc>
        <w:tc>
          <w:tcPr>
            <w:tcW w:w="1782" w:type="dxa"/>
            <w:tcBorders>
              <w:top w:val="single" w:sz="7" w:space="0" w:color="C0C0C0"/>
              <w:left w:val="single" w:sz="7" w:space="0" w:color="C0C0C0"/>
              <w:bottom w:val="single" w:sz="7" w:space="0" w:color="C0C0C0"/>
              <w:right w:val="single" w:sz="7" w:space="0" w:color="C0C0C0"/>
            </w:tcBorders>
          </w:tcPr>
          <w:p w14:paraId="4F68DE0C"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051B496E"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02DCB6FD" w14:textId="77777777" w:rsidR="0031675F" w:rsidRPr="0031675F" w:rsidRDefault="0031675F" w:rsidP="0031675F"/>
        </w:tc>
        <w:tc>
          <w:tcPr>
            <w:tcW w:w="2313" w:type="dxa"/>
            <w:tcBorders>
              <w:top w:val="single" w:sz="7" w:space="0" w:color="C0C0C0"/>
              <w:left w:val="single" w:sz="7" w:space="0" w:color="C0C0C0"/>
              <w:bottom w:val="single" w:sz="7" w:space="0" w:color="C0C0C0"/>
              <w:right w:val="single" w:sz="7" w:space="0" w:color="C0C0C0"/>
            </w:tcBorders>
          </w:tcPr>
          <w:p w14:paraId="6864B9F6" w14:textId="77777777" w:rsidR="0031675F" w:rsidRPr="0031675F" w:rsidRDefault="0031675F" w:rsidP="0031675F"/>
        </w:tc>
      </w:tr>
      <w:tr w:rsidR="0031675F" w:rsidRPr="0031675F" w14:paraId="4B2F6250" w14:textId="77777777" w:rsidTr="00B00729">
        <w:trPr>
          <w:trHeight w:hRule="exact" w:val="247"/>
        </w:trPr>
        <w:tc>
          <w:tcPr>
            <w:tcW w:w="2100" w:type="dxa"/>
            <w:tcBorders>
              <w:top w:val="single" w:sz="7" w:space="0" w:color="C0C0C0"/>
              <w:left w:val="single" w:sz="7" w:space="0" w:color="C0C0C0"/>
              <w:bottom w:val="single" w:sz="7" w:space="0" w:color="C0C0C0"/>
              <w:right w:val="single" w:sz="7" w:space="0" w:color="C0C0C0"/>
            </w:tcBorders>
          </w:tcPr>
          <w:p w14:paraId="39E6FFAF" w14:textId="77777777" w:rsidR="0031675F" w:rsidRPr="0031675F" w:rsidRDefault="0031675F" w:rsidP="0031675F"/>
        </w:tc>
        <w:tc>
          <w:tcPr>
            <w:tcW w:w="2508" w:type="dxa"/>
            <w:tcBorders>
              <w:top w:val="single" w:sz="7" w:space="0" w:color="C0C0C0"/>
              <w:left w:val="single" w:sz="7" w:space="0" w:color="C0C0C0"/>
              <w:bottom w:val="single" w:sz="7" w:space="0" w:color="C0C0C0"/>
              <w:right w:val="single" w:sz="7" w:space="0" w:color="C0C0C0"/>
            </w:tcBorders>
          </w:tcPr>
          <w:p w14:paraId="6DEBC10D"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0859FFD2" w14:textId="77777777" w:rsidR="0031675F" w:rsidRPr="0031675F" w:rsidRDefault="0031675F" w:rsidP="0031675F"/>
        </w:tc>
        <w:tc>
          <w:tcPr>
            <w:tcW w:w="1782" w:type="dxa"/>
            <w:tcBorders>
              <w:top w:val="single" w:sz="7" w:space="0" w:color="C0C0C0"/>
              <w:left w:val="single" w:sz="7" w:space="0" w:color="C0C0C0"/>
              <w:bottom w:val="single" w:sz="7" w:space="0" w:color="C0C0C0"/>
              <w:right w:val="single" w:sz="7" w:space="0" w:color="C0C0C0"/>
            </w:tcBorders>
          </w:tcPr>
          <w:p w14:paraId="7FB7C492"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47FD1877" w14:textId="77777777" w:rsidR="0031675F" w:rsidRPr="0031675F" w:rsidRDefault="0031675F" w:rsidP="0031675F"/>
        </w:tc>
        <w:tc>
          <w:tcPr>
            <w:tcW w:w="1262" w:type="dxa"/>
            <w:tcBorders>
              <w:top w:val="single" w:sz="7" w:space="0" w:color="C0C0C0"/>
              <w:left w:val="single" w:sz="7" w:space="0" w:color="C0C0C0"/>
              <w:bottom w:val="single" w:sz="7" w:space="0" w:color="C0C0C0"/>
              <w:right w:val="single" w:sz="7" w:space="0" w:color="C0C0C0"/>
            </w:tcBorders>
          </w:tcPr>
          <w:p w14:paraId="53A057C9" w14:textId="77777777" w:rsidR="0031675F" w:rsidRPr="0031675F" w:rsidRDefault="0031675F" w:rsidP="0031675F"/>
        </w:tc>
        <w:tc>
          <w:tcPr>
            <w:tcW w:w="2313" w:type="dxa"/>
            <w:tcBorders>
              <w:top w:val="single" w:sz="7" w:space="0" w:color="C0C0C0"/>
              <w:left w:val="single" w:sz="7" w:space="0" w:color="C0C0C0"/>
              <w:bottom w:val="single" w:sz="7" w:space="0" w:color="C0C0C0"/>
              <w:right w:val="single" w:sz="7" w:space="0" w:color="C0C0C0"/>
            </w:tcBorders>
          </w:tcPr>
          <w:p w14:paraId="49548998" w14:textId="77777777" w:rsidR="0031675F" w:rsidRPr="0031675F" w:rsidRDefault="0031675F" w:rsidP="0031675F"/>
        </w:tc>
      </w:tr>
      <w:tr w:rsidR="0031675F" w:rsidRPr="0031675F" w14:paraId="45DFF975" w14:textId="77777777" w:rsidTr="00B00729">
        <w:trPr>
          <w:trHeight w:hRule="exact" w:val="250"/>
        </w:trPr>
        <w:tc>
          <w:tcPr>
            <w:tcW w:w="2100" w:type="dxa"/>
            <w:tcBorders>
              <w:top w:val="single" w:sz="7" w:space="0" w:color="C0C0C0"/>
              <w:left w:val="single" w:sz="7" w:space="0" w:color="C0C0C0"/>
              <w:bottom w:val="single" w:sz="6" w:space="0" w:color="000000"/>
              <w:right w:val="single" w:sz="7" w:space="0" w:color="C0C0C0"/>
            </w:tcBorders>
          </w:tcPr>
          <w:p w14:paraId="73DB6596" w14:textId="77777777" w:rsidR="0031675F" w:rsidRPr="0031675F" w:rsidRDefault="0031675F" w:rsidP="0031675F">
            <w:pPr>
              <w:widowControl w:val="0"/>
              <w:spacing w:before="10" w:after="0" w:line="240" w:lineRule="auto"/>
              <w:ind w:left="32"/>
              <w:rPr>
                <w:rFonts w:eastAsia="Arial" w:cs="Arial"/>
                <w:sz w:val="19"/>
                <w:szCs w:val="19"/>
                <w:lang w:val="en-US"/>
              </w:rPr>
            </w:pPr>
            <w:r w:rsidRPr="0031675F">
              <w:rPr>
                <w:rFonts w:eastAsia="Calibri" w:hAnsi="Calibri"/>
                <w:b/>
                <w:spacing w:val="1"/>
                <w:w w:val="110"/>
                <w:sz w:val="19"/>
                <w:lang w:val="en-US"/>
              </w:rPr>
              <w:t>Working</w:t>
            </w:r>
            <w:r w:rsidRPr="0031675F">
              <w:rPr>
                <w:rFonts w:eastAsia="Calibri" w:hAnsi="Calibri"/>
                <w:b/>
                <w:spacing w:val="-10"/>
                <w:w w:val="110"/>
                <w:sz w:val="19"/>
                <w:lang w:val="en-US"/>
              </w:rPr>
              <w:t xml:space="preserve"> </w:t>
            </w:r>
            <w:r w:rsidRPr="0031675F">
              <w:rPr>
                <w:rFonts w:eastAsia="Calibri" w:hAnsi="Calibri"/>
                <w:b/>
                <w:spacing w:val="-3"/>
                <w:w w:val="110"/>
                <w:sz w:val="19"/>
                <w:lang w:val="en-US"/>
              </w:rPr>
              <w:t>Door</w:t>
            </w:r>
            <w:r w:rsidRPr="0031675F">
              <w:rPr>
                <w:rFonts w:eastAsia="Calibri" w:hAnsi="Calibri"/>
                <w:b/>
                <w:spacing w:val="-12"/>
                <w:w w:val="110"/>
                <w:sz w:val="19"/>
                <w:lang w:val="en-US"/>
              </w:rPr>
              <w:t xml:space="preserve"> </w:t>
            </w:r>
            <w:r w:rsidRPr="0031675F">
              <w:rPr>
                <w:rFonts w:eastAsia="Calibri" w:hAnsi="Calibri"/>
                <w:b/>
                <w:spacing w:val="4"/>
                <w:w w:val="110"/>
                <w:sz w:val="19"/>
                <w:lang w:val="en-US"/>
              </w:rPr>
              <w:t>Value</w:t>
            </w:r>
          </w:p>
        </w:tc>
        <w:tc>
          <w:tcPr>
            <w:tcW w:w="2508" w:type="dxa"/>
            <w:tcBorders>
              <w:top w:val="single" w:sz="7" w:space="0" w:color="C0C0C0"/>
              <w:left w:val="single" w:sz="7" w:space="0" w:color="C0C0C0"/>
              <w:bottom w:val="single" w:sz="6" w:space="0" w:color="000000"/>
              <w:right w:val="single" w:sz="7" w:space="0" w:color="C0C0C0"/>
            </w:tcBorders>
          </w:tcPr>
          <w:p w14:paraId="42D5131E" w14:textId="77777777" w:rsidR="0031675F" w:rsidRPr="0031675F" w:rsidRDefault="0031675F" w:rsidP="0031675F">
            <w:pPr>
              <w:widowControl w:val="0"/>
              <w:spacing w:before="10" w:after="0" w:line="240" w:lineRule="auto"/>
              <w:ind w:left="93"/>
              <w:rPr>
                <w:rFonts w:eastAsia="Arial" w:cs="Arial"/>
                <w:sz w:val="19"/>
                <w:szCs w:val="19"/>
                <w:lang w:val="en-US"/>
              </w:rPr>
            </w:pPr>
            <w:r w:rsidRPr="0031675F">
              <w:rPr>
                <w:rFonts w:eastAsia="Calibri" w:hAnsi="Calibri"/>
                <w:spacing w:val="-3"/>
                <w:w w:val="110"/>
                <w:sz w:val="19"/>
                <w:lang w:val="en-US"/>
              </w:rPr>
              <w:t>=(1.83*B26*B24)/B27</w:t>
            </w:r>
          </w:p>
        </w:tc>
        <w:tc>
          <w:tcPr>
            <w:tcW w:w="1262" w:type="dxa"/>
            <w:tcBorders>
              <w:top w:val="single" w:sz="7" w:space="0" w:color="C0C0C0"/>
              <w:left w:val="single" w:sz="7" w:space="0" w:color="C0C0C0"/>
              <w:bottom w:val="single" w:sz="6" w:space="0" w:color="000000"/>
              <w:right w:val="single" w:sz="7" w:space="0" w:color="C0C0C0"/>
            </w:tcBorders>
          </w:tcPr>
          <w:p w14:paraId="034B47D5" w14:textId="77777777" w:rsidR="0031675F" w:rsidRPr="0031675F" w:rsidRDefault="0031675F" w:rsidP="0031675F"/>
        </w:tc>
        <w:tc>
          <w:tcPr>
            <w:tcW w:w="1782" w:type="dxa"/>
            <w:tcBorders>
              <w:top w:val="single" w:sz="7" w:space="0" w:color="C0C0C0"/>
              <w:left w:val="single" w:sz="7" w:space="0" w:color="C0C0C0"/>
              <w:bottom w:val="single" w:sz="6" w:space="0" w:color="000000"/>
              <w:right w:val="single" w:sz="7" w:space="0" w:color="C0C0C0"/>
            </w:tcBorders>
          </w:tcPr>
          <w:p w14:paraId="7A0F795D" w14:textId="77777777" w:rsidR="0031675F" w:rsidRPr="0031675F" w:rsidRDefault="0031675F" w:rsidP="0031675F"/>
        </w:tc>
        <w:tc>
          <w:tcPr>
            <w:tcW w:w="1262" w:type="dxa"/>
            <w:tcBorders>
              <w:top w:val="single" w:sz="7" w:space="0" w:color="C0C0C0"/>
              <w:left w:val="single" w:sz="7" w:space="0" w:color="C0C0C0"/>
              <w:bottom w:val="single" w:sz="6" w:space="0" w:color="000000"/>
              <w:right w:val="single" w:sz="7" w:space="0" w:color="C0C0C0"/>
            </w:tcBorders>
          </w:tcPr>
          <w:p w14:paraId="3EAFCD76" w14:textId="77777777" w:rsidR="0031675F" w:rsidRPr="0031675F" w:rsidRDefault="0031675F" w:rsidP="0031675F"/>
        </w:tc>
        <w:tc>
          <w:tcPr>
            <w:tcW w:w="1262" w:type="dxa"/>
            <w:tcBorders>
              <w:top w:val="single" w:sz="7" w:space="0" w:color="C0C0C0"/>
              <w:left w:val="single" w:sz="7" w:space="0" w:color="C0C0C0"/>
              <w:bottom w:val="single" w:sz="6" w:space="0" w:color="000000"/>
              <w:right w:val="single" w:sz="7" w:space="0" w:color="C0C0C0"/>
            </w:tcBorders>
          </w:tcPr>
          <w:p w14:paraId="796A0F31" w14:textId="77777777" w:rsidR="0031675F" w:rsidRPr="0031675F" w:rsidRDefault="0031675F" w:rsidP="0031675F"/>
        </w:tc>
        <w:tc>
          <w:tcPr>
            <w:tcW w:w="2313" w:type="dxa"/>
            <w:tcBorders>
              <w:top w:val="single" w:sz="7" w:space="0" w:color="C0C0C0"/>
              <w:left w:val="single" w:sz="7" w:space="0" w:color="C0C0C0"/>
              <w:bottom w:val="single" w:sz="6" w:space="0" w:color="000000"/>
              <w:right w:val="single" w:sz="7" w:space="0" w:color="C0C0C0"/>
            </w:tcBorders>
          </w:tcPr>
          <w:p w14:paraId="74D5B725" w14:textId="77777777" w:rsidR="0031675F" w:rsidRPr="0031675F" w:rsidRDefault="0031675F" w:rsidP="0031675F"/>
        </w:tc>
      </w:tr>
    </w:tbl>
    <w:p w14:paraId="3C71D073" w14:textId="77777777" w:rsidR="0031675F" w:rsidRPr="0031675F" w:rsidRDefault="0031675F" w:rsidP="0031675F">
      <w:pPr>
        <w:sectPr w:rsidR="0031675F" w:rsidRPr="0031675F" w:rsidSect="004A5C83">
          <w:type w:val="nextColumn"/>
          <w:pgSz w:w="16850" w:h="11910" w:orient="landscape"/>
          <w:pgMar w:top="720" w:right="1281" w:bottom="697" w:left="1281" w:header="520" w:footer="500" w:gutter="0"/>
          <w:paperSrc w:first="7" w:other="7"/>
          <w:cols w:space="720"/>
        </w:sectPr>
      </w:pPr>
    </w:p>
    <w:p w14:paraId="7556A889" w14:textId="77777777" w:rsidR="0031675F" w:rsidRPr="0031675F" w:rsidRDefault="0031675F" w:rsidP="0031675F">
      <w:pPr>
        <w:spacing w:before="5"/>
        <w:rPr>
          <w:rFonts w:eastAsia="Arial" w:cs="Arial"/>
          <w:b/>
          <w:bCs/>
          <w:sz w:val="20"/>
          <w:szCs w:val="20"/>
        </w:rPr>
      </w:pPr>
    </w:p>
    <w:p w14:paraId="188C8B08" w14:textId="77777777" w:rsidR="0031675F" w:rsidRPr="0031675F" w:rsidRDefault="0031675F" w:rsidP="0031675F">
      <w:pPr>
        <w:tabs>
          <w:tab w:val="left" w:pos="2278"/>
        </w:tabs>
        <w:ind w:left="118"/>
        <w:rPr>
          <w:rFonts w:eastAsia="Arial" w:cs="Arial"/>
          <w:sz w:val="24"/>
          <w:szCs w:val="24"/>
        </w:rPr>
      </w:pPr>
      <w:r w:rsidRPr="0031675F">
        <w:rPr>
          <w:b/>
          <w:spacing w:val="-1"/>
          <w:sz w:val="24"/>
        </w:rPr>
        <w:t xml:space="preserve">Attachment </w:t>
      </w:r>
      <w:r w:rsidRPr="0031675F">
        <w:rPr>
          <w:b/>
          <w:sz w:val="24"/>
        </w:rPr>
        <w:t>9.4</w:t>
      </w:r>
      <w:r w:rsidRPr="0031675F">
        <w:rPr>
          <w:b/>
          <w:sz w:val="24"/>
        </w:rPr>
        <w:tab/>
      </w:r>
      <w:r w:rsidRPr="0031675F">
        <w:rPr>
          <w:b/>
          <w:spacing w:val="-1"/>
          <w:sz w:val="24"/>
        </w:rPr>
        <w:t>Chlorophyll</w:t>
      </w:r>
      <w:r w:rsidRPr="0031675F">
        <w:rPr>
          <w:b/>
          <w:spacing w:val="1"/>
          <w:sz w:val="24"/>
        </w:rPr>
        <w:t xml:space="preserve"> </w:t>
      </w:r>
      <w:r w:rsidRPr="0031675F">
        <w:rPr>
          <w:b/>
          <w:i/>
          <w:sz w:val="24"/>
        </w:rPr>
        <w:t>a</w:t>
      </w:r>
      <w:r w:rsidRPr="0031675F">
        <w:rPr>
          <w:b/>
          <w:i/>
          <w:spacing w:val="2"/>
          <w:sz w:val="24"/>
        </w:rPr>
        <w:t xml:space="preserve"> </w:t>
      </w:r>
      <w:r w:rsidRPr="0031675F">
        <w:rPr>
          <w:b/>
          <w:spacing w:val="-1"/>
          <w:sz w:val="24"/>
        </w:rPr>
        <w:t>calibration</w:t>
      </w:r>
      <w:r w:rsidRPr="0031675F">
        <w:rPr>
          <w:b/>
          <w:sz w:val="24"/>
        </w:rPr>
        <w:t xml:space="preserve"> equations </w:t>
      </w:r>
      <w:r w:rsidRPr="0031675F">
        <w:rPr>
          <w:b/>
          <w:spacing w:val="-1"/>
          <w:sz w:val="24"/>
        </w:rPr>
        <w:t>Excel</w:t>
      </w:r>
      <w:r w:rsidRPr="0031675F">
        <w:rPr>
          <w:b/>
          <w:spacing w:val="-2"/>
          <w:sz w:val="24"/>
        </w:rPr>
        <w:t xml:space="preserve"> </w:t>
      </w:r>
      <w:r w:rsidRPr="0031675F">
        <w:rPr>
          <w:b/>
          <w:spacing w:val="-1"/>
          <w:sz w:val="24"/>
        </w:rPr>
        <w:t>worksheet</w:t>
      </w:r>
      <w:r w:rsidRPr="0031675F">
        <w:rPr>
          <w:b/>
          <w:sz w:val="24"/>
        </w:rPr>
        <w:t xml:space="preserve"> </w:t>
      </w:r>
      <w:r w:rsidRPr="0031675F">
        <w:rPr>
          <w:b/>
          <w:spacing w:val="-1"/>
          <w:sz w:val="24"/>
        </w:rPr>
        <w:t>(example)</w:t>
      </w:r>
    </w:p>
    <w:p w14:paraId="62BE5DBD" w14:textId="77777777" w:rsidR="0031675F" w:rsidRPr="0031675F" w:rsidRDefault="0031675F" w:rsidP="0031675F">
      <w:pPr>
        <w:rPr>
          <w:rFonts w:eastAsia="Arial" w:cs="Arial"/>
          <w:b/>
          <w:bCs/>
          <w:sz w:val="20"/>
          <w:szCs w:val="20"/>
        </w:rPr>
      </w:pPr>
    </w:p>
    <w:p w14:paraId="3C1EFF77" w14:textId="77777777" w:rsidR="0031675F" w:rsidRPr="0031675F" w:rsidRDefault="0031675F" w:rsidP="0031675F">
      <w:pPr>
        <w:rPr>
          <w:rFonts w:eastAsia="Arial" w:cs="Arial"/>
          <w:b/>
          <w:bCs/>
          <w:sz w:val="27"/>
          <w:szCs w:val="27"/>
        </w:rPr>
      </w:pPr>
    </w:p>
    <w:tbl>
      <w:tblPr>
        <w:tblW w:w="0" w:type="auto"/>
        <w:tblInd w:w="98" w:type="dxa"/>
        <w:tblLayout w:type="fixed"/>
        <w:tblCellMar>
          <w:left w:w="0" w:type="dxa"/>
          <w:right w:w="0" w:type="dxa"/>
        </w:tblCellMar>
        <w:tblLook w:val="01E0" w:firstRow="1" w:lastRow="1" w:firstColumn="1" w:lastColumn="1" w:noHBand="0" w:noVBand="0"/>
      </w:tblPr>
      <w:tblGrid>
        <w:gridCol w:w="591"/>
        <w:gridCol w:w="977"/>
        <w:gridCol w:w="497"/>
        <w:gridCol w:w="626"/>
        <w:gridCol w:w="934"/>
        <w:gridCol w:w="922"/>
        <w:gridCol w:w="710"/>
        <w:gridCol w:w="626"/>
        <w:gridCol w:w="629"/>
        <w:gridCol w:w="759"/>
        <w:gridCol w:w="758"/>
        <w:gridCol w:w="583"/>
        <w:gridCol w:w="684"/>
        <w:gridCol w:w="991"/>
      </w:tblGrid>
      <w:tr w:rsidR="0031675F" w:rsidRPr="0031675F" w14:paraId="7F1A5DC6" w14:textId="77777777" w:rsidTr="00B00729">
        <w:trPr>
          <w:trHeight w:hRule="exact" w:val="389"/>
        </w:trPr>
        <w:tc>
          <w:tcPr>
            <w:tcW w:w="591" w:type="dxa"/>
            <w:tcBorders>
              <w:top w:val="single" w:sz="5" w:space="0" w:color="000000"/>
              <w:left w:val="single" w:sz="5" w:space="0" w:color="000000"/>
              <w:bottom w:val="single" w:sz="5" w:space="0" w:color="000000"/>
              <w:right w:val="single" w:sz="5" w:space="0" w:color="000000"/>
            </w:tcBorders>
          </w:tcPr>
          <w:p w14:paraId="0C3B4FFA"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Code</w:t>
            </w:r>
          </w:p>
        </w:tc>
        <w:tc>
          <w:tcPr>
            <w:tcW w:w="977" w:type="dxa"/>
            <w:tcBorders>
              <w:top w:val="single" w:sz="5" w:space="0" w:color="000000"/>
              <w:left w:val="single" w:sz="5" w:space="0" w:color="000000"/>
              <w:bottom w:val="single" w:sz="5" w:space="0" w:color="000000"/>
              <w:right w:val="single" w:sz="5" w:space="0" w:color="000000"/>
            </w:tcBorders>
          </w:tcPr>
          <w:p w14:paraId="5A77D1D5" w14:textId="77777777" w:rsidR="0031675F" w:rsidRPr="0031675F" w:rsidRDefault="0031675F" w:rsidP="0031675F">
            <w:pPr>
              <w:widowControl w:val="0"/>
              <w:spacing w:before="79" w:after="0" w:line="240" w:lineRule="auto"/>
              <w:ind w:left="306"/>
              <w:rPr>
                <w:rFonts w:ascii="Calibri" w:eastAsia="Calibri" w:hAnsi="Calibri" w:cs="Calibri"/>
                <w:sz w:val="18"/>
                <w:szCs w:val="18"/>
                <w:lang w:val="en-US"/>
              </w:rPr>
            </w:pPr>
            <w:r w:rsidRPr="0031675F">
              <w:rPr>
                <w:rFonts w:ascii="Calibri" w:eastAsia="Calibri" w:hAnsi="Calibri"/>
                <w:spacing w:val="-1"/>
                <w:sz w:val="18"/>
                <w:lang w:val="en-US"/>
              </w:rPr>
              <w:t>Date</w:t>
            </w:r>
          </w:p>
        </w:tc>
        <w:tc>
          <w:tcPr>
            <w:tcW w:w="497" w:type="dxa"/>
            <w:tcBorders>
              <w:top w:val="single" w:sz="5" w:space="0" w:color="000000"/>
              <w:left w:val="single" w:sz="5" w:space="0" w:color="000000"/>
              <w:bottom w:val="single" w:sz="5" w:space="0" w:color="000000"/>
              <w:right w:val="single" w:sz="5" w:space="0" w:color="000000"/>
            </w:tcBorders>
          </w:tcPr>
          <w:p w14:paraId="41B9B211" w14:textId="77777777" w:rsidR="0031675F" w:rsidRPr="0031675F" w:rsidRDefault="0031675F" w:rsidP="0031675F">
            <w:pPr>
              <w:widowControl w:val="0"/>
              <w:spacing w:before="79" w:after="0" w:line="240" w:lineRule="auto"/>
              <w:ind w:left="99"/>
              <w:rPr>
                <w:rFonts w:ascii="Calibri" w:eastAsia="Calibri" w:hAnsi="Calibri" w:cs="Calibri"/>
                <w:sz w:val="18"/>
                <w:szCs w:val="18"/>
                <w:lang w:val="en-US"/>
              </w:rPr>
            </w:pPr>
            <w:r w:rsidRPr="0031675F">
              <w:rPr>
                <w:rFonts w:ascii="Calibri" w:eastAsia="Calibri" w:hAnsi="Calibri"/>
                <w:spacing w:val="-1"/>
                <w:sz w:val="18"/>
                <w:lang w:val="en-US"/>
              </w:rPr>
              <w:t>Rep</w:t>
            </w:r>
          </w:p>
        </w:tc>
        <w:tc>
          <w:tcPr>
            <w:tcW w:w="626" w:type="dxa"/>
            <w:tcBorders>
              <w:top w:val="single" w:sz="5" w:space="0" w:color="000000"/>
              <w:left w:val="single" w:sz="5" w:space="0" w:color="000000"/>
              <w:bottom w:val="single" w:sz="5" w:space="0" w:color="000000"/>
              <w:right w:val="single" w:sz="5" w:space="0" w:color="000000"/>
            </w:tcBorders>
          </w:tcPr>
          <w:p w14:paraId="0BF12047" w14:textId="77777777" w:rsidR="0031675F" w:rsidRPr="0031675F" w:rsidRDefault="0031675F" w:rsidP="0031675F">
            <w:pPr>
              <w:widowControl w:val="0"/>
              <w:spacing w:before="79" w:after="0" w:line="240" w:lineRule="auto"/>
              <w:ind w:left="106"/>
              <w:rPr>
                <w:rFonts w:ascii="Calibri" w:eastAsia="Calibri" w:hAnsi="Calibri" w:cs="Calibri"/>
                <w:sz w:val="18"/>
                <w:szCs w:val="18"/>
                <w:lang w:val="en-US"/>
              </w:rPr>
            </w:pPr>
            <w:r w:rsidRPr="0031675F">
              <w:rPr>
                <w:rFonts w:ascii="Calibri" w:eastAsia="Calibri" w:hAnsi="Calibri"/>
                <w:spacing w:val="-1"/>
                <w:sz w:val="18"/>
                <w:lang w:val="en-US"/>
              </w:rPr>
              <w:t>Blank</w:t>
            </w:r>
          </w:p>
        </w:tc>
        <w:tc>
          <w:tcPr>
            <w:tcW w:w="934" w:type="dxa"/>
            <w:tcBorders>
              <w:top w:val="single" w:sz="5" w:space="0" w:color="000000"/>
              <w:left w:val="single" w:sz="5" w:space="0" w:color="000000"/>
              <w:bottom w:val="single" w:sz="5" w:space="0" w:color="000000"/>
              <w:right w:val="single" w:sz="5" w:space="0" w:color="000000"/>
            </w:tcBorders>
          </w:tcPr>
          <w:p w14:paraId="3C6FFF10" w14:textId="77777777" w:rsidR="0031675F" w:rsidRPr="0031675F" w:rsidRDefault="0031675F" w:rsidP="0031675F">
            <w:pPr>
              <w:widowControl w:val="0"/>
              <w:spacing w:before="79" w:after="0" w:line="240" w:lineRule="auto"/>
              <w:ind w:left="3"/>
              <w:jc w:val="center"/>
              <w:rPr>
                <w:rFonts w:ascii="Calibri" w:eastAsia="Calibri" w:hAnsi="Calibri" w:cs="Calibri"/>
                <w:sz w:val="18"/>
                <w:szCs w:val="18"/>
                <w:lang w:val="en-US"/>
              </w:rPr>
            </w:pPr>
            <w:r w:rsidRPr="0031675F">
              <w:rPr>
                <w:rFonts w:ascii="Calibri" w:eastAsia="Calibri" w:hAnsi="Calibri"/>
                <w:spacing w:val="1"/>
                <w:sz w:val="18"/>
                <w:lang w:val="en-US"/>
              </w:rPr>
              <w:t>Vol</w:t>
            </w:r>
          </w:p>
        </w:tc>
        <w:tc>
          <w:tcPr>
            <w:tcW w:w="922" w:type="dxa"/>
            <w:tcBorders>
              <w:top w:val="single" w:sz="5" w:space="0" w:color="000000"/>
              <w:left w:val="single" w:sz="5" w:space="0" w:color="000000"/>
              <w:bottom w:val="single" w:sz="5" w:space="0" w:color="000000"/>
              <w:right w:val="single" w:sz="5" w:space="0" w:color="000000"/>
            </w:tcBorders>
          </w:tcPr>
          <w:p w14:paraId="2F98D64A" w14:textId="77777777" w:rsidR="0031675F" w:rsidRPr="0031675F" w:rsidRDefault="0031675F" w:rsidP="0031675F">
            <w:pPr>
              <w:widowControl w:val="0"/>
              <w:spacing w:before="79" w:after="0" w:line="240" w:lineRule="auto"/>
              <w:ind w:left="181"/>
              <w:rPr>
                <w:rFonts w:ascii="Calibri" w:eastAsia="Calibri" w:hAnsi="Calibri" w:cs="Calibri"/>
                <w:sz w:val="18"/>
                <w:szCs w:val="18"/>
                <w:lang w:val="en-US"/>
              </w:rPr>
            </w:pPr>
            <w:r w:rsidRPr="0031675F">
              <w:rPr>
                <w:rFonts w:ascii="Calibri" w:eastAsia="Calibri" w:hAnsi="Calibri"/>
                <w:spacing w:val="-1"/>
                <w:sz w:val="18"/>
                <w:lang w:val="en-US"/>
              </w:rPr>
              <w:t>volume</w:t>
            </w:r>
          </w:p>
        </w:tc>
        <w:tc>
          <w:tcPr>
            <w:tcW w:w="710" w:type="dxa"/>
            <w:tcBorders>
              <w:top w:val="single" w:sz="5" w:space="0" w:color="000000"/>
              <w:left w:val="single" w:sz="5" w:space="0" w:color="000000"/>
              <w:bottom w:val="single" w:sz="5" w:space="0" w:color="000000"/>
              <w:right w:val="single" w:sz="5" w:space="0" w:color="000000"/>
            </w:tcBorders>
          </w:tcPr>
          <w:p w14:paraId="1561A7AE" w14:textId="77777777" w:rsidR="0031675F" w:rsidRPr="0031675F" w:rsidRDefault="0031675F" w:rsidP="0031675F">
            <w:pPr>
              <w:widowControl w:val="0"/>
              <w:spacing w:before="79" w:after="0" w:line="240" w:lineRule="auto"/>
              <w:ind w:left="166"/>
              <w:rPr>
                <w:rFonts w:ascii="Calibri" w:eastAsia="Calibri" w:hAnsi="Calibri" w:cs="Calibri"/>
                <w:sz w:val="18"/>
                <w:szCs w:val="18"/>
                <w:lang w:val="en-US"/>
              </w:rPr>
            </w:pPr>
            <w:r w:rsidRPr="0031675F">
              <w:rPr>
                <w:rFonts w:ascii="Calibri" w:eastAsia="Calibri" w:hAnsi="Calibri"/>
                <w:spacing w:val="-1"/>
                <w:sz w:val="18"/>
                <w:lang w:val="en-US"/>
              </w:rPr>
              <w:t>Calib</w:t>
            </w:r>
          </w:p>
        </w:tc>
        <w:tc>
          <w:tcPr>
            <w:tcW w:w="626" w:type="dxa"/>
            <w:tcBorders>
              <w:top w:val="single" w:sz="5" w:space="0" w:color="000000"/>
              <w:left w:val="single" w:sz="5" w:space="0" w:color="000000"/>
              <w:bottom w:val="single" w:sz="5" w:space="0" w:color="000000"/>
              <w:right w:val="single" w:sz="5" w:space="0" w:color="000000"/>
            </w:tcBorders>
          </w:tcPr>
          <w:p w14:paraId="5E6A8D09" w14:textId="77777777" w:rsidR="0031675F" w:rsidRPr="0031675F" w:rsidRDefault="0031675F" w:rsidP="0031675F">
            <w:pPr>
              <w:widowControl w:val="0"/>
              <w:spacing w:before="79" w:after="0" w:line="240" w:lineRule="auto"/>
              <w:ind w:right="2"/>
              <w:jc w:val="center"/>
              <w:rPr>
                <w:rFonts w:ascii="Calibri" w:eastAsia="Calibri" w:hAnsi="Calibri" w:cs="Calibri"/>
                <w:sz w:val="18"/>
                <w:szCs w:val="18"/>
                <w:lang w:val="en-US"/>
              </w:rPr>
            </w:pPr>
            <w:r w:rsidRPr="0031675F">
              <w:rPr>
                <w:rFonts w:ascii="Calibri" w:eastAsia="Calibri" w:hAnsi="Calibri"/>
                <w:spacing w:val="-2"/>
                <w:sz w:val="18"/>
                <w:lang w:val="en-US"/>
              </w:rPr>
              <w:t>Fo</w:t>
            </w:r>
          </w:p>
        </w:tc>
        <w:tc>
          <w:tcPr>
            <w:tcW w:w="629" w:type="dxa"/>
            <w:tcBorders>
              <w:top w:val="single" w:sz="5" w:space="0" w:color="000000"/>
              <w:left w:val="single" w:sz="5" w:space="0" w:color="000000"/>
              <w:bottom w:val="single" w:sz="5" w:space="0" w:color="000000"/>
              <w:right w:val="single" w:sz="5" w:space="0" w:color="000000"/>
            </w:tcBorders>
          </w:tcPr>
          <w:p w14:paraId="38B16F68" w14:textId="77777777" w:rsidR="0031675F" w:rsidRPr="0031675F" w:rsidRDefault="0031675F" w:rsidP="0031675F">
            <w:pPr>
              <w:widowControl w:val="0"/>
              <w:spacing w:before="79" w:after="0" w:line="240" w:lineRule="auto"/>
              <w:ind w:right="4"/>
              <w:jc w:val="center"/>
              <w:rPr>
                <w:rFonts w:ascii="Calibri" w:eastAsia="Calibri" w:hAnsi="Calibri" w:cs="Calibri"/>
                <w:sz w:val="18"/>
                <w:szCs w:val="18"/>
                <w:lang w:val="en-US"/>
              </w:rPr>
            </w:pPr>
            <w:r w:rsidRPr="0031675F">
              <w:rPr>
                <w:rFonts w:ascii="Calibri" w:eastAsia="Calibri" w:hAnsi="Calibri"/>
                <w:spacing w:val="-2"/>
                <w:sz w:val="18"/>
                <w:lang w:val="en-US"/>
              </w:rPr>
              <w:t>Fa</w:t>
            </w:r>
          </w:p>
        </w:tc>
        <w:tc>
          <w:tcPr>
            <w:tcW w:w="759" w:type="dxa"/>
            <w:tcBorders>
              <w:top w:val="single" w:sz="5" w:space="0" w:color="000000"/>
              <w:left w:val="single" w:sz="5" w:space="0" w:color="000000"/>
              <w:bottom w:val="single" w:sz="5" w:space="0" w:color="000000"/>
              <w:right w:val="single" w:sz="5" w:space="0" w:color="000000"/>
            </w:tcBorders>
          </w:tcPr>
          <w:p w14:paraId="0A0BBA28" w14:textId="77777777" w:rsidR="0031675F" w:rsidRPr="0031675F" w:rsidRDefault="0031675F" w:rsidP="0031675F">
            <w:pPr>
              <w:widowControl w:val="0"/>
              <w:spacing w:before="79" w:after="0" w:line="240" w:lineRule="auto"/>
              <w:ind w:left="99"/>
              <w:rPr>
                <w:rFonts w:ascii="Calibri" w:eastAsia="Calibri" w:hAnsi="Calibri" w:cs="Calibri"/>
                <w:sz w:val="18"/>
                <w:szCs w:val="18"/>
                <w:lang w:val="en-US"/>
              </w:rPr>
            </w:pPr>
            <w:r w:rsidRPr="0031675F">
              <w:rPr>
                <w:rFonts w:ascii="Calibri" w:eastAsia="Calibri" w:hAnsi="Calibri"/>
                <w:spacing w:val="-1"/>
                <w:sz w:val="18"/>
                <w:lang w:val="en-US"/>
              </w:rPr>
              <w:t>Correct</w:t>
            </w:r>
          </w:p>
        </w:tc>
        <w:tc>
          <w:tcPr>
            <w:tcW w:w="758" w:type="dxa"/>
            <w:tcBorders>
              <w:top w:val="single" w:sz="5" w:space="0" w:color="000000"/>
              <w:left w:val="single" w:sz="5" w:space="0" w:color="000000"/>
              <w:bottom w:val="single" w:sz="5" w:space="0" w:color="000000"/>
              <w:right w:val="single" w:sz="5" w:space="0" w:color="000000"/>
            </w:tcBorders>
          </w:tcPr>
          <w:p w14:paraId="7EF14E0B"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Correct</w:t>
            </w:r>
          </w:p>
        </w:tc>
        <w:tc>
          <w:tcPr>
            <w:tcW w:w="583" w:type="dxa"/>
            <w:tcBorders>
              <w:top w:val="single" w:sz="5" w:space="0" w:color="000000"/>
              <w:left w:val="single" w:sz="5" w:space="0" w:color="000000"/>
              <w:bottom w:val="single" w:sz="5" w:space="0" w:color="000000"/>
              <w:right w:val="single" w:sz="5" w:space="0" w:color="000000"/>
            </w:tcBorders>
          </w:tcPr>
          <w:p w14:paraId="0A4C0113" w14:textId="626B28E7" w:rsidR="0031675F" w:rsidRPr="006B5965" w:rsidRDefault="006B5965" w:rsidP="0031675F">
            <w:pPr>
              <w:widowControl w:val="0"/>
              <w:spacing w:before="79" w:after="0" w:line="240" w:lineRule="auto"/>
              <w:ind w:left="102"/>
              <w:rPr>
                <w:rFonts w:asciiTheme="minorHAnsi" w:eastAsia="Calibri" w:hAnsiTheme="minorHAnsi" w:cstheme="minorHAnsi"/>
                <w:sz w:val="18"/>
                <w:szCs w:val="18"/>
                <w:lang w:val="en-US"/>
              </w:rPr>
            </w:pPr>
            <w:r w:rsidRPr="006B5965">
              <w:rPr>
                <w:rFonts w:asciiTheme="minorHAnsi" w:hAnsiTheme="minorHAnsi" w:cstheme="minorHAnsi"/>
                <w:sz w:val="18"/>
                <w:szCs w:val="18"/>
              </w:rPr>
              <w:t>Chl-</w:t>
            </w:r>
            <w:r w:rsidRPr="006B5965">
              <w:rPr>
                <w:rFonts w:asciiTheme="minorHAnsi" w:hAnsiTheme="minorHAnsi" w:cstheme="minorHAnsi"/>
                <w:i/>
                <w:sz w:val="18"/>
                <w:szCs w:val="18"/>
              </w:rPr>
              <w:t>a</w:t>
            </w:r>
          </w:p>
        </w:tc>
        <w:tc>
          <w:tcPr>
            <w:tcW w:w="684" w:type="dxa"/>
            <w:tcBorders>
              <w:top w:val="single" w:sz="5" w:space="0" w:color="000000"/>
              <w:left w:val="single" w:sz="5" w:space="0" w:color="000000"/>
              <w:bottom w:val="single" w:sz="5" w:space="0" w:color="000000"/>
              <w:right w:val="single" w:sz="5" w:space="0" w:color="000000"/>
            </w:tcBorders>
          </w:tcPr>
          <w:p w14:paraId="20D1D9CC" w14:textId="77777777" w:rsidR="0031675F" w:rsidRPr="0031675F" w:rsidRDefault="0031675F" w:rsidP="0031675F">
            <w:pPr>
              <w:widowControl w:val="0"/>
              <w:spacing w:before="79" w:after="0" w:line="240" w:lineRule="auto"/>
              <w:ind w:left="99"/>
              <w:rPr>
                <w:rFonts w:ascii="Calibri" w:eastAsia="Calibri" w:hAnsi="Calibri" w:cs="Calibri"/>
                <w:sz w:val="18"/>
                <w:szCs w:val="18"/>
                <w:lang w:val="en-US"/>
              </w:rPr>
            </w:pPr>
            <w:r w:rsidRPr="0031675F">
              <w:rPr>
                <w:rFonts w:ascii="Calibri" w:eastAsia="Calibri" w:hAnsi="Calibri"/>
                <w:b/>
                <w:spacing w:val="-1"/>
                <w:sz w:val="18"/>
                <w:lang w:val="en-US"/>
              </w:rPr>
              <w:t>Phaeo</w:t>
            </w:r>
          </w:p>
        </w:tc>
        <w:tc>
          <w:tcPr>
            <w:tcW w:w="991" w:type="dxa"/>
            <w:tcBorders>
              <w:top w:val="single" w:sz="5" w:space="0" w:color="000000"/>
              <w:left w:val="single" w:sz="5" w:space="0" w:color="000000"/>
              <w:bottom w:val="single" w:sz="5" w:space="0" w:color="000000"/>
              <w:right w:val="single" w:sz="5" w:space="0" w:color="000000"/>
            </w:tcBorders>
          </w:tcPr>
          <w:p w14:paraId="2D9D1AD0"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comments</w:t>
            </w:r>
          </w:p>
        </w:tc>
      </w:tr>
      <w:tr w:rsidR="0031675F" w:rsidRPr="0031675F" w14:paraId="62EADB77" w14:textId="77777777" w:rsidTr="00B00729">
        <w:trPr>
          <w:trHeight w:hRule="exact" w:val="389"/>
        </w:trPr>
        <w:tc>
          <w:tcPr>
            <w:tcW w:w="591" w:type="dxa"/>
            <w:tcBorders>
              <w:top w:val="single" w:sz="5" w:space="0" w:color="000000"/>
              <w:left w:val="single" w:sz="5" w:space="0" w:color="000000"/>
              <w:bottom w:val="single" w:sz="5" w:space="0" w:color="000000"/>
              <w:right w:val="single" w:sz="5" w:space="0" w:color="000000"/>
            </w:tcBorders>
          </w:tcPr>
          <w:p w14:paraId="318C6852" w14:textId="77777777" w:rsidR="0031675F" w:rsidRPr="0031675F" w:rsidRDefault="0031675F" w:rsidP="0031675F"/>
        </w:tc>
        <w:tc>
          <w:tcPr>
            <w:tcW w:w="977" w:type="dxa"/>
            <w:tcBorders>
              <w:top w:val="single" w:sz="5" w:space="0" w:color="000000"/>
              <w:left w:val="single" w:sz="5" w:space="0" w:color="000000"/>
              <w:bottom w:val="single" w:sz="5" w:space="0" w:color="000000"/>
              <w:right w:val="single" w:sz="5" w:space="0" w:color="000000"/>
            </w:tcBorders>
          </w:tcPr>
          <w:p w14:paraId="728AE123" w14:textId="77777777" w:rsidR="0031675F" w:rsidRPr="0031675F" w:rsidRDefault="0031675F" w:rsidP="0031675F">
            <w:pPr>
              <w:widowControl w:val="0"/>
              <w:spacing w:before="79" w:after="0" w:line="240" w:lineRule="auto"/>
              <w:ind w:left="159"/>
              <w:rPr>
                <w:rFonts w:ascii="Calibri" w:eastAsia="Calibri" w:hAnsi="Calibri" w:cs="Calibri"/>
                <w:sz w:val="18"/>
                <w:szCs w:val="18"/>
                <w:lang w:val="en-US"/>
              </w:rPr>
            </w:pPr>
            <w:r w:rsidRPr="0031675F">
              <w:rPr>
                <w:rFonts w:ascii="Calibri" w:eastAsia="Calibri" w:hAnsi="Calibri"/>
                <w:spacing w:val="-1"/>
                <w:sz w:val="18"/>
                <w:lang w:val="en-US"/>
              </w:rPr>
              <w:t>analysed</w:t>
            </w:r>
          </w:p>
        </w:tc>
        <w:tc>
          <w:tcPr>
            <w:tcW w:w="497" w:type="dxa"/>
            <w:tcBorders>
              <w:top w:val="single" w:sz="5" w:space="0" w:color="000000"/>
              <w:left w:val="single" w:sz="5" w:space="0" w:color="000000"/>
              <w:bottom w:val="single" w:sz="5" w:space="0" w:color="000000"/>
              <w:right w:val="single" w:sz="5" w:space="0" w:color="000000"/>
            </w:tcBorders>
          </w:tcPr>
          <w:p w14:paraId="54EBE344" w14:textId="77777777" w:rsidR="0031675F" w:rsidRPr="0031675F" w:rsidRDefault="0031675F" w:rsidP="0031675F"/>
        </w:tc>
        <w:tc>
          <w:tcPr>
            <w:tcW w:w="626" w:type="dxa"/>
            <w:tcBorders>
              <w:top w:val="single" w:sz="5" w:space="0" w:color="000000"/>
              <w:left w:val="single" w:sz="5" w:space="0" w:color="000000"/>
              <w:bottom w:val="single" w:sz="5" w:space="0" w:color="000000"/>
              <w:right w:val="single" w:sz="5" w:space="0" w:color="000000"/>
            </w:tcBorders>
          </w:tcPr>
          <w:p w14:paraId="787A82BD" w14:textId="77777777" w:rsidR="0031675F" w:rsidRPr="0031675F" w:rsidRDefault="0031675F" w:rsidP="0031675F"/>
        </w:tc>
        <w:tc>
          <w:tcPr>
            <w:tcW w:w="934" w:type="dxa"/>
            <w:tcBorders>
              <w:top w:val="single" w:sz="5" w:space="0" w:color="000000"/>
              <w:left w:val="single" w:sz="5" w:space="0" w:color="000000"/>
              <w:bottom w:val="single" w:sz="5" w:space="0" w:color="000000"/>
              <w:right w:val="single" w:sz="5" w:space="0" w:color="000000"/>
            </w:tcBorders>
          </w:tcPr>
          <w:p w14:paraId="0EF6811A"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z w:val="18"/>
                <w:lang w:val="en-US"/>
              </w:rPr>
              <w:t>of</w:t>
            </w:r>
            <w:r w:rsidRPr="0031675F">
              <w:rPr>
                <w:rFonts w:ascii="Calibri" w:eastAsia="Calibri" w:hAnsi="Calibri"/>
                <w:spacing w:val="-2"/>
                <w:sz w:val="18"/>
                <w:lang w:val="en-US"/>
              </w:rPr>
              <w:t xml:space="preserve"> </w:t>
            </w:r>
            <w:r w:rsidRPr="0031675F">
              <w:rPr>
                <w:rFonts w:ascii="Calibri" w:eastAsia="Calibri" w:hAnsi="Calibri"/>
                <w:spacing w:val="-1"/>
                <w:sz w:val="18"/>
                <w:lang w:val="en-US"/>
              </w:rPr>
              <w:t>sample</w:t>
            </w:r>
          </w:p>
        </w:tc>
        <w:tc>
          <w:tcPr>
            <w:tcW w:w="922" w:type="dxa"/>
            <w:tcBorders>
              <w:top w:val="single" w:sz="5" w:space="0" w:color="000000"/>
              <w:left w:val="single" w:sz="5" w:space="0" w:color="000000"/>
              <w:bottom w:val="single" w:sz="5" w:space="0" w:color="000000"/>
              <w:right w:val="single" w:sz="5" w:space="0" w:color="000000"/>
            </w:tcBorders>
          </w:tcPr>
          <w:p w14:paraId="21C3806A"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z w:val="18"/>
                <w:lang w:val="en-US"/>
              </w:rPr>
              <w:t>of</w:t>
            </w:r>
            <w:r w:rsidRPr="0031675F">
              <w:rPr>
                <w:rFonts w:ascii="Calibri" w:eastAsia="Calibri" w:hAnsi="Calibri"/>
                <w:spacing w:val="-5"/>
                <w:sz w:val="18"/>
                <w:lang w:val="en-US"/>
              </w:rPr>
              <w:t xml:space="preserve"> </w:t>
            </w:r>
            <w:r w:rsidRPr="0031675F">
              <w:rPr>
                <w:rFonts w:ascii="Calibri" w:eastAsia="Calibri" w:hAnsi="Calibri"/>
                <w:spacing w:val="-1"/>
                <w:sz w:val="18"/>
                <w:lang w:val="en-US"/>
              </w:rPr>
              <w:t>extract</w:t>
            </w:r>
          </w:p>
        </w:tc>
        <w:tc>
          <w:tcPr>
            <w:tcW w:w="710" w:type="dxa"/>
            <w:tcBorders>
              <w:top w:val="single" w:sz="5" w:space="0" w:color="000000"/>
              <w:left w:val="single" w:sz="5" w:space="0" w:color="000000"/>
              <w:bottom w:val="single" w:sz="5" w:space="0" w:color="000000"/>
              <w:right w:val="single" w:sz="5" w:space="0" w:color="000000"/>
            </w:tcBorders>
          </w:tcPr>
          <w:p w14:paraId="64221E4C" w14:textId="77777777" w:rsidR="0031675F" w:rsidRPr="0031675F" w:rsidRDefault="0031675F" w:rsidP="0031675F">
            <w:pPr>
              <w:widowControl w:val="0"/>
              <w:spacing w:before="79" w:after="0" w:line="240" w:lineRule="auto"/>
              <w:ind w:left="250"/>
              <w:rPr>
                <w:rFonts w:ascii="Calibri" w:eastAsia="Calibri" w:hAnsi="Calibri" w:cs="Calibri"/>
                <w:sz w:val="18"/>
                <w:szCs w:val="18"/>
                <w:lang w:val="en-US"/>
              </w:rPr>
            </w:pPr>
            <w:r w:rsidRPr="0031675F">
              <w:rPr>
                <w:rFonts w:ascii="Calibri" w:eastAsia="Calibri" w:hAnsi="Calibri"/>
                <w:spacing w:val="-1"/>
                <w:sz w:val="18"/>
                <w:lang w:val="en-US"/>
              </w:rPr>
              <w:t>no.</w:t>
            </w:r>
          </w:p>
        </w:tc>
        <w:tc>
          <w:tcPr>
            <w:tcW w:w="626" w:type="dxa"/>
            <w:tcBorders>
              <w:top w:val="single" w:sz="5" w:space="0" w:color="000000"/>
              <w:left w:val="single" w:sz="5" w:space="0" w:color="000000"/>
              <w:bottom w:val="single" w:sz="5" w:space="0" w:color="000000"/>
              <w:right w:val="single" w:sz="5" w:space="0" w:color="000000"/>
            </w:tcBorders>
          </w:tcPr>
          <w:p w14:paraId="0BF147DE" w14:textId="77777777" w:rsidR="0031675F" w:rsidRPr="0031675F" w:rsidRDefault="0031675F" w:rsidP="0031675F"/>
        </w:tc>
        <w:tc>
          <w:tcPr>
            <w:tcW w:w="629" w:type="dxa"/>
            <w:tcBorders>
              <w:top w:val="single" w:sz="5" w:space="0" w:color="000000"/>
              <w:left w:val="single" w:sz="5" w:space="0" w:color="000000"/>
              <w:bottom w:val="single" w:sz="5" w:space="0" w:color="000000"/>
              <w:right w:val="single" w:sz="5" w:space="0" w:color="000000"/>
            </w:tcBorders>
          </w:tcPr>
          <w:p w14:paraId="425EC599" w14:textId="77777777" w:rsidR="0031675F" w:rsidRPr="0031675F" w:rsidRDefault="0031675F" w:rsidP="0031675F"/>
        </w:tc>
        <w:tc>
          <w:tcPr>
            <w:tcW w:w="759" w:type="dxa"/>
            <w:tcBorders>
              <w:top w:val="single" w:sz="5" w:space="0" w:color="000000"/>
              <w:left w:val="single" w:sz="5" w:space="0" w:color="000000"/>
              <w:bottom w:val="single" w:sz="5" w:space="0" w:color="000000"/>
              <w:right w:val="single" w:sz="5" w:space="0" w:color="000000"/>
            </w:tcBorders>
          </w:tcPr>
          <w:p w14:paraId="48CF5007" w14:textId="77777777" w:rsidR="0031675F" w:rsidRPr="0031675F" w:rsidRDefault="0031675F" w:rsidP="0031675F">
            <w:pPr>
              <w:widowControl w:val="0"/>
              <w:spacing w:before="79" w:after="0" w:line="240" w:lineRule="auto"/>
              <w:ind w:right="5"/>
              <w:jc w:val="center"/>
              <w:rPr>
                <w:rFonts w:ascii="Calibri" w:eastAsia="Calibri" w:hAnsi="Calibri" w:cs="Calibri"/>
                <w:sz w:val="18"/>
                <w:szCs w:val="18"/>
                <w:lang w:val="en-US"/>
              </w:rPr>
            </w:pPr>
            <w:r w:rsidRPr="0031675F">
              <w:rPr>
                <w:rFonts w:ascii="Calibri" w:eastAsia="Calibri" w:hAnsi="Calibri"/>
                <w:spacing w:val="-2"/>
                <w:sz w:val="18"/>
                <w:lang w:val="en-US"/>
              </w:rPr>
              <w:t>Fo</w:t>
            </w:r>
          </w:p>
        </w:tc>
        <w:tc>
          <w:tcPr>
            <w:tcW w:w="758" w:type="dxa"/>
            <w:tcBorders>
              <w:top w:val="single" w:sz="5" w:space="0" w:color="000000"/>
              <w:left w:val="single" w:sz="5" w:space="0" w:color="000000"/>
              <w:bottom w:val="single" w:sz="5" w:space="0" w:color="000000"/>
              <w:right w:val="single" w:sz="5" w:space="0" w:color="000000"/>
            </w:tcBorders>
          </w:tcPr>
          <w:p w14:paraId="543E0764" w14:textId="77777777" w:rsidR="0031675F" w:rsidRPr="0031675F" w:rsidRDefault="0031675F" w:rsidP="0031675F">
            <w:pPr>
              <w:widowControl w:val="0"/>
              <w:spacing w:before="79" w:after="0" w:line="240" w:lineRule="auto"/>
              <w:ind w:right="1"/>
              <w:jc w:val="center"/>
              <w:rPr>
                <w:rFonts w:ascii="Calibri" w:eastAsia="Calibri" w:hAnsi="Calibri" w:cs="Calibri"/>
                <w:sz w:val="18"/>
                <w:szCs w:val="18"/>
                <w:lang w:val="en-US"/>
              </w:rPr>
            </w:pPr>
            <w:r w:rsidRPr="0031675F">
              <w:rPr>
                <w:rFonts w:ascii="Calibri" w:eastAsia="Calibri" w:hAnsi="Calibri"/>
                <w:spacing w:val="-2"/>
                <w:sz w:val="18"/>
                <w:lang w:val="en-US"/>
              </w:rPr>
              <w:t>Fa</w:t>
            </w:r>
          </w:p>
        </w:tc>
        <w:tc>
          <w:tcPr>
            <w:tcW w:w="583" w:type="dxa"/>
            <w:tcBorders>
              <w:top w:val="single" w:sz="5" w:space="0" w:color="000000"/>
              <w:left w:val="single" w:sz="5" w:space="0" w:color="000000"/>
              <w:bottom w:val="single" w:sz="5" w:space="0" w:color="000000"/>
              <w:right w:val="single" w:sz="5" w:space="0" w:color="000000"/>
            </w:tcBorders>
          </w:tcPr>
          <w:p w14:paraId="6AAE61EA" w14:textId="77777777" w:rsidR="0031675F" w:rsidRPr="0031675F" w:rsidRDefault="0031675F" w:rsidP="0031675F">
            <w:pPr>
              <w:widowControl w:val="0"/>
              <w:spacing w:before="79" w:after="0" w:line="240" w:lineRule="auto"/>
              <w:ind w:left="133"/>
              <w:rPr>
                <w:rFonts w:ascii="Calibri" w:eastAsia="Calibri" w:hAnsi="Calibri" w:cs="Calibri"/>
                <w:sz w:val="18"/>
                <w:szCs w:val="18"/>
                <w:lang w:val="en-US"/>
              </w:rPr>
            </w:pPr>
            <w:r w:rsidRPr="0031675F">
              <w:rPr>
                <w:rFonts w:ascii="Calibri" w:eastAsia="Calibri" w:hAnsi="Calibri"/>
                <w:b/>
                <w:spacing w:val="-1"/>
                <w:sz w:val="18"/>
                <w:lang w:val="en-US"/>
              </w:rPr>
              <w:t>ug/l</w:t>
            </w:r>
          </w:p>
        </w:tc>
        <w:tc>
          <w:tcPr>
            <w:tcW w:w="684" w:type="dxa"/>
            <w:tcBorders>
              <w:top w:val="single" w:sz="5" w:space="0" w:color="000000"/>
              <w:left w:val="single" w:sz="5" w:space="0" w:color="000000"/>
              <w:bottom w:val="single" w:sz="5" w:space="0" w:color="000000"/>
              <w:right w:val="single" w:sz="5" w:space="0" w:color="000000"/>
            </w:tcBorders>
          </w:tcPr>
          <w:p w14:paraId="3EEF3F00" w14:textId="77777777" w:rsidR="0031675F" w:rsidRPr="0031675F" w:rsidRDefault="0031675F" w:rsidP="0031675F">
            <w:pPr>
              <w:widowControl w:val="0"/>
              <w:spacing w:before="79" w:after="0" w:line="240" w:lineRule="auto"/>
              <w:ind w:left="181"/>
              <w:rPr>
                <w:rFonts w:ascii="Calibri" w:eastAsia="Calibri" w:hAnsi="Calibri" w:cs="Calibri"/>
                <w:sz w:val="18"/>
                <w:szCs w:val="18"/>
                <w:lang w:val="en-US"/>
              </w:rPr>
            </w:pPr>
            <w:r w:rsidRPr="0031675F">
              <w:rPr>
                <w:rFonts w:ascii="Calibri" w:eastAsia="Calibri" w:hAnsi="Calibri"/>
                <w:b/>
                <w:spacing w:val="-1"/>
                <w:sz w:val="18"/>
                <w:lang w:val="en-US"/>
              </w:rPr>
              <w:t>ug/l</w:t>
            </w:r>
          </w:p>
        </w:tc>
        <w:tc>
          <w:tcPr>
            <w:tcW w:w="991" w:type="dxa"/>
            <w:tcBorders>
              <w:top w:val="single" w:sz="5" w:space="0" w:color="000000"/>
              <w:left w:val="single" w:sz="5" w:space="0" w:color="000000"/>
              <w:bottom w:val="single" w:sz="5" w:space="0" w:color="000000"/>
              <w:right w:val="single" w:sz="5" w:space="0" w:color="000000"/>
            </w:tcBorders>
          </w:tcPr>
          <w:p w14:paraId="7B50B98A" w14:textId="77777777" w:rsidR="0031675F" w:rsidRPr="0031675F" w:rsidRDefault="0031675F" w:rsidP="0031675F"/>
        </w:tc>
      </w:tr>
      <w:tr w:rsidR="0031675F" w:rsidRPr="0031675F" w14:paraId="588924F9" w14:textId="77777777" w:rsidTr="00B00729">
        <w:trPr>
          <w:trHeight w:hRule="exact" w:val="391"/>
        </w:trPr>
        <w:tc>
          <w:tcPr>
            <w:tcW w:w="591" w:type="dxa"/>
            <w:tcBorders>
              <w:top w:val="single" w:sz="5" w:space="0" w:color="000000"/>
              <w:left w:val="single" w:sz="5" w:space="0" w:color="000000"/>
              <w:bottom w:val="single" w:sz="5" w:space="0" w:color="000000"/>
              <w:right w:val="single" w:sz="5" w:space="0" w:color="000000"/>
            </w:tcBorders>
          </w:tcPr>
          <w:p w14:paraId="66F259A4" w14:textId="77777777" w:rsidR="0031675F" w:rsidRPr="0031675F" w:rsidRDefault="0031675F" w:rsidP="0031675F">
            <w:pPr>
              <w:widowControl w:val="0"/>
              <w:spacing w:before="82"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std</w:t>
            </w:r>
          </w:p>
        </w:tc>
        <w:tc>
          <w:tcPr>
            <w:tcW w:w="977" w:type="dxa"/>
            <w:tcBorders>
              <w:top w:val="single" w:sz="5" w:space="0" w:color="000000"/>
              <w:left w:val="single" w:sz="5" w:space="0" w:color="000000"/>
              <w:bottom w:val="single" w:sz="5" w:space="0" w:color="000000"/>
              <w:right w:val="single" w:sz="5" w:space="0" w:color="000000"/>
            </w:tcBorders>
          </w:tcPr>
          <w:p w14:paraId="7A65DA9E" w14:textId="77777777" w:rsidR="0031675F" w:rsidRPr="0031675F" w:rsidRDefault="0031675F" w:rsidP="0031675F">
            <w:pPr>
              <w:widowControl w:val="0"/>
              <w:spacing w:before="82" w:after="0" w:line="240" w:lineRule="auto"/>
              <w:ind w:left="130"/>
              <w:rPr>
                <w:rFonts w:ascii="Calibri" w:eastAsia="Calibri" w:hAnsi="Calibri" w:cs="Calibri"/>
                <w:sz w:val="18"/>
                <w:szCs w:val="18"/>
                <w:lang w:val="en-US"/>
              </w:rPr>
            </w:pPr>
            <w:r w:rsidRPr="0031675F">
              <w:rPr>
                <w:rFonts w:ascii="Calibri" w:eastAsia="Calibri" w:hAnsi="Calibri"/>
                <w:spacing w:val="-1"/>
                <w:sz w:val="18"/>
                <w:lang w:val="en-US"/>
              </w:rPr>
              <w:t>01-Oct-03</w:t>
            </w:r>
          </w:p>
        </w:tc>
        <w:tc>
          <w:tcPr>
            <w:tcW w:w="497" w:type="dxa"/>
            <w:tcBorders>
              <w:top w:val="single" w:sz="5" w:space="0" w:color="000000"/>
              <w:left w:val="single" w:sz="5" w:space="0" w:color="000000"/>
              <w:bottom w:val="single" w:sz="5" w:space="0" w:color="000000"/>
              <w:right w:val="single" w:sz="5" w:space="0" w:color="000000"/>
            </w:tcBorders>
          </w:tcPr>
          <w:p w14:paraId="3080CAC6" w14:textId="77777777" w:rsidR="0031675F" w:rsidRPr="0031675F" w:rsidRDefault="0031675F" w:rsidP="0031675F">
            <w:pPr>
              <w:widowControl w:val="0"/>
              <w:spacing w:before="82" w:after="0" w:line="240" w:lineRule="auto"/>
              <w:ind w:left="291"/>
              <w:rPr>
                <w:rFonts w:ascii="Calibri" w:eastAsia="Calibri" w:hAnsi="Calibri" w:cs="Calibri"/>
                <w:sz w:val="18"/>
                <w:szCs w:val="18"/>
                <w:lang w:val="en-US"/>
              </w:rPr>
            </w:pPr>
            <w:r w:rsidRPr="0031675F">
              <w:rPr>
                <w:rFonts w:ascii="Calibri" w:eastAsia="Calibri" w:hAnsi="Calibri"/>
                <w:sz w:val="18"/>
                <w:lang w:val="en-US"/>
              </w:rPr>
              <w:t>1</w:t>
            </w:r>
          </w:p>
        </w:tc>
        <w:tc>
          <w:tcPr>
            <w:tcW w:w="626" w:type="dxa"/>
            <w:tcBorders>
              <w:top w:val="single" w:sz="5" w:space="0" w:color="000000"/>
              <w:left w:val="single" w:sz="5" w:space="0" w:color="000000"/>
              <w:bottom w:val="single" w:sz="5" w:space="0" w:color="000000"/>
              <w:right w:val="single" w:sz="5" w:space="0" w:color="000000"/>
            </w:tcBorders>
          </w:tcPr>
          <w:p w14:paraId="57EFCCA5" w14:textId="77777777" w:rsidR="0031675F" w:rsidRPr="0031675F" w:rsidRDefault="0031675F" w:rsidP="0031675F">
            <w:pPr>
              <w:widowControl w:val="0"/>
              <w:spacing w:before="82" w:after="0" w:line="240" w:lineRule="auto"/>
              <w:ind w:left="102"/>
              <w:rPr>
                <w:rFonts w:ascii="Calibri" w:eastAsia="Calibri" w:hAnsi="Calibri" w:cs="Calibri"/>
                <w:sz w:val="18"/>
                <w:szCs w:val="18"/>
                <w:lang w:val="en-US"/>
              </w:rPr>
            </w:pPr>
            <w:r w:rsidRPr="0031675F">
              <w:rPr>
                <w:rFonts w:ascii="Calibri" w:eastAsia="Calibri" w:hAnsi="Calibri"/>
                <w:sz w:val="18"/>
                <w:lang w:val="en-US"/>
              </w:rPr>
              <w:t>0.034</w:t>
            </w:r>
          </w:p>
        </w:tc>
        <w:tc>
          <w:tcPr>
            <w:tcW w:w="934" w:type="dxa"/>
            <w:tcBorders>
              <w:top w:val="single" w:sz="5" w:space="0" w:color="000000"/>
              <w:left w:val="single" w:sz="5" w:space="0" w:color="000000"/>
              <w:bottom w:val="single" w:sz="5" w:space="0" w:color="000000"/>
              <w:right w:val="single" w:sz="5" w:space="0" w:color="000000"/>
            </w:tcBorders>
          </w:tcPr>
          <w:p w14:paraId="258AB10E" w14:textId="77777777" w:rsidR="0031675F" w:rsidRPr="0031675F" w:rsidRDefault="0031675F" w:rsidP="0031675F">
            <w:pPr>
              <w:widowControl w:val="0"/>
              <w:spacing w:before="82" w:after="0" w:line="240" w:lineRule="auto"/>
              <w:ind w:right="100"/>
              <w:jc w:val="right"/>
              <w:rPr>
                <w:rFonts w:ascii="Calibri" w:eastAsia="Calibri" w:hAnsi="Calibri" w:cs="Calibri"/>
                <w:sz w:val="18"/>
                <w:szCs w:val="18"/>
                <w:lang w:val="en-US"/>
              </w:rPr>
            </w:pPr>
            <w:r w:rsidRPr="0031675F">
              <w:rPr>
                <w:rFonts w:ascii="Calibri" w:eastAsia="Calibri" w:hAnsi="Calibri"/>
                <w:spacing w:val="-1"/>
                <w:w w:val="95"/>
                <w:sz w:val="18"/>
                <w:lang w:val="en-US"/>
              </w:rPr>
              <w:t>10</w:t>
            </w:r>
          </w:p>
        </w:tc>
        <w:tc>
          <w:tcPr>
            <w:tcW w:w="922" w:type="dxa"/>
            <w:tcBorders>
              <w:top w:val="single" w:sz="5" w:space="0" w:color="000000"/>
              <w:left w:val="single" w:sz="5" w:space="0" w:color="000000"/>
              <w:bottom w:val="single" w:sz="5" w:space="0" w:color="000000"/>
              <w:right w:val="single" w:sz="5" w:space="0" w:color="000000"/>
            </w:tcBorders>
          </w:tcPr>
          <w:p w14:paraId="54B73B21" w14:textId="77777777" w:rsidR="0031675F" w:rsidRPr="0031675F" w:rsidRDefault="0031675F" w:rsidP="0031675F">
            <w:pPr>
              <w:widowControl w:val="0"/>
              <w:spacing w:before="82" w:after="0" w:line="240" w:lineRule="auto"/>
              <w:ind w:right="102"/>
              <w:jc w:val="right"/>
              <w:rPr>
                <w:rFonts w:ascii="Calibri" w:eastAsia="Calibri" w:hAnsi="Calibri" w:cs="Calibri"/>
                <w:sz w:val="18"/>
                <w:szCs w:val="18"/>
                <w:lang w:val="en-US"/>
              </w:rPr>
            </w:pPr>
            <w:r w:rsidRPr="0031675F">
              <w:rPr>
                <w:rFonts w:ascii="Calibri" w:eastAsia="Calibri" w:hAnsi="Calibri"/>
                <w:spacing w:val="-1"/>
                <w:w w:val="95"/>
                <w:sz w:val="18"/>
                <w:lang w:val="en-US"/>
              </w:rPr>
              <w:t>10</w:t>
            </w:r>
          </w:p>
        </w:tc>
        <w:tc>
          <w:tcPr>
            <w:tcW w:w="710" w:type="dxa"/>
            <w:tcBorders>
              <w:top w:val="single" w:sz="5" w:space="0" w:color="000000"/>
              <w:left w:val="single" w:sz="5" w:space="0" w:color="000000"/>
              <w:bottom w:val="single" w:sz="5" w:space="0" w:color="000000"/>
              <w:right w:val="single" w:sz="5" w:space="0" w:color="000000"/>
            </w:tcBorders>
          </w:tcPr>
          <w:p w14:paraId="1464410D" w14:textId="77777777" w:rsidR="0031675F" w:rsidRPr="0031675F" w:rsidRDefault="0031675F" w:rsidP="0031675F">
            <w:pPr>
              <w:widowControl w:val="0"/>
              <w:spacing w:before="82" w:after="0" w:line="240" w:lineRule="auto"/>
              <w:ind w:left="99"/>
              <w:rPr>
                <w:rFonts w:ascii="Calibri" w:eastAsia="Calibri" w:hAnsi="Calibri" w:cs="Calibri"/>
                <w:sz w:val="18"/>
                <w:szCs w:val="18"/>
                <w:lang w:val="en-US"/>
              </w:rPr>
            </w:pPr>
            <w:r w:rsidRPr="0031675F">
              <w:rPr>
                <w:rFonts w:ascii="Calibri" w:eastAsia="Calibri" w:hAnsi="Calibri"/>
                <w:spacing w:val="-1"/>
                <w:sz w:val="18"/>
                <w:lang w:val="en-US"/>
              </w:rPr>
              <w:t>new13</w:t>
            </w:r>
          </w:p>
        </w:tc>
        <w:tc>
          <w:tcPr>
            <w:tcW w:w="626" w:type="dxa"/>
            <w:tcBorders>
              <w:top w:val="single" w:sz="5" w:space="0" w:color="000000"/>
              <w:left w:val="single" w:sz="5" w:space="0" w:color="000000"/>
              <w:bottom w:val="single" w:sz="5" w:space="0" w:color="000000"/>
              <w:right w:val="single" w:sz="5" w:space="0" w:color="000000"/>
            </w:tcBorders>
          </w:tcPr>
          <w:p w14:paraId="65203DF4" w14:textId="77777777" w:rsidR="0031675F" w:rsidRPr="0031675F" w:rsidRDefault="0031675F" w:rsidP="0031675F">
            <w:pPr>
              <w:widowControl w:val="0"/>
              <w:spacing w:before="82" w:after="0" w:line="240" w:lineRule="auto"/>
              <w:ind w:left="102"/>
              <w:rPr>
                <w:rFonts w:ascii="Calibri" w:eastAsia="Calibri" w:hAnsi="Calibri" w:cs="Calibri"/>
                <w:sz w:val="18"/>
                <w:szCs w:val="18"/>
                <w:lang w:val="en-US"/>
              </w:rPr>
            </w:pPr>
            <w:r w:rsidRPr="0031675F">
              <w:rPr>
                <w:rFonts w:ascii="Calibri" w:eastAsia="Calibri" w:hAnsi="Calibri"/>
                <w:sz w:val="18"/>
                <w:lang w:val="en-US"/>
              </w:rPr>
              <w:t>0.755</w:t>
            </w:r>
          </w:p>
        </w:tc>
        <w:tc>
          <w:tcPr>
            <w:tcW w:w="629" w:type="dxa"/>
            <w:tcBorders>
              <w:top w:val="single" w:sz="5" w:space="0" w:color="000000"/>
              <w:left w:val="single" w:sz="5" w:space="0" w:color="000000"/>
              <w:bottom w:val="single" w:sz="5" w:space="0" w:color="000000"/>
              <w:right w:val="single" w:sz="5" w:space="0" w:color="000000"/>
            </w:tcBorders>
          </w:tcPr>
          <w:p w14:paraId="20F59641" w14:textId="77777777" w:rsidR="0031675F" w:rsidRPr="0031675F" w:rsidRDefault="0031675F" w:rsidP="0031675F">
            <w:pPr>
              <w:widowControl w:val="0"/>
              <w:spacing w:before="82" w:after="0" w:line="240" w:lineRule="auto"/>
              <w:ind w:left="102"/>
              <w:rPr>
                <w:rFonts w:ascii="Calibri" w:eastAsia="Calibri" w:hAnsi="Calibri" w:cs="Calibri"/>
                <w:sz w:val="18"/>
                <w:szCs w:val="18"/>
                <w:lang w:val="en-US"/>
              </w:rPr>
            </w:pPr>
            <w:r w:rsidRPr="0031675F">
              <w:rPr>
                <w:rFonts w:ascii="Calibri" w:eastAsia="Calibri" w:hAnsi="Calibri"/>
                <w:sz w:val="18"/>
                <w:lang w:val="en-US"/>
              </w:rPr>
              <w:t>0.446</w:t>
            </w:r>
          </w:p>
        </w:tc>
        <w:tc>
          <w:tcPr>
            <w:tcW w:w="759" w:type="dxa"/>
            <w:tcBorders>
              <w:top w:val="single" w:sz="5" w:space="0" w:color="000000"/>
              <w:left w:val="single" w:sz="5" w:space="0" w:color="000000"/>
              <w:bottom w:val="single" w:sz="5" w:space="0" w:color="000000"/>
              <w:right w:val="single" w:sz="5" w:space="0" w:color="000000"/>
            </w:tcBorders>
          </w:tcPr>
          <w:p w14:paraId="08920293" w14:textId="77777777" w:rsidR="0031675F" w:rsidRPr="0031675F" w:rsidRDefault="0031675F" w:rsidP="0031675F">
            <w:pPr>
              <w:widowControl w:val="0"/>
              <w:spacing w:before="82" w:after="0" w:line="240" w:lineRule="auto"/>
              <w:ind w:left="322"/>
              <w:rPr>
                <w:rFonts w:ascii="Calibri" w:eastAsia="Calibri" w:hAnsi="Calibri" w:cs="Calibri"/>
                <w:sz w:val="18"/>
                <w:szCs w:val="18"/>
                <w:lang w:val="en-US"/>
              </w:rPr>
            </w:pPr>
            <w:r w:rsidRPr="0031675F">
              <w:rPr>
                <w:rFonts w:ascii="Calibri" w:eastAsia="Calibri" w:hAnsi="Calibri"/>
                <w:sz w:val="18"/>
                <w:lang w:val="en-US"/>
              </w:rPr>
              <w:t>7.21</w:t>
            </w:r>
          </w:p>
        </w:tc>
        <w:tc>
          <w:tcPr>
            <w:tcW w:w="758" w:type="dxa"/>
            <w:tcBorders>
              <w:top w:val="single" w:sz="5" w:space="0" w:color="000000"/>
              <w:left w:val="single" w:sz="5" w:space="0" w:color="000000"/>
              <w:bottom w:val="single" w:sz="5" w:space="0" w:color="000000"/>
              <w:right w:val="single" w:sz="5" w:space="0" w:color="000000"/>
            </w:tcBorders>
          </w:tcPr>
          <w:p w14:paraId="64797567" w14:textId="77777777" w:rsidR="0031675F" w:rsidRPr="0031675F" w:rsidRDefault="0031675F" w:rsidP="0031675F">
            <w:pPr>
              <w:widowControl w:val="0"/>
              <w:spacing w:before="82" w:after="0" w:line="240" w:lineRule="auto"/>
              <w:ind w:left="325"/>
              <w:rPr>
                <w:rFonts w:ascii="Calibri" w:eastAsia="Calibri" w:hAnsi="Calibri" w:cs="Calibri"/>
                <w:sz w:val="18"/>
                <w:szCs w:val="18"/>
                <w:lang w:val="en-US"/>
              </w:rPr>
            </w:pPr>
            <w:r w:rsidRPr="0031675F">
              <w:rPr>
                <w:rFonts w:ascii="Calibri" w:eastAsia="Calibri" w:hAnsi="Calibri"/>
                <w:sz w:val="18"/>
                <w:lang w:val="en-US"/>
              </w:rPr>
              <w:t>4.12</w:t>
            </w:r>
          </w:p>
        </w:tc>
        <w:tc>
          <w:tcPr>
            <w:tcW w:w="583" w:type="dxa"/>
            <w:tcBorders>
              <w:top w:val="single" w:sz="5" w:space="0" w:color="000000"/>
              <w:left w:val="single" w:sz="5" w:space="0" w:color="000000"/>
              <w:bottom w:val="single" w:sz="5" w:space="0" w:color="000000"/>
              <w:right w:val="single" w:sz="5" w:space="0" w:color="000000"/>
            </w:tcBorders>
          </w:tcPr>
          <w:p w14:paraId="2299CC82" w14:textId="77777777" w:rsidR="0031675F" w:rsidRPr="0031675F" w:rsidRDefault="0031675F" w:rsidP="0031675F">
            <w:pPr>
              <w:widowControl w:val="0"/>
              <w:spacing w:before="82" w:after="0" w:line="240" w:lineRule="auto"/>
              <w:ind w:left="123"/>
              <w:rPr>
                <w:rFonts w:ascii="Calibri" w:eastAsia="Calibri" w:hAnsi="Calibri" w:cs="Calibri"/>
                <w:sz w:val="18"/>
                <w:szCs w:val="18"/>
                <w:lang w:val="en-US"/>
              </w:rPr>
            </w:pPr>
            <w:r w:rsidRPr="0031675F">
              <w:rPr>
                <w:rFonts w:ascii="Calibri" w:eastAsia="Calibri" w:hAnsi="Calibri"/>
                <w:b/>
                <w:spacing w:val="-1"/>
                <w:sz w:val="18"/>
                <w:lang w:val="en-US"/>
              </w:rPr>
              <w:t>8.87</w:t>
            </w:r>
          </w:p>
        </w:tc>
        <w:tc>
          <w:tcPr>
            <w:tcW w:w="684" w:type="dxa"/>
            <w:tcBorders>
              <w:top w:val="single" w:sz="5" w:space="0" w:color="000000"/>
              <w:left w:val="single" w:sz="5" w:space="0" w:color="000000"/>
              <w:bottom w:val="single" w:sz="5" w:space="0" w:color="000000"/>
              <w:right w:val="single" w:sz="5" w:space="0" w:color="000000"/>
            </w:tcBorders>
          </w:tcPr>
          <w:p w14:paraId="014753C6" w14:textId="77777777" w:rsidR="0031675F" w:rsidRPr="0031675F" w:rsidRDefault="0031675F" w:rsidP="0031675F">
            <w:pPr>
              <w:widowControl w:val="0"/>
              <w:spacing w:before="82" w:after="0" w:line="240" w:lineRule="auto"/>
              <w:ind w:left="171"/>
              <w:rPr>
                <w:rFonts w:ascii="Calibri" w:eastAsia="Calibri" w:hAnsi="Calibri" w:cs="Calibri"/>
                <w:sz w:val="18"/>
                <w:szCs w:val="18"/>
                <w:lang w:val="en-US"/>
              </w:rPr>
            </w:pPr>
            <w:r w:rsidRPr="0031675F">
              <w:rPr>
                <w:rFonts w:ascii="Calibri" w:eastAsia="Calibri" w:hAnsi="Calibri"/>
                <w:b/>
                <w:spacing w:val="-1"/>
                <w:sz w:val="18"/>
                <w:lang w:val="en-US"/>
              </w:rPr>
              <w:t>5.32</w:t>
            </w:r>
          </w:p>
        </w:tc>
        <w:tc>
          <w:tcPr>
            <w:tcW w:w="991" w:type="dxa"/>
            <w:tcBorders>
              <w:top w:val="single" w:sz="5" w:space="0" w:color="000000"/>
              <w:left w:val="single" w:sz="5" w:space="0" w:color="000000"/>
              <w:bottom w:val="single" w:sz="5" w:space="0" w:color="000000"/>
              <w:right w:val="single" w:sz="5" w:space="0" w:color="000000"/>
            </w:tcBorders>
          </w:tcPr>
          <w:p w14:paraId="28657D6A" w14:textId="77777777" w:rsidR="0031675F" w:rsidRPr="0031675F" w:rsidRDefault="0031675F" w:rsidP="0031675F"/>
        </w:tc>
      </w:tr>
      <w:tr w:rsidR="0031675F" w:rsidRPr="0031675F" w14:paraId="38FAB24E" w14:textId="77777777" w:rsidTr="00B00729">
        <w:trPr>
          <w:trHeight w:hRule="exact" w:val="389"/>
        </w:trPr>
        <w:tc>
          <w:tcPr>
            <w:tcW w:w="591" w:type="dxa"/>
            <w:tcBorders>
              <w:top w:val="single" w:sz="5" w:space="0" w:color="000000"/>
              <w:left w:val="single" w:sz="5" w:space="0" w:color="000000"/>
              <w:bottom w:val="single" w:sz="5" w:space="0" w:color="000000"/>
              <w:right w:val="single" w:sz="5" w:space="0" w:color="000000"/>
            </w:tcBorders>
          </w:tcPr>
          <w:p w14:paraId="205C4527" w14:textId="77777777" w:rsidR="0031675F" w:rsidRPr="0031675F" w:rsidRDefault="0031675F" w:rsidP="0031675F">
            <w:pPr>
              <w:widowControl w:val="0"/>
              <w:spacing w:before="80"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std</w:t>
            </w:r>
          </w:p>
        </w:tc>
        <w:tc>
          <w:tcPr>
            <w:tcW w:w="977" w:type="dxa"/>
            <w:tcBorders>
              <w:top w:val="single" w:sz="5" w:space="0" w:color="000000"/>
              <w:left w:val="single" w:sz="5" w:space="0" w:color="000000"/>
              <w:bottom w:val="single" w:sz="5" w:space="0" w:color="000000"/>
              <w:right w:val="single" w:sz="5" w:space="0" w:color="000000"/>
            </w:tcBorders>
          </w:tcPr>
          <w:p w14:paraId="0ED5BF7D" w14:textId="77777777" w:rsidR="0031675F" w:rsidRPr="0031675F" w:rsidRDefault="0031675F" w:rsidP="0031675F">
            <w:pPr>
              <w:widowControl w:val="0"/>
              <w:spacing w:before="80" w:after="0" w:line="240" w:lineRule="auto"/>
              <w:ind w:left="118"/>
              <w:rPr>
                <w:rFonts w:ascii="Calibri" w:eastAsia="Calibri" w:hAnsi="Calibri" w:cs="Calibri"/>
                <w:sz w:val="18"/>
                <w:szCs w:val="18"/>
                <w:lang w:val="en-US"/>
              </w:rPr>
            </w:pPr>
            <w:r w:rsidRPr="0031675F">
              <w:rPr>
                <w:rFonts w:ascii="Calibri" w:eastAsia="Calibri" w:hAnsi="Calibri"/>
                <w:spacing w:val="-1"/>
                <w:sz w:val="18"/>
                <w:lang w:val="en-US"/>
              </w:rPr>
              <w:t>02-Feb-04</w:t>
            </w:r>
          </w:p>
        </w:tc>
        <w:tc>
          <w:tcPr>
            <w:tcW w:w="497" w:type="dxa"/>
            <w:tcBorders>
              <w:top w:val="single" w:sz="5" w:space="0" w:color="000000"/>
              <w:left w:val="single" w:sz="5" w:space="0" w:color="000000"/>
              <w:bottom w:val="single" w:sz="5" w:space="0" w:color="000000"/>
              <w:right w:val="single" w:sz="5" w:space="0" w:color="000000"/>
            </w:tcBorders>
          </w:tcPr>
          <w:p w14:paraId="391FDB7A" w14:textId="77777777" w:rsidR="0031675F" w:rsidRPr="0031675F" w:rsidRDefault="0031675F" w:rsidP="0031675F">
            <w:pPr>
              <w:widowControl w:val="0"/>
              <w:spacing w:before="80" w:after="0" w:line="240" w:lineRule="auto"/>
              <w:ind w:left="291"/>
              <w:rPr>
                <w:rFonts w:ascii="Calibri" w:eastAsia="Calibri" w:hAnsi="Calibri" w:cs="Calibri"/>
                <w:sz w:val="18"/>
                <w:szCs w:val="18"/>
                <w:lang w:val="en-US"/>
              </w:rPr>
            </w:pPr>
            <w:r w:rsidRPr="0031675F">
              <w:rPr>
                <w:rFonts w:ascii="Calibri" w:eastAsia="Calibri" w:hAnsi="Calibri"/>
                <w:sz w:val="18"/>
                <w:lang w:val="en-US"/>
              </w:rPr>
              <w:t>1</w:t>
            </w:r>
          </w:p>
        </w:tc>
        <w:tc>
          <w:tcPr>
            <w:tcW w:w="626" w:type="dxa"/>
            <w:tcBorders>
              <w:top w:val="single" w:sz="5" w:space="0" w:color="000000"/>
              <w:left w:val="single" w:sz="5" w:space="0" w:color="000000"/>
              <w:bottom w:val="single" w:sz="5" w:space="0" w:color="000000"/>
              <w:right w:val="single" w:sz="5" w:space="0" w:color="000000"/>
            </w:tcBorders>
          </w:tcPr>
          <w:p w14:paraId="1633B296" w14:textId="77777777" w:rsidR="0031675F" w:rsidRPr="0031675F" w:rsidRDefault="0031675F" w:rsidP="0031675F">
            <w:pPr>
              <w:widowControl w:val="0"/>
              <w:spacing w:before="80" w:after="0" w:line="240" w:lineRule="auto"/>
              <w:ind w:left="102"/>
              <w:rPr>
                <w:rFonts w:ascii="Calibri" w:eastAsia="Calibri" w:hAnsi="Calibri" w:cs="Calibri"/>
                <w:sz w:val="18"/>
                <w:szCs w:val="18"/>
                <w:lang w:val="en-US"/>
              </w:rPr>
            </w:pPr>
            <w:r w:rsidRPr="0031675F">
              <w:rPr>
                <w:rFonts w:ascii="Calibri" w:eastAsia="Calibri" w:hAnsi="Calibri"/>
                <w:sz w:val="18"/>
                <w:lang w:val="en-US"/>
              </w:rPr>
              <w:t>0.017</w:t>
            </w:r>
          </w:p>
        </w:tc>
        <w:tc>
          <w:tcPr>
            <w:tcW w:w="934" w:type="dxa"/>
            <w:tcBorders>
              <w:top w:val="single" w:sz="5" w:space="0" w:color="000000"/>
              <w:left w:val="single" w:sz="5" w:space="0" w:color="000000"/>
              <w:bottom w:val="single" w:sz="5" w:space="0" w:color="000000"/>
              <w:right w:val="single" w:sz="5" w:space="0" w:color="000000"/>
            </w:tcBorders>
          </w:tcPr>
          <w:p w14:paraId="5856E11C" w14:textId="77777777" w:rsidR="0031675F" w:rsidRPr="0031675F" w:rsidRDefault="0031675F" w:rsidP="0031675F">
            <w:pPr>
              <w:widowControl w:val="0"/>
              <w:spacing w:before="80" w:after="0" w:line="240" w:lineRule="auto"/>
              <w:ind w:right="100"/>
              <w:jc w:val="right"/>
              <w:rPr>
                <w:rFonts w:ascii="Calibri" w:eastAsia="Calibri" w:hAnsi="Calibri" w:cs="Calibri"/>
                <w:sz w:val="18"/>
                <w:szCs w:val="18"/>
                <w:lang w:val="en-US"/>
              </w:rPr>
            </w:pPr>
            <w:r w:rsidRPr="0031675F">
              <w:rPr>
                <w:rFonts w:ascii="Calibri" w:eastAsia="Calibri" w:hAnsi="Calibri"/>
                <w:spacing w:val="-1"/>
                <w:w w:val="95"/>
                <w:sz w:val="18"/>
                <w:lang w:val="en-US"/>
              </w:rPr>
              <w:t>10</w:t>
            </w:r>
          </w:p>
        </w:tc>
        <w:tc>
          <w:tcPr>
            <w:tcW w:w="922" w:type="dxa"/>
            <w:tcBorders>
              <w:top w:val="single" w:sz="5" w:space="0" w:color="000000"/>
              <w:left w:val="single" w:sz="5" w:space="0" w:color="000000"/>
              <w:bottom w:val="single" w:sz="5" w:space="0" w:color="000000"/>
              <w:right w:val="single" w:sz="5" w:space="0" w:color="000000"/>
            </w:tcBorders>
          </w:tcPr>
          <w:p w14:paraId="1806C6FE" w14:textId="77777777" w:rsidR="0031675F" w:rsidRPr="0031675F" w:rsidRDefault="0031675F" w:rsidP="0031675F">
            <w:pPr>
              <w:widowControl w:val="0"/>
              <w:spacing w:before="80" w:after="0" w:line="240" w:lineRule="auto"/>
              <w:ind w:right="102"/>
              <w:jc w:val="right"/>
              <w:rPr>
                <w:rFonts w:ascii="Calibri" w:eastAsia="Calibri" w:hAnsi="Calibri" w:cs="Calibri"/>
                <w:sz w:val="18"/>
                <w:szCs w:val="18"/>
                <w:lang w:val="en-US"/>
              </w:rPr>
            </w:pPr>
            <w:r w:rsidRPr="0031675F">
              <w:rPr>
                <w:rFonts w:ascii="Calibri" w:eastAsia="Calibri" w:hAnsi="Calibri"/>
                <w:spacing w:val="-1"/>
                <w:w w:val="95"/>
                <w:sz w:val="18"/>
                <w:lang w:val="en-US"/>
              </w:rPr>
              <w:t>10</w:t>
            </w:r>
          </w:p>
        </w:tc>
        <w:tc>
          <w:tcPr>
            <w:tcW w:w="710" w:type="dxa"/>
            <w:tcBorders>
              <w:top w:val="single" w:sz="5" w:space="0" w:color="000000"/>
              <w:left w:val="single" w:sz="5" w:space="0" w:color="000000"/>
              <w:bottom w:val="single" w:sz="5" w:space="0" w:color="000000"/>
              <w:right w:val="single" w:sz="5" w:space="0" w:color="000000"/>
            </w:tcBorders>
          </w:tcPr>
          <w:p w14:paraId="570CAD41" w14:textId="77777777" w:rsidR="0031675F" w:rsidRPr="0031675F" w:rsidRDefault="0031675F" w:rsidP="0031675F">
            <w:pPr>
              <w:widowControl w:val="0"/>
              <w:spacing w:before="80" w:after="0" w:line="240" w:lineRule="auto"/>
              <w:ind w:left="99"/>
              <w:rPr>
                <w:rFonts w:ascii="Calibri" w:eastAsia="Calibri" w:hAnsi="Calibri" w:cs="Calibri"/>
                <w:sz w:val="18"/>
                <w:szCs w:val="18"/>
                <w:lang w:val="en-US"/>
              </w:rPr>
            </w:pPr>
            <w:r w:rsidRPr="0031675F">
              <w:rPr>
                <w:rFonts w:ascii="Calibri" w:eastAsia="Calibri" w:hAnsi="Calibri"/>
                <w:spacing w:val="-1"/>
                <w:sz w:val="18"/>
                <w:lang w:val="en-US"/>
              </w:rPr>
              <w:t>new14</w:t>
            </w:r>
          </w:p>
        </w:tc>
        <w:tc>
          <w:tcPr>
            <w:tcW w:w="626" w:type="dxa"/>
            <w:tcBorders>
              <w:top w:val="single" w:sz="5" w:space="0" w:color="000000"/>
              <w:left w:val="single" w:sz="5" w:space="0" w:color="000000"/>
              <w:bottom w:val="single" w:sz="5" w:space="0" w:color="000000"/>
              <w:right w:val="single" w:sz="5" w:space="0" w:color="000000"/>
            </w:tcBorders>
          </w:tcPr>
          <w:p w14:paraId="1C5F6C2F" w14:textId="77777777" w:rsidR="0031675F" w:rsidRPr="0031675F" w:rsidRDefault="0031675F" w:rsidP="0031675F">
            <w:pPr>
              <w:widowControl w:val="0"/>
              <w:spacing w:before="80" w:after="0" w:line="240" w:lineRule="auto"/>
              <w:ind w:left="102"/>
              <w:rPr>
                <w:rFonts w:ascii="Calibri" w:eastAsia="Calibri" w:hAnsi="Calibri" w:cs="Calibri"/>
                <w:sz w:val="18"/>
                <w:szCs w:val="18"/>
                <w:lang w:val="en-US"/>
              </w:rPr>
            </w:pPr>
            <w:r w:rsidRPr="0031675F">
              <w:rPr>
                <w:rFonts w:ascii="Calibri" w:eastAsia="Calibri" w:hAnsi="Calibri"/>
                <w:sz w:val="18"/>
                <w:lang w:val="en-US"/>
              </w:rPr>
              <w:t>0.312</w:t>
            </w:r>
          </w:p>
        </w:tc>
        <w:tc>
          <w:tcPr>
            <w:tcW w:w="629" w:type="dxa"/>
            <w:tcBorders>
              <w:top w:val="single" w:sz="5" w:space="0" w:color="000000"/>
              <w:left w:val="single" w:sz="5" w:space="0" w:color="000000"/>
              <w:bottom w:val="single" w:sz="5" w:space="0" w:color="000000"/>
              <w:right w:val="single" w:sz="5" w:space="0" w:color="000000"/>
            </w:tcBorders>
          </w:tcPr>
          <w:p w14:paraId="13C60B30" w14:textId="77777777" w:rsidR="0031675F" w:rsidRPr="0031675F" w:rsidRDefault="0031675F" w:rsidP="0031675F">
            <w:pPr>
              <w:widowControl w:val="0"/>
              <w:spacing w:before="80" w:after="0" w:line="240" w:lineRule="auto"/>
              <w:ind w:left="102"/>
              <w:rPr>
                <w:rFonts w:ascii="Calibri" w:eastAsia="Calibri" w:hAnsi="Calibri" w:cs="Calibri"/>
                <w:sz w:val="18"/>
                <w:szCs w:val="18"/>
                <w:lang w:val="en-US"/>
              </w:rPr>
            </w:pPr>
            <w:r w:rsidRPr="0031675F">
              <w:rPr>
                <w:rFonts w:ascii="Calibri" w:eastAsia="Calibri" w:hAnsi="Calibri"/>
                <w:sz w:val="18"/>
                <w:lang w:val="en-US"/>
              </w:rPr>
              <w:t>0.164</w:t>
            </w:r>
          </w:p>
        </w:tc>
        <w:tc>
          <w:tcPr>
            <w:tcW w:w="759" w:type="dxa"/>
            <w:tcBorders>
              <w:top w:val="single" w:sz="5" w:space="0" w:color="000000"/>
              <w:left w:val="single" w:sz="5" w:space="0" w:color="000000"/>
              <w:bottom w:val="single" w:sz="5" w:space="0" w:color="000000"/>
              <w:right w:val="single" w:sz="5" w:space="0" w:color="000000"/>
            </w:tcBorders>
          </w:tcPr>
          <w:p w14:paraId="2FA7E82F" w14:textId="77777777" w:rsidR="0031675F" w:rsidRPr="0031675F" w:rsidRDefault="0031675F" w:rsidP="0031675F">
            <w:pPr>
              <w:widowControl w:val="0"/>
              <w:spacing w:before="80" w:after="0" w:line="240" w:lineRule="auto"/>
              <w:ind w:left="322"/>
              <w:rPr>
                <w:rFonts w:ascii="Calibri" w:eastAsia="Calibri" w:hAnsi="Calibri" w:cs="Calibri"/>
                <w:sz w:val="18"/>
                <w:szCs w:val="18"/>
                <w:lang w:val="en-US"/>
              </w:rPr>
            </w:pPr>
            <w:r w:rsidRPr="0031675F">
              <w:rPr>
                <w:rFonts w:ascii="Calibri" w:eastAsia="Calibri" w:hAnsi="Calibri"/>
                <w:sz w:val="18"/>
                <w:lang w:val="en-US"/>
              </w:rPr>
              <w:t>2.95</w:t>
            </w:r>
          </w:p>
        </w:tc>
        <w:tc>
          <w:tcPr>
            <w:tcW w:w="758" w:type="dxa"/>
            <w:tcBorders>
              <w:top w:val="single" w:sz="5" w:space="0" w:color="000000"/>
              <w:left w:val="single" w:sz="5" w:space="0" w:color="000000"/>
              <w:bottom w:val="single" w:sz="5" w:space="0" w:color="000000"/>
              <w:right w:val="single" w:sz="5" w:space="0" w:color="000000"/>
            </w:tcBorders>
          </w:tcPr>
          <w:p w14:paraId="5783324F" w14:textId="77777777" w:rsidR="0031675F" w:rsidRPr="0031675F" w:rsidRDefault="0031675F" w:rsidP="0031675F">
            <w:pPr>
              <w:widowControl w:val="0"/>
              <w:spacing w:before="80" w:after="0" w:line="240" w:lineRule="auto"/>
              <w:ind w:left="325"/>
              <w:rPr>
                <w:rFonts w:ascii="Calibri" w:eastAsia="Calibri" w:hAnsi="Calibri" w:cs="Calibri"/>
                <w:sz w:val="18"/>
                <w:szCs w:val="18"/>
                <w:lang w:val="en-US"/>
              </w:rPr>
            </w:pPr>
            <w:r w:rsidRPr="0031675F">
              <w:rPr>
                <w:rFonts w:ascii="Calibri" w:eastAsia="Calibri" w:hAnsi="Calibri"/>
                <w:sz w:val="18"/>
                <w:lang w:val="en-US"/>
              </w:rPr>
              <w:t>1.47</w:t>
            </w:r>
          </w:p>
        </w:tc>
        <w:tc>
          <w:tcPr>
            <w:tcW w:w="583" w:type="dxa"/>
            <w:tcBorders>
              <w:top w:val="single" w:sz="5" w:space="0" w:color="000000"/>
              <w:left w:val="single" w:sz="5" w:space="0" w:color="000000"/>
              <w:bottom w:val="single" w:sz="5" w:space="0" w:color="000000"/>
              <w:right w:val="single" w:sz="5" w:space="0" w:color="000000"/>
            </w:tcBorders>
          </w:tcPr>
          <w:p w14:paraId="5F2DD55E" w14:textId="77777777" w:rsidR="0031675F" w:rsidRPr="0031675F" w:rsidRDefault="0031675F" w:rsidP="0031675F">
            <w:pPr>
              <w:widowControl w:val="0"/>
              <w:spacing w:before="80" w:after="0" w:line="240" w:lineRule="auto"/>
              <w:ind w:left="123"/>
              <w:rPr>
                <w:rFonts w:ascii="Calibri" w:eastAsia="Calibri" w:hAnsi="Calibri" w:cs="Calibri"/>
                <w:sz w:val="18"/>
                <w:szCs w:val="18"/>
                <w:lang w:val="en-US"/>
              </w:rPr>
            </w:pPr>
            <w:r w:rsidRPr="0031675F">
              <w:rPr>
                <w:rFonts w:ascii="Calibri" w:eastAsia="Calibri" w:hAnsi="Calibri"/>
                <w:b/>
                <w:spacing w:val="-1"/>
                <w:sz w:val="18"/>
                <w:lang w:val="en-US"/>
              </w:rPr>
              <w:t>9.53</w:t>
            </w:r>
          </w:p>
        </w:tc>
        <w:tc>
          <w:tcPr>
            <w:tcW w:w="684" w:type="dxa"/>
            <w:tcBorders>
              <w:top w:val="single" w:sz="5" w:space="0" w:color="000000"/>
              <w:left w:val="single" w:sz="5" w:space="0" w:color="000000"/>
              <w:bottom w:val="single" w:sz="5" w:space="0" w:color="000000"/>
              <w:right w:val="single" w:sz="5" w:space="0" w:color="000000"/>
            </w:tcBorders>
          </w:tcPr>
          <w:p w14:paraId="7C5F5ABA" w14:textId="77777777" w:rsidR="0031675F" w:rsidRPr="0031675F" w:rsidRDefault="0031675F" w:rsidP="0031675F">
            <w:pPr>
              <w:widowControl w:val="0"/>
              <w:spacing w:before="80" w:after="0" w:line="240" w:lineRule="auto"/>
              <w:ind w:left="171"/>
              <w:rPr>
                <w:rFonts w:ascii="Calibri" w:eastAsia="Calibri" w:hAnsi="Calibri" w:cs="Calibri"/>
                <w:sz w:val="18"/>
                <w:szCs w:val="18"/>
                <w:lang w:val="en-US"/>
              </w:rPr>
            </w:pPr>
            <w:r w:rsidRPr="0031675F">
              <w:rPr>
                <w:rFonts w:ascii="Calibri" w:eastAsia="Calibri" w:hAnsi="Calibri"/>
                <w:b/>
                <w:spacing w:val="-1"/>
                <w:sz w:val="18"/>
                <w:lang w:val="en-US"/>
              </w:rPr>
              <w:t>1.83</w:t>
            </w:r>
          </w:p>
        </w:tc>
        <w:tc>
          <w:tcPr>
            <w:tcW w:w="991" w:type="dxa"/>
            <w:tcBorders>
              <w:top w:val="single" w:sz="5" w:space="0" w:color="000000"/>
              <w:left w:val="single" w:sz="5" w:space="0" w:color="000000"/>
              <w:bottom w:val="single" w:sz="5" w:space="0" w:color="000000"/>
              <w:right w:val="single" w:sz="5" w:space="0" w:color="000000"/>
            </w:tcBorders>
          </w:tcPr>
          <w:p w14:paraId="71287AC4" w14:textId="77777777" w:rsidR="0031675F" w:rsidRPr="0031675F" w:rsidRDefault="0031675F" w:rsidP="0031675F"/>
        </w:tc>
      </w:tr>
      <w:tr w:rsidR="0031675F" w:rsidRPr="0031675F" w14:paraId="5606C6DB" w14:textId="77777777" w:rsidTr="00B00729">
        <w:trPr>
          <w:trHeight w:hRule="exact" w:val="391"/>
        </w:trPr>
        <w:tc>
          <w:tcPr>
            <w:tcW w:w="591" w:type="dxa"/>
            <w:tcBorders>
              <w:top w:val="single" w:sz="5" w:space="0" w:color="000000"/>
              <w:left w:val="single" w:sz="5" w:space="0" w:color="000000"/>
              <w:bottom w:val="single" w:sz="5" w:space="0" w:color="000000"/>
              <w:right w:val="single" w:sz="5" w:space="0" w:color="000000"/>
            </w:tcBorders>
          </w:tcPr>
          <w:p w14:paraId="049732FB"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std</w:t>
            </w:r>
          </w:p>
        </w:tc>
        <w:tc>
          <w:tcPr>
            <w:tcW w:w="977" w:type="dxa"/>
            <w:tcBorders>
              <w:top w:val="single" w:sz="5" w:space="0" w:color="000000"/>
              <w:left w:val="single" w:sz="5" w:space="0" w:color="000000"/>
              <w:bottom w:val="single" w:sz="5" w:space="0" w:color="000000"/>
              <w:right w:val="single" w:sz="5" w:space="0" w:color="000000"/>
            </w:tcBorders>
          </w:tcPr>
          <w:p w14:paraId="378B7617" w14:textId="77777777" w:rsidR="0031675F" w:rsidRPr="0031675F" w:rsidRDefault="0031675F" w:rsidP="0031675F">
            <w:pPr>
              <w:widowControl w:val="0"/>
              <w:spacing w:before="79" w:after="0" w:line="240" w:lineRule="auto"/>
              <w:ind w:left="138"/>
              <w:rPr>
                <w:rFonts w:ascii="Calibri" w:eastAsia="Calibri" w:hAnsi="Calibri" w:cs="Calibri"/>
                <w:sz w:val="18"/>
                <w:szCs w:val="18"/>
                <w:lang w:val="en-US"/>
              </w:rPr>
            </w:pPr>
            <w:r w:rsidRPr="0031675F">
              <w:rPr>
                <w:rFonts w:ascii="Calibri" w:eastAsia="Calibri" w:hAnsi="Calibri"/>
                <w:spacing w:val="-1"/>
                <w:sz w:val="18"/>
                <w:lang w:val="en-US"/>
              </w:rPr>
              <w:t>30-Jun-04</w:t>
            </w:r>
          </w:p>
        </w:tc>
        <w:tc>
          <w:tcPr>
            <w:tcW w:w="497" w:type="dxa"/>
            <w:tcBorders>
              <w:top w:val="single" w:sz="5" w:space="0" w:color="000000"/>
              <w:left w:val="single" w:sz="5" w:space="0" w:color="000000"/>
              <w:bottom w:val="single" w:sz="5" w:space="0" w:color="000000"/>
              <w:right w:val="single" w:sz="5" w:space="0" w:color="000000"/>
            </w:tcBorders>
          </w:tcPr>
          <w:p w14:paraId="7C3E1EF4" w14:textId="77777777" w:rsidR="0031675F" w:rsidRPr="0031675F" w:rsidRDefault="0031675F" w:rsidP="0031675F">
            <w:pPr>
              <w:widowControl w:val="0"/>
              <w:spacing w:before="79" w:after="0" w:line="240" w:lineRule="auto"/>
              <w:ind w:left="291"/>
              <w:rPr>
                <w:rFonts w:ascii="Calibri" w:eastAsia="Calibri" w:hAnsi="Calibri" w:cs="Calibri"/>
                <w:sz w:val="18"/>
                <w:szCs w:val="18"/>
                <w:lang w:val="en-US"/>
              </w:rPr>
            </w:pPr>
            <w:r w:rsidRPr="0031675F">
              <w:rPr>
                <w:rFonts w:ascii="Calibri" w:eastAsia="Calibri" w:hAnsi="Calibri"/>
                <w:sz w:val="18"/>
                <w:lang w:val="en-US"/>
              </w:rPr>
              <w:t>1</w:t>
            </w:r>
          </w:p>
        </w:tc>
        <w:tc>
          <w:tcPr>
            <w:tcW w:w="626" w:type="dxa"/>
            <w:tcBorders>
              <w:top w:val="single" w:sz="5" w:space="0" w:color="000000"/>
              <w:left w:val="single" w:sz="5" w:space="0" w:color="000000"/>
              <w:bottom w:val="single" w:sz="5" w:space="0" w:color="000000"/>
              <w:right w:val="single" w:sz="5" w:space="0" w:color="000000"/>
            </w:tcBorders>
          </w:tcPr>
          <w:p w14:paraId="7636653B"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z w:val="18"/>
                <w:lang w:val="en-US"/>
              </w:rPr>
              <w:t>0.035</w:t>
            </w:r>
          </w:p>
        </w:tc>
        <w:tc>
          <w:tcPr>
            <w:tcW w:w="934" w:type="dxa"/>
            <w:tcBorders>
              <w:top w:val="single" w:sz="5" w:space="0" w:color="000000"/>
              <w:left w:val="single" w:sz="5" w:space="0" w:color="000000"/>
              <w:bottom w:val="single" w:sz="5" w:space="0" w:color="000000"/>
              <w:right w:val="single" w:sz="5" w:space="0" w:color="000000"/>
            </w:tcBorders>
          </w:tcPr>
          <w:p w14:paraId="1FD68C89" w14:textId="77777777" w:rsidR="0031675F" w:rsidRPr="0031675F" w:rsidRDefault="0031675F" w:rsidP="0031675F">
            <w:pPr>
              <w:widowControl w:val="0"/>
              <w:spacing w:before="79" w:after="0" w:line="240" w:lineRule="auto"/>
              <w:ind w:left="455"/>
              <w:rPr>
                <w:rFonts w:ascii="Calibri" w:eastAsia="Calibri" w:hAnsi="Calibri" w:cs="Calibri"/>
                <w:sz w:val="18"/>
                <w:szCs w:val="18"/>
                <w:lang w:val="en-US"/>
              </w:rPr>
            </w:pPr>
            <w:r w:rsidRPr="0031675F">
              <w:rPr>
                <w:rFonts w:ascii="Calibri" w:eastAsia="Calibri" w:hAnsi="Calibri"/>
                <w:spacing w:val="-1"/>
                <w:sz w:val="18"/>
                <w:lang w:val="en-US"/>
              </w:rPr>
              <w:t>1000</w:t>
            </w:r>
          </w:p>
        </w:tc>
        <w:tc>
          <w:tcPr>
            <w:tcW w:w="922" w:type="dxa"/>
            <w:tcBorders>
              <w:top w:val="single" w:sz="5" w:space="0" w:color="000000"/>
              <w:left w:val="single" w:sz="5" w:space="0" w:color="000000"/>
              <w:bottom w:val="single" w:sz="5" w:space="0" w:color="000000"/>
              <w:right w:val="single" w:sz="5" w:space="0" w:color="000000"/>
            </w:tcBorders>
          </w:tcPr>
          <w:p w14:paraId="04DA203E" w14:textId="77777777" w:rsidR="0031675F" w:rsidRPr="0031675F" w:rsidRDefault="0031675F" w:rsidP="0031675F">
            <w:pPr>
              <w:widowControl w:val="0"/>
              <w:spacing w:before="79" w:after="0" w:line="240" w:lineRule="auto"/>
              <w:ind w:right="102"/>
              <w:jc w:val="right"/>
              <w:rPr>
                <w:rFonts w:ascii="Calibri" w:eastAsia="Calibri" w:hAnsi="Calibri" w:cs="Calibri"/>
                <w:sz w:val="18"/>
                <w:szCs w:val="18"/>
                <w:lang w:val="en-US"/>
              </w:rPr>
            </w:pPr>
            <w:r w:rsidRPr="0031675F">
              <w:rPr>
                <w:rFonts w:ascii="Calibri" w:eastAsia="Calibri" w:hAnsi="Calibri"/>
                <w:spacing w:val="-1"/>
                <w:w w:val="95"/>
                <w:sz w:val="18"/>
                <w:lang w:val="en-US"/>
              </w:rPr>
              <w:t>10</w:t>
            </w:r>
          </w:p>
        </w:tc>
        <w:tc>
          <w:tcPr>
            <w:tcW w:w="710" w:type="dxa"/>
            <w:tcBorders>
              <w:top w:val="single" w:sz="5" w:space="0" w:color="000000"/>
              <w:left w:val="single" w:sz="5" w:space="0" w:color="000000"/>
              <w:bottom w:val="single" w:sz="5" w:space="0" w:color="000000"/>
              <w:right w:val="single" w:sz="5" w:space="0" w:color="000000"/>
            </w:tcBorders>
          </w:tcPr>
          <w:p w14:paraId="3F138E0A" w14:textId="77777777" w:rsidR="0031675F" w:rsidRPr="0031675F" w:rsidRDefault="0031675F" w:rsidP="0031675F">
            <w:pPr>
              <w:widowControl w:val="0"/>
              <w:spacing w:before="79" w:after="0" w:line="240" w:lineRule="auto"/>
              <w:ind w:left="99"/>
              <w:rPr>
                <w:rFonts w:ascii="Calibri" w:eastAsia="Calibri" w:hAnsi="Calibri" w:cs="Calibri"/>
                <w:sz w:val="18"/>
                <w:szCs w:val="18"/>
                <w:lang w:val="en-US"/>
              </w:rPr>
            </w:pPr>
            <w:r w:rsidRPr="0031675F">
              <w:rPr>
                <w:rFonts w:ascii="Calibri" w:eastAsia="Calibri" w:hAnsi="Calibri"/>
                <w:spacing w:val="-1"/>
                <w:sz w:val="18"/>
                <w:lang w:val="en-US"/>
              </w:rPr>
              <w:t>new15</w:t>
            </w:r>
          </w:p>
        </w:tc>
        <w:tc>
          <w:tcPr>
            <w:tcW w:w="626" w:type="dxa"/>
            <w:tcBorders>
              <w:top w:val="single" w:sz="5" w:space="0" w:color="000000"/>
              <w:left w:val="single" w:sz="5" w:space="0" w:color="000000"/>
              <w:bottom w:val="single" w:sz="5" w:space="0" w:color="000000"/>
              <w:right w:val="single" w:sz="5" w:space="0" w:color="000000"/>
            </w:tcBorders>
          </w:tcPr>
          <w:p w14:paraId="6C3CF337" w14:textId="77777777" w:rsidR="0031675F" w:rsidRPr="0031675F" w:rsidRDefault="0031675F" w:rsidP="0031675F">
            <w:pPr>
              <w:widowControl w:val="0"/>
              <w:spacing w:before="79" w:after="0" w:line="240" w:lineRule="auto"/>
              <w:ind w:left="193"/>
              <w:rPr>
                <w:rFonts w:ascii="Calibri" w:eastAsia="Calibri" w:hAnsi="Calibri" w:cs="Calibri"/>
                <w:sz w:val="18"/>
                <w:szCs w:val="18"/>
                <w:lang w:val="en-US"/>
              </w:rPr>
            </w:pPr>
            <w:r w:rsidRPr="0031675F">
              <w:rPr>
                <w:rFonts w:ascii="Calibri" w:eastAsia="Calibri" w:hAnsi="Calibri"/>
                <w:sz w:val="18"/>
                <w:lang w:val="en-US"/>
              </w:rPr>
              <w:t>5.22</w:t>
            </w:r>
          </w:p>
        </w:tc>
        <w:tc>
          <w:tcPr>
            <w:tcW w:w="629" w:type="dxa"/>
            <w:tcBorders>
              <w:top w:val="single" w:sz="5" w:space="0" w:color="000000"/>
              <w:left w:val="single" w:sz="5" w:space="0" w:color="000000"/>
              <w:bottom w:val="single" w:sz="5" w:space="0" w:color="000000"/>
              <w:right w:val="single" w:sz="5" w:space="0" w:color="000000"/>
            </w:tcBorders>
          </w:tcPr>
          <w:p w14:paraId="794B8029" w14:textId="77777777" w:rsidR="0031675F" w:rsidRPr="0031675F" w:rsidRDefault="0031675F" w:rsidP="0031675F">
            <w:pPr>
              <w:widowControl w:val="0"/>
              <w:spacing w:before="79" w:after="0" w:line="240" w:lineRule="auto"/>
              <w:ind w:left="193"/>
              <w:rPr>
                <w:rFonts w:ascii="Calibri" w:eastAsia="Calibri" w:hAnsi="Calibri" w:cs="Calibri"/>
                <w:sz w:val="18"/>
                <w:szCs w:val="18"/>
                <w:lang w:val="en-US"/>
              </w:rPr>
            </w:pPr>
            <w:r w:rsidRPr="0031675F">
              <w:rPr>
                <w:rFonts w:ascii="Calibri" w:eastAsia="Calibri" w:hAnsi="Calibri"/>
                <w:sz w:val="18"/>
                <w:lang w:val="en-US"/>
              </w:rPr>
              <w:t>3.04</w:t>
            </w:r>
          </w:p>
        </w:tc>
        <w:tc>
          <w:tcPr>
            <w:tcW w:w="759" w:type="dxa"/>
            <w:tcBorders>
              <w:top w:val="single" w:sz="5" w:space="0" w:color="000000"/>
              <w:left w:val="single" w:sz="5" w:space="0" w:color="000000"/>
              <w:bottom w:val="single" w:sz="5" w:space="0" w:color="000000"/>
              <w:right w:val="single" w:sz="5" w:space="0" w:color="000000"/>
            </w:tcBorders>
          </w:tcPr>
          <w:p w14:paraId="60809669" w14:textId="77777777" w:rsidR="0031675F" w:rsidRPr="0031675F" w:rsidRDefault="0031675F" w:rsidP="0031675F">
            <w:pPr>
              <w:widowControl w:val="0"/>
              <w:spacing w:before="79" w:after="0" w:line="240" w:lineRule="auto"/>
              <w:ind w:left="140"/>
              <w:rPr>
                <w:rFonts w:ascii="Calibri" w:eastAsia="Calibri" w:hAnsi="Calibri" w:cs="Calibri"/>
                <w:sz w:val="18"/>
                <w:szCs w:val="18"/>
                <w:lang w:val="en-US"/>
              </w:rPr>
            </w:pPr>
            <w:r w:rsidRPr="0031675F">
              <w:rPr>
                <w:rFonts w:ascii="Calibri" w:eastAsia="Calibri" w:hAnsi="Calibri"/>
                <w:sz w:val="18"/>
                <w:lang w:val="en-US"/>
              </w:rPr>
              <w:t>0.5185</w:t>
            </w:r>
          </w:p>
        </w:tc>
        <w:tc>
          <w:tcPr>
            <w:tcW w:w="758" w:type="dxa"/>
            <w:tcBorders>
              <w:top w:val="single" w:sz="5" w:space="0" w:color="000000"/>
              <w:left w:val="single" w:sz="5" w:space="0" w:color="000000"/>
              <w:bottom w:val="single" w:sz="5" w:space="0" w:color="000000"/>
              <w:right w:val="single" w:sz="5" w:space="0" w:color="000000"/>
            </w:tcBorders>
          </w:tcPr>
          <w:p w14:paraId="40171B2D" w14:textId="77777777" w:rsidR="0031675F" w:rsidRPr="0031675F" w:rsidRDefault="0031675F" w:rsidP="0031675F">
            <w:pPr>
              <w:widowControl w:val="0"/>
              <w:spacing w:before="79" w:after="0" w:line="240" w:lineRule="auto"/>
              <w:ind w:left="142"/>
              <w:rPr>
                <w:rFonts w:ascii="Calibri" w:eastAsia="Calibri" w:hAnsi="Calibri" w:cs="Calibri"/>
                <w:sz w:val="18"/>
                <w:szCs w:val="18"/>
                <w:lang w:val="en-US"/>
              </w:rPr>
            </w:pPr>
            <w:r w:rsidRPr="0031675F">
              <w:rPr>
                <w:rFonts w:ascii="Calibri" w:eastAsia="Calibri" w:hAnsi="Calibri"/>
                <w:sz w:val="18"/>
                <w:lang w:val="en-US"/>
              </w:rPr>
              <w:t>0.3005</w:t>
            </w:r>
          </w:p>
        </w:tc>
        <w:tc>
          <w:tcPr>
            <w:tcW w:w="583" w:type="dxa"/>
            <w:tcBorders>
              <w:top w:val="single" w:sz="5" w:space="0" w:color="000000"/>
              <w:left w:val="single" w:sz="5" w:space="0" w:color="000000"/>
              <w:bottom w:val="single" w:sz="5" w:space="0" w:color="000000"/>
              <w:right w:val="single" w:sz="5" w:space="0" w:color="000000"/>
            </w:tcBorders>
          </w:tcPr>
          <w:p w14:paraId="517A6FCD" w14:textId="77777777" w:rsidR="0031675F" w:rsidRPr="0031675F" w:rsidRDefault="0031675F" w:rsidP="0031675F">
            <w:pPr>
              <w:widowControl w:val="0"/>
              <w:spacing w:before="79" w:after="0" w:line="240" w:lineRule="auto"/>
              <w:ind w:left="123"/>
              <w:rPr>
                <w:rFonts w:ascii="Calibri" w:eastAsia="Calibri" w:hAnsi="Calibri" w:cs="Calibri"/>
                <w:sz w:val="18"/>
                <w:szCs w:val="18"/>
                <w:lang w:val="en-US"/>
              </w:rPr>
            </w:pPr>
            <w:r w:rsidRPr="0031675F">
              <w:rPr>
                <w:rFonts w:ascii="Calibri" w:eastAsia="Calibri" w:hAnsi="Calibri"/>
                <w:b/>
                <w:spacing w:val="-1"/>
                <w:sz w:val="18"/>
                <w:lang w:val="en-US"/>
              </w:rPr>
              <w:t>0.65</w:t>
            </w:r>
          </w:p>
        </w:tc>
        <w:tc>
          <w:tcPr>
            <w:tcW w:w="684" w:type="dxa"/>
            <w:tcBorders>
              <w:top w:val="single" w:sz="5" w:space="0" w:color="000000"/>
              <w:left w:val="single" w:sz="5" w:space="0" w:color="000000"/>
              <w:bottom w:val="single" w:sz="5" w:space="0" w:color="000000"/>
              <w:right w:val="single" w:sz="5" w:space="0" w:color="000000"/>
            </w:tcBorders>
          </w:tcPr>
          <w:p w14:paraId="611FFF3C" w14:textId="77777777" w:rsidR="0031675F" w:rsidRPr="0031675F" w:rsidRDefault="0031675F" w:rsidP="0031675F">
            <w:pPr>
              <w:widowControl w:val="0"/>
              <w:spacing w:before="79" w:after="0" w:line="240" w:lineRule="auto"/>
              <w:ind w:left="171"/>
              <w:rPr>
                <w:rFonts w:ascii="Calibri" w:eastAsia="Calibri" w:hAnsi="Calibri" w:cs="Calibri"/>
                <w:sz w:val="18"/>
                <w:szCs w:val="18"/>
                <w:lang w:val="en-US"/>
              </w:rPr>
            </w:pPr>
            <w:r w:rsidRPr="0031675F">
              <w:rPr>
                <w:rFonts w:ascii="Calibri" w:eastAsia="Calibri" w:hAnsi="Calibri"/>
                <w:b/>
                <w:spacing w:val="-1"/>
                <w:sz w:val="18"/>
                <w:lang w:val="en-US"/>
              </w:rPr>
              <w:t>0.42</w:t>
            </w:r>
          </w:p>
        </w:tc>
        <w:tc>
          <w:tcPr>
            <w:tcW w:w="991" w:type="dxa"/>
            <w:tcBorders>
              <w:top w:val="single" w:sz="5" w:space="0" w:color="000000"/>
              <w:left w:val="single" w:sz="5" w:space="0" w:color="000000"/>
              <w:bottom w:val="single" w:sz="5" w:space="0" w:color="000000"/>
              <w:right w:val="single" w:sz="5" w:space="0" w:color="000000"/>
            </w:tcBorders>
          </w:tcPr>
          <w:p w14:paraId="238F92FD" w14:textId="77777777" w:rsidR="0031675F" w:rsidRPr="0031675F" w:rsidRDefault="0031675F" w:rsidP="0031675F"/>
        </w:tc>
      </w:tr>
      <w:tr w:rsidR="0031675F" w:rsidRPr="0031675F" w14:paraId="4D25586D" w14:textId="77777777" w:rsidTr="00B00729">
        <w:trPr>
          <w:trHeight w:hRule="exact" w:val="389"/>
        </w:trPr>
        <w:tc>
          <w:tcPr>
            <w:tcW w:w="591" w:type="dxa"/>
            <w:tcBorders>
              <w:top w:val="single" w:sz="5" w:space="0" w:color="000000"/>
              <w:left w:val="single" w:sz="5" w:space="0" w:color="000000"/>
              <w:bottom w:val="single" w:sz="5" w:space="0" w:color="000000"/>
              <w:right w:val="single" w:sz="5" w:space="0" w:color="000000"/>
            </w:tcBorders>
          </w:tcPr>
          <w:p w14:paraId="5D079C52"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std</w:t>
            </w:r>
          </w:p>
        </w:tc>
        <w:tc>
          <w:tcPr>
            <w:tcW w:w="977" w:type="dxa"/>
            <w:tcBorders>
              <w:top w:val="single" w:sz="5" w:space="0" w:color="000000"/>
              <w:left w:val="single" w:sz="5" w:space="0" w:color="000000"/>
              <w:bottom w:val="single" w:sz="5" w:space="0" w:color="000000"/>
              <w:right w:val="single" w:sz="5" w:space="0" w:color="000000"/>
            </w:tcBorders>
          </w:tcPr>
          <w:p w14:paraId="0804CAB0"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11-Aug-04</w:t>
            </w:r>
          </w:p>
        </w:tc>
        <w:tc>
          <w:tcPr>
            <w:tcW w:w="497" w:type="dxa"/>
            <w:tcBorders>
              <w:top w:val="single" w:sz="5" w:space="0" w:color="000000"/>
              <w:left w:val="single" w:sz="5" w:space="0" w:color="000000"/>
              <w:bottom w:val="single" w:sz="5" w:space="0" w:color="000000"/>
              <w:right w:val="single" w:sz="5" w:space="0" w:color="000000"/>
            </w:tcBorders>
          </w:tcPr>
          <w:p w14:paraId="3AE06DB2" w14:textId="77777777" w:rsidR="0031675F" w:rsidRPr="0031675F" w:rsidRDefault="0031675F" w:rsidP="0031675F">
            <w:pPr>
              <w:widowControl w:val="0"/>
              <w:spacing w:before="79" w:after="0" w:line="240" w:lineRule="auto"/>
              <w:ind w:left="291"/>
              <w:rPr>
                <w:rFonts w:ascii="Calibri" w:eastAsia="Calibri" w:hAnsi="Calibri" w:cs="Calibri"/>
                <w:sz w:val="18"/>
                <w:szCs w:val="18"/>
                <w:lang w:val="en-US"/>
              </w:rPr>
            </w:pPr>
            <w:r w:rsidRPr="0031675F">
              <w:rPr>
                <w:rFonts w:ascii="Calibri" w:eastAsia="Calibri" w:hAnsi="Calibri"/>
                <w:sz w:val="18"/>
                <w:lang w:val="en-US"/>
              </w:rPr>
              <w:t>1</w:t>
            </w:r>
          </w:p>
        </w:tc>
        <w:tc>
          <w:tcPr>
            <w:tcW w:w="626" w:type="dxa"/>
            <w:tcBorders>
              <w:top w:val="single" w:sz="5" w:space="0" w:color="000000"/>
              <w:left w:val="single" w:sz="5" w:space="0" w:color="000000"/>
              <w:bottom w:val="single" w:sz="5" w:space="0" w:color="000000"/>
              <w:right w:val="single" w:sz="5" w:space="0" w:color="000000"/>
            </w:tcBorders>
          </w:tcPr>
          <w:p w14:paraId="4EDD2280"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z w:val="18"/>
                <w:lang w:val="en-US"/>
              </w:rPr>
              <w:t>0.033</w:t>
            </w:r>
          </w:p>
        </w:tc>
        <w:tc>
          <w:tcPr>
            <w:tcW w:w="934" w:type="dxa"/>
            <w:tcBorders>
              <w:top w:val="single" w:sz="5" w:space="0" w:color="000000"/>
              <w:left w:val="single" w:sz="5" w:space="0" w:color="000000"/>
              <w:bottom w:val="single" w:sz="5" w:space="0" w:color="000000"/>
              <w:right w:val="single" w:sz="5" w:space="0" w:color="000000"/>
            </w:tcBorders>
          </w:tcPr>
          <w:p w14:paraId="1481645D" w14:textId="77777777" w:rsidR="0031675F" w:rsidRPr="0031675F" w:rsidRDefault="0031675F" w:rsidP="0031675F">
            <w:pPr>
              <w:widowControl w:val="0"/>
              <w:spacing w:before="79" w:after="0" w:line="240" w:lineRule="auto"/>
              <w:ind w:left="455"/>
              <w:rPr>
                <w:rFonts w:ascii="Calibri" w:eastAsia="Calibri" w:hAnsi="Calibri" w:cs="Calibri"/>
                <w:sz w:val="18"/>
                <w:szCs w:val="18"/>
                <w:lang w:val="en-US"/>
              </w:rPr>
            </w:pPr>
            <w:r w:rsidRPr="0031675F">
              <w:rPr>
                <w:rFonts w:ascii="Calibri" w:eastAsia="Calibri" w:hAnsi="Calibri"/>
                <w:spacing w:val="-1"/>
                <w:sz w:val="18"/>
                <w:lang w:val="en-US"/>
              </w:rPr>
              <w:t>1000</w:t>
            </w:r>
          </w:p>
        </w:tc>
        <w:tc>
          <w:tcPr>
            <w:tcW w:w="922" w:type="dxa"/>
            <w:tcBorders>
              <w:top w:val="single" w:sz="5" w:space="0" w:color="000000"/>
              <w:left w:val="single" w:sz="5" w:space="0" w:color="000000"/>
              <w:bottom w:val="single" w:sz="5" w:space="0" w:color="000000"/>
              <w:right w:val="single" w:sz="5" w:space="0" w:color="000000"/>
            </w:tcBorders>
          </w:tcPr>
          <w:p w14:paraId="42F411C9" w14:textId="77777777" w:rsidR="0031675F" w:rsidRPr="0031675F" w:rsidRDefault="0031675F" w:rsidP="0031675F">
            <w:pPr>
              <w:widowControl w:val="0"/>
              <w:spacing w:before="79" w:after="0" w:line="240" w:lineRule="auto"/>
              <w:ind w:right="102"/>
              <w:jc w:val="right"/>
              <w:rPr>
                <w:rFonts w:ascii="Calibri" w:eastAsia="Calibri" w:hAnsi="Calibri" w:cs="Calibri"/>
                <w:sz w:val="18"/>
                <w:szCs w:val="18"/>
                <w:lang w:val="en-US"/>
              </w:rPr>
            </w:pPr>
            <w:r w:rsidRPr="0031675F">
              <w:rPr>
                <w:rFonts w:ascii="Calibri" w:eastAsia="Calibri" w:hAnsi="Calibri"/>
                <w:spacing w:val="-1"/>
                <w:w w:val="95"/>
                <w:sz w:val="18"/>
                <w:lang w:val="en-US"/>
              </w:rPr>
              <w:t>10</w:t>
            </w:r>
          </w:p>
        </w:tc>
        <w:tc>
          <w:tcPr>
            <w:tcW w:w="710" w:type="dxa"/>
            <w:tcBorders>
              <w:top w:val="single" w:sz="5" w:space="0" w:color="000000"/>
              <w:left w:val="single" w:sz="5" w:space="0" w:color="000000"/>
              <w:bottom w:val="single" w:sz="5" w:space="0" w:color="000000"/>
              <w:right w:val="single" w:sz="5" w:space="0" w:color="000000"/>
            </w:tcBorders>
          </w:tcPr>
          <w:p w14:paraId="285B293B" w14:textId="77777777" w:rsidR="0031675F" w:rsidRPr="0031675F" w:rsidRDefault="0031675F" w:rsidP="0031675F">
            <w:pPr>
              <w:widowControl w:val="0"/>
              <w:spacing w:before="79" w:after="0" w:line="240" w:lineRule="auto"/>
              <w:ind w:left="99"/>
              <w:rPr>
                <w:rFonts w:ascii="Calibri" w:eastAsia="Calibri" w:hAnsi="Calibri" w:cs="Calibri"/>
                <w:sz w:val="18"/>
                <w:szCs w:val="18"/>
                <w:lang w:val="en-US"/>
              </w:rPr>
            </w:pPr>
            <w:r w:rsidRPr="0031675F">
              <w:rPr>
                <w:rFonts w:ascii="Calibri" w:eastAsia="Calibri" w:hAnsi="Calibri"/>
                <w:spacing w:val="-1"/>
                <w:sz w:val="18"/>
                <w:lang w:val="en-US"/>
              </w:rPr>
              <w:t>new16</w:t>
            </w:r>
          </w:p>
        </w:tc>
        <w:tc>
          <w:tcPr>
            <w:tcW w:w="626" w:type="dxa"/>
            <w:tcBorders>
              <w:top w:val="single" w:sz="5" w:space="0" w:color="000000"/>
              <w:left w:val="single" w:sz="5" w:space="0" w:color="000000"/>
              <w:bottom w:val="single" w:sz="5" w:space="0" w:color="000000"/>
              <w:right w:val="single" w:sz="5" w:space="0" w:color="000000"/>
            </w:tcBorders>
          </w:tcPr>
          <w:p w14:paraId="4C4994C6" w14:textId="77777777" w:rsidR="0031675F" w:rsidRPr="0031675F" w:rsidRDefault="0031675F" w:rsidP="0031675F">
            <w:pPr>
              <w:widowControl w:val="0"/>
              <w:spacing w:before="79" w:after="0" w:line="240" w:lineRule="auto"/>
              <w:ind w:left="193"/>
              <w:rPr>
                <w:rFonts w:ascii="Calibri" w:eastAsia="Calibri" w:hAnsi="Calibri" w:cs="Calibri"/>
                <w:sz w:val="18"/>
                <w:szCs w:val="18"/>
                <w:lang w:val="en-US"/>
              </w:rPr>
            </w:pPr>
            <w:r w:rsidRPr="0031675F">
              <w:rPr>
                <w:rFonts w:ascii="Calibri" w:eastAsia="Calibri" w:hAnsi="Calibri"/>
                <w:sz w:val="18"/>
                <w:lang w:val="en-US"/>
              </w:rPr>
              <w:t>5.22</w:t>
            </w:r>
          </w:p>
        </w:tc>
        <w:tc>
          <w:tcPr>
            <w:tcW w:w="629" w:type="dxa"/>
            <w:tcBorders>
              <w:top w:val="single" w:sz="5" w:space="0" w:color="000000"/>
              <w:left w:val="single" w:sz="5" w:space="0" w:color="000000"/>
              <w:bottom w:val="single" w:sz="5" w:space="0" w:color="000000"/>
              <w:right w:val="single" w:sz="5" w:space="0" w:color="000000"/>
            </w:tcBorders>
          </w:tcPr>
          <w:p w14:paraId="3DDD4FB0" w14:textId="77777777" w:rsidR="0031675F" w:rsidRPr="0031675F" w:rsidRDefault="0031675F" w:rsidP="0031675F">
            <w:pPr>
              <w:widowControl w:val="0"/>
              <w:spacing w:before="79" w:after="0" w:line="240" w:lineRule="auto"/>
              <w:ind w:left="193"/>
              <w:rPr>
                <w:rFonts w:ascii="Calibri" w:eastAsia="Calibri" w:hAnsi="Calibri" w:cs="Calibri"/>
                <w:sz w:val="18"/>
                <w:szCs w:val="18"/>
                <w:lang w:val="en-US"/>
              </w:rPr>
            </w:pPr>
            <w:r w:rsidRPr="0031675F">
              <w:rPr>
                <w:rFonts w:ascii="Calibri" w:eastAsia="Calibri" w:hAnsi="Calibri"/>
                <w:sz w:val="18"/>
                <w:lang w:val="en-US"/>
              </w:rPr>
              <w:t>3.04</w:t>
            </w:r>
          </w:p>
        </w:tc>
        <w:tc>
          <w:tcPr>
            <w:tcW w:w="759" w:type="dxa"/>
            <w:tcBorders>
              <w:top w:val="single" w:sz="5" w:space="0" w:color="000000"/>
              <w:left w:val="single" w:sz="5" w:space="0" w:color="000000"/>
              <w:bottom w:val="single" w:sz="5" w:space="0" w:color="000000"/>
              <w:right w:val="single" w:sz="5" w:space="0" w:color="000000"/>
            </w:tcBorders>
          </w:tcPr>
          <w:p w14:paraId="6E46F205" w14:textId="77777777" w:rsidR="0031675F" w:rsidRPr="0031675F" w:rsidRDefault="0031675F" w:rsidP="0031675F">
            <w:pPr>
              <w:widowControl w:val="0"/>
              <w:spacing w:before="79" w:after="0" w:line="240" w:lineRule="auto"/>
              <w:ind w:left="140"/>
              <w:rPr>
                <w:rFonts w:ascii="Calibri" w:eastAsia="Calibri" w:hAnsi="Calibri" w:cs="Calibri"/>
                <w:sz w:val="18"/>
                <w:szCs w:val="18"/>
                <w:lang w:val="en-US"/>
              </w:rPr>
            </w:pPr>
            <w:r w:rsidRPr="0031675F">
              <w:rPr>
                <w:rFonts w:ascii="Calibri" w:eastAsia="Calibri" w:hAnsi="Calibri"/>
                <w:sz w:val="18"/>
                <w:lang w:val="en-US"/>
              </w:rPr>
              <w:t>0.5187</w:t>
            </w:r>
          </w:p>
        </w:tc>
        <w:tc>
          <w:tcPr>
            <w:tcW w:w="758" w:type="dxa"/>
            <w:tcBorders>
              <w:top w:val="single" w:sz="5" w:space="0" w:color="000000"/>
              <w:left w:val="single" w:sz="5" w:space="0" w:color="000000"/>
              <w:bottom w:val="single" w:sz="5" w:space="0" w:color="000000"/>
              <w:right w:val="single" w:sz="5" w:space="0" w:color="000000"/>
            </w:tcBorders>
          </w:tcPr>
          <w:p w14:paraId="32BF96EA" w14:textId="77777777" w:rsidR="0031675F" w:rsidRPr="0031675F" w:rsidRDefault="0031675F" w:rsidP="0031675F">
            <w:pPr>
              <w:widowControl w:val="0"/>
              <w:spacing w:before="79" w:after="0" w:line="240" w:lineRule="auto"/>
              <w:ind w:left="142"/>
              <w:rPr>
                <w:rFonts w:ascii="Calibri" w:eastAsia="Calibri" w:hAnsi="Calibri" w:cs="Calibri"/>
                <w:sz w:val="18"/>
                <w:szCs w:val="18"/>
                <w:lang w:val="en-US"/>
              </w:rPr>
            </w:pPr>
            <w:r w:rsidRPr="0031675F">
              <w:rPr>
                <w:rFonts w:ascii="Calibri" w:eastAsia="Calibri" w:hAnsi="Calibri"/>
                <w:sz w:val="18"/>
                <w:lang w:val="en-US"/>
              </w:rPr>
              <w:t>0.3007</w:t>
            </w:r>
          </w:p>
        </w:tc>
        <w:tc>
          <w:tcPr>
            <w:tcW w:w="583" w:type="dxa"/>
            <w:tcBorders>
              <w:top w:val="single" w:sz="5" w:space="0" w:color="000000"/>
              <w:left w:val="single" w:sz="5" w:space="0" w:color="000000"/>
              <w:bottom w:val="single" w:sz="5" w:space="0" w:color="000000"/>
              <w:right w:val="single" w:sz="5" w:space="0" w:color="000000"/>
            </w:tcBorders>
          </w:tcPr>
          <w:p w14:paraId="7B0D5477" w14:textId="77777777" w:rsidR="0031675F" w:rsidRPr="0031675F" w:rsidRDefault="0031675F" w:rsidP="0031675F">
            <w:pPr>
              <w:widowControl w:val="0"/>
              <w:spacing w:before="79" w:after="0" w:line="240" w:lineRule="auto"/>
              <w:ind w:left="123"/>
              <w:rPr>
                <w:rFonts w:ascii="Calibri" w:eastAsia="Calibri" w:hAnsi="Calibri" w:cs="Calibri"/>
                <w:sz w:val="18"/>
                <w:szCs w:val="18"/>
                <w:lang w:val="en-US"/>
              </w:rPr>
            </w:pPr>
            <w:r w:rsidRPr="0031675F">
              <w:rPr>
                <w:rFonts w:ascii="Calibri" w:eastAsia="Calibri" w:hAnsi="Calibri"/>
                <w:b/>
                <w:spacing w:val="-1"/>
                <w:sz w:val="18"/>
                <w:lang w:val="en-US"/>
              </w:rPr>
              <w:t>0.68</w:t>
            </w:r>
          </w:p>
        </w:tc>
        <w:tc>
          <w:tcPr>
            <w:tcW w:w="684" w:type="dxa"/>
            <w:tcBorders>
              <w:top w:val="single" w:sz="5" w:space="0" w:color="000000"/>
              <w:left w:val="single" w:sz="5" w:space="0" w:color="000000"/>
              <w:bottom w:val="single" w:sz="5" w:space="0" w:color="000000"/>
              <w:right w:val="single" w:sz="5" w:space="0" w:color="000000"/>
            </w:tcBorders>
          </w:tcPr>
          <w:p w14:paraId="496E41AE" w14:textId="77777777" w:rsidR="0031675F" w:rsidRPr="0031675F" w:rsidRDefault="0031675F" w:rsidP="0031675F">
            <w:pPr>
              <w:widowControl w:val="0"/>
              <w:spacing w:before="79" w:after="0" w:line="240" w:lineRule="auto"/>
              <w:ind w:left="171"/>
              <w:rPr>
                <w:rFonts w:ascii="Calibri" w:eastAsia="Calibri" w:hAnsi="Calibri" w:cs="Calibri"/>
                <w:sz w:val="18"/>
                <w:szCs w:val="18"/>
                <w:lang w:val="en-US"/>
              </w:rPr>
            </w:pPr>
            <w:r w:rsidRPr="0031675F">
              <w:rPr>
                <w:rFonts w:ascii="Calibri" w:eastAsia="Calibri" w:hAnsi="Calibri"/>
                <w:b/>
                <w:spacing w:val="-1"/>
                <w:sz w:val="18"/>
                <w:lang w:val="en-US"/>
              </w:rPr>
              <w:t>0.45</w:t>
            </w:r>
          </w:p>
        </w:tc>
        <w:tc>
          <w:tcPr>
            <w:tcW w:w="991" w:type="dxa"/>
            <w:tcBorders>
              <w:top w:val="single" w:sz="5" w:space="0" w:color="000000"/>
              <w:left w:val="single" w:sz="5" w:space="0" w:color="000000"/>
              <w:bottom w:val="single" w:sz="5" w:space="0" w:color="000000"/>
              <w:right w:val="single" w:sz="5" w:space="0" w:color="000000"/>
            </w:tcBorders>
          </w:tcPr>
          <w:p w14:paraId="25DA9225" w14:textId="77777777" w:rsidR="0031675F" w:rsidRPr="0031675F" w:rsidRDefault="0031675F" w:rsidP="0031675F"/>
        </w:tc>
      </w:tr>
    </w:tbl>
    <w:p w14:paraId="2CBE3646" w14:textId="77777777" w:rsidR="0031675F" w:rsidRPr="0031675F" w:rsidRDefault="0031675F" w:rsidP="0031675F">
      <w:pPr>
        <w:sectPr w:rsidR="0031675F" w:rsidRPr="0031675F" w:rsidSect="004A5C83">
          <w:type w:val="nextColumn"/>
          <w:pgSz w:w="16850" w:h="11910" w:orient="landscape"/>
          <w:pgMar w:top="720" w:right="1281" w:bottom="697" w:left="1281" w:header="520" w:footer="500" w:gutter="0"/>
          <w:paperSrc w:first="7" w:other="7"/>
          <w:cols w:space="720"/>
        </w:sectPr>
      </w:pPr>
    </w:p>
    <w:p w14:paraId="1834EBC1" w14:textId="77777777" w:rsidR="0031675F" w:rsidRPr="0031675F" w:rsidRDefault="0031675F" w:rsidP="0031675F">
      <w:pPr>
        <w:spacing w:before="5"/>
        <w:rPr>
          <w:rFonts w:eastAsia="Arial" w:cs="Arial"/>
          <w:b/>
          <w:bCs/>
          <w:sz w:val="20"/>
          <w:szCs w:val="20"/>
        </w:rPr>
      </w:pPr>
    </w:p>
    <w:p w14:paraId="41451A2A" w14:textId="77777777" w:rsidR="0031675F" w:rsidRPr="0031675F" w:rsidRDefault="0031675F" w:rsidP="0031675F">
      <w:pPr>
        <w:tabs>
          <w:tab w:val="left" w:pos="2338"/>
        </w:tabs>
        <w:ind w:left="2338" w:right="174" w:hanging="2160"/>
        <w:rPr>
          <w:rFonts w:eastAsia="Arial" w:cs="Arial"/>
          <w:sz w:val="24"/>
          <w:szCs w:val="24"/>
        </w:rPr>
      </w:pPr>
      <w:r w:rsidRPr="0031675F">
        <w:rPr>
          <w:b/>
          <w:spacing w:val="-1"/>
          <w:sz w:val="24"/>
        </w:rPr>
        <w:t>Attachment</w:t>
      </w:r>
      <w:r w:rsidRPr="0031675F">
        <w:rPr>
          <w:b/>
          <w:sz w:val="24"/>
        </w:rPr>
        <w:t xml:space="preserve"> 9.5</w:t>
      </w:r>
      <w:r w:rsidRPr="0031675F">
        <w:rPr>
          <w:b/>
          <w:sz w:val="24"/>
        </w:rPr>
        <w:tab/>
      </w:r>
      <w:r w:rsidRPr="0031675F">
        <w:rPr>
          <w:b/>
          <w:spacing w:val="-1"/>
          <w:sz w:val="24"/>
        </w:rPr>
        <w:t>Notes</w:t>
      </w:r>
      <w:r w:rsidRPr="0031675F">
        <w:rPr>
          <w:b/>
          <w:spacing w:val="43"/>
          <w:sz w:val="24"/>
        </w:rPr>
        <w:t xml:space="preserve"> </w:t>
      </w:r>
      <w:r w:rsidRPr="0031675F">
        <w:rPr>
          <w:b/>
          <w:sz w:val="24"/>
        </w:rPr>
        <w:t>on</w:t>
      </w:r>
      <w:r w:rsidRPr="0031675F">
        <w:rPr>
          <w:b/>
          <w:spacing w:val="43"/>
          <w:sz w:val="24"/>
        </w:rPr>
        <w:t xml:space="preserve"> </w:t>
      </w:r>
      <w:r w:rsidRPr="0031675F">
        <w:rPr>
          <w:b/>
          <w:spacing w:val="-1"/>
          <w:sz w:val="24"/>
        </w:rPr>
        <w:t>the</w:t>
      </w:r>
      <w:r w:rsidRPr="0031675F">
        <w:rPr>
          <w:b/>
          <w:spacing w:val="44"/>
          <w:sz w:val="24"/>
        </w:rPr>
        <w:t xml:space="preserve"> </w:t>
      </w:r>
      <w:r w:rsidRPr="0031675F">
        <w:rPr>
          <w:b/>
          <w:sz w:val="24"/>
        </w:rPr>
        <w:t>use</w:t>
      </w:r>
      <w:r w:rsidRPr="0031675F">
        <w:rPr>
          <w:b/>
          <w:spacing w:val="43"/>
          <w:sz w:val="24"/>
        </w:rPr>
        <w:t xml:space="preserve"> </w:t>
      </w:r>
      <w:r w:rsidRPr="0031675F">
        <w:rPr>
          <w:b/>
          <w:sz w:val="24"/>
        </w:rPr>
        <w:t>of</w:t>
      </w:r>
      <w:r w:rsidRPr="0031675F">
        <w:rPr>
          <w:b/>
          <w:spacing w:val="40"/>
          <w:sz w:val="24"/>
        </w:rPr>
        <w:t xml:space="preserve"> </w:t>
      </w:r>
      <w:r w:rsidRPr="0031675F">
        <w:rPr>
          <w:b/>
          <w:sz w:val="24"/>
        </w:rPr>
        <w:t>Solid</w:t>
      </w:r>
      <w:r w:rsidRPr="0031675F">
        <w:rPr>
          <w:b/>
          <w:spacing w:val="44"/>
          <w:sz w:val="24"/>
        </w:rPr>
        <w:t xml:space="preserve"> </w:t>
      </w:r>
      <w:r w:rsidRPr="0031675F">
        <w:rPr>
          <w:b/>
          <w:sz w:val="24"/>
        </w:rPr>
        <w:t>Secondary</w:t>
      </w:r>
      <w:r w:rsidRPr="0031675F">
        <w:rPr>
          <w:b/>
          <w:spacing w:val="42"/>
          <w:sz w:val="24"/>
        </w:rPr>
        <w:t xml:space="preserve"> </w:t>
      </w:r>
      <w:r w:rsidRPr="0031675F">
        <w:rPr>
          <w:b/>
          <w:sz w:val="24"/>
        </w:rPr>
        <w:t>Standards</w:t>
      </w:r>
      <w:r w:rsidRPr="0031675F">
        <w:rPr>
          <w:b/>
          <w:spacing w:val="43"/>
          <w:sz w:val="24"/>
        </w:rPr>
        <w:t xml:space="preserve"> </w:t>
      </w:r>
      <w:r w:rsidRPr="0031675F">
        <w:rPr>
          <w:b/>
          <w:sz w:val="24"/>
        </w:rPr>
        <w:t>in</w:t>
      </w:r>
      <w:r w:rsidRPr="0031675F">
        <w:rPr>
          <w:b/>
          <w:spacing w:val="43"/>
          <w:sz w:val="24"/>
        </w:rPr>
        <w:t xml:space="preserve"> </w:t>
      </w:r>
      <w:r w:rsidRPr="0031675F">
        <w:rPr>
          <w:b/>
          <w:spacing w:val="-1"/>
          <w:sz w:val="24"/>
        </w:rPr>
        <w:t>Turner</w:t>
      </w:r>
      <w:r w:rsidRPr="0031675F">
        <w:rPr>
          <w:b/>
          <w:spacing w:val="35"/>
          <w:sz w:val="24"/>
        </w:rPr>
        <w:t xml:space="preserve"> </w:t>
      </w:r>
      <w:r w:rsidRPr="0031675F">
        <w:rPr>
          <w:b/>
          <w:spacing w:val="-1"/>
          <w:sz w:val="24"/>
        </w:rPr>
        <w:t>fluorometers</w:t>
      </w:r>
    </w:p>
    <w:p w14:paraId="130988F0" w14:textId="77777777" w:rsidR="0031675F" w:rsidRPr="0031675F" w:rsidRDefault="0031675F" w:rsidP="0031675F">
      <w:pPr>
        <w:spacing w:before="11"/>
        <w:rPr>
          <w:rFonts w:eastAsia="Arial" w:cs="Arial"/>
          <w:b/>
          <w:bCs/>
          <w:sz w:val="20"/>
          <w:szCs w:val="20"/>
        </w:rPr>
      </w:pPr>
    </w:p>
    <w:p w14:paraId="6FD72432" w14:textId="77777777" w:rsidR="0031675F" w:rsidRPr="0031675F" w:rsidRDefault="0031675F" w:rsidP="0031675F">
      <w:pPr>
        <w:spacing w:after="120"/>
        <w:ind w:left="178"/>
        <w:jc w:val="both"/>
      </w:pPr>
      <w:r w:rsidRPr="0031675F">
        <w:rPr>
          <w:spacing w:val="-1"/>
        </w:rPr>
        <w:t>(reproduced</w:t>
      </w:r>
      <w:r w:rsidRPr="0031675F">
        <w:rPr>
          <w:spacing w:val="-3"/>
        </w:rPr>
        <w:t xml:space="preserve"> </w:t>
      </w:r>
      <w:r w:rsidRPr="0031675F">
        <w:rPr>
          <w:spacing w:val="-1"/>
        </w:rPr>
        <w:t xml:space="preserve">from </w:t>
      </w:r>
      <w:r w:rsidRPr="0031675F">
        <w:t xml:space="preserve">the </w:t>
      </w:r>
      <w:r w:rsidRPr="0031675F">
        <w:rPr>
          <w:spacing w:val="-1"/>
        </w:rPr>
        <w:t>Turner</w:t>
      </w:r>
      <w:r w:rsidRPr="0031675F">
        <w:t xml:space="preserve"> </w:t>
      </w:r>
      <w:r w:rsidRPr="0031675F">
        <w:rPr>
          <w:spacing w:val="-1"/>
        </w:rPr>
        <w:t>Designs</w:t>
      </w:r>
      <w:r w:rsidRPr="0031675F">
        <w:t xml:space="preserve"> </w:t>
      </w:r>
      <w:r w:rsidRPr="0031675F">
        <w:rPr>
          <w:spacing w:val="-1"/>
        </w:rPr>
        <w:t>web</w:t>
      </w:r>
      <w:r w:rsidRPr="0031675F">
        <w:t xml:space="preserve"> </w:t>
      </w:r>
      <w:r w:rsidRPr="0031675F">
        <w:rPr>
          <w:spacing w:val="-1"/>
        </w:rPr>
        <w:t>page)</w:t>
      </w:r>
    </w:p>
    <w:p w14:paraId="2B94772B" w14:textId="77777777" w:rsidR="0031675F" w:rsidRPr="0031675F" w:rsidRDefault="0031675F" w:rsidP="0031675F">
      <w:pPr>
        <w:spacing w:before="74"/>
        <w:ind w:left="111" w:right="109"/>
        <w:rPr>
          <w:rFonts w:cs="Calibri"/>
        </w:rPr>
      </w:pPr>
      <w:r w:rsidRPr="0031675F">
        <w:rPr>
          <w:b/>
          <w:spacing w:val="-1"/>
        </w:rPr>
        <w:t>Solid</w:t>
      </w:r>
      <w:r w:rsidRPr="0031675F">
        <w:rPr>
          <w:b/>
          <w:spacing w:val="18"/>
        </w:rPr>
        <w:t xml:space="preserve"> </w:t>
      </w:r>
      <w:r w:rsidRPr="0031675F">
        <w:rPr>
          <w:b/>
          <w:spacing w:val="-1"/>
        </w:rPr>
        <w:t>Secondary</w:t>
      </w:r>
      <w:r w:rsidRPr="0031675F">
        <w:rPr>
          <w:b/>
          <w:spacing w:val="22"/>
        </w:rPr>
        <w:t xml:space="preserve"> </w:t>
      </w:r>
      <w:r w:rsidRPr="0031675F">
        <w:rPr>
          <w:b/>
          <w:spacing w:val="-1"/>
        </w:rPr>
        <w:t>Standards</w:t>
      </w:r>
      <w:r w:rsidRPr="0031675F">
        <w:rPr>
          <w:b/>
          <w:spacing w:val="22"/>
        </w:rPr>
        <w:t xml:space="preserve"> </w:t>
      </w:r>
      <w:r w:rsidRPr="0031675F">
        <w:rPr>
          <w:b/>
          <w:spacing w:val="-1"/>
        </w:rPr>
        <w:t>for</w:t>
      </w:r>
      <w:r w:rsidRPr="0031675F">
        <w:rPr>
          <w:b/>
          <w:spacing w:val="22"/>
        </w:rPr>
        <w:t xml:space="preserve"> </w:t>
      </w:r>
      <w:r w:rsidRPr="0031675F">
        <w:rPr>
          <w:b/>
          <w:spacing w:val="-1"/>
        </w:rPr>
        <w:t>Chlorophyll</w:t>
      </w:r>
      <w:r w:rsidRPr="0031675F">
        <w:rPr>
          <w:b/>
          <w:spacing w:val="26"/>
        </w:rPr>
        <w:t xml:space="preserve"> </w:t>
      </w:r>
      <w:r w:rsidRPr="0031675F">
        <w:rPr>
          <w:b/>
          <w:i/>
        </w:rPr>
        <w:t>a</w:t>
      </w:r>
      <w:r w:rsidRPr="0031675F">
        <w:rPr>
          <w:b/>
          <w:i/>
          <w:spacing w:val="20"/>
        </w:rPr>
        <w:t xml:space="preserve"> </w:t>
      </w:r>
      <w:r w:rsidRPr="0031675F">
        <w:rPr>
          <w:b/>
        </w:rPr>
        <w:t>&amp;</w:t>
      </w:r>
      <w:r w:rsidRPr="0031675F">
        <w:rPr>
          <w:b/>
          <w:spacing w:val="20"/>
        </w:rPr>
        <w:t xml:space="preserve"> </w:t>
      </w:r>
      <w:r w:rsidRPr="0031675F">
        <w:rPr>
          <w:b/>
          <w:spacing w:val="-1"/>
        </w:rPr>
        <w:t>Rhodamine</w:t>
      </w:r>
      <w:r w:rsidRPr="0031675F">
        <w:rPr>
          <w:b/>
          <w:spacing w:val="21"/>
        </w:rPr>
        <w:t xml:space="preserve"> </w:t>
      </w:r>
      <w:r w:rsidRPr="0031675F">
        <w:rPr>
          <w:b/>
          <w:spacing w:val="-1"/>
        </w:rPr>
        <w:t>Analysis</w:t>
      </w:r>
      <w:r w:rsidRPr="0031675F">
        <w:rPr>
          <w:b/>
          <w:spacing w:val="22"/>
        </w:rPr>
        <w:t xml:space="preserve"> </w:t>
      </w:r>
      <w:r w:rsidRPr="0031675F">
        <w:rPr>
          <w:b/>
          <w:spacing w:val="-1"/>
        </w:rPr>
        <w:t>for</w:t>
      </w:r>
      <w:r w:rsidRPr="0031675F">
        <w:rPr>
          <w:b/>
          <w:spacing w:val="20"/>
        </w:rPr>
        <w:t xml:space="preserve"> </w:t>
      </w:r>
      <w:r w:rsidRPr="0031675F">
        <w:rPr>
          <w:b/>
          <w:spacing w:val="-2"/>
        </w:rPr>
        <w:t>the</w:t>
      </w:r>
      <w:r w:rsidRPr="0031675F">
        <w:rPr>
          <w:b/>
          <w:spacing w:val="21"/>
        </w:rPr>
        <w:t xml:space="preserve"> </w:t>
      </w:r>
      <w:r w:rsidRPr="0031675F">
        <w:rPr>
          <w:b/>
        </w:rPr>
        <w:t>10-AU</w:t>
      </w:r>
      <w:r w:rsidRPr="0031675F">
        <w:rPr>
          <w:b/>
          <w:spacing w:val="20"/>
        </w:rPr>
        <w:t xml:space="preserve"> </w:t>
      </w:r>
    </w:p>
    <w:p w14:paraId="79AC80C3" w14:textId="77777777" w:rsidR="0031675F" w:rsidRPr="0031675F" w:rsidRDefault="0031675F" w:rsidP="0031675F">
      <w:pPr>
        <w:rPr>
          <w:rFonts w:cs="Calibri"/>
          <w:b/>
          <w:bCs/>
        </w:rPr>
      </w:pPr>
    </w:p>
    <w:p w14:paraId="69D4B85E" w14:textId="77777777" w:rsidR="0031675F" w:rsidRPr="0031675F" w:rsidRDefault="0031675F" w:rsidP="0031675F">
      <w:pPr>
        <w:ind w:left="111" w:right="107"/>
        <w:jc w:val="both"/>
        <w:rPr>
          <w:rFonts w:cs="Calibri"/>
        </w:rPr>
      </w:pPr>
      <w:r w:rsidRPr="0031675F">
        <w:t>Preparing</w:t>
      </w:r>
      <w:r w:rsidRPr="0031675F">
        <w:rPr>
          <w:spacing w:val="23"/>
        </w:rPr>
        <w:t xml:space="preserve"> </w:t>
      </w:r>
      <w:r w:rsidRPr="0031675F">
        <w:rPr>
          <w:spacing w:val="-1"/>
        </w:rPr>
        <w:t>primary</w:t>
      </w:r>
      <w:r w:rsidRPr="0031675F">
        <w:rPr>
          <w:spacing w:val="25"/>
        </w:rPr>
        <w:t xml:space="preserve"> </w:t>
      </w:r>
      <w:r w:rsidRPr="0031675F">
        <w:rPr>
          <w:spacing w:val="-1"/>
        </w:rPr>
        <w:t>standard</w:t>
      </w:r>
      <w:r w:rsidRPr="0031675F">
        <w:rPr>
          <w:spacing w:val="24"/>
        </w:rPr>
        <w:t xml:space="preserve"> </w:t>
      </w:r>
      <w:r w:rsidRPr="0031675F">
        <w:t>for</w:t>
      </w:r>
      <w:r w:rsidRPr="0031675F">
        <w:rPr>
          <w:spacing w:val="24"/>
        </w:rPr>
        <w:t xml:space="preserve"> </w:t>
      </w:r>
      <w:r w:rsidRPr="0031675F">
        <w:rPr>
          <w:spacing w:val="-1"/>
        </w:rPr>
        <w:t>Chlorophyll</w:t>
      </w:r>
      <w:r w:rsidRPr="0031675F">
        <w:rPr>
          <w:spacing w:val="29"/>
        </w:rPr>
        <w:t xml:space="preserve"> </w:t>
      </w:r>
      <w:r w:rsidRPr="0031675F">
        <w:rPr>
          <w:i/>
        </w:rPr>
        <w:t>a</w:t>
      </w:r>
      <w:r w:rsidRPr="0031675F">
        <w:rPr>
          <w:i/>
          <w:spacing w:val="25"/>
        </w:rPr>
        <w:t xml:space="preserve"> </w:t>
      </w:r>
      <w:r w:rsidRPr="0031675F">
        <w:t>or</w:t>
      </w:r>
      <w:r w:rsidRPr="0031675F">
        <w:rPr>
          <w:spacing w:val="24"/>
        </w:rPr>
        <w:t xml:space="preserve"> </w:t>
      </w:r>
      <w:r w:rsidRPr="0031675F">
        <w:t>Rhodamine</w:t>
      </w:r>
      <w:r w:rsidRPr="0031675F">
        <w:rPr>
          <w:spacing w:val="23"/>
        </w:rPr>
        <w:t xml:space="preserve"> </w:t>
      </w:r>
      <w:r w:rsidRPr="0031675F">
        <w:t>WT</w:t>
      </w:r>
      <w:r w:rsidRPr="0031675F">
        <w:rPr>
          <w:spacing w:val="23"/>
        </w:rPr>
        <w:t xml:space="preserve"> </w:t>
      </w:r>
      <w:r w:rsidRPr="0031675F">
        <w:t>analysis</w:t>
      </w:r>
      <w:r w:rsidRPr="0031675F">
        <w:rPr>
          <w:spacing w:val="23"/>
        </w:rPr>
        <w:t xml:space="preserve"> </w:t>
      </w:r>
      <w:r w:rsidRPr="0031675F">
        <w:t>can</w:t>
      </w:r>
      <w:r w:rsidRPr="0031675F">
        <w:rPr>
          <w:spacing w:val="25"/>
        </w:rPr>
        <w:t xml:space="preserve"> </w:t>
      </w:r>
      <w:r w:rsidRPr="0031675F">
        <w:t>be</w:t>
      </w:r>
      <w:r w:rsidRPr="0031675F">
        <w:rPr>
          <w:spacing w:val="24"/>
        </w:rPr>
        <w:t xml:space="preserve"> </w:t>
      </w:r>
      <w:r w:rsidRPr="0031675F">
        <w:t>troublesome</w:t>
      </w:r>
      <w:r w:rsidRPr="0031675F">
        <w:rPr>
          <w:spacing w:val="23"/>
        </w:rPr>
        <w:t xml:space="preserve"> </w:t>
      </w:r>
      <w:r w:rsidRPr="0031675F">
        <w:rPr>
          <w:spacing w:val="1"/>
        </w:rPr>
        <w:t>as</w:t>
      </w:r>
      <w:r w:rsidRPr="0031675F">
        <w:rPr>
          <w:spacing w:val="23"/>
        </w:rPr>
        <w:t xml:space="preserve"> </w:t>
      </w:r>
      <w:r w:rsidRPr="0031675F">
        <w:t>well</w:t>
      </w:r>
      <w:r w:rsidRPr="0031675F">
        <w:rPr>
          <w:spacing w:val="24"/>
        </w:rPr>
        <w:t xml:space="preserve"> </w:t>
      </w:r>
      <w:r w:rsidRPr="0031675F">
        <w:t>as</w:t>
      </w:r>
      <w:r w:rsidRPr="0031675F">
        <w:rPr>
          <w:spacing w:val="23"/>
        </w:rPr>
        <w:t xml:space="preserve"> </w:t>
      </w:r>
      <w:r w:rsidRPr="0031675F">
        <w:t>time</w:t>
      </w:r>
      <w:r w:rsidRPr="0031675F">
        <w:rPr>
          <w:spacing w:val="56"/>
          <w:w w:val="99"/>
        </w:rPr>
        <w:t xml:space="preserve"> </w:t>
      </w:r>
      <w:r w:rsidRPr="0031675F">
        <w:rPr>
          <w:spacing w:val="-1"/>
        </w:rPr>
        <w:t>consuming.</w:t>
      </w:r>
      <w:r w:rsidRPr="0031675F">
        <w:rPr>
          <w:spacing w:val="35"/>
        </w:rPr>
        <w:t xml:space="preserve"> </w:t>
      </w:r>
      <w:r w:rsidRPr="0031675F">
        <w:t>Handling</w:t>
      </w:r>
      <w:r w:rsidRPr="0031675F">
        <w:rPr>
          <w:spacing w:val="35"/>
        </w:rPr>
        <w:t xml:space="preserve"> </w:t>
      </w:r>
      <w:r w:rsidRPr="0031675F">
        <w:t>of</w:t>
      </w:r>
      <w:r w:rsidRPr="0031675F">
        <w:rPr>
          <w:spacing w:val="34"/>
        </w:rPr>
        <w:t xml:space="preserve"> </w:t>
      </w:r>
      <w:r w:rsidRPr="0031675F">
        <w:t>concentrated</w:t>
      </w:r>
      <w:r w:rsidRPr="0031675F">
        <w:rPr>
          <w:spacing w:val="36"/>
        </w:rPr>
        <w:t xml:space="preserve"> </w:t>
      </w:r>
      <w:r w:rsidRPr="0031675F">
        <w:rPr>
          <w:spacing w:val="-1"/>
        </w:rPr>
        <w:t>solutions</w:t>
      </w:r>
      <w:r w:rsidRPr="0031675F">
        <w:rPr>
          <w:spacing w:val="34"/>
        </w:rPr>
        <w:t xml:space="preserve"> </w:t>
      </w:r>
      <w:r w:rsidRPr="0031675F">
        <w:rPr>
          <w:spacing w:val="-1"/>
        </w:rPr>
        <w:t>should</w:t>
      </w:r>
      <w:r w:rsidRPr="0031675F">
        <w:rPr>
          <w:spacing w:val="38"/>
        </w:rPr>
        <w:t xml:space="preserve"> </w:t>
      </w:r>
      <w:r w:rsidRPr="0031675F">
        <w:t>be</w:t>
      </w:r>
      <w:r w:rsidRPr="0031675F">
        <w:rPr>
          <w:spacing w:val="34"/>
        </w:rPr>
        <w:t xml:space="preserve"> </w:t>
      </w:r>
      <w:r w:rsidRPr="0031675F">
        <w:rPr>
          <w:spacing w:val="-1"/>
        </w:rPr>
        <w:t>minimized</w:t>
      </w:r>
      <w:r w:rsidRPr="0031675F">
        <w:rPr>
          <w:spacing w:val="37"/>
        </w:rPr>
        <w:t xml:space="preserve"> </w:t>
      </w:r>
      <w:r w:rsidRPr="0031675F">
        <w:t>since</w:t>
      </w:r>
      <w:r w:rsidRPr="0031675F">
        <w:rPr>
          <w:spacing w:val="34"/>
        </w:rPr>
        <w:t xml:space="preserve"> </w:t>
      </w:r>
      <w:r w:rsidRPr="0031675F">
        <w:t>they</w:t>
      </w:r>
      <w:r w:rsidRPr="0031675F">
        <w:rPr>
          <w:spacing w:val="36"/>
        </w:rPr>
        <w:t xml:space="preserve"> </w:t>
      </w:r>
      <w:r w:rsidRPr="0031675F">
        <w:t>are</w:t>
      </w:r>
      <w:r w:rsidRPr="0031675F">
        <w:rPr>
          <w:spacing w:val="35"/>
        </w:rPr>
        <w:t xml:space="preserve"> </w:t>
      </w:r>
      <w:r w:rsidRPr="0031675F">
        <w:t>temperature</w:t>
      </w:r>
      <w:r w:rsidRPr="0031675F">
        <w:rPr>
          <w:spacing w:val="34"/>
        </w:rPr>
        <w:t xml:space="preserve"> </w:t>
      </w:r>
      <w:r w:rsidRPr="0031675F">
        <w:t>and</w:t>
      </w:r>
      <w:r w:rsidRPr="0031675F">
        <w:rPr>
          <w:spacing w:val="72"/>
          <w:w w:val="99"/>
        </w:rPr>
        <w:t xml:space="preserve"> </w:t>
      </w:r>
      <w:r w:rsidRPr="0031675F">
        <w:rPr>
          <w:spacing w:val="-1"/>
        </w:rPr>
        <w:t>photosensitive.</w:t>
      </w:r>
      <w:r w:rsidRPr="0031675F">
        <w:t xml:space="preserve"> </w:t>
      </w:r>
      <w:r w:rsidRPr="0031675F">
        <w:rPr>
          <w:spacing w:val="-1"/>
        </w:rPr>
        <w:t>Stability</w:t>
      </w:r>
      <w:r w:rsidRPr="0031675F">
        <w:rPr>
          <w:spacing w:val="1"/>
        </w:rPr>
        <w:t xml:space="preserve"> </w:t>
      </w:r>
      <w:r w:rsidRPr="0031675F">
        <w:t>of</w:t>
      </w:r>
      <w:r w:rsidRPr="0031675F">
        <w:rPr>
          <w:spacing w:val="-1"/>
        </w:rPr>
        <w:t xml:space="preserve"> </w:t>
      </w:r>
      <w:r w:rsidRPr="0031675F">
        <w:rPr>
          <w:spacing w:val="1"/>
        </w:rPr>
        <w:t>the</w:t>
      </w:r>
      <w:r w:rsidRPr="0031675F">
        <w:t xml:space="preserve"> </w:t>
      </w:r>
      <w:r w:rsidRPr="0031675F">
        <w:rPr>
          <w:spacing w:val="-1"/>
        </w:rPr>
        <w:t>final</w:t>
      </w:r>
      <w:r w:rsidRPr="0031675F">
        <w:t xml:space="preserve"> </w:t>
      </w:r>
      <w:r w:rsidRPr="0031675F">
        <w:rPr>
          <w:spacing w:val="-1"/>
        </w:rPr>
        <w:t>standard</w:t>
      </w:r>
      <w:r w:rsidRPr="0031675F">
        <w:t xml:space="preserve"> is</w:t>
      </w:r>
      <w:r w:rsidRPr="0031675F">
        <w:rPr>
          <w:spacing w:val="-1"/>
        </w:rPr>
        <w:t xml:space="preserve"> </w:t>
      </w:r>
      <w:r w:rsidRPr="0031675F">
        <w:t>always</w:t>
      </w:r>
      <w:r w:rsidRPr="0031675F">
        <w:rPr>
          <w:spacing w:val="-1"/>
        </w:rPr>
        <w:t xml:space="preserve"> </w:t>
      </w:r>
      <w:r w:rsidRPr="0031675F">
        <w:t>a concern.</w:t>
      </w:r>
      <w:r w:rsidRPr="0031675F">
        <w:rPr>
          <w:spacing w:val="1"/>
        </w:rPr>
        <w:t xml:space="preserve"> </w:t>
      </w:r>
      <w:r w:rsidRPr="0031675F">
        <w:rPr>
          <w:spacing w:val="-1"/>
        </w:rPr>
        <w:t>Solid</w:t>
      </w:r>
      <w:r w:rsidRPr="0031675F">
        <w:rPr>
          <w:spacing w:val="1"/>
        </w:rPr>
        <w:t xml:space="preserve"> </w:t>
      </w:r>
      <w:r w:rsidRPr="0031675F">
        <w:rPr>
          <w:spacing w:val="-1"/>
        </w:rPr>
        <w:t>Secondary</w:t>
      </w:r>
      <w:r w:rsidRPr="0031675F">
        <w:t xml:space="preserve"> standards</w:t>
      </w:r>
      <w:r w:rsidRPr="0031675F">
        <w:rPr>
          <w:spacing w:val="-1"/>
        </w:rPr>
        <w:t xml:space="preserve"> circumvent</w:t>
      </w:r>
      <w:r w:rsidRPr="0031675F">
        <w:rPr>
          <w:spacing w:val="2"/>
        </w:rPr>
        <w:t xml:space="preserve"> </w:t>
      </w:r>
      <w:r w:rsidRPr="0031675F">
        <w:t>some</w:t>
      </w:r>
      <w:r w:rsidRPr="0031675F">
        <w:rPr>
          <w:spacing w:val="-1"/>
        </w:rPr>
        <w:t xml:space="preserve"> </w:t>
      </w:r>
      <w:r w:rsidRPr="0031675F">
        <w:t>of</w:t>
      </w:r>
      <w:r w:rsidRPr="0031675F">
        <w:rPr>
          <w:spacing w:val="97"/>
          <w:w w:val="99"/>
        </w:rPr>
        <w:t xml:space="preserve"> </w:t>
      </w:r>
      <w:r w:rsidRPr="0031675F">
        <w:rPr>
          <w:spacing w:val="-1"/>
        </w:rPr>
        <w:t>these</w:t>
      </w:r>
      <w:r w:rsidRPr="0031675F">
        <w:rPr>
          <w:spacing w:val="30"/>
        </w:rPr>
        <w:t xml:space="preserve"> </w:t>
      </w:r>
      <w:r w:rsidRPr="0031675F">
        <w:t>concerns,</w:t>
      </w:r>
      <w:r w:rsidRPr="0031675F">
        <w:rPr>
          <w:spacing w:val="34"/>
        </w:rPr>
        <w:t xml:space="preserve"> </w:t>
      </w:r>
      <w:r w:rsidRPr="0031675F">
        <w:t>especially</w:t>
      </w:r>
      <w:r w:rsidRPr="0031675F">
        <w:rPr>
          <w:spacing w:val="31"/>
        </w:rPr>
        <w:t xml:space="preserve"> </w:t>
      </w:r>
      <w:r w:rsidRPr="0031675F">
        <w:t>in</w:t>
      </w:r>
      <w:r w:rsidRPr="0031675F">
        <w:rPr>
          <w:spacing w:val="35"/>
        </w:rPr>
        <w:t xml:space="preserve"> </w:t>
      </w:r>
      <w:r w:rsidRPr="0031675F">
        <w:rPr>
          <w:spacing w:val="-1"/>
        </w:rPr>
        <w:t>field</w:t>
      </w:r>
      <w:r w:rsidRPr="0031675F">
        <w:rPr>
          <w:spacing w:val="31"/>
        </w:rPr>
        <w:t xml:space="preserve"> </w:t>
      </w:r>
      <w:r w:rsidRPr="0031675F">
        <w:t>applications</w:t>
      </w:r>
      <w:r w:rsidRPr="0031675F">
        <w:rPr>
          <w:spacing w:val="33"/>
        </w:rPr>
        <w:t xml:space="preserve"> </w:t>
      </w:r>
      <w:r w:rsidRPr="0031675F">
        <w:t>where</w:t>
      </w:r>
      <w:r w:rsidRPr="0031675F">
        <w:rPr>
          <w:spacing w:val="31"/>
        </w:rPr>
        <w:t xml:space="preserve"> </w:t>
      </w:r>
      <w:r w:rsidRPr="0031675F">
        <w:t>there</w:t>
      </w:r>
      <w:r w:rsidRPr="0031675F">
        <w:rPr>
          <w:spacing w:val="30"/>
        </w:rPr>
        <w:t xml:space="preserve"> </w:t>
      </w:r>
      <w:r w:rsidRPr="0031675F">
        <w:t>is</w:t>
      </w:r>
      <w:r w:rsidRPr="0031675F">
        <w:rPr>
          <w:spacing w:val="30"/>
        </w:rPr>
        <w:t xml:space="preserve"> </w:t>
      </w:r>
      <w:r w:rsidRPr="0031675F">
        <w:t>little</w:t>
      </w:r>
      <w:r w:rsidRPr="0031675F">
        <w:rPr>
          <w:spacing w:val="31"/>
        </w:rPr>
        <w:t xml:space="preserve"> </w:t>
      </w:r>
      <w:r w:rsidRPr="0031675F">
        <w:t>time</w:t>
      </w:r>
      <w:r w:rsidRPr="0031675F">
        <w:rPr>
          <w:spacing w:val="30"/>
        </w:rPr>
        <w:t xml:space="preserve"> </w:t>
      </w:r>
      <w:r w:rsidRPr="0031675F">
        <w:t>and</w:t>
      </w:r>
      <w:r w:rsidRPr="0031675F">
        <w:rPr>
          <w:spacing w:val="32"/>
        </w:rPr>
        <w:t xml:space="preserve"> </w:t>
      </w:r>
      <w:r w:rsidRPr="0031675F">
        <w:t>few</w:t>
      </w:r>
      <w:r w:rsidRPr="0031675F">
        <w:rPr>
          <w:spacing w:val="31"/>
        </w:rPr>
        <w:t xml:space="preserve"> </w:t>
      </w:r>
      <w:r w:rsidRPr="0031675F">
        <w:t>resources</w:t>
      </w:r>
      <w:r w:rsidRPr="0031675F">
        <w:rPr>
          <w:spacing w:val="30"/>
        </w:rPr>
        <w:t xml:space="preserve"> </w:t>
      </w:r>
      <w:r w:rsidRPr="0031675F">
        <w:t>to</w:t>
      </w:r>
      <w:r w:rsidRPr="0031675F">
        <w:rPr>
          <w:spacing w:val="32"/>
        </w:rPr>
        <w:t xml:space="preserve"> </w:t>
      </w:r>
      <w:r w:rsidRPr="0031675F">
        <w:t>prepare</w:t>
      </w:r>
      <w:r w:rsidRPr="0031675F">
        <w:rPr>
          <w:spacing w:val="30"/>
        </w:rPr>
        <w:t xml:space="preserve"> </w:t>
      </w:r>
      <w:r w:rsidRPr="0031675F">
        <w:rPr>
          <w:spacing w:val="-1"/>
        </w:rPr>
        <w:t>new</w:t>
      </w:r>
      <w:r w:rsidRPr="0031675F">
        <w:rPr>
          <w:spacing w:val="36"/>
          <w:w w:val="99"/>
        </w:rPr>
        <w:t xml:space="preserve"> </w:t>
      </w:r>
      <w:r w:rsidRPr="0031675F">
        <w:rPr>
          <w:spacing w:val="-1"/>
        </w:rPr>
        <w:t>standards</w:t>
      </w:r>
      <w:r w:rsidRPr="0031675F">
        <w:rPr>
          <w:spacing w:val="1"/>
        </w:rPr>
        <w:t xml:space="preserve"> </w:t>
      </w:r>
      <w:r w:rsidRPr="0031675F">
        <w:t>or</w:t>
      </w:r>
      <w:r w:rsidRPr="0031675F">
        <w:rPr>
          <w:spacing w:val="5"/>
        </w:rPr>
        <w:t xml:space="preserve"> </w:t>
      </w:r>
      <w:r w:rsidRPr="0031675F">
        <w:rPr>
          <w:spacing w:val="-1"/>
        </w:rPr>
        <w:t>examine</w:t>
      </w:r>
      <w:r w:rsidRPr="0031675F">
        <w:rPr>
          <w:spacing w:val="2"/>
        </w:rPr>
        <w:t xml:space="preserve"> </w:t>
      </w:r>
      <w:r w:rsidRPr="0031675F">
        <w:t>the</w:t>
      </w:r>
      <w:r w:rsidRPr="0031675F">
        <w:rPr>
          <w:spacing w:val="5"/>
        </w:rPr>
        <w:t xml:space="preserve"> </w:t>
      </w:r>
      <w:r w:rsidRPr="0031675F">
        <w:t>stability</w:t>
      </w:r>
      <w:r w:rsidRPr="0031675F">
        <w:rPr>
          <w:spacing w:val="4"/>
        </w:rPr>
        <w:t xml:space="preserve"> </w:t>
      </w:r>
      <w:r w:rsidRPr="0031675F">
        <w:t>of</w:t>
      </w:r>
      <w:r w:rsidRPr="0031675F">
        <w:rPr>
          <w:spacing w:val="1"/>
        </w:rPr>
        <w:t xml:space="preserve"> </w:t>
      </w:r>
      <w:r w:rsidRPr="0031675F">
        <w:t>existing</w:t>
      </w:r>
      <w:r w:rsidRPr="0031675F">
        <w:rPr>
          <w:spacing w:val="5"/>
        </w:rPr>
        <w:t xml:space="preserve"> </w:t>
      </w:r>
      <w:r w:rsidRPr="0031675F">
        <w:t>standards.</w:t>
      </w:r>
      <w:r w:rsidRPr="0031675F">
        <w:rPr>
          <w:spacing w:val="3"/>
        </w:rPr>
        <w:t xml:space="preserve"> </w:t>
      </w:r>
      <w:r w:rsidRPr="0031675F">
        <w:t>This</w:t>
      </w:r>
      <w:r w:rsidRPr="0031675F">
        <w:rPr>
          <w:spacing w:val="1"/>
        </w:rPr>
        <w:t xml:space="preserve"> </w:t>
      </w:r>
      <w:r w:rsidRPr="0031675F">
        <w:t>product</w:t>
      </w:r>
      <w:r w:rsidRPr="0031675F">
        <w:rPr>
          <w:spacing w:val="3"/>
        </w:rPr>
        <w:t xml:space="preserve"> </w:t>
      </w:r>
      <w:r w:rsidRPr="0031675F">
        <w:rPr>
          <w:spacing w:val="-1"/>
        </w:rPr>
        <w:t>provides</w:t>
      </w:r>
      <w:r w:rsidRPr="0031675F">
        <w:rPr>
          <w:spacing w:val="3"/>
        </w:rPr>
        <w:t xml:space="preserve"> </w:t>
      </w:r>
      <w:r w:rsidRPr="0031675F">
        <w:t>a</w:t>
      </w:r>
      <w:r w:rsidRPr="0031675F">
        <w:rPr>
          <w:spacing w:val="4"/>
        </w:rPr>
        <w:t xml:space="preserve"> </w:t>
      </w:r>
      <w:r w:rsidRPr="0031675F">
        <w:t>simple,</w:t>
      </w:r>
      <w:r w:rsidRPr="0031675F">
        <w:rPr>
          <w:spacing w:val="5"/>
        </w:rPr>
        <w:t xml:space="preserve"> </w:t>
      </w:r>
      <w:r w:rsidRPr="0031675F">
        <w:rPr>
          <w:spacing w:val="-1"/>
        </w:rPr>
        <w:t>stable,</w:t>
      </w:r>
      <w:r w:rsidRPr="0031675F">
        <w:rPr>
          <w:spacing w:val="3"/>
        </w:rPr>
        <w:t xml:space="preserve"> </w:t>
      </w:r>
      <w:r w:rsidRPr="0031675F">
        <w:t>and</w:t>
      </w:r>
      <w:r w:rsidRPr="0031675F">
        <w:rPr>
          <w:spacing w:val="3"/>
        </w:rPr>
        <w:t xml:space="preserve"> </w:t>
      </w:r>
      <w:r w:rsidRPr="0031675F">
        <w:t>less</w:t>
      </w:r>
      <w:r w:rsidRPr="0031675F">
        <w:rPr>
          <w:spacing w:val="62"/>
          <w:w w:val="99"/>
        </w:rPr>
        <w:t xml:space="preserve"> </w:t>
      </w:r>
      <w:r w:rsidRPr="0031675F">
        <w:rPr>
          <w:spacing w:val="-1"/>
        </w:rPr>
        <w:t>expensive</w:t>
      </w:r>
      <w:r w:rsidRPr="0031675F">
        <w:rPr>
          <w:spacing w:val="5"/>
        </w:rPr>
        <w:t xml:space="preserve"> </w:t>
      </w:r>
      <w:r w:rsidRPr="0031675F">
        <w:rPr>
          <w:spacing w:val="-1"/>
        </w:rPr>
        <w:t>alternative</w:t>
      </w:r>
      <w:r w:rsidRPr="0031675F">
        <w:rPr>
          <w:spacing w:val="3"/>
        </w:rPr>
        <w:t xml:space="preserve"> </w:t>
      </w:r>
      <w:r w:rsidRPr="0031675F">
        <w:t>to</w:t>
      </w:r>
      <w:r w:rsidRPr="0031675F">
        <w:rPr>
          <w:spacing w:val="7"/>
        </w:rPr>
        <w:t xml:space="preserve"> </w:t>
      </w:r>
      <w:r w:rsidRPr="0031675F">
        <w:t>multiple</w:t>
      </w:r>
      <w:r w:rsidRPr="0031675F">
        <w:rPr>
          <w:spacing w:val="3"/>
        </w:rPr>
        <w:t xml:space="preserve"> </w:t>
      </w:r>
      <w:r w:rsidRPr="0031675F">
        <w:t>calibrations</w:t>
      </w:r>
      <w:r w:rsidRPr="0031675F">
        <w:rPr>
          <w:spacing w:val="5"/>
        </w:rPr>
        <w:t xml:space="preserve"> </w:t>
      </w:r>
      <w:r w:rsidRPr="0031675F">
        <w:rPr>
          <w:spacing w:val="-1"/>
        </w:rPr>
        <w:t>with</w:t>
      </w:r>
      <w:r w:rsidRPr="0031675F">
        <w:rPr>
          <w:spacing w:val="10"/>
        </w:rPr>
        <w:t xml:space="preserve"> </w:t>
      </w:r>
      <w:r w:rsidRPr="0031675F">
        <w:t>of</w:t>
      </w:r>
      <w:r w:rsidRPr="0031675F">
        <w:rPr>
          <w:spacing w:val="3"/>
        </w:rPr>
        <w:t xml:space="preserve"> </w:t>
      </w:r>
      <w:r w:rsidRPr="0031675F">
        <w:t>a</w:t>
      </w:r>
      <w:r w:rsidRPr="0031675F">
        <w:rPr>
          <w:spacing w:val="5"/>
        </w:rPr>
        <w:t xml:space="preserve"> </w:t>
      </w:r>
      <w:r w:rsidRPr="0031675F">
        <w:t>primary</w:t>
      </w:r>
      <w:r w:rsidRPr="0031675F">
        <w:rPr>
          <w:spacing w:val="5"/>
        </w:rPr>
        <w:t xml:space="preserve"> </w:t>
      </w:r>
      <w:r w:rsidRPr="0031675F">
        <w:rPr>
          <w:spacing w:val="-1"/>
        </w:rPr>
        <w:t>standard.</w:t>
      </w:r>
      <w:r w:rsidRPr="0031675F">
        <w:rPr>
          <w:spacing w:val="5"/>
        </w:rPr>
        <w:t xml:space="preserve"> </w:t>
      </w:r>
      <w:r w:rsidRPr="0031675F">
        <w:rPr>
          <w:spacing w:val="-1"/>
        </w:rPr>
        <w:t>Once</w:t>
      </w:r>
      <w:r w:rsidRPr="0031675F">
        <w:rPr>
          <w:spacing w:val="3"/>
        </w:rPr>
        <w:t xml:space="preserve"> </w:t>
      </w:r>
      <w:r w:rsidRPr="0031675F">
        <w:t>the</w:t>
      </w:r>
      <w:r w:rsidRPr="0031675F">
        <w:rPr>
          <w:spacing w:val="6"/>
        </w:rPr>
        <w:t xml:space="preserve"> </w:t>
      </w:r>
      <w:r w:rsidRPr="0031675F">
        <w:rPr>
          <w:spacing w:val="-1"/>
        </w:rPr>
        <w:t>instrument</w:t>
      </w:r>
      <w:r w:rsidRPr="0031675F">
        <w:rPr>
          <w:spacing w:val="4"/>
        </w:rPr>
        <w:t xml:space="preserve"> </w:t>
      </w:r>
      <w:r w:rsidRPr="0031675F">
        <w:t>is</w:t>
      </w:r>
      <w:r w:rsidRPr="0031675F">
        <w:rPr>
          <w:spacing w:val="5"/>
        </w:rPr>
        <w:t xml:space="preserve"> </w:t>
      </w:r>
      <w:r w:rsidRPr="0031675F">
        <w:t>calibrated</w:t>
      </w:r>
      <w:r w:rsidRPr="0031675F">
        <w:rPr>
          <w:spacing w:val="7"/>
        </w:rPr>
        <w:t xml:space="preserve"> </w:t>
      </w:r>
      <w:r w:rsidRPr="0031675F">
        <w:rPr>
          <w:spacing w:val="-1"/>
        </w:rPr>
        <w:t>with</w:t>
      </w:r>
      <w:r w:rsidRPr="0031675F">
        <w:rPr>
          <w:spacing w:val="89"/>
          <w:w w:val="99"/>
        </w:rPr>
        <w:t xml:space="preserve"> </w:t>
      </w:r>
      <w:r w:rsidRPr="0031675F">
        <w:t>a</w:t>
      </w:r>
      <w:r w:rsidRPr="0031675F">
        <w:rPr>
          <w:spacing w:val="21"/>
        </w:rPr>
        <w:t xml:space="preserve"> </w:t>
      </w:r>
      <w:r w:rsidRPr="0031675F">
        <w:rPr>
          <w:spacing w:val="-1"/>
        </w:rPr>
        <w:t>primary</w:t>
      </w:r>
      <w:r w:rsidRPr="0031675F">
        <w:rPr>
          <w:spacing w:val="22"/>
        </w:rPr>
        <w:t xml:space="preserve"> </w:t>
      </w:r>
      <w:r w:rsidRPr="0031675F">
        <w:rPr>
          <w:spacing w:val="-1"/>
        </w:rPr>
        <w:t>standard,</w:t>
      </w:r>
      <w:r w:rsidRPr="0031675F">
        <w:rPr>
          <w:spacing w:val="20"/>
        </w:rPr>
        <w:t xml:space="preserve"> </w:t>
      </w:r>
      <w:r w:rsidRPr="0031675F">
        <w:t>the</w:t>
      </w:r>
      <w:r w:rsidRPr="0031675F">
        <w:rPr>
          <w:spacing w:val="20"/>
        </w:rPr>
        <w:t xml:space="preserve"> </w:t>
      </w:r>
      <w:r w:rsidRPr="0031675F">
        <w:rPr>
          <w:spacing w:val="-1"/>
        </w:rPr>
        <w:t>solid</w:t>
      </w:r>
      <w:r w:rsidRPr="0031675F">
        <w:rPr>
          <w:spacing w:val="22"/>
        </w:rPr>
        <w:t xml:space="preserve"> </w:t>
      </w:r>
      <w:r w:rsidRPr="0031675F">
        <w:rPr>
          <w:spacing w:val="-1"/>
        </w:rPr>
        <w:t>secondary</w:t>
      </w:r>
      <w:r w:rsidRPr="0031675F">
        <w:rPr>
          <w:spacing w:val="22"/>
        </w:rPr>
        <w:t xml:space="preserve"> </w:t>
      </w:r>
      <w:r w:rsidRPr="0031675F">
        <w:rPr>
          <w:spacing w:val="-1"/>
        </w:rPr>
        <w:t>standard</w:t>
      </w:r>
      <w:r w:rsidRPr="0031675F">
        <w:rPr>
          <w:spacing w:val="23"/>
        </w:rPr>
        <w:t xml:space="preserve"> </w:t>
      </w:r>
      <w:r w:rsidRPr="0031675F">
        <w:t>can</w:t>
      </w:r>
      <w:r w:rsidRPr="0031675F">
        <w:rPr>
          <w:spacing w:val="20"/>
        </w:rPr>
        <w:t xml:space="preserve"> </w:t>
      </w:r>
      <w:r w:rsidRPr="0031675F">
        <w:t>be</w:t>
      </w:r>
      <w:r w:rsidRPr="0031675F">
        <w:rPr>
          <w:spacing w:val="19"/>
        </w:rPr>
        <w:t xml:space="preserve"> </w:t>
      </w:r>
      <w:r w:rsidRPr="0031675F">
        <w:rPr>
          <w:spacing w:val="-1"/>
        </w:rPr>
        <w:t>used</w:t>
      </w:r>
      <w:r w:rsidRPr="0031675F">
        <w:rPr>
          <w:spacing w:val="22"/>
        </w:rPr>
        <w:t xml:space="preserve"> </w:t>
      </w:r>
      <w:r w:rsidRPr="0031675F">
        <w:rPr>
          <w:spacing w:val="-1"/>
        </w:rPr>
        <w:t>effectively</w:t>
      </w:r>
      <w:r w:rsidRPr="0031675F">
        <w:rPr>
          <w:spacing w:val="22"/>
        </w:rPr>
        <w:t xml:space="preserve"> </w:t>
      </w:r>
      <w:r w:rsidRPr="0031675F">
        <w:rPr>
          <w:spacing w:val="-1"/>
        </w:rPr>
        <w:t>for</w:t>
      </w:r>
      <w:r w:rsidRPr="0031675F">
        <w:rPr>
          <w:spacing w:val="22"/>
        </w:rPr>
        <w:t xml:space="preserve"> </w:t>
      </w:r>
      <w:r w:rsidRPr="0031675F">
        <w:t>calibration,</w:t>
      </w:r>
      <w:r w:rsidRPr="0031675F">
        <w:rPr>
          <w:spacing w:val="21"/>
        </w:rPr>
        <w:t xml:space="preserve"> </w:t>
      </w:r>
      <w:r w:rsidRPr="0031675F">
        <w:rPr>
          <w:spacing w:val="-1"/>
        </w:rPr>
        <w:t>with</w:t>
      </w:r>
      <w:r w:rsidRPr="0031675F">
        <w:rPr>
          <w:spacing w:val="23"/>
        </w:rPr>
        <w:t xml:space="preserve"> </w:t>
      </w:r>
      <w:r w:rsidRPr="0031675F">
        <w:t>only</w:t>
      </w:r>
      <w:r w:rsidRPr="0031675F">
        <w:rPr>
          <w:spacing w:val="19"/>
        </w:rPr>
        <w:t xml:space="preserve"> </w:t>
      </w:r>
      <w:r w:rsidRPr="0031675F">
        <w:rPr>
          <w:spacing w:val="-1"/>
        </w:rPr>
        <w:t>occasional</w:t>
      </w:r>
      <w:r w:rsidRPr="0031675F">
        <w:rPr>
          <w:spacing w:val="119"/>
          <w:w w:val="99"/>
        </w:rPr>
        <w:t xml:space="preserve"> </w:t>
      </w:r>
      <w:r w:rsidRPr="0031675F">
        <w:rPr>
          <w:spacing w:val="-1"/>
        </w:rPr>
        <w:t>verification</w:t>
      </w:r>
      <w:r w:rsidRPr="0031675F">
        <w:rPr>
          <w:spacing w:val="-2"/>
        </w:rPr>
        <w:t xml:space="preserve"> </w:t>
      </w:r>
      <w:r w:rsidRPr="0031675F">
        <w:rPr>
          <w:spacing w:val="-1"/>
        </w:rPr>
        <w:t>with</w:t>
      </w:r>
      <w:r w:rsidRPr="0031675F">
        <w:rPr>
          <w:spacing w:val="-2"/>
        </w:rPr>
        <w:t xml:space="preserve"> </w:t>
      </w:r>
      <w:r w:rsidRPr="0031675F">
        <w:t>a</w:t>
      </w:r>
      <w:r w:rsidRPr="0031675F">
        <w:rPr>
          <w:spacing w:val="-1"/>
        </w:rPr>
        <w:t xml:space="preserve"> primary</w:t>
      </w:r>
      <w:r w:rsidRPr="0031675F">
        <w:rPr>
          <w:spacing w:val="-2"/>
        </w:rPr>
        <w:t xml:space="preserve"> </w:t>
      </w:r>
      <w:r w:rsidRPr="0031675F">
        <w:t>standard.</w:t>
      </w:r>
      <w:r w:rsidRPr="0031675F">
        <w:rPr>
          <w:spacing w:val="-2"/>
        </w:rPr>
        <w:t xml:space="preserve"> </w:t>
      </w:r>
      <w:r w:rsidRPr="0031675F">
        <w:rPr>
          <w:spacing w:val="-1"/>
        </w:rPr>
        <w:t>Thus,</w:t>
      </w:r>
      <w:r w:rsidRPr="0031675F">
        <w:rPr>
          <w:spacing w:val="-2"/>
        </w:rPr>
        <w:t xml:space="preserve"> </w:t>
      </w:r>
      <w:r w:rsidRPr="0031675F">
        <w:rPr>
          <w:spacing w:val="-1"/>
        </w:rPr>
        <w:t>solid</w:t>
      </w:r>
      <w:r w:rsidRPr="0031675F">
        <w:rPr>
          <w:spacing w:val="-2"/>
        </w:rPr>
        <w:t xml:space="preserve"> </w:t>
      </w:r>
      <w:r w:rsidRPr="0031675F">
        <w:rPr>
          <w:spacing w:val="-1"/>
        </w:rPr>
        <w:t>secondary</w:t>
      </w:r>
      <w:r w:rsidRPr="0031675F">
        <w:rPr>
          <w:spacing w:val="-2"/>
        </w:rPr>
        <w:t xml:space="preserve"> </w:t>
      </w:r>
      <w:r w:rsidRPr="0031675F">
        <w:rPr>
          <w:spacing w:val="-1"/>
        </w:rPr>
        <w:t>standards</w:t>
      </w:r>
      <w:r w:rsidRPr="0031675F">
        <w:rPr>
          <w:spacing w:val="-3"/>
        </w:rPr>
        <w:t xml:space="preserve"> </w:t>
      </w:r>
      <w:r w:rsidRPr="0031675F">
        <w:t>make</w:t>
      </w:r>
      <w:r w:rsidRPr="0031675F">
        <w:rPr>
          <w:spacing w:val="-3"/>
        </w:rPr>
        <w:t xml:space="preserve"> </w:t>
      </w:r>
      <w:r w:rsidRPr="0031675F">
        <w:t>it</w:t>
      </w:r>
      <w:r w:rsidRPr="0031675F">
        <w:rPr>
          <w:spacing w:val="-3"/>
        </w:rPr>
        <w:t xml:space="preserve"> </w:t>
      </w:r>
      <w:r w:rsidRPr="0031675F">
        <w:rPr>
          <w:spacing w:val="1"/>
        </w:rPr>
        <w:t>simple</w:t>
      </w:r>
      <w:r w:rsidRPr="0031675F">
        <w:rPr>
          <w:spacing w:val="-3"/>
        </w:rPr>
        <w:t xml:space="preserve"> </w:t>
      </w:r>
      <w:r w:rsidRPr="0031675F">
        <w:t>to</w:t>
      </w:r>
      <w:r w:rsidRPr="0031675F">
        <w:rPr>
          <w:spacing w:val="-2"/>
        </w:rPr>
        <w:t xml:space="preserve"> </w:t>
      </w:r>
      <w:r w:rsidRPr="0031675F">
        <w:t>check</w:t>
      </w:r>
      <w:r w:rsidRPr="0031675F">
        <w:rPr>
          <w:spacing w:val="-2"/>
        </w:rPr>
        <w:t xml:space="preserve"> </w:t>
      </w:r>
      <w:r w:rsidRPr="0031675F">
        <w:rPr>
          <w:spacing w:val="-1"/>
        </w:rPr>
        <w:t>for</w:t>
      </w:r>
      <w:r w:rsidRPr="0031675F">
        <w:rPr>
          <w:spacing w:val="-3"/>
        </w:rPr>
        <w:t xml:space="preserve"> </w:t>
      </w:r>
      <w:r w:rsidRPr="0031675F">
        <w:t>instrument</w:t>
      </w:r>
      <w:r w:rsidRPr="0031675F">
        <w:rPr>
          <w:spacing w:val="-1"/>
        </w:rPr>
        <w:t xml:space="preserve"> drift</w:t>
      </w:r>
      <w:r w:rsidRPr="0031675F">
        <w:rPr>
          <w:spacing w:val="103"/>
          <w:w w:val="99"/>
        </w:rPr>
        <w:t xml:space="preserve"> </w:t>
      </w:r>
      <w:r w:rsidRPr="0031675F">
        <w:t>and</w:t>
      </w:r>
      <w:r w:rsidRPr="0031675F">
        <w:rPr>
          <w:spacing w:val="7"/>
        </w:rPr>
        <w:t xml:space="preserve"> </w:t>
      </w:r>
      <w:r w:rsidRPr="0031675F">
        <w:t>to</w:t>
      </w:r>
      <w:r w:rsidRPr="0031675F">
        <w:rPr>
          <w:spacing w:val="7"/>
        </w:rPr>
        <w:t xml:space="preserve"> </w:t>
      </w:r>
      <w:r w:rsidRPr="0031675F">
        <w:t>perform</w:t>
      </w:r>
      <w:r w:rsidRPr="0031675F">
        <w:rPr>
          <w:spacing w:val="6"/>
        </w:rPr>
        <w:t xml:space="preserve"> </w:t>
      </w:r>
      <w:r w:rsidRPr="0031675F">
        <w:t>routine</w:t>
      </w:r>
      <w:r w:rsidRPr="0031675F">
        <w:rPr>
          <w:spacing w:val="8"/>
        </w:rPr>
        <w:t xml:space="preserve"> </w:t>
      </w:r>
      <w:r w:rsidRPr="0031675F">
        <w:t>recalibrations.</w:t>
      </w:r>
      <w:r w:rsidRPr="0031675F">
        <w:rPr>
          <w:spacing w:val="7"/>
        </w:rPr>
        <w:t xml:space="preserve"> </w:t>
      </w:r>
      <w:r w:rsidRPr="0031675F">
        <w:rPr>
          <w:spacing w:val="-1"/>
        </w:rPr>
        <w:t>Turner</w:t>
      </w:r>
      <w:r w:rsidRPr="0031675F">
        <w:rPr>
          <w:spacing w:val="9"/>
        </w:rPr>
        <w:t xml:space="preserve"> </w:t>
      </w:r>
      <w:r w:rsidRPr="0031675F">
        <w:t>Designs</w:t>
      </w:r>
      <w:r w:rsidRPr="0031675F">
        <w:rPr>
          <w:spacing w:val="7"/>
        </w:rPr>
        <w:t xml:space="preserve"> </w:t>
      </w:r>
      <w:r w:rsidRPr="0031675F">
        <w:t>now</w:t>
      </w:r>
      <w:r w:rsidRPr="0031675F">
        <w:rPr>
          <w:spacing w:val="8"/>
        </w:rPr>
        <w:t xml:space="preserve"> </w:t>
      </w:r>
      <w:r w:rsidRPr="0031675F">
        <w:rPr>
          <w:spacing w:val="-1"/>
        </w:rPr>
        <w:t>offers</w:t>
      </w:r>
      <w:r w:rsidRPr="0031675F">
        <w:rPr>
          <w:spacing w:val="8"/>
        </w:rPr>
        <w:t xml:space="preserve"> </w:t>
      </w:r>
      <w:r w:rsidRPr="0031675F">
        <w:t>solid</w:t>
      </w:r>
      <w:r w:rsidRPr="0031675F">
        <w:rPr>
          <w:spacing w:val="7"/>
        </w:rPr>
        <w:t xml:space="preserve"> </w:t>
      </w:r>
      <w:r w:rsidRPr="0031675F">
        <w:t>secondary</w:t>
      </w:r>
      <w:r w:rsidRPr="0031675F">
        <w:rPr>
          <w:spacing w:val="8"/>
        </w:rPr>
        <w:t xml:space="preserve"> </w:t>
      </w:r>
      <w:r w:rsidRPr="0031675F">
        <w:t>standards,</w:t>
      </w:r>
      <w:r w:rsidRPr="0031675F">
        <w:rPr>
          <w:spacing w:val="7"/>
        </w:rPr>
        <w:t xml:space="preserve"> </w:t>
      </w:r>
      <w:r w:rsidRPr="0031675F">
        <w:t>sealed</w:t>
      </w:r>
      <w:r w:rsidRPr="0031675F">
        <w:rPr>
          <w:spacing w:val="10"/>
        </w:rPr>
        <w:t xml:space="preserve"> </w:t>
      </w:r>
      <w:r w:rsidRPr="0031675F">
        <w:t>in</w:t>
      </w:r>
      <w:r w:rsidRPr="0031675F">
        <w:rPr>
          <w:spacing w:val="7"/>
        </w:rPr>
        <w:t xml:space="preserve"> </w:t>
      </w:r>
      <w:r w:rsidRPr="0031675F">
        <w:t>a</w:t>
      </w:r>
      <w:r w:rsidRPr="0031675F">
        <w:rPr>
          <w:spacing w:val="7"/>
        </w:rPr>
        <w:t xml:space="preserve"> </w:t>
      </w:r>
      <w:r w:rsidRPr="0031675F">
        <w:rPr>
          <w:spacing w:val="-1"/>
        </w:rPr>
        <w:t>holder,</w:t>
      </w:r>
      <w:r w:rsidRPr="0031675F">
        <w:rPr>
          <w:spacing w:val="50"/>
          <w:w w:val="99"/>
        </w:rPr>
        <w:t xml:space="preserve"> </w:t>
      </w:r>
      <w:r w:rsidRPr="0031675F">
        <w:t>that</w:t>
      </w:r>
      <w:r w:rsidRPr="0031675F">
        <w:rPr>
          <w:spacing w:val="27"/>
        </w:rPr>
        <w:t xml:space="preserve"> </w:t>
      </w:r>
      <w:r w:rsidRPr="0031675F">
        <w:t>contains</w:t>
      </w:r>
      <w:r w:rsidRPr="0031675F">
        <w:rPr>
          <w:spacing w:val="27"/>
        </w:rPr>
        <w:t xml:space="preserve"> </w:t>
      </w:r>
      <w:r w:rsidRPr="0031675F">
        <w:t>two</w:t>
      </w:r>
      <w:r w:rsidRPr="0031675F">
        <w:rPr>
          <w:spacing w:val="27"/>
        </w:rPr>
        <w:t xml:space="preserve"> </w:t>
      </w:r>
      <w:r w:rsidRPr="0031675F">
        <w:rPr>
          <w:spacing w:val="-1"/>
        </w:rPr>
        <w:t>ready-to-use</w:t>
      </w:r>
      <w:r w:rsidRPr="0031675F">
        <w:rPr>
          <w:spacing w:val="27"/>
        </w:rPr>
        <w:t xml:space="preserve"> </w:t>
      </w:r>
      <w:r w:rsidRPr="0031675F">
        <w:t>fluorometric</w:t>
      </w:r>
      <w:r w:rsidRPr="0031675F">
        <w:rPr>
          <w:spacing w:val="26"/>
        </w:rPr>
        <w:t xml:space="preserve"> </w:t>
      </w:r>
      <w:r w:rsidRPr="0031675F">
        <w:rPr>
          <w:spacing w:val="-1"/>
        </w:rPr>
        <w:t>standard</w:t>
      </w:r>
      <w:r w:rsidRPr="0031675F">
        <w:rPr>
          <w:spacing w:val="28"/>
        </w:rPr>
        <w:t xml:space="preserve"> </w:t>
      </w:r>
      <w:r w:rsidRPr="0031675F">
        <w:t>concentrations:</w:t>
      </w:r>
      <w:r w:rsidRPr="0031675F">
        <w:rPr>
          <w:spacing w:val="27"/>
        </w:rPr>
        <w:t xml:space="preserve"> </w:t>
      </w:r>
      <w:r w:rsidRPr="0031675F">
        <w:t>one</w:t>
      </w:r>
      <w:r w:rsidRPr="0031675F">
        <w:rPr>
          <w:spacing w:val="26"/>
        </w:rPr>
        <w:t xml:space="preserve"> </w:t>
      </w:r>
      <w:r w:rsidRPr="0031675F">
        <w:t>high-level</w:t>
      </w:r>
      <w:r w:rsidRPr="0031675F">
        <w:rPr>
          <w:spacing w:val="27"/>
        </w:rPr>
        <w:t xml:space="preserve"> </w:t>
      </w:r>
      <w:r w:rsidRPr="0031675F">
        <w:t>and</w:t>
      </w:r>
      <w:r w:rsidRPr="0031675F">
        <w:rPr>
          <w:spacing w:val="27"/>
        </w:rPr>
        <w:t xml:space="preserve"> </w:t>
      </w:r>
      <w:r w:rsidRPr="0031675F">
        <w:t>one</w:t>
      </w:r>
      <w:r w:rsidRPr="0031675F">
        <w:rPr>
          <w:spacing w:val="27"/>
        </w:rPr>
        <w:t xml:space="preserve"> </w:t>
      </w:r>
      <w:r w:rsidRPr="0031675F">
        <w:rPr>
          <w:spacing w:val="-1"/>
        </w:rPr>
        <w:t>low-level</w:t>
      </w:r>
      <w:r w:rsidRPr="0031675F">
        <w:rPr>
          <w:spacing w:val="64"/>
          <w:w w:val="99"/>
        </w:rPr>
        <w:t xml:space="preserve"> </w:t>
      </w:r>
      <w:r w:rsidRPr="0031675F">
        <w:t>concentration</w:t>
      </w:r>
      <w:r w:rsidRPr="0031675F">
        <w:rPr>
          <w:spacing w:val="-21"/>
        </w:rPr>
        <w:t xml:space="preserve"> </w:t>
      </w:r>
      <w:r w:rsidRPr="0031675F">
        <w:rPr>
          <w:spacing w:val="-1"/>
        </w:rPr>
        <w:t>equivalent.</w:t>
      </w:r>
    </w:p>
    <w:p w14:paraId="20B1CDFC" w14:textId="77777777" w:rsidR="0031675F" w:rsidRPr="0031675F" w:rsidRDefault="0031675F" w:rsidP="0031675F">
      <w:pPr>
        <w:spacing w:before="11"/>
        <w:rPr>
          <w:rFonts w:cs="Calibri"/>
        </w:rPr>
      </w:pPr>
    </w:p>
    <w:p w14:paraId="6037FC3C" w14:textId="77777777" w:rsidR="0031675F" w:rsidRPr="0031675F" w:rsidRDefault="0031675F" w:rsidP="0031675F">
      <w:pPr>
        <w:ind w:left="111"/>
        <w:jc w:val="both"/>
        <w:rPr>
          <w:rFonts w:cs="Calibri"/>
        </w:rPr>
      </w:pPr>
      <w:r w:rsidRPr="0031675F">
        <w:rPr>
          <w:b/>
        </w:rPr>
        <w:t>Features</w:t>
      </w:r>
      <w:r w:rsidRPr="0031675F">
        <w:rPr>
          <w:b/>
          <w:spacing w:val="-8"/>
        </w:rPr>
        <w:t xml:space="preserve"> </w:t>
      </w:r>
      <w:r w:rsidRPr="0031675F">
        <w:rPr>
          <w:b/>
        </w:rPr>
        <w:t>of</w:t>
      </w:r>
      <w:r w:rsidRPr="0031675F">
        <w:rPr>
          <w:b/>
          <w:spacing w:val="-7"/>
        </w:rPr>
        <w:t xml:space="preserve"> </w:t>
      </w:r>
      <w:r w:rsidRPr="0031675F">
        <w:rPr>
          <w:b/>
        </w:rPr>
        <w:t>the</w:t>
      </w:r>
      <w:r w:rsidRPr="0031675F">
        <w:rPr>
          <w:b/>
          <w:spacing w:val="-6"/>
        </w:rPr>
        <w:t xml:space="preserve"> </w:t>
      </w:r>
      <w:r w:rsidRPr="0031675F">
        <w:rPr>
          <w:b/>
          <w:spacing w:val="-1"/>
        </w:rPr>
        <w:t>Solid</w:t>
      </w:r>
      <w:r w:rsidRPr="0031675F">
        <w:rPr>
          <w:b/>
          <w:spacing w:val="-6"/>
        </w:rPr>
        <w:t xml:space="preserve"> </w:t>
      </w:r>
      <w:r w:rsidRPr="0031675F">
        <w:rPr>
          <w:b/>
          <w:spacing w:val="-1"/>
        </w:rPr>
        <w:t>Secondary</w:t>
      </w:r>
      <w:r w:rsidRPr="0031675F">
        <w:rPr>
          <w:b/>
          <w:spacing w:val="-7"/>
        </w:rPr>
        <w:t xml:space="preserve"> </w:t>
      </w:r>
      <w:r w:rsidRPr="0031675F">
        <w:rPr>
          <w:b/>
        </w:rPr>
        <w:t>Standards</w:t>
      </w:r>
      <w:r w:rsidRPr="0031675F">
        <w:rPr>
          <w:b/>
          <w:spacing w:val="-3"/>
        </w:rPr>
        <w:t xml:space="preserve"> </w:t>
      </w:r>
      <w:r w:rsidRPr="0031675F">
        <w:rPr>
          <w:spacing w:val="-1"/>
        </w:rPr>
        <w:t>10-AU:</w:t>
      </w:r>
      <w:r w:rsidRPr="0031675F">
        <w:rPr>
          <w:spacing w:val="-7"/>
        </w:rPr>
        <w:t xml:space="preserve"> </w:t>
      </w:r>
      <w:r w:rsidRPr="0031675F">
        <w:t>P/N</w:t>
      </w:r>
      <w:r w:rsidRPr="0031675F">
        <w:rPr>
          <w:spacing w:val="-6"/>
        </w:rPr>
        <w:t xml:space="preserve"> </w:t>
      </w:r>
      <w:r w:rsidRPr="0031675F">
        <w:t>10-AU-904</w:t>
      </w:r>
    </w:p>
    <w:p w14:paraId="1743DBC4" w14:textId="77777777" w:rsidR="0031675F" w:rsidRPr="0031675F" w:rsidRDefault="0031675F" w:rsidP="0031675F">
      <w:pPr>
        <w:widowControl w:val="0"/>
        <w:numPr>
          <w:ilvl w:val="2"/>
          <w:numId w:val="81"/>
        </w:numPr>
        <w:tabs>
          <w:tab w:val="left" w:pos="832"/>
        </w:tabs>
        <w:spacing w:before="0" w:after="0" w:line="240" w:lineRule="auto"/>
        <w:ind w:left="831" w:right="106"/>
        <w:jc w:val="both"/>
        <w:rPr>
          <w:rFonts w:cs="Calibri"/>
        </w:rPr>
      </w:pPr>
      <w:r w:rsidRPr="0031675F">
        <w:rPr>
          <w:b/>
          <w:i/>
        </w:rPr>
        <w:t>Saves</w:t>
      </w:r>
      <w:r w:rsidRPr="0031675F">
        <w:rPr>
          <w:b/>
          <w:i/>
          <w:spacing w:val="16"/>
        </w:rPr>
        <w:t xml:space="preserve"> </w:t>
      </w:r>
      <w:r w:rsidRPr="0031675F">
        <w:rPr>
          <w:b/>
          <w:i/>
          <w:spacing w:val="-1"/>
        </w:rPr>
        <w:t>Time</w:t>
      </w:r>
      <w:r w:rsidRPr="0031675F">
        <w:rPr>
          <w:b/>
          <w:i/>
          <w:spacing w:val="17"/>
        </w:rPr>
        <w:t xml:space="preserve"> </w:t>
      </w:r>
      <w:r w:rsidRPr="0031675F">
        <w:rPr>
          <w:b/>
          <w:i/>
        </w:rPr>
        <w:t>and</w:t>
      </w:r>
      <w:r w:rsidRPr="0031675F">
        <w:rPr>
          <w:b/>
          <w:i/>
          <w:spacing w:val="19"/>
        </w:rPr>
        <w:t xml:space="preserve"> </w:t>
      </w:r>
      <w:r w:rsidRPr="0031675F">
        <w:rPr>
          <w:b/>
          <w:i/>
          <w:spacing w:val="-1"/>
        </w:rPr>
        <w:t>Money.</w:t>
      </w:r>
      <w:r w:rsidRPr="0031675F">
        <w:rPr>
          <w:b/>
          <w:i/>
          <w:spacing w:val="20"/>
        </w:rPr>
        <w:t xml:space="preserve"> </w:t>
      </w:r>
      <w:r w:rsidRPr="0031675F">
        <w:t>Preparation</w:t>
      </w:r>
      <w:r w:rsidRPr="0031675F">
        <w:rPr>
          <w:spacing w:val="17"/>
        </w:rPr>
        <w:t xml:space="preserve"> </w:t>
      </w:r>
      <w:r w:rsidRPr="0031675F">
        <w:t>of</w:t>
      </w:r>
      <w:r w:rsidRPr="0031675F">
        <w:rPr>
          <w:spacing w:val="15"/>
        </w:rPr>
        <w:t xml:space="preserve"> </w:t>
      </w:r>
      <w:r w:rsidRPr="0031675F">
        <w:rPr>
          <w:spacing w:val="-1"/>
        </w:rPr>
        <w:t>primary</w:t>
      </w:r>
      <w:r w:rsidRPr="0031675F">
        <w:rPr>
          <w:spacing w:val="19"/>
        </w:rPr>
        <w:t xml:space="preserve"> </w:t>
      </w:r>
      <w:r w:rsidRPr="0031675F">
        <w:rPr>
          <w:spacing w:val="-1"/>
        </w:rPr>
        <w:t>standards</w:t>
      </w:r>
      <w:r w:rsidRPr="0031675F">
        <w:rPr>
          <w:spacing w:val="15"/>
        </w:rPr>
        <w:t xml:space="preserve"> </w:t>
      </w:r>
      <w:r w:rsidRPr="0031675F">
        <w:t>are</w:t>
      </w:r>
      <w:r w:rsidRPr="0031675F">
        <w:rPr>
          <w:spacing w:val="16"/>
        </w:rPr>
        <w:t xml:space="preserve"> </w:t>
      </w:r>
      <w:r w:rsidRPr="0031675F">
        <w:t>capital</w:t>
      </w:r>
      <w:r w:rsidRPr="0031675F">
        <w:rPr>
          <w:spacing w:val="18"/>
        </w:rPr>
        <w:t xml:space="preserve"> </w:t>
      </w:r>
      <w:r w:rsidRPr="0031675F">
        <w:t>and</w:t>
      </w:r>
      <w:r w:rsidRPr="0031675F">
        <w:rPr>
          <w:spacing w:val="17"/>
        </w:rPr>
        <w:t xml:space="preserve"> </w:t>
      </w:r>
      <w:r w:rsidRPr="0031675F">
        <w:t>labor</w:t>
      </w:r>
      <w:r w:rsidRPr="0031675F">
        <w:rPr>
          <w:spacing w:val="17"/>
        </w:rPr>
        <w:t xml:space="preserve"> </w:t>
      </w:r>
      <w:r w:rsidRPr="0031675F">
        <w:t>intensive.</w:t>
      </w:r>
      <w:r w:rsidRPr="0031675F">
        <w:rPr>
          <w:spacing w:val="18"/>
        </w:rPr>
        <w:t xml:space="preserve"> </w:t>
      </w:r>
      <w:r w:rsidRPr="0031675F">
        <w:rPr>
          <w:spacing w:val="-1"/>
        </w:rPr>
        <w:t>Purchasing</w:t>
      </w:r>
      <w:r w:rsidRPr="0031675F">
        <w:rPr>
          <w:spacing w:val="74"/>
          <w:w w:val="99"/>
        </w:rPr>
        <w:t xml:space="preserve"> </w:t>
      </w:r>
      <w:r w:rsidRPr="0031675F">
        <w:rPr>
          <w:spacing w:val="-1"/>
        </w:rPr>
        <w:t>premade</w:t>
      </w:r>
      <w:r w:rsidRPr="0031675F">
        <w:rPr>
          <w:spacing w:val="-5"/>
        </w:rPr>
        <w:t xml:space="preserve"> </w:t>
      </w:r>
      <w:r w:rsidRPr="0031675F">
        <w:rPr>
          <w:spacing w:val="-1"/>
        </w:rPr>
        <w:t>primary</w:t>
      </w:r>
      <w:r w:rsidRPr="0031675F">
        <w:rPr>
          <w:spacing w:val="-2"/>
        </w:rPr>
        <w:t xml:space="preserve"> </w:t>
      </w:r>
      <w:r w:rsidRPr="0031675F">
        <w:rPr>
          <w:spacing w:val="-1"/>
        </w:rPr>
        <w:t>standards</w:t>
      </w:r>
      <w:r w:rsidRPr="0031675F">
        <w:rPr>
          <w:spacing w:val="-2"/>
        </w:rPr>
        <w:t xml:space="preserve"> </w:t>
      </w:r>
      <w:r w:rsidRPr="0031675F">
        <w:t>each</w:t>
      </w:r>
      <w:r w:rsidRPr="0031675F">
        <w:rPr>
          <w:spacing w:val="-2"/>
        </w:rPr>
        <w:t xml:space="preserve"> </w:t>
      </w:r>
      <w:r w:rsidRPr="0031675F">
        <w:t>time</w:t>
      </w:r>
      <w:r w:rsidRPr="0031675F">
        <w:rPr>
          <w:spacing w:val="-4"/>
        </w:rPr>
        <w:t xml:space="preserve"> </w:t>
      </w:r>
      <w:r w:rsidRPr="0031675F">
        <w:t>you</w:t>
      </w:r>
      <w:r w:rsidRPr="0031675F">
        <w:rPr>
          <w:spacing w:val="-3"/>
        </w:rPr>
        <w:t xml:space="preserve"> </w:t>
      </w:r>
      <w:r w:rsidRPr="0031675F">
        <w:t>calibrate</w:t>
      </w:r>
      <w:r w:rsidRPr="0031675F">
        <w:rPr>
          <w:spacing w:val="-3"/>
        </w:rPr>
        <w:t xml:space="preserve"> </w:t>
      </w:r>
      <w:r w:rsidRPr="0031675F">
        <w:t>is</w:t>
      </w:r>
      <w:r w:rsidRPr="0031675F">
        <w:rPr>
          <w:spacing w:val="1"/>
        </w:rPr>
        <w:t xml:space="preserve"> </w:t>
      </w:r>
      <w:r w:rsidRPr="0031675F">
        <w:rPr>
          <w:spacing w:val="-1"/>
        </w:rPr>
        <w:t>extremely</w:t>
      </w:r>
      <w:r w:rsidRPr="0031675F">
        <w:rPr>
          <w:spacing w:val="-2"/>
        </w:rPr>
        <w:t xml:space="preserve"> </w:t>
      </w:r>
      <w:r w:rsidRPr="0031675F">
        <w:t>costly.</w:t>
      </w:r>
      <w:r w:rsidRPr="0031675F">
        <w:rPr>
          <w:spacing w:val="-4"/>
        </w:rPr>
        <w:t xml:space="preserve"> </w:t>
      </w:r>
      <w:r w:rsidRPr="0031675F">
        <w:rPr>
          <w:spacing w:val="-1"/>
        </w:rPr>
        <w:t>Traditional</w:t>
      </w:r>
      <w:r w:rsidRPr="0031675F">
        <w:rPr>
          <w:spacing w:val="-2"/>
        </w:rPr>
        <w:t xml:space="preserve"> </w:t>
      </w:r>
      <w:r w:rsidRPr="0031675F">
        <w:t>secondary</w:t>
      </w:r>
      <w:r w:rsidRPr="0031675F">
        <w:rPr>
          <w:spacing w:val="-2"/>
        </w:rPr>
        <w:t xml:space="preserve"> </w:t>
      </w:r>
      <w:r w:rsidRPr="0031675F">
        <w:rPr>
          <w:spacing w:val="-1"/>
        </w:rPr>
        <w:t>standards</w:t>
      </w:r>
      <w:r w:rsidRPr="0031675F">
        <w:rPr>
          <w:spacing w:val="97"/>
          <w:w w:val="99"/>
        </w:rPr>
        <w:t xml:space="preserve"> </w:t>
      </w:r>
      <w:r w:rsidRPr="0031675F">
        <w:t>are</w:t>
      </w:r>
      <w:r w:rsidRPr="0031675F">
        <w:rPr>
          <w:spacing w:val="30"/>
        </w:rPr>
        <w:t xml:space="preserve"> </w:t>
      </w:r>
      <w:r w:rsidRPr="0031675F">
        <w:rPr>
          <w:spacing w:val="-1"/>
        </w:rPr>
        <w:t>often</w:t>
      </w:r>
      <w:r w:rsidRPr="0031675F">
        <w:rPr>
          <w:spacing w:val="32"/>
        </w:rPr>
        <w:t xml:space="preserve"> </w:t>
      </w:r>
      <w:r w:rsidRPr="0031675F">
        <w:t>used</w:t>
      </w:r>
      <w:r w:rsidRPr="0031675F">
        <w:rPr>
          <w:spacing w:val="32"/>
        </w:rPr>
        <w:t xml:space="preserve"> </w:t>
      </w:r>
      <w:r w:rsidRPr="0031675F">
        <w:t>to</w:t>
      </w:r>
      <w:r w:rsidRPr="0031675F">
        <w:rPr>
          <w:spacing w:val="32"/>
        </w:rPr>
        <w:t xml:space="preserve"> </w:t>
      </w:r>
      <w:r w:rsidRPr="0031675F">
        <w:t>decrease</w:t>
      </w:r>
      <w:r w:rsidRPr="0031675F">
        <w:rPr>
          <w:spacing w:val="35"/>
        </w:rPr>
        <w:t xml:space="preserve"> </w:t>
      </w:r>
      <w:r w:rsidRPr="0031675F">
        <w:rPr>
          <w:spacing w:val="-1"/>
        </w:rPr>
        <w:t>costs,</w:t>
      </w:r>
      <w:r w:rsidRPr="0031675F">
        <w:rPr>
          <w:spacing w:val="31"/>
        </w:rPr>
        <w:t xml:space="preserve"> </w:t>
      </w:r>
      <w:r w:rsidRPr="0031675F">
        <w:t>but</w:t>
      </w:r>
      <w:r w:rsidRPr="0031675F">
        <w:rPr>
          <w:spacing w:val="32"/>
        </w:rPr>
        <w:t xml:space="preserve"> </w:t>
      </w:r>
      <w:r w:rsidRPr="0031675F">
        <w:t>can</w:t>
      </w:r>
      <w:r w:rsidRPr="0031675F">
        <w:rPr>
          <w:spacing w:val="33"/>
        </w:rPr>
        <w:t xml:space="preserve"> </w:t>
      </w:r>
      <w:r w:rsidRPr="0031675F">
        <w:t>require</w:t>
      </w:r>
      <w:r w:rsidRPr="0031675F">
        <w:rPr>
          <w:spacing w:val="33"/>
        </w:rPr>
        <w:t xml:space="preserve"> </w:t>
      </w:r>
      <w:r w:rsidRPr="0031675F">
        <w:rPr>
          <w:spacing w:val="-1"/>
        </w:rPr>
        <w:t>special</w:t>
      </w:r>
      <w:r w:rsidRPr="0031675F">
        <w:rPr>
          <w:spacing w:val="32"/>
        </w:rPr>
        <w:t xml:space="preserve"> </w:t>
      </w:r>
      <w:r w:rsidRPr="0031675F">
        <w:t>handling</w:t>
      </w:r>
      <w:r w:rsidRPr="0031675F">
        <w:rPr>
          <w:spacing w:val="30"/>
        </w:rPr>
        <w:t xml:space="preserve"> </w:t>
      </w:r>
      <w:r w:rsidRPr="0031675F">
        <w:t>and</w:t>
      </w:r>
      <w:r w:rsidRPr="0031675F">
        <w:rPr>
          <w:spacing w:val="32"/>
        </w:rPr>
        <w:t xml:space="preserve"> </w:t>
      </w:r>
      <w:r w:rsidRPr="0031675F">
        <w:rPr>
          <w:spacing w:val="-1"/>
        </w:rPr>
        <w:t>preparation</w:t>
      </w:r>
      <w:r w:rsidRPr="0031675F">
        <w:rPr>
          <w:spacing w:val="33"/>
        </w:rPr>
        <w:t xml:space="preserve"> </w:t>
      </w:r>
      <w:r w:rsidRPr="0031675F">
        <w:rPr>
          <w:spacing w:val="-1"/>
        </w:rPr>
        <w:t>time.</w:t>
      </w:r>
      <w:r w:rsidRPr="0031675F">
        <w:rPr>
          <w:spacing w:val="34"/>
        </w:rPr>
        <w:t xml:space="preserve"> </w:t>
      </w:r>
      <w:r w:rsidRPr="0031675F">
        <w:rPr>
          <w:spacing w:val="-1"/>
        </w:rPr>
        <w:t>Our</w:t>
      </w:r>
      <w:r w:rsidRPr="0031675F">
        <w:rPr>
          <w:spacing w:val="32"/>
        </w:rPr>
        <w:t xml:space="preserve"> </w:t>
      </w:r>
      <w:r w:rsidRPr="0031675F">
        <w:rPr>
          <w:spacing w:val="-1"/>
        </w:rPr>
        <w:t>solid</w:t>
      </w:r>
      <w:r w:rsidRPr="0031675F">
        <w:rPr>
          <w:spacing w:val="79"/>
          <w:w w:val="99"/>
        </w:rPr>
        <w:t xml:space="preserve"> </w:t>
      </w:r>
      <w:r w:rsidRPr="0031675F">
        <w:rPr>
          <w:spacing w:val="-1"/>
        </w:rPr>
        <w:t>secondary</w:t>
      </w:r>
      <w:r w:rsidRPr="0031675F">
        <w:rPr>
          <w:spacing w:val="-6"/>
        </w:rPr>
        <w:t xml:space="preserve"> </w:t>
      </w:r>
      <w:r w:rsidRPr="0031675F">
        <w:rPr>
          <w:spacing w:val="-1"/>
        </w:rPr>
        <w:t>standards</w:t>
      </w:r>
      <w:r w:rsidRPr="0031675F">
        <w:rPr>
          <w:spacing w:val="-7"/>
        </w:rPr>
        <w:t xml:space="preserve"> </w:t>
      </w:r>
      <w:r w:rsidRPr="0031675F">
        <w:t>are</w:t>
      </w:r>
      <w:r w:rsidRPr="0031675F">
        <w:rPr>
          <w:spacing w:val="-6"/>
        </w:rPr>
        <w:t xml:space="preserve"> </w:t>
      </w:r>
      <w:r w:rsidRPr="0031675F">
        <w:t>stable</w:t>
      </w:r>
      <w:r w:rsidRPr="0031675F">
        <w:rPr>
          <w:spacing w:val="-6"/>
        </w:rPr>
        <w:t xml:space="preserve"> </w:t>
      </w:r>
      <w:r w:rsidRPr="0031675F">
        <w:t>and</w:t>
      </w:r>
      <w:r w:rsidRPr="0031675F">
        <w:rPr>
          <w:spacing w:val="-5"/>
        </w:rPr>
        <w:t xml:space="preserve"> </w:t>
      </w:r>
      <w:r w:rsidRPr="0031675F">
        <w:t>ready</w:t>
      </w:r>
      <w:r w:rsidRPr="0031675F">
        <w:rPr>
          <w:spacing w:val="-5"/>
        </w:rPr>
        <w:t xml:space="preserve"> </w:t>
      </w:r>
      <w:r w:rsidRPr="0031675F">
        <w:t>to</w:t>
      </w:r>
      <w:r w:rsidRPr="0031675F">
        <w:rPr>
          <w:spacing w:val="-6"/>
        </w:rPr>
        <w:t xml:space="preserve"> </w:t>
      </w:r>
      <w:r w:rsidRPr="0031675F">
        <w:t>use</w:t>
      </w:r>
      <w:r w:rsidRPr="0031675F">
        <w:rPr>
          <w:spacing w:val="-6"/>
        </w:rPr>
        <w:t xml:space="preserve"> </w:t>
      </w:r>
      <w:r w:rsidRPr="0031675F">
        <w:t>upon</w:t>
      </w:r>
      <w:r w:rsidRPr="0031675F">
        <w:rPr>
          <w:spacing w:val="-5"/>
        </w:rPr>
        <w:t xml:space="preserve"> </w:t>
      </w:r>
      <w:r w:rsidRPr="0031675F">
        <w:rPr>
          <w:spacing w:val="-1"/>
        </w:rPr>
        <w:t>arrival</w:t>
      </w:r>
      <w:r w:rsidRPr="0031675F">
        <w:rPr>
          <w:spacing w:val="-5"/>
        </w:rPr>
        <w:t xml:space="preserve"> </w:t>
      </w:r>
      <w:r w:rsidRPr="0031675F">
        <w:rPr>
          <w:spacing w:val="-1"/>
        </w:rPr>
        <w:t>with</w:t>
      </w:r>
      <w:r w:rsidRPr="0031675F">
        <w:rPr>
          <w:spacing w:val="-5"/>
        </w:rPr>
        <w:t xml:space="preserve"> </w:t>
      </w:r>
      <w:r w:rsidRPr="0031675F">
        <w:t>no</w:t>
      </w:r>
      <w:r w:rsidRPr="0031675F">
        <w:rPr>
          <w:spacing w:val="-6"/>
        </w:rPr>
        <w:t xml:space="preserve"> </w:t>
      </w:r>
      <w:r w:rsidRPr="0031675F">
        <w:t>preparation</w:t>
      </w:r>
      <w:r w:rsidRPr="0031675F">
        <w:rPr>
          <w:spacing w:val="-5"/>
        </w:rPr>
        <w:t xml:space="preserve"> </w:t>
      </w:r>
      <w:r w:rsidRPr="0031675F">
        <w:rPr>
          <w:spacing w:val="-1"/>
        </w:rPr>
        <w:t>needed.</w:t>
      </w:r>
    </w:p>
    <w:p w14:paraId="2152ACC5" w14:textId="77777777" w:rsidR="0031675F" w:rsidRPr="0031675F" w:rsidRDefault="0031675F" w:rsidP="0031675F">
      <w:pPr>
        <w:widowControl w:val="0"/>
        <w:numPr>
          <w:ilvl w:val="2"/>
          <w:numId w:val="81"/>
        </w:numPr>
        <w:tabs>
          <w:tab w:val="left" w:pos="832"/>
        </w:tabs>
        <w:spacing w:before="2" w:after="0" w:line="240" w:lineRule="auto"/>
        <w:ind w:left="831" w:right="113"/>
        <w:jc w:val="both"/>
        <w:rPr>
          <w:rFonts w:cs="Calibri"/>
        </w:rPr>
      </w:pPr>
      <w:r w:rsidRPr="0031675F">
        <w:rPr>
          <w:b/>
          <w:i/>
          <w:spacing w:val="-1"/>
        </w:rPr>
        <w:t>No</w:t>
      </w:r>
      <w:r w:rsidRPr="0031675F">
        <w:rPr>
          <w:b/>
          <w:i/>
          <w:spacing w:val="30"/>
        </w:rPr>
        <w:t xml:space="preserve"> </w:t>
      </w:r>
      <w:r w:rsidRPr="0031675F">
        <w:rPr>
          <w:b/>
          <w:i/>
        </w:rPr>
        <w:t>Special</w:t>
      </w:r>
      <w:r w:rsidRPr="0031675F">
        <w:rPr>
          <w:b/>
          <w:i/>
          <w:spacing w:val="28"/>
        </w:rPr>
        <w:t xml:space="preserve"> </w:t>
      </w:r>
      <w:r w:rsidRPr="0031675F">
        <w:rPr>
          <w:b/>
          <w:i/>
        </w:rPr>
        <w:t>Storage</w:t>
      </w:r>
      <w:r w:rsidRPr="0031675F">
        <w:rPr>
          <w:b/>
          <w:i/>
          <w:spacing w:val="30"/>
        </w:rPr>
        <w:t xml:space="preserve"> </w:t>
      </w:r>
      <w:r w:rsidRPr="0031675F">
        <w:rPr>
          <w:b/>
          <w:i/>
        </w:rPr>
        <w:t>Conditions.</w:t>
      </w:r>
      <w:r w:rsidRPr="0031675F">
        <w:rPr>
          <w:b/>
          <w:i/>
          <w:spacing w:val="30"/>
        </w:rPr>
        <w:t xml:space="preserve"> </w:t>
      </w:r>
      <w:r w:rsidRPr="0031675F">
        <w:rPr>
          <w:spacing w:val="-1"/>
        </w:rPr>
        <w:t>The</w:t>
      </w:r>
      <w:r w:rsidRPr="0031675F">
        <w:rPr>
          <w:spacing w:val="31"/>
        </w:rPr>
        <w:t xml:space="preserve"> </w:t>
      </w:r>
      <w:r w:rsidRPr="0031675F">
        <w:rPr>
          <w:spacing w:val="-1"/>
        </w:rPr>
        <w:t>solid</w:t>
      </w:r>
      <w:r w:rsidRPr="0031675F">
        <w:rPr>
          <w:spacing w:val="30"/>
        </w:rPr>
        <w:t xml:space="preserve"> </w:t>
      </w:r>
      <w:r w:rsidRPr="0031675F">
        <w:t>secondary</w:t>
      </w:r>
      <w:r w:rsidRPr="0031675F">
        <w:rPr>
          <w:spacing w:val="30"/>
        </w:rPr>
        <w:t xml:space="preserve"> </w:t>
      </w:r>
      <w:r w:rsidRPr="0031675F">
        <w:rPr>
          <w:spacing w:val="-1"/>
        </w:rPr>
        <w:t>standards</w:t>
      </w:r>
      <w:r w:rsidRPr="0031675F">
        <w:rPr>
          <w:spacing w:val="28"/>
        </w:rPr>
        <w:t xml:space="preserve"> </w:t>
      </w:r>
      <w:r w:rsidRPr="0031675F">
        <w:t>can</w:t>
      </w:r>
      <w:r w:rsidRPr="0031675F">
        <w:rPr>
          <w:spacing w:val="30"/>
        </w:rPr>
        <w:t xml:space="preserve"> </w:t>
      </w:r>
      <w:r w:rsidRPr="0031675F">
        <w:t>be</w:t>
      </w:r>
      <w:r w:rsidRPr="0031675F">
        <w:rPr>
          <w:spacing w:val="29"/>
        </w:rPr>
        <w:t xml:space="preserve"> </w:t>
      </w:r>
      <w:r w:rsidRPr="0031675F">
        <w:rPr>
          <w:spacing w:val="-1"/>
        </w:rPr>
        <w:t>stored</w:t>
      </w:r>
      <w:r w:rsidRPr="0031675F">
        <w:rPr>
          <w:spacing w:val="30"/>
        </w:rPr>
        <w:t xml:space="preserve"> </w:t>
      </w:r>
      <w:r w:rsidRPr="0031675F">
        <w:t>in</w:t>
      </w:r>
      <w:r w:rsidRPr="0031675F">
        <w:rPr>
          <w:spacing w:val="30"/>
        </w:rPr>
        <w:t xml:space="preserve"> </w:t>
      </w:r>
      <w:r w:rsidRPr="0031675F">
        <w:t>a</w:t>
      </w:r>
      <w:r w:rsidRPr="0031675F">
        <w:rPr>
          <w:spacing w:val="29"/>
        </w:rPr>
        <w:t xml:space="preserve"> </w:t>
      </w:r>
      <w:r w:rsidRPr="0031675F">
        <w:t>drawer</w:t>
      </w:r>
      <w:r w:rsidRPr="0031675F">
        <w:rPr>
          <w:spacing w:val="30"/>
        </w:rPr>
        <w:t xml:space="preserve"> </w:t>
      </w:r>
      <w:r w:rsidRPr="0031675F">
        <w:t>or</w:t>
      </w:r>
      <w:r w:rsidRPr="0031675F">
        <w:rPr>
          <w:spacing w:val="29"/>
        </w:rPr>
        <w:t xml:space="preserve"> </w:t>
      </w:r>
      <w:r w:rsidRPr="0031675F">
        <w:t>on</w:t>
      </w:r>
      <w:r w:rsidRPr="0031675F">
        <w:rPr>
          <w:spacing w:val="30"/>
        </w:rPr>
        <w:t xml:space="preserve"> </w:t>
      </w:r>
      <w:r w:rsidRPr="0031675F">
        <w:rPr>
          <w:spacing w:val="1"/>
        </w:rPr>
        <w:t>the</w:t>
      </w:r>
      <w:r w:rsidRPr="0031675F">
        <w:rPr>
          <w:spacing w:val="42"/>
          <w:w w:val="99"/>
        </w:rPr>
        <w:t xml:space="preserve"> </w:t>
      </w:r>
      <w:r w:rsidRPr="0031675F">
        <w:rPr>
          <w:spacing w:val="-1"/>
        </w:rPr>
        <w:t>benchtop.</w:t>
      </w:r>
      <w:r w:rsidRPr="0031675F">
        <w:rPr>
          <w:spacing w:val="8"/>
        </w:rPr>
        <w:t xml:space="preserve"> </w:t>
      </w:r>
      <w:r w:rsidRPr="0031675F">
        <w:rPr>
          <w:spacing w:val="-1"/>
        </w:rPr>
        <w:t>They</w:t>
      </w:r>
      <w:r w:rsidRPr="0031675F">
        <w:rPr>
          <w:spacing w:val="10"/>
        </w:rPr>
        <w:t xml:space="preserve"> </w:t>
      </w:r>
      <w:r w:rsidRPr="0031675F">
        <w:t>are</w:t>
      </w:r>
      <w:r w:rsidRPr="0031675F">
        <w:rPr>
          <w:spacing w:val="8"/>
        </w:rPr>
        <w:t xml:space="preserve"> </w:t>
      </w:r>
      <w:r w:rsidRPr="0031675F">
        <w:t>not</w:t>
      </w:r>
      <w:r w:rsidRPr="0031675F">
        <w:rPr>
          <w:spacing w:val="10"/>
        </w:rPr>
        <w:t xml:space="preserve"> </w:t>
      </w:r>
      <w:r w:rsidRPr="0031675F">
        <w:rPr>
          <w:spacing w:val="-1"/>
        </w:rPr>
        <w:t>photosensitive</w:t>
      </w:r>
      <w:r w:rsidRPr="0031675F">
        <w:rPr>
          <w:spacing w:val="8"/>
        </w:rPr>
        <w:t xml:space="preserve"> </w:t>
      </w:r>
      <w:r w:rsidRPr="0031675F">
        <w:t>or</w:t>
      </w:r>
      <w:r w:rsidRPr="0031675F">
        <w:rPr>
          <w:spacing w:val="9"/>
        </w:rPr>
        <w:t xml:space="preserve"> </w:t>
      </w:r>
      <w:r w:rsidRPr="0031675F">
        <w:rPr>
          <w:spacing w:val="-1"/>
        </w:rPr>
        <w:t>temperature</w:t>
      </w:r>
      <w:r w:rsidRPr="0031675F">
        <w:rPr>
          <w:spacing w:val="11"/>
        </w:rPr>
        <w:t xml:space="preserve"> </w:t>
      </w:r>
      <w:r w:rsidRPr="0031675F">
        <w:rPr>
          <w:spacing w:val="-1"/>
        </w:rPr>
        <w:t>sensitive.</w:t>
      </w:r>
      <w:r w:rsidRPr="0031675F">
        <w:rPr>
          <w:spacing w:val="9"/>
        </w:rPr>
        <w:t xml:space="preserve"> </w:t>
      </w:r>
      <w:r w:rsidRPr="0031675F">
        <w:rPr>
          <w:spacing w:val="-1"/>
        </w:rPr>
        <w:t>Degradation</w:t>
      </w:r>
      <w:r w:rsidRPr="0031675F">
        <w:rPr>
          <w:spacing w:val="10"/>
        </w:rPr>
        <w:t xml:space="preserve"> </w:t>
      </w:r>
      <w:r w:rsidRPr="0031675F">
        <w:t>is</w:t>
      </w:r>
      <w:r w:rsidRPr="0031675F">
        <w:rPr>
          <w:spacing w:val="10"/>
        </w:rPr>
        <w:t xml:space="preserve"> </w:t>
      </w:r>
      <w:r w:rsidRPr="0031675F">
        <w:t>minimal</w:t>
      </w:r>
      <w:r w:rsidRPr="0031675F">
        <w:rPr>
          <w:spacing w:val="10"/>
        </w:rPr>
        <w:t xml:space="preserve"> </w:t>
      </w:r>
      <w:r w:rsidRPr="0031675F">
        <w:t>after</w:t>
      </w:r>
      <w:r w:rsidRPr="0031675F">
        <w:rPr>
          <w:spacing w:val="9"/>
        </w:rPr>
        <w:t xml:space="preserve"> </w:t>
      </w:r>
      <w:r w:rsidRPr="0031675F">
        <w:rPr>
          <w:spacing w:val="-1"/>
        </w:rPr>
        <w:t>years</w:t>
      </w:r>
      <w:r w:rsidRPr="0031675F">
        <w:rPr>
          <w:spacing w:val="8"/>
        </w:rPr>
        <w:t xml:space="preserve"> </w:t>
      </w:r>
      <w:r w:rsidRPr="0031675F">
        <w:t>of</w:t>
      </w:r>
      <w:r w:rsidRPr="0031675F">
        <w:rPr>
          <w:spacing w:val="105"/>
          <w:w w:val="99"/>
        </w:rPr>
        <w:t xml:space="preserve"> </w:t>
      </w:r>
      <w:r w:rsidRPr="0031675F">
        <w:rPr>
          <w:spacing w:val="-1"/>
        </w:rPr>
        <w:t>environmental</w:t>
      </w:r>
      <w:r w:rsidRPr="0031675F">
        <w:rPr>
          <w:spacing w:val="-21"/>
        </w:rPr>
        <w:t xml:space="preserve"> </w:t>
      </w:r>
      <w:r w:rsidRPr="0031675F">
        <w:t>exposure.</w:t>
      </w:r>
    </w:p>
    <w:p w14:paraId="7BBACEBD" w14:textId="77777777" w:rsidR="0031675F" w:rsidRPr="0031675F" w:rsidRDefault="0031675F" w:rsidP="0031675F">
      <w:pPr>
        <w:widowControl w:val="0"/>
        <w:numPr>
          <w:ilvl w:val="2"/>
          <w:numId w:val="81"/>
        </w:numPr>
        <w:tabs>
          <w:tab w:val="left" w:pos="832"/>
        </w:tabs>
        <w:spacing w:before="0" w:after="0" w:line="252" w:lineRule="exact"/>
        <w:ind w:left="831"/>
        <w:rPr>
          <w:rFonts w:cs="Calibri"/>
        </w:rPr>
      </w:pPr>
      <w:r w:rsidRPr="0031675F">
        <w:rPr>
          <w:b/>
          <w:i/>
          <w:spacing w:val="-1"/>
        </w:rPr>
        <w:t>Guaranteed.</w:t>
      </w:r>
      <w:r w:rsidRPr="0031675F">
        <w:rPr>
          <w:b/>
          <w:i/>
          <w:spacing w:val="-6"/>
        </w:rPr>
        <w:t xml:space="preserve"> </w:t>
      </w:r>
      <w:r w:rsidRPr="0031675F">
        <w:rPr>
          <w:spacing w:val="-1"/>
        </w:rPr>
        <w:t>The</w:t>
      </w:r>
      <w:r w:rsidRPr="0031675F">
        <w:rPr>
          <w:spacing w:val="-6"/>
        </w:rPr>
        <w:t xml:space="preserve"> </w:t>
      </w:r>
      <w:r w:rsidRPr="0031675F">
        <w:t>solid</w:t>
      </w:r>
      <w:r w:rsidRPr="0031675F">
        <w:rPr>
          <w:spacing w:val="-5"/>
        </w:rPr>
        <w:t xml:space="preserve"> </w:t>
      </w:r>
      <w:r w:rsidRPr="0031675F">
        <w:t>secondary</w:t>
      </w:r>
      <w:r w:rsidRPr="0031675F">
        <w:rPr>
          <w:spacing w:val="-5"/>
        </w:rPr>
        <w:t xml:space="preserve"> </w:t>
      </w:r>
      <w:r w:rsidRPr="0031675F">
        <w:rPr>
          <w:spacing w:val="-1"/>
        </w:rPr>
        <w:t>standards</w:t>
      </w:r>
      <w:r w:rsidRPr="0031675F">
        <w:rPr>
          <w:spacing w:val="-7"/>
        </w:rPr>
        <w:t xml:space="preserve"> </w:t>
      </w:r>
      <w:r w:rsidRPr="0031675F">
        <w:t>are</w:t>
      </w:r>
      <w:r w:rsidRPr="0031675F">
        <w:rPr>
          <w:spacing w:val="-7"/>
        </w:rPr>
        <w:t xml:space="preserve"> </w:t>
      </w:r>
      <w:r w:rsidRPr="0031675F">
        <w:t>guaranteed</w:t>
      </w:r>
      <w:r w:rsidRPr="0031675F">
        <w:rPr>
          <w:spacing w:val="-5"/>
        </w:rPr>
        <w:t xml:space="preserve"> </w:t>
      </w:r>
      <w:r w:rsidRPr="0031675F">
        <w:rPr>
          <w:spacing w:val="-1"/>
        </w:rPr>
        <w:t>for</w:t>
      </w:r>
      <w:r w:rsidRPr="0031675F">
        <w:rPr>
          <w:spacing w:val="-5"/>
        </w:rPr>
        <w:t xml:space="preserve"> </w:t>
      </w:r>
      <w:r w:rsidRPr="0031675F">
        <w:t>two</w:t>
      </w:r>
      <w:r w:rsidRPr="0031675F">
        <w:rPr>
          <w:spacing w:val="-5"/>
        </w:rPr>
        <w:t xml:space="preserve"> </w:t>
      </w:r>
      <w:r w:rsidRPr="0031675F">
        <w:rPr>
          <w:spacing w:val="-1"/>
        </w:rPr>
        <w:t>years</w:t>
      </w:r>
      <w:r w:rsidRPr="0031675F">
        <w:rPr>
          <w:spacing w:val="-7"/>
        </w:rPr>
        <w:t xml:space="preserve"> </w:t>
      </w:r>
      <w:r w:rsidRPr="0031675F">
        <w:t>after</w:t>
      </w:r>
      <w:r w:rsidRPr="0031675F">
        <w:rPr>
          <w:spacing w:val="-6"/>
        </w:rPr>
        <w:t xml:space="preserve"> </w:t>
      </w:r>
      <w:r w:rsidRPr="0031675F">
        <w:t>arrival</w:t>
      </w:r>
      <w:r w:rsidRPr="0031675F">
        <w:rPr>
          <w:spacing w:val="-6"/>
        </w:rPr>
        <w:t xml:space="preserve"> </w:t>
      </w:r>
      <w:r w:rsidRPr="0031675F">
        <w:t>in</w:t>
      </w:r>
      <w:r w:rsidRPr="0031675F">
        <w:rPr>
          <w:spacing w:val="-5"/>
        </w:rPr>
        <w:t xml:space="preserve"> </w:t>
      </w:r>
      <w:r w:rsidRPr="0031675F">
        <w:t>your</w:t>
      </w:r>
      <w:r w:rsidRPr="0031675F">
        <w:rPr>
          <w:spacing w:val="-5"/>
        </w:rPr>
        <w:t xml:space="preserve"> </w:t>
      </w:r>
      <w:r w:rsidRPr="0031675F">
        <w:t>lab.</w:t>
      </w:r>
    </w:p>
    <w:p w14:paraId="489A2C4F" w14:textId="77777777" w:rsidR="0031675F" w:rsidRPr="0031675F" w:rsidRDefault="0031675F" w:rsidP="0031675F">
      <w:pPr>
        <w:spacing w:before="1"/>
        <w:rPr>
          <w:rFonts w:cs="Calibri"/>
        </w:rPr>
      </w:pPr>
    </w:p>
    <w:p w14:paraId="5DA2B215" w14:textId="77777777" w:rsidR="0031675F" w:rsidRPr="0031675F" w:rsidRDefault="0031675F" w:rsidP="0031675F">
      <w:pPr>
        <w:ind w:left="111"/>
        <w:jc w:val="both"/>
        <w:rPr>
          <w:rFonts w:cs="Calibri"/>
        </w:rPr>
      </w:pPr>
      <w:r w:rsidRPr="0031675F">
        <w:rPr>
          <w:b/>
          <w:spacing w:val="-1"/>
        </w:rPr>
        <w:t>Calibrating</w:t>
      </w:r>
      <w:r w:rsidRPr="0031675F">
        <w:rPr>
          <w:b/>
          <w:spacing w:val="-9"/>
        </w:rPr>
        <w:t xml:space="preserve"> </w:t>
      </w:r>
      <w:r w:rsidRPr="0031675F">
        <w:rPr>
          <w:b/>
        </w:rPr>
        <w:t>with</w:t>
      </w:r>
      <w:r w:rsidRPr="0031675F">
        <w:rPr>
          <w:b/>
          <w:spacing w:val="-6"/>
        </w:rPr>
        <w:t xml:space="preserve"> </w:t>
      </w:r>
      <w:r w:rsidRPr="0031675F">
        <w:rPr>
          <w:b/>
        </w:rPr>
        <w:t>the</w:t>
      </w:r>
      <w:r w:rsidRPr="0031675F">
        <w:rPr>
          <w:b/>
          <w:spacing w:val="-8"/>
        </w:rPr>
        <w:t xml:space="preserve"> </w:t>
      </w:r>
      <w:r w:rsidRPr="0031675F">
        <w:rPr>
          <w:b/>
          <w:spacing w:val="-1"/>
        </w:rPr>
        <w:t>Solid</w:t>
      </w:r>
      <w:r w:rsidRPr="0031675F">
        <w:rPr>
          <w:b/>
          <w:spacing w:val="-7"/>
        </w:rPr>
        <w:t xml:space="preserve"> </w:t>
      </w:r>
      <w:r w:rsidRPr="0031675F">
        <w:rPr>
          <w:b/>
        </w:rPr>
        <w:t>Secondary</w:t>
      </w:r>
      <w:r w:rsidRPr="0031675F">
        <w:rPr>
          <w:b/>
          <w:spacing w:val="-9"/>
        </w:rPr>
        <w:t xml:space="preserve"> </w:t>
      </w:r>
      <w:r w:rsidRPr="0031675F">
        <w:rPr>
          <w:b/>
        </w:rPr>
        <w:t>Standards:</w:t>
      </w:r>
    </w:p>
    <w:p w14:paraId="41408322" w14:textId="77777777" w:rsidR="0031675F" w:rsidRPr="0031675F" w:rsidRDefault="0031675F" w:rsidP="0031675F">
      <w:pPr>
        <w:widowControl w:val="0"/>
        <w:numPr>
          <w:ilvl w:val="0"/>
          <w:numId w:val="78"/>
        </w:numPr>
        <w:tabs>
          <w:tab w:val="left" w:pos="832"/>
        </w:tabs>
        <w:spacing w:before="0" w:after="0" w:line="243" w:lineRule="exact"/>
        <w:rPr>
          <w:rFonts w:cs="Calibri"/>
        </w:rPr>
      </w:pPr>
      <w:r w:rsidRPr="0031675F">
        <w:rPr>
          <w:spacing w:val="-1"/>
        </w:rPr>
        <w:t>Calibrate</w:t>
      </w:r>
      <w:r w:rsidRPr="0031675F">
        <w:rPr>
          <w:spacing w:val="-8"/>
        </w:rPr>
        <w:t xml:space="preserve"> </w:t>
      </w:r>
      <w:r w:rsidRPr="0031675F">
        <w:t>your</w:t>
      </w:r>
      <w:r w:rsidRPr="0031675F">
        <w:rPr>
          <w:spacing w:val="-6"/>
        </w:rPr>
        <w:t xml:space="preserve"> </w:t>
      </w:r>
      <w:r w:rsidRPr="0031675F">
        <w:rPr>
          <w:spacing w:val="-1"/>
        </w:rPr>
        <w:t>fluorometer</w:t>
      </w:r>
      <w:r w:rsidRPr="0031675F">
        <w:rPr>
          <w:spacing w:val="-7"/>
        </w:rPr>
        <w:t xml:space="preserve"> </w:t>
      </w:r>
      <w:r w:rsidRPr="0031675F">
        <w:t>with</w:t>
      </w:r>
      <w:r w:rsidRPr="0031675F">
        <w:rPr>
          <w:spacing w:val="-6"/>
        </w:rPr>
        <w:t xml:space="preserve"> </w:t>
      </w:r>
      <w:r w:rsidRPr="0031675F">
        <w:t>a</w:t>
      </w:r>
      <w:r w:rsidRPr="0031675F">
        <w:rPr>
          <w:spacing w:val="-7"/>
        </w:rPr>
        <w:t xml:space="preserve"> </w:t>
      </w:r>
      <w:r w:rsidRPr="0031675F">
        <w:t>known</w:t>
      </w:r>
      <w:r w:rsidRPr="0031675F">
        <w:rPr>
          <w:spacing w:val="-6"/>
        </w:rPr>
        <w:t xml:space="preserve"> </w:t>
      </w:r>
      <w:r w:rsidRPr="0031675F">
        <w:t>primary</w:t>
      </w:r>
      <w:r w:rsidRPr="0031675F">
        <w:rPr>
          <w:spacing w:val="-7"/>
        </w:rPr>
        <w:t xml:space="preserve"> </w:t>
      </w:r>
      <w:r w:rsidRPr="0031675F">
        <w:rPr>
          <w:spacing w:val="-1"/>
        </w:rPr>
        <w:t>standard.</w:t>
      </w:r>
    </w:p>
    <w:p w14:paraId="62F3994C" w14:textId="77777777" w:rsidR="0031675F" w:rsidRPr="0031675F" w:rsidRDefault="0031675F" w:rsidP="0031675F">
      <w:pPr>
        <w:widowControl w:val="0"/>
        <w:numPr>
          <w:ilvl w:val="0"/>
          <w:numId w:val="78"/>
        </w:numPr>
        <w:tabs>
          <w:tab w:val="left" w:pos="832"/>
        </w:tabs>
        <w:spacing w:before="0" w:after="0" w:line="243" w:lineRule="exact"/>
        <w:rPr>
          <w:rFonts w:cs="Calibri"/>
        </w:rPr>
      </w:pPr>
      <w:r w:rsidRPr="0031675F">
        <w:t>With</w:t>
      </w:r>
      <w:r w:rsidRPr="0031675F">
        <w:rPr>
          <w:spacing w:val="-3"/>
        </w:rPr>
        <w:t xml:space="preserve"> </w:t>
      </w:r>
      <w:r w:rsidRPr="0031675F">
        <w:t>the</w:t>
      </w:r>
      <w:r w:rsidRPr="0031675F">
        <w:rPr>
          <w:spacing w:val="-5"/>
        </w:rPr>
        <w:t xml:space="preserve"> </w:t>
      </w:r>
      <w:r w:rsidRPr="0031675F">
        <w:t>10-AU,</w:t>
      </w:r>
      <w:r w:rsidRPr="0031675F">
        <w:rPr>
          <w:spacing w:val="-4"/>
        </w:rPr>
        <w:t xml:space="preserve"> </w:t>
      </w:r>
      <w:r w:rsidRPr="0031675F">
        <w:rPr>
          <w:spacing w:val="-1"/>
        </w:rPr>
        <w:t>insert</w:t>
      </w:r>
      <w:r w:rsidRPr="0031675F">
        <w:rPr>
          <w:spacing w:val="-4"/>
        </w:rPr>
        <w:t xml:space="preserve"> </w:t>
      </w:r>
      <w:r w:rsidRPr="0031675F">
        <w:t>the</w:t>
      </w:r>
      <w:r w:rsidRPr="0031675F">
        <w:rPr>
          <w:spacing w:val="-5"/>
        </w:rPr>
        <w:t xml:space="preserve"> </w:t>
      </w:r>
      <w:r w:rsidRPr="0031675F">
        <w:t>13</w:t>
      </w:r>
      <w:r w:rsidRPr="0031675F">
        <w:rPr>
          <w:spacing w:val="-2"/>
        </w:rPr>
        <w:t xml:space="preserve"> </w:t>
      </w:r>
      <w:r w:rsidRPr="0031675F">
        <w:rPr>
          <w:spacing w:val="-1"/>
        </w:rPr>
        <w:t>mm</w:t>
      </w:r>
      <w:r w:rsidRPr="0031675F">
        <w:rPr>
          <w:spacing w:val="-5"/>
        </w:rPr>
        <w:t xml:space="preserve"> </w:t>
      </w:r>
      <w:r w:rsidRPr="0031675F">
        <w:t>adaptor</w:t>
      </w:r>
      <w:r w:rsidRPr="0031675F">
        <w:rPr>
          <w:spacing w:val="-4"/>
        </w:rPr>
        <w:t xml:space="preserve"> </w:t>
      </w:r>
      <w:r w:rsidRPr="0031675F">
        <w:t>if</w:t>
      </w:r>
      <w:r w:rsidRPr="0031675F">
        <w:rPr>
          <w:spacing w:val="-6"/>
        </w:rPr>
        <w:t xml:space="preserve"> </w:t>
      </w:r>
      <w:r w:rsidRPr="0031675F">
        <w:t>you</w:t>
      </w:r>
      <w:r w:rsidRPr="0031675F">
        <w:rPr>
          <w:spacing w:val="-4"/>
        </w:rPr>
        <w:t xml:space="preserve"> </w:t>
      </w:r>
      <w:r w:rsidRPr="0031675F">
        <w:t>have</w:t>
      </w:r>
      <w:r w:rsidRPr="0031675F">
        <w:rPr>
          <w:spacing w:val="-4"/>
        </w:rPr>
        <w:t xml:space="preserve"> </w:t>
      </w:r>
      <w:r w:rsidRPr="0031675F">
        <w:t>not</w:t>
      </w:r>
      <w:r w:rsidRPr="0031675F">
        <w:rPr>
          <w:spacing w:val="-4"/>
        </w:rPr>
        <w:t xml:space="preserve"> </w:t>
      </w:r>
      <w:r w:rsidRPr="0031675F">
        <w:t>already</w:t>
      </w:r>
      <w:r w:rsidRPr="0031675F">
        <w:rPr>
          <w:spacing w:val="-4"/>
        </w:rPr>
        <w:t xml:space="preserve"> </w:t>
      </w:r>
      <w:r w:rsidRPr="0031675F">
        <w:t>done</w:t>
      </w:r>
      <w:r w:rsidRPr="0031675F">
        <w:rPr>
          <w:spacing w:val="-5"/>
        </w:rPr>
        <w:t xml:space="preserve"> </w:t>
      </w:r>
      <w:r w:rsidRPr="0031675F">
        <w:rPr>
          <w:spacing w:val="-1"/>
        </w:rPr>
        <w:t>so.</w:t>
      </w:r>
    </w:p>
    <w:p w14:paraId="364CF2AB" w14:textId="77777777" w:rsidR="0031675F" w:rsidRPr="0031675F" w:rsidRDefault="0031675F" w:rsidP="0031675F">
      <w:pPr>
        <w:widowControl w:val="0"/>
        <w:numPr>
          <w:ilvl w:val="0"/>
          <w:numId w:val="78"/>
        </w:numPr>
        <w:tabs>
          <w:tab w:val="left" w:pos="832"/>
        </w:tabs>
        <w:spacing w:before="0" w:after="0" w:line="240" w:lineRule="auto"/>
        <w:ind w:right="114"/>
        <w:jc w:val="both"/>
        <w:rPr>
          <w:rFonts w:cs="Calibri"/>
        </w:rPr>
      </w:pPr>
      <w:r w:rsidRPr="0031675F">
        <w:rPr>
          <w:spacing w:val="-1"/>
        </w:rPr>
        <w:t>Insert</w:t>
      </w:r>
      <w:r w:rsidRPr="0031675F">
        <w:rPr>
          <w:spacing w:val="2"/>
        </w:rPr>
        <w:t xml:space="preserve"> </w:t>
      </w:r>
      <w:r w:rsidRPr="0031675F">
        <w:t>the</w:t>
      </w:r>
      <w:r w:rsidRPr="0031675F">
        <w:rPr>
          <w:spacing w:val="1"/>
        </w:rPr>
        <w:t xml:space="preserve"> </w:t>
      </w:r>
      <w:r w:rsidRPr="0031675F">
        <w:rPr>
          <w:spacing w:val="-1"/>
        </w:rPr>
        <w:t>solid</w:t>
      </w:r>
      <w:r w:rsidRPr="0031675F">
        <w:rPr>
          <w:spacing w:val="2"/>
        </w:rPr>
        <w:t xml:space="preserve"> </w:t>
      </w:r>
      <w:r w:rsidRPr="0031675F">
        <w:t>secondary</w:t>
      </w:r>
      <w:r w:rsidRPr="0031675F">
        <w:rPr>
          <w:spacing w:val="3"/>
        </w:rPr>
        <w:t xml:space="preserve"> </w:t>
      </w:r>
      <w:r w:rsidRPr="0031675F">
        <w:rPr>
          <w:spacing w:val="-1"/>
        </w:rPr>
        <w:t>standard</w:t>
      </w:r>
      <w:r w:rsidRPr="0031675F">
        <w:rPr>
          <w:spacing w:val="3"/>
        </w:rPr>
        <w:t xml:space="preserve"> </w:t>
      </w:r>
      <w:r w:rsidRPr="0031675F">
        <w:rPr>
          <w:spacing w:val="-1"/>
        </w:rPr>
        <w:t>and</w:t>
      </w:r>
      <w:r w:rsidRPr="0031675F">
        <w:rPr>
          <w:spacing w:val="3"/>
        </w:rPr>
        <w:t xml:space="preserve"> </w:t>
      </w:r>
      <w:r w:rsidRPr="0031675F">
        <w:rPr>
          <w:spacing w:val="-1"/>
        </w:rPr>
        <w:t>record</w:t>
      </w:r>
      <w:r w:rsidRPr="0031675F">
        <w:rPr>
          <w:spacing w:val="4"/>
        </w:rPr>
        <w:t xml:space="preserve"> </w:t>
      </w:r>
      <w:r w:rsidRPr="0031675F">
        <w:t>the</w:t>
      </w:r>
      <w:r w:rsidRPr="0031675F">
        <w:rPr>
          <w:spacing w:val="1"/>
        </w:rPr>
        <w:t xml:space="preserve"> </w:t>
      </w:r>
      <w:r w:rsidRPr="0031675F">
        <w:t>reading</w:t>
      </w:r>
      <w:r w:rsidRPr="0031675F">
        <w:rPr>
          <w:spacing w:val="-1"/>
        </w:rPr>
        <w:t xml:space="preserve"> for</w:t>
      </w:r>
      <w:r w:rsidRPr="0031675F">
        <w:rPr>
          <w:spacing w:val="2"/>
        </w:rPr>
        <w:t xml:space="preserve"> </w:t>
      </w:r>
      <w:r w:rsidRPr="0031675F">
        <w:t>low</w:t>
      </w:r>
      <w:r w:rsidRPr="0031675F">
        <w:rPr>
          <w:spacing w:val="2"/>
        </w:rPr>
        <w:t xml:space="preserve"> </w:t>
      </w:r>
      <w:r w:rsidRPr="0031675F">
        <w:t>concentration.</w:t>
      </w:r>
      <w:r w:rsidRPr="0031675F">
        <w:rPr>
          <w:spacing w:val="2"/>
        </w:rPr>
        <w:t xml:space="preserve"> </w:t>
      </w:r>
      <w:r w:rsidRPr="0031675F">
        <w:rPr>
          <w:spacing w:val="-1"/>
        </w:rPr>
        <w:t>Rotate</w:t>
      </w:r>
      <w:r w:rsidRPr="0031675F">
        <w:rPr>
          <w:spacing w:val="1"/>
        </w:rPr>
        <w:t xml:space="preserve"> </w:t>
      </w:r>
      <w:r w:rsidRPr="0031675F">
        <w:t>your</w:t>
      </w:r>
      <w:r w:rsidRPr="0031675F">
        <w:rPr>
          <w:spacing w:val="2"/>
        </w:rPr>
        <w:t xml:space="preserve"> </w:t>
      </w:r>
      <w:r w:rsidRPr="0031675F">
        <w:rPr>
          <w:spacing w:val="-1"/>
        </w:rPr>
        <w:t>standard</w:t>
      </w:r>
      <w:r w:rsidRPr="0031675F">
        <w:rPr>
          <w:spacing w:val="79"/>
          <w:w w:val="99"/>
        </w:rPr>
        <w:t xml:space="preserve"> </w:t>
      </w:r>
      <w:r w:rsidRPr="0031675F">
        <w:t>and</w:t>
      </w:r>
      <w:r w:rsidRPr="0031675F">
        <w:rPr>
          <w:spacing w:val="17"/>
        </w:rPr>
        <w:t xml:space="preserve"> </w:t>
      </w:r>
      <w:r w:rsidRPr="0031675F">
        <w:rPr>
          <w:spacing w:val="-1"/>
        </w:rPr>
        <w:t>record</w:t>
      </w:r>
      <w:r w:rsidRPr="0031675F">
        <w:rPr>
          <w:spacing w:val="17"/>
        </w:rPr>
        <w:t xml:space="preserve"> </w:t>
      </w:r>
      <w:r w:rsidRPr="0031675F">
        <w:t>the</w:t>
      </w:r>
      <w:r w:rsidRPr="0031675F">
        <w:rPr>
          <w:spacing w:val="17"/>
        </w:rPr>
        <w:t xml:space="preserve"> </w:t>
      </w:r>
      <w:r w:rsidRPr="0031675F">
        <w:t>reading</w:t>
      </w:r>
      <w:r w:rsidRPr="0031675F">
        <w:rPr>
          <w:spacing w:val="16"/>
        </w:rPr>
        <w:t xml:space="preserve"> </w:t>
      </w:r>
      <w:r w:rsidRPr="0031675F">
        <w:rPr>
          <w:spacing w:val="-1"/>
        </w:rPr>
        <w:t>for</w:t>
      </w:r>
      <w:r w:rsidRPr="0031675F">
        <w:rPr>
          <w:spacing w:val="18"/>
        </w:rPr>
        <w:t xml:space="preserve"> </w:t>
      </w:r>
      <w:r w:rsidRPr="0031675F">
        <w:t>high</w:t>
      </w:r>
      <w:r w:rsidRPr="0031675F">
        <w:rPr>
          <w:spacing w:val="17"/>
        </w:rPr>
        <w:t xml:space="preserve"> </w:t>
      </w:r>
      <w:r w:rsidRPr="0031675F">
        <w:t>concentration.</w:t>
      </w:r>
      <w:r w:rsidRPr="0031675F">
        <w:rPr>
          <w:spacing w:val="17"/>
        </w:rPr>
        <w:t xml:space="preserve"> </w:t>
      </w:r>
      <w:r w:rsidRPr="0031675F">
        <w:rPr>
          <w:spacing w:val="-1"/>
        </w:rPr>
        <w:t>Record</w:t>
      </w:r>
      <w:r w:rsidRPr="0031675F">
        <w:rPr>
          <w:spacing w:val="17"/>
        </w:rPr>
        <w:t xml:space="preserve"> </w:t>
      </w:r>
      <w:r w:rsidRPr="0031675F">
        <w:t>these</w:t>
      </w:r>
      <w:r w:rsidRPr="0031675F">
        <w:rPr>
          <w:spacing w:val="17"/>
        </w:rPr>
        <w:t xml:space="preserve"> </w:t>
      </w:r>
      <w:r w:rsidRPr="0031675F">
        <w:t>numbers</w:t>
      </w:r>
      <w:r w:rsidRPr="0031675F">
        <w:rPr>
          <w:spacing w:val="15"/>
        </w:rPr>
        <w:t xml:space="preserve"> </w:t>
      </w:r>
      <w:r w:rsidRPr="0031675F">
        <w:t>on</w:t>
      </w:r>
      <w:r w:rsidRPr="0031675F">
        <w:rPr>
          <w:spacing w:val="18"/>
        </w:rPr>
        <w:t xml:space="preserve"> </w:t>
      </w:r>
      <w:r w:rsidRPr="0031675F">
        <w:t>the</w:t>
      </w:r>
      <w:r w:rsidRPr="0031675F">
        <w:rPr>
          <w:spacing w:val="16"/>
        </w:rPr>
        <w:t xml:space="preserve"> </w:t>
      </w:r>
      <w:r w:rsidRPr="0031675F">
        <w:t>log</w:t>
      </w:r>
      <w:r w:rsidRPr="0031675F">
        <w:rPr>
          <w:spacing w:val="17"/>
        </w:rPr>
        <w:t xml:space="preserve"> </w:t>
      </w:r>
      <w:r w:rsidRPr="0031675F">
        <w:t>sheet</w:t>
      </w:r>
      <w:r w:rsidRPr="0031675F">
        <w:rPr>
          <w:spacing w:val="19"/>
        </w:rPr>
        <w:t xml:space="preserve"> </w:t>
      </w:r>
      <w:r w:rsidRPr="0031675F">
        <w:t>included</w:t>
      </w:r>
      <w:r w:rsidRPr="0031675F">
        <w:rPr>
          <w:spacing w:val="17"/>
        </w:rPr>
        <w:t xml:space="preserve"> </w:t>
      </w:r>
      <w:r w:rsidRPr="0031675F">
        <w:rPr>
          <w:spacing w:val="-1"/>
        </w:rPr>
        <w:t>with</w:t>
      </w:r>
      <w:r w:rsidRPr="0031675F">
        <w:rPr>
          <w:spacing w:val="40"/>
          <w:w w:val="99"/>
        </w:rPr>
        <w:t xml:space="preserve"> </w:t>
      </w:r>
      <w:r w:rsidRPr="0031675F">
        <w:t>your</w:t>
      </w:r>
      <w:r w:rsidRPr="0031675F">
        <w:rPr>
          <w:spacing w:val="-12"/>
        </w:rPr>
        <w:t xml:space="preserve"> </w:t>
      </w:r>
      <w:r w:rsidRPr="0031675F">
        <w:rPr>
          <w:spacing w:val="-1"/>
        </w:rPr>
        <w:t>standard.</w:t>
      </w:r>
    </w:p>
    <w:p w14:paraId="41065FD7" w14:textId="77777777" w:rsidR="0031675F" w:rsidRPr="0031675F" w:rsidRDefault="0031675F" w:rsidP="0031675F">
      <w:pPr>
        <w:widowControl w:val="0"/>
        <w:numPr>
          <w:ilvl w:val="0"/>
          <w:numId w:val="78"/>
        </w:numPr>
        <w:tabs>
          <w:tab w:val="left" w:pos="832"/>
        </w:tabs>
        <w:spacing w:before="0" w:after="0" w:line="240" w:lineRule="auto"/>
        <w:ind w:right="116"/>
        <w:jc w:val="both"/>
        <w:rPr>
          <w:rFonts w:cs="Calibri"/>
        </w:rPr>
      </w:pPr>
      <w:r w:rsidRPr="0031675F">
        <w:t>Future</w:t>
      </w:r>
      <w:r w:rsidRPr="0031675F">
        <w:rPr>
          <w:spacing w:val="1"/>
        </w:rPr>
        <w:t xml:space="preserve"> </w:t>
      </w:r>
      <w:r w:rsidRPr="0031675F">
        <w:t>instrument</w:t>
      </w:r>
      <w:r w:rsidRPr="0031675F">
        <w:rPr>
          <w:spacing w:val="2"/>
        </w:rPr>
        <w:t xml:space="preserve"> </w:t>
      </w:r>
      <w:r w:rsidRPr="0031675F">
        <w:t>calibrations</w:t>
      </w:r>
      <w:r w:rsidRPr="0031675F">
        <w:rPr>
          <w:spacing w:val="1"/>
        </w:rPr>
        <w:t xml:space="preserve"> </w:t>
      </w:r>
      <w:r w:rsidRPr="0031675F">
        <w:t>or</w:t>
      </w:r>
      <w:r w:rsidRPr="0031675F">
        <w:rPr>
          <w:spacing w:val="2"/>
        </w:rPr>
        <w:t xml:space="preserve"> </w:t>
      </w:r>
      <w:r w:rsidRPr="0031675F">
        <w:t>checks</w:t>
      </w:r>
      <w:r w:rsidRPr="0031675F">
        <w:rPr>
          <w:spacing w:val="3"/>
        </w:rPr>
        <w:t xml:space="preserve"> </w:t>
      </w:r>
      <w:r w:rsidRPr="0031675F">
        <w:rPr>
          <w:spacing w:val="-1"/>
        </w:rPr>
        <w:t>may</w:t>
      </w:r>
      <w:r w:rsidRPr="0031675F">
        <w:rPr>
          <w:spacing w:val="3"/>
        </w:rPr>
        <w:t xml:space="preserve"> </w:t>
      </w:r>
      <w:r w:rsidRPr="0031675F">
        <w:t>be</w:t>
      </w:r>
      <w:r w:rsidRPr="0031675F">
        <w:rPr>
          <w:spacing w:val="2"/>
        </w:rPr>
        <w:t xml:space="preserve"> </w:t>
      </w:r>
      <w:r w:rsidRPr="0031675F">
        <w:t>performed</w:t>
      </w:r>
      <w:r w:rsidRPr="0031675F">
        <w:rPr>
          <w:spacing w:val="3"/>
        </w:rPr>
        <w:t xml:space="preserve"> </w:t>
      </w:r>
      <w:r w:rsidRPr="0031675F">
        <w:t>by</w:t>
      </w:r>
      <w:r w:rsidRPr="0031675F">
        <w:rPr>
          <w:spacing w:val="3"/>
        </w:rPr>
        <w:t xml:space="preserve"> </w:t>
      </w:r>
      <w:r w:rsidRPr="0031675F">
        <w:rPr>
          <w:spacing w:val="-1"/>
        </w:rPr>
        <w:t>using</w:t>
      </w:r>
      <w:r w:rsidRPr="0031675F">
        <w:rPr>
          <w:spacing w:val="2"/>
        </w:rPr>
        <w:t xml:space="preserve"> </w:t>
      </w:r>
      <w:r w:rsidRPr="0031675F">
        <w:t>the</w:t>
      </w:r>
      <w:r w:rsidRPr="0031675F">
        <w:rPr>
          <w:spacing w:val="1"/>
        </w:rPr>
        <w:t xml:space="preserve"> </w:t>
      </w:r>
      <w:r w:rsidRPr="0031675F">
        <w:rPr>
          <w:spacing w:val="-1"/>
        </w:rPr>
        <w:t>solid</w:t>
      </w:r>
      <w:r w:rsidRPr="0031675F">
        <w:rPr>
          <w:spacing w:val="2"/>
        </w:rPr>
        <w:t xml:space="preserve"> </w:t>
      </w:r>
      <w:r w:rsidRPr="0031675F">
        <w:t>secondary</w:t>
      </w:r>
      <w:r w:rsidRPr="0031675F">
        <w:rPr>
          <w:spacing w:val="3"/>
        </w:rPr>
        <w:t xml:space="preserve"> </w:t>
      </w:r>
      <w:r w:rsidRPr="0031675F">
        <w:rPr>
          <w:spacing w:val="-1"/>
        </w:rPr>
        <w:t>standards</w:t>
      </w:r>
      <w:r w:rsidRPr="0031675F">
        <w:rPr>
          <w:spacing w:val="2"/>
        </w:rPr>
        <w:t xml:space="preserve"> </w:t>
      </w:r>
      <w:r w:rsidRPr="0031675F">
        <w:t>and</w:t>
      </w:r>
      <w:r w:rsidRPr="0031675F">
        <w:rPr>
          <w:spacing w:val="52"/>
          <w:w w:val="99"/>
        </w:rPr>
        <w:t xml:space="preserve"> </w:t>
      </w:r>
      <w:r w:rsidRPr="0031675F">
        <w:t>values</w:t>
      </w:r>
      <w:r w:rsidRPr="0031675F">
        <w:rPr>
          <w:spacing w:val="-7"/>
        </w:rPr>
        <w:t xml:space="preserve"> </w:t>
      </w:r>
      <w:r w:rsidRPr="0031675F">
        <w:rPr>
          <w:spacing w:val="-1"/>
        </w:rPr>
        <w:t>obtained</w:t>
      </w:r>
      <w:r w:rsidRPr="0031675F">
        <w:rPr>
          <w:spacing w:val="-5"/>
        </w:rPr>
        <w:t xml:space="preserve"> </w:t>
      </w:r>
      <w:r w:rsidRPr="0031675F">
        <w:t>in</w:t>
      </w:r>
      <w:r w:rsidRPr="0031675F">
        <w:rPr>
          <w:spacing w:val="-5"/>
        </w:rPr>
        <w:t xml:space="preserve"> </w:t>
      </w:r>
      <w:r w:rsidRPr="0031675F">
        <w:rPr>
          <w:spacing w:val="-1"/>
        </w:rPr>
        <w:t>step</w:t>
      </w:r>
      <w:r w:rsidRPr="0031675F">
        <w:rPr>
          <w:spacing w:val="-4"/>
        </w:rPr>
        <w:t xml:space="preserve"> </w:t>
      </w:r>
      <w:r w:rsidRPr="0031675F">
        <w:t>3.</w:t>
      </w:r>
    </w:p>
    <w:p w14:paraId="2C978D27" w14:textId="77777777" w:rsidR="0031675F" w:rsidRPr="0031675F" w:rsidRDefault="0031675F" w:rsidP="0031675F">
      <w:pPr>
        <w:spacing w:before="11"/>
        <w:rPr>
          <w:rFonts w:cs="Calibri"/>
        </w:rPr>
      </w:pPr>
    </w:p>
    <w:p w14:paraId="4D0EE709" w14:textId="77777777" w:rsidR="0031675F" w:rsidRPr="0031675F" w:rsidRDefault="0031675F" w:rsidP="0031675F">
      <w:pPr>
        <w:ind w:left="111"/>
        <w:jc w:val="both"/>
        <w:rPr>
          <w:rFonts w:cs="Calibri"/>
          <w:sz w:val="20"/>
          <w:szCs w:val="20"/>
        </w:rPr>
      </w:pPr>
      <w:r w:rsidRPr="0031675F">
        <w:rPr>
          <w:b/>
          <w:spacing w:val="-1"/>
          <w:sz w:val="20"/>
        </w:rPr>
        <w:t>Relative</w:t>
      </w:r>
      <w:r w:rsidRPr="0031675F">
        <w:rPr>
          <w:b/>
          <w:spacing w:val="-8"/>
          <w:sz w:val="20"/>
        </w:rPr>
        <w:t xml:space="preserve"> </w:t>
      </w:r>
      <w:r w:rsidRPr="0031675F">
        <w:rPr>
          <w:b/>
          <w:sz w:val="20"/>
        </w:rPr>
        <w:t>Concentration</w:t>
      </w:r>
      <w:r w:rsidRPr="0031675F">
        <w:rPr>
          <w:b/>
          <w:spacing w:val="-6"/>
          <w:sz w:val="20"/>
        </w:rPr>
        <w:t xml:space="preserve"> </w:t>
      </w:r>
      <w:r w:rsidRPr="0031675F">
        <w:rPr>
          <w:b/>
          <w:sz w:val="20"/>
        </w:rPr>
        <w:t>of</w:t>
      </w:r>
      <w:r w:rsidRPr="0031675F">
        <w:rPr>
          <w:b/>
          <w:spacing w:val="-8"/>
          <w:sz w:val="20"/>
        </w:rPr>
        <w:t xml:space="preserve"> </w:t>
      </w:r>
      <w:r w:rsidRPr="0031675F">
        <w:rPr>
          <w:b/>
          <w:sz w:val="20"/>
        </w:rPr>
        <w:t>the</w:t>
      </w:r>
      <w:r w:rsidRPr="0031675F">
        <w:rPr>
          <w:b/>
          <w:spacing w:val="-9"/>
          <w:sz w:val="20"/>
        </w:rPr>
        <w:t xml:space="preserve"> </w:t>
      </w:r>
      <w:r w:rsidRPr="0031675F">
        <w:rPr>
          <w:b/>
          <w:spacing w:val="-1"/>
          <w:sz w:val="20"/>
        </w:rPr>
        <w:t>Solid</w:t>
      </w:r>
      <w:r w:rsidRPr="0031675F">
        <w:rPr>
          <w:b/>
          <w:spacing w:val="-7"/>
          <w:sz w:val="20"/>
        </w:rPr>
        <w:t xml:space="preserve"> </w:t>
      </w:r>
      <w:r w:rsidRPr="0031675F">
        <w:rPr>
          <w:b/>
          <w:sz w:val="20"/>
        </w:rPr>
        <w:t>Standard</w:t>
      </w:r>
    </w:p>
    <w:tbl>
      <w:tblPr>
        <w:tblW w:w="0" w:type="auto"/>
        <w:tblInd w:w="110" w:type="dxa"/>
        <w:tblLayout w:type="fixed"/>
        <w:tblCellMar>
          <w:left w:w="0" w:type="dxa"/>
          <w:right w:w="0" w:type="dxa"/>
        </w:tblCellMar>
        <w:tblLook w:val="01E0" w:firstRow="1" w:lastRow="1" w:firstColumn="1" w:lastColumn="1" w:noHBand="0" w:noVBand="0"/>
      </w:tblPr>
      <w:tblGrid>
        <w:gridCol w:w="806"/>
        <w:gridCol w:w="2173"/>
        <w:gridCol w:w="2513"/>
      </w:tblGrid>
      <w:tr w:rsidR="0031675F" w:rsidRPr="0031675F" w14:paraId="3C0362C6" w14:textId="77777777" w:rsidTr="00B00729">
        <w:trPr>
          <w:trHeight w:hRule="exact" w:val="255"/>
        </w:trPr>
        <w:tc>
          <w:tcPr>
            <w:tcW w:w="806" w:type="dxa"/>
            <w:tcBorders>
              <w:top w:val="single" w:sz="5" w:space="0" w:color="000000"/>
              <w:left w:val="single" w:sz="5" w:space="0" w:color="000000"/>
              <w:bottom w:val="single" w:sz="5" w:space="0" w:color="000000"/>
              <w:right w:val="single" w:sz="5" w:space="0" w:color="000000"/>
            </w:tcBorders>
          </w:tcPr>
          <w:p w14:paraId="4FC22441" w14:textId="77777777" w:rsidR="0031675F" w:rsidRPr="0031675F" w:rsidRDefault="0031675F" w:rsidP="0031675F">
            <w:pPr>
              <w:widowControl w:val="0"/>
              <w:spacing w:before="0" w:after="0" w:line="242" w:lineRule="exact"/>
              <w:ind w:left="102"/>
              <w:rPr>
                <w:rFonts w:ascii="Calibri" w:eastAsia="Calibri" w:hAnsi="Calibri" w:cs="Calibri"/>
                <w:sz w:val="20"/>
                <w:szCs w:val="20"/>
                <w:lang w:val="en-US"/>
              </w:rPr>
            </w:pPr>
            <w:r w:rsidRPr="0031675F">
              <w:rPr>
                <w:rFonts w:ascii="Calibri" w:eastAsia="Calibri" w:hAnsi="Calibri"/>
                <w:b/>
                <w:spacing w:val="-1"/>
                <w:sz w:val="20"/>
                <w:lang w:val="en-US"/>
              </w:rPr>
              <w:t>10-AU</w:t>
            </w:r>
          </w:p>
        </w:tc>
        <w:tc>
          <w:tcPr>
            <w:tcW w:w="2173" w:type="dxa"/>
            <w:tcBorders>
              <w:top w:val="single" w:sz="5" w:space="0" w:color="000000"/>
              <w:left w:val="single" w:sz="5" w:space="0" w:color="000000"/>
              <w:bottom w:val="single" w:sz="5" w:space="0" w:color="000000"/>
              <w:right w:val="single" w:sz="5" w:space="0" w:color="000000"/>
            </w:tcBorders>
          </w:tcPr>
          <w:p w14:paraId="65F59F3D" w14:textId="77777777" w:rsidR="0031675F" w:rsidRPr="0031675F" w:rsidRDefault="0031675F" w:rsidP="0031675F">
            <w:pPr>
              <w:widowControl w:val="0"/>
              <w:spacing w:before="0" w:after="0" w:line="242" w:lineRule="exact"/>
              <w:ind w:left="102"/>
              <w:rPr>
                <w:rFonts w:ascii="Calibri" w:eastAsia="Calibri" w:hAnsi="Calibri" w:cs="Calibri"/>
                <w:sz w:val="20"/>
                <w:szCs w:val="20"/>
                <w:lang w:val="en-US"/>
              </w:rPr>
            </w:pPr>
            <w:r w:rsidRPr="0031675F">
              <w:rPr>
                <w:rFonts w:ascii="Calibri" w:eastAsia="Calibri" w:hAnsi="Calibri"/>
                <w:b/>
                <w:spacing w:val="-1"/>
                <w:sz w:val="20"/>
                <w:lang w:val="en-US"/>
              </w:rPr>
              <w:t>Chlorophyll</w:t>
            </w:r>
            <w:r w:rsidRPr="0031675F">
              <w:rPr>
                <w:rFonts w:ascii="Calibri" w:eastAsia="Calibri" w:hAnsi="Calibri"/>
                <w:b/>
                <w:spacing w:val="-12"/>
                <w:sz w:val="20"/>
                <w:lang w:val="en-US"/>
              </w:rPr>
              <w:t xml:space="preserve"> </w:t>
            </w:r>
            <w:r w:rsidRPr="0031675F">
              <w:rPr>
                <w:rFonts w:ascii="Calibri" w:eastAsia="Calibri" w:hAnsi="Calibri"/>
                <w:b/>
                <w:sz w:val="20"/>
                <w:lang w:val="en-US"/>
              </w:rPr>
              <w:t>(10-040</w:t>
            </w:r>
            <w:r w:rsidRPr="0031675F">
              <w:rPr>
                <w:rFonts w:ascii="Calibri" w:eastAsia="Calibri" w:hAnsi="Calibri"/>
                <w:b/>
                <w:spacing w:val="-10"/>
                <w:sz w:val="20"/>
                <w:lang w:val="en-US"/>
              </w:rPr>
              <w:t xml:space="preserve"> </w:t>
            </w:r>
            <w:r w:rsidRPr="0031675F">
              <w:rPr>
                <w:rFonts w:ascii="Calibri" w:eastAsia="Calibri" w:hAnsi="Calibri"/>
                <w:b/>
                <w:sz w:val="20"/>
                <w:lang w:val="en-US"/>
              </w:rPr>
              <w:t>kit)</w:t>
            </w:r>
          </w:p>
        </w:tc>
        <w:tc>
          <w:tcPr>
            <w:tcW w:w="2513" w:type="dxa"/>
            <w:tcBorders>
              <w:top w:val="single" w:sz="5" w:space="0" w:color="000000"/>
              <w:left w:val="single" w:sz="5" w:space="0" w:color="000000"/>
              <w:bottom w:val="single" w:sz="5" w:space="0" w:color="000000"/>
              <w:right w:val="single" w:sz="5" w:space="0" w:color="000000"/>
            </w:tcBorders>
          </w:tcPr>
          <w:p w14:paraId="1AEAC7E5" w14:textId="77777777" w:rsidR="0031675F" w:rsidRPr="0031675F" w:rsidRDefault="0031675F" w:rsidP="0031675F">
            <w:pPr>
              <w:widowControl w:val="0"/>
              <w:spacing w:before="0" w:after="0" w:line="242" w:lineRule="exact"/>
              <w:ind w:left="99"/>
              <w:rPr>
                <w:rFonts w:ascii="Calibri" w:eastAsia="Calibri" w:hAnsi="Calibri" w:cs="Calibri"/>
                <w:sz w:val="20"/>
                <w:szCs w:val="20"/>
                <w:lang w:val="en-US"/>
              </w:rPr>
            </w:pPr>
            <w:r w:rsidRPr="0031675F">
              <w:rPr>
                <w:rFonts w:ascii="Calibri" w:eastAsia="Calibri" w:hAnsi="Calibri"/>
                <w:b/>
                <w:spacing w:val="-1"/>
                <w:sz w:val="20"/>
                <w:lang w:val="en-US"/>
              </w:rPr>
              <w:t>Rhodamine</w:t>
            </w:r>
            <w:r w:rsidRPr="0031675F">
              <w:rPr>
                <w:rFonts w:ascii="Calibri" w:eastAsia="Calibri" w:hAnsi="Calibri"/>
                <w:b/>
                <w:spacing w:val="-23"/>
                <w:sz w:val="20"/>
                <w:lang w:val="en-US"/>
              </w:rPr>
              <w:t xml:space="preserve"> </w:t>
            </w:r>
            <w:r w:rsidRPr="0031675F">
              <w:rPr>
                <w:rFonts w:ascii="Calibri" w:eastAsia="Calibri" w:hAnsi="Calibri"/>
                <w:b/>
                <w:spacing w:val="-1"/>
                <w:sz w:val="20"/>
                <w:lang w:val="en-US"/>
              </w:rPr>
              <w:t>WT(10-041Rkit)</w:t>
            </w:r>
          </w:p>
        </w:tc>
      </w:tr>
      <w:tr w:rsidR="0031675F" w:rsidRPr="0031675F" w14:paraId="612CAD65" w14:textId="77777777" w:rsidTr="00B00729">
        <w:trPr>
          <w:trHeight w:hRule="exact" w:val="254"/>
        </w:trPr>
        <w:tc>
          <w:tcPr>
            <w:tcW w:w="806" w:type="dxa"/>
            <w:tcBorders>
              <w:top w:val="single" w:sz="5" w:space="0" w:color="000000"/>
              <w:left w:val="single" w:sz="5" w:space="0" w:color="000000"/>
              <w:bottom w:val="single" w:sz="5" w:space="0" w:color="000000"/>
              <w:right w:val="single" w:sz="5" w:space="0" w:color="000000"/>
            </w:tcBorders>
          </w:tcPr>
          <w:p w14:paraId="68F123D0" w14:textId="77777777" w:rsidR="0031675F" w:rsidRPr="0031675F" w:rsidRDefault="0031675F" w:rsidP="0031675F">
            <w:pPr>
              <w:widowControl w:val="0"/>
              <w:spacing w:before="0" w:after="0" w:line="242" w:lineRule="exact"/>
              <w:ind w:left="102"/>
              <w:rPr>
                <w:rFonts w:ascii="Calibri" w:eastAsia="Calibri" w:hAnsi="Calibri" w:cs="Calibri"/>
                <w:sz w:val="20"/>
                <w:szCs w:val="20"/>
                <w:lang w:val="en-US"/>
              </w:rPr>
            </w:pPr>
            <w:r w:rsidRPr="0031675F">
              <w:rPr>
                <w:rFonts w:ascii="Calibri" w:eastAsia="Calibri" w:hAnsi="Calibri"/>
                <w:sz w:val="20"/>
                <w:lang w:val="en-US"/>
              </w:rPr>
              <w:t>High</w:t>
            </w:r>
          </w:p>
        </w:tc>
        <w:tc>
          <w:tcPr>
            <w:tcW w:w="2173" w:type="dxa"/>
            <w:tcBorders>
              <w:top w:val="single" w:sz="5" w:space="0" w:color="000000"/>
              <w:left w:val="single" w:sz="5" w:space="0" w:color="000000"/>
              <w:bottom w:val="single" w:sz="5" w:space="0" w:color="000000"/>
              <w:right w:val="single" w:sz="5" w:space="0" w:color="000000"/>
            </w:tcBorders>
          </w:tcPr>
          <w:p w14:paraId="05F7D342" w14:textId="09367DA7" w:rsidR="0031675F" w:rsidRPr="0031675F" w:rsidRDefault="0031675F" w:rsidP="0031675F">
            <w:pPr>
              <w:widowControl w:val="0"/>
              <w:spacing w:before="0" w:after="0" w:line="242" w:lineRule="exact"/>
              <w:ind w:left="102"/>
              <w:rPr>
                <w:rFonts w:ascii="Calibri" w:eastAsia="Calibri" w:hAnsi="Calibri" w:cs="Calibri"/>
                <w:sz w:val="20"/>
                <w:szCs w:val="20"/>
                <w:lang w:val="en-US"/>
              </w:rPr>
            </w:pPr>
            <w:r w:rsidRPr="0031675F">
              <w:rPr>
                <w:rFonts w:ascii="Calibri" w:eastAsia="Calibri" w:hAnsi="Calibri"/>
                <w:sz w:val="20"/>
                <w:lang w:val="en-US"/>
              </w:rPr>
              <w:t>~</w:t>
            </w:r>
            <w:r w:rsidRPr="0031675F">
              <w:rPr>
                <w:rFonts w:ascii="Calibri" w:eastAsia="Calibri" w:hAnsi="Calibri"/>
                <w:spacing w:val="-5"/>
                <w:sz w:val="20"/>
                <w:lang w:val="en-US"/>
              </w:rPr>
              <w:t xml:space="preserve"> </w:t>
            </w:r>
            <w:r w:rsidRPr="0031675F">
              <w:rPr>
                <w:rFonts w:ascii="Calibri" w:eastAsia="Calibri" w:hAnsi="Calibri"/>
                <w:sz w:val="20"/>
                <w:lang w:val="en-US"/>
              </w:rPr>
              <w:t>40</w:t>
            </w:r>
            <w:r w:rsidRPr="0031675F">
              <w:rPr>
                <w:rFonts w:ascii="Calibri" w:eastAsia="Calibri" w:hAnsi="Calibri"/>
                <w:spacing w:val="-3"/>
                <w:sz w:val="20"/>
                <w:lang w:val="en-US"/>
              </w:rPr>
              <w:t xml:space="preserve"> </w:t>
            </w:r>
            <w:r w:rsidRPr="0031675F">
              <w:rPr>
                <w:rFonts w:ascii="Calibri" w:eastAsia="Calibri" w:hAnsi="Calibri"/>
                <w:sz w:val="20"/>
                <w:lang w:val="en-US"/>
              </w:rPr>
              <w:t>µg</w:t>
            </w:r>
            <w:r w:rsidR="00E817CB">
              <w:t xml:space="preserve"> </w:t>
            </w:r>
            <w:r w:rsidR="00E817CB" w:rsidRPr="00E817CB">
              <w:rPr>
                <w:rFonts w:ascii="Calibri" w:eastAsia="Calibri" w:hAnsi="Calibri"/>
                <w:sz w:val="20"/>
                <w:lang w:val="en-US"/>
              </w:rPr>
              <w:t>L</w:t>
            </w:r>
            <w:r w:rsidR="00E817CB" w:rsidRPr="00E817CB">
              <w:rPr>
                <w:rFonts w:ascii="Calibri" w:eastAsia="Calibri" w:hAnsi="Calibri"/>
                <w:sz w:val="20"/>
                <w:vertAlign w:val="superscript"/>
                <w:lang w:val="en-US"/>
              </w:rPr>
              <w:t>-1</w:t>
            </w:r>
          </w:p>
        </w:tc>
        <w:tc>
          <w:tcPr>
            <w:tcW w:w="2513" w:type="dxa"/>
            <w:tcBorders>
              <w:top w:val="single" w:sz="5" w:space="0" w:color="000000"/>
              <w:left w:val="single" w:sz="5" w:space="0" w:color="000000"/>
              <w:bottom w:val="single" w:sz="5" w:space="0" w:color="000000"/>
              <w:right w:val="single" w:sz="5" w:space="0" w:color="000000"/>
            </w:tcBorders>
          </w:tcPr>
          <w:p w14:paraId="0F7045A6" w14:textId="77777777" w:rsidR="0031675F" w:rsidRPr="0031675F" w:rsidRDefault="0031675F" w:rsidP="0031675F">
            <w:pPr>
              <w:widowControl w:val="0"/>
              <w:spacing w:before="0" w:after="0" w:line="242" w:lineRule="exact"/>
              <w:ind w:left="99"/>
              <w:rPr>
                <w:rFonts w:ascii="Calibri" w:eastAsia="Calibri" w:hAnsi="Calibri" w:cs="Calibri"/>
                <w:sz w:val="20"/>
                <w:szCs w:val="20"/>
                <w:lang w:val="en-US"/>
              </w:rPr>
            </w:pPr>
            <w:r w:rsidRPr="0031675F">
              <w:rPr>
                <w:rFonts w:ascii="Calibri" w:eastAsia="Calibri" w:hAnsi="Calibri"/>
                <w:sz w:val="20"/>
                <w:lang w:val="en-US"/>
              </w:rPr>
              <w:t>~</w:t>
            </w:r>
            <w:r w:rsidRPr="0031675F">
              <w:rPr>
                <w:rFonts w:ascii="Calibri" w:eastAsia="Calibri" w:hAnsi="Calibri"/>
                <w:spacing w:val="-4"/>
                <w:sz w:val="20"/>
                <w:lang w:val="en-US"/>
              </w:rPr>
              <w:t xml:space="preserve"> </w:t>
            </w:r>
            <w:r w:rsidRPr="0031675F">
              <w:rPr>
                <w:rFonts w:ascii="Calibri" w:eastAsia="Calibri" w:hAnsi="Calibri"/>
                <w:sz w:val="20"/>
                <w:lang w:val="en-US"/>
              </w:rPr>
              <w:t>5</w:t>
            </w:r>
            <w:r w:rsidRPr="0031675F">
              <w:rPr>
                <w:rFonts w:ascii="Calibri" w:eastAsia="Calibri" w:hAnsi="Calibri"/>
                <w:spacing w:val="-3"/>
                <w:sz w:val="20"/>
                <w:lang w:val="en-US"/>
              </w:rPr>
              <w:t xml:space="preserve"> </w:t>
            </w:r>
            <w:r w:rsidRPr="0031675F">
              <w:rPr>
                <w:rFonts w:ascii="Calibri" w:eastAsia="Calibri" w:hAnsi="Calibri"/>
                <w:sz w:val="20"/>
                <w:lang w:val="en-US"/>
              </w:rPr>
              <w:t>ppb</w:t>
            </w:r>
          </w:p>
        </w:tc>
      </w:tr>
      <w:tr w:rsidR="0031675F" w:rsidRPr="0031675F" w14:paraId="23540D7E" w14:textId="77777777" w:rsidTr="00B00729">
        <w:trPr>
          <w:trHeight w:hRule="exact" w:val="252"/>
        </w:trPr>
        <w:tc>
          <w:tcPr>
            <w:tcW w:w="806" w:type="dxa"/>
            <w:tcBorders>
              <w:top w:val="single" w:sz="5" w:space="0" w:color="000000"/>
              <w:left w:val="single" w:sz="5" w:space="0" w:color="000000"/>
              <w:bottom w:val="single" w:sz="5" w:space="0" w:color="000000"/>
              <w:right w:val="single" w:sz="5" w:space="0" w:color="000000"/>
            </w:tcBorders>
          </w:tcPr>
          <w:p w14:paraId="0A04EF76" w14:textId="77777777" w:rsidR="0031675F" w:rsidRPr="0031675F" w:rsidRDefault="0031675F" w:rsidP="0031675F">
            <w:pPr>
              <w:widowControl w:val="0"/>
              <w:spacing w:before="0" w:after="0" w:line="240" w:lineRule="exact"/>
              <w:ind w:left="102"/>
              <w:rPr>
                <w:rFonts w:ascii="Calibri" w:eastAsia="Calibri" w:hAnsi="Calibri" w:cs="Calibri"/>
                <w:sz w:val="20"/>
                <w:szCs w:val="20"/>
                <w:lang w:val="en-US"/>
              </w:rPr>
            </w:pPr>
            <w:r w:rsidRPr="0031675F">
              <w:rPr>
                <w:rFonts w:ascii="Calibri" w:eastAsia="Calibri" w:hAnsi="Calibri"/>
                <w:spacing w:val="-1"/>
                <w:sz w:val="20"/>
                <w:lang w:val="en-US"/>
              </w:rPr>
              <w:t>Low</w:t>
            </w:r>
          </w:p>
        </w:tc>
        <w:tc>
          <w:tcPr>
            <w:tcW w:w="2173" w:type="dxa"/>
            <w:tcBorders>
              <w:top w:val="single" w:sz="5" w:space="0" w:color="000000"/>
              <w:left w:val="single" w:sz="5" w:space="0" w:color="000000"/>
              <w:bottom w:val="single" w:sz="5" w:space="0" w:color="000000"/>
              <w:right w:val="single" w:sz="5" w:space="0" w:color="000000"/>
            </w:tcBorders>
          </w:tcPr>
          <w:p w14:paraId="7A632754" w14:textId="460C391B" w:rsidR="0031675F" w:rsidRPr="0031675F" w:rsidRDefault="0031675F" w:rsidP="0031675F">
            <w:pPr>
              <w:widowControl w:val="0"/>
              <w:spacing w:before="0" w:after="0" w:line="240" w:lineRule="exact"/>
              <w:ind w:left="102"/>
              <w:rPr>
                <w:rFonts w:ascii="Calibri" w:eastAsia="Calibri" w:hAnsi="Calibri" w:cs="Calibri"/>
                <w:sz w:val="20"/>
                <w:szCs w:val="20"/>
                <w:lang w:val="en-US"/>
              </w:rPr>
            </w:pPr>
            <w:r w:rsidRPr="0031675F">
              <w:rPr>
                <w:rFonts w:ascii="Calibri" w:eastAsia="Calibri" w:hAnsi="Calibri"/>
                <w:sz w:val="20"/>
                <w:lang w:val="en-US"/>
              </w:rPr>
              <w:t>~</w:t>
            </w:r>
            <w:r w:rsidRPr="0031675F">
              <w:rPr>
                <w:rFonts w:ascii="Calibri" w:eastAsia="Calibri" w:hAnsi="Calibri"/>
                <w:spacing w:val="-4"/>
                <w:sz w:val="20"/>
                <w:lang w:val="en-US"/>
              </w:rPr>
              <w:t xml:space="preserve"> </w:t>
            </w:r>
            <w:r w:rsidRPr="0031675F">
              <w:rPr>
                <w:rFonts w:ascii="Calibri" w:eastAsia="Calibri" w:hAnsi="Calibri"/>
                <w:sz w:val="20"/>
                <w:lang w:val="en-US"/>
              </w:rPr>
              <w:t>6</w:t>
            </w:r>
            <w:r w:rsidRPr="0031675F">
              <w:rPr>
                <w:rFonts w:ascii="Calibri" w:eastAsia="Calibri" w:hAnsi="Calibri"/>
                <w:spacing w:val="-3"/>
                <w:sz w:val="20"/>
                <w:lang w:val="en-US"/>
              </w:rPr>
              <w:t xml:space="preserve"> </w:t>
            </w:r>
            <w:r w:rsidRPr="0031675F">
              <w:rPr>
                <w:rFonts w:ascii="Calibri" w:eastAsia="Calibri" w:hAnsi="Calibri"/>
                <w:sz w:val="20"/>
                <w:lang w:val="en-US"/>
              </w:rPr>
              <w:t>µg</w:t>
            </w:r>
            <w:r w:rsidR="00E817CB" w:rsidRPr="00E817CB">
              <w:rPr>
                <w:rFonts w:ascii="Calibri" w:eastAsia="Calibri" w:hAnsi="Calibri"/>
                <w:sz w:val="20"/>
                <w:lang w:val="en-US"/>
              </w:rPr>
              <w:t xml:space="preserve"> L</w:t>
            </w:r>
            <w:r w:rsidR="00E817CB" w:rsidRPr="00E817CB">
              <w:rPr>
                <w:rFonts w:ascii="Calibri" w:eastAsia="Calibri" w:hAnsi="Calibri"/>
                <w:sz w:val="20"/>
                <w:vertAlign w:val="superscript"/>
                <w:lang w:val="en-US"/>
              </w:rPr>
              <w:t>-1</w:t>
            </w:r>
          </w:p>
        </w:tc>
        <w:tc>
          <w:tcPr>
            <w:tcW w:w="2513" w:type="dxa"/>
            <w:tcBorders>
              <w:top w:val="single" w:sz="5" w:space="0" w:color="000000"/>
              <w:left w:val="single" w:sz="5" w:space="0" w:color="000000"/>
              <w:bottom w:val="single" w:sz="5" w:space="0" w:color="000000"/>
              <w:right w:val="single" w:sz="5" w:space="0" w:color="000000"/>
            </w:tcBorders>
          </w:tcPr>
          <w:p w14:paraId="48E8BAD3" w14:textId="77777777" w:rsidR="0031675F" w:rsidRPr="0031675F" w:rsidRDefault="0031675F" w:rsidP="0031675F">
            <w:pPr>
              <w:widowControl w:val="0"/>
              <w:spacing w:before="0" w:after="0" w:line="240" w:lineRule="exact"/>
              <w:ind w:left="99"/>
              <w:rPr>
                <w:rFonts w:ascii="Calibri" w:eastAsia="Calibri" w:hAnsi="Calibri" w:cs="Calibri"/>
                <w:sz w:val="20"/>
                <w:szCs w:val="20"/>
                <w:lang w:val="en-US"/>
              </w:rPr>
            </w:pPr>
            <w:r w:rsidRPr="0031675F">
              <w:rPr>
                <w:rFonts w:ascii="Calibri" w:eastAsia="Calibri" w:hAnsi="Calibri"/>
                <w:sz w:val="20"/>
                <w:lang w:val="en-US"/>
              </w:rPr>
              <w:t>~</w:t>
            </w:r>
            <w:r w:rsidRPr="0031675F">
              <w:rPr>
                <w:rFonts w:ascii="Calibri" w:eastAsia="Calibri" w:hAnsi="Calibri"/>
                <w:spacing w:val="-5"/>
                <w:sz w:val="20"/>
                <w:lang w:val="en-US"/>
              </w:rPr>
              <w:t xml:space="preserve"> </w:t>
            </w:r>
            <w:r w:rsidRPr="0031675F">
              <w:rPr>
                <w:rFonts w:ascii="Calibri" w:eastAsia="Calibri" w:hAnsi="Calibri"/>
                <w:sz w:val="20"/>
                <w:lang w:val="en-US"/>
              </w:rPr>
              <w:t>0.6</w:t>
            </w:r>
            <w:r w:rsidRPr="0031675F">
              <w:rPr>
                <w:rFonts w:ascii="Calibri" w:eastAsia="Calibri" w:hAnsi="Calibri"/>
                <w:spacing w:val="-4"/>
                <w:sz w:val="20"/>
                <w:lang w:val="en-US"/>
              </w:rPr>
              <w:t xml:space="preserve"> </w:t>
            </w:r>
            <w:r w:rsidRPr="0031675F">
              <w:rPr>
                <w:rFonts w:ascii="Calibri" w:eastAsia="Calibri" w:hAnsi="Calibri"/>
                <w:sz w:val="20"/>
                <w:lang w:val="en-US"/>
              </w:rPr>
              <w:t>ppb</w:t>
            </w:r>
          </w:p>
        </w:tc>
      </w:tr>
      <w:tr w:rsidR="0031675F" w:rsidRPr="0031675F" w14:paraId="300B3853" w14:textId="77777777" w:rsidTr="00B00729">
        <w:trPr>
          <w:trHeight w:hRule="exact" w:val="254"/>
        </w:trPr>
        <w:tc>
          <w:tcPr>
            <w:tcW w:w="806" w:type="dxa"/>
            <w:tcBorders>
              <w:top w:val="single" w:sz="5" w:space="0" w:color="000000"/>
              <w:left w:val="single" w:sz="5" w:space="0" w:color="000000"/>
              <w:bottom w:val="single" w:sz="5" w:space="0" w:color="000000"/>
              <w:right w:val="single" w:sz="5" w:space="0" w:color="000000"/>
            </w:tcBorders>
          </w:tcPr>
          <w:p w14:paraId="6A965045" w14:textId="77777777" w:rsidR="0031675F" w:rsidRPr="0031675F" w:rsidRDefault="0031675F" w:rsidP="0031675F">
            <w:pPr>
              <w:widowControl w:val="0"/>
              <w:spacing w:before="0" w:after="0" w:line="242" w:lineRule="exact"/>
              <w:ind w:left="102"/>
              <w:rPr>
                <w:rFonts w:ascii="Calibri" w:eastAsia="Calibri" w:hAnsi="Calibri" w:cs="Calibri"/>
                <w:sz w:val="20"/>
                <w:szCs w:val="20"/>
                <w:lang w:val="en-US"/>
              </w:rPr>
            </w:pPr>
            <w:r w:rsidRPr="0031675F">
              <w:rPr>
                <w:rFonts w:ascii="Calibri" w:eastAsia="Calibri" w:hAnsi="Calibri"/>
                <w:b/>
                <w:spacing w:val="-1"/>
                <w:sz w:val="20"/>
                <w:lang w:val="en-US"/>
              </w:rPr>
              <w:t>TD-700</w:t>
            </w:r>
          </w:p>
        </w:tc>
        <w:tc>
          <w:tcPr>
            <w:tcW w:w="2173" w:type="dxa"/>
            <w:tcBorders>
              <w:top w:val="single" w:sz="5" w:space="0" w:color="000000"/>
              <w:left w:val="single" w:sz="5" w:space="0" w:color="000000"/>
              <w:bottom w:val="single" w:sz="5" w:space="0" w:color="000000"/>
              <w:right w:val="single" w:sz="5" w:space="0" w:color="000000"/>
            </w:tcBorders>
          </w:tcPr>
          <w:p w14:paraId="23925B6F" w14:textId="77777777" w:rsidR="0031675F" w:rsidRPr="0031675F" w:rsidRDefault="0031675F" w:rsidP="0031675F">
            <w:pPr>
              <w:widowControl w:val="0"/>
              <w:spacing w:before="0" w:after="0" w:line="242" w:lineRule="exact"/>
              <w:ind w:left="102"/>
              <w:rPr>
                <w:rFonts w:ascii="Calibri" w:eastAsia="Calibri" w:hAnsi="Calibri" w:cs="Calibri"/>
                <w:sz w:val="20"/>
                <w:szCs w:val="20"/>
                <w:lang w:val="en-US"/>
              </w:rPr>
            </w:pPr>
            <w:r w:rsidRPr="0031675F">
              <w:rPr>
                <w:rFonts w:ascii="Calibri" w:eastAsia="Calibri" w:hAnsi="Calibri"/>
                <w:b/>
                <w:spacing w:val="-1"/>
                <w:sz w:val="20"/>
                <w:lang w:val="en-US"/>
              </w:rPr>
              <w:t>Chlorophyll</w:t>
            </w:r>
            <w:r w:rsidRPr="0031675F">
              <w:rPr>
                <w:rFonts w:ascii="Calibri" w:eastAsia="Calibri" w:hAnsi="Calibri"/>
                <w:b/>
                <w:spacing w:val="-12"/>
                <w:sz w:val="20"/>
                <w:lang w:val="en-US"/>
              </w:rPr>
              <w:t xml:space="preserve"> </w:t>
            </w:r>
            <w:r w:rsidRPr="0031675F">
              <w:rPr>
                <w:rFonts w:ascii="Calibri" w:eastAsia="Calibri" w:hAnsi="Calibri"/>
                <w:b/>
                <w:sz w:val="20"/>
                <w:lang w:val="en-US"/>
              </w:rPr>
              <w:t>(10-040</w:t>
            </w:r>
            <w:r w:rsidRPr="0031675F">
              <w:rPr>
                <w:rFonts w:ascii="Calibri" w:eastAsia="Calibri" w:hAnsi="Calibri"/>
                <w:b/>
                <w:spacing w:val="-10"/>
                <w:sz w:val="20"/>
                <w:lang w:val="en-US"/>
              </w:rPr>
              <w:t xml:space="preserve"> </w:t>
            </w:r>
            <w:r w:rsidRPr="0031675F">
              <w:rPr>
                <w:rFonts w:ascii="Calibri" w:eastAsia="Calibri" w:hAnsi="Calibri"/>
                <w:b/>
                <w:sz w:val="20"/>
                <w:lang w:val="en-US"/>
              </w:rPr>
              <w:t>kit)</w:t>
            </w:r>
          </w:p>
        </w:tc>
        <w:tc>
          <w:tcPr>
            <w:tcW w:w="2513" w:type="dxa"/>
            <w:tcBorders>
              <w:top w:val="single" w:sz="5" w:space="0" w:color="000000"/>
              <w:left w:val="single" w:sz="5" w:space="0" w:color="000000"/>
              <w:bottom w:val="single" w:sz="5" w:space="0" w:color="000000"/>
              <w:right w:val="single" w:sz="5" w:space="0" w:color="000000"/>
            </w:tcBorders>
          </w:tcPr>
          <w:p w14:paraId="40CA682C" w14:textId="77777777" w:rsidR="0031675F" w:rsidRPr="0031675F" w:rsidRDefault="0031675F" w:rsidP="0031675F">
            <w:pPr>
              <w:widowControl w:val="0"/>
              <w:spacing w:before="0" w:after="0" w:line="242" w:lineRule="exact"/>
              <w:ind w:left="99"/>
              <w:rPr>
                <w:rFonts w:ascii="Calibri" w:eastAsia="Calibri" w:hAnsi="Calibri" w:cs="Calibri"/>
                <w:sz w:val="20"/>
                <w:szCs w:val="20"/>
                <w:lang w:val="en-US"/>
              </w:rPr>
            </w:pPr>
            <w:r w:rsidRPr="0031675F">
              <w:rPr>
                <w:rFonts w:ascii="Calibri" w:eastAsia="Calibri" w:hAnsi="Calibri"/>
                <w:b/>
                <w:spacing w:val="-1"/>
                <w:sz w:val="20"/>
                <w:lang w:val="en-US"/>
              </w:rPr>
              <w:t>Rhodamine</w:t>
            </w:r>
            <w:r w:rsidRPr="0031675F">
              <w:rPr>
                <w:rFonts w:ascii="Calibri" w:eastAsia="Calibri" w:hAnsi="Calibri"/>
                <w:b/>
                <w:spacing w:val="-23"/>
                <w:sz w:val="20"/>
                <w:lang w:val="en-US"/>
              </w:rPr>
              <w:t xml:space="preserve"> </w:t>
            </w:r>
            <w:r w:rsidRPr="0031675F">
              <w:rPr>
                <w:rFonts w:ascii="Calibri" w:eastAsia="Calibri" w:hAnsi="Calibri"/>
                <w:b/>
                <w:spacing w:val="-1"/>
                <w:sz w:val="20"/>
                <w:lang w:val="en-US"/>
              </w:rPr>
              <w:t>WT(10-041Rkit)</w:t>
            </w:r>
          </w:p>
        </w:tc>
      </w:tr>
      <w:tr w:rsidR="0031675F" w:rsidRPr="0031675F" w14:paraId="45119594" w14:textId="77777777" w:rsidTr="00B00729">
        <w:trPr>
          <w:trHeight w:hRule="exact" w:val="254"/>
        </w:trPr>
        <w:tc>
          <w:tcPr>
            <w:tcW w:w="806" w:type="dxa"/>
            <w:tcBorders>
              <w:top w:val="single" w:sz="5" w:space="0" w:color="000000"/>
              <w:left w:val="single" w:sz="5" w:space="0" w:color="000000"/>
              <w:bottom w:val="single" w:sz="5" w:space="0" w:color="000000"/>
              <w:right w:val="single" w:sz="5" w:space="0" w:color="000000"/>
            </w:tcBorders>
          </w:tcPr>
          <w:p w14:paraId="397CA7E9" w14:textId="77777777" w:rsidR="0031675F" w:rsidRPr="0031675F" w:rsidRDefault="0031675F" w:rsidP="0031675F">
            <w:pPr>
              <w:widowControl w:val="0"/>
              <w:spacing w:before="0" w:after="0" w:line="242" w:lineRule="exact"/>
              <w:ind w:left="102"/>
              <w:rPr>
                <w:rFonts w:ascii="Calibri" w:eastAsia="Calibri" w:hAnsi="Calibri" w:cs="Calibri"/>
                <w:sz w:val="20"/>
                <w:szCs w:val="20"/>
                <w:lang w:val="en-US"/>
              </w:rPr>
            </w:pPr>
            <w:r w:rsidRPr="0031675F">
              <w:rPr>
                <w:rFonts w:ascii="Calibri" w:eastAsia="Calibri" w:hAnsi="Calibri"/>
                <w:sz w:val="20"/>
                <w:lang w:val="en-US"/>
              </w:rPr>
              <w:t>High</w:t>
            </w:r>
          </w:p>
        </w:tc>
        <w:tc>
          <w:tcPr>
            <w:tcW w:w="2173" w:type="dxa"/>
            <w:tcBorders>
              <w:top w:val="single" w:sz="5" w:space="0" w:color="000000"/>
              <w:left w:val="single" w:sz="5" w:space="0" w:color="000000"/>
              <w:bottom w:val="single" w:sz="5" w:space="0" w:color="000000"/>
              <w:right w:val="single" w:sz="5" w:space="0" w:color="000000"/>
            </w:tcBorders>
          </w:tcPr>
          <w:p w14:paraId="7E4274BA" w14:textId="77777777" w:rsidR="0031675F" w:rsidRPr="0031675F" w:rsidRDefault="0031675F" w:rsidP="0031675F">
            <w:pPr>
              <w:widowControl w:val="0"/>
              <w:spacing w:before="0" w:after="0" w:line="242" w:lineRule="exact"/>
              <w:ind w:left="102"/>
              <w:rPr>
                <w:rFonts w:ascii="Calibri" w:eastAsia="Calibri" w:hAnsi="Calibri" w:cs="Calibri"/>
                <w:sz w:val="20"/>
                <w:szCs w:val="20"/>
                <w:lang w:val="en-US"/>
              </w:rPr>
            </w:pPr>
            <w:r w:rsidRPr="0031675F">
              <w:rPr>
                <w:rFonts w:ascii="Calibri" w:eastAsia="Calibri" w:hAnsi="Calibri"/>
                <w:sz w:val="20"/>
                <w:lang w:val="en-US"/>
              </w:rPr>
              <w:t>~</w:t>
            </w:r>
            <w:r w:rsidRPr="0031675F">
              <w:rPr>
                <w:rFonts w:ascii="Calibri" w:eastAsia="Calibri" w:hAnsi="Calibri"/>
                <w:spacing w:val="-5"/>
                <w:sz w:val="20"/>
                <w:lang w:val="en-US"/>
              </w:rPr>
              <w:t xml:space="preserve"> </w:t>
            </w:r>
            <w:r w:rsidRPr="0031675F">
              <w:rPr>
                <w:rFonts w:ascii="Calibri" w:eastAsia="Calibri" w:hAnsi="Calibri"/>
                <w:sz w:val="20"/>
                <w:lang w:val="en-US"/>
              </w:rPr>
              <w:t>120</w:t>
            </w:r>
            <w:r w:rsidRPr="0031675F">
              <w:rPr>
                <w:rFonts w:ascii="Calibri" w:eastAsia="Calibri" w:hAnsi="Calibri"/>
                <w:spacing w:val="-5"/>
                <w:sz w:val="20"/>
                <w:lang w:val="en-US"/>
              </w:rPr>
              <w:t xml:space="preserve"> </w:t>
            </w:r>
            <w:r w:rsidRPr="0031675F">
              <w:rPr>
                <w:rFonts w:ascii="Calibri" w:eastAsia="Calibri" w:hAnsi="Calibri"/>
                <w:sz w:val="20"/>
                <w:lang w:val="en-US"/>
              </w:rPr>
              <w:t>ppb</w:t>
            </w:r>
          </w:p>
        </w:tc>
        <w:tc>
          <w:tcPr>
            <w:tcW w:w="2513" w:type="dxa"/>
            <w:tcBorders>
              <w:top w:val="single" w:sz="5" w:space="0" w:color="000000"/>
              <w:left w:val="single" w:sz="5" w:space="0" w:color="000000"/>
              <w:bottom w:val="single" w:sz="5" w:space="0" w:color="000000"/>
              <w:right w:val="single" w:sz="5" w:space="0" w:color="000000"/>
            </w:tcBorders>
          </w:tcPr>
          <w:p w14:paraId="5684F0AA" w14:textId="77777777" w:rsidR="0031675F" w:rsidRPr="0031675F" w:rsidRDefault="0031675F" w:rsidP="0031675F">
            <w:pPr>
              <w:widowControl w:val="0"/>
              <w:spacing w:before="0" w:after="0" w:line="242" w:lineRule="exact"/>
              <w:ind w:left="99"/>
              <w:rPr>
                <w:rFonts w:ascii="Calibri" w:eastAsia="Calibri" w:hAnsi="Calibri" w:cs="Calibri"/>
                <w:sz w:val="20"/>
                <w:szCs w:val="20"/>
                <w:lang w:val="en-US"/>
              </w:rPr>
            </w:pPr>
            <w:r w:rsidRPr="0031675F">
              <w:rPr>
                <w:rFonts w:ascii="Calibri" w:eastAsia="Calibri" w:hAnsi="Calibri"/>
                <w:sz w:val="20"/>
                <w:lang w:val="en-US"/>
              </w:rPr>
              <w:t>~</w:t>
            </w:r>
            <w:r w:rsidRPr="0031675F">
              <w:rPr>
                <w:rFonts w:ascii="Calibri" w:eastAsia="Calibri" w:hAnsi="Calibri"/>
                <w:spacing w:val="-5"/>
                <w:sz w:val="20"/>
                <w:lang w:val="en-US"/>
              </w:rPr>
              <w:t xml:space="preserve"> </w:t>
            </w:r>
            <w:r w:rsidRPr="0031675F">
              <w:rPr>
                <w:rFonts w:ascii="Calibri" w:eastAsia="Calibri" w:hAnsi="Calibri"/>
                <w:sz w:val="20"/>
                <w:lang w:val="en-US"/>
              </w:rPr>
              <w:t>15</w:t>
            </w:r>
            <w:r w:rsidRPr="0031675F">
              <w:rPr>
                <w:rFonts w:ascii="Calibri" w:eastAsia="Calibri" w:hAnsi="Calibri"/>
                <w:spacing w:val="-3"/>
                <w:sz w:val="20"/>
                <w:lang w:val="en-US"/>
              </w:rPr>
              <w:t xml:space="preserve"> </w:t>
            </w:r>
            <w:r w:rsidRPr="0031675F">
              <w:rPr>
                <w:rFonts w:ascii="Calibri" w:eastAsia="Calibri" w:hAnsi="Calibri"/>
                <w:sz w:val="20"/>
                <w:lang w:val="en-US"/>
              </w:rPr>
              <w:t>ppb</w:t>
            </w:r>
          </w:p>
        </w:tc>
      </w:tr>
      <w:tr w:rsidR="0031675F" w:rsidRPr="0031675F" w14:paraId="5DFD362A" w14:textId="77777777" w:rsidTr="00B00729">
        <w:trPr>
          <w:trHeight w:hRule="exact" w:val="254"/>
        </w:trPr>
        <w:tc>
          <w:tcPr>
            <w:tcW w:w="806" w:type="dxa"/>
            <w:tcBorders>
              <w:top w:val="single" w:sz="5" w:space="0" w:color="000000"/>
              <w:left w:val="single" w:sz="5" w:space="0" w:color="000000"/>
              <w:bottom w:val="single" w:sz="5" w:space="0" w:color="000000"/>
              <w:right w:val="single" w:sz="5" w:space="0" w:color="000000"/>
            </w:tcBorders>
          </w:tcPr>
          <w:p w14:paraId="4EA43737" w14:textId="77777777" w:rsidR="0031675F" w:rsidRPr="0031675F" w:rsidRDefault="0031675F" w:rsidP="0031675F">
            <w:pPr>
              <w:widowControl w:val="0"/>
              <w:spacing w:before="0" w:after="0" w:line="242" w:lineRule="exact"/>
              <w:ind w:left="102"/>
              <w:rPr>
                <w:rFonts w:ascii="Calibri" w:eastAsia="Calibri" w:hAnsi="Calibri" w:cs="Calibri"/>
                <w:sz w:val="20"/>
                <w:szCs w:val="20"/>
                <w:lang w:val="en-US"/>
              </w:rPr>
            </w:pPr>
            <w:r w:rsidRPr="0031675F">
              <w:rPr>
                <w:rFonts w:ascii="Calibri" w:eastAsia="Calibri" w:hAnsi="Calibri"/>
                <w:spacing w:val="-1"/>
                <w:sz w:val="20"/>
                <w:lang w:val="en-US"/>
              </w:rPr>
              <w:t>Low</w:t>
            </w:r>
          </w:p>
        </w:tc>
        <w:tc>
          <w:tcPr>
            <w:tcW w:w="2173" w:type="dxa"/>
            <w:tcBorders>
              <w:top w:val="single" w:sz="5" w:space="0" w:color="000000"/>
              <w:left w:val="single" w:sz="5" w:space="0" w:color="000000"/>
              <w:bottom w:val="single" w:sz="5" w:space="0" w:color="000000"/>
              <w:right w:val="single" w:sz="5" w:space="0" w:color="000000"/>
            </w:tcBorders>
          </w:tcPr>
          <w:p w14:paraId="0CE71AC4" w14:textId="77777777" w:rsidR="0031675F" w:rsidRPr="0031675F" w:rsidRDefault="0031675F" w:rsidP="0031675F">
            <w:pPr>
              <w:widowControl w:val="0"/>
              <w:spacing w:before="0" w:after="0" w:line="242" w:lineRule="exact"/>
              <w:ind w:left="102"/>
              <w:rPr>
                <w:rFonts w:ascii="Calibri" w:eastAsia="Calibri" w:hAnsi="Calibri" w:cs="Calibri"/>
                <w:sz w:val="20"/>
                <w:szCs w:val="20"/>
                <w:lang w:val="en-US"/>
              </w:rPr>
            </w:pPr>
            <w:r w:rsidRPr="0031675F">
              <w:rPr>
                <w:rFonts w:ascii="Calibri" w:eastAsia="Calibri" w:hAnsi="Calibri"/>
                <w:sz w:val="20"/>
                <w:lang w:val="en-US"/>
              </w:rPr>
              <w:t>~</w:t>
            </w:r>
            <w:r w:rsidRPr="0031675F">
              <w:rPr>
                <w:rFonts w:ascii="Calibri" w:eastAsia="Calibri" w:hAnsi="Calibri"/>
                <w:spacing w:val="-5"/>
                <w:sz w:val="20"/>
                <w:lang w:val="en-US"/>
              </w:rPr>
              <w:t xml:space="preserve"> </w:t>
            </w:r>
            <w:r w:rsidRPr="0031675F">
              <w:rPr>
                <w:rFonts w:ascii="Calibri" w:eastAsia="Calibri" w:hAnsi="Calibri"/>
                <w:sz w:val="20"/>
                <w:lang w:val="en-US"/>
              </w:rPr>
              <w:t>15</w:t>
            </w:r>
            <w:r w:rsidRPr="0031675F">
              <w:rPr>
                <w:rFonts w:ascii="Calibri" w:eastAsia="Calibri" w:hAnsi="Calibri"/>
                <w:spacing w:val="-3"/>
                <w:sz w:val="20"/>
                <w:lang w:val="en-US"/>
              </w:rPr>
              <w:t xml:space="preserve"> </w:t>
            </w:r>
            <w:r w:rsidRPr="0031675F">
              <w:rPr>
                <w:rFonts w:ascii="Calibri" w:eastAsia="Calibri" w:hAnsi="Calibri"/>
                <w:sz w:val="20"/>
                <w:lang w:val="en-US"/>
              </w:rPr>
              <w:t>ppb</w:t>
            </w:r>
          </w:p>
        </w:tc>
        <w:tc>
          <w:tcPr>
            <w:tcW w:w="2513" w:type="dxa"/>
            <w:tcBorders>
              <w:top w:val="single" w:sz="5" w:space="0" w:color="000000"/>
              <w:left w:val="single" w:sz="5" w:space="0" w:color="000000"/>
              <w:bottom w:val="single" w:sz="5" w:space="0" w:color="000000"/>
              <w:right w:val="single" w:sz="5" w:space="0" w:color="000000"/>
            </w:tcBorders>
          </w:tcPr>
          <w:p w14:paraId="18FA8641" w14:textId="77777777" w:rsidR="0031675F" w:rsidRPr="0031675F" w:rsidRDefault="0031675F" w:rsidP="0031675F">
            <w:pPr>
              <w:widowControl w:val="0"/>
              <w:spacing w:before="0" w:after="0" w:line="242" w:lineRule="exact"/>
              <w:ind w:left="99"/>
              <w:rPr>
                <w:rFonts w:ascii="Calibri" w:eastAsia="Calibri" w:hAnsi="Calibri" w:cs="Calibri"/>
                <w:sz w:val="20"/>
                <w:szCs w:val="20"/>
                <w:lang w:val="en-US"/>
              </w:rPr>
            </w:pPr>
            <w:r w:rsidRPr="0031675F">
              <w:rPr>
                <w:rFonts w:ascii="Calibri" w:eastAsia="Calibri" w:hAnsi="Calibri"/>
                <w:sz w:val="20"/>
                <w:lang w:val="en-US"/>
              </w:rPr>
              <w:t>~</w:t>
            </w:r>
            <w:r w:rsidRPr="0031675F">
              <w:rPr>
                <w:rFonts w:ascii="Calibri" w:eastAsia="Calibri" w:hAnsi="Calibri"/>
                <w:spacing w:val="-4"/>
                <w:sz w:val="20"/>
                <w:lang w:val="en-US"/>
              </w:rPr>
              <w:t xml:space="preserve"> </w:t>
            </w:r>
            <w:r w:rsidRPr="0031675F">
              <w:rPr>
                <w:rFonts w:ascii="Calibri" w:eastAsia="Calibri" w:hAnsi="Calibri"/>
                <w:sz w:val="20"/>
                <w:lang w:val="en-US"/>
              </w:rPr>
              <w:t>1</w:t>
            </w:r>
            <w:r w:rsidRPr="0031675F">
              <w:rPr>
                <w:rFonts w:ascii="Calibri" w:eastAsia="Calibri" w:hAnsi="Calibri"/>
                <w:spacing w:val="-3"/>
                <w:sz w:val="20"/>
                <w:lang w:val="en-US"/>
              </w:rPr>
              <w:t xml:space="preserve"> </w:t>
            </w:r>
            <w:r w:rsidRPr="0031675F">
              <w:rPr>
                <w:rFonts w:ascii="Calibri" w:eastAsia="Calibri" w:hAnsi="Calibri"/>
                <w:sz w:val="20"/>
                <w:lang w:val="en-US"/>
              </w:rPr>
              <w:t>ppb</w:t>
            </w:r>
          </w:p>
        </w:tc>
      </w:tr>
    </w:tbl>
    <w:p w14:paraId="5613DF32" w14:textId="77777777" w:rsidR="0031675F" w:rsidRPr="0031675F" w:rsidRDefault="0031675F" w:rsidP="0031675F">
      <w:pPr>
        <w:ind w:left="111" w:right="109"/>
        <w:rPr>
          <w:rFonts w:cs="Calibri"/>
          <w:sz w:val="20"/>
          <w:szCs w:val="20"/>
        </w:rPr>
      </w:pPr>
      <w:r w:rsidRPr="0031675F">
        <w:rPr>
          <w:spacing w:val="-1"/>
          <w:sz w:val="20"/>
        </w:rPr>
        <w:t>These</w:t>
      </w:r>
      <w:r w:rsidRPr="0031675F">
        <w:rPr>
          <w:spacing w:val="5"/>
          <w:sz w:val="20"/>
        </w:rPr>
        <w:t xml:space="preserve"> </w:t>
      </w:r>
      <w:r w:rsidRPr="0031675F">
        <w:rPr>
          <w:sz w:val="20"/>
        </w:rPr>
        <w:t>are</w:t>
      </w:r>
      <w:r w:rsidRPr="0031675F">
        <w:rPr>
          <w:spacing w:val="6"/>
          <w:sz w:val="20"/>
        </w:rPr>
        <w:t xml:space="preserve"> </w:t>
      </w:r>
      <w:r w:rsidRPr="0031675F">
        <w:rPr>
          <w:sz w:val="20"/>
        </w:rPr>
        <w:t>approximate</w:t>
      </w:r>
      <w:r w:rsidRPr="0031675F">
        <w:rPr>
          <w:spacing w:val="6"/>
          <w:sz w:val="20"/>
        </w:rPr>
        <w:t xml:space="preserve"> </w:t>
      </w:r>
      <w:r w:rsidRPr="0031675F">
        <w:rPr>
          <w:sz w:val="20"/>
        </w:rPr>
        <w:t>values.</w:t>
      </w:r>
      <w:r w:rsidRPr="0031675F">
        <w:rPr>
          <w:spacing w:val="7"/>
          <w:sz w:val="20"/>
        </w:rPr>
        <w:t xml:space="preserve"> </w:t>
      </w:r>
      <w:r w:rsidRPr="0031675F">
        <w:rPr>
          <w:spacing w:val="-1"/>
          <w:sz w:val="20"/>
        </w:rPr>
        <w:t>Values</w:t>
      </w:r>
      <w:r w:rsidRPr="0031675F">
        <w:rPr>
          <w:spacing w:val="6"/>
          <w:sz w:val="20"/>
        </w:rPr>
        <w:t xml:space="preserve"> </w:t>
      </w:r>
      <w:r w:rsidRPr="0031675F">
        <w:rPr>
          <w:sz w:val="20"/>
        </w:rPr>
        <w:t>will</w:t>
      </w:r>
      <w:r w:rsidRPr="0031675F">
        <w:rPr>
          <w:spacing w:val="7"/>
          <w:sz w:val="20"/>
        </w:rPr>
        <w:t xml:space="preserve"> </w:t>
      </w:r>
      <w:r w:rsidRPr="0031675F">
        <w:rPr>
          <w:spacing w:val="-1"/>
          <w:sz w:val="20"/>
        </w:rPr>
        <w:t>vary</w:t>
      </w:r>
      <w:r w:rsidRPr="0031675F">
        <w:rPr>
          <w:spacing w:val="7"/>
          <w:sz w:val="20"/>
        </w:rPr>
        <w:t xml:space="preserve"> </w:t>
      </w:r>
      <w:r w:rsidRPr="0031675F">
        <w:rPr>
          <w:sz w:val="20"/>
        </w:rPr>
        <w:t>from</w:t>
      </w:r>
      <w:r w:rsidRPr="0031675F">
        <w:rPr>
          <w:spacing w:val="6"/>
          <w:sz w:val="20"/>
        </w:rPr>
        <w:t xml:space="preserve"> </w:t>
      </w:r>
      <w:r w:rsidRPr="0031675F">
        <w:rPr>
          <w:sz w:val="20"/>
        </w:rPr>
        <w:t>standard</w:t>
      </w:r>
      <w:r w:rsidRPr="0031675F">
        <w:rPr>
          <w:spacing w:val="7"/>
          <w:sz w:val="20"/>
        </w:rPr>
        <w:t xml:space="preserve"> </w:t>
      </w:r>
      <w:r w:rsidRPr="0031675F">
        <w:rPr>
          <w:sz w:val="20"/>
        </w:rPr>
        <w:t>to</w:t>
      </w:r>
      <w:r w:rsidRPr="0031675F">
        <w:rPr>
          <w:spacing w:val="7"/>
          <w:sz w:val="20"/>
        </w:rPr>
        <w:t xml:space="preserve"> </w:t>
      </w:r>
      <w:r w:rsidRPr="0031675F">
        <w:rPr>
          <w:spacing w:val="-1"/>
          <w:sz w:val="20"/>
        </w:rPr>
        <w:t>standard</w:t>
      </w:r>
      <w:r w:rsidRPr="0031675F">
        <w:rPr>
          <w:spacing w:val="6"/>
          <w:sz w:val="20"/>
        </w:rPr>
        <w:t xml:space="preserve"> </w:t>
      </w:r>
      <w:r w:rsidRPr="0031675F">
        <w:rPr>
          <w:sz w:val="20"/>
        </w:rPr>
        <w:t>and</w:t>
      </w:r>
      <w:r w:rsidRPr="0031675F">
        <w:rPr>
          <w:spacing w:val="5"/>
          <w:sz w:val="20"/>
        </w:rPr>
        <w:t xml:space="preserve"> </w:t>
      </w:r>
      <w:r w:rsidRPr="0031675F">
        <w:rPr>
          <w:sz w:val="20"/>
        </w:rPr>
        <w:t>instrument</w:t>
      </w:r>
      <w:r w:rsidRPr="0031675F">
        <w:rPr>
          <w:spacing w:val="7"/>
          <w:sz w:val="20"/>
        </w:rPr>
        <w:t xml:space="preserve"> </w:t>
      </w:r>
      <w:r w:rsidRPr="0031675F">
        <w:rPr>
          <w:sz w:val="20"/>
        </w:rPr>
        <w:t>to</w:t>
      </w:r>
      <w:r w:rsidRPr="0031675F">
        <w:rPr>
          <w:spacing w:val="7"/>
          <w:sz w:val="20"/>
        </w:rPr>
        <w:t xml:space="preserve"> </w:t>
      </w:r>
      <w:r w:rsidRPr="0031675F">
        <w:rPr>
          <w:spacing w:val="-1"/>
          <w:sz w:val="20"/>
        </w:rPr>
        <w:t>instrument</w:t>
      </w:r>
      <w:r w:rsidRPr="0031675F">
        <w:rPr>
          <w:spacing w:val="7"/>
          <w:sz w:val="20"/>
        </w:rPr>
        <w:t xml:space="preserve"> </w:t>
      </w:r>
      <w:r w:rsidRPr="0031675F">
        <w:rPr>
          <w:sz w:val="20"/>
        </w:rPr>
        <w:t>due</w:t>
      </w:r>
      <w:r w:rsidRPr="0031675F">
        <w:rPr>
          <w:spacing w:val="6"/>
          <w:sz w:val="20"/>
        </w:rPr>
        <w:t xml:space="preserve"> </w:t>
      </w:r>
      <w:r w:rsidRPr="0031675F">
        <w:rPr>
          <w:sz w:val="20"/>
        </w:rPr>
        <w:t>to</w:t>
      </w:r>
      <w:r w:rsidRPr="0031675F">
        <w:rPr>
          <w:spacing w:val="62"/>
          <w:w w:val="99"/>
          <w:sz w:val="20"/>
        </w:rPr>
        <w:t xml:space="preserve"> </w:t>
      </w:r>
      <w:r w:rsidRPr="0031675F">
        <w:rPr>
          <w:spacing w:val="-1"/>
          <w:sz w:val="20"/>
        </w:rPr>
        <w:t>slight</w:t>
      </w:r>
      <w:r w:rsidRPr="0031675F">
        <w:rPr>
          <w:spacing w:val="-8"/>
          <w:sz w:val="20"/>
        </w:rPr>
        <w:t xml:space="preserve"> </w:t>
      </w:r>
      <w:r w:rsidRPr="0031675F">
        <w:rPr>
          <w:sz w:val="20"/>
        </w:rPr>
        <w:t>variations</w:t>
      </w:r>
      <w:r w:rsidRPr="0031675F">
        <w:rPr>
          <w:spacing w:val="-9"/>
          <w:sz w:val="20"/>
        </w:rPr>
        <w:t xml:space="preserve"> </w:t>
      </w:r>
      <w:r w:rsidRPr="0031675F">
        <w:rPr>
          <w:sz w:val="20"/>
        </w:rPr>
        <w:t>in</w:t>
      </w:r>
      <w:r w:rsidRPr="0031675F">
        <w:rPr>
          <w:spacing w:val="-8"/>
          <w:sz w:val="20"/>
        </w:rPr>
        <w:t xml:space="preserve"> </w:t>
      </w:r>
      <w:r w:rsidRPr="0031675F">
        <w:rPr>
          <w:spacing w:val="-1"/>
          <w:sz w:val="20"/>
        </w:rPr>
        <w:t>alignment.</w:t>
      </w:r>
    </w:p>
    <w:p w14:paraId="53665741" w14:textId="77777777" w:rsidR="0031675F" w:rsidRPr="0031675F" w:rsidRDefault="0031675F" w:rsidP="0031675F">
      <w:pPr>
        <w:rPr>
          <w:rFonts w:cs="Calibri"/>
          <w:sz w:val="20"/>
          <w:szCs w:val="20"/>
        </w:rPr>
      </w:pPr>
    </w:p>
    <w:p w14:paraId="182E4D81" w14:textId="77777777" w:rsidR="0031675F" w:rsidRPr="0031675F" w:rsidRDefault="0031675F" w:rsidP="0031675F">
      <w:pPr>
        <w:rPr>
          <w:rFonts w:cs="Calibri"/>
          <w:sz w:val="20"/>
          <w:szCs w:val="20"/>
        </w:rPr>
      </w:pPr>
    </w:p>
    <w:p w14:paraId="43600F20" w14:textId="77777777" w:rsidR="0031675F" w:rsidRPr="0031675F" w:rsidRDefault="0031675F" w:rsidP="0031675F">
      <w:pPr>
        <w:rPr>
          <w:rFonts w:cs="Calibri"/>
          <w:sz w:val="20"/>
          <w:szCs w:val="20"/>
        </w:rPr>
      </w:pPr>
    </w:p>
    <w:p w14:paraId="5731207B" w14:textId="77777777" w:rsidR="0031675F" w:rsidRPr="0031675F" w:rsidRDefault="0031675F" w:rsidP="0031675F">
      <w:pPr>
        <w:rPr>
          <w:rFonts w:cs="Calibri"/>
          <w:sz w:val="20"/>
          <w:szCs w:val="20"/>
        </w:rPr>
      </w:pPr>
    </w:p>
    <w:p w14:paraId="12B7F111" w14:textId="77777777" w:rsidR="0031675F" w:rsidRPr="0031675F" w:rsidRDefault="0031675F" w:rsidP="0031675F">
      <w:pPr>
        <w:spacing w:before="10"/>
        <w:rPr>
          <w:rFonts w:cs="Calibri"/>
          <w:sz w:val="14"/>
          <w:szCs w:val="14"/>
        </w:rPr>
      </w:pPr>
    </w:p>
    <w:p w14:paraId="35A7DF9C" w14:textId="77777777" w:rsidR="0031675F" w:rsidRPr="0031675F" w:rsidRDefault="0031675F" w:rsidP="0031675F">
      <w:pPr>
        <w:jc w:val="center"/>
        <w:rPr>
          <w:rFonts w:cs="Calibri"/>
          <w:sz w:val="20"/>
          <w:szCs w:val="20"/>
        </w:rPr>
        <w:sectPr w:rsidR="0031675F" w:rsidRPr="0031675F" w:rsidSect="004A5C83">
          <w:pgSz w:w="11910" w:h="16850"/>
          <w:pgMar w:top="720" w:right="1281" w:bottom="697" w:left="1281" w:header="520" w:footer="454" w:gutter="0"/>
          <w:paperSrc w:first="7" w:other="7"/>
          <w:cols w:space="720"/>
          <w:docGrid w:linePitch="299"/>
        </w:sectPr>
      </w:pPr>
    </w:p>
    <w:p w14:paraId="043A33A0" w14:textId="77777777" w:rsidR="0031675F" w:rsidRPr="0031675F" w:rsidRDefault="0031675F" w:rsidP="0031675F">
      <w:pPr>
        <w:tabs>
          <w:tab w:val="left" w:pos="2378"/>
        </w:tabs>
        <w:spacing w:before="202"/>
        <w:ind w:left="218"/>
        <w:rPr>
          <w:rFonts w:eastAsia="Arial" w:cs="Arial"/>
          <w:sz w:val="24"/>
          <w:szCs w:val="24"/>
        </w:rPr>
      </w:pPr>
      <w:r w:rsidRPr="0031675F">
        <w:rPr>
          <w:b/>
          <w:spacing w:val="-1"/>
          <w:sz w:val="24"/>
        </w:rPr>
        <w:t>Attachment</w:t>
      </w:r>
      <w:r w:rsidRPr="0031675F">
        <w:rPr>
          <w:b/>
          <w:sz w:val="24"/>
        </w:rPr>
        <w:t xml:space="preserve"> 9.6</w:t>
      </w:r>
      <w:r w:rsidRPr="0031675F">
        <w:rPr>
          <w:b/>
          <w:sz w:val="24"/>
        </w:rPr>
        <w:tab/>
      </w:r>
      <w:r w:rsidRPr="0031675F">
        <w:rPr>
          <w:b/>
          <w:spacing w:val="-1"/>
          <w:sz w:val="24"/>
        </w:rPr>
        <w:t>Chlorophyll</w:t>
      </w:r>
      <w:r w:rsidRPr="0031675F">
        <w:rPr>
          <w:b/>
          <w:sz w:val="24"/>
        </w:rPr>
        <w:t xml:space="preserve"> calculations</w:t>
      </w:r>
      <w:r w:rsidRPr="0031675F">
        <w:rPr>
          <w:b/>
          <w:spacing w:val="1"/>
          <w:sz w:val="24"/>
        </w:rPr>
        <w:t xml:space="preserve"> </w:t>
      </w:r>
      <w:r w:rsidRPr="0031675F">
        <w:rPr>
          <w:b/>
          <w:spacing w:val="-1"/>
          <w:sz w:val="24"/>
        </w:rPr>
        <w:t>Excel</w:t>
      </w:r>
      <w:r w:rsidRPr="0031675F">
        <w:rPr>
          <w:b/>
          <w:spacing w:val="-2"/>
          <w:sz w:val="24"/>
        </w:rPr>
        <w:t xml:space="preserve"> </w:t>
      </w:r>
      <w:r w:rsidRPr="0031675F">
        <w:rPr>
          <w:b/>
          <w:spacing w:val="-1"/>
          <w:sz w:val="24"/>
        </w:rPr>
        <w:t>worksheet</w:t>
      </w:r>
      <w:r w:rsidRPr="0031675F">
        <w:rPr>
          <w:b/>
          <w:spacing w:val="-3"/>
          <w:sz w:val="24"/>
        </w:rPr>
        <w:t xml:space="preserve"> </w:t>
      </w:r>
      <w:r w:rsidRPr="0031675F">
        <w:rPr>
          <w:b/>
          <w:sz w:val="24"/>
        </w:rPr>
        <w:t>(example)</w:t>
      </w:r>
    </w:p>
    <w:p w14:paraId="47DB2D55" w14:textId="77777777" w:rsidR="0031675F" w:rsidRPr="0031675F" w:rsidRDefault="0031675F" w:rsidP="0031675F">
      <w:pPr>
        <w:spacing w:before="11"/>
        <w:rPr>
          <w:rFonts w:eastAsia="Arial" w:cs="Arial"/>
          <w:b/>
          <w:bCs/>
          <w:sz w:val="27"/>
          <w:szCs w:val="27"/>
        </w:rPr>
      </w:pPr>
    </w:p>
    <w:tbl>
      <w:tblPr>
        <w:tblW w:w="0" w:type="auto"/>
        <w:tblInd w:w="104" w:type="dxa"/>
        <w:tblLayout w:type="fixed"/>
        <w:tblCellMar>
          <w:left w:w="0" w:type="dxa"/>
          <w:right w:w="0" w:type="dxa"/>
        </w:tblCellMar>
        <w:tblLook w:val="01E0" w:firstRow="1" w:lastRow="1" w:firstColumn="1" w:lastColumn="1" w:noHBand="0" w:noVBand="0"/>
      </w:tblPr>
      <w:tblGrid>
        <w:gridCol w:w="953"/>
        <w:gridCol w:w="780"/>
        <w:gridCol w:w="607"/>
        <w:gridCol w:w="1346"/>
        <w:gridCol w:w="759"/>
        <w:gridCol w:w="919"/>
        <w:gridCol w:w="919"/>
        <w:gridCol w:w="938"/>
        <w:gridCol w:w="1210"/>
        <w:gridCol w:w="720"/>
        <w:gridCol w:w="718"/>
        <w:gridCol w:w="1078"/>
        <w:gridCol w:w="1070"/>
        <w:gridCol w:w="852"/>
        <w:gridCol w:w="850"/>
        <w:gridCol w:w="711"/>
      </w:tblGrid>
      <w:tr w:rsidR="0031675F" w:rsidRPr="0031675F" w14:paraId="4960DB5A" w14:textId="77777777" w:rsidTr="00B00729">
        <w:trPr>
          <w:trHeight w:hRule="exact" w:val="1049"/>
        </w:trPr>
        <w:tc>
          <w:tcPr>
            <w:tcW w:w="953" w:type="dxa"/>
            <w:tcBorders>
              <w:top w:val="single" w:sz="5" w:space="0" w:color="000000"/>
              <w:left w:val="single" w:sz="5" w:space="0" w:color="000000"/>
              <w:bottom w:val="single" w:sz="5" w:space="0" w:color="000000"/>
              <w:right w:val="single" w:sz="5" w:space="0" w:color="000000"/>
            </w:tcBorders>
          </w:tcPr>
          <w:p w14:paraId="3E66F62A" w14:textId="77777777" w:rsidR="0031675F" w:rsidRPr="0031675F" w:rsidRDefault="0031675F" w:rsidP="0031675F">
            <w:pPr>
              <w:widowControl w:val="0"/>
              <w:spacing w:before="0" w:after="0" w:line="240" w:lineRule="auto"/>
              <w:rPr>
                <w:rFonts w:eastAsia="Arial" w:cs="Arial"/>
                <w:b/>
                <w:bCs/>
                <w:sz w:val="18"/>
                <w:szCs w:val="18"/>
                <w:lang w:val="en-US"/>
              </w:rPr>
            </w:pPr>
          </w:p>
          <w:p w14:paraId="0EFE6C66" w14:textId="77777777" w:rsidR="0031675F" w:rsidRPr="0031675F" w:rsidRDefault="0031675F" w:rsidP="0031675F">
            <w:pPr>
              <w:widowControl w:val="0"/>
              <w:spacing w:before="0" w:after="0" w:line="240" w:lineRule="auto"/>
              <w:rPr>
                <w:rFonts w:eastAsia="Arial" w:cs="Arial"/>
                <w:b/>
                <w:bCs/>
                <w:sz w:val="18"/>
                <w:szCs w:val="18"/>
                <w:lang w:val="en-US"/>
              </w:rPr>
            </w:pPr>
          </w:p>
          <w:p w14:paraId="51912EF0" w14:textId="77777777" w:rsidR="0031675F" w:rsidRPr="0031675F" w:rsidRDefault="0031675F" w:rsidP="0031675F">
            <w:pPr>
              <w:widowControl w:val="0"/>
              <w:spacing w:before="0" w:after="0" w:line="240" w:lineRule="auto"/>
              <w:rPr>
                <w:rFonts w:eastAsia="Arial" w:cs="Arial"/>
                <w:b/>
                <w:bCs/>
                <w:sz w:val="18"/>
                <w:szCs w:val="18"/>
                <w:lang w:val="en-US"/>
              </w:rPr>
            </w:pPr>
          </w:p>
          <w:p w14:paraId="49C29BA2" w14:textId="77777777" w:rsidR="0031675F" w:rsidRPr="0031675F" w:rsidRDefault="0031675F" w:rsidP="0031675F">
            <w:pPr>
              <w:widowControl w:val="0"/>
              <w:spacing w:before="116" w:after="0" w:line="240" w:lineRule="auto"/>
              <w:ind w:left="102"/>
              <w:rPr>
                <w:rFonts w:ascii="Calibri" w:eastAsia="Calibri" w:hAnsi="Calibri" w:cs="Calibri"/>
                <w:sz w:val="18"/>
                <w:szCs w:val="18"/>
                <w:lang w:val="en-US"/>
              </w:rPr>
            </w:pPr>
            <w:r w:rsidRPr="0031675F">
              <w:rPr>
                <w:rFonts w:ascii="Calibri" w:eastAsia="Calibri" w:hAnsi="Calibri"/>
                <w:b/>
                <w:spacing w:val="-1"/>
                <w:sz w:val="18"/>
                <w:lang w:val="en-US"/>
              </w:rPr>
              <w:t>Station</w:t>
            </w:r>
          </w:p>
        </w:tc>
        <w:tc>
          <w:tcPr>
            <w:tcW w:w="780" w:type="dxa"/>
            <w:tcBorders>
              <w:top w:val="single" w:sz="5" w:space="0" w:color="000000"/>
              <w:left w:val="single" w:sz="5" w:space="0" w:color="000000"/>
              <w:bottom w:val="single" w:sz="5" w:space="0" w:color="000000"/>
              <w:right w:val="single" w:sz="5" w:space="0" w:color="000000"/>
            </w:tcBorders>
          </w:tcPr>
          <w:p w14:paraId="49D965A6" w14:textId="77777777" w:rsidR="0031675F" w:rsidRPr="0031675F" w:rsidRDefault="0031675F" w:rsidP="0031675F">
            <w:pPr>
              <w:widowControl w:val="0"/>
              <w:spacing w:before="0" w:after="0" w:line="240" w:lineRule="auto"/>
              <w:rPr>
                <w:rFonts w:eastAsia="Arial" w:cs="Arial"/>
                <w:b/>
                <w:bCs/>
                <w:sz w:val="18"/>
                <w:szCs w:val="18"/>
                <w:lang w:val="en-US"/>
              </w:rPr>
            </w:pPr>
          </w:p>
          <w:p w14:paraId="341D7C4E" w14:textId="77777777" w:rsidR="0031675F" w:rsidRPr="0031675F" w:rsidRDefault="0031675F" w:rsidP="0031675F">
            <w:pPr>
              <w:widowControl w:val="0"/>
              <w:spacing w:before="0" w:after="0" w:line="240" w:lineRule="auto"/>
              <w:rPr>
                <w:rFonts w:eastAsia="Arial" w:cs="Arial"/>
                <w:b/>
                <w:bCs/>
                <w:sz w:val="18"/>
                <w:szCs w:val="18"/>
                <w:lang w:val="en-US"/>
              </w:rPr>
            </w:pPr>
          </w:p>
          <w:p w14:paraId="6A367E7F" w14:textId="77777777" w:rsidR="0031675F" w:rsidRPr="0031675F" w:rsidRDefault="0031675F" w:rsidP="0031675F">
            <w:pPr>
              <w:widowControl w:val="0"/>
              <w:spacing w:before="0" w:after="0" w:line="240" w:lineRule="auto"/>
              <w:rPr>
                <w:rFonts w:eastAsia="Arial" w:cs="Arial"/>
                <w:b/>
                <w:bCs/>
                <w:sz w:val="18"/>
                <w:szCs w:val="18"/>
                <w:lang w:val="en-US"/>
              </w:rPr>
            </w:pPr>
          </w:p>
          <w:p w14:paraId="479FB6E3" w14:textId="77777777" w:rsidR="0031675F" w:rsidRPr="0031675F" w:rsidRDefault="0031675F" w:rsidP="0031675F">
            <w:pPr>
              <w:widowControl w:val="0"/>
              <w:spacing w:before="116" w:after="0" w:line="240" w:lineRule="auto"/>
              <w:ind w:left="150"/>
              <w:rPr>
                <w:rFonts w:ascii="Calibri" w:eastAsia="Calibri" w:hAnsi="Calibri" w:cs="Calibri"/>
                <w:sz w:val="18"/>
                <w:szCs w:val="18"/>
                <w:lang w:val="en-US"/>
              </w:rPr>
            </w:pPr>
            <w:r w:rsidRPr="0031675F">
              <w:rPr>
                <w:rFonts w:ascii="Calibri" w:eastAsia="Calibri" w:hAnsi="Calibri"/>
                <w:b/>
                <w:spacing w:val="-1"/>
                <w:sz w:val="18"/>
                <w:lang w:val="en-US"/>
              </w:rPr>
              <w:t>Depth</w:t>
            </w:r>
          </w:p>
        </w:tc>
        <w:tc>
          <w:tcPr>
            <w:tcW w:w="607" w:type="dxa"/>
            <w:tcBorders>
              <w:top w:val="single" w:sz="5" w:space="0" w:color="000000"/>
              <w:left w:val="single" w:sz="5" w:space="0" w:color="000000"/>
              <w:bottom w:val="single" w:sz="5" w:space="0" w:color="000000"/>
              <w:right w:val="single" w:sz="5" w:space="0" w:color="000000"/>
            </w:tcBorders>
          </w:tcPr>
          <w:p w14:paraId="5537F9C1" w14:textId="77777777" w:rsidR="0031675F" w:rsidRPr="0031675F" w:rsidRDefault="0031675F" w:rsidP="0031675F">
            <w:pPr>
              <w:widowControl w:val="0"/>
              <w:spacing w:before="0" w:after="0" w:line="240" w:lineRule="auto"/>
              <w:rPr>
                <w:rFonts w:eastAsia="Arial" w:cs="Arial"/>
                <w:b/>
                <w:bCs/>
                <w:sz w:val="18"/>
                <w:szCs w:val="18"/>
                <w:lang w:val="en-US"/>
              </w:rPr>
            </w:pPr>
          </w:p>
          <w:p w14:paraId="5F755267" w14:textId="77777777" w:rsidR="0031675F" w:rsidRPr="0031675F" w:rsidRDefault="0031675F" w:rsidP="0031675F">
            <w:pPr>
              <w:widowControl w:val="0"/>
              <w:spacing w:before="0" w:after="0" w:line="240" w:lineRule="auto"/>
              <w:rPr>
                <w:rFonts w:eastAsia="Arial" w:cs="Arial"/>
                <w:b/>
                <w:bCs/>
                <w:sz w:val="18"/>
                <w:szCs w:val="18"/>
                <w:lang w:val="en-US"/>
              </w:rPr>
            </w:pPr>
          </w:p>
          <w:p w14:paraId="32E72BD6" w14:textId="77777777" w:rsidR="0031675F" w:rsidRPr="0031675F" w:rsidRDefault="0031675F" w:rsidP="0031675F">
            <w:pPr>
              <w:widowControl w:val="0"/>
              <w:spacing w:before="0" w:after="0" w:line="240" w:lineRule="auto"/>
              <w:rPr>
                <w:rFonts w:eastAsia="Arial" w:cs="Arial"/>
                <w:b/>
                <w:bCs/>
                <w:sz w:val="18"/>
                <w:szCs w:val="18"/>
                <w:lang w:val="en-US"/>
              </w:rPr>
            </w:pPr>
          </w:p>
          <w:p w14:paraId="6989723A" w14:textId="77777777" w:rsidR="0031675F" w:rsidRPr="0031675F" w:rsidRDefault="0031675F" w:rsidP="0031675F">
            <w:pPr>
              <w:widowControl w:val="0"/>
              <w:spacing w:before="116" w:after="0" w:line="240" w:lineRule="auto"/>
              <w:ind w:left="150"/>
              <w:rPr>
                <w:rFonts w:ascii="Calibri" w:eastAsia="Calibri" w:hAnsi="Calibri" w:cs="Calibri"/>
                <w:sz w:val="18"/>
                <w:szCs w:val="18"/>
                <w:lang w:val="en-US"/>
              </w:rPr>
            </w:pPr>
            <w:r w:rsidRPr="0031675F">
              <w:rPr>
                <w:rFonts w:ascii="Calibri" w:eastAsia="Calibri" w:hAnsi="Calibri"/>
                <w:b/>
                <w:spacing w:val="-1"/>
                <w:sz w:val="18"/>
                <w:lang w:val="en-US"/>
              </w:rPr>
              <w:t>Rep</w:t>
            </w:r>
          </w:p>
        </w:tc>
        <w:tc>
          <w:tcPr>
            <w:tcW w:w="1346" w:type="dxa"/>
            <w:tcBorders>
              <w:top w:val="single" w:sz="5" w:space="0" w:color="000000"/>
              <w:left w:val="single" w:sz="5" w:space="0" w:color="000000"/>
              <w:bottom w:val="single" w:sz="5" w:space="0" w:color="000000"/>
              <w:right w:val="single" w:sz="5" w:space="0" w:color="000000"/>
            </w:tcBorders>
          </w:tcPr>
          <w:p w14:paraId="58F011D5" w14:textId="77777777" w:rsidR="0031675F" w:rsidRPr="0031675F" w:rsidRDefault="0031675F" w:rsidP="0031675F">
            <w:pPr>
              <w:widowControl w:val="0"/>
              <w:spacing w:before="0" w:after="0" w:line="240" w:lineRule="auto"/>
              <w:rPr>
                <w:rFonts w:eastAsia="Arial" w:cs="Arial"/>
                <w:b/>
                <w:bCs/>
                <w:sz w:val="18"/>
                <w:szCs w:val="18"/>
                <w:lang w:val="en-US"/>
              </w:rPr>
            </w:pPr>
          </w:p>
          <w:p w14:paraId="0CE8EE66" w14:textId="77777777" w:rsidR="0031675F" w:rsidRPr="0031675F" w:rsidRDefault="0031675F" w:rsidP="0031675F">
            <w:pPr>
              <w:widowControl w:val="0"/>
              <w:spacing w:before="0" w:after="0" w:line="240" w:lineRule="auto"/>
              <w:rPr>
                <w:rFonts w:eastAsia="Arial" w:cs="Arial"/>
                <w:b/>
                <w:bCs/>
                <w:sz w:val="18"/>
                <w:szCs w:val="18"/>
                <w:lang w:val="en-US"/>
              </w:rPr>
            </w:pPr>
          </w:p>
          <w:p w14:paraId="5F0E869C" w14:textId="77777777" w:rsidR="0031675F" w:rsidRPr="0031675F" w:rsidRDefault="0031675F" w:rsidP="0031675F">
            <w:pPr>
              <w:widowControl w:val="0"/>
              <w:spacing w:before="0" w:after="0" w:line="240" w:lineRule="auto"/>
              <w:rPr>
                <w:rFonts w:eastAsia="Arial" w:cs="Arial"/>
                <w:b/>
                <w:bCs/>
                <w:sz w:val="18"/>
                <w:szCs w:val="18"/>
                <w:lang w:val="en-US"/>
              </w:rPr>
            </w:pPr>
          </w:p>
          <w:p w14:paraId="4B4EFA6B" w14:textId="77777777" w:rsidR="0031675F" w:rsidRPr="0031675F" w:rsidRDefault="0031675F" w:rsidP="0031675F">
            <w:pPr>
              <w:widowControl w:val="0"/>
              <w:spacing w:before="116" w:after="0" w:line="240" w:lineRule="auto"/>
              <w:ind w:left="138"/>
              <w:rPr>
                <w:rFonts w:ascii="Calibri" w:eastAsia="Calibri" w:hAnsi="Calibri" w:cs="Calibri"/>
                <w:sz w:val="18"/>
                <w:szCs w:val="18"/>
                <w:lang w:val="en-US"/>
              </w:rPr>
            </w:pPr>
            <w:r w:rsidRPr="0031675F">
              <w:rPr>
                <w:rFonts w:ascii="Calibri" w:eastAsia="Calibri" w:hAnsi="Calibri"/>
                <w:b/>
                <w:spacing w:val="-1"/>
                <w:sz w:val="18"/>
                <w:lang w:val="en-US"/>
              </w:rPr>
              <w:t>Date</w:t>
            </w:r>
            <w:r w:rsidRPr="0031675F">
              <w:rPr>
                <w:rFonts w:ascii="Calibri" w:eastAsia="Calibri" w:hAnsi="Calibri"/>
                <w:b/>
                <w:spacing w:val="-8"/>
                <w:sz w:val="18"/>
                <w:lang w:val="en-US"/>
              </w:rPr>
              <w:t xml:space="preserve"> </w:t>
            </w:r>
            <w:r w:rsidRPr="0031675F">
              <w:rPr>
                <w:rFonts w:ascii="Calibri" w:eastAsia="Calibri" w:hAnsi="Calibri"/>
                <w:b/>
                <w:spacing w:val="-1"/>
                <w:sz w:val="18"/>
                <w:lang w:val="en-US"/>
              </w:rPr>
              <w:t>analysed</w:t>
            </w:r>
          </w:p>
        </w:tc>
        <w:tc>
          <w:tcPr>
            <w:tcW w:w="759" w:type="dxa"/>
            <w:tcBorders>
              <w:top w:val="single" w:sz="5" w:space="0" w:color="000000"/>
              <w:left w:val="single" w:sz="5" w:space="0" w:color="000000"/>
              <w:bottom w:val="single" w:sz="5" w:space="0" w:color="000000"/>
              <w:right w:val="single" w:sz="5" w:space="0" w:color="000000"/>
            </w:tcBorders>
          </w:tcPr>
          <w:p w14:paraId="2FE9BC5B" w14:textId="77777777" w:rsidR="0031675F" w:rsidRPr="0031675F" w:rsidRDefault="0031675F" w:rsidP="0031675F">
            <w:pPr>
              <w:widowControl w:val="0"/>
              <w:spacing w:before="0" w:after="0" w:line="240" w:lineRule="auto"/>
              <w:rPr>
                <w:rFonts w:eastAsia="Arial" w:cs="Arial"/>
                <w:b/>
                <w:bCs/>
                <w:sz w:val="18"/>
                <w:szCs w:val="18"/>
                <w:lang w:val="en-US"/>
              </w:rPr>
            </w:pPr>
          </w:p>
          <w:p w14:paraId="34EBAE99" w14:textId="77777777" w:rsidR="0031675F" w:rsidRPr="0031675F" w:rsidRDefault="0031675F" w:rsidP="0031675F">
            <w:pPr>
              <w:widowControl w:val="0"/>
              <w:spacing w:before="0" w:after="0" w:line="240" w:lineRule="auto"/>
              <w:rPr>
                <w:rFonts w:eastAsia="Arial" w:cs="Arial"/>
                <w:b/>
                <w:bCs/>
                <w:sz w:val="18"/>
                <w:szCs w:val="18"/>
                <w:lang w:val="en-US"/>
              </w:rPr>
            </w:pPr>
          </w:p>
          <w:p w14:paraId="5095FE9F" w14:textId="77777777" w:rsidR="0031675F" w:rsidRPr="0031675F" w:rsidRDefault="0031675F" w:rsidP="0031675F">
            <w:pPr>
              <w:widowControl w:val="0"/>
              <w:spacing w:before="0" w:after="0" w:line="240" w:lineRule="auto"/>
              <w:rPr>
                <w:rFonts w:eastAsia="Arial" w:cs="Arial"/>
                <w:b/>
                <w:bCs/>
                <w:sz w:val="18"/>
                <w:szCs w:val="18"/>
                <w:lang w:val="en-US"/>
              </w:rPr>
            </w:pPr>
          </w:p>
          <w:p w14:paraId="2555E7D7" w14:textId="77777777" w:rsidR="0031675F" w:rsidRPr="0031675F" w:rsidRDefault="0031675F" w:rsidP="0031675F">
            <w:pPr>
              <w:widowControl w:val="0"/>
              <w:spacing w:before="116" w:after="0" w:line="240" w:lineRule="auto"/>
              <w:ind w:left="165"/>
              <w:rPr>
                <w:rFonts w:ascii="Calibri" w:eastAsia="Calibri" w:hAnsi="Calibri" w:cs="Calibri"/>
                <w:sz w:val="18"/>
                <w:szCs w:val="18"/>
                <w:lang w:val="en-US"/>
              </w:rPr>
            </w:pPr>
            <w:r w:rsidRPr="0031675F">
              <w:rPr>
                <w:rFonts w:ascii="Calibri" w:eastAsia="Calibri" w:hAnsi="Calibri"/>
                <w:b/>
                <w:spacing w:val="-1"/>
                <w:sz w:val="18"/>
                <w:lang w:val="en-US"/>
              </w:rPr>
              <w:t>Blank</w:t>
            </w:r>
          </w:p>
        </w:tc>
        <w:tc>
          <w:tcPr>
            <w:tcW w:w="919" w:type="dxa"/>
            <w:tcBorders>
              <w:top w:val="single" w:sz="5" w:space="0" w:color="000000"/>
              <w:left w:val="single" w:sz="5" w:space="0" w:color="000000"/>
              <w:bottom w:val="single" w:sz="5" w:space="0" w:color="000000"/>
              <w:right w:val="single" w:sz="5" w:space="0" w:color="000000"/>
            </w:tcBorders>
          </w:tcPr>
          <w:p w14:paraId="6BABE0EB" w14:textId="4211C212" w:rsidR="0031675F" w:rsidRPr="0031675F" w:rsidRDefault="0031675F" w:rsidP="0031675F">
            <w:pPr>
              <w:widowControl w:val="0"/>
              <w:spacing w:before="77" w:after="0" w:line="240" w:lineRule="auto"/>
              <w:ind w:left="164" w:right="163"/>
              <w:jc w:val="center"/>
              <w:rPr>
                <w:rFonts w:ascii="Calibri" w:eastAsia="Calibri" w:hAnsi="Calibri" w:cs="Calibri"/>
                <w:sz w:val="18"/>
                <w:szCs w:val="18"/>
                <w:lang w:val="en-US"/>
              </w:rPr>
            </w:pPr>
            <w:r w:rsidRPr="0031675F">
              <w:rPr>
                <w:rFonts w:ascii="Calibri" w:eastAsia="Calibri" w:hAnsi="Calibri"/>
                <w:b/>
                <w:spacing w:val="-1"/>
                <w:w w:val="95"/>
                <w:sz w:val="18"/>
                <w:lang w:val="en-US"/>
              </w:rPr>
              <w:t>Volume</w:t>
            </w:r>
            <w:r w:rsidRPr="0031675F">
              <w:rPr>
                <w:rFonts w:ascii="Calibri" w:eastAsia="Calibri" w:hAnsi="Calibri"/>
                <w:b/>
                <w:spacing w:val="20"/>
                <w:sz w:val="18"/>
                <w:lang w:val="en-US"/>
              </w:rPr>
              <w:t xml:space="preserve"> </w:t>
            </w:r>
            <w:r w:rsidRPr="0031675F">
              <w:rPr>
                <w:rFonts w:ascii="Calibri" w:eastAsia="Calibri" w:hAnsi="Calibri"/>
                <w:b/>
                <w:spacing w:val="-1"/>
                <w:sz w:val="18"/>
                <w:lang w:val="en-US"/>
              </w:rPr>
              <w:t>of</w:t>
            </w:r>
            <w:r w:rsidRPr="0031675F">
              <w:rPr>
                <w:rFonts w:ascii="Calibri" w:eastAsia="Calibri" w:hAnsi="Calibri"/>
                <w:b/>
                <w:spacing w:val="21"/>
                <w:sz w:val="18"/>
                <w:lang w:val="en-US"/>
              </w:rPr>
              <w:t xml:space="preserve"> </w:t>
            </w:r>
            <w:r w:rsidRPr="0031675F">
              <w:rPr>
                <w:rFonts w:ascii="Calibri" w:eastAsia="Calibri" w:hAnsi="Calibri"/>
                <w:b/>
                <w:spacing w:val="-1"/>
                <w:sz w:val="18"/>
                <w:lang w:val="en-US"/>
              </w:rPr>
              <w:t>sample</w:t>
            </w:r>
            <w:r w:rsidRPr="0031675F">
              <w:rPr>
                <w:rFonts w:ascii="Calibri" w:eastAsia="Calibri" w:hAnsi="Calibri"/>
                <w:b/>
                <w:spacing w:val="24"/>
                <w:sz w:val="18"/>
                <w:lang w:val="en-US"/>
              </w:rPr>
              <w:t xml:space="preserve"> </w:t>
            </w:r>
            <w:r w:rsidRPr="0031675F">
              <w:rPr>
                <w:rFonts w:ascii="Calibri" w:eastAsia="Calibri" w:hAnsi="Calibri"/>
                <w:b/>
                <w:spacing w:val="-1"/>
                <w:sz w:val="18"/>
                <w:lang w:val="en-US"/>
              </w:rPr>
              <w:t>(</w:t>
            </w:r>
            <w:r w:rsidR="00BB13FD">
              <w:rPr>
                <w:rFonts w:ascii="Calibri" w:eastAsia="Calibri" w:hAnsi="Calibri"/>
                <w:b/>
                <w:spacing w:val="-1"/>
                <w:sz w:val="18"/>
                <w:lang w:val="en-US"/>
              </w:rPr>
              <w:t>mL</w:t>
            </w:r>
            <w:r w:rsidRPr="0031675F">
              <w:rPr>
                <w:rFonts w:ascii="Calibri" w:eastAsia="Calibri" w:hAnsi="Calibri"/>
                <w:b/>
                <w:spacing w:val="-1"/>
                <w:sz w:val="18"/>
                <w:lang w:val="en-US"/>
              </w:rPr>
              <w:t>)</w:t>
            </w:r>
          </w:p>
        </w:tc>
        <w:tc>
          <w:tcPr>
            <w:tcW w:w="919" w:type="dxa"/>
            <w:tcBorders>
              <w:top w:val="single" w:sz="5" w:space="0" w:color="000000"/>
              <w:left w:val="single" w:sz="5" w:space="0" w:color="000000"/>
              <w:bottom w:val="single" w:sz="5" w:space="0" w:color="000000"/>
              <w:right w:val="single" w:sz="5" w:space="0" w:color="000000"/>
            </w:tcBorders>
          </w:tcPr>
          <w:p w14:paraId="3BE091F4" w14:textId="76504474" w:rsidR="0031675F" w:rsidRPr="0031675F" w:rsidRDefault="0031675F" w:rsidP="0031675F">
            <w:pPr>
              <w:widowControl w:val="0"/>
              <w:spacing w:before="77" w:after="0" w:line="240" w:lineRule="auto"/>
              <w:ind w:left="164" w:right="163"/>
              <w:jc w:val="center"/>
              <w:rPr>
                <w:rFonts w:ascii="Calibri" w:eastAsia="Calibri" w:hAnsi="Calibri" w:cs="Calibri"/>
                <w:sz w:val="18"/>
                <w:szCs w:val="18"/>
                <w:lang w:val="en-US"/>
              </w:rPr>
            </w:pPr>
            <w:r w:rsidRPr="0031675F">
              <w:rPr>
                <w:rFonts w:ascii="Calibri" w:eastAsia="Calibri" w:hAnsi="Calibri"/>
                <w:b/>
                <w:spacing w:val="-1"/>
                <w:w w:val="95"/>
                <w:sz w:val="18"/>
                <w:lang w:val="en-US"/>
              </w:rPr>
              <w:t>Volume</w:t>
            </w:r>
            <w:r w:rsidRPr="0031675F">
              <w:rPr>
                <w:rFonts w:ascii="Calibri" w:eastAsia="Calibri" w:hAnsi="Calibri"/>
                <w:b/>
                <w:spacing w:val="20"/>
                <w:sz w:val="18"/>
                <w:lang w:val="en-US"/>
              </w:rPr>
              <w:t xml:space="preserve"> </w:t>
            </w:r>
            <w:r w:rsidRPr="0031675F">
              <w:rPr>
                <w:rFonts w:ascii="Calibri" w:eastAsia="Calibri" w:hAnsi="Calibri"/>
                <w:b/>
                <w:spacing w:val="-1"/>
                <w:sz w:val="18"/>
                <w:lang w:val="en-US"/>
              </w:rPr>
              <w:t>of</w:t>
            </w:r>
            <w:r w:rsidRPr="0031675F">
              <w:rPr>
                <w:rFonts w:ascii="Calibri" w:eastAsia="Calibri" w:hAnsi="Calibri"/>
                <w:b/>
                <w:spacing w:val="21"/>
                <w:sz w:val="18"/>
                <w:lang w:val="en-US"/>
              </w:rPr>
              <w:t xml:space="preserve"> </w:t>
            </w:r>
            <w:r w:rsidRPr="0031675F">
              <w:rPr>
                <w:rFonts w:ascii="Calibri" w:eastAsia="Calibri" w:hAnsi="Calibri"/>
                <w:b/>
                <w:spacing w:val="-1"/>
                <w:sz w:val="18"/>
                <w:lang w:val="en-US"/>
              </w:rPr>
              <w:t>extract</w:t>
            </w:r>
            <w:r w:rsidRPr="0031675F">
              <w:rPr>
                <w:rFonts w:ascii="Calibri" w:eastAsia="Calibri" w:hAnsi="Calibri"/>
                <w:b/>
                <w:spacing w:val="24"/>
                <w:w w:val="99"/>
                <w:sz w:val="18"/>
                <w:lang w:val="en-US"/>
              </w:rPr>
              <w:t xml:space="preserve"> </w:t>
            </w:r>
            <w:r w:rsidRPr="0031675F">
              <w:rPr>
                <w:rFonts w:ascii="Calibri" w:eastAsia="Calibri" w:hAnsi="Calibri"/>
                <w:b/>
                <w:spacing w:val="-1"/>
                <w:sz w:val="18"/>
                <w:lang w:val="en-US"/>
              </w:rPr>
              <w:t>(</w:t>
            </w:r>
            <w:r w:rsidR="00BB13FD">
              <w:rPr>
                <w:rFonts w:ascii="Calibri" w:eastAsia="Calibri" w:hAnsi="Calibri"/>
                <w:b/>
                <w:spacing w:val="-1"/>
                <w:sz w:val="18"/>
                <w:lang w:val="en-US"/>
              </w:rPr>
              <w:t>mL</w:t>
            </w:r>
            <w:r w:rsidRPr="0031675F">
              <w:rPr>
                <w:rFonts w:ascii="Calibri" w:eastAsia="Calibri" w:hAnsi="Calibri"/>
                <w:b/>
                <w:spacing w:val="-1"/>
                <w:sz w:val="18"/>
                <w:lang w:val="en-US"/>
              </w:rPr>
              <w:t>)</w:t>
            </w:r>
          </w:p>
        </w:tc>
        <w:tc>
          <w:tcPr>
            <w:tcW w:w="938" w:type="dxa"/>
            <w:tcBorders>
              <w:top w:val="single" w:sz="5" w:space="0" w:color="000000"/>
              <w:left w:val="single" w:sz="5" w:space="0" w:color="000000"/>
              <w:bottom w:val="single" w:sz="5" w:space="0" w:color="000000"/>
              <w:right w:val="single" w:sz="5" w:space="0" w:color="000000"/>
            </w:tcBorders>
          </w:tcPr>
          <w:p w14:paraId="314C1DC6" w14:textId="77777777" w:rsidR="0031675F" w:rsidRPr="0031675F" w:rsidRDefault="0031675F" w:rsidP="0031675F">
            <w:pPr>
              <w:widowControl w:val="0"/>
              <w:spacing w:before="77" w:after="0" w:line="240" w:lineRule="auto"/>
              <w:ind w:left="104" w:right="104" w:hanging="1"/>
              <w:jc w:val="center"/>
              <w:rPr>
                <w:rFonts w:ascii="Calibri" w:eastAsia="Calibri" w:hAnsi="Calibri" w:cs="Calibri"/>
                <w:sz w:val="18"/>
                <w:szCs w:val="18"/>
                <w:lang w:val="en-US"/>
              </w:rPr>
            </w:pPr>
            <w:r w:rsidRPr="0031675F">
              <w:rPr>
                <w:rFonts w:ascii="Calibri" w:eastAsia="Calibri" w:hAnsi="Calibri"/>
                <w:b/>
                <w:spacing w:val="-1"/>
                <w:sz w:val="18"/>
                <w:lang w:val="en-US"/>
              </w:rPr>
              <w:t>Dilution</w:t>
            </w:r>
            <w:r w:rsidRPr="0031675F">
              <w:rPr>
                <w:rFonts w:ascii="Calibri" w:eastAsia="Calibri" w:hAnsi="Calibri"/>
                <w:b/>
                <w:spacing w:val="24"/>
                <w:w w:val="99"/>
                <w:sz w:val="18"/>
                <w:lang w:val="en-US"/>
              </w:rPr>
              <w:t xml:space="preserve"> </w:t>
            </w:r>
            <w:r w:rsidRPr="0031675F">
              <w:rPr>
                <w:rFonts w:ascii="Calibri" w:eastAsia="Calibri" w:hAnsi="Calibri"/>
                <w:b/>
                <w:spacing w:val="-1"/>
                <w:sz w:val="18"/>
                <w:lang w:val="en-US"/>
              </w:rPr>
              <w:t>factor</w:t>
            </w:r>
            <w:r w:rsidRPr="0031675F">
              <w:rPr>
                <w:rFonts w:ascii="Calibri" w:eastAsia="Calibri" w:hAnsi="Calibri"/>
                <w:b/>
                <w:spacing w:val="-3"/>
                <w:sz w:val="18"/>
                <w:lang w:val="en-US"/>
              </w:rPr>
              <w:t xml:space="preserve"> </w:t>
            </w:r>
            <w:r w:rsidRPr="0031675F">
              <w:rPr>
                <w:rFonts w:ascii="Calibri" w:eastAsia="Calibri" w:hAnsi="Calibri"/>
                <w:b/>
                <w:spacing w:val="-1"/>
                <w:sz w:val="18"/>
                <w:lang w:val="en-US"/>
              </w:rPr>
              <w:t>(eg</w:t>
            </w:r>
            <w:r w:rsidRPr="0031675F">
              <w:rPr>
                <w:rFonts w:ascii="Calibri" w:eastAsia="Calibri" w:hAnsi="Calibri"/>
                <w:b/>
                <w:spacing w:val="26"/>
                <w:sz w:val="18"/>
                <w:lang w:val="en-US"/>
              </w:rPr>
              <w:t xml:space="preserve"> </w:t>
            </w:r>
            <w:r w:rsidRPr="0031675F">
              <w:rPr>
                <w:rFonts w:ascii="Calibri" w:eastAsia="Calibri" w:hAnsi="Calibri"/>
                <w:b/>
                <w:sz w:val="18"/>
                <w:lang w:val="en-US"/>
              </w:rPr>
              <w:t>5</w:t>
            </w:r>
            <w:r w:rsidRPr="0031675F">
              <w:rPr>
                <w:rFonts w:ascii="Calibri" w:eastAsia="Calibri" w:hAnsi="Calibri"/>
                <w:b/>
                <w:spacing w:val="-3"/>
                <w:sz w:val="18"/>
                <w:lang w:val="en-US"/>
              </w:rPr>
              <w:t xml:space="preserve"> </w:t>
            </w:r>
            <w:r w:rsidRPr="0031675F">
              <w:rPr>
                <w:rFonts w:ascii="Calibri" w:eastAsia="Calibri" w:hAnsi="Calibri"/>
                <w:b/>
                <w:spacing w:val="-1"/>
                <w:sz w:val="18"/>
                <w:lang w:val="en-US"/>
              </w:rPr>
              <w:t>in</w:t>
            </w:r>
            <w:r w:rsidRPr="0031675F">
              <w:rPr>
                <w:rFonts w:ascii="Calibri" w:eastAsia="Calibri" w:hAnsi="Calibri"/>
                <w:b/>
                <w:spacing w:val="-3"/>
                <w:sz w:val="18"/>
                <w:lang w:val="en-US"/>
              </w:rPr>
              <w:t xml:space="preserve"> </w:t>
            </w:r>
            <w:r w:rsidRPr="0031675F">
              <w:rPr>
                <w:rFonts w:ascii="Calibri" w:eastAsia="Calibri" w:hAnsi="Calibri"/>
                <w:b/>
                <w:sz w:val="18"/>
                <w:lang w:val="en-US"/>
              </w:rPr>
              <w:t>20</w:t>
            </w:r>
          </w:p>
          <w:p w14:paraId="501F107E" w14:textId="77777777" w:rsidR="0031675F" w:rsidRPr="0031675F" w:rsidRDefault="0031675F" w:rsidP="0031675F">
            <w:pPr>
              <w:widowControl w:val="0"/>
              <w:spacing w:before="1" w:after="0" w:line="240" w:lineRule="auto"/>
              <w:ind w:right="1"/>
              <w:jc w:val="center"/>
              <w:rPr>
                <w:rFonts w:ascii="Calibri" w:eastAsia="Calibri" w:hAnsi="Calibri" w:cs="Calibri"/>
                <w:sz w:val="18"/>
                <w:szCs w:val="18"/>
                <w:lang w:val="en-US"/>
              </w:rPr>
            </w:pPr>
            <w:r w:rsidRPr="0031675F">
              <w:rPr>
                <w:rFonts w:ascii="Calibri" w:eastAsia="Calibri" w:hAnsi="Calibri"/>
                <w:b/>
                <w:spacing w:val="-1"/>
                <w:sz w:val="18"/>
                <w:lang w:val="en-US"/>
              </w:rPr>
              <w:t>=4)</w:t>
            </w:r>
          </w:p>
        </w:tc>
        <w:tc>
          <w:tcPr>
            <w:tcW w:w="1210" w:type="dxa"/>
            <w:tcBorders>
              <w:top w:val="single" w:sz="5" w:space="0" w:color="000000"/>
              <w:left w:val="single" w:sz="5" w:space="0" w:color="000000"/>
              <w:bottom w:val="single" w:sz="5" w:space="0" w:color="000000"/>
              <w:right w:val="single" w:sz="5" w:space="0" w:color="000000"/>
            </w:tcBorders>
          </w:tcPr>
          <w:p w14:paraId="52C88A43" w14:textId="77777777" w:rsidR="0031675F" w:rsidRPr="0031675F" w:rsidRDefault="0031675F" w:rsidP="0031675F">
            <w:pPr>
              <w:widowControl w:val="0"/>
              <w:spacing w:before="0" w:after="0" w:line="240" w:lineRule="auto"/>
              <w:rPr>
                <w:rFonts w:eastAsia="Arial" w:cs="Arial"/>
                <w:b/>
                <w:bCs/>
                <w:sz w:val="18"/>
                <w:szCs w:val="18"/>
                <w:lang w:val="en-US"/>
              </w:rPr>
            </w:pPr>
          </w:p>
          <w:p w14:paraId="726D1A08" w14:textId="77777777" w:rsidR="0031675F" w:rsidRPr="0031675F" w:rsidRDefault="0031675F" w:rsidP="0031675F">
            <w:pPr>
              <w:widowControl w:val="0"/>
              <w:spacing w:before="10" w:after="0" w:line="240" w:lineRule="auto"/>
              <w:rPr>
                <w:rFonts w:eastAsia="Arial" w:cs="Arial"/>
                <w:b/>
                <w:bCs/>
                <w:sz w:val="26"/>
                <w:szCs w:val="26"/>
                <w:lang w:val="en-US"/>
              </w:rPr>
            </w:pPr>
          </w:p>
          <w:p w14:paraId="5E8CA21C" w14:textId="77777777" w:rsidR="0031675F" w:rsidRPr="0031675F" w:rsidRDefault="0031675F" w:rsidP="0031675F">
            <w:pPr>
              <w:widowControl w:val="0"/>
              <w:spacing w:before="0" w:after="0" w:line="240" w:lineRule="auto"/>
              <w:ind w:left="102" w:right="273"/>
              <w:rPr>
                <w:rFonts w:ascii="Calibri" w:eastAsia="Calibri" w:hAnsi="Calibri" w:cs="Calibri"/>
                <w:sz w:val="18"/>
                <w:szCs w:val="18"/>
                <w:lang w:val="en-US"/>
              </w:rPr>
            </w:pPr>
            <w:r w:rsidRPr="0031675F">
              <w:rPr>
                <w:rFonts w:ascii="Calibri" w:eastAsia="Calibri" w:hAnsi="Calibri"/>
                <w:b/>
                <w:spacing w:val="-1"/>
                <w:sz w:val="18"/>
                <w:lang w:val="en-US"/>
              </w:rPr>
              <w:t>Calibration</w:t>
            </w:r>
            <w:r w:rsidRPr="0031675F">
              <w:rPr>
                <w:rFonts w:ascii="Calibri" w:eastAsia="Calibri" w:hAnsi="Calibri"/>
                <w:b/>
                <w:spacing w:val="26"/>
                <w:w w:val="99"/>
                <w:sz w:val="18"/>
                <w:lang w:val="en-US"/>
              </w:rPr>
              <w:t xml:space="preserve"> </w:t>
            </w:r>
            <w:r w:rsidRPr="0031675F">
              <w:rPr>
                <w:rFonts w:ascii="Calibri" w:eastAsia="Calibri" w:hAnsi="Calibri"/>
                <w:b/>
                <w:spacing w:val="-1"/>
                <w:sz w:val="18"/>
                <w:lang w:val="en-US"/>
              </w:rPr>
              <w:t>no.</w:t>
            </w:r>
          </w:p>
        </w:tc>
        <w:tc>
          <w:tcPr>
            <w:tcW w:w="720" w:type="dxa"/>
            <w:tcBorders>
              <w:top w:val="single" w:sz="5" w:space="0" w:color="000000"/>
              <w:left w:val="single" w:sz="5" w:space="0" w:color="000000"/>
              <w:bottom w:val="single" w:sz="5" w:space="0" w:color="000000"/>
              <w:right w:val="single" w:sz="5" w:space="0" w:color="000000"/>
            </w:tcBorders>
          </w:tcPr>
          <w:p w14:paraId="5433FA17" w14:textId="77777777" w:rsidR="0031675F" w:rsidRPr="0031675F" w:rsidRDefault="0031675F" w:rsidP="0031675F">
            <w:pPr>
              <w:widowControl w:val="0"/>
              <w:spacing w:before="0" w:after="0" w:line="240" w:lineRule="auto"/>
              <w:rPr>
                <w:rFonts w:eastAsia="Arial" w:cs="Arial"/>
                <w:b/>
                <w:bCs/>
                <w:sz w:val="18"/>
                <w:szCs w:val="18"/>
                <w:lang w:val="en-US"/>
              </w:rPr>
            </w:pPr>
          </w:p>
          <w:p w14:paraId="690E301A" w14:textId="77777777" w:rsidR="0031675F" w:rsidRPr="0031675F" w:rsidRDefault="0031675F" w:rsidP="0031675F">
            <w:pPr>
              <w:widowControl w:val="0"/>
              <w:spacing w:before="0" w:after="0" w:line="240" w:lineRule="auto"/>
              <w:rPr>
                <w:rFonts w:eastAsia="Arial" w:cs="Arial"/>
                <w:b/>
                <w:bCs/>
                <w:sz w:val="18"/>
                <w:szCs w:val="18"/>
                <w:lang w:val="en-US"/>
              </w:rPr>
            </w:pPr>
          </w:p>
          <w:p w14:paraId="605836ED" w14:textId="77777777" w:rsidR="0031675F" w:rsidRPr="0031675F" w:rsidRDefault="0031675F" w:rsidP="0031675F">
            <w:pPr>
              <w:widowControl w:val="0"/>
              <w:spacing w:before="0" w:after="0" w:line="240" w:lineRule="auto"/>
              <w:rPr>
                <w:rFonts w:eastAsia="Arial" w:cs="Arial"/>
                <w:b/>
                <w:bCs/>
                <w:sz w:val="18"/>
                <w:szCs w:val="18"/>
                <w:lang w:val="en-US"/>
              </w:rPr>
            </w:pPr>
          </w:p>
          <w:p w14:paraId="33400800" w14:textId="77777777" w:rsidR="0031675F" w:rsidRPr="0031675F" w:rsidRDefault="0031675F" w:rsidP="0031675F">
            <w:pPr>
              <w:widowControl w:val="0"/>
              <w:spacing w:before="116" w:after="0" w:line="240" w:lineRule="auto"/>
              <w:ind w:right="3"/>
              <w:jc w:val="center"/>
              <w:rPr>
                <w:rFonts w:ascii="Calibri" w:eastAsia="Calibri" w:hAnsi="Calibri" w:cs="Calibri"/>
                <w:sz w:val="18"/>
                <w:szCs w:val="18"/>
                <w:lang w:val="en-US"/>
              </w:rPr>
            </w:pPr>
            <w:r w:rsidRPr="0031675F">
              <w:rPr>
                <w:rFonts w:ascii="Calibri" w:eastAsia="Calibri" w:hAnsi="Calibri"/>
                <w:b/>
                <w:spacing w:val="-1"/>
                <w:sz w:val="18"/>
                <w:lang w:val="en-US"/>
              </w:rPr>
              <w:t>Fo</w:t>
            </w:r>
          </w:p>
        </w:tc>
        <w:tc>
          <w:tcPr>
            <w:tcW w:w="718" w:type="dxa"/>
            <w:tcBorders>
              <w:top w:val="single" w:sz="5" w:space="0" w:color="000000"/>
              <w:left w:val="single" w:sz="5" w:space="0" w:color="000000"/>
              <w:bottom w:val="single" w:sz="5" w:space="0" w:color="000000"/>
              <w:right w:val="single" w:sz="5" w:space="0" w:color="000000"/>
            </w:tcBorders>
          </w:tcPr>
          <w:p w14:paraId="3A7FC30A" w14:textId="77777777" w:rsidR="0031675F" w:rsidRPr="0031675F" w:rsidRDefault="0031675F" w:rsidP="0031675F">
            <w:pPr>
              <w:widowControl w:val="0"/>
              <w:spacing w:before="0" w:after="0" w:line="240" w:lineRule="auto"/>
              <w:rPr>
                <w:rFonts w:eastAsia="Arial" w:cs="Arial"/>
                <w:b/>
                <w:bCs/>
                <w:sz w:val="18"/>
                <w:szCs w:val="18"/>
                <w:lang w:val="en-US"/>
              </w:rPr>
            </w:pPr>
          </w:p>
          <w:p w14:paraId="526A24B5" w14:textId="77777777" w:rsidR="0031675F" w:rsidRPr="0031675F" w:rsidRDefault="0031675F" w:rsidP="0031675F">
            <w:pPr>
              <w:widowControl w:val="0"/>
              <w:spacing w:before="0" w:after="0" w:line="240" w:lineRule="auto"/>
              <w:rPr>
                <w:rFonts w:eastAsia="Arial" w:cs="Arial"/>
                <w:b/>
                <w:bCs/>
                <w:sz w:val="18"/>
                <w:szCs w:val="18"/>
                <w:lang w:val="en-US"/>
              </w:rPr>
            </w:pPr>
          </w:p>
          <w:p w14:paraId="4D0F17EF" w14:textId="77777777" w:rsidR="0031675F" w:rsidRPr="0031675F" w:rsidRDefault="0031675F" w:rsidP="0031675F">
            <w:pPr>
              <w:widowControl w:val="0"/>
              <w:spacing w:before="0" w:after="0" w:line="240" w:lineRule="auto"/>
              <w:rPr>
                <w:rFonts w:eastAsia="Arial" w:cs="Arial"/>
                <w:b/>
                <w:bCs/>
                <w:sz w:val="18"/>
                <w:szCs w:val="18"/>
                <w:lang w:val="en-US"/>
              </w:rPr>
            </w:pPr>
          </w:p>
          <w:p w14:paraId="5716000B" w14:textId="77777777" w:rsidR="0031675F" w:rsidRPr="0031675F" w:rsidRDefault="0031675F" w:rsidP="0031675F">
            <w:pPr>
              <w:widowControl w:val="0"/>
              <w:spacing w:before="116" w:after="0" w:line="240" w:lineRule="auto"/>
              <w:ind w:right="3"/>
              <w:jc w:val="center"/>
              <w:rPr>
                <w:rFonts w:ascii="Calibri" w:eastAsia="Calibri" w:hAnsi="Calibri" w:cs="Calibri"/>
                <w:sz w:val="18"/>
                <w:szCs w:val="18"/>
                <w:lang w:val="en-US"/>
              </w:rPr>
            </w:pPr>
            <w:r w:rsidRPr="0031675F">
              <w:rPr>
                <w:rFonts w:ascii="Calibri" w:eastAsia="Calibri" w:hAnsi="Calibri"/>
                <w:b/>
                <w:spacing w:val="-1"/>
                <w:sz w:val="18"/>
                <w:lang w:val="en-US"/>
              </w:rPr>
              <w:t>Fa</w:t>
            </w:r>
          </w:p>
        </w:tc>
        <w:tc>
          <w:tcPr>
            <w:tcW w:w="1078" w:type="dxa"/>
            <w:tcBorders>
              <w:top w:val="single" w:sz="5" w:space="0" w:color="000000"/>
              <w:left w:val="single" w:sz="5" w:space="0" w:color="000000"/>
              <w:bottom w:val="single" w:sz="5" w:space="0" w:color="000000"/>
              <w:right w:val="single" w:sz="5" w:space="0" w:color="000000"/>
            </w:tcBorders>
          </w:tcPr>
          <w:p w14:paraId="020C8622" w14:textId="77777777" w:rsidR="0031675F" w:rsidRPr="0031675F" w:rsidRDefault="0031675F" w:rsidP="0031675F">
            <w:pPr>
              <w:widowControl w:val="0"/>
              <w:spacing w:before="0" w:after="0" w:line="240" w:lineRule="auto"/>
              <w:rPr>
                <w:rFonts w:eastAsia="Arial" w:cs="Arial"/>
                <w:b/>
                <w:bCs/>
                <w:sz w:val="18"/>
                <w:szCs w:val="18"/>
                <w:lang w:val="en-US"/>
              </w:rPr>
            </w:pPr>
          </w:p>
          <w:p w14:paraId="35827B8D" w14:textId="77777777" w:rsidR="0031675F" w:rsidRPr="0031675F" w:rsidRDefault="0031675F" w:rsidP="0031675F">
            <w:pPr>
              <w:widowControl w:val="0"/>
              <w:spacing w:before="0" w:after="0" w:line="240" w:lineRule="auto"/>
              <w:rPr>
                <w:rFonts w:eastAsia="Arial" w:cs="Arial"/>
                <w:b/>
                <w:bCs/>
                <w:sz w:val="18"/>
                <w:szCs w:val="18"/>
                <w:lang w:val="en-US"/>
              </w:rPr>
            </w:pPr>
          </w:p>
          <w:p w14:paraId="69CAA8B7" w14:textId="77777777" w:rsidR="0031675F" w:rsidRPr="0031675F" w:rsidRDefault="0031675F" w:rsidP="0031675F">
            <w:pPr>
              <w:widowControl w:val="0"/>
              <w:spacing w:before="0" w:after="0" w:line="240" w:lineRule="auto"/>
              <w:rPr>
                <w:rFonts w:eastAsia="Arial" w:cs="Arial"/>
                <w:b/>
                <w:bCs/>
                <w:sz w:val="18"/>
                <w:szCs w:val="18"/>
                <w:lang w:val="en-US"/>
              </w:rPr>
            </w:pPr>
          </w:p>
          <w:p w14:paraId="1EB752D1" w14:textId="77777777" w:rsidR="0031675F" w:rsidRPr="0031675F" w:rsidRDefault="0031675F" w:rsidP="0031675F">
            <w:pPr>
              <w:widowControl w:val="0"/>
              <w:spacing w:before="116" w:after="0" w:line="240" w:lineRule="auto"/>
              <w:ind w:left="147"/>
              <w:rPr>
                <w:rFonts w:ascii="Calibri" w:eastAsia="Calibri" w:hAnsi="Calibri" w:cs="Calibri"/>
                <w:sz w:val="18"/>
                <w:szCs w:val="18"/>
                <w:lang w:val="en-US"/>
              </w:rPr>
            </w:pPr>
            <w:r w:rsidRPr="0031675F">
              <w:rPr>
                <w:rFonts w:ascii="Calibri" w:eastAsia="Calibri" w:hAnsi="Calibri"/>
                <w:b/>
                <w:spacing w:val="-1"/>
                <w:sz w:val="18"/>
                <w:lang w:val="en-US"/>
              </w:rPr>
              <w:t>Correct</w:t>
            </w:r>
            <w:r w:rsidRPr="0031675F">
              <w:rPr>
                <w:rFonts w:ascii="Calibri" w:eastAsia="Calibri" w:hAnsi="Calibri"/>
                <w:b/>
                <w:spacing w:val="-4"/>
                <w:sz w:val="18"/>
                <w:lang w:val="en-US"/>
              </w:rPr>
              <w:t xml:space="preserve"> </w:t>
            </w:r>
            <w:r w:rsidRPr="0031675F">
              <w:rPr>
                <w:rFonts w:ascii="Calibri" w:eastAsia="Calibri" w:hAnsi="Calibri"/>
                <w:b/>
                <w:spacing w:val="-1"/>
                <w:sz w:val="18"/>
                <w:lang w:val="en-US"/>
              </w:rPr>
              <w:t>Fo</w:t>
            </w:r>
          </w:p>
        </w:tc>
        <w:tc>
          <w:tcPr>
            <w:tcW w:w="1070" w:type="dxa"/>
            <w:tcBorders>
              <w:top w:val="single" w:sz="5" w:space="0" w:color="000000"/>
              <w:left w:val="single" w:sz="5" w:space="0" w:color="000000"/>
              <w:bottom w:val="single" w:sz="5" w:space="0" w:color="000000"/>
              <w:right w:val="single" w:sz="5" w:space="0" w:color="000000"/>
            </w:tcBorders>
          </w:tcPr>
          <w:p w14:paraId="79F0E9B3" w14:textId="77777777" w:rsidR="0031675F" w:rsidRPr="0031675F" w:rsidRDefault="0031675F" w:rsidP="0031675F">
            <w:pPr>
              <w:widowControl w:val="0"/>
              <w:spacing w:before="0" w:after="0" w:line="240" w:lineRule="auto"/>
              <w:rPr>
                <w:rFonts w:eastAsia="Arial" w:cs="Arial"/>
                <w:b/>
                <w:bCs/>
                <w:sz w:val="18"/>
                <w:szCs w:val="18"/>
                <w:lang w:val="en-US"/>
              </w:rPr>
            </w:pPr>
          </w:p>
          <w:p w14:paraId="2A4266B3" w14:textId="77777777" w:rsidR="0031675F" w:rsidRPr="0031675F" w:rsidRDefault="0031675F" w:rsidP="0031675F">
            <w:pPr>
              <w:widowControl w:val="0"/>
              <w:spacing w:before="0" w:after="0" w:line="240" w:lineRule="auto"/>
              <w:rPr>
                <w:rFonts w:eastAsia="Arial" w:cs="Arial"/>
                <w:b/>
                <w:bCs/>
                <w:sz w:val="18"/>
                <w:szCs w:val="18"/>
                <w:lang w:val="en-US"/>
              </w:rPr>
            </w:pPr>
          </w:p>
          <w:p w14:paraId="506A9F71" w14:textId="77777777" w:rsidR="0031675F" w:rsidRPr="0031675F" w:rsidRDefault="0031675F" w:rsidP="0031675F">
            <w:pPr>
              <w:widowControl w:val="0"/>
              <w:spacing w:before="0" w:after="0" w:line="240" w:lineRule="auto"/>
              <w:rPr>
                <w:rFonts w:eastAsia="Arial" w:cs="Arial"/>
                <w:b/>
                <w:bCs/>
                <w:sz w:val="18"/>
                <w:szCs w:val="18"/>
                <w:lang w:val="en-US"/>
              </w:rPr>
            </w:pPr>
          </w:p>
          <w:p w14:paraId="257397A8" w14:textId="77777777" w:rsidR="0031675F" w:rsidRPr="0031675F" w:rsidRDefault="0031675F" w:rsidP="0031675F">
            <w:pPr>
              <w:widowControl w:val="0"/>
              <w:spacing w:before="116" w:after="0" w:line="240" w:lineRule="auto"/>
              <w:ind w:left="147"/>
              <w:rPr>
                <w:rFonts w:ascii="Calibri" w:eastAsia="Calibri" w:hAnsi="Calibri" w:cs="Calibri"/>
                <w:sz w:val="18"/>
                <w:szCs w:val="18"/>
                <w:lang w:val="en-US"/>
              </w:rPr>
            </w:pPr>
            <w:r w:rsidRPr="0031675F">
              <w:rPr>
                <w:rFonts w:ascii="Calibri" w:eastAsia="Calibri" w:hAnsi="Calibri"/>
                <w:b/>
                <w:spacing w:val="-1"/>
                <w:sz w:val="18"/>
                <w:lang w:val="en-US"/>
              </w:rPr>
              <w:t>Correct</w:t>
            </w:r>
            <w:r w:rsidRPr="0031675F">
              <w:rPr>
                <w:rFonts w:ascii="Calibri" w:eastAsia="Calibri" w:hAnsi="Calibri"/>
                <w:b/>
                <w:spacing w:val="-4"/>
                <w:sz w:val="18"/>
                <w:lang w:val="en-US"/>
              </w:rPr>
              <w:t xml:space="preserve"> </w:t>
            </w:r>
            <w:r w:rsidRPr="0031675F">
              <w:rPr>
                <w:rFonts w:ascii="Calibri" w:eastAsia="Calibri" w:hAnsi="Calibri"/>
                <w:b/>
                <w:spacing w:val="-1"/>
                <w:sz w:val="18"/>
                <w:lang w:val="en-US"/>
              </w:rPr>
              <w:t>Fa</w:t>
            </w:r>
          </w:p>
        </w:tc>
        <w:tc>
          <w:tcPr>
            <w:tcW w:w="852" w:type="dxa"/>
            <w:tcBorders>
              <w:top w:val="single" w:sz="5" w:space="0" w:color="000000"/>
              <w:left w:val="single" w:sz="5" w:space="0" w:color="000000"/>
              <w:bottom w:val="single" w:sz="5" w:space="0" w:color="000000"/>
              <w:right w:val="single" w:sz="5" w:space="0" w:color="000000"/>
            </w:tcBorders>
          </w:tcPr>
          <w:p w14:paraId="5E8DC732" w14:textId="77777777" w:rsidR="0031675F" w:rsidRPr="0031675F" w:rsidRDefault="0031675F" w:rsidP="0031675F">
            <w:pPr>
              <w:widowControl w:val="0"/>
              <w:spacing w:before="0" w:after="0" w:line="240" w:lineRule="auto"/>
              <w:rPr>
                <w:rFonts w:eastAsia="Arial" w:cs="Arial"/>
                <w:b/>
                <w:bCs/>
                <w:sz w:val="18"/>
                <w:szCs w:val="18"/>
                <w:lang w:val="en-US"/>
              </w:rPr>
            </w:pPr>
          </w:p>
          <w:p w14:paraId="001FA7BA" w14:textId="77777777" w:rsidR="0031675F" w:rsidRPr="0031675F" w:rsidRDefault="0031675F" w:rsidP="0031675F">
            <w:pPr>
              <w:widowControl w:val="0"/>
              <w:spacing w:before="10" w:after="0" w:line="240" w:lineRule="auto"/>
              <w:rPr>
                <w:rFonts w:eastAsia="Arial" w:cs="Arial"/>
                <w:b/>
                <w:bCs/>
                <w:sz w:val="26"/>
                <w:szCs w:val="26"/>
                <w:lang w:val="en-US"/>
              </w:rPr>
            </w:pPr>
          </w:p>
          <w:p w14:paraId="597246E3" w14:textId="431577A1" w:rsidR="0031675F" w:rsidRPr="0031675F" w:rsidRDefault="0031675F" w:rsidP="0031675F">
            <w:pPr>
              <w:widowControl w:val="0"/>
              <w:spacing w:before="0" w:after="0" w:line="240" w:lineRule="auto"/>
              <w:ind w:left="212" w:right="212" w:firstLine="24"/>
              <w:rPr>
                <w:rFonts w:ascii="Calibri" w:eastAsia="Calibri" w:hAnsi="Calibri" w:cs="Calibri"/>
                <w:sz w:val="18"/>
                <w:szCs w:val="18"/>
                <w:lang w:val="en-US"/>
              </w:rPr>
            </w:pPr>
            <w:r w:rsidRPr="0031675F">
              <w:rPr>
                <w:rFonts w:ascii="Calibri" w:eastAsia="Calibri" w:hAnsi="Calibri"/>
                <w:b/>
                <w:spacing w:val="-1"/>
                <w:sz w:val="18"/>
                <w:lang w:val="en-US"/>
              </w:rPr>
              <w:t>Chl</w:t>
            </w:r>
            <w:r w:rsidR="006B5965">
              <w:rPr>
                <w:rFonts w:ascii="Calibri" w:eastAsia="Calibri" w:hAnsi="Calibri"/>
                <w:b/>
                <w:spacing w:val="-4"/>
                <w:sz w:val="18"/>
                <w:lang w:val="en-US"/>
              </w:rPr>
              <w:t>-</w:t>
            </w:r>
            <w:r w:rsidRPr="006B5965">
              <w:rPr>
                <w:rFonts w:ascii="Calibri" w:eastAsia="Calibri" w:hAnsi="Calibri"/>
                <w:b/>
                <w:i/>
                <w:sz w:val="18"/>
                <w:lang w:val="en-US"/>
              </w:rPr>
              <w:t>a</w:t>
            </w:r>
            <w:r w:rsidRPr="0031675F">
              <w:rPr>
                <w:rFonts w:ascii="Calibri" w:eastAsia="Calibri" w:hAnsi="Calibri"/>
                <w:b/>
                <w:spacing w:val="22"/>
                <w:w w:val="99"/>
                <w:sz w:val="18"/>
                <w:lang w:val="en-US"/>
              </w:rPr>
              <w:t xml:space="preserve"> </w:t>
            </w:r>
            <w:r w:rsidRPr="0031675F">
              <w:rPr>
                <w:rFonts w:ascii="Calibri" w:eastAsia="Calibri" w:hAnsi="Calibri"/>
                <w:b/>
                <w:spacing w:val="-1"/>
                <w:sz w:val="18"/>
                <w:lang w:val="en-US"/>
              </w:rPr>
              <w:t>(ug/l)</w:t>
            </w:r>
          </w:p>
        </w:tc>
        <w:tc>
          <w:tcPr>
            <w:tcW w:w="850" w:type="dxa"/>
            <w:tcBorders>
              <w:top w:val="single" w:sz="5" w:space="0" w:color="000000"/>
              <w:left w:val="single" w:sz="5" w:space="0" w:color="000000"/>
              <w:bottom w:val="single" w:sz="5" w:space="0" w:color="000000"/>
              <w:right w:val="single" w:sz="5" w:space="0" w:color="000000"/>
            </w:tcBorders>
          </w:tcPr>
          <w:p w14:paraId="101654C7" w14:textId="77777777" w:rsidR="0031675F" w:rsidRPr="0031675F" w:rsidRDefault="0031675F" w:rsidP="0031675F">
            <w:pPr>
              <w:widowControl w:val="0"/>
              <w:spacing w:before="0" w:after="0" w:line="240" w:lineRule="auto"/>
              <w:rPr>
                <w:rFonts w:eastAsia="Arial" w:cs="Arial"/>
                <w:b/>
                <w:bCs/>
                <w:sz w:val="18"/>
                <w:szCs w:val="18"/>
                <w:lang w:val="en-US"/>
              </w:rPr>
            </w:pPr>
          </w:p>
          <w:p w14:paraId="43BEFDC8" w14:textId="77777777" w:rsidR="0031675F" w:rsidRPr="0031675F" w:rsidRDefault="0031675F" w:rsidP="0031675F">
            <w:pPr>
              <w:widowControl w:val="0"/>
              <w:spacing w:before="10" w:after="0" w:line="240" w:lineRule="auto"/>
              <w:rPr>
                <w:rFonts w:eastAsia="Arial" w:cs="Arial"/>
                <w:b/>
                <w:bCs/>
                <w:sz w:val="26"/>
                <w:szCs w:val="26"/>
                <w:lang w:val="en-US"/>
              </w:rPr>
            </w:pPr>
          </w:p>
          <w:p w14:paraId="111AB0EF" w14:textId="77777777" w:rsidR="0031675F" w:rsidRPr="0031675F" w:rsidRDefault="0031675F" w:rsidP="0031675F">
            <w:pPr>
              <w:widowControl w:val="0"/>
              <w:spacing w:before="0" w:after="0" w:line="240" w:lineRule="auto"/>
              <w:ind w:left="210" w:right="183" w:hanging="27"/>
              <w:rPr>
                <w:rFonts w:ascii="Calibri" w:eastAsia="Calibri" w:hAnsi="Calibri" w:cs="Calibri"/>
                <w:sz w:val="18"/>
                <w:szCs w:val="18"/>
                <w:lang w:val="en-US"/>
              </w:rPr>
            </w:pPr>
            <w:r w:rsidRPr="0031675F">
              <w:rPr>
                <w:rFonts w:ascii="Calibri" w:eastAsia="Calibri" w:hAnsi="Calibri"/>
                <w:b/>
                <w:spacing w:val="-1"/>
                <w:sz w:val="18"/>
                <w:lang w:val="en-US"/>
              </w:rPr>
              <w:t>Phaeo</w:t>
            </w:r>
            <w:r w:rsidRPr="0031675F">
              <w:rPr>
                <w:rFonts w:ascii="Calibri" w:eastAsia="Calibri" w:hAnsi="Calibri"/>
                <w:b/>
                <w:spacing w:val="20"/>
                <w:w w:val="99"/>
                <w:sz w:val="18"/>
                <w:lang w:val="en-US"/>
              </w:rPr>
              <w:t xml:space="preserve"> </w:t>
            </w:r>
            <w:r w:rsidRPr="0031675F">
              <w:rPr>
                <w:rFonts w:ascii="Calibri" w:eastAsia="Calibri" w:hAnsi="Calibri"/>
                <w:b/>
                <w:spacing w:val="-1"/>
                <w:sz w:val="18"/>
                <w:lang w:val="en-US"/>
              </w:rPr>
              <w:t>(ug/l)</w:t>
            </w:r>
          </w:p>
        </w:tc>
        <w:tc>
          <w:tcPr>
            <w:tcW w:w="711" w:type="dxa"/>
            <w:tcBorders>
              <w:top w:val="single" w:sz="5" w:space="0" w:color="000000"/>
              <w:left w:val="single" w:sz="5" w:space="0" w:color="000000"/>
              <w:bottom w:val="single" w:sz="5" w:space="0" w:color="000000"/>
              <w:right w:val="single" w:sz="5" w:space="0" w:color="000000"/>
            </w:tcBorders>
          </w:tcPr>
          <w:p w14:paraId="48027B0B" w14:textId="77777777" w:rsidR="0031675F" w:rsidRPr="0031675F" w:rsidRDefault="0031675F" w:rsidP="0031675F">
            <w:pPr>
              <w:widowControl w:val="0"/>
              <w:spacing w:before="0" w:after="0" w:line="240" w:lineRule="auto"/>
              <w:rPr>
                <w:rFonts w:eastAsia="Arial" w:cs="Arial"/>
                <w:b/>
                <w:bCs/>
                <w:sz w:val="18"/>
                <w:szCs w:val="18"/>
                <w:lang w:val="en-US"/>
              </w:rPr>
            </w:pPr>
          </w:p>
          <w:p w14:paraId="22373402" w14:textId="77777777" w:rsidR="0031675F" w:rsidRPr="0031675F" w:rsidRDefault="0031675F" w:rsidP="0031675F">
            <w:pPr>
              <w:widowControl w:val="0"/>
              <w:spacing w:before="10" w:after="0" w:line="240" w:lineRule="auto"/>
              <w:rPr>
                <w:rFonts w:eastAsia="Arial" w:cs="Arial"/>
                <w:b/>
                <w:bCs/>
                <w:sz w:val="26"/>
                <w:szCs w:val="26"/>
                <w:lang w:val="en-US"/>
              </w:rPr>
            </w:pPr>
          </w:p>
          <w:p w14:paraId="3AD2F07E" w14:textId="77777777" w:rsidR="0031675F" w:rsidRPr="0031675F" w:rsidRDefault="0031675F" w:rsidP="0031675F">
            <w:pPr>
              <w:widowControl w:val="0"/>
              <w:spacing w:before="0" w:after="0" w:line="240" w:lineRule="auto"/>
              <w:ind w:left="167" w:right="165" w:hanging="3"/>
              <w:rPr>
                <w:rFonts w:ascii="Calibri" w:eastAsia="Calibri" w:hAnsi="Calibri" w:cs="Calibri"/>
                <w:sz w:val="18"/>
                <w:szCs w:val="18"/>
                <w:lang w:val="en-US"/>
              </w:rPr>
            </w:pPr>
            <w:r w:rsidRPr="0031675F">
              <w:rPr>
                <w:rFonts w:ascii="Calibri" w:eastAsia="Calibri" w:hAnsi="Calibri"/>
                <w:b/>
                <w:spacing w:val="-1"/>
                <w:sz w:val="18"/>
                <w:lang w:val="en-US"/>
              </w:rPr>
              <w:t>Calib</w:t>
            </w:r>
            <w:r w:rsidRPr="0031675F">
              <w:rPr>
                <w:rFonts w:ascii="Calibri" w:eastAsia="Calibri" w:hAnsi="Calibri"/>
                <w:b/>
                <w:spacing w:val="22"/>
                <w:w w:val="99"/>
                <w:sz w:val="18"/>
                <w:lang w:val="en-US"/>
              </w:rPr>
              <w:t xml:space="preserve"> </w:t>
            </w:r>
            <w:r w:rsidRPr="0031675F">
              <w:rPr>
                <w:rFonts w:ascii="Calibri" w:eastAsia="Calibri" w:hAnsi="Calibri"/>
                <w:b/>
                <w:spacing w:val="-1"/>
                <w:sz w:val="18"/>
                <w:lang w:val="en-US"/>
              </w:rPr>
              <w:t>Std</w:t>
            </w:r>
            <w:r w:rsidRPr="0031675F">
              <w:rPr>
                <w:rFonts w:ascii="Calibri" w:eastAsia="Calibri" w:hAnsi="Calibri"/>
                <w:b/>
                <w:spacing w:val="-5"/>
                <w:sz w:val="18"/>
                <w:lang w:val="en-US"/>
              </w:rPr>
              <w:t xml:space="preserve"> </w:t>
            </w:r>
            <w:r w:rsidRPr="0031675F">
              <w:rPr>
                <w:rFonts w:ascii="Calibri" w:eastAsia="Calibri" w:hAnsi="Calibri"/>
                <w:b/>
                <w:sz w:val="18"/>
                <w:lang w:val="en-US"/>
              </w:rPr>
              <w:t>L</w:t>
            </w:r>
          </w:p>
        </w:tc>
      </w:tr>
      <w:tr w:rsidR="0031675F" w:rsidRPr="0031675F" w14:paraId="2840B2A4" w14:textId="77777777" w:rsidTr="00B00729">
        <w:trPr>
          <w:trHeight w:hRule="exact" w:val="389"/>
        </w:trPr>
        <w:tc>
          <w:tcPr>
            <w:tcW w:w="953" w:type="dxa"/>
            <w:tcBorders>
              <w:top w:val="single" w:sz="5" w:space="0" w:color="000000"/>
              <w:left w:val="single" w:sz="5" w:space="0" w:color="000000"/>
              <w:bottom w:val="single" w:sz="5" w:space="0" w:color="000000"/>
              <w:right w:val="single" w:sz="5" w:space="0" w:color="000000"/>
            </w:tcBorders>
          </w:tcPr>
          <w:p w14:paraId="23CBF3C6" w14:textId="77777777" w:rsidR="0031675F" w:rsidRPr="0031675F" w:rsidRDefault="0031675F" w:rsidP="0031675F"/>
        </w:tc>
        <w:tc>
          <w:tcPr>
            <w:tcW w:w="780" w:type="dxa"/>
            <w:tcBorders>
              <w:top w:val="single" w:sz="5" w:space="0" w:color="000000"/>
              <w:left w:val="single" w:sz="5" w:space="0" w:color="000000"/>
              <w:bottom w:val="single" w:sz="5" w:space="0" w:color="000000"/>
              <w:right w:val="single" w:sz="5" w:space="0" w:color="000000"/>
            </w:tcBorders>
          </w:tcPr>
          <w:p w14:paraId="6253B1DE" w14:textId="77777777" w:rsidR="0031675F" w:rsidRPr="0031675F" w:rsidRDefault="0031675F" w:rsidP="0031675F">
            <w:pPr>
              <w:widowControl w:val="0"/>
              <w:spacing w:before="80" w:after="0" w:line="240" w:lineRule="auto"/>
              <w:ind w:right="5"/>
              <w:jc w:val="center"/>
              <w:rPr>
                <w:rFonts w:ascii="Calibri" w:eastAsia="Calibri" w:hAnsi="Calibri" w:cs="Calibri"/>
                <w:sz w:val="18"/>
                <w:szCs w:val="18"/>
                <w:lang w:val="en-US"/>
              </w:rPr>
            </w:pPr>
            <w:r w:rsidRPr="0031675F">
              <w:rPr>
                <w:rFonts w:ascii="Calibri" w:eastAsia="Calibri" w:hAnsi="Calibri"/>
                <w:sz w:val="18"/>
                <w:lang w:val="en-US"/>
              </w:rPr>
              <w:t>0</w:t>
            </w:r>
          </w:p>
        </w:tc>
        <w:tc>
          <w:tcPr>
            <w:tcW w:w="607" w:type="dxa"/>
            <w:tcBorders>
              <w:top w:val="single" w:sz="5" w:space="0" w:color="000000"/>
              <w:left w:val="single" w:sz="5" w:space="0" w:color="000000"/>
              <w:bottom w:val="single" w:sz="5" w:space="0" w:color="000000"/>
              <w:right w:val="single" w:sz="5" w:space="0" w:color="000000"/>
            </w:tcBorders>
          </w:tcPr>
          <w:p w14:paraId="3FDB81AB" w14:textId="77777777" w:rsidR="0031675F" w:rsidRPr="0031675F" w:rsidRDefault="0031675F" w:rsidP="0031675F">
            <w:pPr>
              <w:widowControl w:val="0"/>
              <w:spacing w:before="80" w:after="0" w:line="240" w:lineRule="auto"/>
              <w:ind w:right="102"/>
              <w:jc w:val="right"/>
              <w:rPr>
                <w:rFonts w:ascii="Calibri" w:eastAsia="Calibri" w:hAnsi="Calibri" w:cs="Calibri"/>
                <w:sz w:val="18"/>
                <w:szCs w:val="18"/>
                <w:lang w:val="en-US"/>
              </w:rPr>
            </w:pPr>
            <w:r w:rsidRPr="0031675F">
              <w:rPr>
                <w:rFonts w:ascii="Calibri" w:eastAsia="Calibri" w:hAnsi="Calibri"/>
                <w:w w:val="95"/>
                <w:sz w:val="18"/>
                <w:lang w:val="en-US"/>
              </w:rPr>
              <w:t>1</w:t>
            </w:r>
          </w:p>
        </w:tc>
        <w:tc>
          <w:tcPr>
            <w:tcW w:w="1346" w:type="dxa"/>
            <w:tcBorders>
              <w:top w:val="single" w:sz="5" w:space="0" w:color="000000"/>
              <w:left w:val="single" w:sz="5" w:space="0" w:color="000000"/>
              <w:bottom w:val="single" w:sz="5" w:space="0" w:color="000000"/>
              <w:right w:val="single" w:sz="5" w:space="0" w:color="000000"/>
            </w:tcBorders>
          </w:tcPr>
          <w:p w14:paraId="630A45CD" w14:textId="77777777" w:rsidR="0031675F" w:rsidRPr="0031675F" w:rsidRDefault="0031675F" w:rsidP="0031675F">
            <w:pPr>
              <w:widowControl w:val="0"/>
              <w:spacing w:before="80" w:after="0" w:line="240" w:lineRule="auto"/>
              <w:ind w:left="502"/>
              <w:rPr>
                <w:rFonts w:ascii="Calibri" w:eastAsia="Calibri" w:hAnsi="Calibri" w:cs="Calibri"/>
                <w:sz w:val="18"/>
                <w:szCs w:val="18"/>
                <w:lang w:val="en-US"/>
              </w:rPr>
            </w:pPr>
            <w:r w:rsidRPr="0031675F">
              <w:rPr>
                <w:rFonts w:ascii="Calibri" w:eastAsia="Calibri" w:hAnsi="Calibri"/>
                <w:spacing w:val="-1"/>
                <w:sz w:val="18"/>
                <w:lang w:val="en-US"/>
              </w:rPr>
              <w:t>27-Oct-04</w:t>
            </w:r>
          </w:p>
        </w:tc>
        <w:tc>
          <w:tcPr>
            <w:tcW w:w="759" w:type="dxa"/>
            <w:tcBorders>
              <w:top w:val="single" w:sz="5" w:space="0" w:color="000000"/>
              <w:left w:val="single" w:sz="5" w:space="0" w:color="000000"/>
              <w:bottom w:val="single" w:sz="5" w:space="0" w:color="000000"/>
              <w:right w:val="single" w:sz="5" w:space="0" w:color="000000"/>
            </w:tcBorders>
          </w:tcPr>
          <w:p w14:paraId="1C24AAA8" w14:textId="77777777" w:rsidR="0031675F" w:rsidRPr="0031675F" w:rsidRDefault="0031675F" w:rsidP="0031675F">
            <w:pPr>
              <w:widowControl w:val="0"/>
              <w:spacing w:before="80" w:after="0" w:line="240" w:lineRule="auto"/>
              <w:ind w:left="234"/>
              <w:rPr>
                <w:rFonts w:ascii="Calibri" w:eastAsia="Calibri" w:hAnsi="Calibri" w:cs="Calibri"/>
                <w:sz w:val="18"/>
                <w:szCs w:val="18"/>
                <w:lang w:val="en-US"/>
              </w:rPr>
            </w:pPr>
            <w:r w:rsidRPr="0031675F">
              <w:rPr>
                <w:rFonts w:ascii="Calibri" w:eastAsia="Calibri" w:hAnsi="Calibri"/>
                <w:sz w:val="18"/>
                <w:lang w:val="en-US"/>
              </w:rPr>
              <w:t>0.033</w:t>
            </w:r>
          </w:p>
        </w:tc>
        <w:tc>
          <w:tcPr>
            <w:tcW w:w="919" w:type="dxa"/>
            <w:tcBorders>
              <w:top w:val="single" w:sz="5" w:space="0" w:color="000000"/>
              <w:left w:val="single" w:sz="5" w:space="0" w:color="000000"/>
              <w:bottom w:val="single" w:sz="5" w:space="0" w:color="000000"/>
              <w:right w:val="single" w:sz="5" w:space="0" w:color="000000"/>
            </w:tcBorders>
          </w:tcPr>
          <w:p w14:paraId="45B3B90F" w14:textId="77777777" w:rsidR="0031675F" w:rsidRPr="0031675F" w:rsidRDefault="0031675F" w:rsidP="0031675F">
            <w:pPr>
              <w:widowControl w:val="0"/>
              <w:spacing w:before="80" w:after="0" w:line="240" w:lineRule="auto"/>
              <w:jc w:val="center"/>
              <w:rPr>
                <w:rFonts w:ascii="Calibri" w:eastAsia="Calibri" w:hAnsi="Calibri" w:cs="Calibri"/>
                <w:sz w:val="18"/>
                <w:szCs w:val="18"/>
                <w:lang w:val="en-US"/>
              </w:rPr>
            </w:pPr>
            <w:r w:rsidRPr="0031675F">
              <w:rPr>
                <w:rFonts w:ascii="Calibri" w:eastAsia="Calibri" w:hAnsi="Calibri"/>
                <w:spacing w:val="-1"/>
                <w:sz w:val="18"/>
                <w:lang w:val="en-US"/>
              </w:rPr>
              <w:t>100</w:t>
            </w:r>
          </w:p>
        </w:tc>
        <w:tc>
          <w:tcPr>
            <w:tcW w:w="919" w:type="dxa"/>
            <w:tcBorders>
              <w:top w:val="single" w:sz="5" w:space="0" w:color="000000"/>
              <w:left w:val="single" w:sz="5" w:space="0" w:color="000000"/>
              <w:bottom w:val="single" w:sz="5" w:space="0" w:color="000000"/>
              <w:right w:val="single" w:sz="5" w:space="0" w:color="000000"/>
            </w:tcBorders>
          </w:tcPr>
          <w:p w14:paraId="1ACF5FF9" w14:textId="77777777" w:rsidR="0031675F" w:rsidRPr="0031675F" w:rsidRDefault="0031675F" w:rsidP="0031675F">
            <w:pPr>
              <w:widowControl w:val="0"/>
              <w:spacing w:before="80" w:after="0" w:line="240" w:lineRule="auto"/>
              <w:jc w:val="center"/>
              <w:rPr>
                <w:rFonts w:ascii="Calibri" w:eastAsia="Calibri" w:hAnsi="Calibri" w:cs="Calibri"/>
                <w:sz w:val="18"/>
                <w:szCs w:val="18"/>
                <w:lang w:val="en-US"/>
              </w:rPr>
            </w:pPr>
            <w:r w:rsidRPr="0031675F">
              <w:rPr>
                <w:rFonts w:ascii="Calibri" w:eastAsia="Calibri" w:hAnsi="Calibri"/>
                <w:spacing w:val="-1"/>
                <w:sz w:val="18"/>
                <w:lang w:val="en-US"/>
              </w:rPr>
              <w:t>10</w:t>
            </w:r>
          </w:p>
        </w:tc>
        <w:tc>
          <w:tcPr>
            <w:tcW w:w="938" w:type="dxa"/>
            <w:tcBorders>
              <w:top w:val="single" w:sz="5" w:space="0" w:color="000000"/>
              <w:left w:val="single" w:sz="5" w:space="0" w:color="000000"/>
              <w:bottom w:val="single" w:sz="5" w:space="0" w:color="000000"/>
              <w:right w:val="single" w:sz="5" w:space="0" w:color="000000"/>
            </w:tcBorders>
          </w:tcPr>
          <w:p w14:paraId="20A1A009" w14:textId="77777777" w:rsidR="0031675F" w:rsidRPr="0031675F" w:rsidRDefault="0031675F" w:rsidP="0031675F">
            <w:pPr>
              <w:widowControl w:val="0"/>
              <w:spacing w:before="80" w:after="0" w:line="240" w:lineRule="auto"/>
              <w:jc w:val="center"/>
              <w:rPr>
                <w:rFonts w:ascii="Calibri" w:eastAsia="Calibri" w:hAnsi="Calibri" w:cs="Calibri"/>
                <w:sz w:val="18"/>
                <w:szCs w:val="18"/>
                <w:lang w:val="en-US"/>
              </w:rPr>
            </w:pPr>
            <w:r w:rsidRPr="0031675F">
              <w:rPr>
                <w:rFonts w:ascii="Calibri" w:eastAsia="Calibri" w:hAnsi="Calibri"/>
                <w:sz w:val="18"/>
                <w:lang w:val="en-US"/>
              </w:rPr>
              <w:t>1</w:t>
            </w:r>
          </w:p>
        </w:tc>
        <w:tc>
          <w:tcPr>
            <w:tcW w:w="1210" w:type="dxa"/>
            <w:tcBorders>
              <w:top w:val="single" w:sz="5" w:space="0" w:color="000000"/>
              <w:left w:val="single" w:sz="5" w:space="0" w:color="000000"/>
              <w:bottom w:val="single" w:sz="5" w:space="0" w:color="000000"/>
              <w:right w:val="single" w:sz="5" w:space="0" w:color="000000"/>
            </w:tcBorders>
          </w:tcPr>
          <w:p w14:paraId="7385452B" w14:textId="77777777" w:rsidR="0031675F" w:rsidRPr="0031675F" w:rsidRDefault="0031675F" w:rsidP="0031675F">
            <w:pPr>
              <w:widowControl w:val="0"/>
              <w:spacing w:before="80"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new16</w:t>
            </w:r>
          </w:p>
        </w:tc>
        <w:tc>
          <w:tcPr>
            <w:tcW w:w="720" w:type="dxa"/>
            <w:tcBorders>
              <w:top w:val="single" w:sz="5" w:space="0" w:color="000000"/>
              <w:left w:val="single" w:sz="5" w:space="0" w:color="000000"/>
              <w:bottom w:val="single" w:sz="5" w:space="0" w:color="000000"/>
              <w:right w:val="single" w:sz="5" w:space="0" w:color="000000"/>
            </w:tcBorders>
          </w:tcPr>
          <w:p w14:paraId="5ABB82E6" w14:textId="77777777" w:rsidR="0031675F" w:rsidRPr="0031675F" w:rsidRDefault="0031675F" w:rsidP="0031675F">
            <w:pPr>
              <w:widowControl w:val="0"/>
              <w:spacing w:before="80" w:after="0" w:line="240" w:lineRule="auto"/>
              <w:ind w:left="193"/>
              <w:rPr>
                <w:rFonts w:ascii="Calibri" w:eastAsia="Calibri" w:hAnsi="Calibri" w:cs="Calibri"/>
                <w:sz w:val="18"/>
                <w:szCs w:val="18"/>
                <w:lang w:val="en-US"/>
              </w:rPr>
            </w:pPr>
            <w:r w:rsidRPr="0031675F">
              <w:rPr>
                <w:rFonts w:ascii="Calibri" w:eastAsia="Calibri" w:hAnsi="Calibri"/>
                <w:sz w:val="18"/>
                <w:lang w:val="en-US"/>
              </w:rPr>
              <w:t>0.639</w:t>
            </w:r>
          </w:p>
        </w:tc>
        <w:tc>
          <w:tcPr>
            <w:tcW w:w="718" w:type="dxa"/>
            <w:tcBorders>
              <w:top w:val="single" w:sz="5" w:space="0" w:color="000000"/>
              <w:left w:val="single" w:sz="5" w:space="0" w:color="000000"/>
              <w:bottom w:val="single" w:sz="5" w:space="0" w:color="000000"/>
              <w:right w:val="single" w:sz="5" w:space="0" w:color="000000"/>
            </w:tcBorders>
          </w:tcPr>
          <w:p w14:paraId="66998A31" w14:textId="77777777" w:rsidR="0031675F" w:rsidRPr="0031675F" w:rsidRDefault="0031675F" w:rsidP="0031675F">
            <w:pPr>
              <w:widowControl w:val="0"/>
              <w:spacing w:before="80" w:after="0" w:line="240" w:lineRule="auto"/>
              <w:ind w:left="190"/>
              <w:rPr>
                <w:rFonts w:ascii="Calibri" w:eastAsia="Calibri" w:hAnsi="Calibri" w:cs="Calibri"/>
                <w:sz w:val="18"/>
                <w:szCs w:val="18"/>
                <w:lang w:val="en-US"/>
              </w:rPr>
            </w:pPr>
            <w:r w:rsidRPr="0031675F">
              <w:rPr>
                <w:rFonts w:ascii="Calibri" w:eastAsia="Calibri" w:hAnsi="Calibri"/>
                <w:sz w:val="18"/>
                <w:lang w:val="en-US"/>
              </w:rPr>
              <w:t>0.388</w:t>
            </w:r>
          </w:p>
        </w:tc>
        <w:tc>
          <w:tcPr>
            <w:tcW w:w="1078" w:type="dxa"/>
            <w:tcBorders>
              <w:top w:val="single" w:sz="5" w:space="0" w:color="000000"/>
              <w:left w:val="single" w:sz="5" w:space="0" w:color="000000"/>
              <w:bottom w:val="single" w:sz="5" w:space="0" w:color="000000"/>
              <w:right w:val="single" w:sz="5" w:space="0" w:color="000000"/>
            </w:tcBorders>
          </w:tcPr>
          <w:p w14:paraId="2B57756F" w14:textId="77777777" w:rsidR="0031675F" w:rsidRPr="0031675F" w:rsidRDefault="0031675F" w:rsidP="0031675F">
            <w:pPr>
              <w:widowControl w:val="0"/>
              <w:spacing w:before="80" w:after="0" w:line="240" w:lineRule="auto"/>
              <w:ind w:left="553"/>
              <w:rPr>
                <w:rFonts w:ascii="Calibri" w:eastAsia="Calibri" w:hAnsi="Calibri" w:cs="Calibri"/>
                <w:sz w:val="18"/>
                <w:szCs w:val="18"/>
                <w:lang w:val="en-US"/>
              </w:rPr>
            </w:pPr>
            <w:r w:rsidRPr="0031675F">
              <w:rPr>
                <w:rFonts w:ascii="Calibri" w:eastAsia="Calibri" w:hAnsi="Calibri"/>
                <w:sz w:val="18"/>
                <w:lang w:val="en-US"/>
              </w:rPr>
              <w:t>0.606</w:t>
            </w:r>
          </w:p>
        </w:tc>
        <w:tc>
          <w:tcPr>
            <w:tcW w:w="1070" w:type="dxa"/>
            <w:tcBorders>
              <w:top w:val="single" w:sz="5" w:space="0" w:color="000000"/>
              <w:left w:val="single" w:sz="5" w:space="0" w:color="000000"/>
              <w:bottom w:val="single" w:sz="5" w:space="0" w:color="000000"/>
              <w:right w:val="single" w:sz="5" w:space="0" w:color="000000"/>
            </w:tcBorders>
          </w:tcPr>
          <w:p w14:paraId="5540F1EC" w14:textId="77777777" w:rsidR="0031675F" w:rsidRPr="0031675F" w:rsidRDefault="0031675F" w:rsidP="0031675F">
            <w:pPr>
              <w:widowControl w:val="0"/>
              <w:spacing w:before="80" w:after="0" w:line="240" w:lineRule="auto"/>
              <w:ind w:left="546"/>
              <w:rPr>
                <w:rFonts w:ascii="Calibri" w:eastAsia="Calibri" w:hAnsi="Calibri" w:cs="Calibri"/>
                <w:sz w:val="18"/>
                <w:szCs w:val="18"/>
                <w:lang w:val="en-US"/>
              </w:rPr>
            </w:pPr>
            <w:r w:rsidRPr="0031675F">
              <w:rPr>
                <w:rFonts w:ascii="Calibri" w:eastAsia="Calibri" w:hAnsi="Calibri"/>
                <w:sz w:val="18"/>
                <w:lang w:val="en-US"/>
              </w:rPr>
              <w:t>0.355</w:t>
            </w:r>
          </w:p>
        </w:tc>
        <w:tc>
          <w:tcPr>
            <w:tcW w:w="852" w:type="dxa"/>
            <w:tcBorders>
              <w:top w:val="single" w:sz="5" w:space="0" w:color="000000"/>
              <w:left w:val="single" w:sz="5" w:space="0" w:color="000000"/>
              <w:bottom w:val="single" w:sz="5" w:space="0" w:color="000000"/>
              <w:right w:val="single" w:sz="5" w:space="0" w:color="000000"/>
            </w:tcBorders>
          </w:tcPr>
          <w:p w14:paraId="378DD954" w14:textId="77777777" w:rsidR="0031675F" w:rsidRPr="0031675F" w:rsidRDefault="0031675F" w:rsidP="0031675F">
            <w:pPr>
              <w:widowControl w:val="0"/>
              <w:spacing w:before="80" w:after="0" w:line="240" w:lineRule="auto"/>
              <w:ind w:left="258"/>
              <w:rPr>
                <w:rFonts w:ascii="Calibri" w:eastAsia="Calibri" w:hAnsi="Calibri" w:cs="Calibri"/>
                <w:sz w:val="18"/>
                <w:szCs w:val="18"/>
                <w:lang w:val="en-US"/>
              </w:rPr>
            </w:pPr>
            <w:r w:rsidRPr="0031675F">
              <w:rPr>
                <w:rFonts w:ascii="Calibri" w:eastAsia="Calibri" w:hAnsi="Calibri"/>
                <w:b/>
                <w:spacing w:val="-1"/>
                <w:sz w:val="18"/>
                <w:lang w:val="en-US"/>
              </w:rPr>
              <w:t>0.79</w:t>
            </w:r>
          </w:p>
        </w:tc>
        <w:tc>
          <w:tcPr>
            <w:tcW w:w="850" w:type="dxa"/>
            <w:tcBorders>
              <w:top w:val="single" w:sz="5" w:space="0" w:color="000000"/>
              <w:left w:val="single" w:sz="5" w:space="0" w:color="000000"/>
              <w:bottom w:val="single" w:sz="5" w:space="0" w:color="000000"/>
              <w:right w:val="single" w:sz="5" w:space="0" w:color="000000"/>
            </w:tcBorders>
          </w:tcPr>
          <w:p w14:paraId="57D74940" w14:textId="77777777" w:rsidR="0031675F" w:rsidRPr="0031675F" w:rsidRDefault="0031675F" w:rsidP="0031675F">
            <w:pPr>
              <w:widowControl w:val="0"/>
              <w:spacing w:before="80" w:after="0" w:line="240" w:lineRule="auto"/>
              <w:ind w:left="258"/>
              <w:rPr>
                <w:rFonts w:ascii="Calibri" w:eastAsia="Calibri" w:hAnsi="Calibri" w:cs="Calibri"/>
                <w:sz w:val="18"/>
                <w:szCs w:val="18"/>
                <w:lang w:val="en-US"/>
              </w:rPr>
            </w:pPr>
            <w:r w:rsidRPr="0031675F">
              <w:rPr>
                <w:rFonts w:ascii="Calibri" w:eastAsia="Calibri" w:hAnsi="Calibri"/>
                <w:b/>
                <w:spacing w:val="-1"/>
                <w:sz w:val="18"/>
                <w:lang w:val="en-US"/>
              </w:rPr>
              <w:t>0.55</w:t>
            </w:r>
          </w:p>
        </w:tc>
        <w:tc>
          <w:tcPr>
            <w:tcW w:w="711" w:type="dxa"/>
            <w:tcBorders>
              <w:top w:val="single" w:sz="5" w:space="0" w:color="000000"/>
              <w:left w:val="single" w:sz="5" w:space="0" w:color="000000"/>
              <w:bottom w:val="single" w:sz="5" w:space="0" w:color="000000"/>
              <w:right w:val="single" w:sz="5" w:space="0" w:color="000000"/>
            </w:tcBorders>
          </w:tcPr>
          <w:p w14:paraId="7921FF01" w14:textId="77777777" w:rsidR="0031675F" w:rsidRPr="0031675F" w:rsidRDefault="0031675F" w:rsidP="0031675F">
            <w:pPr>
              <w:widowControl w:val="0"/>
              <w:spacing w:before="80" w:after="0" w:line="240" w:lineRule="auto"/>
              <w:ind w:left="275"/>
              <w:rPr>
                <w:rFonts w:ascii="Calibri" w:eastAsia="Calibri" w:hAnsi="Calibri" w:cs="Calibri"/>
                <w:sz w:val="18"/>
                <w:szCs w:val="18"/>
                <w:lang w:val="en-US"/>
              </w:rPr>
            </w:pPr>
            <w:r w:rsidRPr="0031675F">
              <w:rPr>
                <w:rFonts w:ascii="Calibri" w:eastAsia="Calibri" w:hAnsi="Calibri"/>
                <w:spacing w:val="-1"/>
                <w:sz w:val="18"/>
                <w:lang w:val="en-US"/>
              </w:rPr>
              <w:t>.977</w:t>
            </w:r>
          </w:p>
        </w:tc>
      </w:tr>
      <w:tr w:rsidR="0031675F" w:rsidRPr="0031675F" w14:paraId="5904F4D6" w14:textId="77777777" w:rsidTr="00B00729">
        <w:trPr>
          <w:trHeight w:hRule="exact" w:val="389"/>
        </w:trPr>
        <w:tc>
          <w:tcPr>
            <w:tcW w:w="953" w:type="dxa"/>
            <w:tcBorders>
              <w:top w:val="single" w:sz="5" w:space="0" w:color="000000"/>
              <w:left w:val="single" w:sz="5" w:space="0" w:color="000000"/>
              <w:bottom w:val="single" w:sz="5" w:space="0" w:color="000000"/>
              <w:right w:val="single" w:sz="5" w:space="0" w:color="000000"/>
            </w:tcBorders>
          </w:tcPr>
          <w:p w14:paraId="5511F8FF"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DGL030</w:t>
            </w:r>
          </w:p>
        </w:tc>
        <w:tc>
          <w:tcPr>
            <w:tcW w:w="780" w:type="dxa"/>
            <w:tcBorders>
              <w:top w:val="single" w:sz="5" w:space="0" w:color="000000"/>
              <w:left w:val="single" w:sz="5" w:space="0" w:color="000000"/>
              <w:bottom w:val="single" w:sz="5" w:space="0" w:color="000000"/>
              <w:right w:val="single" w:sz="5" w:space="0" w:color="000000"/>
            </w:tcBorders>
          </w:tcPr>
          <w:p w14:paraId="2D8A2A0D" w14:textId="77777777" w:rsidR="0031675F" w:rsidRPr="0031675F" w:rsidRDefault="0031675F" w:rsidP="0031675F">
            <w:pPr>
              <w:widowControl w:val="0"/>
              <w:spacing w:before="79" w:after="0" w:line="240" w:lineRule="auto"/>
              <w:ind w:right="5"/>
              <w:jc w:val="center"/>
              <w:rPr>
                <w:rFonts w:ascii="Calibri" w:eastAsia="Calibri" w:hAnsi="Calibri" w:cs="Calibri"/>
                <w:sz w:val="18"/>
                <w:szCs w:val="18"/>
                <w:lang w:val="en-US"/>
              </w:rPr>
            </w:pPr>
            <w:r w:rsidRPr="0031675F">
              <w:rPr>
                <w:rFonts w:ascii="Calibri" w:eastAsia="Calibri" w:hAnsi="Calibri"/>
                <w:sz w:val="18"/>
                <w:lang w:val="en-US"/>
              </w:rPr>
              <w:t>0</w:t>
            </w:r>
          </w:p>
        </w:tc>
        <w:tc>
          <w:tcPr>
            <w:tcW w:w="607" w:type="dxa"/>
            <w:tcBorders>
              <w:top w:val="single" w:sz="5" w:space="0" w:color="000000"/>
              <w:left w:val="single" w:sz="5" w:space="0" w:color="000000"/>
              <w:bottom w:val="single" w:sz="5" w:space="0" w:color="000000"/>
              <w:right w:val="single" w:sz="5" w:space="0" w:color="000000"/>
            </w:tcBorders>
          </w:tcPr>
          <w:p w14:paraId="287BFF47" w14:textId="77777777" w:rsidR="0031675F" w:rsidRPr="0031675F" w:rsidRDefault="0031675F" w:rsidP="0031675F">
            <w:pPr>
              <w:widowControl w:val="0"/>
              <w:spacing w:before="79" w:after="0" w:line="240" w:lineRule="auto"/>
              <w:ind w:right="102"/>
              <w:jc w:val="right"/>
              <w:rPr>
                <w:rFonts w:ascii="Calibri" w:eastAsia="Calibri" w:hAnsi="Calibri" w:cs="Calibri"/>
                <w:sz w:val="18"/>
                <w:szCs w:val="18"/>
                <w:lang w:val="en-US"/>
              </w:rPr>
            </w:pPr>
            <w:r w:rsidRPr="0031675F">
              <w:rPr>
                <w:rFonts w:ascii="Calibri" w:eastAsia="Calibri" w:hAnsi="Calibri"/>
                <w:w w:val="95"/>
                <w:sz w:val="18"/>
                <w:lang w:val="en-US"/>
              </w:rPr>
              <w:t>2</w:t>
            </w:r>
          </w:p>
        </w:tc>
        <w:tc>
          <w:tcPr>
            <w:tcW w:w="1346" w:type="dxa"/>
            <w:tcBorders>
              <w:top w:val="single" w:sz="5" w:space="0" w:color="000000"/>
              <w:left w:val="single" w:sz="5" w:space="0" w:color="000000"/>
              <w:bottom w:val="single" w:sz="5" w:space="0" w:color="000000"/>
              <w:right w:val="single" w:sz="5" w:space="0" w:color="000000"/>
            </w:tcBorders>
          </w:tcPr>
          <w:p w14:paraId="37FD165E" w14:textId="77777777" w:rsidR="0031675F" w:rsidRPr="0031675F" w:rsidRDefault="0031675F" w:rsidP="0031675F">
            <w:pPr>
              <w:widowControl w:val="0"/>
              <w:spacing w:before="79" w:after="0" w:line="240" w:lineRule="auto"/>
              <w:ind w:left="502"/>
              <w:rPr>
                <w:rFonts w:ascii="Calibri" w:eastAsia="Calibri" w:hAnsi="Calibri" w:cs="Calibri"/>
                <w:sz w:val="18"/>
                <w:szCs w:val="18"/>
                <w:lang w:val="en-US"/>
              </w:rPr>
            </w:pPr>
            <w:r w:rsidRPr="0031675F">
              <w:rPr>
                <w:rFonts w:ascii="Calibri" w:eastAsia="Calibri" w:hAnsi="Calibri"/>
                <w:spacing w:val="-1"/>
                <w:sz w:val="18"/>
                <w:lang w:val="en-US"/>
              </w:rPr>
              <w:t>27-Oct-04</w:t>
            </w:r>
          </w:p>
        </w:tc>
        <w:tc>
          <w:tcPr>
            <w:tcW w:w="759" w:type="dxa"/>
            <w:tcBorders>
              <w:top w:val="single" w:sz="5" w:space="0" w:color="000000"/>
              <w:left w:val="single" w:sz="5" w:space="0" w:color="000000"/>
              <w:bottom w:val="single" w:sz="5" w:space="0" w:color="000000"/>
              <w:right w:val="single" w:sz="5" w:space="0" w:color="000000"/>
            </w:tcBorders>
          </w:tcPr>
          <w:p w14:paraId="034FEA3F" w14:textId="77777777" w:rsidR="0031675F" w:rsidRPr="0031675F" w:rsidRDefault="0031675F" w:rsidP="0031675F">
            <w:pPr>
              <w:widowControl w:val="0"/>
              <w:spacing w:before="79" w:after="0" w:line="240" w:lineRule="auto"/>
              <w:ind w:left="234"/>
              <w:rPr>
                <w:rFonts w:ascii="Calibri" w:eastAsia="Calibri" w:hAnsi="Calibri" w:cs="Calibri"/>
                <w:sz w:val="18"/>
                <w:szCs w:val="18"/>
                <w:lang w:val="en-US"/>
              </w:rPr>
            </w:pPr>
            <w:r w:rsidRPr="0031675F">
              <w:rPr>
                <w:rFonts w:ascii="Calibri" w:eastAsia="Calibri" w:hAnsi="Calibri"/>
                <w:sz w:val="18"/>
                <w:lang w:val="en-US"/>
              </w:rPr>
              <w:t>0.033</w:t>
            </w:r>
          </w:p>
        </w:tc>
        <w:tc>
          <w:tcPr>
            <w:tcW w:w="919" w:type="dxa"/>
            <w:tcBorders>
              <w:top w:val="single" w:sz="5" w:space="0" w:color="000000"/>
              <w:left w:val="single" w:sz="5" w:space="0" w:color="000000"/>
              <w:bottom w:val="single" w:sz="5" w:space="0" w:color="000000"/>
              <w:right w:val="single" w:sz="5" w:space="0" w:color="000000"/>
            </w:tcBorders>
          </w:tcPr>
          <w:p w14:paraId="2BDA1B0D" w14:textId="77777777" w:rsidR="0031675F" w:rsidRPr="0031675F" w:rsidRDefault="0031675F" w:rsidP="0031675F">
            <w:pPr>
              <w:widowControl w:val="0"/>
              <w:spacing w:before="79" w:after="0" w:line="240" w:lineRule="auto"/>
              <w:jc w:val="center"/>
              <w:rPr>
                <w:rFonts w:ascii="Calibri" w:eastAsia="Calibri" w:hAnsi="Calibri" w:cs="Calibri"/>
                <w:sz w:val="18"/>
                <w:szCs w:val="18"/>
                <w:lang w:val="en-US"/>
              </w:rPr>
            </w:pPr>
            <w:r w:rsidRPr="0031675F">
              <w:rPr>
                <w:rFonts w:ascii="Calibri" w:eastAsia="Calibri" w:hAnsi="Calibri"/>
                <w:spacing w:val="-1"/>
                <w:sz w:val="18"/>
                <w:lang w:val="en-US"/>
              </w:rPr>
              <w:t>100</w:t>
            </w:r>
          </w:p>
        </w:tc>
        <w:tc>
          <w:tcPr>
            <w:tcW w:w="919" w:type="dxa"/>
            <w:tcBorders>
              <w:top w:val="single" w:sz="5" w:space="0" w:color="000000"/>
              <w:left w:val="single" w:sz="5" w:space="0" w:color="000000"/>
              <w:bottom w:val="single" w:sz="5" w:space="0" w:color="000000"/>
              <w:right w:val="single" w:sz="5" w:space="0" w:color="000000"/>
            </w:tcBorders>
          </w:tcPr>
          <w:p w14:paraId="694C82FC" w14:textId="77777777" w:rsidR="0031675F" w:rsidRPr="0031675F" w:rsidRDefault="0031675F" w:rsidP="0031675F">
            <w:pPr>
              <w:widowControl w:val="0"/>
              <w:spacing w:before="79" w:after="0" w:line="240" w:lineRule="auto"/>
              <w:jc w:val="center"/>
              <w:rPr>
                <w:rFonts w:ascii="Calibri" w:eastAsia="Calibri" w:hAnsi="Calibri" w:cs="Calibri"/>
                <w:sz w:val="18"/>
                <w:szCs w:val="18"/>
                <w:lang w:val="en-US"/>
              </w:rPr>
            </w:pPr>
            <w:r w:rsidRPr="0031675F">
              <w:rPr>
                <w:rFonts w:ascii="Calibri" w:eastAsia="Calibri" w:hAnsi="Calibri"/>
                <w:spacing w:val="-1"/>
                <w:sz w:val="18"/>
                <w:lang w:val="en-US"/>
              </w:rPr>
              <w:t>10</w:t>
            </w:r>
          </w:p>
        </w:tc>
        <w:tc>
          <w:tcPr>
            <w:tcW w:w="938" w:type="dxa"/>
            <w:tcBorders>
              <w:top w:val="single" w:sz="5" w:space="0" w:color="000000"/>
              <w:left w:val="single" w:sz="5" w:space="0" w:color="000000"/>
              <w:bottom w:val="single" w:sz="5" w:space="0" w:color="000000"/>
              <w:right w:val="single" w:sz="5" w:space="0" w:color="000000"/>
            </w:tcBorders>
          </w:tcPr>
          <w:p w14:paraId="3749F668" w14:textId="77777777" w:rsidR="0031675F" w:rsidRPr="0031675F" w:rsidRDefault="0031675F" w:rsidP="0031675F">
            <w:pPr>
              <w:widowControl w:val="0"/>
              <w:spacing w:before="79" w:after="0" w:line="240" w:lineRule="auto"/>
              <w:jc w:val="center"/>
              <w:rPr>
                <w:rFonts w:ascii="Calibri" w:eastAsia="Calibri" w:hAnsi="Calibri" w:cs="Calibri"/>
                <w:sz w:val="18"/>
                <w:szCs w:val="18"/>
                <w:lang w:val="en-US"/>
              </w:rPr>
            </w:pPr>
            <w:r w:rsidRPr="0031675F">
              <w:rPr>
                <w:rFonts w:ascii="Calibri" w:eastAsia="Calibri" w:hAnsi="Calibri"/>
                <w:sz w:val="18"/>
                <w:lang w:val="en-US"/>
              </w:rPr>
              <w:t>1</w:t>
            </w:r>
          </w:p>
        </w:tc>
        <w:tc>
          <w:tcPr>
            <w:tcW w:w="1210" w:type="dxa"/>
            <w:tcBorders>
              <w:top w:val="single" w:sz="5" w:space="0" w:color="000000"/>
              <w:left w:val="single" w:sz="5" w:space="0" w:color="000000"/>
              <w:bottom w:val="single" w:sz="5" w:space="0" w:color="000000"/>
              <w:right w:val="single" w:sz="5" w:space="0" w:color="000000"/>
            </w:tcBorders>
          </w:tcPr>
          <w:p w14:paraId="2B7ECD19"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new16</w:t>
            </w:r>
          </w:p>
        </w:tc>
        <w:tc>
          <w:tcPr>
            <w:tcW w:w="720" w:type="dxa"/>
            <w:tcBorders>
              <w:top w:val="single" w:sz="5" w:space="0" w:color="000000"/>
              <w:left w:val="single" w:sz="5" w:space="0" w:color="000000"/>
              <w:bottom w:val="single" w:sz="5" w:space="0" w:color="000000"/>
              <w:right w:val="single" w:sz="5" w:space="0" w:color="000000"/>
            </w:tcBorders>
          </w:tcPr>
          <w:p w14:paraId="3A8EFF57" w14:textId="77777777" w:rsidR="0031675F" w:rsidRPr="0031675F" w:rsidRDefault="0031675F" w:rsidP="0031675F">
            <w:pPr>
              <w:widowControl w:val="0"/>
              <w:spacing w:before="79" w:after="0" w:line="240" w:lineRule="auto"/>
              <w:ind w:left="193"/>
              <w:rPr>
                <w:rFonts w:ascii="Calibri" w:eastAsia="Calibri" w:hAnsi="Calibri" w:cs="Calibri"/>
                <w:sz w:val="18"/>
                <w:szCs w:val="18"/>
                <w:lang w:val="en-US"/>
              </w:rPr>
            </w:pPr>
            <w:r w:rsidRPr="0031675F">
              <w:rPr>
                <w:rFonts w:ascii="Calibri" w:eastAsia="Calibri" w:hAnsi="Calibri"/>
                <w:sz w:val="18"/>
                <w:lang w:val="en-US"/>
              </w:rPr>
              <w:t>0.613</w:t>
            </w:r>
          </w:p>
        </w:tc>
        <w:tc>
          <w:tcPr>
            <w:tcW w:w="718" w:type="dxa"/>
            <w:tcBorders>
              <w:top w:val="single" w:sz="5" w:space="0" w:color="000000"/>
              <w:left w:val="single" w:sz="5" w:space="0" w:color="000000"/>
              <w:bottom w:val="single" w:sz="5" w:space="0" w:color="000000"/>
              <w:right w:val="single" w:sz="5" w:space="0" w:color="000000"/>
            </w:tcBorders>
          </w:tcPr>
          <w:p w14:paraId="1AE67C7B" w14:textId="77777777" w:rsidR="0031675F" w:rsidRPr="0031675F" w:rsidRDefault="0031675F" w:rsidP="0031675F">
            <w:pPr>
              <w:widowControl w:val="0"/>
              <w:spacing w:before="79" w:after="0" w:line="240" w:lineRule="auto"/>
              <w:ind w:left="190"/>
              <w:rPr>
                <w:rFonts w:ascii="Calibri" w:eastAsia="Calibri" w:hAnsi="Calibri" w:cs="Calibri"/>
                <w:sz w:val="18"/>
                <w:szCs w:val="18"/>
                <w:lang w:val="en-US"/>
              </w:rPr>
            </w:pPr>
            <w:r w:rsidRPr="0031675F">
              <w:rPr>
                <w:rFonts w:ascii="Calibri" w:eastAsia="Calibri" w:hAnsi="Calibri"/>
                <w:sz w:val="18"/>
                <w:lang w:val="en-US"/>
              </w:rPr>
              <w:t>0.372</w:t>
            </w:r>
          </w:p>
        </w:tc>
        <w:tc>
          <w:tcPr>
            <w:tcW w:w="1078" w:type="dxa"/>
            <w:tcBorders>
              <w:top w:val="single" w:sz="5" w:space="0" w:color="000000"/>
              <w:left w:val="single" w:sz="5" w:space="0" w:color="000000"/>
              <w:bottom w:val="single" w:sz="5" w:space="0" w:color="000000"/>
              <w:right w:val="single" w:sz="5" w:space="0" w:color="000000"/>
            </w:tcBorders>
          </w:tcPr>
          <w:p w14:paraId="1742464A" w14:textId="77777777" w:rsidR="0031675F" w:rsidRPr="0031675F" w:rsidRDefault="0031675F" w:rsidP="0031675F">
            <w:pPr>
              <w:widowControl w:val="0"/>
              <w:spacing w:before="79" w:after="0" w:line="240" w:lineRule="auto"/>
              <w:ind w:left="644"/>
              <w:rPr>
                <w:rFonts w:ascii="Calibri" w:eastAsia="Calibri" w:hAnsi="Calibri" w:cs="Calibri"/>
                <w:sz w:val="18"/>
                <w:szCs w:val="18"/>
                <w:lang w:val="en-US"/>
              </w:rPr>
            </w:pPr>
            <w:r w:rsidRPr="0031675F">
              <w:rPr>
                <w:rFonts w:ascii="Calibri" w:eastAsia="Calibri" w:hAnsi="Calibri"/>
                <w:sz w:val="18"/>
                <w:lang w:val="en-US"/>
              </w:rPr>
              <w:t>0.58</w:t>
            </w:r>
          </w:p>
        </w:tc>
        <w:tc>
          <w:tcPr>
            <w:tcW w:w="1070" w:type="dxa"/>
            <w:tcBorders>
              <w:top w:val="single" w:sz="5" w:space="0" w:color="000000"/>
              <w:left w:val="single" w:sz="5" w:space="0" w:color="000000"/>
              <w:bottom w:val="single" w:sz="5" w:space="0" w:color="000000"/>
              <w:right w:val="single" w:sz="5" w:space="0" w:color="000000"/>
            </w:tcBorders>
          </w:tcPr>
          <w:p w14:paraId="648F42EC" w14:textId="77777777" w:rsidR="0031675F" w:rsidRPr="0031675F" w:rsidRDefault="0031675F" w:rsidP="0031675F">
            <w:pPr>
              <w:widowControl w:val="0"/>
              <w:spacing w:before="79" w:after="0" w:line="240" w:lineRule="auto"/>
              <w:ind w:left="546"/>
              <w:rPr>
                <w:rFonts w:ascii="Calibri" w:eastAsia="Calibri" w:hAnsi="Calibri" w:cs="Calibri"/>
                <w:sz w:val="18"/>
                <w:szCs w:val="18"/>
                <w:lang w:val="en-US"/>
              </w:rPr>
            </w:pPr>
            <w:r w:rsidRPr="0031675F">
              <w:rPr>
                <w:rFonts w:ascii="Calibri" w:eastAsia="Calibri" w:hAnsi="Calibri"/>
                <w:sz w:val="18"/>
                <w:lang w:val="en-US"/>
              </w:rPr>
              <w:t>0.339</w:t>
            </w:r>
          </w:p>
        </w:tc>
        <w:tc>
          <w:tcPr>
            <w:tcW w:w="852" w:type="dxa"/>
            <w:tcBorders>
              <w:top w:val="single" w:sz="5" w:space="0" w:color="000000"/>
              <w:left w:val="single" w:sz="5" w:space="0" w:color="000000"/>
              <w:bottom w:val="single" w:sz="5" w:space="0" w:color="000000"/>
              <w:right w:val="single" w:sz="5" w:space="0" w:color="000000"/>
            </w:tcBorders>
          </w:tcPr>
          <w:p w14:paraId="670740DB" w14:textId="77777777" w:rsidR="0031675F" w:rsidRPr="0031675F" w:rsidRDefault="0031675F" w:rsidP="0031675F">
            <w:pPr>
              <w:widowControl w:val="0"/>
              <w:spacing w:before="79" w:after="0" w:line="240" w:lineRule="auto"/>
              <w:ind w:left="258"/>
              <w:rPr>
                <w:rFonts w:ascii="Calibri" w:eastAsia="Calibri" w:hAnsi="Calibri" w:cs="Calibri"/>
                <w:sz w:val="18"/>
                <w:szCs w:val="18"/>
                <w:lang w:val="en-US"/>
              </w:rPr>
            </w:pPr>
            <w:r w:rsidRPr="0031675F">
              <w:rPr>
                <w:rFonts w:ascii="Calibri" w:eastAsia="Calibri" w:hAnsi="Calibri"/>
                <w:b/>
                <w:spacing w:val="-1"/>
                <w:sz w:val="18"/>
                <w:lang w:val="en-US"/>
              </w:rPr>
              <w:t>0.76</w:t>
            </w:r>
          </w:p>
        </w:tc>
        <w:tc>
          <w:tcPr>
            <w:tcW w:w="850" w:type="dxa"/>
            <w:tcBorders>
              <w:top w:val="single" w:sz="5" w:space="0" w:color="000000"/>
              <w:left w:val="single" w:sz="5" w:space="0" w:color="000000"/>
              <w:bottom w:val="single" w:sz="5" w:space="0" w:color="000000"/>
              <w:right w:val="single" w:sz="5" w:space="0" w:color="000000"/>
            </w:tcBorders>
          </w:tcPr>
          <w:p w14:paraId="1C500BB2" w14:textId="77777777" w:rsidR="0031675F" w:rsidRPr="0031675F" w:rsidRDefault="0031675F" w:rsidP="0031675F">
            <w:pPr>
              <w:widowControl w:val="0"/>
              <w:spacing w:before="79" w:after="0" w:line="240" w:lineRule="auto"/>
              <w:ind w:left="258"/>
              <w:rPr>
                <w:rFonts w:ascii="Calibri" w:eastAsia="Calibri" w:hAnsi="Calibri" w:cs="Calibri"/>
                <w:sz w:val="18"/>
                <w:szCs w:val="18"/>
                <w:lang w:val="en-US"/>
              </w:rPr>
            </w:pPr>
            <w:r w:rsidRPr="0031675F">
              <w:rPr>
                <w:rFonts w:ascii="Calibri" w:eastAsia="Calibri" w:hAnsi="Calibri"/>
                <w:b/>
                <w:spacing w:val="-1"/>
                <w:sz w:val="18"/>
                <w:lang w:val="en-US"/>
              </w:rPr>
              <w:t>0.52</w:t>
            </w:r>
          </w:p>
        </w:tc>
        <w:tc>
          <w:tcPr>
            <w:tcW w:w="711" w:type="dxa"/>
            <w:tcBorders>
              <w:top w:val="single" w:sz="5" w:space="0" w:color="000000"/>
              <w:left w:val="single" w:sz="5" w:space="0" w:color="000000"/>
              <w:bottom w:val="single" w:sz="5" w:space="0" w:color="000000"/>
              <w:right w:val="single" w:sz="5" w:space="0" w:color="000000"/>
            </w:tcBorders>
          </w:tcPr>
          <w:p w14:paraId="45DD61FD" w14:textId="77777777" w:rsidR="0031675F" w:rsidRPr="0031675F" w:rsidRDefault="0031675F" w:rsidP="0031675F"/>
        </w:tc>
      </w:tr>
      <w:tr w:rsidR="0031675F" w:rsidRPr="0031675F" w14:paraId="6E76E39C" w14:textId="77777777" w:rsidTr="00B00729">
        <w:trPr>
          <w:trHeight w:hRule="exact" w:val="391"/>
        </w:trPr>
        <w:tc>
          <w:tcPr>
            <w:tcW w:w="953" w:type="dxa"/>
            <w:tcBorders>
              <w:top w:val="single" w:sz="5" w:space="0" w:color="000000"/>
              <w:left w:val="single" w:sz="5" w:space="0" w:color="000000"/>
              <w:bottom w:val="single" w:sz="5" w:space="0" w:color="000000"/>
              <w:right w:val="single" w:sz="5" w:space="0" w:color="000000"/>
            </w:tcBorders>
          </w:tcPr>
          <w:p w14:paraId="2E318BFC" w14:textId="77777777" w:rsidR="0031675F" w:rsidRPr="0031675F" w:rsidRDefault="0031675F" w:rsidP="0031675F">
            <w:pPr>
              <w:widowControl w:val="0"/>
              <w:spacing w:before="82"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DGL030</w:t>
            </w:r>
          </w:p>
        </w:tc>
        <w:tc>
          <w:tcPr>
            <w:tcW w:w="780" w:type="dxa"/>
            <w:tcBorders>
              <w:top w:val="single" w:sz="5" w:space="0" w:color="000000"/>
              <w:left w:val="single" w:sz="5" w:space="0" w:color="000000"/>
              <w:bottom w:val="single" w:sz="5" w:space="0" w:color="000000"/>
              <w:right w:val="single" w:sz="5" w:space="0" w:color="000000"/>
            </w:tcBorders>
          </w:tcPr>
          <w:p w14:paraId="3DD41F02" w14:textId="77777777" w:rsidR="0031675F" w:rsidRPr="0031675F" w:rsidRDefault="0031675F" w:rsidP="0031675F">
            <w:pPr>
              <w:widowControl w:val="0"/>
              <w:spacing w:before="82" w:after="0" w:line="240" w:lineRule="auto"/>
              <w:ind w:right="5"/>
              <w:jc w:val="center"/>
              <w:rPr>
                <w:rFonts w:ascii="Calibri" w:eastAsia="Calibri" w:hAnsi="Calibri" w:cs="Calibri"/>
                <w:sz w:val="18"/>
                <w:szCs w:val="18"/>
                <w:lang w:val="en-US"/>
              </w:rPr>
            </w:pPr>
            <w:r w:rsidRPr="0031675F">
              <w:rPr>
                <w:rFonts w:ascii="Calibri" w:eastAsia="Calibri" w:hAnsi="Calibri"/>
                <w:sz w:val="18"/>
                <w:lang w:val="en-US"/>
              </w:rPr>
              <w:t>0</w:t>
            </w:r>
          </w:p>
        </w:tc>
        <w:tc>
          <w:tcPr>
            <w:tcW w:w="607" w:type="dxa"/>
            <w:tcBorders>
              <w:top w:val="single" w:sz="5" w:space="0" w:color="000000"/>
              <w:left w:val="single" w:sz="5" w:space="0" w:color="000000"/>
              <w:bottom w:val="single" w:sz="5" w:space="0" w:color="000000"/>
              <w:right w:val="single" w:sz="5" w:space="0" w:color="000000"/>
            </w:tcBorders>
          </w:tcPr>
          <w:p w14:paraId="0DB66F1D" w14:textId="77777777" w:rsidR="0031675F" w:rsidRPr="0031675F" w:rsidRDefault="0031675F" w:rsidP="0031675F">
            <w:pPr>
              <w:widowControl w:val="0"/>
              <w:spacing w:before="82" w:after="0" w:line="240" w:lineRule="auto"/>
              <w:ind w:right="102"/>
              <w:jc w:val="right"/>
              <w:rPr>
                <w:rFonts w:ascii="Calibri" w:eastAsia="Calibri" w:hAnsi="Calibri" w:cs="Calibri"/>
                <w:sz w:val="18"/>
                <w:szCs w:val="18"/>
                <w:lang w:val="en-US"/>
              </w:rPr>
            </w:pPr>
            <w:r w:rsidRPr="0031675F">
              <w:rPr>
                <w:rFonts w:ascii="Calibri" w:eastAsia="Calibri" w:hAnsi="Calibri"/>
                <w:w w:val="95"/>
                <w:sz w:val="18"/>
                <w:lang w:val="en-US"/>
              </w:rPr>
              <w:t>1</w:t>
            </w:r>
          </w:p>
        </w:tc>
        <w:tc>
          <w:tcPr>
            <w:tcW w:w="1346" w:type="dxa"/>
            <w:tcBorders>
              <w:top w:val="single" w:sz="5" w:space="0" w:color="000000"/>
              <w:left w:val="single" w:sz="5" w:space="0" w:color="000000"/>
              <w:bottom w:val="single" w:sz="5" w:space="0" w:color="000000"/>
              <w:right w:val="single" w:sz="5" w:space="0" w:color="000000"/>
            </w:tcBorders>
          </w:tcPr>
          <w:p w14:paraId="2AD167C7" w14:textId="77777777" w:rsidR="0031675F" w:rsidRPr="0031675F" w:rsidRDefault="0031675F" w:rsidP="0031675F">
            <w:pPr>
              <w:widowControl w:val="0"/>
              <w:spacing w:before="82" w:after="0" w:line="240" w:lineRule="auto"/>
              <w:ind w:left="519"/>
              <w:rPr>
                <w:rFonts w:ascii="Calibri" w:eastAsia="Calibri" w:hAnsi="Calibri" w:cs="Calibri"/>
                <w:sz w:val="18"/>
                <w:szCs w:val="18"/>
                <w:lang w:val="en-US"/>
              </w:rPr>
            </w:pPr>
            <w:r w:rsidRPr="0031675F">
              <w:rPr>
                <w:rFonts w:ascii="Calibri" w:eastAsia="Calibri" w:hAnsi="Calibri"/>
                <w:spacing w:val="-1"/>
                <w:sz w:val="18"/>
                <w:lang w:val="en-US"/>
              </w:rPr>
              <w:t>13-Jan-05</w:t>
            </w:r>
          </w:p>
        </w:tc>
        <w:tc>
          <w:tcPr>
            <w:tcW w:w="759" w:type="dxa"/>
            <w:tcBorders>
              <w:top w:val="single" w:sz="5" w:space="0" w:color="000000"/>
              <w:left w:val="single" w:sz="5" w:space="0" w:color="000000"/>
              <w:bottom w:val="single" w:sz="5" w:space="0" w:color="000000"/>
              <w:right w:val="single" w:sz="5" w:space="0" w:color="000000"/>
            </w:tcBorders>
          </w:tcPr>
          <w:p w14:paraId="3E8718A2" w14:textId="77777777" w:rsidR="0031675F" w:rsidRPr="0031675F" w:rsidRDefault="0031675F" w:rsidP="0031675F">
            <w:pPr>
              <w:widowControl w:val="0"/>
              <w:spacing w:before="82" w:after="0" w:line="240" w:lineRule="auto"/>
              <w:ind w:left="234"/>
              <w:rPr>
                <w:rFonts w:ascii="Calibri" w:eastAsia="Calibri" w:hAnsi="Calibri" w:cs="Calibri"/>
                <w:sz w:val="18"/>
                <w:szCs w:val="18"/>
                <w:lang w:val="en-US"/>
              </w:rPr>
            </w:pPr>
            <w:r w:rsidRPr="0031675F">
              <w:rPr>
                <w:rFonts w:ascii="Calibri" w:eastAsia="Calibri" w:hAnsi="Calibri"/>
                <w:sz w:val="18"/>
                <w:lang w:val="en-US"/>
              </w:rPr>
              <w:t>0.031</w:t>
            </w:r>
          </w:p>
        </w:tc>
        <w:tc>
          <w:tcPr>
            <w:tcW w:w="919" w:type="dxa"/>
            <w:tcBorders>
              <w:top w:val="single" w:sz="5" w:space="0" w:color="000000"/>
              <w:left w:val="single" w:sz="5" w:space="0" w:color="000000"/>
              <w:bottom w:val="single" w:sz="5" w:space="0" w:color="000000"/>
              <w:right w:val="single" w:sz="5" w:space="0" w:color="000000"/>
            </w:tcBorders>
          </w:tcPr>
          <w:p w14:paraId="5FC8C26F" w14:textId="77777777" w:rsidR="0031675F" w:rsidRPr="0031675F" w:rsidRDefault="0031675F" w:rsidP="0031675F">
            <w:pPr>
              <w:widowControl w:val="0"/>
              <w:spacing w:before="82" w:after="0" w:line="240" w:lineRule="auto"/>
              <w:jc w:val="center"/>
              <w:rPr>
                <w:rFonts w:ascii="Calibri" w:eastAsia="Calibri" w:hAnsi="Calibri" w:cs="Calibri"/>
                <w:sz w:val="18"/>
                <w:szCs w:val="18"/>
                <w:lang w:val="en-US"/>
              </w:rPr>
            </w:pPr>
            <w:r w:rsidRPr="0031675F">
              <w:rPr>
                <w:rFonts w:ascii="Calibri" w:eastAsia="Calibri" w:hAnsi="Calibri"/>
                <w:spacing w:val="-1"/>
                <w:sz w:val="18"/>
                <w:lang w:val="en-US"/>
              </w:rPr>
              <w:t>100</w:t>
            </w:r>
          </w:p>
        </w:tc>
        <w:tc>
          <w:tcPr>
            <w:tcW w:w="919" w:type="dxa"/>
            <w:tcBorders>
              <w:top w:val="single" w:sz="5" w:space="0" w:color="000000"/>
              <w:left w:val="single" w:sz="5" w:space="0" w:color="000000"/>
              <w:bottom w:val="single" w:sz="5" w:space="0" w:color="000000"/>
              <w:right w:val="single" w:sz="5" w:space="0" w:color="000000"/>
            </w:tcBorders>
          </w:tcPr>
          <w:p w14:paraId="33D81662" w14:textId="77777777" w:rsidR="0031675F" w:rsidRPr="0031675F" w:rsidRDefault="0031675F" w:rsidP="0031675F">
            <w:pPr>
              <w:widowControl w:val="0"/>
              <w:spacing w:before="82" w:after="0" w:line="240" w:lineRule="auto"/>
              <w:jc w:val="center"/>
              <w:rPr>
                <w:rFonts w:ascii="Calibri" w:eastAsia="Calibri" w:hAnsi="Calibri" w:cs="Calibri"/>
                <w:sz w:val="18"/>
                <w:szCs w:val="18"/>
                <w:lang w:val="en-US"/>
              </w:rPr>
            </w:pPr>
            <w:r w:rsidRPr="0031675F">
              <w:rPr>
                <w:rFonts w:ascii="Calibri" w:eastAsia="Calibri" w:hAnsi="Calibri"/>
                <w:spacing w:val="-1"/>
                <w:sz w:val="18"/>
                <w:lang w:val="en-US"/>
              </w:rPr>
              <w:t>10</w:t>
            </w:r>
          </w:p>
        </w:tc>
        <w:tc>
          <w:tcPr>
            <w:tcW w:w="938" w:type="dxa"/>
            <w:tcBorders>
              <w:top w:val="single" w:sz="5" w:space="0" w:color="000000"/>
              <w:left w:val="single" w:sz="5" w:space="0" w:color="000000"/>
              <w:bottom w:val="single" w:sz="5" w:space="0" w:color="000000"/>
              <w:right w:val="single" w:sz="5" w:space="0" w:color="000000"/>
            </w:tcBorders>
          </w:tcPr>
          <w:p w14:paraId="03DF8353" w14:textId="77777777" w:rsidR="0031675F" w:rsidRPr="0031675F" w:rsidRDefault="0031675F" w:rsidP="0031675F">
            <w:pPr>
              <w:widowControl w:val="0"/>
              <w:spacing w:before="82" w:after="0" w:line="240" w:lineRule="auto"/>
              <w:jc w:val="center"/>
              <w:rPr>
                <w:rFonts w:ascii="Calibri" w:eastAsia="Calibri" w:hAnsi="Calibri" w:cs="Calibri"/>
                <w:sz w:val="18"/>
                <w:szCs w:val="18"/>
                <w:lang w:val="en-US"/>
              </w:rPr>
            </w:pPr>
            <w:r w:rsidRPr="0031675F">
              <w:rPr>
                <w:rFonts w:ascii="Calibri" w:eastAsia="Calibri" w:hAnsi="Calibri"/>
                <w:sz w:val="18"/>
                <w:lang w:val="en-US"/>
              </w:rPr>
              <w:t>1</w:t>
            </w:r>
          </w:p>
        </w:tc>
        <w:tc>
          <w:tcPr>
            <w:tcW w:w="1210" w:type="dxa"/>
            <w:tcBorders>
              <w:top w:val="single" w:sz="5" w:space="0" w:color="000000"/>
              <w:left w:val="single" w:sz="5" w:space="0" w:color="000000"/>
              <w:bottom w:val="single" w:sz="5" w:space="0" w:color="000000"/>
              <w:right w:val="single" w:sz="5" w:space="0" w:color="000000"/>
            </w:tcBorders>
          </w:tcPr>
          <w:p w14:paraId="30BDB2D6" w14:textId="77777777" w:rsidR="0031675F" w:rsidRPr="0031675F" w:rsidRDefault="0031675F" w:rsidP="0031675F">
            <w:pPr>
              <w:widowControl w:val="0"/>
              <w:spacing w:before="82"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new16</w:t>
            </w:r>
          </w:p>
        </w:tc>
        <w:tc>
          <w:tcPr>
            <w:tcW w:w="720" w:type="dxa"/>
            <w:tcBorders>
              <w:top w:val="single" w:sz="5" w:space="0" w:color="000000"/>
              <w:left w:val="single" w:sz="5" w:space="0" w:color="000000"/>
              <w:bottom w:val="single" w:sz="5" w:space="0" w:color="000000"/>
              <w:right w:val="single" w:sz="5" w:space="0" w:color="000000"/>
            </w:tcBorders>
          </w:tcPr>
          <w:p w14:paraId="7882919B" w14:textId="77777777" w:rsidR="0031675F" w:rsidRPr="0031675F" w:rsidRDefault="0031675F" w:rsidP="0031675F">
            <w:pPr>
              <w:widowControl w:val="0"/>
              <w:spacing w:before="82" w:after="0" w:line="240" w:lineRule="auto"/>
              <w:ind w:left="193"/>
              <w:rPr>
                <w:rFonts w:ascii="Calibri" w:eastAsia="Calibri" w:hAnsi="Calibri" w:cs="Calibri"/>
                <w:sz w:val="18"/>
                <w:szCs w:val="18"/>
                <w:lang w:val="en-US"/>
              </w:rPr>
            </w:pPr>
            <w:r w:rsidRPr="0031675F">
              <w:rPr>
                <w:rFonts w:ascii="Calibri" w:eastAsia="Calibri" w:hAnsi="Calibri"/>
                <w:sz w:val="18"/>
                <w:lang w:val="en-US"/>
              </w:rPr>
              <w:t>0.232</w:t>
            </w:r>
          </w:p>
        </w:tc>
        <w:tc>
          <w:tcPr>
            <w:tcW w:w="718" w:type="dxa"/>
            <w:tcBorders>
              <w:top w:val="single" w:sz="5" w:space="0" w:color="000000"/>
              <w:left w:val="single" w:sz="5" w:space="0" w:color="000000"/>
              <w:bottom w:val="single" w:sz="5" w:space="0" w:color="000000"/>
              <w:right w:val="single" w:sz="5" w:space="0" w:color="000000"/>
            </w:tcBorders>
          </w:tcPr>
          <w:p w14:paraId="4418EDA8" w14:textId="77777777" w:rsidR="0031675F" w:rsidRPr="0031675F" w:rsidRDefault="0031675F" w:rsidP="0031675F">
            <w:pPr>
              <w:widowControl w:val="0"/>
              <w:spacing w:before="82" w:after="0" w:line="240" w:lineRule="auto"/>
              <w:ind w:left="190"/>
              <w:rPr>
                <w:rFonts w:ascii="Calibri" w:eastAsia="Calibri" w:hAnsi="Calibri" w:cs="Calibri"/>
                <w:sz w:val="18"/>
                <w:szCs w:val="18"/>
                <w:lang w:val="en-US"/>
              </w:rPr>
            </w:pPr>
            <w:r w:rsidRPr="0031675F">
              <w:rPr>
                <w:rFonts w:ascii="Calibri" w:eastAsia="Calibri" w:hAnsi="Calibri"/>
                <w:sz w:val="18"/>
                <w:lang w:val="en-US"/>
              </w:rPr>
              <w:t>0.151</w:t>
            </w:r>
          </w:p>
        </w:tc>
        <w:tc>
          <w:tcPr>
            <w:tcW w:w="1078" w:type="dxa"/>
            <w:tcBorders>
              <w:top w:val="single" w:sz="5" w:space="0" w:color="000000"/>
              <w:left w:val="single" w:sz="5" w:space="0" w:color="000000"/>
              <w:bottom w:val="single" w:sz="5" w:space="0" w:color="000000"/>
              <w:right w:val="single" w:sz="5" w:space="0" w:color="000000"/>
            </w:tcBorders>
          </w:tcPr>
          <w:p w14:paraId="0B6213BC" w14:textId="77777777" w:rsidR="0031675F" w:rsidRPr="0031675F" w:rsidRDefault="0031675F" w:rsidP="0031675F">
            <w:pPr>
              <w:widowControl w:val="0"/>
              <w:spacing w:before="82" w:after="0" w:line="240" w:lineRule="auto"/>
              <w:ind w:left="553"/>
              <w:rPr>
                <w:rFonts w:ascii="Calibri" w:eastAsia="Calibri" w:hAnsi="Calibri" w:cs="Calibri"/>
                <w:sz w:val="18"/>
                <w:szCs w:val="18"/>
                <w:lang w:val="en-US"/>
              </w:rPr>
            </w:pPr>
            <w:r w:rsidRPr="0031675F">
              <w:rPr>
                <w:rFonts w:ascii="Calibri" w:eastAsia="Calibri" w:hAnsi="Calibri"/>
                <w:sz w:val="18"/>
                <w:lang w:val="en-US"/>
              </w:rPr>
              <w:t>0.201</w:t>
            </w:r>
          </w:p>
        </w:tc>
        <w:tc>
          <w:tcPr>
            <w:tcW w:w="1070" w:type="dxa"/>
            <w:tcBorders>
              <w:top w:val="single" w:sz="5" w:space="0" w:color="000000"/>
              <w:left w:val="single" w:sz="5" w:space="0" w:color="000000"/>
              <w:bottom w:val="single" w:sz="5" w:space="0" w:color="000000"/>
              <w:right w:val="single" w:sz="5" w:space="0" w:color="000000"/>
            </w:tcBorders>
          </w:tcPr>
          <w:p w14:paraId="4C9BD4A2" w14:textId="77777777" w:rsidR="0031675F" w:rsidRPr="0031675F" w:rsidRDefault="0031675F" w:rsidP="0031675F">
            <w:pPr>
              <w:widowControl w:val="0"/>
              <w:spacing w:before="82" w:after="0" w:line="240" w:lineRule="auto"/>
              <w:ind w:left="637"/>
              <w:rPr>
                <w:rFonts w:ascii="Calibri" w:eastAsia="Calibri" w:hAnsi="Calibri" w:cs="Calibri"/>
                <w:sz w:val="18"/>
                <w:szCs w:val="18"/>
                <w:lang w:val="en-US"/>
              </w:rPr>
            </w:pPr>
            <w:r w:rsidRPr="0031675F">
              <w:rPr>
                <w:rFonts w:ascii="Calibri" w:eastAsia="Calibri" w:hAnsi="Calibri"/>
                <w:sz w:val="18"/>
                <w:lang w:val="en-US"/>
              </w:rPr>
              <w:t>0.12</w:t>
            </w:r>
          </w:p>
        </w:tc>
        <w:tc>
          <w:tcPr>
            <w:tcW w:w="852" w:type="dxa"/>
            <w:tcBorders>
              <w:top w:val="single" w:sz="5" w:space="0" w:color="000000"/>
              <w:left w:val="single" w:sz="5" w:space="0" w:color="000000"/>
              <w:bottom w:val="single" w:sz="5" w:space="0" w:color="000000"/>
              <w:right w:val="single" w:sz="5" w:space="0" w:color="000000"/>
            </w:tcBorders>
          </w:tcPr>
          <w:p w14:paraId="113933AE" w14:textId="77777777" w:rsidR="0031675F" w:rsidRPr="0031675F" w:rsidRDefault="0031675F" w:rsidP="0031675F">
            <w:pPr>
              <w:widowControl w:val="0"/>
              <w:spacing w:before="82" w:after="0" w:line="240" w:lineRule="auto"/>
              <w:ind w:left="258"/>
              <w:rPr>
                <w:rFonts w:ascii="Calibri" w:eastAsia="Calibri" w:hAnsi="Calibri" w:cs="Calibri"/>
                <w:sz w:val="18"/>
                <w:szCs w:val="18"/>
                <w:lang w:val="en-US"/>
              </w:rPr>
            </w:pPr>
            <w:r w:rsidRPr="0031675F">
              <w:rPr>
                <w:rFonts w:ascii="Calibri" w:eastAsia="Calibri" w:hAnsi="Calibri"/>
                <w:b/>
                <w:spacing w:val="-1"/>
                <w:sz w:val="18"/>
                <w:lang w:val="en-US"/>
              </w:rPr>
              <w:t>0.25</w:t>
            </w:r>
          </w:p>
        </w:tc>
        <w:tc>
          <w:tcPr>
            <w:tcW w:w="850" w:type="dxa"/>
            <w:tcBorders>
              <w:top w:val="single" w:sz="5" w:space="0" w:color="000000"/>
              <w:left w:val="single" w:sz="5" w:space="0" w:color="000000"/>
              <w:bottom w:val="single" w:sz="5" w:space="0" w:color="000000"/>
              <w:right w:val="single" w:sz="5" w:space="0" w:color="000000"/>
            </w:tcBorders>
          </w:tcPr>
          <w:p w14:paraId="5A80521B" w14:textId="77777777" w:rsidR="0031675F" w:rsidRPr="0031675F" w:rsidRDefault="0031675F" w:rsidP="0031675F">
            <w:pPr>
              <w:widowControl w:val="0"/>
              <w:spacing w:before="82" w:after="0" w:line="240" w:lineRule="auto"/>
              <w:ind w:left="258"/>
              <w:rPr>
                <w:rFonts w:ascii="Calibri" w:eastAsia="Calibri" w:hAnsi="Calibri" w:cs="Calibri"/>
                <w:sz w:val="18"/>
                <w:szCs w:val="18"/>
                <w:lang w:val="en-US"/>
              </w:rPr>
            </w:pPr>
            <w:r w:rsidRPr="0031675F">
              <w:rPr>
                <w:rFonts w:ascii="Calibri" w:eastAsia="Calibri" w:hAnsi="Calibri"/>
                <w:b/>
                <w:spacing w:val="-1"/>
                <w:sz w:val="18"/>
                <w:lang w:val="en-US"/>
              </w:rPr>
              <w:t>0.20</w:t>
            </w:r>
          </w:p>
        </w:tc>
        <w:tc>
          <w:tcPr>
            <w:tcW w:w="711" w:type="dxa"/>
            <w:tcBorders>
              <w:top w:val="single" w:sz="5" w:space="0" w:color="000000"/>
              <w:left w:val="single" w:sz="5" w:space="0" w:color="000000"/>
              <w:bottom w:val="single" w:sz="5" w:space="0" w:color="000000"/>
              <w:right w:val="single" w:sz="5" w:space="0" w:color="000000"/>
            </w:tcBorders>
          </w:tcPr>
          <w:p w14:paraId="07DAC2FC" w14:textId="77777777" w:rsidR="0031675F" w:rsidRPr="0031675F" w:rsidRDefault="0031675F" w:rsidP="0031675F">
            <w:pPr>
              <w:widowControl w:val="0"/>
              <w:spacing w:before="82" w:after="0" w:line="240" w:lineRule="auto"/>
              <w:ind w:left="275"/>
              <w:rPr>
                <w:rFonts w:ascii="Calibri" w:eastAsia="Calibri" w:hAnsi="Calibri" w:cs="Calibri"/>
                <w:sz w:val="18"/>
                <w:szCs w:val="18"/>
                <w:lang w:val="en-US"/>
              </w:rPr>
            </w:pPr>
            <w:r w:rsidRPr="0031675F">
              <w:rPr>
                <w:rFonts w:ascii="Calibri" w:eastAsia="Calibri" w:hAnsi="Calibri"/>
                <w:spacing w:val="-1"/>
                <w:sz w:val="18"/>
                <w:lang w:val="en-US"/>
              </w:rPr>
              <w:t>.978</w:t>
            </w:r>
          </w:p>
        </w:tc>
      </w:tr>
      <w:tr w:rsidR="0031675F" w:rsidRPr="0031675F" w14:paraId="409435F1" w14:textId="77777777" w:rsidTr="00B00729">
        <w:trPr>
          <w:trHeight w:hRule="exact" w:val="389"/>
        </w:trPr>
        <w:tc>
          <w:tcPr>
            <w:tcW w:w="953" w:type="dxa"/>
            <w:tcBorders>
              <w:top w:val="single" w:sz="5" w:space="0" w:color="000000"/>
              <w:left w:val="single" w:sz="5" w:space="0" w:color="000000"/>
              <w:bottom w:val="single" w:sz="5" w:space="0" w:color="000000"/>
              <w:right w:val="single" w:sz="5" w:space="0" w:color="000000"/>
            </w:tcBorders>
          </w:tcPr>
          <w:p w14:paraId="6206BC00"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CNS941</w:t>
            </w:r>
          </w:p>
        </w:tc>
        <w:tc>
          <w:tcPr>
            <w:tcW w:w="780" w:type="dxa"/>
            <w:tcBorders>
              <w:top w:val="single" w:sz="5" w:space="0" w:color="000000"/>
              <w:left w:val="single" w:sz="5" w:space="0" w:color="000000"/>
              <w:bottom w:val="single" w:sz="5" w:space="0" w:color="000000"/>
              <w:right w:val="single" w:sz="5" w:space="0" w:color="000000"/>
            </w:tcBorders>
          </w:tcPr>
          <w:p w14:paraId="37672E3B" w14:textId="77777777" w:rsidR="0031675F" w:rsidRPr="0031675F" w:rsidRDefault="0031675F" w:rsidP="0031675F">
            <w:pPr>
              <w:widowControl w:val="0"/>
              <w:spacing w:before="79" w:after="0" w:line="240" w:lineRule="auto"/>
              <w:ind w:right="5"/>
              <w:jc w:val="center"/>
              <w:rPr>
                <w:rFonts w:ascii="Calibri" w:eastAsia="Calibri" w:hAnsi="Calibri" w:cs="Calibri"/>
                <w:sz w:val="18"/>
                <w:szCs w:val="18"/>
                <w:lang w:val="en-US"/>
              </w:rPr>
            </w:pPr>
            <w:r w:rsidRPr="0031675F">
              <w:rPr>
                <w:rFonts w:ascii="Calibri" w:eastAsia="Calibri" w:hAnsi="Calibri"/>
                <w:sz w:val="18"/>
                <w:lang w:val="en-US"/>
              </w:rPr>
              <w:t>9</w:t>
            </w:r>
          </w:p>
        </w:tc>
        <w:tc>
          <w:tcPr>
            <w:tcW w:w="607" w:type="dxa"/>
            <w:tcBorders>
              <w:top w:val="single" w:sz="5" w:space="0" w:color="000000"/>
              <w:left w:val="single" w:sz="5" w:space="0" w:color="000000"/>
              <w:bottom w:val="single" w:sz="5" w:space="0" w:color="000000"/>
              <w:right w:val="single" w:sz="5" w:space="0" w:color="000000"/>
            </w:tcBorders>
          </w:tcPr>
          <w:p w14:paraId="0C656C4C" w14:textId="77777777" w:rsidR="0031675F" w:rsidRPr="0031675F" w:rsidRDefault="0031675F" w:rsidP="0031675F">
            <w:pPr>
              <w:widowControl w:val="0"/>
              <w:spacing w:before="79" w:after="0" w:line="240" w:lineRule="auto"/>
              <w:ind w:right="102"/>
              <w:jc w:val="right"/>
              <w:rPr>
                <w:rFonts w:ascii="Calibri" w:eastAsia="Calibri" w:hAnsi="Calibri" w:cs="Calibri"/>
                <w:sz w:val="18"/>
                <w:szCs w:val="18"/>
                <w:lang w:val="en-US"/>
              </w:rPr>
            </w:pPr>
            <w:r w:rsidRPr="0031675F">
              <w:rPr>
                <w:rFonts w:ascii="Calibri" w:eastAsia="Calibri" w:hAnsi="Calibri"/>
                <w:w w:val="95"/>
                <w:sz w:val="18"/>
                <w:lang w:val="en-US"/>
              </w:rPr>
              <w:t>2</w:t>
            </w:r>
          </w:p>
        </w:tc>
        <w:tc>
          <w:tcPr>
            <w:tcW w:w="1346" w:type="dxa"/>
            <w:tcBorders>
              <w:top w:val="single" w:sz="5" w:space="0" w:color="000000"/>
              <w:left w:val="single" w:sz="5" w:space="0" w:color="000000"/>
              <w:bottom w:val="single" w:sz="5" w:space="0" w:color="000000"/>
              <w:right w:val="single" w:sz="5" w:space="0" w:color="000000"/>
            </w:tcBorders>
          </w:tcPr>
          <w:p w14:paraId="29F85170" w14:textId="77777777" w:rsidR="0031675F" w:rsidRPr="0031675F" w:rsidRDefault="0031675F" w:rsidP="0031675F">
            <w:pPr>
              <w:widowControl w:val="0"/>
              <w:spacing w:before="79" w:after="0" w:line="240" w:lineRule="auto"/>
              <w:ind w:left="519"/>
              <w:rPr>
                <w:rFonts w:ascii="Calibri" w:eastAsia="Calibri" w:hAnsi="Calibri" w:cs="Calibri"/>
                <w:sz w:val="18"/>
                <w:szCs w:val="18"/>
                <w:lang w:val="en-US"/>
              </w:rPr>
            </w:pPr>
            <w:r w:rsidRPr="0031675F">
              <w:rPr>
                <w:rFonts w:ascii="Calibri" w:eastAsia="Calibri" w:hAnsi="Calibri"/>
                <w:spacing w:val="-1"/>
                <w:sz w:val="18"/>
                <w:lang w:val="en-US"/>
              </w:rPr>
              <w:t>13-Jan-05</w:t>
            </w:r>
          </w:p>
        </w:tc>
        <w:tc>
          <w:tcPr>
            <w:tcW w:w="759" w:type="dxa"/>
            <w:tcBorders>
              <w:top w:val="single" w:sz="5" w:space="0" w:color="000000"/>
              <w:left w:val="single" w:sz="5" w:space="0" w:color="000000"/>
              <w:bottom w:val="single" w:sz="5" w:space="0" w:color="000000"/>
              <w:right w:val="single" w:sz="5" w:space="0" w:color="000000"/>
            </w:tcBorders>
          </w:tcPr>
          <w:p w14:paraId="36590783" w14:textId="77777777" w:rsidR="0031675F" w:rsidRPr="0031675F" w:rsidRDefault="0031675F" w:rsidP="0031675F">
            <w:pPr>
              <w:widowControl w:val="0"/>
              <w:spacing w:before="79" w:after="0" w:line="240" w:lineRule="auto"/>
              <w:ind w:left="234"/>
              <w:rPr>
                <w:rFonts w:ascii="Calibri" w:eastAsia="Calibri" w:hAnsi="Calibri" w:cs="Calibri"/>
                <w:sz w:val="18"/>
                <w:szCs w:val="18"/>
                <w:lang w:val="en-US"/>
              </w:rPr>
            </w:pPr>
            <w:r w:rsidRPr="0031675F">
              <w:rPr>
                <w:rFonts w:ascii="Calibri" w:eastAsia="Calibri" w:hAnsi="Calibri"/>
                <w:sz w:val="18"/>
                <w:lang w:val="en-US"/>
              </w:rPr>
              <w:t>0.031</w:t>
            </w:r>
          </w:p>
        </w:tc>
        <w:tc>
          <w:tcPr>
            <w:tcW w:w="919" w:type="dxa"/>
            <w:tcBorders>
              <w:top w:val="single" w:sz="5" w:space="0" w:color="000000"/>
              <w:left w:val="single" w:sz="5" w:space="0" w:color="000000"/>
              <w:bottom w:val="single" w:sz="5" w:space="0" w:color="000000"/>
              <w:right w:val="single" w:sz="5" w:space="0" w:color="000000"/>
            </w:tcBorders>
          </w:tcPr>
          <w:p w14:paraId="1081ED8E" w14:textId="77777777" w:rsidR="0031675F" w:rsidRPr="0031675F" w:rsidRDefault="0031675F" w:rsidP="0031675F">
            <w:pPr>
              <w:widowControl w:val="0"/>
              <w:spacing w:before="79" w:after="0" w:line="240" w:lineRule="auto"/>
              <w:jc w:val="center"/>
              <w:rPr>
                <w:rFonts w:ascii="Calibri" w:eastAsia="Calibri" w:hAnsi="Calibri" w:cs="Calibri"/>
                <w:sz w:val="18"/>
                <w:szCs w:val="18"/>
                <w:lang w:val="en-US"/>
              </w:rPr>
            </w:pPr>
            <w:r w:rsidRPr="0031675F">
              <w:rPr>
                <w:rFonts w:ascii="Calibri" w:eastAsia="Calibri" w:hAnsi="Calibri"/>
                <w:spacing w:val="-1"/>
                <w:sz w:val="18"/>
                <w:lang w:val="en-US"/>
              </w:rPr>
              <w:t>100</w:t>
            </w:r>
          </w:p>
        </w:tc>
        <w:tc>
          <w:tcPr>
            <w:tcW w:w="919" w:type="dxa"/>
            <w:tcBorders>
              <w:top w:val="single" w:sz="5" w:space="0" w:color="000000"/>
              <w:left w:val="single" w:sz="5" w:space="0" w:color="000000"/>
              <w:bottom w:val="single" w:sz="5" w:space="0" w:color="000000"/>
              <w:right w:val="single" w:sz="5" w:space="0" w:color="000000"/>
            </w:tcBorders>
          </w:tcPr>
          <w:p w14:paraId="63832691" w14:textId="77777777" w:rsidR="0031675F" w:rsidRPr="0031675F" w:rsidRDefault="0031675F" w:rsidP="0031675F">
            <w:pPr>
              <w:widowControl w:val="0"/>
              <w:spacing w:before="79" w:after="0" w:line="240" w:lineRule="auto"/>
              <w:jc w:val="center"/>
              <w:rPr>
                <w:rFonts w:ascii="Calibri" w:eastAsia="Calibri" w:hAnsi="Calibri" w:cs="Calibri"/>
                <w:sz w:val="18"/>
                <w:szCs w:val="18"/>
                <w:lang w:val="en-US"/>
              </w:rPr>
            </w:pPr>
            <w:r w:rsidRPr="0031675F">
              <w:rPr>
                <w:rFonts w:ascii="Calibri" w:eastAsia="Calibri" w:hAnsi="Calibri"/>
                <w:spacing w:val="-1"/>
                <w:sz w:val="18"/>
                <w:lang w:val="en-US"/>
              </w:rPr>
              <w:t>10</w:t>
            </w:r>
          </w:p>
        </w:tc>
        <w:tc>
          <w:tcPr>
            <w:tcW w:w="938" w:type="dxa"/>
            <w:tcBorders>
              <w:top w:val="single" w:sz="5" w:space="0" w:color="000000"/>
              <w:left w:val="single" w:sz="5" w:space="0" w:color="000000"/>
              <w:bottom w:val="single" w:sz="5" w:space="0" w:color="000000"/>
              <w:right w:val="single" w:sz="5" w:space="0" w:color="000000"/>
            </w:tcBorders>
          </w:tcPr>
          <w:p w14:paraId="396B7B8B" w14:textId="77777777" w:rsidR="0031675F" w:rsidRPr="0031675F" w:rsidRDefault="0031675F" w:rsidP="0031675F">
            <w:pPr>
              <w:widowControl w:val="0"/>
              <w:spacing w:before="79" w:after="0" w:line="240" w:lineRule="auto"/>
              <w:jc w:val="center"/>
              <w:rPr>
                <w:rFonts w:ascii="Calibri" w:eastAsia="Calibri" w:hAnsi="Calibri" w:cs="Calibri"/>
                <w:sz w:val="18"/>
                <w:szCs w:val="18"/>
                <w:lang w:val="en-US"/>
              </w:rPr>
            </w:pPr>
            <w:r w:rsidRPr="0031675F">
              <w:rPr>
                <w:rFonts w:ascii="Calibri" w:eastAsia="Calibri" w:hAnsi="Calibri"/>
                <w:sz w:val="18"/>
                <w:lang w:val="en-US"/>
              </w:rPr>
              <w:t>1</w:t>
            </w:r>
          </w:p>
        </w:tc>
        <w:tc>
          <w:tcPr>
            <w:tcW w:w="1210" w:type="dxa"/>
            <w:tcBorders>
              <w:top w:val="single" w:sz="5" w:space="0" w:color="000000"/>
              <w:left w:val="single" w:sz="5" w:space="0" w:color="000000"/>
              <w:bottom w:val="single" w:sz="5" w:space="0" w:color="000000"/>
              <w:right w:val="single" w:sz="5" w:space="0" w:color="000000"/>
            </w:tcBorders>
          </w:tcPr>
          <w:p w14:paraId="6B6F486E"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new16</w:t>
            </w:r>
          </w:p>
        </w:tc>
        <w:tc>
          <w:tcPr>
            <w:tcW w:w="720" w:type="dxa"/>
            <w:tcBorders>
              <w:top w:val="single" w:sz="5" w:space="0" w:color="000000"/>
              <w:left w:val="single" w:sz="5" w:space="0" w:color="000000"/>
              <w:bottom w:val="single" w:sz="5" w:space="0" w:color="000000"/>
              <w:right w:val="single" w:sz="5" w:space="0" w:color="000000"/>
            </w:tcBorders>
          </w:tcPr>
          <w:p w14:paraId="273A81FF" w14:textId="77777777" w:rsidR="0031675F" w:rsidRPr="0031675F" w:rsidRDefault="0031675F" w:rsidP="0031675F">
            <w:pPr>
              <w:widowControl w:val="0"/>
              <w:spacing w:before="79" w:after="0" w:line="240" w:lineRule="auto"/>
              <w:ind w:left="284"/>
              <w:rPr>
                <w:rFonts w:ascii="Calibri" w:eastAsia="Calibri" w:hAnsi="Calibri" w:cs="Calibri"/>
                <w:sz w:val="18"/>
                <w:szCs w:val="18"/>
                <w:lang w:val="en-US"/>
              </w:rPr>
            </w:pPr>
            <w:r w:rsidRPr="0031675F">
              <w:rPr>
                <w:rFonts w:ascii="Calibri" w:eastAsia="Calibri" w:hAnsi="Calibri"/>
                <w:sz w:val="18"/>
                <w:lang w:val="en-US"/>
              </w:rPr>
              <w:t>0.22</w:t>
            </w:r>
          </w:p>
        </w:tc>
        <w:tc>
          <w:tcPr>
            <w:tcW w:w="718" w:type="dxa"/>
            <w:tcBorders>
              <w:top w:val="single" w:sz="5" w:space="0" w:color="000000"/>
              <w:left w:val="single" w:sz="5" w:space="0" w:color="000000"/>
              <w:bottom w:val="single" w:sz="5" w:space="0" w:color="000000"/>
              <w:right w:val="single" w:sz="5" w:space="0" w:color="000000"/>
            </w:tcBorders>
          </w:tcPr>
          <w:p w14:paraId="0A99EBFB" w14:textId="77777777" w:rsidR="0031675F" w:rsidRPr="0031675F" w:rsidRDefault="0031675F" w:rsidP="0031675F">
            <w:pPr>
              <w:widowControl w:val="0"/>
              <w:spacing w:before="79" w:after="0" w:line="240" w:lineRule="auto"/>
              <w:ind w:left="190"/>
              <w:rPr>
                <w:rFonts w:ascii="Calibri" w:eastAsia="Calibri" w:hAnsi="Calibri" w:cs="Calibri"/>
                <w:sz w:val="18"/>
                <w:szCs w:val="18"/>
                <w:lang w:val="en-US"/>
              </w:rPr>
            </w:pPr>
            <w:r w:rsidRPr="0031675F">
              <w:rPr>
                <w:rFonts w:ascii="Calibri" w:eastAsia="Calibri" w:hAnsi="Calibri"/>
                <w:sz w:val="18"/>
                <w:lang w:val="en-US"/>
              </w:rPr>
              <w:t>0.142</w:t>
            </w:r>
          </w:p>
        </w:tc>
        <w:tc>
          <w:tcPr>
            <w:tcW w:w="1078" w:type="dxa"/>
            <w:tcBorders>
              <w:top w:val="single" w:sz="5" w:space="0" w:color="000000"/>
              <w:left w:val="single" w:sz="5" w:space="0" w:color="000000"/>
              <w:bottom w:val="single" w:sz="5" w:space="0" w:color="000000"/>
              <w:right w:val="single" w:sz="5" w:space="0" w:color="000000"/>
            </w:tcBorders>
          </w:tcPr>
          <w:p w14:paraId="4DFEB594" w14:textId="77777777" w:rsidR="0031675F" w:rsidRPr="0031675F" w:rsidRDefault="0031675F" w:rsidP="0031675F">
            <w:pPr>
              <w:widowControl w:val="0"/>
              <w:spacing w:before="79" w:after="0" w:line="240" w:lineRule="auto"/>
              <w:ind w:left="553"/>
              <w:rPr>
                <w:rFonts w:ascii="Calibri" w:eastAsia="Calibri" w:hAnsi="Calibri" w:cs="Calibri"/>
                <w:sz w:val="18"/>
                <w:szCs w:val="18"/>
                <w:lang w:val="en-US"/>
              </w:rPr>
            </w:pPr>
            <w:r w:rsidRPr="0031675F">
              <w:rPr>
                <w:rFonts w:ascii="Calibri" w:eastAsia="Calibri" w:hAnsi="Calibri"/>
                <w:sz w:val="18"/>
                <w:lang w:val="en-US"/>
              </w:rPr>
              <w:t>0.189</w:t>
            </w:r>
          </w:p>
        </w:tc>
        <w:tc>
          <w:tcPr>
            <w:tcW w:w="1070" w:type="dxa"/>
            <w:tcBorders>
              <w:top w:val="single" w:sz="5" w:space="0" w:color="000000"/>
              <w:left w:val="single" w:sz="5" w:space="0" w:color="000000"/>
              <w:bottom w:val="single" w:sz="5" w:space="0" w:color="000000"/>
              <w:right w:val="single" w:sz="5" w:space="0" w:color="000000"/>
            </w:tcBorders>
          </w:tcPr>
          <w:p w14:paraId="3F88CDDA" w14:textId="77777777" w:rsidR="0031675F" w:rsidRPr="0031675F" w:rsidRDefault="0031675F" w:rsidP="0031675F">
            <w:pPr>
              <w:widowControl w:val="0"/>
              <w:spacing w:before="79" w:after="0" w:line="240" w:lineRule="auto"/>
              <w:ind w:left="546"/>
              <w:rPr>
                <w:rFonts w:ascii="Calibri" w:eastAsia="Calibri" w:hAnsi="Calibri" w:cs="Calibri"/>
                <w:sz w:val="18"/>
                <w:szCs w:val="18"/>
                <w:lang w:val="en-US"/>
              </w:rPr>
            </w:pPr>
            <w:r w:rsidRPr="0031675F">
              <w:rPr>
                <w:rFonts w:ascii="Calibri" w:eastAsia="Calibri" w:hAnsi="Calibri"/>
                <w:sz w:val="18"/>
                <w:lang w:val="en-US"/>
              </w:rPr>
              <w:t>0.111</w:t>
            </w:r>
          </w:p>
        </w:tc>
        <w:tc>
          <w:tcPr>
            <w:tcW w:w="852" w:type="dxa"/>
            <w:tcBorders>
              <w:top w:val="single" w:sz="5" w:space="0" w:color="000000"/>
              <w:left w:val="single" w:sz="5" w:space="0" w:color="000000"/>
              <w:bottom w:val="single" w:sz="5" w:space="0" w:color="000000"/>
              <w:right w:val="single" w:sz="5" w:space="0" w:color="000000"/>
            </w:tcBorders>
          </w:tcPr>
          <w:p w14:paraId="7E4DEAED" w14:textId="77777777" w:rsidR="0031675F" w:rsidRPr="0031675F" w:rsidRDefault="0031675F" w:rsidP="0031675F">
            <w:pPr>
              <w:widowControl w:val="0"/>
              <w:spacing w:before="79" w:after="0" w:line="240" w:lineRule="auto"/>
              <w:ind w:left="258"/>
              <w:rPr>
                <w:rFonts w:ascii="Calibri" w:eastAsia="Calibri" w:hAnsi="Calibri" w:cs="Calibri"/>
                <w:sz w:val="18"/>
                <w:szCs w:val="18"/>
                <w:lang w:val="en-US"/>
              </w:rPr>
            </w:pPr>
            <w:r w:rsidRPr="0031675F">
              <w:rPr>
                <w:rFonts w:ascii="Calibri" w:eastAsia="Calibri" w:hAnsi="Calibri"/>
                <w:b/>
                <w:spacing w:val="-1"/>
                <w:sz w:val="18"/>
                <w:lang w:val="en-US"/>
              </w:rPr>
              <w:t>0.24</w:t>
            </w:r>
          </w:p>
        </w:tc>
        <w:tc>
          <w:tcPr>
            <w:tcW w:w="850" w:type="dxa"/>
            <w:tcBorders>
              <w:top w:val="single" w:sz="5" w:space="0" w:color="000000"/>
              <w:left w:val="single" w:sz="5" w:space="0" w:color="000000"/>
              <w:bottom w:val="single" w:sz="5" w:space="0" w:color="000000"/>
              <w:right w:val="single" w:sz="5" w:space="0" w:color="000000"/>
            </w:tcBorders>
          </w:tcPr>
          <w:p w14:paraId="0E3A71EC" w14:textId="77777777" w:rsidR="0031675F" w:rsidRPr="0031675F" w:rsidRDefault="0031675F" w:rsidP="0031675F">
            <w:pPr>
              <w:widowControl w:val="0"/>
              <w:spacing w:before="79" w:after="0" w:line="240" w:lineRule="auto"/>
              <w:ind w:left="258"/>
              <w:rPr>
                <w:rFonts w:ascii="Calibri" w:eastAsia="Calibri" w:hAnsi="Calibri" w:cs="Calibri"/>
                <w:sz w:val="18"/>
                <w:szCs w:val="18"/>
                <w:lang w:val="en-US"/>
              </w:rPr>
            </w:pPr>
            <w:r w:rsidRPr="0031675F">
              <w:rPr>
                <w:rFonts w:ascii="Calibri" w:eastAsia="Calibri" w:hAnsi="Calibri"/>
                <w:b/>
                <w:spacing w:val="-1"/>
                <w:sz w:val="18"/>
                <w:lang w:val="en-US"/>
              </w:rPr>
              <w:t>0.17</w:t>
            </w:r>
          </w:p>
        </w:tc>
        <w:tc>
          <w:tcPr>
            <w:tcW w:w="711" w:type="dxa"/>
            <w:tcBorders>
              <w:top w:val="single" w:sz="5" w:space="0" w:color="000000"/>
              <w:left w:val="single" w:sz="5" w:space="0" w:color="000000"/>
              <w:bottom w:val="single" w:sz="5" w:space="0" w:color="000000"/>
              <w:right w:val="single" w:sz="5" w:space="0" w:color="000000"/>
            </w:tcBorders>
          </w:tcPr>
          <w:p w14:paraId="73312CE5" w14:textId="77777777" w:rsidR="0031675F" w:rsidRPr="0031675F" w:rsidRDefault="0031675F" w:rsidP="0031675F"/>
        </w:tc>
      </w:tr>
      <w:tr w:rsidR="0031675F" w:rsidRPr="0031675F" w14:paraId="6C914387" w14:textId="77777777" w:rsidTr="00B00729">
        <w:trPr>
          <w:trHeight w:hRule="exact" w:val="391"/>
        </w:trPr>
        <w:tc>
          <w:tcPr>
            <w:tcW w:w="953" w:type="dxa"/>
            <w:tcBorders>
              <w:top w:val="single" w:sz="5" w:space="0" w:color="000000"/>
              <w:left w:val="single" w:sz="5" w:space="0" w:color="000000"/>
              <w:bottom w:val="single" w:sz="5" w:space="0" w:color="000000"/>
              <w:right w:val="single" w:sz="5" w:space="0" w:color="000000"/>
            </w:tcBorders>
          </w:tcPr>
          <w:p w14:paraId="10E635FF"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CNS941</w:t>
            </w:r>
          </w:p>
        </w:tc>
        <w:tc>
          <w:tcPr>
            <w:tcW w:w="780" w:type="dxa"/>
            <w:tcBorders>
              <w:top w:val="single" w:sz="5" w:space="0" w:color="000000"/>
              <w:left w:val="single" w:sz="5" w:space="0" w:color="000000"/>
              <w:bottom w:val="single" w:sz="5" w:space="0" w:color="000000"/>
              <w:right w:val="single" w:sz="5" w:space="0" w:color="000000"/>
            </w:tcBorders>
          </w:tcPr>
          <w:p w14:paraId="6AB22A23" w14:textId="77777777" w:rsidR="0031675F" w:rsidRPr="0031675F" w:rsidRDefault="0031675F" w:rsidP="0031675F">
            <w:pPr>
              <w:widowControl w:val="0"/>
              <w:spacing w:before="79" w:after="0" w:line="240" w:lineRule="auto"/>
              <w:ind w:right="5"/>
              <w:jc w:val="center"/>
              <w:rPr>
                <w:rFonts w:ascii="Calibri" w:eastAsia="Calibri" w:hAnsi="Calibri" w:cs="Calibri"/>
                <w:sz w:val="18"/>
                <w:szCs w:val="18"/>
                <w:lang w:val="en-US"/>
              </w:rPr>
            </w:pPr>
            <w:r w:rsidRPr="0031675F">
              <w:rPr>
                <w:rFonts w:ascii="Calibri" w:eastAsia="Calibri" w:hAnsi="Calibri"/>
                <w:spacing w:val="-1"/>
                <w:sz w:val="18"/>
                <w:lang w:val="en-US"/>
              </w:rPr>
              <w:t>18</w:t>
            </w:r>
          </w:p>
        </w:tc>
        <w:tc>
          <w:tcPr>
            <w:tcW w:w="607" w:type="dxa"/>
            <w:tcBorders>
              <w:top w:val="single" w:sz="5" w:space="0" w:color="000000"/>
              <w:left w:val="single" w:sz="5" w:space="0" w:color="000000"/>
              <w:bottom w:val="single" w:sz="5" w:space="0" w:color="000000"/>
              <w:right w:val="single" w:sz="5" w:space="0" w:color="000000"/>
            </w:tcBorders>
          </w:tcPr>
          <w:p w14:paraId="50076AE3" w14:textId="77777777" w:rsidR="0031675F" w:rsidRPr="0031675F" w:rsidRDefault="0031675F" w:rsidP="0031675F">
            <w:pPr>
              <w:widowControl w:val="0"/>
              <w:spacing w:before="79" w:after="0" w:line="240" w:lineRule="auto"/>
              <w:ind w:right="102"/>
              <w:jc w:val="right"/>
              <w:rPr>
                <w:rFonts w:ascii="Calibri" w:eastAsia="Calibri" w:hAnsi="Calibri" w:cs="Calibri"/>
                <w:sz w:val="18"/>
                <w:szCs w:val="18"/>
                <w:lang w:val="en-US"/>
              </w:rPr>
            </w:pPr>
            <w:r w:rsidRPr="0031675F">
              <w:rPr>
                <w:rFonts w:ascii="Calibri" w:eastAsia="Calibri" w:hAnsi="Calibri"/>
                <w:w w:val="95"/>
                <w:sz w:val="18"/>
                <w:lang w:val="en-US"/>
              </w:rPr>
              <w:t>1</w:t>
            </w:r>
          </w:p>
        </w:tc>
        <w:tc>
          <w:tcPr>
            <w:tcW w:w="1346" w:type="dxa"/>
            <w:tcBorders>
              <w:top w:val="single" w:sz="5" w:space="0" w:color="000000"/>
              <w:left w:val="single" w:sz="5" w:space="0" w:color="000000"/>
              <w:bottom w:val="single" w:sz="5" w:space="0" w:color="000000"/>
              <w:right w:val="single" w:sz="5" w:space="0" w:color="000000"/>
            </w:tcBorders>
          </w:tcPr>
          <w:p w14:paraId="479C6F11" w14:textId="77777777" w:rsidR="0031675F" w:rsidRPr="0031675F" w:rsidRDefault="0031675F" w:rsidP="0031675F">
            <w:pPr>
              <w:widowControl w:val="0"/>
              <w:spacing w:before="79" w:after="0" w:line="240" w:lineRule="auto"/>
              <w:ind w:left="519"/>
              <w:rPr>
                <w:rFonts w:ascii="Calibri" w:eastAsia="Calibri" w:hAnsi="Calibri" w:cs="Calibri"/>
                <w:sz w:val="18"/>
                <w:szCs w:val="18"/>
                <w:lang w:val="en-US"/>
              </w:rPr>
            </w:pPr>
            <w:r w:rsidRPr="0031675F">
              <w:rPr>
                <w:rFonts w:ascii="Calibri" w:eastAsia="Calibri" w:hAnsi="Calibri"/>
                <w:spacing w:val="-1"/>
                <w:sz w:val="18"/>
                <w:lang w:val="en-US"/>
              </w:rPr>
              <w:t>13-Jan-05</w:t>
            </w:r>
          </w:p>
        </w:tc>
        <w:tc>
          <w:tcPr>
            <w:tcW w:w="759" w:type="dxa"/>
            <w:tcBorders>
              <w:top w:val="single" w:sz="5" w:space="0" w:color="000000"/>
              <w:left w:val="single" w:sz="5" w:space="0" w:color="000000"/>
              <w:bottom w:val="single" w:sz="5" w:space="0" w:color="000000"/>
              <w:right w:val="single" w:sz="5" w:space="0" w:color="000000"/>
            </w:tcBorders>
          </w:tcPr>
          <w:p w14:paraId="575DA888" w14:textId="77777777" w:rsidR="0031675F" w:rsidRPr="0031675F" w:rsidRDefault="0031675F" w:rsidP="0031675F">
            <w:pPr>
              <w:widowControl w:val="0"/>
              <w:spacing w:before="79" w:after="0" w:line="240" w:lineRule="auto"/>
              <w:ind w:left="234"/>
              <w:rPr>
                <w:rFonts w:ascii="Calibri" w:eastAsia="Calibri" w:hAnsi="Calibri" w:cs="Calibri"/>
                <w:sz w:val="18"/>
                <w:szCs w:val="18"/>
                <w:lang w:val="en-US"/>
              </w:rPr>
            </w:pPr>
            <w:r w:rsidRPr="0031675F">
              <w:rPr>
                <w:rFonts w:ascii="Calibri" w:eastAsia="Calibri" w:hAnsi="Calibri"/>
                <w:sz w:val="18"/>
                <w:lang w:val="en-US"/>
              </w:rPr>
              <w:t>0.031</w:t>
            </w:r>
          </w:p>
        </w:tc>
        <w:tc>
          <w:tcPr>
            <w:tcW w:w="919" w:type="dxa"/>
            <w:tcBorders>
              <w:top w:val="single" w:sz="5" w:space="0" w:color="000000"/>
              <w:left w:val="single" w:sz="5" w:space="0" w:color="000000"/>
              <w:bottom w:val="single" w:sz="5" w:space="0" w:color="000000"/>
              <w:right w:val="single" w:sz="5" w:space="0" w:color="000000"/>
            </w:tcBorders>
          </w:tcPr>
          <w:p w14:paraId="3F173C94" w14:textId="77777777" w:rsidR="0031675F" w:rsidRPr="0031675F" w:rsidRDefault="0031675F" w:rsidP="0031675F">
            <w:pPr>
              <w:widowControl w:val="0"/>
              <w:spacing w:before="79" w:after="0" w:line="240" w:lineRule="auto"/>
              <w:jc w:val="center"/>
              <w:rPr>
                <w:rFonts w:ascii="Calibri" w:eastAsia="Calibri" w:hAnsi="Calibri" w:cs="Calibri"/>
                <w:sz w:val="18"/>
                <w:szCs w:val="18"/>
                <w:lang w:val="en-US"/>
              </w:rPr>
            </w:pPr>
            <w:r w:rsidRPr="0031675F">
              <w:rPr>
                <w:rFonts w:ascii="Calibri" w:eastAsia="Calibri" w:hAnsi="Calibri"/>
                <w:spacing w:val="-1"/>
                <w:sz w:val="18"/>
                <w:lang w:val="en-US"/>
              </w:rPr>
              <w:t>100</w:t>
            </w:r>
          </w:p>
        </w:tc>
        <w:tc>
          <w:tcPr>
            <w:tcW w:w="919" w:type="dxa"/>
            <w:tcBorders>
              <w:top w:val="single" w:sz="5" w:space="0" w:color="000000"/>
              <w:left w:val="single" w:sz="5" w:space="0" w:color="000000"/>
              <w:bottom w:val="single" w:sz="5" w:space="0" w:color="000000"/>
              <w:right w:val="single" w:sz="5" w:space="0" w:color="000000"/>
            </w:tcBorders>
          </w:tcPr>
          <w:p w14:paraId="797BC511" w14:textId="77777777" w:rsidR="0031675F" w:rsidRPr="0031675F" w:rsidRDefault="0031675F" w:rsidP="0031675F">
            <w:pPr>
              <w:widowControl w:val="0"/>
              <w:spacing w:before="79" w:after="0" w:line="240" w:lineRule="auto"/>
              <w:jc w:val="center"/>
              <w:rPr>
                <w:rFonts w:ascii="Calibri" w:eastAsia="Calibri" w:hAnsi="Calibri" w:cs="Calibri"/>
                <w:sz w:val="18"/>
                <w:szCs w:val="18"/>
                <w:lang w:val="en-US"/>
              </w:rPr>
            </w:pPr>
            <w:r w:rsidRPr="0031675F">
              <w:rPr>
                <w:rFonts w:ascii="Calibri" w:eastAsia="Calibri" w:hAnsi="Calibri"/>
                <w:spacing w:val="-1"/>
                <w:sz w:val="18"/>
                <w:lang w:val="en-US"/>
              </w:rPr>
              <w:t>10</w:t>
            </w:r>
          </w:p>
        </w:tc>
        <w:tc>
          <w:tcPr>
            <w:tcW w:w="938" w:type="dxa"/>
            <w:tcBorders>
              <w:top w:val="single" w:sz="5" w:space="0" w:color="000000"/>
              <w:left w:val="single" w:sz="5" w:space="0" w:color="000000"/>
              <w:bottom w:val="single" w:sz="5" w:space="0" w:color="000000"/>
              <w:right w:val="single" w:sz="5" w:space="0" w:color="000000"/>
            </w:tcBorders>
          </w:tcPr>
          <w:p w14:paraId="1C440C12" w14:textId="77777777" w:rsidR="0031675F" w:rsidRPr="0031675F" w:rsidRDefault="0031675F" w:rsidP="0031675F">
            <w:pPr>
              <w:widowControl w:val="0"/>
              <w:spacing w:before="79" w:after="0" w:line="240" w:lineRule="auto"/>
              <w:jc w:val="center"/>
              <w:rPr>
                <w:rFonts w:ascii="Calibri" w:eastAsia="Calibri" w:hAnsi="Calibri" w:cs="Calibri"/>
                <w:sz w:val="18"/>
                <w:szCs w:val="18"/>
                <w:lang w:val="en-US"/>
              </w:rPr>
            </w:pPr>
            <w:r w:rsidRPr="0031675F">
              <w:rPr>
                <w:rFonts w:ascii="Calibri" w:eastAsia="Calibri" w:hAnsi="Calibri"/>
                <w:sz w:val="18"/>
                <w:lang w:val="en-US"/>
              </w:rPr>
              <w:t>1</w:t>
            </w:r>
          </w:p>
        </w:tc>
        <w:tc>
          <w:tcPr>
            <w:tcW w:w="1210" w:type="dxa"/>
            <w:tcBorders>
              <w:top w:val="single" w:sz="5" w:space="0" w:color="000000"/>
              <w:left w:val="single" w:sz="5" w:space="0" w:color="000000"/>
              <w:bottom w:val="single" w:sz="5" w:space="0" w:color="000000"/>
              <w:right w:val="single" w:sz="5" w:space="0" w:color="000000"/>
            </w:tcBorders>
          </w:tcPr>
          <w:p w14:paraId="798FE1C8" w14:textId="77777777" w:rsidR="0031675F" w:rsidRPr="0031675F" w:rsidRDefault="0031675F" w:rsidP="0031675F">
            <w:pPr>
              <w:widowControl w:val="0"/>
              <w:spacing w:before="79" w:after="0" w:line="240" w:lineRule="auto"/>
              <w:ind w:left="102"/>
              <w:rPr>
                <w:rFonts w:ascii="Calibri" w:eastAsia="Calibri" w:hAnsi="Calibri" w:cs="Calibri"/>
                <w:sz w:val="18"/>
                <w:szCs w:val="18"/>
                <w:lang w:val="en-US"/>
              </w:rPr>
            </w:pPr>
            <w:r w:rsidRPr="0031675F">
              <w:rPr>
                <w:rFonts w:ascii="Calibri" w:eastAsia="Calibri" w:hAnsi="Calibri"/>
                <w:spacing w:val="-1"/>
                <w:sz w:val="18"/>
                <w:lang w:val="en-US"/>
              </w:rPr>
              <w:t>new16</w:t>
            </w:r>
          </w:p>
        </w:tc>
        <w:tc>
          <w:tcPr>
            <w:tcW w:w="720" w:type="dxa"/>
            <w:tcBorders>
              <w:top w:val="single" w:sz="5" w:space="0" w:color="000000"/>
              <w:left w:val="single" w:sz="5" w:space="0" w:color="000000"/>
              <w:bottom w:val="single" w:sz="5" w:space="0" w:color="000000"/>
              <w:right w:val="single" w:sz="5" w:space="0" w:color="000000"/>
            </w:tcBorders>
          </w:tcPr>
          <w:p w14:paraId="1FD5AE4B" w14:textId="77777777" w:rsidR="0031675F" w:rsidRPr="0031675F" w:rsidRDefault="0031675F" w:rsidP="0031675F">
            <w:pPr>
              <w:widowControl w:val="0"/>
              <w:spacing w:before="79" w:after="0" w:line="240" w:lineRule="auto"/>
              <w:ind w:left="193"/>
              <w:rPr>
                <w:rFonts w:ascii="Calibri" w:eastAsia="Calibri" w:hAnsi="Calibri" w:cs="Calibri"/>
                <w:sz w:val="18"/>
                <w:szCs w:val="18"/>
                <w:lang w:val="en-US"/>
              </w:rPr>
            </w:pPr>
            <w:r w:rsidRPr="0031675F">
              <w:rPr>
                <w:rFonts w:ascii="Calibri" w:eastAsia="Calibri" w:hAnsi="Calibri"/>
                <w:sz w:val="18"/>
                <w:lang w:val="en-US"/>
              </w:rPr>
              <w:t>0.195</w:t>
            </w:r>
          </w:p>
        </w:tc>
        <w:tc>
          <w:tcPr>
            <w:tcW w:w="718" w:type="dxa"/>
            <w:tcBorders>
              <w:top w:val="single" w:sz="5" w:space="0" w:color="000000"/>
              <w:left w:val="single" w:sz="5" w:space="0" w:color="000000"/>
              <w:bottom w:val="single" w:sz="5" w:space="0" w:color="000000"/>
              <w:right w:val="single" w:sz="5" w:space="0" w:color="000000"/>
            </w:tcBorders>
          </w:tcPr>
          <w:p w14:paraId="638C37CE" w14:textId="77777777" w:rsidR="0031675F" w:rsidRPr="0031675F" w:rsidRDefault="0031675F" w:rsidP="0031675F">
            <w:pPr>
              <w:widowControl w:val="0"/>
              <w:spacing w:before="79" w:after="0" w:line="240" w:lineRule="auto"/>
              <w:ind w:left="190"/>
              <w:rPr>
                <w:rFonts w:ascii="Calibri" w:eastAsia="Calibri" w:hAnsi="Calibri" w:cs="Calibri"/>
                <w:sz w:val="18"/>
                <w:szCs w:val="18"/>
                <w:lang w:val="en-US"/>
              </w:rPr>
            </w:pPr>
            <w:r w:rsidRPr="0031675F">
              <w:rPr>
                <w:rFonts w:ascii="Calibri" w:eastAsia="Calibri" w:hAnsi="Calibri"/>
                <w:sz w:val="18"/>
                <w:lang w:val="en-US"/>
              </w:rPr>
              <w:t>0.124</w:t>
            </w:r>
          </w:p>
        </w:tc>
        <w:tc>
          <w:tcPr>
            <w:tcW w:w="1078" w:type="dxa"/>
            <w:tcBorders>
              <w:top w:val="single" w:sz="5" w:space="0" w:color="000000"/>
              <w:left w:val="single" w:sz="5" w:space="0" w:color="000000"/>
              <w:bottom w:val="single" w:sz="5" w:space="0" w:color="000000"/>
              <w:right w:val="single" w:sz="5" w:space="0" w:color="000000"/>
            </w:tcBorders>
          </w:tcPr>
          <w:p w14:paraId="1545BB65" w14:textId="77777777" w:rsidR="0031675F" w:rsidRPr="0031675F" w:rsidRDefault="0031675F" w:rsidP="0031675F">
            <w:pPr>
              <w:widowControl w:val="0"/>
              <w:spacing w:before="79" w:after="0" w:line="240" w:lineRule="auto"/>
              <w:ind w:left="553"/>
              <w:rPr>
                <w:rFonts w:ascii="Calibri" w:eastAsia="Calibri" w:hAnsi="Calibri" w:cs="Calibri"/>
                <w:sz w:val="18"/>
                <w:szCs w:val="18"/>
                <w:lang w:val="en-US"/>
              </w:rPr>
            </w:pPr>
            <w:r w:rsidRPr="0031675F">
              <w:rPr>
                <w:rFonts w:ascii="Calibri" w:eastAsia="Calibri" w:hAnsi="Calibri"/>
                <w:sz w:val="18"/>
                <w:lang w:val="en-US"/>
              </w:rPr>
              <w:t>0.164</w:t>
            </w:r>
          </w:p>
        </w:tc>
        <w:tc>
          <w:tcPr>
            <w:tcW w:w="1070" w:type="dxa"/>
            <w:tcBorders>
              <w:top w:val="single" w:sz="5" w:space="0" w:color="000000"/>
              <w:left w:val="single" w:sz="5" w:space="0" w:color="000000"/>
              <w:bottom w:val="single" w:sz="5" w:space="0" w:color="000000"/>
              <w:right w:val="single" w:sz="5" w:space="0" w:color="000000"/>
            </w:tcBorders>
          </w:tcPr>
          <w:p w14:paraId="2F32D833" w14:textId="77777777" w:rsidR="0031675F" w:rsidRPr="0031675F" w:rsidRDefault="0031675F" w:rsidP="0031675F">
            <w:pPr>
              <w:widowControl w:val="0"/>
              <w:spacing w:before="79" w:after="0" w:line="240" w:lineRule="auto"/>
              <w:ind w:left="546"/>
              <w:rPr>
                <w:rFonts w:ascii="Calibri" w:eastAsia="Calibri" w:hAnsi="Calibri" w:cs="Calibri"/>
                <w:sz w:val="18"/>
                <w:szCs w:val="18"/>
                <w:lang w:val="en-US"/>
              </w:rPr>
            </w:pPr>
            <w:r w:rsidRPr="0031675F">
              <w:rPr>
                <w:rFonts w:ascii="Calibri" w:eastAsia="Calibri" w:hAnsi="Calibri"/>
                <w:sz w:val="18"/>
                <w:lang w:val="en-US"/>
              </w:rPr>
              <w:t>0.093</w:t>
            </w:r>
          </w:p>
        </w:tc>
        <w:tc>
          <w:tcPr>
            <w:tcW w:w="852" w:type="dxa"/>
            <w:tcBorders>
              <w:top w:val="single" w:sz="5" w:space="0" w:color="000000"/>
              <w:left w:val="single" w:sz="5" w:space="0" w:color="000000"/>
              <w:bottom w:val="single" w:sz="5" w:space="0" w:color="000000"/>
              <w:right w:val="single" w:sz="5" w:space="0" w:color="000000"/>
            </w:tcBorders>
          </w:tcPr>
          <w:p w14:paraId="4C9CF372" w14:textId="77777777" w:rsidR="0031675F" w:rsidRPr="0031675F" w:rsidRDefault="0031675F" w:rsidP="0031675F">
            <w:pPr>
              <w:widowControl w:val="0"/>
              <w:spacing w:before="79" w:after="0" w:line="240" w:lineRule="auto"/>
              <w:ind w:left="258"/>
              <w:rPr>
                <w:rFonts w:ascii="Calibri" w:eastAsia="Calibri" w:hAnsi="Calibri" w:cs="Calibri"/>
                <w:sz w:val="18"/>
                <w:szCs w:val="18"/>
                <w:lang w:val="en-US"/>
              </w:rPr>
            </w:pPr>
            <w:r w:rsidRPr="0031675F">
              <w:rPr>
                <w:rFonts w:ascii="Calibri" w:eastAsia="Calibri" w:hAnsi="Calibri"/>
                <w:b/>
                <w:spacing w:val="-1"/>
                <w:sz w:val="18"/>
                <w:lang w:val="en-US"/>
              </w:rPr>
              <w:t>0.22</w:t>
            </w:r>
          </w:p>
        </w:tc>
        <w:tc>
          <w:tcPr>
            <w:tcW w:w="850" w:type="dxa"/>
            <w:tcBorders>
              <w:top w:val="single" w:sz="5" w:space="0" w:color="000000"/>
              <w:left w:val="single" w:sz="5" w:space="0" w:color="000000"/>
              <w:bottom w:val="single" w:sz="5" w:space="0" w:color="000000"/>
              <w:right w:val="single" w:sz="5" w:space="0" w:color="000000"/>
            </w:tcBorders>
          </w:tcPr>
          <w:p w14:paraId="3C342ADD" w14:textId="77777777" w:rsidR="0031675F" w:rsidRPr="0031675F" w:rsidRDefault="0031675F" w:rsidP="0031675F">
            <w:pPr>
              <w:widowControl w:val="0"/>
              <w:spacing w:before="79" w:after="0" w:line="240" w:lineRule="auto"/>
              <w:ind w:left="258"/>
              <w:rPr>
                <w:rFonts w:ascii="Calibri" w:eastAsia="Calibri" w:hAnsi="Calibri" w:cs="Calibri"/>
                <w:sz w:val="18"/>
                <w:szCs w:val="18"/>
                <w:lang w:val="en-US"/>
              </w:rPr>
            </w:pPr>
            <w:r w:rsidRPr="0031675F">
              <w:rPr>
                <w:rFonts w:ascii="Calibri" w:eastAsia="Calibri" w:hAnsi="Calibri"/>
                <w:b/>
                <w:spacing w:val="-1"/>
                <w:sz w:val="18"/>
                <w:lang w:val="en-US"/>
              </w:rPr>
              <w:t>0.13</w:t>
            </w:r>
          </w:p>
        </w:tc>
        <w:tc>
          <w:tcPr>
            <w:tcW w:w="711" w:type="dxa"/>
            <w:tcBorders>
              <w:top w:val="single" w:sz="5" w:space="0" w:color="000000"/>
              <w:left w:val="single" w:sz="5" w:space="0" w:color="000000"/>
              <w:bottom w:val="single" w:sz="5" w:space="0" w:color="000000"/>
              <w:right w:val="single" w:sz="5" w:space="0" w:color="000000"/>
            </w:tcBorders>
          </w:tcPr>
          <w:p w14:paraId="385D40F2" w14:textId="77777777" w:rsidR="0031675F" w:rsidRPr="0031675F" w:rsidRDefault="0031675F" w:rsidP="0031675F"/>
        </w:tc>
      </w:tr>
    </w:tbl>
    <w:p w14:paraId="1BD8740D" w14:textId="77777777" w:rsidR="0031675F" w:rsidRPr="0031675F" w:rsidRDefault="0031675F" w:rsidP="0031675F">
      <w:pPr>
        <w:spacing w:before="2"/>
        <w:rPr>
          <w:rFonts w:eastAsia="Arial" w:cs="Arial"/>
          <w:b/>
          <w:bCs/>
          <w:sz w:val="29"/>
          <w:szCs w:val="29"/>
        </w:rPr>
      </w:pPr>
    </w:p>
    <w:p w14:paraId="59E8E0AD" w14:textId="77777777" w:rsidR="0031675F" w:rsidRPr="0031675F" w:rsidRDefault="0031675F" w:rsidP="0031675F">
      <w:pPr>
        <w:jc w:val="center"/>
        <w:rPr>
          <w:rFonts w:cs="Calibri"/>
          <w:sz w:val="20"/>
          <w:szCs w:val="20"/>
        </w:rPr>
        <w:sectPr w:rsidR="0031675F" w:rsidRPr="0031675F" w:rsidSect="004A5C83">
          <w:pgSz w:w="16850" w:h="11910" w:orient="landscape"/>
          <w:pgMar w:top="720" w:right="1281" w:bottom="697" w:left="1281" w:header="283" w:footer="397" w:gutter="0"/>
          <w:paperSrc w:first="7" w:other="7"/>
          <w:cols w:space="720"/>
          <w:docGrid w:linePitch="299"/>
        </w:sectPr>
      </w:pPr>
    </w:p>
    <w:p w14:paraId="56003167" w14:textId="77777777" w:rsidR="0031675F" w:rsidRPr="0031675F" w:rsidRDefault="0031675F" w:rsidP="0031675F">
      <w:pPr>
        <w:rPr>
          <w:rFonts w:cs="Calibri"/>
          <w:sz w:val="20"/>
          <w:szCs w:val="20"/>
        </w:rPr>
      </w:pPr>
    </w:p>
    <w:p w14:paraId="60740D1D" w14:textId="56E5DF7F" w:rsidR="0031675F" w:rsidRPr="0031675F" w:rsidRDefault="0031675F" w:rsidP="005A35E3">
      <w:pPr>
        <w:pStyle w:val="Heading2"/>
        <w:numPr>
          <w:ilvl w:val="0"/>
          <w:numId w:val="0"/>
        </w:numPr>
        <w:ind w:left="284"/>
      </w:pPr>
      <w:bookmarkStart w:id="720" w:name="_Toc423356996"/>
      <w:bookmarkStart w:id="721" w:name="_Toc523830561"/>
      <w:bookmarkStart w:id="722" w:name="_Toc523905147"/>
      <w:bookmarkStart w:id="723" w:name="_Toc523905389"/>
      <w:bookmarkStart w:id="724" w:name="_Toc534968700"/>
      <w:bookmarkStart w:id="725" w:name="_Toc12365637"/>
      <w:r w:rsidRPr="00FF3C2F">
        <w:t>Section A10: Determination of total suspended solids in marine waters</w:t>
      </w:r>
      <w:bookmarkEnd w:id="720"/>
      <w:bookmarkEnd w:id="721"/>
      <w:bookmarkEnd w:id="722"/>
      <w:bookmarkEnd w:id="723"/>
      <w:bookmarkEnd w:id="724"/>
      <w:bookmarkEnd w:id="725"/>
    </w:p>
    <w:p w14:paraId="5F28036D" w14:textId="77777777" w:rsidR="0031675F" w:rsidRPr="0031675F" w:rsidRDefault="0031675F" w:rsidP="0031675F">
      <w:pPr>
        <w:spacing w:before="3"/>
        <w:rPr>
          <w:rFonts w:cs="Calibri"/>
          <w:sz w:val="17"/>
          <w:szCs w:val="17"/>
        </w:rPr>
      </w:pPr>
    </w:p>
    <w:p w14:paraId="1D184A09" w14:textId="77777777" w:rsidR="0031675F" w:rsidRPr="0031675F" w:rsidRDefault="0031675F" w:rsidP="0031675F">
      <w:pPr>
        <w:widowControl w:val="0"/>
        <w:numPr>
          <w:ilvl w:val="1"/>
          <w:numId w:val="77"/>
        </w:numPr>
        <w:tabs>
          <w:tab w:val="left" w:pos="859"/>
        </w:tabs>
        <w:spacing w:before="69" w:after="0" w:line="240" w:lineRule="auto"/>
        <w:rPr>
          <w:rFonts w:eastAsia="Arial" w:cs="Arial"/>
          <w:sz w:val="24"/>
          <w:szCs w:val="24"/>
        </w:rPr>
      </w:pPr>
      <w:bookmarkStart w:id="726" w:name="_TOC_250007"/>
      <w:r w:rsidRPr="0031675F">
        <w:rPr>
          <w:b/>
          <w:spacing w:val="-1"/>
          <w:sz w:val="24"/>
        </w:rPr>
        <w:t>Objective</w:t>
      </w:r>
      <w:bookmarkEnd w:id="726"/>
    </w:p>
    <w:p w14:paraId="47DD0227" w14:textId="77777777" w:rsidR="0031675F" w:rsidRPr="0031675F" w:rsidRDefault="0031675F" w:rsidP="0031675F">
      <w:pPr>
        <w:spacing w:before="11"/>
        <w:rPr>
          <w:rFonts w:eastAsia="Arial" w:cs="Arial"/>
          <w:b/>
          <w:bCs/>
          <w:sz w:val="20"/>
          <w:szCs w:val="20"/>
        </w:rPr>
      </w:pPr>
    </w:p>
    <w:p w14:paraId="04A86591" w14:textId="77777777" w:rsidR="0031675F" w:rsidRPr="0031675F" w:rsidRDefault="0031675F" w:rsidP="0031675F">
      <w:pPr>
        <w:spacing w:after="120"/>
        <w:ind w:left="138" w:right="140"/>
      </w:pPr>
      <w:r w:rsidRPr="0031675F">
        <w:rPr>
          <w:spacing w:val="-1"/>
        </w:rPr>
        <w:t>To</w:t>
      </w:r>
      <w:r w:rsidRPr="0031675F">
        <w:rPr>
          <w:spacing w:val="21"/>
        </w:rPr>
        <w:t xml:space="preserve"> </w:t>
      </w:r>
      <w:r w:rsidRPr="0031675F">
        <w:rPr>
          <w:spacing w:val="-1"/>
        </w:rPr>
        <w:t>measure</w:t>
      </w:r>
      <w:r w:rsidRPr="0031675F">
        <w:rPr>
          <w:spacing w:val="23"/>
        </w:rPr>
        <w:t xml:space="preserve"> </w:t>
      </w:r>
      <w:r w:rsidRPr="0031675F">
        <w:rPr>
          <w:spacing w:val="-1"/>
        </w:rPr>
        <w:t>the</w:t>
      </w:r>
      <w:r w:rsidRPr="0031675F">
        <w:rPr>
          <w:spacing w:val="22"/>
        </w:rPr>
        <w:t xml:space="preserve"> </w:t>
      </w:r>
      <w:r w:rsidRPr="0031675F">
        <w:rPr>
          <w:spacing w:val="-1"/>
        </w:rPr>
        <w:t>concentration</w:t>
      </w:r>
      <w:r w:rsidRPr="0031675F">
        <w:rPr>
          <w:spacing w:val="18"/>
        </w:rPr>
        <w:t xml:space="preserve"> </w:t>
      </w:r>
      <w:r w:rsidRPr="0031675F">
        <w:t>of</w:t>
      </w:r>
      <w:r w:rsidRPr="0031675F">
        <w:rPr>
          <w:spacing w:val="21"/>
        </w:rPr>
        <w:t xml:space="preserve"> </w:t>
      </w:r>
      <w:r w:rsidRPr="0031675F">
        <w:rPr>
          <w:spacing w:val="-1"/>
        </w:rPr>
        <w:t>suspended</w:t>
      </w:r>
      <w:r w:rsidRPr="0031675F">
        <w:rPr>
          <w:spacing w:val="19"/>
        </w:rPr>
        <w:t xml:space="preserve"> </w:t>
      </w:r>
      <w:r w:rsidRPr="0031675F">
        <w:rPr>
          <w:spacing w:val="-1"/>
        </w:rPr>
        <w:t>material</w:t>
      </w:r>
      <w:r w:rsidRPr="0031675F">
        <w:rPr>
          <w:spacing w:val="21"/>
        </w:rPr>
        <w:t xml:space="preserve"> </w:t>
      </w:r>
      <w:r w:rsidRPr="0031675F">
        <w:rPr>
          <w:spacing w:val="-1"/>
        </w:rPr>
        <w:t>present</w:t>
      </w:r>
      <w:r w:rsidRPr="0031675F">
        <w:rPr>
          <w:spacing w:val="22"/>
        </w:rPr>
        <w:t xml:space="preserve"> </w:t>
      </w:r>
      <w:r w:rsidRPr="0031675F">
        <w:t>in</w:t>
      </w:r>
      <w:r w:rsidRPr="0031675F">
        <w:rPr>
          <w:spacing w:val="18"/>
        </w:rPr>
        <w:t xml:space="preserve"> </w:t>
      </w:r>
      <w:r w:rsidRPr="0031675F">
        <w:rPr>
          <w:spacing w:val="-1"/>
        </w:rPr>
        <w:t>seawater</w:t>
      </w:r>
      <w:r w:rsidRPr="0031675F">
        <w:rPr>
          <w:spacing w:val="19"/>
        </w:rPr>
        <w:t xml:space="preserve"> </w:t>
      </w:r>
      <w:r w:rsidRPr="0031675F">
        <w:rPr>
          <w:spacing w:val="-1"/>
        </w:rPr>
        <w:t>samples</w:t>
      </w:r>
      <w:r w:rsidRPr="0031675F">
        <w:rPr>
          <w:spacing w:val="22"/>
        </w:rPr>
        <w:t xml:space="preserve"> </w:t>
      </w:r>
      <w:r w:rsidRPr="0031675F">
        <w:t>with</w:t>
      </w:r>
      <w:r w:rsidRPr="0031675F">
        <w:rPr>
          <w:spacing w:val="21"/>
        </w:rPr>
        <w:t xml:space="preserve"> </w:t>
      </w:r>
      <w:r w:rsidRPr="0031675F">
        <w:t>a</w:t>
      </w:r>
      <w:r w:rsidRPr="0031675F">
        <w:rPr>
          <w:spacing w:val="19"/>
        </w:rPr>
        <w:t xml:space="preserve"> </w:t>
      </w:r>
      <w:r w:rsidRPr="0031675F">
        <w:rPr>
          <w:spacing w:val="-1"/>
        </w:rPr>
        <w:t>focus</w:t>
      </w:r>
      <w:r w:rsidRPr="0031675F">
        <w:rPr>
          <w:spacing w:val="21"/>
        </w:rPr>
        <w:t xml:space="preserve"> </w:t>
      </w:r>
      <w:r w:rsidRPr="0031675F">
        <w:rPr>
          <w:spacing w:val="-1"/>
        </w:rPr>
        <w:t>on</w:t>
      </w:r>
      <w:r w:rsidRPr="0031675F">
        <w:rPr>
          <w:spacing w:val="55"/>
        </w:rPr>
        <w:t xml:space="preserve"> </w:t>
      </w:r>
      <w:r w:rsidRPr="0031675F">
        <w:rPr>
          <w:spacing w:val="-1"/>
        </w:rPr>
        <w:t>etecting low</w:t>
      </w:r>
      <w:r w:rsidRPr="0031675F">
        <w:rPr>
          <w:spacing w:val="-2"/>
        </w:rPr>
        <w:t xml:space="preserve"> </w:t>
      </w:r>
      <w:r w:rsidRPr="0031675F">
        <w:rPr>
          <w:spacing w:val="-1"/>
        </w:rPr>
        <w:t>concentrations.</w:t>
      </w:r>
    </w:p>
    <w:p w14:paraId="4B4D2585" w14:textId="77777777" w:rsidR="0031675F" w:rsidRPr="0031675F" w:rsidRDefault="0031675F" w:rsidP="0031675F">
      <w:pPr>
        <w:spacing w:before="11"/>
        <w:rPr>
          <w:rFonts w:cs="Calibri"/>
          <w:sz w:val="21"/>
          <w:szCs w:val="21"/>
        </w:rPr>
      </w:pPr>
    </w:p>
    <w:p w14:paraId="69A541D8" w14:textId="77777777" w:rsidR="0031675F" w:rsidRPr="0031675F" w:rsidRDefault="0031675F" w:rsidP="0031675F">
      <w:pPr>
        <w:widowControl w:val="0"/>
        <w:numPr>
          <w:ilvl w:val="1"/>
          <w:numId w:val="77"/>
        </w:numPr>
        <w:tabs>
          <w:tab w:val="left" w:pos="859"/>
        </w:tabs>
        <w:spacing w:before="0" w:after="0" w:line="240" w:lineRule="auto"/>
        <w:rPr>
          <w:rFonts w:eastAsia="Arial" w:cs="Arial"/>
          <w:sz w:val="24"/>
          <w:szCs w:val="24"/>
        </w:rPr>
      </w:pPr>
      <w:bookmarkStart w:id="727" w:name="_TOC_250006"/>
      <w:r w:rsidRPr="0031675F">
        <w:rPr>
          <w:b/>
          <w:spacing w:val="-1"/>
          <w:sz w:val="24"/>
        </w:rPr>
        <w:t>Principle</w:t>
      </w:r>
      <w:r w:rsidRPr="0031675F">
        <w:rPr>
          <w:b/>
          <w:sz w:val="24"/>
        </w:rPr>
        <w:t xml:space="preserve"> of </w:t>
      </w:r>
      <w:r w:rsidRPr="0031675F">
        <w:rPr>
          <w:b/>
          <w:spacing w:val="-1"/>
          <w:sz w:val="24"/>
        </w:rPr>
        <w:t>analysis</w:t>
      </w:r>
      <w:bookmarkEnd w:id="727"/>
    </w:p>
    <w:p w14:paraId="03DBF635" w14:textId="77777777" w:rsidR="0031675F" w:rsidRPr="0031675F" w:rsidRDefault="0031675F" w:rsidP="0031675F">
      <w:pPr>
        <w:spacing w:before="11"/>
        <w:rPr>
          <w:rFonts w:eastAsia="Arial" w:cs="Arial"/>
          <w:b/>
          <w:bCs/>
          <w:sz w:val="20"/>
          <w:szCs w:val="20"/>
        </w:rPr>
      </w:pPr>
    </w:p>
    <w:p w14:paraId="2880F099" w14:textId="77777777" w:rsidR="0031675F" w:rsidRPr="0031675F" w:rsidRDefault="0031675F" w:rsidP="0031675F">
      <w:pPr>
        <w:spacing w:after="120"/>
        <w:ind w:left="138" w:right="140"/>
      </w:pPr>
      <w:r w:rsidRPr="0031675F">
        <w:rPr>
          <w:spacing w:val="-1"/>
        </w:rPr>
        <w:t>The</w:t>
      </w:r>
      <w:r w:rsidRPr="0031675F">
        <w:rPr>
          <w:spacing w:val="10"/>
        </w:rPr>
        <w:t xml:space="preserve"> </w:t>
      </w:r>
      <w:r w:rsidRPr="0031675F">
        <w:rPr>
          <w:spacing w:val="-1"/>
        </w:rPr>
        <w:t>method</w:t>
      </w:r>
      <w:r w:rsidRPr="0031675F">
        <w:rPr>
          <w:spacing w:val="11"/>
        </w:rPr>
        <w:t xml:space="preserve"> </w:t>
      </w:r>
      <w:r w:rsidRPr="0031675F">
        <w:t>is</w:t>
      </w:r>
      <w:r w:rsidRPr="0031675F">
        <w:rPr>
          <w:spacing w:val="11"/>
        </w:rPr>
        <w:t xml:space="preserve"> </w:t>
      </w:r>
      <w:r w:rsidRPr="0031675F">
        <w:rPr>
          <w:spacing w:val="-1"/>
        </w:rPr>
        <w:t>based</w:t>
      </w:r>
      <w:r w:rsidRPr="0031675F">
        <w:rPr>
          <w:spacing w:val="11"/>
        </w:rPr>
        <w:t xml:space="preserve"> </w:t>
      </w:r>
      <w:r w:rsidRPr="0031675F">
        <w:t>on</w:t>
      </w:r>
      <w:r w:rsidRPr="0031675F">
        <w:rPr>
          <w:spacing w:val="11"/>
        </w:rPr>
        <w:t xml:space="preserve"> </w:t>
      </w:r>
      <w:r w:rsidRPr="0031675F">
        <w:rPr>
          <w:spacing w:val="-1"/>
        </w:rPr>
        <w:t>gravimetrically</w:t>
      </w:r>
      <w:r w:rsidRPr="0031675F">
        <w:rPr>
          <w:spacing w:val="13"/>
        </w:rPr>
        <w:t xml:space="preserve"> </w:t>
      </w:r>
      <w:r w:rsidRPr="0031675F">
        <w:rPr>
          <w:spacing w:val="-1"/>
        </w:rPr>
        <w:t>determining</w:t>
      </w:r>
      <w:r w:rsidRPr="0031675F">
        <w:rPr>
          <w:spacing w:val="11"/>
        </w:rPr>
        <w:t xml:space="preserve"> </w:t>
      </w:r>
      <w:r w:rsidRPr="0031675F">
        <w:rPr>
          <w:spacing w:val="-1"/>
        </w:rPr>
        <w:t>the</w:t>
      </w:r>
      <w:r w:rsidRPr="0031675F">
        <w:rPr>
          <w:spacing w:val="13"/>
        </w:rPr>
        <w:t xml:space="preserve"> </w:t>
      </w:r>
      <w:r w:rsidRPr="0031675F">
        <w:rPr>
          <w:spacing w:val="-1"/>
        </w:rPr>
        <w:t>dry</w:t>
      </w:r>
      <w:r w:rsidRPr="0031675F">
        <w:rPr>
          <w:spacing w:val="10"/>
        </w:rPr>
        <w:t xml:space="preserve"> </w:t>
      </w:r>
      <w:r w:rsidRPr="0031675F">
        <w:rPr>
          <w:spacing w:val="-1"/>
        </w:rPr>
        <w:t>weight</w:t>
      </w:r>
      <w:r w:rsidRPr="0031675F">
        <w:rPr>
          <w:spacing w:val="10"/>
        </w:rPr>
        <w:t xml:space="preserve"> </w:t>
      </w:r>
      <w:r w:rsidRPr="0031675F">
        <w:t>of</w:t>
      </w:r>
      <w:r w:rsidRPr="0031675F">
        <w:rPr>
          <w:spacing w:val="12"/>
        </w:rPr>
        <w:t xml:space="preserve"> </w:t>
      </w:r>
      <w:r w:rsidRPr="0031675F">
        <w:rPr>
          <w:spacing w:val="-1"/>
        </w:rPr>
        <w:t>particulate</w:t>
      </w:r>
      <w:r w:rsidRPr="0031675F">
        <w:rPr>
          <w:spacing w:val="13"/>
        </w:rPr>
        <w:t xml:space="preserve"> </w:t>
      </w:r>
      <w:r w:rsidRPr="0031675F">
        <w:rPr>
          <w:spacing w:val="-1"/>
        </w:rPr>
        <w:t>material</w:t>
      </w:r>
      <w:r w:rsidRPr="0031675F">
        <w:rPr>
          <w:spacing w:val="9"/>
        </w:rPr>
        <w:t xml:space="preserve"> </w:t>
      </w:r>
      <w:r w:rsidRPr="0031675F">
        <w:rPr>
          <w:spacing w:val="-1"/>
        </w:rPr>
        <w:t>collected</w:t>
      </w:r>
      <w:r w:rsidRPr="0031675F">
        <w:rPr>
          <w:spacing w:val="63"/>
        </w:rPr>
        <w:t xml:space="preserve"> </w:t>
      </w:r>
      <w:r w:rsidRPr="0031675F">
        <w:rPr>
          <w:spacing w:val="-1"/>
        </w:rPr>
        <w:t>from</w:t>
      </w:r>
      <w:r w:rsidRPr="0031675F">
        <w:rPr>
          <w:spacing w:val="-2"/>
        </w:rPr>
        <w:t xml:space="preserve"> </w:t>
      </w:r>
      <w:r w:rsidRPr="0031675F">
        <w:t xml:space="preserve">a </w:t>
      </w:r>
      <w:r w:rsidRPr="0031675F">
        <w:rPr>
          <w:spacing w:val="-1"/>
        </w:rPr>
        <w:t>known</w:t>
      </w:r>
      <w:r w:rsidRPr="0031675F">
        <w:rPr>
          <w:spacing w:val="-3"/>
        </w:rPr>
        <w:t xml:space="preserve"> </w:t>
      </w:r>
      <w:r w:rsidRPr="0031675F">
        <w:rPr>
          <w:spacing w:val="-1"/>
        </w:rPr>
        <w:t>volume</w:t>
      </w:r>
      <w:r w:rsidRPr="0031675F">
        <w:rPr>
          <w:spacing w:val="-2"/>
        </w:rPr>
        <w:t xml:space="preserve"> </w:t>
      </w:r>
      <w:r w:rsidRPr="0031675F">
        <w:t xml:space="preserve">of </w:t>
      </w:r>
      <w:r w:rsidRPr="0031675F">
        <w:rPr>
          <w:spacing w:val="-1"/>
        </w:rPr>
        <w:t>water</w:t>
      </w:r>
      <w:r w:rsidRPr="0031675F">
        <w:rPr>
          <w:spacing w:val="-2"/>
        </w:rPr>
        <w:t xml:space="preserve"> </w:t>
      </w:r>
      <w:r w:rsidRPr="0031675F">
        <w:rPr>
          <w:spacing w:val="-1"/>
        </w:rPr>
        <w:t>onto</w:t>
      </w:r>
      <w:r w:rsidRPr="0031675F">
        <w:rPr>
          <w:spacing w:val="1"/>
        </w:rPr>
        <w:t xml:space="preserve"> </w:t>
      </w:r>
      <w:r w:rsidRPr="0031675F">
        <w:t xml:space="preserve">a </w:t>
      </w:r>
      <w:r w:rsidRPr="0031675F">
        <w:rPr>
          <w:spacing w:val="-1"/>
        </w:rPr>
        <w:t>pre-weighed</w:t>
      </w:r>
      <w:r w:rsidRPr="0031675F">
        <w:rPr>
          <w:spacing w:val="-3"/>
        </w:rPr>
        <w:t xml:space="preserve"> </w:t>
      </w:r>
      <w:r w:rsidRPr="0031675F">
        <w:rPr>
          <w:spacing w:val="-1"/>
        </w:rPr>
        <w:t>membrane</w:t>
      </w:r>
      <w:r w:rsidRPr="0031675F">
        <w:rPr>
          <w:spacing w:val="-2"/>
        </w:rPr>
        <w:t xml:space="preserve"> </w:t>
      </w:r>
      <w:r w:rsidRPr="0031675F">
        <w:rPr>
          <w:spacing w:val="-1"/>
        </w:rPr>
        <w:t>filter.</w:t>
      </w:r>
    </w:p>
    <w:p w14:paraId="759AF0E6" w14:textId="77777777" w:rsidR="0031675F" w:rsidRPr="0031675F" w:rsidRDefault="0031675F" w:rsidP="0031675F">
      <w:pPr>
        <w:spacing w:before="10"/>
        <w:rPr>
          <w:rFonts w:cs="Calibri"/>
          <w:sz w:val="21"/>
          <w:szCs w:val="21"/>
        </w:rPr>
      </w:pPr>
    </w:p>
    <w:p w14:paraId="5418A728" w14:textId="77777777" w:rsidR="0031675F" w:rsidRPr="0031675F" w:rsidRDefault="0031675F" w:rsidP="0031675F">
      <w:pPr>
        <w:widowControl w:val="0"/>
        <w:numPr>
          <w:ilvl w:val="1"/>
          <w:numId w:val="77"/>
        </w:numPr>
        <w:tabs>
          <w:tab w:val="left" w:pos="859"/>
        </w:tabs>
        <w:spacing w:before="0" w:after="0" w:line="240" w:lineRule="auto"/>
        <w:rPr>
          <w:rFonts w:eastAsia="Arial" w:cs="Arial"/>
          <w:sz w:val="24"/>
          <w:szCs w:val="24"/>
        </w:rPr>
      </w:pPr>
      <w:bookmarkStart w:id="728" w:name="_TOC_250005"/>
      <w:r w:rsidRPr="0031675F">
        <w:rPr>
          <w:b/>
          <w:spacing w:val="-1"/>
          <w:sz w:val="24"/>
        </w:rPr>
        <w:t>Method</w:t>
      </w:r>
      <w:bookmarkEnd w:id="728"/>
    </w:p>
    <w:p w14:paraId="50D19042" w14:textId="77777777" w:rsidR="0031675F" w:rsidRPr="0031675F" w:rsidRDefault="0031675F" w:rsidP="0031675F">
      <w:pPr>
        <w:spacing w:before="10"/>
        <w:rPr>
          <w:rFonts w:eastAsia="Arial" w:cs="Arial"/>
          <w:b/>
          <w:bCs/>
          <w:sz w:val="20"/>
          <w:szCs w:val="20"/>
        </w:rPr>
      </w:pPr>
    </w:p>
    <w:p w14:paraId="12980EF1" w14:textId="77777777" w:rsidR="0031675F" w:rsidRPr="0031675F" w:rsidRDefault="0031675F" w:rsidP="0031675F">
      <w:pPr>
        <w:widowControl w:val="0"/>
        <w:numPr>
          <w:ilvl w:val="2"/>
          <w:numId w:val="77"/>
        </w:numPr>
        <w:tabs>
          <w:tab w:val="left" w:pos="859"/>
        </w:tabs>
        <w:spacing w:before="0" w:after="0" w:line="240" w:lineRule="auto"/>
        <w:rPr>
          <w:rFonts w:eastAsia="Arial" w:cs="Arial"/>
        </w:rPr>
      </w:pPr>
      <w:r w:rsidRPr="0031675F">
        <w:rPr>
          <w:b/>
          <w:spacing w:val="-1"/>
        </w:rPr>
        <w:t>Materials</w:t>
      </w:r>
    </w:p>
    <w:p w14:paraId="6E81FAA8" w14:textId="77777777" w:rsidR="0031675F" w:rsidRPr="0031675F" w:rsidRDefault="0031675F" w:rsidP="0031675F">
      <w:pPr>
        <w:spacing w:before="2"/>
        <w:rPr>
          <w:rFonts w:eastAsia="Arial" w:cs="Arial"/>
          <w:b/>
          <w:bCs/>
          <w:sz w:val="21"/>
          <w:szCs w:val="21"/>
        </w:rPr>
      </w:pPr>
    </w:p>
    <w:p w14:paraId="0B79E756" w14:textId="77777777" w:rsidR="0031675F" w:rsidRPr="0031675F" w:rsidRDefault="0031675F" w:rsidP="0031675F">
      <w:pPr>
        <w:widowControl w:val="0"/>
        <w:numPr>
          <w:ilvl w:val="0"/>
          <w:numId w:val="94"/>
        </w:numPr>
        <w:tabs>
          <w:tab w:val="left" w:pos="480"/>
        </w:tabs>
        <w:spacing w:before="0" w:after="0" w:line="240" w:lineRule="auto"/>
        <w:ind w:hanging="341"/>
      </w:pPr>
      <w:r w:rsidRPr="0031675F">
        <w:t>1 litre</w:t>
      </w:r>
      <w:r w:rsidRPr="0031675F">
        <w:rPr>
          <w:spacing w:val="-2"/>
        </w:rPr>
        <w:t xml:space="preserve"> </w:t>
      </w:r>
      <w:r w:rsidRPr="0031675F">
        <w:rPr>
          <w:spacing w:val="-1"/>
        </w:rPr>
        <w:t>plastic</w:t>
      </w:r>
      <w:r w:rsidRPr="0031675F">
        <w:rPr>
          <w:spacing w:val="-2"/>
        </w:rPr>
        <w:t xml:space="preserve"> </w:t>
      </w:r>
      <w:r w:rsidRPr="0031675F">
        <w:rPr>
          <w:spacing w:val="-1"/>
        </w:rPr>
        <w:t xml:space="preserve">bottle </w:t>
      </w:r>
      <w:r w:rsidRPr="0031675F">
        <w:t xml:space="preserve">or </w:t>
      </w:r>
      <w:r w:rsidRPr="0031675F">
        <w:rPr>
          <w:spacing w:val="-1"/>
        </w:rPr>
        <w:t>jar.</w:t>
      </w:r>
    </w:p>
    <w:p w14:paraId="5EAC7BB9" w14:textId="77777777" w:rsidR="0031675F" w:rsidRPr="0031675F" w:rsidRDefault="0031675F" w:rsidP="0031675F">
      <w:pPr>
        <w:widowControl w:val="0"/>
        <w:numPr>
          <w:ilvl w:val="0"/>
          <w:numId w:val="94"/>
        </w:numPr>
        <w:tabs>
          <w:tab w:val="left" w:pos="480"/>
        </w:tabs>
        <w:spacing w:before="9" w:after="0" w:line="266" w:lineRule="exact"/>
        <w:ind w:right="135" w:hanging="341"/>
      </w:pPr>
      <w:r w:rsidRPr="0031675F">
        <w:rPr>
          <w:spacing w:val="-1"/>
        </w:rPr>
        <w:t>Polycarbonate</w:t>
      </w:r>
      <w:r w:rsidRPr="0031675F">
        <w:rPr>
          <w:spacing w:val="5"/>
        </w:rPr>
        <w:t xml:space="preserve"> </w:t>
      </w:r>
      <w:r w:rsidRPr="0031675F">
        <w:rPr>
          <w:spacing w:val="-1"/>
        </w:rPr>
        <w:t>membrane</w:t>
      </w:r>
      <w:r w:rsidRPr="0031675F">
        <w:rPr>
          <w:spacing w:val="5"/>
        </w:rPr>
        <w:t xml:space="preserve"> </w:t>
      </w:r>
      <w:r w:rsidRPr="0031675F">
        <w:rPr>
          <w:spacing w:val="-1"/>
        </w:rPr>
        <w:t>filters</w:t>
      </w:r>
      <w:r w:rsidRPr="0031675F">
        <w:rPr>
          <w:spacing w:val="10"/>
        </w:rPr>
        <w:t xml:space="preserve"> </w:t>
      </w:r>
      <w:r w:rsidRPr="0031675F">
        <w:t>-</w:t>
      </w:r>
      <w:r w:rsidRPr="0031675F">
        <w:rPr>
          <w:spacing w:val="7"/>
        </w:rPr>
        <w:t xml:space="preserve"> </w:t>
      </w:r>
      <w:r w:rsidRPr="0031675F">
        <w:rPr>
          <w:spacing w:val="-1"/>
        </w:rPr>
        <w:t>0.4</w:t>
      </w:r>
      <w:r w:rsidRPr="0031675F">
        <w:rPr>
          <w:spacing w:val="5"/>
        </w:rPr>
        <w:t xml:space="preserve"> </w:t>
      </w:r>
      <w:r w:rsidRPr="0031675F">
        <w:t>µm</w:t>
      </w:r>
      <w:r w:rsidRPr="0031675F">
        <w:rPr>
          <w:spacing w:val="8"/>
        </w:rPr>
        <w:t xml:space="preserve"> </w:t>
      </w:r>
      <w:r w:rsidRPr="0031675F">
        <w:rPr>
          <w:spacing w:val="-1"/>
        </w:rPr>
        <w:t>pore</w:t>
      </w:r>
      <w:r w:rsidRPr="0031675F">
        <w:rPr>
          <w:spacing w:val="7"/>
        </w:rPr>
        <w:t xml:space="preserve"> </w:t>
      </w:r>
      <w:r w:rsidRPr="0031675F">
        <w:rPr>
          <w:spacing w:val="-1"/>
        </w:rPr>
        <w:t>diameter</w:t>
      </w:r>
      <w:r w:rsidRPr="0031675F">
        <w:rPr>
          <w:spacing w:val="7"/>
        </w:rPr>
        <w:t xml:space="preserve"> </w:t>
      </w:r>
      <w:r w:rsidRPr="0031675F">
        <w:t>x</w:t>
      </w:r>
      <w:r w:rsidRPr="0031675F">
        <w:rPr>
          <w:spacing w:val="8"/>
        </w:rPr>
        <w:t xml:space="preserve"> </w:t>
      </w:r>
      <w:r w:rsidRPr="0031675F">
        <w:rPr>
          <w:spacing w:val="-1"/>
        </w:rPr>
        <w:t>47</w:t>
      </w:r>
      <w:r w:rsidRPr="0031675F">
        <w:rPr>
          <w:spacing w:val="8"/>
        </w:rPr>
        <w:t xml:space="preserve"> </w:t>
      </w:r>
      <w:r w:rsidRPr="0031675F">
        <w:rPr>
          <w:spacing w:val="-1"/>
        </w:rPr>
        <w:t>mm</w:t>
      </w:r>
      <w:r w:rsidRPr="0031675F">
        <w:rPr>
          <w:spacing w:val="8"/>
        </w:rPr>
        <w:t xml:space="preserve"> </w:t>
      </w:r>
      <w:r w:rsidRPr="0031675F">
        <w:rPr>
          <w:spacing w:val="-1"/>
        </w:rPr>
        <w:t>diameter</w:t>
      </w:r>
      <w:r w:rsidRPr="0031675F">
        <w:rPr>
          <w:spacing w:val="7"/>
        </w:rPr>
        <w:t xml:space="preserve"> </w:t>
      </w:r>
      <w:r w:rsidRPr="0031675F">
        <w:rPr>
          <w:spacing w:val="-1"/>
        </w:rPr>
        <w:t>(Nuclepore,</w:t>
      </w:r>
      <w:r w:rsidRPr="0031675F">
        <w:rPr>
          <w:spacing w:val="5"/>
        </w:rPr>
        <w:t xml:space="preserve"> </w:t>
      </w:r>
      <w:r w:rsidRPr="0031675F">
        <w:rPr>
          <w:spacing w:val="-1"/>
        </w:rPr>
        <w:t>Poretics,</w:t>
      </w:r>
      <w:r w:rsidRPr="0031675F">
        <w:rPr>
          <w:spacing w:val="70"/>
        </w:rPr>
        <w:t xml:space="preserve"> </w:t>
      </w:r>
      <w:r w:rsidRPr="0031675F">
        <w:rPr>
          <w:spacing w:val="-1"/>
        </w:rPr>
        <w:t>etc.)</w:t>
      </w:r>
    </w:p>
    <w:p w14:paraId="1A134BDD" w14:textId="5A28684E" w:rsidR="0031675F" w:rsidRPr="0031675F" w:rsidRDefault="0031675F" w:rsidP="0031675F">
      <w:pPr>
        <w:widowControl w:val="0"/>
        <w:numPr>
          <w:ilvl w:val="0"/>
          <w:numId w:val="94"/>
        </w:numPr>
        <w:tabs>
          <w:tab w:val="left" w:pos="480"/>
        </w:tabs>
        <w:spacing w:before="6" w:after="0" w:line="240" w:lineRule="auto"/>
        <w:ind w:right="135" w:hanging="341"/>
      </w:pPr>
      <w:r w:rsidRPr="0031675F">
        <w:rPr>
          <w:spacing w:val="-1"/>
        </w:rPr>
        <w:t>Clean</w:t>
      </w:r>
      <w:r w:rsidRPr="0031675F">
        <w:rPr>
          <w:spacing w:val="9"/>
        </w:rPr>
        <w:t xml:space="preserve"> </w:t>
      </w:r>
      <w:r w:rsidRPr="0031675F">
        <w:t>20</w:t>
      </w:r>
      <w:r w:rsidRPr="0031675F">
        <w:rPr>
          <w:spacing w:val="8"/>
        </w:rPr>
        <w:t xml:space="preserve"> </w:t>
      </w:r>
      <w:r w:rsidR="00BB13FD">
        <w:t>mL</w:t>
      </w:r>
      <w:r w:rsidRPr="0031675F">
        <w:rPr>
          <w:spacing w:val="9"/>
        </w:rPr>
        <w:t xml:space="preserve"> </w:t>
      </w:r>
      <w:r w:rsidRPr="0031675F">
        <w:rPr>
          <w:spacing w:val="-1"/>
        </w:rPr>
        <w:t>scintillation</w:t>
      </w:r>
      <w:r w:rsidRPr="0031675F">
        <w:rPr>
          <w:spacing w:val="9"/>
        </w:rPr>
        <w:t xml:space="preserve"> </w:t>
      </w:r>
      <w:r w:rsidRPr="0031675F">
        <w:rPr>
          <w:spacing w:val="-1"/>
        </w:rPr>
        <w:t>vials</w:t>
      </w:r>
      <w:r w:rsidRPr="0031675F">
        <w:rPr>
          <w:spacing w:val="12"/>
        </w:rPr>
        <w:t xml:space="preserve"> </w:t>
      </w:r>
      <w:r w:rsidRPr="0031675F">
        <w:t>-</w:t>
      </w:r>
      <w:r w:rsidRPr="0031675F">
        <w:rPr>
          <w:spacing w:val="9"/>
        </w:rPr>
        <w:t xml:space="preserve"> </w:t>
      </w:r>
      <w:r w:rsidRPr="0031675F">
        <w:rPr>
          <w:spacing w:val="-1"/>
        </w:rPr>
        <w:t>Rinse</w:t>
      </w:r>
      <w:r w:rsidRPr="0031675F">
        <w:rPr>
          <w:spacing w:val="10"/>
        </w:rPr>
        <w:t xml:space="preserve"> </w:t>
      </w:r>
      <w:r w:rsidRPr="0031675F">
        <w:rPr>
          <w:spacing w:val="-1"/>
        </w:rPr>
        <w:t>new</w:t>
      </w:r>
      <w:r w:rsidRPr="0031675F">
        <w:rPr>
          <w:spacing w:val="10"/>
        </w:rPr>
        <w:t xml:space="preserve"> </w:t>
      </w:r>
      <w:r w:rsidRPr="0031675F">
        <w:rPr>
          <w:spacing w:val="-1"/>
        </w:rPr>
        <w:t>and</w:t>
      </w:r>
      <w:r w:rsidRPr="0031675F">
        <w:rPr>
          <w:spacing w:val="9"/>
        </w:rPr>
        <w:t xml:space="preserve"> </w:t>
      </w:r>
      <w:r w:rsidRPr="0031675F">
        <w:t>old</w:t>
      </w:r>
      <w:r w:rsidRPr="0031675F">
        <w:rPr>
          <w:spacing w:val="8"/>
        </w:rPr>
        <w:t xml:space="preserve"> </w:t>
      </w:r>
      <w:r w:rsidRPr="0031675F">
        <w:rPr>
          <w:spacing w:val="-1"/>
        </w:rPr>
        <w:t>vials</w:t>
      </w:r>
      <w:r w:rsidRPr="0031675F">
        <w:rPr>
          <w:spacing w:val="9"/>
        </w:rPr>
        <w:t xml:space="preserve"> </w:t>
      </w:r>
      <w:r w:rsidRPr="0031675F">
        <w:t>before</w:t>
      </w:r>
      <w:r w:rsidRPr="0031675F">
        <w:rPr>
          <w:spacing w:val="10"/>
        </w:rPr>
        <w:t xml:space="preserve"> </w:t>
      </w:r>
      <w:r w:rsidRPr="0031675F">
        <w:rPr>
          <w:spacing w:val="-1"/>
        </w:rPr>
        <w:t>use/re-use</w:t>
      </w:r>
      <w:r w:rsidRPr="0031675F">
        <w:rPr>
          <w:spacing w:val="10"/>
        </w:rPr>
        <w:t xml:space="preserve"> </w:t>
      </w:r>
      <w:r w:rsidRPr="0031675F">
        <w:t>in</w:t>
      </w:r>
      <w:r w:rsidRPr="0031675F">
        <w:rPr>
          <w:spacing w:val="8"/>
        </w:rPr>
        <w:t xml:space="preserve"> </w:t>
      </w:r>
      <w:r w:rsidRPr="0031675F">
        <w:rPr>
          <w:spacing w:val="-1"/>
        </w:rPr>
        <w:t>deionized</w:t>
      </w:r>
      <w:r w:rsidRPr="0031675F">
        <w:rPr>
          <w:spacing w:val="9"/>
        </w:rPr>
        <w:t xml:space="preserve"> </w:t>
      </w:r>
      <w:r w:rsidRPr="0031675F">
        <w:t>water</w:t>
      </w:r>
      <w:r w:rsidRPr="0031675F">
        <w:rPr>
          <w:spacing w:val="10"/>
        </w:rPr>
        <w:t xml:space="preserve"> </w:t>
      </w:r>
      <w:r w:rsidRPr="0031675F">
        <w:rPr>
          <w:spacing w:val="-1"/>
        </w:rPr>
        <w:t>and</w:t>
      </w:r>
      <w:r w:rsidRPr="0031675F">
        <w:rPr>
          <w:spacing w:val="57"/>
        </w:rPr>
        <w:t xml:space="preserve"> </w:t>
      </w:r>
      <w:r w:rsidRPr="0031675F">
        <w:rPr>
          <w:spacing w:val="-1"/>
        </w:rPr>
        <w:t>bake</w:t>
      </w:r>
      <w:r w:rsidRPr="0031675F">
        <w:rPr>
          <w:spacing w:val="1"/>
        </w:rPr>
        <w:t xml:space="preserve"> </w:t>
      </w:r>
      <w:r w:rsidRPr="0031675F">
        <w:t>at</w:t>
      </w:r>
      <w:r w:rsidRPr="0031675F">
        <w:rPr>
          <w:spacing w:val="-2"/>
        </w:rPr>
        <w:t xml:space="preserve"> </w:t>
      </w:r>
      <w:r w:rsidRPr="0031675F">
        <w:rPr>
          <w:spacing w:val="-1"/>
        </w:rPr>
        <w:t>450°C</w:t>
      </w:r>
      <w:r w:rsidRPr="0031675F">
        <w:rPr>
          <w:spacing w:val="-3"/>
        </w:rPr>
        <w:t xml:space="preserve"> </w:t>
      </w:r>
      <w:r w:rsidRPr="0031675F">
        <w:t>for</w:t>
      </w:r>
      <w:r w:rsidRPr="0031675F">
        <w:rPr>
          <w:spacing w:val="-2"/>
        </w:rPr>
        <w:t xml:space="preserve"> </w:t>
      </w:r>
      <w:r w:rsidRPr="0031675F">
        <w:t xml:space="preserve">2 </w:t>
      </w:r>
      <w:r w:rsidRPr="0031675F">
        <w:rPr>
          <w:spacing w:val="-1"/>
        </w:rPr>
        <w:t>hrs</w:t>
      </w:r>
      <w:r w:rsidRPr="0031675F">
        <w:rPr>
          <w:spacing w:val="-3"/>
        </w:rPr>
        <w:t xml:space="preserve"> </w:t>
      </w:r>
      <w:r w:rsidRPr="0031675F">
        <w:rPr>
          <w:spacing w:val="-1"/>
        </w:rPr>
        <w:t>to</w:t>
      </w:r>
      <w:r w:rsidRPr="0031675F">
        <w:rPr>
          <w:spacing w:val="1"/>
        </w:rPr>
        <w:t xml:space="preserve"> </w:t>
      </w:r>
      <w:r w:rsidRPr="0031675F">
        <w:rPr>
          <w:spacing w:val="-1"/>
        </w:rPr>
        <w:t>remove</w:t>
      </w:r>
      <w:r w:rsidRPr="0031675F">
        <w:t xml:space="preserve"> </w:t>
      </w:r>
      <w:r w:rsidRPr="0031675F">
        <w:rPr>
          <w:spacing w:val="-1"/>
        </w:rPr>
        <w:t>any</w:t>
      </w:r>
      <w:r w:rsidRPr="0031675F">
        <w:rPr>
          <w:spacing w:val="-2"/>
        </w:rPr>
        <w:t xml:space="preserve"> </w:t>
      </w:r>
      <w:r w:rsidRPr="0031675F">
        <w:rPr>
          <w:spacing w:val="-1"/>
        </w:rPr>
        <w:t>dust,</w:t>
      </w:r>
      <w:r w:rsidRPr="0031675F">
        <w:rPr>
          <w:spacing w:val="1"/>
        </w:rPr>
        <w:t xml:space="preserve"> </w:t>
      </w:r>
      <w:r w:rsidRPr="0031675F">
        <w:rPr>
          <w:spacing w:val="-1"/>
        </w:rPr>
        <w:t>sediment</w:t>
      </w:r>
      <w:r w:rsidRPr="0031675F">
        <w:rPr>
          <w:spacing w:val="-2"/>
        </w:rPr>
        <w:t xml:space="preserve"> </w:t>
      </w:r>
      <w:r w:rsidRPr="0031675F">
        <w:t>or</w:t>
      </w:r>
      <w:r w:rsidRPr="0031675F">
        <w:rPr>
          <w:spacing w:val="-2"/>
        </w:rPr>
        <w:t xml:space="preserve"> </w:t>
      </w:r>
      <w:r w:rsidRPr="0031675F">
        <w:rPr>
          <w:spacing w:val="-1"/>
        </w:rPr>
        <w:t>organic</w:t>
      </w:r>
      <w:r w:rsidRPr="0031675F">
        <w:rPr>
          <w:spacing w:val="-2"/>
        </w:rPr>
        <w:t xml:space="preserve"> </w:t>
      </w:r>
      <w:r w:rsidRPr="0031675F">
        <w:rPr>
          <w:spacing w:val="-1"/>
        </w:rPr>
        <w:t>matter.</w:t>
      </w:r>
      <w:r w:rsidRPr="0031675F">
        <w:rPr>
          <w:spacing w:val="49"/>
        </w:rPr>
        <w:t xml:space="preserve"> </w:t>
      </w:r>
      <w:r w:rsidRPr="0031675F">
        <w:rPr>
          <w:spacing w:val="-1"/>
        </w:rPr>
        <w:t>Recap</w:t>
      </w:r>
      <w:r w:rsidRPr="0031675F">
        <w:rPr>
          <w:spacing w:val="-3"/>
        </w:rPr>
        <w:t xml:space="preserve"> </w:t>
      </w:r>
      <w:r w:rsidRPr="0031675F">
        <w:t xml:space="preserve">with </w:t>
      </w:r>
      <w:r w:rsidRPr="0031675F">
        <w:rPr>
          <w:spacing w:val="-1"/>
        </w:rPr>
        <w:t>clean caps.</w:t>
      </w:r>
    </w:p>
    <w:p w14:paraId="71522716" w14:textId="77777777" w:rsidR="0031675F" w:rsidRPr="0031675F" w:rsidRDefault="0031675F" w:rsidP="0031675F">
      <w:pPr>
        <w:widowControl w:val="0"/>
        <w:numPr>
          <w:ilvl w:val="0"/>
          <w:numId w:val="94"/>
        </w:numPr>
        <w:tabs>
          <w:tab w:val="left" w:pos="480"/>
        </w:tabs>
        <w:spacing w:before="0" w:after="0" w:line="240" w:lineRule="auto"/>
        <w:ind w:hanging="341"/>
      </w:pPr>
      <w:r w:rsidRPr="0031675F">
        <w:rPr>
          <w:spacing w:val="-1"/>
        </w:rPr>
        <w:t>Millipore</w:t>
      </w:r>
      <w:r w:rsidRPr="0031675F">
        <w:rPr>
          <w:spacing w:val="-2"/>
        </w:rPr>
        <w:t xml:space="preserve"> </w:t>
      </w:r>
      <w:r w:rsidRPr="0031675F">
        <w:rPr>
          <w:spacing w:val="-1"/>
        </w:rPr>
        <w:t>tweezers</w:t>
      </w:r>
      <w:r w:rsidRPr="0031675F">
        <w:t xml:space="preserve"> </w:t>
      </w:r>
      <w:r w:rsidRPr="0031675F">
        <w:rPr>
          <w:spacing w:val="-1"/>
        </w:rPr>
        <w:t>(2)</w:t>
      </w:r>
    </w:p>
    <w:p w14:paraId="77B273F8" w14:textId="77777777" w:rsidR="0031675F" w:rsidRPr="0031675F" w:rsidRDefault="0031675F" w:rsidP="0031675F">
      <w:pPr>
        <w:widowControl w:val="0"/>
        <w:numPr>
          <w:ilvl w:val="0"/>
          <w:numId w:val="94"/>
        </w:numPr>
        <w:tabs>
          <w:tab w:val="left" w:pos="480"/>
        </w:tabs>
        <w:spacing w:before="0" w:after="0" w:line="279" w:lineRule="exact"/>
        <w:ind w:hanging="341"/>
      </w:pPr>
      <w:r w:rsidRPr="0031675F">
        <w:rPr>
          <w:spacing w:val="-1"/>
        </w:rPr>
        <w:t>Filter</w:t>
      </w:r>
      <w:r w:rsidRPr="0031675F">
        <w:t xml:space="preserve"> </w:t>
      </w:r>
      <w:r w:rsidRPr="0031675F">
        <w:rPr>
          <w:spacing w:val="-1"/>
        </w:rPr>
        <w:t>funnels (47</w:t>
      </w:r>
      <w:r w:rsidRPr="0031675F">
        <w:rPr>
          <w:spacing w:val="-2"/>
        </w:rPr>
        <w:t xml:space="preserve"> </w:t>
      </w:r>
      <w:r w:rsidRPr="0031675F">
        <w:rPr>
          <w:spacing w:val="-1"/>
        </w:rPr>
        <w:t>mm),</w:t>
      </w:r>
      <w:r w:rsidRPr="0031675F">
        <w:t xml:space="preserve"> </w:t>
      </w:r>
      <w:r w:rsidRPr="0031675F">
        <w:rPr>
          <w:spacing w:val="-1"/>
        </w:rPr>
        <w:t>bases</w:t>
      </w:r>
      <w:r w:rsidRPr="0031675F">
        <w:t xml:space="preserve"> </w:t>
      </w:r>
      <w:r w:rsidRPr="0031675F">
        <w:rPr>
          <w:spacing w:val="-1"/>
        </w:rPr>
        <w:t>and clamps</w:t>
      </w:r>
    </w:p>
    <w:p w14:paraId="1417F066" w14:textId="77777777" w:rsidR="0031675F" w:rsidRPr="0031675F" w:rsidRDefault="0031675F" w:rsidP="0031675F">
      <w:pPr>
        <w:widowControl w:val="0"/>
        <w:numPr>
          <w:ilvl w:val="0"/>
          <w:numId w:val="94"/>
        </w:numPr>
        <w:tabs>
          <w:tab w:val="left" w:pos="480"/>
        </w:tabs>
        <w:spacing w:before="0" w:after="0" w:line="279" w:lineRule="exact"/>
        <w:ind w:hanging="341"/>
      </w:pPr>
      <w:r w:rsidRPr="0031675F">
        <w:rPr>
          <w:spacing w:val="-1"/>
        </w:rPr>
        <w:t>Vacuum manifold,</w:t>
      </w:r>
      <w:r w:rsidRPr="0031675F">
        <w:rPr>
          <w:spacing w:val="-3"/>
        </w:rPr>
        <w:t xml:space="preserve"> </w:t>
      </w:r>
      <w:r w:rsidRPr="0031675F">
        <w:rPr>
          <w:spacing w:val="-1"/>
        </w:rPr>
        <w:t>water</w:t>
      </w:r>
      <w:r w:rsidRPr="0031675F">
        <w:t xml:space="preserve"> </w:t>
      </w:r>
      <w:r w:rsidRPr="0031675F">
        <w:rPr>
          <w:spacing w:val="-1"/>
        </w:rPr>
        <w:t xml:space="preserve">trap </w:t>
      </w:r>
      <w:r w:rsidRPr="0031675F">
        <w:t>and</w:t>
      </w:r>
      <w:r w:rsidRPr="0031675F">
        <w:rPr>
          <w:spacing w:val="-2"/>
        </w:rPr>
        <w:t xml:space="preserve"> </w:t>
      </w:r>
      <w:r w:rsidRPr="0031675F">
        <w:rPr>
          <w:spacing w:val="-1"/>
        </w:rPr>
        <w:t>pump.</w:t>
      </w:r>
    </w:p>
    <w:p w14:paraId="756E43E8" w14:textId="77777777" w:rsidR="0031675F" w:rsidRPr="0031675F" w:rsidRDefault="0031675F" w:rsidP="0031675F">
      <w:pPr>
        <w:widowControl w:val="0"/>
        <w:numPr>
          <w:ilvl w:val="0"/>
          <w:numId w:val="94"/>
        </w:numPr>
        <w:tabs>
          <w:tab w:val="left" w:pos="480"/>
        </w:tabs>
        <w:spacing w:before="0" w:after="0" w:line="240" w:lineRule="auto"/>
        <w:ind w:hanging="341"/>
      </w:pPr>
      <w:r w:rsidRPr="0031675F">
        <w:rPr>
          <w:spacing w:val="-1"/>
        </w:rPr>
        <w:t>Analytical balance</w:t>
      </w:r>
      <w:r w:rsidRPr="0031675F">
        <w:t xml:space="preserve"> </w:t>
      </w:r>
      <w:r w:rsidRPr="0031675F">
        <w:rPr>
          <w:spacing w:val="-2"/>
        </w:rPr>
        <w:t>(5</w:t>
      </w:r>
      <w:r w:rsidRPr="0031675F">
        <w:t xml:space="preserve"> </w:t>
      </w:r>
      <w:r w:rsidRPr="0031675F">
        <w:rPr>
          <w:spacing w:val="-1"/>
        </w:rPr>
        <w:t>decimal</w:t>
      </w:r>
      <w:r w:rsidRPr="0031675F">
        <w:t xml:space="preserve"> </w:t>
      </w:r>
      <w:r w:rsidRPr="0031675F">
        <w:rPr>
          <w:spacing w:val="-1"/>
        </w:rPr>
        <w:t>places) linked to Water</w:t>
      </w:r>
      <w:r w:rsidRPr="0031675F">
        <w:rPr>
          <w:spacing w:val="-2"/>
        </w:rPr>
        <w:t xml:space="preserve"> </w:t>
      </w:r>
      <w:r w:rsidRPr="0031675F">
        <w:rPr>
          <w:spacing w:val="-1"/>
        </w:rPr>
        <w:t>Quality</w:t>
      </w:r>
      <w:r w:rsidRPr="0031675F">
        <w:rPr>
          <w:spacing w:val="1"/>
        </w:rPr>
        <w:t xml:space="preserve"> </w:t>
      </w:r>
      <w:r w:rsidRPr="0031675F">
        <w:rPr>
          <w:spacing w:val="-1"/>
        </w:rPr>
        <w:t>Filter</w:t>
      </w:r>
      <w:r w:rsidRPr="0031675F">
        <w:t xml:space="preserve"> </w:t>
      </w:r>
      <w:r w:rsidRPr="0031675F">
        <w:rPr>
          <w:spacing w:val="-1"/>
        </w:rPr>
        <w:t xml:space="preserve">Weigh </w:t>
      </w:r>
      <w:r w:rsidRPr="0031675F">
        <w:rPr>
          <w:spacing w:val="-2"/>
        </w:rPr>
        <w:t>Station</w:t>
      </w:r>
      <w:r w:rsidRPr="0031675F">
        <w:rPr>
          <w:spacing w:val="-1"/>
        </w:rPr>
        <w:t xml:space="preserve"> Tool</w:t>
      </w:r>
    </w:p>
    <w:p w14:paraId="223006BB" w14:textId="77777777" w:rsidR="0031675F" w:rsidRPr="0031675F" w:rsidRDefault="0031675F" w:rsidP="0031675F">
      <w:pPr>
        <w:widowControl w:val="0"/>
        <w:numPr>
          <w:ilvl w:val="0"/>
          <w:numId w:val="94"/>
        </w:numPr>
        <w:tabs>
          <w:tab w:val="left" w:pos="480"/>
        </w:tabs>
        <w:spacing w:before="1" w:after="0" w:line="240" w:lineRule="auto"/>
        <w:ind w:hanging="341"/>
      </w:pPr>
      <w:r w:rsidRPr="0031675F">
        <w:t>1 litre</w:t>
      </w:r>
      <w:r w:rsidRPr="0031675F">
        <w:rPr>
          <w:spacing w:val="-2"/>
        </w:rPr>
        <w:t xml:space="preserve"> </w:t>
      </w:r>
      <w:r w:rsidRPr="0031675F">
        <w:rPr>
          <w:spacing w:val="-1"/>
        </w:rPr>
        <w:t>measuring cylinder</w:t>
      </w:r>
    </w:p>
    <w:p w14:paraId="277EF9B2" w14:textId="77777777" w:rsidR="0031675F" w:rsidRPr="0031675F" w:rsidRDefault="0031675F" w:rsidP="0031675F">
      <w:pPr>
        <w:widowControl w:val="0"/>
        <w:numPr>
          <w:ilvl w:val="0"/>
          <w:numId w:val="94"/>
        </w:numPr>
        <w:tabs>
          <w:tab w:val="left" w:pos="480"/>
        </w:tabs>
        <w:spacing w:before="0" w:after="0" w:line="240" w:lineRule="auto"/>
        <w:ind w:hanging="341"/>
      </w:pPr>
      <w:r w:rsidRPr="0031675F">
        <w:t>Drying</w:t>
      </w:r>
      <w:r w:rsidRPr="0031675F">
        <w:rPr>
          <w:spacing w:val="-4"/>
        </w:rPr>
        <w:t xml:space="preserve"> </w:t>
      </w:r>
      <w:r w:rsidRPr="0031675F">
        <w:rPr>
          <w:spacing w:val="-1"/>
        </w:rPr>
        <w:t>oven</w:t>
      </w:r>
      <w:r w:rsidRPr="0031675F">
        <w:t xml:space="preserve"> </w:t>
      </w:r>
      <w:r w:rsidRPr="0031675F">
        <w:rPr>
          <w:spacing w:val="-1"/>
        </w:rPr>
        <w:t>set</w:t>
      </w:r>
      <w:r w:rsidRPr="0031675F">
        <w:t xml:space="preserve"> at</w:t>
      </w:r>
      <w:r w:rsidRPr="0031675F">
        <w:rPr>
          <w:spacing w:val="-2"/>
        </w:rPr>
        <w:t xml:space="preserve"> </w:t>
      </w:r>
      <w:r w:rsidRPr="0031675F">
        <w:rPr>
          <w:spacing w:val="-1"/>
        </w:rPr>
        <w:t>60°C</w:t>
      </w:r>
    </w:p>
    <w:p w14:paraId="4D3DD943" w14:textId="77777777" w:rsidR="0031675F" w:rsidRPr="0031675F" w:rsidRDefault="0031675F" w:rsidP="0031675F">
      <w:pPr>
        <w:spacing w:before="7"/>
        <w:rPr>
          <w:rFonts w:cs="Calibri"/>
          <w:sz w:val="31"/>
          <w:szCs w:val="31"/>
        </w:rPr>
      </w:pPr>
    </w:p>
    <w:p w14:paraId="58C4B0A3" w14:textId="77777777" w:rsidR="0031675F" w:rsidRPr="0031675F" w:rsidRDefault="0031675F" w:rsidP="0031675F">
      <w:pPr>
        <w:widowControl w:val="0"/>
        <w:numPr>
          <w:ilvl w:val="2"/>
          <w:numId w:val="77"/>
        </w:numPr>
        <w:tabs>
          <w:tab w:val="left" w:pos="859"/>
        </w:tabs>
        <w:spacing w:before="0" w:after="0" w:line="240" w:lineRule="auto"/>
        <w:rPr>
          <w:rFonts w:eastAsia="Arial" w:cs="Arial"/>
        </w:rPr>
      </w:pPr>
      <w:r w:rsidRPr="0031675F">
        <w:rPr>
          <w:b/>
          <w:spacing w:val="-1"/>
        </w:rPr>
        <w:t>Preparation</w:t>
      </w:r>
      <w:r w:rsidRPr="0031675F">
        <w:rPr>
          <w:b/>
        </w:rPr>
        <w:t xml:space="preserve"> </w:t>
      </w:r>
      <w:r w:rsidRPr="0031675F">
        <w:rPr>
          <w:b/>
          <w:spacing w:val="-1"/>
        </w:rPr>
        <w:t>prior</w:t>
      </w:r>
      <w:r w:rsidRPr="0031675F">
        <w:rPr>
          <w:b/>
          <w:spacing w:val="-2"/>
        </w:rPr>
        <w:t xml:space="preserve"> </w:t>
      </w:r>
      <w:r w:rsidRPr="0031675F">
        <w:rPr>
          <w:b/>
        </w:rPr>
        <w:t>to</w:t>
      </w:r>
      <w:r w:rsidRPr="0031675F">
        <w:rPr>
          <w:b/>
          <w:spacing w:val="-2"/>
        </w:rPr>
        <w:t xml:space="preserve"> </w:t>
      </w:r>
      <w:r w:rsidRPr="0031675F">
        <w:rPr>
          <w:b/>
          <w:spacing w:val="-1"/>
        </w:rPr>
        <w:t>field</w:t>
      </w:r>
      <w:r w:rsidRPr="0031675F">
        <w:rPr>
          <w:b/>
          <w:spacing w:val="-2"/>
        </w:rPr>
        <w:t xml:space="preserve"> </w:t>
      </w:r>
      <w:r w:rsidRPr="0031675F">
        <w:rPr>
          <w:b/>
        </w:rPr>
        <w:t>work</w:t>
      </w:r>
    </w:p>
    <w:p w14:paraId="0CB93A21" w14:textId="77777777" w:rsidR="0031675F" w:rsidRPr="0031675F" w:rsidRDefault="0031675F" w:rsidP="0031675F">
      <w:pPr>
        <w:spacing w:before="2"/>
        <w:rPr>
          <w:rFonts w:eastAsia="Arial" w:cs="Arial"/>
          <w:b/>
          <w:bCs/>
          <w:sz w:val="21"/>
          <w:szCs w:val="21"/>
        </w:rPr>
      </w:pPr>
    </w:p>
    <w:p w14:paraId="38F7C075" w14:textId="4F0C7C1F" w:rsidR="0031675F" w:rsidRPr="0031675F" w:rsidRDefault="0031675F" w:rsidP="0031675F">
      <w:pPr>
        <w:spacing w:after="120"/>
        <w:ind w:left="138" w:right="128"/>
        <w:jc w:val="both"/>
      </w:pPr>
      <w:r w:rsidRPr="0031675F">
        <w:rPr>
          <w:spacing w:val="-1"/>
        </w:rPr>
        <w:t>Pre-label</w:t>
      </w:r>
      <w:r w:rsidRPr="0031675F">
        <w:rPr>
          <w:spacing w:val="20"/>
        </w:rPr>
        <w:t xml:space="preserve"> </w:t>
      </w:r>
      <w:r w:rsidRPr="0031675F">
        <w:t>the</w:t>
      </w:r>
      <w:r w:rsidRPr="0031675F">
        <w:rPr>
          <w:spacing w:val="22"/>
        </w:rPr>
        <w:t xml:space="preserve"> </w:t>
      </w:r>
      <w:r w:rsidRPr="0031675F">
        <w:rPr>
          <w:spacing w:val="-1"/>
        </w:rPr>
        <w:t>lids</w:t>
      </w:r>
      <w:r w:rsidRPr="0031675F">
        <w:rPr>
          <w:spacing w:val="20"/>
        </w:rPr>
        <w:t xml:space="preserve"> </w:t>
      </w:r>
      <w:r w:rsidRPr="0031675F">
        <w:t>of</w:t>
      </w:r>
      <w:r w:rsidRPr="0031675F">
        <w:rPr>
          <w:spacing w:val="20"/>
        </w:rPr>
        <w:t xml:space="preserve"> </w:t>
      </w:r>
      <w:r w:rsidRPr="0031675F">
        <w:t>one</w:t>
      </w:r>
      <w:r w:rsidRPr="0031675F">
        <w:rPr>
          <w:spacing w:val="20"/>
        </w:rPr>
        <w:t xml:space="preserve"> </w:t>
      </w:r>
      <w:r w:rsidRPr="0031675F">
        <w:t>or</w:t>
      </w:r>
      <w:r w:rsidRPr="0031675F">
        <w:rPr>
          <w:spacing w:val="20"/>
        </w:rPr>
        <w:t xml:space="preserve"> </w:t>
      </w:r>
      <w:r w:rsidRPr="0031675F">
        <w:rPr>
          <w:spacing w:val="-1"/>
        </w:rPr>
        <w:t>more</w:t>
      </w:r>
      <w:r w:rsidRPr="0031675F">
        <w:rPr>
          <w:spacing w:val="22"/>
        </w:rPr>
        <w:t xml:space="preserve"> </w:t>
      </w:r>
      <w:r w:rsidRPr="0031675F">
        <w:rPr>
          <w:spacing w:val="-1"/>
        </w:rPr>
        <w:t>trays</w:t>
      </w:r>
      <w:r w:rsidRPr="0031675F">
        <w:rPr>
          <w:spacing w:val="20"/>
        </w:rPr>
        <w:t xml:space="preserve"> </w:t>
      </w:r>
      <w:r w:rsidRPr="0031675F">
        <w:rPr>
          <w:spacing w:val="-1"/>
        </w:rPr>
        <w:t>(100)</w:t>
      </w:r>
      <w:r w:rsidRPr="0031675F">
        <w:rPr>
          <w:spacing w:val="20"/>
        </w:rPr>
        <w:t xml:space="preserve"> </w:t>
      </w:r>
      <w:r w:rsidRPr="0031675F">
        <w:t>of</w:t>
      </w:r>
      <w:r w:rsidRPr="0031675F">
        <w:rPr>
          <w:spacing w:val="19"/>
        </w:rPr>
        <w:t xml:space="preserve"> </w:t>
      </w:r>
      <w:r w:rsidRPr="0031675F">
        <w:t>clean,</w:t>
      </w:r>
      <w:r w:rsidRPr="0031675F">
        <w:rPr>
          <w:spacing w:val="22"/>
        </w:rPr>
        <w:t xml:space="preserve"> </w:t>
      </w:r>
      <w:r w:rsidRPr="0031675F">
        <w:rPr>
          <w:spacing w:val="-1"/>
        </w:rPr>
        <w:t>dry</w:t>
      </w:r>
      <w:r w:rsidRPr="0031675F">
        <w:rPr>
          <w:spacing w:val="20"/>
        </w:rPr>
        <w:t xml:space="preserve"> </w:t>
      </w:r>
      <w:r w:rsidRPr="0031675F">
        <w:rPr>
          <w:spacing w:val="-1"/>
        </w:rPr>
        <w:t>20</w:t>
      </w:r>
      <w:r w:rsidRPr="0031675F">
        <w:rPr>
          <w:spacing w:val="20"/>
        </w:rPr>
        <w:t xml:space="preserve"> </w:t>
      </w:r>
      <w:r w:rsidR="00BB13FD">
        <w:t>mL</w:t>
      </w:r>
      <w:r w:rsidRPr="0031675F">
        <w:rPr>
          <w:spacing w:val="28"/>
        </w:rPr>
        <w:t xml:space="preserve"> </w:t>
      </w:r>
      <w:r w:rsidRPr="0031675F">
        <w:rPr>
          <w:spacing w:val="-1"/>
        </w:rPr>
        <w:t>scintillation</w:t>
      </w:r>
      <w:r w:rsidRPr="0031675F">
        <w:rPr>
          <w:spacing w:val="19"/>
        </w:rPr>
        <w:t xml:space="preserve"> </w:t>
      </w:r>
      <w:r w:rsidRPr="0031675F">
        <w:rPr>
          <w:spacing w:val="-1"/>
        </w:rPr>
        <w:t>vials</w:t>
      </w:r>
      <w:r w:rsidRPr="0031675F">
        <w:rPr>
          <w:spacing w:val="22"/>
        </w:rPr>
        <w:t xml:space="preserve"> </w:t>
      </w:r>
      <w:r w:rsidRPr="0031675F">
        <w:rPr>
          <w:spacing w:val="-1"/>
        </w:rPr>
        <w:t>with</w:t>
      </w:r>
      <w:r w:rsidRPr="0031675F">
        <w:rPr>
          <w:spacing w:val="22"/>
        </w:rPr>
        <w:t xml:space="preserve"> </w:t>
      </w:r>
      <w:r w:rsidRPr="0031675F">
        <w:t>an</w:t>
      </w:r>
      <w:r w:rsidRPr="0031675F">
        <w:rPr>
          <w:spacing w:val="63"/>
        </w:rPr>
        <w:t xml:space="preserve"> </w:t>
      </w:r>
      <w:r w:rsidRPr="0031675F">
        <w:rPr>
          <w:rFonts w:cs="Calibri"/>
          <w:spacing w:val="-1"/>
        </w:rPr>
        <w:t>alphanumeric</w:t>
      </w:r>
      <w:r w:rsidRPr="0031675F">
        <w:rPr>
          <w:rFonts w:cs="Calibri"/>
          <w:spacing w:val="10"/>
        </w:rPr>
        <w:t xml:space="preserve"> </w:t>
      </w:r>
      <w:r w:rsidRPr="0031675F">
        <w:rPr>
          <w:rFonts w:cs="Calibri"/>
          <w:spacing w:val="-1"/>
        </w:rPr>
        <w:t>sequence</w:t>
      </w:r>
      <w:r w:rsidRPr="0031675F">
        <w:rPr>
          <w:rFonts w:cs="Calibri"/>
          <w:spacing w:val="10"/>
        </w:rPr>
        <w:t xml:space="preserve"> </w:t>
      </w:r>
      <w:r w:rsidRPr="0031675F">
        <w:rPr>
          <w:rFonts w:cs="Calibri"/>
          <w:spacing w:val="-1"/>
        </w:rPr>
        <w:t>(e.g.</w:t>
      </w:r>
      <w:r w:rsidRPr="0031675F">
        <w:rPr>
          <w:rFonts w:cs="Calibri"/>
          <w:spacing w:val="9"/>
        </w:rPr>
        <w:t xml:space="preserve"> </w:t>
      </w:r>
      <w:r w:rsidRPr="0031675F">
        <w:rPr>
          <w:rFonts w:cs="Calibri"/>
          <w:spacing w:val="-1"/>
        </w:rPr>
        <w:t>J100,</w:t>
      </w:r>
      <w:r w:rsidRPr="0031675F">
        <w:rPr>
          <w:rFonts w:cs="Calibri"/>
          <w:spacing w:val="10"/>
        </w:rPr>
        <w:t xml:space="preserve"> </w:t>
      </w:r>
      <w:r w:rsidRPr="0031675F">
        <w:rPr>
          <w:rFonts w:cs="Calibri"/>
          <w:spacing w:val="-1"/>
        </w:rPr>
        <w:t>J101,</w:t>
      </w:r>
      <w:r w:rsidRPr="0031675F">
        <w:rPr>
          <w:rFonts w:cs="Calibri"/>
          <w:spacing w:val="10"/>
        </w:rPr>
        <w:t xml:space="preserve"> </w:t>
      </w:r>
      <w:r w:rsidRPr="0031675F">
        <w:rPr>
          <w:rFonts w:cs="Calibri"/>
          <w:spacing w:val="-1"/>
        </w:rPr>
        <w:t>J102……)</w:t>
      </w:r>
      <w:r w:rsidRPr="0031675F">
        <w:rPr>
          <w:rFonts w:cs="Calibri"/>
          <w:spacing w:val="10"/>
        </w:rPr>
        <w:t xml:space="preserve"> </w:t>
      </w:r>
      <w:r w:rsidRPr="0031675F">
        <w:rPr>
          <w:rFonts w:cs="Calibri"/>
          <w:spacing w:val="-1"/>
        </w:rPr>
        <w:t>using</w:t>
      </w:r>
      <w:r w:rsidRPr="0031675F">
        <w:rPr>
          <w:rFonts w:cs="Calibri"/>
          <w:spacing w:val="9"/>
        </w:rPr>
        <w:t xml:space="preserve"> </w:t>
      </w:r>
      <w:r w:rsidRPr="0031675F">
        <w:rPr>
          <w:rFonts w:cs="Calibri"/>
        </w:rPr>
        <w:t>a</w:t>
      </w:r>
      <w:r w:rsidRPr="0031675F">
        <w:rPr>
          <w:rFonts w:cs="Calibri"/>
          <w:spacing w:val="9"/>
        </w:rPr>
        <w:t xml:space="preserve"> </w:t>
      </w:r>
      <w:r w:rsidRPr="0031675F">
        <w:rPr>
          <w:rFonts w:cs="Calibri"/>
          <w:spacing w:val="-1"/>
        </w:rPr>
        <w:t>fine</w:t>
      </w:r>
      <w:r w:rsidRPr="0031675F">
        <w:rPr>
          <w:rFonts w:cs="Calibri"/>
          <w:spacing w:val="10"/>
        </w:rPr>
        <w:t xml:space="preserve"> </w:t>
      </w:r>
      <w:r w:rsidRPr="0031675F">
        <w:rPr>
          <w:rFonts w:cs="Calibri"/>
        </w:rPr>
        <w:t>tip</w:t>
      </w:r>
      <w:r w:rsidRPr="0031675F">
        <w:rPr>
          <w:rFonts w:cs="Calibri"/>
          <w:spacing w:val="9"/>
        </w:rPr>
        <w:t xml:space="preserve"> </w:t>
      </w:r>
      <w:r w:rsidRPr="0031675F">
        <w:rPr>
          <w:rFonts w:cs="Calibri"/>
        </w:rPr>
        <w:t>marker</w:t>
      </w:r>
      <w:r w:rsidRPr="0031675F">
        <w:rPr>
          <w:rFonts w:cs="Calibri"/>
          <w:spacing w:val="10"/>
        </w:rPr>
        <w:t xml:space="preserve"> </w:t>
      </w:r>
      <w:r w:rsidRPr="0031675F">
        <w:rPr>
          <w:rFonts w:cs="Calibri"/>
          <w:spacing w:val="-1"/>
        </w:rPr>
        <w:t>pen.</w:t>
      </w:r>
      <w:r w:rsidRPr="0031675F">
        <w:rPr>
          <w:rFonts w:cs="Calibri"/>
          <w:spacing w:val="19"/>
        </w:rPr>
        <w:t xml:space="preserve"> </w:t>
      </w:r>
      <w:r w:rsidRPr="0031675F">
        <w:rPr>
          <w:rFonts w:cs="Calibri"/>
        </w:rPr>
        <w:t>Into</w:t>
      </w:r>
      <w:r w:rsidRPr="0031675F">
        <w:rPr>
          <w:rFonts w:cs="Calibri"/>
          <w:spacing w:val="11"/>
        </w:rPr>
        <w:t xml:space="preserve"> </w:t>
      </w:r>
      <w:r w:rsidRPr="0031675F">
        <w:rPr>
          <w:rFonts w:cs="Calibri"/>
        </w:rPr>
        <w:t>each</w:t>
      </w:r>
      <w:r w:rsidRPr="0031675F">
        <w:rPr>
          <w:rFonts w:cs="Calibri"/>
          <w:spacing w:val="9"/>
        </w:rPr>
        <w:t xml:space="preserve"> </w:t>
      </w:r>
      <w:r w:rsidRPr="0031675F">
        <w:rPr>
          <w:rFonts w:cs="Calibri"/>
        </w:rPr>
        <w:t>vial</w:t>
      </w:r>
      <w:r w:rsidRPr="0031675F">
        <w:rPr>
          <w:rFonts w:cs="Calibri"/>
          <w:spacing w:val="9"/>
        </w:rPr>
        <w:t xml:space="preserve"> </w:t>
      </w:r>
      <w:r w:rsidRPr="0031675F">
        <w:rPr>
          <w:rFonts w:cs="Calibri"/>
          <w:spacing w:val="-1"/>
        </w:rPr>
        <w:t>place</w:t>
      </w:r>
      <w:r w:rsidRPr="0031675F">
        <w:rPr>
          <w:rFonts w:cs="Calibri"/>
          <w:spacing w:val="10"/>
        </w:rPr>
        <w:t xml:space="preserve"> </w:t>
      </w:r>
      <w:r w:rsidRPr="0031675F">
        <w:rPr>
          <w:rFonts w:cs="Calibri"/>
        </w:rPr>
        <w:t>a</w:t>
      </w:r>
      <w:r w:rsidRPr="0031675F">
        <w:rPr>
          <w:rFonts w:cs="Calibri"/>
          <w:spacing w:val="61"/>
        </w:rPr>
        <w:t xml:space="preserve"> </w:t>
      </w:r>
      <w:r w:rsidRPr="0031675F">
        <w:rPr>
          <w:spacing w:val="-1"/>
        </w:rPr>
        <w:t>preweighed</w:t>
      </w:r>
      <w:r w:rsidRPr="0031675F">
        <w:rPr>
          <w:spacing w:val="16"/>
        </w:rPr>
        <w:t xml:space="preserve"> </w:t>
      </w:r>
      <w:r w:rsidRPr="0031675F">
        <w:rPr>
          <w:spacing w:val="-1"/>
        </w:rPr>
        <w:t>polycarbonate</w:t>
      </w:r>
      <w:r w:rsidRPr="0031675F">
        <w:rPr>
          <w:spacing w:val="15"/>
        </w:rPr>
        <w:t xml:space="preserve"> </w:t>
      </w:r>
      <w:r w:rsidRPr="0031675F">
        <w:rPr>
          <w:spacing w:val="-1"/>
        </w:rPr>
        <w:t>filter</w:t>
      </w:r>
      <w:r w:rsidRPr="0031675F">
        <w:rPr>
          <w:spacing w:val="14"/>
        </w:rPr>
        <w:t xml:space="preserve"> </w:t>
      </w:r>
      <w:r w:rsidRPr="0031675F">
        <w:rPr>
          <w:spacing w:val="-1"/>
        </w:rPr>
        <w:t>recording</w:t>
      </w:r>
      <w:r w:rsidRPr="0031675F">
        <w:rPr>
          <w:spacing w:val="16"/>
        </w:rPr>
        <w:t xml:space="preserve"> </w:t>
      </w:r>
      <w:r w:rsidRPr="0031675F">
        <w:t>the</w:t>
      </w:r>
      <w:r w:rsidRPr="0031675F">
        <w:rPr>
          <w:spacing w:val="14"/>
        </w:rPr>
        <w:t xml:space="preserve"> </w:t>
      </w:r>
      <w:r w:rsidRPr="0031675F">
        <w:rPr>
          <w:spacing w:val="-1"/>
        </w:rPr>
        <w:t>number,</w:t>
      </w:r>
      <w:r w:rsidRPr="0031675F">
        <w:rPr>
          <w:spacing w:val="17"/>
        </w:rPr>
        <w:t xml:space="preserve"> </w:t>
      </w:r>
      <w:r w:rsidRPr="0031675F">
        <w:rPr>
          <w:spacing w:val="-1"/>
        </w:rPr>
        <w:t>weight</w:t>
      </w:r>
      <w:r w:rsidRPr="0031675F">
        <w:rPr>
          <w:spacing w:val="17"/>
        </w:rPr>
        <w:t xml:space="preserve"> </w:t>
      </w:r>
      <w:r w:rsidRPr="0031675F">
        <w:rPr>
          <w:spacing w:val="-1"/>
        </w:rPr>
        <w:t>and</w:t>
      </w:r>
      <w:r w:rsidRPr="0031675F">
        <w:rPr>
          <w:spacing w:val="14"/>
        </w:rPr>
        <w:t xml:space="preserve"> </w:t>
      </w:r>
      <w:r w:rsidRPr="0031675F">
        <w:rPr>
          <w:spacing w:val="-1"/>
        </w:rPr>
        <w:t>date</w:t>
      </w:r>
      <w:r w:rsidRPr="0031675F">
        <w:rPr>
          <w:spacing w:val="15"/>
        </w:rPr>
        <w:t xml:space="preserve"> </w:t>
      </w:r>
      <w:r w:rsidRPr="0031675F">
        <w:rPr>
          <w:spacing w:val="-1"/>
        </w:rPr>
        <w:t>weighed.</w:t>
      </w:r>
      <w:r w:rsidRPr="0031675F">
        <w:rPr>
          <w:spacing w:val="32"/>
        </w:rPr>
        <w:t xml:space="preserve"> </w:t>
      </w:r>
      <w:r w:rsidRPr="0031675F">
        <w:rPr>
          <w:spacing w:val="-1"/>
        </w:rPr>
        <w:t>All</w:t>
      </w:r>
      <w:r w:rsidRPr="0031675F">
        <w:rPr>
          <w:spacing w:val="17"/>
        </w:rPr>
        <w:t xml:space="preserve"> </w:t>
      </w:r>
      <w:r w:rsidRPr="0031675F">
        <w:rPr>
          <w:spacing w:val="-1"/>
        </w:rPr>
        <w:t>filters</w:t>
      </w:r>
      <w:r w:rsidRPr="0031675F">
        <w:rPr>
          <w:spacing w:val="15"/>
        </w:rPr>
        <w:t xml:space="preserve"> </w:t>
      </w:r>
      <w:r w:rsidRPr="0031675F">
        <w:rPr>
          <w:spacing w:val="-1"/>
        </w:rPr>
        <w:t>should</w:t>
      </w:r>
      <w:r w:rsidRPr="0031675F">
        <w:rPr>
          <w:spacing w:val="74"/>
        </w:rPr>
        <w:t xml:space="preserve"> </w:t>
      </w:r>
      <w:r w:rsidRPr="0031675F">
        <w:rPr>
          <w:spacing w:val="-1"/>
        </w:rPr>
        <w:t>be</w:t>
      </w:r>
      <w:r w:rsidRPr="0031675F">
        <w:rPr>
          <w:spacing w:val="8"/>
        </w:rPr>
        <w:t xml:space="preserve"> </w:t>
      </w:r>
      <w:r w:rsidRPr="0031675F">
        <w:rPr>
          <w:spacing w:val="-1"/>
        </w:rPr>
        <w:t>pre-weighed</w:t>
      </w:r>
      <w:r w:rsidRPr="0031675F">
        <w:rPr>
          <w:spacing w:val="7"/>
        </w:rPr>
        <w:t xml:space="preserve"> </w:t>
      </w:r>
      <w:r w:rsidRPr="0031675F">
        <w:rPr>
          <w:spacing w:val="-1"/>
        </w:rPr>
        <w:t>using</w:t>
      </w:r>
      <w:r w:rsidRPr="0031675F">
        <w:rPr>
          <w:spacing w:val="7"/>
        </w:rPr>
        <w:t xml:space="preserve"> </w:t>
      </w:r>
      <w:r w:rsidRPr="0031675F">
        <w:t>a</w:t>
      </w:r>
      <w:r w:rsidRPr="0031675F">
        <w:rPr>
          <w:spacing w:val="3"/>
        </w:rPr>
        <w:t xml:space="preserve"> </w:t>
      </w:r>
      <w:r w:rsidRPr="0031675F">
        <w:rPr>
          <w:spacing w:val="-1"/>
        </w:rPr>
        <w:t>5-place</w:t>
      </w:r>
      <w:r w:rsidRPr="0031675F">
        <w:rPr>
          <w:spacing w:val="9"/>
        </w:rPr>
        <w:t xml:space="preserve"> </w:t>
      </w:r>
      <w:r w:rsidRPr="0031675F">
        <w:rPr>
          <w:spacing w:val="-1"/>
        </w:rPr>
        <w:t>analytical</w:t>
      </w:r>
      <w:r w:rsidRPr="0031675F">
        <w:rPr>
          <w:spacing w:val="5"/>
        </w:rPr>
        <w:t xml:space="preserve"> </w:t>
      </w:r>
      <w:r w:rsidRPr="0031675F">
        <w:rPr>
          <w:spacing w:val="-1"/>
        </w:rPr>
        <w:t>balance.</w:t>
      </w:r>
      <w:r w:rsidRPr="0031675F">
        <w:rPr>
          <w:spacing w:val="16"/>
        </w:rPr>
        <w:t xml:space="preserve"> </w:t>
      </w:r>
      <w:r w:rsidRPr="0031675F">
        <w:rPr>
          <w:spacing w:val="-1"/>
        </w:rPr>
        <w:t>Handle</w:t>
      </w:r>
      <w:r w:rsidRPr="0031675F">
        <w:rPr>
          <w:spacing w:val="8"/>
        </w:rPr>
        <w:t xml:space="preserve"> </w:t>
      </w:r>
      <w:r w:rsidRPr="0031675F">
        <w:rPr>
          <w:spacing w:val="-1"/>
        </w:rPr>
        <w:t>the</w:t>
      </w:r>
      <w:r w:rsidRPr="0031675F">
        <w:rPr>
          <w:spacing w:val="8"/>
        </w:rPr>
        <w:t xml:space="preserve"> </w:t>
      </w:r>
      <w:r w:rsidRPr="0031675F">
        <w:rPr>
          <w:spacing w:val="-1"/>
        </w:rPr>
        <w:t>filters</w:t>
      </w:r>
      <w:r w:rsidRPr="0031675F">
        <w:rPr>
          <w:spacing w:val="5"/>
        </w:rPr>
        <w:t xml:space="preserve"> </w:t>
      </w:r>
      <w:r w:rsidRPr="0031675F">
        <w:t xml:space="preserve">only </w:t>
      </w:r>
      <w:r w:rsidRPr="0031675F">
        <w:rPr>
          <w:spacing w:val="6"/>
        </w:rPr>
        <w:t xml:space="preserve"> </w:t>
      </w:r>
      <w:r w:rsidRPr="0031675F">
        <w:t xml:space="preserve">with </w:t>
      </w:r>
      <w:r w:rsidRPr="0031675F">
        <w:rPr>
          <w:spacing w:val="5"/>
        </w:rPr>
        <w:t xml:space="preserve"> </w:t>
      </w:r>
      <w:r w:rsidRPr="0031675F">
        <w:t xml:space="preserve">the </w:t>
      </w:r>
      <w:r w:rsidRPr="0031675F">
        <w:rPr>
          <w:spacing w:val="6"/>
        </w:rPr>
        <w:t xml:space="preserve"> </w:t>
      </w:r>
      <w:r w:rsidRPr="0031675F">
        <w:rPr>
          <w:spacing w:val="-1"/>
        </w:rPr>
        <w:t>tweezers.</w:t>
      </w:r>
      <w:r w:rsidRPr="0031675F">
        <w:rPr>
          <w:spacing w:val="69"/>
        </w:rPr>
        <w:t xml:space="preserve"> </w:t>
      </w:r>
      <w:r w:rsidRPr="0031675F">
        <w:rPr>
          <w:spacing w:val="-1"/>
        </w:rPr>
        <w:t>Without</w:t>
      </w:r>
      <w:r w:rsidRPr="0031675F">
        <w:rPr>
          <w:spacing w:val="15"/>
        </w:rPr>
        <w:t xml:space="preserve"> </w:t>
      </w:r>
      <w:r w:rsidRPr="0031675F">
        <w:rPr>
          <w:spacing w:val="-1"/>
        </w:rPr>
        <w:t>wrinkling</w:t>
      </w:r>
      <w:r w:rsidRPr="0031675F">
        <w:rPr>
          <w:spacing w:val="16"/>
        </w:rPr>
        <w:t xml:space="preserve"> </w:t>
      </w:r>
      <w:r w:rsidRPr="0031675F">
        <w:t>or</w:t>
      </w:r>
      <w:r w:rsidRPr="0031675F">
        <w:rPr>
          <w:spacing w:val="17"/>
        </w:rPr>
        <w:t xml:space="preserve"> </w:t>
      </w:r>
      <w:r w:rsidRPr="0031675F">
        <w:rPr>
          <w:spacing w:val="-1"/>
        </w:rPr>
        <w:t>creasing</w:t>
      </w:r>
      <w:r w:rsidRPr="0031675F">
        <w:rPr>
          <w:spacing w:val="16"/>
        </w:rPr>
        <w:t xml:space="preserve"> </w:t>
      </w:r>
      <w:r w:rsidRPr="0031675F">
        <w:t>the</w:t>
      </w:r>
      <w:r w:rsidRPr="0031675F">
        <w:rPr>
          <w:spacing w:val="17"/>
        </w:rPr>
        <w:t xml:space="preserve"> </w:t>
      </w:r>
      <w:r w:rsidRPr="0031675F">
        <w:rPr>
          <w:spacing w:val="-1"/>
        </w:rPr>
        <w:t>filter,</w:t>
      </w:r>
      <w:r w:rsidRPr="0031675F">
        <w:rPr>
          <w:spacing w:val="17"/>
        </w:rPr>
        <w:t xml:space="preserve"> </w:t>
      </w:r>
      <w:r w:rsidRPr="0031675F">
        <w:rPr>
          <w:spacing w:val="-1"/>
        </w:rPr>
        <w:t>place</w:t>
      </w:r>
      <w:r w:rsidRPr="0031675F">
        <w:rPr>
          <w:spacing w:val="14"/>
        </w:rPr>
        <w:t xml:space="preserve"> </w:t>
      </w:r>
      <w:r w:rsidRPr="0031675F">
        <w:t>each</w:t>
      </w:r>
      <w:r w:rsidRPr="0031675F">
        <w:rPr>
          <w:spacing w:val="16"/>
        </w:rPr>
        <w:t xml:space="preserve"> </w:t>
      </w:r>
      <w:r w:rsidRPr="0031675F">
        <w:rPr>
          <w:spacing w:val="-1"/>
        </w:rPr>
        <w:t>weighed</w:t>
      </w:r>
      <w:r w:rsidRPr="0031675F">
        <w:rPr>
          <w:spacing w:val="16"/>
        </w:rPr>
        <w:t xml:space="preserve"> </w:t>
      </w:r>
      <w:r w:rsidRPr="0031675F">
        <w:rPr>
          <w:spacing w:val="-1"/>
        </w:rPr>
        <w:t>filter</w:t>
      </w:r>
      <w:r w:rsidRPr="0031675F">
        <w:rPr>
          <w:spacing w:val="17"/>
        </w:rPr>
        <w:t xml:space="preserve"> </w:t>
      </w:r>
      <w:r w:rsidRPr="0031675F">
        <w:rPr>
          <w:spacing w:val="-1"/>
        </w:rPr>
        <w:t>into</w:t>
      </w:r>
      <w:r w:rsidRPr="0031675F">
        <w:rPr>
          <w:spacing w:val="18"/>
        </w:rPr>
        <w:t xml:space="preserve"> </w:t>
      </w:r>
      <w:r w:rsidRPr="0031675F">
        <w:t>a</w:t>
      </w:r>
      <w:r w:rsidRPr="0031675F">
        <w:rPr>
          <w:spacing w:val="17"/>
        </w:rPr>
        <w:t xml:space="preserve"> </w:t>
      </w:r>
      <w:r w:rsidRPr="0031675F">
        <w:rPr>
          <w:spacing w:val="-1"/>
        </w:rPr>
        <w:t>numbered</w:t>
      </w:r>
      <w:r w:rsidRPr="0031675F">
        <w:rPr>
          <w:spacing w:val="16"/>
        </w:rPr>
        <w:t xml:space="preserve"> </w:t>
      </w:r>
      <w:r w:rsidRPr="0031675F">
        <w:t>vial</w:t>
      </w:r>
      <w:r w:rsidRPr="0031675F">
        <w:rPr>
          <w:spacing w:val="16"/>
        </w:rPr>
        <w:t xml:space="preserve"> </w:t>
      </w:r>
      <w:r w:rsidRPr="0031675F">
        <w:rPr>
          <w:spacing w:val="-1"/>
        </w:rPr>
        <w:t>and</w:t>
      </w:r>
      <w:r w:rsidRPr="0031675F">
        <w:rPr>
          <w:spacing w:val="16"/>
        </w:rPr>
        <w:t xml:space="preserve"> </w:t>
      </w:r>
      <w:r w:rsidRPr="0031675F">
        <w:rPr>
          <w:spacing w:val="-1"/>
        </w:rPr>
        <w:t>make</w:t>
      </w:r>
      <w:r w:rsidRPr="0031675F">
        <w:rPr>
          <w:spacing w:val="15"/>
        </w:rPr>
        <w:t xml:space="preserve"> </w:t>
      </w:r>
      <w:r w:rsidRPr="0031675F">
        <w:t>a</w:t>
      </w:r>
      <w:r w:rsidRPr="0031675F">
        <w:rPr>
          <w:spacing w:val="67"/>
        </w:rPr>
        <w:t xml:space="preserve"> </w:t>
      </w:r>
      <w:r w:rsidRPr="0031675F">
        <w:t>record</w:t>
      </w:r>
      <w:r w:rsidRPr="0031675F">
        <w:rPr>
          <w:spacing w:val="18"/>
        </w:rPr>
        <w:t xml:space="preserve"> </w:t>
      </w:r>
      <w:r w:rsidRPr="0031675F">
        <w:t>of</w:t>
      </w:r>
      <w:r w:rsidRPr="0031675F">
        <w:rPr>
          <w:spacing w:val="19"/>
        </w:rPr>
        <w:t xml:space="preserve"> </w:t>
      </w:r>
      <w:r w:rsidRPr="0031675F">
        <w:t>the</w:t>
      </w:r>
      <w:r w:rsidRPr="0031675F">
        <w:rPr>
          <w:spacing w:val="22"/>
        </w:rPr>
        <w:t xml:space="preserve"> </w:t>
      </w:r>
      <w:r w:rsidRPr="0031675F">
        <w:rPr>
          <w:spacing w:val="-1"/>
        </w:rPr>
        <w:t>filter</w:t>
      </w:r>
      <w:r w:rsidRPr="0031675F">
        <w:rPr>
          <w:spacing w:val="22"/>
        </w:rPr>
        <w:t xml:space="preserve"> </w:t>
      </w:r>
      <w:r w:rsidRPr="0031675F">
        <w:rPr>
          <w:spacing w:val="-1"/>
        </w:rPr>
        <w:t>weight</w:t>
      </w:r>
      <w:r w:rsidRPr="0031675F">
        <w:rPr>
          <w:spacing w:val="20"/>
        </w:rPr>
        <w:t xml:space="preserve"> </w:t>
      </w:r>
      <w:r w:rsidRPr="0031675F">
        <w:rPr>
          <w:spacing w:val="-1"/>
        </w:rPr>
        <w:t>against</w:t>
      </w:r>
      <w:r w:rsidRPr="0031675F">
        <w:rPr>
          <w:spacing w:val="22"/>
        </w:rPr>
        <w:t xml:space="preserve"> </w:t>
      </w:r>
      <w:r w:rsidRPr="0031675F">
        <w:t>the</w:t>
      </w:r>
      <w:r w:rsidRPr="0031675F">
        <w:rPr>
          <w:spacing w:val="19"/>
        </w:rPr>
        <w:t xml:space="preserve"> </w:t>
      </w:r>
      <w:r w:rsidRPr="0031675F">
        <w:t>vial</w:t>
      </w:r>
      <w:r w:rsidRPr="0031675F">
        <w:rPr>
          <w:spacing w:val="21"/>
        </w:rPr>
        <w:t xml:space="preserve"> </w:t>
      </w:r>
      <w:r w:rsidRPr="0031675F">
        <w:rPr>
          <w:spacing w:val="-1"/>
        </w:rPr>
        <w:t>number.</w:t>
      </w:r>
      <w:r w:rsidRPr="0031675F">
        <w:rPr>
          <w:spacing w:val="40"/>
        </w:rPr>
        <w:t xml:space="preserve"> </w:t>
      </w:r>
      <w:r w:rsidRPr="0031675F">
        <w:rPr>
          <w:spacing w:val="-1"/>
        </w:rPr>
        <w:t>The</w:t>
      </w:r>
      <w:r w:rsidRPr="0031675F">
        <w:rPr>
          <w:spacing w:val="22"/>
        </w:rPr>
        <w:t xml:space="preserve"> </w:t>
      </w:r>
      <w:r w:rsidRPr="0031675F">
        <w:rPr>
          <w:spacing w:val="-1"/>
        </w:rPr>
        <w:t>recording</w:t>
      </w:r>
      <w:r w:rsidRPr="0031675F">
        <w:rPr>
          <w:spacing w:val="21"/>
        </w:rPr>
        <w:t xml:space="preserve"> </w:t>
      </w:r>
      <w:r w:rsidRPr="0031675F">
        <w:rPr>
          <w:spacing w:val="-1"/>
        </w:rPr>
        <w:t>process</w:t>
      </w:r>
      <w:r w:rsidRPr="0031675F">
        <w:rPr>
          <w:spacing w:val="19"/>
        </w:rPr>
        <w:t xml:space="preserve"> </w:t>
      </w:r>
      <w:r w:rsidRPr="0031675F">
        <w:t>is</w:t>
      </w:r>
      <w:r w:rsidRPr="0031675F">
        <w:rPr>
          <w:spacing w:val="21"/>
        </w:rPr>
        <w:t xml:space="preserve"> </w:t>
      </w:r>
      <w:r w:rsidRPr="0031675F">
        <w:rPr>
          <w:spacing w:val="-1"/>
        </w:rPr>
        <w:t>automated</w:t>
      </w:r>
      <w:r w:rsidRPr="0031675F">
        <w:rPr>
          <w:spacing w:val="24"/>
        </w:rPr>
        <w:t xml:space="preserve"> </w:t>
      </w:r>
      <w:r w:rsidRPr="0031675F">
        <w:t>to</w:t>
      </w:r>
      <w:r w:rsidRPr="0031675F">
        <w:rPr>
          <w:spacing w:val="21"/>
        </w:rPr>
        <w:t xml:space="preserve"> </w:t>
      </w:r>
      <w:r w:rsidRPr="0031675F">
        <w:t>a</w:t>
      </w:r>
      <w:r w:rsidRPr="0031675F">
        <w:rPr>
          <w:spacing w:val="21"/>
        </w:rPr>
        <w:t xml:space="preserve"> </w:t>
      </w:r>
      <w:r w:rsidRPr="0031675F">
        <w:rPr>
          <w:spacing w:val="-1"/>
        </w:rPr>
        <w:t>large</w:t>
      </w:r>
      <w:r w:rsidRPr="0031675F">
        <w:rPr>
          <w:spacing w:val="53"/>
        </w:rPr>
        <w:t xml:space="preserve"> </w:t>
      </w:r>
      <w:r w:rsidRPr="0031675F">
        <w:rPr>
          <w:rFonts w:cs="Calibri"/>
          <w:spacing w:val="-1"/>
        </w:rPr>
        <w:t>degree</w:t>
      </w:r>
      <w:r w:rsidRPr="0031675F">
        <w:rPr>
          <w:rFonts w:cs="Calibri"/>
          <w:spacing w:val="15"/>
        </w:rPr>
        <w:t xml:space="preserve"> </w:t>
      </w:r>
      <w:r w:rsidRPr="0031675F">
        <w:rPr>
          <w:rFonts w:cs="Calibri"/>
          <w:spacing w:val="-2"/>
        </w:rPr>
        <w:t>by</w:t>
      </w:r>
      <w:r w:rsidRPr="0031675F">
        <w:rPr>
          <w:rFonts w:cs="Calibri"/>
          <w:spacing w:val="15"/>
        </w:rPr>
        <w:t xml:space="preserve"> </w:t>
      </w:r>
      <w:r w:rsidRPr="0031675F">
        <w:rPr>
          <w:rFonts w:cs="Calibri"/>
          <w:spacing w:val="-1"/>
        </w:rPr>
        <w:t>utilisation</w:t>
      </w:r>
      <w:r w:rsidRPr="0031675F">
        <w:rPr>
          <w:rFonts w:cs="Calibri"/>
          <w:spacing w:val="11"/>
        </w:rPr>
        <w:t xml:space="preserve"> </w:t>
      </w:r>
      <w:r w:rsidRPr="0031675F">
        <w:rPr>
          <w:rFonts w:cs="Calibri"/>
        </w:rPr>
        <w:t>of</w:t>
      </w:r>
      <w:r w:rsidRPr="0031675F">
        <w:rPr>
          <w:rFonts w:cs="Calibri"/>
          <w:spacing w:val="12"/>
        </w:rPr>
        <w:t xml:space="preserve"> </w:t>
      </w:r>
      <w:r w:rsidRPr="0031675F">
        <w:rPr>
          <w:rFonts w:cs="Calibri"/>
          <w:spacing w:val="-1"/>
        </w:rPr>
        <w:t>the</w:t>
      </w:r>
      <w:r w:rsidRPr="0031675F">
        <w:rPr>
          <w:rFonts w:cs="Calibri"/>
          <w:spacing w:val="15"/>
        </w:rPr>
        <w:t xml:space="preserve"> </w:t>
      </w:r>
      <w:r w:rsidRPr="0031675F">
        <w:rPr>
          <w:rFonts w:cs="Calibri"/>
          <w:spacing w:val="-1"/>
        </w:rPr>
        <w:t>Oracle</w:t>
      </w:r>
      <w:r w:rsidRPr="0031675F">
        <w:rPr>
          <w:rFonts w:cs="Calibri"/>
          <w:spacing w:val="15"/>
        </w:rPr>
        <w:t xml:space="preserve"> </w:t>
      </w:r>
      <w:r w:rsidRPr="0031675F">
        <w:rPr>
          <w:rFonts w:cs="Calibri"/>
          <w:spacing w:val="-1"/>
        </w:rPr>
        <w:t>database</w:t>
      </w:r>
      <w:r w:rsidRPr="0031675F">
        <w:rPr>
          <w:rFonts w:cs="Calibri"/>
          <w:spacing w:val="12"/>
        </w:rPr>
        <w:t xml:space="preserve"> </w:t>
      </w:r>
      <w:r w:rsidRPr="0031675F">
        <w:rPr>
          <w:rFonts w:cs="Calibri"/>
          <w:spacing w:val="-1"/>
        </w:rPr>
        <w:t>“WQFilters”</w:t>
      </w:r>
      <w:r w:rsidRPr="0031675F">
        <w:rPr>
          <w:rFonts w:cs="Calibri"/>
          <w:spacing w:val="15"/>
        </w:rPr>
        <w:t xml:space="preserve"> </w:t>
      </w:r>
      <w:r w:rsidRPr="0031675F">
        <w:t>11</w:t>
      </w:r>
      <w:r w:rsidRPr="0031675F">
        <w:rPr>
          <w:spacing w:val="15"/>
        </w:rPr>
        <w:t xml:space="preserve"> </w:t>
      </w:r>
      <w:r w:rsidRPr="0031675F">
        <w:t>which</w:t>
      </w:r>
      <w:r w:rsidRPr="0031675F">
        <w:rPr>
          <w:spacing w:val="13"/>
        </w:rPr>
        <w:t xml:space="preserve"> </w:t>
      </w:r>
      <w:r w:rsidRPr="0031675F">
        <w:t>is</w:t>
      </w:r>
      <w:r w:rsidRPr="0031675F">
        <w:rPr>
          <w:spacing w:val="11"/>
        </w:rPr>
        <w:t xml:space="preserve"> </w:t>
      </w:r>
      <w:r w:rsidRPr="0031675F">
        <w:t>the</w:t>
      </w:r>
      <w:r w:rsidRPr="0031675F">
        <w:rPr>
          <w:spacing w:val="12"/>
        </w:rPr>
        <w:t xml:space="preserve"> </w:t>
      </w:r>
      <w:r w:rsidRPr="0031675F">
        <w:t>Water</w:t>
      </w:r>
      <w:r w:rsidRPr="0031675F">
        <w:rPr>
          <w:spacing w:val="12"/>
        </w:rPr>
        <w:t xml:space="preserve"> </w:t>
      </w:r>
      <w:r w:rsidRPr="0031675F">
        <w:rPr>
          <w:spacing w:val="-1"/>
        </w:rPr>
        <w:t>Quality</w:t>
      </w:r>
      <w:r w:rsidRPr="0031675F">
        <w:rPr>
          <w:spacing w:val="15"/>
        </w:rPr>
        <w:t xml:space="preserve"> </w:t>
      </w:r>
      <w:r w:rsidRPr="0031675F">
        <w:rPr>
          <w:spacing w:val="-1"/>
        </w:rPr>
        <w:t>Filter</w:t>
      </w:r>
      <w:r w:rsidRPr="0031675F">
        <w:rPr>
          <w:spacing w:val="14"/>
        </w:rPr>
        <w:t xml:space="preserve"> </w:t>
      </w:r>
      <w:r w:rsidRPr="0031675F">
        <w:rPr>
          <w:spacing w:val="-1"/>
        </w:rPr>
        <w:t>Weigh</w:t>
      </w:r>
      <w:r w:rsidRPr="0031675F">
        <w:rPr>
          <w:spacing w:val="57"/>
        </w:rPr>
        <w:t xml:space="preserve"> </w:t>
      </w:r>
      <w:r w:rsidRPr="0031675F">
        <w:rPr>
          <w:spacing w:val="-1"/>
        </w:rPr>
        <w:t>Station</w:t>
      </w:r>
      <w:r w:rsidRPr="0031675F">
        <w:rPr>
          <w:spacing w:val="-3"/>
        </w:rPr>
        <w:t xml:space="preserve"> </w:t>
      </w:r>
      <w:r w:rsidRPr="0031675F">
        <w:rPr>
          <w:spacing w:val="-1"/>
        </w:rPr>
        <w:t>Tool</w:t>
      </w:r>
      <w:r w:rsidRPr="0031675F">
        <w:t xml:space="preserve"> </w:t>
      </w:r>
      <w:r w:rsidRPr="0031675F">
        <w:rPr>
          <w:spacing w:val="-1"/>
        </w:rPr>
        <w:t xml:space="preserve">and found </w:t>
      </w:r>
      <w:r w:rsidRPr="0031675F">
        <w:t>at</w:t>
      </w:r>
      <w:r w:rsidRPr="0031675F">
        <w:rPr>
          <w:spacing w:val="1"/>
        </w:rPr>
        <w:t xml:space="preserve"> </w:t>
      </w:r>
      <w:r w:rsidRPr="0031675F">
        <w:rPr>
          <w:color w:val="0000FF"/>
          <w:spacing w:val="-1"/>
          <w:u w:val="single" w:color="0000FF"/>
        </w:rPr>
        <w:t>http://waterquality.aims.gov.au:8080/wqfilters</w:t>
      </w:r>
      <w:r w:rsidRPr="0031675F">
        <w:rPr>
          <w:spacing w:val="-1"/>
        </w:rPr>
        <w:t>.</w:t>
      </w:r>
      <w:r w:rsidRPr="0031675F">
        <w:t xml:space="preserve"> </w:t>
      </w:r>
      <w:r w:rsidRPr="0031675F">
        <w:rPr>
          <w:spacing w:val="-1"/>
        </w:rPr>
        <w:t>(For</w:t>
      </w:r>
      <w:r w:rsidRPr="0031675F">
        <w:t xml:space="preserve"> </w:t>
      </w:r>
      <w:r w:rsidRPr="0031675F">
        <w:rPr>
          <w:spacing w:val="-1"/>
        </w:rPr>
        <w:t>details</w:t>
      </w:r>
      <w:r w:rsidRPr="0031675F">
        <w:t xml:space="preserve"> </w:t>
      </w:r>
      <w:r w:rsidRPr="0031675F">
        <w:rPr>
          <w:spacing w:val="-1"/>
        </w:rPr>
        <w:t>see</w:t>
      </w:r>
      <w:r w:rsidRPr="0031675F">
        <w:rPr>
          <w:spacing w:val="1"/>
        </w:rPr>
        <w:t xml:space="preserve"> </w:t>
      </w:r>
      <w:r w:rsidRPr="0031675F">
        <w:rPr>
          <w:spacing w:val="-1"/>
        </w:rPr>
        <w:t>Section A12).</w:t>
      </w:r>
    </w:p>
    <w:p w14:paraId="139F1263" w14:textId="77777777" w:rsidR="0031675F" w:rsidRPr="0031675F" w:rsidRDefault="0031675F" w:rsidP="0031675F">
      <w:pPr>
        <w:spacing w:before="12"/>
        <w:rPr>
          <w:rFonts w:cs="Calibri"/>
          <w:sz w:val="12"/>
          <w:szCs w:val="12"/>
        </w:rPr>
      </w:pPr>
    </w:p>
    <w:p w14:paraId="58911730" w14:textId="77777777" w:rsidR="0031675F" w:rsidRPr="0031675F" w:rsidRDefault="0031675F" w:rsidP="0031675F">
      <w:pPr>
        <w:widowControl w:val="0"/>
        <w:numPr>
          <w:ilvl w:val="2"/>
          <w:numId w:val="77"/>
        </w:numPr>
        <w:tabs>
          <w:tab w:val="left" w:pos="859"/>
        </w:tabs>
        <w:spacing w:before="82" w:after="0" w:line="240" w:lineRule="auto"/>
        <w:jc w:val="both"/>
        <w:rPr>
          <w:rFonts w:ascii="Times New Roman" w:eastAsia="Times New Roman" w:hAnsi="Times New Roman"/>
          <w:sz w:val="14"/>
          <w:szCs w:val="14"/>
        </w:rPr>
      </w:pPr>
      <w:r w:rsidRPr="0031675F">
        <w:rPr>
          <w:b/>
          <w:spacing w:val="-1"/>
        </w:rPr>
        <w:t>Sample</w:t>
      </w:r>
      <w:r w:rsidRPr="0031675F">
        <w:rPr>
          <w:b/>
        </w:rPr>
        <w:t xml:space="preserve"> </w:t>
      </w:r>
      <w:r w:rsidRPr="0031675F">
        <w:rPr>
          <w:b/>
          <w:spacing w:val="-1"/>
        </w:rPr>
        <w:t>Collection</w:t>
      </w:r>
      <w:r w:rsidRPr="0031675F">
        <w:rPr>
          <w:b/>
          <w:spacing w:val="-3"/>
        </w:rPr>
        <w:t xml:space="preserve"> </w:t>
      </w:r>
      <w:r w:rsidRPr="0031675F">
        <w:rPr>
          <w:b/>
          <w:spacing w:val="-1"/>
        </w:rPr>
        <w:t>and</w:t>
      </w:r>
      <w:r w:rsidRPr="0031675F">
        <w:rPr>
          <w:b/>
          <w:spacing w:val="-2"/>
        </w:rPr>
        <w:t xml:space="preserve"> </w:t>
      </w:r>
      <w:r w:rsidRPr="0031675F">
        <w:rPr>
          <w:b/>
          <w:spacing w:val="-1"/>
        </w:rPr>
        <w:t>Handling</w:t>
      </w:r>
      <w:r w:rsidRPr="0031675F">
        <w:rPr>
          <w:rFonts w:ascii="Times New Roman"/>
          <w:spacing w:val="-1"/>
          <w:position w:val="10"/>
          <w:sz w:val="14"/>
        </w:rPr>
        <w:t>12</w:t>
      </w:r>
    </w:p>
    <w:p w14:paraId="51336141" w14:textId="77777777" w:rsidR="0031675F" w:rsidRPr="0031675F" w:rsidRDefault="0031675F" w:rsidP="0031675F">
      <w:pPr>
        <w:spacing w:before="4"/>
        <w:rPr>
          <w:rFonts w:ascii="Times New Roman" w:eastAsia="Times New Roman" w:hAnsi="Times New Roman"/>
          <w:sz w:val="21"/>
          <w:szCs w:val="21"/>
        </w:rPr>
      </w:pPr>
    </w:p>
    <w:p w14:paraId="3B26EC21" w14:textId="77777777" w:rsidR="0031675F" w:rsidRPr="0031675F" w:rsidRDefault="0031675F" w:rsidP="0031675F">
      <w:pPr>
        <w:spacing w:after="120"/>
        <w:ind w:right="119"/>
        <w:jc w:val="both"/>
      </w:pPr>
      <w:r w:rsidRPr="0031675F">
        <w:rPr>
          <w:spacing w:val="-1"/>
        </w:rPr>
        <w:t>Collect</w:t>
      </w:r>
      <w:r w:rsidRPr="0031675F">
        <w:rPr>
          <w:spacing w:val="29"/>
        </w:rPr>
        <w:t xml:space="preserve"> </w:t>
      </w:r>
      <w:r w:rsidRPr="0031675F">
        <w:t>2</w:t>
      </w:r>
      <w:r w:rsidRPr="0031675F">
        <w:rPr>
          <w:spacing w:val="28"/>
        </w:rPr>
        <w:t xml:space="preserve"> </w:t>
      </w:r>
      <w:r w:rsidRPr="0031675F">
        <w:t>x</w:t>
      </w:r>
      <w:r w:rsidRPr="0031675F">
        <w:rPr>
          <w:spacing w:val="27"/>
        </w:rPr>
        <w:t xml:space="preserve"> </w:t>
      </w:r>
      <w:r w:rsidRPr="0031675F">
        <w:t>1</w:t>
      </w:r>
      <w:r w:rsidRPr="0031675F">
        <w:rPr>
          <w:spacing w:val="29"/>
        </w:rPr>
        <w:t xml:space="preserve"> </w:t>
      </w:r>
      <w:r w:rsidRPr="0031675F">
        <w:rPr>
          <w:spacing w:val="-1"/>
        </w:rPr>
        <w:t>litre</w:t>
      </w:r>
      <w:r w:rsidRPr="0031675F">
        <w:rPr>
          <w:spacing w:val="30"/>
        </w:rPr>
        <w:t xml:space="preserve"> </w:t>
      </w:r>
      <w:r w:rsidRPr="0031675F">
        <w:rPr>
          <w:spacing w:val="-1"/>
        </w:rPr>
        <w:t>samples</w:t>
      </w:r>
      <w:r w:rsidRPr="0031675F">
        <w:rPr>
          <w:spacing w:val="27"/>
        </w:rPr>
        <w:t xml:space="preserve"> </w:t>
      </w:r>
      <w:r w:rsidRPr="0031675F">
        <w:t>of</w:t>
      </w:r>
      <w:r w:rsidRPr="0031675F">
        <w:rPr>
          <w:spacing w:val="26"/>
        </w:rPr>
        <w:t xml:space="preserve"> </w:t>
      </w:r>
      <w:r w:rsidRPr="0031675F">
        <w:rPr>
          <w:spacing w:val="-1"/>
        </w:rPr>
        <w:t>water</w:t>
      </w:r>
      <w:r w:rsidRPr="0031675F">
        <w:rPr>
          <w:spacing w:val="28"/>
        </w:rPr>
        <w:t xml:space="preserve"> </w:t>
      </w:r>
      <w:r w:rsidRPr="0031675F">
        <w:t>in</w:t>
      </w:r>
      <w:r w:rsidRPr="0031675F">
        <w:rPr>
          <w:spacing w:val="28"/>
        </w:rPr>
        <w:t xml:space="preserve"> </w:t>
      </w:r>
      <w:r w:rsidRPr="0031675F">
        <w:t>a</w:t>
      </w:r>
      <w:r w:rsidRPr="0031675F">
        <w:rPr>
          <w:spacing w:val="29"/>
        </w:rPr>
        <w:t xml:space="preserve"> </w:t>
      </w:r>
      <w:r w:rsidRPr="0031675F">
        <w:rPr>
          <w:spacing w:val="-1"/>
        </w:rPr>
        <w:t>plastic</w:t>
      </w:r>
      <w:r w:rsidRPr="0031675F">
        <w:rPr>
          <w:spacing w:val="28"/>
        </w:rPr>
        <w:t xml:space="preserve"> </w:t>
      </w:r>
      <w:r w:rsidRPr="0031675F">
        <w:rPr>
          <w:spacing w:val="-1"/>
        </w:rPr>
        <w:t>bottle.</w:t>
      </w:r>
      <w:r w:rsidRPr="0031675F">
        <w:rPr>
          <w:spacing w:val="8"/>
        </w:rPr>
        <w:t xml:space="preserve"> </w:t>
      </w:r>
      <w:r w:rsidRPr="0031675F">
        <w:rPr>
          <w:spacing w:val="-1"/>
        </w:rPr>
        <w:t>Thoroughly</w:t>
      </w:r>
      <w:r w:rsidRPr="0031675F">
        <w:rPr>
          <w:spacing w:val="27"/>
        </w:rPr>
        <w:t xml:space="preserve"> </w:t>
      </w:r>
      <w:r w:rsidRPr="0031675F">
        <w:rPr>
          <w:spacing w:val="-1"/>
        </w:rPr>
        <w:t>mix/shake</w:t>
      </w:r>
      <w:r w:rsidRPr="0031675F">
        <w:rPr>
          <w:spacing w:val="27"/>
        </w:rPr>
        <w:t xml:space="preserve"> </w:t>
      </w:r>
      <w:r w:rsidRPr="0031675F">
        <w:t>the</w:t>
      </w:r>
      <w:r w:rsidRPr="0031675F">
        <w:rPr>
          <w:spacing w:val="29"/>
        </w:rPr>
        <w:t xml:space="preserve"> </w:t>
      </w:r>
      <w:r w:rsidRPr="0031675F">
        <w:rPr>
          <w:spacing w:val="-1"/>
        </w:rPr>
        <w:t>collected</w:t>
      </w:r>
      <w:r w:rsidRPr="0031675F">
        <w:rPr>
          <w:spacing w:val="25"/>
        </w:rPr>
        <w:t xml:space="preserve"> </w:t>
      </w:r>
      <w:r w:rsidRPr="0031675F">
        <w:rPr>
          <w:spacing w:val="-1"/>
        </w:rPr>
        <w:t>water</w:t>
      </w:r>
      <w:r w:rsidRPr="0031675F">
        <w:rPr>
          <w:spacing w:val="51"/>
        </w:rPr>
        <w:t xml:space="preserve"> </w:t>
      </w:r>
      <w:r w:rsidRPr="0031675F">
        <w:rPr>
          <w:spacing w:val="-1"/>
        </w:rPr>
        <w:t>sample</w:t>
      </w:r>
      <w:r w:rsidRPr="0031675F">
        <w:rPr>
          <w:spacing w:val="35"/>
        </w:rPr>
        <w:t xml:space="preserve"> </w:t>
      </w:r>
      <w:r w:rsidRPr="0031675F">
        <w:rPr>
          <w:spacing w:val="-1"/>
        </w:rPr>
        <w:t>and</w:t>
      </w:r>
      <w:r w:rsidRPr="0031675F">
        <w:rPr>
          <w:spacing w:val="33"/>
        </w:rPr>
        <w:t xml:space="preserve"> </w:t>
      </w:r>
      <w:r w:rsidRPr="0031675F">
        <w:rPr>
          <w:spacing w:val="-1"/>
        </w:rPr>
        <w:t>vacuum</w:t>
      </w:r>
      <w:r w:rsidRPr="0031675F">
        <w:rPr>
          <w:spacing w:val="37"/>
        </w:rPr>
        <w:t xml:space="preserve"> </w:t>
      </w:r>
      <w:r w:rsidRPr="0031675F">
        <w:rPr>
          <w:spacing w:val="-1"/>
        </w:rPr>
        <w:t>filter</w:t>
      </w:r>
      <w:r w:rsidRPr="0031675F">
        <w:rPr>
          <w:spacing w:val="30"/>
        </w:rPr>
        <w:t xml:space="preserve"> </w:t>
      </w:r>
      <w:r w:rsidRPr="0031675F">
        <w:rPr>
          <w:spacing w:val="-1"/>
        </w:rPr>
        <w:t>(ca.</w:t>
      </w:r>
      <w:r w:rsidRPr="0031675F">
        <w:rPr>
          <w:spacing w:val="36"/>
        </w:rPr>
        <w:t xml:space="preserve"> </w:t>
      </w:r>
      <w:r w:rsidRPr="0031675F">
        <w:rPr>
          <w:spacing w:val="-1"/>
        </w:rPr>
        <w:t>10</w:t>
      </w:r>
      <w:r w:rsidRPr="0031675F">
        <w:rPr>
          <w:spacing w:val="37"/>
        </w:rPr>
        <w:t xml:space="preserve"> </w:t>
      </w:r>
      <w:r w:rsidRPr="0031675F">
        <w:rPr>
          <w:spacing w:val="-1"/>
        </w:rPr>
        <w:t>HPa)</w:t>
      </w:r>
      <w:r w:rsidRPr="0031675F">
        <w:rPr>
          <w:spacing w:val="37"/>
        </w:rPr>
        <w:t xml:space="preserve"> </w:t>
      </w:r>
      <w:r w:rsidRPr="0031675F">
        <w:t>the</w:t>
      </w:r>
      <w:r w:rsidRPr="0031675F">
        <w:rPr>
          <w:spacing w:val="33"/>
        </w:rPr>
        <w:t xml:space="preserve"> </w:t>
      </w:r>
      <w:r w:rsidRPr="0031675F">
        <w:rPr>
          <w:spacing w:val="-1"/>
        </w:rPr>
        <w:t>sample</w:t>
      </w:r>
      <w:r w:rsidRPr="0031675F">
        <w:rPr>
          <w:spacing w:val="37"/>
        </w:rPr>
        <w:t xml:space="preserve"> </w:t>
      </w:r>
      <w:r w:rsidRPr="0031675F">
        <w:rPr>
          <w:spacing w:val="-1"/>
        </w:rPr>
        <w:t>onto</w:t>
      </w:r>
      <w:r w:rsidRPr="0031675F">
        <w:rPr>
          <w:spacing w:val="38"/>
        </w:rPr>
        <w:t xml:space="preserve"> </w:t>
      </w:r>
      <w:r w:rsidRPr="0031675F">
        <w:t>a</w:t>
      </w:r>
      <w:r w:rsidRPr="0031675F">
        <w:rPr>
          <w:spacing w:val="35"/>
        </w:rPr>
        <w:t xml:space="preserve"> </w:t>
      </w:r>
      <w:r w:rsidRPr="0031675F">
        <w:rPr>
          <w:spacing w:val="-1"/>
        </w:rPr>
        <w:t>pre-weighed</w:t>
      </w:r>
      <w:r w:rsidRPr="0031675F">
        <w:rPr>
          <w:spacing w:val="36"/>
        </w:rPr>
        <w:t xml:space="preserve"> </w:t>
      </w:r>
      <w:r w:rsidRPr="0031675F">
        <w:rPr>
          <w:spacing w:val="-1"/>
        </w:rPr>
        <w:t>polycarbonate</w:t>
      </w:r>
      <w:r w:rsidRPr="0031675F">
        <w:rPr>
          <w:spacing w:val="34"/>
        </w:rPr>
        <w:t xml:space="preserve"> </w:t>
      </w:r>
      <w:r w:rsidRPr="0031675F">
        <w:rPr>
          <w:spacing w:val="-1"/>
        </w:rPr>
        <w:t>membrane</w:t>
      </w:r>
      <w:r w:rsidRPr="0031675F">
        <w:rPr>
          <w:spacing w:val="53"/>
        </w:rPr>
        <w:t xml:space="preserve"> </w:t>
      </w:r>
      <w:r w:rsidRPr="0031675F">
        <w:rPr>
          <w:spacing w:val="-1"/>
        </w:rPr>
        <w:t>filter</w:t>
      </w:r>
      <w:r w:rsidRPr="0031675F">
        <w:rPr>
          <w:spacing w:val="7"/>
        </w:rPr>
        <w:t xml:space="preserve"> </w:t>
      </w:r>
      <w:r w:rsidRPr="0031675F">
        <w:rPr>
          <w:spacing w:val="-1"/>
        </w:rPr>
        <w:t>(0.4</w:t>
      </w:r>
      <w:r w:rsidRPr="0031675F">
        <w:rPr>
          <w:spacing w:val="5"/>
        </w:rPr>
        <w:t xml:space="preserve"> </w:t>
      </w:r>
      <w:r w:rsidRPr="0031675F">
        <w:rPr>
          <w:spacing w:val="-1"/>
        </w:rPr>
        <w:t>µm</w:t>
      </w:r>
      <w:r w:rsidRPr="0031675F">
        <w:rPr>
          <w:spacing w:val="8"/>
        </w:rPr>
        <w:t xml:space="preserve"> </w:t>
      </w:r>
      <w:r w:rsidRPr="0031675F">
        <w:rPr>
          <w:spacing w:val="-1"/>
        </w:rPr>
        <w:t>pore</w:t>
      </w:r>
      <w:r w:rsidRPr="0031675F">
        <w:rPr>
          <w:spacing w:val="5"/>
        </w:rPr>
        <w:t xml:space="preserve"> </w:t>
      </w:r>
      <w:r w:rsidRPr="0031675F">
        <w:rPr>
          <w:spacing w:val="-1"/>
        </w:rPr>
        <w:t>size</w:t>
      </w:r>
      <w:r w:rsidRPr="0031675F">
        <w:rPr>
          <w:spacing w:val="5"/>
        </w:rPr>
        <w:t xml:space="preserve"> </w:t>
      </w:r>
      <w:r w:rsidRPr="0031675F">
        <w:t>x</w:t>
      </w:r>
      <w:r w:rsidRPr="0031675F">
        <w:rPr>
          <w:spacing w:val="5"/>
        </w:rPr>
        <w:t xml:space="preserve"> </w:t>
      </w:r>
      <w:r w:rsidRPr="0031675F">
        <w:rPr>
          <w:spacing w:val="-1"/>
        </w:rPr>
        <w:t>47</w:t>
      </w:r>
      <w:r w:rsidRPr="0031675F">
        <w:rPr>
          <w:spacing w:val="5"/>
        </w:rPr>
        <w:t xml:space="preserve"> </w:t>
      </w:r>
      <w:r w:rsidRPr="0031675F">
        <w:t>mm</w:t>
      </w:r>
      <w:r w:rsidRPr="0031675F">
        <w:rPr>
          <w:spacing w:val="6"/>
        </w:rPr>
        <w:t xml:space="preserve"> </w:t>
      </w:r>
      <w:r w:rsidRPr="0031675F">
        <w:rPr>
          <w:spacing w:val="-1"/>
        </w:rPr>
        <w:t>diameter).</w:t>
      </w:r>
      <w:r w:rsidRPr="0031675F">
        <w:rPr>
          <w:spacing w:val="14"/>
        </w:rPr>
        <w:t xml:space="preserve"> </w:t>
      </w:r>
      <w:r w:rsidRPr="0031675F">
        <w:rPr>
          <w:spacing w:val="-1"/>
        </w:rPr>
        <w:t>After</w:t>
      </w:r>
      <w:r w:rsidRPr="0031675F">
        <w:rPr>
          <w:spacing w:val="5"/>
        </w:rPr>
        <w:t xml:space="preserve"> </w:t>
      </w:r>
      <w:r w:rsidRPr="0031675F">
        <w:t>the</w:t>
      </w:r>
      <w:r w:rsidRPr="0031675F">
        <w:rPr>
          <w:spacing w:val="5"/>
        </w:rPr>
        <w:t xml:space="preserve"> </w:t>
      </w:r>
      <w:r w:rsidRPr="0031675F">
        <w:rPr>
          <w:spacing w:val="-1"/>
        </w:rPr>
        <w:t>filter</w:t>
      </w:r>
      <w:r w:rsidRPr="0031675F">
        <w:rPr>
          <w:spacing w:val="7"/>
        </w:rPr>
        <w:t xml:space="preserve"> </w:t>
      </w:r>
      <w:r w:rsidRPr="0031675F">
        <w:rPr>
          <w:spacing w:val="-2"/>
        </w:rPr>
        <w:t>is</w:t>
      </w:r>
      <w:r w:rsidRPr="0031675F">
        <w:rPr>
          <w:spacing w:val="7"/>
        </w:rPr>
        <w:t xml:space="preserve"> </w:t>
      </w:r>
      <w:r w:rsidRPr="0031675F">
        <w:rPr>
          <w:spacing w:val="-1"/>
        </w:rPr>
        <w:t>sucked</w:t>
      </w:r>
      <w:r w:rsidRPr="0031675F">
        <w:rPr>
          <w:spacing w:val="7"/>
        </w:rPr>
        <w:t xml:space="preserve"> </w:t>
      </w:r>
      <w:r w:rsidRPr="0031675F">
        <w:rPr>
          <w:spacing w:val="-1"/>
        </w:rPr>
        <w:t>dry,</w:t>
      </w:r>
      <w:r w:rsidRPr="0031675F">
        <w:rPr>
          <w:spacing w:val="7"/>
        </w:rPr>
        <w:t xml:space="preserve"> </w:t>
      </w:r>
      <w:r w:rsidRPr="0031675F">
        <w:rPr>
          <w:spacing w:val="-1"/>
        </w:rPr>
        <w:t>rinse</w:t>
      </w:r>
      <w:r w:rsidRPr="0031675F">
        <w:rPr>
          <w:spacing w:val="3"/>
        </w:rPr>
        <w:t xml:space="preserve"> </w:t>
      </w:r>
      <w:r w:rsidRPr="0031675F">
        <w:t>with</w:t>
      </w:r>
      <w:r w:rsidRPr="0031675F">
        <w:rPr>
          <w:spacing w:val="7"/>
        </w:rPr>
        <w:t xml:space="preserve"> </w:t>
      </w:r>
      <w:r w:rsidRPr="0031675F">
        <w:rPr>
          <w:spacing w:val="-1"/>
        </w:rPr>
        <w:t>deionised</w:t>
      </w:r>
      <w:r w:rsidRPr="0031675F">
        <w:rPr>
          <w:spacing w:val="4"/>
        </w:rPr>
        <w:t xml:space="preserve"> </w:t>
      </w:r>
      <w:r w:rsidRPr="0031675F">
        <w:rPr>
          <w:spacing w:val="-1"/>
        </w:rPr>
        <w:t>water,</w:t>
      </w:r>
      <w:r w:rsidRPr="0031675F">
        <w:rPr>
          <w:spacing w:val="57"/>
        </w:rPr>
        <w:t xml:space="preserve"> </w:t>
      </w:r>
      <w:r w:rsidRPr="0031675F">
        <w:rPr>
          <w:spacing w:val="-1"/>
        </w:rPr>
        <w:t>suck</w:t>
      </w:r>
      <w:r w:rsidRPr="0031675F">
        <w:rPr>
          <w:spacing w:val="3"/>
        </w:rPr>
        <w:t xml:space="preserve"> </w:t>
      </w:r>
      <w:r w:rsidRPr="0031675F">
        <w:rPr>
          <w:spacing w:val="-1"/>
        </w:rPr>
        <w:t>dry</w:t>
      </w:r>
      <w:r w:rsidRPr="0031675F">
        <w:rPr>
          <w:spacing w:val="3"/>
        </w:rPr>
        <w:t xml:space="preserve"> </w:t>
      </w:r>
      <w:r w:rsidRPr="0031675F">
        <w:rPr>
          <w:spacing w:val="-1"/>
        </w:rPr>
        <w:t>again</w:t>
      </w:r>
      <w:r w:rsidRPr="0031675F">
        <w:rPr>
          <w:spacing w:val="1"/>
        </w:rPr>
        <w:t xml:space="preserve"> </w:t>
      </w:r>
      <w:r w:rsidRPr="0031675F">
        <w:rPr>
          <w:spacing w:val="-1"/>
        </w:rPr>
        <w:t>and,</w:t>
      </w:r>
      <w:r w:rsidRPr="0031675F">
        <w:t xml:space="preserve"> </w:t>
      </w:r>
      <w:r w:rsidRPr="0031675F">
        <w:rPr>
          <w:spacing w:val="-1"/>
        </w:rPr>
        <w:t>while</w:t>
      </w:r>
      <w:r w:rsidRPr="0031675F">
        <w:rPr>
          <w:spacing w:val="3"/>
        </w:rPr>
        <w:t xml:space="preserve"> </w:t>
      </w:r>
      <w:r w:rsidRPr="0031675F">
        <w:rPr>
          <w:spacing w:val="-1"/>
        </w:rPr>
        <w:t>leaving</w:t>
      </w:r>
      <w:r w:rsidRPr="0031675F">
        <w:rPr>
          <w:spacing w:val="2"/>
        </w:rPr>
        <w:t xml:space="preserve"> </w:t>
      </w:r>
      <w:r w:rsidRPr="0031675F">
        <w:t xml:space="preserve">the </w:t>
      </w:r>
      <w:r w:rsidRPr="0031675F">
        <w:rPr>
          <w:spacing w:val="-1"/>
        </w:rPr>
        <w:t>vacuum</w:t>
      </w:r>
      <w:r w:rsidRPr="0031675F">
        <w:rPr>
          <w:spacing w:val="1"/>
        </w:rPr>
        <w:t xml:space="preserve"> </w:t>
      </w:r>
      <w:r w:rsidRPr="0031675F">
        <w:t>on,</w:t>
      </w:r>
      <w:r w:rsidRPr="0031675F">
        <w:rPr>
          <w:spacing w:val="2"/>
        </w:rPr>
        <w:t xml:space="preserve"> </w:t>
      </w:r>
      <w:r w:rsidRPr="0031675F">
        <w:rPr>
          <w:spacing w:val="-1"/>
        </w:rPr>
        <w:t>remove</w:t>
      </w:r>
      <w:r w:rsidRPr="0031675F">
        <w:rPr>
          <w:spacing w:val="3"/>
        </w:rPr>
        <w:t xml:space="preserve"> </w:t>
      </w:r>
      <w:r w:rsidRPr="0031675F">
        <w:t>the</w:t>
      </w:r>
      <w:r w:rsidRPr="0031675F">
        <w:rPr>
          <w:spacing w:val="3"/>
        </w:rPr>
        <w:t xml:space="preserve"> </w:t>
      </w:r>
      <w:r w:rsidRPr="0031675F">
        <w:rPr>
          <w:spacing w:val="-1"/>
        </w:rPr>
        <w:t>filter</w:t>
      </w:r>
      <w:r w:rsidRPr="0031675F">
        <w:rPr>
          <w:spacing w:val="2"/>
        </w:rPr>
        <w:t xml:space="preserve"> </w:t>
      </w:r>
      <w:r w:rsidRPr="0031675F">
        <w:rPr>
          <w:spacing w:val="-1"/>
        </w:rPr>
        <w:t>funnel,</w:t>
      </w:r>
      <w:r w:rsidRPr="0031675F">
        <w:rPr>
          <w:spacing w:val="6"/>
        </w:rPr>
        <w:t xml:space="preserve"> </w:t>
      </w:r>
      <w:r w:rsidRPr="0031675F">
        <w:rPr>
          <w:spacing w:val="-1"/>
        </w:rPr>
        <w:t>Gently</w:t>
      </w:r>
      <w:r w:rsidRPr="0031675F">
        <w:rPr>
          <w:spacing w:val="3"/>
        </w:rPr>
        <w:t xml:space="preserve"> </w:t>
      </w:r>
      <w:r w:rsidRPr="0031675F">
        <w:rPr>
          <w:spacing w:val="-1"/>
        </w:rPr>
        <w:t>lift</w:t>
      </w:r>
      <w:r w:rsidRPr="0031675F">
        <w:t xml:space="preserve"> one</w:t>
      </w:r>
      <w:r w:rsidRPr="0031675F">
        <w:rPr>
          <w:spacing w:val="3"/>
        </w:rPr>
        <w:t xml:space="preserve"> </w:t>
      </w:r>
      <w:r w:rsidRPr="0031675F">
        <w:rPr>
          <w:spacing w:val="-1"/>
        </w:rPr>
        <w:t>side</w:t>
      </w:r>
      <w:r w:rsidRPr="0031675F">
        <w:t xml:space="preserve"> of </w:t>
      </w:r>
      <w:r w:rsidRPr="0031675F">
        <w:rPr>
          <w:spacing w:val="-1"/>
        </w:rPr>
        <w:t>the</w:t>
      </w:r>
      <w:r w:rsidRPr="0031675F">
        <w:rPr>
          <w:spacing w:val="55"/>
        </w:rPr>
        <w:t xml:space="preserve"> </w:t>
      </w:r>
      <w:r w:rsidRPr="0031675F">
        <w:rPr>
          <w:spacing w:val="-1"/>
        </w:rPr>
        <w:t>filter</w:t>
      </w:r>
      <w:r w:rsidRPr="0031675F">
        <w:rPr>
          <w:spacing w:val="7"/>
        </w:rPr>
        <w:t xml:space="preserve"> </w:t>
      </w:r>
      <w:r w:rsidRPr="0031675F">
        <w:t>with</w:t>
      </w:r>
      <w:r w:rsidRPr="0031675F">
        <w:rPr>
          <w:spacing w:val="9"/>
        </w:rPr>
        <w:t xml:space="preserve"> </w:t>
      </w:r>
      <w:r w:rsidRPr="0031675F">
        <w:rPr>
          <w:spacing w:val="-1"/>
        </w:rPr>
        <w:t>the</w:t>
      </w:r>
      <w:r w:rsidRPr="0031675F">
        <w:rPr>
          <w:spacing w:val="10"/>
        </w:rPr>
        <w:t xml:space="preserve"> </w:t>
      </w:r>
      <w:r w:rsidRPr="0031675F">
        <w:rPr>
          <w:spacing w:val="-1"/>
        </w:rPr>
        <w:t>tweezers</w:t>
      </w:r>
      <w:r w:rsidRPr="0031675F">
        <w:rPr>
          <w:spacing w:val="6"/>
        </w:rPr>
        <w:t xml:space="preserve"> </w:t>
      </w:r>
      <w:r w:rsidRPr="0031675F">
        <w:t>to</w:t>
      </w:r>
      <w:r w:rsidRPr="0031675F">
        <w:rPr>
          <w:spacing w:val="6"/>
        </w:rPr>
        <w:t xml:space="preserve"> </w:t>
      </w:r>
      <w:r w:rsidRPr="0031675F">
        <w:rPr>
          <w:spacing w:val="-1"/>
        </w:rPr>
        <w:t>break</w:t>
      </w:r>
      <w:r w:rsidRPr="0031675F">
        <w:rPr>
          <w:spacing w:val="10"/>
        </w:rPr>
        <w:t xml:space="preserve"> </w:t>
      </w:r>
      <w:r w:rsidRPr="0031675F">
        <w:rPr>
          <w:spacing w:val="-1"/>
        </w:rPr>
        <w:t>the</w:t>
      </w:r>
      <w:r w:rsidRPr="0031675F">
        <w:rPr>
          <w:spacing w:val="8"/>
        </w:rPr>
        <w:t xml:space="preserve"> </w:t>
      </w:r>
      <w:r w:rsidRPr="0031675F">
        <w:rPr>
          <w:spacing w:val="-1"/>
        </w:rPr>
        <w:t>vacuum.</w:t>
      </w:r>
      <w:r w:rsidRPr="0031675F">
        <w:t xml:space="preserve"> </w:t>
      </w:r>
      <w:r w:rsidRPr="0031675F">
        <w:rPr>
          <w:spacing w:val="14"/>
        </w:rPr>
        <w:t xml:space="preserve"> </w:t>
      </w:r>
      <w:r w:rsidRPr="0031675F">
        <w:t>When</w:t>
      </w:r>
      <w:r w:rsidRPr="0031675F">
        <w:rPr>
          <w:spacing w:val="6"/>
        </w:rPr>
        <w:t xml:space="preserve"> </w:t>
      </w:r>
      <w:r w:rsidRPr="0031675F">
        <w:t>the</w:t>
      </w:r>
      <w:r w:rsidRPr="0031675F">
        <w:rPr>
          <w:spacing w:val="7"/>
        </w:rPr>
        <w:t xml:space="preserve"> </w:t>
      </w:r>
      <w:r w:rsidRPr="0031675F">
        <w:rPr>
          <w:spacing w:val="-1"/>
        </w:rPr>
        <w:t>vacuum</w:t>
      </w:r>
      <w:r w:rsidRPr="0031675F">
        <w:rPr>
          <w:spacing w:val="12"/>
        </w:rPr>
        <w:t xml:space="preserve"> </w:t>
      </w:r>
      <w:r w:rsidRPr="0031675F">
        <w:t>is</w:t>
      </w:r>
      <w:r w:rsidRPr="0031675F">
        <w:rPr>
          <w:spacing w:val="9"/>
        </w:rPr>
        <w:t xml:space="preserve"> </w:t>
      </w:r>
      <w:r w:rsidRPr="0031675F">
        <w:rPr>
          <w:spacing w:val="-1"/>
        </w:rPr>
        <w:t>broken,</w:t>
      </w:r>
      <w:r w:rsidRPr="0031675F">
        <w:rPr>
          <w:spacing w:val="9"/>
        </w:rPr>
        <w:t xml:space="preserve"> </w:t>
      </w:r>
      <w:r w:rsidRPr="0031675F">
        <w:rPr>
          <w:spacing w:val="-1"/>
        </w:rPr>
        <w:t>use</w:t>
      </w:r>
      <w:r w:rsidRPr="0031675F">
        <w:rPr>
          <w:spacing w:val="5"/>
        </w:rPr>
        <w:t xml:space="preserve"> </w:t>
      </w:r>
      <w:r w:rsidRPr="0031675F">
        <w:t>the</w:t>
      </w:r>
      <w:r w:rsidRPr="0031675F">
        <w:rPr>
          <w:spacing w:val="10"/>
        </w:rPr>
        <w:t xml:space="preserve"> </w:t>
      </w:r>
      <w:r w:rsidRPr="0031675F">
        <w:rPr>
          <w:spacing w:val="-1"/>
        </w:rPr>
        <w:t>tweezers</w:t>
      </w:r>
      <w:r w:rsidRPr="0031675F">
        <w:rPr>
          <w:spacing w:val="6"/>
        </w:rPr>
        <w:t xml:space="preserve"> </w:t>
      </w:r>
      <w:r w:rsidRPr="0031675F">
        <w:t>to</w:t>
      </w:r>
      <w:r w:rsidRPr="0031675F">
        <w:rPr>
          <w:spacing w:val="9"/>
        </w:rPr>
        <w:t xml:space="preserve"> </w:t>
      </w:r>
      <w:r w:rsidRPr="0031675F">
        <w:rPr>
          <w:spacing w:val="-1"/>
        </w:rPr>
        <w:t xml:space="preserve">fold </w:t>
      </w:r>
      <w:r w:rsidRPr="0031675F">
        <w:t>the</w:t>
      </w:r>
      <w:r w:rsidRPr="0031675F">
        <w:rPr>
          <w:spacing w:val="10"/>
        </w:rPr>
        <w:t xml:space="preserve"> </w:t>
      </w:r>
      <w:r w:rsidRPr="0031675F">
        <w:rPr>
          <w:spacing w:val="-1"/>
        </w:rPr>
        <w:t>filter</w:t>
      </w:r>
      <w:r w:rsidRPr="0031675F">
        <w:rPr>
          <w:spacing w:val="9"/>
        </w:rPr>
        <w:t xml:space="preserve"> </w:t>
      </w:r>
      <w:r w:rsidRPr="0031675F">
        <w:t>in</w:t>
      </w:r>
      <w:r w:rsidRPr="0031675F">
        <w:rPr>
          <w:spacing w:val="8"/>
        </w:rPr>
        <w:t xml:space="preserve"> </w:t>
      </w:r>
      <w:r w:rsidRPr="0031675F">
        <w:rPr>
          <w:spacing w:val="-1"/>
        </w:rPr>
        <w:t>half</w:t>
      </w:r>
      <w:r w:rsidRPr="0031675F">
        <w:rPr>
          <w:spacing w:val="7"/>
        </w:rPr>
        <w:t xml:space="preserve"> </w:t>
      </w:r>
      <w:r w:rsidRPr="0031675F">
        <w:t>with</w:t>
      </w:r>
      <w:r w:rsidRPr="0031675F">
        <w:rPr>
          <w:spacing w:val="9"/>
        </w:rPr>
        <w:t xml:space="preserve"> </w:t>
      </w:r>
      <w:r w:rsidRPr="0031675F">
        <w:rPr>
          <w:spacing w:val="-1"/>
        </w:rPr>
        <w:t>the</w:t>
      </w:r>
      <w:r w:rsidRPr="0031675F">
        <w:rPr>
          <w:spacing w:val="10"/>
        </w:rPr>
        <w:t xml:space="preserve"> </w:t>
      </w:r>
      <w:r w:rsidRPr="0031675F">
        <w:rPr>
          <w:spacing w:val="-1"/>
        </w:rPr>
        <w:t>filtered</w:t>
      </w:r>
      <w:r w:rsidRPr="0031675F">
        <w:rPr>
          <w:spacing w:val="6"/>
        </w:rPr>
        <w:t xml:space="preserve"> </w:t>
      </w:r>
      <w:r w:rsidRPr="0031675F">
        <w:rPr>
          <w:spacing w:val="-1"/>
        </w:rPr>
        <w:t>material</w:t>
      </w:r>
      <w:r w:rsidRPr="0031675F">
        <w:rPr>
          <w:spacing w:val="9"/>
        </w:rPr>
        <w:t xml:space="preserve"> </w:t>
      </w:r>
      <w:r w:rsidRPr="0031675F">
        <w:t>on</w:t>
      </w:r>
      <w:r w:rsidRPr="0031675F">
        <w:rPr>
          <w:spacing w:val="6"/>
        </w:rPr>
        <w:t xml:space="preserve"> </w:t>
      </w:r>
      <w:r w:rsidRPr="0031675F">
        <w:t>the</w:t>
      </w:r>
      <w:r w:rsidRPr="0031675F">
        <w:rPr>
          <w:spacing w:val="10"/>
        </w:rPr>
        <w:t xml:space="preserve"> </w:t>
      </w:r>
      <w:r w:rsidRPr="0031675F">
        <w:rPr>
          <w:spacing w:val="-2"/>
        </w:rPr>
        <w:t>inside,</w:t>
      </w:r>
      <w:r w:rsidRPr="0031675F">
        <w:rPr>
          <w:spacing w:val="10"/>
        </w:rPr>
        <w:t xml:space="preserve"> </w:t>
      </w:r>
      <w:r w:rsidRPr="0031675F">
        <w:t>then</w:t>
      </w:r>
      <w:r w:rsidRPr="0031675F">
        <w:rPr>
          <w:spacing w:val="9"/>
        </w:rPr>
        <w:t xml:space="preserve"> </w:t>
      </w:r>
      <w:r w:rsidRPr="0031675F">
        <w:t>in</w:t>
      </w:r>
      <w:r w:rsidRPr="0031675F">
        <w:rPr>
          <w:spacing w:val="8"/>
        </w:rPr>
        <w:t xml:space="preserve"> </w:t>
      </w:r>
      <w:r w:rsidRPr="0031675F">
        <w:rPr>
          <w:spacing w:val="-1"/>
        </w:rPr>
        <w:t>quarters.</w:t>
      </w:r>
      <w:r w:rsidRPr="0031675F">
        <w:rPr>
          <w:spacing w:val="19"/>
        </w:rPr>
        <w:t xml:space="preserve"> </w:t>
      </w:r>
      <w:r w:rsidRPr="0031675F">
        <w:rPr>
          <w:spacing w:val="-1"/>
        </w:rPr>
        <w:t>Return</w:t>
      </w:r>
      <w:r w:rsidRPr="0031675F">
        <w:rPr>
          <w:spacing w:val="9"/>
        </w:rPr>
        <w:t xml:space="preserve"> </w:t>
      </w:r>
      <w:r w:rsidRPr="0031675F">
        <w:t>the</w:t>
      </w:r>
      <w:r w:rsidRPr="0031675F">
        <w:rPr>
          <w:spacing w:val="10"/>
        </w:rPr>
        <w:t xml:space="preserve"> </w:t>
      </w:r>
      <w:r w:rsidRPr="0031675F">
        <w:rPr>
          <w:spacing w:val="-1"/>
        </w:rPr>
        <w:t>folded</w:t>
      </w:r>
      <w:r w:rsidRPr="0031675F">
        <w:rPr>
          <w:spacing w:val="9"/>
        </w:rPr>
        <w:t xml:space="preserve"> </w:t>
      </w:r>
      <w:r w:rsidRPr="0031675F">
        <w:rPr>
          <w:spacing w:val="-1"/>
        </w:rPr>
        <w:t>filter</w:t>
      </w:r>
      <w:r w:rsidRPr="0031675F">
        <w:rPr>
          <w:spacing w:val="9"/>
        </w:rPr>
        <w:t xml:space="preserve"> </w:t>
      </w:r>
      <w:r w:rsidRPr="0031675F">
        <w:rPr>
          <w:spacing w:val="-1"/>
        </w:rPr>
        <w:t>to</w:t>
      </w:r>
      <w:r w:rsidRPr="0031675F">
        <w:rPr>
          <w:spacing w:val="57"/>
        </w:rPr>
        <w:t xml:space="preserve"> </w:t>
      </w:r>
      <w:r w:rsidRPr="0031675F">
        <w:t xml:space="preserve">the </w:t>
      </w:r>
      <w:r w:rsidRPr="0031675F">
        <w:rPr>
          <w:spacing w:val="-1"/>
        </w:rPr>
        <w:t>numbered</w:t>
      </w:r>
      <w:r w:rsidRPr="0031675F">
        <w:rPr>
          <w:spacing w:val="-3"/>
        </w:rPr>
        <w:t xml:space="preserve"> </w:t>
      </w:r>
      <w:r w:rsidRPr="0031675F">
        <w:t>vial</w:t>
      </w:r>
      <w:r w:rsidRPr="0031675F">
        <w:rPr>
          <w:spacing w:val="-1"/>
        </w:rPr>
        <w:t xml:space="preserve"> from</w:t>
      </w:r>
      <w:r w:rsidRPr="0031675F">
        <w:rPr>
          <w:spacing w:val="-2"/>
        </w:rPr>
        <w:t xml:space="preserve"> </w:t>
      </w:r>
      <w:r w:rsidRPr="0031675F">
        <w:rPr>
          <w:spacing w:val="-1"/>
        </w:rPr>
        <w:t xml:space="preserve">which </w:t>
      </w:r>
      <w:r w:rsidRPr="0031675F">
        <w:t xml:space="preserve">it </w:t>
      </w:r>
      <w:r w:rsidRPr="0031675F">
        <w:rPr>
          <w:spacing w:val="-1"/>
        </w:rPr>
        <w:t>came.</w:t>
      </w:r>
    </w:p>
    <w:p w14:paraId="57A1B566" w14:textId="77777777" w:rsidR="0031675F" w:rsidRPr="0031675F" w:rsidRDefault="0031675F" w:rsidP="0031675F">
      <w:pPr>
        <w:spacing w:after="120" w:line="266" w:lineRule="exact"/>
        <w:ind w:right="109" w:firstLine="50"/>
        <w:jc w:val="both"/>
      </w:pPr>
      <w:r w:rsidRPr="0031675F">
        <w:rPr>
          <w:spacing w:val="-1"/>
        </w:rPr>
        <w:t>Record</w:t>
      </w:r>
      <w:r w:rsidRPr="0031675F">
        <w:rPr>
          <w:spacing w:val="9"/>
        </w:rPr>
        <w:t xml:space="preserve"> </w:t>
      </w:r>
      <w:r w:rsidRPr="0031675F">
        <w:t>the</w:t>
      </w:r>
      <w:r w:rsidRPr="0031675F">
        <w:rPr>
          <w:spacing w:val="7"/>
        </w:rPr>
        <w:t xml:space="preserve"> </w:t>
      </w:r>
      <w:r w:rsidRPr="0031675F">
        <w:t>vial</w:t>
      </w:r>
      <w:r w:rsidRPr="0031675F">
        <w:rPr>
          <w:spacing w:val="9"/>
        </w:rPr>
        <w:t xml:space="preserve"> </w:t>
      </w:r>
      <w:r w:rsidRPr="0031675F">
        <w:rPr>
          <w:spacing w:val="-1"/>
        </w:rPr>
        <w:t>number,</w:t>
      </w:r>
      <w:r w:rsidRPr="0031675F">
        <w:rPr>
          <w:spacing w:val="7"/>
        </w:rPr>
        <w:t xml:space="preserve"> </w:t>
      </w:r>
      <w:r w:rsidRPr="0031675F">
        <w:rPr>
          <w:spacing w:val="-1"/>
        </w:rPr>
        <w:t>volume</w:t>
      </w:r>
      <w:r w:rsidRPr="0031675F">
        <w:rPr>
          <w:spacing w:val="10"/>
        </w:rPr>
        <w:t xml:space="preserve"> </w:t>
      </w:r>
      <w:r w:rsidRPr="0031675F">
        <w:rPr>
          <w:spacing w:val="-1"/>
        </w:rPr>
        <w:t>sampled</w:t>
      </w:r>
      <w:r w:rsidRPr="0031675F">
        <w:rPr>
          <w:spacing w:val="9"/>
        </w:rPr>
        <w:t xml:space="preserve"> </w:t>
      </w:r>
      <w:r w:rsidRPr="0031675F">
        <w:rPr>
          <w:spacing w:val="-1"/>
        </w:rPr>
        <w:t>and</w:t>
      </w:r>
      <w:r w:rsidRPr="0031675F">
        <w:rPr>
          <w:spacing w:val="9"/>
        </w:rPr>
        <w:t xml:space="preserve"> </w:t>
      </w:r>
      <w:r w:rsidRPr="0031675F">
        <w:rPr>
          <w:spacing w:val="-1"/>
        </w:rPr>
        <w:t>replicate</w:t>
      </w:r>
      <w:r w:rsidRPr="0031675F">
        <w:rPr>
          <w:spacing w:val="10"/>
        </w:rPr>
        <w:t xml:space="preserve"> </w:t>
      </w:r>
      <w:r w:rsidRPr="0031675F">
        <w:rPr>
          <w:spacing w:val="-1"/>
        </w:rPr>
        <w:t>number</w:t>
      </w:r>
      <w:r w:rsidRPr="0031675F">
        <w:rPr>
          <w:spacing w:val="8"/>
        </w:rPr>
        <w:t xml:space="preserve"> </w:t>
      </w:r>
      <w:r w:rsidRPr="0031675F">
        <w:rPr>
          <w:spacing w:val="-1"/>
        </w:rPr>
        <w:t>against</w:t>
      </w:r>
      <w:r w:rsidRPr="0031675F">
        <w:rPr>
          <w:spacing w:val="10"/>
        </w:rPr>
        <w:t xml:space="preserve"> </w:t>
      </w:r>
      <w:r w:rsidRPr="0031675F">
        <w:rPr>
          <w:spacing w:val="-1"/>
        </w:rPr>
        <w:t>the</w:t>
      </w:r>
      <w:r w:rsidRPr="0031675F">
        <w:rPr>
          <w:spacing w:val="8"/>
        </w:rPr>
        <w:t xml:space="preserve"> </w:t>
      </w:r>
      <w:r w:rsidRPr="0031675F">
        <w:rPr>
          <w:spacing w:val="-1"/>
        </w:rPr>
        <w:t>station</w:t>
      </w:r>
      <w:r w:rsidRPr="0031675F">
        <w:rPr>
          <w:spacing w:val="9"/>
        </w:rPr>
        <w:t xml:space="preserve"> </w:t>
      </w:r>
      <w:r w:rsidRPr="0031675F">
        <w:rPr>
          <w:spacing w:val="-1"/>
        </w:rPr>
        <w:t>name</w:t>
      </w:r>
      <w:r w:rsidRPr="0031675F">
        <w:rPr>
          <w:spacing w:val="10"/>
        </w:rPr>
        <w:t xml:space="preserve"> </w:t>
      </w:r>
      <w:r w:rsidRPr="0031675F">
        <w:rPr>
          <w:spacing w:val="-1"/>
        </w:rPr>
        <w:t>and</w:t>
      </w:r>
      <w:r w:rsidRPr="0031675F">
        <w:rPr>
          <w:spacing w:val="9"/>
        </w:rPr>
        <w:t xml:space="preserve"> </w:t>
      </w:r>
      <w:r w:rsidRPr="0031675F">
        <w:rPr>
          <w:spacing w:val="-1"/>
        </w:rPr>
        <w:t>depth</w:t>
      </w:r>
      <w:r w:rsidRPr="0031675F">
        <w:rPr>
          <w:spacing w:val="73"/>
        </w:rPr>
        <w:t xml:space="preserve"> </w:t>
      </w:r>
      <w:r w:rsidRPr="0031675F">
        <w:t>in</w:t>
      </w:r>
      <w:r w:rsidRPr="0031675F">
        <w:rPr>
          <w:spacing w:val="-1"/>
        </w:rPr>
        <w:t xml:space="preserve"> both</w:t>
      </w:r>
      <w:r w:rsidRPr="0031675F">
        <w:t xml:space="preserve"> the</w:t>
      </w:r>
      <w:r w:rsidRPr="0031675F">
        <w:rPr>
          <w:spacing w:val="-2"/>
        </w:rPr>
        <w:t xml:space="preserve"> </w:t>
      </w:r>
      <w:r w:rsidRPr="0031675F">
        <w:rPr>
          <w:spacing w:val="-1"/>
        </w:rPr>
        <w:t>laboratory</w:t>
      </w:r>
      <w:r w:rsidRPr="0031675F">
        <w:t xml:space="preserve"> </w:t>
      </w:r>
      <w:r w:rsidRPr="0031675F">
        <w:rPr>
          <w:spacing w:val="-1"/>
        </w:rPr>
        <w:t>book</w:t>
      </w:r>
      <w:r w:rsidRPr="0031675F">
        <w:t xml:space="preserve"> </w:t>
      </w:r>
      <w:r w:rsidRPr="0031675F">
        <w:rPr>
          <w:spacing w:val="-1"/>
        </w:rPr>
        <w:t>and the</w:t>
      </w:r>
      <w:r w:rsidRPr="0031675F">
        <w:t xml:space="preserve"> </w:t>
      </w:r>
      <w:r w:rsidRPr="0031675F">
        <w:rPr>
          <w:spacing w:val="-1"/>
        </w:rPr>
        <w:t>Field Data</w:t>
      </w:r>
      <w:r w:rsidRPr="0031675F">
        <w:t xml:space="preserve"> </w:t>
      </w:r>
      <w:r w:rsidRPr="0031675F">
        <w:rPr>
          <w:spacing w:val="-2"/>
        </w:rPr>
        <w:t>Entry</w:t>
      </w:r>
      <w:r w:rsidRPr="0031675F">
        <w:t xml:space="preserve"> </w:t>
      </w:r>
      <w:r w:rsidRPr="0031675F">
        <w:rPr>
          <w:spacing w:val="-2"/>
        </w:rPr>
        <w:t>System</w:t>
      </w:r>
      <w:r w:rsidRPr="0031675F">
        <w:rPr>
          <w:spacing w:val="1"/>
        </w:rPr>
        <w:t xml:space="preserve"> </w:t>
      </w:r>
      <w:r w:rsidRPr="0031675F">
        <w:rPr>
          <w:spacing w:val="-1"/>
        </w:rPr>
        <w:t>database</w:t>
      </w:r>
      <w:r w:rsidRPr="0031675F">
        <w:rPr>
          <w:spacing w:val="1"/>
        </w:rPr>
        <w:t xml:space="preserve"> </w:t>
      </w:r>
      <w:r w:rsidRPr="0031675F">
        <w:rPr>
          <w:spacing w:val="-1"/>
        </w:rPr>
        <w:t>(For</w:t>
      </w:r>
      <w:r w:rsidRPr="0031675F">
        <w:t xml:space="preserve"> </w:t>
      </w:r>
      <w:r w:rsidRPr="0031675F">
        <w:rPr>
          <w:spacing w:val="-1"/>
        </w:rPr>
        <w:t>details</w:t>
      </w:r>
      <w:r w:rsidRPr="0031675F">
        <w:t xml:space="preserve"> see</w:t>
      </w:r>
      <w:r w:rsidRPr="0031675F">
        <w:rPr>
          <w:spacing w:val="-1"/>
        </w:rPr>
        <w:t xml:space="preserve"> Section A12).</w:t>
      </w:r>
    </w:p>
    <w:p w14:paraId="618C4600" w14:textId="77777777" w:rsidR="0031675F" w:rsidRPr="0031675F" w:rsidRDefault="0031675F" w:rsidP="0031675F">
      <w:pPr>
        <w:spacing w:after="120"/>
        <w:ind w:right="120"/>
        <w:jc w:val="both"/>
      </w:pPr>
      <w:r w:rsidRPr="0031675F">
        <w:rPr>
          <w:spacing w:val="-1"/>
        </w:rPr>
        <w:t>The</w:t>
      </w:r>
      <w:r w:rsidRPr="0031675F">
        <w:rPr>
          <w:spacing w:val="15"/>
        </w:rPr>
        <w:t xml:space="preserve"> </w:t>
      </w:r>
      <w:r w:rsidRPr="0031675F">
        <w:rPr>
          <w:spacing w:val="-1"/>
        </w:rPr>
        <w:t>filtered</w:t>
      </w:r>
      <w:r w:rsidRPr="0031675F">
        <w:rPr>
          <w:spacing w:val="14"/>
        </w:rPr>
        <w:t xml:space="preserve"> </w:t>
      </w:r>
      <w:r w:rsidRPr="0031675F">
        <w:rPr>
          <w:spacing w:val="-1"/>
        </w:rPr>
        <w:t>samples</w:t>
      </w:r>
      <w:r w:rsidRPr="0031675F">
        <w:rPr>
          <w:spacing w:val="12"/>
        </w:rPr>
        <w:t xml:space="preserve"> </w:t>
      </w:r>
      <w:r w:rsidRPr="0031675F">
        <w:t>can</w:t>
      </w:r>
      <w:r w:rsidRPr="0031675F">
        <w:rPr>
          <w:spacing w:val="13"/>
        </w:rPr>
        <w:t xml:space="preserve"> </w:t>
      </w:r>
      <w:r w:rsidRPr="0031675F">
        <w:rPr>
          <w:spacing w:val="-2"/>
        </w:rPr>
        <w:t>be</w:t>
      </w:r>
      <w:r w:rsidRPr="0031675F">
        <w:rPr>
          <w:spacing w:val="15"/>
        </w:rPr>
        <w:t xml:space="preserve"> </w:t>
      </w:r>
      <w:r w:rsidRPr="0031675F">
        <w:rPr>
          <w:spacing w:val="-1"/>
        </w:rPr>
        <w:t>stored</w:t>
      </w:r>
      <w:r w:rsidRPr="0031675F">
        <w:rPr>
          <w:spacing w:val="14"/>
        </w:rPr>
        <w:t xml:space="preserve"> </w:t>
      </w:r>
      <w:r w:rsidRPr="0031675F">
        <w:rPr>
          <w:spacing w:val="-2"/>
        </w:rPr>
        <w:t>at</w:t>
      </w:r>
      <w:r w:rsidRPr="0031675F">
        <w:rPr>
          <w:spacing w:val="15"/>
        </w:rPr>
        <w:t xml:space="preserve"> </w:t>
      </w:r>
      <w:r w:rsidRPr="0031675F">
        <w:rPr>
          <w:spacing w:val="-1"/>
        </w:rPr>
        <w:t>room</w:t>
      </w:r>
      <w:r w:rsidRPr="0031675F">
        <w:rPr>
          <w:spacing w:val="15"/>
        </w:rPr>
        <w:t xml:space="preserve"> </w:t>
      </w:r>
      <w:r w:rsidRPr="0031675F">
        <w:rPr>
          <w:spacing w:val="-1"/>
        </w:rPr>
        <w:t>temperature</w:t>
      </w:r>
      <w:r w:rsidRPr="0031675F">
        <w:rPr>
          <w:spacing w:val="15"/>
        </w:rPr>
        <w:t xml:space="preserve"> </w:t>
      </w:r>
      <w:r w:rsidRPr="0031675F">
        <w:t>if</w:t>
      </w:r>
      <w:r w:rsidRPr="0031675F">
        <w:rPr>
          <w:spacing w:val="14"/>
        </w:rPr>
        <w:t xml:space="preserve"> </w:t>
      </w:r>
      <w:r w:rsidRPr="0031675F">
        <w:rPr>
          <w:spacing w:val="-1"/>
        </w:rPr>
        <w:t>kept</w:t>
      </w:r>
      <w:r w:rsidRPr="0031675F">
        <w:rPr>
          <w:spacing w:val="12"/>
        </w:rPr>
        <w:t xml:space="preserve"> </w:t>
      </w:r>
      <w:r w:rsidRPr="0031675F">
        <w:rPr>
          <w:spacing w:val="-1"/>
        </w:rPr>
        <w:t>dry</w:t>
      </w:r>
      <w:r w:rsidRPr="0031675F">
        <w:rPr>
          <w:spacing w:val="15"/>
        </w:rPr>
        <w:t xml:space="preserve"> </w:t>
      </w:r>
      <w:r w:rsidRPr="0031675F">
        <w:rPr>
          <w:spacing w:val="-1"/>
        </w:rPr>
        <w:t>but</w:t>
      </w:r>
      <w:r w:rsidRPr="0031675F">
        <w:rPr>
          <w:spacing w:val="15"/>
        </w:rPr>
        <w:t xml:space="preserve"> </w:t>
      </w:r>
      <w:r w:rsidRPr="0031675F">
        <w:rPr>
          <w:spacing w:val="-1"/>
        </w:rPr>
        <w:t>avoid</w:t>
      </w:r>
      <w:r w:rsidRPr="0031675F">
        <w:rPr>
          <w:spacing w:val="13"/>
        </w:rPr>
        <w:t xml:space="preserve"> </w:t>
      </w:r>
      <w:r w:rsidRPr="0031675F">
        <w:rPr>
          <w:spacing w:val="-1"/>
        </w:rPr>
        <w:t>hot</w:t>
      </w:r>
      <w:r w:rsidRPr="0031675F">
        <w:rPr>
          <w:spacing w:val="13"/>
        </w:rPr>
        <w:t xml:space="preserve"> </w:t>
      </w:r>
      <w:r w:rsidRPr="0031675F">
        <w:t>or</w:t>
      </w:r>
      <w:r w:rsidRPr="0031675F">
        <w:rPr>
          <w:spacing w:val="14"/>
        </w:rPr>
        <w:t xml:space="preserve"> </w:t>
      </w:r>
      <w:r w:rsidRPr="0031675F">
        <w:rPr>
          <w:spacing w:val="-1"/>
        </w:rPr>
        <w:t>humid</w:t>
      </w:r>
      <w:r w:rsidRPr="0031675F">
        <w:rPr>
          <w:spacing w:val="11"/>
        </w:rPr>
        <w:t xml:space="preserve"> </w:t>
      </w:r>
      <w:r w:rsidRPr="0031675F">
        <w:rPr>
          <w:spacing w:val="-1"/>
        </w:rPr>
        <w:t>storage</w:t>
      </w:r>
      <w:r w:rsidRPr="0031675F">
        <w:rPr>
          <w:spacing w:val="53"/>
        </w:rPr>
        <w:t xml:space="preserve"> </w:t>
      </w:r>
      <w:r w:rsidRPr="0031675F">
        <w:t>areas as</w:t>
      </w:r>
      <w:r w:rsidRPr="0031675F">
        <w:rPr>
          <w:spacing w:val="-2"/>
        </w:rPr>
        <w:t xml:space="preserve"> </w:t>
      </w:r>
      <w:r w:rsidRPr="0031675F">
        <w:rPr>
          <w:spacing w:val="-1"/>
        </w:rPr>
        <w:t>mould</w:t>
      </w:r>
      <w:r w:rsidRPr="0031675F">
        <w:rPr>
          <w:spacing w:val="-3"/>
        </w:rPr>
        <w:t xml:space="preserve"> </w:t>
      </w:r>
      <w:r w:rsidRPr="0031675F">
        <w:t>may</w:t>
      </w:r>
      <w:r w:rsidRPr="0031675F">
        <w:rPr>
          <w:spacing w:val="1"/>
        </w:rPr>
        <w:t xml:space="preserve"> </w:t>
      </w:r>
      <w:r w:rsidRPr="0031675F">
        <w:rPr>
          <w:spacing w:val="-2"/>
        </w:rPr>
        <w:t>become</w:t>
      </w:r>
      <w:r w:rsidRPr="0031675F">
        <w:t xml:space="preserve"> a </w:t>
      </w:r>
      <w:r w:rsidRPr="0031675F">
        <w:rPr>
          <w:spacing w:val="-1"/>
        </w:rPr>
        <w:t>problem.</w:t>
      </w:r>
    </w:p>
    <w:p w14:paraId="5D666AE7" w14:textId="77777777" w:rsidR="0031675F" w:rsidRPr="0031675F" w:rsidRDefault="0031675F" w:rsidP="0031675F">
      <w:pPr>
        <w:spacing w:before="8"/>
        <w:rPr>
          <w:rFonts w:cs="Calibri"/>
          <w:sz w:val="21"/>
          <w:szCs w:val="21"/>
        </w:rPr>
      </w:pPr>
    </w:p>
    <w:p w14:paraId="3D201841" w14:textId="57AEC533" w:rsidR="0031675F" w:rsidRPr="0031675F" w:rsidRDefault="0031675F" w:rsidP="0031675F">
      <w:pPr>
        <w:spacing w:line="20" w:lineRule="atLeast"/>
        <w:ind w:left="130"/>
        <w:rPr>
          <w:rFonts w:cs="Calibri"/>
          <w:sz w:val="2"/>
          <w:szCs w:val="2"/>
        </w:rPr>
      </w:pPr>
      <w:r w:rsidRPr="0031675F">
        <w:rPr>
          <w:noProof/>
          <w:lang w:eastAsia="en-AU"/>
        </w:rPr>
        <mc:AlternateContent>
          <mc:Choice Requires="wpg">
            <w:drawing>
              <wp:inline distT="0" distB="0" distL="0" distR="0" wp14:anchorId="3AA7B60C" wp14:editId="7BAC4A6C">
                <wp:extent cx="1839595" cy="10795"/>
                <wp:effectExtent l="9525" t="9525" r="8255" b="8255"/>
                <wp:docPr id="9475" name="Group 7998" descr="Straight line.&#10;" title="Design elem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9476" name="Group 7999"/>
                        <wpg:cNvGrpSpPr>
                          <a:grpSpLocks/>
                        </wpg:cNvGrpSpPr>
                        <wpg:grpSpPr bwMode="auto">
                          <a:xfrm>
                            <a:off x="8" y="8"/>
                            <a:ext cx="2881" cy="2"/>
                            <a:chOff x="8" y="8"/>
                            <a:chExt cx="2881" cy="2"/>
                          </a:xfrm>
                        </wpg:grpSpPr>
                        <wps:wsp>
                          <wps:cNvPr id="9477" name="Freeform 8000"/>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09CF507" id="Group 7998" o:spid="_x0000_s1026" alt="Title: Design element - Description: Straight line.&#10;"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">
                <v:group id="Group 7999"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3oCJ8cAAADd&#10;AAAADwAAAAAAAAAAAAAAAACqAgAAZHJzL2Rvd25yZXYueG1sUEsFBgAAAAAEAAQA+gAAAJ4DAAAA&#10;AA==&#10;">
                  <v:shape id="Freeform 8000"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ng7sgA&#10;AADdAAAADwAAAGRycy9kb3ducmV2LnhtbESPT2vCQBTE7wW/w/IEL6VuGkTbNBspWkHw4r+Lt0f2&#10;NRuafRuzW4399G6h0OMwM79h8nlvG3GhzteOFTyPExDEpdM1VwqOh9XTCwgfkDU2jknBjTzMi8FD&#10;jpl2V97RZR8qESHsM1RgQmgzKX1pyKIfu5Y4ep+usxii7CqpO7xGuG1kmiRTabHmuGCwpYWh8mv/&#10;bRX8nLcf5fZxYTZpetxMJ8t2eapOSo2G/fsbiEB9+A//tddawetkNoPfN/EJyOIO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aeDuyAAAAN0AAAAPAAAAAAAAAAAAAAAAAJgCAABk&#10;cnMvZG93bnJldi54bWxQSwUGAAAAAAQABAD1AAAAjQMAAAAA&#10;" path="m,l2881,e" filled="f" strokeweight=".82pt">
                    <v:path arrowok="t" o:connecttype="custom" o:connectlocs="0,0;2881,0" o:connectangles="0,0"/>
                  </v:shape>
                </v:group>
                <w10:anchorlock/>
              </v:group>
            </w:pict>
          </mc:Fallback>
        </mc:AlternateContent>
      </w:r>
    </w:p>
    <w:p w14:paraId="134F4484" w14:textId="77777777" w:rsidR="0031675F" w:rsidRPr="0031675F" w:rsidRDefault="0031675F" w:rsidP="0031675F">
      <w:pPr>
        <w:spacing w:before="54"/>
        <w:ind w:left="422" w:right="140" w:hanging="284"/>
        <w:rPr>
          <w:rFonts w:cs="Calibri"/>
          <w:sz w:val="18"/>
          <w:szCs w:val="18"/>
        </w:rPr>
      </w:pPr>
      <w:r w:rsidRPr="0031675F">
        <w:rPr>
          <w:spacing w:val="-1"/>
          <w:position w:val="9"/>
          <w:sz w:val="12"/>
        </w:rPr>
        <w:t>11</w:t>
      </w:r>
      <w:r w:rsidRPr="0031675F">
        <w:rPr>
          <w:position w:val="9"/>
          <w:sz w:val="12"/>
        </w:rPr>
        <w:t xml:space="preserve">    </w:t>
      </w:r>
      <w:r w:rsidRPr="0031675F">
        <w:rPr>
          <w:spacing w:val="21"/>
          <w:position w:val="9"/>
          <w:sz w:val="12"/>
        </w:rPr>
        <w:t xml:space="preserve"> </w:t>
      </w:r>
      <w:r w:rsidRPr="0031675F">
        <w:rPr>
          <w:sz w:val="18"/>
        </w:rPr>
        <w:t>To</w:t>
      </w:r>
      <w:r w:rsidRPr="0031675F">
        <w:rPr>
          <w:spacing w:val="13"/>
          <w:sz w:val="18"/>
        </w:rPr>
        <w:t xml:space="preserve"> </w:t>
      </w:r>
      <w:r w:rsidRPr="0031675F">
        <w:rPr>
          <w:spacing w:val="-1"/>
          <w:sz w:val="18"/>
        </w:rPr>
        <w:t>automatically</w:t>
      </w:r>
      <w:r w:rsidRPr="0031675F">
        <w:rPr>
          <w:spacing w:val="13"/>
          <w:sz w:val="18"/>
        </w:rPr>
        <w:t xml:space="preserve"> </w:t>
      </w:r>
      <w:r w:rsidRPr="0031675F">
        <w:rPr>
          <w:spacing w:val="-1"/>
          <w:sz w:val="18"/>
        </w:rPr>
        <w:t>record</w:t>
      </w:r>
      <w:r w:rsidRPr="0031675F">
        <w:rPr>
          <w:spacing w:val="11"/>
          <w:sz w:val="18"/>
        </w:rPr>
        <w:t xml:space="preserve"> </w:t>
      </w:r>
      <w:r w:rsidRPr="0031675F">
        <w:rPr>
          <w:spacing w:val="-1"/>
          <w:sz w:val="18"/>
        </w:rPr>
        <w:t>initial</w:t>
      </w:r>
      <w:r w:rsidRPr="0031675F">
        <w:rPr>
          <w:spacing w:val="11"/>
          <w:sz w:val="18"/>
        </w:rPr>
        <w:t xml:space="preserve"> </w:t>
      </w:r>
      <w:r w:rsidRPr="0031675F">
        <w:rPr>
          <w:sz w:val="18"/>
        </w:rPr>
        <w:t>filter</w:t>
      </w:r>
      <w:r w:rsidRPr="0031675F">
        <w:rPr>
          <w:spacing w:val="12"/>
          <w:sz w:val="18"/>
        </w:rPr>
        <w:t xml:space="preserve"> </w:t>
      </w:r>
      <w:r w:rsidRPr="0031675F">
        <w:rPr>
          <w:spacing w:val="-1"/>
          <w:sz w:val="18"/>
        </w:rPr>
        <w:t>weights</w:t>
      </w:r>
      <w:r w:rsidRPr="0031675F">
        <w:rPr>
          <w:spacing w:val="11"/>
          <w:sz w:val="18"/>
        </w:rPr>
        <w:t xml:space="preserve"> </w:t>
      </w:r>
      <w:r w:rsidRPr="0031675F">
        <w:rPr>
          <w:sz w:val="18"/>
        </w:rPr>
        <w:t>in</w:t>
      </w:r>
      <w:r w:rsidRPr="0031675F">
        <w:rPr>
          <w:spacing w:val="11"/>
          <w:sz w:val="18"/>
        </w:rPr>
        <w:t xml:space="preserve"> </w:t>
      </w:r>
      <w:r w:rsidRPr="0031675F">
        <w:rPr>
          <w:sz w:val="18"/>
        </w:rPr>
        <w:t>the</w:t>
      </w:r>
      <w:r w:rsidRPr="0031675F">
        <w:rPr>
          <w:spacing w:val="12"/>
          <w:sz w:val="18"/>
        </w:rPr>
        <w:t xml:space="preserve"> </w:t>
      </w:r>
      <w:r w:rsidRPr="0031675F">
        <w:rPr>
          <w:spacing w:val="-1"/>
          <w:sz w:val="18"/>
        </w:rPr>
        <w:t>Water</w:t>
      </w:r>
      <w:r w:rsidRPr="0031675F">
        <w:rPr>
          <w:spacing w:val="14"/>
          <w:sz w:val="18"/>
        </w:rPr>
        <w:t xml:space="preserve"> </w:t>
      </w:r>
      <w:r w:rsidRPr="0031675F">
        <w:rPr>
          <w:spacing w:val="-1"/>
          <w:sz w:val="18"/>
        </w:rPr>
        <w:t>Quality</w:t>
      </w:r>
      <w:r w:rsidRPr="0031675F">
        <w:rPr>
          <w:spacing w:val="14"/>
          <w:sz w:val="18"/>
        </w:rPr>
        <w:t xml:space="preserve"> </w:t>
      </w:r>
      <w:r w:rsidRPr="0031675F">
        <w:rPr>
          <w:spacing w:val="-1"/>
          <w:sz w:val="18"/>
        </w:rPr>
        <w:t>database</w:t>
      </w:r>
      <w:r w:rsidRPr="0031675F">
        <w:rPr>
          <w:spacing w:val="12"/>
          <w:sz w:val="18"/>
        </w:rPr>
        <w:t xml:space="preserve"> </w:t>
      </w:r>
      <w:r w:rsidRPr="0031675F">
        <w:rPr>
          <w:sz w:val="18"/>
        </w:rPr>
        <w:t>see</w:t>
      </w:r>
      <w:r w:rsidRPr="0031675F">
        <w:rPr>
          <w:spacing w:val="11"/>
          <w:sz w:val="18"/>
        </w:rPr>
        <w:t xml:space="preserve"> </w:t>
      </w:r>
      <w:r w:rsidRPr="0031675F">
        <w:rPr>
          <w:spacing w:val="-1"/>
          <w:sz w:val="18"/>
        </w:rPr>
        <w:t>Attachment</w:t>
      </w:r>
      <w:r w:rsidRPr="0031675F">
        <w:rPr>
          <w:spacing w:val="13"/>
          <w:sz w:val="18"/>
        </w:rPr>
        <w:t xml:space="preserve"> </w:t>
      </w:r>
      <w:r w:rsidRPr="0031675F">
        <w:rPr>
          <w:sz w:val="18"/>
        </w:rPr>
        <w:t xml:space="preserve">10.1a. </w:t>
      </w:r>
      <w:r w:rsidRPr="0031675F">
        <w:rPr>
          <w:spacing w:val="25"/>
          <w:sz w:val="18"/>
        </w:rPr>
        <w:t xml:space="preserve"> </w:t>
      </w:r>
      <w:r w:rsidRPr="0031675F">
        <w:rPr>
          <w:spacing w:val="-1"/>
          <w:sz w:val="18"/>
        </w:rPr>
        <w:t>This</w:t>
      </w:r>
      <w:r w:rsidRPr="0031675F">
        <w:rPr>
          <w:spacing w:val="11"/>
          <w:sz w:val="18"/>
        </w:rPr>
        <w:t xml:space="preserve"> </w:t>
      </w:r>
      <w:r w:rsidRPr="0031675F">
        <w:rPr>
          <w:spacing w:val="-1"/>
          <w:sz w:val="18"/>
        </w:rPr>
        <w:t>facility</w:t>
      </w:r>
      <w:r w:rsidRPr="0031675F">
        <w:rPr>
          <w:spacing w:val="13"/>
          <w:sz w:val="18"/>
        </w:rPr>
        <w:t xml:space="preserve"> </w:t>
      </w:r>
      <w:r w:rsidRPr="0031675F">
        <w:rPr>
          <w:sz w:val="18"/>
        </w:rPr>
        <w:t>is</w:t>
      </w:r>
      <w:r w:rsidRPr="0031675F">
        <w:rPr>
          <w:spacing w:val="11"/>
          <w:sz w:val="18"/>
        </w:rPr>
        <w:t xml:space="preserve"> </w:t>
      </w:r>
      <w:r w:rsidRPr="0031675F">
        <w:rPr>
          <w:spacing w:val="-1"/>
          <w:sz w:val="18"/>
        </w:rPr>
        <w:t>only</w:t>
      </w:r>
      <w:r w:rsidRPr="0031675F">
        <w:rPr>
          <w:spacing w:val="121"/>
          <w:w w:val="99"/>
          <w:sz w:val="18"/>
        </w:rPr>
        <w:t xml:space="preserve"> </w:t>
      </w:r>
      <w:r w:rsidRPr="0031675F">
        <w:rPr>
          <w:spacing w:val="-1"/>
          <w:sz w:val="18"/>
        </w:rPr>
        <w:t>available</w:t>
      </w:r>
      <w:r w:rsidRPr="0031675F">
        <w:rPr>
          <w:spacing w:val="-4"/>
          <w:sz w:val="18"/>
        </w:rPr>
        <w:t xml:space="preserve"> </w:t>
      </w:r>
      <w:r w:rsidRPr="0031675F">
        <w:rPr>
          <w:sz w:val="18"/>
        </w:rPr>
        <w:t>to</w:t>
      </w:r>
      <w:r w:rsidRPr="0031675F">
        <w:rPr>
          <w:spacing w:val="-2"/>
          <w:sz w:val="18"/>
        </w:rPr>
        <w:t xml:space="preserve"> </w:t>
      </w:r>
      <w:r w:rsidRPr="0031675F">
        <w:rPr>
          <w:spacing w:val="-1"/>
          <w:sz w:val="18"/>
        </w:rPr>
        <w:t>nominated</w:t>
      </w:r>
      <w:r w:rsidRPr="0031675F">
        <w:rPr>
          <w:spacing w:val="-3"/>
          <w:sz w:val="18"/>
        </w:rPr>
        <w:t xml:space="preserve"> </w:t>
      </w:r>
      <w:r w:rsidRPr="0031675F">
        <w:rPr>
          <w:sz w:val="18"/>
        </w:rPr>
        <w:t>AIMS</w:t>
      </w:r>
      <w:r w:rsidRPr="0031675F">
        <w:rPr>
          <w:spacing w:val="-4"/>
          <w:sz w:val="18"/>
        </w:rPr>
        <w:t xml:space="preserve"> </w:t>
      </w:r>
      <w:r w:rsidRPr="0031675F">
        <w:rPr>
          <w:spacing w:val="-1"/>
          <w:sz w:val="18"/>
        </w:rPr>
        <w:t>staff.</w:t>
      </w:r>
    </w:p>
    <w:p w14:paraId="630439B1" w14:textId="77777777" w:rsidR="0031675F" w:rsidRPr="0031675F" w:rsidRDefault="0031675F" w:rsidP="0031675F">
      <w:pPr>
        <w:spacing w:line="218" w:lineRule="exact"/>
        <w:ind w:left="138"/>
        <w:rPr>
          <w:spacing w:val="-1"/>
          <w:sz w:val="18"/>
        </w:rPr>
      </w:pPr>
      <w:r w:rsidRPr="0031675F">
        <w:rPr>
          <w:spacing w:val="-1"/>
          <w:position w:val="9"/>
          <w:sz w:val="12"/>
        </w:rPr>
        <w:t>12</w:t>
      </w:r>
      <w:r w:rsidRPr="0031675F">
        <w:rPr>
          <w:position w:val="9"/>
          <w:sz w:val="12"/>
        </w:rPr>
        <w:t xml:space="preserve">    </w:t>
      </w:r>
      <w:r w:rsidRPr="0031675F">
        <w:rPr>
          <w:spacing w:val="17"/>
          <w:position w:val="9"/>
          <w:sz w:val="12"/>
        </w:rPr>
        <w:t xml:space="preserve"> </w:t>
      </w:r>
      <w:r w:rsidRPr="0031675F">
        <w:rPr>
          <w:spacing w:val="-1"/>
          <w:sz w:val="18"/>
        </w:rPr>
        <w:t>See</w:t>
      </w:r>
      <w:r w:rsidRPr="0031675F">
        <w:rPr>
          <w:spacing w:val="-3"/>
          <w:sz w:val="18"/>
        </w:rPr>
        <w:t xml:space="preserve"> </w:t>
      </w:r>
      <w:r w:rsidRPr="0031675F">
        <w:rPr>
          <w:spacing w:val="-1"/>
          <w:sz w:val="18"/>
        </w:rPr>
        <w:t>Attachment</w:t>
      </w:r>
      <w:r w:rsidRPr="0031675F">
        <w:rPr>
          <w:spacing w:val="-3"/>
          <w:sz w:val="18"/>
        </w:rPr>
        <w:t xml:space="preserve"> </w:t>
      </w:r>
      <w:r w:rsidRPr="0031675F">
        <w:rPr>
          <w:sz w:val="18"/>
        </w:rPr>
        <w:t>10.2</w:t>
      </w:r>
      <w:r w:rsidRPr="0031675F">
        <w:rPr>
          <w:spacing w:val="-3"/>
          <w:sz w:val="18"/>
        </w:rPr>
        <w:t xml:space="preserve"> </w:t>
      </w:r>
      <w:r w:rsidRPr="0031675F">
        <w:rPr>
          <w:sz w:val="18"/>
        </w:rPr>
        <w:t>for</w:t>
      </w:r>
      <w:r w:rsidRPr="0031675F">
        <w:rPr>
          <w:spacing w:val="-2"/>
          <w:sz w:val="18"/>
        </w:rPr>
        <w:t xml:space="preserve"> </w:t>
      </w:r>
      <w:r w:rsidRPr="0031675F">
        <w:rPr>
          <w:sz w:val="18"/>
        </w:rPr>
        <w:t>an</w:t>
      </w:r>
      <w:r w:rsidRPr="0031675F">
        <w:rPr>
          <w:spacing w:val="-4"/>
          <w:sz w:val="18"/>
        </w:rPr>
        <w:t xml:space="preserve"> </w:t>
      </w:r>
      <w:r w:rsidRPr="0031675F">
        <w:rPr>
          <w:spacing w:val="-1"/>
          <w:sz w:val="18"/>
        </w:rPr>
        <w:t>illustrated</w:t>
      </w:r>
      <w:r w:rsidRPr="0031675F">
        <w:rPr>
          <w:spacing w:val="-3"/>
          <w:sz w:val="18"/>
        </w:rPr>
        <w:t xml:space="preserve"> </w:t>
      </w:r>
      <w:r w:rsidRPr="0031675F">
        <w:rPr>
          <w:spacing w:val="-1"/>
          <w:sz w:val="18"/>
        </w:rPr>
        <w:t>Quick</w:t>
      </w:r>
      <w:r w:rsidRPr="0031675F">
        <w:rPr>
          <w:spacing w:val="-2"/>
          <w:sz w:val="18"/>
        </w:rPr>
        <w:t xml:space="preserve"> </w:t>
      </w:r>
      <w:r w:rsidRPr="0031675F">
        <w:rPr>
          <w:spacing w:val="-1"/>
          <w:sz w:val="18"/>
        </w:rPr>
        <w:t>Reference</w:t>
      </w:r>
      <w:r w:rsidRPr="0031675F">
        <w:rPr>
          <w:spacing w:val="-4"/>
          <w:sz w:val="18"/>
        </w:rPr>
        <w:t xml:space="preserve"> </w:t>
      </w:r>
      <w:r w:rsidRPr="0031675F">
        <w:rPr>
          <w:spacing w:val="-1"/>
          <w:sz w:val="18"/>
        </w:rPr>
        <w:t xml:space="preserve">Field </w:t>
      </w:r>
      <w:r w:rsidRPr="0031675F">
        <w:rPr>
          <w:sz w:val="18"/>
        </w:rPr>
        <w:t>Guide</w:t>
      </w:r>
      <w:r w:rsidRPr="0031675F">
        <w:rPr>
          <w:spacing w:val="-3"/>
          <w:sz w:val="18"/>
        </w:rPr>
        <w:t xml:space="preserve"> </w:t>
      </w:r>
      <w:r w:rsidRPr="0031675F">
        <w:rPr>
          <w:sz w:val="18"/>
        </w:rPr>
        <w:t>to</w:t>
      </w:r>
      <w:r w:rsidRPr="0031675F">
        <w:rPr>
          <w:spacing w:val="-2"/>
          <w:sz w:val="18"/>
        </w:rPr>
        <w:t xml:space="preserve"> </w:t>
      </w:r>
      <w:r w:rsidRPr="0031675F">
        <w:rPr>
          <w:spacing w:val="-1"/>
          <w:sz w:val="18"/>
        </w:rPr>
        <w:t>sampling</w:t>
      </w:r>
      <w:r w:rsidRPr="0031675F">
        <w:rPr>
          <w:spacing w:val="-3"/>
          <w:sz w:val="18"/>
        </w:rPr>
        <w:t xml:space="preserve"> </w:t>
      </w:r>
      <w:r w:rsidRPr="0031675F">
        <w:rPr>
          <w:spacing w:val="-1"/>
          <w:sz w:val="18"/>
        </w:rPr>
        <w:t>procedures.</w:t>
      </w:r>
    </w:p>
    <w:p w14:paraId="34262EEB" w14:textId="77777777" w:rsidR="0031675F" w:rsidRPr="0031675F" w:rsidRDefault="0031675F" w:rsidP="0031675F">
      <w:pPr>
        <w:rPr>
          <w:spacing w:val="-1"/>
          <w:sz w:val="18"/>
        </w:rPr>
      </w:pPr>
      <w:r w:rsidRPr="0031675F">
        <w:rPr>
          <w:spacing w:val="-1"/>
          <w:sz w:val="18"/>
        </w:rPr>
        <w:br w:type="page"/>
      </w:r>
    </w:p>
    <w:p w14:paraId="37E2AB43" w14:textId="77777777" w:rsidR="0031675F" w:rsidRPr="0031675F" w:rsidRDefault="0031675F" w:rsidP="0031675F">
      <w:pPr>
        <w:spacing w:before="12"/>
        <w:rPr>
          <w:rFonts w:cs="Calibri"/>
          <w:sz w:val="16"/>
          <w:szCs w:val="16"/>
        </w:rPr>
      </w:pPr>
    </w:p>
    <w:p w14:paraId="0DD10488" w14:textId="77777777" w:rsidR="0031675F" w:rsidRPr="0031675F" w:rsidRDefault="0031675F" w:rsidP="0031675F">
      <w:pPr>
        <w:spacing w:before="12"/>
        <w:rPr>
          <w:rFonts w:cs="Calibri"/>
          <w:sz w:val="15"/>
          <w:szCs w:val="15"/>
        </w:rPr>
      </w:pPr>
    </w:p>
    <w:p w14:paraId="26A78B0F" w14:textId="77777777" w:rsidR="0031675F" w:rsidRPr="0031675F" w:rsidRDefault="0031675F" w:rsidP="0031675F">
      <w:pPr>
        <w:widowControl w:val="0"/>
        <w:numPr>
          <w:ilvl w:val="2"/>
          <w:numId w:val="77"/>
        </w:numPr>
        <w:tabs>
          <w:tab w:val="left" w:pos="839"/>
        </w:tabs>
        <w:spacing w:before="72" w:after="0" w:line="240" w:lineRule="auto"/>
        <w:ind w:left="838"/>
        <w:jc w:val="both"/>
        <w:rPr>
          <w:rFonts w:eastAsia="Arial" w:cs="Arial"/>
        </w:rPr>
      </w:pPr>
      <w:r w:rsidRPr="0031675F">
        <w:rPr>
          <w:b/>
          <w:spacing w:val="-1"/>
        </w:rPr>
        <w:t>Blanks</w:t>
      </w:r>
    </w:p>
    <w:p w14:paraId="048E7407" w14:textId="77777777" w:rsidR="0031675F" w:rsidRPr="0031675F" w:rsidRDefault="0031675F" w:rsidP="0031675F">
      <w:pPr>
        <w:spacing w:before="11"/>
        <w:rPr>
          <w:rFonts w:eastAsia="Arial" w:cs="Arial"/>
          <w:b/>
          <w:bCs/>
          <w:sz w:val="20"/>
          <w:szCs w:val="20"/>
        </w:rPr>
      </w:pPr>
    </w:p>
    <w:p w14:paraId="6805DF25" w14:textId="53A82CC0" w:rsidR="0031675F" w:rsidRPr="0031675F" w:rsidRDefault="0031675F" w:rsidP="0031675F">
      <w:pPr>
        <w:spacing w:after="120"/>
        <w:ind w:right="111"/>
        <w:jc w:val="both"/>
      </w:pPr>
      <w:r w:rsidRPr="0031675F">
        <w:t>A</w:t>
      </w:r>
      <w:r w:rsidRPr="0031675F">
        <w:rPr>
          <w:spacing w:val="21"/>
        </w:rPr>
        <w:t xml:space="preserve"> </w:t>
      </w:r>
      <w:r w:rsidRPr="0031675F">
        <w:rPr>
          <w:spacing w:val="-1"/>
        </w:rPr>
        <w:t>set</w:t>
      </w:r>
      <w:r w:rsidRPr="0031675F">
        <w:rPr>
          <w:spacing w:val="20"/>
        </w:rPr>
        <w:t xml:space="preserve"> </w:t>
      </w:r>
      <w:r w:rsidRPr="0031675F">
        <w:t>of</w:t>
      </w:r>
      <w:r w:rsidRPr="0031675F">
        <w:rPr>
          <w:spacing w:val="19"/>
        </w:rPr>
        <w:t xml:space="preserve"> </w:t>
      </w:r>
      <w:r w:rsidRPr="0031675F">
        <w:rPr>
          <w:spacing w:val="-1"/>
        </w:rPr>
        <w:t>wet</w:t>
      </w:r>
      <w:r w:rsidRPr="0031675F">
        <w:rPr>
          <w:spacing w:val="22"/>
        </w:rPr>
        <w:t xml:space="preserve"> </w:t>
      </w:r>
      <w:r w:rsidRPr="0031675F">
        <w:rPr>
          <w:spacing w:val="-1"/>
        </w:rPr>
        <w:t>filter</w:t>
      </w:r>
      <w:r w:rsidRPr="0031675F">
        <w:rPr>
          <w:spacing w:val="23"/>
        </w:rPr>
        <w:t xml:space="preserve"> </w:t>
      </w:r>
      <w:r w:rsidRPr="0031675F">
        <w:rPr>
          <w:spacing w:val="-1"/>
        </w:rPr>
        <w:t>blanks</w:t>
      </w:r>
      <w:r w:rsidRPr="0031675F">
        <w:rPr>
          <w:spacing w:val="20"/>
        </w:rPr>
        <w:t xml:space="preserve"> </w:t>
      </w:r>
      <w:r w:rsidRPr="0031675F">
        <w:rPr>
          <w:spacing w:val="-1"/>
        </w:rPr>
        <w:t>(wfb)</w:t>
      </w:r>
      <w:r w:rsidRPr="0031675F">
        <w:rPr>
          <w:spacing w:val="21"/>
        </w:rPr>
        <w:t xml:space="preserve"> </w:t>
      </w:r>
      <w:r w:rsidRPr="0031675F">
        <w:rPr>
          <w:spacing w:val="-1"/>
        </w:rPr>
        <w:t>should</w:t>
      </w:r>
      <w:r w:rsidRPr="0031675F">
        <w:rPr>
          <w:spacing w:val="20"/>
        </w:rPr>
        <w:t xml:space="preserve"> </w:t>
      </w:r>
      <w:r w:rsidRPr="0031675F">
        <w:t>also</w:t>
      </w:r>
      <w:r w:rsidRPr="0031675F">
        <w:rPr>
          <w:spacing w:val="20"/>
        </w:rPr>
        <w:t xml:space="preserve"> </w:t>
      </w:r>
      <w:r w:rsidRPr="0031675F">
        <w:rPr>
          <w:spacing w:val="-1"/>
        </w:rPr>
        <w:t>be</w:t>
      </w:r>
      <w:r w:rsidRPr="0031675F">
        <w:rPr>
          <w:spacing w:val="22"/>
        </w:rPr>
        <w:t xml:space="preserve"> </w:t>
      </w:r>
      <w:r w:rsidRPr="0031675F">
        <w:rPr>
          <w:spacing w:val="-1"/>
        </w:rPr>
        <w:t>run</w:t>
      </w:r>
      <w:r w:rsidRPr="0031675F">
        <w:rPr>
          <w:spacing w:val="18"/>
        </w:rPr>
        <w:t xml:space="preserve"> </w:t>
      </w:r>
      <w:r w:rsidRPr="0031675F">
        <w:rPr>
          <w:spacing w:val="-1"/>
        </w:rPr>
        <w:t>with</w:t>
      </w:r>
      <w:r w:rsidRPr="0031675F">
        <w:rPr>
          <w:spacing w:val="21"/>
        </w:rPr>
        <w:t xml:space="preserve"> </w:t>
      </w:r>
      <w:r w:rsidRPr="0031675F">
        <w:rPr>
          <w:spacing w:val="-1"/>
        </w:rPr>
        <w:t>collection</w:t>
      </w:r>
      <w:r w:rsidRPr="0031675F">
        <w:rPr>
          <w:spacing w:val="21"/>
        </w:rPr>
        <w:t xml:space="preserve"> </w:t>
      </w:r>
      <w:r w:rsidRPr="0031675F">
        <w:t>as</w:t>
      </w:r>
      <w:r w:rsidRPr="0031675F">
        <w:rPr>
          <w:spacing w:val="19"/>
        </w:rPr>
        <w:t xml:space="preserve"> </w:t>
      </w:r>
      <w:r w:rsidRPr="0031675F">
        <w:rPr>
          <w:spacing w:val="-1"/>
        </w:rPr>
        <w:t>part</w:t>
      </w:r>
      <w:r w:rsidRPr="0031675F">
        <w:rPr>
          <w:spacing w:val="19"/>
        </w:rPr>
        <w:t xml:space="preserve"> </w:t>
      </w:r>
      <w:r w:rsidRPr="0031675F">
        <w:t>of</w:t>
      </w:r>
      <w:r w:rsidRPr="0031675F">
        <w:rPr>
          <w:spacing w:val="21"/>
        </w:rPr>
        <w:t xml:space="preserve"> </w:t>
      </w:r>
      <w:r w:rsidRPr="0031675F">
        <w:rPr>
          <w:spacing w:val="-1"/>
        </w:rPr>
        <w:t>the</w:t>
      </w:r>
      <w:r w:rsidRPr="0031675F">
        <w:rPr>
          <w:spacing w:val="22"/>
        </w:rPr>
        <w:t xml:space="preserve"> </w:t>
      </w:r>
      <w:r w:rsidRPr="0031675F">
        <w:rPr>
          <w:spacing w:val="-1"/>
        </w:rPr>
        <w:t>sample</w:t>
      </w:r>
      <w:r w:rsidRPr="0031675F">
        <w:rPr>
          <w:spacing w:val="22"/>
        </w:rPr>
        <w:t xml:space="preserve"> </w:t>
      </w:r>
      <w:r w:rsidRPr="0031675F">
        <w:rPr>
          <w:spacing w:val="-1"/>
        </w:rPr>
        <w:t>processing</w:t>
      </w:r>
      <w:r w:rsidRPr="0031675F">
        <w:rPr>
          <w:spacing w:val="55"/>
        </w:rPr>
        <w:t xml:space="preserve"> </w:t>
      </w:r>
      <w:r w:rsidRPr="0031675F">
        <w:rPr>
          <w:spacing w:val="-1"/>
        </w:rPr>
        <w:t>routine.</w:t>
      </w:r>
      <w:r w:rsidRPr="0031675F">
        <w:rPr>
          <w:spacing w:val="17"/>
        </w:rPr>
        <w:t xml:space="preserve"> </w:t>
      </w:r>
      <w:r w:rsidRPr="0031675F">
        <w:rPr>
          <w:spacing w:val="-1"/>
        </w:rPr>
        <w:t>This</w:t>
      </w:r>
      <w:r w:rsidRPr="0031675F">
        <w:rPr>
          <w:spacing w:val="19"/>
        </w:rPr>
        <w:t xml:space="preserve"> </w:t>
      </w:r>
      <w:r w:rsidRPr="0031675F">
        <w:rPr>
          <w:spacing w:val="-1"/>
        </w:rPr>
        <w:t>involves</w:t>
      </w:r>
      <w:r w:rsidRPr="0031675F">
        <w:rPr>
          <w:spacing w:val="20"/>
        </w:rPr>
        <w:t xml:space="preserve"> </w:t>
      </w:r>
      <w:r w:rsidRPr="0031675F">
        <w:rPr>
          <w:spacing w:val="-2"/>
        </w:rPr>
        <w:t>putting</w:t>
      </w:r>
      <w:r w:rsidRPr="0031675F">
        <w:rPr>
          <w:spacing w:val="18"/>
        </w:rPr>
        <w:t xml:space="preserve"> </w:t>
      </w:r>
      <w:r w:rsidRPr="0031675F">
        <w:t>a</w:t>
      </w:r>
      <w:r w:rsidRPr="0031675F">
        <w:rPr>
          <w:spacing w:val="19"/>
        </w:rPr>
        <w:t xml:space="preserve"> </w:t>
      </w:r>
      <w:r w:rsidRPr="0031675F">
        <w:rPr>
          <w:spacing w:val="-1"/>
        </w:rPr>
        <w:t>filter</w:t>
      </w:r>
      <w:r w:rsidRPr="0031675F">
        <w:rPr>
          <w:spacing w:val="17"/>
        </w:rPr>
        <w:t xml:space="preserve"> </w:t>
      </w:r>
      <w:r w:rsidRPr="0031675F">
        <w:t>on</w:t>
      </w:r>
      <w:r w:rsidRPr="0031675F">
        <w:rPr>
          <w:spacing w:val="16"/>
        </w:rPr>
        <w:t xml:space="preserve"> </w:t>
      </w:r>
      <w:r w:rsidRPr="0031675F">
        <w:t>the</w:t>
      </w:r>
      <w:r w:rsidRPr="0031675F">
        <w:rPr>
          <w:spacing w:val="19"/>
        </w:rPr>
        <w:t xml:space="preserve"> </w:t>
      </w:r>
      <w:r w:rsidRPr="0031675F">
        <w:rPr>
          <w:spacing w:val="-1"/>
        </w:rPr>
        <w:t>filtering</w:t>
      </w:r>
      <w:r w:rsidRPr="0031675F">
        <w:rPr>
          <w:spacing w:val="16"/>
        </w:rPr>
        <w:t xml:space="preserve"> </w:t>
      </w:r>
      <w:r w:rsidRPr="0031675F">
        <w:rPr>
          <w:spacing w:val="-1"/>
        </w:rPr>
        <w:t>funnel</w:t>
      </w:r>
      <w:r w:rsidRPr="0031675F">
        <w:rPr>
          <w:spacing w:val="19"/>
        </w:rPr>
        <w:t xml:space="preserve"> </w:t>
      </w:r>
      <w:r w:rsidRPr="0031675F">
        <w:t>as</w:t>
      </w:r>
      <w:r w:rsidRPr="0031675F">
        <w:rPr>
          <w:spacing w:val="19"/>
        </w:rPr>
        <w:t xml:space="preserve"> </w:t>
      </w:r>
      <w:r w:rsidRPr="0031675F">
        <w:rPr>
          <w:spacing w:val="-1"/>
        </w:rPr>
        <w:t>for</w:t>
      </w:r>
      <w:r w:rsidRPr="0031675F">
        <w:rPr>
          <w:spacing w:val="19"/>
        </w:rPr>
        <w:t xml:space="preserve"> </w:t>
      </w:r>
      <w:r w:rsidRPr="0031675F">
        <w:t>an</w:t>
      </w:r>
      <w:r w:rsidRPr="0031675F">
        <w:rPr>
          <w:spacing w:val="18"/>
        </w:rPr>
        <w:t xml:space="preserve"> </w:t>
      </w:r>
      <w:r w:rsidRPr="0031675F">
        <w:rPr>
          <w:spacing w:val="-1"/>
        </w:rPr>
        <w:t>unknown</w:t>
      </w:r>
      <w:r w:rsidRPr="0031675F">
        <w:rPr>
          <w:spacing w:val="16"/>
        </w:rPr>
        <w:t xml:space="preserve"> </w:t>
      </w:r>
      <w:r w:rsidRPr="0031675F">
        <w:rPr>
          <w:spacing w:val="-1"/>
        </w:rPr>
        <w:t>sample,</w:t>
      </w:r>
      <w:r w:rsidRPr="0031675F">
        <w:rPr>
          <w:spacing w:val="17"/>
        </w:rPr>
        <w:t xml:space="preserve"> </w:t>
      </w:r>
      <w:r w:rsidRPr="0031675F">
        <w:rPr>
          <w:spacing w:val="-1"/>
        </w:rPr>
        <w:t>wetting</w:t>
      </w:r>
      <w:r w:rsidRPr="0031675F">
        <w:rPr>
          <w:spacing w:val="18"/>
        </w:rPr>
        <w:t xml:space="preserve"> </w:t>
      </w:r>
      <w:r w:rsidRPr="0031675F">
        <w:rPr>
          <w:spacing w:val="-1"/>
        </w:rPr>
        <w:t>the</w:t>
      </w:r>
      <w:r w:rsidRPr="0031675F">
        <w:rPr>
          <w:spacing w:val="73"/>
        </w:rPr>
        <w:t xml:space="preserve"> </w:t>
      </w:r>
      <w:r w:rsidRPr="0031675F">
        <w:rPr>
          <w:spacing w:val="-1"/>
        </w:rPr>
        <w:t>filter</w:t>
      </w:r>
      <w:r w:rsidRPr="0031675F">
        <w:rPr>
          <w:spacing w:val="28"/>
        </w:rPr>
        <w:t xml:space="preserve"> </w:t>
      </w:r>
      <w:r w:rsidRPr="0031675F">
        <w:t>with</w:t>
      </w:r>
      <w:r w:rsidRPr="0031675F">
        <w:rPr>
          <w:spacing w:val="29"/>
        </w:rPr>
        <w:t xml:space="preserve"> </w:t>
      </w:r>
      <w:r w:rsidRPr="0031675F">
        <w:t>a</w:t>
      </w:r>
      <w:r w:rsidRPr="0031675F">
        <w:rPr>
          <w:spacing w:val="29"/>
        </w:rPr>
        <w:t xml:space="preserve"> </w:t>
      </w:r>
      <w:r w:rsidRPr="0031675F">
        <w:rPr>
          <w:spacing w:val="-1"/>
        </w:rPr>
        <w:t>very</w:t>
      </w:r>
      <w:r w:rsidRPr="0031675F">
        <w:rPr>
          <w:spacing w:val="29"/>
        </w:rPr>
        <w:t xml:space="preserve"> </w:t>
      </w:r>
      <w:r w:rsidRPr="0031675F">
        <w:t>small</w:t>
      </w:r>
      <w:r w:rsidRPr="0031675F">
        <w:rPr>
          <w:spacing w:val="26"/>
        </w:rPr>
        <w:t xml:space="preserve"> </w:t>
      </w:r>
      <w:r w:rsidRPr="0031675F">
        <w:rPr>
          <w:spacing w:val="-1"/>
        </w:rPr>
        <w:t>volume</w:t>
      </w:r>
      <w:r w:rsidRPr="0031675F">
        <w:rPr>
          <w:spacing w:val="30"/>
        </w:rPr>
        <w:t xml:space="preserve"> </w:t>
      </w:r>
      <w:r w:rsidRPr="0031675F">
        <w:rPr>
          <w:spacing w:val="-1"/>
        </w:rPr>
        <w:t>(1-2</w:t>
      </w:r>
      <w:r w:rsidRPr="0031675F">
        <w:rPr>
          <w:spacing w:val="30"/>
        </w:rPr>
        <w:t xml:space="preserve"> </w:t>
      </w:r>
      <w:r w:rsidR="00BB13FD">
        <w:t>mL</w:t>
      </w:r>
      <w:r w:rsidRPr="0031675F">
        <w:t>)</w:t>
      </w:r>
      <w:r w:rsidRPr="0031675F">
        <w:rPr>
          <w:spacing w:val="25"/>
        </w:rPr>
        <w:t xml:space="preserve"> </w:t>
      </w:r>
      <w:r w:rsidRPr="0031675F">
        <w:t>of</w:t>
      </w:r>
      <w:r w:rsidRPr="0031675F">
        <w:rPr>
          <w:spacing w:val="29"/>
        </w:rPr>
        <w:t xml:space="preserve"> </w:t>
      </w:r>
      <w:r w:rsidRPr="0031675F">
        <w:rPr>
          <w:spacing w:val="-1"/>
        </w:rPr>
        <w:t>filtered</w:t>
      </w:r>
      <w:r w:rsidRPr="0031675F">
        <w:rPr>
          <w:spacing w:val="28"/>
        </w:rPr>
        <w:t xml:space="preserve"> </w:t>
      </w:r>
      <w:r w:rsidRPr="0031675F">
        <w:rPr>
          <w:spacing w:val="-1"/>
        </w:rPr>
        <w:t>seawater,</w:t>
      </w:r>
      <w:r w:rsidRPr="0031675F">
        <w:rPr>
          <w:spacing w:val="28"/>
        </w:rPr>
        <w:t xml:space="preserve"> </w:t>
      </w:r>
      <w:r w:rsidRPr="0031675F">
        <w:rPr>
          <w:spacing w:val="-1"/>
        </w:rPr>
        <w:t>sucking</w:t>
      </w:r>
      <w:r w:rsidRPr="0031675F">
        <w:rPr>
          <w:spacing w:val="28"/>
        </w:rPr>
        <w:t xml:space="preserve"> </w:t>
      </w:r>
      <w:r w:rsidRPr="0031675F">
        <w:t>the</w:t>
      </w:r>
      <w:r w:rsidRPr="0031675F">
        <w:rPr>
          <w:spacing w:val="30"/>
        </w:rPr>
        <w:t xml:space="preserve"> </w:t>
      </w:r>
      <w:r w:rsidRPr="0031675F">
        <w:rPr>
          <w:spacing w:val="-1"/>
        </w:rPr>
        <w:t>filter</w:t>
      </w:r>
      <w:r w:rsidRPr="0031675F">
        <w:rPr>
          <w:spacing w:val="27"/>
        </w:rPr>
        <w:t xml:space="preserve"> </w:t>
      </w:r>
      <w:r w:rsidRPr="0031675F">
        <w:rPr>
          <w:spacing w:val="-1"/>
        </w:rPr>
        <w:t>dry</w:t>
      </w:r>
      <w:r w:rsidRPr="0031675F">
        <w:rPr>
          <w:spacing w:val="29"/>
        </w:rPr>
        <w:t xml:space="preserve"> </w:t>
      </w:r>
      <w:r w:rsidRPr="0031675F">
        <w:rPr>
          <w:spacing w:val="-1"/>
        </w:rPr>
        <w:t>under</w:t>
      </w:r>
      <w:r w:rsidRPr="0031675F">
        <w:rPr>
          <w:spacing w:val="29"/>
        </w:rPr>
        <w:t xml:space="preserve"> </w:t>
      </w:r>
      <w:r w:rsidRPr="0031675F">
        <w:rPr>
          <w:spacing w:val="-1"/>
        </w:rPr>
        <w:t>vacuum,</w:t>
      </w:r>
      <w:r w:rsidRPr="0031675F">
        <w:rPr>
          <w:spacing w:val="67"/>
        </w:rPr>
        <w:t xml:space="preserve"> </w:t>
      </w:r>
      <w:r w:rsidRPr="0031675F">
        <w:rPr>
          <w:spacing w:val="-1"/>
        </w:rPr>
        <w:t>rinsing</w:t>
      </w:r>
      <w:r w:rsidRPr="0031675F">
        <w:rPr>
          <w:spacing w:val="18"/>
        </w:rPr>
        <w:t xml:space="preserve"> </w:t>
      </w:r>
      <w:r w:rsidRPr="0031675F">
        <w:t>with</w:t>
      </w:r>
      <w:r w:rsidRPr="0031675F">
        <w:rPr>
          <w:spacing w:val="19"/>
        </w:rPr>
        <w:t xml:space="preserve"> </w:t>
      </w:r>
      <w:r w:rsidRPr="0031675F">
        <w:rPr>
          <w:spacing w:val="-1"/>
        </w:rPr>
        <w:t>deionised</w:t>
      </w:r>
      <w:r w:rsidRPr="0031675F">
        <w:rPr>
          <w:spacing w:val="16"/>
        </w:rPr>
        <w:t xml:space="preserve"> </w:t>
      </w:r>
      <w:r w:rsidRPr="0031675F">
        <w:rPr>
          <w:spacing w:val="-1"/>
        </w:rPr>
        <w:t>water,</w:t>
      </w:r>
      <w:r w:rsidRPr="0031675F">
        <w:rPr>
          <w:spacing w:val="19"/>
        </w:rPr>
        <w:t xml:space="preserve"> </w:t>
      </w:r>
      <w:r w:rsidRPr="0031675F">
        <w:rPr>
          <w:spacing w:val="-1"/>
        </w:rPr>
        <w:t>sucking</w:t>
      </w:r>
      <w:r w:rsidRPr="0031675F">
        <w:rPr>
          <w:spacing w:val="16"/>
        </w:rPr>
        <w:t xml:space="preserve"> </w:t>
      </w:r>
      <w:r w:rsidRPr="0031675F">
        <w:t>to</w:t>
      </w:r>
      <w:r w:rsidRPr="0031675F">
        <w:rPr>
          <w:spacing w:val="18"/>
        </w:rPr>
        <w:t xml:space="preserve"> </w:t>
      </w:r>
      <w:r w:rsidRPr="0031675F">
        <w:rPr>
          <w:spacing w:val="-1"/>
        </w:rPr>
        <w:t>dryness</w:t>
      </w:r>
      <w:r w:rsidRPr="0031675F">
        <w:rPr>
          <w:spacing w:val="17"/>
        </w:rPr>
        <w:t xml:space="preserve"> </w:t>
      </w:r>
      <w:r w:rsidRPr="0031675F">
        <w:rPr>
          <w:spacing w:val="-1"/>
        </w:rPr>
        <w:t>again</w:t>
      </w:r>
      <w:r w:rsidRPr="0031675F">
        <w:rPr>
          <w:spacing w:val="18"/>
        </w:rPr>
        <w:t xml:space="preserve"> </w:t>
      </w:r>
      <w:r w:rsidRPr="0031675F">
        <w:rPr>
          <w:spacing w:val="-1"/>
        </w:rPr>
        <w:t>and</w:t>
      </w:r>
      <w:r w:rsidRPr="0031675F">
        <w:rPr>
          <w:spacing w:val="18"/>
        </w:rPr>
        <w:t xml:space="preserve"> </w:t>
      </w:r>
      <w:r w:rsidRPr="0031675F">
        <w:t>then</w:t>
      </w:r>
      <w:r w:rsidRPr="0031675F">
        <w:rPr>
          <w:spacing w:val="19"/>
        </w:rPr>
        <w:t xml:space="preserve"> </w:t>
      </w:r>
      <w:r w:rsidRPr="0031675F">
        <w:rPr>
          <w:spacing w:val="-1"/>
        </w:rPr>
        <w:t>removing</w:t>
      </w:r>
      <w:r w:rsidRPr="0031675F">
        <w:rPr>
          <w:spacing w:val="18"/>
        </w:rPr>
        <w:t xml:space="preserve"> </w:t>
      </w:r>
      <w:r w:rsidRPr="0031675F">
        <w:rPr>
          <w:spacing w:val="-1"/>
        </w:rPr>
        <w:t>the</w:t>
      </w:r>
      <w:r w:rsidRPr="0031675F">
        <w:rPr>
          <w:spacing w:val="20"/>
        </w:rPr>
        <w:t xml:space="preserve"> </w:t>
      </w:r>
      <w:r w:rsidRPr="0031675F">
        <w:rPr>
          <w:spacing w:val="-1"/>
        </w:rPr>
        <w:t>filter</w:t>
      </w:r>
      <w:r w:rsidRPr="0031675F">
        <w:rPr>
          <w:spacing w:val="19"/>
        </w:rPr>
        <w:t xml:space="preserve"> </w:t>
      </w:r>
      <w:r w:rsidRPr="0031675F">
        <w:t>as</w:t>
      </w:r>
      <w:r w:rsidRPr="0031675F">
        <w:rPr>
          <w:spacing w:val="17"/>
        </w:rPr>
        <w:t xml:space="preserve"> </w:t>
      </w:r>
      <w:r w:rsidRPr="0031675F">
        <w:t>an</w:t>
      </w:r>
      <w:r w:rsidRPr="0031675F">
        <w:rPr>
          <w:spacing w:val="18"/>
        </w:rPr>
        <w:t xml:space="preserve"> </w:t>
      </w:r>
      <w:r w:rsidRPr="0031675F">
        <w:rPr>
          <w:spacing w:val="-1"/>
        </w:rPr>
        <w:t>unknown</w:t>
      </w:r>
      <w:r w:rsidRPr="0031675F">
        <w:rPr>
          <w:spacing w:val="53"/>
        </w:rPr>
        <w:t xml:space="preserve"> </w:t>
      </w:r>
      <w:r w:rsidRPr="0031675F">
        <w:rPr>
          <w:spacing w:val="-1"/>
        </w:rPr>
        <w:t>sample</w:t>
      </w:r>
      <w:r w:rsidRPr="0031675F">
        <w:t xml:space="preserve"> </w:t>
      </w:r>
      <w:r w:rsidRPr="0031675F">
        <w:rPr>
          <w:spacing w:val="-1"/>
        </w:rPr>
        <w:t>would be</w:t>
      </w:r>
      <w:r w:rsidRPr="0031675F">
        <w:t xml:space="preserve"> </w:t>
      </w:r>
      <w:r w:rsidRPr="0031675F">
        <w:rPr>
          <w:spacing w:val="-1"/>
        </w:rPr>
        <w:t>removed</w:t>
      </w:r>
      <w:r w:rsidRPr="0031675F">
        <w:rPr>
          <w:spacing w:val="-3"/>
        </w:rPr>
        <w:t xml:space="preserve"> </w:t>
      </w:r>
      <w:r w:rsidRPr="0031675F">
        <w:rPr>
          <w:spacing w:val="-1"/>
        </w:rPr>
        <w:t xml:space="preserve">and </w:t>
      </w:r>
      <w:r w:rsidRPr="0031675F">
        <w:t>stored.</w:t>
      </w:r>
      <w:r w:rsidRPr="0031675F">
        <w:rPr>
          <w:spacing w:val="49"/>
        </w:rPr>
        <w:t xml:space="preserve"> </w:t>
      </w:r>
      <w:r w:rsidRPr="0031675F">
        <w:rPr>
          <w:spacing w:val="-1"/>
        </w:rPr>
        <w:t>This</w:t>
      </w:r>
      <w:r w:rsidRPr="0031675F">
        <w:t xml:space="preserve"> </w:t>
      </w:r>
      <w:r w:rsidRPr="0031675F">
        <w:rPr>
          <w:spacing w:val="-1"/>
        </w:rPr>
        <w:t>procedure</w:t>
      </w:r>
      <w:r w:rsidRPr="0031675F">
        <w:t xml:space="preserve"> </w:t>
      </w:r>
      <w:r w:rsidRPr="0031675F">
        <w:rPr>
          <w:spacing w:val="-1"/>
        </w:rPr>
        <w:t>combines</w:t>
      </w:r>
      <w:r w:rsidRPr="0031675F">
        <w:t xml:space="preserve"> both a </w:t>
      </w:r>
      <w:r w:rsidRPr="0031675F">
        <w:rPr>
          <w:spacing w:val="-1"/>
        </w:rPr>
        <w:t>transport</w:t>
      </w:r>
      <w:r w:rsidRPr="0031675F">
        <w:t xml:space="preserve"> </w:t>
      </w:r>
      <w:r w:rsidRPr="0031675F">
        <w:rPr>
          <w:spacing w:val="-1"/>
        </w:rPr>
        <w:t>and handling</w:t>
      </w:r>
      <w:r w:rsidRPr="0031675F">
        <w:rPr>
          <w:spacing w:val="1"/>
        </w:rPr>
        <w:t xml:space="preserve"> </w:t>
      </w:r>
      <w:r w:rsidRPr="0031675F">
        <w:rPr>
          <w:spacing w:val="-1"/>
        </w:rPr>
        <w:t>blank</w:t>
      </w:r>
      <w:r w:rsidRPr="0031675F">
        <w:rPr>
          <w:spacing w:val="47"/>
        </w:rPr>
        <w:t xml:space="preserve"> </w:t>
      </w:r>
      <w:r w:rsidRPr="0031675F">
        <w:rPr>
          <w:spacing w:val="-1"/>
        </w:rPr>
        <w:t>and</w:t>
      </w:r>
      <w:r w:rsidRPr="0031675F">
        <w:rPr>
          <w:spacing w:val="4"/>
        </w:rPr>
        <w:t xml:space="preserve"> </w:t>
      </w:r>
      <w:r w:rsidRPr="0031675F">
        <w:rPr>
          <w:spacing w:val="-1"/>
        </w:rPr>
        <w:t>corrects</w:t>
      </w:r>
      <w:r w:rsidRPr="0031675F">
        <w:rPr>
          <w:spacing w:val="3"/>
        </w:rPr>
        <w:t xml:space="preserve"> </w:t>
      </w:r>
      <w:r w:rsidRPr="0031675F">
        <w:rPr>
          <w:spacing w:val="-1"/>
        </w:rPr>
        <w:t>for</w:t>
      </w:r>
      <w:r w:rsidRPr="0031675F">
        <w:rPr>
          <w:spacing w:val="2"/>
        </w:rPr>
        <w:t xml:space="preserve"> </w:t>
      </w:r>
      <w:r w:rsidRPr="0031675F">
        <w:t>the</w:t>
      </w:r>
      <w:r w:rsidRPr="0031675F">
        <w:rPr>
          <w:spacing w:val="3"/>
        </w:rPr>
        <w:t xml:space="preserve"> </w:t>
      </w:r>
      <w:r w:rsidRPr="0031675F">
        <w:rPr>
          <w:spacing w:val="-1"/>
        </w:rPr>
        <w:t>very</w:t>
      </w:r>
      <w:r w:rsidRPr="0031675F">
        <w:rPr>
          <w:spacing w:val="3"/>
        </w:rPr>
        <w:t xml:space="preserve"> </w:t>
      </w:r>
      <w:r w:rsidRPr="0031675F">
        <w:rPr>
          <w:spacing w:val="-1"/>
        </w:rPr>
        <w:t>small</w:t>
      </w:r>
      <w:r w:rsidRPr="0031675F">
        <w:rPr>
          <w:spacing w:val="4"/>
        </w:rPr>
        <w:t xml:space="preserve"> </w:t>
      </w:r>
      <w:r w:rsidRPr="0031675F">
        <w:rPr>
          <w:spacing w:val="-1"/>
        </w:rPr>
        <w:t>amount</w:t>
      </w:r>
      <w:r w:rsidRPr="0031675F">
        <w:rPr>
          <w:spacing w:val="3"/>
        </w:rPr>
        <w:t xml:space="preserve"> </w:t>
      </w:r>
      <w:r w:rsidRPr="0031675F">
        <w:t>of</w:t>
      </w:r>
      <w:r w:rsidRPr="0031675F">
        <w:rPr>
          <w:spacing w:val="5"/>
        </w:rPr>
        <w:t xml:space="preserve"> </w:t>
      </w:r>
      <w:r w:rsidRPr="0031675F">
        <w:rPr>
          <w:spacing w:val="-2"/>
        </w:rPr>
        <w:t>salt</w:t>
      </w:r>
      <w:r w:rsidRPr="0031675F">
        <w:rPr>
          <w:spacing w:val="5"/>
        </w:rPr>
        <w:t xml:space="preserve"> </w:t>
      </w:r>
      <w:r w:rsidRPr="0031675F">
        <w:rPr>
          <w:spacing w:val="-1"/>
        </w:rPr>
        <w:t>left</w:t>
      </w:r>
      <w:r w:rsidRPr="0031675F">
        <w:rPr>
          <w:spacing w:val="5"/>
        </w:rPr>
        <w:t xml:space="preserve"> </w:t>
      </w:r>
      <w:r w:rsidRPr="0031675F">
        <w:rPr>
          <w:spacing w:val="-1"/>
        </w:rPr>
        <w:t>behind</w:t>
      </w:r>
      <w:r w:rsidRPr="0031675F">
        <w:rPr>
          <w:spacing w:val="4"/>
        </w:rPr>
        <w:t xml:space="preserve"> </w:t>
      </w:r>
      <w:r w:rsidRPr="0031675F">
        <w:t>in</w:t>
      </w:r>
      <w:r w:rsidRPr="0031675F">
        <w:rPr>
          <w:spacing w:val="4"/>
        </w:rPr>
        <w:t xml:space="preserve"> </w:t>
      </w:r>
      <w:r w:rsidRPr="0031675F">
        <w:rPr>
          <w:spacing w:val="-1"/>
        </w:rPr>
        <w:t>and</w:t>
      </w:r>
      <w:r w:rsidRPr="0031675F">
        <w:rPr>
          <w:spacing w:val="4"/>
        </w:rPr>
        <w:t xml:space="preserve"> </w:t>
      </w:r>
      <w:r w:rsidRPr="0031675F">
        <w:t>on</w:t>
      </w:r>
      <w:r w:rsidRPr="0031675F">
        <w:rPr>
          <w:spacing w:val="4"/>
        </w:rPr>
        <w:t xml:space="preserve"> </w:t>
      </w:r>
      <w:r w:rsidRPr="0031675F">
        <w:rPr>
          <w:spacing w:val="-1"/>
        </w:rPr>
        <w:t>the</w:t>
      </w:r>
      <w:r w:rsidRPr="0031675F">
        <w:rPr>
          <w:spacing w:val="5"/>
        </w:rPr>
        <w:t xml:space="preserve"> </w:t>
      </w:r>
      <w:r w:rsidRPr="0031675F">
        <w:rPr>
          <w:spacing w:val="-1"/>
        </w:rPr>
        <w:t>polycarbonate</w:t>
      </w:r>
      <w:r w:rsidRPr="0031675F">
        <w:rPr>
          <w:spacing w:val="3"/>
        </w:rPr>
        <w:t xml:space="preserve"> </w:t>
      </w:r>
      <w:r w:rsidRPr="0031675F">
        <w:rPr>
          <w:spacing w:val="-1"/>
        </w:rPr>
        <w:t>filter.</w:t>
      </w:r>
      <w:r w:rsidRPr="0031675F">
        <w:rPr>
          <w:spacing w:val="7"/>
        </w:rPr>
        <w:t xml:space="preserve"> </w:t>
      </w:r>
      <w:r w:rsidRPr="0031675F">
        <w:t>A</w:t>
      </w:r>
      <w:r w:rsidRPr="0031675F">
        <w:rPr>
          <w:spacing w:val="4"/>
        </w:rPr>
        <w:t xml:space="preserve"> </w:t>
      </w:r>
      <w:r w:rsidRPr="0031675F">
        <w:rPr>
          <w:spacing w:val="-1"/>
        </w:rPr>
        <w:t>set</w:t>
      </w:r>
      <w:r w:rsidRPr="0031675F">
        <w:rPr>
          <w:spacing w:val="3"/>
        </w:rPr>
        <w:t xml:space="preserve"> </w:t>
      </w:r>
      <w:r w:rsidRPr="0031675F">
        <w:t>of</w:t>
      </w:r>
      <w:r w:rsidRPr="0031675F">
        <w:rPr>
          <w:spacing w:val="79"/>
        </w:rPr>
        <w:t xml:space="preserve"> </w:t>
      </w:r>
      <w:r w:rsidRPr="0031675F">
        <w:rPr>
          <w:spacing w:val="-1"/>
        </w:rPr>
        <w:t>blanks</w:t>
      </w:r>
      <w:r w:rsidRPr="0031675F">
        <w:rPr>
          <w:spacing w:val="5"/>
        </w:rPr>
        <w:t xml:space="preserve"> </w:t>
      </w:r>
      <w:r w:rsidRPr="0031675F">
        <w:rPr>
          <w:spacing w:val="-1"/>
        </w:rPr>
        <w:t>should</w:t>
      </w:r>
      <w:r w:rsidRPr="0031675F">
        <w:rPr>
          <w:spacing w:val="3"/>
        </w:rPr>
        <w:t xml:space="preserve"> </w:t>
      </w:r>
      <w:r w:rsidRPr="0031675F">
        <w:rPr>
          <w:spacing w:val="-1"/>
        </w:rPr>
        <w:t>be</w:t>
      </w:r>
      <w:r w:rsidRPr="0031675F">
        <w:rPr>
          <w:spacing w:val="3"/>
        </w:rPr>
        <w:t xml:space="preserve"> </w:t>
      </w:r>
      <w:r w:rsidRPr="0031675F">
        <w:rPr>
          <w:spacing w:val="-1"/>
        </w:rPr>
        <w:t>taken</w:t>
      </w:r>
      <w:r w:rsidRPr="0031675F">
        <w:rPr>
          <w:spacing w:val="2"/>
        </w:rPr>
        <w:t xml:space="preserve"> </w:t>
      </w:r>
      <w:r w:rsidRPr="0031675F">
        <w:rPr>
          <w:spacing w:val="-1"/>
        </w:rPr>
        <w:t>with</w:t>
      </w:r>
      <w:r w:rsidRPr="0031675F">
        <w:rPr>
          <w:spacing w:val="4"/>
        </w:rPr>
        <w:t xml:space="preserve"> </w:t>
      </w:r>
      <w:r w:rsidRPr="0031675F">
        <w:t>each</w:t>
      </w:r>
      <w:r w:rsidRPr="0031675F">
        <w:rPr>
          <w:spacing w:val="4"/>
        </w:rPr>
        <w:t xml:space="preserve"> </w:t>
      </w:r>
      <w:r w:rsidRPr="0031675F">
        <w:rPr>
          <w:spacing w:val="-1"/>
        </w:rPr>
        <w:t>collection</w:t>
      </w:r>
      <w:r w:rsidRPr="0031675F">
        <w:rPr>
          <w:spacing w:val="4"/>
        </w:rPr>
        <w:t xml:space="preserve"> </w:t>
      </w:r>
      <w:r w:rsidRPr="0031675F">
        <w:rPr>
          <w:spacing w:val="-1"/>
        </w:rPr>
        <w:t>trip.</w:t>
      </w:r>
      <w:r w:rsidRPr="0031675F">
        <w:rPr>
          <w:spacing w:val="10"/>
        </w:rPr>
        <w:t xml:space="preserve"> </w:t>
      </w:r>
      <w:r w:rsidRPr="0031675F">
        <w:rPr>
          <w:spacing w:val="-2"/>
        </w:rPr>
        <w:t>It</w:t>
      </w:r>
      <w:r w:rsidRPr="0031675F">
        <w:rPr>
          <w:spacing w:val="5"/>
        </w:rPr>
        <w:t xml:space="preserve"> </w:t>
      </w:r>
      <w:r w:rsidRPr="0031675F">
        <w:t xml:space="preserve">is </w:t>
      </w:r>
      <w:r w:rsidRPr="0031675F">
        <w:rPr>
          <w:spacing w:val="-1"/>
        </w:rPr>
        <w:t>best</w:t>
      </w:r>
      <w:r w:rsidRPr="0031675F">
        <w:rPr>
          <w:spacing w:val="5"/>
        </w:rPr>
        <w:t xml:space="preserve"> </w:t>
      </w:r>
      <w:r w:rsidRPr="0031675F">
        <w:rPr>
          <w:spacing w:val="-1"/>
        </w:rPr>
        <w:t>to</w:t>
      </w:r>
      <w:r w:rsidRPr="0031675F">
        <w:rPr>
          <w:spacing w:val="6"/>
        </w:rPr>
        <w:t xml:space="preserve"> </w:t>
      </w:r>
      <w:r w:rsidRPr="0031675F">
        <w:rPr>
          <w:spacing w:val="-1"/>
        </w:rPr>
        <w:t>run</w:t>
      </w:r>
      <w:r w:rsidRPr="0031675F">
        <w:rPr>
          <w:spacing w:val="2"/>
        </w:rPr>
        <w:t xml:space="preserve"> </w:t>
      </w:r>
      <w:r w:rsidRPr="0031675F">
        <w:t>at</w:t>
      </w:r>
      <w:r w:rsidRPr="0031675F">
        <w:rPr>
          <w:spacing w:val="5"/>
        </w:rPr>
        <w:t xml:space="preserve"> </w:t>
      </w:r>
      <w:r w:rsidRPr="0031675F">
        <w:rPr>
          <w:spacing w:val="-1"/>
        </w:rPr>
        <w:t>least</w:t>
      </w:r>
      <w:r w:rsidRPr="0031675F">
        <w:rPr>
          <w:spacing w:val="3"/>
        </w:rPr>
        <w:t xml:space="preserve"> </w:t>
      </w:r>
      <w:r w:rsidRPr="0031675F">
        <w:t>6</w:t>
      </w:r>
      <w:r w:rsidRPr="0031675F">
        <w:rPr>
          <w:spacing w:val="11"/>
        </w:rPr>
        <w:t xml:space="preserve"> </w:t>
      </w:r>
      <w:r w:rsidRPr="0031675F">
        <w:t>-</w:t>
      </w:r>
      <w:r w:rsidRPr="0031675F">
        <w:rPr>
          <w:spacing w:val="2"/>
        </w:rPr>
        <w:t xml:space="preserve"> </w:t>
      </w:r>
      <w:r w:rsidRPr="0031675F">
        <w:t>8</w:t>
      </w:r>
      <w:r w:rsidRPr="0031675F">
        <w:rPr>
          <w:spacing w:val="3"/>
        </w:rPr>
        <w:t xml:space="preserve"> </w:t>
      </w:r>
      <w:r w:rsidRPr="0031675F">
        <w:rPr>
          <w:spacing w:val="-1"/>
        </w:rPr>
        <w:t>wfb</w:t>
      </w:r>
      <w:r w:rsidRPr="0031675F">
        <w:rPr>
          <w:spacing w:val="4"/>
        </w:rPr>
        <w:t xml:space="preserve"> </w:t>
      </w:r>
      <w:r w:rsidRPr="0031675F">
        <w:rPr>
          <w:spacing w:val="-1"/>
        </w:rPr>
        <w:t>samples</w:t>
      </w:r>
      <w:r w:rsidRPr="0031675F">
        <w:rPr>
          <w:spacing w:val="5"/>
        </w:rPr>
        <w:t xml:space="preserve"> </w:t>
      </w:r>
      <w:r w:rsidRPr="0031675F">
        <w:t>at</w:t>
      </w:r>
      <w:r w:rsidRPr="0031675F">
        <w:rPr>
          <w:spacing w:val="3"/>
        </w:rPr>
        <w:t xml:space="preserve"> </w:t>
      </w:r>
      <w:r w:rsidRPr="0031675F">
        <w:t>a</w:t>
      </w:r>
      <w:r w:rsidRPr="0031675F">
        <w:rPr>
          <w:spacing w:val="5"/>
        </w:rPr>
        <w:t xml:space="preserve"> </w:t>
      </w:r>
      <w:r w:rsidRPr="0031675F">
        <w:rPr>
          <w:spacing w:val="-1"/>
        </w:rPr>
        <w:t>time.</w:t>
      </w:r>
      <w:r w:rsidRPr="0031675F">
        <w:rPr>
          <w:spacing w:val="51"/>
        </w:rPr>
        <w:t xml:space="preserve"> </w:t>
      </w:r>
      <w:r w:rsidRPr="0031675F">
        <w:rPr>
          <w:spacing w:val="-1"/>
        </w:rPr>
        <w:t>The</w:t>
      </w:r>
      <w:r w:rsidRPr="0031675F">
        <w:t xml:space="preserve"> </w:t>
      </w:r>
      <w:r w:rsidRPr="0031675F">
        <w:rPr>
          <w:spacing w:val="-1"/>
        </w:rPr>
        <w:t>average</w:t>
      </w:r>
      <w:r w:rsidRPr="0031675F">
        <w:rPr>
          <w:spacing w:val="-2"/>
        </w:rPr>
        <w:t xml:space="preserve"> </w:t>
      </w:r>
      <w:r w:rsidRPr="0031675F">
        <w:rPr>
          <w:spacing w:val="-1"/>
        </w:rPr>
        <w:t>weight</w:t>
      </w:r>
      <w:r w:rsidRPr="0031675F">
        <w:rPr>
          <w:spacing w:val="-2"/>
        </w:rPr>
        <w:t xml:space="preserve"> </w:t>
      </w:r>
      <w:r w:rsidRPr="0031675F">
        <w:t>of</w:t>
      </w:r>
      <w:r w:rsidRPr="0031675F">
        <w:rPr>
          <w:spacing w:val="-3"/>
        </w:rPr>
        <w:t xml:space="preserve"> </w:t>
      </w:r>
      <w:r w:rsidRPr="0031675F">
        <w:rPr>
          <w:spacing w:val="-1"/>
        </w:rPr>
        <w:t>the</w:t>
      </w:r>
      <w:r w:rsidRPr="0031675F">
        <w:rPr>
          <w:spacing w:val="-2"/>
        </w:rPr>
        <w:t xml:space="preserve"> </w:t>
      </w:r>
      <w:r w:rsidRPr="0031675F">
        <w:rPr>
          <w:spacing w:val="-1"/>
        </w:rPr>
        <w:t>set</w:t>
      </w:r>
      <w:r w:rsidRPr="0031675F">
        <w:t xml:space="preserve"> </w:t>
      </w:r>
      <w:r w:rsidRPr="0031675F">
        <w:rPr>
          <w:spacing w:val="-1"/>
        </w:rPr>
        <w:t xml:space="preserve">(av </w:t>
      </w:r>
      <w:r w:rsidRPr="0031675F">
        <w:t>wfb)</w:t>
      </w:r>
      <w:r w:rsidRPr="0031675F">
        <w:rPr>
          <w:spacing w:val="-1"/>
        </w:rPr>
        <w:t xml:space="preserve"> then</w:t>
      </w:r>
      <w:r w:rsidRPr="0031675F">
        <w:t xml:space="preserve"> </w:t>
      </w:r>
      <w:r w:rsidRPr="0031675F">
        <w:rPr>
          <w:spacing w:val="-1"/>
        </w:rPr>
        <w:t>becomes</w:t>
      </w:r>
      <w:r w:rsidRPr="0031675F">
        <w:rPr>
          <w:spacing w:val="-2"/>
        </w:rPr>
        <w:t xml:space="preserve"> </w:t>
      </w:r>
      <w:r w:rsidRPr="0031675F">
        <w:t xml:space="preserve">the </w:t>
      </w:r>
      <w:r w:rsidRPr="0031675F">
        <w:rPr>
          <w:spacing w:val="-1"/>
        </w:rPr>
        <w:t>wfb</w:t>
      </w:r>
      <w:r w:rsidRPr="0031675F">
        <w:rPr>
          <w:spacing w:val="-3"/>
        </w:rPr>
        <w:t xml:space="preserve"> </w:t>
      </w:r>
      <w:r w:rsidRPr="0031675F">
        <w:rPr>
          <w:spacing w:val="-1"/>
        </w:rPr>
        <w:t>value</w:t>
      </w:r>
      <w:r w:rsidRPr="0031675F">
        <w:rPr>
          <w:spacing w:val="-2"/>
        </w:rPr>
        <w:t xml:space="preserve"> </w:t>
      </w:r>
      <w:r w:rsidRPr="0031675F">
        <w:t>for</w:t>
      </w:r>
      <w:r w:rsidRPr="0031675F">
        <w:rPr>
          <w:spacing w:val="-3"/>
        </w:rPr>
        <w:t xml:space="preserve"> </w:t>
      </w:r>
      <w:r w:rsidRPr="0031675F">
        <w:rPr>
          <w:spacing w:val="-1"/>
        </w:rPr>
        <w:t>that</w:t>
      </w:r>
      <w:r w:rsidRPr="0031675F">
        <w:rPr>
          <w:spacing w:val="-2"/>
        </w:rPr>
        <w:t xml:space="preserve"> </w:t>
      </w:r>
      <w:r w:rsidRPr="0031675F">
        <w:t>collection</w:t>
      </w:r>
      <w:r w:rsidRPr="0031675F">
        <w:rPr>
          <w:spacing w:val="-3"/>
        </w:rPr>
        <w:t xml:space="preserve"> </w:t>
      </w:r>
      <w:r w:rsidRPr="0031675F">
        <w:rPr>
          <w:spacing w:val="-1"/>
        </w:rPr>
        <w:t>trip.</w:t>
      </w:r>
    </w:p>
    <w:p w14:paraId="444E8DE5" w14:textId="77777777" w:rsidR="0031675F" w:rsidRPr="0031675F" w:rsidRDefault="0031675F" w:rsidP="0031675F">
      <w:pPr>
        <w:spacing w:before="11"/>
        <w:rPr>
          <w:rFonts w:cs="Calibri"/>
          <w:sz w:val="21"/>
          <w:szCs w:val="21"/>
        </w:rPr>
      </w:pPr>
    </w:p>
    <w:p w14:paraId="14A662E9" w14:textId="77777777" w:rsidR="0031675F" w:rsidRPr="0031675F" w:rsidRDefault="0031675F" w:rsidP="0031675F">
      <w:pPr>
        <w:widowControl w:val="0"/>
        <w:numPr>
          <w:ilvl w:val="2"/>
          <w:numId w:val="77"/>
        </w:numPr>
        <w:tabs>
          <w:tab w:val="left" w:pos="839"/>
        </w:tabs>
        <w:spacing w:before="0" w:after="0" w:line="240" w:lineRule="auto"/>
        <w:ind w:left="838"/>
        <w:jc w:val="both"/>
        <w:rPr>
          <w:rFonts w:eastAsia="Arial" w:cs="Arial"/>
        </w:rPr>
      </w:pPr>
      <w:r w:rsidRPr="0031675F">
        <w:rPr>
          <w:b/>
          <w:spacing w:val="-1"/>
        </w:rPr>
        <w:t>Calculation</w:t>
      </w:r>
    </w:p>
    <w:p w14:paraId="4E2D3A84" w14:textId="77777777" w:rsidR="0031675F" w:rsidRPr="0031675F" w:rsidRDefault="0031675F" w:rsidP="0031675F">
      <w:pPr>
        <w:spacing w:before="2"/>
        <w:rPr>
          <w:rFonts w:eastAsia="Arial" w:cs="Arial"/>
          <w:b/>
          <w:bCs/>
          <w:sz w:val="21"/>
          <w:szCs w:val="21"/>
        </w:rPr>
      </w:pPr>
    </w:p>
    <w:p w14:paraId="382ACACC" w14:textId="77777777" w:rsidR="0031675F" w:rsidRPr="0031675F" w:rsidRDefault="0031675F" w:rsidP="0031675F">
      <w:pPr>
        <w:spacing w:after="120" w:line="239" w:lineRule="auto"/>
        <w:ind w:right="114"/>
        <w:jc w:val="both"/>
        <w:rPr>
          <w:spacing w:val="-1"/>
        </w:rPr>
      </w:pPr>
      <w:r w:rsidRPr="0031675F">
        <w:t>If</w:t>
      </w:r>
      <w:r w:rsidRPr="0031675F">
        <w:rPr>
          <w:spacing w:val="11"/>
        </w:rPr>
        <w:t xml:space="preserve"> </w:t>
      </w:r>
      <w:r w:rsidRPr="0031675F">
        <w:t>the</w:t>
      </w:r>
      <w:r w:rsidRPr="0031675F">
        <w:rPr>
          <w:spacing w:val="10"/>
        </w:rPr>
        <w:t xml:space="preserve"> </w:t>
      </w:r>
      <w:r w:rsidRPr="0031675F">
        <w:rPr>
          <w:spacing w:val="-1"/>
        </w:rPr>
        <w:t>Water</w:t>
      </w:r>
      <w:r w:rsidRPr="0031675F">
        <w:rPr>
          <w:spacing w:val="12"/>
        </w:rPr>
        <w:t xml:space="preserve"> </w:t>
      </w:r>
      <w:r w:rsidRPr="0031675F">
        <w:rPr>
          <w:spacing w:val="-1"/>
        </w:rPr>
        <w:t>Quality</w:t>
      </w:r>
      <w:r w:rsidRPr="0031675F">
        <w:rPr>
          <w:spacing w:val="11"/>
        </w:rPr>
        <w:t xml:space="preserve"> </w:t>
      </w:r>
      <w:r w:rsidRPr="0031675F">
        <w:rPr>
          <w:spacing w:val="-1"/>
        </w:rPr>
        <w:t>database</w:t>
      </w:r>
      <w:r w:rsidRPr="0031675F">
        <w:rPr>
          <w:spacing w:val="12"/>
        </w:rPr>
        <w:t xml:space="preserve"> </w:t>
      </w:r>
      <w:r w:rsidRPr="0031675F">
        <w:t>(</w:t>
      </w:r>
      <w:r w:rsidRPr="0031675F">
        <w:rPr>
          <w:spacing w:val="10"/>
        </w:rPr>
        <w:t xml:space="preserve"> </w:t>
      </w:r>
      <w:r w:rsidRPr="0031675F">
        <w:rPr>
          <w:spacing w:val="-1"/>
        </w:rPr>
        <w:t>http://waterquality.aims.gov.au:8080/waterquality</w:t>
      </w:r>
      <w:r w:rsidRPr="0031675F">
        <w:rPr>
          <w:spacing w:val="10"/>
        </w:rPr>
        <w:t xml:space="preserve"> </w:t>
      </w:r>
      <w:r w:rsidRPr="0031675F">
        <w:t>)</w:t>
      </w:r>
      <w:r w:rsidRPr="0031675F">
        <w:rPr>
          <w:spacing w:val="12"/>
        </w:rPr>
        <w:t xml:space="preserve"> </w:t>
      </w:r>
      <w:r w:rsidRPr="0031675F">
        <w:t>is</w:t>
      </w:r>
      <w:r w:rsidRPr="0031675F">
        <w:rPr>
          <w:spacing w:val="9"/>
        </w:rPr>
        <w:t xml:space="preserve"> </w:t>
      </w:r>
      <w:r w:rsidRPr="0031675F">
        <w:rPr>
          <w:spacing w:val="-1"/>
        </w:rPr>
        <w:t>used</w:t>
      </w:r>
      <w:r w:rsidRPr="0031675F">
        <w:rPr>
          <w:spacing w:val="10"/>
        </w:rPr>
        <w:t xml:space="preserve"> </w:t>
      </w:r>
      <w:r w:rsidRPr="0031675F">
        <w:t>the</w:t>
      </w:r>
      <w:r w:rsidRPr="0031675F">
        <w:rPr>
          <w:spacing w:val="12"/>
        </w:rPr>
        <w:t xml:space="preserve"> </w:t>
      </w:r>
      <w:r w:rsidRPr="0031675F">
        <w:rPr>
          <w:spacing w:val="-1"/>
        </w:rPr>
        <w:t>results</w:t>
      </w:r>
      <w:r w:rsidRPr="0031675F">
        <w:rPr>
          <w:spacing w:val="49"/>
        </w:rPr>
        <w:t xml:space="preserve"> </w:t>
      </w:r>
      <w:r w:rsidRPr="0031675F">
        <w:t>will</w:t>
      </w:r>
      <w:r w:rsidRPr="0031675F">
        <w:rPr>
          <w:spacing w:val="16"/>
        </w:rPr>
        <w:t xml:space="preserve"> </w:t>
      </w:r>
      <w:r w:rsidRPr="0031675F">
        <w:rPr>
          <w:spacing w:val="-1"/>
        </w:rPr>
        <w:t>be</w:t>
      </w:r>
      <w:r w:rsidRPr="0031675F">
        <w:rPr>
          <w:spacing w:val="17"/>
        </w:rPr>
        <w:t xml:space="preserve"> </w:t>
      </w:r>
      <w:r w:rsidRPr="0031675F">
        <w:rPr>
          <w:spacing w:val="-1"/>
        </w:rPr>
        <w:t>automatically</w:t>
      </w:r>
      <w:r w:rsidRPr="0031675F">
        <w:rPr>
          <w:spacing w:val="17"/>
        </w:rPr>
        <w:t xml:space="preserve"> </w:t>
      </w:r>
      <w:r w:rsidRPr="0031675F">
        <w:rPr>
          <w:spacing w:val="-1"/>
        </w:rPr>
        <w:t>calculated</w:t>
      </w:r>
      <w:r w:rsidRPr="0031675F">
        <w:rPr>
          <w:spacing w:val="16"/>
        </w:rPr>
        <w:t xml:space="preserve"> </w:t>
      </w:r>
      <w:r w:rsidRPr="0031675F">
        <w:rPr>
          <w:spacing w:val="-1"/>
        </w:rPr>
        <w:t>and</w:t>
      </w:r>
      <w:r w:rsidRPr="0031675F">
        <w:rPr>
          <w:spacing w:val="16"/>
        </w:rPr>
        <w:t xml:space="preserve"> </w:t>
      </w:r>
      <w:r w:rsidRPr="0031675F">
        <w:t>recorded</w:t>
      </w:r>
      <w:r w:rsidRPr="0031675F">
        <w:rPr>
          <w:spacing w:val="16"/>
        </w:rPr>
        <w:t xml:space="preserve"> </w:t>
      </w:r>
      <w:r w:rsidRPr="0031675F">
        <w:rPr>
          <w:spacing w:val="-1"/>
        </w:rPr>
        <w:t>against</w:t>
      </w:r>
      <w:r w:rsidRPr="0031675F">
        <w:rPr>
          <w:spacing w:val="15"/>
        </w:rPr>
        <w:t xml:space="preserve"> </w:t>
      </w:r>
      <w:r w:rsidRPr="0031675F">
        <w:t>the</w:t>
      </w:r>
      <w:r w:rsidRPr="0031675F">
        <w:rPr>
          <w:spacing w:val="17"/>
        </w:rPr>
        <w:t xml:space="preserve"> </w:t>
      </w:r>
      <w:r w:rsidRPr="0031675F">
        <w:rPr>
          <w:spacing w:val="-1"/>
        </w:rPr>
        <w:t>station</w:t>
      </w:r>
      <w:r w:rsidRPr="0031675F">
        <w:rPr>
          <w:spacing w:val="16"/>
        </w:rPr>
        <w:t xml:space="preserve"> </w:t>
      </w:r>
      <w:r w:rsidRPr="0031675F">
        <w:rPr>
          <w:spacing w:val="-1"/>
        </w:rPr>
        <w:t>details</w:t>
      </w:r>
      <w:r w:rsidRPr="0031675F">
        <w:rPr>
          <w:spacing w:val="17"/>
        </w:rPr>
        <w:t xml:space="preserve"> </w:t>
      </w:r>
      <w:r w:rsidRPr="0031675F">
        <w:rPr>
          <w:spacing w:val="-1"/>
        </w:rPr>
        <w:t>using</w:t>
      </w:r>
      <w:r w:rsidRPr="0031675F">
        <w:rPr>
          <w:spacing w:val="16"/>
        </w:rPr>
        <w:t xml:space="preserve"> </w:t>
      </w:r>
      <w:r w:rsidRPr="0031675F">
        <w:t>the</w:t>
      </w:r>
      <w:r w:rsidRPr="0031675F">
        <w:rPr>
          <w:spacing w:val="17"/>
        </w:rPr>
        <w:t xml:space="preserve"> </w:t>
      </w:r>
      <w:r w:rsidRPr="0031675F">
        <w:rPr>
          <w:spacing w:val="-1"/>
        </w:rPr>
        <w:t>method</w:t>
      </w:r>
      <w:r w:rsidRPr="0031675F">
        <w:rPr>
          <w:spacing w:val="16"/>
        </w:rPr>
        <w:t xml:space="preserve"> </w:t>
      </w:r>
      <w:r w:rsidRPr="0031675F">
        <w:rPr>
          <w:spacing w:val="-1"/>
        </w:rPr>
        <w:t>outlined</w:t>
      </w:r>
      <w:r w:rsidRPr="0031675F">
        <w:rPr>
          <w:spacing w:val="81"/>
        </w:rPr>
        <w:t xml:space="preserve"> </w:t>
      </w:r>
      <w:r w:rsidRPr="0031675F">
        <w:rPr>
          <w:spacing w:val="-1"/>
        </w:rPr>
        <w:t>below:</w:t>
      </w:r>
    </w:p>
    <w:p w14:paraId="4FFE92B2" w14:textId="77777777" w:rsidR="0031675F" w:rsidRPr="0031675F" w:rsidRDefault="0031675F" w:rsidP="0031675F">
      <w:pPr>
        <w:spacing w:after="120"/>
      </w:pPr>
      <w:r w:rsidRPr="0031675F">
        <w:rPr>
          <w:spacing w:val="-1"/>
        </w:rPr>
        <w:t>Where:</w:t>
      </w:r>
    </w:p>
    <w:p w14:paraId="744E84D0" w14:textId="77777777" w:rsidR="0031675F" w:rsidRPr="0031675F" w:rsidRDefault="0031675F" w:rsidP="0031675F">
      <w:pPr>
        <w:spacing w:before="56" w:after="120"/>
        <w:ind w:left="13"/>
      </w:pPr>
      <w:r w:rsidRPr="0031675F">
        <w:rPr>
          <w:spacing w:val="-1"/>
        </w:rPr>
        <w:t>Suspended</w:t>
      </w:r>
      <w:r w:rsidRPr="0031675F">
        <w:t xml:space="preserve"> </w:t>
      </w:r>
      <w:r w:rsidRPr="0031675F">
        <w:rPr>
          <w:spacing w:val="-1"/>
        </w:rPr>
        <w:t>Solids</w:t>
      </w:r>
      <w:r w:rsidRPr="0031675F">
        <w:rPr>
          <w:spacing w:val="48"/>
        </w:rPr>
        <w:t xml:space="preserve"> </w:t>
      </w:r>
      <w:r w:rsidRPr="0031675F">
        <w:t xml:space="preserve">= </w:t>
      </w:r>
      <w:r w:rsidRPr="0031675F">
        <w:rPr>
          <w:spacing w:val="-1"/>
        </w:rPr>
        <w:t>(final</w:t>
      </w:r>
      <w:r w:rsidRPr="0031675F">
        <w:rPr>
          <w:spacing w:val="-3"/>
        </w:rPr>
        <w:t xml:space="preserve"> </w:t>
      </w:r>
      <w:r w:rsidRPr="0031675F">
        <w:rPr>
          <w:spacing w:val="-1"/>
        </w:rPr>
        <w:t>weight</w:t>
      </w:r>
      <w:r w:rsidRPr="0031675F">
        <w:rPr>
          <w:spacing w:val="2"/>
        </w:rPr>
        <w:t xml:space="preserve"> </w:t>
      </w:r>
      <w:r w:rsidRPr="0031675F">
        <w:rPr>
          <w:rFonts w:cs="Calibri"/>
        </w:rPr>
        <w:t>–</w:t>
      </w:r>
      <w:r w:rsidRPr="0031675F">
        <w:rPr>
          <w:rFonts w:cs="Calibri"/>
          <w:spacing w:val="-2"/>
        </w:rPr>
        <w:t xml:space="preserve"> </w:t>
      </w:r>
      <w:r w:rsidRPr="0031675F">
        <w:rPr>
          <w:spacing w:val="-1"/>
        </w:rPr>
        <w:t xml:space="preserve">initial weight) </w:t>
      </w:r>
      <w:r w:rsidRPr="0031675F">
        <w:rPr>
          <w:rFonts w:cs="Calibri"/>
        </w:rPr>
        <w:t>–</w:t>
      </w:r>
      <w:r w:rsidRPr="0031675F">
        <w:rPr>
          <w:rFonts w:cs="Calibri"/>
          <w:spacing w:val="1"/>
        </w:rPr>
        <w:t xml:space="preserve"> </w:t>
      </w:r>
      <w:r w:rsidRPr="0031675F">
        <w:rPr>
          <w:spacing w:val="-1"/>
        </w:rPr>
        <w:t xml:space="preserve">wfb </w:t>
      </w:r>
      <w:r w:rsidRPr="0031675F">
        <w:t>/</w:t>
      </w:r>
      <w:r w:rsidRPr="0031675F">
        <w:rPr>
          <w:spacing w:val="1"/>
        </w:rPr>
        <w:t xml:space="preserve"> </w:t>
      </w:r>
      <w:r w:rsidRPr="0031675F">
        <w:rPr>
          <w:spacing w:val="-1"/>
        </w:rPr>
        <w:t>Sample</w:t>
      </w:r>
      <w:r w:rsidRPr="0031675F">
        <w:rPr>
          <w:spacing w:val="-2"/>
        </w:rPr>
        <w:t xml:space="preserve"> </w:t>
      </w:r>
      <w:r w:rsidRPr="0031675F">
        <w:rPr>
          <w:spacing w:val="-1"/>
        </w:rPr>
        <w:t>volume</w:t>
      </w:r>
    </w:p>
    <w:p w14:paraId="4A89B85D" w14:textId="77777777" w:rsidR="0031675F" w:rsidRPr="0031675F" w:rsidRDefault="0031675F" w:rsidP="0031675F">
      <w:pPr>
        <w:tabs>
          <w:tab w:val="left" w:pos="1412"/>
        </w:tabs>
        <w:spacing w:after="120"/>
        <w:ind w:left="13" w:right="4360"/>
      </w:pPr>
      <w:r w:rsidRPr="0031675F">
        <w:rPr>
          <w:spacing w:val="-1"/>
        </w:rPr>
        <w:t>initial weight</w:t>
      </w:r>
      <w:r w:rsidRPr="0031675F">
        <w:rPr>
          <w:spacing w:val="-1"/>
        </w:rPr>
        <w:tab/>
      </w:r>
      <w:r w:rsidRPr="0031675F">
        <w:t>=</w:t>
      </w:r>
      <w:r w:rsidRPr="0031675F">
        <w:rPr>
          <w:spacing w:val="-2"/>
        </w:rPr>
        <w:t xml:space="preserve"> </w:t>
      </w:r>
      <w:r w:rsidRPr="0031675F">
        <w:rPr>
          <w:spacing w:val="-1"/>
        </w:rPr>
        <w:t>weight</w:t>
      </w:r>
      <w:r w:rsidRPr="0031675F">
        <w:rPr>
          <w:spacing w:val="-2"/>
        </w:rPr>
        <w:t xml:space="preserve"> </w:t>
      </w:r>
      <w:r w:rsidRPr="0031675F">
        <w:t>of</w:t>
      </w:r>
      <w:r w:rsidRPr="0031675F">
        <w:rPr>
          <w:spacing w:val="-3"/>
        </w:rPr>
        <w:t xml:space="preserve"> </w:t>
      </w:r>
      <w:r w:rsidRPr="0031675F">
        <w:rPr>
          <w:spacing w:val="-1"/>
        </w:rPr>
        <w:t>unused</w:t>
      </w:r>
      <w:r w:rsidRPr="0031675F">
        <w:t xml:space="preserve"> </w:t>
      </w:r>
      <w:r w:rsidRPr="0031675F">
        <w:rPr>
          <w:spacing w:val="-1"/>
        </w:rPr>
        <w:t>filtered</w:t>
      </w:r>
      <w:r w:rsidRPr="0031675F">
        <w:rPr>
          <w:spacing w:val="-2"/>
        </w:rPr>
        <w:t xml:space="preserve"> </w:t>
      </w:r>
      <w:r w:rsidRPr="0031675F">
        <w:rPr>
          <w:spacing w:val="-1"/>
        </w:rPr>
        <w:t>(g)</w:t>
      </w:r>
      <w:r w:rsidRPr="0031675F">
        <w:rPr>
          <w:spacing w:val="35"/>
        </w:rPr>
        <w:t xml:space="preserve"> </w:t>
      </w:r>
      <w:r w:rsidRPr="0031675F">
        <w:rPr>
          <w:spacing w:val="-1"/>
        </w:rPr>
        <w:t>final</w:t>
      </w:r>
      <w:r w:rsidRPr="0031675F">
        <w:t xml:space="preserve"> </w:t>
      </w:r>
      <w:r w:rsidRPr="0031675F">
        <w:rPr>
          <w:spacing w:val="-1"/>
        </w:rPr>
        <w:t>weight</w:t>
      </w:r>
      <w:r w:rsidRPr="0031675F">
        <w:rPr>
          <w:spacing w:val="-1"/>
        </w:rPr>
        <w:tab/>
      </w:r>
      <w:r w:rsidRPr="0031675F">
        <w:t>=</w:t>
      </w:r>
      <w:r w:rsidRPr="0031675F">
        <w:rPr>
          <w:spacing w:val="-2"/>
        </w:rPr>
        <w:t xml:space="preserve"> </w:t>
      </w:r>
      <w:r w:rsidRPr="0031675F">
        <w:rPr>
          <w:spacing w:val="-1"/>
        </w:rPr>
        <w:t>weight</w:t>
      </w:r>
      <w:r w:rsidRPr="0031675F">
        <w:rPr>
          <w:spacing w:val="-2"/>
        </w:rPr>
        <w:t xml:space="preserve"> </w:t>
      </w:r>
      <w:r w:rsidRPr="0031675F">
        <w:t>of</w:t>
      </w:r>
      <w:r w:rsidRPr="0031675F">
        <w:rPr>
          <w:spacing w:val="-5"/>
        </w:rPr>
        <w:t xml:space="preserve"> </w:t>
      </w:r>
      <w:r w:rsidRPr="0031675F">
        <w:rPr>
          <w:spacing w:val="-1"/>
        </w:rPr>
        <w:t>loaded</w:t>
      </w:r>
      <w:r w:rsidRPr="0031675F">
        <w:t xml:space="preserve"> </w:t>
      </w:r>
      <w:r w:rsidRPr="0031675F">
        <w:rPr>
          <w:spacing w:val="-1"/>
        </w:rPr>
        <w:t>filtered (g)</w:t>
      </w:r>
    </w:p>
    <w:p w14:paraId="2072B63C" w14:textId="77777777" w:rsidR="0031675F" w:rsidRPr="0031675F" w:rsidRDefault="0031675F" w:rsidP="0031675F">
      <w:pPr>
        <w:spacing w:after="120" w:line="239" w:lineRule="auto"/>
        <w:ind w:right="114"/>
        <w:jc w:val="both"/>
        <w:rPr>
          <w:spacing w:val="29"/>
        </w:rPr>
      </w:pPr>
      <w:r w:rsidRPr="0031675F">
        <w:t>wfb</w:t>
      </w:r>
      <w:r w:rsidRPr="0031675F">
        <w:tab/>
        <w:t xml:space="preserve">= </w:t>
      </w:r>
      <w:r w:rsidRPr="0031675F">
        <w:rPr>
          <w:spacing w:val="-1"/>
        </w:rPr>
        <w:t>weight</w:t>
      </w:r>
      <w:r w:rsidRPr="0031675F">
        <w:rPr>
          <w:spacing w:val="-2"/>
        </w:rPr>
        <w:t xml:space="preserve"> </w:t>
      </w:r>
      <w:r w:rsidRPr="0031675F">
        <w:t xml:space="preserve">of </w:t>
      </w:r>
      <w:r w:rsidRPr="0031675F">
        <w:rPr>
          <w:spacing w:val="-1"/>
        </w:rPr>
        <w:t>averaged</w:t>
      </w:r>
      <w:r w:rsidRPr="0031675F">
        <w:rPr>
          <w:spacing w:val="-3"/>
        </w:rPr>
        <w:t xml:space="preserve"> </w:t>
      </w:r>
      <w:r w:rsidRPr="0031675F">
        <w:rPr>
          <w:spacing w:val="-1"/>
        </w:rPr>
        <w:t>wet</w:t>
      </w:r>
      <w:r w:rsidRPr="0031675F">
        <w:t xml:space="preserve"> </w:t>
      </w:r>
      <w:r w:rsidRPr="0031675F">
        <w:rPr>
          <w:spacing w:val="-1"/>
        </w:rPr>
        <w:t>filter</w:t>
      </w:r>
      <w:r w:rsidRPr="0031675F">
        <w:t xml:space="preserve"> </w:t>
      </w:r>
      <w:r w:rsidRPr="0031675F">
        <w:rPr>
          <w:spacing w:val="-1"/>
        </w:rPr>
        <w:t>blanks</w:t>
      </w:r>
      <w:r w:rsidRPr="0031675F">
        <w:t xml:space="preserve"> </w:t>
      </w:r>
      <w:r w:rsidRPr="0031675F">
        <w:rPr>
          <w:spacing w:val="-2"/>
        </w:rPr>
        <w:t>(g)</w:t>
      </w:r>
      <w:r w:rsidRPr="0031675F">
        <w:rPr>
          <w:spacing w:val="29"/>
        </w:rPr>
        <w:t xml:space="preserve"> </w:t>
      </w:r>
    </w:p>
    <w:p w14:paraId="6BC5DC3C" w14:textId="77777777" w:rsidR="0031675F" w:rsidRPr="0031675F" w:rsidRDefault="0031675F" w:rsidP="0031675F">
      <w:pPr>
        <w:spacing w:after="120" w:line="239" w:lineRule="auto"/>
        <w:ind w:right="114"/>
        <w:jc w:val="both"/>
        <w:rPr>
          <w:spacing w:val="-1"/>
        </w:rPr>
      </w:pPr>
      <w:r w:rsidRPr="0031675F">
        <w:rPr>
          <w:spacing w:val="-1"/>
        </w:rPr>
        <w:t>Sample</w:t>
      </w:r>
      <w:r w:rsidRPr="0031675F">
        <w:rPr>
          <w:spacing w:val="-2"/>
        </w:rPr>
        <w:t xml:space="preserve"> </w:t>
      </w:r>
      <w:r w:rsidRPr="0031675F">
        <w:rPr>
          <w:spacing w:val="-1"/>
        </w:rPr>
        <w:t>volume</w:t>
      </w:r>
      <w:r w:rsidRPr="0031675F">
        <w:rPr>
          <w:spacing w:val="-2"/>
        </w:rPr>
        <w:t xml:space="preserve"> </w:t>
      </w:r>
      <w:r w:rsidRPr="0031675F">
        <w:t>=</w:t>
      </w:r>
      <w:r w:rsidRPr="0031675F">
        <w:rPr>
          <w:spacing w:val="-2"/>
        </w:rPr>
        <w:t xml:space="preserve"> </w:t>
      </w:r>
      <w:r w:rsidRPr="0031675F">
        <w:rPr>
          <w:spacing w:val="-1"/>
        </w:rPr>
        <w:t>volume</w:t>
      </w:r>
      <w:r w:rsidRPr="0031675F">
        <w:rPr>
          <w:spacing w:val="-2"/>
        </w:rPr>
        <w:t xml:space="preserve"> </w:t>
      </w:r>
      <w:r w:rsidRPr="0031675F">
        <w:rPr>
          <w:spacing w:val="-1"/>
        </w:rPr>
        <w:t>of</w:t>
      </w:r>
      <w:r w:rsidRPr="0031675F">
        <w:t xml:space="preserve"> </w:t>
      </w:r>
      <w:r w:rsidRPr="0031675F">
        <w:rPr>
          <w:spacing w:val="-1"/>
        </w:rPr>
        <w:t>sample</w:t>
      </w:r>
      <w:r w:rsidRPr="0031675F">
        <w:rPr>
          <w:spacing w:val="-3"/>
        </w:rPr>
        <w:t xml:space="preserve"> </w:t>
      </w:r>
      <w:r w:rsidRPr="0031675F">
        <w:rPr>
          <w:spacing w:val="-1"/>
        </w:rPr>
        <w:t>filtered</w:t>
      </w:r>
      <w:r w:rsidRPr="0031675F">
        <w:t xml:space="preserve"> </w:t>
      </w:r>
      <w:r w:rsidRPr="0031675F">
        <w:rPr>
          <w:spacing w:val="-1"/>
        </w:rPr>
        <w:t>(litres</w:t>
      </w:r>
    </w:p>
    <w:p w14:paraId="209ECBBB" w14:textId="77777777" w:rsidR="0031675F" w:rsidRPr="0031675F" w:rsidRDefault="0031675F" w:rsidP="0031675F">
      <w:pPr>
        <w:spacing w:before="56" w:after="120"/>
        <w:ind w:left="13"/>
      </w:pPr>
    </w:p>
    <w:p w14:paraId="06FA8800" w14:textId="77777777" w:rsidR="0031675F" w:rsidRPr="0031675F" w:rsidRDefault="0031675F" w:rsidP="0031675F">
      <w:pPr>
        <w:widowControl w:val="0"/>
        <w:numPr>
          <w:ilvl w:val="1"/>
          <w:numId w:val="77"/>
        </w:numPr>
        <w:tabs>
          <w:tab w:val="left" w:pos="839"/>
        </w:tabs>
        <w:spacing w:before="69" w:after="0" w:line="240" w:lineRule="auto"/>
        <w:ind w:left="838"/>
        <w:jc w:val="both"/>
        <w:rPr>
          <w:rFonts w:eastAsia="Arial" w:cs="Arial"/>
          <w:sz w:val="24"/>
          <w:szCs w:val="24"/>
        </w:rPr>
      </w:pPr>
      <w:bookmarkStart w:id="729" w:name="_TOC_250004"/>
      <w:r w:rsidRPr="0031675F">
        <w:rPr>
          <w:b/>
          <w:spacing w:val="-1"/>
          <w:sz w:val="24"/>
        </w:rPr>
        <w:t>Capabilities</w:t>
      </w:r>
      <w:r w:rsidRPr="0031675F">
        <w:rPr>
          <w:b/>
          <w:sz w:val="24"/>
        </w:rPr>
        <w:t xml:space="preserve"> and</w:t>
      </w:r>
      <w:r w:rsidRPr="0031675F">
        <w:rPr>
          <w:b/>
          <w:spacing w:val="-3"/>
          <w:sz w:val="24"/>
        </w:rPr>
        <w:t xml:space="preserve"> </w:t>
      </w:r>
      <w:r w:rsidRPr="0031675F">
        <w:rPr>
          <w:b/>
          <w:spacing w:val="-1"/>
          <w:sz w:val="24"/>
        </w:rPr>
        <w:t>limits</w:t>
      </w:r>
      <w:r w:rsidRPr="0031675F">
        <w:rPr>
          <w:b/>
          <w:sz w:val="24"/>
        </w:rPr>
        <w:t xml:space="preserve"> of detection</w:t>
      </w:r>
      <w:bookmarkEnd w:id="729"/>
    </w:p>
    <w:p w14:paraId="54400AEA" w14:textId="77777777" w:rsidR="0031675F" w:rsidRPr="0031675F" w:rsidRDefault="0031675F" w:rsidP="0031675F">
      <w:pPr>
        <w:spacing w:before="11"/>
        <w:rPr>
          <w:rFonts w:eastAsia="Arial" w:cs="Arial"/>
          <w:b/>
          <w:bCs/>
          <w:sz w:val="20"/>
          <w:szCs w:val="20"/>
        </w:rPr>
      </w:pPr>
    </w:p>
    <w:p w14:paraId="37EFA593" w14:textId="4BAF9DF4" w:rsidR="0031675F" w:rsidRPr="0031675F" w:rsidRDefault="0031675F" w:rsidP="0031675F">
      <w:pPr>
        <w:spacing w:after="120"/>
        <w:ind w:right="108"/>
        <w:jc w:val="both"/>
        <w:rPr>
          <w:b/>
          <w:sz w:val="24"/>
        </w:rPr>
      </w:pPr>
      <w:r w:rsidRPr="0031675F">
        <w:t>As</w:t>
      </w:r>
      <w:r w:rsidRPr="0031675F">
        <w:rPr>
          <w:spacing w:val="16"/>
        </w:rPr>
        <w:t xml:space="preserve"> </w:t>
      </w:r>
      <w:r w:rsidRPr="0031675F">
        <w:t>with</w:t>
      </w:r>
      <w:r w:rsidRPr="0031675F">
        <w:rPr>
          <w:spacing w:val="17"/>
        </w:rPr>
        <w:t xml:space="preserve"> </w:t>
      </w:r>
      <w:r w:rsidRPr="0031675F">
        <w:rPr>
          <w:spacing w:val="-1"/>
        </w:rPr>
        <w:t>any</w:t>
      </w:r>
      <w:r w:rsidRPr="0031675F">
        <w:rPr>
          <w:spacing w:val="17"/>
        </w:rPr>
        <w:t xml:space="preserve"> </w:t>
      </w:r>
      <w:r w:rsidRPr="0031675F">
        <w:rPr>
          <w:spacing w:val="-1"/>
        </w:rPr>
        <w:t>gravimetric</w:t>
      </w:r>
      <w:r w:rsidRPr="0031675F">
        <w:rPr>
          <w:spacing w:val="17"/>
        </w:rPr>
        <w:t xml:space="preserve"> </w:t>
      </w:r>
      <w:r w:rsidRPr="0031675F">
        <w:rPr>
          <w:spacing w:val="-1"/>
        </w:rPr>
        <w:t>measurement</w:t>
      </w:r>
      <w:r w:rsidRPr="0031675F">
        <w:rPr>
          <w:spacing w:val="17"/>
        </w:rPr>
        <w:t xml:space="preserve"> </w:t>
      </w:r>
      <w:r w:rsidRPr="0031675F">
        <w:t>the</w:t>
      </w:r>
      <w:r w:rsidRPr="0031675F">
        <w:rPr>
          <w:spacing w:val="17"/>
        </w:rPr>
        <w:t xml:space="preserve"> </w:t>
      </w:r>
      <w:r w:rsidRPr="0031675F">
        <w:rPr>
          <w:spacing w:val="-1"/>
        </w:rPr>
        <w:t>limiting</w:t>
      </w:r>
      <w:r w:rsidRPr="0031675F">
        <w:rPr>
          <w:spacing w:val="16"/>
        </w:rPr>
        <w:t xml:space="preserve"> </w:t>
      </w:r>
      <w:r w:rsidRPr="0031675F">
        <w:rPr>
          <w:spacing w:val="-1"/>
        </w:rPr>
        <w:t>factor</w:t>
      </w:r>
      <w:r w:rsidRPr="0031675F">
        <w:rPr>
          <w:spacing w:val="17"/>
        </w:rPr>
        <w:t xml:space="preserve"> </w:t>
      </w:r>
      <w:r w:rsidRPr="0031675F">
        <w:rPr>
          <w:spacing w:val="-1"/>
        </w:rPr>
        <w:t>for</w:t>
      </w:r>
      <w:r w:rsidRPr="0031675F">
        <w:rPr>
          <w:spacing w:val="17"/>
        </w:rPr>
        <w:t xml:space="preserve"> </w:t>
      </w:r>
      <w:r w:rsidRPr="0031675F">
        <w:rPr>
          <w:spacing w:val="-1"/>
        </w:rPr>
        <w:t>detection</w:t>
      </w:r>
      <w:r w:rsidRPr="0031675F">
        <w:rPr>
          <w:spacing w:val="16"/>
        </w:rPr>
        <w:t xml:space="preserve"> </w:t>
      </w:r>
      <w:r w:rsidRPr="0031675F">
        <w:t>is</w:t>
      </w:r>
      <w:r w:rsidRPr="0031675F">
        <w:rPr>
          <w:spacing w:val="16"/>
        </w:rPr>
        <w:t xml:space="preserve"> </w:t>
      </w:r>
      <w:r w:rsidRPr="0031675F">
        <w:rPr>
          <w:spacing w:val="-1"/>
        </w:rPr>
        <w:t>often</w:t>
      </w:r>
      <w:r w:rsidRPr="0031675F">
        <w:rPr>
          <w:spacing w:val="14"/>
        </w:rPr>
        <w:t xml:space="preserve"> </w:t>
      </w:r>
      <w:r w:rsidRPr="0031675F">
        <w:rPr>
          <w:spacing w:val="-1"/>
        </w:rPr>
        <w:t>sampling</w:t>
      </w:r>
      <w:r w:rsidRPr="0031675F">
        <w:rPr>
          <w:spacing w:val="16"/>
        </w:rPr>
        <w:t xml:space="preserve"> </w:t>
      </w:r>
      <w:r w:rsidRPr="0031675F">
        <w:rPr>
          <w:spacing w:val="-1"/>
        </w:rPr>
        <w:t>technique,</w:t>
      </w:r>
      <w:r w:rsidRPr="0031675F">
        <w:rPr>
          <w:spacing w:val="71"/>
        </w:rPr>
        <w:t xml:space="preserve"> </w:t>
      </w:r>
      <w:r w:rsidRPr="0031675F">
        <w:t>the</w:t>
      </w:r>
      <w:r w:rsidRPr="0031675F">
        <w:rPr>
          <w:spacing w:val="36"/>
        </w:rPr>
        <w:t xml:space="preserve"> </w:t>
      </w:r>
      <w:r w:rsidRPr="0031675F">
        <w:rPr>
          <w:spacing w:val="-1"/>
        </w:rPr>
        <w:t>homogeneity</w:t>
      </w:r>
      <w:r w:rsidRPr="0031675F">
        <w:rPr>
          <w:spacing w:val="35"/>
        </w:rPr>
        <w:t xml:space="preserve"> </w:t>
      </w:r>
      <w:r w:rsidRPr="0031675F">
        <w:t>of</w:t>
      </w:r>
      <w:r w:rsidRPr="0031675F">
        <w:rPr>
          <w:spacing w:val="37"/>
        </w:rPr>
        <w:t xml:space="preserve"> </w:t>
      </w:r>
      <w:r w:rsidRPr="0031675F">
        <w:t>a</w:t>
      </w:r>
      <w:r w:rsidRPr="0031675F">
        <w:rPr>
          <w:spacing w:val="33"/>
        </w:rPr>
        <w:t xml:space="preserve"> </w:t>
      </w:r>
      <w:r w:rsidRPr="0031675F">
        <w:rPr>
          <w:spacing w:val="-1"/>
        </w:rPr>
        <w:t>sample</w:t>
      </w:r>
      <w:r w:rsidRPr="0031675F">
        <w:rPr>
          <w:spacing w:val="37"/>
        </w:rPr>
        <w:t xml:space="preserve"> </w:t>
      </w:r>
      <w:r w:rsidRPr="0031675F">
        <w:rPr>
          <w:spacing w:val="-1"/>
        </w:rPr>
        <w:t>and</w:t>
      </w:r>
      <w:r w:rsidRPr="0031675F">
        <w:rPr>
          <w:spacing w:val="34"/>
        </w:rPr>
        <w:t xml:space="preserve"> </w:t>
      </w:r>
      <w:r w:rsidRPr="0031675F">
        <w:t>the</w:t>
      </w:r>
      <w:r w:rsidRPr="0031675F">
        <w:rPr>
          <w:spacing w:val="37"/>
        </w:rPr>
        <w:t xml:space="preserve"> </w:t>
      </w:r>
      <w:r w:rsidRPr="0031675F">
        <w:rPr>
          <w:spacing w:val="-1"/>
        </w:rPr>
        <w:t>level</w:t>
      </w:r>
      <w:r w:rsidRPr="0031675F">
        <w:rPr>
          <w:spacing w:val="36"/>
        </w:rPr>
        <w:t xml:space="preserve"> </w:t>
      </w:r>
      <w:r w:rsidRPr="0031675F">
        <w:t>of</w:t>
      </w:r>
      <w:r w:rsidRPr="0031675F">
        <w:rPr>
          <w:spacing w:val="34"/>
        </w:rPr>
        <w:t xml:space="preserve"> </w:t>
      </w:r>
      <w:r w:rsidRPr="0031675F">
        <w:rPr>
          <w:spacing w:val="-1"/>
        </w:rPr>
        <w:t>reproducibility</w:t>
      </w:r>
      <w:r w:rsidRPr="0031675F">
        <w:rPr>
          <w:spacing w:val="38"/>
        </w:rPr>
        <w:t xml:space="preserve"> </w:t>
      </w:r>
      <w:r w:rsidRPr="0031675F">
        <w:t>that</w:t>
      </w:r>
      <w:r w:rsidRPr="0031675F">
        <w:rPr>
          <w:spacing w:val="34"/>
        </w:rPr>
        <w:t xml:space="preserve"> </w:t>
      </w:r>
      <w:r w:rsidRPr="0031675F">
        <w:t>can</w:t>
      </w:r>
      <w:r w:rsidRPr="0031675F">
        <w:rPr>
          <w:spacing w:val="34"/>
        </w:rPr>
        <w:t xml:space="preserve"> </w:t>
      </w:r>
      <w:r w:rsidRPr="0031675F">
        <w:rPr>
          <w:spacing w:val="-1"/>
        </w:rPr>
        <w:t>be</w:t>
      </w:r>
      <w:r w:rsidRPr="0031675F">
        <w:rPr>
          <w:spacing w:val="38"/>
        </w:rPr>
        <w:t xml:space="preserve"> </w:t>
      </w:r>
      <w:r w:rsidRPr="0031675F">
        <w:rPr>
          <w:spacing w:val="-1"/>
        </w:rPr>
        <w:t>achieved</w:t>
      </w:r>
      <w:r w:rsidRPr="0031675F">
        <w:rPr>
          <w:spacing w:val="39"/>
        </w:rPr>
        <w:t xml:space="preserve"> </w:t>
      </w:r>
      <w:r w:rsidRPr="0031675F">
        <w:t>when</w:t>
      </w:r>
      <w:r w:rsidRPr="0031675F">
        <w:rPr>
          <w:spacing w:val="47"/>
        </w:rPr>
        <w:t xml:space="preserve"> </w:t>
      </w:r>
      <w:r w:rsidRPr="0031675F">
        <w:rPr>
          <w:spacing w:val="-1"/>
        </w:rPr>
        <w:t>subsampling.</w:t>
      </w:r>
      <w:r w:rsidRPr="0031675F">
        <w:rPr>
          <w:spacing w:val="19"/>
        </w:rPr>
        <w:t xml:space="preserve"> </w:t>
      </w:r>
      <w:r w:rsidRPr="0031675F">
        <w:rPr>
          <w:spacing w:val="-1"/>
        </w:rPr>
        <w:t>Following</w:t>
      </w:r>
      <w:r w:rsidRPr="0031675F">
        <w:rPr>
          <w:spacing w:val="8"/>
        </w:rPr>
        <w:t xml:space="preserve"> </w:t>
      </w:r>
      <w:r w:rsidRPr="0031675F">
        <w:t>a</w:t>
      </w:r>
      <w:r w:rsidRPr="0031675F">
        <w:rPr>
          <w:spacing w:val="9"/>
        </w:rPr>
        <w:t xml:space="preserve"> </w:t>
      </w:r>
      <w:r w:rsidRPr="0031675F">
        <w:rPr>
          <w:spacing w:val="-1"/>
        </w:rPr>
        <w:t>series</w:t>
      </w:r>
      <w:r w:rsidRPr="0031675F">
        <w:rPr>
          <w:spacing w:val="10"/>
        </w:rPr>
        <w:t xml:space="preserve"> </w:t>
      </w:r>
      <w:r w:rsidRPr="0031675F">
        <w:t>of</w:t>
      </w:r>
      <w:r w:rsidRPr="0031675F">
        <w:rPr>
          <w:spacing w:val="7"/>
        </w:rPr>
        <w:t xml:space="preserve"> </w:t>
      </w:r>
      <w:r w:rsidRPr="0031675F">
        <w:t>wet</w:t>
      </w:r>
      <w:r w:rsidRPr="0031675F">
        <w:rPr>
          <w:spacing w:val="10"/>
        </w:rPr>
        <w:t xml:space="preserve"> </w:t>
      </w:r>
      <w:r w:rsidRPr="0031675F">
        <w:rPr>
          <w:spacing w:val="-1"/>
        </w:rPr>
        <w:t>filter</w:t>
      </w:r>
      <w:r w:rsidRPr="0031675F">
        <w:rPr>
          <w:spacing w:val="10"/>
        </w:rPr>
        <w:t xml:space="preserve"> </w:t>
      </w:r>
      <w:r w:rsidRPr="0031675F">
        <w:rPr>
          <w:spacing w:val="-1"/>
        </w:rPr>
        <w:t>blank</w:t>
      </w:r>
      <w:r w:rsidRPr="0031675F">
        <w:rPr>
          <w:spacing w:val="10"/>
        </w:rPr>
        <w:t xml:space="preserve"> </w:t>
      </w:r>
      <w:r w:rsidRPr="0031675F">
        <w:rPr>
          <w:spacing w:val="-1"/>
        </w:rPr>
        <w:t>trials,</w:t>
      </w:r>
      <w:r w:rsidRPr="0031675F">
        <w:rPr>
          <w:spacing w:val="10"/>
        </w:rPr>
        <w:t xml:space="preserve"> </w:t>
      </w:r>
      <w:r w:rsidRPr="0031675F">
        <w:t>it</w:t>
      </w:r>
      <w:r w:rsidRPr="0031675F">
        <w:rPr>
          <w:spacing w:val="10"/>
        </w:rPr>
        <w:t xml:space="preserve"> </w:t>
      </w:r>
      <w:r w:rsidRPr="0031675F">
        <w:t>was</w:t>
      </w:r>
      <w:r w:rsidRPr="0031675F">
        <w:rPr>
          <w:spacing w:val="10"/>
        </w:rPr>
        <w:t xml:space="preserve"> </w:t>
      </w:r>
      <w:r w:rsidRPr="0031675F">
        <w:rPr>
          <w:spacing w:val="-1"/>
        </w:rPr>
        <w:t>concluded</w:t>
      </w:r>
      <w:r w:rsidRPr="0031675F">
        <w:rPr>
          <w:spacing w:val="9"/>
        </w:rPr>
        <w:t xml:space="preserve"> </w:t>
      </w:r>
      <w:r w:rsidRPr="0031675F">
        <w:t>that</w:t>
      </w:r>
      <w:r w:rsidRPr="0031675F">
        <w:rPr>
          <w:spacing w:val="7"/>
        </w:rPr>
        <w:t xml:space="preserve"> </w:t>
      </w:r>
      <w:r w:rsidRPr="0031675F">
        <w:t>the</w:t>
      </w:r>
      <w:r w:rsidRPr="0031675F">
        <w:rPr>
          <w:spacing w:val="10"/>
        </w:rPr>
        <w:t xml:space="preserve"> </w:t>
      </w:r>
      <w:r w:rsidRPr="0031675F">
        <w:rPr>
          <w:spacing w:val="-1"/>
        </w:rPr>
        <w:t>smallest</w:t>
      </w:r>
      <w:r w:rsidRPr="0031675F">
        <w:rPr>
          <w:spacing w:val="10"/>
        </w:rPr>
        <w:t xml:space="preserve"> </w:t>
      </w:r>
      <w:r w:rsidRPr="0031675F">
        <w:rPr>
          <w:spacing w:val="-1"/>
        </w:rPr>
        <w:t>amount</w:t>
      </w:r>
      <w:r w:rsidRPr="0031675F">
        <w:rPr>
          <w:spacing w:val="61"/>
        </w:rPr>
        <w:t xml:space="preserve"> </w:t>
      </w:r>
      <w:r w:rsidRPr="0031675F">
        <w:t>of</w:t>
      </w:r>
      <w:r w:rsidRPr="0031675F">
        <w:rPr>
          <w:spacing w:val="38"/>
        </w:rPr>
        <w:t xml:space="preserve"> </w:t>
      </w:r>
      <w:r w:rsidRPr="0031675F">
        <w:rPr>
          <w:spacing w:val="-1"/>
        </w:rPr>
        <w:t>solid</w:t>
      </w:r>
      <w:r w:rsidRPr="0031675F">
        <w:rPr>
          <w:spacing w:val="38"/>
        </w:rPr>
        <w:t xml:space="preserve"> </w:t>
      </w:r>
      <w:r w:rsidRPr="0031675F">
        <w:rPr>
          <w:spacing w:val="-1"/>
        </w:rPr>
        <w:t>that</w:t>
      </w:r>
      <w:r w:rsidRPr="0031675F">
        <w:rPr>
          <w:spacing w:val="39"/>
        </w:rPr>
        <w:t xml:space="preserve"> </w:t>
      </w:r>
      <w:r w:rsidRPr="0031675F">
        <w:t>can</w:t>
      </w:r>
      <w:r w:rsidRPr="0031675F">
        <w:rPr>
          <w:spacing w:val="37"/>
        </w:rPr>
        <w:t xml:space="preserve"> </w:t>
      </w:r>
      <w:r w:rsidRPr="0031675F">
        <w:rPr>
          <w:spacing w:val="-1"/>
        </w:rPr>
        <w:t>be</w:t>
      </w:r>
      <w:r w:rsidRPr="0031675F">
        <w:rPr>
          <w:spacing w:val="39"/>
        </w:rPr>
        <w:t xml:space="preserve"> </w:t>
      </w:r>
      <w:r w:rsidRPr="0031675F">
        <w:rPr>
          <w:spacing w:val="-1"/>
        </w:rPr>
        <w:t>confidently</w:t>
      </w:r>
      <w:r w:rsidRPr="0031675F">
        <w:rPr>
          <w:spacing w:val="39"/>
        </w:rPr>
        <w:t xml:space="preserve"> </w:t>
      </w:r>
      <w:r w:rsidRPr="0031675F">
        <w:rPr>
          <w:spacing w:val="-1"/>
        </w:rPr>
        <w:t>measured</w:t>
      </w:r>
      <w:r w:rsidRPr="0031675F">
        <w:rPr>
          <w:spacing w:val="37"/>
        </w:rPr>
        <w:t xml:space="preserve"> </w:t>
      </w:r>
      <w:r w:rsidRPr="0031675F">
        <w:t>is</w:t>
      </w:r>
      <w:r w:rsidRPr="0031675F">
        <w:rPr>
          <w:spacing w:val="35"/>
        </w:rPr>
        <w:t xml:space="preserve"> </w:t>
      </w:r>
      <w:r w:rsidRPr="0031675F">
        <w:rPr>
          <w:spacing w:val="-1"/>
        </w:rPr>
        <w:t>0.36</w:t>
      </w:r>
      <w:r w:rsidRPr="0031675F">
        <w:rPr>
          <w:spacing w:val="39"/>
        </w:rPr>
        <w:t xml:space="preserve"> </w:t>
      </w:r>
      <w:r w:rsidRPr="0031675F">
        <w:rPr>
          <w:spacing w:val="-1"/>
        </w:rPr>
        <w:t>mg.</w:t>
      </w:r>
      <w:r w:rsidRPr="0031675F">
        <w:rPr>
          <w:spacing w:val="27"/>
        </w:rPr>
        <w:t xml:space="preserve"> </w:t>
      </w:r>
      <w:r w:rsidRPr="0031675F">
        <w:rPr>
          <w:spacing w:val="-1"/>
        </w:rPr>
        <w:t>Therefore,</w:t>
      </w:r>
      <w:r w:rsidRPr="0031675F">
        <w:rPr>
          <w:spacing w:val="35"/>
        </w:rPr>
        <w:t xml:space="preserve"> </w:t>
      </w:r>
      <w:r w:rsidRPr="0031675F">
        <w:t>when</w:t>
      </w:r>
      <w:r w:rsidRPr="0031675F">
        <w:rPr>
          <w:spacing w:val="38"/>
        </w:rPr>
        <w:t xml:space="preserve"> </w:t>
      </w:r>
      <w:r w:rsidRPr="0031675F">
        <w:rPr>
          <w:spacing w:val="-1"/>
        </w:rPr>
        <w:t>one</w:t>
      </w:r>
      <w:r w:rsidRPr="0031675F">
        <w:rPr>
          <w:spacing w:val="39"/>
        </w:rPr>
        <w:t xml:space="preserve"> </w:t>
      </w:r>
      <w:r w:rsidRPr="0031675F">
        <w:rPr>
          <w:spacing w:val="-1"/>
        </w:rPr>
        <w:t>litre</w:t>
      </w:r>
      <w:r w:rsidRPr="0031675F">
        <w:rPr>
          <w:spacing w:val="39"/>
        </w:rPr>
        <w:t xml:space="preserve"> </w:t>
      </w:r>
      <w:r w:rsidRPr="0031675F">
        <w:t>of</w:t>
      </w:r>
      <w:r w:rsidRPr="0031675F">
        <w:rPr>
          <w:spacing w:val="35"/>
        </w:rPr>
        <w:t xml:space="preserve"> </w:t>
      </w:r>
      <w:r w:rsidRPr="0031675F">
        <w:rPr>
          <w:spacing w:val="-1"/>
        </w:rPr>
        <w:t>seawater</w:t>
      </w:r>
      <w:r w:rsidRPr="0031675F">
        <w:rPr>
          <w:spacing w:val="38"/>
        </w:rPr>
        <w:t xml:space="preserve"> </w:t>
      </w:r>
      <w:r w:rsidRPr="0031675F">
        <w:rPr>
          <w:spacing w:val="-2"/>
        </w:rPr>
        <w:t>is</w:t>
      </w:r>
      <w:r w:rsidRPr="0031675F">
        <w:rPr>
          <w:spacing w:val="71"/>
        </w:rPr>
        <w:t xml:space="preserve"> </w:t>
      </w:r>
      <w:r w:rsidRPr="0031675F">
        <w:rPr>
          <w:spacing w:val="-1"/>
        </w:rPr>
        <w:t>filtered,</w:t>
      </w:r>
      <w:r w:rsidRPr="0031675F">
        <w:rPr>
          <w:spacing w:val="9"/>
        </w:rPr>
        <w:t xml:space="preserve"> </w:t>
      </w:r>
      <w:r w:rsidRPr="0031675F">
        <w:t>the</w:t>
      </w:r>
      <w:r w:rsidRPr="0031675F">
        <w:rPr>
          <w:spacing w:val="12"/>
        </w:rPr>
        <w:t xml:space="preserve"> </w:t>
      </w:r>
      <w:r w:rsidRPr="0031675F">
        <w:rPr>
          <w:spacing w:val="-1"/>
        </w:rPr>
        <w:t>lower</w:t>
      </w:r>
      <w:r w:rsidRPr="0031675F">
        <w:rPr>
          <w:spacing w:val="12"/>
        </w:rPr>
        <w:t xml:space="preserve"> </w:t>
      </w:r>
      <w:r w:rsidRPr="0031675F">
        <w:rPr>
          <w:spacing w:val="-1"/>
        </w:rPr>
        <w:t>limit</w:t>
      </w:r>
      <w:r w:rsidRPr="0031675F">
        <w:rPr>
          <w:spacing w:val="10"/>
        </w:rPr>
        <w:t xml:space="preserve"> </w:t>
      </w:r>
      <w:r w:rsidRPr="0031675F">
        <w:t>of</w:t>
      </w:r>
      <w:r w:rsidRPr="0031675F">
        <w:rPr>
          <w:spacing w:val="7"/>
        </w:rPr>
        <w:t xml:space="preserve"> </w:t>
      </w:r>
      <w:r w:rsidRPr="0031675F">
        <w:rPr>
          <w:spacing w:val="-1"/>
        </w:rPr>
        <w:t>detection</w:t>
      </w:r>
      <w:r w:rsidRPr="0031675F">
        <w:rPr>
          <w:spacing w:val="11"/>
        </w:rPr>
        <w:t xml:space="preserve"> </w:t>
      </w:r>
      <w:r w:rsidRPr="0031675F">
        <w:t>is</w:t>
      </w:r>
      <w:r w:rsidRPr="0031675F">
        <w:rPr>
          <w:spacing w:val="9"/>
        </w:rPr>
        <w:t xml:space="preserve"> </w:t>
      </w:r>
      <w:r w:rsidRPr="0031675F">
        <w:rPr>
          <w:spacing w:val="-1"/>
        </w:rPr>
        <w:t>0.36</w:t>
      </w:r>
      <w:r w:rsidRPr="0031675F">
        <w:rPr>
          <w:spacing w:val="8"/>
        </w:rPr>
        <w:t xml:space="preserve"> </w:t>
      </w:r>
      <w:r w:rsidRPr="0031675F">
        <w:t>mg</w:t>
      </w:r>
      <w:r w:rsidR="00E817CB" w:rsidRPr="00E817CB">
        <w:t xml:space="preserve"> L</w:t>
      </w:r>
      <w:r w:rsidR="00E817CB" w:rsidRPr="00E817CB">
        <w:rPr>
          <w:vertAlign w:val="superscript"/>
        </w:rPr>
        <w:t>-1</w:t>
      </w:r>
      <w:r w:rsidRPr="0031675F">
        <w:t>.</w:t>
      </w:r>
      <w:r w:rsidRPr="0031675F">
        <w:rPr>
          <w:spacing w:val="22"/>
        </w:rPr>
        <w:t xml:space="preserve"> </w:t>
      </w:r>
      <w:r w:rsidRPr="0031675F">
        <w:rPr>
          <w:spacing w:val="-2"/>
        </w:rPr>
        <w:t>The</w:t>
      </w:r>
      <w:r w:rsidRPr="0031675F">
        <w:rPr>
          <w:spacing w:val="13"/>
        </w:rPr>
        <w:t xml:space="preserve"> </w:t>
      </w:r>
      <w:r w:rsidRPr="0031675F">
        <w:rPr>
          <w:spacing w:val="-1"/>
        </w:rPr>
        <w:t>upper</w:t>
      </w:r>
      <w:r w:rsidRPr="0031675F">
        <w:rPr>
          <w:spacing w:val="12"/>
        </w:rPr>
        <w:t xml:space="preserve"> </w:t>
      </w:r>
      <w:r w:rsidRPr="0031675F">
        <w:rPr>
          <w:spacing w:val="-1"/>
        </w:rPr>
        <w:t>limit</w:t>
      </w:r>
      <w:r w:rsidRPr="0031675F">
        <w:rPr>
          <w:spacing w:val="10"/>
        </w:rPr>
        <w:t xml:space="preserve"> </w:t>
      </w:r>
      <w:r w:rsidRPr="0031675F">
        <w:t>is</w:t>
      </w:r>
      <w:r w:rsidRPr="0031675F">
        <w:rPr>
          <w:spacing w:val="11"/>
        </w:rPr>
        <w:t xml:space="preserve"> </w:t>
      </w:r>
      <w:r w:rsidRPr="0031675F">
        <w:rPr>
          <w:spacing w:val="-1"/>
        </w:rPr>
        <w:t>dependent</w:t>
      </w:r>
      <w:r w:rsidRPr="0031675F">
        <w:rPr>
          <w:spacing w:val="10"/>
        </w:rPr>
        <w:t xml:space="preserve"> </w:t>
      </w:r>
      <w:r w:rsidRPr="0031675F">
        <w:t>on</w:t>
      </w:r>
      <w:r w:rsidRPr="0031675F">
        <w:rPr>
          <w:spacing w:val="11"/>
        </w:rPr>
        <w:t xml:space="preserve"> </w:t>
      </w:r>
      <w:r w:rsidRPr="0031675F">
        <w:rPr>
          <w:spacing w:val="-1"/>
        </w:rPr>
        <w:t>particle</w:t>
      </w:r>
      <w:r w:rsidRPr="0031675F">
        <w:rPr>
          <w:spacing w:val="10"/>
        </w:rPr>
        <w:t xml:space="preserve"> </w:t>
      </w:r>
      <w:r w:rsidRPr="0031675F">
        <w:t>load</w:t>
      </w:r>
      <w:r w:rsidRPr="0031675F">
        <w:rPr>
          <w:spacing w:val="9"/>
        </w:rPr>
        <w:t xml:space="preserve"> </w:t>
      </w:r>
      <w:r w:rsidRPr="0031675F">
        <w:rPr>
          <w:spacing w:val="-1"/>
        </w:rPr>
        <w:t>and</w:t>
      </w:r>
      <w:r w:rsidRPr="0031675F">
        <w:rPr>
          <w:spacing w:val="71"/>
        </w:rPr>
        <w:t xml:space="preserve"> </w:t>
      </w:r>
      <w:r w:rsidRPr="0031675F">
        <w:rPr>
          <w:spacing w:val="-1"/>
        </w:rPr>
        <w:t>size.</w:t>
      </w:r>
      <w:r w:rsidRPr="0031675F">
        <w:t xml:space="preserve"> </w:t>
      </w:r>
      <w:r w:rsidRPr="0031675F">
        <w:rPr>
          <w:spacing w:val="20"/>
        </w:rPr>
        <w:t xml:space="preserve"> </w:t>
      </w:r>
      <w:r w:rsidRPr="0031675F">
        <w:rPr>
          <w:spacing w:val="-1"/>
        </w:rPr>
        <w:t>Turbid</w:t>
      </w:r>
      <w:r w:rsidRPr="0031675F">
        <w:rPr>
          <w:spacing w:val="8"/>
        </w:rPr>
        <w:t xml:space="preserve"> </w:t>
      </w:r>
      <w:r w:rsidRPr="0031675F">
        <w:rPr>
          <w:spacing w:val="-1"/>
        </w:rPr>
        <w:t>water,</w:t>
      </w:r>
      <w:r w:rsidRPr="0031675F">
        <w:rPr>
          <w:spacing w:val="10"/>
        </w:rPr>
        <w:t xml:space="preserve"> </w:t>
      </w:r>
      <w:r w:rsidRPr="0031675F">
        <w:rPr>
          <w:spacing w:val="-1"/>
        </w:rPr>
        <w:t>with</w:t>
      </w:r>
      <w:r w:rsidRPr="0031675F">
        <w:rPr>
          <w:spacing w:val="9"/>
        </w:rPr>
        <w:t xml:space="preserve"> </w:t>
      </w:r>
      <w:r w:rsidRPr="0031675F">
        <w:t>a</w:t>
      </w:r>
      <w:r w:rsidRPr="0031675F">
        <w:rPr>
          <w:spacing w:val="7"/>
        </w:rPr>
        <w:t xml:space="preserve"> </w:t>
      </w:r>
      <w:r w:rsidRPr="0031675F">
        <w:t>lot</w:t>
      </w:r>
      <w:r w:rsidRPr="0031675F">
        <w:rPr>
          <w:spacing w:val="8"/>
        </w:rPr>
        <w:t xml:space="preserve"> </w:t>
      </w:r>
      <w:r w:rsidRPr="0031675F">
        <w:t>of</w:t>
      </w:r>
      <w:r w:rsidRPr="0031675F">
        <w:rPr>
          <w:spacing w:val="9"/>
        </w:rPr>
        <w:t xml:space="preserve"> </w:t>
      </w:r>
      <w:r w:rsidRPr="0031675F">
        <w:rPr>
          <w:spacing w:val="-1"/>
        </w:rPr>
        <w:t>fine</w:t>
      </w:r>
      <w:r w:rsidRPr="0031675F">
        <w:rPr>
          <w:spacing w:val="8"/>
        </w:rPr>
        <w:t xml:space="preserve"> </w:t>
      </w:r>
      <w:r w:rsidRPr="0031675F">
        <w:rPr>
          <w:spacing w:val="-1"/>
        </w:rPr>
        <w:t>material,</w:t>
      </w:r>
      <w:r w:rsidRPr="0031675F">
        <w:rPr>
          <w:spacing w:val="10"/>
        </w:rPr>
        <w:t xml:space="preserve"> </w:t>
      </w:r>
      <w:r w:rsidRPr="0031675F">
        <w:t>will</w:t>
      </w:r>
      <w:r w:rsidRPr="0031675F">
        <w:rPr>
          <w:spacing w:val="9"/>
        </w:rPr>
        <w:t xml:space="preserve"> </w:t>
      </w:r>
      <w:r w:rsidRPr="0031675F">
        <w:rPr>
          <w:spacing w:val="-1"/>
        </w:rPr>
        <w:t>block</w:t>
      </w:r>
      <w:r w:rsidRPr="0031675F">
        <w:rPr>
          <w:spacing w:val="8"/>
        </w:rPr>
        <w:t xml:space="preserve"> </w:t>
      </w:r>
      <w:r w:rsidRPr="0031675F">
        <w:t>the</w:t>
      </w:r>
      <w:r w:rsidRPr="0031675F">
        <w:rPr>
          <w:spacing w:val="10"/>
        </w:rPr>
        <w:t xml:space="preserve"> </w:t>
      </w:r>
      <w:r w:rsidRPr="0031675F">
        <w:rPr>
          <w:spacing w:val="-1"/>
        </w:rPr>
        <w:t>filter</w:t>
      </w:r>
      <w:r w:rsidRPr="0031675F">
        <w:rPr>
          <w:spacing w:val="10"/>
        </w:rPr>
        <w:t xml:space="preserve"> </w:t>
      </w:r>
      <w:r w:rsidRPr="0031675F">
        <w:rPr>
          <w:spacing w:val="-1"/>
        </w:rPr>
        <w:t>prematurely,</w:t>
      </w:r>
      <w:r w:rsidRPr="0031675F">
        <w:rPr>
          <w:spacing w:val="7"/>
        </w:rPr>
        <w:t xml:space="preserve"> </w:t>
      </w:r>
      <w:r w:rsidRPr="0031675F">
        <w:t>allowing</w:t>
      </w:r>
      <w:r w:rsidRPr="0031675F">
        <w:rPr>
          <w:spacing w:val="6"/>
        </w:rPr>
        <w:t xml:space="preserve"> </w:t>
      </w:r>
      <w:r w:rsidRPr="0031675F">
        <w:t>only</w:t>
      </w:r>
      <w:r w:rsidRPr="0031675F">
        <w:rPr>
          <w:spacing w:val="10"/>
        </w:rPr>
        <w:t xml:space="preserve"> </w:t>
      </w:r>
      <w:r w:rsidRPr="0031675F">
        <w:t>a</w:t>
      </w:r>
      <w:r w:rsidRPr="0031675F">
        <w:rPr>
          <w:spacing w:val="9"/>
        </w:rPr>
        <w:t xml:space="preserve"> </w:t>
      </w:r>
      <w:r w:rsidRPr="0031675F">
        <w:rPr>
          <w:spacing w:val="-1"/>
        </w:rPr>
        <w:t>small</w:t>
      </w:r>
      <w:r w:rsidRPr="0031675F">
        <w:t xml:space="preserve"> </w:t>
      </w:r>
      <w:r w:rsidRPr="0031675F">
        <w:rPr>
          <w:spacing w:val="-1"/>
        </w:rPr>
        <w:t>volume</w:t>
      </w:r>
      <w:r w:rsidRPr="0031675F">
        <w:rPr>
          <w:spacing w:val="15"/>
        </w:rPr>
        <w:t xml:space="preserve"> </w:t>
      </w:r>
      <w:r w:rsidRPr="0031675F">
        <w:rPr>
          <w:spacing w:val="-1"/>
        </w:rPr>
        <w:t>to</w:t>
      </w:r>
      <w:r w:rsidRPr="0031675F">
        <w:rPr>
          <w:spacing w:val="15"/>
        </w:rPr>
        <w:t xml:space="preserve"> </w:t>
      </w:r>
      <w:r w:rsidRPr="0031675F">
        <w:rPr>
          <w:spacing w:val="-1"/>
        </w:rPr>
        <w:t>be</w:t>
      </w:r>
      <w:r w:rsidRPr="0031675F">
        <w:rPr>
          <w:spacing w:val="15"/>
        </w:rPr>
        <w:t xml:space="preserve"> </w:t>
      </w:r>
      <w:r w:rsidRPr="0031675F">
        <w:rPr>
          <w:spacing w:val="-1"/>
        </w:rPr>
        <w:t>filtered.</w:t>
      </w:r>
      <w:r w:rsidRPr="0031675F">
        <w:rPr>
          <w:spacing w:val="27"/>
        </w:rPr>
        <w:t xml:space="preserve"> </w:t>
      </w:r>
      <w:r w:rsidRPr="0031675F">
        <w:rPr>
          <w:spacing w:val="-1"/>
        </w:rPr>
        <w:t>Water</w:t>
      </w:r>
      <w:r w:rsidRPr="0031675F">
        <w:rPr>
          <w:spacing w:val="14"/>
        </w:rPr>
        <w:t xml:space="preserve"> </w:t>
      </w:r>
      <w:r w:rsidRPr="0031675F">
        <w:rPr>
          <w:spacing w:val="-1"/>
        </w:rPr>
        <w:t>samples</w:t>
      </w:r>
      <w:r w:rsidRPr="0031675F">
        <w:rPr>
          <w:spacing w:val="15"/>
        </w:rPr>
        <w:t xml:space="preserve"> </w:t>
      </w:r>
      <w:r w:rsidRPr="0031675F">
        <w:t>with</w:t>
      </w:r>
      <w:r w:rsidRPr="0031675F">
        <w:rPr>
          <w:spacing w:val="14"/>
        </w:rPr>
        <w:t xml:space="preserve"> </w:t>
      </w:r>
      <w:r w:rsidRPr="0031675F">
        <w:rPr>
          <w:spacing w:val="-1"/>
        </w:rPr>
        <w:t>large</w:t>
      </w:r>
      <w:r w:rsidRPr="0031675F">
        <w:rPr>
          <w:spacing w:val="15"/>
        </w:rPr>
        <w:t xml:space="preserve"> </w:t>
      </w:r>
      <w:r w:rsidRPr="0031675F">
        <w:rPr>
          <w:spacing w:val="-1"/>
        </w:rPr>
        <w:t>concentrations</w:t>
      </w:r>
      <w:r w:rsidRPr="0031675F">
        <w:rPr>
          <w:spacing w:val="14"/>
        </w:rPr>
        <w:t xml:space="preserve"> </w:t>
      </w:r>
      <w:r w:rsidRPr="0031675F">
        <w:t>of</w:t>
      </w:r>
      <w:r w:rsidRPr="0031675F">
        <w:rPr>
          <w:spacing w:val="14"/>
        </w:rPr>
        <w:t xml:space="preserve"> </w:t>
      </w:r>
      <w:r w:rsidRPr="0031675F">
        <w:rPr>
          <w:spacing w:val="-1"/>
        </w:rPr>
        <w:t>fine</w:t>
      </w:r>
      <w:r w:rsidRPr="0031675F">
        <w:rPr>
          <w:spacing w:val="15"/>
        </w:rPr>
        <w:t xml:space="preserve"> </w:t>
      </w:r>
      <w:r w:rsidRPr="0031675F">
        <w:rPr>
          <w:spacing w:val="-1"/>
        </w:rPr>
        <w:t>particles</w:t>
      </w:r>
      <w:r w:rsidRPr="0031675F">
        <w:rPr>
          <w:spacing w:val="14"/>
        </w:rPr>
        <w:t xml:space="preserve"> </w:t>
      </w:r>
      <w:r w:rsidRPr="0031675F">
        <w:t>may</w:t>
      </w:r>
      <w:r w:rsidRPr="0031675F">
        <w:rPr>
          <w:spacing w:val="15"/>
        </w:rPr>
        <w:t xml:space="preserve"> </w:t>
      </w:r>
      <w:r w:rsidRPr="0031675F">
        <w:rPr>
          <w:spacing w:val="-1"/>
        </w:rPr>
        <w:t>clog</w:t>
      </w:r>
      <w:r w:rsidRPr="0031675F">
        <w:rPr>
          <w:spacing w:val="13"/>
        </w:rPr>
        <w:t xml:space="preserve"> </w:t>
      </w:r>
      <w:r w:rsidRPr="0031675F">
        <w:t>the</w:t>
      </w:r>
      <w:r w:rsidRPr="0031675F">
        <w:rPr>
          <w:spacing w:val="14"/>
        </w:rPr>
        <w:t xml:space="preserve"> </w:t>
      </w:r>
      <w:r w:rsidRPr="0031675F">
        <w:rPr>
          <w:spacing w:val="1"/>
        </w:rPr>
        <w:t>filter</w:t>
      </w:r>
      <w:r w:rsidRPr="0031675F">
        <w:rPr>
          <w:spacing w:val="67"/>
        </w:rPr>
        <w:t xml:space="preserve"> </w:t>
      </w:r>
      <w:r w:rsidRPr="0031675F">
        <w:t>after</w:t>
      </w:r>
      <w:r w:rsidRPr="0031675F">
        <w:rPr>
          <w:spacing w:val="12"/>
        </w:rPr>
        <w:t xml:space="preserve"> </w:t>
      </w:r>
      <w:r w:rsidRPr="0031675F">
        <w:rPr>
          <w:spacing w:val="-1"/>
        </w:rPr>
        <w:t>only</w:t>
      </w:r>
      <w:r w:rsidRPr="0031675F">
        <w:rPr>
          <w:spacing w:val="13"/>
        </w:rPr>
        <w:t xml:space="preserve"> </w:t>
      </w:r>
      <w:r w:rsidRPr="0031675F">
        <w:t>a</w:t>
      </w:r>
      <w:r w:rsidRPr="0031675F">
        <w:rPr>
          <w:spacing w:val="12"/>
        </w:rPr>
        <w:t xml:space="preserve"> </w:t>
      </w:r>
      <w:r w:rsidRPr="0031675F">
        <w:rPr>
          <w:spacing w:val="-1"/>
        </w:rPr>
        <w:t>small</w:t>
      </w:r>
      <w:r w:rsidRPr="0031675F">
        <w:rPr>
          <w:spacing w:val="11"/>
        </w:rPr>
        <w:t xml:space="preserve"> </w:t>
      </w:r>
      <w:r w:rsidRPr="0031675F">
        <w:rPr>
          <w:spacing w:val="-1"/>
        </w:rPr>
        <w:t>amount</w:t>
      </w:r>
      <w:r w:rsidRPr="0031675F">
        <w:rPr>
          <w:spacing w:val="13"/>
        </w:rPr>
        <w:t xml:space="preserve"> </w:t>
      </w:r>
      <w:r w:rsidRPr="0031675F">
        <w:rPr>
          <w:spacing w:val="-2"/>
        </w:rPr>
        <w:t>is</w:t>
      </w:r>
      <w:r w:rsidRPr="0031675F">
        <w:rPr>
          <w:spacing w:val="12"/>
        </w:rPr>
        <w:t xml:space="preserve"> </w:t>
      </w:r>
      <w:r w:rsidRPr="0031675F">
        <w:rPr>
          <w:spacing w:val="-1"/>
        </w:rPr>
        <w:t>filtered.</w:t>
      </w:r>
      <w:r w:rsidRPr="0031675F">
        <w:rPr>
          <w:spacing w:val="23"/>
        </w:rPr>
        <w:t xml:space="preserve"> </w:t>
      </w:r>
      <w:r w:rsidRPr="0031675F">
        <w:rPr>
          <w:spacing w:val="-1"/>
        </w:rPr>
        <w:t>Such</w:t>
      </w:r>
      <w:r w:rsidRPr="0031675F">
        <w:rPr>
          <w:spacing w:val="11"/>
        </w:rPr>
        <w:t xml:space="preserve"> </w:t>
      </w:r>
      <w:r w:rsidRPr="0031675F">
        <w:t>small</w:t>
      </w:r>
      <w:r w:rsidRPr="0031675F">
        <w:rPr>
          <w:spacing w:val="9"/>
        </w:rPr>
        <w:t xml:space="preserve"> </w:t>
      </w:r>
      <w:r w:rsidRPr="0031675F">
        <w:rPr>
          <w:spacing w:val="-1"/>
        </w:rPr>
        <w:t>volumes</w:t>
      </w:r>
      <w:r w:rsidRPr="0031675F">
        <w:rPr>
          <w:spacing w:val="10"/>
        </w:rPr>
        <w:t xml:space="preserve"> </w:t>
      </w:r>
      <w:r w:rsidRPr="0031675F">
        <w:t>will</w:t>
      </w:r>
      <w:r w:rsidRPr="0031675F">
        <w:rPr>
          <w:spacing w:val="12"/>
        </w:rPr>
        <w:t xml:space="preserve"> </w:t>
      </w:r>
      <w:r w:rsidRPr="0031675F">
        <w:t>lead</w:t>
      </w:r>
      <w:r w:rsidRPr="0031675F">
        <w:rPr>
          <w:spacing w:val="11"/>
        </w:rPr>
        <w:t xml:space="preserve"> </w:t>
      </w:r>
      <w:r w:rsidRPr="0031675F">
        <w:rPr>
          <w:spacing w:val="-1"/>
        </w:rPr>
        <w:t>to</w:t>
      </w:r>
      <w:r w:rsidRPr="0031675F">
        <w:rPr>
          <w:spacing w:val="13"/>
        </w:rPr>
        <w:t xml:space="preserve"> </w:t>
      </w:r>
      <w:r w:rsidRPr="0031675F">
        <w:t>a</w:t>
      </w:r>
      <w:r w:rsidRPr="0031675F">
        <w:rPr>
          <w:spacing w:val="12"/>
        </w:rPr>
        <w:t xml:space="preserve"> </w:t>
      </w:r>
      <w:r w:rsidRPr="0031675F">
        <w:rPr>
          <w:spacing w:val="-1"/>
        </w:rPr>
        <w:t>greater</w:t>
      </w:r>
      <w:r w:rsidRPr="0031675F">
        <w:rPr>
          <w:spacing w:val="10"/>
        </w:rPr>
        <w:t xml:space="preserve"> </w:t>
      </w:r>
      <w:r w:rsidRPr="0031675F">
        <w:rPr>
          <w:spacing w:val="-1"/>
        </w:rPr>
        <w:t>relative</w:t>
      </w:r>
      <w:r w:rsidRPr="0031675F">
        <w:rPr>
          <w:spacing w:val="13"/>
        </w:rPr>
        <w:t xml:space="preserve"> </w:t>
      </w:r>
      <w:r w:rsidRPr="0031675F">
        <w:rPr>
          <w:spacing w:val="-1"/>
        </w:rPr>
        <w:t>error</w:t>
      </w:r>
      <w:r w:rsidRPr="0031675F">
        <w:rPr>
          <w:spacing w:val="12"/>
        </w:rPr>
        <w:t xml:space="preserve"> </w:t>
      </w:r>
      <w:r w:rsidRPr="0031675F">
        <w:rPr>
          <w:spacing w:val="-1"/>
        </w:rPr>
        <w:t>due</w:t>
      </w:r>
      <w:r w:rsidRPr="0031675F">
        <w:rPr>
          <w:spacing w:val="13"/>
        </w:rPr>
        <w:t xml:space="preserve"> </w:t>
      </w:r>
      <w:r w:rsidRPr="0031675F">
        <w:rPr>
          <w:spacing w:val="-1"/>
        </w:rPr>
        <w:t>to</w:t>
      </w:r>
      <w:r w:rsidRPr="0031675F">
        <w:rPr>
          <w:spacing w:val="63"/>
        </w:rPr>
        <w:t xml:space="preserve"> </w:t>
      </w:r>
      <w:r w:rsidRPr="0031675F">
        <w:t>small</w:t>
      </w:r>
      <w:r w:rsidRPr="0031675F">
        <w:rPr>
          <w:spacing w:val="-3"/>
        </w:rPr>
        <w:t xml:space="preserve"> </w:t>
      </w:r>
      <w:r w:rsidRPr="0031675F">
        <w:rPr>
          <w:spacing w:val="-1"/>
        </w:rPr>
        <w:t>variations</w:t>
      </w:r>
      <w:r w:rsidRPr="0031675F">
        <w:t xml:space="preserve"> in</w:t>
      </w:r>
      <w:r w:rsidRPr="0031675F">
        <w:rPr>
          <w:spacing w:val="-3"/>
        </w:rPr>
        <w:t xml:space="preserve"> </w:t>
      </w:r>
      <w:r w:rsidRPr="0031675F">
        <w:t>the</w:t>
      </w:r>
      <w:r w:rsidRPr="0031675F">
        <w:rPr>
          <w:spacing w:val="-2"/>
        </w:rPr>
        <w:t xml:space="preserve"> </w:t>
      </w:r>
      <w:r w:rsidRPr="0031675F">
        <w:rPr>
          <w:spacing w:val="-1"/>
        </w:rPr>
        <w:t>volume</w:t>
      </w:r>
      <w:r w:rsidRPr="0031675F">
        <w:t xml:space="preserve"> </w:t>
      </w:r>
      <w:r w:rsidRPr="0031675F">
        <w:rPr>
          <w:spacing w:val="-1"/>
        </w:rPr>
        <w:t>filtered</w:t>
      </w:r>
      <w:r w:rsidRPr="0031675F">
        <w:rPr>
          <w:spacing w:val="-3"/>
        </w:rPr>
        <w:t xml:space="preserve"> </w:t>
      </w:r>
      <w:r w:rsidRPr="0031675F">
        <w:t>and</w:t>
      </w:r>
      <w:r w:rsidRPr="0031675F">
        <w:rPr>
          <w:spacing w:val="-2"/>
        </w:rPr>
        <w:t xml:space="preserve"> </w:t>
      </w:r>
      <w:r w:rsidRPr="0031675F">
        <w:rPr>
          <w:spacing w:val="-1"/>
        </w:rPr>
        <w:t>degree</w:t>
      </w:r>
      <w:r w:rsidRPr="0031675F">
        <w:t xml:space="preserve"> of</w:t>
      </w:r>
      <w:r w:rsidRPr="0031675F">
        <w:rPr>
          <w:spacing w:val="-3"/>
        </w:rPr>
        <w:t xml:space="preserve"> </w:t>
      </w:r>
      <w:r w:rsidRPr="0031675F">
        <w:rPr>
          <w:spacing w:val="-1"/>
        </w:rPr>
        <w:t xml:space="preserve">homogeneity within </w:t>
      </w:r>
      <w:r w:rsidRPr="0031675F">
        <w:rPr>
          <w:spacing w:val="-2"/>
        </w:rPr>
        <w:t>the</w:t>
      </w:r>
      <w:r w:rsidRPr="0031675F">
        <w:t xml:space="preserve"> </w:t>
      </w:r>
      <w:r w:rsidRPr="0031675F">
        <w:rPr>
          <w:spacing w:val="-1"/>
        </w:rPr>
        <w:t>sample.</w:t>
      </w:r>
      <w:bookmarkStart w:id="730" w:name="_TOC_250003"/>
      <w:r w:rsidRPr="0031675F">
        <w:rPr>
          <w:b/>
          <w:sz w:val="24"/>
        </w:rPr>
        <w:br w:type="page"/>
      </w:r>
    </w:p>
    <w:p w14:paraId="7FAFC7D3" w14:textId="77777777" w:rsidR="0031675F" w:rsidRPr="0031675F" w:rsidRDefault="0031675F" w:rsidP="0031675F">
      <w:pPr>
        <w:widowControl w:val="0"/>
        <w:numPr>
          <w:ilvl w:val="1"/>
          <w:numId w:val="77"/>
        </w:numPr>
        <w:tabs>
          <w:tab w:val="left" w:pos="839"/>
        </w:tabs>
        <w:spacing w:before="0" w:after="0" w:line="240" w:lineRule="auto"/>
        <w:ind w:left="838"/>
        <w:jc w:val="both"/>
        <w:rPr>
          <w:rFonts w:eastAsia="Arial" w:cs="Arial"/>
          <w:sz w:val="24"/>
          <w:szCs w:val="24"/>
        </w:rPr>
      </w:pPr>
      <w:r w:rsidRPr="0031675F">
        <w:rPr>
          <w:b/>
          <w:sz w:val="24"/>
        </w:rPr>
        <w:t>Quality</w:t>
      </w:r>
      <w:r w:rsidRPr="0031675F">
        <w:rPr>
          <w:b/>
          <w:spacing w:val="-7"/>
          <w:sz w:val="24"/>
        </w:rPr>
        <w:t xml:space="preserve"> </w:t>
      </w:r>
      <w:r w:rsidRPr="0031675F">
        <w:rPr>
          <w:b/>
          <w:spacing w:val="-1"/>
          <w:sz w:val="24"/>
        </w:rPr>
        <w:t>control</w:t>
      </w:r>
      <w:bookmarkEnd w:id="730"/>
    </w:p>
    <w:p w14:paraId="1591D82D" w14:textId="77777777" w:rsidR="0031675F" w:rsidRPr="0031675F" w:rsidRDefault="0031675F" w:rsidP="0031675F">
      <w:pPr>
        <w:spacing w:before="20" w:after="120" w:line="538" w:lineRule="exact"/>
        <w:ind w:right="2040"/>
      </w:pPr>
      <w:r w:rsidRPr="0031675F">
        <w:t xml:space="preserve">QAQC </w:t>
      </w:r>
      <w:r w:rsidRPr="0031675F">
        <w:rPr>
          <w:spacing w:val="-1"/>
        </w:rPr>
        <w:t>tests</w:t>
      </w:r>
      <w:r w:rsidRPr="0031675F">
        <w:rPr>
          <w:spacing w:val="-3"/>
        </w:rPr>
        <w:t xml:space="preserve"> </w:t>
      </w:r>
      <w:r w:rsidRPr="0031675F">
        <w:rPr>
          <w:spacing w:val="-1"/>
        </w:rPr>
        <w:t>undertaken</w:t>
      </w:r>
      <w:r w:rsidRPr="0031675F">
        <w:t xml:space="preserve"> </w:t>
      </w:r>
      <w:r w:rsidRPr="0031675F">
        <w:rPr>
          <w:spacing w:val="-2"/>
        </w:rPr>
        <w:t>and</w:t>
      </w:r>
      <w:r w:rsidRPr="0031675F">
        <w:rPr>
          <w:spacing w:val="-1"/>
        </w:rPr>
        <w:t xml:space="preserve"> reporting as</w:t>
      </w:r>
      <w:r w:rsidRPr="0031675F">
        <w:rPr>
          <w:spacing w:val="1"/>
        </w:rPr>
        <w:t xml:space="preserve"> </w:t>
      </w:r>
      <w:r w:rsidRPr="0031675F">
        <w:rPr>
          <w:spacing w:val="-1"/>
        </w:rPr>
        <w:t>part</w:t>
      </w:r>
      <w:r w:rsidRPr="0031675F">
        <w:rPr>
          <w:spacing w:val="-2"/>
        </w:rPr>
        <w:t xml:space="preserve"> </w:t>
      </w:r>
      <w:r w:rsidRPr="0031675F">
        <w:t>of</w:t>
      </w:r>
      <w:r w:rsidRPr="0031675F">
        <w:rPr>
          <w:spacing w:val="-2"/>
        </w:rPr>
        <w:t xml:space="preserve"> </w:t>
      </w:r>
      <w:r w:rsidRPr="0031675F">
        <w:t xml:space="preserve">the </w:t>
      </w:r>
      <w:r w:rsidRPr="0031675F">
        <w:rPr>
          <w:spacing w:val="-1"/>
        </w:rPr>
        <w:t>data</w:t>
      </w:r>
      <w:r w:rsidRPr="0031675F">
        <w:t xml:space="preserve"> </w:t>
      </w:r>
      <w:r w:rsidRPr="0031675F">
        <w:rPr>
          <w:spacing w:val="-1"/>
        </w:rPr>
        <w:t>reporting include:</w:t>
      </w:r>
      <w:r w:rsidRPr="0031675F">
        <w:rPr>
          <w:spacing w:val="65"/>
        </w:rPr>
        <w:t xml:space="preserve"> </w:t>
      </w: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u w:val="single" w:color="000000"/>
        </w:rPr>
        <w:t>the</w:t>
      </w:r>
      <w:r w:rsidRPr="0031675F">
        <w:rPr>
          <w:spacing w:val="-1"/>
          <w:u w:val="single" w:color="000000"/>
        </w:rPr>
        <w:t xml:space="preserve"> limit</w:t>
      </w:r>
      <w:r w:rsidRPr="0031675F">
        <w:rPr>
          <w:spacing w:val="-3"/>
          <w:u w:val="single" w:color="000000"/>
        </w:rPr>
        <w:t xml:space="preserve"> </w:t>
      </w:r>
      <w:r w:rsidRPr="0031675F">
        <w:rPr>
          <w:u w:val="single" w:color="000000"/>
        </w:rPr>
        <w:t>of</w:t>
      </w:r>
      <w:r w:rsidRPr="0031675F">
        <w:rPr>
          <w:spacing w:val="-3"/>
          <w:u w:val="single" w:color="000000"/>
        </w:rPr>
        <w:t xml:space="preserve"> </w:t>
      </w:r>
      <w:r w:rsidRPr="0031675F">
        <w:rPr>
          <w:spacing w:val="-1"/>
          <w:u w:val="single" w:color="000000"/>
        </w:rPr>
        <w:t>detection (LOD)</w:t>
      </w:r>
    </w:p>
    <w:p w14:paraId="171EE6D4" w14:textId="77777777" w:rsidR="0031675F" w:rsidRPr="0031675F" w:rsidRDefault="0031675F" w:rsidP="0031675F">
      <w:pPr>
        <w:spacing w:line="220" w:lineRule="exact"/>
        <w:ind w:left="118"/>
        <w:jc w:val="both"/>
        <w:rPr>
          <w:rFonts w:cs="Calibri"/>
        </w:rPr>
      </w:pPr>
      <w:r w:rsidRPr="0031675F">
        <w:rPr>
          <w:i/>
          <w:spacing w:val="-1"/>
        </w:rPr>
        <w:t>NB:</w:t>
      </w:r>
      <w:r w:rsidRPr="0031675F">
        <w:rPr>
          <w:i/>
          <w:spacing w:val="38"/>
        </w:rPr>
        <w:t xml:space="preserve"> </w:t>
      </w:r>
      <w:r w:rsidRPr="0031675F">
        <w:rPr>
          <w:i/>
        </w:rPr>
        <w:t>the</w:t>
      </w:r>
      <w:r w:rsidRPr="0031675F">
        <w:rPr>
          <w:i/>
          <w:spacing w:val="38"/>
        </w:rPr>
        <w:t xml:space="preserve"> </w:t>
      </w:r>
      <w:r w:rsidRPr="0031675F">
        <w:rPr>
          <w:i/>
          <w:spacing w:val="-1"/>
        </w:rPr>
        <w:t>Limit</w:t>
      </w:r>
      <w:r w:rsidRPr="0031675F">
        <w:rPr>
          <w:i/>
          <w:spacing w:val="39"/>
        </w:rPr>
        <w:t xml:space="preserve"> </w:t>
      </w:r>
      <w:r w:rsidRPr="0031675F">
        <w:rPr>
          <w:i/>
          <w:spacing w:val="-1"/>
        </w:rPr>
        <w:t>of</w:t>
      </w:r>
      <w:r w:rsidRPr="0031675F">
        <w:rPr>
          <w:i/>
          <w:spacing w:val="35"/>
        </w:rPr>
        <w:t xml:space="preserve"> </w:t>
      </w:r>
      <w:r w:rsidRPr="0031675F">
        <w:rPr>
          <w:i/>
          <w:spacing w:val="-1"/>
        </w:rPr>
        <w:t>Detection</w:t>
      </w:r>
      <w:r w:rsidRPr="0031675F">
        <w:rPr>
          <w:i/>
          <w:spacing w:val="38"/>
        </w:rPr>
        <w:t xml:space="preserve"> </w:t>
      </w:r>
      <w:r w:rsidRPr="0031675F">
        <w:rPr>
          <w:i/>
          <w:spacing w:val="-1"/>
        </w:rPr>
        <w:t>(LOD)</w:t>
      </w:r>
      <w:r w:rsidRPr="0031675F">
        <w:rPr>
          <w:i/>
          <w:spacing w:val="39"/>
        </w:rPr>
        <w:t xml:space="preserve"> </w:t>
      </w:r>
      <w:r w:rsidRPr="0031675F">
        <w:rPr>
          <w:i/>
          <w:spacing w:val="-1"/>
        </w:rPr>
        <w:t>or</w:t>
      </w:r>
      <w:r w:rsidRPr="0031675F">
        <w:rPr>
          <w:i/>
          <w:spacing w:val="39"/>
        </w:rPr>
        <w:t xml:space="preserve"> </w:t>
      </w:r>
      <w:r w:rsidRPr="0031675F">
        <w:rPr>
          <w:i/>
          <w:spacing w:val="-1"/>
        </w:rPr>
        <w:t>detection</w:t>
      </w:r>
      <w:r w:rsidRPr="0031675F">
        <w:rPr>
          <w:i/>
          <w:spacing w:val="36"/>
        </w:rPr>
        <w:t xml:space="preserve"> </w:t>
      </w:r>
      <w:r w:rsidRPr="0031675F">
        <w:rPr>
          <w:i/>
          <w:spacing w:val="-1"/>
        </w:rPr>
        <w:t>limit,</w:t>
      </w:r>
      <w:r w:rsidRPr="0031675F">
        <w:rPr>
          <w:i/>
          <w:spacing w:val="36"/>
        </w:rPr>
        <w:t xml:space="preserve"> </w:t>
      </w:r>
      <w:r w:rsidRPr="0031675F">
        <w:rPr>
          <w:i/>
        </w:rPr>
        <w:t>is</w:t>
      </w:r>
      <w:r w:rsidRPr="0031675F">
        <w:rPr>
          <w:i/>
          <w:spacing w:val="39"/>
        </w:rPr>
        <w:t xml:space="preserve"> </w:t>
      </w:r>
      <w:r w:rsidRPr="0031675F">
        <w:rPr>
          <w:i/>
        </w:rPr>
        <w:t>the</w:t>
      </w:r>
      <w:r w:rsidRPr="0031675F">
        <w:rPr>
          <w:i/>
          <w:spacing w:val="37"/>
        </w:rPr>
        <w:t xml:space="preserve"> </w:t>
      </w:r>
      <w:r w:rsidRPr="0031675F">
        <w:rPr>
          <w:i/>
          <w:spacing w:val="-1"/>
        </w:rPr>
        <w:t>lowest</w:t>
      </w:r>
      <w:r w:rsidRPr="0031675F">
        <w:rPr>
          <w:i/>
          <w:spacing w:val="39"/>
        </w:rPr>
        <w:t xml:space="preserve"> </w:t>
      </w:r>
      <w:r w:rsidRPr="0031675F">
        <w:rPr>
          <w:i/>
          <w:spacing w:val="-1"/>
        </w:rPr>
        <w:t>concentration</w:t>
      </w:r>
      <w:r w:rsidRPr="0031675F">
        <w:rPr>
          <w:i/>
          <w:spacing w:val="38"/>
        </w:rPr>
        <w:t xml:space="preserve"> </w:t>
      </w:r>
      <w:r w:rsidRPr="0031675F">
        <w:rPr>
          <w:i/>
        </w:rPr>
        <w:t>level</w:t>
      </w:r>
      <w:r w:rsidRPr="0031675F">
        <w:rPr>
          <w:i/>
          <w:spacing w:val="38"/>
        </w:rPr>
        <w:t xml:space="preserve"> </w:t>
      </w:r>
      <w:r w:rsidRPr="0031675F">
        <w:rPr>
          <w:i/>
          <w:spacing w:val="-1"/>
        </w:rPr>
        <w:t>that</w:t>
      </w:r>
      <w:r w:rsidRPr="0031675F">
        <w:rPr>
          <w:i/>
          <w:spacing w:val="38"/>
        </w:rPr>
        <w:t xml:space="preserve"> </w:t>
      </w:r>
      <w:r w:rsidRPr="0031675F">
        <w:rPr>
          <w:i/>
          <w:spacing w:val="-1"/>
        </w:rPr>
        <w:t>can</w:t>
      </w:r>
      <w:r w:rsidRPr="0031675F">
        <w:rPr>
          <w:i/>
          <w:spacing w:val="38"/>
        </w:rPr>
        <w:t xml:space="preserve"> </w:t>
      </w:r>
      <w:r w:rsidRPr="0031675F">
        <w:rPr>
          <w:i/>
          <w:spacing w:val="-1"/>
        </w:rPr>
        <w:t>be</w:t>
      </w:r>
    </w:p>
    <w:p w14:paraId="178A1A80" w14:textId="77777777" w:rsidR="0031675F" w:rsidRPr="0031675F" w:rsidRDefault="0031675F" w:rsidP="0031675F">
      <w:pPr>
        <w:ind w:left="118"/>
        <w:jc w:val="both"/>
        <w:rPr>
          <w:rFonts w:cs="Calibri"/>
        </w:rPr>
      </w:pPr>
      <w:r w:rsidRPr="0031675F">
        <w:rPr>
          <w:i/>
          <w:spacing w:val="-1"/>
        </w:rPr>
        <w:t xml:space="preserve">determined </w:t>
      </w:r>
      <w:r w:rsidRPr="0031675F">
        <w:rPr>
          <w:i/>
        </w:rPr>
        <w:t xml:space="preserve">to </w:t>
      </w:r>
      <w:r w:rsidRPr="0031675F">
        <w:rPr>
          <w:i/>
          <w:spacing w:val="-1"/>
        </w:rPr>
        <w:t>be</w:t>
      </w:r>
      <w:r w:rsidRPr="0031675F">
        <w:rPr>
          <w:i/>
          <w:spacing w:val="-3"/>
        </w:rPr>
        <w:t xml:space="preserve"> </w:t>
      </w:r>
      <w:r w:rsidRPr="0031675F">
        <w:rPr>
          <w:i/>
          <w:spacing w:val="-1"/>
        </w:rPr>
        <w:t>statistically different</w:t>
      </w:r>
      <w:r w:rsidRPr="0031675F">
        <w:rPr>
          <w:i/>
          <w:spacing w:val="-3"/>
        </w:rPr>
        <w:t xml:space="preserve"> </w:t>
      </w:r>
      <w:r w:rsidRPr="0031675F">
        <w:rPr>
          <w:i/>
          <w:spacing w:val="-1"/>
        </w:rPr>
        <w:t>from</w:t>
      </w:r>
      <w:r w:rsidRPr="0031675F">
        <w:rPr>
          <w:i/>
          <w:spacing w:val="1"/>
        </w:rPr>
        <w:t xml:space="preserve"> </w:t>
      </w:r>
      <w:r w:rsidRPr="0031675F">
        <w:rPr>
          <w:i/>
        </w:rPr>
        <w:t>a</w:t>
      </w:r>
      <w:r w:rsidRPr="0031675F">
        <w:rPr>
          <w:i/>
          <w:spacing w:val="-1"/>
        </w:rPr>
        <w:t xml:space="preserve"> blank</w:t>
      </w:r>
      <w:r w:rsidRPr="0031675F">
        <w:rPr>
          <w:i/>
        </w:rPr>
        <w:t xml:space="preserve"> </w:t>
      </w:r>
      <w:r w:rsidRPr="0031675F">
        <w:rPr>
          <w:i/>
          <w:spacing w:val="-2"/>
        </w:rPr>
        <w:t>(99%</w:t>
      </w:r>
      <w:r w:rsidRPr="0031675F">
        <w:rPr>
          <w:i/>
          <w:spacing w:val="1"/>
        </w:rPr>
        <w:t xml:space="preserve"> </w:t>
      </w:r>
      <w:r w:rsidRPr="0031675F">
        <w:rPr>
          <w:i/>
          <w:spacing w:val="-1"/>
        </w:rPr>
        <w:t>confidence).</w:t>
      </w:r>
    </w:p>
    <w:p w14:paraId="28275EEB" w14:textId="77777777" w:rsidR="0031675F" w:rsidRPr="0031675F" w:rsidRDefault="0031675F" w:rsidP="0031675F">
      <w:pPr>
        <w:widowControl w:val="0"/>
        <w:numPr>
          <w:ilvl w:val="3"/>
          <w:numId w:val="77"/>
        </w:numPr>
        <w:tabs>
          <w:tab w:val="left" w:pos="839"/>
        </w:tabs>
        <w:spacing w:before="0" w:after="0" w:line="240" w:lineRule="auto"/>
      </w:pPr>
      <w:r w:rsidRPr="0031675F">
        <w:rPr>
          <w:spacing w:val="-1"/>
        </w:rPr>
        <w:t>Minimum</w:t>
      </w:r>
      <w:r w:rsidRPr="0031675F">
        <w:rPr>
          <w:spacing w:val="1"/>
        </w:rPr>
        <w:t xml:space="preserve"> </w:t>
      </w:r>
      <w:r w:rsidRPr="0031675F">
        <w:rPr>
          <w:spacing w:val="-1"/>
        </w:rPr>
        <w:t>detection limits</w:t>
      </w:r>
      <w:r w:rsidRPr="0031675F">
        <w:rPr>
          <w:spacing w:val="-5"/>
        </w:rPr>
        <w:t xml:space="preserve"> </w:t>
      </w:r>
      <w:r w:rsidRPr="0031675F">
        <w:t>were</w:t>
      </w:r>
      <w:r w:rsidRPr="0031675F">
        <w:rPr>
          <w:spacing w:val="-2"/>
        </w:rPr>
        <w:t xml:space="preserve"> </w:t>
      </w:r>
      <w:r w:rsidRPr="0031675F">
        <w:rPr>
          <w:spacing w:val="-1"/>
        </w:rPr>
        <w:t>calculated</w:t>
      </w:r>
      <w:r w:rsidRPr="0031675F">
        <w:t xml:space="preserve"> for</w:t>
      </w:r>
      <w:r w:rsidRPr="0031675F">
        <w:rPr>
          <w:spacing w:val="-3"/>
        </w:rPr>
        <w:t xml:space="preserve"> </w:t>
      </w:r>
      <w:r w:rsidRPr="0031675F">
        <w:rPr>
          <w:spacing w:val="-1"/>
        </w:rPr>
        <w:t>this</w:t>
      </w:r>
      <w:r w:rsidRPr="0031675F">
        <w:rPr>
          <w:spacing w:val="-3"/>
        </w:rPr>
        <w:t xml:space="preserve"> </w:t>
      </w:r>
      <w:r w:rsidRPr="0031675F">
        <w:rPr>
          <w:spacing w:val="-1"/>
        </w:rPr>
        <w:t xml:space="preserve">method using repetition </w:t>
      </w:r>
      <w:r w:rsidRPr="0031675F">
        <w:t>of</w:t>
      </w:r>
      <w:r w:rsidRPr="0031675F">
        <w:rPr>
          <w:spacing w:val="-3"/>
        </w:rPr>
        <w:t xml:space="preserve"> </w:t>
      </w:r>
      <w:r w:rsidRPr="0031675F">
        <w:rPr>
          <w:spacing w:val="-1"/>
        </w:rPr>
        <w:t>blanks.</w:t>
      </w:r>
    </w:p>
    <w:p w14:paraId="09711C9D" w14:textId="77777777" w:rsidR="0031675F" w:rsidRPr="0031675F" w:rsidRDefault="0031675F" w:rsidP="0031675F">
      <w:pPr>
        <w:rPr>
          <w:rFonts w:cs="Calibri"/>
        </w:rPr>
      </w:pPr>
    </w:p>
    <w:p w14:paraId="53637233" w14:textId="77777777" w:rsidR="0031675F" w:rsidRPr="0031675F" w:rsidRDefault="0031675F" w:rsidP="0031675F">
      <w:pPr>
        <w:spacing w:after="120"/>
        <w:jc w:val="both"/>
      </w:pPr>
      <w:r w:rsidRPr="0031675F">
        <w:rPr>
          <w:spacing w:val="-1"/>
          <w:u w:val="single" w:color="000000"/>
        </w:rPr>
        <w:t>Assessment</w:t>
      </w:r>
      <w:r w:rsidRPr="0031675F">
        <w:rPr>
          <w:spacing w:val="-3"/>
          <w:u w:val="single" w:color="000000"/>
        </w:rPr>
        <w:t xml:space="preserve"> </w:t>
      </w:r>
      <w:r w:rsidRPr="0031675F">
        <w:rPr>
          <w:u w:val="single" w:color="000000"/>
        </w:rPr>
        <w:t>of</w:t>
      </w:r>
      <w:r w:rsidRPr="0031675F">
        <w:rPr>
          <w:spacing w:val="-1"/>
          <w:u w:val="single" w:color="000000"/>
        </w:rPr>
        <w:t xml:space="preserve"> precision </w:t>
      </w:r>
      <w:r w:rsidRPr="0031675F">
        <w:rPr>
          <w:u w:val="single" w:color="000000"/>
        </w:rPr>
        <w:t>of</w:t>
      </w:r>
      <w:r w:rsidRPr="0031675F">
        <w:rPr>
          <w:spacing w:val="-5"/>
          <w:u w:val="single" w:color="000000"/>
        </w:rPr>
        <w:t xml:space="preserve"> </w:t>
      </w:r>
      <w:r w:rsidRPr="0031675F">
        <w:rPr>
          <w:u w:val="single" w:color="000000"/>
        </w:rPr>
        <w:t>the</w:t>
      </w:r>
      <w:r w:rsidRPr="0031675F">
        <w:rPr>
          <w:spacing w:val="-1"/>
          <w:u w:val="single" w:color="000000"/>
        </w:rPr>
        <w:t xml:space="preserve"> analysis</w:t>
      </w:r>
    </w:p>
    <w:p w14:paraId="2920ED17" w14:textId="77777777" w:rsidR="0031675F" w:rsidRPr="0031675F" w:rsidRDefault="0031675F" w:rsidP="0031675F">
      <w:pPr>
        <w:spacing w:before="2" w:line="238" w:lineRule="auto"/>
        <w:ind w:left="118" w:right="119"/>
        <w:rPr>
          <w:rFonts w:cs="Calibri"/>
        </w:rPr>
      </w:pPr>
      <w:r w:rsidRPr="0031675F">
        <w:rPr>
          <w:i/>
          <w:spacing w:val="-1"/>
        </w:rPr>
        <w:t>NB:</w:t>
      </w:r>
      <w:r w:rsidRPr="0031675F">
        <w:rPr>
          <w:i/>
          <w:spacing w:val="3"/>
        </w:rPr>
        <w:t xml:space="preserve"> </w:t>
      </w:r>
      <w:r w:rsidRPr="0031675F">
        <w:rPr>
          <w:i/>
          <w:spacing w:val="-1"/>
        </w:rPr>
        <w:t>This</w:t>
      </w:r>
      <w:r w:rsidRPr="0031675F">
        <w:rPr>
          <w:i/>
          <w:spacing w:val="3"/>
        </w:rPr>
        <w:t xml:space="preserve"> </w:t>
      </w:r>
      <w:r w:rsidRPr="0031675F">
        <w:rPr>
          <w:i/>
        </w:rPr>
        <w:t>is</w:t>
      </w:r>
      <w:r w:rsidRPr="0031675F">
        <w:rPr>
          <w:i/>
          <w:spacing w:val="2"/>
        </w:rPr>
        <w:t xml:space="preserve"> </w:t>
      </w:r>
      <w:r w:rsidRPr="0031675F">
        <w:rPr>
          <w:i/>
          <w:spacing w:val="-1"/>
        </w:rPr>
        <w:t>generally</w:t>
      </w:r>
      <w:r w:rsidRPr="0031675F">
        <w:rPr>
          <w:i/>
          <w:spacing w:val="2"/>
        </w:rPr>
        <w:t xml:space="preserve"> </w:t>
      </w:r>
      <w:r w:rsidRPr="0031675F">
        <w:rPr>
          <w:i/>
          <w:spacing w:val="-1"/>
        </w:rPr>
        <w:t>achieved</w:t>
      </w:r>
      <w:r w:rsidRPr="0031675F">
        <w:rPr>
          <w:i/>
          <w:spacing w:val="1"/>
        </w:rPr>
        <w:t xml:space="preserve"> </w:t>
      </w:r>
      <w:r w:rsidRPr="0031675F">
        <w:rPr>
          <w:i/>
          <w:spacing w:val="-1"/>
        </w:rPr>
        <w:t>by</w:t>
      </w:r>
      <w:r w:rsidRPr="0031675F">
        <w:rPr>
          <w:i/>
          <w:spacing w:val="2"/>
        </w:rPr>
        <w:t xml:space="preserve"> </w:t>
      </w:r>
      <w:r w:rsidRPr="0031675F">
        <w:rPr>
          <w:i/>
        </w:rPr>
        <w:t>the</w:t>
      </w:r>
      <w:r w:rsidRPr="0031675F">
        <w:rPr>
          <w:i/>
          <w:spacing w:val="2"/>
        </w:rPr>
        <w:t xml:space="preserve"> </w:t>
      </w:r>
      <w:r w:rsidRPr="0031675F">
        <w:rPr>
          <w:i/>
          <w:spacing w:val="-1"/>
        </w:rPr>
        <w:t>repeated</w:t>
      </w:r>
      <w:r w:rsidRPr="0031675F">
        <w:rPr>
          <w:i/>
          <w:spacing w:val="2"/>
        </w:rPr>
        <w:t xml:space="preserve"> </w:t>
      </w:r>
      <w:r w:rsidRPr="0031675F">
        <w:rPr>
          <w:i/>
          <w:spacing w:val="-1"/>
        </w:rPr>
        <w:t>analyses</w:t>
      </w:r>
      <w:r w:rsidRPr="0031675F">
        <w:rPr>
          <w:i/>
          <w:spacing w:val="3"/>
        </w:rPr>
        <w:t xml:space="preserve"> </w:t>
      </w:r>
      <w:r w:rsidRPr="0031675F">
        <w:rPr>
          <w:i/>
          <w:spacing w:val="-1"/>
        </w:rPr>
        <w:t>of</w:t>
      </w:r>
      <w:r w:rsidRPr="0031675F">
        <w:rPr>
          <w:i/>
          <w:spacing w:val="2"/>
        </w:rPr>
        <w:t xml:space="preserve"> </w:t>
      </w:r>
      <w:r w:rsidRPr="0031675F">
        <w:rPr>
          <w:i/>
        </w:rPr>
        <w:t>the</w:t>
      </w:r>
      <w:r w:rsidRPr="0031675F">
        <w:rPr>
          <w:i/>
          <w:spacing w:val="2"/>
        </w:rPr>
        <w:t xml:space="preserve"> </w:t>
      </w:r>
      <w:r w:rsidRPr="0031675F">
        <w:rPr>
          <w:i/>
          <w:spacing w:val="-1"/>
        </w:rPr>
        <w:t>same</w:t>
      </w:r>
      <w:r w:rsidRPr="0031675F">
        <w:rPr>
          <w:i/>
          <w:spacing w:val="3"/>
        </w:rPr>
        <w:t xml:space="preserve"> </w:t>
      </w:r>
      <w:r w:rsidRPr="0031675F">
        <w:rPr>
          <w:i/>
          <w:spacing w:val="-1"/>
        </w:rPr>
        <w:t>concentration</w:t>
      </w:r>
      <w:r w:rsidRPr="0031675F">
        <w:rPr>
          <w:i/>
          <w:spacing w:val="2"/>
        </w:rPr>
        <w:t xml:space="preserve"> </w:t>
      </w:r>
      <w:r w:rsidRPr="0031675F">
        <w:rPr>
          <w:i/>
          <w:spacing w:val="-1"/>
        </w:rPr>
        <w:t>of</w:t>
      </w:r>
      <w:r w:rsidRPr="0031675F">
        <w:rPr>
          <w:i/>
          <w:spacing w:val="2"/>
        </w:rPr>
        <w:t xml:space="preserve"> </w:t>
      </w:r>
      <w:r w:rsidRPr="0031675F">
        <w:rPr>
          <w:i/>
          <w:spacing w:val="-1"/>
        </w:rPr>
        <w:t>analyte</w:t>
      </w:r>
      <w:r w:rsidRPr="0031675F">
        <w:rPr>
          <w:i/>
          <w:spacing w:val="3"/>
        </w:rPr>
        <w:t xml:space="preserve"> </w:t>
      </w:r>
      <w:r w:rsidRPr="0031675F">
        <w:rPr>
          <w:i/>
        </w:rPr>
        <w:t>to</w:t>
      </w:r>
      <w:r w:rsidRPr="0031675F">
        <w:rPr>
          <w:i/>
          <w:spacing w:val="2"/>
        </w:rPr>
        <w:t xml:space="preserve"> </w:t>
      </w:r>
      <w:r w:rsidRPr="0031675F">
        <w:rPr>
          <w:i/>
          <w:spacing w:val="-1"/>
        </w:rPr>
        <w:t>check</w:t>
      </w:r>
      <w:r w:rsidRPr="0031675F">
        <w:rPr>
          <w:i/>
          <w:spacing w:val="61"/>
        </w:rPr>
        <w:t xml:space="preserve"> </w:t>
      </w:r>
      <w:r w:rsidRPr="0031675F">
        <w:rPr>
          <w:i/>
          <w:spacing w:val="-1"/>
        </w:rPr>
        <w:t>for</w:t>
      </w:r>
      <w:r w:rsidRPr="0031675F">
        <w:rPr>
          <w:i/>
        </w:rPr>
        <w:t xml:space="preserve"> </w:t>
      </w:r>
      <w:r w:rsidRPr="0031675F">
        <w:rPr>
          <w:i/>
          <w:spacing w:val="-1"/>
        </w:rPr>
        <w:t>reproducibility.</w:t>
      </w:r>
    </w:p>
    <w:p w14:paraId="6F3447AC" w14:textId="77777777" w:rsidR="0031675F" w:rsidRPr="0031675F" w:rsidRDefault="0031675F" w:rsidP="0031675F">
      <w:pPr>
        <w:widowControl w:val="0"/>
        <w:numPr>
          <w:ilvl w:val="3"/>
          <w:numId w:val="77"/>
        </w:numPr>
        <w:tabs>
          <w:tab w:val="left" w:pos="839"/>
        </w:tabs>
        <w:spacing w:before="0" w:after="0" w:line="240" w:lineRule="auto"/>
      </w:pPr>
      <w:r w:rsidRPr="0031675F">
        <w:rPr>
          <w:spacing w:val="-1"/>
        </w:rPr>
        <w:t>Repeated</w:t>
      </w:r>
      <w:r w:rsidRPr="0031675F">
        <w:t xml:space="preserve"> </w:t>
      </w:r>
      <w:r w:rsidRPr="0031675F">
        <w:rPr>
          <w:spacing w:val="-1"/>
        </w:rPr>
        <w:t>analysis</w:t>
      </w:r>
      <w:r w:rsidRPr="0031675F">
        <w:rPr>
          <w:spacing w:val="-3"/>
        </w:rPr>
        <w:t xml:space="preserve"> </w:t>
      </w:r>
      <w:r w:rsidRPr="0031675F">
        <w:t>of</w:t>
      </w:r>
      <w:r w:rsidRPr="0031675F">
        <w:rPr>
          <w:spacing w:val="-3"/>
        </w:rPr>
        <w:t xml:space="preserve"> </w:t>
      </w:r>
      <w:r w:rsidRPr="0031675F">
        <w:rPr>
          <w:spacing w:val="-1"/>
        </w:rPr>
        <w:t>replicate</w:t>
      </w:r>
      <w:r w:rsidRPr="0031675F">
        <w:t xml:space="preserve"> </w:t>
      </w:r>
      <w:r w:rsidRPr="0031675F">
        <w:rPr>
          <w:spacing w:val="-1"/>
        </w:rPr>
        <w:t>samples</w:t>
      </w:r>
    </w:p>
    <w:p w14:paraId="43AE73CA" w14:textId="77777777" w:rsidR="0031675F" w:rsidRPr="0031675F" w:rsidRDefault="0031675F" w:rsidP="0031675F">
      <w:pPr>
        <w:rPr>
          <w:rFonts w:cs="Calibri"/>
        </w:rPr>
      </w:pPr>
    </w:p>
    <w:p w14:paraId="169CF237" w14:textId="77777777" w:rsidR="0031675F" w:rsidRPr="0031675F" w:rsidRDefault="0031675F" w:rsidP="0031675F">
      <w:pPr>
        <w:spacing w:after="120"/>
        <w:jc w:val="both"/>
      </w:pPr>
      <w:r w:rsidRPr="0031675F">
        <w:rPr>
          <w:spacing w:val="-1"/>
          <w:u w:val="single" w:color="000000"/>
        </w:rPr>
        <w:t>Procedural blanks:</w:t>
      </w:r>
    </w:p>
    <w:p w14:paraId="1E04D5B0" w14:textId="77777777" w:rsidR="0031675F" w:rsidRPr="0031675F" w:rsidRDefault="0031675F" w:rsidP="0031675F">
      <w:pPr>
        <w:widowControl w:val="0"/>
        <w:numPr>
          <w:ilvl w:val="3"/>
          <w:numId w:val="77"/>
        </w:numPr>
        <w:tabs>
          <w:tab w:val="left" w:pos="839"/>
        </w:tabs>
        <w:spacing w:before="0" w:after="0" w:line="240" w:lineRule="auto"/>
        <w:ind w:right="108"/>
        <w:jc w:val="both"/>
      </w:pPr>
      <w:r w:rsidRPr="0031675F">
        <w:t>Wet</w:t>
      </w:r>
      <w:r w:rsidRPr="0031675F">
        <w:rPr>
          <w:spacing w:val="31"/>
        </w:rPr>
        <w:t xml:space="preserve"> </w:t>
      </w:r>
      <w:r w:rsidRPr="0031675F">
        <w:rPr>
          <w:spacing w:val="-1"/>
        </w:rPr>
        <w:t>filter</w:t>
      </w:r>
      <w:r w:rsidRPr="0031675F">
        <w:rPr>
          <w:spacing w:val="32"/>
        </w:rPr>
        <w:t xml:space="preserve"> </w:t>
      </w:r>
      <w:r w:rsidRPr="0031675F">
        <w:rPr>
          <w:spacing w:val="-1"/>
        </w:rPr>
        <w:t>blanks</w:t>
      </w:r>
      <w:r w:rsidRPr="0031675F">
        <w:rPr>
          <w:spacing w:val="32"/>
        </w:rPr>
        <w:t xml:space="preserve"> </w:t>
      </w:r>
      <w:r w:rsidRPr="0031675F">
        <w:rPr>
          <w:spacing w:val="-1"/>
        </w:rPr>
        <w:t>(filter</w:t>
      </w:r>
      <w:r w:rsidRPr="0031675F">
        <w:rPr>
          <w:spacing w:val="31"/>
        </w:rPr>
        <w:t xml:space="preserve"> </w:t>
      </w:r>
      <w:r w:rsidRPr="0031675F">
        <w:rPr>
          <w:spacing w:val="-1"/>
        </w:rPr>
        <w:t>placed</w:t>
      </w:r>
      <w:r w:rsidRPr="0031675F">
        <w:rPr>
          <w:spacing w:val="30"/>
        </w:rPr>
        <w:t xml:space="preserve"> </w:t>
      </w:r>
      <w:r w:rsidRPr="0031675F">
        <w:t>on</w:t>
      </w:r>
      <w:r w:rsidRPr="0031675F">
        <w:rPr>
          <w:spacing w:val="31"/>
        </w:rPr>
        <w:t xml:space="preserve"> </w:t>
      </w:r>
      <w:r w:rsidRPr="0031675F">
        <w:rPr>
          <w:spacing w:val="-1"/>
        </w:rPr>
        <w:t>filtration</w:t>
      </w:r>
      <w:r w:rsidRPr="0031675F">
        <w:rPr>
          <w:spacing w:val="31"/>
        </w:rPr>
        <w:t xml:space="preserve"> </w:t>
      </w:r>
      <w:r w:rsidRPr="0031675F">
        <w:rPr>
          <w:spacing w:val="-1"/>
        </w:rPr>
        <w:t>unit</w:t>
      </w:r>
      <w:r w:rsidRPr="0031675F">
        <w:rPr>
          <w:spacing w:val="30"/>
        </w:rPr>
        <w:t xml:space="preserve"> </w:t>
      </w:r>
      <w:r w:rsidRPr="0031675F">
        <w:rPr>
          <w:spacing w:val="-1"/>
        </w:rPr>
        <w:t>and</w:t>
      </w:r>
      <w:r w:rsidRPr="0031675F">
        <w:rPr>
          <w:spacing w:val="28"/>
        </w:rPr>
        <w:t xml:space="preserve"> </w:t>
      </w:r>
      <w:r w:rsidRPr="0031675F">
        <w:rPr>
          <w:spacing w:val="-1"/>
        </w:rPr>
        <w:t>wetted</w:t>
      </w:r>
      <w:r w:rsidRPr="0031675F">
        <w:rPr>
          <w:spacing w:val="31"/>
        </w:rPr>
        <w:t xml:space="preserve"> </w:t>
      </w:r>
      <w:r w:rsidRPr="0031675F">
        <w:t>with</w:t>
      </w:r>
      <w:r w:rsidRPr="0031675F">
        <w:rPr>
          <w:spacing w:val="30"/>
        </w:rPr>
        <w:t xml:space="preserve"> </w:t>
      </w:r>
      <w:r w:rsidRPr="0031675F">
        <w:rPr>
          <w:spacing w:val="-1"/>
        </w:rPr>
        <w:t>filtered</w:t>
      </w:r>
      <w:r w:rsidRPr="0031675F">
        <w:rPr>
          <w:spacing w:val="31"/>
        </w:rPr>
        <w:t xml:space="preserve"> </w:t>
      </w:r>
      <w:r w:rsidRPr="0031675F">
        <w:rPr>
          <w:spacing w:val="-1"/>
        </w:rPr>
        <w:t>seawater,</w:t>
      </w:r>
      <w:r w:rsidRPr="0031675F">
        <w:rPr>
          <w:spacing w:val="31"/>
        </w:rPr>
        <w:t xml:space="preserve"> </w:t>
      </w:r>
      <w:r w:rsidRPr="0031675F">
        <w:rPr>
          <w:spacing w:val="-1"/>
        </w:rPr>
        <w:t>rinsed</w:t>
      </w:r>
      <w:r w:rsidRPr="0031675F">
        <w:rPr>
          <w:spacing w:val="61"/>
        </w:rPr>
        <w:t xml:space="preserve"> </w:t>
      </w:r>
      <w:r w:rsidRPr="0031675F">
        <w:t>with</w:t>
      </w:r>
      <w:r w:rsidRPr="0031675F">
        <w:rPr>
          <w:spacing w:val="2"/>
        </w:rPr>
        <w:t xml:space="preserve"> </w:t>
      </w:r>
      <w:r w:rsidRPr="0031675F">
        <w:rPr>
          <w:spacing w:val="-1"/>
        </w:rPr>
        <w:t>deionised</w:t>
      </w:r>
      <w:r w:rsidRPr="0031675F">
        <w:rPr>
          <w:spacing w:val="1"/>
        </w:rPr>
        <w:t xml:space="preserve"> </w:t>
      </w:r>
      <w:r w:rsidRPr="0031675F">
        <w:rPr>
          <w:spacing w:val="-1"/>
        </w:rPr>
        <w:t>water,</w:t>
      </w:r>
      <w:r w:rsidRPr="0031675F">
        <w:rPr>
          <w:spacing w:val="2"/>
        </w:rPr>
        <w:t xml:space="preserve"> </w:t>
      </w:r>
      <w:r w:rsidRPr="0031675F">
        <w:t>then</w:t>
      </w:r>
      <w:r w:rsidRPr="0031675F">
        <w:rPr>
          <w:spacing w:val="-1"/>
        </w:rPr>
        <w:t xml:space="preserve"> further</w:t>
      </w:r>
      <w:r w:rsidRPr="0031675F">
        <w:rPr>
          <w:spacing w:val="1"/>
        </w:rPr>
        <w:t xml:space="preserve"> </w:t>
      </w:r>
      <w:r w:rsidRPr="0031675F">
        <w:rPr>
          <w:spacing w:val="-1"/>
        </w:rPr>
        <w:t>handled</w:t>
      </w:r>
      <w:r w:rsidRPr="0031675F">
        <w:rPr>
          <w:spacing w:val="2"/>
        </w:rPr>
        <w:t xml:space="preserve"> </w:t>
      </w:r>
      <w:r w:rsidRPr="0031675F">
        <w:rPr>
          <w:spacing w:val="-1"/>
        </w:rPr>
        <w:t>like</w:t>
      </w:r>
      <w:r w:rsidRPr="0031675F">
        <w:rPr>
          <w:spacing w:val="3"/>
        </w:rPr>
        <w:t xml:space="preserve"> </w:t>
      </w:r>
      <w:r w:rsidRPr="0031675F">
        <w:rPr>
          <w:spacing w:val="-1"/>
        </w:rPr>
        <w:t>samples)</w:t>
      </w:r>
      <w:r w:rsidRPr="0031675F">
        <w:rPr>
          <w:spacing w:val="2"/>
        </w:rPr>
        <w:t xml:space="preserve"> </w:t>
      </w:r>
      <w:r w:rsidRPr="0031675F">
        <w:rPr>
          <w:spacing w:val="-1"/>
        </w:rPr>
        <w:t>were</w:t>
      </w:r>
      <w:r w:rsidRPr="0031675F">
        <w:rPr>
          <w:spacing w:val="3"/>
        </w:rPr>
        <w:t xml:space="preserve"> </w:t>
      </w:r>
      <w:r w:rsidRPr="0031675F">
        <w:rPr>
          <w:spacing w:val="-1"/>
        </w:rPr>
        <w:t>prepared</w:t>
      </w:r>
      <w:r w:rsidRPr="0031675F">
        <w:rPr>
          <w:spacing w:val="2"/>
        </w:rPr>
        <w:t xml:space="preserve"> </w:t>
      </w:r>
      <w:r w:rsidRPr="0031675F">
        <w:rPr>
          <w:spacing w:val="-1"/>
        </w:rPr>
        <w:t>during</w:t>
      </w:r>
      <w:r w:rsidRPr="0031675F">
        <w:rPr>
          <w:spacing w:val="2"/>
        </w:rPr>
        <w:t xml:space="preserve"> </w:t>
      </w:r>
      <w:r w:rsidRPr="0031675F">
        <w:t>the</w:t>
      </w:r>
      <w:r w:rsidRPr="0031675F">
        <w:rPr>
          <w:spacing w:val="3"/>
        </w:rPr>
        <w:t xml:space="preserve"> </w:t>
      </w:r>
      <w:r w:rsidRPr="0031675F">
        <w:t>on-board</w:t>
      </w:r>
      <w:r w:rsidRPr="0031675F">
        <w:rPr>
          <w:spacing w:val="85"/>
        </w:rPr>
        <w:t xml:space="preserve"> </w:t>
      </w:r>
      <w:r w:rsidRPr="0031675F">
        <w:rPr>
          <w:spacing w:val="-1"/>
        </w:rPr>
        <w:t>sample</w:t>
      </w:r>
      <w:r w:rsidRPr="0031675F">
        <w:rPr>
          <w:spacing w:val="22"/>
        </w:rPr>
        <w:t xml:space="preserve"> </w:t>
      </w:r>
      <w:r w:rsidRPr="0031675F">
        <w:rPr>
          <w:spacing w:val="-1"/>
        </w:rPr>
        <w:t>preparation.</w:t>
      </w:r>
      <w:r w:rsidRPr="0031675F">
        <w:rPr>
          <w:spacing w:val="24"/>
        </w:rPr>
        <w:t xml:space="preserve"> </w:t>
      </w:r>
      <w:r w:rsidRPr="0031675F">
        <w:t>An</w:t>
      </w:r>
      <w:r w:rsidRPr="0031675F">
        <w:rPr>
          <w:spacing w:val="23"/>
        </w:rPr>
        <w:t xml:space="preserve"> </w:t>
      </w:r>
      <w:r w:rsidRPr="0031675F">
        <w:rPr>
          <w:spacing w:val="-1"/>
        </w:rPr>
        <w:t>average</w:t>
      </w:r>
      <w:r w:rsidRPr="0031675F">
        <w:rPr>
          <w:spacing w:val="22"/>
        </w:rPr>
        <w:t xml:space="preserve"> </w:t>
      </w:r>
      <w:r w:rsidRPr="0031675F">
        <w:t>of</w:t>
      </w:r>
      <w:r w:rsidRPr="0031675F">
        <w:rPr>
          <w:spacing w:val="24"/>
        </w:rPr>
        <w:t xml:space="preserve"> </w:t>
      </w:r>
      <w:r w:rsidRPr="0031675F">
        <w:rPr>
          <w:spacing w:val="-1"/>
        </w:rPr>
        <w:t>these</w:t>
      </w:r>
      <w:r w:rsidRPr="0031675F">
        <w:rPr>
          <w:spacing w:val="22"/>
        </w:rPr>
        <w:t xml:space="preserve"> </w:t>
      </w:r>
      <w:r w:rsidRPr="0031675F">
        <w:rPr>
          <w:spacing w:val="-1"/>
        </w:rPr>
        <w:t>readings</w:t>
      </w:r>
      <w:r w:rsidRPr="0031675F">
        <w:rPr>
          <w:spacing w:val="24"/>
        </w:rPr>
        <w:t xml:space="preserve"> </w:t>
      </w:r>
      <w:r w:rsidRPr="0031675F">
        <w:t>is</w:t>
      </w:r>
      <w:r w:rsidRPr="0031675F">
        <w:rPr>
          <w:spacing w:val="21"/>
        </w:rPr>
        <w:t xml:space="preserve"> </w:t>
      </w:r>
      <w:r w:rsidRPr="0031675F">
        <w:t>then</w:t>
      </w:r>
      <w:r w:rsidRPr="0031675F">
        <w:rPr>
          <w:spacing w:val="23"/>
        </w:rPr>
        <w:t xml:space="preserve"> </w:t>
      </w:r>
      <w:r w:rsidRPr="0031675F">
        <w:rPr>
          <w:spacing w:val="-1"/>
        </w:rPr>
        <w:t>used</w:t>
      </w:r>
      <w:r w:rsidRPr="0031675F">
        <w:rPr>
          <w:spacing w:val="24"/>
        </w:rPr>
        <w:t xml:space="preserve"> </w:t>
      </w:r>
      <w:r w:rsidRPr="0031675F">
        <w:t>as</w:t>
      </w:r>
      <w:r w:rsidRPr="0031675F">
        <w:rPr>
          <w:spacing w:val="22"/>
        </w:rPr>
        <w:t xml:space="preserve"> </w:t>
      </w:r>
      <w:r w:rsidRPr="0031675F">
        <w:t>the</w:t>
      </w:r>
      <w:r w:rsidRPr="0031675F">
        <w:rPr>
          <w:spacing w:val="22"/>
        </w:rPr>
        <w:t xml:space="preserve"> </w:t>
      </w:r>
      <w:r w:rsidRPr="0031675F">
        <w:rPr>
          <w:spacing w:val="-1"/>
        </w:rPr>
        <w:t>blank</w:t>
      </w:r>
      <w:r w:rsidRPr="0031675F">
        <w:rPr>
          <w:spacing w:val="24"/>
        </w:rPr>
        <w:t xml:space="preserve"> </w:t>
      </w:r>
      <w:r w:rsidRPr="0031675F">
        <w:rPr>
          <w:spacing w:val="-2"/>
        </w:rPr>
        <w:t>reading</w:t>
      </w:r>
      <w:r w:rsidRPr="0031675F">
        <w:rPr>
          <w:spacing w:val="23"/>
        </w:rPr>
        <w:t xml:space="preserve"> </w:t>
      </w:r>
      <w:r w:rsidRPr="0031675F">
        <w:t>in</w:t>
      </w:r>
      <w:r w:rsidRPr="0031675F">
        <w:rPr>
          <w:spacing w:val="23"/>
        </w:rPr>
        <w:t xml:space="preserve"> </w:t>
      </w:r>
      <w:r w:rsidRPr="0031675F">
        <w:t>the</w:t>
      </w:r>
      <w:r w:rsidRPr="0031675F">
        <w:rPr>
          <w:spacing w:val="55"/>
        </w:rPr>
        <w:t xml:space="preserve"> </w:t>
      </w:r>
      <w:r w:rsidRPr="0031675F">
        <w:rPr>
          <w:spacing w:val="-1"/>
        </w:rPr>
        <w:t>calculation</w:t>
      </w:r>
      <w:r w:rsidRPr="0031675F">
        <w:rPr>
          <w:spacing w:val="-3"/>
        </w:rPr>
        <w:t xml:space="preserve"> </w:t>
      </w:r>
      <w:r w:rsidRPr="0031675F">
        <w:t xml:space="preserve">of </w:t>
      </w:r>
      <w:r w:rsidRPr="0031675F">
        <w:rPr>
          <w:spacing w:val="-1"/>
        </w:rPr>
        <w:t>analytical</w:t>
      </w:r>
      <w:r w:rsidRPr="0031675F">
        <w:rPr>
          <w:spacing w:val="-3"/>
        </w:rPr>
        <w:t xml:space="preserve"> </w:t>
      </w:r>
      <w:r w:rsidRPr="0031675F">
        <w:rPr>
          <w:spacing w:val="-1"/>
        </w:rPr>
        <w:t>results.</w:t>
      </w:r>
    </w:p>
    <w:p w14:paraId="3A869322" w14:textId="77777777" w:rsidR="0031675F" w:rsidRPr="0031675F" w:rsidRDefault="0031675F" w:rsidP="0031675F">
      <w:pPr>
        <w:rPr>
          <w:rFonts w:cs="Calibri"/>
        </w:rPr>
      </w:pPr>
    </w:p>
    <w:p w14:paraId="57C76328" w14:textId="77777777" w:rsidR="0031675F" w:rsidRPr="0031675F" w:rsidRDefault="0031675F" w:rsidP="0031675F">
      <w:pPr>
        <w:spacing w:after="120" w:line="267" w:lineRule="exact"/>
        <w:jc w:val="both"/>
      </w:pPr>
      <w:r w:rsidRPr="0031675F">
        <w:rPr>
          <w:spacing w:val="-1"/>
          <w:u w:val="single" w:color="000000"/>
        </w:rPr>
        <w:t>Reproducibility</w:t>
      </w:r>
      <w:r w:rsidRPr="0031675F">
        <w:rPr>
          <w:u w:val="single" w:color="000000"/>
        </w:rPr>
        <w:t xml:space="preserve"> of</w:t>
      </w:r>
      <w:r w:rsidRPr="0031675F">
        <w:rPr>
          <w:spacing w:val="-3"/>
          <w:u w:val="single" w:color="000000"/>
        </w:rPr>
        <w:t xml:space="preserve"> </w:t>
      </w:r>
      <w:r w:rsidRPr="0031675F">
        <w:rPr>
          <w:spacing w:val="-1"/>
          <w:u w:val="single" w:color="000000"/>
        </w:rPr>
        <w:t>duplicate</w:t>
      </w:r>
      <w:r w:rsidRPr="0031675F">
        <w:rPr>
          <w:u w:val="single" w:color="000000"/>
        </w:rPr>
        <w:t xml:space="preserve"> </w:t>
      </w:r>
      <w:r w:rsidRPr="0031675F">
        <w:rPr>
          <w:spacing w:val="-1"/>
          <w:u w:val="single" w:color="000000"/>
        </w:rPr>
        <w:t>analytical units</w:t>
      </w:r>
    </w:p>
    <w:p w14:paraId="1733CD46" w14:textId="77777777" w:rsidR="0031675F" w:rsidRPr="0031675F" w:rsidRDefault="0031675F" w:rsidP="0031675F">
      <w:pPr>
        <w:ind w:left="118" w:right="112"/>
        <w:jc w:val="both"/>
        <w:rPr>
          <w:rFonts w:cs="Calibri"/>
        </w:rPr>
      </w:pPr>
      <w:r w:rsidRPr="0031675F">
        <w:rPr>
          <w:i/>
          <w:spacing w:val="-1"/>
        </w:rPr>
        <w:t>NB:</w:t>
      </w:r>
      <w:r w:rsidRPr="0031675F">
        <w:rPr>
          <w:i/>
          <w:spacing w:val="20"/>
        </w:rPr>
        <w:t xml:space="preserve"> </w:t>
      </w:r>
      <w:r w:rsidRPr="0031675F">
        <w:rPr>
          <w:i/>
          <w:spacing w:val="-1"/>
        </w:rPr>
        <w:t>The</w:t>
      </w:r>
      <w:r w:rsidRPr="0031675F">
        <w:rPr>
          <w:i/>
          <w:spacing w:val="19"/>
        </w:rPr>
        <w:t xml:space="preserve"> </w:t>
      </w:r>
      <w:r w:rsidRPr="0031675F">
        <w:rPr>
          <w:i/>
          <w:spacing w:val="-1"/>
        </w:rPr>
        <w:t>variation</w:t>
      </w:r>
      <w:r w:rsidRPr="0031675F">
        <w:rPr>
          <w:i/>
          <w:spacing w:val="18"/>
        </w:rPr>
        <w:t xml:space="preserve"> </w:t>
      </w:r>
      <w:r w:rsidRPr="0031675F">
        <w:rPr>
          <w:i/>
          <w:spacing w:val="-1"/>
        </w:rPr>
        <w:t>between</w:t>
      </w:r>
      <w:r w:rsidRPr="0031675F">
        <w:rPr>
          <w:i/>
          <w:spacing w:val="17"/>
        </w:rPr>
        <w:t xml:space="preserve"> </w:t>
      </w:r>
      <w:r w:rsidRPr="0031675F">
        <w:rPr>
          <w:i/>
          <w:spacing w:val="-1"/>
        </w:rPr>
        <w:t>results</w:t>
      </w:r>
      <w:r w:rsidRPr="0031675F">
        <w:rPr>
          <w:i/>
          <w:spacing w:val="20"/>
        </w:rPr>
        <w:t xml:space="preserve"> </w:t>
      </w:r>
      <w:r w:rsidRPr="0031675F">
        <w:rPr>
          <w:i/>
          <w:spacing w:val="-1"/>
        </w:rPr>
        <w:t>for</w:t>
      </w:r>
      <w:r w:rsidRPr="0031675F">
        <w:rPr>
          <w:i/>
          <w:spacing w:val="17"/>
        </w:rPr>
        <w:t xml:space="preserve"> </w:t>
      </w:r>
      <w:r w:rsidRPr="0031675F">
        <w:rPr>
          <w:i/>
          <w:spacing w:val="-1"/>
        </w:rPr>
        <w:t>sample</w:t>
      </w:r>
      <w:r w:rsidRPr="0031675F">
        <w:rPr>
          <w:i/>
          <w:spacing w:val="19"/>
        </w:rPr>
        <w:t xml:space="preserve"> </w:t>
      </w:r>
      <w:r w:rsidRPr="0031675F">
        <w:rPr>
          <w:i/>
          <w:spacing w:val="-1"/>
        </w:rPr>
        <w:t>duplicates</w:t>
      </w:r>
      <w:r w:rsidRPr="0031675F">
        <w:rPr>
          <w:i/>
          <w:spacing w:val="20"/>
        </w:rPr>
        <w:t xml:space="preserve"> </w:t>
      </w:r>
      <w:r w:rsidRPr="0031675F">
        <w:rPr>
          <w:i/>
          <w:spacing w:val="-1"/>
        </w:rPr>
        <w:t>indicates</w:t>
      </w:r>
      <w:r w:rsidRPr="0031675F">
        <w:rPr>
          <w:i/>
          <w:spacing w:val="18"/>
        </w:rPr>
        <w:t xml:space="preserve"> </w:t>
      </w:r>
      <w:r w:rsidRPr="0031675F">
        <w:rPr>
          <w:i/>
        </w:rPr>
        <w:t>the</w:t>
      </w:r>
      <w:r w:rsidRPr="0031675F">
        <w:rPr>
          <w:i/>
          <w:spacing w:val="19"/>
        </w:rPr>
        <w:t xml:space="preserve"> </w:t>
      </w:r>
      <w:r w:rsidRPr="0031675F">
        <w:rPr>
          <w:i/>
          <w:spacing w:val="-1"/>
        </w:rPr>
        <w:t>reproducibility</w:t>
      </w:r>
      <w:r w:rsidRPr="0031675F">
        <w:rPr>
          <w:i/>
          <w:spacing w:val="19"/>
        </w:rPr>
        <w:t xml:space="preserve"> </w:t>
      </w:r>
      <w:r w:rsidRPr="0031675F">
        <w:rPr>
          <w:i/>
          <w:spacing w:val="-1"/>
        </w:rPr>
        <w:t>of</w:t>
      </w:r>
      <w:r w:rsidRPr="0031675F">
        <w:rPr>
          <w:i/>
          <w:spacing w:val="18"/>
        </w:rPr>
        <w:t xml:space="preserve"> </w:t>
      </w:r>
      <w:r w:rsidRPr="0031675F">
        <w:rPr>
          <w:i/>
        </w:rPr>
        <w:t>the</w:t>
      </w:r>
      <w:r w:rsidRPr="0031675F">
        <w:rPr>
          <w:i/>
          <w:spacing w:val="24"/>
        </w:rPr>
        <w:t xml:space="preserve"> </w:t>
      </w:r>
      <w:r w:rsidRPr="0031675F">
        <w:rPr>
          <w:i/>
          <w:spacing w:val="-1"/>
        </w:rPr>
        <w:t>analysis</w:t>
      </w:r>
      <w:r w:rsidRPr="0031675F">
        <w:rPr>
          <w:i/>
          <w:spacing w:val="54"/>
        </w:rPr>
        <w:t xml:space="preserve"> </w:t>
      </w:r>
      <w:r w:rsidRPr="0031675F">
        <w:rPr>
          <w:i/>
          <w:spacing w:val="-1"/>
        </w:rPr>
        <w:t>and also</w:t>
      </w:r>
      <w:r w:rsidRPr="0031675F">
        <w:rPr>
          <w:i/>
        </w:rPr>
        <w:t xml:space="preserve"> the effects</w:t>
      </w:r>
      <w:r w:rsidRPr="0031675F">
        <w:rPr>
          <w:i/>
          <w:spacing w:val="-1"/>
        </w:rPr>
        <w:t xml:space="preserve"> of</w:t>
      </w:r>
      <w:r w:rsidRPr="0031675F">
        <w:rPr>
          <w:i/>
        </w:rPr>
        <w:t xml:space="preserve"> </w:t>
      </w:r>
      <w:r w:rsidRPr="0031675F">
        <w:rPr>
          <w:i/>
          <w:spacing w:val="-1"/>
        </w:rPr>
        <w:t>various</w:t>
      </w:r>
      <w:r w:rsidRPr="0031675F">
        <w:rPr>
          <w:i/>
          <w:spacing w:val="1"/>
        </w:rPr>
        <w:t xml:space="preserve"> </w:t>
      </w:r>
      <w:r w:rsidRPr="0031675F">
        <w:rPr>
          <w:i/>
          <w:spacing w:val="-1"/>
        </w:rPr>
        <w:t>sources</w:t>
      </w:r>
      <w:r w:rsidRPr="0031675F">
        <w:rPr>
          <w:i/>
          <w:spacing w:val="1"/>
        </w:rPr>
        <w:t xml:space="preserve"> </w:t>
      </w:r>
      <w:r w:rsidRPr="0031675F">
        <w:rPr>
          <w:i/>
          <w:spacing w:val="-1"/>
        </w:rPr>
        <w:t>of</w:t>
      </w:r>
      <w:r w:rsidRPr="0031675F">
        <w:rPr>
          <w:i/>
        </w:rPr>
        <w:t xml:space="preserve"> </w:t>
      </w:r>
      <w:r w:rsidRPr="0031675F">
        <w:rPr>
          <w:i/>
          <w:spacing w:val="-1"/>
        </w:rPr>
        <w:t>contamination and</w:t>
      </w:r>
      <w:r w:rsidRPr="0031675F">
        <w:rPr>
          <w:i/>
          <w:spacing w:val="1"/>
        </w:rPr>
        <w:t xml:space="preserve"> </w:t>
      </w:r>
      <w:r w:rsidRPr="0031675F">
        <w:rPr>
          <w:i/>
          <w:spacing w:val="-1"/>
        </w:rPr>
        <w:t>analytical</w:t>
      </w:r>
      <w:r w:rsidRPr="0031675F">
        <w:rPr>
          <w:i/>
        </w:rPr>
        <w:t xml:space="preserve"> error</w:t>
      </w:r>
      <w:r w:rsidRPr="0031675F">
        <w:rPr>
          <w:i/>
          <w:spacing w:val="1"/>
        </w:rPr>
        <w:t xml:space="preserve"> </w:t>
      </w:r>
      <w:r w:rsidRPr="0031675F">
        <w:rPr>
          <w:i/>
          <w:spacing w:val="-1"/>
        </w:rPr>
        <w:t>during collection,</w:t>
      </w:r>
      <w:r w:rsidRPr="0031675F">
        <w:rPr>
          <w:i/>
        </w:rPr>
        <w:t xml:space="preserve"> </w:t>
      </w:r>
      <w:r w:rsidRPr="0031675F">
        <w:rPr>
          <w:i/>
          <w:spacing w:val="-1"/>
        </w:rPr>
        <w:t>sample</w:t>
      </w:r>
      <w:r w:rsidRPr="0031675F">
        <w:rPr>
          <w:i/>
          <w:spacing w:val="69"/>
        </w:rPr>
        <w:t xml:space="preserve"> </w:t>
      </w:r>
      <w:r w:rsidRPr="0031675F">
        <w:rPr>
          <w:i/>
          <w:spacing w:val="-1"/>
        </w:rPr>
        <w:t>preparation and analyses.</w:t>
      </w:r>
      <w:r w:rsidRPr="0031675F">
        <w:rPr>
          <w:i/>
          <w:spacing w:val="-5"/>
        </w:rPr>
        <w:t xml:space="preserve"> </w:t>
      </w:r>
      <w:r w:rsidRPr="0031675F">
        <w:rPr>
          <w:i/>
          <w:spacing w:val="-1"/>
        </w:rPr>
        <w:t>Before</w:t>
      </w:r>
      <w:r w:rsidRPr="0031675F">
        <w:rPr>
          <w:i/>
        </w:rPr>
        <w:t xml:space="preserve"> </w:t>
      </w:r>
      <w:r w:rsidRPr="0031675F">
        <w:rPr>
          <w:i/>
          <w:spacing w:val="-1"/>
        </w:rPr>
        <w:t>data</w:t>
      </w:r>
      <w:r w:rsidRPr="0031675F">
        <w:rPr>
          <w:i/>
          <w:spacing w:val="-3"/>
        </w:rPr>
        <w:t xml:space="preserve"> </w:t>
      </w:r>
      <w:r w:rsidRPr="0031675F">
        <w:rPr>
          <w:i/>
          <w:spacing w:val="-1"/>
        </w:rPr>
        <w:t>analysis, results</w:t>
      </w:r>
      <w:r w:rsidRPr="0031675F">
        <w:rPr>
          <w:i/>
          <w:spacing w:val="1"/>
        </w:rPr>
        <w:t xml:space="preserve"> </w:t>
      </w:r>
      <w:r w:rsidRPr="0031675F">
        <w:rPr>
          <w:i/>
          <w:spacing w:val="-1"/>
        </w:rPr>
        <w:t>are</w:t>
      </w:r>
      <w:r w:rsidRPr="0031675F">
        <w:rPr>
          <w:i/>
          <w:spacing w:val="-3"/>
        </w:rPr>
        <w:t xml:space="preserve"> </w:t>
      </w:r>
      <w:r w:rsidRPr="0031675F">
        <w:rPr>
          <w:i/>
          <w:spacing w:val="-1"/>
        </w:rPr>
        <w:t>generally</w:t>
      </w:r>
      <w:r w:rsidRPr="0031675F">
        <w:rPr>
          <w:i/>
        </w:rPr>
        <w:t xml:space="preserve"> </w:t>
      </w:r>
      <w:r w:rsidRPr="0031675F">
        <w:rPr>
          <w:i/>
          <w:spacing w:val="-1"/>
        </w:rPr>
        <w:t>averaged</w:t>
      </w:r>
      <w:r w:rsidRPr="0031675F">
        <w:rPr>
          <w:i/>
        </w:rPr>
        <w:t xml:space="preserve"> </w:t>
      </w:r>
      <w:r w:rsidRPr="0031675F">
        <w:rPr>
          <w:i/>
          <w:spacing w:val="-2"/>
        </w:rPr>
        <w:t>over</w:t>
      </w:r>
      <w:r w:rsidRPr="0031675F">
        <w:rPr>
          <w:i/>
          <w:spacing w:val="1"/>
        </w:rPr>
        <w:t xml:space="preserve"> </w:t>
      </w:r>
      <w:r w:rsidRPr="0031675F">
        <w:rPr>
          <w:i/>
          <w:spacing w:val="-1"/>
        </w:rPr>
        <w:t>duplicates.</w:t>
      </w:r>
    </w:p>
    <w:p w14:paraId="3956C4CE" w14:textId="77777777" w:rsidR="0031675F" w:rsidRPr="0031675F" w:rsidRDefault="0031675F" w:rsidP="0031675F">
      <w:pPr>
        <w:widowControl w:val="0"/>
        <w:numPr>
          <w:ilvl w:val="3"/>
          <w:numId w:val="77"/>
        </w:numPr>
        <w:tabs>
          <w:tab w:val="left" w:pos="839"/>
        </w:tabs>
        <w:spacing w:before="0" w:after="0" w:line="240" w:lineRule="auto"/>
        <w:ind w:right="109"/>
        <w:jc w:val="both"/>
      </w:pPr>
      <w:r w:rsidRPr="0031675F">
        <w:rPr>
          <w:spacing w:val="-1"/>
        </w:rPr>
        <w:t>All</w:t>
      </w:r>
      <w:r w:rsidRPr="0031675F">
        <w:rPr>
          <w:spacing w:val="40"/>
        </w:rPr>
        <w:t xml:space="preserve"> </w:t>
      </w:r>
      <w:r w:rsidRPr="0031675F">
        <w:rPr>
          <w:spacing w:val="-1"/>
        </w:rPr>
        <w:t>filter</w:t>
      </w:r>
      <w:r w:rsidRPr="0031675F">
        <w:rPr>
          <w:spacing w:val="41"/>
        </w:rPr>
        <w:t xml:space="preserve"> </w:t>
      </w:r>
      <w:r w:rsidRPr="0031675F">
        <w:rPr>
          <w:spacing w:val="-1"/>
        </w:rPr>
        <w:t>weights</w:t>
      </w:r>
      <w:r w:rsidRPr="0031675F">
        <w:rPr>
          <w:spacing w:val="41"/>
        </w:rPr>
        <w:t xml:space="preserve"> </w:t>
      </w:r>
      <w:r w:rsidRPr="0031675F">
        <w:rPr>
          <w:spacing w:val="-1"/>
        </w:rPr>
        <w:t>are</w:t>
      </w:r>
      <w:r w:rsidRPr="0031675F">
        <w:rPr>
          <w:spacing w:val="41"/>
        </w:rPr>
        <w:t xml:space="preserve"> </w:t>
      </w:r>
      <w:r w:rsidRPr="0031675F">
        <w:rPr>
          <w:spacing w:val="-1"/>
        </w:rPr>
        <w:t>recorded</w:t>
      </w:r>
      <w:r w:rsidRPr="0031675F">
        <w:rPr>
          <w:spacing w:val="41"/>
        </w:rPr>
        <w:t xml:space="preserve"> </w:t>
      </w:r>
      <w:r w:rsidRPr="0031675F">
        <w:rPr>
          <w:spacing w:val="-1"/>
        </w:rPr>
        <w:t>electronically,</w:t>
      </w:r>
      <w:r w:rsidRPr="0031675F">
        <w:rPr>
          <w:spacing w:val="41"/>
        </w:rPr>
        <w:t xml:space="preserve"> </w:t>
      </w:r>
      <w:r w:rsidRPr="0031675F">
        <w:t>which</w:t>
      </w:r>
      <w:r w:rsidRPr="0031675F">
        <w:rPr>
          <w:spacing w:val="40"/>
        </w:rPr>
        <w:t xml:space="preserve"> </w:t>
      </w:r>
      <w:r w:rsidRPr="0031675F">
        <w:rPr>
          <w:spacing w:val="-1"/>
        </w:rPr>
        <w:t>eliminates</w:t>
      </w:r>
      <w:r w:rsidRPr="0031675F">
        <w:rPr>
          <w:spacing w:val="40"/>
        </w:rPr>
        <w:t xml:space="preserve"> </w:t>
      </w:r>
      <w:r w:rsidRPr="0031675F">
        <w:rPr>
          <w:spacing w:val="-2"/>
        </w:rPr>
        <w:t>any</w:t>
      </w:r>
      <w:r w:rsidRPr="0031675F">
        <w:rPr>
          <w:spacing w:val="42"/>
        </w:rPr>
        <w:t xml:space="preserve"> </w:t>
      </w:r>
      <w:r w:rsidRPr="0031675F">
        <w:rPr>
          <w:spacing w:val="-1"/>
        </w:rPr>
        <w:t>data</w:t>
      </w:r>
      <w:r w:rsidRPr="0031675F">
        <w:rPr>
          <w:spacing w:val="39"/>
        </w:rPr>
        <w:t xml:space="preserve"> </w:t>
      </w:r>
      <w:r w:rsidRPr="0031675F">
        <w:rPr>
          <w:spacing w:val="-1"/>
        </w:rPr>
        <w:t>entry</w:t>
      </w:r>
      <w:r w:rsidRPr="0031675F">
        <w:rPr>
          <w:spacing w:val="41"/>
        </w:rPr>
        <w:t xml:space="preserve"> </w:t>
      </w:r>
      <w:r w:rsidRPr="0031675F">
        <w:rPr>
          <w:spacing w:val="-1"/>
        </w:rPr>
        <w:t>errors</w:t>
      </w:r>
      <w:r w:rsidRPr="0031675F">
        <w:rPr>
          <w:spacing w:val="41"/>
        </w:rPr>
        <w:t xml:space="preserve"> </w:t>
      </w:r>
      <w:r w:rsidRPr="0031675F">
        <w:t>(For</w:t>
      </w:r>
      <w:r w:rsidRPr="0031675F">
        <w:rPr>
          <w:spacing w:val="73"/>
        </w:rPr>
        <w:t xml:space="preserve"> </w:t>
      </w:r>
      <w:r w:rsidRPr="0031675F">
        <w:rPr>
          <w:spacing w:val="-1"/>
        </w:rPr>
        <w:t>details</w:t>
      </w:r>
      <w:r w:rsidRPr="0031675F">
        <w:t xml:space="preserve"> </w:t>
      </w:r>
      <w:r w:rsidRPr="0031675F">
        <w:rPr>
          <w:spacing w:val="-1"/>
        </w:rPr>
        <w:t>see</w:t>
      </w:r>
      <w:r w:rsidRPr="0031675F">
        <w:rPr>
          <w:spacing w:val="1"/>
        </w:rPr>
        <w:t xml:space="preserve"> </w:t>
      </w:r>
      <w:r w:rsidRPr="0031675F">
        <w:rPr>
          <w:spacing w:val="-1"/>
        </w:rPr>
        <w:t>Section A12).</w:t>
      </w:r>
    </w:p>
    <w:p w14:paraId="50C8EC86" w14:textId="77777777" w:rsidR="0031675F" w:rsidRPr="0031675F" w:rsidRDefault="0031675F" w:rsidP="0031675F">
      <w:pPr>
        <w:spacing w:before="4"/>
        <w:rPr>
          <w:rFonts w:cs="Calibri"/>
          <w:sz w:val="14"/>
          <w:szCs w:val="14"/>
        </w:rPr>
      </w:pPr>
      <w:r w:rsidRPr="0031675F">
        <w:rPr>
          <w:spacing w:val="-1"/>
        </w:rPr>
        <w:t>Coefficients</w:t>
      </w:r>
      <w:r w:rsidRPr="0031675F">
        <w:rPr>
          <w:spacing w:val="45"/>
        </w:rPr>
        <w:t xml:space="preserve"> </w:t>
      </w:r>
      <w:r w:rsidRPr="0031675F">
        <w:t>of</w:t>
      </w:r>
      <w:r w:rsidRPr="0031675F">
        <w:rPr>
          <w:spacing w:val="44"/>
        </w:rPr>
        <w:t xml:space="preserve"> </w:t>
      </w:r>
      <w:r w:rsidRPr="0031675F">
        <w:rPr>
          <w:spacing w:val="-1"/>
        </w:rPr>
        <w:t>variance</w:t>
      </w:r>
      <w:r w:rsidRPr="0031675F">
        <w:rPr>
          <w:spacing w:val="45"/>
        </w:rPr>
        <w:t xml:space="preserve"> </w:t>
      </w:r>
      <w:r w:rsidRPr="0031675F">
        <w:t>are</w:t>
      </w:r>
      <w:r w:rsidRPr="0031675F">
        <w:rPr>
          <w:spacing w:val="46"/>
        </w:rPr>
        <w:t xml:space="preserve"> </w:t>
      </w:r>
      <w:r w:rsidRPr="0031675F">
        <w:rPr>
          <w:spacing w:val="-1"/>
        </w:rPr>
        <w:t>calculated</w:t>
      </w:r>
      <w:r w:rsidRPr="0031675F">
        <w:rPr>
          <w:spacing w:val="45"/>
        </w:rPr>
        <w:t xml:space="preserve"> </w:t>
      </w:r>
      <w:r w:rsidRPr="0031675F">
        <w:rPr>
          <w:spacing w:val="-1"/>
        </w:rPr>
        <w:t>from</w:t>
      </w:r>
      <w:r w:rsidRPr="0031675F">
        <w:rPr>
          <w:spacing w:val="47"/>
        </w:rPr>
        <w:t xml:space="preserve"> </w:t>
      </w:r>
      <w:r w:rsidRPr="0031675F">
        <w:rPr>
          <w:spacing w:val="-1"/>
        </w:rPr>
        <w:t>analytical</w:t>
      </w:r>
      <w:r w:rsidRPr="0031675F">
        <w:rPr>
          <w:spacing w:val="46"/>
        </w:rPr>
        <w:t xml:space="preserve"> </w:t>
      </w:r>
      <w:r w:rsidRPr="0031675F">
        <w:rPr>
          <w:spacing w:val="-1"/>
        </w:rPr>
        <w:t>results</w:t>
      </w:r>
      <w:r w:rsidRPr="0031675F">
        <w:rPr>
          <w:spacing w:val="44"/>
        </w:rPr>
        <w:t xml:space="preserve"> </w:t>
      </w:r>
      <w:r w:rsidRPr="0031675F">
        <w:t>of</w:t>
      </w:r>
      <w:r w:rsidRPr="0031675F">
        <w:rPr>
          <w:spacing w:val="46"/>
        </w:rPr>
        <w:t xml:space="preserve"> </w:t>
      </w:r>
      <w:r w:rsidRPr="0031675F">
        <w:rPr>
          <w:spacing w:val="-1"/>
        </w:rPr>
        <w:t>sample</w:t>
      </w:r>
      <w:r w:rsidRPr="0031675F">
        <w:rPr>
          <w:spacing w:val="45"/>
        </w:rPr>
        <w:t xml:space="preserve"> </w:t>
      </w:r>
      <w:r w:rsidRPr="0031675F">
        <w:rPr>
          <w:spacing w:val="-1"/>
        </w:rPr>
        <w:t>duplicates.</w:t>
      </w:r>
      <w:r w:rsidRPr="0031675F">
        <w:rPr>
          <w:spacing w:val="80"/>
        </w:rPr>
        <w:t xml:space="preserve"> </w:t>
      </w:r>
      <w:r w:rsidRPr="0031675F">
        <w:rPr>
          <w:spacing w:val="-1"/>
        </w:rPr>
        <w:t>Duplicates</w:t>
      </w:r>
      <w:r w:rsidRPr="0031675F">
        <w:rPr>
          <w:spacing w:val="35"/>
        </w:rPr>
        <w:t xml:space="preserve"> </w:t>
      </w:r>
      <w:r w:rsidRPr="0031675F">
        <w:t>with</w:t>
      </w:r>
      <w:r w:rsidRPr="0031675F">
        <w:rPr>
          <w:spacing w:val="38"/>
        </w:rPr>
        <w:t xml:space="preserve"> </w:t>
      </w:r>
      <w:r w:rsidRPr="0031675F">
        <w:rPr>
          <w:spacing w:val="-1"/>
        </w:rPr>
        <w:t>CV&gt;30%</w:t>
      </w:r>
      <w:r w:rsidRPr="0031675F">
        <w:rPr>
          <w:spacing w:val="39"/>
        </w:rPr>
        <w:t xml:space="preserve"> </w:t>
      </w:r>
      <w:r w:rsidRPr="0031675F">
        <w:rPr>
          <w:spacing w:val="-1"/>
        </w:rPr>
        <w:t>are</w:t>
      </w:r>
      <w:r w:rsidRPr="0031675F">
        <w:rPr>
          <w:spacing w:val="38"/>
        </w:rPr>
        <w:t xml:space="preserve"> </w:t>
      </w:r>
      <w:r w:rsidRPr="0031675F">
        <w:rPr>
          <w:spacing w:val="-1"/>
        </w:rPr>
        <w:t>discarded</w:t>
      </w:r>
      <w:r w:rsidRPr="0031675F">
        <w:rPr>
          <w:spacing w:val="38"/>
        </w:rPr>
        <w:t xml:space="preserve"> </w:t>
      </w:r>
      <w:r w:rsidRPr="0031675F">
        <w:rPr>
          <w:spacing w:val="-1"/>
        </w:rPr>
        <w:t>from</w:t>
      </w:r>
      <w:r w:rsidRPr="0031675F">
        <w:rPr>
          <w:spacing w:val="40"/>
        </w:rPr>
        <w:t xml:space="preserve"> </w:t>
      </w:r>
      <w:r w:rsidRPr="0031675F">
        <w:t>the</w:t>
      </w:r>
      <w:r w:rsidRPr="0031675F">
        <w:rPr>
          <w:spacing w:val="39"/>
        </w:rPr>
        <w:t xml:space="preserve"> </w:t>
      </w:r>
      <w:r w:rsidRPr="0031675F">
        <w:rPr>
          <w:spacing w:val="-1"/>
        </w:rPr>
        <w:t>analysis</w:t>
      </w:r>
      <w:r w:rsidRPr="0031675F">
        <w:rPr>
          <w:spacing w:val="38"/>
        </w:rPr>
        <w:t xml:space="preserve"> </w:t>
      </w:r>
      <w:r w:rsidRPr="0031675F">
        <w:rPr>
          <w:spacing w:val="-1"/>
        </w:rPr>
        <w:t>and</w:t>
      </w:r>
      <w:r w:rsidRPr="0031675F">
        <w:rPr>
          <w:spacing w:val="38"/>
        </w:rPr>
        <w:t xml:space="preserve"> </w:t>
      </w:r>
      <w:r w:rsidRPr="0031675F">
        <w:t>the</w:t>
      </w:r>
      <w:r w:rsidRPr="0031675F">
        <w:rPr>
          <w:spacing w:val="39"/>
        </w:rPr>
        <w:t xml:space="preserve"> </w:t>
      </w:r>
      <w:r w:rsidRPr="0031675F">
        <w:rPr>
          <w:spacing w:val="-1"/>
        </w:rPr>
        <w:t>analysis</w:t>
      </w:r>
      <w:r w:rsidRPr="0031675F">
        <w:rPr>
          <w:spacing w:val="38"/>
        </w:rPr>
        <w:t xml:space="preserve"> </w:t>
      </w:r>
      <w:r w:rsidRPr="0031675F">
        <w:rPr>
          <w:spacing w:val="-1"/>
        </w:rPr>
        <w:t>repeated</w:t>
      </w:r>
      <w:r w:rsidRPr="0031675F">
        <w:rPr>
          <w:spacing w:val="38"/>
        </w:rPr>
        <w:t xml:space="preserve"> </w:t>
      </w:r>
      <w:r w:rsidRPr="0031675F">
        <w:rPr>
          <w:spacing w:val="-1"/>
        </w:rPr>
        <w:t>using</w:t>
      </w:r>
      <w:r w:rsidRPr="0031675F">
        <w:rPr>
          <w:spacing w:val="63"/>
        </w:rPr>
        <w:t xml:space="preserve"> </w:t>
      </w:r>
      <w:r w:rsidRPr="0031675F">
        <w:t xml:space="preserve">extra </w:t>
      </w:r>
      <w:r w:rsidRPr="0031675F">
        <w:rPr>
          <w:spacing w:val="-1"/>
        </w:rPr>
        <w:t>duplicates</w:t>
      </w:r>
      <w:r w:rsidRPr="0031675F">
        <w:rPr>
          <w:spacing w:val="-2"/>
        </w:rPr>
        <w:t xml:space="preserve"> </w:t>
      </w:r>
      <w:r w:rsidRPr="0031675F">
        <w:t xml:space="preserve">that </w:t>
      </w:r>
      <w:r w:rsidRPr="0031675F">
        <w:rPr>
          <w:spacing w:val="-1"/>
        </w:rPr>
        <w:t>are</w:t>
      </w:r>
      <w:r w:rsidRPr="0031675F">
        <w:t xml:space="preserve"> </w:t>
      </w:r>
      <w:r w:rsidRPr="0031675F">
        <w:rPr>
          <w:spacing w:val="-1"/>
        </w:rPr>
        <w:t>generally</w:t>
      </w:r>
      <w:r w:rsidRPr="0031675F">
        <w:t xml:space="preserve"> </w:t>
      </w:r>
      <w:r w:rsidRPr="0031675F">
        <w:rPr>
          <w:spacing w:val="-1"/>
        </w:rPr>
        <w:t>collected as</w:t>
      </w:r>
      <w:r w:rsidRPr="0031675F">
        <w:t xml:space="preserve"> a </w:t>
      </w:r>
      <w:r w:rsidRPr="0031675F">
        <w:rPr>
          <w:spacing w:val="-1"/>
        </w:rPr>
        <w:t>back</w:t>
      </w:r>
      <w:r w:rsidRPr="0031675F">
        <w:rPr>
          <w:spacing w:val="-2"/>
        </w:rPr>
        <w:t xml:space="preserve"> </w:t>
      </w:r>
      <w:r w:rsidRPr="0031675F">
        <w:rPr>
          <w:spacing w:val="-1"/>
        </w:rPr>
        <w:t>up.</w:t>
      </w:r>
      <w:r w:rsidRPr="0031675F">
        <w:rPr>
          <w:rFonts w:cs="Calibri"/>
          <w:sz w:val="14"/>
          <w:szCs w:val="14"/>
        </w:rPr>
        <w:t xml:space="preserve"> </w:t>
      </w:r>
    </w:p>
    <w:p w14:paraId="4726BAC7" w14:textId="77777777" w:rsidR="0031675F" w:rsidRPr="0031675F" w:rsidRDefault="0031675F" w:rsidP="0031675F">
      <w:pPr>
        <w:spacing w:before="4"/>
        <w:rPr>
          <w:rFonts w:cs="Calibri"/>
          <w:sz w:val="14"/>
          <w:szCs w:val="14"/>
        </w:rPr>
      </w:pPr>
    </w:p>
    <w:p w14:paraId="33D845ED" w14:textId="77777777" w:rsidR="0031675F" w:rsidRPr="0031675F" w:rsidRDefault="0031675F" w:rsidP="0031675F">
      <w:pPr>
        <w:spacing w:before="4"/>
        <w:rPr>
          <w:rFonts w:cs="Calibri"/>
          <w:sz w:val="14"/>
          <w:szCs w:val="14"/>
        </w:rPr>
      </w:pPr>
    </w:p>
    <w:p w14:paraId="0AFF6294" w14:textId="125BD8FC" w:rsidR="0031675F" w:rsidRPr="0031675F" w:rsidRDefault="0031675F" w:rsidP="0031675F">
      <w:pPr>
        <w:spacing w:line="20" w:lineRule="atLeast"/>
        <w:ind w:left="110"/>
        <w:rPr>
          <w:rFonts w:cs="Calibri"/>
          <w:sz w:val="2"/>
          <w:szCs w:val="2"/>
        </w:rPr>
      </w:pPr>
      <w:r w:rsidRPr="0031675F">
        <w:rPr>
          <w:noProof/>
          <w:lang w:eastAsia="en-AU"/>
        </w:rPr>
        <mc:AlternateContent>
          <mc:Choice Requires="wpg">
            <w:drawing>
              <wp:inline distT="0" distB="0" distL="0" distR="0" wp14:anchorId="43CC1912" wp14:editId="2FD947F0">
                <wp:extent cx="1839595" cy="10795"/>
                <wp:effectExtent l="9525" t="9525" r="8255" b="8255"/>
                <wp:docPr id="9472" name="Group 7995" descr="Straight line." title="Design elem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9595" cy="10795"/>
                          <a:chOff x="0" y="0"/>
                          <a:chExt cx="2897" cy="17"/>
                        </a:xfrm>
                      </wpg:grpSpPr>
                      <wpg:grpSp>
                        <wpg:cNvPr id="9473" name="Group 7996"/>
                        <wpg:cNvGrpSpPr>
                          <a:grpSpLocks/>
                        </wpg:cNvGrpSpPr>
                        <wpg:grpSpPr bwMode="auto">
                          <a:xfrm>
                            <a:off x="8" y="8"/>
                            <a:ext cx="2881" cy="2"/>
                            <a:chOff x="8" y="8"/>
                            <a:chExt cx="2881" cy="2"/>
                          </a:xfrm>
                        </wpg:grpSpPr>
                        <wps:wsp>
                          <wps:cNvPr id="9474" name="Freeform 7997"/>
                          <wps:cNvSpPr>
                            <a:spLocks/>
                          </wps:cNvSpPr>
                          <wps:spPr bwMode="auto">
                            <a:xfrm>
                              <a:off x="8" y="8"/>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E95EC1E" id="Group 7995" o:spid="_x0000_s1026" alt="Title: Design element - Description: Straight line." style="width:144.85pt;height:.85pt;mso-position-horizontal-relative:char;mso-position-vertical-relative:line" coordsize="289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">
                <v:group id="Group 7996" o:spid="_x0000_s1027" style="position:absolute;left:8;top:8;width:2881;height:2" coordorigin="8,8" coordsize="28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w2hv8cAAADd&#10;AAAADwAAAAAAAAAAAAAAAACqAgAAZHJzL2Rvd25yZXYueG1sUEsFBgAAAAAEAAQA+gAAAJ4DAAAA&#10;AA==&#10;">
                  <v:shape id="Freeform 7997" o:spid="_x0000_s1028" style="position:absolute;left:8;top:8;width:2881;height:2;visibility:visible;mso-wrap-style:square;v-text-anchor:top" coordsize="28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t+mcgA&#10;AADdAAAADwAAAGRycy9kb3ducmV2LnhtbESPQWvCQBSE7wX/w/IKvYhuGoLW1FVEWxC8aOrF2yP7&#10;mg3Nvk2zW037611B6HGYmW+Y+bK3jThT52vHCp7HCQji0umaKwXHj/fRCwgfkDU2jknBL3lYLgYP&#10;c8y1u/CBzkWoRISwz1GBCaHNpfSlIYt+7Fri6H26zmKIsquk7vAS4baRaZJMpMWa44LBltaGyq/i&#10;xyr4+96/lfvh2uzS9LibZJt2c6pOSj099qtXEIH68B++t7dawSybZnB7E5+AX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u36ZyAAAAN0AAAAPAAAAAAAAAAAAAAAAAJgCAABk&#10;cnMvZG93bnJldi54bWxQSwUGAAAAAAQABAD1AAAAjQMAAAAA&#10;" path="m,l2881,e" filled="f" strokeweight=".82pt">
                    <v:path arrowok="t" o:connecttype="custom" o:connectlocs="0,0;2881,0" o:connectangles="0,0"/>
                  </v:shape>
                </v:group>
                <w10:anchorlock/>
              </v:group>
            </w:pict>
          </mc:Fallback>
        </mc:AlternateContent>
      </w:r>
    </w:p>
    <w:p w14:paraId="02757434" w14:textId="77777777" w:rsidR="0031675F" w:rsidRPr="0031675F" w:rsidRDefault="0031675F" w:rsidP="0031675F">
      <w:pPr>
        <w:spacing w:before="54"/>
        <w:ind w:left="402" w:right="120" w:hanging="284"/>
        <w:rPr>
          <w:rFonts w:cs="Calibri"/>
          <w:sz w:val="20"/>
          <w:szCs w:val="20"/>
        </w:rPr>
      </w:pPr>
      <w:r w:rsidRPr="0031675F">
        <w:rPr>
          <w:spacing w:val="-1"/>
          <w:position w:val="9"/>
          <w:sz w:val="12"/>
        </w:rPr>
        <w:t>13</w:t>
      </w:r>
      <w:r w:rsidRPr="0031675F">
        <w:rPr>
          <w:position w:val="9"/>
          <w:sz w:val="12"/>
        </w:rPr>
        <w:t xml:space="preserve">    </w:t>
      </w:r>
      <w:r w:rsidRPr="0031675F">
        <w:rPr>
          <w:spacing w:val="22"/>
          <w:position w:val="9"/>
          <w:sz w:val="12"/>
        </w:rPr>
        <w:t xml:space="preserve"> </w:t>
      </w:r>
      <w:r w:rsidRPr="0031675F">
        <w:rPr>
          <w:sz w:val="18"/>
        </w:rPr>
        <w:t>To</w:t>
      </w:r>
      <w:r w:rsidRPr="0031675F">
        <w:rPr>
          <w:spacing w:val="17"/>
          <w:sz w:val="18"/>
        </w:rPr>
        <w:t xml:space="preserve"> </w:t>
      </w:r>
      <w:r w:rsidRPr="0031675F">
        <w:rPr>
          <w:spacing w:val="-1"/>
          <w:sz w:val="18"/>
        </w:rPr>
        <w:t>automatically</w:t>
      </w:r>
      <w:r w:rsidRPr="0031675F">
        <w:rPr>
          <w:spacing w:val="18"/>
          <w:sz w:val="18"/>
        </w:rPr>
        <w:t xml:space="preserve"> </w:t>
      </w:r>
      <w:r w:rsidRPr="0031675F">
        <w:rPr>
          <w:spacing w:val="-1"/>
          <w:sz w:val="18"/>
        </w:rPr>
        <w:t>record</w:t>
      </w:r>
      <w:r w:rsidRPr="0031675F">
        <w:rPr>
          <w:spacing w:val="15"/>
          <w:sz w:val="18"/>
        </w:rPr>
        <w:t xml:space="preserve"> </w:t>
      </w:r>
      <w:r w:rsidRPr="0031675F">
        <w:rPr>
          <w:spacing w:val="-1"/>
          <w:sz w:val="18"/>
        </w:rPr>
        <w:t>final</w:t>
      </w:r>
      <w:r w:rsidRPr="0031675F">
        <w:rPr>
          <w:spacing w:val="17"/>
          <w:sz w:val="18"/>
        </w:rPr>
        <w:t xml:space="preserve"> </w:t>
      </w:r>
      <w:r w:rsidRPr="0031675F">
        <w:rPr>
          <w:spacing w:val="-1"/>
          <w:sz w:val="18"/>
        </w:rPr>
        <w:t>filter</w:t>
      </w:r>
      <w:r w:rsidRPr="0031675F">
        <w:rPr>
          <w:spacing w:val="16"/>
          <w:sz w:val="18"/>
        </w:rPr>
        <w:t xml:space="preserve"> </w:t>
      </w:r>
      <w:r w:rsidRPr="0031675F">
        <w:rPr>
          <w:spacing w:val="-1"/>
          <w:sz w:val="18"/>
        </w:rPr>
        <w:t>weights</w:t>
      </w:r>
      <w:r w:rsidRPr="0031675F">
        <w:rPr>
          <w:spacing w:val="17"/>
          <w:sz w:val="18"/>
        </w:rPr>
        <w:t xml:space="preserve"> </w:t>
      </w:r>
      <w:r w:rsidRPr="0031675F">
        <w:rPr>
          <w:spacing w:val="-1"/>
          <w:sz w:val="18"/>
        </w:rPr>
        <w:t>in</w:t>
      </w:r>
      <w:r w:rsidRPr="0031675F">
        <w:rPr>
          <w:spacing w:val="16"/>
          <w:sz w:val="18"/>
        </w:rPr>
        <w:t xml:space="preserve"> </w:t>
      </w:r>
      <w:r w:rsidRPr="0031675F">
        <w:rPr>
          <w:sz w:val="18"/>
        </w:rPr>
        <w:t>the</w:t>
      </w:r>
      <w:r w:rsidRPr="0031675F">
        <w:rPr>
          <w:spacing w:val="17"/>
          <w:sz w:val="18"/>
        </w:rPr>
        <w:t xml:space="preserve"> </w:t>
      </w:r>
      <w:r w:rsidRPr="0031675F">
        <w:rPr>
          <w:spacing w:val="-1"/>
          <w:sz w:val="18"/>
        </w:rPr>
        <w:t>Water</w:t>
      </w:r>
      <w:r w:rsidRPr="0031675F">
        <w:rPr>
          <w:spacing w:val="19"/>
          <w:sz w:val="18"/>
        </w:rPr>
        <w:t xml:space="preserve"> </w:t>
      </w:r>
      <w:r w:rsidRPr="0031675F">
        <w:rPr>
          <w:spacing w:val="-1"/>
          <w:sz w:val="18"/>
        </w:rPr>
        <w:t>Quality</w:t>
      </w:r>
      <w:r w:rsidRPr="0031675F">
        <w:rPr>
          <w:spacing w:val="19"/>
          <w:sz w:val="18"/>
        </w:rPr>
        <w:t xml:space="preserve"> </w:t>
      </w:r>
      <w:r w:rsidRPr="0031675F">
        <w:rPr>
          <w:spacing w:val="-1"/>
          <w:sz w:val="18"/>
        </w:rPr>
        <w:t>database</w:t>
      </w:r>
      <w:r w:rsidRPr="0031675F">
        <w:rPr>
          <w:spacing w:val="19"/>
          <w:sz w:val="18"/>
        </w:rPr>
        <w:t xml:space="preserve"> </w:t>
      </w:r>
      <w:r w:rsidRPr="0031675F">
        <w:rPr>
          <w:spacing w:val="-1"/>
          <w:sz w:val="18"/>
        </w:rPr>
        <w:t>see</w:t>
      </w:r>
      <w:r w:rsidRPr="0031675F">
        <w:rPr>
          <w:spacing w:val="19"/>
          <w:sz w:val="18"/>
        </w:rPr>
        <w:t xml:space="preserve"> </w:t>
      </w:r>
      <w:r w:rsidRPr="0031675F">
        <w:rPr>
          <w:spacing w:val="-1"/>
          <w:sz w:val="18"/>
        </w:rPr>
        <w:t>Attachment</w:t>
      </w:r>
      <w:r w:rsidRPr="0031675F">
        <w:rPr>
          <w:spacing w:val="17"/>
          <w:sz w:val="18"/>
        </w:rPr>
        <w:t xml:space="preserve"> </w:t>
      </w:r>
      <w:r w:rsidRPr="0031675F">
        <w:rPr>
          <w:spacing w:val="-1"/>
          <w:sz w:val="18"/>
        </w:rPr>
        <w:t>10.1b.</w:t>
      </w:r>
      <w:r w:rsidRPr="0031675F">
        <w:rPr>
          <w:sz w:val="18"/>
        </w:rPr>
        <w:t xml:space="preserve"> </w:t>
      </w:r>
      <w:r w:rsidRPr="0031675F">
        <w:rPr>
          <w:spacing w:val="36"/>
          <w:sz w:val="18"/>
        </w:rPr>
        <w:t xml:space="preserve"> </w:t>
      </w:r>
      <w:r w:rsidRPr="0031675F">
        <w:rPr>
          <w:spacing w:val="-1"/>
          <w:sz w:val="18"/>
        </w:rPr>
        <w:t>This</w:t>
      </w:r>
      <w:r w:rsidRPr="0031675F">
        <w:rPr>
          <w:spacing w:val="17"/>
          <w:sz w:val="18"/>
        </w:rPr>
        <w:t xml:space="preserve"> </w:t>
      </w:r>
      <w:r w:rsidRPr="0031675F">
        <w:rPr>
          <w:spacing w:val="-1"/>
          <w:sz w:val="18"/>
        </w:rPr>
        <w:t>facility</w:t>
      </w:r>
      <w:r w:rsidRPr="0031675F">
        <w:rPr>
          <w:spacing w:val="16"/>
          <w:sz w:val="18"/>
        </w:rPr>
        <w:t xml:space="preserve"> </w:t>
      </w:r>
      <w:r w:rsidRPr="0031675F">
        <w:rPr>
          <w:spacing w:val="-1"/>
          <w:sz w:val="18"/>
        </w:rPr>
        <w:t>is</w:t>
      </w:r>
      <w:r w:rsidRPr="0031675F">
        <w:rPr>
          <w:spacing w:val="17"/>
          <w:sz w:val="18"/>
        </w:rPr>
        <w:t xml:space="preserve"> </w:t>
      </w:r>
      <w:r w:rsidRPr="0031675F">
        <w:rPr>
          <w:spacing w:val="-1"/>
          <w:sz w:val="18"/>
        </w:rPr>
        <w:t>only</w:t>
      </w:r>
      <w:r w:rsidRPr="0031675F">
        <w:rPr>
          <w:spacing w:val="123"/>
          <w:w w:val="99"/>
          <w:sz w:val="18"/>
        </w:rPr>
        <w:t xml:space="preserve"> </w:t>
      </w:r>
      <w:r w:rsidRPr="0031675F">
        <w:rPr>
          <w:spacing w:val="-1"/>
          <w:sz w:val="18"/>
        </w:rPr>
        <w:t>available</w:t>
      </w:r>
      <w:r w:rsidRPr="0031675F">
        <w:rPr>
          <w:spacing w:val="-4"/>
          <w:sz w:val="18"/>
        </w:rPr>
        <w:t xml:space="preserve"> </w:t>
      </w:r>
      <w:r w:rsidRPr="0031675F">
        <w:rPr>
          <w:sz w:val="18"/>
        </w:rPr>
        <w:t>to</w:t>
      </w:r>
      <w:r w:rsidRPr="0031675F">
        <w:rPr>
          <w:spacing w:val="-2"/>
          <w:sz w:val="18"/>
        </w:rPr>
        <w:t xml:space="preserve"> </w:t>
      </w:r>
      <w:r w:rsidRPr="0031675F">
        <w:rPr>
          <w:spacing w:val="-1"/>
          <w:sz w:val="18"/>
        </w:rPr>
        <w:t>nominated</w:t>
      </w:r>
      <w:r w:rsidRPr="0031675F">
        <w:rPr>
          <w:spacing w:val="-3"/>
          <w:sz w:val="18"/>
        </w:rPr>
        <w:t xml:space="preserve"> </w:t>
      </w:r>
      <w:r w:rsidRPr="0031675F">
        <w:rPr>
          <w:sz w:val="18"/>
        </w:rPr>
        <w:t>AIMS</w:t>
      </w:r>
      <w:r w:rsidRPr="0031675F">
        <w:rPr>
          <w:spacing w:val="-4"/>
          <w:sz w:val="18"/>
        </w:rPr>
        <w:t xml:space="preserve"> </w:t>
      </w:r>
      <w:r w:rsidRPr="0031675F">
        <w:rPr>
          <w:spacing w:val="-1"/>
          <w:sz w:val="18"/>
        </w:rPr>
        <w:t>staff.</w:t>
      </w:r>
    </w:p>
    <w:p w14:paraId="6EF79759" w14:textId="77777777" w:rsidR="0031675F" w:rsidRPr="0031675F" w:rsidRDefault="0031675F" w:rsidP="0031675F">
      <w:pPr>
        <w:rPr>
          <w:rFonts w:cs="Calibri"/>
          <w:sz w:val="15"/>
          <w:szCs w:val="15"/>
        </w:rPr>
      </w:pPr>
      <w:r w:rsidRPr="0031675F">
        <w:rPr>
          <w:rFonts w:cs="Calibri"/>
          <w:sz w:val="15"/>
          <w:szCs w:val="15"/>
        </w:rPr>
        <w:br w:type="page"/>
      </w:r>
    </w:p>
    <w:p w14:paraId="2B7634D6" w14:textId="77777777" w:rsidR="0031675F" w:rsidRPr="0031675F" w:rsidRDefault="0031675F" w:rsidP="0031675F">
      <w:pPr>
        <w:spacing w:before="1"/>
        <w:rPr>
          <w:rFonts w:cs="Calibri"/>
          <w:sz w:val="15"/>
          <w:szCs w:val="15"/>
        </w:rPr>
      </w:pPr>
    </w:p>
    <w:p w14:paraId="70D5B7C0" w14:textId="268AFD97" w:rsidR="0031675F" w:rsidRPr="0031675F" w:rsidRDefault="0031675F" w:rsidP="005A35E3">
      <w:pPr>
        <w:pStyle w:val="Heading4"/>
        <w:numPr>
          <w:ilvl w:val="0"/>
          <w:numId w:val="0"/>
        </w:numPr>
        <w:ind w:left="864" w:hanging="864"/>
      </w:pPr>
      <w:bookmarkStart w:id="731" w:name="_TOC_250002"/>
      <w:r w:rsidRPr="0031675F">
        <w:rPr>
          <w:highlight w:val="lightGray"/>
        </w:rPr>
        <w:t xml:space="preserve"> </w:t>
      </w:r>
      <w:bookmarkStart w:id="732" w:name="_Toc523830562"/>
      <w:bookmarkStart w:id="733" w:name="_Toc523905148"/>
      <w:bookmarkStart w:id="734" w:name="_Toc523905390"/>
      <w:bookmarkStart w:id="735" w:name="_Toc534968701"/>
      <w:r w:rsidRPr="0031675F">
        <w:rPr>
          <w:highlight w:val="lightGray"/>
        </w:rPr>
        <w:t>Section A10 Attachments</w:t>
      </w:r>
      <w:bookmarkEnd w:id="732"/>
      <w:bookmarkEnd w:id="733"/>
      <w:bookmarkEnd w:id="734"/>
      <w:bookmarkEnd w:id="735"/>
      <w:r w:rsidRPr="0031675F">
        <w:rPr>
          <w:highlight w:val="lightGray"/>
        </w:rPr>
        <w:t xml:space="preserve"> </w:t>
      </w:r>
      <w:bookmarkEnd w:id="731"/>
    </w:p>
    <w:p w14:paraId="51F741ED" w14:textId="77777777" w:rsidR="0031675F" w:rsidRPr="0031675F" w:rsidRDefault="0031675F" w:rsidP="0031675F">
      <w:pPr>
        <w:tabs>
          <w:tab w:val="left" w:pos="2298"/>
        </w:tabs>
        <w:spacing w:before="235"/>
        <w:ind w:left="2298" w:right="119" w:hanging="2160"/>
        <w:rPr>
          <w:rFonts w:eastAsia="Arial" w:cs="Arial"/>
          <w:sz w:val="24"/>
          <w:szCs w:val="24"/>
        </w:rPr>
      </w:pPr>
      <w:r w:rsidRPr="0031675F">
        <w:rPr>
          <w:b/>
          <w:spacing w:val="-1"/>
          <w:sz w:val="24"/>
        </w:rPr>
        <w:t>Attachment</w:t>
      </w:r>
      <w:r w:rsidRPr="0031675F">
        <w:rPr>
          <w:b/>
          <w:sz w:val="24"/>
        </w:rPr>
        <w:t xml:space="preserve"> 10.1</w:t>
      </w:r>
      <w:r w:rsidRPr="0031675F">
        <w:rPr>
          <w:b/>
          <w:sz w:val="24"/>
        </w:rPr>
        <w:tab/>
        <w:t>Weighing</w:t>
      </w:r>
      <w:r w:rsidRPr="0031675F">
        <w:rPr>
          <w:b/>
          <w:spacing w:val="47"/>
          <w:sz w:val="24"/>
        </w:rPr>
        <w:t xml:space="preserve"> </w:t>
      </w:r>
      <w:r w:rsidRPr="0031675F">
        <w:rPr>
          <w:b/>
          <w:sz w:val="24"/>
        </w:rPr>
        <w:t>and</w:t>
      </w:r>
      <w:r w:rsidRPr="0031675F">
        <w:rPr>
          <w:b/>
          <w:spacing w:val="52"/>
          <w:sz w:val="24"/>
        </w:rPr>
        <w:t xml:space="preserve"> </w:t>
      </w:r>
      <w:r w:rsidRPr="0031675F">
        <w:rPr>
          <w:b/>
          <w:spacing w:val="-1"/>
          <w:sz w:val="24"/>
        </w:rPr>
        <w:t>recording</w:t>
      </w:r>
      <w:r w:rsidRPr="0031675F">
        <w:rPr>
          <w:b/>
          <w:spacing w:val="51"/>
          <w:sz w:val="24"/>
        </w:rPr>
        <w:t xml:space="preserve"> </w:t>
      </w:r>
      <w:r w:rsidRPr="0031675F">
        <w:rPr>
          <w:b/>
          <w:sz w:val="24"/>
        </w:rPr>
        <w:t>suspended</w:t>
      </w:r>
      <w:r w:rsidRPr="0031675F">
        <w:rPr>
          <w:b/>
          <w:spacing w:val="48"/>
          <w:sz w:val="24"/>
        </w:rPr>
        <w:t xml:space="preserve"> </w:t>
      </w:r>
      <w:r w:rsidRPr="0031675F">
        <w:rPr>
          <w:b/>
          <w:spacing w:val="-1"/>
          <w:sz w:val="24"/>
        </w:rPr>
        <w:t>solid</w:t>
      </w:r>
      <w:r w:rsidRPr="0031675F">
        <w:rPr>
          <w:b/>
          <w:spacing w:val="51"/>
          <w:sz w:val="24"/>
        </w:rPr>
        <w:t xml:space="preserve"> </w:t>
      </w:r>
      <w:r w:rsidRPr="0031675F">
        <w:rPr>
          <w:b/>
          <w:spacing w:val="-1"/>
          <w:sz w:val="24"/>
        </w:rPr>
        <w:t>filters</w:t>
      </w:r>
      <w:r w:rsidRPr="0031675F">
        <w:rPr>
          <w:b/>
          <w:spacing w:val="52"/>
          <w:sz w:val="24"/>
        </w:rPr>
        <w:t xml:space="preserve"> </w:t>
      </w:r>
      <w:r w:rsidRPr="0031675F">
        <w:rPr>
          <w:b/>
          <w:spacing w:val="-1"/>
          <w:sz w:val="24"/>
        </w:rPr>
        <w:t>using</w:t>
      </w:r>
      <w:r w:rsidRPr="0031675F">
        <w:rPr>
          <w:b/>
          <w:spacing w:val="50"/>
          <w:sz w:val="24"/>
        </w:rPr>
        <w:t xml:space="preserve"> </w:t>
      </w:r>
      <w:r w:rsidRPr="0031675F">
        <w:rPr>
          <w:b/>
          <w:spacing w:val="-1"/>
          <w:sz w:val="24"/>
        </w:rPr>
        <w:t>the</w:t>
      </w:r>
      <w:r w:rsidRPr="0031675F">
        <w:rPr>
          <w:b/>
          <w:spacing w:val="53"/>
          <w:sz w:val="24"/>
        </w:rPr>
        <w:t xml:space="preserve"> </w:t>
      </w:r>
      <w:r w:rsidRPr="0031675F">
        <w:rPr>
          <w:b/>
          <w:spacing w:val="-1"/>
          <w:sz w:val="24"/>
        </w:rPr>
        <w:t>water</w:t>
      </w:r>
      <w:r w:rsidRPr="0031675F">
        <w:rPr>
          <w:b/>
          <w:spacing w:val="1"/>
          <w:sz w:val="24"/>
        </w:rPr>
        <w:t xml:space="preserve"> </w:t>
      </w:r>
      <w:r w:rsidRPr="0031675F">
        <w:rPr>
          <w:b/>
          <w:spacing w:val="-1"/>
          <w:sz w:val="24"/>
        </w:rPr>
        <w:t>quality</w:t>
      </w:r>
      <w:r w:rsidRPr="0031675F">
        <w:rPr>
          <w:b/>
          <w:spacing w:val="-6"/>
          <w:sz w:val="24"/>
        </w:rPr>
        <w:t xml:space="preserve"> </w:t>
      </w:r>
      <w:r w:rsidRPr="0031675F">
        <w:rPr>
          <w:b/>
          <w:spacing w:val="-1"/>
          <w:sz w:val="24"/>
        </w:rPr>
        <w:t>filter</w:t>
      </w:r>
      <w:r w:rsidRPr="0031675F">
        <w:rPr>
          <w:b/>
          <w:spacing w:val="-2"/>
          <w:sz w:val="24"/>
        </w:rPr>
        <w:t xml:space="preserve"> </w:t>
      </w:r>
      <w:r w:rsidRPr="0031675F">
        <w:rPr>
          <w:b/>
          <w:sz w:val="24"/>
        </w:rPr>
        <w:t xml:space="preserve">weigh station </w:t>
      </w:r>
      <w:r w:rsidRPr="0031675F">
        <w:rPr>
          <w:b/>
          <w:spacing w:val="-1"/>
          <w:sz w:val="24"/>
        </w:rPr>
        <w:t>tool</w:t>
      </w:r>
    </w:p>
    <w:p w14:paraId="15A900A2" w14:textId="77777777" w:rsidR="0031675F" w:rsidRPr="0031675F" w:rsidRDefault="0031675F" w:rsidP="0031675F">
      <w:pPr>
        <w:spacing w:before="11"/>
        <w:rPr>
          <w:rFonts w:eastAsia="Arial" w:cs="Arial"/>
          <w:b/>
          <w:bCs/>
          <w:sz w:val="20"/>
          <w:szCs w:val="20"/>
        </w:rPr>
      </w:pPr>
    </w:p>
    <w:p w14:paraId="0F8A1109" w14:textId="77777777" w:rsidR="0031675F" w:rsidRPr="0031675F" w:rsidRDefault="0031675F" w:rsidP="0031675F">
      <w:pPr>
        <w:ind w:left="138" w:right="111"/>
        <w:jc w:val="both"/>
        <w:rPr>
          <w:rFonts w:cs="Calibri"/>
        </w:rPr>
      </w:pPr>
      <w:r w:rsidRPr="0031675F">
        <w:rPr>
          <w:i/>
          <w:spacing w:val="-1"/>
        </w:rPr>
        <w:t>NB:</w:t>
      </w:r>
      <w:r w:rsidRPr="0031675F">
        <w:rPr>
          <w:i/>
          <w:spacing w:val="39"/>
        </w:rPr>
        <w:t xml:space="preserve"> </w:t>
      </w:r>
      <w:r w:rsidRPr="0031675F">
        <w:rPr>
          <w:i/>
          <w:spacing w:val="-1"/>
        </w:rPr>
        <w:t>These</w:t>
      </w:r>
      <w:r w:rsidRPr="0031675F">
        <w:rPr>
          <w:i/>
          <w:spacing w:val="20"/>
        </w:rPr>
        <w:t xml:space="preserve"> </w:t>
      </w:r>
      <w:r w:rsidRPr="0031675F">
        <w:rPr>
          <w:i/>
          <w:spacing w:val="-1"/>
        </w:rPr>
        <w:t>instructions</w:t>
      </w:r>
      <w:r w:rsidRPr="0031675F">
        <w:rPr>
          <w:i/>
          <w:spacing w:val="20"/>
        </w:rPr>
        <w:t xml:space="preserve"> </w:t>
      </w:r>
      <w:r w:rsidRPr="0031675F">
        <w:rPr>
          <w:i/>
          <w:spacing w:val="-1"/>
        </w:rPr>
        <w:t>are</w:t>
      </w:r>
      <w:r w:rsidRPr="0031675F">
        <w:rPr>
          <w:i/>
          <w:spacing w:val="17"/>
        </w:rPr>
        <w:t xml:space="preserve"> </w:t>
      </w:r>
      <w:r w:rsidRPr="0031675F">
        <w:rPr>
          <w:i/>
          <w:spacing w:val="-1"/>
        </w:rPr>
        <w:t>designed</w:t>
      </w:r>
      <w:r w:rsidRPr="0031675F">
        <w:rPr>
          <w:i/>
          <w:spacing w:val="18"/>
        </w:rPr>
        <w:t xml:space="preserve"> </w:t>
      </w:r>
      <w:r w:rsidRPr="0031675F">
        <w:rPr>
          <w:i/>
          <w:spacing w:val="-1"/>
        </w:rPr>
        <w:t>specifically</w:t>
      </w:r>
      <w:r w:rsidRPr="0031675F">
        <w:rPr>
          <w:i/>
          <w:spacing w:val="19"/>
        </w:rPr>
        <w:t xml:space="preserve"> </w:t>
      </w:r>
      <w:r w:rsidRPr="0031675F">
        <w:rPr>
          <w:i/>
          <w:spacing w:val="-1"/>
        </w:rPr>
        <w:t>for</w:t>
      </w:r>
      <w:r w:rsidRPr="0031675F">
        <w:rPr>
          <w:i/>
          <w:spacing w:val="20"/>
        </w:rPr>
        <w:t xml:space="preserve"> </w:t>
      </w:r>
      <w:r w:rsidRPr="0031675F">
        <w:rPr>
          <w:i/>
        </w:rPr>
        <w:t>the</w:t>
      </w:r>
      <w:r w:rsidRPr="0031675F">
        <w:rPr>
          <w:i/>
          <w:spacing w:val="19"/>
        </w:rPr>
        <w:t xml:space="preserve"> </w:t>
      </w:r>
      <w:r w:rsidRPr="0031675F">
        <w:rPr>
          <w:i/>
          <w:spacing w:val="-1"/>
        </w:rPr>
        <w:t>entering</w:t>
      </w:r>
      <w:r w:rsidRPr="0031675F">
        <w:rPr>
          <w:i/>
          <w:spacing w:val="23"/>
        </w:rPr>
        <w:t xml:space="preserve"> </w:t>
      </w:r>
      <w:r w:rsidRPr="0031675F">
        <w:rPr>
          <w:i/>
          <w:spacing w:val="-1"/>
        </w:rPr>
        <w:t>Suspended</w:t>
      </w:r>
      <w:r w:rsidRPr="0031675F">
        <w:rPr>
          <w:i/>
          <w:spacing w:val="18"/>
        </w:rPr>
        <w:t xml:space="preserve"> </w:t>
      </w:r>
      <w:r w:rsidRPr="0031675F">
        <w:rPr>
          <w:i/>
          <w:spacing w:val="-1"/>
        </w:rPr>
        <w:t>Solid</w:t>
      </w:r>
      <w:r w:rsidRPr="0031675F">
        <w:rPr>
          <w:i/>
          <w:spacing w:val="18"/>
        </w:rPr>
        <w:t xml:space="preserve"> </w:t>
      </w:r>
      <w:r w:rsidRPr="0031675F">
        <w:rPr>
          <w:i/>
          <w:spacing w:val="-1"/>
        </w:rPr>
        <w:t>filter</w:t>
      </w:r>
      <w:r w:rsidRPr="0031675F">
        <w:rPr>
          <w:i/>
          <w:spacing w:val="21"/>
        </w:rPr>
        <w:t xml:space="preserve"> </w:t>
      </w:r>
      <w:r w:rsidRPr="0031675F">
        <w:rPr>
          <w:i/>
          <w:spacing w:val="-1"/>
        </w:rPr>
        <w:t>weights</w:t>
      </w:r>
      <w:r w:rsidRPr="0031675F">
        <w:rPr>
          <w:i/>
          <w:spacing w:val="20"/>
        </w:rPr>
        <w:t xml:space="preserve"> </w:t>
      </w:r>
      <w:r w:rsidRPr="0031675F">
        <w:rPr>
          <w:i/>
          <w:spacing w:val="-1"/>
        </w:rPr>
        <w:t>into</w:t>
      </w:r>
      <w:r w:rsidRPr="0031675F">
        <w:rPr>
          <w:i/>
          <w:spacing w:val="73"/>
        </w:rPr>
        <w:t xml:space="preserve"> </w:t>
      </w:r>
      <w:r w:rsidRPr="0031675F">
        <w:rPr>
          <w:i/>
        </w:rPr>
        <w:t>the</w:t>
      </w:r>
      <w:r w:rsidRPr="0031675F">
        <w:rPr>
          <w:i/>
          <w:spacing w:val="5"/>
        </w:rPr>
        <w:t xml:space="preserve"> </w:t>
      </w:r>
      <w:r w:rsidRPr="0031675F">
        <w:rPr>
          <w:i/>
          <w:spacing w:val="-1"/>
        </w:rPr>
        <w:t>Oracle</w:t>
      </w:r>
      <w:r w:rsidRPr="0031675F">
        <w:rPr>
          <w:i/>
          <w:spacing w:val="5"/>
        </w:rPr>
        <w:t xml:space="preserve"> </w:t>
      </w:r>
      <w:r w:rsidRPr="0031675F">
        <w:rPr>
          <w:i/>
          <w:spacing w:val="-1"/>
        </w:rPr>
        <w:t>database</w:t>
      </w:r>
      <w:r w:rsidRPr="0031675F">
        <w:rPr>
          <w:i/>
          <w:spacing w:val="5"/>
        </w:rPr>
        <w:t xml:space="preserve"> </w:t>
      </w:r>
      <w:r w:rsidRPr="0031675F">
        <w:rPr>
          <w:i/>
          <w:spacing w:val="-1"/>
        </w:rPr>
        <w:t>for</w:t>
      </w:r>
      <w:r w:rsidRPr="0031675F">
        <w:rPr>
          <w:i/>
          <w:spacing w:val="3"/>
        </w:rPr>
        <w:t xml:space="preserve"> </w:t>
      </w:r>
      <w:r w:rsidRPr="0031675F">
        <w:rPr>
          <w:i/>
          <w:spacing w:val="-1"/>
        </w:rPr>
        <w:t>Water</w:t>
      </w:r>
      <w:r w:rsidRPr="0031675F">
        <w:rPr>
          <w:i/>
          <w:spacing w:val="6"/>
        </w:rPr>
        <w:t xml:space="preserve"> </w:t>
      </w:r>
      <w:r w:rsidRPr="0031675F">
        <w:rPr>
          <w:i/>
          <w:spacing w:val="-1"/>
        </w:rPr>
        <w:t>Quality.</w:t>
      </w:r>
      <w:r w:rsidRPr="0031675F">
        <w:rPr>
          <w:i/>
          <w:spacing w:val="7"/>
        </w:rPr>
        <w:t xml:space="preserve"> </w:t>
      </w:r>
      <w:r w:rsidRPr="0031675F">
        <w:rPr>
          <w:i/>
          <w:spacing w:val="-1"/>
        </w:rPr>
        <w:t>You</w:t>
      </w:r>
      <w:r w:rsidRPr="0031675F">
        <w:rPr>
          <w:i/>
          <w:spacing w:val="2"/>
        </w:rPr>
        <w:t xml:space="preserve"> </w:t>
      </w:r>
      <w:r w:rsidRPr="0031675F">
        <w:rPr>
          <w:i/>
        </w:rPr>
        <w:t>must</w:t>
      </w:r>
      <w:r w:rsidRPr="0031675F">
        <w:rPr>
          <w:i/>
          <w:spacing w:val="5"/>
        </w:rPr>
        <w:t xml:space="preserve"> </w:t>
      </w:r>
      <w:r w:rsidRPr="0031675F">
        <w:rPr>
          <w:i/>
          <w:spacing w:val="-2"/>
        </w:rPr>
        <w:t>be</w:t>
      </w:r>
      <w:r w:rsidRPr="0031675F">
        <w:rPr>
          <w:i/>
          <w:spacing w:val="2"/>
        </w:rPr>
        <w:t xml:space="preserve"> </w:t>
      </w:r>
      <w:r w:rsidRPr="0031675F">
        <w:rPr>
          <w:i/>
          <w:spacing w:val="-1"/>
        </w:rPr>
        <w:t>assigned</w:t>
      </w:r>
      <w:r w:rsidRPr="0031675F">
        <w:rPr>
          <w:i/>
          <w:spacing w:val="4"/>
        </w:rPr>
        <w:t xml:space="preserve"> </w:t>
      </w:r>
      <w:r w:rsidRPr="0031675F">
        <w:rPr>
          <w:i/>
          <w:spacing w:val="-1"/>
        </w:rPr>
        <w:t>access</w:t>
      </w:r>
      <w:r w:rsidRPr="0031675F">
        <w:rPr>
          <w:i/>
          <w:spacing w:val="5"/>
        </w:rPr>
        <w:t xml:space="preserve"> </w:t>
      </w:r>
      <w:r w:rsidRPr="0031675F">
        <w:rPr>
          <w:i/>
          <w:spacing w:val="-1"/>
        </w:rPr>
        <w:t>privileges</w:t>
      </w:r>
      <w:r w:rsidRPr="0031675F">
        <w:rPr>
          <w:i/>
          <w:spacing w:val="3"/>
        </w:rPr>
        <w:t xml:space="preserve"> </w:t>
      </w:r>
      <w:r w:rsidRPr="0031675F">
        <w:rPr>
          <w:i/>
          <w:spacing w:val="-1"/>
        </w:rPr>
        <w:t>to</w:t>
      </w:r>
      <w:r w:rsidRPr="0031675F">
        <w:rPr>
          <w:i/>
          <w:spacing w:val="4"/>
        </w:rPr>
        <w:t xml:space="preserve"> </w:t>
      </w:r>
      <w:r w:rsidRPr="0031675F">
        <w:rPr>
          <w:i/>
        </w:rPr>
        <w:t>this</w:t>
      </w:r>
      <w:r w:rsidRPr="0031675F">
        <w:rPr>
          <w:i/>
          <w:spacing w:val="5"/>
        </w:rPr>
        <w:t xml:space="preserve"> </w:t>
      </w:r>
      <w:r w:rsidRPr="0031675F">
        <w:rPr>
          <w:i/>
          <w:spacing w:val="-1"/>
        </w:rPr>
        <w:t>site</w:t>
      </w:r>
      <w:r w:rsidRPr="0031675F">
        <w:rPr>
          <w:i/>
          <w:spacing w:val="5"/>
        </w:rPr>
        <w:t xml:space="preserve"> </w:t>
      </w:r>
      <w:r w:rsidRPr="0031675F">
        <w:rPr>
          <w:i/>
          <w:spacing w:val="-1"/>
        </w:rPr>
        <w:t>before</w:t>
      </w:r>
      <w:r w:rsidRPr="0031675F">
        <w:rPr>
          <w:i/>
          <w:spacing w:val="5"/>
        </w:rPr>
        <w:t xml:space="preserve"> </w:t>
      </w:r>
      <w:r w:rsidRPr="0031675F">
        <w:rPr>
          <w:i/>
          <w:spacing w:val="-1"/>
        </w:rPr>
        <w:t>you</w:t>
      </w:r>
      <w:r w:rsidRPr="0031675F">
        <w:rPr>
          <w:i/>
          <w:spacing w:val="47"/>
        </w:rPr>
        <w:t xml:space="preserve"> </w:t>
      </w:r>
      <w:r w:rsidRPr="0031675F">
        <w:rPr>
          <w:i/>
        </w:rPr>
        <w:t xml:space="preserve">will </w:t>
      </w:r>
      <w:r w:rsidRPr="0031675F">
        <w:rPr>
          <w:i/>
          <w:spacing w:val="-1"/>
        </w:rPr>
        <w:t>be</w:t>
      </w:r>
      <w:r w:rsidRPr="0031675F">
        <w:rPr>
          <w:i/>
        </w:rPr>
        <w:t xml:space="preserve"> </w:t>
      </w:r>
      <w:r w:rsidRPr="0031675F">
        <w:rPr>
          <w:i/>
          <w:spacing w:val="-1"/>
        </w:rPr>
        <w:t>able</w:t>
      </w:r>
      <w:r w:rsidRPr="0031675F">
        <w:rPr>
          <w:i/>
        </w:rPr>
        <w:t xml:space="preserve"> to</w:t>
      </w:r>
      <w:r w:rsidRPr="0031675F">
        <w:rPr>
          <w:i/>
          <w:spacing w:val="-3"/>
        </w:rPr>
        <w:t xml:space="preserve"> </w:t>
      </w:r>
      <w:r w:rsidRPr="0031675F">
        <w:rPr>
          <w:i/>
          <w:spacing w:val="-1"/>
        </w:rPr>
        <w:t>enter</w:t>
      </w:r>
      <w:r w:rsidRPr="0031675F">
        <w:rPr>
          <w:i/>
          <w:spacing w:val="1"/>
        </w:rPr>
        <w:t xml:space="preserve"> </w:t>
      </w:r>
      <w:r w:rsidRPr="0031675F">
        <w:rPr>
          <w:i/>
          <w:spacing w:val="-1"/>
        </w:rPr>
        <w:t>data.</w:t>
      </w:r>
    </w:p>
    <w:p w14:paraId="3EBC3301" w14:textId="77777777" w:rsidR="0031675F" w:rsidRPr="0031675F" w:rsidRDefault="0031675F" w:rsidP="0031675F">
      <w:pPr>
        <w:rPr>
          <w:rFonts w:cs="Calibri"/>
          <w:i/>
        </w:rPr>
      </w:pPr>
    </w:p>
    <w:p w14:paraId="54FD71B2" w14:textId="77777777" w:rsidR="0031675F" w:rsidRPr="0031675F" w:rsidRDefault="0031675F" w:rsidP="0031675F">
      <w:pPr>
        <w:widowControl w:val="0"/>
        <w:numPr>
          <w:ilvl w:val="0"/>
          <w:numId w:val="76"/>
        </w:numPr>
        <w:tabs>
          <w:tab w:val="left" w:pos="431"/>
        </w:tabs>
        <w:spacing w:before="0" w:after="0" w:line="267" w:lineRule="exact"/>
        <w:jc w:val="both"/>
        <w:rPr>
          <w:rFonts w:cs="Calibri"/>
        </w:rPr>
      </w:pPr>
      <w:r w:rsidRPr="0031675F">
        <w:rPr>
          <w:rFonts w:cs="Calibri"/>
          <w:b/>
          <w:bCs/>
          <w:spacing w:val="-1"/>
        </w:rPr>
        <w:t xml:space="preserve">Procedure </w:t>
      </w:r>
      <w:r w:rsidRPr="0031675F">
        <w:rPr>
          <w:rFonts w:cs="Calibri"/>
          <w:b/>
          <w:bCs/>
          <w:spacing w:val="-2"/>
        </w:rPr>
        <w:t xml:space="preserve">for </w:t>
      </w:r>
      <w:r w:rsidRPr="0031675F">
        <w:rPr>
          <w:rFonts w:cs="Calibri"/>
          <w:b/>
          <w:bCs/>
          <w:spacing w:val="-1"/>
        </w:rPr>
        <w:t>weighing</w:t>
      </w:r>
      <w:r w:rsidRPr="0031675F">
        <w:rPr>
          <w:rFonts w:cs="Calibri"/>
          <w:b/>
          <w:bCs/>
          <w:spacing w:val="-2"/>
        </w:rPr>
        <w:t xml:space="preserve"> </w:t>
      </w:r>
      <w:r w:rsidRPr="0031675F">
        <w:rPr>
          <w:rFonts w:cs="Calibri"/>
          <w:b/>
          <w:bCs/>
        </w:rPr>
        <w:t xml:space="preserve">empty </w:t>
      </w:r>
      <w:r w:rsidRPr="0031675F">
        <w:rPr>
          <w:rFonts w:cs="Calibri"/>
          <w:b/>
          <w:bCs/>
          <w:spacing w:val="-1"/>
        </w:rPr>
        <w:t>filters</w:t>
      </w:r>
      <w:r w:rsidRPr="0031675F">
        <w:rPr>
          <w:rFonts w:cs="Calibri"/>
          <w:b/>
          <w:bCs/>
          <w:spacing w:val="-2"/>
        </w:rPr>
        <w:t xml:space="preserve"> </w:t>
      </w:r>
      <w:r w:rsidRPr="0031675F">
        <w:rPr>
          <w:rFonts w:cs="Calibri"/>
          <w:b/>
          <w:bCs/>
          <w:spacing w:val="-1"/>
        </w:rPr>
        <w:t>(i.e.</w:t>
      </w:r>
      <w:r w:rsidRPr="0031675F">
        <w:rPr>
          <w:rFonts w:cs="Calibri"/>
          <w:b/>
          <w:bCs/>
          <w:spacing w:val="-2"/>
        </w:rPr>
        <w:t xml:space="preserve"> </w:t>
      </w:r>
      <w:r w:rsidRPr="0031675F">
        <w:rPr>
          <w:rFonts w:cs="Calibri"/>
          <w:b/>
          <w:bCs/>
          <w:spacing w:val="-1"/>
        </w:rPr>
        <w:t>entering</w:t>
      </w:r>
      <w:r w:rsidRPr="0031675F">
        <w:rPr>
          <w:rFonts w:cs="Calibri"/>
          <w:b/>
          <w:bCs/>
          <w:spacing w:val="-2"/>
        </w:rPr>
        <w:t xml:space="preserve"> </w:t>
      </w:r>
      <w:r w:rsidRPr="0031675F">
        <w:rPr>
          <w:rFonts w:cs="Calibri"/>
          <w:b/>
          <w:bCs/>
          <w:spacing w:val="-1"/>
        </w:rPr>
        <w:t>“Initial</w:t>
      </w:r>
      <w:r w:rsidRPr="0031675F">
        <w:rPr>
          <w:rFonts w:cs="Calibri"/>
          <w:b/>
          <w:bCs/>
          <w:spacing w:val="-2"/>
        </w:rPr>
        <w:t xml:space="preserve"> </w:t>
      </w:r>
      <w:r w:rsidRPr="0031675F">
        <w:rPr>
          <w:rFonts w:cs="Calibri"/>
          <w:b/>
          <w:bCs/>
          <w:spacing w:val="-1"/>
        </w:rPr>
        <w:t>weights”).</w:t>
      </w:r>
    </w:p>
    <w:p w14:paraId="19FFACAE" w14:textId="77777777" w:rsidR="0031675F" w:rsidRPr="0031675F" w:rsidRDefault="0031675F" w:rsidP="0031675F">
      <w:pPr>
        <w:widowControl w:val="0"/>
        <w:numPr>
          <w:ilvl w:val="1"/>
          <w:numId w:val="76"/>
        </w:numPr>
        <w:tabs>
          <w:tab w:val="left" w:pos="679"/>
        </w:tabs>
        <w:spacing w:before="0" w:after="0" w:line="267" w:lineRule="exact"/>
      </w:pPr>
      <w:r w:rsidRPr="0031675F">
        <w:rPr>
          <w:spacing w:val="-1"/>
        </w:rPr>
        <w:t>Using the</w:t>
      </w:r>
      <w:r w:rsidRPr="0031675F">
        <w:t xml:space="preserve"> </w:t>
      </w:r>
      <w:r w:rsidRPr="0031675F">
        <w:rPr>
          <w:spacing w:val="-1"/>
        </w:rPr>
        <w:t>WQ</w:t>
      </w:r>
      <w:r w:rsidRPr="0031675F">
        <w:t xml:space="preserve"> </w:t>
      </w:r>
      <w:r w:rsidRPr="0031675F">
        <w:rPr>
          <w:spacing w:val="-1"/>
        </w:rPr>
        <w:t>database</w:t>
      </w:r>
      <w:r w:rsidRPr="0031675F">
        <w:t xml:space="preserve"> </w:t>
      </w:r>
      <w:r w:rsidRPr="0031675F">
        <w:rPr>
          <w:spacing w:val="-1"/>
        </w:rPr>
        <w:t>Open</w:t>
      </w:r>
      <w:r w:rsidRPr="0031675F">
        <w:rPr>
          <w:spacing w:val="1"/>
        </w:rPr>
        <w:t xml:space="preserve"> </w:t>
      </w:r>
      <w:r w:rsidRPr="0031675F">
        <w:rPr>
          <w:b/>
          <w:spacing w:val="-1"/>
        </w:rPr>
        <w:t>Winwedge</w:t>
      </w:r>
      <w:r w:rsidRPr="0031675F">
        <w:rPr>
          <w:b/>
        </w:rPr>
        <w:t xml:space="preserve"> </w:t>
      </w:r>
      <w:r w:rsidRPr="0031675F">
        <w:rPr>
          <w:spacing w:val="-1"/>
        </w:rPr>
        <w:t>using the</w:t>
      </w:r>
      <w:r w:rsidRPr="0031675F">
        <w:rPr>
          <w:spacing w:val="-2"/>
        </w:rPr>
        <w:t xml:space="preserve"> </w:t>
      </w:r>
      <w:r w:rsidRPr="0031675F">
        <w:rPr>
          <w:spacing w:val="-1"/>
        </w:rPr>
        <w:t>shortcut</w:t>
      </w:r>
      <w:r w:rsidRPr="0031675F">
        <w:rPr>
          <w:spacing w:val="-3"/>
        </w:rPr>
        <w:t xml:space="preserve"> </w:t>
      </w:r>
      <w:r w:rsidRPr="0031675F">
        <w:t>icon.</w:t>
      </w:r>
    </w:p>
    <w:p w14:paraId="00906216" w14:textId="77777777" w:rsidR="0031675F" w:rsidRPr="0031675F" w:rsidRDefault="0031675F" w:rsidP="0031675F">
      <w:pPr>
        <w:widowControl w:val="0"/>
        <w:numPr>
          <w:ilvl w:val="1"/>
          <w:numId w:val="76"/>
        </w:numPr>
        <w:tabs>
          <w:tab w:val="left" w:pos="679"/>
        </w:tabs>
        <w:spacing w:before="0" w:after="0" w:line="240" w:lineRule="auto"/>
        <w:rPr>
          <w:rFonts w:cs="Calibri"/>
        </w:rPr>
      </w:pPr>
      <w:r w:rsidRPr="0031675F">
        <w:rPr>
          <w:spacing w:val="-1"/>
        </w:rPr>
        <w:t>Under</w:t>
      </w:r>
      <w:r w:rsidRPr="0031675F">
        <w:t xml:space="preserve"> </w:t>
      </w:r>
      <w:r w:rsidRPr="0031675F">
        <w:rPr>
          <w:b/>
        </w:rPr>
        <w:t>File</w:t>
      </w:r>
      <w:r w:rsidRPr="0031675F">
        <w:t>,</w:t>
      </w:r>
      <w:r w:rsidRPr="0031675F">
        <w:rPr>
          <w:spacing w:val="-3"/>
        </w:rPr>
        <w:t xml:space="preserve"> </w:t>
      </w:r>
      <w:r w:rsidRPr="0031675F">
        <w:rPr>
          <w:spacing w:val="-1"/>
        </w:rPr>
        <w:t>open</w:t>
      </w:r>
      <w:r w:rsidRPr="0031675F">
        <w:t xml:space="preserve"> </w:t>
      </w:r>
      <w:r w:rsidRPr="0031675F">
        <w:rPr>
          <w:b/>
          <w:spacing w:val="-1"/>
        </w:rPr>
        <w:t>balance.cfg</w:t>
      </w:r>
      <w:r w:rsidRPr="0031675F">
        <w:rPr>
          <w:spacing w:val="-1"/>
        </w:rPr>
        <w:t>.</w:t>
      </w:r>
      <w:r w:rsidRPr="0031675F">
        <w:t xml:space="preserve"> </w:t>
      </w:r>
      <w:r w:rsidRPr="0031675F">
        <w:rPr>
          <w:spacing w:val="-1"/>
        </w:rPr>
        <w:t>Press</w:t>
      </w:r>
      <w:r w:rsidRPr="0031675F">
        <w:rPr>
          <w:spacing w:val="1"/>
        </w:rPr>
        <w:t xml:space="preserve"> </w:t>
      </w:r>
      <w:r w:rsidRPr="0031675F">
        <w:rPr>
          <w:b/>
          <w:spacing w:val="-1"/>
        </w:rPr>
        <w:t>ok</w:t>
      </w:r>
      <w:r w:rsidRPr="0031675F">
        <w:rPr>
          <w:b/>
          <w:spacing w:val="-3"/>
        </w:rPr>
        <w:t xml:space="preserve"> </w:t>
      </w:r>
      <w:r w:rsidRPr="0031675F">
        <w:t>to</w:t>
      </w:r>
      <w:r w:rsidRPr="0031675F">
        <w:rPr>
          <w:spacing w:val="-1"/>
        </w:rPr>
        <w:t xml:space="preserve"> accept.</w:t>
      </w:r>
    </w:p>
    <w:p w14:paraId="3E0F956C" w14:textId="77777777" w:rsidR="0031675F" w:rsidRPr="0031675F" w:rsidRDefault="0031675F" w:rsidP="0031675F">
      <w:pPr>
        <w:widowControl w:val="0"/>
        <w:numPr>
          <w:ilvl w:val="1"/>
          <w:numId w:val="76"/>
        </w:numPr>
        <w:tabs>
          <w:tab w:val="left" w:pos="679"/>
        </w:tabs>
        <w:spacing w:before="0" w:after="0" w:line="240" w:lineRule="auto"/>
        <w:rPr>
          <w:rFonts w:cs="Calibri"/>
        </w:rPr>
      </w:pPr>
      <w:r w:rsidRPr="0031675F">
        <w:rPr>
          <w:spacing w:val="-1"/>
        </w:rPr>
        <w:t>Under</w:t>
      </w:r>
      <w:r w:rsidRPr="0031675F">
        <w:t xml:space="preserve"> </w:t>
      </w:r>
      <w:r w:rsidRPr="0031675F">
        <w:rPr>
          <w:b/>
          <w:spacing w:val="-1"/>
        </w:rPr>
        <w:t>Activate</w:t>
      </w:r>
      <w:r w:rsidRPr="0031675F">
        <w:rPr>
          <w:spacing w:val="-1"/>
        </w:rPr>
        <w:t>,</w:t>
      </w:r>
      <w:r w:rsidRPr="0031675F">
        <w:t xml:space="preserve"> </w:t>
      </w:r>
      <w:r w:rsidRPr="0031675F">
        <w:rPr>
          <w:spacing w:val="-1"/>
        </w:rPr>
        <w:t>select</w:t>
      </w:r>
      <w:r w:rsidRPr="0031675F">
        <w:rPr>
          <w:spacing w:val="1"/>
        </w:rPr>
        <w:t xml:space="preserve"> </w:t>
      </w:r>
      <w:r w:rsidRPr="0031675F">
        <w:rPr>
          <w:b/>
          <w:spacing w:val="-1"/>
        </w:rPr>
        <w:t>normal</w:t>
      </w:r>
      <w:r w:rsidRPr="0031675F">
        <w:rPr>
          <w:b/>
          <w:spacing w:val="1"/>
        </w:rPr>
        <w:t xml:space="preserve"> </w:t>
      </w:r>
      <w:r w:rsidRPr="0031675F">
        <w:rPr>
          <w:b/>
          <w:spacing w:val="-1"/>
        </w:rPr>
        <w:t>mode</w:t>
      </w:r>
      <w:r w:rsidRPr="0031675F">
        <w:rPr>
          <w:spacing w:val="-1"/>
        </w:rPr>
        <w:t>.</w:t>
      </w:r>
    </w:p>
    <w:p w14:paraId="76E4293F" w14:textId="77777777" w:rsidR="0031675F" w:rsidRPr="0031675F" w:rsidRDefault="0031675F" w:rsidP="0031675F">
      <w:pPr>
        <w:widowControl w:val="0"/>
        <w:numPr>
          <w:ilvl w:val="1"/>
          <w:numId w:val="76"/>
        </w:numPr>
        <w:tabs>
          <w:tab w:val="left" w:pos="679"/>
          <w:tab w:val="left" w:pos="1393"/>
          <w:tab w:val="left" w:pos="2536"/>
          <w:tab w:val="left" w:pos="3232"/>
          <w:tab w:val="left" w:pos="3760"/>
          <w:tab w:val="left" w:pos="4739"/>
          <w:tab w:val="left" w:pos="5341"/>
          <w:tab w:val="left" w:pos="5828"/>
          <w:tab w:val="left" w:pos="7025"/>
          <w:tab w:val="left" w:pos="7565"/>
          <w:tab w:val="left" w:pos="8517"/>
        </w:tabs>
        <w:spacing w:before="1" w:after="0" w:line="240" w:lineRule="auto"/>
        <w:ind w:right="112"/>
      </w:pPr>
      <w:r w:rsidRPr="0031675F">
        <w:rPr>
          <w:spacing w:val="-1"/>
        </w:rPr>
        <w:t>Open</w:t>
      </w:r>
      <w:r w:rsidRPr="0031675F">
        <w:rPr>
          <w:spacing w:val="-1"/>
        </w:rPr>
        <w:tab/>
      </w:r>
      <w:r w:rsidRPr="0031675F">
        <w:rPr>
          <w:b/>
          <w:spacing w:val="-1"/>
        </w:rPr>
        <w:t>WQFilters</w:t>
      </w:r>
      <w:r w:rsidRPr="0031675F">
        <w:rPr>
          <w:b/>
          <w:spacing w:val="-1"/>
        </w:rPr>
        <w:tab/>
      </w:r>
      <w:r w:rsidRPr="0031675F">
        <w:rPr>
          <w:spacing w:val="-1"/>
        </w:rPr>
        <w:t>using</w:t>
      </w:r>
      <w:r w:rsidRPr="0031675F">
        <w:rPr>
          <w:spacing w:val="-1"/>
        </w:rPr>
        <w:tab/>
      </w:r>
      <w:r w:rsidRPr="0031675F">
        <w:rPr>
          <w:w w:val="95"/>
        </w:rPr>
        <w:t>the</w:t>
      </w:r>
      <w:r w:rsidRPr="0031675F">
        <w:rPr>
          <w:w w:val="95"/>
        </w:rPr>
        <w:tab/>
      </w:r>
      <w:r w:rsidRPr="0031675F">
        <w:rPr>
          <w:spacing w:val="-1"/>
          <w:w w:val="95"/>
        </w:rPr>
        <w:t>shortcut</w:t>
      </w:r>
      <w:r w:rsidRPr="0031675F">
        <w:rPr>
          <w:spacing w:val="-1"/>
          <w:w w:val="95"/>
        </w:rPr>
        <w:tab/>
      </w:r>
      <w:r w:rsidRPr="0031675F">
        <w:rPr>
          <w:spacing w:val="-1"/>
        </w:rPr>
        <w:t>icon</w:t>
      </w:r>
      <w:r w:rsidRPr="0031675F">
        <w:rPr>
          <w:spacing w:val="-1"/>
        </w:rPr>
        <w:tab/>
      </w:r>
      <w:r w:rsidRPr="0031675F">
        <w:rPr>
          <w:spacing w:val="-1"/>
          <w:w w:val="95"/>
        </w:rPr>
        <w:t>(or</w:t>
      </w:r>
      <w:r w:rsidRPr="0031675F">
        <w:rPr>
          <w:spacing w:val="-1"/>
          <w:w w:val="95"/>
        </w:rPr>
        <w:tab/>
      </w:r>
      <w:r w:rsidRPr="0031675F">
        <w:rPr>
          <w:spacing w:val="-1"/>
        </w:rPr>
        <w:t>alternately</w:t>
      </w:r>
      <w:r w:rsidRPr="0031675F">
        <w:rPr>
          <w:spacing w:val="-1"/>
        </w:rPr>
        <w:tab/>
      </w:r>
      <w:r w:rsidRPr="0031675F">
        <w:rPr>
          <w:spacing w:val="-1"/>
          <w:w w:val="95"/>
        </w:rPr>
        <w:t>use</w:t>
      </w:r>
      <w:r w:rsidRPr="0031675F">
        <w:rPr>
          <w:spacing w:val="-1"/>
          <w:w w:val="95"/>
        </w:rPr>
        <w:tab/>
      </w:r>
      <w:r w:rsidRPr="0031675F">
        <w:rPr>
          <w:spacing w:val="-1"/>
        </w:rPr>
        <w:t>internet</w:t>
      </w:r>
      <w:r w:rsidRPr="0031675F">
        <w:rPr>
          <w:spacing w:val="-1"/>
        </w:rPr>
        <w:tab/>
        <w:t>address</w:t>
      </w:r>
      <w:r w:rsidRPr="0031675F">
        <w:t xml:space="preserve"> </w:t>
      </w:r>
      <w:r w:rsidRPr="0031675F">
        <w:rPr>
          <w:color w:val="0000FF"/>
        </w:rPr>
        <w:t xml:space="preserve"> </w:t>
      </w:r>
      <w:r w:rsidRPr="0031675F">
        <w:rPr>
          <w:color w:val="0000FF"/>
          <w:spacing w:val="-1"/>
          <w:u w:val="single" w:color="0000FF"/>
        </w:rPr>
        <w:t>http://waterquality.aims.gov.au:8080/wqfilters/</w:t>
      </w:r>
      <w:r w:rsidRPr="0031675F">
        <w:rPr>
          <w:color w:val="0000FF"/>
          <w:u w:val="single" w:color="0000FF"/>
        </w:rPr>
        <w:t xml:space="preserve"> </w:t>
      </w:r>
      <w:r w:rsidRPr="0031675F">
        <w:t xml:space="preserve">). </w:t>
      </w:r>
    </w:p>
    <w:p w14:paraId="2A0F5976" w14:textId="77777777" w:rsidR="0031675F" w:rsidRPr="0031675F" w:rsidRDefault="0031675F" w:rsidP="0031675F">
      <w:pPr>
        <w:widowControl w:val="0"/>
        <w:numPr>
          <w:ilvl w:val="1"/>
          <w:numId w:val="76"/>
        </w:numPr>
        <w:tabs>
          <w:tab w:val="left" w:pos="679"/>
        </w:tabs>
        <w:spacing w:before="0" w:after="0" w:line="240" w:lineRule="auto"/>
        <w:rPr>
          <w:rFonts w:cs="Calibri"/>
        </w:rPr>
      </w:pPr>
      <w:r w:rsidRPr="0031675F">
        <w:rPr>
          <w:spacing w:val="-1"/>
        </w:rPr>
        <w:t xml:space="preserve">Logon </w:t>
      </w:r>
      <w:r w:rsidRPr="0031675F">
        <w:t>with</w:t>
      </w:r>
      <w:r w:rsidRPr="0031675F">
        <w:rPr>
          <w:spacing w:val="-4"/>
        </w:rPr>
        <w:t xml:space="preserve"> </w:t>
      </w:r>
      <w:r w:rsidRPr="0031675F">
        <w:t xml:space="preserve">AIMS </w:t>
      </w:r>
      <w:r w:rsidRPr="0031675F">
        <w:rPr>
          <w:b/>
          <w:spacing w:val="-2"/>
        </w:rPr>
        <w:t>username</w:t>
      </w:r>
      <w:r w:rsidRPr="0031675F">
        <w:rPr>
          <w:b/>
        </w:rPr>
        <w:t xml:space="preserve"> </w:t>
      </w:r>
      <w:r w:rsidRPr="0031675F">
        <w:rPr>
          <w:spacing w:val="-1"/>
        </w:rPr>
        <w:t xml:space="preserve">and </w:t>
      </w:r>
      <w:r w:rsidRPr="0031675F">
        <w:rPr>
          <w:b/>
          <w:spacing w:val="-1"/>
        </w:rPr>
        <w:t>password</w:t>
      </w:r>
      <w:r w:rsidRPr="0031675F">
        <w:rPr>
          <w:spacing w:val="-1"/>
        </w:rPr>
        <w:t>.</w:t>
      </w:r>
    </w:p>
    <w:p w14:paraId="29E7DC36" w14:textId="77777777" w:rsidR="0031675F" w:rsidRPr="0031675F" w:rsidRDefault="0031675F" w:rsidP="0031675F">
      <w:pPr>
        <w:widowControl w:val="0"/>
        <w:numPr>
          <w:ilvl w:val="1"/>
          <w:numId w:val="76"/>
        </w:numPr>
        <w:tabs>
          <w:tab w:val="left" w:pos="679"/>
        </w:tabs>
        <w:spacing w:before="0" w:after="0" w:line="240" w:lineRule="auto"/>
        <w:rPr>
          <w:rFonts w:cs="Calibri"/>
        </w:rPr>
      </w:pPr>
      <w:r w:rsidRPr="0031675F">
        <w:rPr>
          <w:spacing w:val="-1"/>
        </w:rPr>
        <w:t>Click</w:t>
      </w:r>
      <w:r w:rsidRPr="0031675F">
        <w:rPr>
          <w:spacing w:val="-2"/>
        </w:rPr>
        <w:t xml:space="preserve"> </w:t>
      </w:r>
      <w:r w:rsidRPr="0031675F">
        <w:t>on</w:t>
      </w:r>
      <w:r w:rsidRPr="0031675F">
        <w:rPr>
          <w:spacing w:val="-1"/>
        </w:rPr>
        <w:t xml:space="preserve"> </w:t>
      </w:r>
      <w:r w:rsidRPr="0031675F">
        <w:rPr>
          <w:b/>
          <w:spacing w:val="-1"/>
        </w:rPr>
        <w:t>Initial</w:t>
      </w:r>
      <w:r w:rsidRPr="0031675F">
        <w:rPr>
          <w:b/>
          <w:spacing w:val="-2"/>
        </w:rPr>
        <w:t xml:space="preserve"> </w:t>
      </w:r>
      <w:r w:rsidRPr="0031675F">
        <w:rPr>
          <w:b/>
          <w:spacing w:val="-1"/>
        </w:rPr>
        <w:t>Wt</w:t>
      </w:r>
      <w:r w:rsidRPr="0031675F">
        <w:rPr>
          <w:b/>
        </w:rPr>
        <w:t xml:space="preserve"> </w:t>
      </w:r>
      <w:r w:rsidRPr="0031675F">
        <w:rPr>
          <w:spacing w:val="-1"/>
        </w:rPr>
        <w:t>icon.</w:t>
      </w:r>
    </w:p>
    <w:p w14:paraId="3EF7BD03" w14:textId="77777777" w:rsidR="0031675F" w:rsidRPr="0031675F" w:rsidRDefault="0031675F" w:rsidP="0031675F">
      <w:pPr>
        <w:widowControl w:val="0"/>
        <w:numPr>
          <w:ilvl w:val="1"/>
          <w:numId w:val="76"/>
        </w:numPr>
        <w:tabs>
          <w:tab w:val="left" w:pos="679"/>
        </w:tabs>
        <w:spacing w:before="0" w:after="0" w:line="239" w:lineRule="auto"/>
        <w:ind w:right="112"/>
        <w:jc w:val="both"/>
      </w:pPr>
      <w:r w:rsidRPr="0031675F">
        <w:rPr>
          <w:spacing w:val="-1"/>
        </w:rPr>
        <w:t>Select</w:t>
      </w:r>
      <w:r w:rsidRPr="0031675F">
        <w:rPr>
          <w:spacing w:val="11"/>
        </w:rPr>
        <w:t xml:space="preserve"> </w:t>
      </w:r>
      <w:r w:rsidRPr="0031675F">
        <w:t>an</w:t>
      </w:r>
      <w:r w:rsidRPr="0031675F">
        <w:rPr>
          <w:spacing w:val="9"/>
        </w:rPr>
        <w:t xml:space="preserve"> </w:t>
      </w:r>
      <w:r w:rsidRPr="0031675F">
        <w:rPr>
          <w:spacing w:val="-1"/>
        </w:rPr>
        <w:t>alphanumeric</w:t>
      </w:r>
      <w:r w:rsidRPr="0031675F">
        <w:rPr>
          <w:spacing w:val="9"/>
        </w:rPr>
        <w:t xml:space="preserve"> </w:t>
      </w:r>
      <w:r w:rsidRPr="0031675F">
        <w:rPr>
          <w:spacing w:val="-2"/>
        </w:rPr>
        <w:t>code</w:t>
      </w:r>
      <w:r w:rsidRPr="0031675F">
        <w:rPr>
          <w:spacing w:val="10"/>
        </w:rPr>
        <w:t xml:space="preserve"> </w:t>
      </w:r>
      <w:r w:rsidRPr="0031675F">
        <w:rPr>
          <w:spacing w:val="-1"/>
        </w:rPr>
        <w:t>range</w:t>
      </w:r>
      <w:r w:rsidRPr="0031675F">
        <w:rPr>
          <w:spacing w:val="10"/>
        </w:rPr>
        <w:t xml:space="preserve"> </w:t>
      </w:r>
      <w:r w:rsidRPr="0031675F">
        <w:t>that</w:t>
      </w:r>
      <w:r w:rsidRPr="0031675F">
        <w:rPr>
          <w:spacing w:val="10"/>
        </w:rPr>
        <w:t xml:space="preserve"> </w:t>
      </w:r>
      <w:r w:rsidRPr="0031675F">
        <w:rPr>
          <w:spacing w:val="-1"/>
        </w:rPr>
        <w:t>has</w:t>
      </w:r>
      <w:r w:rsidRPr="0031675F">
        <w:rPr>
          <w:spacing w:val="9"/>
        </w:rPr>
        <w:t xml:space="preserve"> </w:t>
      </w:r>
      <w:r w:rsidRPr="0031675F">
        <w:t>not</w:t>
      </w:r>
      <w:r w:rsidRPr="0031675F">
        <w:rPr>
          <w:spacing w:val="10"/>
        </w:rPr>
        <w:t xml:space="preserve"> </w:t>
      </w:r>
      <w:r w:rsidRPr="0031675F">
        <w:rPr>
          <w:spacing w:val="-1"/>
        </w:rPr>
        <w:t>already</w:t>
      </w:r>
      <w:r w:rsidRPr="0031675F">
        <w:rPr>
          <w:spacing w:val="9"/>
        </w:rPr>
        <w:t xml:space="preserve"> </w:t>
      </w:r>
      <w:r w:rsidRPr="0031675F">
        <w:rPr>
          <w:spacing w:val="-1"/>
        </w:rPr>
        <w:t>been</w:t>
      </w:r>
      <w:r w:rsidRPr="0031675F">
        <w:rPr>
          <w:spacing w:val="9"/>
        </w:rPr>
        <w:t xml:space="preserve"> </w:t>
      </w:r>
      <w:r w:rsidRPr="0031675F">
        <w:rPr>
          <w:spacing w:val="-1"/>
        </w:rPr>
        <w:t>used</w:t>
      </w:r>
      <w:r w:rsidRPr="0031675F">
        <w:rPr>
          <w:spacing w:val="10"/>
        </w:rPr>
        <w:t xml:space="preserve"> </w:t>
      </w:r>
      <w:r w:rsidRPr="0031675F">
        <w:rPr>
          <w:spacing w:val="-1"/>
        </w:rPr>
        <w:t>(eg</w:t>
      </w:r>
      <w:r w:rsidRPr="0031675F">
        <w:rPr>
          <w:spacing w:val="9"/>
        </w:rPr>
        <w:t xml:space="preserve"> </w:t>
      </w:r>
      <w:r w:rsidRPr="0031675F">
        <w:rPr>
          <w:spacing w:val="-1"/>
        </w:rPr>
        <w:t>J101</w:t>
      </w:r>
      <w:r w:rsidRPr="0031675F">
        <w:rPr>
          <w:spacing w:val="10"/>
        </w:rPr>
        <w:t xml:space="preserve"> </w:t>
      </w:r>
      <w:r w:rsidRPr="0031675F">
        <w:rPr>
          <w:spacing w:val="-1"/>
        </w:rPr>
        <w:t>to</w:t>
      </w:r>
      <w:r w:rsidRPr="0031675F">
        <w:rPr>
          <w:spacing w:val="11"/>
        </w:rPr>
        <w:t xml:space="preserve"> </w:t>
      </w:r>
      <w:r w:rsidRPr="0031675F">
        <w:rPr>
          <w:spacing w:val="-1"/>
        </w:rPr>
        <w:t>J200</w:t>
      </w:r>
      <w:r w:rsidRPr="0031675F">
        <w:rPr>
          <w:spacing w:val="10"/>
        </w:rPr>
        <w:t xml:space="preserve"> </w:t>
      </w:r>
      <w:r w:rsidRPr="0031675F">
        <w:rPr>
          <w:spacing w:val="-1"/>
        </w:rPr>
        <w:t>should</w:t>
      </w:r>
      <w:r w:rsidRPr="0031675F">
        <w:rPr>
          <w:spacing w:val="8"/>
        </w:rPr>
        <w:t xml:space="preserve"> </w:t>
      </w:r>
      <w:r w:rsidRPr="0031675F">
        <w:rPr>
          <w:spacing w:val="-1"/>
        </w:rPr>
        <w:t>be</w:t>
      </w:r>
      <w:r w:rsidRPr="0031675F">
        <w:rPr>
          <w:spacing w:val="69"/>
        </w:rPr>
        <w:t xml:space="preserve"> </w:t>
      </w:r>
      <w:r w:rsidRPr="0031675F">
        <w:rPr>
          <w:spacing w:val="-1"/>
        </w:rPr>
        <w:t>used</w:t>
      </w:r>
      <w:r w:rsidRPr="0031675F">
        <w:rPr>
          <w:spacing w:val="24"/>
        </w:rPr>
        <w:t xml:space="preserve"> </w:t>
      </w:r>
      <w:r w:rsidRPr="0031675F">
        <w:t>if</w:t>
      </w:r>
      <w:r w:rsidRPr="0031675F">
        <w:rPr>
          <w:spacing w:val="23"/>
        </w:rPr>
        <w:t xml:space="preserve"> </w:t>
      </w:r>
      <w:r w:rsidRPr="0031675F">
        <w:rPr>
          <w:spacing w:val="-1"/>
        </w:rPr>
        <w:t>J001</w:t>
      </w:r>
      <w:r w:rsidRPr="0031675F">
        <w:rPr>
          <w:spacing w:val="24"/>
        </w:rPr>
        <w:t xml:space="preserve"> </w:t>
      </w:r>
      <w:r w:rsidRPr="0031675F">
        <w:rPr>
          <w:spacing w:val="-1"/>
        </w:rPr>
        <w:t>to</w:t>
      </w:r>
      <w:r w:rsidRPr="0031675F">
        <w:rPr>
          <w:spacing w:val="25"/>
        </w:rPr>
        <w:t xml:space="preserve"> </w:t>
      </w:r>
      <w:r w:rsidRPr="0031675F">
        <w:rPr>
          <w:spacing w:val="-2"/>
        </w:rPr>
        <w:t>J100</w:t>
      </w:r>
      <w:r w:rsidRPr="0031675F">
        <w:rPr>
          <w:spacing w:val="47"/>
        </w:rPr>
        <w:t xml:space="preserve"> </w:t>
      </w:r>
      <w:r w:rsidRPr="0031675F">
        <w:t>was</w:t>
      </w:r>
      <w:r w:rsidRPr="0031675F">
        <w:rPr>
          <w:spacing w:val="22"/>
        </w:rPr>
        <w:t xml:space="preserve"> </w:t>
      </w:r>
      <w:r w:rsidRPr="0031675F">
        <w:t>the</w:t>
      </w:r>
      <w:r w:rsidRPr="0031675F">
        <w:rPr>
          <w:spacing w:val="24"/>
        </w:rPr>
        <w:t xml:space="preserve"> </w:t>
      </w:r>
      <w:r w:rsidRPr="0031675F">
        <w:t>last</w:t>
      </w:r>
      <w:r w:rsidRPr="0031675F">
        <w:rPr>
          <w:spacing w:val="21"/>
        </w:rPr>
        <w:t xml:space="preserve"> </w:t>
      </w:r>
      <w:r w:rsidRPr="0031675F">
        <w:rPr>
          <w:spacing w:val="-1"/>
        </w:rPr>
        <w:t>set</w:t>
      </w:r>
      <w:r w:rsidRPr="0031675F">
        <w:rPr>
          <w:spacing w:val="22"/>
        </w:rPr>
        <w:t xml:space="preserve"> </w:t>
      </w:r>
      <w:r w:rsidRPr="0031675F">
        <w:t>weighed)</w:t>
      </w:r>
      <w:r w:rsidRPr="0031675F">
        <w:rPr>
          <w:spacing w:val="21"/>
        </w:rPr>
        <w:t xml:space="preserve"> </w:t>
      </w:r>
      <w:r w:rsidRPr="0031675F">
        <w:rPr>
          <w:spacing w:val="-1"/>
        </w:rPr>
        <w:t>and</w:t>
      </w:r>
      <w:r w:rsidRPr="0031675F">
        <w:rPr>
          <w:spacing w:val="21"/>
        </w:rPr>
        <w:t xml:space="preserve"> </w:t>
      </w:r>
      <w:r w:rsidRPr="0031675F">
        <w:rPr>
          <w:spacing w:val="-1"/>
        </w:rPr>
        <w:t>press</w:t>
      </w:r>
      <w:r w:rsidRPr="0031675F">
        <w:rPr>
          <w:spacing w:val="24"/>
        </w:rPr>
        <w:t xml:space="preserve"> </w:t>
      </w:r>
      <w:r w:rsidRPr="0031675F">
        <w:rPr>
          <w:rFonts w:cs="Calibri"/>
          <w:b/>
          <w:bCs/>
          <w:spacing w:val="-1"/>
        </w:rPr>
        <w:t>Search</w:t>
      </w:r>
      <w:r w:rsidRPr="0031675F">
        <w:rPr>
          <w:spacing w:val="-1"/>
        </w:rPr>
        <w:t>.</w:t>
      </w:r>
      <w:r w:rsidRPr="0031675F">
        <w:rPr>
          <w:spacing w:val="48"/>
        </w:rPr>
        <w:t xml:space="preserve"> </w:t>
      </w:r>
      <w:r w:rsidRPr="0031675F">
        <w:t>A</w:t>
      </w:r>
      <w:r w:rsidRPr="0031675F">
        <w:rPr>
          <w:spacing w:val="23"/>
        </w:rPr>
        <w:t xml:space="preserve"> </w:t>
      </w:r>
      <w:r w:rsidRPr="0031675F">
        <w:rPr>
          <w:spacing w:val="-1"/>
        </w:rPr>
        <w:t>data</w:t>
      </w:r>
      <w:r w:rsidRPr="0031675F">
        <w:rPr>
          <w:spacing w:val="24"/>
        </w:rPr>
        <w:t xml:space="preserve"> </w:t>
      </w:r>
      <w:r w:rsidRPr="0031675F">
        <w:rPr>
          <w:spacing w:val="-1"/>
        </w:rPr>
        <w:t>entry</w:t>
      </w:r>
      <w:r w:rsidRPr="0031675F">
        <w:rPr>
          <w:spacing w:val="25"/>
        </w:rPr>
        <w:t xml:space="preserve"> </w:t>
      </w:r>
      <w:r w:rsidRPr="0031675F">
        <w:rPr>
          <w:spacing w:val="-1"/>
        </w:rPr>
        <w:t>form</w:t>
      </w:r>
      <w:r w:rsidRPr="0031675F">
        <w:rPr>
          <w:spacing w:val="22"/>
        </w:rPr>
        <w:t xml:space="preserve"> </w:t>
      </w:r>
      <w:r w:rsidRPr="0031675F">
        <w:t>will</w:t>
      </w:r>
      <w:r w:rsidRPr="0031675F">
        <w:rPr>
          <w:spacing w:val="23"/>
        </w:rPr>
        <w:t xml:space="preserve"> </w:t>
      </w:r>
      <w:r w:rsidRPr="0031675F">
        <w:rPr>
          <w:spacing w:val="-1"/>
        </w:rPr>
        <w:t>be</w:t>
      </w:r>
      <w:r w:rsidRPr="0031675F">
        <w:rPr>
          <w:spacing w:val="35"/>
        </w:rPr>
        <w:t xml:space="preserve"> </w:t>
      </w:r>
      <w:r w:rsidRPr="0031675F">
        <w:rPr>
          <w:spacing w:val="-1"/>
        </w:rPr>
        <w:t>generated</w:t>
      </w:r>
      <w:r w:rsidRPr="0031675F">
        <w:rPr>
          <w:spacing w:val="18"/>
        </w:rPr>
        <w:t xml:space="preserve"> </w:t>
      </w:r>
      <w:r w:rsidRPr="0031675F">
        <w:rPr>
          <w:spacing w:val="-1"/>
        </w:rPr>
        <w:t>to</w:t>
      </w:r>
      <w:r w:rsidRPr="0031675F">
        <w:rPr>
          <w:spacing w:val="20"/>
        </w:rPr>
        <w:t xml:space="preserve"> </w:t>
      </w:r>
      <w:r w:rsidRPr="0031675F">
        <w:rPr>
          <w:spacing w:val="-1"/>
        </w:rPr>
        <w:t>allow</w:t>
      </w:r>
      <w:r w:rsidRPr="0031675F">
        <w:rPr>
          <w:spacing w:val="20"/>
        </w:rPr>
        <w:t xml:space="preserve"> </w:t>
      </w:r>
      <w:r w:rsidRPr="0031675F">
        <w:rPr>
          <w:spacing w:val="-1"/>
        </w:rPr>
        <w:t>your</w:t>
      </w:r>
      <w:r w:rsidRPr="0031675F">
        <w:rPr>
          <w:spacing w:val="19"/>
        </w:rPr>
        <w:t xml:space="preserve"> </w:t>
      </w:r>
      <w:r w:rsidRPr="0031675F">
        <w:rPr>
          <w:spacing w:val="-1"/>
        </w:rPr>
        <w:t>filter</w:t>
      </w:r>
      <w:r w:rsidRPr="0031675F">
        <w:rPr>
          <w:spacing w:val="19"/>
        </w:rPr>
        <w:t xml:space="preserve"> </w:t>
      </w:r>
      <w:r w:rsidRPr="0031675F">
        <w:rPr>
          <w:spacing w:val="-1"/>
        </w:rPr>
        <w:t>weight</w:t>
      </w:r>
      <w:r w:rsidRPr="0031675F">
        <w:rPr>
          <w:spacing w:val="20"/>
        </w:rPr>
        <w:t xml:space="preserve"> </w:t>
      </w:r>
      <w:r w:rsidRPr="0031675F">
        <w:rPr>
          <w:spacing w:val="-1"/>
        </w:rPr>
        <w:t>to</w:t>
      </w:r>
      <w:r w:rsidRPr="0031675F">
        <w:rPr>
          <w:spacing w:val="20"/>
        </w:rPr>
        <w:t xml:space="preserve"> </w:t>
      </w:r>
      <w:r w:rsidRPr="0031675F">
        <w:rPr>
          <w:spacing w:val="-1"/>
        </w:rPr>
        <w:t>be</w:t>
      </w:r>
      <w:r w:rsidRPr="0031675F">
        <w:rPr>
          <w:spacing w:val="20"/>
        </w:rPr>
        <w:t xml:space="preserve"> </w:t>
      </w:r>
      <w:r w:rsidRPr="0031675F">
        <w:rPr>
          <w:spacing w:val="-1"/>
        </w:rPr>
        <w:t>automatically</w:t>
      </w:r>
      <w:r w:rsidRPr="0031675F">
        <w:rPr>
          <w:spacing w:val="20"/>
        </w:rPr>
        <w:t xml:space="preserve"> </w:t>
      </w:r>
      <w:r w:rsidRPr="0031675F">
        <w:rPr>
          <w:spacing w:val="-1"/>
        </w:rPr>
        <w:t>updated</w:t>
      </w:r>
      <w:r w:rsidRPr="0031675F">
        <w:rPr>
          <w:spacing w:val="18"/>
        </w:rPr>
        <w:t xml:space="preserve"> </w:t>
      </w:r>
      <w:r w:rsidRPr="0031675F">
        <w:t>to</w:t>
      </w:r>
      <w:r w:rsidRPr="0031675F">
        <w:rPr>
          <w:spacing w:val="21"/>
        </w:rPr>
        <w:t xml:space="preserve"> </w:t>
      </w:r>
      <w:r w:rsidRPr="0031675F">
        <w:rPr>
          <w:spacing w:val="-1"/>
        </w:rPr>
        <w:t>the</w:t>
      </w:r>
      <w:r w:rsidRPr="0031675F">
        <w:rPr>
          <w:spacing w:val="20"/>
        </w:rPr>
        <w:t xml:space="preserve"> </w:t>
      </w:r>
      <w:r w:rsidRPr="0031675F">
        <w:rPr>
          <w:spacing w:val="-2"/>
        </w:rPr>
        <w:t>Oracle</w:t>
      </w:r>
      <w:r w:rsidRPr="0031675F">
        <w:rPr>
          <w:spacing w:val="20"/>
        </w:rPr>
        <w:t xml:space="preserve"> </w:t>
      </w:r>
      <w:r w:rsidRPr="0031675F">
        <w:rPr>
          <w:spacing w:val="-1"/>
        </w:rPr>
        <w:t>database.</w:t>
      </w:r>
      <w:r w:rsidRPr="0031675F">
        <w:rPr>
          <w:spacing w:val="38"/>
        </w:rPr>
        <w:t xml:space="preserve"> </w:t>
      </w:r>
      <w:r w:rsidRPr="0031675F">
        <w:t>If</w:t>
      </w:r>
      <w:r w:rsidRPr="0031675F">
        <w:rPr>
          <w:spacing w:val="75"/>
        </w:rPr>
        <w:t xml:space="preserve"> </w:t>
      </w:r>
      <w:r w:rsidRPr="0031675F">
        <w:rPr>
          <w:rFonts w:cs="Calibri"/>
        </w:rPr>
        <w:t>the</w:t>
      </w:r>
      <w:r w:rsidRPr="0031675F">
        <w:rPr>
          <w:rFonts w:cs="Calibri"/>
          <w:spacing w:val="28"/>
        </w:rPr>
        <w:t xml:space="preserve"> </w:t>
      </w:r>
      <w:r w:rsidRPr="0031675F">
        <w:rPr>
          <w:rFonts w:cs="Calibri"/>
          <w:spacing w:val="-1"/>
        </w:rPr>
        <w:t>alphanumeric</w:t>
      </w:r>
      <w:r w:rsidRPr="0031675F">
        <w:rPr>
          <w:rFonts w:cs="Calibri"/>
          <w:spacing w:val="29"/>
        </w:rPr>
        <w:t xml:space="preserve"> </w:t>
      </w:r>
      <w:r w:rsidRPr="0031675F">
        <w:rPr>
          <w:rFonts w:cs="Calibri"/>
          <w:spacing w:val="-1"/>
        </w:rPr>
        <w:t>code</w:t>
      </w:r>
      <w:r w:rsidRPr="0031675F">
        <w:rPr>
          <w:rFonts w:cs="Calibri"/>
          <w:spacing w:val="27"/>
        </w:rPr>
        <w:t xml:space="preserve"> </w:t>
      </w:r>
      <w:r w:rsidRPr="0031675F">
        <w:rPr>
          <w:rFonts w:cs="Calibri"/>
          <w:spacing w:val="-1"/>
        </w:rPr>
        <w:t>you</w:t>
      </w:r>
      <w:r w:rsidRPr="0031675F">
        <w:rPr>
          <w:rFonts w:cs="Calibri"/>
          <w:spacing w:val="27"/>
        </w:rPr>
        <w:t xml:space="preserve"> </w:t>
      </w:r>
      <w:r w:rsidRPr="0031675F">
        <w:rPr>
          <w:rFonts w:cs="Calibri"/>
          <w:spacing w:val="-1"/>
        </w:rPr>
        <w:t>have</w:t>
      </w:r>
      <w:r w:rsidRPr="0031675F">
        <w:rPr>
          <w:rFonts w:cs="Calibri"/>
          <w:spacing w:val="30"/>
        </w:rPr>
        <w:t xml:space="preserve"> </w:t>
      </w:r>
      <w:r w:rsidRPr="0031675F">
        <w:rPr>
          <w:rFonts w:cs="Calibri"/>
          <w:spacing w:val="-1"/>
        </w:rPr>
        <w:t>chosen</w:t>
      </w:r>
      <w:r w:rsidRPr="0031675F">
        <w:rPr>
          <w:rFonts w:cs="Calibri"/>
          <w:spacing w:val="29"/>
        </w:rPr>
        <w:t xml:space="preserve"> </w:t>
      </w:r>
      <w:r w:rsidRPr="0031675F">
        <w:rPr>
          <w:rFonts w:cs="Calibri"/>
          <w:spacing w:val="-2"/>
        </w:rPr>
        <w:t>has</w:t>
      </w:r>
      <w:r w:rsidRPr="0031675F">
        <w:rPr>
          <w:rFonts w:cs="Calibri"/>
          <w:spacing w:val="29"/>
        </w:rPr>
        <w:t xml:space="preserve"> </w:t>
      </w:r>
      <w:r w:rsidRPr="0031675F">
        <w:rPr>
          <w:rFonts w:cs="Calibri"/>
          <w:spacing w:val="-1"/>
        </w:rPr>
        <w:t>already</w:t>
      </w:r>
      <w:r w:rsidRPr="0031675F">
        <w:rPr>
          <w:rFonts w:cs="Calibri"/>
          <w:spacing w:val="29"/>
        </w:rPr>
        <w:t xml:space="preserve"> </w:t>
      </w:r>
      <w:r w:rsidRPr="0031675F">
        <w:rPr>
          <w:rFonts w:cs="Calibri"/>
          <w:spacing w:val="-1"/>
        </w:rPr>
        <w:t>been</w:t>
      </w:r>
      <w:r w:rsidRPr="0031675F">
        <w:rPr>
          <w:rFonts w:cs="Calibri"/>
          <w:spacing w:val="28"/>
        </w:rPr>
        <w:t xml:space="preserve"> </w:t>
      </w:r>
      <w:r w:rsidRPr="0031675F">
        <w:rPr>
          <w:rFonts w:cs="Calibri"/>
          <w:spacing w:val="-1"/>
        </w:rPr>
        <w:t>used</w:t>
      </w:r>
      <w:r w:rsidRPr="0031675F">
        <w:rPr>
          <w:rFonts w:cs="Calibri"/>
          <w:spacing w:val="29"/>
        </w:rPr>
        <w:t xml:space="preserve"> </w:t>
      </w:r>
      <w:r w:rsidRPr="0031675F">
        <w:rPr>
          <w:rFonts w:cs="Calibri"/>
        </w:rPr>
        <w:t>the</w:t>
      </w:r>
      <w:r w:rsidRPr="0031675F">
        <w:rPr>
          <w:rFonts w:cs="Calibri"/>
          <w:spacing w:val="26"/>
        </w:rPr>
        <w:t xml:space="preserve"> </w:t>
      </w:r>
      <w:r w:rsidRPr="0031675F">
        <w:rPr>
          <w:rFonts w:cs="Calibri"/>
          <w:spacing w:val="-1"/>
        </w:rPr>
        <w:t>form</w:t>
      </w:r>
      <w:r w:rsidRPr="0031675F">
        <w:rPr>
          <w:rFonts w:cs="Calibri"/>
          <w:spacing w:val="28"/>
        </w:rPr>
        <w:t xml:space="preserve"> </w:t>
      </w:r>
      <w:r w:rsidRPr="0031675F">
        <w:rPr>
          <w:rFonts w:cs="Calibri"/>
        </w:rPr>
        <w:t>will</w:t>
      </w:r>
      <w:r w:rsidRPr="0031675F">
        <w:rPr>
          <w:rFonts w:cs="Calibri"/>
          <w:spacing w:val="26"/>
        </w:rPr>
        <w:t xml:space="preserve"> </w:t>
      </w:r>
      <w:r w:rsidRPr="0031675F">
        <w:rPr>
          <w:rFonts w:cs="Calibri"/>
        </w:rPr>
        <w:t>show</w:t>
      </w:r>
      <w:r w:rsidRPr="0031675F">
        <w:rPr>
          <w:rFonts w:cs="Calibri"/>
          <w:spacing w:val="28"/>
        </w:rPr>
        <w:t xml:space="preserve"> </w:t>
      </w:r>
      <w:r w:rsidRPr="0031675F">
        <w:rPr>
          <w:rFonts w:cs="Calibri"/>
          <w:spacing w:val="-1"/>
        </w:rPr>
        <w:t>“greyed</w:t>
      </w:r>
      <w:r w:rsidRPr="0031675F">
        <w:rPr>
          <w:rFonts w:cs="Calibri"/>
          <w:spacing w:val="53"/>
        </w:rPr>
        <w:t xml:space="preserve"> </w:t>
      </w:r>
      <w:r w:rsidRPr="0031675F">
        <w:rPr>
          <w:rFonts w:cs="Calibri"/>
        </w:rPr>
        <w:t>out”</w:t>
      </w:r>
      <w:r w:rsidRPr="0031675F">
        <w:rPr>
          <w:rFonts w:cs="Calibri"/>
          <w:spacing w:val="21"/>
        </w:rPr>
        <w:t xml:space="preserve"> </w:t>
      </w:r>
      <w:r w:rsidRPr="0031675F">
        <w:rPr>
          <w:rFonts w:cs="Calibri"/>
          <w:spacing w:val="-1"/>
        </w:rPr>
        <w:t>fields</w:t>
      </w:r>
      <w:r w:rsidRPr="0031675F">
        <w:rPr>
          <w:rFonts w:cs="Calibri"/>
          <w:spacing w:val="22"/>
        </w:rPr>
        <w:t xml:space="preserve"> </w:t>
      </w:r>
      <w:r w:rsidRPr="0031675F">
        <w:rPr>
          <w:rFonts w:cs="Calibri"/>
          <w:spacing w:val="-1"/>
        </w:rPr>
        <w:t>and</w:t>
      </w:r>
      <w:r w:rsidRPr="0031675F">
        <w:rPr>
          <w:rFonts w:cs="Calibri"/>
          <w:spacing w:val="21"/>
        </w:rPr>
        <w:t xml:space="preserve"> </w:t>
      </w:r>
      <w:r w:rsidRPr="0031675F">
        <w:rPr>
          <w:rFonts w:cs="Calibri"/>
          <w:spacing w:val="-1"/>
        </w:rPr>
        <w:t>you</w:t>
      </w:r>
      <w:r w:rsidRPr="0031675F">
        <w:rPr>
          <w:rFonts w:cs="Calibri"/>
          <w:spacing w:val="21"/>
        </w:rPr>
        <w:t xml:space="preserve"> </w:t>
      </w:r>
      <w:r w:rsidRPr="0031675F">
        <w:rPr>
          <w:rFonts w:cs="Calibri"/>
        </w:rPr>
        <w:t>will</w:t>
      </w:r>
      <w:r w:rsidRPr="0031675F">
        <w:rPr>
          <w:rFonts w:cs="Calibri"/>
          <w:spacing w:val="21"/>
        </w:rPr>
        <w:t xml:space="preserve"> </w:t>
      </w:r>
      <w:r w:rsidRPr="0031675F">
        <w:rPr>
          <w:rFonts w:cs="Calibri"/>
          <w:spacing w:val="-1"/>
        </w:rPr>
        <w:t>b</w:t>
      </w:r>
      <w:r w:rsidRPr="0031675F">
        <w:rPr>
          <w:spacing w:val="-1"/>
        </w:rPr>
        <w:t>e</w:t>
      </w:r>
      <w:r w:rsidRPr="0031675F">
        <w:rPr>
          <w:spacing w:val="20"/>
        </w:rPr>
        <w:t xml:space="preserve"> </w:t>
      </w:r>
      <w:r w:rsidRPr="0031675F">
        <w:rPr>
          <w:spacing w:val="-1"/>
        </w:rPr>
        <w:t>unable</w:t>
      </w:r>
      <w:r w:rsidRPr="0031675F">
        <w:rPr>
          <w:spacing w:val="22"/>
        </w:rPr>
        <w:t xml:space="preserve"> </w:t>
      </w:r>
      <w:r w:rsidRPr="0031675F">
        <w:t>to</w:t>
      </w:r>
      <w:r w:rsidRPr="0031675F">
        <w:rPr>
          <w:spacing w:val="21"/>
        </w:rPr>
        <w:t xml:space="preserve"> </w:t>
      </w:r>
      <w:r w:rsidRPr="0031675F">
        <w:t>enter</w:t>
      </w:r>
      <w:r w:rsidRPr="0031675F">
        <w:rPr>
          <w:spacing w:val="21"/>
        </w:rPr>
        <w:t xml:space="preserve"> </w:t>
      </w:r>
      <w:r w:rsidRPr="0031675F">
        <w:rPr>
          <w:spacing w:val="-2"/>
        </w:rPr>
        <w:t>any</w:t>
      </w:r>
      <w:r w:rsidRPr="0031675F">
        <w:rPr>
          <w:spacing w:val="22"/>
        </w:rPr>
        <w:t xml:space="preserve"> </w:t>
      </w:r>
      <w:r w:rsidRPr="0031675F">
        <w:rPr>
          <w:spacing w:val="-1"/>
        </w:rPr>
        <w:t>new</w:t>
      </w:r>
      <w:r w:rsidRPr="0031675F">
        <w:rPr>
          <w:spacing w:val="18"/>
        </w:rPr>
        <w:t xml:space="preserve"> </w:t>
      </w:r>
      <w:r w:rsidRPr="0031675F">
        <w:rPr>
          <w:spacing w:val="-1"/>
        </w:rPr>
        <w:t>data</w:t>
      </w:r>
      <w:r w:rsidRPr="0031675F">
        <w:rPr>
          <w:spacing w:val="22"/>
        </w:rPr>
        <w:t xml:space="preserve"> </w:t>
      </w:r>
      <w:r w:rsidRPr="0031675F">
        <w:rPr>
          <w:spacing w:val="-1"/>
        </w:rPr>
        <w:t>against</w:t>
      </w:r>
      <w:r w:rsidRPr="0031675F">
        <w:rPr>
          <w:spacing w:val="22"/>
        </w:rPr>
        <w:t xml:space="preserve"> </w:t>
      </w:r>
      <w:r w:rsidRPr="0031675F">
        <w:rPr>
          <w:spacing w:val="-1"/>
        </w:rPr>
        <w:t>these</w:t>
      </w:r>
      <w:r w:rsidRPr="0031675F">
        <w:rPr>
          <w:spacing w:val="22"/>
        </w:rPr>
        <w:t xml:space="preserve"> </w:t>
      </w:r>
      <w:r w:rsidRPr="0031675F">
        <w:rPr>
          <w:spacing w:val="-1"/>
        </w:rPr>
        <w:t>codes.</w:t>
      </w:r>
      <w:r w:rsidRPr="0031675F">
        <w:rPr>
          <w:spacing w:val="40"/>
        </w:rPr>
        <w:t xml:space="preserve"> </w:t>
      </w:r>
      <w:r w:rsidRPr="0031675F">
        <w:t>You</w:t>
      </w:r>
      <w:r w:rsidRPr="0031675F">
        <w:rPr>
          <w:spacing w:val="21"/>
        </w:rPr>
        <w:t xml:space="preserve"> </w:t>
      </w:r>
      <w:r w:rsidRPr="0031675F">
        <w:t>will</w:t>
      </w:r>
      <w:r w:rsidRPr="0031675F">
        <w:rPr>
          <w:spacing w:val="19"/>
        </w:rPr>
        <w:t xml:space="preserve"> </w:t>
      </w:r>
      <w:r w:rsidRPr="0031675F">
        <w:t>then</w:t>
      </w:r>
      <w:r w:rsidRPr="0031675F">
        <w:rPr>
          <w:spacing w:val="53"/>
        </w:rPr>
        <w:t xml:space="preserve"> </w:t>
      </w:r>
      <w:r w:rsidRPr="0031675F">
        <w:rPr>
          <w:spacing w:val="-1"/>
        </w:rPr>
        <w:t>have</w:t>
      </w:r>
      <w:r w:rsidRPr="0031675F">
        <w:t xml:space="preserve"> </w:t>
      </w:r>
      <w:r w:rsidRPr="0031675F">
        <w:rPr>
          <w:spacing w:val="-1"/>
        </w:rPr>
        <w:t>to choose</w:t>
      </w:r>
      <w:r w:rsidRPr="0031675F">
        <w:rPr>
          <w:spacing w:val="-2"/>
        </w:rPr>
        <w:t xml:space="preserve"> </w:t>
      </w:r>
      <w:r w:rsidRPr="0031675F">
        <w:rPr>
          <w:spacing w:val="-1"/>
        </w:rPr>
        <w:t>another</w:t>
      </w:r>
      <w:r w:rsidRPr="0031675F">
        <w:t xml:space="preserve"> </w:t>
      </w:r>
      <w:r w:rsidRPr="0031675F">
        <w:rPr>
          <w:spacing w:val="-2"/>
        </w:rPr>
        <w:t>code</w:t>
      </w:r>
      <w:r w:rsidRPr="0031675F">
        <w:t xml:space="preserve"> </w:t>
      </w:r>
      <w:r w:rsidRPr="0031675F">
        <w:rPr>
          <w:spacing w:val="-1"/>
        </w:rPr>
        <w:t>range.</w:t>
      </w:r>
    </w:p>
    <w:p w14:paraId="411AFB2D" w14:textId="77777777" w:rsidR="0031675F" w:rsidRPr="0031675F" w:rsidRDefault="0031675F" w:rsidP="0031675F">
      <w:pPr>
        <w:widowControl w:val="0"/>
        <w:numPr>
          <w:ilvl w:val="1"/>
          <w:numId w:val="76"/>
        </w:numPr>
        <w:tabs>
          <w:tab w:val="left" w:pos="679"/>
        </w:tabs>
        <w:spacing w:before="0" w:after="0" w:line="240" w:lineRule="auto"/>
        <w:ind w:right="119"/>
      </w:pPr>
      <w:r w:rsidRPr="0031675F">
        <w:rPr>
          <w:rFonts w:cs="Calibri"/>
        </w:rPr>
        <w:t>If</w:t>
      </w:r>
      <w:r w:rsidRPr="0031675F">
        <w:rPr>
          <w:rFonts w:cs="Calibri"/>
          <w:spacing w:val="16"/>
        </w:rPr>
        <w:t xml:space="preserve"> </w:t>
      </w:r>
      <w:r w:rsidRPr="0031675F">
        <w:rPr>
          <w:rFonts w:cs="Calibri"/>
        </w:rPr>
        <w:t>the</w:t>
      </w:r>
      <w:r w:rsidRPr="0031675F">
        <w:rPr>
          <w:rFonts w:cs="Calibri"/>
          <w:spacing w:val="17"/>
        </w:rPr>
        <w:t xml:space="preserve"> </w:t>
      </w:r>
      <w:r w:rsidRPr="0031675F">
        <w:rPr>
          <w:rFonts w:cs="Calibri"/>
          <w:spacing w:val="-1"/>
        </w:rPr>
        <w:t>“initial</w:t>
      </w:r>
      <w:r w:rsidRPr="0031675F">
        <w:rPr>
          <w:rFonts w:cs="Calibri"/>
          <w:spacing w:val="16"/>
        </w:rPr>
        <w:t xml:space="preserve"> </w:t>
      </w:r>
      <w:r w:rsidRPr="0031675F">
        <w:rPr>
          <w:rFonts w:cs="Calibri"/>
          <w:spacing w:val="-1"/>
        </w:rPr>
        <w:t>weight”</w:t>
      </w:r>
      <w:r w:rsidRPr="0031675F">
        <w:rPr>
          <w:rFonts w:cs="Calibri"/>
          <w:spacing w:val="18"/>
        </w:rPr>
        <w:t xml:space="preserve"> </w:t>
      </w:r>
      <w:r w:rsidRPr="0031675F">
        <w:rPr>
          <w:rFonts w:cs="Calibri"/>
          <w:spacing w:val="-1"/>
        </w:rPr>
        <w:t>fields</w:t>
      </w:r>
      <w:r w:rsidRPr="0031675F">
        <w:rPr>
          <w:rFonts w:cs="Calibri"/>
          <w:spacing w:val="17"/>
        </w:rPr>
        <w:t xml:space="preserve"> </w:t>
      </w:r>
      <w:r w:rsidRPr="0031675F">
        <w:rPr>
          <w:rFonts w:cs="Calibri"/>
        </w:rPr>
        <w:t>are</w:t>
      </w:r>
      <w:r w:rsidRPr="0031675F">
        <w:rPr>
          <w:rFonts w:cs="Calibri"/>
          <w:spacing w:val="17"/>
        </w:rPr>
        <w:t xml:space="preserve"> </w:t>
      </w:r>
      <w:r w:rsidRPr="0031675F">
        <w:rPr>
          <w:rFonts w:cs="Calibri"/>
          <w:spacing w:val="-1"/>
        </w:rPr>
        <w:t>blank</w:t>
      </w:r>
      <w:r w:rsidRPr="0031675F">
        <w:rPr>
          <w:rFonts w:cs="Calibri"/>
          <w:spacing w:val="17"/>
        </w:rPr>
        <w:t xml:space="preserve"> </w:t>
      </w:r>
      <w:r w:rsidRPr="0031675F">
        <w:rPr>
          <w:rFonts w:cs="Calibri"/>
        </w:rPr>
        <w:t>you</w:t>
      </w:r>
      <w:r w:rsidRPr="0031675F">
        <w:rPr>
          <w:rFonts w:cs="Calibri"/>
          <w:spacing w:val="16"/>
        </w:rPr>
        <w:t xml:space="preserve"> </w:t>
      </w:r>
      <w:r w:rsidRPr="0031675F">
        <w:rPr>
          <w:rFonts w:cs="Calibri"/>
          <w:spacing w:val="-1"/>
        </w:rPr>
        <w:t>may</w:t>
      </w:r>
      <w:r w:rsidRPr="0031675F">
        <w:rPr>
          <w:rFonts w:cs="Calibri"/>
          <w:spacing w:val="17"/>
        </w:rPr>
        <w:t xml:space="preserve"> </w:t>
      </w:r>
      <w:r w:rsidRPr="0031675F">
        <w:rPr>
          <w:rFonts w:cs="Calibri"/>
          <w:spacing w:val="-1"/>
        </w:rPr>
        <w:t>go</w:t>
      </w:r>
      <w:r w:rsidRPr="0031675F">
        <w:rPr>
          <w:rFonts w:cs="Calibri"/>
          <w:spacing w:val="18"/>
        </w:rPr>
        <w:t xml:space="preserve"> </w:t>
      </w:r>
      <w:r w:rsidRPr="0031675F">
        <w:rPr>
          <w:rFonts w:cs="Calibri"/>
          <w:spacing w:val="-1"/>
        </w:rPr>
        <w:t>ahead</w:t>
      </w:r>
      <w:r w:rsidRPr="0031675F">
        <w:rPr>
          <w:rFonts w:cs="Calibri"/>
          <w:spacing w:val="16"/>
        </w:rPr>
        <w:t xml:space="preserve"> </w:t>
      </w:r>
      <w:r w:rsidRPr="0031675F">
        <w:rPr>
          <w:rFonts w:cs="Calibri"/>
          <w:spacing w:val="-1"/>
        </w:rPr>
        <w:t>and</w:t>
      </w:r>
      <w:r w:rsidRPr="0031675F">
        <w:rPr>
          <w:rFonts w:cs="Calibri"/>
          <w:spacing w:val="16"/>
        </w:rPr>
        <w:t xml:space="preserve"> </w:t>
      </w:r>
      <w:r w:rsidRPr="0031675F">
        <w:rPr>
          <w:rFonts w:cs="Calibri"/>
          <w:spacing w:val="-1"/>
        </w:rPr>
        <w:t>fill</w:t>
      </w:r>
      <w:r w:rsidRPr="0031675F">
        <w:rPr>
          <w:rFonts w:cs="Calibri"/>
          <w:spacing w:val="16"/>
        </w:rPr>
        <w:t xml:space="preserve"> </w:t>
      </w:r>
      <w:r w:rsidRPr="0031675F">
        <w:rPr>
          <w:rFonts w:cs="Calibri"/>
        </w:rPr>
        <w:t>in</w:t>
      </w:r>
      <w:r w:rsidRPr="0031675F">
        <w:rPr>
          <w:rFonts w:cs="Calibri"/>
          <w:spacing w:val="16"/>
        </w:rPr>
        <w:t xml:space="preserve"> </w:t>
      </w:r>
      <w:r w:rsidRPr="0031675F">
        <w:rPr>
          <w:rFonts w:cs="Calibri"/>
        </w:rPr>
        <w:t>the</w:t>
      </w:r>
      <w:r w:rsidRPr="0031675F">
        <w:rPr>
          <w:rFonts w:cs="Calibri"/>
          <w:spacing w:val="17"/>
        </w:rPr>
        <w:t xml:space="preserve"> </w:t>
      </w:r>
      <w:r w:rsidRPr="0031675F">
        <w:rPr>
          <w:rFonts w:cs="Calibri"/>
        </w:rPr>
        <w:t>following</w:t>
      </w:r>
      <w:r w:rsidRPr="0031675F">
        <w:rPr>
          <w:rFonts w:cs="Calibri"/>
          <w:spacing w:val="15"/>
        </w:rPr>
        <w:t xml:space="preserve"> </w:t>
      </w:r>
      <w:r w:rsidRPr="0031675F">
        <w:rPr>
          <w:rFonts w:cs="Calibri"/>
          <w:spacing w:val="-1"/>
        </w:rPr>
        <w:t>fields</w:t>
      </w:r>
      <w:r w:rsidRPr="0031675F">
        <w:rPr>
          <w:rFonts w:cs="Calibri"/>
          <w:spacing w:val="17"/>
        </w:rPr>
        <w:t xml:space="preserve"> </w:t>
      </w:r>
      <w:r w:rsidRPr="0031675F">
        <w:rPr>
          <w:rFonts w:cs="Calibri"/>
        </w:rPr>
        <w:t>on</w:t>
      </w:r>
      <w:r w:rsidRPr="0031675F">
        <w:rPr>
          <w:rFonts w:cs="Calibri"/>
          <w:spacing w:val="16"/>
        </w:rPr>
        <w:t xml:space="preserve"> </w:t>
      </w:r>
      <w:r w:rsidRPr="0031675F">
        <w:rPr>
          <w:rFonts w:cs="Calibri"/>
        </w:rPr>
        <w:t>the</w:t>
      </w:r>
      <w:r w:rsidRPr="0031675F">
        <w:rPr>
          <w:rFonts w:cs="Calibri"/>
          <w:spacing w:val="53"/>
        </w:rPr>
        <w:t xml:space="preserve"> </w:t>
      </w:r>
      <w:r w:rsidRPr="0031675F">
        <w:rPr>
          <w:spacing w:val="-1"/>
        </w:rPr>
        <w:t>first</w:t>
      </w:r>
      <w:r w:rsidRPr="0031675F">
        <w:rPr>
          <w:spacing w:val="1"/>
        </w:rPr>
        <w:t xml:space="preserve"> </w:t>
      </w:r>
      <w:r w:rsidRPr="0031675F">
        <w:rPr>
          <w:spacing w:val="-1"/>
        </w:rPr>
        <w:t>row:</w:t>
      </w:r>
    </w:p>
    <w:p w14:paraId="4322B415" w14:textId="77777777" w:rsidR="0031675F" w:rsidRPr="0031675F" w:rsidRDefault="0031675F" w:rsidP="0031675F">
      <w:pPr>
        <w:ind w:left="858"/>
        <w:rPr>
          <w:rFonts w:cs="Calibri"/>
        </w:rPr>
      </w:pPr>
      <w:r w:rsidRPr="0031675F">
        <w:rPr>
          <w:b/>
          <w:spacing w:val="-1"/>
        </w:rPr>
        <w:t>filter</w:t>
      </w:r>
      <w:r w:rsidRPr="0031675F">
        <w:rPr>
          <w:b/>
          <w:spacing w:val="-3"/>
        </w:rPr>
        <w:t xml:space="preserve"> </w:t>
      </w:r>
      <w:r w:rsidRPr="0031675F">
        <w:rPr>
          <w:b/>
          <w:spacing w:val="-1"/>
        </w:rPr>
        <w:t>size:</w:t>
      </w:r>
      <w:r w:rsidRPr="0031675F">
        <w:rPr>
          <w:b/>
          <w:spacing w:val="47"/>
        </w:rPr>
        <w:t xml:space="preserve"> </w:t>
      </w:r>
      <w:r w:rsidRPr="0031675F">
        <w:rPr>
          <w:spacing w:val="-1"/>
        </w:rPr>
        <w:t>0.04</w:t>
      </w:r>
      <w:r w:rsidRPr="0031675F">
        <w:t xml:space="preserve"> </w:t>
      </w:r>
      <w:r w:rsidRPr="0031675F">
        <w:rPr>
          <w:spacing w:val="-1"/>
        </w:rPr>
        <w:t>pc</w:t>
      </w:r>
      <w:r w:rsidRPr="0031675F">
        <w:rPr>
          <w:spacing w:val="-2"/>
        </w:rPr>
        <w:t xml:space="preserve"> </w:t>
      </w:r>
      <w:r w:rsidRPr="0031675F">
        <w:rPr>
          <w:spacing w:val="-1"/>
        </w:rPr>
        <w:t>(if</w:t>
      </w:r>
      <w:r w:rsidRPr="0031675F">
        <w:t xml:space="preserve"> </w:t>
      </w:r>
      <w:r w:rsidRPr="0031675F">
        <w:rPr>
          <w:spacing w:val="-1"/>
        </w:rPr>
        <w:t>using</w:t>
      </w:r>
      <w:r w:rsidRPr="0031675F">
        <w:rPr>
          <w:spacing w:val="-3"/>
        </w:rPr>
        <w:t xml:space="preserve"> </w:t>
      </w:r>
      <w:r w:rsidRPr="0031675F">
        <w:rPr>
          <w:spacing w:val="-1"/>
        </w:rPr>
        <w:t>polycarbonate</w:t>
      </w:r>
      <w:r w:rsidRPr="0031675F">
        <w:rPr>
          <w:spacing w:val="-2"/>
        </w:rPr>
        <w:t xml:space="preserve"> </w:t>
      </w:r>
      <w:r w:rsidRPr="0031675F">
        <w:rPr>
          <w:spacing w:val="-1"/>
        </w:rPr>
        <w:t>0.04micron</w:t>
      </w:r>
      <w:r w:rsidRPr="0031675F">
        <w:rPr>
          <w:spacing w:val="-3"/>
        </w:rPr>
        <w:t xml:space="preserve"> </w:t>
      </w:r>
      <w:r w:rsidRPr="0031675F">
        <w:rPr>
          <w:spacing w:val="-1"/>
        </w:rPr>
        <w:t>47mm)</w:t>
      </w:r>
    </w:p>
    <w:p w14:paraId="25634F17" w14:textId="77777777" w:rsidR="0031675F" w:rsidRPr="0031675F" w:rsidRDefault="0031675F" w:rsidP="0031675F">
      <w:pPr>
        <w:ind w:left="858"/>
        <w:rPr>
          <w:rFonts w:cs="Calibri"/>
        </w:rPr>
      </w:pPr>
      <w:r w:rsidRPr="0031675F">
        <w:rPr>
          <w:b/>
          <w:spacing w:val="-1"/>
        </w:rPr>
        <w:t>initial</w:t>
      </w:r>
      <w:r w:rsidRPr="0031675F">
        <w:rPr>
          <w:b/>
        </w:rPr>
        <w:t xml:space="preserve"> </w:t>
      </w:r>
      <w:r w:rsidRPr="0031675F">
        <w:rPr>
          <w:b/>
          <w:spacing w:val="-1"/>
        </w:rPr>
        <w:t>tech:</w:t>
      </w:r>
      <w:r w:rsidRPr="0031675F">
        <w:rPr>
          <w:b/>
        </w:rPr>
        <w:t xml:space="preserve"> </w:t>
      </w:r>
      <w:r w:rsidRPr="0031675F">
        <w:rPr>
          <w:b/>
          <w:spacing w:val="1"/>
        </w:rPr>
        <w:t xml:space="preserve"> </w:t>
      </w:r>
      <w:r w:rsidRPr="0031675F">
        <w:rPr>
          <w:spacing w:val="-1"/>
        </w:rPr>
        <w:t>your</w:t>
      </w:r>
      <w:r w:rsidRPr="0031675F">
        <w:t xml:space="preserve"> </w:t>
      </w:r>
      <w:r w:rsidRPr="0031675F">
        <w:rPr>
          <w:spacing w:val="-2"/>
        </w:rPr>
        <w:t>name</w:t>
      </w:r>
    </w:p>
    <w:p w14:paraId="6DDDE771" w14:textId="77777777" w:rsidR="0031675F" w:rsidRPr="0031675F" w:rsidRDefault="0031675F" w:rsidP="0031675F">
      <w:pPr>
        <w:tabs>
          <w:tab w:val="left" w:pos="2303"/>
        </w:tabs>
        <w:spacing w:after="120"/>
        <w:ind w:left="858" w:right="119"/>
      </w:pPr>
      <w:r w:rsidRPr="0031675F">
        <w:rPr>
          <w:b/>
          <w:spacing w:val="-1"/>
        </w:rPr>
        <w:t>Initial</w:t>
      </w:r>
      <w:r w:rsidRPr="0031675F">
        <w:rPr>
          <w:b/>
        </w:rPr>
        <w:t xml:space="preserve"> </w:t>
      </w:r>
      <w:r w:rsidRPr="0031675F">
        <w:rPr>
          <w:b/>
          <w:spacing w:val="27"/>
        </w:rPr>
        <w:t xml:space="preserve"> </w:t>
      </w:r>
      <w:r w:rsidRPr="0031675F">
        <w:rPr>
          <w:b/>
          <w:spacing w:val="-1"/>
        </w:rPr>
        <w:t>Instr.:</w:t>
      </w:r>
      <w:r w:rsidRPr="0031675F">
        <w:rPr>
          <w:b/>
          <w:spacing w:val="-1"/>
        </w:rPr>
        <w:tab/>
      </w:r>
      <w:r w:rsidRPr="0031675F">
        <w:rPr>
          <w:spacing w:val="-1"/>
        </w:rPr>
        <w:t>choose</w:t>
      </w:r>
      <w:r w:rsidRPr="0031675F">
        <w:t xml:space="preserve"> </w:t>
      </w:r>
      <w:r w:rsidRPr="0031675F">
        <w:rPr>
          <w:spacing w:val="28"/>
        </w:rPr>
        <w:t xml:space="preserve"> </w:t>
      </w:r>
      <w:r w:rsidRPr="0031675F">
        <w:rPr>
          <w:spacing w:val="-1"/>
        </w:rPr>
        <w:t>the</w:t>
      </w:r>
      <w:r w:rsidRPr="0031675F">
        <w:t xml:space="preserve"> </w:t>
      </w:r>
      <w:r w:rsidRPr="0031675F">
        <w:rPr>
          <w:spacing w:val="28"/>
        </w:rPr>
        <w:t xml:space="preserve"> </w:t>
      </w:r>
      <w:r w:rsidRPr="0031675F">
        <w:rPr>
          <w:spacing w:val="-1"/>
        </w:rPr>
        <w:t>balance</w:t>
      </w:r>
      <w:r w:rsidRPr="0031675F">
        <w:t xml:space="preserve"> </w:t>
      </w:r>
      <w:r w:rsidRPr="0031675F">
        <w:rPr>
          <w:spacing w:val="27"/>
        </w:rPr>
        <w:t xml:space="preserve"> </w:t>
      </w:r>
      <w:r w:rsidRPr="0031675F">
        <w:rPr>
          <w:spacing w:val="-1"/>
        </w:rPr>
        <w:t>you</w:t>
      </w:r>
      <w:r w:rsidRPr="0031675F">
        <w:t xml:space="preserve"> </w:t>
      </w:r>
      <w:r w:rsidRPr="0031675F">
        <w:rPr>
          <w:spacing w:val="27"/>
        </w:rPr>
        <w:t xml:space="preserve"> </w:t>
      </w:r>
      <w:r w:rsidRPr="0031675F">
        <w:t xml:space="preserve">are </w:t>
      </w:r>
      <w:r w:rsidRPr="0031675F">
        <w:rPr>
          <w:spacing w:val="28"/>
        </w:rPr>
        <w:t xml:space="preserve"> </w:t>
      </w:r>
      <w:r w:rsidRPr="0031675F">
        <w:rPr>
          <w:spacing w:val="-1"/>
        </w:rPr>
        <w:t>using</w:t>
      </w:r>
      <w:r w:rsidRPr="0031675F">
        <w:t xml:space="preserve"> </w:t>
      </w:r>
      <w:r w:rsidRPr="0031675F">
        <w:rPr>
          <w:spacing w:val="27"/>
        </w:rPr>
        <w:t xml:space="preserve"> </w:t>
      </w:r>
      <w:r w:rsidRPr="0031675F">
        <w:rPr>
          <w:spacing w:val="-1"/>
        </w:rPr>
        <w:t>from</w:t>
      </w:r>
      <w:r w:rsidRPr="0031675F">
        <w:t xml:space="preserve"> </w:t>
      </w:r>
      <w:r w:rsidRPr="0031675F">
        <w:rPr>
          <w:spacing w:val="25"/>
        </w:rPr>
        <w:t xml:space="preserve"> </w:t>
      </w:r>
      <w:r w:rsidRPr="0031675F">
        <w:t xml:space="preserve">the </w:t>
      </w:r>
      <w:r w:rsidRPr="0031675F">
        <w:rPr>
          <w:spacing w:val="28"/>
        </w:rPr>
        <w:t xml:space="preserve"> </w:t>
      </w:r>
      <w:r w:rsidRPr="0031675F">
        <w:rPr>
          <w:spacing w:val="-1"/>
        </w:rPr>
        <w:t>drop</w:t>
      </w:r>
      <w:r w:rsidRPr="0031675F">
        <w:t xml:space="preserve"> </w:t>
      </w:r>
      <w:r w:rsidRPr="0031675F">
        <w:rPr>
          <w:spacing w:val="27"/>
        </w:rPr>
        <w:t xml:space="preserve"> </w:t>
      </w:r>
      <w:r w:rsidRPr="0031675F">
        <w:rPr>
          <w:spacing w:val="-1"/>
        </w:rPr>
        <w:t>down</w:t>
      </w:r>
      <w:r w:rsidRPr="0031675F">
        <w:t xml:space="preserve"> </w:t>
      </w:r>
      <w:r w:rsidRPr="0031675F">
        <w:rPr>
          <w:spacing w:val="26"/>
        </w:rPr>
        <w:t xml:space="preserve"> </w:t>
      </w:r>
      <w:r w:rsidRPr="0031675F">
        <w:rPr>
          <w:spacing w:val="-1"/>
        </w:rPr>
        <w:t>list</w:t>
      </w:r>
      <w:r w:rsidRPr="0031675F">
        <w:t xml:space="preserve"> </w:t>
      </w:r>
      <w:r w:rsidRPr="0031675F">
        <w:rPr>
          <w:spacing w:val="28"/>
        </w:rPr>
        <w:t xml:space="preserve"> </w:t>
      </w:r>
      <w:r w:rsidRPr="0031675F">
        <w:rPr>
          <w:spacing w:val="-1"/>
        </w:rPr>
        <w:t>(normally</w:t>
      </w:r>
      <w:r w:rsidRPr="0031675F">
        <w:rPr>
          <w:spacing w:val="41"/>
        </w:rPr>
        <w:t xml:space="preserve"> </w:t>
      </w:r>
      <w:r w:rsidRPr="0031675F">
        <w:rPr>
          <w:spacing w:val="-1"/>
        </w:rPr>
        <w:t>Satorius/MCI</w:t>
      </w:r>
      <w:r w:rsidRPr="0031675F">
        <w:rPr>
          <w:spacing w:val="-3"/>
        </w:rPr>
        <w:t xml:space="preserve"> </w:t>
      </w:r>
      <w:r w:rsidRPr="0031675F">
        <w:rPr>
          <w:spacing w:val="-1"/>
        </w:rPr>
        <w:t>ResearchRC210P)</w:t>
      </w:r>
    </w:p>
    <w:p w14:paraId="7504BBD4" w14:textId="77777777" w:rsidR="0031675F" w:rsidRPr="0031675F" w:rsidRDefault="0031675F" w:rsidP="0031675F">
      <w:pPr>
        <w:spacing w:after="120"/>
        <w:ind w:left="678" w:right="116"/>
      </w:pPr>
      <w:r w:rsidRPr="0031675F">
        <w:rPr>
          <w:spacing w:val="-1"/>
        </w:rPr>
        <w:t>These</w:t>
      </w:r>
      <w:r w:rsidRPr="0031675F">
        <w:rPr>
          <w:spacing w:val="6"/>
        </w:rPr>
        <w:t xml:space="preserve"> </w:t>
      </w:r>
      <w:r w:rsidRPr="0031675F">
        <w:rPr>
          <w:spacing w:val="-1"/>
        </w:rPr>
        <w:t>fields</w:t>
      </w:r>
      <w:r w:rsidRPr="0031675F">
        <w:rPr>
          <w:spacing w:val="5"/>
        </w:rPr>
        <w:t xml:space="preserve"> </w:t>
      </w:r>
      <w:r w:rsidRPr="0031675F">
        <w:rPr>
          <w:spacing w:val="-1"/>
        </w:rPr>
        <w:t>need</w:t>
      </w:r>
      <w:r w:rsidRPr="0031675F">
        <w:rPr>
          <w:spacing w:val="4"/>
        </w:rPr>
        <w:t xml:space="preserve"> </w:t>
      </w:r>
      <w:r w:rsidRPr="0031675F">
        <w:rPr>
          <w:spacing w:val="-1"/>
        </w:rPr>
        <w:t>only</w:t>
      </w:r>
      <w:r w:rsidRPr="0031675F">
        <w:rPr>
          <w:spacing w:val="6"/>
        </w:rPr>
        <w:t xml:space="preserve"> </w:t>
      </w:r>
      <w:r w:rsidRPr="0031675F">
        <w:rPr>
          <w:spacing w:val="-1"/>
        </w:rPr>
        <w:t>be</w:t>
      </w:r>
      <w:r w:rsidRPr="0031675F">
        <w:rPr>
          <w:spacing w:val="3"/>
        </w:rPr>
        <w:t xml:space="preserve"> </w:t>
      </w:r>
      <w:r w:rsidRPr="0031675F">
        <w:rPr>
          <w:spacing w:val="-1"/>
        </w:rPr>
        <w:t>filled</w:t>
      </w:r>
      <w:r w:rsidRPr="0031675F">
        <w:rPr>
          <w:spacing w:val="4"/>
        </w:rPr>
        <w:t xml:space="preserve"> </w:t>
      </w:r>
      <w:r w:rsidRPr="0031675F">
        <w:rPr>
          <w:spacing w:val="-1"/>
        </w:rPr>
        <w:t>once</w:t>
      </w:r>
      <w:r w:rsidRPr="0031675F">
        <w:rPr>
          <w:spacing w:val="5"/>
        </w:rPr>
        <w:t xml:space="preserve"> </w:t>
      </w:r>
      <w:r w:rsidRPr="0031675F">
        <w:rPr>
          <w:spacing w:val="-1"/>
        </w:rPr>
        <w:t>and</w:t>
      </w:r>
      <w:r w:rsidRPr="0031675F">
        <w:rPr>
          <w:spacing w:val="4"/>
        </w:rPr>
        <w:t xml:space="preserve"> </w:t>
      </w:r>
      <w:r w:rsidRPr="0031675F">
        <w:t>will</w:t>
      </w:r>
      <w:r w:rsidRPr="0031675F">
        <w:rPr>
          <w:spacing w:val="2"/>
        </w:rPr>
        <w:t xml:space="preserve"> </w:t>
      </w:r>
      <w:r w:rsidRPr="0031675F">
        <w:rPr>
          <w:spacing w:val="-1"/>
        </w:rPr>
        <w:t>thereafter</w:t>
      </w:r>
      <w:r w:rsidRPr="0031675F">
        <w:rPr>
          <w:spacing w:val="5"/>
        </w:rPr>
        <w:t xml:space="preserve"> </w:t>
      </w:r>
      <w:r w:rsidRPr="0031675F">
        <w:rPr>
          <w:spacing w:val="-1"/>
        </w:rPr>
        <w:t>generate</w:t>
      </w:r>
      <w:r w:rsidRPr="0031675F">
        <w:rPr>
          <w:spacing w:val="6"/>
        </w:rPr>
        <w:t xml:space="preserve"> </w:t>
      </w:r>
      <w:r w:rsidRPr="0031675F">
        <w:rPr>
          <w:spacing w:val="-1"/>
        </w:rPr>
        <w:t>automatically</w:t>
      </w:r>
      <w:r w:rsidRPr="0031675F">
        <w:rPr>
          <w:spacing w:val="3"/>
        </w:rPr>
        <w:t xml:space="preserve"> </w:t>
      </w:r>
      <w:r w:rsidRPr="0031675F">
        <w:rPr>
          <w:spacing w:val="-1"/>
        </w:rPr>
        <w:t>unless</w:t>
      </w:r>
      <w:r w:rsidRPr="0031675F">
        <w:rPr>
          <w:spacing w:val="4"/>
        </w:rPr>
        <w:t xml:space="preserve"> </w:t>
      </w:r>
      <w:r w:rsidRPr="0031675F">
        <w:rPr>
          <w:spacing w:val="-1"/>
        </w:rPr>
        <w:t>you</w:t>
      </w:r>
      <w:r w:rsidRPr="0031675F">
        <w:rPr>
          <w:spacing w:val="4"/>
        </w:rPr>
        <w:t xml:space="preserve"> </w:t>
      </w:r>
      <w:r w:rsidRPr="0031675F">
        <w:rPr>
          <w:spacing w:val="-1"/>
        </w:rPr>
        <w:t>skip</w:t>
      </w:r>
      <w:r w:rsidRPr="0031675F">
        <w:rPr>
          <w:spacing w:val="56"/>
        </w:rPr>
        <w:t xml:space="preserve"> </w:t>
      </w:r>
      <w:r w:rsidRPr="0031675F">
        <w:t xml:space="preserve">a </w:t>
      </w:r>
      <w:r w:rsidRPr="0031675F">
        <w:rPr>
          <w:spacing w:val="-1"/>
        </w:rPr>
        <w:t>line.</w:t>
      </w:r>
    </w:p>
    <w:p w14:paraId="51A6B5DE" w14:textId="77777777" w:rsidR="0031675F" w:rsidRPr="0031675F" w:rsidRDefault="0031675F" w:rsidP="0031675F">
      <w:pPr>
        <w:widowControl w:val="0"/>
        <w:numPr>
          <w:ilvl w:val="1"/>
          <w:numId w:val="76"/>
        </w:numPr>
        <w:tabs>
          <w:tab w:val="left" w:pos="679"/>
        </w:tabs>
        <w:spacing w:before="0" w:after="0" w:line="240" w:lineRule="auto"/>
        <w:ind w:right="116"/>
      </w:pPr>
      <w:r w:rsidRPr="0031675F">
        <w:rPr>
          <w:spacing w:val="-1"/>
        </w:rPr>
        <w:t>The</w:t>
      </w:r>
      <w:r w:rsidRPr="0031675F">
        <w:rPr>
          <w:spacing w:val="15"/>
        </w:rPr>
        <w:t xml:space="preserve"> </w:t>
      </w:r>
      <w:r w:rsidRPr="0031675F">
        <w:rPr>
          <w:spacing w:val="-1"/>
        </w:rPr>
        <w:t>computer</w:t>
      </w:r>
      <w:r w:rsidRPr="0031675F">
        <w:rPr>
          <w:spacing w:val="14"/>
        </w:rPr>
        <w:t xml:space="preserve"> </w:t>
      </w:r>
      <w:r w:rsidRPr="0031675F">
        <w:t>is</w:t>
      </w:r>
      <w:r w:rsidRPr="0031675F">
        <w:rPr>
          <w:spacing w:val="14"/>
        </w:rPr>
        <w:t xml:space="preserve"> </w:t>
      </w:r>
      <w:r w:rsidRPr="0031675F">
        <w:rPr>
          <w:spacing w:val="-1"/>
        </w:rPr>
        <w:t>now</w:t>
      </w:r>
      <w:r w:rsidRPr="0031675F">
        <w:rPr>
          <w:spacing w:val="15"/>
        </w:rPr>
        <w:t xml:space="preserve"> </w:t>
      </w:r>
      <w:r w:rsidRPr="0031675F">
        <w:rPr>
          <w:spacing w:val="-1"/>
        </w:rPr>
        <w:t>ready</w:t>
      </w:r>
      <w:r w:rsidRPr="0031675F">
        <w:rPr>
          <w:spacing w:val="15"/>
        </w:rPr>
        <w:t xml:space="preserve"> </w:t>
      </w:r>
      <w:r w:rsidRPr="0031675F">
        <w:rPr>
          <w:spacing w:val="-1"/>
        </w:rPr>
        <w:t>to</w:t>
      </w:r>
      <w:r w:rsidRPr="0031675F">
        <w:rPr>
          <w:spacing w:val="15"/>
        </w:rPr>
        <w:t xml:space="preserve"> </w:t>
      </w:r>
      <w:r w:rsidRPr="0031675F">
        <w:rPr>
          <w:spacing w:val="-1"/>
        </w:rPr>
        <w:t>accept</w:t>
      </w:r>
      <w:r w:rsidRPr="0031675F">
        <w:rPr>
          <w:spacing w:val="14"/>
        </w:rPr>
        <w:t xml:space="preserve"> </w:t>
      </w:r>
      <w:r w:rsidRPr="0031675F">
        <w:rPr>
          <w:spacing w:val="-1"/>
        </w:rPr>
        <w:t>data</w:t>
      </w:r>
      <w:r w:rsidRPr="0031675F">
        <w:rPr>
          <w:spacing w:val="15"/>
        </w:rPr>
        <w:t xml:space="preserve"> </w:t>
      </w:r>
      <w:r w:rsidRPr="0031675F">
        <w:rPr>
          <w:spacing w:val="-2"/>
        </w:rPr>
        <w:t>from</w:t>
      </w:r>
      <w:r w:rsidRPr="0031675F">
        <w:rPr>
          <w:spacing w:val="15"/>
        </w:rPr>
        <w:t xml:space="preserve"> </w:t>
      </w:r>
      <w:r w:rsidRPr="0031675F">
        <w:t>the</w:t>
      </w:r>
      <w:r w:rsidRPr="0031675F">
        <w:rPr>
          <w:spacing w:val="12"/>
        </w:rPr>
        <w:t xml:space="preserve"> </w:t>
      </w:r>
      <w:r w:rsidRPr="0031675F">
        <w:rPr>
          <w:spacing w:val="-1"/>
        </w:rPr>
        <w:t>balance.</w:t>
      </w:r>
      <w:r w:rsidRPr="0031675F">
        <w:t xml:space="preserve"> </w:t>
      </w:r>
      <w:r w:rsidRPr="0031675F">
        <w:rPr>
          <w:spacing w:val="28"/>
        </w:rPr>
        <w:t xml:space="preserve"> </w:t>
      </w:r>
      <w:r w:rsidRPr="0031675F">
        <w:rPr>
          <w:spacing w:val="-1"/>
        </w:rPr>
        <w:t>Click</w:t>
      </w:r>
      <w:r w:rsidRPr="0031675F">
        <w:rPr>
          <w:spacing w:val="15"/>
        </w:rPr>
        <w:t xml:space="preserve"> </w:t>
      </w:r>
      <w:r w:rsidRPr="0031675F">
        <w:t>in</w:t>
      </w:r>
      <w:r w:rsidRPr="0031675F">
        <w:rPr>
          <w:spacing w:val="13"/>
        </w:rPr>
        <w:t xml:space="preserve"> </w:t>
      </w:r>
      <w:r w:rsidRPr="0031675F">
        <w:rPr>
          <w:spacing w:val="-1"/>
        </w:rPr>
        <w:t>the</w:t>
      </w:r>
      <w:r w:rsidRPr="0031675F">
        <w:rPr>
          <w:spacing w:val="21"/>
        </w:rPr>
        <w:t xml:space="preserve"> </w:t>
      </w:r>
      <w:r w:rsidRPr="0031675F">
        <w:rPr>
          <w:b/>
          <w:spacing w:val="-2"/>
        </w:rPr>
        <w:t>Initial</w:t>
      </w:r>
      <w:r w:rsidRPr="0031675F">
        <w:rPr>
          <w:b/>
          <w:spacing w:val="15"/>
        </w:rPr>
        <w:t xml:space="preserve"> </w:t>
      </w:r>
      <w:r w:rsidRPr="0031675F">
        <w:rPr>
          <w:b/>
          <w:spacing w:val="-1"/>
        </w:rPr>
        <w:t>Wt.</w:t>
      </w:r>
      <w:r w:rsidRPr="0031675F">
        <w:rPr>
          <w:b/>
          <w:spacing w:val="17"/>
        </w:rPr>
        <w:t xml:space="preserve"> </w:t>
      </w:r>
      <w:r w:rsidRPr="0031675F">
        <w:rPr>
          <w:spacing w:val="-1"/>
        </w:rPr>
        <w:t>field</w:t>
      </w:r>
      <w:r w:rsidRPr="0031675F">
        <w:rPr>
          <w:spacing w:val="14"/>
        </w:rPr>
        <w:t xml:space="preserve"> </w:t>
      </w:r>
      <w:r w:rsidRPr="0031675F">
        <w:rPr>
          <w:spacing w:val="-1"/>
        </w:rPr>
        <w:t>and</w:t>
      </w:r>
      <w:r w:rsidRPr="0031675F">
        <w:rPr>
          <w:spacing w:val="61"/>
        </w:rPr>
        <w:t xml:space="preserve"> </w:t>
      </w:r>
      <w:r w:rsidRPr="0031675F">
        <w:rPr>
          <w:spacing w:val="-1"/>
        </w:rPr>
        <w:t>place your</w:t>
      </w:r>
      <w:r w:rsidRPr="0031675F">
        <w:t xml:space="preserve"> </w:t>
      </w:r>
      <w:r w:rsidRPr="0031675F">
        <w:rPr>
          <w:spacing w:val="-1"/>
        </w:rPr>
        <w:t>filter</w:t>
      </w:r>
      <w:r w:rsidRPr="0031675F">
        <w:rPr>
          <w:spacing w:val="-2"/>
        </w:rPr>
        <w:t xml:space="preserve"> </w:t>
      </w:r>
      <w:r w:rsidRPr="0031675F">
        <w:t>on</w:t>
      </w:r>
      <w:r w:rsidRPr="0031675F">
        <w:rPr>
          <w:spacing w:val="-1"/>
        </w:rPr>
        <w:t xml:space="preserve"> the</w:t>
      </w:r>
      <w:r w:rsidRPr="0031675F">
        <w:rPr>
          <w:spacing w:val="-2"/>
        </w:rPr>
        <w:t xml:space="preserve"> </w:t>
      </w:r>
      <w:r w:rsidRPr="0031675F">
        <w:rPr>
          <w:spacing w:val="-1"/>
        </w:rPr>
        <w:t>balance.</w:t>
      </w:r>
    </w:p>
    <w:p w14:paraId="039BD740" w14:textId="77777777" w:rsidR="0031675F" w:rsidRPr="0031675F" w:rsidRDefault="0031675F" w:rsidP="0031675F">
      <w:pPr>
        <w:widowControl w:val="0"/>
        <w:numPr>
          <w:ilvl w:val="1"/>
          <w:numId w:val="76"/>
        </w:numPr>
        <w:tabs>
          <w:tab w:val="left" w:pos="679"/>
        </w:tabs>
        <w:spacing w:before="0" w:after="0" w:line="240" w:lineRule="auto"/>
        <w:ind w:right="110"/>
        <w:jc w:val="both"/>
      </w:pPr>
      <w:r w:rsidRPr="0031675F">
        <w:t>Press</w:t>
      </w:r>
      <w:r w:rsidRPr="0031675F">
        <w:rPr>
          <w:spacing w:val="7"/>
        </w:rPr>
        <w:t xml:space="preserve"> </w:t>
      </w:r>
      <w:r w:rsidRPr="0031675F">
        <w:t>the</w:t>
      </w:r>
      <w:r w:rsidRPr="0031675F">
        <w:rPr>
          <w:spacing w:val="10"/>
        </w:rPr>
        <w:t xml:space="preserve"> </w:t>
      </w:r>
      <w:r w:rsidRPr="0031675F">
        <w:rPr>
          <w:b/>
          <w:spacing w:val="-1"/>
        </w:rPr>
        <w:t>print</w:t>
      </w:r>
      <w:r w:rsidRPr="0031675F">
        <w:rPr>
          <w:b/>
          <w:spacing w:val="10"/>
        </w:rPr>
        <w:t xml:space="preserve"> </w:t>
      </w:r>
      <w:r w:rsidRPr="0031675F">
        <w:rPr>
          <w:spacing w:val="-1"/>
        </w:rPr>
        <w:t>button</w:t>
      </w:r>
      <w:r w:rsidRPr="0031675F">
        <w:rPr>
          <w:spacing w:val="9"/>
        </w:rPr>
        <w:t xml:space="preserve"> </w:t>
      </w:r>
      <w:r w:rsidRPr="0031675F">
        <w:t>on</w:t>
      </w:r>
      <w:r w:rsidRPr="0031675F">
        <w:rPr>
          <w:spacing w:val="9"/>
        </w:rPr>
        <w:t xml:space="preserve"> </w:t>
      </w:r>
      <w:r w:rsidRPr="0031675F">
        <w:rPr>
          <w:spacing w:val="-1"/>
        </w:rPr>
        <w:t>the</w:t>
      </w:r>
      <w:r w:rsidRPr="0031675F">
        <w:rPr>
          <w:spacing w:val="10"/>
        </w:rPr>
        <w:t xml:space="preserve"> </w:t>
      </w:r>
      <w:r w:rsidRPr="0031675F">
        <w:rPr>
          <w:spacing w:val="-1"/>
        </w:rPr>
        <w:t>balance</w:t>
      </w:r>
      <w:r w:rsidRPr="0031675F">
        <w:rPr>
          <w:spacing w:val="10"/>
        </w:rPr>
        <w:t xml:space="preserve"> </w:t>
      </w:r>
      <w:r w:rsidRPr="0031675F">
        <w:rPr>
          <w:spacing w:val="-1"/>
        </w:rPr>
        <w:t>to</w:t>
      </w:r>
      <w:r w:rsidRPr="0031675F">
        <w:rPr>
          <w:spacing w:val="11"/>
        </w:rPr>
        <w:t xml:space="preserve"> </w:t>
      </w:r>
      <w:r w:rsidRPr="0031675F">
        <w:rPr>
          <w:spacing w:val="-1"/>
        </w:rPr>
        <w:t>send</w:t>
      </w:r>
      <w:r w:rsidRPr="0031675F">
        <w:rPr>
          <w:spacing w:val="9"/>
        </w:rPr>
        <w:t xml:space="preserve"> </w:t>
      </w:r>
      <w:r w:rsidRPr="0031675F">
        <w:t>the</w:t>
      </w:r>
      <w:r w:rsidRPr="0031675F">
        <w:rPr>
          <w:spacing w:val="7"/>
        </w:rPr>
        <w:t xml:space="preserve"> </w:t>
      </w:r>
      <w:r w:rsidRPr="0031675F">
        <w:rPr>
          <w:spacing w:val="-1"/>
        </w:rPr>
        <w:t>weight</w:t>
      </w:r>
      <w:r w:rsidRPr="0031675F">
        <w:rPr>
          <w:spacing w:val="10"/>
        </w:rPr>
        <w:t xml:space="preserve"> </w:t>
      </w:r>
      <w:r w:rsidRPr="0031675F">
        <w:t>to</w:t>
      </w:r>
      <w:r w:rsidRPr="0031675F">
        <w:rPr>
          <w:spacing w:val="11"/>
        </w:rPr>
        <w:t xml:space="preserve"> </w:t>
      </w:r>
      <w:r w:rsidRPr="0031675F">
        <w:rPr>
          <w:spacing w:val="-1"/>
        </w:rPr>
        <w:t>computer.</w:t>
      </w:r>
      <w:r w:rsidRPr="0031675F">
        <w:rPr>
          <w:spacing w:val="9"/>
        </w:rPr>
        <w:t xml:space="preserve"> </w:t>
      </w:r>
      <w:r w:rsidRPr="0031675F">
        <w:rPr>
          <w:spacing w:val="-1"/>
        </w:rPr>
        <w:t>Note:</w:t>
      </w:r>
      <w:r w:rsidRPr="0031675F">
        <w:rPr>
          <w:spacing w:val="8"/>
        </w:rPr>
        <w:t xml:space="preserve"> </w:t>
      </w:r>
      <w:r w:rsidRPr="0031675F">
        <w:t>the</w:t>
      </w:r>
      <w:r w:rsidRPr="0031675F">
        <w:rPr>
          <w:spacing w:val="7"/>
        </w:rPr>
        <w:t xml:space="preserve"> </w:t>
      </w:r>
      <w:r w:rsidRPr="0031675F">
        <w:rPr>
          <w:spacing w:val="-1"/>
        </w:rPr>
        <w:t>print</w:t>
      </w:r>
      <w:r w:rsidRPr="0031675F">
        <w:rPr>
          <w:spacing w:val="10"/>
        </w:rPr>
        <w:t xml:space="preserve"> </w:t>
      </w:r>
      <w:r w:rsidRPr="0031675F">
        <w:rPr>
          <w:spacing w:val="-1"/>
        </w:rPr>
        <w:t>symbol</w:t>
      </w:r>
      <w:r w:rsidRPr="0031675F">
        <w:rPr>
          <w:spacing w:val="39"/>
        </w:rPr>
        <w:t xml:space="preserve"> </w:t>
      </w:r>
      <w:r w:rsidRPr="0031675F">
        <w:t>will</w:t>
      </w:r>
      <w:r w:rsidRPr="0031675F">
        <w:rPr>
          <w:spacing w:val="14"/>
        </w:rPr>
        <w:t xml:space="preserve"> </w:t>
      </w:r>
      <w:r w:rsidRPr="0031675F">
        <w:rPr>
          <w:spacing w:val="-1"/>
        </w:rPr>
        <w:t>be</w:t>
      </w:r>
      <w:r w:rsidRPr="0031675F">
        <w:rPr>
          <w:spacing w:val="15"/>
        </w:rPr>
        <w:t xml:space="preserve"> </w:t>
      </w:r>
      <w:r w:rsidRPr="0031675F">
        <w:rPr>
          <w:spacing w:val="-1"/>
        </w:rPr>
        <w:t>visible</w:t>
      </w:r>
      <w:r w:rsidRPr="0031675F">
        <w:rPr>
          <w:spacing w:val="14"/>
        </w:rPr>
        <w:t xml:space="preserve"> </w:t>
      </w:r>
      <w:r w:rsidRPr="0031675F">
        <w:t>on</w:t>
      </w:r>
      <w:r w:rsidRPr="0031675F">
        <w:rPr>
          <w:spacing w:val="14"/>
        </w:rPr>
        <w:t xml:space="preserve"> </w:t>
      </w:r>
      <w:r w:rsidRPr="0031675F">
        <w:t>the</w:t>
      </w:r>
      <w:r w:rsidRPr="0031675F">
        <w:rPr>
          <w:spacing w:val="14"/>
        </w:rPr>
        <w:t xml:space="preserve"> </w:t>
      </w:r>
      <w:r w:rsidRPr="0031675F">
        <w:rPr>
          <w:spacing w:val="-1"/>
        </w:rPr>
        <w:t>LED</w:t>
      </w:r>
      <w:r w:rsidRPr="0031675F">
        <w:rPr>
          <w:spacing w:val="15"/>
        </w:rPr>
        <w:t xml:space="preserve"> </w:t>
      </w:r>
      <w:r w:rsidRPr="0031675F">
        <w:rPr>
          <w:spacing w:val="-1"/>
        </w:rPr>
        <w:t>until</w:t>
      </w:r>
      <w:r w:rsidRPr="0031675F">
        <w:rPr>
          <w:spacing w:val="14"/>
        </w:rPr>
        <w:t xml:space="preserve"> </w:t>
      </w:r>
      <w:r w:rsidRPr="0031675F">
        <w:t>the</w:t>
      </w:r>
      <w:r w:rsidRPr="0031675F">
        <w:rPr>
          <w:spacing w:val="14"/>
        </w:rPr>
        <w:t xml:space="preserve"> </w:t>
      </w:r>
      <w:r w:rsidRPr="0031675F">
        <w:rPr>
          <w:spacing w:val="-1"/>
        </w:rPr>
        <w:t>signal</w:t>
      </w:r>
      <w:r w:rsidRPr="0031675F">
        <w:rPr>
          <w:spacing w:val="14"/>
        </w:rPr>
        <w:t xml:space="preserve"> </w:t>
      </w:r>
      <w:r w:rsidRPr="0031675F">
        <w:t>is</w:t>
      </w:r>
      <w:r w:rsidRPr="0031675F">
        <w:rPr>
          <w:spacing w:val="14"/>
        </w:rPr>
        <w:t xml:space="preserve"> </w:t>
      </w:r>
      <w:r w:rsidRPr="0031675F">
        <w:rPr>
          <w:spacing w:val="-1"/>
        </w:rPr>
        <w:t>stable</w:t>
      </w:r>
      <w:r w:rsidRPr="0031675F">
        <w:rPr>
          <w:spacing w:val="15"/>
        </w:rPr>
        <w:t xml:space="preserve"> </w:t>
      </w:r>
      <w:r w:rsidRPr="0031675F">
        <w:rPr>
          <w:spacing w:val="-1"/>
        </w:rPr>
        <w:t>and</w:t>
      </w:r>
      <w:r w:rsidRPr="0031675F">
        <w:rPr>
          <w:spacing w:val="14"/>
        </w:rPr>
        <w:t xml:space="preserve"> </w:t>
      </w:r>
      <w:r w:rsidRPr="0031675F">
        <w:t>it</w:t>
      </w:r>
      <w:r w:rsidRPr="0031675F">
        <w:rPr>
          <w:spacing w:val="14"/>
        </w:rPr>
        <w:t xml:space="preserve"> </w:t>
      </w:r>
      <w:r w:rsidRPr="0031675F">
        <w:t>can</w:t>
      </w:r>
      <w:r w:rsidRPr="0031675F">
        <w:rPr>
          <w:spacing w:val="13"/>
        </w:rPr>
        <w:t xml:space="preserve"> </w:t>
      </w:r>
      <w:r w:rsidRPr="0031675F">
        <w:rPr>
          <w:spacing w:val="-1"/>
        </w:rPr>
        <w:t>send</w:t>
      </w:r>
      <w:r w:rsidRPr="0031675F">
        <w:rPr>
          <w:spacing w:val="13"/>
        </w:rPr>
        <w:t xml:space="preserve"> </w:t>
      </w:r>
      <w:r w:rsidRPr="0031675F">
        <w:t>the</w:t>
      </w:r>
      <w:r w:rsidRPr="0031675F">
        <w:rPr>
          <w:spacing w:val="14"/>
        </w:rPr>
        <w:t xml:space="preserve"> </w:t>
      </w:r>
      <w:r w:rsidRPr="0031675F">
        <w:rPr>
          <w:spacing w:val="-1"/>
        </w:rPr>
        <w:t>result</w:t>
      </w:r>
      <w:r w:rsidRPr="0031675F">
        <w:rPr>
          <w:spacing w:val="15"/>
        </w:rPr>
        <w:t xml:space="preserve"> </w:t>
      </w:r>
      <w:r w:rsidRPr="0031675F">
        <w:t>to</w:t>
      </w:r>
      <w:r w:rsidRPr="0031675F">
        <w:rPr>
          <w:spacing w:val="14"/>
        </w:rPr>
        <w:t xml:space="preserve"> </w:t>
      </w:r>
      <w:r w:rsidRPr="0031675F">
        <w:t>the</w:t>
      </w:r>
      <w:r w:rsidRPr="0031675F">
        <w:rPr>
          <w:spacing w:val="14"/>
        </w:rPr>
        <w:t xml:space="preserve"> </w:t>
      </w:r>
      <w:r w:rsidRPr="0031675F">
        <w:rPr>
          <w:spacing w:val="-1"/>
        </w:rPr>
        <w:t>computer.</w:t>
      </w:r>
      <w:r w:rsidRPr="0031675F">
        <w:rPr>
          <w:spacing w:val="53"/>
        </w:rPr>
        <w:t xml:space="preserve"> </w:t>
      </w:r>
      <w:r w:rsidRPr="0031675F">
        <w:rPr>
          <w:spacing w:val="-1"/>
        </w:rPr>
        <w:t>The</w:t>
      </w:r>
      <w:r w:rsidRPr="0031675F">
        <w:rPr>
          <w:spacing w:val="22"/>
        </w:rPr>
        <w:t xml:space="preserve"> </w:t>
      </w:r>
      <w:r w:rsidRPr="0031675F">
        <w:rPr>
          <w:spacing w:val="-1"/>
        </w:rPr>
        <w:t>signal</w:t>
      </w:r>
      <w:r w:rsidRPr="0031675F">
        <w:rPr>
          <w:spacing w:val="21"/>
        </w:rPr>
        <w:t xml:space="preserve"> </w:t>
      </w:r>
      <w:r w:rsidRPr="0031675F">
        <w:t>will</w:t>
      </w:r>
      <w:r w:rsidRPr="0031675F">
        <w:rPr>
          <w:spacing w:val="21"/>
        </w:rPr>
        <w:t xml:space="preserve"> </w:t>
      </w:r>
      <w:r w:rsidRPr="0031675F">
        <w:rPr>
          <w:spacing w:val="-1"/>
        </w:rPr>
        <w:t>not</w:t>
      </w:r>
      <w:r w:rsidRPr="0031675F">
        <w:rPr>
          <w:spacing w:val="22"/>
        </w:rPr>
        <w:t xml:space="preserve"> </w:t>
      </w:r>
      <w:r w:rsidRPr="0031675F">
        <w:rPr>
          <w:spacing w:val="-1"/>
        </w:rPr>
        <w:t>be</w:t>
      </w:r>
      <w:r w:rsidRPr="0031675F">
        <w:rPr>
          <w:spacing w:val="22"/>
        </w:rPr>
        <w:t xml:space="preserve"> </w:t>
      </w:r>
      <w:r w:rsidRPr="0031675F">
        <w:rPr>
          <w:spacing w:val="-1"/>
        </w:rPr>
        <w:t>sent</w:t>
      </w:r>
      <w:r w:rsidRPr="0031675F">
        <w:rPr>
          <w:spacing w:val="19"/>
        </w:rPr>
        <w:t xml:space="preserve"> </w:t>
      </w:r>
      <w:r w:rsidRPr="0031675F">
        <w:rPr>
          <w:spacing w:val="-1"/>
        </w:rPr>
        <w:t>until</w:t>
      </w:r>
      <w:r w:rsidRPr="0031675F">
        <w:rPr>
          <w:spacing w:val="22"/>
        </w:rPr>
        <w:t xml:space="preserve"> </w:t>
      </w:r>
      <w:r w:rsidRPr="0031675F">
        <w:t>the</w:t>
      </w:r>
      <w:r w:rsidRPr="0031675F">
        <w:rPr>
          <w:spacing w:val="22"/>
        </w:rPr>
        <w:t xml:space="preserve"> </w:t>
      </w:r>
      <w:r w:rsidRPr="0031675F">
        <w:rPr>
          <w:spacing w:val="-1"/>
        </w:rPr>
        <w:t>balance</w:t>
      </w:r>
      <w:r w:rsidRPr="0031675F">
        <w:rPr>
          <w:spacing w:val="22"/>
        </w:rPr>
        <w:t xml:space="preserve"> </w:t>
      </w:r>
      <w:r w:rsidRPr="0031675F">
        <w:rPr>
          <w:spacing w:val="-1"/>
        </w:rPr>
        <w:t>stabilizes.</w:t>
      </w:r>
      <w:r w:rsidRPr="0031675F">
        <w:rPr>
          <w:spacing w:val="21"/>
        </w:rPr>
        <w:t xml:space="preserve"> </w:t>
      </w:r>
      <w:r w:rsidRPr="0031675F">
        <w:rPr>
          <w:spacing w:val="-1"/>
        </w:rPr>
        <w:t>All</w:t>
      </w:r>
      <w:r w:rsidRPr="0031675F">
        <w:rPr>
          <w:spacing w:val="21"/>
        </w:rPr>
        <w:t xml:space="preserve"> </w:t>
      </w:r>
      <w:r w:rsidRPr="0031675F">
        <w:t>entries</w:t>
      </w:r>
      <w:r w:rsidRPr="0031675F">
        <w:rPr>
          <w:spacing w:val="21"/>
        </w:rPr>
        <w:t xml:space="preserve"> </w:t>
      </w:r>
      <w:r w:rsidRPr="0031675F">
        <w:t>will</w:t>
      </w:r>
      <w:r w:rsidRPr="0031675F">
        <w:rPr>
          <w:spacing w:val="21"/>
        </w:rPr>
        <w:t xml:space="preserve"> </w:t>
      </w:r>
      <w:r w:rsidRPr="0031675F">
        <w:rPr>
          <w:spacing w:val="-2"/>
        </w:rPr>
        <w:t>be</w:t>
      </w:r>
      <w:r w:rsidRPr="0031675F">
        <w:rPr>
          <w:spacing w:val="22"/>
        </w:rPr>
        <w:t xml:space="preserve"> </w:t>
      </w:r>
      <w:r w:rsidRPr="0031675F">
        <w:rPr>
          <w:spacing w:val="-1"/>
        </w:rPr>
        <w:t>automatically</w:t>
      </w:r>
      <w:r w:rsidRPr="0031675F">
        <w:rPr>
          <w:spacing w:val="22"/>
        </w:rPr>
        <w:t xml:space="preserve"> </w:t>
      </w:r>
      <w:r w:rsidRPr="0031675F">
        <w:rPr>
          <w:spacing w:val="-2"/>
        </w:rPr>
        <w:t>saved</w:t>
      </w:r>
      <w:r w:rsidRPr="0031675F">
        <w:rPr>
          <w:spacing w:val="55"/>
        </w:rPr>
        <w:t xml:space="preserve"> </w:t>
      </w:r>
      <w:r w:rsidRPr="0031675F">
        <w:rPr>
          <w:spacing w:val="-1"/>
        </w:rPr>
        <w:t>but</w:t>
      </w:r>
      <w:r w:rsidRPr="0031675F">
        <w:rPr>
          <w:spacing w:val="24"/>
        </w:rPr>
        <w:t xml:space="preserve"> </w:t>
      </w:r>
      <w:r w:rsidRPr="0031675F">
        <w:rPr>
          <w:spacing w:val="-1"/>
        </w:rPr>
        <w:t>reweighing</w:t>
      </w:r>
      <w:r w:rsidRPr="0031675F">
        <w:rPr>
          <w:spacing w:val="23"/>
        </w:rPr>
        <w:t xml:space="preserve"> </w:t>
      </w:r>
      <w:r w:rsidRPr="0031675F">
        <w:t>is</w:t>
      </w:r>
      <w:r w:rsidRPr="0031675F">
        <w:rPr>
          <w:spacing w:val="24"/>
        </w:rPr>
        <w:t xml:space="preserve"> </w:t>
      </w:r>
      <w:r w:rsidRPr="0031675F">
        <w:rPr>
          <w:spacing w:val="-1"/>
        </w:rPr>
        <w:t>possible</w:t>
      </w:r>
      <w:r w:rsidRPr="0031675F">
        <w:rPr>
          <w:spacing w:val="22"/>
        </w:rPr>
        <w:t xml:space="preserve"> </w:t>
      </w:r>
      <w:r w:rsidRPr="0031675F">
        <w:t>if</w:t>
      </w:r>
      <w:r w:rsidRPr="0031675F">
        <w:rPr>
          <w:spacing w:val="23"/>
        </w:rPr>
        <w:t xml:space="preserve"> </w:t>
      </w:r>
      <w:r w:rsidRPr="0031675F">
        <w:t>an</w:t>
      </w:r>
      <w:r w:rsidRPr="0031675F">
        <w:rPr>
          <w:spacing w:val="23"/>
        </w:rPr>
        <w:t xml:space="preserve"> </w:t>
      </w:r>
      <w:r w:rsidRPr="0031675F">
        <w:rPr>
          <w:spacing w:val="-1"/>
        </w:rPr>
        <w:t>incorrect</w:t>
      </w:r>
      <w:r w:rsidRPr="0031675F">
        <w:rPr>
          <w:spacing w:val="22"/>
        </w:rPr>
        <w:t xml:space="preserve"> </w:t>
      </w:r>
      <w:r w:rsidRPr="0031675F">
        <w:rPr>
          <w:spacing w:val="-1"/>
        </w:rPr>
        <w:t>weigh</w:t>
      </w:r>
      <w:r w:rsidRPr="0031675F">
        <w:rPr>
          <w:spacing w:val="23"/>
        </w:rPr>
        <w:t xml:space="preserve"> </w:t>
      </w:r>
      <w:r w:rsidRPr="0031675F">
        <w:t>is</w:t>
      </w:r>
      <w:r w:rsidRPr="0031675F">
        <w:rPr>
          <w:spacing w:val="21"/>
        </w:rPr>
        <w:t xml:space="preserve"> </w:t>
      </w:r>
      <w:r w:rsidRPr="0031675F">
        <w:rPr>
          <w:spacing w:val="-1"/>
        </w:rPr>
        <w:t>entered,</w:t>
      </w:r>
      <w:r w:rsidRPr="0031675F">
        <w:rPr>
          <w:spacing w:val="23"/>
        </w:rPr>
        <w:t xml:space="preserve"> </w:t>
      </w:r>
      <w:r w:rsidRPr="0031675F">
        <w:rPr>
          <w:spacing w:val="-1"/>
        </w:rPr>
        <w:t>simply</w:t>
      </w:r>
      <w:r w:rsidRPr="0031675F">
        <w:rPr>
          <w:spacing w:val="22"/>
        </w:rPr>
        <w:t xml:space="preserve"> </w:t>
      </w:r>
      <w:r w:rsidRPr="0031675F">
        <w:rPr>
          <w:spacing w:val="-1"/>
        </w:rPr>
        <w:t>reposition</w:t>
      </w:r>
      <w:r w:rsidRPr="0031675F">
        <w:rPr>
          <w:spacing w:val="21"/>
        </w:rPr>
        <w:t xml:space="preserve"> </w:t>
      </w:r>
      <w:r w:rsidRPr="0031675F">
        <w:rPr>
          <w:spacing w:val="-1"/>
        </w:rPr>
        <w:t>the</w:t>
      </w:r>
      <w:r w:rsidRPr="0031675F">
        <w:rPr>
          <w:spacing w:val="25"/>
        </w:rPr>
        <w:t xml:space="preserve"> </w:t>
      </w:r>
      <w:r w:rsidRPr="0031675F">
        <w:t>cursor</w:t>
      </w:r>
      <w:r w:rsidRPr="0031675F">
        <w:rPr>
          <w:spacing w:val="21"/>
        </w:rPr>
        <w:t xml:space="preserve"> </w:t>
      </w:r>
      <w:r w:rsidRPr="0031675F">
        <w:rPr>
          <w:spacing w:val="-1"/>
        </w:rPr>
        <w:t>over</w:t>
      </w:r>
      <w:r w:rsidRPr="0031675F">
        <w:rPr>
          <w:spacing w:val="67"/>
        </w:rPr>
        <w:t xml:space="preserve"> </w:t>
      </w:r>
      <w:r w:rsidRPr="0031675F">
        <w:t xml:space="preserve">the </w:t>
      </w:r>
      <w:r w:rsidRPr="0031675F">
        <w:rPr>
          <w:spacing w:val="-1"/>
        </w:rPr>
        <w:t>incorrect</w:t>
      </w:r>
      <w:r w:rsidRPr="0031675F">
        <w:rPr>
          <w:spacing w:val="-2"/>
        </w:rPr>
        <w:t xml:space="preserve"> </w:t>
      </w:r>
      <w:r w:rsidRPr="0031675F">
        <w:rPr>
          <w:spacing w:val="-1"/>
        </w:rPr>
        <w:t>value</w:t>
      </w:r>
      <w:r w:rsidRPr="0031675F">
        <w:t xml:space="preserve"> </w:t>
      </w:r>
      <w:r w:rsidRPr="0031675F">
        <w:rPr>
          <w:spacing w:val="-1"/>
        </w:rPr>
        <w:t xml:space="preserve">and </w:t>
      </w:r>
      <w:r w:rsidRPr="0031675F">
        <w:rPr>
          <w:spacing w:val="-2"/>
        </w:rPr>
        <w:t>press</w:t>
      </w:r>
      <w:r w:rsidRPr="0031675F">
        <w:t xml:space="preserve"> </w:t>
      </w:r>
      <w:r w:rsidRPr="0031675F">
        <w:rPr>
          <w:spacing w:val="-1"/>
        </w:rPr>
        <w:t>the</w:t>
      </w:r>
      <w:r w:rsidRPr="0031675F">
        <w:t xml:space="preserve"> </w:t>
      </w:r>
      <w:r w:rsidRPr="0031675F">
        <w:rPr>
          <w:spacing w:val="-1"/>
        </w:rPr>
        <w:t>print</w:t>
      </w:r>
      <w:r w:rsidRPr="0031675F">
        <w:rPr>
          <w:spacing w:val="-2"/>
        </w:rPr>
        <w:t xml:space="preserve"> </w:t>
      </w:r>
      <w:r w:rsidRPr="0031675F">
        <w:rPr>
          <w:spacing w:val="-1"/>
        </w:rPr>
        <w:t>button again.</w:t>
      </w:r>
    </w:p>
    <w:p w14:paraId="0C9D5E50" w14:textId="77777777" w:rsidR="0031675F" w:rsidRPr="0031675F" w:rsidRDefault="0031675F" w:rsidP="0031675F">
      <w:pPr>
        <w:widowControl w:val="0"/>
        <w:numPr>
          <w:ilvl w:val="1"/>
          <w:numId w:val="76"/>
        </w:numPr>
        <w:tabs>
          <w:tab w:val="left" w:pos="679"/>
        </w:tabs>
        <w:spacing w:before="0" w:after="0" w:line="240" w:lineRule="auto"/>
      </w:pPr>
      <w:r w:rsidRPr="0031675F">
        <w:t>When</w:t>
      </w:r>
      <w:r w:rsidRPr="0031675F">
        <w:rPr>
          <w:spacing w:val="-1"/>
        </w:rPr>
        <w:t xml:space="preserve"> you have</w:t>
      </w:r>
      <w:r w:rsidRPr="0031675F">
        <w:t xml:space="preserve"> </w:t>
      </w:r>
      <w:r w:rsidRPr="0031675F">
        <w:rPr>
          <w:spacing w:val="-1"/>
        </w:rPr>
        <w:t>completed</w:t>
      </w:r>
      <w:r w:rsidRPr="0031675F">
        <w:rPr>
          <w:spacing w:val="-3"/>
        </w:rPr>
        <w:t xml:space="preserve"> </w:t>
      </w:r>
      <w:r w:rsidRPr="0031675F">
        <w:rPr>
          <w:spacing w:val="-1"/>
        </w:rPr>
        <w:t>weighing,</w:t>
      </w:r>
      <w:r w:rsidRPr="0031675F">
        <w:t xml:space="preserve"> </w:t>
      </w:r>
      <w:r w:rsidRPr="0031675F">
        <w:rPr>
          <w:spacing w:val="-1"/>
        </w:rPr>
        <w:t>exit</w:t>
      </w:r>
      <w:r w:rsidRPr="0031675F">
        <w:rPr>
          <w:spacing w:val="-2"/>
        </w:rPr>
        <w:t xml:space="preserve"> </w:t>
      </w:r>
      <w:r w:rsidRPr="0031675F">
        <w:rPr>
          <w:spacing w:val="-1"/>
        </w:rPr>
        <w:t>the</w:t>
      </w:r>
      <w:r w:rsidRPr="0031675F">
        <w:rPr>
          <w:spacing w:val="-2"/>
        </w:rPr>
        <w:t xml:space="preserve"> </w:t>
      </w:r>
      <w:r w:rsidRPr="0031675F">
        <w:rPr>
          <w:spacing w:val="-1"/>
        </w:rPr>
        <w:t>program.</w:t>
      </w:r>
    </w:p>
    <w:p w14:paraId="0C37CF0D" w14:textId="77777777" w:rsidR="0031675F" w:rsidRPr="0031675F" w:rsidRDefault="0031675F" w:rsidP="0031675F">
      <w:pPr>
        <w:spacing w:before="11"/>
        <w:rPr>
          <w:rFonts w:cs="Calibri"/>
          <w:sz w:val="21"/>
          <w:szCs w:val="21"/>
        </w:rPr>
      </w:pPr>
    </w:p>
    <w:p w14:paraId="540ECABD" w14:textId="77777777" w:rsidR="0031675F" w:rsidRPr="0031675F" w:rsidRDefault="0031675F" w:rsidP="0031675F">
      <w:pPr>
        <w:widowControl w:val="0"/>
        <w:numPr>
          <w:ilvl w:val="0"/>
          <w:numId w:val="76"/>
        </w:numPr>
        <w:tabs>
          <w:tab w:val="left" w:pos="602"/>
        </w:tabs>
        <w:spacing w:before="0" w:after="0" w:line="240" w:lineRule="auto"/>
        <w:ind w:left="601" w:hanging="283"/>
        <w:jc w:val="left"/>
        <w:rPr>
          <w:rFonts w:cs="Calibri"/>
        </w:rPr>
      </w:pPr>
      <w:r w:rsidRPr="0031675F">
        <w:rPr>
          <w:rFonts w:cs="Calibri"/>
          <w:b/>
          <w:bCs/>
          <w:spacing w:val="-1"/>
        </w:rPr>
        <w:t>Procedure for</w:t>
      </w:r>
      <w:r w:rsidRPr="0031675F">
        <w:rPr>
          <w:rFonts w:cs="Calibri"/>
          <w:b/>
          <w:bCs/>
          <w:spacing w:val="-2"/>
        </w:rPr>
        <w:t xml:space="preserve"> </w:t>
      </w:r>
      <w:r w:rsidRPr="0031675F">
        <w:rPr>
          <w:rFonts w:cs="Calibri"/>
          <w:b/>
          <w:bCs/>
          <w:spacing w:val="-1"/>
        </w:rPr>
        <w:t>weighing</w:t>
      </w:r>
      <w:r w:rsidRPr="0031675F">
        <w:rPr>
          <w:rFonts w:cs="Calibri"/>
          <w:b/>
          <w:bCs/>
          <w:spacing w:val="-2"/>
        </w:rPr>
        <w:t xml:space="preserve"> </w:t>
      </w:r>
      <w:r w:rsidRPr="0031675F">
        <w:rPr>
          <w:rFonts w:cs="Calibri"/>
          <w:b/>
          <w:bCs/>
          <w:spacing w:val="-1"/>
        </w:rPr>
        <w:t>loaded filters</w:t>
      </w:r>
      <w:r w:rsidRPr="0031675F">
        <w:rPr>
          <w:rFonts w:cs="Calibri"/>
          <w:b/>
          <w:bCs/>
          <w:spacing w:val="-2"/>
        </w:rPr>
        <w:t xml:space="preserve"> </w:t>
      </w:r>
      <w:r w:rsidRPr="0031675F">
        <w:rPr>
          <w:rFonts w:cs="Calibri"/>
          <w:b/>
          <w:bCs/>
          <w:spacing w:val="-1"/>
        </w:rPr>
        <w:t>(i.e.</w:t>
      </w:r>
      <w:r w:rsidRPr="0031675F">
        <w:rPr>
          <w:rFonts w:cs="Calibri"/>
          <w:b/>
          <w:bCs/>
          <w:spacing w:val="1"/>
        </w:rPr>
        <w:t xml:space="preserve"> </w:t>
      </w:r>
      <w:r w:rsidRPr="0031675F">
        <w:rPr>
          <w:rFonts w:cs="Calibri"/>
          <w:b/>
          <w:bCs/>
          <w:spacing w:val="-1"/>
        </w:rPr>
        <w:t>entering</w:t>
      </w:r>
      <w:r w:rsidRPr="0031675F">
        <w:rPr>
          <w:rFonts w:cs="Calibri"/>
          <w:b/>
          <w:bCs/>
        </w:rPr>
        <w:t xml:space="preserve"> </w:t>
      </w:r>
      <w:r w:rsidRPr="0031675F">
        <w:rPr>
          <w:rFonts w:cs="Calibri"/>
          <w:b/>
          <w:bCs/>
          <w:spacing w:val="-1"/>
        </w:rPr>
        <w:t>“Final</w:t>
      </w:r>
      <w:r w:rsidRPr="0031675F">
        <w:rPr>
          <w:rFonts w:cs="Calibri"/>
          <w:b/>
          <w:bCs/>
          <w:spacing w:val="-2"/>
        </w:rPr>
        <w:t xml:space="preserve"> </w:t>
      </w:r>
      <w:r w:rsidRPr="0031675F">
        <w:rPr>
          <w:rFonts w:cs="Calibri"/>
          <w:b/>
          <w:bCs/>
          <w:spacing w:val="-1"/>
        </w:rPr>
        <w:t>weights”).</w:t>
      </w:r>
    </w:p>
    <w:p w14:paraId="56848428" w14:textId="77777777" w:rsidR="0031675F" w:rsidRPr="0031675F" w:rsidRDefault="0031675F" w:rsidP="0031675F">
      <w:pPr>
        <w:widowControl w:val="0"/>
        <w:numPr>
          <w:ilvl w:val="0"/>
          <w:numId w:val="75"/>
        </w:numPr>
        <w:tabs>
          <w:tab w:val="left" w:pos="679"/>
        </w:tabs>
        <w:spacing w:before="0" w:after="0" w:line="240" w:lineRule="auto"/>
      </w:pPr>
      <w:r w:rsidRPr="0031675F">
        <w:rPr>
          <w:spacing w:val="-1"/>
        </w:rPr>
        <w:t>Using the</w:t>
      </w:r>
      <w:r w:rsidRPr="0031675F">
        <w:t xml:space="preserve"> </w:t>
      </w:r>
      <w:r w:rsidRPr="0031675F">
        <w:rPr>
          <w:spacing w:val="-2"/>
        </w:rPr>
        <w:t>WQ</w:t>
      </w:r>
      <w:r w:rsidRPr="0031675F">
        <w:t xml:space="preserve"> </w:t>
      </w:r>
      <w:r w:rsidRPr="0031675F">
        <w:rPr>
          <w:spacing w:val="-1"/>
        </w:rPr>
        <w:t>database</w:t>
      </w:r>
      <w:r w:rsidRPr="0031675F">
        <w:t xml:space="preserve"> </w:t>
      </w:r>
      <w:r w:rsidRPr="0031675F">
        <w:rPr>
          <w:spacing w:val="-1"/>
        </w:rPr>
        <w:t>Open</w:t>
      </w:r>
      <w:r w:rsidRPr="0031675F">
        <w:rPr>
          <w:spacing w:val="2"/>
        </w:rPr>
        <w:t xml:space="preserve"> </w:t>
      </w:r>
      <w:r w:rsidRPr="0031675F">
        <w:rPr>
          <w:b/>
          <w:spacing w:val="-1"/>
        </w:rPr>
        <w:t>Winwedge</w:t>
      </w:r>
      <w:r w:rsidRPr="0031675F">
        <w:rPr>
          <w:b/>
        </w:rPr>
        <w:t xml:space="preserve"> </w:t>
      </w:r>
      <w:r w:rsidRPr="0031675F">
        <w:rPr>
          <w:spacing w:val="-1"/>
        </w:rPr>
        <w:t>using the</w:t>
      </w:r>
      <w:r w:rsidRPr="0031675F">
        <w:rPr>
          <w:spacing w:val="-2"/>
        </w:rPr>
        <w:t xml:space="preserve"> </w:t>
      </w:r>
      <w:r w:rsidRPr="0031675F">
        <w:rPr>
          <w:spacing w:val="-1"/>
        </w:rPr>
        <w:t>shortcut</w:t>
      </w:r>
      <w:r w:rsidRPr="0031675F">
        <w:rPr>
          <w:spacing w:val="-3"/>
        </w:rPr>
        <w:t xml:space="preserve"> </w:t>
      </w:r>
      <w:r w:rsidRPr="0031675F">
        <w:t>icon.</w:t>
      </w:r>
    </w:p>
    <w:p w14:paraId="34CEE805" w14:textId="77777777" w:rsidR="0031675F" w:rsidRPr="0031675F" w:rsidRDefault="0031675F" w:rsidP="0031675F">
      <w:pPr>
        <w:widowControl w:val="0"/>
        <w:numPr>
          <w:ilvl w:val="0"/>
          <w:numId w:val="75"/>
        </w:numPr>
        <w:tabs>
          <w:tab w:val="left" w:pos="679"/>
        </w:tabs>
        <w:spacing w:before="0" w:after="0" w:line="240" w:lineRule="auto"/>
        <w:rPr>
          <w:rFonts w:cs="Calibri"/>
        </w:rPr>
      </w:pPr>
      <w:r w:rsidRPr="0031675F">
        <w:rPr>
          <w:spacing w:val="-1"/>
        </w:rPr>
        <w:t>Under</w:t>
      </w:r>
      <w:r w:rsidRPr="0031675F">
        <w:t xml:space="preserve"> </w:t>
      </w:r>
      <w:r w:rsidRPr="0031675F">
        <w:rPr>
          <w:b/>
        </w:rPr>
        <w:t>File</w:t>
      </w:r>
      <w:r w:rsidRPr="0031675F">
        <w:t>,</w:t>
      </w:r>
      <w:r w:rsidRPr="0031675F">
        <w:rPr>
          <w:spacing w:val="-3"/>
        </w:rPr>
        <w:t xml:space="preserve"> </w:t>
      </w:r>
      <w:r w:rsidRPr="0031675F">
        <w:rPr>
          <w:spacing w:val="-1"/>
        </w:rPr>
        <w:t>open</w:t>
      </w:r>
      <w:r w:rsidRPr="0031675F">
        <w:t xml:space="preserve"> </w:t>
      </w:r>
      <w:r w:rsidRPr="0031675F">
        <w:rPr>
          <w:b/>
          <w:spacing w:val="-1"/>
        </w:rPr>
        <w:t>balance.cfg</w:t>
      </w:r>
      <w:r w:rsidRPr="0031675F">
        <w:rPr>
          <w:spacing w:val="-1"/>
        </w:rPr>
        <w:t>.</w:t>
      </w:r>
      <w:r w:rsidRPr="0031675F">
        <w:t xml:space="preserve"> </w:t>
      </w:r>
      <w:r w:rsidRPr="0031675F">
        <w:rPr>
          <w:spacing w:val="-1"/>
        </w:rPr>
        <w:t>Press</w:t>
      </w:r>
      <w:r w:rsidRPr="0031675F">
        <w:rPr>
          <w:spacing w:val="1"/>
        </w:rPr>
        <w:t xml:space="preserve"> </w:t>
      </w:r>
      <w:r w:rsidRPr="0031675F">
        <w:rPr>
          <w:b/>
          <w:spacing w:val="-1"/>
        </w:rPr>
        <w:t>ok</w:t>
      </w:r>
      <w:r w:rsidRPr="0031675F">
        <w:rPr>
          <w:b/>
          <w:spacing w:val="-3"/>
        </w:rPr>
        <w:t xml:space="preserve"> </w:t>
      </w:r>
      <w:r w:rsidRPr="0031675F">
        <w:t>to</w:t>
      </w:r>
      <w:r w:rsidRPr="0031675F">
        <w:rPr>
          <w:spacing w:val="-1"/>
        </w:rPr>
        <w:t xml:space="preserve"> accept.</w:t>
      </w:r>
    </w:p>
    <w:p w14:paraId="00A7DA77" w14:textId="77777777" w:rsidR="0031675F" w:rsidRPr="0031675F" w:rsidRDefault="0031675F" w:rsidP="0031675F">
      <w:pPr>
        <w:widowControl w:val="0"/>
        <w:numPr>
          <w:ilvl w:val="0"/>
          <w:numId w:val="75"/>
        </w:numPr>
        <w:tabs>
          <w:tab w:val="left" w:pos="679"/>
        </w:tabs>
        <w:spacing w:before="0" w:after="0" w:line="240" w:lineRule="auto"/>
        <w:rPr>
          <w:rFonts w:cs="Calibri"/>
        </w:rPr>
      </w:pPr>
      <w:r w:rsidRPr="0031675F">
        <w:rPr>
          <w:spacing w:val="-1"/>
        </w:rPr>
        <w:t>Under</w:t>
      </w:r>
      <w:r w:rsidRPr="0031675F">
        <w:t xml:space="preserve"> </w:t>
      </w:r>
      <w:r w:rsidRPr="0031675F">
        <w:rPr>
          <w:b/>
          <w:spacing w:val="-1"/>
        </w:rPr>
        <w:t>Activate</w:t>
      </w:r>
      <w:r w:rsidRPr="0031675F">
        <w:rPr>
          <w:spacing w:val="-1"/>
        </w:rPr>
        <w:t>,</w:t>
      </w:r>
      <w:r w:rsidRPr="0031675F">
        <w:t xml:space="preserve"> </w:t>
      </w:r>
      <w:r w:rsidRPr="0031675F">
        <w:rPr>
          <w:spacing w:val="-1"/>
        </w:rPr>
        <w:t>select</w:t>
      </w:r>
      <w:r w:rsidRPr="0031675F">
        <w:rPr>
          <w:spacing w:val="1"/>
        </w:rPr>
        <w:t xml:space="preserve"> </w:t>
      </w:r>
      <w:r w:rsidRPr="0031675F">
        <w:rPr>
          <w:b/>
          <w:spacing w:val="-1"/>
        </w:rPr>
        <w:t>normal</w:t>
      </w:r>
      <w:r w:rsidRPr="0031675F">
        <w:rPr>
          <w:b/>
          <w:spacing w:val="1"/>
        </w:rPr>
        <w:t xml:space="preserve"> </w:t>
      </w:r>
      <w:r w:rsidRPr="0031675F">
        <w:rPr>
          <w:b/>
          <w:spacing w:val="-1"/>
        </w:rPr>
        <w:t>mode</w:t>
      </w:r>
      <w:r w:rsidRPr="0031675F">
        <w:rPr>
          <w:spacing w:val="-1"/>
        </w:rPr>
        <w:t>.</w:t>
      </w:r>
    </w:p>
    <w:p w14:paraId="4274C81E" w14:textId="77777777" w:rsidR="0031675F" w:rsidRPr="0031675F" w:rsidRDefault="0031675F" w:rsidP="0031675F">
      <w:pPr>
        <w:widowControl w:val="0"/>
        <w:numPr>
          <w:ilvl w:val="0"/>
          <w:numId w:val="75"/>
        </w:numPr>
        <w:tabs>
          <w:tab w:val="left" w:pos="679"/>
          <w:tab w:val="left" w:pos="1393"/>
          <w:tab w:val="left" w:pos="2536"/>
          <w:tab w:val="left" w:pos="3232"/>
          <w:tab w:val="left" w:pos="3760"/>
          <w:tab w:val="left" w:pos="4739"/>
          <w:tab w:val="left" w:pos="5341"/>
          <w:tab w:val="left" w:pos="5828"/>
          <w:tab w:val="left" w:pos="7025"/>
          <w:tab w:val="left" w:pos="7565"/>
          <w:tab w:val="left" w:pos="8517"/>
        </w:tabs>
        <w:spacing w:before="0" w:after="0" w:line="240" w:lineRule="auto"/>
        <w:ind w:right="112"/>
      </w:pPr>
      <w:r w:rsidRPr="0031675F">
        <w:rPr>
          <w:spacing w:val="-1"/>
        </w:rPr>
        <w:t>Open</w:t>
      </w:r>
      <w:r w:rsidRPr="0031675F">
        <w:rPr>
          <w:spacing w:val="-1"/>
        </w:rPr>
        <w:tab/>
      </w:r>
      <w:r w:rsidRPr="0031675F">
        <w:rPr>
          <w:b/>
          <w:spacing w:val="-1"/>
        </w:rPr>
        <w:t>WQFilters</w:t>
      </w:r>
      <w:r w:rsidRPr="0031675F">
        <w:rPr>
          <w:b/>
          <w:spacing w:val="-1"/>
        </w:rPr>
        <w:tab/>
      </w:r>
      <w:r w:rsidRPr="0031675F">
        <w:rPr>
          <w:spacing w:val="-1"/>
        </w:rPr>
        <w:t>using</w:t>
      </w:r>
      <w:r w:rsidRPr="0031675F">
        <w:rPr>
          <w:spacing w:val="-1"/>
        </w:rPr>
        <w:tab/>
      </w:r>
      <w:r w:rsidRPr="0031675F">
        <w:rPr>
          <w:w w:val="95"/>
        </w:rPr>
        <w:t>the</w:t>
      </w:r>
      <w:r w:rsidRPr="0031675F">
        <w:rPr>
          <w:w w:val="95"/>
        </w:rPr>
        <w:tab/>
      </w:r>
      <w:r w:rsidRPr="0031675F">
        <w:rPr>
          <w:spacing w:val="-1"/>
          <w:w w:val="95"/>
        </w:rPr>
        <w:t>shortcut</w:t>
      </w:r>
      <w:r w:rsidRPr="0031675F">
        <w:rPr>
          <w:spacing w:val="-1"/>
          <w:w w:val="95"/>
        </w:rPr>
        <w:tab/>
      </w:r>
      <w:r w:rsidRPr="0031675F">
        <w:rPr>
          <w:spacing w:val="-1"/>
        </w:rPr>
        <w:t>icon</w:t>
      </w:r>
      <w:r w:rsidRPr="0031675F">
        <w:rPr>
          <w:spacing w:val="-1"/>
        </w:rPr>
        <w:tab/>
      </w:r>
      <w:r w:rsidRPr="0031675F">
        <w:rPr>
          <w:spacing w:val="-1"/>
          <w:w w:val="95"/>
        </w:rPr>
        <w:t>(or</w:t>
      </w:r>
      <w:r w:rsidRPr="0031675F">
        <w:rPr>
          <w:spacing w:val="-1"/>
          <w:w w:val="95"/>
        </w:rPr>
        <w:tab/>
      </w:r>
      <w:r w:rsidRPr="0031675F">
        <w:rPr>
          <w:spacing w:val="-1"/>
        </w:rPr>
        <w:t>alternately</w:t>
      </w:r>
      <w:r w:rsidRPr="0031675F">
        <w:rPr>
          <w:spacing w:val="-1"/>
        </w:rPr>
        <w:tab/>
      </w:r>
      <w:r w:rsidRPr="0031675F">
        <w:rPr>
          <w:spacing w:val="-1"/>
          <w:w w:val="95"/>
        </w:rPr>
        <w:t>use</w:t>
      </w:r>
      <w:r w:rsidRPr="0031675F">
        <w:rPr>
          <w:spacing w:val="-1"/>
          <w:w w:val="95"/>
        </w:rPr>
        <w:tab/>
      </w:r>
      <w:r w:rsidRPr="0031675F">
        <w:rPr>
          <w:spacing w:val="-1"/>
        </w:rPr>
        <w:t>internet</w:t>
      </w:r>
      <w:r w:rsidRPr="0031675F">
        <w:rPr>
          <w:spacing w:val="-1"/>
        </w:rPr>
        <w:tab/>
        <w:t>address</w:t>
      </w:r>
      <w:r w:rsidRPr="0031675F">
        <w:t xml:space="preserve"> </w:t>
      </w:r>
      <w:r w:rsidRPr="0031675F">
        <w:rPr>
          <w:color w:val="0000FF"/>
        </w:rPr>
        <w:t xml:space="preserve"> </w:t>
      </w:r>
      <w:r w:rsidRPr="0031675F">
        <w:rPr>
          <w:color w:val="0000FF"/>
          <w:spacing w:val="-1"/>
          <w:u w:val="single" w:color="0000FF"/>
        </w:rPr>
        <w:t>http://waterquality.aims.gov.au:8080/wqfilters/</w:t>
      </w:r>
      <w:r w:rsidRPr="0031675F">
        <w:rPr>
          <w:spacing w:val="-1"/>
        </w:rPr>
        <w:t>).</w:t>
      </w:r>
    </w:p>
    <w:p w14:paraId="152E0C48" w14:textId="77777777" w:rsidR="0031675F" w:rsidRPr="0031675F" w:rsidRDefault="0031675F" w:rsidP="0031675F">
      <w:pPr>
        <w:widowControl w:val="0"/>
        <w:numPr>
          <w:ilvl w:val="0"/>
          <w:numId w:val="75"/>
        </w:numPr>
        <w:tabs>
          <w:tab w:val="left" w:pos="679"/>
        </w:tabs>
        <w:spacing w:before="0" w:after="0" w:line="240" w:lineRule="auto"/>
        <w:rPr>
          <w:rFonts w:cs="Calibri"/>
        </w:rPr>
      </w:pPr>
      <w:r w:rsidRPr="0031675F">
        <w:rPr>
          <w:spacing w:val="-1"/>
        </w:rPr>
        <w:t xml:space="preserve">Logon </w:t>
      </w:r>
      <w:r w:rsidRPr="0031675F">
        <w:t>with</w:t>
      </w:r>
      <w:r w:rsidRPr="0031675F">
        <w:rPr>
          <w:spacing w:val="-4"/>
        </w:rPr>
        <w:t xml:space="preserve"> </w:t>
      </w:r>
      <w:r w:rsidRPr="0031675F">
        <w:t xml:space="preserve">AIMS </w:t>
      </w:r>
      <w:r w:rsidRPr="0031675F">
        <w:rPr>
          <w:b/>
          <w:spacing w:val="-2"/>
        </w:rPr>
        <w:t>username</w:t>
      </w:r>
      <w:r w:rsidRPr="0031675F">
        <w:rPr>
          <w:b/>
        </w:rPr>
        <w:t xml:space="preserve"> </w:t>
      </w:r>
      <w:r w:rsidRPr="0031675F">
        <w:rPr>
          <w:spacing w:val="-1"/>
        </w:rPr>
        <w:t xml:space="preserve">and </w:t>
      </w:r>
      <w:r w:rsidRPr="0031675F">
        <w:rPr>
          <w:b/>
          <w:spacing w:val="-1"/>
        </w:rPr>
        <w:t>password</w:t>
      </w:r>
      <w:r w:rsidRPr="0031675F">
        <w:rPr>
          <w:spacing w:val="-1"/>
        </w:rPr>
        <w:t>.</w:t>
      </w:r>
    </w:p>
    <w:p w14:paraId="2299DBE2" w14:textId="77777777" w:rsidR="0031675F" w:rsidRPr="0031675F" w:rsidRDefault="0031675F" w:rsidP="0031675F">
      <w:pPr>
        <w:widowControl w:val="0"/>
        <w:numPr>
          <w:ilvl w:val="0"/>
          <w:numId w:val="75"/>
        </w:numPr>
        <w:tabs>
          <w:tab w:val="left" w:pos="679"/>
        </w:tabs>
        <w:spacing w:before="0" w:after="0" w:line="267" w:lineRule="exact"/>
        <w:rPr>
          <w:rFonts w:cs="Calibri"/>
        </w:rPr>
      </w:pPr>
      <w:r w:rsidRPr="0031675F">
        <w:rPr>
          <w:spacing w:val="-1"/>
        </w:rPr>
        <w:t>Click</w:t>
      </w:r>
      <w:r w:rsidRPr="0031675F">
        <w:rPr>
          <w:spacing w:val="-2"/>
        </w:rPr>
        <w:t xml:space="preserve"> </w:t>
      </w:r>
      <w:r w:rsidRPr="0031675F">
        <w:t>on</w:t>
      </w:r>
      <w:r w:rsidRPr="0031675F">
        <w:rPr>
          <w:spacing w:val="-1"/>
        </w:rPr>
        <w:t xml:space="preserve"> </w:t>
      </w:r>
      <w:r w:rsidRPr="0031675F">
        <w:rPr>
          <w:b/>
          <w:spacing w:val="-1"/>
        </w:rPr>
        <w:t>Final</w:t>
      </w:r>
      <w:r w:rsidRPr="0031675F">
        <w:rPr>
          <w:b/>
        </w:rPr>
        <w:t xml:space="preserve"> </w:t>
      </w:r>
      <w:r w:rsidRPr="0031675F">
        <w:rPr>
          <w:b/>
          <w:spacing w:val="-2"/>
        </w:rPr>
        <w:t>Wt</w:t>
      </w:r>
      <w:r w:rsidRPr="0031675F">
        <w:rPr>
          <w:b/>
          <w:spacing w:val="1"/>
        </w:rPr>
        <w:t xml:space="preserve"> </w:t>
      </w:r>
      <w:r w:rsidRPr="0031675F">
        <w:rPr>
          <w:spacing w:val="-1"/>
        </w:rPr>
        <w:t>icon.</w:t>
      </w:r>
    </w:p>
    <w:p w14:paraId="23456DB4" w14:textId="3021FF2E" w:rsidR="0031675F" w:rsidRPr="0031675F" w:rsidRDefault="0031675F" w:rsidP="00A47762">
      <w:pPr>
        <w:widowControl w:val="0"/>
        <w:numPr>
          <w:ilvl w:val="0"/>
          <w:numId w:val="75"/>
        </w:numPr>
        <w:tabs>
          <w:tab w:val="left" w:pos="679"/>
        </w:tabs>
        <w:spacing w:before="0" w:after="0" w:line="240" w:lineRule="auto"/>
        <w:ind w:right="119"/>
      </w:pPr>
      <w:r w:rsidRPr="0031675F">
        <w:rPr>
          <w:spacing w:val="-1"/>
        </w:rPr>
        <w:t>Select</w:t>
      </w:r>
      <w:r w:rsidRPr="0031675F">
        <w:rPr>
          <w:spacing w:val="11"/>
        </w:rPr>
        <w:t xml:space="preserve"> </w:t>
      </w:r>
      <w:r w:rsidRPr="0031675F">
        <w:t>the</w:t>
      </w:r>
      <w:r w:rsidRPr="0031675F">
        <w:rPr>
          <w:spacing w:val="10"/>
        </w:rPr>
        <w:t xml:space="preserve"> </w:t>
      </w:r>
      <w:r w:rsidRPr="0031675F">
        <w:rPr>
          <w:spacing w:val="-1"/>
        </w:rPr>
        <w:t>alphanumeric</w:t>
      </w:r>
      <w:r w:rsidRPr="0031675F">
        <w:rPr>
          <w:spacing w:val="9"/>
        </w:rPr>
        <w:t xml:space="preserve"> </w:t>
      </w:r>
      <w:r w:rsidRPr="0031675F">
        <w:rPr>
          <w:spacing w:val="-1"/>
        </w:rPr>
        <w:t>code</w:t>
      </w:r>
      <w:r w:rsidRPr="0031675F">
        <w:rPr>
          <w:spacing w:val="10"/>
        </w:rPr>
        <w:t xml:space="preserve"> </w:t>
      </w:r>
      <w:r w:rsidRPr="0031675F">
        <w:rPr>
          <w:spacing w:val="-1"/>
        </w:rPr>
        <w:t>range</w:t>
      </w:r>
      <w:r w:rsidRPr="0031675F">
        <w:rPr>
          <w:spacing w:val="10"/>
        </w:rPr>
        <w:t xml:space="preserve"> </w:t>
      </w:r>
      <w:r w:rsidRPr="0031675F">
        <w:t>that</w:t>
      </w:r>
      <w:r w:rsidRPr="0031675F">
        <w:rPr>
          <w:spacing w:val="10"/>
        </w:rPr>
        <w:t xml:space="preserve"> </w:t>
      </w:r>
      <w:r w:rsidRPr="0031675F">
        <w:rPr>
          <w:spacing w:val="-1"/>
        </w:rPr>
        <w:t>matches</w:t>
      </w:r>
      <w:r w:rsidRPr="0031675F">
        <w:rPr>
          <w:spacing w:val="10"/>
        </w:rPr>
        <w:t xml:space="preserve"> </w:t>
      </w:r>
      <w:r w:rsidRPr="0031675F">
        <w:rPr>
          <w:spacing w:val="-1"/>
        </w:rPr>
        <w:t>the</w:t>
      </w:r>
      <w:r w:rsidRPr="0031675F">
        <w:rPr>
          <w:spacing w:val="10"/>
        </w:rPr>
        <w:t xml:space="preserve"> </w:t>
      </w:r>
      <w:r w:rsidRPr="0031675F">
        <w:rPr>
          <w:spacing w:val="-1"/>
        </w:rPr>
        <w:t>samples</w:t>
      </w:r>
      <w:r w:rsidRPr="0031675F">
        <w:rPr>
          <w:spacing w:val="9"/>
        </w:rPr>
        <w:t xml:space="preserve"> </w:t>
      </w:r>
      <w:r w:rsidRPr="0031675F">
        <w:rPr>
          <w:spacing w:val="-1"/>
        </w:rPr>
        <w:t>you</w:t>
      </w:r>
      <w:r w:rsidRPr="0031675F">
        <w:rPr>
          <w:spacing w:val="9"/>
        </w:rPr>
        <w:t xml:space="preserve"> </w:t>
      </w:r>
      <w:r w:rsidRPr="0031675F">
        <w:t>wish</w:t>
      </w:r>
      <w:r w:rsidRPr="0031675F">
        <w:rPr>
          <w:spacing w:val="9"/>
        </w:rPr>
        <w:t xml:space="preserve"> </w:t>
      </w:r>
      <w:r w:rsidRPr="0031675F">
        <w:t>to</w:t>
      </w:r>
      <w:r w:rsidRPr="0031675F">
        <w:rPr>
          <w:spacing w:val="11"/>
        </w:rPr>
        <w:t xml:space="preserve"> </w:t>
      </w:r>
      <w:r w:rsidRPr="0031675F">
        <w:rPr>
          <w:spacing w:val="-2"/>
        </w:rPr>
        <w:t>weigh</w:t>
      </w:r>
      <w:r w:rsidRPr="0031675F">
        <w:rPr>
          <w:spacing w:val="9"/>
        </w:rPr>
        <w:t xml:space="preserve"> </w:t>
      </w:r>
      <w:r w:rsidRPr="0031675F">
        <w:rPr>
          <w:spacing w:val="-1"/>
        </w:rPr>
        <w:t>(e.g.</w:t>
      </w:r>
      <w:r w:rsidRPr="0031675F">
        <w:rPr>
          <w:spacing w:val="9"/>
        </w:rPr>
        <w:t xml:space="preserve"> </w:t>
      </w:r>
      <w:r w:rsidRPr="0031675F">
        <w:rPr>
          <w:spacing w:val="-1"/>
        </w:rPr>
        <w:t>J101</w:t>
      </w:r>
      <w:r w:rsidRPr="0031675F">
        <w:rPr>
          <w:spacing w:val="10"/>
        </w:rPr>
        <w:t xml:space="preserve"> </w:t>
      </w:r>
      <w:r w:rsidRPr="0031675F">
        <w:t>to</w:t>
      </w:r>
      <w:r w:rsidRPr="0031675F">
        <w:rPr>
          <w:spacing w:val="55"/>
        </w:rPr>
        <w:t xml:space="preserve"> </w:t>
      </w:r>
      <w:r w:rsidRPr="0031675F">
        <w:rPr>
          <w:spacing w:val="-1"/>
        </w:rPr>
        <w:t>J200)</w:t>
      </w:r>
      <w:r w:rsidRPr="0031675F">
        <w:rPr>
          <w:spacing w:val="15"/>
        </w:rPr>
        <w:t xml:space="preserve"> </w:t>
      </w:r>
      <w:r w:rsidRPr="0031675F">
        <w:rPr>
          <w:spacing w:val="-1"/>
        </w:rPr>
        <w:t>and</w:t>
      </w:r>
      <w:r w:rsidRPr="0031675F">
        <w:rPr>
          <w:spacing w:val="14"/>
        </w:rPr>
        <w:t xml:space="preserve"> </w:t>
      </w:r>
      <w:r w:rsidRPr="0031675F">
        <w:rPr>
          <w:spacing w:val="-1"/>
        </w:rPr>
        <w:t>press</w:t>
      </w:r>
      <w:r w:rsidRPr="0031675F">
        <w:rPr>
          <w:spacing w:val="15"/>
        </w:rPr>
        <w:t xml:space="preserve"> </w:t>
      </w:r>
      <w:r w:rsidRPr="0031675F">
        <w:rPr>
          <w:b/>
          <w:spacing w:val="-1"/>
        </w:rPr>
        <w:t>Search</w:t>
      </w:r>
      <w:r w:rsidRPr="0031675F">
        <w:rPr>
          <w:spacing w:val="-1"/>
        </w:rPr>
        <w:t>.</w:t>
      </w:r>
      <w:r w:rsidRPr="0031675F">
        <w:t xml:space="preserve"> </w:t>
      </w:r>
      <w:r w:rsidRPr="0031675F">
        <w:rPr>
          <w:spacing w:val="28"/>
        </w:rPr>
        <w:t xml:space="preserve"> </w:t>
      </w:r>
      <w:r w:rsidRPr="0031675F">
        <w:t>A</w:t>
      </w:r>
      <w:r w:rsidRPr="0031675F">
        <w:rPr>
          <w:spacing w:val="14"/>
        </w:rPr>
        <w:t xml:space="preserve"> </w:t>
      </w:r>
      <w:r w:rsidRPr="0031675F">
        <w:rPr>
          <w:spacing w:val="-1"/>
        </w:rPr>
        <w:t>data</w:t>
      </w:r>
      <w:r w:rsidRPr="0031675F">
        <w:rPr>
          <w:spacing w:val="15"/>
        </w:rPr>
        <w:t xml:space="preserve"> </w:t>
      </w:r>
      <w:r w:rsidRPr="0031675F">
        <w:rPr>
          <w:spacing w:val="-1"/>
        </w:rPr>
        <w:t>entry</w:t>
      </w:r>
      <w:r w:rsidRPr="0031675F">
        <w:rPr>
          <w:spacing w:val="15"/>
        </w:rPr>
        <w:t xml:space="preserve"> </w:t>
      </w:r>
      <w:r w:rsidRPr="0031675F">
        <w:rPr>
          <w:spacing w:val="-1"/>
        </w:rPr>
        <w:t>form</w:t>
      </w:r>
      <w:r w:rsidRPr="0031675F">
        <w:rPr>
          <w:spacing w:val="13"/>
        </w:rPr>
        <w:t xml:space="preserve"> </w:t>
      </w:r>
      <w:r w:rsidRPr="0031675F">
        <w:t>will</w:t>
      </w:r>
      <w:r w:rsidRPr="0031675F">
        <w:rPr>
          <w:spacing w:val="14"/>
        </w:rPr>
        <w:t xml:space="preserve"> </w:t>
      </w:r>
      <w:r w:rsidRPr="0031675F">
        <w:rPr>
          <w:spacing w:val="-1"/>
        </w:rPr>
        <w:t>be</w:t>
      </w:r>
      <w:r w:rsidRPr="0031675F">
        <w:rPr>
          <w:spacing w:val="15"/>
        </w:rPr>
        <w:t xml:space="preserve"> </w:t>
      </w:r>
      <w:r w:rsidRPr="0031675F">
        <w:rPr>
          <w:spacing w:val="-1"/>
        </w:rPr>
        <w:t>generated</w:t>
      </w:r>
      <w:r w:rsidRPr="0031675F">
        <w:rPr>
          <w:spacing w:val="14"/>
        </w:rPr>
        <w:t xml:space="preserve"> </w:t>
      </w:r>
      <w:r w:rsidRPr="0031675F">
        <w:rPr>
          <w:spacing w:val="-1"/>
        </w:rPr>
        <w:t>to</w:t>
      </w:r>
      <w:r w:rsidRPr="0031675F">
        <w:rPr>
          <w:spacing w:val="15"/>
        </w:rPr>
        <w:t xml:space="preserve"> </w:t>
      </w:r>
      <w:r w:rsidRPr="0031675F">
        <w:rPr>
          <w:spacing w:val="-1"/>
        </w:rPr>
        <w:t>allow</w:t>
      </w:r>
      <w:r w:rsidRPr="0031675F">
        <w:rPr>
          <w:spacing w:val="13"/>
        </w:rPr>
        <w:t xml:space="preserve"> </w:t>
      </w:r>
      <w:r w:rsidRPr="0031675F">
        <w:t>your</w:t>
      </w:r>
      <w:r w:rsidRPr="0031675F">
        <w:rPr>
          <w:spacing w:val="14"/>
        </w:rPr>
        <w:t xml:space="preserve"> </w:t>
      </w:r>
      <w:r w:rsidRPr="0031675F">
        <w:rPr>
          <w:spacing w:val="-2"/>
        </w:rPr>
        <w:t>filter</w:t>
      </w:r>
      <w:r w:rsidRPr="0031675F">
        <w:rPr>
          <w:spacing w:val="14"/>
        </w:rPr>
        <w:t xml:space="preserve"> </w:t>
      </w:r>
      <w:r w:rsidRPr="0031675F">
        <w:rPr>
          <w:spacing w:val="-1"/>
        </w:rPr>
        <w:t>weight</w:t>
      </w:r>
      <w:r w:rsidRPr="0031675F">
        <w:rPr>
          <w:spacing w:val="15"/>
        </w:rPr>
        <w:t xml:space="preserve"> </w:t>
      </w:r>
      <w:r w:rsidRPr="0031675F">
        <w:rPr>
          <w:spacing w:val="-1"/>
        </w:rPr>
        <w:t>to</w:t>
      </w:r>
      <w:r w:rsidRPr="0031675F">
        <w:rPr>
          <w:spacing w:val="15"/>
        </w:rPr>
        <w:t xml:space="preserve"> </w:t>
      </w:r>
      <w:r w:rsidRPr="0031675F">
        <w:rPr>
          <w:spacing w:val="-2"/>
        </w:rPr>
        <w:t>be</w:t>
      </w:r>
      <w:r w:rsidR="00A47762">
        <w:t xml:space="preserve"> </w:t>
      </w:r>
      <w:r w:rsidRPr="00A47762">
        <w:rPr>
          <w:spacing w:val="-1"/>
        </w:rPr>
        <w:t>automatically</w:t>
      </w:r>
      <w:r w:rsidRPr="0031675F">
        <w:t xml:space="preserve"> </w:t>
      </w:r>
      <w:r w:rsidRPr="00A47762">
        <w:rPr>
          <w:spacing w:val="-1"/>
        </w:rPr>
        <w:t>updated to the</w:t>
      </w:r>
      <w:r w:rsidRPr="0031675F">
        <w:t xml:space="preserve"> </w:t>
      </w:r>
      <w:r w:rsidRPr="00A47762">
        <w:rPr>
          <w:spacing w:val="-1"/>
        </w:rPr>
        <w:t>Oracle</w:t>
      </w:r>
      <w:r w:rsidRPr="00A47762">
        <w:rPr>
          <w:spacing w:val="-2"/>
        </w:rPr>
        <w:t xml:space="preserve"> </w:t>
      </w:r>
      <w:r w:rsidRPr="00A47762">
        <w:rPr>
          <w:spacing w:val="-1"/>
        </w:rPr>
        <w:t>database.</w:t>
      </w:r>
      <w:r w:rsidRPr="00A47762">
        <w:rPr>
          <w:spacing w:val="47"/>
        </w:rPr>
        <w:t xml:space="preserve"> </w:t>
      </w:r>
      <w:r w:rsidRPr="0031675F">
        <w:t xml:space="preserve">If </w:t>
      </w:r>
      <w:r w:rsidRPr="00A47762">
        <w:rPr>
          <w:spacing w:val="-1"/>
        </w:rPr>
        <w:t>the</w:t>
      </w:r>
      <w:r w:rsidRPr="00A47762">
        <w:rPr>
          <w:spacing w:val="-2"/>
        </w:rPr>
        <w:t xml:space="preserve"> </w:t>
      </w:r>
      <w:r w:rsidRPr="00A47762">
        <w:rPr>
          <w:spacing w:val="-1"/>
        </w:rPr>
        <w:t>filters</w:t>
      </w:r>
      <w:r w:rsidRPr="0031675F">
        <w:t xml:space="preserve"> </w:t>
      </w:r>
      <w:r w:rsidRPr="00A47762">
        <w:rPr>
          <w:spacing w:val="-1"/>
        </w:rPr>
        <w:t>you have</w:t>
      </w:r>
      <w:r w:rsidRPr="0031675F">
        <w:t xml:space="preserve"> </w:t>
      </w:r>
      <w:r w:rsidRPr="00A47762">
        <w:rPr>
          <w:spacing w:val="-1"/>
        </w:rPr>
        <w:t>chosen</w:t>
      </w:r>
      <w:r w:rsidRPr="0031675F">
        <w:t xml:space="preserve"> </w:t>
      </w:r>
      <w:r w:rsidRPr="00A47762">
        <w:rPr>
          <w:spacing w:val="-1"/>
        </w:rPr>
        <w:t>have</w:t>
      </w:r>
      <w:r w:rsidRPr="0031675F">
        <w:t xml:space="preserve"> </w:t>
      </w:r>
      <w:r w:rsidRPr="00A47762">
        <w:rPr>
          <w:spacing w:val="-1"/>
        </w:rPr>
        <w:t>already</w:t>
      </w:r>
      <w:r w:rsidRPr="00A47762">
        <w:rPr>
          <w:spacing w:val="-2"/>
        </w:rPr>
        <w:t xml:space="preserve"> </w:t>
      </w:r>
      <w:r w:rsidRPr="00A47762">
        <w:rPr>
          <w:spacing w:val="-1"/>
        </w:rPr>
        <w:t>been</w:t>
      </w:r>
      <w:r w:rsidRPr="00A47762">
        <w:rPr>
          <w:spacing w:val="69"/>
        </w:rPr>
        <w:t xml:space="preserve"> </w:t>
      </w:r>
      <w:r w:rsidRPr="00A47762">
        <w:rPr>
          <w:spacing w:val="-1"/>
        </w:rPr>
        <w:t>weighed</w:t>
      </w:r>
      <w:r w:rsidRPr="00A47762">
        <w:rPr>
          <w:spacing w:val="32"/>
        </w:rPr>
        <w:t xml:space="preserve"> </w:t>
      </w:r>
      <w:r w:rsidRPr="0031675F">
        <w:t>the</w:t>
      </w:r>
      <w:r w:rsidRPr="00A47762">
        <w:rPr>
          <w:spacing w:val="32"/>
        </w:rPr>
        <w:t xml:space="preserve"> </w:t>
      </w:r>
      <w:r w:rsidRPr="00A47762">
        <w:rPr>
          <w:spacing w:val="-1"/>
        </w:rPr>
        <w:t>form</w:t>
      </w:r>
      <w:r w:rsidRPr="00A47762">
        <w:rPr>
          <w:spacing w:val="32"/>
        </w:rPr>
        <w:t xml:space="preserve"> </w:t>
      </w:r>
      <w:r w:rsidRPr="0031675F">
        <w:t>will</w:t>
      </w:r>
      <w:r w:rsidRPr="00A47762">
        <w:rPr>
          <w:spacing w:val="32"/>
        </w:rPr>
        <w:t xml:space="preserve"> </w:t>
      </w:r>
      <w:r w:rsidRPr="00A47762">
        <w:rPr>
          <w:spacing w:val="-1"/>
        </w:rPr>
        <w:t>display</w:t>
      </w:r>
      <w:r w:rsidRPr="00A47762">
        <w:rPr>
          <w:spacing w:val="34"/>
        </w:rPr>
        <w:t xml:space="preserve"> </w:t>
      </w:r>
      <w:r w:rsidRPr="00A47762">
        <w:rPr>
          <w:spacing w:val="-1"/>
        </w:rPr>
        <w:t>values</w:t>
      </w:r>
      <w:r w:rsidRPr="00A47762">
        <w:rPr>
          <w:spacing w:val="34"/>
        </w:rPr>
        <w:t xml:space="preserve"> </w:t>
      </w:r>
      <w:r w:rsidRPr="0031675F">
        <w:t>in</w:t>
      </w:r>
      <w:r w:rsidRPr="00A47762">
        <w:rPr>
          <w:spacing w:val="33"/>
        </w:rPr>
        <w:t xml:space="preserve"> </w:t>
      </w:r>
      <w:r w:rsidRPr="0031675F">
        <w:t>the</w:t>
      </w:r>
      <w:r w:rsidRPr="00A47762">
        <w:rPr>
          <w:spacing w:val="36"/>
        </w:rPr>
        <w:t xml:space="preserve"> </w:t>
      </w:r>
      <w:r w:rsidRPr="00A47762">
        <w:rPr>
          <w:b/>
          <w:spacing w:val="-2"/>
        </w:rPr>
        <w:t>Final</w:t>
      </w:r>
      <w:r w:rsidRPr="00A47762">
        <w:rPr>
          <w:b/>
          <w:spacing w:val="35"/>
        </w:rPr>
        <w:t xml:space="preserve"> </w:t>
      </w:r>
      <w:r w:rsidRPr="00A47762">
        <w:rPr>
          <w:b/>
          <w:spacing w:val="-2"/>
        </w:rPr>
        <w:t>Wt</w:t>
      </w:r>
      <w:r w:rsidRPr="00A47762">
        <w:rPr>
          <w:b/>
          <w:spacing w:val="35"/>
        </w:rPr>
        <w:t xml:space="preserve"> </w:t>
      </w:r>
      <w:r w:rsidRPr="00A47762">
        <w:rPr>
          <w:spacing w:val="-1"/>
        </w:rPr>
        <w:t>field</w:t>
      </w:r>
      <w:r w:rsidRPr="00A47762">
        <w:rPr>
          <w:spacing w:val="32"/>
        </w:rPr>
        <w:t xml:space="preserve"> </w:t>
      </w:r>
      <w:r w:rsidRPr="00A47762">
        <w:rPr>
          <w:spacing w:val="-1"/>
        </w:rPr>
        <w:t>and</w:t>
      </w:r>
      <w:r w:rsidRPr="00A47762">
        <w:rPr>
          <w:spacing w:val="33"/>
        </w:rPr>
        <w:t xml:space="preserve"> </w:t>
      </w:r>
      <w:r w:rsidRPr="00A47762">
        <w:rPr>
          <w:spacing w:val="-1"/>
        </w:rPr>
        <w:t>you</w:t>
      </w:r>
      <w:r w:rsidRPr="00A47762">
        <w:rPr>
          <w:spacing w:val="33"/>
        </w:rPr>
        <w:t xml:space="preserve"> </w:t>
      </w:r>
      <w:r w:rsidRPr="00A47762">
        <w:rPr>
          <w:spacing w:val="-1"/>
        </w:rPr>
        <w:t>should</w:t>
      </w:r>
      <w:r w:rsidRPr="00A47762">
        <w:rPr>
          <w:spacing w:val="32"/>
        </w:rPr>
        <w:t xml:space="preserve"> </w:t>
      </w:r>
      <w:r w:rsidRPr="00A47762">
        <w:rPr>
          <w:spacing w:val="-2"/>
        </w:rPr>
        <w:t>not</w:t>
      </w:r>
      <w:r w:rsidRPr="00A47762">
        <w:rPr>
          <w:spacing w:val="33"/>
        </w:rPr>
        <w:t xml:space="preserve"> </w:t>
      </w:r>
      <w:r w:rsidRPr="00A47762">
        <w:rPr>
          <w:spacing w:val="-1"/>
        </w:rPr>
        <w:t>proceed</w:t>
      </w:r>
      <w:r w:rsidRPr="00A47762">
        <w:rPr>
          <w:spacing w:val="33"/>
        </w:rPr>
        <w:t xml:space="preserve"> </w:t>
      </w:r>
      <w:r w:rsidRPr="0031675F">
        <w:t>any</w:t>
      </w:r>
      <w:r w:rsidRPr="00A47762">
        <w:rPr>
          <w:spacing w:val="45"/>
        </w:rPr>
        <w:t xml:space="preserve"> </w:t>
      </w:r>
      <w:r w:rsidRPr="00A47762">
        <w:rPr>
          <w:spacing w:val="-1"/>
        </w:rPr>
        <w:t>further without</w:t>
      </w:r>
      <w:r w:rsidRPr="00A47762">
        <w:rPr>
          <w:spacing w:val="-2"/>
        </w:rPr>
        <w:t xml:space="preserve"> </w:t>
      </w:r>
      <w:r w:rsidRPr="0031675F">
        <w:t>checking</w:t>
      </w:r>
      <w:r w:rsidRPr="00A47762">
        <w:rPr>
          <w:spacing w:val="-4"/>
        </w:rPr>
        <w:t xml:space="preserve"> </w:t>
      </w:r>
      <w:r w:rsidRPr="00A47762">
        <w:rPr>
          <w:spacing w:val="-1"/>
        </w:rPr>
        <w:t xml:space="preserve">with </w:t>
      </w:r>
      <w:r w:rsidRPr="0031675F">
        <w:t xml:space="preserve">a </w:t>
      </w:r>
      <w:r w:rsidRPr="00A47762">
        <w:rPr>
          <w:spacing w:val="-1"/>
        </w:rPr>
        <w:t>supervisor.</w:t>
      </w:r>
    </w:p>
    <w:p w14:paraId="398E4977" w14:textId="77777777" w:rsidR="0031675F" w:rsidRPr="0031675F" w:rsidRDefault="0031675F" w:rsidP="0031675F">
      <w:pPr>
        <w:widowControl w:val="0"/>
        <w:numPr>
          <w:ilvl w:val="0"/>
          <w:numId w:val="75"/>
        </w:numPr>
        <w:tabs>
          <w:tab w:val="left" w:pos="619"/>
        </w:tabs>
        <w:spacing w:before="0" w:after="0" w:line="267" w:lineRule="exact"/>
        <w:ind w:left="618"/>
      </w:pPr>
      <w:r w:rsidRPr="0031675F">
        <w:t xml:space="preserve">If the </w:t>
      </w:r>
      <w:r w:rsidRPr="0031675F">
        <w:rPr>
          <w:spacing w:val="-1"/>
        </w:rPr>
        <w:t>field</w:t>
      </w:r>
      <w:r w:rsidRPr="0031675F">
        <w:rPr>
          <w:spacing w:val="-2"/>
        </w:rPr>
        <w:t xml:space="preserve"> </w:t>
      </w:r>
      <w:r w:rsidRPr="0031675F">
        <w:t xml:space="preserve">are </w:t>
      </w:r>
      <w:r w:rsidRPr="0031675F">
        <w:rPr>
          <w:spacing w:val="-1"/>
        </w:rPr>
        <w:t>blank</w:t>
      </w:r>
      <w:r w:rsidRPr="0031675F">
        <w:rPr>
          <w:spacing w:val="-2"/>
        </w:rPr>
        <w:t xml:space="preserve"> </w:t>
      </w:r>
      <w:r w:rsidRPr="0031675F">
        <w:rPr>
          <w:spacing w:val="-1"/>
        </w:rPr>
        <w:t>you</w:t>
      </w:r>
      <w:r w:rsidRPr="0031675F">
        <w:rPr>
          <w:spacing w:val="-3"/>
        </w:rPr>
        <w:t xml:space="preserve"> </w:t>
      </w:r>
      <w:r w:rsidRPr="0031675F">
        <w:rPr>
          <w:spacing w:val="-1"/>
        </w:rPr>
        <w:t>may</w:t>
      </w:r>
      <w:r w:rsidRPr="0031675F">
        <w:rPr>
          <w:spacing w:val="1"/>
        </w:rPr>
        <w:t xml:space="preserve"> </w:t>
      </w:r>
      <w:r w:rsidRPr="0031675F">
        <w:rPr>
          <w:spacing w:val="-1"/>
        </w:rPr>
        <w:t xml:space="preserve">go </w:t>
      </w:r>
      <w:r w:rsidRPr="0031675F">
        <w:t>ahead</w:t>
      </w:r>
      <w:r w:rsidRPr="0031675F">
        <w:rPr>
          <w:spacing w:val="-1"/>
        </w:rPr>
        <w:t xml:space="preserve"> </w:t>
      </w:r>
      <w:r w:rsidRPr="0031675F">
        <w:t>and</w:t>
      </w:r>
      <w:r w:rsidRPr="0031675F">
        <w:rPr>
          <w:spacing w:val="-2"/>
        </w:rPr>
        <w:t xml:space="preserve"> </w:t>
      </w:r>
      <w:r w:rsidRPr="0031675F">
        <w:rPr>
          <w:spacing w:val="-1"/>
        </w:rPr>
        <w:t xml:space="preserve">fill </w:t>
      </w:r>
      <w:r w:rsidRPr="0031675F">
        <w:t>in</w:t>
      </w:r>
      <w:r w:rsidRPr="0031675F">
        <w:rPr>
          <w:spacing w:val="-3"/>
        </w:rPr>
        <w:t xml:space="preserve"> </w:t>
      </w:r>
      <w:r w:rsidRPr="0031675F">
        <w:t xml:space="preserve">the </w:t>
      </w:r>
      <w:r w:rsidRPr="0031675F">
        <w:rPr>
          <w:spacing w:val="-1"/>
        </w:rPr>
        <w:t>following</w:t>
      </w:r>
      <w:r w:rsidRPr="0031675F">
        <w:rPr>
          <w:spacing w:val="-2"/>
        </w:rPr>
        <w:t xml:space="preserve"> </w:t>
      </w:r>
      <w:r w:rsidRPr="0031675F">
        <w:rPr>
          <w:spacing w:val="-1"/>
        </w:rPr>
        <w:t>fields</w:t>
      </w:r>
      <w:r w:rsidRPr="0031675F">
        <w:rPr>
          <w:spacing w:val="-2"/>
        </w:rPr>
        <w:t xml:space="preserve"> </w:t>
      </w:r>
      <w:r w:rsidRPr="0031675F">
        <w:t>on</w:t>
      </w:r>
      <w:r w:rsidRPr="0031675F">
        <w:rPr>
          <w:spacing w:val="-1"/>
        </w:rPr>
        <w:t xml:space="preserve"> the</w:t>
      </w:r>
      <w:r w:rsidRPr="0031675F">
        <w:rPr>
          <w:spacing w:val="-2"/>
        </w:rPr>
        <w:t xml:space="preserve"> </w:t>
      </w:r>
      <w:r w:rsidRPr="0031675F">
        <w:rPr>
          <w:spacing w:val="-1"/>
        </w:rPr>
        <w:t>first</w:t>
      </w:r>
      <w:r w:rsidRPr="0031675F">
        <w:rPr>
          <w:spacing w:val="-2"/>
        </w:rPr>
        <w:t xml:space="preserve"> </w:t>
      </w:r>
      <w:r w:rsidRPr="0031675F">
        <w:rPr>
          <w:spacing w:val="-1"/>
        </w:rPr>
        <w:t>row:</w:t>
      </w:r>
    </w:p>
    <w:p w14:paraId="22A5211D" w14:textId="77777777" w:rsidR="0031675F" w:rsidRPr="0031675F" w:rsidRDefault="0031675F" w:rsidP="0031675F">
      <w:pPr>
        <w:spacing w:line="267" w:lineRule="exact"/>
        <w:ind w:left="1518"/>
        <w:rPr>
          <w:rFonts w:cs="Calibri"/>
        </w:rPr>
      </w:pPr>
      <w:r w:rsidRPr="0031675F">
        <w:rPr>
          <w:b/>
          <w:spacing w:val="-1"/>
        </w:rPr>
        <w:t>final</w:t>
      </w:r>
      <w:r w:rsidRPr="0031675F">
        <w:rPr>
          <w:b/>
        </w:rPr>
        <w:t xml:space="preserve"> </w:t>
      </w:r>
      <w:r w:rsidRPr="0031675F">
        <w:rPr>
          <w:b/>
          <w:spacing w:val="-1"/>
        </w:rPr>
        <w:t>tech:</w:t>
      </w:r>
      <w:r w:rsidRPr="0031675F">
        <w:rPr>
          <w:b/>
          <w:spacing w:val="48"/>
        </w:rPr>
        <w:t xml:space="preserve"> </w:t>
      </w:r>
      <w:r w:rsidRPr="0031675F">
        <w:rPr>
          <w:spacing w:val="-1"/>
        </w:rPr>
        <w:t>your</w:t>
      </w:r>
      <w:r w:rsidRPr="0031675F">
        <w:t xml:space="preserve"> </w:t>
      </w:r>
      <w:r w:rsidRPr="0031675F">
        <w:rPr>
          <w:spacing w:val="-2"/>
        </w:rPr>
        <w:t>name</w:t>
      </w:r>
    </w:p>
    <w:p w14:paraId="33F428EE" w14:textId="77777777" w:rsidR="0031675F" w:rsidRPr="0031675F" w:rsidRDefault="0031675F" w:rsidP="0031675F">
      <w:pPr>
        <w:spacing w:after="120"/>
        <w:ind w:left="1518" w:right="110"/>
      </w:pPr>
      <w:r w:rsidRPr="0031675F">
        <w:rPr>
          <w:b/>
          <w:spacing w:val="-1"/>
        </w:rPr>
        <w:t>Final</w:t>
      </w:r>
      <w:r w:rsidRPr="0031675F">
        <w:rPr>
          <w:b/>
          <w:spacing w:val="31"/>
        </w:rPr>
        <w:t xml:space="preserve"> </w:t>
      </w:r>
      <w:r w:rsidRPr="0031675F">
        <w:rPr>
          <w:b/>
          <w:spacing w:val="-1"/>
        </w:rPr>
        <w:t>Instr.:</w:t>
      </w:r>
      <w:r w:rsidRPr="0031675F">
        <w:rPr>
          <w:b/>
        </w:rPr>
        <w:t xml:space="preserve">  </w:t>
      </w:r>
      <w:r w:rsidRPr="0031675F">
        <w:rPr>
          <w:b/>
          <w:spacing w:val="14"/>
        </w:rPr>
        <w:t xml:space="preserve"> </w:t>
      </w:r>
      <w:r w:rsidRPr="0031675F">
        <w:rPr>
          <w:spacing w:val="-1"/>
        </w:rPr>
        <w:t>choose</w:t>
      </w:r>
      <w:r w:rsidRPr="0031675F">
        <w:rPr>
          <w:spacing w:val="32"/>
        </w:rPr>
        <w:t xml:space="preserve"> </w:t>
      </w:r>
      <w:r w:rsidRPr="0031675F">
        <w:t>the</w:t>
      </w:r>
      <w:r w:rsidRPr="0031675F">
        <w:rPr>
          <w:spacing w:val="32"/>
        </w:rPr>
        <w:t xml:space="preserve"> </w:t>
      </w:r>
      <w:r w:rsidRPr="0031675F">
        <w:rPr>
          <w:spacing w:val="-1"/>
        </w:rPr>
        <w:t>balance</w:t>
      </w:r>
      <w:r w:rsidRPr="0031675F">
        <w:rPr>
          <w:spacing w:val="31"/>
        </w:rPr>
        <w:t xml:space="preserve"> </w:t>
      </w:r>
      <w:r w:rsidRPr="0031675F">
        <w:t>you</w:t>
      </w:r>
      <w:r w:rsidRPr="0031675F">
        <w:rPr>
          <w:spacing w:val="31"/>
        </w:rPr>
        <w:t xml:space="preserve"> </w:t>
      </w:r>
      <w:r w:rsidRPr="0031675F">
        <w:t>are</w:t>
      </w:r>
      <w:r w:rsidRPr="0031675F">
        <w:rPr>
          <w:spacing w:val="32"/>
        </w:rPr>
        <w:t xml:space="preserve"> </w:t>
      </w:r>
      <w:r w:rsidRPr="0031675F">
        <w:rPr>
          <w:spacing w:val="-1"/>
        </w:rPr>
        <w:t>using</w:t>
      </w:r>
      <w:r w:rsidRPr="0031675F">
        <w:rPr>
          <w:spacing w:val="31"/>
        </w:rPr>
        <w:t xml:space="preserve"> </w:t>
      </w:r>
      <w:r w:rsidRPr="0031675F">
        <w:rPr>
          <w:spacing w:val="-1"/>
        </w:rPr>
        <w:t>from</w:t>
      </w:r>
      <w:r w:rsidRPr="0031675F">
        <w:rPr>
          <w:spacing w:val="29"/>
        </w:rPr>
        <w:t xml:space="preserve"> </w:t>
      </w:r>
      <w:r w:rsidRPr="0031675F">
        <w:t>the</w:t>
      </w:r>
      <w:r w:rsidRPr="0031675F">
        <w:rPr>
          <w:spacing w:val="32"/>
        </w:rPr>
        <w:t xml:space="preserve"> </w:t>
      </w:r>
      <w:r w:rsidRPr="0031675F">
        <w:rPr>
          <w:spacing w:val="-1"/>
        </w:rPr>
        <w:t>drop</w:t>
      </w:r>
      <w:r w:rsidRPr="0031675F">
        <w:rPr>
          <w:spacing w:val="31"/>
        </w:rPr>
        <w:t xml:space="preserve"> </w:t>
      </w:r>
      <w:r w:rsidRPr="0031675F">
        <w:t>down</w:t>
      </w:r>
      <w:r w:rsidRPr="0031675F">
        <w:rPr>
          <w:spacing w:val="30"/>
        </w:rPr>
        <w:t xml:space="preserve"> </w:t>
      </w:r>
      <w:r w:rsidRPr="0031675F">
        <w:rPr>
          <w:spacing w:val="-1"/>
        </w:rPr>
        <w:t>list</w:t>
      </w:r>
      <w:r w:rsidRPr="0031675F">
        <w:rPr>
          <w:spacing w:val="32"/>
        </w:rPr>
        <w:t xml:space="preserve"> </w:t>
      </w:r>
      <w:r w:rsidRPr="0031675F">
        <w:rPr>
          <w:spacing w:val="-1"/>
        </w:rPr>
        <w:t>(normally</w:t>
      </w:r>
      <w:r w:rsidRPr="0031675F">
        <w:rPr>
          <w:spacing w:val="37"/>
        </w:rPr>
        <w:t xml:space="preserve"> </w:t>
      </w:r>
      <w:r w:rsidRPr="0031675F">
        <w:rPr>
          <w:spacing w:val="-1"/>
        </w:rPr>
        <w:t>Satorius/MCI</w:t>
      </w:r>
      <w:r w:rsidRPr="0031675F">
        <w:rPr>
          <w:spacing w:val="-3"/>
        </w:rPr>
        <w:t xml:space="preserve"> </w:t>
      </w:r>
      <w:r w:rsidRPr="0031675F">
        <w:rPr>
          <w:spacing w:val="-1"/>
        </w:rPr>
        <w:t>ResearchRC210P)</w:t>
      </w:r>
    </w:p>
    <w:p w14:paraId="38D312AB" w14:textId="77777777" w:rsidR="0031675F" w:rsidRPr="0031675F" w:rsidRDefault="0031675F" w:rsidP="0031675F">
      <w:pPr>
        <w:spacing w:after="120"/>
        <w:ind w:left="618" w:right="114"/>
        <w:jc w:val="both"/>
      </w:pPr>
      <w:r w:rsidRPr="0031675F">
        <w:rPr>
          <w:spacing w:val="-1"/>
        </w:rPr>
        <w:t>These</w:t>
      </w:r>
      <w:r w:rsidRPr="0031675F">
        <w:rPr>
          <w:spacing w:val="6"/>
        </w:rPr>
        <w:t xml:space="preserve"> </w:t>
      </w:r>
      <w:r w:rsidRPr="0031675F">
        <w:rPr>
          <w:spacing w:val="-1"/>
        </w:rPr>
        <w:t>fields</w:t>
      </w:r>
      <w:r w:rsidRPr="0031675F">
        <w:rPr>
          <w:spacing w:val="5"/>
        </w:rPr>
        <w:t xml:space="preserve"> </w:t>
      </w:r>
      <w:r w:rsidRPr="0031675F">
        <w:rPr>
          <w:spacing w:val="-1"/>
        </w:rPr>
        <w:t>need</w:t>
      </w:r>
      <w:r w:rsidRPr="0031675F">
        <w:rPr>
          <w:spacing w:val="4"/>
        </w:rPr>
        <w:t xml:space="preserve"> </w:t>
      </w:r>
      <w:r w:rsidRPr="0031675F">
        <w:rPr>
          <w:spacing w:val="-1"/>
        </w:rPr>
        <w:t>only</w:t>
      </w:r>
      <w:r w:rsidRPr="0031675F">
        <w:rPr>
          <w:spacing w:val="6"/>
        </w:rPr>
        <w:t xml:space="preserve"> </w:t>
      </w:r>
      <w:r w:rsidRPr="0031675F">
        <w:rPr>
          <w:spacing w:val="-1"/>
        </w:rPr>
        <w:t>be</w:t>
      </w:r>
      <w:r w:rsidRPr="0031675F">
        <w:rPr>
          <w:spacing w:val="3"/>
        </w:rPr>
        <w:t xml:space="preserve"> </w:t>
      </w:r>
      <w:r w:rsidRPr="0031675F">
        <w:rPr>
          <w:spacing w:val="-1"/>
        </w:rPr>
        <w:t>filled</w:t>
      </w:r>
      <w:r w:rsidRPr="0031675F">
        <w:rPr>
          <w:spacing w:val="4"/>
        </w:rPr>
        <w:t xml:space="preserve"> </w:t>
      </w:r>
      <w:r w:rsidRPr="0031675F">
        <w:rPr>
          <w:spacing w:val="-1"/>
        </w:rPr>
        <w:t>once</w:t>
      </w:r>
      <w:r w:rsidRPr="0031675F">
        <w:rPr>
          <w:spacing w:val="5"/>
        </w:rPr>
        <w:t xml:space="preserve"> </w:t>
      </w:r>
      <w:r w:rsidRPr="0031675F">
        <w:rPr>
          <w:spacing w:val="-1"/>
        </w:rPr>
        <w:t>and</w:t>
      </w:r>
      <w:r w:rsidRPr="0031675F">
        <w:rPr>
          <w:spacing w:val="4"/>
        </w:rPr>
        <w:t xml:space="preserve"> </w:t>
      </w:r>
      <w:r w:rsidRPr="0031675F">
        <w:t>will</w:t>
      </w:r>
      <w:r w:rsidRPr="0031675F">
        <w:rPr>
          <w:spacing w:val="2"/>
        </w:rPr>
        <w:t xml:space="preserve"> </w:t>
      </w:r>
      <w:r w:rsidRPr="0031675F">
        <w:rPr>
          <w:spacing w:val="-1"/>
        </w:rPr>
        <w:t>thereafter</w:t>
      </w:r>
      <w:r w:rsidRPr="0031675F">
        <w:rPr>
          <w:spacing w:val="5"/>
        </w:rPr>
        <w:t xml:space="preserve"> </w:t>
      </w:r>
      <w:r w:rsidRPr="0031675F">
        <w:rPr>
          <w:spacing w:val="-1"/>
        </w:rPr>
        <w:t>generate</w:t>
      </w:r>
      <w:r w:rsidRPr="0031675F">
        <w:rPr>
          <w:spacing w:val="6"/>
        </w:rPr>
        <w:t xml:space="preserve"> </w:t>
      </w:r>
      <w:r w:rsidRPr="0031675F">
        <w:rPr>
          <w:spacing w:val="-1"/>
        </w:rPr>
        <w:t>automatically</w:t>
      </w:r>
      <w:r w:rsidRPr="0031675F">
        <w:rPr>
          <w:spacing w:val="3"/>
        </w:rPr>
        <w:t xml:space="preserve"> </w:t>
      </w:r>
      <w:r w:rsidRPr="0031675F">
        <w:rPr>
          <w:spacing w:val="-1"/>
        </w:rPr>
        <w:t>unless</w:t>
      </w:r>
      <w:r w:rsidRPr="0031675F">
        <w:rPr>
          <w:spacing w:val="4"/>
        </w:rPr>
        <w:t xml:space="preserve"> </w:t>
      </w:r>
      <w:r w:rsidRPr="0031675F">
        <w:rPr>
          <w:spacing w:val="-1"/>
        </w:rPr>
        <w:t>you</w:t>
      </w:r>
      <w:r w:rsidRPr="0031675F">
        <w:rPr>
          <w:spacing w:val="4"/>
        </w:rPr>
        <w:t xml:space="preserve"> </w:t>
      </w:r>
      <w:r w:rsidRPr="0031675F">
        <w:rPr>
          <w:spacing w:val="-1"/>
        </w:rPr>
        <w:t>skip</w:t>
      </w:r>
      <w:r w:rsidRPr="0031675F">
        <w:rPr>
          <w:spacing w:val="56"/>
        </w:rPr>
        <w:t xml:space="preserve"> </w:t>
      </w:r>
      <w:r w:rsidRPr="0031675F">
        <w:t xml:space="preserve">a </w:t>
      </w:r>
      <w:r w:rsidRPr="0031675F">
        <w:rPr>
          <w:spacing w:val="-1"/>
        </w:rPr>
        <w:t>line.</w:t>
      </w:r>
    </w:p>
    <w:p w14:paraId="14800CA8" w14:textId="77777777" w:rsidR="0031675F" w:rsidRPr="0031675F" w:rsidRDefault="0031675F" w:rsidP="0031675F">
      <w:pPr>
        <w:widowControl w:val="0"/>
        <w:numPr>
          <w:ilvl w:val="0"/>
          <w:numId w:val="75"/>
        </w:numPr>
        <w:tabs>
          <w:tab w:val="left" w:pos="619"/>
        </w:tabs>
        <w:spacing w:before="0" w:after="0" w:line="240" w:lineRule="auto"/>
        <w:ind w:left="618" w:right="108"/>
        <w:jc w:val="both"/>
      </w:pPr>
      <w:r w:rsidRPr="0031675F">
        <w:rPr>
          <w:spacing w:val="-1"/>
        </w:rPr>
        <w:t>The</w:t>
      </w:r>
      <w:r w:rsidRPr="0031675F">
        <w:rPr>
          <w:spacing w:val="20"/>
        </w:rPr>
        <w:t xml:space="preserve"> </w:t>
      </w:r>
      <w:r w:rsidRPr="0031675F">
        <w:rPr>
          <w:spacing w:val="-1"/>
        </w:rPr>
        <w:t>computer</w:t>
      </w:r>
      <w:r w:rsidRPr="0031675F">
        <w:rPr>
          <w:spacing w:val="19"/>
        </w:rPr>
        <w:t xml:space="preserve"> </w:t>
      </w:r>
      <w:r w:rsidRPr="0031675F">
        <w:t>is</w:t>
      </w:r>
      <w:r w:rsidRPr="0031675F">
        <w:rPr>
          <w:spacing w:val="19"/>
        </w:rPr>
        <w:t xml:space="preserve"> </w:t>
      </w:r>
      <w:r w:rsidRPr="0031675F">
        <w:rPr>
          <w:spacing w:val="-1"/>
        </w:rPr>
        <w:t>now</w:t>
      </w:r>
      <w:r w:rsidRPr="0031675F">
        <w:rPr>
          <w:spacing w:val="20"/>
        </w:rPr>
        <w:t xml:space="preserve"> </w:t>
      </w:r>
      <w:r w:rsidRPr="0031675F">
        <w:rPr>
          <w:spacing w:val="-1"/>
        </w:rPr>
        <w:t>ready</w:t>
      </w:r>
      <w:r w:rsidRPr="0031675F">
        <w:rPr>
          <w:spacing w:val="20"/>
        </w:rPr>
        <w:t xml:space="preserve"> </w:t>
      </w:r>
      <w:r w:rsidRPr="0031675F">
        <w:rPr>
          <w:spacing w:val="-1"/>
        </w:rPr>
        <w:t>to</w:t>
      </w:r>
      <w:r w:rsidRPr="0031675F">
        <w:rPr>
          <w:spacing w:val="20"/>
        </w:rPr>
        <w:t xml:space="preserve"> </w:t>
      </w:r>
      <w:r w:rsidRPr="0031675F">
        <w:rPr>
          <w:spacing w:val="-1"/>
        </w:rPr>
        <w:t>accept</w:t>
      </w:r>
      <w:r w:rsidRPr="0031675F">
        <w:rPr>
          <w:spacing w:val="19"/>
        </w:rPr>
        <w:t xml:space="preserve"> </w:t>
      </w:r>
      <w:r w:rsidRPr="0031675F">
        <w:rPr>
          <w:spacing w:val="-1"/>
        </w:rPr>
        <w:t>data</w:t>
      </w:r>
      <w:r w:rsidRPr="0031675F">
        <w:rPr>
          <w:spacing w:val="19"/>
        </w:rPr>
        <w:t xml:space="preserve"> </w:t>
      </w:r>
      <w:r w:rsidRPr="0031675F">
        <w:rPr>
          <w:spacing w:val="-2"/>
        </w:rPr>
        <w:t>from</w:t>
      </w:r>
      <w:r w:rsidRPr="0031675F">
        <w:rPr>
          <w:spacing w:val="20"/>
        </w:rPr>
        <w:t xml:space="preserve"> </w:t>
      </w:r>
      <w:r w:rsidRPr="0031675F">
        <w:t>the</w:t>
      </w:r>
      <w:r w:rsidRPr="0031675F">
        <w:rPr>
          <w:spacing w:val="17"/>
        </w:rPr>
        <w:t xml:space="preserve"> </w:t>
      </w:r>
      <w:r w:rsidRPr="0031675F">
        <w:rPr>
          <w:spacing w:val="-1"/>
        </w:rPr>
        <w:t>balance.</w:t>
      </w:r>
      <w:r w:rsidRPr="0031675F">
        <w:rPr>
          <w:spacing w:val="38"/>
        </w:rPr>
        <w:t xml:space="preserve"> </w:t>
      </w:r>
      <w:r w:rsidRPr="0031675F">
        <w:rPr>
          <w:spacing w:val="-1"/>
        </w:rPr>
        <w:t>Click</w:t>
      </w:r>
      <w:r w:rsidRPr="0031675F">
        <w:rPr>
          <w:spacing w:val="20"/>
        </w:rPr>
        <w:t xml:space="preserve"> </w:t>
      </w:r>
      <w:r w:rsidRPr="0031675F">
        <w:t>in</w:t>
      </w:r>
      <w:r w:rsidRPr="0031675F">
        <w:rPr>
          <w:spacing w:val="18"/>
        </w:rPr>
        <w:t xml:space="preserve"> </w:t>
      </w:r>
      <w:r w:rsidRPr="0031675F">
        <w:t>the</w:t>
      </w:r>
      <w:r w:rsidRPr="0031675F">
        <w:rPr>
          <w:spacing w:val="25"/>
        </w:rPr>
        <w:t xml:space="preserve"> </w:t>
      </w:r>
      <w:r w:rsidRPr="0031675F">
        <w:rPr>
          <w:b/>
          <w:spacing w:val="-2"/>
        </w:rPr>
        <w:t>Final</w:t>
      </w:r>
      <w:r w:rsidRPr="0031675F">
        <w:rPr>
          <w:b/>
          <w:spacing w:val="18"/>
        </w:rPr>
        <w:t xml:space="preserve"> </w:t>
      </w:r>
      <w:r w:rsidRPr="0031675F">
        <w:rPr>
          <w:b/>
          <w:spacing w:val="-1"/>
        </w:rPr>
        <w:t>Wt.</w:t>
      </w:r>
      <w:r w:rsidRPr="0031675F">
        <w:rPr>
          <w:b/>
          <w:spacing w:val="21"/>
        </w:rPr>
        <w:t xml:space="preserve"> </w:t>
      </w:r>
      <w:r w:rsidRPr="0031675F">
        <w:rPr>
          <w:spacing w:val="-1"/>
        </w:rPr>
        <w:t>field</w:t>
      </w:r>
      <w:r w:rsidRPr="0031675F">
        <w:rPr>
          <w:spacing w:val="18"/>
        </w:rPr>
        <w:t xml:space="preserve"> </w:t>
      </w:r>
      <w:r w:rsidRPr="0031675F">
        <w:rPr>
          <w:spacing w:val="-1"/>
        </w:rPr>
        <w:t>and</w:t>
      </w:r>
      <w:r w:rsidRPr="0031675F">
        <w:rPr>
          <w:spacing w:val="59"/>
        </w:rPr>
        <w:t xml:space="preserve"> </w:t>
      </w:r>
      <w:r w:rsidRPr="0031675F">
        <w:rPr>
          <w:spacing w:val="-1"/>
        </w:rPr>
        <w:t>place your</w:t>
      </w:r>
      <w:r w:rsidRPr="0031675F">
        <w:t xml:space="preserve"> </w:t>
      </w:r>
      <w:r w:rsidRPr="0031675F">
        <w:rPr>
          <w:spacing w:val="-1"/>
        </w:rPr>
        <w:t>filter</w:t>
      </w:r>
      <w:r w:rsidRPr="0031675F">
        <w:rPr>
          <w:spacing w:val="-2"/>
        </w:rPr>
        <w:t xml:space="preserve"> </w:t>
      </w:r>
      <w:r w:rsidRPr="0031675F">
        <w:t>on</w:t>
      </w:r>
      <w:r w:rsidRPr="0031675F">
        <w:rPr>
          <w:spacing w:val="-1"/>
        </w:rPr>
        <w:t xml:space="preserve"> the</w:t>
      </w:r>
      <w:r w:rsidRPr="0031675F">
        <w:rPr>
          <w:spacing w:val="-2"/>
        </w:rPr>
        <w:t xml:space="preserve"> </w:t>
      </w:r>
      <w:r w:rsidRPr="0031675F">
        <w:rPr>
          <w:spacing w:val="-1"/>
        </w:rPr>
        <w:t>balance.</w:t>
      </w:r>
    </w:p>
    <w:p w14:paraId="0F72370A" w14:textId="77777777" w:rsidR="0031675F" w:rsidRPr="0031675F" w:rsidRDefault="0031675F" w:rsidP="0031675F">
      <w:pPr>
        <w:widowControl w:val="0"/>
        <w:numPr>
          <w:ilvl w:val="0"/>
          <w:numId w:val="75"/>
        </w:numPr>
        <w:tabs>
          <w:tab w:val="left" w:pos="619"/>
        </w:tabs>
        <w:spacing w:before="0" w:after="0" w:line="240" w:lineRule="auto"/>
        <w:ind w:left="618" w:right="113"/>
        <w:jc w:val="both"/>
      </w:pPr>
      <w:r w:rsidRPr="0031675F">
        <w:t>Press</w:t>
      </w:r>
      <w:r w:rsidRPr="0031675F">
        <w:rPr>
          <w:spacing w:val="7"/>
        </w:rPr>
        <w:t xml:space="preserve"> </w:t>
      </w:r>
      <w:r w:rsidRPr="0031675F">
        <w:t>the</w:t>
      </w:r>
      <w:r w:rsidRPr="0031675F">
        <w:rPr>
          <w:spacing w:val="10"/>
        </w:rPr>
        <w:t xml:space="preserve"> </w:t>
      </w:r>
      <w:r w:rsidRPr="0031675F">
        <w:rPr>
          <w:b/>
          <w:spacing w:val="-1"/>
        </w:rPr>
        <w:t>print</w:t>
      </w:r>
      <w:r w:rsidRPr="0031675F">
        <w:rPr>
          <w:b/>
          <w:spacing w:val="10"/>
        </w:rPr>
        <w:t xml:space="preserve"> </w:t>
      </w:r>
      <w:r w:rsidRPr="0031675F">
        <w:rPr>
          <w:spacing w:val="-1"/>
        </w:rPr>
        <w:t>button</w:t>
      </w:r>
      <w:r w:rsidRPr="0031675F">
        <w:rPr>
          <w:spacing w:val="9"/>
        </w:rPr>
        <w:t xml:space="preserve"> </w:t>
      </w:r>
      <w:r w:rsidRPr="0031675F">
        <w:t>on</w:t>
      </w:r>
      <w:r w:rsidRPr="0031675F">
        <w:rPr>
          <w:spacing w:val="9"/>
        </w:rPr>
        <w:t xml:space="preserve"> </w:t>
      </w:r>
      <w:r w:rsidRPr="0031675F">
        <w:rPr>
          <w:spacing w:val="-1"/>
        </w:rPr>
        <w:t>the</w:t>
      </w:r>
      <w:r w:rsidRPr="0031675F">
        <w:rPr>
          <w:spacing w:val="10"/>
        </w:rPr>
        <w:t xml:space="preserve"> </w:t>
      </w:r>
      <w:r w:rsidRPr="0031675F">
        <w:rPr>
          <w:spacing w:val="-1"/>
        </w:rPr>
        <w:t>balance</w:t>
      </w:r>
      <w:r w:rsidRPr="0031675F">
        <w:rPr>
          <w:spacing w:val="10"/>
        </w:rPr>
        <w:t xml:space="preserve"> </w:t>
      </w:r>
      <w:r w:rsidRPr="0031675F">
        <w:rPr>
          <w:spacing w:val="-1"/>
        </w:rPr>
        <w:t>to</w:t>
      </w:r>
      <w:r w:rsidRPr="0031675F">
        <w:rPr>
          <w:spacing w:val="11"/>
        </w:rPr>
        <w:t xml:space="preserve"> </w:t>
      </w:r>
      <w:r w:rsidRPr="0031675F">
        <w:rPr>
          <w:spacing w:val="-1"/>
        </w:rPr>
        <w:t>send</w:t>
      </w:r>
      <w:r w:rsidRPr="0031675F">
        <w:rPr>
          <w:spacing w:val="9"/>
        </w:rPr>
        <w:t xml:space="preserve"> </w:t>
      </w:r>
      <w:r w:rsidRPr="0031675F">
        <w:t>the</w:t>
      </w:r>
      <w:r w:rsidRPr="0031675F">
        <w:rPr>
          <w:spacing w:val="7"/>
        </w:rPr>
        <w:t xml:space="preserve"> </w:t>
      </w:r>
      <w:r w:rsidRPr="0031675F">
        <w:rPr>
          <w:spacing w:val="-1"/>
        </w:rPr>
        <w:t>weight</w:t>
      </w:r>
      <w:r w:rsidRPr="0031675F">
        <w:rPr>
          <w:spacing w:val="10"/>
        </w:rPr>
        <w:t xml:space="preserve"> </w:t>
      </w:r>
      <w:r w:rsidRPr="0031675F">
        <w:t>to</w:t>
      </w:r>
      <w:r w:rsidRPr="0031675F">
        <w:rPr>
          <w:spacing w:val="11"/>
        </w:rPr>
        <w:t xml:space="preserve"> </w:t>
      </w:r>
      <w:r w:rsidRPr="0031675F">
        <w:rPr>
          <w:spacing w:val="-1"/>
        </w:rPr>
        <w:t>computer.</w:t>
      </w:r>
      <w:r w:rsidRPr="0031675F">
        <w:rPr>
          <w:spacing w:val="9"/>
        </w:rPr>
        <w:t xml:space="preserve"> </w:t>
      </w:r>
      <w:r w:rsidRPr="0031675F">
        <w:rPr>
          <w:spacing w:val="-1"/>
        </w:rPr>
        <w:t>Note:</w:t>
      </w:r>
      <w:r w:rsidRPr="0031675F">
        <w:rPr>
          <w:spacing w:val="8"/>
        </w:rPr>
        <w:t xml:space="preserve"> </w:t>
      </w:r>
      <w:r w:rsidRPr="0031675F">
        <w:t>the</w:t>
      </w:r>
      <w:r w:rsidRPr="0031675F">
        <w:rPr>
          <w:spacing w:val="7"/>
        </w:rPr>
        <w:t xml:space="preserve"> </w:t>
      </w:r>
      <w:r w:rsidRPr="0031675F">
        <w:rPr>
          <w:spacing w:val="-1"/>
        </w:rPr>
        <w:t>print</w:t>
      </w:r>
      <w:r w:rsidRPr="0031675F">
        <w:rPr>
          <w:spacing w:val="10"/>
        </w:rPr>
        <w:t xml:space="preserve"> </w:t>
      </w:r>
      <w:r w:rsidRPr="0031675F">
        <w:rPr>
          <w:spacing w:val="-1"/>
        </w:rPr>
        <w:t>symbol</w:t>
      </w:r>
      <w:r w:rsidRPr="0031675F">
        <w:rPr>
          <w:spacing w:val="39"/>
        </w:rPr>
        <w:t xml:space="preserve"> </w:t>
      </w:r>
      <w:r w:rsidRPr="0031675F">
        <w:t>will</w:t>
      </w:r>
      <w:r w:rsidRPr="0031675F">
        <w:rPr>
          <w:spacing w:val="14"/>
        </w:rPr>
        <w:t xml:space="preserve"> </w:t>
      </w:r>
      <w:r w:rsidRPr="0031675F">
        <w:rPr>
          <w:spacing w:val="-1"/>
        </w:rPr>
        <w:t>be</w:t>
      </w:r>
      <w:r w:rsidRPr="0031675F">
        <w:rPr>
          <w:spacing w:val="15"/>
        </w:rPr>
        <w:t xml:space="preserve"> </w:t>
      </w:r>
      <w:r w:rsidRPr="0031675F">
        <w:rPr>
          <w:spacing w:val="-1"/>
        </w:rPr>
        <w:t>visible</w:t>
      </w:r>
      <w:r w:rsidRPr="0031675F">
        <w:rPr>
          <w:spacing w:val="14"/>
        </w:rPr>
        <w:t xml:space="preserve"> </w:t>
      </w:r>
      <w:r w:rsidRPr="0031675F">
        <w:t>on</w:t>
      </w:r>
      <w:r w:rsidRPr="0031675F">
        <w:rPr>
          <w:spacing w:val="14"/>
        </w:rPr>
        <w:t xml:space="preserve"> </w:t>
      </w:r>
      <w:r w:rsidRPr="0031675F">
        <w:t>the</w:t>
      </w:r>
      <w:r w:rsidRPr="0031675F">
        <w:rPr>
          <w:spacing w:val="14"/>
        </w:rPr>
        <w:t xml:space="preserve"> </w:t>
      </w:r>
      <w:r w:rsidRPr="0031675F">
        <w:rPr>
          <w:spacing w:val="-1"/>
        </w:rPr>
        <w:t>LED</w:t>
      </w:r>
      <w:r w:rsidRPr="0031675F">
        <w:rPr>
          <w:spacing w:val="13"/>
        </w:rPr>
        <w:t xml:space="preserve"> </w:t>
      </w:r>
      <w:r w:rsidRPr="0031675F">
        <w:rPr>
          <w:spacing w:val="-1"/>
        </w:rPr>
        <w:t>until</w:t>
      </w:r>
      <w:r w:rsidRPr="0031675F">
        <w:rPr>
          <w:spacing w:val="14"/>
        </w:rPr>
        <w:t xml:space="preserve"> </w:t>
      </w:r>
      <w:r w:rsidRPr="0031675F">
        <w:t>the</w:t>
      </w:r>
      <w:r w:rsidRPr="0031675F">
        <w:rPr>
          <w:spacing w:val="14"/>
        </w:rPr>
        <w:t xml:space="preserve"> </w:t>
      </w:r>
      <w:r w:rsidRPr="0031675F">
        <w:rPr>
          <w:spacing w:val="-1"/>
        </w:rPr>
        <w:t>signal</w:t>
      </w:r>
      <w:r w:rsidRPr="0031675F">
        <w:rPr>
          <w:spacing w:val="14"/>
        </w:rPr>
        <w:t xml:space="preserve"> </w:t>
      </w:r>
      <w:r w:rsidRPr="0031675F">
        <w:t>is</w:t>
      </w:r>
      <w:r w:rsidRPr="0031675F">
        <w:rPr>
          <w:spacing w:val="14"/>
        </w:rPr>
        <w:t xml:space="preserve"> </w:t>
      </w:r>
      <w:r w:rsidRPr="0031675F">
        <w:rPr>
          <w:spacing w:val="-1"/>
        </w:rPr>
        <w:t>stable</w:t>
      </w:r>
      <w:r w:rsidRPr="0031675F">
        <w:rPr>
          <w:spacing w:val="15"/>
        </w:rPr>
        <w:t xml:space="preserve"> </w:t>
      </w:r>
      <w:r w:rsidRPr="0031675F">
        <w:rPr>
          <w:spacing w:val="-1"/>
        </w:rPr>
        <w:t>and</w:t>
      </w:r>
      <w:r w:rsidRPr="0031675F">
        <w:rPr>
          <w:spacing w:val="14"/>
        </w:rPr>
        <w:t xml:space="preserve"> </w:t>
      </w:r>
      <w:r w:rsidRPr="0031675F">
        <w:t>it</w:t>
      </w:r>
      <w:r w:rsidRPr="0031675F">
        <w:rPr>
          <w:spacing w:val="14"/>
        </w:rPr>
        <w:t xml:space="preserve"> </w:t>
      </w:r>
      <w:r w:rsidRPr="0031675F">
        <w:t>can</w:t>
      </w:r>
      <w:r w:rsidRPr="0031675F">
        <w:rPr>
          <w:spacing w:val="13"/>
        </w:rPr>
        <w:t xml:space="preserve"> </w:t>
      </w:r>
      <w:r w:rsidRPr="0031675F">
        <w:rPr>
          <w:spacing w:val="-1"/>
        </w:rPr>
        <w:t>send</w:t>
      </w:r>
      <w:r w:rsidRPr="0031675F">
        <w:rPr>
          <w:spacing w:val="13"/>
        </w:rPr>
        <w:t xml:space="preserve"> </w:t>
      </w:r>
      <w:r w:rsidRPr="0031675F">
        <w:t>the</w:t>
      </w:r>
      <w:r w:rsidRPr="0031675F">
        <w:rPr>
          <w:spacing w:val="14"/>
        </w:rPr>
        <w:t xml:space="preserve"> </w:t>
      </w:r>
      <w:r w:rsidRPr="0031675F">
        <w:rPr>
          <w:spacing w:val="-1"/>
        </w:rPr>
        <w:t>result</w:t>
      </w:r>
      <w:r w:rsidRPr="0031675F">
        <w:rPr>
          <w:spacing w:val="15"/>
        </w:rPr>
        <w:t xml:space="preserve"> </w:t>
      </w:r>
      <w:r w:rsidRPr="0031675F">
        <w:t>to</w:t>
      </w:r>
      <w:r w:rsidRPr="0031675F">
        <w:rPr>
          <w:spacing w:val="14"/>
        </w:rPr>
        <w:t xml:space="preserve"> </w:t>
      </w:r>
      <w:r w:rsidRPr="0031675F">
        <w:t>the</w:t>
      </w:r>
      <w:r w:rsidRPr="0031675F">
        <w:rPr>
          <w:spacing w:val="14"/>
        </w:rPr>
        <w:t xml:space="preserve"> </w:t>
      </w:r>
      <w:r w:rsidRPr="0031675F">
        <w:rPr>
          <w:spacing w:val="-1"/>
        </w:rPr>
        <w:t>computer.</w:t>
      </w:r>
      <w:r w:rsidRPr="0031675F">
        <w:rPr>
          <w:spacing w:val="53"/>
        </w:rPr>
        <w:t xml:space="preserve"> </w:t>
      </w:r>
      <w:r w:rsidRPr="0031675F">
        <w:rPr>
          <w:spacing w:val="-1"/>
        </w:rPr>
        <w:t>The</w:t>
      </w:r>
      <w:r w:rsidRPr="0031675F">
        <w:rPr>
          <w:spacing w:val="17"/>
        </w:rPr>
        <w:t xml:space="preserve"> </w:t>
      </w:r>
      <w:r w:rsidRPr="0031675F">
        <w:rPr>
          <w:spacing w:val="-1"/>
        </w:rPr>
        <w:t>signal</w:t>
      </w:r>
      <w:r w:rsidRPr="0031675F">
        <w:rPr>
          <w:spacing w:val="16"/>
        </w:rPr>
        <w:t xml:space="preserve"> </w:t>
      </w:r>
      <w:r w:rsidRPr="0031675F">
        <w:t>will</w:t>
      </w:r>
      <w:r w:rsidRPr="0031675F">
        <w:rPr>
          <w:spacing w:val="16"/>
        </w:rPr>
        <w:t xml:space="preserve"> </w:t>
      </w:r>
      <w:r w:rsidRPr="0031675F">
        <w:t>not</w:t>
      </w:r>
      <w:r w:rsidRPr="0031675F">
        <w:rPr>
          <w:spacing w:val="17"/>
        </w:rPr>
        <w:t xml:space="preserve"> </w:t>
      </w:r>
      <w:r w:rsidRPr="0031675F">
        <w:rPr>
          <w:spacing w:val="-1"/>
        </w:rPr>
        <w:t>be</w:t>
      </w:r>
      <w:r w:rsidRPr="0031675F">
        <w:rPr>
          <w:spacing w:val="17"/>
        </w:rPr>
        <w:t xml:space="preserve"> </w:t>
      </w:r>
      <w:r w:rsidRPr="0031675F">
        <w:rPr>
          <w:spacing w:val="-1"/>
        </w:rPr>
        <w:t>sent</w:t>
      </w:r>
      <w:r w:rsidRPr="0031675F">
        <w:rPr>
          <w:spacing w:val="14"/>
        </w:rPr>
        <w:t xml:space="preserve"> </w:t>
      </w:r>
      <w:r w:rsidRPr="0031675F">
        <w:rPr>
          <w:spacing w:val="-1"/>
        </w:rPr>
        <w:t>until</w:t>
      </w:r>
      <w:r w:rsidRPr="0031675F">
        <w:rPr>
          <w:spacing w:val="17"/>
        </w:rPr>
        <w:t xml:space="preserve"> </w:t>
      </w:r>
      <w:r w:rsidRPr="0031675F">
        <w:t>the</w:t>
      </w:r>
      <w:r w:rsidRPr="0031675F">
        <w:rPr>
          <w:spacing w:val="17"/>
        </w:rPr>
        <w:t xml:space="preserve"> </w:t>
      </w:r>
      <w:r w:rsidRPr="0031675F">
        <w:rPr>
          <w:spacing w:val="-1"/>
        </w:rPr>
        <w:t>balance</w:t>
      </w:r>
      <w:r w:rsidRPr="0031675F">
        <w:rPr>
          <w:spacing w:val="17"/>
        </w:rPr>
        <w:t xml:space="preserve"> </w:t>
      </w:r>
      <w:r w:rsidRPr="0031675F">
        <w:rPr>
          <w:spacing w:val="-1"/>
        </w:rPr>
        <w:t>stabilizes.</w:t>
      </w:r>
      <w:r w:rsidRPr="0031675F">
        <w:rPr>
          <w:spacing w:val="33"/>
        </w:rPr>
        <w:t xml:space="preserve"> </w:t>
      </w:r>
      <w:r w:rsidRPr="0031675F">
        <w:rPr>
          <w:spacing w:val="-1"/>
        </w:rPr>
        <w:t>All</w:t>
      </w:r>
      <w:r w:rsidRPr="0031675F">
        <w:rPr>
          <w:spacing w:val="17"/>
        </w:rPr>
        <w:t xml:space="preserve"> </w:t>
      </w:r>
      <w:r w:rsidRPr="0031675F">
        <w:t>entries</w:t>
      </w:r>
      <w:r w:rsidRPr="0031675F">
        <w:rPr>
          <w:spacing w:val="19"/>
        </w:rPr>
        <w:t xml:space="preserve"> </w:t>
      </w:r>
      <w:r w:rsidRPr="0031675F">
        <w:t>will</w:t>
      </w:r>
      <w:r w:rsidRPr="0031675F">
        <w:rPr>
          <w:spacing w:val="16"/>
        </w:rPr>
        <w:t xml:space="preserve"> </w:t>
      </w:r>
      <w:r w:rsidRPr="0031675F">
        <w:rPr>
          <w:spacing w:val="-1"/>
        </w:rPr>
        <w:t>be</w:t>
      </w:r>
      <w:r w:rsidRPr="0031675F">
        <w:rPr>
          <w:spacing w:val="17"/>
        </w:rPr>
        <w:t xml:space="preserve"> </w:t>
      </w:r>
      <w:r w:rsidRPr="0031675F">
        <w:rPr>
          <w:spacing w:val="-1"/>
        </w:rPr>
        <w:t>automatically</w:t>
      </w:r>
      <w:r w:rsidRPr="0031675F">
        <w:rPr>
          <w:spacing w:val="17"/>
        </w:rPr>
        <w:t xml:space="preserve"> </w:t>
      </w:r>
      <w:r w:rsidRPr="0031675F">
        <w:rPr>
          <w:spacing w:val="-1"/>
        </w:rPr>
        <w:t>saved</w:t>
      </w:r>
      <w:r w:rsidRPr="0031675F">
        <w:rPr>
          <w:spacing w:val="45"/>
        </w:rPr>
        <w:t xml:space="preserve"> </w:t>
      </w:r>
      <w:r w:rsidRPr="0031675F">
        <w:rPr>
          <w:spacing w:val="-1"/>
        </w:rPr>
        <w:t>but</w:t>
      </w:r>
      <w:r w:rsidRPr="0031675F">
        <w:rPr>
          <w:spacing w:val="10"/>
        </w:rPr>
        <w:t xml:space="preserve"> </w:t>
      </w:r>
      <w:r w:rsidRPr="0031675F">
        <w:rPr>
          <w:spacing w:val="-1"/>
        </w:rPr>
        <w:t>reweighing</w:t>
      </w:r>
      <w:r w:rsidRPr="0031675F">
        <w:rPr>
          <w:spacing w:val="9"/>
        </w:rPr>
        <w:t xml:space="preserve"> </w:t>
      </w:r>
      <w:r w:rsidRPr="0031675F">
        <w:t>is</w:t>
      </w:r>
      <w:r w:rsidRPr="0031675F">
        <w:rPr>
          <w:spacing w:val="9"/>
        </w:rPr>
        <w:t xml:space="preserve"> </w:t>
      </w:r>
      <w:r w:rsidRPr="0031675F">
        <w:rPr>
          <w:spacing w:val="-1"/>
        </w:rPr>
        <w:t>possible</w:t>
      </w:r>
      <w:r w:rsidRPr="0031675F">
        <w:rPr>
          <w:spacing w:val="10"/>
        </w:rPr>
        <w:t xml:space="preserve"> </w:t>
      </w:r>
      <w:r w:rsidRPr="0031675F">
        <w:rPr>
          <w:spacing w:val="-2"/>
        </w:rPr>
        <w:t>if</w:t>
      </w:r>
      <w:r w:rsidRPr="0031675F">
        <w:rPr>
          <w:spacing w:val="9"/>
        </w:rPr>
        <w:t xml:space="preserve"> </w:t>
      </w:r>
      <w:r w:rsidRPr="0031675F">
        <w:t>an</w:t>
      </w:r>
      <w:r w:rsidRPr="0031675F">
        <w:rPr>
          <w:spacing w:val="9"/>
        </w:rPr>
        <w:t xml:space="preserve"> </w:t>
      </w:r>
      <w:r w:rsidRPr="0031675F">
        <w:rPr>
          <w:spacing w:val="-1"/>
        </w:rPr>
        <w:t>incorrect</w:t>
      </w:r>
      <w:r w:rsidRPr="0031675F">
        <w:rPr>
          <w:spacing w:val="7"/>
        </w:rPr>
        <w:t xml:space="preserve"> </w:t>
      </w:r>
      <w:r w:rsidRPr="0031675F">
        <w:rPr>
          <w:spacing w:val="-1"/>
        </w:rPr>
        <w:t>weigh</w:t>
      </w:r>
      <w:r w:rsidRPr="0031675F">
        <w:rPr>
          <w:spacing w:val="9"/>
        </w:rPr>
        <w:t xml:space="preserve"> </w:t>
      </w:r>
      <w:r w:rsidRPr="0031675F">
        <w:t>is</w:t>
      </w:r>
      <w:r w:rsidRPr="0031675F">
        <w:rPr>
          <w:spacing w:val="9"/>
        </w:rPr>
        <w:t xml:space="preserve"> </w:t>
      </w:r>
      <w:r w:rsidRPr="0031675F">
        <w:rPr>
          <w:spacing w:val="-1"/>
        </w:rPr>
        <w:t>entered,</w:t>
      </w:r>
      <w:r w:rsidRPr="0031675F">
        <w:rPr>
          <w:spacing w:val="9"/>
        </w:rPr>
        <w:t xml:space="preserve"> </w:t>
      </w:r>
      <w:r w:rsidRPr="0031675F">
        <w:rPr>
          <w:spacing w:val="-1"/>
        </w:rPr>
        <w:t>simply</w:t>
      </w:r>
      <w:r w:rsidRPr="0031675F">
        <w:rPr>
          <w:spacing w:val="10"/>
        </w:rPr>
        <w:t xml:space="preserve"> </w:t>
      </w:r>
      <w:r w:rsidRPr="0031675F">
        <w:rPr>
          <w:spacing w:val="-1"/>
        </w:rPr>
        <w:t>reposition</w:t>
      </w:r>
      <w:r w:rsidRPr="0031675F">
        <w:rPr>
          <w:spacing w:val="9"/>
        </w:rPr>
        <w:t xml:space="preserve"> </w:t>
      </w:r>
      <w:r w:rsidRPr="0031675F">
        <w:t>the</w:t>
      </w:r>
      <w:r w:rsidRPr="0031675F">
        <w:rPr>
          <w:spacing w:val="7"/>
        </w:rPr>
        <w:t xml:space="preserve"> </w:t>
      </w:r>
      <w:r w:rsidRPr="0031675F">
        <w:rPr>
          <w:spacing w:val="-1"/>
        </w:rPr>
        <w:t>cursor</w:t>
      </w:r>
      <w:r w:rsidRPr="0031675F">
        <w:rPr>
          <w:spacing w:val="9"/>
        </w:rPr>
        <w:t xml:space="preserve"> </w:t>
      </w:r>
      <w:r w:rsidRPr="0031675F">
        <w:t>on</w:t>
      </w:r>
      <w:r w:rsidRPr="0031675F">
        <w:rPr>
          <w:spacing w:val="9"/>
        </w:rPr>
        <w:t xml:space="preserve"> </w:t>
      </w:r>
      <w:r w:rsidRPr="0031675F">
        <w:t>the</w:t>
      </w:r>
      <w:r w:rsidRPr="0031675F">
        <w:rPr>
          <w:spacing w:val="75"/>
        </w:rPr>
        <w:t xml:space="preserve"> </w:t>
      </w:r>
      <w:r w:rsidRPr="0031675F">
        <w:rPr>
          <w:spacing w:val="-1"/>
        </w:rPr>
        <w:t>incorrect</w:t>
      </w:r>
      <w:r w:rsidRPr="0031675F">
        <w:rPr>
          <w:spacing w:val="-2"/>
        </w:rPr>
        <w:t xml:space="preserve"> </w:t>
      </w:r>
      <w:r w:rsidRPr="0031675F">
        <w:rPr>
          <w:spacing w:val="-1"/>
        </w:rPr>
        <w:t>value</w:t>
      </w:r>
      <w:r w:rsidRPr="0031675F">
        <w:t xml:space="preserve"> </w:t>
      </w:r>
      <w:r w:rsidRPr="0031675F">
        <w:rPr>
          <w:spacing w:val="-1"/>
        </w:rPr>
        <w:t xml:space="preserve">and </w:t>
      </w:r>
      <w:r w:rsidRPr="0031675F">
        <w:rPr>
          <w:spacing w:val="-2"/>
        </w:rPr>
        <w:t>press</w:t>
      </w:r>
      <w:r w:rsidRPr="0031675F">
        <w:t xml:space="preserve"> </w:t>
      </w:r>
      <w:r w:rsidRPr="0031675F">
        <w:rPr>
          <w:spacing w:val="-1"/>
        </w:rPr>
        <w:t>the</w:t>
      </w:r>
      <w:r w:rsidRPr="0031675F">
        <w:t xml:space="preserve"> </w:t>
      </w:r>
      <w:r w:rsidRPr="0031675F">
        <w:rPr>
          <w:spacing w:val="-1"/>
        </w:rPr>
        <w:t>print</w:t>
      </w:r>
      <w:r w:rsidRPr="0031675F">
        <w:t xml:space="preserve"> </w:t>
      </w:r>
      <w:r w:rsidRPr="0031675F">
        <w:rPr>
          <w:spacing w:val="-1"/>
        </w:rPr>
        <w:t>button again.</w:t>
      </w:r>
    </w:p>
    <w:p w14:paraId="2BB64257" w14:textId="77777777" w:rsidR="0031675F" w:rsidRPr="0031675F" w:rsidRDefault="0031675F" w:rsidP="0031675F">
      <w:pPr>
        <w:widowControl w:val="0"/>
        <w:numPr>
          <w:ilvl w:val="0"/>
          <w:numId w:val="75"/>
        </w:numPr>
        <w:tabs>
          <w:tab w:val="left" w:pos="619"/>
        </w:tabs>
        <w:spacing w:before="0" w:after="0" w:line="240" w:lineRule="auto"/>
        <w:ind w:left="618"/>
      </w:pPr>
      <w:r w:rsidRPr="0031675F">
        <w:t>When</w:t>
      </w:r>
      <w:r w:rsidRPr="0031675F">
        <w:rPr>
          <w:spacing w:val="-1"/>
        </w:rPr>
        <w:t xml:space="preserve"> you have</w:t>
      </w:r>
      <w:r w:rsidRPr="0031675F">
        <w:t xml:space="preserve"> </w:t>
      </w:r>
      <w:r w:rsidRPr="0031675F">
        <w:rPr>
          <w:spacing w:val="-1"/>
        </w:rPr>
        <w:t>completed</w:t>
      </w:r>
      <w:r w:rsidRPr="0031675F">
        <w:rPr>
          <w:spacing w:val="-3"/>
        </w:rPr>
        <w:t xml:space="preserve"> </w:t>
      </w:r>
      <w:r w:rsidRPr="0031675F">
        <w:rPr>
          <w:spacing w:val="-1"/>
        </w:rPr>
        <w:t>weighing,</w:t>
      </w:r>
      <w:r w:rsidRPr="0031675F">
        <w:t xml:space="preserve"> </w:t>
      </w:r>
      <w:r w:rsidRPr="0031675F">
        <w:rPr>
          <w:spacing w:val="-1"/>
        </w:rPr>
        <w:t>exit</w:t>
      </w:r>
      <w:r w:rsidRPr="0031675F">
        <w:rPr>
          <w:spacing w:val="-2"/>
        </w:rPr>
        <w:t xml:space="preserve"> </w:t>
      </w:r>
      <w:r w:rsidRPr="0031675F">
        <w:rPr>
          <w:spacing w:val="-1"/>
        </w:rPr>
        <w:t>the</w:t>
      </w:r>
      <w:r w:rsidRPr="0031675F">
        <w:rPr>
          <w:spacing w:val="-2"/>
        </w:rPr>
        <w:t xml:space="preserve"> </w:t>
      </w:r>
      <w:r w:rsidRPr="0031675F">
        <w:rPr>
          <w:spacing w:val="-1"/>
        </w:rPr>
        <w:t>program.</w:t>
      </w:r>
    </w:p>
    <w:p w14:paraId="0A1BD6EE" w14:textId="77777777" w:rsidR="0031675F" w:rsidRPr="0031675F" w:rsidRDefault="0031675F" w:rsidP="0031675F">
      <w:pPr>
        <w:sectPr w:rsidR="0031675F" w:rsidRPr="0031675F" w:rsidSect="005343D3">
          <w:headerReference w:type="default" r:id="rId132"/>
          <w:pgSz w:w="11910" w:h="16850"/>
          <w:pgMar w:top="1440" w:right="1440" w:bottom="1440" w:left="1440" w:header="283" w:footer="500" w:gutter="0"/>
          <w:paperSrc w:first="7" w:other="7"/>
          <w:cols w:space="720"/>
          <w:docGrid w:linePitch="299"/>
        </w:sectPr>
      </w:pPr>
    </w:p>
    <w:p w14:paraId="0BC05D31" w14:textId="77777777" w:rsidR="0031675F" w:rsidRPr="0031675F" w:rsidRDefault="0031675F" w:rsidP="0031675F">
      <w:pPr>
        <w:tabs>
          <w:tab w:val="left" w:pos="2278"/>
        </w:tabs>
        <w:spacing w:before="206"/>
        <w:ind w:left="118"/>
        <w:rPr>
          <w:rFonts w:eastAsia="Arial" w:cs="Arial"/>
          <w:sz w:val="24"/>
          <w:szCs w:val="24"/>
        </w:rPr>
      </w:pPr>
      <w:bookmarkStart w:id="736" w:name="_TOC_250001"/>
      <w:r w:rsidRPr="0031675F">
        <w:rPr>
          <w:b/>
          <w:spacing w:val="-1"/>
          <w:sz w:val="24"/>
        </w:rPr>
        <w:t xml:space="preserve">Attachment </w:t>
      </w:r>
      <w:r w:rsidRPr="0031675F">
        <w:rPr>
          <w:b/>
          <w:sz w:val="24"/>
        </w:rPr>
        <w:t>10.2</w:t>
      </w:r>
      <w:r w:rsidRPr="0031675F">
        <w:rPr>
          <w:b/>
          <w:sz w:val="24"/>
        </w:rPr>
        <w:tab/>
        <w:t xml:space="preserve">Quick </w:t>
      </w:r>
      <w:r w:rsidRPr="0031675F">
        <w:rPr>
          <w:b/>
          <w:spacing w:val="-1"/>
          <w:sz w:val="24"/>
        </w:rPr>
        <w:t>reference</w:t>
      </w:r>
      <w:r w:rsidRPr="0031675F">
        <w:rPr>
          <w:b/>
          <w:spacing w:val="3"/>
          <w:sz w:val="24"/>
        </w:rPr>
        <w:t xml:space="preserve"> </w:t>
      </w:r>
      <w:r w:rsidRPr="0031675F">
        <w:rPr>
          <w:b/>
          <w:spacing w:val="-1"/>
          <w:sz w:val="24"/>
        </w:rPr>
        <w:t>guide</w:t>
      </w:r>
      <w:r w:rsidRPr="0031675F">
        <w:rPr>
          <w:b/>
          <w:spacing w:val="1"/>
          <w:sz w:val="24"/>
        </w:rPr>
        <w:t xml:space="preserve"> </w:t>
      </w:r>
      <w:r w:rsidRPr="0031675F">
        <w:rPr>
          <w:b/>
          <w:spacing w:val="-1"/>
          <w:sz w:val="24"/>
        </w:rPr>
        <w:t>for</w:t>
      </w:r>
      <w:r w:rsidRPr="0031675F">
        <w:rPr>
          <w:b/>
          <w:sz w:val="24"/>
        </w:rPr>
        <w:t xml:space="preserve"> filtering </w:t>
      </w:r>
      <w:r w:rsidRPr="0031675F">
        <w:rPr>
          <w:b/>
          <w:spacing w:val="-1"/>
          <w:sz w:val="24"/>
        </w:rPr>
        <w:t>suspended</w:t>
      </w:r>
      <w:r w:rsidRPr="0031675F">
        <w:rPr>
          <w:b/>
          <w:sz w:val="24"/>
        </w:rPr>
        <w:t xml:space="preserve"> solids</w:t>
      </w:r>
      <w:bookmarkEnd w:id="736"/>
    </w:p>
    <w:p w14:paraId="0A82F2B0" w14:textId="77777777" w:rsidR="0031675F" w:rsidRPr="0031675F" w:rsidRDefault="0031675F" w:rsidP="0031675F">
      <w:pPr>
        <w:widowControl w:val="0"/>
        <w:numPr>
          <w:ilvl w:val="1"/>
          <w:numId w:val="75"/>
        </w:numPr>
        <w:tabs>
          <w:tab w:val="left" w:pos="839"/>
        </w:tabs>
        <w:spacing w:before="0" w:after="0" w:line="239" w:lineRule="auto"/>
        <w:ind w:right="114"/>
        <w:jc w:val="both"/>
      </w:pPr>
      <w:r w:rsidRPr="0031675F">
        <w:rPr>
          <w:spacing w:val="-1"/>
        </w:rPr>
        <w:t>Using</w:t>
      </w:r>
      <w:r w:rsidRPr="0031675F">
        <w:rPr>
          <w:spacing w:val="21"/>
        </w:rPr>
        <w:t xml:space="preserve"> </w:t>
      </w:r>
      <w:r w:rsidRPr="0031675F">
        <w:rPr>
          <w:spacing w:val="-1"/>
        </w:rPr>
        <w:t>larger</w:t>
      </w:r>
      <w:r w:rsidRPr="0031675F">
        <w:rPr>
          <w:spacing w:val="22"/>
        </w:rPr>
        <w:t xml:space="preserve"> </w:t>
      </w:r>
      <w:r w:rsidRPr="0031675F">
        <w:rPr>
          <w:spacing w:val="-1"/>
        </w:rPr>
        <w:t>47</w:t>
      </w:r>
      <w:r w:rsidRPr="0031675F">
        <w:rPr>
          <w:spacing w:val="20"/>
        </w:rPr>
        <w:t xml:space="preserve"> </w:t>
      </w:r>
      <w:r w:rsidRPr="0031675F">
        <w:rPr>
          <w:spacing w:val="-1"/>
        </w:rPr>
        <w:t>mm</w:t>
      </w:r>
      <w:r w:rsidRPr="0031675F">
        <w:rPr>
          <w:spacing w:val="22"/>
        </w:rPr>
        <w:t xml:space="preserve"> </w:t>
      </w:r>
      <w:r w:rsidRPr="0031675F">
        <w:rPr>
          <w:spacing w:val="-1"/>
        </w:rPr>
        <w:t>filter</w:t>
      </w:r>
      <w:r w:rsidRPr="0031675F">
        <w:rPr>
          <w:spacing w:val="22"/>
        </w:rPr>
        <w:t xml:space="preserve"> </w:t>
      </w:r>
      <w:r w:rsidRPr="0031675F">
        <w:rPr>
          <w:spacing w:val="-1"/>
        </w:rPr>
        <w:t>funnel</w:t>
      </w:r>
      <w:r w:rsidRPr="0031675F">
        <w:rPr>
          <w:spacing w:val="22"/>
        </w:rPr>
        <w:t xml:space="preserve"> </w:t>
      </w:r>
      <w:r w:rsidRPr="0031675F">
        <w:rPr>
          <w:spacing w:val="-1"/>
        </w:rPr>
        <w:t>sets</w:t>
      </w:r>
      <w:r w:rsidRPr="0031675F">
        <w:rPr>
          <w:spacing w:val="22"/>
        </w:rPr>
        <w:t xml:space="preserve"> </w:t>
      </w:r>
      <w:r w:rsidRPr="0031675F">
        <w:rPr>
          <w:spacing w:val="-2"/>
        </w:rPr>
        <w:t>as</w:t>
      </w:r>
      <w:r w:rsidRPr="0031675F">
        <w:rPr>
          <w:spacing w:val="22"/>
        </w:rPr>
        <w:t xml:space="preserve"> </w:t>
      </w:r>
      <w:r w:rsidRPr="0031675F">
        <w:rPr>
          <w:spacing w:val="-1"/>
        </w:rPr>
        <w:t>seen</w:t>
      </w:r>
      <w:r w:rsidRPr="0031675F">
        <w:rPr>
          <w:spacing w:val="21"/>
        </w:rPr>
        <w:t xml:space="preserve"> </w:t>
      </w:r>
      <w:r w:rsidRPr="0031675F">
        <w:t>at</w:t>
      </w:r>
      <w:r w:rsidRPr="0031675F">
        <w:rPr>
          <w:spacing w:val="19"/>
        </w:rPr>
        <w:t xml:space="preserve"> </w:t>
      </w:r>
      <w:r w:rsidRPr="0031675F">
        <w:rPr>
          <w:spacing w:val="-1"/>
        </w:rPr>
        <w:t>right</w:t>
      </w:r>
      <w:r w:rsidRPr="0031675F">
        <w:rPr>
          <w:spacing w:val="20"/>
        </w:rPr>
        <w:t xml:space="preserve"> </w:t>
      </w:r>
      <w:r w:rsidRPr="0031675F">
        <w:t>in</w:t>
      </w:r>
      <w:r w:rsidRPr="0031675F">
        <w:rPr>
          <w:spacing w:val="20"/>
        </w:rPr>
        <w:t xml:space="preserve"> </w:t>
      </w:r>
      <w:r w:rsidRPr="0031675F">
        <w:rPr>
          <w:spacing w:val="-1"/>
        </w:rPr>
        <w:t>figure</w:t>
      </w:r>
      <w:r w:rsidRPr="0031675F">
        <w:rPr>
          <w:spacing w:val="22"/>
        </w:rPr>
        <w:t xml:space="preserve"> </w:t>
      </w:r>
      <w:r w:rsidRPr="0031675F">
        <w:t>1,</w:t>
      </w:r>
      <w:r w:rsidRPr="0031675F">
        <w:rPr>
          <w:spacing w:val="19"/>
        </w:rPr>
        <w:t xml:space="preserve"> </w:t>
      </w:r>
      <w:r w:rsidRPr="0031675F">
        <w:rPr>
          <w:spacing w:val="-1"/>
        </w:rPr>
        <w:t>put</w:t>
      </w:r>
      <w:r w:rsidRPr="0031675F">
        <w:rPr>
          <w:spacing w:val="22"/>
        </w:rPr>
        <w:t xml:space="preserve"> </w:t>
      </w:r>
      <w:r w:rsidRPr="0031675F">
        <w:t>the</w:t>
      </w:r>
      <w:r w:rsidRPr="0031675F">
        <w:rPr>
          <w:spacing w:val="19"/>
        </w:rPr>
        <w:t xml:space="preserve"> </w:t>
      </w:r>
      <w:r w:rsidRPr="0031675F">
        <w:rPr>
          <w:spacing w:val="-1"/>
        </w:rPr>
        <w:t>base</w:t>
      </w:r>
      <w:r w:rsidRPr="0031675F">
        <w:rPr>
          <w:spacing w:val="20"/>
        </w:rPr>
        <w:t xml:space="preserve"> </w:t>
      </w:r>
      <w:r w:rsidRPr="0031675F">
        <w:t>on</w:t>
      </w:r>
      <w:r w:rsidRPr="0031675F">
        <w:rPr>
          <w:spacing w:val="21"/>
        </w:rPr>
        <w:t xml:space="preserve"> </w:t>
      </w:r>
      <w:r w:rsidRPr="0031675F">
        <w:t>the</w:t>
      </w:r>
      <w:r w:rsidRPr="0031675F">
        <w:rPr>
          <w:spacing w:val="19"/>
        </w:rPr>
        <w:t xml:space="preserve"> </w:t>
      </w:r>
      <w:r w:rsidRPr="0031675F">
        <w:rPr>
          <w:spacing w:val="-1"/>
        </w:rPr>
        <w:t>filter</w:t>
      </w:r>
      <w:r w:rsidRPr="0031675F">
        <w:rPr>
          <w:spacing w:val="47"/>
        </w:rPr>
        <w:t xml:space="preserve"> </w:t>
      </w:r>
      <w:r w:rsidRPr="0031675F">
        <w:rPr>
          <w:spacing w:val="-1"/>
        </w:rPr>
        <w:t>manifold,</w:t>
      </w:r>
      <w:r w:rsidRPr="0031675F">
        <w:rPr>
          <w:spacing w:val="12"/>
        </w:rPr>
        <w:t xml:space="preserve"> </w:t>
      </w:r>
      <w:r w:rsidRPr="0031675F">
        <w:rPr>
          <w:spacing w:val="-1"/>
        </w:rPr>
        <w:t>place</w:t>
      </w:r>
      <w:r w:rsidRPr="0031675F">
        <w:rPr>
          <w:spacing w:val="13"/>
        </w:rPr>
        <w:t xml:space="preserve"> </w:t>
      </w:r>
      <w:r w:rsidRPr="0031675F">
        <w:t>a</w:t>
      </w:r>
      <w:r w:rsidRPr="0031675F">
        <w:rPr>
          <w:spacing w:val="12"/>
        </w:rPr>
        <w:t xml:space="preserve"> </w:t>
      </w:r>
      <w:r w:rsidRPr="0031675F">
        <w:rPr>
          <w:spacing w:val="-1"/>
        </w:rPr>
        <w:t>pre-weighed</w:t>
      </w:r>
      <w:r w:rsidRPr="0031675F">
        <w:rPr>
          <w:spacing w:val="11"/>
        </w:rPr>
        <w:t xml:space="preserve"> </w:t>
      </w:r>
      <w:r w:rsidRPr="0031675F">
        <w:t>PC</w:t>
      </w:r>
      <w:r w:rsidRPr="0031675F">
        <w:rPr>
          <w:spacing w:val="12"/>
        </w:rPr>
        <w:t xml:space="preserve"> </w:t>
      </w:r>
      <w:r w:rsidRPr="0031675F">
        <w:rPr>
          <w:spacing w:val="-1"/>
        </w:rPr>
        <w:t>47</w:t>
      </w:r>
      <w:r w:rsidRPr="0031675F">
        <w:rPr>
          <w:spacing w:val="10"/>
        </w:rPr>
        <w:t xml:space="preserve"> </w:t>
      </w:r>
      <w:r w:rsidRPr="0031675F">
        <w:rPr>
          <w:spacing w:val="-1"/>
        </w:rPr>
        <w:t>mm</w:t>
      </w:r>
      <w:r w:rsidRPr="0031675F">
        <w:rPr>
          <w:spacing w:val="13"/>
        </w:rPr>
        <w:t xml:space="preserve"> </w:t>
      </w:r>
      <w:r w:rsidRPr="0031675F">
        <w:rPr>
          <w:spacing w:val="-1"/>
        </w:rPr>
        <w:t>filter</w:t>
      </w:r>
      <w:r w:rsidRPr="0031675F">
        <w:rPr>
          <w:spacing w:val="12"/>
        </w:rPr>
        <w:t xml:space="preserve"> </w:t>
      </w:r>
      <w:r w:rsidRPr="0031675F">
        <w:rPr>
          <w:spacing w:val="-2"/>
        </w:rPr>
        <w:t>from</w:t>
      </w:r>
      <w:r w:rsidRPr="0031675F">
        <w:rPr>
          <w:spacing w:val="11"/>
        </w:rPr>
        <w:t xml:space="preserve"> </w:t>
      </w:r>
      <w:r w:rsidRPr="0031675F">
        <w:t>a</w:t>
      </w:r>
      <w:r w:rsidRPr="0031675F">
        <w:rPr>
          <w:spacing w:val="12"/>
        </w:rPr>
        <w:t xml:space="preserve"> </w:t>
      </w:r>
      <w:r w:rsidRPr="0031675F">
        <w:rPr>
          <w:spacing w:val="-1"/>
        </w:rPr>
        <w:t>numbered</w:t>
      </w:r>
      <w:r w:rsidRPr="0031675F">
        <w:rPr>
          <w:spacing w:val="9"/>
        </w:rPr>
        <w:t xml:space="preserve"> </w:t>
      </w:r>
      <w:r w:rsidRPr="0031675F">
        <w:t>vial</w:t>
      </w:r>
      <w:r w:rsidRPr="0031675F">
        <w:rPr>
          <w:spacing w:val="11"/>
        </w:rPr>
        <w:t xml:space="preserve"> </w:t>
      </w:r>
      <w:r w:rsidRPr="0031675F">
        <w:rPr>
          <w:spacing w:val="-1"/>
        </w:rPr>
        <w:t>(see</w:t>
      </w:r>
      <w:r w:rsidRPr="0031675F">
        <w:rPr>
          <w:spacing w:val="13"/>
        </w:rPr>
        <w:t xml:space="preserve"> </w:t>
      </w:r>
      <w:r w:rsidRPr="0031675F">
        <w:rPr>
          <w:spacing w:val="-1"/>
        </w:rPr>
        <w:t>fig</w:t>
      </w:r>
      <w:r w:rsidRPr="0031675F">
        <w:rPr>
          <w:spacing w:val="11"/>
        </w:rPr>
        <w:t xml:space="preserve"> </w:t>
      </w:r>
      <w:r w:rsidRPr="0031675F">
        <w:rPr>
          <w:spacing w:val="-1"/>
        </w:rPr>
        <w:t>2)</w:t>
      </w:r>
      <w:r w:rsidRPr="0031675F">
        <w:rPr>
          <w:spacing w:val="10"/>
        </w:rPr>
        <w:t xml:space="preserve"> </w:t>
      </w:r>
      <w:r w:rsidRPr="0031675F">
        <w:t>on</w:t>
      </w:r>
      <w:r w:rsidRPr="0031675F">
        <w:rPr>
          <w:spacing w:val="11"/>
        </w:rPr>
        <w:t xml:space="preserve"> </w:t>
      </w:r>
      <w:r w:rsidRPr="0031675F">
        <w:t>the</w:t>
      </w:r>
      <w:r w:rsidRPr="0031675F">
        <w:rPr>
          <w:spacing w:val="12"/>
        </w:rPr>
        <w:t xml:space="preserve"> </w:t>
      </w:r>
      <w:r w:rsidRPr="0031675F">
        <w:rPr>
          <w:spacing w:val="-1"/>
        </w:rPr>
        <w:t>base</w:t>
      </w:r>
      <w:r w:rsidRPr="0031675F">
        <w:rPr>
          <w:spacing w:val="47"/>
        </w:rPr>
        <w:t xml:space="preserve"> </w:t>
      </w:r>
      <w:r w:rsidRPr="0031675F">
        <w:rPr>
          <w:spacing w:val="-1"/>
        </w:rPr>
        <w:t>(see</w:t>
      </w:r>
      <w:r w:rsidRPr="0031675F">
        <w:rPr>
          <w:spacing w:val="26"/>
        </w:rPr>
        <w:t xml:space="preserve"> </w:t>
      </w:r>
      <w:r w:rsidRPr="0031675F">
        <w:rPr>
          <w:spacing w:val="-1"/>
        </w:rPr>
        <w:t>fig</w:t>
      </w:r>
      <w:r w:rsidRPr="0031675F">
        <w:rPr>
          <w:spacing w:val="26"/>
        </w:rPr>
        <w:t xml:space="preserve"> </w:t>
      </w:r>
      <w:r w:rsidRPr="0031675F">
        <w:t>3)</w:t>
      </w:r>
      <w:r w:rsidRPr="0031675F">
        <w:rPr>
          <w:spacing w:val="27"/>
        </w:rPr>
        <w:t xml:space="preserve"> </w:t>
      </w:r>
      <w:r w:rsidRPr="0031675F">
        <w:rPr>
          <w:spacing w:val="-1"/>
        </w:rPr>
        <w:t>and</w:t>
      </w:r>
      <w:r w:rsidRPr="0031675F">
        <w:rPr>
          <w:spacing w:val="25"/>
        </w:rPr>
        <w:t xml:space="preserve"> </w:t>
      </w:r>
      <w:r w:rsidRPr="0031675F">
        <w:rPr>
          <w:spacing w:val="-1"/>
        </w:rPr>
        <w:t>clamp</w:t>
      </w:r>
      <w:r w:rsidRPr="0031675F">
        <w:rPr>
          <w:spacing w:val="26"/>
        </w:rPr>
        <w:t xml:space="preserve"> </w:t>
      </w:r>
      <w:r w:rsidRPr="0031675F">
        <w:t>on</w:t>
      </w:r>
      <w:r w:rsidRPr="0031675F">
        <w:rPr>
          <w:spacing w:val="26"/>
        </w:rPr>
        <w:t xml:space="preserve"> </w:t>
      </w:r>
      <w:r w:rsidRPr="0031675F">
        <w:t>a</w:t>
      </w:r>
      <w:r w:rsidRPr="0031675F">
        <w:rPr>
          <w:spacing w:val="26"/>
        </w:rPr>
        <w:t xml:space="preserve"> </w:t>
      </w:r>
      <w:r w:rsidRPr="0031675F">
        <w:rPr>
          <w:spacing w:val="-1"/>
        </w:rPr>
        <w:t>funnel</w:t>
      </w:r>
      <w:r w:rsidRPr="0031675F">
        <w:rPr>
          <w:spacing w:val="26"/>
        </w:rPr>
        <w:t xml:space="preserve"> </w:t>
      </w:r>
      <w:r w:rsidRPr="0031675F">
        <w:t>with</w:t>
      </w:r>
      <w:r w:rsidRPr="0031675F">
        <w:rPr>
          <w:spacing w:val="26"/>
        </w:rPr>
        <w:t xml:space="preserve"> </w:t>
      </w:r>
      <w:r w:rsidRPr="0031675F">
        <w:t>a</w:t>
      </w:r>
      <w:r w:rsidRPr="0031675F">
        <w:rPr>
          <w:spacing w:val="26"/>
        </w:rPr>
        <w:t xml:space="preserve"> </w:t>
      </w:r>
      <w:r w:rsidRPr="0031675F">
        <w:rPr>
          <w:spacing w:val="-1"/>
        </w:rPr>
        <w:t>black</w:t>
      </w:r>
      <w:r w:rsidRPr="0031675F">
        <w:rPr>
          <w:spacing w:val="25"/>
        </w:rPr>
        <w:t xml:space="preserve"> </w:t>
      </w:r>
      <w:r w:rsidRPr="0031675F">
        <w:rPr>
          <w:spacing w:val="-1"/>
        </w:rPr>
        <w:t>filter</w:t>
      </w:r>
      <w:r w:rsidRPr="0031675F">
        <w:rPr>
          <w:spacing w:val="27"/>
        </w:rPr>
        <w:t xml:space="preserve"> </w:t>
      </w:r>
      <w:r w:rsidRPr="0031675F">
        <w:rPr>
          <w:spacing w:val="-1"/>
        </w:rPr>
        <w:t>clamp.</w:t>
      </w:r>
      <w:r w:rsidRPr="0031675F">
        <w:rPr>
          <w:spacing w:val="3"/>
        </w:rPr>
        <w:t xml:space="preserve"> </w:t>
      </w:r>
      <w:r w:rsidRPr="0031675F">
        <w:rPr>
          <w:spacing w:val="-1"/>
        </w:rPr>
        <w:t>After</w:t>
      </w:r>
      <w:r w:rsidRPr="0031675F">
        <w:rPr>
          <w:spacing w:val="27"/>
        </w:rPr>
        <w:t xml:space="preserve"> </w:t>
      </w:r>
      <w:r w:rsidRPr="0031675F">
        <w:rPr>
          <w:spacing w:val="-1"/>
        </w:rPr>
        <w:t>clamping,</w:t>
      </w:r>
      <w:r w:rsidRPr="0031675F">
        <w:rPr>
          <w:spacing w:val="27"/>
        </w:rPr>
        <w:t xml:space="preserve"> </w:t>
      </w:r>
      <w:r w:rsidRPr="0031675F">
        <w:rPr>
          <w:spacing w:val="-1"/>
        </w:rPr>
        <w:t>give</w:t>
      </w:r>
      <w:r w:rsidRPr="0031675F">
        <w:rPr>
          <w:spacing w:val="27"/>
        </w:rPr>
        <w:t xml:space="preserve"> </w:t>
      </w:r>
      <w:r w:rsidRPr="0031675F">
        <w:t>the</w:t>
      </w:r>
      <w:r w:rsidRPr="0031675F">
        <w:rPr>
          <w:spacing w:val="27"/>
        </w:rPr>
        <w:t xml:space="preserve"> </w:t>
      </w:r>
      <w:r w:rsidRPr="0031675F">
        <w:rPr>
          <w:spacing w:val="-1"/>
        </w:rPr>
        <w:t>filter</w:t>
      </w:r>
      <w:r w:rsidRPr="0031675F">
        <w:rPr>
          <w:spacing w:val="67"/>
        </w:rPr>
        <w:t xml:space="preserve"> </w:t>
      </w:r>
      <w:r w:rsidRPr="0031675F">
        <w:rPr>
          <w:spacing w:val="-1"/>
        </w:rPr>
        <w:t>funnel</w:t>
      </w:r>
      <w:r w:rsidRPr="0031675F">
        <w:rPr>
          <w:spacing w:val="35"/>
        </w:rPr>
        <w:t xml:space="preserve"> </w:t>
      </w:r>
      <w:r w:rsidRPr="0031675F">
        <w:t>a</w:t>
      </w:r>
      <w:r w:rsidRPr="0031675F">
        <w:rPr>
          <w:spacing w:val="36"/>
        </w:rPr>
        <w:t xml:space="preserve"> </w:t>
      </w:r>
      <w:r w:rsidRPr="0031675F">
        <w:rPr>
          <w:spacing w:val="-1"/>
        </w:rPr>
        <w:t>little</w:t>
      </w:r>
      <w:r w:rsidRPr="0031675F">
        <w:rPr>
          <w:spacing w:val="36"/>
        </w:rPr>
        <w:t xml:space="preserve"> </w:t>
      </w:r>
      <w:r w:rsidRPr="0031675F">
        <w:rPr>
          <w:spacing w:val="-1"/>
        </w:rPr>
        <w:t>wiggle</w:t>
      </w:r>
      <w:r w:rsidRPr="0031675F">
        <w:rPr>
          <w:spacing w:val="35"/>
        </w:rPr>
        <w:t xml:space="preserve"> </w:t>
      </w:r>
      <w:r w:rsidRPr="0031675F">
        <w:t>to</w:t>
      </w:r>
      <w:r w:rsidRPr="0031675F">
        <w:rPr>
          <w:spacing w:val="35"/>
        </w:rPr>
        <w:t xml:space="preserve"> </w:t>
      </w:r>
      <w:r w:rsidRPr="0031675F">
        <w:rPr>
          <w:spacing w:val="-1"/>
        </w:rPr>
        <w:t>make</w:t>
      </w:r>
      <w:r w:rsidRPr="0031675F">
        <w:rPr>
          <w:spacing w:val="37"/>
        </w:rPr>
        <w:t xml:space="preserve"> </w:t>
      </w:r>
      <w:r w:rsidRPr="0031675F">
        <w:rPr>
          <w:spacing w:val="-1"/>
        </w:rPr>
        <w:t>sure</w:t>
      </w:r>
      <w:r w:rsidRPr="0031675F">
        <w:rPr>
          <w:spacing w:val="37"/>
        </w:rPr>
        <w:t xml:space="preserve"> </w:t>
      </w:r>
      <w:r w:rsidRPr="0031675F">
        <w:t>the</w:t>
      </w:r>
      <w:r w:rsidRPr="0031675F">
        <w:rPr>
          <w:spacing w:val="35"/>
        </w:rPr>
        <w:t xml:space="preserve"> </w:t>
      </w:r>
      <w:r w:rsidRPr="0031675F">
        <w:rPr>
          <w:spacing w:val="-1"/>
        </w:rPr>
        <w:t>funnel</w:t>
      </w:r>
      <w:r w:rsidRPr="0031675F">
        <w:rPr>
          <w:spacing w:val="36"/>
        </w:rPr>
        <w:t xml:space="preserve"> </w:t>
      </w:r>
      <w:r w:rsidRPr="0031675F">
        <w:rPr>
          <w:spacing w:val="-1"/>
        </w:rPr>
        <w:t>and</w:t>
      </w:r>
      <w:r w:rsidRPr="0031675F">
        <w:rPr>
          <w:spacing w:val="35"/>
        </w:rPr>
        <w:t xml:space="preserve"> </w:t>
      </w:r>
      <w:r w:rsidRPr="0031675F">
        <w:t>clamp</w:t>
      </w:r>
      <w:r w:rsidRPr="0031675F">
        <w:rPr>
          <w:spacing w:val="34"/>
        </w:rPr>
        <w:t xml:space="preserve"> </w:t>
      </w:r>
      <w:r w:rsidRPr="0031675F">
        <w:t>are</w:t>
      </w:r>
      <w:r w:rsidRPr="0031675F">
        <w:rPr>
          <w:spacing w:val="36"/>
        </w:rPr>
        <w:t xml:space="preserve"> </w:t>
      </w:r>
      <w:r w:rsidRPr="0031675F">
        <w:rPr>
          <w:spacing w:val="-1"/>
        </w:rPr>
        <w:t>properly</w:t>
      </w:r>
      <w:r w:rsidRPr="0031675F">
        <w:rPr>
          <w:spacing w:val="37"/>
        </w:rPr>
        <w:t xml:space="preserve"> </w:t>
      </w:r>
      <w:r w:rsidRPr="0031675F">
        <w:rPr>
          <w:spacing w:val="-2"/>
        </w:rPr>
        <w:t>seated</w:t>
      </w:r>
      <w:r w:rsidRPr="0031675F">
        <w:rPr>
          <w:spacing w:val="35"/>
        </w:rPr>
        <w:t xml:space="preserve"> </w:t>
      </w:r>
      <w:r w:rsidRPr="0031675F">
        <w:rPr>
          <w:spacing w:val="-1"/>
        </w:rPr>
        <w:t>(see</w:t>
      </w:r>
      <w:r w:rsidRPr="0031675F">
        <w:rPr>
          <w:spacing w:val="36"/>
        </w:rPr>
        <w:t xml:space="preserve"> </w:t>
      </w:r>
      <w:r w:rsidRPr="0031675F">
        <w:rPr>
          <w:spacing w:val="-1"/>
        </w:rPr>
        <w:t>fig</w:t>
      </w:r>
      <w:r w:rsidRPr="0031675F">
        <w:rPr>
          <w:spacing w:val="35"/>
        </w:rPr>
        <w:t xml:space="preserve"> </w:t>
      </w:r>
      <w:r w:rsidRPr="0031675F">
        <w:rPr>
          <w:spacing w:val="-1"/>
        </w:rPr>
        <w:t>4).</w:t>
      </w:r>
      <w:r w:rsidRPr="0031675F">
        <w:rPr>
          <w:spacing w:val="58"/>
        </w:rPr>
        <w:t xml:space="preserve"> </w:t>
      </w:r>
      <w:r w:rsidRPr="0031675F">
        <w:t>Make</w:t>
      </w:r>
      <w:r w:rsidRPr="0031675F">
        <w:rPr>
          <w:spacing w:val="27"/>
        </w:rPr>
        <w:t xml:space="preserve"> </w:t>
      </w:r>
      <w:r w:rsidRPr="0031675F">
        <w:rPr>
          <w:spacing w:val="-1"/>
        </w:rPr>
        <w:t>sure</w:t>
      </w:r>
      <w:r w:rsidRPr="0031675F">
        <w:rPr>
          <w:spacing w:val="30"/>
        </w:rPr>
        <w:t xml:space="preserve"> </w:t>
      </w:r>
      <w:r w:rsidRPr="0031675F">
        <w:t>that</w:t>
      </w:r>
      <w:r w:rsidRPr="0031675F">
        <w:rPr>
          <w:spacing w:val="27"/>
        </w:rPr>
        <w:t xml:space="preserve"> </w:t>
      </w:r>
      <w:r w:rsidRPr="0031675F">
        <w:rPr>
          <w:spacing w:val="-1"/>
        </w:rPr>
        <w:t>you</w:t>
      </w:r>
      <w:r w:rsidRPr="0031675F">
        <w:rPr>
          <w:spacing w:val="27"/>
        </w:rPr>
        <w:t xml:space="preserve"> </w:t>
      </w:r>
      <w:r w:rsidRPr="0031675F">
        <w:rPr>
          <w:spacing w:val="-1"/>
        </w:rPr>
        <w:t>note</w:t>
      </w:r>
      <w:r w:rsidRPr="0031675F">
        <w:rPr>
          <w:spacing w:val="27"/>
        </w:rPr>
        <w:t xml:space="preserve"> </w:t>
      </w:r>
      <w:r w:rsidRPr="0031675F">
        <w:t>the</w:t>
      </w:r>
      <w:r w:rsidRPr="0031675F">
        <w:rPr>
          <w:spacing w:val="29"/>
        </w:rPr>
        <w:t xml:space="preserve"> </w:t>
      </w:r>
      <w:r w:rsidRPr="0031675F">
        <w:t>vial</w:t>
      </w:r>
      <w:r w:rsidRPr="0031675F">
        <w:rPr>
          <w:spacing w:val="28"/>
        </w:rPr>
        <w:t xml:space="preserve"> </w:t>
      </w:r>
      <w:r w:rsidRPr="0031675F">
        <w:rPr>
          <w:spacing w:val="-1"/>
        </w:rPr>
        <w:t>numbers</w:t>
      </w:r>
      <w:r w:rsidRPr="0031675F">
        <w:rPr>
          <w:spacing w:val="28"/>
        </w:rPr>
        <w:t xml:space="preserve"> </w:t>
      </w:r>
      <w:r w:rsidRPr="0031675F">
        <w:rPr>
          <w:spacing w:val="-1"/>
        </w:rPr>
        <w:t>(e.g.</w:t>
      </w:r>
      <w:r w:rsidRPr="0031675F">
        <w:rPr>
          <w:spacing w:val="29"/>
        </w:rPr>
        <w:t xml:space="preserve"> </w:t>
      </w:r>
      <w:r w:rsidRPr="0031675F">
        <w:rPr>
          <w:spacing w:val="-1"/>
        </w:rPr>
        <w:t>k105,</w:t>
      </w:r>
      <w:r w:rsidRPr="0031675F">
        <w:rPr>
          <w:spacing w:val="29"/>
        </w:rPr>
        <w:t xml:space="preserve"> </w:t>
      </w:r>
      <w:r w:rsidRPr="0031675F">
        <w:rPr>
          <w:spacing w:val="-1"/>
        </w:rPr>
        <w:t>k106)</w:t>
      </w:r>
      <w:r w:rsidRPr="0031675F">
        <w:rPr>
          <w:spacing w:val="28"/>
        </w:rPr>
        <w:t xml:space="preserve"> </w:t>
      </w:r>
      <w:r w:rsidRPr="0031675F">
        <w:t>in</w:t>
      </w:r>
      <w:r w:rsidRPr="0031675F">
        <w:rPr>
          <w:spacing w:val="28"/>
        </w:rPr>
        <w:t xml:space="preserve"> </w:t>
      </w:r>
      <w:r w:rsidRPr="0031675F">
        <w:rPr>
          <w:spacing w:val="-1"/>
        </w:rPr>
        <w:t>your</w:t>
      </w:r>
      <w:r w:rsidRPr="0031675F">
        <w:rPr>
          <w:spacing w:val="29"/>
        </w:rPr>
        <w:t xml:space="preserve"> </w:t>
      </w:r>
      <w:r w:rsidRPr="0031675F">
        <w:rPr>
          <w:spacing w:val="-1"/>
        </w:rPr>
        <w:t>logbook</w:t>
      </w:r>
      <w:r w:rsidRPr="0031675F">
        <w:rPr>
          <w:spacing w:val="27"/>
        </w:rPr>
        <w:t xml:space="preserve"> </w:t>
      </w:r>
      <w:r w:rsidRPr="0031675F">
        <w:t>or</w:t>
      </w:r>
      <w:r w:rsidRPr="0031675F">
        <w:rPr>
          <w:spacing w:val="28"/>
        </w:rPr>
        <w:t xml:space="preserve"> </w:t>
      </w:r>
      <w:r w:rsidRPr="0031675F">
        <w:rPr>
          <w:spacing w:val="-1"/>
        </w:rPr>
        <w:t>datasheet</w:t>
      </w:r>
      <w:r w:rsidRPr="0031675F">
        <w:rPr>
          <w:spacing w:val="37"/>
        </w:rPr>
        <w:t xml:space="preserve"> </w:t>
      </w:r>
      <w:r w:rsidRPr="0031675F">
        <w:rPr>
          <w:spacing w:val="-1"/>
        </w:rPr>
        <w:t>next</w:t>
      </w:r>
      <w:r w:rsidRPr="0031675F">
        <w:t xml:space="preserve"> </w:t>
      </w:r>
      <w:r w:rsidRPr="0031675F">
        <w:rPr>
          <w:spacing w:val="-1"/>
        </w:rPr>
        <w:t xml:space="preserve">to </w:t>
      </w:r>
      <w:r w:rsidRPr="0031675F">
        <w:t xml:space="preserve">the </w:t>
      </w:r>
      <w:r w:rsidRPr="0031675F">
        <w:rPr>
          <w:spacing w:val="-1"/>
        </w:rPr>
        <w:t>appropriate</w:t>
      </w:r>
      <w:r w:rsidRPr="0031675F">
        <w:rPr>
          <w:spacing w:val="-2"/>
        </w:rPr>
        <w:t xml:space="preserve"> </w:t>
      </w:r>
      <w:r w:rsidRPr="0031675F">
        <w:rPr>
          <w:spacing w:val="-1"/>
        </w:rPr>
        <w:t>sample.</w:t>
      </w:r>
    </w:p>
    <w:p w14:paraId="403EA152" w14:textId="77777777" w:rsidR="0031675F" w:rsidRPr="0031675F" w:rsidRDefault="0031675F" w:rsidP="0031675F">
      <w:pPr>
        <w:spacing w:before="1"/>
        <w:rPr>
          <w:rFonts w:cs="Calibri"/>
          <w:sz w:val="12"/>
          <w:szCs w:val="12"/>
        </w:rPr>
      </w:pPr>
    </w:p>
    <w:p w14:paraId="3DBF8A9A" w14:textId="28CBECD6" w:rsidR="0031675F" w:rsidRPr="0031675F" w:rsidRDefault="0031675F" w:rsidP="0031675F">
      <w:pPr>
        <w:tabs>
          <w:tab w:val="left" w:pos="5908"/>
        </w:tabs>
        <w:spacing w:line="200" w:lineRule="atLeast"/>
        <w:ind w:left="148"/>
        <w:rPr>
          <w:rFonts w:cs="Calibri"/>
          <w:sz w:val="20"/>
          <w:szCs w:val="20"/>
        </w:rPr>
      </w:pPr>
      <w:r w:rsidRPr="0031675F">
        <w:rPr>
          <w:noProof/>
          <w:position w:val="1"/>
          <w:sz w:val="20"/>
          <w:lang w:eastAsia="en-AU"/>
        </w:rPr>
        <w:drawing>
          <wp:inline distT="0" distB="0" distL="0" distR="0" wp14:anchorId="5134E147" wp14:editId="4DB68A89">
            <wp:extent cx="3162300" cy="2105025"/>
            <wp:effectExtent l="0" t="0" r="0" b="9525"/>
            <wp:docPr id="35" name="image14.jpeg" descr="Photo of 25 mm and 47 mm filter bases in the manifold.&#10;" title="Method of filtering suspended soli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4.jpeg"/>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162300" cy="2105025"/>
                    </a:xfrm>
                    <a:prstGeom prst="rect">
                      <a:avLst/>
                    </a:prstGeom>
                    <a:noFill/>
                    <a:ln>
                      <a:noFill/>
                    </a:ln>
                  </pic:spPr>
                </pic:pic>
              </a:graphicData>
            </a:graphic>
          </wp:inline>
        </w:drawing>
      </w:r>
      <w:r w:rsidRPr="0031675F">
        <w:rPr>
          <w:position w:val="1"/>
          <w:sz w:val="20"/>
        </w:rPr>
        <w:tab/>
      </w:r>
      <w:r w:rsidRPr="0031675F">
        <w:rPr>
          <w:noProof/>
          <w:sz w:val="20"/>
          <w:lang w:eastAsia="en-AU"/>
        </w:rPr>
        <w:drawing>
          <wp:inline distT="0" distB="0" distL="0" distR="0" wp14:anchorId="1BF3FDFB" wp14:editId="3015C1BF">
            <wp:extent cx="1247775" cy="2133600"/>
            <wp:effectExtent l="0" t="0" r="9525" b="0"/>
            <wp:docPr id="36" name="image15.jpeg" descr="Photo of Pre-weighed filter in labelled bottle.&#10;" title="Method of filtering suspended soli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5.jpeg"/>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1247775" cy="2133600"/>
                    </a:xfrm>
                    <a:prstGeom prst="rect">
                      <a:avLst/>
                    </a:prstGeom>
                    <a:noFill/>
                    <a:ln>
                      <a:noFill/>
                    </a:ln>
                  </pic:spPr>
                </pic:pic>
              </a:graphicData>
            </a:graphic>
          </wp:inline>
        </w:drawing>
      </w:r>
    </w:p>
    <w:p w14:paraId="7834F82E" w14:textId="77777777" w:rsidR="0031675F" w:rsidRPr="0031675F" w:rsidRDefault="0031675F" w:rsidP="0031675F">
      <w:pPr>
        <w:tabs>
          <w:tab w:val="left" w:pos="5159"/>
        </w:tabs>
        <w:spacing w:before="51" w:after="120"/>
      </w:pPr>
      <w:r w:rsidRPr="0031675F">
        <w:rPr>
          <w:spacing w:val="-1"/>
        </w:rPr>
        <w:t xml:space="preserve">Fig </w:t>
      </w:r>
      <w:r w:rsidRPr="0031675F">
        <w:t>1:</w:t>
      </w:r>
      <w:r w:rsidRPr="0031675F">
        <w:rPr>
          <w:spacing w:val="48"/>
        </w:rPr>
        <w:t xml:space="preserve"> </w:t>
      </w:r>
      <w:r w:rsidRPr="0031675F">
        <w:rPr>
          <w:spacing w:val="-1"/>
        </w:rPr>
        <w:t>25</w:t>
      </w:r>
      <w:r w:rsidRPr="0031675F">
        <w:rPr>
          <w:spacing w:val="-2"/>
        </w:rPr>
        <w:t xml:space="preserve"> </w:t>
      </w:r>
      <w:r w:rsidRPr="0031675F">
        <w:t>mm</w:t>
      </w:r>
      <w:r w:rsidRPr="0031675F">
        <w:rPr>
          <w:spacing w:val="-2"/>
        </w:rPr>
        <w:t xml:space="preserve"> </w:t>
      </w:r>
      <w:r w:rsidRPr="0031675F">
        <w:t>and</w:t>
      </w:r>
      <w:r w:rsidRPr="0031675F">
        <w:rPr>
          <w:spacing w:val="-2"/>
        </w:rPr>
        <w:t xml:space="preserve"> </w:t>
      </w:r>
      <w:r w:rsidRPr="0031675F">
        <w:rPr>
          <w:spacing w:val="-1"/>
        </w:rPr>
        <w:t>47</w:t>
      </w:r>
      <w:r w:rsidRPr="0031675F">
        <w:rPr>
          <w:spacing w:val="-2"/>
        </w:rPr>
        <w:t xml:space="preserve"> </w:t>
      </w:r>
      <w:r w:rsidRPr="0031675F">
        <w:rPr>
          <w:spacing w:val="-1"/>
        </w:rPr>
        <w:t>mm</w:t>
      </w:r>
      <w:r w:rsidRPr="0031675F">
        <w:rPr>
          <w:spacing w:val="1"/>
        </w:rPr>
        <w:t xml:space="preserve"> </w:t>
      </w:r>
      <w:r w:rsidRPr="0031675F">
        <w:rPr>
          <w:spacing w:val="-1"/>
        </w:rPr>
        <w:t>filter</w:t>
      </w:r>
      <w:r w:rsidRPr="0031675F">
        <w:t xml:space="preserve"> </w:t>
      </w:r>
      <w:r w:rsidRPr="0031675F">
        <w:rPr>
          <w:spacing w:val="-1"/>
        </w:rPr>
        <w:t>bases</w:t>
      </w:r>
      <w:r w:rsidRPr="0031675F">
        <w:rPr>
          <w:spacing w:val="-1"/>
        </w:rPr>
        <w:tab/>
        <w:t xml:space="preserve">Fig </w:t>
      </w:r>
      <w:r w:rsidRPr="0031675F">
        <w:t>2:</w:t>
      </w:r>
      <w:r w:rsidRPr="0031675F">
        <w:rPr>
          <w:spacing w:val="49"/>
        </w:rPr>
        <w:t xml:space="preserve"> </w:t>
      </w:r>
      <w:r w:rsidRPr="0031675F">
        <w:rPr>
          <w:spacing w:val="-1"/>
        </w:rPr>
        <w:t>Pre-weighed</w:t>
      </w:r>
      <w:r w:rsidRPr="0031675F">
        <w:rPr>
          <w:spacing w:val="-3"/>
        </w:rPr>
        <w:t xml:space="preserve"> </w:t>
      </w:r>
      <w:r w:rsidRPr="0031675F">
        <w:rPr>
          <w:spacing w:val="-1"/>
        </w:rPr>
        <w:t>filter</w:t>
      </w:r>
      <w:r w:rsidRPr="0031675F">
        <w:rPr>
          <w:spacing w:val="1"/>
        </w:rPr>
        <w:t xml:space="preserve"> </w:t>
      </w:r>
      <w:r w:rsidRPr="0031675F">
        <w:t>in</w:t>
      </w:r>
      <w:r w:rsidRPr="0031675F">
        <w:rPr>
          <w:spacing w:val="-6"/>
        </w:rPr>
        <w:t xml:space="preserve"> </w:t>
      </w:r>
      <w:r w:rsidRPr="0031675F">
        <w:rPr>
          <w:spacing w:val="-1"/>
        </w:rPr>
        <w:t>labelled bottle.</w:t>
      </w:r>
    </w:p>
    <w:p w14:paraId="2321EC6E" w14:textId="77777777" w:rsidR="0031675F" w:rsidRPr="0031675F" w:rsidRDefault="0031675F" w:rsidP="0031675F">
      <w:pPr>
        <w:spacing w:before="1"/>
        <w:rPr>
          <w:rFonts w:cs="Calibri"/>
          <w:sz w:val="5"/>
          <w:szCs w:val="5"/>
        </w:rPr>
      </w:pPr>
    </w:p>
    <w:p w14:paraId="67780B34" w14:textId="733A9FAE" w:rsidR="0031675F" w:rsidRPr="0031675F" w:rsidRDefault="0031675F" w:rsidP="0031675F">
      <w:pPr>
        <w:tabs>
          <w:tab w:val="left" w:pos="4468"/>
        </w:tabs>
        <w:spacing w:line="200" w:lineRule="atLeast"/>
        <w:ind w:left="508"/>
        <w:rPr>
          <w:rFonts w:cs="Calibri"/>
          <w:sz w:val="20"/>
          <w:szCs w:val="20"/>
        </w:rPr>
      </w:pPr>
      <w:r w:rsidRPr="0031675F">
        <w:rPr>
          <w:noProof/>
          <w:sz w:val="20"/>
          <w:lang w:eastAsia="en-AU"/>
        </w:rPr>
        <w:drawing>
          <wp:inline distT="0" distB="0" distL="0" distR="0" wp14:anchorId="4EEF344D" wp14:editId="7BE6EAFE">
            <wp:extent cx="1933575" cy="2905125"/>
            <wp:effectExtent l="0" t="0" r="9525" b="9525"/>
            <wp:docPr id="37" name="image16.jpeg" descr="Photo of placing a pre-weighed PC 47 mm filter from a numbered vial on the base.&#10; " title="Method of filtering suspended soli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6.jpeg"/>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1933575" cy="2905125"/>
                    </a:xfrm>
                    <a:prstGeom prst="rect">
                      <a:avLst/>
                    </a:prstGeom>
                    <a:noFill/>
                    <a:ln>
                      <a:noFill/>
                    </a:ln>
                  </pic:spPr>
                </pic:pic>
              </a:graphicData>
            </a:graphic>
          </wp:inline>
        </w:drawing>
      </w:r>
      <w:r w:rsidRPr="0031675F">
        <w:rPr>
          <w:sz w:val="20"/>
        </w:rPr>
        <w:tab/>
      </w:r>
      <w:r w:rsidRPr="0031675F">
        <w:rPr>
          <w:noProof/>
          <w:sz w:val="20"/>
          <w:lang w:eastAsia="en-AU"/>
        </w:rPr>
        <w:drawing>
          <wp:inline distT="0" distB="0" distL="0" distR="0" wp14:anchorId="74859ED9" wp14:editId="67EDFD27">
            <wp:extent cx="1933575" cy="2895600"/>
            <wp:effectExtent l="0" t="0" r="9525" b="0"/>
            <wp:docPr id="38" name="image17.jpeg" descr="Photo of clamp on a funnel with a black filter clamp." title="Method of filtering suspended soli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jpeg"/>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933575" cy="2895600"/>
                    </a:xfrm>
                    <a:prstGeom prst="rect">
                      <a:avLst/>
                    </a:prstGeom>
                    <a:noFill/>
                    <a:ln>
                      <a:noFill/>
                    </a:ln>
                  </pic:spPr>
                </pic:pic>
              </a:graphicData>
            </a:graphic>
          </wp:inline>
        </w:drawing>
      </w:r>
    </w:p>
    <w:p w14:paraId="0352C287" w14:textId="1F10882C" w:rsidR="0031675F" w:rsidRPr="0031675F" w:rsidRDefault="0031675F" w:rsidP="0074140C">
      <w:pPr>
        <w:tabs>
          <w:tab w:val="left" w:pos="4439"/>
        </w:tabs>
        <w:spacing w:before="59" w:after="120"/>
        <w:ind w:left="720" w:right="-8" w:hanging="720"/>
      </w:pPr>
      <w:r w:rsidRPr="0031675F">
        <w:rPr>
          <w:spacing w:val="-1"/>
        </w:rPr>
        <w:t xml:space="preserve">Fig </w:t>
      </w:r>
      <w:r w:rsidRPr="0031675F">
        <w:t>3:</w:t>
      </w:r>
      <w:r w:rsidRPr="0031675F">
        <w:rPr>
          <w:spacing w:val="48"/>
        </w:rPr>
        <w:t xml:space="preserve"> </w:t>
      </w:r>
      <w:r w:rsidRPr="0031675F">
        <w:rPr>
          <w:spacing w:val="-1"/>
        </w:rPr>
        <w:t>Placing</w:t>
      </w:r>
      <w:r w:rsidR="0074140C">
        <w:rPr>
          <w:spacing w:val="-1"/>
        </w:rPr>
        <w:t xml:space="preserve"> </w:t>
      </w:r>
      <w:r w:rsidR="0074140C" w:rsidRPr="0031675F">
        <w:rPr>
          <w:spacing w:val="-1"/>
        </w:rPr>
        <w:t>filter</w:t>
      </w:r>
      <w:r w:rsidR="0074140C" w:rsidRPr="0031675F">
        <w:rPr>
          <w:spacing w:val="-2"/>
        </w:rPr>
        <w:t xml:space="preserve"> </w:t>
      </w:r>
      <w:r w:rsidR="0074140C" w:rsidRPr="0031675F">
        <w:t>on</w:t>
      </w:r>
      <w:r w:rsidR="0074140C" w:rsidRPr="0031675F">
        <w:rPr>
          <w:spacing w:val="-1"/>
        </w:rPr>
        <w:t xml:space="preserve"> base.</w:t>
      </w:r>
      <w:r w:rsidRPr="0031675F">
        <w:rPr>
          <w:spacing w:val="-1"/>
        </w:rPr>
        <w:tab/>
        <w:t xml:space="preserve">Fig </w:t>
      </w:r>
      <w:r w:rsidRPr="0031675F">
        <w:t>4:</w:t>
      </w:r>
      <w:r w:rsidRPr="0031675F">
        <w:rPr>
          <w:spacing w:val="-2"/>
        </w:rPr>
        <w:t xml:space="preserve"> </w:t>
      </w:r>
      <w:r w:rsidR="0074140C">
        <w:rPr>
          <w:spacing w:val="-2"/>
        </w:rPr>
        <w:t>Clamp on a funnell</w:t>
      </w:r>
    </w:p>
    <w:p w14:paraId="18FD7975" w14:textId="77777777" w:rsidR="0031675F" w:rsidRPr="0031675F" w:rsidRDefault="0031675F" w:rsidP="0031675F">
      <w:pPr>
        <w:spacing w:before="12"/>
        <w:rPr>
          <w:rFonts w:cs="Calibri"/>
          <w:sz w:val="26"/>
          <w:szCs w:val="26"/>
        </w:rPr>
      </w:pPr>
    </w:p>
    <w:p w14:paraId="4F292AC3" w14:textId="77777777" w:rsidR="0031675F" w:rsidRPr="0031675F" w:rsidRDefault="0031675F" w:rsidP="0031675F">
      <w:pPr>
        <w:widowControl w:val="0"/>
        <w:numPr>
          <w:ilvl w:val="1"/>
          <w:numId w:val="75"/>
        </w:numPr>
        <w:tabs>
          <w:tab w:val="left" w:pos="839"/>
        </w:tabs>
        <w:spacing w:before="0" w:after="0" w:line="240" w:lineRule="auto"/>
      </w:pPr>
      <w:r w:rsidRPr="0031675F">
        <w:rPr>
          <w:spacing w:val="-1"/>
        </w:rPr>
        <w:t>Turn</w:t>
      </w:r>
      <w:r w:rsidRPr="0031675F">
        <w:rPr>
          <w:spacing w:val="-2"/>
        </w:rPr>
        <w:t xml:space="preserve"> </w:t>
      </w:r>
      <w:r w:rsidRPr="0031675F">
        <w:t>on</w:t>
      </w:r>
      <w:r w:rsidRPr="0031675F">
        <w:rPr>
          <w:spacing w:val="-1"/>
        </w:rPr>
        <w:t xml:space="preserve"> </w:t>
      </w:r>
      <w:r w:rsidRPr="0031675F">
        <w:rPr>
          <w:spacing w:val="-2"/>
        </w:rPr>
        <w:t>the</w:t>
      </w:r>
      <w:r w:rsidRPr="0031675F">
        <w:t xml:space="preserve"> </w:t>
      </w:r>
      <w:r w:rsidRPr="0031675F">
        <w:rPr>
          <w:spacing w:val="-1"/>
        </w:rPr>
        <w:t>vacuum</w:t>
      </w:r>
      <w:r w:rsidRPr="0031675F">
        <w:rPr>
          <w:spacing w:val="-2"/>
        </w:rPr>
        <w:t xml:space="preserve"> </w:t>
      </w:r>
      <w:r w:rsidRPr="0031675F">
        <w:rPr>
          <w:spacing w:val="-1"/>
        </w:rPr>
        <w:t>pump,</w:t>
      </w:r>
      <w:r w:rsidRPr="0031675F">
        <w:rPr>
          <w:spacing w:val="-3"/>
        </w:rPr>
        <w:t xml:space="preserve"> </w:t>
      </w:r>
      <w:r w:rsidRPr="0031675F">
        <w:t>creating</w:t>
      </w:r>
      <w:r w:rsidRPr="0031675F">
        <w:rPr>
          <w:spacing w:val="-2"/>
        </w:rPr>
        <w:t xml:space="preserve"> </w:t>
      </w:r>
      <w:r w:rsidRPr="0031675F">
        <w:rPr>
          <w:spacing w:val="-1"/>
        </w:rPr>
        <w:t>suction</w:t>
      </w:r>
      <w:r w:rsidRPr="0031675F">
        <w:rPr>
          <w:spacing w:val="-3"/>
        </w:rPr>
        <w:t xml:space="preserve"> </w:t>
      </w:r>
      <w:r w:rsidRPr="0031675F">
        <w:rPr>
          <w:spacing w:val="-1"/>
        </w:rPr>
        <w:t>through the</w:t>
      </w:r>
      <w:r w:rsidRPr="0031675F">
        <w:t xml:space="preserve"> </w:t>
      </w:r>
      <w:r w:rsidRPr="0031675F">
        <w:rPr>
          <w:spacing w:val="-1"/>
        </w:rPr>
        <w:t>filtration units</w:t>
      </w:r>
    </w:p>
    <w:p w14:paraId="795A6097" w14:textId="07B72C16" w:rsidR="0031675F" w:rsidRPr="0031675F" w:rsidRDefault="0031675F" w:rsidP="0031675F">
      <w:pPr>
        <w:widowControl w:val="0"/>
        <w:numPr>
          <w:ilvl w:val="1"/>
          <w:numId w:val="75"/>
        </w:numPr>
        <w:tabs>
          <w:tab w:val="left" w:pos="839"/>
        </w:tabs>
        <w:spacing w:before="58" w:after="0" w:line="240" w:lineRule="auto"/>
        <w:ind w:right="110"/>
        <w:jc w:val="both"/>
      </w:pPr>
      <w:r w:rsidRPr="0031675F">
        <w:rPr>
          <w:spacing w:val="-1"/>
        </w:rPr>
        <w:t>Using</w:t>
      </w:r>
      <w:r w:rsidRPr="0031675F">
        <w:t xml:space="preserve"> a</w:t>
      </w:r>
      <w:r w:rsidRPr="0031675F">
        <w:rPr>
          <w:spacing w:val="1"/>
        </w:rPr>
        <w:t xml:space="preserve"> </w:t>
      </w:r>
      <w:r w:rsidRPr="0031675F">
        <w:rPr>
          <w:spacing w:val="-1"/>
        </w:rPr>
        <w:t>clean</w:t>
      </w:r>
      <w:r w:rsidRPr="0031675F">
        <w:t xml:space="preserve"> </w:t>
      </w:r>
      <w:r w:rsidRPr="0031675F">
        <w:rPr>
          <w:spacing w:val="-1"/>
        </w:rPr>
        <w:t>stirrer,</w:t>
      </w:r>
      <w:r w:rsidRPr="0031675F">
        <w:rPr>
          <w:spacing w:val="47"/>
        </w:rPr>
        <w:t xml:space="preserve"> </w:t>
      </w:r>
      <w:r w:rsidRPr="0031675F">
        <w:rPr>
          <w:spacing w:val="-1"/>
        </w:rPr>
        <w:t>thoroughly</w:t>
      </w:r>
      <w:r w:rsidRPr="0031675F">
        <w:rPr>
          <w:spacing w:val="49"/>
        </w:rPr>
        <w:t xml:space="preserve"> </w:t>
      </w:r>
      <w:r w:rsidRPr="0031675F">
        <w:t>mix</w:t>
      </w:r>
      <w:r w:rsidRPr="0031675F">
        <w:rPr>
          <w:spacing w:val="48"/>
        </w:rPr>
        <w:t xml:space="preserve"> </w:t>
      </w:r>
      <w:r w:rsidRPr="0031675F">
        <w:rPr>
          <w:spacing w:val="-1"/>
        </w:rPr>
        <w:t>up</w:t>
      </w:r>
      <w:r w:rsidRPr="0031675F">
        <w:t xml:space="preserve">  the</w:t>
      </w:r>
      <w:r w:rsidRPr="0031675F">
        <w:rPr>
          <w:spacing w:val="48"/>
        </w:rPr>
        <w:t xml:space="preserve"> </w:t>
      </w:r>
      <w:r w:rsidRPr="0031675F">
        <w:rPr>
          <w:spacing w:val="-1"/>
        </w:rPr>
        <w:t>water</w:t>
      </w:r>
      <w:r w:rsidRPr="0031675F">
        <w:rPr>
          <w:spacing w:val="49"/>
        </w:rPr>
        <w:t xml:space="preserve"> </w:t>
      </w:r>
      <w:r w:rsidRPr="0031675F">
        <w:rPr>
          <w:spacing w:val="-1"/>
        </w:rPr>
        <w:t>sample</w:t>
      </w:r>
      <w:r w:rsidRPr="0031675F">
        <w:rPr>
          <w:spacing w:val="1"/>
        </w:rPr>
        <w:t xml:space="preserve"> </w:t>
      </w:r>
      <w:r w:rsidRPr="0031675F">
        <w:t xml:space="preserve">in  </w:t>
      </w:r>
      <w:r w:rsidRPr="0031675F">
        <w:rPr>
          <w:spacing w:val="-1"/>
        </w:rPr>
        <w:t>the</w:t>
      </w:r>
      <w:r w:rsidRPr="0031675F">
        <w:rPr>
          <w:spacing w:val="1"/>
        </w:rPr>
        <w:t xml:space="preserve"> </w:t>
      </w:r>
      <w:r w:rsidRPr="0031675F">
        <w:rPr>
          <w:spacing w:val="-1"/>
        </w:rPr>
        <w:t>bucket</w:t>
      </w:r>
      <w:r w:rsidRPr="0031675F">
        <w:rPr>
          <w:spacing w:val="49"/>
        </w:rPr>
        <w:t xml:space="preserve"> </w:t>
      </w:r>
      <w:r w:rsidRPr="0031675F">
        <w:t xml:space="preserve">to  </w:t>
      </w:r>
      <w:r w:rsidRPr="0031675F">
        <w:rPr>
          <w:spacing w:val="-1"/>
        </w:rPr>
        <w:t>ensure</w:t>
      </w:r>
      <w:r w:rsidRPr="0031675F">
        <w:rPr>
          <w:spacing w:val="48"/>
        </w:rPr>
        <w:t xml:space="preserve"> </w:t>
      </w:r>
      <w:r w:rsidRPr="0031675F">
        <w:t>the</w:t>
      </w:r>
      <w:r w:rsidRPr="0031675F">
        <w:rPr>
          <w:spacing w:val="43"/>
        </w:rPr>
        <w:t xml:space="preserve"> </w:t>
      </w:r>
      <w:r w:rsidRPr="0031675F">
        <w:rPr>
          <w:spacing w:val="-1"/>
        </w:rPr>
        <w:t>sediment</w:t>
      </w:r>
      <w:r w:rsidRPr="0031675F">
        <w:rPr>
          <w:spacing w:val="10"/>
        </w:rPr>
        <w:t xml:space="preserve"> </w:t>
      </w:r>
      <w:r w:rsidRPr="0031675F">
        <w:t>is</w:t>
      </w:r>
      <w:r w:rsidRPr="0031675F">
        <w:rPr>
          <w:spacing w:val="9"/>
        </w:rPr>
        <w:t xml:space="preserve"> </w:t>
      </w:r>
      <w:r w:rsidRPr="0031675F">
        <w:rPr>
          <w:spacing w:val="-1"/>
        </w:rPr>
        <w:t>evenly</w:t>
      </w:r>
      <w:r w:rsidRPr="0031675F">
        <w:rPr>
          <w:spacing w:val="10"/>
        </w:rPr>
        <w:t xml:space="preserve"> </w:t>
      </w:r>
      <w:r w:rsidRPr="0031675F">
        <w:rPr>
          <w:spacing w:val="-1"/>
        </w:rPr>
        <w:t>dispersed,</w:t>
      </w:r>
      <w:r w:rsidRPr="0031675F">
        <w:rPr>
          <w:spacing w:val="9"/>
        </w:rPr>
        <w:t xml:space="preserve"> </w:t>
      </w:r>
      <w:r w:rsidRPr="0031675F">
        <w:t>then</w:t>
      </w:r>
      <w:r w:rsidRPr="0031675F">
        <w:rPr>
          <w:spacing w:val="11"/>
        </w:rPr>
        <w:t xml:space="preserve"> </w:t>
      </w:r>
      <w:r w:rsidRPr="0031675F">
        <w:rPr>
          <w:spacing w:val="-1"/>
          <w:u w:val="single" w:color="000000"/>
        </w:rPr>
        <w:t>immediatel</w:t>
      </w:r>
      <w:r w:rsidRPr="0031675F">
        <w:rPr>
          <w:spacing w:val="-1"/>
        </w:rPr>
        <w:t>y</w:t>
      </w:r>
      <w:r w:rsidRPr="0031675F">
        <w:rPr>
          <w:spacing w:val="8"/>
        </w:rPr>
        <w:t xml:space="preserve"> </w:t>
      </w:r>
      <w:r w:rsidRPr="0031675F">
        <w:rPr>
          <w:spacing w:val="-1"/>
        </w:rPr>
        <w:t>measure</w:t>
      </w:r>
      <w:r w:rsidRPr="0031675F">
        <w:rPr>
          <w:spacing w:val="10"/>
        </w:rPr>
        <w:t xml:space="preserve"> </w:t>
      </w:r>
      <w:r w:rsidRPr="0031675F">
        <w:rPr>
          <w:spacing w:val="-1"/>
        </w:rPr>
        <w:t>100</w:t>
      </w:r>
      <w:r w:rsidR="00BB13FD">
        <w:rPr>
          <w:spacing w:val="-1"/>
        </w:rPr>
        <w:t xml:space="preserve"> </w:t>
      </w:r>
      <w:r w:rsidRPr="0031675F">
        <w:rPr>
          <w:spacing w:val="-1"/>
        </w:rPr>
        <w:t>m</w:t>
      </w:r>
      <w:r w:rsidR="00BB13FD">
        <w:rPr>
          <w:spacing w:val="-1"/>
        </w:rPr>
        <w:t>L</w:t>
      </w:r>
      <w:r w:rsidRPr="0031675F">
        <w:rPr>
          <w:spacing w:val="7"/>
        </w:rPr>
        <w:t xml:space="preserve"> </w:t>
      </w:r>
      <w:r w:rsidRPr="0031675F">
        <w:t>of</w:t>
      </w:r>
      <w:r w:rsidRPr="0031675F">
        <w:rPr>
          <w:spacing w:val="9"/>
        </w:rPr>
        <w:t xml:space="preserve"> </w:t>
      </w:r>
      <w:r w:rsidRPr="0031675F">
        <w:rPr>
          <w:spacing w:val="-1"/>
        </w:rPr>
        <w:t>collected</w:t>
      </w:r>
      <w:r w:rsidRPr="0031675F">
        <w:rPr>
          <w:spacing w:val="9"/>
        </w:rPr>
        <w:t xml:space="preserve"> </w:t>
      </w:r>
      <w:r w:rsidRPr="0031675F">
        <w:rPr>
          <w:spacing w:val="-1"/>
        </w:rPr>
        <w:t>water</w:t>
      </w:r>
      <w:r w:rsidRPr="0031675F">
        <w:rPr>
          <w:spacing w:val="9"/>
        </w:rPr>
        <w:t xml:space="preserve"> </w:t>
      </w:r>
      <w:r w:rsidRPr="0031675F">
        <w:rPr>
          <w:spacing w:val="-1"/>
        </w:rPr>
        <w:t>using</w:t>
      </w:r>
      <w:r w:rsidRPr="0031675F">
        <w:rPr>
          <w:spacing w:val="9"/>
        </w:rPr>
        <w:t xml:space="preserve"> </w:t>
      </w:r>
      <w:r w:rsidRPr="0031675F">
        <w:t>the</w:t>
      </w:r>
      <w:r w:rsidRPr="0031675F">
        <w:rPr>
          <w:spacing w:val="35"/>
        </w:rPr>
        <w:t xml:space="preserve"> </w:t>
      </w:r>
      <w:r w:rsidRPr="0031675F">
        <w:rPr>
          <w:spacing w:val="-1"/>
        </w:rPr>
        <w:t>measuring</w:t>
      </w:r>
      <w:r w:rsidRPr="0031675F">
        <w:rPr>
          <w:spacing w:val="37"/>
        </w:rPr>
        <w:t xml:space="preserve"> </w:t>
      </w:r>
      <w:r w:rsidRPr="0031675F">
        <w:rPr>
          <w:spacing w:val="-1"/>
        </w:rPr>
        <w:t>cylinder</w:t>
      </w:r>
      <w:r w:rsidRPr="0031675F">
        <w:rPr>
          <w:spacing w:val="39"/>
        </w:rPr>
        <w:t xml:space="preserve"> </w:t>
      </w:r>
      <w:r w:rsidRPr="0031675F">
        <w:rPr>
          <w:spacing w:val="-1"/>
        </w:rPr>
        <w:t>and</w:t>
      </w:r>
      <w:r w:rsidRPr="0031675F">
        <w:rPr>
          <w:spacing w:val="38"/>
        </w:rPr>
        <w:t xml:space="preserve"> </w:t>
      </w:r>
      <w:r w:rsidRPr="0031675F">
        <w:rPr>
          <w:spacing w:val="-1"/>
        </w:rPr>
        <w:t>pour</w:t>
      </w:r>
      <w:r w:rsidRPr="0031675F">
        <w:rPr>
          <w:spacing w:val="37"/>
        </w:rPr>
        <w:t xml:space="preserve"> </w:t>
      </w:r>
      <w:r w:rsidRPr="0031675F">
        <w:rPr>
          <w:spacing w:val="-1"/>
        </w:rPr>
        <w:t>into</w:t>
      </w:r>
      <w:r w:rsidRPr="0031675F">
        <w:rPr>
          <w:spacing w:val="40"/>
        </w:rPr>
        <w:t xml:space="preserve"> </w:t>
      </w:r>
      <w:r w:rsidRPr="0031675F">
        <w:rPr>
          <w:spacing w:val="-1"/>
        </w:rPr>
        <w:t>one</w:t>
      </w:r>
      <w:r w:rsidRPr="0031675F">
        <w:rPr>
          <w:spacing w:val="39"/>
        </w:rPr>
        <w:t xml:space="preserve"> </w:t>
      </w:r>
      <w:r w:rsidRPr="0031675F">
        <w:rPr>
          <w:spacing w:val="-1"/>
        </w:rPr>
        <w:t>filter</w:t>
      </w:r>
      <w:r w:rsidRPr="0031675F">
        <w:rPr>
          <w:spacing w:val="39"/>
        </w:rPr>
        <w:t xml:space="preserve"> </w:t>
      </w:r>
      <w:r w:rsidRPr="0031675F">
        <w:rPr>
          <w:spacing w:val="-1"/>
        </w:rPr>
        <w:t>funnel,</w:t>
      </w:r>
      <w:r w:rsidRPr="0031675F">
        <w:rPr>
          <w:spacing w:val="35"/>
        </w:rPr>
        <w:t xml:space="preserve"> </w:t>
      </w:r>
      <w:r w:rsidRPr="0031675F">
        <w:t>repeat</w:t>
      </w:r>
      <w:r w:rsidRPr="0031675F">
        <w:rPr>
          <w:spacing w:val="36"/>
        </w:rPr>
        <w:t xml:space="preserve"> </w:t>
      </w:r>
      <w:r w:rsidRPr="0031675F">
        <w:rPr>
          <w:spacing w:val="-1"/>
        </w:rPr>
        <w:t>for</w:t>
      </w:r>
      <w:r w:rsidRPr="0031675F">
        <w:rPr>
          <w:spacing w:val="36"/>
        </w:rPr>
        <w:t xml:space="preserve"> </w:t>
      </w:r>
      <w:r w:rsidRPr="0031675F">
        <w:rPr>
          <w:spacing w:val="-1"/>
        </w:rPr>
        <w:t>other</w:t>
      </w:r>
      <w:r w:rsidRPr="0031675F">
        <w:rPr>
          <w:spacing w:val="38"/>
        </w:rPr>
        <w:t xml:space="preserve"> </w:t>
      </w:r>
      <w:r w:rsidRPr="0031675F">
        <w:rPr>
          <w:spacing w:val="-1"/>
        </w:rPr>
        <w:t>filtration</w:t>
      </w:r>
      <w:r w:rsidRPr="0031675F">
        <w:rPr>
          <w:spacing w:val="38"/>
        </w:rPr>
        <w:t xml:space="preserve"> </w:t>
      </w:r>
      <w:r w:rsidRPr="0031675F">
        <w:rPr>
          <w:spacing w:val="-1"/>
        </w:rPr>
        <w:t>unit.</w:t>
      </w:r>
      <w:r w:rsidRPr="0031675F">
        <w:rPr>
          <w:spacing w:val="38"/>
        </w:rPr>
        <w:t xml:space="preserve"> </w:t>
      </w:r>
      <w:r w:rsidRPr="0031675F">
        <w:t>If</w:t>
      </w:r>
      <w:r w:rsidRPr="0031675F">
        <w:rPr>
          <w:spacing w:val="38"/>
        </w:rPr>
        <w:t xml:space="preserve"> </w:t>
      </w:r>
      <w:r w:rsidRPr="0031675F">
        <w:t>the</w:t>
      </w:r>
      <w:r w:rsidRPr="0031675F">
        <w:rPr>
          <w:spacing w:val="55"/>
        </w:rPr>
        <w:t xml:space="preserve"> </w:t>
      </w:r>
      <w:r w:rsidRPr="0031675F">
        <w:t>water</w:t>
      </w:r>
      <w:r w:rsidRPr="0031675F">
        <w:rPr>
          <w:spacing w:val="22"/>
        </w:rPr>
        <w:t xml:space="preserve"> </w:t>
      </w:r>
      <w:r w:rsidRPr="0031675F">
        <w:t>is</w:t>
      </w:r>
      <w:r w:rsidRPr="0031675F">
        <w:rPr>
          <w:spacing w:val="21"/>
        </w:rPr>
        <w:t xml:space="preserve"> </w:t>
      </w:r>
      <w:r w:rsidRPr="0031675F">
        <w:rPr>
          <w:spacing w:val="-1"/>
        </w:rPr>
        <w:t>particularly</w:t>
      </w:r>
      <w:r w:rsidRPr="0031675F">
        <w:rPr>
          <w:spacing w:val="22"/>
        </w:rPr>
        <w:t xml:space="preserve"> </w:t>
      </w:r>
      <w:r w:rsidRPr="0031675F">
        <w:rPr>
          <w:spacing w:val="-1"/>
        </w:rPr>
        <w:t>turbid</w:t>
      </w:r>
      <w:r w:rsidRPr="0031675F">
        <w:rPr>
          <w:spacing w:val="20"/>
        </w:rPr>
        <w:t xml:space="preserve"> </w:t>
      </w:r>
      <w:r w:rsidRPr="0031675F">
        <w:t>it</w:t>
      </w:r>
      <w:r w:rsidRPr="0031675F">
        <w:rPr>
          <w:spacing w:val="21"/>
        </w:rPr>
        <w:t xml:space="preserve"> </w:t>
      </w:r>
      <w:r w:rsidRPr="0031675F">
        <w:t>may</w:t>
      </w:r>
      <w:r w:rsidRPr="0031675F">
        <w:rPr>
          <w:spacing w:val="22"/>
        </w:rPr>
        <w:t xml:space="preserve"> </w:t>
      </w:r>
      <w:r w:rsidRPr="0031675F">
        <w:rPr>
          <w:spacing w:val="-1"/>
        </w:rPr>
        <w:t>be</w:t>
      </w:r>
      <w:r w:rsidRPr="0031675F">
        <w:rPr>
          <w:spacing w:val="24"/>
        </w:rPr>
        <w:t xml:space="preserve"> </w:t>
      </w:r>
      <w:r w:rsidRPr="0031675F">
        <w:rPr>
          <w:spacing w:val="-1"/>
        </w:rPr>
        <w:t>necessary</w:t>
      </w:r>
      <w:r w:rsidRPr="0031675F">
        <w:rPr>
          <w:spacing w:val="22"/>
        </w:rPr>
        <w:t xml:space="preserve"> </w:t>
      </w:r>
      <w:r w:rsidRPr="0031675F">
        <w:rPr>
          <w:spacing w:val="-1"/>
        </w:rPr>
        <w:t>to</w:t>
      </w:r>
      <w:r w:rsidRPr="0031675F">
        <w:rPr>
          <w:spacing w:val="23"/>
        </w:rPr>
        <w:t xml:space="preserve"> </w:t>
      </w:r>
      <w:r w:rsidRPr="0031675F">
        <w:rPr>
          <w:spacing w:val="-1"/>
        </w:rPr>
        <w:t>reduce</w:t>
      </w:r>
      <w:r w:rsidRPr="0031675F">
        <w:rPr>
          <w:spacing w:val="22"/>
        </w:rPr>
        <w:t xml:space="preserve"> </w:t>
      </w:r>
      <w:r w:rsidRPr="0031675F">
        <w:t>the</w:t>
      </w:r>
      <w:r w:rsidRPr="0031675F">
        <w:rPr>
          <w:spacing w:val="22"/>
        </w:rPr>
        <w:t xml:space="preserve"> </w:t>
      </w:r>
      <w:r w:rsidRPr="0031675F">
        <w:rPr>
          <w:spacing w:val="-1"/>
        </w:rPr>
        <w:t>amount</w:t>
      </w:r>
      <w:r w:rsidRPr="0031675F">
        <w:rPr>
          <w:spacing w:val="22"/>
        </w:rPr>
        <w:t xml:space="preserve"> </w:t>
      </w:r>
      <w:r w:rsidRPr="0031675F">
        <w:rPr>
          <w:spacing w:val="-1"/>
        </w:rPr>
        <w:t>filtered</w:t>
      </w:r>
      <w:r w:rsidRPr="0031675F">
        <w:rPr>
          <w:spacing w:val="21"/>
        </w:rPr>
        <w:t xml:space="preserve"> </w:t>
      </w:r>
      <w:r w:rsidRPr="0031675F">
        <w:rPr>
          <w:spacing w:val="-1"/>
        </w:rPr>
        <w:t>(ie</w:t>
      </w:r>
      <w:r w:rsidRPr="0031675F">
        <w:rPr>
          <w:spacing w:val="22"/>
        </w:rPr>
        <w:t xml:space="preserve"> </w:t>
      </w:r>
      <w:r w:rsidRPr="0031675F">
        <w:t>10-20</w:t>
      </w:r>
      <w:r w:rsidRPr="0031675F">
        <w:rPr>
          <w:spacing w:val="20"/>
        </w:rPr>
        <w:t xml:space="preserve"> </w:t>
      </w:r>
      <w:r w:rsidR="00BB13FD">
        <w:t>mL</w:t>
      </w:r>
      <w:r w:rsidRPr="0031675F">
        <w:rPr>
          <w:spacing w:val="55"/>
        </w:rPr>
        <w:t xml:space="preserve"> </w:t>
      </w:r>
      <w:r w:rsidRPr="0031675F">
        <w:rPr>
          <w:spacing w:val="-1"/>
        </w:rPr>
        <w:t xml:space="preserve">instead </w:t>
      </w:r>
      <w:r w:rsidRPr="0031675F">
        <w:t>of</w:t>
      </w:r>
      <w:r w:rsidRPr="0031675F">
        <w:rPr>
          <w:spacing w:val="-3"/>
        </w:rPr>
        <w:t xml:space="preserve"> </w:t>
      </w:r>
      <w:r w:rsidRPr="0031675F">
        <w:rPr>
          <w:spacing w:val="-1"/>
        </w:rPr>
        <w:t>100</w:t>
      </w:r>
      <w:r w:rsidR="00BB13FD">
        <w:rPr>
          <w:spacing w:val="-1"/>
        </w:rPr>
        <w:t xml:space="preserve"> mL</w:t>
      </w:r>
      <w:r w:rsidRPr="0031675F">
        <w:rPr>
          <w:spacing w:val="-2"/>
        </w:rPr>
        <w:t xml:space="preserve"> </w:t>
      </w:r>
      <w:r w:rsidRPr="0031675F">
        <w:rPr>
          <w:spacing w:val="-1"/>
        </w:rPr>
        <w:t>etc).</w:t>
      </w:r>
      <w:r w:rsidRPr="0031675F">
        <w:rPr>
          <w:spacing w:val="47"/>
        </w:rPr>
        <w:t xml:space="preserve"> </w:t>
      </w:r>
      <w:r w:rsidRPr="0031675F">
        <w:rPr>
          <w:spacing w:val="-1"/>
        </w:rPr>
        <w:t>Make</w:t>
      </w:r>
      <w:r w:rsidRPr="0031675F">
        <w:t xml:space="preserve"> a </w:t>
      </w:r>
      <w:r w:rsidRPr="0031675F">
        <w:rPr>
          <w:spacing w:val="-1"/>
        </w:rPr>
        <w:t>note</w:t>
      </w:r>
      <w:r w:rsidRPr="0031675F">
        <w:rPr>
          <w:spacing w:val="-2"/>
        </w:rPr>
        <w:t xml:space="preserve"> </w:t>
      </w:r>
      <w:r w:rsidRPr="0031675F">
        <w:t>of</w:t>
      </w:r>
      <w:r w:rsidRPr="0031675F">
        <w:rPr>
          <w:spacing w:val="-2"/>
        </w:rPr>
        <w:t xml:space="preserve"> </w:t>
      </w:r>
      <w:r w:rsidRPr="0031675F">
        <w:rPr>
          <w:spacing w:val="-1"/>
        </w:rPr>
        <w:t>this</w:t>
      </w:r>
      <w:r w:rsidRPr="0031675F">
        <w:rPr>
          <w:spacing w:val="-2"/>
        </w:rPr>
        <w:t xml:space="preserve"> </w:t>
      </w:r>
      <w:r w:rsidRPr="0031675F">
        <w:rPr>
          <w:spacing w:val="-1"/>
        </w:rPr>
        <w:t>volume</w:t>
      </w:r>
      <w:r w:rsidRPr="0031675F">
        <w:t xml:space="preserve"> in</w:t>
      </w:r>
      <w:r w:rsidRPr="0031675F">
        <w:rPr>
          <w:spacing w:val="-3"/>
        </w:rPr>
        <w:t xml:space="preserve"> </w:t>
      </w:r>
      <w:r w:rsidRPr="0031675F">
        <w:rPr>
          <w:spacing w:val="-1"/>
        </w:rPr>
        <w:t>your</w:t>
      </w:r>
      <w:r w:rsidRPr="0031675F">
        <w:t xml:space="preserve"> </w:t>
      </w:r>
      <w:r w:rsidRPr="0031675F">
        <w:rPr>
          <w:spacing w:val="-1"/>
        </w:rPr>
        <w:t>logbook.</w:t>
      </w:r>
    </w:p>
    <w:p w14:paraId="1B387453" w14:textId="77777777" w:rsidR="0031675F" w:rsidRPr="0031675F" w:rsidRDefault="0031675F" w:rsidP="0031675F">
      <w:pPr>
        <w:jc w:val="both"/>
        <w:sectPr w:rsidR="0031675F" w:rsidRPr="0031675F" w:rsidSect="004A5C83">
          <w:type w:val="nextColumn"/>
          <w:pgSz w:w="11910" w:h="16850"/>
          <w:pgMar w:top="720" w:right="1281" w:bottom="697" w:left="1281" w:header="283" w:footer="500" w:gutter="0"/>
          <w:paperSrc w:first="7" w:other="7"/>
          <w:cols w:space="720"/>
          <w:docGrid w:linePitch="299"/>
        </w:sectPr>
      </w:pPr>
    </w:p>
    <w:p w14:paraId="4340006B" w14:textId="6C279282" w:rsidR="0031675F" w:rsidRPr="0031675F" w:rsidRDefault="0031675F" w:rsidP="0031675F">
      <w:pPr>
        <w:widowControl w:val="0"/>
        <w:numPr>
          <w:ilvl w:val="1"/>
          <w:numId w:val="75"/>
        </w:numPr>
        <w:tabs>
          <w:tab w:val="left" w:pos="799"/>
        </w:tabs>
        <w:spacing w:before="0" w:after="0" w:line="240" w:lineRule="auto"/>
        <w:ind w:left="798" w:right="117"/>
        <w:jc w:val="both"/>
      </w:pPr>
      <w:r w:rsidRPr="0031675F">
        <w:t>When</w:t>
      </w:r>
      <w:r w:rsidRPr="0031675F">
        <w:rPr>
          <w:spacing w:val="9"/>
        </w:rPr>
        <w:t xml:space="preserve"> </w:t>
      </w:r>
      <w:r w:rsidRPr="0031675F">
        <w:t>each</w:t>
      </w:r>
      <w:r w:rsidRPr="0031675F">
        <w:rPr>
          <w:spacing w:val="9"/>
        </w:rPr>
        <w:t xml:space="preserve"> </w:t>
      </w:r>
      <w:r w:rsidRPr="0031675F">
        <w:rPr>
          <w:spacing w:val="-1"/>
        </w:rPr>
        <w:t>sample</w:t>
      </w:r>
      <w:r w:rsidRPr="0031675F">
        <w:rPr>
          <w:spacing w:val="10"/>
        </w:rPr>
        <w:t xml:space="preserve"> </w:t>
      </w:r>
      <w:r w:rsidRPr="0031675F">
        <w:rPr>
          <w:spacing w:val="-1"/>
        </w:rPr>
        <w:t>has</w:t>
      </w:r>
      <w:r w:rsidRPr="0031675F">
        <w:rPr>
          <w:spacing w:val="9"/>
        </w:rPr>
        <w:t xml:space="preserve"> </w:t>
      </w:r>
      <w:r w:rsidRPr="0031675F">
        <w:rPr>
          <w:spacing w:val="-1"/>
        </w:rPr>
        <w:t>finished</w:t>
      </w:r>
      <w:r w:rsidRPr="0031675F">
        <w:rPr>
          <w:spacing w:val="9"/>
        </w:rPr>
        <w:t xml:space="preserve"> </w:t>
      </w:r>
      <w:r w:rsidRPr="0031675F">
        <w:rPr>
          <w:spacing w:val="-1"/>
        </w:rPr>
        <w:t>filtering,</w:t>
      </w:r>
      <w:r w:rsidRPr="0031675F">
        <w:rPr>
          <w:spacing w:val="10"/>
        </w:rPr>
        <w:t xml:space="preserve"> </w:t>
      </w:r>
      <w:r w:rsidRPr="0031675F">
        <w:rPr>
          <w:spacing w:val="-1"/>
        </w:rPr>
        <w:t>rinse</w:t>
      </w:r>
      <w:r w:rsidRPr="0031675F">
        <w:rPr>
          <w:spacing w:val="10"/>
        </w:rPr>
        <w:t xml:space="preserve"> </w:t>
      </w:r>
      <w:r w:rsidRPr="0031675F">
        <w:t>the</w:t>
      </w:r>
      <w:r w:rsidRPr="0031675F">
        <w:rPr>
          <w:spacing w:val="10"/>
        </w:rPr>
        <w:t xml:space="preserve"> </w:t>
      </w:r>
      <w:r w:rsidRPr="0031675F">
        <w:rPr>
          <w:spacing w:val="-1"/>
        </w:rPr>
        <w:t>walls</w:t>
      </w:r>
      <w:r w:rsidRPr="0031675F">
        <w:rPr>
          <w:spacing w:val="10"/>
        </w:rPr>
        <w:t xml:space="preserve"> </w:t>
      </w:r>
      <w:r w:rsidRPr="0031675F">
        <w:t>of</w:t>
      </w:r>
      <w:r w:rsidRPr="0031675F">
        <w:rPr>
          <w:spacing w:val="9"/>
        </w:rPr>
        <w:t xml:space="preserve"> </w:t>
      </w:r>
      <w:r w:rsidRPr="0031675F">
        <w:t>the</w:t>
      </w:r>
      <w:r w:rsidRPr="0031675F">
        <w:rPr>
          <w:spacing w:val="10"/>
        </w:rPr>
        <w:t xml:space="preserve"> </w:t>
      </w:r>
      <w:r w:rsidRPr="0031675F">
        <w:rPr>
          <w:spacing w:val="-1"/>
        </w:rPr>
        <w:t>filter</w:t>
      </w:r>
      <w:r w:rsidRPr="0031675F">
        <w:rPr>
          <w:spacing w:val="9"/>
        </w:rPr>
        <w:t xml:space="preserve"> </w:t>
      </w:r>
      <w:r w:rsidRPr="0031675F">
        <w:rPr>
          <w:spacing w:val="-1"/>
        </w:rPr>
        <w:t>funnel</w:t>
      </w:r>
      <w:r w:rsidRPr="0031675F">
        <w:rPr>
          <w:spacing w:val="10"/>
        </w:rPr>
        <w:t xml:space="preserve"> </w:t>
      </w:r>
      <w:r w:rsidRPr="0031675F">
        <w:rPr>
          <w:spacing w:val="-1"/>
        </w:rPr>
        <w:t>(see</w:t>
      </w:r>
      <w:r w:rsidRPr="0031675F">
        <w:rPr>
          <w:spacing w:val="8"/>
        </w:rPr>
        <w:t xml:space="preserve"> </w:t>
      </w:r>
      <w:r w:rsidRPr="0031675F">
        <w:rPr>
          <w:spacing w:val="-1"/>
        </w:rPr>
        <w:t>fig</w:t>
      </w:r>
      <w:r w:rsidRPr="0031675F">
        <w:rPr>
          <w:spacing w:val="9"/>
        </w:rPr>
        <w:t xml:space="preserve"> </w:t>
      </w:r>
      <w:r w:rsidRPr="0031675F">
        <w:t>5)</w:t>
      </w:r>
      <w:r w:rsidRPr="0031675F">
        <w:rPr>
          <w:spacing w:val="10"/>
        </w:rPr>
        <w:t xml:space="preserve"> </w:t>
      </w:r>
      <w:r w:rsidRPr="0031675F">
        <w:t>with</w:t>
      </w:r>
      <w:r w:rsidRPr="0031675F">
        <w:rPr>
          <w:spacing w:val="9"/>
        </w:rPr>
        <w:t xml:space="preserve"> </w:t>
      </w:r>
      <w:r w:rsidRPr="0031675F">
        <w:t>a</w:t>
      </w:r>
      <w:r w:rsidRPr="0031675F">
        <w:rPr>
          <w:spacing w:val="47"/>
        </w:rPr>
        <w:t xml:space="preserve"> </w:t>
      </w:r>
      <w:r w:rsidRPr="0031675F">
        <w:t>small</w:t>
      </w:r>
      <w:r w:rsidRPr="0031675F">
        <w:rPr>
          <w:spacing w:val="5"/>
        </w:rPr>
        <w:t xml:space="preserve"> </w:t>
      </w:r>
      <w:r w:rsidRPr="0031675F">
        <w:rPr>
          <w:spacing w:val="-1"/>
        </w:rPr>
        <w:t>amount</w:t>
      </w:r>
      <w:r w:rsidRPr="0031675F">
        <w:rPr>
          <w:spacing w:val="6"/>
        </w:rPr>
        <w:t xml:space="preserve"> </w:t>
      </w:r>
      <w:r w:rsidRPr="0031675F">
        <w:t>of</w:t>
      </w:r>
      <w:r w:rsidRPr="0031675F">
        <w:rPr>
          <w:spacing w:val="5"/>
        </w:rPr>
        <w:t xml:space="preserve"> </w:t>
      </w:r>
      <w:r w:rsidRPr="0031675F">
        <w:rPr>
          <w:spacing w:val="-1"/>
        </w:rPr>
        <w:t>deionized</w:t>
      </w:r>
      <w:r w:rsidRPr="0031675F">
        <w:rPr>
          <w:spacing w:val="5"/>
        </w:rPr>
        <w:t xml:space="preserve"> </w:t>
      </w:r>
      <w:r w:rsidRPr="0031675F">
        <w:t>water</w:t>
      </w:r>
      <w:r w:rsidRPr="0031675F">
        <w:rPr>
          <w:spacing w:val="6"/>
        </w:rPr>
        <w:t xml:space="preserve"> </w:t>
      </w:r>
      <w:r w:rsidRPr="0031675F">
        <w:t>(about</w:t>
      </w:r>
      <w:r w:rsidRPr="0031675F">
        <w:rPr>
          <w:spacing w:val="8"/>
        </w:rPr>
        <w:t xml:space="preserve"> </w:t>
      </w:r>
      <w:r w:rsidRPr="0031675F">
        <w:t>20</w:t>
      </w:r>
      <w:r w:rsidRPr="0031675F">
        <w:rPr>
          <w:spacing w:val="6"/>
        </w:rPr>
        <w:t xml:space="preserve"> </w:t>
      </w:r>
      <w:r w:rsidR="00BB13FD">
        <w:t>mL</w:t>
      </w:r>
      <w:r w:rsidRPr="0031675F">
        <w:t>)</w:t>
      </w:r>
      <w:r w:rsidRPr="0031675F">
        <w:rPr>
          <w:spacing w:val="5"/>
        </w:rPr>
        <w:t xml:space="preserve"> </w:t>
      </w:r>
      <w:r w:rsidRPr="0031675F">
        <w:rPr>
          <w:spacing w:val="-1"/>
        </w:rPr>
        <w:t>from</w:t>
      </w:r>
      <w:r w:rsidRPr="0031675F">
        <w:rPr>
          <w:spacing w:val="6"/>
        </w:rPr>
        <w:t xml:space="preserve"> </w:t>
      </w:r>
      <w:r w:rsidRPr="0031675F">
        <w:t>the</w:t>
      </w:r>
      <w:r w:rsidRPr="0031675F">
        <w:rPr>
          <w:spacing w:val="6"/>
        </w:rPr>
        <w:t xml:space="preserve"> </w:t>
      </w:r>
      <w:r w:rsidRPr="0031675F">
        <w:rPr>
          <w:spacing w:val="-1"/>
        </w:rPr>
        <w:t>squeeze</w:t>
      </w:r>
      <w:r w:rsidRPr="0031675F">
        <w:t xml:space="preserve"> </w:t>
      </w:r>
      <w:r w:rsidRPr="0031675F">
        <w:rPr>
          <w:spacing w:val="6"/>
        </w:rPr>
        <w:t xml:space="preserve"> </w:t>
      </w:r>
      <w:r w:rsidRPr="0031675F">
        <w:rPr>
          <w:spacing w:val="-1"/>
        </w:rPr>
        <w:t>bottle</w:t>
      </w:r>
      <w:r w:rsidRPr="0031675F">
        <w:rPr>
          <w:spacing w:val="27"/>
        </w:rPr>
        <w:t xml:space="preserve"> </w:t>
      </w:r>
      <w:r w:rsidRPr="0031675F">
        <w:rPr>
          <w:spacing w:val="-1"/>
        </w:rPr>
        <w:t>supplied.</w:t>
      </w:r>
      <w:r w:rsidRPr="0031675F">
        <w:rPr>
          <w:spacing w:val="49"/>
        </w:rPr>
        <w:t xml:space="preserve"> </w:t>
      </w:r>
      <w:r w:rsidRPr="0031675F">
        <w:rPr>
          <w:spacing w:val="-1"/>
        </w:rPr>
        <w:t>Steam</w:t>
      </w:r>
      <w:r w:rsidRPr="0031675F">
        <w:rPr>
          <w:spacing w:val="1"/>
        </w:rPr>
        <w:t xml:space="preserve"> </w:t>
      </w:r>
      <w:r w:rsidRPr="0031675F">
        <w:rPr>
          <w:spacing w:val="-1"/>
        </w:rPr>
        <w:t>iron water</w:t>
      </w:r>
      <w:r w:rsidRPr="0031675F">
        <w:t xml:space="preserve"> </w:t>
      </w:r>
      <w:r w:rsidRPr="0031675F">
        <w:rPr>
          <w:spacing w:val="-1"/>
        </w:rPr>
        <w:t>should be</w:t>
      </w:r>
      <w:r w:rsidRPr="0031675F">
        <w:t xml:space="preserve"> </w:t>
      </w:r>
      <w:r w:rsidRPr="0031675F">
        <w:rPr>
          <w:spacing w:val="-1"/>
        </w:rPr>
        <w:t>used</w:t>
      </w:r>
      <w:r w:rsidRPr="0031675F">
        <w:t xml:space="preserve"> if</w:t>
      </w:r>
      <w:r w:rsidRPr="0031675F">
        <w:rPr>
          <w:spacing w:val="-3"/>
        </w:rPr>
        <w:t xml:space="preserve"> </w:t>
      </w:r>
      <w:r w:rsidRPr="0031675F">
        <w:t>you</w:t>
      </w:r>
      <w:r w:rsidRPr="0031675F">
        <w:rPr>
          <w:spacing w:val="-1"/>
        </w:rPr>
        <w:t xml:space="preserve"> </w:t>
      </w:r>
      <w:r w:rsidRPr="0031675F">
        <w:t>run</w:t>
      </w:r>
      <w:r w:rsidRPr="0031675F">
        <w:rPr>
          <w:spacing w:val="-4"/>
        </w:rPr>
        <w:t xml:space="preserve"> </w:t>
      </w:r>
      <w:r w:rsidRPr="0031675F">
        <w:t>out</w:t>
      </w:r>
      <w:r w:rsidRPr="0031675F">
        <w:rPr>
          <w:spacing w:val="-2"/>
        </w:rPr>
        <w:t xml:space="preserve"> </w:t>
      </w:r>
      <w:r w:rsidRPr="0031675F">
        <w:t xml:space="preserve">of </w:t>
      </w:r>
      <w:r w:rsidRPr="0031675F">
        <w:rPr>
          <w:spacing w:val="-1"/>
        </w:rPr>
        <w:t>deionized</w:t>
      </w:r>
      <w:r w:rsidRPr="0031675F">
        <w:t xml:space="preserve"> </w:t>
      </w:r>
      <w:r w:rsidRPr="0031675F">
        <w:rPr>
          <w:spacing w:val="-1"/>
        </w:rPr>
        <w:t>water.</w:t>
      </w:r>
    </w:p>
    <w:p w14:paraId="095CDD2B" w14:textId="77777777" w:rsidR="0031675F" w:rsidRPr="0031675F" w:rsidRDefault="0031675F" w:rsidP="0031675F">
      <w:pPr>
        <w:spacing w:before="2"/>
        <w:rPr>
          <w:rFonts w:cs="Calibri"/>
          <w:sz w:val="5"/>
          <w:szCs w:val="5"/>
        </w:rPr>
      </w:pPr>
    </w:p>
    <w:p w14:paraId="4A9D7B5C" w14:textId="77777777" w:rsidR="0031675F" w:rsidRPr="0031675F" w:rsidRDefault="0031675F" w:rsidP="0031675F">
      <w:pPr>
        <w:spacing w:line="200" w:lineRule="atLeast"/>
        <w:ind w:left="2753"/>
        <w:rPr>
          <w:rFonts w:cs="Calibri"/>
          <w:sz w:val="20"/>
          <w:szCs w:val="20"/>
        </w:rPr>
      </w:pPr>
      <w:r w:rsidRPr="0031675F">
        <w:rPr>
          <w:rFonts w:cs="Calibri"/>
          <w:noProof/>
          <w:sz w:val="20"/>
          <w:szCs w:val="20"/>
          <w:lang w:eastAsia="en-AU"/>
        </w:rPr>
        <w:drawing>
          <wp:inline distT="0" distB="0" distL="0" distR="0" wp14:anchorId="3EAB63A0" wp14:editId="5D3598A9">
            <wp:extent cx="2371725" cy="2990850"/>
            <wp:effectExtent l="0" t="0" r="9525" b="0"/>
            <wp:docPr id="39" name="image18.jpeg" descr="Photo of washing down the funnel walls.&#10;" title="Method of filtering suspended soli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8.jpeg"/>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2371725" cy="2990850"/>
                    </a:xfrm>
                    <a:prstGeom prst="rect">
                      <a:avLst/>
                    </a:prstGeom>
                    <a:noFill/>
                    <a:ln>
                      <a:noFill/>
                    </a:ln>
                  </pic:spPr>
                </pic:pic>
              </a:graphicData>
            </a:graphic>
          </wp:inline>
        </w:drawing>
      </w:r>
    </w:p>
    <w:p w14:paraId="16924FDE" w14:textId="77777777" w:rsidR="0031675F" w:rsidRPr="0031675F" w:rsidRDefault="0031675F" w:rsidP="0031675F">
      <w:pPr>
        <w:spacing w:before="66" w:after="120"/>
        <w:ind w:right="33"/>
        <w:jc w:val="center"/>
      </w:pPr>
      <w:r w:rsidRPr="0031675F">
        <w:rPr>
          <w:spacing w:val="-1"/>
        </w:rPr>
        <w:t xml:space="preserve">Fig </w:t>
      </w:r>
      <w:r w:rsidRPr="0031675F">
        <w:t>5:</w:t>
      </w:r>
      <w:r w:rsidRPr="0031675F">
        <w:rPr>
          <w:spacing w:val="-2"/>
        </w:rPr>
        <w:t xml:space="preserve"> </w:t>
      </w:r>
      <w:r w:rsidRPr="0031675F">
        <w:rPr>
          <w:spacing w:val="-1"/>
        </w:rPr>
        <w:t>Washing down</w:t>
      </w:r>
      <w:r w:rsidRPr="0031675F">
        <w:t xml:space="preserve"> </w:t>
      </w:r>
      <w:r w:rsidRPr="0031675F">
        <w:rPr>
          <w:spacing w:val="-2"/>
        </w:rPr>
        <w:t>funnel</w:t>
      </w:r>
      <w:r w:rsidRPr="0031675F">
        <w:t xml:space="preserve"> walls</w:t>
      </w:r>
    </w:p>
    <w:p w14:paraId="060EAA27" w14:textId="77777777" w:rsidR="0031675F" w:rsidRPr="0031675F" w:rsidRDefault="0031675F" w:rsidP="0031675F">
      <w:pPr>
        <w:spacing w:before="11"/>
        <w:rPr>
          <w:rFonts w:cs="Calibri"/>
          <w:sz w:val="31"/>
          <w:szCs w:val="31"/>
        </w:rPr>
      </w:pPr>
    </w:p>
    <w:p w14:paraId="7BA25DFA" w14:textId="77777777" w:rsidR="0031675F" w:rsidRPr="0031675F" w:rsidRDefault="0031675F" w:rsidP="0031675F">
      <w:pPr>
        <w:widowControl w:val="0"/>
        <w:numPr>
          <w:ilvl w:val="1"/>
          <w:numId w:val="75"/>
        </w:numPr>
        <w:tabs>
          <w:tab w:val="left" w:pos="799"/>
        </w:tabs>
        <w:spacing w:before="0" w:after="0" w:line="240" w:lineRule="auto"/>
        <w:ind w:left="798" w:right="112"/>
        <w:jc w:val="both"/>
      </w:pPr>
      <w:r w:rsidRPr="0031675F">
        <w:t>When</w:t>
      </w:r>
      <w:r w:rsidRPr="0031675F">
        <w:rPr>
          <w:spacing w:val="16"/>
        </w:rPr>
        <w:t xml:space="preserve"> </w:t>
      </w:r>
      <w:r w:rsidRPr="0031675F">
        <w:t>the</w:t>
      </w:r>
      <w:r w:rsidRPr="0031675F">
        <w:rPr>
          <w:spacing w:val="17"/>
        </w:rPr>
        <w:t xml:space="preserve"> </w:t>
      </w:r>
      <w:r w:rsidRPr="0031675F">
        <w:rPr>
          <w:spacing w:val="-2"/>
        </w:rPr>
        <w:t>samples</w:t>
      </w:r>
      <w:r w:rsidRPr="0031675F">
        <w:rPr>
          <w:spacing w:val="17"/>
        </w:rPr>
        <w:t xml:space="preserve"> </w:t>
      </w:r>
      <w:r w:rsidRPr="0031675F">
        <w:t>are</w:t>
      </w:r>
      <w:r w:rsidRPr="0031675F">
        <w:rPr>
          <w:spacing w:val="17"/>
        </w:rPr>
        <w:t xml:space="preserve"> </w:t>
      </w:r>
      <w:r w:rsidRPr="0031675F">
        <w:rPr>
          <w:spacing w:val="-2"/>
        </w:rPr>
        <w:t>sucked</w:t>
      </w:r>
      <w:r w:rsidRPr="0031675F">
        <w:rPr>
          <w:spacing w:val="16"/>
        </w:rPr>
        <w:t xml:space="preserve"> </w:t>
      </w:r>
      <w:r w:rsidRPr="0031675F">
        <w:rPr>
          <w:spacing w:val="-1"/>
        </w:rPr>
        <w:t>dry,</w:t>
      </w:r>
      <w:r w:rsidRPr="0031675F">
        <w:rPr>
          <w:spacing w:val="17"/>
        </w:rPr>
        <w:t xml:space="preserve"> </w:t>
      </w:r>
      <w:r w:rsidRPr="0031675F">
        <w:rPr>
          <w:spacing w:val="-1"/>
        </w:rPr>
        <w:t>unscrew</w:t>
      </w:r>
      <w:r w:rsidRPr="0031675F">
        <w:rPr>
          <w:spacing w:val="15"/>
        </w:rPr>
        <w:t xml:space="preserve"> </w:t>
      </w:r>
      <w:r w:rsidRPr="0031675F">
        <w:t>or</w:t>
      </w:r>
      <w:r w:rsidRPr="0031675F">
        <w:rPr>
          <w:spacing w:val="17"/>
        </w:rPr>
        <w:t xml:space="preserve"> </w:t>
      </w:r>
      <w:r w:rsidRPr="0031675F">
        <w:rPr>
          <w:spacing w:val="-1"/>
        </w:rPr>
        <w:t>unclamp</w:t>
      </w:r>
      <w:r w:rsidRPr="0031675F">
        <w:rPr>
          <w:spacing w:val="16"/>
        </w:rPr>
        <w:t xml:space="preserve"> </w:t>
      </w:r>
      <w:r w:rsidRPr="0031675F">
        <w:t>the</w:t>
      </w:r>
      <w:r w:rsidRPr="0031675F">
        <w:rPr>
          <w:spacing w:val="17"/>
        </w:rPr>
        <w:t xml:space="preserve"> </w:t>
      </w:r>
      <w:r w:rsidRPr="0031675F">
        <w:rPr>
          <w:spacing w:val="-1"/>
        </w:rPr>
        <w:t>filtration</w:t>
      </w:r>
      <w:r w:rsidRPr="0031675F">
        <w:rPr>
          <w:spacing w:val="16"/>
        </w:rPr>
        <w:t xml:space="preserve"> </w:t>
      </w:r>
      <w:r w:rsidRPr="0031675F">
        <w:rPr>
          <w:spacing w:val="-1"/>
        </w:rPr>
        <w:t>tops</w:t>
      </w:r>
      <w:r w:rsidRPr="0031675F">
        <w:rPr>
          <w:spacing w:val="17"/>
        </w:rPr>
        <w:t xml:space="preserve"> </w:t>
      </w:r>
      <w:r w:rsidRPr="0031675F">
        <w:t>or</w:t>
      </w:r>
      <w:r w:rsidRPr="0031675F">
        <w:rPr>
          <w:spacing w:val="17"/>
        </w:rPr>
        <w:t xml:space="preserve"> </w:t>
      </w:r>
      <w:r w:rsidRPr="0031675F">
        <w:rPr>
          <w:spacing w:val="-1"/>
        </w:rPr>
        <w:t>funnels.</w:t>
      </w:r>
      <w:r w:rsidRPr="0031675F">
        <w:rPr>
          <w:spacing w:val="16"/>
        </w:rPr>
        <w:t xml:space="preserve"> </w:t>
      </w:r>
      <w:r w:rsidRPr="0031675F">
        <w:rPr>
          <w:spacing w:val="-1"/>
        </w:rPr>
        <w:t>Using</w:t>
      </w:r>
      <w:r w:rsidRPr="0031675F">
        <w:rPr>
          <w:spacing w:val="53"/>
        </w:rPr>
        <w:t xml:space="preserve"> </w:t>
      </w:r>
      <w:r w:rsidRPr="0031675F">
        <w:rPr>
          <w:spacing w:val="-1"/>
        </w:rPr>
        <w:t>forceps,</w:t>
      </w:r>
      <w:r w:rsidRPr="0031675F">
        <w:rPr>
          <w:spacing w:val="18"/>
        </w:rPr>
        <w:t xml:space="preserve"> </w:t>
      </w:r>
      <w:r w:rsidRPr="0031675F">
        <w:rPr>
          <w:spacing w:val="-1"/>
        </w:rPr>
        <w:t>lift</w:t>
      </w:r>
      <w:r w:rsidRPr="0031675F">
        <w:rPr>
          <w:spacing w:val="20"/>
        </w:rPr>
        <w:t xml:space="preserve"> </w:t>
      </w:r>
      <w:r w:rsidRPr="0031675F">
        <w:t>one</w:t>
      </w:r>
      <w:r w:rsidRPr="0031675F">
        <w:rPr>
          <w:spacing w:val="20"/>
        </w:rPr>
        <w:t xml:space="preserve"> </w:t>
      </w:r>
      <w:r w:rsidRPr="0031675F">
        <w:rPr>
          <w:spacing w:val="-2"/>
        </w:rPr>
        <w:t>side</w:t>
      </w:r>
      <w:r w:rsidRPr="0031675F">
        <w:rPr>
          <w:spacing w:val="20"/>
        </w:rPr>
        <w:t xml:space="preserve"> </w:t>
      </w:r>
      <w:r w:rsidRPr="0031675F">
        <w:t>of</w:t>
      </w:r>
      <w:r w:rsidRPr="0031675F">
        <w:rPr>
          <w:spacing w:val="19"/>
        </w:rPr>
        <w:t xml:space="preserve"> </w:t>
      </w:r>
      <w:r w:rsidRPr="0031675F">
        <w:rPr>
          <w:spacing w:val="-1"/>
        </w:rPr>
        <w:t>the</w:t>
      </w:r>
      <w:r w:rsidRPr="0031675F">
        <w:rPr>
          <w:spacing w:val="20"/>
        </w:rPr>
        <w:t xml:space="preserve"> </w:t>
      </w:r>
      <w:r w:rsidRPr="0031675F">
        <w:rPr>
          <w:spacing w:val="-1"/>
        </w:rPr>
        <w:t>filter</w:t>
      </w:r>
      <w:r w:rsidRPr="0031675F">
        <w:rPr>
          <w:spacing w:val="19"/>
        </w:rPr>
        <w:t xml:space="preserve"> </w:t>
      </w:r>
      <w:r w:rsidRPr="0031675F">
        <w:rPr>
          <w:spacing w:val="-1"/>
        </w:rPr>
        <w:t>while</w:t>
      </w:r>
      <w:r w:rsidRPr="0031675F">
        <w:rPr>
          <w:spacing w:val="17"/>
        </w:rPr>
        <w:t xml:space="preserve"> </w:t>
      </w:r>
      <w:r w:rsidRPr="0031675F">
        <w:rPr>
          <w:spacing w:val="-1"/>
        </w:rPr>
        <w:t>keeping</w:t>
      </w:r>
      <w:r w:rsidRPr="0031675F">
        <w:rPr>
          <w:spacing w:val="18"/>
        </w:rPr>
        <w:t xml:space="preserve"> </w:t>
      </w:r>
      <w:r w:rsidRPr="0031675F">
        <w:rPr>
          <w:spacing w:val="-1"/>
        </w:rPr>
        <w:t>under</w:t>
      </w:r>
      <w:r w:rsidRPr="0031675F">
        <w:rPr>
          <w:spacing w:val="19"/>
        </w:rPr>
        <w:t xml:space="preserve"> </w:t>
      </w:r>
      <w:r w:rsidRPr="0031675F">
        <w:rPr>
          <w:spacing w:val="-1"/>
        </w:rPr>
        <w:t>vacuum</w:t>
      </w:r>
      <w:r w:rsidRPr="0031675F">
        <w:rPr>
          <w:spacing w:val="20"/>
        </w:rPr>
        <w:t xml:space="preserve"> </w:t>
      </w:r>
      <w:r w:rsidRPr="0031675F">
        <w:rPr>
          <w:spacing w:val="-1"/>
        </w:rPr>
        <w:t>and</w:t>
      </w:r>
      <w:r w:rsidRPr="0031675F">
        <w:rPr>
          <w:spacing w:val="23"/>
        </w:rPr>
        <w:t xml:space="preserve"> </w:t>
      </w:r>
      <w:r w:rsidRPr="0031675F">
        <w:t>fold</w:t>
      </w:r>
      <w:r w:rsidRPr="0031675F">
        <w:rPr>
          <w:spacing w:val="18"/>
        </w:rPr>
        <w:t xml:space="preserve"> </w:t>
      </w:r>
      <w:r w:rsidRPr="0031675F">
        <w:t>the</w:t>
      </w:r>
      <w:r w:rsidRPr="0031675F">
        <w:rPr>
          <w:spacing w:val="19"/>
        </w:rPr>
        <w:t xml:space="preserve"> </w:t>
      </w:r>
      <w:r w:rsidRPr="0031675F">
        <w:rPr>
          <w:spacing w:val="-1"/>
        </w:rPr>
        <w:t>filter</w:t>
      </w:r>
      <w:r w:rsidRPr="0031675F">
        <w:rPr>
          <w:spacing w:val="19"/>
        </w:rPr>
        <w:t xml:space="preserve"> </w:t>
      </w:r>
      <w:r w:rsidRPr="0031675F">
        <w:rPr>
          <w:spacing w:val="-1"/>
        </w:rPr>
        <w:t>over</w:t>
      </w:r>
      <w:r w:rsidRPr="0031675F">
        <w:rPr>
          <w:spacing w:val="17"/>
        </w:rPr>
        <w:t xml:space="preserve"> </w:t>
      </w:r>
      <w:r w:rsidRPr="0031675F">
        <w:rPr>
          <w:spacing w:val="-1"/>
        </w:rPr>
        <w:t>onto</w:t>
      </w:r>
      <w:r w:rsidRPr="0031675F">
        <w:rPr>
          <w:spacing w:val="63"/>
        </w:rPr>
        <w:t xml:space="preserve"> </w:t>
      </w:r>
      <w:r w:rsidRPr="0031675F">
        <w:t>itself</w:t>
      </w:r>
      <w:r w:rsidRPr="0031675F">
        <w:rPr>
          <w:spacing w:val="18"/>
        </w:rPr>
        <w:t xml:space="preserve"> </w:t>
      </w:r>
      <w:r w:rsidRPr="0031675F">
        <w:rPr>
          <w:spacing w:val="-1"/>
        </w:rPr>
        <w:t>so</w:t>
      </w:r>
      <w:r w:rsidRPr="0031675F">
        <w:rPr>
          <w:spacing w:val="20"/>
        </w:rPr>
        <w:t xml:space="preserve"> </w:t>
      </w:r>
      <w:r w:rsidRPr="0031675F">
        <w:rPr>
          <w:spacing w:val="-1"/>
        </w:rPr>
        <w:t>that</w:t>
      </w:r>
      <w:r w:rsidRPr="0031675F">
        <w:rPr>
          <w:spacing w:val="20"/>
        </w:rPr>
        <w:t xml:space="preserve"> </w:t>
      </w:r>
      <w:r w:rsidRPr="0031675F">
        <w:rPr>
          <w:spacing w:val="-1"/>
        </w:rPr>
        <w:t>none</w:t>
      </w:r>
      <w:r w:rsidRPr="0031675F">
        <w:rPr>
          <w:spacing w:val="20"/>
        </w:rPr>
        <w:t xml:space="preserve"> </w:t>
      </w:r>
      <w:r w:rsidRPr="0031675F">
        <w:t>of</w:t>
      </w:r>
      <w:r w:rsidRPr="0031675F">
        <w:rPr>
          <w:spacing w:val="17"/>
        </w:rPr>
        <w:t xml:space="preserve"> </w:t>
      </w:r>
      <w:r w:rsidRPr="0031675F">
        <w:t>the</w:t>
      </w:r>
      <w:r w:rsidRPr="0031675F">
        <w:rPr>
          <w:spacing w:val="19"/>
        </w:rPr>
        <w:t xml:space="preserve"> </w:t>
      </w:r>
      <w:r w:rsidRPr="0031675F">
        <w:rPr>
          <w:spacing w:val="-1"/>
        </w:rPr>
        <w:t>sediment</w:t>
      </w:r>
      <w:r w:rsidRPr="0031675F">
        <w:rPr>
          <w:spacing w:val="19"/>
        </w:rPr>
        <w:t xml:space="preserve"> </w:t>
      </w:r>
      <w:r w:rsidRPr="0031675F">
        <w:rPr>
          <w:spacing w:val="-1"/>
        </w:rPr>
        <w:t>falls</w:t>
      </w:r>
      <w:r w:rsidRPr="0031675F">
        <w:rPr>
          <w:spacing w:val="16"/>
        </w:rPr>
        <w:t xml:space="preserve"> </w:t>
      </w:r>
      <w:r w:rsidRPr="0031675F">
        <w:t>off</w:t>
      </w:r>
      <w:r w:rsidRPr="0031675F">
        <w:rPr>
          <w:spacing w:val="19"/>
        </w:rPr>
        <w:t xml:space="preserve"> </w:t>
      </w:r>
      <w:r w:rsidRPr="0031675F">
        <w:rPr>
          <w:spacing w:val="-1"/>
        </w:rPr>
        <w:t>and</w:t>
      </w:r>
      <w:r w:rsidRPr="0031675F">
        <w:rPr>
          <w:spacing w:val="18"/>
        </w:rPr>
        <w:t xml:space="preserve"> </w:t>
      </w:r>
      <w:r w:rsidRPr="0031675F">
        <w:t>then</w:t>
      </w:r>
      <w:r w:rsidRPr="0031675F">
        <w:rPr>
          <w:spacing w:val="19"/>
        </w:rPr>
        <w:t xml:space="preserve"> </w:t>
      </w:r>
      <w:r w:rsidRPr="0031675F">
        <w:rPr>
          <w:spacing w:val="-1"/>
        </w:rPr>
        <w:t>place</w:t>
      </w:r>
      <w:r w:rsidRPr="0031675F">
        <w:rPr>
          <w:spacing w:val="19"/>
        </w:rPr>
        <w:t xml:space="preserve"> </w:t>
      </w:r>
      <w:r w:rsidRPr="0031675F">
        <w:t>it</w:t>
      </w:r>
      <w:r w:rsidRPr="0031675F">
        <w:rPr>
          <w:spacing w:val="19"/>
        </w:rPr>
        <w:t xml:space="preserve"> </w:t>
      </w:r>
      <w:r w:rsidRPr="0031675F">
        <w:rPr>
          <w:spacing w:val="-1"/>
        </w:rPr>
        <w:t>back</w:t>
      </w:r>
      <w:r w:rsidRPr="0031675F">
        <w:rPr>
          <w:spacing w:val="20"/>
        </w:rPr>
        <w:t xml:space="preserve"> </w:t>
      </w:r>
      <w:r w:rsidRPr="0031675F">
        <w:t>in</w:t>
      </w:r>
      <w:r w:rsidRPr="0031675F">
        <w:rPr>
          <w:spacing w:val="23"/>
        </w:rPr>
        <w:t xml:space="preserve"> </w:t>
      </w:r>
      <w:r w:rsidRPr="0031675F">
        <w:t>the</w:t>
      </w:r>
      <w:r w:rsidRPr="0031675F">
        <w:rPr>
          <w:spacing w:val="19"/>
        </w:rPr>
        <w:t xml:space="preserve"> </w:t>
      </w:r>
      <w:r w:rsidRPr="0031675F">
        <w:t>vial</w:t>
      </w:r>
      <w:r w:rsidRPr="0031675F">
        <w:rPr>
          <w:spacing w:val="18"/>
        </w:rPr>
        <w:t xml:space="preserve"> </w:t>
      </w:r>
      <w:r w:rsidRPr="0031675F">
        <w:rPr>
          <w:spacing w:val="-1"/>
        </w:rPr>
        <w:t>from</w:t>
      </w:r>
      <w:r w:rsidRPr="0031675F">
        <w:rPr>
          <w:spacing w:val="18"/>
        </w:rPr>
        <w:t xml:space="preserve"> </w:t>
      </w:r>
      <w:r w:rsidRPr="0031675F">
        <w:t>which</w:t>
      </w:r>
      <w:r w:rsidRPr="0031675F">
        <w:rPr>
          <w:spacing w:val="18"/>
        </w:rPr>
        <w:t xml:space="preserve"> </w:t>
      </w:r>
      <w:r w:rsidRPr="0031675F">
        <w:t>it</w:t>
      </w:r>
      <w:r w:rsidRPr="0031675F">
        <w:rPr>
          <w:spacing w:val="45"/>
        </w:rPr>
        <w:t xml:space="preserve"> </w:t>
      </w:r>
      <w:r w:rsidRPr="0031675F">
        <w:t>came.</w:t>
      </w:r>
    </w:p>
    <w:p w14:paraId="1EFC286C" w14:textId="77777777" w:rsidR="0031675F" w:rsidRPr="0031675F" w:rsidRDefault="0031675F" w:rsidP="0031675F">
      <w:pPr>
        <w:widowControl w:val="0"/>
        <w:numPr>
          <w:ilvl w:val="1"/>
          <w:numId w:val="75"/>
        </w:numPr>
        <w:tabs>
          <w:tab w:val="left" w:pos="799"/>
        </w:tabs>
        <w:spacing w:before="61" w:after="0" w:line="239" w:lineRule="auto"/>
        <w:ind w:left="798" w:right="114"/>
        <w:jc w:val="both"/>
      </w:pPr>
      <w:r w:rsidRPr="0031675F">
        <w:rPr>
          <w:spacing w:val="-1"/>
        </w:rPr>
        <w:t>Filtered</w:t>
      </w:r>
      <w:r w:rsidRPr="0031675F">
        <w:rPr>
          <w:spacing w:val="4"/>
        </w:rPr>
        <w:t xml:space="preserve"> </w:t>
      </w:r>
      <w:r w:rsidRPr="0031675F">
        <w:rPr>
          <w:spacing w:val="-1"/>
        </w:rPr>
        <w:t>suspended</w:t>
      </w:r>
      <w:r w:rsidRPr="0031675F">
        <w:rPr>
          <w:spacing w:val="4"/>
        </w:rPr>
        <w:t xml:space="preserve"> </w:t>
      </w:r>
      <w:r w:rsidRPr="0031675F">
        <w:rPr>
          <w:spacing w:val="-2"/>
        </w:rPr>
        <w:t>sediment</w:t>
      </w:r>
      <w:r w:rsidRPr="0031675F">
        <w:rPr>
          <w:spacing w:val="5"/>
        </w:rPr>
        <w:t xml:space="preserve"> </w:t>
      </w:r>
      <w:r w:rsidRPr="0031675F">
        <w:rPr>
          <w:spacing w:val="-1"/>
        </w:rPr>
        <w:t>samples</w:t>
      </w:r>
      <w:r w:rsidRPr="0031675F">
        <w:rPr>
          <w:spacing w:val="5"/>
        </w:rPr>
        <w:t xml:space="preserve"> </w:t>
      </w:r>
      <w:r w:rsidRPr="0031675F">
        <w:rPr>
          <w:spacing w:val="-1"/>
        </w:rPr>
        <w:t>should</w:t>
      </w:r>
      <w:r w:rsidRPr="0031675F">
        <w:rPr>
          <w:spacing w:val="4"/>
        </w:rPr>
        <w:t xml:space="preserve"> </w:t>
      </w:r>
      <w:r w:rsidRPr="0031675F">
        <w:rPr>
          <w:spacing w:val="-1"/>
        </w:rPr>
        <w:t>be</w:t>
      </w:r>
      <w:r w:rsidRPr="0031675F">
        <w:rPr>
          <w:spacing w:val="3"/>
        </w:rPr>
        <w:t xml:space="preserve"> </w:t>
      </w:r>
      <w:r w:rsidRPr="0031675F">
        <w:rPr>
          <w:spacing w:val="-1"/>
        </w:rPr>
        <w:t>stored</w:t>
      </w:r>
      <w:r w:rsidRPr="0031675F">
        <w:rPr>
          <w:spacing w:val="4"/>
        </w:rPr>
        <w:t xml:space="preserve"> </w:t>
      </w:r>
      <w:r w:rsidRPr="0031675F">
        <w:t>in</w:t>
      </w:r>
      <w:r w:rsidRPr="0031675F">
        <w:rPr>
          <w:spacing w:val="4"/>
        </w:rPr>
        <w:t xml:space="preserve"> </w:t>
      </w:r>
      <w:r w:rsidRPr="0031675F">
        <w:t>a</w:t>
      </w:r>
      <w:r w:rsidRPr="0031675F">
        <w:rPr>
          <w:spacing w:val="5"/>
        </w:rPr>
        <w:t xml:space="preserve"> </w:t>
      </w:r>
      <w:r w:rsidRPr="0031675F">
        <w:rPr>
          <w:spacing w:val="-1"/>
        </w:rPr>
        <w:t>relatively</w:t>
      </w:r>
      <w:r w:rsidRPr="0031675F">
        <w:rPr>
          <w:spacing w:val="3"/>
        </w:rPr>
        <w:t xml:space="preserve"> </w:t>
      </w:r>
      <w:r w:rsidRPr="0031675F">
        <w:t>cool,</w:t>
      </w:r>
      <w:r w:rsidRPr="0031675F">
        <w:rPr>
          <w:spacing w:val="2"/>
        </w:rPr>
        <w:t xml:space="preserve"> </w:t>
      </w:r>
      <w:r w:rsidRPr="0031675F">
        <w:rPr>
          <w:spacing w:val="-1"/>
        </w:rPr>
        <w:t>dry</w:t>
      </w:r>
      <w:r w:rsidRPr="0031675F">
        <w:rPr>
          <w:spacing w:val="5"/>
        </w:rPr>
        <w:t xml:space="preserve"> </w:t>
      </w:r>
      <w:r w:rsidRPr="0031675F">
        <w:rPr>
          <w:spacing w:val="-1"/>
        </w:rPr>
        <w:t>place</w:t>
      </w:r>
      <w:r w:rsidRPr="0031675F">
        <w:rPr>
          <w:spacing w:val="5"/>
        </w:rPr>
        <w:t xml:space="preserve"> </w:t>
      </w:r>
      <w:r w:rsidRPr="0031675F">
        <w:rPr>
          <w:spacing w:val="-1"/>
        </w:rPr>
        <w:t>to</w:t>
      </w:r>
      <w:r w:rsidRPr="0031675F">
        <w:rPr>
          <w:spacing w:val="3"/>
        </w:rPr>
        <w:t xml:space="preserve"> </w:t>
      </w:r>
      <w:r w:rsidRPr="0031675F">
        <w:rPr>
          <w:spacing w:val="-1"/>
        </w:rPr>
        <w:t>avoid</w:t>
      </w:r>
      <w:r w:rsidRPr="0031675F">
        <w:rPr>
          <w:spacing w:val="61"/>
        </w:rPr>
        <w:t xml:space="preserve"> </w:t>
      </w:r>
      <w:r w:rsidRPr="0031675F">
        <w:rPr>
          <w:rFonts w:cs="Calibri"/>
        </w:rPr>
        <w:t>mould</w:t>
      </w:r>
      <w:r w:rsidRPr="0031675F">
        <w:rPr>
          <w:rFonts w:cs="Calibri"/>
          <w:spacing w:val="4"/>
        </w:rPr>
        <w:t xml:space="preserve"> </w:t>
      </w:r>
      <w:r w:rsidRPr="0031675F">
        <w:rPr>
          <w:rFonts w:cs="Calibri"/>
        </w:rPr>
        <w:t>(it</w:t>
      </w:r>
      <w:r w:rsidRPr="0031675F">
        <w:rPr>
          <w:rFonts w:cs="Calibri"/>
          <w:spacing w:val="5"/>
        </w:rPr>
        <w:t xml:space="preserve"> </w:t>
      </w:r>
      <w:r w:rsidRPr="0031675F">
        <w:rPr>
          <w:rFonts w:cs="Calibri"/>
        </w:rPr>
        <w:t>is</w:t>
      </w:r>
      <w:r w:rsidRPr="0031675F">
        <w:rPr>
          <w:rFonts w:cs="Calibri"/>
          <w:spacing w:val="5"/>
        </w:rPr>
        <w:t xml:space="preserve"> </w:t>
      </w:r>
      <w:r w:rsidRPr="0031675F">
        <w:rPr>
          <w:rFonts w:cs="Calibri"/>
        </w:rPr>
        <w:t>not</w:t>
      </w:r>
      <w:r w:rsidRPr="0031675F">
        <w:rPr>
          <w:rFonts w:cs="Calibri"/>
          <w:spacing w:val="5"/>
        </w:rPr>
        <w:t xml:space="preserve"> </w:t>
      </w:r>
      <w:r w:rsidRPr="0031675F">
        <w:rPr>
          <w:rFonts w:cs="Calibri"/>
          <w:spacing w:val="-1"/>
        </w:rPr>
        <w:t>necessary</w:t>
      </w:r>
      <w:r w:rsidRPr="0031675F">
        <w:rPr>
          <w:rFonts w:cs="Calibri"/>
          <w:spacing w:val="5"/>
        </w:rPr>
        <w:t xml:space="preserve"> </w:t>
      </w:r>
      <w:r w:rsidRPr="0031675F">
        <w:rPr>
          <w:rFonts w:cs="Calibri"/>
          <w:spacing w:val="-1"/>
        </w:rPr>
        <w:t>to</w:t>
      </w:r>
      <w:r w:rsidRPr="0031675F">
        <w:rPr>
          <w:rFonts w:cs="Calibri"/>
          <w:spacing w:val="6"/>
        </w:rPr>
        <w:t xml:space="preserve"> </w:t>
      </w:r>
      <w:r w:rsidRPr="0031675F">
        <w:rPr>
          <w:rFonts w:cs="Calibri"/>
        </w:rPr>
        <w:t>freeze</w:t>
      </w:r>
      <w:r w:rsidRPr="0031675F">
        <w:rPr>
          <w:rFonts w:cs="Calibri"/>
          <w:spacing w:val="5"/>
        </w:rPr>
        <w:t xml:space="preserve"> </w:t>
      </w:r>
      <w:r w:rsidRPr="0031675F">
        <w:rPr>
          <w:rFonts w:cs="Calibri"/>
          <w:spacing w:val="-1"/>
        </w:rPr>
        <w:t>them,</w:t>
      </w:r>
      <w:r w:rsidRPr="0031675F">
        <w:rPr>
          <w:rFonts w:cs="Calibri"/>
          <w:spacing w:val="5"/>
        </w:rPr>
        <w:t xml:space="preserve"> </w:t>
      </w:r>
      <w:r w:rsidRPr="0031675F">
        <w:rPr>
          <w:rFonts w:cs="Calibri"/>
          <w:spacing w:val="-1"/>
        </w:rPr>
        <w:t>though</w:t>
      </w:r>
      <w:r w:rsidRPr="0031675F">
        <w:rPr>
          <w:rFonts w:cs="Calibri"/>
          <w:spacing w:val="4"/>
        </w:rPr>
        <w:t xml:space="preserve"> </w:t>
      </w:r>
      <w:r w:rsidRPr="0031675F">
        <w:rPr>
          <w:rFonts w:cs="Calibri"/>
        </w:rPr>
        <w:t>it</w:t>
      </w:r>
      <w:r w:rsidRPr="0031675F">
        <w:rPr>
          <w:rFonts w:cs="Calibri"/>
          <w:spacing w:val="5"/>
        </w:rPr>
        <w:t xml:space="preserve"> </w:t>
      </w:r>
      <w:r w:rsidRPr="0031675F">
        <w:rPr>
          <w:rFonts w:cs="Calibri"/>
        </w:rPr>
        <w:t>doesn’t</w:t>
      </w:r>
      <w:r w:rsidRPr="0031675F">
        <w:rPr>
          <w:rFonts w:cs="Calibri"/>
          <w:spacing w:val="5"/>
        </w:rPr>
        <w:t xml:space="preserve"> </w:t>
      </w:r>
      <w:r w:rsidRPr="0031675F">
        <w:rPr>
          <w:rFonts w:cs="Calibri"/>
          <w:spacing w:val="-1"/>
        </w:rPr>
        <w:t>hurt)</w:t>
      </w:r>
      <w:r w:rsidRPr="0031675F">
        <w:rPr>
          <w:rFonts w:cs="Calibri"/>
          <w:spacing w:val="5"/>
        </w:rPr>
        <w:t xml:space="preserve"> </w:t>
      </w:r>
      <w:r w:rsidRPr="0031675F">
        <w:rPr>
          <w:rFonts w:cs="Calibri"/>
          <w:spacing w:val="-1"/>
        </w:rPr>
        <w:t>until</w:t>
      </w:r>
      <w:r w:rsidRPr="0031675F">
        <w:rPr>
          <w:rFonts w:cs="Calibri"/>
          <w:spacing w:val="4"/>
        </w:rPr>
        <w:t xml:space="preserve"> </w:t>
      </w:r>
      <w:r w:rsidRPr="0031675F">
        <w:rPr>
          <w:rFonts w:cs="Calibri"/>
        </w:rPr>
        <w:t>they</w:t>
      </w:r>
      <w:r w:rsidRPr="0031675F">
        <w:rPr>
          <w:rFonts w:cs="Calibri"/>
          <w:spacing w:val="5"/>
        </w:rPr>
        <w:t xml:space="preserve"> </w:t>
      </w:r>
      <w:r w:rsidRPr="0031675F">
        <w:rPr>
          <w:rFonts w:cs="Calibri"/>
        </w:rPr>
        <w:t>can</w:t>
      </w:r>
      <w:r w:rsidRPr="0031675F">
        <w:rPr>
          <w:rFonts w:cs="Calibri"/>
          <w:spacing w:val="2"/>
        </w:rPr>
        <w:t xml:space="preserve"> </w:t>
      </w:r>
      <w:r w:rsidRPr="0031675F">
        <w:rPr>
          <w:rFonts w:cs="Calibri"/>
          <w:spacing w:val="-1"/>
        </w:rPr>
        <w:t>be</w:t>
      </w:r>
      <w:r w:rsidRPr="0031675F">
        <w:rPr>
          <w:rFonts w:cs="Calibri"/>
          <w:spacing w:val="5"/>
        </w:rPr>
        <w:t xml:space="preserve"> </w:t>
      </w:r>
      <w:r w:rsidRPr="0031675F">
        <w:rPr>
          <w:rFonts w:cs="Calibri"/>
          <w:spacing w:val="-1"/>
        </w:rPr>
        <w:t>dried</w:t>
      </w:r>
      <w:r w:rsidRPr="0031675F">
        <w:rPr>
          <w:rFonts w:cs="Calibri"/>
          <w:spacing w:val="4"/>
        </w:rPr>
        <w:t xml:space="preserve"> </w:t>
      </w:r>
      <w:r w:rsidRPr="0031675F">
        <w:rPr>
          <w:rFonts w:cs="Calibri"/>
        </w:rPr>
        <w:t>and</w:t>
      </w:r>
      <w:r w:rsidRPr="0031675F">
        <w:rPr>
          <w:rFonts w:cs="Calibri"/>
          <w:spacing w:val="39"/>
        </w:rPr>
        <w:t xml:space="preserve"> </w:t>
      </w:r>
      <w:r w:rsidRPr="0031675F">
        <w:rPr>
          <w:spacing w:val="-1"/>
        </w:rPr>
        <w:t>weighed.</w:t>
      </w:r>
    </w:p>
    <w:p w14:paraId="4AA78097" w14:textId="77777777" w:rsidR="0031675F" w:rsidRPr="0031675F" w:rsidRDefault="0031675F" w:rsidP="0031675F">
      <w:pPr>
        <w:spacing w:line="239" w:lineRule="auto"/>
        <w:jc w:val="both"/>
        <w:sectPr w:rsidR="0031675F" w:rsidRPr="0031675F" w:rsidSect="004A5C83">
          <w:type w:val="nextColumn"/>
          <w:pgSz w:w="11910" w:h="16850"/>
          <w:pgMar w:top="720" w:right="1281" w:bottom="697" w:left="1281" w:header="283" w:footer="500" w:gutter="0"/>
          <w:paperSrc w:first="7" w:other="7"/>
          <w:cols w:space="720"/>
          <w:docGrid w:linePitch="299"/>
        </w:sectPr>
      </w:pPr>
    </w:p>
    <w:p w14:paraId="16FCF407" w14:textId="77777777" w:rsidR="0031675F" w:rsidRPr="0031675F" w:rsidRDefault="0031675F" w:rsidP="0031675F">
      <w:pPr>
        <w:rPr>
          <w:rFonts w:cs="Calibri"/>
          <w:sz w:val="20"/>
          <w:szCs w:val="20"/>
        </w:rPr>
      </w:pPr>
    </w:p>
    <w:p w14:paraId="012A7BDA" w14:textId="77777777" w:rsidR="0031675F" w:rsidRPr="0031675F" w:rsidRDefault="0031675F" w:rsidP="005A35E3">
      <w:pPr>
        <w:pStyle w:val="Heading2"/>
        <w:numPr>
          <w:ilvl w:val="0"/>
          <w:numId w:val="0"/>
        </w:numPr>
        <w:ind w:left="284"/>
      </w:pPr>
      <w:bookmarkStart w:id="737" w:name="_Toc523830563"/>
      <w:bookmarkStart w:id="738" w:name="_Toc523905149"/>
      <w:bookmarkStart w:id="739" w:name="_Toc523905391"/>
      <w:bookmarkStart w:id="740" w:name="_Toc534968702"/>
      <w:bookmarkStart w:id="741" w:name="_Toc12365638"/>
      <w:bookmarkStart w:id="742" w:name="_Toc423356997"/>
      <w:r w:rsidRPr="00FF3C2F">
        <w:t>Section A11: AIMS In-house procedures for WET Labs FLNTUSB ECO logger</w:t>
      </w:r>
      <w:bookmarkEnd w:id="737"/>
      <w:bookmarkEnd w:id="738"/>
      <w:bookmarkEnd w:id="739"/>
      <w:bookmarkEnd w:id="740"/>
      <w:bookmarkEnd w:id="741"/>
    </w:p>
    <w:p w14:paraId="55DDFC5D" w14:textId="77777777" w:rsidR="0031675F" w:rsidRPr="0031675F" w:rsidRDefault="0031675F" w:rsidP="0031675F">
      <w:pPr>
        <w:spacing w:before="3"/>
        <w:rPr>
          <w:rFonts w:cs="Calibri"/>
          <w:sz w:val="17"/>
          <w:szCs w:val="17"/>
        </w:rPr>
      </w:pPr>
    </w:p>
    <w:p w14:paraId="40274F08" w14:textId="4AAB5485" w:rsidR="0031675F" w:rsidRPr="0031675F" w:rsidRDefault="0031675F" w:rsidP="0031675F">
      <w:pPr>
        <w:widowControl w:val="0"/>
        <w:numPr>
          <w:ilvl w:val="1"/>
          <w:numId w:val="74"/>
        </w:numPr>
        <w:tabs>
          <w:tab w:val="left" w:pos="859"/>
        </w:tabs>
        <w:spacing w:before="80" w:after="0" w:line="240" w:lineRule="auto"/>
        <w:jc w:val="both"/>
        <w:rPr>
          <w:rFonts w:eastAsia="Arial" w:cs="Arial"/>
          <w:sz w:val="24"/>
          <w:szCs w:val="24"/>
        </w:rPr>
      </w:pPr>
      <w:r w:rsidRPr="0031675F">
        <w:rPr>
          <w:b/>
          <w:sz w:val="24"/>
        </w:rPr>
        <w:t>Set</w:t>
      </w:r>
      <w:r w:rsidRPr="0031675F">
        <w:rPr>
          <w:b/>
          <w:spacing w:val="-1"/>
          <w:sz w:val="24"/>
        </w:rPr>
        <w:t xml:space="preserve"> up</w:t>
      </w:r>
      <w:r w:rsidRPr="0031675F">
        <w:rPr>
          <w:b/>
          <w:sz w:val="24"/>
        </w:rPr>
        <w:t xml:space="preserve"> </w:t>
      </w:r>
      <w:r w:rsidRPr="0031675F">
        <w:rPr>
          <w:b/>
          <w:spacing w:val="-1"/>
          <w:sz w:val="24"/>
        </w:rPr>
        <w:t>WET Labs</w:t>
      </w:r>
      <w:r w:rsidRPr="0031675F">
        <w:rPr>
          <w:b/>
          <w:sz w:val="24"/>
        </w:rPr>
        <w:t xml:space="preserve"> </w:t>
      </w:r>
      <w:r w:rsidRPr="0031675F">
        <w:rPr>
          <w:b/>
          <w:spacing w:val="-1"/>
          <w:sz w:val="24"/>
        </w:rPr>
        <w:t>FLNTUSB</w:t>
      </w:r>
      <w:r w:rsidRPr="0031675F">
        <w:rPr>
          <w:b/>
          <w:sz w:val="24"/>
        </w:rPr>
        <w:t xml:space="preserve"> ECO </w:t>
      </w:r>
      <w:r w:rsidRPr="0031675F">
        <w:rPr>
          <w:b/>
          <w:spacing w:val="-1"/>
          <w:sz w:val="24"/>
        </w:rPr>
        <w:t>logger:</w:t>
      </w:r>
    </w:p>
    <w:p w14:paraId="3F0FC3A4" w14:textId="77777777" w:rsidR="0031675F" w:rsidRPr="0031675F" w:rsidRDefault="0031675F" w:rsidP="0031675F">
      <w:pPr>
        <w:widowControl w:val="0"/>
        <w:numPr>
          <w:ilvl w:val="2"/>
          <w:numId w:val="74"/>
        </w:numPr>
        <w:tabs>
          <w:tab w:val="left" w:pos="859"/>
        </w:tabs>
        <w:spacing w:before="239" w:after="0" w:line="240" w:lineRule="auto"/>
        <w:jc w:val="both"/>
        <w:rPr>
          <w:rFonts w:eastAsia="Arial" w:cs="Arial"/>
        </w:rPr>
      </w:pPr>
      <w:r w:rsidRPr="0031675F">
        <w:rPr>
          <w:b/>
          <w:spacing w:val="-1"/>
        </w:rPr>
        <w:t>Start</w:t>
      </w:r>
      <w:r w:rsidRPr="0031675F">
        <w:rPr>
          <w:b/>
        </w:rPr>
        <w:t xml:space="preserve"> </w:t>
      </w:r>
      <w:r w:rsidRPr="0031675F">
        <w:rPr>
          <w:b/>
          <w:spacing w:val="-2"/>
        </w:rPr>
        <w:t>ECOView</w:t>
      </w:r>
      <w:r w:rsidRPr="0031675F">
        <w:rPr>
          <w:b/>
          <w:spacing w:val="3"/>
        </w:rPr>
        <w:t xml:space="preserve"> </w:t>
      </w:r>
      <w:r w:rsidRPr="0031675F">
        <w:rPr>
          <w:b/>
          <w:spacing w:val="-1"/>
        </w:rPr>
        <w:t>and</w:t>
      </w:r>
      <w:r w:rsidRPr="0031675F">
        <w:rPr>
          <w:b/>
          <w:spacing w:val="-2"/>
        </w:rPr>
        <w:t xml:space="preserve"> </w:t>
      </w:r>
      <w:r w:rsidRPr="0031675F">
        <w:rPr>
          <w:b/>
        </w:rPr>
        <w:t>the</w:t>
      </w:r>
      <w:r w:rsidRPr="0031675F">
        <w:rPr>
          <w:b/>
          <w:spacing w:val="-2"/>
        </w:rPr>
        <w:t xml:space="preserve"> </w:t>
      </w:r>
      <w:r w:rsidRPr="0031675F">
        <w:rPr>
          <w:b/>
          <w:spacing w:val="-1"/>
        </w:rPr>
        <w:t>logger</w:t>
      </w:r>
    </w:p>
    <w:p w14:paraId="5AD14D55" w14:textId="77777777" w:rsidR="0031675F" w:rsidRPr="0031675F" w:rsidRDefault="0031675F" w:rsidP="0031675F">
      <w:pPr>
        <w:spacing w:before="11"/>
        <w:rPr>
          <w:rFonts w:eastAsia="Arial" w:cs="Arial"/>
          <w:b/>
          <w:bCs/>
          <w:sz w:val="20"/>
          <w:szCs w:val="20"/>
        </w:rPr>
      </w:pPr>
    </w:p>
    <w:p w14:paraId="2A909F28" w14:textId="77777777" w:rsidR="0031675F" w:rsidRPr="0031675F" w:rsidRDefault="0031675F" w:rsidP="0031675F">
      <w:pPr>
        <w:widowControl w:val="0"/>
        <w:numPr>
          <w:ilvl w:val="3"/>
          <w:numId w:val="74"/>
        </w:numPr>
        <w:tabs>
          <w:tab w:val="left" w:pos="859"/>
        </w:tabs>
        <w:spacing w:before="0" w:after="0" w:line="240" w:lineRule="auto"/>
        <w:ind w:right="140"/>
      </w:pPr>
      <w:r w:rsidRPr="0031675F">
        <w:rPr>
          <w:spacing w:val="-1"/>
        </w:rPr>
        <w:t>Connect</w:t>
      </w:r>
      <w:r w:rsidRPr="0031675F">
        <w:rPr>
          <w:spacing w:val="13"/>
        </w:rPr>
        <w:t xml:space="preserve"> </w:t>
      </w:r>
      <w:r w:rsidRPr="0031675F">
        <w:rPr>
          <w:spacing w:val="-1"/>
        </w:rPr>
        <w:t>the</w:t>
      </w:r>
      <w:r w:rsidRPr="0031675F">
        <w:rPr>
          <w:spacing w:val="13"/>
        </w:rPr>
        <w:t xml:space="preserve"> </w:t>
      </w:r>
      <w:r w:rsidRPr="0031675F">
        <w:rPr>
          <w:spacing w:val="-1"/>
        </w:rPr>
        <w:t>battery</w:t>
      </w:r>
      <w:r w:rsidRPr="0031675F">
        <w:rPr>
          <w:spacing w:val="13"/>
        </w:rPr>
        <w:t xml:space="preserve"> </w:t>
      </w:r>
      <w:r w:rsidRPr="0031675F">
        <w:rPr>
          <w:spacing w:val="-1"/>
        </w:rPr>
        <w:t>leads</w:t>
      </w:r>
      <w:r w:rsidRPr="0031675F">
        <w:rPr>
          <w:spacing w:val="12"/>
        </w:rPr>
        <w:t xml:space="preserve"> </w:t>
      </w:r>
      <w:r w:rsidRPr="0031675F">
        <w:t>on</w:t>
      </w:r>
      <w:r w:rsidRPr="0031675F">
        <w:rPr>
          <w:spacing w:val="11"/>
        </w:rPr>
        <w:t xml:space="preserve"> </w:t>
      </w:r>
      <w:r w:rsidRPr="0031675F">
        <w:t>the</w:t>
      </w:r>
      <w:r w:rsidRPr="0031675F">
        <w:rPr>
          <w:spacing w:val="12"/>
        </w:rPr>
        <w:t xml:space="preserve"> </w:t>
      </w:r>
      <w:r w:rsidRPr="0031675F">
        <w:rPr>
          <w:spacing w:val="-1"/>
        </w:rPr>
        <w:t>test</w:t>
      </w:r>
      <w:r w:rsidRPr="0031675F">
        <w:rPr>
          <w:spacing w:val="13"/>
        </w:rPr>
        <w:t xml:space="preserve"> </w:t>
      </w:r>
      <w:r w:rsidRPr="0031675F">
        <w:rPr>
          <w:spacing w:val="-1"/>
        </w:rPr>
        <w:t>cable</w:t>
      </w:r>
      <w:r w:rsidRPr="0031675F">
        <w:rPr>
          <w:spacing w:val="13"/>
        </w:rPr>
        <w:t xml:space="preserve"> </w:t>
      </w:r>
      <w:r w:rsidRPr="0031675F">
        <w:t>to</w:t>
      </w:r>
      <w:r w:rsidRPr="0031675F">
        <w:rPr>
          <w:spacing w:val="14"/>
        </w:rPr>
        <w:t xml:space="preserve"> </w:t>
      </w:r>
      <w:r w:rsidRPr="0031675F">
        <w:t>the</w:t>
      </w:r>
      <w:r w:rsidRPr="0031675F">
        <w:rPr>
          <w:spacing w:val="14"/>
        </w:rPr>
        <w:t xml:space="preserve"> </w:t>
      </w:r>
      <w:r w:rsidRPr="0031675F">
        <w:rPr>
          <w:spacing w:val="-1"/>
        </w:rPr>
        <w:t>12V</w:t>
      </w:r>
      <w:r w:rsidRPr="0031675F">
        <w:rPr>
          <w:spacing w:val="12"/>
        </w:rPr>
        <w:t xml:space="preserve"> </w:t>
      </w:r>
      <w:r w:rsidRPr="0031675F">
        <w:rPr>
          <w:spacing w:val="-1"/>
        </w:rPr>
        <w:t>battery</w:t>
      </w:r>
      <w:r w:rsidRPr="0031675F">
        <w:rPr>
          <w:spacing w:val="14"/>
        </w:rPr>
        <w:t xml:space="preserve"> </w:t>
      </w:r>
      <w:r w:rsidRPr="0031675F">
        <w:rPr>
          <w:spacing w:val="-1"/>
        </w:rPr>
        <w:t>(adaptation</w:t>
      </w:r>
      <w:r w:rsidRPr="0031675F">
        <w:rPr>
          <w:spacing w:val="11"/>
        </w:rPr>
        <w:t xml:space="preserve"> </w:t>
      </w:r>
      <w:r w:rsidRPr="0031675F">
        <w:t>of</w:t>
      </w:r>
      <w:r w:rsidRPr="0031675F">
        <w:rPr>
          <w:spacing w:val="12"/>
        </w:rPr>
        <w:t xml:space="preserve"> </w:t>
      </w:r>
      <w:r w:rsidRPr="0031675F">
        <w:rPr>
          <w:spacing w:val="-1"/>
        </w:rPr>
        <w:t>the</w:t>
      </w:r>
      <w:r w:rsidRPr="0031675F">
        <w:rPr>
          <w:spacing w:val="13"/>
        </w:rPr>
        <w:t xml:space="preserve"> </w:t>
      </w:r>
      <w:r w:rsidRPr="0031675F">
        <w:rPr>
          <w:spacing w:val="-1"/>
        </w:rPr>
        <w:t>test</w:t>
      </w:r>
      <w:r w:rsidRPr="0031675F">
        <w:rPr>
          <w:spacing w:val="13"/>
        </w:rPr>
        <w:t xml:space="preserve"> </w:t>
      </w:r>
      <w:r w:rsidRPr="0031675F">
        <w:rPr>
          <w:spacing w:val="-1"/>
        </w:rPr>
        <w:t>cable</w:t>
      </w:r>
      <w:r w:rsidRPr="0031675F">
        <w:rPr>
          <w:spacing w:val="63"/>
        </w:rPr>
        <w:t xml:space="preserve"> </w:t>
      </w:r>
      <w:r w:rsidRPr="0031675F">
        <w:rPr>
          <w:spacing w:val="-1"/>
        </w:rPr>
        <w:t>by</w:t>
      </w:r>
      <w:r w:rsidRPr="0031675F">
        <w:t xml:space="preserve"> AIMS).</w:t>
      </w:r>
      <w:r w:rsidRPr="0031675F">
        <w:rPr>
          <w:spacing w:val="-1"/>
        </w:rPr>
        <w:t xml:space="preserve"> Connect</w:t>
      </w:r>
      <w:r w:rsidRPr="0031675F">
        <w:t xml:space="preserve"> the</w:t>
      </w:r>
      <w:r w:rsidRPr="0031675F">
        <w:rPr>
          <w:spacing w:val="-3"/>
        </w:rPr>
        <w:t xml:space="preserve"> </w:t>
      </w:r>
      <w:r w:rsidRPr="0031675F">
        <w:rPr>
          <w:spacing w:val="-1"/>
        </w:rPr>
        <w:t>DB-9</w:t>
      </w:r>
      <w:r w:rsidRPr="0031675F">
        <w:t xml:space="preserve"> </w:t>
      </w:r>
      <w:r w:rsidRPr="0031675F">
        <w:rPr>
          <w:spacing w:val="-1"/>
        </w:rPr>
        <w:t>connector</w:t>
      </w:r>
      <w:r w:rsidRPr="0031675F">
        <w:rPr>
          <w:spacing w:val="-2"/>
        </w:rPr>
        <w:t xml:space="preserve"> </w:t>
      </w:r>
      <w:r w:rsidRPr="0031675F">
        <w:t xml:space="preserve">to a </w:t>
      </w:r>
      <w:r w:rsidRPr="0031675F">
        <w:rPr>
          <w:spacing w:val="-1"/>
        </w:rPr>
        <w:t>computer</w:t>
      </w:r>
      <w:r w:rsidRPr="0031675F">
        <w:rPr>
          <w:spacing w:val="-2"/>
        </w:rPr>
        <w:t xml:space="preserve"> </w:t>
      </w:r>
      <w:r w:rsidRPr="0031675F">
        <w:t xml:space="preserve">with </w:t>
      </w:r>
      <w:r w:rsidRPr="0031675F">
        <w:rPr>
          <w:spacing w:val="-1"/>
        </w:rPr>
        <w:t>the</w:t>
      </w:r>
      <w:r w:rsidRPr="0031675F">
        <w:rPr>
          <w:spacing w:val="-2"/>
        </w:rPr>
        <w:t xml:space="preserve"> </w:t>
      </w:r>
      <w:r w:rsidRPr="0031675F">
        <w:rPr>
          <w:spacing w:val="-1"/>
        </w:rPr>
        <w:t>ECO</w:t>
      </w:r>
      <w:r w:rsidRPr="0031675F">
        <w:rPr>
          <w:spacing w:val="-2"/>
        </w:rPr>
        <w:t xml:space="preserve"> </w:t>
      </w:r>
      <w:r w:rsidRPr="0031675F">
        <w:rPr>
          <w:spacing w:val="-1"/>
        </w:rPr>
        <w:t>View</w:t>
      </w:r>
      <w:r w:rsidRPr="0031675F">
        <w:t xml:space="preserve"> </w:t>
      </w:r>
      <w:r w:rsidRPr="0031675F">
        <w:rPr>
          <w:spacing w:val="-1"/>
        </w:rPr>
        <w:t>program</w:t>
      </w:r>
      <w:r w:rsidRPr="0031675F">
        <w:rPr>
          <w:spacing w:val="1"/>
        </w:rPr>
        <w:t xml:space="preserve"> </w:t>
      </w:r>
      <w:r w:rsidRPr="0031675F">
        <w:rPr>
          <w:spacing w:val="-1"/>
        </w:rPr>
        <w:t>installed.</w:t>
      </w:r>
    </w:p>
    <w:p w14:paraId="09367CE1" w14:textId="77777777" w:rsidR="0031675F" w:rsidRPr="0031675F" w:rsidRDefault="0031675F" w:rsidP="0031675F">
      <w:pPr>
        <w:widowControl w:val="0"/>
        <w:numPr>
          <w:ilvl w:val="3"/>
          <w:numId w:val="74"/>
        </w:numPr>
        <w:tabs>
          <w:tab w:val="left" w:pos="859"/>
        </w:tabs>
        <w:spacing w:before="120" w:after="0" w:line="240" w:lineRule="auto"/>
      </w:pPr>
      <w:r w:rsidRPr="0031675F">
        <w:rPr>
          <w:spacing w:val="-1"/>
        </w:rPr>
        <w:t>Start</w:t>
      </w:r>
      <w:r w:rsidRPr="0031675F">
        <w:rPr>
          <w:spacing w:val="1"/>
        </w:rPr>
        <w:t xml:space="preserve"> </w:t>
      </w:r>
      <w:r w:rsidRPr="0031675F">
        <w:rPr>
          <w:spacing w:val="-1"/>
        </w:rPr>
        <w:t>up the</w:t>
      </w:r>
      <w:r w:rsidRPr="0031675F">
        <w:rPr>
          <w:spacing w:val="-2"/>
        </w:rPr>
        <w:t xml:space="preserve"> </w:t>
      </w:r>
      <w:r w:rsidRPr="0031675F">
        <w:rPr>
          <w:spacing w:val="-1"/>
        </w:rPr>
        <w:t>ECO</w:t>
      </w:r>
      <w:r w:rsidRPr="0031675F">
        <w:rPr>
          <w:spacing w:val="-3"/>
        </w:rPr>
        <w:t xml:space="preserve"> </w:t>
      </w:r>
      <w:r w:rsidRPr="0031675F">
        <w:rPr>
          <w:spacing w:val="-1"/>
        </w:rPr>
        <w:t>View</w:t>
      </w:r>
      <w:r w:rsidRPr="0031675F">
        <w:rPr>
          <w:spacing w:val="-2"/>
        </w:rPr>
        <w:t xml:space="preserve"> </w:t>
      </w:r>
      <w:r w:rsidRPr="0031675F">
        <w:rPr>
          <w:spacing w:val="-1"/>
        </w:rPr>
        <w:t>software:</w:t>
      </w:r>
    </w:p>
    <w:p w14:paraId="0A6171D3" w14:textId="77777777" w:rsidR="0031675F" w:rsidRPr="0031675F" w:rsidRDefault="0031675F" w:rsidP="0031675F">
      <w:pPr>
        <w:spacing w:before="1"/>
        <w:rPr>
          <w:rFonts w:cs="Calibri"/>
          <w:sz w:val="10"/>
          <w:szCs w:val="10"/>
        </w:rPr>
      </w:pPr>
    </w:p>
    <w:p w14:paraId="575853F6" w14:textId="77777777" w:rsidR="0031675F" w:rsidRPr="0031675F" w:rsidRDefault="0031675F" w:rsidP="0031675F">
      <w:pPr>
        <w:spacing w:line="200" w:lineRule="atLeast"/>
        <w:ind w:left="533"/>
        <w:rPr>
          <w:rFonts w:cs="Calibri"/>
          <w:sz w:val="20"/>
          <w:szCs w:val="20"/>
        </w:rPr>
      </w:pPr>
      <w:r w:rsidRPr="0031675F">
        <w:rPr>
          <w:rFonts w:cs="Calibri"/>
          <w:noProof/>
          <w:sz w:val="20"/>
          <w:szCs w:val="20"/>
          <w:lang w:eastAsia="en-AU"/>
        </w:rPr>
        <w:drawing>
          <wp:inline distT="0" distB="0" distL="0" distR="0" wp14:anchorId="05533C86" wp14:editId="4CD0691C">
            <wp:extent cx="5238750" cy="4095750"/>
            <wp:effectExtent l="0" t="0" r="0" b="0"/>
            <wp:docPr id="118" name="image19.png" descr="Screen shot of ECO View program software page.&#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9.png"/>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238750" cy="4095750"/>
                    </a:xfrm>
                    <a:prstGeom prst="rect">
                      <a:avLst/>
                    </a:prstGeom>
                    <a:noFill/>
                    <a:ln>
                      <a:noFill/>
                    </a:ln>
                  </pic:spPr>
                </pic:pic>
              </a:graphicData>
            </a:graphic>
          </wp:inline>
        </w:drawing>
      </w:r>
    </w:p>
    <w:p w14:paraId="7299F9ED" w14:textId="77777777" w:rsidR="0031675F" w:rsidRPr="0031675F" w:rsidRDefault="0031675F" w:rsidP="0031675F">
      <w:pPr>
        <w:widowControl w:val="0"/>
        <w:numPr>
          <w:ilvl w:val="3"/>
          <w:numId w:val="74"/>
        </w:numPr>
        <w:tabs>
          <w:tab w:val="left" w:pos="859"/>
        </w:tabs>
        <w:spacing w:before="166" w:after="0" w:line="240" w:lineRule="auto"/>
      </w:pPr>
      <w:r w:rsidRPr="0031675F">
        <w:rPr>
          <w:spacing w:val="-1"/>
        </w:rPr>
        <w:t>Click</w:t>
      </w:r>
      <w:r w:rsidRPr="0031675F">
        <w:rPr>
          <w:spacing w:val="27"/>
        </w:rPr>
        <w:t xml:space="preserve"> </w:t>
      </w:r>
      <w:r w:rsidRPr="0031675F">
        <w:rPr>
          <w:noProof/>
          <w:spacing w:val="-22"/>
          <w:lang w:eastAsia="en-AU"/>
        </w:rPr>
        <w:drawing>
          <wp:inline distT="0" distB="0" distL="0" distR="0" wp14:anchorId="3846403B" wp14:editId="702A9AD3">
            <wp:extent cx="914400" cy="314325"/>
            <wp:effectExtent l="0" t="0" r="0" b="9525"/>
            <wp:docPr id="119" name="image20.jpeg" descr="Screen shot of host port selection.&#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0.jpeg"/>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914400" cy="314325"/>
                    </a:xfrm>
                    <a:prstGeom prst="rect">
                      <a:avLst/>
                    </a:prstGeom>
                    <a:noFill/>
                    <a:ln>
                      <a:noFill/>
                    </a:ln>
                  </pic:spPr>
                </pic:pic>
              </a:graphicData>
            </a:graphic>
          </wp:inline>
        </w:drawing>
      </w:r>
      <w:r w:rsidRPr="0031675F">
        <w:rPr>
          <w:rFonts w:ascii="Times New Roman"/>
          <w:spacing w:val="-22"/>
        </w:rPr>
        <w:t xml:space="preserve"> </w:t>
      </w:r>
      <w:r w:rsidRPr="0031675F">
        <w:rPr>
          <w:spacing w:val="-1"/>
        </w:rPr>
        <w:t>and select</w:t>
      </w:r>
      <w:r w:rsidRPr="0031675F">
        <w:t xml:space="preserve"> </w:t>
      </w:r>
      <w:r w:rsidRPr="0031675F">
        <w:rPr>
          <w:spacing w:val="-1"/>
        </w:rPr>
        <w:t>appropriate</w:t>
      </w:r>
      <w:r w:rsidRPr="0031675F">
        <w:t xml:space="preserve"> port</w:t>
      </w:r>
      <w:r w:rsidRPr="0031675F">
        <w:rPr>
          <w:spacing w:val="-2"/>
        </w:rPr>
        <w:t xml:space="preserve"> </w:t>
      </w:r>
      <w:r w:rsidRPr="0031675F">
        <w:t>for</w:t>
      </w:r>
      <w:r w:rsidRPr="0031675F">
        <w:rPr>
          <w:spacing w:val="-3"/>
        </w:rPr>
        <w:t xml:space="preserve"> </w:t>
      </w:r>
      <w:r w:rsidRPr="0031675F">
        <w:rPr>
          <w:spacing w:val="-1"/>
        </w:rPr>
        <w:t>the</w:t>
      </w:r>
      <w:r w:rsidRPr="0031675F">
        <w:rPr>
          <w:spacing w:val="-2"/>
        </w:rPr>
        <w:t xml:space="preserve"> </w:t>
      </w:r>
      <w:r w:rsidRPr="0031675F">
        <w:t>DB-9.</w:t>
      </w:r>
    </w:p>
    <w:p w14:paraId="1815F914" w14:textId="77777777" w:rsidR="0031675F" w:rsidRPr="0031675F" w:rsidRDefault="0031675F" w:rsidP="0031675F">
      <w:pPr>
        <w:widowControl w:val="0"/>
        <w:numPr>
          <w:ilvl w:val="3"/>
          <w:numId w:val="74"/>
        </w:numPr>
        <w:tabs>
          <w:tab w:val="left" w:pos="859"/>
        </w:tabs>
        <w:spacing w:before="122" w:after="0" w:line="238" w:lineRule="auto"/>
        <w:ind w:right="135"/>
      </w:pPr>
      <w:r w:rsidRPr="0031675F">
        <w:rPr>
          <w:spacing w:val="-1"/>
        </w:rPr>
        <w:t>Click</w:t>
      </w:r>
      <w:r w:rsidRPr="0031675F">
        <w:rPr>
          <w:spacing w:val="44"/>
        </w:rPr>
        <w:t xml:space="preserve"> </w:t>
      </w:r>
      <w:r w:rsidRPr="0031675F">
        <w:rPr>
          <w:noProof/>
          <w:spacing w:val="-5"/>
          <w:lang w:eastAsia="en-AU"/>
        </w:rPr>
        <w:drawing>
          <wp:inline distT="0" distB="0" distL="0" distR="0" wp14:anchorId="76873D85" wp14:editId="4DF84410">
            <wp:extent cx="1238250" cy="257175"/>
            <wp:effectExtent l="0" t="0" r="0" b="9525"/>
            <wp:docPr id="120" name="image21.png" descr="Screen shot of select device file.&#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1.png"/>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1238250" cy="257175"/>
                    </a:xfrm>
                    <a:prstGeom prst="rect">
                      <a:avLst/>
                    </a:prstGeom>
                    <a:noFill/>
                    <a:ln>
                      <a:noFill/>
                    </a:ln>
                  </pic:spPr>
                </pic:pic>
              </a:graphicData>
            </a:graphic>
          </wp:inline>
        </w:drawing>
      </w:r>
      <w:r w:rsidRPr="0031675F">
        <w:rPr>
          <w:rFonts w:ascii="Times New Roman"/>
          <w:spacing w:val="-5"/>
        </w:rPr>
        <w:t xml:space="preserve"> </w:t>
      </w:r>
      <w:r w:rsidRPr="0031675F">
        <w:rPr>
          <w:spacing w:val="-1"/>
        </w:rPr>
        <w:t>and</w:t>
      </w:r>
      <w:r w:rsidRPr="0031675F">
        <w:rPr>
          <w:spacing w:val="16"/>
        </w:rPr>
        <w:t xml:space="preserve"> </w:t>
      </w:r>
      <w:r w:rsidRPr="0031675F">
        <w:rPr>
          <w:spacing w:val="-1"/>
        </w:rPr>
        <w:t>browse</w:t>
      </w:r>
      <w:r w:rsidRPr="0031675F">
        <w:rPr>
          <w:spacing w:val="18"/>
        </w:rPr>
        <w:t xml:space="preserve"> </w:t>
      </w:r>
      <w:r w:rsidRPr="0031675F">
        <w:rPr>
          <w:spacing w:val="-1"/>
        </w:rPr>
        <w:t>for</w:t>
      </w:r>
      <w:r w:rsidRPr="0031675F">
        <w:rPr>
          <w:spacing w:val="17"/>
        </w:rPr>
        <w:t xml:space="preserve"> </w:t>
      </w:r>
      <w:r w:rsidRPr="0031675F">
        <w:rPr>
          <w:spacing w:val="-1"/>
        </w:rPr>
        <w:t>the</w:t>
      </w:r>
      <w:r w:rsidRPr="0031675F">
        <w:rPr>
          <w:spacing w:val="15"/>
        </w:rPr>
        <w:t xml:space="preserve"> </w:t>
      </w:r>
      <w:r w:rsidRPr="0031675F">
        <w:rPr>
          <w:spacing w:val="-1"/>
        </w:rPr>
        <w:t>most</w:t>
      </w:r>
      <w:r w:rsidRPr="0031675F">
        <w:rPr>
          <w:spacing w:val="17"/>
        </w:rPr>
        <w:t xml:space="preserve"> </w:t>
      </w:r>
      <w:r w:rsidRPr="0031675F">
        <w:rPr>
          <w:spacing w:val="-1"/>
        </w:rPr>
        <w:t>recent</w:t>
      </w:r>
      <w:r w:rsidRPr="0031675F">
        <w:rPr>
          <w:spacing w:val="15"/>
        </w:rPr>
        <w:t xml:space="preserve"> </w:t>
      </w:r>
      <w:r w:rsidRPr="0031675F">
        <w:rPr>
          <w:spacing w:val="-1"/>
        </w:rPr>
        <w:t>version</w:t>
      </w:r>
      <w:r w:rsidRPr="0031675F">
        <w:rPr>
          <w:spacing w:val="14"/>
        </w:rPr>
        <w:t xml:space="preserve"> </w:t>
      </w:r>
      <w:r w:rsidRPr="0031675F">
        <w:t>of</w:t>
      </w:r>
      <w:r w:rsidRPr="0031675F">
        <w:rPr>
          <w:spacing w:val="17"/>
        </w:rPr>
        <w:t xml:space="preserve"> </w:t>
      </w:r>
      <w:r w:rsidRPr="0031675F">
        <w:t>the</w:t>
      </w:r>
      <w:r w:rsidRPr="0031675F">
        <w:rPr>
          <w:spacing w:val="14"/>
        </w:rPr>
        <w:t xml:space="preserve"> </w:t>
      </w:r>
      <w:r w:rsidRPr="0031675F">
        <w:rPr>
          <w:spacing w:val="-1"/>
        </w:rPr>
        <w:t>device</w:t>
      </w:r>
      <w:r w:rsidRPr="0031675F">
        <w:rPr>
          <w:spacing w:val="17"/>
        </w:rPr>
        <w:t xml:space="preserve"> </w:t>
      </w:r>
      <w:r w:rsidRPr="0031675F">
        <w:rPr>
          <w:spacing w:val="-1"/>
        </w:rPr>
        <w:t>file</w:t>
      </w:r>
      <w:r w:rsidRPr="0031675F">
        <w:rPr>
          <w:spacing w:val="17"/>
        </w:rPr>
        <w:t xml:space="preserve"> </w:t>
      </w:r>
      <w:r w:rsidRPr="0031675F">
        <w:rPr>
          <w:spacing w:val="-1"/>
        </w:rPr>
        <w:t>(.dev)</w:t>
      </w:r>
      <w:r w:rsidRPr="0031675F">
        <w:rPr>
          <w:spacing w:val="51"/>
        </w:rPr>
        <w:t xml:space="preserve"> </w:t>
      </w:r>
      <w:r w:rsidRPr="0031675F">
        <w:rPr>
          <w:spacing w:val="-1"/>
        </w:rPr>
        <w:t>appropriate</w:t>
      </w:r>
      <w:r w:rsidRPr="0031675F">
        <w:rPr>
          <w:spacing w:val="-2"/>
        </w:rPr>
        <w:t xml:space="preserve"> </w:t>
      </w:r>
      <w:r w:rsidRPr="0031675F">
        <w:t>to</w:t>
      </w:r>
      <w:r w:rsidRPr="0031675F">
        <w:rPr>
          <w:spacing w:val="-1"/>
        </w:rPr>
        <w:t xml:space="preserve"> the</w:t>
      </w:r>
      <w:r w:rsidRPr="0031675F">
        <w:t xml:space="preserve"> </w:t>
      </w:r>
      <w:r w:rsidRPr="0031675F">
        <w:rPr>
          <w:spacing w:val="-1"/>
        </w:rPr>
        <w:t>logger</w:t>
      </w:r>
      <w:r w:rsidRPr="0031675F">
        <w:rPr>
          <w:spacing w:val="-2"/>
        </w:rPr>
        <w:t xml:space="preserve"> </w:t>
      </w:r>
      <w:r w:rsidRPr="0031675F">
        <w:rPr>
          <w:spacing w:val="-1"/>
        </w:rPr>
        <w:t xml:space="preserve">you </w:t>
      </w:r>
      <w:r w:rsidRPr="0031675F">
        <w:t>are</w:t>
      </w:r>
      <w:r w:rsidRPr="0031675F">
        <w:rPr>
          <w:spacing w:val="-2"/>
        </w:rPr>
        <w:t xml:space="preserve"> </w:t>
      </w:r>
      <w:r w:rsidRPr="0031675F">
        <w:rPr>
          <w:spacing w:val="-1"/>
        </w:rPr>
        <w:t>running.</w:t>
      </w:r>
    </w:p>
    <w:p w14:paraId="2EC2E5A9" w14:textId="77777777" w:rsidR="0031675F" w:rsidRPr="0031675F" w:rsidRDefault="0031675F" w:rsidP="0031675F">
      <w:pPr>
        <w:spacing w:after="120"/>
      </w:pPr>
      <w:r w:rsidRPr="0031675F">
        <w:t>The logger with serial number 818 requires device file FLNTUSB-818.dev. Device files are updated by WET Labs when the logger is returned the manufacturer for calibration and maintenance. (The device file is specific to the logger if creating output in ‘Engineering units’, but not for ‘Raw’ output. However a device file must still be selected to create raw output.)</w:t>
      </w:r>
    </w:p>
    <w:p w14:paraId="05F15180" w14:textId="77777777" w:rsidR="0031675F" w:rsidRPr="0031675F" w:rsidRDefault="0031675F" w:rsidP="0031675F">
      <w:pPr>
        <w:spacing w:before="120" w:after="120"/>
        <w:ind w:left="138" w:right="138"/>
        <w:jc w:val="both"/>
        <w:rPr>
          <w:rFonts w:cs="Calibri"/>
        </w:rPr>
      </w:pPr>
      <w:r w:rsidRPr="0031675F">
        <w:t>Note</w:t>
      </w:r>
      <w:r w:rsidRPr="0031675F">
        <w:rPr>
          <w:spacing w:val="2"/>
        </w:rPr>
        <w:t xml:space="preserve"> </w:t>
      </w:r>
      <w:r w:rsidRPr="0031675F">
        <w:rPr>
          <w:spacing w:val="-1"/>
        </w:rPr>
        <w:t>that</w:t>
      </w:r>
      <w:r w:rsidRPr="0031675F">
        <w:rPr>
          <w:spacing w:val="1"/>
        </w:rPr>
        <w:t xml:space="preserve"> </w:t>
      </w:r>
      <w:r w:rsidRPr="0031675F">
        <w:rPr>
          <w:spacing w:val="-1"/>
        </w:rPr>
        <w:t>ECO</w:t>
      </w:r>
      <w:r w:rsidRPr="0031675F">
        <w:rPr>
          <w:spacing w:val="1"/>
        </w:rPr>
        <w:t xml:space="preserve"> </w:t>
      </w:r>
      <w:r w:rsidRPr="0031675F">
        <w:rPr>
          <w:spacing w:val="-1"/>
        </w:rPr>
        <w:t>View</w:t>
      </w:r>
      <w:r w:rsidRPr="0031675F">
        <w:rPr>
          <w:spacing w:val="1"/>
        </w:rPr>
        <w:t xml:space="preserve"> </w:t>
      </w:r>
      <w:r w:rsidRPr="0031675F">
        <w:rPr>
          <w:spacing w:val="-1"/>
        </w:rPr>
        <w:t>cannot</w:t>
      </w:r>
      <w:r w:rsidRPr="0031675F">
        <w:rPr>
          <w:spacing w:val="1"/>
        </w:rPr>
        <w:t xml:space="preserve"> </w:t>
      </w:r>
      <w:r w:rsidRPr="0031675F">
        <w:t>read</w:t>
      </w:r>
      <w:r w:rsidRPr="0031675F">
        <w:rPr>
          <w:spacing w:val="49"/>
        </w:rPr>
        <w:t xml:space="preserve"> </w:t>
      </w:r>
      <w:r w:rsidRPr="0031675F">
        <w:rPr>
          <w:spacing w:val="-2"/>
        </w:rPr>
        <w:t>files</w:t>
      </w:r>
      <w:r w:rsidRPr="0031675F">
        <w:rPr>
          <w:spacing w:val="1"/>
        </w:rPr>
        <w:t xml:space="preserve"> </w:t>
      </w:r>
      <w:r w:rsidRPr="0031675F">
        <w:rPr>
          <w:spacing w:val="-1"/>
        </w:rPr>
        <w:t>stored</w:t>
      </w:r>
      <w:r w:rsidRPr="0031675F">
        <w:t xml:space="preserve"> in </w:t>
      </w:r>
      <w:r w:rsidRPr="0031675F">
        <w:rPr>
          <w:spacing w:val="-1"/>
        </w:rPr>
        <w:t>folders</w:t>
      </w:r>
      <w:r w:rsidRPr="0031675F">
        <w:rPr>
          <w:spacing w:val="1"/>
        </w:rPr>
        <w:t xml:space="preserve"> </w:t>
      </w:r>
      <w:r w:rsidRPr="0031675F">
        <w:rPr>
          <w:spacing w:val="-1"/>
        </w:rPr>
        <w:t>containing</w:t>
      </w:r>
      <w:r w:rsidRPr="0031675F">
        <w:t xml:space="preserve"> </w:t>
      </w:r>
      <w:r w:rsidRPr="0031675F">
        <w:rPr>
          <w:spacing w:val="-1"/>
        </w:rPr>
        <w:t>spaces</w:t>
      </w:r>
      <w:r w:rsidRPr="0031675F">
        <w:rPr>
          <w:spacing w:val="1"/>
        </w:rPr>
        <w:t xml:space="preserve"> </w:t>
      </w:r>
      <w:r w:rsidRPr="0031675F">
        <w:t>in</w:t>
      </w:r>
      <w:r w:rsidRPr="0031675F">
        <w:rPr>
          <w:spacing w:val="47"/>
        </w:rPr>
        <w:t xml:space="preserve"> </w:t>
      </w:r>
      <w:r w:rsidRPr="0031675F">
        <w:t>the</w:t>
      </w:r>
      <w:r w:rsidRPr="0031675F">
        <w:rPr>
          <w:spacing w:val="1"/>
        </w:rPr>
        <w:t xml:space="preserve"> </w:t>
      </w:r>
      <w:r w:rsidRPr="0031675F">
        <w:rPr>
          <w:spacing w:val="-1"/>
        </w:rPr>
        <w:t>folder</w:t>
      </w:r>
      <w:r w:rsidRPr="0031675F">
        <w:rPr>
          <w:spacing w:val="1"/>
        </w:rPr>
        <w:t xml:space="preserve"> </w:t>
      </w:r>
      <w:r w:rsidRPr="0031675F">
        <w:rPr>
          <w:spacing w:val="-1"/>
        </w:rPr>
        <w:t>names,</w:t>
      </w:r>
      <w:r w:rsidRPr="0031675F">
        <w:rPr>
          <w:spacing w:val="47"/>
        </w:rPr>
        <w:t xml:space="preserve"> </w:t>
      </w:r>
      <w:r w:rsidRPr="0031675F">
        <w:rPr>
          <w:spacing w:val="-1"/>
        </w:rPr>
        <w:t>therefore</w:t>
      </w:r>
      <w:r w:rsidRPr="0031675F">
        <w:t xml:space="preserve"> </w:t>
      </w:r>
      <w:r w:rsidRPr="0031675F">
        <w:rPr>
          <w:spacing w:val="-2"/>
        </w:rPr>
        <w:t>do</w:t>
      </w:r>
      <w:r w:rsidRPr="0031675F">
        <w:rPr>
          <w:spacing w:val="1"/>
        </w:rPr>
        <w:t xml:space="preserve"> </w:t>
      </w:r>
      <w:r w:rsidRPr="0031675F">
        <w:rPr>
          <w:spacing w:val="-1"/>
        </w:rPr>
        <w:t>not</w:t>
      </w:r>
      <w:r w:rsidRPr="0031675F">
        <w:t xml:space="preserve"> </w:t>
      </w:r>
      <w:r w:rsidRPr="0031675F">
        <w:rPr>
          <w:spacing w:val="-1"/>
        </w:rPr>
        <w:t>store</w:t>
      </w:r>
      <w:r w:rsidRPr="0031675F">
        <w:t xml:space="preserve"> </w:t>
      </w:r>
      <w:r w:rsidRPr="0031675F">
        <w:rPr>
          <w:spacing w:val="-1"/>
        </w:rPr>
        <w:t>sub-</w:t>
      </w:r>
      <w:r w:rsidRPr="0031675F">
        <w:rPr>
          <w:rFonts w:cs="Calibri"/>
          <w:spacing w:val="-1"/>
        </w:rPr>
        <w:t>folders</w:t>
      </w:r>
      <w:r w:rsidRPr="0031675F">
        <w:rPr>
          <w:rFonts w:cs="Calibri"/>
        </w:rPr>
        <w:t xml:space="preserve"> in</w:t>
      </w:r>
      <w:r w:rsidRPr="0031675F">
        <w:rPr>
          <w:rFonts w:cs="Calibri"/>
          <w:spacing w:val="-3"/>
        </w:rPr>
        <w:t xml:space="preserve"> </w:t>
      </w:r>
      <w:r w:rsidRPr="0031675F">
        <w:rPr>
          <w:rFonts w:cs="Calibri"/>
        </w:rPr>
        <w:t xml:space="preserve">the </w:t>
      </w:r>
      <w:r w:rsidRPr="0031675F">
        <w:rPr>
          <w:rFonts w:cs="Calibri"/>
          <w:spacing w:val="-1"/>
        </w:rPr>
        <w:t>‘My</w:t>
      </w:r>
      <w:r w:rsidRPr="0031675F">
        <w:rPr>
          <w:rFonts w:cs="Calibri"/>
          <w:spacing w:val="-2"/>
        </w:rPr>
        <w:t xml:space="preserve"> </w:t>
      </w:r>
      <w:r w:rsidRPr="0031675F">
        <w:rPr>
          <w:rFonts w:cs="Calibri"/>
          <w:spacing w:val="-1"/>
        </w:rPr>
        <w:t>Documents’</w:t>
      </w:r>
      <w:r w:rsidRPr="0031675F">
        <w:rPr>
          <w:rFonts w:cs="Calibri"/>
          <w:spacing w:val="1"/>
        </w:rPr>
        <w:t xml:space="preserve"> </w:t>
      </w:r>
      <w:r w:rsidRPr="0031675F">
        <w:rPr>
          <w:rFonts w:cs="Calibri"/>
          <w:spacing w:val="-1"/>
        </w:rPr>
        <w:t>folder</w:t>
      </w:r>
      <w:r w:rsidRPr="0031675F">
        <w:rPr>
          <w:rFonts w:cs="Calibri"/>
          <w:spacing w:val="-2"/>
        </w:rPr>
        <w:t xml:space="preserve"> </w:t>
      </w:r>
      <w:r w:rsidRPr="0031675F">
        <w:rPr>
          <w:rFonts w:cs="Calibri"/>
        </w:rPr>
        <w:t xml:space="preserve">or </w:t>
      </w:r>
      <w:r w:rsidRPr="0031675F">
        <w:rPr>
          <w:rFonts w:cs="Calibri"/>
          <w:spacing w:val="-1"/>
        </w:rPr>
        <w:t>others</w:t>
      </w:r>
      <w:r w:rsidRPr="0031675F">
        <w:rPr>
          <w:rFonts w:cs="Calibri"/>
          <w:spacing w:val="-2"/>
        </w:rPr>
        <w:t xml:space="preserve"> </w:t>
      </w:r>
      <w:r w:rsidRPr="0031675F">
        <w:rPr>
          <w:rFonts w:cs="Calibri"/>
        </w:rPr>
        <w:t xml:space="preserve">with </w:t>
      </w:r>
      <w:r w:rsidRPr="0031675F">
        <w:rPr>
          <w:rFonts w:cs="Calibri"/>
          <w:spacing w:val="-1"/>
        </w:rPr>
        <w:t>spaces</w:t>
      </w:r>
      <w:r w:rsidRPr="0031675F">
        <w:rPr>
          <w:rFonts w:cs="Calibri"/>
          <w:spacing w:val="1"/>
        </w:rPr>
        <w:t xml:space="preserve"> </w:t>
      </w:r>
      <w:r w:rsidRPr="0031675F">
        <w:rPr>
          <w:rFonts w:cs="Calibri"/>
        </w:rPr>
        <w:t>in</w:t>
      </w:r>
      <w:r w:rsidRPr="0031675F">
        <w:rPr>
          <w:rFonts w:cs="Calibri"/>
          <w:spacing w:val="-1"/>
        </w:rPr>
        <w:t xml:space="preserve"> </w:t>
      </w:r>
      <w:r w:rsidRPr="0031675F">
        <w:rPr>
          <w:rFonts w:cs="Calibri"/>
          <w:spacing w:val="-2"/>
        </w:rPr>
        <w:t>the</w:t>
      </w:r>
      <w:r w:rsidRPr="0031675F">
        <w:rPr>
          <w:rFonts w:cs="Calibri"/>
        </w:rPr>
        <w:t xml:space="preserve"> </w:t>
      </w:r>
      <w:r w:rsidRPr="0031675F">
        <w:rPr>
          <w:rFonts w:cs="Calibri"/>
          <w:spacing w:val="-1"/>
        </w:rPr>
        <w:t>name.</w:t>
      </w:r>
    </w:p>
    <w:p w14:paraId="3B57B4F7" w14:textId="77777777" w:rsidR="0031675F" w:rsidRPr="0031675F" w:rsidRDefault="0031675F" w:rsidP="0031675F">
      <w:pPr>
        <w:widowControl w:val="0"/>
        <w:numPr>
          <w:ilvl w:val="3"/>
          <w:numId w:val="74"/>
        </w:numPr>
        <w:tabs>
          <w:tab w:val="left" w:pos="839"/>
        </w:tabs>
        <w:spacing w:before="0" w:after="0" w:line="239" w:lineRule="auto"/>
        <w:ind w:left="838" w:right="111"/>
        <w:jc w:val="both"/>
      </w:pPr>
      <w:r w:rsidRPr="0031675F">
        <w:rPr>
          <w:spacing w:val="-1"/>
        </w:rPr>
        <w:t>Connect</w:t>
      </w:r>
      <w:r w:rsidRPr="0031675F">
        <w:rPr>
          <w:spacing w:val="6"/>
        </w:rPr>
        <w:t xml:space="preserve"> </w:t>
      </w:r>
      <w:r w:rsidRPr="0031675F">
        <w:rPr>
          <w:spacing w:val="-1"/>
        </w:rPr>
        <w:t>the</w:t>
      </w:r>
      <w:r w:rsidRPr="0031675F">
        <w:rPr>
          <w:spacing w:val="5"/>
        </w:rPr>
        <w:t xml:space="preserve"> </w:t>
      </w:r>
      <w:r w:rsidRPr="0031675F">
        <w:rPr>
          <w:spacing w:val="-1"/>
        </w:rPr>
        <w:t>6-socket</w:t>
      </w:r>
      <w:r w:rsidRPr="0031675F">
        <w:rPr>
          <w:spacing w:val="5"/>
        </w:rPr>
        <w:t xml:space="preserve"> </w:t>
      </w:r>
      <w:r w:rsidRPr="0031675F">
        <w:rPr>
          <w:spacing w:val="-1"/>
        </w:rPr>
        <w:t>connector</w:t>
      </w:r>
      <w:r w:rsidRPr="0031675F">
        <w:rPr>
          <w:spacing w:val="5"/>
        </w:rPr>
        <w:t xml:space="preserve"> </w:t>
      </w:r>
      <w:r w:rsidRPr="0031675F">
        <w:t>on</w:t>
      </w:r>
      <w:r w:rsidRPr="0031675F">
        <w:rPr>
          <w:spacing w:val="4"/>
        </w:rPr>
        <w:t xml:space="preserve"> </w:t>
      </w:r>
      <w:r w:rsidRPr="0031675F">
        <w:t>the</w:t>
      </w:r>
      <w:r w:rsidRPr="0031675F">
        <w:rPr>
          <w:spacing w:val="5"/>
        </w:rPr>
        <w:t xml:space="preserve"> </w:t>
      </w:r>
      <w:r w:rsidRPr="0031675F">
        <w:rPr>
          <w:spacing w:val="-1"/>
        </w:rPr>
        <w:t>test</w:t>
      </w:r>
      <w:r w:rsidRPr="0031675F">
        <w:rPr>
          <w:spacing w:val="5"/>
        </w:rPr>
        <w:t xml:space="preserve"> </w:t>
      </w:r>
      <w:r w:rsidRPr="0031675F">
        <w:rPr>
          <w:spacing w:val="-1"/>
        </w:rPr>
        <w:t>cable</w:t>
      </w:r>
      <w:r w:rsidRPr="0031675F">
        <w:rPr>
          <w:spacing w:val="7"/>
        </w:rPr>
        <w:t xml:space="preserve"> </w:t>
      </w:r>
      <w:r w:rsidRPr="0031675F">
        <w:rPr>
          <w:spacing w:val="-1"/>
        </w:rPr>
        <w:t>to</w:t>
      </w:r>
      <w:r w:rsidRPr="0031675F">
        <w:rPr>
          <w:spacing w:val="6"/>
        </w:rPr>
        <w:t xml:space="preserve"> </w:t>
      </w:r>
      <w:r w:rsidRPr="0031675F">
        <w:rPr>
          <w:spacing w:val="-1"/>
        </w:rPr>
        <w:t>the</w:t>
      </w:r>
      <w:r w:rsidRPr="0031675F">
        <w:rPr>
          <w:spacing w:val="5"/>
        </w:rPr>
        <w:t xml:space="preserve"> </w:t>
      </w:r>
      <w:r w:rsidRPr="0031675F">
        <w:rPr>
          <w:spacing w:val="-1"/>
        </w:rPr>
        <w:t>logger</w:t>
      </w:r>
      <w:r w:rsidRPr="0031675F">
        <w:rPr>
          <w:spacing w:val="5"/>
        </w:rPr>
        <w:t xml:space="preserve"> </w:t>
      </w:r>
      <w:r w:rsidRPr="0031675F">
        <w:t>to</w:t>
      </w:r>
      <w:r w:rsidRPr="0031675F">
        <w:rPr>
          <w:spacing w:val="6"/>
        </w:rPr>
        <w:t xml:space="preserve"> </w:t>
      </w:r>
      <w:r w:rsidRPr="0031675F">
        <w:rPr>
          <w:spacing w:val="-1"/>
        </w:rPr>
        <w:t>provide</w:t>
      </w:r>
      <w:r w:rsidRPr="0031675F">
        <w:rPr>
          <w:spacing w:val="5"/>
        </w:rPr>
        <w:t xml:space="preserve"> </w:t>
      </w:r>
      <w:r w:rsidRPr="0031675F">
        <w:rPr>
          <w:spacing w:val="-1"/>
        </w:rPr>
        <w:t>power</w:t>
      </w:r>
      <w:r w:rsidRPr="0031675F">
        <w:rPr>
          <w:spacing w:val="3"/>
        </w:rPr>
        <w:t xml:space="preserve"> </w:t>
      </w:r>
      <w:r w:rsidRPr="0031675F">
        <w:t>to</w:t>
      </w:r>
      <w:r w:rsidRPr="0031675F">
        <w:rPr>
          <w:spacing w:val="6"/>
        </w:rPr>
        <w:t xml:space="preserve"> </w:t>
      </w:r>
      <w:r w:rsidRPr="0031675F">
        <w:t>the</w:t>
      </w:r>
      <w:r w:rsidRPr="0031675F">
        <w:rPr>
          <w:spacing w:val="5"/>
        </w:rPr>
        <w:t xml:space="preserve"> </w:t>
      </w:r>
      <w:r w:rsidRPr="0031675F">
        <w:rPr>
          <w:spacing w:val="-1"/>
        </w:rPr>
        <w:t>LEDs</w:t>
      </w:r>
      <w:r w:rsidRPr="0031675F">
        <w:rPr>
          <w:spacing w:val="59"/>
        </w:rPr>
        <w:t xml:space="preserve"> </w:t>
      </w:r>
      <w:r w:rsidRPr="0031675F">
        <w:rPr>
          <w:spacing w:val="-1"/>
        </w:rPr>
        <w:t>and</w:t>
      </w:r>
      <w:r w:rsidRPr="0031675F">
        <w:rPr>
          <w:spacing w:val="21"/>
        </w:rPr>
        <w:t xml:space="preserve"> </w:t>
      </w:r>
      <w:r w:rsidRPr="0031675F">
        <w:rPr>
          <w:spacing w:val="-1"/>
        </w:rPr>
        <w:t>electronics.</w:t>
      </w:r>
      <w:r w:rsidRPr="0031675F">
        <w:rPr>
          <w:spacing w:val="20"/>
        </w:rPr>
        <w:t xml:space="preserve"> </w:t>
      </w:r>
      <w:r w:rsidRPr="0031675F">
        <w:rPr>
          <w:spacing w:val="-1"/>
        </w:rPr>
        <w:t>Light</w:t>
      </w:r>
      <w:r w:rsidRPr="0031675F">
        <w:rPr>
          <w:spacing w:val="22"/>
        </w:rPr>
        <w:t xml:space="preserve"> </w:t>
      </w:r>
      <w:r w:rsidRPr="0031675F">
        <w:rPr>
          <w:spacing w:val="-1"/>
        </w:rPr>
        <w:t>should</w:t>
      </w:r>
      <w:r w:rsidRPr="0031675F">
        <w:rPr>
          <w:spacing w:val="20"/>
        </w:rPr>
        <w:t xml:space="preserve"> </w:t>
      </w:r>
      <w:r w:rsidRPr="0031675F">
        <w:t>emanate</w:t>
      </w:r>
      <w:r w:rsidRPr="0031675F">
        <w:rPr>
          <w:spacing w:val="22"/>
        </w:rPr>
        <w:t xml:space="preserve"> </w:t>
      </w:r>
      <w:r w:rsidRPr="0031675F">
        <w:rPr>
          <w:spacing w:val="-2"/>
        </w:rPr>
        <w:t>from</w:t>
      </w:r>
      <w:r w:rsidRPr="0031675F">
        <w:rPr>
          <w:spacing w:val="22"/>
        </w:rPr>
        <w:t xml:space="preserve"> </w:t>
      </w:r>
      <w:r w:rsidRPr="0031675F">
        <w:t>the</w:t>
      </w:r>
      <w:r w:rsidRPr="0031675F">
        <w:rPr>
          <w:spacing w:val="23"/>
        </w:rPr>
        <w:t xml:space="preserve"> </w:t>
      </w:r>
      <w:r w:rsidRPr="0031675F">
        <w:rPr>
          <w:spacing w:val="-1"/>
        </w:rPr>
        <w:t>optical</w:t>
      </w:r>
      <w:r w:rsidRPr="0031675F">
        <w:rPr>
          <w:spacing w:val="21"/>
        </w:rPr>
        <w:t xml:space="preserve"> </w:t>
      </w:r>
      <w:r w:rsidRPr="0031675F">
        <w:rPr>
          <w:spacing w:val="-1"/>
        </w:rPr>
        <w:t>window of the logger,</w:t>
      </w:r>
      <w:r w:rsidRPr="0031675F">
        <w:rPr>
          <w:spacing w:val="22"/>
        </w:rPr>
        <w:t xml:space="preserve"> </w:t>
      </w:r>
      <w:r w:rsidRPr="0031675F">
        <w:rPr>
          <w:spacing w:val="-1"/>
        </w:rPr>
        <w:t>the</w:t>
      </w:r>
      <w:r w:rsidRPr="0031675F">
        <w:rPr>
          <w:spacing w:val="22"/>
        </w:rPr>
        <w:t xml:space="preserve"> </w:t>
      </w:r>
      <w:r w:rsidRPr="0031675F">
        <w:rPr>
          <w:spacing w:val="-1"/>
        </w:rPr>
        <w:t>frequency</w:t>
      </w:r>
      <w:r w:rsidRPr="0031675F">
        <w:rPr>
          <w:spacing w:val="22"/>
        </w:rPr>
        <w:t xml:space="preserve"> </w:t>
      </w:r>
      <w:r w:rsidRPr="0031675F">
        <w:rPr>
          <w:spacing w:val="-1"/>
        </w:rPr>
        <w:t>determined</w:t>
      </w:r>
      <w:r w:rsidRPr="0031675F">
        <w:rPr>
          <w:spacing w:val="61"/>
        </w:rPr>
        <w:t xml:space="preserve"> </w:t>
      </w:r>
      <w:r w:rsidRPr="0031675F">
        <w:rPr>
          <w:spacing w:val="-1"/>
        </w:rPr>
        <w:t>by</w:t>
      </w:r>
      <w:r w:rsidRPr="0031675F">
        <w:rPr>
          <w:spacing w:val="8"/>
        </w:rPr>
        <w:t xml:space="preserve"> </w:t>
      </w:r>
      <w:r w:rsidRPr="0031675F">
        <w:t>the</w:t>
      </w:r>
      <w:r w:rsidRPr="0031675F">
        <w:rPr>
          <w:spacing w:val="7"/>
        </w:rPr>
        <w:t xml:space="preserve"> </w:t>
      </w:r>
      <w:r w:rsidRPr="0031675F">
        <w:rPr>
          <w:spacing w:val="-1"/>
        </w:rPr>
        <w:t>setup.</w:t>
      </w:r>
      <w:r w:rsidRPr="0031675F">
        <w:rPr>
          <w:spacing w:val="7"/>
        </w:rPr>
        <w:t xml:space="preserve"> </w:t>
      </w:r>
      <w:r w:rsidRPr="0031675F">
        <w:rPr>
          <w:b/>
          <w:spacing w:val="-1"/>
        </w:rPr>
        <w:t>Quickly</w:t>
      </w:r>
      <w:r w:rsidRPr="0031675F">
        <w:rPr>
          <w:b/>
          <w:spacing w:val="9"/>
        </w:rPr>
        <w:t xml:space="preserve"> </w:t>
      </w:r>
      <w:r w:rsidRPr="0031675F">
        <w:rPr>
          <w:spacing w:val="-1"/>
        </w:rPr>
        <w:t>stop</w:t>
      </w:r>
      <w:r w:rsidRPr="0031675F">
        <w:rPr>
          <w:spacing w:val="6"/>
        </w:rPr>
        <w:t xml:space="preserve"> </w:t>
      </w:r>
      <w:r w:rsidRPr="0031675F">
        <w:t>the</w:t>
      </w:r>
      <w:r w:rsidRPr="0031675F">
        <w:rPr>
          <w:spacing w:val="7"/>
        </w:rPr>
        <w:t xml:space="preserve"> </w:t>
      </w:r>
      <w:r w:rsidRPr="0031675F">
        <w:rPr>
          <w:spacing w:val="-1"/>
        </w:rPr>
        <w:t>logger</w:t>
      </w:r>
      <w:r w:rsidRPr="0031675F">
        <w:rPr>
          <w:spacing w:val="7"/>
        </w:rPr>
        <w:t xml:space="preserve"> </w:t>
      </w:r>
      <w:r w:rsidRPr="0031675F">
        <w:rPr>
          <w:spacing w:val="-1"/>
        </w:rPr>
        <w:t>(you</w:t>
      </w:r>
      <w:r w:rsidRPr="0031675F">
        <w:rPr>
          <w:spacing w:val="6"/>
        </w:rPr>
        <w:t xml:space="preserve"> </w:t>
      </w:r>
      <w:r w:rsidRPr="0031675F">
        <w:t>can</w:t>
      </w:r>
      <w:r w:rsidRPr="0031675F">
        <w:rPr>
          <w:spacing w:val="6"/>
        </w:rPr>
        <w:t xml:space="preserve"> </w:t>
      </w:r>
      <w:r w:rsidRPr="0031675F">
        <w:rPr>
          <w:spacing w:val="-1"/>
        </w:rPr>
        <w:t>only</w:t>
      </w:r>
      <w:r w:rsidRPr="0031675F">
        <w:rPr>
          <w:spacing w:val="8"/>
        </w:rPr>
        <w:t xml:space="preserve"> </w:t>
      </w:r>
      <w:r w:rsidRPr="0031675F">
        <w:rPr>
          <w:spacing w:val="-1"/>
        </w:rPr>
        <w:t>stop</w:t>
      </w:r>
      <w:r w:rsidRPr="0031675F">
        <w:rPr>
          <w:spacing w:val="6"/>
        </w:rPr>
        <w:t xml:space="preserve"> </w:t>
      </w:r>
      <w:r w:rsidRPr="0031675F">
        <w:t>the</w:t>
      </w:r>
      <w:r w:rsidRPr="0031675F">
        <w:rPr>
          <w:spacing w:val="7"/>
        </w:rPr>
        <w:t xml:space="preserve"> </w:t>
      </w:r>
      <w:r w:rsidRPr="0031675F">
        <w:rPr>
          <w:spacing w:val="-1"/>
        </w:rPr>
        <w:t>logger</w:t>
      </w:r>
      <w:r w:rsidRPr="0031675F">
        <w:rPr>
          <w:spacing w:val="5"/>
        </w:rPr>
        <w:t xml:space="preserve"> </w:t>
      </w:r>
      <w:r w:rsidRPr="0031675F">
        <w:t>when</w:t>
      </w:r>
      <w:r w:rsidRPr="0031675F">
        <w:rPr>
          <w:spacing w:val="7"/>
        </w:rPr>
        <w:t xml:space="preserve"> </w:t>
      </w:r>
      <w:r w:rsidRPr="0031675F">
        <w:t>the</w:t>
      </w:r>
      <w:r w:rsidRPr="0031675F">
        <w:rPr>
          <w:spacing w:val="7"/>
        </w:rPr>
        <w:t xml:space="preserve"> </w:t>
      </w:r>
      <w:r w:rsidRPr="0031675F">
        <w:rPr>
          <w:spacing w:val="-2"/>
        </w:rPr>
        <w:t>light</w:t>
      </w:r>
      <w:r w:rsidRPr="0031675F">
        <w:rPr>
          <w:spacing w:val="8"/>
        </w:rPr>
        <w:t xml:space="preserve"> </w:t>
      </w:r>
      <w:r w:rsidRPr="0031675F">
        <w:t>is</w:t>
      </w:r>
      <w:r w:rsidRPr="0031675F">
        <w:rPr>
          <w:spacing w:val="7"/>
        </w:rPr>
        <w:t xml:space="preserve"> </w:t>
      </w:r>
      <w:r w:rsidRPr="0031675F">
        <w:rPr>
          <w:spacing w:val="-1"/>
        </w:rPr>
        <w:t>flashing</w:t>
      </w:r>
      <w:r w:rsidRPr="0031675F">
        <w:rPr>
          <w:spacing w:val="49"/>
        </w:rPr>
        <w:t xml:space="preserve"> </w:t>
      </w:r>
      <w:r w:rsidRPr="0031675F">
        <w:rPr>
          <w:spacing w:val="-1"/>
        </w:rPr>
        <w:t>during</w:t>
      </w:r>
      <w:r w:rsidRPr="0031675F">
        <w:rPr>
          <w:spacing w:val="39"/>
        </w:rPr>
        <w:t xml:space="preserve"> </w:t>
      </w:r>
      <w:r w:rsidRPr="0031675F">
        <w:t>a</w:t>
      </w:r>
      <w:r w:rsidRPr="0031675F">
        <w:rPr>
          <w:spacing w:val="41"/>
        </w:rPr>
        <w:t xml:space="preserve"> </w:t>
      </w:r>
      <w:r w:rsidRPr="0031675F">
        <w:rPr>
          <w:spacing w:val="-1"/>
        </w:rPr>
        <w:t>reading,</w:t>
      </w:r>
      <w:r w:rsidRPr="0031675F">
        <w:rPr>
          <w:spacing w:val="41"/>
        </w:rPr>
        <w:t xml:space="preserve"> </w:t>
      </w:r>
      <w:r w:rsidRPr="0031675F">
        <w:rPr>
          <w:spacing w:val="-1"/>
        </w:rPr>
        <w:t>so</w:t>
      </w:r>
      <w:r w:rsidRPr="0031675F">
        <w:rPr>
          <w:spacing w:val="41"/>
        </w:rPr>
        <w:t xml:space="preserve"> </w:t>
      </w:r>
      <w:r w:rsidRPr="0031675F">
        <w:t>if</w:t>
      </w:r>
      <w:r w:rsidRPr="0031675F">
        <w:rPr>
          <w:spacing w:val="40"/>
        </w:rPr>
        <w:t xml:space="preserve"> </w:t>
      </w:r>
      <w:r w:rsidRPr="0031675F">
        <w:t>the</w:t>
      </w:r>
      <w:r w:rsidRPr="0031675F">
        <w:rPr>
          <w:spacing w:val="42"/>
        </w:rPr>
        <w:t xml:space="preserve"> </w:t>
      </w:r>
      <w:r w:rsidRPr="0031675F">
        <w:rPr>
          <w:spacing w:val="-1"/>
        </w:rPr>
        <w:t>logger</w:t>
      </w:r>
      <w:r w:rsidRPr="0031675F">
        <w:rPr>
          <w:spacing w:val="41"/>
        </w:rPr>
        <w:t xml:space="preserve"> </w:t>
      </w:r>
      <w:r w:rsidRPr="0031675F">
        <w:t>is</w:t>
      </w:r>
      <w:r w:rsidRPr="0031675F">
        <w:rPr>
          <w:spacing w:val="40"/>
        </w:rPr>
        <w:t xml:space="preserve"> </w:t>
      </w:r>
      <w:r w:rsidRPr="0031675F">
        <w:rPr>
          <w:spacing w:val="-1"/>
        </w:rPr>
        <w:t>set</w:t>
      </w:r>
      <w:r w:rsidRPr="0031675F">
        <w:rPr>
          <w:spacing w:val="39"/>
        </w:rPr>
        <w:t xml:space="preserve"> </w:t>
      </w:r>
      <w:r w:rsidRPr="0031675F">
        <w:t>to</w:t>
      </w:r>
      <w:r w:rsidRPr="0031675F">
        <w:rPr>
          <w:spacing w:val="43"/>
        </w:rPr>
        <w:t xml:space="preserve"> </w:t>
      </w:r>
      <w:r w:rsidRPr="0031675F">
        <w:rPr>
          <w:spacing w:val="1"/>
        </w:rPr>
        <w:t>read</w:t>
      </w:r>
      <w:r w:rsidRPr="0031675F">
        <w:rPr>
          <w:spacing w:val="39"/>
        </w:rPr>
        <w:t xml:space="preserve"> </w:t>
      </w:r>
      <w:r w:rsidRPr="0031675F">
        <w:t>at</w:t>
      </w:r>
      <w:r w:rsidRPr="0031675F">
        <w:rPr>
          <w:spacing w:val="39"/>
        </w:rPr>
        <w:t xml:space="preserve"> </w:t>
      </w:r>
      <w:r w:rsidRPr="0031675F">
        <w:t>10</w:t>
      </w:r>
      <w:r w:rsidRPr="0031675F">
        <w:rPr>
          <w:spacing w:val="42"/>
        </w:rPr>
        <w:t xml:space="preserve"> </w:t>
      </w:r>
      <w:r w:rsidRPr="0031675F">
        <w:rPr>
          <w:spacing w:val="-1"/>
        </w:rPr>
        <w:t>minute</w:t>
      </w:r>
      <w:r w:rsidRPr="0031675F">
        <w:rPr>
          <w:spacing w:val="42"/>
        </w:rPr>
        <w:t xml:space="preserve"> </w:t>
      </w:r>
      <w:r w:rsidRPr="0031675F">
        <w:rPr>
          <w:spacing w:val="-1"/>
        </w:rPr>
        <w:t>intervals</w:t>
      </w:r>
      <w:r w:rsidRPr="0031675F">
        <w:rPr>
          <w:spacing w:val="40"/>
        </w:rPr>
        <w:t xml:space="preserve"> </w:t>
      </w:r>
      <w:r w:rsidRPr="0031675F">
        <w:rPr>
          <w:spacing w:val="-1"/>
        </w:rPr>
        <w:t>you</w:t>
      </w:r>
      <w:r w:rsidRPr="0031675F">
        <w:rPr>
          <w:spacing w:val="40"/>
        </w:rPr>
        <w:t xml:space="preserve"> </w:t>
      </w:r>
      <w:r w:rsidRPr="0031675F">
        <w:rPr>
          <w:spacing w:val="-1"/>
        </w:rPr>
        <w:t>have</w:t>
      </w:r>
      <w:r w:rsidRPr="0031675F">
        <w:rPr>
          <w:spacing w:val="42"/>
        </w:rPr>
        <w:t xml:space="preserve"> </w:t>
      </w:r>
      <w:r w:rsidRPr="0031675F">
        <w:rPr>
          <w:spacing w:val="-1"/>
        </w:rPr>
        <w:t>limited</w:t>
      </w:r>
      <w:r w:rsidRPr="0031675F">
        <w:rPr>
          <w:spacing w:val="49"/>
        </w:rPr>
        <w:t xml:space="preserve"> </w:t>
      </w:r>
      <w:r w:rsidRPr="0031675F">
        <w:rPr>
          <w:spacing w:val="-1"/>
        </w:rPr>
        <w:t>opportunities.)</w:t>
      </w:r>
    </w:p>
    <w:p w14:paraId="2EC64AB6" w14:textId="77777777" w:rsidR="0031675F" w:rsidRPr="0031675F" w:rsidRDefault="0031675F" w:rsidP="0031675F">
      <w:pPr>
        <w:widowControl w:val="0"/>
        <w:numPr>
          <w:ilvl w:val="3"/>
          <w:numId w:val="74"/>
        </w:numPr>
        <w:tabs>
          <w:tab w:val="left" w:pos="839"/>
        </w:tabs>
        <w:spacing w:before="125" w:after="0" w:line="239" w:lineRule="auto"/>
        <w:ind w:left="838" w:right="114"/>
        <w:jc w:val="both"/>
      </w:pPr>
      <w:r w:rsidRPr="0031675F">
        <w:rPr>
          <w:spacing w:val="-1"/>
        </w:rPr>
        <w:t>To</w:t>
      </w:r>
      <w:r w:rsidRPr="0031675F">
        <w:rPr>
          <w:spacing w:val="16"/>
        </w:rPr>
        <w:t xml:space="preserve"> </w:t>
      </w:r>
      <w:r w:rsidRPr="0031675F">
        <w:rPr>
          <w:spacing w:val="-1"/>
        </w:rPr>
        <w:t>stop</w:t>
      </w:r>
      <w:r w:rsidRPr="0031675F">
        <w:rPr>
          <w:spacing w:val="14"/>
        </w:rPr>
        <w:t xml:space="preserve"> </w:t>
      </w:r>
      <w:r w:rsidRPr="0031675F">
        <w:rPr>
          <w:spacing w:val="-1"/>
        </w:rPr>
        <w:t>logger,</w:t>
      </w:r>
      <w:r w:rsidRPr="0031675F">
        <w:rPr>
          <w:spacing w:val="14"/>
        </w:rPr>
        <w:t xml:space="preserve"> </w:t>
      </w:r>
      <w:r w:rsidRPr="0031675F">
        <w:rPr>
          <w:spacing w:val="-1"/>
        </w:rPr>
        <w:t>click</w:t>
      </w:r>
      <w:r w:rsidRPr="0031675F">
        <w:rPr>
          <w:spacing w:val="44"/>
        </w:rPr>
        <w:t xml:space="preserve"> </w:t>
      </w:r>
      <w:r w:rsidRPr="0031675F">
        <w:rPr>
          <w:noProof/>
          <w:spacing w:val="-5"/>
          <w:lang w:eastAsia="en-AU"/>
        </w:rPr>
        <w:drawing>
          <wp:inline distT="0" distB="0" distL="0" distR="0" wp14:anchorId="4A3E94EE" wp14:editId="520FBACD">
            <wp:extent cx="1162050" cy="342900"/>
            <wp:effectExtent l="0" t="0" r="0" b="0"/>
            <wp:docPr id="121" name="image22.png" descr="Screen shot of 'stop data'.&#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2.png"/>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1162050" cy="342900"/>
                    </a:xfrm>
                    <a:prstGeom prst="rect">
                      <a:avLst/>
                    </a:prstGeom>
                    <a:noFill/>
                    <a:ln>
                      <a:noFill/>
                    </a:ln>
                  </pic:spPr>
                </pic:pic>
              </a:graphicData>
            </a:graphic>
          </wp:inline>
        </w:drawing>
      </w:r>
      <w:r w:rsidRPr="0031675F">
        <w:rPr>
          <w:rFonts w:ascii="Times New Roman"/>
          <w:spacing w:val="-5"/>
        </w:rPr>
        <w:t xml:space="preserve"> </w:t>
      </w:r>
      <w:r w:rsidRPr="0031675F">
        <w:rPr>
          <w:spacing w:val="-1"/>
        </w:rPr>
        <w:t>multiple</w:t>
      </w:r>
      <w:r w:rsidRPr="0031675F">
        <w:rPr>
          <w:spacing w:val="14"/>
        </w:rPr>
        <w:t xml:space="preserve"> </w:t>
      </w:r>
      <w:r w:rsidRPr="0031675F">
        <w:t>times</w:t>
      </w:r>
      <w:r w:rsidRPr="0031675F">
        <w:rPr>
          <w:spacing w:val="12"/>
        </w:rPr>
        <w:t xml:space="preserve"> </w:t>
      </w:r>
      <w:r w:rsidRPr="0031675F">
        <w:rPr>
          <w:spacing w:val="-1"/>
        </w:rPr>
        <w:t>whilst</w:t>
      </w:r>
      <w:r w:rsidRPr="0031675F">
        <w:rPr>
          <w:spacing w:val="15"/>
        </w:rPr>
        <w:t xml:space="preserve"> </w:t>
      </w:r>
      <w:r w:rsidRPr="0031675F">
        <w:t>the</w:t>
      </w:r>
      <w:r w:rsidRPr="0031675F">
        <w:rPr>
          <w:spacing w:val="14"/>
        </w:rPr>
        <w:t xml:space="preserve"> </w:t>
      </w:r>
      <w:r w:rsidRPr="0031675F">
        <w:rPr>
          <w:spacing w:val="-1"/>
        </w:rPr>
        <w:t>instrument</w:t>
      </w:r>
      <w:r w:rsidRPr="0031675F">
        <w:rPr>
          <w:spacing w:val="14"/>
        </w:rPr>
        <w:t xml:space="preserve"> </w:t>
      </w:r>
      <w:r w:rsidRPr="0031675F">
        <w:t>is</w:t>
      </w:r>
      <w:r w:rsidRPr="0031675F">
        <w:rPr>
          <w:spacing w:val="14"/>
        </w:rPr>
        <w:t xml:space="preserve"> </w:t>
      </w:r>
      <w:r w:rsidRPr="0031675F">
        <w:rPr>
          <w:spacing w:val="-1"/>
        </w:rPr>
        <w:t>emanating</w:t>
      </w:r>
      <w:r w:rsidRPr="0031675F">
        <w:rPr>
          <w:spacing w:val="51"/>
        </w:rPr>
        <w:t xml:space="preserve"> </w:t>
      </w:r>
      <w:r w:rsidRPr="0031675F">
        <w:rPr>
          <w:spacing w:val="-1"/>
        </w:rPr>
        <w:t>light</w:t>
      </w:r>
      <w:r w:rsidRPr="0031675F">
        <w:t xml:space="preserve"> </w:t>
      </w:r>
      <w:r w:rsidRPr="0031675F">
        <w:rPr>
          <w:spacing w:val="-1"/>
        </w:rPr>
        <w:t>during the</w:t>
      </w:r>
      <w:r w:rsidRPr="0031675F">
        <w:t xml:space="preserve"> </w:t>
      </w:r>
      <w:r w:rsidRPr="0031675F">
        <w:rPr>
          <w:spacing w:val="-1"/>
        </w:rPr>
        <w:t>reading.</w:t>
      </w:r>
      <w:r w:rsidRPr="0031675F">
        <w:t xml:space="preserve"> </w:t>
      </w:r>
      <w:r w:rsidRPr="0031675F">
        <w:rPr>
          <w:spacing w:val="-2"/>
        </w:rPr>
        <w:t>The</w:t>
      </w:r>
      <w:r w:rsidRPr="0031675F">
        <w:t xml:space="preserve"> </w:t>
      </w:r>
      <w:r w:rsidRPr="0031675F">
        <w:rPr>
          <w:spacing w:val="-1"/>
        </w:rPr>
        <w:t>logger</w:t>
      </w:r>
      <w:r w:rsidRPr="0031675F">
        <w:rPr>
          <w:spacing w:val="-2"/>
        </w:rPr>
        <w:t xml:space="preserve"> </w:t>
      </w:r>
      <w:r w:rsidRPr="0031675F">
        <w:rPr>
          <w:spacing w:val="-1"/>
        </w:rPr>
        <w:t>should stop running.</w:t>
      </w:r>
    </w:p>
    <w:p w14:paraId="4163492B" w14:textId="77777777" w:rsidR="0031675F" w:rsidRPr="0031675F" w:rsidRDefault="0031675F" w:rsidP="0031675F">
      <w:pPr>
        <w:spacing w:before="7"/>
        <w:rPr>
          <w:rFonts w:cs="Calibri"/>
          <w:sz w:val="19"/>
          <w:szCs w:val="19"/>
        </w:rPr>
      </w:pPr>
    </w:p>
    <w:p w14:paraId="18FACC31" w14:textId="77777777" w:rsidR="0031675F" w:rsidRPr="0031675F" w:rsidRDefault="0031675F" w:rsidP="0031675F">
      <w:pPr>
        <w:widowControl w:val="0"/>
        <w:numPr>
          <w:ilvl w:val="2"/>
          <w:numId w:val="74"/>
        </w:numPr>
        <w:tabs>
          <w:tab w:val="left" w:pos="839"/>
        </w:tabs>
        <w:spacing w:before="0" w:after="0" w:line="240" w:lineRule="auto"/>
        <w:ind w:left="838"/>
        <w:rPr>
          <w:rFonts w:eastAsia="Arial" w:cs="Arial"/>
        </w:rPr>
      </w:pPr>
      <w:r w:rsidRPr="0031675F">
        <w:rPr>
          <w:b/>
          <w:spacing w:val="-1"/>
        </w:rPr>
        <w:t>Check</w:t>
      </w:r>
      <w:r w:rsidRPr="0031675F">
        <w:rPr>
          <w:b/>
        </w:rPr>
        <w:t xml:space="preserve"> </w:t>
      </w:r>
      <w:r w:rsidRPr="0031675F">
        <w:rPr>
          <w:b/>
          <w:spacing w:val="-1"/>
        </w:rPr>
        <w:t>ECO</w:t>
      </w:r>
      <w:r w:rsidRPr="0031675F">
        <w:rPr>
          <w:b/>
          <w:spacing w:val="2"/>
        </w:rPr>
        <w:t xml:space="preserve"> </w:t>
      </w:r>
      <w:r w:rsidRPr="0031675F">
        <w:rPr>
          <w:b/>
          <w:spacing w:val="-2"/>
        </w:rPr>
        <w:t>View</w:t>
      </w:r>
      <w:r w:rsidRPr="0031675F">
        <w:rPr>
          <w:b/>
          <w:spacing w:val="2"/>
        </w:rPr>
        <w:t xml:space="preserve"> </w:t>
      </w:r>
      <w:r w:rsidRPr="0031675F">
        <w:rPr>
          <w:b/>
          <w:spacing w:val="-1"/>
        </w:rPr>
        <w:t>settings.</w:t>
      </w:r>
    </w:p>
    <w:p w14:paraId="687837E9" w14:textId="77777777" w:rsidR="0031675F" w:rsidRPr="0031675F" w:rsidRDefault="0031675F" w:rsidP="0031675F">
      <w:pPr>
        <w:spacing w:before="11"/>
        <w:rPr>
          <w:rFonts w:eastAsia="Arial" w:cs="Arial"/>
          <w:b/>
          <w:bCs/>
          <w:sz w:val="20"/>
          <w:szCs w:val="20"/>
        </w:rPr>
      </w:pPr>
    </w:p>
    <w:p w14:paraId="6705C3C1" w14:textId="77777777" w:rsidR="0031675F" w:rsidRPr="0031675F" w:rsidRDefault="0031675F" w:rsidP="0031675F">
      <w:pPr>
        <w:spacing w:after="120"/>
      </w:pPr>
      <w:r w:rsidRPr="0031675F">
        <w:rPr>
          <w:rFonts w:cs="Calibri"/>
        </w:rPr>
        <w:t>In</w:t>
      </w:r>
      <w:r w:rsidRPr="0031675F">
        <w:rPr>
          <w:rFonts w:cs="Calibri"/>
          <w:spacing w:val="-1"/>
        </w:rPr>
        <w:t xml:space="preserve"> ‘Meter</w:t>
      </w:r>
      <w:r w:rsidRPr="0031675F">
        <w:rPr>
          <w:rFonts w:cs="Calibri"/>
        </w:rPr>
        <w:t xml:space="preserve"> </w:t>
      </w:r>
      <w:r w:rsidRPr="0031675F">
        <w:rPr>
          <w:rFonts w:cs="Calibri"/>
          <w:spacing w:val="-1"/>
        </w:rPr>
        <w:t>Setup’</w:t>
      </w:r>
      <w:r w:rsidRPr="0031675F">
        <w:rPr>
          <w:rFonts w:cs="Calibri"/>
        </w:rPr>
        <w:t xml:space="preserve"> tab</w:t>
      </w:r>
      <w:r w:rsidRPr="0031675F">
        <w:rPr>
          <w:rFonts w:cs="Calibri"/>
          <w:spacing w:val="-3"/>
        </w:rPr>
        <w:t xml:space="preserve"> </w:t>
      </w:r>
      <w:r w:rsidRPr="0031675F">
        <w:rPr>
          <w:rFonts w:cs="Calibri"/>
          <w:spacing w:val="-1"/>
        </w:rPr>
        <w:t>view,</w:t>
      </w:r>
      <w:r w:rsidRPr="0031675F">
        <w:rPr>
          <w:rFonts w:cs="Calibri"/>
          <w:spacing w:val="-2"/>
        </w:rPr>
        <w:t xml:space="preserve"> </w:t>
      </w:r>
      <w:r w:rsidRPr="0031675F">
        <w:rPr>
          <w:rFonts w:cs="Calibri"/>
          <w:spacing w:val="-1"/>
        </w:rPr>
        <w:t>ensure</w:t>
      </w:r>
      <w:r w:rsidRPr="0031675F">
        <w:rPr>
          <w:rFonts w:cs="Calibri"/>
          <w:spacing w:val="2"/>
        </w:rPr>
        <w:t xml:space="preserve"> </w:t>
      </w:r>
      <w:r w:rsidRPr="0031675F">
        <w:t>the</w:t>
      </w:r>
      <w:r w:rsidRPr="0031675F">
        <w:rPr>
          <w:spacing w:val="-3"/>
        </w:rPr>
        <w:t xml:space="preserve"> </w:t>
      </w:r>
      <w:r w:rsidRPr="0031675F">
        <w:rPr>
          <w:spacing w:val="-1"/>
        </w:rPr>
        <w:t>logger</w:t>
      </w:r>
      <w:r w:rsidRPr="0031675F">
        <w:rPr>
          <w:spacing w:val="-2"/>
        </w:rPr>
        <w:t xml:space="preserve"> </w:t>
      </w:r>
      <w:r w:rsidRPr="0031675F">
        <w:t xml:space="preserve">is </w:t>
      </w:r>
      <w:r w:rsidRPr="0031675F">
        <w:rPr>
          <w:spacing w:val="-1"/>
        </w:rPr>
        <w:t>setup to</w:t>
      </w:r>
      <w:r w:rsidRPr="0031675F">
        <w:rPr>
          <w:spacing w:val="1"/>
        </w:rPr>
        <w:t xml:space="preserve"> </w:t>
      </w:r>
      <w:r w:rsidRPr="0031675F">
        <w:rPr>
          <w:spacing w:val="-1"/>
        </w:rPr>
        <w:t>sample</w:t>
      </w:r>
      <w:r w:rsidRPr="0031675F">
        <w:rPr>
          <w:spacing w:val="-2"/>
        </w:rPr>
        <w:t xml:space="preserve"> </w:t>
      </w:r>
      <w:r w:rsidRPr="0031675F">
        <w:rPr>
          <w:spacing w:val="-1"/>
        </w:rPr>
        <w:t>correctly</w:t>
      </w:r>
      <w:r w:rsidRPr="0031675F">
        <w:t xml:space="preserve"> </w:t>
      </w:r>
      <w:r w:rsidRPr="0031675F">
        <w:rPr>
          <w:spacing w:val="-1"/>
        </w:rPr>
        <w:t>during lab calibration.</w:t>
      </w:r>
    </w:p>
    <w:p w14:paraId="6333A258" w14:textId="77777777" w:rsidR="0031675F" w:rsidRPr="0031675F" w:rsidRDefault="0031675F" w:rsidP="0031675F">
      <w:pPr>
        <w:widowControl w:val="0"/>
        <w:numPr>
          <w:ilvl w:val="3"/>
          <w:numId w:val="74"/>
        </w:numPr>
        <w:tabs>
          <w:tab w:val="left" w:pos="832"/>
        </w:tabs>
        <w:spacing w:before="123" w:after="0" w:line="240" w:lineRule="auto"/>
        <w:ind w:left="476" w:firstLine="0"/>
      </w:pPr>
      <w:r w:rsidRPr="0031675F">
        <w:rPr>
          <w:spacing w:val="-1"/>
          <w:w w:val="95"/>
        </w:rPr>
        <w:t>Click</w:t>
      </w:r>
      <w:r w:rsidRPr="0031675F">
        <w:t xml:space="preserve"> </w:t>
      </w:r>
      <w:r w:rsidRPr="0031675F">
        <w:rPr>
          <w:spacing w:val="-21"/>
        </w:rPr>
        <w:t xml:space="preserve"> </w:t>
      </w:r>
      <w:r w:rsidRPr="0031675F">
        <w:rPr>
          <w:noProof/>
          <w:spacing w:val="-21"/>
          <w:lang w:eastAsia="en-AU"/>
        </w:rPr>
        <w:drawing>
          <wp:inline distT="0" distB="0" distL="0" distR="0" wp14:anchorId="1CF53E46" wp14:editId="59CAC9FC">
            <wp:extent cx="1285875" cy="304800"/>
            <wp:effectExtent l="0" t="0" r="9525" b="0"/>
            <wp:docPr id="122" name="image23.png" descr="Screen shot of 'reload flash setup'.&#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3.png"/>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1285875" cy="304800"/>
                    </a:xfrm>
                    <a:prstGeom prst="rect">
                      <a:avLst/>
                    </a:prstGeom>
                    <a:noFill/>
                    <a:ln>
                      <a:noFill/>
                    </a:ln>
                  </pic:spPr>
                </pic:pic>
              </a:graphicData>
            </a:graphic>
          </wp:inline>
        </w:drawing>
      </w:r>
    </w:p>
    <w:p w14:paraId="4EE80500" w14:textId="77777777" w:rsidR="0031675F" w:rsidRPr="0031675F" w:rsidRDefault="0031675F" w:rsidP="0031675F">
      <w:pPr>
        <w:widowControl w:val="0"/>
        <w:numPr>
          <w:ilvl w:val="3"/>
          <w:numId w:val="74"/>
        </w:numPr>
        <w:tabs>
          <w:tab w:val="left" w:pos="832"/>
        </w:tabs>
        <w:spacing w:before="120" w:after="0" w:line="240" w:lineRule="auto"/>
        <w:ind w:left="831" w:hanging="355"/>
      </w:pPr>
      <w:r w:rsidRPr="0031675F">
        <w:rPr>
          <w:spacing w:val="-1"/>
          <w:w w:val="95"/>
        </w:rPr>
        <w:t>Then</w:t>
      </w:r>
      <w:r w:rsidRPr="0031675F">
        <w:t xml:space="preserve"> </w:t>
      </w:r>
      <w:r w:rsidRPr="0031675F">
        <w:rPr>
          <w:spacing w:val="-21"/>
        </w:rPr>
        <w:t xml:space="preserve"> </w:t>
      </w:r>
      <w:r w:rsidRPr="0031675F">
        <w:rPr>
          <w:noProof/>
          <w:spacing w:val="-21"/>
          <w:lang w:eastAsia="en-AU"/>
        </w:rPr>
        <w:drawing>
          <wp:inline distT="0" distB="0" distL="0" distR="0" wp14:anchorId="70BC57B3" wp14:editId="0E13263E">
            <wp:extent cx="1285875" cy="219075"/>
            <wp:effectExtent l="0" t="0" r="9525" b="9525"/>
            <wp:docPr id="123" name="image24.png" descr="Screen shot of 'get RAM setup'.&#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4.png"/>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1285875" cy="219075"/>
                    </a:xfrm>
                    <a:prstGeom prst="rect">
                      <a:avLst/>
                    </a:prstGeom>
                    <a:noFill/>
                    <a:ln>
                      <a:noFill/>
                    </a:ln>
                  </pic:spPr>
                </pic:pic>
              </a:graphicData>
            </a:graphic>
          </wp:inline>
        </w:drawing>
      </w:r>
    </w:p>
    <w:p w14:paraId="3614B495" w14:textId="77777777" w:rsidR="0031675F" w:rsidRPr="0031675F" w:rsidRDefault="0031675F" w:rsidP="0031675F">
      <w:pPr>
        <w:spacing w:before="118" w:after="120"/>
        <w:ind w:right="119"/>
      </w:pPr>
      <w:r w:rsidRPr="0031675F">
        <w:rPr>
          <w:rFonts w:cs="Calibri"/>
        </w:rPr>
        <w:t>The</w:t>
      </w:r>
      <w:r w:rsidRPr="0031675F">
        <w:rPr>
          <w:rFonts w:cs="Calibri"/>
          <w:spacing w:val="10"/>
        </w:rPr>
        <w:t xml:space="preserve"> </w:t>
      </w:r>
      <w:r w:rsidRPr="0031675F">
        <w:rPr>
          <w:rFonts w:cs="Calibri"/>
          <w:spacing w:val="-1"/>
        </w:rPr>
        <w:t>‘Current</w:t>
      </w:r>
      <w:r w:rsidRPr="0031675F">
        <w:rPr>
          <w:rFonts w:cs="Calibri"/>
          <w:spacing w:val="8"/>
        </w:rPr>
        <w:t xml:space="preserve"> </w:t>
      </w:r>
      <w:r w:rsidRPr="0031675F">
        <w:rPr>
          <w:rFonts w:cs="Calibri"/>
        </w:rPr>
        <w:t>Ram</w:t>
      </w:r>
      <w:r w:rsidRPr="0031675F">
        <w:rPr>
          <w:rFonts w:cs="Calibri"/>
          <w:spacing w:val="11"/>
        </w:rPr>
        <w:t xml:space="preserve"> </w:t>
      </w:r>
      <w:r w:rsidRPr="0031675F">
        <w:rPr>
          <w:rFonts w:cs="Calibri"/>
          <w:spacing w:val="-1"/>
        </w:rPr>
        <w:t>Settings’</w:t>
      </w:r>
      <w:r w:rsidRPr="0031675F">
        <w:rPr>
          <w:rFonts w:cs="Calibri"/>
          <w:spacing w:val="7"/>
        </w:rPr>
        <w:t xml:space="preserve"> </w:t>
      </w:r>
      <w:r w:rsidRPr="0031675F">
        <w:rPr>
          <w:rFonts w:cs="Calibri"/>
          <w:spacing w:val="-1"/>
        </w:rPr>
        <w:t>column</w:t>
      </w:r>
      <w:r w:rsidRPr="0031675F">
        <w:rPr>
          <w:rFonts w:cs="Calibri"/>
          <w:spacing w:val="9"/>
        </w:rPr>
        <w:t xml:space="preserve"> </w:t>
      </w:r>
      <w:r w:rsidRPr="0031675F">
        <w:rPr>
          <w:rFonts w:cs="Calibri"/>
        </w:rPr>
        <w:t>of</w:t>
      </w:r>
      <w:r w:rsidRPr="0031675F">
        <w:rPr>
          <w:rFonts w:cs="Calibri"/>
          <w:spacing w:val="9"/>
        </w:rPr>
        <w:t xml:space="preserve"> </w:t>
      </w:r>
      <w:r w:rsidRPr="0031675F">
        <w:rPr>
          <w:rFonts w:cs="Calibri"/>
          <w:spacing w:val="-1"/>
        </w:rPr>
        <w:t>the</w:t>
      </w:r>
      <w:r w:rsidRPr="0031675F">
        <w:rPr>
          <w:rFonts w:cs="Calibri"/>
          <w:spacing w:val="10"/>
        </w:rPr>
        <w:t xml:space="preserve"> </w:t>
      </w:r>
      <w:r w:rsidRPr="0031675F">
        <w:rPr>
          <w:rFonts w:cs="Calibri"/>
          <w:spacing w:val="-1"/>
        </w:rPr>
        <w:t>parameter</w:t>
      </w:r>
      <w:r w:rsidRPr="0031675F">
        <w:rPr>
          <w:rFonts w:cs="Calibri"/>
          <w:spacing w:val="10"/>
        </w:rPr>
        <w:t xml:space="preserve"> </w:t>
      </w:r>
      <w:r w:rsidRPr="0031675F">
        <w:rPr>
          <w:rFonts w:cs="Calibri"/>
          <w:spacing w:val="-1"/>
        </w:rPr>
        <w:t>list</w:t>
      </w:r>
      <w:r w:rsidRPr="0031675F">
        <w:rPr>
          <w:rFonts w:cs="Calibri"/>
          <w:spacing w:val="10"/>
        </w:rPr>
        <w:t xml:space="preserve"> </w:t>
      </w:r>
      <w:r w:rsidRPr="0031675F">
        <w:rPr>
          <w:rFonts w:cs="Calibri"/>
        </w:rPr>
        <w:t>is</w:t>
      </w:r>
      <w:r w:rsidRPr="0031675F">
        <w:rPr>
          <w:rFonts w:cs="Calibri"/>
          <w:spacing w:val="9"/>
        </w:rPr>
        <w:t xml:space="preserve"> </w:t>
      </w:r>
      <w:r w:rsidRPr="0031675F">
        <w:rPr>
          <w:rFonts w:cs="Calibri"/>
          <w:spacing w:val="-1"/>
        </w:rPr>
        <w:t>now</w:t>
      </w:r>
      <w:r w:rsidRPr="0031675F">
        <w:rPr>
          <w:rFonts w:cs="Calibri"/>
          <w:spacing w:val="10"/>
        </w:rPr>
        <w:t xml:space="preserve"> </w:t>
      </w:r>
      <w:r w:rsidRPr="0031675F">
        <w:rPr>
          <w:rFonts w:cs="Calibri"/>
          <w:spacing w:val="-1"/>
        </w:rPr>
        <w:t>updated</w:t>
      </w:r>
      <w:r w:rsidRPr="0031675F">
        <w:rPr>
          <w:rFonts w:cs="Calibri"/>
          <w:spacing w:val="9"/>
        </w:rPr>
        <w:t xml:space="preserve"> </w:t>
      </w:r>
      <w:r w:rsidRPr="0031675F">
        <w:rPr>
          <w:rFonts w:cs="Calibri"/>
        </w:rPr>
        <w:t>with</w:t>
      </w:r>
      <w:r w:rsidRPr="0031675F">
        <w:rPr>
          <w:rFonts w:cs="Calibri"/>
          <w:spacing w:val="7"/>
        </w:rPr>
        <w:t xml:space="preserve"> </w:t>
      </w:r>
      <w:r w:rsidRPr="0031675F">
        <w:rPr>
          <w:rFonts w:cs="Calibri"/>
          <w:spacing w:val="-1"/>
        </w:rPr>
        <w:t>the</w:t>
      </w:r>
      <w:r w:rsidRPr="0031675F">
        <w:rPr>
          <w:rFonts w:cs="Calibri"/>
          <w:spacing w:val="10"/>
        </w:rPr>
        <w:t xml:space="preserve"> </w:t>
      </w:r>
      <w:r w:rsidRPr="0031675F">
        <w:rPr>
          <w:rFonts w:cs="Calibri"/>
          <w:spacing w:val="-1"/>
        </w:rPr>
        <w:t>current</w:t>
      </w:r>
      <w:r w:rsidRPr="0031675F">
        <w:rPr>
          <w:rFonts w:cs="Calibri"/>
          <w:spacing w:val="9"/>
        </w:rPr>
        <w:t xml:space="preserve"> </w:t>
      </w:r>
      <w:r w:rsidRPr="0031675F">
        <w:rPr>
          <w:rFonts w:cs="Calibri"/>
          <w:spacing w:val="-1"/>
        </w:rPr>
        <w:t>settings</w:t>
      </w:r>
      <w:r w:rsidRPr="0031675F">
        <w:rPr>
          <w:rFonts w:cs="Calibri"/>
          <w:spacing w:val="7"/>
        </w:rPr>
        <w:t xml:space="preserve"> </w:t>
      </w:r>
      <w:r w:rsidRPr="0031675F">
        <w:rPr>
          <w:rFonts w:cs="Calibri"/>
        </w:rPr>
        <w:t>of</w:t>
      </w:r>
      <w:r w:rsidRPr="0031675F">
        <w:rPr>
          <w:rFonts w:cs="Calibri"/>
          <w:spacing w:val="67"/>
        </w:rPr>
        <w:t xml:space="preserve"> </w:t>
      </w:r>
      <w:r w:rsidRPr="0031675F">
        <w:t xml:space="preserve">the </w:t>
      </w:r>
      <w:r w:rsidRPr="0031675F">
        <w:rPr>
          <w:spacing w:val="-1"/>
        </w:rPr>
        <w:t>logger:</w:t>
      </w:r>
    </w:p>
    <w:p w14:paraId="53607AF7" w14:textId="77777777" w:rsidR="0031675F" w:rsidRPr="0031675F" w:rsidRDefault="0031675F" w:rsidP="0031675F">
      <w:pPr>
        <w:rPr>
          <w:rFonts w:cs="Calibri"/>
          <w:sz w:val="10"/>
          <w:szCs w:val="10"/>
        </w:rPr>
      </w:pPr>
    </w:p>
    <w:p w14:paraId="375A3078" w14:textId="77777777" w:rsidR="0031675F" w:rsidRPr="0031675F" w:rsidRDefault="0031675F" w:rsidP="0031675F">
      <w:pPr>
        <w:spacing w:line="200" w:lineRule="atLeast"/>
        <w:ind w:left="1902"/>
        <w:rPr>
          <w:rFonts w:cs="Calibri"/>
          <w:sz w:val="20"/>
          <w:szCs w:val="20"/>
        </w:rPr>
      </w:pPr>
      <w:r w:rsidRPr="0031675F">
        <w:rPr>
          <w:rFonts w:cs="Calibri"/>
          <w:noProof/>
          <w:sz w:val="20"/>
          <w:szCs w:val="20"/>
          <w:lang w:eastAsia="en-AU"/>
        </w:rPr>
        <w:drawing>
          <wp:inline distT="0" distB="0" distL="0" distR="0" wp14:anchorId="5B92F840" wp14:editId="5BC69869">
            <wp:extent cx="3505200" cy="2171700"/>
            <wp:effectExtent l="0" t="0" r="0" b="0"/>
            <wp:docPr id="124" name="image25.png" descr="Screen shot of 'current RAM settings'.&#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5.png"/>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505200" cy="2171700"/>
                    </a:xfrm>
                    <a:prstGeom prst="rect">
                      <a:avLst/>
                    </a:prstGeom>
                    <a:noFill/>
                    <a:ln>
                      <a:noFill/>
                    </a:ln>
                  </pic:spPr>
                </pic:pic>
              </a:graphicData>
            </a:graphic>
          </wp:inline>
        </w:drawing>
      </w:r>
    </w:p>
    <w:p w14:paraId="1A024429" w14:textId="77777777" w:rsidR="0031675F" w:rsidRPr="0031675F" w:rsidRDefault="0031675F" w:rsidP="0031675F">
      <w:pPr>
        <w:rPr>
          <w:rFonts w:cs="Calibri"/>
        </w:rPr>
      </w:pPr>
    </w:p>
    <w:p w14:paraId="63FDA731" w14:textId="77777777" w:rsidR="0031675F" w:rsidRPr="0031675F" w:rsidRDefault="0031675F" w:rsidP="0031675F">
      <w:pPr>
        <w:spacing w:before="3"/>
        <w:rPr>
          <w:rFonts w:cs="Calibri"/>
          <w:sz w:val="20"/>
          <w:szCs w:val="20"/>
        </w:rPr>
      </w:pPr>
    </w:p>
    <w:p w14:paraId="1503FBE3" w14:textId="77777777" w:rsidR="0031675F" w:rsidRPr="0031675F" w:rsidRDefault="0031675F" w:rsidP="0031675F">
      <w:pPr>
        <w:spacing w:after="120" w:line="266" w:lineRule="exact"/>
        <w:ind w:right="119"/>
        <w:rPr>
          <w:spacing w:val="-1"/>
        </w:rPr>
      </w:pPr>
      <w:r w:rsidRPr="0031675F">
        <w:t>If</w:t>
      </w:r>
      <w:r w:rsidRPr="0031675F">
        <w:rPr>
          <w:spacing w:val="39"/>
        </w:rPr>
        <w:t xml:space="preserve"> </w:t>
      </w:r>
      <w:r w:rsidRPr="0031675F">
        <w:t>the</w:t>
      </w:r>
      <w:r w:rsidRPr="0031675F">
        <w:rPr>
          <w:spacing w:val="41"/>
        </w:rPr>
        <w:t xml:space="preserve"> </w:t>
      </w:r>
      <w:r w:rsidRPr="0031675F">
        <w:rPr>
          <w:spacing w:val="-1"/>
        </w:rPr>
        <w:t>logger</w:t>
      </w:r>
      <w:r w:rsidRPr="0031675F">
        <w:rPr>
          <w:spacing w:val="41"/>
        </w:rPr>
        <w:t xml:space="preserve"> </w:t>
      </w:r>
      <w:r w:rsidRPr="0031675F">
        <w:t>was</w:t>
      </w:r>
      <w:r w:rsidRPr="0031675F">
        <w:rPr>
          <w:spacing w:val="40"/>
        </w:rPr>
        <w:t xml:space="preserve"> </w:t>
      </w:r>
      <w:r w:rsidRPr="0031675F">
        <w:rPr>
          <w:spacing w:val="-1"/>
        </w:rPr>
        <w:t>set</w:t>
      </w:r>
      <w:r w:rsidRPr="0031675F">
        <w:rPr>
          <w:spacing w:val="42"/>
        </w:rPr>
        <w:t xml:space="preserve"> </w:t>
      </w:r>
      <w:r w:rsidRPr="0031675F">
        <w:rPr>
          <w:spacing w:val="-1"/>
        </w:rPr>
        <w:t>for</w:t>
      </w:r>
      <w:r w:rsidRPr="0031675F">
        <w:rPr>
          <w:spacing w:val="41"/>
        </w:rPr>
        <w:t xml:space="preserve"> </w:t>
      </w:r>
      <w:r w:rsidRPr="0031675F">
        <w:rPr>
          <w:spacing w:val="-1"/>
        </w:rPr>
        <w:t>logging</w:t>
      </w:r>
      <w:r w:rsidRPr="0031675F">
        <w:rPr>
          <w:spacing w:val="40"/>
        </w:rPr>
        <w:t xml:space="preserve"> </w:t>
      </w:r>
      <w:r w:rsidRPr="0031675F">
        <w:t>in</w:t>
      </w:r>
      <w:r w:rsidRPr="0031675F">
        <w:rPr>
          <w:spacing w:val="39"/>
        </w:rPr>
        <w:t xml:space="preserve"> </w:t>
      </w:r>
      <w:r w:rsidRPr="0031675F">
        <w:t>the</w:t>
      </w:r>
      <w:r w:rsidRPr="0031675F">
        <w:rPr>
          <w:spacing w:val="41"/>
        </w:rPr>
        <w:t xml:space="preserve"> </w:t>
      </w:r>
      <w:r w:rsidRPr="0031675F">
        <w:rPr>
          <w:spacing w:val="-1"/>
        </w:rPr>
        <w:t>field,</w:t>
      </w:r>
      <w:r w:rsidRPr="0031675F">
        <w:rPr>
          <w:spacing w:val="41"/>
        </w:rPr>
        <w:t xml:space="preserve"> </w:t>
      </w:r>
      <w:r w:rsidRPr="0031675F">
        <w:t>the</w:t>
      </w:r>
      <w:r w:rsidRPr="0031675F">
        <w:rPr>
          <w:spacing w:val="40"/>
        </w:rPr>
        <w:t xml:space="preserve"> </w:t>
      </w:r>
      <w:r w:rsidRPr="0031675F">
        <w:rPr>
          <w:spacing w:val="-1"/>
        </w:rPr>
        <w:t>settings</w:t>
      </w:r>
      <w:r w:rsidRPr="0031675F">
        <w:rPr>
          <w:spacing w:val="46"/>
        </w:rPr>
        <w:t xml:space="preserve"> </w:t>
      </w:r>
      <w:r w:rsidRPr="0031675F">
        <w:t>will</w:t>
      </w:r>
      <w:r w:rsidRPr="0031675F">
        <w:rPr>
          <w:spacing w:val="41"/>
        </w:rPr>
        <w:t xml:space="preserve"> </w:t>
      </w:r>
      <w:r w:rsidRPr="0031675F">
        <w:rPr>
          <w:spacing w:val="-1"/>
        </w:rPr>
        <w:t>need</w:t>
      </w:r>
      <w:r w:rsidRPr="0031675F">
        <w:rPr>
          <w:spacing w:val="40"/>
        </w:rPr>
        <w:t xml:space="preserve"> </w:t>
      </w:r>
      <w:r w:rsidRPr="0031675F">
        <w:rPr>
          <w:spacing w:val="-1"/>
        </w:rPr>
        <w:t>to</w:t>
      </w:r>
      <w:r w:rsidRPr="0031675F">
        <w:rPr>
          <w:spacing w:val="41"/>
        </w:rPr>
        <w:t xml:space="preserve"> </w:t>
      </w:r>
      <w:r w:rsidRPr="0031675F">
        <w:rPr>
          <w:spacing w:val="-1"/>
        </w:rPr>
        <w:t>be</w:t>
      </w:r>
      <w:r w:rsidRPr="0031675F">
        <w:rPr>
          <w:spacing w:val="42"/>
        </w:rPr>
        <w:t xml:space="preserve"> </w:t>
      </w:r>
      <w:r w:rsidRPr="0031675F">
        <w:rPr>
          <w:spacing w:val="-1"/>
        </w:rPr>
        <w:t>altered</w:t>
      </w:r>
      <w:r w:rsidRPr="0031675F">
        <w:rPr>
          <w:spacing w:val="40"/>
        </w:rPr>
        <w:t xml:space="preserve"> </w:t>
      </w:r>
      <w:r w:rsidRPr="0031675F">
        <w:rPr>
          <w:spacing w:val="-1"/>
        </w:rPr>
        <w:t>for</w:t>
      </w:r>
      <w:r w:rsidRPr="0031675F">
        <w:rPr>
          <w:spacing w:val="40"/>
        </w:rPr>
        <w:t xml:space="preserve"> </w:t>
      </w:r>
      <w:r w:rsidRPr="0031675F">
        <w:rPr>
          <w:spacing w:val="-1"/>
        </w:rPr>
        <w:t>laboratory</w:t>
      </w:r>
      <w:r w:rsidRPr="0031675F">
        <w:rPr>
          <w:spacing w:val="51"/>
        </w:rPr>
        <w:t xml:space="preserve"> </w:t>
      </w:r>
      <w:r w:rsidRPr="0031675F">
        <w:rPr>
          <w:spacing w:val="-1"/>
        </w:rPr>
        <w:t>calibrations.</w:t>
      </w:r>
    </w:p>
    <w:p w14:paraId="54E2FB52" w14:textId="77777777" w:rsidR="0031675F" w:rsidRPr="0031675F" w:rsidRDefault="0031675F" w:rsidP="0031675F">
      <w:pPr>
        <w:spacing w:after="120" w:line="266" w:lineRule="exact"/>
        <w:ind w:right="119"/>
      </w:pPr>
    </w:p>
    <w:p w14:paraId="22D05A0C" w14:textId="77777777" w:rsidR="0031675F" w:rsidRPr="0031675F" w:rsidRDefault="0031675F" w:rsidP="0031675F">
      <w:pPr>
        <w:spacing w:line="266" w:lineRule="exact"/>
        <w:sectPr w:rsidR="0031675F" w:rsidRPr="0031675F" w:rsidSect="004A5C83">
          <w:type w:val="nextColumn"/>
          <w:pgSz w:w="11910" w:h="16850"/>
          <w:pgMar w:top="720" w:right="1281" w:bottom="697" w:left="1281" w:header="283" w:footer="500" w:gutter="0"/>
          <w:paperSrc w:first="7" w:other="7"/>
          <w:cols w:space="720"/>
          <w:docGrid w:linePitch="299"/>
        </w:sectPr>
      </w:pPr>
    </w:p>
    <w:p w14:paraId="2A79D4AC" w14:textId="77777777" w:rsidR="0031675F" w:rsidRPr="0031675F" w:rsidRDefault="0031675F" w:rsidP="0031675F">
      <w:pPr>
        <w:ind w:left="118"/>
        <w:rPr>
          <w:rFonts w:cs="Calibri"/>
        </w:rPr>
      </w:pPr>
      <w:r w:rsidRPr="0031675F">
        <w:rPr>
          <w:b/>
          <w:i/>
          <w:spacing w:val="-1"/>
        </w:rPr>
        <w:t>Settings</w:t>
      </w:r>
      <w:r w:rsidRPr="0031675F">
        <w:rPr>
          <w:b/>
          <w:i/>
          <w:spacing w:val="-3"/>
        </w:rPr>
        <w:t xml:space="preserve"> </w:t>
      </w:r>
      <w:r w:rsidRPr="0031675F">
        <w:rPr>
          <w:b/>
          <w:i/>
        </w:rPr>
        <w:t>for</w:t>
      </w:r>
      <w:r w:rsidRPr="0031675F">
        <w:rPr>
          <w:b/>
          <w:i/>
          <w:spacing w:val="-3"/>
        </w:rPr>
        <w:t xml:space="preserve"> </w:t>
      </w:r>
      <w:r w:rsidRPr="0031675F">
        <w:rPr>
          <w:b/>
          <w:i/>
          <w:spacing w:val="-1"/>
        </w:rPr>
        <w:t>laboratory</w:t>
      </w:r>
      <w:r w:rsidRPr="0031675F">
        <w:rPr>
          <w:b/>
          <w:i/>
        </w:rPr>
        <w:t xml:space="preserve"> </w:t>
      </w:r>
      <w:r w:rsidRPr="0031675F">
        <w:rPr>
          <w:b/>
          <w:i/>
          <w:spacing w:val="-1"/>
        </w:rPr>
        <w:t>calibration checks:</w:t>
      </w:r>
    </w:p>
    <w:p w14:paraId="1EE08FCC" w14:textId="77777777" w:rsidR="0031675F" w:rsidRPr="0031675F" w:rsidRDefault="0031675F" w:rsidP="0031675F">
      <w:pPr>
        <w:widowControl w:val="0"/>
        <w:numPr>
          <w:ilvl w:val="3"/>
          <w:numId w:val="74"/>
        </w:numPr>
        <w:tabs>
          <w:tab w:val="left" w:pos="839"/>
        </w:tabs>
        <w:spacing w:before="126" w:after="0" w:line="238" w:lineRule="auto"/>
        <w:ind w:left="476" w:right="2557" w:firstLine="2"/>
        <w:rPr>
          <w:rFonts w:cs="Calibri"/>
        </w:rPr>
      </w:pPr>
      <w:r w:rsidRPr="0031675F">
        <w:rPr>
          <w:rFonts w:cs="Calibri"/>
        </w:rPr>
        <w:t xml:space="preserve">Enter </w:t>
      </w:r>
      <w:r w:rsidRPr="0031675F">
        <w:rPr>
          <w:rFonts w:cs="Calibri"/>
          <w:spacing w:val="-1"/>
        </w:rPr>
        <w:t>‘50’</w:t>
      </w:r>
      <w:r w:rsidRPr="0031675F">
        <w:rPr>
          <w:rFonts w:cs="Calibri"/>
          <w:spacing w:val="-3"/>
        </w:rPr>
        <w:t xml:space="preserve"> </w:t>
      </w:r>
      <w:r w:rsidRPr="0031675F">
        <w:rPr>
          <w:rFonts w:cs="Calibri"/>
        </w:rPr>
        <w:t xml:space="preserve">as </w:t>
      </w:r>
      <w:r w:rsidRPr="0031675F">
        <w:rPr>
          <w:rFonts w:cs="Calibri"/>
          <w:spacing w:val="-2"/>
        </w:rPr>
        <w:t>Avg</w:t>
      </w:r>
      <w:r w:rsidRPr="0031675F">
        <w:rPr>
          <w:rFonts w:cs="Calibri"/>
          <w:spacing w:val="-1"/>
        </w:rPr>
        <w:t xml:space="preserve"> </w:t>
      </w:r>
      <w:r w:rsidRPr="0031675F">
        <w:rPr>
          <w:rFonts w:cs="Calibri"/>
        </w:rPr>
        <w:t>/</w:t>
      </w:r>
      <w:r w:rsidRPr="0031675F">
        <w:rPr>
          <w:rFonts w:cs="Calibri"/>
          <w:spacing w:val="-1"/>
        </w:rPr>
        <w:t xml:space="preserve"> Data</w:t>
      </w:r>
      <w:r w:rsidRPr="0031675F">
        <w:rPr>
          <w:rFonts w:cs="Calibri"/>
        </w:rPr>
        <w:t xml:space="preserve"> </w:t>
      </w:r>
      <w:r w:rsidRPr="0031675F">
        <w:rPr>
          <w:rFonts w:cs="Calibri"/>
          <w:spacing w:val="-1"/>
        </w:rPr>
        <w:t>Rate.</w:t>
      </w:r>
      <w:r w:rsidRPr="0031675F">
        <w:rPr>
          <w:rFonts w:cs="Calibri"/>
        </w:rPr>
        <w:t xml:space="preserve"> </w:t>
      </w:r>
      <w:r w:rsidRPr="0031675F">
        <w:rPr>
          <w:rFonts w:cs="Calibri"/>
          <w:spacing w:val="-19"/>
        </w:rPr>
        <w:t xml:space="preserve"> </w:t>
      </w:r>
      <w:r w:rsidRPr="0031675F">
        <w:rPr>
          <w:rFonts w:cs="Calibri"/>
          <w:noProof/>
          <w:spacing w:val="-19"/>
          <w:lang w:eastAsia="en-AU"/>
        </w:rPr>
        <w:drawing>
          <wp:inline distT="0" distB="0" distL="0" distR="0" wp14:anchorId="382C1580" wp14:editId="3926D0BE">
            <wp:extent cx="2047875" cy="314325"/>
            <wp:effectExtent l="0" t="0" r="9525" b="9525"/>
            <wp:docPr id="125" name="Picture 125" descr="Screen shot of 'Set avg / data rate'.&#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2047875" cy="314325"/>
                    </a:xfrm>
                    <a:prstGeom prst="rect">
                      <a:avLst/>
                    </a:prstGeom>
                    <a:noFill/>
                    <a:ln>
                      <a:noFill/>
                    </a:ln>
                  </pic:spPr>
                </pic:pic>
              </a:graphicData>
            </a:graphic>
          </wp:inline>
        </w:drawing>
      </w:r>
      <w:r w:rsidRPr="0031675F">
        <w:rPr>
          <w:rFonts w:ascii="Times New Roman" w:eastAsia="Times New Roman" w:hAnsi="Times New Roman"/>
          <w:spacing w:val="8"/>
        </w:rPr>
        <w:t xml:space="preserve"> </w:t>
      </w:r>
      <w:r w:rsidRPr="0031675F">
        <w:rPr>
          <w:rFonts w:cs="Calibri"/>
        </w:rPr>
        <w:t>Then click</w:t>
      </w:r>
      <w:r w:rsidRPr="0031675F">
        <w:rPr>
          <w:rFonts w:cs="Calibri"/>
          <w:spacing w:val="-3"/>
        </w:rPr>
        <w:t xml:space="preserve"> </w:t>
      </w:r>
      <w:r w:rsidRPr="0031675F">
        <w:rPr>
          <w:rFonts w:cs="Calibri"/>
        </w:rPr>
        <w:t>‘Set</w:t>
      </w:r>
      <w:r w:rsidRPr="0031675F">
        <w:rPr>
          <w:rFonts w:cs="Calibri"/>
          <w:spacing w:val="-2"/>
        </w:rPr>
        <w:t xml:space="preserve"> </w:t>
      </w:r>
      <w:r w:rsidRPr="0031675F">
        <w:rPr>
          <w:rFonts w:cs="Calibri"/>
        </w:rPr>
        <w:t>Avg</w:t>
      </w:r>
      <w:r w:rsidRPr="0031675F">
        <w:rPr>
          <w:rFonts w:cs="Calibri"/>
          <w:spacing w:val="-3"/>
        </w:rPr>
        <w:t xml:space="preserve"> </w:t>
      </w:r>
      <w:r w:rsidRPr="0031675F">
        <w:rPr>
          <w:rFonts w:cs="Calibri"/>
        </w:rPr>
        <w:t>/</w:t>
      </w:r>
      <w:r w:rsidRPr="0031675F">
        <w:rPr>
          <w:rFonts w:cs="Calibri"/>
          <w:spacing w:val="-1"/>
        </w:rPr>
        <w:t xml:space="preserve"> </w:t>
      </w:r>
      <w:r w:rsidRPr="0031675F">
        <w:rPr>
          <w:rFonts w:cs="Calibri"/>
        </w:rPr>
        <w:t>Data</w:t>
      </w:r>
      <w:r w:rsidRPr="0031675F">
        <w:rPr>
          <w:rFonts w:cs="Calibri"/>
          <w:spacing w:val="-2"/>
        </w:rPr>
        <w:t xml:space="preserve"> </w:t>
      </w:r>
      <w:r w:rsidRPr="0031675F">
        <w:rPr>
          <w:rFonts w:cs="Calibri"/>
          <w:spacing w:val="-1"/>
        </w:rPr>
        <w:t>Rate’</w:t>
      </w:r>
      <w:r w:rsidRPr="0031675F">
        <w:rPr>
          <w:rFonts w:cs="Calibri"/>
        </w:rPr>
        <w:t xml:space="preserve"> </w:t>
      </w:r>
      <w:r w:rsidRPr="0031675F">
        <w:rPr>
          <w:rFonts w:cs="Calibri"/>
          <w:spacing w:val="-1"/>
        </w:rPr>
        <w:t xml:space="preserve">button to </w:t>
      </w:r>
      <w:r w:rsidRPr="0031675F">
        <w:rPr>
          <w:rFonts w:cs="Calibri"/>
        </w:rPr>
        <w:t>set.</w:t>
      </w:r>
    </w:p>
    <w:p w14:paraId="27F93943" w14:textId="77777777" w:rsidR="0031675F" w:rsidRPr="0031675F" w:rsidRDefault="0031675F" w:rsidP="0031675F">
      <w:pPr>
        <w:widowControl w:val="0"/>
        <w:numPr>
          <w:ilvl w:val="3"/>
          <w:numId w:val="74"/>
        </w:numPr>
        <w:tabs>
          <w:tab w:val="left" w:pos="839"/>
        </w:tabs>
        <w:spacing w:before="126" w:after="0" w:line="238" w:lineRule="auto"/>
        <w:ind w:left="476" w:right="2176" w:firstLine="2"/>
        <w:rPr>
          <w:rFonts w:cs="Calibri"/>
        </w:rPr>
      </w:pPr>
      <w:r w:rsidRPr="0031675F">
        <w:rPr>
          <w:rFonts w:cs="Calibri"/>
        </w:rPr>
        <w:t xml:space="preserve">Enter </w:t>
      </w:r>
      <w:r w:rsidRPr="0031675F">
        <w:rPr>
          <w:rFonts w:cs="Calibri"/>
          <w:spacing w:val="-1"/>
        </w:rPr>
        <w:t>‘1’</w:t>
      </w:r>
      <w:r w:rsidRPr="0031675F">
        <w:rPr>
          <w:rFonts w:cs="Calibri"/>
        </w:rPr>
        <w:t xml:space="preserve"> as</w:t>
      </w:r>
      <w:r w:rsidRPr="0031675F">
        <w:rPr>
          <w:rFonts w:cs="Calibri"/>
          <w:spacing w:val="-2"/>
        </w:rPr>
        <w:t xml:space="preserve"> </w:t>
      </w:r>
      <w:r w:rsidRPr="0031675F">
        <w:rPr>
          <w:rFonts w:cs="Calibri"/>
          <w:spacing w:val="-1"/>
        </w:rPr>
        <w:t>Number</w:t>
      </w:r>
      <w:r w:rsidRPr="0031675F">
        <w:rPr>
          <w:rFonts w:cs="Calibri"/>
          <w:spacing w:val="-3"/>
        </w:rPr>
        <w:t xml:space="preserve"> </w:t>
      </w:r>
      <w:r w:rsidRPr="0031675F">
        <w:rPr>
          <w:rFonts w:cs="Calibri"/>
        </w:rPr>
        <w:t>of</w:t>
      </w:r>
      <w:r w:rsidRPr="0031675F">
        <w:rPr>
          <w:rFonts w:cs="Calibri"/>
          <w:spacing w:val="-3"/>
        </w:rPr>
        <w:t xml:space="preserve"> </w:t>
      </w:r>
      <w:r w:rsidRPr="0031675F">
        <w:rPr>
          <w:rFonts w:cs="Calibri"/>
          <w:spacing w:val="-1"/>
        </w:rPr>
        <w:t>Samples.</w:t>
      </w:r>
      <w:r w:rsidRPr="0031675F">
        <w:rPr>
          <w:rFonts w:cs="Calibri"/>
        </w:rPr>
        <w:t xml:space="preserve"> </w:t>
      </w:r>
      <w:r w:rsidRPr="0031675F">
        <w:rPr>
          <w:rFonts w:cs="Calibri"/>
          <w:spacing w:val="-22"/>
        </w:rPr>
        <w:t xml:space="preserve"> </w:t>
      </w:r>
      <w:r w:rsidRPr="0031675F">
        <w:rPr>
          <w:rFonts w:cs="Calibri"/>
          <w:noProof/>
          <w:spacing w:val="-22"/>
          <w:lang w:eastAsia="en-AU"/>
        </w:rPr>
        <w:drawing>
          <wp:inline distT="0" distB="0" distL="0" distR="0" wp14:anchorId="06B42FAC" wp14:editId="1D3EB70E">
            <wp:extent cx="2124075" cy="295275"/>
            <wp:effectExtent l="0" t="0" r="9525" b="9525"/>
            <wp:docPr id="17772" name="Picture 17772" descr="Screen shot of 'Set number of samples'.&#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2124075" cy="295275"/>
                    </a:xfrm>
                    <a:prstGeom prst="rect">
                      <a:avLst/>
                    </a:prstGeom>
                    <a:noFill/>
                    <a:ln>
                      <a:noFill/>
                    </a:ln>
                  </pic:spPr>
                </pic:pic>
              </a:graphicData>
            </a:graphic>
          </wp:inline>
        </w:drawing>
      </w:r>
      <w:r w:rsidRPr="0031675F">
        <w:rPr>
          <w:rFonts w:ascii="Times New Roman" w:eastAsia="Times New Roman" w:hAnsi="Times New Roman"/>
          <w:spacing w:val="-1"/>
        </w:rPr>
        <w:t xml:space="preserve"> </w:t>
      </w:r>
      <w:r w:rsidRPr="0031675F">
        <w:rPr>
          <w:rFonts w:cs="Calibri"/>
        </w:rPr>
        <w:t>Then click</w:t>
      </w:r>
      <w:r w:rsidRPr="0031675F">
        <w:rPr>
          <w:rFonts w:cs="Calibri"/>
          <w:spacing w:val="-3"/>
        </w:rPr>
        <w:t xml:space="preserve"> </w:t>
      </w:r>
      <w:r w:rsidRPr="0031675F">
        <w:rPr>
          <w:rFonts w:cs="Calibri"/>
        </w:rPr>
        <w:t>‘Set</w:t>
      </w:r>
      <w:r w:rsidRPr="0031675F">
        <w:rPr>
          <w:rFonts w:cs="Calibri"/>
          <w:spacing w:val="-1"/>
        </w:rPr>
        <w:t xml:space="preserve"> Number</w:t>
      </w:r>
      <w:r w:rsidRPr="0031675F">
        <w:rPr>
          <w:rFonts w:cs="Calibri"/>
          <w:spacing w:val="-3"/>
        </w:rPr>
        <w:t xml:space="preserve"> </w:t>
      </w:r>
      <w:r w:rsidRPr="0031675F">
        <w:rPr>
          <w:rFonts w:cs="Calibri"/>
        </w:rPr>
        <w:t>of</w:t>
      </w:r>
      <w:r w:rsidRPr="0031675F">
        <w:rPr>
          <w:rFonts w:cs="Calibri"/>
          <w:spacing w:val="-3"/>
        </w:rPr>
        <w:t xml:space="preserve"> </w:t>
      </w:r>
      <w:r w:rsidRPr="0031675F">
        <w:rPr>
          <w:rFonts w:cs="Calibri"/>
          <w:spacing w:val="-1"/>
        </w:rPr>
        <w:t>Samples’</w:t>
      </w:r>
      <w:r w:rsidRPr="0031675F">
        <w:rPr>
          <w:rFonts w:cs="Calibri"/>
          <w:spacing w:val="-3"/>
        </w:rPr>
        <w:t xml:space="preserve"> </w:t>
      </w:r>
      <w:r w:rsidRPr="0031675F">
        <w:rPr>
          <w:rFonts w:cs="Calibri"/>
        </w:rPr>
        <w:t>button</w:t>
      </w:r>
      <w:r w:rsidRPr="0031675F">
        <w:rPr>
          <w:rFonts w:cs="Calibri"/>
          <w:spacing w:val="-3"/>
        </w:rPr>
        <w:t xml:space="preserve"> </w:t>
      </w:r>
      <w:r w:rsidRPr="0031675F">
        <w:rPr>
          <w:rFonts w:cs="Calibri"/>
          <w:spacing w:val="-1"/>
        </w:rPr>
        <w:t>to</w:t>
      </w:r>
      <w:r w:rsidRPr="0031675F">
        <w:rPr>
          <w:rFonts w:cs="Calibri"/>
          <w:spacing w:val="1"/>
        </w:rPr>
        <w:t xml:space="preserve"> </w:t>
      </w:r>
      <w:r w:rsidRPr="0031675F">
        <w:rPr>
          <w:rFonts w:cs="Calibri"/>
          <w:spacing w:val="-1"/>
        </w:rPr>
        <w:t>set.</w:t>
      </w:r>
    </w:p>
    <w:p w14:paraId="1F168301" w14:textId="77777777" w:rsidR="0031675F" w:rsidRPr="0031675F" w:rsidRDefault="0031675F" w:rsidP="0031675F">
      <w:pPr>
        <w:widowControl w:val="0"/>
        <w:numPr>
          <w:ilvl w:val="3"/>
          <w:numId w:val="74"/>
        </w:numPr>
        <w:tabs>
          <w:tab w:val="left" w:pos="839"/>
        </w:tabs>
        <w:spacing w:before="126" w:after="0" w:line="238" w:lineRule="auto"/>
        <w:ind w:left="476" w:right="2040" w:firstLine="2"/>
        <w:rPr>
          <w:rFonts w:cs="Calibri"/>
        </w:rPr>
      </w:pPr>
      <w:r w:rsidRPr="0031675F">
        <w:rPr>
          <w:rFonts w:cs="Calibri"/>
        </w:rPr>
        <w:t xml:space="preserve">Enter </w:t>
      </w:r>
      <w:r w:rsidRPr="0031675F">
        <w:rPr>
          <w:rFonts w:cs="Calibri"/>
          <w:spacing w:val="-1"/>
        </w:rPr>
        <w:t>‘0’</w:t>
      </w:r>
      <w:r w:rsidRPr="0031675F">
        <w:rPr>
          <w:rFonts w:cs="Calibri"/>
        </w:rPr>
        <w:t xml:space="preserve"> as</w:t>
      </w:r>
      <w:r w:rsidRPr="0031675F">
        <w:rPr>
          <w:rFonts w:cs="Calibri"/>
          <w:spacing w:val="-2"/>
        </w:rPr>
        <w:t xml:space="preserve"> </w:t>
      </w:r>
      <w:r w:rsidRPr="0031675F">
        <w:rPr>
          <w:rFonts w:cs="Calibri"/>
          <w:spacing w:val="-1"/>
        </w:rPr>
        <w:t>the</w:t>
      </w:r>
      <w:r w:rsidRPr="0031675F">
        <w:rPr>
          <w:rFonts w:cs="Calibri"/>
        </w:rPr>
        <w:t xml:space="preserve"> </w:t>
      </w:r>
      <w:r w:rsidRPr="0031675F">
        <w:rPr>
          <w:rFonts w:cs="Calibri"/>
          <w:spacing w:val="-2"/>
        </w:rPr>
        <w:t xml:space="preserve">Number </w:t>
      </w:r>
      <w:r w:rsidRPr="0031675F">
        <w:rPr>
          <w:rFonts w:cs="Calibri"/>
        </w:rPr>
        <w:t>of</w:t>
      </w:r>
      <w:r w:rsidRPr="0031675F">
        <w:rPr>
          <w:rFonts w:cs="Calibri"/>
          <w:spacing w:val="-2"/>
        </w:rPr>
        <w:t xml:space="preserve"> </w:t>
      </w:r>
      <w:r w:rsidRPr="0031675F">
        <w:rPr>
          <w:rFonts w:cs="Calibri"/>
        </w:rPr>
        <w:t xml:space="preserve">Cycles. </w:t>
      </w:r>
      <w:r w:rsidRPr="0031675F">
        <w:rPr>
          <w:rFonts w:cs="Calibri"/>
          <w:spacing w:val="-24"/>
        </w:rPr>
        <w:t xml:space="preserve"> </w:t>
      </w:r>
      <w:r w:rsidRPr="0031675F">
        <w:rPr>
          <w:rFonts w:cs="Calibri"/>
          <w:noProof/>
          <w:spacing w:val="-24"/>
          <w:lang w:eastAsia="en-AU"/>
        </w:rPr>
        <w:drawing>
          <wp:inline distT="0" distB="0" distL="0" distR="0" wp14:anchorId="07FD3A2D" wp14:editId="05A05C99">
            <wp:extent cx="2105025" cy="285750"/>
            <wp:effectExtent l="0" t="0" r="9525" b="0"/>
            <wp:docPr id="17773" name="Picture 17773" descr="Screen shot of 'set number of cycles'.&#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105025" cy="285750"/>
                    </a:xfrm>
                    <a:prstGeom prst="rect">
                      <a:avLst/>
                    </a:prstGeom>
                    <a:noFill/>
                    <a:ln>
                      <a:noFill/>
                    </a:ln>
                  </pic:spPr>
                </pic:pic>
              </a:graphicData>
            </a:graphic>
          </wp:inline>
        </w:drawing>
      </w:r>
      <w:r w:rsidRPr="0031675F">
        <w:rPr>
          <w:rFonts w:ascii="Times New Roman" w:eastAsia="Times New Roman" w:hAnsi="Times New Roman"/>
          <w:spacing w:val="6"/>
        </w:rPr>
        <w:t xml:space="preserve"> </w:t>
      </w:r>
      <w:r w:rsidRPr="0031675F">
        <w:rPr>
          <w:rFonts w:cs="Calibri"/>
        </w:rPr>
        <w:t>Then click</w:t>
      </w:r>
      <w:r w:rsidRPr="0031675F">
        <w:rPr>
          <w:rFonts w:cs="Calibri"/>
          <w:spacing w:val="-3"/>
        </w:rPr>
        <w:t xml:space="preserve"> </w:t>
      </w:r>
      <w:r w:rsidRPr="0031675F">
        <w:rPr>
          <w:rFonts w:cs="Calibri"/>
        </w:rPr>
        <w:t>‘Set</w:t>
      </w:r>
      <w:r w:rsidRPr="0031675F">
        <w:rPr>
          <w:rFonts w:cs="Calibri"/>
          <w:spacing w:val="-2"/>
        </w:rPr>
        <w:t xml:space="preserve"> </w:t>
      </w:r>
      <w:r w:rsidRPr="0031675F">
        <w:rPr>
          <w:rFonts w:cs="Calibri"/>
          <w:spacing w:val="-1"/>
        </w:rPr>
        <w:t>Number</w:t>
      </w:r>
      <w:r w:rsidRPr="0031675F">
        <w:rPr>
          <w:rFonts w:cs="Calibri"/>
          <w:spacing w:val="-3"/>
        </w:rPr>
        <w:t xml:space="preserve"> </w:t>
      </w:r>
      <w:r w:rsidRPr="0031675F">
        <w:rPr>
          <w:rFonts w:cs="Calibri"/>
        </w:rPr>
        <w:t>of</w:t>
      </w:r>
      <w:r w:rsidRPr="0031675F">
        <w:rPr>
          <w:rFonts w:cs="Calibri"/>
          <w:spacing w:val="-5"/>
        </w:rPr>
        <w:t xml:space="preserve"> </w:t>
      </w:r>
      <w:r w:rsidRPr="0031675F">
        <w:rPr>
          <w:rFonts w:cs="Calibri"/>
        </w:rPr>
        <w:t>Cycles’</w:t>
      </w:r>
      <w:r w:rsidRPr="0031675F">
        <w:rPr>
          <w:rFonts w:cs="Calibri"/>
          <w:spacing w:val="-2"/>
        </w:rPr>
        <w:t xml:space="preserve"> </w:t>
      </w:r>
      <w:r w:rsidRPr="0031675F">
        <w:rPr>
          <w:rFonts w:cs="Calibri"/>
          <w:spacing w:val="-1"/>
        </w:rPr>
        <w:t>button to</w:t>
      </w:r>
      <w:r w:rsidRPr="0031675F">
        <w:rPr>
          <w:rFonts w:cs="Calibri"/>
          <w:spacing w:val="1"/>
        </w:rPr>
        <w:t xml:space="preserve"> </w:t>
      </w:r>
      <w:r w:rsidRPr="0031675F">
        <w:rPr>
          <w:rFonts w:cs="Calibri"/>
          <w:spacing w:val="-1"/>
        </w:rPr>
        <w:t>set.</w:t>
      </w:r>
    </w:p>
    <w:p w14:paraId="3DAC71AA" w14:textId="77777777" w:rsidR="0031675F" w:rsidRPr="0031675F" w:rsidRDefault="0031675F" w:rsidP="0031675F">
      <w:pPr>
        <w:widowControl w:val="0"/>
        <w:numPr>
          <w:ilvl w:val="3"/>
          <w:numId w:val="74"/>
        </w:numPr>
        <w:tabs>
          <w:tab w:val="left" w:pos="839"/>
        </w:tabs>
        <w:spacing w:before="126" w:after="0" w:line="238" w:lineRule="auto"/>
        <w:ind w:left="476" w:right="2073" w:firstLine="2"/>
        <w:rPr>
          <w:rFonts w:cs="Calibri"/>
        </w:rPr>
      </w:pPr>
      <w:r w:rsidRPr="0031675F">
        <w:rPr>
          <w:rFonts w:cs="Calibri"/>
        </w:rPr>
        <w:t xml:space="preserve">Enter </w:t>
      </w:r>
      <w:r w:rsidRPr="0031675F">
        <w:rPr>
          <w:rFonts w:cs="Calibri"/>
          <w:spacing w:val="-1"/>
        </w:rPr>
        <w:t>‘000005’</w:t>
      </w:r>
      <w:r w:rsidRPr="0031675F">
        <w:rPr>
          <w:rFonts w:cs="Calibri"/>
        </w:rPr>
        <w:t xml:space="preserve"> as</w:t>
      </w:r>
      <w:r w:rsidRPr="0031675F">
        <w:rPr>
          <w:rFonts w:cs="Calibri"/>
          <w:spacing w:val="-2"/>
        </w:rPr>
        <w:t xml:space="preserve"> </w:t>
      </w:r>
      <w:r w:rsidRPr="0031675F">
        <w:rPr>
          <w:rFonts w:cs="Calibri"/>
        </w:rPr>
        <w:t xml:space="preserve">the </w:t>
      </w:r>
      <w:r w:rsidRPr="0031675F">
        <w:rPr>
          <w:rFonts w:cs="Calibri"/>
          <w:spacing w:val="-1"/>
        </w:rPr>
        <w:t>Cycle</w:t>
      </w:r>
      <w:r w:rsidRPr="0031675F">
        <w:rPr>
          <w:rFonts w:cs="Calibri"/>
          <w:spacing w:val="-3"/>
        </w:rPr>
        <w:t xml:space="preserve"> </w:t>
      </w:r>
      <w:r w:rsidRPr="0031675F">
        <w:rPr>
          <w:rFonts w:cs="Calibri"/>
          <w:spacing w:val="-1"/>
        </w:rPr>
        <w:t>Interval.</w:t>
      </w:r>
      <w:r w:rsidRPr="0031675F">
        <w:rPr>
          <w:rFonts w:cs="Calibri"/>
        </w:rPr>
        <w:t xml:space="preserve"> </w:t>
      </w:r>
      <w:r w:rsidRPr="0031675F">
        <w:rPr>
          <w:rFonts w:cs="Calibri"/>
          <w:spacing w:val="-25"/>
        </w:rPr>
        <w:t xml:space="preserve"> </w:t>
      </w:r>
      <w:r w:rsidRPr="0031675F">
        <w:rPr>
          <w:rFonts w:cs="Calibri"/>
          <w:noProof/>
          <w:spacing w:val="-25"/>
          <w:lang w:eastAsia="en-AU"/>
        </w:rPr>
        <w:drawing>
          <wp:inline distT="0" distB="0" distL="0" distR="0" wp14:anchorId="511A84AE" wp14:editId="28265B6A">
            <wp:extent cx="1971675" cy="314325"/>
            <wp:effectExtent l="0" t="0" r="9525" b="9525"/>
            <wp:docPr id="17774" name="image29.png" descr="Screen shot of 'set cycle interval'."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9.png"/>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1971675" cy="314325"/>
                    </a:xfrm>
                    <a:prstGeom prst="rect">
                      <a:avLst/>
                    </a:prstGeom>
                    <a:noFill/>
                    <a:ln>
                      <a:noFill/>
                    </a:ln>
                  </pic:spPr>
                </pic:pic>
              </a:graphicData>
            </a:graphic>
          </wp:inline>
        </w:drawing>
      </w:r>
      <w:r w:rsidRPr="0031675F">
        <w:rPr>
          <w:rFonts w:ascii="Times New Roman" w:eastAsia="Times New Roman" w:hAnsi="Times New Roman"/>
          <w:spacing w:val="-2"/>
        </w:rPr>
        <w:t xml:space="preserve"> </w:t>
      </w:r>
      <w:r w:rsidRPr="0031675F">
        <w:rPr>
          <w:rFonts w:cs="Calibri"/>
        </w:rPr>
        <w:t>Then click</w:t>
      </w:r>
      <w:r w:rsidRPr="0031675F">
        <w:rPr>
          <w:rFonts w:cs="Calibri"/>
          <w:spacing w:val="-3"/>
        </w:rPr>
        <w:t xml:space="preserve"> </w:t>
      </w:r>
      <w:r w:rsidRPr="0031675F">
        <w:rPr>
          <w:rFonts w:cs="Calibri"/>
        </w:rPr>
        <w:t>‘Set</w:t>
      </w:r>
      <w:r w:rsidRPr="0031675F">
        <w:rPr>
          <w:rFonts w:cs="Calibri"/>
          <w:spacing w:val="-2"/>
        </w:rPr>
        <w:t xml:space="preserve"> </w:t>
      </w:r>
      <w:r w:rsidRPr="0031675F">
        <w:rPr>
          <w:rFonts w:cs="Calibri"/>
          <w:spacing w:val="-1"/>
        </w:rPr>
        <w:t>Cycle</w:t>
      </w:r>
      <w:r w:rsidRPr="0031675F">
        <w:rPr>
          <w:rFonts w:cs="Calibri"/>
        </w:rPr>
        <w:t xml:space="preserve"> </w:t>
      </w:r>
      <w:r w:rsidRPr="0031675F">
        <w:rPr>
          <w:rFonts w:cs="Calibri"/>
          <w:spacing w:val="-1"/>
        </w:rPr>
        <w:t>Interval’</w:t>
      </w:r>
      <w:r w:rsidRPr="0031675F">
        <w:rPr>
          <w:rFonts w:cs="Calibri"/>
        </w:rPr>
        <w:t xml:space="preserve"> </w:t>
      </w:r>
      <w:r w:rsidRPr="0031675F">
        <w:rPr>
          <w:rFonts w:cs="Calibri"/>
          <w:spacing w:val="-1"/>
        </w:rPr>
        <w:t>button</w:t>
      </w:r>
      <w:r w:rsidRPr="0031675F">
        <w:rPr>
          <w:rFonts w:cs="Calibri"/>
          <w:spacing w:val="-3"/>
        </w:rPr>
        <w:t xml:space="preserve"> </w:t>
      </w:r>
      <w:r w:rsidRPr="0031675F">
        <w:rPr>
          <w:rFonts w:cs="Calibri"/>
        </w:rPr>
        <w:t>to</w:t>
      </w:r>
      <w:r w:rsidRPr="0031675F">
        <w:rPr>
          <w:rFonts w:cs="Calibri"/>
          <w:spacing w:val="-1"/>
        </w:rPr>
        <w:t xml:space="preserve"> set.</w:t>
      </w:r>
      <w:r w:rsidRPr="0031675F">
        <w:rPr>
          <w:rFonts w:cs="Calibri"/>
        </w:rPr>
        <w:t xml:space="preserve"> </w:t>
      </w:r>
      <w:r w:rsidRPr="0031675F">
        <w:rPr>
          <w:rFonts w:cs="Calibri"/>
          <w:spacing w:val="-1"/>
        </w:rPr>
        <w:t>(Samples</w:t>
      </w:r>
      <w:r w:rsidRPr="0031675F">
        <w:rPr>
          <w:rFonts w:cs="Calibri"/>
          <w:spacing w:val="-2"/>
        </w:rPr>
        <w:t xml:space="preserve"> </w:t>
      </w:r>
      <w:r w:rsidRPr="0031675F">
        <w:rPr>
          <w:rFonts w:cs="Calibri"/>
          <w:spacing w:val="-1"/>
        </w:rPr>
        <w:t>every</w:t>
      </w:r>
      <w:r w:rsidRPr="0031675F">
        <w:rPr>
          <w:rFonts w:cs="Calibri"/>
          <w:spacing w:val="-2"/>
        </w:rPr>
        <w:t xml:space="preserve"> </w:t>
      </w:r>
      <w:r w:rsidRPr="0031675F">
        <w:rPr>
          <w:rFonts w:cs="Calibri"/>
        </w:rPr>
        <w:t xml:space="preserve">5 </w:t>
      </w:r>
      <w:r w:rsidRPr="0031675F">
        <w:rPr>
          <w:rFonts w:cs="Calibri"/>
          <w:spacing w:val="-1"/>
        </w:rPr>
        <w:t>seconds.)</w:t>
      </w:r>
    </w:p>
    <w:p w14:paraId="1B91585B" w14:textId="77777777" w:rsidR="0031675F" w:rsidRPr="0031675F" w:rsidRDefault="0031675F" w:rsidP="0031675F">
      <w:pPr>
        <w:spacing w:before="118" w:after="120"/>
        <w:ind w:right="119"/>
      </w:pPr>
      <w:r w:rsidRPr="0031675F">
        <w:rPr>
          <w:spacing w:val="-1"/>
        </w:rPr>
        <w:t>The</w:t>
      </w:r>
      <w:r w:rsidRPr="0031675F">
        <w:rPr>
          <w:spacing w:val="5"/>
        </w:rPr>
        <w:t xml:space="preserve"> </w:t>
      </w:r>
      <w:r w:rsidRPr="0031675F">
        <w:rPr>
          <w:spacing w:val="-1"/>
        </w:rPr>
        <w:t>instrument</w:t>
      </w:r>
      <w:r w:rsidRPr="0031675F">
        <w:rPr>
          <w:spacing w:val="2"/>
        </w:rPr>
        <w:t xml:space="preserve"> </w:t>
      </w:r>
      <w:r w:rsidRPr="0031675F">
        <w:t>will</w:t>
      </w:r>
      <w:r w:rsidRPr="0031675F">
        <w:rPr>
          <w:spacing w:val="3"/>
        </w:rPr>
        <w:t xml:space="preserve"> </w:t>
      </w:r>
      <w:r w:rsidRPr="0031675F">
        <w:rPr>
          <w:spacing w:val="-1"/>
        </w:rPr>
        <w:t>average</w:t>
      </w:r>
      <w:r w:rsidRPr="0031675F">
        <w:rPr>
          <w:spacing w:val="5"/>
        </w:rPr>
        <w:t xml:space="preserve"> </w:t>
      </w:r>
      <w:r w:rsidRPr="0031675F">
        <w:rPr>
          <w:spacing w:val="-1"/>
        </w:rPr>
        <w:t>50</w:t>
      </w:r>
      <w:r w:rsidRPr="0031675F">
        <w:rPr>
          <w:spacing w:val="7"/>
        </w:rPr>
        <w:t xml:space="preserve"> </w:t>
      </w:r>
      <w:r w:rsidRPr="0031675F">
        <w:rPr>
          <w:spacing w:val="-2"/>
        </w:rPr>
        <w:t>samples,</w:t>
      </w:r>
      <w:r w:rsidRPr="0031675F">
        <w:rPr>
          <w:spacing w:val="5"/>
        </w:rPr>
        <w:t xml:space="preserve"> </w:t>
      </w:r>
      <w:r w:rsidRPr="0031675F">
        <w:rPr>
          <w:spacing w:val="-1"/>
        </w:rPr>
        <w:t>for</w:t>
      </w:r>
      <w:r w:rsidRPr="0031675F">
        <w:rPr>
          <w:spacing w:val="2"/>
        </w:rPr>
        <w:t xml:space="preserve"> </w:t>
      </w:r>
      <w:r w:rsidRPr="0031675F">
        <w:t>one</w:t>
      </w:r>
      <w:r w:rsidRPr="0031675F">
        <w:rPr>
          <w:spacing w:val="5"/>
        </w:rPr>
        <w:t xml:space="preserve"> </w:t>
      </w:r>
      <w:r w:rsidRPr="0031675F">
        <w:rPr>
          <w:spacing w:val="-2"/>
        </w:rPr>
        <w:t>reading,</w:t>
      </w:r>
      <w:r w:rsidRPr="0031675F">
        <w:rPr>
          <w:spacing w:val="5"/>
        </w:rPr>
        <w:t xml:space="preserve"> </w:t>
      </w:r>
      <w:r w:rsidRPr="0031675F">
        <w:t>once</w:t>
      </w:r>
      <w:r w:rsidRPr="0031675F">
        <w:rPr>
          <w:spacing w:val="3"/>
        </w:rPr>
        <w:t xml:space="preserve"> </w:t>
      </w:r>
      <w:r w:rsidRPr="0031675F">
        <w:rPr>
          <w:spacing w:val="-1"/>
        </w:rPr>
        <w:t>every</w:t>
      </w:r>
      <w:r w:rsidRPr="0031675F">
        <w:rPr>
          <w:spacing w:val="3"/>
        </w:rPr>
        <w:t xml:space="preserve"> </w:t>
      </w:r>
      <w:r w:rsidRPr="0031675F">
        <w:t>5</w:t>
      </w:r>
      <w:r w:rsidRPr="0031675F">
        <w:rPr>
          <w:spacing w:val="5"/>
        </w:rPr>
        <w:t xml:space="preserve"> </w:t>
      </w:r>
      <w:r w:rsidRPr="0031675F">
        <w:rPr>
          <w:spacing w:val="-1"/>
        </w:rPr>
        <w:t>seconds;</w:t>
      </w:r>
      <w:r w:rsidRPr="0031675F">
        <w:rPr>
          <w:spacing w:val="3"/>
        </w:rPr>
        <w:t xml:space="preserve"> </w:t>
      </w:r>
      <w:r w:rsidRPr="0031675F">
        <w:rPr>
          <w:spacing w:val="-1"/>
        </w:rPr>
        <w:t>beginning</w:t>
      </w:r>
      <w:r w:rsidRPr="0031675F">
        <w:rPr>
          <w:spacing w:val="4"/>
        </w:rPr>
        <w:t xml:space="preserve"> </w:t>
      </w:r>
      <w:r w:rsidRPr="0031675F">
        <w:t>on</w:t>
      </w:r>
      <w:r w:rsidRPr="0031675F">
        <w:rPr>
          <w:spacing w:val="4"/>
        </w:rPr>
        <w:t xml:space="preserve"> </w:t>
      </w:r>
      <w:r w:rsidRPr="0031675F">
        <w:t>power-</w:t>
      </w:r>
      <w:r w:rsidRPr="0031675F">
        <w:rPr>
          <w:spacing w:val="57"/>
        </w:rPr>
        <w:t xml:space="preserve"> </w:t>
      </w:r>
      <w:r w:rsidRPr="0031675F">
        <w:rPr>
          <w:spacing w:val="-1"/>
        </w:rPr>
        <w:t>up.</w:t>
      </w:r>
    </w:p>
    <w:p w14:paraId="7C2FDA07" w14:textId="77777777" w:rsidR="0031675F" w:rsidRPr="0031675F" w:rsidRDefault="0031675F" w:rsidP="0031675F">
      <w:pPr>
        <w:spacing w:before="9"/>
        <w:rPr>
          <w:rFonts w:cs="Calibri"/>
          <w:sz w:val="19"/>
          <w:szCs w:val="19"/>
        </w:rPr>
      </w:pPr>
    </w:p>
    <w:p w14:paraId="52CC3049" w14:textId="77777777" w:rsidR="0031675F" w:rsidRPr="0031675F" w:rsidRDefault="0031675F" w:rsidP="0031675F">
      <w:pPr>
        <w:ind w:left="118"/>
        <w:rPr>
          <w:rFonts w:cs="Calibri"/>
        </w:rPr>
      </w:pPr>
      <w:r w:rsidRPr="0031675F">
        <w:rPr>
          <w:b/>
          <w:i/>
          <w:spacing w:val="-1"/>
        </w:rPr>
        <w:t>Settings</w:t>
      </w:r>
      <w:r w:rsidRPr="0031675F">
        <w:rPr>
          <w:b/>
          <w:i/>
          <w:spacing w:val="-3"/>
        </w:rPr>
        <w:t xml:space="preserve"> </w:t>
      </w:r>
      <w:r w:rsidRPr="0031675F">
        <w:rPr>
          <w:b/>
          <w:i/>
        </w:rPr>
        <w:t>for</w:t>
      </w:r>
      <w:r w:rsidRPr="0031675F">
        <w:rPr>
          <w:b/>
          <w:i/>
          <w:spacing w:val="-1"/>
        </w:rPr>
        <w:t xml:space="preserve"> </w:t>
      </w:r>
      <w:r w:rsidRPr="0031675F">
        <w:rPr>
          <w:b/>
          <w:i/>
          <w:spacing w:val="-2"/>
        </w:rPr>
        <w:t>field</w:t>
      </w:r>
      <w:r w:rsidRPr="0031675F">
        <w:rPr>
          <w:b/>
          <w:i/>
          <w:spacing w:val="-1"/>
        </w:rPr>
        <w:t xml:space="preserve"> logging:</w:t>
      </w:r>
    </w:p>
    <w:p w14:paraId="7E65302A" w14:textId="77777777" w:rsidR="0031675F" w:rsidRPr="0031675F" w:rsidRDefault="0031675F" w:rsidP="0031675F">
      <w:pPr>
        <w:widowControl w:val="0"/>
        <w:numPr>
          <w:ilvl w:val="3"/>
          <w:numId w:val="74"/>
        </w:numPr>
        <w:tabs>
          <w:tab w:val="left" w:pos="839"/>
        </w:tabs>
        <w:spacing w:before="124" w:after="0" w:line="239" w:lineRule="auto"/>
        <w:ind w:left="476" w:right="2557" w:firstLine="2"/>
        <w:rPr>
          <w:rFonts w:cs="Calibri"/>
        </w:rPr>
      </w:pPr>
      <w:r w:rsidRPr="0031675F">
        <w:rPr>
          <w:rFonts w:cs="Calibri"/>
        </w:rPr>
        <w:t xml:space="preserve">Enter </w:t>
      </w:r>
      <w:r w:rsidRPr="0031675F">
        <w:rPr>
          <w:rFonts w:cs="Calibri"/>
          <w:spacing w:val="-1"/>
        </w:rPr>
        <w:t>‘50’</w:t>
      </w:r>
      <w:r w:rsidRPr="0031675F">
        <w:rPr>
          <w:rFonts w:cs="Calibri"/>
          <w:spacing w:val="-3"/>
        </w:rPr>
        <w:t xml:space="preserve"> </w:t>
      </w:r>
      <w:r w:rsidRPr="0031675F">
        <w:rPr>
          <w:rFonts w:cs="Calibri"/>
        </w:rPr>
        <w:t xml:space="preserve">as </w:t>
      </w:r>
      <w:r w:rsidRPr="0031675F">
        <w:rPr>
          <w:rFonts w:cs="Calibri"/>
          <w:spacing w:val="-2"/>
        </w:rPr>
        <w:t>Avg</w:t>
      </w:r>
      <w:r w:rsidRPr="0031675F">
        <w:rPr>
          <w:rFonts w:cs="Calibri"/>
          <w:spacing w:val="-1"/>
        </w:rPr>
        <w:t xml:space="preserve"> </w:t>
      </w:r>
      <w:r w:rsidRPr="0031675F">
        <w:rPr>
          <w:rFonts w:cs="Calibri"/>
        </w:rPr>
        <w:t>/</w:t>
      </w:r>
      <w:r w:rsidRPr="0031675F">
        <w:rPr>
          <w:rFonts w:cs="Calibri"/>
          <w:spacing w:val="-1"/>
        </w:rPr>
        <w:t xml:space="preserve"> Data</w:t>
      </w:r>
      <w:r w:rsidRPr="0031675F">
        <w:rPr>
          <w:rFonts w:cs="Calibri"/>
        </w:rPr>
        <w:t xml:space="preserve"> </w:t>
      </w:r>
      <w:r w:rsidRPr="0031675F">
        <w:rPr>
          <w:rFonts w:cs="Calibri"/>
          <w:spacing w:val="-1"/>
        </w:rPr>
        <w:t>Rate.</w:t>
      </w:r>
      <w:r w:rsidRPr="0031675F">
        <w:rPr>
          <w:rFonts w:cs="Calibri"/>
        </w:rPr>
        <w:t xml:space="preserve"> </w:t>
      </w:r>
      <w:r w:rsidRPr="0031675F">
        <w:rPr>
          <w:rFonts w:cs="Calibri"/>
          <w:spacing w:val="-19"/>
        </w:rPr>
        <w:t xml:space="preserve"> </w:t>
      </w:r>
      <w:r w:rsidRPr="0031675F">
        <w:rPr>
          <w:rFonts w:cs="Calibri"/>
          <w:noProof/>
          <w:spacing w:val="-19"/>
          <w:lang w:eastAsia="en-AU"/>
        </w:rPr>
        <w:drawing>
          <wp:inline distT="0" distB="0" distL="0" distR="0" wp14:anchorId="7ECB88B1" wp14:editId="24FA2FCB">
            <wp:extent cx="2047875" cy="314325"/>
            <wp:effectExtent l="0" t="0" r="9525" b="9525"/>
            <wp:docPr id="17775" name="image26.jpeg" descr="Screen shot of 'Set avg / data rate'.&#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6.jpeg"/>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2047875" cy="314325"/>
                    </a:xfrm>
                    <a:prstGeom prst="rect">
                      <a:avLst/>
                    </a:prstGeom>
                    <a:noFill/>
                    <a:ln>
                      <a:noFill/>
                    </a:ln>
                  </pic:spPr>
                </pic:pic>
              </a:graphicData>
            </a:graphic>
          </wp:inline>
        </w:drawing>
      </w:r>
      <w:r w:rsidRPr="0031675F">
        <w:rPr>
          <w:rFonts w:ascii="Times New Roman" w:eastAsia="Times New Roman" w:hAnsi="Times New Roman"/>
          <w:spacing w:val="8"/>
        </w:rPr>
        <w:t xml:space="preserve"> </w:t>
      </w:r>
      <w:r w:rsidRPr="0031675F">
        <w:rPr>
          <w:rFonts w:cs="Calibri"/>
        </w:rPr>
        <w:t>Then click</w:t>
      </w:r>
      <w:r w:rsidRPr="0031675F">
        <w:rPr>
          <w:rFonts w:cs="Calibri"/>
          <w:spacing w:val="-3"/>
        </w:rPr>
        <w:t xml:space="preserve"> </w:t>
      </w:r>
      <w:r w:rsidRPr="0031675F">
        <w:rPr>
          <w:rFonts w:cs="Calibri"/>
        </w:rPr>
        <w:t>‘Set</w:t>
      </w:r>
      <w:r w:rsidRPr="0031675F">
        <w:rPr>
          <w:rFonts w:cs="Calibri"/>
          <w:spacing w:val="-1"/>
        </w:rPr>
        <w:t xml:space="preserve"> Number</w:t>
      </w:r>
      <w:r w:rsidRPr="0031675F">
        <w:rPr>
          <w:rFonts w:cs="Calibri"/>
          <w:spacing w:val="-3"/>
        </w:rPr>
        <w:t xml:space="preserve"> </w:t>
      </w:r>
      <w:r w:rsidRPr="0031675F">
        <w:rPr>
          <w:rFonts w:cs="Calibri"/>
        </w:rPr>
        <w:t>of</w:t>
      </w:r>
      <w:r w:rsidRPr="0031675F">
        <w:rPr>
          <w:rFonts w:cs="Calibri"/>
          <w:spacing w:val="-3"/>
        </w:rPr>
        <w:t xml:space="preserve"> </w:t>
      </w:r>
      <w:r w:rsidRPr="0031675F">
        <w:rPr>
          <w:rFonts w:cs="Calibri"/>
          <w:spacing w:val="-1"/>
        </w:rPr>
        <w:t>Samples’</w:t>
      </w:r>
      <w:r w:rsidRPr="0031675F">
        <w:rPr>
          <w:rFonts w:cs="Calibri"/>
          <w:spacing w:val="-3"/>
        </w:rPr>
        <w:t xml:space="preserve"> </w:t>
      </w:r>
      <w:r w:rsidRPr="0031675F">
        <w:rPr>
          <w:rFonts w:cs="Calibri"/>
        </w:rPr>
        <w:t>button</w:t>
      </w:r>
      <w:r w:rsidRPr="0031675F">
        <w:rPr>
          <w:rFonts w:cs="Calibri"/>
          <w:spacing w:val="-3"/>
        </w:rPr>
        <w:t xml:space="preserve"> </w:t>
      </w:r>
      <w:r w:rsidRPr="0031675F">
        <w:rPr>
          <w:rFonts w:cs="Calibri"/>
          <w:spacing w:val="-1"/>
        </w:rPr>
        <w:t>to</w:t>
      </w:r>
      <w:r w:rsidRPr="0031675F">
        <w:rPr>
          <w:rFonts w:cs="Calibri"/>
          <w:spacing w:val="1"/>
        </w:rPr>
        <w:t xml:space="preserve"> </w:t>
      </w:r>
      <w:r w:rsidRPr="0031675F">
        <w:rPr>
          <w:rFonts w:cs="Calibri"/>
          <w:spacing w:val="-1"/>
        </w:rPr>
        <w:t>set.</w:t>
      </w:r>
    </w:p>
    <w:p w14:paraId="0AF5BEB0" w14:textId="77777777" w:rsidR="0031675F" w:rsidRPr="0031675F" w:rsidRDefault="0031675F" w:rsidP="0031675F">
      <w:pPr>
        <w:widowControl w:val="0"/>
        <w:numPr>
          <w:ilvl w:val="3"/>
          <w:numId w:val="74"/>
        </w:numPr>
        <w:tabs>
          <w:tab w:val="left" w:pos="839"/>
        </w:tabs>
        <w:spacing w:before="122" w:after="0" w:line="240" w:lineRule="auto"/>
        <w:ind w:left="476" w:right="2176" w:firstLine="2"/>
        <w:rPr>
          <w:rFonts w:cs="Calibri"/>
        </w:rPr>
      </w:pPr>
      <w:r w:rsidRPr="0031675F">
        <w:rPr>
          <w:rFonts w:cs="Calibri"/>
        </w:rPr>
        <w:t xml:space="preserve">Enter </w:t>
      </w:r>
      <w:r w:rsidRPr="0031675F">
        <w:rPr>
          <w:rFonts w:cs="Calibri"/>
          <w:spacing w:val="-1"/>
        </w:rPr>
        <w:t>‘1’</w:t>
      </w:r>
      <w:r w:rsidRPr="0031675F">
        <w:rPr>
          <w:rFonts w:cs="Calibri"/>
        </w:rPr>
        <w:t xml:space="preserve"> as</w:t>
      </w:r>
      <w:r w:rsidRPr="0031675F">
        <w:rPr>
          <w:rFonts w:cs="Calibri"/>
          <w:spacing w:val="-2"/>
        </w:rPr>
        <w:t xml:space="preserve"> </w:t>
      </w:r>
      <w:r w:rsidRPr="0031675F">
        <w:rPr>
          <w:rFonts w:cs="Calibri"/>
          <w:spacing w:val="-1"/>
        </w:rPr>
        <w:t>Number</w:t>
      </w:r>
      <w:r w:rsidRPr="0031675F">
        <w:rPr>
          <w:rFonts w:cs="Calibri"/>
          <w:spacing w:val="-3"/>
        </w:rPr>
        <w:t xml:space="preserve"> </w:t>
      </w:r>
      <w:r w:rsidRPr="0031675F">
        <w:rPr>
          <w:rFonts w:cs="Calibri"/>
        </w:rPr>
        <w:t>of</w:t>
      </w:r>
      <w:r w:rsidRPr="0031675F">
        <w:rPr>
          <w:rFonts w:cs="Calibri"/>
          <w:spacing w:val="-3"/>
        </w:rPr>
        <w:t xml:space="preserve"> </w:t>
      </w:r>
      <w:r w:rsidRPr="0031675F">
        <w:rPr>
          <w:rFonts w:cs="Calibri"/>
          <w:spacing w:val="-1"/>
        </w:rPr>
        <w:t>Sa</w:t>
      </w:r>
      <w:r w:rsidRPr="0031675F">
        <w:rPr>
          <w:spacing w:val="-1"/>
        </w:rPr>
        <w:t>mples.</w:t>
      </w:r>
      <w:r w:rsidRPr="0031675F">
        <w:t xml:space="preserve"> </w:t>
      </w:r>
      <w:r w:rsidRPr="0031675F">
        <w:rPr>
          <w:spacing w:val="-24"/>
        </w:rPr>
        <w:t xml:space="preserve"> </w:t>
      </w:r>
      <w:r w:rsidRPr="0031675F">
        <w:rPr>
          <w:noProof/>
          <w:spacing w:val="-24"/>
          <w:lang w:eastAsia="en-AU"/>
        </w:rPr>
        <w:drawing>
          <wp:inline distT="0" distB="0" distL="0" distR="0" wp14:anchorId="1C8AAB20" wp14:editId="77DC4039">
            <wp:extent cx="2124075" cy="295275"/>
            <wp:effectExtent l="0" t="0" r="9525" b="9525"/>
            <wp:docPr id="17776" name="image27.png" descr="Screen shot of 'set number of samples'.&#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7.png"/>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2124075" cy="295275"/>
                    </a:xfrm>
                    <a:prstGeom prst="rect">
                      <a:avLst/>
                    </a:prstGeom>
                    <a:noFill/>
                    <a:ln>
                      <a:noFill/>
                    </a:ln>
                  </pic:spPr>
                </pic:pic>
              </a:graphicData>
            </a:graphic>
          </wp:inline>
        </w:drawing>
      </w:r>
      <w:r w:rsidRPr="0031675F">
        <w:rPr>
          <w:rFonts w:ascii="Times New Roman" w:eastAsia="Times New Roman" w:hAnsi="Times New Roman"/>
          <w:spacing w:val="-1"/>
        </w:rPr>
        <w:t xml:space="preserve"> </w:t>
      </w:r>
      <w:r w:rsidRPr="0031675F">
        <w:rPr>
          <w:rFonts w:cs="Calibri"/>
        </w:rPr>
        <w:t>Then click</w:t>
      </w:r>
      <w:r w:rsidRPr="0031675F">
        <w:rPr>
          <w:rFonts w:cs="Calibri"/>
          <w:spacing w:val="-3"/>
        </w:rPr>
        <w:t xml:space="preserve"> </w:t>
      </w:r>
      <w:r w:rsidRPr="0031675F">
        <w:rPr>
          <w:rFonts w:cs="Calibri"/>
        </w:rPr>
        <w:t>‘Set</w:t>
      </w:r>
      <w:r w:rsidRPr="0031675F">
        <w:rPr>
          <w:rFonts w:cs="Calibri"/>
          <w:spacing w:val="-1"/>
        </w:rPr>
        <w:t xml:space="preserve"> Number</w:t>
      </w:r>
      <w:r w:rsidRPr="0031675F">
        <w:rPr>
          <w:rFonts w:cs="Calibri"/>
          <w:spacing w:val="-3"/>
        </w:rPr>
        <w:t xml:space="preserve"> </w:t>
      </w:r>
      <w:r w:rsidRPr="0031675F">
        <w:rPr>
          <w:rFonts w:cs="Calibri"/>
        </w:rPr>
        <w:t>of</w:t>
      </w:r>
      <w:r w:rsidRPr="0031675F">
        <w:rPr>
          <w:rFonts w:cs="Calibri"/>
          <w:spacing w:val="-3"/>
        </w:rPr>
        <w:t xml:space="preserve"> </w:t>
      </w:r>
      <w:r w:rsidRPr="0031675F">
        <w:rPr>
          <w:rFonts w:cs="Calibri"/>
          <w:spacing w:val="-1"/>
        </w:rPr>
        <w:t>Samples’</w:t>
      </w:r>
      <w:r w:rsidRPr="0031675F">
        <w:rPr>
          <w:rFonts w:cs="Calibri"/>
          <w:spacing w:val="-3"/>
        </w:rPr>
        <w:t xml:space="preserve"> </w:t>
      </w:r>
      <w:r w:rsidRPr="0031675F">
        <w:rPr>
          <w:rFonts w:cs="Calibri"/>
        </w:rPr>
        <w:t>button</w:t>
      </w:r>
      <w:r w:rsidRPr="0031675F">
        <w:rPr>
          <w:rFonts w:cs="Calibri"/>
          <w:spacing w:val="-3"/>
        </w:rPr>
        <w:t xml:space="preserve"> </w:t>
      </w:r>
      <w:r w:rsidRPr="0031675F">
        <w:rPr>
          <w:rFonts w:cs="Calibri"/>
          <w:spacing w:val="-1"/>
        </w:rPr>
        <w:t>to</w:t>
      </w:r>
      <w:r w:rsidRPr="0031675F">
        <w:rPr>
          <w:rFonts w:cs="Calibri"/>
          <w:spacing w:val="1"/>
        </w:rPr>
        <w:t xml:space="preserve"> </w:t>
      </w:r>
      <w:r w:rsidRPr="0031675F">
        <w:rPr>
          <w:rFonts w:cs="Calibri"/>
          <w:spacing w:val="-1"/>
        </w:rPr>
        <w:t>set.</w:t>
      </w:r>
    </w:p>
    <w:p w14:paraId="10A10A22" w14:textId="77777777" w:rsidR="0031675F" w:rsidRPr="0031675F" w:rsidRDefault="0031675F" w:rsidP="0031675F">
      <w:pPr>
        <w:widowControl w:val="0"/>
        <w:numPr>
          <w:ilvl w:val="3"/>
          <w:numId w:val="74"/>
        </w:numPr>
        <w:tabs>
          <w:tab w:val="left" w:pos="839"/>
        </w:tabs>
        <w:spacing w:before="123" w:after="0" w:line="239" w:lineRule="auto"/>
        <w:ind w:left="476" w:right="2040" w:firstLine="2"/>
        <w:rPr>
          <w:rFonts w:cs="Calibri"/>
        </w:rPr>
      </w:pPr>
      <w:r w:rsidRPr="0031675F">
        <w:rPr>
          <w:rFonts w:cs="Calibri"/>
        </w:rPr>
        <w:t xml:space="preserve">Enter </w:t>
      </w:r>
      <w:r w:rsidRPr="0031675F">
        <w:rPr>
          <w:rFonts w:cs="Calibri"/>
          <w:spacing w:val="-1"/>
        </w:rPr>
        <w:t>‘0’</w:t>
      </w:r>
      <w:r w:rsidRPr="0031675F">
        <w:rPr>
          <w:rFonts w:cs="Calibri"/>
        </w:rPr>
        <w:t xml:space="preserve"> as</w:t>
      </w:r>
      <w:r w:rsidRPr="0031675F">
        <w:rPr>
          <w:rFonts w:cs="Calibri"/>
          <w:spacing w:val="-2"/>
        </w:rPr>
        <w:t xml:space="preserve"> </w:t>
      </w:r>
      <w:r w:rsidRPr="0031675F">
        <w:rPr>
          <w:rFonts w:cs="Calibri"/>
          <w:spacing w:val="-1"/>
        </w:rPr>
        <w:t>the</w:t>
      </w:r>
      <w:r w:rsidRPr="0031675F">
        <w:rPr>
          <w:rFonts w:cs="Calibri"/>
        </w:rPr>
        <w:t xml:space="preserve"> </w:t>
      </w:r>
      <w:r w:rsidRPr="0031675F">
        <w:rPr>
          <w:rFonts w:cs="Calibri"/>
          <w:spacing w:val="-2"/>
        </w:rPr>
        <w:t xml:space="preserve">Number </w:t>
      </w:r>
      <w:r w:rsidRPr="0031675F">
        <w:rPr>
          <w:rFonts w:cs="Calibri"/>
        </w:rPr>
        <w:t>of</w:t>
      </w:r>
      <w:r w:rsidRPr="0031675F">
        <w:rPr>
          <w:rFonts w:cs="Calibri"/>
          <w:spacing w:val="-2"/>
        </w:rPr>
        <w:t xml:space="preserve"> </w:t>
      </w:r>
      <w:r w:rsidRPr="0031675F">
        <w:rPr>
          <w:rFonts w:cs="Calibri"/>
        </w:rPr>
        <w:t xml:space="preserve">Cycles. </w:t>
      </w:r>
      <w:r w:rsidRPr="0031675F">
        <w:rPr>
          <w:rFonts w:cs="Calibri"/>
          <w:spacing w:val="-24"/>
        </w:rPr>
        <w:t xml:space="preserve"> </w:t>
      </w:r>
      <w:r w:rsidRPr="0031675F">
        <w:rPr>
          <w:rFonts w:cs="Calibri"/>
          <w:noProof/>
          <w:spacing w:val="-24"/>
          <w:lang w:eastAsia="en-AU"/>
        </w:rPr>
        <w:drawing>
          <wp:inline distT="0" distB="0" distL="0" distR="0" wp14:anchorId="67CF7854" wp14:editId="28A8AF10">
            <wp:extent cx="2105025" cy="285750"/>
            <wp:effectExtent l="0" t="0" r="9525" b="0"/>
            <wp:docPr id="17777" name="image28.png" descr="Screen shot of 'Set number of cycles'.&#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8.png"/>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105025" cy="285750"/>
                    </a:xfrm>
                    <a:prstGeom prst="rect">
                      <a:avLst/>
                    </a:prstGeom>
                    <a:noFill/>
                    <a:ln>
                      <a:noFill/>
                    </a:ln>
                  </pic:spPr>
                </pic:pic>
              </a:graphicData>
            </a:graphic>
          </wp:inline>
        </w:drawing>
      </w:r>
      <w:r w:rsidRPr="0031675F">
        <w:rPr>
          <w:rFonts w:ascii="Times New Roman" w:eastAsia="Times New Roman" w:hAnsi="Times New Roman"/>
          <w:spacing w:val="6"/>
        </w:rPr>
        <w:t xml:space="preserve"> </w:t>
      </w:r>
      <w:r w:rsidRPr="0031675F">
        <w:rPr>
          <w:rFonts w:cs="Calibri"/>
        </w:rPr>
        <w:t>Then click</w:t>
      </w:r>
      <w:r w:rsidRPr="0031675F">
        <w:rPr>
          <w:rFonts w:cs="Calibri"/>
          <w:spacing w:val="-3"/>
        </w:rPr>
        <w:t xml:space="preserve"> </w:t>
      </w:r>
      <w:r w:rsidRPr="0031675F">
        <w:rPr>
          <w:rFonts w:cs="Calibri"/>
        </w:rPr>
        <w:t>‘Set</w:t>
      </w:r>
      <w:r w:rsidRPr="0031675F">
        <w:rPr>
          <w:rFonts w:cs="Calibri"/>
          <w:spacing w:val="-2"/>
        </w:rPr>
        <w:t xml:space="preserve"> </w:t>
      </w:r>
      <w:r w:rsidRPr="0031675F">
        <w:rPr>
          <w:rFonts w:cs="Calibri"/>
          <w:spacing w:val="-1"/>
        </w:rPr>
        <w:t>Number</w:t>
      </w:r>
      <w:r w:rsidRPr="0031675F">
        <w:rPr>
          <w:rFonts w:cs="Calibri"/>
          <w:spacing w:val="-3"/>
        </w:rPr>
        <w:t xml:space="preserve"> </w:t>
      </w:r>
      <w:r w:rsidRPr="0031675F">
        <w:rPr>
          <w:rFonts w:cs="Calibri"/>
        </w:rPr>
        <w:t>of</w:t>
      </w:r>
      <w:r w:rsidRPr="0031675F">
        <w:rPr>
          <w:rFonts w:cs="Calibri"/>
          <w:spacing w:val="-5"/>
        </w:rPr>
        <w:t xml:space="preserve"> </w:t>
      </w:r>
      <w:r w:rsidRPr="0031675F">
        <w:rPr>
          <w:rFonts w:cs="Calibri"/>
        </w:rPr>
        <w:t>Cycles’</w:t>
      </w:r>
      <w:r w:rsidRPr="0031675F">
        <w:rPr>
          <w:rFonts w:cs="Calibri"/>
          <w:spacing w:val="-2"/>
        </w:rPr>
        <w:t xml:space="preserve"> </w:t>
      </w:r>
      <w:r w:rsidRPr="0031675F">
        <w:rPr>
          <w:rFonts w:cs="Calibri"/>
          <w:spacing w:val="-1"/>
        </w:rPr>
        <w:t>button to</w:t>
      </w:r>
      <w:r w:rsidRPr="0031675F">
        <w:rPr>
          <w:rFonts w:cs="Calibri"/>
          <w:spacing w:val="1"/>
        </w:rPr>
        <w:t xml:space="preserve"> </w:t>
      </w:r>
      <w:r w:rsidRPr="0031675F">
        <w:rPr>
          <w:rFonts w:cs="Calibri"/>
          <w:spacing w:val="-1"/>
        </w:rPr>
        <w:t>set.</w:t>
      </w:r>
    </w:p>
    <w:p w14:paraId="0D0E6391" w14:textId="77777777" w:rsidR="0031675F" w:rsidRPr="0031675F" w:rsidRDefault="0031675F" w:rsidP="0031675F">
      <w:pPr>
        <w:widowControl w:val="0"/>
        <w:numPr>
          <w:ilvl w:val="3"/>
          <w:numId w:val="74"/>
        </w:numPr>
        <w:tabs>
          <w:tab w:val="left" w:pos="839"/>
        </w:tabs>
        <w:spacing w:before="122" w:after="0" w:line="240" w:lineRule="auto"/>
        <w:ind w:left="476" w:right="1958" w:firstLine="2"/>
      </w:pPr>
      <w:r w:rsidRPr="0031675F">
        <w:rPr>
          <w:rFonts w:cs="Calibri"/>
        </w:rPr>
        <w:t xml:space="preserve">Enter </w:t>
      </w:r>
      <w:r w:rsidRPr="0031675F">
        <w:rPr>
          <w:rFonts w:cs="Calibri"/>
          <w:spacing w:val="-1"/>
        </w:rPr>
        <w:t>‘000957’</w:t>
      </w:r>
      <w:r w:rsidRPr="0031675F">
        <w:rPr>
          <w:rFonts w:cs="Calibri"/>
        </w:rPr>
        <w:t xml:space="preserve"> as</w:t>
      </w:r>
      <w:r w:rsidRPr="0031675F">
        <w:rPr>
          <w:rFonts w:cs="Calibri"/>
          <w:spacing w:val="-1"/>
        </w:rPr>
        <w:t xml:space="preserve"> </w:t>
      </w:r>
      <w:r w:rsidRPr="0031675F">
        <w:t xml:space="preserve">the </w:t>
      </w:r>
      <w:r w:rsidRPr="0031675F">
        <w:rPr>
          <w:spacing w:val="-1"/>
        </w:rPr>
        <w:t>Cycle</w:t>
      </w:r>
      <w:r w:rsidRPr="0031675F">
        <w:rPr>
          <w:spacing w:val="-2"/>
        </w:rPr>
        <w:t xml:space="preserve"> </w:t>
      </w:r>
      <w:r w:rsidRPr="0031675F">
        <w:rPr>
          <w:spacing w:val="-1"/>
        </w:rPr>
        <w:t>Interval.</w:t>
      </w:r>
      <w:r w:rsidRPr="0031675F">
        <w:rPr>
          <w:spacing w:val="24"/>
        </w:rPr>
        <w:t xml:space="preserve"> </w:t>
      </w:r>
      <w:r w:rsidRPr="0031675F">
        <w:rPr>
          <w:noProof/>
          <w:lang w:eastAsia="en-AU"/>
        </w:rPr>
        <w:drawing>
          <wp:inline distT="0" distB="0" distL="0" distR="0" wp14:anchorId="7549399B" wp14:editId="5B1DB67D">
            <wp:extent cx="1981200" cy="298057"/>
            <wp:effectExtent l="0" t="0" r="0" b="6985"/>
            <wp:docPr id="17778" name="Picture 17778" descr="Screen shot of 'Set cycle interval'."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9"/>
                    <a:stretch>
                      <a:fillRect/>
                    </a:stretch>
                  </pic:blipFill>
                  <pic:spPr>
                    <a:xfrm>
                      <a:off x="0" y="0"/>
                      <a:ext cx="1988082" cy="299092"/>
                    </a:xfrm>
                    <a:prstGeom prst="rect">
                      <a:avLst/>
                    </a:prstGeom>
                  </pic:spPr>
                </pic:pic>
              </a:graphicData>
            </a:graphic>
          </wp:inline>
        </w:drawing>
      </w:r>
      <w:r w:rsidRPr="0031675F">
        <w:rPr>
          <w:rFonts w:ascii="Times New Roman" w:eastAsia="Times New Roman" w:hAnsi="Times New Roman"/>
          <w:spacing w:val="47"/>
        </w:rPr>
        <w:t xml:space="preserve"> </w:t>
      </w:r>
      <w:r w:rsidRPr="0031675F">
        <w:rPr>
          <w:rFonts w:cs="Calibri"/>
        </w:rPr>
        <w:t>Then click</w:t>
      </w:r>
      <w:r w:rsidRPr="0031675F">
        <w:rPr>
          <w:rFonts w:cs="Calibri"/>
          <w:spacing w:val="-3"/>
        </w:rPr>
        <w:t xml:space="preserve"> </w:t>
      </w:r>
      <w:r w:rsidRPr="0031675F">
        <w:rPr>
          <w:rFonts w:cs="Calibri"/>
        </w:rPr>
        <w:t>‘Set</w:t>
      </w:r>
      <w:r w:rsidRPr="0031675F">
        <w:rPr>
          <w:rFonts w:cs="Calibri"/>
          <w:spacing w:val="-2"/>
        </w:rPr>
        <w:t xml:space="preserve"> </w:t>
      </w:r>
      <w:r w:rsidRPr="0031675F">
        <w:rPr>
          <w:rFonts w:cs="Calibri"/>
          <w:spacing w:val="-1"/>
        </w:rPr>
        <w:t>Cycle</w:t>
      </w:r>
      <w:r w:rsidRPr="0031675F">
        <w:rPr>
          <w:rFonts w:cs="Calibri"/>
        </w:rPr>
        <w:t xml:space="preserve"> </w:t>
      </w:r>
      <w:r w:rsidRPr="0031675F">
        <w:rPr>
          <w:rFonts w:cs="Calibri"/>
          <w:spacing w:val="-1"/>
        </w:rPr>
        <w:t>Interval’</w:t>
      </w:r>
      <w:r w:rsidRPr="0031675F">
        <w:rPr>
          <w:rFonts w:cs="Calibri"/>
        </w:rPr>
        <w:t xml:space="preserve"> </w:t>
      </w:r>
      <w:r w:rsidRPr="0031675F">
        <w:rPr>
          <w:rFonts w:cs="Calibri"/>
          <w:spacing w:val="-1"/>
        </w:rPr>
        <w:t>button</w:t>
      </w:r>
      <w:r w:rsidRPr="0031675F">
        <w:rPr>
          <w:rFonts w:cs="Calibri"/>
          <w:spacing w:val="-3"/>
        </w:rPr>
        <w:t xml:space="preserve"> </w:t>
      </w:r>
      <w:r w:rsidRPr="0031675F">
        <w:rPr>
          <w:rFonts w:cs="Calibri"/>
        </w:rPr>
        <w:t>to</w:t>
      </w:r>
      <w:r w:rsidRPr="0031675F">
        <w:rPr>
          <w:rFonts w:cs="Calibri"/>
          <w:spacing w:val="-1"/>
        </w:rPr>
        <w:t xml:space="preserve"> set.</w:t>
      </w:r>
      <w:r w:rsidRPr="0031675F">
        <w:rPr>
          <w:rFonts w:cs="Calibri"/>
        </w:rPr>
        <w:t xml:space="preserve"> </w:t>
      </w:r>
      <w:r w:rsidRPr="0031675F">
        <w:rPr>
          <w:rFonts w:cs="Calibri"/>
          <w:spacing w:val="-1"/>
        </w:rPr>
        <w:t>(Records</w:t>
      </w:r>
      <w:r w:rsidRPr="0031675F">
        <w:rPr>
          <w:rFonts w:cs="Calibri"/>
          <w:spacing w:val="-5"/>
        </w:rPr>
        <w:t xml:space="preserve"> </w:t>
      </w:r>
      <w:r w:rsidRPr="0031675F">
        <w:rPr>
          <w:rFonts w:cs="Calibri"/>
          <w:spacing w:val="-1"/>
        </w:rPr>
        <w:t>every</w:t>
      </w:r>
      <w:r w:rsidRPr="0031675F">
        <w:rPr>
          <w:rFonts w:cs="Calibri"/>
          <w:spacing w:val="-2"/>
        </w:rPr>
        <w:t xml:space="preserve"> </w:t>
      </w:r>
      <w:r w:rsidRPr="0031675F">
        <w:rPr>
          <w:rFonts w:cs="Calibri"/>
        </w:rPr>
        <w:t>10</w:t>
      </w:r>
      <w:r w:rsidRPr="0031675F">
        <w:rPr>
          <w:rFonts w:cs="Calibri"/>
          <w:spacing w:val="1"/>
        </w:rPr>
        <w:t xml:space="preserve"> </w:t>
      </w:r>
      <w:r w:rsidRPr="0031675F">
        <w:rPr>
          <w:spacing w:val="-1"/>
        </w:rPr>
        <w:t>minutes.)</w:t>
      </w:r>
    </w:p>
    <w:p w14:paraId="7C0E6167" w14:textId="77777777" w:rsidR="0031675F" w:rsidRPr="0031675F" w:rsidRDefault="0031675F" w:rsidP="0031675F">
      <w:pPr>
        <w:widowControl w:val="0"/>
        <w:numPr>
          <w:ilvl w:val="3"/>
          <w:numId w:val="74"/>
        </w:numPr>
        <w:tabs>
          <w:tab w:val="left" w:pos="839"/>
        </w:tabs>
        <w:spacing w:before="122" w:after="0" w:line="240" w:lineRule="auto"/>
        <w:ind w:left="476" w:right="1958" w:firstLine="2"/>
      </w:pPr>
      <w:r w:rsidRPr="0031675F">
        <w:rPr>
          <w:spacing w:val="-1"/>
        </w:rPr>
        <w:t xml:space="preserve">Alternatively you may need to enter ‘000958’ in older instrument versions. </w:t>
      </w:r>
    </w:p>
    <w:p w14:paraId="4EBBA14E" w14:textId="77777777" w:rsidR="0031675F" w:rsidRPr="0031675F" w:rsidRDefault="0031675F" w:rsidP="0031675F">
      <w:pPr>
        <w:widowControl w:val="0"/>
        <w:numPr>
          <w:ilvl w:val="3"/>
          <w:numId w:val="74"/>
        </w:numPr>
        <w:tabs>
          <w:tab w:val="left" w:pos="832"/>
        </w:tabs>
        <w:spacing w:before="123" w:after="0" w:line="239" w:lineRule="auto"/>
        <w:ind w:left="831" w:right="120" w:hanging="355"/>
        <w:rPr>
          <w:rFonts w:cs="Calibri"/>
        </w:rPr>
      </w:pPr>
      <w:r w:rsidRPr="0031675F">
        <w:rPr>
          <w:b/>
          <w:spacing w:val="-1"/>
        </w:rPr>
        <w:t>IMPORTANT:</w:t>
      </w:r>
      <w:r w:rsidRPr="0031675F">
        <w:rPr>
          <w:b/>
          <w:spacing w:val="7"/>
        </w:rPr>
        <w:t xml:space="preserve"> </w:t>
      </w:r>
      <w:r w:rsidRPr="0031675F">
        <w:rPr>
          <w:b/>
          <w:spacing w:val="-1"/>
        </w:rPr>
        <w:t>Turn</w:t>
      </w:r>
      <w:r w:rsidRPr="0031675F">
        <w:rPr>
          <w:b/>
          <w:spacing w:val="9"/>
        </w:rPr>
        <w:t xml:space="preserve"> </w:t>
      </w:r>
      <w:r w:rsidRPr="0031675F">
        <w:rPr>
          <w:b/>
          <w:spacing w:val="-1"/>
        </w:rPr>
        <w:t>logging</w:t>
      </w:r>
      <w:r w:rsidRPr="0031675F">
        <w:rPr>
          <w:b/>
          <w:spacing w:val="8"/>
        </w:rPr>
        <w:t xml:space="preserve"> </w:t>
      </w:r>
      <w:r w:rsidRPr="0031675F">
        <w:rPr>
          <w:b/>
          <w:spacing w:val="-1"/>
        </w:rPr>
        <w:t>on</w:t>
      </w:r>
      <w:r w:rsidRPr="0031675F">
        <w:rPr>
          <w:spacing w:val="-1"/>
        </w:rPr>
        <w:t>,</w:t>
      </w:r>
      <w:r w:rsidRPr="0031675F">
        <w:rPr>
          <w:spacing w:val="10"/>
        </w:rPr>
        <w:t xml:space="preserve"> </w:t>
      </w:r>
      <w:r w:rsidRPr="0031675F">
        <w:t>click</w:t>
      </w:r>
      <w:r w:rsidRPr="0031675F">
        <w:rPr>
          <w:spacing w:val="39"/>
        </w:rPr>
        <w:t xml:space="preserve"> </w:t>
      </w:r>
      <w:r w:rsidRPr="0031675F">
        <w:rPr>
          <w:noProof/>
          <w:spacing w:val="-10"/>
          <w:lang w:eastAsia="en-AU"/>
        </w:rPr>
        <w:drawing>
          <wp:inline distT="0" distB="0" distL="0" distR="0" wp14:anchorId="05D4169E" wp14:editId="3DC9AFD3">
            <wp:extent cx="1323975" cy="276225"/>
            <wp:effectExtent l="0" t="0" r="9525" b="9525"/>
            <wp:docPr id="17779" name="image32.png" descr="Screen shot of 'Turn logging on'."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2.png"/>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1323975" cy="276225"/>
                    </a:xfrm>
                    <a:prstGeom prst="rect">
                      <a:avLst/>
                    </a:prstGeom>
                    <a:noFill/>
                    <a:ln>
                      <a:noFill/>
                    </a:ln>
                  </pic:spPr>
                </pic:pic>
              </a:graphicData>
            </a:graphic>
          </wp:inline>
        </w:drawing>
      </w:r>
      <w:r w:rsidRPr="0031675F">
        <w:rPr>
          <w:rFonts w:ascii="Times New Roman"/>
          <w:spacing w:val="-10"/>
        </w:rPr>
        <w:t xml:space="preserve"> </w:t>
      </w:r>
      <w:r w:rsidRPr="0031675F">
        <w:rPr>
          <w:spacing w:val="-1"/>
        </w:rPr>
        <w:t>so</w:t>
      </w:r>
      <w:r w:rsidRPr="0031675F">
        <w:rPr>
          <w:spacing w:val="11"/>
        </w:rPr>
        <w:t xml:space="preserve"> </w:t>
      </w:r>
      <w:r w:rsidRPr="0031675F">
        <w:t>that</w:t>
      </w:r>
      <w:r w:rsidRPr="0031675F">
        <w:rPr>
          <w:spacing w:val="7"/>
        </w:rPr>
        <w:t xml:space="preserve"> </w:t>
      </w:r>
      <w:r w:rsidRPr="0031675F">
        <w:t>the</w:t>
      </w:r>
      <w:r w:rsidRPr="0031675F">
        <w:rPr>
          <w:spacing w:val="10"/>
        </w:rPr>
        <w:t xml:space="preserve"> </w:t>
      </w:r>
      <w:r w:rsidRPr="0031675F">
        <w:rPr>
          <w:spacing w:val="-1"/>
        </w:rPr>
        <w:t>data</w:t>
      </w:r>
      <w:r w:rsidRPr="0031675F">
        <w:rPr>
          <w:spacing w:val="7"/>
        </w:rPr>
        <w:t xml:space="preserve"> </w:t>
      </w:r>
      <w:r w:rsidRPr="0031675F">
        <w:t>is</w:t>
      </w:r>
      <w:r w:rsidRPr="0031675F">
        <w:rPr>
          <w:spacing w:val="9"/>
        </w:rPr>
        <w:t xml:space="preserve"> </w:t>
      </w:r>
      <w:r w:rsidRPr="0031675F">
        <w:rPr>
          <w:spacing w:val="-1"/>
        </w:rPr>
        <w:t>stored</w:t>
      </w:r>
      <w:r w:rsidRPr="0031675F">
        <w:rPr>
          <w:spacing w:val="9"/>
        </w:rPr>
        <w:t xml:space="preserve"> </w:t>
      </w:r>
      <w:r w:rsidRPr="0031675F">
        <w:t>in</w:t>
      </w:r>
      <w:r w:rsidRPr="0031675F">
        <w:rPr>
          <w:spacing w:val="9"/>
        </w:rPr>
        <w:t xml:space="preserve"> </w:t>
      </w:r>
      <w:r w:rsidRPr="0031675F">
        <w:t>the</w:t>
      </w:r>
      <w:r w:rsidRPr="0031675F">
        <w:rPr>
          <w:spacing w:val="29"/>
        </w:rPr>
        <w:t xml:space="preserve"> </w:t>
      </w:r>
      <w:r w:rsidRPr="0031675F">
        <w:rPr>
          <w:spacing w:val="-1"/>
        </w:rPr>
        <w:t>logger memory.</w:t>
      </w:r>
    </w:p>
    <w:p w14:paraId="0F2814F7" w14:textId="77777777" w:rsidR="0031675F" w:rsidRPr="0031675F" w:rsidRDefault="0031675F" w:rsidP="0031675F">
      <w:pPr>
        <w:spacing w:before="121" w:after="120"/>
        <w:ind w:right="110"/>
      </w:pPr>
      <w:r w:rsidRPr="0031675F">
        <w:rPr>
          <w:spacing w:val="-1"/>
        </w:rPr>
        <w:t>The</w:t>
      </w:r>
      <w:r w:rsidRPr="0031675F">
        <w:rPr>
          <w:spacing w:val="15"/>
        </w:rPr>
        <w:t xml:space="preserve"> </w:t>
      </w:r>
      <w:r w:rsidRPr="0031675F">
        <w:rPr>
          <w:spacing w:val="-1"/>
        </w:rPr>
        <w:t>instrument</w:t>
      </w:r>
      <w:r w:rsidRPr="0031675F">
        <w:rPr>
          <w:spacing w:val="14"/>
        </w:rPr>
        <w:t xml:space="preserve"> </w:t>
      </w:r>
      <w:r w:rsidRPr="0031675F">
        <w:t>will</w:t>
      </w:r>
      <w:r w:rsidRPr="0031675F">
        <w:rPr>
          <w:spacing w:val="15"/>
        </w:rPr>
        <w:t xml:space="preserve"> </w:t>
      </w:r>
      <w:r w:rsidRPr="0031675F">
        <w:rPr>
          <w:spacing w:val="-1"/>
        </w:rPr>
        <w:t>average</w:t>
      </w:r>
      <w:r w:rsidRPr="0031675F">
        <w:rPr>
          <w:spacing w:val="15"/>
        </w:rPr>
        <w:t xml:space="preserve"> </w:t>
      </w:r>
      <w:r w:rsidRPr="0031675F">
        <w:t>50</w:t>
      </w:r>
      <w:r w:rsidRPr="0031675F">
        <w:rPr>
          <w:spacing w:val="17"/>
        </w:rPr>
        <w:t xml:space="preserve"> </w:t>
      </w:r>
      <w:r w:rsidRPr="0031675F">
        <w:rPr>
          <w:spacing w:val="-1"/>
        </w:rPr>
        <w:t>samples,</w:t>
      </w:r>
      <w:r w:rsidRPr="0031675F">
        <w:rPr>
          <w:spacing w:val="15"/>
        </w:rPr>
        <w:t xml:space="preserve"> </w:t>
      </w:r>
      <w:r w:rsidRPr="0031675F">
        <w:rPr>
          <w:spacing w:val="-1"/>
        </w:rPr>
        <w:t>for</w:t>
      </w:r>
      <w:r w:rsidRPr="0031675F">
        <w:rPr>
          <w:spacing w:val="14"/>
        </w:rPr>
        <w:t xml:space="preserve"> </w:t>
      </w:r>
      <w:r w:rsidRPr="0031675F">
        <w:t>one</w:t>
      </w:r>
      <w:r w:rsidRPr="0031675F">
        <w:rPr>
          <w:spacing w:val="15"/>
        </w:rPr>
        <w:t xml:space="preserve"> </w:t>
      </w:r>
      <w:r w:rsidRPr="0031675F">
        <w:rPr>
          <w:spacing w:val="-1"/>
        </w:rPr>
        <w:t>reading,</w:t>
      </w:r>
      <w:r w:rsidRPr="0031675F">
        <w:rPr>
          <w:spacing w:val="14"/>
        </w:rPr>
        <w:t xml:space="preserve"> </w:t>
      </w:r>
      <w:r w:rsidRPr="0031675F">
        <w:rPr>
          <w:spacing w:val="-1"/>
        </w:rPr>
        <w:t>recording</w:t>
      </w:r>
      <w:r w:rsidRPr="0031675F">
        <w:rPr>
          <w:spacing w:val="13"/>
        </w:rPr>
        <w:t xml:space="preserve"> </w:t>
      </w:r>
      <w:r w:rsidRPr="0031675F">
        <w:rPr>
          <w:spacing w:val="-1"/>
        </w:rPr>
        <w:t>every</w:t>
      </w:r>
      <w:r w:rsidRPr="0031675F">
        <w:rPr>
          <w:spacing w:val="15"/>
        </w:rPr>
        <w:t xml:space="preserve"> </w:t>
      </w:r>
      <w:r w:rsidRPr="0031675F">
        <w:rPr>
          <w:spacing w:val="-1"/>
        </w:rPr>
        <w:t>10</w:t>
      </w:r>
      <w:r w:rsidRPr="0031675F">
        <w:rPr>
          <w:spacing w:val="18"/>
        </w:rPr>
        <w:t xml:space="preserve"> </w:t>
      </w:r>
      <w:r w:rsidRPr="0031675F">
        <w:rPr>
          <w:spacing w:val="-1"/>
        </w:rPr>
        <w:t>minutes;</w:t>
      </w:r>
      <w:r w:rsidRPr="0031675F">
        <w:rPr>
          <w:spacing w:val="15"/>
        </w:rPr>
        <w:t xml:space="preserve"> </w:t>
      </w:r>
      <w:r w:rsidRPr="0031675F">
        <w:rPr>
          <w:spacing w:val="-1"/>
        </w:rPr>
        <w:t>beginning</w:t>
      </w:r>
      <w:r w:rsidRPr="0031675F">
        <w:rPr>
          <w:spacing w:val="13"/>
        </w:rPr>
        <w:t xml:space="preserve"> </w:t>
      </w:r>
      <w:r w:rsidRPr="0031675F">
        <w:t>on</w:t>
      </w:r>
      <w:r w:rsidRPr="0031675F">
        <w:rPr>
          <w:spacing w:val="53"/>
        </w:rPr>
        <w:t xml:space="preserve"> </w:t>
      </w:r>
      <w:r w:rsidRPr="0031675F">
        <w:rPr>
          <w:spacing w:val="-1"/>
        </w:rPr>
        <w:t>power-up.</w:t>
      </w:r>
    </w:p>
    <w:p w14:paraId="0FB9033A" w14:textId="77777777" w:rsidR="0031675F" w:rsidRPr="0031675F" w:rsidRDefault="0031675F" w:rsidP="0031675F">
      <w:pPr>
        <w:tabs>
          <w:tab w:val="left" w:pos="3719"/>
        </w:tabs>
        <w:spacing w:before="120" w:after="120" w:line="346" w:lineRule="auto"/>
        <w:ind w:right="1783"/>
      </w:pPr>
      <w:r w:rsidRPr="0031675F">
        <w:rPr>
          <w:spacing w:val="-1"/>
        </w:rPr>
        <w:t>Set</w:t>
      </w:r>
      <w:r w:rsidRPr="0031675F">
        <w:rPr>
          <w:spacing w:val="1"/>
        </w:rPr>
        <w:t xml:space="preserve"> </w:t>
      </w:r>
      <w:r w:rsidRPr="0031675F">
        <w:rPr>
          <w:spacing w:val="-1"/>
        </w:rPr>
        <w:t>Avg/Data</w:t>
      </w:r>
      <w:r w:rsidRPr="0031675F">
        <w:t xml:space="preserve"> </w:t>
      </w:r>
      <w:r w:rsidRPr="0031675F">
        <w:rPr>
          <w:spacing w:val="-1"/>
        </w:rPr>
        <w:t>Rate</w:t>
      </w:r>
      <w:r w:rsidRPr="0031675F">
        <w:rPr>
          <w:spacing w:val="-2"/>
        </w:rPr>
        <w:t xml:space="preserve"> </w:t>
      </w:r>
      <w:r w:rsidRPr="0031675F">
        <w:t>=</w:t>
      </w:r>
      <w:r w:rsidRPr="0031675F">
        <w:rPr>
          <w:spacing w:val="-2"/>
        </w:rPr>
        <w:t xml:space="preserve"> </w:t>
      </w:r>
      <w:r w:rsidRPr="0031675F">
        <w:t>50</w:t>
      </w:r>
      <w:r w:rsidRPr="0031675F">
        <w:tab/>
      </w:r>
      <w:r w:rsidRPr="0031675F">
        <w:rPr>
          <w:spacing w:val="-1"/>
        </w:rPr>
        <w:t>Average</w:t>
      </w:r>
      <w:r w:rsidRPr="0031675F">
        <w:rPr>
          <w:spacing w:val="-2"/>
        </w:rPr>
        <w:t xml:space="preserve"> </w:t>
      </w:r>
      <w:r w:rsidRPr="0031675F">
        <w:rPr>
          <w:spacing w:val="-1"/>
        </w:rPr>
        <w:t>50</w:t>
      </w:r>
      <w:r w:rsidRPr="0031675F">
        <w:t xml:space="preserve"> </w:t>
      </w:r>
      <w:r w:rsidRPr="0031675F">
        <w:rPr>
          <w:spacing w:val="-1"/>
        </w:rPr>
        <w:t>Samples for</w:t>
      </w:r>
      <w:r w:rsidRPr="0031675F">
        <w:rPr>
          <w:spacing w:val="-2"/>
        </w:rPr>
        <w:t xml:space="preserve"> </w:t>
      </w:r>
      <w:r w:rsidRPr="0031675F">
        <w:rPr>
          <w:spacing w:val="-1"/>
        </w:rPr>
        <w:t>one</w:t>
      </w:r>
      <w:r w:rsidRPr="0031675F">
        <w:t xml:space="preserve"> </w:t>
      </w:r>
      <w:r w:rsidRPr="0031675F">
        <w:rPr>
          <w:spacing w:val="-1"/>
        </w:rPr>
        <w:t>measurement</w:t>
      </w:r>
      <w:r w:rsidRPr="0031675F">
        <w:rPr>
          <w:spacing w:val="41"/>
        </w:rPr>
        <w:t xml:space="preserve"> </w:t>
      </w:r>
      <w:r w:rsidRPr="0031675F">
        <w:rPr>
          <w:spacing w:val="-1"/>
        </w:rPr>
        <w:t>Set</w:t>
      </w:r>
      <w:r w:rsidRPr="0031675F">
        <w:rPr>
          <w:spacing w:val="1"/>
        </w:rPr>
        <w:t xml:space="preserve"> </w:t>
      </w:r>
      <w:r w:rsidRPr="0031675F">
        <w:rPr>
          <w:spacing w:val="-1"/>
        </w:rPr>
        <w:t>Number</w:t>
      </w:r>
      <w:r w:rsidRPr="0031675F">
        <w:t xml:space="preserve"> of</w:t>
      </w:r>
      <w:r w:rsidRPr="0031675F">
        <w:rPr>
          <w:spacing w:val="-3"/>
        </w:rPr>
        <w:t xml:space="preserve"> </w:t>
      </w:r>
      <w:r w:rsidRPr="0031675F">
        <w:rPr>
          <w:spacing w:val="-1"/>
        </w:rPr>
        <w:t>Samples</w:t>
      </w:r>
      <w:r w:rsidRPr="0031675F">
        <w:t xml:space="preserve"> = 1</w:t>
      </w:r>
      <w:r w:rsidRPr="0031675F">
        <w:tab/>
      </w:r>
      <w:r w:rsidRPr="0031675F">
        <w:rPr>
          <w:spacing w:val="-1"/>
        </w:rPr>
        <w:t xml:space="preserve">Take </w:t>
      </w:r>
      <w:r w:rsidRPr="0031675F">
        <w:t>1</w:t>
      </w:r>
      <w:r w:rsidRPr="0031675F">
        <w:rPr>
          <w:spacing w:val="-2"/>
        </w:rPr>
        <w:t xml:space="preserve"> </w:t>
      </w:r>
      <w:r w:rsidRPr="0031675F">
        <w:rPr>
          <w:spacing w:val="-1"/>
        </w:rPr>
        <w:t>Measurement (takes</w:t>
      </w:r>
      <w:r w:rsidRPr="0031675F">
        <w:t xml:space="preserve"> 2</w:t>
      </w:r>
      <w:r w:rsidRPr="0031675F">
        <w:rPr>
          <w:spacing w:val="1"/>
        </w:rPr>
        <w:t xml:space="preserve"> </w:t>
      </w:r>
      <w:r w:rsidRPr="0031675F">
        <w:rPr>
          <w:spacing w:val="-1"/>
        </w:rPr>
        <w:t>seconds) Set</w:t>
      </w:r>
      <w:r w:rsidRPr="0031675F">
        <w:rPr>
          <w:spacing w:val="28"/>
        </w:rPr>
        <w:t xml:space="preserve"> </w:t>
      </w:r>
      <w:r w:rsidRPr="0031675F">
        <w:rPr>
          <w:spacing w:val="-1"/>
        </w:rPr>
        <w:t>Number</w:t>
      </w:r>
      <w:r w:rsidRPr="0031675F">
        <w:t xml:space="preserve"> of</w:t>
      </w:r>
      <w:r w:rsidRPr="0031675F">
        <w:rPr>
          <w:spacing w:val="-3"/>
        </w:rPr>
        <w:t xml:space="preserve"> </w:t>
      </w:r>
      <w:r w:rsidRPr="0031675F">
        <w:rPr>
          <w:spacing w:val="-1"/>
        </w:rPr>
        <w:t>Cycles</w:t>
      </w:r>
      <w:r w:rsidRPr="0031675F">
        <w:rPr>
          <w:spacing w:val="-2"/>
        </w:rPr>
        <w:t xml:space="preserve"> </w:t>
      </w:r>
      <w:r w:rsidRPr="0031675F">
        <w:t>=</w:t>
      </w:r>
      <w:r w:rsidRPr="0031675F">
        <w:rPr>
          <w:spacing w:val="-1"/>
        </w:rPr>
        <w:t xml:space="preserve"> </w:t>
      </w:r>
      <w:r w:rsidRPr="0031675F">
        <w:t>0</w:t>
      </w:r>
      <w:r w:rsidRPr="0031675F">
        <w:tab/>
      </w:r>
      <w:r w:rsidRPr="0031675F">
        <w:rPr>
          <w:spacing w:val="-1"/>
        </w:rPr>
        <w:t>Cycle</w:t>
      </w:r>
      <w:r w:rsidRPr="0031675F">
        <w:rPr>
          <w:spacing w:val="-2"/>
        </w:rPr>
        <w:t xml:space="preserve"> </w:t>
      </w:r>
      <w:r w:rsidRPr="0031675F">
        <w:rPr>
          <w:spacing w:val="-1"/>
        </w:rPr>
        <w:t>continuously</w:t>
      </w:r>
    </w:p>
    <w:p w14:paraId="47BD8416" w14:textId="77777777" w:rsidR="0031675F" w:rsidRPr="0031675F" w:rsidRDefault="0031675F" w:rsidP="0031675F">
      <w:pPr>
        <w:tabs>
          <w:tab w:val="left" w:pos="3719"/>
        </w:tabs>
        <w:spacing w:before="1" w:after="120"/>
      </w:pPr>
      <w:r w:rsidRPr="0031675F">
        <w:rPr>
          <w:spacing w:val="-1"/>
        </w:rPr>
        <w:t>Set</w:t>
      </w:r>
      <w:r w:rsidRPr="0031675F">
        <w:rPr>
          <w:spacing w:val="1"/>
        </w:rPr>
        <w:t xml:space="preserve"> </w:t>
      </w:r>
      <w:r w:rsidRPr="0031675F">
        <w:rPr>
          <w:spacing w:val="-1"/>
        </w:rPr>
        <w:t>Time</w:t>
      </w:r>
      <w:r w:rsidRPr="0031675F">
        <w:rPr>
          <w:spacing w:val="-2"/>
        </w:rPr>
        <w:t xml:space="preserve"> </w:t>
      </w:r>
      <w:r w:rsidRPr="0031675F">
        <w:rPr>
          <w:spacing w:val="-1"/>
        </w:rPr>
        <w:t>Interval</w:t>
      </w:r>
      <w:r w:rsidRPr="0031675F">
        <w:t xml:space="preserve"> =</w:t>
      </w:r>
      <w:r w:rsidRPr="0031675F">
        <w:rPr>
          <w:spacing w:val="-2"/>
        </w:rPr>
        <w:t xml:space="preserve"> </w:t>
      </w:r>
      <w:r w:rsidRPr="0031675F">
        <w:rPr>
          <w:spacing w:val="-1"/>
        </w:rPr>
        <w:t>000957</w:t>
      </w:r>
      <w:r w:rsidRPr="0031675F">
        <w:rPr>
          <w:spacing w:val="-1"/>
        </w:rPr>
        <w:tab/>
        <w:t>(HHMMSS)</w:t>
      </w:r>
      <w:r w:rsidRPr="0031675F">
        <w:rPr>
          <w:spacing w:val="-2"/>
        </w:rPr>
        <w:t xml:space="preserve"> </w:t>
      </w:r>
      <w:r w:rsidRPr="0031675F">
        <w:t>9</w:t>
      </w:r>
      <w:r w:rsidRPr="0031675F">
        <w:rPr>
          <w:spacing w:val="-2"/>
        </w:rPr>
        <w:t xml:space="preserve"> </w:t>
      </w:r>
      <w:r w:rsidRPr="0031675F">
        <w:rPr>
          <w:spacing w:val="-1"/>
        </w:rPr>
        <w:t>minutes</w:t>
      </w:r>
      <w:r w:rsidRPr="0031675F">
        <w:rPr>
          <w:spacing w:val="-3"/>
        </w:rPr>
        <w:t xml:space="preserve"> </w:t>
      </w:r>
      <w:r w:rsidRPr="0031675F">
        <w:rPr>
          <w:spacing w:val="-1"/>
        </w:rPr>
        <w:t>57</w:t>
      </w:r>
      <w:r w:rsidRPr="0031675F">
        <w:t xml:space="preserve"> </w:t>
      </w:r>
      <w:r w:rsidRPr="0031675F">
        <w:rPr>
          <w:spacing w:val="-2"/>
        </w:rPr>
        <w:t>sec</w:t>
      </w:r>
      <w:r w:rsidRPr="0031675F">
        <w:t xml:space="preserve"> </w:t>
      </w:r>
      <w:r w:rsidRPr="0031675F">
        <w:rPr>
          <w:spacing w:val="-1"/>
        </w:rPr>
        <w:t>per</w:t>
      </w:r>
      <w:r w:rsidRPr="0031675F">
        <w:t xml:space="preserve"> </w:t>
      </w:r>
      <w:r w:rsidRPr="0031675F">
        <w:rPr>
          <w:spacing w:val="-1"/>
        </w:rPr>
        <w:t>cycle.</w:t>
      </w:r>
    </w:p>
    <w:p w14:paraId="3133F0F3" w14:textId="77777777" w:rsidR="0031675F" w:rsidRPr="0031675F" w:rsidRDefault="0031675F" w:rsidP="0031675F">
      <w:pPr>
        <w:spacing w:before="12"/>
        <w:rPr>
          <w:rFonts w:cs="Calibri"/>
          <w:sz w:val="16"/>
          <w:szCs w:val="16"/>
        </w:rPr>
      </w:pPr>
    </w:p>
    <w:p w14:paraId="30AF6A87" w14:textId="77777777" w:rsidR="0031675F" w:rsidRPr="0031675F" w:rsidRDefault="0031675F" w:rsidP="0031675F">
      <w:pPr>
        <w:ind w:left="118"/>
        <w:jc w:val="both"/>
        <w:rPr>
          <w:rFonts w:cs="Calibri"/>
        </w:rPr>
      </w:pPr>
      <w:r w:rsidRPr="0031675F">
        <w:rPr>
          <w:b/>
          <w:i/>
          <w:spacing w:val="-1"/>
        </w:rPr>
        <w:t>Commit</w:t>
      </w:r>
      <w:r w:rsidRPr="0031675F">
        <w:rPr>
          <w:b/>
          <w:i/>
          <w:spacing w:val="-2"/>
        </w:rPr>
        <w:t xml:space="preserve"> </w:t>
      </w:r>
      <w:r w:rsidRPr="0031675F">
        <w:rPr>
          <w:b/>
          <w:i/>
          <w:spacing w:val="-1"/>
        </w:rPr>
        <w:t>logger</w:t>
      </w:r>
      <w:r w:rsidRPr="0031675F">
        <w:rPr>
          <w:b/>
          <w:i/>
          <w:spacing w:val="-2"/>
        </w:rPr>
        <w:t xml:space="preserve"> </w:t>
      </w:r>
      <w:r w:rsidRPr="0031675F">
        <w:rPr>
          <w:b/>
          <w:i/>
          <w:spacing w:val="-1"/>
        </w:rPr>
        <w:t>settings:</w:t>
      </w:r>
    </w:p>
    <w:p w14:paraId="54968520" w14:textId="77777777" w:rsidR="0031675F" w:rsidRPr="0031675F" w:rsidRDefault="0031675F" w:rsidP="0031675F">
      <w:pPr>
        <w:spacing w:before="123" w:after="120"/>
        <w:ind w:left="476"/>
      </w:pPr>
      <w:r w:rsidRPr="0031675F">
        <w:rPr>
          <w:spacing w:val="-1"/>
        </w:rPr>
        <w:t>To</w:t>
      </w:r>
      <w:r w:rsidRPr="0031675F">
        <w:rPr>
          <w:spacing w:val="1"/>
        </w:rPr>
        <w:t xml:space="preserve"> </w:t>
      </w:r>
      <w:r w:rsidRPr="0031675F">
        <w:rPr>
          <w:spacing w:val="-1"/>
        </w:rPr>
        <w:t>commit</w:t>
      </w:r>
      <w:r w:rsidRPr="0031675F">
        <w:rPr>
          <w:spacing w:val="-2"/>
        </w:rPr>
        <w:t xml:space="preserve"> </w:t>
      </w:r>
      <w:r w:rsidRPr="0031675F">
        <w:t xml:space="preserve">the </w:t>
      </w:r>
      <w:r w:rsidRPr="0031675F">
        <w:rPr>
          <w:spacing w:val="-1"/>
        </w:rPr>
        <w:t>above</w:t>
      </w:r>
      <w:r w:rsidRPr="0031675F">
        <w:t xml:space="preserve"> </w:t>
      </w:r>
      <w:r w:rsidRPr="0031675F">
        <w:rPr>
          <w:spacing w:val="-1"/>
        </w:rPr>
        <w:t>settings</w:t>
      </w:r>
      <w:r w:rsidRPr="0031675F">
        <w:t xml:space="preserve"> to</w:t>
      </w:r>
      <w:r w:rsidRPr="0031675F">
        <w:rPr>
          <w:spacing w:val="-1"/>
        </w:rPr>
        <w:t xml:space="preserve"> </w:t>
      </w:r>
      <w:r w:rsidRPr="0031675F">
        <w:t xml:space="preserve">the </w:t>
      </w:r>
      <w:r w:rsidRPr="0031675F">
        <w:rPr>
          <w:spacing w:val="-1"/>
        </w:rPr>
        <w:t>logger,</w:t>
      </w:r>
      <w:r w:rsidRPr="0031675F">
        <w:t xml:space="preserve"> </w:t>
      </w:r>
      <w:r w:rsidRPr="0031675F">
        <w:rPr>
          <w:spacing w:val="-1"/>
        </w:rPr>
        <w:t>click</w:t>
      </w:r>
      <w:r w:rsidRPr="0031675F">
        <w:t xml:space="preserve"> </w:t>
      </w:r>
      <w:r w:rsidRPr="0031675F">
        <w:rPr>
          <w:spacing w:val="-21"/>
        </w:rPr>
        <w:t xml:space="preserve"> </w:t>
      </w:r>
      <w:r w:rsidRPr="0031675F">
        <w:rPr>
          <w:noProof/>
          <w:spacing w:val="-21"/>
          <w:lang w:eastAsia="en-AU"/>
        </w:rPr>
        <w:drawing>
          <wp:inline distT="0" distB="0" distL="0" distR="0" wp14:anchorId="6F5A29B1" wp14:editId="1ADAC3D9">
            <wp:extent cx="1285875" cy="238125"/>
            <wp:effectExtent l="0" t="0" r="9525" b="9525"/>
            <wp:docPr id="17780" name="image33.jpeg" descr="Screen shot of 'Store to flash'."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3.jpeg"/>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1285875" cy="238125"/>
                    </a:xfrm>
                    <a:prstGeom prst="rect">
                      <a:avLst/>
                    </a:prstGeom>
                    <a:noFill/>
                    <a:ln>
                      <a:noFill/>
                    </a:ln>
                  </pic:spPr>
                </pic:pic>
              </a:graphicData>
            </a:graphic>
          </wp:inline>
        </w:drawing>
      </w:r>
    </w:p>
    <w:p w14:paraId="2D7DEC6D" w14:textId="77777777" w:rsidR="0031675F" w:rsidRPr="0031675F" w:rsidRDefault="0031675F" w:rsidP="0031675F">
      <w:pPr>
        <w:widowControl w:val="0"/>
        <w:numPr>
          <w:ilvl w:val="3"/>
          <w:numId w:val="74"/>
        </w:numPr>
        <w:tabs>
          <w:tab w:val="left" w:pos="832"/>
        </w:tabs>
        <w:spacing w:before="122" w:after="0" w:line="238" w:lineRule="auto"/>
        <w:ind w:left="831" w:right="119" w:hanging="355"/>
      </w:pPr>
      <w:r w:rsidRPr="0031675F">
        <w:t xml:space="preserve">When </w:t>
      </w:r>
      <w:r w:rsidRPr="0031675F">
        <w:rPr>
          <w:spacing w:val="-1"/>
        </w:rPr>
        <w:t>settings</w:t>
      </w:r>
      <w:r w:rsidRPr="0031675F">
        <w:t xml:space="preserve"> </w:t>
      </w:r>
      <w:r w:rsidRPr="0031675F">
        <w:rPr>
          <w:spacing w:val="-2"/>
        </w:rPr>
        <w:t>committed,</w:t>
      </w:r>
      <w:r w:rsidRPr="0031675F">
        <w:t xml:space="preserve"> the </w:t>
      </w:r>
      <w:r w:rsidRPr="0031675F">
        <w:rPr>
          <w:spacing w:val="-1"/>
        </w:rPr>
        <w:t>yellow</w:t>
      </w:r>
      <w:r w:rsidRPr="0031675F">
        <w:t xml:space="preserve"> </w:t>
      </w:r>
      <w:r w:rsidRPr="0031675F">
        <w:rPr>
          <w:spacing w:val="-1"/>
        </w:rPr>
        <w:t>warning</w:t>
      </w:r>
      <w:r w:rsidRPr="0031675F">
        <w:t xml:space="preserve"> </w:t>
      </w:r>
      <w:r w:rsidRPr="0031675F">
        <w:rPr>
          <w:spacing w:val="-1"/>
        </w:rPr>
        <w:t>symbol</w:t>
      </w:r>
      <w:r w:rsidRPr="0031675F">
        <w:t xml:space="preserve"> </w:t>
      </w:r>
      <w:r w:rsidRPr="0031675F">
        <w:rPr>
          <w:spacing w:val="45"/>
        </w:rPr>
        <w:t xml:space="preserve"> </w:t>
      </w:r>
      <w:r w:rsidRPr="0031675F">
        <w:rPr>
          <w:noProof/>
          <w:spacing w:val="-4"/>
          <w:lang w:eastAsia="en-AU"/>
        </w:rPr>
        <w:drawing>
          <wp:inline distT="0" distB="0" distL="0" distR="0" wp14:anchorId="68B484F6" wp14:editId="2E0262D2">
            <wp:extent cx="1438275" cy="276225"/>
            <wp:effectExtent l="0" t="0" r="9525" b="9525"/>
            <wp:docPr id="17781" name="image34.png" descr="Screen shot of 'Setup not stored'."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4.png"/>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1438275" cy="276225"/>
                    </a:xfrm>
                    <a:prstGeom prst="rect">
                      <a:avLst/>
                    </a:prstGeom>
                    <a:noFill/>
                    <a:ln>
                      <a:noFill/>
                    </a:ln>
                  </pic:spPr>
                </pic:pic>
              </a:graphicData>
            </a:graphic>
          </wp:inline>
        </w:drawing>
      </w:r>
      <w:r w:rsidRPr="0031675F">
        <w:rPr>
          <w:rFonts w:ascii="Times New Roman"/>
          <w:spacing w:val="-4"/>
        </w:rPr>
        <w:t xml:space="preserve">  </w:t>
      </w:r>
      <w:r w:rsidRPr="0031675F">
        <w:rPr>
          <w:spacing w:val="-1"/>
        </w:rPr>
        <w:t>should</w:t>
      </w:r>
      <w:r w:rsidRPr="0031675F">
        <w:rPr>
          <w:spacing w:val="48"/>
        </w:rPr>
        <w:t xml:space="preserve"> </w:t>
      </w:r>
      <w:r w:rsidRPr="0031675F">
        <w:rPr>
          <w:spacing w:val="-1"/>
        </w:rPr>
        <w:t xml:space="preserve">disappear from </w:t>
      </w:r>
      <w:r w:rsidRPr="0031675F">
        <w:t xml:space="preserve">the </w:t>
      </w:r>
      <w:r w:rsidRPr="0031675F">
        <w:rPr>
          <w:spacing w:val="-1"/>
        </w:rPr>
        <w:t>top right</w:t>
      </w:r>
      <w:r w:rsidRPr="0031675F">
        <w:t xml:space="preserve"> </w:t>
      </w:r>
      <w:r w:rsidRPr="0031675F">
        <w:rPr>
          <w:spacing w:val="-1"/>
        </w:rPr>
        <w:t xml:space="preserve">hand </w:t>
      </w:r>
      <w:r w:rsidRPr="0031675F">
        <w:t>corner</w:t>
      </w:r>
      <w:r w:rsidRPr="0031675F">
        <w:rPr>
          <w:spacing w:val="-2"/>
        </w:rPr>
        <w:t xml:space="preserve"> </w:t>
      </w:r>
      <w:r w:rsidRPr="0031675F">
        <w:t>of</w:t>
      </w:r>
      <w:r w:rsidRPr="0031675F">
        <w:rPr>
          <w:spacing w:val="-3"/>
        </w:rPr>
        <w:t xml:space="preserve"> </w:t>
      </w:r>
      <w:r w:rsidRPr="0031675F">
        <w:rPr>
          <w:spacing w:val="-1"/>
        </w:rPr>
        <w:t>the</w:t>
      </w:r>
      <w:r w:rsidRPr="0031675F">
        <w:rPr>
          <w:spacing w:val="-2"/>
        </w:rPr>
        <w:t xml:space="preserve"> screen.</w:t>
      </w:r>
    </w:p>
    <w:p w14:paraId="52E3D63B" w14:textId="77777777" w:rsidR="0031675F" w:rsidRPr="0031675F" w:rsidRDefault="0031675F" w:rsidP="0031675F">
      <w:pPr>
        <w:widowControl w:val="0"/>
        <w:numPr>
          <w:ilvl w:val="3"/>
          <w:numId w:val="74"/>
        </w:numPr>
        <w:tabs>
          <w:tab w:val="left" w:pos="839"/>
        </w:tabs>
        <w:spacing w:before="123" w:after="0" w:line="240" w:lineRule="auto"/>
        <w:ind w:left="838"/>
      </w:pPr>
      <w:r w:rsidRPr="0031675F">
        <w:rPr>
          <w:spacing w:val="-1"/>
        </w:rPr>
        <w:t>To ensure</w:t>
      </w:r>
      <w:r w:rsidRPr="0031675F">
        <w:t xml:space="preserve"> </w:t>
      </w:r>
      <w:r w:rsidRPr="0031675F">
        <w:rPr>
          <w:spacing w:val="-1"/>
        </w:rPr>
        <w:t>flash</w:t>
      </w:r>
      <w:r w:rsidRPr="0031675F">
        <w:rPr>
          <w:spacing w:val="-3"/>
        </w:rPr>
        <w:t xml:space="preserve"> </w:t>
      </w:r>
      <w:r w:rsidRPr="0031675F">
        <w:rPr>
          <w:spacing w:val="-1"/>
        </w:rPr>
        <w:t>storage,</w:t>
      </w:r>
      <w:r w:rsidRPr="0031675F">
        <w:t xml:space="preserve"> </w:t>
      </w:r>
      <w:r w:rsidRPr="0031675F">
        <w:rPr>
          <w:spacing w:val="-2"/>
        </w:rPr>
        <w:t>first</w:t>
      </w:r>
      <w:r w:rsidRPr="0031675F">
        <w:rPr>
          <w:spacing w:val="1"/>
        </w:rPr>
        <w:t xml:space="preserve"> </w:t>
      </w:r>
      <w:r w:rsidRPr="0031675F">
        <w:t xml:space="preserve">click </w:t>
      </w:r>
      <w:r w:rsidRPr="0031675F">
        <w:rPr>
          <w:spacing w:val="-24"/>
        </w:rPr>
        <w:t xml:space="preserve"> </w:t>
      </w:r>
      <w:r w:rsidRPr="0031675F">
        <w:rPr>
          <w:noProof/>
          <w:spacing w:val="-24"/>
          <w:lang w:eastAsia="en-AU"/>
        </w:rPr>
        <w:drawing>
          <wp:inline distT="0" distB="0" distL="0" distR="0" wp14:anchorId="5507DBB8" wp14:editId="104FCEE7">
            <wp:extent cx="1257300" cy="238125"/>
            <wp:effectExtent l="0" t="0" r="0" b="9525"/>
            <wp:docPr id="17782" name="image35.png" descr="Screen shot of 'Reload flash setup'.&#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5.png"/>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1257300" cy="238125"/>
                    </a:xfrm>
                    <a:prstGeom prst="rect">
                      <a:avLst/>
                    </a:prstGeom>
                    <a:noFill/>
                    <a:ln>
                      <a:noFill/>
                    </a:ln>
                  </pic:spPr>
                </pic:pic>
              </a:graphicData>
            </a:graphic>
          </wp:inline>
        </w:drawing>
      </w:r>
    </w:p>
    <w:p w14:paraId="099E7DF6" w14:textId="77777777" w:rsidR="0031675F" w:rsidRPr="0031675F" w:rsidRDefault="0031675F" w:rsidP="0031675F">
      <w:pPr>
        <w:widowControl w:val="0"/>
        <w:numPr>
          <w:ilvl w:val="3"/>
          <w:numId w:val="74"/>
        </w:numPr>
        <w:tabs>
          <w:tab w:val="left" w:pos="839"/>
        </w:tabs>
        <w:spacing w:before="120" w:after="0" w:line="240" w:lineRule="auto"/>
        <w:ind w:left="838" w:right="120"/>
      </w:pPr>
      <w:r w:rsidRPr="0031675F">
        <w:rPr>
          <w:spacing w:val="-1"/>
        </w:rPr>
        <w:t>Then</w:t>
      </w:r>
      <w:r w:rsidRPr="0031675F">
        <w:rPr>
          <w:spacing w:val="14"/>
        </w:rPr>
        <w:t xml:space="preserve"> </w:t>
      </w:r>
      <w:r w:rsidRPr="0031675F">
        <w:t>click</w:t>
      </w:r>
      <w:r w:rsidRPr="0031675F">
        <w:rPr>
          <w:spacing w:val="43"/>
        </w:rPr>
        <w:t xml:space="preserve"> </w:t>
      </w:r>
      <w:r w:rsidRPr="0031675F">
        <w:rPr>
          <w:noProof/>
          <w:spacing w:val="-6"/>
          <w:lang w:eastAsia="en-AU"/>
        </w:rPr>
        <w:drawing>
          <wp:inline distT="0" distB="0" distL="0" distR="0" wp14:anchorId="6CC6C51B" wp14:editId="3C04EC12">
            <wp:extent cx="1257300" cy="323850"/>
            <wp:effectExtent l="0" t="0" r="0" b="0"/>
            <wp:docPr id="17783" name="image36.jpeg" descr="Screen shot of 'Get RAM setup'.&#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6.jpeg"/>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1257300" cy="323850"/>
                    </a:xfrm>
                    <a:prstGeom prst="rect">
                      <a:avLst/>
                    </a:prstGeom>
                    <a:noFill/>
                    <a:ln>
                      <a:noFill/>
                    </a:ln>
                  </pic:spPr>
                </pic:pic>
              </a:graphicData>
            </a:graphic>
          </wp:inline>
        </w:drawing>
      </w:r>
      <w:r w:rsidRPr="0031675F">
        <w:rPr>
          <w:rFonts w:ascii="Times New Roman" w:eastAsia="Times New Roman" w:hAnsi="Times New Roman"/>
          <w:spacing w:val="-6"/>
        </w:rPr>
        <w:t xml:space="preserve"> </w:t>
      </w:r>
      <w:r w:rsidRPr="0031675F">
        <w:rPr>
          <w:rFonts w:cs="Calibri"/>
          <w:spacing w:val="-1"/>
        </w:rPr>
        <w:t>and</w:t>
      </w:r>
      <w:r w:rsidRPr="0031675F">
        <w:rPr>
          <w:rFonts w:cs="Calibri"/>
          <w:spacing w:val="14"/>
        </w:rPr>
        <w:t xml:space="preserve"> </w:t>
      </w:r>
      <w:r w:rsidRPr="0031675F">
        <w:rPr>
          <w:rFonts w:cs="Calibri"/>
        </w:rPr>
        <w:t>check</w:t>
      </w:r>
      <w:r w:rsidRPr="0031675F">
        <w:rPr>
          <w:rFonts w:cs="Calibri"/>
          <w:spacing w:val="15"/>
        </w:rPr>
        <w:t xml:space="preserve"> </w:t>
      </w:r>
      <w:r w:rsidRPr="0031675F">
        <w:rPr>
          <w:rFonts w:cs="Calibri"/>
        </w:rPr>
        <w:t>that</w:t>
      </w:r>
      <w:r w:rsidRPr="0031675F">
        <w:rPr>
          <w:rFonts w:cs="Calibri"/>
          <w:spacing w:val="14"/>
        </w:rPr>
        <w:t xml:space="preserve"> </w:t>
      </w:r>
      <w:r w:rsidRPr="0031675F">
        <w:rPr>
          <w:rFonts w:cs="Calibri"/>
          <w:spacing w:val="-1"/>
        </w:rPr>
        <w:t>‘Current</w:t>
      </w:r>
      <w:r w:rsidRPr="0031675F">
        <w:rPr>
          <w:rFonts w:cs="Calibri"/>
          <w:spacing w:val="15"/>
        </w:rPr>
        <w:t xml:space="preserve"> </w:t>
      </w:r>
      <w:r w:rsidRPr="0031675F">
        <w:rPr>
          <w:rFonts w:cs="Calibri"/>
        </w:rPr>
        <w:t>RAM</w:t>
      </w:r>
      <w:r w:rsidRPr="0031675F">
        <w:rPr>
          <w:rFonts w:cs="Calibri"/>
          <w:spacing w:val="15"/>
        </w:rPr>
        <w:t xml:space="preserve"> </w:t>
      </w:r>
      <w:r w:rsidRPr="0031675F">
        <w:rPr>
          <w:rFonts w:cs="Calibri"/>
          <w:spacing w:val="-1"/>
        </w:rPr>
        <w:t>settings’</w:t>
      </w:r>
      <w:r w:rsidRPr="0031675F">
        <w:rPr>
          <w:rFonts w:cs="Calibri"/>
          <w:spacing w:val="14"/>
        </w:rPr>
        <w:t xml:space="preserve"> </w:t>
      </w:r>
      <w:r w:rsidRPr="0031675F">
        <w:rPr>
          <w:rFonts w:cs="Calibri"/>
          <w:spacing w:val="-1"/>
        </w:rPr>
        <w:t>have</w:t>
      </w:r>
      <w:r w:rsidRPr="0031675F">
        <w:rPr>
          <w:rFonts w:cs="Calibri"/>
          <w:spacing w:val="15"/>
        </w:rPr>
        <w:t xml:space="preserve"> </w:t>
      </w:r>
      <w:r w:rsidRPr="0031675F">
        <w:rPr>
          <w:rFonts w:cs="Calibri"/>
          <w:spacing w:val="-1"/>
        </w:rPr>
        <w:t>been</w:t>
      </w:r>
      <w:r w:rsidRPr="0031675F">
        <w:rPr>
          <w:rFonts w:cs="Calibri"/>
          <w:spacing w:val="14"/>
        </w:rPr>
        <w:t xml:space="preserve"> </w:t>
      </w:r>
      <w:r w:rsidRPr="0031675F">
        <w:rPr>
          <w:rFonts w:cs="Calibri"/>
          <w:spacing w:val="-1"/>
        </w:rPr>
        <w:t>changed</w:t>
      </w:r>
      <w:r w:rsidRPr="0031675F">
        <w:rPr>
          <w:rFonts w:cs="Calibri"/>
          <w:spacing w:val="45"/>
        </w:rPr>
        <w:t xml:space="preserve"> </w:t>
      </w:r>
      <w:r w:rsidRPr="0031675F">
        <w:t>to</w:t>
      </w:r>
      <w:r w:rsidRPr="0031675F">
        <w:rPr>
          <w:spacing w:val="-1"/>
        </w:rPr>
        <w:t xml:space="preserve"> </w:t>
      </w:r>
      <w:r w:rsidRPr="0031675F">
        <w:t xml:space="preserve">the </w:t>
      </w:r>
      <w:r w:rsidRPr="0031675F">
        <w:rPr>
          <w:spacing w:val="-1"/>
        </w:rPr>
        <w:t>correct</w:t>
      </w:r>
      <w:r w:rsidRPr="0031675F">
        <w:rPr>
          <w:spacing w:val="-2"/>
        </w:rPr>
        <w:t xml:space="preserve"> </w:t>
      </w:r>
      <w:r w:rsidRPr="0031675F">
        <w:rPr>
          <w:spacing w:val="-1"/>
        </w:rPr>
        <w:t>values.</w:t>
      </w:r>
    </w:p>
    <w:p w14:paraId="205308C2" w14:textId="77777777" w:rsidR="0031675F" w:rsidRPr="0031675F" w:rsidRDefault="0031675F" w:rsidP="0031675F">
      <w:pPr>
        <w:widowControl w:val="0"/>
        <w:numPr>
          <w:ilvl w:val="3"/>
          <w:numId w:val="74"/>
        </w:numPr>
        <w:tabs>
          <w:tab w:val="left" w:pos="839"/>
        </w:tabs>
        <w:spacing w:before="125" w:after="0" w:line="239" w:lineRule="auto"/>
        <w:ind w:left="838" w:right="119"/>
      </w:pPr>
      <w:r w:rsidRPr="0031675F">
        <w:rPr>
          <w:spacing w:val="-1"/>
        </w:rPr>
        <w:t>To</w:t>
      </w:r>
      <w:r w:rsidRPr="0031675F">
        <w:rPr>
          <w:spacing w:val="6"/>
        </w:rPr>
        <w:t xml:space="preserve"> </w:t>
      </w:r>
      <w:r w:rsidRPr="0031675F">
        <w:rPr>
          <w:spacing w:val="-1"/>
        </w:rPr>
        <w:t>align</w:t>
      </w:r>
      <w:r w:rsidRPr="0031675F">
        <w:rPr>
          <w:spacing w:val="5"/>
        </w:rPr>
        <w:t xml:space="preserve"> </w:t>
      </w:r>
      <w:r w:rsidRPr="0031675F">
        <w:t>time</w:t>
      </w:r>
      <w:r w:rsidRPr="0031675F">
        <w:rPr>
          <w:spacing w:val="3"/>
        </w:rPr>
        <w:t xml:space="preserve"> </w:t>
      </w:r>
      <w:r w:rsidRPr="0031675F">
        <w:t>on</w:t>
      </w:r>
      <w:r w:rsidRPr="0031675F">
        <w:rPr>
          <w:spacing w:val="4"/>
        </w:rPr>
        <w:t xml:space="preserve"> </w:t>
      </w:r>
      <w:r w:rsidRPr="0031675F">
        <w:rPr>
          <w:spacing w:val="-1"/>
        </w:rPr>
        <w:t>logger</w:t>
      </w:r>
      <w:r w:rsidRPr="0031675F">
        <w:rPr>
          <w:spacing w:val="5"/>
        </w:rPr>
        <w:t xml:space="preserve"> </w:t>
      </w:r>
      <w:r w:rsidRPr="0031675F">
        <w:rPr>
          <w:spacing w:val="-1"/>
        </w:rPr>
        <w:t>with</w:t>
      </w:r>
      <w:r w:rsidRPr="0031675F">
        <w:rPr>
          <w:spacing w:val="4"/>
        </w:rPr>
        <w:t xml:space="preserve"> </w:t>
      </w:r>
      <w:r w:rsidRPr="0031675F">
        <w:t>time</w:t>
      </w:r>
      <w:r w:rsidRPr="0031675F">
        <w:rPr>
          <w:spacing w:val="5"/>
        </w:rPr>
        <w:t xml:space="preserve"> </w:t>
      </w:r>
      <w:r w:rsidRPr="0031675F">
        <w:t>on</w:t>
      </w:r>
      <w:r w:rsidRPr="0031675F">
        <w:rPr>
          <w:spacing w:val="4"/>
        </w:rPr>
        <w:t xml:space="preserve"> </w:t>
      </w:r>
      <w:r w:rsidRPr="0031675F">
        <w:rPr>
          <w:spacing w:val="-1"/>
        </w:rPr>
        <w:t>laptop</w:t>
      </w:r>
      <w:r w:rsidRPr="0031675F">
        <w:rPr>
          <w:spacing w:val="4"/>
        </w:rPr>
        <w:t xml:space="preserve"> </w:t>
      </w:r>
      <w:r w:rsidRPr="0031675F">
        <w:rPr>
          <w:spacing w:val="-1"/>
        </w:rPr>
        <w:t>click</w:t>
      </w:r>
      <w:r w:rsidRPr="0031675F">
        <w:rPr>
          <w:spacing w:val="35"/>
        </w:rPr>
        <w:t xml:space="preserve"> </w:t>
      </w:r>
      <w:r w:rsidRPr="0031675F">
        <w:rPr>
          <w:noProof/>
          <w:spacing w:val="-14"/>
          <w:lang w:eastAsia="en-AU"/>
        </w:rPr>
        <w:drawing>
          <wp:inline distT="0" distB="0" distL="0" distR="0" wp14:anchorId="1A998D10" wp14:editId="702AA264">
            <wp:extent cx="1704975" cy="323850"/>
            <wp:effectExtent l="0" t="0" r="9525" b="0"/>
            <wp:docPr id="17784" name="image37.png" descr="Screen shot of 'Set date and time'.&#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7.png"/>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1704975" cy="323850"/>
                    </a:xfrm>
                    <a:prstGeom prst="rect">
                      <a:avLst/>
                    </a:prstGeom>
                    <a:noFill/>
                    <a:ln>
                      <a:noFill/>
                    </a:ln>
                  </pic:spPr>
                </pic:pic>
              </a:graphicData>
            </a:graphic>
          </wp:inline>
        </w:drawing>
      </w:r>
      <w:r w:rsidRPr="0031675F">
        <w:rPr>
          <w:rFonts w:ascii="Times New Roman"/>
          <w:spacing w:val="-14"/>
        </w:rPr>
        <w:t xml:space="preserve"> </w:t>
      </w:r>
      <w:r w:rsidRPr="0031675F">
        <w:rPr>
          <w:spacing w:val="-1"/>
        </w:rPr>
        <w:t>(This</w:t>
      </w:r>
      <w:r w:rsidRPr="0031675F">
        <w:rPr>
          <w:spacing w:val="4"/>
        </w:rPr>
        <w:t xml:space="preserve"> </w:t>
      </w:r>
      <w:r w:rsidRPr="0031675F">
        <w:t>will</w:t>
      </w:r>
      <w:r w:rsidRPr="0031675F">
        <w:rPr>
          <w:spacing w:val="4"/>
        </w:rPr>
        <w:t xml:space="preserve"> </w:t>
      </w:r>
      <w:r w:rsidRPr="0031675F">
        <w:t>not</w:t>
      </w:r>
      <w:r w:rsidRPr="0031675F">
        <w:rPr>
          <w:spacing w:val="49"/>
        </w:rPr>
        <w:t xml:space="preserve"> </w:t>
      </w:r>
      <w:r w:rsidRPr="0031675F">
        <w:t>work</w:t>
      </w:r>
      <w:r w:rsidRPr="0031675F">
        <w:rPr>
          <w:spacing w:val="-3"/>
        </w:rPr>
        <w:t xml:space="preserve"> </w:t>
      </w:r>
      <w:r w:rsidRPr="0031675F">
        <w:t xml:space="preserve">if </w:t>
      </w:r>
      <w:r w:rsidRPr="0031675F">
        <w:rPr>
          <w:spacing w:val="-2"/>
        </w:rPr>
        <w:t>the</w:t>
      </w:r>
      <w:r w:rsidRPr="0031675F">
        <w:t xml:space="preserve"> </w:t>
      </w:r>
      <w:r w:rsidRPr="0031675F">
        <w:rPr>
          <w:spacing w:val="-1"/>
        </w:rPr>
        <w:t xml:space="preserve">instrument </w:t>
      </w:r>
      <w:r w:rsidRPr="0031675F">
        <w:rPr>
          <w:spacing w:val="-2"/>
        </w:rPr>
        <w:t>is</w:t>
      </w:r>
      <w:r w:rsidRPr="0031675F">
        <w:t xml:space="preserve"> </w:t>
      </w:r>
      <w:r w:rsidRPr="0031675F">
        <w:rPr>
          <w:spacing w:val="-1"/>
        </w:rPr>
        <w:t>currently</w:t>
      </w:r>
      <w:r w:rsidRPr="0031675F">
        <w:rPr>
          <w:spacing w:val="1"/>
        </w:rPr>
        <w:t xml:space="preserve"> </w:t>
      </w:r>
      <w:r w:rsidRPr="0031675F">
        <w:rPr>
          <w:spacing w:val="-1"/>
        </w:rPr>
        <w:t>logging.)</w:t>
      </w:r>
    </w:p>
    <w:p w14:paraId="2C83AB68" w14:textId="77777777" w:rsidR="0031675F" w:rsidRPr="0031675F" w:rsidRDefault="0031675F" w:rsidP="0031675F">
      <w:pPr>
        <w:spacing w:before="12"/>
        <w:rPr>
          <w:rFonts w:cs="Calibri"/>
          <w:sz w:val="21"/>
          <w:szCs w:val="21"/>
        </w:rPr>
      </w:pPr>
    </w:p>
    <w:p w14:paraId="52537FB5" w14:textId="77777777" w:rsidR="0031675F" w:rsidRPr="0031675F" w:rsidRDefault="0031675F" w:rsidP="0031675F">
      <w:pPr>
        <w:widowControl w:val="0"/>
        <w:numPr>
          <w:ilvl w:val="1"/>
          <w:numId w:val="74"/>
        </w:numPr>
        <w:tabs>
          <w:tab w:val="left" w:pos="839"/>
        </w:tabs>
        <w:spacing w:before="0" w:after="0" w:line="240" w:lineRule="auto"/>
        <w:ind w:left="838"/>
        <w:jc w:val="both"/>
        <w:rPr>
          <w:rFonts w:eastAsia="Arial" w:cs="Arial"/>
          <w:sz w:val="24"/>
          <w:szCs w:val="24"/>
        </w:rPr>
      </w:pPr>
      <w:r w:rsidRPr="0031675F">
        <w:rPr>
          <w:b/>
          <w:sz w:val="24"/>
        </w:rPr>
        <w:t>AIMS Laboratory</w:t>
      </w:r>
      <w:r w:rsidRPr="0031675F">
        <w:rPr>
          <w:b/>
          <w:spacing w:val="-7"/>
          <w:sz w:val="24"/>
        </w:rPr>
        <w:t xml:space="preserve"> </w:t>
      </w:r>
      <w:r w:rsidRPr="0031675F">
        <w:rPr>
          <w:b/>
          <w:sz w:val="24"/>
        </w:rPr>
        <w:t>calibration checks</w:t>
      </w:r>
    </w:p>
    <w:p w14:paraId="6857352B" w14:textId="77777777" w:rsidR="0031675F" w:rsidRPr="0031675F" w:rsidRDefault="0031675F" w:rsidP="0031675F">
      <w:pPr>
        <w:spacing w:before="11"/>
        <w:rPr>
          <w:rFonts w:eastAsia="Arial" w:cs="Arial"/>
          <w:b/>
          <w:bCs/>
          <w:sz w:val="20"/>
          <w:szCs w:val="20"/>
        </w:rPr>
      </w:pPr>
    </w:p>
    <w:p w14:paraId="749F9A78" w14:textId="77777777" w:rsidR="0031675F" w:rsidRPr="0031675F" w:rsidRDefault="0031675F" w:rsidP="0031675F">
      <w:pPr>
        <w:spacing w:after="120"/>
        <w:ind w:right="113"/>
        <w:jc w:val="both"/>
      </w:pPr>
      <w:r w:rsidRPr="0031675F">
        <w:rPr>
          <w:rFonts w:cs="Calibri"/>
        </w:rPr>
        <w:t>The</w:t>
      </w:r>
      <w:r w:rsidRPr="0031675F">
        <w:rPr>
          <w:rFonts w:cs="Calibri"/>
          <w:spacing w:val="28"/>
        </w:rPr>
        <w:t xml:space="preserve"> </w:t>
      </w:r>
      <w:r w:rsidRPr="0031675F">
        <w:rPr>
          <w:rFonts w:cs="Calibri"/>
          <w:spacing w:val="-1"/>
        </w:rPr>
        <w:t>loggers</w:t>
      </w:r>
      <w:r w:rsidRPr="0031675F">
        <w:rPr>
          <w:rFonts w:cs="Calibri"/>
          <w:spacing w:val="27"/>
        </w:rPr>
        <w:t xml:space="preserve"> </w:t>
      </w:r>
      <w:r w:rsidRPr="0031675F">
        <w:rPr>
          <w:rFonts w:cs="Calibri"/>
          <w:spacing w:val="-1"/>
        </w:rPr>
        <w:t>monitor</w:t>
      </w:r>
      <w:r w:rsidRPr="0031675F">
        <w:rPr>
          <w:rFonts w:cs="Calibri"/>
          <w:spacing w:val="29"/>
        </w:rPr>
        <w:t xml:space="preserve"> </w:t>
      </w:r>
      <w:r w:rsidRPr="0031675F">
        <w:rPr>
          <w:rFonts w:cs="Calibri"/>
          <w:spacing w:val="-1"/>
        </w:rPr>
        <w:t>turbidity,</w:t>
      </w:r>
      <w:r w:rsidRPr="0031675F">
        <w:rPr>
          <w:rFonts w:cs="Calibri"/>
          <w:spacing w:val="28"/>
        </w:rPr>
        <w:t xml:space="preserve"> </w:t>
      </w:r>
      <w:r w:rsidRPr="0031675F">
        <w:rPr>
          <w:rFonts w:cs="Calibri"/>
          <w:spacing w:val="-1"/>
        </w:rPr>
        <w:t>chlorophyll</w:t>
      </w:r>
      <w:r w:rsidRPr="0031675F">
        <w:rPr>
          <w:rFonts w:cs="Calibri"/>
          <w:spacing w:val="28"/>
        </w:rPr>
        <w:t xml:space="preserve"> </w:t>
      </w:r>
      <w:r w:rsidRPr="0031675F">
        <w:rPr>
          <w:rFonts w:cs="Calibri"/>
          <w:spacing w:val="-1"/>
        </w:rPr>
        <w:t>and</w:t>
      </w:r>
      <w:r w:rsidRPr="0031675F">
        <w:rPr>
          <w:rFonts w:cs="Calibri"/>
          <w:spacing w:val="28"/>
        </w:rPr>
        <w:t xml:space="preserve"> </w:t>
      </w:r>
      <w:r w:rsidRPr="0031675F">
        <w:rPr>
          <w:rFonts w:cs="Calibri"/>
          <w:spacing w:val="-1"/>
        </w:rPr>
        <w:t>temperature</w:t>
      </w:r>
      <w:r w:rsidRPr="0031675F">
        <w:rPr>
          <w:rFonts w:cs="Calibri"/>
          <w:spacing w:val="29"/>
        </w:rPr>
        <w:t xml:space="preserve"> </w:t>
      </w:r>
      <w:r w:rsidRPr="0031675F">
        <w:rPr>
          <w:rFonts w:cs="Calibri"/>
        </w:rPr>
        <w:t>as</w:t>
      </w:r>
      <w:r w:rsidRPr="0031675F">
        <w:rPr>
          <w:rFonts w:cs="Calibri"/>
          <w:spacing w:val="28"/>
        </w:rPr>
        <w:t xml:space="preserve"> </w:t>
      </w:r>
      <w:r w:rsidRPr="0031675F">
        <w:rPr>
          <w:rFonts w:cs="Calibri"/>
          <w:spacing w:val="-1"/>
        </w:rPr>
        <w:t>described</w:t>
      </w:r>
      <w:r w:rsidRPr="0031675F">
        <w:rPr>
          <w:rFonts w:cs="Calibri"/>
          <w:spacing w:val="29"/>
        </w:rPr>
        <w:t xml:space="preserve"> </w:t>
      </w:r>
      <w:r w:rsidRPr="0031675F">
        <w:rPr>
          <w:rFonts w:cs="Calibri"/>
        </w:rPr>
        <w:t>in</w:t>
      </w:r>
      <w:r w:rsidRPr="0031675F">
        <w:rPr>
          <w:rFonts w:cs="Calibri"/>
          <w:spacing w:val="28"/>
        </w:rPr>
        <w:t xml:space="preserve"> </w:t>
      </w:r>
      <w:r w:rsidRPr="0031675F">
        <w:rPr>
          <w:rFonts w:cs="Calibri"/>
          <w:spacing w:val="-1"/>
        </w:rPr>
        <w:t>Attachment</w:t>
      </w:r>
      <w:r w:rsidRPr="0031675F">
        <w:rPr>
          <w:rFonts w:cs="Calibri"/>
          <w:spacing w:val="28"/>
        </w:rPr>
        <w:t xml:space="preserve"> </w:t>
      </w:r>
      <w:r w:rsidRPr="0031675F">
        <w:rPr>
          <w:rFonts w:cs="Calibri"/>
          <w:spacing w:val="-1"/>
        </w:rPr>
        <w:t>11.1</w:t>
      </w:r>
      <w:r w:rsidRPr="0031675F">
        <w:rPr>
          <w:rFonts w:cs="Calibri"/>
          <w:spacing w:val="30"/>
        </w:rPr>
        <w:t xml:space="preserve"> </w:t>
      </w:r>
      <w:r w:rsidRPr="0031675F">
        <w:rPr>
          <w:rFonts w:cs="Calibri"/>
          <w:spacing w:val="-1"/>
        </w:rPr>
        <w:t>‘ECO</w:t>
      </w:r>
      <w:r w:rsidRPr="0031675F">
        <w:rPr>
          <w:rFonts w:cs="Calibri"/>
          <w:spacing w:val="87"/>
        </w:rPr>
        <w:t xml:space="preserve"> </w:t>
      </w:r>
      <w:r w:rsidRPr="0031675F">
        <w:rPr>
          <w:spacing w:val="-1"/>
        </w:rPr>
        <w:t>logger</w:t>
      </w:r>
      <w:r w:rsidRPr="0031675F">
        <w:rPr>
          <w:spacing w:val="6"/>
        </w:rPr>
        <w:t xml:space="preserve"> </w:t>
      </w:r>
      <w:r w:rsidRPr="0031675F">
        <w:rPr>
          <w:spacing w:val="-1"/>
        </w:rPr>
        <w:t>theory</w:t>
      </w:r>
      <w:r w:rsidRPr="0031675F">
        <w:rPr>
          <w:spacing w:val="4"/>
        </w:rPr>
        <w:t xml:space="preserve"> </w:t>
      </w:r>
      <w:r w:rsidRPr="0031675F">
        <w:t>of</w:t>
      </w:r>
      <w:r w:rsidRPr="0031675F">
        <w:rPr>
          <w:spacing w:val="5"/>
        </w:rPr>
        <w:t xml:space="preserve"> </w:t>
      </w:r>
      <w:r w:rsidRPr="0031675F">
        <w:rPr>
          <w:spacing w:val="-1"/>
        </w:rPr>
        <w:t>operation</w:t>
      </w:r>
      <w:r w:rsidRPr="0031675F">
        <w:rPr>
          <w:rFonts w:cs="Calibri"/>
          <w:spacing w:val="-1"/>
        </w:rPr>
        <w:t>’.</w:t>
      </w:r>
      <w:r w:rsidRPr="0031675F">
        <w:rPr>
          <w:rFonts w:cs="Calibri"/>
          <w:spacing w:val="5"/>
        </w:rPr>
        <w:t xml:space="preserve"> </w:t>
      </w:r>
      <w:r w:rsidRPr="0031675F">
        <w:rPr>
          <w:rFonts w:cs="Calibri"/>
        </w:rPr>
        <w:t>To</w:t>
      </w:r>
      <w:r w:rsidRPr="0031675F">
        <w:rPr>
          <w:rFonts w:cs="Calibri"/>
          <w:spacing w:val="7"/>
        </w:rPr>
        <w:t xml:space="preserve"> </w:t>
      </w:r>
      <w:r w:rsidRPr="0031675F">
        <w:rPr>
          <w:rFonts w:cs="Calibri"/>
          <w:spacing w:val="-1"/>
        </w:rPr>
        <w:t>determine</w:t>
      </w:r>
      <w:r w:rsidRPr="0031675F">
        <w:rPr>
          <w:rFonts w:cs="Calibri"/>
          <w:spacing w:val="6"/>
        </w:rPr>
        <w:t xml:space="preserve"> </w:t>
      </w:r>
      <w:r w:rsidRPr="0031675F">
        <w:rPr>
          <w:rFonts w:cs="Calibri"/>
          <w:spacing w:val="-1"/>
        </w:rPr>
        <w:t>instrument</w:t>
      </w:r>
      <w:r w:rsidRPr="0031675F">
        <w:rPr>
          <w:rFonts w:cs="Calibri"/>
          <w:spacing w:val="6"/>
        </w:rPr>
        <w:t xml:space="preserve"> </w:t>
      </w:r>
      <w:r w:rsidRPr="0031675F">
        <w:rPr>
          <w:rFonts w:cs="Calibri"/>
          <w:spacing w:val="-1"/>
        </w:rPr>
        <w:t>drift</w:t>
      </w:r>
      <w:r w:rsidRPr="0031675F">
        <w:rPr>
          <w:rFonts w:cs="Calibri"/>
          <w:spacing w:val="6"/>
        </w:rPr>
        <w:t xml:space="preserve"> </w:t>
      </w:r>
      <w:r w:rsidRPr="0031675F">
        <w:rPr>
          <w:rFonts w:cs="Calibri"/>
          <w:spacing w:val="-1"/>
        </w:rPr>
        <w:t>between</w:t>
      </w:r>
      <w:r w:rsidRPr="0031675F">
        <w:rPr>
          <w:rFonts w:cs="Calibri"/>
          <w:spacing w:val="5"/>
        </w:rPr>
        <w:t xml:space="preserve"> </w:t>
      </w:r>
      <w:r w:rsidRPr="0031675F">
        <w:rPr>
          <w:rFonts w:cs="Calibri"/>
        </w:rPr>
        <w:t>field</w:t>
      </w:r>
      <w:r w:rsidRPr="0031675F">
        <w:rPr>
          <w:rFonts w:cs="Calibri"/>
          <w:spacing w:val="4"/>
        </w:rPr>
        <w:t xml:space="preserve"> </w:t>
      </w:r>
      <w:r w:rsidRPr="0031675F">
        <w:rPr>
          <w:rFonts w:cs="Calibri"/>
          <w:spacing w:val="-1"/>
        </w:rPr>
        <w:t>deployments,</w:t>
      </w:r>
      <w:r w:rsidRPr="0031675F">
        <w:rPr>
          <w:rFonts w:cs="Calibri"/>
        </w:rPr>
        <w:t xml:space="preserve"> </w:t>
      </w:r>
      <w:r w:rsidRPr="0031675F">
        <w:rPr>
          <w:rFonts w:cs="Calibri"/>
          <w:spacing w:val="-1"/>
        </w:rPr>
        <w:t>several</w:t>
      </w:r>
      <w:r w:rsidRPr="0031675F">
        <w:rPr>
          <w:rFonts w:cs="Calibri"/>
          <w:spacing w:val="81"/>
        </w:rPr>
        <w:t xml:space="preserve"> </w:t>
      </w:r>
      <w:r w:rsidRPr="0031675F">
        <w:t>checks</w:t>
      </w:r>
      <w:r w:rsidRPr="0031675F">
        <w:rPr>
          <w:spacing w:val="-2"/>
        </w:rPr>
        <w:t xml:space="preserve"> </w:t>
      </w:r>
      <w:r w:rsidRPr="0031675F">
        <w:t>can</w:t>
      </w:r>
      <w:r w:rsidRPr="0031675F">
        <w:rPr>
          <w:spacing w:val="-1"/>
        </w:rPr>
        <w:t xml:space="preserve"> be</w:t>
      </w:r>
      <w:r w:rsidRPr="0031675F">
        <w:t xml:space="preserve"> </w:t>
      </w:r>
      <w:r w:rsidRPr="0031675F">
        <w:rPr>
          <w:spacing w:val="-1"/>
        </w:rPr>
        <w:t>performed.</w:t>
      </w:r>
    </w:p>
    <w:p w14:paraId="29F5E45B" w14:textId="77777777" w:rsidR="0031675F" w:rsidRPr="0031675F" w:rsidRDefault="0031675F" w:rsidP="0031675F">
      <w:pPr>
        <w:widowControl w:val="0"/>
        <w:numPr>
          <w:ilvl w:val="0"/>
          <w:numId w:val="73"/>
        </w:numPr>
        <w:tabs>
          <w:tab w:val="left" w:pos="839"/>
        </w:tabs>
        <w:spacing w:before="120" w:after="0" w:line="240" w:lineRule="auto"/>
      </w:pPr>
      <w:r w:rsidRPr="0031675F">
        <w:t>Dark</w:t>
      </w:r>
      <w:r w:rsidRPr="0031675F">
        <w:rPr>
          <w:spacing w:val="-2"/>
        </w:rPr>
        <w:t xml:space="preserve"> </w:t>
      </w:r>
      <w:r w:rsidRPr="0031675F">
        <w:rPr>
          <w:spacing w:val="-1"/>
        </w:rPr>
        <w:t>counts</w:t>
      </w:r>
      <w:r w:rsidRPr="0031675F">
        <w:rPr>
          <w:spacing w:val="-2"/>
        </w:rPr>
        <w:t xml:space="preserve"> </w:t>
      </w:r>
      <w:r w:rsidRPr="0031675F">
        <w:t>(in</w:t>
      </w:r>
      <w:r w:rsidRPr="0031675F">
        <w:rPr>
          <w:spacing w:val="-1"/>
        </w:rPr>
        <w:t xml:space="preserve"> fresh</w:t>
      </w:r>
      <w:r w:rsidRPr="0031675F">
        <w:rPr>
          <w:spacing w:val="-3"/>
        </w:rPr>
        <w:t xml:space="preserve"> </w:t>
      </w:r>
      <w:r w:rsidRPr="0031675F">
        <w:t>water)</w:t>
      </w:r>
    </w:p>
    <w:p w14:paraId="59464D26" w14:textId="77777777" w:rsidR="0031675F" w:rsidRPr="0031675F" w:rsidRDefault="0031675F" w:rsidP="0031675F">
      <w:pPr>
        <w:widowControl w:val="0"/>
        <w:numPr>
          <w:ilvl w:val="0"/>
          <w:numId w:val="73"/>
        </w:numPr>
        <w:tabs>
          <w:tab w:val="left" w:pos="839"/>
        </w:tabs>
        <w:spacing w:before="120" w:after="0" w:line="240" w:lineRule="auto"/>
      </w:pPr>
      <w:r w:rsidRPr="0031675F">
        <w:rPr>
          <w:spacing w:val="-1"/>
        </w:rPr>
        <w:t>Determination</w:t>
      </w:r>
      <w:r w:rsidRPr="0031675F">
        <w:rPr>
          <w:spacing w:val="-3"/>
        </w:rPr>
        <w:t xml:space="preserve"> </w:t>
      </w:r>
      <w:r w:rsidRPr="0031675F">
        <w:t>of</w:t>
      </w:r>
      <w:r w:rsidRPr="0031675F">
        <w:rPr>
          <w:spacing w:val="-2"/>
        </w:rPr>
        <w:t xml:space="preserve"> </w:t>
      </w:r>
      <w:r w:rsidRPr="0031675F">
        <w:rPr>
          <w:spacing w:val="-1"/>
        </w:rPr>
        <w:t>maximum</w:t>
      </w:r>
      <w:r w:rsidRPr="0031675F">
        <w:rPr>
          <w:spacing w:val="1"/>
        </w:rPr>
        <w:t xml:space="preserve"> </w:t>
      </w:r>
      <w:r w:rsidRPr="0031675F">
        <w:rPr>
          <w:spacing w:val="-1"/>
        </w:rPr>
        <w:t>fluorescence</w:t>
      </w:r>
      <w:r w:rsidRPr="0031675F">
        <w:rPr>
          <w:spacing w:val="-2"/>
        </w:rPr>
        <w:t xml:space="preserve"> </w:t>
      </w:r>
      <w:r w:rsidRPr="0031675F">
        <w:rPr>
          <w:spacing w:val="-1"/>
        </w:rPr>
        <w:t xml:space="preserve">(in </w:t>
      </w:r>
      <w:r w:rsidRPr="0031675F">
        <w:t>air)</w:t>
      </w:r>
    </w:p>
    <w:p w14:paraId="790A9FB1" w14:textId="77777777" w:rsidR="0031675F" w:rsidRPr="0031675F" w:rsidRDefault="0031675F" w:rsidP="0031675F">
      <w:pPr>
        <w:widowControl w:val="0"/>
        <w:numPr>
          <w:ilvl w:val="0"/>
          <w:numId w:val="73"/>
        </w:numPr>
        <w:tabs>
          <w:tab w:val="left" w:pos="839"/>
        </w:tabs>
        <w:spacing w:before="120" w:after="0" w:line="240" w:lineRule="auto"/>
      </w:pPr>
      <w:r w:rsidRPr="0031675F">
        <w:rPr>
          <w:spacing w:val="-1"/>
        </w:rPr>
        <w:t>In-house</w:t>
      </w:r>
      <w:r w:rsidRPr="0031675F">
        <w:rPr>
          <w:spacing w:val="1"/>
        </w:rPr>
        <w:t xml:space="preserve"> </w:t>
      </w:r>
      <w:r w:rsidRPr="0031675F">
        <w:rPr>
          <w:spacing w:val="-1"/>
        </w:rPr>
        <w:t xml:space="preserve">turbidity and chlorophyll calibration checks </w:t>
      </w:r>
      <w:r w:rsidRPr="0031675F">
        <w:t>(in</w:t>
      </w:r>
      <w:r w:rsidRPr="0031675F">
        <w:rPr>
          <w:spacing w:val="-3"/>
        </w:rPr>
        <w:t>-situ in seawater, co-deployment from AIMS pontoon)</w:t>
      </w:r>
    </w:p>
    <w:p w14:paraId="279D30EE" w14:textId="77777777" w:rsidR="0031675F" w:rsidRPr="0031675F" w:rsidRDefault="0031675F" w:rsidP="0031675F">
      <w:pPr>
        <w:widowControl w:val="0"/>
        <w:numPr>
          <w:ilvl w:val="0"/>
          <w:numId w:val="73"/>
        </w:numPr>
        <w:tabs>
          <w:tab w:val="left" w:pos="839"/>
        </w:tabs>
        <w:spacing w:before="120" w:after="0" w:line="240" w:lineRule="auto"/>
      </w:pPr>
      <w:r w:rsidRPr="0031675F">
        <w:rPr>
          <w:spacing w:val="-3"/>
        </w:rPr>
        <w:t>In-house temperature calibrations (in calibration bath).</w:t>
      </w:r>
    </w:p>
    <w:p w14:paraId="546AD607" w14:textId="77777777" w:rsidR="0031675F" w:rsidRPr="0031675F" w:rsidRDefault="0031675F" w:rsidP="0031675F">
      <w:pPr>
        <w:spacing w:before="120" w:after="120"/>
        <w:ind w:left="119"/>
      </w:pPr>
      <w:r w:rsidRPr="0031675F">
        <w:t>The settings used for the checks 1 and 2 are as per Section 11.1.2 ‘Settings for laboratory calibration’. Field sampling and AIMS pontoon co-deployment readings occur every 10 minutes which is too infrequent for laboratory tests.</w:t>
      </w:r>
    </w:p>
    <w:p w14:paraId="21A1B3E5" w14:textId="77777777" w:rsidR="0031675F" w:rsidRPr="0031675F" w:rsidRDefault="0031675F" w:rsidP="0031675F">
      <w:pPr>
        <w:widowControl w:val="0"/>
        <w:numPr>
          <w:ilvl w:val="2"/>
          <w:numId w:val="74"/>
        </w:numPr>
        <w:tabs>
          <w:tab w:val="left" w:pos="839"/>
        </w:tabs>
        <w:spacing w:before="118" w:after="0" w:line="240" w:lineRule="auto"/>
        <w:ind w:left="838"/>
        <w:jc w:val="both"/>
        <w:rPr>
          <w:rFonts w:eastAsia="Arial" w:cs="Arial"/>
        </w:rPr>
      </w:pPr>
      <w:r w:rsidRPr="0031675F">
        <w:rPr>
          <w:b/>
          <w:spacing w:val="-1"/>
        </w:rPr>
        <w:t>Dark</w:t>
      </w:r>
      <w:r w:rsidRPr="0031675F">
        <w:rPr>
          <w:b/>
        </w:rPr>
        <w:t xml:space="preserve"> </w:t>
      </w:r>
      <w:r w:rsidRPr="0031675F">
        <w:rPr>
          <w:b/>
          <w:spacing w:val="-1"/>
        </w:rPr>
        <w:t>counts</w:t>
      </w:r>
    </w:p>
    <w:p w14:paraId="537F1A81" w14:textId="77777777" w:rsidR="0031675F" w:rsidRPr="0031675F" w:rsidRDefault="0031675F" w:rsidP="0031675F">
      <w:pPr>
        <w:spacing w:before="11"/>
        <w:rPr>
          <w:rFonts w:eastAsia="Arial" w:cs="Arial"/>
          <w:b/>
          <w:bCs/>
          <w:sz w:val="20"/>
          <w:szCs w:val="20"/>
        </w:rPr>
      </w:pPr>
    </w:p>
    <w:p w14:paraId="4E289730" w14:textId="77777777" w:rsidR="0031675F" w:rsidRPr="0031675F" w:rsidRDefault="0031675F" w:rsidP="0031675F">
      <w:pPr>
        <w:ind w:left="118"/>
        <w:jc w:val="both"/>
        <w:rPr>
          <w:rFonts w:cs="Calibri"/>
        </w:rPr>
      </w:pPr>
      <w:r w:rsidRPr="0031675F">
        <w:rPr>
          <w:b/>
          <w:i/>
          <w:spacing w:val="-1"/>
        </w:rPr>
        <w:t>Pre-logging preparation</w:t>
      </w:r>
    </w:p>
    <w:p w14:paraId="063CDB7E" w14:textId="77777777" w:rsidR="0031675F" w:rsidRPr="0031675F" w:rsidRDefault="0031675F" w:rsidP="0031675F">
      <w:pPr>
        <w:spacing w:before="120" w:after="120"/>
        <w:ind w:right="116"/>
        <w:jc w:val="both"/>
      </w:pPr>
      <w:r w:rsidRPr="0031675F">
        <w:rPr>
          <w:spacing w:val="-1"/>
        </w:rPr>
        <w:t>The</w:t>
      </w:r>
      <w:r w:rsidRPr="0031675F">
        <w:rPr>
          <w:spacing w:val="31"/>
        </w:rPr>
        <w:t xml:space="preserve"> ‘</w:t>
      </w:r>
      <w:r w:rsidRPr="0031675F">
        <w:rPr>
          <w:spacing w:val="-1"/>
        </w:rPr>
        <w:t>dark</w:t>
      </w:r>
      <w:r w:rsidRPr="0031675F">
        <w:rPr>
          <w:spacing w:val="32"/>
        </w:rPr>
        <w:t xml:space="preserve"> </w:t>
      </w:r>
      <w:r w:rsidRPr="0031675F">
        <w:rPr>
          <w:spacing w:val="-1"/>
        </w:rPr>
        <w:t>cap’</w:t>
      </w:r>
      <w:r w:rsidRPr="0031675F">
        <w:rPr>
          <w:spacing w:val="31"/>
        </w:rPr>
        <w:t xml:space="preserve"> </w:t>
      </w:r>
      <w:r w:rsidRPr="0031675F">
        <w:t>is</w:t>
      </w:r>
      <w:r w:rsidRPr="0031675F">
        <w:rPr>
          <w:spacing w:val="31"/>
        </w:rPr>
        <w:t xml:space="preserve"> </w:t>
      </w:r>
      <w:r w:rsidRPr="0031675F">
        <w:rPr>
          <w:spacing w:val="-1"/>
        </w:rPr>
        <w:t>used</w:t>
      </w:r>
      <w:r w:rsidRPr="0031675F">
        <w:rPr>
          <w:spacing w:val="31"/>
        </w:rPr>
        <w:t xml:space="preserve"> </w:t>
      </w:r>
      <w:r w:rsidRPr="0031675F">
        <w:rPr>
          <w:spacing w:val="-1"/>
        </w:rPr>
        <w:t>for</w:t>
      </w:r>
      <w:r w:rsidRPr="0031675F">
        <w:rPr>
          <w:spacing w:val="31"/>
        </w:rPr>
        <w:t xml:space="preserve"> </w:t>
      </w:r>
      <w:r w:rsidRPr="0031675F">
        <w:rPr>
          <w:spacing w:val="-1"/>
        </w:rPr>
        <w:t>dark</w:t>
      </w:r>
      <w:r w:rsidRPr="0031675F">
        <w:rPr>
          <w:spacing w:val="31"/>
        </w:rPr>
        <w:t xml:space="preserve"> </w:t>
      </w:r>
      <w:r w:rsidRPr="0031675F">
        <w:rPr>
          <w:spacing w:val="-1"/>
        </w:rPr>
        <w:t>counts performed as a comparison to WET Labs factory calibration dark counts and therefore carried out as in WET Labs servicing laboratory. T</w:t>
      </w:r>
      <w:r w:rsidRPr="0031675F">
        <w:t>he</w:t>
      </w:r>
      <w:r w:rsidRPr="0031675F">
        <w:rPr>
          <w:spacing w:val="32"/>
        </w:rPr>
        <w:t xml:space="preserve"> </w:t>
      </w:r>
      <w:r w:rsidRPr="0031675F">
        <w:rPr>
          <w:spacing w:val="-1"/>
        </w:rPr>
        <w:t>external</w:t>
      </w:r>
      <w:r w:rsidRPr="0031675F">
        <w:rPr>
          <w:spacing w:val="30"/>
        </w:rPr>
        <w:t xml:space="preserve"> </w:t>
      </w:r>
      <w:r w:rsidRPr="0031675F">
        <w:rPr>
          <w:spacing w:val="-1"/>
        </w:rPr>
        <w:t>battery</w:t>
      </w:r>
      <w:r w:rsidRPr="0031675F">
        <w:rPr>
          <w:spacing w:val="32"/>
        </w:rPr>
        <w:t xml:space="preserve"> </w:t>
      </w:r>
      <w:r w:rsidRPr="0031675F">
        <w:rPr>
          <w:spacing w:val="-1"/>
        </w:rPr>
        <w:t>source</w:t>
      </w:r>
      <w:r w:rsidRPr="0031675F">
        <w:rPr>
          <w:spacing w:val="32"/>
        </w:rPr>
        <w:t xml:space="preserve"> </w:t>
      </w:r>
      <w:r w:rsidRPr="0031675F">
        <w:t>is</w:t>
      </w:r>
      <w:r w:rsidRPr="0031675F">
        <w:rPr>
          <w:spacing w:val="31"/>
        </w:rPr>
        <w:t xml:space="preserve"> </w:t>
      </w:r>
      <w:r w:rsidRPr="0031675F">
        <w:rPr>
          <w:spacing w:val="-1"/>
        </w:rPr>
        <w:t>used,</w:t>
      </w:r>
      <w:r w:rsidRPr="0031675F">
        <w:rPr>
          <w:spacing w:val="31"/>
        </w:rPr>
        <w:t xml:space="preserve"> </w:t>
      </w:r>
      <w:r w:rsidRPr="0031675F">
        <w:t>the</w:t>
      </w:r>
      <w:r w:rsidRPr="0031675F">
        <w:rPr>
          <w:spacing w:val="32"/>
        </w:rPr>
        <w:t xml:space="preserve"> </w:t>
      </w:r>
      <w:r w:rsidRPr="0031675F">
        <w:rPr>
          <w:spacing w:val="-1"/>
        </w:rPr>
        <w:t>bio</w:t>
      </w:r>
      <w:r w:rsidRPr="0031675F">
        <w:rPr>
          <w:spacing w:val="77"/>
        </w:rPr>
        <w:t xml:space="preserve"> </w:t>
      </w:r>
      <w:r w:rsidRPr="0031675F">
        <w:t xml:space="preserve">wiper is </w:t>
      </w:r>
      <w:r w:rsidRPr="0031675F">
        <w:rPr>
          <w:spacing w:val="-1"/>
        </w:rPr>
        <w:t>removed.</w:t>
      </w:r>
    </w:p>
    <w:p w14:paraId="67BD1616" w14:textId="77777777" w:rsidR="0031675F" w:rsidRPr="0031675F" w:rsidRDefault="0031675F" w:rsidP="0031675F">
      <w:pPr>
        <w:widowControl w:val="0"/>
        <w:numPr>
          <w:ilvl w:val="3"/>
          <w:numId w:val="74"/>
        </w:numPr>
        <w:tabs>
          <w:tab w:val="left" w:pos="832"/>
        </w:tabs>
        <w:spacing w:before="121" w:after="0" w:line="240" w:lineRule="auto"/>
        <w:ind w:left="833" w:right="120" w:hanging="357"/>
        <w:rPr>
          <w:rFonts w:cs="Calibri"/>
        </w:rPr>
      </w:pPr>
      <w:r w:rsidRPr="0031675F">
        <w:rPr>
          <w:spacing w:val="-1"/>
        </w:rPr>
        <w:t>Setup</w:t>
      </w:r>
      <w:r w:rsidRPr="0031675F">
        <w:rPr>
          <w:spacing w:val="23"/>
        </w:rPr>
        <w:t xml:space="preserve"> </w:t>
      </w:r>
      <w:r w:rsidRPr="0031675F">
        <w:rPr>
          <w:spacing w:val="-1"/>
        </w:rPr>
        <w:t>logger</w:t>
      </w:r>
      <w:r w:rsidRPr="0031675F">
        <w:rPr>
          <w:spacing w:val="22"/>
        </w:rPr>
        <w:t xml:space="preserve"> </w:t>
      </w:r>
      <w:r w:rsidRPr="0031675F">
        <w:t>as</w:t>
      </w:r>
      <w:r w:rsidRPr="0031675F">
        <w:rPr>
          <w:spacing w:val="24"/>
        </w:rPr>
        <w:t xml:space="preserve"> </w:t>
      </w:r>
      <w:r w:rsidRPr="0031675F">
        <w:rPr>
          <w:spacing w:val="-1"/>
        </w:rPr>
        <w:t>per</w:t>
      </w:r>
      <w:r w:rsidRPr="0031675F">
        <w:rPr>
          <w:spacing w:val="22"/>
        </w:rPr>
        <w:t xml:space="preserve"> </w:t>
      </w:r>
      <w:r w:rsidRPr="0031675F">
        <w:rPr>
          <w:spacing w:val="-1"/>
        </w:rPr>
        <w:t>Section</w:t>
      </w:r>
      <w:r w:rsidRPr="0031675F">
        <w:rPr>
          <w:spacing w:val="24"/>
        </w:rPr>
        <w:t xml:space="preserve"> </w:t>
      </w:r>
      <w:r w:rsidRPr="0031675F">
        <w:rPr>
          <w:spacing w:val="-1"/>
        </w:rPr>
        <w:t>11.1</w:t>
      </w:r>
      <w:r w:rsidRPr="0031675F">
        <w:rPr>
          <w:spacing w:val="25"/>
        </w:rPr>
        <w:t xml:space="preserve"> </w:t>
      </w:r>
      <w:r w:rsidRPr="0031675F">
        <w:rPr>
          <w:spacing w:val="-1"/>
        </w:rPr>
        <w:t>and</w:t>
      </w:r>
      <w:r w:rsidRPr="0031675F">
        <w:rPr>
          <w:spacing w:val="23"/>
        </w:rPr>
        <w:t xml:space="preserve"> </w:t>
      </w:r>
      <w:r w:rsidRPr="0031675F">
        <w:rPr>
          <w:spacing w:val="-1"/>
        </w:rPr>
        <w:t>settings</w:t>
      </w:r>
      <w:r w:rsidRPr="0031675F">
        <w:rPr>
          <w:spacing w:val="24"/>
        </w:rPr>
        <w:t xml:space="preserve"> </w:t>
      </w:r>
      <w:r w:rsidRPr="0031675F">
        <w:rPr>
          <w:spacing w:val="-2"/>
        </w:rPr>
        <w:t>as</w:t>
      </w:r>
      <w:r w:rsidRPr="0031675F">
        <w:rPr>
          <w:spacing w:val="24"/>
        </w:rPr>
        <w:t xml:space="preserve"> </w:t>
      </w:r>
      <w:r w:rsidRPr="0031675F">
        <w:rPr>
          <w:spacing w:val="-1"/>
        </w:rPr>
        <w:t>per</w:t>
      </w:r>
      <w:r w:rsidRPr="0031675F">
        <w:rPr>
          <w:spacing w:val="24"/>
        </w:rPr>
        <w:t xml:space="preserve"> </w:t>
      </w:r>
      <w:r w:rsidRPr="0031675F">
        <w:rPr>
          <w:rFonts w:cs="Calibri"/>
          <w:spacing w:val="-1"/>
        </w:rPr>
        <w:t>Section</w:t>
      </w:r>
      <w:r w:rsidRPr="0031675F">
        <w:rPr>
          <w:rFonts w:cs="Calibri"/>
          <w:spacing w:val="23"/>
        </w:rPr>
        <w:t xml:space="preserve"> </w:t>
      </w:r>
      <w:r w:rsidRPr="0031675F">
        <w:rPr>
          <w:rFonts w:cs="Calibri"/>
          <w:spacing w:val="-1"/>
        </w:rPr>
        <w:t>11.1.2</w:t>
      </w:r>
      <w:r w:rsidRPr="0031675F">
        <w:rPr>
          <w:rFonts w:cs="Calibri"/>
          <w:spacing w:val="25"/>
        </w:rPr>
        <w:t xml:space="preserve"> </w:t>
      </w:r>
      <w:r w:rsidRPr="0031675F">
        <w:rPr>
          <w:rFonts w:cs="Calibri"/>
          <w:spacing w:val="-1"/>
        </w:rPr>
        <w:t>‘Settings</w:t>
      </w:r>
      <w:r w:rsidRPr="0031675F">
        <w:rPr>
          <w:rFonts w:cs="Calibri"/>
          <w:spacing w:val="24"/>
        </w:rPr>
        <w:t xml:space="preserve"> </w:t>
      </w:r>
      <w:r w:rsidRPr="0031675F">
        <w:rPr>
          <w:rFonts w:cs="Calibri"/>
          <w:spacing w:val="-1"/>
        </w:rPr>
        <w:t>for</w:t>
      </w:r>
      <w:r w:rsidRPr="0031675F">
        <w:rPr>
          <w:rFonts w:cs="Calibri"/>
          <w:spacing w:val="24"/>
        </w:rPr>
        <w:t xml:space="preserve"> </w:t>
      </w:r>
      <w:r w:rsidRPr="0031675F">
        <w:rPr>
          <w:rFonts w:cs="Calibri"/>
          <w:spacing w:val="-1"/>
        </w:rPr>
        <w:t>laboratory</w:t>
      </w:r>
      <w:r w:rsidRPr="0031675F">
        <w:rPr>
          <w:rFonts w:cs="Calibri"/>
          <w:spacing w:val="65"/>
        </w:rPr>
        <w:t xml:space="preserve"> </w:t>
      </w:r>
      <w:r w:rsidRPr="0031675F">
        <w:rPr>
          <w:rFonts w:cs="Calibri"/>
          <w:spacing w:val="-1"/>
        </w:rPr>
        <w:t>calibration’</w:t>
      </w:r>
    </w:p>
    <w:p w14:paraId="5C05355D" w14:textId="77777777" w:rsidR="0031675F" w:rsidRPr="0031675F" w:rsidRDefault="0031675F" w:rsidP="0031675F">
      <w:pPr>
        <w:widowControl w:val="0"/>
        <w:numPr>
          <w:ilvl w:val="3"/>
          <w:numId w:val="74"/>
        </w:numPr>
        <w:tabs>
          <w:tab w:val="left" w:pos="832"/>
        </w:tabs>
        <w:spacing w:before="120" w:after="0" w:line="240" w:lineRule="auto"/>
        <w:ind w:left="833" w:hanging="357"/>
      </w:pPr>
      <w:r w:rsidRPr="0031675F">
        <w:t>Stop</w:t>
      </w:r>
      <w:r w:rsidRPr="0031675F">
        <w:rPr>
          <w:spacing w:val="-1"/>
        </w:rPr>
        <w:t xml:space="preserve"> the</w:t>
      </w:r>
      <w:r w:rsidRPr="0031675F">
        <w:rPr>
          <w:spacing w:val="-2"/>
        </w:rPr>
        <w:t xml:space="preserve"> </w:t>
      </w:r>
      <w:r w:rsidRPr="0031675F">
        <w:rPr>
          <w:spacing w:val="-1"/>
        </w:rPr>
        <w:t xml:space="preserve">logger </w:t>
      </w:r>
      <w:r w:rsidRPr="0031675F">
        <w:t>if it</w:t>
      </w:r>
      <w:r w:rsidRPr="0031675F">
        <w:rPr>
          <w:spacing w:val="-3"/>
        </w:rPr>
        <w:t xml:space="preserve"> </w:t>
      </w:r>
      <w:r w:rsidRPr="0031675F">
        <w:t xml:space="preserve">is </w:t>
      </w:r>
      <w:r w:rsidRPr="0031675F">
        <w:rPr>
          <w:spacing w:val="-1"/>
        </w:rPr>
        <w:t>running.</w:t>
      </w:r>
    </w:p>
    <w:p w14:paraId="4EDD15CA" w14:textId="77777777" w:rsidR="0031675F" w:rsidRPr="0031675F" w:rsidRDefault="0031675F" w:rsidP="0031675F">
      <w:pPr>
        <w:widowControl w:val="0"/>
        <w:numPr>
          <w:ilvl w:val="3"/>
          <w:numId w:val="74"/>
        </w:numPr>
        <w:tabs>
          <w:tab w:val="left" w:pos="832"/>
        </w:tabs>
        <w:spacing w:before="118" w:after="0" w:line="240" w:lineRule="auto"/>
        <w:ind w:left="833" w:hanging="357"/>
      </w:pPr>
      <w:r w:rsidRPr="0031675F">
        <w:rPr>
          <w:spacing w:val="-1"/>
        </w:rPr>
        <w:t>Remove</w:t>
      </w:r>
      <w:r w:rsidRPr="0031675F">
        <w:rPr>
          <w:spacing w:val="-2"/>
        </w:rPr>
        <w:t xml:space="preserve"> </w:t>
      </w:r>
      <w:r w:rsidRPr="0031675F">
        <w:t xml:space="preserve">the </w:t>
      </w:r>
      <w:r w:rsidRPr="0031675F">
        <w:rPr>
          <w:spacing w:val="-1"/>
        </w:rPr>
        <w:t>bio-wiper.</w:t>
      </w:r>
    </w:p>
    <w:p w14:paraId="1299BA88" w14:textId="77777777" w:rsidR="0031675F" w:rsidRPr="0031675F" w:rsidRDefault="0031675F" w:rsidP="0031675F">
      <w:pPr>
        <w:spacing w:before="120"/>
        <w:ind w:left="118" w:right="110"/>
        <w:jc w:val="both"/>
        <w:rPr>
          <w:rFonts w:cs="Calibri"/>
        </w:rPr>
      </w:pPr>
      <w:r w:rsidRPr="0031675F">
        <w:rPr>
          <w:spacing w:val="-1"/>
        </w:rPr>
        <w:t>Remove</w:t>
      </w:r>
      <w:r w:rsidRPr="0031675F">
        <w:rPr>
          <w:spacing w:val="17"/>
        </w:rPr>
        <w:t xml:space="preserve"> </w:t>
      </w:r>
      <w:r w:rsidRPr="0031675F">
        <w:rPr>
          <w:spacing w:val="-1"/>
        </w:rPr>
        <w:t>the</w:t>
      </w:r>
      <w:r w:rsidRPr="0031675F">
        <w:rPr>
          <w:spacing w:val="17"/>
        </w:rPr>
        <w:t xml:space="preserve"> </w:t>
      </w:r>
      <w:r w:rsidRPr="0031675F">
        <w:rPr>
          <w:spacing w:val="-1"/>
        </w:rPr>
        <w:t>bio-wiper</w:t>
      </w:r>
      <w:r w:rsidRPr="0031675F">
        <w:rPr>
          <w:spacing w:val="16"/>
        </w:rPr>
        <w:t xml:space="preserve"> </w:t>
      </w:r>
      <w:r w:rsidRPr="0031675F">
        <w:rPr>
          <w:spacing w:val="-2"/>
        </w:rPr>
        <w:t>with</w:t>
      </w:r>
      <w:r w:rsidRPr="0031675F">
        <w:rPr>
          <w:spacing w:val="16"/>
        </w:rPr>
        <w:t xml:space="preserve"> </w:t>
      </w:r>
      <w:r w:rsidRPr="0031675F">
        <w:t>an</w:t>
      </w:r>
      <w:r w:rsidRPr="0031675F">
        <w:rPr>
          <w:spacing w:val="16"/>
        </w:rPr>
        <w:t xml:space="preserve"> </w:t>
      </w:r>
      <w:r w:rsidRPr="0031675F">
        <w:rPr>
          <w:spacing w:val="-1"/>
        </w:rPr>
        <w:t>allen</w:t>
      </w:r>
      <w:r w:rsidRPr="0031675F">
        <w:rPr>
          <w:spacing w:val="16"/>
        </w:rPr>
        <w:t xml:space="preserve"> </w:t>
      </w:r>
      <w:r w:rsidRPr="0031675F">
        <w:rPr>
          <w:spacing w:val="-1"/>
        </w:rPr>
        <w:t>key.</w:t>
      </w:r>
      <w:r w:rsidRPr="0031675F">
        <w:rPr>
          <w:spacing w:val="16"/>
        </w:rPr>
        <w:t xml:space="preserve"> </w:t>
      </w:r>
      <w:r w:rsidRPr="0031675F">
        <w:rPr>
          <w:spacing w:val="-1"/>
        </w:rPr>
        <w:t>IMPORTANT</w:t>
      </w:r>
      <w:r w:rsidRPr="0031675F">
        <w:rPr>
          <w:spacing w:val="17"/>
        </w:rPr>
        <w:t xml:space="preserve"> </w:t>
      </w:r>
      <w:r w:rsidRPr="0031675F">
        <w:t>the</w:t>
      </w:r>
      <w:r w:rsidRPr="0031675F">
        <w:rPr>
          <w:spacing w:val="17"/>
        </w:rPr>
        <w:t xml:space="preserve"> </w:t>
      </w:r>
      <w:r w:rsidRPr="0031675F">
        <w:rPr>
          <w:spacing w:val="-1"/>
        </w:rPr>
        <w:t>logger</w:t>
      </w:r>
      <w:r w:rsidRPr="0031675F">
        <w:rPr>
          <w:spacing w:val="14"/>
        </w:rPr>
        <w:t xml:space="preserve"> </w:t>
      </w:r>
      <w:r w:rsidRPr="0031675F">
        <w:rPr>
          <w:spacing w:val="-1"/>
        </w:rPr>
        <w:t>must</w:t>
      </w:r>
      <w:r w:rsidRPr="0031675F">
        <w:rPr>
          <w:spacing w:val="17"/>
        </w:rPr>
        <w:t xml:space="preserve"> </w:t>
      </w:r>
      <w:r w:rsidRPr="0031675F">
        <w:rPr>
          <w:spacing w:val="-1"/>
        </w:rPr>
        <w:t>not</w:t>
      </w:r>
      <w:r w:rsidRPr="0031675F">
        <w:rPr>
          <w:spacing w:val="17"/>
        </w:rPr>
        <w:t xml:space="preserve"> </w:t>
      </w:r>
      <w:r w:rsidRPr="0031675F">
        <w:rPr>
          <w:spacing w:val="-1"/>
        </w:rPr>
        <w:t>be</w:t>
      </w:r>
      <w:r w:rsidRPr="0031675F">
        <w:rPr>
          <w:spacing w:val="17"/>
        </w:rPr>
        <w:t xml:space="preserve"> </w:t>
      </w:r>
      <w:r w:rsidRPr="0031675F">
        <w:rPr>
          <w:spacing w:val="-2"/>
        </w:rPr>
        <w:t>running</w:t>
      </w:r>
      <w:r w:rsidRPr="0031675F">
        <w:rPr>
          <w:spacing w:val="16"/>
        </w:rPr>
        <w:t xml:space="preserve"> </w:t>
      </w:r>
      <w:r w:rsidRPr="0031675F">
        <w:t>when</w:t>
      </w:r>
      <w:r w:rsidRPr="0031675F">
        <w:rPr>
          <w:spacing w:val="16"/>
        </w:rPr>
        <w:t xml:space="preserve"> </w:t>
      </w:r>
      <w:r w:rsidRPr="0031675F">
        <w:t>you</w:t>
      </w:r>
      <w:r w:rsidRPr="0031675F">
        <w:rPr>
          <w:spacing w:val="16"/>
        </w:rPr>
        <w:t xml:space="preserve"> </w:t>
      </w:r>
      <w:r w:rsidRPr="0031675F">
        <w:rPr>
          <w:spacing w:val="-2"/>
        </w:rPr>
        <w:t>do</w:t>
      </w:r>
      <w:r w:rsidRPr="0031675F">
        <w:rPr>
          <w:spacing w:val="63"/>
        </w:rPr>
        <w:t xml:space="preserve"> </w:t>
      </w:r>
      <w:r w:rsidRPr="0031675F">
        <w:rPr>
          <w:spacing w:val="-1"/>
        </w:rPr>
        <w:t>this.</w:t>
      </w:r>
      <w:r w:rsidRPr="0031675F">
        <w:rPr>
          <w:spacing w:val="11"/>
        </w:rPr>
        <w:t xml:space="preserve"> </w:t>
      </w:r>
      <w:r w:rsidRPr="0031675F">
        <w:rPr>
          <w:b/>
          <w:color w:val="FF0000"/>
          <w:spacing w:val="-1"/>
        </w:rPr>
        <w:t>Note,</w:t>
      </w:r>
      <w:r w:rsidRPr="0031675F">
        <w:rPr>
          <w:b/>
          <w:color w:val="FF0000"/>
          <w:spacing w:val="12"/>
        </w:rPr>
        <w:t xml:space="preserve"> </w:t>
      </w:r>
      <w:r w:rsidRPr="0031675F">
        <w:rPr>
          <w:b/>
          <w:color w:val="FF0000"/>
          <w:spacing w:val="-1"/>
        </w:rPr>
        <w:t>manually</w:t>
      </w:r>
      <w:r w:rsidRPr="0031675F">
        <w:rPr>
          <w:b/>
          <w:color w:val="FF0000"/>
          <w:spacing w:val="13"/>
        </w:rPr>
        <w:t xml:space="preserve"> </w:t>
      </w:r>
      <w:r w:rsidRPr="0031675F">
        <w:rPr>
          <w:b/>
          <w:color w:val="FF0000"/>
          <w:spacing w:val="-2"/>
        </w:rPr>
        <w:t>turning</w:t>
      </w:r>
      <w:r w:rsidRPr="0031675F">
        <w:rPr>
          <w:b/>
          <w:color w:val="FF0000"/>
          <w:spacing w:val="13"/>
        </w:rPr>
        <w:t xml:space="preserve"> </w:t>
      </w:r>
      <w:r w:rsidRPr="0031675F">
        <w:rPr>
          <w:b/>
          <w:color w:val="FF0000"/>
          <w:spacing w:val="-1"/>
        </w:rPr>
        <w:t>the</w:t>
      </w:r>
      <w:r w:rsidRPr="0031675F">
        <w:rPr>
          <w:b/>
          <w:color w:val="FF0000"/>
          <w:spacing w:val="11"/>
        </w:rPr>
        <w:t xml:space="preserve"> </w:t>
      </w:r>
      <w:r w:rsidRPr="0031675F">
        <w:rPr>
          <w:b/>
          <w:color w:val="FF0000"/>
          <w:spacing w:val="-1"/>
        </w:rPr>
        <w:t>motor</w:t>
      </w:r>
      <w:r w:rsidRPr="0031675F">
        <w:rPr>
          <w:b/>
          <w:color w:val="FF0000"/>
          <w:spacing w:val="13"/>
        </w:rPr>
        <w:t xml:space="preserve"> </w:t>
      </w:r>
      <w:r w:rsidRPr="0031675F">
        <w:rPr>
          <w:b/>
          <w:color w:val="FF0000"/>
          <w:spacing w:val="-1"/>
        </w:rPr>
        <w:t>shaft</w:t>
      </w:r>
      <w:r w:rsidRPr="0031675F">
        <w:rPr>
          <w:b/>
          <w:color w:val="FF0000"/>
          <w:spacing w:val="12"/>
        </w:rPr>
        <w:t xml:space="preserve"> </w:t>
      </w:r>
      <w:r w:rsidRPr="0031675F">
        <w:rPr>
          <w:b/>
          <w:color w:val="FF0000"/>
          <w:spacing w:val="-1"/>
        </w:rPr>
        <w:t>can</w:t>
      </w:r>
      <w:r w:rsidRPr="0031675F">
        <w:rPr>
          <w:b/>
          <w:color w:val="FF0000"/>
          <w:spacing w:val="11"/>
        </w:rPr>
        <w:t xml:space="preserve"> </w:t>
      </w:r>
      <w:r w:rsidRPr="0031675F">
        <w:rPr>
          <w:b/>
          <w:color w:val="FF0000"/>
          <w:spacing w:val="-1"/>
        </w:rPr>
        <w:t>damage</w:t>
      </w:r>
      <w:r w:rsidRPr="0031675F">
        <w:rPr>
          <w:b/>
          <w:color w:val="FF0000"/>
          <w:spacing w:val="12"/>
        </w:rPr>
        <w:t xml:space="preserve"> </w:t>
      </w:r>
      <w:r w:rsidRPr="0031675F">
        <w:rPr>
          <w:b/>
          <w:color w:val="FF0000"/>
          <w:spacing w:val="-1"/>
        </w:rPr>
        <w:t>the</w:t>
      </w:r>
      <w:r w:rsidRPr="0031675F">
        <w:rPr>
          <w:b/>
          <w:color w:val="FF0000"/>
          <w:spacing w:val="11"/>
        </w:rPr>
        <w:t xml:space="preserve"> </w:t>
      </w:r>
      <w:r w:rsidRPr="0031675F">
        <w:rPr>
          <w:b/>
          <w:color w:val="FF0000"/>
          <w:spacing w:val="-1"/>
        </w:rPr>
        <w:t>wiper</w:t>
      </w:r>
      <w:r w:rsidRPr="0031675F">
        <w:rPr>
          <w:b/>
          <w:color w:val="FF0000"/>
          <w:spacing w:val="13"/>
        </w:rPr>
        <w:t xml:space="preserve"> </w:t>
      </w:r>
      <w:r w:rsidRPr="0031675F">
        <w:rPr>
          <w:b/>
          <w:color w:val="FF0000"/>
          <w:spacing w:val="-1"/>
        </w:rPr>
        <w:t>motor</w:t>
      </w:r>
      <w:r w:rsidRPr="0031675F">
        <w:rPr>
          <w:b/>
          <w:color w:val="FF0000"/>
          <w:spacing w:val="13"/>
        </w:rPr>
        <w:t xml:space="preserve"> </w:t>
      </w:r>
      <w:r w:rsidRPr="0031675F">
        <w:rPr>
          <w:b/>
          <w:color w:val="FF0000"/>
          <w:spacing w:val="-1"/>
        </w:rPr>
        <w:t>and</w:t>
      </w:r>
      <w:r w:rsidRPr="0031675F">
        <w:rPr>
          <w:b/>
          <w:color w:val="FF0000"/>
          <w:spacing w:val="11"/>
        </w:rPr>
        <w:t xml:space="preserve"> </w:t>
      </w:r>
      <w:r w:rsidRPr="0031675F">
        <w:rPr>
          <w:b/>
          <w:color w:val="FF0000"/>
          <w:spacing w:val="-1"/>
        </w:rPr>
        <w:t>void</w:t>
      </w:r>
      <w:r w:rsidRPr="0031675F">
        <w:rPr>
          <w:b/>
          <w:color w:val="FF0000"/>
          <w:spacing w:val="11"/>
        </w:rPr>
        <w:t xml:space="preserve"> </w:t>
      </w:r>
      <w:r w:rsidRPr="0031675F">
        <w:rPr>
          <w:b/>
          <w:color w:val="FF0000"/>
          <w:spacing w:val="-1"/>
        </w:rPr>
        <w:t>the</w:t>
      </w:r>
      <w:r w:rsidRPr="0031675F">
        <w:rPr>
          <w:b/>
          <w:color w:val="FF0000"/>
          <w:spacing w:val="11"/>
        </w:rPr>
        <w:t xml:space="preserve"> </w:t>
      </w:r>
      <w:r w:rsidRPr="0031675F">
        <w:rPr>
          <w:b/>
          <w:color w:val="FF0000"/>
        </w:rPr>
        <w:t>warranty.</w:t>
      </w:r>
      <w:r w:rsidRPr="0031675F">
        <w:rPr>
          <w:b/>
          <w:color w:val="FF0000"/>
          <w:spacing w:val="81"/>
        </w:rPr>
        <w:t xml:space="preserve"> </w:t>
      </w:r>
      <w:r w:rsidRPr="0031675F">
        <w:rPr>
          <w:spacing w:val="-1"/>
        </w:rPr>
        <w:t>(See</w:t>
      </w:r>
      <w:r w:rsidRPr="0031675F">
        <w:rPr>
          <w:spacing w:val="1"/>
        </w:rPr>
        <w:t xml:space="preserve"> </w:t>
      </w:r>
      <w:r w:rsidRPr="0031675F">
        <w:rPr>
          <w:spacing w:val="-1"/>
        </w:rPr>
        <w:t>Attachment</w:t>
      </w:r>
      <w:r w:rsidRPr="0031675F">
        <w:rPr>
          <w:spacing w:val="-2"/>
        </w:rPr>
        <w:t xml:space="preserve"> </w:t>
      </w:r>
      <w:r w:rsidRPr="0031675F">
        <w:rPr>
          <w:spacing w:val="-1"/>
        </w:rPr>
        <w:t>11.2.1</w:t>
      </w:r>
      <w:r w:rsidRPr="0031675F">
        <w:rPr>
          <w:spacing w:val="-2"/>
        </w:rPr>
        <w:t xml:space="preserve"> </w:t>
      </w:r>
      <w:r w:rsidRPr="0031675F">
        <w:t xml:space="preserve">and </w:t>
      </w:r>
      <w:r w:rsidRPr="0031675F">
        <w:rPr>
          <w:spacing w:val="-1"/>
        </w:rPr>
        <w:t>11.2.2</w:t>
      </w:r>
      <w:r w:rsidRPr="0031675F">
        <w:rPr>
          <w:spacing w:val="-2"/>
        </w:rPr>
        <w:t xml:space="preserve"> </w:t>
      </w:r>
      <w:r w:rsidRPr="0031675F">
        <w:rPr>
          <w:spacing w:val="-1"/>
        </w:rPr>
        <w:t>WET Labs</w:t>
      </w:r>
      <w:r w:rsidRPr="0031675F">
        <w:t xml:space="preserve"> </w:t>
      </w:r>
      <w:r w:rsidRPr="0031675F">
        <w:rPr>
          <w:spacing w:val="-1"/>
        </w:rPr>
        <w:t>technical</w:t>
      </w:r>
      <w:r w:rsidRPr="0031675F">
        <w:rPr>
          <w:spacing w:val="-3"/>
        </w:rPr>
        <w:t xml:space="preserve"> </w:t>
      </w:r>
      <w:r w:rsidRPr="0031675F">
        <w:rPr>
          <w:spacing w:val="-1"/>
        </w:rPr>
        <w:t>notes)</w:t>
      </w:r>
    </w:p>
    <w:p w14:paraId="2E95A636" w14:textId="77777777" w:rsidR="0031675F" w:rsidRPr="0031675F" w:rsidRDefault="0031675F" w:rsidP="0031675F">
      <w:pPr>
        <w:widowControl w:val="0"/>
        <w:numPr>
          <w:ilvl w:val="3"/>
          <w:numId w:val="74"/>
        </w:numPr>
        <w:tabs>
          <w:tab w:val="left" w:pos="832"/>
        </w:tabs>
        <w:spacing w:before="120" w:after="0" w:line="240" w:lineRule="auto"/>
        <w:ind w:left="833" w:hanging="357"/>
      </w:pPr>
      <w:r w:rsidRPr="0031675F">
        <w:rPr>
          <w:spacing w:val="-1"/>
        </w:rPr>
        <w:t>Apply</w:t>
      </w:r>
      <w:r w:rsidRPr="0031675F">
        <w:t xml:space="preserve"> </w:t>
      </w:r>
      <w:r w:rsidRPr="0031675F">
        <w:rPr>
          <w:spacing w:val="-1"/>
        </w:rPr>
        <w:t>black</w:t>
      </w:r>
      <w:r w:rsidRPr="0031675F">
        <w:t xml:space="preserve"> </w:t>
      </w:r>
      <w:r w:rsidRPr="0031675F">
        <w:rPr>
          <w:spacing w:val="-1"/>
        </w:rPr>
        <w:t>electrical</w:t>
      </w:r>
      <w:r w:rsidRPr="0031675F">
        <w:t xml:space="preserve"> </w:t>
      </w:r>
      <w:r w:rsidRPr="0031675F">
        <w:rPr>
          <w:spacing w:val="-1"/>
        </w:rPr>
        <w:t>insulation</w:t>
      </w:r>
      <w:r w:rsidRPr="0031675F">
        <w:rPr>
          <w:spacing w:val="1"/>
        </w:rPr>
        <w:t xml:space="preserve"> </w:t>
      </w:r>
      <w:r w:rsidRPr="0031675F">
        <w:rPr>
          <w:spacing w:val="-1"/>
        </w:rPr>
        <w:t>tape</w:t>
      </w:r>
      <w:r w:rsidRPr="0031675F">
        <w:t xml:space="preserve"> </w:t>
      </w:r>
      <w:r w:rsidRPr="0031675F">
        <w:rPr>
          <w:spacing w:val="-1"/>
        </w:rPr>
        <w:t>to</w:t>
      </w:r>
      <w:r w:rsidRPr="0031675F">
        <w:rPr>
          <w:spacing w:val="2"/>
        </w:rPr>
        <w:t xml:space="preserve"> </w:t>
      </w:r>
      <w:r w:rsidRPr="0031675F">
        <w:rPr>
          <w:spacing w:val="-1"/>
        </w:rPr>
        <w:t>cover</w:t>
      </w:r>
      <w:r w:rsidRPr="0031675F">
        <w:rPr>
          <w:spacing w:val="-2"/>
        </w:rPr>
        <w:t xml:space="preserve"> </w:t>
      </w:r>
      <w:r w:rsidRPr="0031675F">
        <w:t>the</w:t>
      </w:r>
      <w:r w:rsidRPr="0031675F">
        <w:rPr>
          <w:spacing w:val="-2"/>
        </w:rPr>
        <w:t xml:space="preserve"> </w:t>
      </w:r>
      <w:r w:rsidRPr="0031675F">
        <w:rPr>
          <w:spacing w:val="-1"/>
        </w:rPr>
        <w:t>optical</w:t>
      </w:r>
      <w:r w:rsidRPr="0031675F">
        <w:t xml:space="preserve"> </w:t>
      </w:r>
      <w:r w:rsidRPr="0031675F">
        <w:rPr>
          <w:spacing w:val="-1"/>
        </w:rPr>
        <w:t>window.</w:t>
      </w:r>
    </w:p>
    <w:p w14:paraId="3E161EF0" w14:textId="77777777" w:rsidR="0031675F" w:rsidRPr="0031675F" w:rsidRDefault="0031675F" w:rsidP="0031675F">
      <w:pPr>
        <w:widowControl w:val="0"/>
        <w:numPr>
          <w:ilvl w:val="3"/>
          <w:numId w:val="74"/>
        </w:numPr>
        <w:tabs>
          <w:tab w:val="left" w:pos="832"/>
        </w:tabs>
        <w:spacing w:before="0" w:after="0" w:line="240" w:lineRule="auto"/>
        <w:ind w:left="833" w:right="120" w:hanging="357"/>
      </w:pPr>
      <w:r w:rsidRPr="0031675F">
        <w:rPr>
          <w:spacing w:val="-1"/>
        </w:rPr>
        <w:t>Fill large plastic beaker with water and immerse the ‘back cap’.</w:t>
      </w:r>
    </w:p>
    <w:p w14:paraId="71ADB54D" w14:textId="77777777" w:rsidR="0031675F" w:rsidRPr="0031675F" w:rsidRDefault="0031675F" w:rsidP="0031675F">
      <w:pPr>
        <w:widowControl w:val="0"/>
        <w:numPr>
          <w:ilvl w:val="3"/>
          <w:numId w:val="74"/>
        </w:numPr>
        <w:tabs>
          <w:tab w:val="left" w:pos="832"/>
        </w:tabs>
        <w:spacing w:before="0" w:after="0" w:line="240" w:lineRule="auto"/>
        <w:ind w:left="833" w:right="120" w:hanging="357"/>
      </w:pPr>
      <w:r w:rsidRPr="0031675F">
        <w:rPr>
          <w:spacing w:val="-1"/>
        </w:rPr>
        <w:t>Insert the optical head of the logger into the ‘black cap’ immersed in water.</w:t>
      </w:r>
    </w:p>
    <w:p w14:paraId="30113C31" w14:textId="77777777" w:rsidR="0031675F" w:rsidRPr="0031675F" w:rsidRDefault="0031675F" w:rsidP="0031675F">
      <w:pPr>
        <w:spacing w:before="118" w:after="120"/>
        <w:ind w:right="110"/>
        <w:jc w:val="both"/>
      </w:pPr>
      <w:r w:rsidRPr="0031675F">
        <w:rPr>
          <w:spacing w:val="-1"/>
        </w:rPr>
        <w:t>AIMS</w:t>
      </w:r>
      <w:r w:rsidRPr="0031675F">
        <w:rPr>
          <w:spacing w:val="2"/>
        </w:rPr>
        <w:t xml:space="preserve"> </w:t>
      </w:r>
      <w:r w:rsidRPr="0031675F">
        <w:rPr>
          <w:spacing w:val="-1"/>
        </w:rPr>
        <w:t>Water</w:t>
      </w:r>
      <w:r w:rsidRPr="0031675F">
        <w:t xml:space="preserve"> </w:t>
      </w:r>
      <w:r w:rsidRPr="0031675F">
        <w:rPr>
          <w:spacing w:val="-1"/>
        </w:rPr>
        <w:t>Quality</w:t>
      </w:r>
      <w:r w:rsidRPr="0031675F">
        <w:rPr>
          <w:spacing w:val="3"/>
        </w:rPr>
        <w:t xml:space="preserve"> </w:t>
      </w:r>
      <w:r w:rsidRPr="0031675F">
        <w:rPr>
          <w:spacing w:val="-1"/>
        </w:rPr>
        <w:t>group standard</w:t>
      </w:r>
      <w:r w:rsidRPr="0031675F">
        <w:rPr>
          <w:spacing w:val="1"/>
        </w:rPr>
        <w:t xml:space="preserve"> </w:t>
      </w:r>
      <w:r w:rsidRPr="0031675F">
        <w:rPr>
          <w:spacing w:val="-1"/>
        </w:rPr>
        <w:t>height</w:t>
      </w:r>
      <w:r w:rsidRPr="0031675F">
        <w:t xml:space="preserve"> of </w:t>
      </w:r>
      <w:r w:rsidRPr="0031675F">
        <w:rPr>
          <w:spacing w:val="-1"/>
        </w:rPr>
        <w:t>the</w:t>
      </w:r>
      <w:r w:rsidRPr="0031675F">
        <w:rPr>
          <w:spacing w:val="5"/>
        </w:rPr>
        <w:t xml:space="preserve"> </w:t>
      </w:r>
      <w:r w:rsidRPr="0031675F">
        <w:rPr>
          <w:spacing w:val="-2"/>
        </w:rPr>
        <w:t>logger</w:t>
      </w:r>
      <w:r w:rsidRPr="0031675F">
        <w:rPr>
          <w:spacing w:val="3"/>
        </w:rPr>
        <w:t xml:space="preserve"> </w:t>
      </w:r>
      <w:r w:rsidRPr="0031675F">
        <w:rPr>
          <w:spacing w:val="-1"/>
        </w:rPr>
        <w:t>collar</w:t>
      </w:r>
      <w:r w:rsidRPr="0031675F">
        <w:rPr>
          <w:spacing w:val="2"/>
        </w:rPr>
        <w:t xml:space="preserve"> </w:t>
      </w:r>
      <w:r w:rsidRPr="0031675F">
        <w:t xml:space="preserve">is </w:t>
      </w:r>
      <w:r w:rsidRPr="0031675F">
        <w:rPr>
          <w:spacing w:val="-2"/>
        </w:rPr>
        <w:t>positioned</w:t>
      </w:r>
      <w:r w:rsidRPr="0031675F">
        <w:t xml:space="preserve"> </w:t>
      </w:r>
      <w:r w:rsidRPr="0031675F">
        <w:rPr>
          <w:spacing w:val="-1"/>
        </w:rPr>
        <w:t>6cm</w:t>
      </w:r>
      <w:r w:rsidRPr="0031675F">
        <w:rPr>
          <w:spacing w:val="1"/>
        </w:rPr>
        <w:t xml:space="preserve"> </w:t>
      </w:r>
      <w:r w:rsidRPr="0031675F">
        <w:rPr>
          <w:spacing w:val="-1"/>
        </w:rPr>
        <w:t>from</w:t>
      </w:r>
      <w:r w:rsidRPr="0031675F">
        <w:rPr>
          <w:spacing w:val="1"/>
        </w:rPr>
        <w:t xml:space="preserve"> </w:t>
      </w:r>
      <w:r w:rsidRPr="0031675F">
        <w:t>the</w:t>
      </w:r>
      <w:r w:rsidRPr="0031675F">
        <w:rPr>
          <w:spacing w:val="-2"/>
        </w:rPr>
        <w:t xml:space="preserve"> </w:t>
      </w:r>
      <w:r w:rsidRPr="0031675F">
        <w:t>optical end</w:t>
      </w:r>
      <w:r w:rsidRPr="0031675F">
        <w:rPr>
          <w:spacing w:val="81"/>
        </w:rPr>
        <w:t xml:space="preserve"> </w:t>
      </w:r>
      <w:r w:rsidRPr="0031675F">
        <w:t>of</w:t>
      </w:r>
      <w:r w:rsidRPr="0031675F">
        <w:rPr>
          <w:spacing w:val="17"/>
        </w:rPr>
        <w:t xml:space="preserve"> </w:t>
      </w:r>
      <w:r w:rsidRPr="0031675F">
        <w:t>the</w:t>
      </w:r>
      <w:r w:rsidRPr="0031675F">
        <w:rPr>
          <w:spacing w:val="17"/>
        </w:rPr>
        <w:t xml:space="preserve"> </w:t>
      </w:r>
      <w:r w:rsidRPr="0031675F">
        <w:rPr>
          <w:spacing w:val="-1"/>
        </w:rPr>
        <w:t>logger,</w:t>
      </w:r>
      <w:r w:rsidRPr="0031675F">
        <w:rPr>
          <w:spacing w:val="17"/>
        </w:rPr>
        <w:t xml:space="preserve"> </w:t>
      </w:r>
      <w:r w:rsidRPr="0031675F">
        <w:t>which</w:t>
      </w:r>
      <w:r w:rsidRPr="0031675F">
        <w:rPr>
          <w:spacing w:val="15"/>
        </w:rPr>
        <w:t xml:space="preserve"> </w:t>
      </w:r>
      <w:r w:rsidRPr="0031675F">
        <w:rPr>
          <w:spacing w:val="-1"/>
        </w:rPr>
        <w:t>locates</w:t>
      </w:r>
      <w:r w:rsidRPr="0031675F">
        <w:rPr>
          <w:spacing w:val="17"/>
        </w:rPr>
        <w:t xml:space="preserve"> </w:t>
      </w:r>
      <w:r w:rsidRPr="0031675F">
        <w:t>the</w:t>
      </w:r>
      <w:r w:rsidRPr="0031675F">
        <w:rPr>
          <w:spacing w:val="17"/>
        </w:rPr>
        <w:t xml:space="preserve"> </w:t>
      </w:r>
      <w:r w:rsidRPr="0031675F">
        <w:rPr>
          <w:spacing w:val="-1"/>
        </w:rPr>
        <w:t>logger</w:t>
      </w:r>
      <w:r w:rsidRPr="0031675F">
        <w:rPr>
          <w:spacing w:val="17"/>
        </w:rPr>
        <w:t xml:space="preserve"> </w:t>
      </w:r>
      <w:r w:rsidRPr="0031675F">
        <w:t>at</w:t>
      </w:r>
      <w:r w:rsidRPr="0031675F">
        <w:rPr>
          <w:spacing w:val="17"/>
        </w:rPr>
        <w:t xml:space="preserve"> </w:t>
      </w:r>
      <w:r w:rsidRPr="0031675F">
        <w:t>a</w:t>
      </w:r>
      <w:r w:rsidRPr="0031675F">
        <w:rPr>
          <w:spacing w:val="17"/>
        </w:rPr>
        <w:t xml:space="preserve"> </w:t>
      </w:r>
      <w:r w:rsidRPr="0031675F">
        <w:rPr>
          <w:spacing w:val="-1"/>
        </w:rPr>
        <w:t>suitable</w:t>
      </w:r>
      <w:r w:rsidRPr="0031675F">
        <w:rPr>
          <w:spacing w:val="17"/>
        </w:rPr>
        <w:t xml:space="preserve"> </w:t>
      </w:r>
      <w:r w:rsidRPr="0031675F">
        <w:rPr>
          <w:spacing w:val="-1"/>
        </w:rPr>
        <w:t>standard</w:t>
      </w:r>
      <w:r w:rsidRPr="0031675F">
        <w:rPr>
          <w:spacing w:val="16"/>
        </w:rPr>
        <w:t xml:space="preserve"> </w:t>
      </w:r>
      <w:r w:rsidRPr="0031675F">
        <w:rPr>
          <w:spacing w:val="-1"/>
        </w:rPr>
        <w:t>height</w:t>
      </w:r>
      <w:r w:rsidRPr="0031675F">
        <w:rPr>
          <w:spacing w:val="17"/>
        </w:rPr>
        <w:t xml:space="preserve"> </w:t>
      </w:r>
      <w:r w:rsidRPr="0031675F">
        <w:t>within</w:t>
      </w:r>
      <w:r w:rsidRPr="0031675F">
        <w:rPr>
          <w:spacing w:val="15"/>
        </w:rPr>
        <w:t xml:space="preserve"> </w:t>
      </w:r>
      <w:r w:rsidRPr="0031675F">
        <w:t>the</w:t>
      </w:r>
      <w:r w:rsidRPr="0031675F">
        <w:rPr>
          <w:spacing w:val="17"/>
        </w:rPr>
        <w:t xml:space="preserve"> </w:t>
      </w:r>
      <w:r w:rsidRPr="0031675F">
        <w:rPr>
          <w:spacing w:val="-1"/>
        </w:rPr>
        <w:t>calibration</w:t>
      </w:r>
      <w:r w:rsidRPr="0031675F">
        <w:rPr>
          <w:spacing w:val="16"/>
        </w:rPr>
        <w:t xml:space="preserve"> </w:t>
      </w:r>
      <w:r w:rsidRPr="0031675F">
        <w:rPr>
          <w:spacing w:val="-1"/>
        </w:rPr>
        <w:t>cap.</w:t>
      </w:r>
      <w:r w:rsidRPr="0031675F">
        <w:rPr>
          <w:spacing w:val="65"/>
        </w:rPr>
        <w:t xml:space="preserve"> </w:t>
      </w:r>
      <w:r w:rsidRPr="0031675F">
        <w:rPr>
          <w:spacing w:val="-1"/>
        </w:rPr>
        <w:t>(The</w:t>
      </w:r>
      <w:r w:rsidRPr="0031675F">
        <w:t xml:space="preserve"> </w:t>
      </w:r>
      <w:r w:rsidRPr="0031675F">
        <w:rPr>
          <w:spacing w:val="-1"/>
        </w:rPr>
        <w:t>height</w:t>
      </w:r>
      <w:r w:rsidRPr="0031675F">
        <w:t xml:space="preserve"> </w:t>
      </w:r>
      <w:r w:rsidRPr="0031675F">
        <w:rPr>
          <w:spacing w:val="-2"/>
        </w:rPr>
        <w:t>is</w:t>
      </w:r>
      <w:r w:rsidRPr="0031675F">
        <w:t xml:space="preserve"> </w:t>
      </w:r>
      <w:r w:rsidRPr="0031675F">
        <w:rPr>
          <w:spacing w:val="-1"/>
        </w:rPr>
        <w:t>not</w:t>
      </w:r>
      <w:r w:rsidRPr="0031675F">
        <w:t xml:space="preserve"> </w:t>
      </w:r>
      <w:r w:rsidRPr="0031675F">
        <w:rPr>
          <w:spacing w:val="-1"/>
        </w:rPr>
        <w:t>relevant</w:t>
      </w:r>
      <w:r w:rsidRPr="0031675F">
        <w:rPr>
          <w:spacing w:val="-4"/>
        </w:rPr>
        <w:t xml:space="preserve"> </w:t>
      </w:r>
      <w:r w:rsidRPr="0031675F">
        <w:rPr>
          <w:spacing w:val="-1"/>
        </w:rPr>
        <w:t>for</w:t>
      </w:r>
      <w:r w:rsidRPr="0031675F">
        <w:t xml:space="preserve"> </w:t>
      </w:r>
      <w:r w:rsidRPr="0031675F">
        <w:rPr>
          <w:spacing w:val="-1"/>
        </w:rPr>
        <w:t>dark</w:t>
      </w:r>
      <w:r w:rsidRPr="0031675F">
        <w:rPr>
          <w:spacing w:val="-2"/>
        </w:rPr>
        <w:t xml:space="preserve"> </w:t>
      </w:r>
      <w:r w:rsidRPr="0031675F">
        <w:rPr>
          <w:spacing w:val="-1"/>
        </w:rPr>
        <w:t>counts,</w:t>
      </w:r>
      <w:r w:rsidRPr="0031675F">
        <w:t xml:space="preserve"> </w:t>
      </w:r>
      <w:r w:rsidRPr="0031675F">
        <w:rPr>
          <w:spacing w:val="-1"/>
        </w:rPr>
        <w:t>but</w:t>
      </w:r>
      <w:r w:rsidRPr="0031675F">
        <w:t xml:space="preserve"> it</w:t>
      </w:r>
      <w:r w:rsidRPr="0031675F">
        <w:rPr>
          <w:spacing w:val="-3"/>
        </w:rPr>
        <w:t xml:space="preserve"> </w:t>
      </w:r>
      <w:r w:rsidRPr="0031675F">
        <w:t xml:space="preserve">is </w:t>
      </w:r>
      <w:r w:rsidRPr="0031675F">
        <w:rPr>
          <w:spacing w:val="-1"/>
        </w:rPr>
        <w:t>for</w:t>
      </w:r>
      <w:r w:rsidRPr="0031675F">
        <w:rPr>
          <w:spacing w:val="-3"/>
        </w:rPr>
        <w:t xml:space="preserve"> </w:t>
      </w:r>
      <w:r w:rsidRPr="0031675F">
        <w:t>protection of the bio-wiper in transit to the field</w:t>
      </w:r>
      <w:r w:rsidRPr="0031675F">
        <w:rPr>
          <w:spacing w:val="-1"/>
        </w:rPr>
        <w:t>.)</w:t>
      </w:r>
    </w:p>
    <w:p w14:paraId="203EE8F6" w14:textId="77777777" w:rsidR="0031675F" w:rsidRPr="0031675F" w:rsidRDefault="0031675F" w:rsidP="0031675F">
      <w:pPr>
        <w:spacing w:before="6"/>
        <w:rPr>
          <w:rFonts w:cs="Calibri"/>
          <w:sz w:val="19"/>
          <w:szCs w:val="19"/>
        </w:rPr>
      </w:pPr>
    </w:p>
    <w:p w14:paraId="287BF1F2" w14:textId="77777777" w:rsidR="0031675F" w:rsidRPr="0031675F" w:rsidRDefault="0031675F" w:rsidP="0031675F">
      <w:pPr>
        <w:ind w:left="118"/>
        <w:jc w:val="both"/>
        <w:rPr>
          <w:rFonts w:cs="Calibri"/>
        </w:rPr>
      </w:pPr>
      <w:r w:rsidRPr="0031675F">
        <w:rPr>
          <w:b/>
          <w:i/>
          <w:spacing w:val="-1"/>
        </w:rPr>
        <w:t>Logging</w:t>
      </w:r>
    </w:p>
    <w:p w14:paraId="35FD9CD1" w14:textId="77777777" w:rsidR="0031675F" w:rsidRPr="0031675F" w:rsidRDefault="0031675F" w:rsidP="0031675F">
      <w:pPr>
        <w:spacing w:before="121" w:after="120"/>
        <w:jc w:val="both"/>
      </w:pPr>
      <w:r w:rsidRPr="0031675F">
        <w:rPr>
          <w:spacing w:val="-1"/>
        </w:rPr>
        <w:t xml:space="preserve">Run </w:t>
      </w:r>
      <w:r w:rsidRPr="0031675F">
        <w:rPr>
          <w:spacing w:val="-2"/>
        </w:rPr>
        <w:t>logger</w:t>
      </w:r>
      <w:r w:rsidRPr="0031675F">
        <w:t xml:space="preserve"> in</w:t>
      </w:r>
      <w:r w:rsidRPr="0031675F">
        <w:rPr>
          <w:spacing w:val="-1"/>
        </w:rPr>
        <w:t xml:space="preserve"> ambient light.</w:t>
      </w:r>
    </w:p>
    <w:p w14:paraId="5D75D7D7" w14:textId="77777777" w:rsidR="0031675F" w:rsidRPr="0031675F" w:rsidRDefault="0031675F" w:rsidP="0031675F">
      <w:pPr>
        <w:widowControl w:val="0"/>
        <w:numPr>
          <w:ilvl w:val="3"/>
          <w:numId w:val="74"/>
        </w:numPr>
        <w:tabs>
          <w:tab w:val="left" w:pos="832"/>
        </w:tabs>
        <w:spacing w:before="123" w:after="0" w:line="240" w:lineRule="auto"/>
        <w:ind w:left="831" w:hanging="355"/>
      </w:pPr>
      <w:r w:rsidRPr="0031675F">
        <w:rPr>
          <w:spacing w:val="-1"/>
        </w:rPr>
        <w:t>Click</w:t>
      </w:r>
      <w:r w:rsidRPr="0031675F">
        <w:t xml:space="preserve"> </w:t>
      </w:r>
      <w:r w:rsidRPr="0031675F">
        <w:rPr>
          <w:spacing w:val="-21"/>
        </w:rPr>
        <w:t xml:space="preserve"> </w:t>
      </w:r>
      <w:r w:rsidRPr="0031675F">
        <w:rPr>
          <w:noProof/>
          <w:spacing w:val="-21"/>
          <w:lang w:eastAsia="en-AU"/>
        </w:rPr>
        <w:drawing>
          <wp:inline distT="0" distB="0" distL="0" distR="0" wp14:anchorId="22F7EFC5" wp14:editId="73A0C5C5">
            <wp:extent cx="1133475" cy="333375"/>
            <wp:effectExtent l="0" t="0" r="9525" b="9525"/>
            <wp:docPr id="17785" name="Picture 17785" descr="Screen shot of 'Start data'."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1133475" cy="333375"/>
                    </a:xfrm>
                    <a:prstGeom prst="rect">
                      <a:avLst/>
                    </a:prstGeom>
                    <a:noFill/>
                    <a:ln>
                      <a:noFill/>
                    </a:ln>
                  </pic:spPr>
                </pic:pic>
              </a:graphicData>
            </a:graphic>
          </wp:inline>
        </w:drawing>
      </w:r>
    </w:p>
    <w:p w14:paraId="0CE62BC0" w14:textId="77777777" w:rsidR="0031675F" w:rsidRPr="0031675F" w:rsidRDefault="0031675F" w:rsidP="0031675F">
      <w:pPr>
        <w:widowControl w:val="0"/>
        <w:numPr>
          <w:ilvl w:val="3"/>
          <w:numId w:val="74"/>
        </w:numPr>
        <w:tabs>
          <w:tab w:val="left" w:pos="839"/>
        </w:tabs>
        <w:spacing w:before="119" w:after="0" w:line="240" w:lineRule="auto"/>
        <w:ind w:left="838"/>
      </w:pPr>
      <w:r w:rsidRPr="0031675F">
        <w:rPr>
          <w:rFonts w:cs="Calibri"/>
          <w:spacing w:val="-1"/>
        </w:rPr>
        <w:t>View</w:t>
      </w:r>
      <w:r w:rsidRPr="0031675F">
        <w:rPr>
          <w:rFonts w:cs="Calibri"/>
        </w:rPr>
        <w:t xml:space="preserve"> </w:t>
      </w:r>
      <w:r w:rsidRPr="0031675F">
        <w:rPr>
          <w:rFonts w:cs="Calibri"/>
          <w:spacing w:val="-1"/>
        </w:rPr>
        <w:t>‘Plot</w:t>
      </w:r>
      <w:r w:rsidRPr="0031675F">
        <w:rPr>
          <w:rFonts w:cs="Calibri"/>
        </w:rPr>
        <w:t xml:space="preserve"> </w:t>
      </w:r>
      <w:r w:rsidRPr="0031675F">
        <w:rPr>
          <w:rFonts w:cs="Calibri"/>
          <w:spacing w:val="-1"/>
        </w:rPr>
        <w:t>data’</w:t>
      </w:r>
      <w:r w:rsidRPr="0031675F">
        <w:rPr>
          <w:rFonts w:cs="Calibri"/>
          <w:spacing w:val="-4"/>
        </w:rPr>
        <w:t xml:space="preserve"> </w:t>
      </w:r>
      <w:r w:rsidRPr="0031675F">
        <w:rPr>
          <w:rFonts w:cs="Calibri"/>
        </w:rPr>
        <w:t>menu</w:t>
      </w:r>
      <w:r w:rsidRPr="0031675F">
        <w:rPr>
          <w:rFonts w:cs="Calibri"/>
          <w:spacing w:val="-1"/>
        </w:rPr>
        <w:t xml:space="preserve"> </w:t>
      </w:r>
      <w:r w:rsidRPr="0031675F">
        <w:rPr>
          <w:rFonts w:cs="Calibri"/>
          <w:spacing w:val="-2"/>
        </w:rPr>
        <w:t>ta</w:t>
      </w:r>
      <w:r w:rsidRPr="0031675F">
        <w:rPr>
          <w:spacing w:val="-2"/>
        </w:rPr>
        <w:t>b:</w:t>
      </w:r>
    </w:p>
    <w:p w14:paraId="752913A7" w14:textId="77777777" w:rsidR="0031675F" w:rsidRPr="0031675F" w:rsidRDefault="0031675F" w:rsidP="0031675F">
      <w:pPr>
        <w:spacing w:before="11"/>
        <w:rPr>
          <w:rFonts w:cs="Calibri"/>
          <w:sz w:val="9"/>
          <w:szCs w:val="9"/>
        </w:rPr>
      </w:pPr>
    </w:p>
    <w:p w14:paraId="43E3E2A2" w14:textId="77777777" w:rsidR="0031675F" w:rsidRPr="0031675F" w:rsidRDefault="0031675F" w:rsidP="0031675F">
      <w:pPr>
        <w:spacing w:line="200" w:lineRule="atLeast"/>
        <w:ind w:left="148"/>
        <w:rPr>
          <w:rFonts w:cs="Calibri"/>
          <w:sz w:val="20"/>
          <w:szCs w:val="20"/>
        </w:rPr>
      </w:pPr>
      <w:r w:rsidRPr="0031675F">
        <w:rPr>
          <w:rFonts w:cs="Calibri"/>
          <w:noProof/>
          <w:sz w:val="20"/>
          <w:szCs w:val="20"/>
          <w:lang w:eastAsia="en-AU"/>
        </w:rPr>
        <w:drawing>
          <wp:inline distT="0" distB="0" distL="0" distR="0" wp14:anchorId="0F7FED98" wp14:editId="3D2C0ABA">
            <wp:extent cx="4829175" cy="3619500"/>
            <wp:effectExtent l="0" t="0" r="9525" b="0"/>
            <wp:docPr id="17786" name="image39.png" descr="Screen shot of 'Plot data' menu tab."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9.png"/>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4829175" cy="3619500"/>
                    </a:xfrm>
                    <a:prstGeom prst="rect">
                      <a:avLst/>
                    </a:prstGeom>
                    <a:noFill/>
                    <a:ln>
                      <a:noFill/>
                    </a:ln>
                  </pic:spPr>
                </pic:pic>
              </a:graphicData>
            </a:graphic>
          </wp:inline>
        </w:drawing>
      </w:r>
    </w:p>
    <w:p w14:paraId="187A2929" w14:textId="77777777" w:rsidR="0031675F" w:rsidRPr="0031675F" w:rsidRDefault="0031675F" w:rsidP="0031675F">
      <w:pPr>
        <w:widowControl w:val="0"/>
        <w:numPr>
          <w:ilvl w:val="3"/>
          <w:numId w:val="74"/>
        </w:numPr>
        <w:tabs>
          <w:tab w:val="left" w:pos="832"/>
        </w:tabs>
        <w:spacing w:before="90" w:after="0" w:line="240" w:lineRule="auto"/>
        <w:ind w:left="831" w:hanging="355"/>
      </w:pPr>
      <w:r w:rsidRPr="0031675F">
        <w:rPr>
          <w:spacing w:val="-1"/>
        </w:rPr>
        <w:t>Once</w:t>
      </w:r>
      <w:r w:rsidRPr="0031675F">
        <w:t xml:space="preserve"> </w:t>
      </w:r>
      <w:r w:rsidRPr="0031675F">
        <w:rPr>
          <w:spacing w:val="-1"/>
        </w:rPr>
        <w:t>plot</w:t>
      </w:r>
      <w:r w:rsidRPr="0031675F">
        <w:t xml:space="preserve"> </w:t>
      </w:r>
      <w:r w:rsidRPr="0031675F">
        <w:rPr>
          <w:spacing w:val="-1"/>
        </w:rPr>
        <w:t>has</w:t>
      </w:r>
      <w:r w:rsidRPr="0031675F">
        <w:rPr>
          <w:spacing w:val="-2"/>
        </w:rPr>
        <w:t xml:space="preserve"> </w:t>
      </w:r>
      <w:r w:rsidRPr="0031675F">
        <w:rPr>
          <w:spacing w:val="-1"/>
        </w:rPr>
        <w:t>settled</w:t>
      </w:r>
      <w:r w:rsidRPr="0031675F">
        <w:t xml:space="preserve"> </w:t>
      </w:r>
      <w:r w:rsidRPr="0031675F">
        <w:rPr>
          <w:spacing w:val="-1"/>
        </w:rPr>
        <w:t>to</w:t>
      </w:r>
      <w:r w:rsidRPr="0031675F">
        <w:rPr>
          <w:spacing w:val="1"/>
        </w:rPr>
        <w:t xml:space="preserve"> </w:t>
      </w:r>
      <w:r w:rsidRPr="0031675F">
        <w:rPr>
          <w:spacing w:val="-2"/>
        </w:rPr>
        <w:t>consistent</w:t>
      </w:r>
      <w:r w:rsidRPr="0031675F">
        <w:rPr>
          <w:spacing w:val="1"/>
        </w:rPr>
        <w:t xml:space="preserve"> </w:t>
      </w:r>
      <w:r w:rsidRPr="0031675F">
        <w:rPr>
          <w:spacing w:val="-1"/>
        </w:rPr>
        <w:t>readings,</w:t>
      </w:r>
      <w:r w:rsidRPr="0031675F">
        <w:t xml:space="preserve"> </w:t>
      </w:r>
      <w:r w:rsidRPr="0031675F">
        <w:rPr>
          <w:spacing w:val="-1"/>
        </w:rPr>
        <w:t>click</w:t>
      </w:r>
      <w:r w:rsidRPr="0031675F">
        <w:t xml:space="preserve"> </w:t>
      </w:r>
      <w:r w:rsidRPr="0031675F">
        <w:rPr>
          <w:spacing w:val="-22"/>
        </w:rPr>
        <w:t xml:space="preserve"> </w:t>
      </w:r>
      <w:r w:rsidRPr="0031675F">
        <w:rPr>
          <w:noProof/>
          <w:spacing w:val="-22"/>
          <w:lang w:eastAsia="en-AU"/>
        </w:rPr>
        <w:drawing>
          <wp:inline distT="0" distB="0" distL="0" distR="0" wp14:anchorId="2B37C959" wp14:editId="1E2CF913">
            <wp:extent cx="1162050" cy="266700"/>
            <wp:effectExtent l="0" t="0" r="0" b="0"/>
            <wp:docPr id="17787" name="Picture 17787" descr="Screen shot of 'Recored raw'.&#10;" title="Set up WET Labs FLNTUSB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1162050" cy="266700"/>
                    </a:xfrm>
                    <a:prstGeom prst="rect">
                      <a:avLst/>
                    </a:prstGeom>
                    <a:noFill/>
                    <a:ln>
                      <a:noFill/>
                    </a:ln>
                  </pic:spPr>
                </pic:pic>
              </a:graphicData>
            </a:graphic>
          </wp:inline>
        </w:drawing>
      </w:r>
    </w:p>
    <w:p w14:paraId="2189C83D" w14:textId="77777777" w:rsidR="0031675F" w:rsidRPr="0031675F" w:rsidRDefault="0031675F" w:rsidP="0031675F">
      <w:pPr>
        <w:widowControl w:val="0"/>
        <w:numPr>
          <w:ilvl w:val="3"/>
          <w:numId w:val="74"/>
        </w:numPr>
        <w:tabs>
          <w:tab w:val="left" w:pos="832"/>
        </w:tabs>
        <w:spacing w:before="120" w:after="0" w:line="240" w:lineRule="auto"/>
        <w:ind w:left="831" w:hanging="355"/>
        <w:rPr>
          <w:rFonts w:cs="Calibri"/>
        </w:rPr>
      </w:pPr>
      <w:r w:rsidRPr="0031675F">
        <w:rPr>
          <w:rFonts w:cs="Calibri"/>
          <w:spacing w:val="-1"/>
        </w:rPr>
        <w:t>Browse</w:t>
      </w:r>
      <w:r w:rsidRPr="0031675F">
        <w:rPr>
          <w:rFonts w:cs="Calibri"/>
        </w:rPr>
        <w:t xml:space="preserve"> </w:t>
      </w:r>
      <w:r w:rsidRPr="0031675F">
        <w:rPr>
          <w:rFonts w:cs="Calibri"/>
          <w:spacing w:val="-1"/>
        </w:rPr>
        <w:t xml:space="preserve">to </w:t>
      </w:r>
      <w:r w:rsidRPr="0031675F">
        <w:rPr>
          <w:rFonts w:cs="Calibri"/>
        </w:rPr>
        <w:t xml:space="preserve">the </w:t>
      </w:r>
      <w:r w:rsidRPr="0031675F">
        <w:rPr>
          <w:rFonts w:cs="Calibri"/>
          <w:spacing w:val="-1"/>
        </w:rPr>
        <w:t>appropriate</w:t>
      </w:r>
      <w:r w:rsidRPr="0031675F">
        <w:rPr>
          <w:rFonts w:cs="Calibri"/>
          <w:spacing w:val="-2"/>
        </w:rPr>
        <w:t xml:space="preserve"> </w:t>
      </w:r>
      <w:r w:rsidRPr="0031675F">
        <w:rPr>
          <w:rFonts w:cs="Calibri"/>
          <w:spacing w:val="-1"/>
        </w:rPr>
        <w:t>folder</w:t>
      </w:r>
      <w:r w:rsidRPr="0031675F">
        <w:rPr>
          <w:rFonts w:cs="Calibri"/>
        </w:rPr>
        <w:t xml:space="preserve"> </w:t>
      </w:r>
      <w:r w:rsidRPr="0031675F">
        <w:rPr>
          <w:rFonts w:cs="Calibri"/>
          <w:spacing w:val="-1"/>
        </w:rPr>
        <w:t>to store</w:t>
      </w:r>
      <w:r w:rsidRPr="0031675F">
        <w:rPr>
          <w:rFonts w:cs="Calibri"/>
        </w:rPr>
        <w:t xml:space="preserve"> </w:t>
      </w:r>
      <w:r w:rsidRPr="0031675F">
        <w:rPr>
          <w:rFonts w:cs="Calibri"/>
          <w:spacing w:val="-1"/>
        </w:rPr>
        <w:t>the</w:t>
      </w:r>
      <w:r w:rsidRPr="0031675F">
        <w:rPr>
          <w:rFonts w:cs="Calibri"/>
        </w:rPr>
        <w:t xml:space="preserve"> </w:t>
      </w:r>
      <w:r w:rsidRPr="0031675F">
        <w:rPr>
          <w:rFonts w:cs="Calibri"/>
          <w:spacing w:val="-1"/>
        </w:rPr>
        <w:t>.raw</w:t>
      </w:r>
      <w:r w:rsidRPr="0031675F">
        <w:rPr>
          <w:rFonts w:cs="Calibri"/>
          <w:spacing w:val="-2"/>
        </w:rPr>
        <w:t xml:space="preserve"> </w:t>
      </w:r>
      <w:r w:rsidRPr="0031675F">
        <w:rPr>
          <w:rFonts w:cs="Calibri"/>
          <w:spacing w:val="-1"/>
        </w:rPr>
        <w:t>file,</w:t>
      </w:r>
      <w:r w:rsidRPr="0031675F">
        <w:rPr>
          <w:rFonts w:cs="Calibri"/>
        </w:rPr>
        <w:t xml:space="preserve"> and</w:t>
      </w:r>
      <w:r w:rsidRPr="0031675F">
        <w:rPr>
          <w:rFonts w:cs="Calibri"/>
          <w:spacing w:val="-1"/>
        </w:rPr>
        <w:t xml:space="preserve"> ‘save’.</w:t>
      </w:r>
    </w:p>
    <w:p w14:paraId="3DD3846F" w14:textId="77777777" w:rsidR="0031675F" w:rsidRPr="0031675F" w:rsidRDefault="0031675F" w:rsidP="0031675F">
      <w:pPr>
        <w:widowControl w:val="0"/>
        <w:numPr>
          <w:ilvl w:val="3"/>
          <w:numId w:val="74"/>
        </w:numPr>
        <w:tabs>
          <w:tab w:val="left" w:pos="832"/>
        </w:tabs>
        <w:spacing w:before="118" w:after="0" w:line="240" w:lineRule="auto"/>
        <w:ind w:left="831" w:hanging="355"/>
      </w:pPr>
      <w:r w:rsidRPr="0031675F">
        <w:rPr>
          <w:spacing w:val="-1"/>
        </w:rPr>
        <w:t>Record this</w:t>
      </w:r>
      <w:r w:rsidRPr="0031675F">
        <w:t xml:space="preserve"> </w:t>
      </w:r>
      <w:r w:rsidRPr="0031675F">
        <w:rPr>
          <w:spacing w:val="-1"/>
        </w:rPr>
        <w:t>start</w:t>
      </w:r>
      <w:r w:rsidRPr="0031675F">
        <w:rPr>
          <w:spacing w:val="-2"/>
        </w:rPr>
        <w:t xml:space="preserve"> </w:t>
      </w:r>
      <w:r w:rsidRPr="0031675F">
        <w:rPr>
          <w:spacing w:val="-1"/>
        </w:rPr>
        <w:t>time</w:t>
      </w:r>
      <w:r w:rsidRPr="0031675F">
        <w:rPr>
          <w:spacing w:val="-2"/>
        </w:rPr>
        <w:t xml:space="preserve"> </w:t>
      </w:r>
      <w:r w:rsidRPr="0031675F">
        <w:t>on</w:t>
      </w:r>
      <w:r w:rsidRPr="0031675F">
        <w:rPr>
          <w:spacing w:val="-1"/>
        </w:rPr>
        <w:t xml:space="preserve"> </w:t>
      </w:r>
      <w:r w:rsidRPr="0031675F">
        <w:rPr>
          <w:spacing w:val="-2"/>
        </w:rPr>
        <w:t>the</w:t>
      </w:r>
      <w:r w:rsidRPr="0031675F">
        <w:t xml:space="preserve"> </w:t>
      </w:r>
      <w:r w:rsidRPr="0031675F">
        <w:rPr>
          <w:spacing w:val="-1"/>
        </w:rPr>
        <w:t>data</w:t>
      </w:r>
      <w:r w:rsidRPr="0031675F">
        <w:t xml:space="preserve"> </w:t>
      </w:r>
      <w:r w:rsidRPr="0031675F">
        <w:rPr>
          <w:spacing w:val="-1"/>
        </w:rPr>
        <w:t>sheet</w:t>
      </w:r>
      <w:r w:rsidRPr="0031675F">
        <w:rPr>
          <w:spacing w:val="-2"/>
        </w:rPr>
        <w:t xml:space="preserve"> </w:t>
      </w:r>
      <w:r w:rsidRPr="0031675F">
        <w:rPr>
          <w:spacing w:val="-1"/>
        </w:rPr>
        <w:t>(Attachment</w:t>
      </w:r>
      <w:r w:rsidRPr="0031675F">
        <w:rPr>
          <w:spacing w:val="-2"/>
        </w:rPr>
        <w:t xml:space="preserve"> </w:t>
      </w:r>
      <w:r w:rsidRPr="0031675F">
        <w:rPr>
          <w:spacing w:val="-1"/>
        </w:rPr>
        <w:t>11.3).</w:t>
      </w:r>
    </w:p>
    <w:p w14:paraId="768C599B" w14:textId="77777777" w:rsidR="0031675F" w:rsidRPr="0031675F" w:rsidRDefault="0031675F" w:rsidP="0031675F">
      <w:pPr>
        <w:widowControl w:val="0"/>
        <w:numPr>
          <w:ilvl w:val="3"/>
          <w:numId w:val="74"/>
        </w:numPr>
        <w:tabs>
          <w:tab w:val="left" w:pos="832"/>
        </w:tabs>
        <w:spacing w:before="120" w:after="0" w:line="240" w:lineRule="auto"/>
        <w:ind w:left="831" w:hanging="355"/>
      </w:pPr>
      <w:r w:rsidRPr="0031675F">
        <w:rPr>
          <w:spacing w:val="-1"/>
        </w:rPr>
        <w:t>File</w:t>
      </w:r>
      <w:r w:rsidRPr="0031675F">
        <w:t xml:space="preserve"> </w:t>
      </w:r>
      <w:r w:rsidRPr="0031675F">
        <w:rPr>
          <w:spacing w:val="-1"/>
        </w:rPr>
        <w:t>name</w:t>
      </w:r>
      <w:r w:rsidRPr="0031675F">
        <w:t xml:space="preserve"> </w:t>
      </w:r>
      <w:r w:rsidRPr="0031675F">
        <w:rPr>
          <w:spacing w:val="-1"/>
        </w:rPr>
        <w:t>convention:</w:t>
      </w:r>
      <w:r w:rsidRPr="0031675F">
        <w:t xml:space="preserve"> </w:t>
      </w:r>
      <w:r w:rsidRPr="0031675F">
        <w:rPr>
          <w:spacing w:val="-1"/>
        </w:rPr>
        <w:t>829_DC_2007Dec06.raw</w:t>
      </w:r>
      <w:r w:rsidRPr="0031675F">
        <w:rPr>
          <w:spacing w:val="-2"/>
        </w:rPr>
        <w:t xml:space="preserve"> </w:t>
      </w:r>
      <w:r w:rsidRPr="0031675F">
        <w:t xml:space="preserve">Ie. </w:t>
      </w:r>
      <w:r w:rsidRPr="0031675F">
        <w:rPr>
          <w:spacing w:val="-1"/>
        </w:rPr>
        <w:t>Logger</w:t>
      </w:r>
      <w:r w:rsidRPr="0031675F">
        <w:t xml:space="preserve"> </w:t>
      </w:r>
      <w:r w:rsidRPr="0031675F">
        <w:rPr>
          <w:spacing w:val="-1"/>
        </w:rPr>
        <w:t>829,</w:t>
      </w:r>
      <w:r w:rsidRPr="0031675F">
        <w:rPr>
          <w:spacing w:val="-2"/>
        </w:rPr>
        <w:t xml:space="preserve"> </w:t>
      </w:r>
      <w:r w:rsidRPr="0031675F">
        <w:t>Dark</w:t>
      </w:r>
      <w:r w:rsidRPr="0031675F">
        <w:rPr>
          <w:spacing w:val="1"/>
        </w:rPr>
        <w:t xml:space="preserve"> </w:t>
      </w:r>
      <w:r w:rsidRPr="0031675F">
        <w:rPr>
          <w:spacing w:val="-1"/>
        </w:rPr>
        <w:t>Count,</w:t>
      </w:r>
      <w:r w:rsidRPr="0031675F">
        <w:t xml:space="preserve"> </w:t>
      </w:r>
      <w:r w:rsidRPr="0031675F">
        <w:rPr>
          <w:spacing w:val="-1"/>
        </w:rPr>
        <w:t>year,</w:t>
      </w:r>
      <w:r w:rsidRPr="0031675F">
        <w:rPr>
          <w:spacing w:val="-3"/>
        </w:rPr>
        <w:t xml:space="preserve"> </w:t>
      </w:r>
      <w:r w:rsidRPr="0031675F">
        <w:rPr>
          <w:spacing w:val="-1"/>
        </w:rPr>
        <w:t>month,</w:t>
      </w:r>
      <w:r w:rsidRPr="0031675F">
        <w:t xml:space="preserve"> </w:t>
      </w:r>
      <w:r w:rsidRPr="0031675F">
        <w:rPr>
          <w:spacing w:val="-1"/>
        </w:rPr>
        <w:t>day.</w:t>
      </w:r>
    </w:p>
    <w:p w14:paraId="015693DC" w14:textId="77777777" w:rsidR="0031675F" w:rsidRPr="0031675F" w:rsidRDefault="0031675F" w:rsidP="0031675F">
      <w:pPr>
        <w:widowControl w:val="0"/>
        <w:numPr>
          <w:ilvl w:val="3"/>
          <w:numId w:val="74"/>
        </w:numPr>
        <w:tabs>
          <w:tab w:val="left" w:pos="832"/>
        </w:tabs>
        <w:spacing w:before="120" w:after="0" w:line="240" w:lineRule="auto"/>
        <w:ind w:left="831" w:hanging="355"/>
      </w:pPr>
      <w:r w:rsidRPr="0031675F">
        <w:rPr>
          <w:noProof/>
          <w:lang w:eastAsia="en-AU"/>
        </w:rPr>
        <w:drawing>
          <wp:anchor distT="0" distB="0" distL="114300" distR="114300" simplePos="0" relativeHeight="251716608" behindDoc="1" locked="0" layoutInCell="1" allowOverlap="1" wp14:anchorId="67FD77CA" wp14:editId="2EB462F1">
            <wp:simplePos x="0" y="0"/>
            <wp:positionH relativeFrom="page">
              <wp:posOffset>4295775</wp:posOffset>
            </wp:positionH>
            <wp:positionV relativeFrom="paragraph">
              <wp:posOffset>219075</wp:posOffset>
            </wp:positionV>
            <wp:extent cx="1033145" cy="304800"/>
            <wp:effectExtent l="0" t="0" r="0" b="0"/>
            <wp:wrapNone/>
            <wp:docPr id="17788" name="Picture 7983" descr="Screen shot of 'Stop data'.&#10;"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3"/>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1033145" cy="304800"/>
                    </a:xfrm>
                    <a:prstGeom prst="rect">
                      <a:avLst/>
                    </a:prstGeom>
                    <a:noFill/>
                  </pic:spPr>
                </pic:pic>
              </a:graphicData>
            </a:graphic>
            <wp14:sizeRelH relativeFrom="page">
              <wp14:pctWidth>0</wp14:pctWidth>
            </wp14:sizeRelH>
            <wp14:sizeRelV relativeFrom="page">
              <wp14:pctHeight>0</wp14:pctHeight>
            </wp14:sizeRelV>
          </wp:anchor>
        </w:drawing>
      </w:r>
      <w:r w:rsidRPr="0031675F">
        <w:rPr>
          <w:noProof/>
          <w:lang w:eastAsia="en-AU"/>
        </w:rPr>
        <w:drawing>
          <wp:anchor distT="0" distB="0" distL="114300" distR="114300" simplePos="0" relativeHeight="251691008" behindDoc="1" locked="0" layoutInCell="1" allowOverlap="1" wp14:anchorId="72F74EB1" wp14:editId="5BFE2578">
            <wp:simplePos x="0" y="0"/>
            <wp:positionH relativeFrom="page">
              <wp:posOffset>2357755</wp:posOffset>
            </wp:positionH>
            <wp:positionV relativeFrom="paragraph">
              <wp:posOffset>227965</wp:posOffset>
            </wp:positionV>
            <wp:extent cx="1162050" cy="304800"/>
            <wp:effectExtent l="0" t="0" r="0" b="0"/>
            <wp:wrapNone/>
            <wp:docPr id="17789" name="Picture 7984" descr="Screen shot of 'Stop record'."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4"/>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1162050" cy="304800"/>
                    </a:xfrm>
                    <a:prstGeom prst="rect">
                      <a:avLst/>
                    </a:prstGeom>
                    <a:noFill/>
                  </pic:spPr>
                </pic:pic>
              </a:graphicData>
            </a:graphic>
            <wp14:sizeRelH relativeFrom="page">
              <wp14:pctWidth>0</wp14:pctWidth>
            </wp14:sizeRelH>
            <wp14:sizeRelV relativeFrom="page">
              <wp14:pctHeight>0</wp14:pctHeight>
            </wp14:sizeRelV>
          </wp:anchor>
        </w:drawing>
      </w:r>
      <w:r w:rsidRPr="0031675F">
        <w:rPr>
          <w:spacing w:val="-1"/>
        </w:rPr>
        <w:t>Continue</w:t>
      </w:r>
      <w:r w:rsidRPr="0031675F">
        <w:t xml:space="preserve"> </w:t>
      </w:r>
      <w:r w:rsidRPr="0031675F">
        <w:rPr>
          <w:spacing w:val="-1"/>
        </w:rPr>
        <w:t xml:space="preserve">logging </w:t>
      </w:r>
      <w:r w:rsidRPr="0031675F">
        <w:t>for</w:t>
      </w:r>
      <w:r w:rsidRPr="0031675F">
        <w:rPr>
          <w:spacing w:val="-2"/>
        </w:rPr>
        <w:t xml:space="preserve"> </w:t>
      </w:r>
      <w:r w:rsidRPr="0031675F">
        <w:t>5</w:t>
      </w:r>
      <w:r w:rsidRPr="0031675F">
        <w:rPr>
          <w:spacing w:val="-2"/>
        </w:rPr>
        <w:t xml:space="preserve"> </w:t>
      </w:r>
      <w:r w:rsidRPr="0031675F">
        <w:rPr>
          <w:spacing w:val="-1"/>
        </w:rPr>
        <w:t>minutes</w:t>
      </w:r>
      <w:r w:rsidRPr="0031675F">
        <w:t xml:space="preserve"> </w:t>
      </w:r>
      <w:r w:rsidRPr="0031675F">
        <w:rPr>
          <w:spacing w:val="-1"/>
        </w:rPr>
        <w:t xml:space="preserve">to </w:t>
      </w:r>
      <w:r w:rsidRPr="0031675F">
        <w:t>obtain</w:t>
      </w:r>
      <w:r w:rsidRPr="0031675F">
        <w:rPr>
          <w:spacing w:val="-1"/>
        </w:rPr>
        <w:t xml:space="preserve"> ample</w:t>
      </w:r>
      <w:r w:rsidRPr="0031675F">
        <w:t xml:space="preserve"> </w:t>
      </w:r>
      <w:r w:rsidRPr="0031675F">
        <w:rPr>
          <w:spacing w:val="-2"/>
        </w:rPr>
        <w:t>readings</w:t>
      </w:r>
      <w:r w:rsidRPr="0031675F">
        <w:t xml:space="preserve"> to</w:t>
      </w:r>
      <w:r w:rsidRPr="0031675F">
        <w:rPr>
          <w:spacing w:val="-1"/>
        </w:rPr>
        <w:t xml:space="preserve"> calculate</w:t>
      </w:r>
      <w:r w:rsidRPr="0031675F">
        <w:rPr>
          <w:spacing w:val="-2"/>
        </w:rPr>
        <w:t xml:space="preserve"> </w:t>
      </w:r>
      <w:r w:rsidRPr="0031675F">
        <w:t>a</w:t>
      </w:r>
      <w:r w:rsidRPr="0031675F">
        <w:rPr>
          <w:spacing w:val="-2"/>
        </w:rPr>
        <w:t xml:space="preserve"> </w:t>
      </w:r>
      <w:r w:rsidRPr="0031675F">
        <w:t>minimum dark count.</w:t>
      </w:r>
    </w:p>
    <w:p w14:paraId="71731ED5" w14:textId="77777777" w:rsidR="0031675F" w:rsidRPr="0031675F" w:rsidRDefault="0031675F" w:rsidP="0031675F">
      <w:pPr>
        <w:widowControl w:val="0"/>
        <w:numPr>
          <w:ilvl w:val="3"/>
          <w:numId w:val="74"/>
        </w:numPr>
        <w:tabs>
          <w:tab w:val="left" w:pos="832"/>
        </w:tabs>
        <w:spacing w:before="120" w:after="0" w:line="240" w:lineRule="auto"/>
        <w:ind w:left="831" w:hanging="355"/>
      </w:pPr>
      <w:r w:rsidRPr="0031675F">
        <w:rPr>
          <w:spacing w:val="-1"/>
        </w:rPr>
        <w:t>Stop logging, click</w:t>
      </w:r>
      <w:r w:rsidRPr="0031675F">
        <w:rPr>
          <w:spacing w:val="-1"/>
        </w:rPr>
        <w:tab/>
      </w:r>
      <w:r w:rsidRPr="0031675F">
        <w:rPr>
          <w:spacing w:val="-1"/>
        </w:rPr>
        <w:tab/>
      </w:r>
      <w:r w:rsidRPr="0031675F">
        <w:rPr>
          <w:spacing w:val="-1"/>
        </w:rPr>
        <w:tab/>
        <w:t>Then click</w:t>
      </w:r>
      <w:r w:rsidRPr="0031675F">
        <w:rPr>
          <w:spacing w:val="-1"/>
        </w:rPr>
        <w:tab/>
      </w:r>
      <w:r w:rsidRPr="0031675F">
        <w:rPr>
          <w:spacing w:val="-1"/>
        </w:rPr>
        <w:tab/>
      </w:r>
      <w:r w:rsidRPr="0031675F">
        <w:rPr>
          <w:spacing w:val="-1"/>
        </w:rPr>
        <w:tab/>
        <w:t>multiple</w:t>
      </w:r>
      <w:r w:rsidRPr="0031675F">
        <w:rPr>
          <w:spacing w:val="10"/>
        </w:rPr>
        <w:t xml:space="preserve"> </w:t>
      </w:r>
      <w:r w:rsidRPr="0031675F">
        <w:rPr>
          <w:spacing w:val="-1"/>
        </w:rPr>
        <w:t>times</w:t>
      </w:r>
      <w:r w:rsidRPr="0031675F">
        <w:rPr>
          <w:spacing w:val="8"/>
        </w:rPr>
        <w:t xml:space="preserve"> </w:t>
      </w:r>
      <w:r w:rsidRPr="0031675F">
        <w:rPr>
          <w:spacing w:val="-1"/>
        </w:rPr>
        <w:t>whilst</w:t>
      </w:r>
      <w:r w:rsidRPr="0031675F">
        <w:rPr>
          <w:spacing w:val="38"/>
        </w:rPr>
        <w:t xml:space="preserve"> </w:t>
      </w:r>
      <w:r w:rsidRPr="0031675F">
        <w:t xml:space="preserve">the </w:t>
      </w:r>
      <w:r w:rsidRPr="0031675F">
        <w:rPr>
          <w:spacing w:val="-1"/>
        </w:rPr>
        <w:t xml:space="preserve">instrument </w:t>
      </w:r>
      <w:r w:rsidRPr="0031675F">
        <w:rPr>
          <w:spacing w:val="-2"/>
        </w:rPr>
        <w:t>is</w:t>
      </w:r>
      <w:r w:rsidRPr="0031675F">
        <w:t xml:space="preserve"> </w:t>
      </w:r>
      <w:r w:rsidRPr="0031675F">
        <w:rPr>
          <w:spacing w:val="-1"/>
        </w:rPr>
        <w:t>emanating light</w:t>
      </w:r>
      <w:r w:rsidRPr="0031675F">
        <w:t xml:space="preserve"> </w:t>
      </w:r>
      <w:r w:rsidRPr="0031675F">
        <w:rPr>
          <w:spacing w:val="-1"/>
        </w:rPr>
        <w:t>during the</w:t>
      </w:r>
      <w:r w:rsidRPr="0031675F">
        <w:t xml:space="preserve"> </w:t>
      </w:r>
      <w:r w:rsidRPr="0031675F">
        <w:rPr>
          <w:spacing w:val="-1"/>
        </w:rPr>
        <w:t>next</w:t>
      </w:r>
      <w:r w:rsidRPr="0031675F">
        <w:t xml:space="preserve"> </w:t>
      </w:r>
      <w:r w:rsidRPr="0031675F">
        <w:rPr>
          <w:spacing w:val="-1"/>
        </w:rPr>
        <w:t>reading.</w:t>
      </w:r>
      <w:r w:rsidRPr="0031675F">
        <w:t xml:space="preserve"> </w:t>
      </w:r>
      <w:r w:rsidRPr="0031675F">
        <w:rPr>
          <w:spacing w:val="-1"/>
        </w:rPr>
        <w:t>The</w:t>
      </w:r>
      <w:r w:rsidRPr="0031675F">
        <w:t xml:space="preserve"> </w:t>
      </w:r>
      <w:r w:rsidRPr="0031675F">
        <w:rPr>
          <w:spacing w:val="-1"/>
        </w:rPr>
        <w:t>logger</w:t>
      </w:r>
      <w:r w:rsidRPr="0031675F">
        <w:rPr>
          <w:spacing w:val="-2"/>
        </w:rPr>
        <w:t xml:space="preserve"> </w:t>
      </w:r>
      <w:r w:rsidRPr="0031675F">
        <w:rPr>
          <w:spacing w:val="-1"/>
        </w:rPr>
        <w:t>should stop</w:t>
      </w:r>
      <w:r w:rsidRPr="0031675F">
        <w:rPr>
          <w:spacing w:val="-3"/>
        </w:rPr>
        <w:t xml:space="preserve"> </w:t>
      </w:r>
      <w:r w:rsidRPr="0031675F">
        <w:rPr>
          <w:spacing w:val="-1"/>
        </w:rPr>
        <w:t>running.</w:t>
      </w:r>
    </w:p>
    <w:p w14:paraId="6872CF42" w14:textId="77777777" w:rsidR="0031675F" w:rsidRPr="0031675F" w:rsidRDefault="0031675F" w:rsidP="0031675F">
      <w:pPr>
        <w:widowControl w:val="0"/>
        <w:numPr>
          <w:ilvl w:val="3"/>
          <w:numId w:val="74"/>
        </w:numPr>
        <w:tabs>
          <w:tab w:val="left" w:pos="832"/>
        </w:tabs>
        <w:spacing w:before="126" w:after="0" w:line="240" w:lineRule="auto"/>
        <w:ind w:left="831" w:hanging="355"/>
      </w:pPr>
      <w:r w:rsidRPr="0031675F">
        <w:rPr>
          <w:spacing w:val="-1"/>
        </w:rPr>
        <w:t>Record this</w:t>
      </w:r>
      <w:r w:rsidRPr="0031675F">
        <w:rPr>
          <w:spacing w:val="-2"/>
        </w:rPr>
        <w:t xml:space="preserve"> </w:t>
      </w:r>
      <w:r w:rsidRPr="0031675F">
        <w:t>end</w:t>
      </w:r>
      <w:r w:rsidRPr="0031675F">
        <w:rPr>
          <w:spacing w:val="-2"/>
        </w:rPr>
        <w:t xml:space="preserve"> </w:t>
      </w:r>
      <w:r w:rsidRPr="0031675F">
        <w:rPr>
          <w:spacing w:val="-1"/>
        </w:rPr>
        <w:t>time</w:t>
      </w:r>
      <w:r w:rsidRPr="0031675F">
        <w:rPr>
          <w:spacing w:val="-2"/>
        </w:rPr>
        <w:t xml:space="preserve"> </w:t>
      </w:r>
      <w:r w:rsidRPr="0031675F">
        <w:t>on</w:t>
      </w:r>
      <w:r w:rsidRPr="0031675F">
        <w:rPr>
          <w:spacing w:val="-1"/>
        </w:rPr>
        <w:t xml:space="preserve"> </w:t>
      </w:r>
      <w:r w:rsidRPr="0031675F">
        <w:rPr>
          <w:spacing w:val="-2"/>
        </w:rPr>
        <w:t>the</w:t>
      </w:r>
      <w:r w:rsidRPr="0031675F">
        <w:t xml:space="preserve"> </w:t>
      </w:r>
      <w:r w:rsidRPr="0031675F">
        <w:rPr>
          <w:spacing w:val="-1"/>
        </w:rPr>
        <w:t>data</w:t>
      </w:r>
      <w:r w:rsidRPr="0031675F">
        <w:t xml:space="preserve"> </w:t>
      </w:r>
      <w:r w:rsidRPr="0031675F">
        <w:rPr>
          <w:spacing w:val="-1"/>
        </w:rPr>
        <w:t>sheet.</w:t>
      </w:r>
    </w:p>
    <w:p w14:paraId="1786025A" w14:textId="77777777" w:rsidR="0031675F" w:rsidRPr="0031675F" w:rsidRDefault="0031675F" w:rsidP="0031675F">
      <w:pPr>
        <w:widowControl w:val="0"/>
        <w:numPr>
          <w:ilvl w:val="3"/>
          <w:numId w:val="74"/>
        </w:numPr>
        <w:tabs>
          <w:tab w:val="left" w:pos="832"/>
        </w:tabs>
        <w:spacing w:before="120" w:after="0" w:line="240" w:lineRule="auto"/>
        <w:ind w:left="831" w:right="120" w:hanging="355"/>
      </w:pPr>
      <w:r w:rsidRPr="0031675F">
        <w:rPr>
          <w:spacing w:val="-1"/>
        </w:rPr>
        <w:t>Remove</w:t>
      </w:r>
      <w:r w:rsidRPr="0031675F">
        <w:rPr>
          <w:spacing w:val="10"/>
        </w:rPr>
        <w:t xml:space="preserve"> </w:t>
      </w:r>
      <w:r w:rsidRPr="0031675F">
        <w:t>the</w:t>
      </w:r>
      <w:r w:rsidRPr="0031675F">
        <w:rPr>
          <w:spacing w:val="10"/>
        </w:rPr>
        <w:t xml:space="preserve"> </w:t>
      </w:r>
      <w:r w:rsidRPr="0031675F">
        <w:rPr>
          <w:spacing w:val="-1"/>
        </w:rPr>
        <w:t>logger</w:t>
      </w:r>
      <w:r w:rsidRPr="0031675F">
        <w:rPr>
          <w:spacing w:val="10"/>
        </w:rPr>
        <w:t xml:space="preserve"> </w:t>
      </w:r>
      <w:r w:rsidRPr="0031675F">
        <w:rPr>
          <w:spacing w:val="-2"/>
        </w:rPr>
        <w:t>from</w:t>
      </w:r>
      <w:r w:rsidRPr="0031675F">
        <w:rPr>
          <w:spacing w:val="11"/>
        </w:rPr>
        <w:t xml:space="preserve"> </w:t>
      </w:r>
      <w:r w:rsidRPr="0031675F">
        <w:rPr>
          <w:spacing w:val="-1"/>
        </w:rPr>
        <w:t>the</w:t>
      </w:r>
      <w:r w:rsidRPr="0031675F">
        <w:rPr>
          <w:spacing w:val="10"/>
        </w:rPr>
        <w:t xml:space="preserve"> </w:t>
      </w:r>
      <w:r w:rsidRPr="0031675F">
        <w:rPr>
          <w:spacing w:val="-1"/>
        </w:rPr>
        <w:t>calibration</w:t>
      </w:r>
      <w:r w:rsidRPr="0031675F">
        <w:rPr>
          <w:spacing w:val="6"/>
        </w:rPr>
        <w:t xml:space="preserve"> </w:t>
      </w:r>
      <w:r w:rsidRPr="0031675F">
        <w:rPr>
          <w:spacing w:val="-1"/>
        </w:rPr>
        <w:t>cylinder</w:t>
      </w:r>
      <w:r w:rsidRPr="0031675F">
        <w:rPr>
          <w:spacing w:val="10"/>
        </w:rPr>
        <w:t xml:space="preserve"> </w:t>
      </w:r>
      <w:r w:rsidRPr="0031675F">
        <w:rPr>
          <w:spacing w:val="-1"/>
        </w:rPr>
        <w:t>and</w:t>
      </w:r>
      <w:r w:rsidRPr="0031675F">
        <w:rPr>
          <w:spacing w:val="9"/>
        </w:rPr>
        <w:t xml:space="preserve"> </w:t>
      </w:r>
      <w:r w:rsidRPr="0031675F">
        <w:rPr>
          <w:spacing w:val="-1"/>
        </w:rPr>
        <w:t>remove</w:t>
      </w:r>
      <w:r w:rsidRPr="0031675F">
        <w:rPr>
          <w:spacing w:val="10"/>
        </w:rPr>
        <w:t xml:space="preserve"> </w:t>
      </w:r>
      <w:r w:rsidRPr="0031675F">
        <w:t>the</w:t>
      </w:r>
      <w:r w:rsidRPr="0031675F">
        <w:rPr>
          <w:spacing w:val="10"/>
        </w:rPr>
        <w:t xml:space="preserve"> </w:t>
      </w:r>
      <w:r w:rsidRPr="0031675F">
        <w:rPr>
          <w:spacing w:val="-1"/>
        </w:rPr>
        <w:t>black</w:t>
      </w:r>
      <w:r w:rsidRPr="0031675F">
        <w:rPr>
          <w:spacing w:val="10"/>
        </w:rPr>
        <w:t xml:space="preserve"> </w:t>
      </w:r>
      <w:r w:rsidRPr="0031675F">
        <w:t>tape</w:t>
      </w:r>
      <w:r w:rsidRPr="0031675F">
        <w:rPr>
          <w:spacing w:val="10"/>
        </w:rPr>
        <w:t xml:space="preserve"> </w:t>
      </w:r>
      <w:r w:rsidRPr="0031675F">
        <w:rPr>
          <w:spacing w:val="-2"/>
        </w:rPr>
        <w:t>from</w:t>
      </w:r>
      <w:r w:rsidRPr="0031675F">
        <w:rPr>
          <w:spacing w:val="8"/>
        </w:rPr>
        <w:t xml:space="preserve"> </w:t>
      </w:r>
      <w:r w:rsidRPr="0031675F">
        <w:t>the</w:t>
      </w:r>
      <w:r w:rsidRPr="0031675F">
        <w:rPr>
          <w:spacing w:val="10"/>
        </w:rPr>
        <w:t xml:space="preserve"> </w:t>
      </w:r>
      <w:r w:rsidRPr="0031675F">
        <w:rPr>
          <w:spacing w:val="-1"/>
        </w:rPr>
        <w:t>optical</w:t>
      </w:r>
      <w:r w:rsidRPr="0031675F">
        <w:rPr>
          <w:spacing w:val="63"/>
        </w:rPr>
        <w:t xml:space="preserve"> </w:t>
      </w:r>
      <w:r w:rsidRPr="0031675F">
        <w:t>port.</w:t>
      </w:r>
    </w:p>
    <w:p w14:paraId="0B14F557" w14:textId="77777777" w:rsidR="0031675F" w:rsidRPr="0031675F" w:rsidRDefault="0031675F" w:rsidP="0031675F">
      <w:pPr>
        <w:widowControl w:val="0"/>
        <w:numPr>
          <w:ilvl w:val="3"/>
          <w:numId w:val="74"/>
        </w:numPr>
        <w:tabs>
          <w:tab w:val="left" w:pos="832"/>
        </w:tabs>
        <w:spacing w:before="120" w:after="0" w:line="240" w:lineRule="auto"/>
        <w:ind w:left="831" w:hanging="355"/>
      </w:pPr>
      <w:r w:rsidRPr="0031675F">
        <w:rPr>
          <w:spacing w:val="-1"/>
        </w:rPr>
        <w:t>Unplug the</w:t>
      </w:r>
      <w:r w:rsidRPr="0031675F">
        <w:t xml:space="preserve"> </w:t>
      </w:r>
      <w:r w:rsidRPr="0031675F">
        <w:rPr>
          <w:spacing w:val="-1"/>
        </w:rPr>
        <w:t>logger.</w:t>
      </w:r>
    </w:p>
    <w:p w14:paraId="3E14B863" w14:textId="77777777" w:rsidR="0031675F" w:rsidRPr="0031675F" w:rsidRDefault="0031675F" w:rsidP="0031675F">
      <w:pPr>
        <w:spacing w:before="120" w:after="120"/>
        <w:jc w:val="both"/>
      </w:pPr>
      <w:r w:rsidRPr="0031675F">
        <w:rPr>
          <w:spacing w:val="-1"/>
        </w:rPr>
        <w:t>Your</w:t>
      </w:r>
      <w:r w:rsidRPr="0031675F">
        <w:t xml:space="preserve"> </w:t>
      </w:r>
      <w:r w:rsidRPr="0031675F">
        <w:rPr>
          <w:spacing w:val="-1"/>
        </w:rPr>
        <w:t>raw</w:t>
      </w:r>
      <w:r w:rsidRPr="0031675F">
        <w:rPr>
          <w:spacing w:val="1"/>
        </w:rPr>
        <w:t xml:space="preserve"> </w:t>
      </w:r>
      <w:r w:rsidRPr="0031675F">
        <w:rPr>
          <w:spacing w:val="-1"/>
        </w:rPr>
        <w:t>data</w:t>
      </w:r>
      <w:r w:rsidRPr="0031675F">
        <w:rPr>
          <w:spacing w:val="-2"/>
        </w:rPr>
        <w:t xml:space="preserve"> </w:t>
      </w:r>
      <w:r w:rsidRPr="0031675F">
        <w:rPr>
          <w:spacing w:val="-1"/>
        </w:rPr>
        <w:t>file</w:t>
      </w:r>
      <w:r w:rsidRPr="0031675F">
        <w:t xml:space="preserve"> </w:t>
      </w:r>
      <w:r w:rsidRPr="0031675F">
        <w:rPr>
          <w:spacing w:val="-1"/>
        </w:rPr>
        <w:t>can be</w:t>
      </w:r>
      <w:r w:rsidRPr="0031675F">
        <w:t xml:space="preserve"> </w:t>
      </w:r>
      <w:r w:rsidRPr="0031675F">
        <w:rPr>
          <w:spacing w:val="-2"/>
        </w:rPr>
        <w:t>found</w:t>
      </w:r>
      <w:r w:rsidRPr="0031675F">
        <w:rPr>
          <w:spacing w:val="-1"/>
        </w:rPr>
        <w:t xml:space="preserve"> </w:t>
      </w:r>
      <w:r w:rsidRPr="0031675F">
        <w:t xml:space="preserve">in the </w:t>
      </w:r>
      <w:r w:rsidRPr="0031675F">
        <w:rPr>
          <w:spacing w:val="-1"/>
        </w:rPr>
        <w:t>folder</w:t>
      </w:r>
      <w:r w:rsidRPr="0031675F">
        <w:t xml:space="preserve"> </w:t>
      </w:r>
      <w:r w:rsidRPr="0031675F">
        <w:rPr>
          <w:spacing w:val="-1"/>
        </w:rPr>
        <w:t>you specified.</w:t>
      </w:r>
    </w:p>
    <w:p w14:paraId="751E00CC" w14:textId="77777777" w:rsidR="0031675F" w:rsidRPr="0031675F" w:rsidRDefault="0031675F" w:rsidP="0031675F">
      <w:pPr>
        <w:spacing w:before="4"/>
        <w:rPr>
          <w:rFonts w:cs="Calibri"/>
          <w:sz w:val="19"/>
          <w:szCs w:val="19"/>
        </w:rPr>
      </w:pPr>
    </w:p>
    <w:p w14:paraId="1B117DA2" w14:textId="77777777" w:rsidR="0031675F" w:rsidRPr="0031675F" w:rsidRDefault="0031675F" w:rsidP="0031675F">
      <w:pPr>
        <w:widowControl w:val="0"/>
        <w:numPr>
          <w:ilvl w:val="2"/>
          <w:numId w:val="74"/>
        </w:numPr>
        <w:tabs>
          <w:tab w:val="left" w:pos="839"/>
        </w:tabs>
        <w:spacing w:before="0" w:after="0" w:line="240" w:lineRule="auto"/>
        <w:ind w:left="838"/>
        <w:jc w:val="both"/>
        <w:rPr>
          <w:rFonts w:eastAsia="Arial" w:cs="Arial"/>
        </w:rPr>
      </w:pPr>
      <w:r w:rsidRPr="0031675F">
        <w:rPr>
          <w:b/>
          <w:spacing w:val="-1"/>
        </w:rPr>
        <w:t>Determination</w:t>
      </w:r>
      <w:r w:rsidRPr="0031675F">
        <w:rPr>
          <w:b/>
        </w:rPr>
        <w:t xml:space="preserve"> </w:t>
      </w:r>
      <w:r w:rsidRPr="0031675F">
        <w:rPr>
          <w:b/>
          <w:spacing w:val="-2"/>
        </w:rPr>
        <w:t>of</w:t>
      </w:r>
      <w:r w:rsidRPr="0031675F">
        <w:rPr>
          <w:b/>
          <w:spacing w:val="-1"/>
        </w:rPr>
        <w:t xml:space="preserve"> maximum fluorescence.</w:t>
      </w:r>
    </w:p>
    <w:p w14:paraId="656E33BB" w14:textId="77777777" w:rsidR="0031675F" w:rsidRPr="0031675F" w:rsidRDefault="0031675F" w:rsidP="0031675F">
      <w:pPr>
        <w:spacing w:after="120" w:line="239" w:lineRule="auto"/>
        <w:ind w:right="110"/>
        <w:jc w:val="both"/>
      </w:pPr>
      <w:r w:rsidRPr="0031675F">
        <w:rPr>
          <w:rFonts w:cs="Calibri"/>
          <w:spacing w:val="-1"/>
        </w:rPr>
        <w:t>WET Labs</w:t>
      </w:r>
      <w:r w:rsidRPr="0031675F">
        <w:rPr>
          <w:rFonts w:cs="Calibri"/>
          <w:spacing w:val="26"/>
        </w:rPr>
        <w:t xml:space="preserve"> </w:t>
      </w:r>
      <w:r w:rsidRPr="0031675F">
        <w:rPr>
          <w:rFonts w:cs="Calibri"/>
          <w:spacing w:val="-1"/>
        </w:rPr>
        <w:t>provides</w:t>
      </w:r>
      <w:r w:rsidRPr="0031675F">
        <w:rPr>
          <w:rFonts w:cs="Calibri"/>
          <w:spacing w:val="27"/>
        </w:rPr>
        <w:t xml:space="preserve"> </w:t>
      </w:r>
      <w:r w:rsidRPr="0031675F">
        <w:rPr>
          <w:rFonts w:cs="Calibri"/>
        </w:rPr>
        <w:t>a</w:t>
      </w:r>
      <w:r w:rsidRPr="0031675F">
        <w:rPr>
          <w:rFonts w:cs="Calibri"/>
          <w:spacing w:val="26"/>
        </w:rPr>
        <w:t xml:space="preserve"> </w:t>
      </w:r>
      <w:r w:rsidRPr="0031675F">
        <w:rPr>
          <w:rFonts w:cs="Calibri"/>
          <w:spacing w:val="-1"/>
        </w:rPr>
        <w:t>pink</w:t>
      </w:r>
      <w:r w:rsidRPr="0031675F">
        <w:rPr>
          <w:rFonts w:cs="Calibri"/>
          <w:spacing w:val="26"/>
        </w:rPr>
        <w:t xml:space="preserve"> </w:t>
      </w:r>
      <w:r w:rsidRPr="0031675F">
        <w:rPr>
          <w:rFonts w:cs="Calibri"/>
          <w:spacing w:val="-1"/>
        </w:rPr>
        <w:t>fluorescence</w:t>
      </w:r>
      <w:r w:rsidRPr="0031675F">
        <w:rPr>
          <w:rFonts w:cs="Calibri"/>
          <w:spacing w:val="27"/>
        </w:rPr>
        <w:t xml:space="preserve"> </w:t>
      </w:r>
      <w:r w:rsidRPr="0031675F">
        <w:rPr>
          <w:rFonts w:cs="Calibri"/>
          <w:spacing w:val="-1"/>
        </w:rPr>
        <w:t>stick</w:t>
      </w:r>
      <w:r w:rsidRPr="0031675F">
        <w:rPr>
          <w:rFonts w:cs="Calibri"/>
          <w:spacing w:val="27"/>
        </w:rPr>
        <w:t xml:space="preserve"> </w:t>
      </w:r>
      <w:r w:rsidRPr="0031675F">
        <w:rPr>
          <w:rFonts w:cs="Calibri"/>
        </w:rPr>
        <w:t>as</w:t>
      </w:r>
      <w:r w:rsidRPr="0031675F">
        <w:rPr>
          <w:rFonts w:cs="Calibri"/>
          <w:spacing w:val="24"/>
        </w:rPr>
        <w:t xml:space="preserve"> </w:t>
      </w:r>
      <w:r w:rsidRPr="0031675F">
        <w:rPr>
          <w:rFonts w:cs="Calibri"/>
        </w:rPr>
        <w:t>one</w:t>
      </w:r>
      <w:r w:rsidRPr="0031675F">
        <w:rPr>
          <w:rFonts w:cs="Calibri"/>
          <w:spacing w:val="25"/>
        </w:rPr>
        <w:t xml:space="preserve"> </w:t>
      </w:r>
      <w:r w:rsidRPr="0031675F">
        <w:rPr>
          <w:rFonts w:cs="Calibri"/>
          <w:spacing w:val="-1"/>
        </w:rPr>
        <w:t>of</w:t>
      </w:r>
      <w:r w:rsidRPr="0031675F">
        <w:rPr>
          <w:rFonts w:cs="Calibri"/>
          <w:spacing w:val="25"/>
        </w:rPr>
        <w:t xml:space="preserve"> </w:t>
      </w:r>
      <w:r w:rsidRPr="0031675F">
        <w:rPr>
          <w:rFonts w:cs="Calibri"/>
        </w:rPr>
        <w:t>the</w:t>
      </w:r>
      <w:r w:rsidRPr="0031675F">
        <w:rPr>
          <w:rFonts w:cs="Calibri"/>
          <w:spacing w:val="27"/>
        </w:rPr>
        <w:t xml:space="preserve"> </w:t>
      </w:r>
      <w:r w:rsidRPr="0031675F">
        <w:rPr>
          <w:rFonts w:cs="Calibri"/>
          <w:spacing w:val="-1"/>
        </w:rPr>
        <w:t>‘spare</w:t>
      </w:r>
      <w:r w:rsidRPr="0031675F">
        <w:rPr>
          <w:rFonts w:cs="Calibri"/>
          <w:spacing w:val="27"/>
        </w:rPr>
        <w:t xml:space="preserve"> </w:t>
      </w:r>
      <w:r w:rsidRPr="0031675F">
        <w:rPr>
          <w:rFonts w:cs="Calibri"/>
          <w:spacing w:val="-1"/>
        </w:rPr>
        <w:t>parts’.</w:t>
      </w:r>
      <w:r w:rsidRPr="0031675F">
        <w:rPr>
          <w:rFonts w:cs="Calibri"/>
          <w:spacing w:val="26"/>
        </w:rPr>
        <w:t xml:space="preserve"> </w:t>
      </w:r>
      <w:r w:rsidRPr="0031675F">
        <w:rPr>
          <w:rFonts w:cs="Calibri"/>
        </w:rPr>
        <w:t>This</w:t>
      </w:r>
      <w:r w:rsidRPr="0031675F">
        <w:rPr>
          <w:rFonts w:cs="Calibri"/>
          <w:spacing w:val="26"/>
        </w:rPr>
        <w:t xml:space="preserve"> </w:t>
      </w:r>
      <w:r w:rsidRPr="0031675F">
        <w:rPr>
          <w:rFonts w:cs="Calibri"/>
          <w:spacing w:val="-1"/>
        </w:rPr>
        <w:t>can</w:t>
      </w:r>
      <w:r w:rsidRPr="0031675F">
        <w:rPr>
          <w:rFonts w:cs="Calibri"/>
          <w:spacing w:val="26"/>
        </w:rPr>
        <w:t xml:space="preserve"> </w:t>
      </w:r>
      <w:r w:rsidRPr="0031675F">
        <w:rPr>
          <w:rFonts w:cs="Calibri"/>
          <w:spacing w:val="-1"/>
        </w:rPr>
        <w:t>be</w:t>
      </w:r>
      <w:r w:rsidRPr="0031675F">
        <w:rPr>
          <w:rFonts w:cs="Calibri"/>
          <w:spacing w:val="27"/>
        </w:rPr>
        <w:t xml:space="preserve"> </w:t>
      </w:r>
      <w:r w:rsidRPr="0031675F">
        <w:rPr>
          <w:rFonts w:cs="Calibri"/>
          <w:spacing w:val="-1"/>
        </w:rPr>
        <w:t>used</w:t>
      </w:r>
      <w:r w:rsidRPr="0031675F">
        <w:rPr>
          <w:rFonts w:cs="Calibri"/>
          <w:spacing w:val="25"/>
        </w:rPr>
        <w:t xml:space="preserve"> </w:t>
      </w:r>
      <w:r w:rsidRPr="0031675F">
        <w:rPr>
          <w:rFonts w:cs="Calibri"/>
        </w:rPr>
        <w:t>to</w:t>
      </w:r>
      <w:r w:rsidRPr="0031675F">
        <w:rPr>
          <w:rFonts w:cs="Calibri"/>
          <w:spacing w:val="26"/>
        </w:rPr>
        <w:t xml:space="preserve"> </w:t>
      </w:r>
      <w:r w:rsidRPr="0031675F">
        <w:rPr>
          <w:rFonts w:cs="Calibri"/>
          <w:spacing w:val="-1"/>
        </w:rPr>
        <w:t>check</w:t>
      </w:r>
      <w:r w:rsidRPr="0031675F">
        <w:rPr>
          <w:rFonts w:cs="Calibri"/>
          <w:spacing w:val="61"/>
        </w:rPr>
        <w:t xml:space="preserve"> </w:t>
      </w:r>
      <w:r w:rsidRPr="0031675F">
        <w:rPr>
          <w:spacing w:val="-1"/>
        </w:rPr>
        <w:t>whether</w:t>
      </w:r>
      <w:r w:rsidRPr="0031675F">
        <w:rPr>
          <w:spacing w:val="5"/>
        </w:rPr>
        <w:t xml:space="preserve"> </w:t>
      </w:r>
      <w:r w:rsidRPr="0031675F">
        <w:rPr>
          <w:spacing w:val="-1"/>
        </w:rPr>
        <w:t>the</w:t>
      </w:r>
      <w:r w:rsidRPr="0031675F">
        <w:rPr>
          <w:spacing w:val="5"/>
        </w:rPr>
        <w:t xml:space="preserve"> </w:t>
      </w:r>
      <w:r w:rsidRPr="0031675F">
        <w:rPr>
          <w:spacing w:val="-2"/>
        </w:rPr>
        <w:t>maximum</w:t>
      </w:r>
      <w:r w:rsidRPr="0031675F">
        <w:rPr>
          <w:spacing w:val="6"/>
        </w:rPr>
        <w:t xml:space="preserve"> </w:t>
      </w:r>
      <w:r w:rsidRPr="0031675F">
        <w:rPr>
          <w:spacing w:val="-1"/>
        </w:rPr>
        <w:t>fluorescence</w:t>
      </w:r>
      <w:r w:rsidRPr="0031675F">
        <w:rPr>
          <w:spacing w:val="2"/>
        </w:rPr>
        <w:t xml:space="preserve"> </w:t>
      </w:r>
      <w:r w:rsidRPr="0031675F">
        <w:rPr>
          <w:spacing w:val="-1"/>
        </w:rPr>
        <w:t>output</w:t>
      </w:r>
      <w:r w:rsidRPr="0031675F">
        <w:rPr>
          <w:spacing w:val="5"/>
        </w:rPr>
        <w:t xml:space="preserve"> </w:t>
      </w:r>
      <w:r w:rsidRPr="0031675F">
        <w:t>is</w:t>
      </w:r>
      <w:r w:rsidRPr="0031675F">
        <w:rPr>
          <w:spacing w:val="4"/>
        </w:rPr>
        <w:t xml:space="preserve"> </w:t>
      </w:r>
      <w:r w:rsidRPr="0031675F">
        <w:rPr>
          <w:spacing w:val="-1"/>
        </w:rPr>
        <w:t>reading</w:t>
      </w:r>
      <w:r w:rsidRPr="0031675F">
        <w:rPr>
          <w:spacing w:val="4"/>
        </w:rPr>
        <w:t xml:space="preserve"> </w:t>
      </w:r>
      <w:r w:rsidRPr="0031675F">
        <w:t>the</w:t>
      </w:r>
      <w:r w:rsidRPr="0031675F">
        <w:rPr>
          <w:spacing w:val="5"/>
        </w:rPr>
        <w:t xml:space="preserve"> </w:t>
      </w:r>
      <w:r w:rsidRPr="0031675F">
        <w:rPr>
          <w:spacing w:val="-1"/>
        </w:rPr>
        <w:t>same</w:t>
      </w:r>
      <w:r w:rsidRPr="0031675F">
        <w:rPr>
          <w:spacing w:val="5"/>
        </w:rPr>
        <w:t xml:space="preserve"> </w:t>
      </w:r>
      <w:r w:rsidRPr="0031675F">
        <w:rPr>
          <w:spacing w:val="-2"/>
        </w:rPr>
        <w:t>as</w:t>
      </w:r>
      <w:r w:rsidRPr="0031675F">
        <w:rPr>
          <w:spacing w:val="5"/>
        </w:rPr>
        <w:t xml:space="preserve"> </w:t>
      </w:r>
      <w:r w:rsidRPr="0031675F">
        <w:t>the</w:t>
      </w:r>
      <w:r w:rsidRPr="0031675F">
        <w:rPr>
          <w:spacing w:val="5"/>
        </w:rPr>
        <w:t xml:space="preserve"> </w:t>
      </w:r>
      <w:r w:rsidRPr="0031675F">
        <w:rPr>
          <w:spacing w:val="-1"/>
        </w:rPr>
        <w:t>output</w:t>
      </w:r>
      <w:r w:rsidRPr="0031675F">
        <w:rPr>
          <w:spacing w:val="5"/>
        </w:rPr>
        <w:t xml:space="preserve"> </w:t>
      </w:r>
      <w:r w:rsidRPr="0031675F">
        <w:rPr>
          <w:spacing w:val="-1"/>
        </w:rPr>
        <w:t>specified</w:t>
      </w:r>
      <w:r w:rsidRPr="0031675F">
        <w:rPr>
          <w:spacing w:val="4"/>
        </w:rPr>
        <w:t xml:space="preserve"> </w:t>
      </w:r>
      <w:r w:rsidRPr="0031675F">
        <w:t>in</w:t>
      </w:r>
      <w:r w:rsidRPr="0031675F">
        <w:rPr>
          <w:spacing w:val="4"/>
        </w:rPr>
        <w:t xml:space="preserve"> </w:t>
      </w:r>
      <w:r w:rsidRPr="0031675F">
        <w:t>the</w:t>
      </w:r>
      <w:r w:rsidRPr="0031675F">
        <w:rPr>
          <w:spacing w:val="12"/>
        </w:rPr>
        <w:t xml:space="preserve"> </w:t>
      </w:r>
      <w:r w:rsidRPr="0031675F">
        <w:rPr>
          <w:spacing w:val="-1"/>
        </w:rPr>
        <w:t>FLNTU</w:t>
      </w:r>
      <w:r w:rsidRPr="0031675F">
        <w:rPr>
          <w:spacing w:val="56"/>
        </w:rPr>
        <w:t xml:space="preserve"> </w:t>
      </w:r>
      <w:r w:rsidRPr="0031675F">
        <w:rPr>
          <w:spacing w:val="-1"/>
        </w:rPr>
        <w:t>Characterization</w:t>
      </w:r>
      <w:r w:rsidRPr="0031675F">
        <w:rPr>
          <w:spacing w:val="30"/>
        </w:rPr>
        <w:t xml:space="preserve"> </w:t>
      </w:r>
      <w:r w:rsidRPr="0031675F">
        <w:rPr>
          <w:spacing w:val="-1"/>
        </w:rPr>
        <w:t>Sheet</w:t>
      </w:r>
      <w:r w:rsidRPr="0031675F">
        <w:rPr>
          <w:spacing w:val="32"/>
        </w:rPr>
        <w:t xml:space="preserve"> </w:t>
      </w:r>
      <w:r w:rsidRPr="0031675F">
        <w:rPr>
          <w:spacing w:val="-1"/>
        </w:rPr>
        <w:t>for</w:t>
      </w:r>
      <w:r w:rsidRPr="0031675F">
        <w:rPr>
          <w:spacing w:val="29"/>
        </w:rPr>
        <w:t xml:space="preserve"> </w:t>
      </w:r>
      <w:r w:rsidRPr="0031675F">
        <w:t>each</w:t>
      </w:r>
      <w:r w:rsidRPr="0031675F">
        <w:rPr>
          <w:spacing w:val="30"/>
        </w:rPr>
        <w:t xml:space="preserve"> </w:t>
      </w:r>
      <w:r w:rsidRPr="0031675F">
        <w:rPr>
          <w:spacing w:val="-1"/>
        </w:rPr>
        <w:t>logger.</w:t>
      </w:r>
      <w:r w:rsidRPr="0031675F">
        <w:rPr>
          <w:spacing w:val="31"/>
        </w:rPr>
        <w:t xml:space="preserve"> </w:t>
      </w:r>
      <w:r w:rsidRPr="0031675F">
        <w:rPr>
          <w:spacing w:val="-1"/>
        </w:rPr>
        <w:t>See</w:t>
      </w:r>
      <w:r w:rsidRPr="0031675F">
        <w:rPr>
          <w:spacing w:val="32"/>
        </w:rPr>
        <w:t xml:space="preserve"> </w:t>
      </w:r>
      <w:r w:rsidRPr="0031675F">
        <w:rPr>
          <w:spacing w:val="-1"/>
        </w:rPr>
        <w:t>Maximum</w:t>
      </w:r>
      <w:r w:rsidRPr="0031675F">
        <w:rPr>
          <w:spacing w:val="32"/>
        </w:rPr>
        <w:t xml:space="preserve"> </w:t>
      </w:r>
      <w:r w:rsidRPr="0031675F">
        <w:rPr>
          <w:spacing w:val="-1"/>
        </w:rPr>
        <w:t>Output</w:t>
      </w:r>
      <w:r w:rsidRPr="0031675F">
        <w:rPr>
          <w:spacing w:val="35"/>
        </w:rPr>
        <w:t xml:space="preserve"> </w:t>
      </w:r>
      <w:r w:rsidRPr="0031675F">
        <w:t>as</w:t>
      </w:r>
      <w:r w:rsidRPr="0031675F">
        <w:rPr>
          <w:spacing w:val="31"/>
        </w:rPr>
        <w:t xml:space="preserve"> </w:t>
      </w:r>
      <w:r w:rsidRPr="0031675F">
        <w:rPr>
          <w:spacing w:val="-1"/>
        </w:rPr>
        <w:t>Digital</w:t>
      </w:r>
      <w:r w:rsidRPr="0031675F">
        <w:rPr>
          <w:spacing w:val="30"/>
        </w:rPr>
        <w:t xml:space="preserve"> </w:t>
      </w:r>
      <w:r w:rsidRPr="0031675F">
        <w:rPr>
          <w:spacing w:val="-1"/>
        </w:rPr>
        <w:t>counts</w:t>
      </w:r>
      <w:r w:rsidRPr="0031675F">
        <w:rPr>
          <w:spacing w:val="31"/>
        </w:rPr>
        <w:t xml:space="preserve"> </w:t>
      </w:r>
      <w:r w:rsidRPr="0031675F">
        <w:t>in</w:t>
      </w:r>
      <w:r w:rsidRPr="0031675F">
        <w:rPr>
          <w:spacing w:val="30"/>
        </w:rPr>
        <w:t xml:space="preserve"> </w:t>
      </w:r>
      <w:r w:rsidRPr="0031675F">
        <w:t>the</w:t>
      </w:r>
      <w:r w:rsidRPr="0031675F">
        <w:rPr>
          <w:spacing w:val="32"/>
        </w:rPr>
        <w:t xml:space="preserve"> </w:t>
      </w:r>
      <w:r w:rsidRPr="0031675F">
        <w:rPr>
          <w:spacing w:val="-1"/>
        </w:rPr>
        <w:t>Chlorophyll</w:t>
      </w:r>
      <w:r w:rsidRPr="0031675F">
        <w:rPr>
          <w:spacing w:val="81"/>
        </w:rPr>
        <w:t xml:space="preserve"> </w:t>
      </w:r>
      <w:r w:rsidRPr="0031675F">
        <w:rPr>
          <w:spacing w:val="-1"/>
        </w:rPr>
        <w:t>specifications</w:t>
      </w:r>
      <w:r w:rsidRPr="0031675F">
        <w:t xml:space="preserve"> </w:t>
      </w:r>
      <w:r w:rsidRPr="0031675F">
        <w:rPr>
          <w:spacing w:val="-1"/>
        </w:rPr>
        <w:t>(Attachment</w:t>
      </w:r>
      <w:r w:rsidRPr="0031675F">
        <w:rPr>
          <w:spacing w:val="-5"/>
        </w:rPr>
        <w:t xml:space="preserve"> </w:t>
      </w:r>
      <w:r w:rsidRPr="0031675F">
        <w:rPr>
          <w:spacing w:val="-1"/>
        </w:rPr>
        <w:t>11.4).</w:t>
      </w:r>
    </w:p>
    <w:p w14:paraId="4FC38917" w14:textId="77777777" w:rsidR="0031675F" w:rsidRPr="0031675F" w:rsidRDefault="0031675F" w:rsidP="0031675F">
      <w:pPr>
        <w:spacing w:after="120"/>
      </w:pPr>
    </w:p>
    <w:p w14:paraId="1B6F105F" w14:textId="77777777" w:rsidR="0031675F" w:rsidRPr="0031675F" w:rsidRDefault="0031675F" w:rsidP="0031675F">
      <w:pPr>
        <w:ind w:left="118"/>
        <w:jc w:val="both"/>
        <w:rPr>
          <w:rFonts w:cs="Calibri"/>
        </w:rPr>
      </w:pPr>
      <w:r w:rsidRPr="0031675F">
        <w:rPr>
          <w:b/>
          <w:i/>
          <w:spacing w:val="-1"/>
        </w:rPr>
        <w:t>Pre-logging preparation</w:t>
      </w:r>
    </w:p>
    <w:p w14:paraId="0ED3DE43" w14:textId="77777777" w:rsidR="0031675F" w:rsidRPr="0031675F" w:rsidRDefault="0031675F" w:rsidP="0031675F">
      <w:pPr>
        <w:spacing w:before="120" w:after="120"/>
        <w:ind w:right="115"/>
        <w:jc w:val="both"/>
      </w:pPr>
      <w:r w:rsidRPr="0031675F">
        <w:rPr>
          <w:spacing w:val="-1"/>
        </w:rPr>
        <w:t>To measure</w:t>
      </w:r>
      <w:r w:rsidRPr="0031675F">
        <w:t xml:space="preserve"> </w:t>
      </w:r>
      <w:r w:rsidRPr="0031675F">
        <w:rPr>
          <w:spacing w:val="-1"/>
        </w:rPr>
        <w:t>maximum</w:t>
      </w:r>
      <w:r w:rsidRPr="0031675F">
        <w:rPr>
          <w:spacing w:val="3"/>
        </w:rPr>
        <w:t xml:space="preserve"> </w:t>
      </w:r>
      <w:r w:rsidRPr="0031675F">
        <w:rPr>
          <w:spacing w:val="-1"/>
        </w:rPr>
        <w:t>fluorescence</w:t>
      </w:r>
      <w:r w:rsidRPr="0031675F">
        <w:t xml:space="preserve"> the </w:t>
      </w:r>
      <w:r w:rsidRPr="0031675F">
        <w:rPr>
          <w:spacing w:val="-1"/>
        </w:rPr>
        <w:t>external</w:t>
      </w:r>
      <w:r w:rsidRPr="0031675F">
        <w:rPr>
          <w:spacing w:val="2"/>
        </w:rPr>
        <w:t xml:space="preserve"> </w:t>
      </w:r>
      <w:r w:rsidRPr="0031675F">
        <w:rPr>
          <w:spacing w:val="-1"/>
        </w:rPr>
        <w:t>battery</w:t>
      </w:r>
      <w:r w:rsidRPr="0031675F">
        <w:t xml:space="preserve"> </w:t>
      </w:r>
      <w:r w:rsidRPr="0031675F">
        <w:rPr>
          <w:spacing w:val="-1"/>
        </w:rPr>
        <w:t>source</w:t>
      </w:r>
      <w:r w:rsidRPr="0031675F">
        <w:rPr>
          <w:spacing w:val="3"/>
        </w:rPr>
        <w:t xml:space="preserve"> </w:t>
      </w:r>
      <w:r w:rsidRPr="0031675F">
        <w:t xml:space="preserve">is </w:t>
      </w:r>
      <w:r w:rsidRPr="0031675F">
        <w:rPr>
          <w:spacing w:val="-1"/>
        </w:rPr>
        <w:t>used,</w:t>
      </w:r>
      <w:r w:rsidRPr="0031675F">
        <w:rPr>
          <w:spacing w:val="64"/>
        </w:rPr>
        <w:t xml:space="preserve"> </w:t>
      </w:r>
      <w:r w:rsidRPr="0031675F">
        <w:t xml:space="preserve">and the </w:t>
      </w:r>
      <w:r w:rsidRPr="0031675F">
        <w:rPr>
          <w:spacing w:val="-1"/>
        </w:rPr>
        <w:t>bio</w:t>
      </w:r>
      <w:r w:rsidRPr="0031675F">
        <w:rPr>
          <w:spacing w:val="-2"/>
        </w:rPr>
        <w:t xml:space="preserve"> </w:t>
      </w:r>
      <w:r w:rsidRPr="0031675F">
        <w:rPr>
          <w:spacing w:val="-1"/>
        </w:rPr>
        <w:t>wiper</w:t>
      </w:r>
      <w:r w:rsidRPr="0031675F">
        <w:t xml:space="preserve"> </w:t>
      </w:r>
      <w:r w:rsidRPr="0031675F">
        <w:rPr>
          <w:spacing w:val="-2"/>
        </w:rPr>
        <w:t>is</w:t>
      </w:r>
      <w:r w:rsidRPr="0031675F">
        <w:t xml:space="preserve"> </w:t>
      </w:r>
      <w:r w:rsidRPr="0031675F">
        <w:rPr>
          <w:spacing w:val="-1"/>
        </w:rPr>
        <w:t>removed.</w:t>
      </w:r>
    </w:p>
    <w:p w14:paraId="71026A55" w14:textId="77777777" w:rsidR="0031675F" w:rsidRPr="0031675F" w:rsidRDefault="0031675F" w:rsidP="0031675F">
      <w:pPr>
        <w:widowControl w:val="0"/>
        <w:numPr>
          <w:ilvl w:val="3"/>
          <w:numId w:val="74"/>
        </w:numPr>
        <w:tabs>
          <w:tab w:val="left" w:pos="832"/>
        </w:tabs>
        <w:spacing w:before="120" w:after="0" w:line="240" w:lineRule="auto"/>
        <w:ind w:left="831" w:right="120" w:hanging="355"/>
        <w:rPr>
          <w:rFonts w:cs="Calibri"/>
        </w:rPr>
      </w:pPr>
      <w:r w:rsidRPr="0031675F">
        <w:rPr>
          <w:spacing w:val="-1"/>
        </w:rPr>
        <w:t>Setup</w:t>
      </w:r>
      <w:r w:rsidRPr="0031675F">
        <w:rPr>
          <w:spacing w:val="23"/>
        </w:rPr>
        <w:t xml:space="preserve"> </w:t>
      </w:r>
      <w:r w:rsidRPr="0031675F">
        <w:rPr>
          <w:spacing w:val="-1"/>
        </w:rPr>
        <w:t>logger</w:t>
      </w:r>
      <w:r w:rsidRPr="0031675F">
        <w:rPr>
          <w:spacing w:val="22"/>
        </w:rPr>
        <w:t xml:space="preserve"> </w:t>
      </w:r>
      <w:r w:rsidRPr="0031675F">
        <w:t>as</w:t>
      </w:r>
      <w:r w:rsidRPr="0031675F">
        <w:rPr>
          <w:spacing w:val="24"/>
        </w:rPr>
        <w:t xml:space="preserve"> </w:t>
      </w:r>
      <w:r w:rsidRPr="0031675F">
        <w:rPr>
          <w:spacing w:val="-1"/>
        </w:rPr>
        <w:t>per</w:t>
      </w:r>
      <w:r w:rsidRPr="0031675F">
        <w:rPr>
          <w:spacing w:val="22"/>
        </w:rPr>
        <w:t xml:space="preserve"> </w:t>
      </w:r>
      <w:r w:rsidRPr="0031675F">
        <w:rPr>
          <w:spacing w:val="-1"/>
        </w:rPr>
        <w:t>Section</w:t>
      </w:r>
      <w:r w:rsidRPr="0031675F">
        <w:rPr>
          <w:spacing w:val="24"/>
        </w:rPr>
        <w:t xml:space="preserve"> </w:t>
      </w:r>
      <w:r w:rsidRPr="0031675F">
        <w:rPr>
          <w:spacing w:val="-1"/>
        </w:rPr>
        <w:t>11.1</w:t>
      </w:r>
      <w:r w:rsidRPr="0031675F">
        <w:rPr>
          <w:spacing w:val="25"/>
        </w:rPr>
        <w:t xml:space="preserve"> </w:t>
      </w:r>
      <w:r w:rsidRPr="0031675F">
        <w:rPr>
          <w:spacing w:val="-1"/>
        </w:rPr>
        <w:t>and</w:t>
      </w:r>
      <w:r w:rsidRPr="0031675F">
        <w:rPr>
          <w:spacing w:val="23"/>
        </w:rPr>
        <w:t xml:space="preserve"> </w:t>
      </w:r>
      <w:r w:rsidRPr="0031675F">
        <w:rPr>
          <w:spacing w:val="-1"/>
        </w:rPr>
        <w:t>settings</w:t>
      </w:r>
      <w:r w:rsidRPr="0031675F">
        <w:rPr>
          <w:spacing w:val="24"/>
        </w:rPr>
        <w:t xml:space="preserve"> </w:t>
      </w:r>
      <w:r w:rsidRPr="0031675F">
        <w:rPr>
          <w:spacing w:val="-2"/>
        </w:rPr>
        <w:t>as</w:t>
      </w:r>
      <w:r w:rsidRPr="0031675F">
        <w:rPr>
          <w:spacing w:val="24"/>
        </w:rPr>
        <w:t xml:space="preserve"> </w:t>
      </w:r>
      <w:r w:rsidRPr="0031675F">
        <w:rPr>
          <w:spacing w:val="-1"/>
        </w:rPr>
        <w:t>per</w:t>
      </w:r>
      <w:r w:rsidRPr="0031675F">
        <w:rPr>
          <w:spacing w:val="24"/>
        </w:rPr>
        <w:t xml:space="preserve"> </w:t>
      </w:r>
      <w:r w:rsidRPr="0031675F">
        <w:rPr>
          <w:rFonts w:cs="Calibri"/>
          <w:spacing w:val="-1"/>
        </w:rPr>
        <w:t>Section</w:t>
      </w:r>
      <w:r w:rsidRPr="0031675F">
        <w:rPr>
          <w:rFonts w:cs="Calibri"/>
          <w:spacing w:val="23"/>
        </w:rPr>
        <w:t xml:space="preserve"> </w:t>
      </w:r>
      <w:r w:rsidRPr="0031675F">
        <w:rPr>
          <w:rFonts w:cs="Calibri"/>
          <w:spacing w:val="-1"/>
        </w:rPr>
        <w:t>11.1.2</w:t>
      </w:r>
      <w:r w:rsidRPr="0031675F">
        <w:rPr>
          <w:rFonts w:cs="Calibri"/>
          <w:spacing w:val="25"/>
        </w:rPr>
        <w:t xml:space="preserve"> </w:t>
      </w:r>
      <w:r w:rsidRPr="0031675F">
        <w:rPr>
          <w:rFonts w:cs="Calibri"/>
          <w:spacing w:val="-1"/>
        </w:rPr>
        <w:t>‘Settings</w:t>
      </w:r>
      <w:r w:rsidRPr="0031675F">
        <w:rPr>
          <w:rFonts w:cs="Calibri"/>
          <w:spacing w:val="24"/>
        </w:rPr>
        <w:t xml:space="preserve"> </w:t>
      </w:r>
      <w:r w:rsidRPr="0031675F">
        <w:rPr>
          <w:rFonts w:cs="Calibri"/>
          <w:spacing w:val="-1"/>
        </w:rPr>
        <w:t>for</w:t>
      </w:r>
      <w:r w:rsidRPr="0031675F">
        <w:rPr>
          <w:rFonts w:cs="Calibri"/>
          <w:spacing w:val="24"/>
        </w:rPr>
        <w:t xml:space="preserve"> </w:t>
      </w:r>
      <w:r w:rsidRPr="0031675F">
        <w:rPr>
          <w:rFonts w:cs="Calibri"/>
          <w:spacing w:val="-1"/>
        </w:rPr>
        <w:t>laboratory</w:t>
      </w:r>
      <w:r w:rsidRPr="0031675F">
        <w:rPr>
          <w:rFonts w:cs="Calibri"/>
          <w:spacing w:val="65"/>
        </w:rPr>
        <w:t xml:space="preserve"> </w:t>
      </w:r>
      <w:r w:rsidRPr="0031675F">
        <w:rPr>
          <w:rFonts w:cs="Calibri"/>
          <w:spacing w:val="-1"/>
        </w:rPr>
        <w:t>calibration’</w:t>
      </w:r>
    </w:p>
    <w:p w14:paraId="04B62F5A" w14:textId="77777777" w:rsidR="0031675F" w:rsidRPr="0031675F" w:rsidRDefault="0031675F" w:rsidP="0031675F">
      <w:pPr>
        <w:widowControl w:val="0"/>
        <w:numPr>
          <w:ilvl w:val="3"/>
          <w:numId w:val="74"/>
        </w:numPr>
        <w:tabs>
          <w:tab w:val="left" w:pos="832"/>
        </w:tabs>
        <w:spacing w:before="121" w:after="0" w:line="240" w:lineRule="auto"/>
        <w:ind w:left="831" w:hanging="355"/>
      </w:pPr>
      <w:r w:rsidRPr="0031675F">
        <w:t>Stop</w:t>
      </w:r>
      <w:r w:rsidRPr="0031675F">
        <w:rPr>
          <w:spacing w:val="-1"/>
        </w:rPr>
        <w:t xml:space="preserve"> the</w:t>
      </w:r>
      <w:r w:rsidRPr="0031675F">
        <w:rPr>
          <w:spacing w:val="-2"/>
        </w:rPr>
        <w:t xml:space="preserve"> </w:t>
      </w:r>
      <w:r w:rsidRPr="0031675F">
        <w:rPr>
          <w:spacing w:val="-1"/>
        </w:rPr>
        <w:t xml:space="preserve">logger </w:t>
      </w:r>
      <w:r w:rsidRPr="0031675F">
        <w:t>if it</w:t>
      </w:r>
      <w:r w:rsidRPr="0031675F">
        <w:rPr>
          <w:spacing w:val="-3"/>
        </w:rPr>
        <w:t xml:space="preserve"> </w:t>
      </w:r>
      <w:r w:rsidRPr="0031675F">
        <w:t xml:space="preserve">is </w:t>
      </w:r>
      <w:r w:rsidRPr="0031675F">
        <w:rPr>
          <w:spacing w:val="-1"/>
        </w:rPr>
        <w:t>running.</w:t>
      </w:r>
    </w:p>
    <w:p w14:paraId="5C433588" w14:textId="77777777" w:rsidR="0031675F" w:rsidRPr="0031675F" w:rsidRDefault="0031675F" w:rsidP="0031675F">
      <w:pPr>
        <w:widowControl w:val="0"/>
        <w:numPr>
          <w:ilvl w:val="3"/>
          <w:numId w:val="74"/>
        </w:numPr>
        <w:tabs>
          <w:tab w:val="left" w:pos="832"/>
        </w:tabs>
        <w:spacing w:before="118" w:after="0" w:line="240" w:lineRule="auto"/>
        <w:ind w:left="831" w:hanging="355"/>
      </w:pPr>
      <w:r w:rsidRPr="0031675F">
        <w:rPr>
          <w:spacing w:val="-1"/>
        </w:rPr>
        <w:t>Remove</w:t>
      </w:r>
      <w:r w:rsidRPr="0031675F">
        <w:rPr>
          <w:spacing w:val="-2"/>
        </w:rPr>
        <w:t xml:space="preserve"> </w:t>
      </w:r>
      <w:r w:rsidRPr="0031675F">
        <w:t xml:space="preserve">the </w:t>
      </w:r>
      <w:r w:rsidRPr="0031675F">
        <w:rPr>
          <w:spacing w:val="-1"/>
        </w:rPr>
        <w:t>bio-wiper.</w:t>
      </w:r>
    </w:p>
    <w:p w14:paraId="19699832" w14:textId="77777777" w:rsidR="0031675F" w:rsidRPr="0031675F" w:rsidRDefault="0031675F" w:rsidP="0031675F">
      <w:pPr>
        <w:spacing w:before="120"/>
        <w:ind w:left="118" w:right="109"/>
        <w:jc w:val="both"/>
        <w:rPr>
          <w:rFonts w:cs="Calibri"/>
        </w:rPr>
      </w:pPr>
      <w:r w:rsidRPr="0031675F">
        <w:rPr>
          <w:spacing w:val="-1"/>
        </w:rPr>
        <w:t>Remove</w:t>
      </w:r>
      <w:r w:rsidRPr="0031675F">
        <w:rPr>
          <w:spacing w:val="17"/>
        </w:rPr>
        <w:t xml:space="preserve"> </w:t>
      </w:r>
      <w:r w:rsidRPr="0031675F">
        <w:rPr>
          <w:spacing w:val="-1"/>
        </w:rPr>
        <w:t>the</w:t>
      </w:r>
      <w:r w:rsidRPr="0031675F">
        <w:rPr>
          <w:spacing w:val="17"/>
        </w:rPr>
        <w:t xml:space="preserve"> </w:t>
      </w:r>
      <w:r w:rsidRPr="0031675F">
        <w:rPr>
          <w:spacing w:val="-1"/>
        </w:rPr>
        <w:t>bio-wiper</w:t>
      </w:r>
      <w:r w:rsidRPr="0031675F">
        <w:rPr>
          <w:spacing w:val="16"/>
        </w:rPr>
        <w:t xml:space="preserve"> </w:t>
      </w:r>
      <w:r w:rsidRPr="0031675F">
        <w:rPr>
          <w:spacing w:val="-2"/>
        </w:rPr>
        <w:t>with</w:t>
      </w:r>
      <w:r w:rsidRPr="0031675F">
        <w:rPr>
          <w:spacing w:val="16"/>
        </w:rPr>
        <w:t xml:space="preserve"> </w:t>
      </w:r>
      <w:r w:rsidRPr="0031675F">
        <w:t>an</w:t>
      </w:r>
      <w:r w:rsidRPr="0031675F">
        <w:rPr>
          <w:spacing w:val="16"/>
        </w:rPr>
        <w:t xml:space="preserve"> </w:t>
      </w:r>
      <w:r w:rsidRPr="0031675F">
        <w:rPr>
          <w:spacing w:val="-1"/>
        </w:rPr>
        <w:t>allen</w:t>
      </w:r>
      <w:r w:rsidRPr="0031675F">
        <w:rPr>
          <w:spacing w:val="16"/>
        </w:rPr>
        <w:t xml:space="preserve"> </w:t>
      </w:r>
      <w:r w:rsidRPr="0031675F">
        <w:rPr>
          <w:spacing w:val="-1"/>
        </w:rPr>
        <w:t>key.</w:t>
      </w:r>
      <w:r w:rsidRPr="0031675F">
        <w:rPr>
          <w:spacing w:val="16"/>
        </w:rPr>
        <w:t xml:space="preserve"> </w:t>
      </w:r>
      <w:r w:rsidRPr="0031675F">
        <w:rPr>
          <w:spacing w:val="-1"/>
        </w:rPr>
        <w:t>IMPORTANT</w:t>
      </w:r>
      <w:r w:rsidRPr="0031675F">
        <w:rPr>
          <w:spacing w:val="17"/>
        </w:rPr>
        <w:t xml:space="preserve"> </w:t>
      </w:r>
      <w:r w:rsidRPr="0031675F">
        <w:t>the</w:t>
      </w:r>
      <w:r w:rsidRPr="0031675F">
        <w:rPr>
          <w:spacing w:val="17"/>
        </w:rPr>
        <w:t xml:space="preserve"> </w:t>
      </w:r>
      <w:r w:rsidRPr="0031675F">
        <w:rPr>
          <w:spacing w:val="-1"/>
        </w:rPr>
        <w:t>logger</w:t>
      </w:r>
      <w:r w:rsidRPr="0031675F">
        <w:rPr>
          <w:spacing w:val="14"/>
        </w:rPr>
        <w:t xml:space="preserve"> </w:t>
      </w:r>
      <w:r w:rsidRPr="0031675F">
        <w:rPr>
          <w:spacing w:val="-1"/>
        </w:rPr>
        <w:t>must</w:t>
      </w:r>
      <w:r w:rsidRPr="0031675F">
        <w:rPr>
          <w:spacing w:val="17"/>
        </w:rPr>
        <w:t xml:space="preserve"> </w:t>
      </w:r>
      <w:r w:rsidRPr="0031675F">
        <w:rPr>
          <w:spacing w:val="-1"/>
        </w:rPr>
        <w:t>not</w:t>
      </w:r>
      <w:r w:rsidRPr="0031675F">
        <w:rPr>
          <w:spacing w:val="17"/>
        </w:rPr>
        <w:t xml:space="preserve"> </w:t>
      </w:r>
      <w:r w:rsidRPr="0031675F">
        <w:rPr>
          <w:spacing w:val="-1"/>
        </w:rPr>
        <w:t>be</w:t>
      </w:r>
      <w:r w:rsidRPr="0031675F">
        <w:rPr>
          <w:spacing w:val="17"/>
        </w:rPr>
        <w:t xml:space="preserve"> </w:t>
      </w:r>
      <w:r w:rsidRPr="0031675F">
        <w:rPr>
          <w:spacing w:val="-2"/>
        </w:rPr>
        <w:t>running</w:t>
      </w:r>
      <w:r w:rsidRPr="0031675F">
        <w:rPr>
          <w:spacing w:val="16"/>
        </w:rPr>
        <w:t xml:space="preserve"> </w:t>
      </w:r>
      <w:r w:rsidRPr="0031675F">
        <w:t>when</w:t>
      </w:r>
      <w:r w:rsidRPr="0031675F">
        <w:rPr>
          <w:spacing w:val="16"/>
        </w:rPr>
        <w:t xml:space="preserve"> </w:t>
      </w:r>
      <w:r w:rsidRPr="0031675F">
        <w:t>you</w:t>
      </w:r>
      <w:r w:rsidRPr="0031675F">
        <w:rPr>
          <w:spacing w:val="16"/>
        </w:rPr>
        <w:t xml:space="preserve"> </w:t>
      </w:r>
      <w:r w:rsidRPr="0031675F">
        <w:rPr>
          <w:spacing w:val="-2"/>
        </w:rPr>
        <w:t>do</w:t>
      </w:r>
      <w:r w:rsidRPr="0031675F">
        <w:rPr>
          <w:spacing w:val="63"/>
        </w:rPr>
        <w:t xml:space="preserve"> </w:t>
      </w:r>
      <w:r w:rsidRPr="0031675F">
        <w:rPr>
          <w:spacing w:val="-1"/>
        </w:rPr>
        <w:t>this.</w:t>
      </w:r>
      <w:r w:rsidRPr="0031675F">
        <w:rPr>
          <w:spacing w:val="12"/>
        </w:rPr>
        <w:t xml:space="preserve"> </w:t>
      </w:r>
      <w:r w:rsidRPr="0031675F">
        <w:rPr>
          <w:b/>
          <w:color w:val="FF0000"/>
          <w:spacing w:val="-1"/>
        </w:rPr>
        <w:t>Note,</w:t>
      </w:r>
      <w:r w:rsidRPr="0031675F">
        <w:rPr>
          <w:b/>
          <w:color w:val="FF0000"/>
          <w:spacing w:val="12"/>
        </w:rPr>
        <w:t xml:space="preserve"> </w:t>
      </w:r>
      <w:r w:rsidRPr="0031675F">
        <w:rPr>
          <w:b/>
          <w:color w:val="FF0000"/>
          <w:spacing w:val="-1"/>
        </w:rPr>
        <w:t>manually</w:t>
      </w:r>
      <w:r w:rsidRPr="0031675F">
        <w:rPr>
          <w:b/>
          <w:color w:val="FF0000"/>
          <w:spacing w:val="13"/>
        </w:rPr>
        <w:t xml:space="preserve"> </w:t>
      </w:r>
      <w:r w:rsidRPr="0031675F">
        <w:rPr>
          <w:b/>
          <w:color w:val="FF0000"/>
          <w:spacing w:val="-1"/>
        </w:rPr>
        <w:t>turning</w:t>
      </w:r>
      <w:r w:rsidRPr="0031675F">
        <w:rPr>
          <w:b/>
          <w:color w:val="FF0000"/>
          <w:spacing w:val="13"/>
        </w:rPr>
        <w:t xml:space="preserve"> </w:t>
      </w:r>
      <w:r w:rsidRPr="0031675F">
        <w:rPr>
          <w:b/>
          <w:color w:val="FF0000"/>
          <w:spacing w:val="-1"/>
        </w:rPr>
        <w:t>the</w:t>
      </w:r>
      <w:r w:rsidRPr="0031675F">
        <w:rPr>
          <w:b/>
          <w:color w:val="FF0000"/>
          <w:spacing w:val="11"/>
        </w:rPr>
        <w:t xml:space="preserve"> </w:t>
      </w:r>
      <w:r w:rsidRPr="0031675F">
        <w:rPr>
          <w:b/>
          <w:color w:val="FF0000"/>
          <w:spacing w:val="-1"/>
        </w:rPr>
        <w:t>motor</w:t>
      </w:r>
      <w:r w:rsidRPr="0031675F">
        <w:rPr>
          <w:b/>
          <w:color w:val="FF0000"/>
          <w:spacing w:val="13"/>
        </w:rPr>
        <w:t xml:space="preserve"> </w:t>
      </w:r>
      <w:r w:rsidRPr="0031675F">
        <w:rPr>
          <w:b/>
          <w:color w:val="FF0000"/>
          <w:spacing w:val="-1"/>
        </w:rPr>
        <w:t>shaft</w:t>
      </w:r>
      <w:r w:rsidRPr="0031675F">
        <w:rPr>
          <w:b/>
          <w:color w:val="FF0000"/>
          <w:spacing w:val="12"/>
        </w:rPr>
        <w:t xml:space="preserve"> </w:t>
      </w:r>
      <w:r w:rsidRPr="0031675F">
        <w:rPr>
          <w:b/>
          <w:color w:val="FF0000"/>
          <w:spacing w:val="-1"/>
        </w:rPr>
        <w:t>can</w:t>
      </w:r>
      <w:r w:rsidRPr="0031675F">
        <w:rPr>
          <w:b/>
          <w:color w:val="FF0000"/>
          <w:spacing w:val="11"/>
        </w:rPr>
        <w:t xml:space="preserve"> </w:t>
      </w:r>
      <w:r w:rsidRPr="0031675F">
        <w:rPr>
          <w:b/>
          <w:color w:val="FF0000"/>
          <w:spacing w:val="-1"/>
        </w:rPr>
        <w:t>damage</w:t>
      </w:r>
      <w:r w:rsidRPr="0031675F">
        <w:rPr>
          <w:b/>
          <w:color w:val="FF0000"/>
          <w:spacing w:val="12"/>
        </w:rPr>
        <w:t xml:space="preserve"> </w:t>
      </w:r>
      <w:r w:rsidRPr="0031675F">
        <w:rPr>
          <w:b/>
          <w:color w:val="FF0000"/>
          <w:spacing w:val="-1"/>
        </w:rPr>
        <w:t>the</w:t>
      </w:r>
      <w:r w:rsidRPr="0031675F">
        <w:rPr>
          <w:b/>
          <w:color w:val="FF0000"/>
          <w:spacing w:val="11"/>
        </w:rPr>
        <w:t xml:space="preserve"> </w:t>
      </w:r>
      <w:r w:rsidRPr="0031675F">
        <w:rPr>
          <w:b/>
          <w:color w:val="FF0000"/>
          <w:spacing w:val="-1"/>
        </w:rPr>
        <w:t>wiper</w:t>
      </w:r>
      <w:r w:rsidRPr="0031675F">
        <w:rPr>
          <w:b/>
          <w:color w:val="FF0000"/>
          <w:spacing w:val="13"/>
        </w:rPr>
        <w:t xml:space="preserve"> </w:t>
      </w:r>
      <w:r w:rsidRPr="0031675F">
        <w:rPr>
          <w:b/>
          <w:color w:val="FF0000"/>
          <w:spacing w:val="-1"/>
        </w:rPr>
        <w:t>motor</w:t>
      </w:r>
      <w:r w:rsidRPr="0031675F">
        <w:rPr>
          <w:b/>
          <w:color w:val="FF0000"/>
          <w:spacing w:val="13"/>
        </w:rPr>
        <w:t xml:space="preserve"> </w:t>
      </w:r>
      <w:r w:rsidRPr="0031675F">
        <w:rPr>
          <w:b/>
          <w:color w:val="FF0000"/>
          <w:spacing w:val="-1"/>
        </w:rPr>
        <w:t>and</w:t>
      </w:r>
      <w:r w:rsidRPr="0031675F">
        <w:rPr>
          <w:b/>
          <w:color w:val="FF0000"/>
          <w:spacing w:val="11"/>
        </w:rPr>
        <w:t xml:space="preserve"> </w:t>
      </w:r>
      <w:r w:rsidRPr="0031675F">
        <w:rPr>
          <w:b/>
          <w:color w:val="FF0000"/>
          <w:spacing w:val="-1"/>
        </w:rPr>
        <w:t>void</w:t>
      </w:r>
      <w:r w:rsidRPr="0031675F">
        <w:rPr>
          <w:b/>
          <w:color w:val="FF0000"/>
          <w:spacing w:val="11"/>
        </w:rPr>
        <w:t xml:space="preserve"> </w:t>
      </w:r>
      <w:r w:rsidRPr="0031675F">
        <w:rPr>
          <w:b/>
          <w:color w:val="FF0000"/>
          <w:spacing w:val="-1"/>
        </w:rPr>
        <w:t>the</w:t>
      </w:r>
      <w:r w:rsidRPr="0031675F">
        <w:rPr>
          <w:b/>
          <w:color w:val="FF0000"/>
          <w:spacing w:val="11"/>
        </w:rPr>
        <w:t xml:space="preserve"> </w:t>
      </w:r>
      <w:r w:rsidRPr="0031675F">
        <w:rPr>
          <w:b/>
          <w:color w:val="FF0000"/>
        </w:rPr>
        <w:t>warranty</w:t>
      </w:r>
      <w:r w:rsidRPr="0031675F">
        <w:rPr>
          <w:color w:val="FF0000"/>
        </w:rPr>
        <w:t>.</w:t>
      </w:r>
      <w:r w:rsidRPr="0031675F">
        <w:rPr>
          <w:color w:val="FF0000"/>
          <w:spacing w:val="75"/>
        </w:rPr>
        <w:t xml:space="preserve"> </w:t>
      </w:r>
      <w:r w:rsidRPr="0031675F">
        <w:rPr>
          <w:spacing w:val="-1"/>
        </w:rPr>
        <w:t>(See</w:t>
      </w:r>
      <w:r w:rsidRPr="0031675F">
        <w:rPr>
          <w:spacing w:val="1"/>
        </w:rPr>
        <w:t xml:space="preserve"> </w:t>
      </w:r>
      <w:r w:rsidRPr="0031675F">
        <w:rPr>
          <w:spacing w:val="-1"/>
        </w:rPr>
        <w:t>Attachment</w:t>
      </w:r>
      <w:r w:rsidRPr="0031675F">
        <w:rPr>
          <w:spacing w:val="-2"/>
        </w:rPr>
        <w:t xml:space="preserve"> </w:t>
      </w:r>
      <w:r w:rsidRPr="0031675F">
        <w:rPr>
          <w:spacing w:val="-1"/>
        </w:rPr>
        <w:t>11.2.1</w:t>
      </w:r>
      <w:r w:rsidRPr="0031675F">
        <w:rPr>
          <w:spacing w:val="-2"/>
        </w:rPr>
        <w:t xml:space="preserve"> </w:t>
      </w:r>
      <w:r w:rsidRPr="0031675F">
        <w:t xml:space="preserve">and </w:t>
      </w:r>
      <w:r w:rsidRPr="0031675F">
        <w:rPr>
          <w:spacing w:val="-1"/>
        </w:rPr>
        <w:t>11.2.2</w:t>
      </w:r>
      <w:r w:rsidRPr="0031675F">
        <w:rPr>
          <w:spacing w:val="-2"/>
        </w:rPr>
        <w:t xml:space="preserve"> </w:t>
      </w:r>
      <w:r w:rsidRPr="0031675F">
        <w:rPr>
          <w:spacing w:val="-1"/>
        </w:rPr>
        <w:t>WET Labs</w:t>
      </w:r>
      <w:r w:rsidRPr="0031675F">
        <w:t xml:space="preserve"> </w:t>
      </w:r>
      <w:r w:rsidRPr="0031675F">
        <w:rPr>
          <w:spacing w:val="-1"/>
        </w:rPr>
        <w:t>technical</w:t>
      </w:r>
      <w:r w:rsidRPr="0031675F">
        <w:rPr>
          <w:spacing w:val="-3"/>
        </w:rPr>
        <w:t xml:space="preserve"> </w:t>
      </w:r>
      <w:r w:rsidRPr="0031675F">
        <w:rPr>
          <w:spacing w:val="-1"/>
        </w:rPr>
        <w:t>notes)</w:t>
      </w:r>
    </w:p>
    <w:p w14:paraId="03007E53" w14:textId="77777777" w:rsidR="0031675F" w:rsidRPr="0031675F" w:rsidRDefault="0031675F" w:rsidP="0031675F">
      <w:pPr>
        <w:rPr>
          <w:rFonts w:cs="Calibri"/>
        </w:rPr>
      </w:pPr>
    </w:p>
    <w:p w14:paraId="44FAE68E" w14:textId="77777777" w:rsidR="0031675F" w:rsidRPr="0031675F" w:rsidRDefault="0031675F" w:rsidP="0031675F">
      <w:pPr>
        <w:ind w:left="118"/>
        <w:jc w:val="both"/>
        <w:rPr>
          <w:rFonts w:cs="Calibri"/>
        </w:rPr>
      </w:pPr>
      <w:r w:rsidRPr="0031675F">
        <w:rPr>
          <w:b/>
          <w:i/>
          <w:spacing w:val="-1"/>
        </w:rPr>
        <w:t>Logging</w:t>
      </w:r>
    </w:p>
    <w:p w14:paraId="686BBC76" w14:textId="77777777" w:rsidR="0031675F" w:rsidRPr="0031675F" w:rsidRDefault="0031675F" w:rsidP="0031675F">
      <w:pPr>
        <w:spacing w:before="120" w:after="120"/>
        <w:jc w:val="both"/>
      </w:pPr>
      <w:r w:rsidRPr="0031675F">
        <w:rPr>
          <w:spacing w:val="-1"/>
        </w:rPr>
        <w:t xml:space="preserve">Run the </w:t>
      </w:r>
      <w:r w:rsidRPr="0031675F">
        <w:rPr>
          <w:spacing w:val="-2"/>
        </w:rPr>
        <w:t>logger</w:t>
      </w:r>
      <w:r w:rsidRPr="0031675F">
        <w:t xml:space="preserve"> in</w:t>
      </w:r>
      <w:r w:rsidRPr="0031675F">
        <w:rPr>
          <w:spacing w:val="-1"/>
        </w:rPr>
        <w:t xml:space="preserve"> ambient light.</w:t>
      </w:r>
    </w:p>
    <w:p w14:paraId="0829FAC6" w14:textId="77777777" w:rsidR="0031675F" w:rsidRPr="0031675F" w:rsidRDefault="0031675F" w:rsidP="0031675F">
      <w:pPr>
        <w:widowControl w:val="0"/>
        <w:numPr>
          <w:ilvl w:val="3"/>
          <w:numId w:val="74"/>
        </w:numPr>
        <w:tabs>
          <w:tab w:val="left" w:pos="832"/>
        </w:tabs>
        <w:spacing w:before="122" w:after="0" w:line="240" w:lineRule="auto"/>
        <w:ind w:left="831" w:hanging="355"/>
      </w:pPr>
      <w:r w:rsidRPr="0031675F">
        <w:rPr>
          <w:spacing w:val="-1"/>
        </w:rPr>
        <w:t>Click</w:t>
      </w:r>
      <w:r w:rsidRPr="0031675F">
        <w:t xml:space="preserve"> </w:t>
      </w:r>
      <w:r w:rsidRPr="0031675F">
        <w:rPr>
          <w:spacing w:val="-21"/>
        </w:rPr>
        <w:t xml:space="preserve"> </w:t>
      </w:r>
      <w:r w:rsidRPr="0031675F">
        <w:rPr>
          <w:noProof/>
          <w:spacing w:val="-21"/>
          <w:lang w:eastAsia="en-AU"/>
        </w:rPr>
        <w:drawing>
          <wp:inline distT="0" distB="0" distL="0" distR="0" wp14:anchorId="5F3C5F78" wp14:editId="3FF04BAE">
            <wp:extent cx="1133475" cy="333375"/>
            <wp:effectExtent l="0" t="0" r="9525" b="9525"/>
            <wp:docPr id="17790" name="image38.png" descr="Screen shot of 'Start data'."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8.png"/>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1133475" cy="333375"/>
                    </a:xfrm>
                    <a:prstGeom prst="rect">
                      <a:avLst/>
                    </a:prstGeom>
                    <a:noFill/>
                    <a:ln>
                      <a:noFill/>
                    </a:ln>
                  </pic:spPr>
                </pic:pic>
              </a:graphicData>
            </a:graphic>
          </wp:inline>
        </w:drawing>
      </w:r>
    </w:p>
    <w:p w14:paraId="4D8633BA" w14:textId="77777777" w:rsidR="0031675F" w:rsidRPr="0031675F" w:rsidRDefault="0031675F" w:rsidP="0031675F">
      <w:pPr>
        <w:widowControl w:val="0"/>
        <w:numPr>
          <w:ilvl w:val="3"/>
          <w:numId w:val="74"/>
        </w:numPr>
        <w:tabs>
          <w:tab w:val="left" w:pos="832"/>
        </w:tabs>
        <w:spacing w:before="118" w:after="0" w:line="240" w:lineRule="auto"/>
        <w:ind w:left="831" w:hanging="355"/>
        <w:rPr>
          <w:rFonts w:cs="Calibri"/>
        </w:rPr>
      </w:pPr>
      <w:r w:rsidRPr="0031675F">
        <w:rPr>
          <w:rFonts w:cs="Calibri"/>
          <w:spacing w:val="-1"/>
        </w:rPr>
        <w:t>View</w:t>
      </w:r>
      <w:r w:rsidRPr="0031675F">
        <w:rPr>
          <w:rFonts w:cs="Calibri"/>
        </w:rPr>
        <w:t xml:space="preserve"> </w:t>
      </w:r>
      <w:r w:rsidRPr="0031675F">
        <w:rPr>
          <w:rFonts w:cs="Calibri"/>
          <w:spacing w:val="-1"/>
        </w:rPr>
        <w:t>‘Raw</w:t>
      </w:r>
      <w:r w:rsidRPr="0031675F">
        <w:rPr>
          <w:rFonts w:cs="Calibri"/>
        </w:rPr>
        <w:t xml:space="preserve"> </w:t>
      </w:r>
      <w:r w:rsidRPr="0031675F">
        <w:rPr>
          <w:rFonts w:cs="Calibri"/>
          <w:spacing w:val="-1"/>
        </w:rPr>
        <w:t>data’</w:t>
      </w:r>
      <w:r w:rsidRPr="0031675F">
        <w:rPr>
          <w:rFonts w:cs="Calibri"/>
          <w:spacing w:val="-2"/>
        </w:rPr>
        <w:t xml:space="preserve"> </w:t>
      </w:r>
      <w:r w:rsidRPr="0031675F">
        <w:rPr>
          <w:rFonts w:cs="Calibri"/>
        </w:rPr>
        <w:t>menu</w:t>
      </w:r>
      <w:r w:rsidRPr="0031675F">
        <w:rPr>
          <w:rFonts w:cs="Calibri"/>
          <w:spacing w:val="-1"/>
        </w:rPr>
        <w:t xml:space="preserve"> tab:</w:t>
      </w:r>
    </w:p>
    <w:p w14:paraId="307B5072" w14:textId="77777777" w:rsidR="0031675F" w:rsidRPr="0031675F" w:rsidRDefault="0031675F" w:rsidP="0031675F">
      <w:pPr>
        <w:tabs>
          <w:tab w:val="left" w:pos="832"/>
        </w:tabs>
        <w:spacing w:before="118" w:after="120"/>
        <w:rPr>
          <w:rFonts w:cs="Calibri"/>
        </w:rPr>
      </w:pPr>
      <w:r w:rsidRPr="0031675F">
        <w:rPr>
          <w:rFonts w:cs="Calibri"/>
          <w:noProof/>
          <w:sz w:val="20"/>
          <w:szCs w:val="20"/>
          <w:lang w:eastAsia="en-AU"/>
        </w:rPr>
        <w:drawing>
          <wp:inline distT="0" distB="0" distL="0" distR="0" wp14:anchorId="42F9C62D" wp14:editId="754041F6">
            <wp:extent cx="5200650" cy="3971925"/>
            <wp:effectExtent l="0" t="0" r="0" b="9525"/>
            <wp:docPr id="17791" name="image42.png" descr="Screen shot of ‘Raw data’ menu tab.&#10;"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2.png"/>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5200650" cy="3971925"/>
                    </a:xfrm>
                    <a:prstGeom prst="rect">
                      <a:avLst/>
                    </a:prstGeom>
                    <a:noFill/>
                    <a:ln>
                      <a:noFill/>
                    </a:ln>
                  </pic:spPr>
                </pic:pic>
              </a:graphicData>
            </a:graphic>
          </wp:inline>
        </w:drawing>
      </w:r>
    </w:p>
    <w:p w14:paraId="05C9F225" w14:textId="77777777" w:rsidR="0031675F" w:rsidRPr="0031675F" w:rsidRDefault="0031675F" w:rsidP="0031675F">
      <w:pPr>
        <w:tabs>
          <w:tab w:val="left" w:pos="832"/>
        </w:tabs>
        <w:spacing w:before="118" w:after="120"/>
        <w:rPr>
          <w:rFonts w:cs="Calibri"/>
        </w:rPr>
      </w:pPr>
    </w:p>
    <w:p w14:paraId="1217438E" w14:textId="77777777" w:rsidR="0031675F" w:rsidRPr="0031675F" w:rsidRDefault="0031675F" w:rsidP="0031675F">
      <w:pPr>
        <w:widowControl w:val="0"/>
        <w:numPr>
          <w:ilvl w:val="3"/>
          <w:numId w:val="74"/>
        </w:numPr>
        <w:tabs>
          <w:tab w:val="left" w:pos="839"/>
        </w:tabs>
        <w:spacing w:before="60" w:after="0" w:line="240" w:lineRule="auto"/>
        <w:ind w:left="838" w:right="120"/>
      </w:pPr>
      <w:r w:rsidRPr="0031675F">
        <w:t>Hold</w:t>
      </w:r>
      <w:r w:rsidRPr="0031675F">
        <w:rPr>
          <w:spacing w:val="8"/>
        </w:rPr>
        <w:t xml:space="preserve"> </w:t>
      </w:r>
      <w:r w:rsidRPr="0031675F">
        <w:t>the</w:t>
      </w:r>
      <w:r w:rsidRPr="0031675F">
        <w:rPr>
          <w:spacing w:val="10"/>
        </w:rPr>
        <w:t xml:space="preserve"> </w:t>
      </w:r>
      <w:r w:rsidRPr="0031675F">
        <w:rPr>
          <w:spacing w:val="-1"/>
        </w:rPr>
        <w:t>fluorescent</w:t>
      </w:r>
      <w:r w:rsidRPr="0031675F">
        <w:rPr>
          <w:spacing w:val="10"/>
        </w:rPr>
        <w:t xml:space="preserve"> </w:t>
      </w:r>
      <w:r w:rsidRPr="0031675F">
        <w:rPr>
          <w:spacing w:val="-1"/>
        </w:rPr>
        <w:t>stick</w:t>
      </w:r>
      <w:r w:rsidRPr="0031675F">
        <w:rPr>
          <w:spacing w:val="8"/>
        </w:rPr>
        <w:t xml:space="preserve"> </w:t>
      </w:r>
      <w:r w:rsidRPr="0031675F">
        <w:rPr>
          <w:spacing w:val="-1"/>
        </w:rPr>
        <w:t>approx</w:t>
      </w:r>
      <w:r w:rsidRPr="0031675F">
        <w:rPr>
          <w:spacing w:val="10"/>
        </w:rPr>
        <w:t xml:space="preserve"> </w:t>
      </w:r>
      <w:r w:rsidRPr="0031675F">
        <w:t>1</w:t>
      </w:r>
      <w:r w:rsidRPr="0031675F">
        <w:rPr>
          <w:spacing w:val="10"/>
        </w:rPr>
        <w:t xml:space="preserve"> </w:t>
      </w:r>
      <w:r w:rsidRPr="0031675F">
        <w:rPr>
          <w:spacing w:val="-2"/>
        </w:rPr>
        <w:t>cm</w:t>
      </w:r>
      <w:r w:rsidRPr="0031675F">
        <w:rPr>
          <w:spacing w:val="11"/>
        </w:rPr>
        <w:t xml:space="preserve"> </w:t>
      </w:r>
      <w:r w:rsidRPr="0031675F">
        <w:rPr>
          <w:spacing w:val="-1"/>
        </w:rPr>
        <w:t>from</w:t>
      </w:r>
      <w:r w:rsidRPr="0031675F">
        <w:rPr>
          <w:spacing w:val="11"/>
        </w:rPr>
        <w:t xml:space="preserve"> </w:t>
      </w:r>
      <w:r w:rsidRPr="0031675F">
        <w:rPr>
          <w:spacing w:val="-1"/>
        </w:rPr>
        <w:t>the</w:t>
      </w:r>
      <w:r w:rsidRPr="0031675F">
        <w:rPr>
          <w:spacing w:val="10"/>
        </w:rPr>
        <w:t xml:space="preserve"> </w:t>
      </w:r>
      <w:r w:rsidRPr="0031675F">
        <w:rPr>
          <w:spacing w:val="-1"/>
        </w:rPr>
        <w:t>optical</w:t>
      </w:r>
      <w:r w:rsidRPr="0031675F">
        <w:rPr>
          <w:spacing w:val="9"/>
        </w:rPr>
        <w:t xml:space="preserve"> </w:t>
      </w:r>
      <w:r w:rsidRPr="0031675F">
        <w:t>port,</w:t>
      </w:r>
      <w:r w:rsidRPr="0031675F">
        <w:rPr>
          <w:spacing w:val="10"/>
        </w:rPr>
        <w:t xml:space="preserve"> </w:t>
      </w:r>
      <w:r w:rsidRPr="0031675F">
        <w:t>in</w:t>
      </w:r>
      <w:r w:rsidRPr="0031675F">
        <w:rPr>
          <w:spacing w:val="8"/>
        </w:rPr>
        <w:t xml:space="preserve"> </w:t>
      </w:r>
      <w:r w:rsidRPr="0031675F">
        <w:t>the</w:t>
      </w:r>
      <w:r w:rsidRPr="0031675F">
        <w:rPr>
          <w:spacing w:val="10"/>
        </w:rPr>
        <w:t xml:space="preserve"> </w:t>
      </w:r>
      <w:r w:rsidRPr="0031675F">
        <w:t>air</w:t>
      </w:r>
      <w:r w:rsidRPr="0031675F">
        <w:rPr>
          <w:spacing w:val="9"/>
        </w:rPr>
        <w:t xml:space="preserve"> </w:t>
      </w:r>
      <w:r w:rsidRPr="0031675F">
        <w:rPr>
          <w:spacing w:val="-1"/>
        </w:rPr>
        <w:t>parallel</w:t>
      </w:r>
      <w:r w:rsidRPr="0031675F">
        <w:rPr>
          <w:spacing w:val="7"/>
        </w:rPr>
        <w:t xml:space="preserve"> </w:t>
      </w:r>
      <w:r w:rsidRPr="0031675F">
        <w:t>to</w:t>
      </w:r>
      <w:r w:rsidRPr="0031675F">
        <w:rPr>
          <w:spacing w:val="11"/>
        </w:rPr>
        <w:t xml:space="preserve"> </w:t>
      </w:r>
      <w:r w:rsidRPr="0031675F">
        <w:t>the</w:t>
      </w:r>
      <w:r w:rsidRPr="0031675F">
        <w:rPr>
          <w:spacing w:val="10"/>
        </w:rPr>
        <w:t xml:space="preserve"> </w:t>
      </w:r>
      <w:r w:rsidRPr="0031675F">
        <w:rPr>
          <w:spacing w:val="-1"/>
        </w:rPr>
        <w:t>logger</w:t>
      </w:r>
      <w:r w:rsidRPr="0031675F">
        <w:rPr>
          <w:spacing w:val="49"/>
        </w:rPr>
        <w:t xml:space="preserve"> </w:t>
      </w:r>
      <w:r w:rsidRPr="0031675F">
        <w:t>optics</w:t>
      </w:r>
      <w:r w:rsidRPr="0031675F">
        <w:rPr>
          <w:spacing w:val="1"/>
        </w:rPr>
        <w:t xml:space="preserve"> </w:t>
      </w:r>
      <w:r w:rsidRPr="0031675F">
        <w:rPr>
          <w:spacing w:val="-2"/>
        </w:rPr>
        <w:t>as</w:t>
      </w:r>
      <w:r w:rsidRPr="0031675F">
        <w:t xml:space="preserve"> </w:t>
      </w:r>
      <w:r w:rsidRPr="0031675F">
        <w:rPr>
          <w:spacing w:val="-1"/>
        </w:rPr>
        <w:t>per</w:t>
      </w:r>
      <w:r w:rsidRPr="0031675F">
        <w:rPr>
          <w:spacing w:val="-2"/>
        </w:rPr>
        <w:t xml:space="preserve"> </w:t>
      </w:r>
      <w:r w:rsidRPr="0031675F">
        <w:t>the</w:t>
      </w:r>
      <w:r w:rsidRPr="0031675F">
        <w:rPr>
          <w:spacing w:val="-2"/>
        </w:rPr>
        <w:t xml:space="preserve"> </w:t>
      </w:r>
      <w:r w:rsidRPr="0031675F">
        <w:rPr>
          <w:spacing w:val="-1"/>
        </w:rPr>
        <w:t>Wet Labs</w:t>
      </w:r>
      <w:r w:rsidRPr="0031675F">
        <w:rPr>
          <w:spacing w:val="-3"/>
        </w:rPr>
        <w:t xml:space="preserve"> </w:t>
      </w:r>
      <w:r w:rsidRPr="0031675F">
        <w:rPr>
          <w:spacing w:val="-1"/>
        </w:rPr>
        <w:t>information</w:t>
      </w:r>
      <w:r w:rsidRPr="0031675F">
        <w:rPr>
          <w:spacing w:val="-3"/>
        </w:rPr>
        <w:t xml:space="preserve"> </w:t>
      </w:r>
      <w:r w:rsidRPr="0031675F">
        <w:rPr>
          <w:spacing w:val="-1"/>
        </w:rPr>
        <w:t>sheet</w:t>
      </w:r>
      <w:r w:rsidRPr="0031675F">
        <w:rPr>
          <w:spacing w:val="-2"/>
        </w:rPr>
        <w:t xml:space="preserve"> </w:t>
      </w:r>
      <w:r w:rsidRPr="0031675F">
        <w:rPr>
          <w:spacing w:val="-1"/>
        </w:rPr>
        <w:t>below.</w:t>
      </w:r>
    </w:p>
    <w:p w14:paraId="21876A91" w14:textId="77777777" w:rsidR="0031675F" w:rsidRPr="0031675F" w:rsidRDefault="0031675F" w:rsidP="0031675F">
      <w:pPr>
        <w:spacing w:before="115" w:after="120" w:line="268" w:lineRule="exact"/>
        <w:ind w:right="119"/>
      </w:pPr>
      <w:r w:rsidRPr="0031675F">
        <w:t>When</w:t>
      </w:r>
      <w:r w:rsidRPr="0031675F">
        <w:rPr>
          <w:spacing w:val="4"/>
        </w:rPr>
        <w:t xml:space="preserve"> </w:t>
      </w:r>
      <w:r w:rsidRPr="0031675F">
        <w:t>it</w:t>
      </w:r>
      <w:r w:rsidRPr="0031675F">
        <w:rPr>
          <w:spacing w:val="2"/>
        </w:rPr>
        <w:t xml:space="preserve"> </w:t>
      </w:r>
      <w:r w:rsidRPr="0031675F">
        <w:t>is</w:t>
      </w:r>
      <w:r w:rsidRPr="0031675F">
        <w:rPr>
          <w:spacing w:val="4"/>
        </w:rPr>
        <w:t xml:space="preserve"> </w:t>
      </w:r>
      <w:r w:rsidRPr="0031675F">
        <w:rPr>
          <w:spacing w:val="-1"/>
        </w:rPr>
        <w:t>apparent</w:t>
      </w:r>
      <w:r w:rsidRPr="0031675F">
        <w:rPr>
          <w:spacing w:val="2"/>
        </w:rPr>
        <w:t xml:space="preserve"> </w:t>
      </w:r>
      <w:r w:rsidRPr="0031675F">
        <w:t>that</w:t>
      </w:r>
      <w:r w:rsidRPr="0031675F">
        <w:rPr>
          <w:spacing w:val="2"/>
        </w:rPr>
        <w:t xml:space="preserve"> </w:t>
      </w:r>
      <w:r w:rsidRPr="0031675F">
        <w:t>the</w:t>
      </w:r>
      <w:r w:rsidRPr="0031675F">
        <w:rPr>
          <w:spacing w:val="5"/>
        </w:rPr>
        <w:t xml:space="preserve"> </w:t>
      </w:r>
      <w:r w:rsidRPr="0031675F">
        <w:rPr>
          <w:spacing w:val="-1"/>
        </w:rPr>
        <w:t>position</w:t>
      </w:r>
      <w:r w:rsidRPr="0031675F">
        <w:rPr>
          <w:spacing w:val="2"/>
        </w:rPr>
        <w:t xml:space="preserve"> </w:t>
      </w:r>
      <w:r w:rsidRPr="0031675F">
        <w:t>of</w:t>
      </w:r>
      <w:r w:rsidRPr="0031675F">
        <w:rPr>
          <w:spacing w:val="2"/>
        </w:rPr>
        <w:t xml:space="preserve"> </w:t>
      </w:r>
      <w:r w:rsidRPr="0031675F">
        <w:t>the</w:t>
      </w:r>
      <w:r w:rsidRPr="0031675F">
        <w:rPr>
          <w:spacing w:val="3"/>
        </w:rPr>
        <w:t xml:space="preserve"> </w:t>
      </w:r>
      <w:r w:rsidRPr="0031675F">
        <w:rPr>
          <w:spacing w:val="-1"/>
        </w:rPr>
        <w:t>stick</w:t>
      </w:r>
      <w:r w:rsidRPr="0031675F">
        <w:rPr>
          <w:spacing w:val="5"/>
        </w:rPr>
        <w:t xml:space="preserve"> </w:t>
      </w:r>
      <w:r w:rsidRPr="0031675F">
        <w:t>is</w:t>
      </w:r>
      <w:r w:rsidRPr="0031675F">
        <w:rPr>
          <w:spacing w:val="2"/>
        </w:rPr>
        <w:t xml:space="preserve"> </w:t>
      </w:r>
      <w:r w:rsidRPr="0031675F">
        <w:rPr>
          <w:spacing w:val="-1"/>
        </w:rPr>
        <w:t>suitable</w:t>
      </w:r>
      <w:r w:rsidRPr="0031675F">
        <w:rPr>
          <w:spacing w:val="5"/>
        </w:rPr>
        <w:t xml:space="preserve"> </w:t>
      </w:r>
      <w:r w:rsidRPr="0031675F">
        <w:rPr>
          <w:spacing w:val="-2"/>
        </w:rPr>
        <w:t>(by</w:t>
      </w:r>
      <w:r w:rsidRPr="0031675F">
        <w:rPr>
          <w:spacing w:val="6"/>
        </w:rPr>
        <w:t xml:space="preserve"> </w:t>
      </w:r>
      <w:r w:rsidRPr="0031675F">
        <w:rPr>
          <w:spacing w:val="-1"/>
        </w:rPr>
        <w:t>reading</w:t>
      </w:r>
      <w:r w:rsidRPr="0031675F">
        <w:rPr>
          <w:spacing w:val="4"/>
        </w:rPr>
        <w:t xml:space="preserve"> </w:t>
      </w:r>
      <w:r w:rsidRPr="0031675F">
        <w:rPr>
          <w:spacing w:val="-2"/>
        </w:rPr>
        <w:t>maximum</w:t>
      </w:r>
      <w:r w:rsidRPr="0031675F">
        <w:rPr>
          <w:spacing w:val="6"/>
        </w:rPr>
        <w:t xml:space="preserve"> </w:t>
      </w:r>
      <w:r w:rsidRPr="0031675F">
        <w:rPr>
          <w:spacing w:val="-1"/>
        </w:rPr>
        <w:t>counts</w:t>
      </w:r>
      <w:r w:rsidRPr="0031675F">
        <w:rPr>
          <w:spacing w:val="3"/>
        </w:rPr>
        <w:t xml:space="preserve"> </w:t>
      </w:r>
      <w:r w:rsidRPr="0031675F">
        <w:t>on</w:t>
      </w:r>
      <w:r w:rsidRPr="0031675F">
        <w:rPr>
          <w:spacing w:val="2"/>
        </w:rPr>
        <w:t xml:space="preserve"> </w:t>
      </w:r>
      <w:r w:rsidRPr="0031675F">
        <w:t>the</w:t>
      </w:r>
      <w:r w:rsidRPr="0031675F">
        <w:rPr>
          <w:spacing w:val="3"/>
        </w:rPr>
        <w:t xml:space="preserve"> </w:t>
      </w:r>
      <w:r w:rsidRPr="0031675F">
        <w:rPr>
          <w:spacing w:val="-1"/>
        </w:rPr>
        <w:t>Raw</w:t>
      </w:r>
      <w:r w:rsidRPr="0031675F">
        <w:rPr>
          <w:spacing w:val="37"/>
        </w:rPr>
        <w:t xml:space="preserve"> </w:t>
      </w:r>
      <w:r w:rsidRPr="0031675F">
        <w:rPr>
          <w:rFonts w:cs="Calibri"/>
          <w:spacing w:val="-1"/>
        </w:rPr>
        <w:t>data’ window</w:t>
      </w:r>
      <w:r w:rsidRPr="0031675F">
        <w:rPr>
          <w:rFonts w:cs="Calibri"/>
          <w:spacing w:val="1"/>
        </w:rPr>
        <w:t xml:space="preserve"> </w:t>
      </w:r>
      <w:r w:rsidRPr="0031675F">
        <w:rPr>
          <w:rFonts w:cs="Calibri"/>
        </w:rPr>
        <w:t>in</w:t>
      </w:r>
      <w:r w:rsidRPr="0031675F">
        <w:rPr>
          <w:rFonts w:cs="Calibri"/>
          <w:spacing w:val="-3"/>
        </w:rPr>
        <w:t xml:space="preserve"> </w:t>
      </w:r>
      <w:r w:rsidRPr="0031675F">
        <w:rPr>
          <w:rFonts w:cs="Calibri"/>
          <w:spacing w:val="-1"/>
        </w:rPr>
        <w:t>4</w:t>
      </w:r>
      <w:r w:rsidRPr="0031675F">
        <w:rPr>
          <w:spacing w:val="-1"/>
          <w:position w:val="10"/>
          <w:sz w:val="14"/>
          <w:szCs w:val="14"/>
        </w:rPr>
        <w:t>th</w:t>
      </w:r>
      <w:r w:rsidRPr="0031675F">
        <w:rPr>
          <w:spacing w:val="17"/>
          <w:position w:val="10"/>
          <w:sz w:val="14"/>
          <w:szCs w:val="14"/>
        </w:rPr>
        <w:t xml:space="preserve"> </w:t>
      </w:r>
      <w:r w:rsidRPr="0031675F">
        <w:rPr>
          <w:spacing w:val="-1"/>
        </w:rPr>
        <w:t>column,</w:t>
      </w:r>
      <w:r w:rsidRPr="0031675F">
        <w:t xml:space="preserve"> see</w:t>
      </w:r>
      <w:r w:rsidRPr="0031675F">
        <w:rPr>
          <w:spacing w:val="-2"/>
        </w:rPr>
        <w:t xml:space="preserve"> </w:t>
      </w:r>
      <w:r w:rsidRPr="0031675F">
        <w:rPr>
          <w:spacing w:val="-1"/>
        </w:rPr>
        <w:t>Attachment</w:t>
      </w:r>
      <w:r w:rsidRPr="0031675F">
        <w:t xml:space="preserve"> </w:t>
      </w:r>
      <w:r w:rsidRPr="0031675F">
        <w:rPr>
          <w:spacing w:val="-1"/>
        </w:rPr>
        <w:t>11.5)</w:t>
      </w:r>
    </w:p>
    <w:p w14:paraId="630FF731" w14:textId="77777777" w:rsidR="0031675F" w:rsidRPr="0031675F" w:rsidRDefault="0031675F" w:rsidP="0031675F">
      <w:pPr>
        <w:widowControl w:val="0"/>
        <w:numPr>
          <w:ilvl w:val="3"/>
          <w:numId w:val="74"/>
        </w:numPr>
        <w:tabs>
          <w:tab w:val="left" w:pos="839"/>
        </w:tabs>
        <w:spacing w:before="127" w:after="0" w:line="240" w:lineRule="auto"/>
        <w:ind w:left="838"/>
      </w:pPr>
      <w:r w:rsidRPr="0031675F">
        <w:rPr>
          <w:spacing w:val="-1"/>
        </w:rPr>
        <w:t>Click</w:t>
      </w:r>
      <w:r w:rsidRPr="0031675F">
        <w:t xml:space="preserve"> </w:t>
      </w:r>
      <w:r w:rsidRPr="0031675F">
        <w:rPr>
          <w:spacing w:val="-22"/>
        </w:rPr>
        <w:t xml:space="preserve"> </w:t>
      </w:r>
      <w:r w:rsidRPr="0031675F">
        <w:rPr>
          <w:noProof/>
          <w:spacing w:val="-22"/>
          <w:lang w:eastAsia="en-AU"/>
        </w:rPr>
        <w:drawing>
          <wp:inline distT="0" distB="0" distL="0" distR="0" wp14:anchorId="11EFC6E5" wp14:editId="3EF6ACE9">
            <wp:extent cx="1162050" cy="266700"/>
            <wp:effectExtent l="0" t="0" r="0" b="0"/>
            <wp:docPr id="17824" name="image40.png" descr="Screen shot of 'Record raw'.&#10;"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0.png"/>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1162050" cy="266700"/>
                    </a:xfrm>
                    <a:prstGeom prst="rect">
                      <a:avLst/>
                    </a:prstGeom>
                    <a:noFill/>
                    <a:ln>
                      <a:noFill/>
                    </a:ln>
                  </pic:spPr>
                </pic:pic>
              </a:graphicData>
            </a:graphic>
          </wp:inline>
        </w:drawing>
      </w:r>
    </w:p>
    <w:p w14:paraId="768B0DAE" w14:textId="77777777" w:rsidR="0031675F" w:rsidRPr="0031675F" w:rsidRDefault="0031675F" w:rsidP="0031675F">
      <w:pPr>
        <w:spacing w:before="119" w:after="120"/>
      </w:pPr>
      <w:r w:rsidRPr="0031675F">
        <w:rPr>
          <w:spacing w:val="-1"/>
        </w:rPr>
        <w:t>Example</w:t>
      </w:r>
      <w:r w:rsidRPr="0031675F">
        <w:t xml:space="preserve"> </w:t>
      </w:r>
      <w:r w:rsidRPr="0031675F">
        <w:rPr>
          <w:spacing w:val="-1"/>
        </w:rPr>
        <w:t>above</w:t>
      </w:r>
      <w:r w:rsidRPr="0031675F">
        <w:rPr>
          <w:spacing w:val="-2"/>
        </w:rPr>
        <w:t xml:space="preserve"> </w:t>
      </w:r>
      <w:r w:rsidRPr="0031675F">
        <w:rPr>
          <w:spacing w:val="-1"/>
        </w:rPr>
        <w:t>indicates</w:t>
      </w:r>
      <w:r w:rsidRPr="0031675F">
        <w:rPr>
          <w:spacing w:val="-2"/>
        </w:rPr>
        <w:t xml:space="preserve"> </w:t>
      </w:r>
      <w:r w:rsidRPr="0031675F">
        <w:rPr>
          <w:spacing w:val="-1"/>
        </w:rPr>
        <w:t>maximum output</w:t>
      </w:r>
      <w:r w:rsidRPr="0031675F">
        <w:t xml:space="preserve"> </w:t>
      </w:r>
      <w:r w:rsidRPr="0031675F">
        <w:rPr>
          <w:spacing w:val="-1"/>
        </w:rPr>
        <w:t>for</w:t>
      </w:r>
      <w:r w:rsidRPr="0031675F">
        <w:t xml:space="preserve"> </w:t>
      </w:r>
      <w:r w:rsidRPr="0031675F">
        <w:rPr>
          <w:spacing w:val="-1"/>
        </w:rPr>
        <w:t>chlorophyll signal</w:t>
      </w:r>
      <w:r w:rsidRPr="0031675F">
        <w:t xml:space="preserve"> </w:t>
      </w:r>
      <w:r w:rsidRPr="0031675F">
        <w:rPr>
          <w:spacing w:val="-1"/>
        </w:rPr>
        <w:t>4120</w:t>
      </w:r>
      <w:r w:rsidRPr="0031675F">
        <w:t xml:space="preserve"> </w:t>
      </w:r>
      <w:r w:rsidRPr="0031675F">
        <w:rPr>
          <w:spacing w:val="-1"/>
        </w:rPr>
        <w:t>counts.</w:t>
      </w:r>
    </w:p>
    <w:p w14:paraId="4F98C837" w14:textId="77777777" w:rsidR="0031675F" w:rsidRPr="0031675F" w:rsidRDefault="0031675F" w:rsidP="0031675F">
      <w:pPr>
        <w:widowControl w:val="0"/>
        <w:numPr>
          <w:ilvl w:val="3"/>
          <w:numId w:val="74"/>
        </w:numPr>
        <w:tabs>
          <w:tab w:val="left" w:pos="839"/>
        </w:tabs>
        <w:spacing w:before="120" w:after="0" w:line="240" w:lineRule="auto"/>
        <w:ind w:left="838"/>
        <w:rPr>
          <w:rFonts w:cs="Calibri"/>
        </w:rPr>
      </w:pPr>
      <w:r w:rsidRPr="0031675F">
        <w:rPr>
          <w:rFonts w:cs="Calibri"/>
          <w:spacing w:val="-1"/>
        </w:rPr>
        <w:t>Browse</w:t>
      </w:r>
      <w:r w:rsidRPr="0031675F">
        <w:rPr>
          <w:rFonts w:cs="Calibri"/>
        </w:rPr>
        <w:t xml:space="preserve"> </w:t>
      </w:r>
      <w:r w:rsidRPr="0031675F">
        <w:rPr>
          <w:rFonts w:cs="Calibri"/>
          <w:spacing w:val="-1"/>
        </w:rPr>
        <w:t xml:space="preserve">to </w:t>
      </w:r>
      <w:r w:rsidRPr="0031675F">
        <w:rPr>
          <w:rFonts w:cs="Calibri"/>
        </w:rPr>
        <w:t xml:space="preserve">the </w:t>
      </w:r>
      <w:r w:rsidRPr="0031675F">
        <w:rPr>
          <w:rFonts w:cs="Calibri"/>
          <w:spacing w:val="-1"/>
        </w:rPr>
        <w:t>appropriate</w:t>
      </w:r>
      <w:r w:rsidRPr="0031675F">
        <w:rPr>
          <w:rFonts w:cs="Calibri"/>
          <w:spacing w:val="-2"/>
        </w:rPr>
        <w:t xml:space="preserve"> </w:t>
      </w:r>
      <w:r w:rsidRPr="0031675F">
        <w:rPr>
          <w:rFonts w:cs="Calibri"/>
          <w:spacing w:val="-1"/>
        </w:rPr>
        <w:t>folder</w:t>
      </w:r>
      <w:r w:rsidRPr="0031675F">
        <w:rPr>
          <w:rFonts w:cs="Calibri"/>
        </w:rPr>
        <w:t xml:space="preserve"> </w:t>
      </w:r>
      <w:r w:rsidRPr="0031675F">
        <w:rPr>
          <w:rFonts w:cs="Calibri"/>
          <w:spacing w:val="-1"/>
        </w:rPr>
        <w:t>to store</w:t>
      </w:r>
      <w:r w:rsidRPr="0031675F">
        <w:rPr>
          <w:rFonts w:cs="Calibri"/>
        </w:rPr>
        <w:t xml:space="preserve"> </w:t>
      </w:r>
      <w:r w:rsidRPr="0031675F">
        <w:rPr>
          <w:rFonts w:cs="Calibri"/>
          <w:spacing w:val="-1"/>
        </w:rPr>
        <w:t>the</w:t>
      </w:r>
      <w:r w:rsidRPr="0031675F">
        <w:rPr>
          <w:rFonts w:cs="Calibri"/>
        </w:rPr>
        <w:t xml:space="preserve"> </w:t>
      </w:r>
      <w:r w:rsidRPr="0031675F">
        <w:rPr>
          <w:rFonts w:cs="Calibri"/>
          <w:spacing w:val="-1"/>
        </w:rPr>
        <w:t>.raw</w:t>
      </w:r>
      <w:r w:rsidRPr="0031675F">
        <w:rPr>
          <w:rFonts w:cs="Calibri"/>
          <w:spacing w:val="-2"/>
        </w:rPr>
        <w:t xml:space="preserve"> </w:t>
      </w:r>
      <w:r w:rsidRPr="0031675F">
        <w:rPr>
          <w:rFonts w:cs="Calibri"/>
          <w:spacing w:val="-1"/>
        </w:rPr>
        <w:t>file,</w:t>
      </w:r>
      <w:r w:rsidRPr="0031675F">
        <w:rPr>
          <w:rFonts w:cs="Calibri"/>
        </w:rPr>
        <w:t xml:space="preserve"> and</w:t>
      </w:r>
      <w:r w:rsidRPr="0031675F">
        <w:rPr>
          <w:rFonts w:cs="Calibri"/>
          <w:spacing w:val="-1"/>
        </w:rPr>
        <w:t xml:space="preserve"> ‘save’.</w:t>
      </w:r>
    </w:p>
    <w:p w14:paraId="3345D77F" w14:textId="77777777" w:rsidR="0031675F" w:rsidRPr="0031675F" w:rsidRDefault="0031675F" w:rsidP="0031675F">
      <w:pPr>
        <w:widowControl w:val="0"/>
        <w:numPr>
          <w:ilvl w:val="3"/>
          <w:numId w:val="74"/>
        </w:numPr>
        <w:tabs>
          <w:tab w:val="left" w:pos="839"/>
          <w:tab w:val="left" w:pos="1378"/>
          <w:tab w:val="left" w:pos="2112"/>
          <w:tab w:val="left" w:pos="3403"/>
          <w:tab w:val="left" w:pos="6068"/>
          <w:tab w:val="left" w:pos="6567"/>
          <w:tab w:val="left" w:pos="7395"/>
          <w:tab w:val="left" w:pos="8011"/>
        </w:tabs>
        <w:spacing w:before="118" w:after="0" w:line="240" w:lineRule="auto"/>
        <w:ind w:left="838" w:right="110"/>
      </w:pPr>
      <w:r w:rsidRPr="0031675F">
        <w:rPr>
          <w:spacing w:val="-1"/>
        </w:rPr>
        <w:t>File</w:t>
      </w:r>
      <w:r w:rsidRPr="0031675F">
        <w:rPr>
          <w:spacing w:val="-1"/>
        </w:rPr>
        <w:tab/>
      </w:r>
      <w:r w:rsidRPr="0031675F">
        <w:rPr>
          <w:spacing w:val="-1"/>
          <w:w w:val="95"/>
        </w:rPr>
        <w:t>name</w:t>
      </w:r>
      <w:r w:rsidRPr="0031675F">
        <w:rPr>
          <w:spacing w:val="-1"/>
          <w:w w:val="95"/>
        </w:rPr>
        <w:tab/>
      </w:r>
      <w:r w:rsidRPr="0031675F">
        <w:rPr>
          <w:spacing w:val="-1"/>
        </w:rPr>
        <w:t>convention:</w:t>
      </w:r>
      <w:r w:rsidRPr="0031675F">
        <w:rPr>
          <w:spacing w:val="-1"/>
        </w:rPr>
        <w:tab/>
        <w:t>829_fluor_2007Dec06.raw,</w:t>
      </w:r>
      <w:r w:rsidRPr="0031675F">
        <w:rPr>
          <w:spacing w:val="-1"/>
        </w:rPr>
        <w:tab/>
        <w:t>i.e.</w:t>
      </w:r>
      <w:r w:rsidRPr="0031675F">
        <w:rPr>
          <w:spacing w:val="-1"/>
        </w:rPr>
        <w:tab/>
      </w:r>
      <w:r w:rsidRPr="0031675F">
        <w:rPr>
          <w:spacing w:val="-1"/>
          <w:w w:val="95"/>
        </w:rPr>
        <w:t>Logger</w:t>
      </w:r>
      <w:r w:rsidRPr="0031675F">
        <w:rPr>
          <w:spacing w:val="-1"/>
          <w:w w:val="95"/>
        </w:rPr>
        <w:tab/>
      </w:r>
      <w:r w:rsidRPr="0031675F">
        <w:rPr>
          <w:spacing w:val="-1"/>
        </w:rPr>
        <w:t>829,</w:t>
      </w:r>
      <w:r w:rsidRPr="0031675F">
        <w:rPr>
          <w:spacing w:val="-1"/>
        </w:rPr>
        <w:tab/>
        <w:t>Fluorescence</w:t>
      </w:r>
      <w:r w:rsidRPr="0031675F">
        <w:rPr>
          <w:spacing w:val="71"/>
        </w:rPr>
        <w:t xml:space="preserve"> </w:t>
      </w:r>
      <w:r w:rsidRPr="0031675F">
        <w:rPr>
          <w:spacing w:val="-1"/>
        </w:rPr>
        <w:t>determination,</w:t>
      </w:r>
      <w:r w:rsidRPr="0031675F">
        <w:t xml:space="preserve"> </w:t>
      </w:r>
      <w:r w:rsidRPr="0031675F">
        <w:rPr>
          <w:spacing w:val="-1"/>
        </w:rPr>
        <w:t>year,</w:t>
      </w:r>
      <w:r w:rsidRPr="0031675F">
        <w:rPr>
          <w:spacing w:val="-3"/>
        </w:rPr>
        <w:t xml:space="preserve"> </w:t>
      </w:r>
      <w:r w:rsidRPr="0031675F">
        <w:rPr>
          <w:spacing w:val="-1"/>
        </w:rPr>
        <w:t>month,</w:t>
      </w:r>
      <w:r w:rsidRPr="0031675F">
        <w:t xml:space="preserve"> </w:t>
      </w:r>
      <w:r w:rsidRPr="0031675F">
        <w:rPr>
          <w:spacing w:val="-1"/>
        </w:rPr>
        <w:t>day.</w:t>
      </w:r>
    </w:p>
    <w:p w14:paraId="19690419" w14:textId="77777777" w:rsidR="0031675F" w:rsidRPr="0031675F" w:rsidRDefault="0031675F" w:rsidP="0031675F">
      <w:pPr>
        <w:widowControl w:val="0"/>
        <w:numPr>
          <w:ilvl w:val="3"/>
          <w:numId w:val="74"/>
        </w:numPr>
        <w:tabs>
          <w:tab w:val="left" w:pos="839"/>
        </w:tabs>
        <w:spacing w:before="120" w:after="0" w:line="240" w:lineRule="auto"/>
        <w:ind w:left="838" w:right="119"/>
      </w:pPr>
      <w:r w:rsidRPr="0031675F">
        <w:rPr>
          <w:spacing w:val="-1"/>
        </w:rPr>
        <w:t>Record</w:t>
      </w:r>
      <w:r w:rsidRPr="0031675F">
        <w:rPr>
          <w:spacing w:val="23"/>
        </w:rPr>
        <w:t xml:space="preserve"> </w:t>
      </w:r>
      <w:r w:rsidRPr="0031675F">
        <w:t>three</w:t>
      </w:r>
      <w:r w:rsidRPr="0031675F">
        <w:rPr>
          <w:spacing w:val="22"/>
        </w:rPr>
        <w:t xml:space="preserve"> </w:t>
      </w:r>
      <w:r w:rsidRPr="0031675F">
        <w:rPr>
          <w:spacing w:val="-1"/>
        </w:rPr>
        <w:t>maximum</w:t>
      </w:r>
      <w:r w:rsidRPr="0031675F">
        <w:rPr>
          <w:spacing w:val="22"/>
        </w:rPr>
        <w:t xml:space="preserve"> </w:t>
      </w:r>
      <w:r w:rsidRPr="0031675F">
        <w:rPr>
          <w:spacing w:val="-1"/>
        </w:rPr>
        <w:t>output</w:t>
      </w:r>
      <w:r w:rsidRPr="0031675F">
        <w:rPr>
          <w:spacing w:val="24"/>
        </w:rPr>
        <w:t xml:space="preserve"> </w:t>
      </w:r>
      <w:r w:rsidRPr="0031675F">
        <w:rPr>
          <w:spacing w:val="-1"/>
        </w:rPr>
        <w:t>readings</w:t>
      </w:r>
      <w:r w:rsidRPr="0031675F">
        <w:rPr>
          <w:spacing w:val="24"/>
        </w:rPr>
        <w:t xml:space="preserve"> </w:t>
      </w:r>
      <w:r w:rsidRPr="0031675F">
        <w:t>to</w:t>
      </w:r>
      <w:r w:rsidRPr="0031675F">
        <w:rPr>
          <w:spacing w:val="26"/>
        </w:rPr>
        <w:t xml:space="preserve"> </w:t>
      </w:r>
      <w:r w:rsidRPr="0031675F">
        <w:rPr>
          <w:spacing w:val="-1"/>
        </w:rPr>
        <w:t>compare</w:t>
      </w:r>
      <w:r w:rsidRPr="0031675F">
        <w:rPr>
          <w:spacing w:val="25"/>
        </w:rPr>
        <w:t xml:space="preserve"> </w:t>
      </w:r>
      <w:r w:rsidRPr="0031675F">
        <w:t>with</w:t>
      </w:r>
      <w:r w:rsidRPr="0031675F">
        <w:rPr>
          <w:spacing w:val="27"/>
        </w:rPr>
        <w:t xml:space="preserve"> </w:t>
      </w:r>
      <w:r w:rsidRPr="0031675F">
        <w:rPr>
          <w:spacing w:val="-1"/>
        </w:rPr>
        <w:t>FLNTUSB</w:t>
      </w:r>
      <w:r w:rsidRPr="0031675F">
        <w:rPr>
          <w:spacing w:val="24"/>
        </w:rPr>
        <w:t xml:space="preserve"> </w:t>
      </w:r>
      <w:r w:rsidRPr="0031675F">
        <w:rPr>
          <w:spacing w:val="-1"/>
        </w:rPr>
        <w:t>Characterization</w:t>
      </w:r>
      <w:r w:rsidRPr="0031675F">
        <w:rPr>
          <w:spacing w:val="23"/>
        </w:rPr>
        <w:t xml:space="preserve"> </w:t>
      </w:r>
      <w:r w:rsidRPr="0031675F">
        <w:rPr>
          <w:spacing w:val="-1"/>
        </w:rPr>
        <w:t>Sheet.</w:t>
      </w:r>
      <w:r w:rsidRPr="0031675F">
        <w:rPr>
          <w:spacing w:val="57"/>
        </w:rPr>
        <w:t xml:space="preserve"> </w:t>
      </w:r>
      <w:r w:rsidRPr="0031675F">
        <w:rPr>
          <w:spacing w:val="-1"/>
        </w:rPr>
        <w:t>Enter</w:t>
      </w:r>
      <w:r w:rsidRPr="0031675F">
        <w:rPr>
          <w:spacing w:val="-2"/>
        </w:rPr>
        <w:t xml:space="preserve"> </w:t>
      </w:r>
      <w:r w:rsidRPr="0031675F">
        <w:rPr>
          <w:spacing w:val="-1"/>
        </w:rPr>
        <w:t>maximum</w:t>
      </w:r>
      <w:r w:rsidRPr="0031675F">
        <w:rPr>
          <w:spacing w:val="1"/>
        </w:rPr>
        <w:t xml:space="preserve"> </w:t>
      </w:r>
      <w:r w:rsidRPr="0031675F">
        <w:rPr>
          <w:spacing w:val="-1"/>
        </w:rPr>
        <w:t>value</w:t>
      </w:r>
      <w:r w:rsidRPr="0031675F">
        <w:rPr>
          <w:spacing w:val="-2"/>
        </w:rPr>
        <w:t xml:space="preserve"> </w:t>
      </w:r>
      <w:r w:rsidRPr="0031675F">
        <w:t>on</w:t>
      </w:r>
      <w:r w:rsidRPr="0031675F">
        <w:rPr>
          <w:spacing w:val="-1"/>
        </w:rPr>
        <w:t xml:space="preserve"> data</w:t>
      </w:r>
      <w:r w:rsidRPr="0031675F">
        <w:t xml:space="preserve"> </w:t>
      </w:r>
      <w:r w:rsidRPr="0031675F">
        <w:rPr>
          <w:spacing w:val="-1"/>
        </w:rPr>
        <w:t>sheet.</w:t>
      </w:r>
      <w:r w:rsidRPr="0031675F">
        <w:rPr>
          <w:noProof/>
          <w:lang w:eastAsia="en-AU"/>
        </w:rPr>
        <w:t xml:space="preserve"> </w:t>
      </w:r>
    </w:p>
    <w:p w14:paraId="6CCEE834" w14:textId="77777777" w:rsidR="0031675F" w:rsidRPr="0031675F" w:rsidRDefault="0031675F" w:rsidP="0031675F">
      <w:pPr>
        <w:tabs>
          <w:tab w:val="left" w:pos="839"/>
        </w:tabs>
        <w:spacing w:before="120" w:after="120"/>
        <w:ind w:right="119"/>
        <w:rPr>
          <w:spacing w:val="-1"/>
        </w:rPr>
      </w:pPr>
      <w:r w:rsidRPr="0031675F">
        <w:rPr>
          <w:rFonts w:cs="Calibri"/>
          <w:noProof/>
          <w:sz w:val="20"/>
          <w:szCs w:val="20"/>
          <w:lang w:eastAsia="en-AU"/>
        </w:rPr>
        <w:drawing>
          <wp:inline distT="0" distB="0" distL="0" distR="0" wp14:anchorId="4D26318F" wp14:editId="41C13594">
            <wp:extent cx="4991100" cy="2943225"/>
            <wp:effectExtent l="0" t="0" r="0" b="9525"/>
            <wp:docPr id="17825" name="image43.png" descr="Screen shot of 'Checking meter output with the fluorescent stick'."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3.png"/>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4991100" cy="2943225"/>
                    </a:xfrm>
                    <a:prstGeom prst="rect">
                      <a:avLst/>
                    </a:prstGeom>
                    <a:noFill/>
                    <a:ln>
                      <a:noFill/>
                    </a:ln>
                  </pic:spPr>
                </pic:pic>
              </a:graphicData>
            </a:graphic>
          </wp:inline>
        </w:drawing>
      </w:r>
    </w:p>
    <w:p w14:paraId="58AF0AC6" w14:textId="77777777" w:rsidR="0031675F" w:rsidRPr="0031675F" w:rsidRDefault="0031675F" w:rsidP="0031675F">
      <w:pPr>
        <w:tabs>
          <w:tab w:val="left" w:pos="839"/>
        </w:tabs>
        <w:spacing w:before="120" w:after="120"/>
        <w:ind w:right="119"/>
        <w:rPr>
          <w:spacing w:val="-1"/>
        </w:rPr>
      </w:pPr>
      <w:r w:rsidRPr="0031675F">
        <w:rPr>
          <w:noProof/>
          <w:lang w:eastAsia="en-AU"/>
        </w:rPr>
        <w:drawing>
          <wp:anchor distT="0" distB="0" distL="114300" distR="114300" simplePos="0" relativeHeight="251767808" behindDoc="1" locked="0" layoutInCell="1" allowOverlap="1" wp14:anchorId="6227117C" wp14:editId="33AAB322">
            <wp:simplePos x="0" y="0"/>
            <wp:positionH relativeFrom="page">
              <wp:posOffset>4246245</wp:posOffset>
            </wp:positionH>
            <wp:positionV relativeFrom="paragraph">
              <wp:posOffset>90805</wp:posOffset>
            </wp:positionV>
            <wp:extent cx="1162685" cy="342265"/>
            <wp:effectExtent l="0" t="0" r="0" b="635"/>
            <wp:wrapNone/>
            <wp:docPr id="17826" name="Picture 7981" descr="Screen shot of 'Stop data'."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1"/>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1162685" cy="342265"/>
                    </a:xfrm>
                    <a:prstGeom prst="rect">
                      <a:avLst/>
                    </a:prstGeom>
                    <a:noFill/>
                  </pic:spPr>
                </pic:pic>
              </a:graphicData>
            </a:graphic>
            <wp14:sizeRelH relativeFrom="page">
              <wp14:pctWidth>0</wp14:pctWidth>
            </wp14:sizeRelH>
            <wp14:sizeRelV relativeFrom="page">
              <wp14:pctHeight>0</wp14:pctHeight>
            </wp14:sizeRelV>
          </wp:anchor>
        </w:drawing>
      </w:r>
      <w:r w:rsidRPr="0031675F">
        <w:rPr>
          <w:noProof/>
          <w:lang w:eastAsia="en-AU"/>
        </w:rPr>
        <w:drawing>
          <wp:anchor distT="0" distB="0" distL="114300" distR="114300" simplePos="0" relativeHeight="251742208" behindDoc="1" locked="0" layoutInCell="1" allowOverlap="1" wp14:anchorId="3760A28D" wp14:editId="74F57709">
            <wp:simplePos x="0" y="0"/>
            <wp:positionH relativeFrom="page">
              <wp:posOffset>2355850</wp:posOffset>
            </wp:positionH>
            <wp:positionV relativeFrom="paragraph">
              <wp:posOffset>128270</wp:posOffset>
            </wp:positionV>
            <wp:extent cx="1162050" cy="304800"/>
            <wp:effectExtent l="0" t="0" r="0" b="0"/>
            <wp:wrapNone/>
            <wp:docPr id="17827" name="Picture 7982" descr="Screen shot of 'Stop record'."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2"/>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1162050" cy="304800"/>
                    </a:xfrm>
                    <a:prstGeom prst="rect">
                      <a:avLst/>
                    </a:prstGeom>
                    <a:noFill/>
                  </pic:spPr>
                </pic:pic>
              </a:graphicData>
            </a:graphic>
            <wp14:sizeRelH relativeFrom="page">
              <wp14:pctWidth>0</wp14:pctWidth>
            </wp14:sizeRelH>
            <wp14:sizeRelV relativeFrom="page">
              <wp14:pctHeight>0</wp14:pctHeight>
            </wp14:sizeRelV>
          </wp:anchor>
        </w:drawing>
      </w:r>
    </w:p>
    <w:p w14:paraId="4E3D3FBF" w14:textId="77777777" w:rsidR="0031675F" w:rsidRPr="0031675F" w:rsidRDefault="0031675F" w:rsidP="0031675F">
      <w:pPr>
        <w:widowControl w:val="0"/>
        <w:numPr>
          <w:ilvl w:val="3"/>
          <w:numId w:val="74"/>
        </w:numPr>
        <w:tabs>
          <w:tab w:val="left" w:pos="832"/>
          <w:tab w:val="left" w:pos="4300"/>
          <w:tab w:val="left" w:pos="7283"/>
        </w:tabs>
        <w:spacing w:before="68" w:after="0" w:line="266" w:lineRule="exact"/>
        <w:ind w:left="831" w:right="114" w:hanging="355"/>
      </w:pPr>
      <w:r w:rsidRPr="0031675F">
        <w:rPr>
          <w:spacing w:val="-1"/>
        </w:rPr>
        <w:t>Stop logger, click</w:t>
      </w:r>
      <w:r w:rsidRPr="0031675F">
        <w:rPr>
          <w:spacing w:val="-1"/>
        </w:rPr>
        <w:tab/>
        <w:t>, then click</w:t>
      </w:r>
      <w:r w:rsidRPr="0031675F">
        <w:rPr>
          <w:spacing w:val="-1"/>
        </w:rPr>
        <w:tab/>
        <w:t>multiple</w:t>
      </w:r>
      <w:r w:rsidRPr="0031675F">
        <w:rPr>
          <w:spacing w:val="17"/>
        </w:rPr>
        <w:t xml:space="preserve"> </w:t>
      </w:r>
      <w:r w:rsidRPr="0031675F">
        <w:rPr>
          <w:spacing w:val="-1"/>
        </w:rPr>
        <w:t>times</w:t>
      </w:r>
      <w:r w:rsidRPr="0031675F">
        <w:rPr>
          <w:spacing w:val="17"/>
        </w:rPr>
        <w:t xml:space="preserve"> </w:t>
      </w:r>
      <w:r w:rsidRPr="0031675F">
        <w:rPr>
          <w:spacing w:val="-1"/>
        </w:rPr>
        <w:t>whilst</w:t>
      </w:r>
      <w:r w:rsidRPr="0031675F">
        <w:rPr>
          <w:spacing w:val="34"/>
        </w:rPr>
        <w:t xml:space="preserve"> </w:t>
      </w:r>
      <w:r w:rsidRPr="0031675F">
        <w:t xml:space="preserve">the </w:t>
      </w:r>
      <w:r w:rsidRPr="0031675F">
        <w:rPr>
          <w:spacing w:val="-1"/>
        </w:rPr>
        <w:t xml:space="preserve">instrument </w:t>
      </w:r>
      <w:r w:rsidRPr="0031675F">
        <w:rPr>
          <w:spacing w:val="-2"/>
        </w:rPr>
        <w:t>is</w:t>
      </w:r>
      <w:r w:rsidRPr="0031675F">
        <w:t xml:space="preserve"> </w:t>
      </w:r>
      <w:r w:rsidRPr="0031675F">
        <w:rPr>
          <w:spacing w:val="-1"/>
        </w:rPr>
        <w:t>emanating light</w:t>
      </w:r>
      <w:r w:rsidRPr="0031675F">
        <w:t xml:space="preserve"> </w:t>
      </w:r>
      <w:r w:rsidRPr="0031675F">
        <w:rPr>
          <w:spacing w:val="-1"/>
        </w:rPr>
        <w:t>during the</w:t>
      </w:r>
      <w:r w:rsidRPr="0031675F">
        <w:t xml:space="preserve"> </w:t>
      </w:r>
      <w:r w:rsidRPr="0031675F">
        <w:rPr>
          <w:spacing w:val="-1"/>
        </w:rPr>
        <w:t>next</w:t>
      </w:r>
      <w:r w:rsidRPr="0031675F">
        <w:t xml:space="preserve"> </w:t>
      </w:r>
      <w:r w:rsidRPr="0031675F">
        <w:rPr>
          <w:spacing w:val="-1"/>
        </w:rPr>
        <w:t>reading.</w:t>
      </w:r>
      <w:r w:rsidRPr="0031675F">
        <w:t xml:space="preserve"> </w:t>
      </w:r>
      <w:r w:rsidRPr="0031675F">
        <w:rPr>
          <w:spacing w:val="-1"/>
        </w:rPr>
        <w:t>The</w:t>
      </w:r>
      <w:r w:rsidRPr="0031675F">
        <w:t xml:space="preserve"> </w:t>
      </w:r>
      <w:r w:rsidRPr="0031675F">
        <w:rPr>
          <w:spacing w:val="-1"/>
        </w:rPr>
        <w:t>logger</w:t>
      </w:r>
      <w:r w:rsidRPr="0031675F">
        <w:rPr>
          <w:spacing w:val="-2"/>
        </w:rPr>
        <w:t xml:space="preserve"> </w:t>
      </w:r>
      <w:r w:rsidRPr="0031675F">
        <w:rPr>
          <w:spacing w:val="-1"/>
        </w:rPr>
        <w:t>should stop</w:t>
      </w:r>
      <w:r w:rsidRPr="0031675F">
        <w:rPr>
          <w:spacing w:val="-3"/>
        </w:rPr>
        <w:t xml:space="preserve"> </w:t>
      </w:r>
      <w:r w:rsidRPr="0031675F">
        <w:rPr>
          <w:spacing w:val="-1"/>
        </w:rPr>
        <w:t>running.</w:t>
      </w:r>
    </w:p>
    <w:p w14:paraId="1EC358DB" w14:textId="77777777" w:rsidR="0031675F" w:rsidRPr="0031675F" w:rsidRDefault="0031675F" w:rsidP="0031675F">
      <w:pPr>
        <w:widowControl w:val="0"/>
        <w:numPr>
          <w:ilvl w:val="3"/>
          <w:numId w:val="74"/>
        </w:numPr>
        <w:tabs>
          <w:tab w:val="left" w:pos="832"/>
        </w:tabs>
        <w:spacing w:before="126" w:after="0" w:line="240" w:lineRule="auto"/>
        <w:ind w:left="831" w:hanging="355"/>
      </w:pPr>
      <w:r w:rsidRPr="0031675F">
        <w:rPr>
          <w:spacing w:val="-1"/>
        </w:rPr>
        <w:t>Unplug the</w:t>
      </w:r>
      <w:r w:rsidRPr="0031675F">
        <w:t xml:space="preserve"> </w:t>
      </w:r>
      <w:r w:rsidRPr="0031675F">
        <w:rPr>
          <w:spacing w:val="-1"/>
        </w:rPr>
        <w:t>logger.</w:t>
      </w:r>
    </w:p>
    <w:p w14:paraId="47349490" w14:textId="77777777" w:rsidR="0031675F" w:rsidRPr="0031675F" w:rsidRDefault="0031675F" w:rsidP="0031675F">
      <w:pPr>
        <w:spacing w:before="120" w:after="120"/>
        <w:jc w:val="both"/>
      </w:pPr>
      <w:r w:rsidRPr="0031675F">
        <w:rPr>
          <w:spacing w:val="-1"/>
        </w:rPr>
        <w:t>Your</w:t>
      </w:r>
      <w:r w:rsidRPr="0031675F">
        <w:t xml:space="preserve"> </w:t>
      </w:r>
      <w:r w:rsidRPr="0031675F">
        <w:rPr>
          <w:spacing w:val="-1"/>
        </w:rPr>
        <w:t>raw</w:t>
      </w:r>
      <w:r w:rsidRPr="0031675F">
        <w:rPr>
          <w:spacing w:val="1"/>
        </w:rPr>
        <w:t xml:space="preserve"> </w:t>
      </w:r>
      <w:r w:rsidRPr="0031675F">
        <w:rPr>
          <w:spacing w:val="-1"/>
        </w:rPr>
        <w:t>data</w:t>
      </w:r>
      <w:r w:rsidRPr="0031675F">
        <w:rPr>
          <w:spacing w:val="-2"/>
        </w:rPr>
        <w:t xml:space="preserve"> </w:t>
      </w:r>
      <w:r w:rsidRPr="0031675F">
        <w:rPr>
          <w:spacing w:val="-1"/>
        </w:rPr>
        <w:t>file</w:t>
      </w:r>
      <w:r w:rsidRPr="0031675F">
        <w:t xml:space="preserve"> </w:t>
      </w:r>
      <w:r w:rsidRPr="0031675F">
        <w:rPr>
          <w:spacing w:val="-1"/>
        </w:rPr>
        <w:t>can be</w:t>
      </w:r>
      <w:r w:rsidRPr="0031675F">
        <w:t xml:space="preserve"> </w:t>
      </w:r>
      <w:r w:rsidRPr="0031675F">
        <w:rPr>
          <w:spacing w:val="-2"/>
        </w:rPr>
        <w:t>found</w:t>
      </w:r>
      <w:r w:rsidRPr="0031675F">
        <w:rPr>
          <w:spacing w:val="-1"/>
        </w:rPr>
        <w:t xml:space="preserve"> </w:t>
      </w:r>
      <w:r w:rsidRPr="0031675F">
        <w:t xml:space="preserve">in the </w:t>
      </w:r>
      <w:r w:rsidRPr="0031675F">
        <w:rPr>
          <w:spacing w:val="-1"/>
        </w:rPr>
        <w:t>folder</w:t>
      </w:r>
      <w:r w:rsidRPr="0031675F">
        <w:t xml:space="preserve"> </w:t>
      </w:r>
      <w:r w:rsidRPr="0031675F">
        <w:rPr>
          <w:spacing w:val="-1"/>
        </w:rPr>
        <w:t>you specified.</w:t>
      </w:r>
    </w:p>
    <w:p w14:paraId="47342B55" w14:textId="77777777" w:rsidR="0031675F" w:rsidRPr="0031675F" w:rsidRDefault="0031675F" w:rsidP="0031675F">
      <w:pPr>
        <w:tabs>
          <w:tab w:val="left" w:pos="839"/>
        </w:tabs>
        <w:spacing w:before="120" w:after="120"/>
        <w:ind w:right="119"/>
      </w:pPr>
    </w:p>
    <w:p w14:paraId="7F652BE8" w14:textId="77777777" w:rsidR="0031675F" w:rsidRPr="0031675F" w:rsidRDefault="0031675F" w:rsidP="0031675F"/>
    <w:p w14:paraId="675262F5" w14:textId="77777777" w:rsidR="0031675F" w:rsidRPr="0031675F" w:rsidRDefault="0031675F" w:rsidP="0031675F">
      <w:pPr>
        <w:widowControl w:val="0"/>
        <w:numPr>
          <w:ilvl w:val="2"/>
          <w:numId w:val="74"/>
        </w:numPr>
        <w:tabs>
          <w:tab w:val="left" w:pos="839"/>
        </w:tabs>
        <w:spacing w:before="0" w:after="0" w:line="240" w:lineRule="auto"/>
        <w:ind w:left="838"/>
        <w:jc w:val="both"/>
        <w:rPr>
          <w:rFonts w:eastAsia="Arial" w:cs="Arial"/>
        </w:rPr>
      </w:pPr>
      <w:r w:rsidRPr="0031675F">
        <w:rPr>
          <w:b/>
          <w:spacing w:val="-1"/>
        </w:rPr>
        <w:t>AIMS In-house ‘Pontoon’ turbidity and chlorophyll calibration checks.</w:t>
      </w:r>
    </w:p>
    <w:p w14:paraId="6A8E4FFF" w14:textId="77777777" w:rsidR="0031675F" w:rsidRPr="0031675F" w:rsidRDefault="0031675F" w:rsidP="0031675F">
      <w:pPr>
        <w:spacing w:after="120"/>
      </w:pPr>
      <w:r w:rsidRPr="0031675F">
        <w:t>Individual ECO loggers are deployed at different reefs when monitoring water quality at reef sites. To test the ECO logger data output against laboratory analyses, as well as to compare logger output relative to each other, AIMS has adopted a co-deployment of the ECO loggers in addition to laboratory checks. Results from AIMS Pontoon deployments provided to WET Labs initiated a new calibration procedure in their factory (see Attachment 11.6 - WET Labs Customer Alert).</w:t>
      </w:r>
    </w:p>
    <w:p w14:paraId="3FB88759" w14:textId="77777777" w:rsidR="0031675F" w:rsidRPr="0031675F" w:rsidRDefault="0031675F" w:rsidP="0031675F">
      <w:pPr>
        <w:widowControl w:val="0"/>
        <w:numPr>
          <w:ilvl w:val="0"/>
          <w:numId w:val="147"/>
        </w:numPr>
        <w:spacing w:before="0" w:after="0" w:line="240" w:lineRule="auto"/>
      </w:pPr>
      <w:r w:rsidRPr="0031675F">
        <w:t>All available ECO loggers are co-deployed for a 2-3 day period prior to servicing and between redeployment cruises</w:t>
      </w:r>
    </w:p>
    <w:p w14:paraId="252D4A75" w14:textId="77777777" w:rsidR="0031675F" w:rsidRPr="0031675F" w:rsidRDefault="0031675F" w:rsidP="0031675F">
      <w:pPr>
        <w:widowControl w:val="0"/>
        <w:numPr>
          <w:ilvl w:val="0"/>
          <w:numId w:val="147"/>
        </w:numPr>
        <w:spacing w:before="0" w:after="0" w:line="240" w:lineRule="auto"/>
      </w:pPr>
      <w:r w:rsidRPr="0031675F">
        <w:t>they are placed in a rack and hung in coastal seawater off the AIMS Pontoon</w:t>
      </w:r>
    </w:p>
    <w:p w14:paraId="558E3E46" w14:textId="77777777" w:rsidR="0031675F" w:rsidRPr="0031675F" w:rsidRDefault="0031675F" w:rsidP="0031675F">
      <w:pPr>
        <w:widowControl w:val="0"/>
        <w:numPr>
          <w:ilvl w:val="0"/>
          <w:numId w:val="147"/>
        </w:numPr>
        <w:spacing w:before="0" w:after="0" w:line="240" w:lineRule="auto"/>
      </w:pPr>
      <w:r w:rsidRPr="0031675F">
        <w:t>they are set to log in ‘field mode’ with readings at the same times, every ten minutes</w:t>
      </w:r>
    </w:p>
    <w:p w14:paraId="5C5DACD3" w14:textId="77777777" w:rsidR="0031675F" w:rsidRPr="0031675F" w:rsidRDefault="0031675F" w:rsidP="0031675F">
      <w:pPr>
        <w:spacing w:after="120"/>
      </w:pPr>
      <w:r w:rsidRPr="0031675F">
        <w:t>During this period the loggers are exposed to varied turbidity and chlorophyll levels, due to the tides and relatively high turbidity of the location of the pontoon.</w:t>
      </w:r>
    </w:p>
    <w:p w14:paraId="10BBF0E6" w14:textId="77777777" w:rsidR="0031675F" w:rsidRPr="0031675F" w:rsidRDefault="0031675F" w:rsidP="0031675F">
      <w:pPr>
        <w:widowControl w:val="0"/>
        <w:numPr>
          <w:ilvl w:val="0"/>
          <w:numId w:val="148"/>
        </w:numPr>
        <w:spacing w:before="0" w:after="0" w:line="240" w:lineRule="auto"/>
      </w:pPr>
      <w:r w:rsidRPr="0031675F">
        <w:t>Water samples are collected to co-incide with the logger readings, (3-6 times per day) at the same 10 minute intervals that the loggers are set to record</w:t>
      </w:r>
    </w:p>
    <w:p w14:paraId="15155DA8" w14:textId="77777777" w:rsidR="0031675F" w:rsidRPr="0031675F" w:rsidRDefault="0031675F" w:rsidP="0031675F">
      <w:pPr>
        <w:widowControl w:val="0"/>
        <w:numPr>
          <w:ilvl w:val="0"/>
          <w:numId w:val="148"/>
        </w:numPr>
        <w:spacing w:before="0" w:after="0" w:line="240" w:lineRule="auto"/>
      </w:pPr>
      <w:r w:rsidRPr="0031675F">
        <w:t>Water samples are collected adjacent to the logger rack with weighted bottle holders which have acid washed bottles inserted and suspended by stainless cable</w:t>
      </w:r>
    </w:p>
    <w:p w14:paraId="6FB6AF0D" w14:textId="77777777" w:rsidR="0031675F" w:rsidRPr="0031675F" w:rsidRDefault="0031675F" w:rsidP="0031675F">
      <w:pPr>
        <w:widowControl w:val="0"/>
        <w:numPr>
          <w:ilvl w:val="0"/>
          <w:numId w:val="148"/>
        </w:numPr>
        <w:spacing w:before="0" w:after="0" w:line="240" w:lineRule="auto"/>
      </w:pPr>
      <w:r w:rsidRPr="0031675F">
        <w:t>The water samples are filtered immediately after collection, in the AIMS laboratory</w:t>
      </w:r>
    </w:p>
    <w:p w14:paraId="4E666854" w14:textId="77777777" w:rsidR="0031675F" w:rsidRPr="0031675F" w:rsidRDefault="0031675F" w:rsidP="0031675F">
      <w:pPr>
        <w:widowControl w:val="0"/>
        <w:numPr>
          <w:ilvl w:val="0"/>
          <w:numId w:val="148"/>
        </w:numPr>
        <w:spacing w:before="0" w:after="0" w:line="240" w:lineRule="auto"/>
      </w:pPr>
      <w:r w:rsidRPr="0031675F">
        <w:t>These water samples are filtered for Chlorophyll and Suspended Solids (SS)</w:t>
      </w:r>
    </w:p>
    <w:p w14:paraId="49BD39DA" w14:textId="77777777" w:rsidR="0031675F" w:rsidRPr="0031675F" w:rsidRDefault="0031675F" w:rsidP="0031675F">
      <w:pPr>
        <w:widowControl w:val="0"/>
        <w:numPr>
          <w:ilvl w:val="0"/>
          <w:numId w:val="148"/>
        </w:numPr>
        <w:spacing w:before="0" w:after="0" w:line="240" w:lineRule="auto"/>
      </w:pPr>
      <w:r w:rsidRPr="0031675F">
        <w:t>2 replicate Chlorophyll bottles are collected at each time, resulting in 4xChlorophyll GF filters</w:t>
      </w:r>
    </w:p>
    <w:p w14:paraId="7B614A24" w14:textId="77777777" w:rsidR="0031675F" w:rsidRPr="0031675F" w:rsidRDefault="0031675F" w:rsidP="0031675F">
      <w:pPr>
        <w:widowControl w:val="0"/>
        <w:numPr>
          <w:ilvl w:val="0"/>
          <w:numId w:val="148"/>
        </w:numPr>
        <w:spacing w:before="0" w:after="0" w:line="240" w:lineRule="auto"/>
      </w:pPr>
      <w:r w:rsidRPr="0031675F">
        <w:t>2 replicate Suspended Solids containers are collected at each time, resulting in 4xSS filters</w:t>
      </w:r>
    </w:p>
    <w:p w14:paraId="5E664123" w14:textId="77777777" w:rsidR="0031675F" w:rsidRPr="0031675F" w:rsidRDefault="0031675F" w:rsidP="0031675F">
      <w:pPr>
        <w:widowControl w:val="0"/>
        <w:numPr>
          <w:ilvl w:val="0"/>
          <w:numId w:val="148"/>
        </w:numPr>
        <w:spacing w:before="0" w:after="0" w:line="240" w:lineRule="auto"/>
      </w:pPr>
      <w:r w:rsidRPr="0031675F">
        <w:t>The water sample collection times, volumes filtered, filter numbers are recorded and entered into the Oracle database using the same procedures as the AIMS field water sampling</w:t>
      </w:r>
    </w:p>
    <w:p w14:paraId="13DDB183" w14:textId="77777777" w:rsidR="0031675F" w:rsidRPr="0031675F" w:rsidRDefault="0031675F" w:rsidP="0031675F">
      <w:pPr>
        <w:widowControl w:val="0"/>
        <w:numPr>
          <w:ilvl w:val="0"/>
          <w:numId w:val="148"/>
        </w:numPr>
        <w:spacing w:before="0" w:after="0" w:line="240" w:lineRule="auto"/>
      </w:pPr>
      <w:r w:rsidRPr="0031675F">
        <w:t>The water samples are analysed as per procedures for routine field water sampling</w:t>
      </w:r>
    </w:p>
    <w:p w14:paraId="3AEFA13E" w14:textId="77777777" w:rsidR="0031675F" w:rsidRPr="0031675F" w:rsidRDefault="0031675F" w:rsidP="0031675F">
      <w:pPr>
        <w:widowControl w:val="0"/>
        <w:numPr>
          <w:ilvl w:val="0"/>
          <w:numId w:val="148"/>
        </w:numPr>
        <w:spacing w:before="0" w:after="0" w:line="240" w:lineRule="auto"/>
      </w:pPr>
      <w:r w:rsidRPr="0031675F">
        <w:t>The logger data is downloaded following deployment as per field deployment procedures</w:t>
      </w:r>
    </w:p>
    <w:p w14:paraId="16099946" w14:textId="77777777" w:rsidR="0031675F" w:rsidRPr="0031675F" w:rsidRDefault="0031675F" w:rsidP="0031675F">
      <w:pPr>
        <w:widowControl w:val="0"/>
        <w:numPr>
          <w:ilvl w:val="0"/>
          <w:numId w:val="148"/>
        </w:numPr>
        <w:spacing w:before="0" w:after="0" w:line="240" w:lineRule="auto"/>
      </w:pPr>
      <w:r w:rsidRPr="0031675F">
        <w:t xml:space="preserve"> The data records from the loggers are loaded into the database with the site name ‘AIMS’ and the filter samples collected identified with the ‘ECO’ sample i.d. code to distinguish them from field cruise samples</w:t>
      </w:r>
    </w:p>
    <w:p w14:paraId="0949CC6E" w14:textId="77777777" w:rsidR="0031675F" w:rsidRPr="0031675F" w:rsidRDefault="0031675F" w:rsidP="0031675F">
      <w:pPr>
        <w:widowControl w:val="0"/>
        <w:numPr>
          <w:ilvl w:val="0"/>
          <w:numId w:val="148"/>
        </w:numPr>
        <w:spacing w:before="0" w:after="0" w:line="240" w:lineRule="auto"/>
      </w:pPr>
      <w:r w:rsidRPr="0031675F">
        <w:t>The logger data is plotted together to determine differences between loggers, and against the laboratory samples how they sit within the range of the laboratory analyses</w:t>
      </w:r>
    </w:p>
    <w:p w14:paraId="6F343BB3" w14:textId="77777777" w:rsidR="0031675F" w:rsidRPr="0031675F" w:rsidRDefault="0031675F" w:rsidP="0031675F">
      <w:pPr>
        <w:spacing w:after="120"/>
      </w:pPr>
    </w:p>
    <w:p w14:paraId="41E33485" w14:textId="77777777" w:rsidR="0031675F" w:rsidRPr="0031675F" w:rsidRDefault="0031675F" w:rsidP="0031675F">
      <w:pPr>
        <w:spacing w:after="120"/>
      </w:pPr>
      <w:r w:rsidRPr="0031675F">
        <w:t>The logger rack was built by the AIMS workshop, specifically for the purpose of co-deployment. The loggers are in close proximity and effectively measure the same water body. Photo below illustrates that the rack can hold up to 18 loggers at one time.</w:t>
      </w:r>
      <w:r w:rsidRPr="0031675F">
        <w:rPr>
          <w:noProof/>
          <w:lang w:eastAsia="en-AU"/>
        </w:rPr>
        <w:drawing>
          <wp:inline distT="0" distB="0" distL="0" distR="0" wp14:anchorId="3136E317" wp14:editId="07E49A9F">
            <wp:extent cx="3960000" cy="2970000"/>
            <wp:effectExtent l="0" t="0" r="2540" b="1905"/>
            <wp:docPr id="17828" name="Picture 17828" descr="Photo of the loggers in a purpose-build rack."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2231341.JPG"/>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3960000" cy="2970000"/>
                    </a:xfrm>
                    <a:prstGeom prst="rect">
                      <a:avLst/>
                    </a:prstGeom>
                  </pic:spPr>
                </pic:pic>
              </a:graphicData>
            </a:graphic>
          </wp:inline>
        </w:drawing>
      </w:r>
    </w:p>
    <w:p w14:paraId="44629AC6" w14:textId="77777777" w:rsidR="0031675F" w:rsidRPr="0031675F" w:rsidRDefault="0031675F" w:rsidP="0031675F">
      <w:pPr>
        <w:spacing w:after="120"/>
      </w:pPr>
      <w:r w:rsidRPr="0031675F">
        <w:rPr>
          <w:noProof/>
          <w:lang w:eastAsia="en-AU"/>
        </w:rPr>
        <w:drawing>
          <wp:inline distT="0" distB="0" distL="0" distR="0" wp14:anchorId="60CC3449" wp14:editId="1A15C47C">
            <wp:extent cx="3960000" cy="5281200"/>
            <wp:effectExtent l="0" t="0" r="2540" b="0"/>
            <wp:docPr id="43" name="Picture 43" descr="Photos of the loggers deployed into the water, in their rack. "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348.JPG"/>
                    <pic:cNvPicPr/>
                  </pic:nvPicPr>
                  <pic:blipFill>
                    <a:blip r:embed="rId163" cstate="print">
                      <a:extLst>
                        <a:ext uri="{28A0092B-C50C-407E-A947-70E740481C1C}">
                          <a14:useLocalDpi xmlns:a14="http://schemas.microsoft.com/office/drawing/2010/main" val="0"/>
                        </a:ext>
                      </a:extLst>
                    </a:blip>
                    <a:stretch>
                      <a:fillRect/>
                    </a:stretch>
                  </pic:blipFill>
                  <pic:spPr>
                    <a:xfrm>
                      <a:off x="0" y="0"/>
                      <a:ext cx="3960000" cy="5281200"/>
                    </a:xfrm>
                    <a:prstGeom prst="rect">
                      <a:avLst/>
                    </a:prstGeom>
                  </pic:spPr>
                </pic:pic>
              </a:graphicData>
            </a:graphic>
          </wp:inline>
        </w:drawing>
      </w:r>
    </w:p>
    <w:p w14:paraId="7F63C5BE" w14:textId="77777777" w:rsidR="0031675F" w:rsidRPr="0031675F" w:rsidRDefault="0031675F" w:rsidP="0031675F"/>
    <w:p w14:paraId="31A613BE" w14:textId="77777777" w:rsidR="0031675F" w:rsidRPr="0031675F" w:rsidRDefault="0031675F" w:rsidP="0031675F">
      <w:pPr>
        <w:widowControl w:val="0"/>
        <w:numPr>
          <w:ilvl w:val="2"/>
          <w:numId w:val="74"/>
        </w:numPr>
        <w:tabs>
          <w:tab w:val="left" w:pos="839"/>
        </w:tabs>
        <w:spacing w:before="0" w:after="0" w:line="240" w:lineRule="auto"/>
        <w:ind w:left="838"/>
        <w:jc w:val="both"/>
        <w:rPr>
          <w:rFonts w:eastAsia="Arial" w:cs="Arial"/>
        </w:rPr>
      </w:pPr>
      <w:r w:rsidRPr="0031675F">
        <w:rPr>
          <w:b/>
          <w:spacing w:val="-1"/>
        </w:rPr>
        <w:t>AIMS In-house temperature calibrations.</w:t>
      </w:r>
    </w:p>
    <w:p w14:paraId="5EF9AE44" w14:textId="77777777" w:rsidR="0031675F" w:rsidRPr="0031675F" w:rsidRDefault="0031675F" w:rsidP="0031675F">
      <w:r w:rsidRPr="0031675F">
        <w:t>When plotting up AIMS Pontoon ECO Logger co-deployment tests following recovery from AIMS cruises, it was apparent that using WET Labs factory calibration coefficients there were sometimes significant differences between loggers deployed at the same time. Initially the temperature data was a lower priority, as we also deploy small temperature loggers at the reef sites. During the exploration of the possible causes for Dark Count variation from the WET Labs factory, AIMS performed tests to ensure that temperature differences did not affect the Dark Count readings of the loggers. Given AIMS has the capability to do our own more reliable temperature calibrations, in early 2015 it was decided to also begin using AIMS temperature calibrations for the ECO loggers.</w:t>
      </w:r>
    </w:p>
    <w:p w14:paraId="2B9F5C44" w14:textId="77777777" w:rsidR="0031675F" w:rsidRPr="00531EF5" w:rsidRDefault="0031675F" w:rsidP="00531EF5">
      <w:pPr>
        <w:rPr>
          <w:b/>
          <w:lang w:eastAsia="en-AU"/>
        </w:rPr>
      </w:pPr>
      <w:r w:rsidRPr="00531EF5">
        <w:rPr>
          <w:b/>
          <w:lang w:eastAsia="en-AU"/>
        </w:rPr>
        <w:t>Setting up the temperature bath for calibration</w:t>
      </w:r>
    </w:p>
    <w:p w14:paraId="1BA37652" w14:textId="77777777" w:rsidR="0031675F" w:rsidRPr="0031675F" w:rsidRDefault="0031675F" w:rsidP="0031675F">
      <w:pPr>
        <w:widowControl w:val="0"/>
        <w:numPr>
          <w:ilvl w:val="0"/>
          <w:numId w:val="151"/>
        </w:numPr>
        <w:spacing w:before="0" w:after="0" w:line="240" w:lineRule="auto"/>
        <w:rPr>
          <w:lang w:eastAsia="en-AU"/>
        </w:rPr>
      </w:pPr>
      <w:r w:rsidRPr="0031675F">
        <w:rPr>
          <w:lang w:eastAsia="en-AU"/>
        </w:rPr>
        <w:t>Plug the sensor measurement module into the temperature reference thermometer</w:t>
      </w:r>
    </w:p>
    <w:p w14:paraId="68FEE48E" w14:textId="77777777" w:rsidR="0031675F" w:rsidRPr="0031675F" w:rsidRDefault="0031675F" w:rsidP="0031675F">
      <w:pPr>
        <w:widowControl w:val="0"/>
        <w:numPr>
          <w:ilvl w:val="0"/>
          <w:numId w:val="151"/>
        </w:numPr>
        <w:spacing w:before="0" w:after="0" w:line="240" w:lineRule="auto"/>
        <w:rPr>
          <w:lang w:eastAsia="en-AU"/>
        </w:rPr>
      </w:pPr>
      <w:r w:rsidRPr="0031675F">
        <w:rPr>
          <w:lang w:eastAsia="en-AU"/>
        </w:rPr>
        <w:t xml:space="preserve">Turn on the temperature reference thermometer by turning on the green switch on the face of the reference measurement module </w:t>
      </w:r>
    </w:p>
    <w:p w14:paraId="15930157" w14:textId="77777777" w:rsidR="0031675F" w:rsidRPr="0031675F" w:rsidRDefault="0031675F" w:rsidP="0031675F">
      <w:pPr>
        <w:widowControl w:val="0"/>
        <w:numPr>
          <w:ilvl w:val="0"/>
          <w:numId w:val="151"/>
        </w:numPr>
        <w:spacing w:before="0" w:after="0" w:line="240" w:lineRule="auto"/>
        <w:rPr>
          <w:lang w:eastAsia="en-AU"/>
        </w:rPr>
      </w:pPr>
      <w:r w:rsidRPr="0031675F">
        <w:rPr>
          <w:lang w:eastAsia="en-AU"/>
        </w:rPr>
        <w:t>Place the sensor measurement module of the temperature reference thermometer into the water bath using the clamp.</w:t>
      </w:r>
    </w:p>
    <w:p w14:paraId="43A733B5" w14:textId="77777777" w:rsidR="0031675F" w:rsidRPr="0031675F" w:rsidRDefault="0031675F" w:rsidP="0031675F">
      <w:pPr>
        <w:widowControl w:val="0"/>
        <w:numPr>
          <w:ilvl w:val="0"/>
          <w:numId w:val="151"/>
        </w:numPr>
        <w:spacing w:before="0" w:after="0" w:line="240" w:lineRule="auto"/>
        <w:rPr>
          <w:lang w:eastAsia="en-AU"/>
        </w:rPr>
      </w:pPr>
      <w:r w:rsidRPr="0031675F">
        <w:rPr>
          <w:lang w:eastAsia="en-AU"/>
        </w:rPr>
        <w:t>Remove a small amount of water using a bucket and mix hot water from the tap into the bath to raise the temperature to approximately 33 degrees</w:t>
      </w:r>
    </w:p>
    <w:p w14:paraId="00777D13" w14:textId="77777777" w:rsidR="0031675F" w:rsidRPr="0031675F" w:rsidRDefault="0031675F" w:rsidP="0031675F">
      <w:pPr>
        <w:widowControl w:val="0"/>
        <w:numPr>
          <w:ilvl w:val="0"/>
          <w:numId w:val="151"/>
        </w:numPr>
        <w:spacing w:before="0" w:after="0" w:line="240" w:lineRule="auto"/>
        <w:rPr>
          <w:lang w:eastAsia="en-AU"/>
        </w:rPr>
      </w:pPr>
      <w:r w:rsidRPr="0031675F">
        <w:rPr>
          <w:lang w:eastAsia="en-AU"/>
        </w:rPr>
        <w:t>Ensure the water level is within 2-3cm of the lip of the bath</w:t>
      </w:r>
    </w:p>
    <w:p w14:paraId="0305FEF9" w14:textId="77777777" w:rsidR="0031675F" w:rsidRPr="0031675F" w:rsidRDefault="0031675F" w:rsidP="0031675F">
      <w:pPr>
        <w:widowControl w:val="0"/>
        <w:numPr>
          <w:ilvl w:val="0"/>
          <w:numId w:val="151"/>
        </w:numPr>
        <w:spacing w:before="0" w:after="0" w:line="240" w:lineRule="auto"/>
        <w:rPr>
          <w:lang w:eastAsia="en-AU"/>
        </w:rPr>
      </w:pPr>
      <w:r w:rsidRPr="0031675F">
        <w:rPr>
          <w:lang w:eastAsia="en-AU"/>
        </w:rPr>
        <w:t>Turn on the temperature bath</w:t>
      </w:r>
    </w:p>
    <w:p w14:paraId="18134B5C" w14:textId="77777777" w:rsidR="0031675F" w:rsidRPr="0031675F" w:rsidRDefault="0031675F" w:rsidP="0031675F">
      <w:pPr>
        <w:widowControl w:val="0"/>
        <w:numPr>
          <w:ilvl w:val="0"/>
          <w:numId w:val="151"/>
        </w:numPr>
        <w:spacing w:before="0" w:after="0" w:line="240" w:lineRule="auto"/>
        <w:rPr>
          <w:lang w:eastAsia="en-AU"/>
        </w:rPr>
      </w:pPr>
      <w:r w:rsidRPr="0031675F">
        <w:rPr>
          <w:lang w:eastAsia="en-AU"/>
        </w:rPr>
        <w:t>Set the bath set point to 33 degrees C as follows:</w:t>
      </w:r>
    </w:p>
    <w:p w14:paraId="373ED08A" w14:textId="77777777" w:rsidR="0031675F" w:rsidRPr="0031675F" w:rsidRDefault="0031675F" w:rsidP="0031675F">
      <w:pPr>
        <w:spacing w:after="120"/>
        <w:ind w:left="838" w:firstLine="602"/>
        <w:rPr>
          <w:lang w:eastAsia="en-AU"/>
        </w:rPr>
      </w:pPr>
      <w:r w:rsidRPr="0031675F">
        <w:rPr>
          <w:lang w:eastAsia="en-AU"/>
        </w:rPr>
        <w:t>Press the SETPNT key</w:t>
      </w:r>
    </w:p>
    <w:p w14:paraId="7FD30D97" w14:textId="77777777" w:rsidR="0031675F" w:rsidRPr="0031675F" w:rsidRDefault="0031675F" w:rsidP="0031675F">
      <w:pPr>
        <w:spacing w:after="120"/>
        <w:ind w:left="838" w:firstLine="602"/>
        <w:rPr>
          <w:lang w:eastAsia="en-AU"/>
        </w:rPr>
      </w:pPr>
      <w:r w:rsidRPr="0031675F">
        <w:rPr>
          <w:lang w:eastAsia="en-AU"/>
        </w:rPr>
        <w:t>Enter 33.00</w:t>
      </w:r>
    </w:p>
    <w:p w14:paraId="5EBD5F14" w14:textId="77777777" w:rsidR="0031675F" w:rsidRPr="0031675F" w:rsidRDefault="0031675F" w:rsidP="0031675F">
      <w:pPr>
        <w:spacing w:after="120"/>
        <w:ind w:left="838" w:firstLine="602"/>
        <w:rPr>
          <w:lang w:eastAsia="en-AU"/>
        </w:rPr>
      </w:pPr>
      <w:r w:rsidRPr="0031675F">
        <w:rPr>
          <w:lang w:eastAsia="en-AU"/>
        </w:rPr>
        <w:t>Press &lt;Enter&gt;</w:t>
      </w:r>
    </w:p>
    <w:p w14:paraId="21F55A9C" w14:textId="77777777" w:rsidR="0031675F" w:rsidRPr="0031675F" w:rsidRDefault="0031675F" w:rsidP="0031675F">
      <w:pPr>
        <w:widowControl w:val="0"/>
        <w:numPr>
          <w:ilvl w:val="0"/>
          <w:numId w:val="152"/>
        </w:numPr>
        <w:spacing w:before="0" w:after="0" w:line="240" w:lineRule="auto"/>
        <w:rPr>
          <w:lang w:eastAsia="en-AU"/>
        </w:rPr>
      </w:pPr>
      <w:r w:rsidRPr="0031675F">
        <w:rPr>
          <w:lang w:eastAsia="en-AU"/>
        </w:rPr>
        <w:t>Wait until the set point is achieved and holding steady in the bath.</w:t>
      </w:r>
    </w:p>
    <w:p w14:paraId="5CA1CC11" w14:textId="77777777" w:rsidR="0031675F" w:rsidRPr="00531EF5" w:rsidRDefault="0031675F" w:rsidP="00531EF5">
      <w:pPr>
        <w:rPr>
          <w:b/>
          <w:lang w:eastAsia="en-AU"/>
        </w:rPr>
      </w:pPr>
      <w:r w:rsidRPr="00531EF5">
        <w:rPr>
          <w:b/>
          <w:lang w:eastAsia="en-AU"/>
        </w:rPr>
        <w:t>Setting up the Temperature Bath Calibration Tool for calibration</w:t>
      </w:r>
    </w:p>
    <w:p w14:paraId="461E8742" w14:textId="77777777" w:rsidR="0031675F" w:rsidRPr="0031675F" w:rsidRDefault="0031675F" w:rsidP="0031675F">
      <w:pPr>
        <w:widowControl w:val="0"/>
        <w:numPr>
          <w:ilvl w:val="0"/>
          <w:numId w:val="150"/>
        </w:numPr>
        <w:spacing w:before="0" w:after="0" w:line="240" w:lineRule="auto"/>
        <w:rPr>
          <w:lang w:eastAsia="en-AU"/>
        </w:rPr>
      </w:pPr>
      <w:r w:rsidRPr="0031675F">
        <w:rPr>
          <w:lang w:eastAsia="en-AU"/>
        </w:rPr>
        <w:t>Turn on the PC attached to the temperature reference thermometer and log in.</w:t>
      </w:r>
    </w:p>
    <w:p w14:paraId="1C37DC13" w14:textId="77777777" w:rsidR="0031675F" w:rsidRPr="0031675F" w:rsidRDefault="0031675F" w:rsidP="0031675F">
      <w:pPr>
        <w:widowControl w:val="0"/>
        <w:numPr>
          <w:ilvl w:val="0"/>
          <w:numId w:val="150"/>
        </w:numPr>
        <w:spacing w:before="0" w:after="0" w:line="240" w:lineRule="auto"/>
        <w:rPr>
          <w:lang w:eastAsia="en-AU"/>
        </w:rPr>
      </w:pPr>
      <w:r w:rsidRPr="0031675F">
        <w:rPr>
          <w:lang w:eastAsia="en-AU"/>
        </w:rPr>
        <w:t>Start Temperature Bath Calibration Tool on the desktop</w:t>
      </w:r>
    </w:p>
    <w:p w14:paraId="26028A5D" w14:textId="77777777" w:rsidR="0031675F" w:rsidRPr="0031675F" w:rsidRDefault="0031675F" w:rsidP="0031675F">
      <w:pPr>
        <w:widowControl w:val="0"/>
        <w:numPr>
          <w:ilvl w:val="0"/>
          <w:numId w:val="150"/>
        </w:numPr>
        <w:spacing w:before="0" w:after="0" w:line="240" w:lineRule="auto"/>
        <w:rPr>
          <w:lang w:eastAsia="en-AU"/>
        </w:rPr>
      </w:pPr>
      <w:r w:rsidRPr="0031675F">
        <w:rPr>
          <w:lang w:eastAsia="en-AU"/>
        </w:rPr>
        <w:t>Choose a file location for temperature cycle calibration. Name the file with a .txt extension. The file will be created by the software. e.g. 20160319-FLNTUSB.txt</w:t>
      </w:r>
    </w:p>
    <w:p w14:paraId="4A82D3DF" w14:textId="77777777" w:rsidR="0031675F" w:rsidRPr="0031675F" w:rsidRDefault="0031675F" w:rsidP="0031675F">
      <w:pPr>
        <w:spacing w:after="120"/>
        <w:ind w:left="838" w:firstLine="602"/>
        <w:rPr>
          <w:lang w:eastAsia="en-AU"/>
        </w:rPr>
      </w:pPr>
      <w:r w:rsidRPr="0031675F">
        <w:rPr>
          <w:lang w:eastAsia="en-AU"/>
        </w:rPr>
        <w:t>Sample Interval 1 Minutes</w:t>
      </w:r>
    </w:p>
    <w:p w14:paraId="1806F3CC" w14:textId="77777777" w:rsidR="0031675F" w:rsidRPr="0031675F" w:rsidRDefault="0031675F" w:rsidP="0031675F">
      <w:pPr>
        <w:spacing w:after="120"/>
        <w:ind w:left="1440"/>
        <w:rPr>
          <w:lang w:eastAsia="en-AU"/>
        </w:rPr>
      </w:pPr>
      <w:r w:rsidRPr="0031675F">
        <w:rPr>
          <w:lang w:eastAsia="en-AU"/>
        </w:rPr>
        <w:t>Setpoint Duration 1 Hour</w:t>
      </w:r>
    </w:p>
    <w:p w14:paraId="5DC38E28" w14:textId="77777777" w:rsidR="0031675F" w:rsidRPr="0031675F" w:rsidRDefault="0031675F" w:rsidP="0031675F">
      <w:pPr>
        <w:spacing w:after="120"/>
        <w:ind w:left="838" w:firstLine="602"/>
        <w:rPr>
          <w:lang w:eastAsia="en-AU"/>
        </w:rPr>
      </w:pPr>
      <w:r w:rsidRPr="0031675F">
        <w:rPr>
          <w:lang w:eastAsia="en-AU"/>
        </w:rPr>
        <w:t>Start Setpoint 33 Degrees</w:t>
      </w:r>
    </w:p>
    <w:p w14:paraId="32318573" w14:textId="77777777" w:rsidR="0031675F" w:rsidRPr="0031675F" w:rsidRDefault="0031675F" w:rsidP="0031675F">
      <w:pPr>
        <w:spacing w:after="120"/>
        <w:ind w:left="838" w:firstLine="602"/>
        <w:rPr>
          <w:lang w:eastAsia="en-AU"/>
        </w:rPr>
      </w:pPr>
      <w:r w:rsidRPr="0031675F">
        <w:rPr>
          <w:lang w:eastAsia="en-AU"/>
        </w:rPr>
        <w:t>End Setpoint 16 Degrees</w:t>
      </w:r>
    </w:p>
    <w:p w14:paraId="30D95C5A" w14:textId="77777777" w:rsidR="0031675F" w:rsidRPr="0031675F" w:rsidRDefault="0031675F" w:rsidP="0031675F">
      <w:pPr>
        <w:spacing w:after="120"/>
        <w:ind w:left="838" w:firstLine="602"/>
        <w:rPr>
          <w:lang w:eastAsia="en-AU"/>
        </w:rPr>
      </w:pPr>
      <w:r w:rsidRPr="0031675F">
        <w:rPr>
          <w:lang w:eastAsia="en-AU"/>
        </w:rPr>
        <w:t>Setpoint change 1 Degree</w:t>
      </w:r>
    </w:p>
    <w:p w14:paraId="1DB8BECA" w14:textId="77777777" w:rsidR="0031675F" w:rsidRPr="0031675F" w:rsidRDefault="0031675F" w:rsidP="0031675F">
      <w:pPr>
        <w:spacing w:after="120"/>
        <w:ind w:left="838" w:firstLine="602"/>
        <w:rPr>
          <w:lang w:eastAsia="en-AU"/>
        </w:rPr>
      </w:pPr>
    </w:p>
    <w:p w14:paraId="537C19E8" w14:textId="77777777" w:rsidR="0031675F" w:rsidRPr="0031675F" w:rsidRDefault="0031675F" w:rsidP="0031675F">
      <w:r w:rsidRPr="0031675F">
        <w:rPr>
          <w:noProof/>
          <w:lang w:eastAsia="en-AU"/>
        </w:rPr>
        <w:drawing>
          <wp:inline distT="0" distB="0" distL="0" distR="0" wp14:anchorId="0A5F867E" wp14:editId="6692FF03">
            <wp:extent cx="5210175" cy="5136663"/>
            <wp:effectExtent l="0" t="0" r="0" b="6985"/>
            <wp:docPr id="17829" name="Picture 17829" descr="Screen shot of 'Temperature bath calibration tool'."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5210175" cy="5136663"/>
                    </a:xfrm>
                    <a:prstGeom prst="rect">
                      <a:avLst/>
                    </a:prstGeom>
                    <a:noFill/>
                    <a:ln>
                      <a:noFill/>
                    </a:ln>
                  </pic:spPr>
                </pic:pic>
              </a:graphicData>
            </a:graphic>
          </wp:inline>
        </w:drawing>
      </w:r>
    </w:p>
    <w:p w14:paraId="5AFAC0E8" w14:textId="77777777" w:rsidR="0031675F" w:rsidRPr="0031675F" w:rsidRDefault="0031675F" w:rsidP="0031675F">
      <w:pPr>
        <w:spacing w:after="120"/>
        <w:rPr>
          <w:lang w:eastAsia="en-AU"/>
        </w:rPr>
      </w:pPr>
      <w:r w:rsidRPr="0031675F">
        <w:rPr>
          <w:lang w:eastAsia="en-AU"/>
        </w:rPr>
        <w:t>Note: the above image was taken after the bath had finished the calibration from 33 to 16 degrees</w:t>
      </w:r>
    </w:p>
    <w:p w14:paraId="60C76623" w14:textId="77777777" w:rsidR="0031675F" w:rsidRPr="00531EF5" w:rsidRDefault="0031675F" w:rsidP="00531EF5">
      <w:pPr>
        <w:rPr>
          <w:b/>
          <w:lang w:eastAsia="en-AU"/>
        </w:rPr>
      </w:pPr>
      <w:r w:rsidRPr="00531EF5">
        <w:rPr>
          <w:b/>
          <w:lang w:eastAsia="en-AU"/>
        </w:rPr>
        <w:t>Running the calibration</w:t>
      </w:r>
    </w:p>
    <w:p w14:paraId="5CA62F18" w14:textId="77777777" w:rsidR="0031675F" w:rsidRPr="0031675F" w:rsidRDefault="0031675F" w:rsidP="0031675F">
      <w:pPr>
        <w:widowControl w:val="0"/>
        <w:numPr>
          <w:ilvl w:val="0"/>
          <w:numId w:val="149"/>
        </w:numPr>
        <w:spacing w:before="0" w:after="0" w:line="240" w:lineRule="auto"/>
        <w:rPr>
          <w:lang w:eastAsia="en-AU"/>
        </w:rPr>
      </w:pPr>
      <w:r w:rsidRPr="0031675F">
        <w:rPr>
          <w:lang w:eastAsia="en-AU"/>
        </w:rPr>
        <w:t>Run essential.exe in C:\temp This program mimics key strokes on your pc to stop it hibernating.</w:t>
      </w:r>
    </w:p>
    <w:p w14:paraId="6E699883" w14:textId="77777777" w:rsidR="0031675F" w:rsidRPr="0031675F" w:rsidRDefault="0031675F" w:rsidP="0031675F">
      <w:pPr>
        <w:widowControl w:val="0"/>
        <w:numPr>
          <w:ilvl w:val="0"/>
          <w:numId w:val="149"/>
        </w:numPr>
        <w:spacing w:before="0" w:after="0" w:line="240" w:lineRule="auto"/>
        <w:rPr>
          <w:lang w:eastAsia="en-AU"/>
        </w:rPr>
      </w:pPr>
      <w:r w:rsidRPr="0031675F">
        <w:rPr>
          <w:lang w:eastAsia="en-AU"/>
        </w:rPr>
        <w:t>Start the calibration on the 30 second mark of the minute. (this is to assist in the data management of the calibration data.)</w:t>
      </w:r>
    </w:p>
    <w:p w14:paraId="640CCFE6" w14:textId="77777777" w:rsidR="0031675F" w:rsidRPr="0031675F" w:rsidRDefault="0031675F" w:rsidP="0031675F">
      <w:pPr>
        <w:widowControl w:val="0"/>
        <w:numPr>
          <w:ilvl w:val="0"/>
          <w:numId w:val="149"/>
        </w:numPr>
        <w:spacing w:before="0" w:after="0" w:line="240" w:lineRule="auto"/>
        <w:rPr>
          <w:lang w:eastAsia="en-AU"/>
        </w:rPr>
      </w:pPr>
      <w:r w:rsidRPr="0031675F">
        <w:rPr>
          <w:lang w:eastAsia="en-AU"/>
        </w:rPr>
        <w:t>To start the calibration, simultaneously plunge the sensors into the calibration bath and press the Start! button. The calibration will now be underway.</w:t>
      </w:r>
    </w:p>
    <w:p w14:paraId="5A90A390" w14:textId="77777777" w:rsidR="0031675F" w:rsidRPr="0031675F" w:rsidRDefault="0031675F" w:rsidP="0031675F">
      <w:pPr>
        <w:widowControl w:val="0"/>
        <w:numPr>
          <w:ilvl w:val="0"/>
          <w:numId w:val="149"/>
        </w:numPr>
        <w:spacing w:before="0" w:after="0" w:line="240" w:lineRule="auto"/>
        <w:rPr>
          <w:lang w:eastAsia="en-AU"/>
        </w:rPr>
      </w:pPr>
      <w:r w:rsidRPr="0031675F">
        <w:rPr>
          <w:lang w:eastAsia="en-AU"/>
        </w:rPr>
        <w:t>The calibration should take approximately 18 hours to complete. Once it has finished:</w:t>
      </w:r>
      <w:r w:rsidRPr="0031675F">
        <w:rPr>
          <w:lang w:eastAsia="en-AU"/>
        </w:rPr>
        <w:br/>
        <w:t>**Remove the loggers from the water</w:t>
      </w:r>
      <w:r w:rsidRPr="0031675F">
        <w:rPr>
          <w:lang w:eastAsia="en-AU"/>
        </w:rPr>
        <w:br/>
        <w:t>**Create a folder with the datestamp in \\pearl\temp\FLNTU</w:t>
      </w:r>
      <w:r w:rsidRPr="0031675F">
        <w:rPr>
          <w:lang w:eastAsia="en-AU"/>
        </w:rPr>
        <w:br/>
        <w:t>**Save the calibration file created by the Calibration Tool in the folder above.</w:t>
      </w:r>
    </w:p>
    <w:p w14:paraId="79DFB28F" w14:textId="77777777" w:rsidR="0031675F" w:rsidRPr="0031675F" w:rsidRDefault="0031675F" w:rsidP="0031675F">
      <w:pPr>
        <w:spacing w:after="120"/>
      </w:pPr>
    </w:p>
    <w:p w14:paraId="15D223B2" w14:textId="29D65EBD" w:rsidR="0031675F" w:rsidRPr="00DA347E" w:rsidRDefault="0031675F" w:rsidP="00531EF5">
      <w:pPr>
        <w:rPr>
          <w:rFonts w:cs="Arial"/>
          <w:b/>
          <w:lang w:eastAsia="en-AU"/>
        </w:rPr>
      </w:pPr>
      <w:r w:rsidRPr="00DA347E">
        <w:rPr>
          <w:rFonts w:cs="Arial"/>
          <w:b/>
          <w:lang w:eastAsia="en-AU"/>
        </w:rPr>
        <w:t>Calculating the temperature calibration slope and intercept</w:t>
      </w:r>
    </w:p>
    <w:p w14:paraId="39B00E00" w14:textId="77777777" w:rsidR="0031675F" w:rsidRPr="00E2020D" w:rsidRDefault="0031675F" w:rsidP="0031675F">
      <w:pPr>
        <w:numPr>
          <w:ilvl w:val="0"/>
          <w:numId w:val="153"/>
        </w:numPr>
        <w:spacing w:before="0" w:after="0" w:line="240" w:lineRule="auto"/>
        <w:rPr>
          <w:rFonts w:eastAsia="Times New Roman" w:cs="Arial"/>
          <w:color w:val="000000"/>
          <w:lang w:eastAsia="en-AU"/>
        </w:rPr>
      </w:pPr>
      <w:r w:rsidRPr="00E2020D">
        <w:rPr>
          <w:rFonts w:eastAsia="Times New Roman" w:cs="Arial"/>
          <w:color w:val="000000"/>
          <w:lang w:eastAsia="en-AU"/>
        </w:rPr>
        <w:t>Use the STDMS Sea Temperature Data Management System (STDMS)</w:t>
      </w:r>
    </w:p>
    <w:p w14:paraId="3215E187" w14:textId="77777777" w:rsidR="0031675F" w:rsidRPr="00E2020D" w:rsidRDefault="0031675F" w:rsidP="0031675F">
      <w:pPr>
        <w:numPr>
          <w:ilvl w:val="0"/>
          <w:numId w:val="153"/>
        </w:numPr>
        <w:spacing w:before="0" w:after="0" w:line="240" w:lineRule="auto"/>
        <w:rPr>
          <w:rFonts w:eastAsia="Times New Roman" w:cs="Arial"/>
          <w:color w:val="000000"/>
          <w:lang w:eastAsia="en-AU"/>
        </w:rPr>
      </w:pPr>
      <w:r w:rsidRPr="00E2020D">
        <w:rPr>
          <w:rFonts w:eastAsia="Times New Roman" w:cs="Arial"/>
          <w:color w:val="000000"/>
          <w:lang w:eastAsia="en-AU"/>
        </w:rPr>
        <w:t>The latest STDMS is here:</w:t>
      </w:r>
    </w:p>
    <w:p w14:paraId="0C79D57B" w14:textId="77777777" w:rsidR="0031675F" w:rsidRPr="00E2020D" w:rsidRDefault="00740B55" w:rsidP="0031675F">
      <w:pPr>
        <w:numPr>
          <w:ilvl w:val="0"/>
          <w:numId w:val="153"/>
        </w:numPr>
        <w:spacing w:before="0" w:after="0" w:line="240" w:lineRule="auto"/>
        <w:rPr>
          <w:rFonts w:eastAsia="Times New Roman" w:cs="Arial"/>
          <w:color w:val="000000"/>
          <w:lang w:eastAsia="en-AU"/>
        </w:rPr>
      </w:pPr>
      <w:hyperlink r:id="rId165" w:tgtFrame="_blank" w:history="1">
        <w:r w:rsidR="0031675F" w:rsidRPr="00E2020D">
          <w:rPr>
            <w:rFonts w:eastAsia="Calibri" w:cs="Arial"/>
            <w:color w:val="0000FF"/>
            <w:u w:val="single"/>
            <w:lang w:eastAsia="en-AU"/>
          </w:rPr>
          <w:t>\\PEARL\aims-data\adc-tools\stdms</w:t>
        </w:r>
      </w:hyperlink>
    </w:p>
    <w:p w14:paraId="38FF9691" w14:textId="77777777" w:rsidR="0031675F" w:rsidRPr="00E2020D" w:rsidRDefault="0031675F" w:rsidP="0031675F">
      <w:pPr>
        <w:numPr>
          <w:ilvl w:val="0"/>
          <w:numId w:val="153"/>
        </w:numPr>
        <w:spacing w:before="0" w:after="0" w:line="240" w:lineRule="auto"/>
        <w:rPr>
          <w:rFonts w:eastAsia="Times New Roman" w:cs="Arial"/>
          <w:color w:val="000000"/>
          <w:lang w:eastAsia="en-AU"/>
        </w:rPr>
      </w:pPr>
      <w:r w:rsidRPr="00E2020D">
        <w:rPr>
          <w:rFonts w:eastAsia="Times New Roman" w:cs="Arial"/>
          <w:color w:val="000000"/>
          <w:lang w:eastAsia="en-AU"/>
        </w:rPr>
        <w:t>Open STDMS</w:t>
      </w:r>
    </w:p>
    <w:p w14:paraId="40400C12" w14:textId="77777777" w:rsidR="0031675F" w:rsidRPr="00E2020D" w:rsidRDefault="0031675F" w:rsidP="0031675F">
      <w:pPr>
        <w:numPr>
          <w:ilvl w:val="0"/>
          <w:numId w:val="153"/>
        </w:numPr>
        <w:spacing w:before="0" w:after="0" w:line="240" w:lineRule="auto"/>
        <w:rPr>
          <w:rFonts w:eastAsia="Times New Roman" w:cs="Arial"/>
          <w:color w:val="000000"/>
          <w:lang w:eastAsia="en-AU"/>
        </w:rPr>
      </w:pPr>
      <w:r w:rsidRPr="00E2020D">
        <w:rPr>
          <w:rFonts w:eastAsia="Times New Roman" w:cs="Arial"/>
          <w:color w:val="000000"/>
          <w:lang w:eastAsia="en-AU"/>
        </w:rPr>
        <w:t xml:space="preserve">Put a valid folder in “working directory”  Eg C:\underway\Calibration </w:t>
      </w:r>
    </w:p>
    <w:p w14:paraId="741BEEBE" w14:textId="77777777" w:rsidR="0031675F" w:rsidRPr="00E2020D" w:rsidRDefault="0031675F" w:rsidP="0031675F">
      <w:pPr>
        <w:numPr>
          <w:ilvl w:val="0"/>
          <w:numId w:val="153"/>
        </w:numPr>
        <w:spacing w:before="0" w:after="0" w:line="240" w:lineRule="auto"/>
        <w:rPr>
          <w:rFonts w:eastAsia="Times New Roman" w:cs="Arial"/>
          <w:color w:val="000000"/>
          <w:lang w:eastAsia="en-AU"/>
        </w:rPr>
      </w:pPr>
      <w:r w:rsidRPr="00E2020D">
        <w:rPr>
          <w:rFonts w:eastAsia="Times New Roman" w:cs="Arial"/>
          <w:color w:val="000000"/>
          <w:lang w:eastAsia="en-AU"/>
        </w:rPr>
        <w:t>Press “set up folders”</w:t>
      </w:r>
    </w:p>
    <w:p w14:paraId="6EA2F7EA" w14:textId="77777777" w:rsidR="0031675F" w:rsidRPr="0031675F" w:rsidRDefault="0031675F" w:rsidP="0031675F">
      <w:pPr>
        <w:spacing w:before="0" w:after="0" w:line="240" w:lineRule="auto"/>
        <w:rPr>
          <w:rFonts w:ascii="Calibri" w:eastAsia="Times New Roman" w:hAnsi="Calibri"/>
          <w:color w:val="000000"/>
          <w:lang w:eastAsia="en-AU"/>
        </w:rPr>
      </w:pPr>
    </w:p>
    <w:p w14:paraId="7D0DC6D0" w14:textId="77777777" w:rsidR="0031675F" w:rsidRPr="0031675F" w:rsidRDefault="0031675F" w:rsidP="0031675F">
      <w:pPr>
        <w:spacing w:before="0" w:after="0" w:line="240" w:lineRule="auto"/>
        <w:rPr>
          <w:rFonts w:ascii="Calibri" w:eastAsia="Times New Roman" w:hAnsi="Calibri"/>
          <w:color w:val="000000"/>
          <w:lang w:eastAsia="en-AU"/>
        </w:rPr>
      </w:pPr>
      <w:r w:rsidRPr="0031675F">
        <w:rPr>
          <w:rFonts w:ascii="Times New Roman" w:eastAsia="Times New Roman" w:hAnsi="Times New Roman"/>
          <w:noProof/>
          <w:sz w:val="24"/>
          <w:szCs w:val="24"/>
          <w:lang w:eastAsia="en-AU"/>
        </w:rPr>
        <w:drawing>
          <wp:inline distT="0" distB="0" distL="0" distR="0" wp14:anchorId="4BA43406" wp14:editId="59BA945D">
            <wp:extent cx="4581525" cy="2505075"/>
            <wp:effectExtent l="0" t="0" r="9525" b="9525"/>
            <wp:docPr id="9478" name="Picture 9478" descr="Screen shot of 'Sea temperature logger data management system'."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6"/>
                    <a:stretch>
                      <a:fillRect/>
                    </a:stretch>
                  </pic:blipFill>
                  <pic:spPr>
                    <a:xfrm>
                      <a:off x="0" y="0"/>
                      <a:ext cx="4581525" cy="2505075"/>
                    </a:xfrm>
                    <a:prstGeom prst="rect">
                      <a:avLst/>
                    </a:prstGeom>
                  </pic:spPr>
                </pic:pic>
              </a:graphicData>
            </a:graphic>
          </wp:inline>
        </w:drawing>
      </w:r>
    </w:p>
    <w:p w14:paraId="14910EAE" w14:textId="77777777" w:rsidR="0031675F" w:rsidRPr="0031675F" w:rsidRDefault="0031675F" w:rsidP="0031675F">
      <w:pPr>
        <w:spacing w:before="0" w:after="0" w:line="240" w:lineRule="auto"/>
        <w:rPr>
          <w:rFonts w:ascii="Calibri" w:eastAsia="Times New Roman" w:hAnsi="Calibri"/>
          <w:color w:val="000000"/>
          <w:lang w:eastAsia="en-AU"/>
        </w:rPr>
      </w:pPr>
    </w:p>
    <w:p w14:paraId="1BECD918" w14:textId="77777777" w:rsidR="0031675F" w:rsidRPr="00E2020D" w:rsidRDefault="0031675F" w:rsidP="0031675F">
      <w:pPr>
        <w:numPr>
          <w:ilvl w:val="0"/>
          <w:numId w:val="153"/>
        </w:numPr>
        <w:spacing w:before="0" w:after="0" w:line="240" w:lineRule="auto"/>
        <w:rPr>
          <w:rFonts w:eastAsia="Times New Roman" w:cs="Arial"/>
          <w:color w:val="000000"/>
          <w:lang w:eastAsia="en-AU"/>
        </w:rPr>
      </w:pPr>
      <w:r w:rsidRPr="00E2020D">
        <w:rPr>
          <w:rFonts w:eastAsia="Times New Roman" w:cs="Arial"/>
          <w:color w:val="000000"/>
          <w:lang w:eastAsia="en-AU"/>
        </w:rPr>
        <w:t xml:space="preserve">Copy your data files to a sub-folder of &lt;working directory&gt;/calibration/cals  </w:t>
      </w:r>
    </w:p>
    <w:p w14:paraId="685123D1" w14:textId="77777777" w:rsidR="0031675F" w:rsidRPr="00E2020D" w:rsidRDefault="0031675F" w:rsidP="0031675F">
      <w:pPr>
        <w:numPr>
          <w:ilvl w:val="0"/>
          <w:numId w:val="153"/>
        </w:numPr>
        <w:spacing w:before="0" w:after="0" w:line="240" w:lineRule="auto"/>
        <w:rPr>
          <w:rFonts w:eastAsia="Times New Roman" w:cs="Arial"/>
          <w:color w:val="000000"/>
          <w:lang w:eastAsia="en-AU"/>
        </w:rPr>
      </w:pPr>
      <w:r w:rsidRPr="00E2020D">
        <w:rPr>
          <w:rFonts w:eastAsia="Times New Roman" w:cs="Arial"/>
          <w:color w:val="000000"/>
          <w:lang w:eastAsia="en-AU"/>
        </w:rPr>
        <w:t xml:space="preserve">Eg </w:t>
      </w:r>
      <w:r w:rsidRPr="00E2020D">
        <w:rPr>
          <w:rFonts w:eastAsia="Times New Roman" w:cs="Arial"/>
          <w:lang w:eastAsia="en-AU"/>
        </w:rPr>
        <w:t>C:\underway\Calibration\Cals</w:t>
      </w:r>
    </w:p>
    <w:p w14:paraId="0BD7E850" w14:textId="77777777" w:rsidR="0031675F" w:rsidRPr="00E2020D" w:rsidRDefault="0031675F" w:rsidP="0031675F">
      <w:pPr>
        <w:spacing w:before="0" w:after="0" w:line="240" w:lineRule="auto"/>
        <w:rPr>
          <w:rFonts w:eastAsia="Times New Roman" w:cs="Arial"/>
          <w:color w:val="000000"/>
          <w:lang w:eastAsia="en-AU"/>
        </w:rPr>
      </w:pPr>
    </w:p>
    <w:p w14:paraId="74F8014D" w14:textId="77777777" w:rsidR="0031675F" w:rsidRPr="00E2020D" w:rsidRDefault="0031675F" w:rsidP="0031675F">
      <w:pPr>
        <w:spacing w:before="0" w:after="0" w:line="240" w:lineRule="auto"/>
        <w:rPr>
          <w:rFonts w:eastAsia="Times New Roman" w:cs="Arial"/>
          <w:color w:val="000000"/>
          <w:lang w:eastAsia="en-AU"/>
        </w:rPr>
      </w:pPr>
      <w:r w:rsidRPr="00E2020D">
        <w:rPr>
          <w:rFonts w:eastAsia="Times New Roman" w:cs="Arial"/>
          <w:noProof/>
          <w:sz w:val="24"/>
          <w:szCs w:val="24"/>
          <w:lang w:eastAsia="en-AU"/>
        </w:rPr>
        <w:drawing>
          <wp:inline distT="0" distB="0" distL="0" distR="0" wp14:anchorId="64785E81" wp14:editId="6C64E6FB">
            <wp:extent cx="4580965" cy="2252435"/>
            <wp:effectExtent l="0" t="0" r="0" b="0"/>
            <wp:docPr id="45" name="Picture 45" descr="Screen shot of 'Calibration sub-folder' for storing data."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7"/>
                    <a:stretch>
                      <a:fillRect/>
                    </a:stretch>
                  </pic:blipFill>
                  <pic:spPr>
                    <a:xfrm>
                      <a:off x="0" y="0"/>
                      <a:ext cx="4578281" cy="2251115"/>
                    </a:xfrm>
                    <a:prstGeom prst="rect">
                      <a:avLst/>
                    </a:prstGeom>
                  </pic:spPr>
                </pic:pic>
              </a:graphicData>
            </a:graphic>
          </wp:inline>
        </w:drawing>
      </w:r>
    </w:p>
    <w:p w14:paraId="6956E8AC" w14:textId="77777777" w:rsidR="0031675F" w:rsidRPr="00E2020D" w:rsidRDefault="0031675F" w:rsidP="0031675F">
      <w:pPr>
        <w:spacing w:before="0" w:after="0" w:line="240" w:lineRule="auto"/>
        <w:rPr>
          <w:rFonts w:eastAsia="Times New Roman" w:cs="Arial"/>
          <w:color w:val="000000"/>
          <w:lang w:eastAsia="en-AU"/>
        </w:rPr>
      </w:pPr>
    </w:p>
    <w:p w14:paraId="4628F882" w14:textId="77777777" w:rsidR="0031675F" w:rsidRPr="00E2020D" w:rsidRDefault="0031675F" w:rsidP="0031675F">
      <w:pPr>
        <w:numPr>
          <w:ilvl w:val="0"/>
          <w:numId w:val="153"/>
        </w:numPr>
        <w:spacing w:before="0" w:after="0" w:line="240" w:lineRule="auto"/>
        <w:rPr>
          <w:rFonts w:eastAsia="Times New Roman" w:cs="Arial"/>
          <w:color w:val="000000"/>
          <w:lang w:eastAsia="en-AU"/>
        </w:rPr>
      </w:pPr>
      <w:r w:rsidRPr="00E2020D">
        <w:rPr>
          <w:rFonts w:eastAsia="Times New Roman" w:cs="Arial"/>
          <w:color w:val="000000"/>
          <w:lang w:eastAsia="en-AU"/>
        </w:rPr>
        <w:t>Press the button “batch calibration”</w:t>
      </w:r>
    </w:p>
    <w:p w14:paraId="2CD26DE4" w14:textId="77777777" w:rsidR="0031675F" w:rsidRPr="00E2020D" w:rsidRDefault="0031675F" w:rsidP="0031675F">
      <w:pPr>
        <w:numPr>
          <w:ilvl w:val="0"/>
          <w:numId w:val="153"/>
        </w:numPr>
        <w:spacing w:before="0" w:after="0" w:line="240" w:lineRule="auto"/>
        <w:rPr>
          <w:rFonts w:eastAsia="Times New Roman" w:cs="Arial"/>
          <w:color w:val="000000"/>
          <w:lang w:eastAsia="en-AU"/>
        </w:rPr>
      </w:pPr>
      <w:r w:rsidRPr="00E2020D">
        <w:rPr>
          <w:rFonts w:eastAsia="Times New Roman" w:cs="Arial"/>
          <w:color w:val="000000"/>
          <w:lang w:eastAsia="en-AU"/>
        </w:rPr>
        <w:t>Use the “…” buttons to choose a folder and a reference file</w:t>
      </w:r>
    </w:p>
    <w:p w14:paraId="1FCE956D" w14:textId="77777777" w:rsidR="0031675F" w:rsidRPr="00E2020D" w:rsidRDefault="0031675F" w:rsidP="0031675F">
      <w:pPr>
        <w:spacing w:before="0" w:after="0" w:line="240" w:lineRule="auto"/>
        <w:rPr>
          <w:rFonts w:eastAsia="Times New Roman" w:cs="Arial"/>
          <w:color w:val="000000"/>
          <w:lang w:eastAsia="en-AU"/>
        </w:rPr>
      </w:pPr>
    </w:p>
    <w:p w14:paraId="53474905" w14:textId="77777777" w:rsidR="0031675F" w:rsidRPr="00E2020D" w:rsidRDefault="0031675F" w:rsidP="0031675F">
      <w:pPr>
        <w:spacing w:before="0" w:after="0" w:line="240" w:lineRule="auto"/>
        <w:rPr>
          <w:rFonts w:eastAsia="Times New Roman" w:cs="Arial"/>
          <w:color w:val="000000"/>
          <w:lang w:eastAsia="en-AU"/>
        </w:rPr>
      </w:pPr>
      <w:r w:rsidRPr="00E2020D">
        <w:rPr>
          <w:rFonts w:eastAsia="Times New Roman" w:cs="Arial"/>
          <w:noProof/>
          <w:sz w:val="24"/>
          <w:szCs w:val="24"/>
          <w:lang w:eastAsia="en-AU"/>
        </w:rPr>
        <w:drawing>
          <wp:inline distT="0" distB="0" distL="0" distR="0" wp14:anchorId="1FA842A6" wp14:editId="156959A1">
            <wp:extent cx="5935980" cy="985525"/>
            <wp:effectExtent l="0" t="0" r="7620" b="5080"/>
            <wp:docPr id="46" name="Picture 46" descr="Screen shot of 'Batch calibration' options."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8"/>
                    <a:stretch>
                      <a:fillRect/>
                    </a:stretch>
                  </pic:blipFill>
                  <pic:spPr>
                    <a:xfrm>
                      <a:off x="0" y="0"/>
                      <a:ext cx="5935980" cy="985525"/>
                    </a:xfrm>
                    <a:prstGeom prst="rect">
                      <a:avLst/>
                    </a:prstGeom>
                  </pic:spPr>
                </pic:pic>
              </a:graphicData>
            </a:graphic>
          </wp:inline>
        </w:drawing>
      </w:r>
    </w:p>
    <w:p w14:paraId="70C91729" w14:textId="77777777" w:rsidR="0031675F" w:rsidRPr="00E2020D" w:rsidRDefault="0031675F" w:rsidP="0031675F">
      <w:pPr>
        <w:spacing w:before="0" w:after="0" w:line="240" w:lineRule="auto"/>
        <w:rPr>
          <w:rFonts w:eastAsia="Times New Roman" w:cs="Arial"/>
          <w:color w:val="000000"/>
          <w:lang w:eastAsia="en-AU"/>
        </w:rPr>
      </w:pPr>
    </w:p>
    <w:p w14:paraId="6D8A71A2" w14:textId="77777777" w:rsidR="0031675F" w:rsidRPr="00E2020D" w:rsidRDefault="0031675F" w:rsidP="0031675F">
      <w:pPr>
        <w:numPr>
          <w:ilvl w:val="0"/>
          <w:numId w:val="153"/>
        </w:numPr>
        <w:spacing w:before="0" w:after="0" w:line="240" w:lineRule="auto"/>
        <w:rPr>
          <w:rFonts w:eastAsia="Times New Roman" w:cs="Arial"/>
          <w:color w:val="000000"/>
          <w:lang w:eastAsia="en-AU"/>
        </w:rPr>
      </w:pPr>
      <w:r w:rsidRPr="00E2020D">
        <w:rPr>
          <w:rFonts w:eastAsia="Times New Roman" w:cs="Arial"/>
          <w:color w:val="000000"/>
          <w:lang w:eastAsia="en-AU"/>
        </w:rPr>
        <w:t>Press the “GO” button.</w:t>
      </w:r>
    </w:p>
    <w:p w14:paraId="733649DC" w14:textId="77777777" w:rsidR="0031675F" w:rsidRPr="00E2020D" w:rsidRDefault="0031675F" w:rsidP="0031675F">
      <w:pPr>
        <w:numPr>
          <w:ilvl w:val="0"/>
          <w:numId w:val="153"/>
        </w:numPr>
        <w:spacing w:before="0" w:after="0" w:line="240" w:lineRule="auto"/>
        <w:rPr>
          <w:rFonts w:eastAsia="Times New Roman" w:cs="Arial"/>
          <w:color w:val="000000"/>
          <w:lang w:eastAsia="en-AU"/>
        </w:rPr>
      </w:pPr>
      <w:r w:rsidRPr="00E2020D">
        <w:rPr>
          <w:rFonts w:eastAsia="Times New Roman" w:cs="Arial"/>
          <w:color w:val="000000"/>
          <w:lang w:eastAsia="en-AU"/>
        </w:rPr>
        <w:t>Find your calibration files in the “cals” subdirectory of the data directory.</w:t>
      </w:r>
    </w:p>
    <w:p w14:paraId="4E9780AE" w14:textId="6650B1F0" w:rsidR="0031675F" w:rsidRPr="00132E98" w:rsidRDefault="0031675F" w:rsidP="006478F4">
      <w:pPr>
        <w:numPr>
          <w:ilvl w:val="0"/>
          <w:numId w:val="153"/>
        </w:numPr>
        <w:spacing w:before="0" w:after="0" w:line="240" w:lineRule="auto"/>
        <w:rPr>
          <w:rFonts w:cs="Arial"/>
        </w:rPr>
      </w:pPr>
      <w:r w:rsidRPr="00E2020D">
        <w:rPr>
          <w:rFonts w:eastAsia="Times New Roman" w:cs="Arial"/>
          <w:color w:val="000000"/>
          <w:lang w:eastAsia="en-AU"/>
        </w:rPr>
        <w:t>Eg C:\underway\Calibration\Cals\cals</w:t>
      </w:r>
    </w:p>
    <w:p w14:paraId="25307E10" w14:textId="77777777" w:rsidR="0031675F" w:rsidRPr="0031675F" w:rsidRDefault="0031675F" w:rsidP="0031675F">
      <w:r w:rsidRPr="0031675F">
        <w:br w:type="page"/>
      </w:r>
    </w:p>
    <w:p w14:paraId="5060E009" w14:textId="77777777" w:rsidR="0031675F" w:rsidRPr="0031675F" w:rsidRDefault="0031675F" w:rsidP="0031675F"/>
    <w:p w14:paraId="2F7FAA43" w14:textId="77777777" w:rsidR="0031675F" w:rsidRPr="0031675F" w:rsidRDefault="0031675F" w:rsidP="0031675F">
      <w:r w:rsidRPr="0031675F">
        <w:t>Example calibration file output:</w:t>
      </w:r>
    </w:p>
    <w:p w14:paraId="4FB3A2E2" w14:textId="77777777" w:rsidR="0031675F" w:rsidRPr="0031675F" w:rsidRDefault="0031675F" w:rsidP="0031675F">
      <w:r w:rsidRPr="0031675F">
        <w:rPr>
          <w:noProof/>
          <w:lang w:eastAsia="en-AU"/>
        </w:rPr>
        <w:drawing>
          <wp:inline distT="0" distB="0" distL="0" distR="0" wp14:anchorId="61615652" wp14:editId="7A4750BD">
            <wp:extent cx="3792071" cy="1565105"/>
            <wp:effectExtent l="0" t="0" r="0" b="0"/>
            <wp:docPr id="47" name="Picture 47" descr="Screen shot of 'Calibration file output'." title="AIMS Laboratory calibration ch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9"/>
                    <a:stretch>
                      <a:fillRect/>
                    </a:stretch>
                  </pic:blipFill>
                  <pic:spPr>
                    <a:xfrm>
                      <a:off x="0" y="0"/>
                      <a:ext cx="3787953" cy="1563405"/>
                    </a:xfrm>
                    <a:prstGeom prst="rect">
                      <a:avLst/>
                    </a:prstGeom>
                  </pic:spPr>
                </pic:pic>
              </a:graphicData>
            </a:graphic>
          </wp:inline>
        </w:drawing>
      </w:r>
    </w:p>
    <w:p w14:paraId="397C8A13" w14:textId="77777777" w:rsidR="0031675F" w:rsidRPr="0031675F" w:rsidRDefault="0031675F" w:rsidP="0031675F">
      <w:pPr>
        <w:rPr>
          <w:rFonts w:cs="Calibri"/>
          <w:sz w:val="20"/>
          <w:szCs w:val="20"/>
        </w:rPr>
      </w:pPr>
    </w:p>
    <w:p w14:paraId="79C9C9CC" w14:textId="77777777" w:rsidR="0031675F" w:rsidRPr="0031675F" w:rsidRDefault="0031675F" w:rsidP="0031675F">
      <w:pPr>
        <w:rPr>
          <w:rFonts w:cs="Calibri"/>
          <w:sz w:val="20"/>
          <w:szCs w:val="20"/>
        </w:rPr>
      </w:pPr>
    </w:p>
    <w:p w14:paraId="4D4FA194" w14:textId="77777777" w:rsidR="0031675F" w:rsidRPr="0031675F" w:rsidRDefault="0031675F" w:rsidP="0031675F">
      <w:pPr>
        <w:widowControl w:val="0"/>
        <w:numPr>
          <w:ilvl w:val="1"/>
          <w:numId w:val="74"/>
        </w:numPr>
        <w:tabs>
          <w:tab w:val="left" w:pos="839"/>
        </w:tabs>
        <w:spacing w:before="206" w:after="0" w:line="240" w:lineRule="auto"/>
        <w:ind w:left="838"/>
        <w:jc w:val="both"/>
        <w:rPr>
          <w:rFonts w:eastAsia="Arial" w:cs="Arial"/>
          <w:sz w:val="24"/>
          <w:szCs w:val="24"/>
        </w:rPr>
      </w:pPr>
      <w:r w:rsidRPr="0031675F">
        <w:rPr>
          <w:b/>
          <w:spacing w:val="-1"/>
          <w:sz w:val="24"/>
        </w:rPr>
        <w:t>Components</w:t>
      </w:r>
      <w:r w:rsidRPr="0031675F">
        <w:rPr>
          <w:b/>
          <w:sz w:val="24"/>
        </w:rPr>
        <w:t xml:space="preserve"> and </w:t>
      </w:r>
      <w:r w:rsidRPr="0031675F">
        <w:rPr>
          <w:b/>
          <w:spacing w:val="-1"/>
          <w:sz w:val="24"/>
        </w:rPr>
        <w:t>preparation</w:t>
      </w:r>
      <w:r w:rsidRPr="0031675F">
        <w:rPr>
          <w:b/>
          <w:sz w:val="24"/>
        </w:rPr>
        <w:t xml:space="preserve"> of</w:t>
      </w:r>
      <w:r w:rsidRPr="0031675F">
        <w:rPr>
          <w:b/>
          <w:spacing w:val="-2"/>
          <w:sz w:val="24"/>
        </w:rPr>
        <w:t xml:space="preserve"> </w:t>
      </w:r>
      <w:r w:rsidRPr="0031675F">
        <w:rPr>
          <w:b/>
          <w:sz w:val="24"/>
        </w:rPr>
        <w:t xml:space="preserve">the ECO </w:t>
      </w:r>
      <w:r w:rsidRPr="0031675F">
        <w:rPr>
          <w:b/>
          <w:spacing w:val="-1"/>
          <w:sz w:val="24"/>
        </w:rPr>
        <w:t>logger</w:t>
      </w:r>
      <w:r w:rsidRPr="0031675F">
        <w:rPr>
          <w:b/>
          <w:sz w:val="24"/>
        </w:rPr>
        <w:t xml:space="preserve"> </w:t>
      </w:r>
      <w:r w:rsidRPr="0031675F">
        <w:rPr>
          <w:b/>
          <w:spacing w:val="-1"/>
          <w:sz w:val="24"/>
        </w:rPr>
        <w:t>for</w:t>
      </w:r>
      <w:r w:rsidRPr="0031675F">
        <w:rPr>
          <w:b/>
          <w:sz w:val="24"/>
        </w:rPr>
        <w:t xml:space="preserve"> field </w:t>
      </w:r>
      <w:r w:rsidRPr="0031675F">
        <w:rPr>
          <w:b/>
          <w:spacing w:val="-1"/>
          <w:sz w:val="24"/>
        </w:rPr>
        <w:t>deployment</w:t>
      </w:r>
    </w:p>
    <w:p w14:paraId="02F67805" w14:textId="77777777" w:rsidR="0031675F" w:rsidRPr="0031675F" w:rsidRDefault="0031675F" w:rsidP="0031675F">
      <w:pPr>
        <w:spacing w:before="10"/>
        <w:rPr>
          <w:rFonts w:eastAsia="Arial" w:cs="Arial"/>
          <w:b/>
          <w:bCs/>
          <w:sz w:val="20"/>
          <w:szCs w:val="20"/>
        </w:rPr>
      </w:pPr>
    </w:p>
    <w:p w14:paraId="446715B5" w14:textId="77777777" w:rsidR="0031675F" w:rsidRPr="0031675F" w:rsidRDefault="0031675F" w:rsidP="0031675F">
      <w:pPr>
        <w:widowControl w:val="0"/>
        <w:numPr>
          <w:ilvl w:val="2"/>
          <w:numId w:val="74"/>
        </w:numPr>
        <w:tabs>
          <w:tab w:val="left" w:pos="839"/>
        </w:tabs>
        <w:spacing w:before="0" w:after="0" w:line="240" w:lineRule="auto"/>
        <w:ind w:left="838"/>
        <w:jc w:val="both"/>
        <w:rPr>
          <w:rFonts w:eastAsia="Arial" w:cs="Arial"/>
        </w:rPr>
      </w:pPr>
      <w:r w:rsidRPr="0031675F">
        <w:rPr>
          <w:b/>
          <w:spacing w:val="-1"/>
        </w:rPr>
        <w:t>Components</w:t>
      </w:r>
    </w:p>
    <w:p w14:paraId="41B89BF2" w14:textId="77777777" w:rsidR="0031675F" w:rsidRPr="0031675F" w:rsidRDefault="0031675F" w:rsidP="0031675F">
      <w:pPr>
        <w:spacing w:before="11"/>
        <w:rPr>
          <w:rFonts w:eastAsia="Arial" w:cs="Arial"/>
          <w:b/>
          <w:bCs/>
          <w:sz w:val="20"/>
          <w:szCs w:val="20"/>
        </w:rPr>
      </w:pPr>
    </w:p>
    <w:p w14:paraId="62435F90" w14:textId="77777777" w:rsidR="0031675F" w:rsidRPr="0031675F" w:rsidRDefault="0031675F" w:rsidP="0031675F">
      <w:pPr>
        <w:ind w:left="118"/>
        <w:jc w:val="both"/>
        <w:rPr>
          <w:rFonts w:cs="Calibri"/>
        </w:rPr>
      </w:pPr>
      <w:r w:rsidRPr="0031675F">
        <w:rPr>
          <w:b/>
          <w:i/>
          <w:spacing w:val="-1"/>
        </w:rPr>
        <w:t>Connectors</w:t>
      </w:r>
    </w:p>
    <w:p w14:paraId="4DB6108C" w14:textId="77777777" w:rsidR="0031675F" w:rsidRPr="0031675F" w:rsidRDefault="0031675F" w:rsidP="0031675F">
      <w:pPr>
        <w:spacing w:before="120" w:after="120"/>
        <w:ind w:right="111"/>
        <w:jc w:val="both"/>
      </w:pPr>
      <w:r w:rsidRPr="0031675F">
        <w:rPr>
          <w:spacing w:val="-1"/>
        </w:rPr>
        <w:t>The</w:t>
      </w:r>
      <w:r w:rsidRPr="0031675F">
        <w:t xml:space="preserve"> </w:t>
      </w:r>
      <w:r w:rsidRPr="0031675F">
        <w:rPr>
          <w:spacing w:val="-1"/>
        </w:rPr>
        <w:t>logger</w:t>
      </w:r>
      <w:r w:rsidRPr="0031675F">
        <w:t xml:space="preserve"> </w:t>
      </w:r>
      <w:r w:rsidRPr="0031675F">
        <w:rPr>
          <w:spacing w:val="-1"/>
        </w:rPr>
        <w:t>uses</w:t>
      </w:r>
      <w:r w:rsidRPr="0031675F">
        <w:rPr>
          <w:spacing w:val="1"/>
        </w:rPr>
        <w:t xml:space="preserve"> </w:t>
      </w:r>
      <w:r w:rsidRPr="0031675F">
        <w:t>a</w:t>
      </w:r>
      <w:r w:rsidRPr="0031675F">
        <w:rPr>
          <w:spacing w:val="1"/>
        </w:rPr>
        <w:t xml:space="preserve"> </w:t>
      </w:r>
      <w:r w:rsidRPr="0031675F">
        <w:rPr>
          <w:spacing w:val="-1"/>
        </w:rPr>
        <w:t>six-pin bulkhead</w:t>
      </w:r>
      <w:r w:rsidRPr="0031675F">
        <w:t xml:space="preserve"> </w:t>
      </w:r>
      <w:r w:rsidRPr="0031675F">
        <w:rPr>
          <w:spacing w:val="-1"/>
        </w:rPr>
        <w:t>connector</w:t>
      </w:r>
      <w:r w:rsidRPr="0031675F">
        <w:t xml:space="preserve"> </w:t>
      </w:r>
      <w:r w:rsidRPr="0031675F">
        <w:rPr>
          <w:spacing w:val="-1"/>
        </w:rPr>
        <w:t>for</w:t>
      </w:r>
      <w:r w:rsidRPr="0031675F">
        <w:t xml:space="preserve"> </w:t>
      </w:r>
      <w:r w:rsidRPr="0031675F">
        <w:rPr>
          <w:spacing w:val="-1"/>
        </w:rPr>
        <w:t>External</w:t>
      </w:r>
      <w:r w:rsidRPr="0031675F">
        <w:t xml:space="preserve"> </w:t>
      </w:r>
      <w:r w:rsidRPr="0031675F">
        <w:rPr>
          <w:spacing w:val="-1"/>
        </w:rPr>
        <w:t>Power,</w:t>
      </w:r>
      <w:r w:rsidRPr="0031675F">
        <w:t xml:space="preserve"> </w:t>
      </w:r>
      <w:r w:rsidRPr="0031675F">
        <w:rPr>
          <w:spacing w:val="-1"/>
        </w:rPr>
        <w:t>RS232</w:t>
      </w:r>
      <w:r w:rsidRPr="0031675F">
        <w:t xml:space="preserve"> and</w:t>
      </w:r>
      <w:r w:rsidRPr="0031675F">
        <w:rPr>
          <w:spacing w:val="-2"/>
        </w:rPr>
        <w:t xml:space="preserve"> </w:t>
      </w:r>
      <w:r w:rsidRPr="0031675F">
        <w:rPr>
          <w:spacing w:val="-1"/>
        </w:rPr>
        <w:t>Analog Communications.</w:t>
      </w:r>
      <w:r w:rsidRPr="0031675F">
        <w:rPr>
          <w:spacing w:val="85"/>
        </w:rPr>
        <w:t xml:space="preserve"> </w:t>
      </w:r>
      <w:r w:rsidRPr="0031675F">
        <w:rPr>
          <w:spacing w:val="-1"/>
        </w:rPr>
        <w:t>(See</w:t>
      </w:r>
      <w:r w:rsidRPr="0031675F">
        <w:rPr>
          <w:spacing w:val="6"/>
        </w:rPr>
        <w:t xml:space="preserve"> </w:t>
      </w:r>
      <w:r w:rsidRPr="0031675F">
        <w:rPr>
          <w:spacing w:val="-1"/>
        </w:rPr>
        <w:t>Specifications</w:t>
      </w:r>
      <w:r w:rsidRPr="0031675F">
        <w:rPr>
          <w:spacing w:val="5"/>
        </w:rPr>
        <w:t xml:space="preserve"> </w:t>
      </w:r>
      <w:r w:rsidRPr="0031675F">
        <w:rPr>
          <w:spacing w:val="-1"/>
        </w:rPr>
        <w:t>Attachment</w:t>
      </w:r>
      <w:r w:rsidRPr="0031675F">
        <w:rPr>
          <w:spacing w:val="2"/>
        </w:rPr>
        <w:t xml:space="preserve"> </w:t>
      </w:r>
      <w:r w:rsidRPr="0031675F">
        <w:rPr>
          <w:spacing w:val="-1"/>
        </w:rPr>
        <w:t>11.7)</w:t>
      </w:r>
      <w:r w:rsidRPr="0031675F">
        <w:rPr>
          <w:spacing w:val="5"/>
        </w:rPr>
        <w:t xml:space="preserve"> </w:t>
      </w:r>
      <w:r w:rsidRPr="0031675F">
        <w:t>A</w:t>
      </w:r>
      <w:r w:rsidRPr="0031675F">
        <w:rPr>
          <w:spacing w:val="7"/>
        </w:rPr>
        <w:t xml:space="preserve"> </w:t>
      </w:r>
      <w:r w:rsidRPr="0031675F">
        <w:rPr>
          <w:spacing w:val="-1"/>
        </w:rPr>
        <w:t>three-pin</w:t>
      </w:r>
      <w:r w:rsidRPr="0031675F">
        <w:rPr>
          <w:spacing w:val="4"/>
        </w:rPr>
        <w:t xml:space="preserve"> </w:t>
      </w:r>
      <w:r w:rsidRPr="0031675F">
        <w:rPr>
          <w:spacing w:val="-1"/>
        </w:rPr>
        <w:t>bulkhead</w:t>
      </w:r>
      <w:r w:rsidRPr="0031675F">
        <w:rPr>
          <w:spacing w:val="5"/>
        </w:rPr>
        <w:t xml:space="preserve"> </w:t>
      </w:r>
      <w:r w:rsidRPr="0031675F">
        <w:rPr>
          <w:rFonts w:cs="Calibri"/>
          <w:spacing w:val="-1"/>
        </w:rPr>
        <w:t>connector</w:t>
      </w:r>
      <w:r w:rsidRPr="0031675F">
        <w:rPr>
          <w:rFonts w:cs="Calibri"/>
          <w:spacing w:val="2"/>
        </w:rPr>
        <w:t xml:space="preserve"> </w:t>
      </w:r>
      <w:r w:rsidRPr="0031675F">
        <w:rPr>
          <w:rFonts w:cs="Calibri"/>
          <w:spacing w:val="-1"/>
        </w:rPr>
        <w:t>“jumpers”</w:t>
      </w:r>
      <w:r w:rsidRPr="0031675F">
        <w:rPr>
          <w:rFonts w:cs="Calibri"/>
          <w:spacing w:val="6"/>
        </w:rPr>
        <w:t xml:space="preserve"> </w:t>
      </w:r>
      <w:r w:rsidRPr="0031675F">
        <w:rPr>
          <w:rFonts w:cs="Calibri"/>
          <w:spacing w:val="-1"/>
        </w:rPr>
        <w:t>power</w:t>
      </w:r>
      <w:r w:rsidRPr="0031675F">
        <w:rPr>
          <w:rFonts w:cs="Calibri"/>
          <w:spacing w:val="5"/>
        </w:rPr>
        <w:t xml:space="preserve"> </w:t>
      </w:r>
      <w:r w:rsidRPr="0031675F">
        <w:rPr>
          <w:rFonts w:cs="Calibri"/>
          <w:spacing w:val="-1"/>
        </w:rPr>
        <w:t>from</w:t>
      </w:r>
      <w:r w:rsidRPr="0031675F">
        <w:rPr>
          <w:rFonts w:cs="Calibri"/>
          <w:spacing w:val="6"/>
        </w:rPr>
        <w:t xml:space="preserve"> </w:t>
      </w:r>
      <w:r w:rsidRPr="0031675F">
        <w:rPr>
          <w:rFonts w:cs="Calibri"/>
          <w:spacing w:val="-1"/>
        </w:rPr>
        <w:t>internal</w:t>
      </w:r>
      <w:r w:rsidRPr="0031675F">
        <w:rPr>
          <w:rFonts w:cs="Calibri"/>
          <w:spacing w:val="99"/>
        </w:rPr>
        <w:t xml:space="preserve"> </w:t>
      </w:r>
      <w:r w:rsidRPr="0031675F">
        <w:rPr>
          <w:spacing w:val="-1"/>
        </w:rPr>
        <w:t>batteries</w:t>
      </w:r>
      <w:r w:rsidRPr="0031675F">
        <w:rPr>
          <w:spacing w:val="-2"/>
        </w:rPr>
        <w:t xml:space="preserve"> </w:t>
      </w:r>
      <w:r w:rsidRPr="0031675F">
        <w:rPr>
          <w:spacing w:val="-1"/>
        </w:rPr>
        <w:t>to</w:t>
      </w:r>
      <w:r w:rsidRPr="0031675F">
        <w:rPr>
          <w:spacing w:val="1"/>
        </w:rPr>
        <w:t xml:space="preserve"> </w:t>
      </w:r>
      <w:r w:rsidRPr="0031675F">
        <w:rPr>
          <w:spacing w:val="-1"/>
        </w:rPr>
        <w:t>the</w:t>
      </w:r>
      <w:r w:rsidRPr="0031675F">
        <w:rPr>
          <w:spacing w:val="-2"/>
        </w:rPr>
        <w:t xml:space="preserve"> </w:t>
      </w:r>
      <w:r w:rsidRPr="0031675F">
        <w:rPr>
          <w:spacing w:val="-1"/>
        </w:rPr>
        <w:t>logger</w:t>
      </w:r>
      <w:r w:rsidRPr="0031675F">
        <w:rPr>
          <w:spacing w:val="-2"/>
        </w:rPr>
        <w:t xml:space="preserve"> </w:t>
      </w:r>
      <w:r w:rsidRPr="0031675F">
        <w:t>for</w:t>
      </w:r>
      <w:r w:rsidRPr="0031675F">
        <w:rPr>
          <w:spacing w:val="-5"/>
        </w:rPr>
        <w:t xml:space="preserve"> </w:t>
      </w:r>
      <w:r w:rsidRPr="0031675F">
        <w:rPr>
          <w:spacing w:val="-1"/>
        </w:rPr>
        <w:t>autonomous</w:t>
      </w:r>
      <w:r w:rsidRPr="0031675F">
        <w:rPr>
          <w:spacing w:val="-2"/>
        </w:rPr>
        <w:t xml:space="preserve"> </w:t>
      </w:r>
      <w:r w:rsidRPr="0031675F">
        <w:rPr>
          <w:spacing w:val="-1"/>
        </w:rPr>
        <w:t>operation.</w:t>
      </w:r>
      <w:r w:rsidRPr="0031675F">
        <w:t xml:space="preserve"> </w:t>
      </w:r>
      <w:r w:rsidRPr="0031675F">
        <w:rPr>
          <w:spacing w:val="-2"/>
        </w:rPr>
        <w:t>(See</w:t>
      </w:r>
      <w:r w:rsidRPr="0031675F">
        <w:t xml:space="preserve"> </w:t>
      </w:r>
      <w:r w:rsidRPr="0031675F">
        <w:rPr>
          <w:spacing w:val="-1"/>
        </w:rPr>
        <w:t>ECO</w:t>
      </w:r>
      <w:r w:rsidRPr="0031675F">
        <w:rPr>
          <w:spacing w:val="-2"/>
        </w:rPr>
        <w:t xml:space="preserve"> </w:t>
      </w:r>
      <w:r w:rsidRPr="0031675F">
        <w:t>logger</w:t>
      </w:r>
      <w:r w:rsidRPr="0031675F">
        <w:rPr>
          <w:spacing w:val="-2"/>
        </w:rPr>
        <w:t xml:space="preserve"> </w:t>
      </w:r>
      <w:r w:rsidRPr="0031675F">
        <w:rPr>
          <w:spacing w:val="-1"/>
        </w:rPr>
        <w:t>connector</w:t>
      </w:r>
      <w:r w:rsidRPr="0031675F">
        <w:t xml:space="preserve"> </w:t>
      </w:r>
      <w:r w:rsidRPr="0031675F">
        <w:rPr>
          <w:spacing w:val="-1"/>
        </w:rPr>
        <w:t>schematic</w:t>
      </w:r>
      <w:r w:rsidRPr="0031675F">
        <w:t xml:space="preserve"> </w:t>
      </w:r>
      <w:r w:rsidRPr="0031675F">
        <w:rPr>
          <w:spacing w:val="-1"/>
        </w:rPr>
        <w:t>below.)</w:t>
      </w:r>
    </w:p>
    <w:p w14:paraId="5CA5A0A7" w14:textId="77777777" w:rsidR="0031675F" w:rsidRPr="0031675F" w:rsidRDefault="0031675F" w:rsidP="0031675F">
      <w:pPr>
        <w:spacing w:before="1"/>
        <w:rPr>
          <w:rFonts w:cs="Calibri"/>
          <w:sz w:val="10"/>
          <w:szCs w:val="10"/>
        </w:rPr>
      </w:pPr>
    </w:p>
    <w:p w14:paraId="5910FFAE" w14:textId="77777777" w:rsidR="0031675F" w:rsidRPr="0031675F" w:rsidRDefault="0031675F" w:rsidP="0031675F">
      <w:pPr>
        <w:spacing w:line="200" w:lineRule="atLeast"/>
        <w:ind w:left="148"/>
        <w:rPr>
          <w:rFonts w:cs="Calibri"/>
          <w:sz w:val="20"/>
          <w:szCs w:val="20"/>
        </w:rPr>
      </w:pPr>
      <w:r w:rsidRPr="0031675F">
        <w:rPr>
          <w:rFonts w:cs="Calibri"/>
          <w:noProof/>
          <w:sz w:val="20"/>
          <w:szCs w:val="20"/>
          <w:lang w:eastAsia="en-AU"/>
        </w:rPr>
        <w:drawing>
          <wp:inline distT="0" distB="0" distL="0" distR="0" wp14:anchorId="2DDE4712" wp14:editId="12D145F3">
            <wp:extent cx="3905250" cy="2219325"/>
            <wp:effectExtent l="0" t="0" r="0" b="9525"/>
            <wp:docPr id="9479" name="image50.png" descr="Diagram of bulkhead specifictions." title="11.3 Components and preparation of the ECO logger for field deploy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0.png"/>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3905250" cy="2219325"/>
                    </a:xfrm>
                    <a:prstGeom prst="rect">
                      <a:avLst/>
                    </a:prstGeom>
                    <a:noFill/>
                    <a:ln>
                      <a:noFill/>
                    </a:ln>
                  </pic:spPr>
                </pic:pic>
              </a:graphicData>
            </a:graphic>
          </wp:inline>
        </w:drawing>
      </w:r>
    </w:p>
    <w:p w14:paraId="7C2DAE51" w14:textId="77777777" w:rsidR="0031675F" w:rsidRPr="0031675F" w:rsidRDefault="0031675F" w:rsidP="0031675F">
      <w:pPr>
        <w:widowControl w:val="0"/>
        <w:numPr>
          <w:ilvl w:val="1"/>
          <w:numId w:val="72"/>
        </w:numPr>
        <w:tabs>
          <w:tab w:val="left" w:pos="546"/>
        </w:tabs>
        <w:spacing w:before="34" w:after="0" w:line="239" w:lineRule="auto"/>
        <w:ind w:right="114" w:firstLine="0"/>
        <w:jc w:val="both"/>
      </w:pPr>
      <w:r w:rsidRPr="0031675F">
        <w:t>Pin</w:t>
      </w:r>
      <w:r w:rsidRPr="0031675F">
        <w:rPr>
          <w:spacing w:val="4"/>
        </w:rPr>
        <w:t xml:space="preserve"> </w:t>
      </w:r>
      <w:r w:rsidRPr="0031675F">
        <w:t>6</w:t>
      </w:r>
      <w:r w:rsidRPr="0031675F">
        <w:rPr>
          <w:spacing w:val="5"/>
        </w:rPr>
        <w:t xml:space="preserve"> </w:t>
      </w:r>
      <w:r w:rsidRPr="0031675F">
        <w:t>of</w:t>
      </w:r>
      <w:r w:rsidRPr="0031675F">
        <w:rPr>
          <w:spacing w:val="5"/>
        </w:rPr>
        <w:t xml:space="preserve"> </w:t>
      </w:r>
      <w:r w:rsidRPr="0031675F">
        <w:rPr>
          <w:spacing w:val="-1"/>
        </w:rPr>
        <w:t>the</w:t>
      </w:r>
      <w:r w:rsidRPr="0031675F">
        <w:rPr>
          <w:spacing w:val="5"/>
        </w:rPr>
        <w:t xml:space="preserve"> </w:t>
      </w:r>
      <w:r w:rsidRPr="0031675F">
        <w:t>6</w:t>
      </w:r>
      <w:r w:rsidRPr="0031675F">
        <w:rPr>
          <w:spacing w:val="8"/>
        </w:rPr>
        <w:t xml:space="preserve"> </w:t>
      </w:r>
      <w:r w:rsidRPr="0031675F">
        <w:rPr>
          <w:rFonts w:cs="Calibri"/>
          <w:spacing w:val="-1"/>
        </w:rPr>
        <w:t>pin</w:t>
      </w:r>
      <w:r w:rsidRPr="0031675F">
        <w:rPr>
          <w:rFonts w:cs="Calibri"/>
          <w:spacing w:val="4"/>
        </w:rPr>
        <w:t xml:space="preserve"> </w:t>
      </w:r>
      <w:r w:rsidRPr="0031675F">
        <w:rPr>
          <w:rFonts w:cs="Calibri"/>
          <w:spacing w:val="-1"/>
        </w:rPr>
        <w:t>bulkhead</w:t>
      </w:r>
      <w:r w:rsidRPr="0031675F">
        <w:rPr>
          <w:rFonts w:cs="Calibri"/>
          <w:spacing w:val="4"/>
        </w:rPr>
        <w:t xml:space="preserve"> </w:t>
      </w:r>
      <w:r w:rsidRPr="0031675F">
        <w:rPr>
          <w:rFonts w:cs="Calibri"/>
          <w:spacing w:val="-1"/>
        </w:rPr>
        <w:t>connector</w:t>
      </w:r>
      <w:r w:rsidRPr="0031675F">
        <w:rPr>
          <w:rFonts w:cs="Calibri"/>
          <w:spacing w:val="5"/>
        </w:rPr>
        <w:t xml:space="preserve"> </w:t>
      </w:r>
      <w:r w:rsidRPr="0031675F">
        <w:rPr>
          <w:rFonts w:cs="Calibri"/>
        </w:rPr>
        <w:t>is</w:t>
      </w:r>
      <w:r w:rsidRPr="0031675F">
        <w:rPr>
          <w:rFonts w:cs="Calibri"/>
          <w:spacing w:val="5"/>
        </w:rPr>
        <w:t xml:space="preserve"> </w:t>
      </w:r>
      <w:r w:rsidRPr="0031675F">
        <w:rPr>
          <w:rFonts w:cs="Calibri"/>
          <w:spacing w:val="-1"/>
        </w:rPr>
        <w:t>always</w:t>
      </w:r>
      <w:r w:rsidRPr="0031675F">
        <w:rPr>
          <w:rFonts w:cs="Calibri"/>
          <w:spacing w:val="5"/>
        </w:rPr>
        <w:t xml:space="preserve"> </w:t>
      </w:r>
      <w:r w:rsidRPr="0031675F">
        <w:rPr>
          <w:rFonts w:cs="Calibri"/>
          <w:spacing w:val="-1"/>
        </w:rPr>
        <w:t>“HOT”.</w:t>
      </w:r>
      <w:r w:rsidRPr="0031675F">
        <w:rPr>
          <w:rFonts w:cs="Calibri"/>
          <w:spacing w:val="4"/>
        </w:rPr>
        <w:t xml:space="preserve"> </w:t>
      </w:r>
      <w:r w:rsidRPr="0031675F">
        <w:rPr>
          <w:rFonts w:cs="Calibri"/>
          <w:spacing w:val="-1"/>
        </w:rPr>
        <w:t>Ensure</w:t>
      </w:r>
      <w:r w:rsidRPr="0031675F">
        <w:rPr>
          <w:rFonts w:cs="Calibri"/>
          <w:spacing w:val="3"/>
        </w:rPr>
        <w:t xml:space="preserve"> </w:t>
      </w:r>
      <w:r w:rsidRPr="0031675F">
        <w:rPr>
          <w:rFonts w:cs="Calibri"/>
        </w:rPr>
        <w:t>the</w:t>
      </w:r>
      <w:r w:rsidRPr="0031675F">
        <w:rPr>
          <w:rFonts w:cs="Calibri"/>
          <w:spacing w:val="5"/>
        </w:rPr>
        <w:t xml:space="preserve"> </w:t>
      </w:r>
      <w:r w:rsidRPr="0031675F">
        <w:rPr>
          <w:rFonts w:cs="Calibri"/>
          <w:spacing w:val="-2"/>
        </w:rPr>
        <w:t>dummy</w:t>
      </w:r>
      <w:r w:rsidRPr="0031675F">
        <w:rPr>
          <w:rFonts w:cs="Calibri"/>
          <w:spacing w:val="5"/>
        </w:rPr>
        <w:t xml:space="preserve"> </w:t>
      </w:r>
      <w:r w:rsidRPr="0031675F">
        <w:rPr>
          <w:rFonts w:cs="Calibri"/>
          <w:spacing w:val="-1"/>
        </w:rPr>
        <w:t>plug</w:t>
      </w:r>
      <w:r w:rsidRPr="0031675F">
        <w:rPr>
          <w:rFonts w:cs="Calibri"/>
          <w:spacing w:val="4"/>
        </w:rPr>
        <w:t xml:space="preserve"> </w:t>
      </w:r>
      <w:r w:rsidRPr="0031675F">
        <w:rPr>
          <w:rFonts w:cs="Calibri"/>
        </w:rPr>
        <w:t>is</w:t>
      </w:r>
      <w:r w:rsidRPr="0031675F">
        <w:rPr>
          <w:rFonts w:cs="Calibri"/>
          <w:spacing w:val="5"/>
        </w:rPr>
        <w:t xml:space="preserve"> </w:t>
      </w:r>
      <w:r w:rsidRPr="0031675F">
        <w:rPr>
          <w:rFonts w:cs="Calibri"/>
          <w:spacing w:val="-1"/>
        </w:rPr>
        <w:t>inserted</w:t>
      </w:r>
      <w:r w:rsidRPr="0031675F">
        <w:rPr>
          <w:rFonts w:cs="Calibri"/>
          <w:spacing w:val="5"/>
        </w:rPr>
        <w:t xml:space="preserve"> </w:t>
      </w:r>
      <w:r w:rsidRPr="0031675F">
        <w:rPr>
          <w:rFonts w:cs="Calibri"/>
        </w:rPr>
        <w:t>if</w:t>
      </w:r>
      <w:r w:rsidRPr="0031675F">
        <w:rPr>
          <w:rFonts w:cs="Calibri"/>
          <w:spacing w:val="4"/>
        </w:rPr>
        <w:t xml:space="preserve"> </w:t>
      </w:r>
      <w:r w:rsidRPr="0031675F">
        <w:rPr>
          <w:rFonts w:cs="Calibri"/>
        </w:rPr>
        <w:t>not</w:t>
      </w:r>
      <w:r w:rsidRPr="0031675F">
        <w:rPr>
          <w:rFonts w:cs="Calibri"/>
          <w:spacing w:val="65"/>
        </w:rPr>
        <w:t xml:space="preserve"> </w:t>
      </w:r>
      <w:r w:rsidRPr="0031675F">
        <w:t>in</w:t>
      </w:r>
      <w:r w:rsidRPr="0031675F">
        <w:rPr>
          <w:spacing w:val="29"/>
        </w:rPr>
        <w:t xml:space="preserve"> </w:t>
      </w:r>
      <w:r w:rsidRPr="0031675F">
        <w:rPr>
          <w:spacing w:val="-1"/>
        </w:rPr>
        <w:t>use.</w:t>
      </w:r>
      <w:r w:rsidRPr="0031675F">
        <w:rPr>
          <w:spacing w:val="29"/>
        </w:rPr>
        <w:t xml:space="preserve"> </w:t>
      </w:r>
      <w:r w:rsidRPr="0031675F">
        <w:t>Pin</w:t>
      </w:r>
      <w:r w:rsidRPr="0031675F">
        <w:rPr>
          <w:spacing w:val="30"/>
        </w:rPr>
        <w:t xml:space="preserve"> </w:t>
      </w:r>
      <w:r w:rsidRPr="0031675F">
        <w:t>3</w:t>
      </w:r>
      <w:r w:rsidRPr="0031675F">
        <w:rPr>
          <w:spacing w:val="27"/>
        </w:rPr>
        <w:t xml:space="preserve"> </w:t>
      </w:r>
      <w:r w:rsidRPr="0031675F">
        <w:t>of</w:t>
      </w:r>
      <w:r w:rsidRPr="0031675F">
        <w:rPr>
          <w:spacing w:val="31"/>
        </w:rPr>
        <w:t xml:space="preserve"> </w:t>
      </w:r>
      <w:r w:rsidRPr="0031675F">
        <w:rPr>
          <w:spacing w:val="-1"/>
        </w:rPr>
        <w:t>the</w:t>
      </w:r>
      <w:r w:rsidRPr="0031675F">
        <w:rPr>
          <w:spacing w:val="30"/>
        </w:rPr>
        <w:t xml:space="preserve"> </w:t>
      </w:r>
      <w:r w:rsidRPr="0031675F">
        <w:t>3</w:t>
      </w:r>
      <w:r w:rsidRPr="0031675F">
        <w:rPr>
          <w:spacing w:val="32"/>
        </w:rPr>
        <w:t xml:space="preserve"> </w:t>
      </w:r>
      <w:r w:rsidRPr="0031675F">
        <w:rPr>
          <w:spacing w:val="-1"/>
        </w:rPr>
        <w:t>pin</w:t>
      </w:r>
      <w:r w:rsidRPr="0031675F">
        <w:rPr>
          <w:spacing w:val="27"/>
        </w:rPr>
        <w:t xml:space="preserve"> </w:t>
      </w:r>
      <w:r w:rsidRPr="0031675F">
        <w:rPr>
          <w:spacing w:val="-1"/>
        </w:rPr>
        <w:t>bulkhead</w:t>
      </w:r>
      <w:r w:rsidRPr="0031675F">
        <w:rPr>
          <w:spacing w:val="31"/>
        </w:rPr>
        <w:t xml:space="preserve"> </w:t>
      </w:r>
      <w:r w:rsidRPr="0031675F">
        <w:rPr>
          <w:spacing w:val="-1"/>
        </w:rPr>
        <w:t>connector</w:t>
      </w:r>
      <w:r w:rsidRPr="0031675F">
        <w:rPr>
          <w:spacing w:val="31"/>
        </w:rPr>
        <w:t xml:space="preserve"> </w:t>
      </w:r>
      <w:r w:rsidRPr="0031675F">
        <w:t>is</w:t>
      </w:r>
      <w:r w:rsidRPr="0031675F">
        <w:rPr>
          <w:spacing w:val="28"/>
        </w:rPr>
        <w:t xml:space="preserve"> </w:t>
      </w:r>
      <w:r w:rsidRPr="0031675F">
        <w:rPr>
          <w:spacing w:val="-1"/>
        </w:rPr>
        <w:t>connected</w:t>
      </w:r>
      <w:r w:rsidRPr="0031675F">
        <w:rPr>
          <w:spacing w:val="29"/>
        </w:rPr>
        <w:t xml:space="preserve"> </w:t>
      </w:r>
      <w:r w:rsidRPr="0031675F">
        <w:t>to</w:t>
      </w:r>
      <w:r w:rsidRPr="0031675F">
        <w:rPr>
          <w:spacing w:val="31"/>
        </w:rPr>
        <w:t xml:space="preserve"> </w:t>
      </w:r>
      <w:r w:rsidRPr="0031675F">
        <w:t>the</w:t>
      </w:r>
      <w:r w:rsidRPr="0031675F">
        <w:rPr>
          <w:spacing w:val="29"/>
        </w:rPr>
        <w:t xml:space="preserve"> </w:t>
      </w:r>
      <w:r w:rsidRPr="0031675F">
        <w:rPr>
          <w:spacing w:val="-1"/>
        </w:rPr>
        <w:t>internal</w:t>
      </w:r>
      <w:r w:rsidRPr="0031675F">
        <w:rPr>
          <w:spacing w:val="28"/>
        </w:rPr>
        <w:t xml:space="preserve"> </w:t>
      </w:r>
      <w:r w:rsidRPr="0031675F">
        <w:rPr>
          <w:spacing w:val="-1"/>
        </w:rPr>
        <w:t>battery</w:t>
      </w:r>
      <w:r w:rsidRPr="0031675F">
        <w:rPr>
          <w:spacing w:val="30"/>
        </w:rPr>
        <w:t xml:space="preserve"> </w:t>
      </w:r>
      <w:r w:rsidRPr="0031675F">
        <w:rPr>
          <w:spacing w:val="-1"/>
        </w:rPr>
        <w:t>supply.</w:t>
      </w:r>
      <w:r w:rsidRPr="0031675F">
        <w:rPr>
          <w:spacing w:val="31"/>
        </w:rPr>
        <w:t xml:space="preserve"> </w:t>
      </w:r>
      <w:r w:rsidRPr="0031675F">
        <w:rPr>
          <w:spacing w:val="-2"/>
        </w:rPr>
        <w:t>Ensure</w:t>
      </w:r>
      <w:r w:rsidRPr="0031675F">
        <w:rPr>
          <w:spacing w:val="59"/>
        </w:rPr>
        <w:t xml:space="preserve"> </w:t>
      </w:r>
      <w:r w:rsidRPr="0031675F">
        <w:rPr>
          <w:spacing w:val="-1"/>
        </w:rPr>
        <w:t>dummy</w:t>
      </w:r>
      <w:r w:rsidRPr="0031675F">
        <w:rPr>
          <w:spacing w:val="26"/>
        </w:rPr>
        <w:t xml:space="preserve"> </w:t>
      </w:r>
      <w:r w:rsidRPr="0031675F">
        <w:rPr>
          <w:spacing w:val="-1"/>
        </w:rPr>
        <w:t>plug</w:t>
      </w:r>
      <w:r w:rsidRPr="0031675F">
        <w:rPr>
          <w:spacing w:val="26"/>
        </w:rPr>
        <w:t xml:space="preserve"> </w:t>
      </w:r>
      <w:r w:rsidRPr="0031675F">
        <w:t>is</w:t>
      </w:r>
      <w:r w:rsidRPr="0031675F">
        <w:rPr>
          <w:spacing w:val="26"/>
        </w:rPr>
        <w:t xml:space="preserve"> </w:t>
      </w:r>
      <w:r w:rsidRPr="0031675F">
        <w:t>on</w:t>
      </w:r>
      <w:r w:rsidRPr="0031675F">
        <w:rPr>
          <w:spacing w:val="25"/>
        </w:rPr>
        <w:t xml:space="preserve"> </w:t>
      </w:r>
      <w:r w:rsidRPr="0031675F">
        <w:t>the</w:t>
      </w:r>
      <w:r w:rsidRPr="0031675F">
        <w:rPr>
          <w:spacing w:val="28"/>
        </w:rPr>
        <w:t xml:space="preserve"> </w:t>
      </w:r>
      <w:r w:rsidRPr="0031675F">
        <w:rPr>
          <w:spacing w:val="-1"/>
        </w:rPr>
        <w:t>logger</w:t>
      </w:r>
      <w:r w:rsidRPr="0031675F">
        <w:rPr>
          <w:spacing w:val="27"/>
        </w:rPr>
        <w:t xml:space="preserve"> </w:t>
      </w:r>
      <w:r w:rsidRPr="0031675F">
        <w:t>when</w:t>
      </w:r>
      <w:r w:rsidRPr="0031675F">
        <w:rPr>
          <w:spacing w:val="26"/>
        </w:rPr>
        <w:t xml:space="preserve"> </w:t>
      </w:r>
      <w:r w:rsidRPr="0031675F">
        <w:t>not</w:t>
      </w:r>
      <w:r w:rsidRPr="0031675F">
        <w:rPr>
          <w:spacing w:val="26"/>
        </w:rPr>
        <w:t xml:space="preserve"> </w:t>
      </w:r>
      <w:r w:rsidRPr="0031675F">
        <w:t>in</w:t>
      </w:r>
      <w:r w:rsidRPr="0031675F">
        <w:rPr>
          <w:spacing w:val="26"/>
        </w:rPr>
        <w:t xml:space="preserve"> </w:t>
      </w:r>
      <w:r w:rsidRPr="0031675F">
        <w:rPr>
          <w:spacing w:val="-1"/>
        </w:rPr>
        <w:t>operation,</w:t>
      </w:r>
      <w:r w:rsidRPr="0031675F">
        <w:rPr>
          <w:spacing w:val="27"/>
        </w:rPr>
        <w:t xml:space="preserve"> </w:t>
      </w:r>
      <w:r w:rsidRPr="0031675F">
        <w:t>or</w:t>
      </w:r>
      <w:r w:rsidRPr="0031675F">
        <w:rPr>
          <w:spacing w:val="26"/>
        </w:rPr>
        <w:t xml:space="preserve"> </w:t>
      </w:r>
      <w:r w:rsidRPr="0031675F">
        <w:t>when</w:t>
      </w:r>
      <w:r w:rsidRPr="0031675F">
        <w:rPr>
          <w:spacing w:val="29"/>
        </w:rPr>
        <w:t xml:space="preserve"> </w:t>
      </w:r>
      <w:r w:rsidRPr="0031675F">
        <w:rPr>
          <w:rFonts w:cs="Calibri"/>
          <w:i/>
          <w:spacing w:val="-1"/>
        </w:rPr>
        <w:t>external</w:t>
      </w:r>
      <w:r w:rsidRPr="0031675F">
        <w:rPr>
          <w:rFonts w:cs="Calibri"/>
          <w:i/>
          <w:spacing w:val="27"/>
        </w:rPr>
        <w:t xml:space="preserve"> </w:t>
      </w:r>
      <w:r w:rsidRPr="0031675F">
        <w:rPr>
          <w:spacing w:val="-1"/>
        </w:rPr>
        <w:t>supplies</w:t>
      </w:r>
      <w:r w:rsidRPr="0031675F">
        <w:rPr>
          <w:spacing w:val="27"/>
        </w:rPr>
        <w:t xml:space="preserve"> </w:t>
      </w:r>
      <w:r w:rsidRPr="0031675F">
        <w:t>are</w:t>
      </w:r>
      <w:r w:rsidRPr="0031675F">
        <w:rPr>
          <w:spacing w:val="26"/>
        </w:rPr>
        <w:t xml:space="preserve"> </w:t>
      </w:r>
      <w:r w:rsidRPr="0031675F">
        <w:rPr>
          <w:spacing w:val="-1"/>
        </w:rPr>
        <w:t>being</w:t>
      </w:r>
      <w:r w:rsidRPr="0031675F">
        <w:rPr>
          <w:spacing w:val="26"/>
        </w:rPr>
        <w:t xml:space="preserve"> </w:t>
      </w:r>
      <w:r w:rsidRPr="0031675F">
        <w:rPr>
          <w:spacing w:val="-1"/>
        </w:rPr>
        <w:t>used</w:t>
      </w:r>
      <w:r w:rsidRPr="0031675F">
        <w:rPr>
          <w:spacing w:val="27"/>
        </w:rPr>
        <w:t xml:space="preserve"> </w:t>
      </w:r>
      <w:r w:rsidRPr="0031675F">
        <w:t>to</w:t>
      </w:r>
      <w:r w:rsidRPr="0031675F">
        <w:rPr>
          <w:spacing w:val="43"/>
        </w:rPr>
        <w:t xml:space="preserve"> </w:t>
      </w:r>
      <w:r w:rsidRPr="0031675F">
        <w:t>power</w:t>
      </w:r>
      <w:r w:rsidRPr="0031675F">
        <w:rPr>
          <w:spacing w:val="-3"/>
        </w:rPr>
        <w:t xml:space="preserve"> </w:t>
      </w:r>
      <w:r w:rsidRPr="0031675F">
        <w:rPr>
          <w:spacing w:val="-1"/>
        </w:rPr>
        <w:t>the</w:t>
      </w:r>
      <w:r w:rsidRPr="0031675F">
        <w:t xml:space="preserve"> </w:t>
      </w:r>
      <w:r w:rsidRPr="0031675F">
        <w:rPr>
          <w:spacing w:val="-1"/>
        </w:rPr>
        <w:t>unit.</w:t>
      </w:r>
    </w:p>
    <w:p w14:paraId="7F856025" w14:textId="77777777" w:rsidR="0031675F" w:rsidRPr="0031675F" w:rsidRDefault="0031675F" w:rsidP="0031675F">
      <w:pPr>
        <w:rPr>
          <w:rFonts w:cs="Calibri"/>
        </w:rPr>
      </w:pPr>
    </w:p>
    <w:p w14:paraId="3AC65C0F" w14:textId="77777777" w:rsidR="0031675F" w:rsidRPr="0031675F" w:rsidRDefault="0031675F" w:rsidP="0031675F">
      <w:pPr>
        <w:ind w:left="118"/>
        <w:jc w:val="both"/>
        <w:rPr>
          <w:rFonts w:cs="Calibri"/>
        </w:rPr>
      </w:pPr>
      <w:r w:rsidRPr="0031675F">
        <w:rPr>
          <w:b/>
          <w:i/>
          <w:spacing w:val="-1"/>
        </w:rPr>
        <w:t>Plugs</w:t>
      </w:r>
    </w:p>
    <w:p w14:paraId="66C68596" w14:textId="77777777" w:rsidR="0031675F" w:rsidRPr="0031675F" w:rsidRDefault="0031675F" w:rsidP="0031675F">
      <w:pPr>
        <w:spacing w:before="120" w:after="120"/>
        <w:jc w:val="both"/>
      </w:pPr>
      <w:r w:rsidRPr="0031675F">
        <w:rPr>
          <w:spacing w:val="-1"/>
        </w:rPr>
        <w:t>The</w:t>
      </w:r>
      <w:r w:rsidRPr="0031675F">
        <w:t xml:space="preserve"> </w:t>
      </w:r>
      <w:r w:rsidRPr="0031675F">
        <w:rPr>
          <w:spacing w:val="-1"/>
        </w:rPr>
        <w:t>three</w:t>
      </w:r>
      <w:r w:rsidRPr="0031675F">
        <w:t xml:space="preserve"> </w:t>
      </w:r>
      <w:r w:rsidRPr="0031675F">
        <w:rPr>
          <w:spacing w:val="-1"/>
        </w:rPr>
        <w:t>plugs</w:t>
      </w:r>
      <w:r w:rsidRPr="0031675F">
        <w:t xml:space="preserve"> are</w:t>
      </w:r>
      <w:r w:rsidRPr="0031675F">
        <w:rPr>
          <w:spacing w:val="-2"/>
        </w:rPr>
        <w:t xml:space="preserve"> </w:t>
      </w:r>
      <w:r w:rsidRPr="0031675F">
        <w:rPr>
          <w:spacing w:val="-1"/>
        </w:rPr>
        <w:t>provided</w:t>
      </w:r>
      <w:r w:rsidRPr="0031675F">
        <w:t xml:space="preserve"> with</w:t>
      </w:r>
      <w:r w:rsidRPr="0031675F">
        <w:rPr>
          <w:spacing w:val="-3"/>
        </w:rPr>
        <w:t xml:space="preserve"> </w:t>
      </w:r>
      <w:r w:rsidRPr="0031675F">
        <w:t xml:space="preserve">the </w:t>
      </w:r>
      <w:r w:rsidRPr="0031675F">
        <w:rPr>
          <w:spacing w:val="-1"/>
        </w:rPr>
        <w:t>logger:</w:t>
      </w:r>
    </w:p>
    <w:p w14:paraId="68FFB909" w14:textId="77777777" w:rsidR="0031675F" w:rsidRPr="0031675F" w:rsidRDefault="0031675F" w:rsidP="0031675F">
      <w:pPr>
        <w:widowControl w:val="0"/>
        <w:numPr>
          <w:ilvl w:val="2"/>
          <w:numId w:val="72"/>
        </w:numPr>
        <w:tabs>
          <w:tab w:val="left" w:pos="839"/>
        </w:tabs>
        <w:spacing w:before="120" w:after="0" w:line="240" w:lineRule="auto"/>
      </w:pPr>
      <w:r w:rsidRPr="0031675F">
        <w:t xml:space="preserve">6 </w:t>
      </w:r>
      <w:r w:rsidRPr="0031675F">
        <w:rPr>
          <w:spacing w:val="-1"/>
        </w:rPr>
        <w:t>socket</w:t>
      </w:r>
      <w:r w:rsidRPr="0031675F">
        <w:t xml:space="preserve"> </w:t>
      </w:r>
      <w:r w:rsidRPr="0031675F">
        <w:rPr>
          <w:spacing w:val="-1"/>
        </w:rPr>
        <w:t>female</w:t>
      </w:r>
      <w:r w:rsidRPr="0031675F">
        <w:t xml:space="preserve"> </w:t>
      </w:r>
      <w:r w:rsidRPr="0031675F">
        <w:rPr>
          <w:spacing w:val="-2"/>
        </w:rPr>
        <w:t>dummy</w:t>
      </w:r>
      <w:r w:rsidRPr="0031675F">
        <w:t xml:space="preserve"> </w:t>
      </w:r>
      <w:r w:rsidRPr="0031675F">
        <w:rPr>
          <w:spacing w:val="-2"/>
        </w:rPr>
        <w:t>plug</w:t>
      </w:r>
    </w:p>
    <w:p w14:paraId="356A7D8A" w14:textId="77777777" w:rsidR="0031675F" w:rsidRPr="0031675F" w:rsidRDefault="0031675F" w:rsidP="0031675F">
      <w:pPr>
        <w:widowControl w:val="0"/>
        <w:numPr>
          <w:ilvl w:val="2"/>
          <w:numId w:val="72"/>
        </w:numPr>
        <w:tabs>
          <w:tab w:val="left" w:pos="839"/>
        </w:tabs>
        <w:spacing w:before="108" w:after="0" w:line="240" w:lineRule="auto"/>
      </w:pPr>
      <w:r w:rsidRPr="0031675F">
        <w:t>3</w:t>
      </w:r>
      <w:r w:rsidRPr="0031675F">
        <w:rPr>
          <w:spacing w:val="-1"/>
        </w:rPr>
        <w:t xml:space="preserve"> pin</w:t>
      </w:r>
      <w:r w:rsidRPr="0031675F">
        <w:rPr>
          <w:spacing w:val="-2"/>
        </w:rPr>
        <w:t xml:space="preserve"> </w:t>
      </w:r>
      <w:r w:rsidRPr="0031675F">
        <w:rPr>
          <w:spacing w:val="-1"/>
        </w:rPr>
        <w:t>male</w:t>
      </w:r>
      <w:r w:rsidRPr="0031675F">
        <w:t xml:space="preserve"> </w:t>
      </w:r>
      <w:r w:rsidRPr="0031675F">
        <w:rPr>
          <w:spacing w:val="-1"/>
        </w:rPr>
        <w:t>power</w:t>
      </w:r>
      <w:r w:rsidRPr="0031675F">
        <w:t xml:space="preserve"> </w:t>
      </w:r>
      <w:r w:rsidRPr="0031675F">
        <w:rPr>
          <w:spacing w:val="-1"/>
        </w:rPr>
        <w:t xml:space="preserve">plug (with </w:t>
      </w:r>
      <w:r w:rsidRPr="0031675F">
        <w:t>4</w:t>
      </w:r>
      <w:r w:rsidRPr="0031675F">
        <w:rPr>
          <w:position w:val="10"/>
          <w:sz w:val="14"/>
        </w:rPr>
        <w:t>th</w:t>
      </w:r>
      <w:r w:rsidRPr="0031675F">
        <w:rPr>
          <w:spacing w:val="17"/>
          <w:position w:val="10"/>
          <w:sz w:val="14"/>
        </w:rPr>
        <w:t xml:space="preserve"> </w:t>
      </w:r>
      <w:r w:rsidRPr="0031675F">
        <w:rPr>
          <w:spacing w:val="-1"/>
        </w:rPr>
        <w:t>guide</w:t>
      </w:r>
      <w:r w:rsidRPr="0031675F">
        <w:t xml:space="preserve"> </w:t>
      </w:r>
      <w:r w:rsidRPr="0031675F">
        <w:rPr>
          <w:spacing w:val="-1"/>
        </w:rPr>
        <w:t>pin)</w:t>
      </w:r>
    </w:p>
    <w:p w14:paraId="515EE6DB" w14:textId="77777777" w:rsidR="0031675F" w:rsidRPr="0031675F" w:rsidRDefault="0031675F" w:rsidP="0031675F">
      <w:pPr>
        <w:widowControl w:val="0"/>
        <w:numPr>
          <w:ilvl w:val="2"/>
          <w:numId w:val="72"/>
        </w:numPr>
        <w:tabs>
          <w:tab w:val="left" w:pos="839"/>
        </w:tabs>
        <w:spacing w:before="106" w:after="0" w:line="240" w:lineRule="auto"/>
      </w:pPr>
      <w:r w:rsidRPr="0031675F">
        <w:t>3</w:t>
      </w:r>
      <w:r w:rsidRPr="0031675F">
        <w:rPr>
          <w:spacing w:val="-1"/>
        </w:rPr>
        <w:t xml:space="preserve"> pin</w:t>
      </w:r>
      <w:r w:rsidRPr="0031675F">
        <w:rPr>
          <w:spacing w:val="-2"/>
        </w:rPr>
        <w:t xml:space="preserve"> </w:t>
      </w:r>
      <w:r w:rsidRPr="0031675F">
        <w:rPr>
          <w:spacing w:val="-1"/>
        </w:rPr>
        <w:t>male</w:t>
      </w:r>
      <w:r w:rsidRPr="0031675F">
        <w:t xml:space="preserve"> </w:t>
      </w:r>
      <w:r w:rsidRPr="0031675F">
        <w:rPr>
          <w:spacing w:val="-2"/>
        </w:rPr>
        <w:t>dummy</w:t>
      </w:r>
      <w:r w:rsidRPr="0031675F">
        <w:t xml:space="preserve"> </w:t>
      </w:r>
      <w:r w:rsidRPr="0031675F">
        <w:rPr>
          <w:spacing w:val="-1"/>
        </w:rPr>
        <w:t>plug (with</w:t>
      </w:r>
      <w:r w:rsidRPr="0031675F">
        <w:t xml:space="preserve"> 4</w:t>
      </w:r>
      <w:r w:rsidRPr="0031675F">
        <w:rPr>
          <w:position w:val="10"/>
          <w:sz w:val="14"/>
        </w:rPr>
        <w:t>th</w:t>
      </w:r>
      <w:r w:rsidRPr="0031675F">
        <w:rPr>
          <w:spacing w:val="17"/>
          <w:position w:val="10"/>
          <w:sz w:val="14"/>
        </w:rPr>
        <w:t xml:space="preserve"> </w:t>
      </w:r>
      <w:r w:rsidRPr="0031675F">
        <w:rPr>
          <w:spacing w:val="-1"/>
        </w:rPr>
        <w:t>guide</w:t>
      </w:r>
      <w:r w:rsidRPr="0031675F">
        <w:t xml:space="preserve"> </w:t>
      </w:r>
      <w:r w:rsidRPr="0031675F">
        <w:rPr>
          <w:spacing w:val="-1"/>
        </w:rPr>
        <w:t>pin)</w:t>
      </w:r>
    </w:p>
    <w:p w14:paraId="40CB4397" w14:textId="77777777" w:rsidR="0031675F" w:rsidRPr="0031675F" w:rsidRDefault="0031675F" w:rsidP="0031675F">
      <w:pPr>
        <w:rPr>
          <w:rFonts w:cs="Calibri"/>
          <w:sz w:val="26"/>
          <w:szCs w:val="26"/>
        </w:rPr>
      </w:pPr>
    </w:p>
    <w:p w14:paraId="50ECBE23" w14:textId="77777777" w:rsidR="0031675F" w:rsidRPr="0031675F" w:rsidRDefault="0031675F" w:rsidP="0031675F">
      <w:pPr>
        <w:spacing w:before="191"/>
        <w:ind w:left="118"/>
        <w:jc w:val="both"/>
        <w:rPr>
          <w:rFonts w:cs="Calibri"/>
        </w:rPr>
      </w:pPr>
      <w:r w:rsidRPr="0031675F">
        <w:rPr>
          <w:rFonts w:cs="Calibri"/>
          <w:b/>
          <w:bCs/>
          <w:i/>
          <w:spacing w:val="-1"/>
        </w:rPr>
        <w:t>Bio-Wiper™</w:t>
      </w:r>
    </w:p>
    <w:p w14:paraId="25472D18" w14:textId="0AD7E132" w:rsidR="0031675F" w:rsidRPr="0031675F" w:rsidRDefault="0031675F" w:rsidP="0031675F">
      <w:pPr>
        <w:widowControl w:val="0"/>
        <w:numPr>
          <w:ilvl w:val="1"/>
          <w:numId w:val="71"/>
        </w:numPr>
        <w:tabs>
          <w:tab w:val="left" w:pos="556"/>
        </w:tabs>
        <w:spacing w:before="120" w:after="0" w:line="240" w:lineRule="auto"/>
        <w:jc w:val="both"/>
        <w:rPr>
          <w:rFonts w:cs="Calibri"/>
        </w:rPr>
      </w:pPr>
      <w:r w:rsidRPr="0031675F">
        <w:rPr>
          <w:b/>
          <w:i/>
          <w:spacing w:val="-1"/>
        </w:rPr>
        <w:t>DO</w:t>
      </w:r>
      <w:r w:rsidRPr="0031675F">
        <w:rPr>
          <w:b/>
          <w:i/>
          <w:spacing w:val="-2"/>
        </w:rPr>
        <w:t xml:space="preserve"> </w:t>
      </w:r>
      <w:r w:rsidRPr="0031675F">
        <w:rPr>
          <w:b/>
          <w:i/>
          <w:spacing w:val="-1"/>
        </w:rPr>
        <w:t>NOT</w:t>
      </w:r>
      <w:r w:rsidRPr="0031675F">
        <w:rPr>
          <w:b/>
          <w:i/>
          <w:spacing w:val="1"/>
        </w:rPr>
        <w:t xml:space="preserve"> </w:t>
      </w:r>
      <w:r w:rsidRPr="0031675F">
        <w:rPr>
          <w:b/>
          <w:spacing w:val="-1"/>
        </w:rPr>
        <w:t>MOVE</w:t>
      </w:r>
      <w:r w:rsidRPr="0031675F">
        <w:rPr>
          <w:b/>
          <w:spacing w:val="-2"/>
        </w:rPr>
        <w:t xml:space="preserve"> </w:t>
      </w:r>
      <w:r w:rsidRPr="0031675F">
        <w:rPr>
          <w:b/>
        </w:rPr>
        <w:t>THE</w:t>
      </w:r>
      <w:r w:rsidRPr="0031675F">
        <w:rPr>
          <w:b/>
          <w:spacing w:val="-2"/>
        </w:rPr>
        <w:t xml:space="preserve"> </w:t>
      </w:r>
      <w:r w:rsidRPr="0031675F">
        <w:rPr>
          <w:b/>
          <w:spacing w:val="-1"/>
        </w:rPr>
        <w:t>WIPER</w:t>
      </w:r>
      <w:r w:rsidRPr="0031675F">
        <w:rPr>
          <w:b/>
          <w:spacing w:val="-2"/>
        </w:rPr>
        <w:t xml:space="preserve"> </w:t>
      </w:r>
      <w:r w:rsidRPr="0031675F">
        <w:rPr>
          <w:b/>
          <w:spacing w:val="-1"/>
        </w:rPr>
        <w:t xml:space="preserve">MANUALLY. </w:t>
      </w:r>
    </w:p>
    <w:p w14:paraId="3699A62B" w14:textId="77777777" w:rsidR="0031675F" w:rsidRPr="0031675F" w:rsidRDefault="0031675F" w:rsidP="0031675F">
      <w:pPr>
        <w:tabs>
          <w:tab w:val="left" w:pos="5852"/>
        </w:tabs>
        <w:spacing w:before="121" w:after="120"/>
        <w:ind w:right="120"/>
      </w:pPr>
      <w:r w:rsidRPr="0031675F">
        <w:rPr>
          <w:spacing w:val="-1"/>
        </w:rPr>
        <w:t>The</w:t>
      </w:r>
      <w:r w:rsidRPr="0031675F">
        <w:t xml:space="preserve"> </w:t>
      </w:r>
      <w:r w:rsidRPr="0031675F">
        <w:rPr>
          <w:spacing w:val="-1"/>
        </w:rPr>
        <w:t>logger</w:t>
      </w:r>
      <w:r w:rsidRPr="0031675F">
        <w:rPr>
          <w:spacing w:val="3"/>
        </w:rPr>
        <w:t xml:space="preserve"> </w:t>
      </w:r>
      <w:r w:rsidRPr="0031675F">
        <w:t xml:space="preserve">is </w:t>
      </w:r>
      <w:r w:rsidRPr="0031675F">
        <w:rPr>
          <w:spacing w:val="-1"/>
        </w:rPr>
        <w:t>fitted</w:t>
      </w:r>
      <w:r w:rsidRPr="0031675F">
        <w:t xml:space="preserve"> a </w:t>
      </w:r>
      <w:r w:rsidRPr="0031675F">
        <w:rPr>
          <w:spacing w:val="-1"/>
        </w:rPr>
        <w:t>non-contact</w:t>
      </w:r>
      <w:r w:rsidRPr="0031675F">
        <w:t xml:space="preserve"> </w:t>
      </w:r>
      <w:r w:rsidRPr="0031675F">
        <w:rPr>
          <w:spacing w:val="-1"/>
        </w:rPr>
        <w:t>anti-fouling</w:t>
      </w:r>
      <w:r w:rsidRPr="0031675F">
        <w:t xml:space="preserve"> </w:t>
      </w:r>
      <w:r w:rsidRPr="0031675F">
        <w:rPr>
          <w:spacing w:val="-1"/>
        </w:rPr>
        <w:t>bio-</w:t>
      </w:r>
      <w:r w:rsidRPr="0031675F">
        <w:rPr>
          <w:rFonts w:cs="Calibri"/>
          <w:spacing w:val="-1"/>
        </w:rPr>
        <w:t>wiper™.</w:t>
      </w:r>
      <w:r w:rsidRPr="0031675F">
        <w:rPr>
          <w:rFonts w:cs="Calibri"/>
          <w:spacing w:val="-1"/>
        </w:rPr>
        <w:tab/>
      </w:r>
      <w:r w:rsidRPr="0031675F">
        <w:rPr>
          <w:rFonts w:cs="Calibri"/>
        </w:rPr>
        <w:t xml:space="preserve">The </w:t>
      </w:r>
      <w:r w:rsidRPr="0031675F">
        <w:rPr>
          <w:rFonts w:cs="Calibri"/>
          <w:spacing w:val="-1"/>
        </w:rPr>
        <w:t>Bio</w:t>
      </w:r>
      <w:r w:rsidRPr="0031675F">
        <w:rPr>
          <w:spacing w:val="-1"/>
        </w:rPr>
        <w:t>-wiper</w:t>
      </w:r>
      <w:r w:rsidRPr="0031675F">
        <w:t xml:space="preserve"> </w:t>
      </w:r>
      <w:r w:rsidRPr="0031675F">
        <w:rPr>
          <w:spacing w:val="-1"/>
        </w:rPr>
        <w:t>extends</w:t>
      </w:r>
      <w:r w:rsidRPr="0031675F">
        <w:t xml:space="preserve"> </w:t>
      </w:r>
      <w:r w:rsidRPr="0031675F">
        <w:rPr>
          <w:spacing w:val="-1"/>
        </w:rPr>
        <w:t>the</w:t>
      </w:r>
      <w:r w:rsidRPr="0031675F">
        <w:rPr>
          <w:spacing w:val="4"/>
        </w:rPr>
        <w:t xml:space="preserve"> </w:t>
      </w:r>
      <w:r w:rsidRPr="0031675F">
        <w:rPr>
          <w:spacing w:val="-1"/>
        </w:rPr>
        <w:t>possible</w:t>
      </w:r>
      <w:r w:rsidRPr="0031675F">
        <w:rPr>
          <w:spacing w:val="63"/>
        </w:rPr>
        <w:t xml:space="preserve"> </w:t>
      </w:r>
      <w:r w:rsidRPr="0031675F">
        <w:rPr>
          <w:rFonts w:cs="Calibri"/>
          <w:spacing w:val="-1"/>
        </w:rPr>
        <w:t>deployment</w:t>
      </w:r>
      <w:r w:rsidRPr="0031675F">
        <w:rPr>
          <w:rFonts w:cs="Calibri"/>
          <w:spacing w:val="-3"/>
        </w:rPr>
        <w:t xml:space="preserve"> </w:t>
      </w:r>
      <w:r w:rsidRPr="0031675F">
        <w:rPr>
          <w:rFonts w:cs="Calibri"/>
          <w:spacing w:val="-1"/>
        </w:rPr>
        <w:t>duration</w:t>
      </w:r>
      <w:r w:rsidRPr="0031675F">
        <w:rPr>
          <w:rFonts w:cs="Calibri"/>
          <w:spacing w:val="-3"/>
        </w:rPr>
        <w:t xml:space="preserve"> </w:t>
      </w:r>
      <w:r w:rsidRPr="0031675F">
        <w:rPr>
          <w:rFonts w:cs="Calibri"/>
        </w:rPr>
        <w:t>by</w:t>
      </w:r>
      <w:r w:rsidRPr="0031675F">
        <w:rPr>
          <w:rFonts w:cs="Calibri"/>
          <w:spacing w:val="1"/>
        </w:rPr>
        <w:t xml:space="preserve"> </w:t>
      </w:r>
      <w:r w:rsidRPr="0031675F">
        <w:rPr>
          <w:rFonts w:cs="Calibri"/>
          <w:spacing w:val="-1"/>
        </w:rPr>
        <w:t xml:space="preserve">retarding </w:t>
      </w:r>
      <w:r w:rsidRPr="0031675F">
        <w:rPr>
          <w:rFonts w:cs="Calibri"/>
        </w:rPr>
        <w:t>biological</w:t>
      </w:r>
      <w:r w:rsidRPr="0031675F">
        <w:rPr>
          <w:rFonts w:cs="Calibri"/>
          <w:spacing w:val="-3"/>
        </w:rPr>
        <w:t xml:space="preserve"> </w:t>
      </w:r>
      <w:r w:rsidRPr="0031675F">
        <w:rPr>
          <w:rFonts w:cs="Calibri"/>
          <w:spacing w:val="-1"/>
        </w:rPr>
        <w:t>growth</w:t>
      </w:r>
      <w:r w:rsidRPr="0031675F">
        <w:rPr>
          <w:rFonts w:cs="Calibri"/>
          <w:spacing w:val="-3"/>
        </w:rPr>
        <w:t xml:space="preserve"> </w:t>
      </w:r>
      <w:r w:rsidRPr="0031675F">
        <w:rPr>
          <w:rFonts w:cs="Calibri"/>
          <w:spacing w:val="-1"/>
        </w:rPr>
        <w:t>on the</w:t>
      </w:r>
      <w:r w:rsidRPr="0031675F">
        <w:rPr>
          <w:rFonts w:cs="Calibri"/>
        </w:rPr>
        <w:t xml:space="preserve"> </w:t>
      </w:r>
      <w:r w:rsidRPr="0031675F">
        <w:rPr>
          <w:rFonts w:cs="Calibri"/>
          <w:spacing w:val="-1"/>
        </w:rPr>
        <w:t>instrument’s</w:t>
      </w:r>
      <w:r w:rsidRPr="0031675F">
        <w:rPr>
          <w:rFonts w:cs="Calibri"/>
        </w:rPr>
        <w:t xml:space="preserve"> </w:t>
      </w:r>
      <w:r w:rsidRPr="0031675F">
        <w:rPr>
          <w:rFonts w:cs="Calibri"/>
          <w:spacing w:val="-1"/>
        </w:rPr>
        <w:t>optical</w:t>
      </w:r>
      <w:r w:rsidRPr="0031675F">
        <w:rPr>
          <w:rFonts w:cs="Calibri"/>
        </w:rPr>
        <w:t xml:space="preserve"> </w:t>
      </w:r>
      <w:r w:rsidRPr="0031675F">
        <w:rPr>
          <w:rFonts w:cs="Calibri"/>
          <w:spacing w:val="-1"/>
        </w:rPr>
        <w:t>surface</w:t>
      </w:r>
      <w:r w:rsidRPr="0031675F">
        <w:rPr>
          <w:spacing w:val="-1"/>
        </w:rPr>
        <w:t>.</w:t>
      </w:r>
    </w:p>
    <w:p w14:paraId="3F889F28" w14:textId="77777777" w:rsidR="0031675F" w:rsidRPr="0031675F" w:rsidRDefault="0031675F" w:rsidP="0031675F">
      <w:pPr>
        <w:spacing w:before="120" w:after="120"/>
        <w:jc w:val="both"/>
      </w:pPr>
      <w:r w:rsidRPr="0031675F">
        <w:rPr>
          <w:spacing w:val="-1"/>
        </w:rPr>
        <w:t>The</w:t>
      </w:r>
      <w:r w:rsidRPr="0031675F">
        <w:t xml:space="preserve"> </w:t>
      </w:r>
      <w:r w:rsidRPr="0031675F">
        <w:rPr>
          <w:spacing w:val="-1"/>
        </w:rPr>
        <w:t>shutter</w:t>
      </w:r>
      <w:r w:rsidRPr="0031675F">
        <w:t xml:space="preserve"> </w:t>
      </w:r>
      <w:r w:rsidRPr="0031675F">
        <w:rPr>
          <w:spacing w:val="-1"/>
        </w:rPr>
        <w:t>covers</w:t>
      </w:r>
      <w:r w:rsidRPr="0031675F">
        <w:rPr>
          <w:spacing w:val="-2"/>
        </w:rPr>
        <w:t xml:space="preserve"> </w:t>
      </w:r>
      <w:r w:rsidRPr="0031675F">
        <w:t>the</w:t>
      </w:r>
      <w:r w:rsidRPr="0031675F">
        <w:rPr>
          <w:spacing w:val="-2"/>
        </w:rPr>
        <w:t xml:space="preserve"> </w:t>
      </w:r>
      <w:r w:rsidRPr="0031675F">
        <w:rPr>
          <w:spacing w:val="-1"/>
        </w:rPr>
        <w:t>optical</w:t>
      </w:r>
      <w:r w:rsidRPr="0031675F">
        <w:t xml:space="preserve"> </w:t>
      </w:r>
      <w:r w:rsidRPr="0031675F">
        <w:rPr>
          <w:spacing w:val="-1"/>
        </w:rPr>
        <w:t>surface:</w:t>
      </w:r>
    </w:p>
    <w:p w14:paraId="774E8BB5" w14:textId="77777777" w:rsidR="0031675F" w:rsidRPr="0031675F" w:rsidRDefault="0031675F" w:rsidP="0031675F">
      <w:pPr>
        <w:widowControl w:val="0"/>
        <w:numPr>
          <w:ilvl w:val="2"/>
          <w:numId w:val="71"/>
        </w:numPr>
        <w:tabs>
          <w:tab w:val="left" w:pos="839"/>
        </w:tabs>
        <w:spacing w:before="120" w:after="0" w:line="240" w:lineRule="auto"/>
        <w:rPr>
          <w:rFonts w:cs="Calibri"/>
        </w:rPr>
      </w:pPr>
      <w:r w:rsidRPr="0031675F">
        <w:rPr>
          <w:rFonts w:cs="Calibri"/>
          <w:spacing w:val="-1"/>
        </w:rPr>
        <w:t>While</w:t>
      </w:r>
      <w:r w:rsidRPr="0031675F">
        <w:rPr>
          <w:rFonts w:cs="Calibri"/>
        </w:rPr>
        <w:t xml:space="preserve"> </w:t>
      </w:r>
      <w:r w:rsidRPr="0031675F">
        <w:rPr>
          <w:rFonts w:cs="Calibri"/>
          <w:spacing w:val="-1"/>
        </w:rPr>
        <w:t>the</w:t>
      </w:r>
      <w:r w:rsidRPr="0031675F">
        <w:rPr>
          <w:rFonts w:cs="Calibri"/>
          <w:spacing w:val="-2"/>
        </w:rPr>
        <w:t xml:space="preserve"> </w:t>
      </w:r>
      <w:r w:rsidRPr="0031675F">
        <w:rPr>
          <w:rFonts w:cs="Calibri"/>
          <w:spacing w:val="-1"/>
        </w:rPr>
        <w:t>sensor</w:t>
      </w:r>
      <w:r w:rsidRPr="0031675F">
        <w:rPr>
          <w:rFonts w:cs="Calibri"/>
        </w:rPr>
        <w:t xml:space="preserve"> is</w:t>
      </w:r>
      <w:r w:rsidRPr="0031675F">
        <w:rPr>
          <w:rFonts w:cs="Calibri"/>
          <w:spacing w:val="-3"/>
        </w:rPr>
        <w:t xml:space="preserve"> </w:t>
      </w:r>
      <w:r w:rsidRPr="0031675F">
        <w:rPr>
          <w:rFonts w:cs="Calibri"/>
        </w:rPr>
        <w:t xml:space="preserve">in </w:t>
      </w:r>
      <w:r w:rsidRPr="0031675F">
        <w:rPr>
          <w:rFonts w:cs="Calibri"/>
          <w:spacing w:val="-1"/>
        </w:rPr>
        <w:t xml:space="preserve">“sleep” </w:t>
      </w:r>
      <w:r w:rsidRPr="0031675F">
        <w:rPr>
          <w:rFonts w:cs="Calibri"/>
        </w:rPr>
        <w:t>mode.</w:t>
      </w:r>
    </w:p>
    <w:p w14:paraId="1B529837" w14:textId="77777777" w:rsidR="0031675F" w:rsidRPr="0031675F" w:rsidRDefault="0031675F" w:rsidP="0031675F">
      <w:pPr>
        <w:widowControl w:val="0"/>
        <w:numPr>
          <w:ilvl w:val="2"/>
          <w:numId w:val="71"/>
        </w:numPr>
        <w:tabs>
          <w:tab w:val="left" w:pos="839"/>
        </w:tabs>
        <w:spacing w:before="118" w:after="0" w:line="240" w:lineRule="auto"/>
      </w:pPr>
      <w:r w:rsidRPr="0031675F">
        <w:t>When</w:t>
      </w:r>
      <w:r w:rsidRPr="0031675F">
        <w:rPr>
          <w:spacing w:val="-1"/>
        </w:rPr>
        <w:t xml:space="preserve"> </w:t>
      </w:r>
      <w:r w:rsidRPr="0031675F">
        <w:t xml:space="preserve">it </w:t>
      </w:r>
      <w:r w:rsidRPr="0031675F">
        <w:rPr>
          <w:spacing w:val="-1"/>
        </w:rPr>
        <w:t>has</w:t>
      </w:r>
      <w:r w:rsidRPr="0031675F">
        <w:rPr>
          <w:spacing w:val="-3"/>
        </w:rPr>
        <w:t xml:space="preserve"> </w:t>
      </w:r>
      <w:r w:rsidRPr="0031675F">
        <w:rPr>
          <w:spacing w:val="-1"/>
        </w:rPr>
        <w:t>completed</w:t>
      </w:r>
      <w:r w:rsidRPr="0031675F">
        <w:rPr>
          <w:spacing w:val="-3"/>
        </w:rPr>
        <w:t xml:space="preserve"> </w:t>
      </w:r>
      <w:r w:rsidRPr="0031675F">
        <w:t>the</w:t>
      </w:r>
      <w:r w:rsidRPr="0031675F">
        <w:rPr>
          <w:spacing w:val="-3"/>
        </w:rPr>
        <w:t xml:space="preserve"> </w:t>
      </w:r>
      <w:r w:rsidRPr="0031675F">
        <w:rPr>
          <w:spacing w:val="-1"/>
        </w:rPr>
        <w:t>number</w:t>
      </w:r>
      <w:r w:rsidRPr="0031675F">
        <w:rPr>
          <w:spacing w:val="-2"/>
        </w:rPr>
        <w:t xml:space="preserve"> </w:t>
      </w:r>
      <w:r w:rsidRPr="0031675F">
        <w:t xml:space="preserve">of </w:t>
      </w:r>
      <w:r w:rsidRPr="0031675F">
        <w:rPr>
          <w:spacing w:val="-2"/>
        </w:rPr>
        <w:t>samples</w:t>
      </w:r>
      <w:r w:rsidRPr="0031675F">
        <w:t xml:space="preserve"> </w:t>
      </w:r>
      <w:r w:rsidRPr="0031675F">
        <w:rPr>
          <w:spacing w:val="-1"/>
        </w:rPr>
        <w:t>requested.</w:t>
      </w:r>
    </w:p>
    <w:p w14:paraId="4AA63A64" w14:textId="77777777" w:rsidR="0031675F" w:rsidRPr="0031675F" w:rsidRDefault="0031675F" w:rsidP="0031675F">
      <w:pPr>
        <w:widowControl w:val="0"/>
        <w:numPr>
          <w:ilvl w:val="2"/>
          <w:numId w:val="71"/>
        </w:numPr>
        <w:tabs>
          <w:tab w:val="left" w:pos="839"/>
        </w:tabs>
        <w:spacing w:before="120" w:after="0" w:line="240" w:lineRule="auto"/>
      </w:pPr>
      <w:r w:rsidRPr="0031675F">
        <w:t>When</w:t>
      </w:r>
      <w:r w:rsidRPr="0031675F">
        <w:rPr>
          <w:spacing w:val="-1"/>
        </w:rPr>
        <w:t xml:space="preserve"> the</w:t>
      </w:r>
      <w:r w:rsidRPr="0031675F">
        <w:rPr>
          <w:spacing w:val="-2"/>
        </w:rPr>
        <w:t xml:space="preserve"> </w:t>
      </w:r>
      <w:r w:rsidRPr="0031675F">
        <w:rPr>
          <w:spacing w:val="-1"/>
        </w:rPr>
        <w:t>user</w:t>
      </w:r>
      <w:r w:rsidRPr="0031675F">
        <w:t xml:space="preserve"> </w:t>
      </w:r>
      <w:r w:rsidRPr="0031675F">
        <w:rPr>
          <w:spacing w:val="-1"/>
        </w:rPr>
        <w:t>selects</w:t>
      </w:r>
      <w:r w:rsidRPr="0031675F">
        <w:rPr>
          <w:spacing w:val="1"/>
        </w:rPr>
        <w:t xml:space="preserve"> </w:t>
      </w:r>
      <w:r w:rsidRPr="0031675F">
        <w:rPr>
          <w:spacing w:val="-1"/>
        </w:rPr>
        <w:t>Stop</w:t>
      </w:r>
      <w:r w:rsidRPr="0031675F">
        <w:rPr>
          <w:spacing w:val="-3"/>
        </w:rPr>
        <w:t xml:space="preserve"> </w:t>
      </w:r>
      <w:r w:rsidRPr="0031675F">
        <w:t>Data</w:t>
      </w:r>
      <w:r w:rsidRPr="0031675F">
        <w:rPr>
          <w:spacing w:val="-2"/>
        </w:rPr>
        <w:t xml:space="preserve"> </w:t>
      </w:r>
      <w:r w:rsidRPr="0031675F">
        <w:t xml:space="preserve">in </w:t>
      </w:r>
      <w:r w:rsidRPr="0031675F">
        <w:rPr>
          <w:spacing w:val="-1"/>
        </w:rPr>
        <w:t>ECOView.</w:t>
      </w:r>
    </w:p>
    <w:p w14:paraId="661AE1F2" w14:textId="77777777" w:rsidR="0031675F" w:rsidRPr="0031675F" w:rsidRDefault="0031675F" w:rsidP="0031675F">
      <w:pPr>
        <w:spacing w:before="120" w:after="120"/>
        <w:ind w:right="119"/>
        <w:rPr>
          <w:spacing w:val="-1"/>
        </w:rPr>
      </w:pPr>
      <w:r w:rsidRPr="0031675F">
        <w:rPr>
          <w:rFonts w:cs="Calibri"/>
        </w:rPr>
        <w:t>When</w:t>
      </w:r>
      <w:r w:rsidRPr="0031675F">
        <w:rPr>
          <w:rFonts w:cs="Calibri"/>
          <w:spacing w:val="30"/>
        </w:rPr>
        <w:t xml:space="preserve"> </w:t>
      </w:r>
      <w:r w:rsidRPr="0031675F">
        <w:rPr>
          <w:rFonts w:cs="Calibri"/>
        </w:rPr>
        <w:t>the</w:t>
      </w:r>
      <w:r w:rsidRPr="0031675F">
        <w:rPr>
          <w:rFonts w:cs="Calibri"/>
          <w:spacing w:val="32"/>
        </w:rPr>
        <w:t xml:space="preserve"> </w:t>
      </w:r>
      <w:r w:rsidRPr="0031675F">
        <w:rPr>
          <w:rFonts w:cs="Calibri"/>
          <w:spacing w:val="-1"/>
        </w:rPr>
        <w:t>logger</w:t>
      </w:r>
      <w:r w:rsidRPr="0031675F">
        <w:rPr>
          <w:rFonts w:cs="Calibri"/>
          <w:spacing w:val="29"/>
        </w:rPr>
        <w:t xml:space="preserve"> </w:t>
      </w:r>
      <w:r w:rsidRPr="0031675F">
        <w:rPr>
          <w:rFonts w:cs="Calibri"/>
          <w:spacing w:val="-1"/>
        </w:rPr>
        <w:t>“wakes</w:t>
      </w:r>
      <w:r w:rsidRPr="0031675F">
        <w:rPr>
          <w:spacing w:val="-1"/>
        </w:rPr>
        <w:t>-</w:t>
      </w:r>
      <w:r w:rsidRPr="0031675F">
        <w:rPr>
          <w:rFonts w:cs="Calibri"/>
          <w:spacing w:val="-1"/>
        </w:rPr>
        <w:t>up”</w:t>
      </w:r>
      <w:r w:rsidRPr="0031675F">
        <w:rPr>
          <w:rFonts w:cs="Calibri"/>
          <w:spacing w:val="32"/>
        </w:rPr>
        <w:t xml:space="preserve"> </w:t>
      </w:r>
      <w:r w:rsidRPr="0031675F">
        <w:rPr>
          <w:rFonts w:cs="Calibri"/>
        </w:rPr>
        <w:t>for</w:t>
      </w:r>
      <w:r w:rsidRPr="0031675F">
        <w:rPr>
          <w:rFonts w:cs="Calibri"/>
          <w:spacing w:val="31"/>
        </w:rPr>
        <w:t xml:space="preserve"> </w:t>
      </w:r>
      <w:r w:rsidRPr="0031675F">
        <w:rPr>
          <w:rFonts w:cs="Calibri"/>
          <w:spacing w:val="-1"/>
        </w:rPr>
        <w:t>measurements,</w:t>
      </w:r>
      <w:r w:rsidRPr="0031675F">
        <w:rPr>
          <w:rFonts w:cs="Calibri"/>
          <w:spacing w:val="32"/>
        </w:rPr>
        <w:t xml:space="preserve"> </w:t>
      </w:r>
      <w:r w:rsidRPr="0031675F">
        <w:rPr>
          <w:rFonts w:cs="Calibri"/>
          <w:spacing w:val="-1"/>
        </w:rPr>
        <w:t>the</w:t>
      </w:r>
      <w:r w:rsidRPr="0031675F">
        <w:rPr>
          <w:rFonts w:cs="Calibri"/>
          <w:spacing w:val="32"/>
        </w:rPr>
        <w:t xml:space="preserve"> </w:t>
      </w:r>
      <w:r w:rsidRPr="0031675F">
        <w:rPr>
          <w:rFonts w:cs="Calibri"/>
          <w:spacing w:val="-1"/>
        </w:rPr>
        <w:t>shutter’s</w:t>
      </w:r>
      <w:r w:rsidRPr="0031675F">
        <w:rPr>
          <w:rFonts w:cs="Calibri"/>
          <w:spacing w:val="31"/>
        </w:rPr>
        <w:t xml:space="preserve"> </w:t>
      </w:r>
      <w:r w:rsidRPr="0031675F">
        <w:rPr>
          <w:rFonts w:cs="Calibri"/>
          <w:spacing w:val="-1"/>
        </w:rPr>
        <w:t>counter</w:t>
      </w:r>
      <w:r w:rsidRPr="0031675F">
        <w:rPr>
          <w:spacing w:val="-1"/>
        </w:rPr>
        <w:t>-clockwise</w:t>
      </w:r>
      <w:r w:rsidRPr="0031675F">
        <w:rPr>
          <w:spacing w:val="33"/>
        </w:rPr>
        <w:t xml:space="preserve"> </w:t>
      </w:r>
      <w:r w:rsidRPr="0031675F">
        <w:rPr>
          <w:spacing w:val="-1"/>
        </w:rPr>
        <w:t>rotation</w:t>
      </w:r>
      <w:r w:rsidRPr="0031675F">
        <w:rPr>
          <w:spacing w:val="31"/>
        </w:rPr>
        <w:t xml:space="preserve"> </w:t>
      </w:r>
      <w:r w:rsidRPr="0031675F">
        <w:rPr>
          <w:spacing w:val="-1"/>
        </w:rPr>
        <w:t>exposes</w:t>
      </w:r>
      <w:r w:rsidRPr="0031675F">
        <w:rPr>
          <w:spacing w:val="73"/>
        </w:rPr>
        <w:t xml:space="preserve"> </w:t>
      </w:r>
      <w:r w:rsidRPr="0031675F">
        <w:t xml:space="preserve">the </w:t>
      </w:r>
      <w:r w:rsidRPr="0031675F">
        <w:rPr>
          <w:spacing w:val="-1"/>
        </w:rPr>
        <w:t>optical</w:t>
      </w:r>
      <w:r w:rsidRPr="0031675F">
        <w:t xml:space="preserve"> </w:t>
      </w:r>
      <w:r w:rsidRPr="0031675F">
        <w:rPr>
          <w:spacing w:val="-1"/>
        </w:rPr>
        <w:t>surface.</w:t>
      </w:r>
    </w:p>
    <w:p w14:paraId="305AF607" w14:textId="77777777" w:rsidR="0031675F" w:rsidRPr="0031675F" w:rsidRDefault="0031675F" w:rsidP="0031675F">
      <w:pPr>
        <w:spacing w:before="120" w:after="120"/>
        <w:ind w:right="119"/>
        <w:rPr>
          <w:spacing w:val="-1"/>
        </w:rPr>
      </w:pPr>
      <w:r w:rsidRPr="0031675F">
        <w:t>If</w:t>
      </w:r>
      <w:r w:rsidRPr="0031675F">
        <w:rPr>
          <w:spacing w:val="44"/>
        </w:rPr>
        <w:t xml:space="preserve"> </w:t>
      </w:r>
      <w:r w:rsidRPr="0031675F">
        <w:t>power</w:t>
      </w:r>
      <w:r w:rsidRPr="0031675F">
        <w:rPr>
          <w:spacing w:val="46"/>
        </w:rPr>
        <w:t xml:space="preserve"> </w:t>
      </w:r>
      <w:r w:rsidRPr="0031675F">
        <w:t>is</w:t>
      </w:r>
      <w:r w:rsidRPr="0031675F">
        <w:rPr>
          <w:spacing w:val="45"/>
        </w:rPr>
        <w:t xml:space="preserve"> </w:t>
      </w:r>
      <w:r w:rsidRPr="0031675F">
        <w:rPr>
          <w:spacing w:val="-1"/>
        </w:rPr>
        <w:t>disconnected</w:t>
      </w:r>
      <w:r w:rsidRPr="0031675F">
        <w:rPr>
          <w:spacing w:val="45"/>
        </w:rPr>
        <w:t xml:space="preserve"> </w:t>
      </w:r>
      <w:r w:rsidRPr="0031675F">
        <w:t>in</w:t>
      </w:r>
      <w:r w:rsidRPr="0031675F">
        <w:rPr>
          <w:spacing w:val="45"/>
        </w:rPr>
        <w:t xml:space="preserve"> </w:t>
      </w:r>
      <w:r w:rsidRPr="0031675F">
        <w:t>mid</w:t>
      </w:r>
      <w:r w:rsidRPr="0031675F">
        <w:rPr>
          <w:spacing w:val="45"/>
        </w:rPr>
        <w:t xml:space="preserve"> </w:t>
      </w:r>
      <w:r w:rsidRPr="0031675F">
        <w:rPr>
          <w:spacing w:val="-1"/>
        </w:rPr>
        <w:t>cycle,</w:t>
      </w:r>
      <w:r w:rsidRPr="0031675F">
        <w:rPr>
          <w:spacing w:val="46"/>
        </w:rPr>
        <w:t xml:space="preserve"> </w:t>
      </w:r>
      <w:r w:rsidRPr="0031675F">
        <w:t>the</w:t>
      </w:r>
      <w:r w:rsidRPr="0031675F">
        <w:rPr>
          <w:spacing w:val="45"/>
        </w:rPr>
        <w:t xml:space="preserve"> </w:t>
      </w:r>
      <w:r w:rsidRPr="0031675F">
        <w:rPr>
          <w:spacing w:val="-1"/>
        </w:rPr>
        <w:t>shutter</w:t>
      </w:r>
      <w:r w:rsidRPr="0031675F">
        <w:rPr>
          <w:spacing w:val="46"/>
        </w:rPr>
        <w:t xml:space="preserve"> </w:t>
      </w:r>
      <w:r w:rsidRPr="0031675F">
        <w:t>will</w:t>
      </w:r>
      <w:r w:rsidRPr="0031675F">
        <w:rPr>
          <w:spacing w:val="45"/>
        </w:rPr>
        <w:t xml:space="preserve"> </w:t>
      </w:r>
      <w:r w:rsidRPr="0031675F">
        <w:rPr>
          <w:spacing w:val="-1"/>
        </w:rPr>
        <w:t>reinitialize</w:t>
      </w:r>
      <w:r w:rsidRPr="0031675F">
        <w:rPr>
          <w:spacing w:val="45"/>
        </w:rPr>
        <w:t xml:space="preserve"> </w:t>
      </w:r>
      <w:r w:rsidRPr="0031675F">
        <w:rPr>
          <w:spacing w:val="-1"/>
        </w:rPr>
        <w:t>to</w:t>
      </w:r>
      <w:r w:rsidRPr="0031675F">
        <w:rPr>
          <w:spacing w:val="47"/>
        </w:rPr>
        <w:t xml:space="preserve"> </w:t>
      </w:r>
      <w:r w:rsidRPr="0031675F">
        <w:t>the</w:t>
      </w:r>
      <w:r w:rsidRPr="0031675F">
        <w:rPr>
          <w:spacing w:val="46"/>
        </w:rPr>
        <w:t xml:space="preserve"> </w:t>
      </w:r>
      <w:r w:rsidRPr="0031675F">
        <w:rPr>
          <w:spacing w:val="-1"/>
        </w:rPr>
        <w:t>beginning</w:t>
      </w:r>
      <w:r w:rsidRPr="0031675F">
        <w:rPr>
          <w:spacing w:val="45"/>
        </w:rPr>
        <w:t xml:space="preserve"> </w:t>
      </w:r>
      <w:r w:rsidRPr="0031675F">
        <w:t>of</w:t>
      </w:r>
      <w:r w:rsidRPr="0031675F">
        <w:rPr>
          <w:spacing w:val="45"/>
        </w:rPr>
        <w:t xml:space="preserve"> </w:t>
      </w:r>
      <w:r w:rsidRPr="0031675F">
        <w:t>the</w:t>
      </w:r>
      <w:r w:rsidRPr="0031675F">
        <w:rPr>
          <w:spacing w:val="46"/>
        </w:rPr>
        <w:t xml:space="preserve"> </w:t>
      </w:r>
      <w:r w:rsidRPr="0031675F">
        <w:t>user-</w:t>
      </w:r>
      <w:r w:rsidRPr="0031675F">
        <w:rPr>
          <w:spacing w:val="43"/>
        </w:rPr>
        <w:t xml:space="preserve"> </w:t>
      </w:r>
      <w:r w:rsidRPr="0031675F">
        <w:rPr>
          <w:spacing w:val="-1"/>
        </w:rPr>
        <w:t>selected</w:t>
      </w:r>
      <w:r w:rsidRPr="0031675F">
        <w:t xml:space="preserve"> </w:t>
      </w:r>
      <w:r w:rsidRPr="0031675F">
        <w:rPr>
          <w:spacing w:val="-1"/>
        </w:rPr>
        <w:t>settings</w:t>
      </w:r>
      <w:r w:rsidRPr="0031675F">
        <w:rPr>
          <w:spacing w:val="-2"/>
        </w:rPr>
        <w:t xml:space="preserve"> </w:t>
      </w:r>
      <w:r w:rsidRPr="0031675F">
        <w:t>when</w:t>
      </w:r>
      <w:r w:rsidRPr="0031675F">
        <w:rPr>
          <w:spacing w:val="-1"/>
        </w:rPr>
        <w:t xml:space="preserve"> power</w:t>
      </w:r>
      <w:r w:rsidRPr="0031675F">
        <w:t xml:space="preserve"> is</w:t>
      </w:r>
      <w:r w:rsidRPr="0031675F">
        <w:rPr>
          <w:spacing w:val="-3"/>
        </w:rPr>
        <w:t xml:space="preserve"> </w:t>
      </w:r>
      <w:r w:rsidRPr="0031675F">
        <w:rPr>
          <w:spacing w:val="-1"/>
        </w:rPr>
        <w:t>applied</w:t>
      </w:r>
      <w:r w:rsidRPr="0031675F">
        <w:t xml:space="preserve"> </w:t>
      </w:r>
      <w:r w:rsidRPr="0031675F">
        <w:rPr>
          <w:spacing w:val="-1"/>
        </w:rPr>
        <w:t>again.</w:t>
      </w:r>
    </w:p>
    <w:p w14:paraId="2C9D40B6" w14:textId="77777777" w:rsidR="0031675F" w:rsidRPr="0031675F" w:rsidRDefault="0031675F" w:rsidP="0031675F">
      <w:pPr>
        <w:spacing w:before="7"/>
        <w:rPr>
          <w:rFonts w:cs="Calibri"/>
          <w:sz w:val="19"/>
          <w:szCs w:val="19"/>
        </w:rPr>
      </w:pPr>
    </w:p>
    <w:p w14:paraId="27C85B9D" w14:textId="77777777" w:rsidR="0031675F" w:rsidRPr="0031675F" w:rsidRDefault="0031675F" w:rsidP="0031675F">
      <w:pPr>
        <w:widowControl w:val="0"/>
        <w:numPr>
          <w:ilvl w:val="2"/>
          <w:numId w:val="70"/>
        </w:numPr>
        <w:tabs>
          <w:tab w:val="left" w:pos="839"/>
        </w:tabs>
        <w:spacing w:before="0" w:after="0" w:line="240" w:lineRule="auto"/>
        <w:jc w:val="both"/>
        <w:rPr>
          <w:rFonts w:eastAsia="Arial" w:cs="Arial"/>
        </w:rPr>
      </w:pPr>
      <w:r w:rsidRPr="0031675F">
        <w:rPr>
          <w:b/>
          <w:spacing w:val="-1"/>
        </w:rPr>
        <w:t>Pre-field</w:t>
      </w:r>
      <w:r w:rsidRPr="0031675F">
        <w:rPr>
          <w:b/>
          <w:spacing w:val="-2"/>
        </w:rPr>
        <w:t xml:space="preserve"> </w:t>
      </w:r>
      <w:r w:rsidRPr="0031675F">
        <w:rPr>
          <w:b/>
          <w:spacing w:val="-1"/>
        </w:rPr>
        <w:t>logger</w:t>
      </w:r>
      <w:r w:rsidRPr="0031675F">
        <w:rPr>
          <w:b/>
          <w:spacing w:val="1"/>
        </w:rPr>
        <w:t xml:space="preserve"> </w:t>
      </w:r>
      <w:r w:rsidRPr="0031675F">
        <w:rPr>
          <w:b/>
          <w:spacing w:val="-1"/>
        </w:rPr>
        <w:t>checks</w:t>
      </w:r>
    </w:p>
    <w:p w14:paraId="65D6C794" w14:textId="77777777" w:rsidR="0031675F" w:rsidRPr="0031675F" w:rsidRDefault="0031675F" w:rsidP="0031675F">
      <w:pPr>
        <w:spacing w:after="120" w:line="239" w:lineRule="auto"/>
        <w:ind w:right="109"/>
        <w:jc w:val="both"/>
      </w:pPr>
      <w:r w:rsidRPr="0031675F">
        <w:rPr>
          <w:spacing w:val="-1"/>
        </w:rPr>
        <w:t>After</w:t>
      </w:r>
      <w:r w:rsidRPr="0031675F">
        <w:rPr>
          <w:spacing w:val="26"/>
        </w:rPr>
        <w:t xml:space="preserve"> </w:t>
      </w:r>
      <w:r w:rsidRPr="0031675F">
        <w:rPr>
          <w:spacing w:val="-1"/>
        </w:rPr>
        <w:t>recovery</w:t>
      </w:r>
      <w:r w:rsidRPr="0031675F">
        <w:rPr>
          <w:spacing w:val="25"/>
        </w:rPr>
        <w:t xml:space="preserve"> </w:t>
      </w:r>
      <w:r w:rsidRPr="0031675F">
        <w:t>of</w:t>
      </w:r>
      <w:r w:rsidRPr="0031675F">
        <w:rPr>
          <w:spacing w:val="26"/>
        </w:rPr>
        <w:t xml:space="preserve"> </w:t>
      </w:r>
      <w:r w:rsidRPr="0031675F">
        <w:t>the</w:t>
      </w:r>
      <w:r w:rsidRPr="0031675F">
        <w:rPr>
          <w:spacing w:val="24"/>
        </w:rPr>
        <w:t xml:space="preserve"> </w:t>
      </w:r>
      <w:r w:rsidRPr="0031675F">
        <w:rPr>
          <w:spacing w:val="-1"/>
        </w:rPr>
        <w:t>loggers</w:t>
      </w:r>
      <w:r w:rsidRPr="0031675F">
        <w:rPr>
          <w:spacing w:val="26"/>
        </w:rPr>
        <w:t xml:space="preserve"> </w:t>
      </w:r>
      <w:r w:rsidRPr="0031675F">
        <w:rPr>
          <w:spacing w:val="-1"/>
        </w:rPr>
        <w:t>from</w:t>
      </w:r>
      <w:r w:rsidRPr="0031675F">
        <w:rPr>
          <w:spacing w:val="25"/>
        </w:rPr>
        <w:t xml:space="preserve"> </w:t>
      </w:r>
      <w:r w:rsidRPr="0031675F">
        <w:rPr>
          <w:spacing w:val="-1"/>
        </w:rPr>
        <w:t>field</w:t>
      </w:r>
      <w:r w:rsidRPr="0031675F">
        <w:rPr>
          <w:spacing w:val="29"/>
        </w:rPr>
        <w:t xml:space="preserve"> </w:t>
      </w:r>
      <w:r w:rsidRPr="0031675F">
        <w:rPr>
          <w:spacing w:val="-1"/>
        </w:rPr>
        <w:t>deployment</w:t>
      </w:r>
      <w:r w:rsidRPr="0031675F">
        <w:rPr>
          <w:spacing w:val="24"/>
        </w:rPr>
        <w:t xml:space="preserve"> </w:t>
      </w:r>
      <w:r w:rsidRPr="0031675F">
        <w:t>a</w:t>
      </w:r>
      <w:r w:rsidRPr="0031675F">
        <w:rPr>
          <w:spacing w:val="26"/>
        </w:rPr>
        <w:t xml:space="preserve"> </w:t>
      </w:r>
      <w:r w:rsidRPr="0031675F">
        <w:rPr>
          <w:spacing w:val="-1"/>
        </w:rPr>
        <w:t>variety</w:t>
      </w:r>
      <w:r w:rsidRPr="0031675F">
        <w:rPr>
          <w:spacing w:val="24"/>
        </w:rPr>
        <w:t xml:space="preserve"> </w:t>
      </w:r>
      <w:r w:rsidRPr="0031675F">
        <w:t>of</w:t>
      </w:r>
      <w:r w:rsidRPr="0031675F">
        <w:rPr>
          <w:spacing w:val="24"/>
        </w:rPr>
        <w:t xml:space="preserve"> </w:t>
      </w:r>
      <w:r w:rsidRPr="0031675F">
        <w:rPr>
          <w:spacing w:val="-1"/>
        </w:rPr>
        <w:t>maintenance</w:t>
      </w:r>
      <w:r w:rsidRPr="0031675F">
        <w:rPr>
          <w:spacing w:val="25"/>
        </w:rPr>
        <w:t xml:space="preserve"> </w:t>
      </w:r>
      <w:r w:rsidRPr="0031675F">
        <w:t>checks</w:t>
      </w:r>
      <w:r w:rsidRPr="0031675F">
        <w:rPr>
          <w:spacing w:val="27"/>
        </w:rPr>
        <w:t xml:space="preserve"> </w:t>
      </w:r>
      <w:r w:rsidRPr="0031675F">
        <w:rPr>
          <w:spacing w:val="-1"/>
        </w:rPr>
        <w:t>are</w:t>
      </w:r>
      <w:r w:rsidRPr="0031675F">
        <w:rPr>
          <w:spacing w:val="26"/>
        </w:rPr>
        <w:t xml:space="preserve"> </w:t>
      </w:r>
      <w:r w:rsidRPr="0031675F">
        <w:rPr>
          <w:spacing w:val="-1"/>
        </w:rPr>
        <w:t>required</w:t>
      </w:r>
      <w:r w:rsidRPr="0031675F">
        <w:rPr>
          <w:spacing w:val="53"/>
        </w:rPr>
        <w:t xml:space="preserve"> </w:t>
      </w:r>
      <w:r w:rsidRPr="0031675F">
        <w:rPr>
          <w:spacing w:val="-1"/>
        </w:rPr>
        <w:t>prior</w:t>
      </w:r>
      <w:r w:rsidRPr="0031675F">
        <w:rPr>
          <w:spacing w:val="10"/>
        </w:rPr>
        <w:t xml:space="preserve"> </w:t>
      </w:r>
      <w:r w:rsidRPr="0031675F">
        <w:rPr>
          <w:spacing w:val="-1"/>
        </w:rPr>
        <w:t>to</w:t>
      </w:r>
      <w:r w:rsidRPr="0031675F">
        <w:rPr>
          <w:spacing w:val="8"/>
        </w:rPr>
        <w:t xml:space="preserve"> </w:t>
      </w:r>
      <w:r w:rsidRPr="0031675F">
        <w:rPr>
          <w:spacing w:val="-1"/>
        </w:rPr>
        <w:t>subsequent</w:t>
      </w:r>
      <w:r w:rsidRPr="0031675F">
        <w:rPr>
          <w:spacing w:val="9"/>
        </w:rPr>
        <w:t xml:space="preserve"> </w:t>
      </w:r>
      <w:r w:rsidRPr="0031675F">
        <w:rPr>
          <w:spacing w:val="-1"/>
        </w:rPr>
        <w:t>deployments.</w:t>
      </w:r>
      <w:r w:rsidRPr="0031675F">
        <w:rPr>
          <w:spacing w:val="6"/>
        </w:rPr>
        <w:t xml:space="preserve"> </w:t>
      </w:r>
      <w:r w:rsidRPr="0031675F">
        <w:rPr>
          <w:spacing w:val="-1"/>
        </w:rPr>
        <w:t>Initial</w:t>
      </w:r>
      <w:r w:rsidRPr="0031675F">
        <w:rPr>
          <w:spacing w:val="9"/>
        </w:rPr>
        <w:t xml:space="preserve"> </w:t>
      </w:r>
      <w:r w:rsidRPr="0031675F">
        <w:rPr>
          <w:spacing w:val="-1"/>
        </w:rPr>
        <w:t>handling</w:t>
      </w:r>
      <w:r w:rsidRPr="0031675F">
        <w:rPr>
          <w:spacing w:val="9"/>
        </w:rPr>
        <w:t xml:space="preserve"> </w:t>
      </w:r>
      <w:r w:rsidRPr="0031675F">
        <w:t>of</w:t>
      </w:r>
      <w:r w:rsidRPr="0031675F">
        <w:rPr>
          <w:spacing w:val="7"/>
        </w:rPr>
        <w:t xml:space="preserve"> </w:t>
      </w:r>
      <w:r w:rsidRPr="0031675F">
        <w:rPr>
          <w:spacing w:val="-1"/>
        </w:rPr>
        <w:t>the</w:t>
      </w:r>
      <w:r w:rsidRPr="0031675F">
        <w:rPr>
          <w:spacing w:val="10"/>
        </w:rPr>
        <w:t xml:space="preserve"> </w:t>
      </w:r>
      <w:r w:rsidRPr="0031675F">
        <w:rPr>
          <w:spacing w:val="-1"/>
        </w:rPr>
        <w:t>logger</w:t>
      </w:r>
      <w:r w:rsidRPr="0031675F">
        <w:rPr>
          <w:spacing w:val="8"/>
        </w:rPr>
        <w:t xml:space="preserve"> </w:t>
      </w:r>
      <w:r w:rsidRPr="0031675F">
        <w:rPr>
          <w:spacing w:val="-1"/>
        </w:rPr>
        <w:t>whilst</w:t>
      </w:r>
      <w:r w:rsidRPr="0031675F">
        <w:rPr>
          <w:spacing w:val="10"/>
        </w:rPr>
        <w:t xml:space="preserve"> </w:t>
      </w:r>
      <w:r w:rsidRPr="0031675F">
        <w:rPr>
          <w:spacing w:val="-1"/>
        </w:rPr>
        <w:t>still</w:t>
      </w:r>
      <w:r w:rsidRPr="0031675F">
        <w:rPr>
          <w:spacing w:val="7"/>
        </w:rPr>
        <w:t xml:space="preserve"> </w:t>
      </w:r>
      <w:r w:rsidRPr="0031675F">
        <w:t>in</w:t>
      </w:r>
      <w:r w:rsidRPr="0031675F">
        <w:rPr>
          <w:spacing w:val="8"/>
        </w:rPr>
        <w:t xml:space="preserve"> </w:t>
      </w:r>
      <w:r w:rsidRPr="0031675F">
        <w:t>the</w:t>
      </w:r>
      <w:r w:rsidRPr="0031675F">
        <w:rPr>
          <w:spacing w:val="5"/>
        </w:rPr>
        <w:t xml:space="preserve"> </w:t>
      </w:r>
      <w:r w:rsidRPr="0031675F">
        <w:rPr>
          <w:spacing w:val="-1"/>
        </w:rPr>
        <w:t>field</w:t>
      </w:r>
      <w:r w:rsidRPr="0031675F">
        <w:rPr>
          <w:spacing w:val="9"/>
        </w:rPr>
        <w:t xml:space="preserve"> </w:t>
      </w:r>
      <w:r w:rsidRPr="0031675F">
        <w:rPr>
          <w:spacing w:val="-1"/>
        </w:rPr>
        <w:t>(as</w:t>
      </w:r>
      <w:r w:rsidRPr="0031675F">
        <w:rPr>
          <w:spacing w:val="10"/>
        </w:rPr>
        <w:t xml:space="preserve"> </w:t>
      </w:r>
      <w:r w:rsidRPr="0031675F">
        <w:rPr>
          <w:spacing w:val="-2"/>
        </w:rPr>
        <w:t>per</w:t>
      </w:r>
      <w:r w:rsidRPr="0031675F">
        <w:rPr>
          <w:spacing w:val="10"/>
        </w:rPr>
        <w:t xml:space="preserve"> </w:t>
      </w:r>
      <w:r w:rsidRPr="0031675F">
        <w:rPr>
          <w:spacing w:val="-1"/>
        </w:rPr>
        <w:t>Section</w:t>
      </w:r>
      <w:r w:rsidRPr="0031675F">
        <w:rPr>
          <w:spacing w:val="61"/>
        </w:rPr>
        <w:t xml:space="preserve"> </w:t>
      </w:r>
      <w:r w:rsidRPr="0031675F">
        <w:rPr>
          <w:spacing w:val="-1"/>
        </w:rPr>
        <w:t>11.4.4)</w:t>
      </w:r>
      <w:r w:rsidRPr="0031675F">
        <w:rPr>
          <w:spacing w:val="8"/>
        </w:rPr>
        <w:t xml:space="preserve"> </w:t>
      </w:r>
      <w:r w:rsidRPr="0031675F">
        <w:rPr>
          <w:spacing w:val="-1"/>
        </w:rPr>
        <w:t>includes</w:t>
      </w:r>
      <w:r w:rsidRPr="0031675F">
        <w:rPr>
          <w:spacing w:val="6"/>
        </w:rPr>
        <w:t xml:space="preserve"> </w:t>
      </w:r>
      <w:r w:rsidRPr="0031675F">
        <w:rPr>
          <w:spacing w:val="-1"/>
        </w:rPr>
        <w:t>photographing</w:t>
      </w:r>
      <w:r w:rsidRPr="0031675F">
        <w:rPr>
          <w:spacing w:val="7"/>
        </w:rPr>
        <w:t xml:space="preserve"> </w:t>
      </w:r>
      <w:r w:rsidRPr="0031675F">
        <w:t>the</w:t>
      </w:r>
      <w:r w:rsidRPr="0031675F">
        <w:rPr>
          <w:spacing w:val="8"/>
        </w:rPr>
        <w:t xml:space="preserve"> </w:t>
      </w:r>
      <w:r w:rsidRPr="0031675F">
        <w:rPr>
          <w:spacing w:val="-1"/>
        </w:rPr>
        <w:t>condition</w:t>
      </w:r>
      <w:r w:rsidRPr="0031675F">
        <w:rPr>
          <w:spacing w:val="7"/>
        </w:rPr>
        <w:t xml:space="preserve"> </w:t>
      </w:r>
      <w:r w:rsidRPr="0031675F">
        <w:t>of</w:t>
      </w:r>
      <w:r w:rsidRPr="0031675F">
        <w:rPr>
          <w:spacing w:val="5"/>
        </w:rPr>
        <w:t xml:space="preserve"> </w:t>
      </w:r>
      <w:r w:rsidRPr="0031675F">
        <w:rPr>
          <w:spacing w:val="-1"/>
        </w:rPr>
        <w:t>the</w:t>
      </w:r>
      <w:r w:rsidRPr="0031675F">
        <w:rPr>
          <w:spacing w:val="8"/>
        </w:rPr>
        <w:t xml:space="preserve"> </w:t>
      </w:r>
      <w:r w:rsidRPr="0031675F">
        <w:rPr>
          <w:spacing w:val="-1"/>
        </w:rPr>
        <w:t>logger,</w:t>
      </w:r>
      <w:r w:rsidRPr="0031675F">
        <w:rPr>
          <w:spacing w:val="6"/>
        </w:rPr>
        <w:t xml:space="preserve"> </w:t>
      </w:r>
      <w:r w:rsidRPr="0031675F">
        <w:rPr>
          <w:spacing w:val="-1"/>
        </w:rPr>
        <w:t>removing</w:t>
      </w:r>
      <w:r w:rsidRPr="0031675F">
        <w:rPr>
          <w:spacing w:val="7"/>
        </w:rPr>
        <w:t xml:space="preserve"> </w:t>
      </w:r>
      <w:r w:rsidRPr="0031675F">
        <w:rPr>
          <w:spacing w:val="-1"/>
        </w:rPr>
        <w:t>anti-fouling</w:t>
      </w:r>
      <w:r w:rsidRPr="0031675F">
        <w:rPr>
          <w:spacing w:val="7"/>
        </w:rPr>
        <w:t xml:space="preserve"> </w:t>
      </w:r>
      <w:r w:rsidRPr="0031675F">
        <w:rPr>
          <w:spacing w:val="-1"/>
        </w:rPr>
        <w:t>copper</w:t>
      </w:r>
      <w:r w:rsidRPr="0031675F">
        <w:rPr>
          <w:spacing w:val="6"/>
        </w:rPr>
        <w:t xml:space="preserve"> </w:t>
      </w:r>
      <w:r w:rsidRPr="0031675F">
        <w:t>tape,</w:t>
      </w:r>
      <w:r w:rsidRPr="0031675F">
        <w:rPr>
          <w:spacing w:val="79"/>
        </w:rPr>
        <w:t xml:space="preserve"> </w:t>
      </w:r>
      <w:r w:rsidRPr="0031675F">
        <w:rPr>
          <w:spacing w:val="-1"/>
        </w:rPr>
        <w:t>washing the</w:t>
      </w:r>
      <w:r w:rsidRPr="0031675F">
        <w:t xml:space="preserve"> </w:t>
      </w:r>
      <w:r w:rsidRPr="0031675F">
        <w:rPr>
          <w:spacing w:val="-1"/>
        </w:rPr>
        <w:t>logger,</w:t>
      </w:r>
      <w:r w:rsidRPr="0031675F">
        <w:t xml:space="preserve"> </w:t>
      </w:r>
      <w:r w:rsidRPr="0031675F">
        <w:rPr>
          <w:spacing w:val="-1"/>
        </w:rPr>
        <w:t>removing the</w:t>
      </w:r>
      <w:r w:rsidRPr="0031675F">
        <w:t xml:space="preserve"> bio-wiper </w:t>
      </w:r>
      <w:r w:rsidRPr="0031675F">
        <w:rPr>
          <w:spacing w:val="-1"/>
        </w:rPr>
        <w:t>and downloading data</w:t>
      </w:r>
      <w:r w:rsidRPr="0031675F">
        <w:t xml:space="preserve"> </w:t>
      </w:r>
      <w:r w:rsidRPr="0031675F">
        <w:rPr>
          <w:spacing w:val="-1"/>
        </w:rPr>
        <w:t>files.</w:t>
      </w:r>
      <w:r w:rsidRPr="0031675F">
        <w:rPr>
          <w:spacing w:val="1"/>
        </w:rPr>
        <w:t xml:space="preserve"> </w:t>
      </w:r>
      <w:r w:rsidRPr="0031675F">
        <w:t>In</w:t>
      </w:r>
      <w:r w:rsidRPr="0031675F">
        <w:rPr>
          <w:spacing w:val="-1"/>
        </w:rPr>
        <w:t xml:space="preserve"> the</w:t>
      </w:r>
      <w:r w:rsidRPr="0031675F">
        <w:t xml:space="preserve"> </w:t>
      </w:r>
      <w:r w:rsidRPr="0031675F">
        <w:rPr>
          <w:spacing w:val="-1"/>
        </w:rPr>
        <w:t>AIMS</w:t>
      </w:r>
      <w:r w:rsidRPr="0031675F">
        <w:t xml:space="preserve"> </w:t>
      </w:r>
      <w:r w:rsidRPr="0031675F">
        <w:rPr>
          <w:spacing w:val="-1"/>
        </w:rPr>
        <w:t>laboratory</w:t>
      </w:r>
      <w:r w:rsidRPr="0031675F">
        <w:rPr>
          <w:spacing w:val="-2"/>
        </w:rPr>
        <w:t xml:space="preserve"> </w:t>
      </w:r>
      <w:r w:rsidRPr="0031675F">
        <w:rPr>
          <w:spacing w:val="-1"/>
        </w:rPr>
        <w:t>this</w:t>
      </w:r>
      <w:r w:rsidRPr="0031675F">
        <w:t xml:space="preserve"> is</w:t>
      </w:r>
      <w:r w:rsidRPr="0031675F">
        <w:rPr>
          <w:spacing w:val="75"/>
        </w:rPr>
        <w:t xml:space="preserve"> </w:t>
      </w:r>
      <w:r w:rsidRPr="0031675F">
        <w:rPr>
          <w:spacing w:val="-1"/>
        </w:rPr>
        <w:t>followed</w:t>
      </w:r>
      <w:r w:rsidRPr="0031675F">
        <w:rPr>
          <w:spacing w:val="6"/>
        </w:rPr>
        <w:t xml:space="preserve"> </w:t>
      </w:r>
      <w:r w:rsidRPr="0031675F">
        <w:rPr>
          <w:spacing w:val="-1"/>
        </w:rPr>
        <w:t>up</w:t>
      </w:r>
      <w:r w:rsidRPr="0031675F">
        <w:rPr>
          <w:spacing w:val="6"/>
        </w:rPr>
        <w:t xml:space="preserve"> </w:t>
      </w:r>
      <w:r w:rsidRPr="0031675F">
        <w:rPr>
          <w:spacing w:val="-1"/>
        </w:rPr>
        <w:t>with</w:t>
      </w:r>
      <w:r w:rsidRPr="0031675F">
        <w:rPr>
          <w:spacing w:val="7"/>
        </w:rPr>
        <w:t xml:space="preserve"> </w:t>
      </w:r>
      <w:r w:rsidRPr="0031675F">
        <w:rPr>
          <w:spacing w:val="-1"/>
        </w:rPr>
        <w:t>maintenance</w:t>
      </w:r>
      <w:r w:rsidRPr="0031675F">
        <w:rPr>
          <w:spacing w:val="8"/>
        </w:rPr>
        <w:t xml:space="preserve"> </w:t>
      </w:r>
      <w:r w:rsidRPr="0031675F">
        <w:rPr>
          <w:spacing w:val="-1"/>
        </w:rPr>
        <w:t>and</w:t>
      </w:r>
      <w:r w:rsidRPr="0031675F">
        <w:rPr>
          <w:spacing w:val="6"/>
        </w:rPr>
        <w:t xml:space="preserve"> </w:t>
      </w:r>
      <w:r w:rsidRPr="0031675F">
        <w:rPr>
          <w:spacing w:val="-1"/>
        </w:rPr>
        <w:t>calibration</w:t>
      </w:r>
      <w:r w:rsidRPr="0031675F">
        <w:rPr>
          <w:spacing w:val="6"/>
        </w:rPr>
        <w:t xml:space="preserve"> </w:t>
      </w:r>
      <w:r w:rsidRPr="0031675F">
        <w:rPr>
          <w:spacing w:val="-1"/>
        </w:rPr>
        <w:t>checks,</w:t>
      </w:r>
      <w:r w:rsidRPr="0031675F">
        <w:rPr>
          <w:spacing w:val="5"/>
        </w:rPr>
        <w:t xml:space="preserve"> </w:t>
      </w:r>
      <w:r w:rsidRPr="0031675F">
        <w:rPr>
          <w:spacing w:val="-1"/>
        </w:rPr>
        <w:t>and</w:t>
      </w:r>
      <w:r w:rsidRPr="0031675F">
        <w:rPr>
          <w:spacing w:val="6"/>
        </w:rPr>
        <w:t xml:space="preserve"> </w:t>
      </w:r>
      <w:r w:rsidRPr="0031675F">
        <w:t>it</w:t>
      </w:r>
      <w:r w:rsidRPr="0031675F">
        <w:rPr>
          <w:spacing w:val="7"/>
        </w:rPr>
        <w:t xml:space="preserve"> </w:t>
      </w:r>
      <w:r w:rsidRPr="0031675F">
        <w:t>is</w:t>
      </w:r>
      <w:r w:rsidRPr="0031675F">
        <w:rPr>
          <w:spacing w:val="7"/>
        </w:rPr>
        <w:t xml:space="preserve"> </w:t>
      </w:r>
      <w:r w:rsidRPr="0031675F">
        <w:rPr>
          <w:spacing w:val="-1"/>
        </w:rPr>
        <w:t>determined</w:t>
      </w:r>
      <w:r w:rsidRPr="0031675F">
        <w:rPr>
          <w:spacing w:val="7"/>
        </w:rPr>
        <w:t xml:space="preserve"> </w:t>
      </w:r>
      <w:r w:rsidRPr="0031675F">
        <w:rPr>
          <w:spacing w:val="-1"/>
        </w:rPr>
        <w:t>whether</w:t>
      </w:r>
      <w:r w:rsidRPr="0031675F">
        <w:rPr>
          <w:spacing w:val="7"/>
        </w:rPr>
        <w:t xml:space="preserve"> </w:t>
      </w:r>
      <w:r w:rsidRPr="0031675F">
        <w:rPr>
          <w:spacing w:val="-1"/>
        </w:rPr>
        <w:t>any</w:t>
      </w:r>
      <w:r w:rsidRPr="0031675F">
        <w:rPr>
          <w:spacing w:val="8"/>
        </w:rPr>
        <w:t xml:space="preserve"> </w:t>
      </w:r>
      <w:r w:rsidRPr="0031675F">
        <w:rPr>
          <w:spacing w:val="-1"/>
        </w:rPr>
        <w:t>instruments</w:t>
      </w:r>
      <w:r w:rsidRPr="0031675F">
        <w:rPr>
          <w:spacing w:val="61"/>
        </w:rPr>
        <w:t xml:space="preserve"> </w:t>
      </w:r>
      <w:r w:rsidRPr="0031675F">
        <w:t>may</w:t>
      </w:r>
      <w:r w:rsidRPr="0031675F">
        <w:rPr>
          <w:spacing w:val="-2"/>
        </w:rPr>
        <w:t xml:space="preserve"> </w:t>
      </w:r>
      <w:r w:rsidRPr="0031675F">
        <w:rPr>
          <w:spacing w:val="-1"/>
        </w:rPr>
        <w:t>require</w:t>
      </w:r>
      <w:r w:rsidRPr="0031675F">
        <w:rPr>
          <w:spacing w:val="-3"/>
        </w:rPr>
        <w:t xml:space="preserve"> </w:t>
      </w:r>
      <w:r w:rsidRPr="0031675F">
        <w:rPr>
          <w:spacing w:val="-1"/>
        </w:rPr>
        <w:t>shipment</w:t>
      </w:r>
      <w:r w:rsidRPr="0031675F">
        <w:rPr>
          <w:spacing w:val="-3"/>
        </w:rPr>
        <w:t xml:space="preserve"> </w:t>
      </w:r>
      <w:r w:rsidRPr="0031675F">
        <w:rPr>
          <w:spacing w:val="-1"/>
        </w:rPr>
        <w:t>back</w:t>
      </w:r>
      <w:r w:rsidRPr="0031675F">
        <w:rPr>
          <w:spacing w:val="-2"/>
        </w:rPr>
        <w:t xml:space="preserve"> </w:t>
      </w:r>
      <w:r w:rsidRPr="0031675F">
        <w:t>to</w:t>
      </w:r>
      <w:r w:rsidRPr="0031675F">
        <w:rPr>
          <w:spacing w:val="-1"/>
        </w:rPr>
        <w:t xml:space="preserve"> WET Labs</w:t>
      </w:r>
      <w:r w:rsidRPr="0031675F">
        <w:t xml:space="preserve"> </w:t>
      </w:r>
      <w:r w:rsidRPr="0031675F">
        <w:rPr>
          <w:spacing w:val="-1"/>
        </w:rPr>
        <w:t>for</w:t>
      </w:r>
      <w:r w:rsidRPr="0031675F">
        <w:t xml:space="preserve"> </w:t>
      </w:r>
      <w:r w:rsidRPr="0031675F">
        <w:rPr>
          <w:spacing w:val="-1"/>
        </w:rPr>
        <w:t>repair.</w:t>
      </w:r>
    </w:p>
    <w:p w14:paraId="7BB3579F" w14:textId="77777777" w:rsidR="0031675F" w:rsidRPr="0031675F" w:rsidRDefault="0031675F" w:rsidP="0031675F">
      <w:pPr>
        <w:spacing w:before="120" w:after="120"/>
        <w:ind w:right="115"/>
        <w:jc w:val="both"/>
      </w:pPr>
      <w:r w:rsidRPr="0031675F">
        <w:rPr>
          <w:spacing w:val="-1"/>
        </w:rPr>
        <w:t>Maintenance</w:t>
      </w:r>
      <w:r w:rsidRPr="0031675F">
        <w:rPr>
          <w:spacing w:val="13"/>
        </w:rPr>
        <w:t xml:space="preserve"> </w:t>
      </w:r>
      <w:r w:rsidRPr="0031675F">
        <w:t>in</w:t>
      </w:r>
      <w:r w:rsidRPr="0031675F">
        <w:rPr>
          <w:spacing w:val="11"/>
        </w:rPr>
        <w:t xml:space="preserve"> </w:t>
      </w:r>
      <w:r w:rsidRPr="0031675F">
        <w:t>the</w:t>
      </w:r>
      <w:r w:rsidRPr="0031675F">
        <w:rPr>
          <w:spacing w:val="12"/>
        </w:rPr>
        <w:t xml:space="preserve"> </w:t>
      </w:r>
      <w:r w:rsidRPr="0031675F">
        <w:rPr>
          <w:spacing w:val="-1"/>
        </w:rPr>
        <w:t>laboratory</w:t>
      </w:r>
      <w:r w:rsidRPr="0031675F">
        <w:rPr>
          <w:spacing w:val="13"/>
        </w:rPr>
        <w:t xml:space="preserve"> </w:t>
      </w:r>
      <w:r w:rsidRPr="0031675F">
        <w:rPr>
          <w:spacing w:val="-1"/>
        </w:rPr>
        <w:t>begins</w:t>
      </w:r>
      <w:r w:rsidRPr="0031675F">
        <w:rPr>
          <w:spacing w:val="12"/>
        </w:rPr>
        <w:t xml:space="preserve"> </w:t>
      </w:r>
      <w:r w:rsidRPr="0031675F">
        <w:rPr>
          <w:spacing w:val="-1"/>
        </w:rPr>
        <w:t>with</w:t>
      </w:r>
      <w:r w:rsidRPr="0031675F">
        <w:rPr>
          <w:spacing w:val="12"/>
        </w:rPr>
        <w:t xml:space="preserve"> </w:t>
      </w:r>
      <w:r w:rsidRPr="0031675F">
        <w:rPr>
          <w:spacing w:val="-1"/>
        </w:rPr>
        <w:t>removing</w:t>
      </w:r>
      <w:r w:rsidRPr="0031675F">
        <w:rPr>
          <w:spacing w:val="11"/>
        </w:rPr>
        <w:t xml:space="preserve"> </w:t>
      </w:r>
      <w:r w:rsidRPr="0031675F">
        <w:t>the</w:t>
      </w:r>
      <w:r w:rsidRPr="0031675F">
        <w:rPr>
          <w:spacing w:val="12"/>
        </w:rPr>
        <w:t xml:space="preserve"> </w:t>
      </w:r>
      <w:r w:rsidRPr="0031675F">
        <w:rPr>
          <w:spacing w:val="-1"/>
        </w:rPr>
        <w:t>metal</w:t>
      </w:r>
      <w:r w:rsidRPr="0031675F">
        <w:rPr>
          <w:spacing w:val="12"/>
        </w:rPr>
        <w:t xml:space="preserve"> </w:t>
      </w:r>
      <w:r w:rsidRPr="0031675F">
        <w:rPr>
          <w:spacing w:val="-1"/>
        </w:rPr>
        <w:t>faceplate</w:t>
      </w:r>
      <w:r w:rsidRPr="0031675F">
        <w:rPr>
          <w:spacing w:val="13"/>
        </w:rPr>
        <w:t xml:space="preserve"> </w:t>
      </w:r>
      <w:r w:rsidRPr="0031675F">
        <w:t>of</w:t>
      </w:r>
      <w:r w:rsidRPr="0031675F">
        <w:rPr>
          <w:spacing w:val="12"/>
        </w:rPr>
        <w:t xml:space="preserve"> </w:t>
      </w:r>
      <w:r w:rsidRPr="0031675F">
        <w:t>the</w:t>
      </w:r>
      <w:r w:rsidRPr="0031675F">
        <w:rPr>
          <w:spacing w:val="10"/>
        </w:rPr>
        <w:t xml:space="preserve"> </w:t>
      </w:r>
      <w:r w:rsidRPr="0031675F">
        <w:rPr>
          <w:spacing w:val="-1"/>
        </w:rPr>
        <w:t>logger,</w:t>
      </w:r>
      <w:r w:rsidRPr="0031675F">
        <w:rPr>
          <w:spacing w:val="12"/>
        </w:rPr>
        <w:t xml:space="preserve"> </w:t>
      </w:r>
      <w:r w:rsidRPr="0031675F">
        <w:rPr>
          <w:spacing w:val="-1"/>
        </w:rPr>
        <w:t>cleaning</w:t>
      </w:r>
      <w:r w:rsidRPr="0031675F">
        <w:rPr>
          <w:spacing w:val="11"/>
        </w:rPr>
        <w:t xml:space="preserve"> </w:t>
      </w:r>
      <w:r w:rsidRPr="0031675F">
        <w:t>the</w:t>
      </w:r>
      <w:r w:rsidRPr="0031675F">
        <w:rPr>
          <w:spacing w:val="65"/>
        </w:rPr>
        <w:t xml:space="preserve"> </w:t>
      </w:r>
      <w:r w:rsidRPr="0031675F">
        <w:rPr>
          <w:spacing w:val="-1"/>
        </w:rPr>
        <w:t>logger</w:t>
      </w:r>
      <w:r w:rsidRPr="0031675F">
        <w:rPr>
          <w:spacing w:val="24"/>
        </w:rPr>
        <w:t xml:space="preserve"> </w:t>
      </w:r>
      <w:r w:rsidRPr="0031675F">
        <w:rPr>
          <w:spacing w:val="-1"/>
        </w:rPr>
        <w:t>and</w:t>
      </w:r>
      <w:r w:rsidRPr="0031675F">
        <w:rPr>
          <w:spacing w:val="23"/>
        </w:rPr>
        <w:t xml:space="preserve"> </w:t>
      </w:r>
      <w:r w:rsidRPr="0031675F">
        <w:rPr>
          <w:spacing w:val="-1"/>
        </w:rPr>
        <w:t>includes</w:t>
      </w:r>
      <w:r w:rsidRPr="0031675F">
        <w:rPr>
          <w:spacing w:val="24"/>
        </w:rPr>
        <w:t xml:space="preserve"> </w:t>
      </w:r>
      <w:r w:rsidRPr="0031675F">
        <w:rPr>
          <w:spacing w:val="-1"/>
        </w:rPr>
        <w:t>assessment</w:t>
      </w:r>
      <w:r w:rsidRPr="0031675F">
        <w:rPr>
          <w:spacing w:val="21"/>
        </w:rPr>
        <w:t xml:space="preserve"> </w:t>
      </w:r>
      <w:r w:rsidRPr="0031675F">
        <w:t>of</w:t>
      </w:r>
      <w:r w:rsidRPr="0031675F">
        <w:rPr>
          <w:spacing w:val="24"/>
        </w:rPr>
        <w:t xml:space="preserve"> </w:t>
      </w:r>
      <w:r w:rsidRPr="0031675F">
        <w:rPr>
          <w:spacing w:val="-1"/>
        </w:rPr>
        <w:t>physical</w:t>
      </w:r>
      <w:r w:rsidRPr="0031675F">
        <w:rPr>
          <w:spacing w:val="24"/>
        </w:rPr>
        <w:t xml:space="preserve"> </w:t>
      </w:r>
      <w:r w:rsidRPr="0031675F">
        <w:rPr>
          <w:spacing w:val="-1"/>
        </w:rPr>
        <w:t>damage</w:t>
      </w:r>
      <w:r w:rsidRPr="0031675F">
        <w:rPr>
          <w:spacing w:val="22"/>
        </w:rPr>
        <w:t xml:space="preserve"> </w:t>
      </w:r>
      <w:r w:rsidRPr="0031675F">
        <w:t>of</w:t>
      </w:r>
      <w:r w:rsidRPr="0031675F">
        <w:rPr>
          <w:spacing w:val="24"/>
        </w:rPr>
        <w:t xml:space="preserve"> </w:t>
      </w:r>
      <w:r w:rsidRPr="0031675F">
        <w:t>the</w:t>
      </w:r>
      <w:r w:rsidRPr="0031675F">
        <w:rPr>
          <w:spacing w:val="24"/>
        </w:rPr>
        <w:t xml:space="preserve"> </w:t>
      </w:r>
      <w:r w:rsidRPr="0031675F">
        <w:rPr>
          <w:spacing w:val="-1"/>
        </w:rPr>
        <w:t>logger,</w:t>
      </w:r>
      <w:r w:rsidRPr="0031675F">
        <w:rPr>
          <w:spacing w:val="24"/>
        </w:rPr>
        <w:t xml:space="preserve"> </w:t>
      </w:r>
      <w:r w:rsidRPr="0031675F">
        <w:t>in</w:t>
      </w:r>
      <w:r w:rsidRPr="0031675F">
        <w:rPr>
          <w:spacing w:val="23"/>
        </w:rPr>
        <w:t xml:space="preserve"> </w:t>
      </w:r>
      <w:r w:rsidRPr="0031675F">
        <w:rPr>
          <w:spacing w:val="-1"/>
        </w:rPr>
        <w:t>particular</w:t>
      </w:r>
      <w:r w:rsidRPr="0031675F">
        <w:rPr>
          <w:spacing w:val="23"/>
        </w:rPr>
        <w:t xml:space="preserve"> </w:t>
      </w:r>
      <w:r w:rsidRPr="0031675F">
        <w:t>the</w:t>
      </w:r>
      <w:r w:rsidRPr="0031675F">
        <w:rPr>
          <w:spacing w:val="24"/>
        </w:rPr>
        <w:t xml:space="preserve"> </w:t>
      </w:r>
      <w:r w:rsidRPr="0031675F">
        <w:t>optical</w:t>
      </w:r>
      <w:r w:rsidRPr="0031675F">
        <w:rPr>
          <w:spacing w:val="24"/>
        </w:rPr>
        <w:t xml:space="preserve"> </w:t>
      </w:r>
      <w:r w:rsidRPr="0031675F">
        <w:rPr>
          <w:spacing w:val="-1"/>
        </w:rPr>
        <w:t>window</w:t>
      </w:r>
      <w:r w:rsidRPr="0031675F">
        <w:rPr>
          <w:spacing w:val="73"/>
        </w:rPr>
        <w:t xml:space="preserve"> </w:t>
      </w:r>
      <w:r w:rsidRPr="0031675F">
        <w:rPr>
          <w:spacing w:val="-1"/>
        </w:rPr>
        <w:t>and the</w:t>
      </w:r>
      <w:r w:rsidRPr="0031675F">
        <w:t xml:space="preserve"> </w:t>
      </w:r>
      <w:r w:rsidRPr="0031675F">
        <w:rPr>
          <w:spacing w:val="-1"/>
        </w:rPr>
        <w:t>bio-wiper.</w:t>
      </w:r>
    </w:p>
    <w:p w14:paraId="2A356D51" w14:textId="77777777" w:rsidR="0031675F" w:rsidRPr="0031675F" w:rsidRDefault="0031675F" w:rsidP="0031675F">
      <w:pPr>
        <w:spacing w:before="120" w:after="120"/>
        <w:ind w:right="112"/>
        <w:jc w:val="both"/>
        <w:rPr>
          <w:rFonts w:cs="Calibri"/>
        </w:rPr>
      </w:pPr>
      <w:r w:rsidRPr="0031675F">
        <w:rPr>
          <w:rFonts w:cs="Calibri"/>
          <w:spacing w:val="-1"/>
        </w:rPr>
        <w:t>WET Labs</w:t>
      </w:r>
      <w:r w:rsidRPr="0031675F">
        <w:rPr>
          <w:rFonts w:cs="Calibri"/>
          <w:spacing w:val="19"/>
        </w:rPr>
        <w:t xml:space="preserve"> </w:t>
      </w:r>
      <w:r w:rsidRPr="0031675F">
        <w:rPr>
          <w:rFonts w:cs="Calibri"/>
          <w:spacing w:val="-1"/>
        </w:rPr>
        <w:t>advises:</w:t>
      </w:r>
      <w:r w:rsidRPr="0031675F">
        <w:rPr>
          <w:rFonts w:cs="Calibri"/>
          <w:spacing w:val="20"/>
        </w:rPr>
        <w:t xml:space="preserve"> </w:t>
      </w:r>
      <w:r w:rsidRPr="0031675F">
        <w:rPr>
          <w:rFonts w:cs="Calibri"/>
          <w:spacing w:val="-1"/>
        </w:rPr>
        <w:t>‘After</w:t>
      </w:r>
      <w:r w:rsidRPr="0031675F">
        <w:rPr>
          <w:rFonts w:cs="Calibri"/>
          <w:spacing w:val="19"/>
        </w:rPr>
        <w:t xml:space="preserve"> </w:t>
      </w:r>
      <w:r w:rsidRPr="0031675F">
        <w:rPr>
          <w:rFonts w:cs="Calibri"/>
          <w:spacing w:val="-1"/>
        </w:rPr>
        <w:t>each</w:t>
      </w:r>
      <w:r w:rsidRPr="0031675F">
        <w:rPr>
          <w:rFonts w:cs="Calibri"/>
          <w:spacing w:val="19"/>
        </w:rPr>
        <w:t xml:space="preserve"> </w:t>
      </w:r>
      <w:r w:rsidRPr="0031675F">
        <w:rPr>
          <w:rFonts w:cs="Calibri"/>
        </w:rPr>
        <w:t>cast</w:t>
      </w:r>
      <w:r w:rsidRPr="0031675F">
        <w:rPr>
          <w:rFonts w:cs="Calibri"/>
          <w:spacing w:val="20"/>
        </w:rPr>
        <w:t xml:space="preserve"> </w:t>
      </w:r>
      <w:r w:rsidRPr="0031675F">
        <w:rPr>
          <w:rFonts w:cs="Calibri"/>
        </w:rPr>
        <w:t>or</w:t>
      </w:r>
      <w:r w:rsidRPr="0031675F">
        <w:rPr>
          <w:rFonts w:cs="Calibri"/>
          <w:spacing w:val="19"/>
        </w:rPr>
        <w:t xml:space="preserve"> </w:t>
      </w:r>
      <w:r w:rsidRPr="0031675F">
        <w:rPr>
          <w:rFonts w:cs="Calibri"/>
          <w:spacing w:val="-1"/>
        </w:rPr>
        <w:t>exposure</w:t>
      </w:r>
      <w:r w:rsidRPr="0031675F">
        <w:rPr>
          <w:rFonts w:cs="Calibri"/>
          <w:spacing w:val="20"/>
        </w:rPr>
        <w:t xml:space="preserve"> </w:t>
      </w:r>
      <w:r w:rsidRPr="0031675F">
        <w:t>of</w:t>
      </w:r>
      <w:r w:rsidRPr="0031675F">
        <w:rPr>
          <w:spacing w:val="19"/>
        </w:rPr>
        <w:t xml:space="preserve"> </w:t>
      </w:r>
      <w:r w:rsidRPr="0031675F">
        <w:t>the</w:t>
      </w:r>
      <w:r w:rsidRPr="0031675F">
        <w:rPr>
          <w:spacing w:val="17"/>
        </w:rPr>
        <w:t xml:space="preserve"> </w:t>
      </w:r>
      <w:r w:rsidRPr="0031675F">
        <w:rPr>
          <w:spacing w:val="-1"/>
        </w:rPr>
        <w:t>instrument</w:t>
      </w:r>
      <w:r w:rsidRPr="0031675F">
        <w:rPr>
          <w:spacing w:val="19"/>
        </w:rPr>
        <w:t xml:space="preserve"> </w:t>
      </w:r>
      <w:r w:rsidRPr="0031675F">
        <w:rPr>
          <w:spacing w:val="-1"/>
        </w:rPr>
        <w:t>to</w:t>
      </w:r>
      <w:r w:rsidRPr="0031675F">
        <w:rPr>
          <w:spacing w:val="20"/>
        </w:rPr>
        <w:t xml:space="preserve"> </w:t>
      </w:r>
      <w:r w:rsidRPr="0031675F">
        <w:rPr>
          <w:spacing w:val="-1"/>
        </w:rPr>
        <w:t>natural</w:t>
      </w:r>
      <w:r w:rsidRPr="0031675F">
        <w:rPr>
          <w:spacing w:val="19"/>
        </w:rPr>
        <w:t xml:space="preserve"> </w:t>
      </w:r>
      <w:r w:rsidRPr="0031675F">
        <w:rPr>
          <w:spacing w:val="-1"/>
        </w:rPr>
        <w:t>water,</w:t>
      </w:r>
      <w:r w:rsidRPr="0031675F">
        <w:rPr>
          <w:spacing w:val="19"/>
        </w:rPr>
        <w:t xml:space="preserve"> </w:t>
      </w:r>
      <w:r w:rsidRPr="0031675F">
        <w:rPr>
          <w:spacing w:val="-1"/>
        </w:rPr>
        <w:t>flush</w:t>
      </w:r>
      <w:r w:rsidRPr="0031675F">
        <w:rPr>
          <w:spacing w:val="18"/>
        </w:rPr>
        <w:t xml:space="preserve"> </w:t>
      </w:r>
      <w:r w:rsidRPr="0031675F">
        <w:t>with</w:t>
      </w:r>
      <w:r w:rsidRPr="0031675F">
        <w:rPr>
          <w:spacing w:val="19"/>
        </w:rPr>
        <w:t xml:space="preserve"> </w:t>
      </w:r>
      <w:r w:rsidRPr="0031675F">
        <w:t>clean</w:t>
      </w:r>
      <w:r w:rsidRPr="0031675F">
        <w:rPr>
          <w:spacing w:val="65"/>
        </w:rPr>
        <w:t xml:space="preserve"> </w:t>
      </w:r>
      <w:r w:rsidRPr="0031675F">
        <w:rPr>
          <w:spacing w:val="-1"/>
        </w:rPr>
        <w:t>fresh</w:t>
      </w:r>
      <w:r w:rsidRPr="0031675F">
        <w:rPr>
          <w:spacing w:val="25"/>
        </w:rPr>
        <w:t xml:space="preserve"> </w:t>
      </w:r>
      <w:r w:rsidRPr="0031675F">
        <w:rPr>
          <w:spacing w:val="-1"/>
        </w:rPr>
        <w:t>water,</w:t>
      </w:r>
      <w:r w:rsidRPr="0031675F">
        <w:rPr>
          <w:spacing w:val="27"/>
        </w:rPr>
        <w:t xml:space="preserve"> </w:t>
      </w:r>
      <w:r w:rsidRPr="0031675F">
        <w:rPr>
          <w:spacing w:val="-1"/>
        </w:rPr>
        <w:t>paying</w:t>
      </w:r>
      <w:r w:rsidRPr="0031675F">
        <w:rPr>
          <w:spacing w:val="26"/>
        </w:rPr>
        <w:t xml:space="preserve"> </w:t>
      </w:r>
      <w:r w:rsidRPr="0031675F">
        <w:rPr>
          <w:spacing w:val="-1"/>
        </w:rPr>
        <w:t>careful</w:t>
      </w:r>
      <w:r w:rsidRPr="0031675F">
        <w:rPr>
          <w:spacing w:val="25"/>
        </w:rPr>
        <w:t xml:space="preserve"> </w:t>
      </w:r>
      <w:r w:rsidRPr="0031675F">
        <w:rPr>
          <w:spacing w:val="-1"/>
        </w:rPr>
        <w:t>attention</w:t>
      </w:r>
      <w:r w:rsidRPr="0031675F">
        <w:rPr>
          <w:spacing w:val="26"/>
        </w:rPr>
        <w:t xml:space="preserve"> </w:t>
      </w:r>
      <w:r w:rsidRPr="0031675F">
        <w:t>to</w:t>
      </w:r>
      <w:r w:rsidRPr="0031675F">
        <w:rPr>
          <w:spacing w:val="28"/>
        </w:rPr>
        <w:t xml:space="preserve"> </w:t>
      </w:r>
      <w:r w:rsidRPr="0031675F">
        <w:t>the</w:t>
      </w:r>
      <w:r w:rsidRPr="0031675F">
        <w:rPr>
          <w:spacing w:val="27"/>
        </w:rPr>
        <w:t xml:space="preserve"> </w:t>
      </w:r>
      <w:r w:rsidRPr="0031675F">
        <w:rPr>
          <w:spacing w:val="-1"/>
        </w:rPr>
        <w:t>sensor</w:t>
      </w:r>
      <w:r w:rsidRPr="0031675F">
        <w:rPr>
          <w:spacing w:val="26"/>
        </w:rPr>
        <w:t xml:space="preserve"> </w:t>
      </w:r>
      <w:r w:rsidRPr="0031675F">
        <w:rPr>
          <w:spacing w:val="-1"/>
        </w:rPr>
        <w:t>face.</w:t>
      </w:r>
      <w:r w:rsidRPr="0031675F">
        <w:rPr>
          <w:spacing w:val="27"/>
        </w:rPr>
        <w:t xml:space="preserve"> </w:t>
      </w:r>
      <w:r w:rsidRPr="0031675F">
        <w:t>Use</w:t>
      </w:r>
      <w:r w:rsidRPr="0031675F">
        <w:rPr>
          <w:spacing w:val="27"/>
        </w:rPr>
        <w:t xml:space="preserve"> </w:t>
      </w:r>
      <w:r w:rsidRPr="0031675F">
        <w:rPr>
          <w:spacing w:val="-1"/>
        </w:rPr>
        <w:t>soapy</w:t>
      </w:r>
      <w:r w:rsidRPr="0031675F">
        <w:rPr>
          <w:spacing w:val="26"/>
        </w:rPr>
        <w:t xml:space="preserve"> </w:t>
      </w:r>
      <w:r w:rsidRPr="0031675F">
        <w:rPr>
          <w:spacing w:val="-1"/>
        </w:rPr>
        <w:t>water</w:t>
      </w:r>
      <w:r w:rsidRPr="0031675F">
        <w:rPr>
          <w:spacing w:val="27"/>
        </w:rPr>
        <w:t xml:space="preserve"> </w:t>
      </w:r>
      <w:r w:rsidRPr="0031675F">
        <w:rPr>
          <w:spacing w:val="-1"/>
        </w:rPr>
        <w:t>to</w:t>
      </w:r>
      <w:r w:rsidRPr="0031675F">
        <w:rPr>
          <w:spacing w:val="28"/>
        </w:rPr>
        <w:t xml:space="preserve"> </w:t>
      </w:r>
      <w:r w:rsidRPr="0031675F">
        <w:rPr>
          <w:spacing w:val="-2"/>
        </w:rPr>
        <w:t>cut</w:t>
      </w:r>
      <w:r w:rsidRPr="0031675F">
        <w:rPr>
          <w:spacing w:val="27"/>
        </w:rPr>
        <w:t xml:space="preserve"> </w:t>
      </w:r>
      <w:r w:rsidRPr="0031675F">
        <w:rPr>
          <w:spacing w:val="-1"/>
        </w:rPr>
        <w:t>any</w:t>
      </w:r>
      <w:r w:rsidRPr="0031675F">
        <w:rPr>
          <w:spacing w:val="26"/>
        </w:rPr>
        <w:t xml:space="preserve"> </w:t>
      </w:r>
      <w:r w:rsidRPr="0031675F">
        <w:rPr>
          <w:spacing w:val="-1"/>
        </w:rPr>
        <w:t>grease</w:t>
      </w:r>
      <w:r w:rsidRPr="0031675F">
        <w:rPr>
          <w:spacing w:val="24"/>
        </w:rPr>
        <w:t xml:space="preserve"> </w:t>
      </w:r>
      <w:r w:rsidRPr="0031675F">
        <w:t>or</w:t>
      </w:r>
      <w:r w:rsidRPr="0031675F">
        <w:rPr>
          <w:spacing w:val="27"/>
        </w:rPr>
        <w:t xml:space="preserve"> </w:t>
      </w:r>
      <w:r w:rsidRPr="0031675F">
        <w:t>oil</w:t>
      </w:r>
      <w:r w:rsidRPr="0031675F">
        <w:rPr>
          <w:spacing w:val="83"/>
        </w:rPr>
        <w:t xml:space="preserve"> </w:t>
      </w:r>
      <w:r w:rsidRPr="0031675F">
        <w:rPr>
          <w:spacing w:val="-1"/>
        </w:rPr>
        <w:t>accumulation.</w:t>
      </w:r>
      <w:r w:rsidRPr="0031675F">
        <w:rPr>
          <w:spacing w:val="21"/>
        </w:rPr>
        <w:t xml:space="preserve"> </w:t>
      </w:r>
      <w:r w:rsidRPr="0031675F">
        <w:rPr>
          <w:spacing w:val="-1"/>
        </w:rPr>
        <w:t>Gently</w:t>
      </w:r>
      <w:r w:rsidRPr="0031675F">
        <w:rPr>
          <w:spacing w:val="22"/>
        </w:rPr>
        <w:t xml:space="preserve"> </w:t>
      </w:r>
      <w:r w:rsidRPr="0031675F">
        <w:t>wipe</w:t>
      </w:r>
      <w:r w:rsidRPr="0031675F">
        <w:rPr>
          <w:spacing w:val="19"/>
        </w:rPr>
        <w:t xml:space="preserve"> </w:t>
      </w:r>
      <w:r w:rsidRPr="0031675F">
        <w:t>clean</w:t>
      </w:r>
      <w:r w:rsidRPr="0031675F">
        <w:rPr>
          <w:spacing w:val="21"/>
        </w:rPr>
        <w:t xml:space="preserve"> </w:t>
      </w:r>
      <w:r w:rsidRPr="0031675F">
        <w:t>with</w:t>
      </w:r>
      <w:r w:rsidRPr="0031675F">
        <w:rPr>
          <w:spacing w:val="21"/>
        </w:rPr>
        <w:t xml:space="preserve"> </w:t>
      </w:r>
      <w:r w:rsidRPr="0031675F">
        <w:t>a</w:t>
      </w:r>
      <w:r w:rsidRPr="0031675F">
        <w:rPr>
          <w:spacing w:val="21"/>
        </w:rPr>
        <w:t xml:space="preserve"> </w:t>
      </w:r>
      <w:r w:rsidRPr="0031675F">
        <w:rPr>
          <w:spacing w:val="-1"/>
        </w:rPr>
        <w:t>soft</w:t>
      </w:r>
      <w:r w:rsidRPr="0031675F">
        <w:rPr>
          <w:spacing w:val="22"/>
        </w:rPr>
        <w:t xml:space="preserve"> </w:t>
      </w:r>
      <w:r w:rsidRPr="0031675F">
        <w:rPr>
          <w:spacing w:val="-1"/>
        </w:rPr>
        <w:t>cloth.</w:t>
      </w:r>
      <w:r w:rsidRPr="0031675F">
        <w:rPr>
          <w:spacing w:val="21"/>
        </w:rPr>
        <w:t xml:space="preserve"> </w:t>
      </w:r>
      <w:r w:rsidRPr="0031675F">
        <w:rPr>
          <w:spacing w:val="-2"/>
        </w:rPr>
        <w:t>The</w:t>
      </w:r>
      <w:r w:rsidRPr="0031675F">
        <w:rPr>
          <w:spacing w:val="22"/>
        </w:rPr>
        <w:t xml:space="preserve"> </w:t>
      </w:r>
      <w:r w:rsidRPr="0031675F">
        <w:rPr>
          <w:spacing w:val="-1"/>
        </w:rPr>
        <w:t>sensor</w:t>
      </w:r>
      <w:r w:rsidRPr="0031675F">
        <w:rPr>
          <w:spacing w:val="21"/>
        </w:rPr>
        <w:t xml:space="preserve"> </w:t>
      </w:r>
      <w:r w:rsidRPr="0031675F">
        <w:rPr>
          <w:spacing w:val="-2"/>
        </w:rPr>
        <w:t>face</w:t>
      </w:r>
      <w:r w:rsidRPr="0031675F">
        <w:rPr>
          <w:spacing w:val="22"/>
        </w:rPr>
        <w:t xml:space="preserve"> </w:t>
      </w:r>
      <w:r w:rsidRPr="0031675F">
        <w:t>is</w:t>
      </w:r>
      <w:r w:rsidRPr="0031675F">
        <w:rPr>
          <w:spacing w:val="21"/>
        </w:rPr>
        <w:t xml:space="preserve"> </w:t>
      </w:r>
      <w:r w:rsidRPr="0031675F">
        <w:rPr>
          <w:spacing w:val="-1"/>
        </w:rPr>
        <w:t>composed</w:t>
      </w:r>
      <w:r w:rsidRPr="0031675F">
        <w:rPr>
          <w:spacing w:val="21"/>
        </w:rPr>
        <w:t xml:space="preserve"> </w:t>
      </w:r>
      <w:r w:rsidRPr="0031675F">
        <w:t>of</w:t>
      </w:r>
      <w:r w:rsidRPr="0031675F">
        <w:rPr>
          <w:spacing w:val="21"/>
        </w:rPr>
        <w:t xml:space="preserve"> </w:t>
      </w:r>
      <w:r w:rsidRPr="0031675F">
        <w:rPr>
          <w:spacing w:val="-1"/>
        </w:rPr>
        <w:t>ABS</w:t>
      </w:r>
      <w:r w:rsidRPr="0031675F">
        <w:rPr>
          <w:spacing w:val="21"/>
        </w:rPr>
        <w:t xml:space="preserve"> </w:t>
      </w:r>
      <w:r w:rsidRPr="0031675F">
        <w:rPr>
          <w:spacing w:val="-1"/>
        </w:rPr>
        <w:t>plastic</w:t>
      </w:r>
      <w:r w:rsidRPr="0031675F">
        <w:rPr>
          <w:spacing w:val="20"/>
        </w:rPr>
        <w:t xml:space="preserve"> </w:t>
      </w:r>
      <w:r w:rsidRPr="0031675F">
        <w:rPr>
          <w:spacing w:val="-1"/>
        </w:rPr>
        <w:t>and</w:t>
      </w:r>
      <w:r w:rsidRPr="0031675F">
        <w:rPr>
          <w:spacing w:val="71"/>
        </w:rPr>
        <w:t xml:space="preserve"> </w:t>
      </w:r>
      <w:r w:rsidRPr="0031675F">
        <w:t>optic</w:t>
      </w:r>
      <w:r w:rsidRPr="0031675F">
        <w:rPr>
          <w:rFonts w:cs="Calibri"/>
        </w:rPr>
        <w:t>al</w:t>
      </w:r>
      <w:r w:rsidRPr="0031675F">
        <w:rPr>
          <w:rFonts w:cs="Calibri"/>
          <w:spacing w:val="-3"/>
        </w:rPr>
        <w:t xml:space="preserve"> </w:t>
      </w:r>
      <w:r w:rsidRPr="0031675F">
        <w:rPr>
          <w:rFonts w:cs="Calibri"/>
          <w:spacing w:val="-1"/>
        </w:rPr>
        <w:t>epoxy</w:t>
      </w:r>
      <w:r w:rsidRPr="0031675F">
        <w:rPr>
          <w:rFonts w:cs="Calibri"/>
        </w:rPr>
        <w:t xml:space="preserve"> and</w:t>
      </w:r>
      <w:r w:rsidRPr="0031675F">
        <w:rPr>
          <w:rFonts w:cs="Calibri"/>
          <w:spacing w:val="-3"/>
        </w:rPr>
        <w:t xml:space="preserve"> </w:t>
      </w:r>
      <w:r w:rsidRPr="0031675F">
        <w:rPr>
          <w:rFonts w:cs="Calibri"/>
        </w:rPr>
        <w:t>can</w:t>
      </w:r>
      <w:r w:rsidRPr="0031675F">
        <w:rPr>
          <w:rFonts w:cs="Calibri"/>
          <w:spacing w:val="-1"/>
        </w:rPr>
        <w:t xml:space="preserve"> easily</w:t>
      </w:r>
      <w:r w:rsidRPr="0031675F">
        <w:rPr>
          <w:rFonts w:cs="Calibri"/>
        </w:rPr>
        <w:t xml:space="preserve"> be </w:t>
      </w:r>
      <w:r w:rsidRPr="0031675F">
        <w:rPr>
          <w:rFonts w:cs="Calibri"/>
          <w:spacing w:val="-1"/>
        </w:rPr>
        <w:t>damaged</w:t>
      </w:r>
      <w:r w:rsidRPr="0031675F">
        <w:rPr>
          <w:rFonts w:cs="Calibri"/>
          <w:spacing w:val="-3"/>
        </w:rPr>
        <w:t xml:space="preserve"> </w:t>
      </w:r>
      <w:r w:rsidRPr="0031675F">
        <w:rPr>
          <w:rFonts w:cs="Calibri"/>
        </w:rPr>
        <w:t>or</w:t>
      </w:r>
      <w:r w:rsidRPr="0031675F">
        <w:rPr>
          <w:rFonts w:cs="Calibri"/>
          <w:spacing w:val="-3"/>
        </w:rPr>
        <w:t xml:space="preserve"> </w:t>
      </w:r>
      <w:r w:rsidRPr="0031675F">
        <w:rPr>
          <w:rFonts w:cs="Calibri"/>
          <w:spacing w:val="-1"/>
        </w:rPr>
        <w:t>scratched.’</w:t>
      </w:r>
    </w:p>
    <w:p w14:paraId="5EAF8E52" w14:textId="77777777" w:rsidR="0031675F" w:rsidRPr="0031675F" w:rsidRDefault="0031675F" w:rsidP="0031675F">
      <w:pPr>
        <w:spacing w:before="120" w:after="120"/>
        <w:ind w:left="119" w:right="113"/>
        <w:jc w:val="both"/>
        <w:rPr>
          <w:rFonts w:cs="Calibri"/>
        </w:rPr>
      </w:pPr>
      <w:r w:rsidRPr="0031675F">
        <w:rPr>
          <w:spacing w:val="-1"/>
        </w:rPr>
        <w:t>On</w:t>
      </w:r>
      <w:r w:rsidRPr="0031675F">
        <w:rPr>
          <w:spacing w:val="23"/>
        </w:rPr>
        <w:t xml:space="preserve"> </w:t>
      </w:r>
      <w:r w:rsidRPr="0031675F">
        <w:rPr>
          <w:spacing w:val="-1"/>
        </w:rPr>
        <w:t>occasions</w:t>
      </w:r>
      <w:r w:rsidRPr="0031675F">
        <w:rPr>
          <w:spacing w:val="22"/>
        </w:rPr>
        <w:t xml:space="preserve"> </w:t>
      </w:r>
      <w:r w:rsidRPr="0031675F">
        <w:t>of</w:t>
      </w:r>
      <w:r w:rsidRPr="0031675F">
        <w:rPr>
          <w:spacing w:val="21"/>
        </w:rPr>
        <w:t xml:space="preserve"> </w:t>
      </w:r>
      <w:r w:rsidRPr="0031675F">
        <w:rPr>
          <w:spacing w:val="-1"/>
        </w:rPr>
        <w:t>logger</w:t>
      </w:r>
      <w:r w:rsidRPr="0031675F">
        <w:rPr>
          <w:spacing w:val="22"/>
        </w:rPr>
        <w:t xml:space="preserve"> </w:t>
      </w:r>
      <w:r w:rsidRPr="0031675F">
        <w:rPr>
          <w:spacing w:val="-1"/>
        </w:rPr>
        <w:t>failure</w:t>
      </w:r>
      <w:r w:rsidRPr="0031675F">
        <w:rPr>
          <w:spacing w:val="24"/>
        </w:rPr>
        <w:t xml:space="preserve"> </w:t>
      </w:r>
      <w:r w:rsidRPr="0031675F">
        <w:rPr>
          <w:spacing w:val="-1"/>
        </w:rPr>
        <w:t>causing</w:t>
      </w:r>
      <w:r w:rsidRPr="0031675F">
        <w:rPr>
          <w:spacing w:val="23"/>
        </w:rPr>
        <w:t xml:space="preserve"> </w:t>
      </w:r>
      <w:r w:rsidRPr="0031675F">
        <w:rPr>
          <w:spacing w:val="-1"/>
        </w:rPr>
        <w:t>fouling</w:t>
      </w:r>
      <w:r w:rsidRPr="0031675F">
        <w:rPr>
          <w:spacing w:val="21"/>
        </w:rPr>
        <w:t xml:space="preserve"> </w:t>
      </w:r>
      <w:r w:rsidRPr="0031675F">
        <w:t>of</w:t>
      </w:r>
      <w:r w:rsidRPr="0031675F">
        <w:rPr>
          <w:spacing w:val="24"/>
        </w:rPr>
        <w:t xml:space="preserve"> </w:t>
      </w:r>
      <w:r w:rsidRPr="0031675F">
        <w:rPr>
          <w:spacing w:val="-1"/>
        </w:rPr>
        <w:t>the</w:t>
      </w:r>
      <w:r w:rsidRPr="0031675F">
        <w:rPr>
          <w:spacing w:val="22"/>
        </w:rPr>
        <w:t xml:space="preserve"> </w:t>
      </w:r>
      <w:r w:rsidRPr="0031675F">
        <w:rPr>
          <w:spacing w:val="-1"/>
        </w:rPr>
        <w:t>logger</w:t>
      </w:r>
      <w:r w:rsidRPr="0031675F">
        <w:rPr>
          <w:spacing w:val="22"/>
        </w:rPr>
        <w:t xml:space="preserve"> </w:t>
      </w:r>
      <w:r w:rsidRPr="0031675F">
        <w:t>optical</w:t>
      </w:r>
      <w:r w:rsidRPr="0031675F">
        <w:rPr>
          <w:spacing w:val="22"/>
        </w:rPr>
        <w:t xml:space="preserve"> </w:t>
      </w:r>
      <w:r w:rsidRPr="0031675F">
        <w:rPr>
          <w:spacing w:val="-1"/>
        </w:rPr>
        <w:t>window,</w:t>
      </w:r>
      <w:r w:rsidRPr="0031675F">
        <w:rPr>
          <w:spacing w:val="24"/>
        </w:rPr>
        <w:t xml:space="preserve"> </w:t>
      </w:r>
      <w:r w:rsidRPr="0031675F">
        <w:t>Ian</w:t>
      </w:r>
      <w:r w:rsidRPr="0031675F">
        <w:rPr>
          <w:spacing w:val="20"/>
        </w:rPr>
        <w:t xml:space="preserve"> </w:t>
      </w:r>
      <w:r w:rsidRPr="0031675F">
        <w:t>Walsh</w:t>
      </w:r>
      <w:r w:rsidRPr="0031675F">
        <w:rPr>
          <w:spacing w:val="20"/>
        </w:rPr>
        <w:t xml:space="preserve"> </w:t>
      </w:r>
      <w:r w:rsidRPr="0031675F">
        <w:t>of</w:t>
      </w:r>
      <w:r w:rsidRPr="0031675F">
        <w:rPr>
          <w:spacing w:val="24"/>
        </w:rPr>
        <w:t xml:space="preserve"> </w:t>
      </w:r>
      <w:r w:rsidRPr="0031675F">
        <w:rPr>
          <w:spacing w:val="-1"/>
        </w:rPr>
        <w:t>WET Labs</w:t>
      </w:r>
      <w:r w:rsidRPr="0031675F">
        <w:rPr>
          <w:spacing w:val="53"/>
        </w:rPr>
        <w:t xml:space="preserve"> </w:t>
      </w:r>
      <w:r w:rsidRPr="0031675F">
        <w:rPr>
          <w:rFonts w:cs="Calibri"/>
          <w:spacing w:val="-1"/>
        </w:rPr>
        <w:t>advises</w:t>
      </w:r>
      <w:r w:rsidRPr="0031675F">
        <w:rPr>
          <w:rFonts w:cs="Calibri"/>
          <w:spacing w:val="7"/>
        </w:rPr>
        <w:t xml:space="preserve"> </w:t>
      </w:r>
      <w:r w:rsidRPr="0031675F">
        <w:rPr>
          <w:rFonts w:cs="Calibri"/>
          <w:spacing w:val="-1"/>
        </w:rPr>
        <w:t>‘We</w:t>
      </w:r>
      <w:r w:rsidRPr="0031675F">
        <w:rPr>
          <w:rFonts w:cs="Calibri"/>
          <w:spacing w:val="8"/>
        </w:rPr>
        <w:t xml:space="preserve"> </w:t>
      </w:r>
      <w:r w:rsidRPr="0031675F">
        <w:rPr>
          <w:rFonts w:cs="Calibri"/>
          <w:spacing w:val="-1"/>
        </w:rPr>
        <w:t>soak</w:t>
      </w:r>
      <w:r w:rsidRPr="0031675F">
        <w:rPr>
          <w:rFonts w:cs="Calibri"/>
          <w:spacing w:val="7"/>
        </w:rPr>
        <w:t xml:space="preserve"> </w:t>
      </w:r>
      <w:r w:rsidRPr="0031675F">
        <w:rPr>
          <w:rFonts w:cs="Calibri"/>
        </w:rPr>
        <w:t>the</w:t>
      </w:r>
      <w:r w:rsidRPr="0031675F">
        <w:rPr>
          <w:rFonts w:cs="Calibri"/>
          <w:spacing w:val="7"/>
        </w:rPr>
        <w:t xml:space="preserve"> </w:t>
      </w:r>
      <w:r w:rsidRPr="0031675F">
        <w:rPr>
          <w:rFonts w:cs="Calibri"/>
          <w:spacing w:val="-1"/>
        </w:rPr>
        <w:t>face</w:t>
      </w:r>
      <w:r w:rsidRPr="0031675F">
        <w:rPr>
          <w:rFonts w:cs="Calibri"/>
          <w:spacing w:val="8"/>
        </w:rPr>
        <w:t xml:space="preserve"> </w:t>
      </w:r>
      <w:r w:rsidRPr="0031675F">
        <w:rPr>
          <w:rFonts w:cs="Calibri"/>
          <w:spacing w:val="-2"/>
        </w:rPr>
        <w:t>in</w:t>
      </w:r>
      <w:r w:rsidRPr="0031675F">
        <w:rPr>
          <w:rFonts w:cs="Calibri"/>
          <w:spacing w:val="7"/>
        </w:rPr>
        <w:t xml:space="preserve"> </w:t>
      </w:r>
      <w:r w:rsidRPr="0031675F">
        <w:rPr>
          <w:rFonts w:cs="Calibri"/>
          <w:spacing w:val="-1"/>
        </w:rPr>
        <w:t>household</w:t>
      </w:r>
      <w:r w:rsidRPr="0031675F">
        <w:rPr>
          <w:rFonts w:cs="Calibri"/>
          <w:spacing w:val="6"/>
        </w:rPr>
        <w:t xml:space="preserve"> </w:t>
      </w:r>
      <w:r w:rsidRPr="0031675F">
        <w:rPr>
          <w:rFonts w:cs="Calibri"/>
          <w:spacing w:val="-1"/>
        </w:rPr>
        <w:t>vinegar</w:t>
      </w:r>
      <w:r w:rsidRPr="0031675F">
        <w:rPr>
          <w:rFonts w:cs="Calibri"/>
          <w:spacing w:val="6"/>
        </w:rPr>
        <w:t xml:space="preserve"> </w:t>
      </w:r>
      <w:r w:rsidRPr="0031675F">
        <w:rPr>
          <w:rFonts w:cs="Calibri"/>
          <w:spacing w:val="-1"/>
        </w:rPr>
        <w:t>for</w:t>
      </w:r>
      <w:r w:rsidRPr="0031675F">
        <w:rPr>
          <w:rFonts w:cs="Calibri"/>
          <w:spacing w:val="7"/>
        </w:rPr>
        <w:t xml:space="preserve"> </w:t>
      </w:r>
      <w:r w:rsidRPr="0031675F">
        <w:rPr>
          <w:rFonts w:cs="Calibri"/>
        </w:rPr>
        <w:t>an</w:t>
      </w:r>
      <w:r w:rsidRPr="0031675F">
        <w:rPr>
          <w:rFonts w:cs="Calibri"/>
          <w:spacing w:val="4"/>
        </w:rPr>
        <w:t xml:space="preserve"> </w:t>
      </w:r>
      <w:r w:rsidRPr="0031675F">
        <w:rPr>
          <w:rFonts w:cs="Calibri"/>
          <w:spacing w:val="-1"/>
        </w:rPr>
        <w:t>hour</w:t>
      </w:r>
      <w:r w:rsidRPr="0031675F">
        <w:rPr>
          <w:rFonts w:cs="Calibri"/>
          <w:spacing w:val="7"/>
        </w:rPr>
        <w:t xml:space="preserve"> </w:t>
      </w:r>
      <w:r w:rsidRPr="0031675F">
        <w:rPr>
          <w:rFonts w:cs="Calibri"/>
          <w:spacing w:val="-1"/>
        </w:rPr>
        <w:t>and</w:t>
      </w:r>
      <w:r w:rsidRPr="0031675F">
        <w:rPr>
          <w:rFonts w:cs="Calibri"/>
          <w:spacing w:val="7"/>
        </w:rPr>
        <w:t xml:space="preserve"> </w:t>
      </w:r>
      <w:r w:rsidRPr="0031675F">
        <w:rPr>
          <w:rFonts w:cs="Calibri"/>
        </w:rPr>
        <w:t>then</w:t>
      </w:r>
      <w:r w:rsidRPr="0031675F">
        <w:rPr>
          <w:rFonts w:cs="Calibri"/>
          <w:spacing w:val="7"/>
        </w:rPr>
        <w:t xml:space="preserve"> </w:t>
      </w:r>
      <w:r w:rsidRPr="0031675F">
        <w:rPr>
          <w:rFonts w:cs="Calibri"/>
          <w:spacing w:val="-1"/>
        </w:rPr>
        <w:t>use</w:t>
      </w:r>
      <w:r w:rsidRPr="0031675F">
        <w:rPr>
          <w:rFonts w:cs="Calibri"/>
          <w:spacing w:val="8"/>
        </w:rPr>
        <w:t xml:space="preserve"> </w:t>
      </w:r>
      <w:r w:rsidRPr="0031675F">
        <w:rPr>
          <w:rFonts w:cs="Calibri"/>
        </w:rPr>
        <w:t>a</w:t>
      </w:r>
      <w:r w:rsidRPr="0031675F">
        <w:rPr>
          <w:rFonts w:cs="Calibri"/>
          <w:spacing w:val="7"/>
        </w:rPr>
        <w:t xml:space="preserve"> </w:t>
      </w:r>
      <w:r w:rsidRPr="0031675F">
        <w:rPr>
          <w:rFonts w:cs="Calibri"/>
        </w:rPr>
        <w:t>soap</w:t>
      </w:r>
      <w:r w:rsidRPr="0031675F">
        <w:rPr>
          <w:rFonts w:cs="Calibri"/>
          <w:spacing w:val="4"/>
        </w:rPr>
        <w:t xml:space="preserve"> </w:t>
      </w:r>
      <w:r w:rsidRPr="0031675F">
        <w:rPr>
          <w:rFonts w:cs="Calibri"/>
          <w:spacing w:val="-1"/>
        </w:rPr>
        <w:t>solution</w:t>
      </w:r>
      <w:r w:rsidRPr="0031675F">
        <w:rPr>
          <w:rFonts w:cs="Calibri"/>
          <w:spacing w:val="7"/>
        </w:rPr>
        <w:t xml:space="preserve"> </w:t>
      </w:r>
      <w:r w:rsidRPr="0031675F">
        <w:rPr>
          <w:rFonts w:cs="Calibri"/>
          <w:spacing w:val="-1"/>
        </w:rPr>
        <w:t>and</w:t>
      </w:r>
      <w:r w:rsidRPr="0031675F">
        <w:rPr>
          <w:rFonts w:cs="Calibri"/>
          <w:spacing w:val="7"/>
        </w:rPr>
        <w:t xml:space="preserve"> </w:t>
      </w:r>
      <w:r w:rsidRPr="0031675F">
        <w:rPr>
          <w:rFonts w:cs="Calibri"/>
        </w:rPr>
        <w:t>a</w:t>
      </w:r>
      <w:r w:rsidRPr="0031675F">
        <w:rPr>
          <w:rFonts w:cs="Calibri"/>
          <w:spacing w:val="7"/>
        </w:rPr>
        <w:t xml:space="preserve"> </w:t>
      </w:r>
      <w:r w:rsidRPr="0031675F">
        <w:rPr>
          <w:rFonts w:cs="Calibri"/>
        </w:rPr>
        <w:t>cloth</w:t>
      </w:r>
      <w:r w:rsidRPr="0031675F">
        <w:rPr>
          <w:rFonts w:cs="Calibri"/>
          <w:spacing w:val="79"/>
        </w:rPr>
        <w:t xml:space="preserve"> </w:t>
      </w:r>
      <w:r w:rsidRPr="0031675F">
        <w:t>or</w:t>
      </w:r>
      <w:r w:rsidRPr="0031675F">
        <w:rPr>
          <w:spacing w:val="7"/>
        </w:rPr>
        <w:t xml:space="preserve"> </w:t>
      </w:r>
      <w:r w:rsidRPr="0031675F">
        <w:rPr>
          <w:spacing w:val="-1"/>
        </w:rPr>
        <w:t>sponge</w:t>
      </w:r>
      <w:r w:rsidRPr="0031675F">
        <w:rPr>
          <w:spacing w:val="5"/>
        </w:rPr>
        <w:t xml:space="preserve"> </w:t>
      </w:r>
      <w:r w:rsidRPr="0031675F">
        <w:t>to</w:t>
      </w:r>
      <w:r w:rsidRPr="0031675F">
        <w:rPr>
          <w:spacing w:val="6"/>
        </w:rPr>
        <w:t xml:space="preserve"> </w:t>
      </w:r>
      <w:r w:rsidRPr="0031675F">
        <w:t>wipe</w:t>
      </w:r>
      <w:r w:rsidRPr="0031675F">
        <w:rPr>
          <w:spacing w:val="5"/>
        </w:rPr>
        <w:t xml:space="preserve"> </w:t>
      </w:r>
      <w:r w:rsidRPr="0031675F">
        <w:t>the</w:t>
      </w:r>
      <w:r w:rsidRPr="0031675F">
        <w:rPr>
          <w:spacing w:val="5"/>
        </w:rPr>
        <w:t xml:space="preserve"> </w:t>
      </w:r>
      <w:r w:rsidRPr="0031675F">
        <w:rPr>
          <w:spacing w:val="-2"/>
        </w:rPr>
        <w:t>face</w:t>
      </w:r>
      <w:r w:rsidRPr="0031675F">
        <w:rPr>
          <w:spacing w:val="5"/>
        </w:rPr>
        <w:t xml:space="preserve"> </w:t>
      </w:r>
      <w:r w:rsidRPr="0031675F">
        <w:rPr>
          <w:spacing w:val="-1"/>
        </w:rPr>
        <w:t>off.</w:t>
      </w:r>
      <w:r w:rsidRPr="0031675F">
        <w:rPr>
          <w:spacing w:val="6"/>
        </w:rPr>
        <w:t xml:space="preserve"> </w:t>
      </w:r>
      <w:r w:rsidRPr="0031675F">
        <w:t>A</w:t>
      </w:r>
      <w:r w:rsidRPr="0031675F">
        <w:rPr>
          <w:spacing w:val="4"/>
        </w:rPr>
        <w:t xml:space="preserve"> </w:t>
      </w:r>
      <w:r w:rsidRPr="0031675F">
        <w:rPr>
          <w:spacing w:val="-1"/>
        </w:rPr>
        <w:t>fingernail</w:t>
      </w:r>
      <w:r w:rsidRPr="0031675F">
        <w:rPr>
          <w:spacing w:val="4"/>
        </w:rPr>
        <w:t xml:space="preserve"> </w:t>
      </w:r>
      <w:r w:rsidRPr="0031675F">
        <w:rPr>
          <w:spacing w:val="-1"/>
        </w:rPr>
        <w:t>works</w:t>
      </w:r>
      <w:r w:rsidRPr="0031675F">
        <w:rPr>
          <w:spacing w:val="5"/>
        </w:rPr>
        <w:t xml:space="preserve"> </w:t>
      </w:r>
      <w:r w:rsidRPr="0031675F">
        <w:t>to</w:t>
      </w:r>
      <w:r w:rsidRPr="0031675F">
        <w:rPr>
          <w:spacing w:val="4"/>
        </w:rPr>
        <w:t xml:space="preserve"> </w:t>
      </w:r>
      <w:r w:rsidRPr="0031675F">
        <w:rPr>
          <w:spacing w:val="-1"/>
        </w:rPr>
        <w:t>pick</w:t>
      </w:r>
      <w:r w:rsidRPr="0031675F">
        <w:rPr>
          <w:spacing w:val="7"/>
        </w:rPr>
        <w:t xml:space="preserve"> </w:t>
      </w:r>
      <w:r w:rsidRPr="0031675F">
        <w:rPr>
          <w:spacing w:val="-1"/>
        </w:rPr>
        <w:t>pieces</w:t>
      </w:r>
      <w:r w:rsidRPr="0031675F">
        <w:rPr>
          <w:spacing w:val="5"/>
        </w:rPr>
        <w:t xml:space="preserve"> </w:t>
      </w:r>
      <w:r w:rsidRPr="0031675F">
        <w:rPr>
          <w:spacing w:val="-1"/>
        </w:rPr>
        <w:t>off.</w:t>
      </w:r>
      <w:r w:rsidRPr="0031675F">
        <w:rPr>
          <w:spacing w:val="6"/>
        </w:rPr>
        <w:t xml:space="preserve"> </w:t>
      </w:r>
      <w:r w:rsidRPr="0031675F">
        <w:rPr>
          <w:spacing w:val="-1"/>
        </w:rPr>
        <w:t>Repeat</w:t>
      </w:r>
      <w:r w:rsidRPr="0031675F">
        <w:rPr>
          <w:spacing w:val="5"/>
        </w:rPr>
        <w:t xml:space="preserve"> </w:t>
      </w:r>
      <w:r w:rsidRPr="0031675F">
        <w:t>as</w:t>
      </w:r>
      <w:r w:rsidRPr="0031675F">
        <w:rPr>
          <w:spacing w:val="5"/>
        </w:rPr>
        <w:t xml:space="preserve"> </w:t>
      </w:r>
      <w:r w:rsidRPr="0031675F">
        <w:rPr>
          <w:spacing w:val="-1"/>
        </w:rPr>
        <w:t>necessary.</w:t>
      </w:r>
      <w:r w:rsidRPr="0031675F">
        <w:rPr>
          <w:spacing w:val="7"/>
        </w:rPr>
        <w:t xml:space="preserve"> </w:t>
      </w:r>
      <w:r w:rsidRPr="0031675F">
        <w:rPr>
          <w:spacing w:val="-1"/>
        </w:rPr>
        <w:t>Away</w:t>
      </w:r>
      <w:r w:rsidRPr="0031675F">
        <w:rPr>
          <w:spacing w:val="6"/>
        </w:rPr>
        <w:t xml:space="preserve"> </w:t>
      </w:r>
      <w:r w:rsidRPr="0031675F">
        <w:rPr>
          <w:spacing w:val="-1"/>
        </w:rPr>
        <w:t>from</w:t>
      </w:r>
      <w:r w:rsidRPr="0031675F">
        <w:rPr>
          <w:spacing w:val="59"/>
        </w:rPr>
        <w:t xml:space="preserve"> </w:t>
      </w:r>
      <w:r w:rsidRPr="0031675F">
        <w:rPr>
          <w:rFonts w:cs="Calibri"/>
        </w:rPr>
        <w:t xml:space="preserve">the </w:t>
      </w:r>
      <w:r w:rsidRPr="0031675F">
        <w:rPr>
          <w:rFonts w:cs="Calibri"/>
          <w:spacing w:val="-1"/>
        </w:rPr>
        <w:t>optical</w:t>
      </w:r>
      <w:r w:rsidRPr="0031675F">
        <w:rPr>
          <w:rFonts w:cs="Calibri"/>
        </w:rPr>
        <w:t xml:space="preserve"> </w:t>
      </w:r>
      <w:r w:rsidRPr="0031675F">
        <w:rPr>
          <w:rFonts w:cs="Calibri"/>
          <w:spacing w:val="-1"/>
        </w:rPr>
        <w:t>face</w:t>
      </w:r>
      <w:r w:rsidRPr="0031675F">
        <w:rPr>
          <w:rFonts w:cs="Calibri"/>
          <w:spacing w:val="-2"/>
        </w:rPr>
        <w:t xml:space="preserve"> </w:t>
      </w:r>
      <w:r w:rsidRPr="0031675F">
        <w:rPr>
          <w:rFonts w:cs="Calibri"/>
        </w:rPr>
        <w:t>you</w:t>
      </w:r>
      <w:r w:rsidRPr="0031675F">
        <w:rPr>
          <w:rFonts w:cs="Calibri"/>
          <w:spacing w:val="-3"/>
        </w:rPr>
        <w:t xml:space="preserve"> </w:t>
      </w:r>
      <w:r w:rsidRPr="0031675F">
        <w:rPr>
          <w:rFonts w:cs="Calibri"/>
        </w:rPr>
        <w:t>can</w:t>
      </w:r>
      <w:r w:rsidRPr="0031675F">
        <w:rPr>
          <w:rFonts w:cs="Calibri"/>
          <w:spacing w:val="-1"/>
        </w:rPr>
        <w:t xml:space="preserve"> use</w:t>
      </w:r>
      <w:r w:rsidRPr="0031675F">
        <w:rPr>
          <w:rFonts w:cs="Calibri"/>
        </w:rPr>
        <w:t xml:space="preserve"> a </w:t>
      </w:r>
      <w:r w:rsidRPr="0031675F">
        <w:rPr>
          <w:rFonts w:cs="Calibri"/>
          <w:spacing w:val="-1"/>
        </w:rPr>
        <w:t>Scotchbrite</w:t>
      </w:r>
      <w:r w:rsidRPr="0031675F">
        <w:rPr>
          <w:rFonts w:cs="Calibri"/>
        </w:rPr>
        <w:t xml:space="preserve"> </w:t>
      </w:r>
      <w:r w:rsidRPr="0031675F">
        <w:rPr>
          <w:rFonts w:cs="Calibri"/>
          <w:spacing w:val="-1"/>
        </w:rPr>
        <w:t>pad.’</w:t>
      </w:r>
    </w:p>
    <w:p w14:paraId="0FF3CE16" w14:textId="77777777" w:rsidR="0031675F" w:rsidRPr="0031675F" w:rsidRDefault="0031675F" w:rsidP="0031675F">
      <w:pPr>
        <w:widowControl w:val="0"/>
        <w:numPr>
          <w:ilvl w:val="3"/>
          <w:numId w:val="70"/>
        </w:numPr>
        <w:tabs>
          <w:tab w:val="left" w:pos="839"/>
        </w:tabs>
        <w:spacing w:before="120" w:after="0" w:line="240" w:lineRule="auto"/>
        <w:ind w:firstLine="360"/>
      </w:pPr>
      <w:r w:rsidRPr="0031675F">
        <w:rPr>
          <w:spacing w:val="-1"/>
        </w:rPr>
        <w:t>Unscrew the</w:t>
      </w:r>
      <w:r w:rsidRPr="0031675F">
        <w:t xml:space="preserve"> </w:t>
      </w:r>
      <w:r w:rsidRPr="0031675F">
        <w:rPr>
          <w:spacing w:val="-1"/>
        </w:rPr>
        <w:t>faceplate</w:t>
      </w:r>
      <w:r w:rsidRPr="0031675F">
        <w:t xml:space="preserve"> </w:t>
      </w:r>
      <w:r w:rsidRPr="0031675F">
        <w:rPr>
          <w:spacing w:val="-2"/>
        </w:rPr>
        <w:t>from</w:t>
      </w:r>
      <w:r w:rsidRPr="0031675F">
        <w:rPr>
          <w:spacing w:val="1"/>
        </w:rPr>
        <w:t xml:space="preserve"> </w:t>
      </w:r>
      <w:r w:rsidRPr="0031675F">
        <w:rPr>
          <w:spacing w:val="-2"/>
        </w:rPr>
        <w:t>the</w:t>
      </w:r>
      <w:r w:rsidRPr="0031675F">
        <w:t xml:space="preserve"> </w:t>
      </w:r>
      <w:r w:rsidRPr="0031675F">
        <w:rPr>
          <w:spacing w:val="-1"/>
        </w:rPr>
        <w:t>logger.</w:t>
      </w:r>
    </w:p>
    <w:p w14:paraId="1735E3DB" w14:textId="77777777" w:rsidR="0031675F" w:rsidRPr="0031675F" w:rsidRDefault="0031675F" w:rsidP="0031675F">
      <w:pPr>
        <w:widowControl w:val="0"/>
        <w:numPr>
          <w:ilvl w:val="3"/>
          <w:numId w:val="70"/>
        </w:numPr>
        <w:tabs>
          <w:tab w:val="left" w:pos="839"/>
        </w:tabs>
        <w:spacing w:before="120" w:after="0" w:line="240" w:lineRule="auto"/>
        <w:ind w:left="838"/>
      </w:pPr>
      <w:r w:rsidRPr="0031675F">
        <w:rPr>
          <w:spacing w:val="-1"/>
        </w:rPr>
        <w:t>Clean the</w:t>
      </w:r>
      <w:r w:rsidRPr="0031675F">
        <w:t xml:space="preserve"> </w:t>
      </w:r>
      <w:r w:rsidRPr="0031675F">
        <w:rPr>
          <w:spacing w:val="-1"/>
        </w:rPr>
        <w:t>faceplate</w:t>
      </w:r>
      <w:r w:rsidRPr="0031675F">
        <w:t xml:space="preserve"> </w:t>
      </w:r>
      <w:r w:rsidRPr="0031675F">
        <w:rPr>
          <w:spacing w:val="-1"/>
        </w:rPr>
        <w:t>with</w:t>
      </w:r>
      <w:r w:rsidRPr="0031675F">
        <w:t xml:space="preserve"> a</w:t>
      </w:r>
      <w:r w:rsidRPr="0031675F">
        <w:rPr>
          <w:spacing w:val="-2"/>
        </w:rPr>
        <w:t xml:space="preserve"> </w:t>
      </w:r>
      <w:r w:rsidRPr="0031675F">
        <w:rPr>
          <w:spacing w:val="-1"/>
        </w:rPr>
        <w:t>green scourer</w:t>
      </w:r>
      <w:r w:rsidRPr="0031675F">
        <w:rPr>
          <w:spacing w:val="-2"/>
        </w:rPr>
        <w:t xml:space="preserve"> </w:t>
      </w:r>
      <w:r w:rsidRPr="0031675F">
        <w:t>(or</w:t>
      </w:r>
      <w:r w:rsidRPr="0031675F">
        <w:rPr>
          <w:spacing w:val="-3"/>
        </w:rPr>
        <w:t xml:space="preserve"> </w:t>
      </w:r>
      <w:r w:rsidRPr="0031675F">
        <w:rPr>
          <w:spacing w:val="-1"/>
        </w:rPr>
        <w:t>Scotchbrite).</w:t>
      </w:r>
    </w:p>
    <w:p w14:paraId="09731570" w14:textId="77777777" w:rsidR="0031675F" w:rsidRPr="0031675F" w:rsidRDefault="0031675F" w:rsidP="0031675F">
      <w:pPr>
        <w:widowControl w:val="0"/>
        <w:numPr>
          <w:ilvl w:val="3"/>
          <w:numId w:val="70"/>
        </w:numPr>
        <w:tabs>
          <w:tab w:val="left" w:pos="839"/>
        </w:tabs>
        <w:spacing w:before="121" w:after="0" w:line="342" w:lineRule="auto"/>
        <w:ind w:right="1939" w:firstLine="360"/>
      </w:pPr>
      <w:r w:rsidRPr="0031675F">
        <w:rPr>
          <w:spacing w:val="-1"/>
        </w:rPr>
        <w:t>Re-attach</w:t>
      </w:r>
      <w:r w:rsidRPr="0031675F">
        <w:t xml:space="preserve"> the</w:t>
      </w:r>
      <w:r w:rsidRPr="0031675F">
        <w:rPr>
          <w:spacing w:val="-2"/>
        </w:rPr>
        <w:t xml:space="preserve"> </w:t>
      </w:r>
      <w:r w:rsidRPr="0031675F">
        <w:t>clean</w:t>
      </w:r>
      <w:r w:rsidRPr="0031675F">
        <w:rPr>
          <w:spacing w:val="-1"/>
        </w:rPr>
        <w:t xml:space="preserve"> faceplate</w:t>
      </w:r>
      <w:r w:rsidRPr="0031675F">
        <w:t xml:space="preserve"> </w:t>
      </w:r>
      <w:r w:rsidRPr="0031675F">
        <w:rPr>
          <w:spacing w:val="-1"/>
        </w:rPr>
        <w:t>to</w:t>
      </w:r>
      <w:r w:rsidRPr="0031675F">
        <w:rPr>
          <w:spacing w:val="1"/>
        </w:rPr>
        <w:t xml:space="preserve"> </w:t>
      </w:r>
      <w:r w:rsidRPr="0031675F">
        <w:rPr>
          <w:spacing w:val="-2"/>
        </w:rPr>
        <w:t>the</w:t>
      </w:r>
      <w:r w:rsidRPr="0031675F">
        <w:t xml:space="preserve"> </w:t>
      </w:r>
      <w:r w:rsidRPr="0031675F">
        <w:rPr>
          <w:spacing w:val="-1"/>
        </w:rPr>
        <w:t>clean logger.</w:t>
      </w:r>
    </w:p>
    <w:p w14:paraId="1F0A2B1A" w14:textId="77777777" w:rsidR="0031675F" w:rsidRPr="0031675F" w:rsidRDefault="0031675F" w:rsidP="0031675F">
      <w:pPr>
        <w:tabs>
          <w:tab w:val="left" w:pos="839"/>
        </w:tabs>
        <w:spacing w:before="121" w:after="120" w:line="343" w:lineRule="auto"/>
        <w:ind w:left="119" w:right="1939"/>
      </w:pPr>
      <w:r w:rsidRPr="0031675F">
        <w:rPr>
          <w:spacing w:val="-1"/>
        </w:rPr>
        <w:t>The</w:t>
      </w:r>
      <w:r w:rsidRPr="0031675F">
        <w:t xml:space="preserve"> </w:t>
      </w:r>
      <w:r w:rsidRPr="0031675F">
        <w:rPr>
          <w:spacing w:val="-1"/>
        </w:rPr>
        <w:t>laboratory</w:t>
      </w:r>
      <w:r w:rsidRPr="0031675F">
        <w:t xml:space="preserve"> maintenance </w:t>
      </w:r>
      <w:r w:rsidRPr="0031675F">
        <w:rPr>
          <w:spacing w:val="-1"/>
        </w:rPr>
        <w:t>datasheet</w:t>
      </w:r>
      <w:r w:rsidRPr="0031675F">
        <w:t xml:space="preserve"> </w:t>
      </w:r>
      <w:r w:rsidRPr="0031675F">
        <w:rPr>
          <w:spacing w:val="-1"/>
        </w:rPr>
        <w:t>(Attachment</w:t>
      </w:r>
      <w:r w:rsidRPr="0031675F">
        <w:rPr>
          <w:spacing w:val="-2"/>
        </w:rPr>
        <w:t xml:space="preserve"> </w:t>
      </w:r>
      <w:r w:rsidRPr="0031675F">
        <w:rPr>
          <w:spacing w:val="-1"/>
        </w:rPr>
        <w:t>11.8)</w:t>
      </w:r>
      <w:r w:rsidRPr="0031675F">
        <w:t xml:space="preserve"> </w:t>
      </w:r>
      <w:r w:rsidRPr="0031675F">
        <w:rPr>
          <w:spacing w:val="-1"/>
        </w:rPr>
        <w:t>prompts</w:t>
      </w:r>
      <w:r w:rsidRPr="0031675F">
        <w:rPr>
          <w:spacing w:val="-2"/>
        </w:rPr>
        <w:t xml:space="preserve"> </w:t>
      </w:r>
      <w:r w:rsidRPr="0031675F">
        <w:t>to:</w:t>
      </w:r>
    </w:p>
    <w:p w14:paraId="64244DE0" w14:textId="77777777" w:rsidR="0031675F" w:rsidRPr="0031675F" w:rsidRDefault="0031675F" w:rsidP="0031675F">
      <w:pPr>
        <w:widowControl w:val="0"/>
        <w:numPr>
          <w:ilvl w:val="3"/>
          <w:numId w:val="70"/>
        </w:numPr>
        <w:tabs>
          <w:tab w:val="left" w:pos="839"/>
        </w:tabs>
        <w:spacing w:before="3" w:after="0" w:line="240" w:lineRule="auto"/>
        <w:ind w:left="838"/>
      </w:pPr>
      <w:r w:rsidRPr="0031675F">
        <w:rPr>
          <w:spacing w:val="-1"/>
        </w:rPr>
        <w:t>Check</w:t>
      </w:r>
      <w:r w:rsidRPr="0031675F">
        <w:rPr>
          <w:spacing w:val="-2"/>
        </w:rPr>
        <w:t xml:space="preserve"> </w:t>
      </w:r>
      <w:r w:rsidRPr="0031675F">
        <w:t>old</w:t>
      </w:r>
      <w:r w:rsidRPr="0031675F">
        <w:rPr>
          <w:spacing w:val="-1"/>
        </w:rPr>
        <w:t xml:space="preserve"> battery</w:t>
      </w:r>
      <w:r w:rsidRPr="0031675F">
        <w:rPr>
          <w:spacing w:val="-2"/>
        </w:rPr>
        <w:t xml:space="preserve"> </w:t>
      </w:r>
      <w:r w:rsidRPr="0031675F">
        <w:rPr>
          <w:spacing w:val="-1"/>
        </w:rPr>
        <w:t>voltage</w:t>
      </w:r>
      <w:r w:rsidRPr="0031675F">
        <w:rPr>
          <w:spacing w:val="-2"/>
        </w:rPr>
        <w:t xml:space="preserve"> </w:t>
      </w:r>
      <w:r w:rsidRPr="0031675F">
        <w:rPr>
          <w:spacing w:val="-1"/>
        </w:rPr>
        <w:t>post</w:t>
      </w:r>
      <w:r w:rsidRPr="0031675F">
        <w:rPr>
          <w:spacing w:val="1"/>
        </w:rPr>
        <w:t xml:space="preserve"> </w:t>
      </w:r>
      <w:r w:rsidRPr="0031675F">
        <w:rPr>
          <w:spacing w:val="-1"/>
        </w:rPr>
        <w:t>recovery</w:t>
      </w:r>
    </w:p>
    <w:p w14:paraId="5FCC6483" w14:textId="77777777" w:rsidR="0031675F" w:rsidRPr="0031675F" w:rsidRDefault="0031675F" w:rsidP="0031675F">
      <w:pPr>
        <w:widowControl w:val="0"/>
        <w:numPr>
          <w:ilvl w:val="3"/>
          <w:numId w:val="70"/>
        </w:numPr>
        <w:tabs>
          <w:tab w:val="left" w:pos="839"/>
        </w:tabs>
        <w:spacing w:before="120" w:after="0" w:line="240" w:lineRule="auto"/>
        <w:ind w:left="838"/>
      </w:pPr>
      <w:r w:rsidRPr="0031675F">
        <w:rPr>
          <w:spacing w:val="-1"/>
        </w:rPr>
        <w:t xml:space="preserve">Photograph </w:t>
      </w:r>
      <w:r w:rsidRPr="0031675F">
        <w:rPr>
          <w:spacing w:val="-2"/>
        </w:rPr>
        <w:t>the</w:t>
      </w:r>
      <w:r w:rsidRPr="0031675F">
        <w:t xml:space="preserve"> </w:t>
      </w:r>
      <w:r w:rsidRPr="0031675F">
        <w:rPr>
          <w:spacing w:val="-1"/>
        </w:rPr>
        <w:t>optical</w:t>
      </w:r>
      <w:r w:rsidRPr="0031675F">
        <w:rPr>
          <w:spacing w:val="-2"/>
        </w:rPr>
        <w:t xml:space="preserve"> </w:t>
      </w:r>
      <w:r w:rsidRPr="0031675F">
        <w:rPr>
          <w:spacing w:val="-1"/>
        </w:rPr>
        <w:t>window</w:t>
      </w:r>
      <w:r w:rsidRPr="0031675F">
        <w:rPr>
          <w:spacing w:val="-2"/>
        </w:rPr>
        <w:t xml:space="preserve"> </w:t>
      </w:r>
      <w:r w:rsidRPr="0031675F">
        <w:t xml:space="preserve">of </w:t>
      </w:r>
      <w:r w:rsidRPr="0031675F">
        <w:rPr>
          <w:spacing w:val="-2"/>
        </w:rPr>
        <w:t>the</w:t>
      </w:r>
      <w:r w:rsidRPr="0031675F">
        <w:t xml:space="preserve"> </w:t>
      </w:r>
      <w:r w:rsidRPr="0031675F">
        <w:rPr>
          <w:spacing w:val="-1"/>
        </w:rPr>
        <w:t>logger</w:t>
      </w:r>
    </w:p>
    <w:p w14:paraId="3F38E323" w14:textId="77777777" w:rsidR="0031675F" w:rsidRPr="0031675F" w:rsidRDefault="0031675F" w:rsidP="0031675F">
      <w:pPr>
        <w:widowControl w:val="0"/>
        <w:numPr>
          <w:ilvl w:val="3"/>
          <w:numId w:val="70"/>
        </w:numPr>
        <w:tabs>
          <w:tab w:val="left" w:pos="839"/>
        </w:tabs>
        <w:spacing w:before="120" w:after="0" w:line="240" w:lineRule="auto"/>
        <w:ind w:left="838" w:right="120"/>
      </w:pPr>
      <w:r w:rsidRPr="0031675F">
        <w:rPr>
          <w:spacing w:val="-1"/>
        </w:rPr>
        <w:t>Include</w:t>
      </w:r>
      <w:r w:rsidRPr="0031675F">
        <w:rPr>
          <w:spacing w:val="36"/>
        </w:rPr>
        <w:t xml:space="preserve"> </w:t>
      </w:r>
      <w:r w:rsidRPr="0031675F">
        <w:rPr>
          <w:spacing w:val="-1"/>
        </w:rPr>
        <w:t>information</w:t>
      </w:r>
      <w:r w:rsidRPr="0031675F">
        <w:rPr>
          <w:spacing w:val="35"/>
        </w:rPr>
        <w:t xml:space="preserve"> </w:t>
      </w:r>
      <w:r w:rsidRPr="0031675F">
        <w:rPr>
          <w:spacing w:val="-1"/>
        </w:rPr>
        <w:t>regarding</w:t>
      </w:r>
      <w:r w:rsidRPr="0031675F">
        <w:rPr>
          <w:spacing w:val="35"/>
        </w:rPr>
        <w:t xml:space="preserve"> </w:t>
      </w:r>
      <w:r w:rsidRPr="0031675F">
        <w:rPr>
          <w:spacing w:val="-1"/>
        </w:rPr>
        <w:t>o-ring,</w:t>
      </w:r>
      <w:r w:rsidRPr="0031675F">
        <w:rPr>
          <w:spacing w:val="35"/>
        </w:rPr>
        <w:t xml:space="preserve"> </w:t>
      </w:r>
      <w:r w:rsidRPr="0031675F">
        <w:rPr>
          <w:spacing w:val="-1"/>
        </w:rPr>
        <w:t>desiccant</w:t>
      </w:r>
      <w:r w:rsidRPr="0031675F">
        <w:rPr>
          <w:spacing w:val="35"/>
        </w:rPr>
        <w:t xml:space="preserve"> </w:t>
      </w:r>
      <w:r w:rsidRPr="0031675F">
        <w:rPr>
          <w:spacing w:val="-1"/>
        </w:rPr>
        <w:t>and</w:t>
      </w:r>
      <w:r w:rsidRPr="0031675F">
        <w:rPr>
          <w:spacing w:val="35"/>
        </w:rPr>
        <w:t xml:space="preserve"> </w:t>
      </w:r>
      <w:r w:rsidRPr="0031675F">
        <w:t>other</w:t>
      </w:r>
      <w:r w:rsidRPr="0031675F">
        <w:rPr>
          <w:spacing w:val="36"/>
        </w:rPr>
        <w:t xml:space="preserve"> </w:t>
      </w:r>
      <w:r w:rsidRPr="0031675F">
        <w:rPr>
          <w:spacing w:val="-1"/>
        </w:rPr>
        <w:t>checks</w:t>
      </w:r>
      <w:r w:rsidRPr="0031675F">
        <w:rPr>
          <w:spacing w:val="35"/>
        </w:rPr>
        <w:t xml:space="preserve"> </w:t>
      </w:r>
      <w:r w:rsidRPr="0031675F">
        <w:rPr>
          <w:spacing w:val="-1"/>
        </w:rPr>
        <w:t>made</w:t>
      </w:r>
      <w:r w:rsidRPr="0031675F">
        <w:rPr>
          <w:spacing w:val="37"/>
        </w:rPr>
        <w:t xml:space="preserve"> </w:t>
      </w:r>
      <w:r w:rsidRPr="0031675F">
        <w:rPr>
          <w:spacing w:val="-1"/>
        </w:rPr>
        <w:t>after</w:t>
      </w:r>
      <w:r w:rsidRPr="0031675F">
        <w:rPr>
          <w:spacing w:val="34"/>
        </w:rPr>
        <w:t xml:space="preserve"> </w:t>
      </w:r>
      <w:r w:rsidRPr="0031675F">
        <w:t>opening</w:t>
      </w:r>
      <w:r w:rsidRPr="0031675F">
        <w:rPr>
          <w:spacing w:val="34"/>
        </w:rPr>
        <w:t xml:space="preserve"> </w:t>
      </w:r>
      <w:r w:rsidRPr="0031675F">
        <w:t>the</w:t>
      </w:r>
      <w:r w:rsidRPr="0031675F">
        <w:rPr>
          <w:spacing w:val="77"/>
        </w:rPr>
        <w:t xml:space="preserve"> </w:t>
      </w:r>
      <w:r w:rsidRPr="0031675F">
        <w:rPr>
          <w:spacing w:val="-1"/>
        </w:rPr>
        <w:t>pressure</w:t>
      </w:r>
      <w:r w:rsidRPr="0031675F">
        <w:t xml:space="preserve"> </w:t>
      </w:r>
      <w:r w:rsidRPr="0031675F">
        <w:rPr>
          <w:spacing w:val="-2"/>
        </w:rPr>
        <w:t>casing</w:t>
      </w:r>
    </w:p>
    <w:p w14:paraId="046E7EA0" w14:textId="77777777" w:rsidR="0031675F" w:rsidRPr="0031675F" w:rsidRDefault="0031675F" w:rsidP="0031675F">
      <w:pPr>
        <w:widowControl w:val="0"/>
        <w:numPr>
          <w:ilvl w:val="3"/>
          <w:numId w:val="70"/>
        </w:numPr>
        <w:tabs>
          <w:tab w:val="left" w:pos="839"/>
        </w:tabs>
        <w:spacing w:before="120" w:after="0" w:line="240" w:lineRule="auto"/>
        <w:ind w:left="838"/>
      </w:pPr>
      <w:r w:rsidRPr="0031675F">
        <w:rPr>
          <w:spacing w:val="-1"/>
        </w:rPr>
        <w:t>Check</w:t>
      </w:r>
      <w:r w:rsidRPr="0031675F">
        <w:t xml:space="preserve"> </w:t>
      </w:r>
      <w:r w:rsidRPr="0031675F">
        <w:rPr>
          <w:spacing w:val="-2"/>
        </w:rPr>
        <w:t>new</w:t>
      </w:r>
      <w:r w:rsidRPr="0031675F">
        <w:rPr>
          <w:spacing w:val="1"/>
        </w:rPr>
        <w:t xml:space="preserve"> </w:t>
      </w:r>
      <w:r w:rsidRPr="0031675F">
        <w:rPr>
          <w:spacing w:val="-1"/>
        </w:rPr>
        <w:t>battery</w:t>
      </w:r>
      <w:r w:rsidRPr="0031675F">
        <w:t xml:space="preserve"> </w:t>
      </w:r>
      <w:r w:rsidRPr="0031675F">
        <w:rPr>
          <w:spacing w:val="-1"/>
        </w:rPr>
        <w:t>voltage</w:t>
      </w:r>
      <w:r w:rsidRPr="0031675F">
        <w:rPr>
          <w:spacing w:val="-2"/>
        </w:rPr>
        <w:t xml:space="preserve"> </w:t>
      </w:r>
      <w:r w:rsidRPr="0031675F">
        <w:t>once</w:t>
      </w:r>
      <w:r w:rsidRPr="0031675F">
        <w:rPr>
          <w:spacing w:val="-2"/>
        </w:rPr>
        <w:t xml:space="preserve"> </w:t>
      </w:r>
      <w:r w:rsidRPr="0031675F">
        <w:rPr>
          <w:spacing w:val="-1"/>
        </w:rPr>
        <w:t>changed</w:t>
      </w:r>
    </w:p>
    <w:p w14:paraId="1DFC697D" w14:textId="77777777" w:rsidR="0031675F" w:rsidRPr="0031675F" w:rsidRDefault="0031675F" w:rsidP="0031675F">
      <w:pPr>
        <w:widowControl w:val="0"/>
        <w:numPr>
          <w:ilvl w:val="3"/>
          <w:numId w:val="70"/>
        </w:numPr>
        <w:tabs>
          <w:tab w:val="left" w:pos="839"/>
        </w:tabs>
        <w:spacing w:before="118" w:after="0" w:line="240" w:lineRule="auto"/>
        <w:ind w:left="838" w:right="120"/>
      </w:pPr>
      <w:r w:rsidRPr="0031675F">
        <w:rPr>
          <w:spacing w:val="-1"/>
        </w:rPr>
        <w:t>The</w:t>
      </w:r>
      <w:r w:rsidRPr="0031675F">
        <w:rPr>
          <w:spacing w:val="17"/>
        </w:rPr>
        <w:t xml:space="preserve"> </w:t>
      </w:r>
      <w:r w:rsidRPr="0031675F">
        <w:rPr>
          <w:spacing w:val="-1"/>
        </w:rPr>
        <w:t>bio-wiper</w:t>
      </w:r>
      <w:r w:rsidRPr="0031675F">
        <w:rPr>
          <w:spacing w:val="16"/>
        </w:rPr>
        <w:t xml:space="preserve"> </w:t>
      </w:r>
      <w:r w:rsidRPr="0031675F">
        <w:rPr>
          <w:spacing w:val="-1"/>
        </w:rPr>
        <w:t>removed</w:t>
      </w:r>
      <w:r w:rsidRPr="0031675F">
        <w:rPr>
          <w:spacing w:val="16"/>
        </w:rPr>
        <w:t xml:space="preserve"> </w:t>
      </w:r>
      <w:r w:rsidRPr="0031675F">
        <w:rPr>
          <w:spacing w:val="-1"/>
        </w:rPr>
        <w:t>from</w:t>
      </w:r>
      <w:r w:rsidRPr="0031675F">
        <w:rPr>
          <w:spacing w:val="18"/>
        </w:rPr>
        <w:t xml:space="preserve"> </w:t>
      </w:r>
      <w:r w:rsidRPr="0031675F">
        <w:rPr>
          <w:spacing w:val="-1"/>
        </w:rPr>
        <w:t>the</w:t>
      </w:r>
      <w:r w:rsidRPr="0031675F">
        <w:rPr>
          <w:spacing w:val="17"/>
        </w:rPr>
        <w:t xml:space="preserve"> </w:t>
      </w:r>
      <w:r w:rsidRPr="0031675F">
        <w:rPr>
          <w:spacing w:val="-1"/>
        </w:rPr>
        <w:t>logger</w:t>
      </w:r>
      <w:r w:rsidRPr="0031675F">
        <w:rPr>
          <w:spacing w:val="17"/>
        </w:rPr>
        <w:t xml:space="preserve"> </w:t>
      </w:r>
      <w:r w:rsidRPr="0031675F">
        <w:t>is</w:t>
      </w:r>
      <w:r w:rsidRPr="0031675F">
        <w:rPr>
          <w:spacing w:val="16"/>
        </w:rPr>
        <w:t xml:space="preserve"> </w:t>
      </w:r>
      <w:r w:rsidRPr="0031675F">
        <w:t>cleaned</w:t>
      </w:r>
      <w:r w:rsidRPr="0031675F">
        <w:rPr>
          <w:spacing w:val="16"/>
        </w:rPr>
        <w:t xml:space="preserve"> </w:t>
      </w:r>
      <w:r w:rsidRPr="0031675F">
        <w:rPr>
          <w:spacing w:val="-1"/>
        </w:rPr>
        <w:t>and</w:t>
      </w:r>
      <w:r w:rsidRPr="0031675F">
        <w:rPr>
          <w:spacing w:val="16"/>
        </w:rPr>
        <w:t xml:space="preserve"> </w:t>
      </w:r>
      <w:r w:rsidRPr="0031675F">
        <w:t>assessed</w:t>
      </w:r>
      <w:r w:rsidRPr="0031675F">
        <w:rPr>
          <w:spacing w:val="16"/>
        </w:rPr>
        <w:t xml:space="preserve"> </w:t>
      </w:r>
      <w:r w:rsidRPr="0031675F">
        <w:t>to</w:t>
      </w:r>
      <w:r w:rsidRPr="0031675F">
        <w:rPr>
          <w:spacing w:val="18"/>
        </w:rPr>
        <w:t xml:space="preserve"> </w:t>
      </w:r>
      <w:r w:rsidRPr="0031675F">
        <w:rPr>
          <w:spacing w:val="-1"/>
        </w:rPr>
        <w:t>determine</w:t>
      </w:r>
      <w:r w:rsidRPr="0031675F">
        <w:rPr>
          <w:spacing w:val="15"/>
        </w:rPr>
        <w:t xml:space="preserve"> </w:t>
      </w:r>
      <w:r w:rsidRPr="0031675F">
        <w:t>if</w:t>
      </w:r>
      <w:r w:rsidRPr="0031675F">
        <w:rPr>
          <w:spacing w:val="16"/>
        </w:rPr>
        <w:t xml:space="preserve"> </w:t>
      </w:r>
      <w:r w:rsidRPr="0031675F">
        <w:t>the</w:t>
      </w:r>
      <w:r w:rsidRPr="0031675F">
        <w:rPr>
          <w:spacing w:val="17"/>
        </w:rPr>
        <w:t xml:space="preserve"> </w:t>
      </w:r>
      <w:r w:rsidRPr="0031675F">
        <w:rPr>
          <w:spacing w:val="-1"/>
        </w:rPr>
        <w:t>rubber</w:t>
      </w:r>
      <w:r w:rsidRPr="0031675F">
        <w:rPr>
          <w:spacing w:val="51"/>
        </w:rPr>
        <w:t xml:space="preserve"> </w:t>
      </w:r>
      <w:r w:rsidRPr="0031675F">
        <w:rPr>
          <w:spacing w:val="-1"/>
        </w:rPr>
        <w:t xml:space="preserve">strip </w:t>
      </w:r>
      <w:r w:rsidRPr="0031675F">
        <w:t xml:space="preserve">is </w:t>
      </w:r>
      <w:r w:rsidRPr="0031675F">
        <w:rPr>
          <w:spacing w:val="-2"/>
        </w:rPr>
        <w:t>too</w:t>
      </w:r>
      <w:r w:rsidRPr="0031675F">
        <w:rPr>
          <w:spacing w:val="1"/>
        </w:rPr>
        <w:t xml:space="preserve"> </w:t>
      </w:r>
      <w:r w:rsidRPr="0031675F">
        <w:rPr>
          <w:spacing w:val="-1"/>
        </w:rPr>
        <w:t>worn down</w:t>
      </w:r>
      <w:r w:rsidRPr="0031675F">
        <w:t xml:space="preserve"> </w:t>
      </w:r>
      <w:r w:rsidRPr="0031675F">
        <w:rPr>
          <w:spacing w:val="-1"/>
        </w:rPr>
        <w:t>to</w:t>
      </w:r>
      <w:r w:rsidRPr="0031675F">
        <w:rPr>
          <w:spacing w:val="1"/>
        </w:rPr>
        <w:t xml:space="preserve"> </w:t>
      </w:r>
      <w:r w:rsidRPr="0031675F">
        <w:rPr>
          <w:spacing w:val="-1"/>
        </w:rPr>
        <w:t>re-use and therefore must be replaced with a new one.</w:t>
      </w:r>
    </w:p>
    <w:p w14:paraId="77679E13" w14:textId="77777777" w:rsidR="0031675F" w:rsidRPr="0031675F" w:rsidRDefault="0031675F" w:rsidP="0031675F">
      <w:pPr>
        <w:spacing w:before="121" w:after="120"/>
        <w:ind w:right="112"/>
        <w:jc w:val="both"/>
      </w:pPr>
      <w:r w:rsidRPr="0031675F">
        <w:rPr>
          <w:spacing w:val="-1"/>
        </w:rPr>
        <w:t>The</w:t>
      </w:r>
      <w:r w:rsidRPr="0031675F">
        <w:rPr>
          <w:spacing w:val="17"/>
        </w:rPr>
        <w:t xml:space="preserve"> </w:t>
      </w:r>
      <w:r w:rsidRPr="0031675F">
        <w:rPr>
          <w:spacing w:val="-1"/>
        </w:rPr>
        <w:t>photos</w:t>
      </w:r>
      <w:r w:rsidRPr="0031675F">
        <w:rPr>
          <w:spacing w:val="17"/>
        </w:rPr>
        <w:t xml:space="preserve"> </w:t>
      </w:r>
      <w:r w:rsidRPr="0031675F">
        <w:t>of</w:t>
      </w:r>
      <w:r w:rsidRPr="0031675F">
        <w:rPr>
          <w:spacing w:val="17"/>
        </w:rPr>
        <w:t xml:space="preserve"> </w:t>
      </w:r>
      <w:r w:rsidRPr="0031675F">
        <w:t>each</w:t>
      </w:r>
      <w:r w:rsidRPr="0031675F">
        <w:rPr>
          <w:spacing w:val="16"/>
        </w:rPr>
        <w:t xml:space="preserve"> </w:t>
      </w:r>
      <w:r w:rsidRPr="0031675F">
        <w:rPr>
          <w:spacing w:val="-1"/>
        </w:rPr>
        <w:t>logger</w:t>
      </w:r>
      <w:r w:rsidRPr="0031675F">
        <w:rPr>
          <w:spacing w:val="15"/>
        </w:rPr>
        <w:t xml:space="preserve"> </w:t>
      </w:r>
      <w:r w:rsidRPr="0031675F">
        <w:rPr>
          <w:spacing w:val="-1"/>
        </w:rPr>
        <w:t>and</w:t>
      </w:r>
      <w:r w:rsidRPr="0031675F">
        <w:rPr>
          <w:spacing w:val="16"/>
        </w:rPr>
        <w:t xml:space="preserve"> </w:t>
      </w:r>
      <w:r w:rsidRPr="0031675F">
        <w:rPr>
          <w:spacing w:val="-1"/>
        </w:rPr>
        <w:t>stored</w:t>
      </w:r>
      <w:r w:rsidRPr="0031675F">
        <w:rPr>
          <w:spacing w:val="16"/>
        </w:rPr>
        <w:t xml:space="preserve"> </w:t>
      </w:r>
      <w:r w:rsidRPr="0031675F">
        <w:t>on</w:t>
      </w:r>
      <w:r w:rsidRPr="0031675F">
        <w:rPr>
          <w:spacing w:val="16"/>
        </w:rPr>
        <w:t xml:space="preserve"> </w:t>
      </w:r>
      <w:r w:rsidRPr="0031675F">
        <w:t>the</w:t>
      </w:r>
      <w:r w:rsidRPr="0031675F">
        <w:rPr>
          <w:spacing w:val="17"/>
        </w:rPr>
        <w:t xml:space="preserve"> </w:t>
      </w:r>
      <w:r w:rsidRPr="0031675F">
        <w:rPr>
          <w:spacing w:val="-1"/>
        </w:rPr>
        <w:t>AIMS</w:t>
      </w:r>
      <w:r w:rsidRPr="0031675F">
        <w:rPr>
          <w:spacing w:val="16"/>
        </w:rPr>
        <w:t xml:space="preserve"> </w:t>
      </w:r>
      <w:r w:rsidRPr="0031675F">
        <w:rPr>
          <w:spacing w:val="-1"/>
        </w:rPr>
        <w:t>network</w:t>
      </w:r>
      <w:r w:rsidRPr="0031675F">
        <w:rPr>
          <w:spacing w:val="17"/>
        </w:rPr>
        <w:t xml:space="preserve"> </w:t>
      </w:r>
      <w:r w:rsidRPr="0031675F">
        <w:rPr>
          <w:spacing w:val="-1"/>
        </w:rPr>
        <w:t>Water</w:t>
      </w:r>
      <w:r w:rsidRPr="0031675F">
        <w:rPr>
          <w:spacing w:val="17"/>
        </w:rPr>
        <w:t xml:space="preserve"> </w:t>
      </w:r>
      <w:r w:rsidRPr="0031675F">
        <w:rPr>
          <w:spacing w:val="-1"/>
        </w:rPr>
        <w:t>Quality</w:t>
      </w:r>
      <w:r w:rsidRPr="0031675F">
        <w:rPr>
          <w:spacing w:val="17"/>
        </w:rPr>
        <w:t xml:space="preserve"> </w:t>
      </w:r>
      <w:r w:rsidRPr="0031675F">
        <w:t>share</w:t>
      </w:r>
      <w:r w:rsidRPr="0031675F">
        <w:rPr>
          <w:spacing w:val="17"/>
        </w:rPr>
        <w:t xml:space="preserve"> </w:t>
      </w:r>
      <w:r w:rsidRPr="0031675F">
        <w:t>area</w:t>
      </w:r>
      <w:r w:rsidRPr="0031675F">
        <w:rPr>
          <w:spacing w:val="17"/>
        </w:rPr>
        <w:t xml:space="preserve"> </w:t>
      </w:r>
      <w:r w:rsidRPr="0031675F">
        <w:rPr>
          <w:spacing w:val="-1"/>
        </w:rPr>
        <w:t>labelled</w:t>
      </w:r>
      <w:r w:rsidRPr="0031675F">
        <w:rPr>
          <w:spacing w:val="16"/>
        </w:rPr>
        <w:t xml:space="preserve"> </w:t>
      </w:r>
      <w:r w:rsidRPr="0031675F">
        <w:t>with</w:t>
      </w:r>
      <w:r w:rsidRPr="0031675F">
        <w:rPr>
          <w:spacing w:val="65"/>
        </w:rPr>
        <w:t xml:space="preserve"> </w:t>
      </w:r>
      <w:r w:rsidRPr="0031675F">
        <w:rPr>
          <w:spacing w:val="-1"/>
        </w:rPr>
        <w:t>logger</w:t>
      </w:r>
      <w:r w:rsidRPr="0031675F">
        <w:rPr>
          <w:spacing w:val="26"/>
        </w:rPr>
        <w:t xml:space="preserve"> </w:t>
      </w:r>
      <w:r w:rsidRPr="0031675F">
        <w:rPr>
          <w:spacing w:val="-1"/>
        </w:rPr>
        <w:t>serial</w:t>
      </w:r>
      <w:r w:rsidRPr="0031675F">
        <w:rPr>
          <w:spacing w:val="26"/>
        </w:rPr>
        <w:t xml:space="preserve"> </w:t>
      </w:r>
      <w:r w:rsidRPr="0031675F">
        <w:rPr>
          <w:spacing w:val="-1"/>
        </w:rPr>
        <w:t>number,</w:t>
      </w:r>
      <w:r w:rsidRPr="0031675F">
        <w:rPr>
          <w:spacing w:val="24"/>
        </w:rPr>
        <w:t xml:space="preserve"> </w:t>
      </w:r>
      <w:r w:rsidRPr="0031675F">
        <w:t>year</w:t>
      </w:r>
      <w:r w:rsidRPr="0031675F">
        <w:rPr>
          <w:spacing w:val="24"/>
        </w:rPr>
        <w:t xml:space="preserve"> </w:t>
      </w:r>
      <w:r w:rsidRPr="0031675F">
        <w:rPr>
          <w:spacing w:val="-1"/>
        </w:rPr>
        <w:t>and</w:t>
      </w:r>
      <w:r w:rsidRPr="0031675F">
        <w:rPr>
          <w:spacing w:val="26"/>
        </w:rPr>
        <w:t xml:space="preserve"> </w:t>
      </w:r>
      <w:r w:rsidRPr="0031675F">
        <w:rPr>
          <w:spacing w:val="-1"/>
        </w:rPr>
        <w:t>month</w:t>
      </w:r>
      <w:r w:rsidRPr="0031675F">
        <w:rPr>
          <w:spacing w:val="25"/>
        </w:rPr>
        <w:t xml:space="preserve"> </w:t>
      </w:r>
      <w:r w:rsidRPr="0031675F">
        <w:rPr>
          <w:spacing w:val="-1"/>
        </w:rPr>
        <w:t>to</w:t>
      </w:r>
      <w:r w:rsidRPr="0031675F">
        <w:rPr>
          <w:spacing w:val="25"/>
        </w:rPr>
        <w:t xml:space="preserve"> </w:t>
      </w:r>
      <w:r w:rsidRPr="0031675F">
        <w:rPr>
          <w:spacing w:val="-1"/>
        </w:rPr>
        <w:t>enable</w:t>
      </w:r>
      <w:r w:rsidRPr="0031675F">
        <w:rPr>
          <w:spacing w:val="24"/>
        </w:rPr>
        <w:t xml:space="preserve"> </w:t>
      </w:r>
      <w:r w:rsidRPr="0031675F">
        <w:rPr>
          <w:spacing w:val="-1"/>
        </w:rPr>
        <w:t>monitoring</w:t>
      </w:r>
      <w:r w:rsidRPr="0031675F">
        <w:rPr>
          <w:spacing w:val="26"/>
        </w:rPr>
        <w:t xml:space="preserve"> </w:t>
      </w:r>
      <w:r w:rsidRPr="0031675F">
        <w:rPr>
          <w:spacing w:val="-1"/>
        </w:rPr>
        <w:t>changes</w:t>
      </w:r>
      <w:r w:rsidRPr="0031675F">
        <w:rPr>
          <w:spacing w:val="27"/>
        </w:rPr>
        <w:t xml:space="preserve"> </w:t>
      </w:r>
      <w:r w:rsidRPr="0031675F">
        <w:t>in</w:t>
      </w:r>
      <w:r w:rsidRPr="0031675F">
        <w:rPr>
          <w:spacing w:val="23"/>
        </w:rPr>
        <w:t xml:space="preserve"> </w:t>
      </w:r>
      <w:r w:rsidRPr="0031675F">
        <w:rPr>
          <w:spacing w:val="-1"/>
        </w:rPr>
        <w:t>condition</w:t>
      </w:r>
      <w:r w:rsidRPr="0031675F">
        <w:rPr>
          <w:spacing w:val="25"/>
        </w:rPr>
        <w:t xml:space="preserve"> </w:t>
      </w:r>
      <w:r w:rsidRPr="0031675F">
        <w:rPr>
          <w:spacing w:val="-1"/>
        </w:rPr>
        <w:t>of</w:t>
      </w:r>
      <w:r w:rsidRPr="0031675F">
        <w:rPr>
          <w:spacing w:val="26"/>
        </w:rPr>
        <w:t xml:space="preserve"> </w:t>
      </w:r>
      <w:r w:rsidRPr="0031675F">
        <w:t>the</w:t>
      </w:r>
      <w:r w:rsidRPr="0031675F">
        <w:rPr>
          <w:spacing w:val="24"/>
        </w:rPr>
        <w:t xml:space="preserve"> </w:t>
      </w:r>
      <w:r w:rsidRPr="0031675F">
        <w:rPr>
          <w:spacing w:val="-1"/>
        </w:rPr>
        <w:t>logger</w:t>
      </w:r>
      <w:r w:rsidRPr="0031675F">
        <w:rPr>
          <w:spacing w:val="24"/>
        </w:rPr>
        <w:t xml:space="preserve"> </w:t>
      </w:r>
      <w:r w:rsidRPr="0031675F">
        <w:rPr>
          <w:spacing w:val="-1"/>
        </w:rPr>
        <w:t>(in</w:t>
      </w:r>
      <w:r w:rsidRPr="0031675F">
        <w:rPr>
          <w:spacing w:val="66"/>
        </w:rPr>
        <w:t xml:space="preserve"> </w:t>
      </w:r>
      <w:r w:rsidRPr="0031675F">
        <w:rPr>
          <w:spacing w:val="-1"/>
        </w:rPr>
        <w:t>particular the</w:t>
      </w:r>
      <w:r w:rsidRPr="0031675F">
        <w:rPr>
          <w:spacing w:val="-2"/>
        </w:rPr>
        <w:t xml:space="preserve"> </w:t>
      </w:r>
      <w:r w:rsidRPr="0031675F">
        <w:rPr>
          <w:spacing w:val="-1"/>
        </w:rPr>
        <w:t>optical</w:t>
      </w:r>
      <w:r w:rsidRPr="0031675F">
        <w:t xml:space="preserve"> </w:t>
      </w:r>
      <w:r w:rsidRPr="0031675F">
        <w:rPr>
          <w:spacing w:val="-1"/>
        </w:rPr>
        <w:t>window).</w:t>
      </w:r>
    </w:p>
    <w:p w14:paraId="5D282B8C" w14:textId="77777777" w:rsidR="0031675F" w:rsidRPr="0031675F" w:rsidRDefault="0031675F" w:rsidP="0031675F">
      <w:pPr>
        <w:widowControl w:val="0"/>
        <w:numPr>
          <w:ilvl w:val="3"/>
          <w:numId w:val="70"/>
        </w:numPr>
        <w:tabs>
          <w:tab w:val="left" w:pos="839"/>
        </w:tabs>
        <w:spacing w:before="121" w:after="0" w:line="239" w:lineRule="auto"/>
        <w:ind w:left="838" w:right="112"/>
        <w:jc w:val="both"/>
        <w:rPr>
          <w:rFonts w:cs="Calibri"/>
        </w:rPr>
      </w:pPr>
      <w:r w:rsidRPr="0031675F">
        <w:rPr>
          <w:spacing w:val="-1"/>
        </w:rPr>
        <w:t>Re-attach</w:t>
      </w:r>
      <w:r w:rsidRPr="0031675F">
        <w:t xml:space="preserve"> the </w:t>
      </w:r>
      <w:r w:rsidRPr="0031675F">
        <w:rPr>
          <w:spacing w:val="-1"/>
        </w:rPr>
        <w:t>bio-wiper.</w:t>
      </w:r>
      <w:r w:rsidRPr="0031675F">
        <w:rPr>
          <w:spacing w:val="-3"/>
        </w:rPr>
        <w:t xml:space="preserve"> </w:t>
      </w:r>
      <w:r w:rsidRPr="0031675F">
        <w:rPr>
          <w:spacing w:val="-1"/>
        </w:rPr>
        <w:t>Pay</w:t>
      </w:r>
      <w:r w:rsidRPr="0031675F">
        <w:t xml:space="preserve"> </w:t>
      </w:r>
      <w:r w:rsidRPr="0031675F">
        <w:rPr>
          <w:spacing w:val="-1"/>
        </w:rPr>
        <w:t>careful</w:t>
      </w:r>
      <w:r w:rsidRPr="0031675F">
        <w:t xml:space="preserve"> </w:t>
      </w:r>
      <w:r w:rsidRPr="0031675F">
        <w:rPr>
          <w:spacing w:val="-1"/>
        </w:rPr>
        <w:t>attention to</w:t>
      </w:r>
      <w:r w:rsidRPr="0031675F">
        <w:rPr>
          <w:spacing w:val="1"/>
        </w:rPr>
        <w:t xml:space="preserve"> </w:t>
      </w:r>
      <w:r w:rsidRPr="0031675F">
        <w:rPr>
          <w:spacing w:val="-2"/>
        </w:rPr>
        <w:t>the</w:t>
      </w:r>
      <w:r w:rsidRPr="0031675F">
        <w:t xml:space="preserve"> </w:t>
      </w:r>
      <w:r w:rsidRPr="0031675F">
        <w:rPr>
          <w:spacing w:val="-1"/>
        </w:rPr>
        <w:t>height</w:t>
      </w:r>
      <w:r w:rsidRPr="0031675F">
        <w:t xml:space="preserve"> of </w:t>
      </w:r>
      <w:r w:rsidRPr="0031675F">
        <w:rPr>
          <w:spacing w:val="-2"/>
        </w:rPr>
        <w:t>the</w:t>
      </w:r>
      <w:r w:rsidRPr="0031675F">
        <w:t xml:space="preserve"> </w:t>
      </w:r>
      <w:r w:rsidRPr="0031675F">
        <w:rPr>
          <w:spacing w:val="-1"/>
        </w:rPr>
        <w:t>bio-wiper</w:t>
      </w:r>
      <w:r w:rsidRPr="0031675F">
        <w:t xml:space="preserve"> </w:t>
      </w:r>
      <w:r w:rsidRPr="0031675F">
        <w:rPr>
          <w:spacing w:val="-1"/>
        </w:rPr>
        <w:t>above</w:t>
      </w:r>
      <w:r w:rsidRPr="0031675F">
        <w:t xml:space="preserve"> the </w:t>
      </w:r>
      <w:r w:rsidRPr="0031675F">
        <w:rPr>
          <w:spacing w:val="-1"/>
        </w:rPr>
        <w:t>logger</w:t>
      </w:r>
      <w:r w:rsidRPr="0031675F">
        <w:rPr>
          <w:spacing w:val="81"/>
        </w:rPr>
        <w:t xml:space="preserve"> </w:t>
      </w:r>
      <w:r w:rsidRPr="0031675F">
        <w:rPr>
          <w:spacing w:val="-1"/>
        </w:rPr>
        <w:t>face</w:t>
      </w:r>
      <w:r w:rsidRPr="0031675F">
        <w:rPr>
          <w:spacing w:val="43"/>
        </w:rPr>
        <w:t xml:space="preserve"> </w:t>
      </w:r>
      <w:r w:rsidRPr="0031675F">
        <w:rPr>
          <w:spacing w:val="-1"/>
        </w:rPr>
        <w:t>(refer</w:t>
      </w:r>
      <w:r w:rsidRPr="0031675F">
        <w:rPr>
          <w:spacing w:val="44"/>
        </w:rPr>
        <w:t xml:space="preserve"> </w:t>
      </w:r>
      <w:r w:rsidRPr="0031675F">
        <w:t>to</w:t>
      </w:r>
      <w:r w:rsidRPr="0031675F">
        <w:rPr>
          <w:spacing w:val="45"/>
        </w:rPr>
        <w:t xml:space="preserve"> </w:t>
      </w:r>
      <w:r w:rsidRPr="0031675F">
        <w:rPr>
          <w:spacing w:val="-1"/>
        </w:rPr>
        <w:t>Attachments</w:t>
      </w:r>
      <w:r w:rsidRPr="0031675F">
        <w:rPr>
          <w:spacing w:val="42"/>
        </w:rPr>
        <w:t xml:space="preserve"> </w:t>
      </w:r>
      <w:r w:rsidRPr="0031675F">
        <w:rPr>
          <w:spacing w:val="-1"/>
        </w:rPr>
        <w:t>11.2.1</w:t>
      </w:r>
      <w:r w:rsidRPr="0031675F">
        <w:rPr>
          <w:spacing w:val="44"/>
        </w:rPr>
        <w:t xml:space="preserve"> </w:t>
      </w:r>
      <w:r w:rsidRPr="0031675F">
        <w:rPr>
          <w:spacing w:val="-1"/>
        </w:rPr>
        <w:t>and</w:t>
      </w:r>
      <w:r w:rsidRPr="0031675F">
        <w:rPr>
          <w:spacing w:val="43"/>
        </w:rPr>
        <w:t xml:space="preserve"> </w:t>
      </w:r>
      <w:r w:rsidRPr="0031675F">
        <w:rPr>
          <w:spacing w:val="-1"/>
        </w:rPr>
        <w:t>11.2.2)</w:t>
      </w:r>
      <w:r w:rsidRPr="0031675F">
        <w:rPr>
          <w:spacing w:val="44"/>
        </w:rPr>
        <w:t xml:space="preserve"> </w:t>
      </w:r>
      <w:r w:rsidRPr="0031675F">
        <w:rPr>
          <w:spacing w:val="-1"/>
        </w:rPr>
        <w:t>and</w:t>
      </w:r>
      <w:r w:rsidRPr="0031675F">
        <w:rPr>
          <w:spacing w:val="39"/>
        </w:rPr>
        <w:t xml:space="preserve"> </w:t>
      </w:r>
      <w:r w:rsidRPr="0031675F">
        <w:rPr>
          <w:spacing w:val="-1"/>
        </w:rPr>
        <w:t>test</w:t>
      </w:r>
      <w:r w:rsidRPr="0031675F">
        <w:rPr>
          <w:spacing w:val="44"/>
        </w:rPr>
        <w:t xml:space="preserve"> </w:t>
      </w:r>
      <w:r w:rsidRPr="0031675F">
        <w:rPr>
          <w:spacing w:val="-1"/>
        </w:rPr>
        <w:t>function</w:t>
      </w:r>
      <w:r w:rsidRPr="0031675F">
        <w:rPr>
          <w:spacing w:val="43"/>
        </w:rPr>
        <w:t xml:space="preserve"> </w:t>
      </w:r>
      <w:r w:rsidRPr="0031675F">
        <w:rPr>
          <w:spacing w:val="-1"/>
        </w:rPr>
        <w:t>whilst</w:t>
      </w:r>
      <w:r w:rsidRPr="0031675F">
        <w:rPr>
          <w:spacing w:val="43"/>
        </w:rPr>
        <w:t xml:space="preserve"> </w:t>
      </w:r>
      <w:r w:rsidRPr="0031675F">
        <w:rPr>
          <w:spacing w:val="-1"/>
        </w:rPr>
        <w:t>connected</w:t>
      </w:r>
      <w:r w:rsidRPr="0031675F">
        <w:rPr>
          <w:spacing w:val="43"/>
        </w:rPr>
        <w:t xml:space="preserve"> </w:t>
      </w:r>
      <w:r w:rsidRPr="0031675F">
        <w:t>to</w:t>
      </w:r>
      <w:r w:rsidRPr="0031675F">
        <w:rPr>
          <w:spacing w:val="43"/>
        </w:rPr>
        <w:t xml:space="preserve"> </w:t>
      </w:r>
      <w:r w:rsidRPr="0031675F">
        <w:t>the</w:t>
      </w:r>
      <w:r w:rsidRPr="0031675F">
        <w:rPr>
          <w:spacing w:val="49"/>
        </w:rPr>
        <w:t xml:space="preserve"> </w:t>
      </w:r>
      <w:r w:rsidRPr="0031675F">
        <w:rPr>
          <w:rFonts w:cs="Calibri"/>
          <w:spacing w:val="-1"/>
        </w:rPr>
        <w:t>computer</w:t>
      </w:r>
      <w:r w:rsidRPr="0031675F">
        <w:rPr>
          <w:rFonts w:cs="Calibri"/>
        </w:rPr>
        <w:t xml:space="preserve"> </w:t>
      </w:r>
      <w:r w:rsidRPr="0031675F">
        <w:rPr>
          <w:rFonts w:cs="Calibri"/>
          <w:spacing w:val="-1"/>
        </w:rPr>
        <w:t>using</w:t>
      </w:r>
      <w:r w:rsidRPr="0031675F">
        <w:rPr>
          <w:rFonts w:cs="Calibri"/>
          <w:spacing w:val="-3"/>
        </w:rPr>
        <w:t xml:space="preserve"> </w:t>
      </w:r>
      <w:r w:rsidRPr="0031675F">
        <w:rPr>
          <w:rFonts w:cs="Calibri"/>
        </w:rPr>
        <w:t xml:space="preserve">the </w:t>
      </w:r>
      <w:r w:rsidRPr="0031675F">
        <w:rPr>
          <w:rFonts w:cs="Calibri"/>
          <w:spacing w:val="-1"/>
        </w:rPr>
        <w:t>‘open</w:t>
      </w:r>
      <w:r w:rsidRPr="0031675F">
        <w:rPr>
          <w:rFonts w:cs="Calibri"/>
        </w:rPr>
        <w:t xml:space="preserve"> </w:t>
      </w:r>
      <w:r w:rsidRPr="0031675F">
        <w:rPr>
          <w:rFonts w:cs="Calibri"/>
          <w:spacing w:val="-1"/>
        </w:rPr>
        <w:t>shutter’</w:t>
      </w:r>
      <w:r w:rsidRPr="0031675F">
        <w:rPr>
          <w:rFonts w:cs="Calibri"/>
        </w:rPr>
        <w:t xml:space="preserve"> </w:t>
      </w:r>
      <w:r w:rsidRPr="0031675F">
        <w:rPr>
          <w:rFonts w:cs="Calibri"/>
          <w:spacing w:val="-1"/>
        </w:rPr>
        <w:t>and ‘close</w:t>
      </w:r>
      <w:r w:rsidRPr="0031675F">
        <w:rPr>
          <w:rFonts w:cs="Calibri"/>
        </w:rPr>
        <w:t xml:space="preserve"> </w:t>
      </w:r>
      <w:r w:rsidRPr="0031675F">
        <w:rPr>
          <w:rFonts w:cs="Calibri"/>
          <w:spacing w:val="-1"/>
        </w:rPr>
        <w:t>shutter’</w:t>
      </w:r>
      <w:r w:rsidRPr="0031675F">
        <w:rPr>
          <w:rFonts w:cs="Calibri"/>
          <w:spacing w:val="-2"/>
        </w:rPr>
        <w:t xml:space="preserve"> </w:t>
      </w:r>
      <w:r w:rsidRPr="0031675F">
        <w:rPr>
          <w:rFonts w:cs="Calibri"/>
          <w:spacing w:val="-1"/>
        </w:rPr>
        <w:t>buttons</w:t>
      </w:r>
      <w:r w:rsidRPr="0031675F">
        <w:rPr>
          <w:rFonts w:cs="Calibri"/>
          <w:spacing w:val="-2"/>
        </w:rPr>
        <w:t xml:space="preserve"> </w:t>
      </w:r>
      <w:r w:rsidRPr="0031675F">
        <w:rPr>
          <w:rFonts w:cs="Calibri"/>
        </w:rPr>
        <w:t>on</w:t>
      </w:r>
      <w:r w:rsidRPr="0031675F">
        <w:rPr>
          <w:rFonts w:cs="Calibri"/>
          <w:spacing w:val="-1"/>
        </w:rPr>
        <w:t xml:space="preserve"> Eco</w:t>
      </w:r>
      <w:r w:rsidRPr="0031675F">
        <w:rPr>
          <w:rFonts w:cs="Calibri"/>
          <w:spacing w:val="1"/>
        </w:rPr>
        <w:t xml:space="preserve"> </w:t>
      </w:r>
      <w:r w:rsidRPr="0031675F">
        <w:rPr>
          <w:rFonts w:cs="Calibri"/>
          <w:spacing w:val="-1"/>
        </w:rPr>
        <w:t>View.</w:t>
      </w:r>
    </w:p>
    <w:p w14:paraId="691B8262" w14:textId="77777777" w:rsidR="0031675F" w:rsidRPr="0031675F" w:rsidRDefault="0031675F" w:rsidP="0031675F">
      <w:pPr>
        <w:widowControl w:val="0"/>
        <w:numPr>
          <w:ilvl w:val="3"/>
          <w:numId w:val="70"/>
        </w:numPr>
        <w:tabs>
          <w:tab w:val="left" w:pos="839"/>
        </w:tabs>
        <w:spacing w:before="121" w:after="0" w:line="239" w:lineRule="auto"/>
        <w:ind w:left="838" w:right="112"/>
        <w:jc w:val="both"/>
        <w:rPr>
          <w:rFonts w:cs="Calibri"/>
        </w:rPr>
      </w:pPr>
      <w:r w:rsidRPr="0031675F">
        <w:rPr>
          <w:rFonts w:cs="Calibri"/>
        </w:rPr>
        <w:t>Set the</w:t>
      </w:r>
      <w:r w:rsidRPr="0031675F">
        <w:rPr>
          <w:rFonts w:cs="Calibri"/>
          <w:spacing w:val="-3"/>
        </w:rPr>
        <w:t xml:space="preserve"> </w:t>
      </w:r>
      <w:r w:rsidRPr="0031675F">
        <w:rPr>
          <w:rFonts w:cs="Calibri"/>
          <w:spacing w:val="-1"/>
        </w:rPr>
        <w:t>logger</w:t>
      </w:r>
      <w:r w:rsidRPr="0031675F">
        <w:rPr>
          <w:rFonts w:cs="Calibri"/>
          <w:spacing w:val="-3"/>
        </w:rPr>
        <w:t xml:space="preserve"> </w:t>
      </w:r>
      <w:r w:rsidRPr="0031675F">
        <w:rPr>
          <w:rFonts w:cs="Calibri"/>
        </w:rPr>
        <w:t>for</w:t>
      </w:r>
      <w:r w:rsidRPr="0031675F">
        <w:rPr>
          <w:rFonts w:cs="Calibri"/>
          <w:spacing w:val="-3"/>
        </w:rPr>
        <w:t xml:space="preserve"> </w:t>
      </w:r>
      <w:r w:rsidRPr="0031675F">
        <w:rPr>
          <w:rFonts w:cs="Calibri"/>
        </w:rPr>
        <w:t>field</w:t>
      </w:r>
      <w:r w:rsidRPr="0031675F">
        <w:rPr>
          <w:rFonts w:cs="Calibri"/>
          <w:spacing w:val="-1"/>
        </w:rPr>
        <w:t xml:space="preserve"> logging </w:t>
      </w:r>
      <w:r w:rsidRPr="0031675F">
        <w:rPr>
          <w:rFonts w:cs="Calibri"/>
        </w:rPr>
        <w:t xml:space="preserve">as </w:t>
      </w:r>
      <w:r w:rsidRPr="0031675F">
        <w:rPr>
          <w:rFonts w:cs="Calibri"/>
          <w:spacing w:val="-1"/>
        </w:rPr>
        <w:t>per</w:t>
      </w:r>
      <w:r w:rsidRPr="0031675F">
        <w:rPr>
          <w:rFonts w:cs="Calibri"/>
        </w:rPr>
        <w:t xml:space="preserve"> </w:t>
      </w:r>
      <w:r w:rsidRPr="0031675F">
        <w:rPr>
          <w:rFonts w:cs="Calibri"/>
          <w:spacing w:val="-1"/>
        </w:rPr>
        <w:t>Section</w:t>
      </w:r>
      <w:r w:rsidRPr="0031675F">
        <w:rPr>
          <w:rFonts w:cs="Calibri"/>
          <w:spacing w:val="-3"/>
        </w:rPr>
        <w:t xml:space="preserve"> </w:t>
      </w:r>
      <w:r w:rsidRPr="0031675F">
        <w:rPr>
          <w:rFonts w:cs="Calibri"/>
          <w:spacing w:val="-1"/>
        </w:rPr>
        <w:t>11.1.2</w:t>
      </w:r>
      <w:r w:rsidRPr="0031675F">
        <w:rPr>
          <w:rFonts w:cs="Calibri"/>
          <w:spacing w:val="-2"/>
        </w:rPr>
        <w:t xml:space="preserve"> </w:t>
      </w:r>
      <w:r w:rsidRPr="0031675F">
        <w:rPr>
          <w:rFonts w:cs="Calibri"/>
          <w:spacing w:val="-1"/>
        </w:rPr>
        <w:t>‘Settings</w:t>
      </w:r>
      <w:r w:rsidRPr="0031675F">
        <w:rPr>
          <w:rFonts w:cs="Calibri"/>
          <w:spacing w:val="3"/>
        </w:rPr>
        <w:t xml:space="preserve"> </w:t>
      </w:r>
      <w:r w:rsidRPr="0031675F">
        <w:rPr>
          <w:rFonts w:cs="Calibri"/>
          <w:spacing w:val="-1"/>
        </w:rPr>
        <w:t>for</w:t>
      </w:r>
      <w:r w:rsidRPr="0031675F">
        <w:rPr>
          <w:rFonts w:cs="Calibri"/>
        </w:rPr>
        <w:t xml:space="preserve"> field</w:t>
      </w:r>
      <w:r w:rsidRPr="0031675F">
        <w:rPr>
          <w:rFonts w:cs="Calibri"/>
          <w:spacing w:val="-1"/>
        </w:rPr>
        <w:t xml:space="preserve"> logging’</w:t>
      </w:r>
    </w:p>
    <w:p w14:paraId="5F65D25A" w14:textId="77777777" w:rsidR="0031675F" w:rsidRPr="0031675F" w:rsidRDefault="0031675F" w:rsidP="0031675F">
      <w:pPr>
        <w:spacing w:before="120" w:after="120"/>
        <w:ind w:right="115"/>
        <w:jc w:val="both"/>
        <w:rPr>
          <w:spacing w:val="-1"/>
        </w:rPr>
      </w:pPr>
      <w:r w:rsidRPr="0031675F">
        <w:rPr>
          <w:spacing w:val="-1"/>
        </w:rPr>
        <w:t>Changing</w:t>
      </w:r>
      <w:r w:rsidRPr="0031675F">
        <w:rPr>
          <w:spacing w:val="35"/>
        </w:rPr>
        <w:t xml:space="preserve"> of </w:t>
      </w:r>
      <w:r w:rsidRPr="0031675F">
        <w:rPr>
          <w:spacing w:val="-1"/>
        </w:rPr>
        <w:t>internal</w:t>
      </w:r>
      <w:r w:rsidRPr="0031675F">
        <w:rPr>
          <w:spacing w:val="36"/>
        </w:rPr>
        <w:t xml:space="preserve"> </w:t>
      </w:r>
      <w:r w:rsidRPr="0031675F">
        <w:rPr>
          <w:spacing w:val="-1"/>
        </w:rPr>
        <w:t>batteries</w:t>
      </w:r>
      <w:r w:rsidRPr="0031675F">
        <w:rPr>
          <w:spacing w:val="36"/>
        </w:rPr>
        <w:t xml:space="preserve"> </w:t>
      </w:r>
      <w:r w:rsidRPr="0031675F">
        <w:rPr>
          <w:spacing w:val="-1"/>
        </w:rPr>
        <w:t>is described</w:t>
      </w:r>
      <w:r w:rsidRPr="0031675F">
        <w:rPr>
          <w:spacing w:val="33"/>
        </w:rPr>
        <w:t xml:space="preserve"> </w:t>
      </w:r>
      <w:r w:rsidRPr="0031675F">
        <w:rPr>
          <w:spacing w:val="-1"/>
        </w:rPr>
        <w:t>below</w:t>
      </w:r>
      <w:r w:rsidRPr="0031675F">
        <w:rPr>
          <w:spacing w:val="37"/>
        </w:rPr>
        <w:t xml:space="preserve"> </w:t>
      </w:r>
      <w:r w:rsidRPr="0031675F">
        <w:t>in</w:t>
      </w:r>
      <w:r w:rsidRPr="0031675F">
        <w:rPr>
          <w:spacing w:val="34"/>
        </w:rPr>
        <w:t xml:space="preserve"> </w:t>
      </w:r>
      <w:r w:rsidRPr="0031675F">
        <w:rPr>
          <w:spacing w:val="-1"/>
        </w:rPr>
        <w:t>Section</w:t>
      </w:r>
      <w:r w:rsidRPr="0031675F">
        <w:rPr>
          <w:spacing w:val="35"/>
        </w:rPr>
        <w:t xml:space="preserve"> </w:t>
      </w:r>
      <w:r w:rsidRPr="0031675F">
        <w:rPr>
          <w:spacing w:val="-1"/>
        </w:rPr>
        <w:t>11.3.2.</w:t>
      </w:r>
    </w:p>
    <w:p w14:paraId="264FAD29" w14:textId="77777777" w:rsidR="0031675F" w:rsidRPr="0031675F" w:rsidRDefault="0031675F" w:rsidP="0031675F">
      <w:pPr>
        <w:rPr>
          <w:rFonts w:cs="Calibri"/>
          <w:sz w:val="24"/>
          <w:szCs w:val="24"/>
        </w:rPr>
      </w:pPr>
    </w:p>
    <w:p w14:paraId="59B2BF61" w14:textId="301D06A1" w:rsidR="0031675F" w:rsidRPr="0031675F" w:rsidRDefault="0031675F" w:rsidP="0031675F">
      <w:pPr>
        <w:widowControl w:val="0"/>
        <w:numPr>
          <w:ilvl w:val="2"/>
          <w:numId w:val="70"/>
        </w:numPr>
        <w:tabs>
          <w:tab w:val="left" w:pos="839"/>
        </w:tabs>
        <w:spacing w:before="180" w:after="0" w:line="240" w:lineRule="auto"/>
        <w:rPr>
          <w:rFonts w:eastAsia="Arial" w:cs="Arial"/>
          <w:sz w:val="16"/>
          <w:szCs w:val="16"/>
        </w:rPr>
      </w:pPr>
      <w:r w:rsidRPr="0031675F">
        <w:rPr>
          <w:b/>
          <w:spacing w:val="-1"/>
        </w:rPr>
        <w:t>Replacing</w:t>
      </w:r>
      <w:r w:rsidRPr="0031675F">
        <w:rPr>
          <w:b/>
          <w:spacing w:val="-3"/>
        </w:rPr>
        <w:t xml:space="preserve"> </w:t>
      </w:r>
      <w:r w:rsidRPr="0031675F">
        <w:rPr>
          <w:b/>
          <w:spacing w:val="-1"/>
        </w:rPr>
        <w:t>internal batteries</w:t>
      </w:r>
    </w:p>
    <w:p w14:paraId="3964E300" w14:textId="29EEEB36" w:rsidR="0031675F" w:rsidRPr="0031675F" w:rsidRDefault="00425F9A" w:rsidP="0031675F">
      <w:pPr>
        <w:spacing w:after="120" w:line="239" w:lineRule="auto"/>
        <w:ind w:right="113"/>
        <w:jc w:val="both"/>
      </w:pPr>
      <w:r w:rsidRPr="00425F9A">
        <w:rPr>
          <w:rFonts w:cs="Calibri"/>
          <w:spacing w:val="-1"/>
        </w:rPr>
        <w:t>The</w:t>
      </w:r>
      <w:r w:rsidRPr="00425F9A">
        <w:rPr>
          <w:rFonts w:cs="Calibri"/>
        </w:rPr>
        <w:t xml:space="preserve"> </w:t>
      </w:r>
      <w:r w:rsidRPr="00425F9A">
        <w:rPr>
          <w:rFonts w:cs="Calibri"/>
          <w:spacing w:val="2"/>
        </w:rPr>
        <w:t xml:space="preserve"> </w:t>
      </w:r>
      <w:r w:rsidRPr="00425F9A">
        <w:rPr>
          <w:rFonts w:cs="Calibri"/>
          <w:spacing w:val="-1"/>
        </w:rPr>
        <w:t>following</w:t>
      </w:r>
      <w:r w:rsidRPr="00425F9A">
        <w:rPr>
          <w:rFonts w:cs="Calibri"/>
        </w:rPr>
        <w:t xml:space="preserve"> </w:t>
      </w:r>
      <w:r w:rsidRPr="00425F9A">
        <w:rPr>
          <w:rFonts w:cs="Calibri"/>
          <w:spacing w:val="1"/>
        </w:rPr>
        <w:t xml:space="preserve"> </w:t>
      </w:r>
      <w:r w:rsidRPr="00425F9A">
        <w:rPr>
          <w:rFonts w:cs="Calibri"/>
          <w:spacing w:val="-1"/>
        </w:rPr>
        <w:t>section</w:t>
      </w:r>
      <w:r w:rsidRPr="00425F9A">
        <w:rPr>
          <w:rFonts w:cs="Calibri"/>
        </w:rPr>
        <w:t xml:space="preserve"> was </w:t>
      </w:r>
      <w:r w:rsidRPr="00425F9A">
        <w:rPr>
          <w:rFonts w:cs="Calibri"/>
          <w:spacing w:val="2"/>
        </w:rPr>
        <w:t xml:space="preserve"> </w:t>
      </w:r>
      <w:r w:rsidRPr="00425F9A">
        <w:rPr>
          <w:rFonts w:cs="Calibri"/>
          <w:spacing w:val="-1"/>
        </w:rPr>
        <w:t>extracted,</w:t>
      </w:r>
      <w:r w:rsidRPr="00425F9A">
        <w:rPr>
          <w:rFonts w:cs="Calibri"/>
        </w:rPr>
        <w:t xml:space="preserve"> </w:t>
      </w:r>
      <w:r w:rsidRPr="00425F9A">
        <w:rPr>
          <w:rFonts w:cs="Calibri"/>
          <w:spacing w:val="2"/>
        </w:rPr>
        <w:t xml:space="preserve"> </w:t>
      </w:r>
      <w:r w:rsidRPr="00425F9A">
        <w:rPr>
          <w:rFonts w:cs="Calibri"/>
        </w:rPr>
        <w:t xml:space="preserve">with </w:t>
      </w:r>
      <w:r w:rsidRPr="00425F9A">
        <w:rPr>
          <w:rFonts w:cs="Calibri"/>
          <w:spacing w:val="1"/>
        </w:rPr>
        <w:t xml:space="preserve"> </w:t>
      </w:r>
      <w:r w:rsidRPr="00425F9A">
        <w:rPr>
          <w:rFonts w:cs="Calibri"/>
        </w:rPr>
        <w:t xml:space="preserve">minor </w:t>
      </w:r>
      <w:r w:rsidRPr="00425F9A">
        <w:rPr>
          <w:rFonts w:cs="Calibri"/>
          <w:spacing w:val="1"/>
        </w:rPr>
        <w:t xml:space="preserve"> </w:t>
      </w:r>
      <w:r w:rsidRPr="00425F9A">
        <w:rPr>
          <w:rFonts w:cs="Calibri"/>
          <w:spacing w:val="-1"/>
        </w:rPr>
        <w:t>alterations,</w:t>
      </w:r>
      <w:r w:rsidRPr="00425F9A">
        <w:rPr>
          <w:rFonts w:cs="Calibri"/>
        </w:rPr>
        <w:t xml:space="preserve"> </w:t>
      </w:r>
      <w:r w:rsidRPr="00425F9A">
        <w:rPr>
          <w:rFonts w:cs="Calibri"/>
          <w:spacing w:val="2"/>
        </w:rPr>
        <w:t xml:space="preserve"> </w:t>
      </w:r>
      <w:r w:rsidRPr="00425F9A">
        <w:rPr>
          <w:rFonts w:cs="Calibri"/>
        </w:rPr>
        <w:t xml:space="preserve">from </w:t>
      </w:r>
      <w:r w:rsidRPr="00425F9A">
        <w:rPr>
          <w:rFonts w:cs="Calibri"/>
          <w:spacing w:val="2"/>
        </w:rPr>
        <w:t xml:space="preserve"> </w:t>
      </w:r>
      <w:r w:rsidRPr="00425F9A">
        <w:rPr>
          <w:rFonts w:cs="Calibri"/>
        </w:rPr>
        <w:t xml:space="preserve">the </w:t>
      </w:r>
      <w:r w:rsidRPr="00425F9A">
        <w:rPr>
          <w:rFonts w:cs="Calibri"/>
          <w:spacing w:val="1"/>
        </w:rPr>
        <w:t xml:space="preserve"> </w:t>
      </w:r>
      <w:r w:rsidRPr="00425F9A">
        <w:rPr>
          <w:rFonts w:cs="Calibri"/>
        </w:rPr>
        <w:t xml:space="preserve">WETLabs </w:t>
      </w:r>
      <w:r w:rsidRPr="00425F9A">
        <w:rPr>
          <w:rFonts w:cs="Calibri"/>
          <w:spacing w:val="1"/>
        </w:rPr>
        <w:t xml:space="preserve"> </w:t>
      </w:r>
      <w:r w:rsidRPr="00425F9A">
        <w:rPr>
          <w:rFonts w:cs="Calibri"/>
        </w:rPr>
        <w:t xml:space="preserve">ECO </w:t>
      </w:r>
      <w:r w:rsidRPr="00425F9A">
        <w:rPr>
          <w:rFonts w:cs="Calibri"/>
          <w:spacing w:val="3"/>
        </w:rPr>
        <w:t xml:space="preserve"> </w:t>
      </w:r>
      <w:r w:rsidRPr="00425F9A">
        <w:rPr>
          <w:rFonts w:cs="Calibri"/>
          <w:spacing w:val="-1"/>
        </w:rPr>
        <w:t>logger</w:t>
      </w:r>
      <w:r w:rsidRPr="00425F9A">
        <w:rPr>
          <w:rFonts w:cs="Calibri"/>
        </w:rPr>
        <w:t xml:space="preserve"> </w:t>
      </w:r>
      <w:r w:rsidRPr="00425F9A">
        <w:rPr>
          <w:rFonts w:cs="Calibri"/>
          <w:spacing w:val="2"/>
        </w:rPr>
        <w:t xml:space="preserve"> </w:t>
      </w:r>
      <w:r w:rsidRPr="00425F9A">
        <w:rPr>
          <w:rFonts w:cs="Calibri"/>
          <w:spacing w:val="-1"/>
        </w:rPr>
        <w:t>User’s</w:t>
      </w:r>
      <w:r w:rsidRPr="00425F9A">
        <w:rPr>
          <w:rFonts w:cs="Calibri"/>
        </w:rPr>
        <w:t xml:space="preserve"> </w:t>
      </w:r>
      <w:r w:rsidRPr="00425F9A">
        <w:rPr>
          <w:rFonts w:cs="Calibri"/>
          <w:spacing w:val="4"/>
        </w:rPr>
        <w:t xml:space="preserve"> </w:t>
      </w:r>
      <w:r w:rsidRPr="00425F9A">
        <w:rPr>
          <w:rFonts w:cs="Calibri"/>
          <w:spacing w:val="-1"/>
        </w:rPr>
        <w:t>Guide.</w:t>
      </w:r>
      <w:r w:rsidRPr="00425F9A">
        <w:rPr>
          <w:rFonts w:cs="Calibri"/>
          <w:spacing w:val="87"/>
        </w:rPr>
        <w:t xml:space="preserve"> </w:t>
      </w:r>
      <w:r w:rsidRPr="00425F9A">
        <w:rPr>
          <w:rFonts w:cs="Calibri"/>
          <w:spacing w:val="-1"/>
        </w:rPr>
        <w:t>Attachment</w:t>
      </w:r>
      <w:r w:rsidRPr="00425F9A">
        <w:rPr>
          <w:rFonts w:cs="Calibri"/>
          <w:spacing w:val="-3"/>
        </w:rPr>
        <w:t xml:space="preserve"> </w:t>
      </w:r>
      <w:r w:rsidRPr="00425F9A">
        <w:rPr>
          <w:rFonts w:cs="Calibri"/>
        </w:rPr>
        <w:t xml:space="preserve">11.9 </w:t>
      </w:r>
      <w:r w:rsidRPr="00425F9A">
        <w:rPr>
          <w:rFonts w:cs="Calibri"/>
          <w:spacing w:val="-1"/>
        </w:rPr>
        <w:t>is</w:t>
      </w:r>
      <w:r w:rsidRPr="00425F9A">
        <w:rPr>
          <w:rFonts w:cs="Calibri"/>
          <w:spacing w:val="-4"/>
        </w:rPr>
        <w:t xml:space="preserve"> </w:t>
      </w:r>
      <w:r w:rsidRPr="00425F9A">
        <w:rPr>
          <w:rFonts w:cs="Calibri"/>
        </w:rPr>
        <w:t>the</w:t>
      </w:r>
      <w:r w:rsidRPr="00425F9A">
        <w:rPr>
          <w:rFonts w:cs="Calibri"/>
          <w:spacing w:val="-3"/>
        </w:rPr>
        <w:t xml:space="preserve"> </w:t>
      </w:r>
      <w:r w:rsidRPr="00425F9A">
        <w:rPr>
          <w:rFonts w:cs="Calibri"/>
        </w:rPr>
        <w:t>WETLabs</w:t>
      </w:r>
      <w:r w:rsidRPr="00425F9A">
        <w:rPr>
          <w:rFonts w:cs="Calibri"/>
          <w:spacing w:val="-3"/>
        </w:rPr>
        <w:t xml:space="preserve"> </w:t>
      </w:r>
      <w:r w:rsidRPr="00425F9A">
        <w:rPr>
          <w:rFonts w:cs="Calibri"/>
          <w:spacing w:val="-1"/>
        </w:rPr>
        <w:t>Technical</w:t>
      </w:r>
      <w:r w:rsidRPr="00425F9A">
        <w:rPr>
          <w:rFonts w:cs="Calibri"/>
          <w:spacing w:val="-3"/>
        </w:rPr>
        <w:t xml:space="preserve"> </w:t>
      </w:r>
      <w:r w:rsidRPr="00425F9A">
        <w:rPr>
          <w:rFonts w:cs="Calibri"/>
          <w:spacing w:val="-1"/>
        </w:rPr>
        <w:t>Note</w:t>
      </w:r>
      <w:r w:rsidRPr="00425F9A">
        <w:rPr>
          <w:rFonts w:cs="Calibri"/>
          <w:spacing w:val="-3"/>
        </w:rPr>
        <w:t xml:space="preserve"> </w:t>
      </w:r>
      <w:r w:rsidRPr="00425F9A">
        <w:rPr>
          <w:rFonts w:cs="Calibri"/>
          <w:spacing w:val="-1"/>
        </w:rPr>
        <w:t>which</w:t>
      </w:r>
      <w:r w:rsidRPr="00425F9A">
        <w:rPr>
          <w:rFonts w:cs="Calibri"/>
          <w:spacing w:val="-3"/>
        </w:rPr>
        <w:t xml:space="preserve"> </w:t>
      </w:r>
      <w:r w:rsidRPr="00425F9A">
        <w:rPr>
          <w:rFonts w:cs="Calibri"/>
          <w:spacing w:val="-1"/>
        </w:rPr>
        <w:t>includes</w:t>
      </w:r>
      <w:r w:rsidRPr="00425F9A">
        <w:rPr>
          <w:rFonts w:cs="Calibri"/>
          <w:spacing w:val="-2"/>
        </w:rPr>
        <w:t xml:space="preserve"> </w:t>
      </w:r>
      <w:r w:rsidRPr="00425F9A">
        <w:rPr>
          <w:rFonts w:cs="Calibri"/>
          <w:spacing w:val="-1"/>
        </w:rPr>
        <w:t xml:space="preserve">photos.  </w:t>
      </w:r>
      <w:r w:rsidR="0031675F" w:rsidRPr="00425F9A">
        <w:rPr>
          <w:spacing w:val="-1"/>
        </w:rPr>
        <w:t>The</w:t>
      </w:r>
      <w:r w:rsidR="0031675F" w:rsidRPr="0031675F">
        <w:rPr>
          <w:spacing w:val="15"/>
        </w:rPr>
        <w:t xml:space="preserve"> </w:t>
      </w:r>
      <w:r w:rsidR="0031675F" w:rsidRPr="0031675F">
        <w:rPr>
          <w:spacing w:val="-1"/>
        </w:rPr>
        <w:t>logger</w:t>
      </w:r>
      <w:r w:rsidR="0031675F" w:rsidRPr="0031675F">
        <w:rPr>
          <w:spacing w:val="14"/>
        </w:rPr>
        <w:t xml:space="preserve"> </w:t>
      </w:r>
      <w:r w:rsidR="0031675F" w:rsidRPr="0031675F">
        <w:rPr>
          <w:spacing w:val="-1"/>
        </w:rPr>
        <w:t>uses</w:t>
      </w:r>
      <w:r w:rsidR="0031675F" w:rsidRPr="0031675F">
        <w:rPr>
          <w:spacing w:val="16"/>
        </w:rPr>
        <w:t xml:space="preserve"> </w:t>
      </w:r>
      <w:r w:rsidR="0031675F" w:rsidRPr="0031675F">
        <w:rPr>
          <w:spacing w:val="-1"/>
        </w:rPr>
        <w:t>six</w:t>
      </w:r>
      <w:r w:rsidR="0031675F" w:rsidRPr="0031675F">
        <w:rPr>
          <w:spacing w:val="15"/>
        </w:rPr>
        <w:t xml:space="preserve"> </w:t>
      </w:r>
      <w:r w:rsidR="0031675F" w:rsidRPr="0031675F">
        <w:rPr>
          <w:spacing w:val="-1"/>
        </w:rPr>
        <w:t>9-volt</w:t>
      </w:r>
      <w:r w:rsidR="0031675F" w:rsidRPr="0031675F">
        <w:rPr>
          <w:spacing w:val="15"/>
        </w:rPr>
        <w:t xml:space="preserve"> </w:t>
      </w:r>
      <w:r w:rsidR="0031675F" w:rsidRPr="0031675F">
        <w:rPr>
          <w:spacing w:val="-1"/>
        </w:rPr>
        <w:t>batteries</w:t>
      </w:r>
      <w:r w:rsidR="0031675F" w:rsidRPr="0031675F">
        <w:rPr>
          <w:spacing w:val="14"/>
        </w:rPr>
        <w:t xml:space="preserve"> </w:t>
      </w:r>
      <w:r w:rsidR="0031675F" w:rsidRPr="0031675F">
        <w:t>as</w:t>
      </w:r>
      <w:r w:rsidR="0031675F" w:rsidRPr="0031675F">
        <w:rPr>
          <w:spacing w:val="14"/>
        </w:rPr>
        <w:t xml:space="preserve"> </w:t>
      </w:r>
      <w:r w:rsidR="0031675F" w:rsidRPr="0031675F">
        <w:t>the</w:t>
      </w:r>
      <w:r w:rsidR="0031675F" w:rsidRPr="0031675F">
        <w:rPr>
          <w:spacing w:val="14"/>
        </w:rPr>
        <w:t xml:space="preserve"> </w:t>
      </w:r>
      <w:r w:rsidR="0031675F" w:rsidRPr="0031675F">
        <w:rPr>
          <w:spacing w:val="-1"/>
        </w:rPr>
        <w:t>power</w:t>
      </w:r>
      <w:r w:rsidR="0031675F" w:rsidRPr="0031675F">
        <w:rPr>
          <w:spacing w:val="14"/>
        </w:rPr>
        <w:t xml:space="preserve"> </w:t>
      </w:r>
      <w:r w:rsidR="0031675F" w:rsidRPr="0031675F">
        <w:rPr>
          <w:spacing w:val="-1"/>
        </w:rPr>
        <w:t>source.</w:t>
      </w:r>
      <w:r w:rsidR="0031675F" w:rsidRPr="0031675F">
        <w:rPr>
          <w:spacing w:val="14"/>
        </w:rPr>
        <w:t xml:space="preserve"> </w:t>
      </w:r>
      <w:r w:rsidR="0031675F" w:rsidRPr="0031675F">
        <w:rPr>
          <w:spacing w:val="-1"/>
        </w:rPr>
        <w:t>They</w:t>
      </w:r>
      <w:r w:rsidR="0031675F" w:rsidRPr="0031675F">
        <w:rPr>
          <w:spacing w:val="15"/>
        </w:rPr>
        <w:t xml:space="preserve"> </w:t>
      </w:r>
      <w:r w:rsidR="0031675F" w:rsidRPr="0031675F">
        <w:t>can</w:t>
      </w:r>
      <w:r w:rsidR="0031675F" w:rsidRPr="0031675F">
        <w:rPr>
          <w:spacing w:val="13"/>
        </w:rPr>
        <w:t xml:space="preserve"> </w:t>
      </w:r>
      <w:r w:rsidR="0031675F" w:rsidRPr="0031675F">
        <w:rPr>
          <w:spacing w:val="-1"/>
        </w:rPr>
        <w:t>use</w:t>
      </w:r>
      <w:r w:rsidR="0031675F" w:rsidRPr="0031675F">
        <w:rPr>
          <w:spacing w:val="15"/>
        </w:rPr>
        <w:t xml:space="preserve"> </w:t>
      </w:r>
      <w:r w:rsidR="0031675F" w:rsidRPr="0031675F">
        <w:rPr>
          <w:spacing w:val="-1"/>
        </w:rPr>
        <w:t>either</w:t>
      </w:r>
      <w:r w:rsidR="0031675F" w:rsidRPr="0031675F">
        <w:rPr>
          <w:spacing w:val="14"/>
        </w:rPr>
        <w:t xml:space="preserve"> </w:t>
      </w:r>
      <w:r w:rsidR="0031675F" w:rsidRPr="0031675F">
        <w:rPr>
          <w:spacing w:val="-1"/>
        </w:rPr>
        <w:t>standard</w:t>
      </w:r>
      <w:r w:rsidR="0031675F" w:rsidRPr="0031675F">
        <w:rPr>
          <w:spacing w:val="13"/>
        </w:rPr>
        <w:t xml:space="preserve"> </w:t>
      </w:r>
      <w:r w:rsidR="0031675F" w:rsidRPr="0031675F">
        <w:rPr>
          <w:spacing w:val="-1"/>
        </w:rPr>
        <w:t>alkaline</w:t>
      </w:r>
      <w:r w:rsidR="0031675F" w:rsidRPr="0031675F">
        <w:rPr>
          <w:spacing w:val="15"/>
        </w:rPr>
        <w:t xml:space="preserve"> </w:t>
      </w:r>
      <w:r w:rsidR="0031675F" w:rsidRPr="0031675F">
        <w:t xml:space="preserve">cells </w:t>
      </w:r>
      <w:r w:rsidR="0031675F" w:rsidRPr="0031675F">
        <w:rPr>
          <w:spacing w:val="-1"/>
        </w:rPr>
        <w:t>for</w:t>
      </w:r>
      <w:r w:rsidR="0031675F" w:rsidRPr="0031675F">
        <w:rPr>
          <w:spacing w:val="2"/>
        </w:rPr>
        <w:t xml:space="preserve"> </w:t>
      </w:r>
      <w:r w:rsidR="0031675F" w:rsidRPr="0031675F">
        <w:t xml:space="preserve">a </w:t>
      </w:r>
      <w:r w:rsidR="0031675F" w:rsidRPr="0031675F">
        <w:rPr>
          <w:spacing w:val="-1"/>
        </w:rPr>
        <w:t>total</w:t>
      </w:r>
      <w:r w:rsidR="0031675F" w:rsidRPr="0031675F">
        <w:t xml:space="preserve"> </w:t>
      </w:r>
      <w:r w:rsidR="0031675F" w:rsidRPr="0031675F">
        <w:rPr>
          <w:spacing w:val="-1"/>
        </w:rPr>
        <w:t>capacity</w:t>
      </w:r>
      <w:r w:rsidR="0031675F" w:rsidRPr="0031675F">
        <w:t xml:space="preserve"> of </w:t>
      </w:r>
      <w:r w:rsidR="0031675F" w:rsidRPr="0031675F">
        <w:rPr>
          <w:spacing w:val="-1"/>
        </w:rPr>
        <w:t>approximately</w:t>
      </w:r>
      <w:r w:rsidR="0031675F" w:rsidRPr="0031675F">
        <w:t xml:space="preserve"> </w:t>
      </w:r>
      <w:r w:rsidR="0031675F" w:rsidRPr="0031675F">
        <w:rPr>
          <w:spacing w:val="-1"/>
        </w:rPr>
        <w:t>1000</w:t>
      </w:r>
      <w:r w:rsidR="0031675F" w:rsidRPr="0031675F">
        <w:t xml:space="preserve"> mA-hrs, or</w:t>
      </w:r>
      <w:r w:rsidR="0031675F" w:rsidRPr="0031675F">
        <w:rPr>
          <w:spacing w:val="-3"/>
        </w:rPr>
        <w:t xml:space="preserve"> </w:t>
      </w:r>
      <w:r w:rsidR="0031675F" w:rsidRPr="0031675F">
        <w:t>for</w:t>
      </w:r>
      <w:r w:rsidR="0031675F" w:rsidRPr="0031675F">
        <w:rPr>
          <w:spacing w:val="2"/>
        </w:rPr>
        <w:t xml:space="preserve"> </w:t>
      </w:r>
      <w:r w:rsidR="0031675F" w:rsidRPr="0031675F">
        <w:rPr>
          <w:spacing w:val="-1"/>
        </w:rPr>
        <w:t>longer</w:t>
      </w:r>
      <w:r w:rsidR="0031675F" w:rsidRPr="0031675F">
        <w:rPr>
          <w:spacing w:val="3"/>
        </w:rPr>
        <w:t xml:space="preserve"> </w:t>
      </w:r>
      <w:r w:rsidR="0031675F" w:rsidRPr="0031675F">
        <w:rPr>
          <w:spacing w:val="-1"/>
        </w:rPr>
        <w:t>deployments,</w:t>
      </w:r>
      <w:r w:rsidR="0031675F" w:rsidRPr="0031675F">
        <w:t xml:space="preserve"> </w:t>
      </w:r>
      <w:r w:rsidR="0031675F" w:rsidRPr="0031675F">
        <w:rPr>
          <w:spacing w:val="-1"/>
        </w:rPr>
        <w:t>LiMnO more</w:t>
      </w:r>
      <w:r w:rsidR="0031675F" w:rsidRPr="0031675F">
        <w:rPr>
          <w:spacing w:val="8"/>
        </w:rPr>
        <w:t xml:space="preserve"> </w:t>
      </w:r>
      <w:r w:rsidR="0031675F" w:rsidRPr="0031675F">
        <w:rPr>
          <w:spacing w:val="-1"/>
        </w:rPr>
        <w:t>than</w:t>
      </w:r>
      <w:r w:rsidR="0031675F" w:rsidRPr="0031675F">
        <w:rPr>
          <w:spacing w:val="9"/>
        </w:rPr>
        <w:t xml:space="preserve"> </w:t>
      </w:r>
      <w:r w:rsidR="0031675F" w:rsidRPr="0031675F">
        <w:rPr>
          <w:spacing w:val="-1"/>
        </w:rPr>
        <w:t>2000</w:t>
      </w:r>
      <w:r w:rsidR="0031675F" w:rsidRPr="0031675F">
        <w:rPr>
          <w:spacing w:val="8"/>
        </w:rPr>
        <w:t xml:space="preserve"> </w:t>
      </w:r>
      <w:r w:rsidR="0031675F" w:rsidRPr="0031675F">
        <w:rPr>
          <w:spacing w:val="-1"/>
        </w:rPr>
        <w:t>mA-hrs</w:t>
      </w:r>
      <w:r w:rsidR="0031675F" w:rsidRPr="0031675F">
        <w:rPr>
          <w:spacing w:val="7"/>
        </w:rPr>
        <w:t xml:space="preserve"> </w:t>
      </w:r>
      <w:r w:rsidR="0031675F" w:rsidRPr="0031675F">
        <w:t>of</w:t>
      </w:r>
      <w:r w:rsidR="0031675F" w:rsidRPr="0031675F">
        <w:rPr>
          <w:spacing w:val="8"/>
        </w:rPr>
        <w:t xml:space="preserve"> </w:t>
      </w:r>
      <w:r w:rsidR="0031675F" w:rsidRPr="0031675F">
        <w:rPr>
          <w:spacing w:val="-1"/>
        </w:rPr>
        <w:t>operational</w:t>
      </w:r>
      <w:r w:rsidR="0031675F" w:rsidRPr="0031675F">
        <w:rPr>
          <w:spacing w:val="7"/>
        </w:rPr>
        <w:t xml:space="preserve"> </w:t>
      </w:r>
      <w:r w:rsidR="0031675F" w:rsidRPr="0031675F">
        <w:rPr>
          <w:spacing w:val="-1"/>
        </w:rPr>
        <w:t>capacity.</w:t>
      </w:r>
      <w:r w:rsidR="0031675F" w:rsidRPr="0031675F">
        <w:rPr>
          <w:spacing w:val="9"/>
        </w:rPr>
        <w:t xml:space="preserve"> </w:t>
      </w:r>
      <w:r w:rsidR="0031675F" w:rsidRPr="0031675F">
        <w:rPr>
          <w:spacing w:val="-1"/>
        </w:rPr>
        <w:t>Actual</w:t>
      </w:r>
      <w:r w:rsidR="0031675F" w:rsidRPr="0031675F">
        <w:rPr>
          <w:spacing w:val="9"/>
        </w:rPr>
        <w:t xml:space="preserve"> </w:t>
      </w:r>
      <w:r w:rsidR="0031675F" w:rsidRPr="0031675F">
        <w:rPr>
          <w:spacing w:val="-1"/>
        </w:rPr>
        <w:t>total</w:t>
      </w:r>
      <w:r w:rsidR="0031675F" w:rsidRPr="0031675F">
        <w:rPr>
          <w:spacing w:val="10"/>
        </w:rPr>
        <w:t xml:space="preserve"> </w:t>
      </w:r>
      <w:r w:rsidR="0031675F" w:rsidRPr="0031675F">
        <w:rPr>
          <w:spacing w:val="-2"/>
        </w:rPr>
        <w:t>usage</w:t>
      </w:r>
      <w:r w:rsidR="0031675F" w:rsidRPr="0031675F">
        <w:rPr>
          <w:spacing w:val="10"/>
        </w:rPr>
        <w:t xml:space="preserve"> </w:t>
      </w:r>
      <w:r w:rsidR="0031675F" w:rsidRPr="0031675F">
        <w:rPr>
          <w:spacing w:val="-1"/>
        </w:rPr>
        <w:t>time</w:t>
      </w:r>
      <w:r w:rsidR="0031675F" w:rsidRPr="0031675F">
        <w:rPr>
          <w:spacing w:val="5"/>
        </w:rPr>
        <w:t xml:space="preserve"> </w:t>
      </w:r>
      <w:r w:rsidR="0031675F" w:rsidRPr="0031675F">
        <w:t>of</w:t>
      </w:r>
      <w:r w:rsidR="0031675F" w:rsidRPr="0031675F">
        <w:rPr>
          <w:spacing w:val="9"/>
        </w:rPr>
        <w:t xml:space="preserve"> </w:t>
      </w:r>
      <w:r w:rsidR="0031675F" w:rsidRPr="0031675F">
        <w:rPr>
          <w:spacing w:val="-1"/>
        </w:rPr>
        <w:t>the</w:t>
      </w:r>
      <w:r w:rsidR="0031675F" w:rsidRPr="0031675F">
        <w:rPr>
          <w:spacing w:val="10"/>
        </w:rPr>
        <w:t xml:space="preserve"> </w:t>
      </w:r>
      <w:r w:rsidR="0031675F" w:rsidRPr="0031675F">
        <w:rPr>
          <w:spacing w:val="-1"/>
        </w:rPr>
        <w:t>internal</w:t>
      </w:r>
      <w:r w:rsidR="0031675F" w:rsidRPr="0031675F">
        <w:rPr>
          <w:spacing w:val="9"/>
        </w:rPr>
        <w:t xml:space="preserve"> </w:t>
      </w:r>
      <w:r w:rsidR="0031675F" w:rsidRPr="0031675F">
        <w:rPr>
          <w:spacing w:val="-1"/>
        </w:rPr>
        <w:t>batteries</w:t>
      </w:r>
      <w:r w:rsidR="0031675F" w:rsidRPr="0031675F">
        <w:rPr>
          <w:spacing w:val="8"/>
        </w:rPr>
        <w:t xml:space="preserve"> </w:t>
      </w:r>
      <w:r w:rsidR="0031675F" w:rsidRPr="0031675F">
        <w:t>is</w:t>
      </w:r>
      <w:r w:rsidR="0031675F" w:rsidRPr="0031675F">
        <w:rPr>
          <w:spacing w:val="9"/>
        </w:rPr>
        <w:t xml:space="preserve"> </w:t>
      </w:r>
      <w:r w:rsidR="0031675F" w:rsidRPr="0031675F">
        <w:t>a</w:t>
      </w:r>
      <w:r w:rsidR="0031675F" w:rsidRPr="0031675F">
        <w:rPr>
          <w:spacing w:val="85"/>
        </w:rPr>
        <w:t xml:space="preserve"> </w:t>
      </w:r>
      <w:r w:rsidR="0031675F" w:rsidRPr="0031675F">
        <w:rPr>
          <w:spacing w:val="-1"/>
        </w:rPr>
        <w:t>function</w:t>
      </w:r>
      <w:r w:rsidR="0031675F" w:rsidRPr="0031675F">
        <w:rPr>
          <w:spacing w:val="9"/>
        </w:rPr>
        <w:t xml:space="preserve"> </w:t>
      </w:r>
      <w:r w:rsidR="0031675F" w:rsidRPr="0031675F">
        <w:t>of</w:t>
      </w:r>
      <w:r w:rsidR="0031675F" w:rsidRPr="0031675F">
        <w:rPr>
          <w:spacing w:val="9"/>
        </w:rPr>
        <w:t xml:space="preserve"> </w:t>
      </w:r>
      <w:r w:rsidR="0031675F" w:rsidRPr="0031675F">
        <w:rPr>
          <w:spacing w:val="-1"/>
        </w:rPr>
        <w:t>several</w:t>
      </w:r>
      <w:r w:rsidR="0031675F" w:rsidRPr="0031675F">
        <w:rPr>
          <w:spacing w:val="9"/>
        </w:rPr>
        <w:t xml:space="preserve"> </w:t>
      </w:r>
      <w:r w:rsidR="0031675F" w:rsidRPr="0031675F">
        <w:rPr>
          <w:spacing w:val="-1"/>
        </w:rPr>
        <w:t>parameters.</w:t>
      </w:r>
      <w:r w:rsidR="0031675F" w:rsidRPr="0031675F">
        <w:rPr>
          <w:spacing w:val="9"/>
        </w:rPr>
        <w:t xml:space="preserve"> </w:t>
      </w:r>
      <w:r w:rsidR="0031675F" w:rsidRPr="0031675F">
        <w:rPr>
          <w:spacing w:val="-2"/>
        </w:rPr>
        <w:t>These</w:t>
      </w:r>
      <w:r w:rsidR="0031675F" w:rsidRPr="0031675F">
        <w:rPr>
          <w:spacing w:val="10"/>
        </w:rPr>
        <w:t xml:space="preserve"> </w:t>
      </w:r>
      <w:r w:rsidR="0031675F" w:rsidRPr="0031675F">
        <w:rPr>
          <w:spacing w:val="-1"/>
        </w:rPr>
        <w:t>include</w:t>
      </w:r>
      <w:r w:rsidR="0031675F" w:rsidRPr="0031675F">
        <w:rPr>
          <w:spacing w:val="10"/>
        </w:rPr>
        <w:t xml:space="preserve"> </w:t>
      </w:r>
      <w:r w:rsidR="0031675F" w:rsidRPr="0031675F">
        <w:rPr>
          <w:spacing w:val="-1"/>
        </w:rPr>
        <w:t>nominal</w:t>
      </w:r>
      <w:r w:rsidR="0031675F" w:rsidRPr="0031675F">
        <w:rPr>
          <w:spacing w:val="9"/>
        </w:rPr>
        <w:t xml:space="preserve"> </w:t>
      </w:r>
      <w:r w:rsidR="0031675F" w:rsidRPr="0031675F">
        <w:t>water</w:t>
      </w:r>
      <w:r w:rsidR="0031675F" w:rsidRPr="0031675F">
        <w:rPr>
          <w:spacing w:val="10"/>
        </w:rPr>
        <w:t xml:space="preserve"> </w:t>
      </w:r>
      <w:r w:rsidR="0031675F" w:rsidRPr="0031675F">
        <w:rPr>
          <w:spacing w:val="-1"/>
        </w:rPr>
        <w:t>temperature,</w:t>
      </w:r>
      <w:r w:rsidR="0031675F" w:rsidRPr="0031675F">
        <w:rPr>
          <w:spacing w:val="10"/>
        </w:rPr>
        <w:t xml:space="preserve"> </w:t>
      </w:r>
      <w:r w:rsidR="0031675F" w:rsidRPr="0031675F">
        <w:rPr>
          <w:spacing w:val="-1"/>
        </w:rPr>
        <w:t>sequence</w:t>
      </w:r>
      <w:r w:rsidR="0031675F" w:rsidRPr="0031675F">
        <w:rPr>
          <w:spacing w:val="9"/>
        </w:rPr>
        <w:t xml:space="preserve"> </w:t>
      </w:r>
      <w:r w:rsidR="0031675F" w:rsidRPr="0031675F">
        <w:rPr>
          <w:spacing w:val="-1"/>
        </w:rPr>
        <w:t>timing,</w:t>
      </w:r>
      <w:r w:rsidR="0031675F" w:rsidRPr="0031675F">
        <w:rPr>
          <w:spacing w:val="10"/>
        </w:rPr>
        <w:t xml:space="preserve"> </w:t>
      </w:r>
      <w:r w:rsidR="0031675F" w:rsidRPr="0031675F">
        <w:rPr>
          <w:spacing w:val="-1"/>
        </w:rPr>
        <w:t>sample</w:t>
      </w:r>
      <w:r w:rsidR="0031675F" w:rsidRPr="0031675F">
        <w:rPr>
          <w:spacing w:val="65"/>
        </w:rPr>
        <w:t xml:space="preserve"> </w:t>
      </w:r>
      <w:r w:rsidR="0031675F" w:rsidRPr="0031675F">
        <w:rPr>
          <w:spacing w:val="-1"/>
        </w:rPr>
        <w:t>periods,</w:t>
      </w:r>
      <w:r w:rsidR="0031675F" w:rsidRPr="0031675F">
        <w:t xml:space="preserve"> and</w:t>
      </w:r>
      <w:r w:rsidR="0031675F" w:rsidRPr="0031675F">
        <w:rPr>
          <w:spacing w:val="-4"/>
        </w:rPr>
        <w:t xml:space="preserve"> </w:t>
      </w:r>
      <w:r w:rsidR="0031675F" w:rsidRPr="0031675F">
        <w:rPr>
          <w:spacing w:val="-1"/>
        </w:rPr>
        <w:t>total</w:t>
      </w:r>
      <w:r w:rsidR="0031675F" w:rsidRPr="0031675F">
        <w:t xml:space="preserve"> </w:t>
      </w:r>
      <w:r w:rsidR="0031675F" w:rsidRPr="0031675F">
        <w:rPr>
          <w:spacing w:val="-1"/>
        </w:rPr>
        <w:t>deployment duration.</w:t>
      </w:r>
    </w:p>
    <w:p w14:paraId="6E654D04" w14:textId="77777777" w:rsidR="0031675F" w:rsidRPr="0031675F" w:rsidRDefault="0031675F" w:rsidP="0031675F">
      <w:pPr>
        <w:widowControl w:val="0"/>
        <w:numPr>
          <w:ilvl w:val="1"/>
          <w:numId w:val="69"/>
        </w:numPr>
        <w:tabs>
          <w:tab w:val="left" w:pos="604"/>
        </w:tabs>
        <w:spacing w:before="120" w:after="0" w:line="240" w:lineRule="auto"/>
        <w:ind w:right="116" w:firstLine="0"/>
        <w:jc w:val="both"/>
        <w:rPr>
          <w:rFonts w:cs="Calibri"/>
        </w:rPr>
      </w:pPr>
      <w:r w:rsidRPr="0031675F">
        <w:rPr>
          <w:spacing w:val="-1"/>
        </w:rPr>
        <w:t>For</w:t>
      </w:r>
      <w:r w:rsidRPr="0031675F">
        <w:rPr>
          <w:spacing w:val="13"/>
        </w:rPr>
        <w:t xml:space="preserve"> </w:t>
      </w:r>
      <w:r w:rsidRPr="0031675F">
        <w:rPr>
          <w:spacing w:val="-1"/>
        </w:rPr>
        <w:t>aut</w:t>
      </w:r>
      <w:r w:rsidRPr="0031675F">
        <w:rPr>
          <w:rFonts w:cs="Calibri"/>
          <w:spacing w:val="-1"/>
        </w:rPr>
        <w:t>onomous</w:t>
      </w:r>
      <w:r w:rsidRPr="0031675F">
        <w:rPr>
          <w:rFonts w:cs="Calibri"/>
          <w:spacing w:val="10"/>
        </w:rPr>
        <w:t xml:space="preserve"> </w:t>
      </w:r>
      <w:r w:rsidRPr="0031675F">
        <w:rPr>
          <w:rFonts w:cs="Calibri"/>
          <w:spacing w:val="-1"/>
        </w:rPr>
        <w:t>operation,</w:t>
      </w:r>
      <w:r w:rsidRPr="0031675F">
        <w:rPr>
          <w:rFonts w:cs="Calibri"/>
          <w:spacing w:val="10"/>
        </w:rPr>
        <w:t xml:space="preserve"> </w:t>
      </w:r>
      <w:r w:rsidRPr="0031675F">
        <w:rPr>
          <w:rFonts w:cs="Calibri"/>
        </w:rPr>
        <w:t>the</w:t>
      </w:r>
      <w:r w:rsidRPr="0031675F">
        <w:rPr>
          <w:rFonts w:cs="Calibri"/>
          <w:spacing w:val="10"/>
        </w:rPr>
        <w:t xml:space="preserve"> </w:t>
      </w:r>
      <w:r w:rsidRPr="0031675F">
        <w:rPr>
          <w:rFonts w:cs="Calibri"/>
          <w:spacing w:val="-1"/>
        </w:rPr>
        <w:t>“power</w:t>
      </w:r>
      <w:r w:rsidRPr="0031675F">
        <w:rPr>
          <w:rFonts w:cs="Calibri"/>
          <w:spacing w:val="13"/>
        </w:rPr>
        <w:t xml:space="preserve"> </w:t>
      </w:r>
      <w:r w:rsidRPr="0031675F">
        <w:rPr>
          <w:rFonts w:cs="Calibri"/>
          <w:spacing w:val="-2"/>
        </w:rPr>
        <w:t>plug”</w:t>
      </w:r>
      <w:r w:rsidRPr="0031675F">
        <w:rPr>
          <w:rFonts w:cs="Calibri"/>
          <w:spacing w:val="11"/>
        </w:rPr>
        <w:t xml:space="preserve"> </w:t>
      </w:r>
      <w:r w:rsidRPr="0031675F">
        <w:rPr>
          <w:rFonts w:cs="Calibri"/>
          <w:spacing w:val="-1"/>
        </w:rPr>
        <w:t>must</w:t>
      </w:r>
      <w:r w:rsidRPr="0031675F">
        <w:rPr>
          <w:rFonts w:cs="Calibri"/>
          <w:spacing w:val="11"/>
        </w:rPr>
        <w:t xml:space="preserve"> </w:t>
      </w:r>
      <w:r w:rsidRPr="0031675F">
        <w:rPr>
          <w:rFonts w:cs="Calibri"/>
          <w:spacing w:val="-1"/>
        </w:rPr>
        <w:t>be</w:t>
      </w:r>
      <w:r w:rsidRPr="0031675F">
        <w:rPr>
          <w:rFonts w:cs="Calibri"/>
          <w:spacing w:val="13"/>
        </w:rPr>
        <w:t xml:space="preserve"> </w:t>
      </w:r>
      <w:r w:rsidRPr="0031675F">
        <w:rPr>
          <w:rFonts w:cs="Calibri"/>
          <w:spacing w:val="-1"/>
        </w:rPr>
        <w:t>connected</w:t>
      </w:r>
      <w:r w:rsidRPr="0031675F">
        <w:rPr>
          <w:rFonts w:cs="Calibri"/>
          <w:spacing w:val="10"/>
        </w:rPr>
        <w:t xml:space="preserve"> </w:t>
      </w:r>
      <w:r w:rsidRPr="0031675F">
        <w:rPr>
          <w:rFonts w:cs="Calibri"/>
        </w:rPr>
        <w:t>to</w:t>
      </w:r>
      <w:r w:rsidRPr="0031675F">
        <w:rPr>
          <w:rFonts w:cs="Calibri"/>
          <w:spacing w:val="12"/>
        </w:rPr>
        <w:t xml:space="preserve"> </w:t>
      </w:r>
      <w:r w:rsidRPr="0031675F">
        <w:rPr>
          <w:rFonts w:cs="Calibri"/>
        </w:rPr>
        <w:t>the</w:t>
      </w:r>
      <w:r w:rsidRPr="0031675F">
        <w:rPr>
          <w:rFonts w:cs="Calibri"/>
          <w:spacing w:val="10"/>
        </w:rPr>
        <w:t xml:space="preserve"> </w:t>
      </w:r>
      <w:r w:rsidRPr="0031675F">
        <w:rPr>
          <w:rFonts w:cs="Calibri"/>
        </w:rPr>
        <w:t>3</w:t>
      </w:r>
      <w:r w:rsidRPr="0031675F">
        <w:rPr>
          <w:rFonts w:cs="Calibri"/>
          <w:spacing w:val="13"/>
        </w:rPr>
        <w:t xml:space="preserve"> </w:t>
      </w:r>
      <w:r w:rsidRPr="0031675F">
        <w:rPr>
          <w:rFonts w:cs="Calibri"/>
          <w:spacing w:val="-1"/>
        </w:rPr>
        <w:t>pin</w:t>
      </w:r>
      <w:r w:rsidRPr="0031675F">
        <w:rPr>
          <w:rFonts w:cs="Calibri"/>
          <w:spacing w:val="12"/>
        </w:rPr>
        <w:t xml:space="preserve"> </w:t>
      </w:r>
      <w:r w:rsidRPr="0031675F">
        <w:rPr>
          <w:rFonts w:cs="Calibri"/>
          <w:spacing w:val="-1"/>
        </w:rPr>
        <w:t>bulkhead</w:t>
      </w:r>
      <w:r w:rsidRPr="0031675F">
        <w:rPr>
          <w:rFonts w:cs="Calibri"/>
          <w:spacing w:val="57"/>
        </w:rPr>
        <w:t xml:space="preserve"> </w:t>
      </w:r>
      <w:r w:rsidRPr="0031675F">
        <w:rPr>
          <w:rFonts w:cs="Calibri"/>
          <w:spacing w:val="-1"/>
        </w:rPr>
        <w:t>connector.</w:t>
      </w:r>
      <w:r w:rsidRPr="0031675F">
        <w:rPr>
          <w:rFonts w:cs="Calibri"/>
          <w:spacing w:val="-3"/>
        </w:rPr>
        <w:t xml:space="preserve"> </w:t>
      </w:r>
      <w:r w:rsidRPr="0031675F">
        <w:rPr>
          <w:rFonts w:cs="Calibri"/>
        </w:rPr>
        <w:t xml:space="preserve">This </w:t>
      </w:r>
      <w:r w:rsidRPr="0031675F">
        <w:rPr>
          <w:rFonts w:cs="Calibri"/>
          <w:spacing w:val="-1"/>
        </w:rPr>
        <w:t>“jumper”</w:t>
      </w:r>
      <w:r w:rsidRPr="0031675F">
        <w:rPr>
          <w:rFonts w:cs="Calibri"/>
          <w:spacing w:val="1"/>
        </w:rPr>
        <w:t xml:space="preserve"> </w:t>
      </w:r>
      <w:r w:rsidRPr="0031675F">
        <w:rPr>
          <w:rFonts w:cs="Calibri"/>
          <w:spacing w:val="-1"/>
        </w:rPr>
        <w:t>shorts</w:t>
      </w:r>
      <w:r w:rsidRPr="0031675F">
        <w:rPr>
          <w:rFonts w:cs="Calibri"/>
        </w:rPr>
        <w:t xml:space="preserve"> </w:t>
      </w:r>
      <w:r w:rsidRPr="0031675F">
        <w:rPr>
          <w:rFonts w:cs="Calibri"/>
          <w:spacing w:val="-1"/>
        </w:rPr>
        <w:t>pins</w:t>
      </w:r>
      <w:r w:rsidRPr="0031675F">
        <w:rPr>
          <w:rFonts w:cs="Calibri"/>
          <w:spacing w:val="-2"/>
        </w:rPr>
        <w:t xml:space="preserve"> </w:t>
      </w:r>
      <w:r w:rsidRPr="0031675F">
        <w:rPr>
          <w:rFonts w:cs="Calibri"/>
        </w:rPr>
        <w:t>1 and</w:t>
      </w:r>
      <w:r w:rsidRPr="0031675F">
        <w:rPr>
          <w:rFonts w:cs="Calibri"/>
          <w:spacing w:val="-3"/>
        </w:rPr>
        <w:t xml:space="preserve"> </w:t>
      </w:r>
      <w:r w:rsidRPr="0031675F">
        <w:rPr>
          <w:rFonts w:cs="Calibri"/>
        </w:rPr>
        <w:t xml:space="preserve">3, </w:t>
      </w:r>
      <w:r w:rsidRPr="0031675F">
        <w:rPr>
          <w:rFonts w:cs="Calibri"/>
          <w:spacing w:val="-1"/>
        </w:rPr>
        <w:t>connecting the</w:t>
      </w:r>
      <w:r w:rsidRPr="0031675F">
        <w:rPr>
          <w:rFonts w:cs="Calibri"/>
        </w:rPr>
        <w:t xml:space="preserve"> </w:t>
      </w:r>
      <w:r w:rsidRPr="0031675F">
        <w:rPr>
          <w:rFonts w:cs="Calibri"/>
          <w:spacing w:val="-1"/>
        </w:rPr>
        <w:t>internal</w:t>
      </w:r>
      <w:r w:rsidRPr="0031675F">
        <w:rPr>
          <w:rFonts w:cs="Calibri"/>
        </w:rPr>
        <w:t xml:space="preserve"> </w:t>
      </w:r>
      <w:r w:rsidRPr="0031675F">
        <w:rPr>
          <w:rFonts w:cs="Calibri"/>
          <w:spacing w:val="-1"/>
        </w:rPr>
        <w:t>battery</w:t>
      </w:r>
      <w:r w:rsidRPr="0031675F">
        <w:rPr>
          <w:rFonts w:cs="Calibri"/>
        </w:rPr>
        <w:t xml:space="preserve"> </w:t>
      </w:r>
      <w:r w:rsidRPr="0031675F">
        <w:rPr>
          <w:rFonts w:cs="Calibri"/>
          <w:spacing w:val="-1"/>
        </w:rPr>
        <w:t>supply</w:t>
      </w:r>
      <w:r w:rsidRPr="0031675F">
        <w:rPr>
          <w:rFonts w:cs="Calibri"/>
        </w:rPr>
        <w:t xml:space="preserve"> </w:t>
      </w:r>
      <w:r w:rsidRPr="0031675F">
        <w:rPr>
          <w:rFonts w:cs="Calibri"/>
          <w:spacing w:val="-1"/>
        </w:rPr>
        <w:t>to</w:t>
      </w:r>
      <w:r w:rsidRPr="0031675F">
        <w:rPr>
          <w:rFonts w:cs="Calibri"/>
          <w:spacing w:val="1"/>
        </w:rPr>
        <w:t xml:space="preserve"> </w:t>
      </w:r>
      <w:r w:rsidRPr="0031675F">
        <w:rPr>
          <w:rFonts w:cs="Calibri"/>
          <w:spacing w:val="-1"/>
        </w:rPr>
        <w:t>the</w:t>
      </w:r>
      <w:r w:rsidRPr="0031675F">
        <w:rPr>
          <w:rFonts w:cs="Calibri"/>
          <w:spacing w:val="-2"/>
        </w:rPr>
        <w:t xml:space="preserve"> </w:t>
      </w:r>
      <w:r w:rsidRPr="0031675F">
        <w:rPr>
          <w:rFonts w:cs="Calibri"/>
          <w:spacing w:val="-1"/>
        </w:rPr>
        <w:t>logger.</w:t>
      </w:r>
    </w:p>
    <w:p w14:paraId="5B71A855" w14:textId="77777777" w:rsidR="0031675F" w:rsidRPr="0031675F" w:rsidRDefault="0031675F" w:rsidP="0031675F">
      <w:pPr>
        <w:spacing w:before="9"/>
        <w:rPr>
          <w:rFonts w:cs="Calibri"/>
          <w:sz w:val="19"/>
          <w:szCs w:val="19"/>
        </w:rPr>
      </w:pPr>
    </w:p>
    <w:p w14:paraId="3253AD55" w14:textId="77777777" w:rsidR="0031675F" w:rsidRPr="0031675F" w:rsidRDefault="0031675F" w:rsidP="0031675F">
      <w:pPr>
        <w:ind w:left="118"/>
        <w:jc w:val="both"/>
        <w:rPr>
          <w:rFonts w:cs="Calibri"/>
        </w:rPr>
      </w:pPr>
      <w:r w:rsidRPr="0031675F">
        <w:rPr>
          <w:b/>
          <w:i/>
          <w:spacing w:val="-1"/>
        </w:rPr>
        <w:t>Using Internal</w:t>
      </w:r>
      <w:r w:rsidRPr="0031675F">
        <w:rPr>
          <w:b/>
          <w:i/>
          <w:spacing w:val="-2"/>
        </w:rPr>
        <w:t xml:space="preserve"> </w:t>
      </w:r>
      <w:r w:rsidRPr="0031675F">
        <w:rPr>
          <w:b/>
          <w:i/>
          <w:spacing w:val="-1"/>
        </w:rPr>
        <w:t>Batteries</w:t>
      </w:r>
    </w:p>
    <w:p w14:paraId="4F2D514C" w14:textId="77777777" w:rsidR="0031675F" w:rsidRPr="0031675F" w:rsidRDefault="0031675F" w:rsidP="0031675F">
      <w:pPr>
        <w:spacing w:before="120" w:after="120"/>
        <w:ind w:right="110"/>
        <w:jc w:val="both"/>
      </w:pPr>
      <w:r w:rsidRPr="0031675F">
        <w:rPr>
          <w:spacing w:val="-1"/>
        </w:rPr>
        <w:t>ECO</w:t>
      </w:r>
      <w:r w:rsidRPr="0031675F">
        <w:t xml:space="preserve"> </w:t>
      </w:r>
      <w:r w:rsidRPr="0031675F">
        <w:rPr>
          <w:spacing w:val="-1"/>
        </w:rPr>
        <w:t>sensors</w:t>
      </w:r>
      <w:r w:rsidRPr="0031675F">
        <w:t xml:space="preserve"> </w:t>
      </w:r>
      <w:r w:rsidRPr="0031675F">
        <w:rPr>
          <w:spacing w:val="-1"/>
        </w:rPr>
        <w:t>powered with</w:t>
      </w:r>
      <w:r w:rsidRPr="0031675F">
        <w:t xml:space="preserve"> </w:t>
      </w:r>
      <w:r w:rsidRPr="0031675F">
        <w:rPr>
          <w:spacing w:val="-1"/>
        </w:rPr>
        <w:t>internal</w:t>
      </w:r>
      <w:r w:rsidRPr="0031675F">
        <w:t xml:space="preserve"> </w:t>
      </w:r>
      <w:r w:rsidRPr="0031675F">
        <w:rPr>
          <w:spacing w:val="-1"/>
        </w:rPr>
        <w:t>batteries</w:t>
      </w:r>
      <w:r w:rsidRPr="0031675F">
        <w:t xml:space="preserve"> can</w:t>
      </w:r>
      <w:r w:rsidRPr="0031675F">
        <w:rPr>
          <w:spacing w:val="-1"/>
        </w:rPr>
        <w:t xml:space="preserve"> either</w:t>
      </w:r>
      <w:r w:rsidRPr="0031675F">
        <w:rPr>
          <w:spacing w:val="3"/>
        </w:rPr>
        <w:t xml:space="preserve"> </w:t>
      </w:r>
      <w:r w:rsidRPr="0031675F">
        <w:rPr>
          <w:spacing w:val="-1"/>
        </w:rPr>
        <w:t>run directly</w:t>
      </w:r>
      <w:r w:rsidRPr="0031675F">
        <w:t xml:space="preserve"> </w:t>
      </w:r>
      <w:r w:rsidRPr="0031675F">
        <w:rPr>
          <w:spacing w:val="-1"/>
        </w:rPr>
        <w:t>from</w:t>
      </w:r>
      <w:r w:rsidRPr="0031675F">
        <w:rPr>
          <w:spacing w:val="1"/>
        </w:rPr>
        <w:t xml:space="preserve"> </w:t>
      </w:r>
      <w:r w:rsidRPr="0031675F">
        <w:rPr>
          <w:spacing w:val="-1"/>
        </w:rPr>
        <w:t>the</w:t>
      </w:r>
      <w:r w:rsidRPr="0031675F">
        <w:t xml:space="preserve"> </w:t>
      </w:r>
      <w:r w:rsidRPr="0031675F">
        <w:rPr>
          <w:spacing w:val="-1"/>
        </w:rPr>
        <w:t>internal</w:t>
      </w:r>
      <w:r w:rsidRPr="0031675F">
        <w:t xml:space="preserve"> </w:t>
      </w:r>
      <w:r w:rsidRPr="0031675F">
        <w:rPr>
          <w:spacing w:val="-1"/>
        </w:rPr>
        <w:t>batteries</w:t>
      </w:r>
      <w:r w:rsidRPr="0031675F">
        <w:rPr>
          <w:spacing w:val="-2"/>
        </w:rPr>
        <w:t xml:space="preserve"> </w:t>
      </w:r>
      <w:r w:rsidRPr="0031675F">
        <w:t>or can</w:t>
      </w:r>
      <w:r w:rsidRPr="0031675F">
        <w:rPr>
          <w:spacing w:val="87"/>
        </w:rPr>
        <w:t xml:space="preserve"> </w:t>
      </w:r>
      <w:r w:rsidRPr="0031675F">
        <w:rPr>
          <w:spacing w:val="-1"/>
        </w:rPr>
        <w:t>operate</w:t>
      </w:r>
      <w:r w:rsidRPr="0031675F">
        <w:rPr>
          <w:spacing w:val="45"/>
        </w:rPr>
        <w:t xml:space="preserve"> </w:t>
      </w:r>
      <w:r w:rsidRPr="0031675F">
        <w:rPr>
          <w:spacing w:val="-1"/>
        </w:rPr>
        <w:t>from</w:t>
      </w:r>
      <w:r w:rsidRPr="0031675F">
        <w:rPr>
          <w:spacing w:val="47"/>
        </w:rPr>
        <w:t xml:space="preserve"> </w:t>
      </w:r>
      <w:r w:rsidRPr="0031675F">
        <w:rPr>
          <w:spacing w:val="-1"/>
        </w:rPr>
        <w:t>power</w:t>
      </w:r>
      <w:r w:rsidRPr="0031675F">
        <w:rPr>
          <w:spacing w:val="46"/>
        </w:rPr>
        <w:t xml:space="preserve"> </w:t>
      </w:r>
      <w:r w:rsidRPr="0031675F">
        <w:rPr>
          <w:spacing w:val="-1"/>
        </w:rPr>
        <w:t>supplied</w:t>
      </w:r>
      <w:r w:rsidRPr="0031675F">
        <w:rPr>
          <w:spacing w:val="45"/>
        </w:rPr>
        <w:t xml:space="preserve"> </w:t>
      </w:r>
      <w:r w:rsidRPr="0031675F">
        <w:rPr>
          <w:spacing w:val="-1"/>
        </w:rPr>
        <w:t>by</w:t>
      </w:r>
      <w:r w:rsidRPr="0031675F">
        <w:rPr>
          <w:spacing w:val="47"/>
        </w:rPr>
        <w:t xml:space="preserve"> </w:t>
      </w:r>
      <w:r w:rsidRPr="0031675F">
        <w:t>an</w:t>
      </w:r>
      <w:r w:rsidRPr="0031675F">
        <w:rPr>
          <w:spacing w:val="45"/>
        </w:rPr>
        <w:t xml:space="preserve"> </w:t>
      </w:r>
      <w:r w:rsidRPr="0031675F">
        <w:rPr>
          <w:spacing w:val="-1"/>
        </w:rPr>
        <w:t>external</w:t>
      </w:r>
      <w:r w:rsidRPr="0031675F">
        <w:rPr>
          <w:spacing w:val="45"/>
        </w:rPr>
        <w:t xml:space="preserve"> </w:t>
      </w:r>
      <w:r w:rsidRPr="0031675F">
        <w:t>DC</w:t>
      </w:r>
      <w:r w:rsidRPr="0031675F">
        <w:rPr>
          <w:spacing w:val="45"/>
        </w:rPr>
        <w:t xml:space="preserve"> </w:t>
      </w:r>
      <w:r w:rsidRPr="0031675F">
        <w:rPr>
          <w:spacing w:val="-1"/>
        </w:rPr>
        <w:t>power</w:t>
      </w:r>
      <w:r w:rsidRPr="0031675F">
        <w:rPr>
          <w:spacing w:val="46"/>
        </w:rPr>
        <w:t xml:space="preserve"> </w:t>
      </w:r>
      <w:r w:rsidRPr="0031675F">
        <w:rPr>
          <w:spacing w:val="-1"/>
        </w:rPr>
        <w:t>supply</w:t>
      </w:r>
      <w:r w:rsidRPr="0031675F">
        <w:rPr>
          <w:spacing w:val="46"/>
        </w:rPr>
        <w:t xml:space="preserve"> </w:t>
      </w:r>
      <w:r w:rsidRPr="0031675F">
        <w:t>(7</w:t>
      </w:r>
      <w:r w:rsidRPr="0031675F">
        <w:rPr>
          <w:rFonts w:cs="Calibri"/>
        </w:rPr>
        <w:t>–</w:t>
      </w:r>
      <w:r w:rsidRPr="0031675F">
        <w:t>15</w:t>
      </w:r>
      <w:r w:rsidRPr="0031675F">
        <w:rPr>
          <w:spacing w:val="46"/>
        </w:rPr>
        <w:t xml:space="preserve"> </w:t>
      </w:r>
      <w:r w:rsidRPr="0031675F">
        <w:rPr>
          <w:spacing w:val="-1"/>
        </w:rPr>
        <w:t>volts).</w:t>
      </w:r>
      <w:r w:rsidRPr="0031675F">
        <w:rPr>
          <w:spacing w:val="43"/>
        </w:rPr>
        <w:t xml:space="preserve"> </w:t>
      </w:r>
      <w:r w:rsidRPr="0031675F">
        <w:rPr>
          <w:spacing w:val="-1"/>
        </w:rPr>
        <w:t>Internal-to</w:t>
      </w:r>
      <w:r w:rsidRPr="0031675F">
        <w:rPr>
          <w:spacing w:val="47"/>
        </w:rPr>
        <w:t xml:space="preserve"> </w:t>
      </w:r>
      <w:r w:rsidRPr="0031675F">
        <w:rPr>
          <w:spacing w:val="-1"/>
        </w:rPr>
        <w:t>external</w:t>
      </w:r>
      <w:r w:rsidRPr="0031675F">
        <w:rPr>
          <w:spacing w:val="69"/>
        </w:rPr>
        <w:t xml:space="preserve"> </w:t>
      </w:r>
      <w:r w:rsidRPr="0031675F">
        <w:rPr>
          <w:rFonts w:cs="Calibri"/>
        </w:rPr>
        <w:t>source</w:t>
      </w:r>
      <w:r w:rsidRPr="0031675F">
        <w:rPr>
          <w:rFonts w:cs="Calibri"/>
          <w:spacing w:val="3"/>
        </w:rPr>
        <w:t xml:space="preserve"> </w:t>
      </w:r>
      <w:r w:rsidRPr="0031675F">
        <w:rPr>
          <w:rFonts w:cs="Calibri"/>
          <w:spacing w:val="-1"/>
        </w:rPr>
        <w:t>conversion</w:t>
      </w:r>
      <w:r w:rsidRPr="0031675F">
        <w:rPr>
          <w:rFonts w:cs="Calibri"/>
          <w:spacing w:val="2"/>
        </w:rPr>
        <w:t xml:space="preserve"> </w:t>
      </w:r>
      <w:r w:rsidRPr="0031675F">
        <w:rPr>
          <w:rFonts w:cs="Calibri"/>
        </w:rPr>
        <w:t>is</w:t>
      </w:r>
      <w:r w:rsidRPr="0031675F">
        <w:rPr>
          <w:rFonts w:cs="Calibri"/>
          <w:spacing w:val="2"/>
        </w:rPr>
        <w:t xml:space="preserve"> </w:t>
      </w:r>
      <w:r w:rsidRPr="0031675F">
        <w:rPr>
          <w:rFonts w:cs="Calibri"/>
          <w:spacing w:val="-1"/>
        </w:rPr>
        <w:t>facilitated</w:t>
      </w:r>
      <w:r w:rsidRPr="0031675F">
        <w:rPr>
          <w:rFonts w:cs="Calibri"/>
          <w:spacing w:val="2"/>
        </w:rPr>
        <w:t xml:space="preserve"> </w:t>
      </w:r>
      <w:r w:rsidRPr="0031675F">
        <w:rPr>
          <w:rFonts w:cs="Calibri"/>
          <w:spacing w:val="-1"/>
        </w:rPr>
        <w:t>by</w:t>
      </w:r>
      <w:r w:rsidRPr="0031675F">
        <w:rPr>
          <w:rFonts w:cs="Calibri"/>
          <w:spacing w:val="3"/>
        </w:rPr>
        <w:t xml:space="preserve"> </w:t>
      </w:r>
      <w:r w:rsidRPr="0031675F">
        <w:rPr>
          <w:rFonts w:cs="Calibri"/>
        </w:rPr>
        <w:t>a</w:t>
      </w:r>
      <w:r w:rsidRPr="0031675F">
        <w:rPr>
          <w:rFonts w:cs="Calibri"/>
          <w:spacing w:val="2"/>
        </w:rPr>
        <w:t xml:space="preserve"> </w:t>
      </w:r>
      <w:r w:rsidRPr="0031675F">
        <w:rPr>
          <w:rFonts w:cs="Calibri"/>
          <w:spacing w:val="-1"/>
        </w:rPr>
        <w:t>jumper</w:t>
      </w:r>
      <w:r w:rsidRPr="0031675F">
        <w:rPr>
          <w:rFonts w:cs="Calibri"/>
          <w:spacing w:val="3"/>
        </w:rPr>
        <w:t xml:space="preserve"> </w:t>
      </w:r>
      <w:r w:rsidRPr="0031675F">
        <w:rPr>
          <w:rFonts w:cs="Calibri"/>
          <w:spacing w:val="-1"/>
        </w:rPr>
        <w:t>plug</w:t>
      </w:r>
      <w:r w:rsidRPr="0031675F">
        <w:rPr>
          <w:rFonts w:cs="Calibri"/>
          <w:spacing w:val="1"/>
        </w:rPr>
        <w:t xml:space="preserve"> </w:t>
      </w:r>
      <w:r w:rsidRPr="0031675F">
        <w:rPr>
          <w:rFonts w:cs="Calibri"/>
        </w:rPr>
        <w:t xml:space="preserve">that </w:t>
      </w:r>
      <w:r w:rsidRPr="0031675F">
        <w:rPr>
          <w:rFonts w:cs="Calibri"/>
          <w:spacing w:val="-1"/>
        </w:rPr>
        <w:t>plugs</w:t>
      </w:r>
      <w:r w:rsidRPr="0031675F">
        <w:rPr>
          <w:rFonts w:cs="Calibri"/>
          <w:spacing w:val="2"/>
        </w:rPr>
        <w:t xml:space="preserve"> </w:t>
      </w:r>
      <w:r w:rsidRPr="0031675F">
        <w:rPr>
          <w:rFonts w:cs="Calibri"/>
          <w:spacing w:val="-1"/>
        </w:rPr>
        <w:t>into</w:t>
      </w:r>
      <w:r w:rsidRPr="0031675F">
        <w:rPr>
          <w:rFonts w:cs="Calibri"/>
          <w:spacing w:val="4"/>
        </w:rPr>
        <w:t xml:space="preserve"> </w:t>
      </w:r>
      <w:r w:rsidRPr="0031675F">
        <w:rPr>
          <w:rFonts w:cs="Calibri"/>
        </w:rPr>
        <w:t>the</w:t>
      </w:r>
      <w:r w:rsidRPr="0031675F">
        <w:rPr>
          <w:rFonts w:cs="Calibri"/>
          <w:spacing w:val="3"/>
        </w:rPr>
        <w:t xml:space="preserve"> </w:t>
      </w:r>
      <w:r w:rsidRPr="0031675F">
        <w:rPr>
          <w:rFonts w:cs="Calibri"/>
          <w:spacing w:val="-1"/>
        </w:rPr>
        <w:t>unit’s</w:t>
      </w:r>
      <w:r w:rsidRPr="0031675F">
        <w:rPr>
          <w:rFonts w:cs="Calibri"/>
          <w:spacing w:val="3"/>
        </w:rPr>
        <w:t xml:space="preserve"> </w:t>
      </w:r>
      <w:r w:rsidRPr="0031675F">
        <w:rPr>
          <w:rFonts w:cs="Calibri"/>
          <w:spacing w:val="-1"/>
        </w:rPr>
        <w:t>bulkhead</w:t>
      </w:r>
      <w:r w:rsidRPr="0031675F">
        <w:rPr>
          <w:rFonts w:cs="Calibri"/>
          <w:spacing w:val="1"/>
        </w:rPr>
        <w:t xml:space="preserve"> </w:t>
      </w:r>
      <w:r w:rsidRPr="0031675F">
        <w:rPr>
          <w:rFonts w:cs="Calibri"/>
          <w:spacing w:val="-1"/>
        </w:rPr>
        <w:t>connector.</w:t>
      </w:r>
      <w:r w:rsidRPr="0031675F">
        <w:rPr>
          <w:rFonts w:cs="Calibri"/>
          <w:spacing w:val="2"/>
        </w:rPr>
        <w:t xml:space="preserve"> </w:t>
      </w:r>
      <w:r w:rsidRPr="0031675F">
        <w:rPr>
          <w:rFonts w:cs="Calibri"/>
          <w:spacing w:val="-1"/>
        </w:rPr>
        <w:t>When</w:t>
      </w:r>
      <w:r w:rsidRPr="0031675F">
        <w:rPr>
          <w:rFonts w:cs="Calibri"/>
          <w:spacing w:val="65"/>
        </w:rPr>
        <w:t xml:space="preserve"> </w:t>
      </w:r>
      <w:r w:rsidRPr="0031675F">
        <w:rPr>
          <w:spacing w:val="-1"/>
        </w:rPr>
        <w:t>inserted,</w:t>
      </w:r>
      <w:r w:rsidRPr="0031675F">
        <w:rPr>
          <w:spacing w:val="4"/>
        </w:rPr>
        <w:t xml:space="preserve"> </w:t>
      </w:r>
      <w:r w:rsidRPr="0031675F">
        <w:rPr>
          <w:spacing w:val="-1"/>
        </w:rPr>
        <w:t>the</w:t>
      </w:r>
      <w:r w:rsidRPr="0031675F">
        <w:rPr>
          <w:spacing w:val="5"/>
        </w:rPr>
        <w:t xml:space="preserve"> </w:t>
      </w:r>
      <w:r w:rsidRPr="0031675F">
        <w:rPr>
          <w:spacing w:val="-1"/>
        </w:rPr>
        <w:t>plug</w:t>
      </w:r>
      <w:r w:rsidRPr="0031675F">
        <w:rPr>
          <w:spacing w:val="4"/>
        </w:rPr>
        <w:t xml:space="preserve"> </w:t>
      </w:r>
      <w:r w:rsidRPr="0031675F">
        <w:rPr>
          <w:spacing w:val="-1"/>
        </w:rPr>
        <w:t>forms</w:t>
      </w:r>
      <w:r w:rsidRPr="0031675F">
        <w:rPr>
          <w:spacing w:val="5"/>
        </w:rPr>
        <w:t xml:space="preserve"> </w:t>
      </w:r>
      <w:r w:rsidRPr="0031675F">
        <w:t>a</w:t>
      </w:r>
      <w:r w:rsidRPr="0031675F">
        <w:rPr>
          <w:spacing w:val="5"/>
        </w:rPr>
        <w:t xml:space="preserve"> </w:t>
      </w:r>
      <w:r w:rsidRPr="0031675F">
        <w:rPr>
          <w:spacing w:val="-1"/>
        </w:rPr>
        <w:t>connection</w:t>
      </w:r>
      <w:r w:rsidRPr="0031675F">
        <w:rPr>
          <w:spacing w:val="4"/>
        </w:rPr>
        <w:t xml:space="preserve"> </w:t>
      </w:r>
      <w:r w:rsidRPr="0031675F">
        <w:rPr>
          <w:spacing w:val="-1"/>
        </w:rPr>
        <w:t>from</w:t>
      </w:r>
      <w:r w:rsidRPr="0031675F">
        <w:rPr>
          <w:spacing w:val="6"/>
        </w:rPr>
        <w:t xml:space="preserve"> </w:t>
      </w:r>
      <w:r w:rsidRPr="0031675F">
        <w:t>the</w:t>
      </w:r>
      <w:r w:rsidRPr="0031675F">
        <w:rPr>
          <w:spacing w:val="5"/>
        </w:rPr>
        <w:t xml:space="preserve"> </w:t>
      </w:r>
      <w:r w:rsidRPr="0031675F">
        <w:rPr>
          <w:spacing w:val="-1"/>
        </w:rPr>
        <w:t>battery</w:t>
      </w:r>
      <w:r w:rsidRPr="0031675F">
        <w:rPr>
          <w:spacing w:val="6"/>
        </w:rPr>
        <w:t xml:space="preserve"> </w:t>
      </w:r>
      <w:r w:rsidRPr="0031675F">
        <w:t>to</w:t>
      </w:r>
      <w:r w:rsidRPr="0031675F">
        <w:rPr>
          <w:spacing w:val="6"/>
        </w:rPr>
        <w:t xml:space="preserve"> </w:t>
      </w:r>
      <w:r w:rsidRPr="0031675F">
        <w:t>the</w:t>
      </w:r>
      <w:r w:rsidRPr="0031675F">
        <w:rPr>
          <w:spacing w:val="5"/>
        </w:rPr>
        <w:t xml:space="preserve"> </w:t>
      </w:r>
      <w:r w:rsidRPr="0031675F">
        <w:rPr>
          <w:spacing w:val="-1"/>
        </w:rPr>
        <w:t>electronics</w:t>
      </w:r>
      <w:r w:rsidRPr="0031675F">
        <w:rPr>
          <w:spacing w:val="4"/>
        </w:rPr>
        <w:t xml:space="preserve"> </w:t>
      </w:r>
      <w:r w:rsidRPr="0031675F">
        <w:rPr>
          <w:spacing w:val="-1"/>
        </w:rPr>
        <w:t>power</w:t>
      </w:r>
      <w:r w:rsidRPr="0031675F">
        <w:rPr>
          <w:spacing w:val="2"/>
        </w:rPr>
        <w:t xml:space="preserve"> </w:t>
      </w:r>
      <w:r w:rsidRPr="0031675F">
        <w:rPr>
          <w:spacing w:val="-1"/>
        </w:rPr>
        <w:t>supply.</w:t>
      </w:r>
      <w:r w:rsidRPr="0031675F">
        <w:rPr>
          <w:spacing w:val="4"/>
        </w:rPr>
        <w:t xml:space="preserve"> </w:t>
      </w:r>
      <w:r w:rsidRPr="0031675F">
        <w:t>By</w:t>
      </w:r>
      <w:r w:rsidRPr="0031675F">
        <w:rPr>
          <w:spacing w:val="6"/>
        </w:rPr>
        <w:t xml:space="preserve"> </w:t>
      </w:r>
      <w:r w:rsidRPr="0031675F">
        <w:rPr>
          <w:spacing w:val="-1"/>
        </w:rPr>
        <w:t>removing</w:t>
      </w:r>
      <w:r w:rsidRPr="0031675F">
        <w:rPr>
          <w:spacing w:val="59"/>
        </w:rPr>
        <w:t xml:space="preserve"> </w:t>
      </w:r>
      <w:r w:rsidRPr="0031675F">
        <w:t xml:space="preserve">the </w:t>
      </w:r>
      <w:r w:rsidRPr="0031675F">
        <w:rPr>
          <w:spacing w:val="-1"/>
        </w:rPr>
        <w:t>plug,</w:t>
      </w:r>
      <w:r w:rsidRPr="0031675F">
        <w:t xml:space="preserve"> </w:t>
      </w:r>
      <w:r w:rsidRPr="0031675F">
        <w:rPr>
          <w:spacing w:val="-1"/>
        </w:rPr>
        <w:t>the</w:t>
      </w:r>
      <w:r w:rsidRPr="0031675F">
        <w:t xml:space="preserve"> </w:t>
      </w:r>
      <w:r w:rsidRPr="0031675F">
        <w:rPr>
          <w:spacing w:val="-1"/>
        </w:rPr>
        <w:t>instrument can be</w:t>
      </w:r>
      <w:r w:rsidRPr="0031675F">
        <w:t xml:space="preserve"> </w:t>
      </w:r>
      <w:r w:rsidRPr="0031675F">
        <w:rPr>
          <w:spacing w:val="-1"/>
        </w:rPr>
        <w:t>powered</w:t>
      </w:r>
      <w:r w:rsidRPr="0031675F">
        <w:rPr>
          <w:spacing w:val="-3"/>
        </w:rPr>
        <w:t xml:space="preserve"> </w:t>
      </w:r>
      <w:r w:rsidRPr="0031675F">
        <w:rPr>
          <w:spacing w:val="-1"/>
        </w:rPr>
        <w:t>and communicate</w:t>
      </w:r>
      <w:r w:rsidRPr="0031675F">
        <w:rPr>
          <w:spacing w:val="-2"/>
        </w:rPr>
        <w:t xml:space="preserve"> </w:t>
      </w:r>
      <w:r w:rsidRPr="0031675F">
        <w:t>via a</w:t>
      </w:r>
      <w:r w:rsidRPr="0031675F">
        <w:rPr>
          <w:spacing w:val="-3"/>
        </w:rPr>
        <w:t xml:space="preserve"> </w:t>
      </w:r>
      <w:r w:rsidRPr="0031675F">
        <w:rPr>
          <w:spacing w:val="-1"/>
        </w:rPr>
        <w:t>test</w:t>
      </w:r>
      <w:r w:rsidRPr="0031675F">
        <w:rPr>
          <w:spacing w:val="-2"/>
        </w:rPr>
        <w:t xml:space="preserve"> </w:t>
      </w:r>
      <w:r w:rsidRPr="0031675F">
        <w:t>or</w:t>
      </w:r>
      <w:r w:rsidRPr="0031675F">
        <w:rPr>
          <w:spacing w:val="-3"/>
        </w:rPr>
        <w:t xml:space="preserve"> </w:t>
      </w:r>
      <w:r w:rsidRPr="0031675F">
        <w:rPr>
          <w:spacing w:val="-1"/>
        </w:rPr>
        <w:t>deployment</w:t>
      </w:r>
      <w:r w:rsidRPr="0031675F">
        <w:rPr>
          <w:spacing w:val="-3"/>
        </w:rPr>
        <w:t xml:space="preserve"> </w:t>
      </w:r>
      <w:r w:rsidRPr="0031675F">
        <w:rPr>
          <w:spacing w:val="-1"/>
        </w:rPr>
        <w:t>cable.</w:t>
      </w:r>
    </w:p>
    <w:p w14:paraId="1894AC06" w14:textId="77777777" w:rsidR="0031675F" w:rsidRPr="0031675F" w:rsidRDefault="0031675F" w:rsidP="0031675F">
      <w:pPr>
        <w:ind w:left="118"/>
        <w:jc w:val="both"/>
        <w:rPr>
          <w:b/>
          <w:i/>
          <w:spacing w:val="-1"/>
        </w:rPr>
      </w:pPr>
    </w:p>
    <w:p w14:paraId="1A982CBC" w14:textId="77777777" w:rsidR="0031675F" w:rsidRPr="0031675F" w:rsidRDefault="0031675F" w:rsidP="0031675F">
      <w:pPr>
        <w:ind w:left="118"/>
        <w:jc w:val="both"/>
        <w:rPr>
          <w:rFonts w:cs="Calibri"/>
        </w:rPr>
      </w:pPr>
      <w:r w:rsidRPr="0031675F">
        <w:rPr>
          <w:b/>
          <w:i/>
          <w:spacing w:val="-1"/>
        </w:rPr>
        <w:t>Removing End</w:t>
      </w:r>
      <w:r w:rsidRPr="0031675F">
        <w:rPr>
          <w:b/>
          <w:i/>
          <w:spacing w:val="1"/>
        </w:rPr>
        <w:t xml:space="preserve"> </w:t>
      </w:r>
      <w:r w:rsidRPr="0031675F">
        <w:rPr>
          <w:b/>
          <w:i/>
          <w:spacing w:val="-1"/>
        </w:rPr>
        <w:t>Flange</w:t>
      </w:r>
      <w:r w:rsidRPr="0031675F">
        <w:rPr>
          <w:b/>
          <w:i/>
          <w:spacing w:val="-3"/>
        </w:rPr>
        <w:t xml:space="preserve"> </w:t>
      </w:r>
      <w:r w:rsidRPr="0031675F">
        <w:rPr>
          <w:b/>
          <w:i/>
          <w:spacing w:val="-1"/>
        </w:rPr>
        <w:t>and Batteries</w:t>
      </w:r>
    </w:p>
    <w:p w14:paraId="5AF8F7DF" w14:textId="77777777" w:rsidR="0031675F" w:rsidRPr="0031675F" w:rsidRDefault="0031675F" w:rsidP="0031675F">
      <w:pPr>
        <w:spacing w:before="120" w:after="120"/>
        <w:jc w:val="both"/>
      </w:pPr>
      <w:r w:rsidRPr="0031675F">
        <w:rPr>
          <w:spacing w:val="-1"/>
        </w:rPr>
        <w:t>WARNING!</w:t>
      </w:r>
    </w:p>
    <w:p w14:paraId="1C49FC1B" w14:textId="77777777" w:rsidR="0031675F" w:rsidRPr="0031675F" w:rsidRDefault="0031675F" w:rsidP="0031675F">
      <w:pPr>
        <w:spacing w:before="120" w:after="120"/>
        <w:ind w:right="111"/>
        <w:jc w:val="both"/>
      </w:pPr>
      <w:r w:rsidRPr="0031675F">
        <w:rPr>
          <w:spacing w:val="-1"/>
        </w:rPr>
        <w:t>Changing</w:t>
      </w:r>
      <w:r w:rsidRPr="0031675F">
        <w:rPr>
          <w:spacing w:val="30"/>
        </w:rPr>
        <w:t xml:space="preserve"> </w:t>
      </w:r>
      <w:r w:rsidRPr="0031675F">
        <w:t>the</w:t>
      </w:r>
      <w:r w:rsidRPr="0031675F">
        <w:rPr>
          <w:spacing w:val="32"/>
        </w:rPr>
        <w:t xml:space="preserve"> </w:t>
      </w:r>
      <w:r w:rsidRPr="0031675F">
        <w:rPr>
          <w:spacing w:val="-1"/>
        </w:rPr>
        <w:t>batteries</w:t>
      </w:r>
      <w:r w:rsidRPr="0031675F">
        <w:rPr>
          <w:spacing w:val="31"/>
        </w:rPr>
        <w:t xml:space="preserve"> </w:t>
      </w:r>
      <w:r w:rsidRPr="0031675F">
        <w:rPr>
          <w:spacing w:val="-1"/>
        </w:rPr>
        <w:t>will</w:t>
      </w:r>
      <w:r w:rsidRPr="0031675F">
        <w:rPr>
          <w:spacing w:val="30"/>
        </w:rPr>
        <w:t xml:space="preserve"> </w:t>
      </w:r>
      <w:r w:rsidRPr="0031675F">
        <w:rPr>
          <w:spacing w:val="-1"/>
        </w:rPr>
        <w:t>require</w:t>
      </w:r>
      <w:r w:rsidRPr="0031675F">
        <w:rPr>
          <w:spacing w:val="33"/>
        </w:rPr>
        <w:t xml:space="preserve"> </w:t>
      </w:r>
      <w:r w:rsidRPr="0031675F">
        <w:rPr>
          <w:spacing w:val="-1"/>
        </w:rPr>
        <w:t>opening</w:t>
      </w:r>
      <w:r w:rsidRPr="0031675F">
        <w:rPr>
          <w:spacing w:val="31"/>
        </w:rPr>
        <w:t xml:space="preserve"> </w:t>
      </w:r>
      <w:r w:rsidRPr="0031675F">
        <w:t>the</w:t>
      </w:r>
      <w:r w:rsidRPr="0031675F">
        <w:rPr>
          <w:spacing w:val="32"/>
        </w:rPr>
        <w:t xml:space="preserve"> </w:t>
      </w:r>
      <w:r w:rsidRPr="0031675F">
        <w:rPr>
          <w:spacing w:val="-1"/>
        </w:rPr>
        <w:t>pressure</w:t>
      </w:r>
      <w:r w:rsidRPr="0031675F">
        <w:rPr>
          <w:spacing w:val="31"/>
        </w:rPr>
        <w:t xml:space="preserve"> </w:t>
      </w:r>
      <w:r w:rsidRPr="0031675F">
        <w:rPr>
          <w:spacing w:val="-1"/>
        </w:rPr>
        <w:t>housing</w:t>
      </w:r>
      <w:r w:rsidRPr="0031675F">
        <w:rPr>
          <w:spacing w:val="31"/>
        </w:rPr>
        <w:t xml:space="preserve"> </w:t>
      </w:r>
      <w:r w:rsidRPr="0031675F">
        <w:t>of</w:t>
      </w:r>
      <w:r w:rsidRPr="0031675F">
        <w:rPr>
          <w:spacing w:val="31"/>
        </w:rPr>
        <w:t xml:space="preserve"> </w:t>
      </w:r>
      <w:r w:rsidRPr="0031675F">
        <w:t>the</w:t>
      </w:r>
      <w:r w:rsidRPr="0031675F">
        <w:rPr>
          <w:spacing w:val="31"/>
        </w:rPr>
        <w:t xml:space="preserve"> </w:t>
      </w:r>
      <w:r w:rsidRPr="0031675F">
        <w:rPr>
          <w:spacing w:val="-1"/>
        </w:rPr>
        <w:t>ECO</w:t>
      </w:r>
      <w:r w:rsidRPr="0031675F">
        <w:rPr>
          <w:spacing w:val="32"/>
        </w:rPr>
        <w:t xml:space="preserve"> </w:t>
      </w:r>
      <w:r w:rsidRPr="0031675F">
        <w:rPr>
          <w:spacing w:val="-1"/>
        </w:rPr>
        <w:t>sensor.</w:t>
      </w:r>
      <w:r w:rsidRPr="0031675F">
        <w:rPr>
          <w:spacing w:val="31"/>
        </w:rPr>
        <w:t xml:space="preserve"> </w:t>
      </w:r>
      <w:r w:rsidRPr="0031675F">
        <w:rPr>
          <w:spacing w:val="-1"/>
        </w:rPr>
        <w:t>Only</w:t>
      </w:r>
      <w:r w:rsidRPr="0031675F">
        <w:rPr>
          <w:spacing w:val="32"/>
        </w:rPr>
        <w:t xml:space="preserve"> </w:t>
      </w:r>
      <w:r w:rsidRPr="0031675F">
        <w:rPr>
          <w:spacing w:val="-1"/>
        </w:rPr>
        <w:t>people</w:t>
      </w:r>
      <w:r w:rsidRPr="0031675F">
        <w:rPr>
          <w:spacing w:val="79"/>
        </w:rPr>
        <w:t xml:space="preserve"> </w:t>
      </w:r>
      <w:r w:rsidRPr="0031675F">
        <w:rPr>
          <w:spacing w:val="-1"/>
        </w:rPr>
        <w:t xml:space="preserve">qualified </w:t>
      </w:r>
      <w:r w:rsidRPr="0031675F">
        <w:t>to</w:t>
      </w:r>
      <w:r w:rsidRPr="0031675F">
        <w:rPr>
          <w:spacing w:val="1"/>
        </w:rPr>
        <w:t xml:space="preserve"> </w:t>
      </w:r>
      <w:r w:rsidRPr="0031675F">
        <w:rPr>
          <w:spacing w:val="-1"/>
        </w:rPr>
        <w:t>service</w:t>
      </w:r>
      <w:r w:rsidRPr="0031675F">
        <w:t xml:space="preserve"> </w:t>
      </w:r>
      <w:r w:rsidRPr="0031675F">
        <w:rPr>
          <w:spacing w:val="-1"/>
        </w:rPr>
        <w:t>underwater</w:t>
      </w:r>
      <w:r w:rsidRPr="0031675F">
        <w:t xml:space="preserve"> </w:t>
      </w:r>
      <w:r w:rsidRPr="0031675F">
        <w:rPr>
          <w:spacing w:val="-1"/>
        </w:rPr>
        <w:t>oceanographic</w:t>
      </w:r>
      <w:r w:rsidRPr="0031675F">
        <w:t xml:space="preserve"> </w:t>
      </w:r>
      <w:r w:rsidRPr="0031675F">
        <w:rPr>
          <w:spacing w:val="-1"/>
        </w:rPr>
        <w:t>instrumentation should perform this</w:t>
      </w:r>
      <w:r w:rsidRPr="0031675F">
        <w:t xml:space="preserve"> </w:t>
      </w:r>
      <w:r w:rsidRPr="0031675F">
        <w:rPr>
          <w:spacing w:val="-1"/>
        </w:rPr>
        <w:t xml:space="preserve">procedure. </w:t>
      </w:r>
      <w:r w:rsidRPr="0031675F">
        <w:t>If this</w:t>
      </w:r>
      <w:r w:rsidRPr="0031675F">
        <w:rPr>
          <w:spacing w:val="69"/>
        </w:rPr>
        <w:t xml:space="preserve"> </w:t>
      </w:r>
      <w:r w:rsidRPr="0031675F">
        <w:rPr>
          <w:spacing w:val="-1"/>
        </w:rPr>
        <w:t>procedure</w:t>
      </w:r>
      <w:r w:rsidRPr="0031675F">
        <w:rPr>
          <w:spacing w:val="8"/>
        </w:rPr>
        <w:t xml:space="preserve"> </w:t>
      </w:r>
      <w:r w:rsidRPr="0031675F">
        <w:t>is</w:t>
      </w:r>
      <w:r w:rsidRPr="0031675F">
        <w:rPr>
          <w:spacing w:val="9"/>
        </w:rPr>
        <w:t xml:space="preserve"> </w:t>
      </w:r>
      <w:r w:rsidRPr="0031675F">
        <w:rPr>
          <w:spacing w:val="-1"/>
        </w:rPr>
        <w:t>performed</w:t>
      </w:r>
      <w:r w:rsidRPr="0031675F">
        <w:rPr>
          <w:spacing w:val="9"/>
        </w:rPr>
        <w:t xml:space="preserve"> </w:t>
      </w:r>
      <w:r w:rsidRPr="0031675F">
        <w:rPr>
          <w:spacing w:val="-1"/>
        </w:rPr>
        <w:t>improperly,</w:t>
      </w:r>
      <w:r w:rsidRPr="0031675F">
        <w:rPr>
          <w:spacing w:val="8"/>
        </w:rPr>
        <w:t xml:space="preserve"> </w:t>
      </w:r>
      <w:r w:rsidRPr="0031675F">
        <w:t>it</w:t>
      </w:r>
      <w:r w:rsidRPr="0031675F">
        <w:rPr>
          <w:spacing w:val="10"/>
        </w:rPr>
        <w:t xml:space="preserve"> </w:t>
      </w:r>
      <w:r w:rsidRPr="0031675F">
        <w:rPr>
          <w:spacing w:val="-1"/>
        </w:rPr>
        <w:t>could</w:t>
      </w:r>
      <w:r w:rsidRPr="0031675F">
        <w:rPr>
          <w:spacing w:val="8"/>
        </w:rPr>
        <w:t xml:space="preserve"> </w:t>
      </w:r>
      <w:r w:rsidRPr="0031675F">
        <w:rPr>
          <w:spacing w:val="-1"/>
        </w:rPr>
        <w:t>result</w:t>
      </w:r>
      <w:r w:rsidRPr="0031675F">
        <w:rPr>
          <w:spacing w:val="10"/>
        </w:rPr>
        <w:t xml:space="preserve"> </w:t>
      </w:r>
      <w:r w:rsidRPr="0031675F">
        <w:t>in</w:t>
      </w:r>
      <w:r w:rsidRPr="0031675F">
        <w:rPr>
          <w:spacing w:val="6"/>
        </w:rPr>
        <w:t xml:space="preserve"> </w:t>
      </w:r>
      <w:r w:rsidRPr="0031675F">
        <w:rPr>
          <w:spacing w:val="-1"/>
        </w:rPr>
        <w:t>catastrophic</w:t>
      </w:r>
      <w:r w:rsidRPr="0031675F">
        <w:rPr>
          <w:spacing w:val="9"/>
        </w:rPr>
        <w:t xml:space="preserve"> </w:t>
      </w:r>
      <w:r w:rsidRPr="0031675F">
        <w:rPr>
          <w:spacing w:val="-1"/>
        </w:rPr>
        <w:t>instrument</w:t>
      </w:r>
      <w:r w:rsidRPr="0031675F">
        <w:rPr>
          <w:spacing w:val="7"/>
        </w:rPr>
        <w:t xml:space="preserve"> </w:t>
      </w:r>
      <w:r w:rsidRPr="0031675F">
        <w:rPr>
          <w:spacing w:val="-1"/>
        </w:rPr>
        <w:t>failure</w:t>
      </w:r>
      <w:r w:rsidRPr="0031675F">
        <w:rPr>
          <w:spacing w:val="10"/>
        </w:rPr>
        <w:t xml:space="preserve"> </w:t>
      </w:r>
      <w:r w:rsidRPr="0031675F">
        <w:rPr>
          <w:spacing w:val="-1"/>
        </w:rPr>
        <w:t>due</w:t>
      </w:r>
      <w:r w:rsidRPr="0031675F">
        <w:rPr>
          <w:spacing w:val="10"/>
        </w:rPr>
        <w:t xml:space="preserve"> </w:t>
      </w:r>
      <w:r w:rsidRPr="0031675F">
        <w:rPr>
          <w:spacing w:val="-1"/>
        </w:rPr>
        <w:t>to</w:t>
      </w:r>
      <w:r w:rsidRPr="0031675F">
        <w:rPr>
          <w:spacing w:val="11"/>
        </w:rPr>
        <w:t xml:space="preserve"> </w:t>
      </w:r>
      <w:r w:rsidRPr="0031675F">
        <w:t>flooding</w:t>
      </w:r>
      <w:r w:rsidRPr="0031675F">
        <w:rPr>
          <w:spacing w:val="59"/>
        </w:rPr>
        <w:t xml:space="preserve"> </w:t>
      </w:r>
      <w:r w:rsidRPr="0031675F">
        <w:t>or</w:t>
      </w:r>
      <w:r w:rsidRPr="0031675F">
        <w:rPr>
          <w:spacing w:val="2"/>
        </w:rPr>
        <w:t xml:space="preserve"> </w:t>
      </w:r>
      <w:r w:rsidRPr="0031675F">
        <w:t>in</w:t>
      </w:r>
      <w:r w:rsidRPr="0031675F">
        <w:rPr>
          <w:spacing w:val="1"/>
        </w:rPr>
        <w:t xml:space="preserve"> </w:t>
      </w:r>
      <w:r w:rsidRPr="0031675F">
        <w:rPr>
          <w:spacing w:val="-1"/>
        </w:rPr>
        <w:t>personal</w:t>
      </w:r>
      <w:r w:rsidRPr="0031675F">
        <w:rPr>
          <w:spacing w:val="2"/>
        </w:rPr>
        <w:t xml:space="preserve"> </w:t>
      </w:r>
      <w:r w:rsidRPr="0031675F">
        <w:rPr>
          <w:spacing w:val="-2"/>
        </w:rPr>
        <w:t>injury</w:t>
      </w:r>
      <w:r w:rsidRPr="0031675F">
        <w:rPr>
          <w:spacing w:val="3"/>
        </w:rPr>
        <w:t xml:space="preserve"> </w:t>
      </w:r>
      <w:r w:rsidRPr="0031675F">
        <w:rPr>
          <w:spacing w:val="-1"/>
        </w:rPr>
        <w:t>or</w:t>
      </w:r>
      <w:r w:rsidRPr="0031675F">
        <w:rPr>
          <w:spacing w:val="2"/>
        </w:rPr>
        <w:t xml:space="preserve"> </w:t>
      </w:r>
      <w:r w:rsidRPr="0031675F">
        <w:rPr>
          <w:spacing w:val="-1"/>
        </w:rPr>
        <w:t>death</w:t>
      </w:r>
      <w:r w:rsidRPr="0031675F">
        <w:rPr>
          <w:spacing w:val="2"/>
        </w:rPr>
        <w:t xml:space="preserve"> </w:t>
      </w:r>
      <w:r w:rsidRPr="0031675F">
        <w:rPr>
          <w:spacing w:val="-1"/>
        </w:rPr>
        <w:t>due</w:t>
      </w:r>
      <w:r w:rsidRPr="0031675F">
        <w:rPr>
          <w:spacing w:val="3"/>
        </w:rPr>
        <w:t xml:space="preserve"> </w:t>
      </w:r>
      <w:r w:rsidRPr="0031675F">
        <w:rPr>
          <w:spacing w:val="-1"/>
        </w:rPr>
        <w:t>to</w:t>
      </w:r>
      <w:r w:rsidRPr="0031675F">
        <w:rPr>
          <w:spacing w:val="3"/>
        </w:rPr>
        <w:t xml:space="preserve"> </w:t>
      </w:r>
      <w:r w:rsidRPr="0031675F">
        <w:rPr>
          <w:spacing w:val="-1"/>
        </w:rPr>
        <w:t>abnormal</w:t>
      </w:r>
      <w:r w:rsidRPr="0031675F">
        <w:t xml:space="preserve"> </w:t>
      </w:r>
      <w:r w:rsidRPr="0031675F">
        <w:rPr>
          <w:spacing w:val="-1"/>
        </w:rPr>
        <w:t>internal</w:t>
      </w:r>
      <w:r w:rsidRPr="0031675F">
        <w:rPr>
          <w:spacing w:val="2"/>
        </w:rPr>
        <w:t xml:space="preserve"> </w:t>
      </w:r>
      <w:r w:rsidRPr="0031675F">
        <w:rPr>
          <w:spacing w:val="-1"/>
        </w:rPr>
        <w:t>pressure</w:t>
      </w:r>
      <w:r w:rsidRPr="0031675F">
        <w:rPr>
          <w:spacing w:val="3"/>
        </w:rPr>
        <w:t xml:space="preserve"> </w:t>
      </w:r>
      <w:r w:rsidRPr="0031675F">
        <w:rPr>
          <w:spacing w:val="-2"/>
        </w:rPr>
        <w:t>as</w:t>
      </w:r>
      <w:r w:rsidRPr="0031675F">
        <w:rPr>
          <w:spacing w:val="2"/>
        </w:rPr>
        <w:t xml:space="preserve"> </w:t>
      </w:r>
      <w:r w:rsidRPr="0031675F">
        <w:t>a</w:t>
      </w:r>
      <w:r w:rsidRPr="0031675F">
        <w:rPr>
          <w:spacing w:val="2"/>
        </w:rPr>
        <w:t xml:space="preserve"> </w:t>
      </w:r>
      <w:r w:rsidRPr="0031675F">
        <w:rPr>
          <w:spacing w:val="-1"/>
        </w:rPr>
        <w:t xml:space="preserve">result </w:t>
      </w:r>
      <w:r w:rsidRPr="0031675F">
        <w:t>of</w:t>
      </w:r>
      <w:r w:rsidRPr="0031675F">
        <w:rPr>
          <w:spacing w:val="2"/>
        </w:rPr>
        <w:t xml:space="preserve"> </w:t>
      </w:r>
      <w:r w:rsidRPr="0031675F">
        <w:rPr>
          <w:spacing w:val="-1"/>
        </w:rPr>
        <w:t>flooding.</w:t>
      </w:r>
      <w:r w:rsidRPr="0031675F">
        <w:rPr>
          <w:spacing w:val="2"/>
        </w:rPr>
        <w:t xml:space="preserve"> </w:t>
      </w:r>
      <w:r w:rsidRPr="0031675F">
        <w:t>WET</w:t>
      </w:r>
      <w:r w:rsidRPr="0031675F">
        <w:rPr>
          <w:spacing w:val="1"/>
        </w:rPr>
        <w:t xml:space="preserve"> </w:t>
      </w:r>
      <w:r w:rsidRPr="0031675F">
        <w:rPr>
          <w:spacing w:val="-1"/>
        </w:rPr>
        <w:t>Labs</w:t>
      </w:r>
      <w:r w:rsidRPr="0031675F">
        <w:rPr>
          <w:spacing w:val="2"/>
        </w:rPr>
        <w:t xml:space="preserve"> </w:t>
      </w:r>
      <w:r w:rsidRPr="0031675F">
        <w:rPr>
          <w:spacing w:val="-1"/>
        </w:rPr>
        <w:t>Inc.</w:t>
      </w:r>
      <w:r w:rsidRPr="0031675F">
        <w:rPr>
          <w:spacing w:val="69"/>
        </w:rPr>
        <w:t xml:space="preserve"> </w:t>
      </w:r>
      <w:r w:rsidRPr="0031675F">
        <w:rPr>
          <w:spacing w:val="-1"/>
        </w:rPr>
        <w:t>disclaims</w:t>
      </w:r>
      <w:r w:rsidRPr="0031675F">
        <w:t xml:space="preserve"> all </w:t>
      </w:r>
      <w:r w:rsidRPr="0031675F">
        <w:rPr>
          <w:spacing w:val="-1"/>
        </w:rPr>
        <w:t>product</w:t>
      </w:r>
      <w:r w:rsidRPr="0031675F">
        <w:rPr>
          <w:spacing w:val="1"/>
        </w:rPr>
        <w:t xml:space="preserve"> </w:t>
      </w:r>
      <w:r w:rsidRPr="0031675F">
        <w:rPr>
          <w:spacing w:val="-1"/>
        </w:rPr>
        <w:t>liability</w:t>
      </w:r>
      <w:r w:rsidRPr="0031675F">
        <w:t xml:space="preserve"> </w:t>
      </w:r>
      <w:r w:rsidRPr="0031675F">
        <w:rPr>
          <w:spacing w:val="-1"/>
        </w:rPr>
        <w:t>from</w:t>
      </w:r>
      <w:r w:rsidRPr="0031675F">
        <w:rPr>
          <w:spacing w:val="1"/>
        </w:rPr>
        <w:t xml:space="preserve"> </w:t>
      </w:r>
      <w:r w:rsidRPr="0031675F">
        <w:rPr>
          <w:spacing w:val="-1"/>
        </w:rPr>
        <w:t>the</w:t>
      </w:r>
      <w:r w:rsidRPr="0031675F">
        <w:t xml:space="preserve"> </w:t>
      </w:r>
      <w:r w:rsidRPr="0031675F">
        <w:rPr>
          <w:spacing w:val="-1"/>
        </w:rPr>
        <w:t>use</w:t>
      </w:r>
      <w:r w:rsidRPr="0031675F">
        <w:rPr>
          <w:spacing w:val="-2"/>
        </w:rPr>
        <w:t xml:space="preserve"> </w:t>
      </w:r>
      <w:r w:rsidRPr="0031675F">
        <w:t xml:space="preserve">or </w:t>
      </w:r>
      <w:r w:rsidRPr="0031675F">
        <w:rPr>
          <w:spacing w:val="-1"/>
        </w:rPr>
        <w:t xml:space="preserve">servicing </w:t>
      </w:r>
      <w:r w:rsidRPr="0031675F">
        <w:t xml:space="preserve">of </w:t>
      </w:r>
      <w:r w:rsidRPr="0031675F">
        <w:rPr>
          <w:spacing w:val="-1"/>
        </w:rPr>
        <w:t>this</w:t>
      </w:r>
      <w:r w:rsidRPr="0031675F">
        <w:t xml:space="preserve"> </w:t>
      </w:r>
      <w:r w:rsidRPr="0031675F">
        <w:rPr>
          <w:spacing w:val="-1"/>
        </w:rPr>
        <w:t>equipment.</w:t>
      </w:r>
      <w:r w:rsidRPr="0031675F">
        <w:t xml:space="preserve"> </w:t>
      </w:r>
      <w:r w:rsidRPr="0031675F">
        <w:rPr>
          <w:spacing w:val="-1"/>
        </w:rPr>
        <w:t>WET</w:t>
      </w:r>
      <w:r w:rsidRPr="0031675F">
        <w:rPr>
          <w:spacing w:val="-2"/>
        </w:rPr>
        <w:t xml:space="preserve"> </w:t>
      </w:r>
      <w:r w:rsidRPr="0031675F">
        <w:rPr>
          <w:spacing w:val="-1"/>
        </w:rPr>
        <w:t>Labs</w:t>
      </w:r>
      <w:r w:rsidRPr="0031675F">
        <w:t xml:space="preserve"> Inc.</w:t>
      </w:r>
      <w:r w:rsidRPr="0031675F">
        <w:rPr>
          <w:spacing w:val="-1"/>
        </w:rPr>
        <w:t xml:space="preserve"> has</w:t>
      </w:r>
      <w:r w:rsidRPr="0031675F">
        <w:t xml:space="preserve"> </w:t>
      </w:r>
      <w:r w:rsidRPr="0031675F">
        <w:rPr>
          <w:spacing w:val="-1"/>
        </w:rPr>
        <w:t>no</w:t>
      </w:r>
      <w:r w:rsidRPr="0031675F">
        <w:t xml:space="preserve"> way</w:t>
      </w:r>
      <w:r w:rsidRPr="0031675F">
        <w:rPr>
          <w:spacing w:val="1"/>
        </w:rPr>
        <w:t xml:space="preserve"> </w:t>
      </w:r>
      <w:r w:rsidRPr="0031675F">
        <w:t>of</w:t>
      </w:r>
      <w:r w:rsidRPr="0031675F">
        <w:rPr>
          <w:spacing w:val="67"/>
        </w:rPr>
        <w:t xml:space="preserve"> </w:t>
      </w:r>
      <w:r w:rsidRPr="0031675F">
        <w:rPr>
          <w:spacing w:val="-1"/>
        </w:rPr>
        <w:t>controlling</w:t>
      </w:r>
      <w:r w:rsidRPr="0031675F">
        <w:rPr>
          <w:spacing w:val="9"/>
        </w:rPr>
        <w:t xml:space="preserve"> </w:t>
      </w:r>
      <w:r w:rsidRPr="0031675F">
        <w:t>the</w:t>
      </w:r>
      <w:r w:rsidRPr="0031675F">
        <w:rPr>
          <w:spacing w:val="10"/>
        </w:rPr>
        <w:t xml:space="preserve"> </w:t>
      </w:r>
      <w:r w:rsidRPr="0031675F">
        <w:rPr>
          <w:spacing w:val="-1"/>
        </w:rPr>
        <w:t>use</w:t>
      </w:r>
      <w:r w:rsidRPr="0031675F">
        <w:rPr>
          <w:spacing w:val="8"/>
        </w:rPr>
        <w:t xml:space="preserve"> </w:t>
      </w:r>
      <w:r w:rsidRPr="0031675F">
        <w:t>of</w:t>
      </w:r>
      <w:r w:rsidRPr="0031675F">
        <w:rPr>
          <w:spacing w:val="7"/>
        </w:rPr>
        <w:t xml:space="preserve"> </w:t>
      </w:r>
      <w:r w:rsidRPr="0031675F">
        <w:rPr>
          <w:spacing w:val="-1"/>
        </w:rPr>
        <w:t>this</w:t>
      </w:r>
      <w:r w:rsidRPr="0031675F">
        <w:rPr>
          <w:spacing w:val="7"/>
        </w:rPr>
        <w:t xml:space="preserve"> </w:t>
      </w:r>
      <w:r w:rsidRPr="0031675F">
        <w:rPr>
          <w:spacing w:val="-1"/>
        </w:rPr>
        <w:t>equipment</w:t>
      </w:r>
      <w:r w:rsidRPr="0031675F">
        <w:rPr>
          <w:spacing w:val="7"/>
        </w:rPr>
        <w:t xml:space="preserve"> </w:t>
      </w:r>
      <w:r w:rsidRPr="0031675F">
        <w:rPr>
          <w:spacing w:val="1"/>
        </w:rPr>
        <w:t>or</w:t>
      </w:r>
      <w:r w:rsidRPr="0031675F">
        <w:rPr>
          <w:spacing w:val="7"/>
        </w:rPr>
        <w:t xml:space="preserve"> </w:t>
      </w:r>
      <w:r w:rsidRPr="0031675F">
        <w:t>of</w:t>
      </w:r>
      <w:r w:rsidRPr="0031675F">
        <w:rPr>
          <w:spacing w:val="9"/>
        </w:rPr>
        <w:t xml:space="preserve"> </w:t>
      </w:r>
      <w:r w:rsidRPr="0031675F">
        <w:rPr>
          <w:spacing w:val="-1"/>
        </w:rPr>
        <w:t>choosing</w:t>
      </w:r>
      <w:r w:rsidRPr="0031675F">
        <w:rPr>
          <w:spacing w:val="6"/>
        </w:rPr>
        <w:t xml:space="preserve"> </w:t>
      </w:r>
      <w:r w:rsidRPr="0031675F">
        <w:rPr>
          <w:spacing w:val="-1"/>
        </w:rPr>
        <w:t>qualified</w:t>
      </w:r>
      <w:r w:rsidRPr="0031675F">
        <w:rPr>
          <w:spacing w:val="9"/>
        </w:rPr>
        <w:t xml:space="preserve"> </w:t>
      </w:r>
      <w:r w:rsidRPr="0031675F">
        <w:rPr>
          <w:spacing w:val="-1"/>
        </w:rPr>
        <w:t>personnel</w:t>
      </w:r>
      <w:r w:rsidRPr="0031675F">
        <w:rPr>
          <w:spacing w:val="10"/>
        </w:rPr>
        <w:t xml:space="preserve"> </w:t>
      </w:r>
      <w:r w:rsidRPr="0031675F">
        <w:rPr>
          <w:spacing w:val="-1"/>
        </w:rPr>
        <w:t>to</w:t>
      </w:r>
      <w:r w:rsidRPr="0031675F">
        <w:rPr>
          <w:spacing w:val="8"/>
        </w:rPr>
        <w:t xml:space="preserve"> </w:t>
      </w:r>
      <w:r w:rsidRPr="0031675F">
        <w:rPr>
          <w:spacing w:val="-1"/>
        </w:rPr>
        <w:t>operate</w:t>
      </w:r>
      <w:r w:rsidRPr="0031675F">
        <w:rPr>
          <w:spacing w:val="10"/>
        </w:rPr>
        <w:t xml:space="preserve"> </w:t>
      </w:r>
      <w:r w:rsidRPr="0031675F">
        <w:t>it,</w:t>
      </w:r>
      <w:r w:rsidRPr="0031675F">
        <w:rPr>
          <w:spacing w:val="9"/>
        </w:rPr>
        <w:t xml:space="preserve"> </w:t>
      </w:r>
      <w:r w:rsidRPr="0031675F">
        <w:rPr>
          <w:spacing w:val="-1"/>
        </w:rPr>
        <w:t>and</w:t>
      </w:r>
      <w:r w:rsidRPr="0031675F">
        <w:rPr>
          <w:spacing w:val="6"/>
        </w:rPr>
        <w:t xml:space="preserve"> </w:t>
      </w:r>
      <w:r w:rsidRPr="0031675F">
        <w:rPr>
          <w:spacing w:val="-1"/>
        </w:rPr>
        <w:t>therefore</w:t>
      </w:r>
      <w:r w:rsidRPr="0031675F">
        <w:rPr>
          <w:spacing w:val="91"/>
        </w:rPr>
        <w:t xml:space="preserve"> </w:t>
      </w:r>
      <w:r w:rsidRPr="0031675F">
        <w:rPr>
          <w:spacing w:val="-1"/>
        </w:rPr>
        <w:t>cannot</w:t>
      </w:r>
      <w:r w:rsidRPr="0031675F">
        <w:rPr>
          <w:spacing w:val="22"/>
        </w:rPr>
        <w:t xml:space="preserve"> </w:t>
      </w:r>
      <w:r w:rsidRPr="0031675F">
        <w:t>take</w:t>
      </w:r>
      <w:r w:rsidRPr="0031675F">
        <w:rPr>
          <w:spacing w:val="23"/>
        </w:rPr>
        <w:t xml:space="preserve"> </w:t>
      </w:r>
      <w:r w:rsidRPr="0031675F">
        <w:rPr>
          <w:spacing w:val="-1"/>
        </w:rPr>
        <w:t>steps</w:t>
      </w:r>
      <w:r w:rsidRPr="0031675F">
        <w:rPr>
          <w:spacing w:val="22"/>
        </w:rPr>
        <w:t xml:space="preserve"> </w:t>
      </w:r>
      <w:r w:rsidRPr="0031675F">
        <w:rPr>
          <w:spacing w:val="-1"/>
        </w:rPr>
        <w:t>to</w:t>
      </w:r>
      <w:r w:rsidRPr="0031675F">
        <w:rPr>
          <w:spacing w:val="24"/>
        </w:rPr>
        <w:t xml:space="preserve"> </w:t>
      </w:r>
      <w:r w:rsidRPr="0031675F">
        <w:rPr>
          <w:spacing w:val="-2"/>
        </w:rPr>
        <w:t>comply</w:t>
      </w:r>
      <w:r w:rsidRPr="0031675F">
        <w:rPr>
          <w:spacing w:val="25"/>
        </w:rPr>
        <w:t xml:space="preserve"> </w:t>
      </w:r>
      <w:r w:rsidRPr="0031675F">
        <w:t>with</w:t>
      </w:r>
      <w:r w:rsidRPr="0031675F">
        <w:rPr>
          <w:spacing w:val="24"/>
        </w:rPr>
        <w:t xml:space="preserve"> </w:t>
      </w:r>
      <w:r w:rsidRPr="0031675F">
        <w:rPr>
          <w:spacing w:val="-1"/>
        </w:rPr>
        <w:t>laws</w:t>
      </w:r>
      <w:r w:rsidRPr="0031675F">
        <w:rPr>
          <w:spacing w:val="25"/>
        </w:rPr>
        <w:t xml:space="preserve"> </w:t>
      </w:r>
      <w:r w:rsidRPr="0031675F">
        <w:rPr>
          <w:spacing w:val="-1"/>
        </w:rPr>
        <w:t>pertaining</w:t>
      </w:r>
      <w:r w:rsidRPr="0031675F">
        <w:rPr>
          <w:spacing w:val="23"/>
        </w:rPr>
        <w:t xml:space="preserve"> </w:t>
      </w:r>
      <w:r w:rsidRPr="0031675F">
        <w:rPr>
          <w:spacing w:val="-1"/>
        </w:rPr>
        <w:t>to</w:t>
      </w:r>
      <w:r w:rsidRPr="0031675F">
        <w:rPr>
          <w:spacing w:val="24"/>
        </w:rPr>
        <w:t xml:space="preserve"> </w:t>
      </w:r>
      <w:r w:rsidRPr="0031675F">
        <w:rPr>
          <w:spacing w:val="-1"/>
        </w:rPr>
        <w:t>product</w:t>
      </w:r>
      <w:r w:rsidRPr="0031675F">
        <w:rPr>
          <w:spacing w:val="25"/>
        </w:rPr>
        <w:t xml:space="preserve"> </w:t>
      </w:r>
      <w:r w:rsidRPr="0031675F">
        <w:rPr>
          <w:spacing w:val="-1"/>
        </w:rPr>
        <w:t>liability,</w:t>
      </w:r>
      <w:r w:rsidRPr="0031675F">
        <w:rPr>
          <w:spacing w:val="24"/>
        </w:rPr>
        <w:t xml:space="preserve"> </w:t>
      </w:r>
      <w:r w:rsidRPr="0031675F">
        <w:rPr>
          <w:spacing w:val="-1"/>
        </w:rPr>
        <w:t>including</w:t>
      </w:r>
      <w:r w:rsidRPr="0031675F">
        <w:rPr>
          <w:spacing w:val="23"/>
        </w:rPr>
        <w:t xml:space="preserve"> </w:t>
      </w:r>
      <w:r w:rsidRPr="0031675F">
        <w:t>laws</w:t>
      </w:r>
      <w:r w:rsidRPr="0031675F">
        <w:rPr>
          <w:spacing w:val="23"/>
        </w:rPr>
        <w:t xml:space="preserve"> </w:t>
      </w:r>
      <w:r w:rsidRPr="0031675F">
        <w:rPr>
          <w:spacing w:val="-1"/>
        </w:rPr>
        <w:t>that</w:t>
      </w:r>
      <w:r w:rsidRPr="0031675F">
        <w:rPr>
          <w:spacing w:val="25"/>
        </w:rPr>
        <w:t xml:space="preserve"> </w:t>
      </w:r>
      <w:r w:rsidRPr="0031675F">
        <w:rPr>
          <w:spacing w:val="-1"/>
        </w:rPr>
        <w:t>impose</w:t>
      </w:r>
      <w:r w:rsidRPr="0031675F">
        <w:rPr>
          <w:spacing w:val="25"/>
        </w:rPr>
        <w:t xml:space="preserve"> </w:t>
      </w:r>
      <w:r w:rsidRPr="0031675F">
        <w:t>a</w:t>
      </w:r>
      <w:r w:rsidRPr="0031675F">
        <w:rPr>
          <w:spacing w:val="49"/>
        </w:rPr>
        <w:t xml:space="preserve"> </w:t>
      </w:r>
      <w:r w:rsidRPr="0031675F">
        <w:rPr>
          <w:spacing w:val="-1"/>
        </w:rPr>
        <w:t>duty</w:t>
      </w:r>
      <w:r w:rsidRPr="0031675F">
        <w:rPr>
          <w:spacing w:val="19"/>
        </w:rPr>
        <w:t xml:space="preserve"> </w:t>
      </w:r>
      <w:r w:rsidRPr="0031675F">
        <w:t>to</w:t>
      </w:r>
      <w:r w:rsidRPr="0031675F">
        <w:rPr>
          <w:spacing w:val="19"/>
        </w:rPr>
        <w:t xml:space="preserve"> </w:t>
      </w:r>
      <w:r w:rsidRPr="0031675F">
        <w:t>warn</w:t>
      </w:r>
      <w:r w:rsidRPr="0031675F">
        <w:rPr>
          <w:spacing w:val="17"/>
        </w:rPr>
        <w:t xml:space="preserve"> </w:t>
      </w:r>
      <w:r w:rsidRPr="0031675F">
        <w:rPr>
          <w:spacing w:val="-1"/>
        </w:rPr>
        <w:t>the</w:t>
      </w:r>
      <w:r w:rsidRPr="0031675F">
        <w:rPr>
          <w:spacing w:val="18"/>
        </w:rPr>
        <w:t xml:space="preserve"> </w:t>
      </w:r>
      <w:r w:rsidRPr="0031675F">
        <w:rPr>
          <w:spacing w:val="-1"/>
        </w:rPr>
        <w:t>user</w:t>
      </w:r>
      <w:r w:rsidRPr="0031675F">
        <w:rPr>
          <w:spacing w:val="18"/>
        </w:rPr>
        <w:t xml:space="preserve"> </w:t>
      </w:r>
      <w:r w:rsidRPr="0031675F">
        <w:rPr>
          <w:spacing w:val="-1"/>
        </w:rPr>
        <w:t>of</w:t>
      </w:r>
      <w:r w:rsidRPr="0031675F">
        <w:rPr>
          <w:spacing w:val="17"/>
        </w:rPr>
        <w:t xml:space="preserve"> </w:t>
      </w:r>
      <w:r w:rsidRPr="0031675F">
        <w:rPr>
          <w:spacing w:val="-1"/>
        </w:rPr>
        <w:t>any</w:t>
      </w:r>
      <w:r w:rsidRPr="0031675F">
        <w:rPr>
          <w:spacing w:val="18"/>
        </w:rPr>
        <w:t xml:space="preserve"> </w:t>
      </w:r>
      <w:r w:rsidRPr="0031675F">
        <w:rPr>
          <w:spacing w:val="-1"/>
        </w:rPr>
        <w:t>dangers</w:t>
      </w:r>
      <w:r w:rsidRPr="0031675F">
        <w:rPr>
          <w:spacing w:val="18"/>
        </w:rPr>
        <w:t xml:space="preserve"> </w:t>
      </w:r>
      <w:r w:rsidRPr="0031675F">
        <w:rPr>
          <w:spacing w:val="-1"/>
        </w:rPr>
        <w:t>involved</w:t>
      </w:r>
      <w:r w:rsidRPr="0031675F">
        <w:rPr>
          <w:spacing w:val="17"/>
        </w:rPr>
        <w:t xml:space="preserve"> </w:t>
      </w:r>
      <w:r w:rsidRPr="0031675F">
        <w:t>with</w:t>
      </w:r>
      <w:r w:rsidRPr="0031675F">
        <w:rPr>
          <w:spacing w:val="17"/>
        </w:rPr>
        <w:t xml:space="preserve"> </w:t>
      </w:r>
      <w:r w:rsidRPr="0031675F">
        <w:t>the</w:t>
      </w:r>
      <w:r w:rsidRPr="0031675F">
        <w:rPr>
          <w:spacing w:val="18"/>
        </w:rPr>
        <w:t xml:space="preserve"> </w:t>
      </w:r>
      <w:r w:rsidRPr="0031675F">
        <w:rPr>
          <w:spacing w:val="-1"/>
        </w:rPr>
        <w:t>operation</w:t>
      </w:r>
      <w:r w:rsidRPr="0031675F">
        <w:rPr>
          <w:spacing w:val="17"/>
        </w:rPr>
        <w:t xml:space="preserve"> </w:t>
      </w:r>
      <w:r w:rsidRPr="0031675F">
        <w:rPr>
          <w:spacing w:val="-1"/>
        </w:rPr>
        <w:t>and</w:t>
      </w:r>
      <w:r w:rsidRPr="0031675F">
        <w:rPr>
          <w:spacing w:val="14"/>
        </w:rPr>
        <w:t xml:space="preserve"> </w:t>
      </w:r>
      <w:r w:rsidRPr="0031675F">
        <w:rPr>
          <w:spacing w:val="-1"/>
        </w:rPr>
        <w:t>maintenance</w:t>
      </w:r>
      <w:r w:rsidRPr="0031675F">
        <w:rPr>
          <w:spacing w:val="18"/>
        </w:rPr>
        <w:t xml:space="preserve"> </w:t>
      </w:r>
      <w:r w:rsidRPr="0031675F">
        <w:t>of</w:t>
      </w:r>
      <w:r w:rsidRPr="0031675F">
        <w:rPr>
          <w:spacing w:val="17"/>
        </w:rPr>
        <w:t xml:space="preserve"> </w:t>
      </w:r>
      <w:r w:rsidRPr="0031675F">
        <w:rPr>
          <w:spacing w:val="-1"/>
        </w:rPr>
        <w:t>this</w:t>
      </w:r>
      <w:r w:rsidRPr="0031675F">
        <w:rPr>
          <w:spacing w:val="61"/>
        </w:rPr>
        <w:t xml:space="preserve"> </w:t>
      </w:r>
      <w:r w:rsidRPr="0031675F">
        <w:rPr>
          <w:spacing w:val="-1"/>
        </w:rPr>
        <w:t>equipment.</w:t>
      </w:r>
      <w:r w:rsidRPr="0031675F">
        <w:rPr>
          <w:spacing w:val="13"/>
        </w:rPr>
        <w:t xml:space="preserve"> </w:t>
      </w:r>
      <w:r w:rsidRPr="0031675F">
        <w:rPr>
          <w:spacing w:val="-1"/>
        </w:rPr>
        <w:t>Therefore,</w:t>
      </w:r>
      <w:r w:rsidRPr="0031675F">
        <w:rPr>
          <w:spacing w:val="14"/>
        </w:rPr>
        <w:t xml:space="preserve"> </w:t>
      </w:r>
      <w:r w:rsidRPr="0031675F">
        <w:rPr>
          <w:spacing w:val="-1"/>
        </w:rPr>
        <w:t>acceptance</w:t>
      </w:r>
      <w:r w:rsidRPr="0031675F">
        <w:rPr>
          <w:spacing w:val="13"/>
        </w:rPr>
        <w:t xml:space="preserve"> </w:t>
      </w:r>
      <w:r w:rsidRPr="0031675F">
        <w:t>of</w:t>
      </w:r>
      <w:r w:rsidRPr="0031675F">
        <w:rPr>
          <w:spacing w:val="14"/>
        </w:rPr>
        <w:t xml:space="preserve"> </w:t>
      </w:r>
      <w:r w:rsidRPr="0031675F">
        <w:rPr>
          <w:spacing w:val="-1"/>
        </w:rPr>
        <w:t>this</w:t>
      </w:r>
      <w:r w:rsidRPr="0031675F">
        <w:rPr>
          <w:spacing w:val="14"/>
        </w:rPr>
        <w:t xml:space="preserve"> </w:t>
      </w:r>
      <w:r w:rsidRPr="0031675F">
        <w:rPr>
          <w:spacing w:val="-1"/>
        </w:rPr>
        <w:t>equipment</w:t>
      </w:r>
      <w:r w:rsidRPr="0031675F">
        <w:rPr>
          <w:spacing w:val="12"/>
        </w:rPr>
        <w:t xml:space="preserve"> </w:t>
      </w:r>
      <w:r w:rsidRPr="0031675F">
        <w:rPr>
          <w:spacing w:val="-1"/>
        </w:rPr>
        <w:t>by</w:t>
      </w:r>
      <w:r w:rsidRPr="0031675F">
        <w:rPr>
          <w:spacing w:val="15"/>
        </w:rPr>
        <w:t xml:space="preserve"> </w:t>
      </w:r>
      <w:r w:rsidRPr="0031675F">
        <w:t>the</w:t>
      </w:r>
      <w:r w:rsidRPr="0031675F">
        <w:rPr>
          <w:spacing w:val="14"/>
        </w:rPr>
        <w:t xml:space="preserve"> </w:t>
      </w:r>
      <w:r w:rsidRPr="0031675F">
        <w:rPr>
          <w:spacing w:val="-1"/>
        </w:rPr>
        <w:t>customer</w:t>
      </w:r>
      <w:r w:rsidRPr="0031675F">
        <w:rPr>
          <w:spacing w:val="14"/>
        </w:rPr>
        <w:t xml:space="preserve"> </w:t>
      </w:r>
      <w:r w:rsidRPr="0031675F">
        <w:rPr>
          <w:spacing w:val="-1"/>
        </w:rPr>
        <w:t>shall</w:t>
      </w:r>
      <w:r w:rsidRPr="0031675F">
        <w:rPr>
          <w:spacing w:val="14"/>
        </w:rPr>
        <w:t xml:space="preserve"> </w:t>
      </w:r>
      <w:r w:rsidRPr="0031675F">
        <w:rPr>
          <w:spacing w:val="-1"/>
        </w:rPr>
        <w:t>be</w:t>
      </w:r>
      <w:r w:rsidRPr="0031675F">
        <w:rPr>
          <w:spacing w:val="13"/>
        </w:rPr>
        <w:t xml:space="preserve"> </w:t>
      </w:r>
      <w:r w:rsidRPr="0031675F">
        <w:rPr>
          <w:spacing w:val="-1"/>
        </w:rPr>
        <w:t>conclusively</w:t>
      </w:r>
      <w:r w:rsidRPr="0031675F">
        <w:rPr>
          <w:spacing w:val="15"/>
        </w:rPr>
        <w:t xml:space="preserve"> </w:t>
      </w:r>
      <w:r w:rsidRPr="0031675F">
        <w:rPr>
          <w:spacing w:val="-1"/>
        </w:rPr>
        <w:t>deemed</w:t>
      </w:r>
      <w:r w:rsidRPr="0031675F">
        <w:rPr>
          <w:spacing w:val="65"/>
        </w:rPr>
        <w:t xml:space="preserve"> </w:t>
      </w:r>
      <w:r w:rsidRPr="0031675F">
        <w:t>to</w:t>
      </w:r>
      <w:r w:rsidRPr="0031675F">
        <w:rPr>
          <w:spacing w:val="16"/>
        </w:rPr>
        <w:t xml:space="preserve"> </w:t>
      </w:r>
      <w:r w:rsidRPr="0031675F">
        <w:rPr>
          <w:spacing w:val="-1"/>
        </w:rPr>
        <w:t>include</w:t>
      </w:r>
      <w:r w:rsidRPr="0031675F">
        <w:rPr>
          <w:spacing w:val="15"/>
        </w:rPr>
        <w:t xml:space="preserve"> </w:t>
      </w:r>
      <w:r w:rsidRPr="0031675F">
        <w:t>a</w:t>
      </w:r>
      <w:r w:rsidRPr="0031675F">
        <w:rPr>
          <w:spacing w:val="12"/>
        </w:rPr>
        <w:t xml:space="preserve"> </w:t>
      </w:r>
      <w:r w:rsidRPr="0031675F">
        <w:rPr>
          <w:spacing w:val="-1"/>
        </w:rPr>
        <w:t>covenant</w:t>
      </w:r>
      <w:r w:rsidRPr="0031675F">
        <w:rPr>
          <w:spacing w:val="15"/>
        </w:rPr>
        <w:t xml:space="preserve"> </w:t>
      </w:r>
      <w:r w:rsidRPr="0031675F">
        <w:rPr>
          <w:spacing w:val="-2"/>
        </w:rPr>
        <w:t>by</w:t>
      </w:r>
      <w:r w:rsidRPr="0031675F">
        <w:rPr>
          <w:spacing w:val="15"/>
        </w:rPr>
        <w:t xml:space="preserve"> </w:t>
      </w:r>
      <w:r w:rsidRPr="0031675F">
        <w:rPr>
          <w:spacing w:val="-1"/>
        </w:rPr>
        <w:t>the</w:t>
      </w:r>
      <w:r w:rsidRPr="0031675F">
        <w:rPr>
          <w:spacing w:val="15"/>
        </w:rPr>
        <w:t xml:space="preserve"> </w:t>
      </w:r>
      <w:r w:rsidRPr="0031675F">
        <w:rPr>
          <w:spacing w:val="-1"/>
        </w:rPr>
        <w:t>customer</w:t>
      </w:r>
      <w:r w:rsidRPr="0031675F">
        <w:rPr>
          <w:spacing w:val="14"/>
        </w:rPr>
        <w:t xml:space="preserve"> </w:t>
      </w:r>
      <w:r w:rsidRPr="0031675F">
        <w:rPr>
          <w:spacing w:val="-1"/>
        </w:rPr>
        <w:t>to</w:t>
      </w:r>
      <w:r w:rsidRPr="0031675F">
        <w:rPr>
          <w:spacing w:val="15"/>
        </w:rPr>
        <w:t xml:space="preserve"> </w:t>
      </w:r>
      <w:r w:rsidRPr="0031675F">
        <w:rPr>
          <w:spacing w:val="-1"/>
        </w:rPr>
        <w:t>defend</w:t>
      </w:r>
      <w:r w:rsidRPr="0031675F">
        <w:rPr>
          <w:spacing w:val="14"/>
        </w:rPr>
        <w:t xml:space="preserve"> </w:t>
      </w:r>
      <w:r w:rsidRPr="0031675F">
        <w:rPr>
          <w:spacing w:val="-2"/>
        </w:rPr>
        <w:t>and</w:t>
      </w:r>
      <w:r w:rsidRPr="0031675F">
        <w:rPr>
          <w:spacing w:val="14"/>
        </w:rPr>
        <w:t xml:space="preserve"> </w:t>
      </w:r>
      <w:r w:rsidRPr="0031675F">
        <w:t>hold</w:t>
      </w:r>
      <w:r w:rsidRPr="0031675F">
        <w:rPr>
          <w:spacing w:val="13"/>
        </w:rPr>
        <w:t xml:space="preserve"> </w:t>
      </w:r>
      <w:r w:rsidRPr="0031675F">
        <w:t>WET</w:t>
      </w:r>
      <w:r w:rsidRPr="0031675F">
        <w:rPr>
          <w:spacing w:val="13"/>
        </w:rPr>
        <w:t xml:space="preserve"> </w:t>
      </w:r>
      <w:r w:rsidRPr="0031675F">
        <w:rPr>
          <w:spacing w:val="-1"/>
        </w:rPr>
        <w:t>Labs</w:t>
      </w:r>
      <w:r w:rsidRPr="0031675F">
        <w:rPr>
          <w:spacing w:val="14"/>
        </w:rPr>
        <w:t xml:space="preserve"> </w:t>
      </w:r>
      <w:r w:rsidRPr="0031675F">
        <w:rPr>
          <w:spacing w:val="-1"/>
        </w:rPr>
        <w:t>Inc.</w:t>
      </w:r>
      <w:r w:rsidRPr="0031675F">
        <w:rPr>
          <w:spacing w:val="14"/>
        </w:rPr>
        <w:t xml:space="preserve"> </w:t>
      </w:r>
      <w:r w:rsidRPr="0031675F">
        <w:rPr>
          <w:spacing w:val="-1"/>
        </w:rPr>
        <w:t>harmless</w:t>
      </w:r>
      <w:r w:rsidRPr="0031675F">
        <w:rPr>
          <w:spacing w:val="14"/>
        </w:rPr>
        <w:t xml:space="preserve"> </w:t>
      </w:r>
      <w:r w:rsidRPr="0031675F">
        <w:rPr>
          <w:spacing w:val="-1"/>
        </w:rPr>
        <w:t>from</w:t>
      </w:r>
      <w:r w:rsidRPr="0031675F">
        <w:rPr>
          <w:spacing w:val="15"/>
        </w:rPr>
        <w:t xml:space="preserve"> </w:t>
      </w:r>
      <w:r w:rsidRPr="0031675F">
        <w:t>all</w:t>
      </w:r>
      <w:r w:rsidRPr="0031675F">
        <w:rPr>
          <w:spacing w:val="14"/>
        </w:rPr>
        <w:t xml:space="preserve"> </w:t>
      </w:r>
      <w:r w:rsidRPr="0031675F">
        <w:rPr>
          <w:spacing w:val="-1"/>
        </w:rPr>
        <w:t>product</w:t>
      </w:r>
      <w:r w:rsidRPr="0031675F">
        <w:rPr>
          <w:spacing w:val="55"/>
        </w:rPr>
        <w:t xml:space="preserve"> </w:t>
      </w:r>
      <w:r w:rsidRPr="0031675F">
        <w:rPr>
          <w:spacing w:val="-1"/>
        </w:rPr>
        <w:t>liability</w:t>
      </w:r>
      <w:r w:rsidRPr="0031675F">
        <w:rPr>
          <w:spacing w:val="36"/>
        </w:rPr>
        <w:t xml:space="preserve"> </w:t>
      </w:r>
      <w:r w:rsidRPr="0031675F">
        <w:rPr>
          <w:spacing w:val="-1"/>
        </w:rPr>
        <w:t>claims</w:t>
      </w:r>
      <w:r w:rsidRPr="0031675F">
        <w:rPr>
          <w:spacing w:val="36"/>
        </w:rPr>
        <w:t xml:space="preserve"> </w:t>
      </w:r>
      <w:r w:rsidRPr="0031675F">
        <w:rPr>
          <w:spacing w:val="-1"/>
        </w:rPr>
        <w:t>arising</w:t>
      </w:r>
      <w:r w:rsidRPr="0031675F">
        <w:rPr>
          <w:spacing w:val="35"/>
        </w:rPr>
        <w:t xml:space="preserve"> </w:t>
      </w:r>
      <w:r w:rsidRPr="0031675F">
        <w:rPr>
          <w:spacing w:val="-1"/>
        </w:rPr>
        <w:t>from</w:t>
      </w:r>
      <w:r w:rsidRPr="0031675F">
        <w:rPr>
          <w:spacing w:val="36"/>
        </w:rPr>
        <w:t xml:space="preserve"> </w:t>
      </w:r>
      <w:r w:rsidRPr="0031675F">
        <w:t>the</w:t>
      </w:r>
      <w:r w:rsidRPr="0031675F">
        <w:rPr>
          <w:spacing w:val="36"/>
        </w:rPr>
        <w:t xml:space="preserve"> </w:t>
      </w:r>
      <w:r w:rsidRPr="0031675F">
        <w:rPr>
          <w:spacing w:val="-1"/>
        </w:rPr>
        <w:t>use</w:t>
      </w:r>
      <w:r w:rsidRPr="0031675F">
        <w:rPr>
          <w:spacing w:val="37"/>
        </w:rPr>
        <w:t xml:space="preserve"> </w:t>
      </w:r>
      <w:r w:rsidRPr="0031675F">
        <w:rPr>
          <w:spacing w:val="-1"/>
        </w:rPr>
        <w:t>and</w:t>
      </w:r>
      <w:r w:rsidRPr="0031675F">
        <w:rPr>
          <w:spacing w:val="35"/>
        </w:rPr>
        <w:t xml:space="preserve"> </w:t>
      </w:r>
      <w:r w:rsidRPr="0031675F">
        <w:rPr>
          <w:spacing w:val="-1"/>
        </w:rPr>
        <w:t>servicing</w:t>
      </w:r>
      <w:r w:rsidRPr="0031675F">
        <w:rPr>
          <w:spacing w:val="34"/>
        </w:rPr>
        <w:t xml:space="preserve"> </w:t>
      </w:r>
      <w:r w:rsidRPr="0031675F">
        <w:t>of</w:t>
      </w:r>
      <w:r w:rsidRPr="0031675F">
        <w:rPr>
          <w:spacing w:val="36"/>
        </w:rPr>
        <w:t xml:space="preserve"> </w:t>
      </w:r>
      <w:r w:rsidRPr="0031675F">
        <w:rPr>
          <w:spacing w:val="-1"/>
        </w:rPr>
        <w:t>this</w:t>
      </w:r>
      <w:r w:rsidRPr="0031675F">
        <w:rPr>
          <w:spacing w:val="36"/>
        </w:rPr>
        <w:t xml:space="preserve"> </w:t>
      </w:r>
      <w:r w:rsidRPr="0031675F">
        <w:t>equipment.</w:t>
      </w:r>
      <w:r w:rsidRPr="0031675F">
        <w:rPr>
          <w:spacing w:val="35"/>
        </w:rPr>
        <w:t xml:space="preserve"> </w:t>
      </w:r>
      <w:r w:rsidRPr="0031675F">
        <w:rPr>
          <w:spacing w:val="-1"/>
        </w:rPr>
        <w:t>Flooded</w:t>
      </w:r>
      <w:r w:rsidRPr="0031675F">
        <w:rPr>
          <w:spacing w:val="35"/>
        </w:rPr>
        <w:t xml:space="preserve"> </w:t>
      </w:r>
      <w:r w:rsidRPr="0031675F">
        <w:rPr>
          <w:spacing w:val="-1"/>
        </w:rPr>
        <w:t>instruments</w:t>
      </w:r>
      <w:r w:rsidRPr="0031675F">
        <w:rPr>
          <w:spacing w:val="36"/>
        </w:rPr>
        <w:t xml:space="preserve"> </w:t>
      </w:r>
      <w:r w:rsidRPr="0031675F">
        <w:t>will</w:t>
      </w:r>
      <w:r w:rsidRPr="0031675F">
        <w:rPr>
          <w:spacing w:val="36"/>
        </w:rPr>
        <w:t xml:space="preserve"> </w:t>
      </w:r>
      <w:r w:rsidRPr="0031675F">
        <w:rPr>
          <w:spacing w:val="-1"/>
        </w:rPr>
        <w:t>be</w:t>
      </w:r>
      <w:r w:rsidRPr="0031675F">
        <w:rPr>
          <w:spacing w:val="65"/>
        </w:rPr>
        <w:t xml:space="preserve"> </w:t>
      </w:r>
      <w:r w:rsidRPr="0031675F">
        <w:rPr>
          <w:spacing w:val="-1"/>
        </w:rPr>
        <w:t xml:space="preserve">covered </w:t>
      </w:r>
      <w:r w:rsidRPr="0031675F">
        <w:rPr>
          <w:spacing w:val="-2"/>
        </w:rPr>
        <w:t>by</w:t>
      </w:r>
      <w:r w:rsidRPr="0031675F">
        <w:t xml:space="preserve"> </w:t>
      </w:r>
      <w:r w:rsidRPr="0031675F">
        <w:rPr>
          <w:spacing w:val="-1"/>
        </w:rPr>
        <w:t>WET</w:t>
      </w:r>
      <w:r w:rsidRPr="0031675F">
        <w:rPr>
          <w:spacing w:val="-2"/>
        </w:rPr>
        <w:t xml:space="preserve"> </w:t>
      </w:r>
      <w:r w:rsidRPr="0031675F">
        <w:rPr>
          <w:spacing w:val="-1"/>
        </w:rPr>
        <w:t>Labs</w:t>
      </w:r>
      <w:r w:rsidRPr="0031675F">
        <w:t xml:space="preserve"> Inc.</w:t>
      </w:r>
      <w:r w:rsidRPr="0031675F">
        <w:rPr>
          <w:spacing w:val="-3"/>
        </w:rPr>
        <w:t xml:space="preserve"> </w:t>
      </w:r>
      <w:r w:rsidRPr="0031675F">
        <w:rPr>
          <w:spacing w:val="-1"/>
        </w:rPr>
        <w:t>warranties</w:t>
      </w:r>
      <w:r w:rsidRPr="0031675F">
        <w:rPr>
          <w:spacing w:val="-2"/>
        </w:rPr>
        <w:t xml:space="preserve"> </w:t>
      </w:r>
      <w:r w:rsidRPr="0031675F">
        <w:t>at</w:t>
      </w:r>
      <w:r w:rsidRPr="0031675F">
        <w:rPr>
          <w:spacing w:val="-2"/>
        </w:rPr>
        <w:t xml:space="preserve"> </w:t>
      </w:r>
      <w:r w:rsidRPr="0031675F">
        <w:t xml:space="preserve">the </w:t>
      </w:r>
      <w:r w:rsidRPr="0031675F">
        <w:rPr>
          <w:spacing w:val="-2"/>
        </w:rPr>
        <w:t>discretion</w:t>
      </w:r>
      <w:r w:rsidRPr="0031675F">
        <w:rPr>
          <w:spacing w:val="-1"/>
        </w:rPr>
        <w:t xml:space="preserve"> </w:t>
      </w:r>
      <w:r w:rsidRPr="0031675F">
        <w:t>of</w:t>
      </w:r>
      <w:r w:rsidRPr="0031675F">
        <w:rPr>
          <w:spacing w:val="-2"/>
        </w:rPr>
        <w:t xml:space="preserve"> </w:t>
      </w:r>
      <w:r w:rsidRPr="0031675F">
        <w:t>WET</w:t>
      </w:r>
      <w:r w:rsidRPr="0031675F">
        <w:rPr>
          <w:spacing w:val="-2"/>
        </w:rPr>
        <w:t xml:space="preserve"> </w:t>
      </w:r>
      <w:r w:rsidRPr="0031675F">
        <w:rPr>
          <w:spacing w:val="-1"/>
        </w:rPr>
        <w:t>Labs,</w:t>
      </w:r>
      <w:r w:rsidRPr="0031675F">
        <w:t xml:space="preserve"> Inc.</w:t>
      </w:r>
    </w:p>
    <w:p w14:paraId="5D596655" w14:textId="77777777" w:rsidR="0031675F" w:rsidRPr="0031675F" w:rsidRDefault="0031675F" w:rsidP="0031675F">
      <w:pPr>
        <w:widowControl w:val="0"/>
        <w:numPr>
          <w:ilvl w:val="2"/>
          <w:numId w:val="69"/>
        </w:numPr>
        <w:tabs>
          <w:tab w:val="left" w:pos="839"/>
        </w:tabs>
        <w:spacing w:before="120" w:after="0" w:line="240" w:lineRule="auto"/>
      </w:pPr>
      <w:r w:rsidRPr="0031675F">
        <w:t>Make</w:t>
      </w:r>
      <w:r w:rsidRPr="0031675F">
        <w:rPr>
          <w:spacing w:val="-2"/>
        </w:rPr>
        <w:t xml:space="preserve"> </w:t>
      </w:r>
      <w:r w:rsidRPr="0031675F">
        <w:rPr>
          <w:spacing w:val="-1"/>
        </w:rPr>
        <w:t>sure</w:t>
      </w:r>
      <w:r w:rsidRPr="0031675F">
        <w:rPr>
          <w:spacing w:val="-2"/>
        </w:rPr>
        <w:t xml:space="preserve"> </w:t>
      </w:r>
      <w:r w:rsidRPr="0031675F">
        <w:t xml:space="preserve">the </w:t>
      </w:r>
      <w:r w:rsidRPr="0031675F">
        <w:rPr>
          <w:spacing w:val="-1"/>
        </w:rPr>
        <w:t>instrument</w:t>
      </w:r>
      <w:r w:rsidRPr="0031675F">
        <w:t xml:space="preserve"> </w:t>
      </w:r>
      <w:r w:rsidRPr="0031675F">
        <w:rPr>
          <w:spacing w:val="-2"/>
        </w:rPr>
        <w:t>is</w:t>
      </w:r>
      <w:r w:rsidRPr="0031675F">
        <w:t xml:space="preserve"> </w:t>
      </w:r>
      <w:r w:rsidRPr="0031675F">
        <w:rPr>
          <w:spacing w:val="-1"/>
        </w:rPr>
        <w:t>thoroughly</w:t>
      </w:r>
      <w:r w:rsidRPr="0031675F">
        <w:t xml:space="preserve"> </w:t>
      </w:r>
      <w:r w:rsidRPr="0031675F">
        <w:rPr>
          <w:spacing w:val="-1"/>
        </w:rPr>
        <w:t>dry.</w:t>
      </w:r>
    </w:p>
    <w:p w14:paraId="49B7B281" w14:textId="77777777" w:rsidR="0031675F" w:rsidRPr="0031675F" w:rsidRDefault="0031675F" w:rsidP="0031675F">
      <w:pPr>
        <w:widowControl w:val="0"/>
        <w:numPr>
          <w:ilvl w:val="2"/>
          <w:numId w:val="69"/>
        </w:numPr>
        <w:tabs>
          <w:tab w:val="left" w:pos="839"/>
        </w:tabs>
        <w:spacing w:before="121" w:after="0" w:line="240" w:lineRule="auto"/>
      </w:pPr>
      <w:r w:rsidRPr="0031675F">
        <w:rPr>
          <w:spacing w:val="-1"/>
        </w:rPr>
        <w:t>Remove</w:t>
      </w:r>
      <w:r w:rsidRPr="0031675F">
        <w:rPr>
          <w:spacing w:val="-2"/>
        </w:rPr>
        <w:t xml:space="preserve"> </w:t>
      </w:r>
      <w:r w:rsidRPr="0031675F">
        <w:t xml:space="preserve">the </w:t>
      </w:r>
      <w:r w:rsidRPr="0031675F">
        <w:rPr>
          <w:spacing w:val="-2"/>
        </w:rPr>
        <w:t>dummy</w:t>
      </w:r>
      <w:r w:rsidRPr="0031675F">
        <w:t xml:space="preserve"> </w:t>
      </w:r>
      <w:r w:rsidRPr="0031675F">
        <w:rPr>
          <w:spacing w:val="-2"/>
        </w:rPr>
        <w:t>plugs.</w:t>
      </w:r>
    </w:p>
    <w:p w14:paraId="2747E0B9" w14:textId="77777777" w:rsidR="0031675F" w:rsidRPr="0031675F" w:rsidRDefault="0031675F" w:rsidP="0031675F">
      <w:pPr>
        <w:widowControl w:val="0"/>
        <w:numPr>
          <w:ilvl w:val="2"/>
          <w:numId w:val="69"/>
        </w:numPr>
        <w:tabs>
          <w:tab w:val="left" w:pos="839"/>
        </w:tabs>
        <w:spacing w:before="120" w:after="0" w:line="240" w:lineRule="auto"/>
      </w:pPr>
      <w:r w:rsidRPr="0031675F">
        <w:t>With</w:t>
      </w:r>
      <w:r w:rsidRPr="0031675F">
        <w:rPr>
          <w:spacing w:val="-1"/>
        </w:rPr>
        <w:t xml:space="preserve"> connector</w:t>
      </w:r>
      <w:r w:rsidRPr="0031675F">
        <w:rPr>
          <w:spacing w:val="-2"/>
        </w:rPr>
        <w:t xml:space="preserve"> </w:t>
      </w:r>
      <w:r w:rsidRPr="0031675F">
        <w:t>end</w:t>
      </w:r>
      <w:r w:rsidRPr="0031675F">
        <w:rPr>
          <w:spacing w:val="-2"/>
        </w:rPr>
        <w:t xml:space="preserve"> </w:t>
      </w:r>
      <w:r w:rsidRPr="0031675F">
        <w:rPr>
          <w:spacing w:val="-1"/>
        </w:rPr>
        <w:t>flange</w:t>
      </w:r>
      <w:r w:rsidRPr="0031675F">
        <w:rPr>
          <w:spacing w:val="-2"/>
        </w:rPr>
        <w:t xml:space="preserve"> </w:t>
      </w:r>
      <w:r w:rsidRPr="0031675F">
        <w:rPr>
          <w:spacing w:val="-1"/>
        </w:rPr>
        <w:t>pointed downwards</w:t>
      </w:r>
      <w:r w:rsidRPr="0031675F">
        <w:rPr>
          <w:spacing w:val="-3"/>
        </w:rPr>
        <w:t xml:space="preserve"> </w:t>
      </w:r>
      <w:r w:rsidRPr="0031675F">
        <w:rPr>
          <w:spacing w:val="-1"/>
        </w:rPr>
        <w:t>away</w:t>
      </w:r>
      <w:r w:rsidRPr="0031675F">
        <w:t xml:space="preserve"> </w:t>
      </w:r>
      <w:r w:rsidRPr="0031675F">
        <w:rPr>
          <w:spacing w:val="-1"/>
        </w:rPr>
        <w:t>from</w:t>
      </w:r>
      <w:r w:rsidRPr="0031675F">
        <w:rPr>
          <w:spacing w:val="-2"/>
        </w:rPr>
        <w:t xml:space="preserve"> </w:t>
      </w:r>
      <w:r w:rsidRPr="0031675F">
        <w:rPr>
          <w:spacing w:val="-1"/>
        </w:rPr>
        <w:t>face,</w:t>
      </w:r>
      <w:r w:rsidRPr="0031675F">
        <w:t xml:space="preserve"> </w:t>
      </w:r>
      <w:r w:rsidRPr="0031675F">
        <w:rPr>
          <w:spacing w:val="-1"/>
        </w:rPr>
        <w:t>release</w:t>
      </w:r>
      <w:r w:rsidRPr="0031675F">
        <w:rPr>
          <w:spacing w:val="-2"/>
        </w:rPr>
        <w:t xml:space="preserve"> </w:t>
      </w:r>
      <w:r w:rsidRPr="0031675F">
        <w:t xml:space="preserve">seal </w:t>
      </w:r>
      <w:r w:rsidRPr="0031675F">
        <w:rPr>
          <w:spacing w:val="-2"/>
        </w:rPr>
        <w:t xml:space="preserve">from </w:t>
      </w:r>
      <w:r w:rsidRPr="0031675F">
        <w:t>vent</w:t>
      </w:r>
      <w:r w:rsidRPr="0031675F">
        <w:rPr>
          <w:spacing w:val="-3"/>
        </w:rPr>
        <w:t xml:space="preserve"> </w:t>
      </w:r>
      <w:r w:rsidRPr="0031675F">
        <w:t>plug.</w:t>
      </w:r>
    </w:p>
    <w:p w14:paraId="0B84D53A" w14:textId="77777777" w:rsidR="0031675F" w:rsidRPr="0031675F" w:rsidRDefault="0031675F" w:rsidP="0031675F">
      <w:pPr>
        <w:widowControl w:val="0"/>
        <w:numPr>
          <w:ilvl w:val="2"/>
          <w:numId w:val="69"/>
        </w:numPr>
        <w:tabs>
          <w:tab w:val="left" w:pos="839"/>
        </w:tabs>
        <w:spacing w:before="120" w:after="0" w:line="240" w:lineRule="auto"/>
      </w:pPr>
      <w:r w:rsidRPr="0031675F">
        <w:rPr>
          <w:spacing w:val="-1"/>
        </w:rPr>
        <w:t>Remove</w:t>
      </w:r>
      <w:r w:rsidRPr="0031675F">
        <w:rPr>
          <w:spacing w:val="-2"/>
        </w:rPr>
        <w:t xml:space="preserve"> </w:t>
      </w:r>
      <w:r w:rsidRPr="0031675F">
        <w:rPr>
          <w:spacing w:val="-1"/>
        </w:rPr>
        <w:t>moisture</w:t>
      </w:r>
      <w:r w:rsidRPr="0031675F">
        <w:rPr>
          <w:spacing w:val="-2"/>
        </w:rPr>
        <w:t xml:space="preserve"> </w:t>
      </w:r>
      <w:r w:rsidRPr="0031675F">
        <w:rPr>
          <w:spacing w:val="-1"/>
        </w:rPr>
        <w:t>from vent</w:t>
      </w:r>
      <w:r w:rsidRPr="0031675F">
        <w:t xml:space="preserve"> </w:t>
      </w:r>
      <w:r w:rsidRPr="0031675F">
        <w:rPr>
          <w:spacing w:val="-1"/>
        </w:rPr>
        <w:t xml:space="preserve">plug </w:t>
      </w:r>
      <w:r w:rsidRPr="0031675F">
        <w:t>area.</w:t>
      </w:r>
    </w:p>
    <w:p w14:paraId="01F4D882" w14:textId="77777777" w:rsidR="0031675F" w:rsidRPr="0031675F" w:rsidRDefault="0031675F" w:rsidP="0031675F">
      <w:pPr>
        <w:widowControl w:val="0"/>
        <w:numPr>
          <w:ilvl w:val="2"/>
          <w:numId w:val="69"/>
        </w:numPr>
        <w:tabs>
          <w:tab w:val="left" w:pos="839"/>
        </w:tabs>
        <w:spacing w:before="118" w:after="0" w:line="240" w:lineRule="auto"/>
      </w:pPr>
      <w:r w:rsidRPr="0031675F">
        <w:rPr>
          <w:spacing w:val="-1"/>
        </w:rPr>
        <w:t>Using needle</w:t>
      </w:r>
      <w:r w:rsidRPr="0031675F">
        <w:t xml:space="preserve"> </w:t>
      </w:r>
      <w:r w:rsidRPr="0031675F">
        <w:rPr>
          <w:spacing w:val="-1"/>
        </w:rPr>
        <w:t>nose</w:t>
      </w:r>
      <w:r w:rsidRPr="0031675F">
        <w:rPr>
          <w:spacing w:val="-2"/>
        </w:rPr>
        <w:t xml:space="preserve"> </w:t>
      </w:r>
      <w:r w:rsidRPr="0031675F">
        <w:rPr>
          <w:spacing w:val="-1"/>
        </w:rPr>
        <w:t>pliers,</w:t>
      </w:r>
      <w:r w:rsidRPr="0031675F">
        <w:t xml:space="preserve"> </w:t>
      </w:r>
      <w:r w:rsidRPr="0031675F">
        <w:rPr>
          <w:spacing w:val="-1"/>
        </w:rPr>
        <w:t>remove</w:t>
      </w:r>
      <w:r w:rsidRPr="0031675F">
        <w:t xml:space="preserve"> </w:t>
      </w:r>
      <w:r w:rsidRPr="0031675F">
        <w:rPr>
          <w:spacing w:val="-1"/>
        </w:rPr>
        <w:t>filament</w:t>
      </w:r>
      <w:r w:rsidRPr="0031675F">
        <w:rPr>
          <w:spacing w:val="-3"/>
        </w:rPr>
        <w:t xml:space="preserve"> </w:t>
      </w:r>
      <w:r w:rsidRPr="0031675F">
        <w:rPr>
          <w:spacing w:val="-1"/>
        </w:rPr>
        <w:t xml:space="preserve">from </w:t>
      </w:r>
      <w:r w:rsidRPr="0031675F">
        <w:t>end</w:t>
      </w:r>
      <w:r w:rsidRPr="0031675F">
        <w:rPr>
          <w:spacing w:val="-2"/>
        </w:rPr>
        <w:t xml:space="preserve"> </w:t>
      </w:r>
      <w:r w:rsidRPr="0031675F">
        <w:rPr>
          <w:spacing w:val="-1"/>
        </w:rPr>
        <w:t>flange.</w:t>
      </w:r>
    </w:p>
    <w:p w14:paraId="29229CD0" w14:textId="77777777" w:rsidR="0031675F" w:rsidRPr="0031675F" w:rsidRDefault="0031675F" w:rsidP="0031675F">
      <w:pPr>
        <w:widowControl w:val="0"/>
        <w:numPr>
          <w:ilvl w:val="2"/>
          <w:numId w:val="69"/>
        </w:numPr>
        <w:tabs>
          <w:tab w:val="left" w:pos="839"/>
        </w:tabs>
        <w:spacing w:before="120" w:after="0" w:line="240" w:lineRule="auto"/>
        <w:ind w:right="114"/>
        <w:jc w:val="both"/>
      </w:pPr>
      <w:r w:rsidRPr="0031675F">
        <w:t>Lift</w:t>
      </w:r>
      <w:r w:rsidRPr="0031675F">
        <w:rPr>
          <w:spacing w:val="35"/>
        </w:rPr>
        <w:t xml:space="preserve"> </w:t>
      </w:r>
      <w:r w:rsidRPr="0031675F">
        <w:rPr>
          <w:spacing w:val="-1"/>
        </w:rPr>
        <w:t>flange</w:t>
      </w:r>
      <w:r w:rsidRPr="0031675F">
        <w:rPr>
          <w:spacing w:val="37"/>
        </w:rPr>
        <w:t xml:space="preserve"> </w:t>
      </w:r>
      <w:r w:rsidRPr="0031675F">
        <w:rPr>
          <w:spacing w:val="-1"/>
        </w:rPr>
        <w:t>from</w:t>
      </w:r>
      <w:r w:rsidRPr="0031675F">
        <w:rPr>
          <w:spacing w:val="37"/>
        </w:rPr>
        <w:t xml:space="preserve"> </w:t>
      </w:r>
      <w:r w:rsidRPr="0031675F">
        <w:rPr>
          <w:spacing w:val="-1"/>
        </w:rPr>
        <w:t>pressure</w:t>
      </w:r>
      <w:r w:rsidRPr="0031675F">
        <w:rPr>
          <w:spacing w:val="33"/>
        </w:rPr>
        <w:t xml:space="preserve"> </w:t>
      </w:r>
      <w:r w:rsidRPr="0031675F">
        <w:rPr>
          <w:spacing w:val="-1"/>
        </w:rPr>
        <w:t>housing</w:t>
      </w:r>
      <w:r w:rsidRPr="0031675F">
        <w:rPr>
          <w:spacing w:val="35"/>
        </w:rPr>
        <w:t xml:space="preserve"> </w:t>
      </w:r>
      <w:r w:rsidRPr="0031675F">
        <w:rPr>
          <w:spacing w:val="-1"/>
        </w:rPr>
        <w:t>until</w:t>
      </w:r>
      <w:r w:rsidRPr="0031675F">
        <w:rPr>
          <w:spacing w:val="36"/>
        </w:rPr>
        <w:t xml:space="preserve"> </w:t>
      </w:r>
      <w:r w:rsidRPr="0031675F">
        <w:rPr>
          <w:spacing w:val="-1"/>
        </w:rPr>
        <w:t>seal</w:t>
      </w:r>
      <w:r w:rsidRPr="0031675F">
        <w:rPr>
          <w:spacing w:val="37"/>
        </w:rPr>
        <w:t xml:space="preserve"> </w:t>
      </w:r>
      <w:r w:rsidRPr="0031675F">
        <w:t>is</w:t>
      </w:r>
      <w:r w:rsidRPr="0031675F">
        <w:rPr>
          <w:spacing w:val="35"/>
        </w:rPr>
        <w:t xml:space="preserve"> </w:t>
      </w:r>
      <w:r w:rsidRPr="0031675F">
        <w:rPr>
          <w:spacing w:val="-1"/>
        </w:rPr>
        <w:t>broken.</w:t>
      </w:r>
      <w:r w:rsidRPr="0031675F">
        <w:rPr>
          <w:spacing w:val="35"/>
        </w:rPr>
        <w:t xml:space="preserve"> </w:t>
      </w:r>
      <w:r w:rsidRPr="0031675F">
        <w:rPr>
          <w:spacing w:val="-1"/>
        </w:rPr>
        <w:t>The</w:t>
      </w:r>
      <w:r w:rsidRPr="0031675F">
        <w:rPr>
          <w:spacing w:val="37"/>
        </w:rPr>
        <w:t xml:space="preserve"> </w:t>
      </w:r>
      <w:r w:rsidRPr="0031675F">
        <w:rPr>
          <w:spacing w:val="-1"/>
        </w:rPr>
        <w:t>jacking</w:t>
      </w:r>
      <w:r w:rsidRPr="0031675F">
        <w:rPr>
          <w:spacing w:val="34"/>
        </w:rPr>
        <w:t xml:space="preserve"> </w:t>
      </w:r>
      <w:r w:rsidRPr="0031675F">
        <w:rPr>
          <w:spacing w:val="-1"/>
        </w:rPr>
        <w:t>screws</w:t>
      </w:r>
      <w:r w:rsidRPr="0031675F">
        <w:rPr>
          <w:spacing w:val="37"/>
        </w:rPr>
        <w:t xml:space="preserve"> </w:t>
      </w:r>
      <w:r w:rsidRPr="0031675F">
        <w:rPr>
          <w:spacing w:val="-1"/>
        </w:rPr>
        <w:t>can</w:t>
      </w:r>
      <w:r w:rsidRPr="0031675F">
        <w:rPr>
          <w:spacing w:val="35"/>
        </w:rPr>
        <w:t xml:space="preserve"> </w:t>
      </w:r>
      <w:r w:rsidRPr="0031675F">
        <w:rPr>
          <w:spacing w:val="-1"/>
        </w:rPr>
        <w:t>be</w:t>
      </w:r>
      <w:r w:rsidRPr="0031675F">
        <w:rPr>
          <w:spacing w:val="37"/>
        </w:rPr>
        <w:t xml:space="preserve"> </w:t>
      </w:r>
      <w:r w:rsidRPr="0031675F">
        <w:rPr>
          <w:spacing w:val="-1"/>
        </w:rPr>
        <w:t>used</w:t>
      </w:r>
      <w:r w:rsidRPr="0031675F">
        <w:rPr>
          <w:spacing w:val="35"/>
        </w:rPr>
        <w:t xml:space="preserve"> </w:t>
      </w:r>
      <w:r w:rsidRPr="0031675F">
        <w:t>to</w:t>
      </w:r>
      <w:r w:rsidRPr="0031675F">
        <w:rPr>
          <w:spacing w:val="39"/>
        </w:rPr>
        <w:t xml:space="preserve"> </w:t>
      </w:r>
      <w:r w:rsidRPr="0031675F">
        <w:rPr>
          <w:rFonts w:cs="Calibri"/>
          <w:spacing w:val="-1"/>
        </w:rPr>
        <w:t>“push”</w:t>
      </w:r>
      <w:r w:rsidRPr="0031675F">
        <w:rPr>
          <w:rFonts w:cs="Calibri"/>
          <w:spacing w:val="29"/>
        </w:rPr>
        <w:t xml:space="preserve"> </w:t>
      </w:r>
      <w:r w:rsidRPr="0031675F">
        <w:rPr>
          <w:rFonts w:cs="Calibri"/>
        </w:rPr>
        <w:t>the</w:t>
      </w:r>
      <w:r w:rsidRPr="0031675F">
        <w:rPr>
          <w:rFonts w:cs="Calibri"/>
          <w:spacing w:val="29"/>
        </w:rPr>
        <w:t xml:space="preserve"> </w:t>
      </w:r>
      <w:r w:rsidRPr="0031675F">
        <w:rPr>
          <w:rFonts w:cs="Calibri"/>
          <w:spacing w:val="-1"/>
        </w:rPr>
        <w:t>flange</w:t>
      </w:r>
      <w:r w:rsidRPr="0031675F">
        <w:rPr>
          <w:rFonts w:cs="Calibri"/>
          <w:spacing w:val="30"/>
        </w:rPr>
        <w:t xml:space="preserve"> </w:t>
      </w:r>
      <w:r w:rsidRPr="0031675F">
        <w:rPr>
          <w:rFonts w:cs="Calibri"/>
          <w:spacing w:val="-1"/>
        </w:rPr>
        <w:t>from</w:t>
      </w:r>
      <w:r w:rsidRPr="0031675F">
        <w:rPr>
          <w:rFonts w:cs="Calibri"/>
          <w:spacing w:val="29"/>
        </w:rPr>
        <w:t xml:space="preserve"> </w:t>
      </w:r>
      <w:r w:rsidRPr="0031675F">
        <w:rPr>
          <w:rFonts w:cs="Calibri"/>
          <w:spacing w:val="-1"/>
        </w:rPr>
        <w:t>the</w:t>
      </w:r>
      <w:r w:rsidRPr="0031675F">
        <w:rPr>
          <w:rFonts w:cs="Calibri"/>
          <w:spacing w:val="30"/>
        </w:rPr>
        <w:t xml:space="preserve"> </w:t>
      </w:r>
      <w:r w:rsidRPr="0031675F">
        <w:rPr>
          <w:rFonts w:cs="Calibri"/>
          <w:spacing w:val="-1"/>
        </w:rPr>
        <w:t>pressure</w:t>
      </w:r>
      <w:r w:rsidRPr="0031675F">
        <w:rPr>
          <w:rFonts w:cs="Calibri"/>
          <w:spacing w:val="30"/>
        </w:rPr>
        <w:t xml:space="preserve"> </w:t>
      </w:r>
      <w:r w:rsidRPr="0031675F">
        <w:rPr>
          <w:rFonts w:cs="Calibri"/>
          <w:spacing w:val="-1"/>
        </w:rPr>
        <w:t>housing</w:t>
      </w:r>
      <w:r w:rsidRPr="0031675F">
        <w:rPr>
          <w:rFonts w:cs="Calibri"/>
          <w:spacing w:val="28"/>
        </w:rPr>
        <w:t xml:space="preserve"> </w:t>
      </w:r>
      <w:r w:rsidRPr="0031675F">
        <w:rPr>
          <w:rFonts w:cs="Calibri"/>
          <w:spacing w:val="-1"/>
        </w:rPr>
        <w:t>and</w:t>
      </w:r>
      <w:r w:rsidRPr="0031675F">
        <w:rPr>
          <w:rFonts w:cs="Calibri"/>
          <w:spacing w:val="27"/>
        </w:rPr>
        <w:t xml:space="preserve"> </w:t>
      </w:r>
      <w:r w:rsidRPr="0031675F">
        <w:rPr>
          <w:rFonts w:cs="Calibri"/>
        </w:rPr>
        <w:t>then</w:t>
      </w:r>
      <w:r w:rsidRPr="0031675F">
        <w:rPr>
          <w:rFonts w:cs="Calibri"/>
          <w:spacing w:val="28"/>
        </w:rPr>
        <w:t xml:space="preserve"> </w:t>
      </w:r>
      <w:r w:rsidRPr="0031675F">
        <w:rPr>
          <w:rFonts w:cs="Calibri"/>
        </w:rPr>
        <w:t>can</w:t>
      </w:r>
      <w:r w:rsidRPr="0031675F">
        <w:rPr>
          <w:rFonts w:cs="Calibri"/>
          <w:spacing w:val="28"/>
        </w:rPr>
        <w:t xml:space="preserve"> </w:t>
      </w:r>
      <w:r w:rsidRPr="0031675F">
        <w:rPr>
          <w:rFonts w:cs="Calibri"/>
          <w:spacing w:val="-1"/>
        </w:rPr>
        <w:t>be</w:t>
      </w:r>
      <w:r w:rsidRPr="0031675F">
        <w:rPr>
          <w:rFonts w:cs="Calibri"/>
          <w:spacing w:val="29"/>
        </w:rPr>
        <w:t xml:space="preserve"> </w:t>
      </w:r>
      <w:r w:rsidRPr="0031675F">
        <w:rPr>
          <w:rFonts w:cs="Calibri"/>
        </w:rPr>
        <w:t>remov</w:t>
      </w:r>
      <w:r w:rsidRPr="0031675F">
        <w:t>ed</w:t>
      </w:r>
      <w:r w:rsidRPr="0031675F">
        <w:rPr>
          <w:spacing w:val="26"/>
        </w:rPr>
        <w:t xml:space="preserve"> </w:t>
      </w:r>
      <w:r w:rsidRPr="0031675F">
        <w:t>or</w:t>
      </w:r>
      <w:r w:rsidRPr="0031675F">
        <w:rPr>
          <w:spacing w:val="29"/>
        </w:rPr>
        <w:t xml:space="preserve"> </w:t>
      </w:r>
      <w:r w:rsidRPr="0031675F">
        <w:rPr>
          <w:spacing w:val="-1"/>
        </w:rPr>
        <w:t>left</w:t>
      </w:r>
      <w:r w:rsidRPr="0031675F">
        <w:rPr>
          <w:spacing w:val="30"/>
        </w:rPr>
        <w:t xml:space="preserve"> </w:t>
      </w:r>
      <w:r w:rsidRPr="0031675F">
        <w:t>in</w:t>
      </w:r>
      <w:r w:rsidRPr="0031675F">
        <w:rPr>
          <w:spacing w:val="27"/>
        </w:rPr>
        <w:t xml:space="preserve"> </w:t>
      </w:r>
      <w:r w:rsidRPr="0031675F">
        <w:t>the</w:t>
      </w:r>
      <w:r w:rsidRPr="0031675F">
        <w:rPr>
          <w:spacing w:val="29"/>
        </w:rPr>
        <w:t xml:space="preserve"> </w:t>
      </w:r>
      <w:r w:rsidRPr="0031675F">
        <w:t>end</w:t>
      </w:r>
      <w:r w:rsidRPr="0031675F">
        <w:rPr>
          <w:spacing w:val="57"/>
        </w:rPr>
        <w:t xml:space="preserve"> </w:t>
      </w:r>
      <w:r w:rsidRPr="0031675F">
        <w:rPr>
          <w:spacing w:val="-1"/>
        </w:rPr>
        <w:t>flange.</w:t>
      </w:r>
    </w:p>
    <w:p w14:paraId="2FE6AA23" w14:textId="77777777" w:rsidR="0031675F" w:rsidRPr="0031675F" w:rsidRDefault="0031675F" w:rsidP="0031675F">
      <w:pPr>
        <w:widowControl w:val="0"/>
        <w:numPr>
          <w:ilvl w:val="2"/>
          <w:numId w:val="69"/>
        </w:numPr>
        <w:tabs>
          <w:tab w:val="left" w:pos="839"/>
        </w:tabs>
        <w:spacing w:before="120" w:after="0" w:line="240" w:lineRule="auto"/>
      </w:pPr>
      <w:r w:rsidRPr="0031675F">
        <w:rPr>
          <w:spacing w:val="-1"/>
        </w:rPr>
        <w:t>Remove</w:t>
      </w:r>
      <w:r w:rsidRPr="0031675F">
        <w:t xml:space="preserve"> </w:t>
      </w:r>
      <w:r w:rsidRPr="0031675F">
        <w:rPr>
          <w:spacing w:val="-2"/>
        </w:rPr>
        <w:t>any</w:t>
      </w:r>
      <w:r w:rsidRPr="0031675F">
        <w:t xml:space="preserve"> </w:t>
      </w:r>
      <w:r w:rsidRPr="0031675F">
        <w:rPr>
          <w:spacing w:val="-1"/>
        </w:rPr>
        <w:t>excess</w:t>
      </w:r>
      <w:r w:rsidRPr="0031675F">
        <w:rPr>
          <w:spacing w:val="-2"/>
        </w:rPr>
        <w:t xml:space="preserve"> </w:t>
      </w:r>
      <w:r w:rsidRPr="0031675F">
        <w:rPr>
          <w:spacing w:val="-1"/>
        </w:rPr>
        <w:t>moisture</w:t>
      </w:r>
      <w:r w:rsidRPr="0031675F">
        <w:t xml:space="preserve"> </w:t>
      </w:r>
      <w:r w:rsidRPr="0031675F">
        <w:rPr>
          <w:spacing w:val="-1"/>
        </w:rPr>
        <w:t>from</w:t>
      </w:r>
      <w:r w:rsidRPr="0031675F">
        <w:rPr>
          <w:spacing w:val="1"/>
        </w:rPr>
        <w:t xml:space="preserve"> </w:t>
      </w:r>
      <w:r w:rsidRPr="0031675F">
        <w:rPr>
          <w:spacing w:val="-1"/>
        </w:rPr>
        <w:t>flange</w:t>
      </w:r>
      <w:r w:rsidRPr="0031675F">
        <w:rPr>
          <w:rFonts w:cs="Calibri"/>
          <w:spacing w:val="-1"/>
        </w:rPr>
        <w:t>–</w:t>
      </w:r>
      <w:r w:rsidRPr="0031675F">
        <w:rPr>
          <w:spacing w:val="-1"/>
        </w:rPr>
        <w:t>can</w:t>
      </w:r>
      <w:r w:rsidRPr="0031675F">
        <w:rPr>
          <w:spacing w:val="-3"/>
        </w:rPr>
        <w:t xml:space="preserve"> </w:t>
      </w:r>
      <w:r w:rsidRPr="0031675F">
        <w:rPr>
          <w:spacing w:val="-1"/>
        </w:rPr>
        <w:t>seal</w:t>
      </w:r>
      <w:r w:rsidRPr="0031675F">
        <w:t xml:space="preserve"> </w:t>
      </w:r>
      <w:r w:rsidRPr="0031675F">
        <w:rPr>
          <w:spacing w:val="-1"/>
        </w:rPr>
        <w:t>area.</w:t>
      </w:r>
    </w:p>
    <w:p w14:paraId="3F19D1A3" w14:textId="77777777" w:rsidR="0031675F" w:rsidRPr="0031675F" w:rsidRDefault="0031675F" w:rsidP="0031675F">
      <w:pPr>
        <w:widowControl w:val="0"/>
        <w:numPr>
          <w:ilvl w:val="2"/>
          <w:numId w:val="69"/>
        </w:numPr>
        <w:tabs>
          <w:tab w:val="left" w:pos="839"/>
        </w:tabs>
        <w:spacing w:before="120" w:after="0" w:line="240" w:lineRule="auto"/>
      </w:pPr>
      <w:r w:rsidRPr="0031675F">
        <w:t>Work</w:t>
      </w:r>
      <w:r w:rsidRPr="0031675F">
        <w:rPr>
          <w:spacing w:val="28"/>
        </w:rPr>
        <w:t xml:space="preserve"> </w:t>
      </w:r>
      <w:r w:rsidRPr="0031675F">
        <w:t>end</w:t>
      </w:r>
      <w:r w:rsidRPr="0031675F">
        <w:rPr>
          <w:spacing w:val="30"/>
        </w:rPr>
        <w:t xml:space="preserve"> </w:t>
      </w:r>
      <w:r w:rsidRPr="0031675F">
        <w:rPr>
          <w:spacing w:val="-1"/>
        </w:rPr>
        <w:t>flange</w:t>
      </w:r>
      <w:r w:rsidRPr="0031675F">
        <w:rPr>
          <w:spacing w:val="32"/>
        </w:rPr>
        <w:t xml:space="preserve"> </w:t>
      </w:r>
      <w:r w:rsidRPr="0031675F">
        <w:t>out</w:t>
      </w:r>
      <w:r w:rsidRPr="0031675F">
        <w:rPr>
          <w:spacing w:val="29"/>
        </w:rPr>
        <w:t xml:space="preserve"> </w:t>
      </w:r>
      <w:r w:rsidRPr="0031675F">
        <w:t>of</w:t>
      </w:r>
      <w:r w:rsidRPr="0031675F">
        <w:rPr>
          <w:spacing w:val="31"/>
        </w:rPr>
        <w:t xml:space="preserve"> </w:t>
      </w:r>
      <w:r w:rsidRPr="0031675F">
        <w:rPr>
          <w:spacing w:val="-1"/>
        </w:rPr>
        <w:t>pressure</w:t>
      </w:r>
      <w:r w:rsidRPr="0031675F">
        <w:rPr>
          <w:spacing w:val="32"/>
        </w:rPr>
        <w:t xml:space="preserve"> </w:t>
      </w:r>
      <w:r w:rsidRPr="0031675F">
        <w:rPr>
          <w:spacing w:val="-1"/>
        </w:rPr>
        <w:t>housing</w:t>
      </w:r>
      <w:r w:rsidRPr="0031675F">
        <w:rPr>
          <w:spacing w:val="31"/>
        </w:rPr>
        <w:t xml:space="preserve"> </w:t>
      </w:r>
      <w:r w:rsidRPr="0031675F">
        <w:rPr>
          <w:spacing w:val="-1"/>
        </w:rPr>
        <w:t>and</w:t>
      </w:r>
      <w:r w:rsidRPr="0031675F">
        <w:rPr>
          <w:spacing w:val="30"/>
        </w:rPr>
        <w:t xml:space="preserve"> </w:t>
      </w:r>
      <w:r w:rsidRPr="0031675F">
        <w:rPr>
          <w:spacing w:val="-2"/>
        </w:rPr>
        <w:t>remove</w:t>
      </w:r>
      <w:r w:rsidRPr="0031675F">
        <w:rPr>
          <w:spacing w:val="32"/>
        </w:rPr>
        <w:t xml:space="preserve"> </w:t>
      </w:r>
      <w:r w:rsidRPr="0031675F">
        <w:rPr>
          <w:spacing w:val="-1"/>
        </w:rPr>
        <w:t>any</w:t>
      </w:r>
      <w:r w:rsidRPr="0031675F">
        <w:rPr>
          <w:spacing w:val="32"/>
        </w:rPr>
        <w:t xml:space="preserve"> </w:t>
      </w:r>
      <w:r w:rsidRPr="0031675F">
        <w:rPr>
          <w:spacing w:val="-1"/>
        </w:rPr>
        <w:t>residual</w:t>
      </w:r>
      <w:r w:rsidRPr="0031675F">
        <w:rPr>
          <w:spacing w:val="30"/>
        </w:rPr>
        <w:t xml:space="preserve"> </w:t>
      </w:r>
      <w:r w:rsidRPr="0031675F">
        <w:rPr>
          <w:spacing w:val="-1"/>
        </w:rPr>
        <w:t>moisture.</w:t>
      </w:r>
      <w:r w:rsidRPr="0031675F">
        <w:rPr>
          <w:spacing w:val="31"/>
        </w:rPr>
        <w:t xml:space="preserve"> </w:t>
      </w:r>
      <w:r w:rsidRPr="0031675F">
        <w:rPr>
          <w:spacing w:val="-1"/>
        </w:rPr>
        <w:t>Remove</w:t>
      </w:r>
      <w:r w:rsidRPr="0031675F">
        <w:rPr>
          <w:spacing w:val="32"/>
        </w:rPr>
        <w:t xml:space="preserve"> </w:t>
      </w:r>
      <w:r w:rsidRPr="0031675F">
        <w:t>the</w:t>
      </w:r>
      <w:r w:rsidRPr="0031675F">
        <w:rPr>
          <w:spacing w:val="55"/>
        </w:rPr>
        <w:t xml:space="preserve"> </w:t>
      </w:r>
      <w:r w:rsidRPr="0031675F">
        <w:rPr>
          <w:spacing w:val="-1"/>
        </w:rPr>
        <w:t>grey</w:t>
      </w:r>
      <w:r w:rsidRPr="0031675F">
        <w:t xml:space="preserve"> </w:t>
      </w:r>
      <w:r w:rsidRPr="0031675F">
        <w:rPr>
          <w:spacing w:val="-2"/>
        </w:rPr>
        <w:t>foam</w:t>
      </w:r>
      <w:r w:rsidRPr="0031675F">
        <w:rPr>
          <w:spacing w:val="1"/>
        </w:rPr>
        <w:t xml:space="preserve"> </w:t>
      </w:r>
      <w:r w:rsidRPr="0031675F">
        <w:rPr>
          <w:spacing w:val="-1"/>
        </w:rPr>
        <w:t>spacer</w:t>
      </w:r>
      <w:r w:rsidRPr="0031675F">
        <w:t xml:space="preserve"> </w:t>
      </w:r>
      <w:r w:rsidRPr="0031675F">
        <w:rPr>
          <w:spacing w:val="-1"/>
        </w:rPr>
        <w:t>and the</w:t>
      </w:r>
      <w:r w:rsidRPr="0031675F">
        <w:rPr>
          <w:spacing w:val="-2"/>
        </w:rPr>
        <w:t xml:space="preserve"> </w:t>
      </w:r>
      <w:r w:rsidRPr="0031675F">
        <w:rPr>
          <w:spacing w:val="-1"/>
        </w:rPr>
        <w:t>neoprene</w:t>
      </w:r>
      <w:r w:rsidRPr="0031675F">
        <w:t xml:space="preserve"> </w:t>
      </w:r>
      <w:r w:rsidRPr="0031675F">
        <w:rPr>
          <w:spacing w:val="-1"/>
        </w:rPr>
        <w:t>insulator.</w:t>
      </w:r>
    </w:p>
    <w:p w14:paraId="22378B35" w14:textId="77777777" w:rsidR="0031675F" w:rsidRPr="0031675F" w:rsidRDefault="0031675F" w:rsidP="0031675F">
      <w:pPr>
        <w:widowControl w:val="0"/>
        <w:numPr>
          <w:ilvl w:val="2"/>
          <w:numId w:val="69"/>
        </w:numPr>
        <w:tabs>
          <w:tab w:val="left" w:pos="839"/>
        </w:tabs>
        <w:spacing w:before="121" w:after="0" w:line="239" w:lineRule="auto"/>
        <w:ind w:right="112"/>
        <w:jc w:val="both"/>
      </w:pPr>
      <w:r w:rsidRPr="0031675F">
        <w:rPr>
          <w:spacing w:val="-1"/>
        </w:rPr>
        <w:t>The</w:t>
      </w:r>
      <w:r w:rsidRPr="0031675F">
        <w:rPr>
          <w:spacing w:val="5"/>
        </w:rPr>
        <w:t xml:space="preserve"> </w:t>
      </w:r>
      <w:r w:rsidRPr="0031675F">
        <w:rPr>
          <w:spacing w:val="-1"/>
        </w:rPr>
        <w:t>battery</w:t>
      </w:r>
      <w:r w:rsidRPr="0031675F">
        <w:rPr>
          <w:spacing w:val="6"/>
        </w:rPr>
        <w:t xml:space="preserve"> </w:t>
      </w:r>
      <w:r w:rsidRPr="0031675F">
        <w:rPr>
          <w:spacing w:val="-1"/>
        </w:rPr>
        <w:t>pack</w:t>
      </w:r>
      <w:r w:rsidRPr="0031675F">
        <w:rPr>
          <w:spacing w:val="5"/>
        </w:rPr>
        <w:t xml:space="preserve"> </w:t>
      </w:r>
      <w:r w:rsidRPr="0031675F">
        <w:t>is</w:t>
      </w:r>
      <w:r w:rsidRPr="0031675F">
        <w:rPr>
          <w:spacing w:val="4"/>
        </w:rPr>
        <w:t xml:space="preserve"> </w:t>
      </w:r>
      <w:r w:rsidRPr="0031675F">
        <w:rPr>
          <w:spacing w:val="-1"/>
        </w:rPr>
        <w:t>connected</w:t>
      </w:r>
      <w:r w:rsidRPr="0031675F">
        <w:rPr>
          <w:spacing w:val="4"/>
        </w:rPr>
        <w:t xml:space="preserve"> </w:t>
      </w:r>
      <w:r w:rsidRPr="0031675F">
        <w:t>to</w:t>
      </w:r>
      <w:r w:rsidRPr="0031675F">
        <w:rPr>
          <w:spacing w:val="6"/>
        </w:rPr>
        <w:t xml:space="preserve"> </w:t>
      </w:r>
      <w:r w:rsidRPr="0031675F">
        <w:t>the</w:t>
      </w:r>
      <w:r w:rsidRPr="0031675F">
        <w:rPr>
          <w:spacing w:val="5"/>
        </w:rPr>
        <w:t xml:space="preserve"> </w:t>
      </w:r>
      <w:r w:rsidRPr="0031675F">
        <w:rPr>
          <w:spacing w:val="-1"/>
        </w:rPr>
        <w:t>processor</w:t>
      </w:r>
      <w:r w:rsidRPr="0031675F">
        <w:rPr>
          <w:spacing w:val="5"/>
        </w:rPr>
        <w:t xml:space="preserve"> </w:t>
      </w:r>
      <w:r w:rsidRPr="0031675F">
        <w:rPr>
          <w:spacing w:val="-1"/>
        </w:rPr>
        <w:t>boards</w:t>
      </w:r>
      <w:r w:rsidRPr="0031675F">
        <w:rPr>
          <w:spacing w:val="5"/>
        </w:rPr>
        <w:t xml:space="preserve"> </w:t>
      </w:r>
      <w:r w:rsidRPr="0031675F">
        <w:rPr>
          <w:spacing w:val="-1"/>
        </w:rPr>
        <w:t>by</w:t>
      </w:r>
      <w:r w:rsidRPr="0031675F">
        <w:rPr>
          <w:spacing w:val="6"/>
        </w:rPr>
        <w:t xml:space="preserve"> </w:t>
      </w:r>
      <w:r w:rsidRPr="0031675F">
        <w:t>a</w:t>
      </w:r>
      <w:r w:rsidRPr="0031675F">
        <w:rPr>
          <w:spacing w:val="5"/>
        </w:rPr>
        <w:t xml:space="preserve"> </w:t>
      </w:r>
      <w:r w:rsidRPr="0031675F">
        <w:rPr>
          <w:spacing w:val="-1"/>
        </w:rPr>
        <w:t>six-pin</w:t>
      </w:r>
      <w:r w:rsidRPr="0031675F">
        <w:rPr>
          <w:spacing w:val="4"/>
        </w:rPr>
        <w:t xml:space="preserve"> </w:t>
      </w:r>
      <w:r w:rsidRPr="0031675F">
        <w:t>Molex</w:t>
      </w:r>
      <w:r w:rsidRPr="0031675F">
        <w:rPr>
          <w:spacing w:val="5"/>
        </w:rPr>
        <w:t xml:space="preserve"> </w:t>
      </w:r>
      <w:r w:rsidRPr="0031675F">
        <w:rPr>
          <w:spacing w:val="-1"/>
        </w:rPr>
        <w:t>connector:</w:t>
      </w:r>
      <w:r w:rsidRPr="0031675F">
        <w:rPr>
          <w:spacing w:val="6"/>
        </w:rPr>
        <w:t xml:space="preserve"> </w:t>
      </w:r>
      <w:r w:rsidRPr="0031675F">
        <w:rPr>
          <w:spacing w:val="-1"/>
        </w:rPr>
        <w:t>do</w:t>
      </w:r>
      <w:r w:rsidRPr="0031675F">
        <w:rPr>
          <w:spacing w:val="6"/>
        </w:rPr>
        <w:t xml:space="preserve"> </w:t>
      </w:r>
      <w:r w:rsidRPr="0031675F">
        <w:rPr>
          <w:spacing w:val="-1"/>
        </w:rPr>
        <w:t>NOT</w:t>
      </w:r>
      <w:r w:rsidRPr="0031675F">
        <w:rPr>
          <w:spacing w:val="52"/>
        </w:rPr>
        <w:t xml:space="preserve"> </w:t>
      </w:r>
      <w:r w:rsidRPr="0031675F">
        <w:rPr>
          <w:spacing w:val="-1"/>
        </w:rPr>
        <w:t>pull</w:t>
      </w:r>
      <w:r w:rsidRPr="0031675F">
        <w:rPr>
          <w:spacing w:val="16"/>
        </w:rPr>
        <w:t xml:space="preserve"> </w:t>
      </w:r>
      <w:r w:rsidRPr="0031675F">
        <w:t>too</w:t>
      </w:r>
      <w:r w:rsidRPr="0031675F">
        <w:rPr>
          <w:spacing w:val="18"/>
        </w:rPr>
        <w:t xml:space="preserve"> </w:t>
      </w:r>
      <w:r w:rsidRPr="0031675F">
        <w:rPr>
          <w:spacing w:val="-1"/>
        </w:rPr>
        <w:t>hard</w:t>
      </w:r>
      <w:r w:rsidRPr="0031675F">
        <w:rPr>
          <w:spacing w:val="16"/>
        </w:rPr>
        <w:t xml:space="preserve"> </w:t>
      </w:r>
      <w:r w:rsidRPr="0031675F">
        <w:t>or</w:t>
      </w:r>
      <w:r w:rsidRPr="0031675F">
        <w:rPr>
          <w:spacing w:val="17"/>
        </w:rPr>
        <w:t xml:space="preserve"> </w:t>
      </w:r>
      <w:r w:rsidRPr="0031675F">
        <w:rPr>
          <w:spacing w:val="-1"/>
        </w:rPr>
        <w:t>far</w:t>
      </w:r>
      <w:r w:rsidRPr="0031675F">
        <w:rPr>
          <w:spacing w:val="16"/>
        </w:rPr>
        <w:t xml:space="preserve"> </w:t>
      </w:r>
      <w:r w:rsidRPr="0031675F">
        <w:t>on</w:t>
      </w:r>
      <w:r w:rsidRPr="0031675F">
        <w:rPr>
          <w:spacing w:val="16"/>
        </w:rPr>
        <w:t xml:space="preserve"> </w:t>
      </w:r>
      <w:r w:rsidRPr="0031675F">
        <w:t>the</w:t>
      </w:r>
      <w:r w:rsidRPr="0031675F">
        <w:rPr>
          <w:spacing w:val="14"/>
        </w:rPr>
        <w:t xml:space="preserve"> </w:t>
      </w:r>
      <w:r w:rsidRPr="0031675F">
        <w:rPr>
          <w:spacing w:val="-1"/>
        </w:rPr>
        <w:t>battery</w:t>
      </w:r>
      <w:r w:rsidRPr="0031675F">
        <w:rPr>
          <w:spacing w:val="17"/>
        </w:rPr>
        <w:t xml:space="preserve"> </w:t>
      </w:r>
      <w:r w:rsidRPr="0031675F">
        <w:rPr>
          <w:spacing w:val="-1"/>
        </w:rPr>
        <w:t>pack</w:t>
      </w:r>
      <w:r w:rsidRPr="0031675F">
        <w:rPr>
          <w:spacing w:val="15"/>
        </w:rPr>
        <w:t xml:space="preserve"> </w:t>
      </w:r>
      <w:r w:rsidRPr="0031675F">
        <w:t>or</w:t>
      </w:r>
      <w:r w:rsidRPr="0031675F">
        <w:rPr>
          <w:spacing w:val="17"/>
        </w:rPr>
        <w:t xml:space="preserve"> </w:t>
      </w:r>
      <w:r w:rsidRPr="0031675F">
        <w:t>it</w:t>
      </w:r>
      <w:r w:rsidRPr="0031675F">
        <w:rPr>
          <w:spacing w:val="17"/>
        </w:rPr>
        <w:t xml:space="preserve"> </w:t>
      </w:r>
      <w:r w:rsidRPr="0031675F">
        <w:t>will</w:t>
      </w:r>
      <w:r w:rsidRPr="0031675F">
        <w:rPr>
          <w:spacing w:val="16"/>
        </w:rPr>
        <w:t xml:space="preserve"> </w:t>
      </w:r>
      <w:r w:rsidRPr="0031675F">
        <w:rPr>
          <w:spacing w:val="-1"/>
        </w:rPr>
        <w:t>come</w:t>
      </w:r>
      <w:r w:rsidRPr="0031675F">
        <w:rPr>
          <w:spacing w:val="17"/>
        </w:rPr>
        <w:t xml:space="preserve"> </w:t>
      </w:r>
      <w:r w:rsidRPr="0031675F">
        <w:rPr>
          <w:spacing w:val="-1"/>
        </w:rPr>
        <w:t>unplugged</w:t>
      </w:r>
      <w:r w:rsidRPr="0031675F">
        <w:rPr>
          <w:spacing w:val="16"/>
        </w:rPr>
        <w:t xml:space="preserve"> </w:t>
      </w:r>
      <w:r w:rsidRPr="0031675F">
        <w:rPr>
          <w:spacing w:val="-1"/>
        </w:rPr>
        <w:t>and</w:t>
      </w:r>
      <w:r w:rsidRPr="0031675F">
        <w:rPr>
          <w:spacing w:val="16"/>
        </w:rPr>
        <w:t xml:space="preserve"> </w:t>
      </w:r>
      <w:r w:rsidRPr="0031675F">
        <w:t>the</w:t>
      </w:r>
      <w:r w:rsidRPr="0031675F">
        <w:rPr>
          <w:spacing w:val="17"/>
        </w:rPr>
        <w:t xml:space="preserve"> </w:t>
      </w:r>
      <w:r w:rsidRPr="0031675F">
        <w:rPr>
          <w:spacing w:val="-1"/>
        </w:rPr>
        <w:t>unit</w:t>
      </w:r>
      <w:r w:rsidRPr="0031675F">
        <w:rPr>
          <w:spacing w:val="17"/>
        </w:rPr>
        <w:t xml:space="preserve"> </w:t>
      </w:r>
      <w:r w:rsidRPr="0031675F">
        <w:rPr>
          <w:spacing w:val="-1"/>
        </w:rPr>
        <w:t>returned</w:t>
      </w:r>
      <w:r w:rsidRPr="0031675F">
        <w:rPr>
          <w:spacing w:val="16"/>
        </w:rPr>
        <w:t xml:space="preserve"> </w:t>
      </w:r>
      <w:r w:rsidRPr="0031675F">
        <w:rPr>
          <w:spacing w:val="-1"/>
        </w:rPr>
        <w:t>to</w:t>
      </w:r>
      <w:r w:rsidRPr="0031675F">
        <w:rPr>
          <w:spacing w:val="71"/>
        </w:rPr>
        <w:t xml:space="preserve"> </w:t>
      </w:r>
      <w:r w:rsidRPr="0031675F">
        <w:t>WET</w:t>
      </w:r>
      <w:r w:rsidRPr="0031675F">
        <w:rPr>
          <w:spacing w:val="-2"/>
        </w:rPr>
        <w:t xml:space="preserve"> </w:t>
      </w:r>
      <w:r w:rsidRPr="0031675F">
        <w:rPr>
          <w:spacing w:val="-1"/>
        </w:rPr>
        <w:t>Labs.</w:t>
      </w:r>
    </w:p>
    <w:p w14:paraId="47E435CA" w14:textId="77777777" w:rsidR="0031675F" w:rsidRPr="0031675F" w:rsidRDefault="0031675F" w:rsidP="0031675F">
      <w:pPr>
        <w:widowControl w:val="0"/>
        <w:numPr>
          <w:ilvl w:val="2"/>
          <w:numId w:val="69"/>
        </w:numPr>
        <w:tabs>
          <w:tab w:val="left" w:pos="839"/>
        </w:tabs>
        <w:spacing w:before="120" w:after="0" w:line="240" w:lineRule="auto"/>
      </w:pPr>
      <w:r w:rsidRPr="0031675F">
        <w:t xml:space="preserve">Gently </w:t>
      </w:r>
      <w:r w:rsidRPr="0031675F">
        <w:rPr>
          <w:spacing w:val="-1"/>
        </w:rPr>
        <w:t>pull</w:t>
      </w:r>
      <w:r w:rsidRPr="0031675F">
        <w:rPr>
          <w:spacing w:val="-3"/>
        </w:rPr>
        <w:t xml:space="preserve"> </w:t>
      </w:r>
      <w:r w:rsidRPr="0031675F">
        <w:t>the</w:t>
      </w:r>
      <w:r w:rsidRPr="0031675F">
        <w:rPr>
          <w:spacing w:val="-2"/>
        </w:rPr>
        <w:t xml:space="preserve"> </w:t>
      </w:r>
      <w:r w:rsidRPr="0031675F">
        <w:t>white</w:t>
      </w:r>
      <w:r w:rsidRPr="0031675F">
        <w:rPr>
          <w:spacing w:val="-2"/>
        </w:rPr>
        <w:t xml:space="preserve"> </w:t>
      </w:r>
      <w:r w:rsidRPr="0031675F">
        <w:t>cord</w:t>
      </w:r>
      <w:r w:rsidRPr="0031675F">
        <w:rPr>
          <w:spacing w:val="-3"/>
        </w:rPr>
        <w:t xml:space="preserve"> </w:t>
      </w:r>
      <w:r w:rsidRPr="0031675F">
        <w:t xml:space="preserve">at the </w:t>
      </w:r>
      <w:r w:rsidRPr="0031675F">
        <w:rPr>
          <w:spacing w:val="-1"/>
        </w:rPr>
        <w:t>loop to</w:t>
      </w:r>
      <w:r w:rsidRPr="0031675F">
        <w:rPr>
          <w:spacing w:val="1"/>
        </w:rPr>
        <w:t xml:space="preserve"> </w:t>
      </w:r>
      <w:r w:rsidRPr="0031675F">
        <w:rPr>
          <w:spacing w:val="-1"/>
        </w:rPr>
        <w:t>remove</w:t>
      </w:r>
      <w:r w:rsidRPr="0031675F">
        <w:t xml:space="preserve"> </w:t>
      </w:r>
      <w:r w:rsidRPr="0031675F">
        <w:rPr>
          <w:spacing w:val="-1"/>
        </w:rPr>
        <w:t>the</w:t>
      </w:r>
      <w:r w:rsidRPr="0031675F">
        <w:rPr>
          <w:spacing w:val="-2"/>
        </w:rPr>
        <w:t xml:space="preserve"> </w:t>
      </w:r>
      <w:r w:rsidRPr="0031675F">
        <w:rPr>
          <w:spacing w:val="-1"/>
        </w:rPr>
        <w:t>battery</w:t>
      </w:r>
      <w:r w:rsidRPr="0031675F">
        <w:rPr>
          <w:spacing w:val="-2"/>
        </w:rPr>
        <w:t xml:space="preserve"> </w:t>
      </w:r>
      <w:r w:rsidRPr="0031675F">
        <w:rPr>
          <w:spacing w:val="-1"/>
        </w:rPr>
        <w:t>pack</w:t>
      </w:r>
      <w:r w:rsidRPr="0031675F">
        <w:t xml:space="preserve"> </w:t>
      </w:r>
      <w:r w:rsidRPr="0031675F">
        <w:rPr>
          <w:spacing w:val="-2"/>
        </w:rPr>
        <w:t>from</w:t>
      </w:r>
      <w:r w:rsidRPr="0031675F">
        <w:rPr>
          <w:spacing w:val="-1"/>
        </w:rPr>
        <w:t xml:space="preserve"> </w:t>
      </w:r>
      <w:r w:rsidRPr="0031675F">
        <w:t xml:space="preserve">the </w:t>
      </w:r>
      <w:r w:rsidRPr="0031675F">
        <w:rPr>
          <w:spacing w:val="-2"/>
        </w:rPr>
        <w:t>housing.</w:t>
      </w:r>
    </w:p>
    <w:p w14:paraId="18F04F71" w14:textId="77777777" w:rsidR="0031675F" w:rsidRPr="0031675F" w:rsidRDefault="0031675F" w:rsidP="0031675F">
      <w:pPr>
        <w:widowControl w:val="0"/>
        <w:numPr>
          <w:ilvl w:val="2"/>
          <w:numId w:val="69"/>
        </w:numPr>
        <w:tabs>
          <w:tab w:val="left" w:pos="839"/>
        </w:tabs>
        <w:spacing w:before="120" w:after="0" w:line="240" w:lineRule="auto"/>
      </w:pPr>
      <w:r w:rsidRPr="0031675F">
        <w:rPr>
          <w:spacing w:val="-1"/>
        </w:rPr>
        <w:t>Remove</w:t>
      </w:r>
      <w:r w:rsidRPr="0031675F">
        <w:rPr>
          <w:spacing w:val="-2"/>
        </w:rPr>
        <w:t xml:space="preserve"> </w:t>
      </w:r>
      <w:r w:rsidRPr="0031675F">
        <w:t xml:space="preserve">the </w:t>
      </w:r>
      <w:r w:rsidRPr="0031675F">
        <w:rPr>
          <w:spacing w:val="-2"/>
        </w:rPr>
        <w:t>black</w:t>
      </w:r>
      <w:r w:rsidRPr="0031675F">
        <w:t xml:space="preserve"> </w:t>
      </w:r>
      <w:r w:rsidRPr="0031675F">
        <w:rPr>
          <w:spacing w:val="-1"/>
        </w:rPr>
        <w:t>plastic</w:t>
      </w:r>
      <w:r w:rsidRPr="0031675F">
        <w:rPr>
          <w:spacing w:val="-2"/>
        </w:rPr>
        <w:t xml:space="preserve"> </w:t>
      </w:r>
      <w:r w:rsidRPr="0031675F">
        <w:rPr>
          <w:spacing w:val="-1"/>
        </w:rPr>
        <w:t>protectors</w:t>
      </w:r>
      <w:r w:rsidRPr="0031675F">
        <w:t xml:space="preserve"> </w:t>
      </w:r>
      <w:r w:rsidRPr="0031675F">
        <w:rPr>
          <w:spacing w:val="-2"/>
        </w:rPr>
        <w:t>from</w:t>
      </w:r>
      <w:r w:rsidRPr="0031675F">
        <w:rPr>
          <w:spacing w:val="1"/>
        </w:rPr>
        <w:t xml:space="preserve"> </w:t>
      </w:r>
      <w:r w:rsidRPr="0031675F">
        <w:rPr>
          <w:spacing w:val="-1"/>
        </w:rPr>
        <w:t>the</w:t>
      </w:r>
      <w:r w:rsidRPr="0031675F">
        <w:rPr>
          <w:spacing w:val="-2"/>
        </w:rPr>
        <w:t xml:space="preserve"> </w:t>
      </w:r>
      <w:r w:rsidRPr="0031675F">
        <w:rPr>
          <w:spacing w:val="-1"/>
        </w:rPr>
        <w:t>ends</w:t>
      </w:r>
      <w:r w:rsidRPr="0031675F">
        <w:rPr>
          <w:spacing w:val="-2"/>
        </w:rPr>
        <w:t xml:space="preserve"> </w:t>
      </w:r>
      <w:r w:rsidRPr="0031675F">
        <w:t>of</w:t>
      </w:r>
      <w:r w:rsidRPr="0031675F">
        <w:rPr>
          <w:spacing w:val="-2"/>
        </w:rPr>
        <w:t xml:space="preserve"> </w:t>
      </w:r>
      <w:r w:rsidRPr="0031675F">
        <w:t>the long</w:t>
      </w:r>
      <w:r w:rsidRPr="0031675F">
        <w:rPr>
          <w:spacing w:val="-3"/>
        </w:rPr>
        <w:t xml:space="preserve"> </w:t>
      </w:r>
      <w:r w:rsidRPr="0031675F">
        <w:rPr>
          <w:spacing w:val="-1"/>
        </w:rPr>
        <w:t>screws</w:t>
      </w:r>
      <w:r w:rsidRPr="0031675F">
        <w:rPr>
          <w:spacing w:val="1"/>
        </w:rPr>
        <w:t xml:space="preserve"> </w:t>
      </w:r>
      <w:r w:rsidRPr="0031675F">
        <w:rPr>
          <w:spacing w:val="-1"/>
        </w:rPr>
        <w:t xml:space="preserve">securing </w:t>
      </w:r>
      <w:r w:rsidRPr="0031675F">
        <w:rPr>
          <w:spacing w:val="-2"/>
        </w:rPr>
        <w:t>the</w:t>
      </w:r>
      <w:r w:rsidRPr="0031675F">
        <w:t xml:space="preserve"> </w:t>
      </w:r>
      <w:r w:rsidRPr="0031675F">
        <w:rPr>
          <w:spacing w:val="-1"/>
        </w:rPr>
        <w:t>batteries.</w:t>
      </w:r>
    </w:p>
    <w:p w14:paraId="56245959" w14:textId="77777777" w:rsidR="0031675F" w:rsidRPr="0031675F" w:rsidRDefault="0031675F" w:rsidP="0031675F">
      <w:pPr>
        <w:widowControl w:val="0"/>
        <w:numPr>
          <w:ilvl w:val="2"/>
          <w:numId w:val="69"/>
        </w:numPr>
        <w:tabs>
          <w:tab w:val="left" w:pos="839"/>
        </w:tabs>
        <w:spacing w:before="120" w:after="0" w:line="240" w:lineRule="auto"/>
      </w:pPr>
      <w:r w:rsidRPr="0031675F">
        <w:rPr>
          <w:spacing w:val="-1"/>
        </w:rPr>
        <w:t>Loosen</w:t>
      </w:r>
      <w:r w:rsidRPr="0031675F">
        <w:rPr>
          <w:spacing w:val="-2"/>
        </w:rPr>
        <w:t xml:space="preserve"> </w:t>
      </w:r>
      <w:r w:rsidRPr="0031675F">
        <w:rPr>
          <w:spacing w:val="-1"/>
        </w:rPr>
        <w:t>and remove</w:t>
      </w:r>
      <w:r w:rsidRPr="0031675F">
        <w:rPr>
          <w:spacing w:val="-2"/>
        </w:rPr>
        <w:t xml:space="preserve"> </w:t>
      </w:r>
      <w:r w:rsidRPr="0031675F">
        <w:rPr>
          <w:spacing w:val="-1"/>
        </w:rPr>
        <w:t>the</w:t>
      </w:r>
      <w:r w:rsidRPr="0031675F">
        <w:t xml:space="preserve"> </w:t>
      </w:r>
      <w:r w:rsidRPr="0031675F">
        <w:rPr>
          <w:spacing w:val="-1"/>
        </w:rPr>
        <w:t>screws</w:t>
      </w:r>
      <w:r w:rsidRPr="0031675F">
        <w:t xml:space="preserve"> </w:t>
      </w:r>
      <w:r w:rsidRPr="0031675F">
        <w:rPr>
          <w:spacing w:val="-1"/>
        </w:rPr>
        <w:t>(3/16-in slotted</w:t>
      </w:r>
      <w:r w:rsidRPr="0031675F">
        <w:rPr>
          <w:spacing w:val="-3"/>
        </w:rPr>
        <w:t xml:space="preserve"> </w:t>
      </w:r>
      <w:r w:rsidRPr="0031675F">
        <w:rPr>
          <w:spacing w:val="-2"/>
        </w:rPr>
        <w:t>driver).</w:t>
      </w:r>
    </w:p>
    <w:p w14:paraId="4B84871E" w14:textId="77777777" w:rsidR="0031675F" w:rsidRPr="0031675F" w:rsidRDefault="0031675F" w:rsidP="0031675F">
      <w:pPr>
        <w:rPr>
          <w:rFonts w:cs="Calibri"/>
        </w:rPr>
      </w:pPr>
    </w:p>
    <w:p w14:paraId="3640774B" w14:textId="77777777" w:rsidR="0031675F" w:rsidRPr="0031675F" w:rsidRDefault="0031675F" w:rsidP="0031675F">
      <w:pPr>
        <w:ind w:left="118"/>
        <w:rPr>
          <w:rFonts w:cs="Calibri"/>
        </w:rPr>
      </w:pPr>
      <w:r w:rsidRPr="0031675F">
        <w:rPr>
          <w:b/>
          <w:i/>
          <w:spacing w:val="-1"/>
        </w:rPr>
        <w:t>Replacing End</w:t>
      </w:r>
      <w:r w:rsidRPr="0031675F">
        <w:rPr>
          <w:b/>
          <w:i/>
          <w:spacing w:val="1"/>
        </w:rPr>
        <w:t xml:space="preserve"> </w:t>
      </w:r>
      <w:r w:rsidRPr="0031675F">
        <w:rPr>
          <w:b/>
          <w:i/>
          <w:spacing w:val="-1"/>
        </w:rPr>
        <w:t>Flange</w:t>
      </w:r>
      <w:r w:rsidRPr="0031675F">
        <w:rPr>
          <w:b/>
          <w:i/>
          <w:spacing w:val="-3"/>
        </w:rPr>
        <w:t xml:space="preserve"> </w:t>
      </w:r>
      <w:r w:rsidRPr="0031675F">
        <w:rPr>
          <w:b/>
          <w:i/>
          <w:spacing w:val="-1"/>
        </w:rPr>
        <w:t>and Batteries</w:t>
      </w:r>
    </w:p>
    <w:p w14:paraId="622D5994" w14:textId="77777777" w:rsidR="0031675F" w:rsidRPr="0031675F" w:rsidRDefault="0031675F" w:rsidP="0031675F">
      <w:pPr>
        <w:widowControl w:val="0"/>
        <w:numPr>
          <w:ilvl w:val="0"/>
          <w:numId w:val="68"/>
        </w:numPr>
        <w:tabs>
          <w:tab w:val="left" w:pos="839"/>
        </w:tabs>
        <w:spacing w:before="121" w:after="0" w:line="240" w:lineRule="auto"/>
      </w:pPr>
      <w:r w:rsidRPr="0031675F">
        <w:rPr>
          <w:spacing w:val="-1"/>
        </w:rPr>
        <w:t>Replace</w:t>
      </w:r>
      <w:r w:rsidRPr="0031675F">
        <w:rPr>
          <w:spacing w:val="-2"/>
        </w:rPr>
        <w:t xml:space="preserve"> </w:t>
      </w:r>
      <w:r w:rsidRPr="0031675F">
        <w:t xml:space="preserve">the </w:t>
      </w:r>
      <w:r w:rsidRPr="0031675F">
        <w:rPr>
          <w:spacing w:val="-1"/>
        </w:rPr>
        <w:t>batteries.</w:t>
      </w:r>
    </w:p>
    <w:p w14:paraId="00D25ABC" w14:textId="77777777" w:rsidR="0031675F" w:rsidRPr="0031675F" w:rsidRDefault="0031675F" w:rsidP="0031675F">
      <w:pPr>
        <w:widowControl w:val="0"/>
        <w:numPr>
          <w:ilvl w:val="0"/>
          <w:numId w:val="68"/>
        </w:numPr>
        <w:tabs>
          <w:tab w:val="left" w:pos="839"/>
        </w:tabs>
        <w:spacing w:before="120" w:after="0" w:line="240" w:lineRule="auto"/>
      </w:pPr>
      <w:r w:rsidRPr="0031675F">
        <w:rPr>
          <w:spacing w:val="-1"/>
        </w:rPr>
        <w:t>Re-install</w:t>
      </w:r>
      <w:r w:rsidRPr="0031675F">
        <w:t xml:space="preserve"> </w:t>
      </w:r>
      <w:r w:rsidRPr="0031675F">
        <w:rPr>
          <w:spacing w:val="-1"/>
        </w:rPr>
        <w:t>the</w:t>
      </w:r>
      <w:r w:rsidRPr="0031675F">
        <w:t xml:space="preserve"> </w:t>
      </w:r>
      <w:r w:rsidRPr="0031675F">
        <w:rPr>
          <w:spacing w:val="-2"/>
        </w:rPr>
        <w:t>screws:</w:t>
      </w:r>
    </w:p>
    <w:p w14:paraId="20EF9B37" w14:textId="77777777" w:rsidR="0031675F" w:rsidRPr="0031675F" w:rsidRDefault="0031675F" w:rsidP="0031675F">
      <w:pPr>
        <w:widowControl w:val="0"/>
        <w:numPr>
          <w:ilvl w:val="1"/>
          <w:numId w:val="68"/>
        </w:numPr>
        <w:tabs>
          <w:tab w:val="left" w:pos="1214"/>
        </w:tabs>
        <w:spacing w:before="120" w:after="0" w:line="240" w:lineRule="auto"/>
        <w:ind w:right="113" w:firstLine="0"/>
        <w:jc w:val="both"/>
      </w:pPr>
      <w:r w:rsidRPr="0031675F">
        <w:rPr>
          <w:spacing w:val="-1"/>
        </w:rPr>
        <w:t>Align</w:t>
      </w:r>
      <w:r w:rsidRPr="0031675F">
        <w:rPr>
          <w:spacing w:val="9"/>
        </w:rPr>
        <w:t xml:space="preserve"> </w:t>
      </w:r>
      <w:r w:rsidRPr="0031675F">
        <w:t>the</w:t>
      </w:r>
      <w:r w:rsidRPr="0031675F">
        <w:rPr>
          <w:spacing w:val="10"/>
        </w:rPr>
        <w:t xml:space="preserve"> </w:t>
      </w:r>
      <w:r w:rsidRPr="0031675F">
        <w:rPr>
          <w:spacing w:val="-1"/>
        </w:rPr>
        <w:t>groove</w:t>
      </w:r>
      <w:r w:rsidRPr="0031675F">
        <w:rPr>
          <w:spacing w:val="10"/>
        </w:rPr>
        <w:t xml:space="preserve"> </w:t>
      </w:r>
      <w:r w:rsidRPr="0031675F">
        <w:t>in</w:t>
      </w:r>
      <w:r w:rsidRPr="0031675F">
        <w:rPr>
          <w:spacing w:val="9"/>
        </w:rPr>
        <w:t xml:space="preserve"> </w:t>
      </w:r>
      <w:r w:rsidRPr="0031675F">
        <w:t>each</w:t>
      </w:r>
      <w:r w:rsidRPr="0031675F">
        <w:rPr>
          <w:spacing w:val="7"/>
        </w:rPr>
        <w:t xml:space="preserve"> </w:t>
      </w:r>
      <w:r w:rsidRPr="0031675F">
        <w:t>of</w:t>
      </w:r>
      <w:r w:rsidRPr="0031675F">
        <w:rPr>
          <w:spacing w:val="9"/>
        </w:rPr>
        <w:t xml:space="preserve"> </w:t>
      </w:r>
      <w:r w:rsidRPr="0031675F">
        <w:t>the</w:t>
      </w:r>
      <w:r w:rsidRPr="0031675F">
        <w:rPr>
          <w:spacing w:val="10"/>
        </w:rPr>
        <w:t xml:space="preserve"> </w:t>
      </w:r>
      <w:r w:rsidRPr="0031675F">
        <w:rPr>
          <w:spacing w:val="-1"/>
        </w:rPr>
        <w:t>plates</w:t>
      </w:r>
      <w:r w:rsidRPr="0031675F">
        <w:rPr>
          <w:spacing w:val="10"/>
        </w:rPr>
        <w:t xml:space="preserve"> </w:t>
      </w:r>
      <w:r w:rsidRPr="0031675F">
        <w:rPr>
          <w:spacing w:val="-2"/>
        </w:rPr>
        <w:t>so</w:t>
      </w:r>
      <w:r w:rsidRPr="0031675F">
        <w:rPr>
          <w:spacing w:val="11"/>
        </w:rPr>
        <w:t xml:space="preserve"> </w:t>
      </w:r>
      <w:r w:rsidRPr="0031675F">
        <w:t>the</w:t>
      </w:r>
      <w:r w:rsidRPr="0031675F">
        <w:rPr>
          <w:spacing w:val="14"/>
        </w:rPr>
        <w:t xml:space="preserve"> </w:t>
      </w:r>
      <w:r w:rsidRPr="0031675F">
        <w:rPr>
          <w:spacing w:val="-1"/>
        </w:rPr>
        <w:t>six-wire</w:t>
      </w:r>
      <w:r w:rsidRPr="0031675F">
        <w:rPr>
          <w:spacing w:val="10"/>
        </w:rPr>
        <w:t xml:space="preserve"> </w:t>
      </w:r>
      <w:r w:rsidRPr="0031675F">
        <w:rPr>
          <w:spacing w:val="-1"/>
        </w:rPr>
        <w:t>extension</w:t>
      </w:r>
      <w:r w:rsidRPr="0031675F">
        <w:rPr>
          <w:spacing w:val="8"/>
        </w:rPr>
        <w:t xml:space="preserve"> </w:t>
      </w:r>
      <w:r w:rsidRPr="0031675F">
        <w:rPr>
          <w:spacing w:val="-1"/>
        </w:rPr>
        <w:t>bundle</w:t>
      </w:r>
      <w:r w:rsidRPr="0031675F">
        <w:rPr>
          <w:spacing w:val="10"/>
        </w:rPr>
        <w:t xml:space="preserve"> </w:t>
      </w:r>
      <w:r w:rsidRPr="0031675F">
        <w:t>will</w:t>
      </w:r>
      <w:r w:rsidRPr="0031675F">
        <w:rPr>
          <w:spacing w:val="9"/>
        </w:rPr>
        <w:t xml:space="preserve"> </w:t>
      </w:r>
      <w:r w:rsidRPr="0031675F">
        <w:rPr>
          <w:spacing w:val="-1"/>
        </w:rPr>
        <w:t>fit</w:t>
      </w:r>
      <w:r w:rsidRPr="0031675F">
        <w:rPr>
          <w:spacing w:val="10"/>
        </w:rPr>
        <w:t xml:space="preserve"> </w:t>
      </w:r>
      <w:r w:rsidRPr="0031675F">
        <w:t>in</w:t>
      </w:r>
      <w:r w:rsidRPr="0031675F">
        <w:rPr>
          <w:spacing w:val="8"/>
        </w:rPr>
        <w:t xml:space="preserve"> </w:t>
      </w:r>
      <w:r w:rsidRPr="0031675F">
        <w:t>it</w:t>
      </w:r>
      <w:r w:rsidRPr="0031675F">
        <w:rPr>
          <w:spacing w:val="10"/>
        </w:rPr>
        <w:t xml:space="preserve"> </w:t>
      </w:r>
      <w:r w:rsidRPr="0031675F">
        <w:rPr>
          <w:spacing w:val="-1"/>
        </w:rPr>
        <w:t>along</w:t>
      </w:r>
      <w:r w:rsidRPr="0031675F">
        <w:rPr>
          <w:spacing w:val="51"/>
        </w:rPr>
        <w:t xml:space="preserve"> </w:t>
      </w:r>
      <w:r w:rsidRPr="0031675F">
        <w:t>its</w:t>
      </w:r>
      <w:r w:rsidRPr="0031675F">
        <w:rPr>
          <w:spacing w:val="-1"/>
        </w:rPr>
        <w:t xml:space="preserve"> length.</w:t>
      </w:r>
    </w:p>
    <w:p w14:paraId="23225A4F" w14:textId="77777777" w:rsidR="0031675F" w:rsidRPr="0031675F" w:rsidRDefault="0031675F" w:rsidP="0031675F">
      <w:pPr>
        <w:widowControl w:val="0"/>
        <w:numPr>
          <w:ilvl w:val="1"/>
          <w:numId w:val="68"/>
        </w:numPr>
        <w:tabs>
          <w:tab w:val="left" w:pos="1204"/>
        </w:tabs>
        <w:spacing w:before="118" w:after="0" w:line="240" w:lineRule="auto"/>
        <w:ind w:left="1203" w:hanging="161"/>
        <w:jc w:val="both"/>
      </w:pPr>
      <w:r w:rsidRPr="0031675F">
        <w:t>Be</w:t>
      </w:r>
      <w:r w:rsidRPr="0031675F">
        <w:rPr>
          <w:spacing w:val="-2"/>
        </w:rPr>
        <w:t xml:space="preserve"> </w:t>
      </w:r>
      <w:r w:rsidRPr="0031675F">
        <w:t>careful</w:t>
      </w:r>
      <w:r w:rsidRPr="0031675F">
        <w:rPr>
          <w:spacing w:val="-1"/>
        </w:rPr>
        <w:t xml:space="preserve"> not</w:t>
      </w:r>
      <w:r w:rsidRPr="0031675F">
        <w:rPr>
          <w:spacing w:val="-2"/>
        </w:rPr>
        <w:t xml:space="preserve"> </w:t>
      </w:r>
      <w:r w:rsidRPr="0031675F">
        <w:t>to</w:t>
      </w:r>
      <w:r w:rsidRPr="0031675F">
        <w:rPr>
          <w:spacing w:val="-1"/>
        </w:rPr>
        <w:t xml:space="preserve"> cross-thread </w:t>
      </w:r>
      <w:r w:rsidRPr="0031675F">
        <w:t>into</w:t>
      </w:r>
      <w:r w:rsidRPr="0031675F">
        <w:rPr>
          <w:spacing w:val="-2"/>
        </w:rPr>
        <w:t xml:space="preserve"> </w:t>
      </w:r>
      <w:r w:rsidRPr="0031675F">
        <w:rPr>
          <w:spacing w:val="-1"/>
        </w:rPr>
        <w:t>the</w:t>
      </w:r>
      <w:r w:rsidRPr="0031675F">
        <w:t xml:space="preserve"> </w:t>
      </w:r>
      <w:r w:rsidRPr="0031675F">
        <w:rPr>
          <w:spacing w:val="-1"/>
        </w:rPr>
        <w:t xml:space="preserve">bottom </w:t>
      </w:r>
      <w:r w:rsidRPr="0031675F">
        <w:t>end</w:t>
      </w:r>
      <w:r w:rsidRPr="0031675F">
        <w:rPr>
          <w:spacing w:val="-2"/>
        </w:rPr>
        <w:t xml:space="preserve"> </w:t>
      </w:r>
      <w:r w:rsidRPr="0031675F">
        <w:rPr>
          <w:spacing w:val="-1"/>
        </w:rPr>
        <w:t>plate</w:t>
      </w:r>
      <w:r w:rsidRPr="0031675F">
        <w:t xml:space="preserve"> </w:t>
      </w:r>
      <w:r w:rsidRPr="0031675F">
        <w:rPr>
          <w:spacing w:val="-1"/>
        </w:rPr>
        <w:t>nor</w:t>
      </w:r>
      <w:r w:rsidRPr="0031675F">
        <w:t xml:space="preserve"> </w:t>
      </w:r>
      <w:r w:rsidRPr="0031675F">
        <w:rPr>
          <w:spacing w:val="-1"/>
        </w:rPr>
        <w:t>to over-tighten</w:t>
      </w:r>
      <w:r w:rsidRPr="0031675F">
        <w:rPr>
          <w:spacing w:val="-3"/>
        </w:rPr>
        <w:t xml:space="preserve"> </w:t>
      </w:r>
      <w:r w:rsidRPr="0031675F">
        <w:t>the</w:t>
      </w:r>
      <w:r w:rsidRPr="0031675F">
        <w:rPr>
          <w:spacing w:val="-3"/>
        </w:rPr>
        <w:t xml:space="preserve"> </w:t>
      </w:r>
      <w:r w:rsidRPr="0031675F">
        <w:rPr>
          <w:spacing w:val="-1"/>
        </w:rPr>
        <w:t>screws.</w:t>
      </w:r>
    </w:p>
    <w:p w14:paraId="77EF590F" w14:textId="77777777" w:rsidR="0031675F" w:rsidRPr="0031675F" w:rsidRDefault="0031675F" w:rsidP="0031675F">
      <w:pPr>
        <w:widowControl w:val="0"/>
        <w:numPr>
          <w:ilvl w:val="1"/>
          <w:numId w:val="68"/>
        </w:numPr>
        <w:tabs>
          <w:tab w:val="left" w:pos="1216"/>
        </w:tabs>
        <w:spacing w:before="120" w:after="0" w:line="240" w:lineRule="auto"/>
        <w:ind w:right="112" w:firstLine="0"/>
        <w:jc w:val="both"/>
      </w:pPr>
      <w:r w:rsidRPr="0031675F">
        <w:t>If</w:t>
      </w:r>
      <w:r w:rsidRPr="0031675F">
        <w:rPr>
          <w:spacing w:val="11"/>
        </w:rPr>
        <w:t xml:space="preserve"> </w:t>
      </w:r>
      <w:r w:rsidRPr="0031675F">
        <w:t>they</w:t>
      </w:r>
      <w:r w:rsidRPr="0031675F">
        <w:rPr>
          <w:spacing w:val="13"/>
        </w:rPr>
        <w:t xml:space="preserve"> </w:t>
      </w:r>
      <w:r w:rsidRPr="0031675F">
        <w:t>are</w:t>
      </w:r>
      <w:r w:rsidRPr="0031675F">
        <w:rPr>
          <w:spacing w:val="12"/>
        </w:rPr>
        <w:t xml:space="preserve"> </w:t>
      </w:r>
      <w:r w:rsidRPr="0031675F">
        <w:rPr>
          <w:spacing w:val="-1"/>
        </w:rPr>
        <w:t>too</w:t>
      </w:r>
      <w:r w:rsidRPr="0031675F">
        <w:rPr>
          <w:spacing w:val="13"/>
        </w:rPr>
        <w:t xml:space="preserve"> </w:t>
      </w:r>
      <w:r w:rsidRPr="0031675F">
        <w:rPr>
          <w:spacing w:val="-1"/>
        </w:rPr>
        <w:t>tight,</w:t>
      </w:r>
      <w:r w:rsidRPr="0031675F">
        <w:rPr>
          <w:spacing w:val="13"/>
        </w:rPr>
        <w:t xml:space="preserve"> </w:t>
      </w:r>
      <w:r w:rsidRPr="0031675F">
        <w:t>the</w:t>
      </w:r>
      <w:r w:rsidRPr="0031675F">
        <w:rPr>
          <w:spacing w:val="10"/>
        </w:rPr>
        <w:t xml:space="preserve"> </w:t>
      </w:r>
      <w:r w:rsidRPr="0031675F">
        <w:rPr>
          <w:spacing w:val="-1"/>
        </w:rPr>
        <w:t>fibre</w:t>
      </w:r>
      <w:r w:rsidRPr="0031675F">
        <w:rPr>
          <w:spacing w:val="14"/>
        </w:rPr>
        <w:t xml:space="preserve"> </w:t>
      </w:r>
      <w:r w:rsidRPr="0031675F">
        <w:t>washers</w:t>
      </w:r>
      <w:r w:rsidRPr="0031675F">
        <w:rPr>
          <w:spacing w:val="12"/>
        </w:rPr>
        <w:t xml:space="preserve"> </w:t>
      </w:r>
      <w:r w:rsidRPr="0031675F">
        <w:t>that</w:t>
      </w:r>
      <w:r w:rsidRPr="0031675F">
        <w:rPr>
          <w:spacing w:val="12"/>
        </w:rPr>
        <w:t xml:space="preserve"> </w:t>
      </w:r>
      <w:r w:rsidRPr="0031675F">
        <w:t>act</w:t>
      </w:r>
      <w:r w:rsidRPr="0031675F">
        <w:rPr>
          <w:spacing w:val="13"/>
        </w:rPr>
        <w:t xml:space="preserve"> </w:t>
      </w:r>
      <w:r w:rsidRPr="0031675F">
        <w:t>as</w:t>
      </w:r>
      <w:r w:rsidRPr="0031675F">
        <w:rPr>
          <w:spacing w:val="12"/>
        </w:rPr>
        <w:t xml:space="preserve"> </w:t>
      </w:r>
      <w:r w:rsidRPr="0031675F">
        <w:rPr>
          <w:spacing w:val="-1"/>
        </w:rPr>
        <w:t>separators</w:t>
      </w:r>
      <w:r w:rsidRPr="0031675F">
        <w:rPr>
          <w:spacing w:val="12"/>
        </w:rPr>
        <w:t xml:space="preserve"> </w:t>
      </w:r>
      <w:r w:rsidRPr="0031675F">
        <w:rPr>
          <w:spacing w:val="-1"/>
        </w:rPr>
        <w:t>between</w:t>
      </w:r>
      <w:r w:rsidRPr="0031675F">
        <w:rPr>
          <w:spacing w:val="11"/>
        </w:rPr>
        <w:t xml:space="preserve"> </w:t>
      </w:r>
      <w:r w:rsidRPr="0031675F">
        <w:t>the</w:t>
      </w:r>
      <w:r w:rsidRPr="0031675F">
        <w:rPr>
          <w:spacing w:val="12"/>
        </w:rPr>
        <w:t xml:space="preserve"> </w:t>
      </w:r>
      <w:r w:rsidRPr="0031675F">
        <w:rPr>
          <w:spacing w:val="-1"/>
        </w:rPr>
        <w:t>batteries</w:t>
      </w:r>
      <w:r w:rsidRPr="0031675F">
        <w:rPr>
          <w:spacing w:val="12"/>
        </w:rPr>
        <w:t xml:space="preserve"> </w:t>
      </w:r>
      <w:r w:rsidRPr="0031675F">
        <w:t>will</w:t>
      </w:r>
      <w:r w:rsidRPr="0031675F">
        <w:rPr>
          <w:spacing w:val="41"/>
        </w:rPr>
        <w:t xml:space="preserve"> </w:t>
      </w:r>
      <w:r w:rsidRPr="0031675F">
        <w:rPr>
          <w:spacing w:val="-1"/>
        </w:rPr>
        <w:t>flex.</w:t>
      </w:r>
    </w:p>
    <w:p w14:paraId="34387A2A" w14:textId="77777777" w:rsidR="0031675F" w:rsidRPr="0031675F" w:rsidRDefault="0031675F" w:rsidP="0031675F">
      <w:pPr>
        <w:widowControl w:val="0"/>
        <w:numPr>
          <w:ilvl w:val="1"/>
          <w:numId w:val="68"/>
        </w:numPr>
        <w:tabs>
          <w:tab w:val="left" w:pos="1225"/>
        </w:tabs>
        <w:spacing w:before="120" w:after="0" w:line="240" w:lineRule="auto"/>
        <w:ind w:right="116" w:firstLine="0"/>
        <w:jc w:val="both"/>
      </w:pPr>
      <w:r w:rsidRPr="0031675F">
        <w:rPr>
          <w:spacing w:val="-1"/>
        </w:rPr>
        <w:t>Make</w:t>
      </w:r>
      <w:r w:rsidRPr="0031675F">
        <w:rPr>
          <w:spacing w:val="20"/>
        </w:rPr>
        <w:t xml:space="preserve"> </w:t>
      </w:r>
      <w:r w:rsidRPr="0031675F">
        <w:rPr>
          <w:spacing w:val="-1"/>
        </w:rPr>
        <w:t>sure</w:t>
      </w:r>
      <w:r w:rsidRPr="0031675F">
        <w:rPr>
          <w:spacing w:val="20"/>
        </w:rPr>
        <w:t xml:space="preserve"> </w:t>
      </w:r>
      <w:r w:rsidRPr="0031675F">
        <w:t>there</w:t>
      </w:r>
      <w:r w:rsidRPr="0031675F">
        <w:rPr>
          <w:spacing w:val="20"/>
        </w:rPr>
        <w:t xml:space="preserve"> </w:t>
      </w:r>
      <w:r w:rsidRPr="0031675F">
        <w:t>are</w:t>
      </w:r>
      <w:r w:rsidRPr="0031675F">
        <w:rPr>
          <w:spacing w:val="19"/>
        </w:rPr>
        <w:t xml:space="preserve"> </w:t>
      </w:r>
      <w:r w:rsidRPr="0031675F">
        <w:rPr>
          <w:spacing w:val="-1"/>
        </w:rPr>
        <w:t>equal</w:t>
      </w:r>
      <w:r w:rsidRPr="0031675F">
        <w:rPr>
          <w:spacing w:val="21"/>
        </w:rPr>
        <w:t xml:space="preserve"> </w:t>
      </w:r>
      <w:r w:rsidRPr="0031675F">
        <w:rPr>
          <w:spacing w:val="-1"/>
        </w:rPr>
        <w:t>amounts</w:t>
      </w:r>
      <w:r w:rsidRPr="0031675F">
        <w:rPr>
          <w:spacing w:val="20"/>
        </w:rPr>
        <w:t xml:space="preserve"> </w:t>
      </w:r>
      <w:r w:rsidRPr="0031675F">
        <w:t>of</w:t>
      </w:r>
      <w:r w:rsidRPr="0031675F">
        <w:rPr>
          <w:spacing w:val="19"/>
        </w:rPr>
        <w:t xml:space="preserve"> </w:t>
      </w:r>
      <w:r w:rsidRPr="0031675F">
        <w:rPr>
          <w:spacing w:val="-1"/>
        </w:rPr>
        <w:t>screw</w:t>
      </w:r>
      <w:r w:rsidRPr="0031675F">
        <w:rPr>
          <w:spacing w:val="20"/>
        </w:rPr>
        <w:t xml:space="preserve"> </w:t>
      </w:r>
      <w:r w:rsidRPr="0031675F">
        <w:rPr>
          <w:spacing w:val="-1"/>
        </w:rPr>
        <w:t>threads</w:t>
      </w:r>
      <w:r w:rsidRPr="0031675F">
        <w:rPr>
          <w:spacing w:val="22"/>
        </w:rPr>
        <w:t xml:space="preserve"> </w:t>
      </w:r>
      <w:r w:rsidRPr="0031675F">
        <w:rPr>
          <w:spacing w:val="-1"/>
        </w:rPr>
        <w:t>protruding</w:t>
      </w:r>
      <w:r w:rsidRPr="0031675F">
        <w:rPr>
          <w:spacing w:val="21"/>
        </w:rPr>
        <w:t xml:space="preserve"> </w:t>
      </w:r>
      <w:r w:rsidRPr="0031675F">
        <w:rPr>
          <w:spacing w:val="-2"/>
        </w:rPr>
        <w:t>from</w:t>
      </w:r>
      <w:r w:rsidRPr="0031675F">
        <w:rPr>
          <w:spacing w:val="22"/>
        </w:rPr>
        <w:t xml:space="preserve"> </w:t>
      </w:r>
      <w:r w:rsidRPr="0031675F">
        <w:rPr>
          <w:spacing w:val="-1"/>
        </w:rPr>
        <w:t>the</w:t>
      </w:r>
      <w:r w:rsidRPr="0031675F">
        <w:rPr>
          <w:spacing w:val="22"/>
        </w:rPr>
        <w:t xml:space="preserve"> </w:t>
      </w:r>
      <w:r w:rsidRPr="0031675F">
        <w:rPr>
          <w:spacing w:val="-2"/>
        </w:rPr>
        <w:t>bottom</w:t>
      </w:r>
      <w:r w:rsidRPr="0031675F">
        <w:rPr>
          <w:spacing w:val="20"/>
        </w:rPr>
        <w:t xml:space="preserve"> </w:t>
      </w:r>
      <w:r w:rsidRPr="0031675F">
        <w:t>end</w:t>
      </w:r>
      <w:r w:rsidRPr="0031675F">
        <w:rPr>
          <w:spacing w:val="49"/>
        </w:rPr>
        <w:t xml:space="preserve"> </w:t>
      </w:r>
      <w:r w:rsidRPr="0031675F">
        <w:rPr>
          <w:spacing w:val="-1"/>
        </w:rPr>
        <w:t>plate</w:t>
      </w:r>
      <w:r w:rsidRPr="0031675F">
        <w:rPr>
          <w:spacing w:val="45"/>
        </w:rPr>
        <w:t xml:space="preserve"> </w:t>
      </w:r>
      <w:r w:rsidRPr="0031675F">
        <w:t>when</w:t>
      </w:r>
      <w:r w:rsidRPr="0031675F">
        <w:rPr>
          <w:spacing w:val="45"/>
        </w:rPr>
        <w:t xml:space="preserve"> </w:t>
      </w:r>
      <w:r w:rsidRPr="0031675F">
        <w:t>they</w:t>
      </w:r>
      <w:r w:rsidRPr="0031675F">
        <w:rPr>
          <w:spacing w:val="47"/>
        </w:rPr>
        <w:t xml:space="preserve"> </w:t>
      </w:r>
      <w:r w:rsidRPr="0031675F">
        <w:t>are</w:t>
      </w:r>
      <w:r w:rsidRPr="0031675F">
        <w:rPr>
          <w:spacing w:val="45"/>
        </w:rPr>
        <w:t xml:space="preserve"> </w:t>
      </w:r>
      <w:r w:rsidRPr="0031675F">
        <w:rPr>
          <w:spacing w:val="-1"/>
        </w:rPr>
        <w:t>secure.</w:t>
      </w:r>
      <w:r w:rsidRPr="0031675F">
        <w:rPr>
          <w:spacing w:val="45"/>
        </w:rPr>
        <w:t xml:space="preserve"> </w:t>
      </w:r>
      <w:r w:rsidRPr="0031675F">
        <w:rPr>
          <w:spacing w:val="-1"/>
        </w:rPr>
        <w:t>This</w:t>
      </w:r>
      <w:r w:rsidRPr="0031675F">
        <w:rPr>
          <w:spacing w:val="46"/>
        </w:rPr>
        <w:t xml:space="preserve"> </w:t>
      </w:r>
      <w:r w:rsidRPr="0031675F">
        <w:t>will</w:t>
      </w:r>
      <w:r w:rsidRPr="0031675F">
        <w:rPr>
          <w:spacing w:val="45"/>
        </w:rPr>
        <w:t xml:space="preserve"> </w:t>
      </w:r>
      <w:r w:rsidRPr="0031675F">
        <w:rPr>
          <w:spacing w:val="-1"/>
        </w:rPr>
        <w:t>ensure</w:t>
      </w:r>
      <w:r w:rsidRPr="0031675F">
        <w:rPr>
          <w:spacing w:val="45"/>
        </w:rPr>
        <w:t xml:space="preserve"> </w:t>
      </w:r>
      <w:r w:rsidRPr="0031675F">
        <w:t>the</w:t>
      </w:r>
      <w:r w:rsidRPr="0031675F">
        <w:rPr>
          <w:spacing w:val="46"/>
        </w:rPr>
        <w:t xml:space="preserve"> </w:t>
      </w:r>
      <w:r w:rsidRPr="0031675F">
        <w:rPr>
          <w:spacing w:val="-1"/>
        </w:rPr>
        <w:t>pack</w:t>
      </w:r>
      <w:r w:rsidRPr="0031675F">
        <w:rPr>
          <w:spacing w:val="46"/>
        </w:rPr>
        <w:t xml:space="preserve"> </w:t>
      </w:r>
      <w:r w:rsidRPr="0031675F">
        <w:t>is</w:t>
      </w:r>
      <w:r w:rsidRPr="0031675F">
        <w:rPr>
          <w:spacing w:val="44"/>
        </w:rPr>
        <w:t xml:space="preserve"> </w:t>
      </w:r>
      <w:r w:rsidRPr="0031675F">
        <w:rPr>
          <w:spacing w:val="-1"/>
        </w:rPr>
        <w:t>straight</w:t>
      </w:r>
      <w:r w:rsidRPr="0031675F">
        <w:rPr>
          <w:spacing w:val="46"/>
        </w:rPr>
        <w:t xml:space="preserve"> </w:t>
      </w:r>
      <w:r w:rsidRPr="0031675F">
        <w:rPr>
          <w:spacing w:val="-1"/>
        </w:rPr>
        <w:t>and</w:t>
      </w:r>
      <w:r w:rsidRPr="0031675F">
        <w:rPr>
          <w:spacing w:val="45"/>
        </w:rPr>
        <w:t xml:space="preserve"> </w:t>
      </w:r>
      <w:r w:rsidRPr="0031675F">
        <w:t>will</w:t>
      </w:r>
      <w:r w:rsidRPr="0031675F">
        <w:rPr>
          <w:spacing w:val="45"/>
        </w:rPr>
        <w:t xml:space="preserve"> </w:t>
      </w:r>
      <w:r w:rsidRPr="0031675F">
        <w:rPr>
          <w:spacing w:val="-1"/>
        </w:rPr>
        <w:t>fit</w:t>
      </w:r>
      <w:r w:rsidRPr="0031675F">
        <w:rPr>
          <w:spacing w:val="45"/>
        </w:rPr>
        <w:t xml:space="preserve"> </w:t>
      </w:r>
      <w:r w:rsidRPr="0031675F">
        <w:rPr>
          <w:spacing w:val="-1"/>
        </w:rPr>
        <w:t>into</w:t>
      </w:r>
      <w:r w:rsidRPr="0031675F">
        <w:rPr>
          <w:spacing w:val="47"/>
        </w:rPr>
        <w:t xml:space="preserve"> </w:t>
      </w:r>
      <w:r w:rsidRPr="0031675F">
        <w:t>the</w:t>
      </w:r>
      <w:r w:rsidRPr="0031675F">
        <w:rPr>
          <w:spacing w:val="39"/>
        </w:rPr>
        <w:t xml:space="preserve"> </w:t>
      </w:r>
      <w:r w:rsidRPr="0031675F">
        <w:rPr>
          <w:spacing w:val="-1"/>
        </w:rPr>
        <w:t>pressure</w:t>
      </w:r>
      <w:r w:rsidRPr="0031675F">
        <w:t xml:space="preserve"> </w:t>
      </w:r>
      <w:r w:rsidRPr="0031675F">
        <w:rPr>
          <w:spacing w:val="-2"/>
        </w:rPr>
        <w:t>housing</w:t>
      </w:r>
      <w:r w:rsidRPr="0031675F">
        <w:rPr>
          <w:spacing w:val="-1"/>
        </w:rPr>
        <w:t xml:space="preserve"> </w:t>
      </w:r>
      <w:r w:rsidRPr="0031675F">
        <w:t>with</w:t>
      </w:r>
      <w:r w:rsidRPr="0031675F">
        <w:rPr>
          <w:spacing w:val="-1"/>
        </w:rPr>
        <w:t xml:space="preserve"> </w:t>
      </w:r>
      <w:r w:rsidRPr="0031675F">
        <w:rPr>
          <w:spacing w:val="-2"/>
        </w:rPr>
        <w:t>no</w:t>
      </w:r>
      <w:r w:rsidRPr="0031675F">
        <w:rPr>
          <w:spacing w:val="1"/>
        </w:rPr>
        <w:t xml:space="preserve"> </w:t>
      </w:r>
      <w:r w:rsidRPr="0031675F">
        <w:rPr>
          <w:spacing w:val="-1"/>
        </w:rPr>
        <w:t>difficulty.</w:t>
      </w:r>
    </w:p>
    <w:p w14:paraId="75B37A17" w14:textId="77777777" w:rsidR="0031675F" w:rsidRPr="0031675F" w:rsidRDefault="0031675F" w:rsidP="0031675F">
      <w:pPr>
        <w:widowControl w:val="0"/>
        <w:numPr>
          <w:ilvl w:val="0"/>
          <w:numId w:val="68"/>
        </w:numPr>
        <w:tabs>
          <w:tab w:val="left" w:pos="839"/>
        </w:tabs>
        <w:spacing w:before="120" w:after="0" w:line="240" w:lineRule="auto"/>
      </w:pPr>
      <w:r w:rsidRPr="0031675F">
        <w:rPr>
          <w:spacing w:val="-1"/>
        </w:rPr>
        <w:t>Re-install</w:t>
      </w:r>
      <w:r w:rsidRPr="0031675F">
        <w:t xml:space="preserve"> </w:t>
      </w:r>
      <w:r w:rsidRPr="0031675F">
        <w:rPr>
          <w:spacing w:val="-1"/>
        </w:rPr>
        <w:t>the</w:t>
      </w:r>
      <w:r w:rsidRPr="0031675F">
        <w:t xml:space="preserve"> </w:t>
      </w:r>
      <w:r w:rsidRPr="0031675F">
        <w:rPr>
          <w:spacing w:val="-1"/>
        </w:rPr>
        <w:t>black</w:t>
      </w:r>
      <w:r w:rsidRPr="0031675F">
        <w:rPr>
          <w:spacing w:val="-3"/>
        </w:rPr>
        <w:t xml:space="preserve"> </w:t>
      </w:r>
      <w:r w:rsidRPr="0031675F">
        <w:rPr>
          <w:spacing w:val="-1"/>
        </w:rPr>
        <w:t>plastic</w:t>
      </w:r>
      <w:r w:rsidRPr="0031675F">
        <w:rPr>
          <w:spacing w:val="-2"/>
        </w:rPr>
        <w:t xml:space="preserve"> </w:t>
      </w:r>
      <w:r w:rsidRPr="0031675F">
        <w:rPr>
          <w:spacing w:val="-1"/>
        </w:rPr>
        <w:t>protective</w:t>
      </w:r>
      <w:r w:rsidRPr="0031675F">
        <w:t xml:space="preserve"> </w:t>
      </w:r>
      <w:r w:rsidRPr="0031675F">
        <w:rPr>
          <w:spacing w:val="-1"/>
        </w:rPr>
        <w:t>covers</w:t>
      </w:r>
      <w:r w:rsidRPr="0031675F">
        <w:rPr>
          <w:spacing w:val="-2"/>
        </w:rPr>
        <w:t xml:space="preserve"> </w:t>
      </w:r>
      <w:r w:rsidRPr="0031675F">
        <w:t>on</w:t>
      </w:r>
      <w:r w:rsidRPr="0031675F">
        <w:rPr>
          <w:spacing w:val="-1"/>
        </w:rPr>
        <w:t xml:space="preserve"> </w:t>
      </w:r>
      <w:r w:rsidRPr="0031675F">
        <w:rPr>
          <w:spacing w:val="-2"/>
        </w:rPr>
        <w:t>the</w:t>
      </w:r>
      <w:r w:rsidRPr="0031675F">
        <w:rPr>
          <w:spacing w:val="3"/>
        </w:rPr>
        <w:t xml:space="preserve"> </w:t>
      </w:r>
      <w:r w:rsidRPr="0031675F">
        <w:rPr>
          <w:spacing w:val="-1"/>
        </w:rPr>
        <w:t>ends</w:t>
      </w:r>
      <w:r w:rsidRPr="0031675F">
        <w:t xml:space="preserve"> of</w:t>
      </w:r>
      <w:r w:rsidRPr="0031675F">
        <w:rPr>
          <w:spacing w:val="-2"/>
        </w:rPr>
        <w:t xml:space="preserve"> </w:t>
      </w:r>
      <w:r w:rsidRPr="0031675F">
        <w:t xml:space="preserve">the </w:t>
      </w:r>
      <w:r w:rsidRPr="0031675F">
        <w:rPr>
          <w:spacing w:val="-1"/>
        </w:rPr>
        <w:t>screws.</w:t>
      </w:r>
    </w:p>
    <w:p w14:paraId="015FC696" w14:textId="77777777" w:rsidR="0031675F" w:rsidRPr="0031675F" w:rsidRDefault="0031675F" w:rsidP="0031675F">
      <w:pPr>
        <w:widowControl w:val="0"/>
        <w:numPr>
          <w:ilvl w:val="0"/>
          <w:numId w:val="68"/>
        </w:numPr>
        <w:tabs>
          <w:tab w:val="left" w:pos="839"/>
        </w:tabs>
        <w:spacing w:before="120" w:after="0" w:line="240" w:lineRule="auto"/>
        <w:ind w:right="114"/>
        <w:jc w:val="both"/>
      </w:pPr>
      <w:r w:rsidRPr="0031675F">
        <w:rPr>
          <w:spacing w:val="-1"/>
        </w:rPr>
        <w:t>Remove</w:t>
      </w:r>
      <w:r w:rsidRPr="0031675F">
        <w:rPr>
          <w:spacing w:val="48"/>
        </w:rPr>
        <w:t xml:space="preserve"> </w:t>
      </w:r>
      <w:r w:rsidRPr="0031675F">
        <w:rPr>
          <w:spacing w:val="-1"/>
        </w:rPr>
        <w:t>and</w:t>
      </w:r>
      <w:r w:rsidRPr="0031675F">
        <w:rPr>
          <w:spacing w:val="48"/>
        </w:rPr>
        <w:t xml:space="preserve"> </w:t>
      </w:r>
      <w:r w:rsidRPr="0031675F">
        <w:rPr>
          <w:spacing w:val="-1"/>
        </w:rPr>
        <w:t>check</w:t>
      </w:r>
      <w:r w:rsidRPr="0031675F">
        <w:rPr>
          <w:spacing w:val="49"/>
        </w:rPr>
        <w:t xml:space="preserve"> </w:t>
      </w:r>
      <w:r w:rsidRPr="0031675F">
        <w:rPr>
          <w:spacing w:val="-1"/>
        </w:rPr>
        <w:t>the</w:t>
      </w:r>
      <w:r w:rsidRPr="0031675F">
        <w:rPr>
          <w:spacing w:val="48"/>
        </w:rPr>
        <w:t xml:space="preserve"> </w:t>
      </w:r>
      <w:r w:rsidRPr="0031675F">
        <w:rPr>
          <w:spacing w:val="-1"/>
        </w:rPr>
        <w:t>pressure</w:t>
      </w:r>
      <w:r w:rsidRPr="0031675F">
        <w:rPr>
          <w:spacing w:val="49"/>
        </w:rPr>
        <w:t xml:space="preserve"> </w:t>
      </w:r>
      <w:r w:rsidRPr="0031675F">
        <w:rPr>
          <w:spacing w:val="-2"/>
        </w:rPr>
        <w:t>housing</w:t>
      </w:r>
      <w:r w:rsidRPr="0031675F">
        <w:rPr>
          <w:spacing w:val="48"/>
        </w:rPr>
        <w:t xml:space="preserve"> </w:t>
      </w:r>
      <w:r w:rsidRPr="0031675F">
        <w:rPr>
          <w:spacing w:val="-1"/>
        </w:rPr>
        <w:t>O-ring</w:t>
      </w:r>
      <w:r w:rsidRPr="0031675F">
        <w:rPr>
          <w:spacing w:val="48"/>
        </w:rPr>
        <w:t xml:space="preserve"> </w:t>
      </w:r>
      <w:r w:rsidRPr="0031675F">
        <w:rPr>
          <w:spacing w:val="-1"/>
        </w:rPr>
        <w:t>for</w:t>
      </w:r>
      <w:r w:rsidRPr="0031675F">
        <w:rPr>
          <w:spacing w:val="47"/>
        </w:rPr>
        <w:t xml:space="preserve"> </w:t>
      </w:r>
      <w:r w:rsidRPr="0031675F">
        <w:rPr>
          <w:spacing w:val="-1"/>
        </w:rPr>
        <w:t>nicks</w:t>
      </w:r>
      <w:r w:rsidRPr="0031675F">
        <w:rPr>
          <w:spacing w:val="48"/>
        </w:rPr>
        <w:t xml:space="preserve"> </w:t>
      </w:r>
      <w:r w:rsidRPr="0031675F">
        <w:t>or</w:t>
      </w:r>
      <w:r w:rsidRPr="0031675F">
        <w:rPr>
          <w:spacing w:val="46"/>
        </w:rPr>
        <w:t xml:space="preserve"> </w:t>
      </w:r>
      <w:r w:rsidRPr="0031675F">
        <w:rPr>
          <w:spacing w:val="-1"/>
        </w:rPr>
        <w:t>tears.</w:t>
      </w:r>
      <w:r w:rsidRPr="0031675F">
        <w:rPr>
          <w:spacing w:val="47"/>
        </w:rPr>
        <w:t xml:space="preserve"> </w:t>
      </w:r>
      <w:r w:rsidRPr="0031675F">
        <w:rPr>
          <w:spacing w:val="-1"/>
        </w:rPr>
        <w:t>Replace</w:t>
      </w:r>
      <w:r w:rsidRPr="0031675F">
        <w:rPr>
          <w:spacing w:val="46"/>
        </w:rPr>
        <w:t xml:space="preserve"> </w:t>
      </w:r>
      <w:r w:rsidRPr="0031675F">
        <w:t>if</w:t>
      </w:r>
      <w:r w:rsidRPr="0031675F">
        <w:rPr>
          <w:spacing w:val="48"/>
        </w:rPr>
        <w:t xml:space="preserve"> </w:t>
      </w:r>
      <w:r w:rsidRPr="0031675F">
        <w:rPr>
          <w:spacing w:val="-1"/>
        </w:rPr>
        <w:t>necessary.</w:t>
      </w:r>
      <w:r w:rsidRPr="0031675F">
        <w:rPr>
          <w:spacing w:val="69"/>
        </w:rPr>
        <w:t xml:space="preserve"> </w:t>
      </w:r>
      <w:r w:rsidRPr="0031675F">
        <w:rPr>
          <w:spacing w:val="-1"/>
        </w:rPr>
        <w:t>Before</w:t>
      </w:r>
      <w:r w:rsidRPr="0031675F">
        <w:t xml:space="preserve"> </w:t>
      </w:r>
      <w:r w:rsidRPr="0031675F">
        <w:rPr>
          <w:spacing w:val="-1"/>
        </w:rPr>
        <w:t>re-installing,</w:t>
      </w:r>
      <w:r w:rsidRPr="0031675F">
        <w:t xml:space="preserve"> </w:t>
      </w:r>
      <w:r w:rsidRPr="0031675F">
        <w:rPr>
          <w:spacing w:val="-1"/>
        </w:rPr>
        <w:t>apply</w:t>
      </w:r>
      <w:r w:rsidRPr="0031675F">
        <w:t xml:space="preserve"> a</w:t>
      </w:r>
      <w:r w:rsidRPr="0031675F">
        <w:rPr>
          <w:spacing w:val="-3"/>
        </w:rPr>
        <w:t xml:space="preserve"> </w:t>
      </w:r>
      <w:r w:rsidRPr="0031675F">
        <w:rPr>
          <w:spacing w:val="-1"/>
        </w:rPr>
        <w:t>light</w:t>
      </w:r>
      <w:r w:rsidRPr="0031675F">
        <w:t xml:space="preserve"> </w:t>
      </w:r>
      <w:r w:rsidRPr="0031675F">
        <w:rPr>
          <w:spacing w:val="-1"/>
        </w:rPr>
        <w:t>coat</w:t>
      </w:r>
      <w:r w:rsidRPr="0031675F">
        <w:rPr>
          <w:spacing w:val="-2"/>
        </w:rPr>
        <w:t xml:space="preserve"> </w:t>
      </w:r>
      <w:r w:rsidRPr="0031675F">
        <w:t>of</w:t>
      </w:r>
      <w:r w:rsidRPr="0031675F">
        <w:rPr>
          <w:spacing w:val="-2"/>
        </w:rPr>
        <w:t xml:space="preserve"> </w:t>
      </w:r>
      <w:r w:rsidRPr="0031675F">
        <w:rPr>
          <w:spacing w:val="-1"/>
        </w:rPr>
        <w:t>vacuum</w:t>
      </w:r>
      <w:r w:rsidRPr="0031675F">
        <w:rPr>
          <w:spacing w:val="-2"/>
        </w:rPr>
        <w:t xml:space="preserve"> </w:t>
      </w:r>
      <w:r w:rsidRPr="0031675F">
        <w:rPr>
          <w:spacing w:val="-1"/>
        </w:rPr>
        <w:t>grease</w:t>
      </w:r>
      <w:r w:rsidRPr="0031675F">
        <w:t xml:space="preserve"> on</w:t>
      </w:r>
      <w:r w:rsidRPr="0031675F">
        <w:rPr>
          <w:spacing w:val="-3"/>
        </w:rPr>
        <w:t xml:space="preserve"> </w:t>
      </w:r>
      <w:r w:rsidRPr="0031675F">
        <w:t>the</w:t>
      </w:r>
      <w:r w:rsidRPr="0031675F">
        <w:rPr>
          <w:spacing w:val="-2"/>
        </w:rPr>
        <w:t xml:space="preserve"> </w:t>
      </w:r>
      <w:r w:rsidRPr="0031675F">
        <w:rPr>
          <w:spacing w:val="-1"/>
        </w:rPr>
        <w:t>O-ring.</w:t>
      </w:r>
    </w:p>
    <w:p w14:paraId="52521047" w14:textId="77777777" w:rsidR="0031675F" w:rsidRPr="0031675F" w:rsidRDefault="0031675F" w:rsidP="0031675F">
      <w:pPr>
        <w:widowControl w:val="0"/>
        <w:numPr>
          <w:ilvl w:val="0"/>
          <w:numId w:val="68"/>
        </w:numPr>
        <w:tabs>
          <w:tab w:val="left" w:pos="839"/>
        </w:tabs>
        <w:spacing w:before="118" w:after="0" w:line="240" w:lineRule="auto"/>
        <w:ind w:right="109"/>
        <w:jc w:val="both"/>
      </w:pPr>
      <w:r w:rsidRPr="0031675F">
        <w:rPr>
          <w:spacing w:val="-1"/>
        </w:rPr>
        <w:t>Carefully</w:t>
      </w:r>
      <w:r w:rsidRPr="0031675F">
        <w:rPr>
          <w:spacing w:val="17"/>
        </w:rPr>
        <w:t xml:space="preserve"> </w:t>
      </w:r>
      <w:r w:rsidRPr="0031675F">
        <w:rPr>
          <w:spacing w:val="-1"/>
        </w:rPr>
        <w:t>replace</w:t>
      </w:r>
      <w:r w:rsidRPr="0031675F">
        <w:rPr>
          <w:spacing w:val="17"/>
        </w:rPr>
        <w:t xml:space="preserve"> </w:t>
      </w:r>
      <w:r w:rsidRPr="0031675F">
        <w:t>the</w:t>
      </w:r>
      <w:r w:rsidRPr="0031675F">
        <w:rPr>
          <w:spacing w:val="17"/>
        </w:rPr>
        <w:t xml:space="preserve"> </w:t>
      </w:r>
      <w:r w:rsidRPr="0031675F">
        <w:rPr>
          <w:spacing w:val="-1"/>
        </w:rPr>
        <w:t>battery</w:t>
      </w:r>
      <w:r w:rsidRPr="0031675F">
        <w:rPr>
          <w:spacing w:val="17"/>
        </w:rPr>
        <w:t xml:space="preserve"> </w:t>
      </w:r>
      <w:r w:rsidRPr="0031675F">
        <w:rPr>
          <w:spacing w:val="-1"/>
        </w:rPr>
        <w:t>pack</w:t>
      </w:r>
      <w:r w:rsidRPr="0031675F">
        <w:rPr>
          <w:spacing w:val="17"/>
        </w:rPr>
        <w:t xml:space="preserve"> </w:t>
      </w:r>
      <w:r w:rsidRPr="0031675F">
        <w:t>in</w:t>
      </w:r>
      <w:r w:rsidRPr="0031675F">
        <w:rPr>
          <w:spacing w:val="16"/>
        </w:rPr>
        <w:t xml:space="preserve"> </w:t>
      </w:r>
      <w:r w:rsidRPr="0031675F">
        <w:t>the</w:t>
      </w:r>
      <w:r w:rsidRPr="0031675F">
        <w:rPr>
          <w:spacing w:val="17"/>
        </w:rPr>
        <w:t xml:space="preserve"> </w:t>
      </w:r>
      <w:r w:rsidRPr="0031675F">
        <w:rPr>
          <w:spacing w:val="-1"/>
        </w:rPr>
        <w:t>pressure</w:t>
      </w:r>
      <w:r w:rsidRPr="0031675F">
        <w:rPr>
          <w:spacing w:val="16"/>
        </w:rPr>
        <w:t xml:space="preserve"> </w:t>
      </w:r>
      <w:r w:rsidRPr="0031675F">
        <w:rPr>
          <w:spacing w:val="-2"/>
        </w:rPr>
        <w:t>housing.</w:t>
      </w:r>
      <w:r w:rsidRPr="0031675F">
        <w:rPr>
          <w:spacing w:val="16"/>
        </w:rPr>
        <w:t xml:space="preserve"> </w:t>
      </w:r>
      <w:r w:rsidRPr="0031675F">
        <w:t>Place</w:t>
      </w:r>
      <w:r w:rsidRPr="0031675F">
        <w:rPr>
          <w:spacing w:val="16"/>
        </w:rPr>
        <w:t xml:space="preserve"> </w:t>
      </w:r>
      <w:r w:rsidRPr="0031675F">
        <w:t>the</w:t>
      </w:r>
      <w:r w:rsidRPr="0031675F">
        <w:rPr>
          <w:spacing w:val="17"/>
        </w:rPr>
        <w:t xml:space="preserve"> </w:t>
      </w:r>
      <w:r w:rsidRPr="0031675F">
        <w:rPr>
          <w:spacing w:val="-1"/>
        </w:rPr>
        <w:t>neoprene</w:t>
      </w:r>
      <w:r w:rsidRPr="0031675F">
        <w:rPr>
          <w:spacing w:val="14"/>
        </w:rPr>
        <w:t xml:space="preserve"> </w:t>
      </w:r>
      <w:r w:rsidRPr="0031675F">
        <w:rPr>
          <w:spacing w:val="-1"/>
        </w:rPr>
        <w:t>insulator</w:t>
      </w:r>
      <w:r w:rsidRPr="0031675F">
        <w:rPr>
          <w:spacing w:val="17"/>
        </w:rPr>
        <w:t xml:space="preserve"> </w:t>
      </w:r>
      <w:r w:rsidRPr="0031675F">
        <w:t>on</w:t>
      </w:r>
      <w:r w:rsidRPr="0031675F">
        <w:rPr>
          <w:spacing w:val="55"/>
        </w:rPr>
        <w:t xml:space="preserve"> </w:t>
      </w:r>
      <w:r w:rsidRPr="0031675F">
        <w:t xml:space="preserve">the </w:t>
      </w:r>
      <w:r w:rsidRPr="0031675F">
        <w:rPr>
          <w:spacing w:val="-1"/>
        </w:rPr>
        <w:t>battery</w:t>
      </w:r>
      <w:r w:rsidRPr="0031675F">
        <w:rPr>
          <w:spacing w:val="-2"/>
        </w:rPr>
        <w:t xml:space="preserve"> </w:t>
      </w:r>
      <w:r w:rsidRPr="0031675F">
        <w:rPr>
          <w:spacing w:val="-1"/>
        </w:rPr>
        <w:t>assembly</w:t>
      </w:r>
      <w:r w:rsidRPr="0031675F">
        <w:rPr>
          <w:spacing w:val="-2"/>
        </w:rPr>
        <w:t xml:space="preserve"> </w:t>
      </w:r>
      <w:r w:rsidRPr="0031675F">
        <w:t>and</w:t>
      </w:r>
      <w:r w:rsidRPr="0031675F">
        <w:rPr>
          <w:spacing w:val="-2"/>
        </w:rPr>
        <w:t xml:space="preserve"> </w:t>
      </w:r>
      <w:r w:rsidRPr="0031675F">
        <w:rPr>
          <w:spacing w:val="-1"/>
        </w:rPr>
        <w:t>lay</w:t>
      </w:r>
      <w:r w:rsidRPr="0031675F">
        <w:rPr>
          <w:spacing w:val="1"/>
        </w:rPr>
        <w:t xml:space="preserve"> </w:t>
      </w:r>
      <w:r w:rsidRPr="0031675F">
        <w:t>the</w:t>
      </w:r>
      <w:r w:rsidRPr="0031675F">
        <w:rPr>
          <w:spacing w:val="-3"/>
        </w:rPr>
        <w:t xml:space="preserve"> </w:t>
      </w:r>
      <w:r w:rsidRPr="0031675F">
        <w:rPr>
          <w:spacing w:val="-1"/>
        </w:rPr>
        <w:t>white</w:t>
      </w:r>
      <w:r w:rsidRPr="0031675F">
        <w:t xml:space="preserve"> </w:t>
      </w:r>
      <w:r w:rsidRPr="0031675F">
        <w:rPr>
          <w:spacing w:val="-1"/>
        </w:rPr>
        <w:t>cord</w:t>
      </w:r>
      <w:r w:rsidRPr="0031675F">
        <w:rPr>
          <w:spacing w:val="-3"/>
        </w:rPr>
        <w:t xml:space="preserve"> </w:t>
      </w:r>
      <w:r w:rsidRPr="0031675F">
        <w:t>on</w:t>
      </w:r>
      <w:r w:rsidRPr="0031675F">
        <w:rPr>
          <w:spacing w:val="-1"/>
        </w:rPr>
        <w:t xml:space="preserve"> the</w:t>
      </w:r>
      <w:r w:rsidRPr="0031675F">
        <w:rPr>
          <w:spacing w:val="-2"/>
        </w:rPr>
        <w:t xml:space="preserve"> </w:t>
      </w:r>
      <w:r w:rsidRPr="0031675F">
        <w:rPr>
          <w:spacing w:val="-1"/>
        </w:rPr>
        <w:t>top.</w:t>
      </w:r>
    </w:p>
    <w:p w14:paraId="31475EF1" w14:textId="77777777" w:rsidR="0031675F" w:rsidRPr="0031675F" w:rsidRDefault="0031675F" w:rsidP="0031675F">
      <w:pPr>
        <w:widowControl w:val="0"/>
        <w:numPr>
          <w:ilvl w:val="0"/>
          <w:numId w:val="68"/>
        </w:numPr>
        <w:tabs>
          <w:tab w:val="left" w:pos="839"/>
        </w:tabs>
        <w:spacing w:before="120" w:after="0" w:line="240" w:lineRule="auto"/>
        <w:ind w:right="114"/>
        <w:jc w:val="both"/>
      </w:pPr>
      <w:r w:rsidRPr="0031675F">
        <w:rPr>
          <w:spacing w:val="-1"/>
        </w:rPr>
        <w:t xml:space="preserve">Plug </w:t>
      </w:r>
      <w:r w:rsidRPr="0031675F">
        <w:t xml:space="preserve">in the </w:t>
      </w:r>
      <w:r w:rsidRPr="0031675F">
        <w:rPr>
          <w:spacing w:val="-1"/>
        </w:rPr>
        <w:t>two-pin,</w:t>
      </w:r>
      <w:r w:rsidRPr="0031675F">
        <w:rPr>
          <w:spacing w:val="-2"/>
        </w:rPr>
        <w:t xml:space="preserve"> </w:t>
      </w:r>
      <w:r w:rsidRPr="0031675F">
        <w:t xml:space="preserve">then </w:t>
      </w:r>
      <w:r w:rsidRPr="0031675F">
        <w:rPr>
          <w:spacing w:val="-1"/>
        </w:rPr>
        <w:t>the</w:t>
      </w:r>
      <w:r w:rsidRPr="0031675F">
        <w:t xml:space="preserve"> </w:t>
      </w:r>
      <w:r w:rsidRPr="0031675F">
        <w:rPr>
          <w:spacing w:val="-1"/>
        </w:rPr>
        <w:t>six-pin Molex</w:t>
      </w:r>
      <w:r w:rsidRPr="0031675F">
        <w:t xml:space="preserve"> </w:t>
      </w:r>
      <w:r w:rsidRPr="0031675F">
        <w:rPr>
          <w:spacing w:val="-1"/>
        </w:rPr>
        <w:t>connectors.</w:t>
      </w:r>
      <w:r w:rsidRPr="0031675F">
        <w:rPr>
          <w:spacing w:val="-4"/>
        </w:rPr>
        <w:t xml:space="preserve"> </w:t>
      </w:r>
      <w:r w:rsidRPr="0031675F">
        <w:rPr>
          <w:spacing w:val="-1"/>
        </w:rPr>
        <w:t>Sensor</w:t>
      </w:r>
      <w:r w:rsidRPr="0031675F">
        <w:rPr>
          <w:spacing w:val="-2"/>
        </w:rPr>
        <w:t xml:space="preserve"> </w:t>
      </w:r>
      <w:r w:rsidRPr="0031675F">
        <w:rPr>
          <w:spacing w:val="-1"/>
        </w:rPr>
        <w:t xml:space="preserve">operation </w:t>
      </w:r>
      <w:r w:rsidRPr="0031675F">
        <w:t>can</w:t>
      </w:r>
      <w:r w:rsidRPr="0031675F">
        <w:rPr>
          <w:spacing w:val="-1"/>
        </w:rPr>
        <w:t xml:space="preserve"> now</w:t>
      </w:r>
      <w:r w:rsidRPr="0031675F">
        <w:rPr>
          <w:spacing w:val="-4"/>
        </w:rPr>
        <w:t xml:space="preserve"> </w:t>
      </w:r>
      <w:r w:rsidRPr="0031675F">
        <w:rPr>
          <w:spacing w:val="-1"/>
        </w:rPr>
        <w:t>be</w:t>
      </w:r>
      <w:r w:rsidRPr="0031675F">
        <w:t xml:space="preserve"> </w:t>
      </w:r>
      <w:r w:rsidRPr="0031675F">
        <w:rPr>
          <w:spacing w:val="-1"/>
        </w:rPr>
        <w:t>tested</w:t>
      </w:r>
      <w:r w:rsidRPr="0031675F">
        <w:t xml:space="preserve"> if</w:t>
      </w:r>
      <w:r w:rsidRPr="0031675F">
        <w:rPr>
          <w:spacing w:val="61"/>
        </w:rPr>
        <w:t xml:space="preserve"> </w:t>
      </w:r>
      <w:r w:rsidRPr="0031675F">
        <w:rPr>
          <w:spacing w:val="-1"/>
        </w:rPr>
        <w:t>desired.</w:t>
      </w:r>
    </w:p>
    <w:p w14:paraId="1A121F1E" w14:textId="77777777" w:rsidR="0031675F" w:rsidRPr="0031675F" w:rsidRDefault="0031675F" w:rsidP="0031675F">
      <w:pPr>
        <w:widowControl w:val="0"/>
        <w:numPr>
          <w:ilvl w:val="0"/>
          <w:numId w:val="68"/>
        </w:numPr>
        <w:tabs>
          <w:tab w:val="left" w:pos="839"/>
        </w:tabs>
        <w:spacing w:before="120" w:after="0" w:line="240" w:lineRule="auto"/>
        <w:ind w:right="109"/>
        <w:jc w:val="both"/>
      </w:pPr>
      <w:r w:rsidRPr="0031675F">
        <w:rPr>
          <w:spacing w:val="-1"/>
        </w:rPr>
        <w:t>Align</w:t>
      </w:r>
      <w:r w:rsidRPr="0031675F">
        <w:rPr>
          <w:spacing w:val="11"/>
        </w:rPr>
        <w:t xml:space="preserve"> </w:t>
      </w:r>
      <w:r w:rsidRPr="0031675F">
        <w:t>the</w:t>
      </w:r>
      <w:r w:rsidRPr="0031675F">
        <w:rPr>
          <w:spacing w:val="12"/>
        </w:rPr>
        <w:t xml:space="preserve"> </w:t>
      </w:r>
      <w:r w:rsidRPr="0031675F">
        <w:t>hole</w:t>
      </w:r>
      <w:r w:rsidRPr="0031675F">
        <w:rPr>
          <w:spacing w:val="12"/>
        </w:rPr>
        <w:t xml:space="preserve"> </w:t>
      </w:r>
      <w:r w:rsidRPr="0031675F">
        <w:t>in</w:t>
      </w:r>
      <w:r w:rsidRPr="0031675F">
        <w:rPr>
          <w:spacing w:val="11"/>
        </w:rPr>
        <w:t xml:space="preserve"> </w:t>
      </w:r>
      <w:r w:rsidRPr="0031675F">
        <w:t>the</w:t>
      </w:r>
      <w:r w:rsidRPr="0031675F">
        <w:rPr>
          <w:spacing w:val="12"/>
        </w:rPr>
        <w:t xml:space="preserve"> </w:t>
      </w:r>
      <w:r w:rsidRPr="0031675F">
        <w:t>end</w:t>
      </w:r>
      <w:r w:rsidRPr="0031675F">
        <w:rPr>
          <w:spacing w:val="11"/>
        </w:rPr>
        <w:t xml:space="preserve"> </w:t>
      </w:r>
      <w:r w:rsidRPr="0031675F">
        <w:rPr>
          <w:spacing w:val="-1"/>
        </w:rPr>
        <w:t>flange</w:t>
      </w:r>
      <w:r w:rsidRPr="0031675F">
        <w:rPr>
          <w:spacing w:val="13"/>
        </w:rPr>
        <w:t xml:space="preserve"> </w:t>
      </w:r>
      <w:r w:rsidRPr="0031675F">
        <w:rPr>
          <w:spacing w:val="-1"/>
        </w:rPr>
        <w:t>(NOT</w:t>
      </w:r>
      <w:r w:rsidRPr="0031675F">
        <w:rPr>
          <w:spacing w:val="12"/>
        </w:rPr>
        <w:t xml:space="preserve"> </w:t>
      </w:r>
      <w:r w:rsidRPr="0031675F">
        <w:t>the</w:t>
      </w:r>
      <w:r w:rsidRPr="0031675F">
        <w:rPr>
          <w:spacing w:val="12"/>
        </w:rPr>
        <w:t xml:space="preserve"> </w:t>
      </w:r>
      <w:r w:rsidRPr="0031675F">
        <w:rPr>
          <w:spacing w:val="-2"/>
        </w:rPr>
        <w:t>jack</w:t>
      </w:r>
      <w:r w:rsidRPr="0031675F">
        <w:rPr>
          <w:spacing w:val="12"/>
        </w:rPr>
        <w:t xml:space="preserve"> </w:t>
      </w:r>
      <w:r w:rsidRPr="0031675F">
        <w:rPr>
          <w:spacing w:val="-1"/>
        </w:rPr>
        <w:t>screw</w:t>
      </w:r>
      <w:r w:rsidRPr="0031675F">
        <w:rPr>
          <w:spacing w:val="13"/>
        </w:rPr>
        <w:t xml:space="preserve"> </w:t>
      </w:r>
      <w:r w:rsidRPr="0031675F">
        <w:t>holes)</w:t>
      </w:r>
      <w:r w:rsidRPr="0031675F">
        <w:rPr>
          <w:spacing w:val="12"/>
        </w:rPr>
        <w:t xml:space="preserve"> </w:t>
      </w:r>
      <w:r w:rsidRPr="0031675F">
        <w:rPr>
          <w:spacing w:val="-1"/>
        </w:rPr>
        <w:t>with</w:t>
      </w:r>
      <w:r w:rsidRPr="0031675F">
        <w:rPr>
          <w:spacing w:val="12"/>
        </w:rPr>
        <w:t xml:space="preserve"> </w:t>
      </w:r>
      <w:r w:rsidRPr="0031675F">
        <w:t>the</w:t>
      </w:r>
      <w:r w:rsidRPr="0031675F">
        <w:rPr>
          <w:spacing w:val="12"/>
        </w:rPr>
        <w:t xml:space="preserve"> </w:t>
      </w:r>
      <w:r w:rsidRPr="0031675F">
        <w:rPr>
          <w:spacing w:val="-1"/>
        </w:rPr>
        <w:t>white</w:t>
      </w:r>
      <w:r w:rsidRPr="0031675F">
        <w:rPr>
          <w:spacing w:val="13"/>
        </w:rPr>
        <w:t xml:space="preserve"> </w:t>
      </w:r>
      <w:r w:rsidRPr="0031675F">
        <w:rPr>
          <w:spacing w:val="-1"/>
        </w:rPr>
        <w:t>dowel</w:t>
      </w:r>
      <w:r w:rsidRPr="0031675F">
        <w:rPr>
          <w:spacing w:val="18"/>
        </w:rPr>
        <w:t xml:space="preserve"> </w:t>
      </w:r>
      <w:r w:rsidRPr="0031675F">
        <w:rPr>
          <w:spacing w:val="-1"/>
        </w:rPr>
        <w:t>pin.</w:t>
      </w:r>
      <w:r w:rsidRPr="0031675F">
        <w:rPr>
          <w:spacing w:val="12"/>
        </w:rPr>
        <w:t xml:space="preserve"> </w:t>
      </w:r>
      <w:r w:rsidRPr="0031675F">
        <w:rPr>
          <w:spacing w:val="-1"/>
        </w:rPr>
        <w:t>While</w:t>
      </w:r>
      <w:r w:rsidRPr="0031675F">
        <w:rPr>
          <w:spacing w:val="37"/>
        </w:rPr>
        <w:t xml:space="preserve"> </w:t>
      </w:r>
      <w:r w:rsidRPr="0031675F">
        <w:rPr>
          <w:spacing w:val="-1"/>
        </w:rPr>
        <w:t>coiling</w:t>
      </w:r>
      <w:r w:rsidRPr="0031675F">
        <w:rPr>
          <w:spacing w:val="21"/>
        </w:rPr>
        <w:t xml:space="preserve"> </w:t>
      </w:r>
      <w:r w:rsidRPr="0031675F">
        <w:t>the</w:t>
      </w:r>
      <w:r w:rsidRPr="0031675F">
        <w:rPr>
          <w:spacing w:val="19"/>
        </w:rPr>
        <w:t xml:space="preserve"> </w:t>
      </w:r>
      <w:r w:rsidRPr="0031675F">
        <w:rPr>
          <w:spacing w:val="-1"/>
        </w:rPr>
        <w:t>six</w:t>
      </w:r>
      <w:r w:rsidRPr="0031675F">
        <w:rPr>
          <w:spacing w:val="20"/>
        </w:rPr>
        <w:t xml:space="preserve"> </w:t>
      </w:r>
      <w:r w:rsidRPr="0031675F">
        <w:t>wire</w:t>
      </w:r>
      <w:r w:rsidRPr="0031675F">
        <w:rPr>
          <w:spacing w:val="20"/>
        </w:rPr>
        <w:t xml:space="preserve"> </w:t>
      </w:r>
      <w:r w:rsidRPr="0031675F">
        <w:rPr>
          <w:spacing w:val="-1"/>
        </w:rPr>
        <w:t>bundle</w:t>
      </w:r>
      <w:r w:rsidRPr="0031675F">
        <w:rPr>
          <w:spacing w:val="22"/>
        </w:rPr>
        <w:t xml:space="preserve"> </w:t>
      </w:r>
      <w:r w:rsidRPr="0031675F">
        <w:rPr>
          <w:spacing w:val="-1"/>
        </w:rPr>
        <w:t>and</w:t>
      </w:r>
      <w:r w:rsidRPr="0031675F">
        <w:rPr>
          <w:spacing w:val="21"/>
        </w:rPr>
        <w:t xml:space="preserve"> </w:t>
      </w:r>
      <w:r w:rsidRPr="0031675F">
        <w:rPr>
          <w:spacing w:val="-1"/>
        </w:rPr>
        <w:t>making</w:t>
      </w:r>
      <w:r w:rsidRPr="0031675F">
        <w:rPr>
          <w:spacing w:val="21"/>
        </w:rPr>
        <w:t xml:space="preserve"> </w:t>
      </w:r>
      <w:r w:rsidRPr="0031675F">
        <w:rPr>
          <w:spacing w:val="-1"/>
        </w:rPr>
        <w:t>sure</w:t>
      </w:r>
      <w:r w:rsidRPr="0031675F">
        <w:rPr>
          <w:spacing w:val="22"/>
        </w:rPr>
        <w:t xml:space="preserve"> </w:t>
      </w:r>
      <w:r w:rsidRPr="0031675F">
        <w:rPr>
          <w:spacing w:val="-1"/>
        </w:rPr>
        <w:t>none</w:t>
      </w:r>
      <w:r w:rsidRPr="0031675F">
        <w:rPr>
          <w:spacing w:val="22"/>
        </w:rPr>
        <w:t xml:space="preserve"> </w:t>
      </w:r>
      <w:r w:rsidRPr="0031675F">
        <w:rPr>
          <w:spacing w:val="-2"/>
        </w:rPr>
        <w:t>are</w:t>
      </w:r>
      <w:r w:rsidRPr="0031675F">
        <w:rPr>
          <w:spacing w:val="22"/>
        </w:rPr>
        <w:t xml:space="preserve"> </w:t>
      </w:r>
      <w:r w:rsidRPr="0031675F">
        <w:rPr>
          <w:spacing w:val="-1"/>
        </w:rPr>
        <w:t>pinched</w:t>
      </w:r>
      <w:r w:rsidRPr="0031675F">
        <w:rPr>
          <w:spacing w:val="21"/>
        </w:rPr>
        <w:t xml:space="preserve"> </w:t>
      </w:r>
      <w:r w:rsidRPr="0031675F">
        <w:rPr>
          <w:spacing w:val="-1"/>
        </w:rPr>
        <w:t>between</w:t>
      </w:r>
      <w:r w:rsidRPr="0031675F">
        <w:rPr>
          <w:spacing w:val="21"/>
        </w:rPr>
        <w:t xml:space="preserve"> </w:t>
      </w:r>
      <w:r w:rsidRPr="0031675F">
        <w:t>the</w:t>
      </w:r>
      <w:r w:rsidRPr="0031675F">
        <w:rPr>
          <w:spacing w:val="19"/>
        </w:rPr>
        <w:t xml:space="preserve"> </w:t>
      </w:r>
      <w:r w:rsidRPr="0031675F">
        <w:rPr>
          <w:spacing w:val="-1"/>
        </w:rPr>
        <w:t>end</w:t>
      </w:r>
      <w:r w:rsidRPr="0031675F">
        <w:rPr>
          <w:spacing w:val="21"/>
        </w:rPr>
        <w:t xml:space="preserve"> </w:t>
      </w:r>
      <w:r w:rsidRPr="0031675F">
        <w:rPr>
          <w:spacing w:val="-1"/>
        </w:rPr>
        <w:t>flange</w:t>
      </w:r>
      <w:r w:rsidRPr="0031675F">
        <w:rPr>
          <w:spacing w:val="22"/>
        </w:rPr>
        <w:t xml:space="preserve"> </w:t>
      </w:r>
      <w:r w:rsidRPr="0031675F">
        <w:rPr>
          <w:spacing w:val="-1"/>
        </w:rPr>
        <w:t>and</w:t>
      </w:r>
      <w:r w:rsidRPr="0031675F">
        <w:rPr>
          <w:spacing w:val="45"/>
        </w:rPr>
        <w:t xml:space="preserve"> </w:t>
      </w:r>
      <w:r w:rsidRPr="0031675F">
        <w:t>the</w:t>
      </w:r>
      <w:r w:rsidRPr="0031675F">
        <w:rPr>
          <w:spacing w:val="26"/>
        </w:rPr>
        <w:t xml:space="preserve"> </w:t>
      </w:r>
      <w:r w:rsidRPr="0031675F">
        <w:rPr>
          <w:spacing w:val="-1"/>
        </w:rPr>
        <w:t>pressure</w:t>
      </w:r>
      <w:r w:rsidRPr="0031675F">
        <w:rPr>
          <w:spacing w:val="27"/>
        </w:rPr>
        <w:t xml:space="preserve"> </w:t>
      </w:r>
      <w:r w:rsidRPr="0031675F">
        <w:rPr>
          <w:spacing w:val="-2"/>
        </w:rPr>
        <w:t>housing,</w:t>
      </w:r>
      <w:r w:rsidRPr="0031675F">
        <w:rPr>
          <w:spacing w:val="27"/>
        </w:rPr>
        <w:t xml:space="preserve"> </w:t>
      </w:r>
      <w:r w:rsidRPr="0031675F">
        <w:rPr>
          <w:spacing w:val="-1"/>
        </w:rPr>
        <w:t>position</w:t>
      </w:r>
      <w:r w:rsidRPr="0031675F">
        <w:rPr>
          <w:spacing w:val="23"/>
        </w:rPr>
        <w:t xml:space="preserve"> </w:t>
      </w:r>
      <w:r w:rsidRPr="0031675F">
        <w:t>the</w:t>
      </w:r>
      <w:r w:rsidRPr="0031675F">
        <w:rPr>
          <w:spacing w:val="26"/>
        </w:rPr>
        <w:t xml:space="preserve"> </w:t>
      </w:r>
      <w:r w:rsidRPr="0031675F">
        <w:rPr>
          <w:spacing w:val="-1"/>
        </w:rPr>
        <w:t>flange</w:t>
      </w:r>
      <w:r w:rsidRPr="0031675F">
        <w:rPr>
          <w:spacing w:val="22"/>
        </w:rPr>
        <w:t xml:space="preserve"> </w:t>
      </w:r>
      <w:r w:rsidRPr="0031675F">
        <w:t>on</w:t>
      </w:r>
      <w:r w:rsidRPr="0031675F">
        <w:rPr>
          <w:spacing w:val="26"/>
        </w:rPr>
        <w:t xml:space="preserve"> </w:t>
      </w:r>
      <w:r w:rsidRPr="0031675F">
        <w:t>the</w:t>
      </w:r>
      <w:r w:rsidRPr="0031675F">
        <w:rPr>
          <w:spacing w:val="24"/>
        </w:rPr>
        <w:t xml:space="preserve"> </w:t>
      </w:r>
      <w:r w:rsidRPr="0031675F">
        <w:rPr>
          <w:spacing w:val="-2"/>
        </w:rPr>
        <w:t>housing.</w:t>
      </w:r>
      <w:r w:rsidRPr="0031675F">
        <w:rPr>
          <w:spacing w:val="26"/>
        </w:rPr>
        <w:t xml:space="preserve"> </w:t>
      </w:r>
      <w:r w:rsidRPr="0031675F">
        <w:rPr>
          <w:spacing w:val="-1"/>
        </w:rPr>
        <w:t>Leave</w:t>
      </w:r>
      <w:r w:rsidRPr="0031675F">
        <w:rPr>
          <w:spacing w:val="25"/>
        </w:rPr>
        <w:t xml:space="preserve"> </w:t>
      </w:r>
      <w:r w:rsidRPr="0031675F">
        <w:rPr>
          <w:spacing w:val="-1"/>
        </w:rPr>
        <w:t>space</w:t>
      </w:r>
      <w:r w:rsidRPr="0031675F">
        <w:rPr>
          <w:spacing w:val="24"/>
        </w:rPr>
        <w:t xml:space="preserve"> </w:t>
      </w:r>
      <w:r w:rsidRPr="0031675F">
        <w:rPr>
          <w:spacing w:val="-1"/>
        </w:rPr>
        <w:t>to</w:t>
      </w:r>
      <w:r w:rsidRPr="0031675F">
        <w:rPr>
          <w:spacing w:val="28"/>
        </w:rPr>
        <w:t xml:space="preserve"> </w:t>
      </w:r>
      <w:r w:rsidRPr="0031675F">
        <w:rPr>
          <w:spacing w:val="-1"/>
        </w:rPr>
        <w:t>reinsert</w:t>
      </w:r>
      <w:r w:rsidRPr="0031675F">
        <w:rPr>
          <w:spacing w:val="25"/>
        </w:rPr>
        <w:t xml:space="preserve"> </w:t>
      </w:r>
      <w:r w:rsidRPr="0031675F">
        <w:t>the</w:t>
      </w:r>
      <w:r w:rsidRPr="0031675F">
        <w:rPr>
          <w:spacing w:val="26"/>
        </w:rPr>
        <w:t xml:space="preserve"> </w:t>
      </w:r>
      <w:r w:rsidRPr="0031675F">
        <w:rPr>
          <w:spacing w:val="-1"/>
        </w:rPr>
        <w:t>gray</w:t>
      </w:r>
      <w:r w:rsidRPr="0031675F">
        <w:rPr>
          <w:spacing w:val="49"/>
        </w:rPr>
        <w:t xml:space="preserve"> </w:t>
      </w:r>
      <w:r w:rsidRPr="0031675F">
        <w:rPr>
          <w:spacing w:val="-1"/>
        </w:rPr>
        <w:t>foam</w:t>
      </w:r>
      <w:r w:rsidRPr="0031675F">
        <w:rPr>
          <w:spacing w:val="22"/>
        </w:rPr>
        <w:t xml:space="preserve"> </w:t>
      </w:r>
      <w:r w:rsidRPr="0031675F">
        <w:rPr>
          <w:spacing w:val="-1"/>
        </w:rPr>
        <w:t>spacer</w:t>
      </w:r>
      <w:r w:rsidRPr="0031675F">
        <w:rPr>
          <w:spacing w:val="22"/>
        </w:rPr>
        <w:t xml:space="preserve"> </w:t>
      </w:r>
      <w:r w:rsidRPr="0031675F">
        <w:rPr>
          <w:spacing w:val="-1"/>
        </w:rPr>
        <w:t>and</w:t>
      </w:r>
      <w:r w:rsidRPr="0031675F">
        <w:rPr>
          <w:spacing w:val="20"/>
        </w:rPr>
        <w:t xml:space="preserve"> </w:t>
      </w:r>
      <w:r w:rsidRPr="0031675F">
        <w:rPr>
          <w:spacing w:val="-1"/>
        </w:rPr>
        <w:t>fresh</w:t>
      </w:r>
      <w:r w:rsidRPr="0031675F">
        <w:rPr>
          <w:spacing w:val="18"/>
        </w:rPr>
        <w:t xml:space="preserve"> </w:t>
      </w:r>
      <w:r w:rsidRPr="0031675F">
        <w:rPr>
          <w:spacing w:val="-1"/>
        </w:rPr>
        <w:t>packet</w:t>
      </w:r>
      <w:r w:rsidRPr="0031675F">
        <w:rPr>
          <w:spacing w:val="19"/>
        </w:rPr>
        <w:t xml:space="preserve"> </w:t>
      </w:r>
      <w:r w:rsidRPr="0031675F">
        <w:t>of</w:t>
      </w:r>
      <w:r w:rsidRPr="0031675F">
        <w:rPr>
          <w:spacing w:val="18"/>
        </w:rPr>
        <w:t xml:space="preserve"> </w:t>
      </w:r>
      <w:r w:rsidRPr="0031675F">
        <w:rPr>
          <w:spacing w:val="-1"/>
        </w:rPr>
        <w:t>oven-dried</w:t>
      </w:r>
      <w:r w:rsidRPr="0031675F">
        <w:rPr>
          <w:spacing w:val="17"/>
        </w:rPr>
        <w:t xml:space="preserve"> </w:t>
      </w:r>
      <w:r w:rsidRPr="0031675F">
        <w:rPr>
          <w:spacing w:val="-1"/>
        </w:rPr>
        <w:t>desiccant,</w:t>
      </w:r>
      <w:r w:rsidRPr="0031675F">
        <w:rPr>
          <w:spacing w:val="18"/>
        </w:rPr>
        <w:t xml:space="preserve"> </w:t>
      </w:r>
      <w:r w:rsidRPr="0031675F">
        <w:rPr>
          <w:spacing w:val="-1"/>
        </w:rPr>
        <w:t>making</w:t>
      </w:r>
      <w:r w:rsidRPr="0031675F">
        <w:rPr>
          <w:spacing w:val="20"/>
        </w:rPr>
        <w:t xml:space="preserve"> </w:t>
      </w:r>
      <w:r w:rsidRPr="0031675F">
        <w:rPr>
          <w:spacing w:val="-1"/>
        </w:rPr>
        <w:t>sure</w:t>
      </w:r>
      <w:r w:rsidRPr="0031675F">
        <w:rPr>
          <w:spacing w:val="18"/>
        </w:rPr>
        <w:t xml:space="preserve"> </w:t>
      </w:r>
      <w:r w:rsidRPr="0031675F">
        <w:t>the</w:t>
      </w:r>
      <w:r w:rsidRPr="0031675F">
        <w:rPr>
          <w:spacing w:val="21"/>
        </w:rPr>
        <w:t xml:space="preserve"> </w:t>
      </w:r>
      <w:r w:rsidRPr="0031675F">
        <w:rPr>
          <w:spacing w:val="-1"/>
        </w:rPr>
        <w:t>cut-out</w:t>
      </w:r>
      <w:r w:rsidRPr="0031675F">
        <w:rPr>
          <w:spacing w:val="61"/>
        </w:rPr>
        <w:t xml:space="preserve"> </w:t>
      </w:r>
      <w:r w:rsidRPr="0031675F">
        <w:rPr>
          <w:spacing w:val="-1"/>
        </w:rPr>
        <w:t>accommodates</w:t>
      </w:r>
      <w:r w:rsidRPr="0031675F">
        <w:rPr>
          <w:spacing w:val="-2"/>
        </w:rPr>
        <w:t xml:space="preserve"> </w:t>
      </w:r>
      <w:r w:rsidRPr="0031675F">
        <w:t>the</w:t>
      </w:r>
      <w:r w:rsidRPr="0031675F">
        <w:rPr>
          <w:spacing w:val="-2"/>
        </w:rPr>
        <w:t xml:space="preserve"> </w:t>
      </w:r>
      <w:r w:rsidRPr="0031675F">
        <w:t>vent</w:t>
      </w:r>
      <w:r w:rsidRPr="0031675F">
        <w:rPr>
          <w:spacing w:val="-3"/>
        </w:rPr>
        <w:t xml:space="preserve"> </w:t>
      </w:r>
      <w:r w:rsidRPr="0031675F">
        <w:rPr>
          <w:spacing w:val="-1"/>
        </w:rPr>
        <w:t>plug screw.</w:t>
      </w:r>
    </w:p>
    <w:p w14:paraId="44407407" w14:textId="77777777" w:rsidR="0031675F" w:rsidRPr="0031675F" w:rsidRDefault="0031675F" w:rsidP="0031675F">
      <w:pPr>
        <w:widowControl w:val="0"/>
        <w:numPr>
          <w:ilvl w:val="0"/>
          <w:numId w:val="68"/>
        </w:numPr>
        <w:tabs>
          <w:tab w:val="left" w:pos="839"/>
        </w:tabs>
        <w:spacing w:before="121" w:after="0" w:line="239" w:lineRule="auto"/>
        <w:ind w:right="111"/>
        <w:jc w:val="both"/>
      </w:pPr>
      <w:r w:rsidRPr="0031675F">
        <w:rPr>
          <w:spacing w:val="-1"/>
        </w:rPr>
        <w:t>Push</w:t>
      </w:r>
      <w:r w:rsidRPr="0031675F">
        <w:rPr>
          <w:spacing w:val="47"/>
        </w:rPr>
        <w:t xml:space="preserve"> </w:t>
      </w:r>
      <w:r w:rsidRPr="0031675F">
        <w:t>the</w:t>
      </w:r>
      <w:r w:rsidRPr="0031675F">
        <w:rPr>
          <w:spacing w:val="46"/>
        </w:rPr>
        <w:t xml:space="preserve"> </w:t>
      </w:r>
      <w:r w:rsidRPr="0031675F">
        <w:t>end</w:t>
      </w:r>
      <w:r w:rsidRPr="0031675F">
        <w:rPr>
          <w:spacing w:val="47"/>
        </w:rPr>
        <w:t xml:space="preserve"> </w:t>
      </w:r>
      <w:r w:rsidRPr="0031675F">
        <w:rPr>
          <w:spacing w:val="-1"/>
        </w:rPr>
        <w:t>flange</w:t>
      </w:r>
      <w:r w:rsidRPr="0031675F">
        <w:rPr>
          <w:spacing w:val="48"/>
        </w:rPr>
        <w:t xml:space="preserve"> </w:t>
      </w:r>
      <w:r w:rsidRPr="0031675F">
        <w:t>all</w:t>
      </w:r>
      <w:r w:rsidRPr="0031675F">
        <w:rPr>
          <w:spacing w:val="48"/>
        </w:rPr>
        <w:t xml:space="preserve"> </w:t>
      </w:r>
      <w:r w:rsidRPr="0031675F">
        <w:rPr>
          <w:spacing w:val="-1"/>
        </w:rPr>
        <w:t>the</w:t>
      </w:r>
      <w:r w:rsidRPr="0031675F">
        <w:rPr>
          <w:spacing w:val="49"/>
        </w:rPr>
        <w:t xml:space="preserve"> </w:t>
      </w:r>
      <w:r w:rsidRPr="0031675F">
        <w:t>way</w:t>
      </w:r>
      <w:r w:rsidRPr="0031675F">
        <w:rPr>
          <w:spacing w:val="47"/>
        </w:rPr>
        <w:t xml:space="preserve"> </w:t>
      </w:r>
      <w:r w:rsidRPr="0031675F">
        <w:t>on</w:t>
      </w:r>
      <w:r w:rsidRPr="0031675F">
        <w:rPr>
          <w:spacing w:val="44"/>
        </w:rPr>
        <w:t xml:space="preserve"> </w:t>
      </w:r>
      <w:r w:rsidRPr="0031675F">
        <w:t>to</w:t>
      </w:r>
      <w:r w:rsidRPr="0031675F">
        <w:rPr>
          <w:spacing w:val="48"/>
        </w:rPr>
        <w:t xml:space="preserve"> </w:t>
      </w:r>
      <w:r w:rsidRPr="0031675F">
        <w:t>the</w:t>
      </w:r>
      <w:r w:rsidRPr="0031675F">
        <w:rPr>
          <w:spacing w:val="48"/>
        </w:rPr>
        <w:t xml:space="preserve"> </w:t>
      </w:r>
      <w:r w:rsidRPr="0031675F">
        <w:rPr>
          <w:spacing w:val="-2"/>
        </w:rPr>
        <w:t>pressure</w:t>
      </w:r>
      <w:r w:rsidRPr="0031675F">
        <w:rPr>
          <w:spacing w:val="47"/>
        </w:rPr>
        <w:t xml:space="preserve"> </w:t>
      </w:r>
      <w:r w:rsidRPr="0031675F">
        <w:rPr>
          <w:spacing w:val="-1"/>
        </w:rPr>
        <w:t>housing,</w:t>
      </w:r>
      <w:r w:rsidRPr="0031675F">
        <w:rPr>
          <w:spacing w:val="46"/>
        </w:rPr>
        <w:t xml:space="preserve"> </w:t>
      </w:r>
      <w:r w:rsidRPr="0031675F">
        <w:rPr>
          <w:spacing w:val="-1"/>
        </w:rPr>
        <w:t>making</w:t>
      </w:r>
      <w:r w:rsidRPr="0031675F">
        <w:rPr>
          <w:spacing w:val="48"/>
        </w:rPr>
        <w:t xml:space="preserve"> </w:t>
      </w:r>
      <w:r w:rsidRPr="0031675F">
        <w:rPr>
          <w:spacing w:val="-1"/>
        </w:rPr>
        <w:t>sure</w:t>
      </w:r>
      <w:r w:rsidRPr="0031675F">
        <w:rPr>
          <w:spacing w:val="44"/>
        </w:rPr>
        <w:t xml:space="preserve"> </w:t>
      </w:r>
      <w:r w:rsidRPr="0031675F">
        <w:rPr>
          <w:spacing w:val="-1"/>
        </w:rPr>
        <w:t>no</w:t>
      </w:r>
      <w:r w:rsidRPr="0031675F">
        <w:rPr>
          <w:spacing w:val="48"/>
        </w:rPr>
        <w:t xml:space="preserve"> </w:t>
      </w:r>
      <w:r w:rsidRPr="0031675F">
        <w:rPr>
          <w:spacing w:val="-1"/>
        </w:rPr>
        <w:t>wires</w:t>
      </w:r>
      <w:r w:rsidRPr="0031675F">
        <w:rPr>
          <w:spacing w:val="49"/>
        </w:rPr>
        <w:t xml:space="preserve"> </w:t>
      </w:r>
      <w:r w:rsidRPr="0031675F">
        <w:t>are</w:t>
      </w:r>
      <w:r w:rsidRPr="0031675F">
        <w:rPr>
          <w:spacing w:val="43"/>
        </w:rPr>
        <w:t xml:space="preserve"> </w:t>
      </w:r>
      <w:r w:rsidRPr="0031675F">
        <w:rPr>
          <w:rFonts w:cs="Calibri"/>
          <w:spacing w:val="-1"/>
        </w:rPr>
        <w:t>pinched.</w:t>
      </w:r>
      <w:r w:rsidRPr="0031675F">
        <w:rPr>
          <w:rFonts w:cs="Calibri"/>
        </w:rPr>
        <w:t xml:space="preserve"> Be </w:t>
      </w:r>
      <w:r w:rsidRPr="0031675F">
        <w:rPr>
          <w:rFonts w:cs="Calibri"/>
          <w:spacing w:val="-1"/>
        </w:rPr>
        <w:t>sure</w:t>
      </w:r>
      <w:r w:rsidRPr="0031675F">
        <w:rPr>
          <w:rFonts w:cs="Calibri"/>
        </w:rPr>
        <w:t xml:space="preserve"> the vent </w:t>
      </w:r>
      <w:r w:rsidRPr="0031675F">
        <w:rPr>
          <w:rFonts w:cs="Calibri"/>
          <w:spacing w:val="-2"/>
        </w:rPr>
        <w:t>plug</w:t>
      </w:r>
      <w:r w:rsidRPr="0031675F">
        <w:rPr>
          <w:rFonts w:cs="Calibri"/>
          <w:spacing w:val="-1"/>
        </w:rPr>
        <w:t xml:space="preserve"> </w:t>
      </w:r>
      <w:r w:rsidRPr="0031675F">
        <w:rPr>
          <w:rFonts w:cs="Calibri"/>
        </w:rPr>
        <w:t>does</w:t>
      </w:r>
      <w:r w:rsidRPr="0031675F">
        <w:rPr>
          <w:rFonts w:cs="Calibri"/>
          <w:spacing w:val="1"/>
        </w:rPr>
        <w:t xml:space="preserve"> </w:t>
      </w:r>
      <w:r w:rsidRPr="0031675F">
        <w:rPr>
          <w:rFonts w:cs="Calibri"/>
        </w:rPr>
        <w:t>not pop</w:t>
      </w:r>
      <w:r w:rsidRPr="0031675F">
        <w:rPr>
          <w:rFonts w:cs="Calibri"/>
          <w:spacing w:val="-1"/>
        </w:rPr>
        <w:t xml:space="preserve"> up.</w:t>
      </w:r>
    </w:p>
    <w:p w14:paraId="77AFF7DF" w14:textId="77777777" w:rsidR="0031675F" w:rsidRPr="0031675F" w:rsidRDefault="0031675F" w:rsidP="0031675F">
      <w:pPr>
        <w:widowControl w:val="0"/>
        <w:numPr>
          <w:ilvl w:val="0"/>
          <w:numId w:val="68"/>
        </w:numPr>
        <w:tabs>
          <w:tab w:val="left" w:pos="839"/>
        </w:tabs>
        <w:spacing w:before="120" w:after="0" w:line="240" w:lineRule="auto"/>
      </w:pPr>
      <w:r w:rsidRPr="0031675F">
        <w:rPr>
          <w:spacing w:val="-1"/>
        </w:rPr>
        <w:t>Re-insert</w:t>
      </w:r>
      <w:r w:rsidRPr="0031675F">
        <w:rPr>
          <w:spacing w:val="-2"/>
        </w:rPr>
        <w:t xml:space="preserve"> </w:t>
      </w:r>
      <w:r w:rsidRPr="0031675F">
        <w:t>the</w:t>
      </w:r>
      <w:r w:rsidRPr="0031675F">
        <w:rPr>
          <w:spacing w:val="-2"/>
        </w:rPr>
        <w:t xml:space="preserve"> </w:t>
      </w:r>
      <w:r w:rsidRPr="0031675F">
        <w:rPr>
          <w:spacing w:val="-1"/>
        </w:rPr>
        <w:t>monofilament.</w:t>
      </w:r>
    </w:p>
    <w:p w14:paraId="34C52338" w14:textId="77777777" w:rsidR="0031675F" w:rsidRPr="0031675F" w:rsidRDefault="0031675F" w:rsidP="0031675F">
      <w:pPr>
        <w:rPr>
          <w:rFonts w:cs="Calibri"/>
          <w:sz w:val="20"/>
          <w:szCs w:val="20"/>
        </w:rPr>
      </w:pPr>
    </w:p>
    <w:p w14:paraId="09E4E2E7" w14:textId="77777777" w:rsidR="0031675F" w:rsidRPr="0031675F" w:rsidRDefault="0031675F" w:rsidP="0031675F">
      <w:pPr>
        <w:widowControl w:val="0"/>
        <w:numPr>
          <w:ilvl w:val="1"/>
          <w:numId w:val="67"/>
        </w:numPr>
        <w:tabs>
          <w:tab w:val="left" w:pos="839"/>
        </w:tabs>
        <w:spacing w:before="206" w:after="0" w:line="240" w:lineRule="auto"/>
        <w:rPr>
          <w:rFonts w:eastAsia="Arial" w:cs="Arial"/>
          <w:sz w:val="24"/>
          <w:szCs w:val="24"/>
        </w:rPr>
      </w:pPr>
      <w:r w:rsidRPr="0031675F">
        <w:rPr>
          <w:b/>
          <w:sz w:val="24"/>
        </w:rPr>
        <w:t xml:space="preserve">Field </w:t>
      </w:r>
      <w:r w:rsidRPr="0031675F">
        <w:rPr>
          <w:b/>
          <w:spacing w:val="-1"/>
          <w:sz w:val="24"/>
        </w:rPr>
        <w:t xml:space="preserve">deployment </w:t>
      </w:r>
      <w:r w:rsidRPr="0031675F">
        <w:rPr>
          <w:b/>
          <w:spacing w:val="1"/>
          <w:sz w:val="24"/>
        </w:rPr>
        <w:t>of</w:t>
      </w:r>
      <w:r w:rsidRPr="0031675F">
        <w:rPr>
          <w:b/>
          <w:sz w:val="24"/>
        </w:rPr>
        <w:t xml:space="preserve"> ECO logger</w:t>
      </w:r>
    </w:p>
    <w:p w14:paraId="2CE17D4E" w14:textId="77777777" w:rsidR="0031675F" w:rsidRPr="0031675F" w:rsidRDefault="0031675F" w:rsidP="0031675F">
      <w:pPr>
        <w:spacing w:before="10"/>
        <w:rPr>
          <w:rFonts w:eastAsia="Arial" w:cs="Arial"/>
          <w:b/>
          <w:bCs/>
          <w:sz w:val="20"/>
          <w:szCs w:val="20"/>
        </w:rPr>
      </w:pPr>
    </w:p>
    <w:p w14:paraId="6190D474" w14:textId="77777777" w:rsidR="0031675F" w:rsidRPr="0031675F" w:rsidRDefault="0031675F" w:rsidP="0031675F">
      <w:pPr>
        <w:widowControl w:val="0"/>
        <w:numPr>
          <w:ilvl w:val="2"/>
          <w:numId w:val="67"/>
        </w:numPr>
        <w:tabs>
          <w:tab w:val="left" w:pos="839"/>
        </w:tabs>
        <w:spacing w:before="0" w:after="0" w:line="240" w:lineRule="auto"/>
        <w:rPr>
          <w:rFonts w:eastAsia="Arial" w:cs="Arial"/>
        </w:rPr>
      </w:pPr>
      <w:r w:rsidRPr="0031675F">
        <w:rPr>
          <w:b/>
          <w:spacing w:val="-1"/>
        </w:rPr>
        <w:t>Final</w:t>
      </w:r>
      <w:r w:rsidRPr="0031675F">
        <w:rPr>
          <w:b/>
          <w:spacing w:val="-2"/>
        </w:rPr>
        <w:t xml:space="preserve"> </w:t>
      </w:r>
      <w:r w:rsidRPr="0031675F">
        <w:rPr>
          <w:b/>
          <w:spacing w:val="-1"/>
        </w:rPr>
        <w:t>logger preparation for deployment</w:t>
      </w:r>
    </w:p>
    <w:p w14:paraId="0C334C0C" w14:textId="77777777" w:rsidR="0031675F" w:rsidRPr="0031675F" w:rsidRDefault="0031675F" w:rsidP="0031675F">
      <w:pPr>
        <w:spacing w:before="120" w:after="120"/>
      </w:pPr>
      <w:r w:rsidRPr="0031675F">
        <w:rPr>
          <w:spacing w:val="-1"/>
        </w:rPr>
        <w:t>The</w:t>
      </w:r>
      <w:r w:rsidRPr="0031675F">
        <w:t xml:space="preserve"> </w:t>
      </w:r>
      <w:r w:rsidRPr="0031675F">
        <w:rPr>
          <w:spacing w:val="-1"/>
        </w:rPr>
        <w:t>final preparation</w:t>
      </w:r>
      <w:r w:rsidRPr="0031675F">
        <w:rPr>
          <w:spacing w:val="-3"/>
        </w:rPr>
        <w:t xml:space="preserve"> </w:t>
      </w:r>
      <w:r w:rsidRPr="0031675F">
        <w:t xml:space="preserve">of </w:t>
      </w:r>
      <w:r w:rsidRPr="0031675F">
        <w:rPr>
          <w:spacing w:val="-2"/>
        </w:rPr>
        <w:t>the</w:t>
      </w:r>
      <w:r w:rsidRPr="0031675F">
        <w:t xml:space="preserve"> </w:t>
      </w:r>
      <w:r w:rsidRPr="0031675F">
        <w:rPr>
          <w:spacing w:val="-1"/>
        </w:rPr>
        <w:t>logger</w:t>
      </w:r>
      <w:r w:rsidRPr="0031675F">
        <w:t xml:space="preserve"> </w:t>
      </w:r>
      <w:r w:rsidRPr="0031675F">
        <w:rPr>
          <w:spacing w:val="-1"/>
        </w:rPr>
        <w:t>for</w:t>
      </w:r>
      <w:r w:rsidRPr="0031675F">
        <w:t xml:space="preserve"> </w:t>
      </w:r>
      <w:r w:rsidRPr="0031675F">
        <w:rPr>
          <w:spacing w:val="-1"/>
        </w:rPr>
        <w:t>deployment</w:t>
      </w:r>
      <w:r w:rsidRPr="0031675F">
        <w:rPr>
          <w:spacing w:val="-3"/>
        </w:rPr>
        <w:t xml:space="preserve"> </w:t>
      </w:r>
      <w:r w:rsidRPr="0031675F">
        <w:rPr>
          <w:spacing w:val="-1"/>
        </w:rPr>
        <w:t>includes:</w:t>
      </w:r>
    </w:p>
    <w:p w14:paraId="26F91D09"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The</w:t>
      </w:r>
      <w:r w:rsidRPr="0031675F">
        <w:t xml:space="preserve"> 6</w:t>
      </w:r>
      <w:r w:rsidRPr="0031675F">
        <w:rPr>
          <w:spacing w:val="-2"/>
        </w:rPr>
        <w:t xml:space="preserve"> </w:t>
      </w:r>
      <w:r w:rsidRPr="0031675F">
        <w:rPr>
          <w:spacing w:val="-1"/>
        </w:rPr>
        <w:t>pin</w:t>
      </w:r>
      <w:r w:rsidRPr="0031675F">
        <w:rPr>
          <w:spacing w:val="-2"/>
        </w:rPr>
        <w:t xml:space="preserve"> </w:t>
      </w:r>
      <w:r w:rsidRPr="0031675F">
        <w:rPr>
          <w:spacing w:val="-1"/>
        </w:rPr>
        <w:t>dummy</w:t>
      </w:r>
      <w:r w:rsidRPr="0031675F">
        <w:rPr>
          <w:spacing w:val="-2"/>
        </w:rPr>
        <w:t xml:space="preserve"> </w:t>
      </w:r>
      <w:r w:rsidRPr="0031675F">
        <w:rPr>
          <w:spacing w:val="-1"/>
        </w:rPr>
        <w:t>plug must</w:t>
      </w:r>
      <w:r w:rsidRPr="0031675F">
        <w:t xml:space="preserve"> </w:t>
      </w:r>
      <w:r w:rsidRPr="0031675F">
        <w:rPr>
          <w:spacing w:val="-1"/>
        </w:rPr>
        <w:t>be</w:t>
      </w:r>
      <w:r w:rsidRPr="0031675F">
        <w:t xml:space="preserve"> </w:t>
      </w:r>
      <w:r w:rsidRPr="0031675F">
        <w:rPr>
          <w:spacing w:val="-1"/>
        </w:rPr>
        <w:t>connected.</w:t>
      </w:r>
    </w:p>
    <w:p w14:paraId="3DDBB058" w14:textId="77777777" w:rsidR="0031675F" w:rsidRPr="0031675F" w:rsidRDefault="0031675F" w:rsidP="0031675F">
      <w:pPr>
        <w:widowControl w:val="0"/>
        <w:numPr>
          <w:ilvl w:val="3"/>
          <w:numId w:val="67"/>
        </w:numPr>
        <w:tabs>
          <w:tab w:val="left" w:pos="839"/>
        </w:tabs>
        <w:spacing w:before="120" w:after="0" w:line="240" w:lineRule="auto"/>
        <w:ind w:right="110"/>
        <w:jc w:val="both"/>
      </w:pPr>
      <w:r w:rsidRPr="0031675F">
        <w:rPr>
          <w:spacing w:val="-1"/>
        </w:rPr>
        <w:t>Apply</w:t>
      </w:r>
      <w:r w:rsidRPr="0031675F">
        <w:rPr>
          <w:spacing w:val="10"/>
        </w:rPr>
        <w:t xml:space="preserve"> </w:t>
      </w:r>
      <w:r w:rsidRPr="0031675F">
        <w:rPr>
          <w:spacing w:val="-1"/>
        </w:rPr>
        <w:t>insulation</w:t>
      </w:r>
      <w:r w:rsidRPr="0031675F">
        <w:rPr>
          <w:spacing w:val="9"/>
        </w:rPr>
        <w:t xml:space="preserve"> </w:t>
      </w:r>
      <w:r w:rsidRPr="0031675F">
        <w:t>tape</w:t>
      </w:r>
      <w:r w:rsidRPr="0031675F">
        <w:rPr>
          <w:spacing w:val="10"/>
        </w:rPr>
        <w:t xml:space="preserve"> </w:t>
      </w:r>
      <w:r w:rsidRPr="0031675F">
        <w:t>to</w:t>
      </w:r>
      <w:r w:rsidRPr="0031675F">
        <w:rPr>
          <w:spacing w:val="11"/>
        </w:rPr>
        <w:t xml:space="preserve"> </w:t>
      </w:r>
      <w:r w:rsidRPr="0031675F">
        <w:rPr>
          <w:spacing w:val="-1"/>
        </w:rPr>
        <w:t>parts</w:t>
      </w:r>
      <w:r w:rsidRPr="0031675F">
        <w:rPr>
          <w:spacing w:val="10"/>
        </w:rPr>
        <w:t xml:space="preserve"> </w:t>
      </w:r>
      <w:r w:rsidRPr="0031675F">
        <w:t>of</w:t>
      </w:r>
      <w:r w:rsidRPr="0031675F">
        <w:rPr>
          <w:spacing w:val="9"/>
        </w:rPr>
        <w:t xml:space="preserve"> </w:t>
      </w:r>
      <w:r w:rsidRPr="0031675F">
        <w:t>the</w:t>
      </w:r>
      <w:r w:rsidRPr="0031675F">
        <w:rPr>
          <w:spacing w:val="10"/>
        </w:rPr>
        <w:t xml:space="preserve"> </w:t>
      </w:r>
      <w:r w:rsidRPr="0031675F">
        <w:rPr>
          <w:spacing w:val="-1"/>
        </w:rPr>
        <w:t>instrument</w:t>
      </w:r>
      <w:r w:rsidRPr="0031675F">
        <w:rPr>
          <w:spacing w:val="9"/>
        </w:rPr>
        <w:t xml:space="preserve"> </w:t>
      </w:r>
      <w:r w:rsidRPr="0031675F">
        <w:t>to</w:t>
      </w:r>
      <w:r w:rsidRPr="0031675F">
        <w:rPr>
          <w:spacing w:val="11"/>
        </w:rPr>
        <w:t xml:space="preserve"> </w:t>
      </w:r>
      <w:r w:rsidRPr="0031675F">
        <w:rPr>
          <w:spacing w:val="-1"/>
        </w:rPr>
        <w:t>be</w:t>
      </w:r>
      <w:r w:rsidRPr="0031675F">
        <w:rPr>
          <w:spacing w:val="8"/>
        </w:rPr>
        <w:t xml:space="preserve"> </w:t>
      </w:r>
      <w:r w:rsidRPr="0031675F">
        <w:t>taped</w:t>
      </w:r>
      <w:r w:rsidRPr="0031675F">
        <w:rPr>
          <w:spacing w:val="9"/>
        </w:rPr>
        <w:t xml:space="preserve"> </w:t>
      </w:r>
      <w:r w:rsidRPr="0031675F">
        <w:rPr>
          <w:spacing w:val="1"/>
        </w:rPr>
        <w:t>with</w:t>
      </w:r>
      <w:r w:rsidRPr="0031675F">
        <w:rPr>
          <w:spacing w:val="9"/>
        </w:rPr>
        <w:t xml:space="preserve"> </w:t>
      </w:r>
      <w:r w:rsidRPr="0031675F">
        <w:rPr>
          <w:spacing w:val="-1"/>
        </w:rPr>
        <w:t>copper</w:t>
      </w:r>
      <w:r w:rsidRPr="0031675F">
        <w:rPr>
          <w:spacing w:val="10"/>
        </w:rPr>
        <w:t xml:space="preserve"> </w:t>
      </w:r>
      <w:r w:rsidRPr="0031675F">
        <w:t>tape.</w:t>
      </w:r>
      <w:r w:rsidRPr="0031675F">
        <w:rPr>
          <w:spacing w:val="9"/>
        </w:rPr>
        <w:t xml:space="preserve"> </w:t>
      </w:r>
      <w:r w:rsidRPr="0031675F">
        <w:rPr>
          <w:spacing w:val="-1"/>
        </w:rPr>
        <w:t>This</w:t>
      </w:r>
      <w:r w:rsidRPr="0031675F">
        <w:rPr>
          <w:spacing w:val="9"/>
        </w:rPr>
        <w:t xml:space="preserve"> </w:t>
      </w:r>
      <w:r w:rsidRPr="0031675F">
        <w:rPr>
          <w:spacing w:val="-1"/>
        </w:rPr>
        <w:t>protects</w:t>
      </w:r>
      <w:r w:rsidRPr="0031675F">
        <w:rPr>
          <w:spacing w:val="51"/>
        </w:rPr>
        <w:t xml:space="preserve"> </w:t>
      </w:r>
      <w:r w:rsidRPr="0031675F">
        <w:t>the</w:t>
      </w:r>
      <w:r w:rsidRPr="0031675F">
        <w:rPr>
          <w:spacing w:val="29"/>
        </w:rPr>
        <w:t xml:space="preserve"> </w:t>
      </w:r>
      <w:r w:rsidRPr="0031675F">
        <w:rPr>
          <w:spacing w:val="-1"/>
        </w:rPr>
        <w:t>logger</w:t>
      </w:r>
      <w:r w:rsidRPr="0031675F">
        <w:rPr>
          <w:spacing w:val="30"/>
        </w:rPr>
        <w:t xml:space="preserve"> </w:t>
      </w:r>
      <w:r w:rsidRPr="0031675F">
        <w:rPr>
          <w:spacing w:val="-1"/>
        </w:rPr>
        <w:t>casing</w:t>
      </w:r>
      <w:r w:rsidRPr="0031675F">
        <w:rPr>
          <w:spacing w:val="29"/>
        </w:rPr>
        <w:t xml:space="preserve"> </w:t>
      </w:r>
      <w:r w:rsidRPr="0031675F">
        <w:rPr>
          <w:spacing w:val="-1"/>
        </w:rPr>
        <w:t>from</w:t>
      </w:r>
      <w:r w:rsidRPr="0031675F">
        <w:rPr>
          <w:spacing w:val="27"/>
        </w:rPr>
        <w:t xml:space="preserve"> </w:t>
      </w:r>
      <w:r w:rsidRPr="0031675F">
        <w:rPr>
          <w:spacing w:val="-1"/>
        </w:rPr>
        <w:t>the</w:t>
      </w:r>
      <w:r w:rsidRPr="0031675F">
        <w:rPr>
          <w:spacing w:val="30"/>
        </w:rPr>
        <w:t xml:space="preserve"> </w:t>
      </w:r>
      <w:r w:rsidRPr="0031675F">
        <w:rPr>
          <w:spacing w:val="-1"/>
        </w:rPr>
        <w:t>significant</w:t>
      </w:r>
      <w:r w:rsidRPr="0031675F">
        <w:rPr>
          <w:spacing w:val="30"/>
        </w:rPr>
        <w:t xml:space="preserve"> </w:t>
      </w:r>
      <w:r w:rsidRPr="0031675F">
        <w:rPr>
          <w:spacing w:val="-1"/>
        </w:rPr>
        <w:t>adhesive</w:t>
      </w:r>
      <w:r w:rsidRPr="0031675F">
        <w:rPr>
          <w:spacing w:val="30"/>
        </w:rPr>
        <w:t xml:space="preserve"> </w:t>
      </w:r>
      <w:r w:rsidRPr="0031675F">
        <w:rPr>
          <w:spacing w:val="-1"/>
        </w:rPr>
        <w:t>residue</w:t>
      </w:r>
      <w:r w:rsidRPr="0031675F">
        <w:rPr>
          <w:spacing w:val="27"/>
        </w:rPr>
        <w:t xml:space="preserve"> </w:t>
      </w:r>
      <w:r w:rsidRPr="0031675F">
        <w:t>of</w:t>
      </w:r>
      <w:r w:rsidRPr="0031675F">
        <w:rPr>
          <w:spacing w:val="29"/>
        </w:rPr>
        <w:t xml:space="preserve"> </w:t>
      </w:r>
      <w:r w:rsidRPr="0031675F">
        <w:rPr>
          <w:spacing w:val="-1"/>
        </w:rPr>
        <w:t>the</w:t>
      </w:r>
      <w:r w:rsidRPr="0031675F">
        <w:rPr>
          <w:spacing w:val="30"/>
        </w:rPr>
        <w:t xml:space="preserve"> </w:t>
      </w:r>
      <w:r w:rsidRPr="0031675F">
        <w:rPr>
          <w:spacing w:val="-1"/>
        </w:rPr>
        <w:t>copper</w:t>
      </w:r>
      <w:r w:rsidRPr="0031675F">
        <w:rPr>
          <w:spacing w:val="27"/>
        </w:rPr>
        <w:t xml:space="preserve"> </w:t>
      </w:r>
      <w:r w:rsidRPr="0031675F">
        <w:rPr>
          <w:spacing w:val="-1"/>
        </w:rPr>
        <w:t>foil</w:t>
      </w:r>
      <w:r w:rsidRPr="0031675F">
        <w:rPr>
          <w:spacing w:val="29"/>
        </w:rPr>
        <w:t xml:space="preserve"> </w:t>
      </w:r>
      <w:r w:rsidRPr="0031675F">
        <w:t>tape</w:t>
      </w:r>
      <w:r w:rsidRPr="0031675F">
        <w:rPr>
          <w:spacing w:val="33"/>
        </w:rPr>
        <w:t xml:space="preserve"> </w:t>
      </w:r>
      <w:r w:rsidRPr="0031675F">
        <w:rPr>
          <w:spacing w:val="-1"/>
        </w:rPr>
        <w:t>(see</w:t>
      </w:r>
      <w:r w:rsidRPr="0031675F">
        <w:rPr>
          <w:spacing w:val="31"/>
        </w:rPr>
        <w:t xml:space="preserve"> </w:t>
      </w:r>
      <w:r w:rsidRPr="0031675F">
        <w:rPr>
          <w:spacing w:val="-1"/>
        </w:rPr>
        <w:t>Attachment</w:t>
      </w:r>
      <w:r w:rsidRPr="0031675F">
        <w:rPr>
          <w:spacing w:val="-2"/>
        </w:rPr>
        <w:t xml:space="preserve"> </w:t>
      </w:r>
      <w:r w:rsidRPr="0031675F">
        <w:rPr>
          <w:spacing w:val="-1"/>
        </w:rPr>
        <w:t>11.10).</w:t>
      </w:r>
    </w:p>
    <w:p w14:paraId="30090426" w14:textId="77777777" w:rsidR="0031675F" w:rsidRPr="0031675F" w:rsidRDefault="0031675F" w:rsidP="0031675F">
      <w:pPr>
        <w:widowControl w:val="0"/>
        <w:numPr>
          <w:ilvl w:val="3"/>
          <w:numId w:val="67"/>
        </w:numPr>
        <w:tabs>
          <w:tab w:val="left" w:pos="839"/>
        </w:tabs>
        <w:spacing w:before="118" w:after="0" w:line="240" w:lineRule="auto"/>
        <w:ind w:right="119"/>
      </w:pPr>
      <w:r w:rsidRPr="0031675F">
        <w:rPr>
          <w:spacing w:val="-1"/>
        </w:rPr>
        <w:t>Subsequently</w:t>
      </w:r>
      <w:r w:rsidRPr="0031675F">
        <w:rPr>
          <w:spacing w:val="12"/>
        </w:rPr>
        <w:t xml:space="preserve"> </w:t>
      </w:r>
      <w:r w:rsidRPr="0031675F">
        <w:rPr>
          <w:spacing w:val="-1"/>
        </w:rPr>
        <w:t>copper</w:t>
      </w:r>
      <w:r w:rsidRPr="0031675F">
        <w:rPr>
          <w:spacing w:val="12"/>
        </w:rPr>
        <w:t xml:space="preserve"> </w:t>
      </w:r>
      <w:r w:rsidRPr="0031675F">
        <w:t>tape</w:t>
      </w:r>
      <w:r w:rsidRPr="0031675F">
        <w:rPr>
          <w:spacing w:val="10"/>
        </w:rPr>
        <w:t xml:space="preserve"> </w:t>
      </w:r>
      <w:r w:rsidRPr="0031675F">
        <w:t>(3M</w:t>
      </w:r>
      <w:r w:rsidRPr="0031675F">
        <w:rPr>
          <w:spacing w:val="10"/>
        </w:rPr>
        <w:t xml:space="preserve"> </w:t>
      </w:r>
      <w:r w:rsidRPr="0031675F">
        <w:rPr>
          <w:spacing w:val="-1"/>
        </w:rPr>
        <w:t>1194</w:t>
      </w:r>
      <w:r w:rsidRPr="0031675F">
        <w:rPr>
          <w:spacing w:val="13"/>
        </w:rPr>
        <w:t xml:space="preserve"> </w:t>
      </w:r>
      <w:r w:rsidRPr="0031675F">
        <w:rPr>
          <w:spacing w:val="-1"/>
        </w:rPr>
        <w:t>copper</w:t>
      </w:r>
      <w:r w:rsidRPr="0031675F">
        <w:rPr>
          <w:spacing w:val="12"/>
        </w:rPr>
        <w:t xml:space="preserve"> </w:t>
      </w:r>
      <w:r w:rsidRPr="0031675F">
        <w:rPr>
          <w:spacing w:val="-1"/>
        </w:rPr>
        <w:t>foil</w:t>
      </w:r>
      <w:r w:rsidRPr="0031675F">
        <w:rPr>
          <w:spacing w:val="12"/>
        </w:rPr>
        <w:t xml:space="preserve"> </w:t>
      </w:r>
      <w:r w:rsidRPr="0031675F">
        <w:t>with</w:t>
      </w:r>
      <w:r w:rsidRPr="0031675F">
        <w:rPr>
          <w:spacing w:val="9"/>
        </w:rPr>
        <w:t xml:space="preserve"> </w:t>
      </w:r>
      <w:r w:rsidRPr="0031675F">
        <w:t>non</w:t>
      </w:r>
      <w:r w:rsidRPr="0031675F">
        <w:rPr>
          <w:spacing w:val="11"/>
        </w:rPr>
        <w:t xml:space="preserve"> </w:t>
      </w:r>
      <w:r w:rsidRPr="0031675F">
        <w:rPr>
          <w:spacing w:val="-1"/>
        </w:rPr>
        <w:t>conductive</w:t>
      </w:r>
      <w:r w:rsidRPr="0031675F">
        <w:rPr>
          <w:spacing w:val="13"/>
        </w:rPr>
        <w:t xml:space="preserve"> </w:t>
      </w:r>
      <w:r w:rsidRPr="0031675F">
        <w:rPr>
          <w:spacing w:val="-1"/>
        </w:rPr>
        <w:t>adhesive)</w:t>
      </w:r>
      <w:r w:rsidRPr="0031675F">
        <w:rPr>
          <w:spacing w:val="12"/>
        </w:rPr>
        <w:t xml:space="preserve"> </w:t>
      </w:r>
      <w:r w:rsidRPr="0031675F">
        <w:rPr>
          <w:spacing w:val="-2"/>
        </w:rPr>
        <w:t>is</w:t>
      </w:r>
      <w:r w:rsidRPr="0031675F">
        <w:rPr>
          <w:spacing w:val="12"/>
        </w:rPr>
        <w:t xml:space="preserve"> </w:t>
      </w:r>
      <w:r w:rsidRPr="0031675F">
        <w:rPr>
          <w:spacing w:val="-1"/>
        </w:rPr>
        <w:t>applied</w:t>
      </w:r>
      <w:r w:rsidRPr="0031675F">
        <w:rPr>
          <w:spacing w:val="11"/>
        </w:rPr>
        <w:t xml:space="preserve"> </w:t>
      </w:r>
      <w:r w:rsidRPr="0031675F">
        <w:t>to</w:t>
      </w:r>
      <w:r w:rsidRPr="0031675F">
        <w:rPr>
          <w:spacing w:val="65"/>
        </w:rPr>
        <w:t xml:space="preserve"> </w:t>
      </w:r>
      <w:r w:rsidRPr="0031675F">
        <w:t xml:space="preserve">the </w:t>
      </w:r>
      <w:r w:rsidRPr="0031675F">
        <w:rPr>
          <w:spacing w:val="-1"/>
        </w:rPr>
        <w:t>outer</w:t>
      </w:r>
      <w:r w:rsidRPr="0031675F">
        <w:rPr>
          <w:spacing w:val="-2"/>
        </w:rPr>
        <w:t xml:space="preserve"> </w:t>
      </w:r>
      <w:r w:rsidRPr="0031675F">
        <w:rPr>
          <w:spacing w:val="-1"/>
        </w:rPr>
        <w:t xml:space="preserve">casing </w:t>
      </w:r>
      <w:r w:rsidRPr="0031675F">
        <w:t>of</w:t>
      </w:r>
      <w:r w:rsidRPr="0031675F">
        <w:rPr>
          <w:spacing w:val="-3"/>
        </w:rPr>
        <w:t xml:space="preserve"> </w:t>
      </w:r>
      <w:r w:rsidRPr="0031675F">
        <w:rPr>
          <w:spacing w:val="-1"/>
        </w:rPr>
        <w:t>the</w:t>
      </w:r>
      <w:r w:rsidRPr="0031675F">
        <w:t xml:space="preserve"> </w:t>
      </w:r>
      <w:r w:rsidRPr="0031675F">
        <w:rPr>
          <w:spacing w:val="-1"/>
        </w:rPr>
        <w:t>instrument</w:t>
      </w:r>
      <w:r w:rsidRPr="0031675F">
        <w:rPr>
          <w:spacing w:val="-2"/>
        </w:rPr>
        <w:t xml:space="preserve"> </w:t>
      </w:r>
      <w:r w:rsidRPr="0031675F">
        <w:rPr>
          <w:spacing w:val="-1"/>
        </w:rPr>
        <w:t>adjacent</w:t>
      </w:r>
      <w:r w:rsidRPr="0031675F">
        <w:rPr>
          <w:spacing w:val="-2"/>
        </w:rPr>
        <w:t xml:space="preserve"> </w:t>
      </w:r>
      <w:r w:rsidRPr="0031675F">
        <w:t>to</w:t>
      </w:r>
      <w:r w:rsidRPr="0031675F">
        <w:rPr>
          <w:spacing w:val="-1"/>
        </w:rPr>
        <w:t xml:space="preserve"> the</w:t>
      </w:r>
      <w:r w:rsidRPr="0031675F">
        <w:rPr>
          <w:spacing w:val="-2"/>
        </w:rPr>
        <w:t xml:space="preserve"> </w:t>
      </w:r>
      <w:r w:rsidRPr="0031675F">
        <w:rPr>
          <w:spacing w:val="-1"/>
        </w:rPr>
        <w:t>faceplate</w:t>
      </w:r>
      <w:r w:rsidRPr="0031675F">
        <w:t xml:space="preserve"> as</w:t>
      </w:r>
      <w:r w:rsidRPr="0031675F">
        <w:rPr>
          <w:spacing w:val="-2"/>
        </w:rPr>
        <w:t xml:space="preserve"> </w:t>
      </w:r>
      <w:r w:rsidRPr="0031675F">
        <w:rPr>
          <w:spacing w:val="-1"/>
        </w:rPr>
        <w:t>per</w:t>
      </w:r>
      <w:r w:rsidRPr="0031675F">
        <w:t xml:space="preserve"> </w:t>
      </w:r>
      <w:r w:rsidRPr="0031675F">
        <w:rPr>
          <w:spacing w:val="-1"/>
        </w:rPr>
        <w:t>Attachment</w:t>
      </w:r>
      <w:r w:rsidRPr="0031675F">
        <w:rPr>
          <w:spacing w:val="-3"/>
        </w:rPr>
        <w:t xml:space="preserve"> </w:t>
      </w:r>
      <w:r w:rsidRPr="0031675F">
        <w:rPr>
          <w:spacing w:val="-1"/>
        </w:rPr>
        <w:t>11.10.</w:t>
      </w:r>
    </w:p>
    <w:p w14:paraId="64F0FA06" w14:textId="77777777" w:rsidR="0031675F" w:rsidRPr="0031675F" w:rsidRDefault="0031675F" w:rsidP="0031675F">
      <w:pPr>
        <w:widowControl w:val="0"/>
        <w:numPr>
          <w:ilvl w:val="3"/>
          <w:numId w:val="67"/>
        </w:numPr>
        <w:tabs>
          <w:tab w:val="left" w:pos="839"/>
        </w:tabs>
        <w:spacing w:before="121" w:after="0" w:line="240" w:lineRule="auto"/>
        <w:ind w:right="110"/>
        <w:jc w:val="both"/>
      </w:pPr>
      <w:r w:rsidRPr="0031675F">
        <w:rPr>
          <w:spacing w:val="-1"/>
        </w:rPr>
        <w:t>Connect</w:t>
      </w:r>
      <w:r w:rsidRPr="0031675F">
        <w:rPr>
          <w:spacing w:val="18"/>
        </w:rPr>
        <w:t xml:space="preserve"> </w:t>
      </w:r>
      <w:r w:rsidRPr="0031675F">
        <w:t>the</w:t>
      </w:r>
      <w:r w:rsidRPr="0031675F">
        <w:rPr>
          <w:spacing w:val="19"/>
        </w:rPr>
        <w:t xml:space="preserve"> </w:t>
      </w:r>
      <w:r w:rsidRPr="0031675F">
        <w:t>3</w:t>
      </w:r>
      <w:r w:rsidRPr="0031675F">
        <w:rPr>
          <w:spacing w:val="20"/>
        </w:rPr>
        <w:t xml:space="preserve"> </w:t>
      </w:r>
      <w:r w:rsidRPr="0031675F">
        <w:rPr>
          <w:spacing w:val="-1"/>
        </w:rPr>
        <w:t>pin</w:t>
      </w:r>
      <w:r w:rsidRPr="0031675F">
        <w:rPr>
          <w:spacing w:val="18"/>
        </w:rPr>
        <w:t xml:space="preserve"> </w:t>
      </w:r>
      <w:r w:rsidRPr="0031675F">
        <w:rPr>
          <w:spacing w:val="-1"/>
        </w:rPr>
        <w:t>power</w:t>
      </w:r>
      <w:r w:rsidRPr="0031675F">
        <w:rPr>
          <w:spacing w:val="17"/>
        </w:rPr>
        <w:t xml:space="preserve"> </w:t>
      </w:r>
      <w:r w:rsidRPr="0031675F">
        <w:rPr>
          <w:spacing w:val="-1"/>
        </w:rPr>
        <w:t>plug</w:t>
      </w:r>
      <w:r w:rsidRPr="0031675F">
        <w:rPr>
          <w:spacing w:val="18"/>
        </w:rPr>
        <w:t xml:space="preserve"> </w:t>
      </w:r>
      <w:r w:rsidRPr="0031675F">
        <w:rPr>
          <w:spacing w:val="-1"/>
        </w:rPr>
        <w:t>(identified</w:t>
      </w:r>
      <w:r w:rsidRPr="0031675F">
        <w:rPr>
          <w:spacing w:val="19"/>
        </w:rPr>
        <w:t xml:space="preserve"> </w:t>
      </w:r>
      <w:r w:rsidRPr="0031675F">
        <w:rPr>
          <w:spacing w:val="-1"/>
        </w:rPr>
        <w:t>by</w:t>
      </w:r>
      <w:r w:rsidRPr="0031675F">
        <w:rPr>
          <w:spacing w:val="20"/>
        </w:rPr>
        <w:t xml:space="preserve"> </w:t>
      </w:r>
      <w:r w:rsidRPr="0031675F">
        <w:t>red</w:t>
      </w:r>
      <w:r w:rsidRPr="0031675F">
        <w:rPr>
          <w:spacing w:val="18"/>
        </w:rPr>
        <w:t xml:space="preserve"> </w:t>
      </w:r>
      <w:r w:rsidRPr="0031675F">
        <w:t>or</w:t>
      </w:r>
      <w:r w:rsidRPr="0031675F">
        <w:rPr>
          <w:spacing w:val="17"/>
        </w:rPr>
        <w:t xml:space="preserve"> </w:t>
      </w:r>
      <w:r w:rsidRPr="0031675F">
        <w:rPr>
          <w:spacing w:val="-1"/>
        </w:rPr>
        <w:t>orange</w:t>
      </w:r>
      <w:r w:rsidRPr="0031675F">
        <w:rPr>
          <w:spacing w:val="20"/>
        </w:rPr>
        <w:t xml:space="preserve"> </w:t>
      </w:r>
      <w:r w:rsidRPr="0031675F">
        <w:rPr>
          <w:spacing w:val="-1"/>
        </w:rPr>
        <w:t>tape).</w:t>
      </w:r>
      <w:r w:rsidRPr="0031675F">
        <w:rPr>
          <w:spacing w:val="19"/>
        </w:rPr>
        <w:t xml:space="preserve"> </w:t>
      </w:r>
      <w:r w:rsidRPr="0031675F">
        <w:rPr>
          <w:spacing w:val="-1"/>
        </w:rPr>
        <w:t>This</w:t>
      </w:r>
      <w:r w:rsidRPr="0031675F">
        <w:rPr>
          <w:spacing w:val="19"/>
        </w:rPr>
        <w:t xml:space="preserve"> </w:t>
      </w:r>
      <w:r w:rsidRPr="0031675F">
        <w:rPr>
          <w:spacing w:val="-1"/>
        </w:rPr>
        <w:t>turns</w:t>
      </w:r>
      <w:r w:rsidRPr="0031675F">
        <w:rPr>
          <w:spacing w:val="19"/>
        </w:rPr>
        <w:t xml:space="preserve"> </w:t>
      </w:r>
      <w:r w:rsidRPr="0031675F">
        <w:rPr>
          <w:spacing w:val="-1"/>
        </w:rPr>
        <w:t>on</w:t>
      </w:r>
      <w:r w:rsidRPr="0031675F">
        <w:rPr>
          <w:spacing w:val="18"/>
        </w:rPr>
        <w:t xml:space="preserve"> </w:t>
      </w:r>
      <w:r w:rsidRPr="0031675F">
        <w:t>the</w:t>
      </w:r>
      <w:r w:rsidRPr="0031675F">
        <w:rPr>
          <w:spacing w:val="19"/>
        </w:rPr>
        <w:t xml:space="preserve"> </w:t>
      </w:r>
      <w:r w:rsidRPr="0031675F">
        <w:rPr>
          <w:spacing w:val="-1"/>
        </w:rPr>
        <w:t>internal</w:t>
      </w:r>
      <w:r w:rsidRPr="0031675F">
        <w:rPr>
          <w:spacing w:val="67"/>
        </w:rPr>
        <w:t xml:space="preserve"> </w:t>
      </w:r>
      <w:r w:rsidRPr="0031675F">
        <w:rPr>
          <w:spacing w:val="-1"/>
        </w:rPr>
        <w:t>battery.</w:t>
      </w:r>
      <w:r w:rsidRPr="0031675F">
        <w:rPr>
          <w:spacing w:val="23"/>
        </w:rPr>
        <w:t xml:space="preserve"> </w:t>
      </w:r>
      <w:r w:rsidRPr="0031675F">
        <w:rPr>
          <w:spacing w:val="-1"/>
        </w:rPr>
        <w:t>N.B.</w:t>
      </w:r>
      <w:r w:rsidRPr="0031675F">
        <w:rPr>
          <w:spacing w:val="23"/>
        </w:rPr>
        <w:t xml:space="preserve"> </w:t>
      </w:r>
      <w:r w:rsidRPr="0031675F">
        <w:rPr>
          <w:spacing w:val="-1"/>
        </w:rPr>
        <w:t>For</w:t>
      </w:r>
      <w:r w:rsidRPr="0031675F">
        <w:rPr>
          <w:spacing w:val="24"/>
        </w:rPr>
        <w:t xml:space="preserve"> </w:t>
      </w:r>
      <w:r w:rsidRPr="0031675F">
        <w:rPr>
          <w:spacing w:val="-1"/>
        </w:rPr>
        <w:t>autonomous</w:t>
      </w:r>
      <w:r w:rsidRPr="0031675F">
        <w:rPr>
          <w:spacing w:val="24"/>
        </w:rPr>
        <w:t xml:space="preserve"> </w:t>
      </w:r>
      <w:r w:rsidRPr="0031675F">
        <w:rPr>
          <w:spacing w:val="-1"/>
        </w:rPr>
        <w:t>operation,</w:t>
      </w:r>
      <w:r w:rsidRPr="0031675F">
        <w:rPr>
          <w:spacing w:val="24"/>
        </w:rPr>
        <w:t xml:space="preserve"> </w:t>
      </w:r>
      <w:r w:rsidRPr="0031675F">
        <w:t>the</w:t>
      </w:r>
      <w:r w:rsidRPr="0031675F">
        <w:rPr>
          <w:spacing w:val="24"/>
        </w:rPr>
        <w:t xml:space="preserve"> </w:t>
      </w:r>
      <w:r w:rsidRPr="0031675F">
        <w:rPr>
          <w:rFonts w:cs="Calibri"/>
          <w:spacing w:val="-1"/>
        </w:rPr>
        <w:t>‘</w:t>
      </w:r>
      <w:r w:rsidRPr="0031675F">
        <w:rPr>
          <w:spacing w:val="-1"/>
        </w:rPr>
        <w:t>power</w:t>
      </w:r>
      <w:r w:rsidRPr="0031675F">
        <w:rPr>
          <w:spacing w:val="22"/>
        </w:rPr>
        <w:t xml:space="preserve"> </w:t>
      </w:r>
      <w:r w:rsidRPr="0031675F">
        <w:rPr>
          <w:spacing w:val="-1"/>
        </w:rPr>
        <w:t>plug</w:t>
      </w:r>
      <w:r w:rsidRPr="0031675F">
        <w:rPr>
          <w:rFonts w:cs="Calibri"/>
          <w:spacing w:val="-1"/>
        </w:rPr>
        <w:t>’</w:t>
      </w:r>
      <w:r w:rsidRPr="0031675F">
        <w:rPr>
          <w:rFonts w:cs="Calibri"/>
          <w:spacing w:val="24"/>
        </w:rPr>
        <w:t xml:space="preserve"> </w:t>
      </w:r>
      <w:r w:rsidRPr="0031675F">
        <w:rPr>
          <w:spacing w:val="-1"/>
        </w:rPr>
        <w:t>must</w:t>
      </w:r>
      <w:r w:rsidRPr="0031675F">
        <w:rPr>
          <w:spacing w:val="25"/>
        </w:rPr>
        <w:t xml:space="preserve"> </w:t>
      </w:r>
      <w:r w:rsidRPr="0031675F">
        <w:rPr>
          <w:spacing w:val="-1"/>
        </w:rPr>
        <w:t>be</w:t>
      </w:r>
      <w:r w:rsidRPr="0031675F">
        <w:rPr>
          <w:spacing w:val="22"/>
        </w:rPr>
        <w:t xml:space="preserve"> </w:t>
      </w:r>
      <w:r w:rsidRPr="0031675F">
        <w:rPr>
          <w:spacing w:val="-1"/>
        </w:rPr>
        <w:t>connected</w:t>
      </w:r>
      <w:r w:rsidRPr="0031675F">
        <w:rPr>
          <w:spacing w:val="21"/>
        </w:rPr>
        <w:t xml:space="preserve"> </w:t>
      </w:r>
      <w:r w:rsidRPr="0031675F">
        <w:t>to</w:t>
      </w:r>
      <w:r w:rsidRPr="0031675F">
        <w:rPr>
          <w:spacing w:val="26"/>
        </w:rPr>
        <w:t xml:space="preserve"> </w:t>
      </w:r>
      <w:r w:rsidRPr="0031675F">
        <w:rPr>
          <w:spacing w:val="-1"/>
        </w:rPr>
        <w:t>the</w:t>
      </w:r>
      <w:r w:rsidRPr="0031675F">
        <w:rPr>
          <w:spacing w:val="24"/>
        </w:rPr>
        <w:t xml:space="preserve"> </w:t>
      </w:r>
      <w:r w:rsidRPr="0031675F">
        <w:t>3</w:t>
      </w:r>
      <w:r w:rsidRPr="0031675F">
        <w:rPr>
          <w:spacing w:val="25"/>
        </w:rPr>
        <w:t xml:space="preserve"> </w:t>
      </w:r>
      <w:r w:rsidRPr="0031675F">
        <w:rPr>
          <w:spacing w:val="-1"/>
        </w:rPr>
        <w:t>pin</w:t>
      </w:r>
      <w:r w:rsidRPr="0031675F">
        <w:rPr>
          <w:spacing w:val="65"/>
        </w:rPr>
        <w:t xml:space="preserve"> </w:t>
      </w:r>
      <w:r w:rsidRPr="0031675F">
        <w:rPr>
          <w:spacing w:val="-1"/>
        </w:rPr>
        <w:t>bulkhead</w:t>
      </w:r>
      <w:r w:rsidRPr="0031675F">
        <w:rPr>
          <w:spacing w:val="2"/>
        </w:rPr>
        <w:t xml:space="preserve"> </w:t>
      </w:r>
      <w:r w:rsidRPr="0031675F">
        <w:rPr>
          <w:spacing w:val="-1"/>
        </w:rPr>
        <w:t>connector.</w:t>
      </w:r>
      <w:r w:rsidRPr="0031675F">
        <w:rPr>
          <w:spacing w:val="2"/>
        </w:rPr>
        <w:t xml:space="preserve"> </w:t>
      </w:r>
      <w:r w:rsidRPr="0031675F">
        <w:rPr>
          <w:spacing w:val="-1"/>
        </w:rPr>
        <w:t>This</w:t>
      </w:r>
      <w:r w:rsidRPr="0031675F">
        <w:rPr>
          <w:spacing w:val="3"/>
        </w:rPr>
        <w:t xml:space="preserve"> </w:t>
      </w:r>
      <w:r w:rsidRPr="0031675F">
        <w:rPr>
          <w:rFonts w:cs="Calibri"/>
          <w:spacing w:val="-1"/>
        </w:rPr>
        <w:t>‘</w:t>
      </w:r>
      <w:r w:rsidRPr="0031675F">
        <w:rPr>
          <w:spacing w:val="-1"/>
        </w:rPr>
        <w:t>jumper</w:t>
      </w:r>
      <w:r w:rsidRPr="0031675F">
        <w:rPr>
          <w:rFonts w:cs="Calibri"/>
          <w:spacing w:val="-1"/>
        </w:rPr>
        <w:t>’</w:t>
      </w:r>
      <w:r w:rsidRPr="0031675F">
        <w:rPr>
          <w:rFonts w:cs="Calibri"/>
          <w:spacing w:val="3"/>
        </w:rPr>
        <w:t xml:space="preserve"> </w:t>
      </w:r>
      <w:r w:rsidRPr="0031675F">
        <w:rPr>
          <w:spacing w:val="-1"/>
        </w:rPr>
        <w:t>shorts</w:t>
      </w:r>
      <w:r w:rsidRPr="0031675F">
        <w:rPr>
          <w:spacing w:val="2"/>
        </w:rPr>
        <w:t xml:space="preserve"> </w:t>
      </w:r>
      <w:r w:rsidRPr="0031675F">
        <w:rPr>
          <w:spacing w:val="-1"/>
        </w:rPr>
        <w:t>pins</w:t>
      </w:r>
      <w:r w:rsidRPr="0031675F">
        <w:rPr>
          <w:spacing w:val="2"/>
        </w:rPr>
        <w:t xml:space="preserve"> </w:t>
      </w:r>
      <w:r w:rsidRPr="0031675F">
        <w:t>1</w:t>
      </w:r>
      <w:r w:rsidRPr="0031675F">
        <w:rPr>
          <w:spacing w:val="3"/>
        </w:rPr>
        <w:t xml:space="preserve"> </w:t>
      </w:r>
      <w:r w:rsidRPr="0031675F">
        <w:rPr>
          <w:spacing w:val="-1"/>
        </w:rPr>
        <w:t>and</w:t>
      </w:r>
      <w:r w:rsidRPr="0031675F">
        <w:rPr>
          <w:spacing w:val="2"/>
        </w:rPr>
        <w:t xml:space="preserve"> </w:t>
      </w:r>
      <w:r w:rsidRPr="0031675F">
        <w:t xml:space="preserve">3, </w:t>
      </w:r>
      <w:r w:rsidRPr="0031675F">
        <w:rPr>
          <w:spacing w:val="-1"/>
        </w:rPr>
        <w:t>connecting</w:t>
      </w:r>
      <w:r w:rsidRPr="0031675F">
        <w:rPr>
          <w:spacing w:val="2"/>
        </w:rPr>
        <w:t xml:space="preserve"> </w:t>
      </w:r>
      <w:r w:rsidRPr="0031675F">
        <w:rPr>
          <w:spacing w:val="-1"/>
        </w:rPr>
        <w:t>the</w:t>
      </w:r>
      <w:r w:rsidRPr="0031675F">
        <w:rPr>
          <w:spacing w:val="3"/>
        </w:rPr>
        <w:t xml:space="preserve"> </w:t>
      </w:r>
      <w:r w:rsidRPr="0031675F">
        <w:rPr>
          <w:spacing w:val="-1"/>
        </w:rPr>
        <w:t>internal</w:t>
      </w:r>
      <w:r w:rsidRPr="0031675F">
        <w:rPr>
          <w:spacing w:val="2"/>
        </w:rPr>
        <w:t xml:space="preserve"> </w:t>
      </w:r>
      <w:r w:rsidRPr="0031675F">
        <w:rPr>
          <w:spacing w:val="-1"/>
        </w:rPr>
        <w:t>battery</w:t>
      </w:r>
      <w:r w:rsidRPr="0031675F">
        <w:rPr>
          <w:spacing w:val="3"/>
        </w:rPr>
        <w:t xml:space="preserve"> </w:t>
      </w:r>
      <w:r w:rsidRPr="0031675F">
        <w:rPr>
          <w:spacing w:val="-1"/>
        </w:rPr>
        <w:t>supply</w:t>
      </w:r>
      <w:r w:rsidRPr="0031675F">
        <w:rPr>
          <w:spacing w:val="71"/>
        </w:rPr>
        <w:t xml:space="preserve"> </w:t>
      </w:r>
      <w:r w:rsidRPr="0031675F">
        <w:t>to</w:t>
      </w:r>
      <w:r w:rsidRPr="0031675F">
        <w:rPr>
          <w:spacing w:val="-1"/>
        </w:rPr>
        <w:t xml:space="preserve"> </w:t>
      </w:r>
      <w:r w:rsidRPr="0031675F">
        <w:t xml:space="preserve">the </w:t>
      </w:r>
      <w:r w:rsidRPr="0031675F">
        <w:rPr>
          <w:spacing w:val="-1"/>
        </w:rPr>
        <w:t>logger.</w:t>
      </w:r>
    </w:p>
    <w:p w14:paraId="0BB49851"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Record the</w:t>
      </w:r>
      <w:r w:rsidRPr="0031675F">
        <w:rPr>
          <w:spacing w:val="-2"/>
        </w:rPr>
        <w:t xml:space="preserve"> </w:t>
      </w:r>
      <w:r w:rsidRPr="0031675F">
        <w:rPr>
          <w:spacing w:val="-1"/>
        </w:rPr>
        <w:t xml:space="preserve">connection </w:t>
      </w:r>
      <w:r w:rsidRPr="0031675F">
        <w:rPr>
          <w:spacing w:val="-2"/>
        </w:rPr>
        <w:t>time</w:t>
      </w:r>
      <w:r w:rsidRPr="0031675F">
        <w:t xml:space="preserve"> on</w:t>
      </w:r>
      <w:r w:rsidRPr="0031675F">
        <w:rPr>
          <w:spacing w:val="-3"/>
        </w:rPr>
        <w:t xml:space="preserve"> </w:t>
      </w:r>
      <w:r w:rsidRPr="0031675F">
        <w:t xml:space="preserve">the </w:t>
      </w:r>
      <w:r w:rsidRPr="0031675F">
        <w:rPr>
          <w:spacing w:val="-1"/>
        </w:rPr>
        <w:t>deployment datasheet.</w:t>
      </w:r>
      <w:r w:rsidRPr="0031675F">
        <w:t xml:space="preserve"> </w:t>
      </w:r>
      <w:r w:rsidRPr="0031675F">
        <w:rPr>
          <w:spacing w:val="-1"/>
        </w:rPr>
        <w:t>(See</w:t>
      </w:r>
      <w:r w:rsidRPr="0031675F">
        <w:t xml:space="preserve"> </w:t>
      </w:r>
      <w:r w:rsidRPr="0031675F">
        <w:rPr>
          <w:spacing w:val="-1"/>
        </w:rPr>
        <w:t>Attachment</w:t>
      </w:r>
      <w:r w:rsidRPr="0031675F">
        <w:rPr>
          <w:spacing w:val="-2"/>
        </w:rPr>
        <w:t xml:space="preserve"> </w:t>
      </w:r>
      <w:r w:rsidRPr="0031675F">
        <w:rPr>
          <w:spacing w:val="-1"/>
        </w:rPr>
        <w:t>11.11)</w:t>
      </w:r>
    </w:p>
    <w:p w14:paraId="2A4410A0" w14:textId="77777777" w:rsidR="0031675F" w:rsidRPr="0031675F" w:rsidRDefault="0031675F" w:rsidP="0031675F">
      <w:pPr>
        <w:widowControl w:val="0"/>
        <w:numPr>
          <w:ilvl w:val="3"/>
          <w:numId w:val="67"/>
        </w:numPr>
        <w:tabs>
          <w:tab w:val="left" w:pos="839"/>
        </w:tabs>
        <w:spacing w:before="118" w:after="0" w:line="240" w:lineRule="auto"/>
      </w:pPr>
      <w:r w:rsidRPr="0031675F">
        <w:rPr>
          <w:spacing w:val="-1"/>
        </w:rPr>
        <w:t>Ensure</w:t>
      </w:r>
      <w:r w:rsidRPr="0031675F">
        <w:t xml:space="preserve"> the</w:t>
      </w:r>
      <w:r w:rsidRPr="0031675F">
        <w:rPr>
          <w:spacing w:val="-3"/>
        </w:rPr>
        <w:t xml:space="preserve"> </w:t>
      </w:r>
      <w:r w:rsidRPr="0031675F">
        <w:rPr>
          <w:spacing w:val="-1"/>
        </w:rPr>
        <w:t>lock</w:t>
      </w:r>
      <w:r w:rsidRPr="0031675F">
        <w:t xml:space="preserve"> </w:t>
      </w:r>
      <w:r w:rsidRPr="0031675F">
        <w:rPr>
          <w:spacing w:val="-1"/>
        </w:rPr>
        <w:t>collars</w:t>
      </w:r>
      <w:r w:rsidRPr="0031675F">
        <w:rPr>
          <w:spacing w:val="-2"/>
        </w:rPr>
        <w:t xml:space="preserve"> </w:t>
      </w:r>
      <w:r w:rsidRPr="0031675F">
        <w:t>of</w:t>
      </w:r>
      <w:r w:rsidRPr="0031675F">
        <w:rPr>
          <w:spacing w:val="-2"/>
        </w:rPr>
        <w:t xml:space="preserve"> </w:t>
      </w:r>
      <w:r w:rsidRPr="0031675F">
        <w:rPr>
          <w:spacing w:val="-1"/>
        </w:rPr>
        <w:t>the</w:t>
      </w:r>
      <w:r w:rsidRPr="0031675F">
        <w:t xml:space="preserve"> </w:t>
      </w:r>
      <w:r w:rsidRPr="0031675F">
        <w:rPr>
          <w:spacing w:val="-1"/>
        </w:rPr>
        <w:t>dummy</w:t>
      </w:r>
      <w:r w:rsidRPr="0031675F">
        <w:rPr>
          <w:spacing w:val="-2"/>
        </w:rPr>
        <w:t xml:space="preserve"> </w:t>
      </w:r>
      <w:r w:rsidRPr="0031675F">
        <w:rPr>
          <w:spacing w:val="-1"/>
        </w:rPr>
        <w:t>and power</w:t>
      </w:r>
      <w:r w:rsidRPr="0031675F">
        <w:t xml:space="preserve"> </w:t>
      </w:r>
      <w:r w:rsidRPr="0031675F">
        <w:rPr>
          <w:spacing w:val="-2"/>
        </w:rPr>
        <w:t>plugs</w:t>
      </w:r>
      <w:r w:rsidRPr="0031675F">
        <w:t xml:space="preserve"> are</w:t>
      </w:r>
      <w:r w:rsidRPr="0031675F">
        <w:rPr>
          <w:spacing w:val="1"/>
        </w:rPr>
        <w:t xml:space="preserve"> </w:t>
      </w:r>
      <w:r w:rsidRPr="0031675F">
        <w:rPr>
          <w:spacing w:val="-1"/>
        </w:rPr>
        <w:t>screwed</w:t>
      </w:r>
      <w:r w:rsidRPr="0031675F">
        <w:t xml:space="preserve"> </w:t>
      </w:r>
      <w:r w:rsidRPr="0031675F">
        <w:rPr>
          <w:spacing w:val="-1"/>
        </w:rPr>
        <w:t>firmly.</w:t>
      </w:r>
    </w:p>
    <w:p w14:paraId="103EA29E"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Check</w:t>
      </w:r>
      <w:r w:rsidRPr="0031675F">
        <w:t xml:space="preserve"> </w:t>
      </w:r>
      <w:r w:rsidRPr="0031675F">
        <w:rPr>
          <w:spacing w:val="-2"/>
        </w:rPr>
        <w:t xml:space="preserve">the </w:t>
      </w:r>
      <w:r w:rsidRPr="0031675F">
        <w:t>vent</w:t>
      </w:r>
      <w:r w:rsidRPr="0031675F">
        <w:rPr>
          <w:spacing w:val="-1"/>
        </w:rPr>
        <w:t xml:space="preserve"> seal</w:t>
      </w:r>
      <w:r w:rsidRPr="0031675F">
        <w:t xml:space="preserve"> </w:t>
      </w:r>
      <w:r w:rsidRPr="0031675F">
        <w:rPr>
          <w:spacing w:val="-1"/>
        </w:rPr>
        <w:t xml:space="preserve">plug </w:t>
      </w:r>
      <w:r w:rsidRPr="0031675F">
        <w:rPr>
          <w:spacing w:val="-2"/>
        </w:rPr>
        <w:t>for</w:t>
      </w:r>
      <w:r w:rsidRPr="0031675F">
        <w:t xml:space="preserve"> </w:t>
      </w:r>
      <w:r w:rsidRPr="0031675F">
        <w:rPr>
          <w:spacing w:val="-1"/>
        </w:rPr>
        <w:t>full</w:t>
      </w:r>
      <w:r w:rsidRPr="0031675F">
        <w:t xml:space="preserve"> </w:t>
      </w:r>
      <w:r w:rsidRPr="0031675F">
        <w:rPr>
          <w:spacing w:val="-1"/>
        </w:rPr>
        <w:t>insertion.</w:t>
      </w:r>
    </w:p>
    <w:p w14:paraId="4DF14EBB" w14:textId="77777777" w:rsidR="0031675F" w:rsidRPr="0031675F" w:rsidRDefault="0031675F" w:rsidP="0031675F">
      <w:pPr>
        <w:widowControl w:val="0"/>
        <w:numPr>
          <w:ilvl w:val="3"/>
          <w:numId w:val="67"/>
        </w:numPr>
        <w:tabs>
          <w:tab w:val="left" w:pos="839"/>
        </w:tabs>
        <w:spacing w:before="120" w:after="0" w:line="240" w:lineRule="auto"/>
        <w:ind w:right="119"/>
      </w:pPr>
      <w:r w:rsidRPr="0031675F">
        <w:t>Wrap</w:t>
      </w:r>
      <w:r w:rsidRPr="0031675F">
        <w:rPr>
          <w:spacing w:val="37"/>
        </w:rPr>
        <w:t xml:space="preserve"> </w:t>
      </w:r>
      <w:r w:rsidRPr="0031675F">
        <w:t>the</w:t>
      </w:r>
      <w:r w:rsidRPr="0031675F">
        <w:rPr>
          <w:spacing w:val="39"/>
        </w:rPr>
        <w:t xml:space="preserve"> </w:t>
      </w:r>
      <w:r w:rsidRPr="0031675F">
        <w:rPr>
          <w:spacing w:val="-1"/>
        </w:rPr>
        <w:t>remainder</w:t>
      </w:r>
      <w:r w:rsidRPr="0031675F">
        <w:rPr>
          <w:spacing w:val="39"/>
        </w:rPr>
        <w:t xml:space="preserve"> </w:t>
      </w:r>
      <w:r w:rsidRPr="0031675F">
        <w:t>of</w:t>
      </w:r>
      <w:r w:rsidRPr="0031675F">
        <w:rPr>
          <w:spacing w:val="38"/>
        </w:rPr>
        <w:t xml:space="preserve"> </w:t>
      </w:r>
      <w:r w:rsidRPr="0031675F">
        <w:rPr>
          <w:spacing w:val="-1"/>
        </w:rPr>
        <w:t>the</w:t>
      </w:r>
      <w:r w:rsidRPr="0031675F">
        <w:rPr>
          <w:spacing w:val="39"/>
        </w:rPr>
        <w:t xml:space="preserve"> </w:t>
      </w:r>
      <w:r w:rsidRPr="0031675F">
        <w:rPr>
          <w:spacing w:val="-1"/>
        </w:rPr>
        <w:t>exposed</w:t>
      </w:r>
      <w:r w:rsidRPr="0031675F">
        <w:rPr>
          <w:spacing w:val="38"/>
        </w:rPr>
        <w:t xml:space="preserve"> </w:t>
      </w:r>
      <w:r w:rsidRPr="0031675F">
        <w:rPr>
          <w:spacing w:val="-1"/>
        </w:rPr>
        <w:t>logger</w:t>
      </w:r>
      <w:r w:rsidRPr="0031675F">
        <w:rPr>
          <w:spacing w:val="39"/>
        </w:rPr>
        <w:t xml:space="preserve"> </w:t>
      </w:r>
      <w:r w:rsidRPr="0031675F">
        <w:rPr>
          <w:spacing w:val="-1"/>
        </w:rPr>
        <w:t>casing</w:t>
      </w:r>
      <w:r w:rsidRPr="0031675F">
        <w:rPr>
          <w:spacing w:val="37"/>
        </w:rPr>
        <w:t xml:space="preserve"> </w:t>
      </w:r>
      <w:r w:rsidRPr="0031675F">
        <w:rPr>
          <w:spacing w:val="-1"/>
        </w:rPr>
        <w:t>and</w:t>
      </w:r>
      <w:r w:rsidRPr="0031675F">
        <w:rPr>
          <w:spacing w:val="38"/>
        </w:rPr>
        <w:t xml:space="preserve"> </w:t>
      </w:r>
      <w:r w:rsidRPr="0031675F">
        <w:rPr>
          <w:spacing w:val="-1"/>
        </w:rPr>
        <w:t>plugs</w:t>
      </w:r>
      <w:r w:rsidRPr="0031675F">
        <w:rPr>
          <w:spacing w:val="39"/>
        </w:rPr>
        <w:t xml:space="preserve"> </w:t>
      </w:r>
      <w:r w:rsidRPr="0031675F">
        <w:t>with</w:t>
      </w:r>
      <w:r w:rsidRPr="0031675F">
        <w:rPr>
          <w:spacing w:val="37"/>
        </w:rPr>
        <w:t xml:space="preserve"> </w:t>
      </w:r>
      <w:r w:rsidRPr="0031675F">
        <w:rPr>
          <w:spacing w:val="-1"/>
        </w:rPr>
        <w:t>plastic</w:t>
      </w:r>
      <w:r w:rsidRPr="0031675F">
        <w:rPr>
          <w:spacing w:val="38"/>
        </w:rPr>
        <w:t xml:space="preserve"> </w:t>
      </w:r>
      <w:r w:rsidRPr="0031675F">
        <w:rPr>
          <w:spacing w:val="-1"/>
        </w:rPr>
        <w:t>(we</w:t>
      </w:r>
      <w:r w:rsidRPr="0031675F">
        <w:rPr>
          <w:spacing w:val="39"/>
        </w:rPr>
        <w:t xml:space="preserve"> </w:t>
      </w:r>
      <w:r w:rsidRPr="0031675F">
        <w:rPr>
          <w:spacing w:val="-1"/>
        </w:rPr>
        <w:t>use</w:t>
      </w:r>
      <w:r w:rsidRPr="0031675F">
        <w:rPr>
          <w:spacing w:val="39"/>
        </w:rPr>
        <w:t xml:space="preserve"> </w:t>
      </w:r>
      <w:r w:rsidRPr="0031675F">
        <w:t>cut</w:t>
      </w:r>
      <w:r w:rsidRPr="0031675F">
        <w:rPr>
          <w:spacing w:val="37"/>
        </w:rPr>
        <w:t xml:space="preserve"> </w:t>
      </w:r>
      <w:r w:rsidRPr="0031675F">
        <w:rPr>
          <w:spacing w:val="-1"/>
        </w:rPr>
        <w:t>up</w:t>
      </w:r>
      <w:r w:rsidRPr="0031675F">
        <w:rPr>
          <w:spacing w:val="61"/>
        </w:rPr>
        <w:t xml:space="preserve"> </w:t>
      </w:r>
      <w:r w:rsidRPr="0031675F">
        <w:rPr>
          <w:spacing w:val="-1"/>
        </w:rPr>
        <w:t>garbage</w:t>
      </w:r>
      <w:r w:rsidRPr="0031675F">
        <w:t xml:space="preserve"> </w:t>
      </w:r>
      <w:r w:rsidRPr="0031675F">
        <w:rPr>
          <w:spacing w:val="-1"/>
        </w:rPr>
        <w:t>bags)</w:t>
      </w:r>
      <w:r w:rsidRPr="0031675F">
        <w:t xml:space="preserve"> </w:t>
      </w:r>
      <w:r w:rsidRPr="0031675F">
        <w:rPr>
          <w:spacing w:val="-1"/>
        </w:rPr>
        <w:t>and secure</w:t>
      </w:r>
      <w:r w:rsidRPr="0031675F">
        <w:t xml:space="preserve"> </w:t>
      </w:r>
      <w:r w:rsidRPr="0031675F">
        <w:rPr>
          <w:spacing w:val="-1"/>
        </w:rPr>
        <w:t>firmly</w:t>
      </w:r>
      <w:r w:rsidRPr="0031675F">
        <w:rPr>
          <w:spacing w:val="-2"/>
        </w:rPr>
        <w:t xml:space="preserve"> </w:t>
      </w:r>
      <w:r w:rsidRPr="0031675F">
        <w:t>with</w:t>
      </w:r>
      <w:r w:rsidRPr="0031675F">
        <w:rPr>
          <w:spacing w:val="-1"/>
        </w:rPr>
        <w:t xml:space="preserve"> insulation</w:t>
      </w:r>
      <w:r w:rsidRPr="0031675F">
        <w:rPr>
          <w:spacing w:val="-3"/>
        </w:rPr>
        <w:t xml:space="preserve"> </w:t>
      </w:r>
      <w:r w:rsidRPr="0031675F">
        <w:t>tape.</w:t>
      </w:r>
    </w:p>
    <w:p w14:paraId="3D6632C7" w14:textId="77777777" w:rsidR="0031675F" w:rsidRPr="0031675F" w:rsidRDefault="0031675F" w:rsidP="0031675F">
      <w:pPr>
        <w:widowControl w:val="0"/>
        <w:numPr>
          <w:ilvl w:val="3"/>
          <w:numId w:val="67"/>
        </w:numPr>
        <w:tabs>
          <w:tab w:val="left" w:pos="839"/>
        </w:tabs>
        <w:spacing w:before="120" w:after="0" w:line="240" w:lineRule="auto"/>
      </w:pPr>
      <w:r w:rsidRPr="0031675F">
        <w:t>Wrap</w:t>
      </w:r>
      <w:r w:rsidRPr="0031675F">
        <w:rPr>
          <w:spacing w:val="-1"/>
        </w:rPr>
        <w:t xml:space="preserve"> tape</w:t>
      </w:r>
      <w:r w:rsidRPr="0031675F">
        <w:rPr>
          <w:spacing w:val="-2"/>
        </w:rPr>
        <w:t xml:space="preserve"> </w:t>
      </w:r>
      <w:r w:rsidRPr="0031675F">
        <w:rPr>
          <w:spacing w:val="-1"/>
        </w:rPr>
        <w:t>over</w:t>
      </w:r>
      <w:r w:rsidRPr="0031675F">
        <w:rPr>
          <w:spacing w:val="-2"/>
        </w:rPr>
        <w:t xml:space="preserve"> </w:t>
      </w:r>
      <w:r w:rsidRPr="0031675F">
        <w:rPr>
          <w:spacing w:val="-1"/>
        </w:rPr>
        <w:t>most</w:t>
      </w:r>
      <w:r w:rsidRPr="0031675F">
        <w:rPr>
          <w:spacing w:val="-2"/>
        </w:rPr>
        <w:t xml:space="preserve"> </w:t>
      </w:r>
      <w:r w:rsidRPr="0031675F">
        <w:t>of</w:t>
      </w:r>
      <w:r w:rsidRPr="0031675F">
        <w:rPr>
          <w:spacing w:val="-3"/>
        </w:rPr>
        <w:t xml:space="preserve"> </w:t>
      </w:r>
      <w:r w:rsidRPr="0031675F">
        <w:rPr>
          <w:spacing w:val="-2"/>
        </w:rPr>
        <w:t>the</w:t>
      </w:r>
      <w:r w:rsidRPr="0031675F">
        <w:t xml:space="preserve"> </w:t>
      </w:r>
      <w:r w:rsidRPr="0031675F">
        <w:rPr>
          <w:spacing w:val="-1"/>
        </w:rPr>
        <w:t>logger</w:t>
      </w:r>
      <w:r w:rsidRPr="0031675F">
        <w:rPr>
          <w:spacing w:val="-2"/>
        </w:rPr>
        <w:t xml:space="preserve"> </w:t>
      </w:r>
      <w:r w:rsidRPr="0031675F">
        <w:rPr>
          <w:spacing w:val="-1"/>
        </w:rPr>
        <w:t>deployment</w:t>
      </w:r>
      <w:r w:rsidRPr="0031675F">
        <w:rPr>
          <w:spacing w:val="-2"/>
        </w:rPr>
        <w:t xml:space="preserve"> </w:t>
      </w:r>
      <w:r w:rsidRPr="0031675F">
        <w:t>clamp</w:t>
      </w:r>
      <w:r w:rsidRPr="0031675F">
        <w:rPr>
          <w:spacing w:val="-3"/>
        </w:rPr>
        <w:t xml:space="preserve"> </w:t>
      </w:r>
      <w:r w:rsidRPr="0031675F">
        <w:t>to</w:t>
      </w:r>
      <w:r w:rsidRPr="0031675F">
        <w:rPr>
          <w:spacing w:val="1"/>
        </w:rPr>
        <w:t xml:space="preserve"> </w:t>
      </w:r>
      <w:r w:rsidRPr="0031675F">
        <w:rPr>
          <w:spacing w:val="-1"/>
        </w:rPr>
        <w:t>protect</w:t>
      </w:r>
      <w:r w:rsidRPr="0031675F">
        <w:rPr>
          <w:spacing w:val="-2"/>
        </w:rPr>
        <w:t xml:space="preserve"> </w:t>
      </w:r>
      <w:r w:rsidRPr="0031675F">
        <w:rPr>
          <w:spacing w:val="-1"/>
        </w:rPr>
        <w:t>from</w:t>
      </w:r>
      <w:r w:rsidRPr="0031675F">
        <w:rPr>
          <w:spacing w:val="1"/>
        </w:rPr>
        <w:t xml:space="preserve"> </w:t>
      </w:r>
      <w:r w:rsidRPr="0031675F">
        <w:rPr>
          <w:spacing w:val="-1"/>
        </w:rPr>
        <w:t>fouling.</w:t>
      </w:r>
    </w:p>
    <w:p w14:paraId="14B6C3C7" w14:textId="77777777" w:rsidR="0031675F" w:rsidRPr="0031675F" w:rsidRDefault="0031675F" w:rsidP="0031675F">
      <w:pPr>
        <w:widowControl w:val="0"/>
        <w:numPr>
          <w:ilvl w:val="3"/>
          <w:numId w:val="67"/>
        </w:numPr>
        <w:tabs>
          <w:tab w:val="left" w:pos="839"/>
        </w:tabs>
        <w:spacing w:before="118" w:after="0" w:line="240" w:lineRule="auto"/>
      </w:pPr>
      <w:r w:rsidRPr="0031675F">
        <w:t>Attach</w:t>
      </w:r>
      <w:r w:rsidRPr="0031675F">
        <w:rPr>
          <w:spacing w:val="-1"/>
        </w:rPr>
        <w:t xml:space="preserve"> plastic AIMS</w:t>
      </w:r>
      <w:r w:rsidRPr="0031675F">
        <w:rPr>
          <w:spacing w:val="-3"/>
        </w:rPr>
        <w:t xml:space="preserve"> </w:t>
      </w:r>
      <w:r w:rsidRPr="0031675F">
        <w:rPr>
          <w:spacing w:val="-1"/>
        </w:rPr>
        <w:t>identification label</w:t>
      </w:r>
      <w:r w:rsidRPr="0031675F">
        <w:t xml:space="preserve"> to</w:t>
      </w:r>
      <w:r w:rsidRPr="0031675F">
        <w:rPr>
          <w:spacing w:val="-1"/>
        </w:rPr>
        <w:t xml:space="preserve"> clamp with</w:t>
      </w:r>
      <w:r w:rsidRPr="0031675F">
        <w:t xml:space="preserve"> </w:t>
      </w:r>
      <w:r w:rsidRPr="0031675F">
        <w:rPr>
          <w:spacing w:val="-1"/>
        </w:rPr>
        <w:t>cable</w:t>
      </w:r>
      <w:r w:rsidRPr="0031675F">
        <w:rPr>
          <w:spacing w:val="-2"/>
        </w:rPr>
        <w:t xml:space="preserve"> </w:t>
      </w:r>
      <w:r w:rsidRPr="0031675F">
        <w:rPr>
          <w:spacing w:val="-1"/>
        </w:rPr>
        <w:t>tie.</w:t>
      </w:r>
    </w:p>
    <w:p w14:paraId="428167B5" w14:textId="77777777" w:rsidR="0031675F" w:rsidRPr="0031675F" w:rsidRDefault="0031675F" w:rsidP="0031675F">
      <w:pPr>
        <w:widowControl w:val="0"/>
        <w:numPr>
          <w:ilvl w:val="3"/>
          <w:numId w:val="67"/>
        </w:numPr>
        <w:tabs>
          <w:tab w:val="left" w:pos="839"/>
        </w:tabs>
        <w:spacing w:before="120" w:after="0" w:line="240" w:lineRule="auto"/>
      </w:pPr>
      <w:r w:rsidRPr="0031675F">
        <w:t>Attach</w:t>
      </w:r>
      <w:r w:rsidRPr="0031675F">
        <w:rPr>
          <w:spacing w:val="-1"/>
        </w:rPr>
        <w:t xml:space="preserve"> </w:t>
      </w:r>
      <w:r w:rsidRPr="0031675F">
        <w:t>the</w:t>
      </w:r>
      <w:r w:rsidRPr="0031675F">
        <w:rPr>
          <w:spacing w:val="-3"/>
        </w:rPr>
        <w:t xml:space="preserve"> </w:t>
      </w:r>
      <w:r w:rsidRPr="0031675F">
        <w:rPr>
          <w:spacing w:val="-1"/>
        </w:rPr>
        <w:t>logger</w:t>
      </w:r>
      <w:r w:rsidRPr="0031675F">
        <w:t xml:space="preserve"> </w:t>
      </w:r>
      <w:r w:rsidRPr="0031675F">
        <w:rPr>
          <w:spacing w:val="-1"/>
        </w:rPr>
        <w:t xml:space="preserve">clamp to </w:t>
      </w:r>
      <w:r w:rsidRPr="0031675F">
        <w:t xml:space="preserve">the </w:t>
      </w:r>
      <w:r w:rsidRPr="0031675F">
        <w:rPr>
          <w:spacing w:val="-1"/>
        </w:rPr>
        <w:t>logger,</w:t>
      </w:r>
      <w:r w:rsidRPr="0031675F">
        <w:t xml:space="preserve"> </w:t>
      </w:r>
      <w:r w:rsidRPr="0031675F">
        <w:rPr>
          <w:spacing w:val="-1"/>
        </w:rPr>
        <w:t>securing firmly</w:t>
      </w:r>
      <w:r w:rsidRPr="0031675F">
        <w:rPr>
          <w:spacing w:val="-2"/>
        </w:rPr>
        <w:t xml:space="preserve"> </w:t>
      </w:r>
      <w:r w:rsidRPr="0031675F">
        <w:t xml:space="preserve">with </w:t>
      </w:r>
      <w:r w:rsidRPr="0031675F">
        <w:rPr>
          <w:spacing w:val="-1"/>
        </w:rPr>
        <w:t>the</w:t>
      </w:r>
      <w:r w:rsidRPr="0031675F">
        <w:rPr>
          <w:spacing w:val="-2"/>
        </w:rPr>
        <w:t xml:space="preserve"> </w:t>
      </w:r>
      <w:r w:rsidRPr="0031675F">
        <w:t>allen</w:t>
      </w:r>
      <w:r w:rsidRPr="0031675F">
        <w:rPr>
          <w:spacing w:val="-1"/>
        </w:rPr>
        <w:t xml:space="preserve"> key.</w:t>
      </w:r>
    </w:p>
    <w:p w14:paraId="7974705A" w14:textId="77777777" w:rsidR="0031675F" w:rsidRPr="0031675F" w:rsidRDefault="0031675F" w:rsidP="0031675F">
      <w:pPr>
        <w:widowControl w:val="0"/>
        <w:numPr>
          <w:ilvl w:val="3"/>
          <w:numId w:val="67"/>
        </w:numPr>
        <w:tabs>
          <w:tab w:val="left" w:pos="839"/>
        </w:tabs>
        <w:spacing w:before="120" w:after="0" w:line="240" w:lineRule="auto"/>
        <w:ind w:right="120"/>
      </w:pPr>
      <w:r w:rsidRPr="0031675F">
        <w:rPr>
          <w:spacing w:val="-1"/>
        </w:rPr>
        <w:t>Ten</w:t>
      </w:r>
      <w:r w:rsidRPr="0031675F">
        <w:rPr>
          <w:spacing w:val="27"/>
        </w:rPr>
        <w:t xml:space="preserve"> </w:t>
      </w:r>
      <w:r w:rsidRPr="0031675F">
        <w:rPr>
          <w:spacing w:val="-1"/>
        </w:rPr>
        <w:t>minutes</w:t>
      </w:r>
      <w:r w:rsidRPr="0031675F">
        <w:rPr>
          <w:spacing w:val="29"/>
        </w:rPr>
        <w:t xml:space="preserve"> </w:t>
      </w:r>
      <w:r w:rsidRPr="0031675F">
        <w:t>after</w:t>
      </w:r>
      <w:r w:rsidRPr="0031675F">
        <w:rPr>
          <w:spacing w:val="27"/>
        </w:rPr>
        <w:t xml:space="preserve"> </w:t>
      </w:r>
      <w:r w:rsidRPr="0031675F">
        <w:t>the</w:t>
      </w:r>
      <w:r w:rsidRPr="0031675F">
        <w:rPr>
          <w:spacing w:val="28"/>
        </w:rPr>
        <w:t xml:space="preserve"> </w:t>
      </w:r>
      <w:r w:rsidRPr="0031675F">
        <w:rPr>
          <w:spacing w:val="-1"/>
        </w:rPr>
        <w:t>logger</w:t>
      </w:r>
      <w:r w:rsidRPr="0031675F">
        <w:rPr>
          <w:spacing w:val="29"/>
        </w:rPr>
        <w:t xml:space="preserve"> </w:t>
      </w:r>
      <w:r w:rsidRPr="0031675F">
        <w:t>was</w:t>
      </w:r>
      <w:r w:rsidRPr="0031675F">
        <w:rPr>
          <w:spacing w:val="29"/>
        </w:rPr>
        <w:t xml:space="preserve"> </w:t>
      </w:r>
      <w:r w:rsidRPr="0031675F">
        <w:t>turned</w:t>
      </w:r>
      <w:r w:rsidRPr="0031675F">
        <w:rPr>
          <w:spacing w:val="26"/>
        </w:rPr>
        <w:t xml:space="preserve"> </w:t>
      </w:r>
      <w:r w:rsidRPr="0031675F">
        <w:t>on,</w:t>
      </w:r>
      <w:r w:rsidRPr="0031675F">
        <w:rPr>
          <w:spacing w:val="28"/>
        </w:rPr>
        <w:t xml:space="preserve"> </w:t>
      </w:r>
      <w:r w:rsidRPr="0031675F">
        <w:rPr>
          <w:spacing w:val="-1"/>
        </w:rPr>
        <w:t>check</w:t>
      </w:r>
      <w:r w:rsidRPr="0031675F">
        <w:rPr>
          <w:spacing w:val="27"/>
        </w:rPr>
        <w:t xml:space="preserve"> </w:t>
      </w:r>
      <w:r w:rsidRPr="0031675F">
        <w:t>the</w:t>
      </w:r>
      <w:r w:rsidRPr="0031675F">
        <w:rPr>
          <w:spacing w:val="29"/>
        </w:rPr>
        <w:t xml:space="preserve"> </w:t>
      </w:r>
      <w:r w:rsidRPr="0031675F">
        <w:rPr>
          <w:spacing w:val="-1"/>
        </w:rPr>
        <w:t>bio-wiper</w:t>
      </w:r>
      <w:r w:rsidRPr="0031675F">
        <w:rPr>
          <w:spacing w:val="28"/>
        </w:rPr>
        <w:t xml:space="preserve"> </w:t>
      </w:r>
      <w:r w:rsidRPr="0031675F">
        <w:rPr>
          <w:spacing w:val="-1"/>
        </w:rPr>
        <w:t>and</w:t>
      </w:r>
      <w:r w:rsidRPr="0031675F">
        <w:rPr>
          <w:spacing w:val="28"/>
        </w:rPr>
        <w:t xml:space="preserve"> </w:t>
      </w:r>
      <w:r w:rsidRPr="0031675F">
        <w:rPr>
          <w:spacing w:val="-1"/>
        </w:rPr>
        <w:t>logger</w:t>
      </w:r>
      <w:r w:rsidRPr="0031675F">
        <w:rPr>
          <w:spacing w:val="29"/>
        </w:rPr>
        <w:t xml:space="preserve"> </w:t>
      </w:r>
      <w:r w:rsidRPr="0031675F">
        <w:rPr>
          <w:spacing w:val="-1"/>
        </w:rPr>
        <w:t>function</w:t>
      </w:r>
      <w:r w:rsidRPr="0031675F">
        <w:rPr>
          <w:spacing w:val="28"/>
        </w:rPr>
        <w:t xml:space="preserve"> </w:t>
      </w:r>
      <w:r w:rsidRPr="0031675F">
        <w:rPr>
          <w:spacing w:val="-1"/>
        </w:rPr>
        <w:t>and</w:t>
      </w:r>
      <w:r w:rsidRPr="0031675F">
        <w:rPr>
          <w:spacing w:val="53"/>
        </w:rPr>
        <w:t xml:space="preserve"> </w:t>
      </w:r>
      <w:r w:rsidRPr="0031675F">
        <w:rPr>
          <w:spacing w:val="-1"/>
        </w:rPr>
        <w:t>ensure</w:t>
      </w:r>
      <w:r w:rsidRPr="0031675F">
        <w:t xml:space="preserve"> it </w:t>
      </w:r>
      <w:r w:rsidRPr="0031675F">
        <w:rPr>
          <w:spacing w:val="-2"/>
        </w:rPr>
        <w:t>is</w:t>
      </w:r>
      <w:r w:rsidRPr="0031675F">
        <w:t xml:space="preserve"> </w:t>
      </w:r>
      <w:r w:rsidRPr="0031675F">
        <w:rPr>
          <w:spacing w:val="-1"/>
        </w:rPr>
        <w:t xml:space="preserve">running </w:t>
      </w:r>
      <w:r w:rsidRPr="0031675F">
        <w:t xml:space="preserve">(the </w:t>
      </w:r>
      <w:r w:rsidRPr="0031675F">
        <w:rPr>
          <w:spacing w:val="-2"/>
        </w:rPr>
        <w:t>logger</w:t>
      </w:r>
      <w:r w:rsidRPr="0031675F">
        <w:t xml:space="preserve"> is </w:t>
      </w:r>
      <w:r w:rsidRPr="0031675F">
        <w:rPr>
          <w:spacing w:val="-1"/>
        </w:rPr>
        <w:t>set</w:t>
      </w:r>
      <w:r w:rsidRPr="0031675F">
        <w:t xml:space="preserve"> </w:t>
      </w:r>
      <w:r w:rsidRPr="0031675F">
        <w:rPr>
          <w:spacing w:val="-1"/>
        </w:rPr>
        <w:t>to</w:t>
      </w:r>
      <w:r w:rsidRPr="0031675F">
        <w:rPr>
          <w:spacing w:val="1"/>
        </w:rPr>
        <w:t xml:space="preserve"> </w:t>
      </w:r>
      <w:r w:rsidRPr="0031675F">
        <w:rPr>
          <w:spacing w:val="-1"/>
        </w:rPr>
        <w:t xml:space="preserve">read </w:t>
      </w:r>
      <w:r w:rsidRPr="0031675F">
        <w:t>at</w:t>
      </w:r>
      <w:r w:rsidRPr="0031675F">
        <w:rPr>
          <w:spacing w:val="-2"/>
        </w:rPr>
        <w:t xml:space="preserve"> </w:t>
      </w:r>
      <w:r w:rsidRPr="0031675F">
        <w:rPr>
          <w:spacing w:val="-1"/>
        </w:rPr>
        <w:t>10</w:t>
      </w:r>
      <w:r w:rsidRPr="0031675F">
        <w:rPr>
          <w:spacing w:val="-2"/>
        </w:rPr>
        <w:t xml:space="preserve"> </w:t>
      </w:r>
      <w:r w:rsidRPr="0031675F">
        <w:rPr>
          <w:spacing w:val="-1"/>
        </w:rPr>
        <w:t>minute</w:t>
      </w:r>
      <w:r w:rsidRPr="0031675F">
        <w:t xml:space="preserve"> </w:t>
      </w:r>
      <w:r w:rsidRPr="0031675F">
        <w:rPr>
          <w:spacing w:val="-1"/>
        </w:rPr>
        <w:t>intervals</w:t>
      </w:r>
      <w:r w:rsidRPr="0031675F">
        <w:t xml:space="preserve"> </w:t>
      </w:r>
      <w:r w:rsidRPr="0031675F">
        <w:rPr>
          <w:spacing w:val="-1"/>
        </w:rPr>
        <w:t>for</w:t>
      </w:r>
      <w:r w:rsidRPr="0031675F">
        <w:t xml:space="preserve"> </w:t>
      </w:r>
      <w:r w:rsidRPr="0031675F">
        <w:rPr>
          <w:spacing w:val="-1"/>
        </w:rPr>
        <w:t>field deployments).</w:t>
      </w:r>
    </w:p>
    <w:p w14:paraId="03073897" w14:textId="77777777" w:rsidR="0031675F" w:rsidRPr="0031675F" w:rsidRDefault="0031675F" w:rsidP="0031675F">
      <w:pPr>
        <w:widowControl w:val="0"/>
        <w:numPr>
          <w:ilvl w:val="3"/>
          <w:numId w:val="67"/>
        </w:numPr>
        <w:tabs>
          <w:tab w:val="left" w:pos="839"/>
        </w:tabs>
        <w:spacing w:before="129" w:after="0" w:line="266" w:lineRule="exact"/>
        <w:ind w:right="119"/>
      </w:pPr>
      <w:r w:rsidRPr="0031675F">
        <w:rPr>
          <w:spacing w:val="-1"/>
        </w:rPr>
        <w:t>Protect</w:t>
      </w:r>
      <w:r w:rsidRPr="0031675F">
        <w:rPr>
          <w:spacing w:val="20"/>
        </w:rPr>
        <w:t xml:space="preserve"> </w:t>
      </w:r>
      <w:r w:rsidRPr="0031675F">
        <w:t>the</w:t>
      </w:r>
      <w:r w:rsidRPr="0031675F">
        <w:rPr>
          <w:spacing w:val="19"/>
        </w:rPr>
        <w:t xml:space="preserve"> </w:t>
      </w:r>
      <w:r w:rsidRPr="0031675F">
        <w:rPr>
          <w:spacing w:val="-1"/>
        </w:rPr>
        <w:t>logger</w:t>
      </w:r>
      <w:r w:rsidRPr="0031675F">
        <w:rPr>
          <w:spacing w:val="19"/>
        </w:rPr>
        <w:t xml:space="preserve"> </w:t>
      </w:r>
      <w:r w:rsidRPr="0031675F">
        <w:rPr>
          <w:spacing w:val="-2"/>
        </w:rPr>
        <w:t>face</w:t>
      </w:r>
      <w:r w:rsidRPr="0031675F">
        <w:rPr>
          <w:spacing w:val="20"/>
        </w:rPr>
        <w:t xml:space="preserve"> </w:t>
      </w:r>
      <w:r w:rsidRPr="0031675F">
        <w:rPr>
          <w:spacing w:val="-1"/>
        </w:rPr>
        <w:t>with</w:t>
      </w:r>
      <w:r w:rsidRPr="0031675F">
        <w:rPr>
          <w:spacing w:val="18"/>
        </w:rPr>
        <w:t xml:space="preserve"> </w:t>
      </w:r>
      <w:r w:rsidRPr="0031675F">
        <w:t>the</w:t>
      </w:r>
      <w:r w:rsidRPr="0031675F">
        <w:rPr>
          <w:spacing w:val="19"/>
        </w:rPr>
        <w:t xml:space="preserve"> </w:t>
      </w:r>
      <w:r w:rsidRPr="0031675F">
        <w:rPr>
          <w:spacing w:val="-1"/>
        </w:rPr>
        <w:t>field</w:t>
      </w:r>
      <w:r w:rsidRPr="0031675F">
        <w:rPr>
          <w:spacing w:val="18"/>
        </w:rPr>
        <w:t xml:space="preserve"> </w:t>
      </w:r>
      <w:r w:rsidRPr="0031675F">
        <w:rPr>
          <w:spacing w:val="-1"/>
        </w:rPr>
        <w:t>deployment</w:t>
      </w:r>
      <w:r w:rsidRPr="0031675F">
        <w:rPr>
          <w:spacing w:val="19"/>
        </w:rPr>
        <w:t xml:space="preserve"> </w:t>
      </w:r>
      <w:r w:rsidRPr="0031675F">
        <w:rPr>
          <w:spacing w:val="-1"/>
        </w:rPr>
        <w:t>black</w:t>
      </w:r>
      <w:r w:rsidRPr="0031675F">
        <w:rPr>
          <w:spacing w:val="20"/>
        </w:rPr>
        <w:t xml:space="preserve"> </w:t>
      </w:r>
      <w:r w:rsidRPr="0031675F">
        <w:rPr>
          <w:spacing w:val="-1"/>
        </w:rPr>
        <w:t>cap,</w:t>
      </w:r>
      <w:r w:rsidRPr="0031675F">
        <w:rPr>
          <w:spacing w:val="19"/>
        </w:rPr>
        <w:t xml:space="preserve"> </w:t>
      </w:r>
      <w:r w:rsidRPr="0031675F">
        <w:t>to</w:t>
      </w:r>
      <w:r w:rsidRPr="0031675F">
        <w:rPr>
          <w:spacing w:val="21"/>
        </w:rPr>
        <w:t xml:space="preserve"> </w:t>
      </w:r>
      <w:r w:rsidRPr="0031675F">
        <w:rPr>
          <w:spacing w:val="-1"/>
        </w:rPr>
        <w:t>ensure</w:t>
      </w:r>
      <w:r w:rsidRPr="0031675F">
        <w:rPr>
          <w:spacing w:val="19"/>
        </w:rPr>
        <w:t xml:space="preserve"> </w:t>
      </w:r>
      <w:r w:rsidRPr="0031675F">
        <w:rPr>
          <w:spacing w:val="-1"/>
        </w:rPr>
        <w:t>the</w:t>
      </w:r>
      <w:r w:rsidRPr="0031675F">
        <w:rPr>
          <w:spacing w:val="20"/>
        </w:rPr>
        <w:t xml:space="preserve"> </w:t>
      </w:r>
      <w:r w:rsidRPr="0031675F">
        <w:t>bio-wiper</w:t>
      </w:r>
      <w:r w:rsidRPr="0031675F">
        <w:rPr>
          <w:spacing w:val="19"/>
        </w:rPr>
        <w:t xml:space="preserve"> </w:t>
      </w:r>
      <w:r w:rsidRPr="0031675F">
        <w:t>is</w:t>
      </w:r>
      <w:r w:rsidRPr="0031675F">
        <w:rPr>
          <w:spacing w:val="19"/>
        </w:rPr>
        <w:t xml:space="preserve"> </w:t>
      </w:r>
      <w:r w:rsidRPr="0031675F">
        <w:t>not</w:t>
      </w:r>
      <w:r w:rsidRPr="0031675F">
        <w:rPr>
          <w:spacing w:val="57"/>
        </w:rPr>
        <w:t xml:space="preserve"> </w:t>
      </w:r>
      <w:r w:rsidRPr="0031675F">
        <w:rPr>
          <w:spacing w:val="-1"/>
        </w:rPr>
        <w:t>touched.</w:t>
      </w:r>
    </w:p>
    <w:p w14:paraId="4712B120" w14:textId="77777777" w:rsidR="0031675F" w:rsidRPr="0031675F" w:rsidRDefault="0031675F" w:rsidP="0031675F">
      <w:pPr>
        <w:widowControl w:val="0"/>
        <w:numPr>
          <w:ilvl w:val="3"/>
          <w:numId w:val="67"/>
        </w:numPr>
        <w:tabs>
          <w:tab w:val="left" w:pos="839"/>
        </w:tabs>
        <w:spacing w:before="126" w:after="0" w:line="240" w:lineRule="auto"/>
      </w:pPr>
      <w:r w:rsidRPr="0031675F">
        <w:t>Place</w:t>
      </w:r>
      <w:r w:rsidRPr="0031675F">
        <w:rPr>
          <w:spacing w:val="-3"/>
        </w:rPr>
        <w:t xml:space="preserve"> </w:t>
      </w:r>
      <w:r w:rsidRPr="0031675F">
        <w:t xml:space="preserve">the </w:t>
      </w:r>
      <w:r w:rsidRPr="0031675F">
        <w:rPr>
          <w:spacing w:val="-1"/>
        </w:rPr>
        <w:t>logger</w:t>
      </w:r>
      <w:r w:rsidRPr="0031675F">
        <w:t xml:space="preserve"> in</w:t>
      </w:r>
      <w:r w:rsidRPr="0031675F">
        <w:rPr>
          <w:spacing w:val="-3"/>
        </w:rPr>
        <w:t xml:space="preserve"> </w:t>
      </w:r>
      <w:r w:rsidRPr="0031675F">
        <w:t xml:space="preserve">the </w:t>
      </w:r>
      <w:r w:rsidRPr="0031675F">
        <w:rPr>
          <w:spacing w:val="-1"/>
        </w:rPr>
        <w:t>padded case.</w:t>
      </w:r>
    </w:p>
    <w:p w14:paraId="33220247" w14:textId="77777777" w:rsidR="0031675F" w:rsidRPr="0031675F" w:rsidRDefault="0031675F" w:rsidP="0031675F">
      <w:pPr>
        <w:rPr>
          <w:rFonts w:cs="Calibri"/>
          <w:sz w:val="24"/>
          <w:szCs w:val="24"/>
        </w:rPr>
      </w:pPr>
    </w:p>
    <w:p w14:paraId="3ABE2C9E" w14:textId="77777777" w:rsidR="0031675F" w:rsidRPr="0031675F" w:rsidRDefault="0031675F" w:rsidP="0031675F">
      <w:pPr>
        <w:widowControl w:val="0"/>
        <w:numPr>
          <w:ilvl w:val="2"/>
          <w:numId w:val="67"/>
        </w:numPr>
        <w:tabs>
          <w:tab w:val="left" w:pos="839"/>
        </w:tabs>
        <w:spacing w:before="214" w:after="0" w:line="240" w:lineRule="auto"/>
        <w:rPr>
          <w:rFonts w:eastAsia="Arial" w:cs="Arial"/>
        </w:rPr>
      </w:pPr>
      <w:r w:rsidRPr="0031675F">
        <w:rPr>
          <w:b/>
          <w:spacing w:val="-1"/>
        </w:rPr>
        <w:t>Deployment</w:t>
      </w:r>
      <w:r w:rsidRPr="0031675F">
        <w:rPr>
          <w:b/>
          <w:spacing w:val="1"/>
        </w:rPr>
        <w:t xml:space="preserve"> </w:t>
      </w:r>
      <w:r w:rsidRPr="0031675F">
        <w:rPr>
          <w:b/>
          <w:spacing w:val="-1"/>
        </w:rPr>
        <w:t>equipment list</w:t>
      </w:r>
    </w:p>
    <w:p w14:paraId="2CC28689" w14:textId="77777777" w:rsidR="0031675F" w:rsidRPr="0031675F" w:rsidRDefault="0031675F" w:rsidP="0031675F">
      <w:pPr>
        <w:spacing w:before="120" w:after="120"/>
      </w:pPr>
      <w:r w:rsidRPr="0031675F">
        <w:t>When</w:t>
      </w:r>
      <w:r w:rsidRPr="0031675F">
        <w:rPr>
          <w:spacing w:val="-1"/>
        </w:rPr>
        <w:t xml:space="preserve"> loading</w:t>
      </w:r>
      <w:r w:rsidRPr="0031675F">
        <w:rPr>
          <w:spacing w:val="-3"/>
        </w:rPr>
        <w:t xml:space="preserve"> </w:t>
      </w:r>
      <w:r w:rsidRPr="0031675F">
        <w:t xml:space="preserve">the </w:t>
      </w:r>
      <w:r w:rsidRPr="0031675F">
        <w:rPr>
          <w:spacing w:val="-1"/>
        </w:rPr>
        <w:t>work</w:t>
      </w:r>
      <w:r w:rsidRPr="0031675F">
        <w:t xml:space="preserve"> </w:t>
      </w:r>
      <w:r w:rsidRPr="0031675F">
        <w:rPr>
          <w:spacing w:val="-1"/>
        </w:rPr>
        <w:t>boat</w:t>
      </w:r>
      <w:r w:rsidRPr="0031675F">
        <w:t xml:space="preserve"> the </w:t>
      </w:r>
      <w:r w:rsidRPr="0031675F">
        <w:rPr>
          <w:spacing w:val="-1"/>
        </w:rPr>
        <w:t>following</w:t>
      </w:r>
      <w:r w:rsidRPr="0031675F">
        <w:rPr>
          <w:spacing w:val="-2"/>
        </w:rPr>
        <w:t xml:space="preserve"> </w:t>
      </w:r>
      <w:r w:rsidRPr="0031675F">
        <w:t>gear</w:t>
      </w:r>
      <w:r w:rsidRPr="0031675F">
        <w:rPr>
          <w:spacing w:val="-3"/>
        </w:rPr>
        <w:t xml:space="preserve"> </w:t>
      </w:r>
      <w:r w:rsidRPr="0031675F">
        <w:t xml:space="preserve">is </w:t>
      </w:r>
      <w:r w:rsidRPr="0031675F">
        <w:rPr>
          <w:spacing w:val="-1"/>
        </w:rPr>
        <w:t>required:</w:t>
      </w:r>
    </w:p>
    <w:p w14:paraId="3DB00724" w14:textId="77777777" w:rsidR="0031675F" w:rsidRPr="0031675F" w:rsidRDefault="0031675F" w:rsidP="0031675F">
      <w:pPr>
        <w:widowControl w:val="0"/>
        <w:numPr>
          <w:ilvl w:val="3"/>
          <w:numId w:val="67"/>
        </w:numPr>
        <w:tabs>
          <w:tab w:val="left" w:pos="839"/>
        </w:tabs>
        <w:spacing w:before="121" w:after="0" w:line="240" w:lineRule="auto"/>
      </w:pPr>
      <w:r w:rsidRPr="0031675F">
        <w:rPr>
          <w:spacing w:val="-1"/>
        </w:rPr>
        <w:t>Logger</w:t>
      </w:r>
      <w:r w:rsidRPr="0031675F">
        <w:rPr>
          <w:spacing w:val="-2"/>
        </w:rPr>
        <w:t xml:space="preserve"> </w:t>
      </w:r>
      <w:r w:rsidRPr="0031675F">
        <w:t>(in</w:t>
      </w:r>
      <w:r w:rsidRPr="0031675F">
        <w:rPr>
          <w:spacing w:val="-1"/>
        </w:rPr>
        <w:t xml:space="preserve"> protective</w:t>
      </w:r>
      <w:r w:rsidRPr="0031675F">
        <w:rPr>
          <w:spacing w:val="-2"/>
        </w:rPr>
        <w:t xml:space="preserve"> </w:t>
      </w:r>
      <w:r w:rsidRPr="0031675F">
        <w:rPr>
          <w:spacing w:val="-1"/>
        </w:rPr>
        <w:t>padded</w:t>
      </w:r>
      <w:r w:rsidRPr="0031675F">
        <w:t xml:space="preserve"> </w:t>
      </w:r>
      <w:r w:rsidRPr="0031675F">
        <w:rPr>
          <w:spacing w:val="-1"/>
        </w:rPr>
        <w:t>case)</w:t>
      </w:r>
    </w:p>
    <w:p w14:paraId="250ED3F6"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 xml:space="preserve">SCUBA </w:t>
      </w:r>
      <w:r w:rsidRPr="0031675F">
        <w:t xml:space="preserve">gear </w:t>
      </w:r>
      <w:r w:rsidRPr="0031675F">
        <w:rPr>
          <w:spacing w:val="-1"/>
        </w:rPr>
        <w:t>including dive</w:t>
      </w:r>
      <w:r w:rsidRPr="0031675F">
        <w:rPr>
          <w:spacing w:val="-2"/>
        </w:rPr>
        <w:t xml:space="preserve"> </w:t>
      </w:r>
      <w:r w:rsidRPr="0031675F">
        <w:t>watch</w:t>
      </w:r>
    </w:p>
    <w:p w14:paraId="44E63CB7"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Dive</w:t>
      </w:r>
      <w:r w:rsidRPr="0031675F">
        <w:t xml:space="preserve"> log</w:t>
      </w:r>
      <w:r w:rsidRPr="0031675F">
        <w:rPr>
          <w:spacing w:val="-3"/>
        </w:rPr>
        <w:t xml:space="preserve"> </w:t>
      </w:r>
      <w:r w:rsidRPr="0031675F">
        <w:rPr>
          <w:spacing w:val="-1"/>
        </w:rPr>
        <w:t>sheet</w:t>
      </w:r>
      <w:r w:rsidRPr="0031675F">
        <w:t xml:space="preserve"> </w:t>
      </w:r>
      <w:r w:rsidRPr="0031675F">
        <w:rPr>
          <w:spacing w:val="-1"/>
        </w:rPr>
        <w:t>and pencil</w:t>
      </w:r>
    </w:p>
    <w:p w14:paraId="4FB402BC" w14:textId="77777777" w:rsidR="0031675F" w:rsidRPr="0031675F" w:rsidRDefault="0031675F" w:rsidP="0031675F">
      <w:pPr>
        <w:widowControl w:val="0"/>
        <w:numPr>
          <w:ilvl w:val="3"/>
          <w:numId w:val="67"/>
        </w:numPr>
        <w:tabs>
          <w:tab w:val="left" w:pos="839"/>
        </w:tabs>
        <w:spacing w:before="120" w:after="0" w:line="240" w:lineRule="auto"/>
      </w:pPr>
      <w:r w:rsidRPr="0031675F">
        <w:t xml:space="preserve">GPS </w:t>
      </w:r>
      <w:r w:rsidRPr="0031675F">
        <w:rPr>
          <w:spacing w:val="-1"/>
        </w:rPr>
        <w:t>(with</w:t>
      </w:r>
      <w:r w:rsidRPr="0031675F">
        <w:t xml:space="preserve"> </w:t>
      </w:r>
      <w:r w:rsidRPr="0031675F">
        <w:rPr>
          <w:spacing w:val="-1"/>
        </w:rPr>
        <w:t>dive</w:t>
      </w:r>
      <w:r w:rsidRPr="0031675F">
        <w:t xml:space="preserve"> </w:t>
      </w:r>
      <w:r w:rsidRPr="0031675F">
        <w:rPr>
          <w:spacing w:val="-2"/>
        </w:rPr>
        <w:t>site</w:t>
      </w:r>
      <w:r w:rsidRPr="0031675F">
        <w:t xml:space="preserve"> </w:t>
      </w:r>
      <w:r w:rsidRPr="0031675F">
        <w:rPr>
          <w:spacing w:val="-1"/>
        </w:rPr>
        <w:t>loaded)</w:t>
      </w:r>
    </w:p>
    <w:p w14:paraId="47D9C05C" w14:textId="77777777" w:rsidR="0031675F" w:rsidRPr="0031675F" w:rsidRDefault="0031675F" w:rsidP="0031675F">
      <w:pPr>
        <w:widowControl w:val="0"/>
        <w:numPr>
          <w:ilvl w:val="3"/>
          <w:numId w:val="67"/>
        </w:numPr>
        <w:tabs>
          <w:tab w:val="left" w:pos="839"/>
        </w:tabs>
        <w:spacing w:before="118" w:after="0" w:line="240" w:lineRule="auto"/>
      </w:pPr>
      <w:r w:rsidRPr="0031675F">
        <w:rPr>
          <w:spacing w:val="-1"/>
        </w:rPr>
        <w:t>Marker</w:t>
      </w:r>
      <w:r w:rsidRPr="0031675F">
        <w:t xml:space="preserve"> </w:t>
      </w:r>
      <w:r w:rsidRPr="0031675F">
        <w:rPr>
          <w:spacing w:val="-2"/>
        </w:rPr>
        <w:t>buoy</w:t>
      </w:r>
      <w:r w:rsidRPr="0031675F">
        <w:t xml:space="preserve"> </w:t>
      </w:r>
      <w:r w:rsidRPr="0031675F">
        <w:rPr>
          <w:spacing w:val="-1"/>
        </w:rPr>
        <w:t>with</w:t>
      </w:r>
      <w:r w:rsidRPr="0031675F">
        <w:t xml:space="preserve"> </w:t>
      </w:r>
      <w:r w:rsidRPr="0031675F">
        <w:rPr>
          <w:spacing w:val="-1"/>
        </w:rPr>
        <w:t>rope</w:t>
      </w:r>
      <w:r w:rsidRPr="0031675F">
        <w:t xml:space="preserve"> </w:t>
      </w:r>
      <w:r w:rsidRPr="0031675F">
        <w:rPr>
          <w:spacing w:val="-1"/>
        </w:rPr>
        <w:t>and</w:t>
      </w:r>
      <w:r w:rsidRPr="0031675F">
        <w:rPr>
          <w:spacing w:val="-3"/>
        </w:rPr>
        <w:t xml:space="preserve"> </w:t>
      </w:r>
      <w:r w:rsidRPr="0031675F">
        <w:rPr>
          <w:spacing w:val="-1"/>
        </w:rPr>
        <w:t>chain</w:t>
      </w:r>
      <w:r w:rsidRPr="0031675F">
        <w:rPr>
          <w:spacing w:val="-2"/>
        </w:rPr>
        <w:t xml:space="preserve"> </w:t>
      </w:r>
      <w:r w:rsidRPr="0031675F">
        <w:rPr>
          <w:spacing w:val="-1"/>
        </w:rPr>
        <w:t>weight</w:t>
      </w:r>
      <w:r w:rsidRPr="0031675F">
        <w:rPr>
          <w:spacing w:val="-2"/>
        </w:rPr>
        <w:t xml:space="preserve"> </w:t>
      </w:r>
      <w:r w:rsidRPr="0031675F">
        <w:rPr>
          <w:spacing w:val="-1"/>
        </w:rPr>
        <w:t>attached</w:t>
      </w:r>
    </w:p>
    <w:p w14:paraId="07B57001"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Niskin</w:t>
      </w:r>
      <w:r w:rsidRPr="0031675F">
        <w:rPr>
          <w:spacing w:val="-2"/>
        </w:rPr>
        <w:t xml:space="preserve"> </w:t>
      </w:r>
      <w:r w:rsidRPr="0031675F">
        <w:rPr>
          <w:spacing w:val="-1"/>
        </w:rPr>
        <w:t>bottles</w:t>
      </w:r>
      <w:r w:rsidRPr="0031675F">
        <w:t xml:space="preserve"> x</w:t>
      </w:r>
      <w:r w:rsidRPr="0031675F">
        <w:rPr>
          <w:spacing w:val="-2"/>
        </w:rPr>
        <w:t xml:space="preserve"> </w:t>
      </w:r>
      <w:r w:rsidRPr="0031675F">
        <w:t>1</w:t>
      </w:r>
    </w:p>
    <w:p w14:paraId="56967D06"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Large</w:t>
      </w:r>
      <w:r w:rsidRPr="0031675F">
        <w:t xml:space="preserve"> </w:t>
      </w:r>
      <w:r w:rsidRPr="0031675F">
        <w:rPr>
          <w:spacing w:val="-1"/>
        </w:rPr>
        <w:t>rubber</w:t>
      </w:r>
      <w:r w:rsidRPr="0031675F">
        <w:t xml:space="preserve"> </w:t>
      </w:r>
      <w:r w:rsidRPr="0031675F">
        <w:rPr>
          <w:spacing w:val="-1"/>
        </w:rPr>
        <w:t>bands</w:t>
      </w:r>
      <w:r w:rsidRPr="0031675F">
        <w:t xml:space="preserve"> </w:t>
      </w:r>
      <w:r w:rsidRPr="0031675F">
        <w:rPr>
          <w:spacing w:val="-1"/>
        </w:rPr>
        <w:t>to</w:t>
      </w:r>
      <w:r w:rsidRPr="0031675F">
        <w:rPr>
          <w:spacing w:val="1"/>
        </w:rPr>
        <w:t xml:space="preserve"> </w:t>
      </w:r>
      <w:r w:rsidRPr="0031675F">
        <w:rPr>
          <w:spacing w:val="-1"/>
        </w:rPr>
        <w:t>secure</w:t>
      </w:r>
      <w:r w:rsidRPr="0031675F">
        <w:t xml:space="preserve"> </w:t>
      </w:r>
      <w:r w:rsidRPr="0031675F">
        <w:rPr>
          <w:spacing w:val="-1"/>
        </w:rPr>
        <w:t>niskin</w:t>
      </w:r>
      <w:r w:rsidRPr="0031675F">
        <w:rPr>
          <w:spacing w:val="-3"/>
        </w:rPr>
        <w:t xml:space="preserve"> </w:t>
      </w:r>
      <w:r w:rsidRPr="0031675F">
        <w:rPr>
          <w:spacing w:val="-1"/>
        </w:rPr>
        <w:t>closed during handling back onto boat</w:t>
      </w:r>
    </w:p>
    <w:p w14:paraId="664744E4"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Spanner</w:t>
      </w:r>
      <w:r w:rsidRPr="0031675F">
        <w:t xml:space="preserve"> to</w:t>
      </w:r>
      <w:r w:rsidRPr="0031675F">
        <w:rPr>
          <w:spacing w:val="1"/>
        </w:rPr>
        <w:t xml:space="preserve"> </w:t>
      </w:r>
      <w:r w:rsidRPr="0031675F">
        <w:rPr>
          <w:spacing w:val="-1"/>
        </w:rPr>
        <w:t>attach</w:t>
      </w:r>
      <w:r w:rsidRPr="0031675F">
        <w:rPr>
          <w:spacing w:val="-3"/>
        </w:rPr>
        <w:t xml:space="preserve"> </w:t>
      </w:r>
      <w:r w:rsidRPr="0031675F">
        <w:rPr>
          <w:spacing w:val="-1"/>
        </w:rPr>
        <w:t>logger</w:t>
      </w:r>
      <w:r w:rsidRPr="0031675F">
        <w:rPr>
          <w:spacing w:val="-2"/>
        </w:rPr>
        <w:t xml:space="preserve"> </w:t>
      </w:r>
      <w:r w:rsidRPr="0031675F">
        <w:rPr>
          <w:spacing w:val="-1"/>
        </w:rPr>
        <w:t>clamp to</w:t>
      </w:r>
      <w:r w:rsidRPr="0031675F">
        <w:rPr>
          <w:spacing w:val="1"/>
        </w:rPr>
        <w:t xml:space="preserve"> </w:t>
      </w:r>
      <w:r w:rsidRPr="0031675F">
        <w:rPr>
          <w:spacing w:val="-1"/>
        </w:rPr>
        <w:t>star</w:t>
      </w:r>
      <w:r w:rsidRPr="0031675F">
        <w:t xml:space="preserve"> </w:t>
      </w:r>
      <w:r w:rsidRPr="0031675F">
        <w:rPr>
          <w:spacing w:val="-1"/>
        </w:rPr>
        <w:t>picket</w:t>
      </w:r>
      <w:r w:rsidRPr="0031675F">
        <w:rPr>
          <w:spacing w:val="-2"/>
        </w:rPr>
        <w:t xml:space="preserve"> </w:t>
      </w:r>
      <w:r w:rsidRPr="0031675F">
        <w:rPr>
          <w:spacing w:val="-1"/>
        </w:rPr>
        <w:t>(plus</w:t>
      </w:r>
      <w:r w:rsidRPr="0031675F">
        <w:t xml:space="preserve"> </w:t>
      </w:r>
      <w:r w:rsidRPr="0031675F">
        <w:rPr>
          <w:spacing w:val="-1"/>
        </w:rPr>
        <w:t>a</w:t>
      </w:r>
      <w:r w:rsidRPr="0031675F">
        <w:rPr>
          <w:spacing w:val="-2"/>
        </w:rPr>
        <w:t xml:space="preserve"> </w:t>
      </w:r>
      <w:r w:rsidRPr="0031675F">
        <w:rPr>
          <w:spacing w:val="-1"/>
        </w:rPr>
        <w:t>spare)</w:t>
      </w:r>
    </w:p>
    <w:p w14:paraId="572AC661" w14:textId="77777777" w:rsidR="0031675F" w:rsidRPr="0031675F" w:rsidRDefault="0031675F" w:rsidP="0031675F">
      <w:pPr>
        <w:widowControl w:val="0"/>
        <w:numPr>
          <w:ilvl w:val="3"/>
          <w:numId w:val="67"/>
        </w:numPr>
        <w:tabs>
          <w:tab w:val="left" w:pos="839"/>
        </w:tabs>
        <w:spacing w:before="121" w:after="0" w:line="240" w:lineRule="auto"/>
      </w:pPr>
      <w:r w:rsidRPr="0031675F">
        <w:rPr>
          <w:spacing w:val="-1"/>
        </w:rPr>
        <w:t>Safety</w:t>
      </w:r>
      <w:r w:rsidRPr="0031675F">
        <w:t xml:space="preserve"> </w:t>
      </w:r>
      <w:r w:rsidRPr="0031675F">
        <w:rPr>
          <w:spacing w:val="-1"/>
        </w:rPr>
        <w:t>gear according to</w:t>
      </w:r>
      <w:r w:rsidRPr="0031675F">
        <w:rPr>
          <w:spacing w:val="1"/>
        </w:rPr>
        <w:t xml:space="preserve"> </w:t>
      </w:r>
      <w:r w:rsidRPr="0031675F">
        <w:rPr>
          <w:spacing w:val="-1"/>
        </w:rPr>
        <w:t>AIMS</w:t>
      </w:r>
      <w:r w:rsidRPr="0031675F">
        <w:t xml:space="preserve"> </w:t>
      </w:r>
      <w:r w:rsidRPr="0031675F">
        <w:rPr>
          <w:spacing w:val="-1"/>
        </w:rPr>
        <w:t>Field</w:t>
      </w:r>
      <w:r w:rsidRPr="0031675F">
        <w:rPr>
          <w:spacing w:val="-3"/>
        </w:rPr>
        <w:t xml:space="preserve"> </w:t>
      </w:r>
      <w:r w:rsidRPr="0031675F">
        <w:rPr>
          <w:spacing w:val="-1"/>
        </w:rPr>
        <w:t>Work</w:t>
      </w:r>
      <w:r w:rsidRPr="0031675F">
        <w:t xml:space="preserve"> </w:t>
      </w:r>
      <w:r w:rsidRPr="0031675F">
        <w:rPr>
          <w:spacing w:val="-1"/>
        </w:rPr>
        <w:t>Procedures.</w:t>
      </w:r>
    </w:p>
    <w:p w14:paraId="1F095221" w14:textId="77777777" w:rsidR="0031675F" w:rsidRPr="0031675F" w:rsidRDefault="0031675F" w:rsidP="0031675F">
      <w:pPr>
        <w:rPr>
          <w:rFonts w:cs="Calibri"/>
          <w:sz w:val="20"/>
          <w:szCs w:val="20"/>
        </w:rPr>
      </w:pPr>
    </w:p>
    <w:p w14:paraId="43A07C21" w14:textId="77777777" w:rsidR="0031675F" w:rsidRPr="0031675F" w:rsidRDefault="0031675F" w:rsidP="0031675F">
      <w:pPr>
        <w:keepNext/>
        <w:widowControl w:val="0"/>
        <w:numPr>
          <w:ilvl w:val="2"/>
          <w:numId w:val="67"/>
        </w:numPr>
        <w:tabs>
          <w:tab w:val="left" w:pos="839"/>
        </w:tabs>
        <w:spacing w:before="212" w:after="0" w:line="240" w:lineRule="auto"/>
        <w:jc w:val="both"/>
        <w:rPr>
          <w:rFonts w:eastAsia="Arial" w:cs="Arial"/>
        </w:rPr>
      </w:pPr>
      <w:r w:rsidRPr="0031675F">
        <w:rPr>
          <w:b/>
          <w:spacing w:val="-1"/>
        </w:rPr>
        <w:t>Logger</w:t>
      </w:r>
      <w:r w:rsidRPr="0031675F">
        <w:rPr>
          <w:b/>
          <w:spacing w:val="1"/>
        </w:rPr>
        <w:t xml:space="preserve"> </w:t>
      </w:r>
      <w:r w:rsidRPr="0031675F">
        <w:rPr>
          <w:b/>
          <w:spacing w:val="-1"/>
        </w:rPr>
        <w:t>deployment</w:t>
      </w:r>
      <w:r w:rsidRPr="0031675F">
        <w:rPr>
          <w:b/>
          <w:spacing w:val="1"/>
        </w:rPr>
        <w:t xml:space="preserve"> </w:t>
      </w:r>
      <w:r w:rsidRPr="0031675F">
        <w:rPr>
          <w:b/>
          <w:spacing w:val="-2"/>
        </w:rPr>
        <w:t>and</w:t>
      </w:r>
      <w:r w:rsidRPr="0031675F">
        <w:rPr>
          <w:b/>
        </w:rPr>
        <w:t xml:space="preserve"> </w:t>
      </w:r>
      <w:r w:rsidRPr="0031675F">
        <w:rPr>
          <w:b/>
          <w:spacing w:val="-1"/>
        </w:rPr>
        <w:t>recovery</w:t>
      </w:r>
      <w:r w:rsidRPr="0031675F">
        <w:rPr>
          <w:b/>
          <w:spacing w:val="-4"/>
        </w:rPr>
        <w:t xml:space="preserve"> </w:t>
      </w:r>
      <w:r w:rsidRPr="0031675F">
        <w:rPr>
          <w:b/>
          <w:spacing w:val="-1"/>
        </w:rPr>
        <w:t>dive</w:t>
      </w:r>
    </w:p>
    <w:p w14:paraId="7EC6C40B" w14:textId="77777777" w:rsidR="0031675F" w:rsidRPr="0031675F" w:rsidRDefault="0031675F" w:rsidP="0031675F">
      <w:pPr>
        <w:keepNext/>
        <w:spacing w:before="124" w:after="120" w:line="239" w:lineRule="auto"/>
        <w:ind w:right="114"/>
        <w:jc w:val="both"/>
      </w:pPr>
      <w:r w:rsidRPr="0031675F">
        <w:rPr>
          <w:spacing w:val="-1"/>
        </w:rPr>
        <w:t>The</w:t>
      </w:r>
      <w:r w:rsidRPr="0031675F">
        <w:rPr>
          <w:spacing w:val="17"/>
        </w:rPr>
        <w:t xml:space="preserve"> </w:t>
      </w:r>
      <w:r w:rsidRPr="0031675F">
        <w:rPr>
          <w:spacing w:val="-1"/>
        </w:rPr>
        <w:t>logger</w:t>
      </w:r>
      <w:r w:rsidRPr="0031675F">
        <w:rPr>
          <w:spacing w:val="17"/>
        </w:rPr>
        <w:t xml:space="preserve"> </w:t>
      </w:r>
      <w:r w:rsidRPr="0031675F">
        <w:rPr>
          <w:spacing w:val="-2"/>
        </w:rPr>
        <w:t>site</w:t>
      </w:r>
      <w:r w:rsidRPr="0031675F">
        <w:rPr>
          <w:spacing w:val="17"/>
        </w:rPr>
        <w:t xml:space="preserve"> </w:t>
      </w:r>
      <w:r w:rsidRPr="0031675F">
        <w:t>is</w:t>
      </w:r>
      <w:r w:rsidRPr="0031675F">
        <w:rPr>
          <w:spacing w:val="16"/>
        </w:rPr>
        <w:t xml:space="preserve"> </w:t>
      </w:r>
      <w:r w:rsidRPr="0031675F">
        <w:rPr>
          <w:spacing w:val="-1"/>
        </w:rPr>
        <w:t>located</w:t>
      </w:r>
      <w:r w:rsidRPr="0031675F">
        <w:rPr>
          <w:spacing w:val="14"/>
        </w:rPr>
        <w:t xml:space="preserve"> </w:t>
      </w:r>
      <w:r w:rsidRPr="0031675F">
        <w:rPr>
          <w:spacing w:val="-1"/>
        </w:rPr>
        <w:t>by</w:t>
      </w:r>
      <w:r w:rsidRPr="0031675F">
        <w:rPr>
          <w:spacing w:val="17"/>
        </w:rPr>
        <w:t xml:space="preserve"> </w:t>
      </w:r>
      <w:r w:rsidRPr="0031675F">
        <w:t>GPS</w:t>
      </w:r>
      <w:r w:rsidRPr="0031675F">
        <w:rPr>
          <w:spacing w:val="16"/>
        </w:rPr>
        <w:t xml:space="preserve"> </w:t>
      </w:r>
      <w:r w:rsidRPr="0031675F">
        <w:rPr>
          <w:spacing w:val="-1"/>
        </w:rPr>
        <w:t>and</w:t>
      </w:r>
      <w:r w:rsidRPr="0031675F">
        <w:rPr>
          <w:spacing w:val="16"/>
        </w:rPr>
        <w:t xml:space="preserve"> </w:t>
      </w:r>
      <w:r w:rsidRPr="0031675F">
        <w:t>the</w:t>
      </w:r>
      <w:r w:rsidRPr="0031675F">
        <w:rPr>
          <w:spacing w:val="14"/>
        </w:rPr>
        <w:t xml:space="preserve"> </w:t>
      </w:r>
      <w:r w:rsidRPr="0031675F">
        <w:rPr>
          <w:spacing w:val="-1"/>
        </w:rPr>
        <w:t>marker</w:t>
      </w:r>
      <w:r w:rsidRPr="0031675F">
        <w:rPr>
          <w:spacing w:val="17"/>
        </w:rPr>
        <w:t xml:space="preserve"> </w:t>
      </w:r>
      <w:r w:rsidRPr="0031675F">
        <w:rPr>
          <w:spacing w:val="-1"/>
        </w:rPr>
        <w:t>buoy</w:t>
      </w:r>
      <w:r w:rsidRPr="0031675F">
        <w:rPr>
          <w:spacing w:val="17"/>
        </w:rPr>
        <w:t xml:space="preserve"> </w:t>
      </w:r>
      <w:r w:rsidRPr="0031675F">
        <w:rPr>
          <w:spacing w:val="-1"/>
        </w:rPr>
        <w:t>deployed</w:t>
      </w:r>
      <w:r w:rsidRPr="0031675F">
        <w:rPr>
          <w:spacing w:val="16"/>
        </w:rPr>
        <w:t xml:space="preserve"> </w:t>
      </w:r>
      <w:r w:rsidRPr="0031675F">
        <w:t>to</w:t>
      </w:r>
      <w:r w:rsidRPr="0031675F">
        <w:rPr>
          <w:spacing w:val="16"/>
        </w:rPr>
        <w:t xml:space="preserve"> </w:t>
      </w:r>
      <w:r w:rsidRPr="0031675F">
        <w:t>mark</w:t>
      </w:r>
      <w:r w:rsidRPr="0031675F">
        <w:rPr>
          <w:spacing w:val="14"/>
        </w:rPr>
        <w:t xml:space="preserve"> </w:t>
      </w:r>
      <w:r w:rsidRPr="0031675F">
        <w:t>the</w:t>
      </w:r>
      <w:r w:rsidRPr="0031675F">
        <w:rPr>
          <w:spacing w:val="17"/>
        </w:rPr>
        <w:t xml:space="preserve"> </w:t>
      </w:r>
      <w:r w:rsidRPr="0031675F">
        <w:rPr>
          <w:spacing w:val="-1"/>
        </w:rPr>
        <w:t>site.</w:t>
      </w:r>
      <w:r w:rsidRPr="0031675F">
        <w:rPr>
          <w:spacing w:val="16"/>
        </w:rPr>
        <w:t xml:space="preserve"> </w:t>
      </w:r>
      <w:r w:rsidRPr="0031675F">
        <w:rPr>
          <w:spacing w:val="-1"/>
        </w:rPr>
        <w:t>The</w:t>
      </w:r>
      <w:r w:rsidRPr="0031675F">
        <w:rPr>
          <w:spacing w:val="17"/>
        </w:rPr>
        <w:t xml:space="preserve"> </w:t>
      </w:r>
      <w:r w:rsidRPr="0031675F">
        <w:rPr>
          <w:spacing w:val="-1"/>
        </w:rPr>
        <w:t>work</w:t>
      </w:r>
      <w:r w:rsidRPr="0031675F">
        <w:rPr>
          <w:spacing w:val="17"/>
        </w:rPr>
        <w:t xml:space="preserve"> </w:t>
      </w:r>
      <w:r w:rsidRPr="0031675F">
        <w:rPr>
          <w:spacing w:val="-1"/>
        </w:rPr>
        <w:t>boat</w:t>
      </w:r>
      <w:r w:rsidRPr="0031675F">
        <w:rPr>
          <w:spacing w:val="17"/>
        </w:rPr>
        <w:t xml:space="preserve"> </w:t>
      </w:r>
      <w:r w:rsidRPr="0031675F">
        <w:t>is</w:t>
      </w:r>
      <w:r w:rsidRPr="0031675F">
        <w:rPr>
          <w:spacing w:val="65"/>
        </w:rPr>
        <w:t xml:space="preserve"> </w:t>
      </w:r>
      <w:r w:rsidRPr="0031675F">
        <w:rPr>
          <w:spacing w:val="-1"/>
        </w:rPr>
        <w:t>anchored</w:t>
      </w:r>
      <w:r w:rsidRPr="0031675F">
        <w:rPr>
          <w:spacing w:val="25"/>
        </w:rPr>
        <w:t xml:space="preserve"> </w:t>
      </w:r>
      <w:r w:rsidRPr="0031675F">
        <w:rPr>
          <w:spacing w:val="-1"/>
        </w:rPr>
        <w:t>up</w:t>
      </w:r>
      <w:r w:rsidRPr="0031675F">
        <w:rPr>
          <w:spacing w:val="26"/>
        </w:rPr>
        <w:t xml:space="preserve"> </w:t>
      </w:r>
      <w:r w:rsidRPr="0031675F">
        <w:rPr>
          <w:spacing w:val="-1"/>
        </w:rPr>
        <w:t>close</w:t>
      </w:r>
      <w:r w:rsidRPr="0031675F">
        <w:rPr>
          <w:spacing w:val="27"/>
        </w:rPr>
        <w:t xml:space="preserve"> </w:t>
      </w:r>
      <w:r w:rsidRPr="0031675F">
        <w:rPr>
          <w:spacing w:val="-1"/>
        </w:rPr>
        <w:t>to</w:t>
      </w:r>
      <w:r w:rsidRPr="0031675F">
        <w:rPr>
          <w:spacing w:val="27"/>
        </w:rPr>
        <w:t xml:space="preserve"> </w:t>
      </w:r>
      <w:r w:rsidRPr="0031675F">
        <w:t>the</w:t>
      </w:r>
      <w:r w:rsidRPr="0031675F">
        <w:rPr>
          <w:spacing w:val="29"/>
        </w:rPr>
        <w:t xml:space="preserve"> </w:t>
      </w:r>
      <w:r w:rsidRPr="0031675F">
        <w:rPr>
          <w:spacing w:val="-1"/>
        </w:rPr>
        <w:t>site,</w:t>
      </w:r>
      <w:r w:rsidRPr="0031675F">
        <w:rPr>
          <w:spacing w:val="28"/>
        </w:rPr>
        <w:t xml:space="preserve"> </w:t>
      </w:r>
      <w:r w:rsidRPr="0031675F">
        <w:rPr>
          <w:spacing w:val="-1"/>
        </w:rPr>
        <w:t>typically</w:t>
      </w:r>
      <w:r w:rsidRPr="0031675F">
        <w:rPr>
          <w:spacing w:val="27"/>
        </w:rPr>
        <w:t xml:space="preserve"> </w:t>
      </w:r>
      <w:r w:rsidRPr="0031675F">
        <w:rPr>
          <w:spacing w:val="-1"/>
        </w:rPr>
        <w:t>up-current</w:t>
      </w:r>
      <w:r w:rsidRPr="0031675F">
        <w:rPr>
          <w:spacing w:val="25"/>
        </w:rPr>
        <w:t xml:space="preserve"> </w:t>
      </w:r>
      <w:r w:rsidRPr="0031675F">
        <w:rPr>
          <w:spacing w:val="-1"/>
        </w:rPr>
        <w:t>but</w:t>
      </w:r>
      <w:r w:rsidRPr="0031675F">
        <w:rPr>
          <w:spacing w:val="27"/>
        </w:rPr>
        <w:t xml:space="preserve"> </w:t>
      </w:r>
      <w:r w:rsidRPr="0031675F">
        <w:rPr>
          <w:spacing w:val="-1"/>
        </w:rPr>
        <w:t>mindful</w:t>
      </w:r>
      <w:r w:rsidRPr="0031675F">
        <w:rPr>
          <w:spacing w:val="26"/>
        </w:rPr>
        <w:t xml:space="preserve"> </w:t>
      </w:r>
      <w:r w:rsidRPr="0031675F">
        <w:t>the</w:t>
      </w:r>
      <w:r w:rsidRPr="0031675F">
        <w:rPr>
          <w:spacing w:val="26"/>
        </w:rPr>
        <w:t xml:space="preserve"> </w:t>
      </w:r>
      <w:r w:rsidRPr="0031675F">
        <w:rPr>
          <w:spacing w:val="-1"/>
        </w:rPr>
        <w:t>anchor</w:t>
      </w:r>
      <w:r w:rsidRPr="0031675F">
        <w:rPr>
          <w:spacing w:val="27"/>
        </w:rPr>
        <w:t xml:space="preserve"> </w:t>
      </w:r>
      <w:r w:rsidRPr="0031675F">
        <w:rPr>
          <w:spacing w:val="-1"/>
        </w:rPr>
        <w:t>should</w:t>
      </w:r>
      <w:r w:rsidRPr="0031675F">
        <w:rPr>
          <w:spacing w:val="26"/>
        </w:rPr>
        <w:t xml:space="preserve"> </w:t>
      </w:r>
      <w:r w:rsidRPr="0031675F">
        <w:t>not</w:t>
      </w:r>
      <w:r w:rsidRPr="0031675F">
        <w:rPr>
          <w:spacing w:val="27"/>
        </w:rPr>
        <w:t xml:space="preserve"> </w:t>
      </w:r>
      <w:r w:rsidRPr="0031675F">
        <w:rPr>
          <w:spacing w:val="-1"/>
        </w:rPr>
        <w:t>be</w:t>
      </w:r>
      <w:r w:rsidRPr="0031675F">
        <w:rPr>
          <w:spacing w:val="26"/>
        </w:rPr>
        <w:t xml:space="preserve"> </w:t>
      </w:r>
      <w:r w:rsidRPr="0031675F">
        <w:rPr>
          <w:spacing w:val="-1"/>
        </w:rPr>
        <w:t>dropped</w:t>
      </w:r>
      <w:r w:rsidRPr="0031675F">
        <w:rPr>
          <w:spacing w:val="75"/>
        </w:rPr>
        <w:t xml:space="preserve"> </w:t>
      </w:r>
      <w:r w:rsidRPr="0031675F">
        <w:rPr>
          <w:spacing w:val="-1"/>
        </w:rPr>
        <w:t>near the</w:t>
      </w:r>
      <w:r w:rsidRPr="0031675F">
        <w:t xml:space="preserve"> </w:t>
      </w:r>
      <w:r w:rsidRPr="0031675F">
        <w:rPr>
          <w:spacing w:val="-1"/>
        </w:rPr>
        <w:t>underwater</w:t>
      </w:r>
      <w:r w:rsidRPr="0031675F">
        <w:t xml:space="preserve"> </w:t>
      </w:r>
      <w:r w:rsidRPr="0031675F">
        <w:rPr>
          <w:spacing w:val="-1"/>
        </w:rPr>
        <w:t>benthic</w:t>
      </w:r>
      <w:r w:rsidRPr="0031675F">
        <w:t xml:space="preserve"> </w:t>
      </w:r>
      <w:r w:rsidRPr="0031675F">
        <w:rPr>
          <w:spacing w:val="-1"/>
        </w:rPr>
        <w:t>survey</w:t>
      </w:r>
      <w:r w:rsidRPr="0031675F">
        <w:rPr>
          <w:spacing w:val="-2"/>
        </w:rPr>
        <w:t xml:space="preserve"> </w:t>
      </w:r>
      <w:r w:rsidRPr="0031675F">
        <w:rPr>
          <w:spacing w:val="-1"/>
        </w:rPr>
        <w:t>transect</w:t>
      </w:r>
      <w:r w:rsidRPr="0031675F">
        <w:t xml:space="preserve"> </w:t>
      </w:r>
      <w:r w:rsidRPr="0031675F">
        <w:rPr>
          <w:spacing w:val="-1"/>
        </w:rPr>
        <w:t>lines.</w:t>
      </w:r>
    </w:p>
    <w:p w14:paraId="2A5BD3D5" w14:textId="77777777" w:rsidR="0031675F" w:rsidRPr="0031675F" w:rsidRDefault="0031675F" w:rsidP="0031675F">
      <w:pPr>
        <w:spacing w:before="120" w:after="120"/>
        <w:ind w:right="115"/>
        <w:jc w:val="both"/>
      </w:pPr>
      <w:r w:rsidRPr="0031675F">
        <w:rPr>
          <w:spacing w:val="-1"/>
        </w:rPr>
        <w:t>Once</w:t>
      </w:r>
      <w:r w:rsidRPr="0031675F">
        <w:rPr>
          <w:spacing w:val="12"/>
        </w:rPr>
        <w:t xml:space="preserve"> </w:t>
      </w:r>
      <w:r w:rsidRPr="0031675F">
        <w:t>the</w:t>
      </w:r>
      <w:r w:rsidRPr="0031675F">
        <w:rPr>
          <w:spacing w:val="12"/>
        </w:rPr>
        <w:t xml:space="preserve"> </w:t>
      </w:r>
      <w:r w:rsidRPr="0031675F">
        <w:rPr>
          <w:spacing w:val="-1"/>
        </w:rPr>
        <w:t>divers</w:t>
      </w:r>
      <w:r w:rsidRPr="0031675F">
        <w:rPr>
          <w:spacing w:val="12"/>
        </w:rPr>
        <w:t xml:space="preserve"> </w:t>
      </w:r>
      <w:r w:rsidRPr="0031675F">
        <w:t>are</w:t>
      </w:r>
      <w:r w:rsidRPr="0031675F">
        <w:rPr>
          <w:spacing w:val="12"/>
        </w:rPr>
        <w:t xml:space="preserve"> </w:t>
      </w:r>
      <w:r w:rsidRPr="0031675F">
        <w:rPr>
          <w:spacing w:val="-1"/>
        </w:rPr>
        <w:t>kitted</w:t>
      </w:r>
      <w:r w:rsidRPr="0031675F">
        <w:rPr>
          <w:spacing w:val="9"/>
        </w:rPr>
        <w:t xml:space="preserve"> </w:t>
      </w:r>
      <w:r w:rsidRPr="0031675F">
        <w:rPr>
          <w:spacing w:val="-1"/>
        </w:rPr>
        <w:t>up</w:t>
      </w:r>
      <w:r w:rsidRPr="0031675F">
        <w:rPr>
          <w:spacing w:val="11"/>
        </w:rPr>
        <w:t xml:space="preserve"> </w:t>
      </w:r>
      <w:r w:rsidRPr="0031675F">
        <w:t>to</w:t>
      </w:r>
      <w:r w:rsidRPr="0031675F">
        <w:rPr>
          <w:spacing w:val="14"/>
        </w:rPr>
        <w:t xml:space="preserve"> </w:t>
      </w:r>
      <w:r w:rsidRPr="0031675F">
        <w:rPr>
          <w:spacing w:val="-1"/>
        </w:rPr>
        <w:t>dive,</w:t>
      </w:r>
      <w:r w:rsidRPr="0031675F">
        <w:rPr>
          <w:spacing w:val="12"/>
        </w:rPr>
        <w:t xml:space="preserve"> </w:t>
      </w:r>
      <w:r w:rsidRPr="0031675F">
        <w:rPr>
          <w:spacing w:val="-1"/>
        </w:rPr>
        <w:t>they</w:t>
      </w:r>
      <w:r w:rsidRPr="0031675F">
        <w:rPr>
          <w:spacing w:val="13"/>
        </w:rPr>
        <w:t xml:space="preserve"> </w:t>
      </w:r>
      <w:r w:rsidRPr="0031675F">
        <w:rPr>
          <w:spacing w:val="-1"/>
        </w:rPr>
        <w:t>enter</w:t>
      </w:r>
      <w:r w:rsidRPr="0031675F">
        <w:rPr>
          <w:spacing w:val="12"/>
        </w:rPr>
        <w:t xml:space="preserve"> </w:t>
      </w:r>
      <w:r w:rsidRPr="0031675F">
        <w:t>the</w:t>
      </w:r>
      <w:r w:rsidRPr="0031675F">
        <w:rPr>
          <w:spacing w:val="10"/>
        </w:rPr>
        <w:t xml:space="preserve"> </w:t>
      </w:r>
      <w:r w:rsidRPr="0031675F">
        <w:t>water</w:t>
      </w:r>
      <w:r w:rsidRPr="0031675F">
        <w:rPr>
          <w:spacing w:val="12"/>
        </w:rPr>
        <w:t xml:space="preserve"> </w:t>
      </w:r>
      <w:r w:rsidRPr="0031675F">
        <w:rPr>
          <w:spacing w:val="-1"/>
        </w:rPr>
        <w:t>and</w:t>
      </w:r>
      <w:r w:rsidRPr="0031675F">
        <w:rPr>
          <w:spacing w:val="11"/>
        </w:rPr>
        <w:t xml:space="preserve"> </w:t>
      </w:r>
      <w:r w:rsidRPr="0031675F">
        <w:t>the</w:t>
      </w:r>
      <w:r w:rsidRPr="0031675F">
        <w:rPr>
          <w:spacing w:val="12"/>
        </w:rPr>
        <w:t xml:space="preserve"> </w:t>
      </w:r>
      <w:r w:rsidRPr="0031675F">
        <w:rPr>
          <w:spacing w:val="-1"/>
        </w:rPr>
        <w:t>boatperson</w:t>
      </w:r>
      <w:r w:rsidRPr="0031675F">
        <w:rPr>
          <w:spacing w:val="11"/>
        </w:rPr>
        <w:t xml:space="preserve"> </w:t>
      </w:r>
      <w:r w:rsidRPr="0031675F">
        <w:rPr>
          <w:spacing w:val="-1"/>
        </w:rPr>
        <w:t>passes</w:t>
      </w:r>
      <w:r w:rsidRPr="0031675F">
        <w:rPr>
          <w:spacing w:val="13"/>
        </w:rPr>
        <w:t xml:space="preserve"> </w:t>
      </w:r>
      <w:r w:rsidRPr="0031675F">
        <w:t>1</w:t>
      </w:r>
      <w:r w:rsidRPr="0031675F">
        <w:rPr>
          <w:spacing w:val="13"/>
        </w:rPr>
        <w:t xml:space="preserve"> </w:t>
      </w:r>
      <w:r w:rsidRPr="0031675F">
        <w:rPr>
          <w:spacing w:val="-1"/>
        </w:rPr>
        <w:t>niskin</w:t>
      </w:r>
      <w:r w:rsidRPr="0031675F">
        <w:rPr>
          <w:spacing w:val="65"/>
        </w:rPr>
        <w:t xml:space="preserve"> </w:t>
      </w:r>
      <w:r w:rsidRPr="0031675F">
        <w:rPr>
          <w:spacing w:val="-1"/>
        </w:rPr>
        <w:t>(filling</w:t>
      </w:r>
      <w:r w:rsidRPr="0031675F">
        <w:rPr>
          <w:spacing w:val="21"/>
        </w:rPr>
        <w:t xml:space="preserve"> </w:t>
      </w:r>
      <w:r w:rsidRPr="0031675F">
        <w:t>with</w:t>
      </w:r>
      <w:r w:rsidRPr="0031675F">
        <w:rPr>
          <w:spacing w:val="21"/>
        </w:rPr>
        <w:t xml:space="preserve"> </w:t>
      </w:r>
      <w:r w:rsidRPr="0031675F">
        <w:rPr>
          <w:spacing w:val="-1"/>
        </w:rPr>
        <w:t>surface</w:t>
      </w:r>
      <w:r w:rsidRPr="0031675F">
        <w:rPr>
          <w:spacing w:val="22"/>
        </w:rPr>
        <w:t xml:space="preserve"> </w:t>
      </w:r>
      <w:r w:rsidRPr="0031675F">
        <w:rPr>
          <w:spacing w:val="-1"/>
        </w:rPr>
        <w:t>water</w:t>
      </w:r>
      <w:r w:rsidRPr="0031675F">
        <w:rPr>
          <w:spacing w:val="19"/>
        </w:rPr>
        <w:t xml:space="preserve"> </w:t>
      </w:r>
      <w:r w:rsidRPr="0031675F">
        <w:t>to</w:t>
      </w:r>
      <w:r w:rsidRPr="0031675F">
        <w:rPr>
          <w:spacing w:val="23"/>
        </w:rPr>
        <w:t xml:space="preserve"> </w:t>
      </w:r>
      <w:r w:rsidRPr="0031675F">
        <w:rPr>
          <w:spacing w:val="-1"/>
        </w:rPr>
        <w:t>allow</w:t>
      </w:r>
      <w:r w:rsidRPr="0031675F">
        <w:rPr>
          <w:spacing w:val="22"/>
        </w:rPr>
        <w:t xml:space="preserve"> </w:t>
      </w:r>
      <w:r w:rsidRPr="0031675F">
        <w:t>the</w:t>
      </w:r>
      <w:r w:rsidRPr="0031675F">
        <w:rPr>
          <w:spacing w:val="22"/>
        </w:rPr>
        <w:t xml:space="preserve"> </w:t>
      </w:r>
      <w:r w:rsidRPr="0031675F">
        <w:rPr>
          <w:spacing w:val="-1"/>
        </w:rPr>
        <w:t>niskins</w:t>
      </w:r>
      <w:r w:rsidRPr="0031675F">
        <w:rPr>
          <w:spacing w:val="19"/>
        </w:rPr>
        <w:t xml:space="preserve"> </w:t>
      </w:r>
      <w:r w:rsidRPr="0031675F">
        <w:t>to</w:t>
      </w:r>
      <w:r w:rsidRPr="0031675F">
        <w:rPr>
          <w:spacing w:val="23"/>
        </w:rPr>
        <w:t xml:space="preserve"> </w:t>
      </w:r>
      <w:r w:rsidRPr="0031675F">
        <w:rPr>
          <w:spacing w:val="-2"/>
        </w:rPr>
        <w:t>sink)</w:t>
      </w:r>
      <w:r w:rsidRPr="0031675F">
        <w:rPr>
          <w:spacing w:val="22"/>
        </w:rPr>
        <w:t xml:space="preserve"> </w:t>
      </w:r>
      <w:r w:rsidRPr="0031675F">
        <w:rPr>
          <w:spacing w:val="-1"/>
        </w:rPr>
        <w:t>and</w:t>
      </w:r>
      <w:r w:rsidRPr="0031675F">
        <w:rPr>
          <w:spacing w:val="21"/>
        </w:rPr>
        <w:t xml:space="preserve"> </w:t>
      </w:r>
      <w:r w:rsidRPr="0031675F">
        <w:t>the</w:t>
      </w:r>
      <w:r w:rsidRPr="0031675F">
        <w:rPr>
          <w:spacing w:val="22"/>
        </w:rPr>
        <w:t xml:space="preserve"> </w:t>
      </w:r>
      <w:r w:rsidRPr="0031675F">
        <w:rPr>
          <w:spacing w:val="-1"/>
        </w:rPr>
        <w:t>logger</w:t>
      </w:r>
      <w:r w:rsidRPr="0031675F">
        <w:rPr>
          <w:spacing w:val="22"/>
        </w:rPr>
        <w:t xml:space="preserve"> </w:t>
      </w:r>
      <w:r w:rsidRPr="0031675F">
        <w:rPr>
          <w:spacing w:val="-1"/>
        </w:rPr>
        <w:t>to</w:t>
      </w:r>
      <w:r w:rsidRPr="0031675F">
        <w:rPr>
          <w:spacing w:val="23"/>
        </w:rPr>
        <w:t xml:space="preserve"> </w:t>
      </w:r>
      <w:r w:rsidRPr="0031675F">
        <w:t>the</w:t>
      </w:r>
      <w:r w:rsidRPr="0031675F">
        <w:rPr>
          <w:spacing w:val="22"/>
        </w:rPr>
        <w:t xml:space="preserve"> </w:t>
      </w:r>
      <w:r w:rsidRPr="0031675F">
        <w:rPr>
          <w:spacing w:val="-1"/>
        </w:rPr>
        <w:t>divers</w:t>
      </w:r>
      <w:r w:rsidRPr="0031675F">
        <w:rPr>
          <w:spacing w:val="19"/>
        </w:rPr>
        <w:t xml:space="preserve"> </w:t>
      </w:r>
      <w:r w:rsidRPr="0031675F">
        <w:t>on</w:t>
      </w:r>
      <w:r w:rsidRPr="0031675F">
        <w:rPr>
          <w:spacing w:val="21"/>
        </w:rPr>
        <w:t xml:space="preserve"> </w:t>
      </w:r>
      <w:r w:rsidRPr="0031675F">
        <w:t>the</w:t>
      </w:r>
      <w:r w:rsidRPr="0031675F">
        <w:rPr>
          <w:spacing w:val="22"/>
        </w:rPr>
        <w:t xml:space="preserve"> </w:t>
      </w:r>
      <w:r w:rsidRPr="0031675F">
        <w:rPr>
          <w:spacing w:val="-1"/>
        </w:rPr>
        <w:t>surface.</w:t>
      </w:r>
      <w:r w:rsidRPr="0031675F">
        <w:rPr>
          <w:spacing w:val="53"/>
        </w:rPr>
        <w:t xml:space="preserve"> </w:t>
      </w:r>
      <w:r w:rsidRPr="0031675F">
        <w:rPr>
          <w:spacing w:val="-1"/>
        </w:rPr>
        <w:t>Care</w:t>
      </w:r>
      <w:r w:rsidRPr="0031675F">
        <w:rPr>
          <w:spacing w:val="8"/>
        </w:rPr>
        <w:t xml:space="preserve"> </w:t>
      </w:r>
      <w:r w:rsidRPr="0031675F">
        <w:t>is</w:t>
      </w:r>
      <w:r w:rsidRPr="0031675F">
        <w:rPr>
          <w:spacing w:val="7"/>
        </w:rPr>
        <w:t xml:space="preserve"> </w:t>
      </w:r>
      <w:r w:rsidRPr="0031675F">
        <w:t>taken</w:t>
      </w:r>
      <w:r w:rsidRPr="0031675F">
        <w:rPr>
          <w:spacing w:val="6"/>
        </w:rPr>
        <w:t xml:space="preserve"> </w:t>
      </w:r>
      <w:r w:rsidRPr="0031675F">
        <w:rPr>
          <w:spacing w:val="-1"/>
        </w:rPr>
        <w:t>that</w:t>
      </w:r>
      <w:r w:rsidRPr="0031675F">
        <w:rPr>
          <w:spacing w:val="8"/>
        </w:rPr>
        <w:t xml:space="preserve"> </w:t>
      </w:r>
      <w:r w:rsidRPr="0031675F">
        <w:t>the</w:t>
      </w:r>
      <w:r w:rsidRPr="0031675F">
        <w:rPr>
          <w:spacing w:val="7"/>
        </w:rPr>
        <w:t xml:space="preserve"> </w:t>
      </w:r>
      <w:r w:rsidRPr="0031675F">
        <w:rPr>
          <w:spacing w:val="-1"/>
        </w:rPr>
        <w:t>bio-wiper</w:t>
      </w:r>
      <w:r w:rsidRPr="0031675F">
        <w:rPr>
          <w:spacing w:val="7"/>
        </w:rPr>
        <w:t xml:space="preserve"> </w:t>
      </w:r>
      <w:r w:rsidRPr="0031675F">
        <w:t>of</w:t>
      </w:r>
      <w:r w:rsidRPr="0031675F">
        <w:rPr>
          <w:spacing w:val="7"/>
        </w:rPr>
        <w:t xml:space="preserve"> </w:t>
      </w:r>
      <w:r w:rsidRPr="0031675F">
        <w:rPr>
          <w:spacing w:val="-1"/>
        </w:rPr>
        <w:t>the</w:t>
      </w:r>
      <w:r w:rsidRPr="0031675F">
        <w:rPr>
          <w:spacing w:val="8"/>
        </w:rPr>
        <w:t xml:space="preserve"> </w:t>
      </w:r>
      <w:r w:rsidRPr="0031675F">
        <w:rPr>
          <w:spacing w:val="-1"/>
        </w:rPr>
        <w:t>logger</w:t>
      </w:r>
      <w:r w:rsidRPr="0031675F">
        <w:rPr>
          <w:spacing w:val="7"/>
        </w:rPr>
        <w:t xml:space="preserve"> </w:t>
      </w:r>
      <w:r w:rsidRPr="0031675F">
        <w:rPr>
          <w:spacing w:val="-1"/>
        </w:rPr>
        <w:t>does</w:t>
      </w:r>
      <w:r w:rsidRPr="0031675F">
        <w:rPr>
          <w:spacing w:val="8"/>
        </w:rPr>
        <w:t xml:space="preserve"> </w:t>
      </w:r>
      <w:r w:rsidRPr="0031675F">
        <w:rPr>
          <w:spacing w:val="-1"/>
        </w:rPr>
        <w:t>not</w:t>
      </w:r>
      <w:r w:rsidRPr="0031675F">
        <w:rPr>
          <w:spacing w:val="8"/>
        </w:rPr>
        <w:t xml:space="preserve"> </w:t>
      </w:r>
      <w:r w:rsidRPr="0031675F">
        <w:rPr>
          <w:spacing w:val="-1"/>
        </w:rPr>
        <w:t>contact</w:t>
      </w:r>
      <w:r w:rsidRPr="0031675F">
        <w:rPr>
          <w:spacing w:val="8"/>
        </w:rPr>
        <w:t xml:space="preserve"> </w:t>
      </w:r>
      <w:r w:rsidRPr="0031675F">
        <w:rPr>
          <w:spacing w:val="-1"/>
        </w:rPr>
        <w:t>anything,</w:t>
      </w:r>
      <w:r w:rsidRPr="0031675F">
        <w:rPr>
          <w:spacing w:val="7"/>
        </w:rPr>
        <w:t xml:space="preserve"> </w:t>
      </w:r>
      <w:r w:rsidRPr="0031675F">
        <w:t>to</w:t>
      </w:r>
      <w:r w:rsidRPr="0031675F">
        <w:rPr>
          <w:spacing w:val="6"/>
        </w:rPr>
        <w:t xml:space="preserve"> </w:t>
      </w:r>
      <w:r w:rsidRPr="0031675F">
        <w:rPr>
          <w:spacing w:val="-1"/>
        </w:rPr>
        <w:t>ensure</w:t>
      </w:r>
      <w:r w:rsidRPr="0031675F">
        <w:rPr>
          <w:spacing w:val="7"/>
        </w:rPr>
        <w:t xml:space="preserve"> </w:t>
      </w:r>
      <w:r w:rsidRPr="0031675F">
        <w:t>it</w:t>
      </w:r>
      <w:r w:rsidRPr="0031675F">
        <w:rPr>
          <w:spacing w:val="7"/>
        </w:rPr>
        <w:t xml:space="preserve"> </w:t>
      </w:r>
      <w:r w:rsidRPr="0031675F">
        <w:t>is</w:t>
      </w:r>
      <w:r w:rsidRPr="0031675F">
        <w:rPr>
          <w:spacing w:val="7"/>
        </w:rPr>
        <w:t xml:space="preserve"> </w:t>
      </w:r>
      <w:r w:rsidRPr="0031675F">
        <w:t>not</w:t>
      </w:r>
      <w:r w:rsidRPr="0031675F">
        <w:rPr>
          <w:spacing w:val="8"/>
        </w:rPr>
        <w:t xml:space="preserve"> </w:t>
      </w:r>
      <w:r w:rsidRPr="0031675F">
        <w:rPr>
          <w:spacing w:val="-1"/>
        </w:rPr>
        <w:t>disabled.</w:t>
      </w:r>
      <w:r w:rsidRPr="0031675F">
        <w:rPr>
          <w:spacing w:val="59"/>
        </w:rPr>
        <w:t xml:space="preserve"> </w:t>
      </w:r>
      <w:r w:rsidRPr="0031675F">
        <w:rPr>
          <w:spacing w:val="-1"/>
        </w:rPr>
        <w:t>The</w:t>
      </w:r>
      <w:r w:rsidRPr="0031675F">
        <w:t xml:space="preserve"> </w:t>
      </w:r>
      <w:r w:rsidRPr="0031675F">
        <w:rPr>
          <w:spacing w:val="-1"/>
        </w:rPr>
        <w:t>divers</w:t>
      </w:r>
      <w:r w:rsidRPr="0031675F">
        <w:t xml:space="preserve"> </w:t>
      </w:r>
      <w:r w:rsidRPr="0031675F">
        <w:rPr>
          <w:spacing w:val="-1"/>
        </w:rPr>
        <w:t>proceed</w:t>
      </w:r>
      <w:r w:rsidRPr="0031675F">
        <w:t xml:space="preserve"> </w:t>
      </w:r>
      <w:r w:rsidRPr="0031675F">
        <w:rPr>
          <w:spacing w:val="-1"/>
        </w:rPr>
        <w:t>down</w:t>
      </w:r>
      <w:r w:rsidRPr="0031675F">
        <w:t xml:space="preserve"> </w:t>
      </w:r>
      <w:r w:rsidRPr="0031675F">
        <w:rPr>
          <w:spacing w:val="-1"/>
        </w:rPr>
        <w:t>the</w:t>
      </w:r>
      <w:r w:rsidRPr="0031675F">
        <w:t xml:space="preserve"> </w:t>
      </w:r>
      <w:r w:rsidRPr="0031675F">
        <w:rPr>
          <w:spacing w:val="-1"/>
        </w:rPr>
        <w:t>buoy</w:t>
      </w:r>
      <w:r w:rsidRPr="0031675F">
        <w:rPr>
          <w:spacing w:val="-2"/>
        </w:rPr>
        <w:t xml:space="preserve"> </w:t>
      </w:r>
      <w:r w:rsidRPr="0031675F">
        <w:rPr>
          <w:spacing w:val="-1"/>
        </w:rPr>
        <w:t>line</w:t>
      </w:r>
      <w:r w:rsidRPr="0031675F">
        <w:t xml:space="preserve"> </w:t>
      </w:r>
      <w:r w:rsidRPr="0031675F">
        <w:rPr>
          <w:spacing w:val="-1"/>
        </w:rPr>
        <w:t>and locate</w:t>
      </w:r>
      <w:r w:rsidRPr="0031675F">
        <w:t xml:space="preserve"> the</w:t>
      </w:r>
      <w:r w:rsidRPr="0031675F">
        <w:rPr>
          <w:spacing w:val="-3"/>
        </w:rPr>
        <w:t xml:space="preserve"> </w:t>
      </w:r>
      <w:r w:rsidRPr="0031675F">
        <w:rPr>
          <w:spacing w:val="-1"/>
        </w:rPr>
        <w:t>logger</w:t>
      </w:r>
      <w:r w:rsidRPr="0031675F">
        <w:t xml:space="preserve"> </w:t>
      </w:r>
      <w:r w:rsidRPr="0031675F">
        <w:rPr>
          <w:spacing w:val="-1"/>
        </w:rPr>
        <w:t>star</w:t>
      </w:r>
      <w:r w:rsidRPr="0031675F">
        <w:t xml:space="preserve"> </w:t>
      </w:r>
      <w:r w:rsidRPr="0031675F">
        <w:rPr>
          <w:spacing w:val="-1"/>
        </w:rPr>
        <w:t>picket.</w:t>
      </w:r>
    </w:p>
    <w:p w14:paraId="1FDA5358" w14:textId="77777777" w:rsidR="0031675F" w:rsidRPr="0031675F" w:rsidRDefault="0031675F" w:rsidP="0031675F">
      <w:pPr>
        <w:spacing w:before="121" w:after="120"/>
        <w:ind w:right="114"/>
        <w:jc w:val="both"/>
      </w:pPr>
      <w:r w:rsidRPr="0031675F">
        <w:rPr>
          <w:spacing w:val="-1"/>
        </w:rPr>
        <w:t>The</w:t>
      </w:r>
      <w:r w:rsidRPr="0031675F">
        <w:rPr>
          <w:spacing w:val="15"/>
        </w:rPr>
        <w:t xml:space="preserve"> </w:t>
      </w:r>
      <w:r w:rsidRPr="0031675F">
        <w:rPr>
          <w:spacing w:val="-1"/>
        </w:rPr>
        <w:t>divers</w:t>
      </w:r>
      <w:r w:rsidRPr="0031675F">
        <w:rPr>
          <w:spacing w:val="14"/>
        </w:rPr>
        <w:t xml:space="preserve"> </w:t>
      </w:r>
      <w:r w:rsidRPr="0031675F">
        <w:t>are</w:t>
      </w:r>
      <w:r w:rsidRPr="0031675F">
        <w:rPr>
          <w:spacing w:val="12"/>
        </w:rPr>
        <w:t xml:space="preserve"> </w:t>
      </w:r>
      <w:r w:rsidRPr="0031675F">
        <w:t>careful</w:t>
      </w:r>
      <w:r w:rsidRPr="0031675F">
        <w:rPr>
          <w:spacing w:val="11"/>
        </w:rPr>
        <w:t xml:space="preserve"> </w:t>
      </w:r>
      <w:r w:rsidRPr="0031675F">
        <w:t>not</w:t>
      </w:r>
      <w:r w:rsidRPr="0031675F">
        <w:rPr>
          <w:spacing w:val="10"/>
        </w:rPr>
        <w:t xml:space="preserve"> </w:t>
      </w:r>
      <w:r w:rsidRPr="0031675F">
        <w:t>to</w:t>
      </w:r>
      <w:r w:rsidRPr="0031675F">
        <w:rPr>
          <w:spacing w:val="16"/>
        </w:rPr>
        <w:t xml:space="preserve"> </w:t>
      </w:r>
      <w:r w:rsidRPr="0031675F">
        <w:rPr>
          <w:spacing w:val="-1"/>
        </w:rPr>
        <w:t>disturb</w:t>
      </w:r>
      <w:r w:rsidRPr="0031675F">
        <w:rPr>
          <w:spacing w:val="11"/>
        </w:rPr>
        <w:t xml:space="preserve"> </w:t>
      </w:r>
      <w:r w:rsidRPr="0031675F">
        <w:t>the</w:t>
      </w:r>
      <w:r w:rsidRPr="0031675F">
        <w:rPr>
          <w:spacing w:val="14"/>
        </w:rPr>
        <w:t xml:space="preserve"> </w:t>
      </w:r>
      <w:r w:rsidRPr="0031675F">
        <w:rPr>
          <w:spacing w:val="-2"/>
        </w:rPr>
        <w:t>bottom</w:t>
      </w:r>
      <w:r w:rsidRPr="0031675F">
        <w:rPr>
          <w:spacing w:val="15"/>
        </w:rPr>
        <w:t xml:space="preserve"> </w:t>
      </w:r>
      <w:r w:rsidRPr="0031675F">
        <w:rPr>
          <w:spacing w:val="-1"/>
        </w:rPr>
        <w:t>sediment</w:t>
      </w:r>
      <w:r w:rsidRPr="0031675F">
        <w:rPr>
          <w:spacing w:val="12"/>
        </w:rPr>
        <w:t xml:space="preserve"> </w:t>
      </w:r>
      <w:r w:rsidRPr="0031675F">
        <w:t>or</w:t>
      </w:r>
      <w:r w:rsidRPr="0031675F">
        <w:rPr>
          <w:spacing w:val="14"/>
        </w:rPr>
        <w:t xml:space="preserve"> </w:t>
      </w:r>
      <w:r w:rsidRPr="0031675F">
        <w:rPr>
          <w:spacing w:val="-1"/>
        </w:rPr>
        <w:t>disturb</w:t>
      </w:r>
      <w:r w:rsidRPr="0031675F">
        <w:rPr>
          <w:spacing w:val="13"/>
        </w:rPr>
        <w:t xml:space="preserve"> </w:t>
      </w:r>
      <w:r w:rsidRPr="0031675F">
        <w:rPr>
          <w:spacing w:val="-1"/>
        </w:rPr>
        <w:t>fouling</w:t>
      </w:r>
      <w:r w:rsidRPr="0031675F">
        <w:rPr>
          <w:spacing w:val="11"/>
        </w:rPr>
        <w:t xml:space="preserve"> </w:t>
      </w:r>
      <w:r w:rsidRPr="0031675F">
        <w:t>on</w:t>
      </w:r>
      <w:r w:rsidRPr="0031675F">
        <w:rPr>
          <w:spacing w:val="14"/>
        </w:rPr>
        <w:t xml:space="preserve"> </w:t>
      </w:r>
      <w:r w:rsidRPr="0031675F">
        <w:t>the</w:t>
      </w:r>
      <w:r w:rsidRPr="0031675F">
        <w:rPr>
          <w:spacing w:val="14"/>
        </w:rPr>
        <w:t xml:space="preserve"> </w:t>
      </w:r>
      <w:r w:rsidRPr="0031675F">
        <w:rPr>
          <w:spacing w:val="-1"/>
        </w:rPr>
        <w:t>star</w:t>
      </w:r>
      <w:r w:rsidRPr="0031675F">
        <w:rPr>
          <w:spacing w:val="14"/>
        </w:rPr>
        <w:t xml:space="preserve"> </w:t>
      </w:r>
      <w:r w:rsidRPr="0031675F">
        <w:rPr>
          <w:spacing w:val="-1"/>
        </w:rPr>
        <w:t>picket</w:t>
      </w:r>
      <w:r w:rsidRPr="0031675F">
        <w:rPr>
          <w:spacing w:val="15"/>
        </w:rPr>
        <w:t xml:space="preserve"> </w:t>
      </w:r>
      <w:r w:rsidRPr="0031675F">
        <w:rPr>
          <w:spacing w:val="-1"/>
        </w:rPr>
        <w:t>until</w:t>
      </w:r>
      <w:r w:rsidRPr="0031675F">
        <w:rPr>
          <w:spacing w:val="59"/>
        </w:rPr>
        <w:t xml:space="preserve"> </w:t>
      </w:r>
      <w:r w:rsidRPr="0031675F">
        <w:rPr>
          <w:rFonts w:cs="Calibri"/>
        </w:rPr>
        <w:t>the</w:t>
      </w:r>
      <w:r w:rsidRPr="0031675F">
        <w:rPr>
          <w:rFonts w:cs="Calibri"/>
          <w:spacing w:val="5"/>
        </w:rPr>
        <w:t xml:space="preserve"> </w:t>
      </w:r>
      <w:r w:rsidRPr="0031675F">
        <w:rPr>
          <w:rFonts w:cs="Calibri"/>
          <w:spacing w:val="-1"/>
        </w:rPr>
        <w:t>‘ground</w:t>
      </w:r>
      <w:r w:rsidRPr="0031675F">
        <w:rPr>
          <w:rFonts w:cs="Calibri"/>
          <w:spacing w:val="4"/>
        </w:rPr>
        <w:t xml:space="preserve"> </w:t>
      </w:r>
      <w:r w:rsidRPr="0031675F">
        <w:rPr>
          <w:rFonts w:cs="Calibri"/>
          <w:spacing w:val="-1"/>
        </w:rPr>
        <w:t>truth’</w:t>
      </w:r>
      <w:r w:rsidRPr="0031675F">
        <w:rPr>
          <w:rFonts w:cs="Calibri"/>
          <w:spacing w:val="5"/>
        </w:rPr>
        <w:t xml:space="preserve"> </w:t>
      </w:r>
      <w:r w:rsidRPr="0031675F">
        <w:rPr>
          <w:rFonts w:cs="Calibri"/>
        </w:rPr>
        <w:t>water</w:t>
      </w:r>
      <w:r w:rsidRPr="0031675F">
        <w:rPr>
          <w:rFonts w:cs="Calibri"/>
          <w:spacing w:val="5"/>
        </w:rPr>
        <w:t xml:space="preserve"> </w:t>
      </w:r>
      <w:r w:rsidRPr="0031675F">
        <w:rPr>
          <w:rFonts w:cs="Calibri"/>
          <w:spacing w:val="-1"/>
        </w:rPr>
        <w:t>sample is</w:t>
      </w:r>
      <w:r w:rsidRPr="0031675F">
        <w:rPr>
          <w:rFonts w:cs="Calibri"/>
          <w:spacing w:val="5"/>
        </w:rPr>
        <w:t xml:space="preserve"> </w:t>
      </w:r>
      <w:r w:rsidRPr="0031675F">
        <w:rPr>
          <w:rFonts w:cs="Calibri"/>
          <w:spacing w:val="-1"/>
        </w:rPr>
        <w:t>collected.</w:t>
      </w:r>
      <w:r w:rsidRPr="0031675F">
        <w:rPr>
          <w:rFonts w:cs="Calibri"/>
          <w:spacing w:val="4"/>
        </w:rPr>
        <w:t xml:space="preserve"> </w:t>
      </w:r>
      <w:r w:rsidRPr="0031675F">
        <w:rPr>
          <w:rFonts w:cs="Calibri"/>
        </w:rPr>
        <w:t>The</w:t>
      </w:r>
      <w:r w:rsidRPr="0031675F">
        <w:rPr>
          <w:rFonts w:cs="Calibri"/>
          <w:spacing w:val="5"/>
        </w:rPr>
        <w:t xml:space="preserve"> </w:t>
      </w:r>
      <w:r w:rsidRPr="0031675F">
        <w:rPr>
          <w:rFonts w:cs="Calibri"/>
          <w:spacing w:val="-1"/>
        </w:rPr>
        <w:t>niskin</w:t>
      </w:r>
      <w:r w:rsidRPr="0031675F">
        <w:rPr>
          <w:rFonts w:cs="Calibri"/>
          <w:spacing w:val="4"/>
        </w:rPr>
        <w:t xml:space="preserve"> </w:t>
      </w:r>
      <w:r w:rsidRPr="0031675F">
        <w:rPr>
          <w:rFonts w:cs="Calibri"/>
        </w:rPr>
        <w:t>(‘D0’</w:t>
      </w:r>
      <w:r w:rsidRPr="0031675F">
        <w:rPr>
          <w:rFonts w:cs="Calibri"/>
          <w:spacing w:val="2"/>
        </w:rPr>
        <w:t xml:space="preserve"> </w:t>
      </w:r>
      <w:r w:rsidRPr="0031675F">
        <w:rPr>
          <w:rFonts w:cs="Calibri"/>
        </w:rPr>
        <w:t>or</w:t>
      </w:r>
      <w:r w:rsidRPr="0031675F">
        <w:rPr>
          <w:rFonts w:cs="Calibri"/>
          <w:spacing w:val="5"/>
        </w:rPr>
        <w:t xml:space="preserve"> </w:t>
      </w:r>
      <w:r w:rsidRPr="0031675F">
        <w:rPr>
          <w:rFonts w:cs="Calibri"/>
          <w:spacing w:val="-1"/>
        </w:rPr>
        <w:t>depth</w:t>
      </w:r>
      <w:r w:rsidRPr="0031675F">
        <w:rPr>
          <w:rFonts w:cs="Calibri"/>
          <w:spacing w:val="4"/>
        </w:rPr>
        <w:t xml:space="preserve"> </w:t>
      </w:r>
      <w:r w:rsidRPr="0031675F">
        <w:rPr>
          <w:rFonts w:cs="Calibri"/>
        </w:rPr>
        <w:t>zero)</w:t>
      </w:r>
      <w:r w:rsidRPr="0031675F">
        <w:rPr>
          <w:rFonts w:cs="Calibri"/>
          <w:spacing w:val="5"/>
        </w:rPr>
        <w:t xml:space="preserve"> </w:t>
      </w:r>
      <w:r w:rsidRPr="0031675F">
        <w:rPr>
          <w:rFonts w:cs="Calibri"/>
        </w:rPr>
        <w:t>is</w:t>
      </w:r>
      <w:r w:rsidRPr="0031675F">
        <w:rPr>
          <w:rFonts w:cs="Calibri"/>
          <w:spacing w:val="5"/>
        </w:rPr>
        <w:t xml:space="preserve"> </w:t>
      </w:r>
      <w:r w:rsidRPr="0031675F">
        <w:rPr>
          <w:rFonts w:cs="Calibri"/>
          <w:spacing w:val="-1"/>
        </w:rPr>
        <w:t>used</w:t>
      </w:r>
      <w:r w:rsidRPr="0031675F">
        <w:rPr>
          <w:rFonts w:cs="Calibri"/>
          <w:spacing w:val="5"/>
        </w:rPr>
        <w:t xml:space="preserve"> </w:t>
      </w:r>
      <w:r w:rsidRPr="0031675F">
        <w:rPr>
          <w:rFonts w:cs="Calibri"/>
        </w:rPr>
        <w:t>to</w:t>
      </w:r>
      <w:r w:rsidRPr="0031675F">
        <w:rPr>
          <w:rFonts w:cs="Calibri"/>
          <w:spacing w:val="6"/>
        </w:rPr>
        <w:t xml:space="preserve"> </w:t>
      </w:r>
      <w:r w:rsidRPr="0031675F">
        <w:rPr>
          <w:rFonts w:cs="Calibri"/>
          <w:spacing w:val="-1"/>
        </w:rPr>
        <w:t>sample</w:t>
      </w:r>
      <w:r w:rsidRPr="0031675F">
        <w:rPr>
          <w:rFonts w:cs="Calibri"/>
          <w:spacing w:val="67"/>
        </w:rPr>
        <w:t xml:space="preserve"> </w:t>
      </w:r>
      <w:r w:rsidRPr="0031675F">
        <w:t>the</w:t>
      </w:r>
      <w:r w:rsidRPr="0031675F">
        <w:rPr>
          <w:spacing w:val="24"/>
        </w:rPr>
        <w:t xml:space="preserve"> </w:t>
      </w:r>
      <w:r w:rsidRPr="0031675F">
        <w:t>water</w:t>
      </w:r>
      <w:r w:rsidRPr="0031675F">
        <w:rPr>
          <w:spacing w:val="24"/>
        </w:rPr>
        <w:t xml:space="preserve"> </w:t>
      </w:r>
      <w:r w:rsidRPr="0031675F">
        <w:rPr>
          <w:spacing w:val="-1"/>
        </w:rPr>
        <w:t>immediately</w:t>
      </w:r>
      <w:r w:rsidRPr="0031675F">
        <w:rPr>
          <w:spacing w:val="24"/>
        </w:rPr>
        <w:t xml:space="preserve"> </w:t>
      </w:r>
      <w:r w:rsidRPr="0031675F">
        <w:rPr>
          <w:spacing w:val="-1"/>
        </w:rPr>
        <w:t>adjacent</w:t>
      </w:r>
      <w:r w:rsidRPr="0031675F">
        <w:rPr>
          <w:spacing w:val="24"/>
        </w:rPr>
        <w:t xml:space="preserve"> </w:t>
      </w:r>
      <w:r w:rsidRPr="0031675F">
        <w:t>to</w:t>
      </w:r>
      <w:r w:rsidRPr="0031675F">
        <w:rPr>
          <w:spacing w:val="26"/>
        </w:rPr>
        <w:t xml:space="preserve"> </w:t>
      </w:r>
      <w:r w:rsidRPr="0031675F">
        <w:rPr>
          <w:spacing w:val="-1"/>
        </w:rPr>
        <w:t>the</w:t>
      </w:r>
      <w:r w:rsidRPr="0031675F">
        <w:rPr>
          <w:spacing w:val="25"/>
        </w:rPr>
        <w:t xml:space="preserve"> </w:t>
      </w:r>
      <w:r w:rsidRPr="0031675F">
        <w:rPr>
          <w:spacing w:val="-1"/>
        </w:rPr>
        <w:t>logger.</w:t>
      </w:r>
      <w:r w:rsidRPr="0031675F">
        <w:rPr>
          <w:spacing w:val="23"/>
        </w:rPr>
        <w:t xml:space="preserve"> </w:t>
      </w:r>
      <w:r w:rsidRPr="0031675F">
        <w:t>Both</w:t>
      </w:r>
      <w:r w:rsidRPr="0031675F">
        <w:rPr>
          <w:spacing w:val="21"/>
        </w:rPr>
        <w:t xml:space="preserve"> </w:t>
      </w:r>
      <w:r w:rsidRPr="0031675F">
        <w:rPr>
          <w:spacing w:val="-1"/>
        </w:rPr>
        <w:t>ends</w:t>
      </w:r>
      <w:r w:rsidRPr="0031675F">
        <w:rPr>
          <w:spacing w:val="24"/>
        </w:rPr>
        <w:t xml:space="preserve"> </w:t>
      </w:r>
      <w:r w:rsidRPr="0031675F">
        <w:t>of</w:t>
      </w:r>
      <w:r w:rsidRPr="0031675F">
        <w:rPr>
          <w:spacing w:val="28"/>
        </w:rPr>
        <w:t xml:space="preserve"> </w:t>
      </w:r>
      <w:r w:rsidRPr="0031675F">
        <w:t>the</w:t>
      </w:r>
      <w:r w:rsidRPr="0031675F">
        <w:rPr>
          <w:spacing w:val="24"/>
        </w:rPr>
        <w:t xml:space="preserve"> </w:t>
      </w:r>
      <w:r w:rsidRPr="0031675F">
        <w:rPr>
          <w:spacing w:val="-1"/>
        </w:rPr>
        <w:t>niskin</w:t>
      </w:r>
      <w:r w:rsidRPr="0031675F">
        <w:rPr>
          <w:spacing w:val="23"/>
        </w:rPr>
        <w:t xml:space="preserve"> </w:t>
      </w:r>
      <w:r w:rsidRPr="0031675F">
        <w:t>bottle</w:t>
      </w:r>
      <w:r w:rsidRPr="0031675F">
        <w:rPr>
          <w:spacing w:val="24"/>
        </w:rPr>
        <w:t xml:space="preserve"> </w:t>
      </w:r>
      <w:r w:rsidRPr="0031675F">
        <w:rPr>
          <w:spacing w:val="-1"/>
        </w:rPr>
        <w:t>are</w:t>
      </w:r>
      <w:r w:rsidRPr="0031675F">
        <w:rPr>
          <w:spacing w:val="24"/>
        </w:rPr>
        <w:t xml:space="preserve"> </w:t>
      </w:r>
      <w:r w:rsidRPr="0031675F">
        <w:t>opened,</w:t>
      </w:r>
      <w:r w:rsidRPr="0031675F">
        <w:rPr>
          <w:spacing w:val="23"/>
        </w:rPr>
        <w:t xml:space="preserve"> </w:t>
      </w:r>
      <w:r w:rsidRPr="0031675F">
        <w:rPr>
          <w:spacing w:val="-1"/>
        </w:rPr>
        <w:t>and</w:t>
      </w:r>
      <w:r w:rsidRPr="0031675F">
        <w:rPr>
          <w:spacing w:val="23"/>
        </w:rPr>
        <w:t xml:space="preserve"> </w:t>
      </w:r>
      <w:r w:rsidRPr="0031675F">
        <w:t>the</w:t>
      </w:r>
      <w:r w:rsidRPr="0031675F">
        <w:rPr>
          <w:spacing w:val="43"/>
        </w:rPr>
        <w:t xml:space="preserve"> </w:t>
      </w:r>
      <w:r w:rsidRPr="0031675F">
        <w:rPr>
          <w:spacing w:val="-1"/>
        </w:rPr>
        <w:t>diver</w:t>
      </w:r>
      <w:r w:rsidRPr="0031675F">
        <w:rPr>
          <w:spacing w:val="42"/>
        </w:rPr>
        <w:t xml:space="preserve"> </w:t>
      </w:r>
      <w:r w:rsidRPr="0031675F">
        <w:rPr>
          <w:spacing w:val="-1"/>
        </w:rPr>
        <w:t>swings</w:t>
      </w:r>
      <w:r w:rsidRPr="0031675F">
        <w:rPr>
          <w:spacing w:val="43"/>
        </w:rPr>
        <w:t xml:space="preserve"> </w:t>
      </w:r>
      <w:r w:rsidRPr="0031675F">
        <w:t>the</w:t>
      </w:r>
      <w:r w:rsidRPr="0031675F">
        <w:rPr>
          <w:spacing w:val="44"/>
        </w:rPr>
        <w:t xml:space="preserve"> </w:t>
      </w:r>
      <w:r w:rsidRPr="0031675F">
        <w:rPr>
          <w:spacing w:val="-1"/>
        </w:rPr>
        <w:t>niskin</w:t>
      </w:r>
      <w:r w:rsidRPr="0031675F">
        <w:rPr>
          <w:spacing w:val="41"/>
        </w:rPr>
        <w:t xml:space="preserve"> </w:t>
      </w:r>
      <w:r w:rsidRPr="0031675F">
        <w:rPr>
          <w:spacing w:val="-1"/>
        </w:rPr>
        <w:t>through</w:t>
      </w:r>
      <w:r w:rsidRPr="0031675F">
        <w:rPr>
          <w:spacing w:val="43"/>
        </w:rPr>
        <w:t xml:space="preserve"> </w:t>
      </w:r>
      <w:r w:rsidRPr="0031675F">
        <w:t>the</w:t>
      </w:r>
      <w:r w:rsidRPr="0031675F">
        <w:rPr>
          <w:spacing w:val="44"/>
        </w:rPr>
        <w:t xml:space="preserve"> </w:t>
      </w:r>
      <w:r w:rsidRPr="0031675F">
        <w:t>water</w:t>
      </w:r>
      <w:r w:rsidRPr="0031675F">
        <w:rPr>
          <w:spacing w:val="44"/>
        </w:rPr>
        <w:t xml:space="preserve"> </w:t>
      </w:r>
      <w:r w:rsidRPr="0031675F">
        <w:rPr>
          <w:spacing w:val="-1"/>
        </w:rPr>
        <w:t>to</w:t>
      </w:r>
      <w:r w:rsidRPr="0031675F">
        <w:rPr>
          <w:spacing w:val="44"/>
        </w:rPr>
        <w:t xml:space="preserve"> </w:t>
      </w:r>
      <w:r w:rsidRPr="0031675F">
        <w:rPr>
          <w:spacing w:val="-1"/>
        </w:rPr>
        <w:t>ensure</w:t>
      </w:r>
      <w:r w:rsidRPr="0031675F">
        <w:rPr>
          <w:spacing w:val="44"/>
        </w:rPr>
        <w:t xml:space="preserve"> </w:t>
      </w:r>
      <w:r w:rsidRPr="0031675F">
        <w:t>the</w:t>
      </w:r>
      <w:r w:rsidRPr="0031675F">
        <w:rPr>
          <w:spacing w:val="44"/>
        </w:rPr>
        <w:t xml:space="preserve"> </w:t>
      </w:r>
      <w:r w:rsidRPr="0031675F">
        <w:rPr>
          <w:spacing w:val="-1"/>
        </w:rPr>
        <w:t>niskin</w:t>
      </w:r>
      <w:r w:rsidRPr="0031675F">
        <w:rPr>
          <w:spacing w:val="41"/>
        </w:rPr>
        <w:t xml:space="preserve"> </w:t>
      </w:r>
      <w:r w:rsidRPr="0031675F">
        <w:t>water</w:t>
      </w:r>
      <w:r w:rsidRPr="0031675F">
        <w:rPr>
          <w:spacing w:val="44"/>
        </w:rPr>
        <w:t xml:space="preserve"> </w:t>
      </w:r>
      <w:r w:rsidRPr="0031675F">
        <w:t>is</w:t>
      </w:r>
      <w:r w:rsidRPr="0031675F">
        <w:rPr>
          <w:spacing w:val="43"/>
        </w:rPr>
        <w:t xml:space="preserve"> </w:t>
      </w:r>
      <w:r w:rsidRPr="0031675F">
        <w:rPr>
          <w:spacing w:val="-1"/>
        </w:rPr>
        <w:t>flushed,</w:t>
      </w:r>
      <w:r w:rsidRPr="0031675F">
        <w:rPr>
          <w:spacing w:val="44"/>
        </w:rPr>
        <w:t xml:space="preserve"> </w:t>
      </w:r>
      <w:r w:rsidRPr="0031675F">
        <w:rPr>
          <w:spacing w:val="-1"/>
        </w:rPr>
        <w:t>and</w:t>
      </w:r>
      <w:r w:rsidRPr="0031675F">
        <w:rPr>
          <w:spacing w:val="42"/>
        </w:rPr>
        <w:t xml:space="preserve"> </w:t>
      </w:r>
      <w:r w:rsidRPr="0031675F">
        <w:t>the</w:t>
      </w:r>
      <w:r w:rsidRPr="0031675F">
        <w:rPr>
          <w:spacing w:val="44"/>
        </w:rPr>
        <w:t xml:space="preserve"> </w:t>
      </w:r>
      <w:r w:rsidRPr="0031675F">
        <w:t>water</w:t>
      </w:r>
      <w:r w:rsidRPr="0031675F">
        <w:rPr>
          <w:spacing w:val="51"/>
        </w:rPr>
        <w:t xml:space="preserve"> </w:t>
      </w:r>
      <w:r w:rsidRPr="0031675F">
        <w:rPr>
          <w:spacing w:val="-1"/>
        </w:rPr>
        <w:t>representing</w:t>
      </w:r>
      <w:r w:rsidRPr="0031675F">
        <w:rPr>
          <w:spacing w:val="21"/>
        </w:rPr>
        <w:t xml:space="preserve"> </w:t>
      </w:r>
      <w:r w:rsidRPr="0031675F">
        <w:t>that</w:t>
      </w:r>
      <w:r w:rsidRPr="0031675F">
        <w:rPr>
          <w:spacing w:val="21"/>
        </w:rPr>
        <w:t xml:space="preserve"> </w:t>
      </w:r>
      <w:r w:rsidRPr="0031675F">
        <w:rPr>
          <w:spacing w:val="-1"/>
        </w:rPr>
        <w:t>adjacent</w:t>
      </w:r>
      <w:r w:rsidRPr="0031675F">
        <w:rPr>
          <w:spacing w:val="19"/>
        </w:rPr>
        <w:t xml:space="preserve"> </w:t>
      </w:r>
      <w:r w:rsidRPr="0031675F">
        <w:t>to</w:t>
      </w:r>
      <w:r w:rsidRPr="0031675F">
        <w:rPr>
          <w:spacing w:val="23"/>
        </w:rPr>
        <w:t xml:space="preserve"> </w:t>
      </w:r>
      <w:r w:rsidRPr="0031675F">
        <w:t>the</w:t>
      </w:r>
      <w:r w:rsidRPr="0031675F">
        <w:rPr>
          <w:spacing w:val="22"/>
        </w:rPr>
        <w:t xml:space="preserve"> </w:t>
      </w:r>
      <w:r w:rsidRPr="0031675F">
        <w:rPr>
          <w:spacing w:val="-1"/>
        </w:rPr>
        <w:t>logger</w:t>
      </w:r>
      <w:r w:rsidRPr="0031675F">
        <w:rPr>
          <w:spacing w:val="21"/>
        </w:rPr>
        <w:t xml:space="preserve"> </w:t>
      </w:r>
      <w:r w:rsidRPr="0031675F">
        <w:t>is</w:t>
      </w:r>
      <w:r w:rsidRPr="0031675F">
        <w:rPr>
          <w:spacing w:val="21"/>
        </w:rPr>
        <w:t xml:space="preserve"> </w:t>
      </w:r>
      <w:r w:rsidRPr="0031675F">
        <w:rPr>
          <w:spacing w:val="-1"/>
        </w:rPr>
        <w:t>contained</w:t>
      </w:r>
      <w:r w:rsidRPr="0031675F">
        <w:rPr>
          <w:spacing w:val="19"/>
        </w:rPr>
        <w:t xml:space="preserve"> </w:t>
      </w:r>
      <w:r w:rsidRPr="0031675F">
        <w:t>in</w:t>
      </w:r>
      <w:r w:rsidRPr="0031675F">
        <w:rPr>
          <w:spacing w:val="20"/>
        </w:rPr>
        <w:t xml:space="preserve"> </w:t>
      </w:r>
      <w:r w:rsidRPr="0031675F">
        <w:t>the</w:t>
      </w:r>
      <w:r w:rsidRPr="0031675F">
        <w:rPr>
          <w:spacing w:val="22"/>
        </w:rPr>
        <w:t xml:space="preserve"> </w:t>
      </w:r>
      <w:r w:rsidRPr="0031675F">
        <w:rPr>
          <w:spacing w:val="-1"/>
        </w:rPr>
        <w:t>niskin.</w:t>
      </w:r>
      <w:r w:rsidRPr="0031675F">
        <w:rPr>
          <w:spacing w:val="21"/>
        </w:rPr>
        <w:t xml:space="preserve"> </w:t>
      </w:r>
      <w:r w:rsidRPr="0031675F">
        <w:rPr>
          <w:spacing w:val="-1"/>
        </w:rPr>
        <w:t>This</w:t>
      </w:r>
      <w:r w:rsidRPr="0031675F">
        <w:rPr>
          <w:spacing w:val="21"/>
        </w:rPr>
        <w:t xml:space="preserve"> </w:t>
      </w:r>
      <w:r w:rsidRPr="0031675F">
        <w:rPr>
          <w:spacing w:val="-1"/>
        </w:rPr>
        <w:t>niskin</w:t>
      </w:r>
      <w:r w:rsidRPr="0031675F">
        <w:rPr>
          <w:spacing w:val="20"/>
        </w:rPr>
        <w:t xml:space="preserve"> </w:t>
      </w:r>
      <w:r w:rsidRPr="0031675F">
        <w:t>is</w:t>
      </w:r>
      <w:r w:rsidRPr="0031675F">
        <w:rPr>
          <w:spacing w:val="22"/>
        </w:rPr>
        <w:t xml:space="preserve"> </w:t>
      </w:r>
      <w:r w:rsidRPr="0031675F">
        <w:rPr>
          <w:spacing w:val="-1"/>
        </w:rPr>
        <w:t>closed</w:t>
      </w:r>
      <w:r w:rsidRPr="0031675F">
        <w:rPr>
          <w:spacing w:val="21"/>
        </w:rPr>
        <w:t xml:space="preserve"> </w:t>
      </w:r>
      <w:r w:rsidRPr="0031675F">
        <w:rPr>
          <w:spacing w:val="-1"/>
        </w:rPr>
        <w:t>and</w:t>
      </w:r>
      <w:r w:rsidRPr="0031675F">
        <w:rPr>
          <w:spacing w:val="21"/>
        </w:rPr>
        <w:t xml:space="preserve"> </w:t>
      </w:r>
      <w:r w:rsidRPr="0031675F">
        <w:rPr>
          <w:spacing w:val="-1"/>
        </w:rPr>
        <w:t>placed</w:t>
      </w:r>
      <w:r w:rsidRPr="0031675F">
        <w:rPr>
          <w:spacing w:val="87"/>
        </w:rPr>
        <w:t xml:space="preserve"> </w:t>
      </w:r>
      <w:r w:rsidRPr="0031675F">
        <w:rPr>
          <w:spacing w:val="-1"/>
        </w:rPr>
        <w:t>gently</w:t>
      </w:r>
      <w:r w:rsidRPr="0031675F">
        <w:t xml:space="preserve"> on</w:t>
      </w:r>
      <w:r w:rsidRPr="0031675F">
        <w:rPr>
          <w:spacing w:val="2"/>
        </w:rPr>
        <w:t xml:space="preserve"> </w:t>
      </w:r>
      <w:r w:rsidRPr="0031675F">
        <w:t>the</w:t>
      </w:r>
      <w:r w:rsidRPr="0031675F">
        <w:rPr>
          <w:spacing w:val="3"/>
        </w:rPr>
        <w:t xml:space="preserve"> </w:t>
      </w:r>
      <w:r w:rsidRPr="0031675F">
        <w:rPr>
          <w:spacing w:val="-1"/>
        </w:rPr>
        <w:t>substra</w:t>
      </w:r>
      <w:r w:rsidRPr="0031675F">
        <w:rPr>
          <w:rFonts w:cs="Calibri"/>
          <w:spacing w:val="-1"/>
        </w:rPr>
        <w:t>te until logger changeover complete</w:t>
      </w:r>
      <w:r w:rsidRPr="0031675F">
        <w:rPr>
          <w:spacing w:val="-1"/>
        </w:rPr>
        <w:t>. The depth of the water sample is checked on the SCUBA depth gauge.</w:t>
      </w:r>
    </w:p>
    <w:p w14:paraId="15BC1CF4" w14:textId="77777777" w:rsidR="0031675F" w:rsidRPr="0031675F" w:rsidRDefault="0031675F" w:rsidP="0031675F">
      <w:pPr>
        <w:spacing w:before="120" w:after="120"/>
        <w:ind w:right="113"/>
        <w:jc w:val="both"/>
      </w:pPr>
      <w:r w:rsidRPr="0031675F">
        <w:rPr>
          <w:spacing w:val="-1"/>
        </w:rPr>
        <w:t>The</w:t>
      </w:r>
      <w:r w:rsidRPr="0031675F">
        <w:rPr>
          <w:spacing w:val="40"/>
        </w:rPr>
        <w:t xml:space="preserve"> </w:t>
      </w:r>
      <w:r w:rsidRPr="0031675F">
        <w:rPr>
          <w:spacing w:val="-1"/>
        </w:rPr>
        <w:t>new</w:t>
      </w:r>
      <w:r w:rsidRPr="0031675F">
        <w:rPr>
          <w:spacing w:val="42"/>
        </w:rPr>
        <w:t xml:space="preserve"> </w:t>
      </w:r>
      <w:r w:rsidRPr="0031675F">
        <w:rPr>
          <w:spacing w:val="-1"/>
        </w:rPr>
        <w:t>logger</w:t>
      </w:r>
      <w:r w:rsidRPr="0031675F">
        <w:rPr>
          <w:spacing w:val="41"/>
        </w:rPr>
        <w:t xml:space="preserve"> </w:t>
      </w:r>
      <w:r w:rsidRPr="0031675F">
        <w:rPr>
          <w:spacing w:val="-1"/>
        </w:rPr>
        <w:t>to</w:t>
      </w:r>
      <w:r w:rsidRPr="0031675F">
        <w:rPr>
          <w:spacing w:val="41"/>
        </w:rPr>
        <w:t xml:space="preserve"> </w:t>
      </w:r>
      <w:r w:rsidRPr="0031675F">
        <w:rPr>
          <w:spacing w:val="-1"/>
        </w:rPr>
        <w:t>be</w:t>
      </w:r>
      <w:r w:rsidRPr="0031675F">
        <w:rPr>
          <w:spacing w:val="42"/>
        </w:rPr>
        <w:t xml:space="preserve"> </w:t>
      </w:r>
      <w:r w:rsidRPr="0031675F">
        <w:rPr>
          <w:spacing w:val="-1"/>
        </w:rPr>
        <w:t>deployed</w:t>
      </w:r>
      <w:r w:rsidRPr="0031675F">
        <w:rPr>
          <w:spacing w:val="41"/>
        </w:rPr>
        <w:t xml:space="preserve"> </w:t>
      </w:r>
      <w:r w:rsidRPr="0031675F">
        <w:t>is</w:t>
      </w:r>
      <w:r w:rsidRPr="0031675F">
        <w:rPr>
          <w:spacing w:val="41"/>
        </w:rPr>
        <w:t xml:space="preserve"> </w:t>
      </w:r>
      <w:r w:rsidRPr="0031675F">
        <w:rPr>
          <w:spacing w:val="-1"/>
        </w:rPr>
        <w:t>placed</w:t>
      </w:r>
      <w:r w:rsidRPr="0031675F">
        <w:rPr>
          <w:spacing w:val="39"/>
        </w:rPr>
        <w:t xml:space="preserve"> </w:t>
      </w:r>
      <w:r w:rsidRPr="0031675F">
        <w:rPr>
          <w:spacing w:val="-1"/>
        </w:rPr>
        <w:t>gently</w:t>
      </w:r>
      <w:r w:rsidRPr="0031675F">
        <w:rPr>
          <w:spacing w:val="39"/>
        </w:rPr>
        <w:t xml:space="preserve"> </w:t>
      </w:r>
      <w:r w:rsidRPr="0031675F">
        <w:rPr>
          <w:spacing w:val="-1"/>
        </w:rPr>
        <w:t>on</w:t>
      </w:r>
      <w:r w:rsidRPr="0031675F">
        <w:rPr>
          <w:spacing w:val="40"/>
        </w:rPr>
        <w:t xml:space="preserve"> </w:t>
      </w:r>
      <w:r w:rsidRPr="0031675F">
        <w:t>the</w:t>
      </w:r>
      <w:r w:rsidRPr="0031675F">
        <w:rPr>
          <w:spacing w:val="40"/>
        </w:rPr>
        <w:t xml:space="preserve"> </w:t>
      </w:r>
      <w:r w:rsidRPr="0031675F">
        <w:rPr>
          <w:spacing w:val="-1"/>
        </w:rPr>
        <w:t>substrate</w:t>
      </w:r>
      <w:r w:rsidRPr="0031675F">
        <w:rPr>
          <w:spacing w:val="42"/>
        </w:rPr>
        <w:t xml:space="preserve"> </w:t>
      </w:r>
      <w:r w:rsidRPr="0031675F">
        <w:t>with</w:t>
      </w:r>
      <w:r w:rsidRPr="0031675F">
        <w:rPr>
          <w:spacing w:val="41"/>
        </w:rPr>
        <w:t xml:space="preserve"> </w:t>
      </w:r>
      <w:r w:rsidRPr="0031675F">
        <w:t>the</w:t>
      </w:r>
      <w:r w:rsidRPr="0031675F">
        <w:rPr>
          <w:spacing w:val="39"/>
        </w:rPr>
        <w:t xml:space="preserve"> </w:t>
      </w:r>
      <w:r w:rsidRPr="0031675F">
        <w:t>bio-wiper</w:t>
      </w:r>
      <w:r w:rsidRPr="0031675F">
        <w:rPr>
          <w:spacing w:val="40"/>
        </w:rPr>
        <w:t xml:space="preserve"> </w:t>
      </w:r>
      <w:r w:rsidRPr="0031675F">
        <w:t>clear</w:t>
      </w:r>
      <w:r w:rsidRPr="0031675F">
        <w:rPr>
          <w:spacing w:val="41"/>
        </w:rPr>
        <w:t xml:space="preserve"> </w:t>
      </w:r>
      <w:r w:rsidRPr="0031675F">
        <w:rPr>
          <w:spacing w:val="-2"/>
        </w:rPr>
        <w:t>from</w:t>
      </w:r>
      <w:r w:rsidRPr="0031675F">
        <w:rPr>
          <w:spacing w:val="65"/>
        </w:rPr>
        <w:t xml:space="preserve"> </w:t>
      </w:r>
      <w:r w:rsidRPr="0031675F">
        <w:rPr>
          <w:spacing w:val="-1"/>
        </w:rPr>
        <w:t>obstruction.</w:t>
      </w:r>
      <w:r w:rsidRPr="0031675F">
        <w:rPr>
          <w:spacing w:val="12"/>
        </w:rPr>
        <w:t xml:space="preserve"> </w:t>
      </w:r>
      <w:r w:rsidRPr="0031675F">
        <w:rPr>
          <w:spacing w:val="-2"/>
        </w:rPr>
        <w:t>The</w:t>
      </w:r>
      <w:r w:rsidRPr="0031675F">
        <w:rPr>
          <w:spacing w:val="13"/>
        </w:rPr>
        <w:t xml:space="preserve"> </w:t>
      </w:r>
      <w:r w:rsidRPr="0031675F">
        <w:rPr>
          <w:spacing w:val="-1"/>
        </w:rPr>
        <w:t>diver</w:t>
      </w:r>
      <w:r w:rsidRPr="0031675F">
        <w:rPr>
          <w:spacing w:val="12"/>
        </w:rPr>
        <w:t xml:space="preserve"> </w:t>
      </w:r>
      <w:r w:rsidRPr="0031675F">
        <w:rPr>
          <w:spacing w:val="-1"/>
        </w:rPr>
        <w:t>uses</w:t>
      </w:r>
      <w:r w:rsidRPr="0031675F">
        <w:rPr>
          <w:spacing w:val="10"/>
        </w:rPr>
        <w:t xml:space="preserve"> </w:t>
      </w:r>
      <w:r w:rsidRPr="0031675F">
        <w:t>the</w:t>
      </w:r>
      <w:r w:rsidRPr="0031675F">
        <w:rPr>
          <w:spacing w:val="10"/>
        </w:rPr>
        <w:t xml:space="preserve"> </w:t>
      </w:r>
      <w:r w:rsidRPr="0031675F">
        <w:rPr>
          <w:spacing w:val="-1"/>
        </w:rPr>
        <w:t>spanner</w:t>
      </w:r>
      <w:r w:rsidRPr="0031675F">
        <w:rPr>
          <w:spacing w:val="12"/>
        </w:rPr>
        <w:t xml:space="preserve"> </w:t>
      </w:r>
      <w:r w:rsidRPr="0031675F">
        <w:rPr>
          <w:spacing w:val="-1"/>
        </w:rPr>
        <w:t>to</w:t>
      </w:r>
      <w:r w:rsidRPr="0031675F">
        <w:rPr>
          <w:spacing w:val="11"/>
        </w:rPr>
        <w:t xml:space="preserve"> </w:t>
      </w:r>
      <w:r w:rsidRPr="0031675F">
        <w:rPr>
          <w:spacing w:val="-1"/>
        </w:rPr>
        <w:t>detach</w:t>
      </w:r>
      <w:r w:rsidRPr="0031675F">
        <w:rPr>
          <w:spacing w:val="9"/>
        </w:rPr>
        <w:t xml:space="preserve"> </w:t>
      </w:r>
      <w:r w:rsidRPr="0031675F">
        <w:t>the</w:t>
      </w:r>
      <w:r w:rsidRPr="0031675F">
        <w:rPr>
          <w:spacing w:val="10"/>
        </w:rPr>
        <w:t xml:space="preserve"> </w:t>
      </w:r>
      <w:r w:rsidRPr="0031675F">
        <w:rPr>
          <w:spacing w:val="-1"/>
        </w:rPr>
        <w:t>clamp</w:t>
      </w:r>
      <w:r w:rsidRPr="0031675F">
        <w:rPr>
          <w:spacing w:val="9"/>
        </w:rPr>
        <w:t xml:space="preserve"> </w:t>
      </w:r>
      <w:r w:rsidRPr="0031675F">
        <w:t>of</w:t>
      </w:r>
      <w:r w:rsidRPr="0031675F">
        <w:rPr>
          <w:spacing w:val="12"/>
        </w:rPr>
        <w:t xml:space="preserve"> </w:t>
      </w:r>
      <w:r w:rsidRPr="0031675F">
        <w:rPr>
          <w:spacing w:val="-1"/>
        </w:rPr>
        <w:t>the</w:t>
      </w:r>
      <w:r w:rsidRPr="0031675F">
        <w:rPr>
          <w:spacing w:val="13"/>
        </w:rPr>
        <w:t xml:space="preserve"> </w:t>
      </w:r>
      <w:r w:rsidRPr="0031675F">
        <w:rPr>
          <w:spacing w:val="-1"/>
        </w:rPr>
        <w:t>logger</w:t>
      </w:r>
      <w:r w:rsidRPr="0031675F">
        <w:rPr>
          <w:spacing w:val="10"/>
        </w:rPr>
        <w:t xml:space="preserve"> </w:t>
      </w:r>
      <w:r w:rsidRPr="0031675F">
        <w:t>to</w:t>
      </w:r>
      <w:r w:rsidRPr="0031675F">
        <w:rPr>
          <w:spacing w:val="11"/>
        </w:rPr>
        <w:t xml:space="preserve"> </w:t>
      </w:r>
      <w:r w:rsidRPr="0031675F">
        <w:rPr>
          <w:spacing w:val="-1"/>
        </w:rPr>
        <w:t>be</w:t>
      </w:r>
      <w:r w:rsidRPr="0031675F">
        <w:rPr>
          <w:spacing w:val="10"/>
        </w:rPr>
        <w:t xml:space="preserve"> </w:t>
      </w:r>
      <w:r w:rsidRPr="0031675F">
        <w:rPr>
          <w:spacing w:val="-1"/>
        </w:rPr>
        <w:t>recovered</w:t>
      </w:r>
      <w:r w:rsidRPr="0031675F">
        <w:rPr>
          <w:spacing w:val="11"/>
        </w:rPr>
        <w:t xml:space="preserve"> </w:t>
      </w:r>
      <w:r w:rsidRPr="0031675F">
        <w:rPr>
          <w:spacing w:val="-2"/>
        </w:rPr>
        <w:t>from</w:t>
      </w:r>
      <w:r w:rsidRPr="0031675F">
        <w:rPr>
          <w:spacing w:val="13"/>
        </w:rPr>
        <w:t xml:space="preserve"> </w:t>
      </w:r>
      <w:r w:rsidRPr="0031675F">
        <w:rPr>
          <w:spacing w:val="-1"/>
        </w:rPr>
        <w:t>the</w:t>
      </w:r>
      <w:r w:rsidRPr="0031675F">
        <w:rPr>
          <w:spacing w:val="53"/>
        </w:rPr>
        <w:t xml:space="preserve"> </w:t>
      </w:r>
      <w:r w:rsidRPr="0031675F">
        <w:rPr>
          <w:spacing w:val="-1"/>
        </w:rPr>
        <w:t>star</w:t>
      </w:r>
      <w:r w:rsidRPr="0031675F">
        <w:rPr>
          <w:spacing w:val="24"/>
        </w:rPr>
        <w:t xml:space="preserve"> </w:t>
      </w:r>
      <w:r w:rsidRPr="0031675F">
        <w:rPr>
          <w:spacing w:val="-1"/>
        </w:rPr>
        <w:t>picket.</w:t>
      </w:r>
      <w:r w:rsidRPr="0031675F">
        <w:rPr>
          <w:spacing w:val="24"/>
        </w:rPr>
        <w:t xml:space="preserve"> </w:t>
      </w:r>
      <w:r w:rsidRPr="0031675F">
        <w:t>It</w:t>
      </w:r>
      <w:r w:rsidRPr="0031675F">
        <w:rPr>
          <w:spacing w:val="22"/>
        </w:rPr>
        <w:t xml:space="preserve"> </w:t>
      </w:r>
      <w:r w:rsidRPr="0031675F">
        <w:t>may</w:t>
      </w:r>
      <w:r w:rsidRPr="0031675F">
        <w:rPr>
          <w:spacing w:val="22"/>
        </w:rPr>
        <w:t xml:space="preserve"> </w:t>
      </w:r>
      <w:r w:rsidRPr="0031675F">
        <w:rPr>
          <w:spacing w:val="-1"/>
        </w:rPr>
        <w:t>be</w:t>
      </w:r>
      <w:r w:rsidRPr="0031675F">
        <w:rPr>
          <w:spacing w:val="24"/>
        </w:rPr>
        <w:t xml:space="preserve"> </w:t>
      </w:r>
      <w:r w:rsidRPr="0031675F">
        <w:rPr>
          <w:spacing w:val="-1"/>
        </w:rPr>
        <w:t>necessary</w:t>
      </w:r>
      <w:r w:rsidRPr="0031675F">
        <w:rPr>
          <w:spacing w:val="22"/>
        </w:rPr>
        <w:t xml:space="preserve"> </w:t>
      </w:r>
      <w:r w:rsidRPr="0031675F">
        <w:t>to</w:t>
      </w:r>
      <w:r w:rsidRPr="0031675F">
        <w:rPr>
          <w:spacing w:val="23"/>
        </w:rPr>
        <w:t xml:space="preserve"> </w:t>
      </w:r>
      <w:r w:rsidRPr="0031675F">
        <w:rPr>
          <w:spacing w:val="-1"/>
        </w:rPr>
        <w:t>remove</w:t>
      </w:r>
      <w:r w:rsidRPr="0031675F">
        <w:rPr>
          <w:spacing w:val="22"/>
        </w:rPr>
        <w:t xml:space="preserve"> </w:t>
      </w:r>
      <w:r w:rsidRPr="0031675F">
        <w:rPr>
          <w:spacing w:val="-1"/>
        </w:rPr>
        <w:t>fouling</w:t>
      </w:r>
      <w:r w:rsidRPr="0031675F">
        <w:rPr>
          <w:spacing w:val="23"/>
        </w:rPr>
        <w:t xml:space="preserve"> </w:t>
      </w:r>
      <w:r w:rsidRPr="0031675F">
        <w:rPr>
          <w:spacing w:val="-1"/>
        </w:rPr>
        <w:t>such</w:t>
      </w:r>
      <w:r w:rsidRPr="0031675F">
        <w:rPr>
          <w:spacing w:val="23"/>
        </w:rPr>
        <w:t xml:space="preserve"> </w:t>
      </w:r>
      <w:r w:rsidRPr="0031675F">
        <w:t>as</w:t>
      </w:r>
      <w:r w:rsidRPr="0031675F">
        <w:rPr>
          <w:spacing w:val="24"/>
        </w:rPr>
        <w:t xml:space="preserve"> </w:t>
      </w:r>
      <w:r w:rsidRPr="0031675F">
        <w:rPr>
          <w:spacing w:val="-1"/>
        </w:rPr>
        <w:t>barnacles,</w:t>
      </w:r>
      <w:r w:rsidRPr="0031675F">
        <w:rPr>
          <w:spacing w:val="25"/>
        </w:rPr>
        <w:t xml:space="preserve"> </w:t>
      </w:r>
      <w:r w:rsidRPr="0031675F">
        <w:rPr>
          <w:spacing w:val="-1"/>
        </w:rPr>
        <w:t>hydroids</w:t>
      </w:r>
      <w:r w:rsidRPr="0031675F">
        <w:rPr>
          <w:spacing w:val="22"/>
        </w:rPr>
        <w:t xml:space="preserve"> </w:t>
      </w:r>
      <w:r w:rsidRPr="0031675F">
        <w:rPr>
          <w:spacing w:val="-1"/>
        </w:rPr>
        <w:t>and</w:t>
      </w:r>
      <w:r w:rsidRPr="0031675F">
        <w:rPr>
          <w:spacing w:val="23"/>
        </w:rPr>
        <w:t xml:space="preserve"> </w:t>
      </w:r>
      <w:r w:rsidRPr="0031675F">
        <w:rPr>
          <w:spacing w:val="-1"/>
        </w:rPr>
        <w:t>algae</w:t>
      </w:r>
      <w:r w:rsidRPr="0031675F">
        <w:rPr>
          <w:spacing w:val="24"/>
        </w:rPr>
        <w:t xml:space="preserve"> </w:t>
      </w:r>
      <w:r w:rsidRPr="0031675F">
        <w:rPr>
          <w:spacing w:val="-1"/>
        </w:rPr>
        <w:t>from</w:t>
      </w:r>
      <w:r w:rsidRPr="0031675F">
        <w:rPr>
          <w:spacing w:val="25"/>
        </w:rPr>
        <w:t xml:space="preserve"> </w:t>
      </w:r>
      <w:r w:rsidRPr="0031675F">
        <w:rPr>
          <w:spacing w:val="-1"/>
        </w:rPr>
        <w:t>the</w:t>
      </w:r>
      <w:r w:rsidRPr="0031675F">
        <w:rPr>
          <w:spacing w:val="59"/>
        </w:rPr>
        <w:t xml:space="preserve"> </w:t>
      </w:r>
      <w:r w:rsidRPr="0031675F">
        <w:rPr>
          <w:spacing w:val="-1"/>
        </w:rPr>
        <w:t>star</w:t>
      </w:r>
      <w:r w:rsidRPr="0031675F">
        <w:rPr>
          <w:spacing w:val="43"/>
        </w:rPr>
        <w:t xml:space="preserve"> </w:t>
      </w:r>
      <w:r w:rsidRPr="0031675F">
        <w:rPr>
          <w:spacing w:val="-1"/>
        </w:rPr>
        <w:t>picket.</w:t>
      </w:r>
      <w:r w:rsidRPr="0031675F">
        <w:rPr>
          <w:spacing w:val="43"/>
        </w:rPr>
        <w:t xml:space="preserve"> </w:t>
      </w:r>
      <w:r w:rsidRPr="0031675F">
        <w:rPr>
          <w:spacing w:val="-1"/>
        </w:rPr>
        <w:t>The</w:t>
      </w:r>
      <w:r w:rsidRPr="0031675F">
        <w:rPr>
          <w:spacing w:val="44"/>
        </w:rPr>
        <w:t xml:space="preserve"> </w:t>
      </w:r>
      <w:r w:rsidRPr="0031675F">
        <w:rPr>
          <w:spacing w:val="-2"/>
        </w:rPr>
        <w:t>face</w:t>
      </w:r>
      <w:r w:rsidRPr="0031675F">
        <w:rPr>
          <w:spacing w:val="43"/>
        </w:rPr>
        <w:t xml:space="preserve"> </w:t>
      </w:r>
      <w:r w:rsidRPr="0031675F">
        <w:t>of</w:t>
      </w:r>
      <w:r w:rsidRPr="0031675F">
        <w:rPr>
          <w:spacing w:val="41"/>
        </w:rPr>
        <w:t xml:space="preserve"> </w:t>
      </w:r>
      <w:r w:rsidRPr="0031675F">
        <w:rPr>
          <w:spacing w:val="-1"/>
        </w:rPr>
        <w:t>the</w:t>
      </w:r>
      <w:r w:rsidRPr="0031675F">
        <w:rPr>
          <w:spacing w:val="44"/>
        </w:rPr>
        <w:t xml:space="preserve"> </w:t>
      </w:r>
      <w:r w:rsidRPr="0031675F">
        <w:rPr>
          <w:spacing w:val="-1"/>
        </w:rPr>
        <w:t>logger</w:t>
      </w:r>
      <w:r w:rsidRPr="0031675F">
        <w:rPr>
          <w:spacing w:val="44"/>
        </w:rPr>
        <w:t xml:space="preserve"> </w:t>
      </w:r>
      <w:r w:rsidRPr="0031675F">
        <w:t>is</w:t>
      </w:r>
      <w:r w:rsidRPr="0031675F">
        <w:rPr>
          <w:spacing w:val="42"/>
        </w:rPr>
        <w:t xml:space="preserve"> </w:t>
      </w:r>
      <w:r w:rsidRPr="0031675F">
        <w:rPr>
          <w:spacing w:val="-1"/>
        </w:rPr>
        <w:t>inspected</w:t>
      </w:r>
      <w:r w:rsidRPr="0031675F">
        <w:rPr>
          <w:spacing w:val="43"/>
        </w:rPr>
        <w:t xml:space="preserve"> </w:t>
      </w:r>
      <w:r w:rsidRPr="0031675F">
        <w:rPr>
          <w:spacing w:val="-1"/>
        </w:rPr>
        <w:t>to</w:t>
      </w:r>
      <w:r w:rsidRPr="0031675F">
        <w:rPr>
          <w:spacing w:val="42"/>
        </w:rPr>
        <w:t xml:space="preserve"> </w:t>
      </w:r>
      <w:r w:rsidRPr="0031675F">
        <w:t>assess</w:t>
      </w:r>
      <w:r w:rsidRPr="0031675F">
        <w:rPr>
          <w:spacing w:val="41"/>
        </w:rPr>
        <w:t xml:space="preserve"> </w:t>
      </w:r>
      <w:r w:rsidRPr="0031675F">
        <w:rPr>
          <w:spacing w:val="-1"/>
        </w:rPr>
        <w:t>whether</w:t>
      </w:r>
      <w:r w:rsidRPr="0031675F">
        <w:rPr>
          <w:spacing w:val="44"/>
        </w:rPr>
        <w:t xml:space="preserve"> </w:t>
      </w:r>
      <w:r w:rsidRPr="0031675F">
        <w:rPr>
          <w:spacing w:val="-2"/>
        </w:rPr>
        <w:t>it</w:t>
      </w:r>
      <w:r w:rsidRPr="0031675F">
        <w:rPr>
          <w:spacing w:val="44"/>
        </w:rPr>
        <w:t xml:space="preserve"> </w:t>
      </w:r>
      <w:r w:rsidRPr="0031675F">
        <w:t>is</w:t>
      </w:r>
      <w:r w:rsidRPr="0031675F">
        <w:rPr>
          <w:spacing w:val="43"/>
        </w:rPr>
        <w:t xml:space="preserve"> </w:t>
      </w:r>
      <w:r w:rsidRPr="0031675F">
        <w:rPr>
          <w:spacing w:val="-1"/>
        </w:rPr>
        <w:t>still</w:t>
      </w:r>
      <w:r w:rsidRPr="0031675F">
        <w:rPr>
          <w:spacing w:val="42"/>
        </w:rPr>
        <w:t xml:space="preserve"> </w:t>
      </w:r>
      <w:r w:rsidRPr="0031675F">
        <w:rPr>
          <w:spacing w:val="-1"/>
        </w:rPr>
        <w:t>functioning,</w:t>
      </w:r>
      <w:r w:rsidRPr="0031675F">
        <w:rPr>
          <w:spacing w:val="44"/>
        </w:rPr>
        <w:t xml:space="preserve"> </w:t>
      </w:r>
      <w:r w:rsidRPr="0031675F">
        <w:rPr>
          <w:spacing w:val="-1"/>
        </w:rPr>
        <w:t>and</w:t>
      </w:r>
      <w:r w:rsidRPr="0031675F">
        <w:rPr>
          <w:spacing w:val="43"/>
        </w:rPr>
        <w:t xml:space="preserve"> </w:t>
      </w:r>
      <w:r w:rsidRPr="0031675F">
        <w:t>the</w:t>
      </w:r>
      <w:r w:rsidRPr="0031675F">
        <w:rPr>
          <w:spacing w:val="61"/>
        </w:rPr>
        <w:t xml:space="preserve"> </w:t>
      </w:r>
      <w:r w:rsidRPr="0031675F">
        <w:rPr>
          <w:spacing w:val="-1"/>
        </w:rPr>
        <w:t>recovered</w:t>
      </w:r>
      <w:r w:rsidRPr="0031675F">
        <w:t xml:space="preserve"> </w:t>
      </w:r>
      <w:r w:rsidRPr="0031675F">
        <w:rPr>
          <w:spacing w:val="-1"/>
        </w:rPr>
        <w:t>logger</w:t>
      </w:r>
      <w:r w:rsidRPr="0031675F">
        <w:t xml:space="preserve"> </w:t>
      </w:r>
      <w:r w:rsidRPr="0031675F">
        <w:rPr>
          <w:spacing w:val="-1"/>
        </w:rPr>
        <w:t>placed gently</w:t>
      </w:r>
      <w:r w:rsidRPr="0031675F">
        <w:rPr>
          <w:spacing w:val="1"/>
        </w:rPr>
        <w:t xml:space="preserve"> </w:t>
      </w:r>
      <w:r w:rsidRPr="0031675F">
        <w:t>on</w:t>
      </w:r>
      <w:r w:rsidRPr="0031675F">
        <w:rPr>
          <w:spacing w:val="-1"/>
        </w:rPr>
        <w:t xml:space="preserve"> the</w:t>
      </w:r>
      <w:r w:rsidRPr="0031675F">
        <w:t xml:space="preserve"> </w:t>
      </w:r>
      <w:r w:rsidRPr="0031675F">
        <w:rPr>
          <w:spacing w:val="-2"/>
        </w:rPr>
        <w:t>substrate</w:t>
      </w:r>
      <w:r w:rsidRPr="0031675F">
        <w:t xml:space="preserve"> </w:t>
      </w:r>
      <w:r w:rsidRPr="0031675F">
        <w:rPr>
          <w:spacing w:val="-1"/>
        </w:rPr>
        <w:t>whilst</w:t>
      </w:r>
      <w:r w:rsidRPr="0031675F">
        <w:rPr>
          <w:spacing w:val="-2"/>
        </w:rPr>
        <w:t xml:space="preserve"> </w:t>
      </w:r>
      <w:r w:rsidRPr="0031675F">
        <w:rPr>
          <w:spacing w:val="-1"/>
        </w:rPr>
        <w:t>the</w:t>
      </w:r>
      <w:r w:rsidRPr="0031675F">
        <w:t xml:space="preserve"> </w:t>
      </w:r>
      <w:r w:rsidRPr="0031675F">
        <w:rPr>
          <w:spacing w:val="-1"/>
        </w:rPr>
        <w:t>new</w:t>
      </w:r>
      <w:r w:rsidRPr="0031675F">
        <w:t xml:space="preserve"> </w:t>
      </w:r>
      <w:r w:rsidRPr="0031675F">
        <w:rPr>
          <w:spacing w:val="-1"/>
        </w:rPr>
        <w:t>logger</w:t>
      </w:r>
      <w:r w:rsidRPr="0031675F">
        <w:t xml:space="preserve"> </w:t>
      </w:r>
      <w:r w:rsidRPr="0031675F">
        <w:rPr>
          <w:spacing w:val="-1"/>
        </w:rPr>
        <w:t xml:space="preserve">and </w:t>
      </w:r>
      <w:r w:rsidRPr="0031675F">
        <w:t>clamp</w:t>
      </w:r>
      <w:r w:rsidRPr="0031675F">
        <w:rPr>
          <w:spacing w:val="-3"/>
        </w:rPr>
        <w:t xml:space="preserve"> </w:t>
      </w:r>
      <w:r w:rsidRPr="0031675F">
        <w:rPr>
          <w:spacing w:val="-1"/>
        </w:rPr>
        <w:t>attached</w:t>
      </w:r>
      <w:r w:rsidRPr="0031675F">
        <w:t xml:space="preserve"> </w:t>
      </w:r>
      <w:r w:rsidRPr="0031675F">
        <w:rPr>
          <w:spacing w:val="-1"/>
        </w:rPr>
        <w:t>to</w:t>
      </w:r>
      <w:r w:rsidRPr="0031675F">
        <w:rPr>
          <w:spacing w:val="1"/>
        </w:rPr>
        <w:t xml:space="preserve"> </w:t>
      </w:r>
      <w:r w:rsidRPr="0031675F">
        <w:rPr>
          <w:spacing w:val="-1"/>
        </w:rPr>
        <w:t>the</w:t>
      </w:r>
      <w:r w:rsidRPr="0031675F">
        <w:t xml:space="preserve"> </w:t>
      </w:r>
      <w:r w:rsidRPr="0031675F">
        <w:rPr>
          <w:spacing w:val="-1"/>
        </w:rPr>
        <w:t>star</w:t>
      </w:r>
      <w:r w:rsidRPr="0031675F">
        <w:rPr>
          <w:spacing w:val="102"/>
        </w:rPr>
        <w:t xml:space="preserve"> </w:t>
      </w:r>
      <w:r w:rsidRPr="0031675F">
        <w:rPr>
          <w:spacing w:val="-1"/>
        </w:rPr>
        <w:t>picket.</w:t>
      </w:r>
    </w:p>
    <w:p w14:paraId="6CAF8924" w14:textId="77777777" w:rsidR="0031675F" w:rsidRPr="0031675F" w:rsidRDefault="0031675F" w:rsidP="0031675F">
      <w:pPr>
        <w:spacing w:before="120" w:after="120" w:line="239" w:lineRule="auto"/>
        <w:ind w:right="110"/>
        <w:jc w:val="both"/>
        <w:rPr>
          <w:spacing w:val="-1"/>
        </w:rPr>
      </w:pPr>
      <w:r w:rsidRPr="0031675F">
        <w:rPr>
          <w:spacing w:val="-1"/>
        </w:rPr>
        <w:t>The</w:t>
      </w:r>
      <w:r w:rsidRPr="0031675F">
        <w:rPr>
          <w:spacing w:val="10"/>
        </w:rPr>
        <w:t xml:space="preserve"> </w:t>
      </w:r>
      <w:r w:rsidRPr="0031675F">
        <w:rPr>
          <w:spacing w:val="-1"/>
        </w:rPr>
        <w:t>loggers</w:t>
      </w:r>
      <w:r w:rsidRPr="0031675F">
        <w:rPr>
          <w:spacing w:val="7"/>
        </w:rPr>
        <w:t xml:space="preserve"> </w:t>
      </w:r>
      <w:r w:rsidRPr="0031675F">
        <w:t>are</w:t>
      </w:r>
      <w:r w:rsidRPr="0031675F">
        <w:rPr>
          <w:spacing w:val="7"/>
        </w:rPr>
        <w:t xml:space="preserve"> </w:t>
      </w:r>
      <w:r w:rsidRPr="0031675F">
        <w:rPr>
          <w:spacing w:val="-1"/>
        </w:rPr>
        <w:t>mounted</w:t>
      </w:r>
      <w:r w:rsidRPr="0031675F">
        <w:rPr>
          <w:spacing w:val="7"/>
        </w:rPr>
        <w:t xml:space="preserve"> </w:t>
      </w:r>
      <w:r w:rsidRPr="0031675F">
        <w:t>with</w:t>
      </w:r>
      <w:r w:rsidRPr="0031675F">
        <w:rPr>
          <w:spacing w:val="9"/>
        </w:rPr>
        <w:t xml:space="preserve"> </w:t>
      </w:r>
      <w:r w:rsidRPr="0031675F">
        <w:t>the</w:t>
      </w:r>
      <w:r w:rsidRPr="0031675F">
        <w:rPr>
          <w:spacing w:val="7"/>
        </w:rPr>
        <w:t xml:space="preserve"> </w:t>
      </w:r>
      <w:r w:rsidRPr="0031675F">
        <w:t>optical</w:t>
      </w:r>
      <w:r w:rsidRPr="0031675F">
        <w:rPr>
          <w:spacing w:val="7"/>
        </w:rPr>
        <w:t xml:space="preserve"> </w:t>
      </w:r>
      <w:r w:rsidRPr="0031675F">
        <w:rPr>
          <w:spacing w:val="-1"/>
        </w:rPr>
        <w:t>window</w:t>
      </w:r>
      <w:r w:rsidRPr="0031675F">
        <w:rPr>
          <w:spacing w:val="10"/>
        </w:rPr>
        <w:t xml:space="preserve"> </w:t>
      </w:r>
      <w:r w:rsidRPr="0031675F">
        <w:rPr>
          <w:spacing w:val="-2"/>
        </w:rPr>
        <w:t>facing</w:t>
      </w:r>
      <w:r w:rsidRPr="0031675F">
        <w:rPr>
          <w:spacing w:val="9"/>
        </w:rPr>
        <w:t xml:space="preserve"> </w:t>
      </w:r>
      <w:r w:rsidRPr="0031675F">
        <w:rPr>
          <w:spacing w:val="-1"/>
        </w:rPr>
        <w:t>downward,</w:t>
      </w:r>
      <w:r w:rsidRPr="0031675F">
        <w:rPr>
          <w:spacing w:val="14"/>
        </w:rPr>
        <w:t xml:space="preserve"> </w:t>
      </w:r>
      <w:r w:rsidRPr="0031675F">
        <w:rPr>
          <w:spacing w:val="-2"/>
        </w:rPr>
        <w:t>so</w:t>
      </w:r>
      <w:r w:rsidRPr="0031675F">
        <w:rPr>
          <w:spacing w:val="11"/>
        </w:rPr>
        <w:t xml:space="preserve"> </w:t>
      </w:r>
      <w:r w:rsidRPr="0031675F">
        <w:rPr>
          <w:spacing w:val="-1"/>
        </w:rPr>
        <w:t>that</w:t>
      </w:r>
      <w:r w:rsidRPr="0031675F">
        <w:rPr>
          <w:spacing w:val="10"/>
        </w:rPr>
        <w:t xml:space="preserve"> </w:t>
      </w:r>
      <w:r w:rsidRPr="0031675F">
        <w:rPr>
          <w:spacing w:val="-1"/>
        </w:rPr>
        <w:t>the</w:t>
      </w:r>
      <w:r w:rsidRPr="0031675F">
        <w:rPr>
          <w:spacing w:val="10"/>
        </w:rPr>
        <w:t xml:space="preserve"> </w:t>
      </w:r>
      <w:r w:rsidRPr="0031675F">
        <w:rPr>
          <w:spacing w:val="-1"/>
        </w:rPr>
        <w:t>infrared</w:t>
      </w:r>
      <w:r w:rsidRPr="0031675F">
        <w:rPr>
          <w:spacing w:val="9"/>
        </w:rPr>
        <w:t xml:space="preserve"> </w:t>
      </w:r>
      <w:r w:rsidRPr="0031675F">
        <w:rPr>
          <w:spacing w:val="-1"/>
        </w:rPr>
        <w:t>LED</w:t>
      </w:r>
      <w:r w:rsidRPr="0031675F">
        <w:rPr>
          <w:spacing w:val="10"/>
        </w:rPr>
        <w:t xml:space="preserve"> </w:t>
      </w:r>
      <w:r w:rsidRPr="0031675F">
        <w:rPr>
          <w:spacing w:val="-1"/>
        </w:rPr>
        <w:t>source</w:t>
      </w:r>
      <w:r w:rsidRPr="0031675F">
        <w:rPr>
          <w:spacing w:val="69"/>
        </w:rPr>
        <w:t xml:space="preserve"> </w:t>
      </w:r>
      <w:r w:rsidRPr="0031675F">
        <w:rPr>
          <w:rFonts w:cs="Calibri"/>
        </w:rPr>
        <w:t>will</w:t>
      </w:r>
      <w:r w:rsidRPr="0031675F">
        <w:rPr>
          <w:rFonts w:cs="Calibri"/>
          <w:spacing w:val="27"/>
        </w:rPr>
        <w:t xml:space="preserve"> </w:t>
      </w:r>
      <w:r w:rsidRPr="0031675F">
        <w:rPr>
          <w:rFonts w:cs="Calibri"/>
          <w:spacing w:val="-1"/>
        </w:rPr>
        <w:t>not</w:t>
      </w:r>
      <w:r w:rsidRPr="0031675F">
        <w:rPr>
          <w:rFonts w:cs="Calibri"/>
          <w:spacing w:val="30"/>
        </w:rPr>
        <w:t xml:space="preserve"> </w:t>
      </w:r>
      <w:r w:rsidRPr="0031675F">
        <w:rPr>
          <w:rFonts w:cs="Calibri"/>
          <w:spacing w:val="-1"/>
        </w:rPr>
        <w:t>‘</w:t>
      </w:r>
      <w:r w:rsidRPr="0031675F">
        <w:rPr>
          <w:spacing w:val="-1"/>
        </w:rPr>
        <w:t>s</w:t>
      </w:r>
      <w:r w:rsidRPr="0031675F">
        <w:rPr>
          <w:rFonts w:cs="Calibri"/>
          <w:spacing w:val="-1"/>
        </w:rPr>
        <w:t>ee’</w:t>
      </w:r>
      <w:r w:rsidRPr="0031675F">
        <w:rPr>
          <w:rFonts w:cs="Calibri"/>
          <w:spacing w:val="27"/>
        </w:rPr>
        <w:t xml:space="preserve"> </w:t>
      </w:r>
      <w:r w:rsidRPr="0031675F">
        <w:rPr>
          <w:rFonts w:cs="Calibri"/>
          <w:spacing w:val="-1"/>
        </w:rPr>
        <w:t>any</w:t>
      </w:r>
      <w:r w:rsidRPr="0031675F">
        <w:rPr>
          <w:rFonts w:cs="Calibri"/>
          <w:spacing w:val="27"/>
        </w:rPr>
        <w:t xml:space="preserve"> </w:t>
      </w:r>
      <w:r w:rsidRPr="0031675F">
        <w:rPr>
          <w:rFonts w:cs="Calibri"/>
          <w:spacing w:val="-1"/>
        </w:rPr>
        <w:t>part</w:t>
      </w:r>
      <w:r w:rsidRPr="0031675F">
        <w:rPr>
          <w:rFonts w:cs="Calibri"/>
          <w:spacing w:val="27"/>
        </w:rPr>
        <w:t xml:space="preserve"> </w:t>
      </w:r>
      <w:r w:rsidRPr="0031675F">
        <w:rPr>
          <w:rFonts w:cs="Calibri"/>
        </w:rPr>
        <w:t>of</w:t>
      </w:r>
      <w:r w:rsidRPr="0031675F">
        <w:rPr>
          <w:rFonts w:cs="Calibri"/>
          <w:spacing w:val="26"/>
        </w:rPr>
        <w:t xml:space="preserve"> </w:t>
      </w:r>
      <w:r w:rsidRPr="0031675F">
        <w:rPr>
          <w:rFonts w:cs="Calibri"/>
          <w:spacing w:val="-1"/>
        </w:rPr>
        <w:t>the</w:t>
      </w:r>
      <w:r w:rsidRPr="0031675F">
        <w:rPr>
          <w:rFonts w:cs="Calibri"/>
          <w:spacing w:val="31"/>
        </w:rPr>
        <w:t xml:space="preserve"> </w:t>
      </w:r>
      <w:r w:rsidRPr="0031675F">
        <w:rPr>
          <w:spacing w:val="-1"/>
        </w:rPr>
        <w:t>deployment</w:t>
      </w:r>
      <w:r w:rsidRPr="0031675F">
        <w:rPr>
          <w:spacing w:val="26"/>
        </w:rPr>
        <w:t xml:space="preserve"> </w:t>
      </w:r>
      <w:r w:rsidRPr="0031675F">
        <w:rPr>
          <w:spacing w:val="-1"/>
        </w:rPr>
        <w:t>hardware.</w:t>
      </w:r>
      <w:r w:rsidRPr="0031675F">
        <w:rPr>
          <w:spacing w:val="27"/>
        </w:rPr>
        <w:t xml:space="preserve"> </w:t>
      </w:r>
      <w:r w:rsidRPr="0031675F">
        <w:t>A</w:t>
      </w:r>
      <w:r w:rsidRPr="0031675F">
        <w:rPr>
          <w:spacing w:val="29"/>
        </w:rPr>
        <w:t xml:space="preserve"> </w:t>
      </w:r>
      <w:r w:rsidRPr="0031675F">
        <w:rPr>
          <w:spacing w:val="-1"/>
        </w:rPr>
        <w:t>final</w:t>
      </w:r>
      <w:r w:rsidRPr="0031675F">
        <w:rPr>
          <w:spacing w:val="28"/>
        </w:rPr>
        <w:t xml:space="preserve"> </w:t>
      </w:r>
      <w:r w:rsidRPr="0031675F">
        <w:rPr>
          <w:spacing w:val="-1"/>
        </w:rPr>
        <w:t>function</w:t>
      </w:r>
      <w:r w:rsidRPr="0031675F">
        <w:rPr>
          <w:spacing w:val="26"/>
        </w:rPr>
        <w:t xml:space="preserve"> </w:t>
      </w:r>
      <w:r w:rsidRPr="0031675F">
        <w:t>check</w:t>
      </w:r>
      <w:r w:rsidRPr="0031675F">
        <w:rPr>
          <w:spacing w:val="25"/>
        </w:rPr>
        <w:t xml:space="preserve"> </w:t>
      </w:r>
      <w:r w:rsidRPr="0031675F">
        <w:t>of</w:t>
      </w:r>
      <w:r w:rsidRPr="0031675F">
        <w:rPr>
          <w:spacing w:val="26"/>
        </w:rPr>
        <w:t xml:space="preserve"> </w:t>
      </w:r>
      <w:r w:rsidRPr="0031675F">
        <w:t>the</w:t>
      </w:r>
      <w:r w:rsidRPr="0031675F">
        <w:rPr>
          <w:spacing w:val="28"/>
        </w:rPr>
        <w:t xml:space="preserve"> </w:t>
      </w:r>
      <w:r w:rsidRPr="0031675F">
        <w:rPr>
          <w:spacing w:val="-1"/>
        </w:rPr>
        <w:t>newly</w:t>
      </w:r>
      <w:r w:rsidRPr="0031675F">
        <w:rPr>
          <w:spacing w:val="28"/>
        </w:rPr>
        <w:t xml:space="preserve"> </w:t>
      </w:r>
      <w:r w:rsidRPr="0031675F">
        <w:rPr>
          <w:spacing w:val="-1"/>
        </w:rPr>
        <w:t>deployed</w:t>
      </w:r>
      <w:r w:rsidRPr="0031675F">
        <w:rPr>
          <w:spacing w:val="59"/>
        </w:rPr>
        <w:t xml:space="preserve"> </w:t>
      </w:r>
      <w:r w:rsidRPr="0031675F">
        <w:rPr>
          <w:spacing w:val="-1"/>
        </w:rPr>
        <w:t>logger</w:t>
      </w:r>
      <w:r w:rsidRPr="0031675F">
        <w:rPr>
          <w:spacing w:val="31"/>
        </w:rPr>
        <w:t xml:space="preserve"> </w:t>
      </w:r>
      <w:r w:rsidRPr="0031675F">
        <w:t>is</w:t>
      </w:r>
      <w:r w:rsidRPr="0031675F">
        <w:rPr>
          <w:spacing w:val="31"/>
        </w:rPr>
        <w:t xml:space="preserve"> </w:t>
      </w:r>
      <w:r w:rsidRPr="0031675F">
        <w:rPr>
          <w:spacing w:val="-1"/>
        </w:rPr>
        <w:t>done</w:t>
      </w:r>
      <w:r w:rsidRPr="0031675F">
        <w:rPr>
          <w:spacing w:val="32"/>
        </w:rPr>
        <w:t xml:space="preserve"> </w:t>
      </w:r>
      <w:r w:rsidRPr="0031675F">
        <w:rPr>
          <w:spacing w:val="-1"/>
        </w:rPr>
        <w:t>by</w:t>
      </w:r>
      <w:r w:rsidRPr="0031675F">
        <w:rPr>
          <w:spacing w:val="29"/>
        </w:rPr>
        <w:t xml:space="preserve"> </w:t>
      </w:r>
      <w:r w:rsidRPr="0031675F">
        <w:rPr>
          <w:spacing w:val="-1"/>
        </w:rPr>
        <w:t>checking</w:t>
      </w:r>
      <w:r w:rsidRPr="0031675F">
        <w:rPr>
          <w:spacing w:val="31"/>
        </w:rPr>
        <w:t xml:space="preserve"> </w:t>
      </w:r>
      <w:r w:rsidRPr="0031675F">
        <w:t>that</w:t>
      </w:r>
      <w:r w:rsidRPr="0031675F">
        <w:rPr>
          <w:spacing w:val="31"/>
        </w:rPr>
        <w:t xml:space="preserve"> </w:t>
      </w:r>
      <w:r w:rsidRPr="0031675F">
        <w:t>the</w:t>
      </w:r>
      <w:r w:rsidRPr="0031675F">
        <w:rPr>
          <w:spacing w:val="32"/>
        </w:rPr>
        <w:t xml:space="preserve"> </w:t>
      </w:r>
      <w:r w:rsidRPr="0031675F">
        <w:rPr>
          <w:spacing w:val="-1"/>
        </w:rPr>
        <w:t>bio-wiper</w:t>
      </w:r>
      <w:r w:rsidRPr="0031675F">
        <w:rPr>
          <w:spacing w:val="28"/>
        </w:rPr>
        <w:t xml:space="preserve"> </w:t>
      </w:r>
      <w:r w:rsidRPr="0031675F">
        <w:rPr>
          <w:spacing w:val="-1"/>
        </w:rPr>
        <w:t>turns</w:t>
      </w:r>
      <w:r w:rsidRPr="0031675F">
        <w:rPr>
          <w:spacing w:val="29"/>
        </w:rPr>
        <w:t xml:space="preserve"> </w:t>
      </w:r>
      <w:r w:rsidRPr="0031675F">
        <w:rPr>
          <w:spacing w:val="-1"/>
        </w:rPr>
        <w:t>and</w:t>
      </w:r>
      <w:r w:rsidRPr="0031675F">
        <w:rPr>
          <w:spacing w:val="31"/>
        </w:rPr>
        <w:t xml:space="preserve"> </w:t>
      </w:r>
      <w:r w:rsidRPr="0031675F">
        <w:t>the</w:t>
      </w:r>
      <w:r w:rsidRPr="0031675F">
        <w:rPr>
          <w:spacing w:val="31"/>
        </w:rPr>
        <w:t xml:space="preserve"> </w:t>
      </w:r>
      <w:r w:rsidRPr="0031675F">
        <w:rPr>
          <w:spacing w:val="-1"/>
        </w:rPr>
        <w:t>logger</w:t>
      </w:r>
      <w:r w:rsidRPr="0031675F">
        <w:rPr>
          <w:spacing w:val="29"/>
        </w:rPr>
        <w:t xml:space="preserve"> </w:t>
      </w:r>
      <w:r w:rsidRPr="0031675F">
        <w:rPr>
          <w:spacing w:val="-1"/>
        </w:rPr>
        <w:t>samples</w:t>
      </w:r>
      <w:r w:rsidRPr="0031675F">
        <w:rPr>
          <w:spacing w:val="34"/>
        </w:rPr>
        <w:t xml:space="preserve"> </w:t>
      </w:r>
      <w:r w:rsidRPr="0031675F">
        <w:rPr>
          <w:spacing w:val="-1"/>
        </w:rPr>
        <w:t>underwater</w:t>
      </w:r>
      <w:r w:rsidRPr="0031675F">
        <w:rPr>
          <w:spacing w:val="29"/>
        </w:rPr>
        <w:t xml:space="preserve"> </w:t>
      </w:r>
      <w:r w:rsidRPr="0031675F">
        <w:t>after</w:t>
      </w:r>
      <w:r w:rsidRPr="0031675F">
        <w:rPr>
          <w:spacing w:val="29"/>
        </w:rPr>
        <w:t xml:space="preserve"> </w:t>
      </w:r>
      <w:r w:rsidRPr="0031675F">
        <w:t>the</w:t>
      </w:r>
      <w:r w:rsidRPr="0031675F">
        <w:rPr>
          <w:spacing w:val="63"/>
        </w:rPr>
        <w:t xml:space="preserve"> </w:t>
      </w:r>
      <w:r w:rsidRPr="0031675F">
        <w:rPr>
          <w:spacing w:val="-1"/>
        </w:rPr>
        <w:t>appropriate</w:t>
      </w:r>
      <w:r w:rsidRPr="0031675F">
        <w:rPr>
          <w:spacing w:val="-2"/>
        </w:rPr>
        <w:t xml:space="preserve"> </w:t>
      </w:r>
      <w:r w:rsidRPr="0031675F">
        <w:t>10</w:t>
      </w:r>
      <w:r w:rsidRPr="0031675F">
        <w:rPr>
          <w:spacing w:val="-2"/>
        </w:rPr>
        <w:t xml:space="preserve"> </w:t>
      </w:r>
      <w:r w:rsidRPr="0031675F">
        <w:rPr>
          <w:spacing w:val="-1"/>
        </w:rPr>
        <w:t>minute</w:t>
      </w:r>
      <w:r w:rsidRPr="0031675F">
        <w:t xml:space="preserve"> </w:t>
      </w:r>
      <w:r w:rsidRPr="0031675F">
        <w:rPr>
          <w:spacing w:val="-2"/>
        </w:rPr>
        <w:t>time</w:t>
      </w:r>
      <w:r w:rsidRPr="0031675F">
        <w:t xml:space="preserve"> </w:t>
      </w:r>
      <w:r w:rsidRPr="0031675F">
        <w:rPr>
          <w:spacing w:val="-1"/>
        </w:rPr>
        <w:t>interval. See</w:t>
      </w:r>
      <w:r w:rsidRPr="0031675F">
        <w:rPr>
          <w:spacing w:val="3"/>
        </w:rPr>
        <w:t xml:space="preserve"> </w:t>
      </w:r>
      <w:r w:rsidRPr="0031675F">
        <w:rPr>
          <w:spacing w:val="-1"/>
        </w:rPr>
        <w:t xml:space="preserve">photo </w:t>
      </w:r>
      <w:r w:rsidRPr="0031675F">
        <w:t xml:space="preserve">of </w:t>
      </w:r>
      <w:r w:rsidRPr="0031675F">
        <w:rPr>
          <w:spacing w:val="-1"/>
        </w:rPr>
        <w:t>deployed</w:t>
      </w:r>
      <w:r w:rsidRPr="0031675F">
        <w:t xml:space="preserve"> </w:t>
      </w:r>
      <w:r w:rsidRPr="0031675F">
        <w:rPr>
          <w:spacing w:val="-1"/>
        </w:rPr>
        <w:t>logger</w:t>
      </w:r>
      <w:r w:rsidRPr="0031675F">
        <w:t xml:space="preserve"> </w:t>
      </w:r>
      <w:r w:rsidRPr="0031675F">
        <w:rPr>
          <w:spacing w:val="-1"/>
        </w:rPr>
        <w:t>below.</w:t>
      </w:r>
    </w:p>
    <w:p w14:paraId="252D1561" w14:textId="77777777" w:rsidR="0031675F" w:rsidRPr="0031675F" w:rsidRDefault="0031675F" w:rsidP="0031675F">
      <w:pPr>
        <w:spacing w:before="120" w:after="120" w:line="239" w:lineRule="auto"/>
        <w:ind w:right="110"/>
        <w:jc w:val="both"/>
      </w:pPr>
      <w:r w:rsidRPr="0031675F">
        <w:rPr>
          <w:rFonts w:cs="Calibri"/>
          <w:noProof/>
          <w:sz w:val="20"/>
          <w:szCs w:val="20"/>
          <w:lang w:eastAsia="en-AU"/>
        </w:rPr>
        <w:drawing>
          <wp:inline distT="0" distB="0" distL="0" distR="0" wp14:anchorId="7470980D" wp14:editId="3B63202F">
            <wp:extent cx="4865077" cy="3644417"/>
            <wp:effectExtent l="0" t="0" r="0" b="0"/>
            <wp:docPr id="9480" name="image51.jpeg" descr="Photo of logger retrieval by a diver." title="Field deployment of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1.jpeg"/>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4867784" cy="3646445"/>
                    </a:xfrm>
                    <a:prstGeom prst="rect">
                      <a:avLst/>
                    </a:prstGeom>
                    <a:noFill/>
                    <a:ln>
                      <a:noFill/>
                    </a:ln>
                  </pic:spPr>
                </pic:pic>
              </a:graphicData>
            </a:graphic>
          </wp:inline>
        </w:drawing>
      </w:r>
    </w:p>
    <w:p w14:paraId="7A43E66E" w14:textId="77777777" w:rsidR="0031675F" w:rsidRPr="0031675F" w:rsidRDefault="0031675F" w:rsidP="0031675F">
      <w:pPr>
        <w:spacing w:before="56" w:after="120" w:line="239" w:lineRule="auto"/>
        <w:ind w:right="112"/>
        <w:jc w:val="both"/>
        <w:rPr>
          <w:spacing w:val="9"/>
        </w:rPr>
      </w:pPr>
      <w:r w:rsidRPr="0031675F">
        <w:rPr>
          <w:spacing w:val="-1"/>
        </w:rPr>
        <w:t>The</w:t>
      </w:r>
      <w:r w:rsidRPr="0031675F">
        <w:rPr>
          <w:spacing w:val="29"/>
        </w:rPr>
        <w:t xml:space="preserve"> </w:t>
      </w:r>
      <w:r w:rsidRPr="0031675F">
        <w:rPr>
          <w:spacing w:val="-1"/>
        </w:rPr>
        <w:t>divers</w:t>
      </w:r>
      <w:r w:rsidRPr="0031675F">
        <w:rPr>
          <w:spacing w:val="27"/>
        </w:rPr>
        <w:t xml:space="preserve"> </w:t>
      </w:r>
      <w:r w:rsidRPr="0031675F">
        <w:t>return</w:t>
      </w:r>
      <w:r w:rsidRPr="0031675F">
        <w:rPr>
          <w:spacing w:val="25"/>
        </w:rPr>
        <w:t xml:space="preserve"> </w:t>
      </w:r>
      <w:r w:rsidRPr="0031675F">
        <w:t>to</w:t>
      </w:r>
      <w:r w:rsidRPr="0031675F">
        <w:rPr>
          <w:spacing w:val="27"/>
        </w:rPr>
        <w:t xml:space="preserve"> </w:t>
      </w:r>
      <w:r w:rsidRPr="0031675F">
        <w:t>the</w:t>
      </w:r>
      <w:r w:rsidRPr="0031675F">
        <w:rPr>
          <w:spacing w:val="24"/>
        </w:rPr>
        <w:t xml:space="preserve"> </w:t>
      </w:r>
      <w:r w:rsidRPr="0031675F">
        <w:t>work</w:t>
      </w:r>
      <w:r w:rsidRPr="0031675F">
        <w:rPr>
          <w:spacing w:val="27"/>
        </w:rPr>
        <w:t xml:space="preserve"> </w:t>
      </w:r>
      <w:r w:rsidRPr="0031675F">
        <w:rPr>
          <w:spacing w:val="-1"/>
        </w:rPr>
        <w:t>boat</w:t>
      </w:r>
      <w:r w:rsidRPr="0031675F">
        <w:rPr>
          <w:spacing w:val="27"/>
        </w:rPr>
        <w:t xml:space="preserve"> </w:t>
      </w:r>
      <w:r w:rsidRPr="0031675F">
        <w:t>with</w:t>
      </w:r>
      <w:r w:rsidRPr="0031675F">
        <w:rPr>
          <w:spacing w:val="26"/>
        </w:rPr>
        <w:t xml:space="preserve"> </w:t>
      </w:r>
      <w:r w:rsidRPr="0031675F">
        <w:t>the</w:t>
      </w:r>
      <w:r w:rsidRPr="0031675F">
        <w:rPr>
          <w:spacing w:val="28"/>
        </w:rPr>
        <w:t xml:space="preserve"> </w:t>
      </w:r>
      <w:r w:rsidRPr="0031675F">
        <w:rPr>
          <w:spacing w:val="-1"/>
        </w:rPr>
        <w:t>recovered</w:t>
      </w:r>
      <w:r w:rsidRPr="0031675F">
        <w:rPr>
          <w:spacing w:val="29"/>
        </w:rPr>
        <w:t xml:space="preserve"> </w:t>
      </w:r>
      <w:r w:rsidRPr="0031675F">
        <w:rPr>
          <w:spacing w:val="-1"/>
        </w:rPr>
        <w:t>logger,</w:t>
      </w:r>
      <w:r w:rsidRPr="0031675F">
        <w:rPr>
          <w:spacing w:val="27"/>
        </w:rPr>
        <w:t xml:space="preserve"> </w:t>
      </w:r>
      <w:r w:rsidRPr="0031675F">
        <w:rPr>
          <w:spacing w:val="-1"/>
        </w:rPr>
        <w:t>and</w:t>
      </w:r>
      <w:r w:rsidRPr="0031675F">
        <w:rPr>
          <w:spacing w:val="27"/>
        </w:rPr>
        <w:t xml:space="preserve"> </w:t>
      </w:r>
      <w:r w:rsidRPr="0031675F">
        <w:rPr>
          <w:spacing w:val="-1"/>
        </w:rPr>
        <w:t>niskin</w:t>
      </w:r>
      <w:r w:rsidRPr="0031675F">
        <w:rPr>
          <w:spacing w:val="28"/>
        </w:rPr>
        <w:t xml:space="preserve"> </w:t>
      </w:r>
      <w:r w:rsidRPr="0031675F">
        <w:rPr>
          <w:spacing w:val="-1"/>
        </w:rPr>
        <w:t>bottle.</w:t>
      </w:r>
      <w:r w:rsidRPr="0031675F">
        <w:rPr>
          <w:spacing w:val="26"/>
        </w:rPr>
        <w:t xml:space="preserve"> </w:t>
      </w:r>
      <w:r w:rsidRPr="0031675F">
        <w:rPr>
          <w:spacing w:val="-1"/>
        </w:rPr>
        <w:t>The</w:t>
      </w:r>
      <w:r w:rsidRPr="0031675F">
        <w:rPr>
          <w:spacing w:val="30"/>
        </w:rPr>
        <w:t xml:space="preserve"> </w:t>
      </w:r>
      <w:r w:rsidRPr="0031675F">
        <w:rPr>
          <w:spacing w:val="-1"/>
        </w:rPr>
        <w:t>boatperson</w:t>
      </w:r>
      <w:r w:rsidRPr="0031675F">
        <w:rPr>
          <w:spacing w:val="55"/>
        </w:rPr>
        <w:t xml:space="preserve"> </w:t>
      </w:r>
      <w:r w:rsidRPr="0031675F">
        <w:rPr>
          <w:spacing w:val="-1"/>
        </w:rPr>
        <w:t>carefully</w:t>
      </w:r>
      <w:r w:rsidRPr="0031675F">
        <w:rPr>
          <w:spacing w:val="20"/>
        </w:rPr>
        <w:t xml:space="preserve"> </w:t>
      </w:r>
      <w:r w:rsidRPr="0031675F">
        <w:rPr>
          <w:spacing w:val="-1"/>
        </w:rPr>
        <w:t>collects</w:t>
      </w:r>
      <w:r w:rsidRPr="0031675F">
        <w:rPr>
          <w:spacing w:val="20"/>
        </w:rPr>
        <w:t xml:space="preserve"> </w:t>
      </w:r>
      <w:r w:rsidRPr="0031675F">
        <w:rPr>
          <w:spacing w:val="-1"/>
        </w:rPr>
        <w:t>these</w:t>
      </w:r>
      <w:r w:rsidRPr="0031675F">
        <w:rPr>
          <w:spacing w:val="20"/>
        </w:rPr>
        <w:t xml:space="preserve"> </w:t>
      </w:r>
      <w:r w:rsidRPr="0031675F">
        <w:rPr>
          <w:spacing w:val="-2"/>
        </w:rPr>
        <w:t>from</w:t>
      </w:r>
      <w:r w:rsidRPr="0031675F">
        <w:rPr>
          <w:spacing w:val="20"/>
        </w:rPr>
        <w:t xml:space="preserve"> </w:t>
      </w:r>
      <w:r w:rsidRPr="0031675F">
        <w:t>the</w:t>
      </w:r>
      <w:r w:rsidRPr="0031675F">
        <w:rPr>
          <w:spacing w:val="19"/>
        </w:rPr>
        <w:t xml:space="preserve"> </w:t>
      </w:r>
      <w:r w:rsidRPr="0031675F">
        <w:rPr>
          <w:spacing w:val="-1"/>
        </w:rPr>
        <w:t>divers</w:t>
      </w:r>
      <w:r w:rsidRPr="0031675F">
        <w:rPr>
          <w:spacing w:val="19"/>
        </w:rPr>
        <w:t xml:space="preserve"> </w:t>
      </w:r>
      <w:r w:rsidRPr="0031675F">
        <w:t>at</w:t>
      </w:r>
      <w:r w:rsidRPr="0031675F">
        <w:rPr>
          <w:spacing w:val="17"/>
        </w:rPr>
        <w:t xml:space="preserve"> </w:t>
      </w:r>
      <w:r w:rsidRPr="0031675F">
        <w:t>the</w:t>
      </w:r>
      <w:r w:rsidRPr="0031675F">
        <w:rPr>
          <w:spacing w:val="19"/>
        </w:rPr>
        <w:t xml:space="preserve"> </w:t>
      </w:r>
      <w:r w:rsidRPr="0031675F">
        <w:rPr>
          <w:spacing w:val="-1"/>
        </w:rPr>
        <w:t>surface.</w:t>
      </w:r>
      <w:r w:rsidRPr="0031675F">
        <w:rPr>
          <w:spacing w:val="19"/>
        </w:rPr>
        <w:t xml:space="preserve"> </w:t>
      </w:r>
      <w:r w:rsidRPr="0031675F">
        <w:rPr>
          <w:spacing w:val="-1"/>
        </w:rPr>
        <w:t>The</w:t>
      </w:r>
      <w:r w:rsidRPr="0031675F">
        <w:rPr>
          <w:spacing w:val="20"/>
        </w:rPr>
        <w:t xml:space="preserve"> </w:t>
      </w:r>
      <w:r w:rsidRPr="0031675F">
        <w:rPr>
          <w:spacing w:val="-1"/>
        </w:rPr>
        <w:t>field</w:t>
      </w:r>
      <w:r w:rsidRPr="0031675F">
        <w:rPr>
          <w:spacing w:val="18"/>
        </w:rPr>
        <w:t xml:space="preserve"> </w:t>
      </w:r>
      <w:r w:rsidRPr="0031675F">
        <w:rPr>
          <w:spacing w:val="-1"/>
        </w:rPr>
        <w:t>deployment</w:t>
      </w:r>
      <w:r w:rsidRPr="0031675F">
        <w:rPr>
          <w:spacing w:val="19"/>
        </w:rPr>
        <w:t xml:space="preserve"> </w:t>
      </w:r>
      <w:r w:rsidRPr="0031675F">
        <w:rPr>
          <w:spacing w:val="-1"/>
        </w:rPr>
        <w:t>black</w:t>
      </w:r>
      <w:r w:rsidRPr="0031675F">
        <w:rPr>
          <w:spacing w:val="20"/>
        </w:rPr>
        <w:t xml:space="preserve"> </w:t>
      </w:r>
      <w:r w:rsidRPr="0031675F">
        <w:t>cap</w:t>
      </w:r>
      <w:r w:rsidRPr="0031675F">
        <w:rPr>
          <w:spacing w:val="18"/>
        </w:rPr>
        <w:t xml:space="preserve"> </w:t>
      </w:r>
      <w:r w:rsidRPr="0031675F">
        <w:t>pre-</w:t>
      </w:r>
      <w:r w:rsidRPr="0031675F">
        <w:rPr>
          <w:spacing w:val="-1"/>
        </w:rPr>
        <w:t>filled</w:t>
      </w:r>
      <w:r w:rsidRPr="0031675F">
        <w:rPr>
          <w:spacing w:val="18"/>
        </w:rPr>
        <w:t xml:space="preserve"> </w:t>
      </w:r>
      <w:r w:rsidRPr="0031675F">
        <w:rPr>
          <w:spacing w:val="-1"/>
        </w:rPr>
        <w:t>with</w:t>
      </w:r>
      <w:r w:rsidRPr="0031675F">
        <w:rPr>
          <w:spacing w:val="55"/>
        </w:rPr>
        <w:t xml:space="preserve"> </w:t>
      </w:r>
      <w:r w:rsidRPr="0031675F">
        <w:rPr>
          <w:spacing w:val="-1"/>
        </w:rPr>
        <w:t>seawater</w:t>
      </w:r>
      <w:r w:rsidRPr="0031675F">
        <w:rPr>
          <w:spacing w:val="7"/>
        </w:rPr>
        <w:t xml:space="preserve"> </w:t>
      </w:r>
      <w:r w:rsidRPr="0031675F">
        <w:rPr>
          <w:spacing w:val="-1"/>
        </w:rPr>
        <w:t>and</w:t>
      </w:r>
      <w:r w:rsidRPr="0031675F">
        <w:rPr>
          <w:spacing w:val="4"/>
        </w:rPr>
        <w:t xml:space="preserve"> </w:t>
      </w:r>
      <w:r w:rsidRPr="0031675F">
        <w:t>the</w:t>
      </w:r>
      <w:r w:rsidRPr="0031675F">
        <w:rPr>
          <w:spacing w:val="7"/>
        </w:rPr>
        <w:t xml:space="preserve"> </w:t>
      </w:r>
      <w:r w:rsidRPr="0031675F">
        <w:rPr>
          <w:spacing w:val="-1"/>
        </w:rPr>
        <w:t>logger</w:t>
      </w:r>
      <w:r w:rsidRPr="0031675F">
        <w:rPr>
          <w:spacing w:val="7"/>
        </w:rPr>
        <w:t xml:space="preserve"> </w:t>
      </w:r>
      <w:r w:rsidRPr="0031675F">
        <w:rPr>
          <w:spacing w:val="-1"/>
        </w:rPr>
        <w:t>placed</w:t>
      </w:r>
      <w:r w:rsidRPr="0031675F">
        <w:rPr>
          <w:spacing w:val="7"/>
        </w:rPr>
        <w:t xml:space="preserve"> </w:t>
      </w:r>
      <w:r w:rsidRPr="0031675F">
        <w:rPr>
          <w:spacing w:val="-1"/>
        </w:rPr>
        <w:t>upright</w:t>
      </w:r>
      <w:r w:rsidRPr="0031675F">
        <w:rPr>
          <w:spacing w:val="8"/>
        </w:rPr>
        <w:t xml:space="preserve"> </w:t>
      </w:r>
      <w:r w:rsidRPr="0031675F">
        <w:rPr>
          <w:spacing w:val="-1"/>
        </w:rPr>
        <w:t>with</w:t>
      </w:r>
      <w:r w:rsidRPr="0031675F">
        <w:rPr>
          <w:spacing w:val="7"/>
        </w:rPr>
        <w:t xml:space="preserve"> </w:t>
      </w:r>
      <w:r w:rsidRPr="0031675F">
        <w:t>the</w:t>
      </w:r>
      <w:r w:rsidRPr="0031675F">
        <w:rPr>
          <w:spacing w:val="7"/>
        </w:rPr>
        <w:t xml:space="preserve"> </w:t>
      </w:r>
      <w:r w:rsidRPr="0031675F">
        <w:rPr>
          <w:spacing w:val="-2"/>
        </w:rPr>
        <w:t>logger</w:t>
      </w:r>
      <w:r w:rsidRPr="0031675F">
        <w:rPr>
          <w:spacing w:val="7"/>
        </w:rPr>
        <w:t xml:space="preserve"> </w:t>
      </w:r>
      <w:r w:rsidRPr="0031675F">
        <w:rPr>
          <w:spacing w:val="-1"/>
        </w:rPr>
        <w:t>face</w:t>
      </w:r>
      <w:r w:rsidRPr="0031675F">
        <w:rPr>
          <w:spacing w:val="5"/>
        </w:rPr>
        <w:t xml:space="preserve"> </w:t>
      </w:r>
      <w:r w:rsidRPr="0031675F">
        <w:rPr>
          <w:spacing w:val="-1"/>
        </w:rPr>
        <w:t>immersed</w:t>
      </w:r>
      <w:r w:rsidRPr="0031675F">
        <w:rPr>
          <w:spacing w:val="6"/>
        </w:rPr>
        <w:t xml:space="preserve"> </w:t>
      </w:r>
      <w:r w:rsidRPr="0031675F">
        <w:t>in</w:t>
      </w:r>
      <w:r w:rsidRPr="0031675F">
        <w:rPr>
          <w:spacing w:val="4"/>
        </w:rPr>
        <w:t xml:space="preserve"> </w:t>
      </w:r>
      <w:r w:rsidRPr="0031675F">
        <w:t>the</w:t>
      </w:r>
      <w:r w:rsidRPr="0031675F">
        <w:rPr>
          <w:spacing w:val="7"/>
        </w:rPr>
        <w:t xml:space="preserve"> </w:t>
      </w:r>
      <w:r w:rsidRPr="0031675F">
        <w:rPr>
          <w:spacing w:val="-1"/>
        </w:rPr>
        <w:t>seawater.</w:t>
      </w:r>
    </w:p>
    <w:p w14:paraId="19EC1388" w14:textId="77777777" w:rsidR="0031675F" w:rsidRPr="0031675F" w:rsidRDefault="0031675F" w:rsidP="0031675F">
      <w:pPr>
        <w:spacing w:before="118" w:after="120"/>
        <w:ind w:right="110"/>
        <w:jc w:val="both"/>
      </w:pPr>
      <w:r w:rsidRPr="0031675F">
        <w:rPr>
          <w:spacing w:val="-1"/>
        </w:rPr>
        <w:t>AIMS</w:t>
      </w:r>
      <w:r w:rsidRPr="0031675F">
        <w:rPr>
          <w:spacing w:val="2"/>
        </w:rPr>
        <w:t xml:space="preserve"> </w:t>
      </w:r>
      <w:r w:rsidRPr="0031675F">
        <w:rPr>
          <w:spacing w:val="-1"/>
        </w:rPr>
        <w:t>Water</w:t>
      </w:r>
      <w:r w:rsidRPr="0031675F">
        <w:t xml:space="preserve"> </w:t>
      </w:r>
      <w:r w:rsidRPr="0031675F">
        <w:rPr>
          <w:spacing w:val="-1"/>
        </w:rPr>
        <w:t>Quality</w:t>
      </w:r>
      <w:r w:rsidRPr="0031675F">
        <w:rPr>
          <w:spacing w:val="3"/>
        </w:rPr>
        <w:t xml:space="preserve"> </w:t>
      </w:r>
      <w:r w:rsidRPr="0031675F">
        <w:rPr>
          <w:spacing w:val="-1"/>
        </w:rPr>
        <w:t>group standard</w:t>
      </w:r>
      <w:r w:rsidRPr="0031675F">
        <w:rPr>
          <w:spacing w:val="1"/>
        </w:rPr>
        <w:t xml:space="preserve"> </w:t>
      </w:r>
      <w:r w:rsidRPr="0031675F">
        <w:rPr>
          <w:spacing w:val="-1"/>
        </w:rPr>
        <w:t>height</w:t>
      </w:r>
      <w:r w:rsidRPr="0031675F">
        <w:t xml:space="preserve"> of </w:t>
      </w:r>
      <w:r w:rsidRPr="0031675F">
        <w:rPr>
          <w:spacing w:val="-1"/>
        </w:rPr>
        <w:t>the</w:t>
      </w:r>
      <w:r w:rsidRPr="0031675F">
        <w:rPr>
          <w:spacing w:val="5"/>
        </w:rPr>
        <w:t xml:space="preserve"> </w:t>
      </w:r>
      <w:r w:rsidRPr="0031675F">
        <w:rPr>
          <w:spacing w:val="-2"/>
        </w:rPr>
        <w:t>logger</w:t>
      </w:r>
      <w:r w:rsidRPr="0031675F">
        <w:rPr>
          <w:spacing w:val="3"/>
        </w:rPr>
        <w:t xml:space="preserve"> </w:t>
      </w:r>
      <w:r w:rsidRPr="0031675F">
        <w:rPr>
          <w:spacing w:val="-1"/>
        </w:rPr>
        <w:t>collar</w:t>
      </w:r>
      <w:r w:rsidRPr="0031675F">
        <w:rPr>
          <w:spacing w:val="2"/>
        </w:rPr>
        <w:t xml:space="preserve"> </w:t>
      </w:r>
      <w:r w:rsidRPr="0031675F">
        <w:t xml:space="preserve">is </w:t>
      </w:r>
      <w:r w:rsidRPr="0031675F">
        <w:rPr>
          <w:spacing w:val="-2"/>
        </w:rPr>
        <w:t>positioned</w:t>
      </w:r>
      <w:r w:rsidRPr="0031675F">
        <w:t xml:space="preserve"> </w:t>
      </w:r>
      <w:r w:rsidRPr="0031675F">
        <w:rPr>
          <w:spacing w:val="-1"/>
        </w:rPr>
        <w:t>6cm</w:t>
      </w:r>
      <w:r w:rsidRPr="0031675F">
        <w:rPr>
          <w:spacing w:val="1"/>
        </w:rPr>
        <w:t xml:space="preserve"> </w:t>
      </w:r>
      <w:r w:rsidRPr="0031675F">
        <w:rPr>
          <w:spacing w:val="-1"/>
        </w:rPr>
        <w:t>from</w:t>
      </w:r>
      <w:r w:rsidRPr="0031675F">
        <w:rPr>
          <w:spacing w:val="1"/>
        </w:rPr>
        <w:t xml:space="preserve"> </w:t>
      </w:r>
      <w:r w:rsidRPr="0031675F">
        <w:t>the</w:t>
      </w:r>
      <w:r w:rsidRPr="0031675F">
        <w:rPr>
          <w:spacing w:val="-2"/>
        </w:rPr>
        <w:t xml:space="preserve"> </w:t>
      </w:r>
      <w:r w:rsidRPr="0031675F">
        <w:t>optical end</w:t>
      </w:r>
      <w:r w:rsidRPr="0031675F">
        <w:rPr>
          <w:spacing w:val="81"/>
        </w:rPr>
        <w:t xml:space="preserve"> </w:t>
      </w:r>
      <w:r w:rsidRPr="0031675F">
        <w:t>of</w:t>
      </w:r>
      <w:r w:rsidRPr="0031675F">
        <w:rPr>
          <w:spacing w:val="17"/>
        </w:rPr>
        <w:t xml:space="preserve"> </w:t>
      </w:r>
      <w:r w:rsidRPr="0031675F">
        <w:t>the</w:t>
      </w:r>
      <w:r w:rsidRPr="0031675F">
        <w:rPr>
          <w:spacing w:val="17"/>
        </w:rPr>
        <w:t xml:space="preserve"> </w:t>
      </w:r>
      <w:r w:rsidRPr="0031675F">
        <w:rPr>
          <w:spacing w:val="-1"/>
        </w:rPr>
        <w:t>logger,</w:t>
      </w:r>
      <w:r w:rsidRPr="0031675F">
        <w:rPr>
          <w:spacing w:val="17"/>
        </w:rPr>
        <w:t xml:space="preserve"> </w:t>
      </w:r>
      <w:r w:rsidRPr="0031675F">
        <w:t>which</w:t>
      </w:r>
      <w:r w:rsidRPr="0031675F">
        <w:rPr>
          <w:spacing w:val="15"/>
        </w:rPr>
        <w:t xml:space="preserve"> </w:t>
      </w:r>
      <w:r w:rsidRPr="0031675F">
        <w:rPr>
          <w:spacing w:val="-1"/>
        </w:rPr>
        <w:t>locates</w:t>
      </w:r>
      <w:r w:rsidRPr="0031675F">
        <w:rPr>
          <w:spacing w:val="17"/>
        </w:rPr>
        <w:t xml:space="preserve"> </w:t>
      </w:r>
      <w:r w:rsidRPr="0031675F">
        <w:t>the</w:t>
      </w:r>
      <w:r w:rsidRPr="0031675F">
        <w:rPr>
          <w:spacing w:val="17"/>
        </w:rPr>
        <w:t xml:space="preserve"> </w:t>
      </w:r>
      <w:r w:rsidRPr="0031675F">
        <w:rPr>
          <w:spacing w:val="-1"/>
        </w:rPr>
        <w:t>logger</w:t>
      </w:r>
      <w:r w:rsidRPr="0031675F">
        <w:rPr>
          <w:spacing w:val="17"/>
        </w:rPr>
        <w:t xml:space="preserve"> </w:t>
      </w:r>
      <w:r w:rsidRPr="0031675F">
        <w:t>at</w:t>
      </w:r>
      <w:r w:rsidRPr="0031675F">
        <w:rPr>
          <w:spacing w:val="17"/>
        </w:rPr>
        <w:t xml:space="preserve"> </w:t>
      </w:r>
      <w:r w:rsidRPr="0031675F">
        <w:t>a</w:t>
      </w:r>
      <w:r w:rsidRPr="0031675F">
        <w:rPr>
          <w:spacing w:val="17"/>
        </w:rPr>
        <w:t xml:space="preserve"> </w:t>
      </w:r>
      <w:r w:rsidRPr="0031675F">
        <w:rPr>
          <w:spacing w:val="-1"/>
        </w:rPr>
        <w:t>suitable</w:t>
      </w:r>
      <w:r w:rsidRPr="0031675F">
        <w:rPr>
          <w:spacing w:val="17"/>
        </w:rPr>
        <w:t xml:space="preserve"> </w:t>
      </w:r>
      <w:r w:rsidRPr="0031675F">
        <w:rPr>
          <w:spacing w:val="-1"/>
        </w:rPr>
        <w:t>standard</w:t>
      </w:r>
      <w:r w:rsidRPr="0031675F">
        <w:rPr>
          <w:spacing w:val="16"/>
        </w:rPr>
        <w:t xml:space="preserve"> </w:t>
      </w:r>
      <w:r w:rsidRPr="0031675F">
        <w:rPr>
          <w:spacing w:val="-1"/>
        </w:rPr>
        <w:t>height</w:t>
      </w:r>
      <w:r w:rsidRPr="0031675F">
        <w:rPr>
          <w:spacing w:val="17"/>
        </w:rPr>
        <w:t xml:space="preserve"> </w:t>
      </w:r>
      <w:r w:rsidRPr="0031675F">
        <w:t>within</w:t>
      </w:r>
      <w:r w:rsidRPr="0031675F">
        <w:rPr>
          <w:spacing w:val="15"/>
        </w:rPr>
        <w:t xml:space="preserve"> </w:t>
      </w:r>
      <w:r w:rsidRPr="0031675F">
        <w:t>the</w:t>
      </w:r>
      <w:r w:rsidRPr="0031675F">
        <w:rPr>
          <w:spacing w:val="17"/>
        </w:rPr>
        <w:t xml:space="preserve"> </w:t>
      </w:r>
      <w:r w:rsidRPr="0031675F">
        <w:rPr>
          <w:spacing w:val="-1"/>
        </w:rPr>
        <w:t xml:space="preserve">black cap used for field deployment. This protects the biowiper from being bumped and contains seawater to allow the logger optical face to be protected until the logger can be switched off. Do not fill cap </w:t>
      </w:r>
      <w:r w:rsidRPr="0031675F">
        <w:t>with</w:t>
      </w:r>
      <w:r w:rsidRPr="0031675F">
        <w:rPr>
          <w:spacing w:val="7"/>
        </w:rPr>
        <w:t xml:space="preserve"> </w:t>
      </w:r>
      <w:r w:rsidRPr="0031675F">
        <w:rPr>
          <w:spacing w:val="-1"/>
        </w:rPr>
        <w:t>fresh</w:t>
      </w:r>
      <w:r w:rsidRPr="0031675F">
        <w:rPr>
          <w:spacing w:val="7"/>
        </w:rPr>
        <w:t xml:space="preserve"> </w:t>
      </w:r>
      <w:r w:rsidRPr="0031675F">
        <w:t>water,</w:t>
      </w:r>
      <w:r w:rsidRPr="0031675F">
        <w:rPr>
          <w:spacing w:val="7"/>
        </w:rPr>
        <w:t xml:space="preserve"> </w:t>
      </w:r>
      <w:r w:rsidRPr="0031675F">
        <w:t>as</w:t>
      </w:r>
      <w:r w:rsidRPr="0031675F">
        <w:rPr>
          <w:spacing w:val="7"/>
        </w:rPr>
        <w:t xml:space="preserve"> </w:t>
      </w:r>
      <w:r w:rsidRPr="0031675F">
        <w:rPr>
          <w:spacing w:val="-1"/>
        </w:rPr>
        <w:t>this</w:t>
      </w:r>
      <w:r w:rsidRPr="0031675F">
        <w:rPr>
          <w:spacing w:val="7"/>
        </w:rPr>
        <w:t xml:space="preserve"> </w:t>
      </w:r>
      <w:r w:rsidRPr="0031675F">
        <w:rPr>
          <w:spacing w:val="-1"/>
        </w:rPr>
        <w:t>appears</w:t>
      </w:r>
      <w:r w:rsidRPr="0031675F">
        <w:rPr>
          <w:spacing w:val="7"/>
        </w:rPr>
        <w:t xml:space="preserve"> </w:t>
      </w:r>
      <w:r w:rsidRPr="0031675F">
        <w:t>to</w:t>
      </w:r>
      <w:r w:rsidRPr="0031675F">
        <w:rPr>
          <w:spacing w:val="9"/>
        </w:rPr>
        <w:t xml:space="preserve"> </w:t>
      </w:r>
      <w:r w:rsidRPr="0031675F">
        <w:t>react</w:t>
      </w:r>
      <w:r w:rsidRPr="0031675F">
        <w:rPr>
          <w:spacing w:val="7"/>
        </w:rPr>
        <w:t xml:space="preserve"> </w:t>
      </w:r>
      <w:r w:rsidRPr="0031675F">
        <w:rPr>
          <w:spacing w:val="-1"/>
        </w:rPr>
        <w:t>with</w:t>
      </w:r>
      <w:r w:rsidRPr="0031675F">
        <w:rPr>
          <w:spacing w:val="7"/>
        </w:rPr>
        <w:t xml:space="preserve"> </w:t>
      </w:r>
      <w:r w:rsidRPr="0031675F">
        <w:t>the</w:t>
      </w:r>
      <w:r w:rsidRPr="0031675F">
        <w:rPr>
          <w:spacing w:val="7"/>
        </w:rPr>
        <w:t xml:space="preserve"> </w:t>
      </w:r>
      <w:r w:rsidRPr="0031675F">
        <w:t>corrosion</w:t>
      </w:r>
      <w:r w:rsidRPr="0031675F">
        <w:rPr>
          <w:spacing w:val="4"/>
        </w:rPr>
        <w:t xml:space="preserve"> </w:t>
      </w:r>
      <w:r w:rsidRPr="0031675F">
        <w:t>on</w:t>
      </w:r>
      <w:r w:rsidRPr="0031675F">
        <w:rPr>
          <w:spacing w:val="6"/>
        </w:rPr>
        <w:t xml:space="preserve"> </w:t>
      </w:r>
      <w:r w:rsidRPr="0031675F">
        <w:t>the</w:t>
      </w:r>
      <w:r w:rsidRPr="0031675F">
        <w:rPr>
          <w:spacing w:val="7"/>
        </w:rPr>
        <w:t xml:space="preserve"> </w:t>
      </w:r>
      <w:r w:rsidRPr="0031675F">
        <w:rPr>
          <w:spacing w:val="-1"/>
        </w:rPr>
        <w:t>recovered</w:t>
      </w:r>
      <w:r w:rsidRPr="0031675F">
        <w:rPr>
          <w:spacing w:val="7"/>
        </w:rPr>
        <w:t xml:space="preserve"> </w:t>
      </w:r>
      <w:r w:rsidRPr="0031675F">
        <w:rPr>
          <w:spacing w:val="-1"/>
        </w:rPr>
        <w:t>logger</w:t>
      </w:r>
      <w:r w:rsidRPr="0031675F">
        <w:rPr>
          <w:spacing w:val="7"/>
        </w:rPr>
        <w:t xml:space="preserve"> </w:t>
      </w:r>
      <w:r w:rsidRPr="0031675F">
        <w:rPr>
          <w:spacing w:val="-1"/>
        </w:rPr>
        <w:t>and</w:t>
      </w:r>
      <w:r w:rsidRPr="0031675F">
        <w:rPr>
          <w:spacing w:val="6"/>
        </w:rPr>
        <w:t xml:space="preserve"> </w:t>
      </w:r>
      <w:r w:rsidRPr="0031675F">
        <w:t>may</w:t>
      </w:r>
      <w:r w:rsidRPr="0031675F">
        <w:rPr>
          <w:spacing w:val="8"/>
        </w:rPr>
        <w:t xml:space="preserve"> </w:t>
      </w:r>
      <w:r w:rsidRPr="0031675F">
        <w:rPr>
          <w:spacing w:val="-1"/>
        </w:rPr>
        <w:t>cause</w:t>
      </w:r>
      <w:r w:rsidRPr="0031675F">
        <w:rPr>
          <w:spacing w:val="42"/>
        </w:rPr>
        <w:t xml:space="preserve"> </w:t>
      </w:r>
      <w:r w:rsidRPr="0031675F">
        <w:rPr>
          <w:spacing w:val="-1"/>
        </w:rPr>
        <w:t>damage</w:t>
      </w:r>
      <w:r w:rsidRPr="0031675F">
        <w:rPr>
          <w:spacing w:val="-2"/>
        </w:rPr>
        <w:t xml:space="preserve"> </w:t>
      </w:r>
      <w:r w:rsidRPr="0031675F">
        <w:t>to</w:t>
      </w:r>
      <w:r w:rsidRPr="0031675F">
        <w:rPr>
          <w:spacing w:val="-1"/>
        </w:rPr>
        <w:t xml:space="preserve"> the</w:t>
      </w:r>
      <w:r w:rsidRPr="0031675F">
        <w:rPr>
          <w:spacing w:val="-2"/>
        </w:rPr>
        <w:t xml:space="preserve"> </w:t>
      </w:r>
      <w:r w:rsidRPr="0031675F">
        <w:t>optical</w:t>
      </w:r>
      <w:r w:rsidRPr="0031675F">
        <w:rPr>
          <w:spacing w:val="-3"/>
        </w:rPr>
        <w:t xml:space="preserve"> </w:t>
      </w:r>
      <w:r w:rsidRPr="0031675F">
        <w:rPr>
          <w:spacing w:val="-1"/>
        </w:rPr>
        <w:t>window,</w:t>
      </w:r>
      <w:r w:rsidRPr="0031675F">
        <w:rPr>
          <w:spacing w:val="-2"/>
        </w:rPr>
        <w:t xml:space="preserve"> </w:t>
      </w:r>
      <w:r w:rsidRPr="0031675F">
        <w:t xml:space="preserve">if </w:t>
      </w:r>
      <w:r w:rsidRPr="0031675F">
        <w:rPr>
          <w:spacing w:val="-1"/>
        </w:rPr>
        <w:t>the</w:t>
      </w:r>
      <w:r w:rsidRPr="0031675F">
        <w:rPr>
          <w:spacing w:val="-2"/>
        </w:rPr>
        <w:t xml:space="preserve"> </w:t>
      </w:r>
      <w:r w:rsidRPr="0031675F">
        <w:rPr>
          <w:spacing w:val="-1"/>
        </w:rPr>
        <w:t>bio-wiper</w:t>
      </w:r>
      <w:r w:rsidRPr="0031675F">
        <w:t xml:space="preserve"> is</w:t>
      </w:r>
      <w:r w:rsidRPr="0031675F">
        <w:rPr>
          <w:spacing w:val="-3"/>
        </w:rPr>
        <w:t xml:space="preserve"> </w:t>
      </w:r>
      <w:r w:rsidRPr="0031675F">
        <w:rPr>
          <w:spacing w:val="-1"/>
        </w:rPr>
        <w:t>operating.</w:t>
      </w:r>
    </w:p>
    <w:p w14:paraId="10B60EC4" w14:textId="77777777" w:rsidR="0031675F" w:rsidRPr="0031675F" w:rsidRDefault="0031675F" w:rsidP="00A95B9F">
      <w:r w:rsidRPr="0031675F">
        <w:t>The 5L niskin is clamped shut using No.109 rubber bands used to ensure the sample water is not lost until placed in the niskin rack on board the boat.</w:t>
      </w:r>
    </w:p>
    <w:p w14:paraId="33613E2F" w14:textId="77777777" w:rsidR="0031675F" w:rsidRPr="0031675F" w:rsidRDefault="0031675F" w:rsidP="00A95B9F">
      <w:r w:rsidRPr="0031675F">
        <w:rPr>
          <w:spacing w:val="-1"/>
        </w:rPr>
        <w:t>The</w:t>
      </w:r>
      <w:r w:rsidRPr="0031675F">
        <w:rPr>
          <w:spacing w:val="22"/>
        </w:rPr>
        <w:t xml:space="preserve"> </w:t>
      </w:r>
      <w:r w:rsidRPr="0031675F">
        <w:rPr>
          <w:spacing w:val="-1"/>
        </w:rPr>
        <w:t>niskin</w:t>
      </w:r>
      <w:r w:rsidRPr="0031675F">
        <w:rPr>
          <w:spacing w:val="18"/>
        </w:rPr>
        <w:t xml:space="preserve"> </w:t>
      </w:r>
      <w:r w:rsidRPr="0031675F">
        <w:rPr>
          <w:spacing w:val="-1"/>
        </w:rPr>
        <w:t>seawater</w:t>
      </w:r>
      <w:r w:rsidRPr="0031675F">
        <w:rPr>
          <w:spacing w:val="19"/>
        </w:rPr>
        <w:t xml:space="preserve"> </w:t>
      </w:r>
      <w:r w:rsidRPr="0031675F">
        <w:rPr>
          <w:spacing w:val="-1"/>
        </w:rPr>
        <w:t>samples</w:t>
      </w:r>
      <w:r w:rsidRPr="0031675F">
        <w:rPr>
          <w:spacing w:val="22"/>
        </w:rPr>
        <w:t xml:space="preserve"> </w:t>
      </w:r>
      <w:r w:rsidRPr="0031675F">
        <w:t>are</w:t>
      </w:r>
      <w:r w:rsidRPr="0031675F">
        <w:rPr>
          <w:spacing w:val="19"/>
        </w:rPr>
        <w:t xml:space="preserve"> </w:t>
      </w:r>
      <w:r w:rsidRPr="0031675F">
        <w:rPr>
          <w:spacing w:val="-1"/>
        </w:rPr>
        <w:t>processed</w:t>
      </w:r>
      <w:r w:rsidRPr="0031675F">
        <w:rPr>
          <w:spacing w:val="21"/>
        </w:rPr>
        <w:t xml:space="preserve"> </w:t>
      </w:r>
      <w:r w:rsidRPr="0031675F">
        <w:rPr>
          <w:spacing w:val="-1"/>
        </w:rPr>
        <w:t>without</w:t>
      </w:r>
      <w:r w:rsidRPr="0031675F">
        <w:rPr>
          <w:spacing w:val="17"/>
        </w:rPr>
        <w:t xml:space="preserve"> </w:t>
      </w:r>
      <w:r w:rsidRPr="0031675F">
        <w:rPr>
          <w:spacing w:val="-1"/>
        </w:rPr>
        <w:t>delay</w:t>
      </w:r>
      <w:r w:rsidRPr="0031675F">
        <w:rPr>
          <w:spacing w:val="22"/>
        </w:rPr>
        <w:t xml:space="preserve"> </w:t>
      </w:r>
      <w:r w:rsidRPr="0031675F">
        <w:t>as</w:t>
      </w:r>
      <w:r w:rsidRPr="0031675F">
        <w:rPr>
          <w:spacing w:val="19"/>
        </w:rPr>
        <w:t xml:space="preserve"> </w:t>
      </w:r>
      <w:r w:rsidRPr="0031675F">
        <w:rPr>
          <w:spacing w:val="-1"/>
        </w:rPr>
        <w:t>per</w:t>
      </w:r>
      <w:r w:rsidRPr="0031675F">
        <w:rPr>
          <w:spacing w:val="19"/>
        </w:rPr>
        <w:t xml:space="preserve"> </w:t>
      </w:r>
      <w:r w:rsidRPr="0031675F">
        <w:rPr>
          <w:spacing w:val="-1"/>
        </w:rPr>
        <w:t>shipboard</w:t>
      </w:r>
      <w:r w:rsidRPr="0031675F">
        <w:rPr>
          <w:spacing w:val="20"/>
        </w:rPr>
        <w:t xml:space="preserve"> </w:t>
      </w:r>
      <w:r w:rsidRPr="0031675F">
        <w:rPr>
          <w:spacing w:val="-1"/>
        </w:rPr>
        <w:t>filtering</w:t>
      </w:r>
      <w:r w:rsidRPr="0031675F">
        <w:rPr>
          <w:spacing w:val="21"/>
        </w:rPr>
        <w:t xml:space="preserve"> </w:t>
      </w:r>
      <w:r w:rsidRPr="0031675F">
        <w:rPr>
          <w:spacing w:val="-1"/>
        </w:rPr>
        <w:t>procedures</w:t>
      </w:r>
      <w:r w:rsidRPr="0031675F">
        <w:rPr>
          <w:spacing w:val="22"/>
        </w:rPr>
        <w:t xml:space="preserve"> </w:t>
      </w:r>
      <w:r w:rsidRPr="0031675F">
        <w:rPr>
          <w:spacing w:val="-1"/>
        </w:rPr>
        <w:t>for</w:t>
      </w:r>
      <w:r w:rsidRPr="0031675F">
        <w:rPr>
          <w:spacing w:val="71"/>
        </w:rPr>
        <w:t xml:space="preserve"> </w:t>
      </w:r>
      <w:r w:rsidRPr="0031675F">
        <w:rPr>
          <w:spacing w:val="-1"/>
        </w:rPr>
        <w:t>chlorophyll</w:t>
      </w:r>
      <w:r w:rsidRPr="0031675F">
        <w:rPr>
          <w:spacing w:val="9"/>
        </w:rPr>
        <w:t xml:space="preserve"> </w:t>
      </w:r>
      <w:r w:rsidRPr="004F29DF">
        <w:rPr>
          <w:i/>
        </w:rPr>
        <w:t>a</w:t>
      </w:r>
      <w:r w:rsidRPr="0031675F">
        <w:rPr>
          <w:spacing w:val="9"/>
        </w:rPr>
        <w:t xml:space="preserve"> </w:t>
      </w:r>
      <w:r w:rsidRPr="0031675F">
        <w:rPr>
          <w:spacing w:val="-1"/>
        </w:rPr>
        <w:t>and</w:t>
      </w:r>
      <w:r w:rsidRPr="0031675F">
        <w:rPr>
          <w:spacing w:val="9"/>
        </w:rPr>
        <w:t xml:space="preserve"> </w:t>
      </w:r>
      <w:r w:rsidRPr="0031675F">
        <w:rPr>
          <w:spacing w:val="-1"/>
        </w:rPr>
        <w:t>suspended</w:t>
      </w:r>
      <w:r w:rsidRPr="0031675F">
        <w:rPr>
          <w:spacing w:val="9"/>
        </w:rPr>
        <w:t xml:space="preserve"> </w:t>
      </w:r>
      <w:r w:rsidRPr="0031675F">
        <w:rPr>
          <w:spacing w:val="-1"/>
        </w:rPr>
        <w:t>solids, and salinity sample is collected. This</w:t>
      </w:r>
      <w:r w:rsidRPr="0031675F">
        <w:rPr>
          <w:spacing w:val="33"/>
        </w:rPr>
        <w:t xml:space="preserve"> </w:t>
      </w:r>
      <w:r w:rsidRPr="0031675F">
        <w:rPr>
          <w:spacing w:val="-1"/>
        </w:rPr>
        <w:t>sampling</w:t>
      </w:r>
      <w:r w:rsidRPr="0031675F">
        <w:rPr>
          <w:spacing w:val="35"/>
        </w:rPr>
        <w:t xml:space="preserve"> </w:t>
      </w:r>
      <w:r w:rsidRPr="0031675F">
        <w:t>is</w:t>
      </w:r>
      <w:r w:rsidRPr="0031675F">
        <w:rPr>
          <w:spacing w:val="35"/>
        </w:rPr>
        <w:t xml:space="preserve"> </w:t>
      </w:r>
      <w:r w:rsidRPr="0031675F">
        <w:rPr>
          <w:spacing w:val="-1"/>
        </w:rPr>
        <w:t>part</w:t>
      </w:r>
      <w:r w:rsidRPr="0031675F">
        <w:rPr>
          <w:spacing w:val="34"/>
        </w:rPr>
        <w:t xml:space="preserve"> </w:t>
      </w:r>
      <w:r w:rsidRPr="0031675F">
        <w:rPr>
          <w:spacing w:val="-1"/>
        </w:rPr>
        <w:t>of</w:t>
      </w:r>
      <w:r w:rsidRPr="0031675F">
        <w:rPr>
          <w:spacing w:val="36"/>
        </w:rPr>
        <w:t xml:space="preserve"> </w:t>
      </w:r>
      <w:r w:rsidRPr="0031675F">
        <w:t>the</w:t>
      </w:r>
      <w:r w:rsidRPr="0031675F">
        <w:rPr>
          <w:spacing w:val="36"/>
        </w:rPr>
        <w:t xml:space="preserve"> </w:t>
      </w:r>
      <w:r w:rsidRPr="0031675F">
        <w:rPr>
          <w:spacing w:val="-1"/>
        </w:rPr>
        <w:t>routine</w:t>
      </w:r>
      <w:r w:rsidRPr="0031675F">
        <w:rPr>
          <w:spacing w:val="33"/>
        </w:rPr>
        <w:t xml:space="preserve"> </w:t>
      </w:r>
      <w:r w:rsidRPr="0031675F">
        <w:rPr>
          <w:spacing w:val="-1"/>
        </w:rPr>
        <w:t>water</w:t>
      </w:r>
      <w:r w:rsidRPr="0031675F">
        <w:rPr>
          <w:spacing w:val="36"/>
        </w:rPr>
        <w:t xml:space="preserve"> </w:t>
      </w:r>
      <w:r w:rsidRPr="0031675F">
        <w:rPr>
          <w:spacing w:val="-1"/>
        </w:rPr>
        <w:t>quality</w:t>
      </w:r>
      <w:r w:rsidRPr="0031675F">
        <w:rPr>
          <w:spacing w:val="37"/>
        </w:rPr>
        <w:t xml:space="preserve"> </w:t>
      </w:r>
      <w:r w:rsidRPr="0031675F">
        <w:rPr>
          <w:spacing w:val="-1"/>
        </w:rPr>
        <w:t>sampling</w:t>
      </w:r>
      <w:r w:rsidRPr="0031675F">
        <w:rPr>
          <w:spacing w:val="34"/>
        </w:rPr>
        <w:t xml:space="preserve"> </w:t>
      </w:r>
      <w:r w:rsidRPr="0031675F">
        <w:rPr>
          <w:spacing w:val="-1"/>
        </w:rPr>
        <w:t>under</w:t>
      </w:r>
      <w:r w:rsidRPr="0031675F">
        <w:rPr>
          <w:spacing w:val="36"/>
        </w:rPr>
        <w:t xml:space="preserve"> </w:t>
      </w:r>
      <w:r w:rsidRPr="0031675F">
        <w:rPr>
          <w:spacing w:val="-1"/>
        </w:rPr>
        <w:t>Reef</w:t>
      </w:r>
      <w:r w:rsidRPr="0031675F">
        <w:rPr>
          <w:spacing w:val="34"/>
        </w:rPr>
        <w:t xml:space="preserve"> </w:t>
      </w:r>
      <w:r w:rsidRPr="0031675F">
        <w:rPr>
          <w:spacing w:val="-1"/>
        </w:rPr>
        <w:t>Rescue</w:t>
      </w:r>
      <w:r w:rsidRPr="0031675F">
        <w:rPr>
          <w:spacing w:val="34"/>
        </w:rPr>
        <w:t xml:space="preserve"> </w:t>
      </w:r>
      <w:r w:rsidRPr="0031675F">
        <w:rPr>
          <w:spacing w:val="-1"/>
        </w:rPr>
        <w:t>MMP,</w:t>
      </w:r>
      <w:r w:rsidRPr="0031675F">
        <w:rPr>
          <w:spacing w:val="36"/>
        </w:rPr>
        <w:t xml:space="preserve"> </w:t>
      </w:r>
      <w:r w:rsidRPr="0031675F">
        <w:rPr>
          <w:spacing w:val="-1"/>
        </w:rPr>
        <w:t>but</w:t>
      </w:r>
      <w:r w:rsidRPr="0031675F">
        <w:rPr>
          <w:spacing w:val="34"/>
        </w:rPr>
        <w:t xml:space="preserve"> </w:t>
      </w:r>
      <w:r w:rsidRPr="0031675F">
        <w:rPr>
          <w:spacing w:val="-1"/>
        </w:rPr>
        <w:t>also</w:t>
      </w:r>
      <w:r w:rsidRPr="0031675F">
        <w:rPr>
          <w:spacing w:val="47"/>
        </w:rPr>
        <w:t xml:space="preserve"> </w:t>
      </w:r>
      <w:r w:rsidRPr="0031675F">
        <w:rPr>
          <w:spacing w:val="-1"/>
        </w:rPr>
        <w:t>provides</w:t>
      </w:r>
      <w:r w:rsidRPr="0031675F">
        <w:rPr>
          <w:spacing w:val="-2"/>
        </w:rPr>
        <w:t xml:space="preserve"> </w:t>
      </w:r>
      <w:r w:rsidRPr="0031675F">
        <w:rPr>
          <w:spacing w:val="-1"/>
        </w:rPr>
        <w:t>samples for</w:t>
      </w:r>
      <w:r w:rsidRPr="0031675F">
        <w:rPr>
          <w:spacing w:val="-2"/>
        </w:rPr>
        <w:t xml:space="preserve"> </w:t>
      </w:r>
      <w:r w:rsidRPr="0031675F">
        <w:t>the</w:t>
      </w:r>
      <w:r w:rsidRPr="0031675F">
        <w:rPr>
          <w:spacing w:val="-2"/>
        </w:rPr>
        <w:t xml:space="preserve"> </w:t>
      </w:r>
      <w:r w:rsidRPr="0031675F">
        <w:rPr>
          <w:spacing w:val="-1"/>
        </w:rPr>
        <w:t>validation</w:t>
      </w:r>
      <w:r w:rsidRPr="0031675F">
        <w:rPr>
          <w:spacing w:val="-3"/>
        </w:rPr>
        <w:t xml:space="preserve"> </w:t>
      </w:r>
      <w:r w:rsidRPr="0031675F">
        <w:t xml:space="preserve">of </w:t>
      </w:r>
      <w:r w:rsidRPr="0031675F">
        <w:rPr>
          <w:spacing w:val="-1"/>
        </w:rPr>
        <w:t>instrument</w:t>
      </w:r>
      <w:r w:rsidRPr="0031675F">
        <w:rPr>
          <w:spacing w:val="-3"/>
        </w:rPr>
        <w:t xml:space="preserve"> </w:t>
      </w:r>
      <w:r w:rsidRPr="0031675F">
        <w:rPr>
          <w:spacing w:val="-1"/>
        </w:rPr>
        <w:t>data.</w:t>
      </w:r>
    </w:p>
    <w:p w14:paraId="48E8AA1C" w14:textId="77777777" w:rsidR="0031675F" w:rsidRPr="0031675F" w:rsidRDefault="0031675F" w:rsidP="0031675F">
      <w:pPr>
        <w:spacing w:before="5"/>
        <w:rPr>
          <w:rFonts w:cs="Calibri"/>
          <w:sz w:val="19"/>
          <w:szCs w:val="19"/>
        </w:rPr>
      </w:pPr>
    </w:p>
    <w:p w14:paraId="20D2E132" w14:textId="77777777" w:rsidR="0031675F" w:rsidRPr="0031675F" w:rsidRDefault="0031675F" w:rsidP="0031675F">
      <w:pPr>
        <w:widowControl w:val="0"/>
        <w:numPr>
          <w:ilvl w:val="2"/>
          <w:numId w:val="67"/>
        </w:numPr>
        <w:tabs>
          <w:tab w:val="left" w:pos="839"/>
        </w:tabs>
        <w:spacing w:before="0" w:after="0" w:line="240" w:lineRule="auto"/>
        <w:jc w:val="both"/>
        <w:rPr>
          <w:rFonts w:eastAsia="Arial" w:cs="Arial"/>
        </w:rPr>
      </w:pPr>
      <w:r w:rsidRPr="0031675F">
        <w:rPr>
          <w:b/>
          <w:spacing w:val="-1"/>
        </w:rPr>
        <w:t>Post recovery</w:t>
      </w:r>
      <w:r w:rsidRPr="0031675F">
        <w:rPr>
          <w:b/>
          <w:spacing w:val="-4"/>
        </w:rPr>
        <w:t xml:space="preserve"> </w:t>
      </w:r>
      <w:r w:rsidRPr="0031675F">
        <w:rPr>
          <w:b/>
          <w:spacing w:val="-1"/>
        </w:rPr>
        <w:t>logger</w:t>
      </w:r>
      <w:r w:rsidRPr="0031675F">
        <w:rPr>
          <w:b/>
          <w:spacing w:val="1"/>
        </w:rPr>
        <w:t xml:space="preserve"> </w:t>
      </w:r>
      <w:r w:rsidRPr="0031675F">
        <w:rPr>
          <w:b/>
          <w:spacing w:val="-1"/>
        </w:rPr>
        <w:t>handling on board boat</w:t>
      </w:r>
    </w:p>
    <w:p w14:paraId="5515F9A7" w14:textId="77777777" w:rsidR="0031675F" w:rsidRPr="0031675F" w:rsidRDefault="0031675F" w:rsidP="0031675F">
      <w:pPr>
        <w:spacing w:before="123" w:after="120"/>
        <w:jc w:val="both"/>
      </w:pPr>
      <w:r w:rsidRPr="0031675F">
        <w:rPr>
          <w:spacing w:val="-1"/>
        </w:rPr>
        <w:t>Once</w:t>
      </w:r>
      <w:r w:rsidRPr="0031675F">
        <w:t xml:space="preserve"> </w:t>
      </w:r>
      <w:r w:rsidRPr="0031675F">
        <w:rPr>
          <w:spacing w:val="-2"/>
        </w:rPr>
        <w:t>the</w:t>
      </w:r>
      <w:r w:rsidRPr="0031675F">
        <w:rPr>
          <w:spacing w:val="1"/>
        </w:rPr>
        <w:t xml:space="preserve"> </w:t>
      </w:r>
      <w:r w:rsidRPr="0031675F">
        <w:rPr>
          <w:spacing w:val="-1"/>
        </w:rPr>
        <w:t>logger</w:t>
      </w:r>
      <w:r w:rsidRPr="0031675F">
        <w:t xml:space="preserve"> </w:t>
      </w:r>
      <w:r w:rsidRPr="0031675F">
        <w:rPr>
          <w:spacing w:val="-1"/>
        </w:rPr>
        <w:t>is</w:t>
      </w:r>
      <w:r w:rsidRPr="0031675F">
        <w:t xml:space="preserve"> </w:t>
      </w:r>
      <w:r w:rsidRPr="0031675F">
        <w:rPr>
          <w:spacing w:val="-1"/>
        </w:rPr>
        <w:t>on board the</w:t>
      </w:r>
      <w:r w:rsidRPr="0031675F">
        <w:rPr>
          <w:spacing w:val="-2"/>
        </w:rPr>
        <w:t xml:space="preserve"> </w:t>
      </w:r>
      <w:r w:rsidRPr="0031675F">
        <w:rPr>
          <w:spacing w:val="-1"/>
        </w:rPr>
        <w:t>boat,</w:t>
      </w:r>
      <w:r w:rsidRPr="0031675F">
        <w:t xml:space="preserve"> </w:t>
      </w:r>
      <w:r w:rsidRPr="0031675F">
        <w:rPr>
          <w:spacing w:val="-1"/>
        </w:rPr>
        <w:t>the</w:t>
      </w:r>
      <w:r w:rsidRPr="0031675F">
        <w:rPr>
          <w:spacing w:val="-2"/>
        </w:rPr>
        <w:t xml:space="preserve"> </w:t>
      </w:r>
      <w:r w:rsidRPr="0031675F">
        <w:rPr>
          <w:spacing w:val="-1"/>
        </w:rPr>
        <w:t>logger</w:t>
      </w:r>
      <w:r w:rsidRPr="0031675F">
        <w:t xml:space="preserve"> is </w:t>
      </w:r>
      <w:r w:rsidRPr="0031675F">
        <w:rPr>
          <w:spacing w:val="-1"/>
        </w:rPr>
        <w:t>switched</w:t>
      </w:r>
      <w:r w:rsidRPr="0031675F">
        <w:rPr>
          <w:spacing w:val="-3"/>
        </w:rPr>
        <w:t xml:space="preserve"> </w:t>
      </w:r>
      <w:r w:rsidRPr="0031675F">
        <w:t>off as</w:t>
      </w:r>
      <w:r w:rsidRPr="0031675F">
        <w:rPr>
          <w:spacing w:val="-3"/>
        </w:rPr>
        <w:t xml:space="preserve"> </w:t>
      </w:r>
      <w:r w:rsidRPr="0031675F">
        <w:rPr>
          <w:spacing w:val="-1"/>
        </w:rPr>
        <w:t>soon</w:t>
      </w:r>
      <w:r w:rsidRPr="0031675F">
        <w:t xml:space="preserve"> as</w:t>
      </w:r>
      <w:r w:rsidRPr="0031675F">
        <w:rPr>
          <w:spacing w:val="-4"/>
        </w:rPr>
        <w:t xml:space="preserve"> </w:t>
      </w:r>
      <w:r w:rsidRPr="0031675F">
        <w:rPr>
          <w:spacing w:val="-1"/>
        </w:rPr>
        <w:t>possible. To</w:t>
      </w:r>
      <w:r w:rsidRPr="0031675F">
        <w:rPr>
          <w:spacing w:val="1"/>
        </w:rPr>
        <w:t xml:space="preserve"> </w:t>
      </w:r>
      <w:r w:rsidRPr="0031675F">
        <w:rPr>
          <w:spacing w:val="-2"/>
        </w:rPr>
        <w:t>do</w:t>
      </w:r>
      <w:r w:rsidRPr="0031675F">
        <w:rPr>
          <w:spacing w:val="1"/>
        </w:rPr>
        <w:t xml:space="preserve"> </w:t>
      </w:r>
      <w:r w:rsidRPr="0031675F">
        <w:rPr>
          <w:spacing w:val="-1"/>
        </w:rPr>
        <w:t>this:</w:t>
      </w:r>
    </w:p>
    <w:p w14:paraId="4717683D" w14:textId="77777777" w:rsidR="0031675F" w:rsidRPr="0031675F" w:rsidRDefault="0031675F" w:rsidP="0031675F">
      <w:pPr>
        <w:widowControl w:val="0"/>
        <w:numPr>
          <w:ilvl w:val="3"/>
          <w:numId w:val="67"/>
        </w:numPr>
        <w:tabs>
          <w:tab w:val="left" w:pos="839"/>
        </w:tabs>
        <w:spacing w:before="129" w:after="0" w:line="266" w:lineRule="exact"/>
        <w:ind w:right="120"/>
      </w:pPr>
      <w:r w:rsidRPr="0031675F">
        <w:rPr>
          <w:spacing w:val="-1"/>
        </w:rPr>
        <w:t>The</w:t>
      </w:r>
      <w:r w:rsidRPr="0031675F">
        <w:rPr>
          <w:spacing w:val="3"/>
        </w:rPr>
        <w:t xml:space="preserve"> </w:t>
      </w:r>
      <w:r w:rsidRPr="0031675F">
        <w:rPr>
          <w:spacing w:val="-2"/>
        </w:rPr>
        <w:t>face</w:t>
      </w:r>
      <w:r w:rsidRPr="0031675F">
        <w:t xml:space="preserve"> of</w:t>
      </w:r>
      <w:r w:rsidRPr="0031675F">
        <w:rPr>
          <w:spacing w:val="49"/>
        </w:rPr>
        <w:t xml:space="preserve"> </w:t>
      </w:r>
      <w:r w:rsidRPr="0031675F">
        <w:t xml:space="preserve">the </w:t>
      </w:r>
      <w:r w:rsidRPr="0031675F">
        <w:rPr>
          <w:spacing w:val="-1"/>
        </w:rPr>
        <w:t>logger</w:t>
      </w:r>
      <w:r w:rsidRPr="0031675F">
        <w:rPr>
          <w:spacing w:val="1"/>
        </w:rPr>
        <w:t xml:space="preserve"> </w:t>
      </w:r>
      <w:r w:rsidRPr="0031675F">
        <w:rPr>
          <w:spacing w:val="-1"/>
        </w:rPr>
        <w:t>should</w:t>
      </w:r>
      <w:r w:rsidRPr="0031675F">
        <w:rPr>
          <w:spacing w:val="2"/>
        </w:rPr>
        <w:t xml:space="preserve"> </w:t>
      </w:r>
      <w:r w:rsidRPr="0031675F">
        <w:rPr>
          <w:spacing w:val="-1"/>
        </w:rPr>
        <w:t>remain</w:t>
      </w:r>
      <w:r w:rsidRPr="0031675F">
        <w:rPr>
          <w:spacing w:val="2"/>
        </w:rPr>
        <w:t xml:space="preserve"> </w:t>
      </w:r>
      <w:r w:rsidRPr="0031675F">
        <w:rPr>
          <w:spacing w:val="-1"/>
        </w:rPr>
        <w:t>immersed</w:t>
      </w:r>
      <w:r w:rsidRPr="0031675F">
        <w:rPr>
          <w:spacing w:val="2"/>
        </w:rPr>
        <w:t xml:space="preserve"> </w:t>
      </w:r>
      <w:r w:rsidRPr="0031675F">
        <w:rPr>
          <w:spacing w:val="-2"/>
        </w:rPr>
        <w:t>in</w:t>
      </w:r>
      <w:r w:rsidRPr="0031675F">
        <w:t xml:space="preserve"> </w:t>
      </w:r>
      <w:r w:rsidRPr="0031675F">
        <w:rPr>
          <w:spacing w:val="-1"/>
        </w:rPr>
        <w:t>seawater</w:t>
      </w:r>
      <w:r w:rsidRPr="0031675F">
        <w:t xml:space="preserve"> in the </w:t>
      </w:r>
      <w:r w:rsidRPr="0031675F">
        <w:rPr>
          <w:spacing w:val="-1"/>
        </w:rPr>
        <w:t>cap,</w:t>
      </w:r>
      <w:r w:rsidRPr="0031675F">
        <w:t xml:space="preserve"> with</w:t>
      </w:r>
      <w:r w:rsidRPr="0031675F">
        <w:rPr>
          <w:spacing w:val="3"/>
        </w:rPr>
        <w:t xml:space="preserve"> </w:t>
      </w:r>
      <w:r w:rsidRPr="0031675F">
        <w:t xml:space="preserve">the </w:t>
      </w:r>
      <w:r w:rsidRPr="0031675F">
        <w:rPr>
          <w:spacing w:val="-1"/>
        </w:rPr>
        <w:t>top</w:t>
      </w:r>
      <w:r w:rsidRPr="0031675F">
        <w:rPr>
          <w:spacing w:val="51"/>
        </w:rPr>
        <w:t xml:space="preserve"> </w:t>
      </w:r>
      <w:r w:rsidRPr="0031675F">
        <w:rPr>
          <w:spacing w:val="-1"/>
        </w:rPr>
        <w:t>(connector</w:t>
      </w:r>
      <w:r w:rsidRPr="0031675F">
        <w:rPr>
          <w:spacing w:val="-3"/>
        </w:rPr>
        <w:t xml:space="preserve"> </w:t>
      </w:r>
      <w:r w:rsidRPr="0031675F">
        <w:rPr>
          <w:spacing w:val="-1"/>
        </w:rPr>
        <w:t>end)</w:t>
      </w:r>
      <w:r w:rsidRPr="0031675F">
        <w:rPr>
          <w:spacing w:val="-2"/>
        </w:rPr>
        <w:t xml:space="preserve"> </w:t>
      </w:r>
      <w:r w:rsidRPr="0031675F">
        <w:t xml:space="preserve">of </w:t>
      </w:r>
      <w:r w:rsidRPr="0031675F">
        <w:rPr>
          <w:spacing w:val="-2"/>
        </w:rPr>
        <w:t>the</w:t>
      </w:r>
      <w:r w:rsidRPr="0031675F">
        <w:t xml:space="preserve"> </w:t>
      </w:r>
      <w:r w:rsidRPr="0031675F">
        <w:rPr>
          <w:spacing w:val="-1"/>
        </w:rPr>
        <w:t>logger</w:t>
      </w:r>
      <w:r w:rsidRPr="0031675F">
        <w:t xml:space="preserve"> out</w:t>
      </w:r>
      <w:r w:rsidRPr="0031675F">
        <w:rPr>
          <w:spacing w:val="-2"/>
        </w:rPr>
        <w:t xml:space="preserve"> </w:t>
      </w:r>
      <w:r w:rsidRPr="0031675F">
        <w:t>of</w:t>
      </w:r>
      <w:r w:rsidRPr="0031675F">
        <w:rPr>
          <w:spacing w:val="-3"/>
        </w:rPr>
        <w:t xml:space="preserve"> </w:t>
      </w:r>
      <w:r w:rsidRPr="0031675F">
        <w:rPr>
          <w:spacing w:val="-1"/>
        </w:rPr>
        <w:t>water.</w:t>
      </w:r>
    </w:p>
    <w:p w14:paraId="6806CD91" w14:textId="77777777" w:rsidR="0031675F" w:rsidRPr="0031675F" w:rsidRDefault="0031675F" w:rsidP="0031675F">
      <w:pPr>
        <w:widowControl w:val="0"/>
        <w:numPr>
          <w:ilvl w:val="3"/>
          <w:numId w:val="67"/>
        </w:numPr>
        <w:tabs>
          <w:tab w:val="left" w:pos="839"/>
        </w:tabs>
        <w:spacing w:before="126" w:after="0" w:line="240" w:lineRule="auto"/>
        <w:ind w:right="119"/>
      </w:pPr>
      <w:r w:rsidRPr="0031675F">
        <w:rPr>
          <w:spacing w:val="-1"/>
        </w:rPr>
        <w:t>Using a Stanley knife, cut</w:t>
      </w:r>
      <w:r w:rsidRPr="0031675F">
        <w:rPr>
          <w:spacing w:val="10"/>
        </w:rPr>
        <w:t xml:space="preserve"> </w:t>
      </w:r>
      <w:r w:rsidRPr="0031675F">
        <w:t>the</w:t>
      </w:r>
      <w:r w:rsidRPr="0031675F">
        <w:rPr>
          <w:spacing w:val="10"/>
        </w:rPr>
        <w:t xml:space="preserve"> protective </w:t>
      </w:r>
      <w:r w:rsidRPr="0031675F">
        <w:t>tape</w:t>
      </w:r>
      <w:r w:rsidRPr="0031675F">
        <w:rPr>
          <w:spacing w:val="7"/>
        </w:rPr>
        <w:t xml:space="preserve"> </w:t>
      </w:r>
      <w:r w:rsidRPr="0031675F">
        <w:rPr>
          <w:spacing w:val="-1"/>
        </w:rPr>
        <w:t>and</w:t>
      </w:r>
      <w:r w:rsidRPr="0031675F">
        <w:rPr>
          <w:spacing w:val="9"/>
        </w:rPr>
        <w:t xml:space="preserve"> </w:t>
      </w:r>
      <w:r w:rsidRPr="0031675F">
        <w:rPr>
          <w:spacing w:val="-1"/>
        </w:rPr>
        <w:t>plastic</w:t>
      </w:r>
      <w:r w:rsidRPr="0031675F">
        <w:rPr>
          <w:spacing w:val="9"/>
        </w:rPr>
        <w:t xml:space="preserve"> </w:t>
      </w:r>
      <w:r w:rsidRPr="0031675F">
        <w:rPr>
          <w:spacing w:val="-1"/>
        </w:rPr>
        <w:t>from</w:t>
      </w:r>
      <w:r w:rsidRPr="0031675F">
        <w:rPr>
          <w:spacing w:val="8"/>
        </w:rPr>
        <w:t xml:space="preserve"> </w:t>
      </w:r>
      <w:r w:rsidRPr="0031675F">
        <w:t>the</w:t>
      </w:r>
      <w:r w:rsidRPr="0031675F">
        <w:rPr>
          <w:spacing w:val="10"/>
        </w:rPr>
        <w:t xml:space="preserve"> </w:t>
      </w:r>
      <w:r w:rsidRPr="0031675F">
        <w:rPr>
          <w:spacing w:val="-1"/>
        </w:rPr>
        <w:t>connecter</w:t>
      </w:r>
      <w:r w:rsidRPr="0031675F">
        <w:rPr>
          <w:spacing w:val="10"/>
        </w:rPr>
        <w:t xml:space="preserve"> </w:t>
      </w:r>
      <w:r w:rsidRPr="0031675F">
        <w:t>end</w:t>
      </w:r>
      <w:r w:rsidRPr="0031675F">
        <w:rPr>
          <w:spacing w:val="6"/>
        </w:rPr>
        <w:t xml:space="preserve"> </w:t>
      </w:r>
      <w:r w:rsidRPr="0031675F">
        <w:t>of</w:t>
      </w:r>
      <w:r w:rsidRPr="0031675F">
        <w:rPr>
          <w:spacing w:val="9"/>
        </w:rPr>
        <w:t xml:space="preserve"> </w:t>
      </w:r>
      <w:r w:rsidRPr="0031675F">
        <w:rPr>
          <w:spacing w:val="-1"/>
        </w:rPr>
        <w:t>the</w:t>
      </w:r>
      <w:r w:rsidRPr="0031675F">
        <w:rPr>
          <w:spacing w:val="10"/>
        </w:rPr>
        <w:t xml:space="preserve"> </w:t>
      </w:r>
      <w:r w:rsidRPr="0031675F">
        <w:rPr>
          <w:spacing w:val="-1"/>
        </w:rPr>
        <w:t>logger</w:t>
      </w:r>
      <w:r w:rsidRPr="0031675F">
        <w:rPr>
          <w:spacing w:val="10"/>
        </w:rPr>
        <w:t xml:space="preserve"> </w:t>
      </w:r>
      <w:r w:rsidRPr="0031675F">
        <w:rPr>
          <w:spacing w:val="-1"/>
        </w:rPr>
        <w:t>to</w:t>
      </w:r>
      <w:r w:rsidRPr="0031675F">
        <w:rPr>
          <w:spacing w:val="11"/>
        </w:rPr>
        <w:t xml:space="preserve"> </w:t>
      </w:r>
      <w:r w:rsidRPr="0031675F">
        <w:rPr>
          <w:spacing w:val="-2"/>
        </w:rPr>
        <w:t>expose</w:t>
      </w:r>
      <w:r w:rsidRPr="0031675F">
        <w:rPr>
          <w:spacing w:val="10"/>
        </w:rPr>
        <w:t xml:space="preserve"> </w:t>
      </w:r>
      <w:r w:rsidRPr="0031675F">
        <w:t>the</w:t>
      </w:r>
      <w:r w:rsidRPr="0031675F">
        <w:rPr>
          <w:spacing w:val="10"/>
        </w:rPr>
        <w:t xml:space="preserve"> </w:t>
      </w:r>
      <w:r w:rsidRPr="0031675F">
        <w:rPr>
          <w:spacing w:val="-1"/>
        </w:rPr>
        <w:t>connectors</w:t>
      </w:r>
      <w:r w:rsidRPr="0031675F">
        <w:rPr>
          <w:spacing w:val="7"/>
        </w:rPr>
        <w:t xml:space="preserve"> </w:t>
      </w:r>
      <w:r w:rsidRPr="0031675F">
        <w:rPr>
          <w:spacing w:val="-1"/>
        </w:rPr>
        <w:t>and</w:t>
      </w:r>
      <w:r w:rsidRPr="0031675F">
        <w:rPr>
          <w:spacing w:val="61"/>
        </w:rPr>
        <w:t xml:space="preserve"> </w:t>
      </w:r>
      <w:r w:rsidRPr="0031675F">
        <w:rPr>
          <w:spacing w:val="-1"/>
        </w:rPr>
        <w:t>plugs.</w:t>
      </w:r>
    </w:p>
    <w:p w14:paraId="6809129C" w14:textId="77777777" w:rsidR="0031675F" w:rsidRPr="0031675F" w:rsidRDefault="0031675F" w:rsidP="0031675F">
      <w:pPr>
        <w:widowControl w:val="0"/>
        <w:numPr>
          <w:ilvl w:val="3"/>
          <w:numId w:val="67"/>
        </w:numPr>
        <w:tabs>
          <w:tab w:val="left" w:pos="839"/>
        </w:tabs>
        <w:spacing w:before="120" w:after="0" w:line="240" w:lineRule="auto"/>
      </w:pPr>
      <w:r w:rsidRPr="0031675F">
        <w:t>Dry</w:t>
      </w:r>
      <w:r w:rsidRPr="0031675F">
        <w:rPr>
          <w:spacing w:val="-2"/>
        </w:rPr>
        <w:t xml:space="preserve"> </w:t>
      </w:r>
      <w:r w:rsidRPr="0031675F">
        <w:t xml:space="preserve">the </w:t>
      </w:r>
      <w:r w:rsidRPr="0031675F">
        <w:rPr>
          <w:spacing w:val="-1"/>
        </w:rPr>
        <w:t>connector</w:t>
      </w:r>
      <w:r w:rsidRPr="0031675F">
        <w:rPr>
          <w:spacing w:val="-3"/>
        </w:rPr>
        <w:t xml:space="preserve"> </w:t>
      </w:r>
      <w:r w:rsidRPr="0031675F">
        <w:rPr>
          <w:spacing w:val="-1"/>
        </w:rPr>
        <w:t>end,</w:t>
      </w:r>
      <w:r w:rsidRPr="0031675F">
        <w:t xml:space="preserve"> and</w:t>
      </w:r>
      <w:r w:rsidRPr="0031675F">
        <w:rPr>
          <w:spacing w:val="-4"/>
        </w:rPr>
        <w:t xml:space="preserve"> </w:t>
      </w:r>
      <w:r w:rsidRPr="0031675F">
        <w:rPr>
          <w:spacing w:val="-1"/>
        </w:rPr>
        <w:t>remove</w:t>
      </w:r>
      <w:r w:rsidRPr="0031675F">
        <w:rPr>
          <w:spacing w:val="-2"/>
        </w:rPr>
        <w:t xml:space="preserve"> </w:t>
      </w:r>
      <w:r w:rsidRPr="0031675F">
        <w:t>the</w:t>
      </w:r>
      <w:r w:rsidRPr="0031675F">
        <w:rPr>
          <w:spacing w:val="-2"/>
        </w:rPr>
        <w:t xml:space="preserve"> </w:t>
      </w:r>
      <w:r w:rsidRPr="0031675F">
        <w:t xml:space="preserve">3 </w:t>
      </w:r>
      <w:r w:rsidRPr="0031675F">
        <w:rPr>
          <w:spacing w:val="-1"/>
        </w:rPr>
        <w:t>pin</w:t>
      </w:r>
      <w:r w:rsidRPr="0031675F">
        <w:rPr>
          <w:spacing w:val="-2"/>
        </w:rPr>
        <w:t xml:space="preserve"> </w:t>
      </w:r>
      <w:r w:rsidRPr="0031675F">
        <w:rPr>
          <w:spacing w:val="-1"/>
        </w:rPr>
        <w:t>power</w:t>
      </w:r>
      <w:r w:rsidRPr="0031675F">
        <w:rPr>
          <w:spacing w:val="-3"/>
        </w:rPr>
        <w:t xml:space="preserve"> </w:t>
      </w:r>
      <w:r w:rsidRPr="0031675F">
        <w:rPr>
          <w:spacing w:val="-1"/>
        </w:rPr>
        <w:t>plug (identified</w:t>
      </w:r>
      <w:r w:rsidRPr="0031675F">
        <w:t xml:space="preserve"> </w:t>
      </w:r>
      <w:r w:rsidRPr="0031675F">
        <w:rPr>
          <w:spacing w:val="-1"/>
        </w:rPr>
        <w:t>by</w:t>
      </w:r>
      <w:r w:rsidRPr="0031675F">
        <w:rPr>
          <w:spacing w:val="-2"/>
        </w:rPr>
        <w:t xml:space="preserve"> </w:t>
      </w:r>
      <w:r w:rsidRPr="0031675F">
        <w:t>red</w:t>
      </w:r>
      <w:r w:rsidRPr="0031675F">
        <w:rPr>
          <w:spacing w:val="-3"/>
        </w:rPr>
        <w:t xml:space="preserve"> </w:t>
      </w:r>
      <w:r w:rsidRPr="0031675F">
        <w:t>or</w:t>
      </w:r>
      <w:r w:rsidRPr="0031675F">
        <w:rPr>
          <w:spacing w:val="-2"/>
        </w:rPr>
        <w:t xml:space="preserve"> </w:t>
      </w:r>
      <w:r w:rsidRPr="0031675F">
        <w:rPr>
          <w:spacing w:val="-1"/>
        </w:rPr>
        <w:t>orange</w:t>
      </w:r>
      <w:r w:rsidRPr="0031675F">
        <w:t xml:space="preserve"> tape, or the newest plugs now have blue ends).</w:t>
      </w:r>
    </w:p>
    <w:p w14:paraId="3F1BC9D5"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Replace</w:t>
      </w:r>
      <w:r w:rsidRPr="0031675F">
        <w:rPr>
          <w:spacing w:val="-2"/>
        </w:rPr>
        <w:t xml:space="preserve"> </w:t>
      </w:r>
      <w:r w:rsidRPr="0031675F">
        <w:rPr>
          <w:spacing w:val="-1"/>
        </w:rPr>
        <w:t>this</w:t>
      </w:r>
      <w:r w:rsidRPr="0031675F">
        <w:t xml:space="preserve"> </w:t>
      </w:r>
      <w:r w:rsidRPr="0031675F">
        <w:rPr>
          <w:spacing w:val="-1"/>
        </w:rPr>
        <w:t>with</w:t>
      </w:r>
      <w:r w:rsidRPr="0031675F">
        <w:t xml:space="preserve"> the</w:t>
      </w:r>
      <w:r w:rsidRPr="0031675F">
        <w:rPr>
          <w:spacing w:val="-2"/>
        </w:rPr>
        <w:t xml:space="preserve"> </w:t>
      </w:r>
      <w:r w:rsidRPr="0031675F">
        <w:t>3</w:t>
      </w:r>
      <w:r w:rsidRPr="0031675F">
        <w:rPr>
          <w:spacing w:val="1"/>
        </w:rPr>
        <w:t xml:space="preserve"> </w:t>
      </w:r>
      <w:r w:rsidRPr="0031675F">
        <w:rPr>
          <w:spacing w:val="-1"/>
        </w:rPr>
        <w:t>pin</w:t>
      </w:r>
      <w:r w:rsidRPr="0031675F">
        <w:rPr>
          <w:spacing w:val="-3"/>
        </w:rPr>
        <w:t xml:space="preserve"> </w:t>
      </w:r>
      <w:r w:rsidRPr="0031675F">
        <w:rPr>
          <w:spacing w:val="-1"/>
        </w:rPr>
        <w:t>dummy</w:t>
      </w:r>
      <w:r w:rsidRPr="0031675F">
        <w:t xml:space="preserve"> </w:t>
      </w:r>
      <w:r w:rsidRPr="0031675F">
        <w:rPr>
          <w:spacing w:val="-1"/>
        </w:rPr>
        <w:t>plug (identified</w:t>
      </w:r>
      <w:r w:rsidRPr="0031675F">
        <w:t xml:space="preserve"> </w:t>
      </w:r>
      <w:r w:rsidRPr="0031675F">
        <w:rPr>
          <w:spacing w:val="-1"/>
        </w:rPr>
        <w:t>by</w:t>
      </w:r>
      <w:r w:rsidRPr="0031675F">
        <w:rPr>
          <w:spacing w:val="-2"/>
        </w:rPr>
        <w:t xml:space="preserve"> </w:t>
      </w:r>
      <w:r w:rsidRPr="0031675F">
        <w:rPr>
          <w:spacing w:val="-1"/>
        </w:rPr>
        <w:t>green tape).</w:t>
      </w:r>
    </w:p>
    <w:p w14:paraId="281ABE15" w14:textId="1E80BFAB" w:rsidR="0031675F" w:rsidRPr="0031675F" w:rsidRDefault="0031675F" w:rsidP="0031675F">
      <w:pPr>
        <w:widowControl w:val="0"/>
        <w:numPr>
          <w:ilvl w:val="3"/>
          <w:numId w:val="67"/>
        </w:numPr>
        <w:tabs>
          <w:tab w:val="left" w:pos="839"/>
        </w:tabs>
        <w:spacing w:before="0" w:after="0" w:line="240" w:lineRule="auto"/>
        <w:ind w:right="119"/>
      </w:pPr>
      <w:r w:rsidRPr="0031675F">
        <w:rPr>
          <w:spacing w:val="-1"/>
        </w:rPr>
        <w:t>Record</w:t>
      </w:r>
      <w:r w:rsidRPr="0031675F">
        <w:rPr>
          <w:spacing w:val="4"/>
        </w:rPr>
        <w:t xml:space="preserve"> </w:t>
      </w:r>
      <w:r w:rsidRPr="0031675F">
        <w:t>the</w:t>
      </w:r>
      <w:r w:rsidRPr="0031675F">
        <w:rPr>
          <w:spacing w:val="3"/>
        </w:rPr>
        <w:t xml:space="preserve"> </w:t>
      </w:r>
      <w:r w:rsidRPr="0031675F">
        <w:rPr>
          <w:spacing w:val="-1"/>
        </w:rPr>
        <w:t>time</w:t>
      </w:r>
      <w:r w:rsidRPr="0031675F">
        <w:rPr>
          <w:spacing w:val="5"/>
        </w:rPr>
        <w:t xml:space="preserve"> </w:t>
      </w:r>
      <w:r w:rsidRPr="0031675F">
        <w:t>the</w:t>
      </w:r>
      <w:r w:rsidRPr="0031675F">
        <w:rPr>
          <w:spacing w:val="3"/>
        </w:rPr>
        <w:t xml:space="preserve"> </w:t>
      </w:r>
      <w:r w:rsidRPr="0031675F">
        <w:rPr>
          <w:spacing w:val="-1"/>
        </w:rPr>
        <w:t>logger</w:t>
      </w:r>
      <w:r w:rsidRPr="0031675F">
        <w:rPr>
          <w:spacing w:val="3"/>
        </w:rPr>
        <w:t xml:space="preserve"> </w:t>
      </w:r>
      <w:r w:rsidRPr="0031675F">
        <w:t>is</w:t>
      </w:r>
      <w:r w:rsidRPr="0031675F">
        <w:rPr>
          <w:spacing w:val="4"/>
        </w:rPr>
        <w:t xml:space="preserve"> </w:t>
      </w:r>
      <w:r w:rsidRPr="0031675F">
        <w:t>switched</w:t>
      </w:r>
      <w:r w:rsidRPr="0031675F">
        <w:rPr>
          <w:spacing w:val="4"/>
        </w:rPr>
        <w:t xml:space="preserve"> </w:t>
      </w:r>
      <w:r w:rsidRPr="0031675F">
        <w:rPr>
          <w:spacing w:val="-1"/>
        </w:rPr>
        <w:t>off</w:t>
      </w:r>
      <w:r w:rsidRPr="0031675F">
        <w:rPr>
          <w:spacing w:val="5"/>
        </w:rPr>
        <w:t xml:space="preserve"> </w:t>
      </w:r>
      <w:r w:rsidRPr="0031675F">
        <w:t>on</w:t>
      </w:r>
      <w:r w:rsidRPr="0031675F">
        <w:rPr>
          <w:spacing w:val="2"/>
        </w:rPr>
        <w:t xml:space="preserve"> </w:t>
      </w:r>
      <w:r w:rsidRPr="0031675F">
        <w:t>the</w:t>
      </w:r>
      <w:r w:rsidRPr="0031675F">
        <w:rPr>
          <w:spacing w:val="5"/>
        </w:rPr>
        <w:t xml:space="preserve"> </w:t>
      </w:r>
      <w:r w:rsidRPr="0031675F">
        <w:rPr>
          <w:spacing w:val="-1"/>
        </w:rPr>
        <w:t>logger</w:t>
      </w:r>
      <w:r w:rsidRPr="0031675F">
        <w:rPr>
          <w:spacing w:val="5"/>
        </w:rPr>
        <w:t xml:space="preserve"> </w:t>
      </w:r>
      <w:r w:rsidRPr="0031675F">
        <w:rPr>
          <w:spacing w:val="-1"/>
        </w:rPr>
        <w:t>recovery</w:t>
      </w:r>
      <w:r w:rsidRPr="0031675F">
        <w:rPr>
          <w:spacing w:val="3"/>
        </w:rPr>
        <w:t xml:space="preserve"> </w:t>
      </w:r>
      <w:r w:rsidRPr="0031675F">
        <w:rPr>
          <w:spacing w:val="-1"/>
        </w:rPr>
        <w:t>datasheet</w:t>
      </w:r>
      <w:r w:rsidRPr="0031675F">
        <w:rPr>
          <w:spacing w:val="5"/>
        </w:rPr>
        <w:t xml:space="preserve"> </w:t>
      </w:r>
    </w:p>
    <w:p w14:paraId="24FAECF8" w14:textId="77777777" w:rsidR="0031675F" w:rsidRPr="0031675F" w:rsidRDefault="0031675F" w:rsidP="0031675F">
      <w:pPr>
        <w:spacing w:before="117" w:after="120" w:line="266" w:lineRule="exact"/>
        <w:ind w:right="120"/>
      </w:pPr>
      <w:r w:rsidRPr="0031675F">
        <w:rPr>
          <w:spacing w:val="-1"/>
        </w:rPr>
        <w:t>Once</w:t>
      </w:r>
      <w:r w:rsidRPr="0031675F">
        <w:t xml:space="preserve"> there</w:t>
      </w:r>
      <w:r w:rsidRPr="0031675F">
        <w:rPr>
          <w:spacing w:val="8"/>
        </w:rPr>
        <w:t xml:space="preserve"> </w:t>
      </w:r>
      <w:r w:rsidRPr="0031675F">
        <w:t>is</w:t>
      </w:r>
      <w:r w:rsidRPr="0031675F">
        <w:rPr>
          <w:spacing w:val="7"/>
        </w:rPr>
        <w:t xml:space="preserve"> </w:t>
      </w:r>
      <w:r w:rsidRPr="0031675F">
        <w:rPr>
          <w:spacing w:val="-1"/>
        </w:rPr>
        <w:t>time</w:t>
      </w:r>
      <w:r w:rsidRPr="0031675F">
        <w:t xml:space="preserve"> </w:t>
      </w:r>
      <w:r w:rsidRPr="0031675F">
        <w:rPr>
          <w:spacing w:val="-1"/>
        </w:rPr>
        <w:t>available,</w:t>
      </w:r>
      <w:r w:rsidRPr="0031675F">
        <w:rPr>
          <w:spacing w:val="8"/>
        </w:rPr>
        <w:t xml:space="preserve"> </w:t>
      </w:r>
      <w:r w:rsidRPr="0031675F">
        <w:rPr>
          <w:spacing w:val="-1"/>
        </w:rPr>
        <w:t>following</w:t>
      </w:r>
      <w:r w:rsidRPr="0031675F">
        <w:t xml:space="preserve"> </w:t>
      </w:r>
      <w:r w:rsidRPr="0031675F">
        <w:rPr>
          <w:spacing w:val="-1"/>
        </w:rPr>
        <w:t>processing</w:t>
      </w:r>
      <w:r w:rsidRPr="0031675F">
        <w:t xml:space="preserve"> of</w:t>
      </w:r>
      <w:r w:rsidRPr="0031675F">
        <w:rPr>
          <w:spacing w:val="8"/>
        </w:rPr>
        <w:t xml:space="preserve"> </w:t>
      </w:r>
      <w:r w:rsidRPr="0031675F">
        <w:t xml:space="preserve">the </w:t>
      </w:r>
      <w:r w:rsidRPr="0031675F">
        <w:rPr>
          <w:spacing w:val="-1"/>
        </w:rPr>
        <w:t>water</w:t>
      </w:r>
      <w:r w:rsidRPr="0031675F">
        <w:t xml:space="preserve"> </w:t>
      </w:r>
      <w:r w:rsidRPr="0031675F">
        <w:rPr>
          <w:spacing w:val="-1"/>
        </w:rPr>
        <w:t>samples,</w:t>
      </w:r>
      <w:r w:rsidRPr="0031675F">
        <w:t xml:space="preserve"> </w:t>
      </w:r>
      <w:r w:rsidRPr="0031675F">
        <w:rPr>
          <w:spacing w:val="-1"/>
        </w:rPr>
        <w:t>other</w:t>
      </w:r>
      <w:r w:rsidRPr="0031675F">
        <w:rPr>
          <w:spacing w:val="8"/>
        </w:rPr>
        <w:t xml:space="preserve"> </w:t>
      </w:r>
      <w:r w:rsidRPr="0031675F">
        <w:t>tasks</w:t>
      </w:r>
      <w:r w:rsidRPr="0031675F">
        <w:rPr>
          <w:spacing w:val="8"/>
        </w:rPr>
        <w:t xml:space="preserve"> </w:t>
      </w:r>
      <w:r w:rsidRPr="0031675F">
        <w:t>with</w:t>
      </w:r>
      <w:r w:rsidRPr="0031675F">
        <w:rPr>
          <w:spacing w:val="7"/>
        </w:rPr>
        <w:t xml:space="preserve"> </w:t>
      </w:r>
      <w:r w:rsidRPr="0031675F">
        <w:t>the</w:t>
      </w:r>
      <w:r w:rsidRPr="0031675F">
        <w:rPr>
          <w:spacing w:val="47"/>
        </w:rPr>
        <w:t xml:space="preserve"> </w:t>
      </w:r>
      <w:r w:rsidRPr="0031675F">
        <w:rPr>
          <w:spacing w:val="-1"/>
        </w:rPr>
        <w:t>recovered</w:t>
      </w:r>
      <w:r w:rsidRPr="0031675F">
        <w:t xml:space="preserve"> </w:t>
      </w:r>
      <w:r w:rsidRPr="0031675F">
        <w:rPr>
          <w:spacing w:val="-1"/>
        </w:rPr>
        <w:t>logger include:</w:t>
      </w:r>
    </w:p>
    <w:p w14:paraId="4961A88E" w14:textId="77777777" w:rsidR="0031675F" w:rsidRPr="0031675F" w:rsidRDefault="0031675F" w:rsidP="0031675F">
      <w:pPr>
        <w:widowControl w:val="0"/>
        <w:numPr>
          <w:ilvl w:val="3"/>
          <w:numId w:val="67"/>
        </w:numPr>
        <w:tabs>
          <w:tab w:val="left" w:pos="839"/>
        </w:tabs>
        <w:spacing w:before="126" w:after="0" w:line="240" w:lineRule="auto"/>
        <w:ind w:right="120"/>
      </w:pPr>
      <w:r w:rsidRPr="0031675F">
        <w:rPr>
          <w:spacing w:val="-1"/>
        </w:rPr>
        <w:t>Photograph</w:t>
      </w:r>
      <w:r w:rsidRPr="0031675F">
        <w:rPr>
          <w:spacing w:val="34"/>
        </w:rPr>
        <w:t xml:space="preserve"> </w:t>
      </w:r>
      <w:r w:rsidRPr="0031675F">
        <w:rPr>
          <w:spacing w:val="-1"/>
        </w:rPr>
        <w:t>the</w:t>
      </w:r>
      <w:r w:rsidRPr="0031675F">
        <w:rPr>
          <w:spacing w:val="37"/>
        </w:rPr>
        <w:t xml:space="preserve"> </w:t>
      </w:r>
      <w:r w:rsidRPr="0031675F">
        <w:rPr>
          <w:spacing w:val="-1"/>
        </w:rPr>
        <w:t>logger</w:t>
      </w:r>
      <w:r w:rsidRPr="0031675F">
        <w:rPr>
          <w:spacing w:val="34"/>
        </w:rPr>
        <w:t xml:space="preserve"> </w:t>
      </w:r>
      <w:r w:rsidRPr="0031675F">
        <w:t>to</w:t>
      </w:r>
      <w:r w:rsidRPr="0031675F">
        <w:rPr>
          <w:spacing w:val="32"/>
        </w:rPr>
        <w:t xml:space="preserve"> </w:t>
      </w:r>
      <w:r w:rsidRPr="0031675F">
        <w:rPr>
          <w:spacing w:val="-1"/>
        </w:rPr>
        <w:t>show</w:t>
      </w:r>
      <w:r w:rsidRPr="0031675F">
        <w:rPr>
          <w:spacing w:val="35"/>
        </w:rPr>
        <w:t xml:space="preserve"> </w:t>
      </w:r>
      <w:r w:rsidRPr="0031675F">
        <w:t>the</w:t>
      </w:r>
      <w:r w:rsidRPr="0031675F">
        <w:rPr>
          <w:spacing w:val="36"/>
        </w:rPr>
        <w:t xml:space="preserve"> </w:t>
      </w:r>
      <w:r w:rsidRPr="0031675F">
        <w:rPr>
          <w:spacing w:val="-1"/>
        </w:rPr>
        <w:t>degree</w:t>
      </w:r>
      <w:r w:rsidRPr="0031675F">
        <w:rPr>
          <w:spacing w:val="34"/>
        </w:rPr>
        <w:t xml:space="preserve"> </w:t>
      </w:r>
      <w:r w:rsidRPr="0031675F">
        <w:t>of</w:t>
      </w:r>
      <w:r w:rsidRPr="0031675F">
        <w:rPr>
          <w:spacing w:val="33"/>
        </w:rPr>
        <w:t xml:space="preserve"> </w:t>
      </w:r>
      <w:r w:rsidRPr="0031675F">
        <w:rPr>
          <w:spacing w:val="-1"/>
        </w:rPr>
        <w:t>fouling</w:t>
      </w:r>
      <w:r w:rsidRPr="0031675F">
        <w:rPr>
          <w:spacing w:val="35"/>
        </w:rPr>
        <w:t xml:space="preserve"> </w:t>
      </w:r>
      <w:r w:rsidRPr="0031675F">
        <w:t>on</w:t>
      </w:r>
      <w:r w:rsidRPr="0031675F">
        <w:rPr>
          <w:spacing w:val="35"/>
        </w:rPr>
        <w:t xml:space="preserve"> </w:t>
      </w:r>
      <w:r w:rsidRPr="0031675F">
        <w:t>the</w:t>
      </w:r>
      <w:r w:rsidRPr="0031675F">
        <w:rPr>
          <w:spacing w:val="36"/>
        </w:rPr>
        <w:t xml:space="preserve"> </w:t>
      </w:r>
      <w:r w:rsidRPr="0031675F">
        <w:rPr>
          <w:spacing w:val="-1"/>
        </w:rPr>
        <w:t>instrument.</w:t>
      </w:r>
      <w:r w:rsidRPr="0031675F">
        <w:rPr>
          <w:spacing w:val="36"/>
        </w:rPr>
        <w:t xml:space="preserve"> </w:t>
      </w:r>
      <w:r w:rsidRPr="0031675F">
        <w:rPr>
          <w:spacing w:val="-1"/>
        </w:rPr>
        <w:t>(Example</w:t>
      </w:r>
      <w:r w:rsidRPr="0031675F">
        <w:rPr>
          <w:spacing w:val="36"/>
        </w:rPr>
        <w:t xml:space="preserve"> </w:t>
      </w:r>
      <w:r w:rsidRPr="0031675F">
        <w:rPr>
          <w:spacing w:val="-2"/>
        </w:rPr>
        <w:t>photo</w:t>
      </w:r>
      <w:r w:rsidRPr="0031675F">
        <w:rPr>
          <w:spacing w:val="41"/>
        </w:rPr>
        <w:t xml:space="preserve"> </w:t>
      </w:r>
      <w:r w:rsidRPr="0031675F">
        <w:t>below</w:t>
      </w:r>
      <w:r w:rsidRPr="0031675F">
        <w:rPr>
          <w:spacing w:val="-2"/>
        </w:rPr>
        <w:t xml:space="preserve"> </w:t>
      </w:r>
      <w:r w:rsidRPr="0031675F">
        <w:rPr>
          <w:spacing w:val="-1"/>
        </w:rPr>
        <w:t>showing</w:t>
      </w:r>
      <w:r w:rsidRPr="0031675F">
        <w:rPr>
          <w:spacing w:val="-2"/>
        </w:rPr>
        <w:t xml:space="preserve"> </w:t>
      </w:r>
      <w:r w:rsidRPr="0031675F">
        <w:rPr>
          <w:spacing w:val="-1"/>
        </w:rPr>
        <w:t>fouling</w:t>
      </w:r>
      <w:r w:rsidRPr="0031675F">
        <w:rPr>
          <w:spacing w:val="-3"/>
        </w:rPr>
        <w:t xml:space="preserve"> </w:t>
      </w:r>
      <w:r w:rsidRPr="0031675F">
        <w:t>on a</w:t>
      </w:r>
      <w:r w:rsidRPr="0031675F">
        <w:rPr>
          <w:spacing w:val="-2"/>
        </w:rPr>
        <w:t xml:space="preserve"> </w:t>
      </w:r>
      <w:r w:rsidRPr="0031675F">
        <w:rPr>
          <w:spacing w:val="-1"/>
        </w:rPr>
        <w:t>recovered</w:t>
      </w:r>
      <w:r w:rsidRPr="0031675F">
        <w:t xml:space="preserve"> </w:t>
      </w:r>
      <w:r w:rsidRPr="0031675F">
        <w:rPr>
          <w:spacing w:val="-1"/>
        </w:rPr>
        <w:t>logger).</w:t>
      </w:r>
    </w:p>
    <w:p w14:paraId="428C2DD9"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Carefully</w:t>
      </w:r>
      <w:r w:rsidRPr="0031675F">
        <w:t xml:space="preserve"> </w:t>
      </w:r>
      <w:r w:rsidRPr="0031675F">
        <w:rPr>
          <w:spacing w:val="-1"/>
        </w:rPr>
        <w:t>remove</w:t>
      </w:r>
      <w:r w:rsidRPr="0031675F">
        <w:rPr>
          <w:spacing w:val="-2"/>
        </w:rPr>
        <w:t xml:space="preserve"> </w:t>
      </w:r>
      <w:r w:rsidRPr="0031675F">
        <w:t xml:space="preserve">the </w:t>
      </w:r>
      <w:r w:rsidRPr="0031675F">
        <w:rPr>
          <w:spacing w:val="-2"/>
        </w:rPr>
        <w:t>plastic</w:t>
      </w:r>
      <w:r w:rsidRPr="0031675F">
        <w:t xml:space="preserve"> </w:t>
      </w:r>
      <w:r w:rsidRPr="0031675F">
        <w:rPr>
          <w:spacing w:val="-1"/>
        </w:rPr>
        <w:t>and tape</w:t>
      </w:r>
      <w:r w:rsidRPr="0031675F">
        <w:t xml:space="preserve"> </w:t>
      </w:r>
      <w:r w:rsidRPr="0031675F">
        <w:rPr>
          <w:spacing w:val="-2"/>
        </w:rPr>
        <w:t>from</w:t>
      </w:r>
      <w:r w:rsidRPr="0031675F">
        <w:rPr>
          <w:spacing w:val="1"/>
        </w:rPr>
        <w:t xml:space="preserve"> </w:t>
      </w:r>
      <w:r w:rsidRPr="0031675F">
        <w:rPr>
          <w:spacing w:val="-2"/>
        </w:rPr>
        <w:t>the</w:t>
      </w:r>
      <w:r w:rsidRPr="0031675F">
        <w:t xml:space="preserve"> </w:t>
      </w:r>
      <w:r w:rsidRPr="0031675F">
        <w:rPr>
          <w:spacing w:val="-1"/>
        </w:rPr>
        <w:t>logger</w:t>
      </w:r>
      <w:r w:rsidRPr="0031675F">
        <w:rPr>
          <w:spacing w:val="-2"/>
        </w:rPr>
        <w:t xml:space="preserve"> </w:t>
      </w:r>
      <w:r w:rsidRPr="0031675F">
        <w:rPr>
          <w:spacing w:val="-1"/>
        </w:rPr>
        <w:t>casing.</w:t>
      </w:r>
    </w:p>
    <w:p w14:paraId="16C7A4A4" w14:textId="77777777" w:rsidR="0031675F" w:rsidRPr="0031675F" w:rsidRDefault="0031675F" w:rsidP="0031675F">
      <w:pPr>
        <w:widowControl w:val="0"/>
        <w:numPr>
          <w:ilvl w:val="3"/>
          <w:numId w:val="67"/>
        </w:numPr>
        <w:tabs>
          <w:tab w:val="left" w:pos="839"/>
        </w:tabs>
        <w:spacing w:before="120" w:after="0" w:line="240" w:lineRule="auto"/>
        <w:ind w:right="119"/>
      </w:pPr>
      <w:r w:rsidRPr="0031675F">
        <w:rPr>
          <w:spacing w:val="-1"/>
        </w:rPr>
        <w:t>Rinse</w:t>
      </w:r>
      <w:r w:rsidRPr="0031675F">
        <w:rPr>
          <w:spacing w:val="36"/>
        </w:rPr>
        <w:t xml:space="preserve"> </w:t>
      </w:r>
      <w:r w:rsidRPr="0031675F">
        <w:t>the</w:t>
      </w:r>
      <w:r w:rsidRPr="0031675F">
        <w:rPr>
          <w:spacing w:val="36"/>
        </w:rPr>
        <w:t xml:space="preserve"> </w:t>
      </w:r>
      <w:r w:rsidRPr="0031675F">
        <w:rPr>
          <w:spacing w:val="-1"/>
        </w:rPr>
        <w:t>logger</w:t>
      </w:r>
      <w:r w:rsidRPr="0031675F">
        <w:rPr>
          <w:spacing w:val="36"/>
        </w:rPr>
        <w:t xml:space="preserve"> </w:t>
      </w:r>
      <w:r w:rsidRPr="0031675F">
        <w:t>clean</w:t>
      </w:r>
      <w:r w:rsidRPr="0031675F">
        <w:rPr>
          <w:spacing w:val="34"/>
        </w:rPr>
        <w:t xml:space="preserve"> </w:t>
      </w:r>
      <w:r w:rsidRPr="0031675F">
        <w:rPr>
          <w:spacing w:val="-1"/>
        </w:rPr>
        <w:t>with</w:t>
      </w:r>
      <w:r w:rsidRPr="0031675F">
        <w:rPr>
          <w:spacing w:val="35"/>
        </w:rPr>
        <w:t xml:space="preserve"> </w:t>
      </w:r>
      <w:r w:rsidRPr="0031675F">
        <w:rPr>
          <w:spacing w:val="-1"/>
        </w:rPr>
        <w:t>fresh</w:t>
      </w:r>
      <w:r w:rsidRPr="0031675F">
        <w:rPr>
          <w:spacing w:val="36"/>
        </w:rPr>
        <w:t xml:space="preserve"> </w:t>
      </w:r>
      <w:r w:rsidRPr="0031675F">
        <w:t>water</w:t>
      </w:r>
      <w:r w:rsidRPr="0031675F">
        <w:rPr>
          <w:spacing w:val="36"/>
        </w:rPr>
        <w:t xml:space="preserve"> </w:t>
      </w:r>
      <w:r w:rsidRPr="0031675F">
        <w:rPr>
          <w:spacing w:val="-1"/>
        </w:rPr>
        <w:t>(now</w:t>
      </w:r>
      <w:r w:rsidRPr="0031675F">
        <w:rPr>
          <w:spacing w:val="36"/>
        </w:rPr>
        <w:t xml:space="preserve"> </w:t>
      </w:r>
      <w:r w:rsidRPr="0031675F">
        <w:t>that</w:t>
      </w:r>
      <w:r w:rsidRPr="0031675F">
        <w:rPr>
          <w:spacing w:val="36"/>
        </w:rPr>
        <w:t xml:space="preserve"> </w:t>
      </w:r>
      <w:r w:rsidRPr="0031675F">
        <w:rPr>
          <w:spacing w:val="-1"/>
        </w:rPr>
        <w:t>the</w:t>
      </w:r>
      <w:r w:rsidRPr="0031675F">
        <w:rPr>
          <w:spacing w:val="37"/>
        </w:rPr>
        <w:t xml:space="preserve"> </w:t>
      </w:r>
      <w:r w:rsidRPr="0031675F">
        <w:t>bio-wiper</w:t>
      </w:r>
      <w:r w:rsidRPr="0031675F">
        <w:rPr>
          <w:spacing w:val="35"/>
        </w:rPr>
        <w:t xml:space="preserve"> </w:t>
      </w:r>
      <w:r w:rsidRPr="0031675F">
        <w:t>is</w:t>
      </w:r>
      <w:r w:rsidRPr="0031675F">
        <w:rPr>
          <w:spacing w:val="36"/>
        </w:rPr>
        <w:t xml:space="preserve"> </w:t>
      </w:r>
      <w:r w:rsidRPr="0031675F">
        <w:rPr>
          <w:spacing w:val="-1"/>
        </w:rPr>
        <w:t>no</w:t>
      </w:r>
      <w:r w:rsidRPr="0031675F">
        <w:rPr>
          <w:spacing w:val="37"/>
        </w:rPr>
        <w:t xml:space="preserve"> </w:t>
      </w:r>
      <w:r w:rsidRPr="0031675F">
        <w:rPr>
          <w:spacing w:val="-1"/>
        </w:rPr>
        <w:t>longer</w:t>
      </w:r>
      <w:r w:rsidRPr="0031675F">
        <w:rPr>
          <w:spacing w:val="34"/>
        </w:rPr>
        <w:t xml:space="preserve"> </w:t>
      </w:r>
      <w:r w:rsidRPr="0031675F">
        <w:rPr>
          <w:spacing w:val="-1"/>
        </w:rPr>
        <w:t>functioning</w:t>
      </w:r>
      <w:r w:rsidRPr="0031675F">
        <w:rPr>
          <w:spacing w:val="49"/>
        </w:rPr>
        <w:t xml:space="preserve"> </w:t>
      </w:r>
      <w:r w:rsidRPr="0031675F">
        <w:rPr>
          <w:spacing w:val="-1"/>
        </w:rPr>
        <w:t>because the</w:t>
      </w:r>
      <w:r w:rsidRPr="0031675F">
        <w:t xml:space="preserve"> </w:t>
      </w:r>
      <w:r w:rsidRPr="0031675F">
        <w:rPr>
          <w:spacing w:val="-1"/>
        </w:rPr>
        <w:t>logger</w:t>
      </w:r>
      <w:r w:rsidRPr="0031675F">
        <w:t xml:space="preserve"> is</w:t>
      </w:r>
      <w:r w:rsidRPr="0031675F">
        <w:rPr>
          <w:spacing w:val="-3"/>
        </w:rPr>
        <w:t xml:space="preserve"> </w:t>
      </w:r>
      <w:r w:rsidRPr="0031675F">
        <w:rPr>
          <w:spacing w:val="-1"/>
        </w:rPr>
        <w:t>switched off).</w:t>
      </w:r>
      <w:r w:rsidRPr="0031675F">
        <w:t xml:space="preserve"> </w:t>
      </w:r>
      <w:r w:rsidRPr="0031675F">
        <w:rPr>
          <w:spacing w:val="-1"/>
        </w:rPr>
        <w:t>Allow</w:t>
      </w:r>
      <w:r w:rsidRPr="0031675F">
        <w:rPr>
          <w:spacing w:val="-2"/>
        </w:rPr>
        <w:t xml:space="preserve"> </w:t>
      </w:r>
      <w:r w:rsidRPr="0031675F">
        <w:rPr>
          <w:spacing w:val="-1"/>
        </w:rPr>
        <w:t>to</w:t>
      </w:r>
      <w:r w:rsidRPr="0031675F">
        <w:rPr>
          <w:spacing w:val="1"/>
        </w:rPr>
        <w:t xml:space="preserve"> </w:t>
      </w:r>
      <w:r w:rsidRPr="0031675F">
        <w:rPr>
          <w:spacing w:val="-1"/>
        </w:rPr>
        <w:t>dry.</w:t>
      </w:r>
    </w:p>
    <w:p w14:paraId="0403F402" w14:textId="77777777" w:rsidR="0031675F" w:rsidRPr="0031675F" w:rsidRDefault="0031675F" w:rsidP="0031675F">
      <w:pPr>
        <w:widowControl w:val="0"/>
        <w:numPr>
          <w:ilvl w:val="3"/>
          <w:numId w:val="67"/>
        </w:numPr>
        <w:tabs>
          <w:tab w:val="left" w:pos="839"/>
        </w:tabs>
        <w:spacing w:before="118" w:after="0" w:line="240" w:lineRule="auto"/>
        <w:ind w:right="120"/>
      </w:pPr>
      <w:r w:rsidRPr="0031675F">
        <w:rPr>
          <w:spacing w:val="-1"/>
        </w:rPr>
        <w:t>Take</w:t>
      </w:r>
      <w:r w:rsidRPr="0031675F">
        <w:rPr>
          <w:spacing w:val="41"/>
        </w:rPr>
        <w:t xml:space="preserve"> </w:t>
      </w:r>
      <w:r w:rsidRPr="0031675F">
        <w:rPr>
          <w:spacing w:val="-1"/>
        </w:rPr>
        <w:t>further</w:t>
      </w:r>
      <w:r w:rsidRPr="0031675F">
        <w:rPr>
          <w:spacing w:val="38"/>
        </w:rPr>
        <w:t xml:space="preserve"> </w:t>
      </w:r>
      <w:r w:rsidRPr="0031675F">
        <w:rPr>
          <w:spacing w:val="-1"/>
        </w:rPr>
        <w:t>macro</w:t>
      </w:r>
      <w:r w:rsidRPr="0031675F">
        <w:rPr>
          <w:spacing w:val="42"/>
        </w:rPr>
        <w:t xml:space="preserve"> </w:t>
      </w:r>
      <w:r w:rsidRPr="0031675F">
        <w:rPr>
          <w:spacing w:val="-1"/>
        </w:rPr>
        <w:t>photographs</w:t>
      </w:r>
      <w:r w:rsidRPr="0031675F">
        <w:rPr>
          <w:spacing w:val="40"/>
        </w:rPr>
        <w:t xml:space="preserve"> </w:t>
      </w:r>
      <w:r w:rsidRPr="0031675F">
        <w:t>to</w:t>
      </w:r>
      <w:r w:rsidRPr="0031675F">
        <w:rPr>
          <w:spacing w:val="43"/>
        </w:rPr>
        <w:t xml:space="preserve"> </w:t>
      </w:r>
      <w:r w:rsidRPr="0031675F">
        <w:t>record</w:t>
      </w:r>
      <w:r w:rsidRPr="0031675F">
        <w:rPr>
          <w:spacing w:val="40"/>
        </w:rPr>
        <w:t xml:space="preserve"> </w:t>
      </w:r>
      <w:r w:rsidRPr="0031675F">
        <w:rPr>
          <w:spacing w:val="-1"/>
        </w:rPr>
        <w:t>the</w:t>
      </w:r>
      <w:r w:rsidRPr="0031675F">
        <w:rPr>
          <w:spacing w:val="42"/>
        </w:rPr>
        <w:t xml:space="preserve"> </w:t>
      </w:r>
      <w:r w:rsidRPr="0031675F">
        <w:rPr>
          <w:spacing w:val="-1"/>
        </w:rPr>
        <w:t>condition</w:t>
      </w:r>
      <w:r w:rsidRPr="0031675F">
        <w:rPr>
          <w:spacing w:val="39"/>
        </w:rPr>
        <w:t xml:space="preserve"> </w:t>
      </w:r>
      <w:r w:rsidRPr="0031675F">
        <w:t>of</w:t>
      </w:r>
      <w:r w:rsidRPr="0031675F">
        <w:rPr>
          <w:spacing w:val="41"/>
        </w:rPr>
        <w:t xml:space="preserve"> </w:t>
      </w:r>
      <w:r w:rsidRPr="0031675F">
        <w:t>the</w:t>
      </w:r>
      <w:r w:rsidRPr="0031675F">
        <w:rPr>
          <w:spacing w:val="41"/>
        </w:rPr>
        <w:t xml:space="preserve"> </w:t>
      </w:r>
      <w:r w:rsidRPr="0031675F">
        <w:rPr>
          <w:spacing w:val="-1"/>
        </w:rPr>
        <w:t>faceplate,</w:t>
      </w:r>
      <w:r w:rsidRPr="0031675F">
        <w:rPr>
          <w:spacing w:val="40"/>
        </w:rPr>
        <w:t xml:space="preserve"> </w:t>
      </w:r>
      <w:r w:rsidRPr="0031675F">
        <w:t>bio-wiper</w:t>
      </w:r>
      <w:r w:rsidRPr="0031675F">
        <w:rPr>
          <w:spacing w:val="41"/>
        </w:rPr>
        <w:t xml:space="preserve"> </w:t>
      </w:r>
      <w:r w:rsidRPr="0031675F">
        <w:rPr>
          <w:spacing w:val="-1"/>
        </w:rPr>
        <w:t>and</w:t>
      </w:r>
      <w:r w:rsidRPr="0031675F">
        <w:rPr>
          <w:spacing w:val="49"/>
        </w:rPr>
        <w:t xml:space="preserve"> </w:t>
      </w:r>
      <w:r w:rsidRPr="0031675F">
        <w:t>optical</w:t>
      </w:r>
      <w:r w:rsidRPr="0031675F">
        <w:rPr>
          <w:spacing w:val="-2"/>
        </w:rPr>
        <w:t xml:space="preserve"> </w:t>
      </w:r>
      <w:r w:rsidRPr="0031675F">
        <w:rPr>
          <w:spacing w:val="-1"/>
        </w:rPr>
        <w:t>window</w:t>
      </w:r>
      <w:r w:rsidRPr="0031675F">
        <w:rPr>
          <w:spacing w:val="1"/>
        </w:rPr>
        <w:t xml:space="preserve"> </w:t>
      </w:r>
      <w:r w:rsidRPr="0031675F">
        <w:t>of</w:t>
      </w:r>
      <w:r w:rsidRPr="0031675F">
        <w:rPr>
          <w:spacing w:val="-3"/>
        </w:rPr>
        <w:t xml:space="preserve"> </w:t>
      </w:r>
      <w:r w:rsidRPr="0031675F">
        <w:rPr>
          <w:spacing w:val="-1"/>
        </w:rPr>
        <w:t>the</w:t>
      </w:r>
      <w:r w:rsidRPr="0031675F">
        <w:rPr>
          <w:spacing w:val="-2"/>
        </w:rPr>
        <w:t xml:space="preserve"> </w:t>
      </w:r>
      <w:r w:rsidRPr="0031675F">
        <w:rPr>
          <w:spacing w:val="-1"/>
        </w:rPr>
        <w:t>logger.</w:t>
      </w:r>
    </w:p>
    <w:p w14:paraId="26B4AEB2" w14:textId="77777777" w:rsidR="0031675F" w:rsidRPr="0031675F" w:rsidRDefault="0031675F" w:rsidP="0031675F">
      <w:pPr>
        <w:tabs>
          <w:tab w:val="left" w:pos="839"/>
        </w:tabs>
        <w:spacing w:before="118" w:after="120"/>
        <w:ind w:right="120"/>
      </w:pPr>
      <w:r w:rsidRPr="0031675F">
        <w:rPr>
          <w:spacing w:val="-1"/>
        </w:rPr>
        <w:t>Once</w:t>
      </w:r>
      <w:r w:rsidRPr="0031675F">
        <w:t xml:space="preserve"> there</w:t>
      </w:r>
      <w:r w:rsidRPr="0031675F">
        <w:rPr>
          <w:spacing w:val="8"/>
        </w:rPr>
        <w:t xml:space="preserve"> </w:t>
      </w:r>
      <w:r w:rsidRPr="0031675F">
        <w:t>is</w:t>
      </w:r>
      <w:r w:rsidRPr="0031675F">
        <w:rPr>
          <w:spacing w:val="7"/>
        </w:rPr>
        <w:t xml:space="preserve"> </w:t>
      </w:r>
      <w:r w:rsidRPr="0031675F">
        <w:rPr>
          <w:spacing w:val="-1"/>
        </w:rPr>
        <w:t>time</w:t>
      </w:r>
      <w:r w:rsidRPr="0031675F">
        <w:t xml:space="preserve"> </w:t>
      </w:r>
      <w:r w:rsidRPr="0031675F">
        <w:rPr>
          <w:spacing w:val="-1"/>
        </w:rPr>
        <w:t>available,</w:t>
      </w:r>
      <w:r w:rsidRPr="0031675F">
        <w:rPr>
          <w:spacing w:val="8"/>
        </w:rPr>
        <w:t xml:space="preserve"> </w:t>
      </w:r>
      <w:r w:rsidRPr="0031675F">
        <w:rPr>
          <w:spacing w:val="-1"/>
        </w:rPr>
        <w:t>following</w:t>
      </w:r>
      <w:r w:rsidRPr="0031675F">
        <w:t xml:space="preserve"> </w:t>
      </w:r>
      <w:r w:rsidRPr="0031675F">
        <w:rPr>
          <w:spacing w:val="-1"/>
        </w:rPr>
        <w:t>processing</w:t>
      </w:r>
    </w:p>
    <w:p w14:paraId="7C9E9E74" w14:textId="77777777" w:rsidR="0031675F" w:rsidRPr="0031675F" w:rsidRDefault="0031675F" w:rsidP="0031675F">
      <w:pPr>
        <w:widowControl w:val="0"/>
        <w:numPr>
          <w:ilvl w:val="3"/>
          <w:numId w:val="67"/>
        </w:numPr>
        <w:tabs>
          <w:tab w:val="left" w:pos="839"/>
        </w:tabs>
        <w:spacing w:before="121" w:after="0" w:line="240" w:lineRule="auto"/>
      </w:pPr>
      <w:r w:rsidRPr="0031675F">
        <w:rPr>
          <w:spacing w:val="-1"/>
        </w:rPr>
        <w:t>Remove</w:t>
      </w:r>
      <w:r w:rsidRPr="0031675F">
        <w:rPr>
          <w:spacing w:val="-2"/>
        </w:rPr>
        <w:t xml:space="preserve"> </w:t>
      </w:r>
      <w:r w:rsidRPr="0031675F">
        <w:t xml:space="preserve">the </w:t>
      </w:r>
      <w:r w:rsidRPr="0031675F">
        <w:rPr>
          <w:spacing w:val="-1"/>
        </w:rPr>
        <w:t>bio-wiper</w:t>
      </w:r>
      <w:r w:rsidRPr="0031675F">
        <w:rPr>
          <w:spacing w:val="-3"/>
        </w:rPr>
        <w:t xml:space="preserve"> </w:t>
      </w:r>
      <w:r w:rsidRPr="0031675F">
        <w:rPr>
          <w:spacing w:val="-1"/>
        </w:rPr>
        <w:t>carefully</w:t>
      </w:r>
      <w:r w:rsidRPr="0031675F">
        <w:t xml:space="preserve"> with</w:t>
      </w:r>
      <w:r w:rsidRPr="0031675F">
        <w:rPr>
          <w:spacing w:val="-3"/>
        </w:rPr>
        <w:t xml:space="preserve"> </w:t>
      </w:r>
      <w:r w:rsidRPr="0031675F">
        <w:t xml:space="preserve">the </w:t>
      </w:r>
      <w:r w:rsidRPr="0031675F">
        <w:rPr>
          <w:spacing w:val="-1"/>
        </w:rPr>
        <w:t>allen</w:t>
      </w:r>
      <w:r w:rsidRPr="0031675F">
        <w:t xml:space="preserve"> </w:t>
      </w:r>
      <w:r w:rsidRPr="0031675F">
        <w:rPr>
          <w:spacing w:val="-1"/>
        </w:rPr>
        <w:t>key.</w:t>
      </w:r>
    </w:p>
    <w:p w14:paraId="6C31C664" w14:textId="4C45D11F" w:rsidR="0031675F" w:rsidRPr="0031675F" w:rsidRDefault="0031675F" w:rsidP="0031675F">
      <w:pPr>
        <w:widowControl w:val="0"/>
        <w:numPr>
          <w:ilvl w:val="3"/>
          <w:numId w:val="67"/>
        </w:numPr>
        <w:tabs>
          <w:tab w:val="left" w:pos="839"/>
        </w:tabs>
        <w:spacing w:before="120" w:after="0" w:line="240" w:lineRule="auto"/>
        <w:ind w:right="120"/>
      </w:pPr>
      <w:r w:rsidRPr="0031675F">
        <w:rPr>
          <w:spacing w:val="-1"/>
        </w:rPr>
        <w:t>Download</w:t>
      </w:r>
      <w:r w:rsidRPr="0031675F">
        <w:rPr>
          <w:spacing w:val="46"/>
        </w:rPr>
        <w:t xml:space="preserve"> </w:t>
      </w:r>
      <w:r w:rsidRPr="0031675F">
        <w:t>the</w:t>
      </w:r>
      <w:r w:rsidRPr="0031675F">
        <w:rPr>
          <w:spacing w:val="48"/>
        </w:rPr>
        <w:t xml:space="preserve"> </w:t>
      </w:r>
      <w:r w:rsidRPr="0031675F">
        <w:rPr>
          <w:spacing w:val="-1"/>
        </w:rPr>
        <w:t>data</w:t>
      </w:r>
      <w:r w:rsidRPr="0031675F">
        <w:rPr>
          <w:spacing w:val="48"/>
        </w:rPr>
        <w:t xml:space="preserve"> </w:t>
      </w:r>
      <w:r w:rsidRPr="0031675F">
        <w:t>as</w:t>
      </w:r>
      <w:r w:rsidRPr="0031675F">
        <w:rPr>
          <w:spacing w:val="47"/>
        </w:rPr>
        <w:t xml:space="preserve"> </w:t>
      </w:r>
      <w:r w:rsidRPr="0031675F">
        <w:rPr>
          <w:spacing w:val="-1"/>
        </w:rPr>
        <w:t>per</w:t>
      </w:r>
      <w:r w:rsidRPr="0031675F">
        <w:rPr>
          <w:spacing w:val="48"/>
        </w:rPr>
        <w:t xml:space="preserve"> </w:t>
      </w:r>
      <w:r w:rsidRPr="0031675F">
        <w:rPr>
          <w:spacing w:val="-1"/>
        </w:rPr>
        <w:t>Section</w:t>
      </w:r>
      <w:r w:rsidRPr="0031675F">
        <w:rPr>
          <w:spacing w:val="48"/>
        </w:rPr>
        <w:t xml:space="preserve"> </w:t>
      </w:r>
      <w:r w:rsidRPr="0031675F">
        <w:rPr>
          <w:spacing w:val="-1"/>
        </w:rPr>
        <w:t>11.5.1,</w:t>
      </w:r>
      <w:r w:rsidRPr="0031675F">
        <w:rPr>
          <w:spacing w:val="48"/>
        </w:rPr>
        <w:t xml:space="preserve"> </w:t>
      </w:r>
      <w:r w:rsidRPr="0031675F">
        <w:rPr>
          <w:spacing w:val="-1"/>
        </w:rPr>
        <w:t>and</w:t>
      </w:r>
      <w:r w:rsidRPr="0031675F">
        <w:rPr>
          <w:spacing w:val="47"/>
        </w:rPr>
        <w:t xml:space="preserve"> </w:t>
      </w:r>
      <w:r w:rsidRPr="0031675F">
        <w:rPr>
          <w:spacing w:val="-1"/>
        </w:rPr>
        <w:t>complete</w:t>
      </w:r>
      <w:r w:rsidRPr="0031675F">
        <w:rPr>
          <w:spacing w:val="49"/>
        </w:rPr>
        <w:t xml:space="preserve"> </w:t>
      </w:r>
      <w:r w:rsidRPr="0031675F">
        <w:rPr>
          <w:spacing w:val="-1"/>
        </w:rPr>
        <w:t>details</w:t>
      </w:r>
      <w:r w:rsidRPr="0031675F">
        <w:rPr>
          <w:spacing w:val="48"/>
        </w:rPr>
        <w:t xml:space="preserve"> </w:t>
      </w:r>
      <w:r w:rsidRPr="0031675F">
        <w:t>in</w:t>
      </w:r>
      <w:r w:rsidRPr="0031675F">
        <w:rPr>
          <w:spacing w:val="46"/>
        </w:rPr>
        <w:t xml:space="preserve"> </w:t>
      </w:r>
      <w:r w:rsidRPr="0031675F">
        <w:t>the</w:t>
      </w:r>
      <w:r w:rsidRPr="0031675F">
        <w:rPr>
          <w:spacing w:val="48"/>
        </w:rPr>
        <w:t xml:space="preserve"> </w:t>
      </w:r>
      <w:r w:rsidRPr="0031675F">
        <w:rPr>
          <w:spacing w:val="-1"/>
        </w:rPr>
        <w:t>logger</w:t>
      </w:r>
      <w:r w:rsidRPr="0031675F">
        <w:rPr>
          <w:spacing w:val="48"/>
        </w:rPr>
        <w:t xml:space="preserve"> </w:t>
      </w:r>
      <w:r w:rsidRPr="0031675F">
        <w:t>download</w:t>
      </w:r>
      <w:r w:rsidRPr="0031675F">
        <w:rPr>
          <w:spacing w:val="49"/>
        </w:rPr>
        <w:t xml:space="preserve"> </w:t>
      </w:r>
      <w:r w:rsidRPr="0031675F">
        <w:rPr>
          <w:spacing w:val="-1"/>
        </w:rPr>
        <w:t>datasheet</w:t>
      </w:r>
      <w:r w:rsidRPr="0031675F">
        <w:rPr>
          <w:spacing w:val="-2"/>
        </w:rPr>
        <w:t xml:space="preserve"> </w:t>
      </w:r>
      <w:r w:rsidRPr="0031675F">
        <w:rPr>
          <w:spacing w:val="-1"/>
        </w:rPr>
        <w:t xml:space="preserve">including </w:t>
      </w:r>
      <w:r w:rsidRPr="0031675F">
        <w:t xml:space="preserve">a </w:t>
      </w:r>
      <w:r w:rsidRPr="0031675F">
        <w:rPr>
          <w:spacing w:val="-1"/>
        </w:rPr>
        <w:t>function</w:t>
      </w:r>
      <w:r w:rsidRPr="0031675F">
        <w:rPr>
          <w:spacing w:val="-3"/>
        </w:rPr>
        <w:t xml:space="preserve"> </w:t>
      </w:r>
      <w:r w:rsidRPr="0031675F">
        <w:rPr>
          <w:spacing w:val="-1"/>
        </w:rPr>
        <w:t>check</w:t>
      </w:r>
      <w:r w:rsidRPr="0031675F">
        <w:rPr>
          <w:spacing w:val="-2"/>
        </w:rPr>
        <w:t xml:space="preserve"> </w:t>
      </w:r>
      <w:r w:rsidRPr="0031675F">
        <w:t xml:space="preserve">of </w:t>
      </w:r>
      <w:r w:rsidRPr="0031675F">
        <w:rPr>
          <w:spacing w:val="-2"/>
        </w:rPr>
        <w:t>the</w:t>
      </w:r>
      <w:r w:rsidRPr="0031675F">
        <w:t xml:space="preserve"> </w:t>
      </w:r>
      <w:r w:rsidRPr="0031675F">
        <w:rPr>
          <w:spacing w:val="-1"/>
        </w:rPr>
        <w:t>shutter</w:t>
      </w:r>
    </w:p>
    <w:p w14:paraId="4C94ED14" w14:textId="77777777" w:rsidR="0031675F" w:rsidRPr="0031675F" w:rsidRDefault="0031675F" w:rsidP="0031675F">
      <w:pPr>
        <w:widowControl w:val="0"/>
        <w:numPr>
          <w:ilvl w:val="3"/>
          <w:numId w:val="67"/>
        </w:numPr>
        <w:tabs>
          <w:tab w:val="left" w:pos="839"/>
        </w:tabs>
        <w:spacing w:before="129" w:after="0" w:line="266" w:lineRule="exact"/>
        <w:ind w:right="119"/>
      </w:pPr>
      <w:r w:rsidRPr="0031675F">
        <w:t>When</w:t>
      </w:r>
      <w:r w:rsidRPr="0031675F">
        <w:rPr>
          <w:spacing w:val="30"/>
        </w:rPr>
        <w:t xml:space="preserve"> </w:t>
      </w:r>
      <w:r w:rsidRPr="0031675F">
        <w:t>the</w:t>
      </w:r>
      <w:r w:rsidRPr="0031675F">
        <w:rPr>
          <w:spacing w:val="32"/>
        </w:rPr>
        <w:t xml:space="preserve"> </w:t>
      </w:r>
      <w:r w:rsidRPr="0031675F">
        <w:rPr>
          <w:spacing w:val="-1"/>
        </w:rPr>
        <w:t>data</w:t>
      </w:r>
      <w:r w:rsidRPr="0031675F">
        <w:rPr>
          <w:spacing w:val="32"/>
        </w:rPr>
        <w:t xml:space="preserve"> </w:t>
      </w:r>
      <w:r w:rsidRPr="0031675F">
        <w:rPr>
          <w:spacing w:val="-1"/>
        </w:rPr>
        <w:t>download</w:t>
      </w:r>
      <w:r w:rsidRPr="0031675F">
        <w:rPr>
          <w:spacing w:val="27"/>
        </w:rPr>
        <w:t xml:space="preserve"> </w:t>
      </w:r>
      <w:r w:rsidRPr="0031675F">
        <w:t>is</w:t>
      </w:r>
      <w:r w:rsidRPr="0031675F">
        <w:rPr>
          <w:spacing w:val="31"/>
        </w:rPr>
        <w:t xml:space="preserve"> </w:t>
      </w:r>
      <w:r w:rsidRPr="0031675F">
        <w:rPr>
          <w:spacing w:val="-1"/>
        </w:rPr>
        <w:t>complete,</w:t>
      </w:r>
      <w:r w:rsidRPr="0031675F">
        <w:rPr>
          <w:spacing w:val="32"/>
        </w:rPr>
        <w:t xml:space="preserve"> </w:t>
      </w:r>
      <w:r w:rsidRPr="0031675F">
        <w:t>the</w:t>
      </w:r>
      <w:r w:rsidRPr="0031675F">
        <w:rPr>
          <w:spacing w:val="32"/>
        </w:rPr>
        <w:t xml:space="preserve"> </w:t>
      </w:r>
      <w:r w:rsidRPr="0031675F">
        <w:rPr>
          <w:spacing w:val="-1"/>
        </w:rPr>
        <w:t>rinsed</w:t>
      </w:r>
      <w:r w:rsidRPr="0031675F">
        <w:rPr>
          <w:spacing w:val="30"/>
        </w:rPr>
        <w:t xml:space="preserve"> </w:t>
      </w:r>
      <w:r w:rsidRPr="0031675F">
        <w:rPr>
          <w:spacing w:val="-2"/>
        </w:rPr>
        <w:t>and</w:t>
      </w:r>
      <w:r w:rsidRPr="0031675F">
        <w:rPr>
          <w:spacing w:val="31"/>
        </w:rPr>
        <w:t xml:space="preserve"> </w:t>
      </w:r>
      <w:r w:rsidRPr="0031675F">
        <w:rPr>
          <w:spacing w:val="-1"/>
        </w:rPr>
        <w:t>dry</w:t>
      </w:r>
      <w:r w:rsidRPr="0031675F">
        <w:rPr>
          <w:spacing w:val="32"/>
        </w:rPr>
        <w:t xml:space="preserve"> </w:t>
      </w:r>
      <w:r w:rsidRPr="0031675F">
        <w:rPr>
          <w:spacing w:val="-1"/>
        </w:rPr>
        <w:t>logger</w:t>
      </w:r>
      <w:r w:rsidRPr="0031675F">
        <w:rPr>
          <w:spacing w:val="31"/>
        </w:rPr>
        <w:t xml:space="preserve"> </w:t>
      </w:r>
      <w:r w:rsidRPr="0031675F">
        <w:rPr>
          <w:spacing w:val="-1"/>
        </w:rPr>
        <w:t>should</w:t>
      </w:r>
      <w:r w:rsidRPr="0031675F">
        <w:rPr>
          <w:spacing w:val="30"/>
        </w:rPr>
        <w:t xml:space="preserve"> </w:t>
      </w:r>
      <w:r w:rsidRPr="0031675F">
        <w:rPr>
          <w:spacing w:val="-1"/>
        </w:rPr>
        <w:t>be</w:t>
      </w:r>
      <w:r w:rsidRPr="0031675F">
        <w:rPr>
          <w:spacing w:val="32"/>
        </w:rPr>
        <w:t xml:space="preserve"> </w:t>
      </w:r>
      <w:r w:rsidRPr="0031675F">
        <w:rPr>
          <w:spacing w:val="-1"/>
        </w:rPr>
        <w:t>returned</w:t>
      </w:r>
      <w:r w:rsidRPr="0031675F">
        <w:rPr>
          <w:spacing w:val="31"/>
        </w:rPr>
        <w:t xml:space="preserve"> </w:t>
      </w:r>
      <w:r w:rsidRPr="0031675F">
        <w:t>to</w:t>
      </w:r>
      <w:r w:rsidRPr="0031675F">
        <w:rPr>
          <w:spacing w:val="32"/>
        </w:rPr>
        <w:t xml:space="preserve"> </w:t>
      </w:r>
      <w:r w:rsidRPr="0031675F">
        <w:t>a</w:t>
      </w:r>
      <w:r w:rsidRPr="0031675F">
        <w:rPr>
          <w:spacing w:val="67"/>
        </w:rPr>
        <w:t xml:space="preserve"> </w:t>
      </w:r>
      <w:r w:rsidRPr="0031675F">
        <w:rPr>
          <w:spacing w:val="-1"/>
        </w:rPr>
        <w:t>padded</w:t>
      </w:r>
      <w:r w:rsidRPr="0031675F">
        <w:t xml:space="preserve"> Pelican</w:t>
      </w:r>
      <w:r w:rsidRPr="0031675F">
        <w:rPr>
          <w:spacing w:val="-3"/>
        </w:rPr>
        <w:t xml:space="preserve"> </w:t>
      </w:r>
      <w:r w:rsidRPr="0031675F">
        <w:t>case</w:t>
      </w:r>
      <w:r w:rsidRPr="0031675F">
        <w:rPr>
          <w:spacing w:val="-2"/>
        </w:rPr>
        <w:t xml:space="preserve"> </w:t>
      </w:r>
      <w:r w:rsidRPr="0031675F">
        <w:t>for</w:t>
      </w:r>
      <w:r w:rsidRPr="0031675F">
        <w:rPr>
          <w:spacing w:val="-3"/>
        </w:rPr>
        <w:t xml:space="preserve"> </w:t>
      </w:r>
      <w:r w:rsidRPr="0031675F">
        <w:rPr>
          <w:spacing w:val="-1"/>
        </w:rPr>
        <w:t xml:space="preserve">return </w:t>
      </w:r>
      <w:r w:rsidRPr="0031675F">
        <w:t>to</w:t>
      </w:r>
      <w:r w:rsidRPr="0031675F">
        <w:rPr>
          <w:spacing w:val="-1"/>
        </w:rPr>
        <w:t xml:space="preserve"> </w:t>
      </w:r>
      <w:r w:rsidRPr="0031675F">
        <w:t xml:space="preserve">the </w:t>
      </w:r>
      <w:r w:rsidRPr="0031675F">
        <w:rPr>
          <w:spacing w:val="-1"/>
        </w:rPr>
        <w:t>laboratory.</w:t>
      </w:r>
    </w:p>
    <w:p w14:paraId="0857F0C2" w14:textId="77777777" w:rsidR="0031675F" w:rsidRPr="0031675F" w:rsidRDefault="0031675F" w:rsidP="0031675F">
      <w:pPr>
        <w:widowControl w:val="0"/>
        <w:numPr>
          <w:ilvl w:val="3"/>
          <w:numId w:val="67"/>
        </w:numPr>
        <w:tabs>
          <w:tab w:val="left" w:pos="839"/>
        </w:tabs>
        <w:spacing w:before="126" w:after="0" w:line="240" w:lineRule="auto"/>
        <w:ind w:right="120"/>
      </w:pPr>
      <w:r w:rsidRPr="0031675F">
        <w:rPr>
          <w:spacing w:val="-1"/>
        </w:rPr>
        <w:t>Details</w:t>
      </w:r>
      <w:r w:rsidRPr="0031675F">
        <w:rPr>
          <w:spacing w:val="-3"/>
        </w:rPr>
        <w:t xml:space="preserve"> </w:t>
      </w:r>
      <w:r w:rsidRPr="0031675F">
        <w:t>of</w:t>
      </w:r>
      <w:r w:rsidRPr="0031675F">
        <w:rPr>
          <w:spacing w:val="-2"/>
        </w:rPr>
        <w:t xml:space="preserve"> </w:t>
      </w:r>
      <w:r w:rsidRPr="0031675F">
        <w:t xml:space="preserve">the </w:t>
      </w:r>
      <w:r w:rsidRPr="0031675F">
        <w:rPr>
          <w:spacing w:val="-1"/>
        </w:rPr>
        <w:t>dive</w:t>
      </w:r>
      <w:r w:rsidRPr="0031675F">
        <w:t xml:space="preserve"> </w:t>
      </w:r>
      <w:r w:rsidRPr="0031675F">
        <w:rPr>
          <w:spacing w:val="-2"/>
        </w:rPr>
        <w:t>time</w:t>
      </w:r>
      <w:r w:rsidRPr="0031675F">
        <w:t xml:space="preserve"> </w:t>
      </w:r>
      <w:r w:rsidRPr="0031675F">
        <w:rPr>
          <w:spacing w:val="-2"/>
        </w:rPr>
        <w:t>and</w:t>
      </w:r>
      <w:r w:rsidRPr="0031675F">
        <w:rPr>
          <w:spacing w:val="-1"/>
        </w:rPr>
        <w:t xml:space="preserve"> depth should be</w:t>
      </w:r>
      <w:r w:rsidRPr="0031675F">
        <w:rPr>
          <w:spacing w:val="-2"/>
        </w:rPr>
        <w:t xml:space="preserve"> </w:t>
      </w:r>
      <w:r w:rsidRPr="0031675F">
        <w:rPr>
          <w:spacing w:val="-1"/>
        </w:rPr>
        <w:t>transferred from</w:t>
      </w:r>
      <w:r w:rsidRPr="0031675F">
        <w:rPr>
          <w:spacing w:val="1"/>
        </w:rPr>
        <w:t xml:space="preserve"> </w:t>
      </w:r>
      <w:r w:rsidRPr="0031675F">
        <w:rPr>
          <w:spacing w:val="-2"/>
        </w:rPr>
        <w:t>the</w:t>
      </w:r>
      <w:r w:rsidRPr="0031675F">
        <w:t xml:space="preserve"> </w:t>
      </w:r>
      <w:r w:rsidRPr="0031675F">
        <w:rPr>
          <w:spacing w:val="-1"/>
        </w:rPr>
        <w:t>dive</w:t>
      </w:r>
      <w:r w:rsidRPr="0031675F">
        <w:t xml:space="preserve"> log</w:t>
      </w:r>
      <w:r w:rsidRPr="0031675F">
        <w:rPr>
          <w:spacing w:val="-3"/>
        </w:rPr>
        <w:t xml:space="preserve"> </w:t>
      </w:r>
      <w:r w:rsidRPr="0031675F">
        <w:rPr>
          <w:spacing w:val="-2"/>
        </w:rPr>
        <w:t xml:space="preserve">sheet </w:t>
      </w:r>
      <w:r w:rsidRPr="0031675F">
        <w:t>to</w:t>
      </w:r>
      <w:r w:rsidRPr="0031675F">
        <w:rPr>
          <w:spacing w:val="-1"/>
        </w:rPr>
        <w:t xml:space="preserve"> </w:t>
      </w:r>
      <w:r w:rsidRPr="0031675F">
        <w:t xml:space="preserve">the </w:t>
      </w:r>
      <w:r w:rsidRPr="0031675F">
        <w:rPr>
          <w:spacing w:val="-1"/>
        </w:rPr>
        <w:t>logger</w:t>
      </w:r>
      <w:r w:rsidRPr="0031675F">
        <w:rPr>
          <w:spacing w:val="63"/>
        </w:rPr>
        <w:t xml:space="preserve"> </w:t>
      </w:r>
      <w:r w:rsidRPr="0031675F">
        <w:rPr>
          <w:spacing w:val="-1"/>
        </w:rPr>
        <w:t>recovery</w:t>
      </w:r>
      <w:r w:rsidRPr="0031675F">
        <w:t xml:space="preserve"> </w:t>
      </w:r>
      <w:r w:rsidRPr="0031675F">
        <w:rPr>
          <w:spacing w:val="-1"/>
        </w:rPr>
        <w:t>datasheet.</w:t>
      </w:r>
    </w:p>
    <w:p w14:paraId="38D1210B" w14:textId="77777777" w:rsidR="0031675F" w:rsidRPr="0031675F" w:rsidRDefault="0031675F" w:rsidP="0031675F">
      <w:pPr>
        <w:spacing w:before="11"/>
        <w:rPr>
          <w:rFonts w:cs="Calibri"/>
          <w:sz w:val="21"/>
          <w:szCs w:val="21"/>
        </w:rPr>
      </w:pPr>
    </w:p>
    <w:p w14:paraId="49ED6A7A" w14:textId="77777777" w:rsidR="0031675F" w:rsidRPr="0031675F" w:rsidRDefault="0031675F" w:rsidP="0031675F">
      <w:pPr>
        <w:spacing w:line="200" w:lineRule="atLeast"/>
        <w:ind w:left="148"/>
        <w:rPr>
          <w:rFonts w:cs="Calibri"/>
          <w:sz w:val="20"/>
          <w:szCs w:val="20"/>
        </w:rPr>
      </w:pPr>
      <w:r w:rsidRPr="0031675F">
        <w:rPr>
          <w:noProof/>
          <w:lang w:eastAsia="en-AU"/>
        </w:rPr>
        <w:drawing>
          <wp:inline distT="0" distB="0" distL="0" distR="0" wp14:anchorId="184144DA" wp14:editId="2C848A42">
            <wp:extent cx="4257675" cy="3152775"/>
            <wp:effectExtent l="0" t="0" r="9525" b="9525"/>
            <wp:docPr id="9481" name="Picture 16" descr="Post-recovery logger handliing" title="Field deployment of ECO log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4257675" cy="3152775"/>
                    </a:xfrm>
                    <a:prstGeom prst="rect">
                      <a:avLst/>
                    </a:prstGeom>
                    <a:noFill/>
                    <a:ln>
                      <a:noFill/>
                    </a:ln>
                  </pic:spPr>
                </pic:pic>
              </a:graphicData>
            </a:graphic>
          </wp:inline>
        </w:drawing>
      </w:r>
    </w:p>
    <w:p w14:paraId="341AAF1A" w14:textId="77777777" w:rsidR="0031675F" w:rsidRPr="0031675F" w:rsidRDefault="0031675F" w:rsidP="0031675F">
      <w:pPr>
        <w:spacing w:line="200" w:lineRule="atLeast"/>
        <w:rPr>
          <w:rFonts w:cs="Calibri"/>
          <w:sz w:val="20"/>
          <w:szCs w:val="20"/>
        </w:rPr>
      </w:pPr>
    </w:p>
    <w:p w14:paraId="1B7E86EB" w14:textId="77777777" w:rsidR="0031675F" w:rsidRPr="0031675F" w:rsidRDefault="0031675F" w:rsidP="0031675F">
      <w:pPr>
        <w:widowControl w:val="0"/>
        <w:numPr>
          <w:ilvl w:val="1"/>
          <w:numId w:val="67"/>
        </w:numPr>
        <w:tabs>
          <w:tab w:val="left" w:pos="839"/>
        </w:tabs>
        <w:spacing w:before="206" w:after="0" w:line="240" w:lineRule="auto"/>
        <w:rPr>
          <w:rFonts w:eastAsia="Arial" w:cs="Arial"/>
          <w:sz w:val="24"/>
          <w:szCs w:val="24"/>
        </w:rPr>
      </w:pPr>
      <w:r w:rsidRPr="0031675F">
        <w:rPr>
          <w:b/>
          <w:sz w:val="24"/>
        </w:rPr>
        <w:t>ECO logger data</w:t>
      </w:r>
      <w:r w:rsidRPr="0031675F">
        <w:rPr>
          <w:b/>
          <w:spacing w:val="-3"/>
          <w:sz w:val="24"/>
        </w:rPr>
        <w:t xml:space="preserve"> </w:t>
      </w:r>
      <w:r w:rsidRPr="0031675F">
        <w:rPr>
          <w:b/>
          <w:spacing w:val="-1"/>
          <w:sz w:val="24"/>
        </w:rPr>
        <w:t>download</w:t>
      </w:r>
      <w:r w:rsidRPr="0031675F">
        <w:rPr>
          <w:b/>
          <w:sz w:val="24"/>
        </w:rPr>
        <w:t xml:space="preserve"> and </w:t>
      </w:r>
      <w:r w:rsidRPr="0031675F">
        <w:rPr>
          <w:b/>
          <w:spacing w:val="-1"/>
          <w:sz w:val="24"/>
        </w:rPr>
        <w:t>storage</w:t>
      </w:r>
    </w:p>
    <w:p w14:paraId="600A9D31" w14:textId="77777777" w:rsidR="0031675F" w:rsidRPr="0031675F" w:rsidRDefault="0031675F" w:rsidP="0031675F">
      <w:pPr>
        <w:spacing w:before="10"/>
        <w:rPr>
          <w:rFonts w:eastAsia="Arial" w:cs="Arial"/>
          <w:b/>
          <w:bCs/>
          <w:sz w:val="20"/>
          <w:szCs w:val="20"/>
        </w:rPr>
      </w:pPr>
    </w:p>
    <w:p w14:paraId="123D4702" w14:textId="77777777" w:rsidR="0031675F" w:rsidRPr="0031675F" w:rsidRDefault="0031675F" w:rsidP="0031675F">
      <w:pPr>
        <w:widowControl w:val="0"/>
        <w:numPr>
          <w:ilvl w:val="2"/>
          <w:numId w:val="67"/>
        </w:numPr>
        <w:tabs>
          <w:tab w:val="left" w:pos="839"/>
        </w:tabs>
        <w:spacing w:before="0" w:after="0" w:line="240" w:lineRule="auto"/>
        <w:ind w:left="826" w:hanging="708"/>
        <w:rPr>
          <w:rFonts w:eastAsia="Arial" w:cs="Arial"/>
        </w:rPr>
      </w:pPr>
      <w:r w:rsidRPr="0031675F">
        <w:rPr>
          <w:b/>
          <w:spacing w:val="-1"/>
        </w:rPr>
        <w:t>Data</w:t>
      </w:r>
      <w:r w:rsidRPr="0031675F">
        <w:rPr>
          <w:b/>
          <w:spacing w:val="1"/>
        </w:rPr>
        <w:t xml:space="preserve"> </w:t>
      </w:r>
      <w:r w:rsidRPr="0031675F">
        <w:rPr>
          <w:b/>
          <w:spacing w:val="-1"/>
        </w:rPr>
        <w:t>retrieval</w:t>
      </w:r>
      <w:r w:rsidRPr="0031675F">
        <w:rPr>
          <w:b/>
          <w:spacing w:val="1"/>
        </w:rPr>
        <w:t xml:space="preserve"> </w:t>
      </w:r>
      <w:r w:rsidRPr="0031675F">
        <w:rPr>
          <w:b/>
          <w:spacing w:val="-1"/>
        </w:rPr>
        <w:t>from</w:t>
      </w:r>
      <w:r w:rsidRPr="0031675F">
        <w:rPr>
          <w:b/>
          <w:spacing w:val="1"/>
        </w:rPr>
        <w:t xml:space="preserve"> </w:t>
      </w:r>
      <w:r w:rsidRPr="0031675F">
        <w:rPr>
          <w:b/>
          <w:spacing w:val="-2"/>
        </w:rPr>
        <w:t>ECO</w:t>
      </w:r>
      <w:r w:rsidRPr="0031675F">
        <w:rPr>
          <w:b/>
          <w:spacing w:val="-1"/>
        </w:rPr>
        <w:t xml:space="preserve"> logger</w:t>
      </w:r>
    </w:p>
    <w:p w14:paraId="53D9C1E9" w14:textId="77777777" w:rsidR="0031675F" w:rsidRPr="0031675F" w:rsidRDefault="0031675F" w:rsidP="0031675F">
      <w:pPr>
        <w:spacing w:before="120" w:after="120"/>
      </w:pPr>
      <w:r w:rsidRPr="0031675F">
        <w:t>Data is</w:t>
      </w:r>
      <w:r w:rsidRPr="0031675F">
        <w:rPr>
          <w:spacing w:val="-3"/>
        </w:rPr>
        <w:t xml:space="preserve"> </w:t>
      </w:r>
      <w:r w:rsidRPr="0031675F">
        <w:rPr>
          <w:spacing w:val="-1"/>
        </w:rPr>
        <w:t>downloaded</w:t>
      </w:r>
      <w:r w:rsidRPr="0031675F">
        <w:rPr>
          <w:spacing w:val="-3"/>
        </w:rPr>
        <w:t xml:space="preserve"> </w:t>
      </w:r>
      <w:r w:rsidRPr="0031675F">
        <w:rPr>
          <w:spacing w:val="-1"/>
        </w:rPr>
        <w:t>from the</w:t>
      </w:r>
      <w:r w:rsidRPr="0031675F">
        <w:t xml:space="preserve"> </w:t>
      </w:r>
      <w:r w:rsidRPr="0031675F">
        <w:rPr>
          <w:spacing w:val="-1"/>
        </w:rPr>
        <w:t>logger</w:t>
      </w:r>
      <w:r w:rsidRPr="0031675F">
        <w:rPr>
          <w:spacing w:val="-2"/>
        </w:rPr>
        <w:t xml:space="preserve"> </w:t>
      </w:r>
      <w:r w:rsidRPr="0031675F">
        <w:rPr>
          <w:spacing w:val="-1"/>
        </w:rPr>
        <w:t>using the</w:t>
      </w:r>
      <w:r w:rsidRPr="0031675F">
        <w:t xml:space="preserve"> </w:t>
      </w:r>
      <w:r w:rsidRPr="0031675F">
        <w:rPr>
          <w:spacing w:val="-2"/>
        </w:rPr>
        <w:t>ECO</w:t>
      </w:r>
      <w:r w:rsidRPr="0031675F">
        <w:t xml:space="preserve"> </w:t>
      </w:r>
      <w:r w:rsidRPr="0031675F">
        <w:rPr>
          <w:spacing w:val="-1"/>
        </w:rPr>
        <w:t>View</w:t>
      </w:r>
      <w:r w:rsidRPr="0031675F">
        <w:t xml:space="preserve"> </w:t>
      </w:r>
      <w:r w:rsidRPr="0031675F">
        <w:rPr>
          <w:spacing w:val="-1"/>
        </w:rPr>
        <w:t>software</w:t>
      </w:r>
      <w:r w:rsidRPr="0031675F">
        <w:rPr>
          <w:spacing w:val="-2"/>
        </w:rPr>
        <w:t xml:space="preserve"> </w:t>
      </w:r>
      <w:r w:rsidRPr="0031675F">
        <w:t>on</w:t>
      </w:r>
      <w:r w:rsidRPr="0031675F">
        <w:rPr>
          <w:spacing w:val="-3"/>
        </w:rPr>
        <w:t xml:space="preserve"> </w:t>
      </w:r>
      <w:r w:rsidRPr="0031675F">
        <w:t xml:space="preserve">the </w:t>
      </w:r>
      <w:r w:rsidRPr="0031675F">
        <w:rPr>
          <w:spacing w:val="-1"/>
        </w:rPr>
        <w:t>computer.</w:t>
      </w:r>
    </w:p>
    <w:p w14:paraId="63F0EB99"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Connect</w:t>
      </w:r>
      <w:r w:rsidRPr="0031675F">
        <w:rPr>
          <w:spacing w:val="-2"/>
        </w:rPr>
        <w:t xml:space="preserve"> </w:t>
      </w:r>
      <w:r w:rsidRPr="0031675F">
        <w:rPr>
          <w:spacing w:val="-1"/>
        </w:rPr>
        <w:t>the</w:t>
      </w:r>
      <w:r w:rsidRPr="0031675F">
        <w:t xml:space="preserve"> </w:t>
      </w:r>
      <w:r w:rsidRPr="0031675F">
        <w:rPr>
          <w:spacing w:val="-1"/>
        </w:rPr>
        <w:t>logger</w:t>
      </w:r>
      <w:r w:rsidRPr="0031675F">
        <w:rPr>
          <w:spacing w:val="-2"/>
        </w:rPr>
        <w:t xml:space="preserve"> </w:t>
      </w:r>
      <w:r w:rsidRPr="0031675F">
        <w:t>to</w:t>
      </w:r>
      <w:r w:rsidRPr="0031675F">
        <w:rPr>
          <w:spacing w:val="-1"/>
        </w:rPr>
        <w:t xml:space="preserve"> the</w:t>
      </w:r>
      <w:r w:rsidRPr="0031675F">
        <w:rPr>
          <w:spacing w:val="-2"/>
        </w:rPr>
        <w:t xml:space="preserve"> </w:t>
      </w:r>
      <w:r w:rsidRPr="0031675F">
        <w:rPr>
          <w:spacing w:val="-1"/>
        </w:rPr>
        <w:t>computer</w:t>
      </w:r>
      <w:r w:rsidRPr="0031675F">
        <w:t xml:space="preserve"> </w:t>
      </w:r>
      <w:r w:rsidRPr="0031675F">
        <w:rPr>
          <w:spacing w:val="-1"/>
        </w:rPr>
        <w:t>and software</w:t>
      </w:r>
      <w:r w:rsidRPr="0031675F">
        <w:rPr>
          <w:spacing w:val="1"/>
        </w:rPr>
        <w:t xml:space="preserve"> </w:t>
      </w:r>
      <w:r w:rsidRPr="0031675F">
        <w:rPr>
          <w:spacing w:val="-1"/>
        </w:rPr>
        <w:t xml:space="preserve">package </w:t>
      </w:r>
      <w:r w:rsidRPr="0031675F">
        <w:t xml:space="preserve">as </w:t>
      </w:r>
      <w:r w:rsidRPr="0031675F">
        <w:rPr>
          <w:spacing w:val="-2"/>
        </w:rPr>
        <w:t>per</w:t>
      </w:r>
      <w:r w:rsidRPr="0031675F">
        <w:t xml:space="preserve"> </w:t>
      </w:r>
      <w:r w:rsidRPr="0031675F">
        <w:rPr>
          <w:spacing w:val="-1"/>
        </w:rPr>
        <w:t>Section</w:t>
      </w:r>
      <w:r w:rsidRPr="0031675F">
        <w:rPr>
          <w:spacing w:val="-3"/>
        </w:rPr>
        <w:t xml:space="preserve"> </w:t>
      </w:r>
      <w:r w:rsidRPr="0031675F">
        <w:rPr>
          <w:spacing w:val="-1"/>
        </w:rPr>
        <w:t>11.1.1.</w:t>
      </w:r>
    </w:p>
    <w:p w14:paraId="2C8B3243" w14:textId="77777777" w:rsidR="0031675F" w:rsidRPr="0031675F" w:rsidRDefault="0031675F" w:rsidP="0031675F">
      <w:pPr>
        <w:widowControl w:val="0"/>
        <w:numPr>
          <w:ilvl w:val="3"/>
          <w:numId w:val="67"/>
        </w:numPr>
        <w:tabs>
          <w:tab w:val="left" w:pos="839"/>
        </w:tabs>
        <w:spacing w:before="120" w:after="0" w:line="240" w:lineRule="auto"/>
        <w:rPr>
          <w:rFonts w:cs="Calibri"/>
        </w:rPr>
      </w:pPr>
      <w:r w:rsidRPr="0031675F">
        <w:rPr>
          <w:rFonts w:cs="Calibri"/>
          <w:spacing w:val="-1"/>
        </w:rPr>
        <w:t>View</w:t>
      </w:r>
      <w:r w:rsidRPr="0031675F">
        <w:rPr>
          <w:rFonts w:cs="Calibri"/>
        </w:rPr>
        <w:t xml:space="preserve"> </w:t>
      </w:r>
      <w:r w:rsidRPr="0031675F">
        <w:rPr>
          <w:rFonts w:cs="Calibri"/>
          <w:spacing w:val="-1"/>
        </w:rPr>
        <w:t>‘transfer</w:t>
      </w:r>
      <w:r w:rsidRPr="0031675F">
        <w:rPr>
          <w:rFonts w:cs="Calibri"/>
        </w:rPr>
        <w:t xml:space="preserve"> </w:t>
      </w:r>
      <w:r w:rsidRPr="0031675F">
        <w:rPr>
          <w:rFonts w:cs="Calibri"/>
          <w:spacing w:val="-1"/>
        </w:rPr>
        <w:t>data’</w:t>
      </w:r>
      <w:r w:rsidRPr="0031675F">
        <w:rPr>
          <w:rFonts w:cs="Calibri"/>
          <w:spacing w:val="-2"/>
        </w:rPr>
        <w:t xml:space="preserve"> </w:t>
      </w:r>
      <w:r w:rsidRPr="0031675F">
        <w:rPr>
          <w:rFonts w:cs="Calibri"/>
        </w:rPr>
        <w:t>menu</w:t>
      </w:r>
      <w:r w:rsidRPr="0031675F">
        <w:rPr>
          <w:rFonts w:cs="Calibri"/>
          <w:spacing w:val="-1"/>
        </w:rPr>
        <w:t xml:space="preserve"> tab:</w:t>
      </w:r>
    </w:p>
    <w:p w14:paraId="7313FA78" w14:textId="77777777" w:rsidR="0031675F" w:rsidRPr="0031675F" w:rsidRDefault="0031675F" w:rsidP="0031675F">
      <w:pPr>
        <w:spacing w:before="1"/>
        <w:rPr>
          <w:rFonts w:cs="Calibri"/>
          <w:sz w:val="10"/>
          <w:szCs w:val="10"/>
        </w:rPr>
      </w:pPr>
    </w:p>
    <w:p w14:paraId="607CCE65" w14:textId="77777777" w:rsidR="0031675F" w:rsidRPr="0031675F" w:rsidRDefault="0031675F" w:rsidP="0031675F">
      <w:pPr>
        <w:spacing w:line="200" w:lineRule="atLeast"/>
        <w:ind w:left="148"/>
        <w:rPr>
          <w:rFonts w:cs="Calibri"/>
          <w:sz w:val="20"/>
          <w:szCs w:val="20"/>
        </w:rPr>
      </w:pPr>
      <w:r w:rsidRPr="0031675F">
        <w:rPr>
          <w:rFonts w:cs="Calibri"/>
          <w:noProof/>
          <w:sz w:val="20"/>
          <w:szCs w:val="20"/>
          <w:lang w:eastAsia="en-AU"/>
        </w:rPr>
        <w:drawing>
          <wp:inline distT="0" distB="0" distL="0" distR="0" wp14:anchorId="30359D8F" wp14:editId="119FE7E0">
            <wp:extent cx="5257800" cy="4076700"/>
            <wp:effectExtent l="0" t="0" r="0" b="0"/>
            <wp:docPr id="9482" name="image53.png" descr="Screen shot of 'ECO View software 'transfer data' menu tab'." title="ECO logger data download and sto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3.png"/>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5257800" cy="4076700"/>
                    </a:xfrm>
                    <a:prstGeom prst="rect">
                      <a:avLst/>
                    </a:prstGeom>
                    <a:noFill/>
                    <a:ln>
                      <a:noFill/>
                    </a:ln>
                  </pic:spPr>
                </pic:pic>
              </a:graphicData>
            </a:graphic>
          </wp:inline>
        </w:drawing>
      </w:r>
    </w:p>
    <w:p w14:paraId="2F06DBD3" w14:textId="77777777" w:rsidR="0031675F" w:rsidRPr="0031675F" w:rsidRDefault="0031675F" w:rsidP="0031675F">
      <w:pPr>
        <w:widowControl w:val="0"/>
        <w:numPr>
          <w:ilvl w:val="3"/>
          <w:numId w:val="67"/>
        </w:numPr>
        <w:tabs>
          <w:tab w:val="left" w:pos="839"/>
        </w:tabs>
        <w:spacing w:before="147" w:after="0" w:line="240" w:lineRule="auto"/>
      </w:pPr>
      <w:r w:rsidRPr="0031675F">
        <w:rPr>
          <w:spacing w:val="-1"/>
        </w:rPr>
        <w:t>Click</w:t>
      </w:r>
      <w:r w:rsidRPr="0031675F">
        <w:rPr>
          <w:spacing w:val="27"/>
        </w:rPr>
        <w:t xml:space="preserve"> </w:t>
      </w:r>
      <w:r w:rsidRPr="0031675F">
        <w:rPr>
          <w:noProof/>
          <w:spacing w:val="-22"/>
          <w:lang w:eastAsia="en-AU"/>
        </w:rPr>
        <w:drawing>
          <wp:inline distT="0" distB="0" distL="0" distR="0" wp14:anchorId="1CCBA258" wp14:editId="7711B3E6">
            <wp:extent cx="838200" cy="314325"/>
            <wp:effectExtent l="0" t="0" r="0" b="9525"/>
            <wp:docPr id="9483" name="image54.png" descr="Screen shot of 'Recieve data'." title="ECO logger data download and sto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4.png"/>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838200" cy="314325"/>
                    </a:xfrm>
                    <a:prstGeom prst="rect">
                      <a:avLst/>
                    </a:prstGeom>
                    <a:noFill/>
                    <a:ln>
                      <a:noFill/>
                    </a:ln>
                  </pic:spPr>
                </pic:pic>
              </a:graphicData>
            </a:graphic>
          </wp:inline>
        </w:drawing>
      </w:r>
      <w:r w:rsidRPr="0031675F">
        <w:rPr>
          <w:rFonts w:ascii="Times New Roman"/>
          <w:spacing w:val="-22"/>
        </w:rPr>
        <w:t xml:space="preserve"> </w:t>
      </w:r>
      <w:r w:rsidRPr="0031675F">
        <w:rPr>
          <w:spacing w:val="-1"/>
        </w:rPr>
        <w:t>and the</w:t>
      </w:r>
      <w:r w:rsidRPr="0031675F">
        <w:t xml:space="preserve"> </w:t>
      </w:r>
      <w:r w:rsidRPr="0031675F">
        <w:rPr>
          <w:spacing w:val="-1"/>
        </w:rPr>
        <w:t>file</w:t>
      </w:r>
      <w:r w:rsidRPr="0031675F">
        <w:rPr>
          <w:spacing w:val="-2"/>
        </w:rPr>
        <w:t xml:space="preserve"> </w:t>
      </w:r>
      <w:r w:rsidRPr="0031675F">
        <w:rPr>
          <w:spacing w:val="-1"/>
        </w:rPr>
        <w:t>naming</w:t>
      </w:r>
      <w:r w:rsidRPr="0031675F">
        <w:rPr>
          <w:spacing w:val="-3"/>
        </w:rPr>
        <w:t xml:space="preserve"> </w:t>
      </w:r>
      <w:r w:rsidRPr="0031675F">
        <w:rPr>
          <w:spacing w:val="-1"/>
        </w:rPr>
        <w:t>window</w:t>
      </w:r>
      <w:r w:rsidRPr="0031675F">
        <w:rPr>
          <w:spacing w:val="1"/>
        </w:rPr>
        <w:t xml:space="preserve"> </w:t>
      </w:r>
      <w:r w:rsidRPr="0031675F">
        <w:t>will</w:t>
      </w:r>
      <w:r w:rsidRPr="0031675F">
        <w:rPr>
          <w:spacing w:val="-3"/>
        </w:rPr>
        <w:t xml:space="preserve"> </w:t>
      </w:r>
      <w:r w:rsidRPr="0031675F">
        <w:rPr>
          <w:spacing w:val="-1"/>
        </w:rPr>
        <w:t>appear.</w:t>
      </w:r>
    </w:p>
    <w:p w14:paraId="352BED0B" w14:textId="77777777" w:rsidR="0031675F" w:rsidRPr="0031675F" w:rsidRDefault="0031675F" w:rsidP="0031675F">
      <w:pPr>
        <w:widowControl w:val="0"/>
        <w:numPr>
          <w:ilvl w:val="3"/>
          <w:numId w:val="67"/>
        </w:numPr>
        <w:tabs>
          <w:tab w:val="left" w:pos="839"/>
        </w:tabs>
        <w:spacing w:before="118" w:after="0" w:line="240" w:lineRule="auto"/>
      </w:pPr>
      <w:r w:rsidRPr="0031675F">
        <w:rPr>
          <w:spacing w:val="-1"/>
        </w:rPr>
        <w:t>Browse</w:t>
      </w:r>
      <w:r w:rsidRPr="0031675F">
        <w:t xml:space="preserve"> </w:t>
      </w:r>
      <w:r w:rsidRPr="0031675F">
        <w:rPr>
          <w:spacing w:val="-1"/>
        </w:rPr>
        <w:t xml:space="preserve">to </w:t>
      </w:r>
      <w:r w:rsidRPr="0031675F">
        <w:t xml:space="preserve">the </w:t>
      </w:r>
      <w:r w:rsidRPr="0031675F">
        <w:rPr>
          <w:spacing w:val="-1"/>
        </w:rPr>
        <w:t>appropriate</w:t>
      </w:r>
      <w:r w:rsidRPr="0031675F">
        <w:rPr>
          <w:spacing w:val="-2"/>
        </w:rPr>
        <w:t xml:space="preserve"> </w:t>
      </w:r>
      <w:r w:rsidRPr="0031675F">
        <w:rPr>
          <w:spacing w:val="-1"/>
        </w:rPr>
        <w:t>folder</w:t>
      </w:r>
      <w:r w:rsidRPr="0031675F">
        <w:t xml:space="preserve"> </w:t>
      </w:r>
      <w:r w:rsidRPr="0031675F">
        <w:rPr>
          <w:spacing w:val="-1"/>
        </w:rPr>
        <w:t>and</w:t>
      </w:r>
      <w:r w:rsidRPr="0031675F">
        <w:rPr>
          <w:spacing w:val="2"/>
        </w:rPr>
        <w:t xml:space="preserve"> </w:t>
      </w:r>
      <w:r w:rsidRPr="0031675F">
        <w:rPr>
          <w:spacing w:val="-1"/>
        </w:rPr>
        <w:t>name</w:t>
      </w:r>
      <w:r w:rsidRPr="0031675F">
        <w:rPr>
          <w:spacing w:val="-2"/>
        </w:rPr>
        <w:t xml:space="preserve"> </w:t>
      </w:r>
      <w:r w:rsidRPr="0031675F">
        <w:rPr>
          <w:spacing w:val="-1"/>
        </w:rPr>
        <w:t>the</w:t>
      </w:r>
      <w:r w:rsidRPr="0031675F">
        <w:t xml:space="preserve"> </w:t>
      </w:r>
      <w:r w:rsidRPr="0031675F">
        <w:rPr>
          <w:spacing w:val="-1"/>
        </w:rPr>
        <w:t>raw</w:t>
      </w:r>
      <w:r w:rsidRPr="0031675F">
        <w:rPr>
          <w:spacing w:val="1"/>
        </w:rPr>
        <w:t xml:space="preserve"> </w:t>
      </w:r>
      <w:r w:rsidRPr="0031675F">
        <w:rPr>
          <w:spacing w:val="-1"/>
        </w:rPr>
        <w:t>data</w:t>
      </w:r>
      <w:r w:rsidRPr="0031675F">
        <w:t xml:space="preserve"> </w:t>
      </w:r>
      <w:r w:rsidRPr="0031675F">
        <w:rPr>
          <w:spacing w:val="-1"/>
        </w:rPr>
        <w:t>file.</w:t>
      </w:r>
    </w:p>
    <w:p w14:paraId="71318C18" w14:textId="77777777" w:rsidR="0031675F" w:rsidRPr="0031675F" w:rsidRDefault="0031675F" w:rsidP="0031675F">
      <w:pPr>
        <w:widowControl w:val="0"/>
        <w:numPr>
          <w:ilvl w:val="3"/>
          <w:numId w:val="67"/>
        </w:numPr>
        <w:tabs>
          <w:tab w:val="left" w:pos="839"/>
        </w:tabs>
        <w:spacing w:before="120" w:after="0" w:line="240" w:lineRule="auto"/>
      </w:pPr>
      <w:r w:rsidRPr="0031675F">
        <w:rPr>
          <w:spacing w:val="-1"/>
        </w:rPr>
        <w:t>File</w:t>
      </w:r>
      <w:r w:rsidRPr="0031675F">
        <w:t xml:space="preserve"> </w:t>
      </w:r>
      <w:r w:rsidRPr="0031675F">
        <w:rPr>
          <w:spacing w:val="-1"/>
        </w:rPr>
        <w:t>name</w:t>
      </w:r>
      <w:r w:rsidRPr="0031675F">
        <w:t xml:space="preserve"> </w:t>
      </w:r>
      <w:r w:rsidRPr="0031675F">
        <w:rPr>
          <w:spacing w:val="-1"/>
        </w:rPr>
        <w:t>convention:</w:t>
      </w:r>
      <w:r w:rsidRPr="0031675F">
        <w:rPr>
          <w:spacing w:val="2"/>
        </w:rPr>
        <w:t xml:space="preserve"> </w:t>
      </w:r>
      <w:r w:rsidRPr="0031675F">
        <w:rPr>
          <w:spacing w:val="-1"/>
        </w:rPr>
        <w:t>817_reef_2014Sep22_Dunk.raw</w:t>
      </w:r>
    </w:p>
    <w:p w14:paraId="14D87167" w14:textId="77777777" w:rsidR="0031675F" w:rsidRPr="0031675F" w:rsidRDefault="0031675F" w:rsidP="0031675F">
      <w:pPr>
        <w:spacing w:before="118" w:after="120"/>
      </w:pPr>
      <w:r w:rsidRPr="0031675F">
        <w:t xml:space="preserve">Ie. </w:t>
      </w:r>
      <w:r w:rsidRPr="0031675F">
        <w:rPr>
          <w:spacing w:val="-1"/>
        </w:rPr>
        <w:t>Logger</w:t>
      </w:r>
      <w:r w:rsidRPr="0031675F">
        <w:t xml:space="preserve"> </w:t>
      </w:r>
      <w:r w:rsidRPr="0031675F">
        <w:rPr>
          <w:spacing w:val="-1"/>
        </w:rPr>
        <w:t>817,</w:t>
      </w:r>
      <w:r w:rsidRPr="0031675F">
        <w:t xml:space="preserve"> </w:t>
      </w:r>
      <w:r w:rsidRPr="0031675F">
        <w:rPr>
          <w:spacing w:val="-1"/>
        </w:rPr>
        <w:t>reef</w:t>
      </w:r>
      <w:r w:rsidRPr="0031675F">
        <w:t xml:space="preserve"> </w:t>
      </w:r>
      <w:r w:rsidRPr="0031675F">
        <w:rPr>
          <w:spacing w:val="-1"/>
        </w:rPr>
        <w:t>deployment,</w:t>
      </w:r>
      <w:r w:rsidRPr="0031675F">
        <w:rPr>
          <w:spacing w:val="-3"/>
        </w:rPr>
        <w:t xml:space="preserve"> </w:t>
      </w:r>
      <w:r w:rsidRPr="0031675F">
        <w:rPr>
          <w:spacing w:val="-1"/>
        </w:rPr>
        <w:t>year,</w:t>
      </w:r>
      <w:r w:rsidRPr="0031675F">
        <w:rPr>
          <w:spacing w:val="-3"/>
        </w:rPr>
        <w:t xml:space="preserve"> </w:t>
      </w:r>
      <w:r w:rsidRPr="0031675F">
        <w:rPr>
          <w:spacing w:val="-1"/>
        </w:rPr>
        <w:t>month,</w:t>
      </w:r>
      <w:r w:rsidRPr="0031675F">
        <w:t xml:space="preserve"> </w:t>
      </w:r>
      <w:r w:rsidRPr="0031675F">
        <w:rPr>
          <w:spacing w:val="-1"/>
        </w:rPr>
        <w:t>day</w:t>
      </w:r>
      <w:r w:rsidRPr="0031675F">
        <w:rPr>
          <w:spacing w:val="-2"/>
        </w:rPr>
        <w:t xml:space="preserve"> </w:t>
      </w:r>
      <w:r w:rsidRPr="0031675F">
        <w:rPr>
          <w:spacing w:val="-1"/>
        </w:rPr>
        <w:t>(</w:t>
      </w:r>
      <w:r w:rsidRPr="0031675F">
        <w:rPr>
          <w:b/>
          <w:spacing w:val="-1"/>
        </w:rPr>
        <w:t xml:space="preserve">RECOVERY </w:t>
      </w:r>
      <w:r w:rsidRPr="0031675F">
        <w:rPr>
          <w:spacing w:val="-1"/>
        </w:rPr>
        <w:t>date),</w:t>
      </w:r>
      <w:r w:rsidRPr="0031675F">
        <w:t xml:space="preserve"> </w:t>
      </w:r>
      <w:r w:rsidRPr="0031675F">
        <w:rPr>
          <w:spacing w:val="-1"/>
        </w:rPr>
        <w:t>site</w:t>
      </w:r>
      <w:r w:rsidRPr="0031675F">
        <w:t xml:space="preserve"> </w:t>
      </w:r>
      <w:r w:rsidRPr="0031675F">
        <w:rPr>
          <w:spacing w:val="-1"/>
        </w:rPr>
        <w:t>name.</w:t>
      </w:r>
    </w:p>
    <w:p w14:paraId="4E83397C" w14:textId="77777777" w:rsidR="0031675F" w:rsidRPr="0031675F" w:rsidRDefault="0031675F" w:rsidP="0031675F">
      <w:pPr>
        <w:spacing w:before="120" w:after="120"/>
        <w:ind w:right="120"/>
        <w:rPr>
          <w:rFonts w:cs="Calibri"/>
        </w:rPr>
      </w:pPr>
      <w:r w:rsidRPr="0031675F">
        <w:t xml:space="preserve">A </w:t>
      </w:r>
      <w:r w:rsidRPr="0031675F">
        <w:rPr>
          <w:spacing w:val="-1"/>
        </w:rPr>
        <w:t>typical logger</w:t>
      </w:r>
      <w:r w:rsidRPr="0031675F">
        <w:t xml:space="preserve"> </w:t>
      </w:r>
      <w:r w:rsidRPr="0031675F">
        <w:rPr>
          <w:spacing w:val="-1"/>
        </w:rPr>
        <w:t>field deployment download</w:t>
      </w:r>
      <w:r w:rsidRPr="0031675F">
        <w:rPr>
          <w:spacing w:val="-3"/>
        </w:rPr>
        <w:t xml:space="preserve"> </w:t>
      </w:r>
      <w:r w:rsidRPr="0031675F">
        <w:t>may</w:t>
      </w:r>
      <w:r w:rsidRPr="0031675F">
        <w:rPr>
          <w:spacing w:val="1"/>
        </w:rPr>
        <w:t xml:space="preserve"> </w:t>
      </w:r>
      <w:r w:rsidRPr="0031675F">
        <w:rPr>
          <w:spacing w:val="-1"/>
        </w:rPr>
        <w:t>take</w:t>
      </w:r>
      <w:r w:rsidRPr="0031675F">
        <w:rPr>
          <w:spacing w:val="-2"/>
        </w:rPr>
        <w:t xml:space="preserve"> </w:t>
      </w:r>
      <w:r w:rsidRPr="0031675F">
        <w:rPr>
          <w:spacing w:val="-1"/>
        </w:rPr>
        <w:t>about</w:t>
      </w:r>
      <w:r w:rsidRPr="0031675F">
        <w:t xml:space="preserve"> </w:t>
      </w:r>
      <w:r w:rsidRPr="0031675F">
        <w:rPr>
          <w:spacing w:val="-1"/>
        </w:rPr>
        <w:t>10</w:t>
      </w:r>
      <w:r w:rsidRPr="0031675F">
        <w:t xml:space="preserve"> </w:t>
      </w:r>
      <w:r w:rsidRPr="0031675F">
        <w:rPr>
          <w:spacing w:val="-1"/>
        </w:rPr>
        <w:t>minutes</w:t>
      </w:r>
      <w:r w:rsidRPr="0031675F">
        <w:t xml:space="preserve"> with a </w:t>
      </w:r>
      <w:r w:rsidRPr="0031675F">
        <w:rPr>
          <w:spacing w:val="-2"/>
        </w:rPr>
        <w:t>file</w:t>
      </w:r>
      <w:r w:rsidRPr="0031675F">
        <w:t xml:space="preserve"> </w:t>
      </w:r>
      <w:r w:rsidRPr="0031675F">
        <w:rPr>
          <w:spacing w:val="-1"/>
        </w:rPr>
        <w:t>size</w:t>
      </w:r>
      <w:r w:rsidRPr="0031675F">
        <w:t xml:space="preserve"> of </w:t>
      </w:r>
      <w:r w:rsidRPr="0031675F">
        <w:rPr>
          <w:spacing w:val="-1"/>
        </w:rPr>
        <w:t>700-800</w:t>
      </w:r>
      <w:r w:rsidRPr="0031675F">
        <w:t xml:space="preserve"> KB for a 4 month deployment.</w:t>
      </w:r>
      <w:r w:rsidRPr="0031675F">
        <w:rPr>
          <w:spacing w:val="75"/>
        </w:rPr>
        <w:t xml:space="preserve"> </w:t>
      </w:r>
      <w:r w:rsidRPr="0031675F">
        <w:rPr>
          <w:rFonts w:cs="Calibri"/>
        </w:rPr>
        <w:t xml:space="preserve">The </w:t>
      </w:r>
      <w:r w:rsidRPr="0031675F">
        <w:rPr>
          <w:rFonts w:cs="Calibri"/>
          <w:spacing w:val="-1"/>
        </w:rPr>
        <w:t>‘Receive</w:t>
      </w:r>
      <w:r w:rsidRPr="0031675F">
        <w:rPr>
          <w:rFonts w:cs="Calibri"/>
        </w:rPr>
        <w:t xml:space="preserve"> </w:t>
      </w:r>
      <w:r w:rsidRPr="0031675F">
        <w:rPr>
          <w:rFonts w:cs="Calibri"/>
          <w:spacing w:val="-1"/>
        </w:rPr>
        <w:t>File</w:t>
      </w:r>
      <w:r w:rsidRPr="0031675F">
        <w:rPr>
          <w:rFonts w:cs="Calibri"/>
        </w:rPr>
        <w:t xml:space="preserve"> </w:t>
      </w:r>
      <w:r w:rsidRPr="0031675F">
        <w:rPr>
          <w:rFonts w:cs="Calibri"/>
          <w:spacing w:val="-1"/>
        </w:rPr>
        <w:t>Status’</w:t>
      </w:r>
      <w:r w:rsidRPr="0031675F">
        <w:rPr>
          <w:rFonts w:cs="Calibri"/>
        </w:rPr>
        <w:t xml:space="preserve"> </w:t>
      </w:r>
      <w:r w:rsidRPr="0031675F">
        <w:rPr>
          <w:rFonts w:cs="Calibri"/>
          <w:spacing w:val="-1"/>
        </w:rPr>
        <w:t>will indicate</w:t>
      </w:r>
      <w:r w:rsidRPr="0031675F">
        <w:rPr>
          <w:rFonts w:cs="Calibri"/>
          <w:spacing w:val="1"/>
        </w:rPr>
        <w:t xml:space="preserve"> </w:t>
      </w:r>
      <w:r w:rsidRPr="0031675F">
        <w:rPr>
          <w:rFonts w:cs="Calibri"/>
          <w:spacing w:val="-1"/>
        </w:rPr>
        <w:t>‘Complete’.</w:t>
      </w:r>
    </w:p>
    <w:p w14:paraId="1B412550" w14:textId="2D746F79" w:rsidR="0031675F" w:rsidRPr="0031675F" w:rsidRDefault="0031675F" w:rsidP="0031675F">
      <w:pPr>
        <w:widowControl w:val="0"/>
        <w:numPr>
          <w:ilvl w:val="3"/>
          <w:numId w:val="67"/>
        </w:numPr>
        <w:tabs>
          <w:tab w:val="left" w:pos="839"/>
        </w:tabs>
        <w:spacing w:before="120" w:after="0" w:line="240" w:lineRule="auto"/>
      </w:pPr>
      <w:r w:rsidRPr="0031675F">
        <w:rPr>
          <w:spacing w:val="-1"/>
        </w:rPr>
        <w:t xml:space="preserve">Fill </w:t>
      </w:r>
      <w:r w:rsidRPr="0031675F">
        <w:t xml:space="preserve">in </w:t>
      </w:r>
      <w:r w:rsidRPr="0031675F">
        <w:rPr>
          <w:spacing w:val="-1"/>
        </w:rPr>
        <w:t>details</w:t>
      </w:r>
      <w:r w:rsidRPr="0031675F">
        <w:rPr>
          <w:spacing w:val="-2"/>
        </w:rPr>
        <w:t xml:space="preserve"> </w:t>
      </w:r>
      <w:r w:rsidRPr="0031675F">
        <w:t>on</w:t>
      </w:r>
      <w:r w:rsidRPr="0031675F">
        <w:rPr>
          <w:spacing w:val="-1"/>
        </w:rPr>
        <w:t xml:space="preserve"> the</w:t>
      </w:r>
      <w:r w:rsidRPr="0031675F">
        <w:rPr>
          <w:spacing w:val="-2"/>
        </w:rPr>
        <w:t xml:space="preserve"> </w:t>
      </w:r>
      <w:r w:rsidRPr="0031675F">
        <w:rPr>
          <w:spacing w:val="-1"/>
        </w:rPr>
        <w:t>logger</w:t>
      </w:r>
      <w:r w:rsidRPr="0031675F">
        <w:rPr>
          <w:spacing w:val="-4"/>
        </w:rPr>
        <w:t xml:space="preserve"> </w:t>
      </w:r>
      <w:r w:rsidRPr="0031675F">
        <w:rPr>
          <w:spacing w:val="-1"/>
        </w:rPr>
        <w:t>download datasheet</w:t>
      </w:r>
      <w:r w:rsidRPr="0031675F">
        <w:t xml:space="preserve"> </w:t>
      </w:r>
    </w:p>
    <w:p w14:paraId="2D412AAE" w14:textId="77777777" w:rsidR="0031675F" w:rsidRPr="0031675F" w:rsidRDefault="0031675F" w:rsidP="0031675F">
      <w:pPr>
        <w:widowControl w:val="0"/>
        <w:numPr>
          <w:ilvl w:val="3"/>
          <w:numId w:val="67"/>
        </w:numPr>
        <w:tabs>
          <w:tab w:val="left" w:pos="839"/>
        </w:tabs>
        <w:spacing w:before="120" w:after="0" w:line="240" w:lineRule="auto"/>
        <w:ind w:right="120"/>
      </w:pPr>
      <w:r w:rsidRPr="0031675F">
        <w:rPr>
          <w:spacing w:val="-1"/>
        </w:rPr>
        <w:t>Disconnect</w:t>
      </w:r>
      <w:r w:rsidRPr="0031675F">
        <w:rPr>
          <w:spacing w:val="8"/>
        </w:rPr>
        <w:t xml:space="preserve"> </w:t>
      </w:r>
      <w:r w:rsidRPr="0031675F">
        <w:rPr>
          <w:spacing w:val="-1"/>
        </w:rPr>
        <w:t>the</w:t>
      </w:r>
      <w:r w:rsidRPr="0031675F">
        <w:rPr>
          <w:spacing w:val="8"/>
        </w:rPr>
        <w:t xml:space="preserve"> </w:t>
      </w:r>
      <w:r w:rsidRPr="0031675F">
        <w:rPr>
          <w:spacing w:val="-1"/>
        </w:rPr>
        <w:t>logger</w:t>
      </w:r>
      <w:r w:rsidRPr="0031675F">
        <w:rPr>
          <w:spacing w:val="7"/>
        </w:rPr>
        <w:t xml:space="preserve"> </w:t>
      </w:r>
      <w:r w:rsidRPr="0031675F">
        <w:rPr>
          <w:spacing w:val="-2"/>
        </w:rPr>
        <w:t>from</w:t>
      </w:r>
      <w:r w:rsidRPr="0031675F">
        <w:rPr>
          <w:spacing w:val="8"/>
        </w:rPr>
        <w:t xml:space="preserve"> </w:t>
      </w:r>
      <w:r w:rsidRPr="0031675F">
        <w:t>the</w:t>
      </w:r>
      <w:r w:rsidRPr="0031675F">
        <w:rPr>
          <w:spacing w:val="7"/>
        </w:rPr>
        <w:t xml:space="preserve"> </w:t>
      </w:r>
      <w:r w:rsidRPr="0031675F">
        <w:rPr>
          <w:spacing w:val="-1"/>
        </w:rPr>
        <w:t>computer</w:t>
      </w:r>
      <w:r w:rsidRPr="0031675F">
        <w:rPr>
          <w:spacing w:val="7"/>
        </w:rPr>
        <w:t xml:space="preserve"> </w:t>
      </w:r>
      <w:r w:rsidRPr="0031675F">
        <w:rPr>
          <w:spacing w:val="-1"/>
        </w:rPr>
        <w:t>connection</w:t>
      </w:r>
      <w:r w:rsidRPr="0031675F">
        <w:rPr>
          <w:spacing w:val="6"/>
        </w:rPr>
        <w:t xml:space="preserve"> </w:t>
      </w:r>
      <w:r w:rsidRPr="0031675F">
        <w:rPr>
          <w:spacing w:val="-1"/>
        </w:rPr>
        <w:t>cable,</w:t>
      </w:r>
      <w:r w:rsidRPr="0031675F">
        <w:rPr>
          <w:spacing w:val="7"/>
        </w:rPr>
        <w:t xml:space="preserve"> </w:t>
      </w:r>
      <w:r w:rsidRPr="0031675F">
        <w:rPr>
          <w:spacing w:val="-1"/>
        </w:rPr>
        <w:t>and</w:t>
      </w:r>
      <w:r w:rsidRPr="0031675F">
        <w:rPr>
          <w:spacing w:val="6"/>
        </w:rPr>
        <w:t xml:space="preserve"> </w:t>
      </w:r>
      <w:r w:rsidRPr="0031675F">
        <w:rPr>
          <w:spacing w:val="-1"/>
        </w:rPr>
        <w:t>reconnect</w:t>
      </w:r>
      <w:r w:rsidRPr="0031675F">
        <w:rPr>
          <w:spacing w:val="8"/>
        </w:rPr>
        <w:t xml:space="preserve"> </w:t>
      </w:r>
      <w:r w:rsidRPr="0031675F">
        <w:t>the</w:t>
      </w:r>
      <w:r w:rsidRPr="0031675F">
        <w:rPr>
          <w:spacing w:val="5"/>
        </w:rPr>
        <w:t xml:space="preserve"> </w:t>
      </w:r>
      <w:r w:rsidRPr="0031675F">
        <w:t>6</w:t>
      </w:r>
      <w:r w:rsidRPr="0031675F">
        <w:rPr>
          <w:spacing w:val="8"/>
        </w:rPr>
        <w:t xml:space="preserve"> </w:t>
      </w:r>
      <w:r w:rsidRPr="0031675F">
        <w:rPr>
          <w:spacing w:val="-1"/>
        </w:rPr>
        <w:t>pin</w:t>
      </w:r>
      <w:r w:rsidRPr="0031675F">
        <w:rPr>
          <w:spacing w:val="6"/>
        </w:rPr>
        <w:t xml:space="preserve"> </w:t>
      </w:r>
      <w:r w:rsidRPr="0031675F">
        <w:rPr>
          <w:spacing w:val="-1"/>
        </w:rPr>
        <w:t>dummy</w:t>
      </w:r>
      <w:r w:rsidRPr="0031675F">
        <w:rPr>
          <w:spacing w:val="65"/>
        </w:rPr>
        <w:t xml:space="preserve"> </w:t>
      </w:r>
      <w:r w:rsidRPr="0031675F">
        <w:rPr>
          <w:spacing w:val="-1"/>
        </w:rPr>
        <w:t>plug.</w:t>
      </w:r>
    </w:p>
    <w:p w14:paraId="380F2D07" w14:textId="77777777" w:rsidR="0031675F" w:rsidRPr="0031675F" w:rsidRDefault="0031675F" w:rsidP="0031675F"/>
    <w:p w14:paraId="0F050192" w14:textId="77777777" w:rsidR="0031675F" w:rsidRPr="0031675F" w:rsidRDefault="0031675F" w:rsidP="0031675F">
      <w:pPr>
        <w:widowControl w:val="0"/>
        <w:numPr>
          <w:ilvl w:val="2"/>
          <w:numId w:val="67"/>
        </w:numPr>
        <w:tabs>
          <w:tab w:val="left" w:pos="827"/>
        </w:tabs>
        <w:spacing w:before="0" w:after="0" w:line="240" w:lineRule="auto"/>
        <w:ind w:left="826" w:right="120" w:hanging="708"/>
        <w:rPr>
          <w:rFonts w:eastAsia="Arial" w:cs="Arial"/>
        </w:rPr>
      </w:pPr>
      <w:r w:rsidRPr="0031675F">
        <w:rPr>
          <w:b/>
          <w:spacing w:val="-1"/>
        </w:rPr>
        <w:t>Upload</w:t>
      </w:r>
      <w:r w:rsidRPr="0031675F">
        <w:rPr>
          <w:b/>
          <w:spacing w:val="28"/>
        </w:rPr>
        <w:t xml:space="preserve"> </w:t>
      </w:r>
      <w:r w:rsidRPr="0031675F">
        <w:rPr>
          <w:b/>
          <w:spacing w:val="-1"/>
        </w:rPr>
        <w:t>raw</w:t>
      </w:r>
      <w:r w:rsidRPr="0031675F">
        <w:rPr>
          <w:b/>
          <w:spacing w:val="32"/>
        </w:rPr>
        <w:t xml:space="preserve"> </w:t>
      </w:r>
      <w:r w:rsidRPr="0031675F">
        <w:rPr>
          <w:b/>
          <w:spacing w:val="-1"/>
        </w:rPr>
        <w:t>and</w:t>
      </w:r>
      <w:r w:rsidRPr="0031675F">
        <w:rPr>
          <w:b/>
          <w:spacing w:val="26"/>
        </w:rPr>
        <w:t xml:space="preserve"> </w:t>
      </w:r>
      <w:r w:rsidRPr="0031675F">
        <w:rPr>
          <w:b/>
          <w:spacing w:val="-2"/>
        </w:rPr>
        <w:t>QA/QC</w:t>
      </w:r>
      <w:r w:rsidRPr="0031675F">
        <w:rPr>
          <w:b/>
          <w:spacing w:val="28"/>
        </w:rPr>
        <w:t xml:space="preserve"> </w:t>
      </w:r>
      <w:r w:rsidRPr="0031675F">
        <w:rPr>
          <w:b/>
        </w:rPr>
        <w:t>files</w:t>
      </w:r>
      <w:r w:rsidRPr="0031675F">
        <w:rPr>
          <w:b/>
          <w:spacing w:val="26"/>
        </w:rPr>
        <w:t xml:space="preserve"> </w:t>
      </w:r>
      <w:r w:rsidRPr="0031675F">
        <w:rPr>
          <w:b/>
        </w:rPr>
        <w:t>to</w:t>
      </w:r>
      <w:r w:rsidRPr="0031675F">
        <w:rPr>
          <w:b/>
          <w:spacing w:val="35"/>
        </w:rPr>
        <w:t xml:space="preserve"> </w:t>
      </w:r>
      <w:r w:rsidRPr="0031675F">
        <w:rPr>
          <w:b/>
          <w:spacing w:val="-3"/>
        </w:rPr>
        <w:t>AIMS</w:t>
      </w:r>
      <w:r w:rsidRPr="0031675F">
        <w:rPr>
          <w:b/>
          <w:spacing w:val="28"/>
        </w:rPr>
        <w:t xml:space="preserve"> </w:t>
      </w:r>
      <w:r w:rsidRPr="0031675F">
        <w:rPr>
          <w:b/>
          <w:spacing w:val="-1"/>
        </w:rPr>
        <w:t>Data</w:t>
      </w:r>
      <w:r w:rsidRPr="0031675F">
        <w:rPr>
          <w:b/>
          <w:spacing w:val="30"/>
        </w:rPr>
        <w:t xml:space="preserve"> </w:t>
      </w:r>
      <w:r w:rsidRPr="0031675F">
        <w:rPr>
          <w:b/>
          <w:spacing w:val="-1"/>
        </w:rPr>
        <w:t>Centre</w:t>
      </w:r>
      <w:r w:rsidRPr="0031675F">
        <w:rPr>
          <w:b/>
          <w:spacing w:val="30"/>
        </w:rPr>
        <w:t xml:space="preserve"> Water Quality </w:t>
      </w:r>
      <w:r w:rsidRPr="0031675F">
        <w:rPr>
          <w:b/>
          <w:spacing w:val="-1"/>
        </w:rPr>
        <w:t>Environmental</w:t>
      </w:r>
      <w:r w:rsidRPr="0031675F">
        <w:rPr>
          <w:b/>
          <w:spacing w:val="30"/>
        </w:rPr>
        <w:t xml:space="preserve"> </w:t>
      </w:r>
      <w:r w:rsidRPr="0031675F">
        <w:rPr>
          <w:b/>
          <w:spacing w:val="-1"/>
        </w:rPr>
        <w:t>Logger</w:t>
      </w:r>
      <w:r w:rsidRPr="0031675F">
        <w:rPr>
          <w:b/>
          <w:spacing w:val="30"/>
        </w:rPr>
        <w:t xml:space="preserve"> </w:t>
      </w:r>
      <w:r w:rsidRPr="0031675F">
        <w:rPr>
          <w:b/>
          <w:spacing w:val="-1"/>
        </w:rPr>
        <w:t>Data</w:t>
      </w:r>
      <w:r w:rsidRPr="0031675F">
        <w:rPr>
          <w:b/>
          <w:spacing w:val="49"/>
        </w:rPr>
        <w:t xml:space="preserve"> </w:t>
      </w:r>
      <w:r w:rsidRPr="0031675F">
        <w:rPr>
          <w:b/>
          <w:spacing w:val="-1"/>
        </w:rPr>
        <w:t>Management</w:t>
      </w:r>
      <w:r w:rsidRPr="0031675F">
        <w:rPr>
          <w:b/>
          <w:spacing w:val="1"/>
        </w:rPr>
        <w:t xml:space="preserve"> </w:t>
      </w:r>
      <w:r w:rsidRPr="0031675F">
        <w:rPr>
          <w:b/>
          <w:spacing w:val="-2"/>
        </w:rPr>
        <w:t>System</w:t>
      </w:r>
    </w:p>
    <w:p w14:paraId="538FAF6B" w14:textId="77777777" w:rsidR="0031675F" w:rsidRPr="0031675F" w:rsidRDefault="0031675F" w:rsidP="0031675F">
      <w:pPr>
        <w:spacing w:after="120"/>
      </w:pPr>
      <w:r w:rsidRPr="0031675F">
        <w:t xml:space="preserve">The raw field data files are uploaded into the AIMS Data Centre Water Quality Environmental Logger Data Management System (ELDMS) and is discussed in more detail in Section A12. The ELDMS can be found on the AIMS internet, the current address is: </w:t>
      </w:r>
    </w:p>
    <w:p w14:paraId="00E4C565" w14:textId="77777777" w:rsidR="0031675F" w:rsidRPr="0031675F" w:rsidRDefault="00740B55" w:rsidP="0031675F">
      <w:pPr>
        <w:spacing w:after="120"/>
      </w:pPr>
      <w:hyperlink r:id="rId175" w:history="1">
        <w:r w:rsidR="0031675F" w:rsidRPr="0031675F">
          <w:rPr>
            <w:color w:val="0000FF"/>
            <w:u w:val="single"/>
          </w:rPr>
          <w:t>http://waterquality.aims.gov.au:8080/waterquality/index_gui.iface</w:t>
        </w:r>
      </w:hyperlink>
    </w:p>
    <w:p w14:paraId="6375625F" w14:textId="77777777" w:rsidR="0031675F" w:rsidRPr="0031675F" w:rsidRDefault="0031675F" w:rsidP="0031675F">
      <w:pPr>
        <w:spacing w:after="120"/>
      </w:pPr>
    </w:p>
    <w:p w14:paraId="294BB693" w14:textId="77777777" w:rsidR="0031675F" w:rsidRPr="0031675F" w:rsidRDefault="0031675F" w:rsidP="0031675F">
      <w:pPr>
        <w:spacing w:after="120"/>
      </w:pPr>
      <w:r w:rsidRPr="0031675F">
        <w:t>The ELDMS currently has the structure as in the following screen view:</w:t>
      </w:r>
    </w:p>
    <w:p w14:paraId="3B2696AD" w14:textId="77777777" w:rsidR="0031675F" w:rsidRPr="0031675F" w:rsidRDefault="0031675F" w:rsidP="0031675F">
      <w:pPr>
        <w:spacing w:line="200" w:lineRule="atLeast"/>
        <w:ind w:left="3118"/>
        <w:rPr>
          <w:noProof/>
          <w:lang w:eastAsia="en-AU"/>
        </w:rPr>
      </w:pPr>
      <w:r w:rsidRPr="0031675F">
        <w:rPr>
          <w:noProof/>
          <w:lang w:eastAsia="en-AU"/>
        </w:rPr>
        <w:t xml:space="preserve"> </w:t>
      </w:r>
      <w:r w:rsidRPr="0031675F">
        <w:rPr>
          <w:noProof/>
          <w:lang w:eastAsia="en-AU"/>
        </w:rPr>
        <w:drawing>
          <wp:inline distT="0" distB="0" distL="0" distR="0" wp14:anchorId="1F7684C4" wp14:editId="534F0AFD">
            <wp:extent cx="1943100" cy="1409700"/>
            <wp:effectExtent l="0" t="0" r="0" b="0"/>
            <wp:docPr id="9484" name="Picture 3" descr="ELDMS screen view." title="ECO logger data download and sto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1943100" cy="1409700"/>
                    </a:xfrm>
                    <a:prstGeom prst="rect">
                      <a:avLst/>
                    </a:prstGeom>
                    <a:noFill/>
                    <a:ln>
                      <a:noFill/>
                    </a:ln>
                  </pic:spPr>
                </pic:pic>
              </a:graphicData>
            </a:graphic>
          </wp:inline>
        </w:drawing>
      </w:r>
    </w:p>
    <w:p w14:paraId="121540D4" w14:textId="77777777" w:rsidR="0031675F" w:rsidRPr="0031675F" w:rsidRDefault="0031675F" w:rsidP="0031675F">
      <w:pPr>
        <w:spacing w:after="120"/>
      </w:pPr>
      <w:r w:rsidRPr="0031675F">
        <w:t>Information about the loggers and the deployment locations (example screen shots below)is held in this database as well as the device calibration files and logger data files.</w:t>
      </w:r>
    </w:p>
    <w:p w14:paraId="371AAA8A" w14:textId="77777777" w:rsidR="0031675F" w:rsidRPr="0031675F" w:rsidRDefault="0031675F" w:rsidP="0031675F">
      <w:pPr>
        <w:rPr>
          <w:rFonts w:cs="Calibri"/>
        </w:rPr>
      </w:pPr>
      <w:r w:rsidRPr="0031675F">
        <w:rPr>
          <w:noProof/>
          <w:lang w:eastAsia="en-AU"/>
        </w:rPr>
        <w:drawing>
          <wp:inline distT="0" distB="0" distL="0" distR="0" wp14:anchorId="679FF2C0" wp14:editId="1027D17B">
            <wp:extent cx="5915025" cy="1314450"/>
            <wp:effectExtent l="0" t="0" r="9525" b="0"/>
            <wp:docPr id="9485" name="Picture 4" descr="Screen shot showing how information about the loggers and deployment locations is organised." title="ECO logger data download and sto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915025" cy="1314450"/>
                    </a:xfrm>
                    <a:prstGeom prst="rect">
                      <a:avLst/>
                    </a:prstGeom>
                    <a:noFill/>
                    <a:ln>
                      <a:noFill/>
                    </a:ln>
                  </pic:spPr>
                </pic:pic>
              </a:graphicData>
            </a:graphic>
          </wp:inline>
        </w:drawing>
      </w:r>
    </w:p>
    <w:p w14:paraId="3B37777B" w14:textId="77777777" w:rsidR="0031675F" w:rsidRPr="0031675F" w:rsidRDefault="0031675F" w:rsidP="0031675F">
      <w:pPr>
        <w:spacing w:before="6"/>
        <w:rPr>
          <w:rFonts w:cs="Calibri"/>
          <w:sz w:val="19"/>
          <w:szCs w:val="19"/>
        </w:rPr>
      </w:pPr>
      <w:r w:rsidRPr="0031675F">
        <w:rPr>
          <w:noProof/>
          <w:lang w:eastAsia="en-AU"/>
        </w:rPr>
        <w:drawing>
          <wp:inline distT="0" distB="0" distL="0" distR="0" wp14:anchorId="2C2B9D34" wp14:editId="61A08A80">
            <wp:extent cx="3438525" cy="3143250"/>
            <wp:effectExtent l="0" t="0" r="9525" b="0"/>
            <wp:docPr id="9486" name="Picture 7" descr="Screen shot of 'View deployment' tab." title="ECO logger data download and sto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3438525" cy="3143250"/>
                    </a:xfrm>
                    <a:prstGeom prst="rect">
                      <a:avLst/>
                    </a:prstGeom>
                    <a:noFill/>
                    <a:ln>
                      <a:noFill/>
                    </a:ln>
                  </pic:spPr>
                </pic:pic>
              </a:graphicData>
            </a:graphic>
          </wp:inline>
        </w:drawing>
      </w:r>
    </w:p>
    <w:p w14:paraId="59EF8326" w14:textId="77777777" w:rsidR="0031675F" w:rsidRPr="0031675F" w:rsidRDefault="0031675F" w:rsidP="0031675F">
      <w:pPr>
        <w:rPr>
          <w:rFonts w:cs="Calibri"/>
          <w:sz w:val="19"/>
          <w:szCs w:val="19"/>
        </w:rPr>
      </w:pPr>
      <w:r w:rsidRPr="0031675F">
        <w:rPr>
          <w:rFonts w:cs="Calibri"/>
          <w:sz w:val="19"/>
          <w:szCs w:val="19"/>
        </w:rPr>
        <w:br w:type="page"/>
      </w:r>
    </w:p>
    <w:p w14:paraId="54871DFF" w14:textId="77777777" w:rsidR="0031675F" w:rsidRPr="0031675F" w:rsidRDefault="0031675F" w:rsidP="0031675F">
      <w:pPr>
        <w:spacing w:before="6"/>
        <w:rPr>
          <w:rFonts w:cs="Calibri"/>
          <w:sz w:val="19"/>
          <w:szCs w:val="19"/>
        </w:rPr>
      </w:pPr>
    </w:p>
    <w:p w14:paraId="5E96ADA1" w14:textId="77777777" w:rsidR="0031675F" w:rsidRPr="0031675F" w:rsidRDefault="0031675F" w:rsidP="0031675F">
      <w:pPr>
        <w:ind w:left="118"/>
        <w:rPr>
          <w:rFonts w:cs="Calibri"/>
        </w:rPr>
      </w:pPr>
      <w:r w:rsidRPr="0031675F">
        <w:rPr>
          <w:b/>
          <w:i/>
          <w:spacing w:val="-1"/>
        </w:rPr>
        <w:t>Upload</w:t>
      </w:r>
      <w:r w:rsidRPr="0031675F">
        <w:rPr>
          <w:b/>
          <w:i/>
          <w:spacing w:val="1"/>
        </w:rPr>
        <w:t xml:space="preserve"> </w:t>
      </w:r>
      <w:r w:rsidRPr="0031675F">
        <w:rPr>
          <w:b/>
          <w:i/>
          <w:spacing w:val="-1"/>
        </w:rPr>
        <w:t>raw</w:t>
      </w:r>
      <w:r w:rsidRPr="0031675F">
        <w:rPr>
          <w:b/>
          <w:i/>
          <w:spacing w:val="-2"/>
        </w:rPr>
        <w:t xml:space="preserve"> </w:t>
      </w:r>
      <w:r w:rsidRPr="0031675F">
        <w:rPr>
          <w:b/>
          <w:i/>
          <w:spacing w:val="-1"/>
        </w:rPr>
        <w:t>data</w:t>
      </w:r>
      <w:r w:rsidRPr="0031675F">
        <w:rPr>
          <w:b/>
          <w:i/>
          <w:spacing w:val="1"/>
        </w:rPr>
        <w:t xml:space="preserve"> </w:t>
      </w:r>
      <w:r w:rsidRPr="0031675F">
        <w:rPr>
          <w:b/>
          <w:i/>
          <w:spacing w:val="-1"/>
        </w:rPr>
        <w:t>file</w:t>
      </w:r>
      <w:r w:rsidRPr="0031675F">
        <w:rPr>
          <w:b/>
          <w:i/>
        </w:rPr>
        <w:t xml:space="preserve"> </w:t>
      </w:r>
      <w:r w:rsidRPr="0031675F">
        <w:rPr>
          <w:b/>
          <w:i/>
          <w:spacing w:val="-2"/>
        </w:rPr>
        <w:t>to</w:t>
      </w:r>
      <w:r w:rsidRPr="0031675F">
        <w:rPr>
          <w:b/>
          <w:i/>
          <w:spacing w:val="-1"/>
        </w:rPr>
        <w:t xml:space="preserve"> the</w:t>
      </w:r>
      <w:r w:rsidRPr="0031675F">
        <w:rPr>
          <w:b/>
          <w:i/>
        </w:rPr>
        <w:t xml:space="preserve"> ELDMS</w:t>
      </w:r>
    </w:p>
    <w:p w14:paraId="0D656441" w14:textId="77777777" w:rsidR="0031675F" w:rsidRPr="0031675F" w:rsidRDefault="0031675F" w:rsidP="0031675F">
      <w:pPr>
        <w:widowControl w:val="0"/>
        <w:numPr>
          <w:ilvl w:val="3"/>
          <w:numId w:val="67"/>
        </w:numPr>
        <w:tabs>
          <w:tab w:val="left" w:pos="839"/>
        </w:tabs>
        <w:spacing w:before="120" w:after="0" w:line="240" w:lineRule="auto"/>
      </w:pPr>
      <w:r w:rsidRPr="0031675F">
        <w:t>Login</w:t>
      </w:r>
      <w:r w:rsidRPr="0031675F">
        <w:rPr>
          <w:spacing w:val="-1"/>
        </w:rPr>
        <w:t xml:space="preserve"> to </w:t>
      </w:r>
      <w:r w:rsidRPr="0031675F">
        <w:t xml:space="preserve">the </w:t>
      </w:r>
      <w:r w:rsidRPr="0031675F">
        <w:rPr>
          <w:spacing w:val="-1"/>
        </w:rPr>
        <w:t>ELDMS.</w:t>
      </w:r>
    </w:p>
    <w:p w14:paraId="05C3D188" w14:textId="77777777" w:rsidR="0031675F" w:rsidRPr="0031675F" w:rsidRDefault="0031675F" w:rsidP="0031675F">
      <w:pPr>
        <w:widowControl w:val="0"/>
        <w:numPr>
          <w:ilvl w:val="3"/>
          <w:numId w:val="67"/>
        </w:numPr>
        <w:tabs>
          <w:tab w:val="left" w:pos="839"/>
        </w:tabs>
        <w:spacing w:before="121" w:after="0" w:line="240" w:lineRule="auto"/>
        <w:ind w:right="119"/>
        <w:rPr>
          <w:rFonts w:cs="Calibri"/>
        </w:rPr>
      </w:pPr>
      <w:r w:rsidRPr="0031675F">
        <w:rPr>
          <w:rFonts w:cs="Calibri"/>
          <w:spacing w:val="-1"/>
        </w:rPr>
        <w:t>Click</w:t>
      </w:r>
      <w:r w:rsidRPr="0031675F">
        <w:rPr>
          <w:rFonts w:cs="Calibri"/>
          <w:spacing w:val="17"/>
        </w:rPr>
        <w:t xml:space="preserve"> </w:t>
      </w:r>
      <w:r w:rsidRPr="0031675F">
        <w:rPr>
          <w:rFonts w:cs="Calibri"/>
          <w:spacing w:val="-1"/>
        </w:rPr>
        <w:t>‘List Deployments’</w:t>
      </w:r>
      <w:r w:rsidRPr="0031675F">
        <w:rPr>
          <w:rFonts w:cs="Calibri"/>
          <w:spacing w:val="17"/>
        </w:rPr>
        <w:t>.</w:t>
      </w:r>
    </w:p>
    <w:p w14:paraId="4449FF8F" w14:textId="77777777" w:rsidR="0031675F" w:rsidRPr="0031675F" w:rsidRDefault="0031675F" w:rsidP="0031675F">
      <w:pPr>
        <w:widowControl w:val="0"/>
        <w:numPr>
          <w:ilvl w:val="3"/>
          <w:numId w:val="67"/>
        </w:numPr>
        <w:tabs>
          <w:tab w:val="left" w:pos="839"/>
        </w:tabs>
        <w:spacing w:before="129" w:after="0" w:line="266" w:lineRule="exact"/>
        <w:ind w:right="120"/>
      </w:pPr>
      <w:r w:rsidRPr="0031675F">
        <w:rPr>
          <w:spacing w:val="-1"/>
        </w:rPr>
        <w:t>Select site by ‘Restrict by Location’ and/or Logger to be uploaded.</w:t>
      </w:r>
    </w:p>
    <w:p w14:paraId="65DDF0C8" w14:textId="77777777" w:rsidR="0031675F" w:rsidRPr="0031675F" w:rsidRDefault="0031675F" w:rsidP="0031675F">
      <w:pPr>
        <w:widowControl w:val="0"/>
        <w:numPr>
          <w:ilvl w:val="3"/>
          <w:numId w:val="67"/>
        </w:numPr>
        <w:tabs>
          <w:tab w:val="left" w:pos="839"/>
        </w:tabs>
        <w:spacing w:before="126" w:after="0" w:line="240" w:lineRule="auto"/>
        <w:ind w:right="120"/>
      </w:pPr>
      <w:r w:rsidRPr="0031675F">
        <w:rPr>
          <w:rFonts w:cs="Calibri"/>
          <w:spacing w:val="-1"/>
        </w:rPr>
        <w:t>Select ‘QA’ Action for the chosen deployment.</w:t>
      </w:r>
    </w:p>
    <w:p w14:paraId="0E6B0EB6" w14:textId="77777777" w:rsidR="0031675F" w:rsidRPr="0031675F" w:rsidRDefault="0031675F" w:rsidP="0031675F">
      <w:pPr>
        <w:widowControl w:val="0"/>
        <w:numPr>
          <w:ilvl w:val="3"/>
          <w:numId w:val="67"/>
        </w:numPr>
        <w:tabs>
          <w:tab w:val="left" w:pos="839"/>
        </w:tabs>
        <w:spacing w:before="120" w:after="0" w:line="240" w:lineRule="auto"/>
        <w:rPr>
          <w:rFonts w:cs="Calibri"/>
        </w:rPr>
      </w:pPr>
      <w:r w:rsidRPr="0031675F">
        <w:rPr>
          <w:rFonts w:cs="Calibri"/>
          <w:spacing w:val="-1"/>
        </w:rPr>
        <w:t>Click</w:t>
      </w:r>
      <w:r w:rsidRPr="0031675F">
        <w:rPr>
          <w:rFonts w:cs="Calibri"/>
          <w:spacing w:val="1"/>
        </w:rPr>
        <w:t xml:space="preserve"> </w:t>
      </w:r>
      <w:r w:rsidRPr="0031675F">
        <w:rPr>
          <w:rFonts w:cs="Calibri"/>
          <w:spacing w:val="-1"/>
        </w:rPr>
        <w:t>‘Upload</w:t>
      </w:r>
      <w:r w:rsidRPr="0031675F">
        <w:rPr>
          <w:rFonts w:cs="Calibri"/>
        </w:rPr>
        <w:t xml:space="preserve"> </w:t>
      </w:r>
      <w:r w:rsidRPr="0031675F">
        <w:rPr>
          <w:rFonts w:cs="Calibri"/>
          <w:spacing w:val="-1"/>
        </w:rPr>
        <w:t>Raw</w:t>
      </w:r>
      <w:r w:rsidRPr="0031675F">
        <w:rPr>
          <w:rFonts w:cs="Calibri"/>
          <w:spacing w:val="1"/>
        </w:rPr>
        <w:t xml:space="preserve"> </w:t>
      </w:r>
      <w:r w:rsidRPr="0031675F">
        <w:rPr>
          <w:rFonts w:cs="Calibri"/>
          <w:spacing w:val="-1"/>
        </w:rPr>
        <w:t>Data</w:t>
      </w:r>
      <w:r w:rsidRPr="0031675F">
        <w:rPr>
          <w:rFonts w:cs="Calibri"/>
        </w:rPr>
        <w:t xml:space="preserve"> </w:t>
      </w:r>
      <w:r w:rsidRPr="0031675F">
        <w:rPr>
          <w:rFonts w:cs="Calibri"/>
          <w:spacing w:val="-1"/>
        </w:rPr>
        <w:t>File’.</w:t>
      </w:r>
    </w:p>
    <w:p w14:paraId="3C201EBB" w14:textId="77777777" w:rsidR="0031675F" w:rsidRPr="0031675F" w:rsidRDefault="0031675F" w:rsidP="0031675F">
      <w:pPr>
        <w:widowControl w:val="0"/>
        <w:numPr>
          <w:ilvl w:val="3"/>
          <w:numId w:val="67"/>
        </w:numPr>
        <w:tabs>
          <w:tab w:val="left" w:pos="839"/>
        </w:tabs>
        <w:spacing w:before="120" w:after="0" w:line="240" w:lineRule="auto"/>
        <w:ind w:right="120"/>
      </w:pPr>
      <w:r w:rsidRPr="0031675F">
        <w:rPr>
          <w:rFonts w:cs="Calibri"/>
          <w:spacing w:val="-1"/>
        </w:rPr>
        <w:t>Browse for raw file, then ‘Upload’</w:t>
      </w:r>
    </w:p>
    <w:p w14:paraId="3747B1C5" w14:textId="77777777" w:rsidR="0031675F" w:rsidRPr="0031675F" w:rsidRDefault="0031675F" w:rsidP="0031675F">
      <w:pPr>
        <w:widowControl w:val="0"/>
        <w:numPr>
          <w:ilvl w:val="3"/>
          <w:numId w:val="67"/>
        </w:numPr>
        <w:tabs>
          <w:tab w:val="left" w:pos="839"/>
        </w:tabs>
        <w:spacing w:before="120" w:after="0" w:line="240" w:lineRule="auto"/>
        <w:rPr>
          <w:rFonts w:cs="Calibri"/>
        </w:rPr>
      </w:pPr>
      <w:r w:rsidRPr="0031675F">
        <w:rPr>
          <w:rFonts w:cs="Calibri"/>
          <w:spacing w:val="-1"/>
        </w:rPr>
        <w:t>Click</w:t>
      </w:r>
      <w:r w:rsidRPr="0031675F">
        <w:rPr>
          <w:rFonts w:cs="Calibri"/>
          <w:spacing w:val="1"/>
        </w:rPr>
        <w:t xml:space="preserve"> </w:t>
      </w:r>
      <w:r w:rsidRPr="0031675F">
        <w:rPr>
          <w:rFonts w:cs="Calibri"/>
          <w:spacing w:val="-1"/>
        </w:rPr>
        <w:t>‘Create Raw Data Records’ which will automatically calculate ‘engineering’ units.</w:t>
      </w:r>
    </w:p>
    <w:p w14:paraId="547B9121" w14:textId="77777777" w:rsidR="0031675F" w:rsidRPr="0031675F" w:rsidRDefault="0031675F" w:rsidP="0031675F">
      <w:pPr>
        <w:widowControl w:val="0"/>
        <w:numPr>
          <w:ilvl w:val="3"/>
          <w:numId w:val="67"/>
        </w:numPr>
        <w:tabs>
          <w:tab w:val="left" w:pos="839"/>
        </w:tabs>
        <w:spacing w:before="120" w:after="0" w:line="240" w:lineRule="auto"/>
        <w:rPr>
          <w:rFonts w:cs="Calibri"/>
        </w:rPr>
      </w:pPr>
      <w:r w:rsidRPr="0031675F">
        <w:rPr>
          <w:rFonts w:cs="Calibri"/>
          <w:spacing w:val="-1"/>
        </w:rPr>
        <w:t>The record processing will indicate it is ‘running in the background’ until the process is complete, and then a ‘pop-up’ window will confirm this.</w:t>
      </w:r>
    </w:p>
    <w:p w14:paraId="647ECFD3" w14:textId="77777777" w:rsidR="0031675F" w:rsidRPr="0031675F" w:rsidRDefault="0031675F" w:rsidP="0031675F">
      <w:pPr>
        <w:rPr>
          <w:rFonts w:cs="Calibri"/>
        </w:rPr>
      </w:pPr>
      <w:r w:rsidRPr="0031675F">
        <w:rPr>
          <w:noProof/>
          <w:lang w:eastAsia="en-AU"/>
        </w:rPr>
        <w:drawing>
          <wp:inline distT="0" distB="0" distL="0" distR="0" wp14:anchorId="03870EDF" wp14:editId="2F75508B">
            <wp:extent cx="4324350" cy="2324100"/>
            <wp:effectExtent l="0" t="0" r="0" b="0"/>
            <wp:docPr id="9487" name="Picture 6" descr="Screen shot of 'pop up' window for processing raw data." title="ECO logger data download and sto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4324350" cy="2324100"/>
                    </a:xfrm>
                    <a:prstGeom prst="rect">
                      <a:avLst/>
                    </a:prstGeom>
                    <a:noFill/>
                    <a:ln>
                      <a:noFill/>
                    </a:ln>
                  </pic:spPr>
                </pic:pic>
              </a:graphicData>
            </a:graphic>
          </wp:inline>
        </w:drawing>
      </w:r>
    </w:p>
    <w:p w14:paraId="6FF7AD49" w14:textId="77777777" w:rsidR="0031675F" w:rsidRPr="0031675F" w:rsidRDefault="0031675F" w:rsidP="0031675F">
      <w:pPr>
        <w:widowControl w:val="0"/>
        <w:numPr>
          <w:ilvl w:val="3"/>
          <w:numId w:val="67"/>
        </w:numPr>
        <w:tabs>
          <w:tab w:val="left" w:pos="839"/>
        </w:tabs>
        <w:spacing w:before="207" w:after="0" w:line="240" w:lineRule="auto"/>
        <w:rPr>
          <w:rFonts w:cs="Calibri"/>
        </w:rPr>
      </w:pPr>
      <w:r w:rsidRPr="0031675F">
        <w:rPr>
          <w:rFonts w:cs="Calibri"/>
          <w:spacing w:val="-1"/>
        </w:rPr>
        <w:t>Click</w:t>
      </w:r>
      <w:r w:rsidRPr="0031675F">
        <w:rPr>
          <w:rFonts w:cs="Calibri"/>
          <w:spacing w:val="1"/>
        </w:rPr>
        <w:t xml:space="preserve"> </w:t>
      </w:r>
      <w:r w:rsidRPr="0031675F">
        <w:rPr>
          <w:rFonts w:cs="Calibri"/>
          <w:spacing w:val="-1"/>
        </w:rPr>
        <w:t>‘Export</w:t>
      </w:r>
      <w:r w:rsidRPr="0031675F">
        <w:rPr>
          <w:rFonts w:cs="Calibri"/>
          <w:spacing w:val="-3"/>
        </w:rPr>
        <w:t xml:space="preserve"> </w:t>
      </w:r>
      <w:r w:rsidRPr="0031675F">
        <w:rPr>
          <w:rFonts w:cs="Calibri"/>
          <w:spacing w:val="-1"/>
        </w:rPr>
        <w:t>XML</w:t>
      </w:r>
      <w:r w:rsidRPr="0031675F">
        <w:rPr>
          <w:rFonts w:cs="Calibri"/>
        </w:rPr>
        <w:t xml:space="preserve"> </w:t>
      </w:r>
      <w:r w:rsidRPr="0031675F">
        <w:rPr>
          <w:rFonts w:cs="Calibri"/>
          <w:spacing w:val="-1"/>
        </w:rPr>
        <w:t>File</w:t>
      </w:r>
      <w:r w:rsidRPr="0031675F">
        <w:rPr>
          <w:rFonts w:cs="Calibri"/>
        </w:rPr>
        <w:t xml:space="preserve"> </w:t>
      </w:r>
      <w:r w:rsidRPr="0031675F">
        <w:rPr>
          <w:rFonts w:cs="Calibri"/>
          <w:spacing w:val="-1"/>
        </w:rPr>
        <w:t>for</w:t>
      </w:r>
      <w:r w:rsidRPr="0031675F">
        <w:rPr>
          <w:rFonts w:cs="Calibri"/>
        </w:rPr>
        <w:t xml:space="preserve"> </w:t>
      </w:r>
      <w:r w:rsidRPr="0031675F">
        <w:rPr>
          <w:rFonts w:cs="Calibri"/>
          <w:spacing w:val="-1"/>
        </w:rPr>
        <w:t>QA’</w:t>
      </w:r>
    </w:p>
    <w:p w14:paraId="0BBFCF58" w14:textId="77777777" w:rsidR="0031675F" w:rsidRPr="0031675F" w:rsidRDefault="0031675F" w:rsidP="0031675F">
      <w:pPr>
        <w:spacing w:before="120" w:after="120"/>
        <w:ind w:right="116"/>
        <w:jc w:val="both"/>
      </w:pPr>
      <w:r w:rsidRPr="0031675F">
        <w:rPr>
          <w:spacing w:val="-1"/>
        </w:rPr>
        <w:t>The</w:t>
      </w:r>
      <w:r w:rsidRPr="0031675F">
        <w:rPr>
          <w:spacing w:val="6"/>
        </w:rPr>
        <w:t xml:space="preserve"> </w:t>
      </w:r>
      <w:r w:rsidRPr="0031675F">
        <w:rPr>
          <w:spacing w:val="-1"/>
        </w:rPr>
        <w:t>logger</w:t>
      </w:r>
      <w:r w:rsidRPr="0031675F">
        <w:rPr>
          <w:spacing w:val="3"/>
        </w:rPr>
        <w:t xml:space="preserve"> </w:t>
      </w:r>
      <w:r w:rsidRPr="0031675F">
        <w:rPr>
          <w:spacing w:val="-1"/>
        </w:rPr>
        <w:t>data</w:t>
      </w:r>
      <w:r w:rsidRPr="0031675F">
        <w:rPr>
          <w:spacing w:val="6"/>
        </w:rPr>
        <w:t xml:space="preserve"> </w:t>
      </w:r>
      <w:r w:rsidRPr="0031675F">
        <w:rPr>
          <w:spacing w:val="-1"/>
        </w:rPr>
        <w:t>files</w:t>
      </w:r>
      <w:r w:rsidRPr="0031675F">
        <w:rPr>
          <w:spacing w:val="6"/>
        </w:rPr>
        <w:t xml:space="preserve"> </w:t>
      </w:r>
      <w:r w:rsidRPr="0031675F">
        <w:t>are</w:t>
      </w:r>
      <w:r w:rsidRPr="0031675F">
        <w:rPr>
          <w:spacing w:val="3"/>
        </w:rPr>
        <w:t xml:space="preserve"> </w:t>
      </w:r>
      <w:r w:rsidRPr="0031675F">
        <w:rPr>
          <w:spacing w:val="-1"/>
        </w:rPr>
        <w:t>stored</w:t>
      </w:r>
      <w:r w:rsidRPr="0031675F">
        <w:rPr>
          <w:spacing w:val="5"/>
        </w:rPr>
        <w:t xml:space="preserve"> </w:t>
      </w:r>
      <w:r w:rsidRPr="0031675F">
        <w:t>on</w:t>
      </w:r>
      <w:r w:rsidRPr="0031675F">
        <w:rPr>
          <w:spacing w:val="2"/>
        </w:rPr>
        <w:t xml:space="preserve"> </w:t>
      </w:r>
      <w:r w:rsidRPr="0031675F">
        <w:t>the</w:t>
      </w:r>
      <w:r w:rsidRPr="0031675F">
        <w:rPr>
          <w:spacing w:val="6"/>
        </w:rPr>
        <w:t xml:space="preserve"> </w:t>
      </w:r>
      <w:r w:rsidRPr="0031675F">
        <w:rPr>
          <w:spacing w:val="-1"/>
        </w:rPr>
        <w:t>AIMS</w:t>
      </w:r>
      <w:r w:rsidRPr="0031675F">
        <w:rPr>
          <w:spacing w:val="5"/>
        </w:rPr>
        <w:t xml:space="preserve"> </w:t>
      </w:r>
      <w:r w:rsidRPr="0031675F">
        <w:rPr>
          <w:spacing w:val="-1"/>
        </w:rPr>
        <w:t>network</w:t>
      </w:r>
      <w:r w:rsidRPr="0031675F">
        <w:rPr>
          <w:spacing w:val="3"/>
        </w:rPr>
        <w:t xml:space="preserve"> </w:t>
      </w:r>
      <w:r w:rsidRPr="0031675F">
        <w:rPr>
          <w:spacing w:val="-1"/>
        </w:rPr>
        <w:t>Water</w:t>
      </w:r>
      <w:r w:rsidRPr="0031675F">
        <w:rPr>
          <w:spacing w:val="5"/>
        </w:rPr>
        <w:t xml:space="preserve"> </w:t>
      </w:r>
      <w:r w:rsidRPr="0031675F">
        <w:rPr>
          <w:spacing w:val="-1"/>
        </w:rPr>
        <w:t>Quality</w:t>
      </w:r>
      <w:r w:rsidRPr="0031675F">
        <w:rPr>
          <w:spacing w:val="6"/>
        </w:rPr>
        <w:t xml:space="preserve"> </w:t>
      </w:r>
      <w:r w:rsidRPr="0031675F">
        <w:rPr>
          <w:spacing w:val="-2"/>
        </w:rPr>
        <w:t>share</w:t>
      </w:r>
      <w:r w:rsidRPr="0031675F">
        <w:rPr>
          <w:spacing w:val="6"/>
        </w:rPr>
        <w:t xml:space="preserve"> </w:t>
      </w:r>
      <w:r w:rsidRPr="0031675F">
        <w:t>area</w:t>
      </w:r>
      <w:r w:rsidRPr="0031675F">
        <w:rPr>
          <w:spacing w:val="6"/>
        </w:rPr>
        <w:t xml:space="preserve"> </w:t>
      </w:r>
      <w:r w:rsidRPr="0031675F">
        <w:t>in</w:t>
      </w:r>
      <w:r w:rsidRPr="0031675F">
        <w:rPr>
          <w:spacing w:val="4"/>
        </w:rPr>
        <w:t xml:space="preserve"> </w:t>
      </w:r>
      <w:r w:rsidRPr="0031675F">
        <w:rPr>
          <w:spacing w:val="-1"/>
        </w:rPr>
        <w:t>sub</w:t>
      </w:r>
      <w:r w:rsidRPr="0031675F">
        <w:rPr>
          <w:spacing w:val="4"/>
        </w:rPr>
        <w:t xml:space="preserve"> </w:t>
      </w:r>
      <w:r w:rsidRPr="0031675F">
        <w:rPr>
          <w:spacing w:val="-1"/>
        </w:rPr>
        <w:t>folder</w:t>
      </w:r>
      <w:r w:rsidRPr="0031675F">
        <w:rPr>
          <w:spacing w:val="53"/>
        </w:rPr>
        <w:t xml:space="preserve"> </w:t>
      </w:r>
      <w:r w:rsidRPr="0031675F">
        <w:rPr>
          <w:spacing w:val="-1"/>
        </w:rPr>
        <w:t>FLNTUSB_ECO_loggers\data_export_files</w:t>
      </w:r>
    </w:p>
    <w:p w14:paraId="58822654" w14:textId="77777777" w:rsidR="0031675F" w:rsidRPr="0031675F" w:rsidRDefault="0031675F" w:rsidP="0031675F">
      <w:pPr>
        <w:spacing w:before="118" w:after="120"/>
        <w:ind w:right="109"/>
        <w:jc w:val="both"/>
      </w:pPr>
      <w:r w:rsidRPr="0031675F">
        <w:rPr>
          <w:spacing w:val="-1"/>
        </w:rPr>
        <w:t>Once</w:t>
      </w:r>
      <w:r w:rsidRPr="0031675F">
        <w:rPr>
          <w:spacing w:val="8"/>
        </w:rPr>
        <w:t xml:space="preserve"> </w:t>
      </w:r>
      <w:r w:rsidRPr="0031675F">
        <w:rPr>
          <w:spacing w:val="-1"/>
        </w:rPr>
        <w:t>edits</w:t>
      </w:r>
      <w:r w:rsidRPr="0031675F">
        <w:rPr>
          <w:spacing w:val="8"/>
        </w:rPr>
        <w:t xml:space="preserve"> </w:t>
      </w:r>
      <w:r w:rsidRPr="0031675F">
        <w:rPr>
          <w:spacing w:val="-1"/>
        </w:rPr>
        <w:t>using</w:t>
      </w:r>
      <w:r w:rsidRPr="0031675F">
        <w:rPr>
          <w:spacing w:val="4"/>
        </w:rPr>
        <w:t xml:space="preserve"> </w:t>
      </w:r>
      <w:r w:rsidRPr="0031675F">
        <w:rPr>
          <w:spacing w:val="-1"/>
        </w:rPr>
        <w:t>WISKI-TV</w:t>
      </w:r>
      <w:r w:rsidRPr="0031675F">
        <w:rPr>
          <w:spacing w:val="5"/>
        </w:rPr>
        <w:t xml:space="preserve"> </w:t>
      </w:r>
      <w:r w:rsidRPr="0031675F">
        <w:rPr>
          <w:spacing w:val="-1"/>
        </w:rPr>
        <w:t>have</w:t>
      </w:r>
      <w:r w:rsidRPr="0031675F">
        <w:rPr>
          <w:spacing w:val="8"/>
        </w:rPr>
        <w:t xml:space="preserve"> </w:t>
      </w:r>
      <w:r w:rsidRPr="0031675F">
        <w:rPr>
          <w:spacing w:val="-1"/>
        </w:rPr>
        <w:t>been</w:t>
      </w:r>
      <w:r w:rsidRPr="0031675F">
        <w:rPr>
          <w:spacing w:val="7"/>
        </w:rPr>
        <w:t xml:space="preserve"> </w:t>
      </w:r>
      <w:r w:rsidRPr="0031675F">
        <w:rPr>
          <w:spacing w:val="-1"/>
        </w:rPr>
        <w:t>performed</w:t>
      </w:r>
      <w:r w:rsidRPr="0031675F">
        <w:rPr>
          <w:spacing w:val="6"/>
        </w:rPr>
        <w:t xml:space="preserve"> </w:t>
      </w:r>
      <w:r w:rsidRPr="0031675F">
        <w:t>as</w:t>
      </w:r>
      <w:r w:rsidRPr="0031675F">
        <w:rPr>
          <w:spacing w:val="7"/>
        </w:rPr>
        <w:t xml:space="preserve"> </w:t>
      </w:r>
      <w:r w:rsidRPr="0031675F">
        <w:rPr>
          <w:spacing w:val="-2"/>
        </w:rPr>
        <w:t>per</w:t>
      </w:r>
      <w:r w:rsidRPr="0031675F">
        <w:rPr>
          <w:spacing w:val="7"/>
        </w:rPr>
        <w:t xml:space="preserve"> </w:t>
      </w:r>
      <w:r w:rsidRPr="0031675F">
        <w:rPr>
          <w:spacing w:val="-1"/>
        </w:rPr>
        <w:t>Section</w:t>
      </w:r>
      <w:r w:rsidRPr="0031675F">
        <w:rPr>
          <w:spacing w:val="6"/>
        </w:rPr>
        <w:t xml:space="preserve"> </w:t>
      </w:r>
      <w:r w:rsidRPr="0031675F">
        <w:rPr>
          <w:spacing w:val="-2"/>
        </w:rPr>
        <w:t>11.5.3</w:t>
      </w:r>
      <w:r w:rsidRPr="0031675F">
        <w:rPr>
          <w:spacing w:val="8"/>
        </w:rPr>
        <w:t xml:space="preserve"> </w:t>
      </w:r>
      <w:r w:rsidRPr="0031675F">
        <w:t>the</w:t>
      </w:r>
      <w:r w:rsidRPr="0031675F">
        <w:rPr>
          <w:spacing w:val="5"/>
        </w:rPr>
        <w:t xml:space="preserve"> </w:t>
      </w:r>
      <w:r w:rsidRPr="0031675F">
        <w:rPr>
          <w:spacing w:val="-1"/>
        </w:rPr>
        <w:t>QA/QC</w:t>
      </w:r>
      <w:r w:rsidRPr="0031675F">
        <w:rPr>
          <w:spacing w:val="7"/>
        </w:rPr>
        <w:t xml:space="preserve"> </w:t>
      </w:r>
      <w:r w:rsidRPr="0031675F">
        <w:rPr>
          <w:spacing w:val="-1"/>
        </w:rPr>
        <w:t>edited</w:t>
      </w:r>
      <w:r w:rsidRPr="0031675F">
        <w:rPr>
          <w:spacing w:val="6"/>
        </w:rPr>
        <w:t xml:space="preserve"> </w:t>
      </w:r>
      <w:r w:rsidRPr="0031675F">
        <w:rPr>
          <w:spacing w:val="-1"/>
        </w:rPr>
        <w:t>files</w:t>
      </w:r>
      <w:r w:rsidRPr="0031675F">
        <w:rPr>
          <w:spacing w:val="8"/>
        </w:rPr>
        <w:t xml:space="preserve"> </w:t>
      </w:r>
      <w:r w:rsidRPr="0031675F">
        <w:rPr>
          <w:spacing w:val="-1"/>
        </w:rPr>
        <w:t>are</w:t>
      </w:r>
      <w:r w:rsidRPr="0031675F">
        <w:rPr>
          <w:spacing w:val="7"/>
        </w:rPr>
        <w:t xml:space="preserve"> </w:t>
      </w:r>
      <w:r w:rsidRPr="0031675F">
        <w:rPr>
          <w:spacing w:val="1"/>
        </w:rPr>
        <w:t>re-</w:t>
      </w:r>
      <w:r w:rsidRPr="0031675F">
        <w:rPr>
          <w:spacing w:val="77"/>
        </w:rPr>
        <w:t xml:space="preserve"> </w:t>
      </w:r>
      <w:r w:rsidRPr="0031675F">
        <w:rPr>
          <w:spacing w:val="-1"/>
        </w:rPr>
        <w:t xml:space="preserve">imported to </w:t>
      </w:r>
      <w:r w:rsidRPr="0031675F">
        <w:t xml:space="preserve">the </w:t>
      </w:r>
      <w:r w:rsidRPr="0031675F">
        <w:rPr>
          <w:spacing w:val="-1"/>
        </w:rPr>
        <w:t>ELDMS.</w:t>
      </w:r>
    </w:p>
    <w:p w14:paraId="29E80734" w14:textId="77777777" w:rsidR="0031675F" w:rsidRPr="0031675F" w:rsidRDefault="0031675F" w:rsidP="0031675F">
      <w:pPr>
        <w:spacing w:before="9"/>
        <w:rPr>
          <w:rFonts w:cs="Calibri"/>
          <w:sz w:val="19"/>
          <w:szCs w:val="19"/>
        </w:rPr>
      </w:pPr>
    </w:p>
    <w:p w14:paraId="456926D0" w14:textId="77777777" w:rsidR="0031675F" w:rsidRPr="0031675F" w:rsidRDefault="0031675F" w:rsidP="0031675F">
      <w:pPr>
        <w:ind w:left="118"/>
        <w:jc w:val="both"/>
        <w:rPr>
          <w:rFonts w:cs="Calibri"/>
        </w:rPr>
      </w:pPr>
      <w:r w:rsidRPr="0031675F">
        <w:rPr>
          <w:b/>
          <w:i/>
          <w:spacing w:val="-1"/>
        </w:rPr>
        <w:t>Upload</w:t>
      </w:r>
      <w:r w:rsidRPr="0031675F">
        <w:rPr>
          <w:b/>
          <w:i/>
          <w:spacing w:val="1"/>
        </w:rPr>
        <w:t xml:space="preserve"> </w:t>
      </w:r>
      <w:r w:rsidRPr="0031675F">
        <w:rPr>
          <w:b/>
          <w:i/>
          <w:spacing w:val="-1"/>
        </w:rPr>
        <w:t>QA/QC</w:t>
      </w:r>
      <w:r w:rsidRPr="0031675F">
        <w:rPr>
          <w:b/>
          <w:i/>
          <w:spacing w:val="-2"/>
        </w:rPr>
        <w:t xml:space="preserve"> </w:t>
      </w:r>
      <w:r w:rsidRPr="0031675F">
        <w:rPr>
          <w:b/>
          <w:i/>
        </w:rPr>
        <w:t>XML</w:t>
      </w:r>
      <w:r w:rsidRPr="0031675F">
        <w:rPr>
          <w:b/>
          <w:i/>
          <w:spacing w:val="-2"/>
        </w:rPr>
        <w:t xml:space="preserve"> </w:t>
      </w:r>
      <w:r w:rsidRPr="0031675F">
        <w:rPr>
          <w:b/>
          <w:i/>
          <w:spacing w:val="-1"/>
        </w:rPr>
        <w:t>files</w:t>
      </w:r>
      <w:r w:rsidRPr="0031675F">
        <w:rPr>
          <w:b/>
          <w:i/>
          <w:spacing w:val="-2"/>
        </w:rPr>
        <w:t xml:space="preserve"> to</w:t>
      </w:r>
      <w:r w:rsidRPr="0031675F">
        <w:rPr>
          <w:b/>
          <w:i/>
          <w:spacing w:val="1"/>
        </w:rPr>
        <w:t xml:space="preserve"> </w:t>
      </w:r>
      <w:r w:rsidRPr="0031675F">
        <w:rPr>
          <w:b/>
          <w:i/>
          <w:spacing w:val="-1"/>
        </w:rPr>
        <w:t>the</w:t>
      </w:r>
      <w:r w:rsidRPr="0031675F">
        <w:rPr>
          <w:b/>
          <w:i/>
        </w:rPr>
        <w:t xml:space="preserve"> </w:t>
      </w:r>
      <w:r w:rsidRPr="0031675F">
        <w:rPr>
          <w:b/>
          <w:i/>
          <w:spacing w:val="-1"/>
        </w:rPr>
        <w:t>ELDMS</w:t>
      </w:r>
    </w:p>
    <w:p w14:paraId="6E02D9FE" w14:textId="77777777" w:rsidR="0031675F" w:rsidRPr="0031675F" w:rsidRDefault="0031675F" w:rsidP="0031675F">
      <w:pPr>
        <w:widowControl w:val="0"/>
        <w:numPr>
          <w:ilvl w:val="3"/>
          <w:numId w:val="67"/>
        </w:numPr>
        <w:tabs>
          <w:tab w:val="left" w:pos="839"/>
        </w:tabs>
        <w:spacing w:before="120" w:after="0" w:line="240" w:lineRule="auto"/>
      </w:pPr>
      <w:r w:rsidRPr="0031675F">
        <w:t>Login</w:t>
      </w:r>
      <w:r w:rsidRPr="0031675F">
        <w:rPr>
          <w:spacing w:val="-1"/>
        </w:rPr>
        <w:t xml:space="preserve"> to </w:t>
      </w:r>
      <w:r w:rsidRPr="0031675F">
        <w:t xml:space="preserve">the </w:t>
      </w:r>
      <w:r w:rsidRPr="0031675F">
        <w:rPr>
          <w:spacing w:val="-1"/>
        </w:rPr>
        <w:t>ELDMS.</w:t>
      </w:r>
    </w:p>
    <w:p w14:paraId="7E71DCB5" w14:textId="77777777" w:rsidR="0031675F" w:rsidRPr="0031675F" w:rsidRDefault="0031675F" w:rsidP="0031675F">
      <w:pPr>
        <w:widowControl w:val="0"/>
        <w:numPr>
          <w:ilvl w:val="3"/>
          <w:numId w:val="67"/>
        </w:numPr>
        <w:tabs>
          <w:tab w:val="left" w:pos="839"/>
        </w:tabs>
        <w:spacing w:before="121" w:after="0" w:line="240" w:lineRule="auto"/>
        <w:ind w:right="119"/>
        <w:rPr>
          <w:rFonts w:cs="Calibri"/>
        </w:rPr>
      </w:pPr>
      <w:r w:rsidRPr="0031675F">
        <w:rPr>
          <w:rFonts w:cs="Calibri"/>
          <w:spacing w:val="-1"/>
        </w:rPr>
        <w:t>Click</w:t>
      </w:r>
      <w:r w:rsidRPr="0031675F">
        <w:rPr>
          <w:rFonts w:cs="Calibri"/>
          <w:spacing w:val="17"/>
        </w:rPr>
        <w:t xml:space="preserve"> </w:t>
      </w:r>
      <w:r w:rsidRPr="0031675F">
        <w:rPr>
          <w:rFonts w:cs="Calibri"/>
          <w:spacing w:val="-1"/>
        </w:rPr>
        <w:t>‘List Deployments’</w:t>
      </w:r>
      <w:r w:rsidRPr="0031675F">
        <w:rPr>
          <w:rFonts w:cs="Calibri"/>
          <w:spacing w:val="17"/>
        </w:rPr>
        <w:t>.</w:t>
      </w:r>
    </w:p>
    <w:p w14:paraId="712CFA45" w14:textId="77777777" w:rsidR="0031675F" w:rsidRPr="0031675F" w:rsidRDefault="0031675F" w:rsidP="0031675F">
      <w:pPr>
        <w:widowControl w:val="0"/>
        <w:numPr>
          <w:ilvl w:val="3"/>
          <w:numId w:val="67"/>
        </w:numPr>
        <w:tabs>
          <w:tab w:val="left" w:pos="839"/>
        </w:tabs>
        <w:spacing w:before="129" w:after="0" w:line="266" w:lineRule="exact"/>
        <w:ind w:right="120"/>
      </w:pPr>
      <w:r w:rsidRPr="0031675F">
        <w:rPr>
          <w:spacing w:val="-1"/>
        </w:rPr>
        <w:t>Select site by ‘Restrict by Location’ and/or Logger to be uploaded.</w:t>
      </w:r>
    </w:p>
    <w:p w14:paraId="658A2645" w14:textId="77777777" w:rsidR="0031675F" w:rsidRPr="0031675F" w:rsidRDefault="0031675F" w:rsidP="0031675F">
      <w:pPr>
        <w:widowControl w:val="0"/>
        <w:numPr>
          <w:ilvl w:val="3"/>
          <w:numId w:val="67"/>
        </w:numPr>
        <w:tabs>
          <w:tab w:val="left" w:pos="839"/>
        </w:tabs>
        <w:spacing w:before="126" w:after="0" w:line="240" w:lineRule="auto"/>
        <w:ind w:right="120"/>
      </w:pPr>
      <w:r w:rsidRPr="0031675F">
        <w:rPr>
          <w:rFonts w:cs="Calibri"/>
          <w:spacing w:val="-1"/>
        </w:rPr>
        <w:t>Select ‘QA’ Action for the chosen deployment.</w:t>
      </w:r>
    </w:p>
    <w:p w14:paraId="7FEB12FC" w14:textId="77777777" w:rsidR="0031675F" w:rsidRPr="0031675F" w:rsidRDefault="0031675F" w:rsidP="0031675F">
      <w:pPr>
        <w:widowControl w:val="0"/>
        <w:numPr>
          <w:ilvl w:val="3"/>
          <w:numId w:val="67"/>
        </w:numPr>
        <w:tabs>
          <w:tab w:val="left" w:pos="839"/>
        </w:tabs>
        <w:spacing w:before="120" w:after="0" w:line="240" w:lineRule="auto"/>
        <w:rPr>
          <w:rFonts w:cs="Calibri"/>
        </w:rPr>
      </w:pPr>
      <w:r w:rsidRPr="0031675F">
        <w:rPr>
          <w:rFonts w:cs="Calibri"/>
          <w:spacing w:val="-1"/>
        </w:rPr>
        <w:t>Click</w:t>
      </w:r>
      <w:r w:rsidRPr="0031675F">
        <w:rPr>
          <w:rFonts w:cs="Calibri"/>
          <w:spacing w:val="1"/>
        </w:rPr>
        <w:t xml:space="preserve"> </w:t>
      </w:r>
      <w:r w:rsidRPr="0031675F">
        <w:rPr>
          <w:rFonts w:cs="Calibri"/>
          <w:spacing w:val="-1"/>
        </w:rPr>
        <w:t>‘Upload</w:t>
      </w:r>
      <w:r w:rsidRPr="0031675F">
        <w:rPr>
          <w:rFonts w:cs="Calibri"/>
        </w:rPr>
        <w:t xml:space="preserve"> </w:t>
      </w:r>
      <w:r w:rsidRPr="0031675F">
        <w:rPr>
          <w:rFonts w:cs="Calibri"/>
          <w:spacing w:val="-1"/>
        </w:rPr>
        <w:t>QA</w:t>
      </w:r>
      <w:r w:rsidRPr="0031675F">
        <w:rPr>
          <w:rFonts w:cs="Calibri"/>
          <w:spacing w:val="1"/>
        </w:rPr>
        <w:t xml:space="preserve"> </w:t>
      </w:r>
      <w:r w:rsidRPr="0031675F">
        <w:rPr>
          <w:rFonts w:cs="Calibri"/>
          <w:spacing w:val="-1"/>
        </w:rPr>
        <w:t>Data</w:t>
      </w:r>
      <w:r w:rsidRPr="0031675F">
        <w:rPr>
          <w:rFonts w:cs="Calibri"/>
        </w:rPr>
        <w:t xml:space="preserve"> </w:t>
      </w:r>
      <w:r w:rsidRPr="0031675F">
        <w:rPr>
          <w:rFonts w:cs="Calibri"/>
          <w:spacing w:val="-1"/>
        </w:rPr>
        <w:t>File’.</w:t>
      </w:r>
    </w:p>
    <w:p w14:paraId="7844394A" w14:textId="77777777" w:rsidR="0031675F" w:rsidRPr="0031675F" w:rsidRDefault="0031675F" w:rsidP="0031675F">
      <w:pPr>
        <w:spacing w:line="266" w:lineRule="exact"/>
        <w:rPr>
          <w:b/>
          <w:i/>
        </w:rPr>
      </w:pPr>
    </w:p>
    <w:p w14:paraId="3FF7FF47" w14:textId="77777777" w:rsidR="0031675F" w:rsidRPr="0031675F" w:rsidRDefault="0031675F" w:rsidP="0031675F">
      <w:pPr>
        <w:widowControl w:val="0"/>
        <w:numPr>
          <w:ilvl w:val="2"/>
          <w:numId w:val="67"/>
        </w:numPr>
        <w:tabs>
          <w:tab w:val="left" w:pos="939"/>
        </w:tabs>
        <w:spacing w:before="0" w:after="0" w:line="240" w:lineRule="auto"/>
        <w:ind w:left="938"/>
        <w:rPr>
          <w:rFonts w:eastAsia="Arial" w:cs="Arial"/>
        </w:rPr>
      </w:pPr>
      <w:r w:rsidRPr="0031675F">
        <w:rPr>
          <w:b/>
          <w:spacing w:val="-1"/>
        </w:rPr>
        <w:t>WISKI-TV</w:t>
      </w:r>
      <w:r w:rsidRPr="0031675F">
        <w:rPr>
          <w:b/>
        </w:rPr>
        <w:t xml:space="preserve"> </w:t>
      </w:r>
      <w:r w:rsidRPr="0031675F">
        <w:rPr>
          <w:b/>
          <w:spacing w:val="-1"/>
        </w:rPr>
        <w:t>ECO</w:t>
      </w:r>
      <w:r w:rsidRPr="0031675F">
        <w:rPr>
          <w:b/>
          <w:spacing w:val="2"/>
        </w:rPr>
        <w:t xml:space="preserve"> </w:t>
      </w:r>
      <w:r w:rsidRPr="0031675F">
        <w:rPr>
          <w:b/>
          <w:spacing w:val="-1"/>
        </w:rPr>
        <w:t>logger data</w:t>
      </w:r>
      <w:r w:rsidRPr="0031675F">
        <w:rPr>
          <w:b/>
        </w:rPr>
        <w:t xml:space="preserve"> </w:t>
      </w:r>
      <w:r w:rsidRPr="0031675F">
        <w:rPr>
          <w:b/>
          <w:spacing w:val="-1"/>
        </w:rPr>
        <w:t>quality</w:t>
      </w:r>
      <w:r w:rsidRPr="0031675F">
        <w:rPr>
          <w:b/>
          <w:spacing w:val="-4"/>
        </w:rPr>
        <w:t xml:space="preserve"> </w:t>
      </w:r>
      <w:r w:rsidRPr="0031675F">
        <w:rPr>
          <w:b/>
          <w:spacing w:val="-1"/>
        </w:rPr>
        <w:t>control</w:t>
      </w:r>
    </w:p>
    <w:p w14:paraId="280922F5" w14:textId="77777777" w:rsidR="0031675F" w:rsidRPr="0031675F" w:rsidRDefault="0031675F" w:rsidP="0031675F">
      <w:pPr>
        <w:spacing w:before="121" w:after="120"/>
        <w:ind w:left="218" w:right="116"/>
      </w:pPr>
      <w:r w:rsidRPr="0031675F">
        <w:rPr>
          <w:spacing w:val="-1"/>
        </w:rPr>
        <w:t>Sub</w:t>
      </w:r>
      <w:r w:rsidRPr="0031675F">
        <w:rPr>
          <w:spacing w:val="15"/>
        </w:rPr>
        <w:t xml:space="preserve"> </w:t>
      </w:r>
      <w:r w:rsidRPr="0031675F">
        <w:rPr>
          <w:spacing w:val="-1"/>
        </w:rPr>
        <w:t>folders</w:t>
      </w:r>
      <w:r w:rsidRPr="0031675F">
        <w:rPr>
          <w:spacing w:val="17"/>
        </w:rPr>
        <w:t xml:space="preserve"> </w:t>
      </w:r>
      <w:r w:rsidRPr="0031675F">
        <w:t>on</w:t>
      </w:r>
      <w:r w:rsidRPr="0031675F">
        <w:rPr>
          <w:spacing w:val="16"/>
        </w:rPr>
        <w:t xml:space="preserve"> </w:t>
      </w:r>
      <w:r w:rsidRPr="0031675F">
        <w:t>the</w:t>
      </w:r>
      <w:r w:rsidRPr="0031675F">
        <w:rPr>
          <w:spacing w:val="14"/>
        </w:rPr>
        <w:t xml:space="preserve"> </w:t>
      </w:r>
      <w:r w:rsidRPr="0031675F">
        <w:rPr>
          <w:spacing w:val="-1"/>
        </w:rPr>
        <w:t>AIMS</w:t>
      </w:r>
      <w:r w:rsidRPr="0031675F">
        <w:rPr>
          <w:spacing w:val="16"/>
        </w:rPr>
        <w:t xml:space="preserve"> </w:t>
      </w:r>
      <w:r w:rsidRPr="0031675F">
        <w:t>network</w:t>
      </w:r>
      <w:r w:rsidRPr="0031675F">
        <w:rPr>
          <w:spacing w:val="17"/>
        </w:rPr>
        <w:t xml:space="preserve"> </w:t>
      </w:r>
      <w:r w:rsidRPr="0031675F">
        <w:rPr>
          <w:spacing w:val="-1"/>
        </w:rPr>
        <w:t>Water</w:t>
      </w:r>
      <w:r w:rsidRPr="0031675F">
        <w:rPr>
          <w:spacing w:val="17"/>
        </w:rPr>
        <w:t xml:space="preserve"> </w:t>
      </w:r>
      <w:r w:rsidRPr="0031675F">
        <w:rPr>
          <w:spacing w:val="-1"/>
        </w:rPr>
        <w:t>Quality</w:t>
      </w:r>
      <w:r w:rsidRPr="0031675F">
        <w:rPr>
          <w:spacing w:val="18"/>
        </w:rPr>
        <w:t xml:space="preserve"> </w:t>
      </w:r>
      <w:r w:rsidRPr="0031675F">
        <w:rPr>
          <w:spacing w:val="-1"/>
        </w:rPr>
        <w:t>share</w:t>
      </w:r>
      <w:r w:rsidRPr="0031675F">
        <w:rPr>
          <w:spacing w:val="17"/>
        </w:rPr>
        <w:t xml:space="preserve"> </w:t>
      </w:r>
      <w:r w:rsidRPr="0031675F">
        <w:t>area</w:t>
      </w:r>
      <w:r w:rsidRPr="0031675F">
        <w:rPr>
          <w:spacing w:val="17"/>
        </w:rPr>
        <w:t xml:space="preserve"> </w:t>
      </w:r>
      <w:r w:rsidRPr="0031675F">
        <w:rPr>
          <w:spacing w:val="-1"/>
        </w:rPr>
        <w:t>contain</w:t>
      </w:r>
      <w:r w:rsidRPr="0031675F">
        <w:rPr>
          <w:spacing w:val="15"/>
        </w:rPr>
        <w:t xml:space="preserve"> </w:t>
      </w:r>
      <w:r w:rsidRPr="0031675F">
        <w:t>the</w:t>
      </w:r>
      <w:r w:rsidRPr="0031675F">
        <w:rPr>
          <w:spacing w:val="17"/>
        </w:rPr>
        <w:t xml:space="preserve"> </w:t>
      </w:r>
      <w:r w:rsidRPr="0031675F">
        <w:t>XML</w:t>
      </w:r>
      <w:r w:rsidRPr="0031675F">
        <w:rPr>
          <w:spacing w:val="17"/>
        </w:rPr>
        <w:t xml:space="preserve"> </w:t>
      </w:r>
      <w:r w:rsidRPr="0031675F">
        <w:rPr>
          <w:spacing w:val="-1"/>
        </w:rPr>
        <w:t>files</w:t>
      </w:r>
      <w:r w:rsidRPr="0031675F">
        <w:rPr>
          <w:spacing w:val="17"/>
        </w:rPr>
        <w:t xml:space="preserve"> </w:t>
      </w:r>
      <w:r w:rsidRPr="0031675F">
        <w:t>in</w:t>
      </w:r>
      <w:r w:rsidRPr="0031675F">
        <w:rPr>
          <w:spacing w:val="16"/>
        </w:rPr>
        <w:t xml:space="preserve"> </w:t>
      </w:r>
      <w:r w:rsidRPr="0031675F">
        <w:rPr>
          <w:spacing w:val="-1"/>
        </w:rPr>
        <w:t>two main stages</w:t>
      </w:r>
      <w:r w:rsidRPr="0031675F">
        <w:rPr>
          <w:spacing w:val="-2"/>
        </w:rPr>
        <w:t xml:space="preserve"> </w:t>
      </w:r>
      <w:r w:rsidRPr="0031675F">
        <w:t xml:space="preserve">of </w:t>
      </w:r>
      <w:r w:rsidRPr="0031675F">
        <w:rPr>
          <w:spacing w:val="-2"/>
        </w:rPr>
        <w:t>the</w:t>
      </w:r>
      <w:r w:rsidRPr="0031675F">
        <w:t xml:space="preserve"> QA</w:t>
      </w:r>
      <w:r w:rsidRPr="0031675F">
        <w:rPr>
          <w:spacing w:val="-3"/>
        </w:rPr>
        <w:t xml:space="preserve"> </w:t>
      </w:r>
      <w:r w:rsidRPr="0031675F">
        <w:rPr>
          <w:spacing w:val="-1"/>
        </w:rPr>
        <w:t>edit</w:t>
      </w:r>
      <w:r w:rsidRPr="0031675F">
        <w:t xml:space="preserve"> </w:t>
      </w:r>
      <w:r w:rsidRPr="0031675F">
        <w:rPr>
          <w:spacing w:val="-1"/>
        </w:rPr>
        <w:t>process.</w:t>
      </w:r>
      <w:r w:rsidRPr="0031675F">
        <w:t xml:space="preserve"> </w:t>
      </w:r>
      <w:r w:rsidRPr="0031675F">
        <w:rPr>
          <w:spacing w:val="-1"/>
        </w:rPr>
        <w:t>The</w:t>
      </w:r>
      <w:r w:rsidRPr="0031675F">
        <w:t xml:space="preserve"> </w:t>
      </w:r>
      <w:r w:rsidRPr="0031675F">
        <w:rPr>
          <w:spacing w:val="-1"/>
        </w:rPr>
        <w:t>folders</w:t>
      </w:r>
      <w:r w:rsidRPr="0031675F">
        <w:rPr>
          <w:spacing w:val="-3"/>
        </w:rPr>
        <w:t xml:space="preserve"> </w:t>
      </w:r>
      <w:r w:rsidRPr="0031675F">
        <w:t>and</w:t>
      </w:r>
      <w:r w:rsidRPr="0031675F">
        <w:rPr>
          <w:spacing w:val="-2"/>
        </w:rPr>
        <w:t xml:space="preserve"> example</w:t>
      </w:r>
      <w:r w:rsidRPr="0031675F">
        <w:t xml:space="preserve"> </w:t>
      </w:r>
      <w:r w:rsidRPr="0031675F">
        <w:rPr>
          <w:spacing w:val="-1"/>
        </w:rPr>
        <w:t>file</w:t>
      </w:r>
      <w:r w:rsidRPr="0031675F">
        <w:t xml:space="preserve"> </w:t>
      </w:r>
      <w:r w:rsidRPr="0031675F">
        <w:rPr>
          <w:spacing w:val="-1"/>
        </w:rPr>
        <w:t>names</w:t>
      </w:r>
      <w:r w:rsidRPr="0031675F">
        <w:rPr>
          <w:spacing w:val="-2"/>
        </w:rPr>
        <w:t xml:space="preserve"> </w:t>
      </w:r>
      <w:r w:rsidRPr="0031675F">
        <w:t>are</w:t>
      </w:r>
      <w:r w:rsidRPr="0031675F">
        <w:rPr>
          <w:spacing w:val="-2"/>
        </w:rPr>
        <w:t xml:space="preserve"> </w:t>
      </w:r>
      <w:r w:rsidRPr="0031675F">
        <w:t>listed</w:t>
      </w:r>
      <w:r w:rsidRPr="0031675F">
        <w:rPr>
          <w:spacing w:val="-1"/>
        </w:rPr>
        <w:t xml:space="preserve"> </w:t>
      </w:r>
      <w:r w:rsidRPr="0031675F">
        <w:t>in</w:t>
      </w:r>
      <w:r w:rsidRPr="0031675F">
        <w:rPr>
          <w:spacing w:val="-3"/>
        </w:rPr>
        <w:t xml:space="preserve"> </w:t>
      </w:r>
      <w:r w:rsidRPr="0031675F">
        <w:rPr>
          <w:spacing w:val="-1"/>
        </w:rPr>
        <w:t>the</w:t>
      </w:r>
      <w:r w:rsidRPr="0031675F">
        <w:t xml:space="preserve"> </w:t>
      </w:r>
      <w:r w:rsidRPr="0031675F">
        <w:rPr>
          <w:spacing w:val="-1"/>
        </w:rPr>
        <w:t>table</w:t>
      </w:r>
      <w:r w:rsidRPr="0031675F">
        <w:rPr>
          <w:spacing w:val="-2"/>
        </w:rPr>
        <w:t xml:space="preserve"> </w:t>
      </w:r>
      <w:r w:rsidRPr="0031675F">
        <w:rPr>
          <w:spacing w:val="-1"/>
        </w:rPr>
        <w:t>below.</w:t>
      </w:r>
    </w:p>
    <w:p w14:paraId="018ED485" w14:textId="77777777" w:rsidR="0031675F" w:rsidRPr="0031675F" w:rsidRDefault="0031675F" w:rsidP="0031675F">
      <w:pPr>
        <w:spacing w:before="120" w:after="120"/>
        <w:ind w:left="218" w:right="118"/>
      </w:pPr>
      <w:r w:rsidRPr="0031675F">
        <w:rPr>
          <w:spacing w:val="-1"/>
        </w:rPr>
        <w:t>The</w:t>
      </w:r>
      <w:r w:rsidRPr="0031675F">
        <w:t xml:space="preserve"> </w:t>
      </w:r>
      <w:r w:rsidRPr="0031675F">
        <w:rPr>
          <w:spacing w:val="-1"/>
        </w:rPr>
        <w:t>XML</w:t>
      </w:r>
      <w:r w:rsidRPr="0031675F">
        <w:t xml:space="preserve"> </w:t>
      </w:r>
      <w:r w:rsidRPr="0031675F">
        <w:rPr>
          <w:spacing w:val="-1"/>
        </w:rPr>
        <w:t>file</w:t>
      </w:r>
      <w:r w:rsidRPr="0031675F">
        <w:rPr>
          <w:spacing w:val="23"/>
        </w:rPr>
        <w:t xml:space="preserve"> </w:t>
      </w:r>
      <w:r w:rsidRPr="0031675F">
        <w:rPr>
          <w:spacing w:val="-1"/>
        </w:rPr>
        <w:t>exported</w:t>
      </w:r>
      <w:r w:rsidRPr="0031675F">
        <w:rPr>
          <w:spacing w:val="22"/>
        </w:rPr>
        <w:t xml:space="preserve"> </w:t>
      </w:r>
      <w:r w:rsidRPr="0031675F">
        <w:rPr>
          <w:spacing w:val="-1"/>
        </w:rPr>
        <w:t>(Section</w:t>
      </w:r>
      <w:r w:rsidRPr="0031675F">
        <w:rPr>
          <w:spacing w:val="21"/>
        </w:rPr>
        <w:t xml:space="preserve"> </w:t>
      </w:r>
      <w:r w:rsidRPr="0031675F">
        <w:rPr>
          <w:spacing w:val="-1"/>
        </w:rPr>
        <w:t>11.5.2)</w:t>
      </w:r>
      <w:r w:rsidRPr="0031675F">
        <w:rPr>
          <w:spacing w:val="23"/>
        </w:rPr>
        <w:t xml:space="preserve"> </w:t>
      </w:r>
      <w:r w:rsidRPr="0031675F">
        <w:rPr>
          <w:spacing w:val="-1"/>
        </w:rPr>
        <w:t>from</w:t>
      </w:r>
      <w:r w:rsidRPr="0031675F">
        <w:t xml:space="preserve"> the</w:t>
      </w:r>
      <w:r w:rsidRPr="0031675F">
        <w:rPr>
          <w:spacing w:val="20"/>
        </w:rPr>
        <w:t xml:space="preserve"> </w:t>
      </w:r>
      <w:r w:rsidRPr="0031675F">
        <w:t>Data</w:t>
      </w:r>
      <w:r w:rsidRPr="0031675F">
        <w:rPr>
          <w:spacing w:val="22"/>
        </w:rPr>
        <w:t xml:space="preserve"> </w:t>
      </w:r>
      <w:r w:rsidRPr="0031675F">
        <w:rPr>
          <w:spacing w:val="-1"/>
        </w:rPr>
        <w:t>Centre</w:t>
      </w:r>
      <w:r w:rsidRPr="0031675F">
        <w:rPr>
          <w:spacing w:val="23"/>
        </w:rPr>
        <w:t xml:space="preserve"> </w:t>
      </w:r>
      <w:r w:rsidRPr="0031675F">
        <w:rPr>
          <w:spacing w:val="-1"/>
        </w:rPr>
        <w:t>ELDMS</w:t>
      </w:r>
      <w:r w:rsidRPr="0031675F">
        <w:rPr>
          <w:spacing w:val="22"/>
        </w:rPr>
        <w:t xml:space="preserve"> </w:t>
      </w:r>
      <w:r w:rsidRPr="0031675F">
        <w:t>is</w:t>
      </w:r>
      <w:r w:rsidRPr="0031675F">
        <w:rPr>
          <w:spacing w:val="22"/>
        </w:rPr>
        <w:t xml:space="preserve"> </w:t>
      </w:r>
      <w:r w:rsidRPr="0031675F">
        <w:rPr>
          <w:spacing w:val="-1"/>
        </w:rPr>
        <w:t>saved</w:t>
      </w:r>
      <w:r w:rsidRPr="0031675F">
        <w:t xml:space="preserve"> </w:t>
      </w:r>
      <w:r w:rsidRPr="0031675F">
        <w:rPr>
          <w:spacing w:val="-1"/>
        </w:rPr>
        <w:t>to</w:t>
      </w:r>
      <w:r w:rsidRPr="0031675F">
        <w:rPr>
          <w:spacing w:val="23"/>
        </w:rPr>
        <w:t xml:space="preserve"> </w:t>
      </w:r>
      <w:r w:rsidRPr="0031675F">
        <w:t xml:space="preserve">the </w:t>
      </w:r>
      <w:r w:rsidRPr="0031675F">
        <w:rPr>
          <w:spacing w:val="-1"/>
        </w:rPr>
        <w:t>folder</w:t>
      </w:r>
      <w:r w:rsidRPr="0031675F">
        <w:rPr>
          <w:spacing w:val="31"/>
        </w:rPr>
        <w:t xml:space="preserve"> </w:t>
      </w:r>
      <w:r w:rsidRPr="0031675F">
        <w:rPr>
          <w:spacing w:val="-1"/>
        </w:rPr>
        <w:t>1QA_export_xml</w:t>
      </w:r>
    </w:p>
    <w:p w14:paraId="5F7B98AE" w14:textId="77777777" w:rsidR="0031675F" w:rsidRPr="0031675F" w:rsidRDefault="0031675F" w:rsidP="0031675F">
      <w:pPr>
        <w:spacing w:before="120" w:after="120"/>
        <w:ind w:left="218"/>
      </w:pPr>
      <w:r w:rsidRPr="0031675F">
        <w:rPr>
          <w:spacing w:val="-1"/>
        </w:rPr>
        <w:t>The</w:t>
      </w:r>
      <w:r w:rsidRPr="0031675F">
        <w:t xml:space="preserve"> </w:t>
      </w:r>
      <w:r w:rsidRPr="0031675F">
        <w:rPr>
          <w:spacing w:val="-1"/>
        </w:rPr>
        <w:t>files</w:t>
      </w:r>
      <w:r w:rsidRPr="0031675F">
        <w:t xml:space="preserve"> </w:t>
      </w:r>
      <w:r w:rsidRPr="0031675F">
        <w:rPr>
          <w:spacing w:val="-1"/>
        </w:rPr>
        <w:t>exported</w:t>
      </w:r>
      <w:r w:rsidRPr="0031675F">
        <w:t xml:space="preserve"> are </w:t>
      </w:r>
      <w:r w:rsidRPr="0031675F">
        <w:rPr>
          <w:spacing w:val="-1"/>
        </w:rPr>
        <w:t>stored</w:t>
      </w:r>
      <w:r w:rsidRPr="0031675F">
        <w:rPr>
          <w:spacing w:val="5"/>
        </w:rPr>
        <w:t xml:space="preserve"> </w:t>
      </w:r>
      <w:r w:rsidRPr="0031675F">
        <w:rPr>
          <w:spacing w:val="-1"/>
        </w:rPr>
        <w:t>into</w:t>
      </w:r>
      <w:r w:rsidRPr="0031675F">
        <w:t xml:space="preserve"> </w:t>
      </w:r>
      <w:r w:rsidRPr="0031675F">
        <w:rPr>
          <w:spacing w:val="-1"/>
        </w:rPr>
        <w:t>folders</w:t>
      </w:r>
      <w:r w:rsidRPr="0031675F">
        <w:t xml:space="preserve"> ordered </w:t>
      </w:r>
      <w:r w:rsidRPr="0031675F">
        <w:rPr>
          <w:spacing w:val="-1"/>
        </w:rPr>
        <w:t>by</w:t>
      </w:r>
      <w:r w:rsidRPr="0031675F">
        <w:rPr>
          <w:spacing w:val="6"/>
        </w:rPr>
        <w:t xml:space="preserve"> </w:t>
      </w:r>
      <w:r w:rsidRPr="0031675F">
        <w:t>their</w:t>
      </w:r>
      <w:r w:rsidRPr="0031675F">
        <w:rPr>
          <w:spacing w:val="5"/>
        </w:rPr>
        <w:t xml:space="preserve"> </w:t>
      </w:r>
      <w:r w:rsidRPr="0031675F">
        <w:rPr>
          <w:spacing w:val="-1"/>
        </w:rPr>
        <w:t>file</w:t>
      </w:r>
      <w:r w:rsidRPr="0031675F">
        <w:rPr>
          <w:spacing w:val="6"/>
        </w:rPr>
        <w:t xml:space="preserve"> </w:t>
      </w:r>
      <w:r w:rsidRPr="0031675F">
        <w:rPr>
          <w:spacing w:val="-1"/>
        </w:rPr>
        <w:t>type,</w:t>
      </w:r>
      <w:r w:rsidRPr="0031675F">
        <w:t xml:space="preserve"> </w:t>
      </w:r>
      <w:r w:rsidRPr="0031675F">
        <w:rPr>
          <w:spacing w:val="-1"/>
        </w:rPr>
        <w:t>deployment</w:t>
      </w:r>
      <w:r w:rsidRPr="0031675F">
        <w:rPr>
          <w:spacing w:val="5"/>
        </w:rPr>
        <w:t xml:space="preserve"> </w:t>
      </w:r>
      <w:r w:rsidRPr="0031675F">
        <w:rPr>
          <w:spacing w:val="-1"/>
        </w:rPr>
        <w:t>location</w:t>
      </w:r>
      <w:r w:rsidRPr="0031675F">
        <w:rPr>
          <w:spacing w:val="5"/>
        </w:rPr>
        <w:t xml:space="preserve"> </w:t>
      </w:r>
      <w:r w:rsidRPr="0031675F">
        <w:rPr>
          <w:spacing w:val="-1"/>
        </w:rPr>
        <w:t>and</w:t>
      </w:r>
    </w:p>
    <w:p w14:paraId="239D250E" w14:textId="77777777" w:rsidR="0031675F" w:rsidRPr="0031675F" w:rsidRDefault="0031675F" w:rsidP="0031675F">
      <w:pPr>
        <w:ind w:left="218"/>
        <w:rPr>
          <w:rFonts w:cs="Calibri"/>
        </w:rPr>
      </w:pPr>
      <w:r w:rsidRPr="0031675F">
        <w:rPr>
          <w:b/>
          <w:spacing w:val="-2"/>
        </w:rPr>
        <w:t>DEPLOYMENT</w:t>
      </w:r>
      <w:r w:rsidRPr="0031675F">
        <w:rPr>
          <w:b/>
          <w:spacing w:val="2"/>
        </w:rPr>
        <w:t xml:space="preserve"> </w:t>
      </w:r>
      <w:r w:rsidRPr="0031675F">
        <w:rPr>
          <w:b/>
          <w:spacing w:val="-1"/>
        </w:rPr>
        <w:t>date</w:t>
      </w:r>
      <w:r w:rsidRPr="0031675F">
        <w:rPr>
          <w:b/>
        </w:rPr>
        <w:t xml:space="preserve"> </w:t>
      </w:r>
      <w:r w:rsidRPr="0031675F">
        <w:rPr>
          <w:spacing w:val="-1"/>
        </w:rPr>
        <w:t>and time,</w:t>
      </w:r>
      <w:r w:rsidRPr="0031675F">
        <w:rPr>
          <w:spacing w:val="-3"/>
        </w:rPr>
        <w:t xml:space="preserve"> </w:t>
      </w:r>
      <w:r w:rsidRPr="0031675F">
        <w:rPr>
          <w:spacing w:val="-1"/>
        </w:rPr>
        <w:t xml:space="preserve">ending </w:t>
      </w:r>
      <w:r w:rsidRPr="0031675F">
        <w:t>with</w:t>
      </w:r>
      <w:r w:rsidRPr="0031675F">
        <w:rPr>
          <w:spacing w:val="-3"/>
        </w:rPr>
        <w:t xml:space="preserve"> </w:t>
      </w:r>
      <w:r w:rsidRPr="0031675F">
        <w:t xml:space="preserve">the </w:t>
      </w:r>
      <w:r w:rsidRPr="0031675F">
        <w:rPr>
          <w:spacing w:val="-1"/>
        </w:rPr>
        <w:t>logger</w:t>
      </w:r>
      <w:r w:rsidRPr="0031675F">
        <w:rPr>
          <w:spacing w:val="-2"/>
        </w:rPr>
        <w:t xml:space="preserve"> </w:t>
      </w:r>
      <w:r w:rsidRPr="0031675F">
        <w:rPr>
          <w:spacing w:val="-1"/>
        </w:rPr>
        <w:t>serial</w:t>
      </w:r>
      <w:r w:rsidRPr="0031675F">
        <w:t xml:space="preserve"> </w:t>
      </w:r>
      <w:r w:rsidRPr="0031675F">
        <w:rPr>
          <w:spacing w:val="-1"/>
        </w:rPr>
        <w:t>number.</w:t>
      </w:r>
    </w:p>
    <w:p w14:paraId="5EA340DB" w14:textId="77777777" w:rsidR="0031675F" w:rsidRPr="0031675F" w:rsidRDefault="0031675F" w:rsidP="0031675F">
      <w:pPr>
        <w:widowControl w:val="0"/>
        <w:numPr>
          <w:ilvl w:val="1"/>
          <w:numId w:val="66"/>
        </w:numPr>
        <w:tabs>
          <w:tab w:val="left" w:pos="661"/>
        </w:tabs>
        <w:spacing w:before="120" w:after="0" w:line="240" w:lineRule="auto"/>
        <w:ind w:right="116" w:firstLine="0"/>
      </w:pPr>
      <w:r w:rsidRPr="0031675F">
        <w:t>Raw</w:t>
      </w:r>
      <w:r w:rsidRPr="0031675F">
        <w:rPr>
          <w:spacing w:val="20"/>
        </w:rPr>
        <w:t xml:space="preserve"> </w:t>
      </w:r>
      <w:r w:rsidRPr="0031675F">
        <w:rPr>
          <w:spacing w:val="-1"/>
        </w:rPr>
        <w:t>logger</w:t>
      </w:r>
      <w:r w:rsidRPr="0031675F">
        <w:rPr>
          <w:spacing w:val="19"/>
        </w:rPr>
        <w:t xml:space="preserve"> </w:t>
      </w:r>
      <w:r w:rsidRPr="0031675F">
        <w:rPr>
          <w:spacing w:val="-1"/>
        </w:rPr>
        <w:t>field</w:t>
      </w:r>
      <w:r w:rsidRPr="0031675F">
        <w:rPr>
          <w:spacing w:val="18"/>
        </w:rPr>
        <w:t xml:space="preserve"> </w:t>
      </w:r>
      <w:r w:rsidRPr="0031675F">
        <w:rPr>
          <w:spacing w:val="-1"/>
        </w:rPr>
        <w:t>deployment</w:t>
      </w:r>
      <w:r w:rsidRPr="0031675F">
        <w:rPr>
          <w:spacing w:val="19"/>
        </w:rPr>
        <w:t xml:space="preserve"> </w:t>
      </w:r>
      <w:r w:rsidRPr="0031675F">
        <w:rPr>
          <w:spacing w:val="-1"/>
        </w:rPr>
        <w:t>data</w:t>
      </w:r>
      <w:r w:rsidRPr="0031675F">
        <w:rPr>
          <w:spacing w:val="19"/>
        </w:rPr>
        <w:t xml:space="preserve"> </w:t>
      </w:r>
      <w:r w:rsidRPr="0031675F">
        <w:rPr>
          <w:spacing w:val="-1"/>
        </w:rPr>
        <w:t>files</w:t>
      </w:r>
      <w:r w:rsidRPr="0031675F">
        <w:rPr>
          <w:spacing w:val="20"/>
        </w:rPr>
        <w:t xml:space="preserve"> </w:t>
      </w:r>
      <w:r w:rsidRPr="0031675F">
        <w:t>are</w:t>
      </w:r>
      <w:r w:rsidRPr="0031675F">
        <w:rPr>
          <w:spacing w:val="19"/>
        </w:rPr>
        <w:t xml:space="preserve"> </w:t>
      </w:r>
      <w:r w:rsidRPr="0031675F">
        <w:rPr>
          <w:spacing w:val="-2"/>
        </w:rPr>
        <w:t>named</w:t>
      </w:r>
      <w:r w:rsidRPr="0031675F">
        <w:rPr>
          <w:spacing w:val="19"/>
        </w:rPr>
        <w:t xml:space="preserve"> </w:t>
      </w:r>
      <w:r w:rsidRPr="0031675F">
        <w:t>with</w:t>
      </w:r>
      <w:r w:rsidRPr="0031675F">
        <w:rPr>
          <w:spacing w:val="19"/>
        </w:rPr>
        <w:t xml:space="preserve"> </w:t>
      </w:r>
      <w:r w:rsidRPr="0031675F">
        <w:t>the</w:t>
      </w:r>
      <w:r w:rsidRPr="0031675F">
        <w:rPr>
          <w:spacing w:val="23"/>
        </w:rPr>
        <w:t xml:space="preserve"> </w:t>
      </w:r>
      <w:r w:rsidRPr="0031675F">
        <w:rPr>
          <w:b/>
          <w:spacing w:val="-1"/>
        </w:rPr>
        <w:t>recovery</w:t>
      </w:r>
      <w:r w:rsidRPr="0031675F">
        <w:rPr>
          <w:b/>
          <w:spacing w:val="20"/>
        </w:rPr>
        <w:t xml:space="preserve"> </w:t>
      </w:r>
      <w:r w:rsidRPr="0031675F">
        <w:rPr>
          <w:spacing w:val="-1"/>
        </w:rPr>
        <w:t>date</w:t>
      </w:r>
      <w:r w:rsidRPr="0031675F">
        <w:rPr>
          <w:spacing w:val="17"/>
        </w:rPr>
        <w:t xml:space="preserve"> </w:t>
      </w:r>
      <w:r w:rsidRPr="0031675F">
        <w:t>to</w:t>
      </w:r>
      <w:r w:rsidRPr="0031675F">
        <w:rPr>
          <w:spacing w:val="21"/>
        </w:rPr>
        <w:t xml:space="preserve"> </w:t>
      </w:r>
      <w:r w:rsidRPr="0031675F">
        <w:t>avoid</w:t>
      </w:r>
      <w:r w:rsidRPr="0031675F">
        <w:rPr>
          <w:spacing w:val="18"/>
        </w:rPr>
        <w:t xml:space="preserve"> </w:t>
      </w:r>
      <w:r w:rsidRPr="0031675F">
        <w:rPr>
          <w:spacing w:val="-1"/>
        </w:rPr>
        <w:t>errors,</w:t>
      </w:r>
      <w:r w:rsidRPr="0031675F">
        <w:rPr>
          <w:spacing w:val="19"/>
        </w:rPr>
        <w:t xml:space="preserve"> </w:t>
      </w:r>
      <w:r w:rsidRPr="0031675F">
        <w:rPr>
          <w:spacing w:val="-1"/>
        </w:rPr>
        <w:t>but</w:t>
      </w:r>
      <w:r w:rsidRPr="0031675F">
        <w:rPr>
          <w:spacing w:val="73"/>
        </w:rPr>
        <w:t xml:space="preserve"> </w:t>
      </w:r>
      <w:r w:rsidRPr="0031675F">
        <w:t xml:space="preserve">the </w:t>
      </w:r>
      <w:r w:rsidRPr="0031675F">
        <w:rPr>
          <w:spacing w:val="-1"/>
        </w:rPr>
        <w:t>exported</w:t>
      </w:r>
      <w:r w:rsidRPr="0031675F">
        <w:t xml:space="preserve"> </w:t>
      </w:r>
      <w:r w:rsidRPr="0031675F">
        <w:rPr>
          <w:spacing w:val="-1"/>
        </w:rPr>
        <w:t>files</w:t>
      </w:r>
      <w:r w:rsidRPr="0031675F">
        <w:rPr>
          <w:spacing w:val="-2"/>
        </w:rPr>
        <w:t xml:space="preserve"> </w:t>
      </w:r>
      <w:r w:rsidRPr="0031675F">
        <w:rPr>
          <w:spacing w:val="-1"/>
        </w:rPr>
        <w:t xml:space="preserve">from </w:t>
      </w:r>
      <w:r w:rsidRPr="0031675F">
        <w:t>the</w:t>
      </w:r>
      <w:r w:rsidRPr="0031675F">
        <w:rPr>
          <w:spacing w:val="-3"/>
        </w:rPr>
        <w:t xml:space="preserve"> </w:t>
      </w:r>
      <w:r w:rsidRPr="0031675F">
        <w:rPr>
          <w:spacing w:val="-1"/>
        </w:rPr>
        <w:t>ELDMS</w:t>
      </w:r>
      <w:r w:rsidRPr="0031675F">
        <w:t xml:space="preserve"> </w:t>
      </w:r>
      <w:r w:rsidRPr="0031675F">
        <w:rPr>
          <w:spacing w:val="-1"/>
        </w:rPr>
        <w:t>are</w:t>
      </w:r>
      <w:r w:rsidRPr="0031675F">
        <w:t xml:space="preserve"> </w:t>
      </w:r>
      <w:r w:rsidRPr="0031675F">
        <w:rPr>
          <w:spacing w:val="-1"/>
        </w:rPr>
        <w:t>named</w:t>
      </w:r>
      <w:r w:rsidRPr="0031675F">
        <w:rPr>
          <w:spacing w:val="-3"/>
        </w:rPr>
        <w:t xml:space="preserve"> </w:t>
      </w:r>
      <w:r w:rsidRPr="0031675F">
        <w:t xml:space="preserve">with </w:t>
      </w:r>
      <w:r w:rsidRPr="0031675F">
        <w:rPr>
          <w:spacing w:val="-2"/>
        </w:rPr>
        <w:t>the</w:t>
      </w:r>
      <w:r w:rsidRPr="0031675F">
        <w:t xml:space="preserve"> </w:t>
      </w:r>
      <w:r w:rsidRPr="0031675F">
        <w:rPr>
          <w:spacing w:val="-1"/>
        </w:rPr>
        <w:t>convention including the</w:t>
      </w:r>
      <w:r w:rsidRPr="0031675F">
        <w:t xml:space="preserve"> </w:t>
      </w:r>
      <w:r w:rsidRPr="0031675F">
        <w:rPr>
          <w:b/>
          <w:spacing w:val="-1"/>
        </w:rPr>
        <w:t>deployment</w:t>
      </w:r>
      <w:r w:rsidRPr="0031675F">
        <w:rPr>
          <w:b/>
          <w:spacing w:val="1"/>
        </w:rPr>
        <w:t xml:space="preserve"> </w:t>
      </w:r>
      <w:r w:rsidRPr="0031675F">
        <w:rPr>
          <w:spacing w:val="-1"/>
        </w:rPr>
        <w:t>date.</w:t>
      </w:r>
    </w:p>
    <w:p w14:paraId="37FC094B" w14:textId="77777777" w:rsidR="0031675F" w:rsidRPr="0031675F" w:rsidRDefault="0031675F" w:rsidP="0031675F">
      <w:pPr>
        <w:spacing w:before="118" w:after="120"/>
        <w:ind w:left="218"/>
      </w:pPr>
      <w:r w:rsidRPr="0031675F">
        <w:rPr>
          <w:spacing w:val="-1"/>
        </w:rPr>
        <w:t>The</w:t>
      </w:r>
      <w:r w:rsidRPr="0031675F">
        <w:t xml:space="preserve"> </w:t>
      </w:r>
      <w:r w:rsidRPr="0031675F">
        <w:rPr>
          <w:spacing w:val="-1"/>
        </w:rPr>
        <w:t>next</w:t>
      </w:r>
      <w:r w:rsidRPr="0031675F">
        <w:t xml:space="preserve"> </w:t>
      </w:r>
      <w:r w:rsidRPr="0031675F">
        <w:rPr>
          <w:spacing w:val="-1"/>
        </w:rPr>
        <w:t>step</w:t>
      </w:r>
      <w:r w:rsidRPr="0031675F">
        <w:t xml:space="preserve"> is</w:t>
      </w:r>
      <w:r w:rsidRPr="0031675F">
        <w:rPr>
          <w:spacing w:val="-2"/>
        </w:rPr>
        <w:t xml:space="preserve"> </w:t>
      </w:r>
      <w:r w:rsidRPr="0031675F">
        <w:t>the QA</w:t>
      </w:r>
      <w:r w:rsidRPr="0031675F">
        <w:rPr>
          <w:spacing w:val="-3"/>
        </w:rPr>
        <w:t xml:space="preserve"> </w:t>
      </w:r>
      <w:r w:rsidRPr="0031675F">
        <w:rPr>
          <w:spacing w:val="-1"/>
        </w:rPr>
        <w:t>WISKI-TV</w:t>
      </w:r>
      <w:r w:rsidRPr="0031675F">
        <w:t xml:space="preserve"> </w:t>
      </w:r>
      <w:r w:rsidRPr="0031675F">
        <w:rPr>
          <w:spacing w:val="-1"/>
        </w:rPr>
        <w:t>editing process.</w:t>
      </w:r>
    </w:p>
    <w:p w14:paraId="5AFD6620" w14:textId="77777777" w:rsidR="0031675F" w:rsidRPr="0031675F" w:rsidRDefault="0031675F" w:rsidP="0031675F">
      <w:pPr>
        <w:widowControl w:val="0"/>
        <w:numPr>
          <w:ilvl w:val="2"/>
          <w:numId w:val="66"/>
        </w:numPr>
        <w:tabs>
          <w:tab w:val="left" w:pos="939"/>
        </w:tabs>
        <w:spacing w:before="120" w:after="0" w:line="240" w:lineRule="auto"/>
        <w:ind w:right="110"/>
        <w:jc w:val="both"/>
      </w:pPr>
      <w:r w:rsidRPr="0031675F">
        <w:rPr>
          <w:spacing w:val="-1"/>
        </w:rPr>
        <w:t>Original</w:t>
      </w:r>
      <w:r w:rsidRPr="0031675F">
        <w:rPr>
          <w:spacing w:val="42"/>
        </w:rPr>
        <w:t xml:space="preserve"> </w:t>
      </w:r>
      <w:r w:rsidRPr="0031675F">
        <w:t>exported</w:t>
      </w:r>
      <w:r w:rsidRPr="0031675F">
        <w:rPr>
          <w:spacing w:val="43"/>
        </w:rPr>
        <w:t xml:space="preserve"> </w:t>
      </w:r>
      <w:r w:rsidRPr="0031675F">
        <w:rPr>
          <w:spacing w:val="-1"/>
        </w:rPr>
        <w:t>files</w:t>
      </w:r>
      <w:r w:rsidRPr="0031675F">
        <w:rPr>
          <w:spacing w:val="44"/>
        </w:rPr>
        <w:t xml:space="preserve"> </w:t>
      </w:r>
      <w:r w:rsidRPr="0031675F">
        <w:t>are</w:t>
      </w:r>
      <w:r w:rsidRPr="0031675F">
        <w:rPr>
          <w:spacing w:val="40"/>
        </w:rPr>
        <w:t xml:space="preserve"> </w:t>
      </w:r>
      <w:r w:rsidRPr="0031675F">
        <w:t>left</w:t>
      </w:r>
      <w:r w:rsidRPr="0031675F">
        <w:rPr>
          <w:spacing w:val="43"/>
        </w:rPr>
        <w:t xml:space="preserve"> </w:t>
      </w:r>
      <w:r w:rsidRPr="0031675F">
        <w:rPr>
          <w:spacing w:val="-1"/>
        </w:rPr>
        <w:t>untouched</w:t>
      </w:r>
      <w:r w:rsidRPr="0031675F">
        <w:rPr>
          <w:spacing w:val="42"/>
        </w:rPr>
        <w:t xml:space="preserve"> </w:t>
      </w:r>
      <w:r w:rsidRPr="0031675F">
        <w:t>as</w:t>
      </w:r>
      <w:r w:rsidRPr="0031675F">
        <w:rPr>
          <w:spacing w:val="43"/>
        </w:rPr>
        <w:t xml:space="preserve"> </w:t>
      </w:r>
      <w:r w:rsidRPr="0031675F">
        <w:rPr>
          <w:spacing w:val="-1"/>
        </w:rPr>
        <w:t>reference</w:t>
      </w:r>
      <w:r w:rsidRPr="0031675F">
        <w:rPr>
          <w:spacing w:val="43"/>
        </w:rPr>
        <w:t xml:space="preserve"> </w:t>
      </w:r>
      <w:r w:rsidRPr="0031675F">
        <w:t>in</w:t>
      </w:r>
      <w:r w:rsidRPr="0031675F">
        <w:rPr>
          <w:spacing w:val="42"/>
        </w:rPr>
        <w:t xml:space="preserve"> </w:t>
      </w:r>
      <w:r w:rsidRPr="0031675F">
        <w:rPr>
          <w:spacing w:val="-1"/>
        </w:rPr>
        <w:t>1QA_export_xml</w:t>
      </w:r>
      <w:r w:rsidRPr="0031675F">
        <w:rPr>
          <w:spacing w:val="43"/>
        </w:rPr>
        <w:t xml:space="preserve"> </w:t>
      </w:r>
      <w:r w:rsidRPr="0031675F">
        <w:rPr>
          <w:spacing w:val="-1"/>
        </w:rPr>
        <w:t>(with</w:t>
      </w:r>
      <w:r w:rsidRPr="0031675F">
        <w:rPr>
          <w:spacing w:val="42"/>
        </w:rPr>
        <w:t xml:space="preserve"> </w:t>
      </w:r>
      <w:r w:rsidRPr="0031675F">
        <w:rPr>
          <w:spacing w:val="1"/>
        </w:rPr>
        <w:t>the</w:t>
      </w:r>
      <w:r w:rsidRPr="0031675F">
        <w:rPr>
          <w:spacing w:val="44"/>
        </w:rPr>
        <w:t xml:space="preserve"> </w:t>
      </w:r>
      <w:r w:rsidRPr="0031675F">
        <w:rPr>
          <w:spacing w:val="-1"/>
        </w:rPr>
        <w:t>file</w:t>
      </w:r>
      <w:r w:rsidRPr="0031675F">
        <w:rPr>
          <w:spacing w:val="61"/>
        </w:rPr>
        <w:t xml:space="preserve"> </w:t>
      </w:r>
      <w:r w:rsidRPr="0031675F">
        <w:rPr>
          <w:spacing w:val="-1"/>
        </w:rPr>
        <w:t>name</w:t>
      </w:r>
      <w:r w:rsidRPr="0031675F">
        <w:rPr>
          <w:spacing w:val="-2"/>
        </w:rPr>
        <w:t xml:space="preserve"> </w:t>
      </w:r>
      <w:r w:rsidRPr="0031675F">
        <w:rPr>
          <w:spacing w:val="-1"/>
        </w:rPr>
        <w:t>convention format</w:t>
      </w:r>
      <w:r w:rsidRPr="0031675F">
        <w:t xml:space="preserve"> </w:t>
      </w:r>
      <w:r w:rsidRPr="0031675F">
        <w:rPr>
          <w:spacing w:val="-2"/>
        </w:rPr>
        <w:t>as</w:t>
      </w:r>
      <w:r w:rsidRPr="0031675F">
        <w:t xml:space="preserve"> </w:t>
      </w:r>
      <w:r w:rsidRPr="0031675F">
        <w:rPr>
          <w:spacing w:val="-1"/>
        </w:rPr>
        <w:t>per</w:t>
      </w:r>
      <w:r w:rsidRPr="0031675F">
        <w:t xml:space="preserve"> </w:t>
      </w:r>
      <w:r w:rsidRPr="0031675F">
        <w:rPr>
          <w:spacing w:val="-1"/>
        </w:rPr>
        <w:t>table</w:t>
      </w:r>
      <w:r w:rsidRPr="0031675F">
        <w:t xml:space="preserve"> </w:t>
      </w:r>
      <w:r w:rsidRPr="0031675F">
        <w:rPr>
          <w:spacing w:val="-1"/>
        </w:rPr>
        <w:t>below).</w:t>
      </w:r>
    </w:p>
    <w:p w14:paraId="4643B856" w14:textId="77777777" w:rsidR="0031675F" w:rsidRPr="0031675F" w:rsidRDefault="0031675F" w:rsidP="0031675F">
      <w:pPr>
        <w:widowControl w:val="0"/>
        <w:numPr>
          <w:ilvl w:val="2"/>
          <w:numId w:val="66"/>
        </w:numPr>
        <w:tabs>
          <w:tab w:val="left" w:pos="939"/>
        </w:tabs>
        <w:spacing w:before="120" w:after="0" w:line="240" w:lineRule="auto"/>
        <w:ind w:right="115"/>
        <w:jc w:val="both"/>
      </w:pPr>
      <w:r w:rsidRPr="0031675F">
        <w:rPr>
          <w:spacing w:val="-1"/>
        </w:rPr>
        <w:t>Using</w:t>
      </w:r>
      <w:r w:rsidRPr="0031675F">
        <w:rPr>
          <w:spacing w:val="26"/>
        </w:rPr>
        <w:t xml:space="preserve"> </w:t>
      </w:r>
      <w:r w:rsidRPr="0031675F">
        <w:rPr>
          <w:spacing w:val="-1"/>
        </w:rPr>
        <w:t>Windows</w:t>
      </w:r>
      <w:r w:rsidRPr="0031675F">
        <w:rPr>
          <w:spacing w:val="28"/>
        </w:rPr>
        <w:t xml:space="preserve"> </w:t>
      </w:r>
      <w:r w:rsidRPr="0031675F">
        <w:rPr>
          <w:spacing w:val="-1"/>
        </w:rPr>
        <w:t>Explorer,</w:t>
      </w:r>
      <w:r w:rsidRPr="0031675F">
        <w:rPr>
          <w:spacing w:val="25"/>
        </w:rPr>
        <w:t xml:space="preserve"> </w:t>
      </w:r>
      <w:r w:rsidRPr="0031675F">
        <w:t>copies</w:t>
      </w:r>
      <w:r w:rsidRPr="0031675F">
        <w:rPr>
          <w:spacing w:val="24"/>
        </w:rPr>
        <w:t xml:space="preserve"> </w:t>
      </w:r>
      <w:r w:rsidRPr="0031675F">
        <w:rPr>
          <w:spacing w:val="-1"/>
        </w:rPr>
        <w:t>made</w:t>
      </w:r>
      <w:r w:rsidRPr="0031675F">
        <w:rPr>
          <w:spacing w:val="28"/>
        </w:rPr>
        <w:t xml:space="preserve"> </w:t>
      </w:r>
      <w:r w:rsidRPr="0031675F">
        <w:rPr>
          <w:spacing w:val="-1"/>
        </w:rPr>
        <w:t>to</w:t>
      </w:r>
      <w:r w:rsidRPr="0031675F">
        <w:rPr>
          <w:spacing w:val="28"/>
        </w:rPr>
        <w:t xml:space="preserve"> </w:t>
      </w:r>
      <w:r w:rsidRPr="0031675F">
        <w:rPr>
          <w:spacing w:val="-1"/>
        </w:rPr>
        <w:t>folder</w:t>
      </w:r>
      <w:r w:rsidRPr="0031675F">
        <w:rPr>
          <w:spacing w:val="25"/>
        </w:rPr>
        <w:t xml:space="preserve"> </w:t>
      </w:r>
      <w:r w:rsidRPr="0031675F">
        <w:rPr>
          <w:spacing w:val="-1"/>
        </w:rPr>
        <w:t>2QA_edit1_xml</w:t>
      </w:r>
      <w:r w:rsidRPr="0031675F">
        <w:rPr>
          <w:spacing w:val="26"/>
        </w:rPr>
        <w:t xml:space="preserve"> </w:t>
      </w:r>
      <w:r w:rsidRPr="0031675F">
        <w:rPr>
          <w:spacing w:val="-1"/>
        </w:rPr>
        <w:t>(using</w:t>
      </w:r>
      <w:r w:rsidRPr="0031675F">
        <w:rPr>
          <w:spacing w:val="27"/>
        </w:rPr>
        <w:t xml:space="preserve"> </w:t>
      </w:r>
      <w:r w:rsidRPr="0031675F">
        <w:t>the</w:t>
      </w:r>
      <w:r w:rsidRPr="0031675F">
        <w:rPr>
          <w:spacing w:val="28"/>
        </w:rPr>
        <w:t xml:space="preserve"> </w:t>
      </w:r>
      <w:r w:rsidRPr="0031675F">
        <w:rPr>
          <w:spacing w:val="-1"/>
        </w:rPr>
        <w:t>file</w:t>
      </w:r>
      <w:r w:rsidRPr="0031675F">
        <w:rPr>
          <w:spacing w:val="27"/>
        </w:rPr>
        <w:t xml:space="preserve"> </w:t>
      </w:r>
      <w:r w:rsidRPr="0031675F">
        <w:rPr>
          <w:spacing w:val="-1"/>
        </w:rPr>
        <w:t>name</w:t>
      </w:r>
      <w:r w:rsidRPr="0031675F">
        <w:rPr>
          <w:spacing w:val="55"/>
        </w:rPr>
        <w:t xml:space="preserve"> </w:t>
      </w:r>
      <w:r w:rsidRPr="0031675F">
        <w:rPr>
          <w:spacing w:val="-1"/>
        </w:rPr>
        <w:t>convention</w:t>
      </w:r>
      <w:r w:rsidRPr="0031675F">
        <w:rPr>
          <w:spacing w:val="-3"/>
        </w:rPr>
        <w:t xml:space="preserve"> </w:t>
      </w:r>
      <w:r w:rsidRPr="0031675F">
        <w:t xml:space="preserve">as </w:t>
      </w:r>
      <w:r w:rsidRPr="0031675F">
        <w:rPr>
          <w:spacing w:val="-1"/>
        </w:rPr>
        <w:t>per</w:t>
      </w:r>
      <w:r w:rsidRPr="0031675F">
        <w:rPr>
          <w:spacing w:val="-2"/>
        </w:rPr>
        <w:t xml:space="preserve"> </w:t>
      </w:r>
      <w:r w:rsidRPr="0031675F">
        <w:rPr>
          <w:spacing w:val="-1"/>
        </w:rPr>
        <w:t>table</w:t>
      </w:r>
      <w:r w:rsidRPr="0031675F">
        <w:t xml:space="preserve"> </w:t>
      </w:r>
      <w:r w:rsidRPr="0031675F">
        <w:rPr>
          <w:spacing w:val="-1"/>
        </w:rPr>
        <w:t>below).</w:t>
      </w:r>
    </w:p>
    <w:p w14:paraId="2F03857F" w14:textId="66E54D4C" w:rsidR="0031675F" w:rsidRPr="0031675F" w:rsidRDefault="0031675F" w:rsidP="0031675F">
      <w:pPr>
        <w:widowControl w:val="0"/>
        <w:numPr>
          <w:ilvl w:val="2"/>
          <w:numId w:val="66"/>
        </w:numPr>
        <w:tabs>
          <w:tab w:val="left" w:pos="939"/>
        </w:tabs>
        <w:spacing w:before="121" w:after="0" w:line="239" w:lineRule="auto"/>
        <w:ind w:right="112"/>
        <w:jc w:val="both"/>
      </w:pPr>
      <w:r w:rsidRPr="0031675F">
        <w:rPr>
          <w:spacing w:val="-1"/>
        </w:rPr>
        <w:t>Using</w:t>
      </w:r>
      <w:r w:rsidRPr="0031675F">
        <w:rPr>
          <w:spacing w:val="11"/>
        </w:rPr>
        <w:t xml:space="preserve"> </w:t>
      </w:r>
      <w:r w:rsidRPr="0031675F">
        <w:rPr>
          <w:spacing w:val="-1"/>
        </w:rPr>
        <w:t>WISKI-TV</w:t>
      </w:r>
      <w:r w:rsidRPr="0031675F">
        <w:rPr>
          <w:spacing w:val="12"/>
        </w:rPr>
        <w:t xml:space="preserve"> </w:t>
      </w:r>
      <w:r w:rsidRPr="0031675F">
        <w:t>the</w:t>
      </w:r>
      <w:r w:rsidRPr="0031675F">
        <w:rPr>
          <w:spacing w:val="12"/>
        </w:rPr>
        <w:t xml:space="preserve"> </w:t>
      </w:r>
      <w:r w:rsidRPr="0031675F">
        <w:rPr>
          <w:spacing w:val="-2"/>
        </w:rPr>
        <w:t>first</w:t>
      </w:r>
      <w:r w:rsidRPr="0031675F">
        <w:rPr>
          <w:spacing w:val="13"/>
        </w:rPr>
        <w:t xml:space="preserve"> </w:t>
      </w:r>
      <w:r w:rsidRPr="0031675F">
        <w:rPr>
          <w:spacing w:val="-1"/>
        </w:rPr>
        <w:t>edit</w:t>
      </w:r>
      <w:r w:rsidRPr="0031675F">
        <w:rPr>
          <w:spacing w:val="12"/>
        </w:rPr>
        <w:t xml:space="preserve"> </w:t>
      </w:r>
      <w:r w:rsidRPr="0031675F">
        <w:rPr>
          <w:spacing w:val="-1"/>
        </w:rPr>
        <w:t>(edit1)</w:t>
      </w:r>
      <w:r w:rsidRPr="0031675F">
        <w:rPr>
          <w:spacing w:val="12"/>
        </w:rPr>
        <w:t xml:space="preserve"> </w:t>
      </w:r>
      <w:r w:rsidRPr="0031675F">
        <w:rPr>
          <w:spacing w:val="-1"/>
        </w:rPr>
        <w:t>we</w:t>
      </w:r>
      <w:r w:rsidRPr="0031675F">
        <w:rPr>
          <w:spacing w:val="13"/>
        </w:rPr>
        <w:t xml:space="preserve"> </w:t>
      </w:r>
      <w:r w:rsidRPr="0031675F">
        <w:rPr>
          <w:spacing w:val="-1"/>
        </w:rPr>
        <w:t>delete</w:t>
      </w:r>
      <w:r w:rsidRPr="0031675F">
        <w:rPr>
          <w:spacing w:val="13"/>
        </w:rPr>
        <w:t xml:space="preserve"> </w:t>
      </w:r>
      <w:r w:rsidRPr="0031675F">
        <w:rPr>
          <w:spacing w:val="-2"/>
        </w:rPr>
        <w:t>start</w:t>
      </w:r>
      <w:r w:rsidRPr="0031675F">
        <w:rPr>
          <w:spacing w:val="13"/>
        </w:rPr>
        <w:t xml:space="preserve"> </w:t>
      </w:r>
      <w:r w:rsidRPr="0031675F">
        <w:rPr>
          <w:spacing w:val="-2"/>
        </w:rPr>
        <w:t>and</w:t>
      </w:r>
      <w:r w:rsidRPr="0031675F">
        <w:rPr>
          <w:spacing w:val="11"/>
        </w:rPr>
        <w:t xml:space="preserve"> </w:t>
      </w:r>
      <w:r w:rsidRPr="0031675F">
        <w:t>end</w:t>
      </w:r>
      <w:r w:rsidRPr="0031675F">
        <w:rPr>
          <w:spacing w:val="11"/>
        </w:rPr>
        <w:t xml:space="preserve"> </w:t>
      </w:r>
      <w:r w:rsidRPr="0031675F">
        <w:t>records</w:t>
      </w:r>
      <w:r w:rsidRPr="0031675F">
        <w:rPr>
          <w:spacing w:val="10"/>
        </w:rPr>
        <w:t xml:space="preserve"> </w:t>
      </w:r>
      <w:r w:rsidRPr="0031675F">
        <w:t>of</w:t>
      </w:r>
      <w:r w:rsidRPr="0031675F">
        <w:rPr>
          <w:spacing w:val="12"/>
        </w:rPr>
        <w:t xml:space="preserve"> </w:t>
      </w:r>
      <w:r w:rsidRPr="0031675F">
        <w:t>the</w:t>
      </w:r>
      <w:r w:rsidRPr="0031675F">
        <w:rPr>
          <w:spacing w:val="12"/>
        </w:rPr>
        <w:t xml:space="preserve"> </w:t>
      </w:r>
      <w:r w:rsidRPr="0031675F">
        <w:rPr>
          <w:spacing w:val="-2"/>
        </w:rPr>
        <w:t>logger</w:t>
      </w:r>
      <w:r w:rsidRPr="0031675F">
        <w:rPr>
          <w:spacing w:val="12"/>
        </w:rPr>
        <w:t xml:space="preserve"> </w:t>
      </w:r>
      <w:r w:rsidRPr="0031675F">
        <w:t>when</w:t>
      </w:r>
      <w:r w:rsidRPr="0031675F">
        <w:rPr>
          <w:spacing w:val="11"/>
        </w:rPr>
        <w:t xml:space="preserve"> </w:t>
      </w:r>
      <w:r w:rsidRPr="0031675F">
        <w:rPr>
          <w:spacing w:val="1"/>
        </w:rPr>
        <w:t>the</w:t>
      </w:r>
      <w:r w:rsidRPr="0031675F">
        <w:rPr>
          <w:spacing w:val="63"/>
        </w:rPr>
        <w:t xml:space="preserve"> </w:t>
      </w:r>
      <w:r w:rsidRPr="0031675F">
        <w:rPr>
          <w:spacing w:val="-1"/>
        </w:rPr>
        <w:t>logger</w:t>
      </w:r>
      <w:r w:rsidRPr="0031675F">
        <w:rPr>
          <w:spacing w:val="10"/>
        </w:rPr>
        <w:t xml:space="preserve"> </w:t>
      </w:r>
      <w:r w:rsidRPr="0031675F">
        <w:t>was</w:t>
      </w:r>
      <w:r w:rsidRPr="0031675F">
        <w:rPr>
          <w:spacing w:val="10"/>
        </w:rPr>
        <w:t xml:space="preserve"> </w:t>
      </w:r>
      <w:r w:rsidRPr="0031675F">
        <w:t>not</w:t>
      </w:r>
      <w:r w:rsidRPr="0031675F">
        <w:rPr>
          <w:spacing w:val="10"/>
        </w:rPr>
        <w:t xml:space="preserve"> </w:t>
      </w:r>
      <w:r w:rsidRPr="0031675F">
        <w:t>in</w:t>
      </w:r>
      <w:r w:rsidRPr="0031675F">
        <w:rPr>
          <w:spacing w:val="8"/>
        </w:rPr>
        <w:t xml:space="preserve"> </w:t>
      </w:r>
      <w:r w:rsidRPr="0031675F">
        <w:t>the</w:t>
      </w:r>
      <w:r w:rsidRPr="0031675F">
        <w:rPr>
          <w:spacing w:val="10"/>
        </w:rPr>
        <w:t xml:space="preserve"> </w:t>
      </w:r>
      <w:r w:rsidRPr="0031675F">
        <w:rPr>
          <w:spacing w:val="-1"/>
        </w:rPr>
        <w:t>water</w:t>
      </w:r>
      <w:r w:rsidRPr="0031675F">
        <w:rPr>
          <w:spacing w:val="9"/>
        </w:rPr>
        <w:t xml:space="preserve"> </w:t>
      </w:r>
      <w:r w:rsidRPr="0031675F">
        <w:t>or</w:t>
      </w:r>
      <w:r w:rsidRPr="0031675F">
        <w:rPr>
          <w:spacing w:val="9"/>
        </w:rPr>
        <w:t xml:space="preserve"> </w:t>
      </w:r>
      <w:r w:rsidRPr="0031675F">
        <w:t>when</w:t>
      </w:r>
      <w:r w:rsidRPr="0031675F">
        <w:rPr>
          <w:spacing w:val="9"/>
        </w:rPr>
        <w:t xml:space="preserve"> </w:t>
      </w:r>
      <w:r w:rsidRPr="0031675F">
        <w:t>the</w:t>
      </w:r>
      <w:r w:rsidRPr="0031675F">
        <w:rPr>
          <w:spacing w:val="10"/>
        </w:rPr>
        <w:t xml:space="preserve"> </w:t>
      </w:r>
      <w:r w:rsidRPr="0031675F">
        <w:rPr>
          <w:spacing w:val="-1"/>
        </w:rPr>
        <w:t>logger</w:t>
      </w:r>
      <w:r w:rsidRPr="0031675F">
        <w:rPr>
          <w:spacing w:val="10"/>
        </w:rPr>
        <w:t xml:space="preserve"> </w:t>
      </w:r>
      <w:r w:rsidRPr="0031675F">
        <w:rPr>
          <w:spacing w:val="-1"/>
        </w:rPr>
        <w:t>had</w:t>
      </w:r>
      <w:r w:rsidRPr="0031675F">
        <w:rPr>
          <w:spacing w:val="9"/>
        </w:rPr>
        <w:t xml:space="preserve"> </w:t>
      </w:r>
      <w:r w:rsidRPr="0031675F">
        <w:t>a</w:t>
      </w:r>
      <w:r w:rsidRPr="0031675F">
        <w:rPr>
          <w:spacing w:val="9"/>
        </w:rPr>
        <w:t xml:space="preserve"> </w:t>
      </w:r>
      <w:r w:rsidRPr="0031675F">
        <w:rPr>
          <w:spacing w:val="-1"/>
        </w:rPr>
        <w:t>physical</w:t>
      </w:r>
      <w:r w:rsidRPr="0031675F">
        <w:rPr>
          <w:spacing w:val="9"/>
        </w:rPr>
        <w:t xml:space="preserve"> </w:t>
      </w:r>
      <w:r w:rsidRPr="0031675F">
        <w:rPr>
          <w:spacing w:val="-1"/>
        </w:rPr>
        <w:t>malfunction.</w:t>
      </w:r>
      <w:r w:rsidRPr="0031675F">
        <w:rPr>
          <w:spacing w:val="9"/>
        </w:rPr>
        <w:t xml:space="preserve"> </w:t>
      </w:r>
      <w:r w:rsidRPr="0031675F">
        <w:rPr>
          <w:spacing w:val="-1"/>
        </w:rPr>
        <w:t>The</w:t>
      </w:r>
      <w:r w:rsidRPr="0031675F">
        <w:rPr>
          <w:spacing w:val="8"/>
        </w:rPr>
        <w:t xml:space="preserve"> </w:t>
      </w:r>
      <w:r w:rsidRPr="0031675F">
        <w:rPr>
          <w:spacing w:val="-1"/>
        </w:rPr>
        <w:t>information</w:t>
      </w:r>
      <w:r w:rsidRPr="0031675F">
        <w:rPr>
          <w:spacing w:val="61"/>
        </w:rPr>
        <w:t xml:space="preserve"> </w:t>
      </w:r>
      <w:r w:rsidRPr="0031675F">
        <w:rPr>
          <w:spacing w:val="-1"/>
        </w:rPr>
        <w:t>supplied</w:t>
      </w:r>
      <w:r w:rsidRPr="0031675F">
        <w:rPr>
          <w:spacing w:val="14"/>
        </w:rPr>
        <w:t xml:space="preserve"> </w:t>
      </w:r>
      <w:r w:rsidRPr="0031675F">
        <w:t>on</w:t>
      </w:r>
      <w:r w:rsidRPr="0031675F">
        <w:rPr>
          <w:spacing w:val="14"/>
        </w:rPr>
        <w:t xml:space="preserve"> </w:t>
      </w:r>
      <w:r w:rsidRPr="0031675F">
        <w:t>the</w:t>
      </w:r>
      <w:r w:rsidRPr="0031675F">
        <w:rPr>
          <w:spacing w:val="14"/>
        </w:rPr>
        <w:t xml:space="preserve"> </w:t>
      </w:r>
      <w:r w:rsidRPr="0031675F">
        <w:rPr>
          <w:spacing w:val="-1"/>
        </w:rPr>
        <w:t>logger</w:t>
      </w:r>
      <w:r w:rsidRPr="0031675F">
        <w:rPr>
          <w:spacing w:val="14"/>
        </w:rPr>
        <w:t xml:space="preserve"> </w:t>
      </w:r>
      <w:r w:rsidRPr="0031675F">
        <w:rPr>
          <w:spacing w:val="-1"/>
        </w:rPr>
        <w:t>deployment</w:t>
      </w:r>
      <w:r w:rsidRPr="0031675F">
        <w:rPr>
          <w:spacing w:val="12"/>
        </w:rPr>
        <w:t xml:space="preserve"> </w:t>
      </w:r>
      <w:r w:rsidRPr="0031675F">
        <w:rPr>
          <w:spacing w:val="-1"/>
        </w:rPr>
        <w:t>and</w:t>
      </w:r>
      <w:r w:rsidRPr="0031675F">
        <w:rPr>
          <w:spacing w:val="14"/>
        </w:rPr>
        <w:t xml:space="preserve"> </w:t>
      </w:r>
      <w:r w:rsidRPr="0031675F">
        <w:rPr>
          <w:spacing w:val="-1"/>
        </w:rPr>
        <w:t>logger</w:t>
      </w:r>
      <w:r w:rsidRPr="0031675F">
        <w:rPr>
          <w:spacing w:val="14"/>
        </w:rPr>
        <w:t xml:space="preserve"> </w:t>
      </w:r>
      <w:r w:rsidRPr="0031675F">
        <w:rPr>
          <w:spacing w:val="-1"/>
        </w:rPr>
        <w:t>recovery</w:t>
      </w:r>
      <w:r w:rsidRPr="0031675F">
        <w:rPr>
          <w:spacing w:val="15"/>
        </w:rPr>
        <w:t xml:space="preserve"> </w:t>
      </w:r>
      <w:r w:rsidRPr="0031675F">
        <w:rPr>
          <w:spacing w:val="-1"/>
        </w:rPr>
        <w:t>datasheets</w:t>
      </w:r>
      <w:r w:rsidRPr="0031675F">
        <w:rPr>
          <w:spacing w:val="14"/>
        </w:rPr>
        <w:t xml:space="preserve"> </w:t>
      </w:r>
      <w:r w:rsidRPr="0031675F">
        <w:rPr>
          <w:spacing w:val="-2"/>
        </w:rPr>
        <w:t>is</w:t>
      </w:r>
      <w:r w:rsidRPr="0031675F">
        <w:t xml:space="preserve"> </w:t>
      </w:r>
      <w:r w:rsidRPr="0031675F">
        <w:rPr>
          <w:spacing w:val="-1"/>
        </w:rPr>
        <w:t>used</w:t>
      </w:r>
      <w:r w:rsidRPr="0031675F">
        <w:t xml:space="preserve"> in</w:t>
      </w:r>
      <w:r w:rsidRPr="0031675F">
        <w:rPr>
          <w:spacing w:val="-3"/>
        </w:rPr>
        <w:t xml:space="preserve"> </w:t>
      </w:r>
      <w:r w:rsidRPr="0031675F">
        <w:t xml:space="preserve">the </w:t>
      </w:r>
      <w:r w:rsidRPr="0031675F">
        <w:rPr>
          <w:spacing w:val="-2"/>
        </w:rPr>
        <w:t>first</w:t>
      </w:r>
      <w:r w:rsidRPr="0031675F">
        <w:t xml:space="preserve"> </w:t>
      </w:r>
      <w:r w:rsidRPr="0031675F">
        <w:rPr>
          <w:spacing w:val="-1"/>
        </w:rPr>
        <w:t>edit.</w:t>
      </w:r>
    </w:p>
    <w:p w14:paraId="35253334" w14:textId="77777777" w:rsidR="0031675F" w:rsidRPr="0031675F" w:rsidRDefault="0031675F" w:rsidP="0031675F">
      <w:pPr>
        <w:widowControl w:val="0"/>
        <w:numPr>
          <w:ilvl w:val="2"/>
          <w:numId w:val="66"/>
        </w:numPr>
        <w:tabs>
          <w:tab w:val="left" w:pos="939"/>
        </w:tabs>
        <w:spacing w:before="120" w:after="0" w:line="240" w:lineRule="auto"/>
        <w:ind w:right="113"/>
        <w:jc w:val="both"/>
        <w:rPr>
          <w:rFonts w:cs="Calibri"/>
        </w:rPr>
      </w:pPr>
      <w:r w:rsidRPr="0031675F">
        <w:rPr>
          <w:spacing w:val="-1"/>
        </w:rPr>
        <w:t>Once</w:t>
      </w:r>
      <w:r w:rsidRPr="0031675F">
        <w:rPr>
          <w:spacing w:val="20"/>
        </w:rPr>
        <w:t xml:space="preserve"> </w:t>
      </w:r>
      <w:r w:rsidRPr="0031675F">
        <w:rPr>
          <w:spacing w:val="-1"/>
        </w:rPr>
        <w:t>WISKI-TV</w:t>
      </w:r>
      <w:r w:rsidRPr="0031675F">
        <w:rPr>
          <w:spacing w:val="19"/>
        </w:rPr>
        <w:t xml:space="preserve"> </w:t>
      </w:r>
      <w:r w:rsidRPr="0031675F">
        <w:rPr>
          <w:spacing w:val="-1"/>
        </w:rPr>
        <w:t>QA/QC</w:t>
      </w:r>
      <w:r w:rsidRPr="0031675F">
        <w:rPr>
          <w:spacing w:val="19"/>
        </w:rPr>
        <w:t xml:space="preserve"> </w:t>
      </w:r>
      <w:r w:rsidRPr="0031675F">
        <w:rPr>
          <w:spacing w:val="-1"/>
        </w:rPr>
        <w:t>editing</w:t>
      </w:r>
      <w:r w:rsidRPr="0031675F">
        <w:rPr>
          <w:spacing w:val="18"/>
        </w:rPr>
        <w:t xml:space="preserve"> </w:t>
      </w:r>
      <w:r w:rsidRPr="0031675F">
        <w:t>is</w:t>
      </w:r>
      <w:r w:rsidRPr="0031675F">
        <w:rPr>
          <w:spacing w:val="19"/>
        </w:rPr>
        <w:t xml:space="preserve"> </w:t>
      </w:r>
      <w:r w:rsidRPr="0031675F">
        <w:rPr>
          <w:spacing w:val="-1"/>
        </w:rPr>
        <w:t>complete,</w:t>
      </w:r>
      <w:r w:rsidRPr="0031675F">
        <w:rPr>
          <w:spacing w:val="20"/>
        </w:rPr>
        <w:t xml:space="preserve"> </w:t>
      </w:r>
      <w:r w:rsidRPr="0031675F">
        <w:rPr>
          <w:spacing w:val="-1"/>
        </w:rPr>
        <w:t>the</w:t>
      </w:r>
      <w:r w:rsidRPr="0031675F">
        <w:rPr>
          <w:spacing w:val="20"/>
        </w:rPr>
        <w:t xml:space="preserve"> </w:t>
      </w:r>
      <w:r w:rsidRPr="0031675F">
        <w:rPr>
          <w:spacing w:val="-1"/>
        </w:rPr>
        <w:t>XML</w:t>
      </w:r>
      <w:r w:rsidRPr="0031675F">
        <w:rPr>
          <w:spacing w:val="17"/>
        </w:rPr>
        <w:t xml:space="preserve"> </w:t>
      </w:r>
      <w:r w:rsidRPr="0031675F">
        <w:rPr>
          <w:spacing w:val="-1"/>
        </w:rPr>
        <w:t>files</w:t>
      </w:r>
      <w:r w:rsidRPr="0031675F">
        <w:rPr>
          <w:spacing w:val="20"/>
        </w:rPr>
        <w:t xml:space="preserve"> </w:t>
      </w:r>
      <w:r w:rsidRPr="0031675F">
        <w:t>are</w:t>
      </w:r>
      <w:r w:rsidRPr="0031675F">
        <w:rPr>
          <w:spacing w:val="19"/>
        </w:rPr>
        <w:t xml:space="preserve"> </w:t>
      </w:r>
      <w:r w:rsidRPr="0031675F">
        <w:rPr>
          <w:spacing w:val="-1"/>
        </w:rPr>
        <w:t>re-imported</w:t>
      </w:r>
      <w:r w:rsidRPr="0031675F">
        <w:rPr>
          <w:spacing w:val="16"/>
        </w:rPr>
        <w:t xml:space="preserve"> </w:t>
      </w:r>
      <w:r w:rsidRPr="0031675F">
        <w:t>to</w:t>
      </w:r>
      <w:r w:rsidRPr="0031675F">
        <w:rPr>
          <w:spacing w:val="18"/>
        </w:rPr>
        <w:t xml:space="preserve"> </w:t>
      </w:r>
      <w:r w:rsidRPr="0031675F">
        <w:rPr>
          <w:spacing w:val="-1"/>
        </w:rPr>
        <w:t>the</w:t>
      </w:r>
      <w:r w:rsidRPr="0031675F">
        <w:rPr>
          <w:spacing w:val="20"/>
        </w:rPr>
        <w:t xml:space="preserve"> </w:t>
      </w:r>
      <w:r w:rsidRPr="0031675F">
        <w:rPr>
          <w:spacing w:val="-1"/>
        </w:rPr>
        <w:t>AIMS</w:t>
      </w:r>
      <w:r w:rsidRPr="0031675F">
        <w:rPr>
          <w:spacing w:val="16"/>
        </w:rPr>
        <w:t xml:space="preserve"> </w:t>
      </w:r>
      <w:r w:rsidRPr="0031675F">
        <w:t>Data</w:t>
      </w:r>
      <w:r w:rsidRPr="0031675F">
        <w:rPr>
          <w:spacing w:val="53"/>
        </w:rPr>
        <w:t xml:space="preserve"> </w:t>
      </w:r>
      <w:r w:rsidRPr="0031675F">
        <w:rPr>
          <w:rFonts w:cs="Calibri"/>
        </w:rPr>
        <w:t>Centre</w:t>
      </w:r>
      <w:r w:rsidRPr="0031675F">
        <w:rPr>
          <w:rFonts w:cs="Calibri"/>
          <w:spacing w:val="-2"/>
        </w:rPr>
        <w:t xml:space="preserve"> </w:t>
      </w:r>
      <w:r w:rsidRPr="0031675F">
        <w:rPr>
          <w:rFonts w:cs="Calibri"/>
          <w:spacing w:val="-1"/>
        </w:rPr>
        <w:t>ELDMS</w:t>
      </w:r>
      <w:r w:rsidRPr="0031675F">
        <w:rPr>
          <w:rFonts w:cs="Calibri"/>
        </w:rPr>
        <w:t xml:space="preserve"> </w:t>
      </w:r>
      <w:r w:rsidRPr="0031675F">
        <w:rPr>
          <w:rFonts w:cs="Calibri"/>
          <w:spacing w:val="-2"/>
        </w:rPr>
        <w:t>and final individual point edits may occur in Oracle via the ELDMS</w:t>
      </w:r>
      <w:r w:rsidRPr="0031675F">
        <w:rPr>
          <w:rFonts w:cs="Calibri"/>
          <w:spacing w:val="-1"/>
        </w:rPr>
        <w:t>.</w:t>
      </w:r>
    </w:p>
    <w:p w14:paraId="6F2A121A" w14:textId="77777777" w:rsidR="0031675F" w:rsidRPr="0031675F" w:rsidRDefault="0031675F" w:rsidP="0031675F">
      <w:pPr>
        <w:spacing w:before="120" w:after="120"/>
        <w:ind w:left="218"/>
      </w:pPr>
      <w:r w:rsidRPr="0031675F">
        <w:rPr>
          <w:spacing w:val="-1"/>
        </w:rPr>
        <w:t xml:space="preserve">Files </w:t>
      </w:r>
      <w:r w:rsidRPr="0031675F">
        <w:t>are</w:t>
      </w:r>
      <w:r w:rsidRPr="0031675F">
        <w:rPr>
          <w:spacing w:val="-1"/>
        </w:rPr>
        <w:t xml:space="preserve"> stored </w:t>
      </w:r>
      <w:r w:rsidRPr="0031675F">
        <w:t>as</w:t>
      </w:r>
      <w:r w:rsidRPr="0031675F">
        <w:rPr>
          <w:spacing w:val="-3"/>
        </w:rPr>
        <w:t xml:space="preserve"> </w:t>
      </w:r>
      <w:r w:rsidRPr="0031675F">
        <w:rPr>
          <w:spacing w:val="-1"/>
        </w:rPr>
        <w:t>follows:</w:t>
      </w:r>
    </w:p>
    <w:p w14:paraId="3C0562D6" w14:textId="77777777" w:rsidR="0031675F" w:rsidRPr="0031675F" w:rsidRDefault="0031675F" w:rsidP="0031675F">
      <w:pPr>
        <w:rPr>
          <w:rFonts w:cs="Calibri"/>
          <w:sz w:val="10"/>
          <w:szCs w:val="10"/>
        </w:rPr>
      </w:pPr>
    </w:p>
    <w:tbl>
      <w:tblPr>
        <w:tblW w:w="0" w:type="auto"/>
        <w:tblInd w:w="107" w:type="dxa"/>
        <w:tblLayout w:type="fixed"/>
        <w:tblCellMar>
          <w:left w:w="0" w:type="dxa"/>
          <w:right w:w="0" w:type="dxa"/>
        </w:tblCellMar>
        <w:tblLook w:val="01E0" w:firstRow="1" w:lastRow="1" w:firstColumn="1" w:lastColumn="1" w:noHBand="0" w:noVBand="0"/>
      </w:tblPr>
      <w:tblGrid>
        <w:gridCol w:w="2497"/>
        <w:gridCol w:w="5264"/>
      </w:tblGrid>
      <w:tr w:rsidR="0031675F" w:rsidRPr="0031675F" w14:paraId="5B5A872B" w14:textId="77777777" w:rsidTr="00B00729">
        <w:trPr>
          <w:trHeight w:hRule="exact" w:val="475"/>
        </w:trPr>
        <w:tc>
          <w:tcPr>
            <w:tcW w:w="2497" w:type="dxa"/>
            <w:tcBorders>
              <w:top w:val="single" w:sz="3" w:space="0" w:color="000000"/>
              <w:left w:val="single" w:sz="3" w:space="0" w:color="000000"/>
              <w:bottom w:val="single" w:sz="3" w:space="0" w:color="000000"/>
              <w:right w:val="single" w:sz="3" w:space="0" w:color="000000"/>
            </w:tcBorders>
          </w:tcPr>
          <w:p w14:paraId="35AD7B18" w14:textId="77777777" w:rsidR="0031675F" w:rsidRPr="0031675F" w:rsidRDefault="0031675F" w:rsidP="0031675F">
            <w:pPr>
              <w:widowControl w:val="0"/>
              <w:spacing w:before="114" w:after="0" w:line="240" w:lineRule="auto"/>
              <w:ind w:left="783"/>
              <w:rPr>
                <w:rFonts w:ascii="Arial Narrow" w:eastAsia="Arial Narrow" w:hAnsi="Arial Narrow" w:cs="Arial Narrow"/>
                <w:sz w:val="20"/>
                <w:szCs w:val="20"/>
                <w:lang w:val="en-US"/>
              </w:rPr>
            </w:pPr>
            <w:r w:rsidRPr="0031675F">
              <w:rPr>
                <w:rFonts w:ascii="Arial Narrow" w:eastAsia="Calibri" w:hAnsi="Calibri"/>
                <w:sz w:val="20"/>
                <w:lang w:val="en-US"/>
              </w:rPr>
              <w:t>Folder</w:t>
            </w:r>
            <w:r w:rsidRPr="0031675F">
              <w:rPr>
                <w:rFonts w:ascii="Arial Narrow" w:eastAsia="Calibri" w:hAnsi="Calibri"/>
                <w:spacing w:val="-9"/>
                <w:sz w:val="20"/>
                <w:lang w:val="en-US"/>
              </w:rPr>
              <w:t xml:space="preserve"> </w:t>
            </w:r>
            <w:r w:rsidRPr="0031675F">
              <w:rPr>
                <w:rFonts w:ascii="Arial Narrow" w:eastAsia="Calibri" w:hAnsi="Calibri"/>
                <w:sz w:val="20"/>
                <w:lang w:val="en-US"/>
              </w:rPr>
              <w:t>name</w:t>
            </w:r>
          </w:p>
        </w:tc>
        <w:tc>
          <w:tcPr>
            <w:tcW w:w="5264" w:type="dxa"/>
            <w:tcBorders>
              <w:top w:val="single" w:sz="3" w:space="0" w:color="000000"/>
              <w:left w:val="single" w:sz="3" w:space="0" w:color="000000"/>
              <w:bottom w:val="single" w:sz="3" w:space="0" w:color="000000"/>
              <w:right w:val="single" w:sz="3" w:space="0" w:color="000000"/>
            </w:tcBorders>
          </w:tcPr>
          <w:p w14:paraId="5B5808E8" w14:textId="77777777" w:rsidR="0031675F" w:rsidRPr="0031675F" w:rsidRDefault="0031675F" w:rsidP="0031675F">
            <w:pPr>
              <w:widowControl w:val="0"/>
              <w:spacing w:before="114" w:after="0" w:line="240" w:lineRule="auto"/>
              <w:ind w:right="6"/>
              <w:jc w:val="center"/>
              <w:rPr>
                <w:rFonts w:ascii="Arial Narrow" w:eastAsia="Arial Narrow" w:hAnsi="Arial Narrow" w:cs="Arial Narrow"/>
                <w:sz w:val="20"/>
                <w:szCs w:val="20"/>
                <w:lang w:val="en-US"/>
              </w:rPr>
            </w:pPr>
            <w:r w:rsidRPr="0031675F">
              <w:rPr>
                <w:rFonts w:ascii="Arial Narrow" w:eastAsia="Calibri" w:hAnsi="Calibri"/>
                <w:spacing w:val="-1"/>
                <w:sz w:val="20"/>
                <w:lang w:val="en-US"/>
              </w:rPr>
              <w:t>Example</w:t>
            </w:r>
            <w:r w:rsidRPr="0031675F">
              <w:rPr>
                <w:rFonts w:ascii="Arial Narrow" w:eastAsia="Calibri" w:hAnsi="Calibri"/>
                <w:spacing w:val="-7"/>
                <w:sz w:val="20"/>
                <w:lang w:val="en-US"/>
              </w:rPr>
              <w:t xml:space="preserve"> </w:t>
            </w:r>
            <w:r w:rsidRPr="0031675F">
              <w:rPr>
                <w:rFonts w:ascii="Arial Narrow" w:eastAsia="Calibri" w:hAnsi="Calibri"/>
                <w:sz w:val="20"/>
                <w:lang w:val="en-US"/>
              </w:rPr>
              <w:t>file</w:t>
            </w:r>
            <w:r w:rsidRPr="0031675F">
              <w:rPr>
                <w:rFonts w:ascii="Arial Narrow" w:eastAsia="Calibri" w:hAnsi="Calibri"/>
                <w:spacing w:val="-7"/>
                <w:sz w:val="20"/>
                <w:lang w:val="en-US"/>
              </w:rPr>
              <w:t xml:space="preserve"> </w:t>
            </w:r>
            <w:r w:rsidRPr="0031675F">
              <w:rPr>
                <w:rFonts w:ascii="Arial Narrow" w:eastAsia="Calibri" w:hAnsi="Calibri"/>
                <w:sz w:val="20"/>
                <w:lang w:val="en-US"/>
              </w:rPr>
              <w:t>name</w:t>
            </w:r>
          </w:p>
        </w:tc>
      </w:tr>
      <w:tr w:rsidR="0031675F" w:rsidRPr="0031675F" w14:paraId="0573750C" w14:textId="77777777" w:rsidTr="00B00729">
        <w:trPr>
          <w:trHeight w:hRule="exact" w:val="473"/>
        </w:trPr>
        <w:tc>
          <w:tcPr>
            <w:tcW w:w="2497" w:type="dxa"/>
            <w:tcBorders>
              <w:top w:val="single" w:sz="3" w:space="0" w:color="000000"/>
              <w:left w:val="single" w:sz="3" w:space="0" w:color="000000"/>
              <w:bottom w:val="single" w:sz="3" w:space="0" w:color="000000"/>
              <w:right w:val="single" w:sz="3" w:space="0" w:color="000000"/>
            </w:tcBorders>
          </w:tcPr>
          <w:p w14:paraId="3B006320" w14:textId="77777777" w:rsidR="0031675F" w:rsidRPr="0031675F" w:rsidRDefault="0031675F" w:rsidP="0031675F">
            <w:pPr>
              <w:widowControl w:val="0"/>
              <w:spacing w:before="114" w:after="0" w:line="240" w:lineRule="auto"/>
              <w:ind w:left="104"/>
              <w:rPr>
                <w:rFonts w:ascii="Arial Narrow" w:eastAsia="Arial Narrow" w:hAnsi="Arial Narrow" w:cs="Arial Narrow"/>
                <w:sz w:val="20"/>
                <w:szCs w:val="20"/>
                <w:lang w:val="en-US"/>
              </w:rPr>
            </w:pPr>
            <w:r w:rsidRPr="0031675F">
              <w:rPr>
                <w:rFonts w:ascii="Arial Narrow" w:eastAsia="Calibri" w:hAnsi="Calibri"/>
                <w:sz w:val="20"/>
                <w:lang w:val="en-US"/>
              </w:rPr>
              <w:t>1QA_export_xml</w:t>
            </w:r>
          </w:p>
        </w:tc>
        <w:tc>
          <w:tcPr>
            <w:tcW w:w="5264" w:type="dxa"/>
            <w:tcBorders>
              <w:top w:val="single" w:sz="3" w:space="0" w:color="000000"/>
              <w:left w:val="single" w:sz="3" w:space="0" w:color="000000"/>
              <w:bottom w:val="single" w:sz="3" w:space="0" w:color="000000"/>
              <w:right w:val="single" w:sz="3" w:space="0" w:color="000000"/>
            </w:tcBorders>
          </w:tcPr>
          <w:p w14:paraId="18E788B0" w14:textId="77777777" w:rsidR="0031675F" w:rsidRPr="0031675F" w:rsidRDefault="0031675F" w:rsidP="0031675F">
            <w:pPr>
              <w:widowControl w:val="0"/>
              <w:spacing w:before="114" w:after="0" w:line="240" w:lineRule="auto"/>
              <w:ind w:left="104"/>
              <w:rPr>
                <w:rFonts w:ascii="Arial Narrow" w:eastAsia="Arial Narrow" w:hAnsi="Arial Narrow" w:cs="Arial Narrow"/>
                <w:sz w:val="20"/>
                <w:szCs w:val="20"/>
                <w:lang w:val="en-US"/>
              </w:rPr>
            </w:pPr>
            <w:r w:rsidRPr="0031675F">
              <w:rPr>
                <w:rFonts w:ascii="Arial Narrow" w:eastAsia="Calibri" w:hAnsi="Calibri"/>
                <w:spacing w:val="-1"/>
                <w:sz w:val="20"/>
                <w:lang w:val="en-US"/>
              </w:rPr>
              <w:t>QA_Export_Barren_2008_07_29-11_40_1091.xml</w:t>
            </w:r>
          </w:p>
        </w:tc>
      </w:tr>
      <w:tr w:rsidR="0031675F" w:rsidRPr="0031675F" w14:paraId="41E0D36F" w14:textId="77777777" w:rsidTr="00B00729">
        <w:trPr>
          <w:trHeight w:hRule="exact" w:val="355"/>
        </w:trPr>
        <w:tc>
          <w:tcPr>
            <w:tcW w:w="2497" w:type="dxa"/>
            <w:tcBorders>
              <w:top w:val="single" w:sz="3" w:space="0" w:color="000000"/>
              <w:left w:val="single" w:sz="3" w:space="0" w:color="000000"/>
              <w:bottom w:val="single" w:sz="3" w:space="0" w:color="000000"/>
              <w:right w:val="single" w:sz="3" w:space="0" w:color="000000"/>
            </w:tcBorders>
          </w:tcPr>
          <w:p w14:paraId="395E0E2C" w14:textId="77777777" w:rsidR="0031675F" w:rsidRPr="0031675F" w:rsidRDefault="0031675F" w:rsidP="0031675F">
            <w:pPr>
              <w:widowControl w:val="0"/>
              <w:spacing w:before="0" w:after="0" w:line="223" w:lineRule="exact"/>
              <w:ind w:left="104"/>
              <w:rPr>
                <w:rFonts w:ascii="Arial Narrow" w:eastAsia="Arial Narrow" w:hAnsi="Arial Narrow" w:cs="Arial Narrow"/>
                <w:sz w:val="20"/>
                <w:szCs w:val="20"/>
                <w:lang w:val="en-US"/>
              </w:rPr>
            </w:pPr>
            <w:r w:rsidRPr="0031675F">
              <w:rPr>
                <w:rFonts w:ascii="Arial Narrow" w:eastAsia="Calibri" w:hAnsi="Calibri"/>
                <w:spacing w:val="-1"/>
                <w:sz w:val="20"/>
                <w:lang w:val="en-US"/>
              </w:rPr>
              <w:t>2QA_edit1_xml</w:t>
            </w:r>
          </w:p>
        </w:tc>
        <w:tc>
          <w:tcPr>
            <w:tcW w:w="5264" w:type="dxa"/>
            <w:tcBorders>
              <w:top w:val="single" w:sz="3" w:space="0" w:color="000000"/>
              <w:left w:val="single" w:sz="3" w:space="0" w:color="000000"/>
              <w:bottom w:val="single" w:sz="3" w:space="0" w:color="000000"/>
              <w:right w:val="single" w:sz="3" w:space="0" w:color="000000"/>
            </w:tcBorders>
          </w:tcPr>
          <w:p w14:paraId="68528C64" w14:textId="77777777" w:rsidR="0031675F" w:rsidRPr="0031675F" w:rsidRDefault="0031675F" w:rsidP="0031675F">
            <w:pPr>
              <w:widowControl w:val="0"/>
              <w:spacing w:before="0" w:after="0" w:line="223" w:lineRule="exact"/>
              <w:ind w:left="104"/>
              <w:rPr>
                <w:rFonts w:ascii="Arial Narrow" w:eastAsia="Arial Narrow" w:hAnsi="Arial Narrow" w:cs="Arial Narrow"/>
                <w:sz w:val="20"/>
                <w:szCs w:val="20"/>
                <w:lang w:val="en-US"/>
              </w:rPr>
            </w:pPr>
            <w:r w:rsidRPr="0031675F">
              <w:rPr>
                <w:rFonts w:ascii="Arial Narrow" w:eastAsia="Calibri" w:hAnsi="Calibri"/>
                <w:spacing w:val="-1"/>
                <w:sz w:val="20"/>
                <w:lang w:val="en-US"/>
              </w:rPr>
              <w:t>QA_Edit1_Barren_2008_07_29-11_40_1091.xml</w:t>
            </w:r>
          </w:p>
        </w:tc>
      </w:tr>
    </w:tbl>
    <w:p w14:paraId="691C33DF" w14:textId="77777777" w:rsidR="0031675F" w:rsidRPr="0031675F" w:rsidRDefault="0031675F" w:rsidP="0031675F">
      <w:pPr>
        <w:spacing w:before="11"/>
        <w:rPr>
          <w:rFonts w:cs="Calibri"/>
          <w:sz w:val="26"/>
          <w:szCs w:val="26"/>
        </w:rPr>
      </w:pPr>
    </w:p>
    <w:p w14:paraId="79FED716" w14:textId="349198EC" w:rsidR="0031675F" w:rsidRPr="0031675F" w:rsidRDefault="0031675F" w:rsidP="0031675F">
      <w:pPr>
        <w:spacing w:before="56" w:after="120"/>
        <w:ind w:left="218" w:right="116"/>
        <w:rPr>
          <w:spacing w:val="-1"/>
        </w:rPr>
      </w:pPr>
      <w:r w:rsidRPr="0031675F">
        <w:rPr>
          <w:spacing w:val="-1"/>
        </w:rPr>
        <w:t>For</w:t>
      </w:r>
      <w:r w:rsidRPr="0031675F">
        <w:rPr>
          <w:spacing w:val="9"/>
        </w:rPr>
        <w:t xml:space="preserve"> </w:t>
      </w:r>
      <w:r w:rsidRPr="0031675F">
        <w:rPr>
          <w:spacing w:val="-1"/>
        </w:rPr>
        <w:t>further</w:t>
      </w:r>
      <w:r w:rsidRPr="0031675F">
        <w:rPr>
          <w:spacing w:val="7"/>
        </w:rPr>
        <w:t xml:space="preserve"> </w:t>
      </w:r>
      <w:r w:rsidRPr="0031675F">
        <w:rPr>
          <w:spacing w:val="-1"/>
        </w:rPr>
        <w:t>details</w:t>
      </w:r>
      <w:r w:rsidRPr="0031675F">
        <w:rPr>
          <w:spacing w:val="7"/>
        </w:rPr>
        <w:t xml:space="preserve"> </w:t>
      </w:r>
      <w:r w:rsidRPr="0031675F">
        <w:rPr>
          <w:spacing w:val="-1"/>
        </w:rPr>
        <w:t>about</w:t>
      </w:r>
      <w:r w:rsidRPr="0031675F">
        <w:rPr>
          <w:spacing w:val="10"/>
        </w:rPr>
        <w:t xml:space="preserve"> </w:t>
      </w:r>
      <w:r w:rsidRPr="0031675F">
        <w:rPr>
          <w:spacing w:val="-1"/>
        </w:rPr>
        <w:t>data</w:t>
      </w:r>
      <w:r w:rsidRPr="0031675F">
        <w:rPr>
          <w:spacing w:val="7"/>
        </w:rPr>
        <w:t xml:space="preserve"> </w:t>
      </w:r>
      <w:r w:rsidRPr="0031675F">
        <w:rPr>
          <w:spacing w:val="-1"/>
        </w:rPr>
        <w:t>management</w:t>
      </w:r>
      <w:r w:rsidRPr="0031675F">
        <w:rPr>
          <w:spacing w:val="7"/>
        </w:rPr>
        <w:t xml:space="preserve"> </w:t>
      </w:r>
      <w:r w:rsidRPr="0031675F">
        <w:rPr>
          <w:spacing w:val="-1"/>
        </w:rPr>
        <w:t>procedures</w:t>
      </w:r>
      <w:r w:rsidRPr="0031675F">
        <w:rPr>
          <w:spacing w:val="10"/>
        </w:rPr>
        <w:t xml:space="preserve"> </w:t>
      </w:r>
      <w:r w:rsidRPr="0031675F">
        <w:rPr>
          <w:spacing w:val="-1"/>
        </w:rPr>
        <w:t>developed</w:t>
      </w:r>
      <w:r w:rsidRPr="0031675F">
        <w:rPr>
          <w:spacing w:val="9"/>
        </w:rPr>
        <w:t xml:space="preserve"> </w:t>
      </w:r>
      <w:r w:rsidRPr="0031675F">
        <w:rPr>
          <w:spacing w:val="-2"/>
        </w:rPr>
        <w:t>at</w:t>
      </w:r>
      <w:r w:rsidRPr="0031675F">
        <w:rPr>
          <w:spacing w:val="10"/>
        </w:rPr>
        <w:t xml:space="preserve"> </w:t>
      </w:r>
      <w:r w:rsidRPr="0031675F">
        <w:rPr>
          <w:spacing w:val="-1"/>
        </w:rPr>
        <w:t>AIMS</w:t>
      </w:r>
      <w:r w:rsidRPr="0031675F">
        <w:rPr>
          <w:spacing w:val="7"/>
        </w:rPr>
        <w:t xml:space="preserve"> </w:t>
      </w:r>
      <w:r w:rsidRPr="0031675F">
        <w:rPr>
          <w:spacing w:val="-1"/>
        </w:rPr>
        <w:t>under</w:t>
      </w:r>
      <w:r w:rsidRPr="0031675F">
        <w:rPr>
          <w:spacing w:val="10"/>
        </w:rPr>
        <w:t xml:space="preserve"> </w:t>
      </w:r>
      <w:r w:rsidRPr="0031675F">
        <w:rPr>
          <w:spacing w:val="-1"/>
        </w:rPr>
        <w:t>Reef</w:t>
      </w:r>
      <w:r w:rsidRPr="0031675F">
        <w:rPr>
          <w:spacing w:val="10"/>
        </w:rPr>
        <w:t xml:space="preserve"> </w:t>
      </w:r>
      <w:r w:rsidRPr="0031675F">
        <w:rPr>
          <w:spacing w:val="-1"/>
        </w:rPr>
        <w:t>Rescue</w:t>
      </w:r>
      <w:r w:rsidRPr="0031675F">
        <w:rPr>
          <w:spacing w:val="8"/>
        </w:rPr>
        <w:t xml:space="preserve"> </w:t>
      </w:r>
      <w:r w:rsidRPr="0031675F">
        <w:rPr>
          <w:spacing w:val="-2"/>
        </w:rPr>
        <w:t>MMP</w:t>
      </w:r>
      <w:r w:rsidR="00CD588E">
        <w:rPr>
          <w:spacing w:val="-2"/>
        </w:rPr>
        <w:t xml:space="preserve"> </w:t>
      </w:r>
      <w:r w:rsidRPr="0031675F">
        <w:rPr>
          <w:spacing w:val="-1"/>
        </w:rPr>
        <w:t>see</w:t>
      </w:r>
      <w:r w:rsidRPr="0031675F">
        <w:rPr>
          <w:spacing w:val="1"/>
        </w:rPr>
        <w:t xml:space="preserve"> </w:t>
      </w:r>
      <w:r w:rsidRPr="0031675F">
        <w:rPr>
          <w:spacing w:val="-1"/>
        </w:rPr>
        <w:t>Section A12.</w:t>
      </w:r>
    </w:p>
    <w:p w14:paraId="324A98A3" w14:textId="77777777" w:rsidR="0031675F" w:rsidRPr="0031675F" w:rsidRDefault="0031675F" w:rsidP="0031675F">
      <w:pPr>
        <w:rPr>
          <w:rFonts w:cs="Calibri"/>
          <w:sz w:val="20"/>
          <w:szCs w:val="20"/>
        </w:rPr>
      </w:pPr>
    </w:p>
    <w:p w14:paraId="72CE8545" w14:textId="77777777" w:rsidR="0031675F" w:rsidRPr="0031675F" w:rsidRDefault="0031675F" w:rsidP="0031675F">
      <w:pPr>
        <w:keepNext/>
        <w:widowControl w:val="0"/>
        <w:numPr>
          <w:ilvl w:val="1"/>
          <w:numId w:val="67"/>
        </w:numPr>
        <w:tabs>
          <w:tab w:val="left" w:pos="839"/>
        </w:tabs>
        <w:spacing w:before="206" w:after="0" w:line="240" w:lineRule="auto"/>
        <w:rPr>
          <w:rFonts w:eastAsia="Arial" w:cs="Arial"/>
          <w:sz w:val="24"/>
          <w:szCs w:val="24"/>
        </w:rPr>
      </w:pPr>
      <w:r w:rsidRPr="0031675F">
        <w:rPr>
          <w:b/>
          <w:spacing w:val="-1"/>
          <w:sz w:val="24"/>
        </w:rPr>
        <w:t>References</w:t>
      </w:r>
    </w:p>
    <w:p w14:paraId="4009F9DE" w14:textId="77777777" w:rsidR="0031675F" w:rsidRPr="0031675F" w:rsidRDefault="0031675F" w:rsidP="0031675F">
      <w:pPr>
        <w:keepNext/>
        <w:spacing w:after="120"/>
        <w:ind w:left="406" w:right="119" w:hanging="288"/>
        <w:jc w:val="both"/>
      </w:pPr>
      <w:r w:rsidRPr="0031675F">
        <w:rPr>
          <w:rFonts w:cs="Calibri"/>
          <w:spacing w:val="-1"/>
        </w:rPr>
        <w:t>WET Labs</w:t>
      </w:r>
      <w:r w:rsidRPr="0031675F">
        <w:rPr>
          <w:rFonts w:cs="Calibri"/>
          <w:spacing w:val="33"/>
        </w:rPr>
        <w:t xml:space="preserve"> </w:t>
      </w:r>
      <w:r w:rsidRPr="0031675F">
        <w:rPr>
          <w:rFonts w:cs="Calibri"/>
          <w:spacing w:val="-1"/>
        </w:rPr>
        <w:t>Combination</w:t>
      </w:r>
      <w:r w:rsidRPr="0031675F">
        <w:rPr>
          <w:rFonts w:cs="Calibri"/>
          <w:spacing w:val="33"/>
        </w:rPr>
        <w:t xml:space="preserve"> </w:t>
      </w:r>
      <w:r w:rsidRPr="0031675F">
        <w:rPr>
          <w:rFonts w:cs="Calibri"/>
          <w:spacing w:val="-1"/>
        </w:rPr>
        <w:t>Fluorometer</w:t>
      </w:r>
      <w:r w:rsidRPr="0031675F">
        <w:rPr>
          <w:rFonts w:cs="Calibri"/>
          <w:spacing w:val="34"/>
        </w:rPr>
        <w:t xml:space="preserve"> </w:t>
      </w:r>
      <w:r w:rsidRPr="0031675F">
        <w:rPr>
          <w:rFonts w:cs="Calibri"/>
          <w:spacing w:val="-1"/>
        </w:rPr>
        <w:t>and</w:t>
      </w:r>
      <w:r w:rsidRPr="0031675F">
        <w:rPr>
          <w:rFonts w:cs="Calibri"/>
          <w:spacing w:val="32"/>
        </w:rPr>
        <w:t xml:space="preserve"> </w:t>
      </w:r>
      <w:r w:rsidRPr="0031675F">
        <w:rPr>
          <w:rFonts w:cs="Calibri"/>
          <w:spacing w:val="-1"/>
        </w:rPr>
        <w:t>Turbidity</w:t>
      </w:r>
      <w:r w:rsidRPr="0031675F">
        <w:rPr>
          <w:rFonts w:cs="Calibri"/>
          <w:spacing w:val="34"/>
        </w:rPr>
        <w:t xml:space="preserve"> </w:t>
      </w:r>
      <w:r w:rsidRPr="0031675F">
        <w:rPr>
          <w:rFonts w:cs="Calibri"/>
          <w:spacing w:val="-1"/>
        </w:rPr>
        <w:t>Sensor</w:t>
      </w:r>
      <w:r w:rsidRPr="0031675F">
        <w:rPr>
          <w:rFonts w:cs="Calibri"/>
          <w:spacing w:val="34"/>
        </w:rPr>
        <w:t xml:space="preserve"> </w:t>
      </w:r>
      <w:r w:rsidRPr="0031675F">
        <w:rPr>
          <w:rFonts w:cs="Calibri"/>
        </w:rPr>
        <w:t>ECO</w:t>
      </w:r>
      <w:r w:rsidRPr="0031675F">
        <w:rPr>
          <w:rFonts w:cs="Calibri"/>
          <w:spacing w:val="34"/>
        </w:rPr>
        <w:t xml:space="preserve"> </w:t>
      </w:r>
      <w:r w:rsidRPr="0031675F">
        <w:rPr>
          <w:rFonts w:cs="Calibri"/>
          <w:spacing w:val="-1"/>
        </w:rPr>
        <w:t>FLNTU</w:t>
      </w:r>
      <w:r w:rsidRPr="0031675F">
        <w:rPr>
          <w:rFonts w:cs="Calibri"/>
          <w:spacing w:val="33"/>
        </w:rPr>
        <w:t xml:space="preserve"> </w:t>
      </w:r>
      <w:r w:rsidRPr="0031675F">
        <w:rPr>
          <w:rFonts w:cs="Calibri"/>
          <w:spacing w:val="-1"/>
        </w:rPr>
        <w:t>User’s</w:t>
      </w:r>
      <w:r w:rsidRPr="0031675F">
        <w:rPr>
          <w:rFonts w:cs="Calibri"/>
          <w:spacing w:val="34"/>
        </w:rPr>
        <w:t xml:space="preserve"> </w:t>
      </w:r>
      <w:r w:rsidRPr="0031675F">
        <w:rPr>
          <w:rFonts w:cs="Calibri"/>
          <w:spacing w:val="-1"/>
        </w:rPr>
        <w:t>Guide.</w:t>
      </w:r>
      <w:r w:rsidRPr="0031675F">
        <w:rPr>
          <w:rFonts w:cs="Calibri"/>
          <w:spacing w:val="34"/>
        </w:rPr>
        <w:t xml:space="preserve"> </w:t>
      </w:r>
      <w:r w:rsidRPr="0031675F">
        <w:rPr>
          <w:rFonts w:cs="Calibri"/>
          <w:spacing w:val="-1"/>
        </w:rPr>
        <w:t>Revision</w:t>
      </w:r>
      <w:r w:rsidRPr="0031675F">
        <w:rPr>
          <w:rFonts w:cs="Calibri"/>
          <w:spacing w:val="32"/>
        </w:rPr>
        <w:t xml:space="preserve"> </w:t>
      </w:r>
      <w:r w:rsidRPr="0031675F">
        <w:rPr>
          <w:rFonts w:cs="Calibri"/>
        </w:rPr>
        <w:t>Y,</w:t>
      </w:r>
      <w:r w:rsidRPr="0031675F">
        <w:rPr>
          <w:rFonts w:cs="Calibri"/>
          <w:spacing w:val="34"/>
        </w:rPr>
        <w:t xml:space="preserve"> </w:t>
      </w:r>
      <w:r w:rsidRPr="0031675F">
        <w:rPr>
          <w:rFonts w:cs="Calibri"/>
          <w:spacing w:val="-1"/>
        </w:rPr>
        <w:t>12</w:t>
      </w:r>
      <w:r w:rsidRPr="0031675F">
        <w:rPr>
          <w:rFonts w:cs="Calibri"/>
          <w:spacing w:val="71"/>
        </w:rPr>
        <w:t xml:space="preserve"> </w:t>
      </w:r>
      <w:r w:rsidRPr="0031675F">
        <w:rPr>
          <w:spacing w:val="-1"/>
        </w:rPr>
        <w:t>November</w:t>
      </w:r>
      <w:r w:rsidRPr="0031675F">
        <w:rPr>
          <w:spacing w:val="-2"/>
        </w:rPr>
        <w:t xml:space="preserve"> </w:t>
      </w:r>
      <w:r w:rsidRPr="0031675F">
        <w:rPr>
          <w:spacing w:val="-1"/>
        </w:rPr>
        <w:t>2008.</w:t>
      </w:r>
      <w:r w:rsidRPr="0031675F">
        <w:t xml:space="preserve"> </w:t>
      </w:r>
      <w:r w:rsidRPr="0031675F">
        <w:rPr>
          <w:spacing w:val="-1"/>
        </w:rPr>
        <w:t>WET</w:t>
      </w:r>
      <w:r w:rsidRPr="0031675F">
        <w:rPr>
          <w:spacing w:val="-2"/>
        </w:rPr>
        <w:t xml:space="preserve"> </w:t>
      </w:r>
      <w:r w:rsidRPr="0031675F">
        <w:rPr>
          <w:spacing w:val="-1"/>
        </w:rPr>
        <w:t>Labs</w:t>
      </w:r>
      <w:r w:rsidRPr="0031675F">
        <w:rPr>
          <w:spacing w:val="-2"/>
        </w:rPr>
        <w:t xml:space="preserve"> </w:t>
      </w:r>
      <w:r w:rsidRPr="0031675F">
        <w:rPr>
          <w:spacing w:val="-1"/>
        </w:rPr>
        <w:t>Inc.,</w:t>
      </w:r>
      <w:r w:rsidRPr="0031675F">
        <w:t xml:space="preserve"> </w:t>
      </w:r>
      <w:r w:rsidRPr="0031675F">
        <w:rPr>
          <w:spacing w:val="-1"/>
        </w:rPr>
        <w:t>Philomath,</w:t>
      </w:r>
      <w:r w:rsidRPr="0031675F">
        <w:rPr>
          <w:spacing w:val="-3"/>
        </w:rPr>
        <w:t xml:space="preserve"> </w:t>
      </w:r>
      <w:r w:rsidRPr="0031675F">
        <w:t>OR,</w:t>
      </w:r>
      <w:r w:rsidRPr="0031675F">
        <w:rPr>
          <w:spacing w:val="-2"/>
        </w:rPr>
        <w:t xml:space="preserve"> </w:t>
      </w:r>
      <w:r w:rsidRPr="0031675F">
        <w:t>USA</w:t>
      </w:r>
      <w:r w:rsidRPr="0031675F">
        <w:rPr>
          <w:spacing w:val="2"/>
        </w:rPr>
        <w:t xml:space="preserve"> </w:t>
      </w:r>
      <w:hyperlink r:id="rId180">
        <w:r w:rsidRPr="0031675F">
          <w:rPr>
            <w:color w:val="0000FF"/>
            <w:spacing w:val="-1"/>
            <w:u w:val="single" w:color="0000FF"/>
          </w:rPr>
          <w:t>www.wetlabs.com</w:t>
        </w:r>
      </w:hyperlink>
    </w:p>
    <w:p w14:paraId="59C387A6" w14:textId="77777777" w:rsidR="0031675F" w:rsidRPr="0031675F" w:rsidRDefault="0031675F" w:rsidP="0031675F">
      <w:pPr>
        <w:spacing w:before="120" w:after="120"/>
        <w:ind w:left="406" w:right="112" w:hanging="288"/>
        <w:jc w:val="both"/>
      </w:pPr>
      <w:r w:rsidRPr="0031675F">
        <w:rPr>
          <w:rFonts w:cs="Calibri"/>
          <w:spacing w:val="-1"/>
        </w:rPr>
        <w:t>WET Labs</w:t>
      </w:r>
      <w:r w:rsidRPr="0031675F">
        <w:rPr>
          <w:rFonts w:cs="Calibri"/>
          <w:spacing w:val="2"/>
        </w:rPr>
        <w:t xml:space="preserve"> </w:t>
      </w:r>
      <w:r w:rsidRPr="0031675F">
        <w:rPr>
          <w:rFonts w:cs="Calibri"/>
        </w:rPr>
        <w:t>ECO</w:t>
      </w:r>
      <w:r w:rsidRPr="0031675F">
        <w:rPr>
          <w:rFonts w:cs="Calibri"/>
          <w:spacing w:val="3"/>
        </w:rPr>
        <w:t xml:space="preserve"> </w:t>
      </w:r>
      <w:r w:rsidRPr="0031675F">
        <w:rPr>
          <w:rFonts w:cs="Calibri"/>
          <w:spacing w:val="-1"/>
        </w:rPr>
        <w:t>View</w:t>
      </w:r>
      <w:r w:rsidRPr="0031675F">
        <w:rPr>
          <w:rFonts w:cs="Calibri"/>
          <w:spacing w:val="3"/>
        </w:rPr>
        <w:t xml:space="preserve"> </w:t>
      </w:r>
      <w:r w:rsidRPr="0031675F">
        <w:rPr>
          <w:rFonts w:cs="Calibri"/>
          <w:spacing w:val="-1"/>
        </w:rPr>
        <w:t>Host</w:t>
      </w:r>
      <w:r w:rsidRPr="0031675F">
        <w:rPr>
          <w:rFonts w:cs="Calibri"/>
          <w:spacing w:val="3"/>
        </w:rPr>
        <w:t xml:space="preserve"> </w:t>
      </w:r>
      <w:r w:rsidRPr="0031675F">
        <w:rPr>
          <w:rFonts w:cs="Calibri"/>
          <w:spacing w:val="-1"/>
        </w:rPr>
        <w:t>Software</w:t>
      </w:r>
      <w:r w:rsidRPr="0031675F">
        <w:rPr>
          <w:rFonts w:cs="Calibri"/>
          <w:spacing w:val="2"/>
        </w:rPr>
        <w:t xml:space="preserve"> </w:t>
      </w:r>
      <w:r w:rsidRPr="0031675F">
        <w:rPr>
          <w:rFonts w:cs="Calibri"/>
          <w:spacing w:val="-1"/>
        </w:rPr>
        <w:t>for</w:t>
      </w:r>
      <w:r w:rsidRPr="0031675F">
        <w:rPr>
          <w:rFonts w:cs="Calibri"/>
          <w:spacing w:val="2"/>
        </w:rPr>
        <w:t xml:space="preserve"> </w:t>
      </w:r>
      <w:r w:rsidRPr="0031675F">
        <w:rPr>
          <w:rFonts w:cs="Calibri"/>
        </w:rPr>
        <w:t xml:space="preserve">ECO </w:t>
      </w:r>
      <w:r w:rsidRPr="0031675F">
        <w:rPr>
          <w:rFonts w:cs="Calibri"/>
          <w:spacing w:val="-1"/>
        </w:rPr>
        <w:t>Meters</w:t>
      </w:r>
      <w:r w:rsidRPr="0031675F">
        <w:rPr>
          <w:rFonts w:cs="Calibri"/>
          <w:spacing w:val="2"/>
        </w:rPr>
        <w:t xml:space="preserve"> </w:t>
      </w:r>
      <w:r w:rsidRPr="0031675F">
        <w:rPr>
          <w:rFonts w:cs="Calibri"/>
          <w:spacing w:val="-1"/>
        </w:rPr>
        <w:t>User’s</w:t>
      </w:r>
      <w:r w:rsidRPr="0031675F">
        <w:rPr>
          <w:rFonts w:cs="Calibri"/>
          <w:spacing w:val="3"/>
        </w:rPr>
        <w:t xml:space="preserve"> </w:t>
      </w:r>
      <w:r w:rsidRPr="0031675F">
        <w:rPr>
          <w:rFonts w:cs="Calibri"/>
          <w:spacing w:val="-1"/>
        </w:rPr>
        <w:t>Guide.</w:t>
      </w:r>
      <w:r w:rsidRPr="0031675F">
        <w:rPr>
          <w:rFonts w:cs="Calibri"/>
          <w:spacing w:val="6"/>
        </w:rPr>
        <w:t xml:space="preserve"> </w:t>
      </w:r>
      <w:r w:rsidRPr="0031675F">
        <w:rPr>
          <w:spacing w:val="-1"/>
        </w:rPr>
        <w:t>Revision</w:t>
      </w:r>
      <w:r w:rsidRPr="0031675F">
        <w:rPr>
          <w:spacing w:val="2"/>
        </w:rPr>
        <w:t xml:space="preserve"> </w:t>
      </w:r>
      <w:r w:rsidRPr="0031675F">
        <w:t>I,</w:t>
      </w:r>
      <w:r w:rsidRPr="0031675F">
        <w:rPr>
          <w:spacing w:val="2"/>
        </w:rPr>
        <w:t xml:space="preserve"> </w:t>
      </w:r>
      <w:r w:rsidRPr="0031675F">
        <w:rPr>
          <w:spacing w:val="-1"/>
        </w:rPr>
        <w:t>18</w:t>
      </w:r>
      <w:r w:rsidRPr="0031675F">
        <w:rPr>
          <w:spacing w:val="3"/>
        </w:rPr>
        <w:t xml:space="preserve"> </w:t>
      </w:r>
      <w:r w:rsidRPr="0031675F">
        <w:rPr>
          <w:spacing w:val="-1"/>
        </w:rPr>
        <w:t>March</w:t>
      </w:r>
      <w:r w:rsidRPr="0031675F">
        <w:rPr>
          <w:spacing w:val="1"/>
        </w:rPr>
        <w:t xml:space="preserve"> </w:t>
      </w:r>
      <w:r w:rsidRPr="0031675F">
        <w:rPr>
          <w:spacing w:val="-1"/>
        </w:rPr>
        <w:t>2008.</w:t>
      </w:r>
      <w:r w:rsidRPr="0031675F">
        <w:t xml:space="preserve"> WET Labs</w:t>
      </w:r>
      <w:r w:rsidRPr="0031675F">
        <w:rPr>
          <w:spacing w:val="61"/>
        </w:rPr>
        <w:t xml:space="preserve"> </w:t>
      </w:r>
      <w:r w:rsidRPr="0031675F">
        <w:rPr>
          <w:spacing w:val="-1"/>
        </w:rPr>
        <w:t>Inc.,</w:t>
      </w:r>
      <w:r w:rsidRPr="0031675F">
        <w:t xml:space="preserve"> </w:t>
      </w:r>
      <w:r w:rsidRPr="0031675F">
        <w:rPr>
          <w:spacing w:val="-1"/>
        </w:rPr>
        <w:t>Philomath,</w:t>
      </w:r>
      <w:r w:rsidRPr="0031675F">
        <w:rPr>
          <w:spacing w:val="-3"/>
        </w:rPr>
        <w:t xml:space="preserve"> </w:t>
      </w:r>
      <w:r w:rsidRPr="0031675F">
        <w:t>OR,</w:t>
      </w:r>
      <w:r w:rsidRPr="0031675F">
        <w:rPr>
          <w:spacing w:val="-2"/>
        </w:rPr>
        <w:t xml:space="preserve"> </w:t>
      </w:r>
      <w:r w:rsidRPr="0031675F">
        <w:t xml:space="preserve">USA </w:t>
      </w:r>
      <w:hyperlink r:id="rId181">
        <w:r w:rsidRPr="0031675F">
          <w:rPr>
            <w:color w:val="0000FF"/>
            <w:spacing w:val="-1"/>
            <w:u w:val="single" w:color="0000FF"/>
          </w:rPr>
          <w:t>www.wetlabs.com</w:t>
        </w:r>
      </w:hyperlink>
    </w:p>
    <w:p w14:paraId="3D37C884" w14:textId="77777777" w:rsidR="0031675F" w:rsidRPr="0031675F" w:rsidRDefault="0031675F" w:rsidP="0031675F">
      <w:pPr>
        <w:spacing w:before="118" w:after="120"/>
        <w:ind w:left="406" w:right="109" w:hanging="288"/>
        <w:jc w:val="both"/>
      </w:pPr>
      <w:r w:rsidRPr="0031675F">
        <w:rPr>
          <w:spacing w:val="-1"/>
        </w:rPr>
        <w:t>Anderson,</w:t>
      </w:r>
      <w:r w:rsidRPr="0031675F">
        <w:rPr>
          <w:spacing w:val="5"/>
        </w:rPr>
        <w:t xml:space="preserve"> </w:t>
      </w:r>
      <w:r w:rsidRPr="0031675F">
        <w:rPr>
          <w:spacing w:val="-1"/>
        </w:rPr>
        <w:t>C.W.,</w:t>
      </w:r>
      <w:r w:rsidRPr="0031675F">
        <w:rPr>
          <w:spacing w:val="5"/>
        </w:rPr>
        <w:t xml:space="preserve"> </w:t>
      </w:r>
      <w:r w:rsidRPr="0031675F">
        <w:rPr>
          <w:spacing w:val="-1"/>
        </w:rPr>
        <w:t>2005,</w:t>
      </w:r>
      <w:r w:rsidRPr="0031675F">
        <w:rPr>
          <w:spacing w:val="5"/>
        </w:rPr>
        <w:t xml:space="preserve"> </w:t>
      </w:r>
      <w:r w:rsidRPr="0031675F">
        <w:rPr>
          <w:spacing w:val="-1"/>
        </w:rPr>
        <w:t>Turbidity</w:t>
      </w:r>
      <w:r w:rsidRPr="0031675F">
        <w:rPr>
          <w:spacing w:val="5"/>
        </w:rPr>
        <w:t xml:space="preserve"> </w:t>
      </w:r>
      <w:r w:rsidRPr="0031675F">
        <w:rPr>
          <w:spacing w:val="-1"/>
        </w:rPr>
        <w:t>(version</w:t>
      </w:r>
      <w:r w:rsidRPr="0031675F">
        <w:rPr>
          <w:spacing w:val="4"/>
        </w:rPr>
        <w:t xml:space="preserve"> </w:t>
      </w:r>
      <w:r w:rsidRPr="0031675F">
        <w:rPr>
          <w:spacing w:val="-1"/>
        </w:rPr>
        <w:t>2.1):</w:t>
      </w:r>
      <w:r w:rsidRPr="0031675F">
        <w:rPr>
          <w:spacing w:val="6"/>
        </w:rPr>
        <w:t xml:space="preserve"> </w:t>
      </w:r>
      <w:r w:rsidRPr="0031675F">
        <w:rPr>
          <w:spacing w:val="-1"/>
        </w:rPr>
        <w:t>U.S.</w:t>
      </w:r>
      <w:r w:rsidRPr="0031675F">
        <w:rPr>
          <w:spacing w:val="4"/>
        </w:rPr>
        <w:t xml:space="preserve"> </w:t>
      </w:r>
      <w:r w:rsidRPr="0031675F">
        <w:rPr>
          <w:spacing w:val="-1"/>
        </w:rPr>
        <w:t>Geological</w:t>
      </w:r>
      <w:r w:rsidRPr="0031675F">
        <w:rPr>
          <w:spacing w:val="4"/>
        </w:rPr>
        <w:t xml:space="preserve"> </w:t>
      </w:r>
      <w:r w:rsidRPr="0031675F">
        <w:rPr>
          <w:spacing w:val="-1"/>
        </w:rPr>
        <w:t>Survey</w:t>
      </w:r>
      <w:r w:rsidRPr="0031675F">
        <w:rPr>
          <w:spacing w:val="6"/>
        </w:rPr>
        <w:t xml:space="preserve"> </w:t>
      </w:r>
      <w:r w:rsidRPr="0031675F">
        <w:rPr>
          <w:spacing w:val="-1"/>
        </w:rPr>
        <w:t>Techniques</w:t>
      </w:r>
      <w:r w:rsidRPr="0031675F">
        <w:rPr>
          <w:spacing w:val="3"/>
        </w:rPr>
        <w:t xml:space="preserve"> </w:t>
      </w:r>
      <w:r w:rsidRPr="0031675F">
        <w:t>of</w:t>
      </w:r>
      <w:r w:rsidRPr="0031675F">
        <w:rPr>
          <w:spacing w:val="5"/>
        </w:rPr>
        <w:t xml:space="preserve"> </w:t>
      </w:r>
      <w:r w:rsidRPr="0031675F">
        <w:t>Water-Resources</w:t>
      </w:r>
      <w:r w:rsidRPr="0031675F">
        <w:rPr>
          <w:spacing w:val="63"/>
        </w:rPr>
        <w:t xml:space="preserve"> </w:t>
      </w:r>
      <w:r w:rsidRPr="0031675F">
        <w:rPr>
          <w:spacing w:val="-1"/>
        </w:rPr>
        <w:t>Investigations,</w:t>
      </w:r>
      <w:r w:rsidRPr="0031675F">
        <w:rPr>
          <w:spacing w:val="34"/>
        </w:rPr>
        <w:t xml:space="preserve"> </w:t>
      </w:r>
      <w:r w:rsidRPr="0031675F">
        <w:rPr>
          <w:spacing w:val="-1"/>
        </w:rPr>
        <w:t>book</w:t>
      </w:r>
      <w:r w:rsidRPr="0031675F">
        <w:rPr>
          <w:spacing w:val="36"/>
        </w:rPr>
        <w:t xml:space="preserve"> </w:t>
      </w:r>
      <w:r w:rsidRPr="0031675F">
        <w:t>9,</w:t>
      </w:r>
      <w:r w:rsidRPr="0031675F">
        <w:rPr>
          <w:spacing w:val="35"/>
        </w:rPr>
        <w:t xml:space="preserve"> </w:t>
      </w:r>
      <w:r w:rsidRPr="0031675F">
        <w:rPr>
          <w:spacing w:val="-1"/>
        </w:rPr>
        <w:t>chap.</w:t>
      </w:r>
      <w:r w:rsidRPr="0031675F">
        <w:rPr>
          <w:spacing w:val="36"/>
        </w:rPr>
        <w:t xml:space="preserve"> </w:t>
      </w:r>
      <w:r w:rsidRPr="0031675F">
        <w:t>A6.,</w:t>
      </w:r>
      <w:r w:rsidRPr="0031675F">
        <w:rPr>
          <w:spacing w:val="35"/>
        </w:rPr>
        <w:t xml:space="preserve"> </w:t>
      </w:r>
      <w:r w:rsidRPr="0031675F">
        <w:t>section</w:t>
      </w:r>
      <w:r w:rsidRPr="0031675F">
        <w:rPr>
          <w:spacing w:val="34"/>
        </w:rPr>
        <w:t xml:space="preserve"> </w:t>
      </w:r>
      <w:r w:rsidRPr="0031675F">
        <w:rPr>
          <w:spacing w:val="-1"/>
        </w:rPr>
        <w:t>6.7,</w:t>
      </w:r>
      <w:r w:rsidRPr="0031675F">
        <w:rPr>
          <w:spacing w:val="38"/>
        </w:rPr>
        <w:t xml:space="preserve"> </w:t>
      </w:r>
      <w:r w:rsidRPr="0031675F">
        <w:rPr>
          <w:spacing w:val="-1"/>
        </w:rPr>
        <w:t>July,</w:t>
      </w:r>
      <w:r w:rsidRPr="0031675F">
        <w:rPr>
          <w:spacing w:val="35"/>
        </w:rPr>
        <w:t xml:space="preserve"> </w:t>
      </w:r>
      <w:r w:rsidRPr="0031675F">
        <w:rPr>
          <w:spacing w:val="-1"/>
        </w:rPr>
        <w:t>accessed</w:t>
      </w:r>
      <w:r w:rsidRPr="0031675F">
        <w:rPr>
          <w:spacing w:val="34"/>
        </w:rPr>
        <w:t xml:space="preserve"> </w:t>
      </w:r>
      <w:r w:rsidRPr="0031675F">
        <w:rPr>
          <w:spacing w:val="-1"/>
        </w:rPr>
        <w:t>November</w:t>
      </w:r>
      <w:r w:rsidRPr="0031675F">
        <w:rPr>
          <w:spacing w:val="36"/>
        </w:rPr>
        <w:t xml:space="preserve"> </w:t>
      </w:r>
      <w:r w:rsidRPr="0031675F">
        <w:rPr>
          <w:spacing w:val="-1"/>
        </w:rPr>
        <w:t>2007</w:t>
      </w:r>
      <w:r w:rsidRPr="0031675F">
        <w:rPr>
          <w:spacing w:val="37"/>
        </w:rPr>
        <w:t xml:space="preserve"> </w:t>
      </w:r>
      <w:r w:rsidRPr="0031675F">
        <w:rPr>
          <w:spacing w:val="-2"/>
        </w:rPr>
        <w:t>from</w:t>
      </w:r>
      <w:hyperlink r:id="rId182">
        <w:r w:rsidRPr="0031675F">
          <w:rPr>
            <w:spacing w:val="51"/>
          </w:rPr>
          <w:t xml:space="preserve"> </w:t>
        </w:r>
        <w:r w:rsidRPr="0031675F">
          <w:rPr>
            <w:spacing w:val="-1"/>
          </w:rPr>
          <w:t>http://pubs.water.usgs.gov/twri9A6/</w:t>
        </w:r>
      </w:hyperlink>
    </w:p>
    <w:p w14:paraId="2330B221" w14:textId="77777777" w:rsidR="0031675F" w:rsidRPr="0031675F" w:rsidRDefault="0031675F" w:rsidP="0031675F">
      <w:pPr>
        <w:spacing w:line="200" w:lineRule="atLeast"/>
        <w:rPr>
          <w:rFonts w:ascii="Times New Roman" w:eastAsia="Times New Roman" w:hAnsi="Times New Roman"/>
          <w:sz w:val="20"/>
          <w:szCs w:val="20"/>
        </w:rPr>
        <w:sectPr w:rsidR="0031675F" w:rsidRPr="0031675F" w:rsidSect="004A5C83">
          <w:type w:val="nextColumn"/>
          <w:pgSz w:w="11910" w:h="16850"/>
          <w:pgMar w:top="720" w:right="1281" w:bottom="697" w:left="1281" w:header="499" w:footer="500" w:gutter="0"/>
          <w:paperSrc w:first="7" w:other="7"/>
          <w:cols w:space="720"/>
          <w:docGrid w:linePitch="299"/>
        </w:sectPr>
      </w:pPr>
    </w:p>
    <w:p w14:paraId="747A442C" w14:textId="05D5DB71" w:rsidR="0031675F" w:rsidRPr="0031675F" w:rsidRDefault="0031675F" w:rsidP="00231801">
      <w:pPr>
        <w:pStyle w:val="Heading2"/>
        <w:numPr>
          <w:ilvl w:val="0"/>
          <w:numId w:val="0"/>
        </w:numPr>
        <w:ind w:left="284"/>
      </w:pPr>
      <w:bookmarkStart w:id="743" w:name="_Toc423356998"/>
      <w:bookmarkStart w:id="744" w:name="_Toc523830565"/>
      <w:bookmarkStart w:id="745" w:name="_Toc523905151"/>
      <w:bookmarkStart w:id="746" w:name="_Toc523905393"/>
      <w:bookmarkStart w:id="747" w:name="_Toc534968704"/>
      <w:bookmarkStart w:id="748" w:name="_Toc12365639"/>
      <w:bookmarkEnd w:id="742"/>
      <w:r w:rsidRPr="00FF3C2F">
        <w:t>Section A12: AIMS Data Management Procedures for the Marine Monitoring Program</w:t>
      </w:r>
      <w:bookmarkEnd w:id="743"/>
      <w:bookmarkEnd w:id="744"/>
      <w:bookmarkEnd w:id="745"/>
      <w:bookmarkEnd w:id="746"/>
      <w:bookmarkEnd w:id="747"/>
      <w:bookmarkEnd w:id="748"/>
    </w:p>
    <w:p w14:paraId="11964765" w14:textId="77777777" w:rsidR="0031675F" w:rsidRPr="0031675F" w:rsidRDefault="0031675F" w:rsidP="0031675F">
      <w:pPr>
        <w:spacing w:before="7"/>
        <w:rPr>
          <w:rFonts w:eastAsia="Arial" w:cs="Arial"/>
          <w:b/>
          <w:bCs/>
        </w:rPr>
      </w:pPr>
    </w:p>
    <w:p w14:paraId="4D3DA776" w14:textId="77777777" w:rsidR="0031675F" w:rsidRPr="0031675F" w:rsidRDefault="0031675F" w:rsidP="0031675F">
      <w:pPr>
        <w:widowControl w:val="0"/>
        <w:numPr>
          <w:ilvl w:val="1"/>
          <w:numId w:val="64"/>
        </w:numPr>
        <w:tabs>
          <w:tab w:val="left" w:pos="859"/>
        </w:tabs>
        <w:spacing w:before="69" w:after="0" w:line="240" w:lineRule="auto"/>
        <w:jc w:val="both"/>
        <w:rPr>
          <w:rFonts w:eastAsia="Arial" w:cs="Arial"/>
          <w:sz w:val="24"/>
          <w:szCs w:val="24"/>
        </w:rPr>
      </w:pPr>
      <w:r w:rsidRPr="0031675F">
        <w:rPr>
          <w:b/>
          <w:sz w:val="24"/>
        </w:rPr>
        <w:t>Introduction</w:t>
      </w:r>
    </w:p>
    <w:p w14:paraId="40649574" w14:textId="77777777" w:rsidR="0031675F" w:rsidRPr="0031675F" w:rsidRDefault="0031675F" w:rsidP="0057756F">
      <w:r w:rsidRPr="0031675F">
        <w:t>Data</w:t>
      </w:r>
      <w:r w:rsidRPr="0031675F">
        <w:rPr>
          <w:spacing w:val="22"/>
        </w:rPr>
        <w:t xml:space="preserve"> </w:t>
      </w:r>
      <w:r w:rsidRPr="0031675F">
        <w:t>Management</w:t>
      </w:r>
      <w:r w:rsidRPr="0031675F">
        <w:rPr>
          <w:spacing w:val="24"/>
        </w:rPr>
        <w:t xml:space="preserve"> </w:t>
      </w:r>
      <w:r w:rsidRPr="0031675F">
        <w:t>practices</w:t>
      </w:r>
      <w:r w:rsidRPr="0031675F">
        <w:rPr>
          <w:spacing w:val="24"/>
        </w:rPr>
        <w:t xml:space="preserve"> </w:t>
      </w:r>
      <w:r w:rsidRPr="0031675F">
        <w:t>are</w:t>
      </w:r>
      <w:r w:rsidRPr="0031675F">
        <w:rPr>
          <w:spacing w:val="22"/>
        </w:rPr>
        <w:t xml:space="preserve"> </w:t>
      </w:r>
      <w:r w:rsidRPr="0031675F">
        <w:t>a</w:t>
      </w:r>
      <w:r w:rsidRPr="0031675F">
        <w:rPr>
          <w:spacing w:val="21"/>
        </w:rPr>
        <w:t xml:space="preserve"> </w:t>
      </w:r>
      <w:r w:rsidRPr="0031675F">
        <w:t>major</w:t>
      </w:r>
      <w:r w:rsidRPr="0031675F">
        <w:rPr>
          <w:spacing w:val="24"/>
        </w:rPr>
        <w:t xml:space="preserve"> </w:t>
      </w:r>
      <w:r w:rsidRPr="0031675F">
        <w:t>contributor</w:t>
      </w:r>
      <w:r w:rsidRPr="0031675F">
        <w:rPr>
          <w:spacing w:val="21"/>
        </w:rPr>
        <w:t xml:space="preserve"> </w:t>
      </w:r>
      <w:r w:rsidRPr="0031675F">
        <w:t>to</w:t>
      </w:r>
      <w:r w:rsidRPr="0031675F">
        <w:rPr>
          <w:spacing w:val="23"/>
        </w:rPr>
        <w:t xml:space="preserve"> </w:t>
      </w:r>
      <w:r w:rsidRPr="0031675F">
        <w:t>the</w:t>
      </w:r>
      <w:r w:rsidRPr="0031675F">
        <w:rPr>
          <w:spacing w:val="22"/>
        </w:rPr>
        <w:t xml:space="preserve"> </w:t>
      </w:r>
      <w:r w:rsidRPr="0031675F">
        <w:t>overall</w:t>
      </w:r>
      <w:r w:rsidRPr="0031675F">
        <w:rPr>
          <w:spacing w:val="23"/>
        </w:rPr>
        <w:t xml:space="preserve"> </w:t>
      </w:r>
      <w:r w:rsidRPr="0031675F">
        <w:t>quality</w:t>
      </w:r>
      <w:r w:rsidRPr="0031675F">
        <w:rPr>
          <w:spacing w:val="22"/>
        </w:rPr>
        <w:t xml:space="preserve"> </w:t>
      </w:r>
      <w:r w:rsidRPr="0031675F">
        <w:t>of</w:t>
      </w:r>
      <w:r w:rsidRPr="0031675F">
        <w:rPr>
          <w:spacing w:val="24"/>
        </w:rPr>
        <w:t xml:space="preserve"> </w:t>
      </w:r>
      <w:r w:rsidRPr="0031675F">
        <w:t>the</w:t>
      </w:r>
      <w:r w:rsidRPr="0031675F">
        <w:rPr>
          <w:spacing w:val="25"/>
        </w:rPr>
        <w:t xml:space="preserve"> </w:t>
      </w:r>
      <w:r w:rsidRPr="0031675F">
        <w:t>data</w:t>
      </w:r>
      <w:r w:rsidRPr="0031675F">
        <w:rPr>
          <w:spacing w:val="24"/>
        </w:rPr>
        <w:t xml:space="preserve"> </w:t>
      </w:r>
      <w:r w:rsidRPr="0031675F">
        <w:t>collected;</w:t>
      </w:r>
      <w:r w:rsidRPr="0031675F">
        <w:rPr>
          <w:spacing w:val="25"/>
        </w:rPr>
        <w:t xml:space="preserve"> </w:t>
      </w:r>
      <w:r w:rsidRPr="0031675F">
        <w:t>poor</w:t>
      </w:r>
      <w:r w:rsidRPr="0031675F">
        <w:rPr>
          <w:spacing w:val="55"/>
        </w:rPr>
        <w:t xml:space="preserve"> </w:t>
      </w:r>
      <w:r w:rsidRPr="0031675F">
        <w:t>data</w:t>
      </w:r>
      <w:r w:rsidRPr="0031675F">
        <w:rPr>
          <w:spacing w:val="42"/>
        </w:rPr>
        <w:t xml:space="preserve"> </w:t>
      </w:r>
      <w:r w:rsidRPr="0031675F">
        <w:t>management</w:t>
      </w:r>
      <w:r w:rsidRPr="0031675F">
        <w:rPr>
          <w:spacing w:val="41"/>
        </w:rPr>
        <w:t xml:space="preserve"> </w:t>
      </w:r>
      <w:r w:rsidRPr="0031675F">
        <w:t>can</w:t>
      </w:r>
      <w:r w:rsidRPr="0031675F">
        <w:rPr>
          <w:spacing w:val="43"/>
        </w:rPr>
        <w:t xml:space="preserve"> </w:t>
      </w:r>
      <w:r w:rsidRPr="0031675F">
        <w:t>lead</w:t>
      </w:r>
      <w:r w:rsidRPr="0031675F">
        <w:rPr>
          <w:spacing w:val="42"/>
        </w:rPr>
        <w:t xml:space="preserve"> </w:t>
      </w:r>
      <w:r w:rsidRPr="0031675F">
        <w:t>to</w:t>
      </w:r>
      <w:r w:rsidRPr="0031675F">
        <w:rPr>
          <w:spacing w:val="45"/>
        </w:rPr>
        <w:t xml:space="preserve"> </w:t>
      </w:r>
      <w:r w:rsidRPr="0031675F">
        <w:t>errors,</w:t>
      </w:r>
      <w:r w:rsidRPr="0031675F">
        <w:rPr>
          <w:spacing w:val="43"/>
        </w:rPr>
        <w:t xml:space="preserve"> </w:t>
      </w:r>
      <w:r w:rsidRPr="0031675F">
        <w:t>lost</w:t>
      </w:r>
      <w:r w:rsidRPr="0031675F">
        <w:rPr>
          <w:spacing w:val="44"/>
        </w:rPr>
        <w:t xml:space="preserve"> </w:t>
      </w:r>
      <w:r w:rsidRPr="0031675F">
        <w:t>data</w:t>
      </w:r>
      <w:r w:rsidRPr="0031675F">
        <w:rPr>
          <w:spacing w:val="42"/>
        </w:rPr>
        <w:t xml:space="preserve"> </w:t>
      </w:r>
      <w:r w:rsidRPr="0031675F">
        <w:t>and</w:t>
      </w:r>
      <w:r w:rsidRPr="0031675F">
        <w:rPr>
          <w:spacing w:val="40"/>
        </w:rPr>
        <w:t xml:space="preserve"> </w:t>
      </w:r>
      <w:r w:rsidRPr="0031675F">
        <w:t>can</w:t>
      </w:r>
      <w:r w:rsidRPr="0031675F">
        <w:rPr>
          <w:spacing w:val="43"/>
        </w:rPr>
        <w:t xml:space="preserve"> </w:t>
      </w:r>
      <w:r w:rsidRPr="0031675F">
        <w:t>reduce</w:t>
      </w:r>
      <w:r w:rsidRPr="0031675F">
        <w:rPr>
          <w:spacing w:val="43"/>
        </w:rPr>
        <w:t xml:space="preserve"> </w:t>
      </w:r>
      <w:r w:rsidRPr="0031675F">
        <w:t>the</w:t>
      </w:r>
      <w:r w:rsidRPr="0031675F">
        <w:rPr>
          <w:spacing w:val="46"/>
        </w:rPr>
        <w:t xml:space="preserve"> </w:t>
      </w:r>
      <w:r w:rsidRPr="0031675F">
        <w:t>value</w:t>
      </w:r>
      <w:r w:rsidRPr="0031675F">
        <w:rPr>
          <w:spacing w:val="44"/>
        </w:rPr>
        <w:t xml:space="preserve"> </w:t>
      </w:r>
      <w:r w:rsidRPr="0031675F">
        <w:t>of</w:t>
      </w:r>
      <w:r w:rsidRPr="0031675F">
        <w:rPr>
          <w:spacing w:val="41"/>
        </w:rPr>
        <w:t xml:space="preserve"> </w:t>
      </w:r>
      <w:r w:rsidRPr="0031675F">
        <w:t>the</w:t>
      </w:r>
      <w:r w:rsidRPr="0031675F">
        <w:rPr>
          <w:spacing w:val="43"/>
        </w:rPr>
        <w:t xml:space="preserve"> </w:t>
      </w:r>
      <w:r w:rsidRPr="0031675F">
        <w:t>Marine monitoring program</w:t>
      </w:r>
      <w:r w:rsidRPr="0031675F">
        <w:rPr>
          <w:spacing w:val="15"/>
        </w:rPr>
        <w:t xml:space="preserve"> </w:t>
      </w:r>
      <w:r w:rsidRPr="0031675F">
        <w:t>(MMP)</w:t>
      </w:r>
      <w:r w:rsidRPr="0031675F">
        <w:rPr>
          <w:spacing w:val="18"/>
        </w:rPr>
        <w:t xml:space="preserve"> </w:t>
      </w:r>
      <w:r w:rsidRPr="0031675F">
        <w:t>data.</w:t>
      </w:r>
      <w:r w:rsidRPr="0031675F">
        <w:rPr>
          <w:spacing w:val="14"/>
        </w:rPr>
        <w:t xml:space="preserve"> </w:t>
      </w:r>
      <w:r w:rsidRPr="0031675F">
        <w:t>This</w:t>
      </w:r>
      <w:r w:rsidRPr="0031675F">
        <w:rPr>
          <w:spacing w:val="14"/>
        </w:rPr>
        <w:t xml:space="preserve"> </w:t>
      </w:r>
      <w:r w:rsidRPr="0031675F">
        <w:t>appendix</w:t>
      </w:r>
      <w:r w:rsidRPr="0031675F">
        <w:rPr>
          <w:spacing w:val="14"/>
        </w:rPr>
        <w:t xml:space="preserve"> </w:t>
      </w:r>
      <w:r w:rsidRPr="0031675F">
        <w:t>details</w:t>
      </w:r>
      <w:r w:rsidRPr="0031675F">
        <w:rPr>
          <w:spacing w:val="14"/>
        </w:rPr>
        <w:t xml:space="preserve"> </w:t>
      </w:r>
      <w:r w:rsidRPr="0031675F">
        <w:t>the</w:t>
      </w:r>
      <w:r w:rsidRPr="0031675F">
        <w:rPr>
          <w:spacing w:val="14"/>
        </w:rPr>
        <w:t xml:space="preserve"> </w:t>
      </w:r>
      <w:r w:rsidRPr="0031675F">
        <w:t>overall</w:t>
      </w:r>
      <w:r w:rsidRPr="0031675F">
        <w:rPr>
          <w:spacing w:val="14"/>
        </w:rPr>
        <w:t xml:space="preserve"> </w:t>
      </w:r>
      <w:r w:rsidRPr="0031675F">
        <w:t>approach</w:t>
      </w:r>
      <w:r w:rsidRPr="0031675F">
        <w:rPr>
          <w:spacing w:val="14"/>
        </w:rPr>
        <w:t xml:space="preserve"> </w:t>
      </w:r>
      <w:r w:rsidRPr="0031675F">
        <w:t>AIMS</w:t>
      </w:r>
      <w:r w:rsidRPr="0031675F">
        <w:rPr>
          <w:spacing w:val="14"/>
        </w:rPr>
        <w:t xml:space="preserve"> </w:t>
      </w:r>
      <w:r w:rsidRPr="0031675F">
        <w:t>is</w:t>
      </w:r>
      <w:r w:rsidRPr="0031675F">
        <w:rPr>
          <w:spacing w:val="14"/>
        </w:rPr>
        <w:t xml:space="preserve"> </w:t>
      </w:r>
      <w:r w:rsidRPr="0031675F">
        <w:t>taking</w:t>
      </w:r>
      <w:r w:rsidRPr="0031675F">
        <w:rPr>
          <w:spacing w:val="13"/>
        </w:rPr>
        <w:t xml:space="preserve"> </w:t>
      </w:r>
      <w:r w:rsidRPr="0031675F">
        <w:t>to</w:t>
      </w:r>
      <w:r w:rsidRPr="0031675F">
        <w:rPr>
          <w:spacing w:val="16"/>
        </w:rPr>
        <w:t xml:space="preserve"> </w:t>
      </w:r>
      <w:r w:rsidRPr="0031675F">
        <w:t>develop</w:t>
      </w:r>
      <w:r w:rsidRPr="0031675F">
        <w:rPr>
          <w:spacing w:val="79"/>
        </w:rPr>
        <w:t xml:space="preserve"> </w:t>
      </w:r>
      <w:r w:rsidRPr="0031675F">
        <w:t>data</w:t>
      </w:r>
      <w:r w:rsidRPr="0031675F">
        <w:rPr>
          <w:spacing w:val="19"/>
        </w:rPr>
        <w:t xml:space="preserve"> </w:t>
      </w:r>
      <w:r w:rsidRPr="0031675F">
        <w:t>management</w:t>
      </w:r>
      <w:r w:rsidRPr="0031675F">
        <w:rPr>
          <w:spacing w:val="19"/>
        </w:rPr>
        <w:t xml:space="preserve"> </w:t>
      </w:r>
      <w:r w:rsidRPr="0031675F">
        <w:t>practices</w:t>
      </w:r>
      <w:r w:rsidRPr="0031675F">
        <w:rPr>
          <w:spacing w:val="19"/>
        </w:rPr>
        <w:t xml:space="preserve"> </w:t>
      </w:r>
      <w:r w:rsidRPr="0031675F">
        <w:t>that</w:t>
      </w:r>
      <w:r w:rsidRPr="0031675F">
        <w:rPr>
          <w:spacing w:val="19"/>
        </w:rPr>
        <w:t xml:space="preserve"> </w:t>
      </w:r>
      <w:r w:rsidRPr="0031675F">
        <w:t>will</w:t>
      </w:r>
      <w:r w:rsidRPr="0031675F">
        <w:rPr>
          <w:spacing w:val="19"/>
        </w:rPr>
        <w:t xml:space="preserve"> </w:t>
      </w:r>
      <w:r w:rsidRPr="0031675F">
        <w:t>actively</w:t>
      </w:r>
      <w:r w:rsidRPr="0031675F">
        <w:rPr>
          <w:spacing w:val="20"/>
        </w:rPr>
        <w:t xml:space="preserve"> </w:t>
      </w:r>
      <w:r w:rsidRPr="0031675F">
        <w:t>protect</w:t>
      </w:r>
      <w:r w:rsidRPr="0031675F">
        <w:rPr>
          <w:spacing w:val="17"/>
        </w:rPr>
        <w:t xml:space="preserve"> </w:t>
      </w:r>
      <w:r w:rsidRPr="0031675F">
        <w:t>and</w:t>
      </w:r>
      <w:r w:rsidRPr="0031675F">
        <w:rPr>
          <w:spacing w:val="18"/>
        </w:rPr>
        <w:t xml:space="preserve"> </w:t>
      </w:r>
      <w:r w:rsidRPr="0031675F">
        <w:t>enhance</w:t>
      </w:r>
      <w:r w:rsidRPr="0031675F">
        <w:rPr>
          <w:spacing w:val="20"/>
        </w:rPr>
        <w:t xml:space="preserve"> </w:t>
      </w:r>
      <w:r w:rsidRPr="0031675F">
        <w:t>the</w:t>
      </w:r>
      <w:r w:rsidRPr="0031675F">
        <w:rPr>
          <w:spacing w:val="19"/>
        </w:rPr>
        <w:t xml:space="preserve"> </w:t>
      </w:r>
      <w:r w:rsidRPr="0031675F">
        <w:t>quality</w:t>
      </w:r>
      <w:r w:rsidRPr="0031675F">
        <w:rPr>
          <w:spacing w:val="20"/>
        </w:rPr>
        <w:t xml:space="preserve"> </w:t>
      </w:r>
      <w:r w:rsidRPr="0031675F">
        <w:t>of</w:t>
      </w:r>
      <w:r w:rsidRPr="0031675F">
        <w:rPr>
          <w:spacing w:val="19"/>
        </w:rPr>
        <w:t xml:space="preserve"> </w:t>
      </w:r>
      <w:r w:rsidRPr="0031675F">
        <w:t>the</w:t>
      </w:r>
      <w:r w:rsidRPr="0031675F">
        <w:rPr>
          <w:spacing w:val="19"/>
        </w:rPr>
        <w:t xml:space="preserve"> </w:t>
      </w:r>
      <w:r w:rsidRPr="0031675F">
        <w:t>data</w:t>
      </w:r>
      <w:r w:rsidRPr="0031675F">
        <w:rPr>
          <w:spacing w:val="19"/>
        </w:rPr>
        <w:t xml:space="preserve"> </w:t>
      </w:r>
      <w:r w:rsidRPr="0031675F">
        <w:t>collected</w:t>
      </w:r>
      <w:r w:rsidRPr="0031675F">
        <w:rPr>
          <w:spacing w:val="18"/>
        </w:rPr>
        <w:t xml:space="preserve"> </w:t>
      </w:r>
      <w:r w:rsidRPr="0031675F">
        <w:t>as</w:t>
      </w:r>
      <w:r w:rsidRPr="0031675F">
        <w:rPr>
          <w:spacing w:val="85"/>
        </w:rPr>
        <w:t xml:space="preserve"> </w:t>
      </w:r>
      <w:r w:rsidRPr="0031675F">
        <w:t>part of</w:t>
      </w:r>
      <w:r w:rsidRPr="0031675F">
        <w:rPr>
          <w:spacing w:val="-2"/>
        </w:rPr>
        <w:t xml:space="preserve"> </w:t>
      </w:r>
      <w:r w:rsidRPr="0031675F">
        <w:t>the program.</w:t>
      </w:r>
    </w:p>
    <w:p w14:paraId="6DC64A78" w14:textId="77777777" w:rsidR="0031675F" w:rsidRPr="0031675F" w:rsidRDefault="0031675F" w:rsidP="0031675F">
      <w:pPr>
        <w:spacing w:before="9"/>
        <w:rPr>
          <w:rFonts w:cs="Calibri"/>
          <w:sz w:val="21"/>
          <w:szCs w:val="21"/>
        </w:rPr>
      </w:pPr>
    </w:p>
    <w:p w14:paraId="6B23DACC" w14:textId="77777777" w:rsidR="0031675F" w:rsidRPr="0031675F" w:rsidRDefault="0031675F" w:rsidP="0031675F">
      <w:pPr>
        <w:widowControl w:val="0"/>
        <w:numPr>
          <w:ilvl w:val="1"/>
          <w:numId w:val="64"/>
        </w:numPr>
        <w:tabs>
          <w:tab w:val="left" w:pos="859"/>
        </w:tabs>
        <w:spacing w:before="0" w:after="0" w:line="240" w:lineRule="auto"/>
        <w:jc w:val="both"/>
        <w:rPr>
          <w:rFonts w:eastAsia="Arial" w:cs="Arial"/>
          <w:sz w:val="24"/>
          <w:szCs w:val="24"/>
        </w:rPr>
      </w:pPr>
      <w:r w:rsidRPr="0031675F">
        <w:rPr>
          <w:b/>
          <w:sz w:val="24"/>
        </w:rPr>
        <w:t>Basic</w:t>
      </w:r>
      <w:r w:rsidRPr="0031675F">
        <w:rPr>
          <w:b/>
          <w:spacing w:val="2"/>
          <w:sz w:val="24"/>
        </w:rPr>
        <w:t xml:space="preserve"> </w:t>
      </w:r>
      <w:r w:rsidRPr="0031675F">
        <w:rPr>
          <w:b/>
          <w:sz w:val="24"/>
        </w:rPr>
        <w:t>principles</w:t>
      </w:r>
    </w:p>
    <w:p w14:paraId="2BF3A25E" w14:textId="77777777" w:rsidR="0031675F" w:rsidRPr="0031675F" w:rsidRDefault="0031675F" w:rsidP="0057756F">
      <w:r w:rsidRPr="0031675F">
        <w:rPr>
          <w:rFonts w:cs="Calibri"/>
        </w:rPr>
        <w:t>The</w:t>
      </w:r>
      <w:r w:rsidRPr="0031675F">
        <w:rPr>
          <w:rFonts w:cs="Calibri"/>
          <w:spacing w:val="19"/>
        </w:rPr>
        <w:t xml:space="preserve"> </w:t>
      </w:r>
      <w:r w:rsidRPr="0031675F">
        <w:rPr>
          <w:rFonts w:cs="Calibri"/>
        </w:rPr>
        <w:t>fundamental</w:t>
      </w:r>
      <w:r w:rsidRPr="0031675F">
        <w:rPr>
          <w:rFonts w:cs="Calibri"/>
          <w:spacing w:val="19"/>
        </w:rPr>
        <w:t xml:space="preserve"> </w:t>
      </w:r>
      <w:r w:rsidRPr="0031675F">
        <w:rPr>
          <w:rFonts w:cs="Calibri"/>
        </w:rPr>
        <w:t>goal</w:t>
      </w:r>
      <w:r w:rsidRPr="0031675F">
        <w:rPr>
          <w:rFonts w:cs="Calibri"/>
          <w:spacing w:val="19"/>
        </w:rPr>
        <w:t xml:space="preserve"> </w:t>
      </w:r>
      <w:r w:rsidRPr="0031675F">
        <w:rPr>
          <w:rFonts w:cs="Calibri"/>
        </w:rPr>
        <w:t>is</w:t>
      </w:r>
      <w:r w:rsidRPr="0031675F">
        <w:rPr>
          <w:rFonts w:cs="Calibri"/>
          <w:spacing w:val="16"/>
        </w:rPr>
        <w:t xml:space="preserve"> </w:t>
      </w:r>
      <w:r w:rsidRPr="0031675F">
        <w:rPr>
          <w:rFonts w:cs="Calibri"/>
        </w:rPr>
        <w:t>to</w:t>
      </w:r>
      <w:r w:rsidRPr="0031675F">
        <w:rPr>
          <w:rFonts w:cs="Calibri"/>
          <w:spacing w:val="20"/>
        </w:rPr>
        <w:t xml:space="preserve"> </w:t>
      </w:r>
      <w:r w:rsidRPr="0031675F">
        <w:rPr>
          <w:rFonts w:cs="Calibri"/>
        </w:rPr>
        <w:t>ensure</w:t>
      </w:r>
      <w:r w:rsidRPr="0031675F">
        <w:rPr>
          <w:rFonts w:cs="Calibri"/>
          <w:spacing w:val="20"/>
        </w:rPr>
        <w:t xml:space="preserve"> </w:t>
      </w:r>
      <w:r w:rsidRPr="0031675F">
        <w:rPr>
          <w:rFonts w:cs="Calibri"/>
        </w:rPr>
        <w:t>that</w:t>
      </w:r>
      <w:r w:rsidRPr="0031675F">
        <w:rPr>
          <w:rFonts w:cs="Calibri"/>
          <w:spacing w:val="20"/>
        </w:rPr>
        <w:t xml:space="preserve"> </w:t>
      </w:r>
      <w:r w:rsidRPr="0031675F">
        <w:rPr>
          <w:rFonts w:cs="Calibri"/>
        </w:rPr>
        <w:t>at</w:t>
      </w:r>
      <w:r w:rsidRPr="0031675F">
        <w:rPr>
          <w:rFonts w:cs="Calibri"/>
          <w:spacing w:val="17"/>
        </w:rPr>
        <w:t xml:space="preserve"> </w:t>
      </w:r>
      <w:r w:rsidRPr="0031675F">
        <w:rPr>
          <w:rFonts w:cs="Calibri"/>
        </w:rPr>
        <w:t>each</w:t>
      </w:r>
      <w:r w:rsidRPr="0031675F">
        <w:rPr>
          <w:rFonts w:cs="Calibri"/>
          <w:spacing w:val="16"/>
        </w:rPr>
        <w:t xml:space="preserve"> </w:t>
      </w:r>
      <w:r w:rsidRPr="0031675F">
        <w:rPr>
          <w:rFonts w:cs="Calibri"/>
        </w:rPr>
        <w:t>step</w:t>
      </w:r>
      <w:r w:rsidRPr="0031675F">
        <w:rPr>
          <w:rFonts w:cs="Calibri"/>
          <w:spacing w:val="16"/>
        </w:rPr>
        <w:t xml:space="preserve"> </w:t>
      </w:r>
      <w:r w:rsidRPr="0031675F">
        <w:rPr>
          <w:rFonts w:cs="Calibri"/>
        </w:rPr>
        <w:t>where</w:t>
      </w:r>
      <w:r w:rsidRPr="0031675F">
        <w:rPr>
          <w:rFonts w:cs="Calibri"/>
          <w:spacing w:val="17"/>
        </w:rPr>
        <w:t xml:space="preserve"> </w:t>
      </w:r>
      <w:r w:rsidRPr="0031675F">
        <w:rPr>
          <w:rFonts w:cs="Calibri"/>
        </w:rPr>
        <w:t>data</w:t>
      </w:r>
      <w:r w:rsidRPr="0031675F">
        <w:rPr>
          <w:rFonts w:cs="Calibri"/>
          <w:spacing w:val="17"/>
        </w:rPr>
        <w:t xml:space="preserve"> </w:t>
      </w:r>
      <w:r w:rsidRPr="0031675F">
        <w:rPr>
          <w:rFonts w:cs="Calibri"/>
        </w:rPr>
        <w:t>is</w:t>
      </w:r>
      <w:r w:rsidRPr="0031675F">
        <w:rPr>
          <w:rFonts w:cs="Calibri"/>
          <w:spacing w:val="19"/>
        </w:rPr>
        <w:t xml:space="preserve"> </w:t>
      </w:r>
      <w:r w:rsidRPr="0031675F">
        <w:rPr>
          <w:rFonts w:cs="Calibri"/>
        </w:rPr>
        <w:t>transformed,</w:t>
      </w:r>
      <w:r w:rsidRPr="0031675F">
        <w:rPr>
          <w:rFonts w:cs="Calibri"/>
          <w:spacing w:val="19"/>
        </w:rPr>
        <w:t xml:space="preserve"> </w:t>
      </w:r>
      <w:r w:rsidRPr="0031675F">
        <w:rPr>
          <w:rFonts w:cs="Calibri"/>
        </w:rPr>
        <w:t>modified</w:t>
      </w:r>
      <w:r w:rsidRPr="0031675F">
        <w:rPr>
          <w:rFonts w:cs="Calibri"/>
          <w:spacing w:val="16"/>
        </w:rPr>
        <w:t xml:space="preserve"> </w:t>
      </w:r>
      <w:r w:rsidRPr="0031675F">
        <w:rPr>
          <w:rFonts w:cs="Calibri"/>
        </w:rPr>
        <w:t>or</w:t>
      </w:r>
      <w:r w:rsidRPr="0031675F">
        <w:rPr>
          <w:rFonts w:cs="Calibri"/>
          <w:spacing w:val="19"/>
        </w:rPr>
        <w:t xml:space="preserve"> </w:t>
      </w:r>
      <w:r w:rsidRPr="0031675F">
        <w:rPr>
          <w:rFonts w:cs="Calibri"/>
        </w:rPr>
        <w:t>‘handled’</w:t>
      </w:r>
      <w:r w:rsidRPr="0031675F">
        <w:rPr>
          <w:rFonts w:cs="Calibri"/>
          <w:spacing w:val="49"/>
        </w:rPr>
        <w:t xml:space="preserve"> </w:t>
      </w:r>
      <w:r w:rsidRPr="0031675F">
        <w:t>the</w:t>
      </w:r>
      <w:r w:rsidRPr="0031675F">
        <w:rPr>
          <w:spacing w:val="26"/>
        </w:rPr>
        <w:t xml:space="preserve"> </w:t>
      </w:r>
      <w:r w:rsidRPr="0031675F">
        <w:t>process</w:t>
      </w:r>
      <w:r w:rsidRPr="0031675F">
        <w:rPr>
          <w:spacing w:val="27"/>
        </w:rPr>
        <w:t xml:space="preserve"> </w:t>
      </w:r>
      <w:r w:rsidRPr="0031675F">
        <w:rPr>
          <w:spacing w:val="-2"/>
        </w:rPr>
        <w:t>is</w:t>
      </w:r>
      <w:r w:rsidRPr="0031675F">
        <w:rPr>
          <w:spacing w:val="27"/>
        </w:rPr>
        <w:t xml:space="preserve"> </w:t>
      </w:r>
      <w:r w:rsidRPr="0031675F">
        <w:t>understood,</w:t>
      </w:r>
      <w:r w:rsidRPr="0031675F">
        <w:rPr>
          <w:spacing w:val="24"/>
        </w:rPr>
        <w:t xml:space="preserve"> </w:t>
      </w:r>
      <w:r w:rsidRPr="0031675F">
        <w:t>documented</w:t>
      </w:r>
      <w:r w:rsidRPr="0031675F">
        <w:rPr>
          <w:spacing w:val="24"/>
        </w:rPr>
        <w:t xml:space="preserve"> </w:t>
      </w:r>
      <w:r w:rsidRPr="0031675F">
        <w:t>and</w:t>
      </w:r>
      <w:r w:rsidRPr="0031675F">
        <w:rPr>
          <w:spacing w:val="25"/>
        </w:rPr>
        <w:t xml:space="preserve"> </w:t>
      </w:r>
      <w:r w:rsidRPr="0031675F">
        <w:t>that</w:t>
      </w:r>
      <w:r w:rsidRPr="0031675F">
        <w:rPr>
          <w:spacing w:val="24"/>
        </w:rPr>
        <w:t xml:space="preserve"> </w:t>
      </w:r>
      <w:r w:rsidRPr="0031675F">
        <w:t>there</w:t>
      </w:r>
      <w:r w:rsidRPr="0031675F">
        <w:rPr>
          <w:spacing w:val="27"/>
        </w:rPr>
        <w:t xml:space="preserve"> </w:t>
      </w:r>
      <w:r w:rsidRPr="0031675F">
        <w:t>is</w:t>
      </w:r>
      <w:r w:rsidRPr="0031675F">
        <w:rPr>
          <w:spacing w:val="26"/>
        </w:rPr>
        <w:t xml:space="preserve"> </w:t>
      </w:r>
      <w:r w:rsidRPr="0031675F">
        <w:t>a</w:t>
      </w:r>
      <w:r w:rsidRPr="0031675F">
        <w:rPr>
          <w:spacing w:val="24"/>
        </w:rPr>
        <w:t xml:space="preserve"> </w:t>
      </w:r>
      <w:r w:rsidRPr="0031675F">
        <w:t>clear</w:t>
      </w:r>
      <w:r w:rsidRPr="0031675F">
        <w:rPr>
          <w:spacing w:val="27"/>
        </w:rPr>
        <w:t xml:space="preserve"> </w:t>
      </w:r>
      <w:r w:rsidRPr="0031675F">
        <w:t>logical</w:t>
      </w:r>
      <w:r w:rsidRPr="0031675F">
        <w:rPr>
          <w:spacing w:val="25"/>
        </w:rPr>
        <w:t xml:space="preserve"> </w:t>
      </w:r>
      <w:r w:rsidRPr="0031675F">
        <w:t>connection</w:t>
      </w:r>
      <w:r w:rsidRPr="0031675F">
        <w:rPr>
          <w:spacing w:val="26"/>
        </w:rPr>
        <w:t xml:space="preserve"> </w:t>
      </w:r>
      <w:r w:rsidRPr="0031675F">
        <w:t>between</w:t>
      </w:r>
      <w:r w:rsidRPr="0031675F">
        <w:rPr>
          <w:spacing w:val="26"/>
        </w:rPr>
        <w:t xml:space="preserve"> </w:t>
      </w:r>
      <w:r w:rsidRPr="0031675F">
        <w:t>the</w:t>
      </w:r>
      <w:r w:rsidRPr="0031675F">
        <w:rPr>
          <w:spacing w:val="26"/>
        </w:rPr>
        <w:t xml:space="preserve"> </w:t>
      </w:r>
      <w:r w:rsidRPr="0031675F">
        <w:t>raw</w:t>
      </w:r>
      <w:r w:rsidRPr="0031675F">
        <w:rPr>
          <w:spacing w:val="69"/>
        </w:rPr>
        <w:t xml:space="preserve"> </w:t>
      </w:r>
      <w:r w:rsidRPr="0031675F">
        <w:t>data</w:t>
      </w:r>
      <w:r w:rsidRPr="0031675F">
        <w:rPr>
          <w:spacing w:val="26"/>
        </w:rPr>
        <w:t xml:space="preserve"> </w:t>
      </w:r>
      <w:r w:rsidRPr="0031675F">
        <w:t>coming</w:t>
      </w:r>
      <w:r w:rsidRPr="0031675F">
        <w:rPr>
          <w:spacing w:val="26"/>
        </w:rPr>
        <w:t xml:space="preserve"> </w:t>
      </w:r>
      <w:r w:rsidRPr="0031675F">
        <w:t>into</w:t>
      </w:r>
      <w:r w:rsidRPr="0031675F">
        <w:rPr>
          <w:spacing w:val="28"/>
        </w:rPr>
        <w:t xml:space="preserve"> </w:t>
      </w:r>
      <w:r w:rsidRPr="0031675F">
        <w:t>the</w:t>
      </w:r>
      <w:r w:rsidRPr="0031675F">
        <w:rPr>
          <w:spacing w:val="26"/>
        </w:rPr>
        <w:t xml:space="preserve"> </w:t>
      </w:r>
      <w:r w:rsidRPr="0031675F">
        <w:t>system</w:t>
      </w:r>
      <w:r w:rsidRPr="0031675F">
        <w:rPr>
          <w:spacing w:val="28"/>
        </w:rPr>
        <w:t xml:space="preserve"> </w:t>
      </w:r>
      <w:r w:rsidRPr="0031675F">
        <w:t>and</w:t>
      </w:r>
      <w:r w:rsidRPr="0031675F">
        <w:rPr>
          <w:spacing w:val="26"/>
        </w:rPr>
        <w:t xml:space="preserve"> </w:t>
      </w:r>
      <w:r w:rsidRPr="0031675F">
        <w:t>the</w:t>
      </w:r>
      <w:r w:rsidRPr="0031675F">
        <w:rPr>
          <w:spacing w:val="30"/>
        </w:rPr>
        <w:t xml:space="preserve"> </w:t>
      </w:r>
      <w:r w:rsidRPr="0031675F">
        <w:t>final</w:t>
      </w:r>
      <w:r w:rsidRPr="0031675F">
        <w:rPr>
          <w:spacing w:val="25"/>
        </w:rPr>
        <w:t xml:space="preserve"> </w:t>
      </w:r>
      <w:r w:rsidRPr="0031675F">
        <w:t>processed</w:t>
      </w:r>
      <w:r w:rsidRPr="0031675F">
        <w:rPr>
          <w:spacing w:val="26"/>
        </w:rPr>
        <w:t xml:space="preserve"> </w:t>
      </w:r>
      <w:r w:rsidRPr="0031675F">
        <w:t>data.</w:t>
      </w:r>
      <w:r w:rsidRPr="0031675F">
        <w:rPr>
          <w:spacing w:val="26"/>
        </w:rPr>
        <w:t xml:space="preserve"> </w:t>
      </w:r>
      <w:r w:rsidRPr="0031675F">
        <w:t>It</w:t>
      </w:r>
      <w:r w:rsidRPr="0031675F">
        <w:rPr>
          <w:spacing w:val="26"/>
        </w:rPr>
        <w:t xml:space="preserve"> </w:t>
      </w:r>
      <w:r w:rsidRPr="0031675F">
        <w:t>should</w:t>
      </w:r>
      <w:r w:rsidRPr="0031675F">
        <w:rPr>
          <w:spacing w:val="25"/>
        </w:rPr>
        <w:t xml:space="preserve"> </w:t>
      </w:r>
      <w:r w:rsidRPr="0031675F">
        <w:t>always</w:t>
      </w:r>
      <w:r w:rsidRPr="0031675F">
        <w:rPr>
          <w:spacing w:val="27"/>
        </w:rPr>
        <w:t xml:space="preserve"> </w:t>
      </w:r>
      <w:r w:rsidRPr="0031675F">
        <w:rPr>
          <w:spacing w:val="-2"/>
        </w:rPr>
        <w:t>be</w:t>
      </w:r>
      <w:r w:rsidRPr="0031675F">
        <w:rPr>
          <w:spacing w:val="27"/>
        </w:rPr>
        <w:t xml:space="preserve"> </w:t>
      </w:r>
      <w:r w:rsidRPr="0031675F">
        <w:t>possible</w:t>
      </w:r>
      <w:r w:rsidRPr="0031675F">
        <w:rPr>
          <w:spacing w:val="24"/>
        </w:rPr>
        <w:t xml:space="preserve"> </w:t>
      </w:r>
      <w:r w:rsidRPr="0031675F">
        <w:t>to</w:t>
      </w:r>
      <w:r w:rsidRPr="0031675F">
        <w:rPr>
          <w:spacing w:val="25"/>
        </w:rPr>
        <w:t xml:space="preserve"> </w:t>
      </w:r>
      <w:r w:rsidRPr="0031675F">
        <w:t>back-track</w:t>
      </w:r>
      <w:r w:rsidRPr="0031675F">
        <w:rPr>
          <w:spacing w:val="59"/>
        </w:rPr>
        <w:t xml:space="preserve"> </w:t>
      </w:r>
      <w:r w:rsidRPr="0031675F">
        <w:t>from</w:t>
      </w:r>
      <w:r w:rsidRPr="0031675F">
        <w:rPr>
          <w:spacing w:val="-2"/>
        </w:rPr>
        <w:t xml:space="preserve"> </w:t>
      </w:r>
      <w:r w:rsidRPr="0031675F">
        <w:t>the</w:t>
      </w:r>
      <w:r w:rsidRPr="0031675F">
        <w:rPr>
          <w:spacing w:val="-2"/>
        </w:rPr>
        <w:t xml:space="preserve"> </w:t>
      </w:r>
      <w:r w:rsidRPr="0031675F">
        <w:t xml:space="preserve">final processed </w:t>
      </w:r>
      <w:r w:rsidRPr="0031675F">
        <w:rPr>
          <w:spacing w:val="-2"/>
        </w:rPr>
        <w:t>data</w:t>
      </w:r>
      <w:r w:rsidRPr="0031675F">
        <w:t xml:space="preserve"> to</w:t>
      </w:r>
      <w:r w:rsidRPr="0031675F">
        <w:rPr>
          <w:spacing w:val="1"/>
        </w:rPr>
        <w:t xml:space="preserve"> </w:t>
      </w:r>
      <w:r w:rsidRPr="0031675F">
        <w:t>the</w:t>
      </w:r>
      <w:r w:rsidRPr="0031675F">
        <w:rPr>
          <w:spacing w:val="-2"/>
        </w:rPr>
        <w:t xml:space="preserve"> </w:t>
      </w:r>
      <w:r w:rsidRPr="0031675F">
        <w:t>raw</w:t>
      </w:r>
      <w:r w:rsidRPr="0031675F">
        <w:rPr>
          <w:spacing w:val="-2"/>
        </w:rPr>
        <w:t xml:space="preserve"> </w:t>
      </w:r>
      <w:r w:rsidRPr="0031675F">
        <w:t xml:space="preserve">data </w:t>
      </w:r>
      <w:r w:rsidRPr="0031675F">
        <w:rPr>
          <w:spacing w:val="-2"/>
        </w:rPr>
        <w:t>from</w:t>
      </w:r>
      <w:r w:rsidRPr="0031675F">
        <w:rPr>
          <w:spacing w:val="1"/>
        </w:rPr>
        <w:t xml:space="preserve"> </w:t>
      </w:r>
      <w:r w:rsidRPr="0031675F">
        <w:t>the</w:t>
      </w:r>
      <w:r w:rsidRPr="0031675F">
        <w:rPr>
          <w:spacing w:val="-2"/>
        </w:rPr>
        <w:t xml:space="preserve"> </w:t>
      </w:r>
      <w:r w:rsidRPr="0031675F">
        <w:t>instrument</w:t>
      </w:r>
      <w:r w:rsidRPr="0031675F">
        <w:rPr>
          <w:spacing w:val="-2"/>
        </w:rPr>
        <w:t xml:space="preserve"> </w:t>
      </w:r>
      <w:r w:rsidRPr="0031675F">
        <w:t>or data</w:t>
      </w:r>
      <w:r w:rsidRPr="0031675F">
        <w:rPr>
          <w:spacing w:val="-2"/>
        </w:rPr>
        <w:t xml:space="preserve"> </w:t>
      </w:r>
      <w:r w:rsidRPr="0031675F">
        <w:t>sheet.</w:t>
      </w:r>
    </w:p>
    <w:p w14:paraId="2ECA8994" w14:textId="77777777" w:rsidR="0031675F" w:rsidRPr="0031675F" w:rsidRDefault="0031675F" w:rsidP="0057756F">
      <w:r w:rsidRPr="0031675F">
        <w:t>The</w:t>
      </w:r>
      <w:r w:rsidRPr="0031675F">
        <w:rPr>
          <w:spacing w:val="3"/>
        </w:rPr>
        <w:t xml:space="preserve"> </w:t>
      </w:r>
      <w:r w:rsidRPr="0031675F">
        <w:t>Reef Plan</w:t>
      </w:r>
      <w:r w:rsidRPr="0031675F">
        <w:rPr>
          <w:spacing w:val="1"/>
        </w:rPr>
        <w:t xml:space="preserve"> </w:t>
      </w:r>
      <w:r w:rsidRPr="0031675F">
        <w:rPr>
          <w:spacing w:val="-2"/>
        </w:rPr>
        <w:t>MMP</w:t>
      </w:r>
      <w:r w:rsidRPr="0031675F">
        <w:rPr>
          <w:spacing w:val="3"/>
        </w:rPr>
        <w:t xml:space="preserve"> </w:t>
      </w:r>
      <w:r w:rsidRPr="0031675F">
        <w:t>data management</w:t>
      </w:r>
      <w:r w:rsidRPr="0031675F">
        <w:rPr>
          <w:spacing w:val="3"/>
        </w:rPr>
        <w:t xml:space="preserve"> </w:t>
      </w:r>
      <w:r w:rsidRPr="0031675F">
        <w:rPr>
          <w:spacing w:val="-2"/>
        </w:rPr>
        <w:t>system</w:t>
      </w:r>
      <w:r w:rsidRPr="0031675F">
        <w:rPr>
          <w:spacing w:val="1"/>
        </w:rPr>
        <w:t xml:space="preserve"> </w:t>
      </w:r>
      <w:r w:rsidRPr="0031675F">
        <w:t>will</w:t>
      </w:r>
      <w:r w:rsidRPr="0031675F">
        <w:rPr>
          <w:spacing w:val="2"/>
        </w:rPr>
        <w:t xml:space="preserve"> </w:t>
      </w:r>
      <w:r w:rsidRPr="0031675F">
        <w:t>centrally</w:t>
      </w:r>
      <w:r w:rsidRPr="0031675F">
        <w:rPr>
          <w:spacing w:val="3"/>
        </w:rPr>
        <w:t xml:space="preserve"> </w:t>
      </w:r>
      <w:r w:rsidRPr="0031675F">
        <w:t>store</w:t>
      </w:r>
      <w:r w:rsidRPr="0031675F">
        <w:rPr>
          <w:spacing w:val="3"/>
        </w:rPr>
        <w:t xml:space="preserve"> </w:t>
      </w:r>
      <w:r w:rsidRPr="0031675F">
        <w:t>all</w:t>
      </w:r>
      <w:r w:rsidRPr="0031675F">
        <w:rPr>
          <w:spacing w:val="2"/>
        </w:rPr>
        <w:t xml:space="preserve"> </w:t>
      </w:r>
      <w:r w:rsidRPr="0031675F">
        <w:t>the generated</w:t>
      </w:r>
      <w:r w:rsidRPr="0031675F">
        <w:rPr>
          <w:spacing w:val="2"/>
        </w:rPr>
        <w:t xml:space="preserve"> </w:t>
      </w:r>
      <w:r w:rsidRPr="0031675F">
        <w:t>data</w:t>
      </w:r>
      <w:r w:rsidRPr="0031675F">
        <w:rPr>
          <w:spacing w:val="3"/>
        </w:rPr>
        <w:t xml:space="preserve"> </w:t>
      </w:r>
      <w:r w:rsidRPr="0031675F">
        <w:t>in</w:t>
      </w:r>
      <w:r w:rsidRPr="0031675F">
        <w:rPr>
          <w:spacing w:val="1"/>
        </w:rPr>
        <w:t xml:space="preserve"> </w:t>
      </w:r>
      <w:r w:rsidRPr="0031675F">
        <w:t>an</w:t>
      </w:r>
      <w:r w:rsidRPr="0031675F">
        <w:rPr>
          <w:spacing w:val="1"/>
        </w:rPr>
        <w:t xml:space="preserve"> </w:t>
      </w:r>
      <w:r w:rsidRPr="0031675F">
        <w:t>integrated</w:t>
      </w:r>
      <w:r w:rsidRPr="0031675F">
        <w:rPr>
          <w:spacing w:val="73"/>
        </w:rPr>
        <w:t xml:space="preserve"> </w:t>
      </w:r>
      <w:r w:rsidRPr="0031675F">
        <w:t>data system</w:t>
      </w:r>
      <w:r w:rsidRPr="0031675F">
        <w:rPr>
          <w:spacing w:val="1"/>
        </w:rPr>
        <w:t xml:space="preserve"> </w:t>
      </w:r>
      <w:r w:rsidRPr="0031675F">
        <w:t>designed to</w:t>
      </w:r>
      <w:r w:rsidRPr="0031675F">
        <w:rPr>
          <w:spacing w:val="1"/>
        </w:rPr>
        <w:t xml:space="preserve"> </w:t>
      </w:r>
      <w:r w:rsidRPr="0031675F">
        <w:t>allow</w:t>
      </w:r>
      <w:r w:rsidRPr="0031675F">
        <w:rPr>
          <w:spacing w:val="1"/>
        </w:rPr>
        <w:t xml:space="preserve"> </w:t>
      </w:r>
      <w:r w:rsidRPr="0031675F">
        <w:t>cross-referencing and</w:t>
      </w:r>
      <w:r w:rsidRPr="0031675F">
        <w:rPr>
          <w:spacing w:val="-2"/>
        </w:rPr>
        <w:t xml:space="preserve"> </w:t>
      </w:r>
      <w:r w:rsidRPr="0031675F">
        <w:t>access</w:t>
      </w:r>
      <w:r w:rsidRPr="0031675F">
        <w:rPr>
          <w:spacing w:val="-2"/>
        </w:rPr>
        <w:t xml:space="preserve"> </w:t>
      </w:r>
      <w:r w:rsidRPr="0031675F">
        <w:t>to</w:t>
      </w:r>
      <w:r w:rsidRPr="0031675F">
        <w:rPr>
          <w:spacing w:val="1"/>
        </w:rPr>
        <w:t xml:space="preserve"> </w:t>
      </w:r>
      <w:r w:rsidRPr="0031675F">
        <w:t xml:space="preserve">related data. The data will be described </w:t>
      </w:r>
      <w:r w:rsidRPr="0031675F">
        <w:rPr>
          <w:spacing w:val="-2"/>
        </w:rPr>
        <w:t>in</w:t>
      </w:r>
      <w:r w:rsidRPr="0031675F">
        <w:rPr>
          <w:spacing w:val="61"/>
        </w:rPr>
        <w:t xml:space="preserve"> </w:t>
      </w:r>
      <w:r w:rsidRPr="0031675F">
        <w:t>a</w:t>
      </w:r>
      <w:r w:rsidRPr="0031675F">
        <w:rPr>
          <w:spacing w:val="2"/>
        </w:rPr>
        <w:t xml:space="preserve"> </w:t>
      </w:r>
      <w:r w:rsidRPr="0031675F">
        <w:t xml:space="preserve">metadata </w:t>
      </w:r>
      <w:r w:rsidRPr="0031675F">
        <w:rPr>
          <w:spacing w:val="-2"/>
        </w:rPr>
        <w:t>system</w:t>
      </w:r>
      <w:r w:rsidRPr="0031675F">
        <w:rPr>
          <w:spacing w:val="1"/>
        </w:rPr>
        <w:t xml:space="preserve"> </w:t>
      </w:r>
      <w:r w:rsidRPr="0031675F">
        <w:t>and</w:t>
      </w:r>
      <w:r w:rsidRPr="0031675F">
        <w:rPr>
          <w:spacing w:val="2"/>
        </w:rPr>
        <w:t xml:space="preserve"> </w:t>
      </w:r>
      <w:r w:rsidRPr="0031675F">
        <w:t>procedures will</w:t>
      </w:r>
      <w:r w:rsidRPr="0031675F">
        <w:rPr>
          <w:spacing w:val="2"/>
        </w:rPr>
        <w:t xml:space="preserve"> </w:t>
      </w:r>
      <w:r w:rsidRPr="0031675F">
        <w:t>be developed</w:t>
      </w:r>
      <w:r w:rsidRPr="0031675F">
        <w:rPr>
          <w:spacing w:val="2"/>
        </w:rPr>
        <w:t xml:space="preserve"> </w:t>
      </w:r>
      <w:r w:rsidRPr="0031675F">
        <w:t>for</w:t>
      </w:r>
      <w:r w:rsidRPr="0031675F">
        <w:rPr>
          <w:spacing w:val="2"/>
        </w:rPr>
        <w:t xml:space="preserve"> </w:t>
      </w:r>
      <w:r w:rsidRPr="0031675F">
        <w:t>people to</w:t>
      </w:r>
      <w:r w:rsidRPr="0031675F">
        <w:rPr>
          <w:spacing w:val="3"/>
        </w:rPr>
        <w:t xml:space="preserve"> </w:t>
      </w:r>
      <w:r w:rsidRPr="0031675F">
        <w:t>query</w:t>
      </w:r>
      <w:r w:rsidRPr="0031675F">
        <w:rPr>
          <w:spacing w:val="3"/>
        </w:rPr>
        <w:t xml:space="preserve"> </w:t>
      </w:r>
      <w:r w:rsidRPr="0031675F">
        <w:t>and access</w:t>
      </w:r>
      <w:r w:rsidRPr="0031675F">
        <w:rPr>
          <w:spacing w:val="3"/>
        </w:rPr>
        <w:t xml:space="preserve"> </w:t>
      </w:r>
      <w:r w:rsidRPr="0031675F">
        <w:t>the</w:t>
      </w:r>
      <w:r w:rsidRPr="0031675F">
        <w:rPr>
          <w:spacing w:val="3"/>
        </w:rPr>
        <w:t xml:space="preserve"> </w:t>
      </w:r>
      <w:r w:rsidRPr="0031675F">
        <w:t>data. The focus</w:t>
      </w:r>
      <w:r w:rsidRPr="0031675F">
        <w:rPr>
          <w:spacing w:val="71"/>
        </w:rPr>
        <w:t xml:space="preserve"> </w:t>
      </w:r>
      <w:r w:rsidRPr="0031675F">
        <w:t>is</w:t>
      </w:r>
      <w:r w:rsidRPr="0031675F">
        <w:rPr>
          <w:spacing w:val="11"/>
        </w:rPr>
        <w:t xml:space="preserve"> </w:t>
      </w:r>
      <w:r w:rsidRPr="0031675F">
        <w:t>on</w:t>
      </w:r>
      <w:r w:rsidRPr="0031675F">
        <w:rPr>
          <w:spacing w:val="11"/>
        </w:rPr>
        <w:t xml:space="preserve"> </w:t>
      </w:r>
      <w:r w:rsidRPr="0031675F">
        <w:t>getting</w:t>
      </w:r>
      <w:r w:rsidRPr="0031675F">
        <w:rPr>
          <w:spacing w:val="11"/>
        </w:rPr>
        <w:t xml:space="preserve"> </w:t>
      </w:r>
      <w:r w:rsidRPr="0031675F">
        <w:t>the</w:t>
      </w:r>
      <w:r w:rsidRPr="0031675F">
        <w:rPr>
          <w:spacing w:val="12"/>
        </w:rPr>
        <w:t xml:space="preserve"> </w:t>
      </w:r>
      <w:r w:rsidRPr="0031675F">
        <w:t>data</w:t>
      </w:r>
      <w:r w:rsidRPr="0031675F">
        <w:rPr>
          <w:spacing w:val="12"/>
        </w:rPr>
        <w:t xml:space="preserve"> </w:t>
      </w:r>
      <w:r w:rsidRPr="0031675F">
        <w:t>into</w:t>
      </w:r>
      <w:r w:rsidRPr="0031675F">
        <w:rPr>
          <w:spacing w:val="11"/>
        </w:rPr>
        <w:t xml:space="preserve"> </w:t>
      </w:r>
      <w:r w:rsidRPr="0031675F">
        <w:t>the</w:t>
      </w:r>
      <w:r w:rsidRPr="0031675F">
        <w:rPr>
          <w:spacing w:val="12"/>
        </w:rPr>
        <w:t xml:space="preserve"> </w:t>
      </w:r>
      <w:r w:rsidRPr="0031675F">
        <w:t>AIMS</w:t>
      </w:r>
      <w:r w:rsidRPr="0031675F">
        <w:rPr>
          <w:spacing w:val="11"/>
        </w:rPr>
        <w:t xml:space="preserve"> </w:t>
      </w:r>
      <w:r w:rsidRPr="0031675F">
        <w:t>central</w:t>
      </w:r>
      <w:r w:rsidRPr="0031675F">
        <w:rPr>
          <w:spacing w:val="11"/>
        </w:rPr>
        <w:t xml:space="preserve"> </w:t>
      </w:r>
      <w:r w:rsidRPr="0031675F">
        <w:t>database</w:t>
      </w:r>
      <w:r w:rsidRPr="0031675F">
        <w:rPr>
          <w:spacing w:val="14"/>
        </w:rPr>
        <w:t xml:space="preserve"> </w:t>
      </w:r>
      <w:r w:rsidRPr="0031675F">
        <w:t>and</w:t>
      </w:r>
      <w:r w:rsidRPr="0031675F">
        <w:rPr>
          <w:spacing w:val="11"/>
        </w:rPr>
        <w:t xml:space="preserve"> </w:t>
      </w:r>
      <w:r w:rsidRPr="0031675F">
        <w:t>ensuring</w:t>
      </w:r>
      <w:r w:rsidRPr="0031675F">
        <w:rPr>
          <w:spacing w:val="11"/>
        </w:rPr>
        <w:t xml:space="preserve"> </w:t>
      </w:r>
      <w:r w:rsidRPr="0031675F">
        <w:t>and</w:t>
      </w:r>
      <w:r w:rsidRPr="0031675F">
        <w:rPr>
          <w:spacing w:val="11"/>
        </w:rPr>
        <w:t xml:space="preserve"> </w:t>
      </w:r>
      <w:r w:rsidRPr="0031675F">
        <w:t>documenting</w:t>
      </w:r>
      <w:r w:rsidRPr="0031675F">
        <w:rPr>
          <w:spacing w:val="11"/>
        </w:rPr>
        <w:t xml:space="preserve"> </w:t>
      </w:r>
      <w:r w:rsidRPr="0031675F">
        <w:t>the</w:t>
      </w:r>
      <w:r w:rsidRPr="0031675F">
        <w:rPr>
          <w:spacing w:val="12"/>
        </w:rPr>
        <w:t xml:space="preserve"> </w:t>
      </w:r>
      <w:r w:rsidRPr="0031675F">
        <w:t>quality</w:t>
      </w:r>
      <w:r w:rsidRPr="0031675F">
        <w:rPr>
          <w:spacing w:val="13"/>
        </w:rPr>
        <w:t xml:space="preserve"> </w:t>
      </w:r>
      <w:r w:rsidRPr="0031675F">
        <w:t>of</w:t>
      </w:r>
      <w:r w:rsidRPr="0031675F">
        <w:rPr>
          <w:spacing w:val="12"/>
        </w:rPr>
        <w:t xml:space="preserve"> </w:t>
      </w:r>
      <w:r w:rsidRPr="0031675F">
        <w:t>the</w:t>
      </w:r>
      <w:r w:rsidRPr="0031675F">
        <w:rPr>
          <w:spacing w:val="71"/>
        </w:rPr>
        <w:t xml:space="preserve"> </w:t>
      </w:r>
      <w:r w:rsidRPr="0031675F">
        <w:t>data.</w:t>
      </w:r>
    </w:p>
    <w:p w14:paraId="2B0CCE2E" w14:textId="77777777" w:rsidR="0031675F" w:rsidRPr="0031675F" w:rsidRDefault="0031675F" w:rsidP="0031675F">
      <w:pPr>
        <w:spacing w:before="12"/>
        <w:rPr>
          <w:rFonts w:cs="Calibri"/>
          <w:sz w:val="21"/>
          <w:szCs w:val="21"/>
        </w:rPr>
      </w:pPr>
    </w:p>
    <w:p w14:paraId="254E8544" w14:textId="77777777" w:rsidR="0031675F" w:rsidRPr="0031675F" w:rsidRDefault="0031675F" w:rsidP="0031675F">
      <w:pPr>
        <w:widowControl w:val="0"/>
        <w:numPr>
          <w:ilvl w:val="1"/>
          <w:numId w:val="64"/>
        </w:numPr>
        <w:tabs>
          <w:tab w:val="left" w:pos="859"/>
        </w:tabs>
        <w:spacing w:before="0" w:after="0" w:line="240" w:lineRule="auto"/>
        <w:jc w:val="both"/>
        <w:rPr>
          <w:rFonts w:eastAsia="Arial" w:cs="Arial"/>
          <w:sz w:val="24"/>
          <w:szCs w:val="24"/>
        </w:rPr>
      </w:pPr>
      <w:r w:rsidRPr="0031675F">
        <w:rPr>
          <w:b/>
          <w:sz w:val="24"/>
        </w:rPr>
        <w:t>Data</w:t>
      </w:r>
      <w:r w:rsidRPr="0031675F">
        <w:rPr>
          <w:b/>
          <w:spacing w:val="1"/>
          <w:sz w:val="24"/>
        </w:rPr>
        <w:t xml:space="preserve"> </w:t>
      </w:r>
      <w:r w:rsidRPr="0031675F">
        <w:rPr>
          <w:b/>
          <w:sz w:val="24"/>
        </w:rPr>
        <w:t>storage</w:t>
      </w:r>
    </w:p>
    <w:p w14:paraId="5A49E6E2" w14:textId="77777777" w:rsidR="0031675F" w:rsidRPr="0031675F" w:rsidRDefault="0031675F" w:rsidP="0057756F">
      <w:pPr>
        <w:rPr>
          <w:rFonts w:cs="Calibri"/>
        </w:rPr>
      </w:pPr>
      <w:r w:rsidRPr="0031675F">
        <w:t>All</w:t>
      </w:r>
      <w:r w:rsidRPr="0031675F">
        <w:rPr>
          <w:spacing w:val="28"/>
        </w:rPr>
        <w:t xml:space="preserve"> </w:t>
      </w:r>
      <w:r w:rsidRPr="0031675F">
        <w:t>data</w:t>
      </w:r>
      <w:r w:rsidRPr="0031675F">
        <w:rPr>
          <w:spacing w:val="29"/>
        </w:rPr>
        <w:t xml:space="preserve"> </w:t>
      </w:r>
      <w:r w:rsidRPr="0031675F">
        <w:t>will</w:t>
      </w:r>
      <w:r w:rsidRPr="0031675F">
        <w:rPr>
          <w:spacing w:val="29"/>
        </w:rPr>
        <w:t xml:space="preserve"> </w:t>
      </w:r>
      <w:r w:rsidRPr="0031675F">
        <w:t>be</w:t>
      </w:r>
      <w:r w:rsidRPr="0031675F">
        <w:rPr>
          <w:spacing w:val="29"/>
        </w:rPr>
        <w:t xml:space="preserve"> </w:t>
      </w:r>
      <w:r w:rsidRPr="0031675F">
        <w:t>stored</w:t>
      </w:r>
      <w:r w:rsidRPr="0031675F">
        <w:rPr>
          <w:spacing w:val="29"/>
        </w:rPr>
        <w:t xml:space="preserve"> </w:t>
      </w:r>
      <w:r w:rsidRPr="0031675F">
        <w:t>in</w:t>
      </w:r>
      <w:r w:rsidRPr="0031675F">
        <w:rPr>
          <w:spacing w:val="28"/>
        </w:rPr>
        <w:t xml:space="preserve"> </w:t>
      </w:r>
      <w:r w:rsidRPr="0031675F">
        <w:t>the</w:t>
      </w:r>
      <w:r w:rsidRPr="0031675F">
        <w:rPr>
          <w:spacing w:val="30"/>
        </w:rPr>
        <w:t xml:space="preserve"> </w:t>
      </w:r>
      <w:r w:rsidRPr="0031675F">
        <w:t>Institutes</w:t>
      </w:r>
      <w:r w:rsidRPr="0031675F">
        <w:rPr>
          <w:spacing w:val="26"/>
        </w:rPr>
        <w:t xml:space="preserve"> </w:t>
      </w:r>
      <w:r w:rsidRPr="0031675F">
        <w:rPr>
          <w:spacing w:val="-2"/>
        </w:rPr>
        <w:t>Oracle</w:t>
      </w:r>
      <w:r w:rsidRPr="0031675F">
        <w:rPr>
          <w:spacing w:val="30"/>
        </w:rPr>
        <w:t xml:space="preserve"> </w:t>
      </w:r>
      <w:r w:rsidRPr="0031675F">
        <w:t>9i</w:t>
      </w:r>
      <w:r w:rsidRPr="0031675F">
        <w:rPr>
          <w:spacing w:val="29"/>
        </w:rPr>
        <w:t xml:space="preserve"> </w:t>
      </w:r>
      <w:r w:rsidRPr="0031675F">
        <w:t>database.</w:t>
      </w:r>
      <w:r w:rsidRPr="0031675F">
        <w:rPr>
          <w:spacing w:val="28"/>
        </w:rPr>
        <w:t xml:space="preserve"> </w:t>
      </w:r>
      <w:r w:rsidRPr="0031675F">
        <w:t>This</w:t>
      </w:r>
      <w:r w:rsidRPr="0031675F">
        <w:rPr>
          <w:spacing w:val="29"/>
        </w:rPr>
        <w:t xml:space="preserve"> </w:t>
      </w:r>
      <w:r w:rsidRPr="0031675F">
        <w:t>is</w:t>
      </w:r>
      <w:r w:rsidRPr="0031675F">
        <w:rPr>
          <w:spacing w:val="29"/>
        </w:rPr>
        <w:t xml:space="preserve"> </w:t>
      </w:r>
      <w:r w:rsidRPr="0031675F">
        <w:t>located</w:t>
      </w:r>
      <w:r w:rsidRPr="0031675F">
        <w:rPr>
          <w:spacing w:val="29"/>
        </w:rPr>
        <w:t xml:space="preserve"> </w:t>
      </w:r>
      <w:r w:rsidRPr="0031675F">
        <w:t>on</w:t>
      </w:r>
      <w:r w:rsidRPr="0031675F">
        <w:rPr>
          <w:spacing w:val="25"/>
        </w:rPr>
        <w:t xml:space="preserve"> </w:t>
      </w:r>
      <w:r w:rsidRPr="0031675F">
        <w:t>a</w:t>
      </w:r>
      <w:r w:rsidRPr="0031675F">
        <w:rPr>
          <w:spacing w:val="29"/>
        </w:rPr>
        <w:t xml:space="preserve"> </w:t>
      </w:r>
      <w:r w:rsidRPr="0031675F">
        <w:t>secured</w:t>
      </w:r>
      <w:r w:rsidRPr="0031675F">
        <w:rPr>
          <w:spacing w:val="28"/>
        </w:rPr>
        <w:t xml:space="preserve"> </w:t>
      </w:r>
      <w:r w:rsidRPr="0031675F">
        <w:t>central</w:t>
      </w:r>
      <w:r w:rsidRPr="0031675F">
        <w:rPr>
          <w:spacing w:val="27"/>
        </w:rPr>
        <w:t xml:space="preserve"> </w:t>
      </w:r>
      <w:r w:rsidRPr="0031675F">
        <w:t>UNIX</w:t>
      </w:r>
      <w:r w:rsidRPr="0031675F">
        <w:rPr>
          <w:spacing w:val="63"/>
        </w:rPr>
        <w:t xml:space="preserve"> </w:t>
      </w:r>
      <w:r w:rsidRPr="0031675F">
        <w:t>server</w:t>
      </w:r>
      <w:r w:rsidRPr="0031675F">
        <w:rPr>
          <w:spacing w:val="28"/>
        </w:rPr>
        <w:t xml:space="preserve"> </w:t>
      </w:r>
      <w:r w:rsidRPr="0031675F">
        <w:t>which</w:t>
      </w:r>
      <w:r w:rsidRPr="0031675F">
        <w:rPr>
          <w:spacing w:val="28"/>
        </w:rPr>
        <w:t xml:space="preserve"> </w:t>
      </w:r>
      <w:r w:rsidRPr="0031675F">
        <w:t>is</w:t>
      </w:r>
      <w:r w:rsidRPr="0031675F">
        <w:rPr>
          <w:spacing w:val="29"/>
        </w:rPr>
        <w:t xml:space="preserve"> </w:t>
      </w:r>
      <w:r w:rsidRPr="0031675F">
        <w:t>protected</w:t>
      </w:r>
      <w:r w:rsidRPr="0031675F">
        <w:rPr>
          <w:spacing w:val="25"/>
        </w:rPr>
        <w:t xml:space="preserve"> </w:t>
      </w:r>
      <w:r w:rsidRPr="0031675F">
        <w:t>by</w:t>
      </w:r>
      <w:r w:rsidRPr="0031675F">
        <w:rPr>
          <w:spacing w:val="30"/>
        </w:rPr>
        <w:t xml:space="preserve"> </w:t>
      </w:r>
      <w:r w:rsidRPr="0031675F">
        <w:t>a</w:t>
      </w:r>
      <w:r w:rsidRPr="0031675F">
        <w:rPr>
          <w:spacing w:val="29"/>
        </w:rPr>
        <w:t xml:space="preserve"> </w:t>
      </w:r>
      <w:r w:rsidRPr="0031675F">
        <w:t>UPS</w:t>
      </w:r>
      <w:r w:rsidRPr="0031675F">
        <w:rPr>
          <w:spacing w:val="28"/>
        </w:rPr>
        <w:t xml:space="preserve"> </w:t>
      </w:r>
      <w:r w:rsidRPr="0031675F">
        <w:t>power</w:t>
      </w:r>
      <w:r w:rsidRPr="0031675F">
        <w:rPr>
          <w:spacing w:val="28"/>
        </w:rPr>
        <w:t xml:space="preserve"> </w:t>
      </w:r>
      <w:r w:rsidRPr="0031675F">
        <w:t>supply</w:t>
      </w:r>
      <w:r w:rsidRPr="0031675F">
        <w:rPr>
          <w:spacing w:val="29"/>
        </w:rPr>
        <w:t xml:space="preserve"> </w:t>
      </w:r>
      <w:r w:rsidRPr="0031675F">
        <w:rPr>
          <w:spacing w:val="-2"/>
        </w:rPr>
        <w:t>and</w:t>
      </w:r>
      <w:r w:rsidRPr="0031675F">
        <w:rPr>
          <w:spacing w:val="28"/>
        </w:rPr>
        <w:t xml:space="preserve"> </w:t>
      </w:r>
      <w:r w:rsidRPr="0031675F">
        <w:t>fire</w:t>
      </w:r>
      <w:r w:rsidRPr="0031675F">
        <w:rPr>
          <w:spacing w:val="29"/>
        </w:rPr>
        <w:t xml:space="preserve"> </w:t>
      </w:r>
      <w:r w:rsidRPr="0031675F">
        <w:t>suppression</w:t>
      </w:r>
      <w:r w:rsidRPr="0031675F">
        <w:rPr>
          <w:spacing w:val="28"/>
        </w:rPr>
        <w:t xml:space="preserve"> </w:t>
      </w:r>
      <w:r w:rsidRPr="0031675F">
        <w:t>systems.</w:t>
      </w:r>
      <w:r w:rsidRPr="0031675F">
        <w:rPr>
          <w:spacing w:val="29"/>
        </w:rPr>
        <w:t xml:space="preserve"> </w:t>
      </w:r>
      <w:r w:rsidRPr="0031675F">
        <w:rPr>
          <w:spacing w:val="1"/>
        </w:rPr>
        <w:t>The</w:t>
      </w:r>
      <w:r w:rsidRPr="0031675F">
        <w:rPr>
          <w:spacing w:val="30"/>
        </w:rPr>
        <w:t xml:space="preserve"> </w:t>
      </w:r>
      <w:r w:rsidRPr="0031675F">
        <w:t>Oracle</w:t>
      </w:r>
      <w:r w:rsidRPr="0031675F">
        <w:rPr>
          <w:spacing w:val="29"/>
        </w:rPr>
        <w:t xml:space="preserve"> </w:t>
      </w:r>
      <w:r w:rsidRPr="0031675F">
        <w:t>database</w:t>
      </w:r>
      <w:r w:rsidRPr="0031675F">
        <w:rPr>
          <w:spacing w:val="50"/>
        </w:rPr>
        <w:t xml:space="preserve"> </w:t>
      </w:r>
      <w:r w:rsidRPr="0031675F">
        <w:rPr>
          <w:rFonts w:cs="Calibri"/>
        </w:rPr>
        <w:t>operates</w:t>
      </w:r>
      <w:r w:rsidRPr="0031675F">
        <w:rPr>
          <w:rFonts w:cs="Calibri"/>
          <w:spacing w:val="1"/>
        </w:rPr>
        <w:t xml:space="preserve"> </w:t>
      </w:r>
      <w:r w:rsidRPr="0031675F">
        <w:rPr>
          <w:rFonts w:cs="Calibri"/>
        </w:rPr>
        <w:t>in a</w:t>
      </w:r>
      <w:r w:rsidRPr="0031675F">
        <w:rPr>
          <w:rFonts w:cs="Calibri"/>
          <w:spacing w:val="-2"/>
        </w:rPr>
        <w:t xml:space="preserve"> </w:t>
      </w:r>
      <w:r w:rsidRPr="0031675F">
        <w:rPr>
          <w:rFonts w:cs="Calibri"/>
        </w:rPr>
        <w:t>‘zero</w:t>
      </w:r>
      <w:r w:rsidRPr="0031675F">
        <w:rPr>
          <w:rFonts w:cs="Calibri"/>
          <w:spacing w:val="1"/>
        </w:rPr>
        <w:t xml:space="preserve"> </w:t>
      </w:r>
      <w:r w:rsidRPr="0031675F">
        <w:rPr>
          <w:rFonts w:cs="Calibri"/>
        </w:rPr>
        <w:t>data loss’ mode</w:t>
      </w:r>
      <w:r w:rsidRPr="0031675F">
        <w:rPr>
          <w:rFonts w:cs="Calibri"/>
          <w:spacing w:val="-2"/>
        </w:rPr>
        <w:t xml:space="preserve"> </w:t>
      </w:r>
      <w:r w:rsidRPr="0031675F">
        <w:rPr>
          <w:rFonts w:cs="Calibri"/>
        </w:rPr>
        <w:t>with</w:t>
      </w:r>
      <w:r w:rsidRPr="0031675F">
        <w:rPr>
          <w:rFonts w:cs="Calibri"/>
          <w:spacing w:val="-2"/>
        </w:rPr>
        <w:t xml:space="preserve"> </w:t>
      </w:r>
      <w:r w:rsidRPr="0031675F">
        <w:rPr>
          <w:rFonts w:cs="Calibri"/>
        </w:rPr>
        <w:t>the following</w:t>
      </w:r>
      <w:r w:rsidRPr="0031675F">
        <w:rPr>
          <w:rFonts w:cs="Calibri"/>
          <w:spacing w:val="-4"/>
        </w:rPr>
        <w:t xml:space="preserve"> </w:t>
      </w:r>
      <w:r w:rsidRPr="0031675F">
        <w:rPr>
          <w:rFonts w:cs="Calibri"/>
        </w:rPr>
        <w:t>backups:</w:t>
      </w:r>
    </w:p>
    <w:p w14:paraId="602B60FD" w14:textId="77777777" w:rsidR="0031675F" w:rsidRPr="0031675F" w:rsidRDefault="0031675F" w:rsidP="0031675F">
      <w:pPr>
        <w:widowControl w:val="0"/>
        <w:numPr>
          <w:ilvl w:val="0"/>
          <w:numId w:val="63"/>
        </w:numPr>
        <w:tabs>
          <w:tab w:val="left" w:pos="861"/>
        </w:tabs>
        <w:spacing w:before="121" w:after="0" w:line="240" w:lineRule="auto"/>
      </w:pPr>
      <w:r w:rsidRPr="0031675F">
        <w:rPr>
          <w:spacing w:val="-1"/>
        </w:rPr>
        <w:t>Nightly</w:t>
      </w:r>
      <w:r w:rsidRPr="0031675F">
        <w:rPr>
          <w:spacing w:val="1"/>
        </w:rPr>
        <w:t xml:space="preserve"> </w:t>
      </w:r>
      <w:r w:rsidRPr="0031675F">
        <w:rPr>
          <w:spacing w:val="-1"/>
        </w:rPr>
        <w:t>backups</w:t>
      </w:r>
      <w:r w:rsidRPr="0031675F">
        <w:t xml:space="preserve"> </w:t>
      </w:r>
      <w:r w:rsidRPr="0031675F">
        <w:rPr>
          <w:spacing w:val="-1"/>
        </w:rPr>
        <w:t xml:space="preserve">to </w:t>
      </w:r>
      <w:r w:rsidRPr="0031675F">
        <w:t>tape</w:t>
      </w:r>
      <w:r w:rsidRPr="0031675F">
        <w:rPr>
          <w:spacing w:val="-2"/>
        </w:rPr>
        <w:t xml:space="preserve"> </w:t>
      </w:r>
      <w:r w:rsidRPr="0031675F">
        <w:t>via</w:t>
      </w:r>
      <w:r w:rsidRPr="0031675F">
        <w:rPr>
          <w:spacing w:val="-3"/>
        </w:rPr>
        <w:t xml:space="preserve"> </w:t>
      </w:r>
      <w:r w:rsidRPr="0031675F">
        <w:rPr>
          <w:spacing w:val="-1"/>
        </w:rPr>
        <w:t>Export</w:t>
      </w:r>
      <w:r w:rsidRPr="0031675F">
        <w:rPr>
          <w:spacing w:val="-2"/>
        </w:rPr>
        <w:t xml:space="preserve"> </w:t>
      </w:r>
      <w:r w:rsidRPr="0031675F">
        <w:t xml:space="preserve">of </w:t>
      </w:r>
      <w:r w:rsidRPr="0031675F">
        <w:rPr>
          <w:spacing w:val="-1"/>
        </w:rPr>
        <w:t>the</w:t>
      </w:r>
      <w:r w:rsidRPr="0031675F">
        <w:rPr>
          <w:spacing w:val="-2"/>
        </w:rPr>
        <w:t xml:space="preserve"> </w:t>
      </w:r>
      <w:r w:rsidRPr="0031675F">
        <w:rPr>
          <w:spacing w:val="-1"/>
        </w:rPr>
        <w:t>main</w:t>
      </w:r>
      <w:r w:rsidRPr="0031675F">
        <w:rPr>
          <w:spacing w:val="-2"/>
        </w:rPr>
        <w:t xml:space="preserve"> database.</w:t>
      </w:r>
    </w:p>
    <w:p w14:paraId="7B34B188" w14:textId="77777777" w:rsidR="0031675F" w:rsidRPr="0031675F" w:rsidRDefault="0031675F" w:rsidP="0031675F">
      <w:pPr>
        <w:widowControl w:val="0"/>
        <w:numPr>
          <w:ilvl w:val="0"/>
          <w:numId w:val="63"/>
        </w:numPr>
        <w:tabs>
          <w:tab w:val="left" w:pos="861"/>
        </w:tabs>
        <w:spacing w:before="130" w:after="0" w:line="240" w:lineRule="auto"/>
        <w:rPr>
          <w:rFonts w:cs="Calibri"/>
        </w:rPr>
      </w:pPr>
      <w:r w:rsidRPr="0031675F">
        <w:rPr>
          <w:spacing w:val="-1"/>
        </w:rPr>
        <w:t>Mid-</w:t>
      </w:r>
      <w:r w:rsidRPr="0031675F">
        <w:rPr>
          <w:rFonts w:cs="Calibri"/>
          <w:spacing w:val="-1"/>
        </w:rPr>
        <w:t>day</w:t>
      </w:r>
      <w:r w:rsidRPr="0031675F">
        <w:rPr>
          <w:rFonts w:cs="Calibri"/>
          <w:spacing w:val="1"/>
        </w:rPr>
        <w:t xml:space="preserve"> </w:t>
      </w:r>
      <w:r w:rsidRPr="0031675F">
        <w:rPr>
          <w:rFonts w:cs="Calibri"/>
          <w:spacing w:val="-1"/>
        </w:rPr>
        <w:t>‘hot</w:t>
      </w:r>
      <w:r w:rsidRPr="0031675F">
        <w:rPr>
          <w:spacing w:val="-1"/>
        </w:rPr>
        <w:t>-</w:t>
      </w:r>
      <w:r w:rsidRPr="0031675F">
        <w:rPr>
          <w:rFonts w:cs="Calibri"/>
          <w:spacing w:val="-1"/>
        </w:rPr>
        <w:t>backup’</w:t>
      </w:r>
      <w:r w:rsidRPr="0031675F">
        <w:rPr>
          <w:rFonts w:cs="Calibri"/>
          <w:spacing w:val="-2"/>
        </w:rPr>
        <w:t xml:space="preserve"> </w:t>
      </w:r>
      <w:r w:rsidRPr="0031675F">
        <w:rPr>
          <w:rFonts w:cs="Calibri"/>
        </w:rPr>
        <w:t>to</w:t>
      </w:r>
      <w:r w:rsidRPr="0031675F">
        <w:rPr>
          <w:rFonts w:cs="Calibri"/>
          <w:spacing w:val="-1"/>
        </w:rPr>
        <w:t xml:space="preserve"> </w:t>
      </w:r>
      <w:r w:rsidRPr="0031675F">
        <w:rPr>
          <w:rFonts w:cs="Calibri"/>
        </w:rPr>
        <w:t xml:space="preserve">disk </w:t>
      </w:r>
      <w:r w:rsidRPr="0031675F">
        <w:rPr>
          <w:rFonts w:cs="Calibri"/>
          <w:spacing w:val="-1"/>
        </w:rPr>
        <w:t>using Oracles</w:t>
      </w:r>
      <w:r w:rsidRPr="0031675F">
        <w:rPr>
          <w:rFonts w:cs="Calibri"/>
          <w:spacing w:val="1"/>
        </w:rPr>
        <w:t xml:space="preserve"> </w:t>
      </w:r>
      <w:r w:rsidRPr="0031675F">
        <w:rPr>
          <w:rFonts w:cs="Calibri"/>
          <w:spacing w:val="-1"/>
        </w:rPr>
        <w:t>backup utility.</w:t>
      </w:r>
    </w:p>
    <w:p w14:paraId="2F8BB6A1" w14:textId="77777777" w:rsidR="0031675F" w:rsidRPr="0031675F" w:rsidRDefault="0031675F" w:rsidP="0031675F">
      <w:pPr>
        <w:widowControl w:val="0"/>
        <w:numPr>
          <w:ilvl w:val="0"/>
          <w:numId w:val="63"/>
        </w:numPr>
        <w:tabs>
          <w:tab w:val="left" w:pos="861"/>
        </w:tabs>
        <w:spacing w:before="132" w:after="0" w:line="251" w:lineRule="auto"/>
        <w:ind w:right="134"/>
      </w:pPr>
      <w:r w:rsidRPr="0031675F">
        <w:t>Log</w:t>
      </w:r>
      <w:r w:rsidRPr="0031675F">
        <w:rPr>
          <w:spacing w:val="2"/>
        </w:rPr>
        <w:t xml:space="preserve"> </w:t>
      </w:r>
      <w:r w:rsidRPr="0031675F">
        <w:rPr>
          <w:spacing w:val="-1"/>
        </w:rPr>
        <w:t>files</w:t>
      </w:r>
      <w:r w:rsidRPr="0031675F">
        <w:rPr>
          <w:spacing w:val="3"/>
        </w:rPr>
        <w:t xml:space="preserve"> </w:t>
      </w:r>
      <w:r w:rsidRPr="0031675F">
        <w:rPr>
          <w:spacing w:val="-1"/>
        </w:rPr>
        <w:t>are</w:t>
      </w:r>
      <w:r w:rsidRPr="0031675F">
        <w:rPr>
          <w:spacing w:val="3"/>
        </w:rPr>
        <w:t xml:space="preserve"> </w:t>
      </w:r>
      <w:r w:rsidRPr="0031675F">
        <w:rPr>
          <w:spacing w:val="-1"/>
        </w:rPr>
        <w:t xml:space="preserve">stored </w:t>
      </w:r>
      <w:r w:rsidRPr="0031675F">
        <w:t>on</w:t>
      </w:r>
      <w:r w:rsidRPr="0031675F">
        <w:rPr>
          <w:spacing w:val="2"/>
        </w:rPr>
        <w:t xml:space="preserve"> </w:t>
      </w:r>
      <w:r w:rsidRPr="0031675F">
        <w:t>a</w:t>
      </w:r>
      <w:r w:rsidRPr="0031675F">
        <w:rPr>
          <w:spacing w:val="2"/>
        </w:rPr>
        <w:t xml:space="preserve"> </w:t>
      </w:r>
      <w:r w:rsidRPr="0031675F">
        <w:rPr>
          <w:spacing w:val="-1"/>
        </w:rPr>
        <w:t>separate</w:t>
      </w:r>
      <w:r w:rsidRPr="0031675F">
        <w:rPr>
          <w:spacing w:val="3"/>
        </w:rPr>
        <w:t xml:space="preserve"> </w:t>
      </w:r>
      <w:r w:rsidRPr="0031675F">
        <w:rPr>
          <w:spacing w:val="-1"/>
        </w:rPr>
        <w:t>server</w:t>
      </w:r>
      <w:r w:rsidRPr="0031675F">
        <w:rPr>
          <w:spacing w:val="3"/>
        </w:rPr>
        <w:t xml:space="preserve"> </w:t>
      </w:r>
      <w:r w:rsidRPr="0031675F">
        <w:rPr>
          <w:spacing w:val="-1"/>
        </w:rPr>
        <w:t>allowing</w:t>
      </w:r>
      <w:r w:rsidRPr="0031675F">
        <w:rPr>
          <w:spacing w:val="1"/>
        </w:rPr>
        <w:t xml:space="preserve"> </w:t>
      </w:r>
      <w:r w:rsidRPr="0031675F">
        <w:rPr>
          <w:spacing w:val="-1"/>
        </w:rPr>
        <w:t>for</w:t>
      </w:r>
      <w:r w:rsidRPr="0031675F">
        <w:rPr>
          <w:spacing w:val="7"/>
        </w:rPr>
        <w:t xml:space="preserve"> </w:t>
      </w:r>
      <w:r w:rsidRPr="0031675F">
        <w:rPr>
          <w:spacing w:val="-1"/>
        </w:rPr>
        <w:t>complete</w:t>
      </w:r>
      <w:r w:rsidRPr="0031675F">
        <w:rPr>
          <w:spacing w:val="3"/>
        </w:rPr>
        <w:t xml:space="preserve"> </w:t>
      </w:r>
      <w:r w:rsidRPr="0031675F">
        <w:rPr>
          <w:spacing w:val="-1"/>
        </w:rPr>
        <w:t>roll-back</w:t>
      </w:r>
      <w:r w:rsidRPr="0031675F">
        <w:rPr>
          <w:spacing w:val="3"/>
        </w:rPr>
        <w:t xml:space="preserve"> </w:t>
      </w:r>
      <w:r w:rsidRPr="0031675F">
        <w:rPr>
          <w:spacing w:val="-1"/>
        </w:rPr>
        <w:t>and</w:t>
      </w:r>
      <w:r w:rsidRPr="0031675F">
        <w:rPr>
          <w:spacing w:val="2"/>
        </w:rPr>
        <w:t xml:space="preserve"> </w:t>
      </w:r>
      <w:r w:rsidRPr="0031675F">
        <w:rPr>
          <w:spacing w:val="-1"/>
        </w:rPr>
        <w:t xml:space="preserve">roll-forward </w:t>
      </w:r>
      <w:r w:rsidRPr="0031675F">
        <w:t>of</w:t>
      </w:r>
      <w:r w:rsidRPr="0031675F">
        <w:rPr>
          <w:spacing w:val="2"/>
        </w:rPr>
        <w:t xml:space="preserve"> </w:t>
      </w:r>
      <w:r w:rsidRPr="0031675F">
        <w:rPr>
          <w:spacing w:val="-1"/>
        </w:rPr>
        <w:t>data</w:t>
      </w:r>
      <w:r w:rsidRPr="0031675F">
        <w:rPr>
          <w:spacing w:val="83"/>
        </w:rPr>
        <w:t xml:space="preserve"> </w:t>
      </w:r>
      <w:r w:rsidRPr="0031675F">
        <w:t>to</w:t>
      </w:r>
      <w:r w:rsidRPr="0031675F">
        <w:rPr>
          <w:spacing w:val="-1"/>
        </w:rPr>
        <w:t xml:space="preserve"> </w:t>
      </w:r>
      <w:r w:rsidRPr="0031675F">
        <w:t xml:space="preserve">the </w:t>
      </w:r>
      <w:r w:rsidRPr="0031675F">
        <w:rPr>
          <w:spacing w:val="-1"/>
        </w:rPr>
        <w:t>database.</w:t>
      </w:r>
    </w:p>
    <w:p w14:paraId="1DE9FAA8" w14:textId="77777777" w:rsidR="0031675F" w:rsidRPr="0031675F" w:rsidRDefault="0031675F" w:rsidP="0031675F">
      <w:pPr>
        <w:spacing w:before="10"/>
        <w:rPr>
          <w:rFonts w:cs="Calibri"/>
        </w:rPr>
      </w:pPr>
    </w:p>
    <w:p w14:paraId="3441D367" w14:textId="77777777" w:rsidR="0031675F" w:rsidRPr="0031675F" w:rsidRDefault="0031675F" w:rsidP="0057756F">
      <w:r w:rsidRPr="0031675F">
        <w:t>The</w:t>
      </w:r>
      <w:r w:rsidRPr="0031675F">
        <w:rPr>
          <w:spacing w:val="22"/>
        </w:rPr>
        <w:t xml:space="preserve"> </w:t>
      </w:r>
      <w:r w:rsidRPr="0031675F">
        <w:t>backup</w:t>
      </w:r>
      <w:r w:rsidRPr="0031675F">
        <w:rPr>
          <w:spacing w:val="20"/>
        </w:rPr>
        <w:t xml:space="preserve"> </w:t>
      </w:r>
      <w:r w:rsidRPr="0031675F">
        <w:t>tapes</w:t>
      </w:r>
      <w:r w:rsidRPr="0031675F">
        <w:rPr>
          <w:spacing w:val="21"/>
        </w:rPr>
        <w:t xml:space="preserve"> </w:t>
      </w:r>
      <w:r w:rsidRPr="0031675F">
        <w:t>are</w:t>
      </w:r>
      <w:r w:rsidRPr="0031675F">
        <w:rPr>
          <w:spacing w:val="22"/>
        </w:rPr>
        <w:t xml:space="preserve"> </w:t>
      </w:r>
      <w:r w:rsidRPr="0031675F">
        <w:t>stored</w:t>
      </w:r>
      <w:r w:rsidRPr="0031675F">
        <w:rPr>
          <w:spacing w:val="21"/>
        </w:rPr>
        <w:t xml:space="preserve"> </w:t>
      </w:r>
      <w:r w:rsidRPr="0031675F">
        <w:t>off</w:t>
      </w:r>
      <w:r w:rsidRPr="0031675F">
        <w:rPr>
          <w:spacing w:val="21"/>
        </w:rPr>
        <w:t xml:space="preserve"> </w:t>
      </w:r>
      <w:r w:rsidRPr="0031675F">
        <w:t>site</w:t>
      </w:r>
      <w:r w:rsidRPr="0031675F">
        <w:rPr>
          <w:spacing w:val="23"/>
        </w:rPr>
        <w:t xml:space="preserve"> </w:t>
      </w:r>
      <w:r w:rsidRPr="0031675F">
        <w:t>(initially</w:t>
      </w:r>
      <w:r w:rsidRPr="0031675F">
        <w:rPr>
          <w:spacing w:val="22"/>
        </w:rPr>
        <w:t xml:space="preserve"> </w:t>
      </w:r>
      <w:r w:rsidRPr="0031675F">
        <w:t>at</w:t>
      </w:r>
      <w:r w:rsidRPr="0031675F">
        <w:rPr>
          <w:spacing w:val="22"/>
        </w:rPr>
        <w:t xml:space="preserve"> </w:t>
      </w:r>
      <w:r w:rsidRPr="0031675F">
        <w:t>the</w:t>
      </w:r>
      <w:r w:rsidRPr="0031675F">
        <w:rPr>
          <w:spacing w:val="19"/>
        </w:rPr>
        <w:t xml:space="preserve"> </w:t>
      </w:r>
      <w:r w:rsidRPr="0031675F">
        <w:t>AIMS</w:t>
      </w:r>
      <w:r w:rsidRPr="0031675F">
        <w:rPr>
          <w:spacing w:val="21"/>
        </w:rPr>
        <w:t xml:space="preserve"> </w:t>
      </w:r>
      <w:r w:rsidRPr="0031675F">
        <w:t>Marine</w:t>
      </w:r>
      <w:r w:rsidRPr="0031675F">
        <w:rPr>
          <w:spacing w:val="22"/>
        </w:rPr>
        <w:t xml:space="preserve"> </w:t>
      </w:r>
      <w:r w:rsidRPr="0031675F">
        <w:t>operations</w:t>
      </w:r>
      <w:r w:rsidRPr="0031675F">
        <w:rPr>
          <w:spacing w:val="22"/>
        </w:rPr>
        <w:t xml:space="preserve"> </w:t>
      </w:r>
      <w:r w:rsidRPr="0031675F">
        <w:t>building</w:t>
      </w:r>
      <w:r w:rsidRPr="0031675F">
        <w:rPr>
          <w:spacing w:val="21"/>
        </w:rPr>
        <w:t xml:space="preserve"> </w:t>
      </w:r>
      <w:r w:rsidRPr="0031675F">
        <w:t>and</w:t>
      </w:r>
      <w:r w:rsidRPr="0031675F">
        <w:rPr>
          <w:spacing w:val="21"/>
        </w:rPr>
        <w:t xml:space="preserve"> </w:t>
      </w:r>
      <w:r w:rsidRPr="0031675F">
        <w:t>then</w:t>
      </w:r>
      <w:r w:rsidRPr="0031675F">
        <w:rPr>
          <w:spacing w:val="21"/>
        </w:rPr>
        <w:t xml:space="preserve"> </w:t>
      </w:r>
      <w:r w:rsidRPr="0031675F">
        <w:t>at</w:t>
      </w:r>
      <w:r w:rsidRPr="0031675F">
        <w:rPr>
          <w:spacing w:val="22"/>
        </w:rPr>
        <w:t xml:space="preserve"> </w:t>
      </w:r>
      <w:r w:rsidRPr="0031675F">
        <w:t>the</w:t>
      </w:r>
      <w:r w:rsidRPr="0031675F">
        <w:rPr>
          <w:spacing w:val="51"/>
        </w:rPr>
        <w:t xml:space="preserve"> </w:t>
      </w:r>
      <w:r w:rsidRPr="0031675F">
        <w:t>Recall</w:t>
      </w:r>
      <w:r w:rsidRPr="0031675F">
        <w:rPr>
          <w:spacing w:val="2"/>
        </w:rPr>
        <w:t xml:space="preserve"> </w:t>
      </w:r>
      <w:r w:rsidRPr="0031675F">
        <w:t>service</w:t>
      </w:r>
      <w:r w:rsidRPr="0031675F">
        <w:rPr>
          <w:spacing w:val="3"/>
        </w:rPr>
        <w:t xml:space="preserve"> </w:t>
      </w:r>
      <w:r w:rsidRPr="0031675F">
        <w:t>in</w:t>
      </w:r>
      <w:r w:rsidRPr="0031675F">
        <w:rPr>
          <w:spacing w:val="1"/>
        </w:rPr>
        <w:t xml:space="preserve"> </w:t>
      </w:r>
      <w:r w:rsidRPr="0031675F">
        <w:t>Townsville)</w:t>
      </w:r>
      <w:r w:rsidRPr="0031675F">
        <w:rPr>
          <w:spacing w:val="3"/>
        </w:rPr>
        <w:t xml:space="preserve"> </w:t>
      </w:r>
      <w:r w:rsidRPr="0031675F">
        <w:t>and</w:t>
      </w:r>
      <w:r w:rsidRPr="0031675F">
        <w:rPr>
          <w:spacing w:val="2"/>
        </w:rPr>
        <w:t xml:space="preserve"> </w:t>
      </w:r>
      <w:r w:rsidRPr="0031675F">
        <w:t>a</w:t>
      </w:r>
      <w:r w:rsidRPr="0031675F">
        <w:rPr>
          <w:spacing w:val="2"/>
        </w:rPr>
        <w:t xml:space="preserve"> </w:t>
      </w:r>
      <w:r w:rsidRPr="0031675F">
        <w:t>Disaster</w:t>
      </w:r>
      <w:r w:rsidRPr="0031675F">
        <w:rPr>
          <w:spacing w:val="2"/>
        </w:rPr>
        <w:t xml:space="preserve"> </w:t>
      </w:r>
      <w:r w:rsidRPr="0031675F">
        <w:t>Recovery</w:t>
      </w:r>
      <w:r w:rsidRPr="0031675F">
        <w:rPr>
          <w:spacing w:val="3"/>
        </w:rPr>
        <w:t xml:space="preserve"> </w:t>
      </w:r>
      <w:r w:rsidRPr="0031675F">
        <w:t>disk</w:t>
      </w:r>
      <w:r w:rsidRPr="0031675F">
        <w:rPr>
          <w:spacing w:val="2"/>
        </w:rPr>
        <w:t xml:space="preserve"> </w:t>
      </w:r>
      <w:r w:rsidRPr="0031675F">
        <w:t>facility</w:t>
      </w:r>
      <w:r w:rsidRPr="0031675F">
        <w:rPr>
          <w:spacing w:val="3"/>
        </w:rPr>
        <w:t xml:space="preserve"> </w:t>
      </w:r>
      <w:r w:rsidRPr="0031675F">
        <w:t>is</w:t>
      </w:r>
      <w:r w:rsidRPr="0031675F">
        <w:rPr>
          <w:spacing w:val="2"/>
        </w:rPr>
        <w:t xml:space="preserve"> </w:t>
      </w:r>
      <w:r w:rsidRPr="0031675F">
        <w:t>being</w:t>
      </w:r>
      <w:r w:rsidRPr="0031675F">
        <w:rPr>
          <w:spacing w:val="2"/>
        </w:rPr>
        <w:t xml:space="preserve"> </w:t>
      </w:r>
      <w:r w:rsidRPr="0031675F">
        <w:t>set</w:t>
      </w:r>
      <w:r w:rsidRPr="0031675F">
        <w:rPr>
          <w:spacing w:val="3"/>
        </w:rPr>
        <w:t xml:space="preserve"> </w:t>
      </w:r>
      <w:r w:rsidRPr="0031675F">
        <w:t>up</w:t>
      </w:r>
      <w:r w:rsidRPr="0031675F">
        <w:rPr>
          <w:spacing w:val="2"/>
        </w:rPr>
        <w:t xml:space="preserve"> </w:t>
      </w:r>
      <w:r w:rsidRPr="0031675F">
        <w:t>at</w:t>
      </w:r>
      <w:r w:rsidRPr="0031675F">
        <w:rPr>
          <w:spacing w:val="7"/>
        </w:rPr>
        <w:t xml:space="preserve"> </w:t>
      </w:r>
      <w:r w:rsidRPr="0031675F">
        <w:t>James Cook University</w:t>
      </w:r>
      <w:r w:rsidRPr="0031675F">
        <w:rPr>
          <w:spacing w:val="51"/>
        </w:rPr>
        <w:t xml:space="preserve"> </w:t>
      </w:r>
      <w:r w:rsidRPr="0031675F">
        <w:t>for remote storage</w:t>
      </w:r>
      <w:r w:rsidRPr="0031675F">
        <w:rPr>
          <w:spacing w:val="-2"/>
        </w:rPr>
        <w:t xml:space="preserve"> </w:t>
      </w:r>
      <w:r w:rsidRPr="0031675F">
        <w:t>of</w:t>
      </w:r>
      <w:r w:rsidRPr="0031675F">
        <w:rPr>
          <w:spacing w:val="-2"/>
        </w:rPr>
        <w:t xml:space="preserve"> </w:t>
      </w:r>
      <w:r w:rsidRPr="0031675F">
        <w:t>on-line backups.</w:t>
      </w:r>
    </w:p>
    <w:p w14:paraId="5C57DE1F" w14:textId="77777777" w:rsidR="0031675F" w:rsidRPr="0031675F" w:rsidRDefault="0031675F" w:rsidP="0031675F">
      <w:pPr>
        <w:rPr>
          <w:rFonts w:cs="Calibri"/>
        </w:rPr>
      </w:pPr>
    </w:p>
    <w:p w14:paraId="31F144F2" w14:textId="77777777" w:rsidR="0031675F" w:rsidRPr="0031675F" w:rsidRDefault="0031675F" w:rsidP="0031675F">
      <w:pPr>
        <w:widowControl w:val="0"/>
        <w:numPr>
          <w:ilvl w:val="1"/>
          <w:numId w:val="64"/>
        </w:numPr>
        <w:tabs>
          <w:tab w:val="left" w:pos="859"/>
        </w:tabs>
        <w:spacing w:before="0" w:after="0" w:line="240" w:lineRule="auto"/>
        <w:jc w:val="both"/>
        <w:rPr>
          <w:rFonts w:eastAsia="Arial" w:cs="Arial"/>
          <w:sz w:val="24"/>
          <w:szCs w:val="24"/>
        </w:rPr>
      </w:pPr>
      <w:r w:rsidRPr="0031675F">
        <w:rPr>
          <w:b/>
          <w:sz w:val="24"/>
        </w:rPr>
        <w:t>Metadata</w:t>
      </w:r>
    </w:p>
    <w:p w14:paraId="57DAABD2" w14:textId="6E3BAD9C" w:rsidR="0031675F" w:rsidRDefault="0031675F" w:rsidP="0057756F">
      <w:r w:rsidRPr="0031675F">
        <w:t>Metadata</w:t>
      </w:r>
      <w:r w:rsidRPr="0031675F">
        <w:rPr>
          <w:spacing w:val="12"/>
        </w:rPr>
        <w:t xml:space="preserve"> </w:t>
      </w:r>
      <w:r w:rsidRPr="0031675F">
        <w:t>are</w:t>
      </w:r>
      <w:r w:rsidRPr="0031675F">
        <w:rPr>
          <w:spacing w:val="12"/>
        </w:rPr>
        <w:t xml:space="preserve"> </w:t>
      </w:r>
      <w:r w:rsidRPr="0031675F">
        <w:t>recorded</w:t>
      </w:r>
      <w:r w:rsidRPr="0031675F">
        <w:rPr>
          <w:spacing w:val="11"/>
        </w:rPr>
        <w:t xml:space="preserve"> </w:t>
      </w:r>
      <w:r w:rsidRPr="0031675F">
        <w:t>as</w:t>
      </w:r>
      <w:r w:rsidRPr="0031675F">
        <w:rPr>
          <w:spacing w:val="9"/>
        </w:rPr>
        <w:t xml:space="preserve"> </w:t>
      </w:r>
      <w:r w:rsidRPr="0031675F">
        <w:t>an</w:t>
      </w:r>
      <w:r w:rsidRPr="0031675F">
        <w:rPr>
          <w:spacing w:val="11"/>
        </w:rPr>
        <w:t xml:space="preserve"> </w:t>
      </w:r>
      <w:r w:rsidRPr="0031675F">
        <w:t>important</w:t>
      </w:r>
      <w:r w:rsidRPr="0031675F">
        <w:rPr>
          <w:spacing w:val="12"/>
        </w:rPr>
        <w:t xml:space="preserve"> </w:t>
      </w:r>
      <w:r w:rsidRPr="0031675F">
        <w:t>part</w:t>
      </w:r>
      <w:r w:rsidRPr="0031675F">
        <w:rPr>
          <w:spacing w:val="10"/>
        </w:rPr>
        <w:t xml:space="preserve"> </w:t>
      </w:r>
      <w:r w:rsidRPr="0031675F">
        <w:t>of</w:t>
      </w:r>
      <w:r w:rsidRPr="0031675F">
        <w:rPr>
          <w:spacing w:val="12"/>
        </w:rPr>
        <w:t xml:space="preserve"> </w:t>
      </w:r>
      <w:r w:rsidRPr="0031675F">
        <w:t>the</w:t>
      </w:r>
      <w:r w:rsidRPr="0031675F">
        <w:rPr>
          <w:spacing w:val="13"/>
        </w:rPr>
        <w:t xml:space="preserve"> </w:t>
      </w:r>
      <w:r w:rsidRPr="0031675F">
        <w:t>data</w:t>
      </w:r>
      <w:r w:rsidRPr="0031675F">
        <w:rPr>
          <w:spacing w:val="12"/>
        </w:rPr>
        <w:t xml:space="preserve"> </w:t>
      </w:r>
      <w:r w:rsidRPr="0031675F">
        <w:t>record,</w:t>
      </w:r>
      <w:r w:rsidRPr="0031675F">
        <w:rPr>
          <w:spacing w:val="12"/>
        </w:rPr>
        <w:t xml:space="preserve"> </w:t>
      </w:r>
      <w:r w:rsidRPr="0031675F">
        <w:t>especially</w:t>
      </w:r>
      <w:r w:rsidRPr="0031675F">
        <w:rPr>
          <w:spacing w:val="10"/>
        </w:rPr>
        <w:t xml:space="preserve"> </w:t>
      </w:r>
      <w:r w:rsidRPr="0031675F">
        <w:t>to</w:t>
      </w:r>
      <w:r w:rsidRPr="0031675F">
        <w:rPr>
          <w:spacing w:val="13"/>
        </w:rPr>
        <w:t xml:space="preserve"> </w:t>
      </w:r>
      <w:r w:rsidRPr="0031675F">
        <w:t>record</w:t>
      </w:r>
      <w:r w:rsidRPr="0031675F">
        <w:rPr>
          <w:spacing w:val="11"/>
        </w:rPr>
        <w:t xml:space="preserve"> </w:t>
      </w:r>
      <w:r w:rsidRPr="0031675F">
        <w:t>information</w:t>
      </w:r>
      <w:r w:rsidRPr="0031675F">
        <w:rPr>
          <w:spacing w:val="11"/>
        </w:rPr>
        <w:t xml:space="preserve"> </w:t>
      </w:r>
      <w:r w:rsidRPr="0031675F">
        <w:t>about</w:t>
      </w:r>
      <w:r w:rsidRPr="0031675F">
        <w:rPr>
          <w:spacing w:val="63"/>
        </w:rPr>
        <w:t xml:space="preserve"> </w:t>
      </w:r>
      <w:r w:rsidRPr="0031675F">
        <w:t>the</w:t>
      </w:r>
      <w:r w:rsidRPr="0031675F">
        <w:rPr>
          <w:spacing w:val="10"/>
        </w:rPr>
        <w:t xml:space="preserve"> </w:t>
      </w:r>
      <w:r w:rsidRPr="0031675F">
        <w:t>different</w:t>
      </w:r>
      <w:r w:rsidRPr="0031675F">
        <w:rPr>
          <w:spacing w:val="10"/>
        </w:rPr>
        <w:t xml:space="preserve"> </w:t>
      </w:r>
      <w:r w:rsidRPr="0031675F">
        <w:t>collection</w:t>
      </w:r>
      <w:r w:rsidRPr="0031675F">
        <w:rPr>
          <w:spacing w:val="7"/>
        </w:rPr>
        <w:t xml:space="preserve"> </w:t>
      </w:r>
      <w:r w:rsidRPr="0031675F">
        <w:t>methods</w:t>
      </w:r>
      <w:r w:rsidRPr="0031675F">
        <w:rPr>
          <w:spacing w:val="10"/>
        </w:rPr>
        <w:t xml:space="preserve"> </w:t>
      </w:r>
      <w:r w:rsidRPr="0031675F">
        <w:t>(collection</w:t>
      </w:r>
      <w:r w:rsidRPr="0031675F">
        <w:rPr>
          <w:spacing w:val="10"/>
        </w:rPr>
        <w:t xml:space="preserve"> </w:t>
      </w:r>
      <w:r w:rsidRPr="0031675F">
        <w:t>details</w:t>
      </w:r>
      <w:r w:rsidRPr="0031675F">
        <w:rPr>
          <w:spacing w:val="10"/>
        </w:rPr>
        <w:t xml:space="preserve"> </w:t>
      </w:r>
      <w:r w:rsidRPr="0031675F">
        <w:t>are</w:t>
      </w:r>
      <w:r w:rsidRPr="0031675F">
        <w:rPr>
          <w:spacing w:val="10"/>
        </w:rPr>
        <w:t xml:space="preserve"> </w:t>
      </w:r>
      <w:r w:rsidRPr="0031675F">
        <w:t>described</w:t>
      </w:r>
      <w:r w:rsidRPr="0031675F">
        <w:rPr>
          <w:spacing w:val="10"/>
        </w:rPr>
        <w:t xml:space="preserve"> </w:t>
      </w:r>
      <w:r w:rsidRPr="0031675F">
        <w:t>in</w:t>
      </w:r>
      <w:r w:rsidRPr="0031675F">
        <w:rPr>
          <w:spacing w:val="9"/>
        </w:rPr>
        <w:t xml:space="preserve"> </w:t>
      </w:r>
      <w:r w:rsidRPr="0031675F">
        <w:t>each</w:t>
      </w:r>
      <w:r w:rsidRPr="0031675F">
        <w:rPr>
          <w:spacing w:val="9"/>
        </w:rPr>
        <w:t xml:space="preserve"> </w:t>
      </w:r>
      <w:r w:rsidRPr="0031675F">
        <w:t>individual</w:t>
      </w:r>
      <w:r w:rsidRPr="0031675F">
        <w:rPr>
          <w:spacing w:val="10"/>
        </w:rPr>
        <w:t xml:space="preserve"> </w:t>
      </w:r>
      <w:r w:rsidRPr="0031675F">
        <w:t>sampling</w:t>
      </w:r>
      <w:r w:rsidRPr="0031675F">
        <w:rPr>
          <w:spacing w:val="9"/>
        </w:rPr>
        <w:t xml:space="preserve"> </w:t>
      </w:r>
      <w:r w:rsidRPr="0031675F">
        <w:t>and</w:t>
      </w:r>
      <w:r w:rsidRPr="0031675F">
        <w:rPr>
          <w:spacing w:val="85"/>
        </w:rPr>
        <w:t xml:space="preserve"> </w:t>
      </w:r>
      <w:r w:rsidRPr="0031675F">
        <w:t>analytical</w:t>
      </w:r>
      <w:r w:rsidRPr="0031675F">
        <w:rPr>
          <w:spacing w:val="9"/>
        </w:rPr>
        <w:t xml:space="preserve"> </w:t>
      </w:r>
      <w:r w:rsidRPr="0031675F">
        <w:t>procedure).</w:t>
      </w:r>
      <w:r w:rsidRPr="0031675F">
        <w:rPr>
          <w:spacing w:val="19"/>
        </w:rPr>
        <w:t xml:space="preserve"> </w:t>
      </w:r>
      <w:r w:rsidRPr="0031675F">
        <w:t>The</w:t>
      </w:r>
      <w:r w:rsidRPr="0031675F">
        <w:rPr>
          <w:spacing w:val="8"/>
        </w:rPr>
        <w:t xml:space="preserve"> </w:t>
      </w:r>
      <w:r w:rsidRPr="0031675F">
        <w:t>metadata</w:t>
      </w:r>
      <w:r w:rsidRPr="0031675F">
        <w:rPr>
          <w:spacing w:val="7"/>
        </w:rPr>
        <w:t xml:space="preserve"> </w:t>
      </w:r>
      <w:r w:rsidRPr="0031675F">
        <w:t>must</w:t>
      </w:r>
      <w:r w:rsidRPr="0031675F">
        <w:rPr>
          <w:spacing w:val="10"/>
        </w:rPr>
        <w:t xml:space="preserve"> </w:t>
      </w:r>
      <w:r w:rsidRPr="0031675F">
        <w:rPr>
          <w:spacing w:val="-2"/>
        </w:rPr>
        <w:t>be</w:t>
      </w:r>
      <w:r w:rsidRPr="0031675F">
        <w:rPr>
          <w:spacing w:val="10"/>
        </w:rPr>
        <w:t xml:space="preserve"> </w:t>
      </w:r>
      <w:r w:rsidRPr="0031675F">
        <w:t>captured</w:t>
      </w:r>
      <w:r w:rsidRPr="0031675F">
        <w:rPr>
          <w:spacing w:val="9"/>
        </w:rPr>
        <w:t xml:space="preserve"> </w:t>
      </w:r>
      <w:r w:rsidRPr="0031675F">
        <w:t>to</w:t>
      </w:r>
      <w:r w:rsidRPr="0031675F">
        <w:rPr>
          <w:spacing w:val="9"/>
        </w:rPr>
        <w:t xml:space="preserve"> </w:t>
      </w:r>
      <w:r w:rsidRPr="0031675F">
        <w:t>allow</w:t>
      </w:r>
      <w:r w:rsidRPr="0031675F">
        <w:rPr>
          <w:spacing w:val="10"/>
        </w:rPr>
        <w:t xml:space="preserve"> </w:t>
      </w:r>
      <w:r w:rsidRPr="0031675F">
        <w:t>for</w:t>
      </w:r>
      <w:r w:rsidRPr="0031675F">
        <w:rPr>
          <w:spacing w:val="9"/>
        </w:rPr>
        <w:t xml:space="preserve"> </w:t>
      </w:r>
      <w:r w:rsidRPr="0031675F">
        <w:t>accurate</w:t>
      </w:r>
      <w:r w:rsidRPr="0031675F">
        <w:rPr>
          <w:spacing w:val="10"/>
        </w:rPr>
        <w:t xml:space="preserve"> </w:t>
      </w:r>
      <w:r w:rsidRPr="0031675F">
        <w:t>analysis</w:t>
      </w:r>
      <w:r w:rsidRPr="0031675F">
        <w:rPr>
          <w:spacing w:val="10"/>
        </w:rPr>
        <w:t xml:space="preserve"> </w:t>
      </w:r>
      <w:r w:rsidRPr="0031675F">
        <w:t>and</w:t>
      </w:r>
      <w:r w:rsidRPr="0031675F">
        <w:rPr>
          <w:spacing w:val="9"/>
        </w:rPr>
        <w:t xml:space="preserve"> </w:t>
      </w:r>
      <w:r w:rsidRPr="0031675F">
        <w:t>calculation</w:t>
      </w:r>
      <w:r w:rsidRPr="0031675F">
        <w:rPr>
          <w:spacing w:val="6"/>
        </w:rPr>
        <w:t xml:space="preserve"> </w:t>
      </w:r>
      <w:r w:rsidRPr="0031675F">
        <w:t>of</w:t>
      </w:r>
      <w:r w:rsidRPr="0031675F">
        <w:rPr>
          <w:spacing w:val="91"/>
        </w:rPr>
        <w:t xml:space="preserve"> </w:t>
      </w:r>
      <w:r w:rsidRPr="0031675F">
        <w:t>the</w:t>
      </w:r>
      <w:r w:rsidRPr="0031675F">
        <w:rPr>
          <w:spacing w:val="7"/>
        </w:rPr>
        <w:t xml:space="preserve"> </w:t>
      </w:r>
      <w:r w:rsidRPr="0031675F">
        <w:t>particular</w:t>
      </w:r>
      <w:r w:rsidRPr="0031675F">
        <w:rPr>
          <w:spacing w:val="6"/>
        </w:rPr>
        <w:t xml:space="preserve"> </w:t>
      </w:r>
      <w:r w:rsidRPr="0031675F">
        <w:t>parameter.</w:t>
      </w:r>
      <w:r w:rsidRPr="0031675F">
        <w:rPr>
          <w:spacing w:val="4"/>
        </w:rPr>
        <w:t xml:space="preserve"> </w:t>
      </w:r>
      <w:r w:rsidRPr="0031675F">
        <w:t>Metadata</w:t>
      </w:r>
      <w:r w:rsidRPr="0031675F">
        <w:rPr>
          <w:spacing w:val="7"/>
        </w:rPr>
        <w:t xml:space="preserve"> </w:t>
      </w:r>
      <w:r w:rsidRPr="0031675F">
        <w:t>include,</w:t>
      </w:r>
      <w:r w:rsidRPr="0031675F">
        <w:rPr>
          <w:spacing w:val="5"/>
        </w:rPr>
        <w:t xml:space="preserve"> </w:t>
      </w:r>
      <w:r w:rsidRPr="0031675F">
        <w:t>e.g.</w:t>
      </w:r>
      <w:r w:rsidRPr="0031675F">
        <w:rPr>
          <w:spacing w:val="7"/>
        </w:rPr>
        <w:t xml:space="preserve"> </w:t>
      </w:r>
      <w:r w:rsidRPr="0031675F">
        <w:t>location</w:t>
      </w:r>
      <w:r w:rsidRPr="0031675F">
        <w:rPr>
          <w:spacing w:val="6"/>
        </w:rPr>
        <w:t xml:space="preserve"> </w:t>
      </w:r>
      <w:r w:rsidRPr="0031675F">
        <w:t>information,</w:t>
      </w:r>
      <w:r w:rsidRPr="0031675F">
        <w:rPr>
          <w:spacing w:val="5"/>
        </w:rPr>
        <w:t xml:space="preserve"> </w:t>
      </w:r>
      <w:r w:rsidRPr="0031675F">
        <w:t>weather</w:t>
      </w:r>
      <w:r w:rsidRPr="0031675F">
        <w:rPr>
          <w:spacing w:val="5"/>
        </w:rPr>
        <w:t xml:space="preserve"> </w:t>
      </w:r>
      <w:r w:rsidRPr="0031675F">
        <w:t>and</w:t>
      </w:r>
      <w:r w:rsidRPr="0031675F">
        <w:rPr>
          <w:spacing w:val="6"/>
        </w:rPr>
        <w:t xml:space="preserve"> </w:t>
      </w:r>
      <w:r w:rsidRPr="0031675F">
        <w:t>sea</w:t>
      </w:r>
      <w:r w:rsidRPr="0031675F">
        <w:rPr>
          <w:spacing w:val="8"/>
        </w:rPr>
        <w:t xml:space="preserve"> </w:t>
      </w:r>
      <w:r w:rsidRPr="0031675F">
        <w:t>state</w:t>
      </w:r>
      <w:r w:rsidRPr="0031675F">
        <w:rPr>
          <w:spacing w:val="6"/>
        </w:rPr>
        <w:t xml:space="preserve"> </w:t>
      </w:r>
      <w:r w:rsidRPr="0031675F">
        <w:t>conditionsat</w:t>
      </w:r>
      <w:r w:rsidRPr="0031675F">
        <w:rPr>
          <w:spacing w:val="3"/>
        </w:rPr>
        <w:t xml:space="preserve"> </w:t>
      </w:r>
      <w:r w:rsidRPr="0031675F">
        <w:t>that</w:t>
      </w:r>
      <w:r w:rsidRPr="0031675F">
        <w:rPr>
          <w:spacing w:val="3"/>
        </w:rPr>
        <w:t xml:space="preserve"> </w:t>
      </w:r>
      <w:r w:rsidRPr="0031675F">
        <w:t>location,</w:t>
      </w:r>
      <w:r w:rsidRPr="0031675F">
        <w:rPr>
          <w:spacing w:val="3"/>
        </w:rPr>
        <w:t xml:space="preserve"> </w:t>
      </w:r>
      <w:r w:rsidRPr="0031675F">
        <w:t>date</w:t>
      </w:r>
      <w:r w:rsidRPr="0031675F">
        <w:rPr>
          <w:spacing w:val="4"/>
        </w:rPr>
        <w:t xml:space="preserve"> </w:t>
      </w:r>
      <w:r w:rsidRPr="0031675F">
        <w:rPr>
          <w:spacing w:val="-2"/>
        </w:rPr>
        <w:t>and</w:t>
      </w:r>
      <w:r w:rsidRPr="0031675F">
        <w:rPr>
          <w:spacing w:val="4"/>
        </w:rPr>
        <w:t xml:space="preserve"> </w:t>
      </w:r>
      <w:r w:rsidRPr="0031675F">
        <w:t>times</w:t>
      </w:r>
      <w:r w:rsidRPr="0031675F">
        <w:rPr>
          <w:spacing w:val="4"/>
        </w:rPr>
        <w:t xml:space="preserve"> </w:t>
      </w:r>
      <w:r w:rsidRPr="0031675F">
        <w:t>of</w:t>
      </w:r>
      <w:r w:rsidRPr="0031675F">
        <w:rPr>
          <w:spacing w:val="3"/>
        </w:rPr>
        <w:t xml:space="preserve"> </w:t>
      </w:r>
      <w:r w:rsidRPr="0031675F">
        <w:t>sampling,</w:t>
      </w:r>
      <w:r w:rsidRPr="0031675F">
        <w:rPr>
          <w:spacing w:val="3"/>
        </w:rPr>
        <w:t xml:space="preserve"> </w:t>
      </w:r>
      <w:r w:rsidRPr="0031675F">
        <w:t>volumes</w:t>
      </w:r>
      <w:r w:rsidRPr="0031675F">
        <w:rPr>
          <w:spacing w:val="1"/>
        </w:rPr>
        <w:t xml:space="preserve"> </w:t>
      </w:r>
      <w:r w:rsidRPr="0031675F">
        <w:t>of</w:t>
      </w:r>
      <w:r w:rsidRPr="0031675F">
        <w:rPr>
          <w:spacing w:val="3"/>
        </w:rPr>
        <w:t xml:space="preserve"> </w:t>
      </w:r>
      <w:r w:rsidRPr="0031675F">
        <w:t>water</w:t>
      </w:r>
      <w:r w:rsidRPr="0031675F">
        <w:rPr>
          <w:spacing w:val="3"/>
        </w:rPr>
        <w:t xml:space="preserve"> </w:t>
      </w:r>
      <w:r w:rsidRPr="0031675F">
        <w:t>sampled,</w:t>
      </w:r>
      <w:r w:rsidRPr="0031675F">
        <w:rPr>
          <w:spacing w:val="3"/>
        </w:rPr>
        <w:t xml:space="preserve"> </w:t>
      </w:r>
      <w:r w:rsidRPr="0031675F">
        <w:t>filter</w:t>
      </w:r>
      <w:r w:rsidRPr="0031675F">
        <w:rPr>
          <w:spacing w:val="3"/>
        </w:rPr>
        <w:t xml:space="preserve"> </w:t>
      </w:r>
      <w:r w:rsidRPr="0031675F">
        <w:t>identification.</w:t>
      </w:r>
      <w:r w:rsidRPr="0031675F">
        <w:rPr>
          <w:spacing w:val="2"/>
        </w:rPr>
        <w:t xml:space="preserve"> </w:t>
      </w:r>
      <w:r w:rsidRPr="0031675F">
        <w:t>This</w:t>
      </w:r>
      <w:r w:rsidRPr="0031675F">
        <w:rPr>
          <w:spacing w:val="64"/>
        </w:rPr>
        <w:t xml:space="preserve"> </w:t>
      </w:r>
      <w:r w:rsidRPr="0031675F">
        <w:t>information</w:t>
      </w:r>
      <w:r w:rsidRPr="0031675F">
        <w:rPr>
          <w:spacing w:val="11"/>
        </w:rPr>
        <w:t xml:space="preserve"> </w:t>
      </w:r>
      <w:r w:rsidRPr="0031675F">
        <w:t>must</w:t>
      </w:r>
      <w:r w:rsidRPr="0031675F">
        <w:rPr>
          <w:spacing w:val="15"/>
        </w:rPr>
        <w:t xml:space="preserve"> </w:t>
      </w:r>
      <w:r w:rsidRPr="0031675F">
        <w:t>be</w:t>
      </w:r>
      <w:r w:rsidRPr="0031675F">
        <w:rPr>
          <w:spacing w:val="15"/>
        </w:rPr>
        <w:t xml:space="preserve"> </w:t>
      </w:r>
      <w:r w:rsidRPr="0031675F">
        <w:t>part</w:t>
      </w:r>
      <w:r w:rsidRPr="0031675F">
        <w:rPr>
          <w:spacing w:val="12"/>
        </w:rPr>
        <w:t xml:space="preserve"> </w:t>
      </w:r>
      <w:r w:rsidRPr="0031675F">
        <w:t>of</w:t>
      </w:r>
      <w:r w:rsidRPr="0031675F">
        <w:rPr>
          <w:spacing w:val="14"/>
        </w:rPr>
        <w:t xml:space="preserve"> </w:t>
      </w:r>
      <w:r w:rsidRPr="0031675F">
        <w:t>the</w:t>
      </w:r>
      <w:r w:rsidRPr="0031675F">
        <w:rPr>
          <w:spacing w:val="14"/>
        </w:rPr>
        <w:t xml:space="preserve"> </w:t>
      </w:r>
      <w:r w:rsidRPr="0031675F">
        <w:t>data</w:t>
      </w:r>
      <w:r w:rsidRPr="0031675F">
        <w:rPr>
          <w:spacing w:val="15"/>
        </w:rPr>
        <w:t xml:space="preserve"> </w:t>
      </w:r>
      <w:r w:rsidRPr="0031675F">
        <w:t>entry</w:t>
      </w:r>
      <w:r w:rsidRPr="0031675F">
        <w:rPr>
          <w:spacing w:val="15"/>
        </w:rPr>
        <w:t xml:space="preserve"> </w:t>
      </w:r>
      <w:r w:rsidRPr="0031675F">
        <w:t>process</w:t>
      </w:r>
      <w:r w:rsidRPr="0031675F">
        <w:rPr>
          <w:spacing w:val="12"/>
        </w:rPr>
        <w:t xml:space="preserve"> </w:t>
      </w:r>
      <w:r w:rsidRPr="0031675F">
        <w:t>when</w:t>
      </w:r>
      <w:r w:rsidRPr="0031675F">
        <w:rPr>
          <w:spacing w:val="14"/>
        </w:rPr>
        <w:t xml:space="preserve"> </w:t>
      </w:r>
      <w:r w:rsidRPr="0031675F">
        <w:t>the</w:t>
      </w:r>
      <w:r w:rsidRPr="0031675F">
        <w:rPr>
          <w:spacing w:val="14"/>
        </w:rPr>
        <w:t xml:space="preserve"> </w:t>
      </w:r>
      <w:r w:rsidRPr="0031675F">
        <w:t>nutrient</w:t>
      </w:r>
      <w:r w:rsidRPr="0031675F">
        <w:rPr>
          <w:spacing w:val="14"/>
        </w:rPr>
        <w:t xml:space="preserve"> </w:t>
      </w:r>
      <w:r w:rsidRPr="0031675F">
        <w:rPr>
          <w:spacing w:val="-2"/>
        </w:rPr>
        <w:t>sampling</w:t>
      </w:r>
      <w:r w:rsidRPr="0031675F">
        <w:rPr>
          <w:spacing w:val="13"/>
        </w:rPr>
        <w:t xml:space="preserve"> </w:t>
      </w:r>
      <w:r w:rsidRPr="0031675F">
        <w:t>takes</w:t>
      </w:r>
      <w:r w:rsidRPr="0031675F">
        <w:rPr>
          <w:spacing w:val="14"/>
        </w:rPr>
        <w:t xml:space="preserve"> </w:t>
      </w:r>
      <w:r w:rsidRPr="0031675F">
        <w:t>place,</w:t>
      </w:r>
      <w:r w:rsidRPr="0031675F">
        <w:rPr>
          <w:spacing w:val="14"/>
        </w:rPr>
        <w:t xml:space="preserve"> </w:t>
      </w:r>
      <w:r w:rsidRPr="0031675F">
        <w:t>and</w:t>
      </w:r>
      <w:r w:rsidRPr="0031675F">
        <w:rPr>
          <w:spacing w:val="14"/>
        </w:rPr>
        <w:t xml:space="preserve"> </w:t>
      </w:r>
      <w:r w:rsidRPr="0031675F">
        <w:t>when</w:t>
      </w:r>
      <w:r w:rsidRPr="0031675F">
        <w:rPr>
          <w:spacing w:val="87"/>
        </w:rPr>
        <w:t xml:space="preserve"> </w:t>
      </w:r>
      <w:r w:rsidRPr="0031675F">
        <w:t xml:space="preserve">the samples are analysed back in </w:t>
      </w:r>
      <w:r w:rsidRPr="0031675F">
        <w:rPr>
          <w:spacing w:val="-2"/>
        </w:rPr>
        <w:t>the</w:t>
      </w:r>
      <w:r w:rsidRPr="0031675F">
        <w:t xml:space="preserve"> laboratory.</w:t>
      </w:r>
    </w:p>
    <w:p w14:paraId="0280280C" w14:textId="77777777" w:rsidR="008F55F2" w:rsidRPr="0031675F" w:rsidRDefault="008F55F2" w:rsidP="008F55F2">
      <w:pPr>
        <w:spacing w:after="120" w:line="250" w:lineRule="auto"/>
        <w:ind w:right="135"/>
        <w:jc w:val="both"/>
      </w:pPr>
    </w:p>
    <w:p w14:paraId="0D669AC0" w14:textId="77777777" w:rsidR="0031675F" w:rsidRPr="0031675F" w:rsidRDefault="0031675F" w:rsidP="0031675F">
      <w:pPr>
        <w:widowControl w:val="0"/>
        <w:numPr>
          <w:ilvl w:val="1"/>
          <w:numId w:val="64"/>
        </w:numPr>
        <w:tabs>
          <w:tab w:val="left" w:pos="819"/>
        </w:tabs>
        <w:spacing w:before="0" w:after="0" w:line="240" w:lineRule="auto"/>
        <w:ind w:left="818"/>
        <w:jc w:val="both"/>
        <w:rPr>
          <w:rFonts w:eastAsia="Arial" w:cs="Arial"/>
          <w:sz w:val="24"/>
          <w:szCs w:val="24"/>
        </w:rPr>
      </w:pPr>
      <w:r w:rsidRPr="0031675F">
        <w:rPr>
          <w:b/>
          <w:sz w:val="24"/>
        </w:rPr>
        <w:t>Water quality</w:t>
      </w:r>
      <w:r w:rsidRPr="0031675F">
        <w:rPr>
          <w:b/>
          <w:spacing w:val="-5"/>
          <w:sz w:val="24"/>
        </w:rPr>
        <w:t xml:space="preserve"> </w:t>
      </w:r>
      <w:r w:rsidRPr="0031675F">
        <w:rPr>
          <w:b/>
          <w:sz w:val="24"/>
        </w:rPr>
        <w:t xml:space="preserve">data </w:t>
      </w:r>
      <w:r w:rsidRPr="0031675F">
        <w:rPr>
          <w:b/>
          <w:spacing w:val="-1"/>
          <w:sz w:val="24"/>
        </w:rPr>
        <w:t>management</w:t>
      </w:r>
    </w:p>
    <w:p w14:paraId="344B7950" w14:textId="77777777" w:rsidR="0031675F" w:rsidRPr="0031675F" w:rsidRDefault="0031675F" w:rsidP="0057756F">
      <w:r w:rsidRPr="0031675F">
        <w:t>Entry</w:t>
      </w:r>
      <w:r w:rsidRPr="0031675F">
        <w:rPr>
          <w:spacing w:val="23"/>
        </w:rPr>
        <w:t xml:space="preserve"> </w:t>
      </w:r>
      <w:r w:rsidRPr="0031675F">
        <w:t>of</w:t>
      </w:r>
      <w:r w:rsidRPr="0031675F">
        <w:rPr>
          <w:spacing w:val="24"/>
        </w:rPr>
        <w:t xml:space="preserve"> </w:t>
      </w:r>
      <w:r w:rsidRPr="0031675F">
        <w:t>data</w:t>
      </w:r>
      <w:r w:rsidRPr="0031675F">
        <w:rPr>
          <w:spacing w:val="24"/>
        </w:rPr>
        <w:t xml:space="preserve"> </w:t>
      </w:r>
      <w:r w:rsidRPr="0031675F">
        <w:t>must</w:t>
      </w:r>
      <w:r w:rsidRPr="0031675F">
        <w:rPr>
          <w:spacing w:val="24"/>
        </w:rPr>
        <w:t xml:space="preserve"> </w:t>
      </w:r>
      <w:r w:rsidRPr="0031675F">
        <w:t>be</w:t>
      </w:r>
      <w:r w:rsidRPr="0031675F">
        <w:rPr>
          <w:spacing w:val="25"/>
        </w:rPr>
        <w:t xml:space="preserve"> </w:t>
      </w:r>
      <w:r w:rsidRPr="0031675F">
        <w:t>captured</w:t>
      </w:r>
      <w:r w:rsidRPr="0031675F">
        <w:rPr>
          <w:spacing w:val="23"/>
        </w:rPr>
        <w:t xml:space="preserve"> </w:t>
      </w:r>
      <w:r w:rsidRPr="0031675F">
        <w:t>in</w:t>
      </w:r>
      <w:r w:rsidRPr="0031675F">
        <w:rPr>
          <w:spacing w:val="23"/>
        </w:rPr>
        <w:t xml:space="preserve"> </w:t>
      </w:r>
      <w:r w:rsidRPr="0031675F">
        <w:t>a</w:t>
      </w:r>
      <w:r w:rsidRPr="0031675F">
        <w:rPr>
          <w:spacing w:val="24"/>
        </w:rPr>
        <w:t xml:space="preserve"> </w:t>
      </w:r>
      <w:r w:rsidRPr="0031675F">
        <w:t>process</w:t>
      </w:r>
      <w:r w:rsidRPr="0031675F">
        <w:rPr>
          <w:spacing w:val="24"/>
        </w:rPr>
        <w:t xml:space="preserve"> </w:t>
      </w:r>
      <w:r w:rsidRPr="0031675F">
        <w:t>that</w:t>
      </w:r>
      <w:r w:rsidRPr="0031675F">
        <w:rPr>
          <w:spacing w:val="24"/>
        </w:rPr>
        <w:t xml:space="preserve"> </w:t>
      </w:r>
      <w:r w:rsidRPr="0031675F">
        <w:t>does</w:t>
      </w:r>
      <w:r w:rsidRPr="0031675F">
        <w:rPr>
          <w:spacing w:val="24"/>
        </w:rPr>
        <w:t xml:space="preserve"> </w:t>
      </w:r>
      <w:r w:rsidRPr="0031675F">
        <w:t>its</w:t>
      </w:r>
      <w:r w:rsidRPr="0031675F">
        <w:rPr>
          <w:spacing w:val="24"/>
        </w:rPr>
        <w:t xml:space="preserve"> </w:t>
      </w:r>
      <w:r w:rsidRPr="0031675F">
        <w:t>utmost</w:t>
      </w:r>
      <w:r w:rsidRPr="0031675F">
        <w:rPr>
          <w:spacing w:val="25"/>
        </w:rPr>
        <w:t xml:space="preserve"> </w:t>
      </w:r>
      <w:r w:rsidRPr="0031675F">
        <w:t>to</w:t>
      </w:r>
      <w:r w:rsidRPr="0031675F">
        <w:rPr>
          <w:spacing w:val="24"/>
        </w:rPr>
        <w:t xml:space="preserve"> </w:t>
      </w:r>
      <w:r w:rsidRPr="0031675F">
        <w:t>eliminate</w:t>
      </w:r>
      <w:r w:rsidRPr="0031675F">
        <w:rPr>
          <w:spacing w:val="22"/>
        </w:rPr>
        <w:t xml:space="preserve"> </w:t>
      </w:r>
      <w:r w:rsidRPr="0031675F">
        <w:t>error.</w:t>
      </w:r>
      <w:r w:rsidRPr="0031675F">
        <w:rPr>
          <w:spacing w:val="21"/>
        </w:rPr>
        <w:t xml:space="preserve"> </w:t>
      </w:r>
      <w:r w:rsidRPr="0031675F">
        <w:t>Manual</w:t>
      </w:r>
      <w:r w:rsidRPr="0031675F">
        <w:rPr>
          <w:spacing w:val="23"/>
        </w:rPr>
        <w:t xml:space="preserve"> </w:t>
      </w:r>
      <w:r w:rsidRPr="0031675F">
        <w:t>entry</w:t>
      </w:r>
      <w:r w:rsidRPr="0031675F">
        <w:rPr>
          <w:spacing w:val="22"/>
        </w:rPr>
        <w:t xml:space="preserve"> </w:t>
      </w:r>
      <w:r w:rsidRPr="0031675F">
        <w:t>of</w:t>
      </w:r>
      <w:r w:rsidRPr="0031675F">
        <w:rPr>
          <w:spacing w:val="47"/>
        </w:rPr>
        <w:t xml:space="preserve"> </w:t>
      </w:r>
      <w:r w:rsidRPr="0031675F">
        <w:t>data</w:t>
      </w:r>
      <w:r w:rsidRPr="0031675F">
        <w:rPr>
          <w:spacing w:val="7"/>
        </w:rPr>
        <w:t xml:space="preserve"> </w:t>
      </w:r>
      <w:r w:rsidRPr="0031675F">
        <w:t>is</w:t>
      </w:r>
      <w:r w:rsidRPr="0031675F">
        <w:rPr>
          <w:spacing w:val="7"/>
        </w:rPr>
        <w:t xml:space="preserve"> </w:t>
      </w:r>
      <w:r w:rsidRPr="0031675F">
        <w:t>the</w:t>
      </w:r>
      <w:r w:rsidRPr="0031675F">
        <w:rPr>
          <w:spacing w:val="7"/>
        </w:rPr>
        <w:t xml:space="preserve"> </w:t>
      </w:r>
      <w:r w:rsidRPr="0031675F">
        <w:t>biggest</w:t>
      </w:r>
      <w:r w:rsidRPr="0031675F">
        <w:rPr>
          <w:spacing w:val="8"/>
        </w:rPr>
        <w:t xml:space="preserve"> </w:t>
      </w:r>
      <w:r w:rsidRPr="0031675F">
        <w:t>source</w:t>
      </w:r>
      <w:r w:rsidRPr="0031675F">
        <w:rPr>
          <w:spacing w:val="8"/>
        </w:rPr>
        <w:t xml:space="preserve"> </w:t>
      </w:r>
      <w:r w:rsidRPr="0031675F">
        <w:t>of</w:t>
      </w:r>
      <w:r w:rsidRPr="0031675F">
        <w:rPr>
          <w:spacing w:val="7"/>
        </w:rPr>
        <w:t xml:space="preserve"> </w:t>
      </w:r>
      <w:r w:rsidRPr="0031675F">
        <w:t>errors</w:t>
      </w:r>
      <w:r w:rsidRPr="0031675F">
        <w:rPr>
          <w:spacing w:val="7"/>
        </w:rPr>
        <w:t xml:space="preserve"> </w:t>
      </w:r>
      <w:r w:rsidRPr="0031675F">
        <w:t>in</w:t>
      </w:r>
      <w:r w:rsidRPr="0031675F">
        <w:rPr>
          <w:spacing w:val="6"/>
        </w:rPr>
        <w:t xml:space="preserve"> </w:t>
      </w:r>
      <w:r w:rsidRPr="0031675F">
        <w:t>data</w:t>
      </w:r>
      <w:r w:rsidRPr="0031675F">
        <w:rPr>
          <w:spacing w:val="7"/>
        </w:rPr>
        <w:t xml:space="preserve"> </w:t>
      </w:r>
      <w:r w:rsidRPr="0031675F">
        <w:t>collection.</w:t>
      </w:r>
      <w:r w:rsidRPr="0031675F">
        <w:rPr>
          <w:spacing w:val="7"/>
        </w:rPr>
        <w:t xml:space="preserve"> </w:t>
      </w:r>
      <w:r w:rsidRPr="0031675F">
        <w:t>For</w:t>
      </w:r>
      <w:r w:rsidRPr="0031675F">
        <w:rPr>
          <w:spacing w:val="7"/>
        </w:rPr>
        <w:t xml:space="preserve"> </w:t>
      </w:r>
      <w:r w:rsidRPr="0031675F">
        <w:t>this</w:t>
      </w:r>
      <w:r w:rsidRPr="0031675F">
        <w:rPr>
          <w:spacing w:val="7"/>
        </w:rPr>
        <w:t xml:space="preserve"> </w:t>
      </w:r>
      <w:r w:rsidRPr="0031675F">
        <w:t>reason</w:t>
      </w:r>
      <w:r w:rsidRPr="0031675F">
        <w:rPr>
          <w:spacing w:val="6"/>
        </w:rPr>
        <w:t xml:space="preserve"> </w:t>
      </w:r>
      <w:r w:rsidRPr="0031675F">
        <w:t>various</w:t>
      </w:r>
      <w:r w:rsidRPr="0031675F">
        <w:rPr>
          <w:spacing w:val="7"/>
        </w:rPr>
        <w:t xml:space="preserve"> </w:t>
      </w:r>
      <w:r w:rsidRPr="0031675F">
        <w:t>specific</w:t>
      </w:r>
      <w:r w:rsidRPr="0031675F">
        <w:rPr>
          <w:spacing w:val="7"/>
        </w:rPr>
        <w:t xml:space="preserve"> </w:t>
      </w:r>
      <w:r w:rsidRPr="0031675F">
        <w:t>data</w:t>
      </w:r>
      <w:r w:rsidRPr="0031675F">
        <w:rPr>
          <w:spacing w:val="7"/>
        </w:rPr>
        <w:t xml:space="preserve"> </w:t>
      </w:r>
      <w:r w:rsidRPr="0031675F">
        <w:t>management</w:t>
      </w:r>
      <w:r w:rsidRPr="0031675F">
        <w:rPr>
          <w:spacing w:val="77"/>
        </w:rPr>
        <w:t xml:space="preserve"> </w:t>
      </w:r>
      <w:r w:rsidRPr="0031675F">
        <w:t xml:space="preserve">applications for </w:t>
      </w:r>
      <w:r w:rsidRPr="0031675F">
        <w:rPr>
          <w:spacing w:val="-2"/>
        </w:rPr>
        <w:t>the</w:t>
      </w:r>
      <w:r w:rsidRPr="0031675F">
        <w:t xml:space="preserve"> Reef Rescue</w:t>
      </w:r>
      <w:r w:rsidRPr="0031675F">
        <w:rPr>
          <w:spacing w:val="-2"/>
        </w:rPr>
        <w:t xml:space="preserve"> </w:t>
      </w:r>
      <w:r w:rsidRPr="0031675F">
        <w:t>MMP</w:t>
      </w:r>
      <w:r w:rsidRPr="0031675F">
        <w:rPr>
          <w:spacing w:val="1"/>
        </w:rPr>
        <w:t xml:space="preserve"> </w:t>
      </w:r>
      <w:r w:rsidRPr="0031675F">
        <w:t>have</w:t>
      </w:r>
      <w:r w:rsidRPr="0031675F">
        <w:rPr>
          <w:spacing w:val="-2"/>
        </w:rPr>
        <w:t xml:space="preserve"> </w:t>
      </w:r>
      <w:r w:rsidRPr="0031675F">
        <w:t>been</w:t>
      </w:r>
      <w:r w:rsidRPr="0031675F">
        <w:rPr>
          <w:spacing w:val="2"/>
        </w:rPr>
        <w:t xml:space="preserve"> </w:t>
      </w:r>
      <w:r w:rsidRPr="0031675F">
        <w:t xml:space="preserve">developed </w:t>
      </w:r>
      <w:r w:rsidRPr="0031675F">
        <w:rPr>
          <w:spacing w:val="-2"/>
        </w:rPr>
        <w:t>at</w:t>
      </w:r>
      <w:r w:rsidRPr="0031675F">
        <w:t xml:space="preserve"> AIMS.</w:t>
      </w:r>
      <w:r w:rsidRPr="0031675F">
        <w:rPr>
          <w:spacing w:val="-3"/>
        </w:rPr>
        <w:t xml:space="preserve"> </w:t>
      </w:r>
      <w:r w:rsidRPr="0031675F">
        <w:rPr>
          <w:spacing w:val="-2"/>
        </w:rPr>
        <w:t>These</w:t>
      </w:r>
      <w:r w:rsidRPr="0031675F">
        <w:t xml:space="preserve"> are:</w:t>
      </w:r>
    </w:p>
    <w:p w14:paraId="313152DC" w14:textId="77777777" w:rsidR="0031675F" w:rsidRPr="0031675F" w:rsidRDefault="0031675F" w:rsidP="0031675F">
      <w:pPr>
        <w:widowControl w:val="0"/>
        <w:numPr>
          <w:ilvl w:val="0"/>
          <w:numId w:val="62"/>
        </w:numPr>
        <w:tabs>
          <w:tab w:val="left" w:pos="821"/>
        </w:tabs>
        <w:spacing w:before="0" w:after="0" w:line="240" w:lineRule="auto"/>
      </w:pPr>
      <w:r w:rsidRPr="0031675F">
        <w:rPr>
          <w:spacing w:val="-1"/>
        </w:rPr>
        <w:t>The</w:t>
      </w:r>
      <w:r w:rsidRPr="0031675F">
        <w:t xml:space="preserve"> </w:t>
      </w:r>
      <w:r w:rsidRPr="0031675F">
        <w:rPr>
          <w:spacing w:val="-1"/>
        </w:rPr>
        <w:t>Field</w:t>
      </w:r>
      <w:r w:rsidRPr="0031675F">
        <w:rPr>
          <w:spacing w:val="-3"/>
        </w:rPr>
        <w:t xml:space="preserve"> </w:t>
      </w:r>
      <w:r w:rsidRPr="0031675F">
        <w:t>Data</w:t>
      </w:r>
      <w:r w:rsidRPr="0031675F">
        <w:rPr>
          <w:spacing w:val="-2"/>
        </w:rPr>
        <w:t xml:space="preserve"> </w:t>
      </w:r>
      <w:r w:rsidRPr="0031675F">
        <w:rPr>
          <w:spacing w:val="-1"/>
        </w:rPr>
        <w:t>Entry</w:t>
      </w:r>
      <w:r w:rsidRPr="0031675F">
        <w:rPr>
          <w:spacing w:val="-2"/>
        </w:rPr>
        <w:t xml:space="preserve"> </w:t>
      </w:r>
      <w:r w:rsidRPr="0031675F">
        <w:rPr>
          <w:spacing w:val="-1"/>
        </w:rPr>
        <w:t>System</w:t>
      </w:r>
      <w:r w:rsidRPr="0031675F">
        <w:rPr>
          <w:spacing w:val="1"/>
        </w:rPr>
        <w:t xml:space="preserve"> </w:t>
      </w:r>
      <w:r w:rsidRPr="0031675F">
        <w:rPr>
          <w:spacing w:val="-1"/>
        </w:rPr>
        <w:t>(FDES)</w:t>
      </w:r>
    </w:p>
    <w:p w14:paraId="4C4489DA" w14:textId="77777777" w:rsidR="0031675F" w:rsidRPr="0031675F" w:rsidRDefault="0031675F" w:rsidP="0031675F">
      <w:pPr>
        <w:widowControl w:val="0"/>
        <w:numPr>
          <w:ilvl w:val="0"/>
          <w:numId w:val="62"/>
        </w:numPr>
        <w:tabs>
          <w:tab w:val="left" w:pos="821"/>
        </w:tabs>
        <w:spacing w:before="0" w:after="0" w:line="240" w:lineRule="auto"/>
      </w:pPr>
      <w:r w:rsidRPr="0031675F">
        <w:rPr>
          <w:spacing w:val="-1"/>
        </w:rPr>
        <w:t>The</w:t>
      </w:r>
      <w:r w:rsidRPr="0031675F">
        <w:t xml:space="preserve"> </w:t>
      </w:r>
      <w:r w:rsidRPr="0031675F">
        <w:rPr>
          <w:spacing w:val="-1"/>
        </w:rPr>
        <w:t>Filter</w:t>
      </w:r>
      <w:r w:rsidRPr="0031675F">
        <w:rPr>
          <w:spacing w:val="-3"/>
        </w:rPr>
        <w:t xml:space="preserve"> </w:t>
      </w:r>
      <w:r w:rsidRPr="0031675F">
        <w:rPr>
          <w:spacing w:val="-1"/>
        </w:rPr>
        <w:t>Weight</w:t>
      </w:r>
      <w:r w:rsidRPr="0031675F">
        <w:rPr>
          <w:spacing w:val="-2"/>
        </w:rPr>
        <w:t xml:space="preserve"> </w:t>
      </w:r>
      <w:r w:rsidRPr="0031675F">
        <w:rPr>
          <w:spacing w:val="-1"/>
        </w:rPr>
        <w:t>Management</w:t>
      </w:r>
      <w:r w:rsidRPr="0031675F">
        <w:rPr>
          <w:spacing w:val="-3"/>
        </w:rPr>
        <w:t xml:space="preserve"> </w:t>
      </w:r>
      <w:r w:rsidRPr="0031675F">
        <w:t xml:space="preserve">Web </w:t>
      </w:r>
      <w:r w:rsidRPr="0031675F">
        <w:rPr>
          <w:spacing w:val="-1"/>
        </w:rPr>
        <w:t>Application,</w:t>
      </w:r>
      <w:r w:rsidRPr="0031675F">
        <w:rPr>
          <w:spacing w:val="-3"/>
        </w:rPr>
        <w:t xml:space="preserve"> </w:t>
      </w:r>
      <w:r w:rsidRPr="0031675F">
        <w:t>and</w:t>
      </w:r>
      <w:r w:rsidRPr="0031675F">
        <w:rPr>
          <w:spacing w:val="-2"/>
        </w:rPr>
        <w:t xml:space="preserve"> </w:t>
      </w:r>
      <w:r w:rsidRPr="0031675F">
        <w:t>a</w:t>
      </w:r>
    </w:p>
    <w:p w14:paraId="7C69586B" w14:textId="77777777" w:rsidR="0031675F" w:rsidRPr="0031675F" w:rsidRDefault="0031675F" w:rsidP="0031675F">
      <w:pPr>
        <w:widowControl w:val="0"/>
        <w:numPr>
          <w:ilvl w:val="0"/>
          <w:numId w:val="62"/>
        </w:numPr>
        <w:tabs>
          <w:tab w:val="left" w:pos="821"/>
        </w:tabs>
        <w:spacing w:before="0" w:after="0" w:line="249" w:lineRule="auto"/>
        <w:ind w:right="115"/>
        <w:jc w:val="both"/>
      </w:pPr>
      <w:r w:rsidRPr="0031675F">
        <w:rPr>
          <w:spacing w:val="-1"/>
        </w:rPr>
        <w:t>The</w:t>
      </w:r>
      <w:r w:rsidRPr="0031675F">
        <w:rPr>
          <w:spacing w:val="29"/>
        </w:rPr>
        <w:t xml:space="preserve"> </w:t>
      </w:r>
      <w:r w:rsidRPr="0031675F">
        <w:rPr>
          <w:spacing w:val="-1"/>
        </w:rPr>
        <w:t>FDES</w:t>
      </w:r>
      <w:r w:rsidRPr="0031675F">
        <w:rPr>
          <w:spacing w:val="28"/>
        </w:rPr>
        <w:t xml:space="preserve"> </w:t>
      </w:r>
      <w:r w:rsidRPr="0031675F">
        <w:rPr>
          <w:spacing w:val="-1"/>
        </w:rPr>
        <w:t>Import</w:t>
      </w:r>
      <w:r w:rsidRPr="0031675F">
        <w:rPr>
          <w:spacing w:val="27"/>
        </w:rPr>
        <w:t xml:space="preserve"> </w:t>
      </w:r>
      <w:r w:rsidRPr="0031675F">
        <w:t>Web</w:t>
      </w:r>
      <w:r w:rsidRPr="0031675F">
        <w:rPr>
          <w:spacing w:val="27"/>
        </w:rPr>
        <w:t xml:space="preserve"> </w:t>
      </w:r>
      <w:r w:rsidRPr="0031675F">
        <w:rPr>
          <w:spacing w:val="-1"/>
        </w:rPr>
        <w:t>Application</w:t>
      </w:r>
      <w:r w:rsidRPr="0031675F">
        <w:rPr>
          <w:spacing w:val="28"/>
        </w:rPr>
        <w:t xml:space="preserve"> </w:t>
      </w:r>
      <w:r w:rsidRPr="0031675F">
        <w:t>which</w:t>
      </w:r>
      <w:r w:rsidRPr="0031675F">
        <w:rPr>
          <w:spacing w:val="28"/>
        </w:rPr>
        <w:t xml:space="preserve"> </w:t>
      </w:r>
      <w:r w:rsidRPr="0031675F">
        <w:rPr>
          <w:spacing w:val="-2"/>
        </w:rPr>
        <w:t>provides</w:t>
      </w:r>
      <w:r w:rsidRPr="0031675F">
        <w:rPr>
          <w:spacing w:val="30"/>
        </w:rPr>
        <w:t xml:space="preserve"> </w:t>
      </w:r>
      <w:r w:rsidRPr="0031675F">
        <w:t>a</w:t>
      </w:r>
      <w:r w:rsidRPr="0031675F">
        <w:rPr>
          <w:spacing w:val="25"/>
        </w:rPr>
        <w:t xml:space="preserve"> </w:t>
      </w:r>
      <w:r w:rsidRPr="0031675F">
        <w:rPr>
          <w:spacing w:val="-1"/>
        </w:rPr>
        <w:t>form</w:t>
      </w:r>
      <w:r w:rsidRPr="0031675F">
        <w:rPr>
          <w:spacing w:val="28"/>
        </w:rPr>
        <w:t xml:space="preserve"> </w:t>
      </w:r>
      <w:r w:rsidRPr="0031675F">
        <w:rPr>
          <w:spacing w:val="-1"/>
        </w:rPr>
        <w:t>entry</w:t>
      </w:r>
      <w:r w:rsidRPr="0031675F">
        <w:rPr>
          <w:spacing w:val="30"/>
        </w:rPr>
        <w:t xml:space="preserve"> </w:t>
      </w:r>
      <w:r w:rsidRPr="0031675F">
        <w:rPr>
          <w:spacing w:val="-2"/>
        </w:rPr>
        <w:t>system</w:t>
      </w:r>
      <w:r w:rsidRPr="0031675F">
        <w:rPr>
          <w:spacing w:val="27"/>
        </w:rPr>
        <w:t xml:space="preserve"> </w:t>
      </w:r>
      <w:r w:rsidRPr="0031675F">
        <w:t>with</w:t>
      </w:r>
      <w:r w:rsidRPr="0031675F">
        <w:rPr>
          <w:spacing w:val="29"/>
        </w:rPr>
        <w:t xml:space="preserve"> </w:t>
      </w:r>
      <w:r w:rsidRPr="0031675F">
        <w:rPr>
          <w:spacing w:val="-1"/>
        </w:rPr>
        <w:t>limited</w:t>
      </w:r>
      <w:r w:rsidRPr="0031675F">
        <w:rPr>
          <w:spacing w:val="26"/>
        </w:rPr>
        <w:t xml:space="preserve"> </w:t>
      </w:r>
      <w:r w:rsidRPr="0031675F">
        <w:rPr>
          <w:spacing w:val="-1"/>
        </w:rPr>
        <w:t>text</w:t>
      </w:r>
      <w:r w:rsidRPr="0031675F">
        <w:rPr>
          <w:spacing w:val="30"/>
        </w:rPr>
        <w:t xml:space="preserve"> </w:t>
      </w:r>
      <w:r w:rsidRPr="0031675F">
        <w:rPr>
          <w:spacing w:val="-1"/>
        </w:rPr>
        <w:t>entry</w:t>
      </w:r>
      <w:r w:rsidRPr="0031675F">
        <w:rPr>
          <w:spacing w:val="67"/>
        </w:rPr>
        <w:t xml:space="preserve"> </w:t>
      </w:r>
      <w:r w:rsidRPr="0031675F">
        <w:t>other</w:t>
      </w:r>
      <w:r w:rsidRPr="0031675F">
        <w:rPr>
          <w:spacing w:val="13"/>
        </w:rPr>
        <w:t xml:space="preserve"> </w:t>
      </w:r>
      <w:r w:rsidRPr="0031675F">
        <w:rPr>
          <w:spacing w:val="-1"/>
        </w:rPr>
        <w:t>than</w:t>
      </w:r>
      <w:r w:rsidRPr="0031675F">
        <w:rPr>
          <w:spacing w:val="12"/>
        </w:rPr>
        <w:t xml:space="preserve"> </w:t>
      </w:r>
      <w:r w:rsidRPr="0031675F">
        <w:rPr>
          <w:spacing w:val="-1"/>
        </w:rPr>
        <w:t>where</w:t>
      </w:r>
      <w:r w:rsidRPr="0031675F">
        <w:rPr>
          <w:spacing w:val="13"/>
        </w:rPr>
        <w:t xml:space="preserve"> </w:t>
      </w:r>
      <w:r w:rsidRPr="0031675F">
        <w:rPr>
          <w:spacing w:val="-1"/>
        </w:rPr>
        <w:t>absolutely</w:t>
      </w:r>
      <w:r w:rsidRPr="0031675F">
        <w:rPr>
          <w:spacing w:val="13"/>
        </w:rPr>
        <w:t xml:space="preserve"> </w:t>
      </w:r>
      <w:r w:rsidRPr="0031675F">
        <w:rPr>
          <w:spacing w:val="-1"/>
        </w:rPr>
        <w:t>required</w:t>
      </w:r>
      <w:r w:rsidRPr="0031675F">
        <w:rPr>
          <w:spacing w:val="12"/>
        </w:rPr>
        <w:t xml:space="preserve"> </w:t>
      </w:r>
      <w:r w:rsidRPr="0031675F">
        <w:rPr>
          <w:spacing w:val="-1"/>
        </w:rPr>
        <w:t>(for</w:t>
      </w:r>
      <w:r w:rsidRPr="0031675F">
        <w:rPr>
          <w:spacing w:val="10"/>
        </w:rPr>
        <w:t xml:space="preserve"> </w:t>
      </w:r>
      <w:r w:rsidRPr="0031675F">
        <w:rPr>
          <w:spacing w:val="-1"/>
        </w:rPr>
        <w:t>example</w:t>
      </w:r>
      <w:r w:rsidRPr="0031675F">
        <w:rPr>
          <w:spacing w:val="13"/>
        </w:rPr>
        <w:t xml:space="preserve"> </w:t>
      </w:r>
      <w:r w:rsidRPr="0031675F">
        <w:rPr>
          <w:spacing w:val="-1"/>
        </w:rPr>
        <w:t>commentary,</w:t>
      </w:r>
      <w:r w:rsidRPr="0031675F">
        <w:rPr>
          <w:spacing w:val="13"/>
        </w:rPr>
        <w:t xml:space="preserve"> </w:t>
      </w:r>
      <w:r w:rsidRPr="0031675F">
        <w:rPr>
          <w:spacing w:val="-1"/>
        </w:rPr>
        <w:t>naming,</w:t>
      </w:r>
      <w:r w:rsidRPr="0031675F">
        <w:rPr>
          <w:spacing w:val="13"/>
        </w:rPr>
        <w:t xml:space="preserve"> </w:t>
      </w:r>
      <w:r w:rsidRPr="0031675F">
        <w:rPr>
          <w:spacing w:val="-1"/>
        </w:rPr>
        <w:t>and</w:t>
      </w:r>
      <w:r w:rsidRPr="0031675F">
        <w:rPr>
          <w:spacing w:val="12"/>
        </w:rPr>
        <w:t xml:space="preserve"> </w:t>
      </w:r>
      <w:r w:rsidRPr="0031675F">
        <w:rPr>
          <w:spacing w:val="-1"/>
        </w:rPr>
        <w:t>description</w:t>
      </w:r>
      <w:r w:rsidRPr="0031675F">
        <w:rPr>
          <w:spacing w:val="69"/>
        </w:rPr>
        <w:t xml:space="preserve"> </w:t>
      </w:r>
      <w:r w:rsidRPr="0031675F">
        <w:rPr>
          <w:spacing w:val="-1"/>
        </w:rPr>
        <w:t>metadata</w:t>
      </w:r>
      <w:r w:rsidRPr="0031675F">
        <w:t xml:space="preserve"> </w:t>
      </w:r>
      <w:r w:rsidRPr="0031675F">
        <w:rPr>
          <w:spacing w:val="-1"/>
        </w:rPr>
        <w:t>for</w:t>
      </w:r>
      <w:r w:rsidRPr="0031675F">
        <w:t xml:space="preserve"> </w:t>
      </w:r>
      <w:r w:rsidRPr="0031675F">
        <w:rPr>
          <w:spacing w:val="-2"/>
        </w:rPr>
        <w:t>the</w:t>
      </w:r>
      <w:r w:rsidRPr="0031675F">
        <w:t xml:space="preserve"> </w:t>
      </w:r>
      <w:r w:rsidRPr="0031675F">
        <w:rPr>
          <w:spacing w:val="-1"/>
        </w:rPr>
        <w:t>sample).</w:t>
      </w:r>
    </w:p>
    <w:p w14:paraId="7071F41C" w14:textId="77777777" w:rsidR="0031675F" w:rsidRPr="0031675F" w:rsidRDefault="0031675F" w:rsidP="0031675F">
      <w:pPr>
        <w:spacing w:before="2"/>
        <w:rPr>
          <w:rFonts w:cs="Calibri"/>
          <w:sz w:val="23"/>
          <w:szCs w:val="23"/>
        </w:rPr>
      </w:pPr>
    </w:p>
    <w:p w14:paraId="5EAEBE19" w14:textId="77777777" w:rsidR="0031675F" w:rsidRPr="0031675F" w:rsidRDefault="0031675F" w:rsidP="0057756F">
      <w:r w:rsidRPr="0031675F">
        <w:t>The</w:t>
      </w:r>
      <w:r w:rsidRPr="0031675F">
        <w:rPr>
          <w:spacing w:val="3"/>
        </w:rPr>
        <w:t xml:space="preserve"> </w:t>
      </w:r>
      <w:r w:rsidRPr="0031675F">
        <w:rPr>
          <w:rFonts w:cs="Calibri"/>
          <w:b/>
          <w:bCs/>
        </w:rPr>
        <w:t>Field</w:t>
      </w:r>
      <w:r w:rsidRPr="0031675F">
        <w:rPr>
          <w:rFonts w:cs="Calibri"/>
          <w:b/>
          <w:bCs/>
          <w:spacing w:val="2"/>
        </w:rPr>
        <w:t xml:space="preserve"> </w:t>
      </w:r>
      <w:r w:rsidRPr="0031675F">
        <w:rPr>
          <w:rFonts w:cs="Calibri"/>
          <w:b/>
          <w:bCs/>
        </w:rPr>
        <w:t>Data</w:t>
      </w:r>
      <w:r w:rsidRPr="0031675F">
        <w:rPr>
          <w:rFonts w:cs="Calibri"/>
          <w:b/>
          <w:bCs/>
          <w:spacing w:val="2"/>
        </w:rPr>
        <w:t xml:space="preserve"> </w:t>
      </w:r>
      <w:r w:rsidRPr="0031675F">
        <w:rPr>
          <w:rFonts w:cs="Calibri"/>
          <w:b/>
          <w:bCs/>
        </w:rPr>
        <w:t>Entry</w:t>
      </w:r>
      <w:r w:rsidRPr="0031675F">
        <w:rPr>
          <w:rFonts w:cs="Calibri"/>
          <w:b/>
          <w:bCs/>
          <w:spacing w:val="3"/>
        </w:rPr>
        <w:t xml:space="preserve"> </w:t>
      </w:r>
      <w:r w:rsidRPr="0031675F">
        <w:rPr>
          <w:rFonts w:cs="Calibri"/>
          <w:b/>
          <w:bCs/>
          <w:spacing w:val="-2"/>
        </w:rPr>
        <w:t>System</w:t>
      </w:r>
      <w:r w:rsidRPr="0031675F">
        <w:rPr>
          <w:rFonts w:cs="Calibri"/>
          <w:b/>
          <w:bCs/>
          <w:spacing w:val="3"/>
        </w:rPr>
        <w:t xml:space="preserve"> </w:t>
      </w:r>
      <w:r w:rsidRPr="0031675F">
        <w:rPr>
          <w:rFonts w:cs="Calibri"/>
          <w:b/>
          <w:bCs/>
        </w:rPr>
        <w:t>(FDES)</w:t>
      </w:r>
      <w:r w:rsidRPr="0031675F">
        <w:rPr>
          <w:rFonts w:cs="Calibri"/>
          <w:b/>
          <w:bCs/>
          <w:spacing w:val="6"/>
        </w:rPr>
        <w:t xml:space="preserve"> </w:t>
      </w:r>
      <w:r w:rsidRPr="0031675F">
        <w:t>is</w:t>
      </w:r>
      <w:r w:rsidRPr="0031675F">
        <w:rPr>
          <w:spacing w:val="2"/>
        </w:rPr>
        <w:t xml:space="preserve"> </w:t>
      </w:r>
      <w:r w:rsidRPr="0031675F">
        <w:t>an</w:t>
      </w:r>
      <w:r w:rsidRPr="0031675F">
        <w:rPr>
          <w:spacing w:val="1"/>
        </w:rPr>
        <w:t xml:space="preserve"> </w:t>
      </w:r>
      <w:r w:rsidRPr="0031675F">
        <w:t>implementation</w:t>
      </w:r>
      <w:r w:rsidRPr="0031675F">
        <w:rPr>
          <w:spacing w:val="2"/>
        </w:rPr>
        <w:t xml:space="preserve"> </w:t>
      </w:r>
      <w:r w:rsidRPr="0031675F">
        <w:t>of</w:t>
      </w:r>
      <w:r w:rsidRPr="0031675F">
        <w:rPr>
          <w:spacing w:val="2"/>
        </w:rPr>
        <w:t xml:space="preserve"> </w:t>
      </w:r>
      <w:r w:rsidRPr="0031675F">
        <w:t>a</w:t>
      </w:r>
      <w:r w:rsidRPr="0031675F">
        <w:rPr>
          <w:spacing w:val="2"/>
        </w:rPr>
        <w:t xml:space="preserve"> </w:t>
      </w:r>
      <w:r w:rsidRPr="0031675F">
        <w:t>Microsoft</w:t>
      </w:r>
      <w:r w:rsidRPr="0031675F">
        <w:rPr>
          <w:spacing w:val="3"/>
        </w:rPr>
        <w:t xml:space="preserve"> </w:t>
      </w:r>
      <w:r w:rsidRPr="0031675F">
        <w:t>Access Database</w:t>
      </w:r>
      <w:r w:rsidRPr="0031675F">
        <w:rPr>
          <w:spacing w:val="3"/>
        </w:rPr>
        <w:t xml:space="preserve"> </w:t>
      </w:r>
      <w:r w:rsidRPr="0031675F">
        <w:t>which</w:t>
      </w:r>
      <w:r w:rsidRPr="0031675F">
        <w:rPr>
          <w:spacing w:val="1"/>
        </w:rPr>
        <w:t xml:space="preserve"> </w:t>
      </w:r>
      <w:r w:rsidRPr="0031675F">
        <w:t>has</w:t>
      </w:r>
      <w:r w:rsidRPr="0031675F">
        <w:rPr>
          <w:spacing w:val="2"/>
        </w:rPr>
        <w:t xml:space="preserve"> </w:t>
      </w:r>
      <w:r w:rsidRPr="0031675F">
        <w:t>two</w:t>
      </w:r>
      <w:r w:rsidRPr="0031675F">
        <w:rPr>
          <w:spacing w:val="71"/>
        </w:rPr>
        <w:t xml:space="preserve"> </w:t>
      </w:r>
      <w:r w:rsidRPr="0031675F">
        <w:t>main</w:t>
      </w:r>
      <w:r w:rsidRPr="0031675F">
        <w:rPr>
          <w:spacing w:val="3"/>
        </w:rPr>
        <w:t xml:space="preserve"> </w:t>
      </w:r>
      <w:r w:rsidRPr="0031675F">
        <w:t>components.</w:t>
      </w:r>
      <w:r w:rsidRPr="0031675F">
        <w:rPr>
          <w:spacing w:val="5"/>
        </w:rPr>
        <w:t xml:space="preserve"> </w:t>
      </w:r>
      <w:r w:rsidRPr="0031675F">
        <w:t>A</w:t>
      </w:r>
      <w:r w:rsidRPr="0031675F">
        <w:rPr>
          <w:spacing w:val="4"/>
        </w:rPr>
        <w:t xml:space="preserve"> </w:t>
      </w:r>
      <w:r w:rsidRPr="0031675F">
        <w:t>database</w:t>
      </w:r>
      <w:r w:rsidRPr="0031675F">
        <w:rPr>
          <w:spacing w:val="5"/>
        </w:rPr>
        <w:t xml:space="preserve"> </w:t>
      </w:r>
      <w:r w:rsidRPr="0031675F">
        <w:t>schema</w:t>
      </w:r>
      <w:r w:rsidRPr="0031675F">
        <w:rPr>
          <w:spacing w:val="2"/>
        </w:rPr>
        <w:t xml:space="preserve"> </w:t>
      </w:r>
      <w:r w:rsidRPr="0031675F">
        <w:t>that models</w:t>
      </w:r>
      <w:r w:rsidRPr="0031675F">
        <w:rPr>
          <w:spacing w:val="5"/>
        </w:rPr>
        <w:t xml:space="preserve"> </w:t>
      </w:r>
      <w:r w:rsidRPr="0031675F">
        <w:t>the</w:t>
      </w:r>
      <w:r w:rsidRPr="0031675F">
        <w:rPr>
          <w:spacing w:val="5"/>
        </w:rPr>
        <w:t xml:space="preserve"> </w:t>
      </w:r>
      <w:r w:rsidRPr="0031675F">
        <w:t>data</w:t>
      </w:r>
      <w:r w:rsidRPr="0031675F">
        <w:rPr>
          <w:spacing w:val="3"/>
        </w:rPr>
        <w:t xml:space="preserve"> </w:t>
      </w:r>
      <w:r w:rsidRPr="0031675F">
        <w:t>collection</w:t>
      </w:r>
      <w:r w:rsidRPr="0031675F">
        <w:rPr>
          <w:spacing w:val="4"/>
        </w:rPr>
        <w:t xml:space="preserve"> </w:t>
      </w:r>
      <w:r w:rsidRPr="0031675F">
        <w:t>process</w:t>
      </w:r>
      <w:r w:rsidRPr="0031675F">
        <w:rPr>
          <w:spacing w:val="5"/>
        </w:rPr>
        <w:t xml:space="preserve"> </w:t>
      </w:r>
      <w:r w:rsidRPr="0031675F">
        <w:t>to</w:t>
      </w:r>
      <w:r w:rsidRPr="0031675F">
        <w:rPr>
          <w:spacing w:val="6"/>
        </w:rPr>
        <w:t xml:space="preserve"> </w:t>
      </w:r>
      <w:r w:rsidRPr="0031675F">
        <w:t>provide</w:t>
      </w:r>
      <w:r w:rsidRPr="0031675F">
        <w:rPr>
          <w:spacing w:val="10"/>
        </w:rPr>
        <w:t xml:space="preserve"> </w:t>
      </w:r>
      <w:r w:rsidRPr="0031675F">
        <w:t>data</w:t>
      </w:r>
      <w:r w:rsidRPr="0031675F">
        <w:rPr>
          <w:spacing w:val="3"/>
        </w:rPr>
        <w:t xml:space="preserve"> </w:t>
      </w:r>
      <w:r w:rsidRPr="0031675F">
        <w:t>integrity,</w:t>
      </w:r>
      <w:r w:rsidRPr="0031675F">
        <w:rPr>
          <w:spacing w:val="57"/>
        </w:rPr>
        <w:t xml:space="preserve"> </w:t>
      </w:r>
      <w:r w:rsidRPr="0031675F">
        <w:t>and</w:t>
      </w:r>
      <w:r w:rsidRPr="0031675F">
        <w:rPr>
          <w:spacing w:val="32"/>
        </w:rPr>
        <w:t xml:space="preserve"> </w:t>
      </w:r>
      <w:r w:rsidRPr="0031675F">
        <w:t>a</w:t>
      </w:r>
      <w:r w:rsidRPr="0031675F">
        <w:rPr>
          <w:spacing w:val="34"/>
        </w:rPr>
        <w:t xml:space="preserve"> </w:t>
      </w:r>
      <w:r w:rsidRPr="0031675F">
        <w:t>set</w:t>
      </w:r>
      <w:r w:rsidRPr="0031675F">
        <w:rPr>
          <w:spacing w:val="32"/>
        </w:rPr>
        <w:t xml:space="preserve"> </w:t>
      </w:r>
      <w:r w:rsidRPr="0031675F">
        <w:t>of</w:t>
      </w:r>
      <w:r w:rsidRPr="0031675F">
        <w:rPr>
          <w:spacing w:val="33"/>
        </w:rPr>
        <w:t xml:space="preserve"> </w:t>
      </w:r>
      <w:r w:rsidRPr="0031675F">
        <w:t>forms</w:t>
      </w:r>
      <w:r w:rsidRPr="0031675F">
        <w:rPr>
          <w:spacing w:val="34"/>
        </w:rPr>
        <w:t xml:space="preserve"> </w:t>
      </w:r>
      <w:r w:rsidRPr="0031675F">
        <w:t>that</w:t>
      </w:r>
      <w:r w:rsidRPr="0031675F">
        <w:rPr>
          <w:spacing w:val="31"/>
        </w:rPr>
        <w:t xml:space="preserve"> </w:t>
      </w:r>
      <w:r w:rsidRPr="0031675F">
        <w:t>control</w:t>
      </w:r>
      <w:r w:rsidRPr="0031675F">
        <w:rPr>
          <w:spacing w:val="31"/>
        </w:rPr>
        <w:t xml:space="preserve"> </w:t>
      </w:r>
      <w:r w:rsidRPr="0031675F">
        <w:t>the</w:t>
      </w:r>
      <w:r w:rsidRPr="0031675F">
        <w:rPr>
          <w:spacing w:val="33"/>
        </w:rPr>
        <w:t xml:space="preserve"> </w:t>
      </w:r>
      <w:r w:rsidRPr="0031675F">
        <w:t>data</w:t>
      </w:r>
      <w:r w:rsidRPr="0031675F">
        <w:rPr>
          <w:spacing w:val="34"/>
        </w:rPr>
        <w:t xml:space="preserve"> </w:t>
      </w:r>
      <w:r w:rsidRPr="0031675F">
        <w:t>entry</w:t>
      </w:r>
      <w:r w:rsidRPr="0031675F">
        <w:rPr>
          <w:spacing w:val="35"/>
        </w:rPr>
        <w:t xml:space="preserve"> </w:t>
      </w:r>
      <w:r w:rsidRPr="0031675F">
        <w:t>process</w:t>
      </w:r>
      <w:r w:rsidRPr="0031675F">
        <w:rPr>
          <w:spacing w:val="33"/>
        </w:rPr>
        <w:t xml:space="preserve"> </w:t>
      </w:r>
      <w:r w:rsidRPr="0031675F">
        <w:t>by</w:t>
      </w:r>
      <w:r w:rsidRPr="0031675F">
        <w:rPr>
          <w:spacing w:val="32"/>
        </w:rPr>
        <w:t xml:space="preserve"> </w:t>
      </w:r>
      <w:r w:rsidRPr="0031675F">
        <w:t>providing</w:t>
      </w:r>
      <w:r w:rsidRPr="0031675F">
        <w:rPr>
          <w:spacing w:val="33"/>
        </w:rPr>
        <w:t xml:space="preserve"> </w:t>
      </w:r>
      <w:r w:rsidRPr="0031675F">
        <w:t>drop</w:t>
      </w:r>
      <w:r w:rsidRPr="0031675F">
        <w:rPr>
          <w:spacing w:val="33"/>
        </w:rPr>
        <w:t xml:space="preserve"> </w:t>
      </w:r>
      <w:r w:rsidRPr="0031675F">
        <w:t>down</w:t>
      </w:r>
      <w:r w:rsidRPr="0031675F">
        <w:rPr>
          <w:spacing w:val="33"/>
        </w:rPr>
        <w:t xml:space="preserve"> </w:t>
      </w:r>
      <w:r w:rsidRPr="0031675F">
        <w:t>selection</w:t>
      </w:r>
      <w:r w:rsidRPr="0031675F">
        <w:rPr>
          <w:spacing w:val="33"/>
        </w:rPr>
        <w:t xml:space="preserve"> </w:t>
      </w:r>
      <w:r w:rsidRPr="0031675F">
        <w:t>lists,</w:t>
      </w:r>
      <w:r w:rsidRPr="0031675F">
        <w:rPr>
          <w:spacing w:val="35"/>
        </w:rPr>
        <w:t xml:space="preserve"> </w:t>
      </w:r>
      <w:r w:rsidRPr="0031675F">
        <w:t>radio</w:t>
      </w:r>
      <w:r w:rsidRPr="0031675F">
        <w:rPr>
          <w:spacing w:val="47"/>
        </w:rPr>
        <w:t xml:space="preserve"> </w:t>
      </w:r>
      <w:r w:rsidRPr="0031675F">
        <w:t>buttons</w:t>
      </w:r>
      <w:r w:rsidRPr="0031675F">
        <w:rPr>
          <w:spacing w:val="7"/>
        </w:rPr>
        <w:t xml:space="preserve"> </w:t>
      </w:r>
      <w:r w:rsidRPr="0031675F">
        <w:t>of</w:t>
      </w:r>
      <w:r w:rsidRPr="0031675F">
        <w:rPr>
          <w:spacing w:val="7"/>
        </w:rPr>
        <w:t xml:space="preserve"> </w:t>
      </w:r>
      <w:r w:rsidRPr="0031675F">
        <w:t>predefined</w:t>
      </w:r>
      <w:r w:rsidRPr="0031675F">
        <w:rPr>
          <w:spacing w:val="7"/>
        </w:rPr>
        <w:t xml:space="preserve"> </w:t>
      </w:r>
      <w:r w:rsidRPr="0031675F">
        <w:t>selection</w:t>
      </w:r>
      <w:r w:rsidRPr="0031675F">
        <w:rPr>
          <w:spacing w:val="6"/>
        </w:rPr>
        <w:t xml:space="preserve"> </w:t>
      </w:r>
      <w:r w:rsidRPr="0031675F">
        <w:t>options.</w:t>
      </w:r>
      <w:r w:rsidRPr="0031675F">
        <w:rPr>
          <w:spacing w:val="7"/>
        </w:rPr>
        <w:t xml:space="preserve"> </w:t>
      </w:r>
      <w:r w:rsidRPr="0031675F">
        <w:t>This</w:t>
      </w:r>
      <w:r w:rsidRPr="0031675F">
        <w:rPr>
          <w:spacing w:val="7"/>
        </w:rPr>
        <w:t xml:space="preserve"> </w:t>
      </w:r>
      <w:r w:rsidRPr="0031675F">
        <w:t>document</w:t>
      </w:r>
      <w:r w:rsidRPr="0031675F">
        <w:rPr>
          <w:spacing w:val="8"/>
        </w:rPr>
        <w:t xml:space="preserve"> </w:t>
      </w:r>
      <w:r w:rsidRPr="0031675F">
        <w:t>will</w:t>
      </w:r>
      <w:r w:rsidRPr="0031675F">
        <w:rPr>
          <w:spacing w:val="7"/>
        </w:rPr>
        <w:t xml:space="preserve"> </w:t>
      </w:r>
      <w:r w:rsidRPr="0031675F">
        <w:t>not</w:t>
      </w:r>
      <w:r w:rsidRPr="0031675F">
        <w:rPr>
          <w:spacing w:val="8"/>
        </w:rPr>
        <w:t xml:space="preserve"> </w:t>
      </w:r>
      <w:r w:rsidRPr="0031675F">
        <w:t>provide</w:t>
      </w:r>
      <w:r w:rsidRPr="0031675F">
        <w:rPr>
          <w:spacing w:val="8"/>
        </w:rPr>
        <w:t xml:space="preserve"> </w:t>
      </w:r>
      <w:r w:rsidRPr="0031675F">
        <w:t>in-depth</w:t>
      </w:r>
      <w:r w:rsidRPr="0031675F">
        <w:rPr>
          <w:spacing w:val="6"/>
        </w:rPr>
        <w:t xml:space="preserve"> </w:t>
      </w:r>
      <w:r w:rsidRPr="0031675F">
        <w:t>details</w:t>
      </w:r>
      <w:r w:rsidRPr="0031675F">
        <w:rPr>
          <w:spacing w:val="7"/>
        </w:rPr>
        <w:t xml:space="preserve"> </w:t>
      </w:r>
      <w:r w:rsidRPr="0031675F">
        <w:t>on</w:t>
      </w:r>
      <w:r w:rsidRPr="0031675F">
        <w:rPr>
          <w:spacing w:val="6"/>
        </w:rPr>
        <w:t xml:space="preserve"> </w:t>
      </w:r>
      <w:r w:rsidRPr="0031675F">
        <w:t>the</w:t>
      </w:r>
      <w:r w:rsidRPr="0031675F">
        <w:rPr>
          <w:spacing w:val="7"/>
        </w:rPr>
        <w:t xml:space="preserve"> </w:t>
      </w:r>
      <w:r w:rsidRPr="0031675F">
        <w:t>schema</w:t>
      </w:r>
      <w:r w:rsidRPr="0031675F">
        <w:rPr>
          <w:spacing w:val="87"/>
        </w:rPr>
        <w:t xml:space="preserve"> </w:t>
      </w:r>
      <w:r w:rsidRPr="0031675F">
        <w:t>or</w:t>
      </w:r>
      <w:r w:rsidRPr="0031675F">
        <w:rPr>
          <w:spacing w:val="21"/>
        </w:rPr>
        <w:t xml:space="preserve"> </w:t>
      </w:r>
      <w:r w:rsidRPr="0031675F">
        <w:t>form</w:t>
      </w:r>
      <w:r w:rsidRPr="0031675F">
        <w:rPr>
          <w:spacing w:val="20"/>
        </w:rPr>
        <w:t xml:space="preserve"> </w:t>
      </w:r>
      <w:r w:rsidRPr="0031675F">
        <w:t>design.</w:t>
      </w:r>
      <w:r w:rsidRPr="0031675F">
        <w:rPr>
          <w:spacing w:val="21"/>
        </w:rPr>
        <w:t xml:space="preserve"> </w:t>
      </w:r>
      <w:r w:rsidRPr="0031675F">
        <w:rPr>
          <w:spacing w:val="-2"/>
        </w:rPr>
        <w:t>The</w:t>
      </w:r>
      <w:r w:rsidRPr="0031675F">
        <w:rPr>
          <w:spacing w:val="22"/>
        </w:rPr>
        <w:t xml:space="preserve"> </w:t>
      </w:r>
      <w:r w:rsidRPr="0031675F">
        <w:rPr>
          <w:spacing w:val="-2"/>
        </w:rPr>
        <w:t>FDES</w:t>
      </w:r>
      <w:r w:rsidRPr="0031675F">
        <w:rPr>
          <w:spacing w:val="21"/>
        </w:rPr>
        <w:t xml:space="preserve"> </w:t>
      </w:r>
      <w:r w:rsidRPr="0031675F">
        <w:rPr>
          <w:spacing w:val="-2"/>
        </w:rPr>
        <w:t>is</w:t>
      </w:r>
      <w:r w:rsidRPr="0031675F">
        <w:rPr>
          <w:spacing w:val="22"/>
        </w:rPr>
        <w:t xml:space="preserve"> </w:t>
      </w:r>
      <w:r w:rsidRPr="0031675F">
        <w:t>constantly</w:t>
      </w:r>
      <w:r w:rsidRPr="0031675F">
        <w:rPr>
          <w:spacing w:val="20"/>
        </w:rPr>
        <w:t xml:space="preserve"> </w:t>
      </w:r>
      <w:r w:rsidRPr="0031675F">
        <w:t>evolving</w:t>
      </w:r>
      <w:r w:rsidRPr="0031675F">
        <w:rPr>
          <w:spacing w:val="21"/>
        </w:rPr>
        <w:t xml:space="preserve"> </w:t>
      </w:r>
      <w:r w:rsidRPr="0031675F">
        <w:t>to</w:t>
      </w:r>
      <w:r w:rsidRPr="0031675F">
        <w:rPr>
          <w:spacing w:val="20"/>
        </w:rPr>
        <w:t xml:space="preserve"> </w:t>
      </w:r>
      <w:r w:rsidRPr="0031675F">
        <w:t>make</w:t>
      </w:r>
      <w:r w:rsidRPr="0031675F">
        <w:rPr>
          <w:spacing w:val="22"/>
        </w:rPr>
        <w:t xml:space="preserve"> </w:t>
      </w:r>
      <w:r w:rsidRPr="0031675F">
        <w:t>it</w:t>
      </w:r>
      <w:r w:rsidRPr="0031675F">
        <w:rPr>
          <w:spacing w:val="19"/>
        </w:rPr>
        <w:t xml:space="preserve"> </w:t>
      </w:r>
      <w:r w:rsidRPr="0031675F">
        <w:t>simple</w:t>
      </w:r>
      <w:r w:rsidRPr="0031675F">
        <w:rPr>
          <w:spacing w:val="22"/>
        </w:rPr>
        <w:t xml:space="preserve"> </w:t>
      </w:r>
      <w:r w:rsidRPr="0031675F">
        <w:t>to</w:t>
      </w:r>
      <w:r w:rsidRPr="0031675F">
        <w:rPr>
          <w:spacing w:val="23"/>
        </w:rPr>
        <w:t xml:space="preserve"> </w:t>
      </w:r>
      <w:r w:rsidRPr="0031675F">
        <w:t>use,</w:t>
      </w:r>
      <w:r w:rsidRPr="0031675F">
        <w:rPr>
          <w:spacing w:val="22"/>
        </w:rPr>
        <w:t xml:space="preserve"> </w:t>
      </w:r>
      <w:r w:rsidRPr="0031675F">
        <w:t>and</w:t>
      </w:r>
      <w:r w:rsidRPr="0031675F">
        <w:rPr>
          <w:spacing w:val="21"/>
        </w:rPr>
        <w:t xml:space="preserve"> </w:t>
      </w:r>
      <w:r w:rsidRPr="0031675F">
        <w:t>automate</w:t>
      </w:r>
      <w:r w:rsidRPr="0031675F">
        <w:rPr>
          <w:spacing w:val="20"/>
        </w:rPr>
        <w:t xml:space="preserve"> </w:t>
      </w:r>
      <w:r w:rsidRPr="0031675F">
        <w:t>data</w:t>
      </w:r>
      <w:r w:rsidRPr="0031675F">
        <w:rPr>
          <w:spacing w:val="19"/>
        </w:rPr>
        <w:t xml:space="preserve"> </w:t>
      </w:r>
      <w:r w:rsidRPr="0031675F">
        <w:t>entry</w:t>
      </w:r>
      <w:r w:rsidRPr="0031675F">
        <w:rPr>
          <w:spacing w:val="20"/>
        </w:rPr>
        <w:t xml:space="preserve"> </w:t>
      </w:r>
      <w:r w:rsidRPr="0031675F">
        <w:t>as</w:t>
      </w:r>
      <w:r w:rsidRPr="0031675F">
        <w:rPr>
          <w:spacing w:val="71"/>
        </w:rPr>
        <w:t xml:space="preserve"> </w:t>
      </w:r>
      <w:r w:rsidRPr="0031675F">
        <w:rPr>
          <w:rFonts w:cs="Calibri"/>
        </w:rPr>
        <w:t>much</w:t>
      </w:r>
      <w:r w:rsidRPr="0031675F">
        <w:rPr>
          <w:rFonts w:cs="Calibri"/>
          <w:spacing w:val="16"/>
        </w:rPr>
        <w:t xml:space="preserve"> </w:t>
      </w:r>
      <w:r w:rsidRPr="0031675F">
        <w:rPr>
          <w:rFonts w:cs="Calibri"/>
        </w:rPr>
        <w:t>as</w:t>
      </w:r>
      <w:r w:rsidRPr="0031675F">
        <w:rPr>
          <w:rFonts w:cs="Calibri"/>
          <w:spacing w:val="17"/>
        </w:rPr>
        <w:t xml:space="preserve"> </w:t>
      </w:r>
      <w:r w:rsidRPr="0031675F">
        <w:rPr>
          <w:rFonts w:cs="Calibri"/>
        </w:rPr>
        <w:t>possible.</w:t>
      </w:r>
      <w:r w:rsidRPr="0031675F">
        <w:rPr>
          <w:rFonts w:cs="Calibri"/>
          <w:spacing w:val="17"/>
        </w:rPr>
        <w:t xml:space="preserve"> </w:t>
      </w:r>
      <w:r w:rsidRPr="0031675F">
        <w:rPr>
          <w:rFonts w:cs="Calibri"/>
        </w:rPr>
        <w:t>Being</w:t>
      </w:r>
      <w:r w:rsidRPr="0031675F">
        <w:rPr>
          <w:rFonts w:cs="Calibri"/>
          <w:spacing w:val="16"/>
        </w:rPr>
        <w:t xml:space="preserve"> </w:t>
      </w:r>
      <w:r w:rsidRPr="0031675F">
        <w:rPr>
          <w:rFonts w:cs="Calibri"/>
          <w:spacing w:val="-2"/>
        </w:rPr>
        <w:t>an</w:t>
      </w:r>
      <w:r w:rsidRPr="0031675F">
        <w:rPr>
          <w:rFonts w:cs="Calibri"/>
          <w:spacing w:val="16"/>
        </w:rPr>
        <w:t xml:space="preserve"> </w:t>
      </w:r>
      <w:r w:rsidRPr="0031675F">
        <w:rPr>
          <w:rFonts w:cs="Calibri"/>
        </w:rPr>
        <w:t>Access</w:t>
      </w:r>
      <w:r w:rsidRPr="0031675F">
        <w:rPr>
          <w:rFonts w:cs="Calibri"/>
          <w:spacing w:val="17"/>
        </w:rPr>
        <w:t xml:space="preserve"> </w:t>
      </w:r>
      <w:r w:rsidRPr="0031675F">
        <w:rPr>
          <w:rFonts w:cs="Calibri"/>
        </w:rPr>
        <w:t>Database</w:t>
      </w:r>
      <w:r w:rsidRPr="0031675F">
        <w:rPr>
          <w:rFonts w:cs="Calibri"/>
          <w:spacing w:val="17"/>
        </w:rPr>
        <w:t xml:space="preserve"> </w:t>
      </w:r>
      <w:r w:rsidRPr="0031675F">
        <w:rPr>
          <w:rFonts w:cs="Calibri"/>
        </w:rPr>
        <w:t>it’s</w:t>
      </w:r>
      <w:r w:rsidRPr="0031675F">
        <w:rPr>
          <w:rFonts w:cs="Calibri"/>
          <w:spacing w:val="17"/>
        </w:rPr>
        <w:t xml:space="preserve"> </w:t>
      </w:r>
      <w:r w:rsidRPr="0031675F">
        <w:rPr>
          <w:rFonts w:cs="Calibri"/>
          <w:spacing w:val="-2"/>
        </w:rPr>
        <w:t>very</w:t>
      </w:r>
      <w:r w:rsidRPr="0031675F">
        <w:rPr>
          <w:rFonts w:cs="Calibri"/>
          <w:spacing w:val="17"/>
        </w:rPr>
        <w:t xml:space="preserve"> </w:t>
      </w:r>
      <w:r w:rsidRPr="0031675F">
        <w:rPr>
          <w:rFonts w:cs="Calibri"/>
        </w:rPr>
        <w:t>portable,</w:t>
      </w:r>
      <w:r w:rsidRPr="0031675F">
        <w:rPr>
          <w:rFonts w:cs="Calibri"/>
          <w:spacing w:val="17"/>
        </w:rPr>
        <w:t xml:space="preserve"> </w:t>
      </w:r>
      <w:r w:rsidRPr="0031675F">
        <w:rPr>
          <w:rFonts w:cs="Calibri"/>
        </w:rPr>
        <w:t>making</w:t>
      </w:r>
      <w:r w:rsidRPr="0031675F">
        <w:rPr>
          <w:rFonts w:cs="Calibri"/>
          <w:spacing w:val="16"/>
        </w:rPr>
        <w:t xml:space="preserve"> </w:t>
      </w:r>
      <w:r w:rsidRPr="0031675F">
        <w:rPr>
          <w:rFonts w:cs="Calibri"/>
        </w:rPr>
        <w:t>it</w:t>
      </w:r>
      <w:r w:rsidRPr="0031675F">
        <w:rPr>
          <w:rFonts w:cs="Calibri"/>
          <w:spacing w:val="17"/>
        </w:rPr>
        <w:t xml:space="preserve"> </w:t>
      </w:r>
      <w:r w:rsidRPr="0031675F">
        <w:rPr>
          <w:rFonts w:cs="Calibri"/>
        </w:rPr>
        <w:t>easy</w:t>
      </w:r>
      <w:r w:rsidRPr="0031675F">
        <w:rPr>
          <w:rFonts w:cs="Calibri"/>
          <w:spacing w:val="17"/>
        </w:rPr>
        <w:t xml:space="preserve"> </w:t>
      </w:r>
      <w:r w:rsidRPr="0031675F">
        <w:rPr>
          <w:rFonts w:cs="Calibri"/>
        </w:rPr>
        <w:t>to</w:t>
      </w:r>
      <w:r w:rsidRPr="0031675F">
        <w:rPr>
          <w:rFonts w:cs="Calibri"/>
          <w:spacing w:val="18"/>
        </w:rPr>
        <w:t xml:space="preserve"> </w:t>
      </w:r>
      <w:r w:rsidRPr="0031675F">
        <w:rPr>
          <w:rFonts w:cs="Calibri"/>
        </w:rPr>
        <w:t>transport</w:t>
      </w:r>
      <w:r w:rsidRPr="0031675F">
        <w:rPr>
          <w:rFonts w:cs="Calibri"/>
          <w:spacing w:val="14"/>
        </w:rPr>
        <w:t xml:space="preserve"> </w:t>
      </w:r>
      <w:r w:rsidRPr="0031675F">
        <w:rPr>
          <w:rFonts w:cs="Calibri"/>
        </w:rPr>
        <w:t>on</w:t>
      </w:r>
      <w:r w:rsidRPr="0031675F">
        <w:rPr>
          <w:rFonts w:cs="Calibri"/>
          <w:spacing w:val="16"/>
        </w:rPr>
        <w:t xml:space="preserve"> </w:t>
      </w:r>
      <w:r w:rsidRPr="0031675F">
        <w:rPr>
          <w:rFonts w:cs="Calibri"/>
        </w:rPr>
        <w:t>a</w:t>
      </w:r>
      <w:r w:rsidRPr="0031675F">
        <w:rPr>
          <w:rFonts w:cs="Calibri"/>
          <w:spacing w:val="17"/>
        </w:rPr>
        <w:t xml:space="preserve"> </w:t>
      </w:r>
      <w:r w:rsidRPr="0031675F">
        <w:rPr>
          <w:rFonts w:cs="Calibri"/>
        </w:rPr>
        <w:t>laptop</w:t>
      </w:r>
      <w:r w:rsidRPr="0031675F">
        <w:rPr>
          <w:rFonts w:cs="Calibri"/>
          <w:spacing w:val="85"/>
        </w:rPr>
        <w:t xml:space="preserve"> </w:t>
      </w:r>
      <w:r w:rsidRPr="0031675F">
        <w:t>when</w:t>
      </w:r>
      <w:r w:rsidRPr="0031675F">
        <w:rPr>
          <w:spacing w:val="4"/>
        </w:rPr>
        <w:t xml:space="preserve"> </w:t>
      </w:r>
      <w:r w:rsidRPr="0031675F">
        <w:t>on</w:t>
      </w:r>
      <w:r w:rsidRPr="0031675F">
        <w:rPr>
          <w:spacing w:val="4"/>
        </w:rPr>
        <w:t xml:space="preserve"> </w:t>
      </w:r>
      <w:r w:rsidRPr="0031675F">
        <w:t>the</w:t>
      </w:r>
      <w:r w:rsidRPr="0031675F">
        <w:rPr>
          <w:spacing w:val="5"/>
        </w:rPr>
        <w:t xml:space="preserve"> </w:t>
      </w:r>
      <w:r w:rsidRPr="0031675F">
        <w:t>boat</w:t>
      </w:r>
      <w:r w:rsidRPr="0031675F">
        <w:rPr>
          <w:spacing w:val="5"/>
        </w:rPr>
        <w:t xml:space="preserve"> </w:t>
      </w:r>
      <w:r w:rsidRPr="0031675F">
        <w:t>in</w:t>
      </w:r>
      <w:r w:rsidRPr="0031675F">
        <w:rPr>
          <w:spacing w:val="4"/>
        </w:rPr>
        <w:t xml:space="preserve"> </w:t>
      </w:r>
      <w:r w:rsidRPr="0031675F">
        <w:t>the</w:t>
      </w:r>
      <w:r w:rsidRPr="0031675F">
        <w:rPr>
          <w:spacing w:val="5"/>
        </w:rPr>
        <w:t xml:space="preserve"> </w:t>
      </w:r>
      <w:r w:rsidRPr="0031675F">
        <w:t>field.</w:t>
      </w:r>
      <w:r w:rsidRPr="0031675F">
        <w:rPr>
          <w:spacing w:val="4"/>
        </w:rPr>
        <w:t xml:space="preserve"> </w:t>
      </w:r>
      <w:r w:rsidRPr="0031675F">
        <w:t>The</w:t>
      </w:r>
      <w:r w:rsidRPr="0031675F">
        <w:rPr>
          <w:spacing w:val="5"/>
        </w:rPr>
        <w:t xml:space="preserve"> </w:t>
      </w:r>
      <w:r w:rsidRPr="0031675F">
        <w:t>FDES</w:t>
      </w:r>
      <w:r w:rsidRPr="0031675F">
        <w:rPr>
          <w:spacing w:val="4"/>
        </w:rPr>
        <w:t xml:space="preserve"> </w:t>
      </w:r>
      <w:r w:rsidRPr="0031675F">
        <w:t>is</w:t>
      </w:r>
      <w:r w:rsidRPr="0031675F">
        <w:rPr>
          <w:spacing w:val="4"/>
        </w:rPr>
        <w:t xml:space="preserve"> </w:t>
      </w:r>
      <w:r w:rsidRPr="0031675F">
        <w:t>integrated</w:t>
      </w:r>
      <w:r w:rsidRPr="0031675F">
        <w:rPr>
          <w:spacing w:val="4"/>
        </w:rPr>
        <w:t xml:space="preserve"> </w:t>
      </w:r>
      <w:r w:rsidRPr="0031675F">
        <w:t>with</w:t>
      </w:r>
      <w:r w:rsidRPr="0031675F">
        <w:rPr>
          <w:spacing w:val="4"/>
        </w:rPr>
        <w:t xml:space="preserve"> </w:t>
      </w:r>
      <w:r w:rsidRPr="0031675F">
        <w:t>a</w:t>
      </w:r>
      <w:r w:rsidRPr="0031675F">
        <w:rPr>
          <w:spacing w:val="5"/>
        </w:rPr>
        <w:t xml:space="preserve"> </w:t>
      </w:r>
      <w:r w:rsidRPr="0031675F">
        <w:t>labelling</w:t>
      </w:r>
      <w:r w:rsidRPr="0031675F">
        <w:rPr>
          <w:spacing w:val="4"/>
        </w:rPr>
        <w:t xml:space="preserve"> </w:t>
      </w:r>
      <w:r w:rsidRPr="0031675F">
        <w:t>system</w:t>
      </w:r>
      <w:r w:rsidRPr="0031675F">
        <w:rPr>
          <w:spacing w:val="6"/>
        </w:rPr>
        <w:t xml:space="preserve"> </w:t>
      </w:r>
      <w:r w:rsidRPr="0031675F">
        <w:t>for</w:t>
      </w:r>
      <w:r w:rsidRPr="0031675F">
        <w:rPr>
          <w:spacing w:val="2"/>
        </w:rPr>
        <w:t xml:space="preserve"> </w:t>
      </w:r>
      <w:r w:rsidRPr="0031675F">
        <w:t>the</w:t>
      </w:r>
      <w:r w:rsidRPr="0031675F">
        <w:rPr>
          <w:spacing w:val="5"/>
        </w:rPr>
        <w:t xml:space="preserve"> </w:t>
      </w:r>
      <w:r w:rsidRPr="0031675F">
        <w:t>samples</w:t>
      </w:r>
      <w:r w:rsidRPr="0031675F">
        <w:rPr>
          <w:spacing w:val="5"/>
        </w:rPr>
        <w:t xml:space="preserve"> </w:t>
      </w:r>
      <w:r w:rsidRPr="0031675F">
        <w:t>taken.</w:t>
      </w:r>
      <w:r w:rsidRPr="0031675F">
        <w:rPr>
          <w:spacing w:val="4"/>
        </w:rPr>
        <w:t xml:space="preserve"> </w:t>
      </w:r>
      <w:r w:rsidRPr="0031675F">
        <w:t>This</w:t>
      </w:r>
      <w:r w:rsidRPr="0031675F">
        <w:rPr>
          <w:spacing w:val="60"/>
        </w:rPr>
        <w:t xml:space="preserve"> </w:t>
      </w:r>
      <w:r w:rsidRPr="0031675F">
        <w:t>labelling</w:t>
      </w:r>
      <w:r w:rsidRPr="0031675F">
        <w:rPr>
          <w:spacing w:val="2"/>
        </w:rPr>
        <w:t xml:space="preserve"> </w:t>
      </w:r>
      <w:r w:rsidRPr="0031675F">
        <w:t>system</w:t>
      </w:r>
      <w:r w:rsidRPr="0031675F">
        <w:rPr>
          <w:spacing w:val="1"/>
        </w:rPr>
        <w:t xml:space="preserve"> </w:t>
      </w:r>
      <w:r w:rsidRPr="0031675F">
        <w:t>consists</w:t>
      </w:r>
      <w:r w:rsidRPr="0031675F">
        <w:rPr>
          <w:spacing w:val="3"/>
        </w:rPr>
        <w:t xml:space="preserve"> </w:t>
      </w:r>
      <w:r w:rsidRPr="0031675F">
        <w:t>of Bar</w:t>
      </w:r>
      <w:r w:rsidRPr="0031675F">
        <w:rPr>
          <w:spacing w:val="2"/>
        </w:rPr>
        <w:t xml:space="preserve"> </w:t>
      </w:r>
      <w:r w:rsidRPr="0031675F">
        <w:t>Tender software</w:t>
      </w:r>
      <w:r w:rsidRPr="0031675F">
        <w:rPr>
          <w:spacing w:val="1"/>
        </w:rPr>
        <w:t xml:space="preserve"> </w:t>
      </w:r>
      <w:r w:rsidRPr="0031675F">
        <w:t>for constructing</w:t>
      </w:r>
      <w:r w:rsidRPr="0031675F">
        <w:rPr>
          <w:spacing w:val="2"/>
        </w:rPr>
        <w:t xml:space="preserve"> </w:t>
      </w:r>
      <w:r w:rsidRPr="0031675F">
        <w:t>the</w:t>
      </w:r>
      <w:r w:rsidRPr="0031675F">
        <w:rPr>
          <w:spacing w:val="3"/>
        </w:rPr>
        <w:t xml:space="preserve"> </w:t>
      </w:r>
      <w:r w:rsidRPr="0031675F">
        <w:t>label</w:t>
      </w:r>
      <w:r w:rsidRPr="0031675F">
        <w:rPr>
          <w:spacing w:val="2"/>
        </w:rPr>
        <w:t xml:space="preserve"> </w:t>
      </w:r>
      <w:r w:rsidRPr="0031675F">
        <w:rPr>
          <w:spacing w:val="-2"/>
        </w:rPr>
        <w:t>format</w:t>
      </w:r>
      <w:r w:rsidRPr="0031675F">
        <w:rPr>
          <w:spacing w:val="3"/>
        </w:rPr>
        <w:t xml:space="preserve"> </w:t>
      </w:r>
      <w:r w:rsidRPr="0031675F">
        <w:t>and</w:t>
      </w:r>
      <w:r w:rsidRPr="0031675F">
        <w:rPr>
          <w:spacing w:val="2"/>
        </w:rPr>
        <w:t xml:space="preserve"> </w:t>
      </w:r>
      <w:r w:rsidRPr="0031675F">
        <w:t>printing</w:t>
      </w:r>
      <w:r w:rsidRPr="0031675F">
        <w:rPr>
          <w:spacing w:val="2"/>
        </w:rPr>
        <w:t xml:space="preserve"> </w:t>
      </w:r>
      <w:r w:rsidRPr="0031675F">
        <w:t>the</w:t>
      </w:r>
      <w:r w:rsidRPr="0031675F">
        <w:rPr>
          <w:spacing w:val="3"/>
        </w:rPr>
        <w:t xml:space="preserve"> </w:t>
      </w:r>
      <w:r w:rsidRPr="0031675F">
        <w:t>labels</w:t>
      </w:r>
      <w:r w:rsidRPr="0031675F">
        <w:rPr>
          <w:spacing w:val="77"/>
        </w:rPr>
        <w:t xml:space="preserve"> </w:t>
      </w:r>
      <w:r w:rsidRPr="0031675F">
        <w:t>via</w:t>
      </w:r>
      <w:r w:rsidRPr="0031675F">
        <w:rPr>
          <w:spacing w:val="4"/>
        </w:rPr>
        <w:t xml:space="preserve"> </w:t>
      </w:r>
      <w:r w:rsidRPr="0031675F">
        <w:t>a</w:t>
      </w:r>
      <w:r w:rsidRPr="0031675F">
        <w:rPr>
          <w:spacing w:val="5"/>
        </w:rPr>
        <w:t xml:space="preserve"> </w:t>
      </w:r>
      <w:r w:rsidRPr="0031675F">
        <w:t>Zebra</w:t>
      </w:r>
      <w:r w:rsidRPr="0031675F">
        <w:rPr>
          <w:spacing w:val="5"/>
        </w:rPr>
        <w:t xml:space="preserve"> </w:t>
      </w:r>
      <w:r w:rsidRPr="0031675F">
        <w:t>Label</w:t>
      </w:r>
      <w:r w:rsidRPr="0031675F">
        <w:rPr>
          <w:spacing w:val="5"/>
        </w:rPr>
        <w:t xml:space="preserve"> </w:t>
      </w:r>
      <w:r w:rsidRPr="0031675F">
        <w:t>printer.</w:t>
      </w:r>
      <w:r w:rsidRPr="0031675F">
        <w:rPr>
          <w:spacing w:val="4"/>
        </w:rPr>
        <w:t xml:space="preserve"> </w:t>
      </w:r>
      <w:r w:rsidRPr="0031675F">
        <w:rPr>
          <w:spacing w:val="-2"/>
        </w:rPr>
        <w:t>The</w:t>
      </w:r>
      <w:r w:rsidRPr="0031675F">
        <w:rPr>
          <w:spacing w:val="5"/>
        </w:rPr>
        <w:t xml:space="preserve"> </w:t>
      </w:r>
      <w:r w:rsidRPr="0031675F">
        <w:t>label</w:t>
      </w:r>
      <w:r w:rsidRPr="0031675F">
        <w:rPr>
          <w:spacing w:val="5"/>
        </w:rPr>
        <w:t xml:space="preserve"> </w:t>
      </w:r>
      <w:r w:rsidRPr="0031675F">
        <w:t>format</w:t>
      </w:r>
      <w:r w:rsidRPr="0031675F">
        <w:rPr>
          <w:spacing w:val="5"/>
        </w:rPr>
        <w:t xml:space="preserve"> </w:t>
      </w:r>
      <w:r w:rsidRPr="0031675F">
        <w:t>provides</w:t>
      </w:r>
      <w:r w:rsidRPr="0031675F">
        <w:rPr>
          <w:spacing w:val="5"/>
        </w:rPr>
        <w:t xml:space="preserve"> </w:t>
      </w:r>
      <w:r w:rsidRPr="0031675F">
        <w:t>a</w:t>
      </w:r>
      <w:r w:rsidRPr="0031675F">
        <w:rPr>
          <w:spacing w:val="5"/>
        </w:rPr>
        <w:t xml:space="preserve"> </w:t>
      </w:r>
      <w:r w:rsidRPr="0031675F">
        <w:t>barcode</w:t>
      </w:r>
      <w:r w:rsidRPr="0031675F">
        <w:rPr>
          <w:spacing w:val="5"/>
        </w:rPr>
        <w:t xml:space="preserve"> </w:t>
      </w:r>
      <w:r w:rsidRPr="0031675F">
        <w:t>and</w:t>
      </w:r>
      <w:r w:rsidRPr="0031675F">
        <w:rPr>
          <w:spacing w:val="4"/>
        </w:rPr>
        <w:t xml:space="preserve"> </w:t>
      </w:r>
      <w:r w:rsidRPr="0031675F">
        <w:t>text</w:t>
      </w:r>
      <w:r w:rsidRPr="0031675F">
        <w:rPr>
          <w:spacing w:val="5"/>
        </w:rPr>
        <w:t xml:space="preserve"> </w:t>
      </w:r>
      <w:r w:rsidRPr="0031675F">
        <w:t>label</w:t>
      </w:r>
      <w:r w:rsidRPr="0031675F">
        <w:rPr>
          <w:spacing w:val="5"/>
        </w:rPr>
        <w:t xml:space="preserve"> </w:t>
      </w:r>
      <w:r w:rsidRPr="0031675F">
        <w:t>that</w:t>
      </w:r>
      <w:r w:rsidRPr="0031675F">
        <w:rPr>
          <w:spacing w:val="2"/>
        </w:rPr>
        <w:t xml:space="preserve"> </w:t>
      </w:r>
      <w:r w:rsidRPr="0031675F">
        <w:t>describes</w:t>
      </w:r>
      <w:r w:rsidRPr="0031675F">
        <w:rPr>
          <w:spacing w:val="5"/>
        </w:rPr>
        <w:t xml:space="preserve"> </w:t>
      </w:r>
      <w:r w:rsidRPr="0031675F">
        <w:t>the</w:t>
      </w:r>
      <w:r w:rsidRPr="0031675F">
        <w:rPr>
          <w:spacing w:val="5"/>
        </w:rPr>
        <w:t xml:space="preserve"> </w:t>
      </w:r>
      <w:r w:rsidRPr="0031675F">
        <w:t>location,</w:t>
      </w:r>
      <w:r w:rsidRPr="0031675F">
        <w:rPr>
          <w:spacing w:val="85"/>
        </w:rPr>
        <w:t xml:space="preserve"> </w:t>
      </w:r>
      <w:r w:rsidRPr="0031675F">
        <w:t>depth, and duplicate</w:t>
      </w:r>
      <w:r w:rsidRPr="0031675F">
        <w:rPr>
          <w:spacing w:val="-2"/>
        </w:rPr>
        <w:t xml:space="preserve"> </w:t>
      </w:r>
      <w:r w:rsidRPr="0031675F">
        <w:t>of</w:t>
      </w:r>
      <w:r w:rsidRPr="0031675F">
        <w:rPr>
          <w:spacing w:val="-2"/>
        </w:rPr>
        <w:t xml:space="preserve"> </w:t>
      </w:r>
      <w:r w:rsidRPr="0031675F">
        <w:t>the</w:t>
      </w:r>
      <w:r w:rsidRPr="0031675F">
        <w:rPr>
          <w:spacing w:val="-3"/>
        </w:rPr>
        <w:t xml:space="preserve"> </w:t>
      </w:r>
      <w:r w:rsidRPr="0031675F">
        <w:t>sample</w:t>
      </w:r>
      <w:r w:rsidRPr="0031675F">
        <w:rPr>
          <w:spacing w:val="-3"/>
        </w:rPr>
        <w:t xml:space="preserve"> </w:t>
      </w:r>
      <w:r w:rsidRPr="0031675F">
        <w:t>taken.</w:t>
      </w:r>
    </w:p>
    <w:p w14:paraId="01E4998C" w14:textId="77777777" w:rsidR="0031675F" w:rsidRPr="0031675F" w:rsidRDefault="0031675F" w:rsidP="0031675F">
      <w:pPr>
        <w:spacing w:after="120"/>
        <w:ind w:left="100"/>
        <w:jc w:val="both"/>
      </w:pPr>
      <w:r w:rsidRPr="0031675F">
        <w:rPr>
          <w:spacing w:val="-1"/>
        </w:rPr>
        <w:t>The</w:t>
      </w:r>
      <w:r w:rsidRPr="0031675F">
        <w:t xml:space="preserve"> </w:t>
      </w:r>
      <w:r w:rsidRPr="0031675F">
        <w:rPr>
          <w:spacing w:val="-2"/>
        </w:rPr>
        <w:t>FDES</w:t>
      </w:r>
      <w:r w:rsidRPr="0031675F">
        <w:t xml:space="preserve"> </w:t>
      </w:r>
      <w:r w:rsidRPr="0031675F">
        <w:rPr>
          <w:spacing w:val="-1"/>
        </w:rPr>
        <w:t>data</w:t>
      </w:r>
      <w:r w:rsidRPr="0031675F">
        <w:rPr>
          <w:spacing w:val="-2"/>
        </w:rPr>
        <w:t xml:space="preserve"> </w:t>
      </w:r>
      <w:r w:rsidRPr="0031675F">
        <w:t>entry</w:t>
      </w:r>
      <w:r w:rsidRPr="0031675F">
        <w:rPr>
          <w:spacing w:val="-2"/>
        </w:rPr>
        <w:t xml:space="preserve"> </w:t>
      </w:r>
      <w:r w:rsidRPr="0031675F">
        <w:rPr>
          <w:spacing w:val="-1"/>
        </w:rPr>
        <w:t>process</w:t>
      </w:r>
      <w:r w:rsidRPr="0031675F">
        <w:t xml:space="preserve"> is as </w:t>
      </w:r>
      <w:r w:rsidRPr="0031675F">
        <w:rPr>
          <w:spacing w:val="-1"/>
        </w:rPr>
        <w:t>follows:</w:t>
      </w:r>
    </w:p>
    <w:p w14:paraId="61136F77" w14:textId="77777777" w:rsidR="0031675F" w:rsidRPr="0031675F" w:rsidRDefault="0031675F" w:rsidP="0031675F">
      <w:pPr>
        <w:widowControl w:val="0"/>
        <w:numPr>
          <w:ilvl w:val="2"/>
          <w:numId w:val="64"/>
        </w:numPr>
        <w:tabs>
          <w:tab w:val="left" w:pos="821"/>
        </w:tabs>
        <w:spacing w:before="0" w:after="0" w:line="251" w:lineRule="auto"/>
        <w:ind w:right="121"/>
        <w:rPr>
          <w:rFonts w:cs="Calibri"/>
        </w:rPr>
      </w:pPr>
      <w:r w:rsidRPr="0031675F">
        <w:rPr>
          <w:rFonts w:cs="Calibri"/>
        </w:rPr>
        <w:t>Create</w:t>
      </w:r>
      <w:r w:rsidRPr="0031675F">
        <w:rPr>
          <w:rFonts w:cs="Calibri"/>
          <w:spacing w:val="1"/>
        </w:rPr>
        <w:t xml:space="preserve"> </w:t>
      </w:r>
      <w:r w:rsidRPr="0031675F">
        <w:rPr>
          <w:rFonts w:cs="Calibri"/>
        </w:rPr>
        <w:t>a</w:t>
      </w:r>
      <w:r w:rsidRPr="0031675F">
        <w:rPr>
          <w:rFonts w:cs="Calibri"/>
          <w:spacing w:val="2"/>
        </w:rPr>
        <w:t xml:space="preserve"> </w:t>
      </w:r>
      <w:r w:rsidRPr="0031675F">
        <w:rPr>
          <w:rFonts w:cs="Calibri"/>
          <w:spacing w:val="-1"/>
        </w:rPr>
        <w:t>station/location</w:t>
      </w:r>
      <w:r w:rsidRPr="0031675F">
        <w:rPr>
          <w:rFonts w:cs="Calibri"/>
          <w:spacing w:val="2"/>
        </w:rPr>
        <w:t xml:space="preserve"> </w:t>
      </w:r>
      <w:r w:rsidRPr="0031675F">
        <w:rPr>
          <w:rFonts w:cs="Calibri"/>
          <w:spacing w:val="-1"/>
        </w:rPr>
        <w:t>to</w:t>
      </w:r>
      <w:r w:rsidRPr="0031675F">
        <w:rPr>
          <w:rFonts w:cs="Calibri"/>
          <w:spacing w:val="3"/>
        </w:rPr>
        <w:t xml:space="preserve"> </w:t>
      </w:r>
      <w:r w:rsidRPr="0031675F">
        <w:rPr>
          <w:rFonts w:cs="Calibri"/>
          <w:spacing w:val="-1"/>
        </w:rPr>
        <w:t>sample</w:t>
      </w:r>
      <w:r w:rsidRPr="0031675F">
        <w:rPr>
          <w:rFonts w:cs="Calibri"/>
          <w:spacing w:val="2"/>
        </w:rPr>
        <w:t xml:space="preserve"> </w:t>
      </w:r>
      <w:r w:rsidRPr="0031675F">
        <w:rPr>
          <w:rFonts w:cs="Calibri"/>
          <w:spacing w:val="-2"/>
        </w:rPr>
        <w:t>at</w:t>
      </w:r>
      <w:r w:rsidRPr="0031675F">
        <w:rPr>
          <w:rFonts w:cs="Calibri"/>
          <w:spacing w:val="3"/>
        </w:rPr>
        <w:t xml:space="preserve"> </w:t>
      </w:r>
      <w:r w:rsidRPr="0031675F">
        <w:rPr>
          <w:rFonts w:cs="Calibri"/>
          <w:spacing w:val="-1"/>
        </w:rPr>
        <w:t>using</w:t>
      </w:r>
      <w:r w:rsidRPr="0031675F">
        <w:rPr>
          <w:rFonts w:cs="Calibri"/>
          <w:spacing w:val="1"/>
        </w:rPr>
        <w:t xml:space="preserve"> </w:t>
      </w:r>
      <w:r w:rsidRPr="0031675F">
        <w:rPr>
          <w:rFonts w:cs="Calibri"/>
        </w:rPr>
        <w:t>the ‘New</w:t>
      </w:r>
      <w:r w:rsidRPr="0031675F">
        <w:rPr>
          <w:rFonts w:cs="Calibri"/>
          <w:spacing w:val="1"/>
        </w:rPr>
        <w:t xml:space="preserve"> </w:t>
      </w:r>
      <w:r w:rsidRPr="0031675F">
        <w:rPr>
          <w:rFonts w:cs="Calibri"/>
          <w:spacing w:val="-1"/>
        </w:rPr>
        <w:t>Location</w:t>
      </w:r>
      <w:r w:rsidRPr="0031675F">
        <w:rPr>
          <w:rFonts w:cs="Calibri"/>
          <w:spacing w:val="2"/>
        </w:rPr>
        <w:t xml:space="preserve"> </w:t>
      </w:r>
      <w:r w:rsidRPr="0031675F">
        <w:rPr>
          <w:rFonts w:cs="Calibri"/>
        </w:rPr>
        <w:t>/</w:t>
      </w:r>
      <w:r w:rsidRPr="0031675F">
        <w:rPr>
          <w:rFonts w:cs="Calibri"/>
          <w:spacing w:val="1"/>
        </w:rPr>
        <w:t xml:space="preserve"> </w:t>
      </w:r>
      <w:r w:rsidRPr="0031675F">
        <w:rPr>
          <w:rFonts w:cs="Calibri"/>
          <w:spacing w:val="-1"/>
        </w:rPr>
        <w:t>Print</w:t>
      </w:r>
      <w:r w:rsidRPr="0031675F">
        <w:rPr>
          <w:rFonts w:cs="Calibri"/>
        </w:rPr>
        <w:t xml:space="preserve"> </w:t>
      </w:r>
      <w:r w:rsidRPr="0031675F">
        <w:rPr>
          <w:rFonts w:cs="Calibri"/>
          <w:spacing w:val="-1"/>
        </w:rPr>
        <w:t>Barcode’</w:t>
      </w:r>
      <w:r w:rsidRPr="0031675F">
        <w:rPr>
          <w:rFonts w:cs="Calibri"/>
          <w:spacing w:val="3"/>
        </w:rPr>
        <w:t xml:space="preserve"> </w:t>
      </w:r>
      <w:r w:rsidRPr="0031675F">
        <w:rPr>
          <w:rFonts w:cs="Calibri"/>
          <w:spacing w:val="-2"/>
        </w:rPr>
        <w:t>and</w:t>
      </w:r>
      <w:r w:rsidRPr="0031675F">
        <w:rPr>
          <w:rFonts w:cs="Calibri"/>
          <w:spacing w:val="2"/>
        </w:rPr>
        <w:t xml:space="preserve"> </w:t>
      </w:r>
      <w:r w:rsidRPr="0031675F">
        <w:rPr>
          <w:rFonts w:cs="Calibri"/>
          <w:spacing w:val="-1"/>
        </w:rPr>
        <w:t>‘Bridge</w:t>
      </w:r>
      <w:r w:rsidRPr="0031675F">
        <w:rPr>
          <w:rFonts w:cs="Calibri"/>
          <w:spacing w:val="3"/>
        </w:rPr>
        <w:t xml:space="preserve"> </w:t>
      </w:r>
      <w:r w:rsidRPr="0031675F">
        <w:rPr>
          <w:rFonts w:cs="Calibri"/>
          <w:spacing w:val="-1"/>
        </w:rPr>
        <w:t>Book</w:t>
      </w:r>
      <w:r w:rsidRPr="0031675F">
        <w:rPr>
          <w:rFonts w:cs="Calibri"/>
          <w:spacing w:val="63"/>
        </w:rPr>
        <w:t xml:space="preserve"> </w:t>
      </w:r>
      <w:r w:rsidRPr="0031675F">
        <w:rPr>
          <w:rFonts w:cs="Calibri"/>
        </w:rPr>
        <w:t xml:space="preserve">Entry’ </w:t>
      </w:r>
      <w:r w:rsidRPr="0031675F">
        <w:rPr>
          <w:rFonts w:cs="Calibri"/>
          <w:spacing w:val="-1"/>
        </w:rPr>
        <w:t>Forms.</w:t>
      </w:r>
    </w:p>
    <w:p w14:paraId="41A80059" w14:textId="77777777" w:rsidR="0031675F" w:rsidRPr="0031675F" w:rsidRDefault="0031675F" w:rsidP="0031675F">
      <w:pPr>
        <w:widowControl w:val="0"/>
        <w:numPr>
          <w:ilvl w:val="2"/>
          <w:numId w:val="64"/>
        </w:numPr>
        <w:tabs>
          <w:tab w:val="left" w:pos="821"/>
        </w:tabs>
        <w:spacing w:before="0" w:after="0" w:line="240" w:lineRule="auto"/>
        <w:rPr>
          <w:rFonts w:cs="Calibri"/>
        </w:rPr>
      </w:pPr>
      <w:r w:rsidRPr="0031675F">
        <w:rPr>
          <w:rFonts w:cs="Calibri"/>
          <w:spacing w:val="-1"/>
        </w:rPr>
        <w:t>Define</w:t>
      </w:r>
      <w:r w:rsidRPr="0031675F">
        <w:rPr>
          <w:rFonts w:cs="Calibri"/>
          <w:spacing w:val="-2"/>
        </w:rPr>
        <w:t xml:space="preserve"> </w:t>
      </w:r>
      <w:r w:rsidRPr="0031675F">
        <w:rPr>
          <w:rFonts w:cs="Calibri"/>
        </w:rPr>
        <w:t xml:space="preserve">the </w:t>
      </w:r>
      <w:r w:rsidRPr="0031675F">
        <w:rPr>
          <w:rFonts w:cs="Calibri"/>
          <w:spacing w:val="-1"/>
        </w:rPr>
        <w:t>depths</w:t>
      </w:r>
      <w:r w:rsidRPr="0031675F">
        <w:rPr>
          <w:rFonts w:cs="Calibri"/>
        </w:rPr>
        <w:t xml:space="preserve"> </w:t>
      </w:r>
      <w:r w:rsidRPr="0031675F">
        <w:rPr>
          <w:rFonts w:cs="Calibri"/>
          <w:spacing w:val="-1"/>
        </w:rPr>
        <w:t>to</w:t>
      </w:r>
      <w:r w:rsidRPr="0031675F">
        <w:rPr>
          <w:rFonts w:cs="Calibri"/>
          <w:spacing w:val="1"/>
        </w:rPr>
        <w:t xml:space="preserve"> </w:t>
      </w:r>
      <w:r w:rsidRPr="0031675F">
        <w:rPr>
          <w:rFonts w:cs="Calibri"/>
          <w:spacing w:val="-1"/>
        </w:rPr>
        <w:t>sample</w:t>
      </w:r>
      <w:r w:rsidRPr="0031675F">
        <w:rPr>
          <w:rFonts w:cs="Calibri"/>
        </w:rPr>
        <w:t xml:space="preserve"> at </w:t>
      </w:r>
      <w:r w:rsidRPr="0031675F">
        <w:rPr>
          <w:rFonts w:cs="Calibri"/>
          <w:spacing w:val="-1"/>
        </w:rPr>
        <w:t>using</w:t>
      </w:r>
      <w:r w:rsidRPr="0031675F">
        <w:rPr>
          <w:rFonts w:cs="Calibri"/>
          <w:spacing w:val="-3"/>
        </w:rPr>
        <w:t xml:space="preserve"> </w:t>
      </w:r>
      <w:r w:rsidRPr="0031675F">
        <w:rPr>
          <w:rFonts w:cs="Calibri"/>
        </w:rPr>
        <w:t xml:space="preserve">the </w:t>
      </w:r>
      <w:r w:rsidRPr="0031675F">
        <w:rPr>
          <w:rFonts w:cs="Calibri"/>
          <w:spacing w:val="-1"/>
        </w:rPr>
        <w:t>‘New</w:t>
      </w:r>
      <w:r w:rsidRPr="0031675F">
        <w:rPr>
          <w:rFonts w:cs="Calibri"/>
          <w:spacing w:val="-2"/>
        </w:rPr>
        <w:t xml:space="preserve"> </w:t>
      </w:r>
      <w:r w:rsidRPr="0031675F">
        <w:rPr>
          <w:rFonts w:cs="Calibri"/>
          <w:spacing w:val="-1"/>
        </w:rPr>
        <w:t xml:space="preserve">Location </w:t>
      </w:r>
      <w:r w:rsidRPr="0031675F">
        <w:rPr>
          <w:rFonts w:cs="Calibri"/>
        </w:rPr>
        <w:t>/</w:t>
      </w:r>
      <w:r w:rsidRPr="0031675F">
        <w:rPr>
          <w:rFonts w:cs="Calibri"/>
          <w:spacing w:val="-1"/>
        </w:rPr>
        <w:t xml:space="preserve"> Print</w:t>
      </w:r>
      <w:r w:rsidRPr="0031675F">
        <w:rPr>
          <w:rFonts w:cs="Calibri"/>
        </w:rPr>
        <w:t xml:space="preserve"> </w:t>
      </w:r>
      <w:r w:rsidRPr="0031675F">
        <w:rPr>
          <w:rFonts w:cs="Calibri"/>
          <w:spacing w:val="-1"/>
        </w:rPr>
        <w:t>Barcode’</w:t>
      </w:r>
      <w:r w:rsidRPr="0031675F">
        <w:rPr>
          <w:rFonts w:cs="Calibri"/>
        </w:rPr>
        <w:t xml:space="preserve"> </w:t>
      </w:r>
      <w:r w:rsidRPr="0031675F">
        <w:rPr>
          <w:rFonts w:cs="Calibri"/>
          <w:spacing w:val="-1"/>
        </w:rPr>
        <w:t>form.</w:t>
      </w:r>
    </w:p>
    <w:p w14:paraId="6522212F" w14:textId="77777777" w:rsidR="0031675F" w:rsidRPr="0031675F" w:rsidRDefault="0031675F" w:rsidP="0031675F">
      <w:pPr>
        <w:widowControl w:val="0"/>
        <w:numPr>
          <w:ilvl w:val="2"/>
          <w:numId w:val="64"/>
        </w:numPr>
        <w:tabs>
          <w:tab w:val="left" w:pos="821"/>
        </w:tabs>
        <w:spacing w:before="10" w:after="0" w:line="251" w:lineRule="auto"/>
        <w:ind w:right="121"/>
      </w:pPr>
      <w:r w:rsidRPr="0031675F">
        <w:rPr>
          <w:spacing w:val="-1"/>
        </w:rPr>
        <w:t>Defi</w:t>
      </w:r>
      <w:r w:rsidRPr="0031675F">
        <w:rPr>
          <w:rFonts w:cs="Calibri"/>
          <w:spacing w:val="-1"/>
        </w:rPr>
        <w:t>ne</w:t>
      </w:r>
      <w:r w:rsidRPr="0031675F">
        <w:rPr>
          <w:rFonts w:cs="Calibri"/>
          <w:spacing w:val="20"/>
        </w:rPr>
        <w:t xml:space="preserve"> </w:t>
      </w:r>
      <w:r w:rsidRPr="0031675F">
        <w:rPr>
          <w:rFonts w:cs="Calibri"/>
        </w:rPr>
        <w:t>what</w:t>
      </w:r>
      <w:r w:rsidRPr="0031675F">
        <w:rPr>
          <w:rFonts w:cs="Calibri"/>
          <w:spacing w:val="22"/>
        </w:rPr>
        <w:t xml:space="preserve"> </w:t>
      </w:r>
      <w:r w:rsidRPr="0031675F">
        <w:rPr>
          <w:rFonts w:cs="Calibri"/>
          <w:spacing w:val="-1"/>
        </w:rPr>
        <w:t>nutrients</w:t>
      </w:r>
      <w:r w:rsidRPr="0031675F">
        <w:rPr>
          <w:rFonts w:cs="Calibri"/>
          <w:spacing w:val="22"/>
        </w:rPr>
        <w:t xml:space="preserve"> </w:t>
      </w:r>
      <w:r w:rsidRPr="0031675F">
        <w:rPr>
          <w:rFonts w:cs="Calibri"/>
        </w:rPr>
        <w:t>will</w:t>
      </w:r>
      <w:r w:rsidRPr="0031675F">
        <w:rPr>
          <w:rFonts w:cs="Calibri"/>
          <w:spacing w:val="18"/>
        </w:rPr>
        <w:t xml:space="preserve"> </w:t>
      </w:r>
      <w:r w:rsidRPr="0031675F">
        <w:rPr>
          <w:rFonts w:cs="Calibri"/>
          <w:spacing w:val="-1"/>
        </w:rPr>
        <w:t>be</w:t>
      </w:r>
      <w:r w:rsidRPr="0031675F">
        <w:rPr>
          <w:rFonts w:cs="Calibri"/>
          <w:spacing w:val="22"/>
        </w:rPr>
        <w:t xml:space="preserve"> </w:t>
      </w:r>
      <w:r w:rsidRPr="0031675F">
        <w:rPr>
          <w:rFonts w:cs="Calibri"/>
          <w:spacing w:val="-1"/>
        </w:rPr>
        <w:t>sample</w:t>
      </w:r>
      <w:r w:rsidRPr="0031675F">
        <w:rPr>
          <w:rFonts w:cs="Calibri"/>
          <w:spacing w:val="19"/>
        </w:rPr>
        <w:t xml:space="preserve"> </w:t>
      </w:r>
      <w:r w:rsidRPr="0031675F">
        <w:rPr>
          <w:rFonts w:cs="Calibri"/>
        </w:rPr>
        <w:t>at</w:t>
      </w:r>
      <w:r w:rsidRPr="0031675F">
        <w:rPr>
          <w:rFonts w:cs="Calibri"/>
          <w:spacing w:val="22"/>
        </w:rPr>
        <w:t xml:space="preserve"> </w:t>
      </w:r>
      <w:r w:rsidRPr="0031675F">
        <w:rPr>
          <w:rFonts w:cs="Calibri"/>
          <w:spacing w:val="-1"/>
        </w:rPr>
        <w:t>this</w:t>
      </w:r>
      <w:r w:rsidRPr="0031675F">
        <w:rPr>
          <w:rFonts w:cs="Calibri"/>
          <w:spacing w:val="22"/>
        </w:rPr>
        <w:t xml:space="preserve"> </w:t>
      </w:r>
      <w:r w:rsidRPr="0031675F">
        <w:rPr>
          <w:rFonts w:cs="Calibri"/>
          <w:spacing w:val="-1"/>
        </w:rPr>
        <w:t>location</w:t>
      </w:r>
      <w:r w:rsidRPr="0031675F">
        <w:rPr>
          <w:rFonts w:cs="Calibri"/>
          <w:spacing w:val="18"/>
        </w:rPr>
        <w:t xml:space="preserve"> </w:t>
      </w:r>
      <w:r w:rsidRPr="0031675F">
        <w:rPr>
          <w:rFonts w:cs="Calibri"/>
          <w:spacing w:val="-1"/>
        </w:rPr>
        <w:t>using</w:t>
      </w:r>
      <w:r w:rsidRPr="0031675F">
        <w:rPr>
          <w:rFonts w:cs="Calibri"/>
          <w:spacing w:val="21"/>
        </w:rPr>
        <w:t xml:space="preserve"> </w:t>
      </w:r>
      <w:r w:rsidRPr="0031675F">
        <w:rPr>
          <w:rFonts w:cs="Calibri"/>
        </w:rPr>
        <w:t>the</w:t>
      </w:r>
      <w:r w:rsidRPr="0031675F">
        <w:rPr>
          <w:rFonts w:cs="Calibri"/>
          <w:spacing w:val="22"/>
        </w:rPr>
        <w:t xml:space="preserve"> </w:t>
      </w:r>
      <w:r w:rsidRPr="0031675F">
        <w:rPr>
          <w:rFonts w:cs="Calibri"/>
          <w:spacing w:val="-1"/>
        </w:rPr>
        <w:t>‘New</w:t>
      </w:r>
      <w:r w:rsidRPr="0031675F">
        <w:rPr>
          <w:rFonts w:cs="Calibri"/>
          <w:spacing w:val="22"/>
        </w:rPr>
        <w:t xml:space="preserve"> </w:t>
      </w:r>
      <w:r w:rsidRPr="0031675F">
        <w:rPr>
          <w:rFonts w:cs="Calibri"/>
          <w:spacing w:val="-1"/>
        </w:rPr>
        <w:t>Location</w:t>
      </w:r>
      <w:r w:rsidRPr="0031675F">
        <w:rPr>
          <w:rFonts w:cs="Calibri"/>
          <w:spacing w:val="18"/>
        </w:rPr>
        <w:t xml:space="preserve"> </w:t>
      </w:r>
      <w:r w:rsidRPr="0031675F">
        <w:rPr>
          <w:rFonts w:cs="Calibri"/>
        </w:rPr>
        <w:t>/</w:t>
      </w:r>
      <w:r w:rsidRPr="0031675F">
        <w:rPr>
          <w:rFonts w:cs="Calibri"/>
          <w:spacing w:val="20"/>
        </w:rPr>
        <w:t xml:space="preserve"> </w:t>
      </w:r>
      <w:r w:rsidRPr="0031675F">
        <w:rPr>
          <w:rFonts w:cs="Calibri"/>
          <w:spacing w:val="-1"/>
        </w:rPr>
        <w:t>Print</w:t>
      </w:r>
      <w:r w:rsidRPr="0031675F">
        <w:rPr>
          <w:rFonts w:cs="Calibri"/>
          <w:spacing w:val="22"/>
        </w:rPr>
        <w:t xml:space="preserve"> </w:t>
      </w:r>
      <w:r w:rsidRPr="0031675F">
        <w:rPr>
          <w:rFonts w:cs="Calibri"/>
          <w:spacing w:val="-1"/>
        </w:rPr>
        <w:t>Barcode’</w:t>
      </w:r>
      <w:r w:rsidRPr="0031675F">
        <w:rPr>
          <w:rFonts w:cs="Calibri"/>
          <w:spacing w:val="77"/>
        </w:rPr>
        <w:t xml:space="preserve"> </w:t>
      </w:r>
      <w:r w:rsidRPr="0031675F">
        <w:rPr>
          <w:spacing w:val="-1"/>
        </w:rPr>
        <w:t>form.</w:t>
      </w:r>
    </w:p>
    <w:p w14:paraId="695FF385" w14:textId="77777777" w:rsidR="0031675F" w:rsidRPr="0031675F" w:rsidRDefault="0031675F" w:rsidP="0031675F">
      <w:pPr>
        <w:widowControl w:val="0"/>
        <w:numPr>
          <w:ilvl w:val="2"/>
          <w:numId w:val="64"/>
        </w:numPr>
        <w:tabs>
          <w:tab w:val="left" w:pos="821"/>
        </w:tabs>
        <w:spacing w:before="0" w:after="0" w:line="248" w:lineRule="auto"/>
        <w:ind w:right="121"/>
        <w:rPr>
          <w:rFonts w:cs="Calibri"/>
        </w:rPr>
      </w:pPr>
      <w:r w:rsidRPr="0031675F">
        <w:rPr>
          <w:spacing w:val="-1"/>
        </w:rPr>
        <w:t>Print</w:t>
      </w:r>
      <w:r w:rsidRPr="0031675F">
        <w:rPr>
          <w:spacing w:val="24"/>
        </w:rPr>
        <w:t xml:space="preserve"> </w:t>
      </w:r>
      <w:r w:rsidRPr="0031675F">
        <w:t>of</w:t>
      </w:r>
      <w:r w:rsidRPr="0031675F">
        <w:rPr>
          <w:spacing w:val="26"/>
        </w:rPr>
        <w:t xml:space="preserve"> </w:t>
      </w:r>
      <w:r w:rsidRPr="0031675F">
        <w:rPr>
          <w:spacing w:val="-1"/>
        </w:rPr>
        <w:t>labels</w:t>
      </w:r>
      <w:r w:rsidRPr="0031675F">
        <w:rPr>
          <w:spacing w:val="26"/>
        </w:rPr>
        <w:t xml:space="preserve"> </w:t>
      </w:r>
      <w:r w:rsidRPr="0031675F">
        <w:rPr>
          <w:spacing w:val="-1"/>
        </w:rPr>
        <w:t>required</w:t>
      </w:r>
      <w:r w:rsidRPr="0031675F">
        <w:rPr>
          <w:spacing w:val="25"/>
        </w:rPr>
        <w:t xml:space="preserve"> </w:t>
      </w:r>
      <w:r w:rsidRPr="0031675F">
        <w:rPr>
          <w:spacing w:val="-2"/>
        </w:rPr>
        <w:t>for</w:t>
      </w:r>
      <w:r w:rsidRPr="0031675F">
        <w:rPr>
          <w:spacing w:val="27"/>
        </w:rPr>
        <w:t xml:space="preserve"> </w:t>
      </w:r>
      <w:r w:rsidRPr="0031675F">
        <w:t>the</w:t>
      </w:r>
      <w:r w:rsidRPr="0031675F">
        <w:rPr>
          <w:spacing w:val="24"/>
        </w:rPr>
        <w:t xml:space="preserve"> </w:t>
      </w:r>
      <w:r w:rsidRPr="0031675F">
        <w:rPr>
          <w:spacing w:val="-1"/>
        </w:rPr>
        <w:t>defined</w:t>
      </w:r>
      <w:r w:rsidRPr="0031675F">
        <w:rPr>
          <w:spacing w:val="26"/>
        </w:rPr>
        <w:t xml:space="preserve"> </w:t>
      </w:r>
      <w:r w:rsidRPr="0031675F">
        <w:rPr>
          <w:spacing w:val="-1"/>
        </w:rPr>
        <w:t>sampled</w:t>
      </w:r>
      <w:r w:rsidRPr="0031675F">
        <w:rPr>
          <w:spacing w:val="23"/>
        </w:rPr>
        <w:t xml:space="preserve"> </w:t>
      </w:r>
      <w:r w:rsidRPr="0031675F">
        <w:rPr>
          <w:spacing w:val="-1"/>
        </w:rPr>
        <w:t>nutrient</w:t>
      </w:r>
      <w:r w:rsidRPr="0031675F">
        <w:rPr>
          <w:spacing w:val="27"/>
        </w:rPr>
        <w:t xml:space="preserve"> </w:t>
      </w:r>
      <w:r w:rsidRPr="0031675F">
        <w:rPr>
          <w:spacing w:val="-1"/>
        </w:rPr>
        <w:t>types</w:t>
      </w:r>
      <w:r w:rsidRPr="0031675F">
        <w:rPr>
          <w:spacing w:val="24"/>
        </w:rPr>
        <w:t xml:space="preserve"> </w:t>
      </w:r>
      <w:r w:rsidRPr="0031675F">
        <w:rPr>
          <w:spacing w:val="-1"/>
        </w:rPr>
        <w:t>and</w:t>
      </w:r>
      <w:r w:rsidRPr="0031675F">
        <w:rPr>
          <w:spacing w:val="26"/>
        </w:rPr>
        <w:t xml:space="preserve"> </w:t>
      </w:r>
      <w:r w:rsidRPr="0031675F">
        <w:rPr>
          <w:spacing w:val="-1"/>
        </w:rPr>
        <w:t>duplicates</w:t>
      </w:r>
      <w:r w:rsidRPr="0031675F">
        <w:rPr>
          <w:spacing w:val="24"/>
        </w:rPr>
        <w:t xml:space="preserve"> </w:t>
      </w:r>
      <w:r w:rsidRPr="0031675F">
        <w:rPr>
          <w:spacing w:val="-1"/>
        </w:rPr>
        <w:t>for</w:t>
      </w:r>
      <w:r w:rsidRPr="0031675F">
        <w:rPr>
          <w:spacing w:val="24"/>
        </w:rPr>
        <w:t xml:space="preserve"> </w:t>
      </w:r>
      <w:r w:rsidRPr="0031675F">
        <w:t>each</w:t>
      </w:r>
      <w:r w:rsidRPr="0031675F">
        <w:rPr>
          <w:spacing w:val="24"/>
        </w:rPr>
        <w:t xml:space="preserve"> </w:t>
      </w:r>
      <w:r w:rsidRPr="0031675F">
        <w:rPr>
          <w:spacing w:val="-1"/>
        </w:rPr>
        <w:t>depth</w:t>
      </w:r>
      <w:r w:rsidRPr="0031675F">
        <w:rPr>
          <w:spacing w:val="71"/>
        </w:rPr>
        <w:t xml:space="preserve"> </w:t>
      </w:r>
      <w:r w:rsidRPr="0031675F">
        <w:rPr>
          <w:rFonts w:cs="Calibri"/>
          <w:spacing w:val="-1"/>
        </w:rPr>
        <w:t>using the</w:t>
      </w:r>
      <w:r w:rsidRPr="0031675F">
        <w:rPr>
          <w:rFonts w:cs="Calibri"/>
        </w:rPr>
        <w:t xml:space="preserve"> </w:t>
      </w:r>
      <w:r w:rsidRPr="0031675F">
        <w:rPr>
          <w:rFonts w:cs="Calibri"/>
          <w:spacing w:val="-1"/>
        </w:rPr>
        <w:t>‘New</w:t>
      </w:r>
      <w:r w:rsidRPr="0031675F">
        <w:rPr>
          <w:rFonts w:cs="Calibri"/>
          <w:spacing w:val="-2"/>
        </w:rPr>
        <w:t xml:space="preserve"> </w:t>
      </w:r>
      <w:r w:rsidRPr="0031675F">
        <w:rPr>
          <w:rFonts w:cs="Calibri"/>
          <w:spacing w:val="-1"/>
        </w:rPr>
        <w:t>Location</w:t>
      </w:r>
      <w:r w:rsidRPr="0031675F">
        <w:rPr>
          <w:rFonts w:cs="Calibri"/>
          <w:spacing w:val="-3"/>
        </w:rPr>
        <w:t xml:space="preserve"> </w:t>
      </w:r>
      <w:r w:rsidRPr="0031675F">
        <w:rPr>
          <w:rFonts w:cs="Calibri"/>
        </w:rPr>
        <w:t>/</w:t>
      </w:r>
      <w:r w:rsidRPr="0031675F">
        <w:rPr>
          <w:rFonts w:cs="Calibri"/>
          <w:spacing w:val="-1"/>
        </w:rPr>
        <w:t xml:space="preserve"> Print</w:t>
      </w:r>
      <w:r w:rsidRPr="0031675F">
        <w:rPr>
          <w:rFonts w:cs="Calibri"/>
        </w:rPr>
        <w:t xml:space="preserve"> </w:t>
      </w:r>
      <w:r w:rsidRPr="0031675F">
        <w:rPr>
          <w:rFonts w:cs="Calibri"/>
          <w:spacing w:val="-1"/>
        </w:rPr>
        <w:t>Barcode’</w:t>
      </w:r>
      <w:r w:rsidRPr="0031675F">
        <w:rPr>
          <w:rFonts w:cs="Calibri"/>
        </w:rPr>
        <w:t xml:space="preserve"> </w:t>
      </w:r>
      <w:r w:rsidRPr="0031675F">
        <w:rPr>
          <w:rFonts w:cs="Calibri"/>
          <w:spacing w:val="-1"/>
        </w:rPr>
        <w:t>form.</w:t>
      </w:r>
    </w:p>
    <w:p w14:paraId="210E214A" w14:textId="77777777" w:rsidR="0031675F" w:rsidRPr="0031675F" w:rsidRDefault="0031675F" w:rsidP="0031675F">
      <w:pPr>
        <w:widowControl w:val="0"/>
        <w:numPr>
          <w:ilvl w:val="2"/>
          <w:numId w:val="64"/>
        </w:numPr>
        <w:tabs>
          <w:tab w:val="left" w:pos="821"/>
        </w:tabs>
        <w:spacing w:before="2" w:after="0" w:line="251" w:lineRule="auto"/>
        <w:ind w:right="121"/>
        <w:rPr>
          <w:rFonts w:cs="Calibri"/>
        </w:rPr>
      </w:pPr>
      <w:r w:rsidRPr="0031675F">
        <w:rPr>
          <w:spacing w:val="-1"/>
        </w:rPr>
        <w:t>Define</w:t>
      </w:r>
      <w:r w:rsidRPr="0031675F">
        <w:rPr>
          <w:spacing w:val="41"/>
        </w:rPr>
        <w:t xml:space="preserve"> </w:t>
      </w:r>
      <w:r w:rsidRPr="0031675F">
        <w:t>the</w:t>
      </w:r>
      <w:r w:rsidRPr="0031675F">
        <w:rPr>
          <w:spacing w:val="39"/>
        </w:rPr>
        <w:t xml:space="preserve"> </w:t>
      </w:r>
      <w:r w:rsidRPr="0031675F">
        <w:rPr>
          <w:spacing w:val="-1"/>
        </w:rPr>
        <w:t>metadata</w:t>
      </w:r>
      <w:r w:rsidRPr="0031675F">
        <w:rPr>
          <w:spacing w:val="41"/>
        </w:rPr>
        <w:t xml:space="preserve"> </w:t>
      </w:r>
      <w:r w:rsidRPr="0031675F">
        <w:rPr>
          <w:spacing w:val="-1"/>
        </w:rPr>
        <w:t>attributes</w:t>
      </w:r>
      <w:r w:rsidRPr="0031675F">
        <w:rPr>
          <w:spacing w:val="40"/>
        </w:rPr>
        <w:t xml:space="preserve"> </w:t>
      </w:r>
      <w:r w:rsidRPr="0031675F">
        <w:t>to</w:t>
      </w:r>
      <w:r w:rsidRPr="0031675F">
        <w:rPr>
          <w:spacing w:val="43"/>
        </w:rPr>
        <w:t xml:space="preserve"> </w:t>
      </w:r>
      <w:r w:rsidRPr="0031675F">
        <w:t>the</w:t>
      </w:r>
      <w:r w:rsidRPr="0031675F">
        <w:rPr>
          <w:spacing w:val="41"/>
        </w:rPr>
        <w:t xml:space="preserve"> </w:t>
      </w:r>
      <w:r w:rsidRPr="0031675F">
        <w:rPr>
          <w:spacing w:val="-1"/>
        </w:rPr>
        <w:t>location,</w:t>
      </w:r>
      <w:r w:rsidRPr="0031675F">
        <w:rPr>
          <w:spacing w:val="41"/>
        </w:rPr>
        <w:t xml:space="preserve"> </w:t>
      </w:r>
      <w:r w:rsidRPr="0031675F">
        <w:rPr>
          <w:spacing w:val="-2"/>
        </w:rPr>
        <w:t>and</w:t>
      </w:r>
      <w:r w:rsidRPr="0031675F">
        <w:rPr>
          <w:spacing w:val="39"/>
        </w:rPr>
        <w:t xml:space="preserve"> </w:t>
      </w:r>
      <w:r w:rsidRPr="0031675F">
        <w:t>to</w:t>
      </w:r>
      <w:r w:rsidRPr="0031675F">
        <w:rPr>
          <w:spacing w:val="43"/>
        </w:rPr>
        <w:t xml:space="preserve"> </w:t>
      </w:r>
      <w:r w:rsidRPr="0031675F">
        <w:t>the</w:t>
      </w:r>
      <w:r w:rsidRPr="0031675F">
        <w:rPr>
          <w:spacing w:val="41"/>
        </w:rPr>
        <w:t xml:space="preserve"> </w:t>
      </w:r>
      <w:r w:rsidRPr="0031675F">
        <w:rPr>
          <w:spacing w:val="-1"/>
        </w:rPr>
        <w:t>sample</w:t>
      </w:r>
      <w:r w:rsidRPr="0031675F">
        <w:rPr>
          <w:spacing w:val="40"/>
        </w:rPr>
        <w:t xml:space="preserve"> </w:t>
      </w:r>
      <w:r w:rsidRPr="0031675F">
        <w:rPr>
          <w:spacing w:val="-1"/>
        </w:rPr>
        <w:t>nutrient</w:t>
      </w:r>
      <w:r w:rsidRPr="0031675F">
        <w:rPr>
          <w:spacing w:val="39"/>
        </w:rPr>
        <w:t xml:space="preserve"> </w:t>
      </w:r>
      <w:r w:rsidRPr="0031675F">
        <w:rPr>
          <w:spacing w:val="-1"/>
        </w:rPr>
        <w:t>types</w:t>
      </w:r>
      <w:r w:rsidRPr="0031675F">
        <w:rPr>
          <w:spacing w:val="41"/>
        </w:rPr>
        <w:t xml:space="preserve"> </w:t>
      </w:r>
      <w:r w:rsidRPr="0031675F">
        <w:rPr>
          <w:spacing w:val="-1"/>
        </w:rPr>
        <w:t>using</w:t>
      </w:r>
      <w:r w:rsidRPr="0031675F">
        <w:rPr>
          <w:spacing w:val="40"/>
        </w:rPr>
        <w:t xml:space="preserve"> </w:t>
      </w:r>
      <w:r w:rsidRPr="0031675F">
        <w:t>the</w:t>
      </w:r>
      <w:r w:rsidRPr="0031675F">
        <w:rPr>
          <w:spacing w:val="71"/>
        </w:rPr>
        <w:t xml:space="preserve"> </w:t>
      </w:r>
      <w:r w:rsidRPr="0031675F">
        <w:rPr>
          <w:rFonts w:cs="Calibri"/>
        </w:rPr>
        <w:t>‘Water</w:t>
      </w:r>
      <w:r w:rsidRPr="0031675F">
        <w:rPr>
          <w:rFonts w:cs="Calibri"/>
          <w:spacing w:val="-3"/>
        </w:rPr>
        <w:t xml:space="preserve"> </w:t>
      </w:r>
      <w:r w:rsidRPr="0031675F">
        <w:rPr>
          <w:rFonts w:cs="Calibri"/>
          <w:spacing w:val="-1"/>
        </w:rPr>
        <w:t>Sample</w:t>
      </w:r>
      <w:r w:rsidRPr="0031675F">
        <w:rPr>
          <w:rFonts w:cs="Calibri"/>
        </w:rPr>
        <w:t xml:space="preserve"> </w:t>
      </w:r>
      <w:r w:rsidRPr="0031675F">
        <w:rPr>
          <w:rFonts w:cs="Calibri"/>
          <w:spacing w:val="-1"/>
        </w:rPr>
        <w:t>Data’</w:t>
      </w:r>
      <w:r w:rsidRPr="0031675F">
        <w:rPr>
          <w:rFonts w:cs="Calibri"/>
        </w:rPr>
        <w:t xml:space="preserve"> </w:t>
      </w:r>
      <w:r w:rsidRPr="0031675F">
        <w:rPr>
          <w:rFonts w:cs="Calibri"/>
          <w:spacing w:val="-1"/>
        </w:rPr>
        <w:t>form.</w:t>
      </w:r>
    </w:p>
    <w:p w14:paraId="361FE3E8" w14:textId="77777777" w:rsidR="0031675F" w:rsidRPr="0031675F" w:rsidRDefault="0031675F" w:rsidP="0031675F">
      <w:pPr>
        <w:widowControl w:val="0"/>
        <w:numPr>
          <w:ilvl w:val="2"/>
          <w:numId w:val="64"/>
        </w:numPr>
        <w:tabs>
          <w:tab w:val="left" w:pos="821"/>
        </w:tabs>
        <w:spacing w:before="0" w:after="0" w:line="266" w:lineRule="exact"/>
      </w:pPr>
      <w:r w:rsidRPr="0031675F">
        <w:rPr>
          <w:spacing w:val="-1"/>
        </w:rPr>
        <w:t>After</w:t>
      </w:r>
      <w:r w:rsidRPr="0031675F">
        <w:t xml:space="preserve"> </w:t>
      </w:r>
      <w:r w:rsidRPr="0031675F">
        <w:rPr>
          <w:spacing w:val="-1"/>
        </w:rPr>
        <w:t>the</w:t>
      </w:r>
      <w:r w:rsidRPr="0031675F">
        <w:rPr>
          <w:spacing w:val="-2"/>
        </w:rPr>
        <w:t xml:space="preserve"> </w:t>
      </w:r>
      <w:r w:rsidRPr="0031675F">
        <w:rPr>
          <w:spacing w:val="-1"/>
        </w:rPr>
        <w:t>samples have</w:t>
      </w:r>
      <w:r w:rsidRPr="0031675F">
        <w:rPr>
          <w:spacing w:val="-2"/>
        </w:rPr>
        <w:t xml:space="preserve"> </w:t>
      </w:r>
      <w:r w:rsidRPr="0031675F">
        <w:rPr>
          <w:spacing w:val="-1"/>
        </w:rPr>
        <w:t xml:space="preserve">been </w:t>
      </w:r>
      <w:r w:rsidRPr="0031675F">
        <w:t>taken,</w:t>
      </w:r>
      <w:r w:rsidRPr="0031675F">
        <w:rPr>
          <w:spacing w:val="-2"/>
        </w:rPr>
        <w:t xml:space="preserve"> </w:t>
      </w:r>
      <w:r w:rsidRPr="0031675F">
        <w:rPr>
          <w:spacing w:val="-1"/>
        </w:rPr>
        <w:t>apply</w:t>
      </w:r>
      <w:r w:rsidRPr="0031675F">
        <w:t xml:space="preserve"> </w:t>
      </w:r>
      <w:r w:rsidRPr="0031675F">
        <w:rPr>
          <w:spacing w:val="-1"/>
        </w:rPr>
        <w:t>labels</w:t>
      </w:r>
      <w:r w:rsidRPr="0031675F">
        <w:rPr>
          <w:spacing w:val="-3"/>
        </w:rPr>
        <w:t xml:space="preserve"> </w:t>
      </w:r>
      <w:r w:rsidRPr="0031675F">
        <w:t>and</w:t>
      </w:r>
      <w:r w:rsidRPr="0031675F">
        <w:rPr>
          <w:spacing w:val="-2"/>
        </w:rPr>
        <w:t xml:space="preserve"> </w:t>
      </w:r>
      <w:r w:rsidRPr="0031675F">
        <w:rPr>
          <w:spacing w:val="-1"/>
        </w:rPr>
        <w:t>store</w:t>
      </w:r>
      <w:r w:rsidRPr="0031675F">
        <w:rPr>
          <w:spacing w:val="-2"/>
        </w:rPr>
        <w:t xml:space="preserve"> </w:t>
      </w:r>
      <w:r w:rsidRPr="0031675F">
        <w:rPr>
          <w:spacing w:val="-1"/>
        </w:rPr>
        <w:t>samples</w:t>
      </w:r>
      <w:r w:rsidRPr="0031675F">
        <w:t xml:space="preserve"> </w:t>
      </w:r>
      <w:r w:rsidRPr="0031675F">
        <w:rPr>
          <w:spacing w:val="-1"/>
        </w:rPr>
        <w:t>appropriately.</w:t>
      </w:r>
    </w:p>
    <w:p w14:paraId="007714D3" w14:textId="77777777" w:rsidR="0031675F" w:rsidRPr="0031675F" w:rsidRDefault="0031675F" w:rsidP="0031675F">
      <w:pPr>
        <w:rPr>
          <w:rFonts w:cs="Calibri"/>
          <w:sz w:val="24"/>
          <w:szCs w:val="24"/>
        </w:rPr>
      </w:pPr>
    </w:p>
    <w:p w14:paraId="73669873" w14:textId="77777777" w:rsidR="0031675F" w:rsidRPr="0031675F" w:rsidRDefault="0031675F" w:rsidP="0057756F">
      <w:r w:rsidRPr="0031675F">
        <w:t>The</w:t>
      </w:r>
      <w:r w:rsidRPr="0031675F">
        <w:rPr>
          <w:spacing w:val="26"/>
        </w:rPr>
        <w:t xml:space="preserve"> </w:t>
      </w:r>
      <w:r w:rsidRPr="0031675F">
        <w:rPr>
          <w:rFonts w:cs="Calibri"/>
          <w:b/>
          <w:bCs/>
        </w:rPr>
        <w:t>Filter</w:t>
      </w:r>
      <w:r w:rsidRPr="0031675F">
        <w:rPr>
          <w:rFonts w:cs="Calibri"/>
          <w:b/>
          <w:bCs/>
          <w:spacing w:val="27"/>
        </w:rPr>
        <w:t xml:space="preserve"> </w:t>
      </w:r>
      <w:r w:rsidRPr="0031675F">
        <w:rPr>
          <w:rFonts w:cs="Calibri"/>
          <w:b/>
          <w:bCs/>
        </w:rPr>
        <w:t>Weight</w:t>
      </w:r>
      <w:r w:rsidRPr="0031675F">
        <w:rPr>
          <w:rFonts w:cs="Calibri"/>
          <w:b/>
          <w:bCs/>
          <w:spacing w:val="27"/>
        </w:rPr>
        <w:t xml:space="preserve"> </w:t>
      </w:r>
      <w:r w:rsidRPr="0031675F">
        <w:rPr>
          <w:rFonts w:cs="Calibri"/>
          <w:b/>
          <w:bCs/>
        </w:rPr>
        <w:t>Management</w:t>
      </w:r>
      <w:r w:rsidRPr="0031675F">
        <w:rPr>
          <w:rFonts w:cs="Calibri"/>
          <w:b/>
          <w:bCs/>
          <w:spacing w:val="26"/>
        </w:rPr>
        <w:t xml:space="preserve"> </w:t>
      </w:r>
      <w:r w:rsidRPr="0031675F">
        <w:rPr>
          <w:rFonts w:cs="Calibri"/>
          <w:b/>
          <w:bCs/>
        </w:rPr>
        <w:t>Web</w:t>
      </w:r>
      <w:r w:rsidRPr="0031675F">
        <w:rPr>
          <w:rFonts w:cs="Calibri"/>
          <w:b/>
          <w:bCs/>
          <w:spacing w:val="26"/>
        </w:rPr>
        <w:t xml:space="preserve"> </w:t>
      </w:r>
      <w:r w:rsidRPr="0031675F">
        <w:rPr>
          <w:rFonts w:cs="Calibri"/>
          <w:b/>
          <w:bCs/>
        </w:rPr>
        <w:t>Application</w:t>
      </w:r>
      <w:r w:rsidRPr="0031675F">
        <w:rPr>
          <w:rFonts w:cs="Calibri"/>
          <w:b/>
          <w:bCs/>
          <w:spacing w:val="28"/>
        </w:rPr>
        <w:t xml:space="preserve"> </w:t>
      </w:r>
      <w:r w:rsidRPr="0031675F">
        <w:t>is</w:t>
      </w:r>
      <w:r w:rsidRPr="0031675F">
        <w:rPr>
          <w:spacing w:val="24"/>
        </w:rPr>
        <w:t xml:space="preserve"> </w:t>
      </w:r>
      <w:r w:rsidRPr="0031675F">
        <w:t>a</w:t>
      </w:r>
      <w:r w:rsidRPr="0031675F">
        <w:rPr>
          <w:spacing w:val="26"/>
        </w:rPr>
        <w:t xml:space="preserve"> </w:t>
      </w:r>
      <w:r w:rsidRPr="0031675F">
        <w:t>J2EE</w:t>
      </w:r>
      <w:r w:rsidRPr="0031675F">
        <w:rPr>
          <w:spacing w:val="26"/>
        </w:rPr>
        <w:t xml:space="preserve"> </w:t>
      </w:r>
      <w:r w:rsidRPr="0031675F">
        <w:t>based</w:t>
      </w:r>
      <w:r w:rsidRPr="0031675F">
        <w:rPr>
          <w:spacing w:val="26"/>
        </w:rPr>
        <w:t xml:space="preserve"> </w:t>
      </w:r>
      <w:r w:rsidRPr="0031675F">
        <w:t>application</w:t>
      </w:r>
      <w:r w:rsidRPr="0031675F">
        <w:rPr>
          <w:spacing w:val="26"/>
        </w:rPr>
        <w:t xml:space="preserve"> </w:t>
      </w:r>
      <w:r w:rsidRPr="0031675F">
        <w:t>that</w:t>
      </w:r>
      <w:r w:rsidRPr="0031675F">
        <w:rPr>
          <w:spacing w:val="26"/>
        </w:rPr>
        <w:t xml:space="preserve"> </w:t>
      </w:r>
      <w:r w:rsidRPr="0031675F">
        <w:t>is</w:t>
      </w:r>
      <w:r w:rsidRPr="0031675F">
        <w:rPr>
          <w:spacing w:val="26"/>
        </w:rPr>
        <w:t xml:space="preserve"> </w:t>
      </w:r>
      <w:r w:rsidRPr="0031675F">
        <w:t>accessed</w:t>
      </w:r>
      <w:r w:rsidRPr="0031675F">
        <w:rPr>
          <w:spacing w:val="24"/>
        </w:rPr>
        <w:t xml:space="preserve"> </w:t>
      </w:r>
      <w:r w:rsidRPr="0031675F">
        <w:t>via</w:t>
      </w:r>
      <w:r w:rsidRPr="0031675F">
        <w:rPr>
          <w:spacing w:val="26"/>
        </w:rPr>
        <w:t xml:space="preserve"> </w:t>
      </w:r>
      <w:r w:rsidRPr="0031675F">
        <w:rPr>
          <w:spacing w:val="-2"/>
        </w:rPr>
        <w:t>any</w:t>
      </w:r>
      <w:r w:rsidRPr="0031675F">
        <w:rPr>
          <w:spacing w:val="65"/>
        </w:rPr>
        <w:t xml:space="preserve"> </w:t>
      </w:r>
      <w:r w:rsidRPr="0031675F">
        <w:t>browser</w:t>
      </w:r>
      <w:r w:rsidRPr="0031675F">
        <w:rPr>
          <w:spacing w:val="28"/>
        </w:rPr>
        <w:t xml:space="preserve"> </w:t>
      </w:r>
      <w:r w:rsidRPr="0031675F">
        <w:t>within</w:t>
      </w:r>
      <w:r w:rsidRPr="0031675F">
        <w:rPr>
          <w:spacing w:val="28"/>
        </w:rPr>
        <w:t xml:space="preserve"> </w:t>
      </w:r>
      <w:r w:rsidRPr="0031675F">
        <w:t>the</w:t>
      </w:r>
      <w:r w:rsidRPr="0031675F">
        <w:rPr>
          <w:spacing w:val="30"/>
        </w:rPr>
        <w:t xml:space="preserve"> </w:t>
      </w:r>
      <w:r w:rsidRPr="0031675F">
        <w:t>AIMS</w:t>
      </w:r>
      <w:r w:rsidRPr="0031675F">
        <w:rPr>
          <w:spacing w:val="27"/>
        </w:rPr>
        <w:t xml:space="preserve"> </w:t>
      </w:r>
      <w:r w:rsidRPr="0031675F">
        <w:t>internal</w:t>
      </w:r>
      <w:r w:rsidRPr="0031675F">
        <w:rPr>
          <w:spacing w:val="29"/>
        </w:rPr>
        <w:t xml:space="preserve"> </w:t>
      </w:r>
      <w:r w:rsidRPr="0031675F">
        <w:t>network.</w:t>
      </w:r>
      <w:r w:rsidRPr="0031675F">
        <w:rPr>
          <w:spacing w:val="26"/>
        </w:rPr>
        <w:t xml:space="preserve"> </w:t>
      </w:r>
      <w:r w:rsidRPr="0031675F">
        <w:t>Using</w:t>
      </w:r>
      <w:r w:rsidRPr="0031675F">
        <w:rPr>
          <w:spacing w:val="28"/>
        </w:rPr>
        <w:t xml:space="preserve"> </w:t>
      </w:r>
      <w:r w:rsidRPr="0031675F">
        <w:t>a</w:t>
      </w:r>
      <w:r w:rsidRPr="0031675F">
        <w:rPr>
          <w:spacing w:val="28"/>
        </w:rPr>
        <w:t xml:space="preserve"> </w:t>
      </w:r>
      <w:r w:rsidRPr="0031675F">
        <w:t>set</w:t>
      </w:r>
      <w:r w:rsidRPr="0031675F">
        <w:rPr>
          <w:spacing w:val="30"/>
        </w:rPr>
        <w:t xml:space="preserve"> </w:t>
      </w:r>
      <w:r w:rsidRPr="0031675F">
        <w:t>of</w:t>
      </w:r>
      <w:r w:rsidRPr="0031675F">
        <w:rPr>
          <w:spacing w:val="29"/>
        </w:rPr>
        <w:t xml:space="preserve"> </w:t>
      </w:r>
      <w:r w:rsidRPr="0031675F">
        <w:t>forms</w:t>
      </w:r>
      <w:r w:rsidRPr="0031675F">
        <w:rPr>
          <w:spacing w:val="26"/>
        </w:rPr>
        <w:t xml:space="preserve"> </w:t>
      </w:r>
      <w:r w:rsidRPr="0031675F">
        <w:t>with</w:t>
      </w:r>
      <w:r w:rsidRPr="0031675F">
        <w:rPr>
          <w:spacing w:val="29"/>
        </w:rPr>
        <w:t xml:space="preserve"> </w:t>
      </w:r>
      <w:r w:rsidRPr="0031675F">
        <w:t>drop</w:t>
      </w:r>
      <w:r w:rsidRPr="0031675F">
        <w:rPr>
          <w:spacing w:val="28"/>
        </w:rPr>
        <w:t xml:space="preserve"> </w:t>
      </w:r>
      <w:r w:rsidRPr="0031675F">
        <w:t>pre-defined</w:t>
      </w:r>
      <w:r w:rsidRPr="0031675F">
        <w:rPr>
          <w:spacing w:val="29"/>
        </w:rPr>
        <w:t xml:space="preserve"> </w:t>
      </w:r>
      <w:r w:rsidRPr="0031675F">
        <w:t>selection</w:t>
      </w:r>
      <w:r w:rsidRPr="0031675F">
        <w:rPr>
          <w:spacing w:val="27"/>
        </w:rPr>
        <w:t xml:space="preserve"> </w:t>
      </w:r>
      <w:r w:rsidRPr="0031675F">
        <w:t>lists</w:t>
      </w:r>
      <w:r w:rsidRPr="0031675F">
        <w:rPr>
          <w:spacing w:val="73"/>
        </w:rPr>
        <w:t xml:space="preserve"> </w:t>
      </w:r>
      <w:r w:rsidRPr="0031675F">
        <w:rPr>
          <w:rFonts w:cs="Calibri"/>
        </w:rPr>
        <w:t>where</w:t>
      </w:r>
      <w:r w:rsidRPr="0031675F">
        <w:rPr>
          <w:rFonts w:cs="Calibri"/>
          <w:spacing w:val="33"/>
        </w:rPr>
        <w:t xml:space="preserve"> </w:t>
      </w:r>
      <w:r w:rsidRPr="0031675F">
        <w:rPr>
          <w:rFonts w:cs="Calibri"/>
        </w:rPr>
        <w:t>ever</w:t>
      </w:r>
      <w:r w:rsidRPr="0031675F">
        <w:rPr>
          <w:rFonts w:cs="Calibri"/>
          <w:spacing w:val="34"/>
        </w:rPr>
        <w:t xml:space="preserve"> </w:t>
      </w:r>
      <w:r w:rsidRPr="0031675F">
        <w:rPr>
          <w:rFonts w:cs="Calibri"/>
        </w:rPr>
        <w:t>possible,</w:t>
      </w:r>
      <w:r w:rsidRPr="0031675F">
        <w:rPr>
          <w:rFonts w:cs="Calibri"/>
          <w:spacing w:val="34"/>
        </w:rPr>
        <w:t xml:space="preserve"> </w:t>
      </w:r>
      <w:r w:rsidRPr="0031675F">
        <w:rPr>
          <w:rFonts w:cs="Calibri"/>
        </w:rPr>
        <w:t>data</w:t>
      </w:r>
      <w:r w:rsidRPr="0031675F">
        <w:rPr>
          <w:rFonts w:cs="Calibri"/>
          <w:spacing w:val="31"/>
        </w:rPr>
        <w:t xml:space="preserve"> </w:t>
      </w:r>
      <w:r w:rsidRPr="0031675F">
        <w:rPr>
          <w:rFonts w:cs="Calibri"/>
        </w:rPr>
        <w:t>entry</w:t>
      </w:r>
      <w:r w:rsidRPr="0031675F">
        <w:rPr>
          <w:rFonts w:cs="Calibri"/>
          <w:spacing w:val="34"/>
        </w:rPr>
        <w:t xml:space="preserve"> </w:t>
      </w:r>
      <w:r w:rsidRPr="0031675F">
        <w:rPr>
          <w:rFonts w:cs="Calibri"/>
        </w:rPr>
        <w:t>error</w:t>
      </w:r>
      <w:r w:rsidRPr="0031675F">
        <w:rPr>
          <w:rFonts w:cs="Calibri"/>
          <w:spacing w:val="34"/>
        </w:rPr>
        <w:t xml:space="preserve"> </w:t>
      </w:r>
      <w:r w:rsidRPr="0031675F">
        <w:rPr>
          <w:rFonts w:cs="Calibri"/>
        </w:rPr>
        <w:t>is</w:t>
      </w:r>
      <w:r w:rsidRPr="0031675F">
        <w:rPr>
          <w:rFonts w:cs="Calibri"/>
          <w:spacing w:val="34"/>
        </w:rPr>
        <w:t xml:space="preserve"> </w:t>
      </w:r>
      <w:r w:rsidRPr="0031675F">
        <w:rPr>
          <w:rFonts w:cs="Calibri"/>
        </w:rPr>
        <w:t>kept</w:t>
      </w:r>
      <w:r w:rsidRPr="0031675F">
        <w:rPr>
          <w:rFonts w:cs="Calibri"/>
          <w:spacing w:val="33"/>
        </w:rPr>
        <w:t xml:space="preserve"> </w:t>
      </w:r>
      <w:r w:rsidRPr="0031675F">
        <w:rPr>
          <w:rFonts w:cs="Calibri"/>
        </w:rPr>
        <w:t>to</w:t>
      </w:r>
      <w:r w:rsidRPr="0031675F">
        <w:rPr>
          <w:rFonts w:cs="Calibri"/>
          <w:spacing w:val="35"/>
        </w:rPr>
        <w:t xml:space="preserve"> </w:t>
      </w:r>
      <w:r w:rsidRPr="0031675F">
        <w:rPr>
          <w:rFonts w:cs="Calibri"/>
        </w:rPr>
        <w:t>a</w:t>
      </w:r>
      <w:r w:rsidRPr="0031675F">
        <w:rPr>
          <w:rFonts w:cs="Calibri"/>
          <w:spacing w:val="34"/>
        </w:rPr>
        <w:t xml:space="preserve"> </w:t>
      </w:r>
      <w:r w:rsidRPr="0031675F">
        <w:rPr>
          <w:rFonts w:cs="Calibri"/>
        </w:rPr>
        <w:t>minimum.</w:t>
      </w:r>
      <w:r w:rsidRPr="0031675F">
        <w:rPr>
          <w:rFonts w:cs="Calibri"/>
          <w:spacing w:val="32"/>
        </w:rPr>
        <w:t xml:space="preserve"> </w:t>
      </w:r>
      <w:r w:rsidRPr="0031675F">
        <w:rPr>
          <w:rFonts w:cs="Calibri"/>
        </w:rPr>
        <w:t>The</w:t>
      </w:r>
      <w:r w:rsidRPr="0031675F">
        <w:rPr>
          <w:rFonts w:cs="Calibri"/>
          <w:spacing w:val="34"/>
        </w:rPr>
        <w:t xml:space="preserve"> </w:t>
      </w:r>
      <w:r w:rsidRPr="0031675F">
        <w:rPr>
          <w:rFonts w:cs="Calibri"/>
        </w:rPr>
        <w:t>software</w:t>
      </w:r>
      <w:r w:rsidRPr="0031675F">
        <w:rPr>
          <w:rFonts w:cs="Calibri"/>
          <w:spacing w:val="34"/>
        </w:rPr>
        <w:t xml:space="preserve"> </w:t>
      </w:r>
      <w:r w:rsidRPr="0031675F">
        <w:rPr>
          <w:rFonts w:cs="Calibri"/>
        </w:rPr>
        <w:t>forming</w:t>
      </w:r>
      <w:r w:rsidRPr="0031675F">
        <w:rPr>
          <w:rFonts w:cs="Calibri"/>
          <w:spacing w:val="33"/>
        </w:rPr>
        <w:t xml:space="preserve"> </w:t>
      </w:r>
      <w:r w:rsidRPr="0031675F">
        <w:rPr>
          <w:rFonts w:cs="Calibri"/>
        </w:rPr>
        <w:t>the</w:t>
      </w:r>
      <w:r w:rsidRPr="0031675F">
        <w:rPr>
          <w:rFonts w:cs="Calibri"/>
          <w:spacing w:val="33"/>
        </w:rPr>
        <w:t xml:space="preserve"> </w:t>
      </w:r>
      <w:r w:rsidRPr="0031675F">
        <w:rPr>
          <w:rFonts w:cs="Calibri"/>
        </w:rPr>
        <w:t>application’s</w:t>
      </w:r>
      <w:r w:rsidRPr="0031675F">
        <w:rPr>
          <w:rFonts w:cs="Calibri"/>
          <w:spacing w:val="61"/>
        </w:rPr>
        <w:t xml:space="preserve"> </w:t>
      </w:r>
      <w:r w:rsidRPr="0031675F">
        <w:t>backend</w:t>
      </w:r>
      <w:r w:rsidRPr="0031675F">
        <w:rPr>
          <w:spacing w:val="2"/>
        </w:rPr>
        <w:t xml:space="preserve"> </w:t>
      </w:r>
      <w:r w:rsidRPr="0031675F">
        <w:t>is</w:t>
      </w:r>
      <w:r w:rsidRPr="0031675F">
        <w:rPr>
          <w:spacing w:val="3"/>
        </w:rPr>
        <w:t xml:space="preserve"> </w:t>
      </w:r>
      <w:r w:rsidRPr="0031675F">
        <w:t>integrated</w:t>
      </w:r>
      <w:r w:rsidRPr="0031675F">
        <w:rPr>
          <w:spacing w:val="2"/>
        </w:rPr>
        <w:t xml:space="preserve"> </w:t>
      </w:r>
      <w:r w:rsidRPr="0031675F">
        <w:t>with</w:t>
      </w:r>
      <w:r w:rsidRPr="0031675F">
        <w:rPr>
          <w:spacing w:val="2"/>
        </w:rPr>
        <w:t xml:space="preserve"> </w:t>
      </w:r>
      <w:r w:rsidRPr="0031675F">
        <w:t>the</w:t>
      </w:r>
      <w:r w:rsidRPr="0031675F">
        <w:rPr>
          <w:spacing w:val="3"/>
        </w:rPr>
        <w:t xml:space="preserve"> </w:t>
      </w:r>
      <w:r w:rsidRPr="0031675F">
        <w:t>five</w:t>
      </w:r>
      <w:r w:rsidRPr="0031675F">
        <w:rPr>
          <w:spacing w:val="4"/>
        </w:rPr>
        <w:t xml:space="preserve"> </w:t>
      </w:r>
      <w:r w:rsidRPr="0031675F">
        <w:t>decimal</w:t>
      </w:r>
      <w:r w:rsidRPr="0031675F">
        <w:rPr>
          <w:spacing w:val="3"/>
        </w:rPr>
        <w:t xml:space="preserve"> </w:t>
      </w:r>
      <w:r w:rsidRPr="0031675F">
        <w:t>place</w:t>
      </w:r>
      <w:r w:rsidRPr="0031675F">
        <w:rPr>
          <w:spacing w:val="49"/>
        </w:rPr>
        <w:t xml:space="preserve"> </w:t>
      </w:r>
      <w:r w:rsidRPr="0031675F">
        <w:t>precision</w:t>
      </w:r>
      <w:r w:rsidRPr="0031675F">
        <w:rPr>
          <w:spacing w:val="2"/>
        </w:rPr>
        <w:t xml:space="preserve"> </w:t>
      </w:r>
      <w:r w:rsidRPr="0031675F">
        <w:t>weight</w:t>
      </w:r>
      <w:r w:rsidRPr="0031675F">
        <w:rPr>
          <w:spacing w:val="3"/>
        </w:rPr>
        <w:t xml:space="preserve"> </w:t>
      </w:r>
      <w:r w:rsidRPr="0031675F">
        <w:t>scales</w:t>
      </w:r>
      <w:r w:rsidRPr="0031675F">
        <w:rPr>
          <w:spacing w:val="4"/>
        </w:rPr>
        <w:t xml:space="preserve"> </w:t>
      </w:r>
      <w:r w:rsidRPr="0031675F">
        <w:rPr>
          <w:spacing w:val="-2"/>
        </w:rPr>
        <w:t>and</w:t>
      </w:r>
      <w:r w:rsidRPr="0031675F">
        <w:rPr>
          <w:spacing w:val="2"/>
        </w:rPr>
        <w:t xml:space="preserve"> </w:t>
      </w:r>
      <w:r w:rsidRPr="0031675F">
        <w:t>an</w:t>
      </w:r>
      <w:r w:rsidRPr="0031675F">
        <w:rPr>
          <w:spacing w:val="2"/>
        </w:rPr>
        <w:t xml:space="preserve"> </w:t>
      </w:r>
      <w:r w:rsidRPr="0031675F">
        <w:t>oracle</w:t>
      </w:r>
      <w:r w:rsidRPr="0031675F">
        <w:rPr>
          <w:spacing w:val="3"/>
        </w:rPr>
        <w:t xml:space="preserve"> </w:t>
      </w:r>
      <w:r w:rsidRPr="0031675F">
        <w:t>database</w:t>
      </w:r>
      <w:r w:rsidRPr="0031675F">
        <w:rPr>
          <w:spacing w:val="72"/>
        </w:rPr>
        <w:t xml:space="preserve"> </w:t>
      </w:r>
      <w:r w:rsidRPr="0031675F">
        <w:t>dedicated</w:t>
      </w:r>
      <w:r w:rsidRPr="0031675F">
        <w:rPr>
          <w:spacing w:val="39"/>
        </w:rPr>
        <w:t xml:space="preserve"> </w:t>
      </w:r>
      <w:r w:rsidRPr="0031675F">
        <w:t>to</w:t>
      </w:r>
      <w:r w:rsidRPr="0031675F">
        <w:rPr>
          <w:spacing w:val="43"/>
        </w:rPr>
        <w:t xml:space="preserve"> </w:t>
      </w:r>
      <w:r w:rsidRPr="0031675F">
        <w:t>storing</w:t>
      </w:r>
      <w:r w:rsidRPr="0031675F">
        <w:rPr>
          <w:spacing w:val="40"/>
        </w:rPr>
        <w:t xml:space="preserve"> </w:t>
      </w:r>
      <w:r w:rsidRPr="0031675F">
        <w:t>filter</w:t>
      </w:r>
      <w:r w:rsidRPr="0031675F">
        <w:rPr>
          <w:spacing w:val="37"/>
        </w:rPr>
        <w:t xml:space="preserve"> </w:t>
      </w:r>
      <w:r w:rsidRPr="0031675F">
        <w:t>weights.</w:t>
      </w:r>
      <w:r w:rsidRPr="0031675F">
        <w:rPr>
          <w:spacing w:val="41"/>
        </w:rPr>
        <w:t xml:space="preserve"> </w:t>
      </w:r>
      <w:r w:rsidRPr="0031675F">
        <w:t>The</w:t>
      </w:r>
      <w:r w:rsidRPr="0031675F">
        <w:rPr>
          <w:spacing w:val="41"/>
        </w:rPr>
        <w:t xml:space="preserve"> </w:t>
      </w:r>
      <w:r w:rsidRPr="0031675F">
        <w:t>integration</w:t>
      </w:r>
      <w:r w:rsidRPr="0031675F">
        <w:rPr>
          <w:spacing w:val="40"/>
        </w:rPr>
        <w:t xml:space="preserve"> </w:t>
      </w:r>
      <w:r w:rsidRPr="0031675F">
        <w:t>with</w:t>
      </w:r>
      <w:r w:rsidRPr="0031675F">
        <w:rPr>
          <w:spacing w:val="40"/>
        </w:rPr>
        <w:t xml:space="preserve"> </w:t>
      </w:r>
      <w:r w:rsidRPr="0031675F">
        <w:t>the</w:t>
      </w:r>
      <w:r w:rsidRPr="0031675F">
        <w:rPr>
          <w:spacing w:val="41"/>
        </w:rPr>
        <w:t xml:space="preserve"> </w:t>
      </w:r>
      <w:r w:rsidRPr="0031675F">
        <w:t>scales</w:t>
      </w:r>
      <w:r w:rsidRPr="0031675F">
        <w:rPr>
          <w:spacing w:val="42"/>
        </w:rPr>
        <w:t xml:space="preserve"> </w:t>
      </w:r>
      <w:r w:rsidRPr="0031675F">
        <w:t>is</w:t>
      </w:r>
      <w:r w:rsidRPr="0031675F">
        <w:rPr>
          <w:spacing w:val="40"/>
        </w:rPr>
        <w:t xml:space="preserve"> </w:t>
      </w:r>
      <w:r w:rsidRPr="0031675F">
        <w:t>such</w:t>
      </w:r>
      <w:r w:rsidRPr="0031675F">
        <w:rPr>
          <w:spacing w:val="40"/>
        </w:rPr>
        <w:t xml:space="preserve"> </w:t>
      </w:r>
      <w:r w:rsidRPr="0031675F">
        <w:t>that</w:t>
      </w:r>
      <w:r w:rsidRPr="0031675F">
        <w:rPr>
          <w:spacing w:val="41"/>
        </w:rPr>
        <w:t xml:space="preserve"> </w:t>
      </w:r>
      <w:r w:rsidRPr="0031675F">
        <w:t>when</w:t>
      </w:r>
      <w:r w:rsidRPr="0031675F">
        <w:rPr>
          <w:spacing w:val="40"/>
        </w:rPr>
        <w:t xml:space="preserve"> </w:t>
      </w:r>
      <w:r w:rsidRPr="0031675F">
        <w:t>the</w:t>
      </w:r>
      <w:r w:rsidRPr="0031675F">
        <w:rPr>
          <w:spacing w:val="40"/>
        </w:rPr>
        <w:t xml:space="preserve"> </w:t>
      </w:r>
      <w:r w:rsidRPr="0031675F">
        <w:t>weight</w:t>
      </w:r>
      <w:r w:rsidRPr="0031675F">
        <w:rPr>
          <w:spacing w:val="41"/>
        </w:rPr>
        <w:t xml:space="preserve"> </w:t>
      </w:r>
      <w:r w:rsidRPr="0031675F">
        <w:t>is</w:t>
      </w:r>
      <w:r w:rsidRPr="0031675F">
        <w:rPr>
          <w:spacing w:val="63"/>
        </w:rPr>
        <w:t xml:space="preserve"> </w:t>
      </w:r>
      <w:r w:rsidRPr="0031675F">
        <w:t>finalised</w:t>
      </w:r>
      <w:r w:rsidRPr="0031675F">
        <w:rPr>
          <w:spacing w:val="7"/>
        </w:rPr>
        <w:t xml:space="preserve"> </w:t>
      </w:r>
      <w:r w:rsidRPr="0031675F">
        <w:t>on</w:t>
      </w:r>
      <w:r w:rsidRPr="0031675F">
        <w:rPr>
          <w:spacing w:val="6"/>
        </w:rPr>
        <w:t xml:space="preserve"> </w:t>
      </w:r>
      <w:r w:rsidRPr="0031675F">
        <w:t>the</w:t>
      </w:r>
      <w:r w:rsidRPr="0031675F">
        <w:rPr>
          <w:spacing w:val="7"/>
        </w:rPr>
        <w:t xml:space="preserve"> </w:t>
      </w:r>
      <w:r w:rsidRPr="0031675F">
        <w:t>scales,</w:t>
      </w:r>
      <w:r w:rsidRPr="0031675F">
        <w:rPr>
          <w:spacing w:val="5"/>
        </w:rPr>
        <w:t xml:space="preserve"> </w:t>
      </w:r>
      <w:r w:rsidRPr="0031675F">
        <w:t>that</w:t>
      </w:r>
      <w:r w:rsidRPr="0031675F">
        <w:rPr>
          <w:spacing w:val="7"/>
        </w:rPr>
        <w:t xml:space="preserve"> </w:t>
      </w:r>
      <w:r w:rsidRPr="0031675F">
        <w:t>value</w:t>
      </w:r>
      <w:r w:rsidRPr="0031675F">
        <w:rPr>
          <w:spacing w:val="8"/>
        </w:rPr>
        <w:t xml:space="preserve"> </w:t>
      </w:r>
      <w:r w:rsidRPr="0031675F">
        <w:t>is</w:t>
      </w:r>
      <w:r w:rsidRPr="0031675F">
        <w:rPr>
          <w:spacing w:val="7"/>
        </w:rPr>
        <w:t xml:space="preserve"> </w:t>
      </w:r>
      <w:r w:rsidRPr="0031675F">
        <w:t>automatically</w:t>
      </w:r>
      <w:r w:rsidRPr="0031675F">
        <w:rPr>
          <w:spacing w:val="8"/>
        </w:rPr>
        <w:t xml:space="preserve"> </w:t>
      </w:r>
      <w:r w:rsidRPr="0031675F">
        <w:t>placed</w:t>
      </w:r>
      <w:r w:rsidRPr="0031675F">
        <w:rPr>
          <w:spacing w:val="7"/>
        </w:rPr>
        <w:t xml:space="preserve"> </w:t>
      </w:r>
      <w:r w:rsidRPr="0031675F">
        <w:t>in</w:t>
      </w:r>
      <w:r w:rsidRPr="0031675F">
        <w:rPr>
          <w:spacing w:val="6"/>
        </w:rPr>
        <w:t xml:space="preserve"> </w:t>
      </w:r>
      <w:r w:rsidRPr="0031675F">
        <w:t>the</w:t>
      </w:r>
      <w:r w:rsidRPr="0031675F">
        <w:rPr>
          <w:spacing w:val="7"/>
        </w:rPr>
        <w:t xml:space="preserve"> </w:t>
      </w:r>
      <w:r w:rsidRPr="0031675F">
        <w:t>web</w:t>
      </w:r>
      <w:r w:rsidRPr="0031675F">
        <w:rPr>
          <w:spacing w:val="7"/>
        </w:rPr>
        <w:t xml:space="preserve"> </w:t>
      </w:r>
      <w:r w:rsidRPr="0031675F">
        <w:t>applications</w:t>
      </w:r>
      <w:r w:rsidRPr="0031675F">
        <w:rPr>
          <w:spacing w:val="7"/>
        </w:rPr>
        <w:t xml:space="preserve"> </w:t>
      </w:r>
      <w:r w:rsidRPr="0031675F">
        <w:t>form</w:t>
      </w:r>
      <w:r w:rsidRPr="0031675F">
        <w:rPr>
          <w:spacing w:val="8"/>
        </w:rPr>
        <w:t xml:space="preserve"> </w:t>
      </w:r>
      <w:r w:rsidRPr="0031675F">
        <w:rPr>
          <w:spacing w:val="1"/>
        </w:rPr>
        <w:t>for</w:t>
      </w:r>
      <w:r w:rsidRPr="0031675F">
        <w:rPr>
          <w:spacing w:val="5"/>
        </w:rPr>
        <w:t xml:space="preserve"> </w:t>
      </w:r>
      <w:r w:rsidRPr="0031675F">
        <w:t>the</w:t>
      </w:r>
      <w:r w:rsidRPr="0031675F">
        <w:rPr>
          <w:spacing w:val="7"/>
        </w:rPr>
        <w:t xml:space="preserve"> </w:t>
      </w:r>
      <w:r w:rsidRPr="0031675F">
        <w:t>particular weight</w:t>
      </w:r>
      <w:r w:rsidRPr="0031675F">
        <w:rPr>
          <w:spacing w:val="36"/>
        </w:rPr>
        <w:t xml:space="preserve"> </w:t>
      </w:r>
      <w:r w:rsidRPr="0031675F">
        <w:t>with</w:t>
      </w:r>
      <w:r w:rsidRPr="0031675F">
        <w:rPr>
          <w:spacing w:val="38"/>
        </w:rPr>
        <w:t xml:space="preserve"> </w:t>
      </w:r>
      <w:r w:rsidRPr="0031675F">
        <w:t>no</w:t>
      </w:r>
      <w:r w:rsidRPr="0031675F">
        <w:rPr>
          <w:spacing w:val="37"/>
        </w:rPr>
        <w:t xml:space="preserve"> </w:t>
      </w:r>
      <w:r w:rsidRPr="0031675F">
        <w:t>manual</w:t>
      </w:r>
      <w:r w:rsidRPr="0031675F">
        <w:rPr>
          <w:spacing w:val="37"/>
        </w:rPr>
        <w:t xml:space="preserve"> </w:t>
      </w:r>
      <w:r w:rsidRPr="0031675F">
        <w:t>weight</w:t>
      </w:r>
      <w:r w:rsidRPr="0031675F">
        <w:rPr>
          <w:spacing w:val="39"/>
        </w:rPr>
        <w:t xml:space="preserve"> </w:t>
      </w:r>
      <w:r w:rsidRPr="0031675F">
        <w:t>entry</w:t>
      </w:r>
      <w:r w:rsidRPr="0031675F">
        <w:rPr>
          <w:spacing w:val="39"/>
        </w:rPr>
        <w:t xml:space="preserve"> </w:t>
      </w:r>
      <w:r w:rsidRPr="0031675F">
        <w:t>required.</w:t>
      </w:r>
      <w:r w:rsidRPr="0031675F">
        <w:rPr>
          <w:spacing w:val="38"/>
        </w:rPr>
        <w:t xml:space="preserve"> </w:t>
      </w:r>
      <w:r w:rsidRPr="0031675F">
        <w:t>For</w:t>
      </w:r>
      <w:r w:rsidRPr="0031675F">
        <w:rPr>
          <w:spacing w:val="35"/>
        </w:rPr>
        <w:t xml:space="preserve"> </w:t>
      </w:r>
      <w:r w:rsidRPr="0031675F">
        <w:t>every</w:t>
      </w:r>
      <w:r w:rsidRPr="0031675F">
        <w:rPr>
          <w:spacing w:val="39"/>
        </w:rPr>
        <w:t xml:space="preserve"> </w:t>
      </w:r>
      <w:r w:rsidRPr="0031675F">
        <w:t>filter,</w:t>
      </w:r>
      <w:r w:rsidRPr="0031675F">
        <w:rPr>
          <w:spacing w:val="39"/>
        </w:rPr>
        <w:t xml:space="preserve"> </w:t>
      </w:r>
      <w:r w:rsidRPr="0031675F">
        <w:t>an</w:t>
      </w:r>
      <w:r w:rsidRPr="0031675F">
        <w:rPr>
          <w:spacing w:val="37"/>
        </w:rPr>
        <w:t xml:space="preserve"> </w:t>
      </w:r>
      <w:r w:rsidRPr="0031675F">
        <w:t>initial</w:t>
      </w:r>
      <w:r w:rsidRPr="0031675F">
        <w:rPr>
          <w:spacing w:val="38"/>
        </w:rPr>
        <w:t xml:space="preserve"> </w:t>
      </w:r>
      <w:r w:rsidRPr="0031675F">
        <w:rPr>
          <w:spacing w:val="-2"/>
        </w:rPr>
        <w:t>weight</w:t>
      </w:r>
      <w:r w:rsidRPr="0031675F">
        <w:rPr>
          <w:spacing w:val="39"/>
        </w:rPr>
        <w:t xml:space="preserve"> </w:t>
      </w:r>
      <w:r w:rsidRPr="0031675F">
        <w:t>is</w:t>
      </w:r>
      <w:r w:rsidRPr="0031675F">
        <w:rPr>
          <w:spacing w:val="38"/>
        </w:rPr>
        <w:t xml:space="preserve"> </w:t>
      </w:r>
      <w:r w:rsidRPr="0031675F">
        <w:t>taken</w:t>
      </w:r>
      <w:r w:rsidRPr="0031675F">
        <w:rPr>
          <w:spacing w:val="37"/>
        </w:rPr>
        <w:t xml:space="preserve"> </w:t>
      </w:r>
      <w:r w:rsidRPr="0031675F">
        <w:t>before</w:t>
      </w:r>
      <w:r w:rsidRPr="0031675F">
        <w:rPr>
          <w:spacing w:val="36"/>
        </w:rPr>
        <w:t xml:space="preserve"> </w:t>
      </w:r>
      <w:r w:rsidRPr="0031675F">
        <w:t>the</w:t>
      </w:r>
      <w:r w:rsidRPr="0031675F">
        <w:rPr>
          <w:spacing w:val="71"/>
        </w:rPr>
        <w:t xml:space="preserve"> </w:t>
      </w:r>
      <w:r w:rsidRPr="0031675F">
        <w:t>sampling,</w:t>
      </w:r>
      <w:r w:rsidRPr="0031675F">
        <w:rPr>
          <w:spacing w:val="5"/>
        </w:rPr>
        <w:t xml:space="preserve"> </w:t>
      </w:r>
      <w:r w:rsidRPr="0031675F">
        <w:t>and</w:t>
      </w:r>
      <w:r w:rsidRPr="0031675F">
        <w:rPr>
          <w:spacing w:val="4"/>
        </w:rPr>
        <w:t xml:space="preserve"> </w:t>
      </w:r>
      <w:r w:rsidRPr="0031675F">
        <w:t>a</w:t>
      </w:r>
      <w:r w:rsidRPr="0031675F">
        <w:rPr>
          <w:spacing w:val="5"/>
        </w:rPr>
        <w:t xml:space="preserve"> </w:t>
      </w:r>
      <w:r w:rsidRPr="0031675F">
        <w:t>final</w:t>
      </w:r>
      <w:r w:rsidRPr="0031675F">
        <w:rPr>
          <w:spacing w:val="4"/>
        </w:rPr>
        <w:t xml:space="preserve"> </w:t>
      </w:r>
      <w:r w:rsidRPr="0031675F">
        <w:t>weight</w:t>
      </w:r>
      <w:r w:rsidRPr="0031675F">
        <w:rPr>
          <w:spacing w:val="5"/>
        </w:rPr>
        <w:t xml:space="preserve"> </w:t>
      </w:r>
      <w:r w:rsidRPr="0031675F">
        <w:t>is</w:t>
      </w:r>
      <w:r w:rsidRPr="0031675F">
        <w:rPr>
          <w:spacing w:val="4"/>
        </w:rPr>
        <w:t xml:space="preserve"> </w:t>
      </w:r>
      <w:r w:rsidRPr="0031675F">
        <w:t>taken</w:t>
      </w:r>
      <w:r w:rsidRPr="0031675F">
        <w:rPr>
          <w:spacing w:val="4"/>
        </w:rPr>
        <w:t xml:space="preserve"> </w:t>
      </w:r>
      <w:r w:rsidRPr="0031675F">
        <w:t>after</w:t>
      </w:r>
      <w:r w:rsidRPr="0031675F">
        <w:rPr>
          <w:spacing w:val="5"/>
        </w:rPr>
        <w:t xml:space="preserve"> </w:t>
      </w:r>
      <w:r w:rsidRPr="0031675F">
        <w:t>sampling,</w:t>
      </w:r>
      <w:r w:rsidRPr="0031675F">
        <w:rPr>
          <w:spacing w:val="5"/>
        </w:rPr>
        <w:t xml:space="preserve"> </w:t>
      </w:r>
      <w:r w:rsidRPr="0031675F">
        <w:t>both</w:t>
      </w:r>
      <w:r w:rsidRPr="0031675F">
        <w:rPr>
          <w:spacing w:val="4"/>
        </w:rPr>
        <w:t xml:space="preserve"> </w:t>
      </w:r>
      <w:r w:rsidRPr="0031675F">
        <w:t>weights</w:t>
      </w:r>
      <w:r w:rsidRPr="0031675F">
        <w:rPr>
          <w:spacing w:val="5"/>
        </w:rPr>
        <w:t xml:space="preserve"> </w:t>
      </w:r>
      <w:r w:rsidRPr="0031675F">
        <w:t>are</w:t>
      </w:r>
      <w:r w:rsidRPr="0031675F">
        <w:rPr>
          <w:spacing w:val="5"/>
        </w:rPr>
        <w:t xml:space="preserve"> </w:t>
      </w:r>
      <w:r w:rsidRPr="0031675F">
        <w:t>performed</w:t>
      </w:r>
      <w:r w:rsidRPr="0031675F">
        <w:rPr>
          <w:spacing w:val="2"/>
        </w:rPr>
        <w:t xml:space="preserve"> </w:t>
      </w:r>
      <w:r w:rsidRPr="0031675F">
        <w:t>in</w:t>
      </w:r>
      <w:r w:rsidRPr="0031675F">
        <w:rPr>
          <w:spacing w:val="4"/>
        </w:rPr>
        <w:t xml:space="preserve"> </w:t>
      </w:r>
      <w:r w:rsidRPr="0031675F">
        <w:t>the</w:t>
      </w:r>
      <w:r w:rsidRPr="0031675F">
        <w:rPr>
          <w:spacing w:val="5"/>
        </w:rPr>
        <w:t xml:space="preserve"> </w:t>
      </w:r>
      <w:r w:rsidRPr="0031675F">
        <w:t>laboratory</w:t>
      </w:r>
      <w:r w:rsidRPr="0031675F">
        <w:rPr>
          <w:spacing w:val="5"/>
        </w:rPr>
        <w:t xml:space="preserve"> </w:t>
      </w:r>
      <w:r w:rsidRPr="0031675F">
        <w:t>using</w:t>
      </w:r>
      <w:r w:rsidRPr="0031675F">
        <w:rPr>
          <w:spacing w:val="53"/>
        </w:rPr>
        <w:t xml:space="preserve"> </w:t>
      </w:r>
      <w:r w:rsidRPr="0031675F">
        <w:t>the same</w:t>
      </w:r>
      <w:r w:rsidRPr="0031675F">
        <w:rPr>
          <w:spacing w:val="-2"/>
        </w:rPr>
        <w:t xml:space="preserve"> </w:t>
      </w:r>
      <w:r w:rsidRPr="0031675F">
        <w:t>scales</w:t>
      </w:r>
      <w:r w:rsidRPr="0031675F">
        <w:rPr>
          <w:spacing w:val="-2"/>
        </w:rPr>
        <w:t xml:space="preserve"> </w:t>
      </w:r>
      <w:r w:rsidRPr="0031675F">
        <w:t>and</w:t>
      </w:r>
      <w:r w:rsidRPr="0031675F">
        <w:rPr>
          <w:spacing w:val="-2"/>
        </w:rPr>
        <w:t xml:space="preserve"> </w:t>
      </w:r>
      <w:r w:rsidRPr="0031675F">
        <w:t>Web Application.</w:t>
      </w:r>
    </w:p>
    <w:p w14:paraId="305CA802" w14:textId="77777777" w:rsidR="0031675F" w:rsidRPr="0031675F" w:rsidRDefault="0031675F" w:rsidP="0057756F">
      <w:r w:rsidRPr="0031675F">
        <w:t>The</w:t>
      </w:r>
      <w:r w:rsidRPr="0031675F">
        <w:rPr>
          <w:spacing w:val="22"/>
        </w:rPr>
        <w:t xml:space="preserve"> </w:t>
      </w:r>
      <w:r w:rsidRPr="0031675F">
        <w:rPr>
          <w:rFonts w:cs="Calibri"/>
          <w:b/>
          <w:bCs/>
        </w:rPr>
        <w:t>FDES</w:t>
      </w:r>
      <w:r w:rsidRPr="0031675F">
        <w:rPr>
          <w:rFonts w:cs="Calibri"/>
          <w:b/>
          <w:bCs/>
          <w:spacing w:val="20"/>
        </w:rPr>
        <w:t xml:space="preserve"> </w:t>
      </w:r>
      <w:r w:rsidRPr="0031675F">
        <w:rPr>
          <w:rFonts w:cs="Calibri"/>
          <w:b/>
          <w:bCs/>
        </w:rPr>
        <w:t>Import</w:t>
      </w:r>
      <w:r w:rsidRPr="0031675F">
        <w:rPr>
          <w:rFonts w:cs="Calibri"/>
          <w:b/>
          <w:bCs/>
          <w:spacing w:val="22"/>
        </w:rPr>
        <w:t xml:space="preserve"> </w:t>
      </w:r>
      <w:r w:rsidRPr="0031675F">
        <w:rPr>
          <w:rFonts w:cs="Calibri"/>
          <w:b/>
          <w:bCs/>
        </w:rPr>
        <w:t>Web</w:t>
      </w:r>
      <w:r w:rsidRPr="0031675F">
        <w:rPr>
          <w:rFonts w:cs="Calibri"/>
          <w:b/>
          <w:bCs/>
          <w:spacing w:val="21"/>
        </w:rPr>
        <w:t xml:space="preserve"> </w:t>
      </w:r>
      <w:r w:rsidRPr="0031675F">
        <w:rPr>
          <w:rFonts w:cs="Calibri"/>
          <w:b/>
          <w:bCs/>
        </w:rPr>
        <w:t>Application</w:t>
      </w:r>
      <w:r w:rsidRPr="0031675F">
        <w:rPr>
          <w:rFonts w:cs="Calibri"/>
          <w:b/>
          <w:bCs/>
          <w:spacing w:val="23"/>
        </w:rPr>
        <w:t xml:space="preserve"> </w:t>
      </w:r>
      <w:r w:rsidRPr="0031675F">
        <w:t>is</w:t>
      </w:r>
      <w:r w:rsidRPr="0031675F">
        <w:rPr>
          <w:spacing w:val="21"/>
        </w:rPr>
        <w:t xml:space="preserve"> </w:t>
      </w:r>
      <w:r w:rsidRPr="0031675F">
        <w:t>another</w:t>
      </w:r>
      <w:r w:rsidRPr="0031675F">
        <w:rPr>
          <w:spacing w:val="22"/>
        </w:rPr>
        <w:t xml:space="preserve"> </w:t>
      </w:r>
      <w:r w:rsidRPr="0031675F">
        <w:t>J2EE</w:t>
      </w:r>
      <w:r w:rsidRPr="0031675F">
        <w:rPr>
          <w:spacing w:val="22"/>
        </w:rPr>
        <w:t xml:space="preserve"> </w:t>
      </w:r>
      <w:r w:rsidRPr="0031675F">
        <w:t>based</w:t>
      </w:r>
      <w:r w:rsidRPr="0031675F">
        <w:rPr>
          <w:spacing w:val="21"/>
        </w:rPr>
        <w:t xml:space="preserve"> </w:t>
      </w:r>
      <w:r w:rsidRPr="0031675F">
        <w:t>application</w:t>
      </w:r>
      <w:r w:rsidRPr="0031675F">
        <w:rPr>
          <w:spacing w:val="21"/>
        </w:rPr>
        <w:t xml:space="preserve"> </w:t>
      </w:r>
      <w:r w:rsidRPr="0031675F">
        <w:t>that</w:t>
      </w:r>
      <w:r w:rsidRPr="0031675F">
        <w:rPr>
          <w:spacing w:val="21"/>
        </w:rPr>
        <w:t xml:space="preserve"> </w:t>
      </w:r>
      <w:r w:rsidRPr="0031675F">
        <w:t>is</w:t>
      </w:r>
      <w:r w:rsidRPr="0031675F">
        <w:rPr>
          <w:spacing w:val="21"/>
        </w:rPr>
        <w:t xml:space="preserve"> </w:t>
      </w:r>
      <w:r w:rsidRPr="0031675F">
        <w:t>accessed</w:t>
      </w:r>
      <w:r w:rsidRPr="0031675F">
        <w:rPr>
          <w:spacing w:val="21"/>
        </w:rPr>
        <w:t xml:space="preserve"> </w:t>
      </w:r>
      <w:r w:rsidRPr="0031675F">
        <w:t>via</w:t>
      </w:r>
      <w:r w:rsidRPr="0031675F">
        <w:rPr>
          <w:spacing w:val="21"/>
        </w:rPr>
        <w:t xml:space="preserve"> </w:t>
      </w:r>
      <w:r w:rsidRPr="0031675F">
        <w:t>any</w:t>
      </w:r>
      <w:r w:rsidRPr="0031675F">
        <w:rPr>
          <w:spacing w:val="22"/>
        </w:rPr>
        <w:t xml:space="preserve"> </w:t>
      </w:r>
      <w:r w:rsidRPr="0031675F">
        <w:t>browser</w:t>
      </w:r>
      <w:r w:rsidRPr="0031675F">
        <w:rPr>
          <w:spacing w:val="50"/>
        </w:rPr>
        <w:t xml:space="preserve"> </w:t>
      </w:r>
      <w:r w:rsidRPr="0031675F">
        <w:t>within</w:t>
      </w:r>
      <w:r w:rsidRPr="0031675F">
        <w:rPr>
          <w:spacing w:val="15"/>
        </w:rPr>
        <w:t xml:space="preserve"> </w:t>
      </w:r>
      <w:r w:rsidRPr="0031675F">
        <w:t>the</w:t>
      </w:r>
      <w:r w:rsidRPr="0031675F">
        <w:rPr>
          <w:spacing w:val="17"/>
        </w:rPr>
        <w:t xml:space="preserve"> </w:t>
      </w:r>
      <w:r w:rsidRPr="0031675F">
        <w:t>AIMS</w:t>
      </w:r>
      <w:r w:rsidRPr="0031675F">
        <w:rPr>
          <w:spacing w:val="16"/>
        </w:rPr>
        <w:t xml:space="preserve"> </w:t>
      </w:r>
      <w:r w:rsidRPr="0031675F">
        <w:t>internal</w:t>
      </w:r>
      <w:r w:rsidRPr="0031675F">
        <w:rPr>
          <w:spacing w:val="16"/>
        </w:rPr>
        <w:t xml:space="preserve"> </w:t>
      </w:r>
      <w:r w:rsidRPr="0031675F">
        <w:t>network.</w:t>
      </w:r>
      <w:r w:rsidRPr="0031675F">
        <w:rPr>
          <w:spacing w:val="14"/>
        </w:rPr>
        <w:t xml:space="preserve"> </w:t>
      </w:r>
      <w:r w:rsidRPr="0031675F">
        <w:t>Data</w:t>
      </w:r>
      <w:r w:rsidRPr="0031675F">
        <w:rPr>
          <w:spacing w:val="17"/>
        </w:rPr>
        <w:t xml:space="preserve"> </w:t>
      </w:r>
      <w:r w:rsidRPr="0031675F">
        <w:t>entry</w:t>
      </w:r>
      <w:r w:rsidRPr="0031675F">
        <w:rPr>
          <w:spacing w:val="17"/>
        </w:rPr>
        <w:t xml:space="preserve"> </w:t>
      </w:r>
      <w:r w:rsidRPr="0031675F">
        <w:t>error</w:t>
      </w:r>
      <w:r w:rsidRPr="0031675F">
        <w:rPr>
          <w:spacing w:val="17"/>
        </w:rPr>
        <w:t xml:space="preserve"> </w:t>
      </w:r>
      <w:r w:rsidRPr="0031675F">
        <w:t>is</w:t>
      </w:r>
      <w:r w:rsidRPr="0031675F">
        <w:rPr>
          <w:spacing w:val="14"/>
        </w:rPr>
        <w:t xml:space="preserve"> </w:t>
      </w:r>
      <w:r w:rsidRPr="0031675F">
        <w:t>kept</w:t>
      </w:r>
      <w:r w:rsidRPr="0031675F">
        <w:rPr>
          <w:spacing w:val="17"/>
        </w:rPr>
        <w:t xml:space="preserve"> </w:t>
      </w:r>
      <w:r w:rsidRPr="0031675F">
        <w:t>to</w:t>
      </w:r>
      <w:r w:rsidRPr="0031675F">
        <w:rPr>
          <w:spacing w:val="18"/>
        </w:rPr>
        <w:t xml:space="preserve"> </w:t>
      </w:r>
      <w:r w:rsidRPr="0031675F">
        <w:t>a</w:t>
      </w:r>
      <w:r w:rsidRPr="0031675F">
        <w:rPr>
          <w:spacing w:val="17"/>
        </w:rPr>
        <w:t xml:space="preserve"> </w:t>
      </w:r>
      <w:r w:rsidRPr="0031675F">
        <w:t>minimum</w:t>
      </w:r>
      <w:r w:rsidRPr="0031675F">
        <w:rPr>
          <w:spacing w:val="18"/>
        </w:rPr>
        <w:t xml:space="preserve"> </w:t>
      </w:r>
      <w:r w:rsidRPr="0031675F">
        <w:rPr>
          <w:spacing w:val="-2"/>
        </w:rPr>
        <w:t>by</w:t>
      </w:r>
      <w:r w:rsidRPr="0031675F">
        <w:rPr>
          <w:spacing w:val="17"/>
        </w:rPr>
        <w:t xml:space="preserve"> </w:t>
      </w:r>
      <w:r w:rsidRPr="0031675F">
        <w:t>not</w:t>
      </w:r>
      <w:r w:rsidRPr="0031675F">
        <w:rPr>
          <w:spacing w:val="17"/>
        </w:rPr>
        <w:t xml:space="preserve"> </w:t>
      </w:r>
      <w:r w:rsidRPr="0031675F">
        <w:t>allowing</w:t>
      </w:r>
      <w:r w:rsidRPr="0031675F">
        <w:rPr>
          <w:spacing w:val="13"/>
        </w:rPr>
        <w:t xml:space="preserve"> </w:t>
      </w:r>
      <w:r w:rsidRPr="0031675F">
        <w:t>manual</w:t>
      </w:r>
      <w:r w:rsidRPr="0031675F">
        <w:rPr>
          <w:spacing w:val="16"/>
        </w:rPr>
        <w:t xml:space="preserve"> </w:t>
      </w:r>
      <w:r w:rsidRPr="0031675F">
        <w:t>data</w:t>
      </w:r>
      <w:r w:rsidRPr="0031675F">
        <w:rPr>
          <w:spacing w:val="53"/>
        </w:rPr>
        <w:t xml:space="preserve"> </w:t>
      </w:r>
      <w:r w:rsidRPr="0031675F">
        <w:t>entry.</w:t>
      </w:r>
      <w:r w:rsidRPr="0031675F">
        <w:rPr>
          <w:spacing w:val="16"/>
        </w:rPr>
        <w:t xml:space="preserve"> </w:t>
      </w:r>
      <w:r w:rsidRPr="0031675F">
        <w:rPr>
          <w:spacing w:val="-2"/>
        </w:rPr>
        <w:t>The</w:t>
      </w:r>
      <w:r w:rsidRPr="0031675F">
        <w:rPr>
          <w:spacing w:val="17"/>
        </w:rPr>
        <w:t xml:space="preserve"> </w:t>
      </w:r>
      <w:r w:rsidRPr="0031675F">
        <w:t>process</w:t>
      </w:r>
      <w:r w:rsidRPr="0031675F">
        <w:rPr>
          <w:spacing w:val="17"/>
        </w:rPr>
        <w:t xml:space="preserve"> </w:t>
      </w:r>
      <w:r w:rsidRPr="0031675F">
        <w:t>for</w:t>
      </w:r>
      <w:r w:rsidRPr="0031675F">
        <w:rPr>
          <w:spacing w:val="17"/>
        </w:rPr>
        <w:t xml:space="preserve"> </w:t>
      </w:r>
      <w:r w:rsidRPr="0031675F">
        <w:t>data</w:t>
      </w:r>
      <w:r w:rsidRPr="0031675F">
        <w:rPr>
          <w:spacing w:val="17"/>
        </w:rPr>
        <w:t xml:space="preserve"> </w:t>
      </w:r>
      <w:r w:rsidRPr="0031675F">
        <w:t>entry</w:t>
      </w:r>
      <w:r w:rsidRPr="0031675F">
        <w:rPr>
          <w:spacing w:val="17"/>
        </w:rPr>
        <w:t xml:space="preserve"> </w:t>
      </w:r>
      <w:r w:rsidRPr="0031675F">
        <w:t>for</w:t>
      </w:r>
      <w:r w:rsidRPr="0031675F">
        <w:rPr>
          <w:spacing w:val="17"/>
        </w:rPr>
        <w:t xml:space="preserve"> </w:t>
      </w:r>
      <w:r w:rsidRPr="0031675F">
        <w:t>the</w:t>
      </w:r>
      <w:r w:rsidRPr="0031675F">
        <w:rPr>
          <w:spacing w:val="17"/>
        </w:rPr>
        <w:t xml:space="preserve"> </w:t>
      </w:r>
      <w:r w:rsidRPr="0031675F">
        <w:t>analytical</w:t>
      </w:r>
      <w:r w:rsidRPr="0031675F">
        <w:rPr>
          <w:spacing w:val="17"/>
        </w:rPr>
        <w:t xml:space="preserve"> </w:t>
      </w:r>
      <w:r w:rsidRPr="0031675F">
        <w:t>results</w:t>
      </w:r>
      <w:r w:rsidRPr="0031675F">
        <w:rPr>
          <w:spacing w:val="16"/>
        </w:rPr>
        <w:t xml:space="preserve"> </w:t>
      </w:r>
      <w:r w:rsidRPr="0031675F">
        <w:t>is</w:t>
      </w:r>
      <w:r w:rsidRPr="0031675F">
        <w:rPr>
          <w:spacing w:val="16"/>
        </w:rPr>
        <w:t xml:space="preserve"> </w:t>
      </w:r>
      <w:r w:rsidRPr="0031675F">
        <w:t>through</w:t>
      </w:r>
      <w:r w:rsidRPr="0031675F">
        <w:rPr>
          <w:spacing w:val="16"/>
        </w:rPr>
        <w:t xml:space="preserve"> </w:t>
      </w:r>
      <w:r w:rsidRPr="0031675F">
        <w:t>a</w:t>
      </w:r>
      <w:r w:rsidRPr="0031675F">
        <w:rPr>
          <w:spacing w:val="17"/>
        </w:rPr>
        <w:t xml:space="preserve"> </w:t>
      </w:r>
      <w:r w:rsidRPr="0031675F">
        <w:t>series</w:t>
      </w:r>
      <w:r w:rsidRPr="0031675F">
        <w:rPr>
          <w:spacing w:val="15"/>
        </w:rPr>
        <w:t xml:space="preserve"> </w:t>
      </w:r>
      <w:r w:rsidRPr="0031675F">
        <w:t>of</w:t>
      </w:r>
      <w:r w:rsidRPr="0031675F">
        <w:rPr>
          <w:spacing w:val="17"/>
        </w:rPr>
        <w:t xml:space="preserve"> </w:t>
      </w:r>
      <w:r w:rsidRPr="0031675F">
        <w:t>file</w:t>
      </w:r>
      <w:r w:rsidRPr="0031675F">
        <w:rPr>
          <w:spacing w:val="24"/>
        </w:rPr>
        <w:t xml:space="preserve"> </w:t>
      </w:r>
      <w:r w:rsidRPr="0031675F">
        <w:t>import</w:t>
      </w:r>
      <w:r w:rsidRPr="0031675F">
        <w:rPr>
          <w:spacing w:val="14"/>
        </w:rPr>
        <w:t xml:space="preserve"> </w:t>
      </w:r>
      <w:r w:rsidRPr="0031675F">
        <w:t>tasks</w:t>
      </w:r>
      <w:r w:rsidRPr="0031675F">
        <w:rPr>
          <w:spacing w:val="17"/>
        </w:rPr>
        <w:t xml:space="preserve"> </w:t>
      </w:r>
      <w:r w:rsidRPr="0031675F">
        <w:t>using</w:t>
      </w:r>
      <w:r w:rsidRPr="0031675F">
        <w:rPr>
          <w:spacing w:val="51"/>
        </w:rPr>
        <w:t xml:space="preserve"> </w:t>
      </w:r>
      <w:r w:rsidRPr="0031675F">
        <w:t>the</w:t>
      </w:r>
      <w:r w:rsidRPr="0031675F">
        <w:rPr>
          <w:spacing w:val="6"/>
        </w:rPr>
        <w:t xml:space="preserve"> </w:t>
      </w:r>
      <w:r w:rsidRPr="0031675F">
        <w:t>FDES</w:t>
      </w:r>
      <w:r w:rsidRPr="0031675F">
        <w:rPr>
          <w:spacing w:val="5"/>
        </w:rPr>
        <w:t xml:space="preserve"> </w:t>
      </w:r>
      <w:r w:rsidRPr="0031675F">
        <w:t>Access</w:t>
      </w:r>
      <w:r w:rsidRPr="0031675F">
        <w:rPr>
          <w:spacing w:val="6"/>
        </w:rPr>
        <w:t xml:space="preserve"> </w:t>
      </w:r>
      <w:r w:rsidRPr="0031675F">
        <w:t>Database,</w:t>
      </w:r>
      <w:r w:rsidRPr="0031675F">
        <w:rPr>
          <w:spacing w:val="6"/>
        </w:rPr>
        <w:t xml:space="preserve"> </w:t>
      </w:r>
      <w:r w:rsidRPr="0031675F">
        <w:t>and</w:t>
      </w:r>
      <w:r w:rsidRPr="0031675F">
        <w:rPr>
          <w:spacing w:val="5"/>
        </w:rPr>
        <w:t xml:space="preserve"> </w:t>
      </w:r>
      <w:r w:rsidRPr="0031675F">
        <w:t>a</w:t>
      </w:r>
      <w:r w:rsidRPr="0031675F">
        <w:rPr>
          <w:spacing w:val="5"/>
        </w:rPr>
        <w:t xml:space="preserve"> </w:t>
      </w:r>
      <w:r w:rsidRPr="0031675F">
        <w:t>set</w:t>
      </w:r>
      <w:r w:rsidRPr="0031675F">
        <w:rPr>
          <w:spacing w:val="6"/>
        </w:rPr>
        <w:t xml:space="preserve"> </w:t>
      </w:r>
      <w:r w:rsidRPr="0031675F">
        <w:t>of</w:t>
      </w:r>
      <w:r w:rsidRPr="0031675F">
        <w:rPr>
          <w:spacing w:val="3"/>
        </w:rPr>
        <w:t xml:space="preserve"> </w:t>
      </w:r>
      <w:r w:rsidRPr="0031675F">
        <w:t>Microsoft</w:t>
      </w:r>
      <w:r w:rsidRPr="0031675F">
        <w:rPr>
          <w:spacing w:val="3"/>
        </w:rPr>
        <w:t xml:space="preserve"> </w:t>
      </w:r>
      <w:r w:rsidRPr="0031675F">
        <w:t>Excel</w:t>
      </w:r>
      <w:r w:rsidRPr="0031675F">
        <w:rPr>
          <w:spacing w:val="6"/>
        </w:rPr>
        <w:t xml:space="preserve"> </w:t>
      </w:r>
      <w:r w:rsidRPr="0031675F">
        <w:t>Sample</w:t>
      </w:r>
      <w:r w:rsidRPr="0031675F">
        <w:rPr>
          <w:spacing w:val="6"/>
        </w:rPr>
        <w:t xml:space="preserve"> </w:t>
      </w:r>
      <w:r w:rsidRPr="0031675F">
        <w:t>Results</w:t>
      </w:r>
      <w:r w:rsidRPr="0031675F">
        <w:rPr>
          <w:spacing w:val="6"/>
        </w:rPr>
        <w:t xml:space="preserve"> </w:t>
      </w:r>
      <w:r w:rsidRPr="0031675F">
        <w:t>Feeder</w:t>
      </w:r>
      <w:r w:rsidRPr="0031675F">
        <w:rPr>
          <w:spacing w:val="5"/>
        </w:rPr>
        <w:t xml:space="preserve"> </w:t>
      </w:r>
      <w:r w:rsidRPr="0031675F">
        <w:t>Sheets.</w:t>
      </w:r>
      <w:r w:rsidRPr="0031675F">
        <w:rPr>
          <w:spacing w:val="5"/>
        </w:rPr>
        <w:t xml:space="preserve"> </w:t>
      </w:r>
      <w:r w:rsidRPr="0031675F">
        <w:rPr>
          <w:spacing w:val="-2"/>
        </w:rPr>
        <w:t>The</w:t>
      </w:r>
      <w:r w:rsidRPr="0031675F">
        <w:rPr>
          <w:spacing w:val="6"/>
        </w:rPr>
        <w:t xml:space="preserve"> </w:t>
      </w:r>
      <w:r w:rsidRPr="0031675F">
        <w:t>Web</w:t>
      </w:r>
      <w:r w:rsidRPr="0031675F">
        <w:rPr>
          <w:spacing w:val="61"/>
        </w:rPr>
        <w:t xml:space="preserve"> </w:t>
      </w:r>
      <w:r w:rsidRPr="0031675F">
        <w:t>Application</w:t>
      </w:r>
      <w:r w:rsidRPr="0031675F">
        <w:rPr>
          <w:spacing w:val="2"/>
        </w:rPr>
        <w:t xml:space="preserve"> </w:t>
      </w:r>
      <w:r w:rsidRPr="0031675F">
        <w:t>is integrated</w:t>
      </w:r>
      <w:r w:rsidRPr="0031675F">
        <w:rPr>
          <w:spacing w:val="2"/>
        </w:rPr>
        <w:t xml:space="preserve"> </w:t>
      </w:r>
      <w:r w:rsidRPr="0031675F">
        <w:t>with</w:t>
      </w:r>
      <w:r w:rsidRPr="0031675F">
        <w:rPr>
          <w:spacing w:val="2"/>
        </w:rPr>
        <w:t xml:space="preserve"> </w:t>
      </w:r>
      <w:r w:rsidRPr="0031675F">
        <w:t>a</w:t>
      </w:r>
      <w:r w:rsidRPr="0031675F">
        <w:rPr>
          <w:spacing w:val="2"/>
        </w:rPr>
        <w:t xml:space="preserve"> </w:t>
      </w:r>
      <w:r w:rsidRPr="0031675F">
        <w:t>dedicated Oracle database</w:t>
      </w:r>
      <w:r w:rsidRPr="0031675F">
        <w:rPr>
          <w:spacing w:val="3"/>
        </w:rPr>
        <w:t xml:space="preserve"> </w:t>
      </w:r>
      <w:r w:rsidRPr="0031675F">
        <w:rPr>
          <w:spacing w:val="-2"/>
        </w:rPr>
        <w:t>(the</w:t>
      </w:r>
      <w:r w:rsidRPr="0031675F">
        <w:rPr>
          <w:spacing w:val="3"/>
        </w:rPr>
        <w:t xml:space="preserve"> </w:t>
      </w:r>
      <w:r w:rsidRPr="0031675F">
        <w:t>AIMS Nutrients Database). The</w:t>
      </w:r>
      <w:r w:rsidRPr="0031675F">
        <w:rPr>
          <w:spacing w:val="3"/>
        </w:rPr>
        <w:t xml:space="preserve"> </w:t>
      </w:r>
      <w:r w:rsidRPr="0031675F">
        <w:t>Nutrients</w:t>
      </w:r>
      <w:r w:rsidRPr="0031675F">
        <w:rPr>
          <w:spacing w:val="79"/>
        </w:rPr>
        <w:t xml:space="preserve"> </w:t>
      </w:r>
      <w:r w:rsidRPr="0031675F">
        <w:t>database</w:t>
      </w:r>
      <w:r w:rsidRPr="0031675F">
        <w:rPr>
          <w:spacing w:val="3"/>
        </w:rPr>
        <w:t xml:space="preserve"> </w:t>
      </w:r>
      <w:r w:rsidRPr="0031675F">
        <w:t>schema</w:t>
      </w:r>
      <w:r w:rsidRPr="0031675F">
        <w:rPr>
          <w:spacing w:val="2"/>
        </w:rPr>
        <w:t xml:space="preserve"> </w:t>
      </w:r>
      <w:r w:rsidRPr="0031675F">
        <w:t>is</w:t>
      </w:r>
      <w:r w:rsidRPr="0031675F">
        <w:rPr>
          <w:spacing w:val="2"/>
        </w:rPr>
        <w:t xml:space="preserve"> </w:t>
      </w:r>
      <w:r w:rsidRPr="0031675F">
        <w:t>complex</w:t>
      </w:r>
      <w:r w:rsidRPr="0031675F">
        <w:rPr>
          <w:spacing w:val="3"/>
        </w:rPr>
        <w:t xml:space="preserve"> </w:t>
      </w:r>
      <w:r w:rsidRPr="0031675F">
        <w:t>and</w:t>
      </w:r>
      <w:r w:rsidRPr="0031675F">
        <w:rPr>
          <w:spacing w:val="2"/>
        </w:rPr>
        <w:t xml:space="preserve"> </w:t>
      </w:r>
      <w:r w:rsidRPr="0031675F">
        <w:t>ties</w:t>
      </w:r>
      <w:r w:rsidRPr="0031675F">
        <w:rPr>
          <w:spacing w:val="3"/>
        </w:rPr>
        <w:t xml:space="preserve"> </w:t>
      </w:r>
      <w:r w:rsidRPr="0031675F">
        <w:t>in</w:t>
      </w:r>
      <w:r w:rsidRPr="0031675F">
        <w:rPr>
          <w:spacing w:val="4"/>
        </w:rPr>
        <w:t xml:space="preserve"> </w:t>
      </w:r>
      <w:r w:rsidRPr="0031675F">
        <w:t>with</w:t>
      </w:r>
      <w:r w:rsidRPr="0031675F">
        <w:rPr>
          <w:spacing w:val="2"/>
        </w:rPr>
        <w:t xml:space="preserve"> </w:t>
      </w:r>
      <w:r w:rsidRPr="0031675F">
        <w:t>an</w:t>
      </w:r>
      <w:r w:rsidRPr="0031675F">
        <w:rPr>
          <w:spacing w:val="1"/>
        </w:rPr>
        <w:t xml:space="preserve"> </w:t>
      </w:r>
      <w:r w:rsidRPr="0031675F">
        <w:t>AIMS</w:t>
      </w:r>
      <w:r w:rsidRPr="0031675F">
        <w:rPr>
          <w:spacing w:val="2"/>
        </w:rPr>
        <w:t xml:space="preserve"> </w:t>
      </w:r>
      <w:r w:rsidRPr="0031675F">
        <w:t>workflow</w:t>
      </w:r>
      <w:r w:rsidRPr="0031675F">
        <w:rPr>
          <w:spacing w:val="3"/>
        </w:rPr>
        <w:t xml:space="preserve"> </w:t>
      </w:r>
      <w:r w:rsidRPr="0031675F">
        <w:t>schema</w:t>
      </w:r>
      <w:r w:rsidRPr="0031675F">
        <w:rPr>
          <w:spacing w:val="2"/>
        </w:rPr>
        <w:t xml:space="preserve"> </w:t>
      </w:r>
      <w:r w:rsidRPr="0031675F">
        <w:t>for</w:t>
      </w:r>
      <w:r w:rsidRPr="0031675F">
        <w:rPr>
          <w:spacing w:val="2"/>
        </w:rPr>
        <w:t xml:space="preserve"> </w:t>
      </w:r>
      <w:r w:rsidRPr="0031675F">
        <w:t>tracking</w:t>
      </w:r>
      <w:r w:rsidRPr="0031675F">
        <w:rPr>
          <w:spacing w:val="2"/>
        </w:rPr>
        <w:t xml:space="preserve"> </w:t>
      </w:r>
      <w:r w:rsidRPr="0031675F">
        <w:t>and</w:t>
      </w:r>
      <w:r w:rsidRPr="0031675F">
        <w:rPr>
          <w:spacing w:val="2"/>
        </w:rPr>
        <w:t xml:space="preserve"> </w:t>
      </w:r>
      <w:r w:rsidRPr="0031675F">
        <w:t>recording</w:t>
      </w:r>
      <w:r w:rsidRPr="0031675F">
        <w:rPr>
          <w:spacing w:val="2"/>
        </w:rPr>
        <w:t xml:space="preserve"> </w:t>
      </w:r>
      <w:r w:rsidRPr="0031675F">
        <w:t>when</w:t>
      </w:r>
      <w:r w:rsidRPr="0031675F">
        <w:rPr>
          <w:spacing w:val="69"/>
        </w:rPr>
        <w:t xml:space="preserve"> </w:t>
      </w:r>
      <w:r w:rsidRPr="0031675F">
        <w:t>particular</w:t>
      </w:r>
      <w:r w:rsidRPr="0031675F">
        <w:rPr>
          <w:spacing w:val="18"/>
        </w:rPr>
        <w:t xml:space="preserve"> </w:t>
      </w:r>
      <w:r w:rsidRPr="0031675F">
        <w:t>database</w:t>
      </w:r>
      <w:r w:rsidRPr="0031675F">
        <w:rPr>
          <w:spacing w:val="17"/>
        </w:rPr>
        <w:t xml:space="preserve"> </w:t>
      </w:r>
      <w:r w:rsidRPr="0031675F">
        <w:t>manipulation</w:t>
      </w:r>
      <w:r w:rsidRPr="0031675F">
        <w:rPr>
          <w:spacing w:val="18"/>
        </w:rPr>
        <w:t xml:space="preserve"> </w:t>
      </w:r>
      <w:r w:rsidRPr="0031675F">
        <w:t>actions</w:t>
      </w:r>
      <w:r w:rsidRPr="0031675F">
        <w:rPr>
          <w:spacing w:val="19"/>
        </w:rPr>
        <w:t xml:space="preserve"> </w:t>
      </w:r>
      <w:r w:rsidRPr="0031675F">
        <w:t>take</w:t>
      </w:r>
      <w:r w:rsidRPr="0031675F">
        <w:rPr>
          <w:spacing w:val="20"/>
        </w:rPr>
        <w:t xml:space="preserve"> </w:t>
      </w:r>
      <w:r w:rsidRPr="0031675F">
        <w:t>place.</w:t>
      </w:r>
      <w:r w:rsidRPr="0031675F">
        <w:rPr>
          <w:spacing w:val="19"/>
        </w:rPr>
        <w:t xml:space="preserve"> </w:t>
      </w:r>
      <w:r w:rsidRPr="0031675F">
        <w:t>This</w:t>
      </w:r>
      <w:r w:rsidRPr="0031675F">
        <w:rPr>
          <w:spacing w:val="19"/>
        </w:rPr>
        <w:t xml:space="preserve"> </w:t>
      </w:r>
      <w:r w:rsidRPr="0031675F">
        <w:t>document</w:t>
      </w:r>
      <w:r w:rsidRPr="0031675F">
        <w:rPr>
          <w:spacing w:val="19"/>
        </w:rPr>
        <w:t xml:space="preserve"> </w:t>
      </w:r>
      <w:r w:rsidRPr="0031675F">
        <w:t>does</w:t>
      </w:r>
      <w:r w:rsidRPr="0031675F">
        <w:rPr>
          <w:spacing w:val="20"/>
        </w:rPr>
        <w:t xml:space="preserve"> </w:t>
      </w:r>
      <w:r w:rsidRPr="0031675F">
        <w:t>not</w:t>
      </w:r>
      <w:r w:rsidRPr="0031675F">
        <w:rPr>
          <w:spacing w:val="20"/>
        </w:rPr>
        <w:t xml:space="preserve"> </w:t>
      </w:r>
      <w:r w:rsidRPr="0031675F">
        <w:t>cover</w:t>
      </w:r>
      <w:r w:rsidRPr="0031675F">
        <w:rPr>
          <w:spacing w:val="19"/>
        </w:rPr>
        <w:t xml:space="preserve"> </w:t>
      </w:r>
      <w:r w:rsidRPr="0031675F">
        <w:t>in-depth</w:t>
      </w:r>
      <w:r w:rsidRPr="0031675F">
        <w:rPr>
          <w:spacing w:val="18"/>
        </w:rPr>
        <w:t xml:space="preserve"> </w:t>
      </w:r>
      <w:r w:rsidRPr="0031675F">
        <w:t>design</w:t>
      </w:r>
      <w:r w:rsidRPr="0031675F">
        <w:rPr>
          <w:spacing w:val="18"/>
        </w:rPr>
        <w:t xml:space="preserve"> </w:t>
      </w:r>
      <w:r w:rsidRPr="0031675F">
        <w:t>of</w:t>
      </w:r>
      <w:r w:rsidRPr="0031675F">
        <w:rPr>
          <w:spacing w:val="79"/>
        </w:rPr>
        <w:t xml:space="preserve"> </w:t>
      </w:r>
      <w:r w:rsidRPr="0031675F">
        <w:t>this</w:t>
      </w:r>
      <w:r w:rsidRPr="0031675F">
        <w:rPr>
          <w:spacing w:val="19"/>
        </w:rPr>
        <w:t xml:space="preserve"> </w:t>
      </w:r>
      <w:r w:rsidRPr="0031675F">
        <w:t>database.The</w:t>
      </w:r>
      <w:r w:rsidRPr="0031675F">
        <w:rPr>
          <w:spacing w:val="20"/>
        </w:rPr>
        <w:t xml:space="preserve"> </w:t>
      </w:r>
      <w:r w:rsidRPr="0031675F">
        <w:t>Sample</w:t>
      </w:r>
      <w:r w:rsidRPr="0031675F">
        <w:rPr>
          <w:spacing w:val="17"/>
        </w:rPr>
        <w:t xml:space="preserve"> </w:t>
      </w:r>
      <w:r w:rsidRPr="0031675F">
        <w:t>Results</w:t>
      </w:r>
      <w:r w:rsidRPr="0031675F">
        <w:rPr>
          <w:spacing w:val="19"/>
        </w:rPr>
        <w:t xml:space="preserve"> </w:t>
      </w:r>
      <w:r w:rsidRPr="0031675F">
        <w:t>Feeder</w:t>
      </w:r>
      <w:r w:rsidRPr="0031675F">
        <w:rPr>
          <w:spacing w:val="17"/>
        </w:rPr>
        <w:t xml:space="preserve"> </w:t>
      </w:r>
      <w:r w:rsidRPr="0031675F">
        <w:t>sheets</w:t>
      </w:r>
      <w:r w:rsidRPr="0031675F">
        <w:rPr>
          <w:spacing w:val="20"/>
        </w:rPr>
        <w:t xml:space="preserve"> </w:t>
      </w:r>
      <w:r w:rsidRPr="0031675F">
        <w:t>are</w:t>
      </w:r>
      <w:r w:rsidRPr="0031675F">
        <w:rPr>
          <w:spacing w:val="14"/>
        </w:rPr>
        <w:t xml:space="preserve"> </w:t>
      </w:r>
      <w:r w:rsidRPr="0031675F">
        <w:t>created</w:t>
      </w:r>
      <w:r w:rsidRPr="0031675F">
        <w:rPr>
          <w:spacing w:val="16"/>
        </w:rPr>
        <w:t xml:space="preserve"> </w:t>
      </w:r>
      <w:r w:rsidRPr="0031675F">
        <w:t>from</w:t>
      </w:r>
      <w:r w:rsidRPr="0031675F">
        <w:rPr>
          <w:spacing w:val="18"/>
        </w:rPr>
        <w:t xml:space="preserve"> </w:t>
      </w:r>
      <w:r w:rsidRPr="0031675F">
        <w:t>the</w:t>
      </w:r>
      <w:r w:rsidRPr="0031675F">
        <w:rPr>
          <w:spacing w:val="19"/>
        </w:rPr>
        <w:t xml:space="preserve"> </w:t>
      </w:r>
      <w:r w:rsidRPr="0031675F">
        <w:t>analytical</w:t>
      </w:r>
      <w:r w:rsidRPr="0031675F">
        <w:rPr>
          <w:spacing w:val="19"/>
        </w:rPr>
        <w:t xml:space="preserve"> </w:t>
      </w:r>
      <w:r w:rsidRPr="0031675F">
        <w:t>results</w:t>
      </w:r>
      <w:r w:rsidRPr="0031675F">
        <w:rPr>
          <w:spacing w:val="20"/>
        </w:rPr>
        <w:t xml:space="preserve"> </w:t>
      </w:r>
      <w:r w:rsidRPr="0031675F">
        <w:t>for</w:t>
      </w:r>
      <w:r w:rsidRPr="0031675F">
        <w:rPr>
          <w:spacing w:val="17"/>
        </w:rPr>
        <w:t xml:space="preserve"> </w:t>
      </w:r>
      <w:r w:rsidRPr="0031675F">
        <w:t>the</w:t>
      </w:r>
      <w:r w:rsidRPr="0031675F">
        <w:rPr>
          <w:spacing w:val="23"/>
        </w:rPr>
        <w:t xml:space="preserve"> </w:t>
      </w:r>
      <w:r w:rsidRPr="0031675F">
        <w:t>various</w:t>
      </w:r>
      <w:r w:rsidRPr="0031675F">
        <w:rPr>
          <w:spacing w:val="43"/>
        </w:rPr>
        <w:t xml:space="preserve"> </w:t>
      </w:r>
      <w:r w:rsidRPr="0031675F">
        <w:t>water</w:t>
      </w:r>
      <w:r w:rsidRPr="0031675F">
        <w:rPr>
          <w:spacing w:val="22"/>
        </w:rPr>
        <w:t xml:space="preserve"> </w:t>
      </w:r>
      <w:r w:rsidRPr="0031675F">
        <w:t>quality</w:t>
      </w:r>
      <w:r w:rsidRPr="0031675F">
        <w:rPr>
          <w:spacing w:val="23"/>
        </w:rPr>
        <w:t xml:space="preserve"> </w:t>
      </w:r>
      <w:r w:rsidRPr="0031675F">
        <w:t>parameters.</w:t>
      </w:r>
      <w:r w:rsidRPr="0031675F">
        <w:rPr>
          <w:spacing w:val="18"/>
        </w:rPr>
        <w:t xml:space="preserve"> </w:t>
      </w:r>
      <w:r w:rsidRPr="0031675F">
        <w:t>The</w:t>
      </w:r>
      <w:r w:rsidRPr="0031675F">
        <w:rPr>
          <w:spacing w:val="22"/>
        </w:rPr>
        <w:t xml:space="preserve"> </w:t>
      </w:r>
      <w:r w:rsidRPr="0031675F">
        <w:t>laboratory</w:t>
      </w:r>
      <w:r w:rsidRPr="0031675F">
        <w:rPr>
          <w:spacing w:val="22"/>
        </w:rPr>
        <w:t xml:space="preserve"> </w:t>
      </w:r>
      <w:r w:rsidRPr="0031675F">
        <w:t>analyses</w:t>
      </w:r>
      <w:r w:rsidRPr="0031675F">
        <w:rPr>
          <w:spacing w:val="22"/>
        </w:rPr>
        <w:t xml:space="preserve"> </w:t>
      </w:r>
      <w:r w:rsidRPr="0031675F">
        <w:t>are</w:t>
      </w:r>
      <w:r w:rsidRPr="0031675F">
        <w:rPr>
          <w:spacing w:val="22"/>
        </w:rPr>
        <w:t xml:space="preserve"> </w:t>
      </w:r>
      <w:r w:rsidRPr="0031675F">
        <w:t>carried</w:t>
      </w:r>
      <w:r w:rsidRPr="0031675F">
        <w:rPr>
          <w:spacing w:val="21"/>
        </w:rPr>
        <w:t xml:space="preserve"> </w:t>
      </w:r>
      <w:r w:rsidRPr="0031675F">
        <w:t>out</w:t>
      </w:r>
      <w:r w:rsidRPr="0031675F">
        <w:rPr>
          <w:spacing w:val="22"/>
        </w:rPr>
        <w:t xml:space="preserve"> </w:t>
      </w:r>
      <w:r w:rsidRPr="0031675F">
        <w:t>by</w:t>
      </w:r>
      <w:r w:rsidRPr="0031675F">
        <w:rPr>
          <w:spacing w:val="22"/>
        </w:rPr>
        <w:t xml:space="preserve"> </w:t>
      </w:r>
      <w:r w:rsidRPr="0031675F">
        <w:t>qualified</w:t>
      </w:r>
      <w:r w:rsidRPr="0031675F">
        <w:rPr>
          <w:spacing w:val="18"/>
        </w:rPr>
        <w:t xml:space="preserve"> </w:t>
      </w:r>
      <w:r w:rsidRPr="0031675F">
        <w:t>Laboratory</w:t>
      </w:r>
      <w:r w:rsidRPr="0031675F">
        <w:rPr>
          <w:spacing w:val="22"/>
        </w:rPr>
        <w:t xml:space="preserve"> </w:t>
      </w:r>
      <w:r w:rsidRPr="0031675F">
        <w:t>Technicians</w:t>
      </w:r>
      <w:r w:rsidRPr="0031675F">
        <w:rPr>
          <w:spacing w:val="81"/>
        </w:rPr>
        <w:t xml:space="preserve"> </w:t>
      </w:r>
      <w:r w:rsidRPr="0031675F">
        <w:t>(details</w:t>
      </w:r>
      <w:r w:rsidRPr="0031675F">
        <w:rPr>
          <w:spacing w:val="17"/>
        </w:rPr>
        <w:t xml:space="preserve"> </w:t>
      </w:r>
      <w:r w:rsidRPr="0031675F">
        <w:t>are</w:t>
      </w:r>
      <w:r w:rsidRPr="0031675F">
        <w:rPr>
          <w:spacing w:val="17"/>
        </w:rPr>
        <w:t xml:space="preserve"> </w:t>
      </w:r>
      <w:r w:rsidRPr="0031675F">
        <w:t>described</w:t>
      </w:r>
      <w:r w:rsidRPr="0031675F">
        <w:rPr>
          <w:spacing w:val="16"/>
        </w:rPr>
        <w:t xml:space="preserve"> </w:t>
      </w:r>
      <w:r w:rsidRPr="0031675F">
        <w:t>in</w:t>
      </w:r>
      <w:r w:rsidRPr="0031675F">
        <w:rPr>
          <w:spacing w:val="16"/>
        </w:rPr>
        <w:t xml:space="preserve"> </w:t>
      </w:r>
      <w:r w:rsidRPr="0031675F">
        <w:t>individual</w:t>
      </w:r>
      <w:r w:rsidRPr="0031675F">
        <w:rPr>
          <w:spacing w:val="16"/>
        </w:rPr>
        <w:t xml:space="preserve"> </w:t>
      </w:r>
      <w:r w:rsidRPr="0031675F">
        <w:t>procedures,</w:t>
      </w:r>
      <w:r w:rsidRPr="0031675F">
        <w:rPr>
          <w:spacing w:val="17"/>
        </w:rPr>
        <w:t xml:space="preserve"> </w:t>
      </w:r>
      <w:r w:rsidRPr="0031675F">
        <w:t>see</w:t>
      </w:r>
      <w:r w:rsidRPr="0031675F">
        <w:rPr>
          <w:spacing w:val="17"/>
        </w:rPr>
        <w:t xml:space="preserve"> </w:t>
      </w:r>
      <w:r w:rsidRPr="0031675F">
        <w:t>above).</w:t>
      </w:r>
      <w:r w:rsidRPr="0031675F">
        <w:rPr>
          <w:spacing w:val="17"/>
        </w:rPr>
        <w:t xml:space="preserve"> </w:t>
      </w:r>
      <w:r w:rsidRPr="0031675F">
        <w:t>The</w:t>
      </w:r>
      <w:r w:rsidRPr="0031675F">
        <w:rPr>
          <w:spacing w:val="17"/>
        </w:rPr>
        <w:t xml:space="preserve"> </w:t>
      </w:r>
      <w:r w:rsidRPr="0031675F">
        <w:t>results</w:t>
      </w:r>
      <w:r w:rsidRPr="0031675F">
        <w:rPr>
          <w:spacing w:val="17"/>
        </w:rPr>
        <w:t xml:space="preserve"> </w:t>
      </w:r>
      <w:r w:rsidRPr="0031675F">
        <w:t>are</w:t>
      </w:r>
      <w:r w:rsidRPr="0031675F">
        <w:rPr>
          <w:spacing w:val="17"/>
        </w:rPr>
        <w:t xml:space="preserve"> </w:t>
      </w:r>
      <w:r w:rsidRPr="0031675F">
        <w:t>checked</w:t>
      </w:r>
      <w:r w:rsidRPr="0031675F">
        <w:rPr>
          <w:spacing w:val="16"/>
        </w:rPr>
        <w:t xml:space="preserve"> </w:t>
      </w:r>
      <w:r w:rsidRPr="0031675F">
        <w:t>by</w:t>
      </w:r>
      <w:r w:rsidRPr="0031675F">
        <w:rPr>
          <w:spacing w:val="17"/>
        </w:rPr>
        <w:t xml:space="preserve"> </w:t>
      </w:r>
      <w:r w:rsidRPr="0031675F">
        <w:t>the</w:t>
      </w:r>
      <w:r w:rsidRPr="0031675F">
        <w:rPr>
          <w:spacing w:val="17"/>
        </w:rPr>
        <w:t xml:space="preserve"> </w:t>
      </w:r>
      <w:r w:rsidRPr="0031675F">
        <w:t>analyst</w:t>
      </w:r>
      <w:r w:rsidRPr="0031675F">
        <w:rPr>
          <w:spacing w:val="17"/>
        </w:rPr>
        <w:t xml:space="preserve"> </w:t>
      </w:r>
      <w:r w:rsidRPr="0031675F">
        <w:t>and</w:t>
      </w:r>
      <w:r w:rsidRPr="0031675F">
        <w:rPr>
          <w:spacing w:val="71"/>
        </w:rPr>
        <w:t xml:space="preserve"> </w:t>
      </w:r>
      <w:r w:rsidRPr="0031675F">
        <w:t>then</w:t>
      </w:r>
      <w:r w:rsidRPr="0031675F">
        <w:rPr>
          <w:spacing w:val="16"/>
        </w:rPr>
        <w:t xml:space="preserve"> </w:t>
      </w:r>
      <w:r w:rsidRPr="0031675F">
        <w:t>provided</w:t>
      </w:r>
      <w:r w:rsidRPr="0031675F">
        <w:rPr>
          <w:spacing w:val="14"/>
        </w:rPr>
        <w:t xml:space="preserve"> </w:t>
      </w:r>
      <w:r w:rsidRPr="0031675F">
        <w:t>(generally</w:t>
      </w:r>
      <w:r w:rsidRPr="0031675F">
        <w:rPr>
          <w:spacing w:val="17"/>
        </w:rPr>
        <w:t xml:space="preserve"> </w:t>
      </w:r>
      <w:r w:rsidRPr="0031675F">
        <w:rPr>
          <w:spacing w:val="-2"/>
        </w:rPr>
        <w:t>in</w:t>
      </w:r>
      <w:r w:rsidRPr="0031675F">
        <w:rPr>
          <w:spacing w:val="16"/>
        </w:rPr>
        <w:t xml:space="preserve"> </w:t>
      </w:r>
      <w:r w:rsidRPr="0031675F">
        <w:t>MS</w:t>
      </w:r>
      <w:r w:rsidRPr="0031675F">
        <w:rPr>
          <w:spacing w:val="16"/>
        </w:rPr>
        <w:t xml:space="preserve"> </w:t>
      </w:r>
      <w:r w:rsidRPr="0031675F">
        <w:t>Excel</w:t>
      </w:r>
      <w:r w:rsidRPr="0031675F">
        <w:rPr>
          <w:spacing w:val="14"/>
        </w:rPr>
        <w:t xml:space="preserve"> </w:t>
      </w:r>
      <w:r w:rsidRPr="0031675F">
        <w:t>format)</w:t>
      </w:r>
      <w:r w:rsidRPr="0031675F">
        <w:rPr>
          <w:spacing w:val="15"/>
        </w:rPr>
        <w:t xml:space="preserve"> </w:t>
      </w:r>
      <w:r w:rsidRPr="0031675F">
        <w:t>to</w:t>
      </w:r>
      <w:r w:rsidRPr="0031675F">
        <w:rPr>
          <w:spacing w:val="16"/>
        </w:rPr>
        <w:t xml:space="preserve"> </w:t>
      </w:r>
      <w:r w:rsidRPr="0031675F">
        <w:t>an</w:t>
      </w:r>
      <w:r w:rsidRPr="0031675F">
        <w:rPr>
          <w:spacing w:val="13"/>
        </w:rPr>
        <w:t xml:space="preserve"> </w:t>
      </w:r>
      <w:r w:rsidRPr="0031675F">
        <w:t>Experimental</w:t>
      </w:r>
      <w:r w:rsidRPr="0031675F">
        <w:rPr>
          <w:spacing w:val="14"/>
        </w:rPr>
        <w:t xml:space="preserve"> </w:t>
      </w:r>
      <w:r w:rsidRPr="0031675F">
        <w:t>Scientist</w:t>
      </w:r>
      <w:r w:rsidRPr="0031675F">
        <w:rPr>
          <w:spacing w:val="17"/>
        </w:rPr>
        <w:t xml:space="preserve"> </w:t>
      </w:r>
      <w:r w:rsidRPr="0031675F">
        <w:t>who</w:t>
      </w:r>
      <w:r w:rsidRPr="0031675F">
        <w:rPr>
          <w:spacing w:val="18"/>
        </w:rPr>
        <w:t xml:space="preserve"> </w:t>
      </w:r>
      <w:r w:rsidRPr="0031675F">
        <w:t>performs</w:t>
      </w:r>
      <w:r w:rsidRPr="0031675F">
        <w:rPr>
          <w:spacing w:val="14"/>
        </w:rPr>
        <w:t xml:space="preserve"> </w:t>
      </w:r>
      <w:r w:rsidRPr="0031675F">
        <w:t>the</w:t>
      </w:r>
      <w:r w:rsidRPr="0031675F">
        <w:rPr>
          <w:spacing w:val="17"/>
        </w:rPr>
        <w:t xml:space="preserve"> </w:t>
      </w:r>
      <w:r w:rsidRPr="0031675F">
        <w:rPr>
          <w:spacing w:val="-2"/>
        </w:rPr>
        <w:t>necessary</w:t>
      </w:r>
      <w:r w:rsidRPr="0031675F">
        <w:rPr>
          <w:spacing w:val="55"/>
        </w:rPr>
        <w:t xml:space="preserve"> </w:t>
      </w:r>
      <w:r w:rsidRPr="0031675F">
        <w:t>transformations,</w:t>
      </w:r>
      <w:r w:rsidRPr="0031675F">
        <w:rPr>
          <w:spacing w:val="33"/>
        </w:rPr>
        <w:t xml:space="preserve"> </w:t>
      </w:r>
      <w:r w:rsidRPr="0031675F">
        <w:t>calculations</w:t>
      </w:r>
      <w:r w:rsidRPr="0031675F">
        <w:rPr>
          <w:spacing w:val="34"/>
        </w:rPr>
        <w:t xml:space="preserve"> </w:t>
      </w:r>
      <w:r w:rsidRPr="0031675F">
        <w:t>and</w:t>
      </w:r>
      <w:r w:rsidRPr="0031675F">
        <w:rPr>
          <w:spacing w:val="33"/>
        </w:rPr>
        <w:t xml:space="preserve"> </w:t>
      </w:r>
      <w:r w:rsidRPr="0031675F">
        <w:t>quality</w:t>
      </w:r>
      <w:r w:rsidRPr="0031675F">
        <w:rPr>
          <w:spacing w:val="34"/>
        </w:rPr>
        <w:t xml:space="preserve"> </w:t>
      </w:r>
      <w:r w:rsidRPr="0031675F">
        <w:t>checks.</w:t>
      </w:r>
      <w:r w:rsidRPr="0031675F">
        <w:rPr>
          <w:spacing w:val="34"/>
        </w:rPr>
        <w:t xml:space="preserve"> </w:t>
      </w:r>
      <w:r w:rsidRPr="0031675F">
        <w:t>Using</w:t>
      </w:r>
      <w:r w:rsidRPr="0031675F">
        <w:rPr>
          <w:spacing w:val="33"/>
        </w:rPr>
        <w:t xml:space="preserve"> </w:t>
      </w:r>
      <w:r w:rsidRPr="0031675F">
        <w:t>an</w:t>
      </w:r>
      <w:r w:rsidRPr="0031675F">
        <w:rPr>
          <w:spacing w:val="33"/>
        </w:rPr>
        <w:t xml:space="preserve"> </w:t>
      </w:r>
      <w:r w:rsidRPr="0031675F">
        <w:t>Excel</w:t>
      </w:r>
      <w:r w:rsidRPr="0031675F">
        <w:rPr>
          <w:spacing w:val="33"/>
        </w:rPr>
        <w:t xml:space="preserve"> </w:t>
      </w:r>
      <w:r w:rsidRPr="0031675F">
        <w:t>document</w:t>
      </w:r>
      <w:r w:rsidRPr="0031675F">
        <w:rPr>
          <w:spacing w:val="34"/>
        </w:rPr>
        <w:t xml:space="preserve"> </w:t>
      </w:r>
      <w:r w:rsidRPr="0031675F">
        <w:t>provides</w:t>
      </w:r>
      <w:r w:rsidRPr="0031675F">
        <w:rPr>
          <w:spacing w:val="34"/>
        </w:rPr>
        <w:t xml:space="preserve"> </w:t>
      </w:r>
      <w:r w:rsidRPr="0031675F">
        <w:t>access</w:t>
      </w:r>
      <w:r w:rsidRPr="0031675F">
        <w:rPr>
          <w:spacing w:val="30"/>
        </w:rPr>
        <w:t xml:space="preserve"> </w:t>
      </w:r>
      <w:r w:rsidRPr="0031675F">
        <w:t>to</w:t>
      </w:r>
      <w:r w:rsidRPr="0031675F">
        <w:rPr>
          <w:spacing w:val="35"/>
        </w:rPr>
        <w:t xml:space="preserve"> </w:t>
      </w:r>
      <w:r w:rsidRPr="0031675F">
        <w:t>simple</w:t>
      </w:r>
      <w:r w:rsidRPr="0031675F">
        <w:rPr>
          <w:spacing w:val="55"/>
        </w:rPr>
        <w:t xml:space="preserve"> </w:t>
      </w:r>
      <w:r w:rsidRPr="0031675F">
        <w:t>mathematical</w:t>
      </w:r>
      <w:r w:rsidRPr="0031675F">
        <w:rPr>
          <w:spacing w:val="28"/>
        </w:rPr>
        <w:t xml:space="preserve"> </w:t>
      </w:r>
      <w:r w:rsidRPr="0031675F">
        <w:t>and</w:t>
      </w:r>
      <w:r w:rsidRPr="0031675F">
        <w:rPr>
          <w:spacing w:val="28"/>
        </w:rPr>
        <w:t xml:space="preserve"> </w:t>
      </w:r>
      <w:r w:rsidRPr="0031675F">
        <w:t>graphing</w:t>
      </w:r>
      <w:r w:rsidRPr="0031675F">
        <w:rPr>
          <w:spacing w:val="28"/>
        </w:rPr>
        <w:t xml:space="preserve"> </w:t>
      </w:r>
      <w:r w:rsidRPr="0031675F">
        <w:t>tools</w:t>
      </w:r>
      <w:r w:rsidRPr="0031675F">
        <w:rPr>
          <w:spacing w:val="25"/>
        </w:rPr>
        <w:t xml:space="preserve"> </w:t>
      </w:r>
      <w:r w:rsidRPr="0031675F">
        <w:t>to</w:t>
      </w:r>
      <w:r w:rsidRPr="0031675F">
        <w:rPr>
          <w:spacing w:val="31"/>
        </w:rPr>
        <w:t xml:space="preserve"> </w:t>
      </w:r>
      <w:r w:rsidRPr="0031675F">
        <w:t>perform</w:t>
      </w:r>
      <w:r w:rsidRPr="0031675F">
        <w:rPr>
          <w:spacing w:val="30"/>
        </w:rPr>
        <w:t xml:space="preserve"> </w:t>
      </w:r>
      <w:r w:rsidRPr="0031675F">
        <w:t>any</w:t>
      </w:r>
      <w:r w:rsidRPr="0031675F">
        <w:rPr>
          <w:spacing w:val="30"/>
        </w:rPr>
        <w:t xml:space="preserve"> </w:t>
      </w:r>
      <w:r w:rsidRPr="0031675F">
        <w:t>required</w:t>
      </w:r>
      <w:r w:rsidRPr="0031675F">
        <w:rPr>
          <w:spacing w:val="27"/>
        </w:rPr>
        <w:t xml:space="preserve"> </w:t>
      </w:r>
      <w:r w:rsidRPr="0031675F">
        <w:t>conversions</w:t>
      </w:r>
      <w:r w:rsidRPr="0031675F">
        <w:rPr>
          <w:spacing w:val="29"/>
        </w:rPr>
        <w:t xml:space="preserve"> </w:t>
      </w:r>
      <w:r w:rsidRPr="0031675F">
        <w:t>and</w:t>
      </w:r>
      <w:r w:rsidRPr="0031675F">
        <w:rPr>
          <w:spacing w:val="28"/>
        </w:rPr>
        <w:t xml:space="preserve"> </w:t>
      </w:r>
      <w:r w:rsidRPr="0031675F">
        <w:t>quality</w:t>
      </w:r>
      <w:r w:rsidRPr="0031675F">
        <w:rPr>
          <w:spacing w:val="29"/>
        </w:rPr>
        <w:t xml:space="preserve"> </w:t>
      </w:r>
      <w:r w:rsidRPr="0031675F">
        <w:t>assurance</w:t>
      </w:r>
      <w:r w:rsidRPr="0031675F">
        <w:rPr>
          <w:spacing w:val="27"/>
        </w:rPr>
        <w:t xml:space="preserve"> </w:t>
      </w:r>
      <w:r w:rsidRPr="0031675F">
        <w:t>(finding</w:t>
      </w:r>
      <w:r w:rsidRPr="0031675F">
        <w:rPr>
          <w:spacing w:val="84"/>
        </w:rPr>
        <w:t xml:space="preserve"> </w:t>
      </w:r>
      <w:r w:rsidRPr="0031675F">
        <w:t>outliers</w:t>
      </w:r>
      <w:r w:rsidRPr="0031675F">
        <w:rPr>
          <w:spacing w:val="10"/>
        </w:rPr>
        <w:t xml:space="preserve"> </w:t>
      </w:r>
      <w:r w:rsidRPr="0031675F">
        <w:t>etc).</w:t>
      </w:r>
      <w:r w:rsidRPr="0031675F">
        <w:rPr>
          <w:spacing w:val="12"/>
        </w:rPr>
        <w:t xml:space="preserve"> </w:t>
      </w:r>
      <w:r w:rsidRPr="0031675F">
        <w:t>The</w:t>
      </w:r>
      <w:r w:rsidRPr="0031675F">
        <w:rPr>
          <w:spacing w:val="12"/>
        </w:rPr>
        <w:t xml:space="preserve"> </w:t>
      </w:r>
      <w:r w:rsidRPr="0031675F">
        <w:t>last</w:t>
      </w:r>
      <w:r w:rsidRPr="0031675F">
        <w:rPr>
          <w:spacing w:val="13"/>
        </w:rPr>
        <w:t xml:space="preserve"> </w:t>
      </w:r>
      <w:r w:rsidRPr="0031675F">
        <w:t>step</w:t>
      </w:r>
      <w:r w:rsidRPr="0031675F">
        <w:rPr>
          <w:spacing w:val="9"/>
        </w:rPr>
        <w:t xml:space="preserve"> </w:t>
      </w:r>
      <w:r w:rsidRPr="0031675F">
        <w:t>in</w:t>
      </w:r>
      <w:r w:rsidRPr="0031675F">
        <w:rPr>
          <w:spacing w:val="11"/>
        </w:rPr>
        <w:t xml:space="preserve"> </w:t>
      </w:r>
      <w:r w:rsidRPr="0031675F">
        <w:t>this</w:t>
      </w:r>
      <w:r w:rsidRPr="0031675F">
        <w:rPr>
          <w:spacing w:val="12"/>
        </w:rPr>
        <w:t xml:space="preserve"> </w:t>
      </w:r>
      <w:r w:rsidRPr="0031675F">
        <w:t>process</w:t>
      </w:r>
      <w:r w:rsidRPr="0031675F">
        <w:rPr>
          <w:spacing w:val="12"/>
        </w:rPr>
        <w:t xml:space="preserve"> </w:t>
      </w:r>
      <w:r w:rsidRPr="0031675F">
        <w:t>is</w:t>
      </w:r>
      <w:r w:rsidRPr="0031675F">
        <w:rPr>
          <w:spacing w:val="9"/>
        </w:rPr>
        <w:t xml:space="preserve"> </w:t>
      </w:r>
      <w:r w:rsidRPr="0031675F">
        <w:t>to</w:t>
      </w:r>
      <w:r w:rsidRPr="0031675F">
        <w:rPr>
          <w:spacing w:val="11"/>
        </w:rPr>
        <w:t xml:space="preserve"> </w:t>
      </w:r>
      <w:r w:rsidRPr="0031675F">
        <w:t>collate</w:t>
      </w:r>
      <w:r w:rsidRPr="0031675F">
        <w:rPr>
          <w:spacing w:val="11"/>
        </w:rPr>
        <w:t xml:space="preserve"> </w:t>
      </w:r>
      <w:r w:rsidRPr="0031675F">
        <w:t>the</w:t>
      </w:r>
      <w:r w:rsidRPr="0031675F">
        <w:rPr>
          <w:spacing w:val="12"/>
        </w:rPr>
        <w:t xml:space="preserve"> </w:t>
      </w:r>
      <w:r w:rsidRPr="0031675F">
        <w:t>sample</w:t>
      </w:r>
      <w:r w:rsidRPr="0031675F">
        <w:rPr>
          <w:spacing w:val="12"/>
        </w:rPr>
        <w:t xml:space="preserve"> </w:t>
      </w:r>
      <w:r w:rsidRPr="0031675F">
        <w:t>results</w:t>
      </w:r>
      <w:r w:rsidRPr="0031675F">
        <w:rPr>
          <w:spacing w:val="11"/>
        </w:rPr>
        <w:t xml:space="preserve"> </w:t>
      </w:r>
      <w:r w:rsidRPr="0031675F">
        <w:t>into</w:t>
      </w:r>
      <w:r w:rsidRPr="0031675F">
        <w:rPr>
          <w:spacing w:val="13"/>
        </w:rPr>
        <w:t xml:space="preserve"> </w:t>
      </w:r>
      <w:r w:rsidRPr="0031675F">
        <w:t>a</w:t>
      </w:r>
      <w:r w:rsidRPr="0031675F">
        <w:rPr>
          <w:spacing w:val="9"/>
        </w:rPr>
        <w:t xml:space="preserve"> </w:t>
      </w:r>
      <w:r w:rsidRPr="0031675F">
        <w:t>work</w:t>
      </w:r>
      <w:r w:rsidRPr="0031675F">
        <w:rPr>
          <w:spacing w:val="10"/>
        </w:rPr>
        <w:t xml:space="preserve"> </w:t>
      </w:r>
      <w:r w:rsidRPr="0031675F">
        <w:rPr>
          <w:spacing w:val="-2"/>
        </w:rPr>
        <w:t>sheet</w:t>
      </w:r>
      <w:r w:rsidRPr="0031675F">
        <w:rPr>
          <w:spacing w:val="13"/>
        </w:rPr>
        <w:t xml:space="preserve"> </w:t>
      </w:r>
      <w:r w:rsidRPr="0031675F">
        <w:t>which</w:t>
      </w:r>
      <w:r w:rsidRPr="0031675F">
        <w:rPr>
          <w:spacing w:val="11"/>
        </w:rPr>
        <w:t xml:space="preserve"> </w:t>
      </w:r>
      <w:r w:rsidRPr="0031675F">
        <w:rPr>
          <w:spacing w:val="-2"/>
        </w:rPr>
        <w:t>is</w:t>
      </w:r>
      <w:r w:rsidRPr="0031675F">
        <w:rPr>
          <w:spacing w:val="12"/>
        </w:rPr>
        <w:t xml:space="preserve"> </w:t>
      </w:r>
      <w:r w:rsidRPr="0031675F">
        <w:t>the</w:t>
      </w:r>
      <w:r w:rsidRPr="0031675F">
        <w:rPr>
          <w:spacing w:val="49"/>
        </w:rPr>
        <w:t xml:space="preserve"> </w:t>
      </w:r>
      <w:r w:rsidRPr="0031675F">
        <w:rPr>
          <w:rFonts w:cs="Calibri"/>
        </w:rPr>
        <w:t>‘Feeder</w:t>
      </w:r>
      <w:r w:rsidRPr="0031675F">
        <w:rPr>
          <w:rFonts w:cs="Calibri"/>
          <w:spacing w:val="19"/>
        </w:rPr>
        <w:t xml:space="preserve"> </w:t>
      </w:r>
      <w:r w:rsidRPr="0031675F">
        <w:rPr>
          <w:rFonts w:cs="Calibri"/>
        </w:rPr>
        <w:t>Sheet’.</w:t>
      </w:r>
      <w:r w:rsidRPr="0031675F">
        <w:rPr>
          <w:rFonts w:cs="Calibri"/>
          <w:spacing w:val="17"/>
        </w:rPr>
        <w:t xml:space="preserve"> </w:t>
      </w:r>
      <w:r w:rsidRPr="0031675F">
        <w:rPr>
          <w:rFonts w:cs="Calibri"/>
        </w:rPr>
        <w:t>By</w:t>
      </w:r>
      <w:r w:rsidRPr="0031675F">
        <w:rPr>
          <w:rFonts w:cs="Calibri"/>
          <w:spacing w:val="17"/>
        </w:rPr>
        <w:t xml:space="preserve"> </w:t>
      </w:r>
      <w:r w:rsidRPr="0031675F">
        <w:rPr>
          <w:rFonts w:cs="Calibri"/>
        </w:rPr>
        <w:t>convention,</w:t>
      </w:r>
      <w:r w:rsidRPr="0031675F">
        <w:rPr>
          <w:rFonts w:cs="Calibri"/>
          <w:spacing w:val="19"/>
        </w:rPr>
        <w:t xml:space="preserve"> </w:t>
      </w:r>
      <w:r w:rsidRPr="0031675F">
        <w:rPr>
          <w:rFonts w:cs="Calibri"/>
        </w:rPr>
        <w:t>this</w:t>
      </w:r>
      <w:r w:rsidRPr="0031675F">
        <w:rPr>
          <w:rFonts w:cs="Calibri"/>
          <w:spacing w:val="17"/>
        </w:rPr>
        <w:t xml:space="preserve"> </w:t>
      </w:r>
      <w:r w:rsidRPr="0031675F">
        <w:rPr>
          <w:rFonts w:cs="Calibri"/>
        </w:rPr>
        <w:t>Feeder</w:t>
      </w:r>
      <w:r w:rsidRPr="0031675F">
        <w:rPr>
          <w:rFonts w:cs="Calibri"/>
          <w:spacing w:val="19"/>
        </w:rPr>
        <w:t xml:space="preserve"> </w:t>
      </w:r>
      <w:r w:rsidRPr="0031675F">
        <w:rPr>
          <w:rFonts w:cs="Calibri"/>
        </w:rPr>
        <w:t>Sheet</w:t>
      </w:r>
      <w:r w:rsidRPr="0031675F">
        <w:rPr>
          <w:rFonts w:cs="Calibri"/>
          <w:spacing w:val="20"/>
        </w:rPr>
        <w:t xml:space="preserve"> </w:t>
      </w:r>
      <w:r w:rsidRPr="0031675F">
        <w:rPr>
          <w:rFonts w:cs="Calibri"/>
        </w:rPr>
        <w:t>is</w:t>
      </w:r>
      <w:r w:rsidRPr="0031675F">
        <w:rPr>
          <w:rFonts w:cs="Calibri"/>
          <w:spacing w:val="16"/>
        </w:rPr>
        <w:t xml:space="preserve"> </w:t>
      </w:r>
      <w:r w:rsidRPr="0031675F">
        <w:rPr>
          <w:rFonts w:cs="Calibri"/>
        </w:rPr>
        <w:t>always</w:t>
      </w:r>
      <w:r w:rsidRPr="0031675F">
        <w:rPr>
          <w:rFonts w:cs="Calibri"/>
          <w:spacing w:val="17"/>
        </w:rPr>
        <w:t xml:space="preserve"> </w:t>
      </w:r>
      <w:r w:rsidRPr="0031675F">
        <w:rPr>
          <w:rFonts w:cs="Calibri"/>
        </w:rPr>
        <w:t>the</w:t>
      </w:r>
      <w:r w:rsidRPr="0031675F">
        <w:rPr>
          <w:rFonts w:cs="Calibri"/>
          <w:spacing w:val="17"/>
        </w:rPr>
        <w:t xml:space="preserve"> </w:t>
      </w:r>
      <w:r w:rsidRPr="0031675F">
        <w:rPr>
          <w:rFonts w:cs="Calibri"/>
        </w:rPr>
        <w:t>first</w:t>
      </w:r>
      <w:r w:rsidRPr="0031675F">
        <w:rPr>
          <w:rFonts w:cs="Calibri"/>
          <w:spacing w:val="17"/>
        </w:rPr>
        <w:t xml:space="preserve"> </w:t>
      </w:r>
      <w:r w:rsidRPr="0031675F">
        <w:rPr>
          <w:rFonts w:cs="Calibri"/>
        </w:rPr>
        <w:t>work</w:t>
      </w:r>
      <w:r w:rsidRPr="0031675F">
        <w:rPr>
          <w:rFonts w:cs="Calibri"/>
          <w:spacing w:val="17"/>
        </w:rPr>
        <w:t xml:space="preserve"> </w:t>
      </w:r>
      <w:r w:rsidRPr="0031675F">
        <w:rPr>
          <w:rFonts w:cs="Calibri"/>
        </w:rPr>
        <w:t>sheet</w:t>
      </w:r>
      <w:r w:rsidRPr="0031675F">
        <w:rPr>
          <w:rFonts w:cs="Calibri"/>
          <w:spacing w:val="17"/>
        </w:rPr>
        <w:t xml:space="preserve"> </w:t>
      </w:r>
      <w:r w:rsidRPr="0031675F">
        <w:rPr>
          <w:rFonts w:cs="Calibri"/>
          <w:spacing w:val="-2"/>
        </w:rPr>
        <w:t>in</w:t>
      </w:r>
      <w:r w:rsidRPr="0031675F">
        <w:rPr>
          <w:rFonts w:cs="Calibri"/>
          <w:spacing w:val="18"/>
        </w:rPr>
        <w:t xml:space="preserve"> </w:t>
      </w:r>
      <w:r w:rsidRPr="0031675F">
        <w:rPr>
          <w:rFonts w:cs="Calibri"/>
        </w:rPr>
        <w:t>the</w:t>
      </w:r>
      <w:r w:rsidRPr="0031675F">
        <w:rPr>
          <w:rFonts w:cs="Calibri"/>
          <w:spacing w:val="17"/>
        </w:rPr>
        <w:t xml:space="preserve"> </w:t>
      </w:r>
      <w:r w:rsidRPr="0031675F">
        <w:rPr>
          <w:rFonts w:cs="Calibri"/>
        </w:rPr>
        <w:t>excel</w:t>
      </w:r>
      <w:r w:rsidRPr="0031675F">
        <w:rPr>
          <w:rFonts w:cs="Calibri"/>
          <w:spacing w:val="19"/>
        </w:rPr>
        <w:t xml:space="preserve"> </w:t>
      </w:r>
      <w:r w:rsidRPr="0031675F">
        <w:rPr>
          <w:rFonts w:cs="Calibri"/>
        </w:rPr>
        <w:t>document.</w:t>
      </w:r>
      <w:r w:rsidRPr="0031675F">
        <w:rPr>
          <w:rFonts w:cs="Calibri"/>
          <w:spacing w:val="59"/>
        </w:rPr>
        <w:t xml:space="preserve"> </w:t>
      </w:r>
      <w:r w:rsidRPr="0031675F">
        <w:t>Every time</w:t>
      </w:r>
      <w:r w:rsidRPr="0031675F">
        <w:rPr>
          <w:spacing w:val="-2"/>
        </w:rPr>
        <w:t xml:space="preserve"> </w:t>
      </w:r>
      <w:r w:rsidRPr="0031675F">
        <w:t>data are imported, a copy</w:t>
      </w:r>
      <w:r w:rsidRPr="0031675F">
        <w:rPr>
          <w:spacing w:val="-2"/>
        </w:rPr>
        <w:t xml:space="preserve"> </w:t>
      </w:r>
      <w:r w:rsidRPr="0031675F">
        <w:t>of</w:t>
      </w:r>
      <w:r w:rsidRPr="0031675F">
        <w:rPr>
          <w:spacing w:val="-2"/>
        </w:rPr>
        <w:t xml:space="preserve"> </w:t>
      </w:r>
      <w:r w:rsidRPr="0031675F">
        <w:t>the Excel</w:t>
      </w:r>
      <w:r w:rsidRPr="0031675F">
        <w:rPr>
          <w:spacing w:val="-3"/>
        </w:rPr>
        <w:t xml:space="preserve"> </w:t>
      </w:r>
      <w:r w:rsidRPr="0031675F">
        <w:t xml:space="preserve">file </w:t>
      </w:r>
      <w:r w:rsidRPr="0031675F">
        <w:rPr>
          <w:spacing w:val="-2"/>
        </w:rPr>
        <w:t>is</w:t>
      </w:r>
      <w:r w:rsidRPr="0031675F">
        <w:t xml:space="preserve"> stored in </w:t>
      </w:r>
      <w:r w:rsidRPr="0031675F">
        <w:rPr>
          <w:spacing w:val="-2"/>
        </w:rPr>
        <w:t>the</w:t>
      </w:r>
      <w:r w:rsidRPr="0031675F">
        <w:t xml:space="preserve"> Nutrients Database.</w:t>
      </w:r>
    </w:p>
    <w:p w14:paraId="1C385822" w14:textId="77777777" w:rsidR="0031675F" w:rsidRPr="0031675F" w:rsidRDefault="0031675F" w:rsidP="0031675F">
      <w:pPr>
        <w:spacing w:after="120"/>
        <w:ind w:left="100"/>
        <w:jc w:val="both"/>
      </w:pPr>
      <w:r w:rsidRPr="0031675F">
        <w:rPr>
          <w:spacing w:val="-1"/>
        </w:rPr>
        <w:t>The</w:t>
      </w:r>
      <w:r w:rsidRPr="0031675F">
        <w:t xml:space="preserve"> </w:t>
      </w:r>
      <w:r w:rsidRPr="0031675F">
        <w:rPr>
          <w:spacing w:val="-1"/>
        </w:rPr>
        <w:t>file</w:t>
      </w:r>
      <w:r w:rsidRPr="0031675F">
        <w:t xml:space="preserve"> </w:t>
      </w:r>
      <w:r w:rsidRPr="0031675F">
        <w:rPr>
          <w:spacing w:val="-1"/>
        </w:rPr>
        <w:t>import</w:t>
      </w:r>
      <w:r w:rsidRPr="0031675F">
        <w:t xml:space="preserve"> </w:t>
      </w:r>
      <w:r w:rsidRPr="0031675F">
        <w:rPr>
          <w:spacing w:val="-1"/>
        </w:rPr>
        <w:t>steps</w:t>
      </w:r>
      <w:r w:rsidRPr="0031675F">
        <w:rPr>
          <w:spacing w:val="2"/>
        </w:rPr>
        <w:t xml:space="preserve"> </w:t>
      </w:r>
      <w:r w:rsidRPr="0031675F">
        <w:rPr>
          <w:spacing w:val="-1"/>
        </w:rPr>
        <w:t>are</w:t>
      </w:r>
      <w:r w:rsidRPr="0031675F">
        <w:t xml:space="preserve"> as</w:t>
      </w:r>
      <w:r w:rsidRPr="0031675F">
        <w:rPr>
          <w:spacing w:val="-3"/>
        </w:rPr>
        <w:t xml:space="preserve"> </w:t>
      </w:r>
      <w:r w:rsidRPr="0031675F">
        <w:rPr>
          <w:spacing w:val="-1"/>
        </w:rPr>
        <w:t>follows:</w:t>
      </w:r>
    </w:p>
    <w:p w14:paraId="00E00C53" w14:textId="77777777" w:rsidR="0031675F" w:rsidRPr="0031675F" w:rsidRDefault="0031675F" w:rsidP="0031675F">
      <w:pPr>
        <w:widowControl w:val="0"/>
        <w:numPr>
          <w:ilvl w:val="0"/>
          <w:numId w:val="61"/>
        </w:numPr>
        <w:tabs>
          <w:tab w:val="left" w:pos="821"/>
        </w:tabs>
        <w:spacing w:before="0" w:after="0" w:line="251" w:lineRule="auto"/>
        <w:ind w:right="115"/>
        <w:jc w:val="both"/>
      </w:pPr>
      <w:r w:rsidRPr="0031675F">
        <w:rPr>
          <w:rFonts w:cs="Calibri"/>
          <w:spacing w:val="-1"/>
        </w:rPr>
        <w:t>Upload</w:t>
      </w:r>
      <w:r w:rsidRPr="0031675F">
        <w:rPr>
          <w:rFonts w:cs="Calibri"/>
          <w:spacing w:val="21"/>
        </w:rPr>
        <w:t xml:space="preserve"> </w:t>
      </w:r>
      <w:r w:rsidRPr="0031675F">
        <w:rPr>
          <w:rFonts w:cs="Calibri"/>
        </w:rPr>
        <w:t>the</w:t>
      </w:r>
      <w:r w:rsidRPr="0031675F">
        <w:rPr>
          <w:rFonts w:cs="Calibri"/>
          <w:spacing w:val="22"/>
        </w:rPr>
        <w:t xml:space="preserve"> </w:t>
      </w:r>
      <w:r w:rsidRPr="0031675F">
        <w:rPr>
          <w:rFonts w:cs="Calibri"/>
        </w:rPr>
        <w:t>FDES</w:t>
      </w:r>
      <w:r w:rsidRPr="0031675F">
        <w:rPr>
          <w:rFonts w:cs="Calibri"/>
          <w:spacing w:val="21"/>
        </w:rPr>
        <w:t xml:space="preserve"> </w:t>
      </w:r>
      <w:r w:rsidRPr="0031675F">
        <w:rPr>
          <w:rFonts w:cs="Calibri"/>
        </w:rPr>
        <w:t>Access</w:t>
      </w:r>
      <w:r w:rsidRPr="0031675F">
        <w:rPr>
          <w:rFonts w:cs="Calibri"/>
          <w:spacing w:val="22"/>
        </w:rPr>
        <w:t xml:space="preserve"> </w:t>
      </w:r>
      <w:r w:rsidRPr="0031675F">
        <w:rPr>
          <w:rFonts w:cs="Calibri"/>
          <w:spacing w:val="-1"/>
        </w:rPr>
        <w:t>Database</w:t>
      </w:r>
      <w:r w:rsidRPr="0031675F">
        <w:rPr>
          <w:rFonts w:cs="Calibri"/>
          <w:spacing w:val="22"/>
        </w:rPr>
        <w:t xml:space="preserve"> </w:t>
      </w:r>
      <w:r w:rsidRPr="0031675F">
        <w:rPr>
          <w:rFonts w:cs="Calibri"/>
          <w:spacing w:val="-1"/>
        </w:rPr>
        <w:t>using</w:t>
      </w:r>
      <w:r w:rsidRPr="0031675F">
        <w:rPr>
          <w:rFonts w:cs="Calibri"/>
          <w:spacing w:val="21"/>
        </w:rPr>
        <w:t xml:space="preserve"> </w:t>
      </w:r>
      <w:r w:rsidRPr="0031675F">
        <w:rPr>
          <w:rFonts w:cs="Calibri"/>
        </w:rPr>
        <w:t>the</w:t>
      </w:r>
      <w:r w:rsidRPr="0031675F">
        <w:rPr>
          <w:rFonts w:cs="Calibri"/>
          <w:spacing w:val="22"/>
        </w:rPr>
        <w:t xml:space="preserve"> </w:t>
      </w:r>
      <w:r w:rsidRPr="0031675F">
        <w:rPr>
          <w:rFonts w:cs="Calibri"/>
        </w:rPr>
        <w:t>‘WQ</w:t>
      </w:r>
      <w:r w:rsidRPr="0031675F">
        <w:rPr>
          <w:rFonts w:cs="Calibri"/>
          <w:spacing w:val="22"/>
        </w:rPr>
        <w:t xml:space="preserve"> </w:t>
      </w:r>
      <w:r w:rsidRPr="0031675F">
        <w:rPr>
          <w:rFonts w:cs="Calibri"/>
          <w:spacing w:val="-1"/>
        </w:rPr>
        <w:t>Data</w:t>
      </w:r>
      <w:r w:rsidRPr="0031675F">
        <w:rPr>
          <w:rFonts w:cs="Calibri"/>
          <w:spacing w:val="22"/>
        </w:rPr>
        <w:t xml:space="preserve"> </w:t>
      </w:r>
      <w:r w:rsidRPr="0031675F">
        <w:rPr>
          <w:rFonts w:cs="Calibri"/>
        </w:rPr>
        <w:t>Import</w:t>
      </w:r>
      <w:r w:rsidRPr="0031675F">
        <w:rPr>
          <w:rFonts w:cs="Calibri"/>
          <w:spacing w:val="22"/>
        </w:rPr>
        <w:t xml:space="preserve"> </w:t>
      </w:r>
      <w:r w:rsidRPr="0031675F">
        <w:rPr>
          <w:rFonts w:cs="Calibri"/>
          <w:spacing w:val="-1"/>
        </w:rPr>
        <w:t>Tasks</w:t>
      </w:r>
      <w:r w:rsidRPr="0031675F">
        <w:rPr>
          <w:spacing w:val="-1"/>
        </w:rPr>
        <w:t>-&gt;Lagoon</w:t>
      </w:r>
      <w:r w:rsidRPr="0031675F">
        <w:rPr>
          <w:spacing w:val="21"/>
        </w:rPr>
        <w:t xml:space="preserve"> </w:t>
      </w:r>
      <w:r w:rsidRPr="0031675F">
        <w:t>Access</w:t>
      </w:r>
      <w:r w:rsidRPr="0031675F">
        <w:rPr>
          <w:spacing w:val="21"/>
        </w:rPr>
        <w:t xml:space="preserve"> </w:t>
      </w:r>
      <w:r w:rsidRPr="0031675F">
        <w:rPr>
          <w:spacing w:val="-1"/>
        </w:rPr>
        <w:t>Database</w:t>
      </w:r>
      <w:r w:rsidRPr="0031675F">
        <w:rPr>
          <w:spacing w:val="51"/>
        </w:rPr>
        <w:t xml:space="preserve"> </w:t>
      </w:r>
      <w:r w:rsidRPr="0031675F">
        <w:t>Import</w:t>
      </w:r>
      <w:r w:rsidRPr="0031675F">
        <w:rPr>
          <w:spacing w:val="-2"/>
        </w:rPr>
        <w:t xml:space="preserve"> </w:t>
      </w:r>
      <w:r w:rsidRPr="0031675F">
        <w:rPr>
          <w:spacing w:val="-1"/>
        </w:rPr>
        <w:t>Actions-</w:t>
      </w:r>
      <w:r w:rsidRPr="0031675F">
        <w:rPr>
          <w:rFonts w:cs="Calibri"/>
          <w:spacing w:val="-1"/>
        </w:rPr>
        <w:t>&gt;Upload Field Data</w:t>
      </w:r>
      <w:r w:rsidRPr="0031675F">
        <w:rPr>
          <w:rFonts w:cs="Calibri"/>
        </w:rPr>
        <w:t xml:space="preserve"> </w:t>
      </w:r>
      <w:r w:rsidRPr="0031675F">
        <w:rPr>
          <w:rFonts w:cs="Calibri"/>
          <w:spacing w:val="-1"/>
        </w:rPr>
        <w:t>Entry</w:t>
      </w:r>
      <w:r w:rsidRPr="0031675F">
        <w:rPr>
          <w:rFonts w:cs="Calibri"/>
        </w:rPr>
        <w:t xml:space="preserve"> </w:t>
      </w:r>
      <w:r w:rsidRPr="0031675F">
        <w:rPr>
          <w:rFonts w:cs="Calibri"/>
          <w:spacing w:val="-1"/>
        </w:rPr>
        <w:t>System</w:t>
      </w:r>
      <w:r w:rsidRPr="0031675F">
        <w:rPr>
          <w:rFonts w:cs="Calibri"/>
          <w:spacing w:val="1"/>
        </w:rPr>
        <w:t xml:space="preserve"> </w:t>
      </w:r>
      <w:r w:rsidRPr="0031675F">
        <w:rPr>
          <w:rFonts w:cs="Calibri"/>
          <w:spacing w:val="-1"/>
        </w:rPr>
        <w:t>Access</w:t>
      </w:r>
      <w:r w:rsidRPr="0031675F">
        <w:rPr>
          <w:rFonts w:cs="Calibri"/>
        </w:rPr>
        <w:t xml:space="preserve"> DB’</w:t>
      </w:r>
      <w:r w:rsidRPr="0031675F">
        <w:rPr>
          <w:rFonts w:cs="Calibri"/>
          <w:spacing w:val="-3"/>
        </w:rPr>
        <w:t xml:space="preserve"> </w:t>
      </w:r>
      <w:r w:rsidRPr="0031675F">
        <w:rPr>
          <w:rFonts w:cs="Calibri"/>
          <w:spacing w:val="-1"/>
        </w:rPr>
        <w:t>application form</w:t>
      </w:r>
      <w:r w:rsidRPr="0031675F">
        <w:rPr>
          <w:rFonts w:cs="Calibri"/>
          <w:spacing w:val="1"/>
        </w:rPr>
        <w:t xml:space="preserve"> </w:t>
      </w:r>
      <w:r w:rsidRPr="0031675F">
        <w:rPr>
          <w:rFonts w:cs="Calibri"/>
          <w:spacing w:val="-1"/>
        </w:rPr>
        <w:t>pa</w:t>
      </w:r>
      <w:r w:rsidRPr="0031675F">
        <w:rPr>
          <w:spacing w:val="-1"/>
        </w:rPr>
        <w:t>th.</w:t>
      </w:r>
    </w:p>
    <w:p w14:paraId="2E458A1F" w14:textId="77777777" w:rsidR="0031675F" w:rsidRPr="0031675F" w:rsidRDefault="0031675F" w:rsidP="0031675F">
      <w:pPr>
        <w:widowControl w:val="0"/>
        <w:numPr>
          <w:ilvl w:val="0"/>
          <w:numId w:val="61"/>
        </w:numPr>
        <w:tabs>
          <w:tab w:val="left" w:pos="821"/>
        </w:tabs>
        <w:spacing w:before="0" w:after="0" w:line="240" w:lineRule="auto"/>
      </w:pPr>
      <w:r w:rsidRPr="0031675F">
        <w:rPr>
          <w:rFonts w:cs="Calibri"/>
        </w:rPr>
        <w:t xml:space="preserve">Import </w:t>
      </w:r>
      <w:r w:rsidRPr="0031675F">
        <w:rPr>
          <w:rFonts w:cs="Calibri"/>
          <w:spacing w:val="1"/>
        </w:rPr>
        <w:t xml:space="preserve"> </w:t>
      </w:r>
      <w:r w:rsidRPr="0031675F">
        <w:rPr>
          <w:rFonts w:cs="Calibri"/>
        </w:rPr>
        <w:t xml:space="preserve">the </w:t>
      </w:r>
      <w:r w:rsidRPr="0031675F">
        <w:rPr>
          <w:rFonts w:cs="Calibri"/>
          <w:spacing w:val="3"/>
        </w:rPr>
        <w:t xml:space="preserve"> </w:t>
      </w:r>
      <w:r w:rsidRPr="0031675F">
        <w:rPr>
          <w:rFonts w:cs="Calibri"/>
          <w:spacing w:val="-1"/>
        </w:rPr>
        <w:t>location</w:t>
      </w:r>
      <w:r w:rsidRPr="0031675F">
        <w:rPr>
          <w:rFonts w:cs="Calibri"/>
        </w:rPr>
        <w:t xml:space="preserve"> </w:t>
      </w:r>
      <w:r w:rsidRPr="0031675F">
        <w:rPr>
          <w:rFonts w:cs="Calibri"/>
          <w:spacing w:val="2"/>
        </w:rPr>
        <w:t xml:space="preserve"> </w:t>
      </w:r>
      <w:r w:rsidRPr="0031675F">
        <w:rPr>
          <w:rFonts w:cs="Calibri"/>
          <w:spacing w:val="-1"/>
        </w:rPr>
        <w:t>and</w:t>
      </w:r>
      <w:r w:rsidRPr="0031675F">
        <w:rPr>
          <w:rFonts w:cs="Calibri"/>
        </w:rPr>
        <w:t xml:space="preserve"> </w:t>
      </w:r>
      <w:r w:rsidRPr="0031675F">
        <w:rPr>
          <w:rFonts w:cs="Calibri"/>
          <w:spacing w:val="2"/>
        </w:rPr>
        <w:t xml:space="preserve"> </w:t>
      </w:r>
      <w:r w:rsidRPr="0031675F">
        <w:rPr>
          <w:rFonts w:cs="Calibri"/>
          <w:spacing w:val="-1"/>
        </w:rPr>
        <w:t>Condition</w:t>
      </w:r>
      <w:r w:rsidRPr="0031675F">
        <w:rPr>
          <w:rFonts w:cs="Calibri"/>
        </w:rPr>
        <w:t xml:space="preserve"> </w:t>
      </w:r>
      <w:r w:rsidRPr="0031675F">
        <w:rPr>
          <w:rFonts w:cs="Calibri"/>
          <w:spacing w:val="2"/>
        </w:rPr>
        <w:t xml:space="preserve"> </w:t>
      </w:r>
      <w:r w:rsidRPr="0031675F">
        <w:rPr>
          <w:rFonts w:cs="Calibri"/>
          <w:spacing w:val="-1"/>
        </w:rPr>
        <w:t>data</w:t>
      </w:r>
      <w:r w:rsidRPr="0031675F">
        <w:rPr>
          <w:rFonts w:cs="Calibri"/>
        </w:rPr>
        <w:t xml:space="preserve"> </w:t>
      </w:r>
      <w:r w:rsidRPr="0031675F">
        <w:rPr>
          <w:rFonts w:cs="Calibri"/>
          <w:spacing w:val="3"/>
        </w:rPr>
        <w:t xml:space="preserve"> </w:t>
      </w:r>
      <w:r w:rsidRPr="0031675F">
        <w:rPr>
          <w:rFonts w:cs="Calibri"/>
          <w:spacing w:val="-1"/>
        </w:rPr>
        <w:t>for</w:t>
      </w:r>
      <w:r w:rsidRPr="0031675F">
        <w:rPr>
          <w:rFonts w:cs="Calibri"/>
        </w:rPr>
        <w:t xml:space="preserve"> </w:t>
      </w:r>
      <w:r w:rsidRPr="0031675F">
        <w:rPr>
          <w:rFonts w:cs="Calibri"/>
          <w:spacing w:val="3"/>
        </w:rPr>
        <w:t xml:space="preserve"> </w:t>
      </w:r>
      <w:r w:rsidRPr="0031675F">
        <w:rPr>
          <w:rFonts w:cs="Calibri"/>
          <w:spacing w:val="-1"/>
        </w:rPr>
        <w:t>the</w:t>
      </w:r>
      <w:r w:rsidRPr="0031675F">
        <w:rPr>
          <w:rFonts w:cs="Calibri"/>
        </w:rPr>
        <w:t xml:space="preserve"> </w:t>
      </w:r>
      <w:r w:rsidRPr="0031675F">
        <w:rPr>
          <w:rFonts w:cs="Calibri"/>
          <w:spacing w:val="3"/>
        </w:rPr>
        <w:t xml:space="preserve"> </w:t>
      </w:r>
      <w:r w:rsidRPr="0031675F">
        <w:rPr>
          <w:rFonts w:cs="Calibri"/>
          <w:spacing w:val="-1"/>
        </w:rPr>
        <w:t>sample</w:t>
      </w:r>
      <w:r w:rsidRPr="0031675F">
        <w:rPr>
          <w:rFonts w:cs="Calibri"/>
        </w:rPr>
        <w:t xml:space="preserve"> </w:t>
      </w:r>
      <w:r w:rsidRPr="0031675F">
        <w:rPr>
          <w:rFonts w:cs="Calibri"/>
          <w:spacing w:val="3"/>
        </w:rPr>
        <w:t xml:space="preserve"> </w:t>
      </w:r>
      <w:r w:rsidRPr="0031675F">
        <w:rPr>
          <w:rFonts w:cs="Calibri"/>
          <w:spacing w:val="-1"/>
        </w:rPr>
        <w:t>using</w:t>
      </w:r>
      <w:r w:rsidRPr="0031675F">
        <w:rPr>
          <w:rFonts w:cs="Calibri"/>
        </w:rPr>
        <w:t xml:space="preserve"> </w:t>
      </w:r>
      <w:r w:rsidRPr="0031675F">
        <w:rPr>
          <w:rFonts w:cs="Calibri"/>
          <w:spacing w:val="2"/>
        </w:rPr>
        <w:t xml:space="preserve"> </w:t>
      </w:r>
      <w:r w:rsidRPr="0031675F">
        <w:rPr>
          <w:rFonts w:cs="Calibri"/>
        </w:rPr>
        <w:t xml:space="preserve">the </w:t>
      </w:r>
      <w:r w:rsidRPr="0031675F">
        <w:rPr>
          <w:rFonts w:cs="Calibri"/>
          <w:spacing w:val="3"/>
        </w:rPr>
        <w:t xml:space="preserve"> </w:t>
      </w:r>
      <w:r w:rsidRPr="0031675F">
        <w:rPr>
          <w:rFonts w:cs="Calibri"/>
          <w:spacing w:val="-1"/>
        </w:rPr>
        <w:t>‘WQ</w:t>
      </w:r>
      <w:r w:rsidRPr="0031675F">
        <w:rPr>
          <w:rFonts w:cs="Calibri"/>
        </w:rPr>
        <w:t xml:space="preserve"> </w:t>
      </w:r>
      <w:r w:rsidRPr="0031675F">
        <w:rPr>
          <w:rFonts w:cs="Calibri"/>
          <w:spacing w:val="1"/>
        </w:rPr>
        <w:t xml:space="preserve"> </w:t>
      </w:r>
      <w:r w:rsidRPr="0031675F">
        <w:rPr>
          <w:rFonts w:cs="Calibri"/>
        </w:rPr>
        <w:t xml:space="preserve">Data </w:t>
      </w:r>
      <w:r w:rsidRPr="0031675F">
        <w:rPr>
          <w:rFonts w:cs="Calibri"/>
          <w:spacing w:val="1"/>
        </w:rPr>
        <w:t xml:space="preserve"> </w:t>
      </w:r>
      <w:r w:rsidRPr="0031675F">
        <w:rPr>
          <w:rFonts w:cs="Calibri"/>
        </w:rPr>
        <w:t xml:space="preserve">Import </w:t>
      </w:r>
      <w:r w:rsidRPr="0031675F">
        <w:rPr>
          <w:rFonts w:cs="Calibri"/>
          <w:spacing w:val="1"/>
        </w:rPr>
        <w:t xml:space="preserve"> </w:t>
      </w:r>
      <w:r w:rsidRPr="0031675F">
        <w:rPr>
          <w:rFonts w:cs="Calibri"/>
        </w:rPr>
        <w:t>Tasks</w:t>
      </w:r>
      <w:r w:rsidRPr="0031675F">
        <w:t>-</w:t>
      </w:r>
    </w:p>
    <w:p w14:paraId="3CD0830E" w14:textId="77777777" w:rsidR="0031675F" w:rsidRPr="0031675F" w:rsidRDefault="0031675F" w:rsidP="0031675F">
      <w:pPr>
        <w:spacing w:before="10" w:after="120" w:line="251" w:lineRule="auto"/>
        <w:ind w:left="820" w:right="121"/>
      </w:pPr>
      <w:r w:rsidRPr="0031675F">
        <w:rPr>
          <w:spacing w:val="-1"/>
        </w:rPr>
        <w:t>&gt;Lagoon Access</w:t>
      </w:r>
      <w:r w:rsidRPr="0031675F">
        <w:t xml:space="preserve"> </w:t>
      </w:r>
      <w:r w:rsidRPr="0031675F">
        <w:rPr>
          <w:spacing w:val="-1"/>
        </w:rPr>
        <w:t>Database</w:t>
      </w:r>
      <w:r w:rsidRPr="0031675F">
        <w:t xml:space="preserve"> </w:t>
      </w:r>
      <w:r w:rsidRPr="0031675F">
        <w:rPr>
          <w:spacing w:val="-1"/>
        </w:rPr>
        <w:t>Import</w:t>
      </w:r>
      <w:r w:rsidRPr="0031675F">
        <w:t xml:space="preserve"> </w:t>
      </w:r>
      <w:r w:rsidRPr="0031675F">
        <w:rPr>
          <w:spacing w:val="-1"/>
        </w:rPr>
        <w:t>Actions-</w:t>
      </w:r>
      <w:r w:rsidRPr="0031675F">
        <w:rPr>
          <w:rFonts w:cs="Calibri"/>
          <w:spacing w:val="-1"/>
        </w:rPr>
        <w:t>&gt;Import</w:t>
      </w:r>
      <w:r w:rsidRPr="0031675F">
        <w:rPr>
          <w:rFonts w:cs="Calibri"/>
        </w:rPr>
        <w:t xml:space="preserve"> </w:t>
      </w:r>
      <w:r w:rsidRPr="0031675F">
        <w:rPr>
          <w:rFonts w:cs="Calibri"/>
          <w:spacing w:val="-1"/>
        </w:rPr>
        <w:t xml:space="preserve">Location </w:t>
      </w:r>
      <w:r w:rsidRPr="0031675F">
        <w:rPr>
          <w:rFonts w:cs="Calibri"/>
        </w:rPr>
        <w:t>and</w:t>
      </w:r>
      <w:r w:rsidRPr="0031675F">
        <w:rPr>
          <w:rFonts w:cs="Calibri"/>
          <w:spacing w:val="-1"/>
        </w:rPr>
        <w:t xml:space="preserve"> Condition Data’</w:t>
      </w:r>
      <w:r w:rsidRPr="0031675F">
        <w:rPr>
          <w:rFonts w:cs="Calibri"/>
        </w:rPr>
        <w:t xml:space="preserve"> </w:t>
      </w:r>
      <w:r w:rsidRPr="0031675F">
        <w:rPr>
          <w:rFonts w:cs="Calibri"/>
          <w:spacing w:val="-1"/>
        </w:rPr>
        <w:t>application form</w:t>
      </w:r>
      <w:r w:rsidRPr="0031675F">
        <w:rPr>
          <w:rFonts w:cs="Calibri"/>
          <w:spacing w:val="101"/>
        </w:rPr>
        <w:t xml:space="preserve"> </w:t>
      </w:r>
      <w:r w:rsidRPr="0031675F">
        <w:rPr>
          <w:spacing w:val="-1"/>
        </w:rPr>
        <w:t>path.</w:t>
      </w:r>
    </w:p>
    <w:p w14:paraId="2640937B" w14:textId="77777777" w:rsidR="0031675F" w:rsidRPr="0031675F" w:rsidRDefault="0031675F" w:rsidP="0031675F">
      <w:pPr>
        <w:widowControl w:val="0"/>
        <w:numPr>
          <w:ilvl w:val="0"/>
          <w:numId w:val="61"/>
        </w:numPr>
        <w:tabs>
          <w:tab w:val="left" w:pos="821"/>
        </w:tabs>
        <w:spacing w:before="0" w:after="0" w:line="248" w:lineRule="auto"/>
        <w:ind w:right="113"/>
        <w:jc w:val="both"/>
        <w:rPr>
          <w:rFonts w:cs="Calibri"/>
        </w:rPr>
      </w:pPr>
      <w:r w:rsidRPr="0031675F">
        <w:rPr>
          <w:rFonts w:cs="Calibri"/>
        </w:rPr>
        <w:t>Import</w:t>
      </w:r>
      <w:r w:rsidRPr="0031675F">
        <w:rPr>
          <w:rFonts w:cs="Calibri"/>
          <w:spacing w:val="33"/>
        </w:rPr>
        <w:t xml:space="preserve"> </w:t>
      </w:r>
      <w:r w:rsidRPr="0031675F">
        <w:rPr>
          <w:rFonts w:cs="Calibri"/>
        </w:rPr>
        <w:t>the</w:t>
      </w:r>
      <w:r w:rsidRPr="0031675F">
        <w:rPr>
          <w:rFonts w:cs="Calibri"/>
          <w:spacing w:val="36"/>
        </w:rPr>
        <w:t xml:space="preserve"> </w:t>
      </w:r>
      <w:r w:rsidRPr="0031675F">
        <w:rPr>
          <w:rFonts w:cs="Calibri"/>
          <w:spacing w:val="-1"/>
        </w:rPr>
        <w:t>Sample</w:t>
      </w:r>
      <w:r w:rsidRPr="0031675F">
        <w:rPr>
          <w:rFonts w:cs="Calibri"/>
          <w:spacing w:val="37"/>
        </w:rPr>
        <w:t xml:space="preserve"> </w:t>
      </w:r>
      <w:r w:rsidRPr="0031675F">
        <w:rPr>
          <w:rFonts w:cs="Calibri"/>
          <w:spacing w:val="-1"/>
        </w:rPr>
        <w:t>Replicate</w:t>
      </w:r>
      <w:r w:rsidRPr="0031675F">
        <w:rPr>
          <w:rFonts w:cs="Calibri"/>
          <w:spacing w:val="36"/>
        </w:rPr>
        <w:t xml:space="preserve"> </w:t>
      </w:r>
      <w:r w:rsidRPr="0031675F">
        <w:rPr>
          <w:rFonts w:cs="Calibri"/>
          <w:spacing w:val="-1"/>
        </w:rPr>
        <w:t>data</w:t>
      </w:r>
      <w:r w:rsidRPr="0031675F">
        <w:rPr>
          <w:rFonts w:cs="Calibri"/>
          <w:spacing w:val="36"/>
        </w:rPr>
        <w:t xml:space="preserve"> </w:t>
      </w:r>
      <w:r w:rsidRPr="0031675F">
        <w:rPr>
          <w:rFonts w:cs="Calibri"/>
        </w:rPr>
        <w:t>for</w:t>
      </w:r>
      <w:r w:rsidRPr="0031675F">
        <w:rPr>
          <w:rFonts w:cs="Calibri"/>
          <w:spacing w:val="36"/>
        </w:rPr>
        <w:t xml:space="preserve"> </w:t>
      </w:r>
      <w:r w:rsidRPr="0031675F">
        <w:rPr>
          <w:rFonts w:cs="Calibri"/>
          <w:spacing w:val="-1"/>
        </w:rPr>
        <w:t>the</w:t>
      </w:r>
      <w:r w:rsidRPr="0031675F">
        <w:rPr>
          <w:rFonts w:cs="Calibri"/>
          <w:spacing w:val="37"/>
        </w:rPr>
        <w:t xml:space="preserve"> </w:t>
      </w:r>
      <w:r w:rsidRPr="0031675F">
        <w:rPr>
          <w:rFonts w:cs="Calibri"/>
          <w:spacing w:val="-1"/>
        </w:rPr>
        <w:t>sample</w:t>
      </w:r>
      <w:r w:rsidRPr="0031675F">
        <w:rPr>
          <w:rFonts w:cs="Calibri"/>
          <w:spacing w:val="36"/>
        </w:rPr>
        <w:t xml:space="preserve"> </w:t>
      </w:r>
      <w:r w:rsidRPr="0031675F">
        <w:rPr>
          <w:rFonts w:cs="Calibri"/>
          <w:spacing w:val="-1"/>
        </w:rPr>
        <w:t>using</w:t>
      </w:r>
      <w:r w:rsidRPr="0031675F">
        <w:rPr>
          <w:rFonts w:cs="Calibri"/>
          <w:spacing w:val="35"/>
        </w:rPr>
        <w:t xml:space="preserve"> </w:t>
      </w:r>
      <w:r w:rsidRPr="0031675F">
        <w:rPr>
          <w:rFonts w:cs="Calibri"/>
        </w:rPr>
        <w:t>the</w:t>
      </w:r>
      <w:r w:rsidRPr="0031675F">
        <w:rPr>
          <w:rFonts w:cs="Calibri"/>
          <w:spacing w:val="36"/>
        </w:rPr>
        <w:t xml:space="preserve"> </w:t>
      </w:r>
      <w:r w:rsidRPr="0031675F">
        <w:rPr>
          <w:rFonts w:cs="Calibri"/>
        </w:rPr>
        <w:t>‘WQ</w:t>
      </w:r>
      <w:r w:rsidRPr="0031675F">
        <w:rPr>
          <w:rFonts w:cs="Calibri"/>
          <w:spacing w:val="36"/>
        </w:rPr>
        <w:t xml:space="preserve"> </w:t>
      </w:r>
      <w:r w:rsidRPr="0031675F">
        <w:rPr>
          <w:rFonts w:cs="Calibri"/>
          <w:spacing w:val="-1"/>
        </w:rPr>
        <w:t>Data</w:t>
      </w:r>
      <w:r w:rsidRPr="0031675F">
        <w:rPr>
          <w:rFonts w:cs="Calibri"/>
          <w:spacing w:val="42"/>
        </w:rPr>
        <w:t xml:space="preserve"> </w:t>
      </w:r>
      <w:r w:rsidRPr="0031675F">
        <w:rPr>
          <w:spacing w:val="-1"/>
        </w:rPr>
        <w:t>Import</w:t>
      </w:r>
      <w:r w:rsidRPr="0031675F">
        <w:rPr>
          <w:spacing w:val="34"/>
        </w:rPr>
        <w:t xml:space="preserve"> </w:t>
      </w:r>
      <w:r w:rsidRPr="0031675F">
        <w:rPr>
          <w:spacing w:val="-1"/>
        </w:rPr>
        <w:t>Tasks-&gt;Lagoon</w:t>
      </w:r>
      <w:r w:rsidRPr="0031675F">
        <w:rPr>
          <w:spacing w:val="47"/>
        </w:rPr>
        <w:t xml:space="preserve"> </w:t>
      </w:r>
      <w:r w:rsidRPr="0031675F">
        <w:t>Access</w:t>
      </w:r>
      <w:r w:rsidRPr="0031675F">
        <w:rPr>
          <w:spacing w:val="-3"/>
        </w:rPr>
        <w:t xml:space="preserve"> </w:t>
      </w:r>
      <w:r w:rsidRPr="0031675F">
        <w:rPr>
          <w:spacing w:val="-1"/>
        </w:rPr>
        <w:t>Database</w:t>
      </w:r>
      <w:r w:rsidRPr="0031675F">
        <w:rPr>
          <w:spacing w:val="1"/>
        </w:rPr>
        <w:t xml:space="preserve"> </w:t>
      </w:r>
      <w:r w:rsidRPr="0031675F">
        <w:rPr>
          <w:spacing w:val="-1"/>
        </w:rPr>
        <w:t>Import</w:t>
      </w:r>
      <w:r w:rsidRPr="0031675F">
        <w:t xml:space="preserve"> </w:t>
      </w:r>
      <w:r w:rsidRPr="0031675F">
        <w:rPr>
          <w:spacing w:val="-1"/>
        </w:rPr>
        <w:t>Actions-</w:t>
      </w:r>
      <w:r w:rsidRPr="0031675F">
        <w:rPr>
          <w:rFonts w:cs="Calibri"/>
          <w:spacing w:val="-1"/>
        </w:rPr>
        <w:t>&gt;Import</w:t>
      </w:r>
      <w:r w:rsidRPr="0031675F">
        <w:rPr>
          <w:rFonts w:cs="Calibri"/>
        </w:rPr>
        <w:t xml:space="preserve"> </w:t>
      </w:r>
      <w:r w:rsidRPr="0031675F">
        <w:rPr>
          <w:rFonts w:cs="Calibri"/>
          <w:spacing w:val="-1"/>
        </w:rPr>
        <w:t>Sample</w:t>
      </w:r>
      <w:r w:rsidRPr="0031675F">
        <w:rPr>
          <w:rFonts w:cs="Calibri"/>
        </w:rPr>
        <w:t xml:space="preserve"> </w:t>
      </w:r>
      <w:r w:rsidRPr="0031675F">
        <w:rPr>
          <w:rFonts w:cs="Calibri"/>
          <w:spacing w:val="-1"/>
        </w:rPr>
        <w:t>Replicate</w:t>
      </w:r>
      <w:r w:rsidRPr="0031675F">
        <w:rPr>
          <w:rFonts w:cs="Calibri"/>
          <w:spacing w:val="-2"/>
        </w:rPr>
        <w:t xml:space="preserve"> </w:t>
      </w:r>
      <w:r w:rsidRPr="0031675F">
        <w:rPr>
          <w:rFonts w:cs="Calibri"/>
        </w:rPr>
        <w:t>Data’</w:t>
      </w:r>
      <w:r w:rsidRPr="0031675F">
        <w:rPr>
          <w:rFonts w:cs="Calibri"/>
          <w:spacing w:val="-3"/>
        </w:rPr>
        <w:t xml:space="preserve"> </w:t>
      </w:r>
      <w:r w:rsidRPr="0031675F">
        <w:rPr>
          <w:rFonts w:cs="Calibri"/>
          <w:spacing w:val="-1"/>
        </w:rPr>
        <w:t>application form</w:t>
      </w:r>
      <w:r w:rsidRPr="0031675F">
        <w:rPr>
          <w:rFonts w:cs="Calibri"/>
          <w:spacing w:val="-2"/>
        </w:rPr>
        <w:t xml:space="preserve"> </w:t>
      </w:r>
      <w:r w:rsidRPr="0031675F">
        <w:rPr>
          <w:rFonts w:cs="Calibri"/>
          <w:spacing w:val="-1"/>
        </w:rPr>
        <w:t>path.</w:t>
      </w:r>
    </w:p>
    <w:p w14:paraId="16669A52" w14:textId="77777777" w:rsidR="0031675F" w:rsidRPr="0031675F" w:rsidRDefault="0031675F" w:rsidP="0031675F">
      <w:pPr>
        <w:widowControl w:val="0"/>
        <w:numPr>
          <w:ilvl w:val="0"/>
          <w:numId w:val="61"/>
        </w:numPr>
        <w:tabs>
          <w:tab w:val="left" w:pos="821"/>
        </w:tabs>
        <w:spacing w:before="2" w:after="0" w:line="251" w:lineRule="auto"/>
        <w:ind w:right="118"/>
        <w:jc w:val="both"/>
      </w:pPr>
      <w:r w:rsidRPr="0031675F">
        <w:rPr>
          <w:rFonts w:cs="Calibri"/>
          <w:spacing w:val="-1"/>
        </w:rPr>
        <w:t>Confirm</w:t>
      </w:r>
      <w:r w:rsidRPr="0031675F">
        <w:rPr>
          <w:rFonts w:cs="Calibri"/>
          <w:spacing w:val="8"/>
        </w:rPr>
        <w:t xml:space="preserve"> </w:t>
      </w:r>
      <w:r w:rsidRPr="0031675F">
        <w:rPr>
          <w:rFonts w:cs="Calibri"/>
        </w:rPr>
        <w:t>the</w:t>
      </w:r>
      <w:r w:rsidRPr="0031675F">
        <w:rPr>
          <w:rFonts w:cs="Calibri"/>
          <w:spacing w:val="7"/>
        </w:rPr>
        <w:t xml:space="preserve"> </w:t>
      </w:r>
      <w:r w:rsidRPr="0031675F">
        <w:rPr>
          <w:rFonts w:cs="Calibri"/>
          <w:spacing w:val="-1"/>
        </w:rPr>
        <w:t>Locations</w:t>
      </w:r>
      <w:r w:rsidRPr="0031675F">
        <w:rPr>
          <w:rFonts w:cs="Calibri"/>
          <w:spacing w:val="7"/>
        </w:rPr>
        <w:t xml:space="preserve"> </w:t>
      </w:r>
      <w:r w:rsidRPr="0031675F">
        <w:rPr>
          <w:rFonts w:cs="Calibri"/>
          <w:spacing w:val="-2"/>
        </w:rPr>
        <w:t>were</w:t>
      </w:r>
      <w:r w:rsidRPr="0031675F">
        <w:rPr>
          <w:rFonts w:cs="Calibri"/>
          <w:spacing w:val="8"/>
        </w:rPr>
        <w:t xml:space="preserve"> </w:t>
      </w:r>
      <w:r w:rsidRPr="0031675F">
        <w:rPr>
          <w:rFonts w:cs="Calibri"/>
          <w:spacing w:val="-1"/>
        </w:rPr>
        <w:t>uploaded</w:t>
      </w:r>
      <w:r w:rsidRPr="0031675F">
        <w:rPr>
          <w:rFonts w:cs="Calibri"/>
          <w:spacing w:val="7"/>
        </w:rPr>
        <w:t xml:space="preserve"> </w:t>
      </w:r>
      <w:r w:rsidRPr="0031675F">
        <w:rPr>
          <w:rFonts w:cs="Calibri"/>
          <w:spacing w:val="-1"/>
        </w:rPr>
        <w:t>using</w:t>
      </w:r>
      <w:r w:rsidRPr="0031675F">
        <w:rPr>
          <w:rFonts w:cs="Calibri"/>
          <w:spacing w:val="6"/>
        </w:rPr>
        <w:t xml:space="preserve"> </w:t>
      </w:r>
      <w:r w:rsidRPr="0031675F">
        <w:rPr>
          <w:rFonts w:cs="Calibri"/>
        </w:rPr>
        <w:t>the</w:t>
      </w:r>
      <w:r w:rsidRPr="0031675F">
        <w:rPr>
          <w:rFonts w:cs="Calibri"/>
          <w:spacing w:val="7"/>
        </w:rPr>
        <w:t xml:space="preserve"> </w:t>
      </w:r>
      <w:r w:rsidRPr="0031675F">
        <w:rPr>
          <w:rFonts w:cs="Calibri"/>
        </w:rPr>
        <w:t>‘WQ</w:t>
      </w:r>
      <w:r w:rsidRPr="0031675F">
        <w:rPr>
          <w:rFonts w:cs="Calibri"/>
          <w:spacing w:val="10"/>
        </w:rPr>
        <w:t xml:space="preserve"> </w:t>
      </w:r>
      <w:r w:rsidRPr="0031675F">
        <w:rPr>
          <w:rFonts w:cs="Calibri"/>
          <w:spacing w:val="-1"/>
        </w:rPr>
        <w:t>Sample</w:t>
      </w:r>
      <w:r w:rsidRPr="0031675F">
        <w:rPr>
          <w:rFonts w:cs="Calibri"/>
          <w:spacing w:val="7"/>
        </w:rPr>
        <w:t xml:space="preserve"> </w:t>
      </w:r>
      <w:r w:rsidRPr="0031675F">
        <w:rPr>
          <w:rFonts w:cs="Calibri"/>
          <w:spacing w:val="-1"/>
        </w:rPr>
        <w:t>Station</w:t>
      </w:r>
      <w:r w:rsidRPr="0031675F">
        <w:rPr>
          <w:rFonts w:cs="Calibri"/>
          <w:spacing w:val="7"/>
        </w:rPr>
        <w:t xml:space="preserve"> </w:t>
      </w:r>
      <w:r w:rsidRPr="0031675F">
        <w:rPr>
          <w:rFonts w:cs="Calibri"/>
        </w:rPr>
        <w:t>List’</w:t>
      </w:r>
      <w:r w:rsidRPr="0031675F">
        <w:rPr>
          <w:rFonts w:cs="Calibri"/>
          <w:spacing w:val="7"/>
        </w:rPr>
        <w:t xml:space="preserve"> </w:t>
      </w:r>
      <w:r w:rsidRPr="0031675F">
        <w:rPr>
          <w:rFonts w:cs="Calibri"/>
          <w:spacing w:val="-1"/>
        </w:rPr>
        <w:t>application</w:t>
      </w:r>
      <w:r w:rsidRPr="0031675F">
        <w:rPr>
          <w:rFonts w:cs="Calibri"/>
          <w:spacing w:val="7"/>
        </w:rPr>
        <w:t xml:space="preserve"> </w:t>
      </w:r>
      <w:r w:rsidRPr="0031675F">
        <w:rPr>
          <w:rFonts w:cs="Calibri"/>
          <w:spacing w:val="-1"/>
        </w:rPr>
        <w:t>form</w:t>
      </w:r>
      <w:r w:rsidRPr="0031675F">
        <w:rPr>
          <w:rFonts w:cs="Calibri"/>
          <w:spacing w:val="8"/>
        </w:rPr>
        <w:t xml:space="preserve"> </w:t>
      </w:r>
      <w:r w:rsidRPr="0031675F">
        <w:rPr>
          <w:rFonts w:cs="Calibri"/>
          <w:spacing w:val="-1"/>
        </w:rPr>
        <w:t>path.</w:t>
      </w:r>
      <w:r w:rsidRPr="0031675F">
        <w:rPr>
          <w:rFonts w:cs="Calibri"/>
          <w:spacing w:val="87"/>
        </w:rPr>
        <w:t xml:space="preserve"> </w:t>
      </w:r>
      <w:r w:rsidRPr="0031675F">
        <w:t>If there</w:t>
      </w:r>
      <w:r w:rsidRPr="0031675F">
        <w:rPr>
          <w:spacing w:val="-2"/>
        </w:rPr>
        <w:t xml:space="preserve"> </w:t>
      </w:r>
      <w:r w:rsidRPr="0031675F">
        <w:t>are</w:t>
      </w:r>
      <w:r w:rsidRPr="0031675F">
        <w:rPr>
          <w:spacing w:val="-2"/>
        </w:rPr>
        <w:t xml:space="preserve"> </w:t>
      </w:r>
      <w:r w:rsidRPr="0031675F">
        <w:rPr>
          <w:spacing w:val="-1"/>
        </w:rPr>
        <w:t>errors,</w:t>
      </w:r>
      <w:r w:rsidRPr="0031675F">
        <w:t xml:space="preserve"> </w:t>
      </w:r>
      <w:r w:rsidRPr="0031675F">
        <w:rPr>
          <w:spacing w:val="-1"/>
        </w:rPr>
        <w:t>fix</w:t>
      </w:r>
      <w:r w:rsidRPr="0031675F">
        <w:rPr>
          <w:spacing w:val="1"/>
        </w:rPr>
        <w:t xml:space="preserve"> </w:t>
      </w:r>
      <w:r w:rsidRPr="0031675F">
        <w:t>in</w:t>
      </w:r>
      <w:r w:rsidRPr="0031675F">
        <w:rPr>
          <w:spacing w:val="-4"/>
        </w:rPr>
        <w:t xml:space="preserve"> </w:t>
      </w:r>
      <w:r w:rsidRPr="0031675F">
        <w:rPr>
          <w:spacing w:val="-2"/>
        </w:rPr>
        <w:t>the</w:t>
      </w:r>
      <w:r w:rsidRPr="0031675F">
        <w:t xml:space="preserve"> </w:t>
      </w:r>
      <w:r w:rsidRPr="0031675F">
        <w:rPr>
          <w:spacing w:val="-1"/>
        </w:rPr>
        <w:t>Access</w:t>
      </w:r>
      <w:r w:rsidRPr="0031675F">
        <w:rPr>
          <w:spacing w:val="-2"/>
        </w:rPr>
        <w:t xml:space="preserve"> </w:t>
      </w:r>
      <w:r w:rsidRPr="0031675F">
        <w:rPr>
          <w:spacing w:val="-1"/>
        </w:rPr>
        <w:t>Database</w:t>
      </w:r>
      <w:r w:rsidRPr="0031675F">
        <w:t xml:space="preserve"> </w:t>
      </w:r>
      <w:r w:rsidRPr="0031675F">
        <w:rPr>
          <w:spacing w:val="-1"/>
        </w:rPr>
        <w:t>and repeat</w:t>
      </w:r>
      <w:r w:rsidRPr="0031675F">
        <w:t xml:space="preserve"> </w:t>
      </w:r>
      <w:r w:rsidRPr="0031675F">
        <w:rPr>
          <w:spacing w:val="-1"/>
        </w:rPr>
        <w:t>steps</w:t>
      </w:r>
      <w:r w:rsidRPr="0031675F">
        <w:rPr>
          <w:spacing w:val="-3"/>
        </w:rPr>
        <w:t xml:space="preserve"> </w:t>
      </w:r>
      <w:r w:rsidRPr="0031675F">
        <w:t>2 and</w:t>
      </w:r>
      <w:r w:rsidRPr="0031675F">
        <w:rPr>
          <w:spacing w:val="-4"/>
        </w:rPr>
        <w:t xml:space="preserve"> </w:t>
      </w:r>
      <w:r w:rsidRPr="0031675F">
        <w:t>4.</w:t>
      </w:r>
    </w:p>
    <w:p w14:paraId="793AFDF3" w14:textId="77777777" w:rsidR="0031675F" w:rsidRPr="0031675F" w:rsidRDefault="0031675F" w:rsidP="0031675F">
      <w:pPr>
        <w:widowControl w:val="0"/>
        <w:numPr>
          <w:ilvl w:val="0"/>
          <w:numId w:val="61"/>
        </w:numPr>
        <w:tabs>
          <w:tab w:val="left" w:pos="821"/>
        </w:tabs>
        <w:spacing w:before="0" w:after="0" w:line="251" w:lineRule="auto"/>
        <w:ind w:right="118"/>
        <w:jc w:val="both"/>
      </w:pPr>
      <w:r w:rsidRPr="0031675F">
        <w:rPr>
          <w:rFonts w:cs="Calibri"/>
          <w:spacing w:val="-1"/>
        </w:rPr>
        <w:t>Confirm</w:t>
      </w:r>
      <w:r w:rsidRPr="0031675F">
        <w:rPr>
          <w:rFonts w:cs="Calibri"/>
          <w:spacing w:val="11"/>
        </w:rPr>
        <w:t xml:space="preserve"> </w:t>
      </w:r>
      <w:r w:rsidRPr="0031675F">
        <w:rPr>
          <w:rFonts w:cs="Calibri"/>
        </w:rPr>
        <w:t>the</w:t>
      </w:r>
      <w:r w:rsidRPr="0031675F">
        <w:rPr>
          <w:rFonts w:cs="Calibri"/>
          <w:spacing w:val="12"/>
        </w:rPr>
        <w:t xml:space="preserve"> </w:t>
      </w:r>
      <w:r w:rsidRPr="0031675F">
        <w:rPr>
          <w:rFonts w:cs="Calibri"/>
          <w:spacing w:val="-1"/>
        </w:rPr>
        <w:t>Sample</w:t>
      </w:r>
      <w:r w:rsidRPr="0031675F">
        <w:rPr>
          <w:rFonts w:cs="Calibri"/>
          <w:spacing w:val="13"/>
        </w:rPr>
        <w:t xml:space="preserve"> </w:t>
      </w:r>
      <w:r w:rsidRPr="0031675F">
        <w:rPr>
          <w:rFonts w:cs="Calibri"/>
          <w:spacing w:val="-1"/>
        </w:rPr>
        <w:t>Replicates</w:t>
      </w:r>
      <w:r w:rsidRPr="0031675F">
        <w:rPr>
          <w:rFonts w:cs="Calibri"/>
          <w:spacing w:val="12"/>
        </w:rPr>
        <w:t xml:space="preserve"> </w:t>
      </w:r>
      <w:r w:rsidRPr="0031675F">
        <w:rPr>
          <w:rFonts w:cs="Calibri"/>
          <w:spacing w:val="-1"/>
        </w:rPr>
        <w:t>were</w:t>
      </w:r>
      <w:r w:rsidRPr="0031675F">
        <w:rPr>
          <w:rFonts w:cs="Calibri"/>
          <w:spacing w:val="13"/>
        </w:rPr>
        <w:t xml:space="preserve"> </w:t>
      </w:r>
      <w:r w:rsidRPr="0031675F">
        <w:rPr>
          <w:rFonts w:cs="Calibri"/>
          <w:spacing w:val="-1"/>
        </w:rPr>
        <w:t>uploaded</w:t>
      </w:r>
      <w:r w:rsidRPr="0031675F">
        <w:rPr>
          <w:rFonts w:cs="Calibri"/>
          <w:spacing w:val="12"/>
        </w:rPr>
        <w:t xml:space="preserve"> </w:t>
      </w:r>
      <w:r w:rsidRPr="0031675F">
        <w:rPr>
          <w:rFonts w:cs="Calibri"/>
          <w:spacing w:val="-1"/>
        </w:rPr>
        <w:t>using</w:t>
      </w:r>
      <w:r w:rsidRPr="0031675F">
        <w:rPr>
          <w:rFonts w:cs="Calibri"/>
          <w:spacing w:val="11"/>
        </w:rPr>
        <w:t xml:space="preserve"> </w:t>
      </w:r>
      <w:r w:rsidRPr="0031675F">
        <w:rPr>
          <w:rFonts w:cs="Calibri"/>
        </w:rPr>
        <w:t>the</w:t>
      </w:r>
      <w:r w:rsidRPr="0031675F">
        <w:rPr>
          <w:rFonts w:cs="Calibri"/>
          <w:spacing w:val="12"/>
        </w:rPr>
        <w:t xml:space="preserve"> </w:t>
      </w:r>
      <w:r w:rsidRPr="0031675F">
        <w:rPr>
          <w:rFonts w:cs="Calibri"/>
        </w:rPr>
        <w:t>‘WQ</w:t>
      </w:r>
      <w:r w:rsidRPr="0031675F">
        <w:rPr>
          <w:rFonts w:cs="Calibri"/>
          <w:spacing w:val="13"/>
        </w:rPr>
        <w:t xml:space="preserve"> </w:t>
      </w:r>
      <w:r w:rsidRPr="0031675F">
        <w:rPr>
          <w:rFonts w:cs="Calibri"/>
          <w:spacing w:val="-1"/>
        </w:rPr>
        <w:t>Sample</w:t>
      </w:r>
      <w:r w:rsidRPr="0031675F">
        <w:rPr>
          <w:rFonts w:cs="Calibri"/>
          <w:spacing w:val="12"/>
        </w:rPr>
        <w:t xml:space="preserve"> </w:t>
      </w:r>
      <w:r w:rsidRPr="0031675F">
        <w:rPr>
          <w:rFonts w:cs="Calibri"/>
          <w:spacing w:val="-1"/>
        </w:rPr>
        <w:t>Replicate</w:t>
      </w:r>
      <w:r w:rsidRPr="0031675F">
        <w:rPr>
          <w:rFonts w:cs="Calibri"/>
          <w:spacing w:val="10"/>
        </w:rPr>
        <w:t xml:space="preserve"> </w:t>
      </w:r>
      <w:r w:rsidRPr="0031675F">
        <w:rPr>
          <w:rFonts w:cs="Calibri"/>
        </w:rPr>
        <w:t>List’</w:t>
      </w:r>
      <w:r w:rsidRPr="0031675F">
        <w:rPr>
          <w:rFonts w:cs="Calibri"/>
          <w:spacing w:val="12"/>
        </w:rPr>
        <w:t xml:space="preserve"> </w:t>
      </w:r>
      <w:r w:rsidRPr="0031675F">
        <w:rPr>
          <w:rFonts w:cs="Calibri"/>
          <w:spacing w:val="-1"/>
        </w:rPr>
        <w:t>application</w:t>
      </w:r>
      <w:r w:rsidRPr="0031675F">
        <w:rPr>
          <w:rFonts w:cs="Calibri"/>
          <w:spacing w:val="61"/>
        </w:rPr>
        <w:t xml:space="preserve"> </w:t>
      </w:r>
      <w:r w:rsidRPr="0031675F">
        <w:rPr>
          <w:spacing w:val="-1"/>
        </w:rPr>
        <w:t>form</w:t>
      </w:r>
      <w:r w:rsidRPr="0031675F">
        <w:rPr>
          <w:spacing w:val="-2"/>
        </w:rPr>
        <w:t xml:space="preserve"> </w:t>
      </w:r>
      <w:r w:rsidRPr="0031675F">
        <w:rPr>
          <w:spacing w:val="-1"/>
        </w:rPr>
        <w:t>path.</w:t>
      </w:r>
      <w:r w:rsidRPr="0031675F">
        <w:t xml:space="preserve"> If </w:t>
      </w:r>
      <w:r w:rsidRPr="0031675F">
        <w:rPr>
          <w:spacing w:val="-1"/>
        </w:rPr>
        <w:t>there</w:t>
      </w:r>
      <w:r w:rsidRPr="0031675F">
        <w:t xml:space="preserve"> </w:t>
      </w:r>
      <w:r w:rsidRPr="0031675F">
        <w:rPr>
          <w:spacing w:val="-1"/>
        </w:rPr>
        <w:t>are</w:t>
      </w:r>
      <w:r w:rsidRPr="0031675F">
        <w:rPr>
          <w:spacing w:val="-2"/>
        </w:rPr>
        <w:t xml:space="preserve"> </w:t>
      </w:r>
      <w:r w:rsidRPr="0031675F">
        <w:rPr>
          <w:spacing w:val="-1"/>
        </w:rPr>
        <w:t>errors,</w:t>
      </w:r>
      <w:r w:rsidRPr="0031675F">
        <w:t xml:space="preserve"> </w:t>
      </w:r>
      <w:r w:rsidRPr="0031675F">
        <w:rPr>
          <w:spacing w:val="-1"/>
        </w:rPr>
        <w:t>fix</w:t>
      </w:r>
      <w:r w:rsidRPr="0031675F">
        <w:t xml:space="preserve"> in</w:t>
      </w:r>
      <w:r w:rsidRPr="0031675F">
        <w:rPr>
          <w:spacing w:val="-3"/>
        </w:rPr>
        <w:t xml:space="preserve"> </w:t>
      </w:r>
      <w:r w:rsidRPr="0031675F">
        <w:t xml:space="preserve">the </w:t>
      </w:r>
      <w:r w:rsidRPr="0031675F">
        <w:rPr>
          <w:spacing w:val="-1"/>
        </w:rPr>
        <w:t>Access</w:t>
      </w:r>
      <w:r w:rsidRPr="0031675F">
        <w:rPr>
          <w:spacing w:val="-2"/>
        </w:rPr>
        <w:t xml:space="preserve"> </w:t>
      </w:r>
      <w:r w:rsidRPr="0031675F">
        <w:rPr>
          <w:spacing w:val="-1"/>
        </w:rPr>
        <w:t>Database</w:t>
      </w:r>
      <w:r w:rsidRPr="0031675F">
        <w:rPr>
          <w:spacing w:val="1"/>
        </w:rPr>
        <w:t xml:space="preserve"> </w:t>
      </w:r>
      <w:r w:rsidRPr="0031675F">
        <w:rPr>
          <w:spacing w:val="-1"/>
        </w:rPr>
        <w:t>and repeat</w:t>
      </w:r>
      <w:r w:rsidRPr="0031675F">
        <w:t xml:space="preserve"> </w:t>
      </w:r>
      <w:r w:rsidRPr="0031675F">
        <w:rPr>
          <w:spacing w:val="-1"/>
        </w:rPr>
        <w:t>steps</w:t>
      </w:r>
      <w:r w:rsidRPr="0031675F">
        <w:rPr>
          <w:spacing w:val="-2"/>
        </w:rPr>
        <w:t xml:space="preserve"> </w:t>
      </w:r>
      <w:r w:rsidRPr="0031675F">
        <w:t>3 and</w:t>
      </w:r>
      <w:r w:rsidRPr="0031675F">
        <w:rPr>
          <w:spacing w:val="-4"/>
        </w:rPr>
        <w:t xml:space="preserve"> </w:t>
      </w:r>
      <w:r w:rsidRPr="0031675F">
        <w:rPr>
          <w:spacing w:val="-1"/>
        </w:rPr>
        <w:t>5.</w:t>
      </w:r>
    </w:p>
    <w:p w14:paraId="672D3C06" w14:textId="77777777" w:rsidR="0031675F" w:rsidRPr="0031675F" w:rsidRDefault="0031675F" w:rsidP="0031675F">
      <w:pPr>
        <w:widowControl w:val="0"/>
        <w:numPr>
          <w:ilvl w:val="0"/>
          <w:numId w:val="61"/>
        </w:numPr>
        <w:tabs>
          <w:tab w:val="left" w:pos="821"/>
        </w:tabs>
        <w:spacing w:before="0" w:after="0" w:line="249" w:lineRule="auto"/>
        <w:ind w:right="115"/>
        <w:jc w:val="both"/>
      </w:pPr>
      <w:r w:rsidRPr="0031675F">
        <w:rPr>
          <w:spacing w:val="-1"/>
        </w:rPr>
        <w:t>Confirm</w:t>
      </w:r>
      <w:r w:rsidRPr="0031675F">
        <w:rPr>
          <w:spacing w:val="3"/>
        </w:rPr>
        <w:t xml:space="preserve"> </w:t>
      </w:r>
      <w:r w:rsidRPr="0031675F">
        <w:t>the</w:t>
      </w:r>
      <w:r w:rsidRPr="0031675F">
        <w:rPr>
          <w:spacing w:val="5"/>
        </w:rPr>
        <w:t xml:space="preserve"> </w:t>
      </w:r>
      <w:r w:rsidRPr="0031675F">
        <w:rPr>
          <w:spacing w:val="-1"/>
        </w:rPr>
        <w:t>Metadata</w:t>
      </w:r>
      <w:r w:rsidRPr="0031675F">
        <w:rPr>
          <w:spacing w:val="5"/>
        </w:rPr>
        <w:t xml:space="preserve"> </w:t>
      </w:r>
      <w:r w:rsidRPr="0031675F">
        <w:rPr>
          <w:spacing w:val="-1"/>
        </w:rPr>
        <w:t>for</w:t>
      </w:r>
      <w:r w:rsidRPr="0031675F">
        <w:rPr>
          <w:spacing w:val="5"/>
        </w:rPr>
        <w:t xml:space="preserve"> </w:t>
      </w:r>
      <w:r w:rsidRPr="0031675F">
        <w:rPr>
          <w:spacing w:val="-1"/>
        </w:rPr>
        <w:t>the</w:t>
      </w:r>
      <w:r w:rsidRPr="0031675F">
        <w:rPr>
          <w:spacing w:val="5"/>
        </w:rPr>
        <w:t xml:space="preserve"> </w:t>
      </w:r>
      <w:r w:rsidRPr="0031675F">
        <w:rPr>
          <w:spacing w:val="-1"/>
        </w:rPr>
        <w:t>Sample</w:t>
      </w:r>
      <w:r w:rsidRPr="0031675F">
        <w:rPr>
          <w:spacing w:val="5"/>
        </w:rPr>
        <w:t xml:space="preserve"> </w:t>
      </w:r>
      <w:r w:rsidRPr="0031675F">
        <w:rPr>
          <w:spacing w:val="-1"/>
        </w:rPr>
        <w:t>Replicates</w:t>
      </w:r>
      <w:r w:rsidRPr="0031675F">
        <w:rPr>
          <w:spacing w:val="2"/>
        </w:rPr>
        <w:t xml:space="preserve"> </w:t>
      </w:r>
      <w:r w:rsidRPr="0031675F">
        <w:t>was</w:t>
      </w:r>
      <w:r w:rsidRPr="0031675F">
        <w:rPr>
          <w:spacing w:val="3"/>
        </w:rPr>
        <w:t xml:space="preserve"> </w:t>
      </w:r>
      <w:r w:rsidRPr="0031675F">
        <w:t>uploade</w:t>
      </w:r>
      <w:r w:rsidRPr="0031675F">
        <w:rPr>
          <w:rFonts w:cs="Calibri"/>
        </w:rPr>
        <w:t>d</w:t>
      </w:r>
      <w:r w:rsidRPr="0031675F">
        <w:rPr>
          <w:rFonts w:cs="Calibri"/>
          <w:spacing w:val="4"/>
        </w:rPr>
        <w:t xml:space="preserve"> </w:t>
      </w:r>
      <w:r w:rsidRPr="0031675F">
        <w:rPr>
          <w:rFonts w:cs="Calibri"/>
          <w:spacing w:val="-1"/>
        </w:rPr>
        <w:t>using</w:t>
      </w:r>
      <w:r w:rsidRPr="0031675F">
        <w:rPr>
          <w:rFonts w:cs="Calibri"/>
          <w:spacing w:val="4"/>
        </w:rPr>
        <w:t xml:space="preserve"> </w:t>
      </w:r>
      <w:r w:rsidRPr="0031675F">
        <w:rPr>
          <w:rFonts w:cs="Calibri"/>
        </w:rPr>
        <w:t>the</w:t>
      </w:r>
      <w:r w:rsidRPr="0031675F">
        <w:rPr>
          <w:rFonts w:cs="Calibri"/>
          <w:spacing w:val="5"/>
        </w:rPr>
        <w:t xml:space="preserve"> </w:t>
      </w:r>
      <w:r w:rsidRPr="0031675F">
        <w:rPr>
          <w:rFonts w:cs="Calibri"/>
        </w:rPr>
        <w:t>‘WQ</w:t>
      </w:r>
      <w:r w:rsidRPr="0031675F">
        <w:rPr>
          <w:rFonts w:cs="Calibri"/>
          <w:spacing w:val="5"/>
        </w:rPr>
        <w:t xml:space="preserve"> </w:t>
      </w:r>
      <w:r w:rsidRPr="0031675F">
        <w:rPr>
          <w:rFonts w:cs="Calibri"/>
          <w:spacing w:val="-1"/>
        </w:rPr>
        <w:t>Sample</w:t>
      </w:r>
      <w:r w:rsidRPr="0031675F">
        <w:rPr>
          <w:rFonts w:cs="Calibri"/>
          <w:spacing w:val="5"/>
        </w:rPr>
        <w:t xml:space="preserve"> </w:t>
      </w:r>
      <w:r w:rsidRPr="0031675F">
        <w:rPr>
          <w:rFonts w:cs="Calibri"/>
          <w:spacing w:val="-1"/>
        </w:rPr>
        <w:t>Metadata</w:t>
      </w:r>
      <w:r w:rsidRPr="0031675F">
        <w:rPr>
          <w:rFonts w:cs="Calibri"/>
          <w:spacing w:val="47"/>
        </w:rPr>
        <w:t xml:space="preserve"> </w:t>
      </w:r>
      <w:r w:rsidRPr="0031675F">
        <w:rPr>
          <w:rFonts w:cs="Calibri"/>
        </w:rPr>
        <w:t>List’</w:t>
      </w:r>
      <w:r w:rsidRPr="0031675F">
        <w:rPr>
          <w:rFonts w:cs="Calibri"/>
          <w:spacing w:val="5"/>
        </w:rPr>
        <w:t xml:space="preserve"> </w:t>
      </w:r>
      <w:r w:rsidRPr="0031675F">
        <w:rPr>
          <w:rFonts w:cs="Calibri"/>
          <w:spacing w:val="-1"/>
        </w:rPr>
        <w:t>application</w:t>
      </w:r>
      <w:r w:rsidRPr="0031675F">
        <w:rPr>
          <w:rFonts w:cs="Calibri"/>
          <w:spacing w:val="4"/>
        </w:rPr>
        <w:t xml:space="preserve"> </w:t>
      </w:r>
      <w:r w:rsidRPr="0031675F">
        <w:rPr>
          <w:rFonts w:cs="Calibri"/>
          <w:spacing w:val="-1"/>
        </w:rPr>
        <w:t>form</w:t>
      </w:r>
      <w:r w:rsidRPr="0031675F">
        <w:rPr>
          <w:rFonts w:cs="Calibri"/>
          <w:spacing w:val="6"/>
        </w:rPr>
        <w:t xml:space="preserve"> </w:t>
      </w:r>
      <w:r w:rsidRPr="0031675F">
        <w:rPr>
          <w:rFonts w:cs="Calibri"/>
          <w:spacing w:val="-1"/>
        </w:rPr>
        <w:t>path.</w:t>
      </w:r>
      <w:r w:rsidRPr="0031675F">
        <w:rPr>
          <w:rFonts w:cs="Calibri"/>
          <w:spacing w:val="1"/>
        </w:rPr>
        <w:t xml:space="preserve"> </w:t>
      </w:r>
      <w:r w:rsidRPr="0031675F">
        <w:rPr>
          <w:rFonts w:cs="Calibri"/>
        </w:rPr>
        <w:t>If</w:t>
      </w:r>
      <w:r w:rsidRPr="0031675F">
        <w:rPr>
          <w:rFonts w:cs="Calibri"/>
          <w:spacing w:val="4"/>
        </w:rPr>
        <w:t xml:space="preserve"> </w:t>
      </w:r>
      <w:r w:rsidRPr="0031675F">
        <w:rPr>
          <w:rFonts w:cs="Calibri"/>
        </w:rPr>
        <w:t>there</w:t>
      </w:r>
      <w:r w:rsidRPr="0031675F">
        <w:rPr>
          <w:rFonts w:cs="Calibri"/>
          <w:spacing w:val="5"/>
        </w:rPr>
        <w:t xml:space="preserve"> </w:t>
      </w:r>
      <w:r w:rsidRPr="0031675F">
        <w:rPr>
          <w:rFonts w:cs="Calibri"/>
        </w:rPr>
        <w:t>are</w:t>
      </w:r>
      <w:r w:rsidRPr="0031675F">
        <w:rPr>
          <w:rFonts w:cs="Calibri"/>
          <w:spacing w:val="2"/>
        </w:rPr>
        <w:t xml:space="preserve"> </w:t>
      </w:r>
      <w:r w:rsidRPr="0031675F">
        <w:rPr>
          <w:rFonts w:cs="Calibri"/>
          <w:spacing w:val="-1"/>
        </w:rPr>
        <w:t>errors,</w:t>
      </w:r>
      <w:r w:rsidRPr="0031675F">
        <w:rPr>
          <w:rFonts w:cs="Calibri"/>
          <w:spacing w:val="5"/>
        </w:rPr>
        <w:t xml:space="preserve"> </w:t>
      </w:r>
      <w:r w:rsidRPr="0031675F">
        <w:rPr>
          <w:rFonts w:cs="Calibri"/>
        </w:rPr>
        <w:t>fix</w:t>
      </w:r>
      <w:r w:rsidRPr="0031675F">
        <w:rPr>
          <w:rFonts w:cs="Calibri"/>
          <w:spacing w:val="5"/>
        </w:rPr>
        <w:t xml:space="preserve"> </w:t>
      </w:r>
      <w:r w:rsidRPr="0031675F">
        <w:rPr>
          <w:rFonts w:cs="Calibri"/>
        </w:rPr>
        <w:t>in</w:t>
      </w:r>
      <w:r w:rsidRPr="0031675F">
        <w:rPr>
          <w:rFonts w:cs="Calibri"/>
          <w:spacing w:val="4"/>
        </w:rPr>
        <w:t xml:space="preserve"> </w:t>
      </w:r>
      <w:r w:rsidRPr="0031675F">
        <w:rPr>
          <w:rFonts w:cs="Calibri"/>
          <w:spacing w:val="-1"/>
        </w:rPr>
        <w:t>the</w:t>
      </w:r>
      <w:r w:rsidRPr="0031675F">
        <w:rPr>
          <w:rFonts w:cs="Calibri"/>
          <w:spacing w:val="5"/>
        </w:rPr>
        <w:t xml:space="preserve"> </w:t>
      </w:r>
      <w:r w:rsidRPr="0031675F">
        <w:rPr>
          <w:rFonts w:cs="Calibri"/>
        </w:rPr>
        <w:t>Access</w:t>
      </w:r>
      <w:r w:rsidRPr="0031675F">
        <w:rPr>
          <w:rFonts w:cs="Calibri"/>
          <w:spacing w:val="3"/>
        </w:rPr>
        <w:t xml:space="preserve"> </w:t>
      </w:r>
      <w:r w:rsidRPr="0031675F">
        <w:rPr>
          <w:rFonts w:cs="Calibri"/>
          <w:spacing w:val="-1"/>
        </w:rPr>
        <w:t>Database</w:t>
      </w:r>
      <w:r w:rsidRPr="0031675F">
        <w:rPr>
          <w:rFonts w:cs="Calibri"/>
          <w:spacing w:val="5"/>
        </w:rPr>
        <w:t xml:space="preserve"> </w:t>
      </w:r>
      <w:r w:rsidRPr="0031675F">
        <w:rPr>
          <w:rFonts w:cs="Calibri"/>
          <w:spacing w:val="-1"/>
        </w:rPr>
        <w:t>and</w:t>
      </w:r>
      <w:r w:rsidRPr="0031675F">
        <w:rPr>
          <w:rFonts w:cs="Calibri"/>
          <w:spacing w:val="4"/>
        </w:rPr>
        <w:t xml:space="preserve"> </w:t>
      </w:r>
      <w:r w:rsidRPr="0031675F">
        <w:rPr>
          <w:rFonts w:cs="Calibri"/>
          <w:spacing w:val="-1"/>
        </w:rPr>
        <w:t>repeat</w:t>
      </w:r>
      <w:r w:rsidRPr="0031675F">
        <w:rPr>
          <w:rFonts w:cs="Calibri"/>
          <w:spacing w:val="5"/>
        </w:rPr>
        <w:t xml:space="preserve"> </w:t>
      </w:r>
      <w:r w:rsidRPr="0031675F">
        <w:rPr>
          <w:rFonts w:cs="Calibri"/>
          <w:spacing w:val="-1"/>
        </w:rPr>
        <w:t>steps</w:t>
      </w:r>
      <w:r w:rsidRPr="0031675F">
        <w:rPr>
          <w:rFonts w:cs="Calibri"/>
          <w:spacing w:val="5"/>
        </w:rPr>
        <w:t xml:space="preserve"> </w:t>
      </w:r>
      <w:r w:rsidRPr="0031675F">
        <w:rPr>
          <w:rFonts w:cs="Calibri"/>
        </w:rPr>
        <w:t>3</w:t>
      </w:r>
      <w:r w:rsidRPr="0031675F">
        <w:rPr>
          <w:rFonts w:cs="Calibri"/>
          <w:spacing w:val="5"/>
        </w:rPr>
        <w:t xml:space="preserve"> </w:t>
      </w:r>
      <w:r w:rsidRPr="0031675F">
        <w:rPr>
          <w:rFonts w:cs="Calibri"/>
          <w:spacing w:val="-1"/>
        </w:rPr>
        <w:t>and</w:t>
      </w:r>
      <w:r w:rsidRPr="0031675F">
        <w:rPr>
          <w:rFonts w:cs="Calibri"/>
          <w:spacing w:val="59"/>
        </w:rPr>
        <w:t xml:space="preserve"> </w:t>
      </w:r>
      <w:r w:rsidRPr="0031675F">
        <w:t>6.</w:t>
      </w:r>
    </w:p>
    <w:p w14:paraId="4D64AFFC" w14:textId="77777777" w:rsidR="0031675F" w:rsidRPr="0031675F" w:rsidRDefault="0031675F" w:rsidP="0031675F">
      <w:pPr>
        <w:widowControl w:val="0"/>
        <w:numPr>
          <w:ilvl w:val="0"/>
          <w:numId w:val="61"/>
        </w:numPr>
        <w:tabs>
          <w:tab w:val="left" w:pos="821"/>
        </w:tabs>
        <w:spacing w:before="1" w:after="0" w:line="248" w:lineRule="auto"/>
        <w:ind w:right="122"/>
        <w:jc w:val="both"/>
      </w:pPr>
      <w:r w:rsidRPr="0031675F">
        <w:t>At</w:t>
      </w:r>
      <w:r w:rsidRPr="0031675F">
        <w:rPr>
          <w:spacing w:val="4"/>
        </w:rPr>
        <w:t xml:space="preserve"> </w:t>
      </w:r>
      <w:r w:rsidRPr="0031675F">
        <w:rPr>
          <w:spacing w:val="-1"/>
        </w:rPr>
        <w:t>this</w:t>
      </w:r>
      <w:r w:rsidRPr="0031675F">
        <w:rPr>
          <w:spacing w:val="5"/>
        </w:rPr>
        <w:t xml:space="preserve"> </w:t>
      </w:r>
      <w:r w:rsidRPr="0031675F">
        <w:rPr>
          <w:spacing w:val="-1"/>
        </w:rPr>
        <w:t>stage</w:t>
      </w:r>
      <w:r w:rsidRPr="0031675F">
        <w:rPr>
          <w:spacing w:val="5"/>
        </w:rPr>
        <w:t xml:space="preserve"> </w:t>
      </w:r>
      <w:r w:rsidRPr="0031675F">
        <w:t>we</w:t>
      </w:r>
      <w:r w:rsidRPr="0031675F">
        <w:rPr>
          <w:spacing w:val="6"/>
        </w:rPr>
        <w:t xml:space="preserve"> </w:t>
      </w:r>
      <w:r w:rsidRPr="0031675F">
        <w:rPr>
          <w:spacing w:val="-1"/>
        </w:rPr>
        <w:t>have</w:t>
      </w:r>
      <w:r w:rsidRPr="0031675F">
        <w:rPr>
          <w:spacing w:val="5"/>
        </w:rPr>
        <w:t xml:space="preserve"> </w:t>
      </w:r>
      <w:r w:rsidRPr="0031675F">
        <w:rPr>
          <w:spacing w:val="-1"/>
        </w:rPr>
        <w:t>created/modified</w:t>
      </w:r>
      <w:r w:rsidRPr="0031675F">
        <w:rPr>
          <w:spacing w:val="4"/>
        </w:rPr>
        <w:t xml:space="preserve"> </w:t>
      </w:r>
      <w:r w:rsidRPr="0031675F">
        <w:rPr>
          <w:spacing w:val="-1"/>
        </w:rPr>
        <w:t>entries</w:t>
      </w:r>
      <w:r w:rsidRPr="0031675F">
        <w:rPr>
          <w:spacing w:val="5"/>
        </w:rPr>
        <w:t xml:space="preserve"> </w:t>
      </w:r>
      <w:r w:rsidRPr="0031675F">
        <w:t>in</w:t>
      </w:r>
      <w:r w:rsidRPr="0031675F">
        <w:rPr>
          <w:spacing w:val="4"/>
        </w:rPr>
        <w:t xml:space="preserve"> </w:t>
      </w:r>
      <w:r w:rsidRPr="0031675F">
        <w:t>the</w:t>
      </w:r>
      <w:r w:rsidRPr="0031675F">
        <w:rPr>
          <w:spacing w:val="5"/>
        </w:rPr>
        <w:t xml:space="preserve"> </w:t>
      </w:r>
      <w:r w:rsidRPr="0031675F">
        <w:rPr>
          <w:spacing w:val="-1"/>
        </w:rPr>
        <w:t>Nutrients</w:t>
      </w:r>
      <w:r w:rsidRPr="0031675F">
        <w:rPr>
          <w:spacing w:val="5"/>
        </w:rPr>
        <w:t xml:space="preserve"> </w:t>
      </w:r>
      <w:r w:rsidRPr="0031675F">
        <w:rPr>
          <w:spacing w:val="-1"/>
        </w:rPr>
        <w:t>database</w:t>
      </w:r>
      <w:r w:rsidRPr="0031675F">
        <w:rPr>
          <w:spacing w:val="5"/>
        </w:rPr>
        <w:t xml:space="preserve"> </w:t>
      </w:r>
      <w:r w:rsidRPr="0031675F">
        <w:rPr>
          <w:spacing w:val="-1"/>
        </w:rPr>
        <w:t>ready</w:t>
      </w:r>
      <w:r w:rsidRPr="0031675F">
        <w:rPr>
          <w:spacing w:val="6"/>
        </w:rPr>
        <w:t xml:space="preserve"> </w:t>
      </w:r>
      <w:r w:rsidRPr="0031675F">
        <w:rPr>
          <w:spacing w:val="-1"/>
        </w:rPr>
        <w:t>for</w:t>
      </w:r>
      <w:r w:rsidRPr="0031675F">
        <w:rPr>
          <w:spacing w:val="5"/>
        </w:rPr>
        <w:t xml:space="preserve"> </w:t>
      </w:r>
      <w:r w:rsidRPr="0031675F">
        <w:rPr>
          <w:spacing w:val="-1"/>
        </w:rPr>
        <w:t>results</w:t>
      </w:r>
      <w:r w:rsidRPr="0031675F">
        <w:rPr>
          <w:spacing w:val="5"/>
        </w:rPr>
        <w:t xml:space="preserve"> </w:t>
      </w:r>
      <w:r w:rsidRPr="0031675F">
        <w:rPr>
          <w:spacing w:val="-1"/>
        </w:rPr>
        <w:t>to</w:t>
      </w:r>
      <w:r w:rsidRPr="0031675F">
        <w:rPr>
          <w:spacing w:val="6"/>
        </w:rPr>
        <w:t xml:space="preserve"> </w:t>
      </w:r>
      <w:r w:rsidRPr="0031675F">
        <w:rPr>
          <w:spacing w:val="-1"/>
        </w:rPr>
        <w:t>be</w:t>
      </w:r>
      <w:r w:rsidRPr="0031675F">
        <w:rPr>
          <w:spacing w:val="83"/>
        </w:rPr>
        <w:t xml:space="preserve"> </w:t>
      </w:r>
      <w:r w:rsidRPr="0031675F">
        <w:rPr>
          <w:spacing w:val="-1"/>
        </w:rPr>
        <w:t>imported.</w:t>
      </w:r>
      <w:r w:rsidRPr="0031675F">
        <w:rPr>
          <w:spacing w:val="-3"/>
        </w:rPr>
        <w:t xml:space="preserve"> </w:t>
      </w:r>
      <w:r w:rsidRPr="0031675F">
        <w:rPr>
          <w:spacing w:val="-1"/>
        </w:rPr>
        <w:t>Proceed</w:t>
      </w:r>
      <w:r w:rsidRPr="0031675F">
        <w:rPr>
          <w:spacing w:val="-3"/>
        </w:rPr>
        <w:t xml:space="preserve"> </w:t>
      </w:r>
      <w:r w:rsidRPr="0031675F">
        <w:t xml:space="preserve">with </w:t>
      </w:r>
      <w:r w:rsidRPr="0031675F">
        <w:rPr>
          <w:spacing w:val="-1"/>
        </w:rPr>
        <w:t>Feeder Sheet</w:t>
      </w:r>
      <w:r w:rsidRPr="0031675F">
        <w:t xml:space="preserve"> </w:t>
      </w:r>
      <w:r w:rsidRPr="0031675F">
        <w:rPr>
          <w:spacing w:val="-1"/>
        </w:rPr>
        <w:t>imports.</w:t>
      </w:r>
    </w:p>
    <w:p w14:paraId="2AC02F6A" w14:textId="7FE8CBA4" w:rsidR="0031675F" w:rsidRPr="0031675F" w:rsidRDefault="0031675F" w:rsidP="0031675F">
      <w:pPr>
        <w:widowControl w:val="0"/>
        <w:numPr>
          <w:ilvl w:val="0"/>
          <w:numId w:val="61"/>
        </w:numPr>
        <w:tabs>
          <w:tab w:val="left" w:pos="821"/>
        </w:tabs>
        <w:spacing w:before="2" w:after="0" w:line="240" w:lineRule="auto"/>
      </w:pPr>
      <w:r w:rsidRPr="0031675F">
        <w:rPr>
          <w:spacing w:val="-1"/>
        </w:rPr>
        <w:t>For</w:t>
      </w:r>
      <w:r w:rsidRPr="0031675F">
        <w:t xml:space="preserve"> </w:t>
      </w:r>
      <w:r w:rsidR="008F55F2">
        <w:rPr>
          <w:spacing w:val="-1"/>
        </w:rPr>
        <w:t>e</w:t>
      </w:r>
      <w:r w:rsidRPr="0031675F">
        <w:rPr>
          <w:spacing w:val="-1"/>
        </w:rPr>
        <w:t>ach</w:t>
      </w:r>
      <w:r w:rsidRPr="0031675F">
        <w:rPr>
          <w:spacing w:val="-3"/>
        </w:rPr>
        <w:t xml:space="preserve"> </w:t>
      </w:r>
      <w:r w:rsidRPr="0031675F">
        <w:rPr>
          <w:spacing w:val="-1"/>
        </w:rPr>
        <w:t>sample</w:t>
      </w:r>
      <w:r w:rsidRPr="0031675F">
        <w:t xml:space="preserve"> </w:t>
      </w:r>
      <w:r w:rsidRPr="0031675F">
        <w:rPr>
          <w:spacing w:val="-1"/>
        </w:rPr>
        <w:t>type;</w:t>
      </w:r>
    </w:p>
    <w:p w14:paraId="29E7B952" w14:textId="77777777" w:rsidR="0031675F" w:rsidRPr="0031675F" w:rsidRDefault="0031675F" w:rsidP="0031675F">
      <w:pPr>
        <w:widowControl w:val="0"/>
        <w:numPr>
          <w:ilvl w:val="1"/>
          <w:numId w:val="61"/>
        </w:numPr>
        <w:tabs>
          <w:tab w:val="left" w:pos="1541"/>
        </w:tabs>
        <w:spacing w:before="12" w:after="0" w:line="240" w:lineRule="auto"/>
      </w:pPr>
      <w:r w:rsidRPr="0031675F">
        <w:rPr>
          <w:rFonts w:cs="Calibri"/>
          <w:spacing w:val="-1"/>
        </w:rPr>
        <w:t>Upload</w:t>
      </w:r>
      <w:r w:rsidRPr="0031675F">
        <w:rPr>
          <w:rFonts w:cs="Calibri"/>
        </w:rPr>
        <w:t xml:space="preserve"> </w:t>
      </w:r>
      <w:r w:rsidRPr="0031675F">
        <w:rPr>
          <w:rFonts w:cs="Calibri"/>
          <w:spacing w:val="2"/>
        </w:rPr>
        <w:t xml:space="preserve"> </w:t>
      </w:r>
      <w:r w:rsidRPr="0031675F">
        <w:rPr>
          <w:rFonts w:cs="Calibri"/>
        </w:rPr>
        <w:t xml:space="preserve">the </w:t>
      </w:r>
      <w:r w:rsidRPr="0031675F">
        <w:rPr>
          <w:rFonts w:cs="Calibri"/>
          <w:spacing w:val="3"/>
        </w:rPr>
        <w:t xml:space="preserve"> </w:t>
      </w:r>
      <w:r w:rsidRPr="0031675F">
        <w:rPr>
          <w:rFonts w:cs="Calibri"/>
          <w:spacing w:val="-1"/>
        </w:rPr>
        <w:t>feeder</w:t>
      </w:r>
      <w:r w:rsidRPr="0031675F">
        <w:rPr>
          <w:rFonts w:cs="Calibri"/>
        </w:rPr>
        <w:t xml:space="preserve"> </w:t>
      </w:r>
      <w:r w:rsidRPr="0031675F">
        <w:rPr>
          <w:rFonts w:cs="Calibri"/>
          <w:spacing w:val="3"/>
        </w:rPr>
        <w:t xml:space="preserve"> </w:t>
      </w:r>
      <w:r w:rsidRPr="0031675F">
        <w:rPr>
          <w:rFonts w:cs="Calibri"/>
          <w:spacing w:val="-1"/>
        </w:rPr>
        <w:t>sheet</w:t>
      </w:r>
      <w:r w:rsidRPr="0031675F">
        <w:rPr>
          <w:rFonts w:cs="Calibri"/>
        </w:rPr>
        <w:t xml:space="preserve"> </w:t>
      </w:r>
      <w:r w:rsidRPr="0031675F">
        <w:rPr>
          <w:rFonts w:cs="Calibri"/>
          <w:spacing w:val="1"/>
        </w:rPr>
        <w:t xml:space="preserve"> </w:t>
      </w:r>
      <w:r w:rsidRPr="0031675F">
        <w:rPr>
          <w:rFonts w:cs="Calibri"/>
        </w:rPr>
        <w:t xml:space="preserve">for </w:t>
      </w:r>
      <w:r w:rsidRPr="0031675F">
        <w:rPr>
          <w:rFonts w:cs="Calibri"/>
          <w:spacing w:val="3"/>
        </w:rPr>
        <w:t xml:space="preserve"> </w:t>
      </w:r>
      <w:r w:rsidRPr="0031675F">
        <w:rPr>
          <w:rFonts w:cs="Calibri"/>
        </w:rPr>
        <w:t xml:space="preserve">the </w:t>
      </w:r>
      <w:r w:rsidRPr="0031675F">
        <w:rPr>
          <w:rFonts w:cs="Calibri"/>
          <w:spacing w:val="3"/>
        </w:rPr>
        <w:t xml:space="preserve"> </w:t>
      </w:r>
      <w:r w:rsidRPr="0031675F">
        <w:rPr>
          <w:rFonts w:cs="Calibri"/>
          <w:spacing w:val="-1"/>
        </w:rPr>
        <w:t>sample</w:t>
      </w:r>
      <w:r w:rsidRPr="0031675F">
        <w:rPr>
          <w:rFonts w:cs="Calibri"/>
        </w:rPr>
        <w:t xml:space="preserve"> </w:t>
      </w:r>
      <w:r w:rsidRPr="0031675F">
        <w:rPr>
          <w:rFonts w:cs="Calibri"/>
          <w:spacing w:val="3"/>
        </w:rPr>
        <w:t xml:space="preserve"> </w:t>
      </w:r>
      <w:r w:rsidRPr="0031675F">
        <w:rPr>
          <w:rFonts w:cs="Calibri"/>
          <w:spacing w:val="-1"/>
        </w:rPr>
        <w:t>results</w:t>
      </w:r>
      <w:r w:rsidRPr="0031675F">
        <w:rPr>
          <w:rFonts w:cs="Calibri"/>
        </w:rPr>
        <w:t xml:space="preserve"> </w:t>
      </w:r>
      <w:r w:rsidRPr="0031675F">
        <w:rPr>
          <w:rFonts w:cs="Calibri"/>
          <w:spacing w:val="3"/>
        </w:rPr>
        <w:t xml:space="preserve"> </w:t>
      </w:r>
      <w:r w:rsidRPr="0031675F">
        <w:rPr>
          <w:rFonts w:cs="Calibri"/>
          <w:spacing w:val="-2"/>
        </w:rPr>
        <w:t>using</w:t>
      </w:r>
      <w:r w:rsidRPr="0031675F">
        <w:rPr>
          <w:rFonts w:cs="Calibri"/>
        </w:rPr>
        <w:t xml:space="preserve"> </w:t>
      </w:r>
      <w:r w:rsidRPr="0031675F">
        <w:rPr>
          <w:rFonts w:cs="Calibri"/>
          <w:spacing w:val="2"/>
        </w:rPr>
        <w:t xml:space="preserve"> </w:t>
      </w:r>
      <w:r w:rsidRPr="0031675F">
        <w:rPr>
          <w:rFonts w:cs="Calibri"/>
        </w:rPr>
        <w:t xml:space="preserve">the </w:t>
      </w:r>
      <w:r w:rsidRPr="0031675F">
        <w:rPr>
          <w:rFonts w:cs="Calibri"/>
          <w:spacing w:val="3"/>
        </w:rPr>
        <w:t xml:space="preserve"> </w:t>
      </w:r>
      <w:r w:rsidRPr="0031675F">
        <w:rPr>
          <w:rFonts w:cs="Calibri"/>
        </w:rPr>
        <w:t xml:space="preserve">‘WQ </w:t>
      </w:r>
      <w:r w:rsidRPr="0031675F">
        <w:rPr>
          <w:rFonts w:cs="Calibri"/>
          <w:spacing w:val="1"/>
        </w:rPr>
        <w:t xml:space="preserve"> </w:t>
      </w:r>
      <w:r w:rsidRPr="0031675F">
        <w:rPr>
          <w:rFonts w:cs="Calibri"/>
        </w:rPr>
        <w:t xml:space="preserve">Data </w:t>
      </w:r>
      <w:r w:rsidRPr="0031675F">
        <w:rPr>
          <w:rFonts w:cs="Calibri"/>
          <w:spacing w:val="3"/>
        </w:rPr>
        <w:t xml:space="preserve"> </w:t>
      </w:r>
      <w:r w:rsidRPr="0031675F">
        <w:rPr>
          <w:rFonts w:cs="Calibri"/>
          <w:spacing w:val="-1"/>
        </w:rPr>
        <w:t>Import</w:t>
      </w:r>
      <w:r w:rsidRPr="0031675F">
        <w:rPr>
          <w:rFonts w:cs="Calibri"/>
        </w:rPr>
        <w:t xml:space="preserve"> </w:t>
      </w:r>
      <w:r w:rsidRPr="0031675F">
        <w:rPr>
          <w:rFonts w:cs="Calibri"/>
          <w:spacing w:val="1"/>
        </w:rPr>
        <w:t xml:space="preserve"> Tasks</w:t>
      </w:r>
      <w:r w:rsidRPr="0031675F">
        <w:rPr>
          <w:spacing w:val="1"/>
        </w:rPr>
        <w:t>-</w:t>
      </w:r>
    </w:p>
    <w:p w14:paraId="39BD4107" w14:textId="77777777" w:rsidR="0031675F" w:rsidRPr="0031675F" w:rsidRDefault="0031675F" w:rsidP="0031675F">
      <w:pPr>
        <w:spacing w:before="10" w:after="120" w:line="251" w:lineRule="auto"/>
        <w:ind w:left="1540" w:right="121"/>
        <w:rPr>
          <w:rFonts w:cs="Calibri"/>
        </w:rPr>
      </w:pPr>
      <w:r w:rsidRPr="0031675F">
        <w:rPr>
          <w:spacing w:val="-1"/>
        </w:rPr>
        <w:t>&gt;Analysis</w:t>
      </w:r>
      <w:r w:rsidRPr="0031675F">
        <w:rPr>
          <w:spacing w:val="3"/>
        </w:rPr>
        <w:t xml:space="preserve"> </w:t>
      </w:r>
      <w:r w:rsidRPr="0031675F">
        <w:rPr>
          <w:spacing w:val="-1"/>
        </w:rPr>
        <w:t>Feeder</w:t>
      </w:r>
      <w:r w:rsidRPr="0031675F">
        <w:rPr>
          <w:spacing w:val="3"/>
        </w:rPr>
        <w:t xml:space="preserve"> </w:t>
      </w:r>
      <w:r w:rsidRPr="0031675F">
        <w:rPr>
          <w:spacing w:val="-1"/>
        </w:rPr>
        <w:t>Spread</w:t>
      </w:r>
      <w:r w:rsidRPr="0031675F">
        <w:rPr>
          <w:spacing w:val="2"/>
        </w:rPr>
        <w:t xml:space="preserve"> </w:t>
      </w:r>
      <w:r w:rsidRPr="0031675F">
        <w:rPr>
          <w:spacing w:val="-1"/>
        </w:rPr>
        <w:t>Sheet</w:t>
      </w:r>
      <w:r w:rsidRPr="0031675F">
        <w:rPr>
          <w:spacing w:val="3"/>
        </w:rPr>
        <w:t xml:space="preserve"> </w:t>
      </w:r>
      <w:r w:rsidRPr="0031675F">
        <w:rPr>
          <w:spacing w:val="-1"/>
        </w:rPr>
        <w:t>Import</w:t>
      </w:r>
      <w:r w:rsidRPr="0031675F">
        <w:rPr>
          <w:spacing w:val="2"/>
        </w:rPr>
        <w:t xml:space="preserve"> </w:t>
      </w:r>
      <w:r w:rsidRPr="0031675F">
        <w:rPr>
          <w:spacing w:val="-1"/>
        </w:rPr>
        <w:t>Actions-</w:t>
      </w:r>
      <w:r w:rsidRPr="0031675F">
        <w:rPr>
          <w:rFonts w:cs="Calibri"/>
          <w:spacing w:val="-1"/>
        </w:rPr>
        <w:t>&gt;Upload</w:t>
      </w:r>
      <w:r w:rsidRPr="0031675F">
        <w:rPr>
          <w:rFonts w:cs="Calibri"/>
          <w:spacing w:val="2"/>
        </w:rPr>
        <w:t xml:space="preserve"> </w:t>
      </w:r>
      <w:r w:rsidRPr="0031675F">
        <w:rPr>
          <w:rFonts w:cs="Calibri"/>
          <w:spacing w:val="-1"/>
        </w:rPr>
        <w:t>“Sample</w:t>
      </w:r>
      <w:r w:rsidRPr="0031675F">
        <w:rPr>
          <w:rFonts w:cs="Calibri"/>
          <w:spacing w:val="2"/>
        </w:rPr>
        <w:t xml:space="preserve"> </w:t>
      </w:r>
      <w:r w:rsidRPr="0031675F">
        <w:rPr>
          <w:rFonts w:cs="Calibri"/>
          <w:spacing w:val="-1"/>
        </w:rPr>
        <w:t>Type”</w:t>
      </w:r>
      <w:r w:rsidRPr="0031675F">
        <w:rPr>
          <w:rFonts w:cs="Calibri"/>
          <w:spacing w:val="3"/>
        </w:rPr>
        <w:t xml:space="preserve"> </w:t>
      </w:r>
      <w:r w:rsidRPr="0031675F">
        <w:rPr>
          <w:rFonts w:cs="Calibri"/>
          <w:spacing w:val="-1"/>
        </w:rPr>
        <w:t>Sample</w:t>
      </w:r>
      <w:r w:rsidRPr="0031675F">
        <w:rPr>
          <w:rFonts w:cs="Calibri"/>
          <w:spacing w:val="2"/>
        </w:rPr>
        <w:t xml:space="preserve"> </w:t>
      </w:r>
      <w:r w:rsidRPr="0031675F">
        <w:rPr>
          <w:rFonts w:cs="Calibri"/>
          <w:spacing w:val="-1"/>
        </w:rPr>
        <w:t>Replicate</w:t>
      </w:r>
      <w:r w:rsidRPr="0031675F">
        <w:rPr>
          <w:rFonts w:cs="Calibri"/>
          <w:spacing w:val="73"/>
        </w:rPr>
        <w:t xml:space="preserve"> </w:t>
      </w:r>
      <w:r w:rsidRPr="0031675F">
        <w:rPr>
          <w:rFonts w:cs="Calibri"/>
        </w:rPr>
        <w:t xml:space="preserve">Data </w:t>
      </w:r>
      <w:r w:rsidRPr="0031675F">
        <w:rPr>
          <w:rFonts w:cs="Calibri"/>
          <w:spacing w:val="-1"/>
        </w:rPr>
        <w:t>Spreadsheet’</w:t>
      </w:r>
      <w:r w:rsidRPr="0031675F">
        <w:rPr>
          <w:rFonts w:cs="Calibri"/>
        </w:rPr>
        <w:t xml:space="preserve"> </w:t>
      </w:r>
      <w:r w:rsidRPr="0031675F">
        <w:rPr>
          <w:rFonts w:cs="Calibri"/>
          <w:spacing w:val="-1"/>
        </w:rPr>
        <w:t>application form</w:t>
      </w:r>
      <w:r w:rsidRPr="0031675F">
        <w:rPr>
          <w:rFonts w:cs="Calibri"/>
          <w:spacing w:val="-2"/>
        </w:rPr>
        <w:t xml:space="preserve"> </w:t>
      </w:r>
      <w:r w:rsidRPr="0031675F">
        <w:rPr>
          <w:rFonts w:cs="Calibri"/>
          <w:spacing w:val="-1"/>
        </w:rPr>
        <w:t>path.</w:t>
      </w:r>
    </w:p>
    <w:p w14:paraId="2C7472E6" w14:textId="77777777" w:rsidR="0031675F" w:rsidRPr="0031675F" w:rsidRDefault="0031675F" w:rsidP="0031675F">
      <w:pPr>
        <w:widowControl w:val="0"/>
        <w:numPr>
          <w:ilvl w:val="1"/>
          <w:numId w:val="61"/>
        </w:numPr>
        <w:tabs>
          <w:tab w:val="left" w:pos="1541"/>
        </w:tabs>
        <w:spacing w:before="0" w:after="0" w:line="249" w:lineRule="auto"/>
        <w:ind w:right="113"/>
        <w:jc w:val="both"/>
      </w:pPr>
      <w:r w:rsidRPr="0031675F">
        <w:t>Import</w:t>
      </w:r>
      <w:r w:rsidRPr="0031675F">
        <w:rPr>
          <w:spacing w:val="28"/>
        </w:rPr>
        <w:t xml:space="preserve"> </w:t>
      </w:r>
      <w:r w:rsidRPr="0031675F">
        <w:t>t</w:t>
      </w:r>
      <w:r w:rsidRPr="0031675F">
        <w:rPr>
          <w:rFonts w:cs="Calibri"/>
        </w:rPr>
        <w:t>he</w:t>
      </w:r>
      <w:r w:rsidRPr="0031675F">
        <w:rPr>
          <w:rFonts w:cs="Calibri"/>
          <w:spacing w:val="32"/>
        </w:rPr>
        <w:t xml:space="preserve"> </w:t>
      </w:r>
      <w:r w:rsidRPr="0031675F">
        <w:rPr>
          <w:rFonts w:cs="Calibri"/>
          <w:spacing w:val="-1"/>
        </w:rPr>
        <w:t>sample</w:t>
      </w:r>
      <w:r w:rsidRPr="0031675F">
        <w:rPr>
          <w:rFonts w:cs="Calibri"/>
          <w:spacing w:val="32"/>
        </w:rPr>
        <w:t xml:space="preserve"> </w:t>
      </w:r>
      <w:r w:rsidRPr="0031675F">
        <w:rPr>
          <w:rFonts w:cs="Calibri"/>
          <w:spacing w:val="-1"/>
        </w:rPr>
        <w:t>results</w:t>
      </w:r>
      <w:r w:rsidRPr="0031675F">
        <w:rPr>
          <w:rFonts w:cs="Calibri"/>
          <w:spacing w:val="29"/>
        </w:rPr>
        <w:t xml:space="preserve"> </w:t>
      </w:r>
      <w:r w:rsidRPr="0031675F">
        <w:rPr>
          <w:rFonts w:cs="Calibri"/>
        </w:rPr>
        <w:t>for</w:t>
      </w:r>
      <w:r w:rsidRPr="0031675F">
        <w:rPr>
          <w:rFonts w:cs="Calibri"/>
          <w:spacing w:val="31"/>
        </w:rPr>
        <w:t xml:space="preserve"> </w:t>
      </w:r>
      <w:r w:rsidRPr="0031675F">
        <w:rPr>
          <w:rFonts w:cs="Calibri"/>
        </w:rPr>
        <w:t>the</w:t>
      </w:r>
      <w:r w:rsidRPr="0031675F">
        <w:rPr>
          <w:rFonts w:cs="Calibri"/>
          <w:spacing w:val="32"/>
        </w:rPr>
        <w:t xml:space="preserve"> </w:t>
      </w:r>
      <w:r w:rsidRPr="0031675F">
        <w:rPr>
          <w:rFonts w:cs="Calibri"/>
          <w:spacing w:val="-1"/>
        </w:rPr>
        <w:t>sample</w:t>
      </w:r>
      <w:r w:rsidRPr="0031675F">
        <w:rPr>
          <w:rFonts w:cs="Calibri"/>
          <w:spacing w:val="32"/>
        </w:rPr>
        <w:t xml:space="preserve"> </w:t>
      </w:r>
      <w:r w:rsidRPr="0031675F">
        <w:rPr>
          <w:rFonts w:cs="Calibri"/>
          <w:spacing w:val="-1"/>
        </w:rPr>
        <w:t>using</w:t>
      </w:r>
      <w:r w:rsidRPr="0031675F">
        <w:rPr>
          <w:rFonts w:cs="Calibri"/>
          <w:spacing w:val="30"/>
        </w:rPr>
        <w:t xml:space="preserve"> </w:t>
      </w:r>
      <w:r w:rsidRPr="0031675F">
        <w:rPr>
          <w:rFonts w:cs="Calibri"/>
        </w:rPr>
        <w:t>the</w:t>
      </w:r>
      <w:r w:rsidRPr="0031675F">
        <w:rPr>
          <w:rFonts w:cs="Calibri"/>
          <w:spacing w:val="29"/>
        </w:rPr>
        <w:t xml:space="preserve"> </w:t>
      </w:r>
      <w:r w:rsidRPr="0031675F">
        <w:rPr>
          <w:rFonts w:cs="Calibri"/>
        </w:rPr>
        <w:t>‘WQ</w:t>
      </w:r>
      <w:r w:rsidRPr="0031675F">
        <w:rPr>
          <w:rFonts w:cs="Calibri"/>
          <w:spacing w:val="32"/>
        </w:rPr>
        <w:t xml:space="preserve"> </w:t>
      </w:r>
      <w:r w:rsidRPr="0031675F">
        <w:rPr>
          <w:rFonts w:cs="Calibri"/>
          <w:spacing w:val="-1"/>
        </w:rPr>
        <w:t>Data</w:t>
      </w:r>
      <w:r w:rsidRPr="0031675F">
        <w:rPr>
          <w:rFonts w:cs="Calibri"/>
          <w:spacing w:val="31"/>
        </w:rPr>
        <w:t xml:space="preserve"> </w:t>
      </w:r>
      <w:r w:rsidRPr="0031675F">
        <w:rPr>
          <w:rFonts w:cs="Calibri"/>
          <w:spacing w:val="-1"/>
        </w:rPr>
        <w:t>Import</w:t>
      </w:r>
      <w:r w:rsidRPr="0031675F">
        <w:rPr>
          <w:rFonts w:cs="Calibri"/>
          <w:spacing w:val="32"/>
        </w:rPr>
        <w:t xml:space="preserve"> </w:t>
      </w:r>
      <w:r w:rsidRPr="0031675F">
        <w:rPr>
          <w:rFonts w:cs="Calibri"/>
          <w:spacing w:val="-1"/>
        </w:rPr>
        <w:t>Tasks</w:t>
      </w:r>
      <w:r w:rsidRPr="0031675F">
        <w:rPr>
          <w:spacing w:val="-1"/>
        </w:rPr>
        <w:t>-&gt;Analysis</w:t>
      </w:r>
      <w:r w:rsidRPr="0031675F">
        <w:rPr>
          <w:spacing w:val="53"/>
        </w:rPr>
        <w:t xml:space="preserve"> </w:t>
      </w:r>
      <w:r w:rsidRPr="0031675F">
        <w:rPr>
          <w:spacing w:val="-1"/>
        </w:rPr>
        <w:t>Feeder</w:t>
      </w:r>
      <w:r w:rsidRPr="0031675F">
        <w:rPr>
          <w:spacing w:val="46"/>
        </w:rPr>
        <w:t xml:space="preserve"> </w:t>
      </w:r>
      <w:r w:rsidRPr="0031675F">
        <w:rPr>
          <w:spacing w:val="-1"/>
        </w:rPr>
        <w:t>Spread</w:t>
      </w:r>
      <w:r w:rsidRPr="0031675F">
        <w:rPr>
          <w:spacing w:val="45"/>
        </w:rPr>
        <w:t xml:space="preserve"> </w:t>
      </w:r>
      <w:r w:rsidRPr="0031675F">
        <w:rPr>
          <w:spacing w:val="-1"/>
        </w:rPr>
        <w:t>Sheet</w:t>
      </w:r>
      <w:r w:rsidRPr="0031675F">
        <w:rPr>
          <w:spacing w:val="46"/>
        </w:rPr>
        <w:t xml:space="preserve"> </w:t>
      </w:r>
      <w:r w:rsidRPr="0031675F">
        <w:rPr>
          <w:spacing w:val="-1"/>
        </w:rPr>
        <w:t>Import</w:t>
      </w:r>
      <w:r w:rsidRPr="0031675F">
        <w:rPr>
          <w:spacing w:val="45"/>
        </w:rPr>
        <w:t xml:space="preserve"> </w:t>
      </w:r>
      <w:r w:rsidRPr="0031675F">
        <w:rPr>
          <w:spacing w:val="-1"/>
        </w:rPr>
        <w:t>Actions-</w:t>
      </w:r>
      <w:r w:rsidRPr="0031675F">
        <w:rPr>
          <w:rFonts w:cs="Calibri"/>
          <w:spacing w:val="-1"/>
        </w:rPr>
        <w:t>&gt;Import</w:t>
      </w:r>
      <w:r w:rsidRPr="0031675F">
        <w:rPr>
          <w:rFonts w:cs="Calibri"/>
          <w:spacing w:val="46"/>
        </w:rPr>
        <w:t xml:space="preserve"> </w:t>
      </w:r>
      <w:r w:rsidRPr="0031675F">
        <w:rPr>
          <w:rFonts w:cs="Calibri"/>
          <w:spacing w:val="-1"/>
        </w:rPr>
        <w:t>“Sample</w:t>
      </w:r>
      <w:r w:rsidRPr="0031675F">
        <w:rPr>
          <w:rFonts w:cs="Calibri"/>
          <w:spacing w:val="46"/>
        </w:rPr>
        <w:t xml:space="preserve"> </w:t>
      </w:r>
      <w:r w:rsidRPr="0031675F">
        <w:rPr>
          <w:rFonts w:cs="Calibri"/>
          <w:spacing w:val="-1"/>
        </w:rPr>
        <w:t>Type”</w:t>
      </w:r>
      <w:r w:rsidRPr="0031675F">
        <w:rPr>
          <w:rFonts w:cs="Calibri"/>
          <w:spacing w:val="47"/>
        </w:rPr>
        <w:t xml:space="preserve"> </w:t>
      </w:r>
      <w:r w:rsidRPr="0031675F">
        <w:rPr>
          <w:rFonts w:cs="Calibri"/>
          <w:spacing w:val="-1"/>
        </w:rPr>
        <w:t>Sample</w:t>
      </w:r>
      <w:r w:rsidRPr="0031675F">
        <w:rPr>
          <w:rFonts w:cs="Calibri"/>
          <w:spacing w:val="45"/>
        </w:rPr>
        <w:t xml:space="preserve"> </w:t>
      </w:r>
      <w:r w:rsidRPr="0031675F">
        <w:rPr>
          <w:rFonts w:cs="Calibri"/>
          <w:spacing w:val="-1"/>
        </w:rPr>
        <w:t>Replicate</w:t>
      </w:r>
      <w:r w:rsidRPr="0031675F">
        <w:rPr>
          <w:rFonts w:cs="Calibri"/>
          <w:spacing w:val="47"/>
        </w:rPr>
        <w:t xml:space="preserve"> </w:t>
      </w:r>
      <w:r w:rsidRPr="0031675F">
        <w:rPr>
          <w:rFonts w:cs="Calibri"/>
          <w:spacing w:val="-1"/>
        </w:rPr>
        <w:t>Data’</w:t>
      </w:r>
      <w:r w:rsidRPr="0031675F">
        <w:rPr>
          <w:rFonts w:cs="Calibri"/>
          <w:spacing w:val="53"/>
        </w:rPr>
        <w:t xml:space="preserve"> </w:t>
      </w:r>
      <w:r w:rsidRPr="0031675F">
        <w:rPr>
          <w:spacing w:val="-1"/>
        </w:rPr>
        <w:t xml:space="preserve">application </w:t>
      </w:r>
      <w:r w:rsidRPr="0031675F">
        <w:rPr>
          <w:spacing w:val="-2"/>
        </w:rPr>
        <w:t>form</w:t>
      </w:r>
      <w:r w:rsidRPr="0031675F">
        <w:rPr>
          <w:spacing w:val="1"/>
        </w:rPr>
        <w:t xml:space="preserve"> </w:t>
      </w:r>
      <w:r w:rsidRPr="0031675F">
        <w:rPr>
          <w:spacing w:val="-1"/>
        </w:rPr>
        <w:t>path.</w:t>
      </w:r>
    </w:p>
    <w:p w14:paraId="0A68B4BB" w14:textId="77777777" w:rsidR="0031675F" w:rsidRPr="0031675F" w:rsidRDefault="0031675F" w:rsidP="0031675F">
      <w:pPr>
        <w:widowControl w:val="0"/>
        <w:numPr>
          <w:ilvl w:val="0"/>
          <w:numId w:val="61"/>
        </w:numPr>
        <w:tabs>
          <w:tab w:val="left" w:pos="821"/>
        </w:tabs>
        <w:spacing w:before="56" w:after="0" w:line="251" w:lineRule="auto"/>
        <w:ind w:right="114"/>
        <w:jc w:val="both"/>
      </w:pPr>
      <w:r w:rsidRPr="0031675F">
        <w:rPr>
          <w:rFonts w:cs="Calibri"/>
          <w:spacing w:val="-1"/>
        </w:rPr>
        <w:t>Confirm</w:t>
      </w:r>
      <w:r w:rsidRPr="0031675F">
        <w:rPr>
          <w:rFonts w:cs="Calibri"/>
          <w:spacing w:val="2"/>
        </w:rPr>
        <w:t xml:space="preserve"> </w:t>
      </w:r>
      <w:r w:rsidRPr="0031675F">
        <w:rPr>
          <w:rFonts w:cs="Calibri"/>
        </w:rPr>
        <w:t>the</w:t>
      </w:r>
      <w:r w:rsidRPr="0031675F">
        <w:rPr>
          <w:rFonts w:cs="Calibri"/>
          <w:spacing w:val="3"/>
        </w:rPr>
        <w:t xml:space="preserve"> </w:t>
      </w:r>
      <w:r w:rsidRPr="0031675F">
        <w:rPr>
          <w:rFonts w:cs="Calibri"/>
          <w:spacing w:val="-1"/>
        </w:rPr>
        <w:t>Sample</w:t>
      </w:r>
      <w:r w:rsidRPr="0031675F">
        <w:rPr>
          <w:rFonts w:cs="Calibri"/>
          <w:spacing w:val="1"/>
        </w:rPr>
        <w:t xml:space="preserve"> </w:t>
      </w:r>
      <w:r w:rsidRPr="0031675F">
        <w:rPr>
          <w:rFonts w:cs="Calibri"/>
          <w:spacing w:val="-1"/>
        </w:rPr>
        <w:t>Replicate</w:t>
      </w:r>
      <w:r w:rsidRPr="0031675F">
        <w:rPr>
          <w:rFonts w:cs="Calibri"/>
          <w:spacing w:val="4"/>
        </w:rPr>
        <w:t xml:space="preserve"> </w:t>
      </w:r>
      <w:r w:rsidRPr="0031675F">
        <w:rPr>
          <w:rFonts w:cs="Calibri"/>
          <w:spacing w:val="-1"/>
        </w:rPr>
        <w:t>results</w:t>
      </w:r>
      <w:r w:rsidRPr="0031675F">
        <w:rPr>
          <w:rFonts w:cs="Calibri"/>
          <w:spacing w:val="1"/>
        </w:rPr>
        <w:t xml:space="preserve"> </w:t>
      </w:r>
      <w:r w:rsidRPr="0031675F">
        <w:rPr>
          <w:rFonts w:cs="Calibri"/>
          <w:spacing w:val="-1"/>
        </w:rPr>
        <w:t>were</w:t>
      </w:r>
      <w:r w:rsidRPr="0031675F">
        <w:rPr>
          <w:rFonts w:cs="Calibri"/>
          <w:spacing w:val="3"/>
        </w:rPr>
        <w:t xml:space="preserve"> </w:t>
      </w:r>
      <w:r w:rsidRPr="0031675F">
        <w:rPr>
          <w:rFonts w:cs="Calibri"/>
          <w:spacing w:val="-1"/>
        </w:rPr>
        <w:t>uploaded</w:t>
      </w:r>
      <w:r w:rsidRPr="0031675F">
        <w:rPr>
          <w:rFonts w:cs="Calibri"/>
          <w:spacing w:val="3"/>
        </w:rPr>
        <w:t xml:space="preserve"> </w:t>
      </w:r>
      <w:r w:rsidRPr="0031675F">
        <w:rPr>
          <w:rFonts w:cs="Calibri"/>
          <w:spacing w:val="-1"/>
        </w:rPr>
        <w:t>using</w:t>
      </w:r>
      <w:r w:rsidRPr="0031675F">
        <w:rPr>
          <w:rFonts w:cs="Calibri"/>
          <w:spacing w:val="2"/>
        </w:rPr>
        <w:t xml:space="preserve"> </w:t>
      </w:r>
      <w:r w:rsidRPr="0031675F">
        <w:rPr>
          <w:rFonts w:cs="Calibri"/>
        </w:rPr>
        <w:t>the</w:t>
      </w:r>
      <w:r w:rsidRPr="0031675F">
        <w:rPr>
          <w:rFonts w:cs="Calibri"/>
          <w:spacing w:val="3"/>
        </w:rPr>
        <w:t xml:space="preserve"> </w:t>
      </w:r>
      <w:r w:rsidRPr="0031675F">
        <w:rPr>
          <w:rFonts w:cs="Calibri"/>
          <w:spacing w:val="-1"/>
        </w:rPr>
        <w:t>‘WQ</w:t>
      </w:r>
      <w:r w:rsidRPr="0031675F">
        <w:rPr>
          <w:rFonts w:cs="Calibri"/>
          <w:spacing w:val="4"/>
        </w:rPr>
        <w:t xml:space="preserve"> </w:t>
      </w:r>
      <w:r w:rsidRPr="0031675F">
        <w:rPr>
          <w:rFonts w:cs="Calibri"/>
          <w:spacing w:val="-2"/>
        </w:rPr>
        <w:t>Sample</w:t>
      </w:r>
      <w:r w:rsidRPr="0031675F">
        <w:rPr>
          <w:rFonts w:cs="Calibri"/>
          <w:spacing w:val="3"/>
        </w:rPr>
        <w:t xml:space="preserve"> </w:t>
      </w:r>
      <w:r w:rsidRPr="0031675F">
        <w:rPr>
          <w:rFonts w:cs="Calibri"/>
        </w:rPr>
        <w:t>Replicate</w:t>
      </w:r>
      <w:r w:rsidRPr="0031675F">
        <w:rPr>
          <w:rFonts w:cs="Calibri"/>
          <w:spacing w:val="1"/>
        </w:rPr>
        <w:t xml:space="preserve"> </w:t>
      </w:r>
      <w:r w:rsidRPr="0031675F">
        <w:rPr>
          <w:rFonts w:cs="Calibri"/>
        </w:rPr>
        <w:t>List’</w:t>
      </w:r>
      <w:r w:rsidRPr="0031675F">
        <w:rPr>
          <w:rFonts w:cs="Calibri"/>
          <w:spacing w:val="53"/>
        </w:rPr>
        <w:t xml:space="preserve"> </w:t>
      </w:r>
      <w:r w:rsidRPr="0031675F">
        <w:rPr>
          <w:spacing w:val="-1"/>
        </w:rPr>
        <w:t xml:space="preserve">application </w:t>
      </w:r>
      <w:r w:rsidRPr="0031675F">
        <w:rPr>
          <w:spacing w:val="-2"/>
        </w:rPr>
        <w:t>form</w:t>
      </w:r>
      <w:r w:rsidRPr="0031675F">
        <w:rPr>
          <w:spacing w:val="1"/>
        </w:rPr>
        <w:t xml:space="preserve"> </w:t>
      </w:r>
      <w:r w:rsidRPr="0031675F">
        <w:rPr>
          <w:spacing w:val="-1"/>
        </w:rPr>
        <w:t>path.</w:t>
      </w:r>
      <w:r w:rsidRPr="0031675F">
        <w:t xml:space="preserve"> If </w:t>
      </w:r>
      <w:r w:rsidRPr="0031675F">
        <w:rPr>
          <w:spacing w:val="-1"/>
        </w:rPr>
        <w:t>there</w:t>
      </w:r>
      <w:r w:rsidRPr="0031675F">
        <w:t xml:space="preserve"> </w:t>
      </w:r>
      <w:r w:rsidRPr="0031675F">
        <w:rPr>
          <w:spacing w:val="-1"/>
        </w:rPr>
        <w:t>are</w:t>
      </w:r>
      <w:r w:rsidRPr="0031675F">
        <w:t xml:space="preserve"> </w:t>
      </w:r>
      <w:r w:rsidRPr="0031675F">
        <w:rPr>
          <w:spacing w:val="-1"/>
        </w:rPr>
        <w:t>errors,</w:t>
      </w:r>
      <w:r w:rsidRPr="0031675F">
        <w:rPr>
          <w:spacing w:val="-3"/>
        </w:rPr>
        <w:t xml:space="preserve"> </w:t>
      </w:r>
      <w:r w:rsidRPr="0031675F">
        <w:rPr>
          <w:spacing w:val="-1"/>
        </w:rPr>
        <w:t>fix</w:t>
      </w:r>
      <w:r w:rsidRPr="0031675F">
        <w:rPr>
          <w:spacing w:val="1"/>
        </w:rPr>
        <w:t xml:space="preserve"> </w:t>
      </w:r>
      <w:r w:rsidRPr="0031675F">
        <w:t>in</w:t>
      </w:r>
      <w:r w:rsidRPr="0031675F">
        <w:rPr>
          <w:spacing w:val="-3"/>
        </w:rPr>
        <w:t xml:space="preserve"> </w:t>
      </w:r>
      <w:r w:rsidRPr="0031675F">
        <w:t xml:space="preserve">the </w:t>
      </w:r>
      <w:r w:rsidRPr="0031675F">
        <w:rPr>
          <w:spacing w:val="-1"/>
        </w:rPr>
        <w:t>feeder</w:t>
      </w:r>
      <w:r w:rsidRPr="0031675F">
        <w:t xml:space="preserve"> </w:t>
      </w:r>
      <w:r w:rsidRPr="0031675F">
        <w:rPr>
          <w:spacing w:val="-1"/>
        </w:rPr>
        <w:t>Sheet</w:t>
      </w:r>
      <w:r w:rsidRPr="0031675F">
        <w:rPr>
          <w:spacing w:val="-2"/>
        </w:rPr>
        <w:t xml:space="preserve"> </w:t>
      </w:r>
      <w:r w:rsidRPr="0031675F">
        <w:t>and</w:t>
      </w:r>
      <w:r w:rsidRPr="0031675F">
        <w:rPr>
          <w:spacing w:val="-2"/>
        </w:rPr>
        <w:t xml:space="preserve"> </w:t>
      </w:r>
      <w:r w:rsidRPr="0031675F">
        <w:rPr>
          <w:spacing w:val="-1"/>
        </w:rPr>
        <w:t>repeat</w:t>
      </w:r>
      <w:r w:rsidRPr="0031675F">
        <w:t xml:space="preserve"> </w:t>
      </w:r>
      <w:r w:rsidRPr="0031675F">
        <w:rPr>
          <w:spacing w:val="-1"/>
        </w:rPr>
        <w:t>steps</w:t>
      </w:r>
      <w:r w:rsidRPr="0031675F">
        <w:rPr>
          <w:spacing w:val="-3"/>
        </w:rPr>
        <w:t xml:space="preserve"> </w:t>
      </w:r>
      <w:r w:rsidRPr="0031675F">
        <w:t>8</w:t>
      </w:r>
      <w:r w:rsidRPr="0031675F">
        <w:rPr>
          <w:spacing w:val="1"/>
        </w:rPr>
        <w:t xml:space="preserve"> </w:t>
      </w:r>
      <w:r w:rsidRPr="0031675F">
        <w:t>and</w:t>
      </w:r>
      <w:r w:rsidRPr="0031675F">
        <w:rPr>
          <w:spacing w:val="-4"/>
        </w:rPr>
        <w:t xml:space="preserve"> </w:t>
      </w:r>
      <w:r w:rsidRPr="0031675F">
        <w:t>9.</w:t>
      </w:r>
    </w:p>
    <w:p w14:paraId="6DEA0EDF" w14:textId="77777777" w:rsidR="0031675F" w:rsidRPr="0031675F" w:rsidRDefault="0031675F" w:rsidP="0031675F">
      <w:pPr>
        <w:widowControl w:val="0"/>
        <w:numPr>
          <w:ilvl w:val="0"/>
          <w:numId w:val="61"/>
        </w:numPr>
        <w:tabs>
          <w:tab w:val="left" w:pos="821"/>
        </w:tabs>
        <w:spacing w:before="0" w:after="0" w:line="251" w:lineRule="auto"/>
        <w:ind w:right="115"/>
        <w:jc w:val="both"/>
      </w:pPr>
      <w:r w:rsidRPr="0031675F">
        <w:rPr>
          <w:rFonts w:cs="Calibri"/>
          <w:spacing w:val="-1"/>
        </w:rPr>
        <w:t>Confirm</w:t>
      </w:r>
      <w:r w:rsidRPr="0031675F">
        <w:rPr>
          <w:rFonts w:cs="Calibri"/>
          <w:spacing w:val="24"/>
        </w:rPr>
        <w:t xml:space="preserve"> </w:t>
      </w:r>
      <w:r w:rsidRPr="0031675F">
        <w:rPr>
          <w:rFonts w:cs="Calibri"/>
        </w:rPr>
        <w:t>the</w:t>
      </w:r>
      <w:r w:rsidRPr="0031675F">
        <w:rPr>
          <w:rFonts w:cs="Calibri"/>
          <w:spacing w:val="22"/>
        </w:rPr>
        <w:t xml:space="preserve"> </w:t>
      </w:r>
      <w:r w:rsidRPr="0031675F">
        <w:rPr>
          <w:rFonts w:cs="Calibri"/>
          <w:spacing w:val="-1"/>
        </w:rPr>
        <w:t>Metadata</w:t>
      </w:r>
      <w:r w:rsidRPr="0031675F">
        <w:rPr>
          <w:rFonts w:cs="Calibri"/>
          <w:spacing w:val="24"/>
        </w:rPr>
        <w:t xml:space="preserve"> </w:t>
      </w:r>
      <w:r w:rsidRPr="0031675F">
        <w:rPr>
          <w:rFonts w:cs="Calibri"/>
        </w:rPr>
        <w:t>for</w:t>
      </w:r>
      <w:r w:rsidRPr="0031675F">
        <w:rPr>
          <w:rFonts w:cs="Calibri"/>
          <w:spacing w:val="21"/>
        </w:rPr>
        <w:t xml:space="preserve"> </w:t>
      </w:r>
      <w:r w:rsidRPr="0031675F">
        <w:rPr>
          <w:rFonts w:cs="Calibri"/>
        </w:rPr>
        <w:t>the</w:t>
      </w:r>
      <w:r w:rsidRPr="0031675F">
        <w:rPr>
          <w:rFonts w:cs="Calibri"/>
          <w:spacing w:val="24"/>
        </w:rPr>
        <w:t xml:space="preserve"> </w:t>
      </w:r>
      <w:r w:rsidRPr="0031675F">
        <w:rPr>
          <w:rFonts w:cs="Calibri"/>
          <w:spacing w:val="-1"/>
        </w:rPr>
        <w:t>Sample</w:t>
      </w:r>
      <w:r w:rsidRPr="0031675F">
        <w:rPr>
          <w:rFonts w:cs="Calibri"/>
          <w:spacing w:val="24"/>
        </w:rPr>
        <w:t xml:space="preserve"> </w:t>
      </w:r>
      <w:r w:rsidRPr="0031675F">
        <w:rPr>
          <w:rFonts w:cs="Calibri"/>
          <w:spacing w:val="-1"/>
        </w:rPr>
        <w:t>Replicate</w:t>
      </w:r>
      <w:r w:rsidRPr="0031675F">
        <w:rPr>
          <w:rFonts w:cs="Calibri"/>
          <w:spacing w:val="25"/>
        </w:rPr>
        <w:t xml:space="preserve"> </w:t>
      </w:r>
      <w:r w:rsidRPr="0031675F">
        <w:rPr>
          <w:rFonts w:cs="Calibri"/>
          <w:spacing w:val="-1"/>
        </w:rPr>
        <w:t>results</w:t>
      </w:r>
      <w:r w:rsidRPr="0031675F">
        <w:rPr>
          <w:rFonts w:cs="Calibri"/>
          <w:spacing w:val="25"/>
        </w:rPr>
        <w:t xml:space="preserve"> </w:t>
      </w:r>
      <w:r w:rsidRPr="0031675F">
        <w:rPr>
          <w:rFonts w:cs="Calibri"/>
        </w:rPr>
        <w:t>were</w:t>
      </w:r>
      <w:r w:rsidRPr="0031675F">
        <w:rPr>
          <w:rFonts w:cs="Calibri"/>
          <w:spacing w:val="24"/>
        </w:rPr>
        <w:t xml:space="preserve"> </w:t>
      </w:r>
      <w:r w:rsidRPr="0031675F">
        <w:rPr>
          <w:rFonts w:cs="Calibri"/>
          <w:spacing w:val="-1"/>
        </w:rPr>
        <w:t>uploaded</w:t>
      </w:r>
      <w:r w:rsidRPr="0031675F">
        <w:rPr>
          <w:rFonts w:cs="Calibri"/>
          <w:spacing w:val="24"/>
        </w:rPr>
        <w:t xml:space="preserve"> </w:t>
      </w:r>
      <w:r w:rsidRPr="0031675F">
        <w:rPr>
          <w:rFonts w:cs="Calibri"/>
          <w:spacing w:val="-1"/>
        </w:rPr>
        <w:t>using</w:t>
      </w:r>
      <w:r w:rsidRPr="0031675F">
        <w:rPr>
          <w:rFonts w:cs="Calibri"/>
          <w:spacing w:val="23"/>
        </w:rPr>
        <w:t xml:space="preserve"> </w:t>
      </w:r>
      <w:r w:rsidRPr="0031675F">
        <w:rPr>
          <w:rFonts w:cs="Calibri"/>
        </w:rPr>
        <w:t>the</w:t>
      </w:r>
      <w:r w:rsidRPr="0031675F">
        <w:rPr>
          <w:rFonts w:cs="Calibri"/>
          <w:spacing w:val="24"/>
        </w:rPr>
        <w:t xml:space="preserve"> </w:t>
      </w:r>
      <w:r w:rsidRPr="0031675F">
        <w:rPr>
          <w:rFonts w:cs="Calibri"/>
        </w:rPr>
        <w:t>‘WQ</w:t>
      </w:r>
      <w:r w:rsidRPr="0031675F">
        <w:rPr>
          <w:rFonts w:cs="Calibri"/>
          <w:spacing w:val="24"/>
        </w:rPr>
        <w:t xml:space="preserve"> </w:t>
      </w:r>
      <w:r w:rsidRPr="0031675F">
        <w:rPr>
          <w:rFonts w:cs="Calibri"/>
          <w:spacing w:val="-1"/>
        </w:rPr>
        <w:t>Sample</w:t>
      </w:r>
      <w:r w:rsidRPr="0031675F">
        <w:rPr>
          <w:rFonts w:cs="Calibri"/>
          <w:spacing w:val="65"/>
        </w:rPr>
        <w:t xml:space="preserve"> </w:t>
      </w:r>
      <w:r w:rsidRPr="0031675F">
        <w:rPr>
          <w:rFonts w:cs="Calibri"/>
          <w:spacing w:val="-1"/>
        </w:rPr>
        <w:t>Metadata</w:t>
      </w:r>
      <w:r w:rsidRPr="0031675F">
        <w:rPr>
          <w:rFonts w:cs="Calibri"/>
          <w:spacing w:val="15"/>
        </w:rPr>
        <w:t xml:space="preserve"> </w:t>
      </w:r>
      <w:r w:rsidRPr="0031675F">
        <w:rPr>
          <w:rFonts w:cs="Calibri"/>
        </w:rPr>
        <w:t>List’</w:t>
      </w:r>
      <w:r w:rsidRPr="0031675F">
        <w:rPr>
          <w:rFonts w:cs="Calibri"/>
          <w:spacing w:val="14"/>
        </w:rPr>
        <w:t xml:space="preserve"> </w:t>
      </w:r>
      <w:r w:rsidRPr="0031675F">
        <w:rPr>
          <w:rFonts w:cs="Calibri"/>
          <w:spacing w:val="-1"/>
        </w:rPr>
        <w:t>application</w:t>
      </w:r>
      <w:r w:rsidRPr="0031675F">
        <w:rPr>
          <w:rFonts w:cs="Calibri"/>
          <w:spacing w:val="11"/>
        </w:rPr>
        <w:t xml:space="preserve"> </w:t>
      </w:r>
      <w:r w:rsidRPr="0031675F">
        <w:rPr>
          <w:rFonts w:cs="Calibri"/>
        </w:rPr>
        <w:t>form</w:t>
      </w:r>
      <w:r w:rsidRPr="0031675F">
        <w:rPr>
          <w:rFonts w:cs="Calibri"/>
          <w:spacing w:val="15"/>
        </w:rPr>
        <w:t xml:space="preserve"> </w:t>
      </w:r>
      <w:r w:rsidRPr="0031675F">
        <w:rPr>
          <w:rFonts w:cs="Calibri"/>
          <w:spacing w:val="-1"/>
        </w:rPr>
        <w:t>path.</w:t>
      </w:r>
      <w:r w:rsidRPr="0031675F">
        <w:rPr>
          <w:rFonts w:cs="Calibri"/>
          <w:spacing w:val="13"/>
        </w:rPr>
        <w:t xml:space="preserve"> </w:t>
      </w:r>
      <w:r w:rsidRPr="0031675F">
        <w:rPr>
          <w:rFonts w:cs="Calibri"/>
        </w:rPr>
        <w:t>If</w:t>
      </w:r>
      <w:r w:rsidRPr="0031675F">
        <w:rPr>
          <w:rFonts w:cs="Calibri"/>
          <w:spacing w:val="14"/>
        </w:rPr>
        <w:t xml:space="preserve"> </w:t>
      </w:r>
      <w:r w:rsidRPr="0031675F">
        <w:rPr>
          <w:rFonts w:cs="Calibri"/>
        </w:rPr>
        <w:t>there</w:t>
      </w:r>
      <w:r w:rsidRPr="0031675F">
        <w:rPr>
          <w:rFonts w:cs="Calibri"/>
          <w:spacing w:val="15"/>
        </w:rPr>
        <w:t xml:space="preserve"> </w:t>
      </w:r>
      <w:r w:rsidRPr="0031675F">
        <w:rPr>
          <w:rFonts w:cs="Calibri"/>
          <w:spacing w:val="-1"/>
        </w:rPr>
        <w:t>are</w:t>
      </w:r>
      <w:r w:rsidRPr="0031675F">
        <w:rPr>
          <w:rFonts w:cs="Calibri"/>
          <w:spacing w:val="15"/>
        </w:rPr>
        <w:t xml:space="preserve"> </w:t>
      </w:r>
      <w:r w:rsidRPr="0031675F">
        <w:rPr>
          <w:rFonts w:cs="Calibri"/>
          <w:spacing w:val="-1"/>
        </w:rPr>
        <w:t>errors,</w:t>
      </w:r>
      <w:r w:rsidRPr="0031675F">
        <w:rPr>
          <w:rFonts w:cs="Calibri"/>
          <w:spacing w:val="14"/>
        </w:rPr>
        <w:t xml:space="preserve"> </w:t>
      </w:r>
      <w:r w:rsidRPr="0031675F">
        <w:rPr>
          <w:rFonts w:cs="Calibri"/>
        </w:rPr>
        <w:t>fix</w:t>
      </w:r>
      <w:r w:rsidRPr="0031675F">
        <w:rPr>
          <w:rFonts w:cs="Calibri"/>
          <w:spacing w:val="18"/>
        </w:rPr>
        <w:t xml:space="preserve"> </w:t>
      </w:r>
      <w:r w:rsidRPr="0031675F">
        <w:t>in</w:t>
      </w:r>
      <w:r w:rsidRPr="0031675F">
        <w:rPr>
          <w:spacing w:val="13"/>
        </w:rPr>
        <w:t xml:space="preserve"> </w:t>
      </w:r>
      <w:r w:rsidRPr="0031675F">
        <w:t>the</w:t>
      </w:r>
      <w:r w:rsidRPr="0031675F">
        <w:rPr>
          <w:spacing w:val="14"/>
        </w:rPr>
        <w:t xml:space="preserve"> </w:t>
      </w:r>
      <w:r w:rsidRPr="0031675F">
        <w:rPr>
          <w:spacing w:val="-1"/>
        </w:rPr>
        <w:t>Access</w:t>
      </w:r>
      <w:r w:rsidRPr="0031675F">
        <w:rPr>
          <w:spacing w:val="14"/>
        </w:rPr>
        <w:t xml:space="preserve"> </w:t>
      </w:r>
      <w:r w:rsidRPr="0031675F">
        <w:rPr>
          <w:spacing w:val="-1"/>
        </w:rPr>
        <w:t>Database</w:t>
      </w:r>
      <w:r w:rsidRPr="0031675F">
        <w:rPr>
          <w:spacing w:val="15"/>
        </w:rPr>
        <w:t xml:space="preserve"> </w:t>
      </w:r>
      <w:r w:rsidRPr="0031675F">
        <w:rPr>
          <w:spacing w:val="-1"/>
        </w:rPr>
        <w:t>and</w:t>
      </w:r>
      <w:r w:rsidRPr="0031675F">
        <w:rPr>
          <w:spacing w:val="14"/>
        </w:rPr>
        <w:t xml:space="preserve"> </w:t>
      </w:r>
      <w:r w:rsidRPr="0031675F">
        <w:t>repeat</w:t>
      </w:r>
      <w:r w:rsidRPr="0031675F">
        <w:rPr>
          <w:spacing w:val="57"/>
        </w:rPr>
        <w:t xml:space="preserve"> </w:t>
      </w:r>
      <w:r w:rsidRPr="0031675F">
        <w:rPr>
          <w:spacing w:val="-1"/>
        </w:rPr>
        <w:t>steps</w:t>
      </w:r>
      <w:r w:rsidRPr="0031675F">
        <w:rPr>
          <w:spacing w:val="-2"/>
        </w:rPr>
        <w:t xml:space="preserve"> </w:t>
      </w:r>
      <w:r w:rsidRPr="0031675F">
        <w:t>8 and</w:t>
      </w:r>
      <w:r w:rsidRPr="0031675F">
        <w:rPr>
          <w:spacing w:val="-2"/>
        </w:rPr>
        <w:t xml:space="preserve"> </w:t>
      </w:r>
      <w:r w:rsidRPr="0031675F">
        <w:rPr>
          <w:spacing w:val="-1"/>
        </w:rPr>
        <w:t>10.</w:t>
      </w:r>
    </w:p>
    <w:p w14:paraId="47496FE8" w14:textId="77777777" w:rsidR="0031675F" w:rsidRPr="0031675F" w:rsidRDefault="0031675F" w:rsidP="0031675F">
      <w:pPr>
        <w:rPr>
          <w:rFonts w:cs="Calibri"/>
          <w:sz w:val="20"/>
          <w:szCs w:val="20"/>
        </w:rPr>
      </w:pPr>
    </w:p>
    <w:p w14:paraId="6756EA86" w14:textId="77777777" w:rsidR="0031675F" w:rsidRPr="0031675F" w:rsidRDefault="0031675F" w:rsidP="0031675F">
      <w:pPr>
        <w:widowControl w:val="0"/>
        <w:numPr>
          <w:ilvl w:val="1"/>
          <w:numId w:val="64"/>
        </w:numPr>
        <w:tabs>
          <w:tab w:val="left" w:pos="819"/>
        </w:tabs>
        <w:spacing w:before="0" w:after="0" w:line="240" w:lineRule="auto"/>
        <w:ind w:left="818"/>
        <w:jc w:val="both"/>
        <w:rPr>
          <w:rFonts w:eastAsia="Arial" w:cs="Arial"/>
          <w:sz w:val="24"/>
          <w:szCs w:val="24"/>
        </w:rPr>
      </w:pPr>
      <w:r w:rsidRPr="0031675F">
        <w:rPr>
          <w:b/>
          <w:sz w:val="24"/>
        </w:rPr>
        <w:t>Coral</w:t>
      </w:r>
      <w:r w:rsidRPr="0031675F">
        <w:rPr>
          <w:b/>
          <w:spacing w:val="1"/>
          <w:sz w:val="24"/>
        </w:rPr>
        <w:t xml:space="preserve"> </w:t>
      </w:r>
      <w:r w:rsidRPr="0031675F">
        <w:rPr>
          <w:b/>
          <w:sz w:val="24"/>
        </w:rPr>
        <w:t>monitoring</w:t>
      </w:r>
      <w:r w:rsidRPr="0031675F">
        <w:rPr>
          <w:b/>
          <w:spacing w:val="1"/>
          <w:sz w:val="24"/>
        </w:rPr>
        <w:t xml:space="preserve"> </w:t>
      </w:r>
      <w:r w:rsidRPr="0031675F">
        <w:rPr>
          <w:b/>
          <w:sz w:val="24"/>
        </w:rPr>
        <w:t>data</w:t>
      </w:r>
      <w:r w:rsidRPr="0031675F">
        <w:rPr>
          <w:b/>
          <w:spacing w:val="1"/>
          <w:sz w:val="24"/>
        </w:rPr>
        <w:t xml:space="preserve"> </w:t>
      </w:r>
      <w:r w:rsidRPr="0031675F">
        <w:rPr>
          <w:b/>
          <w:sz w:val="24"/>
        </w:rPr>
        <w:t>management</w:t>
      </w:r>
    </w:p>
    <w:p w14:paraId="0C700F51" w14:textId="21FA7E80" w:rsidR="0031675F" w:rsidRPr="0031675F" w:rsidRDefault="0031675F" w:rsidP="008F55F2">
      <w:r w:rsidRPr="0031675F">
        <w:t>All</w:t>
      </w:r>
      <w:r w:rsidRPr="0031675F">
        <w:rPr>
          <w:spacing w:val="24"/>
        </w:rPr>
        <w:t xml:space="preserve"> </w:t>
      </w:r>
      <w:r w:rsidRPr="0031675F">
        <w:t>field</w:t>
      </w:r>
      <w:r w:rsidRPr="0031675F">
        <w:rPr>
          <w:spacing w:val="23"/>
        </w:rPr>
        <w:t xml:space="preserve"> </w:t>
      </w:r>
      <w:r w:rsidRPr="0031675F">
        <w:t>data</w:t>
      </w:r>
      <w:r w:rsidRPr="0031675F">
        <w:rPr>
          <w:spacing w:val="24"/>
        </w:rPr>
        <w:t xml:space="preserve"> </w:t>
      </w:r>
      <w:r w:rsidRPr="0031675F">
        <w:t>is</w:t>
      </w:r>
      <w:r w:rsidRPr="0031675F">
        <w:rPr>
          <w:spacing w:val="24"/>
        </w:rPr>
        <w:t xml:space="preserve"> </w:t>
      </w:r>
      <w:r w:rsidRPr="0031675F">
        <w:t>recorded</w:t>
      </w:r>
      <w:r w:rsidRPr="0031675F">
        <w:rPr>
          <w:spacing w:val="21"/>
        </w:rPr>
        <w:t xml:space="preserve"> </w:t>
      </w:r>
      <w:r w:rsidRPr="0031675F">
        <w:t>on</w:t>
      </w:r>
      <w:r w:rsidRPr="0031675F">
        <w:rPr>
          <w:spacing w:val="23"/>
        </w:rPr>
        <w:t xml:space="preserve"> </w:t>
      </w:r>
      <w:r w:rsidRPr="0031675F">
        <w:t>pre-printed</w:t>
      </w:r>
      <w:r w:rsidRPr="0031675F">
        <w:rPr>
          <w:spacing w:val="23"/>
        </w:rPr>
        <w:t xml:space="preserve"> </w:t>
      </w:r>
      <w:r w:rsidRPr="0031675F">
        <w:t>datasheets.</w:t>
      </w:r>
      <w:r w:rsidRPr="0031675F">
        <w:rPr>
          <w:spacing w:val="21"/>
        </w:rPr>
        <w:t xml:space="preserve"> </w:t>
      </w:r>
      <w:r w:rsidRPr="0031675F">
        <w:t>The</w:t>
      </w:r>
      <w:r w:rsidRPr="0031675F">
        <w:rPr>
          <w:spacing w:val="24"/>
        </w:rPr>
        <w:t xml:space="preserve"> </w:t>
      </w:r>
      <w:r w:rsidRPr="0031675F">
        <w:t>use</w:t>
      </w:r>
      <w:r w:rsidRPr="0031675F">
        <w:rPr>
          <w:spacing w:val="25"/>
        </w:rPr>
        <w:t xml:space="preserve"> </w:t>
      </w:r>
      <w:r w:rsidRPr="0031675F">
        <w:t>of</w:t>
      </w:r>
      <w:r w:rsidRPr="0031675F">
        <w:rPr>
          <w:spacing w:val="24"/>
        </w:rPr>
        <w:t xml:space="preserve"> </w:t>
      </w:r>
      <w:r w:rsidRPr="0031675F">
        <w:t>standard</w:t>
      </w:r>
      <w:r w:rsidRPr="0031675F">
        <w:rPr>
          <w:spacing w:val="23"/>
        </w:rPr>
        <w:t xml:space="preserve"> </w:t>
      </w:r>
      <w:r w:rsidRPr="0031675F">
        <w:t>data</w:t>
      </w:r>
      <w:r w:rsidRPr="0031675F">
        <w:rPr>
          <w:spacing w:val="22"/>
        </w:rPr>
        <w:t xml:space="preserve"> </w:t>
      </w:r>
      <w:r w:rsidRPr="0031675F">
        <w:t>sheets</w:t>
      </w:r>
      <w:r w:rsidRPr="0031675F">
        <w:rPr>
          <w:spacing w:val="24"/>
        </w:rPr>
        <w:t xml:space="preserve"> </w:t>
      </w:r>
      <w:r w:rsidRPr="0031675F">
        <w:t>aids</w:t>
      </w:r>
      <w:r w:rsidR="008F55F2">
        <w:rPr>
          <w:spacing w:val="24"/>
        </w:rPr>
        <w:t xml:space="preserve"> </w:t>
      </w:r>
      <w:r w:rsidRPr="0031675F">
        <w:t>in</w:t>
      </w:r>
      <w:r w:rsidRPr="0031675F">
        <w:rPr>
          <w:spacing w:val="23"/>
        </w:rPr>
        <w:t xml:space="preserve"> </w:t>
      </w:r>
      <w:r w:rsidRPr="0031675F">
        <w:t>ensuring</w:t>
      </w:r>
      <w:r w:rsidRPr="0031675F">
        <w:rPr>
          <w:spacing w:val="89"/>
        </w:rPr>
        <w:t xml:space="preserve"> </w:t>
      </w:r>
      <w:r w:rsidRPr="0031675F">
        <w:t>standard recording of</w:t>
      </w:r>
      <w:r w:rsidRPr="0031675F">
        <w:rPr>
          <w:spacing w:val="-3"/>
        </w:rPr>
        <w:t xml:space="preserve"> </w:t>
      </w:r>
      <w:r w:rsidRPr="0031675F">
        <w:t>attributes, and ensures required data are</w:t>
      </w:r>
      <w:r w:rsidRPr="0031675F">
        <w:rPr>
          <w:spacing w:val="-2"/>
        </w:rPr>
        <w:t xml:space="preserve"> </w:t>
      </w:r>
      <w:r w:rsidRPr="0031675F">
        <w:t>collected.</w:t>
      </w:r>
    </w:p>
    <w:p w14:paraId="42085AD6" w14:textId="77777777" w:rsidR="0031675F" w:rsidRPr="0031675F" w:rsidRDefault="0031675F" w:rsidP="008F55F2">
      <w:r w:rsidRPr="0031675F">
        <w:rPr>
          <w:spacing w:val="-1"/>
        </w:rPr>
        <w:t>Upon</w:t>
      </w:r>
      <w:r w:rsidRPr="0031675F">
        <w:rPr>
          <w:spacing w:val="21"/>
        </w:rPr>
        <w:t xml:space="preserve"> </w:t>
      </w:r>
      <w:r w:rsidRPr="0031675F">
        <w:t>return</w:t>
      </w:r>
      <w:r w:rsidRPr="0031675F">
        <w:rPr>
          <w:spacing w:val="20"/>
        </w:rPr>
        <w:t xml:space="preserve"> </w:t>
      </w:r>
      <w:r w:rsidRPr="0031675F">
        <w:rPr>
          <w:spacing w:val="-1"/>
        </w:rPr>
        <w:t>from</w:t>
      </w:r>
      <w:r w:rsidRPr="0031675F">
        <w:rPr>
          <w:spacing w:val="22"/>
        </w:rPr>
        <w:t xml:space="preserve"> </w:t>
      </w:r>
      <w:r w:rsidRPr="0031675F">
        <w:rPr>
          <w:spacing w:val="-1"/>
        </w:rPr>
        <w:t>the</w:t>
      </w:r>
      <w:r w:rsidRPr="0031675F">
        <w:rPr>
          <w:spacing w:val="22"/>
        </w:rPr>
        <w:t xml:space="preserve"> </w:t>
      </w:r>
      <w:r w:rsidRPr="0031675F">
        <w:rPr>
          <w:spacing w:val="-1"/>
        </w:rPr>
        <w:t>field,</w:t>
      </w:r>
      <w:r w:rsidRPr="0031675F">
        <w:rPr>
          <w:spacing w:val="19"/>
        </w:rPr>
        <w:t xml:space="preserve"> </w:t>
      </w:r>
      <w:r w:rsidRPr="0031675F">
        <w:t>all</w:t>
      </w:r>
      <w:r w:rsidRPr="0031675F">
        <w:rPr>
          <w:spacing w:val="21"/>
        </w:rPr>
        <w:t xml:space="preserve"> </w:t>
      </w:r>
      <w:r w:rsidRPr="0031675F">
        <w:rPr>
          <w:spacing w:val="-1"/>
        </w:rPr>
        <w:t>data</w:t>
      </w:r>
      <w:r w:rsidRPr="0031675F">
        <w:rPr>
          <w:spacing w:val="22"/>
        </w:rPr>
        <w:t xml:space="preserve"> </w:t>
      </w:r>
      <w:r w:rsidRPr="0031675F">
        <w:t>is</w:t>
      </w:r>
      <w:r w:rsidRPr="0031675F">
        <w:rPr>
          <w:spacing w:val="21"/>
        </w:rPr>
        <w:t xml:space="preserve"> </w:t>
      </w:r>
      <w:r w:rsidRPr="0031675F">
        <w:rPr>
          <w:spacing w:val="-1"/>
        </w:rPr>
        <w:t>entered</w:t>
      </w:r>
      <w:r w:rsidRPr="0031675F">
        <w:rPr>
          <w:spacing w:val="21"/>
        </w:rPr>
        <w:t xml:space="preserve"> </w:t>
      </w:r>
      <w:r w:rsidRPr="0031675F">
        <w:t>on</w:t>
      </w:r>
      <w:r w:rsidRPr="0031675F">
        <w:rPr>
          <w:spacing w:val="21"/>
        </w:rPr>
        <w:t xml:space="preserve"> </w:t>
      </w:r>
      <w:r w:rsidRPr="0031675F">
        <w:rPr>
          <w:spacing w:val="-1"/>
        </w:rPr>
        <w:t>the</w:t>
      </w:r>
      <w:r w:rsidRPr="0031675F">
        <w:rPr>
          <w:spacing w:val="20"/>
        </w:rPr>
        <w:t xml:space="preserve"> </w:t>
      </w:r>
      <w:r w:rsidRPr="0031675F">
        <w:rPr>
          <w:spacing w:val="-1"/>
        </w:rPr>
        <w:t>same</w:t>
      </w:r>
      <w:r w:rsidRPr="0031675F">
        <w:rPr>
          <w:spacing w:val="22"/>
        </w:rPr>
        <w:t xml:space="preserve"> </w:t>
      </w:r>
      <w:r w:rsidRPr="0031675F">
        <w:rPr>
          <w:spacing w:val="-2"/>
        </w:rPr>
        <w:t>day</w:t>
      </w:r>
      <w:r w:rsidRPr="0031675F">
        <w:rPr>
          <w:spacing w:val="22"/>
        </w:rPr>
        <w:t xml:space="preserve"> </w:t>
      </w:r>
      <w:r w:rsidRPr="0031675F">
        <w:rPr>
          <w:spacing w:val="-1"/>
        </w:rPr>
        <w:t>into</w:t>
      </w:r>
      <w:r w:rsidRPr="0031675F">
        <w:rPr>
          <w:spacing w:val="23"/>
        </w:rPr>
        <w:t xml:space="preserve"> </w:t>
      </w:r>
      <w:r w:rsidRPr="0031675F">
        <w:rPr>
          <w:spacing w:val="-1"/>
        </w:rPr>
        <w:t>database</w:t>
      </w:r>
      <w:r w:rsidRPr="0031675F">
        <w:rPr>
          <w:spacing w:val="26"/>
        </w:rPr>
        <w:t xml:space="preserve"> </w:t>
      </w:r>
      <w:r w:rsidRPr="0031675F">
        <w:rPr>
          <w:spacing w:val="-1"/>
        </w:rPr>
        <w:t>forms</w:t>
      </w:r>
      <w:r w:rsidRPr="0031675F">
        <w:rPr>
          <w:spacing w:val="22"/>
        </w:rPr>
        <w:t xml:space="preserve"> </w:t>
      </w:r>
      <w:r w:rsidRPr="0031675F">
        <w:rPr>
          <w:spacing w:val="-1"/>
        </w:rPr>
        <w:t>linked</w:t>
      </w:r>
      <w:r w:rsidRPr="0031675F">
        <w:rPr>
          <w:spacing w:val="21"/>
        </w:rPr>
        <w:t xml:space="preserve"> </w:t>
      </w:r>
      <w:r w:rsidRPr="0031675F">
        <w:rPr>
          <w:spacing w:val="-1"/>
        </w:rPr>
        <w:t>directly</w:t>
      </w:r>
      <w:r w:rsidRPr="0031675F">
        <w:rPr>
          <w:spacing w:val="20"/>
        </w:rPr>
        <w:t xml:space="preserve"> </w:t>
      </w:r>
      <w:r w:rsidRPr="0031675F">
        <w:t>to</w:t>
      </w:r>
      <w:r w:rsidRPr="0031675F">
        <w:rPr>
          <w:spacing w:val="23"/>
        </w:rPr>
        <w:t xml:space="preserve"> </w:t>
      </w:r>
      <w:r w:rsidRPr="0031675F">
        <w:t>a</w:t>
      </w:r>
      <w:r w:rsidRPr="0031675F">
        <w:rPr>
          <w:spacing w:val="55"/>
        </w:rPr>
        <w:t xml:space="preserve"> </w:t>
      </w:r>
      <w:r w:rsidRPr="0031675F">
        <w:rPr>
          <w:spacing w:val="-1"/>
        </w:rPr>
        <w:t>Oracle</w:t>
      </w:r>
      <w:r w:rsidRPr="0031675F">
        <w:rPr>
          <w:spacing w:val="29"/>
        </w:rPr>
        <w:t xml:space="preserve"> </w:t>
      </w:r>
      <w:r w:rsidRPr="0031675F">
        <w:t>Lite</w:t>
      </w:r>
      <w:r w:rsidRPr="0031675F">
        <w:rPr>
          <w:spacing w:val="32"/>
        </w:rPr>
        <w:t xml:space="preserve"> </w:t>
      </w:r>
      <w:r w:rsidRPr="0031675F">
        <w:rPr>
          <w:spacing w:val="-1"/>
        </w:rPr>
        <w:t>database.</w:t>
      </w:r>
      <w:r w:rsidRPr="0031675F">
        <w:rPr>
          <w:spacing w:val="31"/>
        </w:rPr>
        <w:t xml:space="preserve"> </w:t>
      </w:r>
      <w:r w:rsidRPr="0031675F">
        <w:rPr>
          <w:spacing w:val="-1"/>
        </w:rPr>
        <w:t>Each</w:t>
      </w:r>
      <w:r w:rsidRPr="0031675F">
        <w:rPr>
          <w:spacing w:val="30"/>
        </w:rPr>
        <w:t xml:space="preserve"> </w:t>
      </w:r>
      <w:r w:rsidRPr="0031675F">
        <w:rPr>
          <w:spacing w:val="-1"/>
        </w:rPr>
        <w:t>field</w:t>
      </w:r>
      <w:r w:rsidRPr="0031675F">
        <w:rPr>
          <w:spacing w:val="31"/>
        </w:rPr>
        <w:t xml:space="preserve"> </w:t>
      </w:r>
      <w:r w:rsidRPr="0031675F">
        <w:t>on</w:t>
      </w:r>
      <w:r w:rsidRPr="0031675F">
        <w:rPr>
          <w:spacing w:val="31"/>
        </w:rPr>
        <w:t xml:space="preserve"> </w:t>
      </w:r>
      <w:r w:rsidRPr="0031675F">
        <w:rPr>
          <w:spacing w:val="-1"/>
        </w:rPr>
        <w:t>these</w:t>
      </w:r>
      <w:r w:rsidRPr="0031675F">
        <w:rPr>
          <w:spacing w:val="32"/>
        </w:rPr>
        <w:t xml:space="preserve"> </w:t>
      </w:r>
      <w:r w:rsidRPr="0031675F">
        <w:rPr>
          <w:spacing w:val="-1"/>
        </w:rPr>
        <w:t>forms</w:t>
      </w:r>
      <w:r w:rsidRPr="0031675F">
        <w:rPr>
          <w:spacing w:val="28"/>
        </w:rPr>
        <w:t xml:space="preserve"> </w:t>
      </w:r>
      <w:r w:rsidRPr="0031675F">
        <w:rPr>
          <w:spacing w:val="-1"/>
        </w:rPr>
        <w:t>mirror</w:t>
      </w:r>
      <w:r w:rsidRPr="0031675F">
        <w:rPr>
          <w:spacing w:val="31"/>
        </w:rPr>
        <w:t xml:space="preserve"> </w:t>
      </w:r>
      <w:r w:rsidRPr="0031675F">
        <w:rPr>
          <w:spacing w:val="-1"/>
        </w:rPr>
        <w:t>those</w:t>
      </w:r>
      <w:r w:rsidRPr="0031675F">
        <w:rPr>
          <w:spacing w:val="30"/>
        </w:rPr>
        <w:t xml:space="preserve"> </w:t>
      </w:r>
      <w:r w:rsidRPr="0031675F">
        <w:t>on</w:t>
      </w:r>
      <w:r w:rsidRPr="0031675F">
        <w:rPr>
          <w:spacing w:val="30"/>
        </w:rPr>
        <w:t xml:space="preserve"> </w:t>
      </w:r>
      <w:r w:rsidRPr="0031675F">
        <w:rPr>
          <w:spacing w:val="-1"/>
        </w:rPr>
        <w:t>pre-printed</w:t>
      </w:r>
      <w:r w:rsidRPr="0031675F">
        <w:rPr>
          <w:spacing w:val="31"/>
        </w:rPr>
        <w:t xml:space="preserve"> </w:t>
      </w:r>
      <w:r w:rsidRPr="0031675F">
        <w:rPr>
          <w:spacing w:val="-1"/>
        </w:rPr>
        <w:t>data</w:t>
      </w:r>
      <w:r w:rsidRPr="0031675F">
        <w:rPr>
          <w:spacing w:val="32"/>
        </w:rPr>
        <w:t xml:space="preserve"> </w:t>
      </w:r>
      <w:r w:rsidRPr="0031675F">
        <w:rPr>
          <w:spacing w:val="-1"/>
        </w:rPr>
        <w:t>sheets</w:t>
      </w:r>
      <w:r w:rsidRPr="0031675F">
        <w:rPr>
          <w:spacing w:val="32"/>
        </w:rPr>
        <w:t xml:space="preserve"> </w:t>
      </w:r>
      <w:r w:rsidRPr="0031675F">
        <w:rPr>
          <w:spacing w:val="-1"/>
        </w:rPr>
        <w:t>and</w:t>
      </w:r>
      <w:r w:rsidRPr="0031675F">
        <w:rPr>
          <w:spacing w:val="30"/>
        </w:rPr>
        <w:t xml:space="preserve"> </w:t>
      </w:r>
      <w:r w:rsidRPr="0031675F">
        <w:rPr>
          <w:spacing w:val="-1"/>
        </w:rPr>
        <w:t>include</w:t>
      </w:r>
      <w:r w:rsidRPr="0031675F">
        <w:rPr>
          <w:spacing w:val="59"/>
        </w:rPr>
        <w:t xml:space="preserve"> </w:t>
      </w:r>
      <w:r w:rsidRPr="0031675F">
        <w:rPr>
          <w:spacing w:val="-1"/>
        </w:rPr>
        <w:t>lookup</w:t>
      </w:r>
      <w:r w:rsidRPr="0031675F">
        <w:rPr>
          <w:spacing w:val="34"/>
        </w:rPr>
        <w:t xml:space="preserve"> </w:t>
      </w:r>
      <w:r w:rsidRPr="0031675F">
        <w:rPr>
          <w:spacing w:val="-1"/>
        </w:rPr>
        <w:t>fields</w:t>
      </w:r>
      <w:r w:rsidRPr="0031675F">
        <w:rPr>
          <w:spacing w:val="36"/>
        </w:rPr>
        <w:t xml:space="preserve"> </w:t>
      </w:r>
      <w:r w:rsidRPr="0031675F">
        <w:rPr>
          <w:spacing w:val="-1"/>
        </w:rPr>
        <w:t>to</w:t>
      </w:r>
      <w:r w:rsidRPr="0031675F">
        <w:rPr>
          <w:spacing w:val="37"/>
        </w:rPr>
        <w:t xml:space="preserve"> </w:t>
      </w:r>
      <w:r w:rsidRPr="0031675F">
        <w:rPr>
          <w:spacing w:val="-1"/>
        </w:rPr>
        <w:t>ensure</w:t>
      </w:r>
      <w:r w:rsidRPr="0031675F">
        <w:rPr>
          <w:spacing w:val="35"/>
        </w:rPr>
        <w:t xml:space="preserve"> </w:t>
      </w:r>
      <w:r w:rsidRPr="0031675F">
        <w:rPr>
          <w:spacing w:val="-1"/>
        </w:rPr>
        <w:t>data</w:t>
      </w:r>
      <w:r w:rsidRPr="0031675F">
        <w:rPr>
          <w:spacing w:val="36"/>
        </w:rPr>
        <w:t xml:space="preserve"> </w:t>
      </w:r>
      <w:r w:rsidRPr="0031675F">
        <w:rPr>
          <w:spacing w:val="-1"/>
        </w:rPr>
        <w:t>entered</w:t>
      </w:r>
      <w:r w:rsidRPr="0031675F">
        <w:rPr>
          <w:spacing w:val="36"/>
        </w:rPr>
        <w:t xml:space="preserve"> </w:t>
      </w:r>
      <w:r w:rsidRPr="0031675F">
        <w:t>is</w:t>
      </w:r>
      <w:r w:rsidRPr="0031675F">
        <w:rPr>
          <w:spacing w:val="33"/>
        </w:rPr>
        <w:t xml:space="preserve"> </w:t>
      </w:r>
      <w:r w:rsidRPr="0031675F">
        <w:t>of</w:t>
      </w:r>
      <w:r w:rsidRPr="0031675F">
        <w:rPr>
          <w:spacing w:val="35"/>
        </w:rPr>
        <w:t xml:space="preserve"> </w:t>
      </w:r>
      <w:r w:rsidRPr="0031675F">
        <w:rPr>
          <w:spacing w:val="-1"/>
        </w:rPr>
        <w:t>appropriate</w:t>
      </w:r>
      <w:r w:rsidRPr="0031675F">
        <w:rPr>
          <w:spacing w:val="37"/>
        </w:rPr>
        <w:t xml:space="preserve"> </w:t>
      </w:r>
      <w:r w:rsidRPr="0031675F">
        <w:rPr>
          <w:spacing w:val="-1"/>
        </w:rPr>
        <w:t>structure</w:t>
      </w:r>
      <w:r w:rsidRPr="0031675F">
        <w:rPr>
          <w:spacing w:val="34"/>
        </w:rPr>
        <w:t xml:space="preserve"> </w:t>
      </w:r>
      <w:r w:rsidRPr="0031675F">
        <w:t>or</w:t>
      </w:r>
      <w:r w:rsidRPr="0031675F">
        <w:rPr>
          <w:spacing w:val="35"/>
        </w:rPr>
        <w:t xml:space="preserve"> </w:t>
      </w:r>
      <w:r w:rsidRPr="0031675F">
        <w:t>within</w:t>
      </w:r>
      <w:r w:rsidRPr="0031675F">
        <w:rPr>
          <w:spacing w:val="35"/>
        </w:rPr>
        <w:t xml:space="preserve"> </w:t>
      </w:r>
      <w:r w:rsidRPr="0031675F">
        <w:rPr>
          <w:spacing w:val="-1"/>
        </w:rPr>
        <w:t>predetermined</w:t>
      </w:r>
      <w:r w:rsidRPr="0031675F">
        <w:rPr>
          <w:spacing w:val="36"/>
        </w:rPr>
        <w:t xml:space="preserve"> </w:t>
      </w:r>
      <w:r w:rsidRPr="0031675F">
        <w:rPr>
          <w:spacing w:val="-1"/>
        </w:rPr>
        <w:t>limits.</w:t>
      </w:r>
      <w:r w:rsidRPr="0031675F">
        <w:rPr>
          <w:spacing w:val="35"/>
        </w:rPr>
        <w:t xml:space="preserve"> </w:t>
      </w:r>
      <w:r w:rsidRPr="0031675F">
        <w:rPr>
          <w:spacing w:val="-1"/>
        </w:rPr>
        <w:t>For</w:t>
      </w:r>
      <w:r w:rsidRPr="0031675F">
        <w:rPr>
          <w:spacing w:val="63"/>
        </w:rPr>
        <w:t xml:space="preserve"> </w:t>
      </w:r>
      <w:r w:rsidRPr="0031675F">
        <w:rPr>
          <w:spacing w:val="-1"/>
        </w:rPr>
        <w:t>example,</w:t>
      </w:r>
      <w:r w:rsidRPr="0031675F">
        <w:rPr>
          <w:spacing w:val="40"/>
        </w:rPr>
        <w:t xml:space="preserve"> </w:t>
      </w:r>
      <w:r w:rsidRPr="0031675F">
        <w:rPr>
          <w:spacing w:val="-1"/>
        </w:rPr>
        <w:t>entry</w:t>
      </w:r>
      <w:r w:rsidRPr="0031675F">
        <w:rPr>
          <w:spacing w:val="39"/>
        </w:rPr>
        <w:t xml:space="preserve"> </w:t>
      </w:r>
      <w:r w:rsidRPr="0031675F">
        <w:t>of</w:t>
      </w:r>
      <w:r w:rsidRPr="0031675F">
        <w:rPr>
          <w:spacing w:val="41"/>
        </w:rPr>
        <w:t xml:space="preserve"> </w:t>
      </w:r>
      <w:r w:rsidRPr="0031675F">
        <w:rPr>
          <w:spacing w:val="-1"/>
        </w:rPr>
        <w:t>genera</w:t>
      </w:r>
      <w:r w:rsidRPr="0031675F">
        <w:rPr>
          <w:spacing w:val="37"/>
        </w:rPr>
        <w:t xml:space="preserve"> </w:t>
      </w:r>
      <w:r w:rsidRPr="0031675F">
        <w:t>to</w:t>
      </w:r>
      <w:r w:rsidRPr="0031675F">
        <w:rPr>
          <w:spacing w:val="43"/>
        </w:rPr>
        <w:t xml:space="preserve"> </w:t>
      </w:r>
      <w:r w:rsidRPr="0031675F">
        <w:t>the</w:t>
      </w:r>
      <w:r w:rsidRPr="0031675F">
        <w:rPr>
          <w:spacing w:val="41"/>
        </w:rPr>
        <w:t xml:space="preserve"> </w:t>
      </w:r>
      <w:r w:rsidRPr="0031675F">
        <w:rPr>
          <w:spacing w:val="-1"/>
        </w:rPr>
        <w:t>demography</w:t>
      </w:r>
      <w:r w:rsidRPr="0031675F">
        <w:rPr>
          <w:spacing w:val="42"/>
        </w:rPr>
        <w:t xml:space="preserve"> </w:t>
      </w:r>
      <w:r w:rsidRPr="0031675F">
        <w:rPr>
          <w:spacing w:val="-1"/>
        </w:rPr>
        <w:t>data</w:t>
      </w:r>
      <w:r w:rsidRPr="0031675F">
        <w:rPr>
          <w:spacing w:val="38"/>
        </w:rPr>
        <w:t xml:space="preserve"> </w:t>
      </w:r>
      <w:r w:rsidRPr="0031675F">
        <w:rPr>
          <w:spacing w:val="-1"/>
        </w:rPr>
        <w:t>table</w:t>
      </w:r>
      <w:r w:rsidRPr="0031675F">
        <w:rPr>
          <w:spacing w:val="39"/>
        </w:rPr>
        <w:t xml:space="preserve"> </w:t>
      </w:r>
      <w:r w:rsidRPr="0031675F">
        <w:rPr>
          <w:spacing w:val="-1"/>
        </w:rPr>
        <w:t>must</w:t>
      </w:r>
      <w:r w:rsidRPr="0031675F">
        <w:rPr>
          <w:spacing w:val="39"/>
        </w:rPr>
        <w:t xml:space="preserve"> </w:t>
      </w:r>
      <w:r w:rsidRPr="0031675F">
        <w:t>match</w:t>
      </w:r>
      <w:r w:rsidRPr="0031675F">
        <w:rPr>
          <w:spacing w:val="40"/>
        </w:rPr>
        <w:t xml:space="preserve"> </w:t>
      </w:r>
      <w:r w:rsidRPr="0031675F">
        <w:t>a</w:t>
      </w:r>
      <w:r w:rsidRPr="0031675F">
        <w:rPr>
          <w:spacing w:val="38"/>
        </w:rPr>
        <w:t xml:space="preserve"> </w:t>
      </w:r>
      <w:r w:rsidRPr="0031675F">
        <w:rPr>
          <w:spacing w:val="-1"/>
        </w:rPr>
        <w:t>pre-determined</w:t>
      </w:r>
      <w:r w:rsidRPr="0031675F">
        <w:rPr>
          <w:spacing w:val="41"/>
        </w:rPr>
        <w:t xml:space="preserve"> </w:t>
      </w:r>
      <w:r w:rsidRPr="0031675F">
        <w:rPr>
          <w:spacing w:val="-1"/>
        </w:rPr>
        <w:t>list</w:t>
      </w:r>
      <w:r w:rsidRPr="0031675F">
        <w:rPr>
          <w:spacing w:val="39"/>
        </w:rPr>
        <w:t xml:space="preserve"> </w:t>
      </w:r>
      <w:r w:rsidRPr="0031675F">
        <w:t>of</w:t>
      </w:r>
      <w:r w:rsidRPr="0031675F">
        <w:rPr>
          <w:spacing w:val="40"/>
        </w:rPr>
        <w:t xml:space="preserve"> </w:t>
      </w:r>
      <w:r w:rsidRPr="0031675F">
        <w:rPr>
          <w:spacing w:val="-1"/>
        </w:rPr>
        <w:t>coral</w:t>
      </w:r>
      <w:r w:rsidRPr="0031675F">
        <w:rPr>
          <w:spacing w:val="67"/>
        </w:rPr>
        <w:t xml:space="preserve"> </w:t>
      </w:r>
      <w:r w:rsidRPr="0031675F">
        <w:rPr>
          <w:spacing w:val="-1"/>
        </w:rPr>
        <w:t>genera.</w:t>
      </w:r>
    </w:p>
    <w:p w14:paraId="4D689989" w14:textId="77777777" w:rsidR="0031675F" w:rsidRPr="0031675F" w:rsidRDefault="0031675F" w:rsidP="008F55F2">
      <w:r w:rsidRPr="0031675F">
        <w:rPr>
          <w:spacing w:val="-1"/>
        </w:rPr>
        <w:t>Upon</w:t>
      </w:r>
      <w:r w:rsidRPr="0031675F">
        <w:rPr>
          <w:spacing w:val="2"/>
        </w:rPr>
        <w:t xml:space="preserve"> </w:t>
      </w:r>
      <w:r w:rsidRPr="0031675F">
        <w:t>return</w:t>
      </w:r>
      <w:r w:rsidRPr="0031675F">
        <w:rPr>
          <w:spacing w:val="-2"/>
        </w:rPr>
        <w:t xml:space="preserve"> </w:t>
      </w:r>
      <w:r w:rsidRPr="0031675F">
        <w:t>to</w:t>
      </w:r>
      <w:r w:rsidRPr="0031675F">
        <w:rPr>
          <w:spacing w:val="1"/>
        </w:rPr>
        <w:t xml:space="preserve"> </w:t>
      </w:r>
      <w:r w:rsidRPr="0031675F">
        <w:rPr>
          <w:spacing w:val="-1"/>
        </w:rPr>
        <w:t>the</w:t>
      </w:r>
      <w:r w:rsidRPr="0031675F">
        <w:t xml:space="preserve"> </w:t>
      </w:r>
      <w:r w:rsidRPr="0031675F">
        <w:rPr>
          <w:spacing w:val="-1"/>
        </w:rPr>
        <w:t>office,</w:t>
      </w:r>
      <w:r w:rsidRPr="0031675F">
        <w:rPr>
          <w:spacing w:val="3"/>
        </w:rPr>
        <w:t xml:space="preserve"> </w:t>
      </w:r>
      <w:r w:rsidRPr="0031675F">
        <w:rPr>
          <w:spacing w:val="-1"/>
        </w:rPr>
        <w:t>the</w:t>
      </w:r>
      <w:r w:rsidRPr="0031675F">
        <w:t xml:space="preserve"> </w:t>
      </w:r>
      <w:r w:rsidRPr="0031675F">
        <w:rPr>
          <w:spacing w:val="-1"/>
        </w:rPr>
        <w:t>data</w:t>
      </w:r>
      <w:r w:rsidRPr="0031675F">
        <w:rPr>
          <w:spacing w:val="3"/>
        </w:rPr>
        <w:t xml:space="preserve"> </w:t>
      </w:r>
      <w:r w:rsidRPr="0031675F">
        <w:t>is</w:t>
      </w:r>
      <w:r w:rsidRPr="0031675F">
        <w:rPr>
          <w:spacing w:val="2"/>
        </w:rPr>
        <w:t xml:space="preserve"> </w:t>
      </w:r>
      <w:r w:rsidRPr="0031675F">
        <w:rPr>
          <w:spacing w:val="-1"/>
        </w:rPr>
        <w:t>uploaded</w:t>
      </w:r>
      <w:r w:rsidRPr="0031675F">
        <w:rPr>
          <w:spacing w:val="2"/>
        </w:rPr>
        <w:t xml:space="preserve"> </w:t>
      </w:r>
      <w:r w:rsidRPr="0031675F">
        <w:rPr>
          <w:spacing w:val="-1"/>
        </w:rPr>
        <w:t>to</w:t>
      </w:r>
      <w:r w:rsidRPr="0031675F">
        <w:rPr>
          <w:spacing w:val="1"/>
        </w:rPr>
        <w:t xml:space="preserve"> </w:t>
      </w:r>
      <w:r w:rsidRPr="0031675F">
        <w:t>an</w:t>
      </w:r>
      <w:r w:rsidRPr="0031675F">
        <w:rPr>
          <w:spacing w:val="2"/>
        </w:rPr>
        <w:t xml:space="preserve"> </w:t>
      </w:r>
      <w:r w:rsidRPr="0031675F">
        <w:rPr>
          <w:spacing w:val="-1"/>
        </w:rPr>
        <w:t>Oracle</w:t>
      </w:r>
      <w:r w:rsidRPr="0031675F">
        <w:t xml:space="preserve"> </w:t>
      </w:r>
      <w:r w:rsidRPr="0031675F">
        <w:rPr>
          <w:spacing w:val="-1"/>
        </w:rPr>
        <w:t>Database</w:t>
      </w:r>
      <w:r w:rsidRPr="0031675F">
        <w:t xml:space="preserve"> </w:t>
      </w:r>
      <w:r w:rsidRPr="0031675F">
        <w:rPr>
          <w:spacing w:val="-1"/>
        </w:rPr>
        <w:t>using</w:t>
      </w:r>
      <w:r w:rsidRPr="0031675F">
        <w:rPr>
          <w:spacing w:val="2"/>
        </w:rPr>
        <w:t xml:space="preserve"> </w:t>
      </w:r>
      <w:r w:rsidRPr="0031675F">
        <w:t xml:space="preserve">the </w:t>
      </w:r>
      <w:r w:rsidRPr="0031675F">
        <w:rPr>
          <w:spacing w:val="-1"/>
        </w:rPr>
        <w:t>Oracle</w:t>
      </w:r>
      <w:r w:rsidRPr="0031675F">
        <w:rPr>
          <w:spacing w:val="3"/>
        </w:rPr>
        <w:t xml:space="preserve"> </w:t>
      </w:r>
      <w:r w:rsidRPr="0031675F">
        <w:rPr>
          <w:spacing w:val="-1"/>
        </w:rPr>
        <w:t>Lite</w:t>
      </w:r>
      <w:r w:rsidRPr="0031675F">
        <w:rPr>
          <w:spacing w:val="3"/>
        </w:rPr>
        <w:t xml:space="preserve"> </w:t>
      </w:r>
      <w:r w:rsidRPr="0031675F">
        <w:rPr>
          <w:spacing w:val="-1"/>
        </w:rPr>
        <w:t>synchronization</w:t>
      </w:r>
      <w:r w:rsidRPr="0031675F">
        <w:rPr>
          <w:spacing w:val="51"/>
        </w:rPr>
        <w:t xml:space="preserve"> </w:t>
      </w:r>
      <w:r w:rsidRPr="0031675F">
        <w:rPr>
          <w:spacing w:val="-1"/>
        </w:rPr>
        <w:t>process.</w:t>
      </w:r>
      <w:r w:rsidRPr="0031675F">
        <w:rPr>
          <w:spacing w:val="23"/>
        </w:rPr>
        <w:t xml:space="preserve"> </w:t>
      </w:r>
      <w:r w:rsidRPr="0031675F">
        <w:rPr>
          <w:spacing w:val="-1"/>
        </w:rPr>
        <w:t>All</w:t>
      </w:r>
      <w:r w:rsidRPr="0031675F">
        <w:rPr>
          <w:spacing w:val="25"/>
        </w:rPr>
        <w:t xml:space="preserve"> </w:t>
      </w:r>
      <w:r w:rsidRPr="0031675F">
        <w:rPr>
          <w:spacing w:val="-1"/>
        </w:rPr>
        <w:t>keyed</w:t>
      </w:r>
      <w:r w:rsidRPr="0031675F">
        <w:rPr>
          <w:spacing w:val="26"/>
        </w:rPr>
        <w:t xml:space="preserve"> </w:t>
      </w:r>
      <w:r w:rsidRPr="0031675F">
        <w:rPr>
          <w:spacing w:val="-1"/>
        </w:rPr>
        <w:t>data</w:t>
      </w:r>
      <w:r w:rsidRPr="0031675F">
        <w:rPr>
          <w:spacing w:val="27"/>
        </w:rPr>
        <w:t xml:space="preserve"> </w:t>
      </w:r>
      <w:r w:rsidRPr="0031675F">
        <w:t>is</w:t>
      </w:r>
      <w:r w:rsidRPr="0031675F">
        <w:rPr>
          <w:spacing w:val="21"/>
        </w:rPr>
        <w:t xml:space="preserve"> </w:t>
      </w:r>
      <w:r w:rsidRPr="0031675F">
        <w:rPr>
          <w:spacing w:val="-1"/>
        </w:rPr>
        <w:t>printed</w:t>
      </w:r>
      <w:r w:rsidRPr="0031675F">
        <w:rPr>
          <w:spacing w:val="25"/>
        </w:rPr>
        <w:t xml:space="preserve"> </w:t>
      </w:r>
      <w:r w:rsidRPr="0031675F">
        <w:rPr>
          <w:spacing w:val="-1"/>
        </w:rPr>
        <w:t>and</w:t>
      </w:r>
      <w:r w:rsidRPr="0031675F">
        <w:rPr>
          <w:spacing w:val="26"/>
        </w:rPr>
        <w:t xml:space="preserve"> </w:t>
      </w:r>
      <w:r w:rsidRPr="0031675F">
        <w:rPr>
          <w:spacing w:val="-1"/>
        </w:rPr>
        <w:t>checked</w:t>
      </w:r>
      <w:r w:rsidRPr="0031675F">
        <w:rPr>
          <w:spacing w:val="26"/>
        </w:rPr>
        <w:t xml:space="preserve"> </w:t>
      </w:r>
      <w:r w:rsidRPr="0031675F">
        <w:rPr>
          <w:spacing w:val="-1"/>
        </w:rPr>
        <w:t>against</w:t>
      </w:r>
      <w:r w:rsidRPr="0031675F">
        <w:rPr>
          <w:spacing w:val="27"/>
        </w:rPr>
        <w:t xml:space="preserve"> </w:t>
      </w:r>
      <w:r w:rsidRPr="0031675F">
        <w:rPr>
          <w:spacing w:val="-1"/>
        </w:rPr>
        <w:t>field</w:t>
      </w:r>
      <w:r w:rsidRPr="0031675F">
        <w:rPr>
          <w:spacing w:val="25"/>
        </w:rPr>
        <w:t xml:space="preserve"> </w:t>
      </w:r>
      <w:r w:rsidRPr="0031675F">
        <w:rPr>
          <w:spacing w:val="-1"/>
        </w:rPr>
        <w:t>data</w:t>
      </w:r>
      <w:r w:rsidRPr="0031675F">
        <w:rPr>
          <w:spacing w:val="27"/>
        </w:rPr>
        <w:t xml:space="preserve"> </w:t>
      </w:r>
      <w:r w:rsidRPr="0031675F">
        <w:rPr>
          <w:spacing w:val="-1"/>
        </w:rPr>
        <w:t>sheets</w:t>
      </w:r>
      <w:r w:rsidRPr="0031675F">
        <w:rPr>
          <w:spacing w:val="28"/>
        </w:rPr>
        <w:t xml:space="preserve"> </w:t>
      </w:r>
      <w:r w:rsidRPr="0031675F">
        <w:rPr>
          <w:spacing w:val="-1"/>
        </w:rPr>
        <w:t>prior</w:t>
      </w:r>
      <w:r w:rsidRPr="0031675F">
        <w:rPr>
          <w:spacing w:val="24"/>
        </w:rPr>
        <w:t xml:space="preserve"> </w:t>
      </w:r>
      <w:r w:rsidRPr="0031675F">
        <w:rPr>
          <w:spacing w:val="-1"/>
        </w:rPr>
        <w:t>to</w:t>
      </w:r>
      <w:r w:rsidRPr="0031675F">
        <w:rPr>
          <w:spacing w:val="27"/>
        </w:rPr>
        <w:t xml:space="preserve"> </w:t>
      </w:r>
      <w:r w:rsidRPr="0031675F">
        <w:rPr>
          <w:spacing w:val="-1"/>
        </w:rPr>
        <w:t>final</w:t>
      </w:r>
      <w:r w:rsidRPr="0031675F">
        <w:rPr>
          <w:spacing w:val="26"/>
        </w:rPr>
        <w:t xml:space="preserve"> </w:t>
      </w:r>
      <w:r w:rsidRPr="0031675F">
        <w:rPr>
          <w:spacing w:val="-1"/>
        </w:rPr>
        <w:t>logical</w:t>
      </w:r>
      <w:r w:rsidRPr="0031675F">
        <w:rPr>
          <w:spacing w:val="23"/>
        </w:rPr>
        <w:t xml:space="preserve"> </w:t>
      </w:r>
      <w:r w:rsidRPr="0031675F">
        <w:t>checking</w:t>
      </w:r>
      <w:r w:rsidRPr="0031675F">
        <w:rPr>
          <w:spacing w:val="69"/>
        </w:rPr>
        <w:t xml:space="preserve"> </w:t>
      </w:r>
      <w:r w:rsidRPr="0031675F">
        <w:rPr>
          <w:spacing w:val="-1"/>
        </w:rPr>
        <w:t>(ensuring</w:t>
      </w:r>
      <w:r w:rsidRPr="0031675F">
        <w:rPr>
          <w:spacing w:val="34"/>
        </w:rPr>
        <w:t xml:space="preserve"> </w:t>
      </w:r>
      <w:r w:rsidRPr="0031675F">
        <w:t>all</w:t>
      </w:r>
      <w:r w:rsidRPr="0031675F">
        <w:rPr>
          <w:spacing w:val="36"/>
        </w:rPr>
        <w:t xml:space="preserve"> </w:t>
      </w:r>
      <w:r w:rsidRPr="0031675F">
        <w:rPr>
          <w:spacing w:val="-1"/>
        </w:rPr>
        <w:t>expected</w:t>
      </w:r>
      <w:r w:rsidRPr="0031675F">
        <w:rPr>
          <w:spacing w:val="35"/>
        </w:rPr>
        <w:t xml:space="preserve"> </w:t>
      </w:r>
      <w:r w:rsidRPr="0031675F">
        <w:rPr>
          <w:spacing w:val="-2"/>
        </w:rPr>
        <w:t>fields</w:t>
      </w:r>
      <w:r w:rsidRPr="0031675F">
        <w:rPr>
          <w:spacing w:val="35"/>
        </w:rPr>
        <w:t xml:space="preserve"> </w:t>
      </w:r>
      <w:r w:rsidRPr="0031675F">
        <w:t>are</w:t>
      </w:r>
      <w:r w:rsidRPr="0031675F">
        <w:rPr>
          <w:spacing w:val="36"/>
        </w:rPr>
        <w:t xml:space="preserve"> </w:t>
      </w:r>
      <w:r w:rsidRPr="0031675F">
        <w:rPr>
          <w:spacing w:val="-1"/>
        </w:rPr>
        <w:t>included</w:t>
      </w:r>
      <w:r w:rsidRPr="0031675F">
        <w:rPr>
          <w:spacing w:val="36"/>
        </w:rPr>
        <w:t xml:space="preserve"> </w:t>
      </w:r>
      <w:r w:rsidRPr="0031675F">
        <w:rPr>
          <w:spacing w:val="-1"/>
        </w:rPr>
        <w:t>and</w:t>
      </w:r>
      <w:r w:rsidRPr="0031675F">
        <w:rPr>
          <w:spacing w:val="35"/>
        </w:rPr>
        <w:t xml:space="preserve"> </w:t>
      </w:r>
      <w:r w:rsidRPr="0031675F">
        <w:rPr>
          <w:spacing w:val="-1"/>
        </w:rPr>
        <w:t>tally</w:t>
      </w:r>
      <w:r w:rsidRPr="0031675F">
        <w:rPr>
          <w:spacing w:val="34"/>
        </w:rPr>
        <w:t xml:space="preserve"> </w:t>
      </w:r>
      <w:r w:rsidRPr="0031675F">
        <w:t>with</w:t>
      </w:r>
      <w:r w:rsidRPr="0031675F">
        <w:rPr>
          <w:spacing w:val="36"/>
        </w:rPr>
        <w:t xml:space="preserve"> </w:t>
      </w:r>
      <w:r w:rsidRPr="0031675F">
        <w:rPr>
          <w:spacing w:val="-1"/>
        </w:rPr>
        <w:t>number</w:t>
      </w:r>
      <w:r w:rsidRPr="0031675F">
        <w:rPr>
          <w:spacing w:val="34"/>
        </w:rPr>
        <w:t xml:space="preserve"> </w:t>
      </w:r>
      <w:r w:rsidRPr="0031675F">
        <w:t>of</w:t>
      </w:r>
      <w:r w:rsidRPr="0031675F">
        <w:rPr>
          <w:spacing w:val="33"/>
        </w:rPr>
        <w:t xml:space="preserve"> </w:t>
      </w:r>
      <w:r w:rsidRPr="0031675F">
        <w:rPr>
          <w:spacing w:val="-1"/>
        </w:rPr>
        <w:t>surveys).</w:t>
      </w:r>
      <w:r w:rsidRPr="0031675F">
        <w:rPr>
          <w:spacing w:val="34"/>
        </w:rPr>
        <w:t xml:space="preserve"> </w:t>
      </w:r>
      <w:r w:rsidRPr="0031675F">
        <w:rPr>
          <w:spacing w:val="-1"/>
        </w:rPr>
        <w:t>The</w:t>
      </w:r>
      <w:r w:rsidRPr="0031675F">
        <w:rPr>
          <w:spacing w:val="37"/>
        </w:rPr>
        <w:t xml:space="preserve"> </w:t>
      </w:r>
      <w:r w:rsidRPr="0031675F">
        <w:rPr>
          <w:spacing w:val="-2"/>
        </w:rPr>
        <w:t>Oracle</w:t>
      </w:r>
      <w:r w:rsidRPr="0031675F">
        <w:rPr>
          <w:spacing w:val="37"/>
        </w:rPr>
        <w:t xml:space="preserve"> </w:t>
      </w:r>
      <w:r w:rsidRPr="0031675F">
        <w:rPr>
          <w:spacing w:val="-1"/>
        </w:rPr>
        <w:t>database</w:t>
      </w:r>
      <w:r w:rsidRPr="0031675F">
        <w:rPr>
          <w:spacing w:val="36"/>
        </w:rPr>
        <w:t xml:space="preserve"> </w:t>
      </w:r>
      <w:r w:rsidRPr="0031675F">
        <w:t>is</w:t>
      </w:r>
      <w:r w:rsidRPr="0031675F">
        <w:rPr>
          <w:spacing w:val="69"/>
        </w:rPr>
        <w:t xml:space="preserve"> </w:t>
      </w:r>
      <w:r w:rsidRPr="0031675F">
        <w:rPr>
          <w:spacing w:val="-1"/>
        </w:rPr>
        <w:t>backed</w:t>
      </w:r>
      <w:r w:rsidRPr="0031675F">
        <w:rPr>
          <w:spacing w:val="6"/>
        </w:rPr>
        <w:t xml:space="preserve"> </w:t>
      </w:r>
      <w:r w:rsidRPr="0031675F">
        <w:rPr>
          <w:spacing w:val="-1"/>
        </w:rPr>
        <w:t>up</w:t>
      </w:r>
      <w:r w:rsidRPr="0031675F">
        <w:rPr>
          <w:spacing w:val="4"/>
        </w:rPr>
        <w:t xml:space="preserve"> </w:t>
      </w:r>
      <w:r w:rsidRPr="0031675F">
        <w:t>on</w:t>
      </w:r>
      <w:r w:rsidRPr="0031675F">
        <w:rPr>
          <w:spacing w:val="6"/>
        </w:rPr>
        <w:t xml:space="preserve"> </w:t>
      </w:r>
      <w:r w:rsidRPr="0031675F">
        <w:t>a</w:t>
      </w:r>
      <w:r w:rsidRPr="0031675F">
        <w:rPr>
          <w:spacing w:val="5"/>
        </w:rPr>
        <w:t xml:space="preserve"> </w:t>
      </w:r>
      <w:r w:rsidRPr="0031675F">
        <w:rPr>
          <w:spacing w:val="-1"/>
        </w:rPr>
        <w:t>daily</w:t>
      </w:r>
      <w:r w:rsidRPr="0031675F">
        <w:rPr>
          <w:spacing w:val="8"/>
        </w:rPr>
        <w:t xml:space="preserve"> </w:t>
      </w:r>
      <w:r w:rsidRPr="0031675F">
        <w:rPr>
          <w:spacing w:val="-1"/>
        </w:rPr>
        <w:t>basis.</w:t>
      </w:r>
      <w:r w:rsidRPr="0031675F">
        <w:rPr>
          <w:spacing w:val="4"/>
        </w:rPr>
        <w:t xml:space="preserve"> </w:t>
      </w:r>
      <w:r w:rsidRPr="0031675F">
        <w:rPr>
          <w:spacing w:val="-1"/>
        </w:rPr>
        <w:t>Photo</w:t>
      </w:r>
      <w:r w:rsidRPr="0031675F">
        <w:rPr>
          <w:spacing w:val="6"/>
        </w:rPr>
        <w:t xml:space="preserve"> </w:t>
      </w:r>
      <w:r w:rsidRPr="0031675F">
        <w:rPr>
          <w:spacing w:val="-1"/>
        </w:rPr>
        <w:t>images</w:t>
      </w:r>
      <w:r w:rsidRPr="0031675F">
        <w:rPr>
          <w:spacing w:val="5"/>
        </w:rPr>
        <w:t xml:space="preserve"> </w:t>
      </w:r>
      <w:r w:rsidRPr="0031675F">
        <w:t>are</w:t>
      </w:r>
      <w:r w:rsidRPr="0031675F">
        <w:rPr>
          <w:spacing w:val="7"/>
        </w:rPr>
        <w:t xml:space="preserve"> </w:t>
      </w:r>
      <w:r w:rsidRPr="0031675F">
        <w:rPr>
          <w:spacing w:val="-1"/>
        </w:rPr>
        <w:t>burnt</w:t>
      </w:r>
      <w:r w:rsidRPr="0031675F">
        <w:rPr>
          <w:spacing w:val="5"/>
        </w:rPr>
        <w:t xml:space="preserve"> </w:t>
      </w:r>
      <w:r w:rsidRPr="0031675F">
        <w:rPr>
          <w:spacing w:val="-1"/>
        </w:rPr>
        <w:t>to</w:t>
      </w:r>
      <w:r w:rsidRPr="0031675F">
        <w:rPr>
          <w:spacing w:val="6"/>
        </w:rPr>
        <w:t xml:space="preserve"> </w:t>
      </w:r>
      <w:r w:rsidRPr="0031675F">
        <w:rPr>
          <w:spacing w:val="-1"/>
        </w:rPr>
        <w:t>DVD</w:t>
      </w:r>
      <w:r w:rsidRPr="0031675F">
        <w:rPr>
          <w:spacing w:val="8"/>
        </w:rPr>
        <w:t xml:space="preserve"> </w:t>
      </w:r>
      <w:r w:rsidRPr="0031675F">
        <w:rPr>
          <w:spacing w:val="-1"/>
        </w:rPr>
        <w:t>prior</w:t>
      </w:r>
      <w:r w:rsidRPr="0031675F">
        <w:rPr>
          <w:spacing w:val="7"/>
        </w:rPr>
        <w:t xml:space="preserve"> </w:t>
      </w:r>
      <w:r w:rsidRPr="0031675F">
        <w:rPr>
          <w:spacing w:val="-1"/>
        </w:rPr>
        <w:t>to</w:t>
      </w:r>
      <w:r w:rsidRPr="0031675F">
        <w:rPr>
          <w:spacing w:val="8"/>
        </w:rPr>
        <w:t xml:space="preserve"> </w:t>
      </w:r>
      <w:r w:rsidRPr="0031675F">
        <w:rPr>
          <w:spacing w:val="-1"/>
        </w:rPr>
        <w:t>analysis</w:t>
      </w:r>
      <w:r w:rsidRPr="0031675F">
        <w:rPr>
          <w:spacing w:val="5"/>
        </w:rPr>
        <w:t xml:space="preserve"> </w:t>
      </w:r>
      <w:r w:rsidRPr="0031675F">
        <w:rPr>
          <w:spacing w:val="-1"/>
        </w:rPr>
        <w:t>this</w:t>
      </w:r>
      <w:r w:rsidRPr="0031675F">
        <w:rPr>
          <w:spacing w:val="5"/>
        </w:rPr>
        <w:t xml:space="preserve"> </w:t>
      </w:r>
      <w:r w:rsidRPr="0031675F">
        <w:t>copy</w:t>
      </w:r>
      <w:r w:rsidRPr="0031675F">
        <w:rPr>
          <w:spacing w:val="6"/>
        </w:rPr>
        <w:t xml:space="preserve"> </w:t>
      </w:r>
      <w:r w:rsidRPr="0031675F">
        <w:rPr>
          <w:spacing w:val="-1"/>
        </w:rPr>
        <w:t>to</w:t>
      </w:r>
      <w:r w:rsidRPr="0031675F">
        <w:rPr>
          <w:spacing w:val="6"/>
        </w:rPr>
        <w:t xml:space="preserve"> </w:t>
      </w:r>
      <w:r w:rsidRPr="0031675F">
        <w:rPr>
          <w:spacing w:val="-1"/>
        </w:rPr>
        <w:t>DVD</w:t>
      </w:r>
      <w:r w:rsidRPr="0031675F">
        <w:rPr>
          <w:spacing w:val="5"/>
        </w:rPr>
        <w:t xml:space="preserve"> </w:t>
      </w:r>
      <w:r w:rsidRPr="0031675F">
        <w:rPr>
          <w:spacing w:val="-1"/>
        </w:rPr>
        <w:t>doubles</w:t>
      </w:r>
      <w:r w:rsidRPr="0031675F">
        <w:rPr>
          <w:spacing w:val="5"/>
        </w:rPr>
        <w:t xml:space="preserve"> </w:t>
      </w:r>
      <w:r w:rsidRPr="0031675F">
        <w:t>as</w:t>
      </w:r>
      <w:r w:rsidRPr="0031675F">
        <w:rPr>
          <w:spacing w:val="71"/>
        </w:rPr>
        <w:t xml:space="preserve"> </w:t>
      </w:r>
      <w:r w:rsidRPr="0031675F">
        <w:t>a</w:t>
      </w:r>
      <w:r w:rsidRPr="0031675F">
        <w:rPr>
          <w:spacing w:val="47"/>
        </w:rPr>
        <w:t xml:space="preserve"> </w:t>
      </w:r>
      <w:r w:rsidRPr="0031675F">
        <w:rPr>
          <w:spacing w:val="-1"/>
        </w:rPr>
        <w:t>backup</w:t>
      </w:r>
      <w:r w:rsidRPr="0031675F">
        <w:rPr>
          <w:spacing w:val="47"/>
        </w:rPr>
        <w:t xml:space="preserve"> </w:t>
      </w:r>
      <w:r w:rsidRPr="0031675F">
        <w:t>of</w:t>
      </w:r>
      <w:r w:rsidRPr="0031675F">
        <w:rPr>
          <w:spacing w:val="48"/>
        </w:rPr>
        <w:t xml:space="preserve"> </w:t>
      </w:r>
      <w:r w:rsidRPr="0031675F">
        <w:t>the</w:t>
      </w:r>
      <w:r w:rsidRPr="0031675F">
        <w:rPr>
          <w:spacing w:val="47"/>
        </w:rPr>
        <w:t xml:space="preserve"> </w:t>
      </w:r>
      <w:r w:rsidRPr="0031675F">
        <w:rPr>
          <w:spacing w:val="-1"/>
        </w:rPr>
        <w:t>photo</w:t>
      </w:r>
      <w:r w:rsidRPr="0031675F">
        <w:t xml:space="preserve"> </w:t>
      </w:r>
      <w:r w:rsidRPr="0031675F">
        <w:rPr>
          <w:spacing w:val="-1"/>
        </w:rPr>
        <w:t>images.</w:t>
      </w:r>
      <w:r w:rsidRPr="0031675F">
        <w:rPr>
          <w:spacing w:val="45"/>
        </w:rPr>
        <w:t xml:space="preserve"> </w:t>
      </w:r>
      <w:r w:rsidRPr="0031675F">
        <w:rPr>
          <w:spacing w:val="-1"/>
        </w:rPr>
        <w:t>Photo</w:t>
      </w:r>
      <w:r w:rsidRPr="0031675F">
        <w:rPr>
          <w:spacing w:val="49"/>
        </w:rPr>
        <w:t xml:space="preserve"> </w:t>
      </w:r>
      <w:r w:rsidRPr="0031675F">
        <w:rPr>
          <w:spacing w:val="-1"/>
        </w:rPr>
        <w:t>images</w:t>
      </w:r>
      <w:r w:rsidRPr="0031675F">
        <w:rPr>
          <w:spacing w:val="49"/>
        </w:rPr>
        <w:t xml:space="preserve"> </w:t>
      </w:r>
      <w:r w:rsidRPr="0031675F">
        <w:rPr>
          <w:spacing w:val="-1"/>
        </w:rPr>
        <w:t>are</w:t>
      </w:r>
      <w:r w:rsidRPr="0031675F">
        <w:rPr>
          <w:spacing w:val="45"/>
        </w:rPr>
        <w:t xml:space="preserve"> </w:t>
      </w:r>
      <w:r w:rsidRPr="0031675F">
        <w:rPr>
          <w:spacing w:val="-1"/>
        </w:rPr>
        <w:t>stored</w:t>
      </w:r>
      <w:r w:rsidRPr="0031675F">
        <w:rPr>
          <w:spacing w:val="45"/>
        </w:rPr>
        <w:t xml:space="preserve"> </w:t>
      </w:r>
      <w:r w:rsidRPr="0031675F">
        <w:t>on</w:t>
      </w:r>
      <w:r w:rsidRPr="0031675F">
        <w:rPr>
          <w:spacing w:val="48"/>
        </w:rPr>
        <w:t xml:space="preserve"> </w:t>
      </w:r>
      <w:r w:rsidRPr="0031675F">
        <w:t>a</w:t>
      </w:r>
      <w:r w:rsidRPr="0031675F">
        <w:rPr>
          <w:spacing w:val="47"/>
        </w:rPr>
        <w:t xml:space="preserve"> </w:t>
      </w:r>
      <w:r w:rsidRPr="0031675F">
        <w:rPr>
          <w:spacing w:val="-1"/>
        </w:rPr>
        <w:t>server</w:t>
      </w:r>
      <w:r w:rsidRPr="0031675F">
        <w:rPr>
          <w:spacing w:val="48"/>
        </w:rPr>
        <w:t xml:space="preserve"> </w:t>
      </w:r>
      <w:r w:rsidRPr="0031675F">
        <w:rPr>
          <w:spacing w:val="-1"/>
        </w:rPr>
        <w:t>that</w:t>
      </w:r>
      <w:r w:rsidRPr="0031675F">
        <w:rPr>
          <w:spacing w:val="49"/>
        </w:rPr>
        <w:t xml:space="preserve"> </w:t>
      </w:r>
      <w:r w:rsidRPr="0031675F">
        <w:t>is</w:t>
      </w:r>
      <w:r w:rsidRPr="0031675F">
        <w:rPr>
          <w:spacing w:val="48"/>
        </w:rPr>
        <w:t xml:space="preserve"> </w:t>
      </w:r>
      <w:r w:rsidRPr="0031675F">
        <w:rPr>
          <w:spacing w:val="-1"/>
        </w:rPr>
        <w:t>included</w:t>
      </w:r>
      <w:r w:rsidRPr="0031675F">
        <w:rPr>
          <w:spacing w:val="47"/>
        </w:rPr>
        <w:t xml:space="preserve"> </w:t>
      </w:r>
      <w:r w:rsidRPr="0031675F">
        <w:t>in</w:t>
      </w:r>
      <w:r w:rsidRPr="0031675F">
        <w:rPr>
          <w:spacing w:val="47"/>
        </w:rPr>
        <w:t xml:space="preserve"> </w:t>
      </w:r>
      <w:r w:rsidRPr="0031675F">
        <w:t>a</w:t>
      </w:r>
      <w:r w:rsidRPr="0031675F">
        <w:rPr>
          <w:spacing w:val="48"/>
        </w:rPr>
        <w:t xml:space="preserve"> </w:t>
      </w:r>
      <w:r w:rsidRPr="0031675F">
        <w:rPr>
          <w:spacing w:val="-1"/>
        </w:rPr>
        <w:t>routine</w:t>
      </w:r>
      <w:r w:rsidRPr="0031675F">
        <w:rPr>
          <w:spacing w:val="69"/>
        </w:rPr>
        <w:t xml:space="preserve"> </w:t>
      </w:r>
      <w:r w:rsidRPr="0031675F">
        <w:rPr>
          <w:spacing w:val="-1"/>
        </w:rPr>
        <w:t>automatic</w:t>
      </w:r>
      <w:r w:rsidRPr="0031675F">
        <w:t xml:space="preserve"> </w:t>
      </w:r>
      <w:r w:rsidRPr="0031675F">
        <w:rPr>
          <w:spacing w:val="-1"/>
        </w:rPr>
        <w:t>back</w:t>
      </w:r>
      <w:r w:rsidRPr="0031675F">
        <w:rPr>
          <w:spacing w:val="1"/>
        </w:rPr>
        <w:t xml:space="preserve"> </w:t>
      </w:r>
      <w:r w:rsidRPr="0031675F">
        <w:rPr>
          <w:spacing w:val="-1"/>
        </w:rPr>
        <w:t>up schedule.</w:t>
      </w:r>
    </w:p>
    <w:p w14:paraId="40D6F2F0" w14:textId="77777777" w:rsidR="0031675F" w:rsidRPr="0031675F" w:rsidRDefault="0031675F" w:rsidP="008F55F2">
      <w:r w:rsidRPr="0031675F">
        <w:rPr>
          <w:rFonts w:cs="Calibri"/>
          <w:spacing w:val="-1"/>
        </w:rPr>
        <w:t>Image</w:t>
      </w:r>
      <w:r w:rsidRPr="0031675F">
        <w:rPr>
          <w:rFonts w:cs="Calibri"/>
          <w:spacing w:val="20"/>
        </w:rPr>
        <w:t xml:space="preserve"> </w:t>
      </w:r>
      <w:r w:rsidRPr="0031675F">
        <w:rPr>
          <w:rFonts w:cs="Calibri"/>
          <w:spacing w:val="-1"/>
        </w:rPr>
        <w:t>analysis</w:t>
      </w:r>
      <w:r w:rsidRPr="0031675F">
        <w:rPr>
          <w:rFonts w:cs="Calibri"/>
          <w:spacing w:val="19"/>
        </w:rPr>
        <w:t xml:space="preserve"> </w:t>
      </w:r>
      <w:r w:rsidRPr="0031675F">
        <w:rPr>
          <w:rFonts w:cs="Calibri"/>
        </w:rPr>
        <w:t>is</w:t>
      </w:r>
      <w:r w:rsidRPr="0031675F">
        <w:rPr>
          <w:rFonts w:cs="Calibri"/>
          <w:spacing w:val="19"/>
        </w:rPr>
        <w:t xml:space="preserve"> </w:t>
      </w:r>
      <w:r w:rsidRPr="0031675F">
        <w:rPr>
          <w:rFonts w:cs="Calibri"/>
          <w:spacing w:val="-1"/>
        </w:rPr>
        <w:t>performed</w:t>
      </w:r>
      <w:r w:rsidRPr="0031675F">
        <w:rPr>
          <w:rFonts w:cs="Calibri"/>
          <w:spacing w:val="18"/>
        </w:rPr>
        <w:t xml:space="preserve"> </w:t>
      </w:r>
      <w:r w:rsidRPr="0031675F">
        <w:rPr>
          <w:rFonts w:cs="Calibri"/>
        </w:rPr>
        <w:t>within</w:t>
      </w:r>
      <w:r w:rsidRPr="0031675F">
        <w:rPr>
          <w:rFonts w:cs="Calibri"/>
          <w:spacing w:val="18"/>
        </w:rPr>
        <w:t xml:space="preserve"> </w:t>
      </w:r>
      <w:r w:rsidRPr="0031675F">
        <w:rPr>
          <w:rFonts w:cs="Calibri"/>
        </w:rPr>
        <w:t>the</w:t>
      </w:r>
      <w:r w:rsidRPr="0031675F">
        <w:rPr>
          <w:rFonts w:cs="Calibri"/>
          <w:spacing w:val="19"/>
        </w:rPr>
        <w:t xml:space="preserve"> </w:t>
      </w:r>
      <w:r w:rsidRPr="0031675F">
        <w:rPr>
          <w:rFonts w:cs="Calibri"/>
          <w:spacing w:val="-1"/>
        </w:rPr>
        <w:t>AIMS</w:t>
      </w:r>
      <w:r w:rsidRPr="0031675F">
        <w:rPr>
          <w:rFonts w:cs="Calibri"/>
          <w:spacing w:val="19"/>
        </w:rPr>
        <w:t xml:space="preserve"> </w:t>
      </w:r>
      <w:r w:rsidRPr="0031675F">
        <w:rPr>
          <w:rFonts w:cs="Calibri"/>
          <w:spacing w:val="-1"/>
        </w:rPr>
        <w:t>monitoring</w:t>
      </w:r>
      <w:r w:rsidRPr="0031675F">
        <w:rPr>
          <w:rFonts w:cs="Calibri"/>
          <w:spacing w:val="18"/>
        </w:rPr>
        <w:t xml:space="preserve"> </w:t>
      </w:r>
      <w:r w:rsidRPr="0031675F">
        <w:rPr>
          <w:rFonts w:cs="Calibri"/>
          <w:spacing w:val="-1"/>
        </w:rPr>
        <w:t>data</w:t>
      </w:r>
      <w:r w:rsidRPr="0031675F">
        <w:rPr>
          <w:rFonts w:cs="Calibri"/>
          <w:spacing w:val="19"/>
        </w:rPr>
        <w:t xml:space="preserve"> </w:t>
      </w:r>
      <w:r w:rsidRPr="0031675F">
        <w:rPr>
          <w:rFonts w:cs="Calibri"/>
        </w:rPr>
        <w:t>entry</w:t>
      </w:r>
      <w:r w:rsidRPr="0031675F">
        <w:rPr>
          <w:rFonts w:cs="Calibri"/>
          <w:spacing w:val="20"/>
        </w:rPr>
        <w:t xml:space="preserve"> </w:t>
      </w:r>
      <w:r w:rsidRPr="0031675F">
        <w:rPr>
          <w:rFonts w:cs="Calibri"/>
          <w:spacing w:val="-1"/>
        </w:rPr>
        <w:t>package</w:t>
      </w:r>
      <w:r w:rsidRPr="0031675F">
        <w:rPr>
          <w:rFonts w:cs="Calibri"/>
          <w:spacing w:val="19"/>
        </w:rPr>
        <w:t xml:space="preserve"> </w:t>
      </w:r>
      <w:r w:rsidRPr="0031675F">
        <w:rPr>
          <w:rFonts w:cs="Calibri"/>
          <w:spacing w:val="-1"/>
        </w:rPr>
        <w:t>“reefmon”.</w:t>
      </w:r>
      <w:r w:rsidRPr="0031675F">
        <w:rPr>
          <w:rFonts w:cs="Calibri"/>
          <w:spacing w:val="19"/>
        </w:rPr>
        <w:t xml:space="preserve"> </w:t>
      </w:r>
      <w:r w:rsidRPr="0031675F">
        <w:rPr>
          <w:rFonts w:cs="Calibri"/>
        </w:rPr>
        <w:t>This</w:t>
      </w:r>
      <w:r w:rsidRPr="0031675F">
        <w:rPr>
          <w:rFonts w:cs="Calibri"/>
          <w:spacing w:val="19"/>
        </w:rPr>
        <w:t xml:space="preserve"> </w:t>
      </w:r>
      <w:r w:rsidRPr="0031675F">
        <w:rPr>
          <w:rFonts w:cs="Calibri"/>
          <w:spacing w:val="-1"/>
        </w:rPr>
        <w:t>software</w:t>
      </w:r>
      <w:r w:rsidRPr="0031675F">
        <w:rPr>
          <w:rFonts w:cs="Calibri"/>
          <w:spacing w:val="77"/>
        </w:rPr>
        <w:t xml:space="preserve"> </w:t>
      </w:r>
      <w:r w:rsidRPr="0031675F">
        <w:rPr>
          <w:spacing w:val="-1"/>
        </w:rPr>
        <w:t>contains</w:t>
      </w:r>
      <w:r w:rsidRPr="0031675F">
        <w:rPr>
          <w:spacing w:val="2"/>
        </w:rPr>
        <w:t xml:space="preserve"> </w:t>
      </w:r>
      <w:r w:rsidRPr="0031675F">
        <w:rPr>
          <w:spacing w:val="-1"/>
        </w:rPr>
        <w:t>logical</w:t>
      </w:r>
      <w:r w:rsidRPr="0031675F">
        <w:rPr>
          <w:spacing w:val="2"/>
        </w:rPr>
        <w:t xml:space="preserve"> </w:t>
      </w:r>
      <w:r w:rsidRPr="0031675F">
        <w:rPr>
          <w:spacing w:val="-1"/>
        </w:rPr>
        <w:t>checks</w:t>
      </w:r>
      <w:r w:rsidRPr="0031675F">
        <w:rPr>
          <w:spacing w:val="3"/>
        </w:rPr>
        <w:t xml:space="preserve"> </w:t>
      </w:r>
      <w:r w:rsidRPr="0031675F">
        <w:rPr>
          <w:spacing w:val="-1"/>
        </w:rPr>
        <w:t>to</w:t>
      </w:r>
      <w:r w:rsidRPr="0031675F">
        <w:rPr>
          <w:spacing w:val="3"/>
        </w:rPr>
        <w:t xml:space="preserve"> </w:t>
      </w:r>
      <w:r w:rsidRPr="0031675F">
        <w:t>all</w:t>
      </w:r>
      <w:r w:rsidRPr="0031675F">
        <w:rPr>
          <w:spacing w:val="2"/>
        </w:rPr>
        <w:t xml:space="preserve"> </w:t>
      </w:r>
      <w:r w:rsidRPr="0031675F">
        <w:t>keyed</w:t>
      </w:r>
      <w:r w:rsidRPr="0031675F">
        <w:rPr>
          <w:spacing w:val="2"/>
        </w:rPr>
        <w:t xml:space="preserve"> </w:t>
      </w:r>
      <w:r w:rsidRPr="0031675F">
        <w:rPr>
          <w:spacing w:val="-1"/>
        </w:rPr>
        <w:t>data</w:t>
      </w:r>
      <w:r w:rsidRPr="0031675F">
        <w:rPr>
          <w:spacing w:val="3"/>
        </w:rPr>
        <w:t xml:space="preserve"> </w:t>
      </w:r>
      <w:r w:rsidRPr="0031675F">
        <w:rPr>
          <w:spacing w:val="-1"/>
        </w:rPr>
        <w:t>and</w:t>
      </w:r>
      <w:r w:rsidRPr="0031675F">
        <w:rPr>
          <w:spacing w:val="2"/>
        </w:rPr>
        <w:t xml:space="preserve"> </w:t>
      </w:r>
      <w:r w:rsidRPr="0031675F">
        <w:t>is</w:t>
      </w:r>
      <w:r w:rsidRPr="0031675F">
        <w:rPr>
          <w:spacing w:val="2"/>
        </w:rPr>
        <w:t xml:space="preserve"> </w:t>
      </w:r>
      <w:r w:rsidRPr="0031675F">
        <w:t xml:space="preserve">directly </w:t>
      </w:r>
      <w:r w:rsidRPr="0031675F">
        <w:rPr>
          <w:spacing w:val="-1"/>
        </w:rPr>
        <w:t>linked</w:t>
      </w:r>
      <w:r w:rsidRPr="0031675F">
        <w:rPr>
          <w:spacing w:val="2"/>
        </w:rPr>
        <w:t xml:space="preserve"> </w:t>
      </w:r>
      <w:r w:rsidRPr="0031675F">
        <w:t>to</w:t>
      </w:r>
      <w:r w:rsidRPr="0031675F">
        <w:rPr>
          <w:spacing w:val="4"/>
        </w:rPr>
        <w:t xml:space="preserve"> </w:t>
      </w:r>
      <w:r w:rsidRPr="0031675F">
        <w:t>a</w:t>
      </w:r>
      <w:r w:rsidRPr="0031675F">
        <w:rPr>
          <w:spacing w:val="2"/>
        </w:rPr>
        <w:t xml:space="preserve"> </w:t>
      </w:r>
      <w:r w:rsidRPr="0031675F">
        <w:rPr>
          <w:spacing w:val="-1"/>
        </w:rPr>
        <w:t>database</w:t>
      </w:r>
      <w:r w:rsidRPr="0031675F">
        <w:rPr>
          <w:spacing w:val="3"/>
        </w:rPr>
        <w:t xml:space="preserve"> </w:t>
      </w:r>
      <w:r w:rsidRPr="0031675F">
        <w:t>to</w:t>
      </w:r>
      <w:r w:rsidRPr="0031675F">
        <w:rPr>
          <w:spacing w:val="4"/>
        </w:rPr>
        <w:t xml:space="preserve"> </w:t>
      </w:r>
      <w:r w:rsidRPr="0031675F">
        <w:rPr>
          <w:spacing w:val="-1"/>
        </w:rPr>
        <w:t>ensure</w:t>
      </w:r>
      <w:r w:rsidRPr="0031675F">
        <w:rPr>
          <w:spacing w:val="3"/>
        </w:rPr>
        <w:t xml:space="preserve"> </w:t>
      </w:r>
      <w:r w:rsidRPr="0031675F">
        <w:rPr>
          <w:spacing w:val="-1"/>
        </w:rPr>
        <w:t>data</w:t>
      </w:r>
      <w:r w:rsidRPr="0031675F">
        <w:rPr>
          <w:spacing w:val="3"/>
        </w:rPr>
        <w:t xml:space="preserve"> </w:t>
      </w:r>
      <w:r w:rsidRPr="0031675F">
        <w:rPr>
          <w:spacing w:val="-1"/>
        </w:rPr>
        <w:t>integrity.</w:t>
      </w:r>
      <w:r w:rsidRPr="0031675F">
        <w:rPr>
          <w:spacing w:val="2"/>
        </w:rPr>
        <w:t xml:space="preserve"> </w:t>
      </w:r>
      <w:r w:rsidRPr="0031675F">
        <w:rPr>
          <w:spacing w:val="-1"/>
        </w:rPr>
        <w:t>The</w:t>
      </w:r>
      <w:r w:rsidRPr="0031675F">
        <w:rPr>
          <w:spacing w:val="82"/>
        </w:rPr>
        <w:t xml:space="preserve"> </w:t>
      </w:r>
      <w:r w:rsidRPr="0031675F">
        <w:rPr>
          <w:spacing w:val="-1"/>
        </w:rPr>
        <w:t>directory</w:t>
      </w:r>
      <w:r w:rsidRPr="0031675F">
        <w:rPr>
          <w:spacing w:val="13"/>
        </w:rPr>
        <w:t xml:space="preserve"> </w:t>
      </w:r>
      <w:r w:rsidRPr="0031675F">
        <w:rPr>
          <w:spacing w:val="-1"/>
        </w:rPr>
        <w:t>path</w:t>
      </w:r>
      <w:r w:rsidRPr="0031675F">
        <w:rPr>
          <w:spacing w:val="12"/>
        </w:rPr>
        <w:t xml:space="preserve"> </w:t>
      </w:r>
      <w:r w:rsidRPr="0031675F">
        <w:rPr>
          <w:spacing w:val="-1"/>
        </w:rPr>
        <w:t>to</w:t>
      </w:r>
      <w:r w:rsidRPr="0031675F">
        <w:rPr>
          <w:spacing w:val="13"/>
        </w:rPr>
        <w:t xml:space="preserve"> </w:t>
      </w:r>
      <w:r w:rsidRPr="0031675F">
        <w:rPr>
          <w:spacing w:val="-1"/>
        </w:rPr>
        <w:t>transect</w:t>
      </w:r>
      <w:r w:rsidRPr="0031675F">
        <w:rPr>
          <w:spacing w:val="11"/>
        </w:rPr>
        <w:t xml:space="preserve"> </w:t>
      </w:r>
      <w:r w:rsidRPr="0031675F">
        <w:rPr>
          <w:spacing w:val="-1"/>
        </w:rPr>
        <w:t>images</w:t>
      </w:r>
      <w:r w:rsidRPr="0031675F">
        <w:rPr>
          <w:spacing w:val="10"/>
        </w:rPr>
        <w:t xml:space="preserve"> </w:t>
      </w:r>
      <w:r w:rsidRPr="0031675F">
        <w:t>is</w:t>
      </w:r>
      <w:r w:rsidRPr="0031675F">
        <w:rPr>
          <w:spacing w:val="11"/>
        </w:rPr>
        <w:t xml:space="preserve"> </w:t>
      </w:r>
      <w:r w:rsidRPr="0031675F">
        <w:rPr>
          <w:spacing w:val="-1"/>
        </w:rPr>
        <w:t>recorded</w:t>
      </w:r>
      <w:r w:rsidRPr="0031675F">
        <w:rPr>
          <w:spacing w:val="11"/>
        </w:rPr>
        <w:t xml:space="preserve"> </w:t>
      </w:r>
      <w:r w:rsidRPr="0031675F">
        <w:t>in</w:t>
      </w:r>
      <w:r w:rsidRPr="0031675F">
        <w:rPr>
          <w:spacing w:val="11"/>
        </w:rPr>
        <w:t xml:space="preserve"> </w:t>
      </w:r>
      <w:r w:rsidRPr="0031675F">
        <w:rPr>
          <w:spacing w:val="-1"/>
        </w:rPr>
        <w:t>the</w:t>
      </w:r>
      <w:r w:rsidRPr="0031675F">
        <w:rPr>
          <w:spacing w:val="13"/>
        </w:rPr>
        <w:t xml:space="preserve"> </w:t>
      </w:r>
      <w:r w:rsidRPr="0031675F">
        <w:rPr>
          <w:spacing w:val="-1"/>
        </w:rPr>
        <w:t>data</w:t>
      </w:r>
      <w:r w:rsidRPr="0031675F">
        <w:rPr>
          <w:spacing w:val="12"/>
        </w:rPr>
        <w:t xml:space="preserve"> </w:t>
      </w:r>
      <w:r w:rsidRPr="0031675F">
        <w:rPr>
          <w:spacing w:val="-1"/>
        </w:rPr>
        <w:t>base.</w:t>
      </w:r>
      <w:r w:rsidRPr="0031675F">
        <w:rPr>
          <w:spacing w:val="10"/>
        </w:rPr>
        <w:t xml:space="preserve"> </w:t>
      </w:r>
      <w:r w:rsidRPr="0031675F">
        <w:rPr>
          <w:spacing w:val="-1"/>
        </w:rPr>
        <w:t>This</w:t>
      </w:r>
      <w:r w:rsidRPr="0031675F">
        <w:rPr>
          <w:spacing w:val="12"/>
        </w:rPr>
        <w:t xml:space="preserve"> </w:t>
      </w:r>
      <w:r w:rsidRPr="0031675F">
        <w:rPr>
          <w:spacing w:val="-1"/>
        </w:rPr>
        <w:t>functionality</w:t>
      </w:r>
      <w:r w:rsidRPr="0031675F">
        <w:rPr>
          <w:spacing w:val="11"/>
        </w:rPr>
        <w:t xml:space="preserve"> </w:t>
      </w:r>
      <w:r w:rsidRPr="0031675F">
        <w:rPr>
          <w:spacing w:val="-1"/>
        </w:rPr>
        <w:t>allows</w:t>
      </w:r>
      <w:r w:rsidRPr="0031675F">
        <w:rPr>
          <w:spacing w:val="12"/>
        </w:rPr>
        <w:t xml:space="preserve"> </w:t>
      </w:r>
      <w:r w:rsidRPr="0031675F">
        <w:rPr>
          <w:spacing w:val="-1"/>
        </w:rPr>
        <w:t>the</w:t>
      </w:r>
      <w:r w:rsidRPr="0031675F">
        <w:rPr>
          <w:spacing w:val="13"/>
        </w:rPr>
        <w:t xml:space="preserve"> </w:t>
      </w:r>
      <w:r w:rsidRPr="0031675F">
        <w:rPr>
          <w:spacing w:val="-1"/>
        </w:rPr>
        <w:t>checking</w:t>
      </w:r>
      <w:r w:rsidRPr="0031675F">
        <w:rPr>
          <w:spacing w:val="8"/>
        </w:rPr>
        <w:t xml:space="preserve"> </w:t>
      </w:r>
      <w:r w:rsidRPr="0031675F">
        <w:t>of</w:t>
      </w:r>
      <w:r w:rsidRPr="0031675F">
        <w:rPr>
          <w:spacing w:val="65"/>
        </w:rPr>
        <w:t xml:space="preserve"> </w:t>
      </w:r>
      <w:r w:rsidRPr="0031675F">
        <w:rPr>
          <w:spacing w:val="-1"/>
        </w:rPr>
        <w:t>benthic</w:t>
      </w:r>
      <w:r w:rsidRPr="0031675F">
        <w:rPr>
          <w:spacing w:val="17"/>
        </w:rPr>
        <w:t xml:space="preserve"> </w:t>
      </w:r>
      <w:r w:rsidRPr="0031675F">
        <w:rPr>
          <w:spacing w:val="-1"/>
        </w:rPr>
        <w:t>category</w:t>
      </w:r>
      <w:r w:rsidRPr="0031675F">
        <w:rPr>
          <w:spacing w:val="17"/>
        </w:rPr>
        <w:t xml:space="preserve"> </w:t>
      </w:r>
      <w:r w:rsidRPr="0031675F">
        <w:rPr>
          <w:spacing w:val="-1"/>
        </w:rPr>
        <w:t>identification.</w:t>
      </w:r>
      <w:r w:rsidRPr="0031675F">
        <w:rPr>
          <w:spacing w:val="16"/>
        </w:rPr>
        <w:t xml:space="preserve"> </w:t>
      </w:r>
      <w:r w:rsidRPr="0031675F">
        <w:rPr>
          <w:spacing w:val="-1"/>
        </w:rPr>
        <w:t>All</w:t>
      </w:r>
      <w:r w:rsidRPr="0031675F">
        <w:rPr>
          <w:spacing w:val="17"/>
        </w:rPr>
        <w:t xml:space="preserve"> </w:t>
      </w:r>
      <w:r w:rsidRPr="0031675F">
        <w:rPr>
          <w:spacing w:val="-1"/>
        </w:rPr>
        <w:t>photo</w:t>
      </w:r>
      <w:r w:rsidRPr="0031675F">
        <w:rPr>
          <w:spacing w:val="18"/>
        </w:rPr>
        <w:t xml:space="preserve"> </w:t>
      </w:r>
      <w:r w:rsidRPr="0031675F">
        <w:rPr>
          <w:spacing w:val="-1"/>
        </w:rPr>
        <w:t>transect</w:t>
      </w:r>
      <w:r w:rsidRPr="0031675F">
        <w:rPr>
          <w:spacing w:val="17"/>
        </w:rPr>
        <w:t xml:space="preserve"> </w:t>
      </w:r>
      <w:r w:rsidRPr="0031675F">
        <w:rPr>
          <w:spacing w:val="-1"/>
        </w:rPr>
        <w:t>data</w:t>
      </w:r>
      <w:r w:rsidRPr="0031675F">
        <w:rPr>
          <w:spacing w:val="17"/>
        </w:rPr>
        <w:t xml:space="preserve"> </w:t>
      </w:r>
      <w:r w:rsidRPr="0031675F">
        <w:t>is</w:t>
      </w:r>
      <w:r w:rsidRPr="0031675F">
        <w:rPr>
          <w:spacing w:val="16"/>
        </w:rPr>
        <w:t xml:space="preserve"> </w:t>
      </w:r>
      <w:r w:rsidRPr="0031675F">
        <w:rPr>
          <w:spacing w:val="-1"/>
        </w:rPr>
        <w:t>checked</w:t>
      </w:r>
      <w:r w:rsidRPr="0031675F">
        <w:rPr>
          <w:spacing w:val="16"/>
        </w:rPr>
        <w:t xml:space="preserve"> </w:t>
      </w:r>
      <w:r w:rsidRPr="0031675F">
        <w:rPr>
          <w:spacing w:val="-1"/>
        </w:rPr>
        <w:t>by</w:t>
      </w:r>
      <w:r w:rsidRPr="0031675F">
        <w:rPr>
          <w:spacing w:val="17"/>
        </w:rPr>
        <w:t xml:space="preserve"> </w:t>
      </w:r>
      <w:r w:rsidRPr="0031675F">
        <w:t>an</w:t>
      </w:r>
      <w:r w:rsidRPr="0031675F">
        <w:rPr>
          <w:spacing w:val="16"/>
        </w:rPr>
        <w:t xml:space="preserve"> </w:t>
      </w:r>
      <w:r w:rsidRPr="0031675F">
        <w:rPr>
          <w:spacing w:val="-1"/>
        </w:rPr>
        <w:t>experienced</w:t>
      </w:r>
      <w:r w:rsidRPr="0031675F">
        <w:rPr>
          <w:spacing w:val="16"/>
        </w:rPr>
        <w:t xml:space="preserve"> </w:t>
      </w:r>
      <w:r w:rsidRPr="0031675F">
        <w:t>observer</w:t>
      </w:r>
      <w:r w:rsidRPr="0031675F">
        <w:rPr>
          <w:spacing w:val="17"/>
        </w:rPr>
        <w:t xml:space="preserve"> </w:t>
      </w:r>
      <w:r w:rsidRPr="0031675F">
        <w:rPr>
          <w:spacing w:val="-1"/>
        </w:rPr>
        <w:t>prior</w:t>
      </w:r>
      <w:r w:rsidRPr="0031675F">
        <w:rPr>
          <w:spacing w:val="17"/>
        </w:rPr>
        <w:t xml:space="preserve"> </w:t>
      </w:r>
      <w:r w:rsidRPr="0031675F">
        <w:rPr>
          <w:spacing w:val="-1"/>
        </w:rPr>
        <w:t>to</w:t>
      </w:r>
      <w:r w:rsidRPr="0031675F">
        <w:rPr>
          <w:spacing w:val="83"/>
        </w:rPr>
        <w:t xml:space="preserve"> </w:t>
      </w:r>
      <w:r w:rsidRPr="0031675F">
        <w:rPr>
          <w:spacing w:val="-1"/>
        </w:rPr>
        <w:t>analysis</w:t>
      </w:r>
      <w:r w:rsidRPr="0031675F">
        <w:t xml:space="preserve"> and</w:t>
      </w:r>
      <w:r w:rsidRPr="0031675F">
        <w:rPr>
          <w:spacing w:val="-2"/>
        </w:rPr>
        <w:t xml:space="preserve"> </w:t>
      </w:r>
      <w:r w:rsidRPr="0031675F">
        <w:rPr>
          <w:spacing w:val="-1"/>
        </w:rPr>
        <w:t>reporting</w:t>
      </w:r>
      <w:r w:rsidRPr="0031675F">
        <w:rPr>
          <w:spacing w:val="-3"/>
        </w:rPr>
        <w:t xml:space="preserve"> </w:t>
      </w:r>
      <w:r w:rsidRPr="0031675F">
        <w:t xml:space="preserve">of </w:t>
      </w:r>
      <w:r w:rsidRPr="0031675F">
        <w:rPr>
          <w:spacing w:val="-2"/>
        </w:rPr>
        <w:t>results.</w:t>
      </w:r>
    </w:p>
    <w:p w14:paraId="1132B6AF" w14:textId="77777777" w:rsidR="0031675F" w:rsidRPr="0031675F" w:rsidRDefault="0031675F" w:rsidP="0031675F">
      <w:pPr>
        <w:spacing w:before="11"/>
        <w:rPr>
          <w:rFonts w:cs="Calibri"/>
        </w:rPr>
      </w:pPr>
    </w:p>
    <w:p w14:paraId="619714B7" w14:textId="77777777" w:rsidR="0031675F" w:rsidRPr="0031675F" w:rsidRDefault="0031675F" w:rsidP="0031675F">
      <w:pPr>
        <w:keepNext/>
        <w:widowControl w:val="0"/>
        <w:numPr>
          <w:ilvl w:val="1"/>
          <w:numId w:val="64"/>
        </w:numPr>
        <w:tabs>
          <w:tab w:val="left" w:pos="819"/>
        </w:tabs>
        <w:spacing w:before="0" w:after="0" w:line="240" w:lineRule="auto"/>
        <w:ind w:left="818"/>
        <w:jc w:val="both"/>
        <w:rPr>
          <w:rFonts w:eastAsia="Arial" w:cs="Arial"/>
          <w:sz w:val="24"/>
          <w:szCs w:val="24"/>
        </w:rPr>
      </w:pPr>
      <w:r w:rsidRPr="0031675F">
        <w:rPr>
          <w:b/>
          <w:sz w:val="24"/>
        </w:rPr>
        <w:t>Instrument data</w:t>
      </w:r>
      <w:r w:rsidRPr="0031675F">
        <w:rPr>
          <w:b/>
          <w:spacing w:val="1"/>
          <w:sz w:val="24"/>
        </w:rPr>
        <w:t xml:space="preserve"> </w:t>
      </w:r>
      <w:r w:rsidRPr="0031675F">
        <w:rPr>
          <w:b/>
          <w:sz w:val="24"/>
        </w:rPr>
        <w:t>management</w:t>
      </w:r>
    </w:p>
    <w:p w14:paraId="09C32EFB" w14:textId="77777777" w:rsidR="0031675F" w:rsidRPr="0031675F" w:rsidRDefault="0031675F" w:rsidP="0031675F">
      <w:pPr>
        <w:keepNext/>
        <w:spacing w:after="120"/>
        <w:ind w:left="100"/>
        <w:jc w:val="both"/>
      </w:pPr>
      <w:r w:rsidRPr="0031675F">
        <w:t xml:space="preserve">Data </w:t>
      </w:r>
      <w:r w:rsidRPr="0031675F">
        <w:rPr>
          <w:spacing w:val="-2"/>
        </w:rPr>
        <w:t>from</w:t>
      </w:r>
      <w:r w:rsidRPr="0031675F">
        <w:rPr>
          <w:spacing w:val="1"/>
        </w:rPr>
        <w:t xml:space="preserve"> </w:t>
      </w:r>
      <w:r w:rsidRPr="0031675F">
        <w:rPr>
          <w:spacing w:val="-1"/>
        </w:rPr>
        <w:t>instruments</w:t>
      </w:r>
      <w:r w:rsidRPr="0031675F">
        <w:t xml:space="preserve"> is</w:t>
      </w:r>
      <w:r w:rsidRPr="0031675F">
        <w:rPr>
          <w:spacing w:val="-2"/>
        </w:rPr>
        <w:t xml:space="preserve"> </w:t>
      </w:r>
      <w:r w:rsidRPr="0031675F">
        <w:rPr>
          <w:spacing w:val="-1"/>
        </w:rPr>
        <w:t>currently</w:t>
      </w:r>
      <w:r w:rsidRPr="0031675F">
        <w:t xml:space="preserve"> </w:t>
      </w:r>
      <w:r w:rsidRPr="0031675F">
        <w:rPr>
          <w:spacing w:val="-1"/>
        </w:rPr>
        <w:t>limited</w:t>
      </w:r>
      <w:r w:rsidRPr="0031675F">
        <w:t xml:space="preserve"> </w:t>
      </w:r>
      <w:r w:rsidRPr="0031675F">
        <w:rPr>
          <w:spacing w:val="-1"/>
        </w:rPr>
        <w:t>to</w:t>
      </w:r>
      <w:r w:rsidRPr="0031675F">
        <w:rPr>
          <w:spacing w:val="1"/>
        </w:rPr>
        <w:t xml:space="preserve"> </w:t>
      </w:r>
      <w:r w:rsidRPr="0031675F">
        <w:t xml:space="preserve">a </w:t>
      </w:r>
      <w:r w:rsidRPr="0031675F">
        <w:rPr>
          <w:spacing w:val="-1"/>
        </w:rPr>
        <w:t>set</w:t>
      </w:r>
      <w:r w:rsidRPr="0031675F">
        <w:rPr>
          <w:spacing w:val="-2"/>
        </w:rPr>
        <w:t xml:space="preserve"> </w:t>
      </w:r>
      <w:r w:rsidRPr="0031675F">
        <w:t>of</w:t>
      </w:r>
      <w:r w:rsidRPr="0031675F">
        <w:rPr>
          <w:spacing w:val="-2"/>
        </w:rPr>
        <w:t xml:space="preserve"> </w:t>
      </w:r>
      <w:r w:rsidRPr="0031675F">
        <w:rPr>
          <w:spacing w:val="-1"/>
        </w:rPr>
        <w:t>Environmental</w:t>
      </w:r>
      <w:r w:rsidRPr="0031675F">
        <w:t xml:space="preserve"> </w:t>
      </w:r>
      <w:r w:rsidRPr="0031675F">
        <w:rPr>
          <w:spacing w:val="-1"/>
        </w:rPr>
        <w:t>Loggers, CTD Profilers</w:t>
      </w:r>
      <w:r w:rsidRPr="0031675F">
        <w:rPr>
          <w:spacing w:val="-2"/>
        </w:rPr>
        <w:t xml:space="preserve"> </w:t>
      </w:r>
      <w:r w:rsidRPr="0031675F">
        <w:rPr>
          <w:spacing w:val="-1"/>
        </w:rPr>
        <w:t>and Temperature</w:t>
      </w:r>
      <w:r w:rsidRPr="0031675F">
        <w:t xml:space="preserve"> </w:t>
      </w:r>
      <w:r w:rsidRPr="0031675F">
        <w:rPr>
          <w:spacing w:val="-1"/>
        </w:rPr>
        <w:t>Loggers.</w:t>
      </w:r>
    </w:p>
    <w:p w14:paraId="1FEE052A" w14:textId="77777777" w:rsidR="0031675F" w:rsidRPr="0031675F" w:rsidRDefault="0031675F" w:rsidP="0031675F">
      <w:pPr>
        <w:spacing w:before="8"/>
        <w:rPr>
          <w:rFonts w:cs="Calibri"/>
        </w:rPr>
      </w:pPr>
    </w:p>
    <w:p w14:paraId="0948D5A8" w14:textId="77777777" w:rsidR="0031675F" w:rsidRPr="0031675F" w:rsidRDefault="0031675F" w:rsidP="0031675F">
      <w:pPr>
        <w:widowControl w:val="0"/>
        <w:numPr>
          <w:ilvl w:val="2"/>
          <w:numId w:val="60"/>
        </w:numPr>
        <w:tabs>
          <w:tab w:val="left" w:pos="821"/>
        </w:tabs>
        <w:spacing w:before="0" w:after="0" w:line="240" w:lineRule="auto"/>
        <w:jc w:val="both"/>
        <w:rPr>
          <w:rFonts w:eastAsia="Arial" w:cs="Arial"/>
        </w:rPr>
      </w:pPr>
      <w:r w:rsidRPr="0031675F">
        <w:rPr>
          <w:b/>
        </w:rPr>
        <w:t>Chlorophyll</w:t>
      </w:r>
      <w:r w:rsidRPr="0031675F">
        <w:rPr>
          <w:b/>
          <w:spacing w:val="1"/>
        </w:rPr>
        <w:t xml:space="preserve"> </w:t>
      </w:r>
      <w:r w:rsidRPr="0031675F">
        <w:rPr>
          <w:b/>
        </w:rPr>
        <w:t>and turbidity</w:t>
      </w:r>
      <w:r w:rsidRPr="0031675F">
        <w:rPr>
          <w:b/>
          <w:spacing w:val="-5"/>
        </w:rPr>
        <w:t xml:space="preserve"> </w:t>
      </w:r>
      <w:r w:rsidRPr="0031675F">
        <w:rPr>
          <w:b/>
        </w:rPr>
        <w:t>loggers</w:t>
      </w:r>
    </w:p>
    <w:p w14:paraId="125C20D9" w14:textId="77777777" w:rsidR="0031675F" w:rsidRPr="0031675F" w:rsidRDefault="0031675F" w:rsidP="0057756F">
      <w:r w:rsidRPr="0031675F">
        <w:t>The</w:t>
      </w:r>
      <w:r w:rsidRPr="0031675F">
        <w:rPr>
          <w:spacing w:val="3"/>
        </w:rPr>
        <w:t xml:space="preserve"> </w:t>
      </w:r>
      <w:r w:rsidRPr="0031675F">
        <w:t>Environmental Loggers are</w:t>
      </w:r>
      <w:r w:rsidRPr="0031675F">
        <w:rPr>
          <w:spacing w:val="5"/>
        </w:rPr>
        <w:t xml:space="preserve"> </w:t>
      </w:r>
      <w:r w:rsidRPr="0031675F">
        <w:t>deployed</w:t>
      </w:r>
      <w:r w:rsidRPr="0031675F">
        <w:rPr>
          <w:spacing w:val="2"/>
        </w:rPr>
        <w:t xml:space="preserve"> </w:t>
      </w:r>
      <w:r w:rsidRPr="0031675F">
        <w:rPr>
          <w:spacing w:val="-2"/>
        </w:rPr>
        <w:t>at</w:t>
      </w:r>
      <w:r w:rsidRPr="0031675F">
        <w:rPr>
          <w:spacing w:val="3"/>
        </w:rPr>
        <w:t xml:space="preserve"> </w:t>
      </w:r>
      <w:r w:rsidRPr="0031675F">
        <w:t>14</w:t>
      </w:r>
      <w:r w:rsidRPr="0031675F">
        <w:rPr>
          <w:spacing w:val="3"/>
        </w:rPr>
        <w:t xml:space="preserve"> </w:t>
      </w:r>
      <w:r w:rsidRPr="0031675F">
        <w:t>locations</w:t>
      </w:r>
      <w:r w:rsidRPr="0031675F">
        <w:rPr>
          <w:spacing w:val="2"/>
        </w:rPr>
        <w:t xml:space="preserve"> </w:t>
      </w:r>
      <w:r w:rsidRPr="0031675F">
        <w:t>across the</w:t>
      </w:r>
      <w:r w:rsidRPr="0031675F">
        <w:rPr>
          <w:spacing w:val="3"/>
        </w:rPr>
        <w:t xml:space="preserve"> </w:t>
      </w:r>
      <w:r w:rsidRPr="0031675F">
        <w:t>GBR.</w:t>
      </w:r>
      <w:r w:rsidRPr="0031675F">
        <w:rPr>
          <w:spacing w:val="2"/>
        </w:rPr>
        <w:t xml:space="preserve"> </w:t>
      </w:r>
      <w:r w:rsidRPr="0031675F">
        <w:rPr>
          <w:spacing w:val="-2"/>
        </w:rPr>
        <w:t>These</w:t>
      </w:r>
      <w:r w:rsidRPr="0031675F">
        <w:rPr>
          <w:spacing w:val="3"/>
        </w:rPr>
        <w:t xml:space="preserve"> </w:t>
      </w:r>
      <w:r w:rsidRPr="0031675F">
        <w:t>loggers</w:t>
      </w:r>
      <w:r w:rsidRPr="0031675F">
        <w:rPr>
          <w:spacing w:val="2"/>
        </w:rPr>
        <w:t xml:space="preserve"> </w:t>
      </w:r>
      <w:r w:rsidRPr="0031675F">
        <w:t>are</w:t>
      </w:r>
      <w:r w:rsidRPr="0031675F">
        <w:rPr>
          <w:spacing w:val="3"/>
        </w:rPr>
        <w:t xml:space="preserve"> </w:t>
      </w:r>
      <w:r w:rsidRPr="0031675F">
        <w:t>Wet Labs</w:t>
      </w:r>
      <w:r w:rsidRPr="0031675F">
        <w:rPr>
          <w:spacing w:val="2"/>
        </w:rPr>
        <w:t xml:space="preserve"> </w:t>
      </w:r>
      <w:r w:rsidRPr="0031675F">
        <w:t>Eco</w:t>
      </w:r>
      <w:r w:rsidRPr="0031675F">
        <w:rPr>
          <w:spacing w:val="57"/>
        </w:rPr>
        <w:t xml:space="preserve"> </w:t>
      </w:r>
      <w:r w:rsidRPr="0031675F">
        <w:t>FLNTUSB</w:t>
      </w:r>
      <w:r w:rsidRPr="0031675F">
        <w:rPr>
          <w:spacing w:val="12"/>
        </w:rPr>
        <w:t xml:space="preserve"> </w:t>
      </w:r>
      <w:r w:rsidRPr="0031675F">
        <w:t>instruments</w:t>
      </w:r>
      <w:r w:rsidRPr="0031675F">
        <w:rPr>
          <w:spacing w:val="10"/>
        </w:rPr>
        <w:t xml:space="preserve"> </w:t>
      </w:r>
      <w:r w:rsidRPr="0031675F">
        <w:t>that</w:t>
      </w:r>
      <w:r w:rsidRPr="0031675F">
        <w:rPr>
          <w:spacing w:val="10"/>
        </w:rPr>
        <w:t xml:space="preserve"> </w:t>
      </w:r>
      <w:r w:rsidRPr="0031675F">
        <w:t>measure</w:t>
      </w:r>
      <w:r w:rsidRPr="0031675F">
        <w:rPr>
          <w:spacing w:val="13"/>
        </w:rPr>
        <w:t xml:space="preserve"> </w:t>
      </w:r>
      <w:r w:rsidRPr="0031675F">
        <w:t>temperature,</w:t>
      </w:r>
      <w:r w:rsidRPr="0031675F">
        <w:rPr>
          <w:spacing w:val="10"/>
        </w:rPr>
        <w:t xml:space="preserve"> </w:t>
      </w:r>
      <w:r w:rsidRPr="0031675F">
        <w:t>chlorophyll,</w:t>
      </w:r>
      <w:r w:rsidRPr="0031675F">
        <w:rPr>
          <w:spacing w:val="12"/>
        </w:rPr>
        <w:t xml:space="preserve"> </w:t>
      </w:r>
      <w:r w:rsidRPr="0031675F">
        <w:t>and</w:t>
      </w:r>
      <w:r w:rsidRPr="0031675F">
        <w:rPr>
          <w:spacing w:val="11"/>
        </w:rPr>
        <w:t xml:space="preserve"> </w:t>
      </w:r>
      <w:r w:rsidRPr="0031675F">
        <w:t>turbidity</w:t>
      </w:r>
      <w:r w:rsidRPr="0031675F">
        <w:rPr>
          <w:spacing w:val="10"/>
        </w:rPr>
        <w:t xml:space="preserve"> </w:t>
      </w:r>
      <w:r w:rsidRPr="0031675F">
        <w:t>(see</w:t>
      </w:r>
      <w:r w:rsidRPr="0031675F">
        <w:rPr>
          <w:spacing w:val="13"/>
        </w:rPr>
        <w:t xml:space="preserve"> </w:t>
      </w:r>
      <w:r w:rsidRPr="0031675F">
        <w:t>Section</w:t>
      </w:r>
      <w:r w:rsidRPr="0031675F">
        <w:rPr>
          <w:spacing w:val="9"/>
        </w:rPr>
        <w:t xml:space="preserve"> </w:t>
      </w:r>
      <w:r w:rsidRPr="0031675F">
        <w:t>11</w:t>
      </w:r>
      <w:r w:rsidRPr="0031675F">
        <w:rPr>
          <w:spacing w:val="13"/>
        </w:rPr>
        <w:t xml:space="preserve"> </w:t>
      </w:r>
      <w:r w:rsidRPr="0031675F">
        <w:t>for</w:t>
      </w:r>
      <w:r w:rsidRPr="0031675F">
        <w:rPr>
          <w:spacing w:val="12"/>
        </w:rPr>
        <w:t xml:space="preserve"> </w:t>
      </w:r>
      <w:r w:rsidRPr="0031675F">
        <w:t>details).</w:t>
      </w:r>
      <w:r w:rsidRPr="0031675F">
        <w:rPr>
          <w:spacing w:val="65"/>
        </w:rPr>
        <w:t xml:space="preserve"> </w:t>
      </w:r>
      <w:r w:rsidRPr="0031675F">
        <w:t>After</w:t>
      </w:r>
      <w:r w:rsidRPr="0031675F">
        <w:rPr>
          <w:spacing w:val="15"/>
        </w:rPr>
        <w:t xml:space="preserve"> </w:t>
      </w:r>
      <w:r w:rsidRPr="0031675F">
        <w:t>retrieval,</w:t>
      </w:r>
      <w:r w:rsidRPr="0031675F">
        <w:rPr>
          <w:spacing w:val="15"/>
        </w:rPr>
        <w:t xml:space="preserve"> </w:t>
      </w:r>
      <w:r w:rsidRPr="0031675F">
        <w:t>the</w:t>
      </w:r>
      <w:r w:rsidRPr="0031675F">
        <w:rPr>
          <w:spacing w:val="16"/>
        </w:rPr>
        <w:t xml:space="preserve"> </w:t>
      </w:r>
      <w:r w:rsidRPr="0031675F">
        <w:t>raw</w:t>
      </w:r>
      <w:r w:rsidRPr="0031675F">
        <w:rPr>
          <w:spacing w:val="13"/>
        </w:rPr>
        <w:t xml:space="preserve"> </w:t>
      </w:r>
      <w:r w:rsidRPr="0031675F">
        <w:t>data</w:t>
      </w:r>
      <w:r w:rsidRPr="0031675F">
        <w:rPr>
          <w:spacing w:val="15"/>
        </w:rPr>
        <w:t xml:space="preserve"> </w:t>
      </w:r>
      <w:r w:rsidRPr="0031675F">
        <w:t>are</w:t>
      </w:r>
      <w:r w:rsidRPr="0031675F">
        <w:rPr>
          <w:spacing w:val="13"/>
        </w:rPr>
        <w:t xml:space="preserve"> </w:t>
      </w:r>
      <w:r w:rsidRPr="0031675F">
        <w:t>extracted</w:t>
      </w:r>
      <w:r w:rsidRPr="0031675F">
        <w:rPr>
          <w:spacing w:val="12"/>
        </w:rPr>
        <w:t xml:space="preserve"> </w:t>
      </w:r>
      <w:r w:rsidRPr="0031675F">
        <w:t>in</w:t>
      </w:r>
      <w:r w:rsidRPr="0031675F">
        <w:rPr>
          <w:spacing w:val="14"/>
        </w:rPr>
        <w:t xml:space="preserve"> </w:t>
      </w:r>
      <w:r w:rsidRPr="0031675F">
        <w:rPr>
          <w:spacing w:val="-2"/>
        </w:rPr>
        <w:t>CSV</w:t>
      </w:r>
      <w:r w:rsidRPr="0031675F">
        <w:rPr>
          <w:spacing w:val="15"/>
        </w:rPr>
        <w:t xml:space="preserve"> </w:t>
      </w:r>
      <w:r w:rsidRPr="0031675F">
        <w:t>format</w:t>
      </w:r>
      <w:r w:rsidRPr="0031675F">
        <w:rPr>
          <w:spacing w:val="15"/>
        </w:rPr>
        <w:t xml:space="preserve"> </w:t>
      </w:r>
      <w:r w:rsidRPr="0031675F">
        <w:t>using</w:t>
      </w:r>
      <w:r w:rsidRPr="0031675F">
        <w:rPr>
          <w:spacing w:val="12"/>
        </w:rPr>
        <w:t xml:space="preserve"> </w:t>
      </w:r>
      <w:r w:rsidRPr="0031675F">
        <w:t>Wet</w:t>
      </w:r>
      <w:r w:rsidRPr="0031675F">
        <w:rPr>
          <w:spacing w:val="16"/>
        </w:rPr>
        <w:t xml:space="preserve"> </w:t>
      </w:r>
      <w:r w:rsidRPr="0031675F">
        <w:t>Labs</w:t>
      </w:r>
      <w:r w:rsidRPr="0031675F">
        <w:rPr>
          <w:spacing w:val="13"/>
        </w:rPr>
        <w:t xml:space="preserve"> </w:t>
      </w:r>
      <w:r w:rsidRPr="0031675F">
        <w:t>software</w:t>
      </w:r>
      <w:r w:rsidRPr="0031675F">
        <w:rPr>
          <w:spacing w:val="20"/>
        </w:rPr>
        <w:t xml:space="preserve"> </w:t>
      </w:r>
      <w:r w:rsidRPr="0031675F">
        <w:t>and</w:t>
      </w:r>
      <w:r w:rsidRPr="0031675F">
        <w:rPr>
          <w:spacing w:val="14"/>
        </w:rPr>
        <w:t xml:space="preserve"> </w:t>
      </w:r>
      <w:r w:rsidRPr="0031675F">
        <w:t>a</w:t>
      </w:r>
      <w:r w:rsidRPr="0031675F">
        <w:rPr>
          <w:spacing w:val="15"/>
        </w:rPr>
        <w:t xml:space="preserve"> </w:t>
      </w:r>
      <w:r w:rsidRPr="0031675F">
        <w:t>serial</w:t>
      </w:r>
      <w:r w:rsidRPr="0031675F">
        <w:rPr>
          <w:spacing w:val="69"/>
        </w:rPr>
        <w:t xml:space="preserve"> </w:t>
      </w:r>
      <w:r w:rsidRPr="0031675F">
        <w:t>communication</w:t>
      </w:r>
      <w:r w:rsidRPr="0031675F">
        <w:rPr>
          <w:spacing w:val="4"/>
        </w:rPr>
        <w:t xml:space="preserve"> </w:t>
      </w:r>
      <w:r w:rsidRPr="0031675F">
        <w:t>port</w:t>
      </w:r>
      <w:r w:rsidRPr="0031675F">
        <w:rPr>
          <w:spacing w:val="2"/>
        </w:rPr>
        <w:t xml:space="preserve"> </w:t>
      </w:r>
      <w:r w:rsidRPr="0031675F">
        <w:t>on</w:t>
      </w:r>
      <w:r w:rsidRPr="0031675F">
        <w:rPr>
          <w:spacing w:val="4"/>
        </w:rPr>
        <w:t xml:space="preserve"> </w:t>
      </w:r>
      <w:r w:rsidRPr="0031675F">
        <w:t>a</w:t>
      </w:r>
      <w:r w:rsidRPr="0031675F">
        <w:rPr>
          <w:spacing w:val="5"/>
        </w:rPr>
        <w:t xml:space="preserve"> </w:t>
      </w:r>
      <w:r w:rsidRPr="0031675F">
        <w:t>laptop.</w:t>
      </w:r>
      <w:r w:rsidRPr="0031675F">
        <w:rPr>
          <w:spacing w:val="4"/>
        </w:rPr>
        <w:t xml:space="preserve"> </w:t>
      </w:r>
      <w:r w:rsidRPr="0031675F">
        <w:t>The</w:t>
      </w:r>
      <w:r w:rsidRPr="0031675F">
        <w:rPr>
          <w:spacing w:val="5"/>
        </w:rPr>
        <w:t xml:space="preserve"> </w:t>
      </w:r>
      <w:r w:rsidRPr="0031675F">
        <w:t>calibration</w:t>
      </w:r>
      <w:r w:rsidRPr="0031675F">
        <w:rPr>
          <w:spacing w:val="4"/>
        </w:rPr>
        <w:t xml:space="preserve"> </w:t>
      </w:r>
      <w:r w:rsidRPr="0031675F">
        <w:t>files</w:t>
      </w:r>
      <w:r w:rsidRPr="0031675F">
        <w:rPr>
          <w:spacing w:val="3"/>
        </w:rPr>
        <w:t xml:space="preserve"> </w:t>
      </w:r>
      <w:r w:rsidRPr="0031675F">
        <w:t>and</w:t>
      </w:r>
      <w:r w:rsidRPr="0031675F">
        <w:rPr>
          <w:spacing w:val="4"/>
        </w:rPr>
        <w:t xml:space="preserve"> </w:t>
      </w:r>
      <w:r w:rsidRPr="0031675F">
        <w:t>raw</w:t>
      </w:r>
      <w:r w:rsidRPr="0031675F">
        <w:rPr>
          <w:spacing w:val="5"/>
        </w:rPr>
        <w:t xml:space="preserve"> </w:t>
      </w:r>
      <w:r w:rsidRPr="0031675F">
        <w:t>data</w:t>
      </w:r>
      <w:r w:rsidRPr="0031675F">
        <w:rPr>
          <w:spacing w:val="5"/>
        </w:rPr>
        <w:t xml:space="preserve"> </w:t>
      </w:r>
      <w:r w:rsidRPr="0031675F">
        <w:t>files</w:t>
      </w:r>
      <w:r w:rsidRPr="0031675F">
        <w:rPr>
          <w:spacing w:val="5"/>
        </w:rPr>
        <w:t xml:space="preserve"> </w:t>
      </w:r>
      <w:r w:rsidRPr="0031675F">
        <w:t>are</w:t>
      </w:r>
      <w:r w:rsidRPr="0031675F">
        <w:rPr>
          <w:spacing w:val="5"/>
        </w:rPr>
        <w:t xml:space="preserve"> </w:t>
      </w:r>
      <w:r w:rsidRPr="0031675F">
        <w:t>backed</w:t>
      </w:r>
      <w:r w:rsidRPr="0031675F">
        <w:rPr>
          <w:spacing w:val="4"/>
        </w:rPr>
        <w:t xml:space="preserve"> </w:t>
      </w:r>
      <w:r w:rsidRPr="0031675F">
        <w:t>up</w:t>
      </w:r>
      <w:r w:rsidRPr="0031675F">
        <w:rPr>
          <w:spacing w:val="4"/>
        </w:rPr>
        <w:t xml:space="preserve"> </w:t>
      </w:r>
      <w:r w:rsidRPr="0031675F">
        <w:t>on</w:t>
      </w:r>
      <w:r w:rsidRPr="0031675F">
        <w:rPr>
          <w:spacing w:val="4"/>
        </w:rPr>
        <w:t xml:space="preserve"> </w:t>
      </w:r>
      <w:r w:rsidRPr="0031675F">
        <w:t>a</w:t>
      </w:r>
      <w:r w:rsidRPr="0031675F">
        <w:rPr>
          <w:spacing w:val="5"/>
        </w:rPr>
        <w:t xml:space="preserve"> </w:t>
      </w:r>
      <w:r w:rsidRPr="0031675F">
        <w:t>UNIX</w:t>
      </w:r>
      <w:r w:rsidRPr="0031675F">
        <w:rPr>
          <w:spacing w:val="5"/>
        </w:rPr>
        <w:t xml:space="preserve"> </w:t>
      </w:r>
      <w:r w:rsidRPr="0031675F">
        <w:t>server</w:t>
      </w:r>
      <w:r w:rsidRPr="0031675F">
        <w:rPr>
          <w:spacing w:val="91"/>
        </w:rPr>
        <w:t xml:space="preserve"> </w:t>
      </w:r>
      <w:r w:rsidRPr="0031675F">
        <w:t>which</w:t>
      </w:r>
      <w:r w:rsidRPr="0031675F">
        <w:rPr>
          <w:spacing w:val="39"/>
        </w:rPr>
        <w:t xml:space="preserve"> </w:t>
      </w:r>
      <w:r w:rsidRPr="0031675F">
        <w:t>has</w:t>
      </w:r>
      <w:r w:rsidRPr="0031675F">
        <w:rPr>
          <w:spacing w:val="42"/>
        </w:rPr>
        <w:t xml:space="preserve"> </w:t>
      </w:r>
      <w:r w:rsidRPr="0031675F">
        <w:t>a</w:t>
      </w:r>
      <w:r w:rsidRPr="0031675F">
        <w:rPr>
          <w:spacing w:val="39"/>
        </w:rPr>
        <w:t xml:space="preserve"> </w:t>
      </w:r>
      <w:r w:rsidRPr="0031675F">
        <w:t>comprehensive</w:t>
      </w:r>
      <w:r w:rsidRPr="0031675F">
        <w:rPr>
          <w:spacing w:val="39"/>
        </w:rPr>
        <w:t xml:space="preserve"> </w:t>
      </w:r>
      <w:r w:rsidRPr="0031675F">
        <w:t>backup</w:t>
      </w:r>
      <w:r w:rsidRPr="0031675F">
        <w:rPr>
          <w:spacing w:val="41"/>
        </w:rPr>
        <w:t xml:space="preserve"> </w:t>
      </w:r>
      <w:r w:rsidRPr="0031675F">
        <w:t>regime.</w:t>
      </w:r>
      <w:r w:rsidRPr="0031675F">
        <w:rPr>
          <w:spacing w:val="39"/>
        </w:rPr>
        <w:t xml:space="preserve"> </w:t>
      </w:r>
      <w:r w:rsidRPr="0031675F">
        <w:t>The</w:t>
      </w:r>
      <w:r w:rsidRPr="0031675F">
        <w:rPr>
          <w:spacing w:val="40"/>
        </w:rPr>
        <w:t xml:space="preserve"> </w:t>
      </w:r>
      <w:r w:rsidRPr="0031675F">
        <w:t>data</w:t>
      </w:r>
      <w:r w:rsidRPr="0031675F">
        <w:rPr>
          <w:spacing w:val="41"/>
        </w:rPr>
        <w:t xml:space="preserve"> </w:t>
      </w:r>
      <w:r w:rsidRPr="0031675F">
        <w:rPr>
          <w:spacing w:val="-2"/>
        </w:rPr>
        <w:t>from</w:t>
      </w:r>
      <w:r w:rsidRPr="0031675F">
        <w:rPr>
          <w:spacing w:val="43"/>
        </w:rPr>
        <w:t xml:space="preserve"> </w:t>
      </w:r>
      <w:r w:rsidRPr="0031675F">
        <w:t>the</w:t>
      </w:r>
      <w:r w:rsidRPr="0031675F">
        <w:rPr>
          <w:spacing w:val="42"/>
        </w:rPr>
        <w:t xml:space="preserve"> </w:t>
      </w:r>
      <w:r w:rsidRPr="0031675F">
        <w:t>loggers</w:t>
      </w:r>
      <w:r w:rsidRPr="0031675F">
        <w:rPr>
          <w:spacing w:val="38"/>
        </w:rPr>
        <w:t xml:space="preserve"> </w:t>
      </w:r>
      <w:r w:rsidRPr="0031675F">
        <w:t>are</w:t>
      </w:r>
      <w:r w:rsidRPr="0031675F">
        <w:rPr>
          <w:spacing w:val="40"/>
        </w:rPr>
        <w:t xml:space="preserve"> </w:t>
      </w:r>
      <w:r w:rsidRPr="0031675F">
        <w:t>managed</w:t>
      </w:r>
      <w:r w:rsidRPr="0031675F">
        <w:rPr>
          <w:spacing w:val="39"/>
        </w:rPr>
        <w:t xml:space="preserve"> </w:t>
      </w:r>
      <w:r w:rsidRPr="0031675F">
        <w:t>by</w:t>
      </w:r>
      <w:r w:rsidRPr="0031675F">
        <w:rPr>
          <w:spacing w:val="40"/>
        </w:rPr>
        <w:t xml:space="preserve"> </w:t>
      </w:r>
      <w:r w:rsidRPr="0031675F">
        <w:t>the</w:t>
      </w:r>
      <w:r w:rsidRPr="0031675F">
        <w:rPr>
          <w:spacing w:val="53"/>
        </w:rPr>
        <w:t xml:space="preserve"> </w:t>
      </w:r>
      <w:r w:rsidRPr="0031675F">
        <w:rPr>
          <w:rFonts w:cs="Calibri"/>
        </w:rPr>
        <w:t>‘Environmental</w:t>
      </w:r>
      <w:r w:rsidRPr="0031675F">
        <w:rPr>
          <w:rFonts w:cs="Calibri"/>
          <w:spacing w:val="9"/>
        </w:rPr>
        <w:t xml:space="preserve"> </w:t>
      </w:r>
      <w:r w:rsidRPr="0031675F">
        <w:rPr>
          <w:rFonts w:cs="Calibri"/>
        </w:rPr>
        <w:t>Logger</w:t>
      </w:r>
      <w:r w:rsidRPr="0031675F">
        <w:rPr>
          <w:rFonts w:cs="Calibri"/>
          <w:spacing w:val="10"/>
        </w:rPr>
        <w:t xml:space="preserve"> </w:t>
      </w:r>
      <w:r w:rsidRPr="0031675F">
        <w:rPr>
          <w:rFonts w:cs="Calibri"/>
          <w:spacing w:val="-2"/>
        </w:rPr>
        <w:t>Data</w:t>
      </w:r>
      <w:r w:rsidRPr="0031675F">
        <w:rPr>
          <w:rFonts w:cs="Calibri"/>
          <w:spacing w:val="12"/>
        </w:rPr>
        <w:t xml:space="preserve"> </w:t>
      </w:r>
      <w:r w:rsidRPr="0031675F">
        <w:rPr>
          <w:rFonts w:cs="Calibri"/>
        </w:rPr>
        <w:t>Management’</w:t>
      </w:r>
      <w:r w:rsidRPr="0031675F">
        <w:rPr>
          <w:rFonts w:cs="Calibri"/>
          <w:spacing w:val="12"/>
        </w:rPr>
        <w:t xml:space="preserve"> </w:t>
      </w:r>
      <w:r w:rsidRPr="0031675F">
        <w:rPr>
          <w:rFonts w:cs="Calibri"/>
        </w:rPr>
        <w:t>J2EE</w:t>
      </w:r>
      <w:r w:rsidRPr="0031675F">
        <w:rPr>
          <w:rFonts w:cs="Calibri"/>
          <w:spacing w:val="10"/>
        </w:rPr>
        <w:t xml:space="preserve"> </w:t>
      </w:r>
      <w:r w:rsidRPr="0031675F">
        <w:rPr>
          <w:rFonts w:cs="Calibri"/>
        </w:rPr>
        <w:t>based</w:t>
      </w:r>
      <w:r w:rsidRPr="0031675F">
        <w:rPr>
          <w:rFonts w:cs="Calibri"/>
          <w:spacing w:val="11"/>
        </w:rPr>
        <w:t xml:space="preserve"> </w:t>
      </w:r>
      <w:r w:rsidRPr="0031675F">
        <w:rPr>
          <w:rFonts w:cs="Calibri"/>
          <w:spacing w:val="1"/>
        </w:rPr>
        <w:t>we</w:t>
      </w:r>
      <w:r w:rsidRPr="0031675F">
        <w:rPr>
          <w:spacing w:val="1"/>
        </w:rPr>
        <w:t>b</w:t>
      </w:r>
      <w:r w:rsidRPr="0031675F">
        <w:rPr>
          <w:spacing w:val="9"/>
        </w:rPr>
        <w:t xml:space="preserve"> </w:t>
      </w:r>
      <w:r w:rsidRPr="0031675F">
        <w:t>application</w:t>
      </w:r>
      <w:r w:rsidRPr="0031675F">
        <w:rPr>
          <w:spacing w:val="9"/>
        </w:rPr>
        <w:t xml:space="preserve"> </w:t>
      </w:r>
      <w:r w:rsidRPr="0031675F">
        <w:t>that</w:t>
      </w:r>
      <w:r w:rsidRPr="0031675F">
        <w:rPr>
          <w:spacing w:val="10"/>
        </w:rPr>
        <w:t xml:space="preserve"> </w:t>
      </w:r>
      <w:r w:rsidRPr="0031675F">
        <w:t>is</w:t>
      </w:r>
      <w:r w:rsidRPr="0031675F">
        <w:rPr>
          <w:spacing w:val="11"/>
        </w:rPr>
        <w:t xml:space="preserve"> </w:t>
      </w:r>
      <w:r w:rsidRPr="0031675F">
        <w:t>accessed</w:t>
      </w:r>
      <w:r w:rsidRPr="0031675F">
        <w:rPr>
          <w:spacing w:val="11"/>
        </w:rPr>
        <w:t xml:space="preserve"> </w:t>
      </w:r>
      <w:r w:rsidRPr="0031675F">
        <w:t>via</w:t>
      </w:r>
      <w:r w:rsidRPr="0031675F">
        <w:rPr>
          <w:spacing w:val="9"/>
        </w:rPr>
        <w:t xml:space="preserve"> </w:t>
      </w:r>
      <w:r w:rsidRPr="0031675F">
        <w:t>any</w:t>
      </w:r>
      <w:r w:rsidRPr="0031675F">
        <w:rPr>
          <w:spacing w:val="11"/>
        </w:rPr>
        <w:t xml:space="preserve"> </w:t>
      </w:r>
      <w:r w:rsidRPr="0031675F">
        <w:t>browser</w:t>
      </w:r>
      <w:r w:rsidRPr="0031675F">
        <w:rPr>
          <w:spacing w:val="75"/>
        </w:rPr>
        <w:t xml:space="preserve"> </w:t>
      </w:r>
      <w:r w:rsidRPr="0031675F">
        <w:t>within</w:t>
      </w:r>
      <w:r w:rsidRPr="0031675F">
        <w:rPr>
          <w:spacing w:val="6"/>
        </w:rPr>
        <w:t xml:space="preserve"> </w:t>
      </w:r>
      <w:r w:rsidRPr="0031675F">
        <w:t>the</w:t>
      </w:r>
      <w:r w:rsidRPr="0031675F">
        <w:rPr>
          <w:spacing w:val="7"/>
        </w:rPr>
        <w:t xml:space="preserve"> </w:t>
      </w:r>
      <w:r w:rsidRPr="0031675F">
        <w:t>AIMS</w:t>
      </w:r>
      <w:r w:rsidRPr="0031675F">
        <w:rPr>
          <w:spacing w:val="6"/>
        </w:rPr>
        <w:t xml:space="preserve"> </w:t>
      </w:r>
      <w:r w:rsidRPr="0031675F">
        <w:t>internal</w:t>
      </w:r>
      <w:r w:rsidRPr="0031675F">
        <w:rPr>
          <w:spacing w:val="7"/>
        </w:rPr>
        <w:t xml:space="preserve"> </w:t>
      </w:r>
      <w:r w:rsidRPr="0031675F">
        <w:t>network.</w:t>
      </w:r>
      <w:r w:rsidRPr="0031675F">
        <w:rPr>
          <w:spacing w:val="4"/>
        </w:rPr>
        <w:t xml:space="preserve"> </w:t>
      </w:r>
      <w:r w:rsidRPr="0031675F">
        <w:t>Data</w:t>
      </w:r>
      <w:r w:rsidRPr="0031675F">
        <w:rPr>
          <w:spacing w:val="5"/>
        </w:rPr>
        <w:t xml:space="preserve"> </w:t>
      </w:r>
      <w:r w:rsidRPr="0031675F">
        <w:t>entry</w:t>
      </w:r>
      <w:r w:rsidRPr="0031675F">
        <w:rPr>
          <w:spacing w:val="5"/>
        </w:rPr>
        <w:t xml:space="preserve"> </w:t>
      </w:r>
      <w:r w:rsidRPr="0031675F">
        <w:t>error</w:t>
      </w:r>
      <w:r w:rsidRPr="0031675F">
        <w:rPr>
          <w:spacing w:val="7"/>
        </w:rPr>
        <w:t xml:space="preserve"> </w:t>
      </w:r>
      <w:r w:rsidRPr="0031675F">
        <w:t>is</w:t>
      </w:r>
      <w:r w:rsidRPr="0031675F">
        <w:rPr>
          <w:spacing w:val="5"/>
        </w:rPr>
        <w:t xml:space="preserve"> </w:t>
      </w:r>
      <w:r w:rsidRPr="0031675F">
        <w:t>kept</w:t>
      </w:r>
      <w:r w:rsidRPr="0031675F">
        <w:rPr>
          <w:spacing w:val="8"/>
        </w:rPr>
        <w:t xml:space="preserve"> </w:t>
      </w:r>
      <w:r w:rsidRPr="0031675F">
        <w:t>to</w:t>
      </w:r>
      <w:r w:rsidRPr="0031675F">
        <w:rPr>
          <w:spacing w:val="6"/>
        </w:rPr>
        <w:t xml:space="preserve"> </w:t>
      </w:r>
      <w:r w:rsidRPr="0031675F">
        <w:t>minimum</w:t>
      </w:r>
      <w:r w:rsidRPr="0031675F">
        <w:rPr>
          <w:spacing w:val="8"/>
        </w:rPr>
        <w:t xml:space="preserve"> </w:t>
      </w:r>
      <w:r w:rsidRPr="0031675F">
        <w:t>using</w:t>
      </w:r>
      <w:r w:rsidRPr="0031675F">
        <w:rPr>
          <w:spacing w:val="6"/>
        </w:rPr>
        <w:t xml:space="preserve"> </w:t>
      </w:r>
      <w:r w:rsidRPr="0031675F">
        <w:t>pre-defined</w:t>
      </w:r>
      <w:r w:rsidRPr="0031675F">
        <w:rPr>
          <w:spacing w:val="7"/>
        </w:rPr>
        <w:t xml:space="preserve"> </w:t>
      </w:r>
      <w:r w:rsidRPr="0031675F">
        <w:t>selection</w:t>
      </w:r>
      <w:r w:rsidRPr="0031675F">
        <w:rPr>
          <w:spacing w:val="6"/>
        </w:rPr>
        <w:t xml:space="preserve"> </w:t>
      </w:r>
      <w:r w:rsidRPr="0031675F">
        <w:t>lists,</w:t>
      </w:r>
      <w:r w:rsidRPr="0031675F">
        <w:rPr>
          <w:spacing w:val="56"/>
        </w:rPr>
        <w:t xml:space="preserve"> </w:t>
      </w:r>
      <w:r w:rsidRPr="0031675F">
        <w:t>and</w:t>
      </w:r>
      <w:r w:rsidRPr="0031675F">
        <w:rPr>
          <w:spacing w:val="2"/>
        </w:rPr>
        <w:t xml:space="preserve"> </w:t>
      </w:r>
      <w:r w:rsidRPr="0031675F">
        <w:t>a</w:t>
      </w:r>
      <w:r w:rsidRPr="0031675F">
        <w:rPr>
          <w:spacing w:val="2"/>
        </w:rPr>
        <w:t xml:space="preserve"> </w:t>
      </w:r>
      <w:r w:rsidRPr="0031675F">
        <w:t>set of</w:t>
      </w:r>
      <w:r w:rsidRPr="0031675F">
        <w:rPr>
          <w:spacing w:val="2"/>
        </w:rPr>
        <w:t xml:space="preserve"> </w:t>
      </w:r>
      <w:r w:rsidRPr="0031675F">
        <w:t>import</w:t>
      </w:r>
      <w:r w:rsidRPr="0031675F">
        <w:rPr>
          <w:spacing w:val="3"/>
        </w:rPr>
        <w:t xml:space="preserve"> </w:t>
      </w:r>
      <w:r w:rsidRPr="0031675F">
        <w:t>tasks.</w:t>
      </w:r>
      <w:r w:rsidRPr="0031675F">
        <w:rPr>
          <w:spacing w:val="2"/>
        </w:rPr>
        <w:t xml:space="preserve"> </w:t>
      </w:r>
      <w:r w:rsidRPr="0031675F">
        <w:rPr>
          <w:spacing w:val="-2"/>
        </w:rPr>
        <w:t>The</w:t>
      </w:r>
      <w:r w:rsidRPr="0031675F">
        <w:rPr>
          <w:spacing w:val="3"/>
        </w:rPr>
        <w:t xml:space="preserve"> </w:t>
      </w:r>
      <w:r w:rsidRPr="0031675F">
        <w:t>Web</w:t>
      </w:r>
      <w:r w:rsidRPr="0031675F">
        <w:rPr>
          <w:spacing w:val="2"/>
        </w:rPr>
        <w:t xml:space="preserve"> </w:t>
      </w:r>
      <w:r w:rsidRPr="0031675F">
        <w:t>Application</w:t>
      </w:r>
      <w:r w:rsidRPr="0031675F">
        <w:rPr>
          <w:spacing w:val="2"/>
        </w:rPr>
        <w:t xml:space="preserve"> </w:t>
      </w:r>
      <w:r w:rsidRPr="0031675F">
        <w:t>is</w:t>
      </w:r>
      <w:r w:rsidRPr="0031675F">
        <w:rPr>
          <w:spacing w:val="2"/>
        </w:rPr>
        <w:t xml:space="preserve"> </w:t>
      </w:r>
      <w:r w:rsidRPr="0031675F">
        <w:t>integrated</w:t>
      </w:r>
      <w:r w:rsidRPr="0031675F">
        <w:rPr>
          <w:spacing w:val="2"/>
        </w:rPr>
        <w:t xml:space="preserve"> </w:t>
      </w:r>
      <w:r w:rsidRPr="0031675F">
        <w:t>with a</w:t>
      </w:r>
      <w:r w:rsidRPr="0031675F">
        <w:rPr>
          <w:spacing w:val="3"/>
        </w:rPr>
        <w:t xml:space="preserve"> </w:t>
      </w:r>
      <w:r w:rsidRPr="0031675F">
        <w:t>dedicated</w:t>
      </w:r>
      <w:r w:rsidRPr="0031675F">
        <w:rPr>
          <w:spacing w:val="2"/>
        </w:rPr>
        <w:t xml:space="preserve"> </w:t>
      </w:r>
      <w:r w:rsidRPr="0031675F">
        <w:t>Oracle</w:t>
      </w:r>
      <w:r w:rsidRPr="0031675F">
        <w:rPr>
          <w:spacing w:val="3"/>
        </w:rPr>
        <w:t xml:space="preserve"> </w:t>
      </w:r>
      <w:r w:rsidRPr="0031675F">
        <w:t>database</w:t>
      </w:r>
      <w:r w:rsidRPr="0031675F">
        <w:rPr>
          <w:spacing w:val="3"/>
        </w:rPr>
        <w:t xml:space="preserve"> </w:t>
      </w:r>
      <w:r w:rsidRPr="0031675F">
        <w:rPr>
          <w:spacing w:val="-2"/>
        </w:rPr>
        <w:t>(the</w:t>
      </w:r>
      <w:r w:rsidRPr="0031675F">
        <w:rPr>
          <w:spacing w:val="3"/>
        </w:rPr>
        <w:t xml:space="preserve"> </w:t>
      </w:r>
      <w:r w:rsidRPr="0031675F">
        <w:t>AIMS</w:t>
      </w:r>
      <w:r w:rsidRPr="0031675F">
        <w:rPr>
          <w:spacing w:val="55"/>
        </w:rPr>
        <w:t xml:space="preserve"> </w:t>
      </w:r>
      <w:r w:rsidRPr="0031675F">
        <w:t>EnvLogger</w:t>
      </w:r>
      <w:r w:rsidRPr="0031675F">
        <w:rPr>
          <w:spacing w:val="-2"/>
        </w:rPr>
        <w:t xml:space="preserve"> </w:t>
      </w:r>
      <w:r w:rsidRPr="0031675F">
        <w:t>Database).</w:t>
      </w:r>
    </w:p>
    <w:p w14:paraId="017D0156" w14:textId="77777777" w:rsidR="0031675F" w:rsidRPr="0031675F" w:rsidRDefault="0031675F" w:rsidP="008F55F2">
      <w:r w:rsidRPr="0031675F">
        <w:t>The steps for data</w:t>
      </w:r>
      <w:r w:rsidRPr="0031675F">
        <w:rPr>
          <w:spacing w:val="-2"/>
        </w:rPr>
        <w:t xml:space="preserve"> </w:t>
      </w:r>
      <w:r w:rsidRPr="0031675F">
        <w:t>management</w:t>
      </w:r>
      <w:r w:rsidRPr="0031675F">
        <w:rPr>
          <w:spacing w:val="-3"/>
        </w:rPr>
        <w:t xml:space="preserve"> </w:t>
      </w:r>
      <w:r w:rsidRPr="0031675F">
        <w:t>for the</w:t>
      </w:r>
      <w:r w:rsidRPr="0031675F">
        <w:rPr>
          <w:spacing w:val="-2"/>
        </w:rPr>
        <w:t xml:space="preserve"> </w:t>
      </w:r>
      <w:r w:rsidRPr="0031675F">
        <w:t>Logger data</w:t>
      </w:r>
      <w:r w:rsidRPr="0031675F">
        <w:rPr>
          <w:spacing w:val="-2"/>
        </w:rPr>
        <w:t xml:space="preserve"> </w:t>
      </w:r>
      <w:r w:rsidRPr="0031675F">
        <w:t>are as follows:</w:t>
      </w:r>
    </w:p>
    <w:p w14:paraId="74D11D8C" w14:textId="77777777" w:rsidR="0031675F" w:rsidRPr="0031675F" w:rsidRDefault="0031675F" w:rsidP="0031675F">
      <w:pPr>
        <w:widowControl w:val="0"/>
        <w:numPr>
          <w:ilvl w:val="3"/>
          <w:numId w:val="60"/>
        </w:numPr>
        <w:tabs>
          <w:tab w:val="left" w:pos="821"/>
        </w:tabs>
        <w:spacing w:before="0" w:after="0" w:line="240" w:lineRule="auto"/>
      </w:pPr>
      <w:r w:rsidRPr="0031675F">
        <w:rPr>
          <w:spacing w:val="-1"/>
        </w:rPr>
        <w:t>For</w:t>
      </w:r>
      <w:r w:rsidRPr="0031675F">
        <w:t xml:space="preserve"> </w:t>
      </w:r>
      <w:r w:rsidRPr="0031675F">
        <w:rPr>
          <w:spacing w:val="-1"/>
        </w:rPr>
        <w:t>each</w:t>
      </w:r>
      <w:r w:rsidRPr="0031675F">
        <w:t xml:space="preserve"> </w:t>
      </w:r>
      <w:r w:rsidRPr="0031675F">
        <w:rPr>
          <w:spacing w:val="-1"/>
        </w:rPr>
        <w:t>logger;</w:t>
      </w:r>
    </w:p>
    <w:p w14:paraId="1567780A" w14:textId="77777777" w:rsidR="0031675F" w:rsidRPr="0031675F" w:rsidRDefault="0031675F" w:rsidP="0031675F">
      <w:pPr>
        <w:widowControl w:val="0"/>
        <w:numPr>
          <w:ilvl w:val="4"/>
          <w:numId w:val="60"/>
        </w:numPr>
        <w:tabs>
          <w:tab w:val="left" w:pos="1541"/>
        </w:tabs>
        <w:spacing w:before="12" w:after="0" w:line="251" w:lineRule="auto"/>
        <w:ind w:right="116"/>
      </w:pPr>
      <w:r w:rsidRPr="0031675F">
        <w:rPr>
          <w:rFonts w:cs="Calibri"/>
        </w:rPr>
        <w:t xml:space="preserve">Create  </w:t>
      </w:r>
      <w:r w:rsidRPr="0031675F">
        <w:rPr>
          <w:rFonts w:cs="Calibri"/>
          <w:spacing w:val="7"/>
        </w:rPr>
        <w:t xml:space="preserve"> </w:t>
      </w:r>
      <w:r w:rsidRPr="0031675F">
        <w:rPr>
          <w:rFonts w:cs="Calibri"/>
        </w:rPr>
        <w:t xml:space="preserve">the  </w:t>
      </w:r>
      <w:r w:rsidRPr="0031675F">
        <w:rPr>
          <w:rFonts w:cs="Calibri"/>
          <w:spacing w:val="9"/>
        </w:rPr>
        <w:t xml:space="preserve"> </w:t>
      </w:r>
      <w:r w:rsidRPr="0031675F">
        <w:rPr>
          <w:rFonts w:cs="Calibri"/>
          <w:spacing w:val="-1"/>
        </w:rPr>
        <w:t>Logger</w:t>
      </w:r>
      <w:r w:rsidRPr="0031675F">
        <w:rPr>
          <w:rFonts w:cs="Calibri"/>
        </w:rPr>
        <w:t xml:space="preserve">  </w:t>
      </w:r>
      <w:r w:rsidRPr="0031675F">
        <w:rPr>
          <w:rFonts w:cs="Calibri"/>
          <w:spacing w:val="9"/>
        </w:rPr>
        <w:t xml:space="preserve"> </w:t>
      </w:r>
      <w:r w:rsidRPr="0031675F">
        <w:rPr>
          <w:rFonts w:cs="Calibri"/>
          <w:spacing w:val="-1"/>
        </w:rPr>
        <w:t>using</w:t>
      </w:r>
      <w:r w:rsidRPr="0031675F">
        <w:rPr>
          <w:rFonts w:cs="Calibri"/>
        </w:rPr>
        <w:t xml:space="preserve">  </w:t>
      </w:r>
      <w:r w:rsidRPr="0031675F">
        <w:rPr>
          <w:rFonts w:cs="Calibri"/>
          <w:spacing w:val="5"/>
        </w:rPr>
        <w:t xml:space="preserve"> </w:t>
      </w:r>
      <w:r w:rsidRPr="0031675F">
        <w:rPr>
          <w:rFonts w:cs="Calibri"/>
        </w:rPr>
        <w:t xml:space="preserve">the  </w:t>
      </w:r>
      <w:r w:rsidRPr="0031675F">
        <w:rPr>
          <w:rFonts w:cs="Calibri"/>
          <w:spacing w:val="9"/>
        </w:rPr>
        <w:t xml:space="preserve"> </w:t>
      </w:r>
      <w:r w:rsidRPr="0031675F">
        <w:rPr>
          <w:rFonts w:cs="Calibri"/>
          <w:spacing w:val="-1"/>
        </w:rPr>
        <w:t>‘Environmental</w:t>
      </w:r>
      <w:r w:rsidRPr="0031675F">
        <w:rPr>
          <w:rFonts w:cs="Calibri"/>
        </w:rPr>
        <w:t xml:space="preserve">  </w:t>
      </w:r>
      <w:r w:rsidRPr="0031675F">
        <w:rPr>
          <w:rFonts w:cs="Calibri"/>
          <w:spacing w:val="8"/>
        </w:rPr>
        <w:t xml:space="preserve"> </w:t>
      </w:r>
      <w:r w:rsidRPr="0031675F">
        <w:rPr>
          <w:rFonts w:cs="Calibri"/>
          <w:spacing w:val="-1"/>
        </w:rPr>
        <w:t>Logger</w:t>
      </w:r>
      <w:r w:rsidRPr="0031675F">
        <w:rPr>
          <w:rFonts w:cs="Calibri"/>
        </w:rPr>
        <w:t xml:space="preserve">  </w:t>
      </w:r>
      <w:r w:rsidRPr="0031675F">
        <w:rPr>
          <w:rFonts w:cs="Calibri"/>
          <w:spacing w:val="9"/>
        </w:rPr>
        <w:t xml:space="preserve"> </w:t>
      </w:r>
      <w:r w:rsidRPr="0031675F">
        <w:rPr>
          <w:rFonts w:cs="Calibri"/>
          <w:spacing w:val="-1"/>
        </w:rPr>
        <w:t>Actions</w:t>
      </w:r>
      <w:r w:rsidRPr="0031675F">
        <w:rPr>
          <w:spacing w:val="-1"/>
        </w:rPr>
        <w:t>-</w:t>
      </w:r>
      <w:r w:rsidRPr="0031675F">
        <w:rPr>
          <w:rFonts w:cs="Calibri"/>
          <w:spacing w:val="-1"/>
        </w:rPr>
        <w:t>&gt;Add</w:t>
      </w:r>
      <w:r w:rsidRPr="0031675F">
        <w:rPr>
          <w:rFonts w:cs="Calibri"/>
        </w:rPr>
        <w:t xml:space="preserve">  </w:t>
      </w:r>
      <w:r w:rsidRPr="0031675F">
        <w:rPr>
          <w:rFonts w:cs="Calibri"/>
          <w:spacing w:val="8"/>
        </w:rPr>
        <w:t xml:space="preserve"> </w:t>
      </w:r>
      <w:r w:rsidRPr="0031675F">
        <w:rPr>
          <w:rFonts w:cs="Calibri"/>
          <w:spacing w:val="-1"/>
        </w:rPr>
        <w:t>New</w:t>
      </w:r>
      <w:r w:rsidRPr="0031675F">
        <w:rPr>
          <w:rFonts w:cs="Calibri"/>
        </w:rPr>
        <w:t xml:space="preserve">  </w:t>
      </w:r>
      <w:r w:rsidRPr="0031675F">
        <w:rPr>
          <w:rFonts w:cs="Calibri"/>
          <w:spacing w:val="7"/>
        </w:rPr>
        <w:t xml:space="preserve"> </w:t>
      </w:r>
      <w:r w:rsidRPr="0031675F">
        <w:rPr>
          <w:rFonts w:cs="Calibri"/>
          <w:spacing w:val="-1"/>
        </w:rPr>
        <w:t>Logger’</w:t>
      </w:r>
      <w:r w:rsidRPr="0031675F">
        <w:rPr>
          <w:rFonts w:cs="Calibri"/>
          <w:spacing w:val="63"/>
        </w:rPr>
        <w:t xml:space="preserve"> </w:t>
      </w:r>
      <w:r w:rsidRPr="0031675F">
        <w:rPr>
          <w:spacing w:val="-1"/>
        </w:rPr>
        <w:t xml:space="preserve">application </w:t>
      </w:r>
      <w:r w:rsidRPr="0031675F">
        <w:rPr>
          <w:spacing w:val="-2"/>
        </w:rPr>
        <w:t>form</w:t>
      </w:r>
      <w:r w:rsidRPr="0031675F">
        <w:rPr>
          <w:spacing w:val="1"/>
        </w:rPr>
        <w:t xml:space="preserve"> </w:t>
      </w:r>
      <w:r w:rsidRPr="0031675F">
        <w:rPr>
          <w:spacing w:val="-1"/>
        </w:rPr>
        <w:t>path.</w:t>
      </w:r>
    </w:p>
    <w:p w14:paraId="3D74D05B" w14:textId="77777777" w:rsidR="0031675F" w:rsidRPr="0031675F" w:rsidRDefault="0031675F" w:rsidP="0031675F">
      <w:pPr>
        <w:widowControl w:val="0"/>
        <w:numPr>
          <w:ilvl w:val="4"/>
          <w:numId w:val="60"/>
        </w:numPr>
        <w:tabs>
          <w:tab w:val="left" w:pos="1541"/>
        </w:tabs>
        <w:spacing w:before="0" w:after="0" w:line="251" w:lineRule="auto"/>
        <w:ind w:right="121"/>
        <w:rPr>
          <w:rFonts w:cs="Calibri"/>
        </w:rPr>
      </w:pPr>
      <w:r w:rsidRPr="0031675F">
        <w:rPr>
          <w:rFonts w:cs="Calibri"/>
        </w:rPr>
        <w:t xml:space="preserve">Create  </w:t>
      </w:r>
      <w:r w:rsidRPr="0031675F">
        <w:rPr>
          <w:rFonts w:cs="Calibri"/>
          <w:spacing w:val="37"/>
        </w:rPr>
        <w:t xml:space="preserve"> </w:t>
      </w:r>
      <w:r w:rsidRPr="0031675F">
        <w:rPr>
          <w:rFonts w:cs="Calibri"/>
        </w:rPr>
        <w:t xml:space="preserve">the  </w:t>
      </w:r>
      <w:r w:rsidRPr="0031675F">
        <w:rPr>
          <w:rFonts w:cs="Calibri"/>
          <w:spacing w:val="40"/>
        </w:rPr>
        <w:t xml:space="preserve"> </w:t>
      </w:r>
      <w:r w:rsidRPr="0031675F">
        <w:rPr>
          <w:rFonts w:cs="Calibri"/>
          <w:spacing w:val="-1"/>
        </w:rPr>
        <w:t>Logger</w:t>
      </w:r>
      <w:r w:rsidRPr="0031675F">
        <w:rPr>
          <w:rFonts w:cs="Calibri"/>
        </w:rPr>
        <w:t xml:space="preserve">  </w:t>
      </w:r>
      <w:r w:rsidRPr="0031675F">
        <w:rPr>
          <w:rFonts w:cs="Calibri"/>
          <w:spacing w:val="38"/>
        </w:rPr>
        <w:t xml:space="preserve"> </w:t>
      </w:r>
      <w:r w:rsidRPr="0031675F">
        <w:rPr>
          <w:rFonts w:cs="Calibri"/>
          <w:spacing w:val="-1"/>
        </w:rPr>
        <w:t>Calibration</w:t>
      </w:r>
      <w:r w:rsidRPr="0031675F">
        <w:rPr>
          <w:rFonts w:cs="Calibri"/>
        </w:rPr>
        <w:t xml:space="preserve">  </w:t>
      </w:r>
      <w:r w:rsidRPr="0031675F">
        <w:rPr>
          <w:rFonts w:cs="Calibri"/>
          <w:spacing w:val="38"/>
        </w:rPr>
        <w:t xml:space="preserve"> </w:t>
      </w:r>
      <w:r w:rsidRPr="0031675F">
        <w:rPr>
          <w:rFonts w:cs="Calibri"/>
          <w:spacing w:val="-1"/>
        </w:rPr>
        <w:t>using</w:t>
      </w:r>
      <w:r w:rsidRPr="0031675F">
        <w:rPr>
          <w:rFonts w:cs="Calibri"/>
        </w:rPr>
        <w:t xml:space="preserve">  </w:t>
      </w:r>
      <w:r w:rsidRPr="0031675F">
        <w:rPr>
          <w:rFonts w:cs="Calibri"/>
          <w:spacing w:val="39"/>
        </w:rPr>
        <w:t xml:space="preserve"> </w:t>
      </w:r>
      <w:r w:rsidRPr="0031675F">
        <w:rPr>
          <w:rFonts w:cs="Calibri"/>
        </w:rPr>
        <w:t xml:space="preserve">the  </w:t>
      </w:r>
      <w:r w:rsidRPr="0031675F">
        <w:rPr>
          <w:rFonts w:cs="Calibri"/>
          <w:spacing w:val="40"/>
        </w:rPr>
        <w:t xml:space="preserve"> </w:t>
      </w:r>
      <w:r w:rsidRPr="0031675F">
        <w:rPr>
          <w:rFonts w:cs="Calibri"/>
          <w:spacing w:val="-1"/>
        </w:rPr>
        <w:t>‘Environment</w:t>
      </w:r>
      <w:r w:rsidRPr="0031675F">
        <w:rPr>
          <w:spacing w:val="-1"/>
        </w:rPr>
        <w:t>al</w:t>
      </w:r>
      <w:r w:rsidRPr="0031675F">
        <w:t xml:space="preserve">  </w:t>
      </w:r>
      <w:r w:rsidRPr="0031675F">
        <w:rPr>
          <w:spacing w:val="40"/>
        </w:rPr>
        <w:t xml:space="preserve"> </w:t>
      </w:r>
      <w:r w:rsidRPr="0031675F">
        <w:rPr>
          <w:spacing w:val="-1"/>
        </w:rPr>
        <w:t>Logger</w:t>
      </w:r>
      <w:r w:rsidRPr="0031675F">
        <w:t xml:space="preserve">  </w:t>
      </w:r>
      <w:r w:rsidRPr="0031675F">
        <w:rPr>
          <w:spacing w:val="39"/>
        </w:rPr>
        <w:t xml:space="preserve"> </w:t>
      </w:r>
      <w:r w:rsidRPr="0031675F">
        <w:rPr>
          <w:spacing w:val="-1"/>
        </w:rPr>
        <w:t>Actions-&gt;Add</w:t>
      </w:r>
      <w:r w:rsidRPr="0031675F">
        <w:rPr>
          <w:spacing w:val="57"/>
        </w:rPr>
        <w:t xml:space="preserve"> </w:t>
      </w:r>
      <w:r w:rsidRPr="0031675F">
        <w:rPr>
          <w:rFonts w:cs="Calibri"/>
          <w:spacing w:val="-1"/>
        </w:rPr>
        <w:t>Environmental</w:t>
      </w:r>
      <w:r w:rsidRPr="0031675F">
        <w:rPr>
          <w:rFonts w:cs="Calibri"/>
        </w:rPr>
        <w:t xml:space="preserve"> </w:t>
      </w:r>
      <w:r w:rsidRPr="0031675F">
        <w:rPr>
          <w:rFonts w:cs="Calibri"/>
          <w:spacing w:val="-1"/>
        </w:rPr>
        <w:t>Logger</w:t>
      </w:r>
      <w:r w:rsidRPr="0031675F">
        <w:rPr>
          <w:rFonts w:cs="Calibri"/>
        </w:rPr>
        <w:t xml:space="preserve"> </w:t>
      </w:r>
      <w:r w:rsidRPr="0031675F">
        <w:rPr>
          <w:rFonts w:cs="Calibri"/>
          <w:spacing w:val="-1"/>
        </w:rPr>
        <w:t>Calibration’</w:t>
      </w:r>
      <w:r w:rsidRPr="0031675F">
        <w:rPr>
          <w:rFonts w:cs="Calibri"/>
        </w:rPr>
        <w:t xml:space="preserve"> </w:t>
      </w:r>
      <w:r w:rsidRPr="0031675F">
        <w:rPr>
          <w:rFonts w:cs="Calibri"/>
          <w:spacing w:val="-1"/>
        </w:rPr>
        <w:t>application form</w:t>
      </w:r>
      <w:r w:rsidRPr="0031675F">
        <w:rPr>
          <w:rFonts w:cs="Calibri"/>
          <w:spacing w:val="1"/>
        </w:rPr>
        <w:t xml:space="preserve"> </w:t>
      </w:r>
      <w:r w:rsidRPr="0031675F">
        <w:rPr>
          <w:rFonts w:cs="Calibri"/>
          <w:spacing w:val="-1"/>
        </w:rPr>
        <w:t>path</w:t>
      </w:r>
    </w:p>
    <w:p w14:paraId="4569F9CA" w14:textId="77777777" w:rsidR="0031675F" w:rsidRPr="0031675F" w:rsidRDefault="0031675F" w:rsidP="0031675F">
      <w:pPr>
        <w:widowControl w:val="0"/>
        <w:numPr>
          <w:ilvl w:val="3"/>
          <w:numId w:val="60"/>
        </w:numPr>
        <w:tabs>
          <w:tab w:val="left" w:pos="821"/>
        </w:tabs>
        <w:spacing w:before="56" w:after="0" w:line="251" w:lineRule="auto"/>
        <w:ind w:right="114"/>
        <w:jc w:val="both"/>
        <w:rPr>
          <w:rFonts w:cs="Calibri"/>
        </w:rPr>
      </w:pPr>
      <w:r w:rsidRPr="0031675F">
        <w:rPr>
          <w:rFonts w:cs="Calibri"/>
        </w:rPr>
        <w:t>Create</w:t>
      </w:r>
      <w:r w:rsidRPr="0031675F">
        <w:rPr>
          <w:rFonts w:cs="Calibri"/>
          <w:spacing w:val="29"/>
        </w:rPr>
        <w:t xml:space="preserve"> </w:t>
      </w:r>
      <w:r w:rsidRPr="0031675F">
        <w:rPr>
          <w:rFonts w:cs="Calibri"/>
        </w:rPr>
        <w:t>the</w:t>
      </w:r>
      <w:r w:rsidRPr="0031675F">
        <w:rPr>
          <w:rFonts w:cs="Calibri"/>
          <w:spacing w:val="30"/>
        </w:rPr>
        <w:t xml:space="preserve"> </w:t>
      </w:r>
      <w:r w:rsidRPr="0031675F">
        <w:rPr>
          <w:rFonts w:cs="Calibri"/>
          <w:spacing w:val="-1"/>
        </w:rPr>
        <w:t>location</w:t>
      </w:r>
      <w:r w:rsidRPr="0031675F">
        <w:rPr>
          <w:rFonts w:cs="Calibri"/>
          <w:spacing w:val="29"/>
        </w:rPr>
        <w:t xml:space="preserve"> </w:t>
      </w:r>
      <w:r w:rsidRPr="0031675F">
        <w:rPr>
          <w:rFonts w:cs="Calibri"/>
          <w:spacing w:val="-1"/>
        </w:rPr>
        <w:t>using</w:t>
      </w:r>
      <w:r w:rsidRPr="0031675F">
        <w:rPr>
          <w:rFonts w:cs="Calibri"/>
          <w:spacing w:val="28"/>
        </w:rPr>
        <w:t xml:space="preserve"> </w:t>
      </w:r>
      <w:r w:rsidRPr="0031675F">
        <w:rPr>
          <w:rFonts w:cs="Calibri"/>
        </w:rPr>
        <w:t>the</w:t>
      </w:r>
      <w:r w:rsidRPr="0031675F">
        <w:rPr>
          <w:rFonts w:cs="Calibri"/>
          <w:spacing w:val="30"/>
        </w:rPr>
        <w:t xml:space="preserve"> </w:t>
      </w:r>
      <w:r w:rsidRPr="0031675F">
        <w:rPr>
          <w:rFonts w:cs="Calibri"/>
          <w:spacing w:val="-1"/>
        </w:rPr>
        <w:t>‘Environmental</w:t>
      </w:r>
      <w:r w:rsidRPr="0031675F">
        <w:rPr>
          <w:rFonts w:cs="Calibri"/>
          <w:spacing w:val="29"/>
        </w:rPr>
        <w:t xml:space="preserve"> </w:t>
      </w:r>
      <w:r w:rsidRPr="0031675F">
        <w:rPr>
          <w:rFonts w:cs="Calibri"/>
          <w:spacing w:val="-1"/>
        </w:rPr>
        <w:t>Logger</w:t>
      </w:r>
      <w:r w:rsidRPr="0031675F">
        <w:rPr>
          <w:rFonts w:cs="Calibri"/>
          <w:spacing w:val="30"/>
        </w:rPr>
        <w:t xml:space="preserve"> </w:t>
      </w:r>
      <w:r w:rsidRPr="0031675F">
        <w:rPr>
          <w:rFonts w:cs="Calibri"/>
        </w:rPr>
        <w:t>Actions</w:t>
      </w:r>
      <w:r w:rsidRPr="0031675F">
        <w:t>-</w:t>
      </w:r>
      <w:r w:rsidRPr="0031675F">
        <w:rPr>
          <w:rFonts w:cs="Calibri"/>
        </w:rPr>
        <w:t>&gt;Add</w:t>
      </w:r>
      <w:r w:rsidRPr="0031675F">
        <w:rPr>
          <w:rFonts w:cs="Calibri"/>
          <w:spacing w:val="28"/>
        </w:rPr>
        <w:t xml:space="preserve"> </w:t>
      </w:r>
      <w:r w:rsidRPr="0031675F">
        <w:rPr>
          <w:rFonts w:cs="Calibri"/>
          <w:spacing w:val="-1"/>
        </w:rPr>
        <w:t>Deployment</w:t>
      </w:r>
      <w:r w:rsidRPr="0031675F">
        <w:rPr>
          <w:rFonts w:cs="Calibri"/>
          <w:spacing w:val="30"/>
        </w:rPr>
        <w:t xml:space="preserve"> </w:t>
      </w:r>
      <w:r w:rsidRPr="0031675F">
        <w:rPr>
          <w:rFonts w:cs="Calibri"/>
          <w:spacing w:val="-1"/>
        </w:rPr>
        <w:t>Location’</w:t>
      </w:r>
      <w:r w:rsidRPr="0031675F">
        <w:rPr>
          <w:rFonts w:cs="Calibri"/>
          <w:spacing w:val="47"/>
        </w:rPr>
        <w:t xml:space="preserve"> </w:t>
      </w:r>
      <w:r w:rsidRPr="0031675F">
        <w:rPr>
          <w:rFonts w:cs="Calibri"/>
          <w:spacing w:val="-1"/>
        </w:rPr>
        <w:t>application form</w:t>
      </w:r>
      <w:r w:rsidRPr="0031675F">
        <w:rPr>
          <w:rFonts w:cs="Calibri"/>
          <w:spacing w:val="1"/>
        </w:rPr>
        <w:t xml:space="preserve"> </w:t>
      </w:r>
      <w:r w:rsidRPr="0031675F">
        <w:rPr>
          <w:rFonts w:cs="Calibri"/>
        </w:rPr>
        <w:t>path</w:t>
      </w:r>
      <w:r w:rsidRPr="0031675F">
        <w:rPr>
          <w:rFonts w:cs="Calibri"/>
          <w:spacing w:val="-3"/>
        </w:rPr>
        <w:t xml:space="preserve"> </w:t>
      </w:r>
      <w:r w:rsidRPr="0031675F">
        <w:rPr>
          <w:rFonts w:cs="Calibri"/>
        </w:rPr>
        <w:t>only</w:t>
      </w:r>
      <w:r w:rsidRPr="0031675F">
        <w:rPr>
          <w:rFonts w:cs="Calibri"/>
          <w:spacing w:val="-2"/>
        </w:rPr>
        <w:t xml:space="preserve"> </w:t>
      </w:r>
      <w:r w:rsidRPr="0031675F">
        <w:rPr>
          <w:rFonts w:cs="Calibri"/>
        </w:rPr>
        <w:t xml:space="preserve">if it </w:t>
      </w:r>
      <w:r w:rsidRPr="0031675F">
        <w:rPr>
          <w:rFonts w:cs="Calibri"/>
          <w:spacing w:val="-1"/>
        </w:rPr>
        <w:t>doesn’t</w:t>
      </w:r>
      <w:r w:rsidRPr="0031675F">
        <w:rPr>
          <w:rFonts w:cs="Calibri"/>
        </w:rPr>
        <w:t xml:space="preserve"> </w:t>
      </w:r>
      <w:r w:rsidRPr="0031675F">
        <w:rPr>
          <w:rFonts w:cs="Calibri"/>
          <w:spacing w:val="-1"/>
        </w:rPr>
        <w:t>already</w:t>
      </w:r>
      <w:r w:rsidRPr="0031675F">
        <w:rPr>
          <w:rFonts w:cs="Calibri"/>
          <w:spacing w:val="-2"/>
        </w:rPr>
        <w:t xml:space="preserve"> </w:t>
      </w:r>
      <w:r w:rsidRPr="0031675F">
        <w:rPr>
          <w:rFonts w:cs="Calibri"/>
          <w:spacing w:val="-1"/>
        </w:rPr>
        <w:t>exist.</w:t>
      </w:r>
    </w:p>
    <w:p w14:paraId="0DA0A635" w14:textId="77777777" w:rsidR="0031675F" w:rsidRPr="0031675F" w:rsidRDefault="0031675F" w:rsidP="0031675F">
      <w:pPr>
        <w:widowControl w:val="0"/>
        <w:numPr>
          <w:ilvl w:val="3"/>
          <w:numId w:val="60"/>
        </w:numPr>
        <w:tabs>
          <w:tab w:val="left" w:pos="821"/>
        </w:tabs>
        <w:spacing w:before="0" w:after="0" w:line="251" w:lineRule="auto"/>
        <w:ind w:right="112"/>
        <w:jc w:val="both"/>
        <w:rPr>
          <w:rFonts w:cs="Calibri"/>
        </w:rPr>
      </w:pPr>
      <w:r w:rsidRPr="0031675F">
        <w:rPr>
          <w:spacing w:val="-1"/>
        </w:rPr>
        <w:t>Add</w:t>
      </w:r>
      <w:r w:rsidRPr="0031675F">
        <w:rPr>
          <w:spacing w:val="10"/>
        </w:rPr>
        <w:t xml:space="preserve"> </w:t>
      </w:r>
      <w:r w:rsidRPr="0031675F">
        <w:t>the</w:t>
      </w:r>
      <w:r w:rsidRPr="0031675F">
        <w:rPr>
          <w:spacing w:val="10"/>
        </w:rPr>
        <w:t xml:space="preserve"> </w:t>
      </w:r>
      <w:r w:rsidRPr="0031675F">
        <w:rPr>
          <w:spacing w:val="-1"/>
        </w:rPr>
        <w:t>deployment</w:t>
      </w:r>
      <w:r w:rsidRPr="0031675F">
        <w:rPr>
          <w:spacing w:val="11"/>
        </w:rPr>
        <w:t xml:space="preserve"> </w:t>
      </w:r>
      <w:r w:rsidRPr="0031675F">
        <w:rPr>
          <w:spacing w:val="-1"/>
        </w:rPr>
        <w:t>details</w:t>
      </w:r>
      <w:r w:rsidRPr="0031675F">
        <w:rPr>
          <w:spacing w:val="10"/>
        </w:rPr>
        <w:t xml:space="preserve"> </w:t>
      </w:r>
      <w:r w:rsidRPr="0031675F">
        <w:rPr>
          <w:spacing w:val="-1"/>
        </w:rPr>
        <w:t>for</w:t>
      </w:r>
      <w:r w:rsidRPr="0031675F">
        <w:rPr>
          <w:spacing w:val="10"/>
        </w:rPr>
        <w:t xml:space="preserve"> </w:t>
      </w:r>
      <w:r w:rsidRPr="0031675F">
        <w:t>the</w:t>
      </w:r>
      <w:r w:rsidRPr="0031675F">
        <w:rPr>
          <w:spacing w:val="10"/>
        </w:rPr>
        <w:t xml:space="preserve"> </w:t>
      </w:r>
      <w:r w:rsidRPr="0031675F">
        <w:rPr>
          <w:rFonts w:cs="Calibri"/>
          <w:spacing w:val="-1"/>
        </w:rPr>
        <w:t>Logger</w:t>
      </w:r>
      <w:r w:rsidRPr="0031675F">
        <w:rPr>
          <w:rFonts w:cs="Calibri"/>
          <w:spacing w:val="10"/>
        </w:rPr>
        <w:t xml:space="preserve"> </w:t>
      </w:r>
      <w:r w:rsidRPr="0031675F">
        <w:rPr>
          <w:rFonts w:cs="Calibri"/>
          <w:spacing w:val="-1"/>
        </w:rPr>
        <w:t>using</w:t>
      </w:r>
      <w:r w:rsidRPr="0031675F">
        <w:rPr>
          <w:rFonts w:cs="Calibri"/>
          <w:spacing w:val="9"/>
        </w:rPr>
        <w:t xml:space="preserve"> </w:t>
      </w:r>
      <w:r w:rsidRPr="0031675F">
        <w:rPr>
          <w:rFonts w:cs="Calibri"/>
        </w:rPr>
        <w:t>the</w:t>
      </w:r>
      <w:r w:rsidRPr="0031675F">
        <w:rPr>
          <w:rFonts w:cs="Calibri"/>
          <w:spacing w:val="10"/>
        </w:rPr>
        <w:t xml:space="preserve"> </w:t>
      </w:r>
      <w:r w:rsidRPr="0031675F">
        <w:rPr>
          <w:rFonts w:cs="Calibri"/>
          <w:spacing w:val="-1"/>
        </w:rPr>
        <w:t>‘Environmental</w:t>
      </w:r>
      <w:r w:rsidRPr="0031675F">
        <w:rPr>
          <w:rFonts w:cs="Calibri"/>
          <w:spacing w:val="7"/>
        </w:rPr>
        <w:t xml:space="preserve"> </w:t>
      </w:r>
      <w:r w:rsidRPr="0031675F">
        <w:rPr>
          <w:rFonts w:cs="Calibri"/>
          <w:spacing w:val="-1"/>
        </w:rPr>
        <w:t>Logger</w:t>
      </w:r>
      <w:r w:rsidRPr="0031675F">
        <w:rPr>
          <w:rFonts w:cs="Calibri"/>
          <w:spacing w:val="10"/>
        </w:rPr>
        <w:t xml:space="preserve"> </w:t>
      </w:r>
      <w:r w:rsidRPr="0031675F">
        <w:rPr>
          <w:rFonts w:cs="Calibri"/>
          <w:spacing w:val="-1"/>
        </w:rPr>
        <w:t>Actions</w:t>
      </w:r>
      <w:r w:rsidRPr="0031675F">
        <w:rPr>
          <w:spacing w:val="-1"/>
        </w:rPr>
        <w:t>-&gt;Add</w:t>
      </w:r>
      <w:r w:rsidRPr="0031675F">
        <w:rPr>
          <w:spacing w:val="71"/>
        </w:rPr>
        <w:t xml:space="preserve"> </w:t>
      </w:r>
      <w:r w:rsidRPr="0031675F">
        <w:rPr>
          <w:rFonts w:cs="Calibri"/>
          <w:spacing w:val="-1"/>
        </w:rPr>
        <w:t>Environmental</w:t>
      </w:r>
      <w:r w:rsidRPr="0031675F">
        <w:rPr>
          <w:rFonts w:cs="Calibri"/>
        </w:rPr>
        <w:t xml:space="preserve"> </w:t>
      </w:r>
      <w:r w:rsidRPr="0031675F">
        <w:rPr>
          <w:rFonts w:cs="Calibri"/>
          <w:spacing w:val="-1"/>
        </w:rPr>
        <w:t>Logger</w:t>
      </w:r>
      <w:r w:rsidRPr="0031675F">
        <w:rPr>
          <w:rFonts w:cs="Calibri"/>
          <w:spacing w:val="-2"/>
        </w:rPr>
        <w:t xml:space="preserve"> </w:t>
      </w:r>
      <w:r w:rsidRPr="0031675F">
        <w:rPr>
          <w:rFonts w:cs="Calibri"/>
          <w:spacing w:val="-1"/>
        </w:rPr>
        <w:t>Deployment’</w:t>
      </w:r>
      <w:r w:rsidRPr="0031675F">
        <w:rPr>
          <w:rFonts w:cs="Calibri"/>
        </w:rPr>
        <w:t xml:space="preserve"> </w:t>
      </w:r>
      <w:r w:rsidRPr="0031675F">
        <w:rPr>
          <w:rFonts w:cs="Calibri"/>
          <w:spacing w:val="-1"/>
        </w:rPr>
        <w:t>application form</w:t>
      </w:r>
      <w:r w:rsidRPr="0031675F">
        <w:rPr>
          <w:rFonts w:cs="Calibri"/>
          <w:spacing w:val="-2"/>
        </w:rPr>
        <w:t xml:space="preserve"> </w:t>
      </w:r>
      <w:r w:rsidRPr="0031675F">
        <w:rPr>
          <w:rFonts w:cs="Calibri"/>
          <w:spacing w:val="-1"/>
        </w:rPr>
        <w:t>path.</w:t>
      </w:r>
      <w:r w:rsidRPr="0031675F">
        <w:rPr>
          <w:rFonts w:cs="Calibri"/>
        </w:rPr>
        <w:t xml:space="preserve"> .</w:t>
      </w:r>
    </w:p>
    <w:p w14:paraId="67150157" w14:textId="77777777" w:rsidR="0031675F" w:rsidRPr="0031675F" w:rsidRDefault="0031675F" w:rsidP="0031675F">
      <w:pPr>
        <w:widowControl w:val="0"/>
        <w:numPr>
          <w:ilvl w:val="3"/>
          <w:numId w:val="60"/>
        </w:numPr>
        <w:tabs>
          <w:tab w:val="left" w:pos="821"/>
        </w:tabs>
        <w:spacing w:before="0" w:after="0" w:line="248" w:lineRule="auto"/>
        <w:ind w:right="112"/>
        <w:jc w:val="both"/>
        <w:rPr>
          <w:rFonts w:cs="Calibri"/>
        </w:rPr>
      </w:pPr>
      <w:r w:rsidRPr="0031675F">
        <w:rPr>
          <w:rFonts w:cs="Calibri"/>
          <w:spacing w:val="-1"/>
        </w:rPr>
        <w:t>Add</w:t>
      </w:r>
      <w:r w:rsidRPr="0031675F">
        <w:rPr>
          <w:rFonts w:cs="Calibri"/>
          <w:spacing w:val="38"/>
        </w:rPr>
        <w:t xml:space="preserve"> </w:t>
      </w:r>
      <w:r w:rsidRPr="0031675F">
        <w:rPr>
          <w:rFonts w:cs="Calibri"/>
        </w:rPr>
        <w:t>the</w:t>
      </w:r>
      <w:r w:rsidRPr="0031675F">
        <w:rPr>
          <w:rFonts w:cs="Calibri"/>
          <w:spacing w:val="39"/>
        </w:rPr>
        <w:t xml:space="preserve"> </w:t>
      </w:r>
      <w:r w:rsidRPr="0031675F">
        <w:rPr>
          <w:rFonts w:cs="Calibri"/>
        </w:rPr>
        <w:t>retrieval</w:t>
      </w:r>
      <w:r w:rsidRPr="0031675F">
        <w:rPr>
          <w:rFonts w:cs="Calibri"/>
          <w:spacing w:val="39"/>
        </w:rPr>
        <w:t xml:space="preserve"> </w:t>
      </w:r>
      <w:r w:rsidRPr="0031675F">
        <w:rPr>
          <w:rFonts w:cs="Calibri"/>
          <w:spacing w:val="-1"/>
        </w:rPr>
        <w:t>details</w:t>
      </w:r>
      <w:r w:rsidRPr="0031675F">
        <w:rPr>
          <w:rFonts w:cs="Calibri"/>
          <w:spacing w:val="36"/>
        </w:rPr>
        <w:t xml:space="preserve"> </w:t>
      </w:r>
      <w:r w:rsidRPr="0031675F">
        <w:rPr>
          <w:rFonts w:cs="Calibri"/>
        </w:rPr>
        <w:t>for</w:t>
      </w:r>
      <w:r w:rsidRPr="0031675F">
        <w:rPr>
          <w:rFonts w:cs="Calibri"/>
          <w:spacing w:val="39"/>
        </w:rPr>
        <w:t xml:space="preserve"> </w:t>
      </w:r>
      <w:r w:rsidRPr="0031675F">
        <w:rPr>
          <w:rFonts w:cs="Calibri"/>
        </w:rPr>
        <w:t>the</w:t>
      </w:r>
      <w:r w:rsidRPr="0031675F">
        <w:rPr>
          <w:rFonts w:cs="Calibri"/>
          <w:spacing w:val="39"/>
        </w:rPr>
        <w:t xml:space="preserve"> </w:t>
      </w:r>
      <w:r w:rsidRPr="0031675F">
        <w:rPr>
          <w:rFonts w:cs="Calibri"/>
          <w:spacing w:val="-1"/>
        </w:rPr>
        <w:t>Logger</w:t>
      </w:r>
      <w:r w:rsidRPr="0031675F">
        <w:rPr>
          <w:rFonts w:cs="Calibri"/>
          <w:spacing w:val="39"/>
        </w:rPr>
        <w:t xml:space="preserve"> </w:t>
      </w:r>
      <w:r w:rsidRPr="0031675F">
        <w:rPr>
          <w:rFonts w:cs="Calibri"/>
          <w:spacing w:val="-1"/>
        </w:rPr>
        <w:t>using</w:t>
      </w:r>
      <w:r w:rsidRPr="0031675F">
        <w:rPr>
          <w:rFonts w:cs="Calibri"/>
          <w:spacing w:val="37"/>
        </w:rPr>
        <w:t xml:space="preserve"> </w:t>
      </w:r>
      <w:r w:rsidRPr="0031675F">
        <w:rPr>
          <w:rFonts w:cs="Calibri"/>
        </w:rPr>
        <w:t>the</w:t>
      </w:r>
      <w:r w:rsidRPr="0031675F">
        <w:rPr>
          <w:rFonts w:cs="Calibri"/>
          <w:spacing w:val="39"/>
        </w:rPr>
        <w:t xml:space="preserve"> </w:t>
      </w:r>
      <w:r w:rsidRPr="0031675F">
        <w:rPr>
          <w:rFonts w:cs="Calibri"/>
          <w:spacing w:val="-1"/>
        </w:rPr>
        <w:t>‘Environmental</w:t>
      </w:r>
      <w:r w:rsidRPr="0031675F">
        <w:rPr>
          <w:rFonts w:cs="Calibri"/>
          <w:spacing w:val="39"/>
        </w:rPr>
        <w:t xml:space="preserve"> </w:t>
      </w:r>
      <w:r w:rsidRPr="0031675F">
        <w:rPr>
          <w:rFonts w:cs="Calibri"/>
          <w:spacing w:val="-1"/>
        </w:rPr>
        <w:t>Logger</w:t>
      </w:r>
      <w:r w:rsidRPr="0031675F">
        <w:rPr>
          <w:rFonts w:cs="Calibri"/>
          <w:spacing w:val="38"/>
        </w:rPr>
        <w:t xml:space="preserve"> </w:t>
      </w:r>
      <w:r w:rsidRPr="0031675F">
        <w:rPr>
          <w:rFonts w:cs="Calibri"/>
        </w:rPr>
        <w:t>Actions</w:t>
      </w:r>
      <w:r w:rsidRPr="0031675F">
        <w:t>-&gt;Add</w:t>
      </w:r>
      <w:r w:rsidRPr="0031675F">
        <w:rPr>
          <w:spacing w:val="57"/>
        </w:rPr>
        <w:t xml:space="preserve"> </w:t>
      </w:r>
      <w:r w:rsidRPr="0031675F">
        <w:rPr>
          <w:rFonts w:cs="Calibri"/>
          <w:spacing w:val="-1"/>
        </w:rPr>
        <w:t>Environmental</w:t>
      </w:r>
      <w:r w:rsidRPr="0031675F">
        <w:rPr>
          <w:rFonts w:cs="Calibri"/>
        </w:rPr>
        <w:t xml:space="preserve"> </w:t>
      </w:r>
      <w:r w:rsidRPr="0031675F">
        <w:rPr>
          <w:rFonts w:cs="Calibri"/>
          <w:spacing w:val="-1"/>
        </w:rPr>
        <w:t>Logger</w:t>
      </w:r>
      <w:r w:rsidRPr="0031675F">
        <w:rPr>
          <w:rFonts w:cs="Calibri"/>
          <w:spacing w:val="-2"/>
        </w:rPr>
        <w:t xml:space="preserve"> </w:t>
      </w:r>
      <w:r w:rsidRPr="0031675F">
        <w:rPr>
          <w:rFonts w:cs="Calibri"/>
          <w:spacing w:val="-1"/>
        </w:rPr>
        <w:t>Retrieval’</w:t>
      </w:r>
      <w:r w:rsidRPr="0031675F">
        <w:rPr>
          <w:rFonts w:cs="Calibri"/>
          <w:spacing w:val="-3"/>
        </w:rPr>
        <w:t xml:space="preserve"> </w:t>
      </w:r>
      <w:r w:rsidRPr="0031675F">
        <w:rPr>
          <w:rFonts w:cs="Calibri"/>
          <w:spacing w:val="-1"/>
        </w:rPr>
        <w:t>application form</w:t>
      </w:r>
      <w:r w:rsidRPr="0031675F">
        <w:rPr>
          <w:rFonts w:cs="Calibri"/>
          <w:spacing w:val="1"/>
        </w:rPr>
        <w:t xml:space="preserve"> </w:t>
      </w:r>
      <w:r w:rsidRPr="0031675F">
        <w:rPr>
          <w:rFonts w:cs="Calibri"/>
          <w:spacing w:val="-1"/>
        </w:rPr>
        <w:t>path.</w:t>
      </w:r>
    </w:p>
    <w:p w14:paraId="2BE14863" w14:textId="77777777" w:rsidR="0031675F" w:rsidRPr="0031675F" w:rsidRDefault="0031675F" w:rsidP="0031675F">
      <w:pPr>
        <w:widowControl w:val="0"/>
        <w:numPr>
          <w:ilvl w:val="3"/>
          <w:numId w:val="60"/>
        </w:numPr>
        <w:tabs>
          <w:tab w:val="left" w:pos="821"/>
        </w:tabs>
        <w:spacing w:before="2" w:after="0" w:line="251" w:lineRule="auto"/>
        <w:ind w:right="118"/>
        <w:jc w:val="both"/>
        <w:rPr>
          <w:rFonts w:cs="Calibri"/>
        </w:rPr>
      </w:pPr>
      <w:r w:rsidRPr="0031675F">
        <w:rPr>
          <w:spacing w:val="-1"/>
        </w:rPr>
        <w:t>Assoc</w:t>
      </w:r>
      <w:r w:rsidRPr="0031675F">
        <w:rPr>
          <w:rFonts w:cs="Calibri"/>
          <w:spacing w:val="-1"/>
        </w:rPr>
        <w:t>iate</w:t>
      </w:r>
      <w:r w:rsidRPr="0031675F">
        <w:rPr>
          <w:rFonts w:cs="Calibri"/>
        </w:rPr>
        <w:t xml:space="preserve"> the </w:t>
      </w:r>
      <w:r w:rsidRPr="0031675F">
        <w:rPr>
          <w:rFonts w:cs="Calibri"/>
          <w:spacing w:val="-1"/>
        </w:rPr>
        <w:t>calibration for</w:t>
      </w:r>
      <w:r w:rsidRPr="0031675F">
        <w:rPr>
          <w:rFonts w:cs="Calibri"/>
        </w:rPr>
        <w:t xml:space="preserve"> </w:t>
      </w:r>
      <w:r w:rsidRPr="0031675F">
        <w:rPr>
          <w:rFonts w:cs="Calibri"/>
          <w:spacing w:val="-1"/>
        </w:rPr>
        <w:t>the</w:t>
      </w:r>
      <w:r w:rsidRPr="0031675F">
        <w:rPr>
          <w:rFonts w:cs="Calibri"/>
        </w:rPr>
        <w:t xml:space="preserve"> </w:t>
      </w:r>
      <w:r w:rsidRPr="0031675F">
        <w:rPr>
          <w:rFonts w:cs="Calibri"/>
          <w:spacing w:val="-1"/>
        </w:rPr>
        <w:t>deployment</w:t>
      </w:r>
      <w:r w:rsidRPr="0031675F">
        <w:rPr>
          <w:rFonts w:cs="Calibri"/>
          <w:spacing w:val="-2"/>
        </w:rPr>
        <w:t xml:space="preserve"> </w:t>
      </w:r>
      <w:r w:rsidRPr="0031675F">
        <w:rPr>
          <w:rFonts w:cs="Calibri"/>
          <w:spacing w:val="-1"/>
        </w:rPr>
        <w:t>time</w:t>
      </w:r>
      <w:r w:rsidRPr="0031675F">
        <w:rPr>
          <w:rFonts w:cs="Calibri"/>
        </w:rPr>
        <w:t xml:space="preserve"> to</w:t>
      </w:r>
      <w:r w:rsidRPr="0031675F">
        <w:rPr>
          <w:rFonts w:cs="Calibri"/>
          <w:spacing w:val="1"/>
        </w:rPr>
        <w:t xml:space="preserve"> </w:t>
      </w:r>
      <w:r w:rsidRPr="0031675F">
        <w:rPr>
          <w:rFonts w:cs="Calibri"/>
          <w:spacing w:val="-1"/>
        </w:rPr>
        <w:t>the</w:t>
      </w:r>
      <w:r w:rsidRPr="0031675F">
        <w:rPr>
          <w:rFonts w:cs="Calibri"/>
        </w:rPr>
        <w:t xml:space="preserve"> </w:t>
      </w:r>
      <w:r w:rsidRPr="0031675F">
        <w:rPr>
          <w:rFonts w:cs="Calibri"/>
          <w:spacing w:val="-1"/>
        </w:rPr>
        <w:t>Logger</w:t>
      </w:r>
      <w:r w:rsidRPr="0031675F">
        <w:rPr>
          <w:rFonts w:cs="Calibri"/>
        </w:rPr>
        <w:t xml:space="preserve"> </w:t>
      </w:r>
      <w:r w:rsidRPr="0031675F">
        <w:rPr>
          <w:rFonts w:cs="Calibri"/>
          <w:spacing w:val="-1"/>
        </w:rPr>
        <w:t>using the</w:t>
      </w:r>
      <w:r w:rsidRPr="0031675F">
        <w:rPr>
          <w:rFonts w:cs="Calibri"/>
        </w:rPr>
        <w:t xml:space="preserve"> </w:t>
      </w:r>
      <w:r w:rsidRPr="0031675F">
        <w:rPr>
          <w:rFonts w:cs="Calibri"/>
          <w:spacing w:val="-1"/>
        </w:rPr>
        <w:t>‘Environmental</w:t>
      </w:r>
      <w:r w:rsidRPr="0031675F">
        <w:rPr>
          <w:rFonts w:cs="Calibri"/>
        </w:rPr>
        <w:t xml:space="preserve"> </w:t>
      </w:r>
      <w:r w:rsidRPr="0031675F">
        <w:rPr>
          <w:rFonts w:cs="Calibri"/>
          <w:spacing w:val="-1"/>
        </w:rPr>
        <w:t>Logger</w:t>
      </w:r>
      <w:r w:rsidRPr="0031675F">
        <w:rPr>
          <w:rFonts w:cs="Calibri"/>
          <w:spacing w:val="89"/>
        </w:rPr>
        <w:t xml:space="preserve"> </w:t>
      </w:r>
      <w:r w:rsidRPr="0031675F">
        <w:rPr>
          <w:spacing w:val="-1"/>
        </w:rPr>
        <w:t>Actions-</w:t>
      </w:r>
      <w:r w:rsidRPr="0031675F">
        <w:rPr>
          <w:rFonts w:cs="Calibri"/>
          <w:spacing w:val="-1"/>
        </w:rPr>
        <w:t>&gt;Associate</w:t>
      </w:r>
      <w:r w:rsidRPr="0031675F">
        <w:rPr>
          <w:rFonts w:cs="Calibri"/>
          <w:spacing w:val="-2"/>
        </w:rPr>
        <w:t xml:space="preserve"> </w:t>
      </w:r>
      <w:r w:rsidRPr="0031675F">
        <w:rPr>
          <w:rFonts w:cs="Calibri"/>
          <w:spacing w:val="-1"/>
        </w:rPr>
        <w:t>Environmental</w:t>
      </w:r>
      <w:r w:rsidRPr="0031675F">
        <w:rPr>
          <w:rFonts w:cs="Calibri"/>
          <w:spacing w:val="-3"/>
        </w:rPr>
        <w:t xml:space="preserve"> </w:t>
      </w:r>
      <w:r w:rsidRPr="0031675F">
        <w:rPr>
          <w:rFonts w:cs="Calibri"/>
          <w:spacing w:val="-1"/>
        </w:rPr>
        <w:t>Logger</w:t>
      </w:r>
      <w:r w:rsidRPr="0031675F">
        <w:rPr>
          <w:rFonts w:cs="Calibri"/>
        </w:rPr>
        <w:t xml:space="preserve"> </w:t>
      </w:r>
      <w:r w:rsidRPr="0031675F">
        <w:rPr>
          <w:rFonts w:cs="Calibri"/>
          <w:spacing w:val="-1"/>
        </w:rPr>
        <w:t>Retrieval’</w:t>
      </w:r>
      <w:r w:rsidRPr="0031675F">
        <w:rPr>
          <w:rFonts w:cs="Calibri"/>
          <w:spacing w:val="-3"/>
        </w:rPr>
        <w:t xml:space="preserve"> </w:t>
      </w:r>
      <w:r w:rsidRPr="0031675F">
        <w:rPr>
          <w:rFonts w:cs="Calibri"/>
          <w:spacing w:val="-1"/>
        </w:rPr>
        <w:t>application form</w:t>
      </w:r>
      <w:r w:rsidRPr="0031675F">
        <w:rPr>
          <w:rFonts w:cs="Calibri"/>
          <w:spacing w:val="1"/>
        </w:rPr>
        <w:t xml:space="preserve"> </w:t>
      </w:r>
      <w:r w:rsidRPr="0031675F">
        <w:rPr>
          <w:rFonts w:cs="Calibri"/>
          <w:spacing w:val="-1"/>
        </w:rPr>
        <w:t>path.</w:t>
      </w:r>
    </w:p>
    <w:p w14:paraId="7CA2D960" w14:textId="77777777" w:rsidR="0031675F" w:rsidRPr="0031675F" w:rsidRDefault="0031675F" w:rsidP="0031675F">
      <w:pPr>
        <w:widowControl w:val="0"/>
        <w:numPr>
          <w:ilvl w:val="3"/>
          <w:numId w:val="60"/>
        </w:numPr>
        <w:tabs>
          <w:tab w:val="left" w:pos="821"/>
        </w:tabs>
        <w:spacing w:before="0" w:after="0" w:line="251" w:lineRule="auto"/>
        <w:ind w:right="115"/>
        <w:jc w:val="both"/>
        <w:rPr>
          <w:rFonts w:cs="Calibri"/>
        </w:rPr>
      </w:pPr>
      <w:r w:rsidRPr="0031675F">
        <w:rPr>
          <w:rFonts w:cs="Calibri"/>
        </w:rPr>
        <w:t>Import</w:t>
      </w:r>
      <w:r w:rsidRPr="0031675F">
        <w:rPr>
          <w:rFonts w:cs="Calibri"/>
          <w:spacing w:val="26"/>
        </w:rPr>
        <w:t xml:space="preserve"> </w:t>
      </w:r>
      <w:r w:rsidRPr="0031675F">
        <w:rPr>
          <w:rFonts w:cs="Calibri"/>
        </w:rPr>
        <w:t>the</w:t>
      </w:r>
      <w:r w:rsidRPr="0031675F">
        <w:rPr>
          <w:rFonts w:cs="Calibri"/>
          <w:spacing w:val="29"/>
        </w:rPr>
        <w:t xml:space="preserve"> </w:t>
      </w:r>
      <w:r w:rsidRPr="0031675F">
        <w:rPr>
          <w:rFonts w:cs="Calibri"/>
        </w:rPr>
        <w:t>raw</w:t>
      </w:r>
      <w:r w:rsidRPr="0031675F">
        <w:rPr>
          <w:rFonts w:cs="Calibri"/>
          <w:spacing w:val="29"/>
        </w:rPr>
        <w:t xml:space="preserve"> </w:t>
      </w:r>
      <w:r w:rsidRPr="0031675F">
        <w:rPr>
          <w:rFonts w:cs="Calibri"/>
          <w:spacing w:val="-1"/>
        </w:rPr>
        <w:t>data</w:t>
      </w:r>
      <w:r w:rsidRPr="0031675F">
        <w:rPr>
          <w:rFonts w:cs="Calibri"/>
          <w:spacing w:val="28"/>
        </w:rPr>
        <w:t xml:space="preserve"> </w:t>
      </w:r>
      <w:r w:rsidRPr="0031675F">
        <w:rPr>
          <w:rFonts w:cs="Calibri"/>
        </w:rPr>
        <w:t>CVS</w:t>
      </w:r>
      <w:r w:rsidRPr="0031675F">
        <w:rPr>
          <w:rFonts w:cs="Calibri"/>
          <w:spacing w:val="28"/>
        </w:rPr>
        <w:t xml:space="preserve"> </w:t>
      </w:r>
      <w:r w:rsidRPr="0031675F">
        <w:rPr>
          <w:rFonts w:cs="Calibri"/>
          <w:spacing w:val="-1"/>
        </w:rPr>
        <w:t>file</w:t>
      </w:r>
      <w:r w:rsidRPr="0031675F">
        <w:rPr>
          <w:rFonts w:cs="Calibri"/>
          <w:spacing w:val="30"/>
        </w:rPr>
        <w:t xml:space="preserve"> </w:t>
      </w:r>
      <w:r w:rsidRPr="0031675F">
        <w:rPr>
          <w:rFonts w:cs="Calibri"/>
          <w:spacing w:val="-1"/>
        </w:rPr>
        <w:t>using</w:t>
      </w:r>
      <w:r w:rsidRPr="0031675F">
        <w:rPr>
          <w:rFonts w:cs="Calibri"/>
          <w:spacing w:val="28"/>
        </w:rPr>
        <w:t xml:space="preserve"> </w:t>
      </w:r>
      <w:r w:rsidRPr="0031675F">
        <w:rPr>
          <w:rFonts w:cs="Calibri"/>
        </w:rPr>
        <w:t>the</w:t>
      </w:r>
      <w:r w:rsidRPr="0031675F">
        <w:rPr>
          <w:rFonts w:cs="Calibri"/>
          <w:spacing w:val="28"/>
        </w:rPr>
        <w:t xml:space="preserve"> </w:t>
      </w:r>
      <w:r w:rsidRPr="0031675F">
        <w:rPr>
          <w:rFonts w:cs="Calibri"/>
          <w:spacing w:val="-1"/>
        </w:rPr>
        <w:t>‘Environmental</w:t>
      </w:r>
      <w:r w:rsidRPr="0031675F">
        <w:rPr>
          <w:rFonts w:cs="Calibri"/>
          <w:spacing w:val="29"/>
        </w:rPr>
        <w:t xml:space="preserve"> </w:t>
      </w:r>
      <w:r w:rsidRPr="0031675F">
        <w:rPr>
          <w:rFonts w:cs="Calibri"/>
          <w:spacing w:val="-1"/>
        </w:rPr>
        <w:t>Logger</w:t>
      </w:r>
      <w:r w:rsidRPr="0031675F">
        <w:rPr>
          <w:rFonts w:cs="Calibri"/>
          <w:spacing w:val="29"/>
        </w:rPr>
        <w:t xml:space="preserve"> </w:t>
      </w:r>
      <w:r w:rsidRPr="0031675F">
        <w:rPr>
          <w:rFonts w:cs="Calibri"/>
          <w:spacing w:val="-1"/>
        </w:rPr>
        <w:t>Actions</w:t>
      </w:r>
      <w:r w:rsidRPr="0031675F">
        <w:rPr>
          <w:spacing w:val="-1"/>
        </w:rPr>
        <w:t>-&gt;Deployment</w:t>
      </w:r>
      <w:r w:rsidRPr="0031675F">
        <w:rPr>
          <w:spacing w:val="28"/>
        </w:rPr>
        <w:t xml:space="preserve"> </w:t>
      </w:r>
      <w:r w:rsidRPr="0031675F">
        <w:rPr>
          <w:spacing w:val="-1"/>
        </w:rPr>
        <w:t>Data</w:t>
      </w:r>
      <w:r w:rsidRPr="0031675F">
        <w:rPr>
          <w:spacing w:val="29"/>
        </w:rPr>
        <w:t xml:space="preserve"> </w:t>
      </w:r>
      <w:r w:rsidRPr="0031675F">
        <w:rPr>
          <w:spacing w:val="-1"/>
        </w:rPr>
        <w:t>File</w:t>
      </w:r>
      <w:r w:rsidRPr="0031675F">
        <w:rPr>
          <w:spacing w:val="65"/>
        </w:rPr>
        <w:t xml:space="preserve"> </w:t>
      </w:r>
      <w:r w:rsidRPr="0031675F">
        <w:rPr>
          <w:spacing w:val="-1"/>
        </w:rPr>
        <w:t>I/O-&gt;Data</w:t>
      </w:r>
      <w:r w:rsidRPr="0031675F">
        <w:t xml:space="preserve"> </w:t>
      </w:r>
      <w:r w:rsidRPr="0031675F">
        <w:rPr>
          <w:spacing w:val="-2"/>
        </w:rPr>
        <w:t>File</w:t>
      </w:r>
      <w:r w:rsidRPr="0031675F">
        <w:t xml:space="preserve"> </w:t>
      </w:r>
      <w:r w:rsidRPr="0031675F">
        <w:rPr>
          <w:spacing w:val="-1"/>
        </w:rPr>
        <w:t>I/O-</w:t>
      </w:r>
      <w:r w:rsidRPr="0031675F">
        <w:rPr>
          <w:rFonts w:cs="Calibri"/>
          <w:spacing w:val="-1"/>
        </w:rPr>
        <w:t>&gt;Import</w:t>
      </w:r>
      <w:r w:rsidRPr="0031675F">
        <w:rPr>
          <w:rFonts w:cs="Calibri"/>
          <w:spacing w:val="-4"/>
        </w:rPr>
        <w:t xml:space="preserve"> </w:t>
      </w:r>
      <w:r w:rsidRPr="0031675F">
        <w:rPr>
          <w:rFonts w:cs="Calibri"/>
        </w:rPr>
        <w:t>Raw</w:t>
      </w:r>
      <w:r w:rsidRPr="0031675F">
        <w:rPr>
          <w:rFonts w:cs="Calibri"/>
          <w:spacing w:val="-2"/>
        </w:rPr>
        <w:t xml:space="preserve"> </w:t>
      </w:r>
      <w:r w:rsidRPr="0031675F">
        <w:rPr>
          <w:rFonts w:cs="Calibri"/>
        </w:rPr>
        <w:t xml:space="preserve">Data </w:t>
      </w:r>
      <w:r w:rsidRPr="0031675F">
        <w:rPr>
          <w:rFonts w:cs="Calibri"/>
          <w:spacing w:val="-1"/>
        </w:rPr>
        <w:t>File’</w:t>
      </w:r>
      <w:r w:rsidRPr="0031675F">
        <w:rPr>
          <w:rFonts w:cs="Calibri"/>
        </w:rPr>
        <w:t xml:space="preserve"> </w:t>
      </w:r>
      <w:r w:rsidRPr="0031675F">
        <w:rPr>
          <w:rFonts w:cs="Calibri"/>
          <w:spacing w:val="-1"/>
        </w:rPr>
        <w:t>application form</w:t>
      </w:r>
      <w:r w:rsidRPr="0031675F">
        <w:rPr>
          <w:rFonts w:cs="Calibri"/>
          <w:spacing w:val="-2"/>
        </w:rPr>
        <w:t xml:space="preserve"> </w:t>
      </w:r>
      <w:r w:rsidRPr="0031675F">
        <w:rPr>
          <w:rFonts w:cs="Calibri"/>
          <w:spacing w:val="-1"/>
        </w:rPr>
        <w:t>path.</w:t>
      </w:r>
    </w:p>
    <w:p w14:paraId="0E7A28CC" w14:textId="77777777" w:rsidR="0031675F" w:rsidRPr="0031675F" w:rsidRDefault="0031675F" w:rsidP="0031675F">
      <w:pPr>
        <w:widowControl w:val="0"/>
        <w:numPr>
          <w:ilvl w:val="3"/>
          <w:numId w:val="60"/>
        </w:numPr>
        <w:tabs>
          <w:tab w:val="left" w:pos="821"/>
        </w:tabs>
        <w:spacing w:before="0" w:after="0" w:line="248" w:lineRule="auto"/>
        <w:ind w:right="115"/>
        <w:jc w:val="both"/>
        <w:rPr>
          <w:rFonts w:cs="Calibri"/>
        </w:rPr>
      </w:pPr>
      <w:r w:rsidRPr="0031675F">
        <w:rPr>
          <w:rFonts w:cs="Calibri"/>
          <w:spacing w:val="-1"/>
        </w:rPr>
        <w:t>Check</w:t>
      </w:r>
      <w:r w:rsidRPr="0031675F">
        <w:rPr>
          <w:rFonts w:cs="Calibri"/>
          <w:spacing w:val="31"/>
        </w:rPr>
        <w:t xml:space="preserve"> </w:t>
      </w:r>
      <w:r w:rsidRPr="0031675F">
        <w:rPr>
          <w:rFonts w:cs="Calibri"/>
          <w:spacing w:val="-1"/>
        </w:rPr>
        <w:t>calibration</w:t>
      </w:r>
      <w:r w:rsidRPr="0031675F">
        <w:rPr>
          <w:rFonts w:cs="Calibri"/>
          <w:spacing w:val="31"/>
        </w:rPr>
        <w:t xml:space="preserve"> </w:t>
      </w:r>
      <w:r w:rsidRPr="0031675F">
        <w:rPr>
          <w:rFonts w:cs="Calibri"/>
          <w:spacing w:val="-1"/>
        </w:rPr>
        <w:t>association</w:t>
      </w:r>
      <w:r w:rsidRPr="0031675F">
        <w:rPr>
          <w:rFonts w:cs="Calibri"/>
          <w:spacing w:val="31"/>
        </w:rPr>
        <w:t xml:space="preserve"> </w:t>
      </w:r>
      <w:r w:rsidRPr="0031675F">
        <w:rPr>
          <w:rFonts w:cs="Calibri"/>
          <w:spacing w:val="-1"/>
        </w:rPr>
        <w:t>using</w:t>
      </w:r>
      <w:r w:rsidRPr="0031675F">
        <w:rPr>
          <w:rFonts w:cs="Calibri"/>
          <w:spacing w:val="30"/>
        </w:rPr>
        <w:t xml:space="preserve"> </w:t>
      </w:r>
      <w:r w:rsidRPr="0031675F">
        <w:rPr>
          <w:rFonts w:cs="Calibri"/>
        </w:rPr>
        <w:t>the</w:t>
      </w:r>
      <w:r w:rsidRPr="0031675F">
        <w:rPr>
          <w:rFonts w:cs="Calibri"/>
          <w:spacing w:val="32"/>
        </w:rPr>
        <w:t xml:space="preserve"> </w:t>
      </w:r>
      <w:r w:rsidRPr="0031675F">
        <w:rPr>
          <w:rFonts w:cs="Calibri"/>
          <w:spacing w:val="-1"/>
        </w:rPr>
        <w:t>‘Environmental</w:t>
      </w:r>
      <w:r w:rsidRPr="0031675F">
        <w:rPr>
          <w:rFonts w:cs="Calibri"/>
          <w:spacing w:val="31"/>
        </w:rPr>
        <w:t xml:space="preserve"> </w:t>
      </w:r>
      <w:r w:rsidRPr="0031675F">
        <w:rPr>
          <w:rFonts w:cs="Calibri"/>
          <w:spacing w:val="-1"/>
        </w:rPr>
        <w:t>Logger</w:t>
      </w:r>
      <w:r w:rsidRPr="0031675F">
        <w:rPr>
          <w:rFonts w:cs="Calibri"/>
          <w:spacing w:val="32"/>
        </w:rPr>
        <w:t xml:space="preserve"> </w:t>
      </w:r>
      <w:r w:rsidRPr="0031675F">
        <w:rPr>
          <w:rFonts w:cs="Calibri"/>
          <w:spacing w:val="-1"/>
        </w:rPr>
        <w:t>Actions</w:t>
      </w:r>
      <w:r w:rsidRPr="0031675F">
        <w:rPr>
          <w:spacing w:val="-1"/>
        </w:rPr>
        <w:t>-&gt;Deployment</w:t>
      </w:r>
      <w:r w:rsidRPr="0031675F">
        <w:rPr>
          <w:spacing w:val="30"/>
        </w:rPr>
        <w:t xml:space="preserve"> </w:t>
      </w:r>
      <w:r w:rsidRPr="0031675F">
        <w:t>Data</w:t>
      </w:r>
      <w:r w:rsidRPr="0031675F">
        <w:rPr>
          <w:spacing w:val="32"/>
        </w:rPr>
        <w:t xml:space="preserve"> </w:t>
      </w:r>
      <w:r w:rsidRPr="0031675F">
        <w:rPr>
          <w:spacing w:val="-1"/>
        </w:rPr>
        <w:t>File</w:t>
      </w:r>
      <w:r w:rsidRPr="0031675F">
        <w:rPr>
          <w:spacing w:val="93"/>
        </w:rPr>
        <w:t xml:space="preserve"> </w:t>
      </w:r>
      <w:r w:rsidRPr="0031675F">
        <w:rPr>
          <w:spacing w:val="-1"/>
        </w:rPr>
        <w:t>I/O-&gt;Data</w:t>
      </w:r>
      <w:r w:rsidRPr="0031675F">
        <w:t xml:space="preserve"> </w:t>
      </w:r>
      <w:r w:rsidRPr="0031675F">
        <w:rPr>
          <w:spacing w:val="-2"/>
        </w:rPr>
        <w:t>File</w:t>
      </w:r>
      <w:r w:rsidRPr="0031675F">
        <w:t xml:space="preserve"> </w:t>
      </w:r>
      <w:r w:rsidRPr="0031675F">
        <w:rPr>
          <w:spacing w:val="-1"/>
        </w:rPr>
        <w:t>I/O-</w:t>
      </w:r>
      <w:r w:rsidRPr="0031675F">
        <w:rPr>
          <w:rFonts w:cs="Calibri"/>
          <w:spacing w:val="-1"/>
        </w:rPr>
        <w:t>&gt;Associate</w:t>
      </w:r>
      <w:r w:rsidRPr="0031675F">
        <w:rPr>
          <w:rFonts w:cs="Calibri"/>
        </w:rPr>
        <w:t xml:space="preserve"> </w:t>
      </w:r>
      <w:r w:rsidRPr="0031675F">
        <w:rPr>
          <w:rFonts w:cs="Calibri"/>
          <w:spacing w:val="-1"/>
        </w:rPr>
        <w:t>Calibration’</w:t>
      </w:r>
      <w:r w:rsidRPr="0031675F">
        <w:rPr>
          <w:rFonts w:cs="Calibri"/>
        </w:rPr>
        <w:t xml:space="preserve"> </w:t>
      </w:r>
      <w:r w:rsidRPr="0031675F">
        <w:rPr>
          <w:rFonts w:cs="Calibri"/>
          <w:spacing w:val="-1"/>
        </w:rPr>
        <w:t>application form</w:t>
      </w:r>
      <w:r w:rsidRPr="0031675F">
        <w:rPr>
          <w:rFonts w:cs="Calibri"/>
          <w:spacing w:val="-2"/>
        </w:rPr>
        <w:t xml:space="preserve"> </w:t>
      </w:r>
      <w:r w:rsidRPr="0031675F">
        <w:rPr>
          <w:rFonts w:cs="Calibri"/>
          <w:spacing w:val="-1"/>
        </w:rPr>
        <w:t>path.</w:t>
      </w:r>
    </w:p>
    <w:p w14:paraId="7F7BC364" w14:textId="77777777" w:rsidR="0031675F" w:rsidRPr="0031675F" w:rsidRDefault="0031675F" w:rsidP="0031675F">
      <w:pPr>
        <w:widowControl w:val="0"/>
        <w:numPr>
          <w:ilvl w:val="3"/>
          <w:numId w:val="60"/>
        </w:numPr>
        <w:tabs>
          <w:tab w:val="left" w:pos="821"/>
        </w:tabs>
        <w:spacing w:before="2" w:after="0" w:line="251" w:lineRule="auto"/>
        <w:ind w:right="115"/>
        <w:jc w:val="both"/>
        <w:rPr>
          <w:rFonts w:cs="Calibri"/>
        </w:rPr>
      </w:pPr>
      <w:r w:rsidRPr="0031675F">
        <w:rPr>
          <w:spacing w:val="-1"/>
        </w:rPr>
        <w:t>Calculate</w:t>
      </w:r>
      <w:r w:rsidRPr="0031675F">
        <w:rPr>
          <w:spacing w:val="9"/>
        </w:rPr>
        <w:t xml:space="preserve"> </w:t>
      </w:r>
      <w:r w:rsidRPr="0031675F">
        <w:t>the</w:t>
      </w:r>
      <w:r w:rsidRPr="0031675F">
        <w:rPr>
          <w:spacing w:val="10"/>
        </w:rPr>
        <w:t xml:space="preserve"> </w:t>
      </w:r>
      <w:r w:rsidRPr="0031675F">
        <w:rPr>
          <w:spacing w:val="-1"/>
        </w:rPr>
        <w:t>engineering</w:t>
      </w:r>
      <w:r w:rsidRPr="0031675F">
        <w:rPr>
          <w:spacing w:val="6"/>
        </w:rPr>
        <w:t xml:space="preserve"> </w:t>
      </w:r>
      <w:r w:rsidRPr="0031675F">
        <w:rPr>
          <w:spacing w:val="-1"/>
        </w:rPr>
        <w:t>units</w:t>
      </w:r>
      <w:r w:rsidRPr="0031675F">
        <w:rPr>
          <w:spacing w:val="9"/>
        </w:rPr>
        <w:t xml:space="preserve"> </w:t>
      </w:r>
      <w:r w:rsidRPr="0031675F">
        <w:rPr>
          <w:spacing w:val="-1"/>
        </w:rPr>
        <w:t>u</w:t>
      </w:r>
      <w:r w:rsidRPr="0031675F">
        <w:rPr>
          <w:rFonts w:cs="Calibri"/>
          <w:spacing w:val="-1"/>
        </w:rPr>
        <w:t>sing</w:t>
      </w:r>
      <w:r w:rsidRPr="0031675F">
        <w:rPr>
          <w:rFonts w:cs="Calibri"/>
          <w:spacing w:val="9"/>
        </w:rPr>
        <w:t xml:space="preserve"> </w:t>
      </w:r>
      <w:r w:rsidRPr="0031675F">
        <w:rPr>
          <w:rFonts w:cs="Calibri"/>
        </w:rPr>
        <w:t>the</w:t>
      </w:r>
      <w:r w:rsidRPr="0031675F">
        <w:rPr>
          <w:rFonts w:cs="Calibri"/>
          <w:spacing w:val="10"/>
        </w:rPr>
        <w:t xml:space="preserve"> </w:t>
      </w:r>
      <w:r w:rsidRPr="0031675F">
        <w:rPr>
          <w:rFonts w:cs="Calibri"/>
          <w:spacing w:val="-1"/>
        </w:rPr>
        <w:t>‘Environmental</w:t>
      </w:r>
      <w:r w:rsidRPr="0031675F">
        <w:rPr>
          <w:rFonts w:cs="Calibri"/>
          <w:spacing w:val="9"/>
        </w:rPr>
        <w:t xml:space="preserve"> </w:t>
      </w:r>
      <w:r w:rsidRPr="0031675F">
        <w:rPr>
          <w:rFonts w:cs="Calibri"/>
          <w:spacing w:val="-1"/>
        </w:rPr>
        <w:t>Logger</w:t>
      </w:r>
      <w:r w:rsidRPr="0031675F">
        <w:rPr>
          <w:rFonts w:cs="Calibri"/>
          <w:spacing w:val="10"/>
        </w:rPr>
        <w:t xml:space="preserve"> </w:t>
      </w:r>
      <w:r w:rsidRPr="0031675F">
        <w:rPr>
          <w:rFonts w:cs="Calibri"/>
          <w:spacing w:val="-1"/>
        </w:rPr>
        <w:t>Actions</w:t>
      </w:r>
      <w:r w:rsidRPr="0031675F">
        <w:rPr>
          <w:spacing w:val="-1"/>
        </w:rPr>
        <w:t>-&gt;Deployment</w:t>
      </w:r>
      <w:r w:rsidRPr="0031675F">
        <w:rPr>
          <w:spacing w:val="9"/>
        </w:rPr>
        <w:t xml:space="preserve"> </w:t>
      </w:r>
      <w:r w:rsidRPr="0031675F">
        <w:t>Data</w:t>
      </w:r>
      <w:r w:rsidRPr="0031675F">
        <w:rPr>
          <w:spacing w:val="10"/>
        </w:rPr>
        <w:t xml:space="preserve"> </w:t>
      </w:r>
      <w:r w:rsidRPr="0031675F">
        <w:rPr>
          <w:spacing w:val="-2"/>
        </w:rPr>
        <w:t>File</w:t>
      </w:r>
      <w:r w:rsidRPr="0031675F">
        <w:rPr>
          <w:spacing w:val="89"/>
        </w:rPr>
        <w:t xml:space="preserve"> </w:t>
      </w:r>
      <w:r w:rsidRPr="0031675F">
        <w:rPr>
          <w:spacing w:val="-1"/>
        </w:rPr>
        <w:t>I/O-&gt;Data</w:t>
      </w:r>
      <w:r w:rsidRPr="0031675F">
        <w:t xml:space="preserve"> </w:t>
      </w:r>
      <w:r w:rsidRPr="0031675F">
        <w:rPr>
          <w:spacing w:val="-2"/>
        </w:rPr>
        <w:t>File</w:t>
      </w:r>
      <w:r w:rsidRPr="0031675F">
        <w:t xml:space="preserve"> </w:t>
      </w:r>
      <w:r w:rsidRPr="0031675F">
        <w:rPr>
          <w:spacing w:val="-1"/>
        </w:rPr>
        <w:t>I/O-</w:t>
      </w:r>
      <w:r w:rsidRPr="0031675F">
        <w:rPr>
          <w:rFonts w:cs="Calibri"/>
          <w:spacing w:val="-1"/>
        </w:rPr>
        <w:t>&gt;Calc</w:t>
      </w:r>
      <w:r w:rsidRPr="0031675F">
        <w:rPr>
          <w:rFonts w:cs="Calibri"/>
          <w:spacing w:val="-3"/>
        </w:rPr>
        <w:t xml:space="preserve"> </w:t>
      </w:r>
      <w:r w:rsidRPr="0031675F">
        <w:rPr>
          <w:rFonts w:cs="Calibri"/>
          <w:spacing w:val="-1"/>
        </w:rPr>
        <w:t>Engineering Units’</w:t>
      </w:r>
      <w:r w:rsidRPr="0031675F">
        <w:rPr>
          <w:rFonts w:cs="Calibri"/>
          <w:spacing w:val="1"/>
        </w:rPr>
        <w:t xml:space="preserve"> </w:t>
      </w:r>
      <w:r w:rsidRPr="0031675F">
        <w:rPr>
          <w:rFonts w:cs="Calibri"/>
          <w:spacing w:val="-1"/>
        </w:rPr>
        <w:t>application</w:t>
      </w:r>
      <w:r w:rsidRPr="0031675F">
        <w:rPr>
          <w:rFonts w:cs="Calibri"/>
          <w:spacing w:val="-3"/>
        </w:rPr>
        <w:t xml:space="preserve"> </w:t>
      </w:r>
      <w:r w:rsidRPr="0031675F">
        <w:rPr>
          <w:rFonts w:cs="Calibri"/>
          <w:spacing w:val="-1"/>
        </w:rPr>
        <w:t>form</w:t>
      </w:r>
      <w:r w:rsidRPr="0031675F">
        <w:rPr>
          <w:rFonts w:cs="Calibri"/>
          <w:spacing w:val="1"/>
        </w:rPr>
        <w:t xml:space="preserve"> </w:t>
      </w:r>
      <w:r w:rsidRPr="0031675F">
        <w:rPr>
          <w:rFonts w:cs="Calibri"/>
          <w:spacing w:val="-1"/>
        </w:rPr>
        <w:t>path.</w:t>
      </w:r>
    </w:p>
    <w:p w14:paraId="4A03D6C1" w14:textId="77777777" w:rsidR="0031675F" w:rsidRPr="0031675F" w:rsidRDefault="0031675F" w:rsidP="0031675F">
      <w:pPr>
        <w:widowControl w:val="0"/>
        <w:numPr>
          <w:ilvl w:val="3"/>
          <w:numId w:val="60"/>
        </w:numPr>
        <w:tabs>
          <w:tab w:val="left" w:pos="821"/>
        </w:tabs>
        <w:spacing w:before="0" w:after="0" w:line="251" w:lineRule="auto"/>
        <w:ind w:right="115"/>
        <w:jc w:val="both"/>
      </w:pPr>
      <w:r w:rsidRPr="0031675F">
        <w:rPr>
          <w:rFonts w:cs="Calibri"/>
          <w:spacing w:val="-1"/>
        </w:rPr>
        <w:t>Check</w:t>
      </w:r>
      <w:r w:rsidRPr="0031675F">
        <w:rPr>
          <w:rFonts w:cs="Calibri"/>
          <w:spacing w:val="38"/>
        </w:rPr>
        <w:t xml:space="preserve"> </w:t>
      </w:r>
      <w:r w:rsidRPr="0031675F">
        <w:rPr>
          <w:rFonts w:cs="Calibri"/>
        </w:rPr>
        <w:t>the</w:t>
      </w:r>
      <w:r w:rsidRPr="0031675F">
        <w:rPr>
          <w:rFonts w:cs="Calibri"/>
          <w:spacing w:val="39"/>
        </w:rPr>
        <w:t xml:space="preserve"> </w:t>
      </w:r>
      <w:r w:rsidRPr="0031675F">
        <w:rPr>
          <w:rFonts w:cs="Calibri"/>
          <w:spacing w:val="-1"/>
        </w:rPr>
        <w:t>engineering</w:t>
      </w:r>
      <w:r w:rsidRPr="0031675F">
        <w:rPr>
          <w:rFonts w:cs="Calibri"/>
          <w:spacing w:val="38"/>
        </w:rPr>
        <w:t xml:space="preserve"> </w:t>
      </w:r>
      <w:r w:rsidRPr="0031675F">
        <w:rPr>
          <w:rFonts w:cs="Calibri"/>
          <w:spacing w:val="-1"/>
        </w:rPr>
        <w:t>units</w:t>
      </w:r>
      <w:r w:rsidRPr="0031675F">
        <w:rPr>
          <w:rFonts w:cs="Calibri"/>
          <w:spacing w:val="38"/>
        </w:rPr>
        <w:t xml:space="preserve"> </w:t>
      </w:r>
      <w:r w:rsidRPr="0031675F">
        <w:rPr>
          <w:rFonts w:cs="Calibri"/>
          <w:spacing w:val="-1"/>
        </w:rPr>
        <w:t>using</w:t>
      </w:r>
      <w:r w:rsidRPr="0031675F">
        <w:rPr>
          <w:rFonts w:cs="Calibri"/>
          <w:spacing w:val="38"/>
        </w:rPr>
        <w:t xml:space="preserve"> </w:t>
      </w:r>
      <w:r w:rsidRPr="0031675F">
        <w:rPr>
          <w:rFonts w:cs="Calibri"/>
        </w:rPr>
        <w:t>the</w:t>
      </w:r>
      <w:r w:rsidRPr="0031675F">
        <w:rPr>
          <w:rFonts w:cs="Calibri"/>
          <w:spacing w:val="39"/>
        </w:rPr>
        <w:t xml:space="preserve"> </w:t>
      </w:r>
      <w:r w:rsidRPr="0031675F">
        <w:rPr>
          <w:rFonts w:cs="Calibri"/>
          <w:spacing w:val="-1"/>
        </w:rPr>
        <w:t>‘Environmental</w:t>
      </w:r>
      <w:r w:rsidRPr="0031675F">
        <w:rPr>
          <w:rFonts w:cs="Calibri"/>
          <w:spacing w:val="38"/>
        </w:rPr>
        <w:t xml:space="preserve"> </w:t>
      </w:r>
      <w:r w:rsidRPr="0031675F">
        <w:rPr>
          <w:rFonts w:cs="Calibri"/>
          <w:spacing w:val="-1"/>
        </w:rPr>
        <w:t>Logger</w:t>
      </w:r>
      <w:r w:rsidRPr="0031675F">
        <w:rPr>
          <w:rFonts w:cs="Calibri"/>
          <w:spacing w:val="38"/>
        </w:rPr>
        <w:t xml:space="preserve"> </w:t>
      </w:r>
      <w:r w:rsidRPr="0031675F">
        <w:rPr>
          <w:rFonts w:cs="Calibri"/>
          <w:spacing w:val="-1"/>
        </w:rPr>
        <w:t>Actions</w:t>
      </w:r>
      <w:r w:rsidRPr="0031675F">
        <w:rPr>
          <w:spacing w:val="-1"/>
        </w:rPr>
        <w:t>-&gt;Deployment</w:t>
      </w:r>
      <w:r w:rsidRPr="0031675F">
        <w:rPr>
          <w:spacing w:val="36"/>
        </w:rPr>
        <w:t xml:space="preserve"> </w:t>
      </w:r>
      <w:r w:rsidRPr="0031675F">
        <w:t>Data</w:t>
      </w:r>
      <w:r w:rsidRPr="0031675F">
        <w:rPr>
          <w:spacing w:val="39"/>
        </w:rPr>
        <w:t xml:space="preserve"> </w:t>
      </w:r>
      <w:r w:rsidRPr="0031675F">
        <w:rPr>
          <w:spacing w:val="-2"/>
        </w:rPr>
        <w:t>File</w:t>
      </w:r>
      <w:r w:rsidRPr="0031675F">
        <w:rPr>
          <w:spacing w:val="81"/>
        </w:rPr>
        <w:t xml:space="preserve"> </w:t>
      </w:r>
      <w:r w:rsidRPr="0031675F">
        <w:rPr>
          <w:spacing w:val="-1"/>
        </w:rPr>
        <w:t>I/O-&gt;Data</w:t>
      </w:r>
      <w:r w:rsidRPr="0031675F">
        <w:rPr>
          <w:spacing w:val="22"/>
        </w:rPr>
        <w:t xml:space="preserve"> </w:t>
      </w:r>
      <w:r w:rsidRPr="0031675F">
        <w:rPr>
          <w:spacing w:val="-1"/>
        </w:rPr>
        <w:t>File</w:t>
      </w:r>
      <w:r w:rsidRPr="0031675F">
        <w:rPr>
          <w:spacing w:val="24"/>
        </w:rPr>
        <w:t xml:space="preserve"> </w:t>
      </w:r>
      <w:r w:rsidRPr="0031675F">
        <w:rPr>
          <w:spacing w:val="-1"/>
        </w:rPr>
        <w:t>I/O-&gt;Export</w:t>
      </w:r>
      <w:r w:rsidRPr="0031675F">
        <w:rPr>
          <w:spacing w:val="22"/>
        </w:rPr>
        <w:t xml:space="preserve"> </w:t>
      </w:r>
      <w:r w:rsidRPr="0031675F">
        <w:rPr>
          <w:spacing w:val="-1"/>
        </w:rPr>
        <w:t>Eng</w:t>
      </w:r>
      <w:r w:rsidRPr="0031675F">
        <w:rPr>
          <w:spacing w:val="23"/>
        </w:rPr>
        <w:t xml:space="preserve"> </w:t>
      </w:r>
      <w:r w:rsidRPr="0031675F">
        <w:rPr>
          <w:spacing w:val="-1"/>
        </w:rPr>
        <w:t>Units</w:t>
      </w:r>
      <w:r w:rsidRPr="0031675F">
        <w:rPr>
          <w:spacing w:val="22"/>
        </w:rPr>
        <w:t xml:space="preserve"> </w:t>
      </w:r>
      <w:r w:rsidRPr="0031675F">
        <w:rPr>
          <w:spacing w:val="-1"/>
        </w:rPr>
        <w:t>D</w:t>
      </w:r>
      <w:r w:rsidRPr="0031675F">
        <w:rPr>
          <w:rFonts w:cs="Calibri"/>
          <w:spacing w:val="-1"/>
        </w:rPr>
        <w:t>ata</w:t>
      </w:r>
      <w:r w:rsidRPr="0031675F">
        <w:rPr>
          <w:rFonts w:cs="Calibri"/>
          <w:spacing w:val="24"/>
        </w:rPr>
        <w:t xml:space="preserve"> </w:t>
      </w:r>
      <w:r w:rsidRPr="0031675F">
        <w:rPr>
          <w:rFonts w:cs="Calibri"/>
          <w:spacing w:val="-1"/>
        </w:rPr>
        <w:t>File’</w:t>
      </w:r>
      <w:r w:rsidRPr="0031675F">
        <w:rPr>
          <w:rFonts w:cs="Calibri"/>
          <w:spacing w:val="24"/>
        </w:rPr>
        <w:t xml:space="preserve"> </w:t>
      </w:r>
      <w:r w:rsidRPr="0031675F">
        <w:rPr>
          <w:rFonts w:cs="Calibri"/>
          <w:spacing w:val="-1"/>
        </w:rPr>
        <w:t>application</w:t>
      </w:r>
      <w:r w:rsidRPr="0031675F">
        <w:rPr>
          <w:rFonts w:cs="Calibri"/>
          <w:spacing w:val="21"/>
        </w:rPr>
        <w:t xml:space="preserve"> </w:t>
      </w:r>
      <w:r w:rsidRPr="0031675F">
        <w:rPr>
          <w:rFonts w:cs="Calibri"/>
          <w:spacing w:val="-1"/>
        </w:rPr>
        <w:t>form</w:t>
      </w:r>
      <w:r w:rsidRPr="0031675F">
        <w:rPr>
          <w:rFonts w:cs="Calibri"/>
          <w:spacing w:val="23"/>
        </w:rPr>
        <w:t xml:space="preserve"> </w:t>
      </w:r>
      <w:r w:rsidRPr="0031675F">
        <w:rPr>
          <w:rFonts w:cs="Calibri"/>
          <w:spacing w:val="-1"/>
        </w:rPr>
        <w:t>path.</w:t>
      </w:r>
      <w:r w:rsidRPr="0031675F">
        <w:rPr>
          <w:rFonts w:cs="Calibri"/>
          <w:spacing w:val="23"/>
        </w:rPr>
        <w:t xml:space="preserve"> </w:t>
      </w:r>
      <w:r w:rsidRPr="0031675F">
        <w:rPr>
          <w:rFonts w:cs="Calibri"/>
        </w:rPr>
        <w:t>If</w:t>
      </w:r>
      <w:r w:rsidRPr="0031675F">
        <w:rPr>
          <w:rFonts w:cs="Calibri"/>
          <w:spacing w:val="21"/>
        </w:rPr>
        <w:t xml:space="preserve"> </w:t>
      </w:r>
      <w:r w:rsidRPr="0031675F">
        <w:rPr>
          <w:rFonts w:cs="Calibri"/>
          <w:spacing w:val="-1"/>
        </w:rPr>
        <w:t>errors</w:t>
      </w:r>
      <w:r w:rsidRPr="0031675F">
        <w:rPr>
          <w:rFonts w:cs="Calibri"/>
          <w:spacing w:val="22"/>
        </w:rPr>
        <w:t xml:space="preserve"> </w:t>
      </w:r>
      <w:r w:rsidRPr="0031675F">
        <w:rPr>
          <w:rFonts w:cs="Calibri"/>
          <w:spacing w:val="-1"/>
        </w:rPr>
        <w:t>confirm</w:t>
      </w:r>
      <w:r w:rsidRPr="0031675F">
        <w:rPr>
          <w:rFonts w:cs="Calibri"/>
          <w:spacing w:val="22"/>
        </w:rPr>
        <w:t xml:space="preserve"> </w:t>
      </w:r>
      <w:r w:rsidRPr="0031675F">
        <w:rPr>
          <w:rFonts w:cs="Calibri"/>
          <w:spacing w:val="-1"/>
        </w:rPr>
        <w:t>and/or</w:t>
      </w:r>
      <w:r w:rsidRPr="0031675F">
        <w:rPr>
          <w:rFonts w:cs="Calibri"/>
          <w:spacing w:val="71"/>
        </w:rPr>
        <w:t xml:space="preserve"> </w:t>
      </w:r>
      <w:r w:rsidRPr="0031675F">
        <w:t>repeats</w:t>
      </w:r>
      <w:r w:rsidRPr="0031675F">
        <w:rPr>
          <w:spacing w:val="-3"/>
        </w:rPr>
        <w:t xml:space="preserve"> </w:t>
      </w:r>
      <w:r w:rsidRPr="0031675F">
        <w:rPr>
          <w:spacing w:val="-1"/>
        </w:rPr>
        <w:t>steps</w:t>
      </w:r>
      <w:r w:rsidRPr="0031675F">
        <w:rPr>
          <w:spacing w:val="-3"/>
        </w:rPr>
        <w:t xml:space="preserve"> </w:t>
      </w:r>
      <w:r w:rsidRPr="0031675F">
        <w:t xml:space="preserve">6 </w:t>
      </w:r>
      <w:r w:rsidRPr="0031675F">
        <w:rPr>
          <w:rFonts w:cs="Calibri"/>
        </w:rPr>
        <w:t>–</w:t>
      </w:r>
      <w:r w:rsidRPr="0031675F">
        <w:rPr>
          <w:rFonts w:cs="Calibri"/>
          <w:spacing w:val="1"/>
        </w:rPr>
        <w:t xml:space="preserve"> </w:t>
      </w:r>
      <w:r w:rsidRPr="0031675F">
        <w:t>9.</w:t>
      </w:r>
    </w:p>
    <w:p w14:paraId="105274AC" w14:textId="77777777" w:rsidR="0031675F" w:rsidRPr="0031675F" w:rsidRDefault="0031675F" w:rsidP="0031675F">
      <w:pPr>
        <w:widowControl w:val="0"/>
        <w:numPr>
          <w:ilvl w:val="3"/>
          <w:numId w:val="60"/>
        </w:numPr>
        <w:tabs>
          <w:tab w:val="left" w:pos="821"/>
        </w:tabs>
        <w:spacing w:before="0" w:after="0" w:line="266" w:lineRule="exact"/>
      </w:pPr>
      <w:r w:rsidRPr="0031675F">
        <w:rPr>
          <w:rFonts w:cs="Calibri"/>
        </w:rPr>
        <w:t xml:space="preserve">Export </w:t>
      </w:r>
      <w:r w:rsidRPr="0031675F">
        <w:rPr>
          <w:rFonts w:cs="Calibri"/>
          <w:spacing w:val="15"/>
        </w:rPr>
        <w:t xml:space="preserve"> </w:t>
      </w:r>
      <w:r w:rsidRPr="0031675F">
        <w:rPr>
          <w:rFonts w:cs="Calibri"/>
        </w:rPr>
        <w:t xml:space="preserve">a </w:t>
      </w:r>
      <w:r w:rsidRPr="0031675F">
        <w:rPr>
          <w:rFonts w:cs="Calibri"/>
          <w:spacing w:val="15"/>
        </w:rPr>
        <w:t xml:space="preserve"> </w:t>
      </w:r>
      <w:r w:rsidRPr="0031675F">
        <w:rPr>
          <w:rFonts w:cs="Calibri"/>
          <w:spacing w:val="-1"/>
        </w:rPr>
        <w:t>Kisters</w:t>
      </w:r>
      <w:r w:rsidRPr="0031675F">
        <w:rPr>
          <w:rFonts w:cs="Calibri"/>
        </w:rPr>
        <w:t xml:space="preserve"> </w:t>
      </w:r>
      <w:r w:rsidRPr="0031675F">
        <w:rPr>
          <w:rFonts w:cs="Calibri"/>
          <w:spacing w:val="15"/>
        </w:rPr>
        <w:t xml:space="preserve"> </w:t>
      </w:r>
      <w:r w:rsidRPr="0031675F">
        <w:rPr>
          <w:rFonts w:cs="Calibri"/>
          <w:spacing w:val="-1"/>
        </w:rPr>
        <w:t>XML</w:t>
      </w:r>
      <w:r w:rsidRPr="0031675F">
        <w:rPr>
          <w:rFonts w:cs="Calibri"/>
        </w:rPr>
        <w:t xml:space="preserve"> </w:t>
      </w:r>
      <w:r w:rsidRPr="0031675F">
        <w:rPr>
          <w:rFonts w:cs="Calibri"/>
          <w:spacing w:val="16"/>
        </w:rPr>
        <w:t xml:space="preserve"> </w:t>
      </w:r>
      <w:r w:rsidRPr="0031675F">
        <w:rPr>
          <w:rFonts w:cs="Calibri"/>
          <w:spacing w:val="-1"/>
        </w:rPr>
        <w:t>file</w:t>
      </w:r>
      <w:r w:rsidRPr="0031675F">
        <w:rPr>
          <w:rFonts w:cs="Calibri"/>
        </w:rPr>
        <w:t xml:space="preserve"> </w:t>
      </w:r>
      <w:r w:rsidRPr="0031675F">
        <w:rPr>
          <w:rFonts w:cs="Calibri"/>
          <w:spacing w:val="13"/>
        </w:rPr>
        <w:t xml:space="preserve"> </w:t>
      </w:r>
      <w:r w:rsidRPr="0031675F">
        <w:rPr>
          <w:rFonts w:cs="Calibri"/>
        </w:rPr>
        <w:t xml:space="preserve">for </w:t>
      </w:r>
      <w:r w:rsidRPr="0031675F">
        <w:rPr>
          <w:rFonts w:cs="Calibri"/>
          <w:spacing w:val="15"/>
        </w:rPr>
        <w:t xml:space="preserve"> </w:t>
      </w:r>
      <w:r w:rsidRPr="0031675F">
        <w:rPr>
          <w:rFonts w:cs="Calibri"/>
          <w:spacing w:val="-1"/>
        </w:rPr>
        <w:t>Quality</w:t>
      </w:r>
      <w:r w:rsidRPr="0031675F">
        <w:rPr>
          <w:rFonts w:cs="Calibri"/>
        </w:rPr>
        <w:t xml:space="preserve"> </w:t>
      </w:r>
      <w:r w:rsidRPr="0031675F">
        <w:rPr>
          <w:rFonts w:cs="Calibri"/>
          <w:spacing w:val="16"/>
        </w:rPr>
        <w:t xml:space="preserve"> </w:t>
      </w:r>
      <w:r w:rsidRPr="0031675F">
        <w:rPr>
          <w:rFonts w:cs="Calibri"/>
          <w:spacing w:val="-1"/>
        </w:rPr>
        <w:t>Assurance</w:t>
      </w:r>
      <w:r w:rsidRPr="0031675F">
        <w:rPr>
          <w:rFonts w:cs="Calibri"/>
        </w:rPr>
        <w:t xml:space="preserve"> </w:t>
      </w:r>
      <w:r w:rsidRPr="0031675F">
        <w:rPr>
          <w:rFonts w:cs="Calibri"/>
          <w:spacing w:val="16"/>
        </w:rPr>
        <w:t xml:space="preserve"> </w:t>
      </w:r>
      <w:r w:rsidRPr="0031675F">
        <w:rPr>
          <w:rFonts w:cs="Calibri"/>
          <w:spacing w:val="-1"/>
        </w:rPr>
        <w:t>using</w:t>
      </w:r>
      <w:r w:rsidRPr="0031675F">
        <w:rPr>
          <w:rFonts w:cs="Calibri"/>
        </w:rPr>
        <w:t xml:space="preserve"> </w:t>
      </w:r>
      <w:r w:rsidRPr="0031675F">
        <w:rPr>
          <w:rFonts w:cs="Calibri"/>
          <w:spacing w:val="14"/>
        </w:rPr>
        <w:t xml:space="preserve"> </w:t>
      </w:r>
      <w:r w:rsidRPr="0031675F">
        <w:rPr>
          <w:rFonts w:cs="Calibri"/>
        </w:rPr>
        <w:t xml:space="preserve">the </w:t>
      </w:r>
      <w:r w:rsidRPr="0031675F">
        <w:rPr>
          <w:rFonts w:cs="Calibri"/>
          <w:spacing w:val="15"/>
        </w:rPr>
        <w:t xml:space="preserve"> </w:t>
      </w:r>
      <w:r w:rsidRPr="0031675F">
        <w:rPr>
          <w:rFonts w:cs="Calibri"/>
          <w:spacing w:val="-1"/>
        </w:rPr>
        <w:t>‘Environmental</w:t>
      </w:r>
      <w:r w:rsidRPr="0031675F">
        <w:rPr>
          <w:rFonts w:cs="Calibri"/>
        </w:rPr>
        <w:t xml:space="preserve"> </w:t>
      </w:r>
      <w:r w:rsidRPr="0031675F">
        <w:rPr>
          <w:rFonts w:cs="Calibri"/>
          <w:spacing w:val="12"/>
        </w:rPr>
        <w:t xml:space="preserve"> </w:t>
      </w:r>
      <w:r w:rsidRPr="0031675F">
        <w:rPr>
          <w:rFonts w:cs="Calibri"/>
          <w:spacing w:val="-1"/>
        </w:rPr>
        <w:t>Logger</w:t>
      </w:r>
      <w:r w:rsidRPr="0031675F">
        <w:rPr>
          <w:rFonts w:cs="Calibri"/>
        </w:rPr>
        <w:t xml:space="preserve"> </w:t>
      </w:r>
      <w:r w:rsidRPr="0031675F">
        <w:rPr>
          <w:rFonts w:cs="Calibri"/>
          <w:spacing w:val="15"/>
        </w:rPr>
        <w:t xml:space="preserve"> </w:t>
      </w:r>
      <w:r w:rsidRPr="0031675F">
        <w:rPr>
          <w:rFonts w:cs="Calibri"/>
        </w:rPr>
        <w:t>Actions</w:t>
      </w:r>
      <w:r w:rsidRPr="0031675F">
        <w:t>-</w:t>
      </w:r>
    </w:p>
    <w:p w14:paraId="465293B2" w14:textId="77777777" w:rsidR="0031675F" w:rsidRPr="0031675F" w:rsidRDefault="0031675F" w:rsidP="0031675F">
      <w:pPr>
        <w:spacing w:before="12" w:after="120"/>
        <w:ind w:left="820"/>
      </w:pPr>
      <w:r w:rsidRPr="0031675F">
        <w:rPr>
          <w:spacing w:val="-1"/>
        </w:rPr>
        <w:t>&gt;Deployment</w:t>
      </w:r>
      <w:r w:rsidRPr="0031675F">
        <w:t xml:space="preserve"> </w:t>
      </w:r>
      <w:r w:rsidRPr="0031675F">
        <w:rPr>
          <w:spacing w:val="-1"/>
        </w:rPr>
        <w:t>Data</w:t>
      </w:r>
      <w:r w:rsidRPr="0031675F">
        <w:t xml:space="preserve"> </w:t>
      </w:r>
      <w:r w:rsidRPr="0031675F">
        <w:rPr>
          <w:spacing w:val="-1"/>
        </w:rPr>
        <w:t>File</w:t>
      </w:r>
      <w:r w:rsidRPr="0031675F">
        <w:rPr>
          <w:spacing w:val="-2"/>
        </w:rPr>
        <w:t xml:space="preserve"> </w:t>
      </w:r>
      <w:r w:rsidRPr="0031675F">
        <w:t>I/O-&gt;Data</w:t>
      </w:r>
      <w:r w:rsidRPr="0031675F">
        <w:rPr>
          <w:spacing w:val="-2"/>
        </w:rPr>
        <w:t xml:space="preserve"> </w:t>
      </w:r>
      <w:r w:rsidRPr="0031675F">
        <w:rPr>
          <w:spacing w:val="-1"/>
        </w:rPr>
        <w:t>File</w:t>
      </w:r>
      <w:r w:rsidRPr="0031675F">
        <w:t xml:space="preserve"> </w:t>
      </w:r>
      <w:r w:rsidRPr="0031675F">
        <w:rPr>
          <w:spacing w:val="-1"/>
        </w:rPr>
        <w:t>I/O-</w:t>
      </w:r>
      <w:r w:rsidRPr="0031675F">
        <w:rPr>
          <w:rFonts w:cs="Calibri"/>
          <w:spacing w:val="-1"/>
        </w:rPr>
        <w:t>&gt;Export</w:t>
      </w:r>
      <w:r w:rsidRPr="0031675F">
        <w:rPr>
          <w:rFonts w:cs="Calibri"/>
        </w:rPr>
        <w:t xml:space="preserve"> </w:t>
      </w:r>
      <w:r w:rsidRPr="0031675F">
        <w:rPr>
          <w:rFonts w:cs="Calibri"/>
          <w:spacing w:val="-1"/>
        </w:rPr>
        <w:t>XML</w:t>
      </w:r>
      <w:r w:rsidRPr="0031675F">
        <w:rPr>
          <w:rFonts w:cs="Calibri"/>
          <w:spacing w:val="-2"/>
        </w:rPr>
        <w:t xml:space="preserve"> </w:t>
      </w:r>
      <w:r w:rsidRPr="0031675F">
        <w:rPr>
          <w:rFonts w:cs="Calibri"/>
        </w:rPr>
        <w:t>Data</w:t>
      </w:r>
      <w:r w:rsidRPr="0031675F">
        <w:rPr>
          <w:rFonts w:cs="Calibri"/>
          <w:spacing w:val="-3"/>
        </w:rPr>
        <w:t xml:space="preserve"> </w:t>
      </w:r>
      <w:r w:rsidRPr="0031675F">
        <w:rPr>
          <w:rFonts w:cs="Calibri"/>
          <w:spacing w:val="-1"/>
        </w:rPr>
        <w:t>File</w:t>
      </w:r>
      <w:r w:rsidRPr="0031675F">
        <w:rPr>
          <w:rFonts w:cs="Calibri"/>
        </w:rPr>
        <w:t xml:space="preserve"> </w:t>
      </w:r>
      <w:r w:rsidRPr="0031675F">
        <w:rPr>
          <w:rFonts w:cs="Calibri"/>
          <w:spacing w:val="-1"/>
        </w:rPr>
        <w:t>For</w:t>
      </w:r>
      <w:r w:rsidRPr="0031675F">
        <w:rPr>
          <w:rFonts w:cs="Calibri"/>
        </w:rPr>
        <w:t xml:space="preserve"> QA’</w:t>
      </w:r>
      <w:r w:rsidRPr="0031675F">
        <w:rPr>
          <w:rFonts w:cs="Calibri"/>
          <w:spacing w:val="-3"/>
        </w:rPr>
        <w:t xml:space="preserve"> </w:t>
      </w:r>
      <w:r w:rsidRPr="0031675F">
        <w:rPr>
          <w:rFonts w:cs="Calibri"/>
          <w:spacing w:val="-1"/>
        </w:rPr>
        <w:t>application form</w:t>
      </w:r>
      <w:r w:rsidRPr="0031675F">
        <w:rPr>
          <w:rFonts w:cs="Calibri"/>
          <w:spacing w:val="-2"/>
        </w:rPr>
        <w:t xml:space="preserve"> </w:t>
      </w:r>
      <w:r w:rsidRPr="0031675F">
        <w:rPr>
          <w:rFonts w:cs="Calibri"/>
        </w:rPr>
        <w:t>p</w:t>
      </w:r>
      <w:r w:rsidRPr="0031675F">
        <w:t>ath.</w:t>
      </w:r>
    </w:p>
    <w:p w14:paraId="68F8E9C1" w14:textId="77777777" w:rsidR="0031675F" w:rsidRPr="0031675F" w:rsidRDefault="0031675F" w:rsidP="0031675F">
      <w:pPr>
        <w:widowControl w:val="0"/>
        <w:numPr>
          <w:ilvl w:val="3"/>
          <w:numId w:val="60"/>
        </w:numPr>
        <w:tabs>
          <w:tab w:val="left" w:pos="821"/>
        </w:tabs>
        <w:spacing w:before="12" w:after="0" w:line="248" w:lineRule="auto"/>
        <w:ind w:right="123"/>
        <w:jc w:val="both"/>
      </w:pPr>
      <w:r w:rsidRPr="0031675F">
        <w:rPr>
          <w:spacing w:val="-1"/>
        </w:rPr>
        <w:t>Perform</w:t>
      </w:r>
      <w:r w:rsidRPr="0031675F">
        <w:rPr>
          <w:spacing w:val="11"/>
        </w:rPr>
        <w:t xml:space="preserve"> </w:t>
      </w:r>
      <w:r w:rsidRPr="0031675F">
        <w:rPr>
          <w:spacing w:val="-1"/>
        </w:rPr>
        <w:t>quality</w:t>
      </w:r>
      <w:r w:rsidRPr="0031675F">
        <w:rPr>
          <w:spacing w:val="11"/>
        </w:rPr>
        <w:t xml:space="preserve"> </w:t>
      </w:r>
      <w:r w:rsidRPr="0031675F">
        <w:rPr>
          <w:spacing w:val="-1"/>
        </w:rPr>
        <w:t>assurance</w:t>
      </w:r>
      <w:r w:rsidRPr="0031675F">
        <w:rPr>
          <w:spacing w:val="8"/>
        </w:rPr>
        <w:t xml:space="preserve"> </w:t>
      </w:r>
      <w:r w:rsidRPr="0031675F">
        <w:t>on</w:t>
      </w:r>
      <w:r w:rsidRPr="0031675F">
        <w:rPr>
          <w:spacing w:val="9"/>
        </w:rPr>
        <w:t xml:space="preserve"> </w:t>
      </w:r>
      <w:r w:rsidRPr="0031675F">
        <w:t>the</w:t>
      </w:r>
      <w:r w:rsidRPr="0031675F">
        <w:rPr>
          <w:spacing w:val="10"/>
        </w:rPr>
        <w:t xml:space="preserve"> </w:t>
      </w:r>
      <w:r w:rsidRPr="0031675F">
        <w:rPr>
          <w:spacing w:val="-1"/>
        </w:rPr>
        <w:t>time</w:t>
      </w:r>
      <w:r w:rsidRPr="0031675F">
        <w:rPr>
          <w:spacing w:val="8"/>
        </w:rPr>
        <w:t xml:space="preserve"> </w:t>
      </w:r>
      <w:r w:rsidRPr="0031675F">
        <w:rPr>
          <w:spacing w:val="-1"/>
        </w:rPr>
        <w:t>series</w:t>
      </w:r>
      <w:r w:rsidRPr="0031675F">
        <w:rPr>
          <w:spacing w:val="10"/>
        </w:rPr>
        <w:t xml:space="preserve"> </w:t>
      </w:r>
      <w:r w:rsidRPr="0031675F">
        <w:rPr>
          <w:spacing w:val="-1"/>
        </w:rPr>
        <w:t>data</w:t>
      </w:r>
      <w:r w:rsidRPr="0031675F">
        <w:rPr>
          <w:spacing w:val="10"/>
        </w:rPr>
        <w:t xml:space="preserve"> </w:t>
      </w:r>
      <w:r w:rsidRPr="0031675F">
        <w:rPr>
          <w:spacing w:val="-2"/>
        </w:rPr>
        <w:t>using</w:t>
      </w:r>
      <w:r w:rsidRPr="0031675F">
        <w:rPr>
          <w:spacing w:val="9"/>
        </w:rPr>
        <w:t xml:space="preserve"> </w:t>
      </w:r>
      <w:r w:rsidRPr="0031675F">
        <w:t>the</w:t>
      </w:r>
      <w:r w:rsidRPr="0031675F">
        <w:rPr>
          <w:spacing w:val="10"/>
        </w:rPr>
        <w:t xml:space="preserve"> </w:t>
      </w:r>
      <w:r w:rsidRPr="0031675F">
        <w:rPr>
          <w:spacing w:val="-1"/>
        </w:rPr>
        <w:t>Kisters</w:t>
      </w:r>
      <w:r w:rsidRPr="0031675F">
        <w:rPr>
          <w:spacing w:val="10"/>
        </w:rPr>
        <w:t xml:space="preserve"> </w:t>
      </w:r>
      <w:r w:rsidRPr="0031675F">
        <w:t>Wiski</w:t>
      </w:r>
      <w:r w:rsidRPr="0031675F">
        <w:rPr>
          <w:spacing w:val="7"/>
        </w:rPr>
        <w:t xml:space="preserve"> </w:t>
      </w:r>
      <w:r w:rsidRPr="0031675F">
        <w:rPr>
          <w:spacing w:val="-1"/>
        </w:rPr>
        <w:t>TV</w:t>
      </w:r>
      <w:r w:rsidRPr="0031675F">
        <w:rPr>
          <w:spacing w:val="10"/>
        </w:rPr>
        <w:t xml:space="preserve"> </w:t>
      </w:r>
      <w:r w:rsidRPr="0031675F">
        <w:rPr>
          <w:spacing w:val="-1"/>
        </w:rPr>
        <w:t>software.</w:t>
      </w:r>
      <w:r w:rsidRPr="0031675F">
        <w:rPr>
          <w:spacing w:val="9"/>
        </w:rPr>
        <w:t xml:space="preserve"> </w:t>
      </w:r>
      <w:r w:rsidRPr="0031675F">
        <w:rPr>
          <w:spacing w:val="-2"/>
        </w:rPr>
        <w:t>Save</w:t>
      </w:r>
      <w:r w:rsidRPr="0031675F">
        <w:rPr>
          <w:spacing w:val="10"/>
        </w:rPr>
        <w:t xml:space="preserve"> </w:t>
      </w:r>
      <w:r w:rsidRPr="0031675F">
        <w:rPr>
          <w:spacing w:val="-1"/>
        </w:rPr>
        <w:t>the</w:t>
      </w:r>
      <w:r w:rsidRPr="0031675F">
        <w:rPr>
          <w:spacing w:val="57"/>
        </w:rPr>
        <w:t xml:space="preserve"> </w:t>
      </w:r>
      <w:r w:rsidRPr="0031675F">
        <w:rPr>
          <w:spacing w:val="-1"/>
        </w:rPr>
        <w:t>resulting data</w:t>
      </w:r>
      <w:r w:rsidRPr="0031675F">
        <w:t xml:space="preserve"> as</w:t>
      </w:r>
      <w:r w:rsidRPr="0031675F">
        <w:rPr>
          <w:spacing w:val="-3"/>
        </w:rPr>
        <w:t xml:space="preserve"> </w:t>
      </w:r>
      <w:r w:rsidRPr="0031675F">
        <w:t xml:space="preserve">a </w:t>
      </w:r>
      <w:r w:rsidRPr="0031675F">
        <w:rPr>
          <w:spacing w:val="-1"/>
        </w:rPr>
        <w:t>Kisters</w:t>
      </w:r>
      <w:r w:rsidRPr="0031675F">
        <w:rPr>
          <w:spacing w:val="-3"/>
        </w:rPr>
        <w:t xml:space="preserve"> </w:t>
      </w:r>
      <w:r w:rsidRPr="0031675F">
        <w:rPr>
          <w:spacing w:val="-1"/>
        </w:rPr>
        <w:t>XML</w:t>
      </w:r>
      <w:r w:rsidRPr="0031675F">
        <w:t xml:space="preserve"> </w:t>
      </w:r>
      <w:r w:rsidRPr="0031675F">
        <w:rPr>
          <w:spacing w:val="-2"/>
        </w:rPr>
        <w:t>file</w:t>
      </w:r>
      <w:r w:rsidRPr="0031675F">
        <w:t xml:space="preserve"> </w:t>
      </w:r>
      <w:r w:rsidRPr="0031675F">
        <w:rPr>
          <w:spacing w:val="-1"/>
        </w:rPr>
        <w:t>with</w:t>
      </w:r>
      <w:r w:rsidRPr="0031675F">
        <w:t xml:space="preserve"> </w:t>
      </w:r>
      <w:r w:rsidRPr="0031675F">
        <w:rPr>
          <w:spacing w:val="-2"/>
        </w:rPr>
        <w:t>different</w:t>
      </w:r>
      <w:r w:rsidRPr="0031675F">
        <w:t xml:space="preserve"> </w:t>
      </w:r>
      <w:r w:rsidRPr="0031675F">
        <w:rPr>
          <w:spacing w:val="-1"/>
        </w:rPr>
        <w:t>name</w:t>
      </w:r>
      <w:r w:rsidRPr="0031675F">
        <w:rPr>
          <w:spacing w:val="-2"/>
        </w:rPr>
        <w:t xml:space="preserve"> </w:t>
      </w:r>
      <w:r w:rsidRPr="0031675F">
        <w:t>to</w:t>
      </w:r>
      <w:r w:rsidRPr="0031675F">
        <w:rPr>
          <w:spacing w:val="-1"/>
        </w:rPr>
        <w:t xml:space="preserve"> file</w:t>
      </w:r>
      <w:r w:rsidRPr="0031675F">
        <w:t xml:space="preserve"> </w:t>
      </w:r>
      <w:r w:rsidRPr="0031675F">
        <w:rPr>
          <w:spacing w:val="-1"/>
        </w:rPr>
        <w:t>produced</w:t>
      </w:r>
      <w:r w:rsidRPr="0031675F">
        <w:t xml:space="preserve"> </w:t>
      </w:r>
      <w:r w:rsidRPr="0031675F">
        <w:rPr>
          <w:spacing w:val="-2"/>
        </w:rPr>
        <w:t>from</w:t>
      </w:r>
      <w:r w:rsidRPr="0031675F">
        <w:rPr>
          <w:spacing w:val="1"/>
        </w:rPr>
        <w:t xml:space="preserve"> </w:t>
      </w:r>
      <w:r w:rsidRPr="0031675F">
        <w:rPr>
          <w:spacing w:val="-1"/>
        </w:rPr>
        <w:t>step</w:t>
      </w:r>
      <w:r w:rsidRPr="0031675F">
        <w:rPr>
          <w:spacing w:val="-3"/>
        </w:rPr>
        <w:t xml:space="preserve"> </w:t>
      </w:r>
      <w:r w:rsidRPr="0031675F">
        <w:t>10.</w:t>
      </w:r>
    </w:p>
    <w:p w14:paraId="302C8601" w14:textId="77777777" w:rsidR="0031675F" w:rsidRPr="0031675F" w:rsidRDefault="0031675F" w:rsidP="0031675F">
      <w:pPr>
        <w:widowControl w:val="0"/>
        <w:numPr>
          <w:ilvl w:val="3"/>
          <w:numId w:val="60"/>
        </w:numPr>
        <w:tabs>
          <w:tab w:val="left" w:pos="821"/>
        </w:tabs>
        <w:spacing w:before="2" w:after="0" w:line="240" w:lineRule="auto"/>
      </w:pPr>
      <w:r w:rsidRPr="0031675F">
        <w:rPr>
          <w:rFonts w:cs="Calibri"/>
        </w:rPr>
        <w:t>Import</w:t>
      </w:r>
      <w:r w:rsidRPr="0031675F">
        <w:rPr>
          <w:rFonts w:cs="Calibri"/>
          <w:spacing w:val="38"/>
        </w:rPr>
        <w:t xml:space="preserve"> </w:t>
      </w:r>
      <w:r w:rsidRPr="0031675F">
        <w:rPr>
          <w:rFonts w:cs="Calibri"/>
        </w:rPr>
        <w:t>the</w:t>
      </w:r>
      <w:r w:rsidRPr="0031675F">
        <w:rPr>
          <w:rFonts w:cs="Calibri"/>
          <w:spacing w:val="39"/>
        </w:rPr>
        <w:t xml:space="preserve"> </w:t>
      </w:r>
      <w:r w:rsidRPr="0031675F">
        <w:rPr>
          <w:rFonts w:cs="Calibri"/>
        </w:rPr>
        <w:t>QA’s</w:t>
      </w:r>
      <w:r w:rsidRPr="0031675F">
        <w:rPr>
          <w:rFonts w:cs="Calibri"/>
          <w:spacing w:val="38"/>
        </w:rPr>
        <w:t xml:space="preserve"> </w:t>
      </w:r>
      <w:r w:rsidRPr="0031675F">
        <w:rPr>
          <w:rFonts w:cs="Calibri"/>
          <w:spacing w:val="-1"/>
        </w:rPr>
        <w:t>data</w:t>
      </w:r>
      <w:r w:rsidRPr="0031675F">
        <w:rPr>
          <w:rFonts w:cs="Calibri"/>
          <w:spacing w:val="38"/>
        </w:rPr>
        <w:t xml:space="preserve"> </w:t>
      </w:r>
      <w:r w:rsidRPr="0031675F">
        <w:rPr>
          <w:rFonts w:cs="Calibri"/>
          <w:spacing w:val="-1"/>
        </w:rPr>
        <w:t>(File</w:t>
      </w:r>
      <w:r w:rsidRPr="0031675F">
        <w:rPr>
          <w:rFonts w:cs="Calibri"/>
          <w:spacing w:val="41"/>
        </w:rPr>
        <w:t xml:space="preserve"> </w:t>
      </w:r>
      <w:r w:rsidRPr="0031675F">
        <w:rPr>
          <w:rFonts w:cs="Calibri"/>
          <w:spacing w:val="-1"/>
        </w:rPr>
        <w:t>resulting</w:t>
      </w:r>
      <w:r w:rsidRPr="0031675F">
        <w:rPr>
          <w:rFonts w:cs="Calibri"/>
          <w:spacing w:val="40"/>
        </w:rPr>
        <w:t xml:space="preserve"> </w:t>
      </w:r>
      <w:r w:rsidRPr="0031675F">
        <w:rPr>
          <w:rFonts w:cs="Calibri"/>
          <w:spacing w:val="-2"/>
        </w:rPr>
        <w:t>from</w:t>
      </w:r>
      <w:r w:rsidRPr="0031675F">
        <w:rPr>
          <w:rFonts w:cs="Calibri"/>
          <w:spacing w:val="42"/>
        </w:rPr>
        <w:t xml:space="preserve"> </w:t>
      </w:r>
      <w:r w:rsidRPr="0031675F">
        <w:rPr>
          <w:rFonts w:cs="Calibri"/>
          <w:spacing w:val="-1"/>
        </w:rPr>
        <w:t>step</w:t>
      </w:r>
      <w:r w:rsidRPr="0031675F">
        <w:rPr>
          <w:rFonts w:cs="Calibri"/>
          <w:spacing w:val="37"/>
        </w:rPr>
        <w:t xml:space="preserve"> </w:t>
      </w:r>
      <w:r w:rsidRPr="0031675F">
        <w:rPr>
          <w:rFonts w:cs="Calibri"/>
          <w:spacing w:val="-1"/>
        </w:rPr>
        <w:t>11)</w:t>
      </w:r>
      <w:r w:rsidRPr="0031675F">
        <w:rPr>
          <w:rFonts w:cs="Calibri"/>
          <w:spacing w:val="39"/>
        </w:rPr>
        <w:t xml:space="preserve"> </w:t>
      </w:r>
      <w:r w:rsidRPr="0031675F">
        <w:rPr>
          <w:rFonts w:cs="Calibri"/>
          <w:spacing w:val="-1"/>
        </w:rPr>
        <w:t>using</w:t>
      </w:r>
      <w:r w:rsidRPr="0031675F">
        <w:rPr>
          <w:rFonts w:cs="Calibri"/>
          <w:spacing w:val="40"/>
        </w:rPr>
        <w:t xml:space="preserve"> </w:t>
      </w:r>
      <w:r w:rsidRPr="0031675F">
        <w:rPr>
          <w:rFonts w:cs="Calibri"/>
        </w:rPr>
        <w:t>the</w:t>
      </w:r>
      <w:r w:rsidRPr="0031675F">
        <w:rPr>
          <w:rFonts w:cs="Calibri"/>
          <w:spacing w:val="40"/>
        </w:rPr>
        <w:t xml:space="preserve"> </w:t>
      </w:r>
      <w:r w:rsidRPr="0031675F">
        <w:rPr>
          <w:rFonts w:cs="Calibri"/>
          <w:spacing w:val="-1"/>
        </w:rPr>
        <w:t>‘Envir</w:t>
      </w:r>
      <w:r w:rsidRPr="0031675F">
        <w:rPr>
          <w:spacing w:val="-1"/>
        </w:rPr>
        <w:t>onmental</w:t>
      </w:r>
      <w:r w:rsidRPr="0031675F">
        <w:rPr>
          <w:spacing w:val="38"/>
        </w:rPr>
        <w:t xml:space="preserve"> </w:t>
      </w:r>
      <w:r w:rsidRPr="0031675F">
        <w:rPr>
          <w:spacing w:val="-1"/>
        </w:rPr>
        <w:t>Logger</w:t>
      </w:r>
      <w:r w:rsidRPr="0031675F">
        <w:rPr>
          <w:spacing w:val="39"/>
        </w:rPr>
        <w:t xml:space="preserve"> </w:t>
      </w:r>
      <w:r w:rsidRPr="0031675F">
        <w:rPr>
          <w:spacing w:val="-1"/>
        </w:rPr>
        <w:t>Actions-</w:t>
      </w:r>
    </w:p>
    <w:p w14:paraId="371D95A0" w14:textId="77777777" w:rsidR="0031675F" w:rsidRPr="0031675F" w:rsidRDefault="0031675F" w:rsidP="0031675F">
      <w:pPr>
        <w:spacing w:before="12" w:after="120"/>
        <w:ind w:left="820"/>
        <w:rPr>
          <w:rFonts w:cs="Calibri"/>
        </w:rPr>
      </w:pPr>
      <w:r w:rsidRPr="0031675F">
        <w:rPr>
          <w:spacing w:val="-1"/>
        </w:rPr>
        <w:t>&gt;Deployment</w:t>
      </w:r>
      <w:r w:rsidRPr="0031675F">
        <w:t xml:space="preserve"> </w:t>
      </w:r>
      <w:r w:rsidRPr="0031675F">
        <w:rPr>
          <w:spacing w:val="-1"/>
        </w:rPr>
        <w:t>Data</w:t>
      </w:r>
      <w:r w:rsidRPr="0031675F">
        <w:t xml:space="preserve"> </w:t>
      </w:r>
      <w:r w:rsidRPr="0031675F">
        <w:rPr>
          <w:spacing w:val="-1"/>
        </w:rPr>
        <w:t>File</w:t>
      </w:r>
      <w:r w:rsidRPr="0031675F">
        <w:rPr>
          <w:spacing w:val="-2"/>
        </w:rPr>
        <w:t xml:space="preserve"> </w:t>
      </w:r>
      <w:r w:rsidRPr="0031675F">
        <w:t>I/O-&gt;Data</w:t>
      </w:r>
      <w:r w:rsidRPr="0031675F">
        <w:rPr>
          <w:spacing w:val="-2"/>
        </w:rPr>
        <w:t xml:space="preserve"> </w:t>
      </w:r>
      <w:r w:rsidRPr="0031675F">
        <w:rPr>
          <w:spacing w:val="-1"/>
        </w:rPr>
        <w:t>File</w:t>
      </w:r>
      <w:r w:rsidRPr="0031675F">
        <w:t xml:space="preserve"> </w:t>
      </w:r>
      <w:r w:rsidRPr="0031675F">
        <w:rPr>
          <w:spacing w:val="-1"/>
        </w:rPr>
        <w:t>I/O-</w:t>
      </w:r>
      <w:r w:rsidRPr="0031675F">
        <w:rPr>
          <w:rFonts w:cs="Calibri"/>
          <w:spacing w:val="-1"/>
        </w:rPr>
        <w:t>&gt;Import</w:t>
      </w:r>
      <w:r w:rsidRPr="0031675F">
        <w:rPr>
          <w:rFonts w:cs="Calibri"/>
        </w:rPr>
        <w:t xml:space="preserve"> </w:t>
      </w:r>
      <w:r w:rsidRPr="0031675F">
        <w:rPr>
          <w:rFonts w:cs="Calibri"/>
          <w:spacing w:val="-2"/>
        </w:rPr>
        <w:t>XML</w:t>
      </w:r>
      <w:r w:rsidRPr="0031675F">
        <w:rPr>
          <w:rFonts w:cs="Calibri"/>
        </w:rPr>
        <w:t xml:space="preserve"> </w:t>
      </w:r>
      <w:r w:rsidRPr="0031675F">
        <w:rPr>
          <w:rFonts w:cs="Calibri"/>
          <w:spacing w:val="-1"/>
        </w:rPr>
        <w:t>Data</w:t>
      </w:r>
      <w:r w:rsidRPr="0031675F">
        <w:rPr>
          <w:rFonts w:cs="Calibri"/>
        </w:rPr>
        <w:t xml:space="preserve"> </w:t>
      </w:r>
      <w:r w:rsidRPr="0031675F">
        <w:rPr>
          <w:rFonts w:cs="Calibri"/>
          <w:spacing w:val="-1"/>
        </w:rPr>
        <w:t>File</w:t>
      </w:r>
      <w:r w:rsidRPr="0031675F">
        <w:rPr>
          <w:rFonts w:cs="Calibri"/>
          <w:spacing w:val="-3"/>
        </w:rPr>
        <w:t xml:space="preserve"> </w:t>
      </w:r>
      <w:r w:rsidRPr="0031675F">
        <w:rPr>
          <w:rFonts w:cs="Calibri"/>
        </w:rPr>
        <w:t>Post</w:t>
      </w:r>
      <w:r w:rsidRPr="0031675F">
        <w:rPr>
          <w:rFonts w:cs="Calibri"/>
          <w:spacing w:val="-2"/>
        </w:rPr>
        <w:t xml:space="preserve"> </w:t>
      </w:r>
      <w:r w:rsidRPr="0031675F">
        <w:rPr>
          <w:rFonts w:cs="Calibri"/>
        </w:rPr>
        <w:t xml:space="preserve">QA’ </w:t>
      </w:r>
      <w:r w:rsidRPr="0031675F">
        <w:rPr>
          <w:rFonts w:cs="Calibri"/>
          <w:spacing w:val="-1"/>
        </w:rPr>
        <w:t>application form</w:t>
      </w:r>
      <w:r w:rsidRPr="0031675F">
        <w:rPr>
          <w:rFonts w:cs="Calibri"/>
          <w:spacing w:val="1"/>
        </w:rPr>
        <w:t xml:space="preserve"> </w:t>
      </w:r>
      <w:r w:rsidRPr="0031675F">
        <w:rPr>
          <w:rFonts w:cs="Calibri"/>
          <w:spacing w:val="-1"/>
        </w:rPr>
        <w:t>path.</w:t>
      </w:r>
    </w:p>
    <w:p w14:paraId="0501FCFC" w14:textId="77777777" w:rsidR="0031675F" w:rsidRPr="0031675F" w:rsidRDefault="0031675F" w:rsidP="0031675F">
      <w:pPr>
        <w:widowControl w:val="0"/>
        <w:numPr>
          <w:ilvl w:val="3"/>
          <w:numId w:val="60"/>
        </w:numPr>
        <w:tabs>
          <w:tab w:val="left" w:pos="821"/>
        </w:tabs>
        <w:spacing w:before="10" w:after="0" w:line="251" w:lineRule="auto"/>
        <w:ind w:right="114"/>
        <w:jc w:val="both"/>
      </w:pPr>
      <w:r w:rsidRPr="0031675F">
        <w:rPr>
          <w:rFonts w:cs="Calibri"/>
          <w:spacing w:val="-1"/>
        </w:rPr>
        <w:t>Check</w:t>
      </w:r>
      <w:r w:rsidRPr="0031675F">
        <w:rPr>
          <w:rFonts w:cs="Calibri"/>
          <w:spacing w:val="24"/>
        </w:rPr>
        <w:t xml:space="preserve"> </w:t>
      </w:r>
      <w:r w:rsidRPr="0031675F">
        <w:rPr>
          <w:rFonts w:cs="Calibri"/>
        </w:rPr>
        <w:t>QA</w:t>
      </w:r>
      <w:r w:rsidRPr="0031675F">
        <w:rPr>
          <w:rFonts w:cs="Calibri"/>
          <w:spacing w:val="24"/>
        </w:rPr>
        <w:t xml:space="preserve"> </w:t>
      </w:r>
      <w:r w:rsidRPr="0031675F">
        <w:rPr>
          <w:rFonts w:cs="Calibri"/>
          <w:spacing w:val="-1"/>
        </w:rPr>
        <w:t>data</w:t>
      </w:r>
      <w:r w:rsidRPr="0031675F">
        <w:rPr>
          <w:rFonts w:cs="Calibri"/>
          <w:spacing w:val="24"/>
        </w:rPr>
        <w:t xml:space="preserve"> </w:t>
      </w:r>
      <w:r w:rsidRPr="0031675F">
        <w:rPr>
          <w:rFonts w:cs="Calibri"/>
          <w:spacing w:val="-1"/>
        </w:rPr>
        <w:t>using</w:t>
      </w:r>
      <w:r w:rsidRPr="0031675F">
        <w:rPr>
          <w:rFonts w:cs="Calibri"/>
          <w:spacing w:val="23"/>
        </w:rPr>
        <w:t xml:space="preserve"> </w:t>
      </w:r>
      <w:r w:rsidRPr="0031675F">
        <w:rPr>
          <w:rFonts w:cs="Calibri"/>
        </w:rPr>
        <w:t>the</w:t>
      </w:r>
      <w:r w:rsidRPr="0031675F">
        <w:rPr>
          <w:rFonts w:cs="Calibri"/>
          <w:spacing w:val="24"/>
        </w:rPr>
        <w:t xml:space="preserve"> </w:t>
      </w:r>
      <w:r w:rsidRPr="0031675F">
        <w:rPr>
          <w:rFonts w:cs="Calibri"/>
          <w:spacing w:val="-1"/>
        </w:rPr>
        <w:t>‘Environmental</w:t>
      </w:r>
      <w:r w:rsidRPr="0031675F">
        <w:rPr>
          <w:rFonts w:cs="Calibri"/>
          <w:spacing w:val="23"/>
        </w:rPr>
        <w:t xml:space="preserve"> </w:t>
      </w:r>
      <w:r w:rsidRPr="0031675F">
        <w:rPr>
          <w:rFonts w:cs="Calibri"/>
          <w:spacing w:val="-1"/>
        </w:rPr>
        <w:t>Logger</w:t>
      </w:r>
      <w:r w:rsidRPr="0031675F">
        <w:rPr>
          <w:rFonts w:cs="Calibri"/>
          <w:spacing w:val="24"/>
        </w:rPr>
        <w:t xml:space="preserve"> </w:t>
      </w:r>
      <w:r w:rsidRPr="0031675F">
        <w:rPr>
          <w:rFonts w:cs="Calibri"/>
          <w:spacing w:val="-1"/>
        </w:rPr>
        <w:t>Actions</w:t>
      </w:r>
      <w:r w:rsidRPr="0031675F">
        <w:rPr>
          <w:spacing w:val="-1"/>
        </w:rPr>
        <w:t>-&gt;Deployment</w:t>
      </w:r>
      <w:r w:rsidRPr="0031675F">
        <w:rPr>
          <w:spacing w:val="24"/>
        </w:rPr>
        <w:t xml:space="preserve"> </w:t>
      </w:r>
      <w:r w:rsidRPr="0031675F">
        <w:rPr>
          <w:spacing w:val="-1"/>
        </w:rPr>
        <w:t>Data</w:t>
      </w:r>
      <w:r w:rsidRPr="0031675F">
        <w:rPr>
          <w:spacing w:val="24"/>
        </w:rPr>
        <w:t xml:space="preserve"> </w:t>
      </w:r>
      <w:r w:rsidRPr="0031675F">
        <w:rPr>
          <w:spacing w:val="-1"/>
        </w:rPr>
        <w:t>File</w:t>
      </w:r>
      <w:r w:rsidRPr="0031675F">
        <w:rPr>
          <w:spacing w:val="24"/>
        </w:rPr>
        <w:t xml:space="preserve"> </w:t>
      </w:r>
      <w:r w:rsidRPr="0031675F">
        <w:rPr>
          <w:spacing w:val="-1"/>
        </w:rPr>
        <w:t>I/O-&gt;Data</w:t>
      </w:r>
      <w:r w:rsidRPr="0031675F">
        <w:rPr>
          <w:spacing w:val="24"/>
        </w:rPr>
        <w:t xml:space="preserve"> </w:t>
      </w:r>
      <w:r w:rsidRPr="0031675F">
        <w:rPr>
          <w:spacing w:val="-2"/>
        </w:rPr>
        <w:t>File</w:t>
      </w:r>
      <w:r w:rsidRPr="0031675F">
        <w:rPr>
          <w:spacing w:val="91"/>
        </w:rPr>
        <w:t xml:space="preserve"> </w:t>
      </w:r>
      <w:r w:rsidRPr="0031675F">
        <w:rPr>
          <w:spacing w:val="-1"/>
        </w:rPr>
        <w:t>I/O-</w:t>
      </w:r>
      <w:r w:rsidRPr="0031675F">
        <w:rPr>
          <w:rFonts w:cs="Calibri"/>
          <w:spacing w:val="-1"/>
        </w:rPr>
        <w:t>&gt;Export</w:t>
      </w:r>
      <w:r w:rsidRPr="0031675F">
        <w:rPr>
          <w:rFonts w:cs="Calibri"/>
          <w:spacing w:val="7"/>
        </w:rPr>
        <w:t xml:space="preserve"> </w:t>
      </w:r>
      <w:r w:rsidRPr="0031675F">
        <w:rPr>
          <w:rFonts w:cs="Calibri"/>
        </w:rPr>
        <w:t>QA’d</w:t>
      </w:r>
      <w:r w:rsidRPr="0031675F">
        <w:rPr>
          <w:rFonts w:cs="Calibri"/>
          <w:spacing w:val="9"/>
        </w:rPr>
        <w:t xml:space="preserve"> </w:t>
      </w:r>
      <w:r w:rsidRPr="0031675F">
        <w:rPr>
          <w:rFonts w:cs="Calibri"/>
          <w:spacing w:val="-1"/>
        </w:rPr>
        <w:t>Data’</w:t>
      </w:r>
      <w:r w:rsidRPr="0031675F">
        <w:rPr>
          <w:rFonts w:cs="Calibri"/>
          <w:spacing w:val="10"/>
        </w:rPr>
        <w:t xml:space="preserve"> </w:t>
      </w:r>
      <w:r w:rsidRPr="0031675F">
        <w:rPr>
          <w:rFonts w:cs="Calibri"/>
          <w:spacing w:val="-1"/>
        </w:rPr>
        <w:t>application</w:t>
      </w:r>
      <w:r w:rsidRPr="0031675F">
        <w:rPr>
          <w:rFonts w:cs="Calibri"/>
          <w:spacing w:val="9"/>
        </w:rPr>
        <w:t xml:space="preserve"> </w:t>
      </w:r>
      <w:r w:rsidRPr="0031675F">
        <w:rPr>
          <w:rFonts w:cs="Calibri"/>
          <w:spacing w:val="-1"/>
        </w:rPr>
        <w:t>form</w:t>
      </w:r>
      <w:r w:rsidRPr="0031675F">
        <w:rPr>
          <w:rFonts w:cs="Calibri"/>
          <w:spacing w:val="10"/>
        </w:rPr>
        <w:t xml:space="preserve"> </w:t>
      </w:r>
      <w:r w:rsidRPr="0031675F">
        <w:rPr>
          <w:rFonts w:cs="Calibri"/>
          <w:spacing w:val="-1"/>
        </w:rPr>
        <w:t>path.</w:t>
      </w:r>
      <w:r w:rsidRPr="0031675F">
        <w:rPr>
          <w:rFonts w:cs="Calibri"/>
          <w:spacing w:val="12"/>
        </w:rPr>
        <w:t xml:space="preserve"> </w:t>
      </w:r>
      <w:r w:rsidRPr="0031675F">
        <w:t>If</w:t>
      </w:r>
      <w:r w:rsidRPr="0031675F">
        <w:rPr>
          <w:spacing w:val="9"/>
        </w:rPr>
        <w:t xml:space="preserve"> </w:t>
      </w:r>
      <w:r w:rsidRPr="0031675F">
        <w:rPr>
          <w:spacing w:val="-1"/>
        </w:rPr>
        <w:t>errors/anomalies</w:t>
      </w:r>
      <w:r w:rsidRPr="0031675F">
        <w:rPr>
          <w:spacing w:val="10"/>
        </w:rPr>
        <w:t xml:space="preserve"> </w:t>
      </w:r>
      <w:r w:rsidRPr="0031675F">
        <w:rPr>
          <w:spacing w:val="-1"/>
        </w:rPr>
        <w:t>confirm</w:t>
      </w:r>
      <w:r w:rsidRPr="0031675F">
        <w:rPr>
          <w:spacing w:val="11"/>
        </w:rPr>
        <w:t xml:space="preserve"> </w:t>
      </w:r>
      <w:r w:rsidRPr="0031675F">
        <w:rPr>
          <w:spacing w:val="-1"/>
        </w:rPr>
        <w:t>and/or</w:t>
      </w:r>
      <w:r w:rsidRPr="0031675F">
        <w:rPr>
          <w:spacing w:val="9"/>
        </w:rPr>
        <w:t xml:space="preserve"> </w:t>
      </w:r>
      <w:r w:rsidRPr="0031675F">
        <w:rPr>
          <w:spacing w:val="-1"/>
        </w:rPr>
        <w:t>repeats</w:t>
      </w:r>
      <w:r w:rsidRPr="0031675F">
        <w:rPr>
          <w:spacing w:val="10"/>
        </w:rPr>
        <w:t xml:space="preserve"> </w:t>
      </w:r>
      <w:r w:rsidRPr="0031675F">
        <w:rPr>
          <w:spacing w:val="-1"/>
        </w:rPr>
        <w:t>steps</w:t>
      </w:r>
      <w:r w:rsidRPr="0031675F">
        <w:rPr>
          <w:spacing w:val="67"/>
        </w:rPr>
        <w:t xml:space="preserve"> </w:t>
      </w:r>
      <w:r w:rsidRPr="0031675F">
        <w:t>10</w:t>
      </w:r>
      <w:r w:rsidRPr="0031675F">
        <w:rPr>
          <w:spacing w:val="-1"/>
        </w:rPr>
        <w:t xml:space="preserve"> </w:t>
      </w:r>
      <w:r w:rsidRPr="0031675F">
        <w:rPr>
          <w:rFonts w:cs="Calibri"/>
        </w:rPr>
        <w:t>–</w:t>
      </w:r>
      <w:r w:rsidRPr="0031675F">
        <w:rPr>
          <w:rFonts w:cs="Calibri"/>
          <w:spacing w:val="-2"/>
        </w:rPr>
        <w:t xml:space="preserve"> </w:t>
      </w:r>
      <w:r w:rsidRPr="0031675F">
        <w:t>13.</w:t>
      </w:r>
    </w:p>
    <w:p w14:paraId="38530B91" w14:textId="77777777" w:rsidR="0031675F" w:rsidRPr="0031675F" w:rsidRDefault="0031675F" w:rsidP="0031675F">
      <w:pPr>
        <w:spacing w:before="8"/>
        <w:rPr>
          <w:rFonts w:cs="Calibri"/>
          <w:sz w:val="20"/>
          <w:szCs w:val="20"/>
        </w:rPr>
      </w:pPr>
    </w:p>
    <w:p w14:paraId="64EF801B" w14:textId="77777777" w:rsidR="0031675F" w:rsidRPr="0031675F" w:rsidRDefault="0031675F" w:rsidP="0031675F">
      <w:pPr>
        <w:widowControl w:val="0"/>
        <w:numPr>
          <w:ilvl w:val="2"/>
          <w:numId w:val="60"/>
        </w:numPr>
        <w:tabs>
          <w:tab w:val="left" w:pos="821"/>
        </w:tabs>
        <w:spacing w:before="0" w:after="0" w:line="240" w:lineRule="auto"/>
        <w:jc w:val="both"/>
        <w:rPr>
          <w:rFonts w:eastAsia="Arial" w:cs="Arial"/>
        </w:rPr>
      </w:pPr>
      <w:r w:rsidRPr="0031675F">
        <w:rPr>
          <w:rFonts w:eastAsia="Arial" w:cs="Arial"/>
          <w:b/>
        </w:rPr>
        <w:t>CTD Profilers</w:t>
      </w:r>
    </w:p>
    <w:p w14:paraId="0816B1D6" w14:textId="77777777" w:rsidR="0031675F" w:rsidRPr="0031675F" w:rsidRDefault="0031675F" w:rsidP="0031675F">
      <w:pPr>
        <w:spacing w:after="120"/>
      </w:pPr>
      <w:r w:rsidRPr="0031675F">
        <w:t>At the MMP sites where Niskin data is collected, and also at other sites depending on needs of the program, Sea-Bird CTD Profilers are deployed to analyse the vertical column of water for salinity, temperature, conductivity, turbidity, flouresence, and other data depending on the capability of the Profiler being used. This data set is over depth. Also some CTD instruments are deployed at Enviromental Logger locations to record changes in Salinity and Temperature over time. Both instruments record data in the same format and are processed in a very similar fashion, the main difference being vertical casts are over depth (distance in meters) and in-situ deployments are over time (seconds, minutes, hours etc). For vertical and in-situ deployments, Sea-Bird Sea-Save and SBE-DataProcessing software modules are used to produce data files in the Sea-Bird HEX format. These HEX files contain the raw data readings, and are stored on a server which has a backup and retention policy that ensures the data files are retrievable as required over the long term. Each Sea-Bird CTD instrument (SBE37, SBE19plus, etc), calibration information is kept in a CON file. These instruments are factory serviced and re-calibrated at regular intervals.</w:t>
      </w:r>
    </w:p>
    <w:p w14:paraId="4A0BF4E5" w14:textId="77777777" w:rsidR="0031675F" w:rsidRPr="0031675F" w:rsidRDefault="0031675F" w:rsidP="0031675F">
      <w:pPr>
        <w:spacing w:after="120"/>
      </w:pPr>
      <w:r w:rsidRPr="0031675F">
        <w:t>The processing of the data is done via the CTD Data Management J2EE web services application, and the Sea-Bird DataProcessing Software. The HEX files and CON files are used as input to these. During the process, four PSA files are created for each data file, and these represent the initial QAQC process.</w:t>
      </w:r>
    </w:p>
    <w:p w14:paraId="7CA94821" w14:textId="77777777" w:rsidR="0031675F" w:rsidRPr="0031675F" w:rsidRDefault="0031675F" w:rsidP="0031675F">
      <w:pPr>
        <w:widowControl w:val="0"/>
        <w:numPr>
          <w:ilvl w:val="0"/>
          <w:numId w:val="163"/>
        </w:numPr>
        <w:spacing w:before="0" w:after="0" w:line="240" w:lineRule="auto"/>
      </w:pPr>
      <w:r w:rsidRPr="0031675F">
        <w:t>Raw data conversion PSA: Convesion of raw HEX charaters to ASCII characters</w:t>
      </w:r>
    </w:p>
    <w:p w14:paraId="05411027" w14:textId="77777777" w:rsidR="0031675F" w:rsidRPr="0031675F" w:rsidRDefault="0031675F" w:rsidP="0031675F">
      <w:pPr>
        <w:widowControl w:val="0"/>
        <w:numPr>
          <w:ilvl w:val="0"/>
          <w:numId w:val="163"/>
        </w:numPr>
        <w:spacing w:before="0" w:after="0" w:line="240" w:lineRule="auto"/>
      </w:pPr>
      <w:r w:rsidRPr="0031675F">
        <w:t>Wild Edit PSA: 2 pass running mean filter/de-spike.</w:t>
      </w:r>
    </w:p>
    <w:p w14:paraId="2C156CE1" w14:textId="77777777" w:rsidR="0031675F" w:rsidRPr="0031675F" w:rsidRDefault="0031675F" w:rsidP="0031675F">
      <w:pPr>
        <w:widowControl w:val="0"/>
        <w:numPr>
          <w:ilvl w:val="0"/>
          <w:numId w:val="163"/>
        </w:numPr>
        <w:spacing w:before="0" w:after="0" w:line="240" w:lineRule="auto"/>
      </w:pPr>
      <w:r w:rsidRPr="0031675F">
        <w:t>Loop Edit PSA: vertical shift correction (boat rocking in a swell)</w:t>
      </w:r>
    </w:p>
    <w:p w14:paraId="4CFEBCDE" w14:textId="77777777" w:rsidR="0031675F" w:rsidRPr="0031675F" w:rsidRDefault="0031675F" w:rsidP="0031675F">
      <w:pPr>
        <w:widowControl w:val="0"/>
        <w:numPr>
          <w:ilvl w:val="0"/>
          <w:numId w:val="163"/>
        </w:numPr>
        <w:spacing w:before="0" w:after="0" w:line="240" w:lineRule="auto"/>
      </w:pPr>
      <w:r w:rsidRPr="0031675F">
        <w:t>Bin Average PSA: Data is averaged to per meter readings for each parameter.</w:t>
      </w:r>
    </w:p>
    <w:p w14:paraId="1DBFFC76" w14:textId="77777777" w:rsidR="0031675F" w:rsidRPr="0031675F" w:rsidRDefault="0031675F" w:rsidP="0031675F">
      <w:pPr>
        <w:spacing w:after="120"/>
        <w:ind w:left="100"/>
      </w:pPr>
      <w:r w:rsidRPr="0031675F">
        <w:t>The creation of the four PSA files is automated by the CTD Data Management System using the HEX and CON files are input. Once the data has been Bin Averaged, the data is then ingested into an Oracle 9i database schema, the same schema used to house the nutrients data.</w:t>
      </w:r>
    </w:p>
    <w:p w14:paraId="69450246" w14:textId="77777777" w:rsidR="0031675F" w:rsidRPr="0031675F" w:rsidRDefault="0031675F" w:rsidP="0031675F">
      <w:pPr>
        <w:spacing w:before="8"/>
        <w:rPr>
          <w:rFonts w:cs="Calibri"/>
          <w:sz w:val="20"/>
          <w:szCs w:val="20"/>
        </w:rPr>
      </w:pPr>
    </w:p>
    <w:p w14:paraId="1775153E" w14:textId="77777777" w:rsidR="0031675F" w:rsidRPr="0031675F" w:rsidRDefault="0031675F" w:rsidP="0031675F">
      <w:pPr>
        <w:widowControl w:val="0"/>
        <w:numPr>
          <w:ilvl w:val="2"/>
          <w:numId w:val="60"/>
        </w:numPr>
        <w:tabs>
          <w:tab w:val="left" w:pos="821"/>
        </w:tabs>
        <w:spacing w:before="0" w:after="0" w:line="240" w:lineRule="auto"/>
        <w:jc w:val="both"/>
        <w:rPr>
          <w:rFonts w:eastAsia="Arial" w:cs="Arial"/>
        </w:rPr>
      </w:pPr>
      <w:r w:rsidRPr="0031675F">
        <w:rPr>
          <w:b/>
        </w:rPr>
        <w:t>Temperature</w:t>
      </w:r>
      <w:r w:rsidRPr="0031675F">
        <w:rPr>
          <w:b/>
          <w:spacing w:val="-2"/>
        </w:rPr>
        <w:t xml:space="preserve"> </w:t>
      </w:r>
      <w:r w:rsidRPr="0031675F">
        <w:rPr>
          <w:b/>
        </w:rPr>
        <w:t>loggers</w:t>
      </w:r>
    </w:p>
    <w:p w14:paraId="3E8DF941" w14:textId="77777777" w:rsidR="0031675F" w:rsidRPr="0031675F" w:rsidRDefault="0031675F" w:rsidP="0057756F">
      <w:r w:rsidRPr="0031675F">
        <w:t>Temperature</w:t>
      </w:r>
      <w:r w:rsidRPr="0031675F">
        <w:rPr>
          <w:spacing w:val="14"/>
        </w:rPr>
        <w:t xml:space="preserve"> </w:t>
      </w:r>
      <w:r w:rsidRPr="0031675F">
        <w:t>loggers</w:t>
      </w:r>
      <w:r w:rsidRPr="0031675F">
        <w:rPr>
          <w:spacing w:val="17"/>
        </w:rPr>
        <w:t xml:space="preserve"> </w:t>
      </w:r>
      <w:r w:rsidRPr="0031675F">
        <w:t>are</w:t>
      </w:r>
      <w:r w:rsidRPr="0031675F">
        <w:rPr>
          <w:spacing w:val="14"/>
        </w:rPr>
        <w:t xml:space="preserve"> </w:t>
      </w:r>
      <w:r w:rsidRPr="0031675F">
        <w:t>deployed</w:t>
      </w:r>
      <w:r w:rsidRPr="0031675F">
        <w:rPr>
          <w:spacing w:val="16"/>
        </w:rPr>
        <w:t xml:space="preserve"> </w:t>
      </w:r>
      <w:r w:rsidRPr="0031675F">
        <w:t>at,</w:t>
      </w:r>
      <w:r w:rsidRPr="0031675F">
        <w:rPr>
          <w:spacing w:val="15"/>
        </w:rPr>
        <w:t xml:space="preserve"> </w:t>
      </w:r>
      <w:r w:rsidRPr="0031675F">
        <w:t>or</w:t>
      </w:r>
      <w:r w:rsidRPr="0031675F">
        <w:rPr>
          <w:spacing w:val="14"/>
        </w:rPr>
        <w:t xml:space="preserve"> </w:t>
      </w:r>
      <w:r w:rsidRPr="0031675F">
        <w:t>in</w:t>
      </w:r>
      <w:r w:rsidRPr="0031675F">
        <w:rPr>
          <w:spacing w:val="16"/>
        </w:rPr>
        <w:t xml:space="preserve"> </w:t>
      </w:r>
      <w:r w:rsidRPr="0031675F">
        <w:t>close</w:t>
      </w:r>
      <w:r w:rsidRPr="0031675F">
        <w:rPr>
          <w:spacing w:val="17"/>
        </w:rPr>
        <w:t xml:space="preserve"> </w:t>
      </w:r>
      <w:r w:rsidRPr="0031675F">
        <w:rPr>
          <w:spacing w:val="-2"/>
        </w:rPr>
        <w:t>proximity</w:t>
      </w:r>
      <w:r w:rsidRPr="0031675F">
        <w:rPr>
          <w:spacing w:val="17"/>
        </w:rPr>
        <w:t xml:space="preserve"> </w:t>
      </w:r>
      <w:r w:rsidRPr="0031675F">
        <w:t>to,</w:t>
      </w:r>
      <w:r w:rsidRPr="0031675F">
        <w:rPr>
          <w:spacing w:val="14"/>
        </w:rPr>
        <w:t xml:space="preserve"> </w:t>
      </w:r>
      <w:r w:rsidRPr="0031675F">
        <w:t>all</w:t>
      </w:r>
      <w:r w:rsidRPr="0031675F">
        <w:rPr>
          <w:spacing w:val="16"/>
        </w:rPr>
        <w:t xml:space="preserve"> </w:t>
      </w:r>
      <w:r w:rsidRPr="0031675F">
        <w:t>locations</w:t>
      </w:r>
      <w:r w:rsidRPr="0031675F">
        <w:rPr>
          <w:spacing w:val="17"/>
        </w:rPr>
        <w:t xml:space="preserve"> </w:t>
      </w:r>
      <w:r w:rsidRPr="0031675F">
        <w:t>at</w:t>
      </w:r>
      <w:r w:rsidRPr="0031675F">
        <w:rPr>
          <w:spacing w:val="15"/>
        </w:rPr>
        <w:t xml:space="preserve"> </w:t>
      </w:r>
      <w:r w:rsidRPr="0031675F">
        <w:t>both</w:t>
      </w:r>
      <w:r w:rsidRPr="0031675F">
        <w:rPr>
          <w:spacing w:val="14"/>
        </w:rPr>
        <w:t xml:space="preserve"> </w:t>
      </w:r>
      <w:r w:rsidRPr="0031675F">
        <w:t>2m</w:t>
      </w:r>
      <w:r w:rsidRPr="0031675F">
        <w:rPr>
          <w:spacing w:val="15"/>
        </w:rPr>
        <w:t xml:space="preserve"> </w:t>
      </w:r>
      <w:r w:rsidRPr="0031675F">
        <w:t>and</w:t>
      </w:r>
      <w:r w:rsidRPr="0031675F">
        <w:rPr>
          <w:spacing w:val="16"/>
        </w:rPr>
        <w:t xml:space="preserve"> </w:t>
      </w:r>
      <w:r w:rsidRPr="0031675F">
        <w:t>5m</w:t>
      </w:r>
      <w:r w:rsidRPr="0031675F">
        <w:rPr>
          <w:spacing w:val="18"/>
        </w:rPr>
        <w:t xml:space="preserve"> </w:t>
      </w:r>
      <w:r w:rsidRPr="0031675F">
        <w:t>depths</w:t>
      </w:r>
      <w:r w:rsidRPr="0031675F">
        <w:rPr>
          <w:spacing w:val="63"/>
        </w:rPr>
        <w:t xml:space="preserve"> </w:t>
      </w:r>
      <w:r w:rsidRPr="0031675F">
        <w:t>and routinely exchanged at</w:t>
      </w:r>
      <w:r w:rsidRPr="0031675F">
        <w:rPr>
          <w:spacing w:val="-2"/>
        </w:rPr>
        <w:t xml:space="preserve"> </w:t>
      </w:r>
      <w:r w:rsidRPr="0031675F">
        <w:t>the time</w:t>
      </w:r>
      <w:r w:rsidRPr="0031675F">
        <w:rPr>
          <w:spacing w:val="-2"/>
        </w:rPr>
        <w:t xml:space="preserve"> </w:t>
      </w:r>
      <w:r w:rsidRPr="0031675F">
        <w:t>of</w:t>
      </w:r>
      <w:r w:rsidRPr="0031675F">
        <w:rPr>
          <w:spacing w:val="-3"/>
        </w:rPr>
        <w:t xml:space="preserve"> </w:t>
      </w:r>
      <w:r w:rsidRPr="0031675F">
        <w:t xml:space="preserve">coral </w:t>
      </w:r>
      <w:r w:rsidRPr="0031675F">
        <w:rPr>
          <w:spacing w:val="-2"/>
        </w:rPr>
        <w:t>surveys.</w:t>
      </w:r>
    </w:p>
    <w:p w14:paraId="0346D898" w14:textId="77777777" w:rsidR="0031675F" w:rsidRPr="0031675F" w:rsidRDefault="0031675F" w:rsidP="0057756F">
      <w:r w:rsidRPr="0031675F">
        <w:t>There</w:t>
      </w:r>
      <w:r w:rsidRPr="0031675F">
        <w:rPr>
          <w:spacing w:val="8"/>
        </w:rPr>
        <w:t xml:space="preserve"> </w:t>
      </w:r>
      <w:r w:rsidRPr="0031675F">
        <w:t>are</w:t>
      </w:r>
      <w:r w:rsidRPr="0031675F">
        <w:rPr>
          <w:spacing w:val="8"/>
        </w:rPr>
        <w:t xml:space="preserve"> </w:t>
      </w:r>
      <w:r w:rsidRPr="0031675F">
        <w:t>two</w:t>
      </w:r>
      <w:r w:rsidRPr="0031675F">
        <w:rPr>
          <w:spacing w:val="6"/>
        </w:rPr>
        <w:t xml:space="preserve"> </w:t>
      </w:r>
      <w:r w:rsidRPr="0031675F">
        <w:t>types</w:t>
      </w:r>
      <w:r w:rsidRPr="0031675F">
        <w:rPr>
          <w:spacing w:val="5"/>
        </w:rPr>
        <w:t xml:space="preserve"> </w:t>
      </w:r>
      <w:r w:rsidRPr="0031675F">
        <w:t>of</w:t>
      </w:r>
      <w:r w:rsidRPr="0031675F">
        <w:rPr>
          <w:spacing w:val="5"/>
        </w:rPr>
        <w:t xml:space="preserve"> </w:t>
      </w:r>
      <w:r w:rsidRPr="0031675F">
        <w:t>Temperature</w:t>
      </w:r>
      <w:r w:rsidRPr="0031675F">
        <w:rPr>
          <w:spacing w:val="8"/>
        </w:rPr>
        <w:t xml:space="preserve"> </w:t>
      </w:r>
      <w:r w:rsidRPr="0031675F">
        <w:t>loggers</w:t>
      </w:r>
      <w:r w:rsidRPr="0031675F">
        <w:rPr>
          <w:spacing w:val="7"/>
        </w:rPr>
        <w:t xml:space="preserve"> </w:t>
      </w:r>
      <w:r w:rsidRPr="0031675F">
        <w:t>used</w:t>
      </w:r>
      <w:r w:rsidRPr="0031675F">
        <w:rPr>
          <w:spacing w:val="7"/>
        </w:rPr>
        <w:t xml:space="preserve"> </w:t>
      </w:r>
      <w:r w:rsidRPr="0031675F">
        <w:rPr>
          <w:spacing w:val="-2"/>
        </w:rPr>
        <w:t>for</w:t>
      </w:r>
      <w:r w:rsidRPr="0031675F">
        <w:rPr>
          <w:spacing w:val="7"/>
        </w:rPr>
        <w:t xml:space="preserve"> </w:t>
      </w:r>
      <w:r w:rsidRPr="0031675F">
        <w:t>the</w:t>
      </w:r>
      <w:r w:rsidRPr="0031675F">
        <w:rPr>
          <w:spacing w:val="7"/>
        </w:rPr>
        <w:t xml:space="preserve"> </w:t>
      </w:r>
      <w:r w:rsidRPr="0031675F">
        <w:t>sea</w:t>
      </w:r>
      <w:r w:rsidRPr="0031675F">
        <w:rPr>
          <w:spacing w:val="5"/>
        </w:rPr>
        <w:t xml:space="preserve"> </w:t>
      </w:r>
      <w:r w:rsidRPr="0031675F">
        <w:t>surface</w:t>
      </w:r>
      <w:r w:rsidRPr="0031675F">
        <w:rPr>
          <w:spacing w:val="6"/>
        </w:rPr>
        <w:t xml:space="preserve"> </w:t>
      </w:r>
      <w:r w:rsidRPr="0031675F">
        <w:t>temperature</w:t>
      </w:r>
      <w:r w:rsidRPr="0031675F">
        <w:rPr>
          <w:spacing w:val="7"/>
        </w:rPr>
        <w:t xml:space="preserve"> </w:t>
      </w:r>
      <w:r w:rsidRPr="0031675F">
        <w:t>logger</w:t>
      </w:r>
      <w:r w:rsidRPr="0031675F">
        <w:rPr>
          <w:spacing w:val="7"/>
        </w:rPr>
        <w:t xml:space="preserve"> </w:t>
      </w:r>
      <w:r w:rsidRPr="0031675F">
        <w:t>program.</w:t>
      </w:r>
      <w:r w:rsidRPr="0031675F">
        <w:rPr>
          <w:spacing w:val="14"/>
        </w:rPr>
        <w:t xml:space="preserve"> </w:t>
      </w:r>
      <w:r w:rsidRPr="0031675F">
        <w:t>The</w:t>
      </w:r>
      <w:r w:rsidRPr="0031675F">
        <w:rPr>
          <w:spacing w:val="46"/>
        </w:rPr>
        <w:t xml:space="preserve"> </w:t>
      </w:r>
      <w:r w:rsidRPr="0031675F">
        <w:t>first</w:t>
      </w:r>
      <w:r w:rsidRPr="0031675F">
        <w:rPr>
          <w:spacing w:val="6"/>
        </w:rPr>
        <w:t xml:space="preserve"> </w:t>
      </w:r>
      <w:r w:rsidRPr="0031675F">
        <w:t>type</w:t>
      </w:r>
      <w:r w:rsidRPr="0031675F">
        <w:rPr>
          <w:spacing w:val="6"/>
        </w:rPr>
        <w:t xml:space="preserve"> </w:t>
      </w:r>
      <w:r w:rsidRPr="0031675F">
        <w:t>is</w:t>
      </w:r>
      <w:r w:rsidRPr="0031675F">
        <w:rPr>
          <w:spacing w:val="5"/>
        </w:rPr>
        <w:t xml:space="preserve"> </w:t>
      </w:r>
      <w:r w:rsidRPr="0031675F">
        <w:t>an</w:t>
      </w:r>
      <w:r w:rsidRPr="0031675F">
        <w:rPr>
          <w:spacing w:val="4"/>
        </w:rPr>
        <w:t xml:space="preserve"> </w:t>
      </w:r>
      <w:r w:rsidRPr="0031675F">
        <w:t>Odyssey</w:t>
      </w:r>
      <w:r w:rsidRPr="0031675F">
        <w:rPr>
          <w:spacing w:val="4"/>
        </w:rPr>
        <w:t xml:space="preserve"> </w:t>
      </w:r>
      <w:r w:rsidRPr="0031675F">
        <w:t>temperature</w:t>
      </w:r>
      <w:r w:rsidRPr="0031675F">
        <w:rPr>
          <w:spacing w:val="5"/>
        </w:rPr>
        <w:t xml:space="preserve"> </w:t>
      </w:r>
      <w:r w:rsidRPr="0031675F">
        <w:t>logger</w:t>
      </w:r>
      <w:r w:rsidRPr="0031675F">
        <w:rPr>
          <w:spacing w:val="6"/>
        </w:rPr>
        <w:t xml:space="preserve"> </w:t>
      </w:r>
      <w:r w:rsidRPr="0031675F">
        <w:t>that</w:t>
      </w:r>
      <w:r w:rsidRPr="0031675F">
        <w:rPr>
          <w:spacing w:val="3"/>
        </w:rPr>
        <w:t xml:space="preserve"> </w:t>
      </w:r>
      <w:r w:rsidRPr="0031675F">
        <w:t>comes</w:t>
      </w:r>
      <w:r w:rsidRPr="0031675F">
        <w:rPr>
          <w:spacing w:val="6"/>
        </w:rPr>
        <w:t xml:space="preserve"> </w:t>
      </w:r>
      <w:r w:rsidRPr="0031675F">
        <w:t>with</w:t>
      </w:r>
      <w:r w:rsidRPr="0031675F">
        <w:rPr>
          <w:spacing w:val="5"/>
        </w:rPr>
        <w:t xml:space="preserve"> </w:t>
      </w:r>
      <w:r w:rsidRPr="0031675F">
        <w:t>either</w:t>
      </w:r>
      <w:r w:rsidRPr="0031675F">
        <w:rPr>
          <w:spacing w:val="5"/>
        </w:rPr>
        <w:t xml:space="preserve"> </w:t>
      </w:r>
      <w:r w:rsidRPr="0031675F">
        <w:t>64</w:t>
      </w:r>
      <w:r w:rsidRPr="0031675F">
        <w:rPr>
          <w:spacing w:val="6"/>
        </w:rPr>
        <w:t xml:space="preserve"> </w:t>
      </w:r>
      <w:r w:rsidRPr="0031675F">
        <w:t>kb</w:t>
      </w:r>
      <w:r w:rsidRPr="0031675F">
        <w:rPr>
          <w:spacing w:val="2"/>
        </w:rPr>
        <w:t xml:space="preserve"> </w:t>
      </w:r>
      <w:r w:rsidRPr="0031675F">
        <w:t>or</w:t>
      </w:r>
      <w:r w:rsidRPr="0031675F">
        <w:rPr>
          <w:spacing w:val="5"/>
        </w:rPr>
        <w:t xml:space="preserve"> </w:t>
      </w:r>
      <w:r w:rsidRPr="0031675F">
        <w:t>128</w:t>
      </w:r>
      <w:r w:rsidRPr="0031675F">
        <w:rPr>
          <w:spacing w:val="6"/>
        </w:rPr>
        <w:t xml:space="preserve"> </w:t>
      </w:r>
      <w:r w:rsidRPr="0031675F">
        <w:t>kb</w:t>
      </w:r>
      <w:r w:rsidRPr="0031675F">
        <w:rPr>
          <w:spacing w:val="5"/>
        </w:rPr>
        <w:t xml:space="preserve"> </w:t>
      </w:r>
      <w:r w:rsidRPr="0031675F">
        <w:t>of</w:t>
      </w:r>
      <w:r w:rsidRPr="0031675F">
        <w:rPr>
          <w:spacing w:val="5"/>
        </w:rPr>
        <w:t xml:space="preserve"> </w:t>
      </w:r>
      <w:r w:rsidRPr="0031675F">
        <w:t>memory</w:t>
      </w:r>
      <w:r w:rsidRPr="0031675F">
        <w:rPr>
          <w:spacing w:val="47"/>
        </w:rPr>
        <w:t xml:space="preserve"> </w:t>
      </w:r>
      <w:hyperlink r:id="rId183">
        <w:r w:rsidRPr="0031675F">
          <w:t>(http:</w:t>
        </w:r>
      </w:hyperlink>
      <w:r w:rsidRPr="0031675F">
        <w:t>/</w:t>
      </w:r>
      <w:hyperlink r:id="rId184">
        <w:r w:rsidRPr="0031675F">
          <w:t>/www.odysseydatarecording.com/).</w:t>
        </w:r>
      </w:hyperlink>
      <w:r w:rsidRPr="0031675F">
        <w:rPr>
          <w:spacing w:val="22"/>
        </w:rPr>
        <w:t xml:space="preserve"> </w:t>
      </w:r>
      <w:r w:rsidRPr="0031675F">
        <w:rPr>
          <w:spacing w:val="-2"/>
        </w:rPr>
        <w:t>These</w:t>
      </w:r>
      <w:r w:rsidRPr="0031675F">
        <w:rPr>
          <w:spacing w:val="13"/>
        </w:rPr>
        <w:t xml:space="preserve"> </w:t>
      </w:r>
      <w:r w:rsidRPr="0031675F">
        <w:t>are</w:t>
      </w:r>
      <w:r w:rsidRPr="0031675F">
        <w:rPr>
          <w:spacing w:val="10"/>
        </w:rPr>
        <w:t xml:space="preserve"> </w:t>
      </w:r>
      <w:r w:rsidRPr="0031675F">
        <w:t>currently</w:t>
      </w:r>
      <w:r w:rsidRPr="0031675F">
        <w:rPr>
          <w:spacing w:val="10"/>
        </w:rPr>
        <w:t xml:space="preserve"> </w:t>
      </w:r>
      <w:r w:rsidRPr="0031675F">
        <w:t>being</w:t>
      </w:r>
      <w:r w:rsidRPr="0031675F">
        <w:rPr>
          <w:spacing w:val="11"/>
        </w:rPr>
        <w:t xml:space="preserve"> </w:t>
      </w:r>
      <w:r w:rsidRPr="0031675F">
        <w:t>phased</w:t>
      </w:r>
      <w:r w:rsidRPr="0031675F">
        <w:rPr>
          <w:spacing w:val="9"/>
        </w:rPr>
        <w:t xml:space="preserve"> </w:t>
      </w:r>
      <w:r w:rsidRPr="0031675F">
        <w:t>out.</w:t>
      </w:r>
      <w:r w:rsidRPr="0031675F">
        <w:rPr>
          <w:spacing w:val="24"/>
        </w:rPr>
        <w:t xml:space="preserve"> </w:t>
      </w:r>
      <w:r w:rsidRPr="0031675F">
        <w:t>The</w:t>
      </w:r>
      <w:r w:rsidRPr="0031675F">
        <w:rPr>
          <w:spacing w:val="10"/>
        </w:rPr>
        <w:t xml:space="preserve"> </w:t>
      </w:r>
      <w:r w:rsidRPr="0031675F">
        <w:t>second</w:t>
      </w:r>
      <w:r w:rsidRPr="0031675F">
        <w:rPr>
          <w:spacing w:val="9"/>
        </w:rPr>
        <w:t xml:space="preserve"> </w:t>
      </w:r>
      <w:r w:rsidRPr="0031675F">
        <w:t>type</w:t>
      </w:r>
      <w:r w:rsidRPr="0031675F">
        <w:rPr>
          <w:spacing w:val="10"/>
        </w:rPr>
        <w:t xml:space="preserve"> </w:t>
      </w:r>
      <w:r w:rsidRPr="0031675F">
        <w:t>is</w:t>
      </w:r>
      <w:r w:rsidRPr="0031675F">
        <w:rPr>
          <w:spacing w:val="11"/>
        </w:rPr>
        <w:t xml:space="preserve"> </w:t>
      </w:r>
      <w:r w:rsidRPr="0031675F">
        <w:t>a</w:t>
      </w:r>
      <w:r w:rsidRPr="0031675F">
        <w:rPr>
          <w:spacing w:val="65"/>
        </w:rPr>
        <w:t xml:space="preserve"> </w:t>
      </w:r>
      <w:r w:rsidRPr="0031675F">
        <w:t>Sensus</w:t>
      </w:r>
      <w:r w:rsidRPr="0031675F">
        <w:rPr>
          <w:spacing w:val="22"/>
        </w:rPr>
        <w:t xml:space="preserve"> </w:t>
      </w:r>
      <w:r w:rsidRPr="0031675F">
        <w:t>Ultra</w:t>
      </w:r>
      <w:r w:rsidRPr="0031675F">
        <w:rPr>
          <w:spacing w:val="21"/>
        </w:rPr>
        <w:t xml:space="preserve"> </w:t>
      </w:r>
      <w:r w:rsidRPr="0031675F">
        <w:t>Temperature</w:t>
      </w:r>
      <w:r w:rsidRPr="0031675F">
        <w:rPr>
          <w:spacing w:val="23"/>
        </w:rPr>
        <w:t xml:space="preserve"> </w:t>
      </w:r>
      <w:r w:rsidRPr="0031675F">
        <w:t>logger</w:t>
      </w:r>
      <w:r w:rsidRPr="0031675F">
        <w:rPr>
          <w:spacing w:val="22"/>
        </w:rPr>
        <w:t xml:space="preserve"> </w:t>
      </w:r>
      <w:r w:rsidRPr="0031675F">
        <w:t>(</w:t>
      </w:r>
      <w:hyperlink r:id="rId185">
        <w:r w:rsidRPr="0031675F">
          <w:rPr>
            <w:color w:val="0000FF"/>
            <w:u w:val="single" w:color="0000FF"/>
          </w:rPr>
          <w:t>http://reefnet.ca/products/sensus/</w:t>
        </w:r>
      </w:hyperlink>
      <w:r w:rsidRPr="0031675F">
        <w:t>).</w:t>
      </w:r>
      <w:r w:rsidRPr="0031675F">
        <w:rPr>
          <w:spacing w:val="44"/>
        </w:rPr>
        <w:t xml:space="preserve"> </w:t>
      </w:r>
      <w:r w:rsidRPr="0031675F">
        <w:t>The</w:t>
      </w:r>
      <w:r w:rsidRPr="0031675F">
        <w:rPr>
          <w:spacing w:val="20"/>
        </w:rPr>
        <w:t xml:space="preserve"> </w:t>
      </w:r>
      <w:r w:rsidRPr="0031675F">
        <w:t>odyssey</w:t>
      </w:r>
      <w:r w:rsidRPr="0031675F">
        <w:rPr>
          <w:spacing w:val="23"/>
        </w:rPr>
        <w:t xml:space="preserve"> </w:t>
      </w:r>
      <w:r w:rsidRPr="0031675F">
        <w:t>Temperature</w:t>
      </w:r>
      <w:r w:rsidRPr="0031675F">
        <w:rPr>
          <w:spacing w:val="59"/>
        </w:rPr>
        <w:t xml:space="preserve"> </w:t>
      </w:r>
      <w:r w:rsidRPr="0031675F">
        <w:t>loggers</w:t>
      </w:r>
      <w:r w:rsidRPr="0031675F">
        <w:rPr>
          <w:spacing w:val="31"/>
        </w:rPr>
        <w:t xml:space="preserve"> </w:t>
      </w:r>
      <w:r w:rsidRPr="0031675F">
        <w:t>are</w:t>
      </w:r>
      <w:r w:rsidRPr="0031675F">
        <w:rPr>
          <w:spacing w:val="32"/>
        </w:rPr>
        <w:t xml:space="preserve"> </w:t>
      </w:r>
      <w:r w:rsidRPr="0031675F">
        <w:t>set</w:t>
      </w:r>
      <w:r w:rsidRPr="0031675F">
        <w:rPr>
          <w:spacing w:val="32"/>
        </w:rPr>
        <w:t xml:space="preserve"> </w:t>
      </w:r>
      <w:r w:rsidRPr="0031675F">
        <w:t>to</w:t>
      </w:r>
      <w:r w:rsidRPr="0031675F">
        <w:rPr>
          <w:spacing w:val="32"/>
        </w:rPr>
        <w:t xml:space="preserve"> </w:t>
      </w:r>
      <w:r w:rsidRPr="0031675F">
        <w:t>take</w:t>
      </w:r>
      <w:r w:rsidRPr="0031675F">
        <w:rPr>
          <w:spacing w:val="33"/>
        </w:rPr>
        <w:t xml:space="preserve"> </w:t>
      </w:r>
      <w:r w:rsidRPr="0031675F">
        <w:t>readings</w:t>
      </w:r>
      <w:r w:rsidRPr="0031675F">
        <w:rPr>
          <w:spacing w:val="32"/>
        </w:rPr>
        <w:t xml:space="preserve"> </w:t>
      </w:r>
      <w:r w:rsidRPr="0031675F">
        <w:t>every</w:t>
      </w:r>
      <w:r w:rsidRPr="0031675F">
        <w:rPr>
          <w:spacing w:val="32"/>
        </w:rPr>
        <w:t xml:space="preserve"> </w:t>
      </w:r>
      <w:r w:rsidRPr="0031675F">
        <w:t>30</w:t>
      </w:r>
      <w:r w:rsidRPr="0031675F">
        <w:rPr>
          <w:spacing w:val="31"/>
        </w:rPr>
        <w:t xml:space="preserve"> </w:t>
      </w:r>
      <w:r w:rsidRPr="0031675F">
        <w:t>minutes.</w:t>
      </w:r>
      <w:r w:rsidRPr="0031675F">
        <w:rPr>
          <w:spacing w:val="10"/>
        </w:rPr>
        <w:t xml:space="preserve"> </w:t>
      </w:r>
      <w:r w:rsidRPr="0031675F">
        <w:t>The</w:t>
      </w:r>
      <w:r w:rsidRPr="0031675F">
        <w:rPr>
          <w:spacing w:val="32"/>
        </w:rPr>
        <w:t xml:space="preserve"> </w:t>
      </w:r>
      <w:r w:rsidRPr="0031675F">
        <w:t>Sensus</w:t>
      </w:r>
      <w:r w:rsidRPr="0031675F">
        <w:rPr>
          <w:spacing w:val="31"/>
        </w:rPr>
        <w:t xml:space="preserve"> </w:t>
      </w:r>
      <w:r w:rsidRPr="0031675F">
        <w:t>Temperature</w:t>
      </w:r>
      <w:r w:rsidRPr="0031675F">
        <w:rPr>
          <w:spacing w:val="31"/>
        </w:rPr>
        <w:t xml:space="preserve"> </w:t>
      </w:r>
      <w:r w:rsidRPr="0031675F">
        <w:t>loggers</w:t>
      </w:r>
      <w:r w:rsidRPr="0031675F">
        <w:rPr>
          <w:spacing w:val="32"/>
        </w:rPr>
        <w:t xml:space="preserve"> </w:t>
      </w:r>
      <w:r w:rsidRPr="0031675F">
        <w:t>are</w:t>
      </w:r>
      <w:r w:rsidRPr="0031675F">
        <w:rPr>
          <w:spacing w:val="32"/>
        </w:rPr>
        <w:t xml:space="preserve"> </w:t>
      </w:r>
      <w:r w:rsidRPr="0031675F">
        <w:t>set</w:t>
      </w:r>
      <w:r w:rsidRPr="0031675F">
        <w:rPr>
          <w:spacing w:val="32"/>
        </w:rPr>
        <w:t xml:space="preserve"> </w:t>
      </w:r>
      <w:r w:rsidRPr="0031675F">
        <w:t>to</w:t>
      </w:r>
      <w:r w:rsidRPr="0031675F">
        <w:rPr>
          <w:spacing w:val="32"/>
        </w:rPr>
        <w:t xml:space="preserve"> </w:t>
      </w:r>
      <w:r w:rsidRPr="0031675F">
        <w:t>take</w:t>
      </w:r>
      <w:r w:rsidRPr="0031675F">
        <w:rPr>
          <w:spacing w:val="53"/>
        </w:rPr>
        <w:t xml:space="preserve"> </w:t>
      </w:r>
      <w:r w:rsidRPr="0031675F">
        <w:t>readings every</w:t>
      </w:r>
      <w:r w:rsidRPr="0031675F">
        <w:rPr>
          <w:spacing w:val="-2"/>
        </w:rPr>
        <w:t xml:space="preserve"> </w:t>
      </w:r>
      <w:r w:rsidRPr="0031675F">
        <w:t>10</w:t>
      </w:r>
      <w:r w:rsidRPr="0031675F">
        <w:rPr>
          <w:spacing w:val="-2"/>
        </w:rPr>
        <w:t xml:space="preserve"> </w:t>
      </w:r>
      <w:r w:rsidRPr="0031675F">
        <w:t>minutes.</w:t>
      </w:r>
    </w:p>
    <w:p w14:paraId="42DF8C9B" w14:textId="77777777" w:rsidR="0031675F" w:rsidRPr="0031675F" w:rsidRDefault="0031675F" w:rsidP="0057756F">
      <w:r w:rsidRPr="0031675F">
        <w:t>Prior</w:t>
      </w:r>
      <w:r w:rsidRPr="0031675F">
        <w:rPr>
          <w:spacing w:val="30"/>
        </w:rPr>
        <w:t xml:space="preserve"> </w:t>
      </w:r>
      <w:r w:rsidRPr="0031675F">
        <w:t>to</w:t>
      </w:r>
      <w:r w:rsidRPr="0031675F">
        <w:rPr>
          <w:spacing w:val="33"/>
        </w:rPr>
        <w:t xml:space="preserve"> </w:t>
      </w:r>
      <w:r w:rsidRPr="0031675F">
        <w:t>deployment,</w:t>
      </w:r>
      <w:r w:rsidRPr="0031675F">
        <w:rPr>
          <w:spacing w:val="32"/>
        </w:rPr>
        <w:t xml:space="preserve"> </w:t>
      </w:r>
      <w:r w:rsidRPr="0031675F">
        <w:t>the</w:t>
      </w:r>
      <w:r w:rsidRPr="0031675F">
        <w:rPr>
          <w:spacing w:val="28"/>
        </w:rPr>
        <w:t xml:space="preserve"> </w:t>
      </w:r>
      <w:r w:rsidRPr="0031675F">
        <w:t>Temperature</w:t>
      </w:r>
      <w:r w:rsidRPr="0031675F">
        <w:rPr>
          <w:spacing w:val="30"/>
        </w:rPr>
        <w:t xml:space="preserve"> </w:t>
      </w:r>
      <w:r w:rsidRPr="0031675F">
        <w:t>loggers</w:t>
      </w:r>
      <w:r w:rsidRPr="0031675F">
        <w:rPr>
          <w:spacing w:val="32"/>
        </w:rPr>
        <w:t xml:space="preserve"> </w:t>
      </w:r>
      <w:r w:rsidRPr="0031675F">
        <w:t>are</w:t>
      </w:r>
      <w:r w:rsidRPr="0031675F">
        <w:rPr>
          <w:spacing w:val="32"/>
        </w:rPr>
        <w:t xml:space="preserve"> </w:t>
      </w:r>
      <w:r w:rsidRPr="0031675F">
        <w:t>calibrated</w:t>
      </w:r>
      <w:r w:rsidRPr="0031675F">
        <w:rPr>
          <w:spacing w:val="30"/>
        </w:rPr>
        <w:t xml:space="preserve"> </w:t>
      </w:r>
      <w:r w:rsidRPr="0031675F">
        <w:t>to</w:t>
      </w:r>
      <w:r w:rsidRPr="0031675F">
        <w:rPr>
          <w:spacing w:val="31"/>
        </w:rPr>
        <w:t xml:space="preserve"> </w:t>
      </w:r>
      <w:r w:rsidRPr="0031675F">
        <w:t>within</w:t>
      </w:r>
      <w:r w:rsidRPr="0031675F">
        <w:rPr>
          <w:spacing w:val="29"/>
        </w:rPr>
        <w:t xml:space="preserve"> </w:t>
      </w:r>
      <w:r w:rsidRPr="0031675F">
        <w:t>0.02</w:t>
      </w:r>
      <w:r w:rsidRPr="0031675F">
        <w:rPr>
          <w:spacing w:val="30"/>
        </w:rPr>
        <w:t xml:space="preserve"> </w:t>
      </w:r>
      <w:r w:rsidRPr="0031675F">
        <w:t>Degrees</w:t>
      </w:r>
      <w:r w:rsidRPr="0031675F">
        <w:rPr>
          <w:spacing w:val="32"/>
        </w:rPr>
        <w:t xml:space="preserve"> </w:t>
      </w:r>
      <w:r w:rsidRPr="0031675F">
        <w:t>Celsius</w:t>
      </w:r>
      <w:r w:rsidRPr="0031675F">
        <w:rPr>
          <w:spacing w:val="32"/>
        </w:rPr>
        <w:t xml:space="preserve"> </w:t>
      </w:r>
      <w:r w:rsidRPr="0031675F">
        <w:t>using</w:t>
      </w:r>
      <w:r w:rsidRPr="0031675F">
        <w:rPr>
          <w:spacing w:val="30"/>
        </w:rPr>
        <w:t xml:space="preserve"> </w:t>
      </w:r>
      <w:r w:rsidRPr="0031675F">
        <w:t>a</w:t>
      </w:r>
      <w:r w:rsidRPr="0031675F">
        <w:rPr>
          <w:spacing w:val="45"/>
        </w:rPr>
        <w:t xml:space="preserve"> </w:t>
      </w:r>
      <w:r w:rsidRPr="0031675F">
        <w:t>temperature</w:t>
      </w:r>
      <w:r w:rsidRPr="0031675F">
        <w:rPr>
          <w:spacing w:val="-3"/>
        </w:rPr>
        <w:t xml:space="preserve"> </w:t>
      </w:r>
      <w:r w:rsidRPr="0031675F">
        <w:t>bath and</w:t>
      </w:r>
      <w:r w:rsidRPr="0031675F">
        <w:rPr>
          <w:spacing w:val="-2"/>
        </w:rPr>
        <w:t xml:space="preserve"> </w:t>
      </w:r>
      <w:r w:rsidRPr="0031675F">
        <w:t>a Hart Scientific</w:t>
      </w:r>
      <w:r w:rsidRPr="0031675F">
        <w:rPr>
          <w:spacing w:val="-2"/>
        </w:rPr>
        <w:t xml:space="preserve"> </w:t>
      </w:r>
      <w:r w:rsidRPr="0031675F">
        <w:t>1522 thermometer.</w:t>
      </w:r>
    </w:p>
    <w:p w14:paraId="52CA2AAE" w14:textId="77777777" w:rsidR="0031675F" w:rsidRPr="0031675F" w:rsidRDefault="0031675F" w:rsidP="0057756F">
      <w:r w:rsidRPr="0031675F">
        <w:t>The</w:t>
      </w:r>
      <w:r w:rsidRPr="0031675F">
        <w:rPr>
          <w:spacing w:val="26"/>
        </w:rPr>
        <w:t xml:space="preserve"> </w:t>
      </w:r>
      <w:r w:rsidRPr="0031675F">
        <w:t>deployment</w:t>
      </w:r>
      <w:r w:rsidRPr="0031675F">
        <w:rPr>
          <w:spacing w:val="24"/>
        </w:rPr>
        <w:t xml:space="preserve"> </w:t>
      </w:r>
      <w:r w:rsidRPr="0031675F">
        <w:t>process</w:t>
      </w:r>
      <w:r w:rsidRPr="0031675F">
        <w:rPr>
          <w:spacing w:val="27"/>
        </w:rPr>
        <w:t xml:space="preserve"> </w:t>
      </w:r>
      <w:r w:rsidRPr="0031675F">
        <w:t>involves</w:t>
      </w:r>
      <w:r w:rsidRPr="0031675F">
        <w:rPr>
          <w:spacing w:val="27"/>
        </w:rPr>
        <w:t xml:space="preserve"> </w:t>
      </w:r>
      <w:r w:rsidRPr="0031675F">
        <w:t>deploying</w:t>
      </w:r>
      <w:r w:rsidRPr="0031675F">
        <w:rPr>
          <w:spacing w:val="25"/>
        </w:rPr>
        <w:t xml:space="preserve"> </w:t>
      </w:r>
      <w:r w:rsidRPr="0031675F">
        <w:t>two</w:t>
      </w:r>
      <w:r w:rsidRPr="0031675F">
        <w:rPr>
          <w:spacing w:val="25"/>
        </w:rPr>
        <w:t xml:space="preserve"> </w:t>
      </w:r>
      <w:r w:rsidRPr="0031675F">
        <w:t>Temperature</w:t>
      </w:r>
      <w:r w:rsidRPr="0031675F">
        <w:rPr>
          <w:spacing w:val="27"/>
        </w:rPr>
        <w:t xml:space="preserve"> </w:t>
      </w:r>
      <w:r w:rsidRPr="0031675F">
        <w:t>loggers</w:t>
      </w:r>
      <w:r w:rsidRPr="0031675F">
        <w:rPr>
          <w:spacing w:val="27"/>
        </w:rPr>
        <w:t xml:space="preserve"> </w:t>
      </w:r>
      <w:r w:rsidRPr="0031675F">
        <w:rPr>
          <w:spacing w:val="-2"/>
        </w:rPr>
        <w:t>at</w:t>
      </w:r>
      <w:r w:rsidRPr="0031675F">
        <w:rPr>
          <w:spacing w:val="26"/>
        </w:rPr>
        <w:t xml:space="preserve"> </w:t>
      </w:r>
      <w:r w:rsidRPr="0031675F">
        <w:t>a</w:t>
      </w:r>
      <w:r w:rsidRPr="0031675F">
        <w:rPr>
          <w:spacing w:val="26"/>
        </w:rPr>
        <w:t xml:space="preserve"> </w:t>
      </w:r>
      <w:r w:rsidRPr="0031675F">
        <w:t>location</w:t>
      </w:r>
      <w:r w:rsidRPr="0031675F">
        <w:rPr>
          <w:spacing w:val="26"/>
        </w:rPr>
        <w:t xml:space="preserve"> </w:t>
      </w:r>
      <w:r w:rsidRPr="0031675F">
        <w:t>designated</w:t>
      </w:r>
      <w:r w:rsidRPr="0031675F">
        <w:rPr>
          <w:spacing w:val="25"/>
        </w:rPr>
        <w:t xml:space="preserve"> </w:t>
      </w:r>
      <w:r w:rsidRPr="0031675F">
        <w:t>by</w:t>
      </w:r>
      <w:r w:rsidRPr="0031675F">
        <w:rPr>
          <w:spacing w:val="25"/>
        </w:rPr>
        <w:t xml:space="preserve"> </w:t>
      </w:r>
      <w:r w:rsidRPr="0031675F">
        <w:t>the</w:t>
      </w:r>
      <w:r w:rsidRPr="0031675F">
        <w:rPr>
          <w:spacing w:val="59"/>
        </w:rPr>
        <w:t xml:space="preserve"> </w:t>
      </w:r>
      <w:r w:rsidRPr="0031675F">
        <w:t>experimental</w:t>
      </w:r>
      <w:r w:rsidRPr="0031675F">
        <w:rPr>
          <w:spacing w:val="4"/>
        </w:rPr>
        <w:t xml:space="preserve"> </w:t>
      </w:r>
      <w:r w:rsidRPr="0031675F">
        <w:rPr>
          <w:spacing w:val="-2"/>
        </w:rPr>
        <w:t>scientist.</w:t>
      </w:r>
      <w:r w:rsidRPr="0031675F">
        <w:rPr>
          <w:spacing w:val="12"/>
        </w:rPr>
        <w:t xml:space="preserve"> </w:t>
      </w:r>
      <w:r w:rsidRPr="0031675F">
        <w:rPr>
          <w:spacing w:val="-2"/>
        </w:rPr>
        <w:t>The</w:t>
      </w:r>
      <w:r w:rsidRPr="0031675F">
        <w:rPr>
          <w:spacing w:val="8"/>
        </w:rPr>
        <w:t xml:space="preserve"> </w:t>
      </w:r>
      <w:r w:rsidRPr="0031675F">
        <w:t>first</w:t>
      </w:r>
      <w:r w:rsidRPr="0031675F">
        <w:rPr>
          <w:spacing w:val="5"/>
        </w:rPr>
        <w:t xml:space="preserve"> </w:t>
      </w:r>
      <w:r w:rsidRPr="0031675F">
        <w:t>logger</w:t>
      </w:r>
      <w:r w:rsidRPr="0031675F">
        <w:rPr>
          <w:spacing w:val="5"/>
        </w:rPr>
        <w:t xml:space="preserve"> </w:t>
      </w:r>
      <w:r w:rsidRPr="0031675F">
        <w:t>is</w:t>
      </w:r>
      <w:r w:rsidRPr="0031675F">
        <w:rPr>
          <w:spacing w:val="7"/>
        </w:rPr>
        <w:t xml:space="preserve"> </w:t>
      </w:r>
      <w:r w:rsidRPr="0031675F">
        <w:t>deployed</w:t>
      </w:r>
      <w:r w:rsidRPr="0031675F">
        <w:rPr>
          <w:spacing w:val="7"/>
        </w:rPr>
        <w:t xml:space="preserve"> </w:t>
      </w:r>
      <w:r w:rsidRPr="0031675F">
        <w:t>in</w:t>
      </w:r>
      <w:r w:rsidRPr="0031675F">
        <w:rPr>
          <w:spacing w:val="4"/>
        </w:rPr>
        <w:t xml:space="preserve"> </w:t>
      </w:r>
      <w:r w:rsidRPr="0031675F">
        <w:t>shallow</w:t>
      </w:r>
      <w:r w:rsidRPr="0031675F">
        <w:rPr>
          <w:spacing w:val="5"/>
        </w:rPr>
        <w:t xml:space="preserve"> </w:t>
      </w:r>
      <w:r w:rsidRPr="0031675F">
        <w:t>water</w:t>
      </w:r>
      <w:r w:rsidRPr="0031675F">
        <w:rPr>
          <w:spacing w:val="5"/>
        </w:rPr>
        <w:t xml:space="preserve"> </w:t>
      </w:r>
      <w:r w:rsidRPr="0031675F">
        <w:t>on</w:t>
      </w:r>
      <w:r w:rsidRPr="0031675F">
        <w:rPr>
          <w:spacing w:val="6"/>
        </w:rPr>
        <w:t xml:space="preserve"> </w:t>
      </w:r>
      <w:r w:rsidRPr="0031675F">
        <w:t>a</w:t>
      </w:r>
      <w:r w:rsidRPr="0031675F">
        <w:rPr>
          <w:spacing w:val="5"/>
        </w:rPr>
        <w:t xml:space="preserve"> </w:t>
      </w:r>
      <w:r w:rsidRPr="0031675F">
        <w:t>reef</w:t>
      </w:r>
      <w:r w:rsidRPr="0031675F">
        <w:rPr>
          <w:spacing w:val="7"/>
        </w:rPr>
        <w:t xml:space="preserve"> </w:t>
      </w:r>
      <w:r w:rsidRPr="0031675F">
        <w:t>flat.</w:t>
      </w:r>
      <w:r w:rsidRPr="0031675F">
        <w:rPr>
          <w:spacing w:val="15"/>
        </w:rPr>
        <w:t xml:space="preserve"> </w:t>
      </w:r>
      <w:r w:rsidRPr="0031675F">
        <w:rPr>
          <w:spacing w:val="-2"/>
        </w:rPr>
        <w:t>The</w:t>
      </w:r>
      <w:r w:rsidRPr="0031675F">
        <w:rPr>
          <w:spacing w:val="8"/>
        </w:rPr>
        <w:t xml:space="preserve"> </w:t>
      </w:r>
      <w:r w:rsidRPr="0031675F">
        <w:t>second</w:t>
      </w:r>
      <w:r w:rsidRPr="0031675F">
        <w:rPr>
          <w:spacing w:val="6"/>
        </w:rPr>
        <w:t xml:space="preserve"> </w:t>
      </w:r>
      <w:r w:rsidRPr="0031675F">
        <w:t>logger</w:t>
      </w:r>
      <w:r w:rsidRPr="0031675F">
        <w:rPr>
          <w:spacing w:val="7"/>
        </w:rPr>
        <w:t xml:space="preserve"> </w:t>
      </w:r>
      <w:r w:rsidRPr="0031675F">
        <w:rPr>
          <w:spacing w:val="-2"/>
        </w:rPr>
        <w:t>is</w:t>
      </w:r>
      <w:r w:rsidRPr="0031675F">
        <w:rPr>
          <w:spacing w:val="89"/>
        </w:rPr>
        <w:t xml:space="preserve"> </w:t>
      </w:r>
      <w:r w:rsidRPr="0031675F">
        <w:t>deployed</w:t>
      </w:r>
      <w:r w:rsidRPr="0031675F">
        <w:rPr>
          <w:spacing w:val="42"/>
        </w:rPr>
        <w:t xml:space="preserve"> </w:t>
      </w:r>
      <w:r w:rsidRPr="0031675F">
        <w:t>in</w:t>
      </w:r>
      <w:r w:rsidRPr="0031675F">
        <w:rPr>
          <w:spacing w:val="42"/>
        </w:rPr>
        <w:t xml:space="preserve"> </w:t>
      </w:r>
      <w:r w:rsidRPr="0031675F">
        <w:t>deeper</w:t>
      </w:r>
      <w:r w:rsidRPr="0031675F">
        <w:rPr>
          <w:spacing w:val="44"/>
        </w:rPr>
        <w:t xml:space="preserve"> </w:t>
      </w:r>
      <w:r w:rsidRPr="0031675F">
        <w:t>water</w:t>
      </w:r>
      <w:r w:rsidRPr="0031675F">
        <w:rPr>
          <w:spacing w:val="40"/>
        </w:rPr>
        <w:t xml:space="preserve"> </w:t>
      </w:r>
      <w:r w:rsidRPr="0031675F">
        <w:t>on</w:t>
      </w:r>
      <w:r w:rsidRPr="0031675F">
        <w:rPr>
          <w:spacing w:val="43"/>
        </w:rPr>
        <w:t xml:space="preserve"> </w:t>
      </w:r>
      <w:r w:rsidRPr="0031675F">
        <w:t>a</w:t>
      </w:r>
      <w:r w:rsidRPr="0031675F">
        <w:rPr>
          <w:spacing w:val="43"/>
        </w:rPr>
        <w:t xml:space="preserve"> </w:t>
      </w:r>
      <w:r w:rsidRPr="0031675F">
        <w:t>reef</w:t>
      </w:r>
      <w:r w:rsidRPr="0031675F">
        <w:rPr>
          <w:spacing w:val="44"/>
        </w:rPr>
        <w:t xml:space="preserve"> </w:t>
      </w:r>
      <w:r w:rsidRPr="0031675F">
        <w:t>slope.</w:t>
      </w:r>
      <w:r w:rsidRPr="0031675F">
        <w:rPr>
          <w:spacing w:val="36"/>
        </w:rPr>
        <w:t xml:space="preserve"> </w:t>
      </w:r>
      <w:r w:rsidRPr="0031675F">
        <w:t>The</w:t>
      </w:r>
      <w:r w:rsidRPr="0031675F">
        <w:rPr>
          <w:spacing w:val="44"/>
        </w:rPr>
        <w:t xml:space="preserve"> </w:t>
      </w:r>
      <w:r w:rsidRPr="0031675F">
        <w:t>temperature</w:t>
      </w:r>
      <w:r w:rsidRPr="0031675F">
        <w:rPr>
          <w:spacing w:val="44"/>
        </w:rPr>
        <w:t xml:space="preserve"> </w:t>
      </w:r>
      <w:r w:rsidRPr="0031675F">
        <w:t>loggers</w:t>
      </w:r>
      <w:r w:rsidRPr="0031675F">
        <w:rPr>
          <w:spacing w:val="42"/>
        </w:rPr>
        <w:t xml:space="preserve"> </w:t>
      </w:r>
      <w:r w:rsidRPr="0031675F">
        <w:t>are</w:t>
      </w:r>
      <w:r w:rsidRPr="0031675F">
        <w:rPr>
          <w:spacing w:val="44"/>
        </w:rPr>
        <w:t xml:space="preserve"> </w:t>
      </w:r>
      <w:r w:rsidRPr="0031675F">
        <w:t>deployed</w:t>
      </w:r>
      <w:r w:rsidRPr="0031675F">
        <w:rPr>
          <w:spacing w:val="43"/>
        </w:rPr>
        <w:t xml:space="preserve"> </w:t>
      </w:r>
      <w:r w:rsidRPr="0031675F">
        <w:t>for</w:t>
      </w:r>
      <w:r w:rsidRPr="0031675F">
        <w:rPr>
          <w:spacing w:val="43"/>
        </w:rPr>
        <w:t xml:space="preserve"> </w:t>
      </w:r>
      <w:r w:rsidRPr="0031675F">
        <w:t>a</w:t>
      </w:r>
      <w:r w:rsidRPr="0031675F">
        <w:rPr>
          <w:spacing w:val="42"/>
        </w:rPr>
        <w:t xml:space="preserve"> </w:t>
      </w:r>
      <w:r w:rsidRPr="0031675F">
        <w:t>period</w:t>
      </w:r>
      <w:r w:rsidRPr="0031675F">
        <w:rPr>
          <w:spacing w:val="43"/>
        </w:rPr>
        <w:t xml:space="preserve"> </w:t>
      </w:r>
      <w:r w:rsidRPr="0031675F">
        <w:t>of</w:t>
      </w:r>
      <w:r w:rsidRPr="0031675F">
        <w:rPr>
          <w:spacing w:val="65"/>
        </w:rPr>
        <w:t xml:space="preserve"> </w:t>
      </w:r>
      <w:r w:rsidRPr="0031675F">
        <w:t>approximately</w:t>
      </w:r>
      <w:r w:rsidRPr="0031675F">
        <w:rPr>
          <w:spacing w:val="-2"/>
        </w:rPr>
        <w:t xml:space="preserve"> </w:t>
      </w:r>
      <w:r w:rsidRPr="0031675F">
        <w:t>one</w:t>
      </w:r>
      <w:r w:rsidRPr="0031675F">
        <w:rPr>
          <w:spacing w:val="-2"/>
        </w:rPr>
        <w:t xml:space="preserve"> </w:t>
      </w:r>
      <w:r w:rsidRPr="0031675F">
        <w:t>year.</w:t>
      </w:r>
    </w:p>
    <w:p w14:paraId="5B0BEA21" w14:textId="77777777" w:rsidR="0031675F" w:rsidRPr="0031675F" w:rsidRDefault="0031675F" w:rsidP="0057756F">
      <w:r w:rsidRPr="0031675F">
        <w:t>After the</w:t>
      </w:r>
      <w:r w:rsidRPr="0031675F">
        <w:rPr>
          <w:spacing w:val="1"/>
        </w:rPr>
        <w:t xml:space="preserve"> </w:t>
      </w:r>
      <w:r w:rsidRPr="0031675F">
        <w:t>temperature</w:t>
      </w:r>
      <w:r w:rsidRPr="0031675F">
        <w:rPr>
          <w:spacing w:val="1"/>
        </w:rPr>
        <w:t xml:space="preserve"> </w:t>
      </w:r>
      <w:r w:rsidRPr="0031675F">
        <w:t>loggers</w:t>
      </w:r>
      <w:r w:rsidRPr="0031675F">
        <w:rPr>
          <w:spacing w:val="1"/>
        </w:rPr>
        <w:t xml:space="preserve"> </w:t>
      </w:r>
      <w:r w:rsidRPr="0031675F">
        <w:t>are</w:t>
      </w:r>
      <w:r w:rsidRPr="0031675F">
        <w:rPr>
          <w:spacing w:val="1"/>
        </w:rPr>
        <w:t xml:space="preserve"> </w:t>
      </w:r>
      <w:r w:rsidRPr="0031675F">
        <w:t>retrieved</w:t>
      </w:r>
      <w:r w:rsidRPr="0031675F">
        <w:rPr>
          <w:spacing w:val="49"/>
        </w:rPr>
        <w:t xml:space="preserve"> </w:t>
      </w:r>
      <w:r w:rsidRPr="0031675F">
        <w:t>the</w:t>
      </w:r>
      <w:r w:rsidRPr="0031675F">
        <w:rPr>
          <w:spacing w:val="1"/>
        </w:rPr>
        <w:t xml:space="preserve"> </w:t>
      </w:r>
      <w:r w:rsidRPr="0031675F">
        <w:t>data</w:t>
      </w:r>
      <w:r w:rsidRPr="0031675F">
        <w:rPr>
          <w:spacing w:val="1"/>
        </w:rPr>
        <w:t xml:space="preserve"> </w:t>
      </w:r>
      <w:r w:rsidRPr="0031675F">
        <w:t>is downloaded and imported into</w:t>
      </w:r>
      <w:r w:rsidRPr="0031675F">
        <w:rPr>
          <w:spacing w:val="2"/>
        </w:rPr>
        <w:t xml:space="preserve"> </w:t>
      </w:r>
      <w:r w:rsidRPr="0031675F">
        <w:t>an Oracle</w:t>
      </w:r>
      <w:r w:rsidRPr="0031675F">
        <w:rPr>
          <w:spacing w:val="80"/>
        </w:rPr>
        <w:t xml:space="preserve"> </w:t>
      </w:r>
      <w:r w:rsidRPr="0031675F">
        <w:t>database</w:t>
      </w:r>
      <w:r w:rsidRPr="0031675F">
        <w:rPr>
          <w:spacing w:val="8"/>
        </w:rPr>
        <w:t xml:space="preserve"> </w:t>
      </w:r>
      <w:r w:rsidRPr="0031675F">
        <w:t>as</w:t>
      </w:r>
      <w:r w:rsidRPr="0031675F">
        <w:rPr>
          <w:spacing w:val="7"/>
        </w:rPr>
        <w:t xml:space="preserve"> </w:t>
      </w:r>
      <w:r w:rsidRPr="0031675F">
        <w:t>raw</w:t>
      </w:r>
      <w:r w:rsidRPr="0031675F">
        <w:rPr>
          <w:spacing w:val="7"/>
        </w:rPr>
        <w:t xml:space="preserve"> </w:t>
      </w:r>
      <w:r w:rsidRPr="0031675F">
        <w:t>or</w:t>
      </w:r>
      <w:r w:rsidRPr="0031675F">
        <w:rPr>
          <w:spacing w:val="7"/>
        </w:rPr>
        <w:t xml:space="preserve"> </w:t>
      </w:r>
      <w:r w:rsidRPr="0031675F">
        <w:t>level</w:t>
      </w:r>
      <w:r w:rsidRPr="0031675F">
        <w:rPr>
          <w:spacing w:val="7"/>
        </w:rPr>
        <w:t xml:space="preserve"> </w:t>
      </w:r>
      <w:r w:rsidRPr="0031675F">
        <w:t>0</w:t>
      </w:r>
      <w:r w:rsidRPr="0031675F">
        <w:rPr>
          <w:spacing w:val="5"/>
        </w:rPr>
        <w:t xml:space="preserve"> </w:t>
      </w:r>
      <w:r w:rsidRPr="0031675F">
        <w:t>data.</w:t>
      </w:r>
      <w:r w:rsidRPr="0031675F">
        <w:rPr>
          <w:spacing w:val="14"/>
        </w:rPr>
        <w:t xml:space="preserve"> </w:t>
      </w:r>
      <w:r w:rsidRPr="0031675F">
        <w:t>To</w:t>
      </w:r>
      <w:r w:rsidRPr="0031675F">
        <w:rPr>
          <w:spacing w:val="9"/>
        </w:rPr>
        <w:t xml:space="preserve"> </w:t>
      </w:r>
      <w:r w:rsidRPr="0031675F">
        <w:t>accomplish</w:t>
      </w:r>
      <w:r w:rsidRPr="0031675F">
        <w:rPr>
          <w:spacing w:val="6"/>
        </w:rPr>
        <w:t xml:space="preserve"> </w:t>
      </w:r>
      <w:r w:rsidRPr="0031675F">
        <w:t>this</w:t>
      </w:r>
      <w:r w:rsidRPr="0031675F">
        <w:rPr>
          <w:spacing w:val="7"/>
        </w:rPr>
        <w:t xml:space="preserve"> </w:t>
      </w:r>
      <w:r w:rsidRPr="0031675F">
        <w:t>task</w:t>
      </w:r>
      <w:r w:rsidRPr="0031675F">
        <w:rPr>
          <w:spacing w:val="7"/>
        </w:rPr>
        <w:t xml:space="preserve"> </w:t>
      </w:r>
      <w:r w:rsidRPr="0031675F">
        <w:t>the</w:t>
      </w:r>
      <w:r w:rsidRPr="0031675F">
        <w:rPr>
          <w:spacing w:val="7"/>
        </w:rPr>
        <w:t xml:space="preserve"> </w:t>
      </w:r>
      <w:r w:rsidRPr="0031675F">
        <w:t>Odyssey</w:t>
      </w:r>
      <w:r w:rsidRPr="0031675F">
        <w:rPr>
          <w:spacing w:val="8"/>
        </w:rPr>
        <w:t xml:space="preserve"> </w:t>
      </w:r>
      <w:r w:rsidRPr="0031675F">
        <w:t>loggers</w:t>
      </w:r>
      <w:r w:rsidRPr="0031675F">
        <w:rPr>
          <w:spacing w:val="7"/>
        </w:rPr>
        <w:t xml:space="preserve"> </w:t>
      </w:r>
      <w:r w:rsidRPr="0031675F">
        <w:t>have</w:t>
      </w:r>
      <w:r w:rsidRPr="0031675F">
        <w:rPr>
          <w:spacing w:val="8"/>
        </w:rPr>
        <w:t xml:space="preserve"> </w:t>
      </w:r>
      <w:r w:rsidRPr="0031675F">
        <w:t>proprietary</w:t>
      </w:r>
      <w:r w:rsidRPr="0031675F">
        <w:rPr>
          <w:spacing w:val="8"/>
        </w:rPr>
        <w:t xml:space="preserve"> </w:t>
      </w:r>
      <w:r w:rsidRPr="0031675F">
        <w:t>software</w:t>
      </w:r>
      <w:r w:rsidRPr="0031675F">
        <w:rPr>
          <w:spacing w:val="79"/>
        </w:rPr>
        <w:t xml:space="preserve"> </w:t>
      </w:r>
      <w:r w:rsidRPr="0031675F">
        <w:t>to</w:t>
      </w:r>
      <w:r w:rsidRPr="0031675F">
        <w:rPr>
          <w:spacing w:val="25"/>
        </w:rPr>
        <w:t xml:space="preserve"> </w:t>
      </w:r>
      <w:r w:rsidRPr="0031675F">
        <w:t>download</w:t>
      </w:r>
      <w:r w:rsidRPr="0031675F">
        <w:rPr>
          <w:spacing w:val="23"/>
        </w:rPr>
        <w:t xml:space="preserve"> </w:t>
      </w:r>
      <w:r w:rsidRPr="0031675F">
        <w:t>and</w:t>
      </w:r>
      <w:r w:rsidRPr="0031675F">
        <w:rPr>
          <w:spacing w:val="23"/>
        </w:rPr>
        <w:t xml:space="preserve"> </w:t>
      </w:r>
      <w:r w:rsidRPr="0031675F">
        <w:t>transfer</w:t>
      </w:r>
      <w:r w:rsidRPr="0031675F">
        <w:rPr>
          <w:spacing w:val="22"/>
        </w:rPr>
        <w:t xml:space="preserve"> </w:t>
      </w:r>
      <w:r w:rsidRPr="0031675F">
        <w:t>their</w:t>
      </w:r>
      <w:r w:rsidRPr="0031675F">
        <w:rPr>
          <w:spacing w:val="24"/>
        </w:rPr>
        <w:t xml:space="preserve"> </w:t>
      </w:r>
      <w:r w:rsidRPr="0031675F">
        <w:t>data</w:t>
      </w:r>
      <w:r w:rsidRPr="0031675F">
        <w:rPr>
          <w:spacing w:val="24"/>
        </w:rPr>
        <w:t xml:space="preserve"> </w:t>
      </w:r>
      <w:r w:rsidRPr="0031675F">
        <w:t>into</w:t>
      </w:r>
      <w:r w:rsidRPr="0031675F">
        <w:rPr>
          <w:spacing w:val="25"/>
        </w:rPr>
        <w:t xml:space="preserve"> </w:t>
      </w:r>
      <w:r w:rsidRPr="0031675F">
        <w:t>a</w:t>
      </w:r>
      <w:r w:rsidRPr="0031675F">
        <w:rPr>
          <w:spacing w:val="24"/>
        </w:rPr>
        <w:t xml:space="preserve"> </w:t>
      </w:r>
      <w:r w:rsidRPr="0031675F">
        <w:t>Microsoft</w:t>
      </w:r>
      <w:r w:rsidRPr="0031675F">
        <w:rPr>
          <w:spacing w:val="22"/>
        </w:rPr>
        <w:t xml:space="preserve"> </w:t>
      </w:r>
      <w:r w:rsidRPr="0031675F">
        <w:t>Access</w:t>
      </w:r>
      <w:r w:rsidRPr="0031675F">
        <w:rPr>
          <w:spacing w:val="24"/>
        </w:rPr>
        <w:t xml:space="preserve"> </w:t>
      </w:r>
      <w:r w:rsidRPr="0031675F">
        <w:t>database</w:t>
      </w:r>
      <w:r w:rsidRPr="0031675F">
        <w:rPr>
          <w:spacing w:val="25"/>
        </w:rPr>
        <w:t xml:space="preserve"> </w:t>
      </w:r>
      <w:r w:rsidRPr="0031675F">
        <w:t>via</w:t>
      </w:r>
      <w:r w:rsidRPr="0031675F">
        <w:rPr>
          <w:spacing w:val="24"/>
        </w:rPr>
        <w:t xml:space="preserve"> </w:t>
      </w:r>
      <w:r w:rsidRPr="0031675F">
        <w:t>a</w:t>
      </w:r>
      <w:r w:rsidRPr="0031675F">
        <w:rPr>
          <w:spacing w:val="24"/>
        </w:rPr>
        <w:t xml:space="preserve"> </w:t>
      </w:r>
      <w:r w:rsidRPr="0031675F">
        <w:t>serial</w:t>
      </w:r>
      <w:r w:rsidRPr="0031675F">
        <w:rPr>
          <w:spacing w:val="23"/>
        </w:rPr>
        <w:t xml:space="preserve"> </w:t>
      </w:r>
      <w:r w:rsidRPr="0031675F">
        <w:t>port.</w:t>
      </w:r>
      <w:r w:rsidRPr="0031675F">
        <w:rPr>
          <w:spacing w:val="47"/>
        </w:rPr>
        <w:t xml:space="preserve"> </w:t>
      </w:r>
      <w:r w:rsidRPr="0031675F">
        <w:t>The</w:t>
      </w:r>
      <w:r w:rsidRPr="0031675F">
        <w:rPr>
          <w:spacing w:val="25"/>
        </w:rPr>
        <w:t xml:space="preserve"> </w:t>
      </w:r>
      <w:r w:rsidRPr="0031675F">
        <w:rPr>
          <w:spacing w:val="-2"/>
        </w:rPr>
        <w:t>software</w:t>
      </w:r>
      <w:r w:rsidRPr="0031675F">
        <w:rPr>
          <w:spacing w:val="53"/>
        </w:rPr>
        <w:t xml:space="preserve"> </w:t>
      </w:r>
      <w:r w:rsidRPr="0031675F">
        <w:t>then</w:t>
      </w:r>
      <w:r w:rsidRPr="0031675F">
        <w:rPr>
          <w:spacing w:val="9"/>
        </w:rPr>
        <w:t xml:space="preserve"> </w:t>
      </w:r>
      <w:r w:rsidRPr="0031675F">
        <w:t>uploads</w:t>
      </w:r>
      <w:r w:rsidRPr="0031675F">
        <w:rPr>
          <w:spacing w:val="10"/>
        </w:rPr>
        <w:t xml:space="preserve"> </w:t>
      </w:r>
      <w:r w:rsidRPr="0031675F">
        <w:t>this</w:t>
      </w:r>
      <w:r w:rsidRPr="0031675F">
        <w:rPr>
          <w:spacing w:val="10"/>
        </w:rPr>
        <w:t xml:space="preserve"> </w:t>
      </w:r>
      <w:r w:rsidRPr="0031675F">
        <w:t>data</w:t>
      </w:r>
      <w:r w:rsidRPr="0031675F">
        <w:rPr>
          <w:spacing w:val="10"/>
        </w:rPr>
        <w:t xml:space="preserve"> </w:t>
      </w:r>
      <w:r w:rsidRPr="0031675F">
        <w:t>from</w:t>
      </w:r>
      <w:r w:rsidRPr="0031675F">
        <w:rPr>
          <w:spacing w:val="11"/>
        </w:rPr>
        <w:t xml:space="preserve"> </w:t>
      </w:r>
      <w:r w:rsidRPr="0031675F">
        <w:t>the</w:t>
      </w:r>
      <w:r w:rsidRPr="0031675F">
        <w:rPr>
          <w:spacing w:val="11"/>
        </w:rPr>
        <w:t xml:space="preserve"> </w:t>
      </w:r>
      <w:r w:rsidRPr="0031675F">
        <w:t>Access</w:t>
      </w:r>
      <w:r w:rsidRPr="0031675F">
        <w:rPr>
          <w:spacing w:val="10"/>
        </w:rPr>
        <w:t xml:space="preserve"> </w:t>
      </w:r>
      <w:r w:rsidRPr="0031675F">
        <w:t>database</w:t>
      </w:r>
      <w:r w:rsidRPr="0031675F">
        <w:rPr>
          <w:spacing w:val="11"/>
        </w:rPr>
        <w:t xml:space="preserve"> </w:t>
      </w:r>
      <w:r w:rsidRPr="0031675F">
        <w:t>into</w:t>
      </w:r>
      <w:r w:rsidRPr="0031675F">
        <w:rPr>
          <w:spacing w:val="12"/>
        </w:rPr>
        <w:t xml:space="preserve"> </w:t>
      </w:r>
      <w:r w:rsidRPr="0031675F">
        <w:t>the</w:t>
      </w:r>
      <w:r w:rsidRPr="0031675F">
        <w:rPr>
          <w:spacing w:val="10"/>
        </w:rPr>
        <w:t xml:space="preserve"> </w:t>
      </w:r>
      <w:r w:rsidRPr="0031675F">
        <w:t>Oracle</w:t>
      </w:r>
      <w:r w:rsidRPr="0031675F">
        <w:rPr>
          <w:spacing w:val="11"/>
        </w:rPr>
        <w:t xml:space="preserve"> </w:t>
      </w:r>
      <w:r w:rsidRPr="0031675F">
        <w:t>database.</w:t>
      </w:r>
      <w:r w:rsidRPr="0031675F">
        <w:rPr>
          <w:spacing w:val="18"/>
        </w:rPr>
        <w:t xml:space="preserve"> </w:t>
      </w:r>
      <w:r w:rsidRPr="0031675F">
        <w:t>The</w:t>
      </w:r>
      <w:r w:rsidRPr="0031675F">
        <w:rPr>
          <w:spacing w:val="11"/>
        </w:rPr>
        <w:t xml:space="preserve"> </w:t>
      </w:r>
      <w:r w:rsidRPr="0031675F">
        <w:t>Sensus loggers</w:t>
      </w:r>
      <w:r w:rsidRPr="0031675F">
        <w:rPr>
          <w:spacing w:val="59"/>
        </w:rPr>
        <w:t xml:space="preserve"> </w:t>
      </w:r>
      <w:r w:rsidRPr="0031675F">
        <w:t>download their data to</w:t>
      </w:r>
      <w:r w:rsidRPr="0031675F">
        <w:rPr>
          <w:spacing w:val="1"/>
        </w:rPr>
        <w:t xml:space="preserve"> </w:t>
      </w:r>
      <w:r w:rsidRPr="0031675F">
        <w:t xml:space="preserve">a Microsoft Excel </w:t>
      </w:r>
      <w:r w:rsidRPr="0031675F">
        <w:rPr>
          <w:spacing w:val="-2"/>
        </w:rPr>
        <w:t>spreadsheet</w:t>
      </w:r>
      <w:r w:rsidRPr="0031675F">
        <w:t xml:space="preserve"> via a serial port.</w:t>
      </w:r>
      <w:r w:rsidRPr="0031675F">
        <w:rPr>
          <w:spacing w:val="49"/>
        </w:rPr>
        <w:t xml:space="preserve"> </w:t>
      </w:r>
      <w:r w:rsidRPr="0031675F">
        <w:t>The spreadsheet is uploaded into</w:t>
      </w:r>
      <w:r w:rsidRPr="0031675F">
        <w:rPr>
          <w:spacing w:val="87"/>
        </w:rPr>
        <w:t xml:space="preserve"> </w:t>
      </w:r>
      <w:r w:rsidRPr="0031675F">
        <w:t>the Oracle database using</w:t>
      </w:r>
      <w:r w:rsidRPr="0031675F">
        <w:rPr>
          <w:spacing w:val="-3"/>
        </w:rPr>
        <w:t xml:space="preserve"> </w:t>
      </w:r>
      <w:r w:rsidRPr="0031675F">
        <w:t>an Java application</w:t>
      </w:r>
      <w:r w:rsidRPr="0031675F">
        <w:rPr>
          <w:spacing w:val="-3"/>
        </w:rPr>
        <w:t xml:space="preserve"> </w:t>
      </w:r>
      <w:r w:rsidRPr="0031675F">
        <w:t>written</w:t>
      </w:r>
      <w:r w:rsidRPr="0031675F">
        <w:rPr>
          <w:spacing w:val="-5"/>
        </w:rPr>
        <w:t xml:space="preserve"> </w:t>
      </w:r>
      <w:r w:rsidRPr="0031675F">
        <w:t>by the AIMS data</w:t>
      </w:r>
      <w:r w:rsidRPr="0031675F">
        <w:rPr>
          <w:spacing w:val="-2"/>
        </w:rPr>
        <w:t xml:space="preserve"> </w:t>
      </w:r>
      <w:r w:rsidRPr="0031675F">
        <w:t>centre.</w:t>
      </w:r>
    </w:p>
    <w:p w14:paraId="7520F5D2" w14:textId="77777777" w:rsidR="0031675F" w:rsidRPr="0031675F" w:rsidRDefault="0031675F" w:rsidP="0057756F">
      <w:r w:rsidRPr="0031675F">
        <w:t>Quality</w:t>
      </w:r>
      <w:r w:rsidRPr="0031675F">
        <w:rPr>
          <w:spacing w:val="44"/>
        </w:rPr>
        <w:t xml:space="preserve"> </w:t>
      </w:r>
      <w:r w:rsidRPr="0031675F">
        <w:t>control</w:t>
      </w:r>
      <w:r w:rsidRPr="0031675F">
        <w:rPr>
          <w:spacing w:val="44"/>
        </w:rPr>
        <w:t xml:space="preserve"> </w:t>
      </w:r>
      <w:r w:rsidRPr="0031675F">
        <w:t>is</w:t>
      </w:r>
      <w:r w:rsidRPr="0031675F">
        <w:rPr>
          <w:spacing w:val="44"/>
        </w:rPr>
        <w:t xml:space="preserve"> </w:t>
      </w:r>
      <w:r w:rsidRPr="0031675F">
        <w:t>performed</w:t>
      </w:r>
      <w:r w:rsidRPr="0031675F">
        <w:rPr>
          <w:spacing w:val="43"/>
        </w:rPr>
        <w:t xml:space="preserve"> </w:t>
      </w:r>
      <w:r w:rsidRPr="0031675F">
        <w:t>on</w:t>
      </w:r>
      <w:r w:rsidRPr="0031675F">
        <w:rPr>
          <w:spacing w:val="43"/>
        </w:rPr>
        <w:t xml:space="preserve"> </w:t>
      </w:r>
      <w:r w:rsidRPr="0031675F">
        <w:t>all</w:t>
      </w:r>
      <w:r w:rsidRPr="0031675F">
        <w:rPr>
          <w:spacing w:val="43"/>
        </w:rPr>
        <w:t xml:space="preserve"> </w:t>
      </w:r>
      <w:r w:rsidRPr="0031675F">
        <w:t>temperature</w:t>
      </w:r>
      <w:r w:rsidRPr="0031675F">
        <w:rPr>
          <w:spacing w:val="41"/>
        </w:rPr>
        <w:t xml:space="preserve"> </w:t>
      </w:r>
      <w:r w:rsidRPr="0031675F">
        <w:t>logger</w:t>
      </w:r>
      <w:r w:rsidRPr="0031675F">
        <w:rPr>
          <w:spacing w:val="43"/>
        </w:rPr>
        <w:t xml:space="preserve"> </w:t>
      </w:r>
      <w:r w:rsidRPr="0031675F">
        <w:t>data</w:t>
      </w:r>
      <w:r w:rsidRPr="0031675F">
        <w:rPr>
          <w:spacing w:val="44"/>
        </w:rPr>
        <w:t xml:space="preserve"> </w:t>
      </w:r>
      <w:r w:rsidRPr="0031675F">
        <w:t>using</w:t>
      </w:r>
      <w:r w:rsidRPr="0031675F">
        <w:rPr>
          <w:spacing w:val="43"/>
        </w:rPr>
        <w:t xml:space="preserve"> </w:t>
      </w:r>
      <w:r w:rsidRPr="0031675F">
        <w:t>Wiski</w:t>
      </w:r>
      <w:r w:rsidRPr="0031675F">
        <w:rPr>
          <w:spacing w:val="43"/>
        </w:rPr>
        <w:t xml:space="preserve"> </w:t>
      </w:r>
      <w:r w:rsidRPr="0031675F">
        <w:t>Time</w:t>
      </w:r>
      <w:r w:rsidRPr="0031675F">
        <w:rPr>
          <w:spacing w:val="45"/>
        </w:rPr>
        <w:t xml:space="preserve"> </w:t>
      </w:r>
      <w:r w:rsidRPr="0031675F">
        <w:t>Series</w:t>
      </w:r>
      <w:r w:rsidRPr="0031675F">
        <w:rPr>
          <w:spacing w:val="44"/>
        </w:rPr>
        <w:t xml:space="preserve"> </w:t>
      </w:r>
      <w:r w:rsidRPr="0031675F">
        <w:t>Viewer</w:t>
      </w:r>
      <w:hyperlink r:id="rId186">
        <w:r w:rsidRPr="0031675F">
          <w:rPr>
            <w:spacing w:val="71"/>
          </w:rPr>
          <w:t xml:space="preserve"> </w:t>
        </w:r>
        <w:r w:rsidRPr="0031675F">
          <w:t>(www.kisters.de/english/html/WISKI/WiskiTV.html</w:t>
        </w:r>
        <w:r w:rsidRPr="0031675F">
          <w:rPr>
            <w:i/>
          </w:rPr>
          <w:t>)</w:t>
        </w:r>
        <w:r w:rsidRPr="0031675F">
          <w:t>.</w:t>
        </w:r>
      </w:hyperlink>
      <w:r w:rsidRPr="0031675F">
        <w:rPr>
          <w:spacing w:val="45"/>
        </w:rPr>
        <w:t xml:space="preserve"> </w:t>
      </w:r>
      <w:r w:rsidRPr="0031675F">
        <w:t>The</w:t>
      </w:r>
      <w:r w:rsidRPr="0031675F">
        <w:rPr>
          <w:spacing w:val="25"/>
        </w:rPr>
        <w:t xml:space="preserve"> </w:t>
      </w:r>
      <w:r w:rsidRPr="0031675F">
        <w:t>Wiski</w:t>
      </w:r>
      <w:r w:rsidRPr="0031675F">
        <w:rPr>
          <w:spacing w:val="24"/>
        </w:rPr>
        <w:t xml:space="preserve"> </w:t>
      </w:r>
      <w:r w:rsidRPr="0031675F">
        <w:t>input</w:t>
      </w:r>
      <w:r w:rsidRPr="0031675F">
        <w:rPr>
          <w:spacing w:val="25"/>
        </w:rPr>
        <w:t xml:space="preserve"> </w:t>
      </w:r>
      <w:r w:rsidRPr="0031675F">
        <w:t>files</w:t>
      </w:r>
      <w:r w:rsidRPr="0031675F">
        <w:rPr>
          <w:spacing w:val="24"/>
        </w:rPr>
        <w:t xml:space="preserve"> </w:t>
      </w:r>
      <w:r w:rsidRPr="0031675F">
        <w:t>are</w:t>
      </w:r>
      <w:r w:rsidRPr="0031675F">
        <w:rPr>
          <w:spacing w:val="24"/>
        </w:rPr>
        <w:t xml:space="preserve"> </w:t>
      </w:r>
      <w:r w:rsidRPr="0031675F">
        <w:t>generated</w:t>
      </w:r>
      <w:r w:rsidRPr="0031675F">
        <w:rPr>
          <w:spacing w:val="23"/>
        </w:rPr>
        <w:t xml:space="preserve"> </w:t>
      </w:r>
      <w:r w:rsidRPr="0031675F">
        <w:t>using</w:t>
      </w:r>
      <w:r w:rsidRPr="0031675F">
        <w:rPr>
          <w:spacing w:val="23"/>
        </w:rPr>
        <w:t xml:space="preserve"> </w:t>
      </w:r>
      <w:r w:rsidRPr="0031675F">
        <w:t>an</w:t>
      </w:r>
      <w:r w:rsidRPr="0031675F">
        <w:rPr>
          <w:spacing w:val="23"/>
        </w:rPr>
        <w:t xml:space="preserve"> </w:t>
      </w:r>
      <w:r w:rsidRPr="0031675F">
        <w:t>Java</w:t>
      </w:r>
      <w:r w:rsidRPr="0031675F">
        <w:rPr>
          <w:spacing w:val="75"/>
        </w:rPr>
        <w:t xml:space="preserve"> </w:t>
      </w:r>
      <w:r w:rsidRPr="0031675F">
        <w:t>application</w:t>
      </w:r>
      <w:r w:rsidRPr="0031675F">
        <w:rPr>
          <w:spacing w:val="14"/>
        </w:rPr>
        <w:t xml:space="preserve"> </w:t>
      </w:r>
      <w:r w:rsidRPr="0031675F">
        <w:t>written</w:t>
      </w:r>
      <w:r w:rsidRPr="0031675F">
        <w:rPr>
          <w:spacing w:val="14"/>
        </w:rPr>
        <w:t xml:space="preserve"> </w:t>
      </w:r>
      <w:r w:rsidRPr="0031675F">
        <w:rPr>
          <w:spacing w:val="-2"/>
        </w:rPr>
        <w:t>by</w:t>
      </w:r>
      <w:r w:rsidRPr="0031675F">
        <w:rPr>
          <w:spacing w:val="15"/>
        </w:rPr>
        <w:t xml:space="preserve"> </w:t>
      </w:r>
      <w:r w:rsidRPr="0031675F">
        <w:t>the</w:t>
      </w:r>
      <w:r w:rsidRPr="0031675F">
        <w:rPr>
          <w:spacing w:val="12"/>
        </w:rPr>
        <w:t xml:space="preserve"> </w:t>
      </w:r>
      <w:r w:rsidRPr="0031675F">
        <w:t>AIMS</w:t>
      </w:r>
      <w:r w:rsidRPr="0031675F">
        <w:rPr>
          <w:spacing w:val="14"/>
        </w:rPr>
        <w:t xml:space="preserve"> </w:t>
      </w:r>
      <w:r w:rsidRPr="0031675F">
        <w:t>data</w:t>
      </w:r>
      <w:r w:rsidRPr="0031675F">
        <w:rPr>
          <w:spacing w:val="15"/>
        </w:rPr>
        <w:t xml:space="preserve"> </w:t>
      </w:r>
      <w:r w:rsidRPr="0031675F">
        <w:t>centre.</w:t>
      </w:r>
      <w:r w:rsidRPr="0031675F">
        <w:rPr>
          <w:spacing w:val="26"/>
        </w:rPr>
        <w:t xml:space="preserve"> </w:t>
      </w:r>
      <w:r w:rsidRPr="0031675F">
        <w:t>Data</w:t>
      </w:r>
      <w:r w:rsidRPr="0031675F">
        <w:rPr>
          <w:spacing w:val="15"/>
        </w:rPr>
        <w:t xml:space="preserve"> </w:t>
      </w:r>
      <w:r w:rsidRPr="0031675F">
        <w:t>from</w:t>
      </w:r>
      <w:r w:rsidRPr="0031675F">
        <w:rPr>
          <w:spacing w:val="13"/>
        </w:rPr>
        <w:t xml:space="preserve"> </w:t>
      </w:r>
      <w:r w:rsidRPr="0031675F">
        <w:t>the</w:t>
      </w:r>
      <w:r w:rsidRPr="0031675F">
        <w:rPr>
          <w:spacing w:val="14"/>
        </w:rPr>
        <w:t xml:space="preserve"> </w:t>
      </w:r>
      <w:r w:rsidRPr="0031675F">
        <w:rPr>
          <w:spacing w:val="-2"/>
        </w:rPr>
        <w:t>same</w:t>
      </w:r>
      <w:r w:rsidRPr="0031675F">
        <w:rPr>
          <w:spacing w:val="15"/>
        </w:rPr>
        <w:t xml:space="preserve"> </w:t>
      </w:r>
      <w:r w:rsidRPr="0031675F">
        <w:t>location</w:t>
      </w:r>
      <w:r w:rsidRPr="0031675F">
        <w:rPr>
          <w:spacing w:val="11"/>
        </w:rPr>
        <w:t xml:space="preserve"> </w:t>
      </w:r>
      <w:r w:rsidRPr="0031675F">
        <w:t>(the</w:t>
      </w:r>
      <w:r w:rsidRPr="0031675F">
        <w:rPr>
          <w:spacing w:val="12"/>
        </w:rPr>
        <w:t xml:space="preserve"> </w:t>
      </w:r>
      <w:r w:rsidRPr="0031675F">
        <w:t>flat</w:t>
      </w:r>
      <w:r w:rsidRPr="0031675F">
        <w:rPr>
          <w:spacing w:val="15"/>
        </w:rPr>
        <w:t xml:space="preserve"> </w:t>
      </w:r>
      <w:r w:rsidRPr="0031675F">
        <w:t>and</w:t>
      </w:r>
      <w:r w:rsidRPr="0031675F">
        <w:rPr>
          <w:spacing w:val="14"/>
        </w:rPr>
        <w:t xml:space="preserve"> </w:t>
      </w:r>
      <w:r w:rsidRPr="0031675F">
        <w:t>the</w:t>
      </w:r>
      <w:r w:rsidRPr="0031675F">
        <w:rPr>
          <w:spacing w:val="14"/>
        </w:rPr>
        <w:t xml:space="preserve"> </w:t>
      </w:r>
      <w:r w:rsidRPr="0031675F">
        <w:t>slope)</w:t>
      </w:r>
      <w:r w:rsidRPr="0031675F">
        <w:rPr>
          <w:spacing w:val="15"/>
        </w:rPr>
        <w:t xml:space="preserve"> </w:t>
      </w:r>
      <w:r w:rsidRPr="0031675F">
        <w:rPr>
          <w:spacing w:val="-2"/>
        </w:rPr>
        <w:t>and</w:t>
      </w:r>
      <w:r w:rsidRPr="0031675F">
        <w:rPr>
          <w:spacing w:val="79"/>
        </w:rPr>
        <w:t xml:space="preserve"> </w:t>
      </w:r>
      <w:r w:rsidRPr="0031675F">
        <w:t>nearby</w:t>
      </w:r>
      <w:r w:rsidRPr="0031675F">
        <w:rPr>
          <w:spacing w:val="29"/>
        </w:rPr>
        <w:t xml:space="preserve"> </w:t>
      </w:r>
      <w:r w:rsidRPr="0031675F">
        <w:t>locations</w:t>
      </w:r>
      <w:r w:rsidRPr="0031675F">
        <w:rPr>
          <w:spacing w:val="29"/>
        </w:rPr>
        <w:t xml:space="preserve"> </w:t>
      </w:r>
      <w:r w:rsidRPr="0031675F">
        <w:t>are</w:t>
      </w:r>
      <w:r w:rsidRPr="0031675F">
        <w:rPr>
          <w:spacing w:val="29"/>
        </w:rPr>
        <w:t xml:space="preserve"> </w:t>
      </w:r>
      <w:r w:rsidRPr="0031675F">
        <w:t>plotted</w:t>
      </w:r>
      <w:r w:rsidRPr="0031675F">
        <w:rPr>
          <w:spacing w:val="28"/>
        </w:rPr>
        <w:t xml:space="preserve"> </w:t>
      </w:r>
      <w:r w:rsidRPr="0031675F">
        <w:t>together</w:t>
      </w:r>
      <w:r w:rsidRPr="0031675F">
        <w:rPr>
          <w:spacing w:val="29"/>
        </w:rPr>
        <w:t xml:space="preserve"> </w:t>
      </w:r>
      <w:r w:rsidRPr="0031675F">
        <w:t>for</w:t>
      </w:r>
      <w:r w:rsidRPr="0031675F">
        <w:rPr>
          <w:spacing w:val="29"/>
        </w:rPr>
        <w:t xml:space="preserve"> </w:t>
      </w:r>
      <w:r w:rsidRPr="0031675F">
        <w:t>comparison.</w:t>
      </w:r>
      <w:r w:rsidRPr="0031675F">
        <w:rPr>
          <w:spacing w:val="8"/>
        </w:rPr>
        <w:t xml:space="preserve"> </w:t>
      </w:r>
      <w:r w:rsidRPr="0031675F">
        <w:t>Any</w:t>
      </w:r>
      <w:r w:rsidRPr="0031675F">
        <w:rPr>
          <w:spacing w:val="30"/>
        </w:rPr>
        <w:t xml:space="preserve"> </w:t>
      </w:r>
      <w:r w:rsidRPr="0031675F">
        <w:t>bad</w:t>
      </w:r>
      <w:r w:rsidRPr="0031675F">
        <w:rPr>
          <w:spacing w:val="29"/>
        </w:rPr>
        <w:t xml:space="preserve"> </w:t>
      </w:r>
      <w:r w:rsidRPr="0031675F">
        <w:t>points</w:t>
      </w:r>
      <w:r w:rsidRPr="0031675F">
        <w:rPr>
          <w:spacing w:val="30"/>
        </w:rPr>
        <w:t xml:space="preserve"> </w:t>
      </w:r>
      <w:r w:rsidRPr="0031675F">
        <w:t>are</w:t>
      </w:r>
      <w:r w:rsidRPr="0031675F">
        <w:rPr>
          <w:spacing w:val="29"/>
        </w:rPr>
        <w:t xml:space="preserve"> </w:t>
      </w:r>
      <w:r w:rsidRPr="0031675F">
        <w:t>removed.</w:t>
      </w:r>
      <w:r w:rsidRPr="0031675F">
        <w:rPr>
          <w:spacing w:val="8"/>
        </w:rPr>
        <w:t xml:space="preserve"> </w:t>
      </w:r>
      <w:r w:rsidRPr="0031675F">
        <w:t>If</w:t>
      </w:r>
      <w:r w:rsidRPr="0031675F">
        <w:rPr>
          <w:spacing w:val="27"/>
        </w:rPr>
        <w:t xml:space="preserve"> </w:t>
      </w:r>
      <w:r w:rsidRPr="0031675F">
        <w:t>a</w:t>
      </w:r>
      <w:r w:rsidRPr="0031675F">
        <w:rPr>
          <w:spacing w:val="29"/>
        </w:rPr>
        <w:t xml:space="preserve"> </w:t>
      </w:r>
      <w:r w:rsidRPr="0031675F">
        <w:t>logger</w:t>
      </w:r>
      <w:r w:rsidRPr="0031675F">
        <w:rPr>
          <w:spacing w:val="29"/>
        </w:rPr>
        <w:t xml:space="preserve"> </w:t>
      </w:r>
      <w:r w:rsidRPr="0031675F">
        <w:t>has</w:t>
      </w:r>
      <w:r w:rsidRPr="0031675F">
        <w:rPr>
          <w:spacing w:val="79"/>
        </w:rPr>
        <w:t xml:space="preserve"> </w:t>
      </w:r>
      <w:r w:rsidRPr="0031675F">
        <w:t>suffered</w:t>
      </w:r>
      <w:r w:rsidRPr="0031675F">
        <w:rPr>
          <w:spacing w:val="3"/>
        </w:rPr>
        <w:t xml:space="preserve"> </w:t>
      </w:r>
      <w:r w:rsidRPr="0031675F">
        <w:t>any</w:t>
      </w:r>
      <w:r w:rsidRPr="0031675F">
        <w:rPr>
          <w:spacing w:val="3"/>
        </w:rPr>
        <w:t xml:space="preserve"> </w:t>
      </w:r>
      <w:r w:rsidRPr="0031675F">
        <w:t>drift</w:t>
      </w:r>
      <w:r w:rsidRPr="0031675F">
        <w:rPr>
          <w:spacing w:val="3"/>
        </w:rPr>
        <w:t xml:space="preserve"> </w:t>
      </w:r>
      <w:r w:rsidRPr="0031675F">
        <w:t>in</w:t>
      </w:r>
      <w:r w:rsidRPr="0031675F">
        <w:rPr>
          <w:spacing w:val="1"/>
        </w:rPr>
        <w:t xml:space="preserve"> </w:t>
      </w:r>
      <w:r w:rsidRPr="0031675F">
        <w:t>its</w:t>
      </w:r>
      <w:r w:rsidRPr="0031675F">
        <w:rPr>
          <w:spacing w:val="3"/>
        </w:rPr>
        <w:t xml:space="preserve"> </w:t>
      </w:r>
      <w:r w:rsidRPr="0031675F">
        <w:t>recorded</w:t>
      </w:r>
      <w:r w:rsidRPr="0031675F">
        <w:rPr>
          <w:spacing w:val="2"/>
        </w:rPr>
        <w:t xml:space="preserve"> </w:t>
      </w:r>
      <w:r w:rsidRPr="0031675F">
        <w:t>data</w:t>
      </w:r>
      <w:r w:rsidRPr="0031675F">
        <w:rPr>
          <w:spacing w:val="3"/>
        </w:rPr>
        <w:t xml:space="preserve"> </w:t>
      </w:r>
      <w:r w:rsidRPr="0031675F">
        <w:t>points</w:t>
      </w:r>
      <w:r w:rsidRPr="0031675F">
        <w:rPr>
          <w:spacing w:val="3"/>
        </w:rPr>
        <w:t xml:space="preserve"> </w:t>
      </w:r>
      <w:r w:rsidRPr="0031675F">
        <w:t>this</w:t>
      </w:r>
      <w:r w:rsidRPr="0031675F">
        <w:rPr>
          <w:spacing w:val="2"/>
        </w:rPr>
        <w:t xml:space="preserve"> </w:t>
      </w:r>
      <w:r w:rsidRPr="0031675F">
        <w:t>can</w:t>
      </w:r>
      <w:r w:rsidRPr="0031675F">
        <w:rPr>
          <w:spacing w:val="2"/>
        </w:rPr>
        <w:t xml:space="preserve"> </w:t>
      </w:r>
      <w:r w:rsidRPr="0031675F">
        <w:t>be</w:t>
      </w:r>
      <w:r w:rsidRPr="0031675F">
        <w:rPr>
          <w:spacing w:val="3"/>
        </w:rPr>
        <w:t xml:space="preserve"> </w:t>
      </w:r>
      <w:r w:rsidRPr="0031675F">
        <w:t>corrected</w:t>
      </w:r>
      <w:r w:rsidRPr="0031675F">
        <w:rPr>
          <w:spacing w:val="2"/>
        </w:rPr>
        <w:t xml:space="preserve"> </w:t>
      </w:r>
      <w:r w:rsidRPr="0031675F">
        <w:t>using</w:t>
      </w:r>
      <w:r w:rsidRPr="0031675F">
        <w:rPr>
          <w:spacing w:val="2"/>
        </w:rPr>
        <w:t xml:space="preserve"> </w:t>
      </w:r>
      <w:r w:rsidRPr="0031675F">
        <w:t>Wiski</w:t>
      </w:r>
      <w:r w:rsidRPr="0031675F">
        <w:rPr>
          <w:spacing w:val="2"/>
        </w:rPr>
        <w:t xml:space="preserve"> </w:t>
      </w:r>
      <w:r w:rsidRPr="0031675F">
        <w:t>Time</w:t>
      </w:r>
      <w:r w:rsidRPr="0031675F">
        <w:rPr>
          <w:spacing w:val="3"/>
        </w:rPr>
        <w:t xml:space="preserve"> </w:t>
      </w:r>
      <w:r w:rsidRPr="0031675F">
        <w:t>Series</w:t>
      </w:r>
      <w:r w:rsidRPr="0031675F">
        <w:rPr>
          <w:spacing w:val="2"/>
        </w:rPr>
        <w:t xml:space="preserve"> </w:t>
      </w:r>
      <w:r w:rsidRPr="0031675F">
        <w:t>Viewer.</w:t>
      </w:r>
      <w:r w:rsidRPr="0031675F">
        <w:rPr>
          <w:spacing w:val="5"/>
        </w:rPr>
        <w:t xml:space="preserve"> </w:t>
      </w:r>
      <w:r w:rsidRPr="0031675F">
        <w:t>After</w:t>
      </w:r>
      <w:r w:rsidRPr="0031675F">
        <w:rPr>
          <w:spacing w:val="63"/>
        </w:rPr>
        <w:t xml:space="preserve"> </w:t>
      </w:r>
      <w:r w:rsidRPr="0031675F">
        <w:t>this process</w:t>
      </w:r>
      <w:r w:rsidRPr="0031675F">
        <w:rPr>
          <w:spacing w:val="-2"/>
        </w:rPr>
        <w:t xml:space="preserve"> </w:t>
      </w:r>
      <w:r w:rsidRPr="0031675F">
        <w:t>the data</w:t>
      </w:r>
      <w:r w:rsidRPr="0031675F">
        <w:rPr>
          <w:spacing w:val="-3"/>
        </w:rPr>
        <w:t xml:space="preserve"> </w:t>
      </w:r>
      <w:r w:rsidRPr="0031675F">
        <w:t>is inserted into</w:t>
      </w:r>
      <w:r w:rsidRPr="0031675F">
        <w:rPr>
          <w:spacing w:val="1"/>
        </w:rPr>
        <w:t xml:space="preserve"> </w:t>
      </w:r>
      <w:r w:rsidRPr="0031675F">
        <w:t>the</w:t>
      </w:r>
      <w:r w:rsidRPr="0031675F">
        <w:rPr>
          <w:spacing w:val="-2"/>
        </w:rPr>
        <w:t xml:space="preserve"> </w:t>
      </w:r>
      <w:r w:rsidRPr="0031675F">
        <w:t>database</w:t>
      </w:r>
      <w:r w:rsidRPr="0031675F">
        <w:rPr>
          <w:spacing w:val="-2"/>
        </w:rPr>
        <w:t xml:space="preserve"> </w:t>
      </w:r>
      <w:r w:rsidRPr="0031675F">
        <w:t>as quality</w:t>
      </w:r>
      <w:r w:rsidRPr="0031675F">
        <w:rPr>
          <w:spacing w:val="1"/>
        </w:rPr>
        <w:t xml:space="preserve"> </w:t>
      </w:r>
      <w:r w:rsidRPr="0031675F">
        <w:t>controlled</w:t>
      </w:r>
      <w:r w:rsidRPr="0031675F">
        <w:rPr>
          <w:spacing w:val="-3"/>
        </w:rPr>
        <w:t xml:space="preserve"> </w:t>
      </w:r>
      <w:r w:rsidRPr="0031675F">
        <w:t>or level1 data.</w:t>
      </w:r>
    </w:p>
    <w:p w14:paraId="0C83669D" w14:textId="77777777" w:rsidR="0031675F" w:rsidRPr="0031675F" w:rsidRDefault="0031675F" w:rsidP="0031675F">
      <w:pPr>
        <w:spacing w:after="120"/>
        <w:ind w:left="100" w:right="118"/>
        <w:jc w:val="both"/>
      </w:pPr>
    </w:p>
    <w:p w14:paraId="2804491D" w14:textId="77777777" w:rsidR="0031675F" w:rsidRPr="0031675F" w:rsidRDefault="0031675F" w:rsidP="0031675F">
      <w:pPr>
        <w:widowControl w:val="0"/>
        <w:numPr>
          <w:ilvl w:val="1"/>
          <w:numId w:val="59"/>
        </w:numPr>
        <w:tabs>
          <w:tab w:val="left" w:pos="819"/>
        </w:tabs>
        <w:spacing w:before="0" w:after="0" w:line="240" w:lineRule="auto"/>
        <w:jc w:val="both"/>
        <w:rPr>
          <w:rFonts w:eastAsia="Arial" w:cs="Arial"/>
          <w:sz w:val="24"/>
          <w:szCs w:val="24"/>
        </w:rPr>
      </w:pPr>
      <w:r w:rsidRPr="0031675F">
        <w:rPr>
          <w:b/>
          <w:sz w:val="24"/>
        </w:rPr>
        <w:t>Data</w:t>
      </w:r>
      <w:r w:rsidRPr="0031675F">
        <w:rPr>
          <w:b/>
          <w:spacing w:val="1"/>
          <w:sz w:val="24"/>
        </w:rPr>
        <w:t xml:space="preserve"> </w:t>
      </w:r>
      <w:r w:rsidRPr="0031675F">
        <w:rPr>
          <w:b/>
          <w:sz w:val="24"/>
        </w:rPr>
        <w:t>validation</w:t>
      </w:r>
    </w:p>
    <w:p w14:paraId="05AA81DC" w14:textId="4B82E164" w:rsidR="0031675F" w:rsidRPr="0031675F" w:rsidRDefault="0031675F" w:rsidP="0057756F">
      <w:r w:rsidRPr="0031675F">
        <w:t>As</w:t>
      </w:r>
      <w:r w:rsidRPr="0031675F">
        <w:rPr>
          <w:spacing w:val="25"/>
        </w:rPr>
        <w:t xml:space="preserve"> </w:t>
      </w:r>
      <w:r w:rsidRPr="0031675F">
        <w:t>the</w:t>
      </w:r>
      <w:r w:rsidRPr="0031675F">
        <w:rPr>
          <w:spacing w:val="27"/>
        </w:rPr>
        <w:t xml:space="preserve"> </w:t>
      </w:r>
      <w:r w:rsidRPr="0031675F">
        <w:t>previous</w:t>
      </w:r>
      <w:r w:rsidRPr="0031675F">
        <w:rPr>
          <w:spacing w:val="27"/>
        </w:rPr>
        <w:t xml:space="preserve"> </w:t>
      </w:r>
      <w:r w:rsidRPr="0031675F">
        <w:t>section</w:t>
      </w:r>
      <w:r w:rsidRPr="0031675F">
        <w:rPr>
          <w:spacing w:val="25"/>
        </w:rPr>
        <w:t xml:space="preserve"> </w:t>
      </w:r>
      <w:r w:rsidRPr="0031675F">
        <w:t>describes,</w:t>
      </w:r>
      <w:r w:rsidRPr="0031675F">
        <w:rPr>
          <w:spacing w:val="24"/>
        </w:rPr>
        <w:t xml:space="preserve"> </w:t>
      </w:r>
      <w:r w:rsidRPr="0031675F">
        <w:t>the</w:t>
      </w:r>
      <w:r w:rsidRPr="0031675F">
        <w:rPr>
          <w:spacing w:val="27"/>
        </w:rPr>
        <w:t xml:space="preserve"> </w:t>
      </w:r>
      <w:r w:rsidRPr="0031675F">
        <w:t>resulting</w:t>
      </w:r>
      <w:r w:rsidRPr="0031675F">
        <w:rPr>
          <w:spacing w:val="26"/>
        </w:rPr>
        <w:t xml:space="preserve"> </w:t>
      </w:r>
      <w:r w:rsidRPr="0031675F">
        <w:t>data</w:t>
      </w:r>
      <w:r w:rsidRPr="0031675F">
        <w:rPr>
          <w:spacing w:val="22"/>
        </w:rPr>
        <w:t xml:space="preserve"> </w:t>
      </w:r>
      <w:r w:rsidRPr="0031675F">
        <w:t>from</w:t>
      </w:r>
      <w:r w:rsidRPr="0031675F">
        <w:rPr>
          <w:spacing w:val="25"/>
        </w:rPr>
        <w:t xml:space="preserve"> </w:t>
      </w:r>
      <w:r w:rsidRPr="0031675F">
        <w:t>sampling</w:t>
      </w:r>
      <w:r w:rsidRPr="0031675F">
        <w:rPr>
          <w:spacing w:val="25"/>
        </w:rPr>
        <w:t xml:space="preserve"> </w:t>
      </w:r>
      <w:r w:rsidRPr="0031675F">
        <w:t>and</w:t>
      </w:r>
      <w:r w:rsidRPr="0031675F">
        <w:rPr>
          <w:spacing w:val="26"/>
        </w:rPr>
        <w:t xml:space="preserve"> </w:t>
      </w:r>
      <w:r w:rsidRPr="0031675F">
        <w:t>instrumentation</w:t>
      </w:r>
      <w:r w:rsidRPr="0031675F">
        <w:rPr>
          <w:spacing w:val="23"/>
        </w:rPr>
        <w:t xml:space="preserve"> </w:t>
      </w:r>
      <w:r w:rsidRPr="0031675F">
        <w:t>is</w:t>
      </w:r>
      <w:r w:rsidRPr="0031675F">
        <w:rPr>
          <w:spacing w:val="26"/>
        </w:rPr>
        <w:t xml:space="preserve"> </w:t>
      </w:r>
      <w:r w:rsidRPr="0031675F">
        <w:t>place</w:t>
      </w:r>
      <w:r w:rsidRPr="0031675F">
        <w:rPr>
          <w:spacing w:val="26"/>
        </w:rPr>
        <w:t xml:space="preserve"> </w:t>
      </w:r>
      <w:r w:rsidRPr="0031675F">
        <w:t>into</w:t>
      </w:r>
      <w:r w:rsidRPr="0031675F">
        <w:rPr>
          <w:spacing w:val="49"/>
        </w:rPr>
        <w:t xml:space="preserve"> </w:t>
      </w:r>
      <w:r w:rsidRPr="0031675F">
        <w:t>oracle</w:t>
      </w:r>
      <w:r w:rsidRPr="0031675F">
        <w:rPr>
          <w:spacing w:val="21"/>
        </w:rPr>
        <w:t xml:space="preserve"> </w:t>
      </w:r>
      <w:r w:rsidRPr="0031675F">
        <w:t>databases.</w:t>
      </w:r>
      <w:r w:rsidRPr="0031675F">
        <w:rPr>
          <w:spacing w:val="24"/>
        </w:rPr>
        <w:t xml:space="preserve"> </w:t>
      </w:r>
      <w:r w:rsidRPr="0031675F">
        <w:rPr>
          <w:spacing w:val="-2"/>
        </w:rPr>
        <w:t>Once</w:t>
      </w:r>
      <w:r w:rsidRPr="0031675F">
        <w:rPr>
          <w:spacing w:val="22"/>
        </w:rPr>
        <w:t xml:space="preserve"> </w:t>
      </w:r>
      <w:r w:rsidRPr="0031675F">
        <w:t>the</w:t>
      </w:r>
      <w:r w:rsidRPr="0031675F">
        <w:rPr>
          <w:spacing w:val="24"/>
        </w:rPr>
        <w:t xml:space="preserve"> </w:t>
      </w:r>
      <w:r w:rsidRPr="0031675F">
        <w:t>data</w:t>
      </w:r>
      <w:r w:rsidRPr="0031675F">
        <w:rPr>
          <w:spacing w:val="22"/>
        </w:rPr>
        <w:t xml:space="preserve"> </w:t>
      </w:r>
      <w:r w:rsidRPr="0031675F">
        <w:t>is</w:t>
      </w:r>
      <w:r w:rsidRPr="0031675F">
        <w:rPr>
          <w:spacing w:val="24"/>
        </w:rPr>
        <w:t xml:space="preserve"> </w:t>
      </w:r>
      <w:r w:rsidRPr="0031675F">
        <w:t>in</w:t>
      </w:r>
      <w:r w:rsidRPr="0031675F">
        <w:rPr>
          <w:spacing w:val="20"/>
        </w:rPr>
        <w:t xml:space="preserve"> </w:t>
      </w:r>
      <w:r w:rsidRPr="0031675F">
        <w:t>oracle,</w:t>
      </w:r>
      <w:r w:rsidRPr="0031675F">
        <w:rPr>
          <w:spacing w:val="22"/>
        </w:rPr>
        <w:t xml:space="preserve"> </w:t>
      </w:r>
      <w:r w:rsidRPr="0031675F">
        <w:t>views</w:t>
      </w:r>
      <w:r w:rsidRPr="0031675F">
        <w:rPr>
          <w:spacing w:val="22"/>
        </w:rPr>
        <w:t xml:space="preserve"> </w:t>
      </w:r>
      <w:r w:rsidRPr="0031675F">
        <w:t>are</w:t>
      </w:r>
      <w:r w:rsidRPr="0031675F">
        <w:rPr>
          <w:spacing w:val="24"/>
        </w:rPr>
        <w:t xml:space="preserve"> </w:t>
      </w:r>
      <w:r w:rsidRPr="0031675F">
        <w:t>created</w:t>
      </w:r>
      <w:r w:rsidRPr="0031675F">
        <w:rPr>
          <w:spacing w:val="21"/>
        </w:rPr>
        <w:t xml:space="preserve"> </w:t>
      </w:r>
      <w:r w:rsidRPr="0031675F">
        <w:t>of</w:t>
      </w:r>
      <w:r w:rsidRPr="0031675F">
        <w:rPr>
          <w:spacing w:val="21"/>
        </w:rPr>
        <w:t xml:space="preserve"> </w:t>
      </w:r>
      <w:r w:rsidRPr="0031675F">
        <w:t>the</w:t>
      </w:r>
      <w:r w:rsidRPr="0031675F">
        <w:rPr>
          <w:spacing w:val="22"/>
        </w:rPr>
        <w:t xml:space="preserve"> </w:t>
      </w:r>
      <w:r w:rsidRPr="0031675F">
        <w:t>data</w:t>
      </w:r>
      <w:r w:rsidRPr="0031675F">
        <w:rPr>
          <w:spacing w:val="22"/>
        </w:rPr>
        <w:t xml:space="preserve"> </w:t>
      </w:r>
      <w:r w:rsidRPr="0031675F">
        <w:t>to</w:t>
      </w:r>
      <w:r w:rsidRPr="0031675F">
        <w:rPr>
          <w:spacing w:val="23"/>
        </w:rPr>
        <w:t xml:space="preserve"> </w:t>
      </w:r>
      <w:r w:rsidRPr="0031675F">
        <w:t>simplify</w:t>
      </w:r>
      <w:r w:rsidRPr="0031675F">
        <w:rPr>
          <w:spacing w:val="24"/>
        </w:rPr>
        <w:t xml:space="preserve"> </w:t>
      </w:r>
      <w:r w:rsidRPr="0031675F">
        <w:t>processing</w:t>
      </w:r>
      <w:r w:rsidRPr="0031675F">
        <w:rPr>
          <w:spacing w:val="23"/>
        </w:rPr>
        <w:t xml:space="preserve"> </w:t>
      </w:r>
      <w:r w:rsidRPr="0031675F">
        <w:t>and</w:t>
      </w:r>
      <w:r w:rsidRPr="0031675F">
        <w:rPr>
          <w:spacing w:val="61"/>
        </w:rPr>
        <w:t xml:space="preserve"> </w:t>
      </w:r>
      <w:r w:rsidRPr="0031675F">
        <w:t>hide the complexities</w:t>
      </w:r>
      <w:r w:rsidRPr="0031675F">
        <w:rPr>
          <w:spacing w:val="-2"/>
        </w:rPr>
        <w:t xml:space="preserve"> </w:t>
      </w:r>
      <w:r w:rsidRPr="0031675F">
        <w:t xml:space="preserve">of </w:t>
      </w:r>
      <w:r w:rsidRPr="0031675F">
        <w:rPr>
          <w:spacing w:val="-2"/>
        </w:rPr>
        <w:t>the</w:t>
      </w:r>
      <w:r w:rsidRPr="0031675F">
        <w:t xml:space="preserve"> underlying</w:t>
      </w:r>
      <w:r w:rsidRPr="0031675F">
        <w:rPr>
          <w:spacing w:val="-2"/>
        </w:rPr>
        <w:t xml:space="preserve"> </w:t>
      </w:r>
      <w:r w:rsidRPr="0031675F">
        <w:t xml:space="preserve">database schemas. </w:t>
      </w:r>
      <w:r w:rsidRPr="0031675F">
        <w:rPr>
          <w:spacing w:val="-2"/>
        </w:rPr>
        <w:t xml:space="preserve">The </w:t>
      </w:r>
      <w:r w:rsidRPr="0031675F">
        <w:t>views</w:t>
      </w:r>
      <w:r w:rsidRPr="0031675F">
        <w:rPr>
          <w:spacing w:val="1"/>
        </w:rPr>
        <w:t xml:space="preserve"> </w:t>
      </w:r>
      <w:r w:rsidRPr="0031675F">
        <w:t>are</w:t>
      </w:r>
      <w:r w:rsidRPr="0031675F">
        <w:rPr>
          <w:spacing w:val="-3"/>
        </w:rPr>
        <w:t xml:space="preserve"> </w:t>
      </w:r>
      <w:r w:rsidRPr="0031675F">
        <w:t>ma</w:t>
      </w:r>
      <w:r w:rsidR="008F55F2">
        <w:t>d</w:t>
      </w:r>
      <w:r w:rsidRPr="0031675F">
        <w:t>e available</w:t>
      </w:r>
      <w:r w:rsidRPr="0031675F">
        <w:rPr>
          <w:spacing w:val="-2"/>
        </w:rPr>
        <w:t xml:space="preserve"> </w:t>
      </w:r>
      <w:r w:rsidRPr="0031675F">
        <w:t>3</w:t>
      </w:r>
      <w:r w:rsidRPr="0031675F">
        <w:rPr>
          <w:spacing w:val="-2"/>
        </w:rPr>
        <w:t xml:space="preserve"> </w:t>
      </w:r>
      <w:r w:rsidRPr="0031675F">
        <w:t>mechanisms:</w:t>
      </w:r>
    </w:p>
    <w:p w14:paraId="53E6F199" w14:textId="77777777" w:rsidR="0031675F" w:rsidRPr="0031675F" w:rsidRDefault="0031675F" w:rsidP="0031675F">
      <w:pPr>
        <w:numPr>
          <w:ilvl w:val="0"/>
          <w:numId w:val="146"/>
        </w:numPr>
        <w:spacing w:before="0" w:after="0" w:line="240" w:lineRule="auto"/>
        <w:jc w:val="both"/>
      </w:pPr>
      <w:r w:rsidRPr="0031675F">
        <w:t xml:space="preserve">On-line </w:t>
      </w:r>
      <w:r w:rsidRPr="0031675F">
        <w:rPr>
          <w:spacing w:val="-1"/>
        </w:rPr>
        <w:t>forms</w:t>
      </w:r>
      <w:r w:rsidRPr="0031675F">
        <w:t xml:space="preserve"> via the Intranet</w:t>
      </w:r>
      <w:r w:rsidRPr="0031675F">
        <w:rPr>
          <w:spacing w:val="-1"/>
        </w:rPr>
        <w:t>.</w:t>
      </w:r>
    </w:p>
    <w:p w14:paraId="5DCF619B" w14:textId="77777777" w:rsidR="0031675F" w:rsidRPr="0031675F" w:rsidRDefault="0031675F" w:rsidP="0031675F">
      <w:pPr>
        <w:numPr>
          <w:ilvl w:val="0"/>
          <w:numId w:val="146"/>
        </w:numPr>
        <w:spacing w:before="12" w:after="0" w:line="240" w:lineRule="auto"/>
        <w:jc w:val="both"/>
      </w:pPr>
      <w:r w:rsidRPr="0031675F">
        <w:t xml:space="preserve">On-line </w:t>
      </w:r>
      <w:r w:rsidRPr="0031675F">
        <w:rPr>
          <w:spacing w:val="-1"/>
        </w:rPr>
        <w:t>file</w:t>
      </w:r>
      <w:r w:rsidRPr="0031675F">
        <w:t xml:space="preserve"> </w:t>
      </w:r>
      <w:r w:rsidRPr="0031675F">
        <w:rPr>
          <w:spacing w:val="-1"/>
        </w:rPr>
        <w:t>downloads/exports.</w:t>
      </w:r>
    </w:p>
    <w:p w14:paraId="77E06E24" w14:textId="77777777" w:rsidR="0031675F" w:rsidRPr="0031675F" w:rsidRDefault="0031675F" w:rsidP="0031675F">
      <w:pPr>
        <w:numPr>
          <w:ilvl w:val="0"/>
          <w:numId w:val="146"/>
        </w:numPr>
        <w:spacing w:before="10" w:after="0" w:line="240" w:lineRule="auto"/>
        <w:jc w:val="both"/>
      </w:pPr>
      <w:r w:rsidRPr="0031675F">
        <w:rPr>
          <w:spacing w:val="-1"/>
        </w:rPr>
        <w:t>Microsoft Access</w:t>
      </w:r>
      <w:r w:rsidRPr="0031675F">
        <w:rPr>
          <w:spacing w:val="-3"/>
        </w:rPr>
        <w:t xml:space="preserve"> </w:t>
      </w:r>
      <w:r w:rsidRPr="0031675F">
        <w:rPr>
          <w:spacing w:val="-1"/>
        </w:rPr>
        <w:t>Database</w:t>
      </w:r>
      <w:r w:rsidRPr="0031675F">
        <w:rPr>
          <w:spacing w:val="-2"/>
        </w:rPr>
        <w:t>s</w:t>
      </w:r>
      <w:r w:rsidRPr="0031675F">
        <w:rPr>
          <w:spacing w:val="-1"/>
        </w:rPr>
        <w:t>.</w:t>
      </w:r>
    </w:p>
    <w:p w14:paraId="0EA9657A" w14:textId="77777777" w:rsidR="0031675F" w:rsidRPr="0031675F" w:rsidRDefault="0031675F" w:rsidP="0057756F">
      <w:r w:rsidRPr="0031675F">
        <w:t>All</w:t>
      </w:r>
      <w:r w:rsidRPr="0031675F">
        <w:rPr>
          <w:spacing w:val="9"/>
        </w:rPr>
        <w:t xml:space="preserve"> </w:t>
      </w:r>
      <w:r w:rsidRPr="0031675F">
        <w:t>3</w:t>
      </w:r>
      <w:r w:rsidRPr="0031675F">
        <w:rPr>
          <w:spacing w:val="10"/>
        </w:rPr>
        <w:t xml:space="preserve"> </w:t>
      </w:r>
      <w:r w:rsidRPr="0031675F">
        <w:t>give</w:t>
      </w:r>
      <w:r w:rsidRPr="0031675F">
        <w:rPr>
          <w:spacing w:val="11"/>
        </w:rPr>
        <w:t xml:space="preserve"> </w:t>
      </w:r>
      <w:r w:rsidRPr="0031675F">
        <w:t>the</w:t>
      </w:r>
      <w:r w:rsidRPr="0031675F">
        <w:rPr>
          <w:spacing w:val="10"/>
        </w:rPr>
        <w:t xml:space="preserve"> </w:t>
      </w:r>
      <w:r w:rsidRPr="0031675F">
        <w:rPr>
          <w:spacing w:val="-2"/>
        </w:rPr>
        <w:t>scientist</w:t>
      </w:r>
      <w:r w:rsidRPr="0031675F">
        <w:rPr>
          <w:spacing w:val="10"/>
        </w:rPr>
        <w:t xml:space="preserve"> </w:t>
      </w:r>
      <w:r w:rsidRPr="0031675F">
        <w:t>the</w:t>
      </w:r>
      <w:r w:rsidRPr="0031675F">
        <w:rPr>
          <w:spacing w:val="7"/>
        </w:rPr>
        <w:t xml:space="preserve"> </w:t>
      </w:r>
      <w:r w:rsidRPr="0031675F">
        <w:t>data</w:t>
      </w:r>
      <w:r w:rsidRPr="0031675F">
        <w:rPr>
          <w:spacing w:val="10"/>
        </w:rPr>
        <w:t xml:space="preserve"> </w:t>
      </w:r>
      <w:r w:rsidRPr="0031675F">
        <w:t>validation</w:t>
      </w:r>
      <w:r w:rsidRPr="0031675F">
        <w:rPr>
          <w:spacing w:val="9"/>
        </w:rPr>
        <w:t xml:space="preserve"> </w:t>
      </w:r>
      <w:r w:rsidRPr="0031675F">
        <w:t>capability,</w:t>
      </w:r>
      <w:r w:rsidRPr="0031675F">
        <w:rPr>
          <w:spacing w:val="10"/>
        </w:rPr>
        <w:t xml:space="preserve"> </w:t>
      </w:r>
      <w:r w:rsidRPr="0031675F">
        <w:t>and</w:t>
      </w:r>
      <w:r w:rsidRPr="0031675F">
        <w:rPr>
          <w:spacing w:val="9"/>
        </w:rPr>
        <w:t xml:space="preserve"> </w:t>
      </w:r>
      <w:r w:rsidRPr="0031675F">
        <w:t>when</w:t>
      </w:r>
      <w:r w:rsidRPr="0031675F">
        <w:rPr>
          <w:spacing w:val="9"/>
        </w:rPr>
        <w:t xml:space="preserve"> </w:t>
      </w:r>
      <w:r w:rsidRPr="0031675F">
        <w:t>issues</w:t>
      </w:r>
      <w:r w:rsidRPr="0031675F">
        <w:rPr>
          <w:spacing w:val="10"/>
        </w:rPr>
        <w:t xml:space="preserve"> </w:t>
      </w:r>
      <w:r w:rsidRPr="0031675F">
        <w:t>with</w:t>
      </w:r>
      <w:r w:rsidRPr="0031675F">
        <w:rPr>
          <w:spacing w:val="9"/>
        </w:rPr>
        <w:t xml:space="preserve"> </w:t>
      </w:r>
      <w:r w:rsidRPr="0031675F">
        <w:t>the</w:t>
      </w:r>
      <w:r w:rsidRPr="0031675F">
        <w:rPr>
          <w:spacing w:val="10"/>
        </w:rPr>
        <w:t xml:space="preserve"> </w:t>
      </w:r>
      <w:r w:rsidRPr="0031675F">
        <w:t>data</w:t>
      </w:r>
      <w:r w:rsidRPr="0031675F">
        <w:rPr>
          <w:spacing w:val="10"/>
        </w:rPr>
        <w:t xml:space="preserve"> </w:t>
      </w:r>
      <w:r w:rsidRPr="0031675F">
        <w:t>are</w:t>
      </w:r>
      <w:r w:rsidRPr="0031675F">
        <w:rPr>
          <w:spacing w:val="10"/>
        </w:rPr>
        <w:t xml:space="preserve"> </w:t>
      </w:r>
      <w:r w:rsidRPr="0031675F">
        <w:t>found,</w:t>
      </w:r>
      <w:r w:rsidRPr="0031675F">
        <w:rPr>
          <w:spacing w:val="10"/>
        </w:rPr>
        <w:t xml:space="preserve"> </w:t>
      </w:r>
      <w:r w:rsidRPr="0031675F">
        <w:t>they</w:t>
      </w:r>
      <w:r w:rsidRPr="0031675F">
        <w:rPr>
          <w:spacing w:val="10"/>
        </w:rPr>
        <w:t xml:space="preserve"> </w:t>
      </w:r>
      <w:r w:rsidRPr="0031675F">
        <w:t>are</w:t>
      </w:r>
      <w:r w:rsidRPr="0031675F">
        <w:rPr>
          <w:spacing w:val="81"/>
        </w:rPr>
        <w:t xml:space="preserve"> </w:t>
      </w:r>
      <w:r w:rsidRPr="0031675F">
        <w:rPr>
          <w:rFonts w:cs="Calibri"/>
        </w:rPr>
        <w:t>addressed</w:t>
      </w:r>
      <w:r w:rsidRPr="0031675F">
        <w:rPr>
          <w:rFonts w:cs="Calibri"/>
          <w:spacing w:val="27"/>
        </w:rPr>
        <w:t xml:space="preserve"> </w:t>
      </w:r>
      <w:r w:rsidRPr="0031675F">
        <w:rPr>
          <w:rFonts w:cs="Calibri"/>
        </w:rPr>
        <w:t>by</w:t>
      </w:r>
      <w:r w:rsidRPr="0031675F">
        <w:rPr>
          <w:rFonts w:cs="Calibri"/>
          <w:spacing w:val="30"/>
        </w:rPr>
        <w:t xml:space="preserve"> </w:t>
      </w:r>
      <w:r w:rsidRPr="0031675F">
        <w:rPr>
          <w:rFonts w:cs="Calibri"/>
        </w:rPr>
        <w:t>fixing/removing</w:t>
      </w:r>
      <w:r w:rsidRPr="0031675F">
        <w:rPr>
          <w:rFonts w:cs="Calibri"/>
          <w:spacing w:val="28"/>
        </w:rPr>
        <w:t xml:space="preserve"> </w:t>
      </w:r>
      <w:r w:rsidRPr="0031675F">
        <w:rPr>
          <w:rFonts w:cs="Calibri"/>
        </w:rPr>
        <w:t>the</w:t>
      </w:r>
      <w:r w:rsidRPr="0031675F">
        <w:rPr>
          <w:rFonts w:cs="Calibri"/>
          <w:spacing w:val="28"/>
        </w:rPr>
        <w:t xml:space="preserve"> </w:t>
      </w:r>
      <w:r w:rsidRPr="0031675F">
        <w:rPr>
          <w:rFonts w:cs="Calibri"/>
        </w:rPr>
        <w:t>inconsistency</w:t>
      </w:r>
      <w:r w:rsidRPr="0031675F">
        <w:rPr>
          <w:rFonts w:cs="Calibri"/>
          <w:spacing w:val="30"/>
        </w:rPr>
        <w:t xml:space="preserve"> </w:t>
      </w:r>
      <w:r w:rsidRPr="0031675F">
        <w:rPr>
          <w:rFonts w:cs="Calibri"/>
        </w:rPr>
        <w:t>in</w:t>
      </w:r>
      <w:r w:rsidRPr="0031675F">
        <w:rPr>
          <w:rFonts w:cs="Calibri"/>
          <w:spacing w:val="28"/>
        </w:rPr>
        <w:t xml:space="preserve"> </w:t>
      </w:r>
      <w:r w:rsidRPr="0031675F">
        <w:rPr>
          <w:rFonts w:cs="Calibri"/>
        </w:rPr>
        <w:t>it’s</w:t>
      </w:r>
      <w:r w:rsidRPr="0031675F">
        <w:rPr>
          <w:rFonts w:cs="Calibri"/>
          <w:spacing w:val="29"/>
        </w:rPr>
        <w:t xml:space="preserve"> </w:t>
      </w:r>
      <w:r w:rsidRPr="0031675F">
        <w:rPr>
          <w:rFonts w:cs="Calibri"/>
        </w:rPr>
        <w:t>raw</w:t>
      </w:r>
      <w:r w:rsidRPr="0031675F">
        <w:rPr>
          <w:rFonts w:cs="Calibri"/>
          <w:spacing w:val="28"/>
        </w:rPr>
        <w:t xml:space="preserve"> </w:t>
      </w:r>
      <w:r w:rsidRPr="0031675F">
        <w:rPr>
          <w:rFonts w:cs="Calibri"/>
        </w:rPr>
        <w:t>format,</w:t>
      </w:r>
      <w:r w:rsidRPr="0031675F">
        <w:rPr>
          <w:rFonts w:cs="Calibri"/>
          <w:spacing w:val="30"/>
        </w:rPr>
        <w:t xml:space="preserve"> </w:t>
      </w:r>
      <w:r w:rsidRPr="0031675F">
        <w:rPr>
          <w:rFonts w:cs="Calibri"/>
        </w:rPr>
        <w:t>then</w:t>
      </w:r>
      <w:r w:rsidRPr="0031675F">
        <w:rPr>
          <w:rFonts w:cs="Calibri"/>
          <w:spacing w:val="28"/>
        </w:rPr>
        <w:t xml:space="preserve"> </w:t>
      </w:r>
      <w:r w:rsidRPr="0031675F">
        <w:rPr>
          <w:rFonts w:cs="Calibri"/>
        </w:rPr>
        <w:t>re</w:t>
      </w:r>
      <w:r w:rsidRPr="0031675F">
        <w:t>-importing</w:t>
      </w:r>
      <w:r w:rsidRPr="0031675F">
        <w:rPr>
          <w:spacing w:val="27"/>
        </w:rPr>
        <w:t xml:space="preserve"> </w:t>
      </w:r>
      <w:r w:rsidRPr="0031675F">
        <w:t>the</w:t>
      </w:r>
      <w:r w:rsidRPr="0031675F">
        <w:rPr>
          <w:spacing w:val="29"/>
        </w:rPr>
        <w:t xml:space="preserve"> </w:t>
      </w:r>
      <w:r w:rsidRPr="0031675F">
        <w:t>values</w:t>
      </w:r>
      <w:r w:rsidRPr="0031675F">
        <w:rPr>
          <w:spacing w:val="29"/>
        </w:rPr>
        <w:t xml:space="preserve"> </w:t>
      </w:r>
      <w:r w:rsidRPr="0031675F">
        <w:t>back</w:t>
      </w:r>
      <w:r w:rsidRPr="0031675F">
        <w:rPr>
          <w:spacing w:val="87"/>
        </w:rPr>
        <w:t xml:space="preserve"> </w:t>
      </w:r>
      <w:r w:rsidRPr="0031675F">
        <w:t>into</w:t>
      </w:r>
      <w:r w:rsidRPr="0031675F">
        <w:rPr>
          <w:spacing w:val="25"/>
        </w:rPr>
        <w:t xml:space="preserve"> </w:t>
      </w:r>
      <w:r w:rsidRPr="0031675F">
        <w:t>oracle.</w:t>
      </w:r>
      <w:r w:rsidRPr="0031675F">
        <w:rPr>
          <w:spacing w:val="23"/>
        </w:rPr>
        <w:t xml:space="preserve"> </w:t>
      </w:r>
      <w:r w:rsidRPr="0031675F">
        <w:t>Once</w:t>
      </w:r>
      <w:r w:rsidRPr="0031675F">
        <w:rPr>
          <w:spacing w:val="25"/>
        </w:rPr>
        <w:t xml:space="preserve"> </w:t>
      </w:r>
      <w:r w:rsidRPr="0031675F">
        <w:t>back</w:t>
      </w:r>
      <w:r w:rsidRPr="0031675F">
        <w:rPr>
          <w:spacing w:val="22"/>
        </w:rPr>
        <w:t xml:space="preserve"> </w:t>
      </w:r>
      <w:r w:rsidRPr="0031675F">
        <w:t>in</w:t>
      </w:r>
      <w:r w:rsidRPr="0031675F">
        <w:rPr>
          <w:spacing w:val="23"/>
        </w:rPr>
        <w:t xml:space="preserve"> </w:t>
      </w:r>
      <w:r w:rsidRPr="0031675F">
        <w:t>oracle</w:t>
      </w:r>
      <w:r w:rsidRPr="0031675F">
        <w:rPr>
          <w:spacing w:val="21"/>
        </w:rPr>
        <w:t xml:space="preserve"> </w:t>
      </w:r>
      <w:r w:rsidRPr="0031675F">
        <w:t>the</w:t>
      </w:r>
      <w:r w:rsidRPr="0031675F">
        <w:rPr>
          <w:spacing w:val="24"/>
        </w:rPr>
        <w:t xml:space="preserve"> </w:t>
      </w:r>
      <w:r w:rsidRPr="0031675F">
        <w:t>provided</w:t>
      </w:r>
      <w:r w:rsidRPr="0031675F">
        <w:rPr>
          <w:spacing w:val="24"/>
        </w:rPr>
        <w:t xml:space="preserve"> </w:t>
      </w:r>
      <w:r w:rsidRPr="0031675F">
        <w:t>views</w:t>
      </w:r>
      <w:r w:rsidRPr="0031675F">
        <w:rPr>
          <w:spacing w:val="22"/>
        </w:rPr>
        <w:t xml:space="preserve"> </w:t>
      </w:r>
      <w:r w:rsidRPr="0031675F">
        <w:t>will</w:t>
      </w:r>
      <w:r w:rsidRPr="0031675F">
        <w:rPr>
          <w:spacing w:val="23"/>
        </w:rPr>
        <w:t xml:space="preserve"> </w:t>
      </w:r>
      <w:r w:rsidRPr="0031675F">
        <w:t>reflect</w:t>
      </w:r>
      <w:r w:rsidRPr="0031675F">
        <w:rPr>
          <w:spacing w:val="25"/>
        </w:rPr>
        <w:t xml:space="preserve"> </w:t>
      </w:r>
      <w:r w:rsidRPr="0031675F">
        <w:t>the</w:t>
      </w:r>
      <w:r w:rsidRPr="0031675F">
        <w:rPr>
          <w:spacing w:val="22"/>
        </w:rPr>
        <w:t xml:space="preserve"> </w:t>
      </w:r>
      <w:r w:rsidRPr="0031675F">
        <w:t>changes</w:t>
      </w:r>
      <w:r w:rsidRPr="0031675F">
        <w:rPr>
          <w:spacing w:val="22"/>
        </w:rPr>
        <w:t xml:space="preserve"> </w:t>
      </w:r>
      <w:r w:rsidRPr="0031675F">
        <w:t>made</w:t>
      </w:r>
      <w:r w:rsidRPr="0031675F">
        <w:rPr>
          <w:spacing w:val="24"/>
        </w:rPr>
        <w:t xml:space="preserve"> </w:t>
      </w:r>
      <w:r w:rsidRPr="0031675F">
        <w:t>via</w:t>
      </w:r>
      <w:r w:rsidRPr="0031675F">
        <w:rPr>
          <w:spacing w:val="23"/>
        </w:rPr>
        <w:t xml:space="preserve"> </w:t>
      </w:r>
      <w:r w:rsidRPr="0031675F">
        <w:t>data</w:t>
      </w:r>
      <w:r w:rsidRPr="0031675F">
        <w:rPr>
          <w:spacing w:val="22"/>
        </w:rPr>
        <w:t xml:space="preserve"> </w:t>
      </w:r>
      <w:r w:rsidRPr="0031675F">
        <w:t>validation.</w:t>
      </w:r>
      <w:r w:rsidRPr="0031675F">
        <w:rPr>
          <w:spacing w:val="69"/>
        </w:rPr>
        <w:t xml:space="preserve"> </w:t>
      </w:r>
      <w:r w:rsidRPr="0031675F">
        <w:t xml:space="preserve">Mechanisms for </w:t>
      </w:r>
      <w:r w:rsidRPr="0031675F">
        <w:rPr>
          <w:spacing w:val="-2"/>
        </w:rPr>
        <w:t>data</w:t>
      </w:r>
      <w:r w:rsidRPr="0031675F">
        <w:t xml:space="preserve"> validation are as follows;</w:t>
      </w:r>
    </w:p>
    <w:p w14:paraId="13A69FC3" w14:textId="77777777" w:rsidR="0031675F" w:rsidRPr="0031675F" w:rsidRDefault="0031675F" w:rsidP="0031675F">
      <w:pPr>
        <w:widowControl w:val="0"/>
        <w:numPr>
          <w:ilvl w:val="0"/>
          <w:numId w:val="58"/>
        </w:numPr>
        <w:tabs>
          <w:tab w:val="left" w:pos="461"/>
        </w:tabs>
        <w:spacing w:before="118" w:after="0" w:line="240" w:lineRule="auto"/>
        <w:jc w:val="both"/>
      </w:pPr>
      <w:r w:rsidRPr="0031675F">
        <w:rPr>
          <w:spacing w:val="-1"/>
        </w:rPr>
        <w:t>Bounds</w:t>
      </w:r>
      <w:r w:rsidRPr="0031675F">
        <w:t xml:space="preserve"> </w:t>
      </w:r>
      <w:r w:rsidRPr="0031675F">
        <w:rPr>
          <w:spacing w:val="-1"/>
        </w:rPr>
        <w:t>checking</w:t>
      </w:r>
      <w:r w:rsidRPr="0031675F">
        <w:t xml:space="preserve"> </w:t>
      </w:r>
      <w:r w:rsidRPr="0031675F">
        <w:rPr>
          <w:rFonts w:cs="Calibri"/>
        </w:rPr>
        <w:t>–</w:t>
      </w:r>
      <w:r w:rsidRPr="0031675F">
        <w:rPr>
          <w:rFonts w:cs="Calibri"/>
          <w:spacing w:val="1"/>
        </w:rPr>
        <w:t xml:space="preserve"> </w:t>
      </w:r>
      <w:r w:rsidRPr="0031675F">
        <w:t>is</w:t>
      </w:r>
      <w:r w:rsidRPr="0031675F">
        <w:rPr>
          <w:spacing w:val="-3"/>
        </w:rPr>
        <w:t xml:space="preserve"> </w:t>
      </w:r>
      <w:r w:rsidRPr="0031675F">
        <w:rPr>
          <w:spacing w:val="-1"/>
        </w:rPr>
        <w:t>the</w:t>
      </w:r>
      <w:r w:rsidRPr="0031675F">
        <w:t xml:space="preserve"> </w:t>
      </w:r>
      <w:r w:rsidRPr="0031675F">
        <w:rPr>
          <w:spacing w:val="-1"/>
        </w:rPr>
        <w:t>data</w:t>
      </w:r>
      <w:r w:rsidRPr="0031675F">
        <w:t xml:space="preserve"> </w:t>
      </w:r>
      <w:r w:rsidRPr="0031675F">
        <w:rPr>
          <w:spacing w:val="-1"/>
        </w:rPr>
        <w:t>within acceptable</w:t>
      </w:r>
      <w:r w:rsidRPr="0031675F">
        <w:t xml:space="preserve"> </w:t>
      </w:r>
      <w:r w:rsidRPr="0031675F">
        <w:rPr>
          <w:spacing w:val="-1"/>
        </w:rPr>
        <w:t>limits.</w:t>
      </w:r>
    </w:p>
    <w:p w14:paraId="7A4BB648" w14:textId="77777777" w:rsidR="0031675F" w:rsidRPr="0031675F" w:rsidRDefault="0031675F" w:rsidP="0031675F">
      <w:pPr>
        <w:widowControl w:val="0"/>
        <w:numPr>
          <w:ilvl w:val="0"/>
          <w:numId w:val="58"/>
        </w:numPr>
        <w:tabs>
          <w:tab w:val="left" w:pos="461"/>
        </w:tabs>
        <w:spacing w:before="132" w:after="0" w:line="240" w:lineRule="auto"/>
        <w:jc w:val="both"/>
      </w:pPr>
      <w:r w:rsidRPr="0031675F">
        <w:t>Logical</w:t>
      </w:r>
      <w:r w:rsidRPr="0031675F">
        <w:rPr>
          <w:spacing w:val="-3"/>
        </w:rPr>
        <w:t xml:space="preserve"> </w:t>
      </w:r>
      <w:r w:rsidRPr="0031675F">
        <w:rPr>
          <w:spacing w:val="-1"/>
        </w:rPr>
        <w:t>checking</w:t>
      </w:r>
      <w:r w:rsidRPr="0031675F">
        <w:t xml:space="preserve"> </w:t>
      </w:r>
      <w:r w:rsidRPr="0031675F">
        <w:rPr>
          <w:rFonts w:cs="Calibri"/>
        </w:rPr>
        <w:t>–</w:t>
      </w:r>
      <w:r w:rsidRPr="0031675F">
        <w:rPr>
          <w:rFonts w:cs="Calibri"/>
          <w:spacing w:val="1"/>
        </w:rPr>
        <w:t xml:space="preserve"> </w:t>
      </w:r>
      <w:r w:rsidRPr="0031675F">
        <w:t>is</w:t>
      </w:r>
      <w:r w:rsidRPr="0031675F">
        <w:rPr>
          <w:spacing w:val="-3"/>
        </w:rPr>
        <w:t xml:space="preserve"> </w:t>
      </w:r>
      <w:r w:rsidRPr="0031675F">
        <w:t xml:space="preserve">the </w:t>
      </w:r>
      <w:r w:rsidRPr="0031675F">
        <w:rPr>
          <w:spacing w:val="-1"/>
        </w:rPr>
        <w:t>data</w:t>
      </w:r>
      <w:r w:rsidRPr="0031675F">
        <w:t xml:space="preserve"> </w:t>
      </w:r>
      <w:r w:rsidRPr="0031675F">
        <w:rPr>
          <w:spacing w:val="-1"/>
        </w:rPr>
        <w:t>logical</w:t>
      </w:r>
      <w:r w:rsidRPr="0031675F">
        <w:rPr>
          <w:spacing w:val="-3"/>
        </w:rPr>
        <w:t xml:space="preserve"> </w:t>
      </w:r>
      <w:r w:rsidRPr="0031675F">
        <w:t>(is</w:t>
      </w:r>
      <w:r w:rsidRPr="0031675F">
        <w:rPr>
          <w:spacing w:val="-3"/>
        </w:rPr>
        <w:t xml:space="preserve"> </w:t>
      </w:r>
      <w:r w:rsidRPr="0031675F">
        <w:t>the</w:t>
      </w:r>
      <w:r w:rsidRPr="0031675F">
        <w:rPr>
          <w:spacing w:val="-2"/>
        </w:rPr>
        <w:t xml:space="preserve"> </w:t>
      </w:r>
      <w:r w:rsidRPr="0031675F">
        <w:rPr>
          <w:spacing w:val="-1"/>
        </w:rPr>
        <w:t>value</w:t>
      </w:r>
      <w:r w:rsidRPr="0031675F">
        <w:t xml:space="preserve"> </w:t>
      </w:r>
      <w:r w:rsidRPr="0031675F">
        <w:rPr>
          <w:spacing w:val="-1"/>
        </w:rPr>
        <w:t>possible).</w:t>
      </w:r>
    </w:p>
    <w:p w14:paraId="459CDC12" w14:textId="77777777" w:rsidR="0031675F" w:rsidRPr="0031675F" w:rsidRDefault="0031675F" w:rsidP="0031675F">
      <w:pPr>
        <w:widowControl w:val="0"/>
        <w:numPr>
          <w:ilvl w:val="0"/>
          <w:numId w:val="58"/>
        </w:numPr>
        <w:tabs>
          <w:tab w:val="left" w:pos="461"/>
        </w:tabs>
        <w:spacing w:before="132" w:after="0" w:line="249" w:lineRule="auto"/>
        <w:ind w:right="121"/>
      </w:pPr>
      <w:r w:rsidRPr="0031675F">
        <w:rPr>
          <w:spacing w:val="-1"/>
        </w:rPr>
        <w:t>Comparative</w:t>
      </w:r>
      <w:r w:rsidRPr="0031675F">
        <w:rPr>
          <w:spacing w:val="20"/>
        </w:rPr>
        <w:t xml:space="preserve"> </w:t>
      </w:r>
      <w:r w:rsidRPr="0031675F">
        <w:t>checking</w:t>
      </w:r>
      <w:r w:rsidRPr="0031675F">
        <w:rPr>
          <w:spacing w:val="19"/>
        </w:rPr>
        <w:t xml:space="preserve"> </w:t>
      </w:r>
      <w:r w:rsidRPr="0031675F">
        <w:rPr>
          <w:rFonts w:cs="Calibri"/>
        </w:rPr>
        <w:t>–</w:t>
      </w:r>
      <w:r w:rsidRPr="0031675F">
        <w:rPr>
          <w:rFonts w:cs="Calibri"/>
          <w:spacing w:val="20"/>
        </w:rPr>
        <w:t xml:space="preserve"> </w:t>
      </w:r>
      <w:r w:rsidRPr="0031675F">
        <w:t>is</w:t>
      </w:r>
      <w:r w:rsidRPr="0031675F">
        <w:rPr>
          <w:spacing w:val="19"/>
        </w:rPr>
        <w:t xml:space="preserve"> </w:t>
      </w:r>
      <w:r w:rsidRPr="0031675F">
        <w:t>the</w:t>
      </w:r>
      <w:r w:rsidRPr="0031675F">
        <w:rPr>
          <w:spacing w:val="20"/>
        </w:rPr>
        <w:t xml:space="preserve"> </w:t>
      </w:r>
      <w:r w:rsidRPr="0031675F">
        <w:rPr>
          <w:spacing w:val="-1"/>
        </w:rPr>
        <w:t>data</w:t>
      </w:r>
      <w:r w:rsidRPr="0031675F">
        <w:rPr>
          <w:spacing w:val="19"/>
        </w:rPr>
        <w:t xml:space="preserve"> </w:t>
      </w:r>
      <w:r w:rsidRPr="0031675F">
        <w:rPr>
          <w:spacing w:val="-1"/>
        </w:rPr>
        <w:t>similar</w:t>
      </w:r>
      <w:r w:rsidRPr="0031675F">
        <w:rPr>
          <w:spacing w:val="19"/>
        </w:rPr>
        <w:t xml:space="preserve"> </w:t>
      </w:r>
      <w:r w:rsidRPr="0031675F">
        <w:t>to</w:t>
      </w:r>
      <w:r w:rsidRPr="0031675F">
        <w:rPr>
          <w:spacing w:val="21"/>
        </w:rPr>
        <w:t xml:space="preserve"> </w:t>
      </w:r>
      <w:r w:rsidRPr="0031675F">
        <w:rPr>
          <w:spacing w:val="-1"/>
        </w:rPr>
        <w:t>other</w:t>
      </w:r>
      <w:r w:rsidRPr="0031675F">
        <w:rPr>
          <w:spacing w:val="19"/>
        </w:rPr>
        <w:t xml:space="preserve"> </w:t>
      </w:r>
      <w:r w:rsidRPr="0031675F">
        <w:rPr>
          <w:spacing w:val="-1"/>
        </w:rPr>
        <w:t>comparable</w:t>
      </w:r>
      <w:r w:rsidRPr="0031675F">
        <w:rPr>
          <w:spacing w:val="20"/>
        </w:rPr>
        <w:t xml:space="preserve"> </w:t>
      </w:r>
      <w:r w:rsidRPr="0031675F">
        <w:rPr>
          <w:spacing w:val="-1"/>
        </w:rPr>
        <w:t>data</w:t>
      </w:r>
      <w:r w:rsidRPr="0031675F">
        <w:rPr>
          <w:spacing w:val="19"/>
        </w:rPr>
        <w:t xml:space="preserve"> </w:t>
      </w:r>
      <w:r w:rsidRPr="0031675F">
        <w:rPr>
          <w:spacing w:val="-1"/>
        </w:rPr>
        <w:t>(such</w:t>
      </w:r>
      <w:r w:rsidRPr="0031675F">
        <w:rPr>
          <w:spacing w:val="18"/>
        </w:rPr>
        <w:t xml:space="preserve"> </w:t>
      </w:r>
      <w:r w:rsidRPr="0031675F">
        <w:t>as</w:t>
      </w:r>
      <w:r w:rsidRPr="0031675F">
        <w:rPr>
          <w:spacing w:val="19"/>
        </w:rPr>
        <w:t xml:space="preserve"> </w:t>
      </w:r>
      <w:r w:rsidRPr="0031675F">
        <w:rPr>
          <w:spacing w:val="-1"/>
        </w:rPr>
        <w:t>previously</w:t>
      </w:r>
      <w:r w:rsidRPr="0031675F">
        <w:rPr>
          <w:spacing w:val="20"/>
        </w:rPr>
        <w:t xml:space="preserve"> </w:t>
      </w:r>
      <w:r w:rsidRPr="0031675F">
        <w:rPr>
          <w:spacing w:val="-1"/>
        </w:rPr>
        <w:t>collected</w:t>
      </w:r>
      <w:r w:rsidRPr="0031675F">
        <w:rPr>
          <w:spacing w:val="65"/>
        </w:rPr>
        <w:t xml:space="preserve"> </w:t>
      </w:r>
      <w:r w:rsidRPr="0031675F">
        <w:rPr>
          <w:spacing w:val="-1"/>
        </w:rPr>
        <w:t>data</w:t>
      </w:r>
      <w:r w:rsidRPr="0031675F">
        <w:t xml:space="preserve"> or</w:t>
      </w:r>
      <w:r w:rsidRPr="0031675F">
        <w:rPr>
          <w:spacing w:val="-3"/>
        </w:rPr>
        <w:t xml:space="preserve"> </w:t>
      </w:r>
      <w:r w:rsidRPr="0031675F">
        <w:rPr>
          <w:spacing w:val="-1"/>
        </w:rPr>
        <w:t>better</w:t>
      </w:r>
      <w:r w:rsidRPr="0031675F">
        <w:t xml:space="preserve"> </w:t>
      </w:r>
      <w:r w:rsidRPr="0031675F">
        <w:rPr>
          <w:spacing w:val="-1"/>
        </w:rPr>
        <w:t>previous</w:t>
      </w:r>
      <w:r w:rsidRPr="0031675F">
        <w:t xml:space="preserve"> </w:t>
      </w:r>
      <w:r w:rsidRPr="0031675F">
        <w:rPr>
          <w:spacing w:val="-1"/>
        </w:rPr>
        <w:t>equivalent data).</w:t>
      </w:r>
    </w:p>
    <w:p w14:paraId="2DB37861" w14:textId="77777777" w:rsidR="0031675F" w:rsidRPr="0031675F" w:rsidRDefault="0031675F" w:rsidP="0031675F">
      <w:pPr>
        <w:widowControl w:val="0"/>
        <w:numPr>
          <w:ilvl w:val="0"/>
          <w:numId w:val="58"/>
        </w:numPr>
        <w:tabs>
          <w:tab w:val="left" w:pos="461"/>
        </w:tabs>
        <w:spacing w:before="121" w:after="0" w:line="251" w:lineRule="auto"/>
        <w:ind w:right="121"/>
      </w:pPr>
      <w:r w:rsidRPr="0031675F">
        <w:rPr>
          <w:spacing w:val="-1"/>
        </w:rPr>
        <w:t>Correlative</w:t>
      </w:r>
      <w:r w:rsidRPr="0031675F">
        <w:rPr>
          <w:spacing w:val="8"/>
        </w:rPr>
        <w:t xml:space="preserve"> </w:t>
      </w:r>
      <w:r w:rsidRPr="0031675F">
        <w:t>checking</w:t>
      </w:r>
      <w:r w:rsidRPr="0031675F">
        <w:rPr>
          <w:spacing w:val="6"/>
        </w:rPr>
        <w:t xml:space="preserve"> </w:t>
      </w:r>
      <w:r w:rsidRPr="0031675F">
        <w:rPr>
          <w:rFonts w:cs="Calibri"/>
        </w:rPr>
        <w:t>–</w:t>
      </w:r>
      <w:r w:rsidRPr="0031675F">
        <w:rPr>
          <w:rFonts w:cs="Calibri"/>
          <w:spacing w:val="8"/>
        </w:rPr>
        <w:t xml:space="preserve"> </w:t>
      </w:r>
      <w:r w:rsidRPr="0031675F">
        <w:t>if</w:t>
      </w:r>
      <w:r w:rsidRPr="0031675F">
        <w:rPr>
          <w:spacing w:val="6"/>
        </w:rPr>
        <w:t xml:space="preserve"> </w:t>
      </w:r>
      <w:r w:rsidRPr="0031675F">
        <w:rPr>
          <w:spacing w:val="-1"/>
        </w:rPr>
        <w:t>there</w:t>
      </w:r>
      <w:r w:rsidRPr="0031675F">
        <w:rPr>
          <w:spacing w:val="8"/>
        </w:rPr>
        <w:t xml:space="preserve"> </w:t>
      </w:r>
      <w:r w:rsidRPr="0031675F">
        <w:t>is</w:t>
      </w:r>
      <w:r w:rsidRPr="0031675F">
        <w:rPr>
          <w:spacing w:val="7"/>
        </w:rPr>
        <w:t xml:space="preserve"> </w:t>
      </w:r>
      <w:r w:rsidRPr="0031675F">
        <w:t>a</w:t>
      </w:r>
      <w:r w:rsidRPr="0031675F">
        <w:rPr>
          <w:spacing w:val="7"/>
        </w:rPr>
        <w:t xml:space="preserve"> </w:t>
      </w:r>
      <w:r w:rsidRPr="0031675F">
        <w:rPr>
          <w:spacing w:val="-1"/>
        </w:rPr>
        <w:t>relationship</w:t>
      </w:r>
      <w:r w:rsidRPr="0031675F">
        <w:rPr>
          <w:spacing w:val="6"/>
        </w:rPr>
        <w:t xml:space="preserve"> </w:t>
      </w:r>
      <w:r w:rsidRPr="0031675F">
        <w:rPr>
          <w:spacing w:val="-1"/>
        </w:rPr>
        <w:t>between</w:t>
      </w:r>
      <w:r w:rsidRPr="0031675F">
        <w:rPr>
          <w:spacing w:val="7"/>
        </w:rPr>
        <w:t xml:space="preserve"> </w:t>
      </w:r>
      <w:r w:rsidRPr="0031675F">
        <w:rPr>
          <w:spacing w:val="-1"/>
        </w:rPr>
        <w:t>two</w:t>
      </w:r>
      <w:r w:rsidRPr="0031675F">
        <w:rPr>
          <w:spacing w:val="8"/>
        </w:rPr>
        <w:t xml:space="preserve"> </w:t>
      </w:r>
      <w:r w:rsidRPr="0031675F">
        <w:rPr>
          <w:spacing w:val="-1"/>
        </w:rPr>
        <w:t>variables,</w:t>
      </w:r>
      <w:r w:rsidRPr="0031675F">
        <w:rPr>
          <w:spacing w:val="7"/>
        </w:rPr>
        <w:t xml:space="preserve"> </w:t>
      </w:r>
      <w:r w:rsidRPr="0031675F">
        <w:t>if</w:t>
      </w:r>
      <w:r w:rsidRPr="0031675F">
        <w:rPr>
          <w:spacing w:val="6"/>
        </w:rPr>
        <w:t xml:space="preserve"> </w:t>
      </w:r>
      <w:r w:rsidRPr="0031675F">
        <w:rPr>
          <w:spacing w:val="-1"/>
        </w:rPr>
        <w:t>so</w:t>
      </w:r>
      <w:r w:rsidRPr="0031675F">
        <w:rPr>
          <w:spacing w:val="8"/>
        </w:rPr>
        <w:t xml:space="preserve"> </w:t>
      </w:r>
      <w:r w:rsidRPr="0031675F">
        <w:t>is</w:t>
      </w:r>
      <w:r w:rsidRPr="0031675F">
        <w:rPr>
          <w:spacing w:val="7"/>
        </w:rPr>
        <w:t xml:space="preserve"> </w:t>
      </w:r>
      <w:r w:rsidRPr="0031675F">
        <w:rPr>
          <w:spacing w:val="-1"/>
        </w:rPr>
        <w:t>the</w:t>
      </w:r>
      <w:r w:rsidRPr="0031675F">
        <w:rPr>
          <w:spacing w:val="8"/>
        </w:rPr>
        <w:t xml:space="preserve"> </w:t>
      </w:r>
      <w:r w:rsidRPr="0031675F">
        <w:rPr>
          <w:spacing w:val="-1"/>
        </w:rPr>
        <w:t>relationship</w:t>
      </w:r>
      <w:r w:rsidRPr="0031675F">
        <w:rPr>
          <w:spacing w:val="6"/>
        </w:rPr>
        <w:t xml:space="preserve"> </w:t>
      </w:r>
      <w:r w:rsidRPr="0031675F">
        <w:rPr>
          <w:spacing w:val="-1"/>
        </w:rPr>
        <w:t>valid,</w:t>
      </w:r>
      <w:r w:rsidRPr="0031675F">
        <w:rPr>
          <w:spacing w:val="59"/>
        </w:rPr>
        <w:t xml:space="preserve"> </w:t>
      </w:r>
      <w:r w:rsidRPr="0031675F">
        <w:t xml:space="preserve">if </w:t>
      </w:r>
      <w:r w:rsidRPr="0031675F">
        <w:rPr>
          <w:spacing w:val="-1"/>
        </w:rPr>
        <w:t>sample</w:t>
      </w:r>
      <w:r w:rsidRPr="0031675F">
        <w:rPr>
          <w:spacing w:val="-3"/>
        </w:rPr>
        <w:t xml:space="preserve"> </w:t>
      </w:r>
      <w:r w:rsidRPr="0031675F">
        <w:rPr>
          <w:spacing w:val="-1"/>
        </w:rPr>
        <w:t>data</w:t>
      </w:r>
      <w:r w:rsidRPr="0031675F">
        <w:t xml:space="preserve"> </w:t>
      </w:r>
      <w:r w:rsidRPr="0031675F">
        <w:rPr>
          <w:spacing w:val="-1"/>
        </w:rPr>
        <w:t>should exist for</w:t>
      </w:r>
      <w:r w:rsidRPr="0031675F">
        <w:t xml:space="preserve"> </w:t>
      </w:r>
      <w:r w:rsidRPr="0031675F">
        <w:rPr>
          <w:spacing w:val="-1"/>
        </w:rPr>
        <w:t>this data,</w:t>
      </w:r>
      <w:r w:rsidRPr="0031675F">
        <w:t xml:space="preserve"> is</w:t>
      </w:r>
      <w:r w:rsidRPr="0031675F">
        <w:rPr>
          <w:spacing w:val="-3"/>
        </w:rPr>
        <w:t xml:space="preserve"> </w:t>
      </w:r>
      <w:r w:rsidRPr="0031675F">
        <w:t xml:space="preserve">it </w:t>
      </w:r>
      <w:r w:rsidRPr="0031675F">
        <w:rPr>
          <w:spacing w:val="-2"/>
        </w:rPr>
        <w:t>present.</w:t>
      </w:r>
    </w:p>
    <w:p w14:paraId="591DF2E9" w14:textId="77777777" w:rsidR="0031675F" w:rsidRPr="0031675F" w:rsidRDefault="0031675F" w:rsidP="008F55F2">
      <w:pPr>
        <w:spacing w:before="9"/>
        <w:rPr>
          <w:rFonts w:cs="Calibri"/>
          <w:sz w:val="21"/>
          <w:szCs w:val="21"/>
        </w:rPr>
      </w:pPr>
    </w:p>
    <w:p w14:paraId="115B62C3" w14:textId="77777777" w:rsidR="008F55F2" w:rsidRPr="008F55F2" w:rsidRDefault="0031675F" w:rsidP="002B4D69">
      <w:pPr>
        <w:widowControl w:val="0"/>
        <w:numPr>
          <w:ilvl w:val="1"/>
          <w:numId w:val="59"/>
        </w:numPr>
        <w:tabs>
          <w:tab w:val="left" w:pos="819"/>
        </w:tabs>
        <w:spacing w:before="0" w:after="0" w:line="240" w:lineRule="auto"/>
      </w:pPr>
      <w:r w:rsidRPr="008F55F2">
        <w:rPr>
          <w:b/>
          <w:sz w:val="24"/>
        </w:rPr>
        <w:t>Data</w:t>
      </w:r>
      <w:r w:rsidRPr="008F55F2">
        <w:rPr>
          <w:b/>
          <w:spacing w:val="1"/>
          <w:sz w:val="24"/>
        </w:rPr>
        <w:t xml:space="preserve"> </w:t>
      </w:r>
      <w:r w:rsidRPr="008F55F2">
        <w:rPr>
          <w:b/>
          <w:sz w:val="24"/>
        </w:rPr>
        <w:t>integration</w:t>
      </w:r>
    </w:p>
    <w:p w14:paraId="79E89CE3" w14:textId="79E89081" w:rsidR="0031675F" w:rsidRPr="0031675F" w:rsidRDefault="0031675F" w:rsidP="0057756F">
      <w:r w:rsidRPr="0031675F">
        <w:t>Once</w:t>
      </w:r>
      <w:r w:rsidRPr="008F55F2">
        <w:rPr>
          <w:spacing w:val="10"/>
        </w:rPr>
        <w:t xml:space="preserve"> </w:t>
      </w:r>
      <w:r w:rsidRPr="0031675F">
        <w:t>data</w:t>
      </w:r>
      <w:r w:rsidRPr="008F55F2">
        <w:rPr>
          <w:spacing w:val="7"/>
        </w:rPr>
        <w:t xml:space="preserve"> </w:t>
      </w:r>
      <w:r w:rsidRPr="0031675F">
        <w:t>is</w:t>
      </w:r>
      <w:r w:rsidRPr="008F55F2">
        <w:rPr>
          <w:spacing w:val="9"/>
        </w:rPr>
        <w:t xml:space="preserve"> </w:t>
      </w:r>
      <w:r w:rsidRPr="0031675F">
        <w:t>available</w:t>
      </w:r>
      <w:r w:rsidRPr="008F55F2">
        <w:rPr>
          <w:spacing w:val="7"/>
        </w:rPr>
        <w:t xml:space="preserve"> </w:t>
      </w:r>
      <w:r w:rsidRPr="0031675F">
        <w:t>in</w:t>
      </w:r>
      <w:r w:rsidRPr="008F55F2">
        <w:rPr>
          <w:spacing w:val="8"/>
        </w:rPr>
        <w:t xml:space="preserve"> </w:t>
      </w:r>
      <w:r w:rsidRPr="0031675F">
        <w:t>the</w:t>
      </w:r>
      <w:r w:rsidRPr="008F55F2">
        <w:rPr>
          <w:spacing w:val="10"/>
        </w:rPr>
        <w:t xml:space="preserve"> </w:t>
      </w:r>
      <w:r w:rsidRPr="0031675F">
        <w:t>oracle</w:t>
      </w:r>
      <w:r w:rsidRPr="008F55F2">
        <w:rPr>
          <w:spacing w:val="10"/>
        </w:rPr>
        <w:t xml:space="preserve"> </w:t>
      </w:r>
      <w:r w:rsidRPr="0031675F">
        <w:t>databases</w:t>
      </w:r>
      <w:r w:rsidRPr="008F55F2">
        <w:rPr>
          <w:spacing w:val="7"/>
        </w:rPr>
        <w:t xml:space="preserve"> </w:t>
      </w:r>
      <w:r w:rsidRPr="0031675F">
        <w:t>after</w:t>
      </w:r>
      <w:r w:rsidRPr="008F55F2">
        <w:rPr>
          <w:spacing w:val="10"/>
        </w:rPr>
        <w:t xml:space="preserve"> </w:t>
      </w:r>
      <w:r w:rsidRPr="0031675F">
        <w:t>the</w:t>
      </w:r>
      <w:r w:rsidRPr="008F55F2">
        <w:rPr>
          <w:spacing w:val="10"/>
        </w:rPr>
        <w:t xml:space="preserve"> </w:t>
      </w:r>
      <w:r w:rsidRPr="0031675F">
        <w:t>quality</w:t>
      </w:r>
      <w:r w:rsidRPr="008F55F2">
        <w:rPr>
          <w:spacing w:val="9"/>
        </w:rPr>
        <w:t xml:space="preserve"> </w:t>
      </w:r>
      <w:r w:rsidRPr="0031675F">
        <w:t>assurance</w:t>
      </w:r>
      <w:r w:rsidRPr="008F55F2">
        <w:rPr>
          <w:spacing w:val="8"/>
        </w:rPr>
        <w:t xml:space="preserve"> </w:t>
      </w:r>
      <w:r w:rsidRPr="0031675F">
        <w:t>and</w:t>
      </w:r>
      <w:r w:rsidRPr="008F55F2">
        <w:rPr>
          <w:spacing w:val="9"/>
        </w:rPr>
        <w:t xml:space="preserve"> </w:t>
      </w:r>
      <w:r w:rsidRPr="0031675F">
        <w:t>validation</w:t>
      </w:r>
      <w:r w:rsidRPr="008F55F2">
        <w:rPr>
          <w:spacing w:val="9"/>
        </w:rPr>
        <w:t xml:space="preserve"> </w:t>
      </w:r>
      <w:r w:rsidRPr="0031675F">
        <w:t>processes</w:t>
      </w:r>
      <w:r w:rsidRPr="008F55F2">
        <w:rPr>
          <w:spacing w:val="10"/>
        </w:rPr>
        <w:t xml:space="preserve"> </w:t>
      </w:r>
      <w:r w:rsidRPr="0031675F">
        <w:t>have</w:t>
      </w:r>
      <w:r w:rsidRPr="008F55F2">
        <w:rPr>
          <w:spacing w:val="75"/>
        </w:rPr>
        <w:t xml:space="preserve"> </w:t>
      </w:r>
      <w:r w:rsidRPr="0031675F">
        <w:t>gone</w:t>
      </w:r>
      <w:r w:rsidRPr="008F55F2">
        <w:rPr>
          <w:spacing w:val="36"/>
        </w:rPr>
        <w:t xml:space="preserve"> </w:t>
      </w:r>
      <w:r w:rsidRPr="0031675F">
        <w:t>through</w:t>
      </w:r>
      <w:r w:rsidRPr="008F55F2">
        <w:rPr>
          <w:spacing w:val="35"/>
        </w:rPr>
        <w:t xml:space="preserve"> </w:t>
      </w:r>
      <w:r w:rsidRPr="0031675F">
        <w:t>the</w:t>
      </w:r>
      <w:r w:rsidRPr="008F55F2">
        <w:rPr>
          <w:spacing w:val="36"/>
        </w:rPr>
        <w:t xml:space="preserve"> </w:t>
      </w:r>
      <w:r w:rsidRPr="0031675F">
        <w:t>cycles,</w:t>
      </w:r>
      <w:r w:rsidRPr="008F55F2">
        <w:rPr>
          <w:spacing w:val="36"/>
        </w:rPr>
        <w:t xml:space="preserve"> </w:t>
      </w:r>
      <w:r w:rsidRPr="0031675F">
        <w:t>the</w:t>
      </w:r>
      <w:r w:rsidRPr="008F55F2">
        <w:rPr>
          <w:spacing w:val="36"/>
        </w:rPr>
        <w:t xml:space="preserve"> </w:t>
      </w:r>
      <w:r w:rsidRPr="0031675F">
        <w:t>data</w:t>
      </w:r>
      <w:r w:rsidRPr="008F55F2">
        <w:rPr>
          <w:spacing w:val="36"/>
        </w:rPr>
        <w:t xml:space="preserve"> </w:t>
      </w:r>
      <w:r w:rsidRPr="0031675F">
        <w:t>is</w:t>
      </w:r>
      <w:r w:rsidRPr="008F55F2">
        <w:rPr>
          <w:spacing w:val="36"/>
        </w:rPr>
        <w:t xml:space="preserve"> </w:t>
      </w:r>
      <w:r w:rsidRPr="0031675F">
        <w:t>then</w:t>
      </w:r>
      <w:r w:rsidRPr="008F55F2">
        <w:rPr>
          <w:spacing w:val="35"/>
        </w:rPr>
        <w:t xml:space="preserve"> </w:t>
      </w:r>
      <w:r w:rsidRPr="0031675F">
        <w:t>consolidated</w:t>
      </w:r>
      <w:r w:rsidRPr="008F55F2">
        <w:rPr>
          <w:spacing w:val="35"/>
        </w:rPr>
        <w:t xml:space="preserve"> </w:t>
      </w:r>
      <w:r w:rsidRPr="0031675F">
        <w:t>in</w:t>
      </w:r>
      <w:r w:rsidRPr="008F55F2">
        <w:rPr>
          <w:spacing w:val="35"/>
        </w:rPr>
        <w:t xml:space="preserve"> </w:t>
      </w:r>
      <w:r w:rsidRPr="0031675F">
        <w:t>an</w:t>
      </w:r>
      <w:r w:rsidRPr="008F55F2">
        <w:rPr>
          <w:spacing w:val="34"/>
        </w:rPr>
        <w:t xml:space="preserve"> </w:t>
      </w:r>
      <w:r w:rsidRPr="0031675F">
        <w:t>Access</w:t>
      </w:r>
      <w:r w:rsidRPr="008F55F2">
        <w:rPr>
          <w:spacing w:val="36"/>
        </w:rPr>
        <w:t xml:space="preserve"> </w:t>
      </w:r>
      <w:r w:rsidRPr="0031675F">
        <w:t>Database</w:t>
      </w:r>
      <w:r w:rsidRPr="008F55F2">
        <w:rPr>
          <w:spacing w:val="37"/>
        </w:rPr>
        <w:t xml:space="preserve"> </w:t>
      </w:r>
      <w:r w:rsidRPr="0031675F">
        <w:t>via</w:t>
      </w:r>
      <w:r w:rsidRPr="008F55F2">
        <w:rPr>
          <w:spacing w:val="36"/>
        </w:rPr>
        <w:t xml:space="preserve"> </w:t>
      </w:r>
      <w:r w:rsidRPr="0031675F">
        <w:t>oracle</w:t>
      </w:r>
      <w:r w:rsidRPr="008F55F2">
        <w:rPr>
          <w:spacing w:val="35"/>
        </w:rPr>
        <w:t xml:space="preserve"> </w:t>
      </w:r>
      <w:r w:rsidRPr="0031675F">
        <w:t>views.</w:t>
      </w:r>
      <w:r w:rsidRPr="008F55F2">
        <w:rPr>
          <w:spacing w:val="36"/>
        </w:rPr>
        <w:t xml:space="preserve"> </w:t>
      </w:r>
      <w:r w:rsidRPr="008F55F2">
        <w:rPr>
          <w:spacing w:val="-2"/>
        </w:rPr>
        <w:t>The</w:t>
      </w:r>
      <w:r w:rsidRPr="008F55F2">
        <w:rPr>
          <w:spacing w:val="65"/>
        </w:rPr>
        <w:t xml:space="preserve"> </w:t>
      </w:r>
      <w:r w:rsidRPr="0031675F">
        <w:t>Access</w:t>
      </w:r>
      <w:r w:rsidRPr="008F55F2">
        <w:rPr>
          <w:spacing w:val="12"/>
        </w:rPr>
        <w:t xml:space="preserve"> </w:t>
      </w:r>
      <w:r w:rsidRPr="0031675F">
        <w:t>Database</w:t>
      </w:r>
      <w:r w:rsidRPr="008F55F2">
        <w:rPr>
          <w:spacing w:val="12"/>
        </w:rPr>
        <w:t xml:space="preserve"> </w:t>
      </w:r>
      <w:r w:rsidRPr="0031675F">
        <w:t>product</w:t>
      </w:r>
      <w:r w:rsidRPr="008F55F2">
        <w:rPr>
          <w:spacing w:val="10"/>
        </w:rPr>
        <w:t xml:space="preserve"> </w:t>
      </w:r>
      <w:r w:rsidRPr="0031675F">
        <w:t>was</w:t>
      </w:r>
      <w:r w:rsidRPr="008F55F2">
        <w:rPr>
          <w:spacing w:val="12"/>
        </w:rPr>
        <w:t xml:space="preserve"> </w:t>
      </w:r>
      <w:r w:rsidRPr="0031675F">
        <w:t>chosen</w:t>
      </w:r>
      <w:r w:rsidRPr="008F55F2">
        <w:rPr>
          <w:spacing w:val="11"/>
        </w:rPr>
        <w:t xml:space="preserve"> </w:t>
      </w:r>
      <w:r w:rsidRPr="0031675F">
        <w:t>as</w:t>
      </w:r>
      <w:r w:rsidRPr="008F55F2">
        <w:rPr>
          <w:spacing w:val="12"/>
        </w:rPr>
        <w:t xml:space="preserve"> </w:t>
      </w:r>
      <w:r w:rsidRPr="0031675F">
        <w:t>the</w:t>
      </w:r>
      <w:r w:rsidRPr="008F55F2">
        <w:rPr>
          <w:spacing w:val="12"/>
        </w:rPr>
        <w:t xml:space="preserve"> </w:t>
      </w:r>
      <w:r w:rsidRPr="0031675F">
        <w:t>delivery</w:t>
      </w:r>
      <w:r w:rsidRPr="008F55F2">
        <w:rPr>
          <w:spacing w:val="11"/>
        </w:rPr>
        <w:t xml:space="preserve"> </w:t>
      </w:r>
      <w:r w:rsidRPr="0031675F">
        <w:t>mechanism</w:t>
      </w:r>
      <w:r w:rsidRPr="008F55F2">
        <w:rPr>
          <w:spacing w:val="13"/>
        </w:rPr>
        <w:t xml:space="preserve"> </w:t>
      </w:r>
      <w:r w:rsidRPr="0031675F">
        <w:t>for</w:t>
      </w:r>
      <w:r w:rsidRPr="008F55F2">
        <w:rPr>
          <w:spacing w:val="12"/>
        </w:rPr>
        <w:t xml:space="preserve"> </w:t>
      </w:r>
      <w:r w:rsidRPr="0031675F">
        <w:t>its</w:t>
      </w:r>
      <w:r w:rsidRPr="008F55F2">
        <w:rPr>
          <w:spacing w:val="12"/>
        </w:rPr>
        <w:t xml:space="preserve"> </w:t>
      </w:r>
      <w:r w:rsidRPr="0031675F">
        <w:t>simplicity,</w:t>
      </w:r>
      <w:r w:rsidRPr="008F55F2">
        <w:rPr>
          <w:spacing w:val="12"/>
        </w:rPr>
        <w:t xml:space="preserve"> </w:t>
      </w:r>
      <w:r w:rsidRPr="0031675F">
        <w:t>and</w:t>
      </w:r>
      <w:r w:rsidRPr="008F55F2">
        <w:rPr>
          <w:spacing w:val="11"/>
        </w:rPr>
        <w:t xml:space="preserve"> </w:t>
      </w:r>
      <w:r w:rsidRPr="0031675F">
        <w:t>with</w:t>
      </w:r>
      <w:r w:rsidRPr="008F55F2">
        <w:rPr>
          <w:spacing w:val="12"/>
        </w:rPr>
        <w:t xml:space="preserve"> </w:t>
      </w:r>
      <w:r w:rsidRPr="0031675F">
        <w:t>a</w:t>
      </w:r>
      <w:r w:rsidRPr="008F55F2">
        <w:rPr>
          <w:spacing w:val="12"/>
        </w:rPr>
        <w:t xml:space="preserve"> </w:t>
      </w:r>
      <w:r w:rsidRPr="0031675F">
        <w:t>view</w:t>
      </w:r>
      <w:r w:rsidRPr="008F55F2">
        <w:rPr>
          <w:spacing w:val="12"/>
        </w:rPr>
        <w:t xml:space="preserve"> </w:t>
      </w:r>
      <w:r w:rsidRPr="0031675F">
        <w:t>that</w:t>
      </w:r>
      <w:r w:rsidRPr="008F55F2">
        <w:rPr>
          <w:spacing w:val="65"/>
        </w:rPr>
        <w:t xml:space="preserve"> </w:t>
      </w:r>
      <w:r w:rsidRPr="0031675F">
        <w:t>most</w:t>
      </w:r>
      <w:r w:rsidRPr="008F55F2">
        <w:rPr>
          <w:spacing w:val="36"/>
        </w:rPr>
        <w:t xml:space="preserve"> </w:t>
      </w:r>
      <w:r w:rsidRPr="0031675F">
        <w:t>are</w:t>
      </w:r>
      <w:r w:rsidRPr="008F55F2">
        <w:rPr>
          <w:spacing w:val="37"/>
        </w:rPr>
        <w:t xml:space="preserve"> </w:t>
      </w:r>
      <w:r w:rsidRPr="0031675F">
        <w:t>familiar</w:t>
      </w:r>
      <w:r w:rsidRPr="008F55F2">
        <w:rPr>
          <w:spacing w:val="33"/>
        </w:rPr>
        <w:t xml:space="preserve"> </w:t>
      </w:r>
      <w:r w:rsidRPr="0031675F">
        <w:t>with</w:t>
      </w:r>
      <w:r w:rsidRPr="008F55F2">
        <w:rPr>
          <w:spacing w:val="33"/>
        </w:rPr>
        <w:t xml:space="preserve"> </w:t>
      </w:r>
      <w:r w:rsidRPr="0031675F">
        <w:t>the</w:t>
      </w:r>
      <w:r w:rsidRPr="008F55F2">
        <w:rPr>
          <w:spacing w:val="37"/>
        </w:rPr>
        <w:t xml:space="preserve"> </w:t>
      </w:r>
      <w:r w:rsidRPr="0031675F">
        <w:t>software.</w:t>
      </w:r>
      <w:r w:rsidRPr="008F55F2">
        <w:rPr>
          <w:spacing w:val="34"/>
        </w:rPr>
        <w:t xml:space="preserve"> </w:t>
      </w:r>
      <w:r w:rsidRPr="0031675F">
        <w:t>Providing</w:t>
      </w:r>
      <w:r w:rsidRPr="008F55F2">
        <w:rPr>
          <w:spacing w:val="35"/>
        </w:rPr>
        <w:t xml:space="preserve"> </w:t>
      </w:r>
      <w:r w:rsidRPr="0031675F">
        <w:t>the</w:t>
      </w:r>
      <w:r w:rsidRPr="008F55F2">
        <w:rPr>
          <w:spacing w:val="33"/>
        </w:rPr>
        <w:t xml:space="preserve"> </w:t>
      </w:r>
      <w:r w:rsidRPr="0031675F">
        <w:t>oracle</w:t>
      </w:r>
      <w:r w:rsidRPr="008F55F2">
        <w:rPr>
          <w:spacing w:val="34"/>
        </w:rPr>
        <w:t xml:space="preserve"> </w:t>
      </w:r>
      <w:r w:rsidRPr="0031675F">
        <w:t>database</w:t>
      </w:r>
      <w:r w:rsidRPr="008F55F2">
        <w:rPr>
          <w:spacing w:val="37"/>
        </w:rPr>
        <w:t xml:space="preserve"> </w:t>
      </w:r>
      <w:r w:rsidRPr="0031675F">
        <w:t>lends</w:t>
      </w:r>
      <w:r w:rsidRPr="008F55F2">
        <w:rPr>
          <w:spacing w:val="33"/>
        </w:rPr>
        <w:t xml:space="preserve"> </w:t>
      </w:r>
      <w:r w:rsidRPr="0031675F">
        <w:t>it</w:t>
      </w:r>
      <w:r w:rsidRPr="008F55F2">
        <w:rPr>
          <w:spacing w:val="34"/>
        </w:rPr>
        <w:t xml:space="preserve"> </w:t>
      </w:r>
      <w:r w:rsidRPr="0031675F">
        <w:t>self</w:t>
      </w:r>
      <w:r w:rsidRPr="008F55F2">
        <w:rPr>
          <w:spacing w:val="36"/>
        </w:rPr>
        <w:t xml:space="preserve"> </w:t>
      </w:r>
      <w:r w:rsidRPr="0031675F">
        <w:t>to</w:t>
      </w:r>
      <w:r w:rsidRPr="008F55F2">
        <w:rPr>
          <w:spacing w:val="37"/>
        </w:rPr>
        <w:t xml:space="preserve"> </w:t>
      </w:r>
      <w:r w:rsidRPr="0031675F">
        <w:t>database</w:t>
      </w:r>
      <w:r w:rsidRPr="008F55F2">
        <w:rPr>
          <w:spacing w:val="33"/>
        </w:rPr>
        <w:t xml:space="preserve"> </w:t>
      </w:r>
      <w:r w:rsidRPr="0031675F">
        <w:t>schema</w:t>
      </w:r>
      <w:r w:rsidRPr="008F55F2">
        <w:rPr>
          <w:spacing w:val="45"/>
        </w:rPr>
        <w:t xml:space="preserve"> </w:t>
      </w:r>
      <w:r w:rsidRPr="0031675F">
        <w:t>complexity and</w:t>
      </w:r>
      <w:r w:rsidRPr="008F55F2">
        <w:rPr>
          <w:spacing w:val="-2"/>
        </w:rPr>
        <w:t xml:space="preserve"> </w:t>
      </w:r>
      <w:r w:rsidRPr="0031675F">
        <w:t>licensing issues for the</w:t>
      </w:r>
      <w:r w:rsidRPr="008F55F2">
        <w:rPr>
          <w:spacing w:val="-2"/>
        </w:rPr>
        <w:t xml:space="preserve"> </w:t>
      </w:r>
      <w:r w:rsidRPr="0031675F">
        <w:t>software required to</w:t>
      </w:r>
      <w:r w:rsidRPr="008F55F2">
        <w:rPr>
          <w:spacing w:val="2"/>
        </w:rPr>
        <w:t xml:space="preserve"> </w:t>
      </w:r>
      <w:r w:rsidRPr="0031675F">
        <w:t>use</w:t>
      </w:r>
      <w:r w:rsidRPr="008F55F2">
        <w:rPr>
          <w:spacing w:val="-2"/>
        </w:rPr>
        <w:t xml:space="preserve"> </w:t>
      </w:r>
      <w:r w:rsidRPr="0031675F">
        <w:t>the</w:t>
      </w:r>
      <w:r w:rsidRPr="008F55F2">
        <w:rPr>
          <w:spacing w:val="-2"/>
        </w:rPr>
        <w:t xml:space="preserve"> </w:t>
      </w:r>
      <w:r w:rsidRPr="0031675F">
        <w:t>exported</w:t>
      </w:r>
      <w:r w:rsidRPr="008F55F2">
        <w:rPr>
          <w:spacing w:val="-3"/>
        </w:rPr>
        <w:t xml:space="preserve"> </w:t>
      </w:r>
      <w:r w:rsidRPr="0031675F">
        <w:t>oracle databases.</w:t>
      </w:r>
    </w:p>
    <w:p w14:paraId="4A8D99DE" w14:textId="77777777" w:rsidR="0031675F" w:rsidRPr="0031675F" w:rsidRDefault="0031675F" w:rsidP="0057756F">
      <w:r w:rsidRPr="0031675F">
        <w:t>It</w:t>
      </w:r>
      <w:r w:rsidRPr="0031675F">
        <w:rPr>
          <w:spacing w:val="22"/>
        </w:rPr>
        <w:t xml:space="preserve"> </w:t>
      </w:r>
      <w:r w:rsidRPr="0031675F">
        <w:t>is</w:t>
      </w:r>
      <w:r w:rsidRPr="0031675F">
        <w:rPr>
          <w:spacing w:val="21"/>
        </w:rPr>
        <w:t xml:space="preserve"> </w:t>
      </w:r>
      <w:r w:rsidRPr="0031675F">
        <w:rPr>
          <w:spacing w:val="-1"/>
        </w:rPr>
        <w:t>AIMS</w:t>
      </w:r>
      <w:r w:rsidRPr="0031675F">
        <w:rPr>
          <w:spacing w:val="19"/>
        </w:rPr>
        <w:t xml:space="preserve"> </w:t>
      </w:r>
      <w:r w:rsidRPr="0031675F">
        <w:rPr>
          <w:spacing w:val="-1"/>
        </w:rPr>
        <w:t>policy</w:t>
      </w:r>
      <w:r w:rsidRPr="0031675F">
        <w:rPr>
          <w:spacing w:val="20"/>
        </w:rPr>
        <w:t xml:space="preserve"> </w:t>
      </w:r>
      <w:r w:rsidRPr="0031675F">
        <w:t>that</w:t>
      </w:r>
      <w:r w:rsidRPr="0031675F">
        <w:rPr>
          <w:spacing w:val="21"/>
        </w:rPr>
        <w:t xml:space="preserve"> </w:t>
      </w:r>
      <w:r w:rsidRPr="0031675F">
        <w:t>all</w:t>
      </w:r>
      <w:r w:rsidRPr="0031675F">
        <w:rPr>
          <w:spacing w:val="21"/>
        </w:rPr>
        <w:t xml:space="preserve"> </w:t>
      </w:r>
      <w:r w:rsidRPr="0031675F">
        <w:rPr>
          <w:spacing w:val="-1"/>
        </w:rPr>
        <w:t>data</w:t>
      </w:r>
      <w:r w:rsidRPr="0031675F">
        <w:rPr>
          <w:spacing w:val="22"/>
        </w:rPr>
        <w:t xml:space="preserve"> </w:t>
      </w:r>
      <w:r w:rsidRPr="0031675F">
        <w:rPr>
          <w:spacing w:val="-1"/>
        </w:rPr>
        <w:t>collected</w:t>
      </w:r>
      <w:r w:rsidRPr="0031675F">
        <w:rPr>
          <w:spacing w:val="21"/>
        </w:rPr>
        <w:t xml:space="preserve"> </w:t>
      </w:r>
      <w:r w:rsidRPr="0031675F">
        <w:rPr>
          <w:spacing w:val="-1"/>
        </w:rPr>
        <w:t>have</w:t>
      </w:r>
      <w:r w:rsidRPr="0031675F">
        <w:rPr>
          <w:spacing w:val="22"/>
        </w:rPr>
        <w:t xml:space="preserve"> </w:t>
      </w:r>
      <w:r w:rsidRPr="0031675F">
        <w:t>a</w:t>
      </w:r>
      <w:r w:rsidRPr="0031675F">
        <w:rPr>
          <w:spacing w:val="16"/>
        </w:rPr>
        <w:t xml:space="preserve"> </w:t>
      </w:r>
      <w:r w:rsidRPr="0031675F">
        <w:rPr>
          <w:spacing w:val="-1"/>
        </w:rPr>
        <w:t>metadata</w:t>
      </w:r>
      <w:r w:rsidRPr="0031675F">
        <w:rPr>
          <w:spacing w:val="22"/>
        </w:rPr>
        <w:t xml:space="preserve"> </w:t>
      </w:r>
      <w:r w:rsidRPr="0031675F">
        <w:rPr>
          <w:spacing w:val="-1"/>
        </w:rPr>
        <w:t>record</w:t>
      </w:r>
      <w:r w:rsidRPr="0031675F">
        <w:rPr>
          <w:spacing w:val="21"/>
        </w:rPr>
        <w:t xml:space="preserve"> </w:t>
      </w:r>
      <w:r w:rsidRPr="0031675F">
        <w:rPr>
          <w:spacing w:val="-1"/>
        </w:rPr>
        <w:t>created</w:t>
      </w:r>
      <w:r w:rsidRPr="0031675F">
        <w:rPr>
          <w:spacing w:val="21"/>
        </w:rPr>
        <w:t xml:space="preserve"> </w:t>
      </w:r>
      <w:r w:rsidRPr="0031675F">
        <w:rPr>
          <w:spacing w:val="-1"/>
        </w:rPr>
        <w:t>for</w:t>
      </w:r>
      <w:r w:rsidRPr="0031675F">
        <w:rPr>
          <w:spacing w:val="21"/>
        </w:rPr>
        <w:t xml:space="preserve"> </w:t>
      </w:r>
      <w:r w:rsidRPr="0031675F">
        <w:t>it.</w:t>
      </w:r>
      <w:r w:rsidRPr="0031675F">
        <w:rPr>
          <w:spacing w:val="18"/>
        </w:rPr>
        <w:t xml:space="preserve"> </w:t>
      </w:r>
      <w:r w:rsidRPr="0031675F">
        <w:rPr>
          <w:spacing w:val="-1"/>
        </w:rPr>
        <w:t>The</w:t>
      </w:r>
      <w:r w:rsidRPr="0031675F">
        <w:rPr>
          <w:spacing w:val="20"/>
        </w:rPr>
        <w:t xml:space="preserve"> </w:t>
      </w:r>
      <w:r w:rsidRPr="0031675F">
        <w:rPr>
          <w:spacing w:val="-1"/>
        </w:rPr>
        <w:t>metadata</w:t>
      </w:r>
      <w:r w:rsidRPr="0031675F">
        <w:rPr>
          <w:spacing w:val="21"/>
        </w:rPr>
        <w:t xml:space="preserve"> </w:t>
      </w:r>
      <w:r w:rsidRPr="0031675F">
        <w:rPr>
          <w:spacing w:val="-1"/>
        </w:rPr>
        <w:t>record</w:t>
      </w:r>
      <w:r w:rsidRPr="0031675F">
        <w:rPr>
          <w:spacing w:val="21"/>
        </w:rPr>
        <w:t xml:space="preserve"> </w:t>
      </w:r>
      <w:r w:rsidRPr="0031675F">
        <w:rPr>
          <w:spacing w:val="-2"/>
        </w:rPr>
        <w:t>is</w:t>
      </w:r>
      <w:r w:rsidRPr="0031675F">
        <w:rPr>
          <w:spacing w:val="59"/>
        </w:rPr>
        <w:t xml:space="preserve"> </w:t>
      </w:r>
      <w:r w:rsidRPr="0031675F">
        <w:t>created</w:t>
      </w:r>
      <w:r w:rsidRPr="0031675F">
        <w:rPr>
          <w:spacing w:val="6"/>
        </w:rPr>
        <w:t xml:space="preserve"> </w:t>
      </w:r>
      <w:r w:rsidRPr="0031675F">
        <w:rPr>
          <w:spacing w:val="-1"/>
        </w:rPr>
        <w:t>using</w:t>
      </w:r>
      <w:r w:rsidRPr="0031675F">
        <w:rPr>
          <w:spacing w:val="6"/>
        </w:rPr>
        <w:t xml:space="preserve"> </w:t>
      </w:r>
      <w:r w:rsidRPr="0031675F">
        <w:t>a</w:t>
      </w:r>
      <w:r w:rsidRPr="0031675F">
        <w:rPr>
          <w:spacing w:val="7"/>
        </w:rPr>
        <w:t xml:space="preserve"> </w:t>
      </w:r>
      <w:r w:rsidRPr="0031675F">
        <w:rPr>
          <w:spacing w:val="-1"/>
        </w:rPr>
        <w:t>Metadata</w:t>
      </w:r>
      <w:r w:rsidRPr="0031675F">
        <w:rPr>
          <w:spacing w:val="5"/>
        </w:rPr>
        <w:t xml:space="preserve"> </w:t>
      </w:r>
      <w:r w:rsidRPr="0031675F">
        <w:rPr>
          <w:spacing w:val="-1"/>
        </w:rPr>
        <w:t>Entry</w:t>
      </w:r>
      <w:r w:rsidRPr="0031675F">
        <w:rPr>
          <w:spacing w:val="8"/>
        </w:rPr>
        <w:t xml:space="preserve"> </w:t>
      </w:r>
      <w:r w:rsidRPr="0031675F">
        <w:rPr>
          <w:spacing w:val="-2"/>
        </w:rPr>
        <w:t>System</w:t>
      </w:r>
      <w:r w:rsidRPr="0031675F">
        <w:rPr>
          <w:spacing w:val="8"/>
        </w:rPr>
        <w:t xml:space="preserve"> </w:t>
      </w:r>
      <w:r w:rsidRPr="0031675F">
        <w:t>where</w:t>
      </w:r>
      <w:r w:rsidRPr="0031675F">
        <w:rPr>
          <w:spacing w:val="8"/>
        </w:rPr>
        <w:t xml:space="preserve"> </w:t>
      </w:r>
      <w:r w:rsidRPr="0031675F">
        <w:rPr>
          <w:spacing w:val="-1"/>
        </w:rPr>
        <w:t>the</w:t>
      </w:r>
      <w:r w:rsidRPr="0031675F">
        <w:rPr>
          <w:spacing w:val="8"/>
        </w:rPr>
        <w:t xml:space="preserve"> </w:t>
      </w:r>
      <w:r w:rsidRPr="0031675F">
        <w:rPr>
          <w:spacing w:val="-1"/>
        </w:rPr>
        <w:t>metadata</w:t>
      </w:r>
      <w:r w:rsidRPr="0031675F">
        <w:rPr>
          <w:spacing w:val="7"/>
        </w:rPr>
        <w:t xml:space="preserve"> </w:t>
      </w:r>
      <w:r w:rsidRPr="0031675F">
        <w:t>is</w:t>
      </w:r>
      <w:r w:rsidRPr="0031675F">
        <w:rPr>
          <w:spacing w:val="7"/>
        </w:rPr>
        <w:t xml:space="preserve"> </w:t>
      </w:r>
      <w:r w:rsidRPr="0031675F">
        <w:t>in</w:t>
      </w:r>
      <w:r w:rsidRPr="0031675F">
        <w:rPr>
          <w:spacing w:val="6"/>
        </w:rPr>
        <w:t xml:space="preserve"> </w:t>
      </w:r>
      <w:r w:rsidRPr="0031675F">
        <w:t>the</w:t>
      </w:r>
      <w:r w:rsidRPr="0031675F">
        <w:rPr>
          <w:spacing w:val="7"/>
        </w:rPr>
        <w:t xml:space="preserve"> </w:t>
      </w:r>
      <w:r w:rsidRPr="0031675F">
        <w:rPr>
          <w:spacing w:val="-1"/>
        </w:rPr>
        <w:t>form</w:t>
      </w:r>
      <w:r w:rsidRPr="0031675F">
        <w:rPr>
          <w:spacing w:val="8"/>
        </w:rPr>
        <w:t xml:space="preserve"> </w:t>
      </w:r>
      <w:r w:rsidRPr="0031675F">
        <w:t>of</w:t>
      </w:r>
      <w:r w:rsidRPr="0031675F">
        <w:rPr>
          <w:spacing w:val="7"/>
        </w:rPr>
        <w:t xml:space="preserve"> </w:t>
      </w:r>
      <w:r w:rsidRPr="0031675F">
        <w:rPr>
          <w:spacing w:val="-2"/>
        </w:rPr>
        <w:t>ISO19139</w:t>
      </w:r>
      <w:r w:rsidRPr="0031675F">
        <w:rPr>
          <w:spacing w:val="8"/>
        </w:rPr>
        <w:t xml:space="preserve"> </w:t>
      </w:r>
      <w:r w:rsidRPr="0031675F">
        <w:rPr>
          <w:spacing w:val="-1"/>
        </w:rPr>
        <w:t>XML.</w:t>
      </w:r>
      <w:r w:rsidRPr="0031675F">
        <w:rPr>
          <w:spacing w:val="7"/>
        </w:rPr>
        <w:t xml:space="preserve"> </w:t>
      </w:r>
      <w:r w:rsidRPr="0031675F">
        <w:rPr>
          <w:spacing w:val="-1"/>
        </w:rPr>
        <w:t>This</w:t>
      </w:r>
      <w:r w:rsidRPr="0031675F">
        <w:rPr>
          <w:spacing w:val="7"/>
        </w:rPr>
        <w:t xml:space="preserve"> </w:t>
      </w:r>
      <w:r w:rsidRPr="0031675F">
        <w:t>is</w:t>
      </w:r>
      <w:r w:rsidRPr="0031675F">
        <w:rPr>
          <w:spacing w:val="7"/>
        </w:rPr>
        <w:t xml:space="preserve"> </w:t>
      </w:r>
      <w:r w:rsidRPr="0031675F">
        <w:t xml:space="preserve">the </w:t>
      </w:r>
      <w:r w:rsidRPr="0031675F">
        <w:rPr>
          <w:spacing w:val="-1"/>
        </w:rPr>
        <w:t>chosen</w:t>
      </w:r>
      <w:r w:rsidRPr="0031675F">
        <w:rPr>
          <w:spacing w:val="45"/>
        </w:rPr>
        <w:t xml:space="preserve"> </w:t>
      </w:r>
      <w:r w:rsidRPr="0031675F">
        <w:rPr>
          <w:spacing w:val="-1"/>
        </w:rPr>
        <w:t>format</w:t>
      </w:r>
      <w:r w:rsidRPr="0031675F">
        <w:rPr>
          <w:spacing w:val="46"/>
        </w:rPr>
        <w:t xml:space="preserve"> </w:t>
      </w:r>
      <w:r w:rsidRPr="0031675F">
        <w:rPr>
          <w:spacing w:val="-1"/>
        </w:rPr>
        <w:t>for</w:t>
      </w:r>
      <w:r w:rsidRPr="0031675F">
        <w:rPr>
          <w:spacing w:val="43"/>
        </w:rPr>
        <w:t xml:space="preserve"> </w:t>
      </w:r>
      <w:r w:rsidRPr="0031675F">
        <w:rPr>
          <w:spacing w:val="-1"/>
        </w:rPr>
        <w:t>many</w:t>
      </w:r>
      <w:r w:rsidRPr="0031675F">
        <w:rPr>
          <w:spacing w:val="43"/>
        </w:rPr>
        <w:t xml:space="preserve"> </w:t>
      </w:r>
      <w:r w:rsidRPr="0031675F">
        <w:rPr>
          <w:spacing w:val="-1"/>
        </w:rPr>
        <w:t>agencies</w:t>
      </w:r>
      <w:r w:rsidRPr="0031675F">
        <w:rPr>
          <w:spacing w:val="45"/>
        </w:rPr>
        <w:t xml:space="preserve"> </w:t>
      </w:r>
      <w:r w:rsidRPr="0031675F">
        <w:rPr>
          <w:spacing w:val="-1"/>
        </w:rPr>
        <w:t>across</w:t>
      </w:r>
      <w:r w:rsidRPr="0031675F">
        <w:rPr>
          <w:spacing w:val="44"/>
        </w:rPr>
        <w:t xml:space="preserve"> </w:t>
      </w:r>
      <w:r w:rsidRPr="0031675F">
        <w:rPr>
          <w:spacing w:val="-1"/>
        </w:rPr>
        <w:t>Australia</w:t>
      </w:r>
      <w:r w:rsidRPr="0031675F">
        <w:rPr>
          <w:spacing w:val="43"/>
        </w:rPr>
        <w:t xml:space="preserve"> </w:t>
      </w:r>
      <w:r w:rsidRPr="0031675F">
        <w:rPr>
          <w:spacing w:val="-1"/>
        </w:rPr>
        <w:t>and</w:t>
      </w:r>
      <w:r w:rsidRPr="0031675F">
        <w:rPr>
          <w:spacing w:val="44"/>
        </w:rPr>
        <w:t xml:space="preserve"> </w:t>
      </w:r>
      <w:r w:rsidRPr="0031675F">
        <w:t>the</w:t>
      </w:r>
      <w:r w:rsidRPr="0031675F">
        <w:rPr>
          <w:spacing w:val="46"/>
        </w:rPr>
        <w:t xml:space="preserve"> </w:t>
      </w:r>
      <w:r w:rsidRPr="0031675F">
        <w:rPr>
          <w:spacing w:val="-1"/>
        </w:rPr>
        <w:t>International</w:t>
      </w:r>
      <w:r w:rsidRPr="0031675F">
        <w:rPr>
          <w:spacing w:val="45"/>
        </w:rPr>
        <w:t xml:space="preserve"> </w:t>
      </w:r>
      <w:r w:rsidRPr="0031675F">
        <w:rPr>
          <w:spacing w:val="-1"/>
        </w:rPr>
        <w:t>Community</w:t>
      </w:r>
      <w:r w:rsidRPr="0031675F">
        <w:rPr>
          <w:spacing w:val="46"/>
        </w:rPr>
        <w:t xml:space="preserve"> </w:t>
      </w:r>
      <w:r w:rsidRPr="0031675F">
        <w:rPr>
          <w:spacing w:val="-1"/>
        </w:rPr>
        <w:t>that</w:t>
      </w:r>
      <w:r w:rsidRPr="0031675F">
        <w:rPr>
          <w:spacing w:val="46"/>
        </w:rPr>
        <w:t xml:space="preserve"> </w:t>
      </w:r>
      <w:r w:rsidRPr="0031675F">
        <w:rPr>
          <w:spacing w:val="-1"/>
        </w:rPr>
        <w:t>deal</w:t>
      </w:r>
      <w:r w:rsidRPr="0031675F">
        <w:rPr>
          <w:spacing w:val="43"/>
        </w:rPr>
        <w:t xml:space="preserve"> </w:t>
      </w:r>
      <w:r w:rsidRPr="0031675F">
        <w:t>with</w:t>
      </w:r>
      <w:r w:rsidRPr="0031675F">
        <w:rPr>
          <w:spacing w:val="63"/>
        </w:rPr>
        <w:t xml:space="preserve"> </w:t>
      </w:r>
      <w:r w:rsidRPr="0031675F">
        <w:rPr>
          <w:spacing w:val="-1"/>
        </w:rPr>
        <w:t>spatial</w:t>
      </w:r>
      <w:r w:rsidRPr="0031675F">
        <w:rPr>
          <w:spacing w:val="4"/>
        </w:rPr>
        <w:t xml:space="preserve"> </w:t>
      </w:r>
      <w:r w:rsidRPr="0031675F">
        <w:rPr>
          <w:spacing w:val="-1"/>
        </w:rPr>
        <w:t>scientific</w:t>
      </w:r>
      <w:r w:rsidRPr="0031675F">
        <w:rPr>
          <w:spacing w:val="5"/>
        </w:rPr>
        <w:t xml:space="preserve"> </w:t>
      </w:r>
      <w:r w:rsidRPr="0031675F">
        <w:rPr>
          <w:spacing w:val="-1"/>
        </w:rPr>
        <w:t>data.</w:t>
      </w:r>
      <w:r w:rsidRPr="0031675F">
        <w:rPr>
          <w:spacing w:val="4"/>
        </w:rPr>
        <w:t xml:space="preserve"> </w:t>
      </w:r>
      <w:r w:rsidRPr="0031675F">
        <w:t>You</w:t>
      </w:r>
      <w:r w:rsidRPr="0031675F">
        <w:rPr>
          <w:spacing w:val="4"/>
        </w:rPr>
        <w:t xml:space="preserve"> </w:t>
      </w:r>
      <w:r w:rsidRPr="0031675F">
        <w:t>can</w:t>
      </w:r>
      <w:r w:rsidRPr="0031675F">
        <w:rPr>
          <w:spacing w:val="4"/>
        </w:rPr>
        <w:t xml:space="preserve"> </w:t>
      </w:r>
      <w:r w:rsidRPr="0031675F">
        <w:rPr>
          <w:spacing w:val="-1"/>
        </w:rPr>
        <w:t>visit</w:t>
      </w:r>
      <w:r w:rsidRPr="0031675F">
        <w:rPr>
          <w:spacing w:val="5"/>
        </w:rPr>
        <w:t xml:space="preserve"> </w:t>
      </w:r>
      <w:r w:rsidRPr="0031675F">
        <w:t>the</w:t>
      </w:r>
      <w:r w:rsidRPr="0031675F">
        <w:rPr>
          <w:spacing w:val="5"/>
        </w:rPr>
        <w:t xml:space="preserve"> </w:t>
      </w:r>
      <w:r w:rsidRPr="0031675F">
        <w:rPr>
          <w:spacing w:val="-1"/>
        </w:rPr>
        <w:t>AIMS</w:t>
      </w:r>
      <w:r w:rsidRPr="0031675F">
        <w:rPr>
          <w:spacing w:val="4"/>
        </w:rPr>
        <w:t xml:space="preserve"> </w:t>
      </w:r>
      <w:r w:rsidRPr="0031675F">
        <w:rPr>
          <w:spacing w:val="-1"/>
        </w:rPr>
        <w:t>Metadata</w:t>
      </w:r>
      <w:r w:rsidRPr="0031675F">
        <w:rPr>
          <w:spacing w:val="5"/>
        </w:rPr>
        <w:t xml:space="preserve"> </w:t>
      </w:r>
      <w:r w:rsidRPr="0031675F">
        <w:rPr>
          <w:spacing w:val="-1"/>
        </w:rPr>
        <w:t>System</w:t>
      </w:r>
      <w:r w:rsidRPr="0031675F">
        <w:rPr>
          <w:spacing w:val="6"/>
        </w:rPr>
        <w:t xml:space="preserve"> </w:t>
      </w:r>
      <w:r w:rsidRPr="0031675F">
        <w:rPr>
          <w:spacing w:val="-2"/>
        </w:rPr>
        <w:t>at</w:t>
      </w:r>
      <w:r w:rsidRPr="0031675F">
        <w:t xml:space="preserve">  </w:t>
      </w:r>
      <w:hyperlink r:id="rId187" w:history="1">
        <w:r w:rsidRPr="0031675F">
          <w:rPr>
            <w:u w:val="single"/>
          </w:rPr>
          <w:t>http://data.aims.gov.au/metadataviewer/faces/search.xhtml?searchType=title&amp;searchValue=RRMMP</w:t>
        </w:r>
      </w:hyperlink>
      <w:r w:rsidRPr="0031675F">
        <w:rPr>
          <w:spacing w:val="-1"/>
        </w:rPr>
        <w:t>.</w:t>
      </w:r>
    </w:p>
    <w:p w14:paraId="0EC40515" w14:textId="77777777" w:rsidR="0031675F" w:rsidRPr="0031675F" w:rsidRDefault="0031675F" w:rsidP="0031675F">
      <w:pPr>
        <w:spacing w:before="4"/>
        <w:rPr>
          <w:rFonts w:cs="Calibri"/>
          <w:sz w:val="16"/>
          <w:szCs w:val="16"/>
        </w:rPr>
      </w:pPr>
    </w:p>
    <w:p w14:paraId="1103BE57" w14:textId="77777777" w:rsidR="0031675F" w:rsidRPr="0031675F" w:rsidRDefault="0031675F" w:rsidP="0031675F">
      <w:pPr>
        <w:widowControl w:val="0"/>
        <w:numPr>
          <w:ilvl w:val="1"/>
          <w:numId w:val="59"/>
        </w:numPr>
        <w:tabs>
          <w:tab w:val="left" w:pos="820"/>
        </w:tabs>
        <w:spacing w:before="69" w:after="0" w:line="240" w:lineRule="auto"/>
        <w:ind w:left="819" w:hanging="719"/>
        <w:jc w:val="both"/>
        <w:rPr>
          <w:rFonts w:eastAsia="Arial" w:cs="Arial"/>
          <w:sz w:val="24"/>
          <w:szCs w:val="24"/>
        </w:rPr>
      </w:pPr>
      <w:r w:rsidRPr="0031675F">
        <w:rPr>
          <w:b/>
          <w:sz w:val="24"/>
        </w:rPr>
        <w:t>Outputs</w:t>
      </w:r>
    </w:p>
    <w:p w14:paraId="25B3B98E" w14:textId="77777777" w:rsidR="0031675F" w:rsidRPr="0031675F" w:rsidRDefault="0031675F" w:rsidP="007E3BE0">
      <w:r w:rsidRPr="0031675F">
        <w:t>The</w:t>
      </w:r>
      <w:r w:rsidRPr="0031675F">
        <w:rPr>
          <w:spacing w:val="36"/>
        </w:rPr>
        <w:t xml:space="preserve"> </w:t>
      </w:r>
      <w:r w:rsidRPr="0031675F">
        <w:t>outputs</w:t>
      </w:r>
      <w:r w:rsidRPr="0031675F">
        <w:rPr>
          <w:spacing w:val="39"/>
        </w:rPr>
        <w:t xml:space="preserve"> </w:t>
      </w:r>
      <w:r w:rsidRPr="0031675F">
        <w:rPr>
          <w:spacing w:val="-2"/>
        </w:rPr>
        <w:t>from</w:t>
      </w:r>
      <w:r w:rsidRPr="0031675F">
        <w:rPr>
          <w:spacing w:val="40"/>
        </w:rPr>
        <w:t xml:space="preserve"> </w:t>
      </w:r>
      <w:r w:rsidRPr="0031675F">
        <w:t>the</w:t>
      </w:r>
      <w:r w:rsidRPr="0031675F">
        <w:rPr>
          <w:spacing w:val="38"/>
        </w:rPr>
        <w:t xml:space="preserve"> </w:t>
      </w:r>
      <w:r w:rsidRPr="0031675F">
        <w:t>data</w:t>
      </w:r>
      <w:r w:rsidRPr="0031675F">
        <w:rPr>
          <w:spacing w:val="38"/>
        </w:rPr>
        <w:t xml:space="preserve"> </w:t>
      </w:r>
      <w:r w:rsidRPr="0031675F">
        <w:t>management</w:t>
      </w:r>
      <w:r w:rsidRPr="0031675F">
        <w:rPr>
          <w:spacing w:val="38"/>
        </w:rPr>
        <w:t xml:space="preserve"> </w:t>
      </w:r>
      <w:r w:rsidRPr="0031675F">
        <w:t>system</w:t>
      </w:r>
      <w:r w:rsidRPr="0031675F">
        <w:rPr>
          <w:spacing w:val="38"/>
        </w:rPr>
        <w:t xml:space="preserve"> </w:t>
      </w:r>
      <w:r w:rsidRPr="0031675F">
        <w:rPr>
          <w:spacing w:val="-2"/>
        </w:rPr>
        <w:t>include</w:t>
      </w:r>
      <w:r w:rsidRPr="0031675F">
        <w:rPr>
          <w:spacing w:val="38"/>
        </w:rPr>
        <w:t xml:space="preserve"> </w:t>
      </w:r>
      <w:r w:rsidRPr="0031675F">
        <w:t>Standard</w:t>
      </w:r>
      <w:r w:rsidRPr="0031675F">
        <w:rPr>
          <w:spacing w:val="38"/>
        </w:rPr>
        <w:t xml:space="preserve"> </w:t>
      </w:r>
      <w:r w:rsidRPr="0031675F">
        <w:t>Operating</w:t>
      </w:r>
      <w:r w:rsidRPr="0031675F">
        <w:rPr>
          <w:spacing w:val="35"/>
        </w:rPr>
        <w:t xml:space="preserve"> </w:t>
      </w:r>
      <w:r w:rsidRPr="0031675F">
        <w:t>Procedures</w:t>
      </w:r>
      <w:r w:rsidRPr="0031675F">
        <w:rPr>
          <w:spacing w:val="35"/>
        </w:rPr>
        <w:t xml:space="preserve"> </w:t>
      </w:r>
      <w:r w:rsidRPr="0031675F">
        <w:t>for</w:t>
      </w:r>
      <w:r w:rsidRPr="0031675F">
        <w:rPr>
          <w:spacing w:val="36"/>
        </w:rPr>
        <w:t xml:space="preserve"> </w:t>
      </w:r>
      <w:r w:rsidRPr="0031675F">
        <w:t>all</w:t>
      </w:r>
      <w:r w:rsidRPr="0031675F">
        <w:rPr>
          <w:spacing w:val="38"/>
        </w:rPr>
        <w:t xml:space="preserve"> </w:t>
      </w:r>
      <w:r w:rsidRPr="0031675F">
        <w:t>data</w:t>
      </w:r>
      <w:r w:rsidRPr="0031675F">
        <w:rPr>
          <w:spacing w:val="67"/>
        </w:rPr>
        <w:t xml:space="preserve"> </w:t>
      </w:r>
      <w:r w:rsidRPr="0031675F">
        <w:t>manipulation,</w:t>
      </w:r>
      <w:r w:rsidRPr="0031675F">
        <w:rPr>
          <w:spacing w:val="5"/>
        </w:rPr>
        <w:t xml:space="preserve"> </w:t>
      </w:r>
      <w:r w:rsidRPr="0031675F">
        <w:t>transfer,</w:t>
      </w:r>
      <w:r w:rsidRPr="0031675F">
        <w:rPr>
          <w:spacing w:val="5"/>
        </w:rPr>
        <w:t xml:space="preserve"> </w:t>
      </w:r>
      <w:r w:rsidRPr="0031675F">
        <w:t>uploading</w:t>
      </w:r>
      <w:r w:rsidRPr="0031675F">
        <w:rPr>
          <w:spacing w:val="4"/>
        </w:rPr>
        <w:t xml:space="preserve"> </w:t>
      </w:r>
      <w:r w:rsidRPr="0031675F">
        <w:t>and</w:t>
      </w:r>
      <w:r w:rsidRPr="0031675F">
        <w:rPr>
          <w:spacing w:val="4"/>
        </w:rPr>
        <w:t xml:space="preserve"> </w:t>
      </w:r>
      <w:r w:rsidRPr="0031675F">
        <w:t>processing,</w:t>
      </w:r>
      <w:r w:rsidRPr="0031675F">
        <w:rPr>
          <w:spacing w:val="5"/>
        </w:rPr>
        <w:t xml:space="preserve"> </w:t>
      </w:r>
      <w:r w:rsidRPr="0031675F">
        <w:t>a</w:t>
      </w:r>
      <w:r w:rsidRPr="0031675F">
        <w:rPr>
          <w:spacing w:val="5"/>
        </w:rPr>
        <w:t xml:space="preserve"> </w:t>
      </w:r>
      <w:r w:rsidRPr="0031675F">
        <w:t>full</w:t>
      </w:r>
      <w:r w:rsidRPr="0031675F">
        <w:rPr>
          <w:spacing w:val="4"/>
        </w:rPr>
        <w:t xml:space="preserve"> </w:t>
      </w:r>
      <w:r w:rsidRPr="0031675F">
        <w:t>database</w:t>
      </w:r>
      <w:r w:rsidRPr="0031675F">
        <w:rPr>
          <w:spacing w:val="5"/>
        </w:rPr>
        <w:t xml:space="preserve"> </w:t>
      </w:r>
      <w:r w:rsidRPr="0031675F">
        <w:t>description,</w:t>
      </w:r>
      <w:r w:rsidRPr="0031675F">
        <w:rPr>
          <w:spacing w:val="5"/>
        </w:rPr>
        <w:t xml:space="preserve"> </w:t>
      </w:r>
      <w:r w:rsidRPr="0031675F">
        <w:t>the</w:t>
      </w:r>
      <w:r w:rsidRPr="0031675F">
        <w:rPr>
          <w:spacing w:val="5"/>
        </w:rPr>
        <w:t xml:space="preserve"> </w:t>
      </w:r>
      <w:r w:rsidRPr="0031675F">
        <w:t>metadata</w:t>
      </w:r>
      <w:r w:rsidRPr="0031675F">
        <w:rPr>
          <w:spacing w:val="4"/>
        </w:rPr>
        <w:t xml:space="preserve"> </w:t>
      </w:r>
      <w:r w:rsidRPr="0031675F">
        <w:t>records,</w:t>
      </w:r>
      <w:r w:rsidRPr="0031675F">
        <w:rPr>
          <w:spacing w:val="5"/>
        </w:rPr>
        <w:t xml:space="preserve"> </w:t>
      </w:r>
      <w:r w:rsidRPr="0031675F">
        <w:t>the</w:t>
      </w:r>
      <w:r w:rsidRPr="0031675F">
        <w:rPr>
          <w:spacing w:val="75"/>
        </w:rPr>
        <w:t xml:space="preserve"> </w:t>
      </w:r>
      <w:r w:rsidRPr="0031675F">
        <w:t>data</w:t>
      </w:r>
      <w:r w:rsidRPr="0031675F">
        <w:rPr>
          <w:spacing w:val="1"/>
        </w:rPr>
        <w:t xml:space="preserve"> </w:t>
      </w:r>
      <w:r w:rsidRPr="0031675F">
        <w:t>quality</w:t>
      </w:r>
      <w:r w:rsidRPr="0031675F">
        <w:rPr>
          <w:spacing w:val="49"/>
        </w:rPr>
        <w:t xml:space="preserve"> </w:t>
      </w:r>
      <w:r w:rsidRPr="0031675F">
        <w:t>reports</w:t>
      </w:r>
      <w:r w:rsidRPr="0031675F">
        <w:rPr>
          <w:spacing w:val="1"/>
        </w:rPr>
        <w:t xml:space="preserve"> </w:t>
      </w:r>
      <w:r w:rsidRPr="0031675F">
        <w:rPr>
          <w:spacing w:val="-2"/>
        </w:rPr>
        <w:t>from</w:t>
      </w:r>
      <w:r w:rsidRPr="0031675F">
        <w:rPr>
          <w:spacing w:val="49"/>
        </w:rPr>
        <w:t xml:space="preserve"> </w:t>
      </w:r>
      <w:r w:rsidRPr="0031675F">
        <w:t>the</w:t>
      </w:r>
      <w:r w:rsidRPr="0031675F">
        <w:rPr>
          <w:spacing w:val="1"/>
        </w:rPr>
        <w:t xml:space="preserve"> </w:t>
      </w:r>
      <w:r w:rsidRPr="0031675F">
        <w:t>automated  checking</w:t>
      </w:r>
      <w:r w:rsidRPr="0031675F">
        <w:rPr>
          <w:spacing w:val="48"/>
        </w:rPr>
        <w:t xml:space="preserve"> </w:t>
      </w:r>
      <w:r w:rsidRPr="0031675F">
        <w:t>programs,</w:t>
      </w:r>
      <w:r w:rsidRPr="0031675F">
        <w:rPr>
          <w:spacing w:val="47"/>
        </w:rPr>
        <w:t xml:space="preserve"> </w:t>
      </w:r>
      <w:r w:rsidRPr="0031675F">
        <w:t>the</w:t>
      </w:r>
      <w:r w:rsidRPr="0031675F">
        <w:rPr>
          <w:spacing w:val="1"/>
        </w:rPr>
        <w:t xml:space="preserve"> </w:t>
      </w:r>
      <w:r w:rsidRPr="0031675F">
        <w:t>progress</w:t>
      </w:r>
      <w:r w:rsidRPr="0031675F">
        <w:rPr>
          <w:spacing w:val="46"/>
        </w:rPr>
        <w:t xml:space="preserve"> </w:t>
      </w:r>
      <w:r w:rsidRPr="0031675F">
        <w:t>statistics</w:t>
      </w:r>
      <w:r w:rsidRPr="0031675F">
        <w:rPr>
          <w:spacing w:val="1"/>
        </w:rPr>
        <w:t xml:space="preserve"> </w:t>
      </w:r>
      <w:r w:rsidRPr="0031675F">
        <w:t>from</w:t>
      </w:r>
      <w:r w:rsidRPr="0031675F">
        <w:rPr>
          <w:spacing w:val="49"/>
        </w:rPr>
        <w:t xml:space="preserve"> </w:t>
      </w:r>
      <w:r w:rsidRPr="0031675F">
        <w:t>the</w:t>
      </w:r>
      <w:r w:rsidRPr="0031675F">
        <w:rPr>
          <w:spacing w:val="49"/>
        </w:rPr>
        <w:t xml:space="preserve"> </w:t>
      </w:r>
      <w:r w:rsidRPr="0031675F">
        <w:t>data</w:t>
      </w:r>
      <w:r w:rsidRPr="0031675F">
        <w:rPr>
          <w:spacing w:val="69"/>
        </w:rPr>
        <w:t xml:space="preserve"> </w:t>
      </w:r>
      <w:r w:rsidRPr="0031675F">
        <w:t>tracking system and a copy</w:t>
      </w:r>
      <w:r w:rsidRPr="0031675F">
        <w:rPr>
          <w:spacing w:val="-2"/>
        </w:rPr>
        <w:t xml:space="preserve"> </w:t>
      </w:r>
      <w:r w:rsidRPr="0031675F">
        <w:t>of</w:t>
      </w:r>
      <w:r w:rsidRPr="0031675F">
        <w:rPr>
          <w:spacing w:val="-2"/>
        </w:rPr>
        <w:t xml:space="preserve"> </w:t>
      </w:r>
      <w:r w:rsidRPr="0031675F">
        <w:t>the data</w:t>
      </w:r>
      <w:r w:rsidRPr="0031675F">
        <w:rPr>
          <w:spacing w:val="-3"/>
        </w:rPr>
        <w:t xml:space="preserve"> </w:t>
      </w:r>
      <w:r w:rsidRPr="0031675F">
        <w:t>in the</w:t>
      </w:r>
      <w:r w:rsidRPr="0031675F">
        <w:rPr>
          <w:spacing w:val="-2"/>
        </w:rPr>
        <w:t xml:space="preserve"> </w:t>
      </w:r>
      <w:r w:rsidRPr="0031675F">
        <w:t xml:space="preserve">appropriate format </w:t>
      </w:r>
      <w:r w:rsidRPr="0031675F">
        <w:rPr>
          <w:spacing w:val="-2"/>
        </w:rPr>
        <w:t>(such</w:t>
      </w:r>
      <w:r w:rsidRPr="0031675F">
        <w:t xml:space="preserve"> as an Access</w:t>
      </w:r>
      <w:r w:rsidRPr="0031675F">
        <w:rPr>
          <w:spacing w:val="-2"/>
        </w:rPr>
        <w:t xml:space="preserve"> </w:t>
      </w:r>
      <w:r w:rsidRPr="0031675F">
        <w:t>Database).</w:t>
      </w:r>
    </w:p>
    <w:p w14:paraId="7AE23CDF" w14:textId="77777777" w:rsidR="0031675F" w:rsidRPr="0031675F" w:rsidRDefault="0031675F" w:rsidP="0031675F">
      <w:pPr>
        <w:rPr>
          <w:rFonts w:cs="Calibri"/>
          <w:sz w:val="20"/>
          <w:szCs w:val="20"/>
        </w:rPr>
      </w:pPr>
    </w:p>
    <w:p w14:paraId="5446315E" w14:textId="77777777" w:rsidR="0031675F" w:rsidRPr="0031675F" w:rsidRDefault="0031675F" w:rsidP="0031675F">
      <w:pPr>
        <w:rPr>
          <w:rFonts w:cs="Arial"/>
        </w:rPr>
      </w:pPr>
      <w:r w:rsidRPr="0031675F">
        <w:rPr>
          <w:rFonts w:cs="Arial"/>
        </w:rPr>
        <w:br w:type="page"/>
      </w:r>
    </w:p>
    <w:p w14:paraId="23E0D4D1" w14:textId="77777777" w:rsidR="0031675F" w:rsidRPr="0031675F" w:rsidRDefault="0031675F" w:rsidP="00231801">
      <w:pPr>
        <w:pStyle w:val="Heading1"/>
        <w:numPr>
          <w:ilvl w:val="0"/>
          <w:numId w:val="0"/>
        </w:numPr>
        <w:ind w:left="432"/>
      </w:pPr>
      <w:bookmarkStart w:id="749" w:name="_Toc523905394"/>
      <w:bookmarkStart w:id="750" w:name="_Toc12365640"/>
      <w:r w:rsidRPr="0031675F">
        <w:t>Appendix</w:t>
      </w:r>
      <w:r w:rsidRPr="0031675F">
        <w:rPr>
          <w:spacing w:val="-14"/>
        </w:rPr>
        <w:t xml:space="preserve"> </w:t>
      </w:r>
      <w:r w:rsidRPr="0031675F">
        <w:t>B</w:t>
      </w:r>
      <w:r w:rsidRPr="0031675F">
        <w:rPr>
          <w:spacing w:val="25"/>
          <w:w w:val="99"/>
        </w:rPr>
        <w:t xml:space="preserve"> </w:t>
      </w:r>
      <w:r w:rsidRPr="0031675F">
        <w:t>James Cook University TropWater Appendices</w:t>
      </w:r>
      <w:bookmarkEnd w:id="749"/>
      <w:bookmarkEnd w:id="750"/>
    </w:p>
    <w:p w14:paraId="03511E76" w14:textId="77777777" w:rsidR="0031675F" w:rsidRPr="0031675F" w:rsidRDefault="0031675F" w:rsidP="0031675F">
      <w:pPr>
        <w:jc w:val="center"/>
      </w:pPr>
    </w:p>
    <w:p w14:paraId="5A0A41BF" w14:textId="77777777" w:rsidR="0031675F" w:rsidRPr="0031675F" w:rsidRDefault="0031675F" w:rsidP="0031675F">
      <w:pPr>
        <w:jc w:val="center"/>
      </w:pPr>
    </w:p>
    <w:p w14:paraId="56893506" w14:textId="77777777" w:rsidR="0031675F" w:rsidRPr="0031675F" w:rsidRDefault="0031675F" w:rsidP="0031675F">
      <w:pPr>
        <w:jc w:val="center"/>
      </w:pPr>
      <w:r w:rsidRPr="0031675F">
        <w:rPr>
          <w:noProof/>
          <w:lang w:eastAsia="en-AU"/>
        </w:rPr>
        <w:drawing>
          <wp:inline distT="0" distB="0" distL="0" distR="0" wp14:anchorId="3F093F4E" wp14:editId="60CE6382">
            <wp:extent cx="2291715" cy="1401445"/>
            <wp:effectExtent l="0" t="0" r="0" b="8255"/>
            <wp:docPr id="157" name="Picture 157"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88" r:link="rId189">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68C40297" w14:textId="77777777" w:rsidR="0031675F" w:rsidRPr="0031675F" w:rsidRDefault="0031675F" w:rsidP="0031675F">
      <w:pPr>
        <w:tabs>
          <w:tab w:val="left" w:pos="709"/>
          <w:tab w:val="right" w:leader="dot" w:pos="9072"/>
        </w:tabs>
        <w:contextualSpacing/>
        <w:rPr>
          <w:rFonts w:cs="Arial"/>
        </w:rPr>
      </w:pPr>
      <w:bookmarkStart w:id="751" w:name="_Hlk9949393"/>
      <w:r w:rsidRPr="0031675F">
        <w:rPr>
          <w:rFonts w:cs="Arial"/>
          <w:b/>
        </w:rPr>
        <w:t>B1:</w:t>
      </w:r>
      <w:r w:rsidRPr="0031675F">
        <w:rPr>
          <w:rFonts w:cs="Arial"/>
        </w:rPr>
        <w:tab/>
      </w:r>
      <w:r w:rsidRPr="0031675F">
        <w:rPr>
          <w:rFonts w:cs="Arial"/>
          <w:bCs/>
        </w:rPr>
        <w:t>TropWATER Water Sampling Procedures</w:t>
      </w:r>
    </w:p>
    <w:p w14:paraId="42A44BC6" w14:textId="77777777" w:rsidR="0031675F" w:rsidRPr="0031675F" w:rsidRDefault="0031675F" w:rsidP="0031675F">
      <w:pPr>
        <w:tabs>
          <w:tab w:val="left" w:pos="709"/>
          <w:tab w:val="right" w:leader="dot" w:pos="9072"/>
        </w:tabs>
        <w:contextualSpacing/>
        <w:rPr>
          <w:rFonts w:cs="Arial"/>
        </w:rPr>
      </w:pPr>
      <w:r w:rsidRPr="0031675F">
        <w:rPr>
          <w:rFonts w:cs="Arial"/>
          <w:b/>
        </w:rPr>
        <w:t>B2:</w:t>
      </w:r>
      <w:r w:rsidRPr="0031675F">
        <w:rPr>
          <w:rFonts w:cs="Arial"/>
        </w:rPr>
        <w:tab/>
      </w:r>
      <w:r w:rsidRPr="0031675F">
        <w:rPr>
          <w:rFonts w:cs="Arial"/>
          <w:bCs/>
        </w:rPr>
        <w:t>TropWATER</w:t>
      </w:r>
      <w:r w:rsidRPr="0031675F">
        <w:rPr>
          <w:rFonts w:cs="Arial"/>
        </w:rPr>
        <w:t xml:space="preserve"> Water Sampling Field Sheet - Example</w:t>
      </w:r>
    </w:p>
    <w:p w14:paraId="33FBBA81" w14:textId="77777777" w:rsidR="0031675F" w:rsidRPr="0031675F" w:rsidRDefault="0031675F" w:rsidP="0031675F">
      <w:pPr>
        <w:tabs>
          <w:tab w:val="left" w:pos="709"/>
          <w:tab w:val="right" w:leader="dot" w:pos="9072"/>
        </w:tabs>
        <w:contextualSpacing/>
        <w:rPr>
          <w:rFonts w:cs="Arial"/>
        </w:rPr>
      </w:pPr>
      <w:r w:rsidRPr="0031675F">
        <w:rPr>
          <w:rFonts w:cs="Arial"/>
          <w:b/>
        </w:rPr>
        <w:t>B3:</w:t>
      </w:r>
      <w:r w:rsidRPr="0031675F">
        <w:rPr>
          <w:rFonts w:cs="Arial"/>
        </w:rPr>
        <w:tab/>
        <w:t xml:space="preserve">Metadata for flood plume data entered into </w:t>
      </w:r>
      <w:r w:rsidRPr="0031675F">
        <w:rPr>
          <w:rFonts w:cs="Arial"/>
          <w:bCs/>
        </w:rPr>
        <w:t>TropWATER</w:t>
      </w:r>
      <w:r w:rsidRPr="0031675F">
        <w:rPr>
          <w:rFonts w:cs="Arial"/>
        </w:rPr>
        <w:t xml:space="preserve"> flood database</w:t>
      </w:r>
    </w:p>
    <w:p w14:paraId="5B2EBCF4" w14:textId="77777777" w:rsidR="0031675F" w:rsidRPr="0031675F" w:rsidRDefault="0031675F" w:rsidP="0031675F">
      <w:pPr>
        <w:tabs>
          <w:tab w:val="left" w:pos="709"/>
          <w:tab w:val="right" w:leader="dot" w:pos="9072"/>
        </w:tabs>
        <w:contextualSpacing/>
        <w:rPr>
          <w:rFonts w:cs="Arial"/>
        </w:rPr>
      </w:pPr>
      <w:r w:rsidRPr="0031675F">
        <w:rPr>
          <w:rFonts w:cs="Arial"/>
          <w:b/>
        </w:rPr>
        <w:t>B4:</w:t>
      </w:r>
      <w:r w:rsidRPr="0031675F">
        <w:rPr>
          <w:rFonts w:cs="Arial"/>
        </w:rPr>
        <w:tab/>
      </w:r>
      <w:r w:rsidRPr="0031675F">
        <w:rPr>
          <w:rFonts w:cs="Arial"/>
          <w:bCs/>
        </w:rPr>
        <w:t>TropWATER</w:t>
      </w:r>
      <w:r w:rsidRPr="0031675F">
        <w:rPr>
          <w:rFonts w:cs="Arial"/>
        </w:rPr>
        <w:t xml:space="preserve"> Water Sampling Input Sheet</w:t>
      </w:r>
    </w:p>
    <w:p w14:paraId="2B13D188" w14:textId="77777777" w:rsidR="0031675F" w:rsidRPr="0031675F" w:rsidRDefault="0031675F" w:rsidP="0031675F">
      <w:pPr>
        <w:tabs>
          <w:tab w:val="left" w:pos="709"/>
          <w:tab w:val="right" w:leader="dot" w:pos="9072"/>
        </w:tabs>
        <w:contextualSpacing/>
        <w:rPr>
          <w:rFonts w:cs="Arial"/>
        </w:rPr>
      </w:pPr>
      <w:r w:rsidRPr="0031675F">
        <w:rPr>
          <w:rFonts w:cs="Arial"/>
          <w:b/>
        </w:rPr>
        <w:t>B5:</w:t>
      </w:r>
      <w:r w:rsidRPr="0031675F">
        <w:rPr>
          <w:rFonts w:cs="Arial"/>
        </w:rPr>
        <w:tab/>
      </w:r>
      <w:r w:rsidRPr="0031675F">
        <w:rPr>
          <w:rFonts w:cs="Arial"/>
          <w:bCs/>
        </w:rPr>
        <w:t>TropWATER</w:t>
      </w:r>
      <w:r w:rsidRPr="0031675F">
        <w:rPr>
          <w:rFonts w:cs="Arial"/>
        </w:rPr>
        <w:t xml:space="preserve"> Auto-analysis methods – Nitrogen – Ammonia</w:t>
      </w:r>
    </w:p>
    <w:p w14:paraId="325A0FAC" w14:textId="77777777" w:rsidR="0031675F" w:rsidRPr="0031675F" w:rsidRDefault="0031675F" w:rsidP="0031675F">
      <w:pPr>
        <w:tabs>
          <w:tab w:val="left" w:pos="709"/>
          <w:tab w:val="right" w:leader="dot" w:pos="9072"/>
        </w:tabs>
        <w:contextualSpacing/>
        <w:rPr>
          <w:rFonts w:cs="Arial"/>
        </w:rPr>
      </w:pPr>
      <w:r w:rsidRPr="0031675F">
        <w:rPr>
          <w:rFonts w:cs="Arial"/>
          <w:b/>
        </w:rPr>
        <w:t>B6:</w:t>
      </w:r>
      <w:r w:rsidRPr="0031675F">
        <w:rPr>
          <w:rFonts w:cs="Arial"/>
        </w:rPr>
        <w:tab/>
      </w:r>
      <w:r w:rsidRPr="0031675F">
        <w:rPr>
          <w:rFonts w:cs="Arial"/>
          <w:bCs/>
        </w:rPr>
        <w:t>TropWATER</w:t>
      </w:r>
      <w:r w:rsidRPr="0031675F">
        <w:rPr>
          <w:rFonts w:cs="Arial"/>
        </w:rPr>
        <w:t xml:space="preserve"> Auto-analysis methods – Phosphorus</w:t>
      </w:r>
    </w:p>
    <w:p w14:paraId="4417F4FA" w14:textId="77777777" w:rsidR="0031675F" w:rsidRPr="0031675F" w:rsidRDefault="0031675F" w:rsidP="0031675F">
      <w:pPr>
        <w:tabs>
          <w:tab w:val="left" w:pos="709"/>
          <w:tab w:val="right" w:leader="dot" w:pos="9072"/>
        </w:tabs>
        <w:contextualSpacing/>
        <w:rPr>
          <w:rFonts w:cs="Arial"/>
        </w:rPr>
      </w:pPr>
      <w:r w:rsidRPr="0031675F">
        <w:rPr>
          <w:rFonts w:cs="Arial"/>
          <w:b/>
        </w:rPr>
        <w:t>B7:</w:t>
      </w:r>
      <w:r w:rsidRPr="0031675F">
        <w:rPr>
          <w:rFonts w:cs="Arial"/>
        </w:rPr>
        <w:tab/>
      </w:r>
      <w:r w:rsidRPr="0031675F">
        <w:rPr>
          <w:rFonts w:cs="Arial"/>
          <w:bCs/>
        </w:rPr>
        <w:t>TropWATER</w:t>
      </w:r>
      <w:r w:rsidRPr="0031675F">
        <w:rPr>
          <w:rFonts w:cs="Arial"/>
        </w:rPr>
        <w:t xml:space="preserve"> Auto-analysis methods – Nitrogen – Nitrate and Nitrite</w:t>
      </w:r>
    </w:p>
    <w:p w14:paraId="661DFD33" w14:textId="77777777" w:rsidR="0031675F" w:rsidRPr="0031675F" w:rsidRDefault="0031675F" w:rsidP="0031675F">
      <w:pPr>
        <w:tabs>
          <w:tab w:val="left" w:pos="709"/>
          <w:tab w:val="right" w:leader="dot" w:pos="9072"/>
        </w:tabs>
        <w:contextualSpacing/>
        <w:rPr>
          <w:rFonts w:cs="Arial"/>
        </w:rPr>
      </w:pPr>
      <w:r w:rsidRPr="0031675F">
        <w:rPr>
          <w:rFonts w:cs="Arial"/>
          <w:b/>
        </w:rPr>
        <w:t>B8:</w:t>
      </w:r>
      <w:r w:rsidRPr="0031675F">
        <w:rPr>
          <w:rFonts w:cs="Arial"/>
        </w:rPr>
        <w:tab/>
      </w:r>
      <w:r w:rsidRPr="0031675F">
        <w:rPr>
          <w:rFonts w:cs="Arial"/>
          <w:bCs/>
        </w:rPr>
        <w:t>TropWATER</w:t>
      </w:r>
      <w:r w:rsidRPr="0031675F">
        <w:rPr>
          <w:rFonts w:cs="Arial"/>
        </w:rPr>
        <w:t xml:space="preserve"> Auto-analysis methods – Nitrogen – Total Alkaline Persulfate</w:t>
      </w:r>
    </w:p>
    <w:p w14:paraId="27877A53" w14:textId="77777777" w:rsidR="0031675F" w:rsidRPr="0031675F" w:rsidRDefault="0031675F" w:rsidP="0031675F">
      <w:pPr>
        <w:tabs>
          <w:tab w:val="left" w:pos="709"/>
          <w:tab w:val="right" w:leader="dot" w:pos="9072"/>
        </w:tabs>
        <w:ind w:left="705" w:hanging="705"/>
        <w:contextualSpacing/>
        <w:rPr>
          <w:rFonts w:cs="Arial"/>
        </w:rPr>
      </w:pPr>
      <w:r w:rsidRPr="0031675F">
        <w:rPr>
          <w:rFonts w:cs="Arial"/>
          <w:b/>
        </w:rPr>
        <w:t>B9:</w:t>
      </w:r>
      <w:r w:rsidRPr="0031675F">
        <w:rPr>
          <w:rFonts w:cs="Arial"/>
        </w:rPr>
        <w:tab/>
      </w:r>
      <w:r w:rsidRPr="0031675F">
        <w:rPr>
          <w:rFonts w:cs="Arial"/>
          <w:bCs/>
        </w:rPr>
        <w:t>TropWATER</w:t>
      </w:r>
      <w:r w:rsidRPr="0031675F">
        <w:rPr>
          <w:rFonts w:cs="Arial"/>
        </w:rPr>
        <w:t xml:space="preserve"> Auto-analysis methods – Phosphorus – Total Alkaline Persulfate</w:t>
      </w:r>
    </w:p>
    <w:p w14:paraId="136C921B" w14:textId="77777777" w:rsidR="0031675F" w:rsidRPr="0031675F" w:rsidRDefault="0031675F" w:rsidP="0031675F">
      <w:pPr>
        <w:tabs>
          <w:tab w:val="left" w:pos="709"/>
          <w:tab w:val="right" w:leader="dot" w:pos="9072"/>
        </w:tabs>
        <w:contextualSpacing/>
        <w:rPr>
          <w:rFonts w:cs="Arial"/>
        </w:rPr>
      </w:pPr>
      <w:r w:rsidRPr="0031675F">
        <w:rPr>
          <w:rFonts w:cs="Arial"/>
          <w:b/>
        </w:rPr>
        <w:t>B10:</w:t>
      </w:r>
      <w:r w:rsidRPr="0031675F">
        <w:rPr>
          <w:rFonts w:cs="Arial"/>
        </w:rPr>
        <w:tab/>
      </w:r>
      <w:r w:rsidRPr="0031675F">
        <w:rPr>
          <w:rFonts w:cs="Arial"/>
          <w:bCs/>
        </w:rPr>
        <w:t>TropWATER</w:t>
      </w:r>
      <w:r w:rsidRPr="0031675F">
        <w:rPr>
          <w:rFonts w:cs="Arial"/>
        </w:rPr>
        <w:t xml:space="preserve"> Auto-analysis methods – Chlorophyll</w:t>
      </w:r>
    </w:p>
    <w:p w14:paraId="472DC204" w14:textId="77777777" w:rsidR="0031675F" w:rsidRPr="0031675F" w:rsidRDefault="0031675F" w:rsidP="0031675F">
      <w:pPr>
        <w:tabs>
          <w:tab w:val="left" w:pos="709"/>
          <w:tab w:val="right" w:leader="dot" w:pos="9072"/>
        </w:tabs>
        <w:contextualSpacing/>
        <w:rPr>
          <w:rFonts w:cs="Arial"/>
        </w:rPr>
      </w:pPr>
      <w:r w:rsidRPr="0031675F">
        <w:rPr>
          <w:rFonts w:cs="Arial"/>
          <w:b/>
        </w:rPr>
        <w:t>B11:</w:t>
      </w:r>
      <w:r w:rsidRPr="0031675F">
        <w:rPr>
          <w:rFonts w:cs="Arial"/>
        </w:rPr>
        <w:tab/>
      </w:r>
      <w:r w:rsidRPr="0031675F">
        <w:rPr>
          <w:rFonts w:cs="Arial"/>
          <w:bCs/>
        </w:rPr>
        <w:t>TropWATER</w:t>
      </w:r>
      <w:r w:rsidRPr="0031675F">
        <w:rPr>
          <w:rFonts w:cs="Arial"/>
        </w:rPr>
        <w:t xml:space="preserve"> Auto-analysis methods – Total Suspended Solids</w:t>
      </w:r>
    </w:p>
    <w:bookmarkEnd w:id="751"/>
    <w:p w14:paraId="4178F3BC" w14:textId="77777777" w:rsidR="0031675F" w:rsidRPr="0031675F" w:rsidRDefault="0031675F" w:rsidP="0031675F">
      <w:pPr>
        <w:jc w:val="center"/>
        <w:rPr>
          <w:rFonts w:cs="Arial"/>
        </w:rPr>
      </w:pPr>
    </w:p>
    <w:p w14:paraId="582B5CCB" w14:textId="77777777" w:rsidR="0031675F" w:rsidRPr="0031675F" w:rsidRDefault="0031675F" w:rsidP="0031675F">
      <w:pPr>
        <w:jc w:val="center"/>
      </w:pPr>
    </w:p>
    <w:p w14:paraId="1293CE5C" w14:textId="77777777" w:rsidR="0031675F" w:rsidRPr="0031675F" w:rsidRDefault="0031675F" w:rsidP="0031675F"/>
    <w:p w14:paraId="4B606781" w14:textId="77777777" w:rsidR="0031675F" w:rsidRPr="0031675F" w:rsidRDefault="0031675F" w:rsidP="0031675F">
      <w:pPr>
        <w:sectPr w:rsidR="0031675F" w:rsidRPr="0031675F" w:rsidSect="00084431">
          <w:headerReference w:type="default" r:id="rId190"/>
          <w:pgSz w:w="11907" w:h="16840" w:code="9"/>
          <w:pgMar w:top="1418" w:right="1418" w:bottom="1418" w:left="1418" w:header="709" w:footer="709" w:gutter="0"/>
          <w:pgNumType w:start="174"/>
          <w:cols w:space="708"/>
          <w:vAlign w:val="center"/>
          <w:docGrid w:linePitch="360"/>
        </w:sectPr>
      </w:pPr>
    </w:p>
    <w:p w14:paraId="4C6F8FA9" w14:textId="0619EEE5" w:rsidR="00374388" w:rsidRDefault="00374388" w:rsidP="00CA621B">
      <w:pPr>
        <w:pStyle w:val="Heading2"/>
        <w:numPr>
          <w:ilvl w:val="0"/>
          <w:numId w:val="0"/>
        </w:numPr>
        <w:ind w:left="284"/>
        <w:jc w:val="center"/>
      </w:pPr>
      <w:bookmarkStart w:id="752" w:name="_Toc12365641"/>
      <w:r w:rsidRPr="0031675F">
        <w:t>Appendix</w:t>
      </w:r>
      <w:r w:rsidRPr="0031675F">
        <w:rPr>
          <w:spacing w:val="-14"/>
        </w:rPr>
        <w:t xml:space="preserve"> </w:t>
      </w:r>
      <w:r w:rsidRPr="0031675F">
        <w:t>B</w:t>
      </w:r>
      <w:r w:rsidRPr="00374388">
        <w:t>1</w:t>
      </w:r>
      <w:r w:rsidR="00231801">
        <w:t xml:space="preserve"> </w:t>
      </w:r>
      <w:r w:rsidRPr="00374388">
        <w:t>TropWater Water Sampling Procedures</w:t>
      </w:r>
      <w:bookmarkEnd w:id="752"/>
      <w:r w:rsidRPr="0031675F">
        <w:rPr>
          <w:spacing w:val="25"/>
          <w:w w:val="99"/>
        </w:rPr>
        <w:t xml:space="preserve"> </w:t>
      </w:r>
    </w:p>
    <w:p w14:paraId="6EE73164" w14:textId="2EB94FA5" w:rsidR="0031675F" w:rsidRPr="0031675F" w:rsidRDefault="0031675F" w:rsidP="0031675F">
      <w:pPr>
        <w:jc w:val="center"/>
        <w:rPr>
          <w:b/>
          <w:sz w:val="36"/>
          <w:szCs w:val="36"/>
        </w:rPr>
      </w:pPr>
    </w:p>
    <w:p w14:paraId="365EB1DB" w14:textId="77777777" w:rsidR="0031675F" w:rsidRPr="0031675F" w:rsidRDefault="0031675F" w:rsidP="0031675F">
      <w:pPr>
        <w:jc w:val="center"/>
      </w:pPr>
    </w:p>
    <w:p w14:paraId="69D9E105" w14:textId="77777777" w:rsidR="0031675F" w:rsidRPr="0031675F" w:rsidRDefault="0031675F" w:rsidP="0031675F">
      <w:pPr>
        <w:jc w:val="center"/>
      </w:pPr>
    </w:p>
    <w:p w14:paraId="669A5B13" w14:textId="77777777" w:rsidR="0031675F" w:rsidRPr="0031675F" w:rsidRDefault="0031675F" w:rsidP="0031675F">
      <w:pPr>
        <w:jc w:val="center"/>
      </w:pPr>
      <w:r w:rsidRPr="0031675F">
        <w:rPr>
          <w:noProof/>
          <w:lang w:eastAsia="en-AU"/>
        </w:rPr>
        <w:drawing>
          <wp:inline distT="0" distB="0" distL="0" distR="0" wp14:anchorId="68CC59B3" wp14:editId="029A2250">
            <wp:extent cx="2291715" cy="1401445"/>
            <wp:effectExtent l="0" t="0" r="0" b="8255"/>
            <wp:docPr id="219" name="Picture 219"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88" r:link="rId189">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4AA4D513" w14:textId="77777777" w:rsidR="0031675F" w:rsidRPr="0031675F" w:rsidRDefault="0031675F" w:rsidP="0031675F">
      <w:pPr>
        <w:jc w:val="center"/>
        <w:rPr>
          <w:rFonts w:cs="Arial"/>
        </w:rPr>
      </w:pPr>
    </w:p>
    <w:p w14:paraId="308F0655" w14:textId="77777777" w:rsidR="0031675F" w:rsidRPr="0031675F" w:rsidRDefault="0031675F" w:rsidP="0031675F">
      <w:pPr>
        <w:jc w:val="center"/>
      </w:pPr>
    </w:p>
    <w:p w14:paraId="79F2A8D7" w14:textId="77777777" w:rsidR="0031675F" w:rsidRPr="0031675F" w:rsidRDefault="0031675F" w:rsidP="0031675F"/>
    <w:p w14:paraId="6D44489F" w14:textId="77777777" w:rsidR="0031675F" w:rsidRPr="0031675F" w:rsidRDefault="0031675F" w:rsidP="0031675F">
      <w:pPr>
        <w:sectPr w:rsidR="0031675F" w:rsidRPr="0031675F" w:rsidSect="00084431">
          <w:headerReference w:type="default" r:id="rId191"/>
          <w:pgSz w:w="11907" w:h="16840" w:code="9"/>
          <w:pgMar w:top="1418" w:right="1418" w:bottom="1418" w:left="1418" w:header="709" w:footer="709" w:gutter="0"/>
          <w:pgNumType w:start="174"/>
          <w:cols w:space="708"/>
          <w:vAlign w:val="center"/>
          <w:docGrid w:linePitch="360"/>
        </w:sectPr>
      </w:pPr>
    </w:p>
    <w:p w14:paraId="6FA2FA2A" w14:textId="5250649F" w:rsidR="0031675F" w:rsidRPr="0031675F" w:rsidRDefault="0031675F" w:rsidP="0031675F">
      <w:pPr>
        <w:shd w:val="clear" w:color="auto" w:fill="D9D9D9"/>
        <w:rPr>
          <w:b/>
          <w:sz w:val="28"/>
          <w:szCs w:val="28"/>
        </w:rPr>
      </w:pPr>
      <w:r w:rsidRPr="0031675F">
        <w:rPr>
          <w:b/>
          <w:sz w:val="28"/>
          <w:szCs w:val="28"/>
        </w:rPr>
        <w:t>Nutrient Sampling</w:t>
      </w:r>
    </w:p>
    <w:p w14:paraId="01175A9B" w14:textId="03F41622" w:rsidR="00E00599" w:rsidRPr="0031675F" w:rsidRDefault="00E00599" w:rsidP="00C70D93">
      <w:pPr>
        <w:spacing w:before="60" w:after="60" w:line="240" w:lineRule="auto"/>
        <w:rPr>
          <w:sz w:val="28"/>
          <w:szCs w:val="28"/>
          <w:lang w:val="pt-PT"/>
        </w:rPr>
      </w:pPr>
      <w:r>
        <w:rPr>
          <w:b/>
          <w:lang w:val="pt-PT"/>
        </w:rPr>
        <w:t>Dissolved nutrients (</w:t>
      </w:r>
      <w:r w:rsidRPr="0031675F">
        <w:rPr>
          <w:b/>
          <w:lang w:val="pt-PT"/>
        </w:rPr>
        <w:t xml:space="preserve">DIN’s </w:t>
      </w:r>
      <w:r>
        <w:rPr>
          <w:b/>
          <w:lang w:val="pt-PT"/>
        </w:rPr>
        <w:t>[</w:t>
      </w:r>
      <w:r w:rsidRPr="0031675F">
        <w:rPr>
          <w:b/>
          <w:lang w:val="pt-PT"/>
        </w:rPr>
        <w:t>NO</w:t>
      </w:r>
      <w:r w:rsidRPr="0031675F">
        <w:rPr>
          <w:b/>
          <w:vertAlign w:val="subscript"/>
          <w:lang w:val="pt-PT"/>
        </w:rPr>
        <w:t>3</w:t>
      </w:r>
      <w:r w:rsidRPr="0031675F">
        <w:rPr>
          <w:b/>
          <w:lang w:val="pt-PT"/>
        </w:rPr>
        <w:t>,</w:t>
      </w:r>
      <w:r w:rsidR="00A514E6">
        <w:rPr>
          <w:b/>
          <w:lang w:val="pt-PT"/>
        </w:rPr>
        <w:t xml:space="preserve"> </w:t>
      </w:r>
      <w:r w:rsidRPr="0031675F">
        <w:rPr>
          <w:b/>
          <w:lang w:val="pt-PT"/>
        </w:rPr>
        <w:t>NO</w:t>
      </w:r>
      <w:r w:rsidRPr="0031675F">
        <w:rPr>
          <w:b/>
          <w:vertAlign w:val="subscript"/>
          <w:lang w:val="pt-PT"/>
        </w:rPr>
        <w:t>2</w:t>
      </w:r>
      <w:r w:rsidRPr="0031675F">
        <w:rPr>
          <w:b/>
          <w:lang w:val="pt-PT"/>
        </w:rPr>
        <w:t>, NH</w:t>
      </w:r>
      <w:r w:rsidR="00A514E6">
        <w:rPr>
          <w:b/>
          <w:vertAlign w:val="subscript"/>
          <w:lang w:val="pt-PT"/>
        </w:rPr>
        <w:t>4</w:t>
      </w:r>
      <w:r w:rsidR="00A514E6" w:rsidRPr="00C70D93">
        <w:rPr>
          <w:b/>
          <w:vertAlign w:val="superscript"/>
          <w:lang w:val="pt-PT"/>
        </w:rPr>
        <w:t>+</w:t>
      </w:r>
      <w:r w:rsidRPr="0031675F">
        <w:rPr>
          <w:b/>
          <w:lang w:val="pt-PT"/>
        </w:rPr>
        <w:t>,</w:t>
      </w:r>
      <w:r w:rsidR="00A514E6">
        <w:rPr>
          <w:b/>
          <w:lang w:val="pt-PT"/>
        </w:rPr>
        <w:t>]</w:t>
      </w:r>
      <w:r w:rsidRPr="0031675F">
        <w:rPr>
          <w:b/>
          <w:lang w:val="pt-PT"/>
        </w:rPr>
        <w:t xml:space="preserve"> FRP (PO</w:t>
      </w:r>
      <w:r w:rsidRPr="0031675F">
        <w:rPr>
          <w:b/>
          <w:vertAlign w:val="subscript"/>
          <w:lang w:val="pt-PT"/>
        </w:rPr>
        <w:t>4</w:t>
      </w:r>
      <w:r w:rsidRPr="0031675F">
        <w:rPr>
          <w:b/>
          <w:lang w:val="pt-PT"/>
        </w:rPr>
        <w:t>),TDN/TDP</w:t>
      </w:r>
      <w:r w:rsidRPr="00E569A1">
        <w:rPr>
          <w:b/>
          <w:lang w:val="pt-PT"/>
        </w:rPr>
        <w:t xml:space="preserve">, </w:t>
      </w:r>
      <w:r w:rsidRPr="00C70D93">
        <w:rPr>
          <w:rFonts w:eastAsia="Calibri" w:cs="Arial"/>
          <w:b/>
        </w:rPr>
        <w:t>(Si(OH)</w:t>
      </w:r>
      <w:r w:rsidRPr="00C70D93">
        <w:rPr>
          <w:rFonts w:eastAsia="Calibri" w:cs="Arial"/>
          <w:b/>
          <w:vertAlign w:val="subscript"/>
        </w:rPr>
        <w:t>4</w:t>
      </w:r>
      <w:r w:rsidRPr="00E569A1">
        <w:rPr>
          <w:b/>
          <w:lang w:val="pt-PT"/>
        </w:rPr>
        <w:t>)</w:t>
      </w:r>
    </w:p>
    <w:p w14:paraId="199D9415" w14:textId="4DE2191A" w:rsidR="00E00599" w:rsidRDefault="0031675F" w:rsidP="0031675F">
      <w:r w:rsidRPr="00C70D93">
        <w:t>Six 10</w:t>
      </w:r>
      <w:r w:rsidR="00BB13FD" w:rsidRPr="00C70D93">
        <w:t xml:space="preserve"> </w:t>
      </w:r>
      <w:r w:rsidRPr="00C70D93">
        <w:t>mL vials, yellow lids</w:t>
      </w:r>
      <w:r w:rsidR="00E00599">
        <w:t xml:space="preserve"> plus one 60 mL vial for silica</w:t>
      </w:r>
    </w:p>
    <w:p w14:paraId="5A640794" w14:textId="4F1FFF9A" w:rsidR="0031675F" w:rsidRPr="00C70D93" w:rsidRDefault="0031675F" w:rsidP="0031675F">
      <w:pPr>
        <w:rPr>
          <w:i/>
        </w:rPr>
      </w:pPr>
      <w:r w:rsidRPr="00C70D93">
        <w:rPr>
          <w:i/>
        </w:rPr>
        <w:t xml:space="preserve">Samples need to be FILTERED. </w:t>
      </w:r>
    </w:p>
    <w:p w14:paraId="147B18E0" w14:textId="259610CC" w:rsidR="00E00599" w:rsidRDefault="00734782" w:rsidP="00C70D93">
      <w:pPr>
        <w:numPr>
          <w:ilvl w:val="0"/>
          <w:numId w:val="165"/>
        </w:numPr>
        <w:tabs>
          <w:tab w:val="clear" w:pos="720"/>
        </w:tabs>
        <w:spacing w:before="60" w:after="60" w:line="240" w:lineRule="auto"/>
        <w:ind w:left="340" w:hanging="340"/>
      </w:pPr>
      <w:r>
        <w:t>Sample is c</w:t>
      </w:r>
      <w:r w:rsidR="00E00599" w:rsidRPr="00DD17C3">
        <w:t xml:space="preserve">ollected from the </w:t>
      </w:r>
      <w:r w:rsidR="00A514E6">
        <w:t>10 L container</w:t>
      </w:r>
      <w:r w:rsidR="00E00599" w:rsidRPr="00DD17C3">
        <w:t xml:space="preserve"> using sterile 60 mL syringes. </w:t>
      </w:r>
    </w:p>
    <w:p w14:paraId="4CA2ED96" w14:textId="0354A2CA" w:rsidR="0031675F" w:rsidRPr="0031675F" w:rsidRDefault="00684DA3" w:rsidP="00E569A1">
      <w:pPr>
        <w:numPr>
          <w:ilvl w:val="0"/>
          <w:numId w:val="165"/>
        </w:numPr>
        <w:tabs>
          <w:tab w:val="clear" w:pos="720"/>
        </w:tabs>
        <w:spacing w:before="60" w:after="60" w:line="240" w:lineRule="auto"/>
        <w:ind w:left="340" w:hanging="340"/>
      </w:pPr>
      <w:r>
        <w:t>R</w:t>
      </w:r>
      <w:r w:rsidR="00E00599" w:rsidRPr="0031675F">
        <w:t xml:space="preserve">inse </w:t>
      </w:r>
      <w:r w:rsidR="0031675F" w:rsidRPr="00E569A1">
        <w:rPr>
          <w:u w:val="single"/>
        </w:rPr>
        <w:t>syringe</w:t>
      </w:r>
      <w:r w:rsidR="0031675F" w:rsidRPr="0031675F">
        <w:t xml:space="preserve"> </w:t>
      </w:r>
      <w:r w:rsidR="00A514E6">
        <w:t xml:space="preserve">at least once </w:t>
      </w:r>
      <w:r w:rsidR="0031675F" w:rsidRPr="0031675F">
        <w:t xml:space="preserve">with the water to be sampled. Discard rinse water </w:t>
      </w:r>
      <w:r w:rsidR="0031675F" w:rsidRPr="00E569A1">
        <w:rPr>
          <w:u w:val="single"/>
        </w:rPr>
        <w:t>away</w:t>
      </w:r>
      <w:r w:rsidR="0031675F" w:rsidRPr="0031675F">
        <w:t xml:space="preserve"> from sampling area. </w:t>
      </w:r>
    </w:p>
    <w:p w14:paraId="21817E7E" w14:textId="7D0C7CB5" w:rsidR="0031675F" w:rsidRPr="0031675F" w:rsidRDefault="0031675F" w:rsidP="0031675F">
      <w:pPr>
        <w:numPr>
          <w:ilvl w:val="0"/>
          <w:numId w:val="165"/>
        </w:numPr>
        <w:tabs>
          <w:tab w:val="clear" w:pos="720"/>
        </w:tabs>
        <w:spacing w:before="60" w:after="60" w:line="240" w:lineRule="auto"/>
        <w:ind w:left="340" w:hanging="340"/>
      </w:pPr>
      <w:r w:rsidRPr="0031675F">
        <w:t>Attach yellow minisart 0.45</w:t>
      </w:r>
      <w:r w:rsidR="00A514E6">
        <w:t xml:space="preserve"> </w:t>
      </w:r>
      <w:r w:rsidRPr="0031675F">
        <w:sym w:font="Symbol" w:char="F06D"/>
      </w:r>
      <w:r w:rsidRPr="0031675F">
        <w:t>m filter to tip of syringe.</w:t>
      </w:r>
    </w:p>
    <w:p w14:paraId="3073A132" w14:textId="039D28B2" w:rsidR="00E00599" w:rsidRPr="00E569A1" w:rsidRDefault="0031675F" w:rsidP="00C70D93">
      <w:pPr>
        <w:numPr>
          <w:ilvl w:val="0"/>
          <w:numId w:val="165"/>
        </w:numPr>
        <w:tabs>
          <w:tab w:val="clear" w:pos="720"/>
        </w:tabs>
        <w:spacing w:before="60" w:after="60" w:line="240" w:lineRule="auto"/>
        <w:ind w:left="340" w:hanging="340"/>
        <w:rPr>
          <w:rFonts w:eastAsia="Calibri" w:cs="Arial"/>
        </w:rPr>
      </w:pPr>
      <w:r w:rsidRPr="00E569A1">
        <w:t>Fill syringe with sample water</w:t>
      </w:r>
      <w:r w:rsidR="00E00599" w:rsidRPr="00E569A1">
        <w:t xml:space="preserve"> </w:t>
      </w:r>
      <w:r w:rsidR="00E00599" w:rsidRPr="00E569A1">
        <w:rPr>
          <w:rFonts w:eastAsia="Calibri" w:cs="Arial"/>
        </w:rPr>
        <w:t xml:space="preserve">and push some sample water </w:t>
      </w:r>
      <w:r w:rsidR="00E00599" w:rsidRPr="00C70D93">
        <w:t>through</w:t>
      </w:r>
      <w:r w:rsidR="00E00599" w:rsidRPr="00E569A1">
        <w:rPr>
          <w:rFonts w:eastAsia="Calibri" w:cs="Arial"/>
        </w:rPr>
        <w:t xml:space="preserve"> to prime the filter.</w:t>
      </w:r>
    </w:p>
    <w:p w14:paraId="1292DE94" w14:textId="77777777" w:rsidR="0031675F" w:rsidRPr="00E569A1" w:rsidRDefault="0031675F" w:rsidP="00E569A1">
      <w:pPr>
        <w:numPr>
          <w:ilvl w:val="0"/>
          <w:numId w:val="165"/>
        </w:numPr>
        <w:tabs>
          <w:tab w:val="clear" w:pos="720"/>
        </w:tabs>
        <w:spacing w:before="60" w:after="60" w:line="240" w:lineRule="auto"/>
        <w:ind w:left="340" w:hanging="340"/>
      </w:pPr>
      <w:r w:rsidRPr="00E569A1">
        <w:t>Minimise the air gap between water sample and black syringe plunger to prevent contamination.</w:t>
      </w:r>
    </w:p>
    <w:p w14:paraId="7345460D" w14:textId="44A9CB2D" w:rsidR="0031675F" w:rsidRPr="00C70D93" w:rsidRDefault="00E00599" w:rsidP="0031675F">
      <w:pPr>
        <w:numPr>
          <w:ilvl w:val="0"/>
          <w:numId w:val="165"/>
        </w:numPr>
        <w:tabs>
          <w:tab w:val="clear" w:pos="720"/>
        </w:tabs>
        <w:spacing w:before="60" w:after="60" w:line="240" w:lineRule="auto"/>
        <w:ind w:left="340" w:hanging="340"/>
      </w:pPr>
      <w:r w:rsidRPr="00C70D93">
        <w:t>D</w:t>
      </w:r>
      <w:r w:rsidR="0031675F" w:rsidRPr="00C70D93">
        <w:t xml:space="preserve">o not rinse </w:t>
      </w:r>
      <w:r w:rsidRPr="00C70D93">
        <w:t>vials with sample water</w:t>
      </w:r>
      <w:r w:rsidR="0031675F" w:rsidRPr="00E569A1">
        <w:t>.</w:t>
      </w:r>
    </w:p>
    <w:p w14:paraId="0412BE83" w14:textId="433DDD56" w:rsidR="0031675F" w:rsidRPr="00E569A1" w:rsidRDefault="0031675F" w:rsidP="00E569A1">
      <w:pPr>
        <w:numPr>
          <w:ilvl w:val="0"/>
          <w:numId w:val="166"/>
        </w:numPr>
        <w:tabs>
          <w:tab w:val="clear" w:pos="720"/>
        </w:tabs>
        <w:spacing w:before="60" w:after="60" w:line="240" w:lineRule="auto"/>
        <w:ind w:left="340" w:hanging="340"/>
      </w:pPr>
      <w:r w:rsidRPr="00E569A1">
        <w:t xml:space="preserve">Fill the vials </w:t>
      </w:r>
      <w:r w:rsidRPr="00C70D93">
        <w:t>to the line</w:t>
      </w:r>
      <w:r w:rsidRPr="00E569A1">
        <w:t xml:space="preserve"> (10</w:t>
      </w:r>
      <w:r w:rsidR="00BB13FD" w:rsidRPr="00E569A1">
        <w:t xml:space="preserve"> </w:t>
      </w:r>
      <w:r w:rsidRPr="00E569A1">
        <w:t>m</w:t>
      </w:r>
      <w:r w:rsidR="00BB13FD" w:rsidRPr="00E569A1">
        <w:t>L</w:t>
      </w:r>
      <w:r w:rsidR="00E00599" w:rsidRPr="00E569A1">
        <w:t xml:space="preserve"> or 60 mL</w:t>
      </w:r>
      <w:r w:rsidRPr="00E569A1">
        <w:t>) (</w:t>
      </w:r>
      <w:r w:rsidR="00E00599" w:rsidRPr="00E569A1">
        <w:t>p</w:t>
      </w:r>
      <w:r w:rsidRPr="00E569A1">
        <w:t>refer to be just below the mark to avoid loss of sample).</w:t>
      </w:r>
      <w:r w:rsidR="00E00599">
        <w:t xml:space="preserve"> </w:t>
      </w:r>
      <w:r w:rsidRPr="00C70D93">
        <w:t>Do not overfill, this may cause the vials to split when frozen – destroying the sample</w:t>
      </w:r>
      <w:r w:rsidRPr="00E569A1">
        <w:t>.</w:t>
      </w:r>
    </w:p>
    <w:p w14:paraId="5E235465" w14:textId="77777777" w:rsidR="0031675F" w:rsidRPr="00E569A1" w:rsidRDefault="0031675F" w:rsidP="0031675F">
      <w:pPr>
        <w:numPr>
          <w:ilvl w:val="0"/>
          <w:numId w:val="166"/>
        </w:numPr>
        <w:tabs>
          <w:tab w:val="clear" w:pos="720"/>
        </w:tabs>
        <w:spacing w:before="60" w:after="60" w:line="240" w:lineRule="auto"/>
        <w:ind w:left="340" w:hanging="340"/>
      </w:pPr>
      <w:r w:rsidRPr="00C70D93">
        <w:rPr>
          <w:bCs/>
        </w:rPr>
        <w:t>To minimise contamination please keep fingers away from all tops and lids (wear gloves if available).</w:t>
      </w:r>
    </w:p>
    <w:p w14:paraId="017E68E4" w14:textId="70275F26" w:rsidR="0031675F" w:rsidRPr="00E569A1" w:rsidRDefault="0031675F" w:rsidP="00C70D93">
      <w:pPr>
        <w:numPr>
          <w:ilvl w:val="0"/>
          <w:numId w:val="166"/>
        </w:numPr>
        <w:tabs>
          <w:tab w:val="clear" w:pos="720"/>
        </w:tabs>
        <w:spacing w:before="60" w:after="60" w:line="240" w:lineRule="auto"/>
        <w:ind w:left="340" w:hanging="340"/>
        <w:rPr>
          <w:b/>
        </w:rPr>
      </w:pPr>
      <w:r w:rsidRPr="00E569A1">
        <w:rPr>
          <w:bCs/>
        </w:rPr>
        <w:t xml:space="preserve">If possible, freeze </w:t>
      </w:r>
      <w:r w:rsidR="00E00599" w:rsidRPr="00E569A1">
        <w:rPr>
          <w:bCs/>
        </w:rPr>
        <w:t xml:space="preserve">the 10 mL </w:t>
      </w:r>
      <w:r w:rsidRPr="00E569A1">
        <w:rPr>
          <w:bCs/>
        </w:rPr>
        <w:t>samples before sending to the laboratory. Otherwise, store in the dark on ice for transport the laboratory as soon as possible.</w:t>
      </w:r>
      <w:r w:rsidR="00E00599" w:rsidRPr="00E569A1">
        <w:rPr>
          <w:bCs/>
        </w:rPr>
        <w:t xml:space="preserve"> The </w:t>
      </w:r>
      <w:r w:rsidR="00E00599" w:rsidRPr="00C70D93">
        <w:rPr>
          <w:bCs/>
        </w:rPr>
        <w:t>60 mL vial for silica analysis is not frozen, just kept in fridge or on ice.</w:t>
      </w:r>
    </w:p>
    <w:p w14:paraId="698A9EBC" w14:textId="2403CFD0" w:rsidR="0031675F" w:rsidRPr="0031675F" w:rsidRDefault="0031675F" w:rsidP="0031675F">
      <w:pPr>
        <w:rPr>
          <w:b/>
        </w:rPr>
      </w:pPr>
      <w:r w:rsidRPr="0031675F">
        <w:rPr>
          <w:b/>
        </w:rPr>
        <w:t>Total Nitrogen/Total Phosphorus (TN/TP)</w:t>
      </w:r>
    </w:p>
    <w:p w14:paraId="4E27BB07" w14:textId="76E1448B" w:rsidR="00716EF7" w:rsidRPr="00C70D93" w:rsidRDefault="00716EF7" w:rsidP="0031675F">
      <w:r w:rsidRPr="00C70D93">
        <w:t>One 60 mL plastic vial</w:t>
      </w:r>
    </w:p>
    <w:p w14:paraId="05F87D13" w14:textId="41482B11" w:rsidR="0031675F" w:rsidRPr="00C70D93" w:rsidRDefault="0031675F" w:rsidP="0031675F">
      <w:pPr>
        <w:rPr>
          <w:i/>
        </w:rPr>
      </w:pPr>
      <w:r w:rsidRPr="00C70D93">
        <w:rPr>
          <w:i/>
        </w:rPr>
        <w:t xml:space="preserve">Filtering </w:t>
      </w:r>
      <w:r w:rsidR="00716EF7">
        <w:rPr>
          <w:i/>
        </w:rPr>
        <w:t>NOT</w:t>
      </w:r>
      <w:r w:rsidR="00716EF7" w:rsidRPr="00C70D93">
        <w:rPr>
          <w:i/>
        </w:rPr>
        <w:t xml:space="preserve"> </w:t>
      </w:r>
      <w:r w:rsidRPr="00C70D93">
        <w:rPr>
          <w:i/>
        </w:rPr>
        <w:t>Required</w:t>
      </w:r>
    </w:p>
    <w:p w14:paraId="545190CD" w14:textId="08A8F01D" w:rsidR="001D607D" w:rsidRDefault="00734782" w:rsidP="001D607D">
      <w:pPr>
        <w:numPr>
          <w:ilvl w:val="0"/>
          <w:numId w:val="166"/>
        </w:numPr>
        <w:tabs>
          <w:tab w:val="clear" w:pos="720"/>
        </w:tabs>
        <w:spacing w:before="60" w:after="60" w:line="240" w:lineRule="auto"/>
        <w:ind w:left="340" w:hanging="340"/>
      </w:pPr>
      <w:r>
        <w:t>Sample is c</w:t>
      </w:r>
      <w:r w:rsidR="001D607D" w:rsidRPr="00C70D93">
        <w:t xml:space="preserve">ollected from the </w:t>
      </w:r>
      <w:r w:rsidR="00A514E6">
        <w:t>10 L container</w:t>
      </w:r>
      <w:r w:rsidR="001D607D" w:rsidRPr="00C70D93">
        <w:t xml:space="preserve"> using sterile 60 mL syringes. Water in the bucket is </w:t>
      </w:r>
      <w:r w:rsidR="00A514E6">
        <w:t xml:space="preserve">rigorously </w:t>
      </w:r>
      <w:r w:rsidR="001D607D" w:rsidRPr="00C70D93">
        <w:t>stirred before being collected using the syringe.</w:t>
      </w:r>
    </w:p>
    <w:p w14:paraId="7777406B" w14:textId="414623EA" w:rsidR="001D607D" w:rsidRPr="00C70D93" w:rsidRDefault="001D607D" w:rsidP="00C70D93">
      <w:pPr>
        <w:numPr>
          <w:ilvl w:val="0"/>
          <w:numId w:val="166"/>
        </w:numPr>
        <w:tabs>
          <w:tab w:val="clear" w:pos="720"/>
        </w:tabs>
        <w:spacing w:before="60" w:after="60" w:line="240" w:lineRule="auto"/>
        <w:ind w:left="340" w:hanging="340"/>
      </w:pPr>
      <w:r w:rsidRPr="001D607D">
        <w:t>Requires 60 mL plastic vial.</w:t>
      </w:r>
    </w:p>
    <w:p w14:paraId="28E2FAA0" w14:textId="77777777" w:rsidR="0031675F" w:rsidRPr="00E569A1" w:rsidRDefault="0031675F" w:rsidP="0031675F">
      <w:pPr>
        <w:numPr>
          <w:ilvl w:val="0"/>
          <w:numId w:val="167"/>
        </w:numPr>
        <w:tabs>
          <w:tab w:val="clear" w:pos="720"/>
        </w:tabs>
        <w:spacing w:before="60" w:after="60" w:line="240" w:lineRule="auto"/>
        <w:ind w:left="340" w:hanging="340"/>
      </w:pPr>
      <w:r w:rsidRPr="00C70D93">
        <w:t xml:space="preserve">Do not rinse the vial </w:t>
      </w:r>
      <w:r w:rsidRPr="00E569A1">
        <w:t>with the water to be sampled.</w:t>
      </w:r>
    </w:p>
    <w:p w14:paraId="1ECFC762" w14:textId="47860C1B" w:rsidR="0031675F" w:rsidRPr="00E569A1" w:rsidRDefault="0031675F" w:rsidP="001D607D">
      <w:pPr>
        <w:numPr>
          <w:ilvl w:val="0"/>
          <w:numId w:val="167"/>
        </w:numPr>
        <w:tabs>
          <w:tab w:val="clear" w:pos="720"/>
        </w:tabs>
        <w:spacing w:before="60" w:after="60" w:line="240" w:lineRule="auto"/>
        <w:ind w:left="340" w:hanging="340"/>
      </w:pPr>
      <w:r w:rsidRPr="00C70D93">
        <w:t>Fill the vial leaving approx. a 3cm air-gap from the top. Do not overfill, this may cause the vial to split when frozen – destroying the sample</w:t>
      </w:r>
      <w:r w:rsidRPr="00E569A1">
        <w:t xml:space="preserve">. </w:t>
      </w:r>
    </w:p>
    <w:p w14:paraId="2420BCB1" w14:textId="77777777" w:rsidR="0031675F" w:rsidRPr="00E569A1" w:rsidRDefault="0031675F" w:rsidP="0031675F">
      <w:pPr>
        <w:numPr>
          <w:ilvl w:val="0"/>
          <w:numId w:val="167"/>
        </w:numPr>
        <w:tabs>
          <w:tab w:val="clear" w:pos="720"/>
        </w:tabs>
        <w:spacing w:before="60" w:after="60" w:line="240" w:lineRule="auto"/>
        <w:ind w:left="340" w:hanging="340"/>
      </w:pPr>
      <w:r w:rsidRPr="00C70D93">
        <w:rPr>
          <w:bCs/>
        </w:rPr>
        <w:t>To minimise contamination please keep fingers away from all tops and lids.</w:t>
      </w:r>
    </w:p>
    <w:p w14:paraId="16F38DB9" w14:textId="77777777" w:rsidR="0031675F" w:rsidRPr="0031675F" w:rsidRDefault="0031675F" w:rsidP="0031675F">
      <w:pPr>
        <w:numPr>
          <w:ilvl w:val="0"/>
          <w:numId w:val="167"/>
        </w:numPr>
        <w:tabs>
          <w:tab w:val="clear" w:pos="720"/>
        </w:tabs>
        <w:spacing w:before="60" w:after="60" w:line="240" w:lineRule="auto"/>
        <w:ind w:left="340" w:hanging="340"/>
        <w:rPr>
          <w:b/>
        </w:rPr>
      </w:pPr>
      <w:r w:rsidRPr="0031675F">
        <w:t xml:space="preserve">If possible, freeze samples before sending to the laboratory. </w:t>
      </w:r>
    </w:p>
    <w:p w14:paraId="1890A742" w14:textId="77777777" w:rsidR="0031675F" w:rsidRPr="0031675F" w:rsidRDefault="0031675F" w:rsidP="0031675F">
      <w:pPr>
        <w:numPr>
          <w:ilvl w:val="0"/>
          <w:numId w:val="167"/>
        </w:numPr>
        <w:tabs>
          <w:tab w:val="clear" w:pos="720"/>
        </w:tabs>
        <w:spacing w:before="60" w:after="60" w:line="240" w:lineRule="auto"/>
        <w:ind w:left="340" w:hanging="340"/>
        <w:rPr>
          <w:b/>
        </w:rPr>
      </w:pPr>
      <w:r w:rsidRPr="0031675F">
        <w:t>Otherwise, store in the dark on ice for transport the laboratory as soon as possible.</w:t>
      </w:r>
    </w:p>
    <w:p w14:paraId="006D5989" w14:textId="77777777" w:rsidR="0031675F" w:rsidRPr="0031675F" w:rsidRDefault="0031675F" w:rsidP="0031675F"/>
    <w:p w14:paraId="7E1085FA" w14:textId="0CD87A4B" w:rsidR="0031675F" w:rsidRPr="0031675F" w:rsidRDefault="0031675F" w:rsidP="0031675F">
      <w:pPr>
        <w:shd w:val="clear" w:color="auto" w:fill="D9D9D9"/>
        <w:rPr>
          <w:b/>
          <w:sz w:val="28"/>
          <w:szCs w:val="28"/>
        </w:rPr>
      </w:pPr>
      <w:r w:rsidRPr="0031675F">
        <w:rPr>
          <w:b/>
          <w:sz w:val="28"/>
          <w:szCs w:val="28"/>
        </w:rPr>
        <w:t>Chlorophyll</w:t>
      </w:r>
      <w:r w:rsidR="004F29DF">
        <w:rPr>
          <w:b/>
          <w:sz w:val="28"/>
          <w:szCs w:val="28"/>
        </w:rPr>
        <w:t xml:space="preserve"> </w:t>
      </w:r>
      <w:r w:rsidRPr="004F29DF">
        <w:rPr>
          <w:b/>
          <w:i/>
          <w:sz w:val="28"/>
          <w:szCs w:val="28"/>
        </w:rPr>
        <w:t>a</w:t>
      </w:r>
      <w:r w:rsidRPr="0031675F">
        <w:rPr>
          <w:b/>
          <w:sz w:val="28"/>
          <w:szCs w:val="28"/>
        </w:rPr>
        <w:t>/Phaeophytin (Chl-</w:t>
      </w:r>
      <w:r w:rsidRPr="004F29DF">
        <w:rPr>
          <w:b/>
          <w:i/>
          <w:sz w:val="28"/>
          <w:szCs w:val="28"/>
        </w:rPr>
        <w:t>a</w:t>
      </w:r>
      <w:r w:rsidRPr="0031675F">
        <w:rPr>
          <w:b/>
          <w:sz w:val="28"/>
          <w:szCs w:val="28"/>
        </w:rPr>
        <w:t>)</w:t>
      </w:r>
    </w:p>
    <w:p w14:paraId="5AF0C447" w14:textId="7C8B4B03" w:rsidR="0031675F" w:rsidRDefault="0031675F" w:rsidP="0031675F">
      <w:r w:rsidRPr="00C70D93">
        <w:t>One 1</w:t>
      </w:r>
      <w:r w:rsidR="004F29DF" w:rsidRPr="00C70D93">
        <w:t xml:space="preserve"> </w:t>
      </w:r>
      <w:r w:rsidRPr="00C70D93">
        <w:t>L black plastic bottle</w:t>
      </w:r>
    </w:p>
    <w:p w14:paraId="471D23AF" w14:textId="0A71EC0E" w:rsidR="00E569A1" w:rsidRPr="00DD17C3" w:rsidRDefault="00E569A1" w:rsidP="00E569A1">
      <w:pPr>
        <w:rPr>
          <w:i/>
        </w:rPr>
      </w:pPr>
      <w:r w:rsidRPr="00DD17C3">
        <w:rPr>
          <w:i/>
        </w:rPr>
        <w:t xml:space="preserve">Filtering </w:t>
      </w:r>
      <w:r>
        <w:rPr>
          <w:i/>
        </w:rPr>
        <w:t>not required on vessel, but must be filtered within 24 hours of collection</w:t>
      </w:r>
      <w:r w:rsidR="00B72075">
        <w:rPr>
          <w:i/>
        </w:rPr>
        <w:t>.</w:t>
      </w:r>
    </w:p>
    <w:p w14:paraId="530A243D" w14:textId="77777777" w:rsidR="00E569A1" w:rsidRPr="00C70D93" w:rsidRDefault="00E569A1" w:rsidP="00C70D93">
      <w:pPr>
        <w:spacing w:before="60" w:after="60" w:line="240" w:lineRule="auto"/>
        <w:ind w:left="340"/>
      </w:pPr>
    </w:p>
    <w:p w14:paraId="1F60CA51" w14:textId="06C99ED1" w:rsidR="00E569A1" w:rsidRPr="00C70D93" w:rsidRDefault="00E569A1" w:rsidP="00C70D93">
      <w:pPr>
        <w:numPr>
          <w:ilvl w:val="0"/>
          <w:numId w:val="167"/>
        </w:numPr>
        <w:tabs>
          <w:tab w:val="clear" w:pos="720"/>
        </w:tabs>
        <w:spacing w:before="60" w:after="60" w:line="240" w:lineRule="auto"/>
        <w:ind w:left="340" w:hanging="340"/>
      </w:pPr>
      <w:r w:rsidRPr="00C70D93">
        <w:t xml:space="preserve">Sample is collected directly in-situ over the side of the boat or </w:t>
      </w:r>
      <w:r w:rsidR="00B72075">
        <w:t xml:space="preserve">from 10 L sample container (stirred rigorously) into </w:t>
      </w:r>
      <w:r w:rsidRPr="00C70D93">
        <w:t>collection bottle</w:t>
      </w:r>
      <w:r>
        <w:t xml:space="preserve"> (r</w:t>
      </w:r>
      <w:r w:rsidRPr="00C70D93">
        <w:t>equires a one-litre black plastic bottle to reduce the effect of sunlight on the phytoplankton species in the interim between collection and filtration</w:t>
      </w:r>
      <w:r>
        <w:t>)</w:t>
      </w:r>
      <w:r w:rsidRPr="00C70D93">
        <w:t>.</w:t>
      </w:r>
    </w:p>
    <w:p w14:paraId="5F3E5AB1" w14:textId="10473D10" w:rsidR="00E569A1" w:rsidRPr="00C70D93" w:rsidRDefault="00E569A1" w:rsidP="00C70D93">
      <w:pPr>
        <w:numPr>
          <w:ilvl w:val="0"/>
          <w:numId w:val="167"/>
        </w:numPr>
        <w:tabs>
          <w:tab w:val="clear" w:pos="720"/>
        </w:tabs>
        <w:spacing w:before="60" w:after="60" w:line="240" w:lineRule="auto"/>
        <w:ind w:left="340" w:hanging="340"/>
      </w:pPr>
      <w:r>
        <w:t>Rinse each</w:t>
      </w:r>
      <w:r w:rsidRPr="00C70D93">
        <w:t xml:space="preserve"> container at least </w:t>
      </w:r>
      <w:r w:rsidR="00B72075">
        <w:t>once</w:t>
      </w:r>
      <w:r w:rsidRPr="00C70D93">
        <w:t xml:space="preserve"> with the sample water, taking care to avoid any contact with the sample (gloves must be worn </w:t>
      </w:r>
      <w:r w:rsidR="00B72075">
        <w:t xml:space="preserve">at </w:t>
      </w:r>
      <w:r w:rsidRPr="00C70D93">
        <w:t>all time</w:t>
      </w:r>
      <w:r w:rsidR="00B72075">
        <w:t>s</w:t>
      </w:r>
      <w:r w:rsidRPr="00C70D93">
        <w:t>).</w:t>
      </w:r>
    </w:p>
    <w:p w14:paraId="61A6B1EE" w14:textId="77777777" w:rsidR="0031675F" w:rsidRPr="0031675F" w:rsidRDefault="0031675F" w:rsidP="0031675F">
      <w:pPr>
        <w:numPr>
          <w:ilvl w:val="0"/>
          <w:numId w:val="168"/>
        </w:numPr>
        <w:tabs>
          <w:tab w:val="clear" w:pos="720"/>
        </w:tabs>
        <w:spacing w:before="60" w:after="60" w:line="240" w:lineRule="auto"/>
        <w:ind w:left="340" w:hanging="340"/>
      </w:pPr>
      <w:r w:rsidRPr="0031675F">
        <w:t xml:space="preserve">Fill to overflowing and seal. </w:t>
      </w:r>
      <w:r w:rsidRPr="0031675F">
        <w:rPr>
          <w:u w:val="single"/>
        </w:rPr>
        <w:t>Do not</w:t>
      </w:r>
      <w:r w:rsidRPr="0031675F">
        <w:t xml:space="preserve"> leave an air gap. </w:t>
      </w:r>
    </w:p>
    <w:p w14:paraId="5304E501" w14:textId="7F117E9D" w:rsidR="0031675F" w:rsidRPr="00C70D93" w:rsidRDefault="0031675F" w:rsidP="0031675F">
      <w:pPr>
        <w:numPr>
          <w:ilvl w:val="0"/>
          <w:numId w:val="168"/>
        </w:numPr>
        <w:tabs>
          <w:tab w:val="clear" w:pos="720"/>
        </w:tabs>
        <w:spacing w:before="60" w:after="60" w:line="240" w:lineRule="auto"/>
        <w:ind w:left="340" w:hanging="340"/>
        <w:rPr>
          <w:b/>
        </w:rPr>
      </w:pPr>
      <w:r w:rsidRPr="0031675F">
        <w:t>Once sample is taken it should be kept in the dark on ice.</w:t>
      </w:r>
    </w:p>
    <w:p w14:paraId="5D334299" w14:textId="0D8ECE57" w:rsidR="00E569A1" w:rsidRPr="0031675F" w:rsidRDefault="00E569A1" w:rsidP="0031675F">
      <w:pPr>
        <w:numPr>
          <w:ilvl w:val="0"/>
          <w:numId w:val="168"/>
        </w:numPr>
        <w:tabs>
          <w:tab w:val="clear" w:pos="720"/>
        </w:tabs>
        <w:spacing w:before="60" w:after="60" w:line="240" w:lineRule="auto"/>
        <w:ind w:left="340" w:hanging="340"/>
        <w:rPr>
          <w:b/>
        </w:rPr>
      </w:pPr>
      <w:r w:rsidRPr="003003D8">
        <w:rPr>
          <w:rFonts w:eastAsia="Calibri" w:cs="Arial"/>
        </w:rPr>
        <w:t>The filtering is undertaken off the vessel either in the laboratory or beforehand depending on the time required for transport.</w:t>
      </w:r>
    </w:p>
    <w:p w14:paraId="7DD246A1" w14:textId="76DED41A" w:rsidR="0031675F" w:rsidRPr="0031675F" w:rsidRDefault="0031675F" w:rsidP="0031675F">
      <w:pPr>
        <w:numPr>
          <w:ilvl w:val="0"/>
          <w:numId w:val="168"/>
        </w:numPr>
        <w:tabs>
          <w:tab w:val="clear" w:pos="720"/>
        </w:tabs>
        <w:spacing w:before="60" w:after="60" w:line="240" w:lineRule="auto"/>
        <w:ind w:left="340" w:hanging="340"/>
      </w:pPr>
      <w:r w:rsidRPr="0031675F">
        <w:rPr>
          <w:bCs/>
        </w:rPr>
        <w:t>Filter using manifolds, provided – ensure manifold cups are washed with deionised water between samples to avoid contamination.</w:t>
      </w:r>
      <w:r w:rsidR="00B72075">
        <w:rPr>
          <w:bCs/>
        </w:rPr>
        <w:t xml:space="preserve"> Record volume of sample filtered.</w:t>
      </w:r>
      <w:r w:rsidRPr="0031675F">
        <w:rPr>
          <w:bCs/>
        </w:rPr>
        <w:t xml:space="preserve"> </w:t>
      </w:r>
    </w:p>
    <w:p w14:paraId="06EC8494" w14:textId="77777777" w:rsidR="0031675F" w:rsidRPr="0031675F" w:rsidRDefault="0031675F" w:rsidP="0031675F">
      <w:pPr>
        <w:numPr>
          <w:ilvl w:val="0"/>
          <w:numId w:val="168"/>
        </w:numPr>
        <w:tabs>
          <w:tab w:val="clear" w:pos="720"/>
        </w:tabs>
        <w:spacing w:before="60" w:after="60" w:line="240" w:lineRule="auto"/>
        <w:ind w:left="340" w:hanging="340"/>
      </w:pPr>
      <w:r w:rsidRPr="0031675F">
        <w:rPr>
          <w:bCs/>
        </w:rPr>
        <w:t xml:space="preserve">Wash cups with deionised water to ensure the capture of the entire sample. </w:t>
      </w:r>
    </w:p>
    <w:p w14:paraId="3AA6DF6F" w14:textId="10925EF0" w:rsidR="0031675F" w:rsidRPr="00C70D93" w:rsidRDefault="0031675F" w:rsidP="0031675F">
      <w:pPr>
        <w:numPr>
          <w:ilvl w:val="0"/>
          <w:numId w:val="168"/>
        </w:numPr>
        <w:tabs>
          <w:tab w:val="clear" w:pos="720"/>
        </w:tabs>
        <w:spacing w:before="60" w:after="60" w:line="240" w:lineRule="auto"/>
        <w:ind w:left="340" w:hanging="340"/>
      </w:pPr>
      <w:r w:rsidRPr="00C70D93">
        <w:rPr>
          <w:bCs/>
        </w:rPr>
        <w:t>***Important – add magnesium carbonate to wash (</w:t>
      </w:r>
      <w:r w:rsidR="00E569A1" w:rsidRPr="00C70D93">
        <w:rPr>
          <w:bCs/>
        </w:rPr>
        <w:t>~</w:t>
      </w:r>
      <w:r w:rsidRPr="00C70D93">
        <w:rPr>
          <w:bCs/>
        </w:rPr>
        <w:t>0.2</w:t>
      </w:r>
      <w:r w:rsidR="00BB13FD" w:rsidRPr="00C70D93">
        <w:rPr>
          <w:bCs/>
        </w:rPr>
        <w:t xml:space="preserve"> </w:t>
      </w:r>
      <w:r w:rsidRPr="00C70D93">
        <w:rPr>
          <w:bCs/>
        </w:rPr>
        <w:t>m</w:t>
      </w:r>
      <w:r w:rsidR="00BB13FD" w:rsidRPr="00C70D93">
        <w:rPr>
          <w:bCs/>
        </w:rPr>
        <w:t>L</w:t>
      </w:r>
      <w:r w:rsidRPr="00C70D93">
        <w:rPr>
          <w:bCs/>
        </w:rPr>
        <w:t xml:space="preserve"> is required</w:t>
      </w:r>
      <w:r w:rsidR="00E569A1" w:rsidRPr="00C70D93">
        <w:rPr>
          <w:bCs/>
        </w:rPr>
        <w:t xml:space="preserve"> t</w:t>
      </w:r>
      <w:r w:rsidRPr="00C70D93">
        <w:rPr>
          <w:bCs/>
        </w:rPr>
        <w:t xml:space="preserve">o preserve/fix </w:t>
      </w:r>
      <w:r w:rsidR="004F29DF" w:rsidRPr="00C70D93">
        <w:rPr>
          <w:bCs/>
        </w:rPr>
        <w:t>C</w:t>
      </w:r>
      <w:r w:rsidRPr="00C70D93">
        <w:rPr>
          <w:bCs/>
        </w:rPr>
        <w:t>hl-</w:t>
      </w:r>
      <w:r w:rsidRPr="00C70D93">
        <w:rPr>
          <w:bCs/>
          <w:i/>
        </w:rPr>
        <w:t>a</w:t>
      </w:r>
      <w:r w:rsidRPr="00C70D93">
        <w:rPr>
          <w:bCs/>
        </w:rPr>
        <w:t xml:space="preserve"> on the filter paper</w:t>
      </w:r>
      <w:r w:rsidR="00E569A1" w:rsidRPr="00C70D93">
        <w:rPr>
          <w:bCs/>
        </w:rPr>
        <w:t>)</w:t>
      </w:r>
      <w:r w:rsidRPr="00C70D93">
        <w:rPr>
          <w:bCs/>
        </w:rPr>
        <w:t>.</w:t>
      </w:r>
    </w:p>
    <w:p w14:paraId="2ED66B9C" w14:textId="1B6BC172" w:rsidR="0031675F" w:rsidRPr="0031675F" w:rsidRDefault="00E569A1" w:rsidP="0031675F">
      <w:pPr>
        <w:numPr>
          <w:ilvl w:val="0"/>
          <w:numId w:val="168"/>
        </w:numPr>
        <w:tabs>
          <w:tab w:val="clear" w:pos="720"/>
        </w:tabs>
        <w:spacing w:before="60" w:after="60" w:line="240" w:lineRule="auto"/>
        <w:ind w:left="340" w:hanging="340"/>
      </w:pPr>
      <w:r>
        <w:rPr>
          <w:bCs/>
        </w:rPr>
        <w:t>F</w:t>
      </w:r>
      <w:r w:rsidRPr="0031675F">
        <w:rPr>
          <w:bCs/>
        </w:rPr>
        <w:t>old</w:t>
      </w:r>
      <w:r>
        <w:rPr>
          <w:bCs/>
        </w:rPr>
        <w:t xml:space="preserve"> f</w:t>
      </w:r>
      <w:r w:rsidR="0031675F" w:rsidRPr="0031675F">
        <w:rPr>
          <w:bCs/>
        </w:rPr>
        <w:t xml:space="preserve">ilter papers in half and wrap </w:t>
      </w:r>
      <w:r w:rsidR="00B72075">
        <w:rPr>
          <w:bCs/>
        </w:rPr>
        <w:t xml:space="preserve">in aluminium foil </w:t>
      </w:r>
      <w:r w:rsidR="0031675F" w:rsidRPr="0031675F">
        <w:rPr>
          <w:bCs/>
        </w:rPr>
        <w:t>to avoid loss of sample on the filter paper.</w:t>
      </w:r>
    </w:p>
    <w:p w14:paraId="72EB01AE" w14:textId="0FE8FCE5" w:rsidR="0031675F" w:rsidRPr="0031675F" w:rsidRDefault="0031675F" w:rsidP="0031675F">
      <w:pPr>
        <w:numPr>
          <w:ilvl w:val="0"/>
          <w:numId w:val="168"/>
        </w:numPr>
        <w:tabs>
          <w:tab w:val="clear" w:pos="720"/>
        </w:tabs>
        <w:spacing w:before="60" w:after="60" w:line="240" w:lineRule="auto"/>
        <w:ind w:left="340" w:hanging="340"/>
      </w:pPr>
      <w:r w:rsidRPr="0031675F">
        <w:rPr>
          <w:bCs/>
        </w:rPr>
        <w:t xml:space="preserve">Place wrapped filter paper in envelope with site no. reference (i.e. </w:t>
      </w:r>
      <w:r w:rsidR="00E569A1">
        <w:rPr>
          <w:bCs/>
        </w:rPr>
        <w:t>MMP</w:t>
      </w:r>
      <w:r w:rsidR="00E569A1" w:rsidRPr="0031675F">
        <w:rPr>
          <w:bCs/>
        </w:rPr>
        <w:t xml:space="preserve"> </w:t>
      </w:r>
      <w:r w:rsidRPr="0031675F">
        <w:rPr>
          <w:bCs/>
        </w:rPr>
        <w:t>68)</w:t>
      </w:r>
      <w:r w:rsidR="00B72075">
        <w:rPr>
          <w:bCs/>
        </w:rPr>
        <w:t xml:space="preserve"> and the volume of sample filtered is written on the envelope</w:t>
      </w:r>
      <w:r w:rsidRPr="0031675F">
        <w:rPr>
          <w:bCs/>
        </w:rPr>
        <w:t>.</w:t>
      </w:r>
    </w:p>
    <w:p w14:paraId="3CAC7163" w14:textId="38C4074E" w:rsidR="0031675F" w:rsidRPr="00C70D93" w:rsidRDefault="00E569A1" w:rsidP="0031675F">
      <w:pPr>
        <w:numPr>
          <w:ilvl w:val="0"/>
          <w:numId w:val="168"/>
        </w:numPr>
        <w:tabs>
          <w:tab w:val="clear" w:pos="720"/>
        </w:tabs>
        <w:spacing w:before="60" w:after="60" w:line="240" w:lineRule="auto"/>
        <w:ind w:left="340" w:hanging="340"/>
      </w:pPr>
      <w:r>
        <w:rPr>
          <w:bCs/>
        </w:rPr>
        <w:t>S</w:t>
      </w:r>
      <w:r w:rsidR="0031675F" w:rsidRPr="00C70D93">
        <w:rPr>
          <w:bCs/>
        </w:rPr>
        <w:t>tore</w:t>
      </w:r>
      <w:r>
        <w:rPr>
          <w:bCs/>
        </w:rPr>
        <w:t xml:space="preserve"> papers</w:t>
      </w:r>
      <w:r w:rsidR="00734782">
        <w:rPr>
          <w:bCs/>
        </w:rPr>
        <w:t xml:space="preserve"> dry and</w:t>
      </w:r>
      <w:r w:rsidR="0031675F" w:rsidRPr="00C70D93">
        <w:rPr>
          <w:bCs/>
        </w:rPr>
        <w:t xml:space="preserve"> frozen or as cold as possible prior to analysis in the lab</w:t>
      </w:r>
      <w:r>
        <w:rPr>
          <w:bCs/>
        </w:rPr>
        <w:t>oratory</w:t>
      </w:r>
      <w:r w:rsidR="0031675F" w:rsidRPr="00C70D93">
        <w:rPr>
          <w:bCs/>
        </w:rPr>
        <w:t>.</w:t>
      </w:r>
    </w:p>
    <w:p w14:paraId="3E86C280" w14:textId="11CC312E" w:rsidR="0031675F" w:rsidRDefault="0031675F" w:rsidP="0031675F">
      <w:pPr>
        <w:rPr>
          <w:b/>
          <w:bCs/>
        </w:rPr>
      </w:pPr>
    </w:p>
    <w:p w14:paraId="76E0228D" w14:textId="77777777" w:rsidR="00734782" w:rsidRPr="00C70D93" w:rsidRDefault="00734782" w:rsidP="00C70D93">
      <w:pPr>
        <w:shd w:val="clear" w:color="auto" w:fill="D9D9D9"/>
        <w:rPr>
          <w:b/>
          <w:sz w:val="28"/>
          <w:szCs w:val="28"/>
        </w:rPr>
      </w:pPr>
      <w:r w:rsidRPr="00C70D93">
        <w:rPr>
          <w:b/>
          <w:sz w:val="28"/>
          <w:szCs w:val="28"/>
        </w:rPr>
        <w:t xml:space="preserve">Total Suspended Solids </w:t>
      </w:r>
    </w:p>
    <w:p w14:paraId="2408CC06" w14:textId="00690538" w:rsidR="00734782" w:rsidRDefault="00734782" w:rsidP="00734782">
      <w:r w:rsidRPr="00DD17C3">
        <w:t>One 1 L plastic bottle</w:t>
      </w:r>
    </w:p>
    <w:p w14:paraId="0087DA73" w14:textId="53590032" w:rsidR="00734782" w:rsidRPr="00DD17C3" w:rsidRDefault="00734782" w:rsidP="00734782">
      <w:pPr>
        <w:rPr>
          <w:i/>
        </w:rPr>
      </w:pPr>
      <w:r w:rsidRPr="00DD17C3">
        <w:rPr>
          <w:i/>
        </w:rPr>
        <w:t xml:space="preserve">Filtering </w:t>
      </w:r>
      <w:r>
        <w:rPr>
          <w:i/>
        </w:rPr>
        <w:t xml:space="preserve">not required on vessel, but must be filtered within </w:t>
      </w:r>
      <w:r w:rsidR="00B72075">
        <w:rPr>
          <w:i/>
        </w:rPr>
        <w:t>7 days</w:t>
      </w:r>
      <w:r>
        <w:rPr>
          <w:i/>
        </w:rPr>
        <w:t xml:space="preserve"> of collection</w:t>
      </w:r>
      <w:r w:rsidR="00B72075">
        <w:rPr>
          <w:i/>
        </w:rPr>
        <w:t>.</w:t>
      </w:r>
    </w:p>
    <w:p w14:paraId="0F9A6ADE" w14:textId="1869553C" w:rsidR="00734782" w:rsidRPr="00C70D93" w:rsidRDefault="00734782" w:rsidP="00C70D93">
      <w:pPr>
        <w:numPr>
          <w:ilvl w:val="0"/>
          <w:numId w:val="168"/>
        </w:numPr>
        <w:tabs>
          <w:tab w:val="clear" w:pos="720"/>
        </w:tabs>
        <w:spacing w:before="60" w:after="60" w:line="240" w:lineRule="auto"/>
        <w:ind w:left="340" w:hanging="340"/>
        <w:rPr>
          <w:bCs/>
        </w:rPr>
      </w:pPr>
      <w:r w:rsidRPr="00C70D93">
        <w:rPr>
          <w:bCs/>
        </w:rPr>
        <w:t xml:space="preserve">Sample is collected directly in-situ over the side of the boat or </w:t>
      </w:r>
      <w:r w:rsidR="00B72075">
        <w:t xml:space="preserve">from 10 L sample container (stirred rigorously) into </w:t>
      </w:r>
      <w:r w:rsidRPr="00C70D93">
        <w:rPr>
          <w:bCs/>
        </w:rPr>
        <w:t xml:space="preserve">sample collection bottle. </w:t>
      </w:r>
    </w:p>
    <w:p w14:paraId="27CE445D" w14:textId="041514B5" w:rsidR="00734782" w:rsidRPr="00C70D93" w:rsidRDefault="00734782" w:rsidP="00C70D93">
      <w:pPr>
        <w:numPr>
          <w:ilvl w:val="0"/>
          <w:numId w:val="168"/>
        </w:numPr>
        <w:tabs>
          <w:tab w:val="clear" w:pos="720"/>
        </w:tabs>
        <w:spacing w:before="60" w:after="60" w:line="240" w:lineRule="auto"/>
        <w:ind w:left="340" w:hanging="340"/>
        <w:rPr>
          <w:bCs/>
        </w:rPr>
      </w:pPr>
      <w:r>
        <w:t>Rinse each</w:t>
      </w:r>
      <w:r w:rsidRPr="00DD17C3">
        <w:t xml:space="preserve"> container </w:t>
      </w:r>
      <w:r w:rsidRPr="00C70D93">
        <w:rPr>
          <w:bCs/>
        </w:rPr>
        <w:t xml:space="preserve">at least </w:t>
      </w:r>
      <w:r w:rsidR="00B72075">
        <w:rPr>
          <w:bCs/>
        </w:rPr>
        <w:t>once</w:t>
      </w:r>
      <w:r w:rsidRPr="00C70D93">
        <w:rPr>
          <w:bCs/>
        </w:rPr>
        <w:t xml:space="preserve"> with the sample water, taking care to avoid any contact with the sample (gloves must be worn </w:t>
      </w:r>
      <w:r w:rsidR="00B72075">
        <w:rPr>
          <w:bCs/>
        </w:rPr>
        <w:t xml:space="preserve">at </w:t>
      </w:r>
      <w:r w:rsidRPr="00C70D93">
        <w:rPr>
          <w:bCs/>
        </w:rPr>
        <w:t>all time</w:t>
      </w:r>
      <w:r w:rsidR="00B72075">
        <w:rPr>
          <w:bCs/>
        </w:rPr>
        <w:t>s</w:t>
      </w:r>
      <w:r w:rsidRPr="00C70D93">
        <w:rPr>
          <w:bCs/>
        </w:rPr>
        <w:t>).</w:t>
      </w:r>
    </w:p>
    <w:p w14:paraId="2F2163B3" w14:textId="77777777" w:rsidR="00734782" w:rsidRPr="00C70D93" w:rsidRDefault="00734782" w:rsidP="00C70D93">
      <w:pPr>
        <w:numPr>
          <w:ilvl w:val="0"/>
          <w:numId w:val="168"/>
        </w:numPr>
        <w:tabs>
          <w:tab w:val="clear" w:pos="720"/>
        </w:tabs>
        <w:spacing w:before="60" w:after="60" w:line="240" w:lineRule="auto"/>
        <w:ind w:left="340" w:hanging="340"/>
        <w:rPr>
          <w:bCs/>
        </w:rPr>
      </w:pPr>
      <w:r w:rsidRPr="00C70D93">
        <w:rPr>
          <w:bCs/>
        </w:rPr>
        <w:t xml:space="preserve">Fill to overflowing and seal. Do not leave an air gap. </w:t>
      </w:r>
    </w:p>
    <w:p w14:paraId="2EFAA18C" w14:textId="6AADEAF2" w:rsidR="00734782" w:rsidRPr="00C70D93" w:rsidRDefault="00734782" w:rsidP="00C70D93">
      <w:pPr>
        <w:numPr>
          <w:ilvl w:val="0"/>
          <w:numId w:val="168"/>
        </w:numPr>
        <w:tabs>
          <w:tab w:val="clear" w:pos="720"/>
        </w:tabs>
        <w:spacing w:before="60" w:after="60" w:line="240" w:lineRule="auto"/>
        <w:ind w:left="340" w:hanging="340"/>
        <w:rPr>
          <w:bCs/>
        </w:rPr>
      </w:pPr>
      <w:r w:rsidRPr="00C70D93">
        <w:rPr>
          <w:bCs/>
        </w:rPr>
        <w:t>Once sample is collected, it should be kept on ice</w:t>
      </w:r>
      <w:r w:rsidR="00B72075">
        <w:rPr>
          <w:bCs/>
        </w:rPr>
        <w:t xml:space="preserve"> and stored at 4</w:t>
      </w:r>
      <w:r w:rsidR="00B72075">
        <w:rPr>
          <w:rFonts w:cs="Arial"/>
          <w:bCs/>
        </w:rPr>
        <w:t>°</w:t>
      </w:r>
      <w:r w:rsidR="00B72075">
        <w:rPr>
          <w:bCs/>
        </w:rPr>
        <w:t xml:space="preserve"> C</w:t>
      </w:r>
      <w:r w:rsidRPr="00C70D93">
        <w:rPr>
          <w:bCs/>
        </w:rPr>
        <w:t>.</w:t>
      </w:r>
    </w:p>
    <w:p w14:paraId="60143154" w14:textId="37C8241E" w:rsidR="00734782" w:rsidRDefault="00734782" w:rsidP="00734782">
      <w:pPr>
        <w:numPr>
          <w:ilvl w:val="0"/>
          <w:numId w:val="168"/>
        </w:numPr>
        <w:tabs>
          <w:tab w:val="clear" w:pos="720"/>
        </w:tabs>
        <w:spacing w:before="60" w:after="60" w:line="240" w:lineRule="auto"/>
        <w:ind w:left="340" w:hanging="340"/>
        <w:rPr>
          <w:bCs/>
        </w:rPr>
      </w:pPr>
      <w:r w:rsidRPr="00C70D93">
        <w:rPr>
          <w:bCs/>
        </w:rPr>
        <w:t xml:space="preserve">TSS sampling requires filtering within </w:t>
      </w:r>
      <w:r w:rsidR="00B72075">
        <w:rPr>
          <w:bCs/>
        </w:rPr>
        <w:t>7 days</w:t>
      </w:r>
      <w:r w:rsidRPr="00C70D93">
        <w:rPr>
          <w:bCs/>
        </w:rPr>
        <w:t xml:space="preserve"> of </w:t>
      </w:r>
      <w:r>
        <w:rPr>
          <w:bCs/>
        </w:rPr>
        <w:t>collection</w:t>
      </w:r>
      <w:r w:rsidRPr="00C70D93">
        <w:rPr>
          <w:bCs/>
        </w:rPr>
        <w:t>. The filtering is undertaken off the vessel either in the laboratory or beforehand depending on the time required for transport.</w:t>
      </w:r>
    </w:p>
    <w:p w14:paraId="0D0AF0F2" w14:textId="77777777" w:rsidR="00B72075" w:rsidRPr="0031675F" w:rsidRDefault="00B72075" w:rsidP="00B72075">
      <w:pPr>
        <w:numPr>
          <w:ilvl w:val="0"/>
          <w:numId w:val="168"/>
        </w:numPr>
        <w:tabs>
          <w:tab w:val="clear" w:pos="720"/>
        </w:tabs>
        <w:spacing w:before="60" w:after="60" w:line="240" w:lineRule="auto"/>
        <w:ind w:left="340" w:hanging="340"/>
      </w:pPr>
      <w:r w:rsidRPr="0031675F">
        <w:rPr>
          <w:bCs/>
        </w:rPr>
        <w:t>Filter using manifolds, provided – ensure manifold cups are washed with deionised water between samples to avoid contamination.</w:t>
      </w:r>
      <w:r>
        <w:rPr>
          <w:bCs/>
        </w:rPr>
        <w:t xml:space="preserve"> Record volume of sample filtered.</w:t>
      </w:r>
      <w:r w:rsidRPr="0031675F">
        <w:rPr>
          <w:bCs/>
        </w:rPr>
        <w:t xml:space="preserve"> </w:t>
      </w:r>
    </w:p>
    <w:p w14:paraId="77CA3878" w14:textId="77777777" w:rsidR="00B72075" w:rsidRPr="0031675F" w:rsidRDefault="00B72075" w:rsidP="00B72075">
      <w:pPr>
        <w:numPr>
          <w:ilvl w:val="0"/>
          <w:numId w:val="168"/>
        </w:numPr>
        <w:tabs>
          <w:tab w:val="clear" w:pos="720"/>
        </w:tabs>
        <w:spacing w:before="60" w:after="60" w:line="240" w:lineRule="auto"/>
        <w:ind w:left="340" w:hanging="340"/>
      </w:pPr>
      <w:r w:rsidRPr="0031675F">
        <w:rPr>
          <w:bCs/>
        </w:rPr>
        <w:t xml:space="preserve">Wash cups with deionised water to ensure the capture of the entire sample. </w:t>
      </w:r>
    </w:p>
    <w:p w14:paraId="6EEACF73" w14:textId="5445CAA1" w:rsidR="00734782" w:rsidRPr="00C70D93" w:rsidRDefault="00B72075" w:rsidP="00C70D93">
      <w:pPr>
        <w:numPr>
          <w:ilvl w:val="0"/>
          <w:numId w:val="168"/>
        </w:numPr>
        <w:tabs>
          <w:tab w:val="clear" w:pos="720"/>
        </w:tabs>
        <w:spacing w:before="60" w:after="60" w:line="240" w:lineRule="auto"/>
        <w:ind w:left="340" w:hanging="340"/>
        <w:rPr>
          <w:bCs/>
        </w:rPr>
      </w:pPr>
      <w:r>
        <w:rPr>
          <w:bCs/>
        </w:rPr>
        <w:t>At least 500 mL of deionised water is rinsed through the sample to rinse the salts from the filter papers.</w:t>
      </w:r>
    </w:p>
    <w:p w14:paraId="618767BC" w14:textId="77777777" w:rsidR="00734782" w:rsidRPr="0031675F" w:rsidRDefault="00734782" w:rsidP="0031675F">
      <w:pPr>
        <w:rPr>
          <w:b/>
          <w:bCs/>
        </w:rPr>
      </w:pPr>
    </w:p>
    <w:p w14:paraId="52E072AE" w14:textId="141E6DDD" w:rsidR="0031675F" w:rsidRPr="0031675F" w:rsidRDefault="0031675F" w:rsidP="0031675F">
      <w:pPr>
        <w:shd w:val="clear" w:color="auto" w:fill="D9D9D9"/>
        <w:rPr>
          <w:b/>
          <w:sz w:val="28"/>
          <w:szCs w:val="28"/>
        </w:rPr>
      </w:pPr>
      <w:r w:rsidRPr="0031675F">
        <w:rPr>
          <w:b/>
          <w:sz w:val="28"/>
          <w:szCs w:val="28"/>
        </w:rPr>
        <w:t>CDOM (Colored Dissolved Organic Matter)</w:t>
      </w:r>
    </w:p>
    <w:p w14:paraId="079C504F" w14:textId="2B8D7905" w:rsidR="0031675F" w:rsidRPr="00C70D93" w:rsidRDefault="00B72075" w:rsidP="0031675F">
      <w:pPr>
        <w:rPr>
          <w:bCs/>
        </w:rPr>
      </w:pPr>
      <w:r>
        <w:rPr>
          <w:bCs/>
        </w:rPr>
        <w:t>12</w:t>
      </w:r>
      <w:r w:rsidR="0031675F" w:rsidRPr="00C70D93">
        <w:rPr>
          <w:bCs/>
        </w:rPr>
        <w:t>0</w:t>
      </w:r>
      <w:r w:rsidR="00734782">
        <w:rPr>
          <w:bCs/>
        </w:rPr>
        <w:t xml:space="preserve"> </w:t>
      </w:r>
      <w:r w:rsidR="0031675F" w:rsidRPr="00C70D93">
        <w:rPr>
          <w:bCs/>
        </w:rPr>
        <w:t>m</w:t>
      </w:r>
      <w:r w:rsidR="00734782">
        <w:rPr>
          <w:bCs/>
        </w:rPr>
        <w:t>L</w:t>
      </w:r>
      <w:r w:rsidR="0031675F" w:rsidRPr="00C70D93">
        <w:rPr>
          <w:bCs/>
        </w:rPr>
        <w:t xml:space="preserve"> </w:t>
      </w:r>
      <w:r w:rsidR="00734782">
        <w:rPr>
          <w:bCs/>
        </w:rPr>
        <w:t>glass a</w:t>
      </w:r>
      <w:r w:rsidR="00734782" w:rsidRPr="00C70D93">
        <w:rPr>
          <w:bCs/>
        </w:rPr>
        <w:t xml:space="preserve">mber </w:t>
      </w:r>
      <w:r w:rsidR="00734782">
        <w:rPr>
          <w:bCs/>
        </w:rPr>
        <w:t xml:space="preserve"> b</w:t>
      </w:r>
      <w:r w:rsidR="0031675F" w:rsidRPr="00C70D93">
        <w:rPr>
          <w:bCs/>
        </w:rPr>
        <w:t>ottle</w:t>
      </w:r>
    </w:p>
    <w:p w14:paraId="586706EE" w14:textId="43BE53A1" w:rsidR="00734782" w:rsidRDefault="00734782" w:rsidP="00C70D93">
      <w:pPr>
        <w:numPr>
          <w:ilvl w:val="0"/>
          <w:numId w:val="169"/>
        </w:numPr>
        <w:tabs>
          <w:tab w:val="clear" w:pos="720"/>
        </w:tabs>
        <w:spacing w:before="60" w:after="60" w:line="240" w:lineRule="auto"/>
        <w:ind w:left="340" w:hanging="340"/>
      </w:pPr>
      <w:r>
        <w:t>Sample is c</w:t>
      </w:r>
      <w:r w:rsidRPr="00DD17C3">
        <w:t xml:space="preserve">ollected from the </w:t>
      </w:r>
      <w:r w:rsidR="00B72075">
        <w:t>10 L container</w:t>
      </w:r>
      <w:r w:rsidRPr="00DD17C3">
        <w:t xml:space="preserve"> using sterile 60 mL syringes.</w:t>
      </w:r>
    </w:p>
    <w:p w14:paraId="5C30EC64" w14:textId="2418385D" w:rsidR="00734782" w:rsidRDefault="00734782" w:rsidP="00734782">
      <w:pPr>
        <w:numPr>
          <w:ilvl w:val="0"/>
          <w:numId w:val="169"/>
        </w:numPr>
        <w:tabs>
          <w:tab w:val="clear" w:pos="720"/>
        </w:tabs>
        <w:spacing w:before="60" w:after="60" w:line="240" w:lineRule="auto"/>
        <w:ind w:left="340" w:hanging="340"/>
        <w:rPr>
          <w:rFonts w:eastAsia="Calibri" w:cs="Arial"/>
        </w:rPr>
      </w:pPr>
      <w:r w:rsidRPr="003003D8">
        <w:rPr>
          <w:rFonts w:eastAsia="Calibri" w:cs="Arial"/>
        </w:rPr>
        <w:t>Requires 1</w:t>
      </w:r>
      <w:r w:rsidR="00B72075">
        <w:rPr>
          <w:rFonts w:eastAsia="Calibri" w:cs="Arial"/>
        </w:rPr>
        <w:t>2</w:t>
      </w:r>
      <w:r w:rsidRPr="003003D8">
        <w:rPr>
          <w:rFonts w:eastAsia="Calibri" w:cs="Arial"/>
        </w:rPr>
        <w:t>0 mL amber (glass) bottle.</w:t>
      </w:r>
    </w:p>
    <w:p w14:paraId="6E067433" w14:textId="6CEF75DB" w:rsidR="00684DA3" w:rsidRPr="003003D8" w:rsidRDefault="00684DA3" w:rsidP="00C70D93">
      <w:pPr>
        <w:numPr>
          <w:ilvl w:val="0"/>
          <w:numId w:val="169"/>
        </w:numPr>
        <w:tabs>
          <w:tab w:val="clear" w:pos="720"/>
        </w:tabs>
        <w:spacing w:before="60" w:after="60" w:line="240" w:lineRule="auto"/>
        <w:ind w:left="340" w:hanging="340"/>
        <w:rPr>
          <w:rFonts w:eastAsia="Calibri" w:cs="Arial"/>
        </w:rPr>
      </w:pPr>
      <w:r>
        <w:t>R</w:t>
      </w:r>
      <w:r w:rsidRPr="0031675F">
        <w:t xml:space="preserve">inse </w:t>
      </w:r>
      <w:r w:rsidRPr="00E569A1">
        <w:rPr>
          <w:u w:val="single"/>
        </w:rPr>
        <w:t>syringe</w:t>
      </w:r>
      <w:r w:rsidRPr="0031675F">
        <w:t xml:space="preserve"> </w:t>
      </w:r>
      <w:r w:rsidR="00B72075">
        <w:t>at least once</w:t>
      </w:r>
      <w:r w:rsidRPr="0031675F">
        <w:t xml:space="preserve"> with the water to be sampled.</w:t>
      </w:r>
    </w:p>
    <w:p w14:paraId="531FE49B" w14:textId="408EF2C9" w:rsidR="0031675F" w:rsidRPr="00C70D93" w:rsidRDefault="0031675F" w:rsidP="0031675F">
      <w:pPr>
        <w:numPr>
          <w:ilvl w:val="0"/>
          <w:numId w:val="169"/>
        </w:numPr>
        <w:tabs>
          <w:tab w:val="clear" w:pos="720"/>
        </w:tabs>
        <w:spacing w:before="60" w:after="60" w:line="240" w:lineRule="auto"/>
        <w:ind w:left="340" w:hanging="340"/>
      </w:pPr>
      <w:r w:rsidRPr="0031675F">
        <w:t>Attach 0.45</w:t>
      </w:r>
      <w:r w:rsidR="00BB13FD">
        <w:t xml:space="preserve"> </w:t>
      </w:r>
      <w:r w:rsidRPr="0031675F">
        <w:sym w:font="Symbol" w:char="F06D"/>
      </w:r>
      <w:r w:rsidRPr="0031675F">
        <w:t xml:space="preserve">m (yellow) to syringe, fill with sample and insert plunger; </w:t>
      </w:r>
      <w:r w:rsidRPr="00C70D93">
        <w:t>air contact must be minimised so filter needs to be removed at this point to expel any trapped air.</w:t>
      </w:r>
    </w:p>
    <w:p w14:paraId="0991E41B" w14:textId="77777777" w:rsidR="0031675F" w:rsidRPr="00C70D93" w:rsidRDefault="0031675F" w:rsidP="0031675F">
      <w:pPr>
        <w:numPr>
          <w:ilvl w:val="0"/>
          <w:numId w:val="169"/>
        </w:numPr>
        <w:tabs>
          <w:tab w:val="clear" w:pos="720"/>
        </w:tabs>
        <w:spacing w:before="60" w:after="60" w:line="240" w:lineRule="auto"/>
        <w:ind w:left="340" w:hanging="340"/>
      </w:pPr>
      <w:r w:rsidRPr="00734782">
        <w:t>Place filter back onto syringe and push some sample through to prime the filter.</w:t>
      </w:r>
    </w:p>
    <w:p w14:paraId="41478A9D" w14:textId="77E8D7D7" w:rsidR="0031675F" w:rsidRPr="00C70D93" w:rsidRDefault="00734782" w:rsidP="00734782">
      <w:pPr>
        <w:numPr>
          <w:ilvl w:val="0"/>
          <w:numId w:val="169"/>
        </w:numPr>
        <w:tabs>
          <w:tab w:val="clear" w:pos="720"/>
        </w:tabs>
        <w:spacing w:before="60" w:after="60" w:line="240" w:lineRule="auto"/>
        <w:ind w:left="340" w:hanging="340"/>
      </w:pPr>
      <w:r>
        <w:t>Place a</w:t>
      </w:r>
      <w:r w:rsidR="0031675F" w:rsidRPr="00734782">
        <w:t xml:space="preserve"> </w:t>
      </w:r>
      <w:r w:rsidR="0031675F" w:rsidRPr="00C70D93">
        <w:t>0.2</w:t>
      </w:r>
      <w:r w:rsidR="00BB13FD" w:rsidRPr="00C70D93">
        <w:t xml:space="preserve"> </w:t>
      </w:r>
      <w:r w:rsidR="0031675F" w:rsidRPr="00C70D93">
        <w:sym w:font="Symbol" w:char="F06D"/>
      </w:r>
      <w:r w:rsidR="0031675F" w:rsidRPr="00C70D93">
        <w:t xml:space="preserve">m </w:t>
      </w:r>
      <w:r w:rsidR="0031675F" w:rsidRPr="00734782">
        <w:t>filter (</w:t>
      </w:r>
      <w:r w:rsidR="0031675F" w:rsidRPr="00734782">
        <w:rPr>
          <w:color w:val="0000FF"/>
        </w:rPr>
        <w:t>blue</w:t>
      </w:r>
      <w:r w:rsidR="0031675F" w:rsidRPr="00734782">
        <w:t xml:space="preserve">) onto the yellow filter; ensure they are </w:t>
      </w:r>
      <w:r>
        <w:t>secure</w:t>
      </w:r>
      <w:r w:rsidR="0031675F" w:rsidRPr="00734782">
        <w:t xml:space="preserve"> and </w:t>
      </w:r>
      <w:r>
        <w:t xml:space="preserve">fitted </w:t>
      </w:r>
      <w:r w:rsidR="0031675F" w:rsidRPr="00734782">
        <w:t xml:space="preserve">onto the syringe by turning them until there are ‘locked’ together – at this point </w:t>
      </w:r>
      <w:r>
        <w:t>the</w:t>
      </w:r>
      <w:r w:rsidRPr="00734782">
        <w:t xml:space="preserve"> </w:t>
      </w:r>
      <w:r w:rsidR="0031675F" w:rsidRPr="00734782">
        <w:t>syringe should have two filters attached with the yellow next to the syringe.</w:t>
      </w:r>
      <w:r>
        <w:t xml:space="preserve"> </w:t>
      </w:r>
      <w:r w:rsidR="0031675F" w:rsidRPr="00C70D93">
        <w:t>If syringes and filters aren’t fitted together correctly there may be a risk of contamination</w:t>
      </w:r>
      <w:r>
        <w:t>.</w:t>
      </w:r>
    </w:p>
    <w:p w14:paraId="709D8964" w14:textId="0E0ED513" w:rsidR="0031675F" w:rsidRDefault="00734782" w:rsidP="0031675F">
      <w:pPr>
        <w:numPr>
          <w:ilvl w:val="0"/>
          <w:numId w:val="169"/>
        </w:numPr>
        <w:tabs>
          <w:tab w:val="clear" w:pos="720"/>
        </w:tabs>
        <w:spacing w:before="60" w:after="60" w:line="240" w:lineRule="auto"/>
        <w:ind w:left="340" w:hanging="340"/>
      </w:pPr>
      <w:r>
        <w:t>Push the sample water</w:t>
      </w:r>
      <w:r w:rsidR="0031675F" w:rsidRPr="00734782">
        <w:t xml:space="preserve"> through both filters into the </w:t>
      </w:r>
      <w:r w:rsidR="0031675F" w:rsidRPr="00C70D93">
        <w:t xml:space="preserve">glass amber </w:t>
      </w:r>
      <w:r w:rsidR="0031675F" w:rsidRPr="00734782">
        <w:t>bottle</w:t>
      </w:r>
      <w:r w:rsidR="0031675F" w:rsidRPr="00C70D93">
        <w:t xml:space="preserve">– </w:t>
      </w:r>
      <w:r>
        <w:t xml:space="preserve">a </w:t>
      </w:r>
      <w:r w:rsidR="0031675F" w:rsidRPr="00C70D93">
        <w:t>minimum 100</w:t>
      </w:r>
      <w:r w:rsidR="00BB13FD" w:rsidRPr="00C70D93">
        <w:t xml:space="preserve"> </w:t>
      </w:r>
      <w:r w:rsidR="0031675F" w:rsidRPr="00C70D93">
        <w:t>m</w:t>
      </w:r>
      <w:r w:rsidR="00BB13FD" w:rsidRPr="00C70D93">
        <w:t>L</w:t>
      </w:r>
      <w:r w:rsidR="0031675F" w:rsidRPr="00C70D93">
        <w:t xml:space="preserve"> filtered sample is required.</w:t>
      </w:r>
    </w:p>
    <w:p w14:paraId="58242F9F" w14:textId="4D268EFB" w:rsidR="00404425" w:rsidRPr="00C70D93" w:rsidRDefault="00404425" w:rsidP="0031675F">
      <w:pPr>
        <w:numPr>
          <w:ilvl w:val="0"/>
          <w:numId w:val="169"/>
        </w:numPr>
        <w:tabs>
          <w:tab w:val="clear" w:pos="720"/>
        </w:tabs>
        <w:spacing w:before="60" w:after="60" w:line="240" w:lineRule="auto"/>
        <w:ind w:left="340" w:hanging="340"/>
      </w:pPr>
      <w:r>
        <w:t>Samples are stored at 4</w:t>
      </w:r>
      <w:r>
        <w:rPr>
          <w:rFonts w:cs="Arial"/>
        </w:rPr>
        <w:t>°</w:t>
      </w:r>
      <w:r>
        <w:t xml:space="preserve"> C and need to be analysed within 7 days of sample collection.</w:t>
      </w:r>
    </w:p>
    <w:p w14:paraId="1F3C71DC" w14:textId="77777777" w:rsidR="00734782" w:rsidRPr="003003D8" w:rsidRDefault="00734782" w:rsidP="00C70D93">
      <w:pPr>
        <w:numPr>
          <w:ilvl w:val="0"/>
          <w:numId w:val="169"/>
        </w:numPr>
        <w:tabs>
          <w:tab w:val="clear" w:pos="720"/>
        </w:tabs>
        <w:spacing w:before="60" w:after="60" w:line="240" w:lineRule="auto"/>
        <w:ind w:left="340" w:hanging="340"/>
        <w:rPr>
          <w:rFonts w:eastAsia="Calibri" w:cs="Arial"/>
        </w:rPr>
      </w:pPr>
      <w:r w:rsidRPr="003003D8">
        <w:rPr>
          <w:rFonts w:eastAsia="Calibri" w:cs="Arial"/>
        </w:rPr>
        <w:t>When there is too much back pressure on the syringe, the yellow filter will need replacing first — if this does not alleviate the back pressure, the blue one also needs replacing; however, always replace the yellow filter first.</w:t>
      </w:r>
    </w:p>
    <w:p w14:paraId="6B83E290" w14:textId="77777777" w:rsidR="0031675F" w:rsidRPr="00734782" w:rsidRDefault="0031675F" w:rsidP="0031675F"/>
    <w:p w14:paraId="22EA722C" w14:textId="31658840" w:rsidR="00734782" w:rsidRPr="0031675F" w:rsidRDefault="00734782" w:rsidP="00734782">
      <w:pPr>
        <w:shd w:val="clear" w:color="auto" w:fill="D9D9D9"/>
        <w:rPr>
          <w:b/>
          <w:sz w:val="28"/>
          <w:szCs w:val="28"/>
        </w:rPr>
      </w:pPr>
      <w:r>
        <w:rPr>
          <w:b/>
          <w:sz w:val="28"/>
          <w:szCs w:val="28"/>
        </w:rPr>
        <w:t>Salinity</w:t>
      </w:r>
    </w:p>
    <w:p w14:paraId="54E5367C" w14:textId="402948A8" w:rsidR="00734782" w:rsidRPr="00C70D93" w:rsidRDefault="00734782" w:rsidP="00C70D93">
      <w:r w:rsidRPr="00C70D93">
        <w:t xml:space="preserve">One </w:t>
      </w:r>
      <w:r w:rsidR="00404425">
        <w:t>6</w:t>
      </w:r>
      <w:r w:rsidRPr="00C70D93">
        <w:t>0 mL plastic vial</w:t>
      </w:r>
    </w:p>
    <w:p w14:paraId="091D26AB" w14:textId="77777777" w:rsidR="00734782" w:rsidRPr="00DD17C3" w:rsidRDefault="00734782" w:rsidP="00734782">
      <w:pPr>
        <w:rPr>
          <w:i/>
        </w:rPr>
      </w:pPr>
      <w:r w:rsidRPr="00DD17C3">
        <w:rPr>
          <w:i/>
        </w:rPr>
        <w:t xml:space="preserve">Filtering </w:t>
      </w:r>
      <w:r>
        <w:rPr>
          <w:i/>
        </w:rPr>
        <w:t>NOT</w:t>
      </w:r>
      <w:r w:rsidRPr="00DD17C3">
        <w:rPr>
          <w:i/>
        </w:rPr>
        <w:t xml:space="preserve"> Required</w:t>
      </w:r>
    </w:p>
    <w:p w14:paraId="501C9214" w14:textId="31C1382C" w:rsidR="00734782" w:rsidRDefault="00734782" w:rsidP="00734782">
      <w:pPr>
        <w:numPr>
          <w:ilvl w:val="0"/>
          <w:numId w:val="169"/>
        </w:numPr>
        <w:tabs>
          <w:tab w:val="clear" w:pos="720"/>
        </w:tabs>
        <w:spacing w:before="60" w:after="60" w:line="240" w:lineRule="auto"/>
        <w:ind w:left="340" w:hanging="340"/>
      </w:pPr>
      <w:r>
        <w:t>Sample is c</w:t>
      </w:r>
      <w:r w:rsidRPr="00DD17C3">
        <w:t xml:space="preserve">ollected from the </w:t>
      </w:r>
      <w:r w:rsidR="00404425">
        <w:t>10 L container</w:t>
      </w:r>
      <w:r w:rsidRPr="00DD17C3">
        <w:t xml:space="preserve"> using sterile 60 mL syringes</w:t>
      </w:r>
      <w:r w:rsidR="00404425">
        <w:t>.</w:t>
      </w:r>
    </w:p>
    <w:p w14:paraId="45E43CAD" w14:textId="5C94C88C" w:rsidR="00734782" w:rsidRPr="00C70D93" w:rsidRDefault="00684DA3" w:rsidP="00734782">
      <w:pPr>
        <w:numPr>
          <w:ilvl w:val="0"/>
          <w:numId w:val="169"/>
        </w:numPr>
        <w:tabs>
          <w:tab w:val="clear" w:pos="720"/>
        </w:tabs>
        <w:spacing w:before="60" w:after="60" w:line="240" w:lineRule="auto"/>
        <w:ind w:left="340" w:hanging="340"/>
        <w:rPr>
          <w:rFonts w:eastAsia="Calibri" w:cs="Arial"/>
        </w:rPr>
      </w:pPr>
      <w:r>
        <w:t>R</w:t>
      </w:r>
      <w:r w:rsidRPr="0031675F">
        <w:t xml:space="preserve">inse </w:t>
      </w:r>
      <w:r w:rsidRPr="00E569A1">
        <w:rPr>
          <w:u w:val="single"/>
        </w:rPr>
        <w:t>syringe</w:t>
      </w:r>
      <w:r w:rsidRPr="0031675F">
        <w:t xml:space="preserve"> </w:t>
      </w:r>
      <w:r w:rsidR="00404425">
        <w:t>at least once</w:t>
      </w:r>
      <w:r w:rsidRPr="0031675F">
        <w:t xml:space="preserve"> with the water to be sampled.</w:t>
      </w:r>
    </w:p>
    <w:p w14:paraId="2E128817" w14:textId="52DE9786" w:rsidR="00684DA3" w:rsidRDefault="00684DA3" w:rsidP="00734782">
      <w:pPr>
        <w:numPr>
          <w:ilvl w:val="0"/>
          <w:numId w:val="169"/>
        </w:numPr>
        <w:tabs>
          <w:tab w:val="clear" w:pos="720"/>
        </w:tabs>
        <w:spacing w:before="60" w:after="60" w:line="240" w:lineRule="auto"/>
        <w:ind w:left="340" w:hanging="340"/>
        <w:rPr>
          <w:rFonts w:eastAsia="Calibri" w:cs="Arial"/>
        </w:rPr>
      </w:pPr>
      <w:r w:rsidRPr="003003D8">
        <w:rPr>
          <w:rFonts w:eastAsia="Calibri" w:cs="Arial"/>
        </w:rPr>
        <w:t xml:space="preserve">Fill the syringe with water from the </w:t>
      </w:r>
      <w:r w:rsidR="00404425">
        <w:rPr>
          <w:rFonts w:eastAsia="Calibri" w:cs="Arial"/>
        </w:rPr>
        <w:t>10 L container</w:t>
      </w:r>
      <w:r>
        <w:rPr>
          <w:rFonts w:eastAsia="Calibri" w:cs="Arial"/>
        </w:rPr>
        <w:t xml:space="preserve"> and fill the vial to just below the line.</w:t>
      </w:r>
    </w:p>
    <w:p w14:paraId="74CEC332" w14:textId="77777777" w:rsidR="00910320" w:rsidRDefault="00910320" w:rsidP="00C70D93"/>
    <w:p w14:paraId="4588F892" w14:textId="1A9F856F" w:rsidR="00734782" w:rsidRPr="00C70D93" w:rsidRDefault="00734782" w:rsidP="00C70D93">
      <w:pPr>
        <w:shd w:val="clear" w:color="auto" w:fill="D9D9D9"/>
        <w:rPr>
          <w:b/>
          <w:sz w:val="28"/>
          <w:szCs w:val="28"/>
        </w:rPr>
      </w:pPr>
      <w:r w:rsidRPr="00C70D93">
        <w:rPr>
          <w:b/>
          <w:sz w:val="28"/>
          <w:szCs w:val="28"/>
        </w:rPr>
        <w:t>Pesticide sampling</w:t>
      </w:r>
    </w:p>
    <w:p w14:paraId="0D6ED1EF" w14:textId="545F6008" w:rsidR="00910320" w:rsidRPr="00C70D93" w:rsidRDefault="00910320" w:rsidP="00C70D93">
      <w:r w:rsidRPr="00C70D93">
        <w:t>One 250 mL or 1</w:t>
      </w:r>
      <w:r w:rsidR="00404425">
        <w:t xml:space="preserve"> </w:t>
      </w:r>
      <w:r w:rsidRPr="00C70D93">
        <w:t>L amber glass bottle (obtained from Queensland Health laboratory)</w:t>
      </w:r>
    </w:p>
    <w:p w14:paraId="017105D4" w14:textId="77777777" w:rsidR="00910320" w:rsidRPr="00DD17C3" w:rsidRDefault="00910320" w:rsidP="00910320">
      <w:pPr>
        <w:rPr>
          <w:i/>
        </w:rPr>
      </w:pPr>
      <w:r w:rsidRPr="00DD17C3">
        <w:rPr>
          <w:i/>
        </w:rPr>
        <w:t xml:space="preserve">Filtering </w:t>
      </w:r>
      <w:r>
        <w:rPr>
          <w:i/>
        </w:rPr>
        <w:t>NOT</w:t>
      </w:r>
      <w:r w:rsidRPr="00DD17C3">
        <w:rPr>
          <w:i/>
        </w:rPr>
        <w:t xml:space="preserve"> Required</w:t>
      </w:r>
    </w:p>
    <w:p w14:paraId="4494B1E7" w14:textId="77777777" w:rsidR="00910320" w:rsidRPr="00DD17C3" w:rsidRDefault="00910320" w:rsidP="00910320">
      <w:pPr>
        <w:numPr>
          <w:ilvl w:val="0"/>
          <w:numId w:val="23"/>
        </w:numPr>
        <w:spacing w:before="60" w:after="60" w:line="240" w:lineRule="auto"/>
        <w:rPr>
          <w:bCs/>
        </w:rPr>
      </w:pPr>
      <w:r w:rsidRPr="00DD17C3">
        <w:rPr>
          <w:bCs/>
        </w:rPr>
        <w:t xml:space="preserve">Sample is collected directly in-situ over the side of the boat or extended pole sample collection bottle. </w:t>
      </w:r>
    </w:p>
    <w:p w14:paraId="5DDCD57A" w14:textId="0D241EB0" w:rsidR="00734782" w:rsidRPr="00734782" w:rsidRDefault="00734782" w:rsidP="00734782">
      <w:pPr>
        <w:numPr>
          <w:ilvl w:val="0"/>
          <w:numId w:val="23"/>
        </w:numPr>
        <w:spacing w:before="0" w:after="160" w:line="259" w:lineRule="auto"/>
        <w:contextualSpacing/>
        <w:rPr>
          <w:rFonts w:eastAsia="Calibri"/>
        </w:rPr>
      </w:pPr>
      <w:r w:rsidRPr="00734782">
        <w:rPr>
          <w:rFonts w:eastAsia="Calibri"/>
        </w:rPr>
        <w:t>Do not rinse bottles</w:t>
      </w:r>
      <w:r w:rsidR="00910320">
        <w:rPr>
          <w:rFonts w:eastAsia="Calibri"/>
        </w:rPr>
        <w:t>. Fill</w:t>
      </w:r>
      <w:r w:rsidRPr="00734782">
        <w:rPr>
          <w:rFonts w:eastAsia="Calibri"/>
        </w:rPr>
        <w:t xml:space="preserve"> them to the neck of the bottle leaving an air gap.</w:t>
      </w:r>
    </w:p>
    <w:p w14:paraId="3F231EC0" w14:textId="26ADFA39" w:rsidR="00734782" w:rsidRPr="00910320" w:rsidRDefault="00910320" w:rsidP="00910320">
      <w:pPr>
        <w:numPr>
          <w:ilvl w:val="0"/>
          <w:numId w:val="23"/>
        </w:numPr>
        <w:spacing w:before="0" w:after="160" w:line="259" w:lineRule="auto"/>
        <w:contextualSpacing/>
        <w:rPr>
          <w:rFonts w:eastAsia="Calibri" w:cs="Arial"/>
        </w:rPr>
      </w:pPr>
      <w:r w:rsidRPr="00910320">
        <w:rPr>
          <w:rFonts w:eastAsia="Calibri"/>
        </w:rPr>
        <w:t>Immediately p</w:t>
      </w:r>
      <w:r w:rsidR="00734782" w:rsidRPr="00910320">
        <w:rPr>
          <w:rFonts w:eastAsia="Calibri"/>
        </w:rPr>
        <w:t xml:space="preserve">lace samples </w:t>
      </w:r>
      <w:r w:rsidRPr="00910320">
        <w:rPr>
          <w:rFonts w:eastAsia="Calibri"/>
        </w:rPr>
        <w:t xml:space="preserve">in an esky on ice until being returned to laboratory. </w:t>
      </w:r>
      <w:r>
        <w:rPr>
          <w:rFonts w:eastAsia="Calibri"/>
        </w:rPr>
        <w:t xml:space="preserve">Samples should be refrigerated if not transported immediately. </w:t>
      </w:r>
      <w:r w:rsidR="00734782" w:rsidRPr="00910320">
        <w:rPr>
          <w:rFonts w:eastAsia="Calibri" w:cs="Arial"/>
        </w:rPr>
        <w:t>Do not freeze the bottles.</w:t>
      </w:r>
    </w:p>
    <w:p w14:paraId="415F897C" w14:textId="77777777" w:rsidR="00734782" w:rsidRPr="00734782" w:rsidRDefault="00734782" w:rsidP="00734782">
      <w:pPr>
        <w:spacing w:before="0" w:after="160" w:line="259" w:lineRule="auto"/>
        <w:rPr>
          <w:rFonts w:ascii="Calibri" w:eastAsia="Calibri" w:hAnsi="Calibri"/>
        </w:rPr>
      </w:pPr>
    </w:p>
    <w:p w14:paraId="3D97AB71" w14:textId="77777777" w:rsidR="0031675F" w:rsidRPr="0031675F" w:rsidRDefault="0031675F" w:rsidP="0031675F"/>
    <w:p w14:paraId="7E98F513" w14:textId="77777777" w:rsidR="0031675F" w:rsidRPr="0031675F" w:rsidRDefault="0031675F" w:rsidP="0031675F"/>
    <w:p w14:paraId="4CFED0BD" w14:textId="77777777" w:rsidR="0031675F" w:rsidRPr="0031675F" w:rsidRDefault="0031675F" w:rsidP="0031675F">
      <w:pPr>
        <w:sectPr w:rsidR="0031675F" w:rsidRPr="0031675F" w:rsidSect="00084431">
          <w:headerReference w:type="default" r:id="rId192"/>
          <w:footerReference w:type="default" r:id="rId193"/>
          <w:pgSz w:w="11907" w:h="16840" w:code="9"/>
          <w:pgMar w:top="1418" w:right="1418" w:bottom="1418" w:left="1418" w:header="708" w:footer="708" w:gutter="0"/>
          <w:cols w:space="708"/>
          <w:docGrid w:linePitch="360"/>
        </w:sectPr>
      </w:pPr>
    </w:p>
    <w:p w14:paraId="48C52AEC" w14:textId="60ECF02B" w:rsidR="00374388" w:rsidRDefault="00374388" w:rsidP="00CA621B">
      <w:pPr>
        <w:pStyle w:val="Heading2"/>
        <w:numPr>
          <w:ilvl w:val="0"/>
          <w:numId w:val="0"/>
        </w:numPr>
        <w:ind w:left="284"/>
        <w:jc w:val="center"/>
      </w:pPr>
      <w:bookmarkStart w:id="753" w:name="_Toc12365642"/>
      <w:r w:rsidRPr="0031675F">
        <w:t>Appendix</w:t>
      </w:r>
      <w:r w:rsidRPr="0031675F">
        <w:rPr>
          <w:spacing w:val="-14"/>
        </w:rPr>
        <w:t xml:space="preserve"> </w:t>
      </w:r>
      <w:r w:rsidRPr="0031675F">
        <w:t>B</w:t>
      </w:r>
      <w:r>
        <w:t xml:space="preserve">2 </w:t>
      </w:r>
      <w:r w:rsidRPr="00374388">
        <w:t>TropWater Water Sampling Field Sheet - Example</w:t>
      </w:r>
      <w:bookmarkEnd w:id="753"/>
    </w:p>
    <w:p w14:paraId="59BCC67B" w14:textId="6985872C" w:rsidR="0031675F" w:rsidRPr="0031675F" w:rsidRDefault="0031675F" w:rsidP="0031675F">
      <w:pPr>
        <w:jc w:val="center"/>
        <w:rPr>
          <w:b/>
          <w:sz w:val="36"/>
          <w:szCs w:val="36"/>
        </w:rPr>
      </w:pPr>
    </w:p>
    <w:p w14:paraId="3A174090" w14:textId="77777777" w:rsidR="0031675F" w:rsidRPr="0031675F" w:rsidRDefault="0031675F" w:rsidP="0031675F">
      <w:pPr>
        <w:jc w:val="center"/>
      </w:pPr>
    </w:p>
    <w:p w14:paraId="2914B306" w14:textId="77777777" w:rsidR="0031675F" w:rsidRPr="0031675F" w:rsidRDefault="0031675F" w:rsidP="0031675F">
      <w:pPr>
        <w:jc w:val="center"/>
      </w:pPr>
    </w:p>
    <w:p w14:paraId="1A24B770" w14:textId="77777777" w:rsidR="0031675F" w:rsidRPr="0031675F" w:rsidRDefault="0031675F" w:rsidP="0031675F">
      <w:pPr>
        <w:jc w:val="center"/>
      </w:pPr>
      <w:r w:rsidRPr="0031675F">
        <w:rPr>
          <w:noProof/>
          <w:lang w:eastAsia="en-AU"/>
        </w:rPr>
        <w:drawing>
          <wp:inline distT="0" distB="0" distL="0" distR="0" wp14:anchorId="6E231B52" wp14:editId="53DC04D6">
            <wp:extent cx="2291715" cy="1401445"/>
            <wp:effectExtent l="0" t="0" r="0" b="8255"/>
            <wp:docPr id="158" name="Picture 158"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88" r:link="rId189">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0D9DF764" w14:textId="77777777" w:rsidR="0031675F" w:rsidRPr="0031675F" w:rsidRDefault="0031675F" w:rsidP="0031675F">
      <w:pPr>
        <w:jc w:val="center"/>
      </w:pPr>
    </w:p>
    <w:p w14:paraId="0028778C" w14:textId="77777777" w:rsidR="0031675F" w:rsidRPr="0031675F" w:rsidRDefault="0031675F" w:rsidP="0031675F">
      <w:pPr>
        <w:jc w:val="center"/>
      </w:pPr>
    </w:p>
    <w:p w14:paraId="2B7EDC86" w14:textId="77777777" w:rsidR="0031675F" w:rsidRPr="0031675F" w:rsidRDefault="0031675F" w:rsidP="0031675F">
      <w:pPr>
        <w:jc w:val="center"/>
        <w:rPr>
          <w:rFonts w:cs="Arial"/>
        </w:rPr>
      </w:pPr>
    </w:p>
    <w:p w14:paraId="3CDED008" w14:textId="77777777" w:rsidR="0031675F" w:rsidRPr="0031675F" w:rsidRDefault="0031675F" w:rsidP="0031675F">
      <w:pPr>
        <w:jc w:val="center"/>
      </w:pPr>
    </w:p>
    <w:p w14:paraId="4ADF927B" w14:textId="77777777" w:rsidR="0031675F" w:rsidRPr="0031675F" w:rsidRDefault="0031675F" w:rsidP="0031675F"/>
    <w:p w14:paraId="7E034EC6" w14:textId="77777777" w:rsidR="0031675F" w:rsidRPr="0031675F" w:rsidRDefault="0031675F" w:rsidP="0031675F">
      <w:pPr>
        <w:sectPr w:rsidR="0031675F" w:rsidRPr="0031675F" w:rsidSect="00084431">
          <w:footerReference w:type="default" r:id="rId194"/>
          <w:pgSz w:w="11907" w:h="16840" w:code="9"/>
          <w:pgMar w:top="1418" w:right="1418" w:bottom="1418" w:left="1418" w:header="709" w:footer="709" w:gutter="0"/>
          <w:cols w:space="708"/>
          <w:vAlign w:val="center"/>
          <w:docGrid w:linePitch="360"/>
        </w:sectPr>
      </w:pPr>
    </w:p>
    <w:tbl>
      <w:tblPr>
        <w:tblW w:w="14005" w:type="dxa"/>
        <w:jc w:val="center"/>
        <w:tblLayout w:type="fixed"/>
        <w:tblLook w:val="04A0" w:firstRow="1" w:lastRow="0" w:firstColumn="1" w:lastColumn="0" w:noHBand="0" w:noVBand="1"/>
      </w:tblPr>
      <w:tblGrid>
        <w:gridCol w:w="1405"/>
        <w:gridCol w:w="972"/>
        <w:gridCol w:w="1022"/>
        <w:gridCol w:w="872"/>
        <w:gridCol w:w="622"/>
        <w:gridCol w:w="589"/>
        <w:gridCol w:w="639"/>
        <w:gridCol w:w="689"/>
        <w:gridCol w:w="572"/>
        <w:gridCol w:w="506"/>
        <w:gridCol w:w="423"/>
        <w:gridCol w:w="572"/>
        <w:gridCol w:w="656"/>
        <w:gridCol w:w="606"/>
        <w:gridCol w:w="1420"/>
        <w:gridCol w:w="406"/>
        <w:gridCol w:w="406"/>
        <w:gridCol w:w="406"/>
        <w:gridCol w:w="1222"/>
      </w:tblGrid>
      <w:tr w:rsidR="0031675F" w:rsidRPr="0031675F" w14:paraId="10AA3DA7" w14:textId="77777777" w:rsidTr="00B00729">
        <w:trPr>
          <w:trHeight w:val="315"/>
          <w:jc w:val="center"/>
        </w:trPr>
        <w:tc>
          <w:tcPr>
            <w:tcW w:w="1405" w:type="dxa"/>
            <w:tcBorders>
              <w:top w:val="nil"/>
              <w:left w:val="nil"/>
              <w:bottom w:val="nil"/>
              <w:right w:val="nil"/>
            </w:tcBorders>
            <w:shd w:val="clear" w:color="auto" w:fill="auto"/>
            <w:noWrap/>
            <w:vAlign w:val="bottom"/>
            <w:hideMark/>
          </w:tcPr>
          <w:p w14:paraId="5FF1F6D1"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Date</w:t>
            </w:r>
          </w:p>
        </w:tc>
        <w:tc>
          <w:tcPr>
            <w:tcW w:w="972" w:type="dxa"/>
            <w:tcBorders>
              <w:top w:val="nil"/>
              <w:left w:val="nil"/>
              <w:bottom w:val="single" w:sz="4" w:space="0" w:color="auto"/>
              <w:right w:val="nil"/>
            </w:tcBorders>
            <w:shd w:val="clear" w:color="auto" w:fill="auto"/>
            <w:noWrap/>
            <w:vAlign w:val="bottom"/>
            <w:hideMark/>
          </w:tcPr>
          <w:p w14:paraId="6096978D"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 </w:t>
            </w:r>
          </w:p>
        </w:tc>
        <w:tc>
          <w:tcPr>
            <w:tcW w:w="1022" w:type="dxa"/>
            <w:tcBorders>
              <w:top w:val="nil"/>
              <w:left w:val="nil"/>
              <w:bottom w:val="single" w:sz="4" w:space="0" w:color="auto"/>
              <w:right w:val="nil"/>
            </w:tcBorders>
            <w:shd w:val="clear" w:color="auto" w:fill="auto"/>
            <w:noWrap/>
            <w:vAlign w:val="bottom"/>
            <w:hideMark/>
          </w:tcPr>
          <w:p w14:paraId="0C40DE15"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 </w:t>
            </w:r>
          </w:p>
        </w:tc>
        <w:tc>
          <w:tcPr>
            <w:tcW w:w="872" w:type="dxa"/>
            <w:tcBorders>
              <w:top w:val="nil"/>
              <w:left w:val="nil"/>
              <w:bottom w:val="single" w:sz="4" w:space="0" w:color="auto"/>
              <w:right w:val="nil"/>
            </w:tcBorders>
            <w:shd w:val="clear" w:color="auto" w:fill="auto"/>
            <w:noWrap/>
            <w:vAlign w:val="bottom"/>
            <w:hideMark/>
          </w:tcPr>
          <w:p w14:paraId="2F9487A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nil"/>
              <w:left w:val="nil"/>
              <w:bottom w:val="single" w:sz="4" w:space="0" w:color="auto"/>
              <w:right w:val="nil"/>
            </w:tcBorders>
            <w:shd w:val="clear" w:color="auto" w:fill="auto"/>
            <w:noWrap/>
            <w:vAlign w:val="bottom"/>
            <w:hideMark/>
          </w:tcPr>
          <w:p w14:paraId="7024B1B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nil"/>
              <w:left w:val="nil"/>
              <w:bottom w:val="single" w:sz="4" w:space="0" w:color="auto"/>
              <w:right w:val="nil"/>
            </w:tcBorders>
            <w:shd w:val="clear" w:color="auto" w:fill="auto"/>
            <w:noWrap/>
            <w:vAlign w:val="bottom"/>
            <w:hideMark/>
          </w:tcPr>
          <w:p w14:paraId="4AC36F9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nil"/>
              <w:left w:val="nil"/>
              <w:bottom w:val="nil"/>
              <w:right w:val="nil"/>
            </w:tcBorders>
            <w:shd w:val="clear" w:color="auto" w:fill="auto"/>
            <w:noWrap/>
            <w:vAlign w:val="bottom"/>
            <w:hideMark/>
          </w:tcPr>
          <w:p w14:paraId="469D8651" w14:textId="77777777" w:rsidR="0031675F" w:rsidRPr="0031675F" w:rsidRDefault="0031675F" w:rsidP="0031675F">
            <w:pPr>
              <w:spacing w:before="40" w:after="40"/>
              <w:rPr>
                <w:rFonts w:cs="Arial"/>
                <w:sz w:val="18"/>
                <w:szCs w:val="18"/>
                <w:lang w:val="en-US"/>
              </w:rPr>
            </w:pPr>
          </w:p>
        </w:tc>
        <w:tc>
          <w:tcPr>
            <w:tcW w:w="689" w:type="dxa"/>
            <w:tcBorders>
              <w:top w:val="nil"/>
              <w:left w:val="nil"/>
              <w:bottom w:val="nil"/>
              <w:right w:val="nil"/>
            </w:tcBorders>
            <w:shd w:val="clear" w:color="auto" w:fill="auto"/>
            <w:noWrap/>
            <w:vAlign w:val="bottom"/>
            <w:hideMark/>
          </w:tcPr>
          <w:p w14:paraId="2436B8AE" w14:textId="77777777" w:rsidR="0031675F" w:rsidRPr="0031675F" w:rsidRDefault="0031675F" w:rsidP="0031675F">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6257AA39" w14:textId="77777777" w:rsidR="0031675F" w:rsidRPr="0031675F" w:rsidRDefault="0031675F" w:rsidP="0031675F">
            <w:pPr>
              <w:spacing w:before="40" w:after="40"/>
              <w:rPr>
                <w:rFonts w:cs="Arial"/>
                <w:sz w:val="18"/>
                <w:szCs w:val="18"/>
                <w:lang w:val="en-US"/>
              </w:rPr>
            </w:pPr>
          </w:p>
        </w:tc>
        <w:tc>
          <w:tcPr>
            <w:tcW w:w="506" w:type="dxa"/>
            <w:tcBorders>
              <w:top w:val="nil"/>
              <w:left w:val="nil"/>
              <w:bottom w:val="nil"/>
              <w:right w:val="nil"/>
            </w:tcBorders>
            <w:shd w:val="clear" w:color="auto" w:fill="auto"/>
            <w:noWrap/>
            <w:vAlign w:val="bottom"/>
            <w:hideMark/>
          </w:tcPr>
          <w:p w14:paraId="582A43B1" w14:textId="77777777" w:rsidR="0031675F" w:rsidRPr="0031675F" w:rsidRDefault="0031675F" w:rsidP="0031675F">
            <w:pPr>
              <w:spacing w:before="40" w:after="40"/>
              <w:rPr>
                <w:rFonts w:cs="Arial"/>
                <w:sz w:val="18"/>
                <w:szCs w:val="18"/>
                <w:lang w:val="en-US"/>
              </w:rPr>
            </w:pPr>
          </w:p>
        </w:tc>
        <w:tc>
          <w:tcPr>
            <w:tcW w:w="423" w:type="dxa"/>
            <w:tcBorders>
              <w:top w:val="nil"/>
              <w:left w:val="nil"/>
              <w:bottom w:val="nil"/>
              <w:right w:val="nil"/>
            </w:tcBorders>
            <w:shd w:val="clear" w:color="auto" w:fill="auto"/>
            <w:noWrap/>
            <w:vAlign w:val="bottom"/>
            <w:hideMark/>
          </w:tcPr>
          <w:p w14:paraId="6873C839" w14:textId="77777777" w:rsidR="0031675F" w:rsidRPr="0031675F" w:rsidRDefault="0031675F" w:rsidP="0031675F">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3CD51444" w14:textId="77777777" w:rsidR="0031675F" w:rsidRPr="0031675F" w:rsidRDefault="0031675F" w:rsidP="0031675F">
            <w:pPr>
              <w:spacing w:before="40" w:after="40"/>
              <w:rPr>
                <w:rFonts w:cs="Arial"/>
                <w:sz w:val="18"/>
                <w:szCs w:val="18"/>
                <w:lang w:val="en-US"/>
              </w:rPr>
            </w:pPr>
          </w:p>
        </w:tc>
        <w:tc>
          <w:tcPr>
            <w:tcW w:w="656" w:type="dxa"/>
            <w:tcBorders>
              <w:top w:val="nil"/>
              <w:left w:val="nil"/>
              <w:bottom w:val="nil"/>
              <w:right w:val="nil"/>
            </w:tcBorders>
            <w:shd w:val="clear" w:color="auto" w:fill="auto"/>
            <w:noWrap/>
            <w:vAlign w:val="bottom"/>
            <w:hideMark/>
          </w:tcPr>
          <w:p w14:paraId="55773B36" w14:textId="77777777" w:rsidR="0031675F" w:rsidRPr="0031675F" w:rsidRDefault="0031675F" w:rsidP="0031675F">
            <w:pPr>
              <w:spacing w:before="40" w:after="40"/>
              <w:rPr>
                <w:rFonts w:cs="Arial"/>
                <w:sz w:val="18"/>
                <w:szCs w:val="18"/>
                <w:lang w:val="en-US"/>
              </w:rPr>
            </w:pPr>
          </w:p>
        </w:tc>
        <w:tc>
          <w:tcPr>
            <w:tcW w:w="606" w:type="dxa"/>
            <w:tcBorders>
              <w:top w:val="nil"/>
              <w:left w:val="nil"/>
              <w:bottom w:val="nil"/>
              <w:right w:val="nil"/>
            </w:tcBorders>
            <w:shd w:val="clear" w:color="auto" w:fill="auto"/>
            <w:noWrap/>
            <w:vAlign w:val="bottom"/>
            <w:hideMark/>
          </w:tcPr>
          <w:p w14:paraId="5A275D88" w14:textId="77777777" w:rsidR="0031675F" w:rsidRPr="0031675F" w:rsidRDefault="0031675F" w:rsidP="0031675F">
            <w:pPr>
              <w:spacing w:before="40" w:after="40"/>
              <w:rPr>
                <w:rFonts w:cs="Arial"/>
                <w:sz w:val="18"/>
                <w:szCs w:val="18"/>
                <w:lang w:val="en-US"/>
              </w:rPr>
            </w:pPr>
          </w:p>
        </w:tc>
        <w:tc>
          <w:tcPr>
            <w:tcW w:w="1420" w:type="dxa"/>
            <w:tcBorders>
              <w:top w:val="nil"/>
              <w:left w:val="nil"/>
              <w:bottom w:val="nil"/>
              <w:right w:val="nil"/>
            </w:tcBorders>
            <w:shd w:val="clear" w:color="auto" w:fill="auto"/>
            <w:noWrap/>
            <w:vAlign w:val="bottom"/>
            <w:hideMark/>
          </w:tcPr>
          <w:p w14:paraId="333C1F38"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24868801"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581C4DFA"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50E851D3" w14:textId="77777777" w:rsidR="0031675F" w:rsidRPr="0031675F" w:rsidRDefault="0031675F" w:rsidP="0031675F">
            <w:pPr>
              <w:spacing w:before="40" w:after="40"/>
              <w:rPr>
                <w:rFonts w:cs="Arial"/>
                <w:sz w:val="18"/>
                <w:szCs w:val="18"/>
                <w:lang w:val="en-US"/>
              </w:rPr>
            </w:pPr>
          </w:p>
        </w:tc>
        <w:tc>
          <w:tcPr>
            <w:tcW w:w="1222" w:type="dxa"/>
            <w:tcBorders>
              <w:top w:val="nil"/>
              <w:left w:val="nil"/>
              <w:bottom w:val="nil"/>
              <w:right w:val="nil"/>
            </w:tcBorders>
            <w:shd w:val="clear" w:color="auto" w:fill="auto"/>
            <w:noWrap/>
            <w:vAlign w:val="bottom"/>
            <w:hideMark/>
          </w:tcPr>
          <w:p w14:paraId="7B97FBF7" w14:textId="77777777" w:rsidR="0031675F" w:rsidRPr="0031675F" w:rsidRDefault="0031675F" w:rsidP="0031675F">
            <w:pPr>
              <w:spacing w:before="40" w:after="40"/>
              <w:rPr>
                <w:rFonts w:cs="Arial"/>
                <w:sz w:val="18"/>
                <w:szCs w:val="18"/>
                <w:lang w:val="en-US"/>
              </w:rPr>
            </w:pPr>
          </w:p>
        </w:tc>
      </w:tr>
      <w:tr w:rsidR="0031675F" w:rsidRPr="0031675F" w14:paraId="37ED48C1" w14:textId="77777777" w:rsidTr="00B00729">
        <w:trPr>
          <w:trHeight w:val="315"/>
          <w:jc w:val="center"/>
        </w:trPr>
        <w:tc>
          <w:tcPr>
            <w:tcW w:w="1405" w:type="dxa"/>
            <w:tcBorders>
              <w:top w:val="nil"/>
              <w:left w:val="nil"/>
              <w:bottom w:val="nil"/>
              <w:right w:val="nil"/>
            </w:tcBorders>
            <w:shd w:val="clear" w:color="auto" w:fill="auto"/>
            <w:noWrap/>
            <w:vAlign w:val="bottom"/>
            <w:hideMark/>
          </w:tcPr>
          <w:p w14:paraId="6E0BDA26"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Samplers</w:t>
            </w:r>
          </w:p>
        </w:tc>
        <w:tc>
          <w:tcPr>
            <w:tcW w:w="972" w:type="dxa"/>
            <w:tcBorders>
              <w:top w:val="nil"/>
              <w:left w:val="nil"/>
              <w:bottom w:val="single" w:sz="4" w:space="0" w:color="auto"/>
              <w:right w:val="nil"/>
            </w:tcBorders>
            <w:shd w:val="clear" w:color="auto" w:fill="auto"/>
            <w:noWrap/>
            <w:vAlign w:val="bottom"/>
            <w:hideMark/>
          </w:tcPr>
          <w:p w14:paraId="57BCE3A2"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 </w:t>
            </w:r>
          </w:p>
        </w:tc>
        <w:tc>
          <w:tcPr>
            <w:tcW w:w="1022" w:type="dxa"/>
            <w:tcBorders>
              <w:top w:val="nil"/>
              <w:left w:val="nil"/>
              <w:bottom w:val="single" w:sz="4" w:space="0" w:color="auto"/>
              <w:right w:val="nil"/>
            </w:tcBorders>
            <w:shd w:val="clear" w:color="auto" w:fill="auto"/>
            <w:noWrap/>
            <w:vAlign w:val="bottom"/>
            <w:hideMark/>
          </w:tcPr>
          <w:p w14:paraId="04759333"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 </w:t>
            </w:r>
          </w:p>
        </w:tc>
        <w:tc>
          <w:tcPr>
            <w:tcW w:w="872" w:type="dxa"/>
            <w:tcBorders>
              <w:top w:val="nil"/>
              <w:left w:val="nil"/>
              <w:bottom w:val="single" w:sz="4" w:space="0" w:color="auto"/>
              <w:right w:val="nil"/>
            </w:tcBorders>
            <w:shd w:val="clear" w:color="auto" w:fill="auto"/>
            <w:noWrap/>
            <w:vAlign w:val="bottom"/>
            <w:hideMark/>
          </w:tcPr>
          <w:p w14:paraId="2D9CBAB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nil"/>
              <w:left w:val="nil"/>
              <w:bottom w:val="single" w:sz="4" w:space="0" w:color="auto"/>
              <w:right w:val="nil"/>
            </w:tcBorders>
            <w:shd w:val="clear" w:color="auto" w:fill="auto"/>
            <w:noWrap/>
            <w:vAlign w:val="bottom"/>
            <w:hideMark/>
          </w:tcPr>
          <w:p w14:paraId="70B4826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nil"/>
              <w:left w:val="nil"/>
              <w:bottom w:val="single" w:sz="4" w:space="0" w:color="auto"/>
              <w:right w:val="nil"/>
            </w:tcBorders>
            <w:shd w:val="clear" w:color="auto" w:fill="auto"/>
            <w:noWrap/>
            <w:vAlign w:val="bottom"/>
            <w:hideMark/>
          </w:tcPr>
          <w:p w14:paraId="57FBADE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nil"/>
              <w:left w:val="nil"/>
              <w:bottom w:val="nil"/>
              <w:right w:val="nil"/>
            </w:tcBorders>
            <w:shd w:val="clear" w:color="auto" w:fill="auto"/>
            <w:noWrap/>
            <w:vAlign w:val="bottom"/>
            <w:hideMark/>
          </w:tcPr>
          <w:p w14:paraId="6D4AE30F" w14:textId="77777777" w:rsidR="0031675F" w:rsidRPr="0031675F" w:rsidRDefault="0031675F" w:rsidP="0031675F">
            <w:pPr>
              <w:spacing w:before="40" w:after="40"/>
              <w:rPr>
                <w:rFonts w:cs="Arial"/>
                <w:sz w:val="18"/>
                <w:szCs w:val="18"/>
                <w:lang w:val="en-US"/>
              </w:rPr>
            </w:pPr>
          </w:p>
        </w:tc>
        <w:tc>
          <w:tcPr>
            <w:tcW w:w="689" w:type="dxa"/>
            <w:tcBorders>
              <w:top w:val="nil"/>
              <w:left w:val="nil"/>
              <w:bottom w:val="nil"/>
              <w:right w:val="nil"/>
            </w:tcBorders>
            <w:shd w:val="clear" w:color="auto" w:fill="auto"/>
            <w:noWrap/>
            <w:vAlign w:val="bottom"/>
            <w:hideMark/>
          </w:tcPr>
          <w:p w14:paraId="6CF5B17B" w14:textId="77777777" w:rsidR="0031675F" w:rsidRPr="0031675F" w:rsidRDefault="0031675F" w:rsidP="0031675F">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28A69F6A" w14:textId="77777777" w:rsidR="0031675F" w:rsidRPr="0031675F" w:rsidRDefault="0031675F" w:rsidP="0031675F">
            <w:pPr>
              <w:spacing w:before="40" w:after="40"/>
              <w:rPr>
                <w:rFonts w:cs="Arial"/>
                <w:sz w:val="18"/>
                <w:szCs w:val="18"/>
                <w:lang w:val="en-US"/>
              </w:rPr>
            </w:pPr>
          </w:p>
        </w:tc>
        <w:tc>
          <w:tcPr>
            <w:tcW w:w="506" w:type="dxa"/>
            <w:tcBorders>
              <w:top w:val="nil"/>
              <w:left w:val="nil"/>
              <w:bottom w:val="nil"/>
              <w:right w:val="nil"/>
            </w:tcBorders>
            <w:shd w:val="clear" w:color="auto" w:fill="auto"/>
            <w:noWrap/>
            <w:vAlign w:val="bottom"/>
            <w:hideMark/>
          </w:tcPr>
          <w:p w14:paraId="1B3E765C" w14:textId="77777777" w:rsidR="0031675F" w:rsidRPr="0031675F" w:rsidRDefault="0031675F" w:rsidP="0031675F">
            <w:pPr>
              <w:spacing w:before="40" w:after="40"/>
              <w:rPr>
                <w:rFonts w:cs="Arial"/>
                <w:sz w:val="18"/>
                <w:szCs w:val="18"/>
                <w:lang w:val="en-US"/>
              </w:rPr>
            </w:pPr>
          </w:p>
        </w:tc>
        <w:tc>
          <w:tcPr>
            <w:tcW w:w="423" w:type="dxa"/>
            <w:tcBorders>
              <w:top w:val="nil"/>
              <w:left w:val="nil"/>
              <w:bottom w:val="nil"/>
              <w:right w:val="nil"/>
            </w:tcBorders>
            <w:shd w:val="clear" w:color="auto" w:fill="auto"/>
            <w:noWrap/>
            <w:vAlign w:val="bottom"/>
            <w:hideMark/>
          </w:tcPr>
          <w:p w14:paraId="464F5A86" w14:textId="77777777" w:rsidR="0031675F" w:rsidRPr="0031675F" w:rsidRDefault="0031675F" w:rsidP="0031675F">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6D509BDF" w14:textId="77777777" w:rsidR="0031675F" w:rsidRPr="0031675F" w:rsidRDefault="0031675F" w:rsidP="0031675F">
            <w:pPr>
              <w:spacing w:before="40" w:after="40"/>
              <w:rPr>
                <w:rFonts w:cs="Arial"/>
                <w:sz w:val="18"/>
                <w:szCs w:val="18"/>
                <w:lang w:val="en-US"/>
              </w:rPr>
            </w:pPr>
          </w:p>
        </w:tc>
        <w:tc>
          <w:tcPr>
            <w:tcW w:w="656" w:type="dxa"/>
            <w:tcBorders>
              <w:top w:val="nil"/>
              <w:left w:val="nil"/>
              <w:bottom w:val="nil"/>
              <w:right w:val="nil"/>
            </w:tcBorders>
            <w:shd w:val="clear" w:color="auto" w:fill="auto"/>
            <w:noWrap/>
            <w:vAlign w:val="bottom"/>
            <w:hideMark/>
          </w:tcPr>
          <w:p w14:paraId="4878A802" w14:textId="77777777" w:rsidR="0031675F" w:rsidRPr="0031675F" w:rsidRDefault="0031675F" w:rsidP="0031675F">
            <w:pPr>
              <w:spacing w:before="40" w:after="40"/>
              <w:rPr>
                <w:rFonts w:cs="Arial"/>
                <w:sz w:val="18"/>
                <w:szCs w:val="18"/>
                <w:lang w:val="en-US"/>
              </w:rPr>
            </w:pPr>
          </w:p>
        </w:tc>
        <w:tc>
          <w:tcPr>
            <w:tcW w:w="606" w:type="dxa"/>
            <w:tcBorders>
              <w:top w:val="nil"/>
              <w:left w:val="nil"/>
              <w:bottom w:val="nil"/>
              <w:right w:val="nil"/>
            </w:tcBorders>
            <w:shd w:val="clear" w:color="auto" w:fill="auto"/>
            <w:noWrap/>
            <w:vAlign w:val="bottom"/>
            <w:hideMark/>
          </w:tcPr>
          <w:p w14:paraId="57D22114" w14:textId="77777777" w:rsidR="0031675F" w:rsidRPr="0031675F" w:rsidRDefault="0031675F" w:rsidP="0031675F">
            <w:pPr>
              <w:spacing w:before="40" w:after="40"/>
              <w:rPr>
                <w:rFonts w:cs="Arial"/>
                <w:sz w:val="18"/>
                <w:szCs w:val="18"/>
                <w:lang w:val="en-US"/>
              </w:rPr>
            </w:pPr>
          </w:p>
        </w:tc>
        <w:tc>
          <w:tcPr>
            <w:tcW w:w="1420" w:type="dxa"/>
            <w:tcBorders>
              <w:top w:val="nil"/>
              <w:left w:val="nil"/>
              <w:bottom w:val="nil"/>
              <w:right w:val="nil"/>
            </w:tcBorders>
            <w:shd w:val="clear" w:color="auto" w:fill="auto"/>
            <w:noWrap/>
            <w:vAlign w:val="bottom"/>
            <w:hideMark/>
          </w:tcPr>
          <w:p w14:paraId="334BD9A1"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7FE8B566"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1D8407F0"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6D313BA8" w14:textId="77777777" w:rsidR="0031675F" w:rsidRPr="0031675F" w:rsidRDefault="0031675F" w:rsidP="0031675F">
            <w:pPr>
              <w:spacing w:before="40" w:after="40"/>
              <w:rPr>
                <w:rFonts w:cs="Arial"/>
                <w:sz w:val="18"/>
                <w:szCs w:val="18"/>
                <w:lang w:val="en-US"/>
              </w:rPr>
            </w:pPr>
          </w:p>
        </w:tc>
        <w:tc>
          <w:tcPr>
            <w:tcW w:w="1222" w:type="dxa"/>
            <w:tcBorders>
              <w:top w:val="nil"/>
              <w:left w:val="nil"/>
              <w:bottom w:val="nil"/>
              <w:right w:val="nil"/>
            </w:tcBorders>
            <w:shd w:val="clear" w:color="auto" w:fill="auto"/>
            <w:noWrap/>
            <w:vAlign w:val="bottom"/>
            <w:hideMark/>
          </w:tcPr>
          <w:p w14:paraId="14CA8216" w14:textId="77777777" w:rsidR="0031675F" w:rsidRPr="0031675F" w:rsidRDefault="0031675F" w:rsidP="0031675F">
            <w:pPr>
              <w:spacing w:before="40" w:after="40"/>
              <w:rPr>
                <w:rFonts w:cs="Arial"/>
                <w:sz w:val="18"/>
                <w:szCs w:val="18"/>
                <w:lang w:val="en-US"/>
              </w:rPr>
            </w:pPr>
          </w:p>
        </w:tc>
      </w:tr>
      <w:tr w:rsidR="0031675F" w:rsidRPr="0031675F" w14:paraId="05F18BEA" w14:textId="77777777" w:rsidTr="00B00729">
        <w:trPr>
          <w:trHeight w:val="315"/>
          <w:jc w:val="center"/>
        </w:trPr>
        <w:tc>
          <w:tcPr>
            <w:tcW w:w="1405" w:type="dxa"/>
            <w:tcBorders>
              <w:top w:val="nil"/>
              <w:left w:val="nil"/>
              <w:bottom w:val="nil"/>
              <w:right w:val="nil"/>
            </w:tcBorders>
            <w:shd w:val="clear" w:color="auto" w:fill="auto"/>
            <w:noWrap/>
            <w:vAlign w:val="bottom"/>
            <w:hideMark/>
          </w:tcPr>
          <w:p w14:paraId="250CE7E3"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Weather</w:t>
            </w:r>
          </w:p>
        </w:tc>
        <w:tc>
          <w:tcPr>
            <w:tcW w:w="972" w:type="dxa"/>
            <w:tcBorders>
              <w:top w:val="nil"/>
              <w:left w:val="nil"/>
              <w:bottom w:val="single" w:sz="4" w:space="0" w:color="auto"/>
              <w:right w:val="nil"/>
            </w:tcBorders>
            <w:shd w:val="clear" w:color="auto" w:fill="auto"/>
            <w:noWrap/>
            <w:vAlign w:val="bottom"/>
            <w:hideMark/>
          </w:tcPr>
          <w:p w14:paraId="7B28A5C9"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 </w:t>
            </w:r>
          </w:p>
        </w:tc>
        <w:tc>
          <w:tcPr>
            <w:tcW w:w="1022" w:type="dxa"/>
            <w:tcBorders>
              <w:top w:val="nil"/>
              <w:left w:val="nil"/>
              <w:bottom w:val="single" w:sz="4" w:space="0" w:color="auto"/>
              <w:right w:val="nil"/>
            </w:tcBorders>
            <w:shd w:val="clear" w:color="auto" w:fill="auto"/>
            <w:noWrap/>
            <w:vAlign w:val="bottom"/>
            <w:hideMark/>
          </w:tcPr>
          <w:p w14:paraId="616D044E"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 </w:t>
            </w:r>
          </w:p>
        </w:tc>
        <w:tc>
          <w:tcPr>
            <w:tcW w:w="872" w:type="dxa"/>
            <w:tcBorders>
              <w:top w:val="nil"/>
              <w:left w:val="nil"/>
              <w:bottom w:val="single" w:sz="4" w:space="0" w:color="auto"/>
              <w:right w:val="nil"/>
            </w:tcBorders>
            <w:shd w:val="clear" w:color="auto" w:fill="auto"/>
            <w:noWrap/>
            <w:vAlign w:val="bottom"/>
            <w:hideMark/>
          </w:tcPr>
          <w:p w14:paraId="2E4B20F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nil"/>
              <w:left w:val="nil"/>
              <w:bottom w:val="single" w:sz="4" w:space="0" w:color="auto"/>
              <w:right w:val="nil"/>
            </w:tcBorders>
            <w:shd w:val="clear" w:color="auto" w:fill="auto"/>
            <w:noWrap/>
            <w:vAlign w:val="bottom"/>
            <w:hideMark/>
          </w:tcPr>
          <w:p w14:paraId="133B9A0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nil"/>
              <w:left w:val="nil"/>
              <w:bottom w:val="single" w:sz="4" w:space="0" w:color="auto"/>
              <w:right w:val="nil"/>
            </w:tcBorders>
            <w:shd w:val="clear" w:color="auto" w:fill="auto"/>
            <w:noWrap/>
            <w:vAlign w:val="bottom"/>
            <w:hideMark/>
          </w:tcPr>
          <w:p w14:paraId="70904479"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nil"/>
              <w:left w:val="nil"/>
              <w:bottom w:val="nil"/>
              <w:right w:val="nil"/>
            </w:tcBorders>
            <w:shd w:val="clear" w:color="auto" w:fill="auto"/>
            <w:noWrap/>
            <w:vAlign w:val="bottom"/>
            <w:hideMark/>
          </w:tcPr>
          <w:p w14:paraId="699FB88F" w14:textId="77777777" w:rsidR="0031675F" w:rsidRPr="0031675F" w:rsidRDefault="0031675F" w:rsidP="0031675F">
            <w:pPr>
              <w:spacing w:before="40" w:after="40"/>
              <w:rPr>
                <w:rFonts w:cs="Arial"/>
                <w:sz w:val="18"/>
                <w:szCs w:val="18"/>
                <w:lang w:val="en-US"/>
              </w:rPr>
            </w:pPr>
          </w:p>
        </w:tc>
        <w:tc>
          <w:tcPr>
            <w:tcW w:w="689" w:type="dxa"/>
            <w:tcBorders>
              <w:top w:val="nil"/>
              <w:left w:val="nil"/>
              <w:bottom w:val="nil"/>
              <w:right w:val="nil"/>
            </w:tcBorders>
            <w:shd w:val="clear" w:color="auto" w:fill="auto"/>
            <w:noWrap/>
            <w:vAlign w:val="bottom"/>
            <w:hideMark/>
          </w:tcPr>
          <w:p w14:paraId="2F7847A7" w14:textId="77777777" w:rsidR="0031675F" w:rsidRPr="0031675F" w:rsidRDefault="0031675F" w:rsidP="0031675F">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34619541" w14:textId="77777777" w:rsidR="0031675F" w:rsidRPr="0031675F" w:rsidRDefault="0031675F" w:rsidP="0031675F">
            <w:pPr>
              <w:spacing w:before="40" w:after="40"/>
              <w:rPr>
                <w:rFonts w:cs="Arial"/>
                <w:sz w:val="18"/>
                <w:szCs w:val="18"/>
                <w:lang w:val="en-US"/>
              </w:rPr>
            </w:pPr>
          </w:p>
        </w:tc>
        <w:tc>
          <w:tcPr>
            <w:tcW w:w="506" w:type="dxa"/>
            <w:tcBorders>
              <w:top w:val="nil"/>
              <w:left w:val="nil"/>
              <w:bottom w:val="nil"/>
              <w:right w:val="nil"/>
            </w:tcBorders>
            <w:shd w:val="clear" w:color="auto" w:fill="auto"/>
            <w:noWrap/>
            <w:vAlign w:val="bottom"/>
            <w:hideMark/>
          </w:tcPr>
          <w:p w14:paraId="1EA7B24F" w14:textId="77777777" w:rsidR="0031675F" w:rsidRPr="0031675F" w:rsidRDefault="0031675F" w:rsidP="0031675F">
            <w:pPr>
              <w:spacing w:before="40" w:after="40"/>
              <w:rPr>
                <w:rFonts w:cs="Arial"/>
                <w:sz w:val="18"/>
                <w:szCs w:val="18"/>
                <w:lang w:val="en-US"/>
              </w:rPr>
            </w:pPr>
          </w:p>
        </w:tc>
        <w:tc>
          <w:tcPr>
            <w:tcW w:w="423" w:type="dxa"/>
            <w:tcBorders>
              <w:top w:val="nil"/>
              <w:left w:val="nil"/>
              <w:bottom w:val="nil"/>
              <w:right w:val="nil"/>
            </w:tcBorders>
            <w:shd w:val="clear" w:color="auto" w:fill="auto"/>
            <w:noWrap/>
            <w:vAlign w:val="bottom"/>
            <w:hideMark/>
          </w:tcPr>
          <w:p w14:paraId="2270566B" w14:textId="77777777" w:rsidR="0031675F" w:rsidRPr="0031675F" w:rsidRDefault="0031675F" w:rsidP="0031675F">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4AB018EB" w14:textId="77777777" w:rsidR="0031675F" w:rsidRPr="0031675F" w:rsidRDefault="0031675F" w:rsidP="0031675F">
            <w:pPr>
              <w:spacing w:before="40" w:after="40"/>
              <w:rPr>
                <w:rFonts w:cs="Arial"/>
                <w:sz w:val="18"/>
                <w:szCs w:val="18"/>
                <w:lang w:val="en-US"/>
              </w:rPr>
            </w:pPr>
          </w:p>
        </w:tc>
        <w:tc>
          <w:tcPr>
            <w:tcW w:w="656" w:type="dxa"/>
            <w:tcBorders>
              <w:top w:val="nil"/>
              <w:left w:val="nil"/>
              <w:bottom w:val="nil"/>
              <w:right w:val="nil"/>
            </w:tcBorders>
            <w:shd w:val="clear" w:color="auto" w:fill="auto"/>
            <w:noWrap/>
            <w:vAlign w:val="bottom"/>
            <w:hideMark/>
          </w:tcPr>
          <w:p w14:paraId="60B8C53D" w14:textId="77777777" w:rsidR="0031675F" w:rsidRPr="0031675F" w:rsidRDefault="0031675F" w:rsidP="0031675F">
            <w:pPr>
              <w:spacing w:before="40" w:after="40"/>
              <w:rPr>
                <w:rFonts w:cs="Arial"/>
                <w:sz w:val="18"/>
                <w:szCs w:val="18"/>
                <w:lang w:val="en-US"/>
              </w:rPr>
            </w:pPr>
          </w:p>
        </w:tc>
        <w:tc>
          <w:tcPr>
            <w:tcW w:w="606" w:type="dxa"/>
            <w:tcBorders>
              <w:top w:val="nil"/>
              <w:left w:val="nil"/>
              <w:bottom w:val="nil"/>
              <w:right w:val="nil"/>
            </w:tcBorders>
            <w:shd w:val="clear" w:color="auto" w:fill="auto"/>
            <w:noWrap/>
            <w:vAlign w:val="bottom"/>
            <w:hideMark/>
          </w:tcPr>
          <w:p w14:paraId="2B739525" w14:textId="77777777" w:rsidR="0031675F" w:rsidRPr="0031675F" w:rsidRDefault="0031675F" w:rsidP="0031675F">
            <w:pPr>
              <w:spacing w:before="40" w:after="40"/>
              <w:rPr>
                <w:rFonts w:cs="Arial"/>
                <w:sz w:val="18"/>
                <w:szCs w:val="18"/>
                <w:lang w:val="en-US"/>
              </w:rPr>
            </w:pPr>
          </w:p>
        </w:tc>
        <w:tc>
          <w:tcPr>
            <w:tcW w:w="1420" w:type="dxa"/>
            <w:tcBorders>
              <w:top w:val="nil"/>
              <w:left w:val="nil"/>
              <w:bottom w:val="nil"/>
              <w:right w:val="nil"/>
            </w:tcBorders>
            <w:shd w:val="clear" w:color="auto" w:fill="auto"/>
            <w:noWrap/>
            <w:vAlign w:val="bottom"/>
            <w:hideMark/>
          </w:tcPr>
          <w:p w14:paraId="0C2D7A12"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47B0BEE8"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6298B73A"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17BA09F5" w14:textId="77777777" w:rsidR="0031675F" w:rsidRPr="0031675F" w:rsidRDefault="0031675F" w:rsidP="0031675F">
            <w:pPr>
              <w:spacing w:before="40" w:after="40"/>
              <w:rPr>
                <w:rFonts w:cs="Arial"/>
                <w:sz w:val="18"/>
                <w:szCs w:val="18"/>
                <w:lang w:val="en-US"/>
              </w:rPr>
            </w:pPr>
          </w:p>
        </w:tc>
        <w:tc>
          <w:tcPr>
            <w:tcW w:w="1222" w:type="dxa"/>
            <w:tcBorders>
              <w:top w:val="nil"/>
              <w:left w:val="nil"/>
              <w:bottom w:val="nil"/>
              <w:right w:val="nil"/>
            </w:tcBorders>
            <w:shd w:val="clear" w:color="auto" w:fill="auto"/>
            <w:noWrap/>
            <w:vAlign w:val="bottom"/>
            <w:hideMark/>
          </w:tcPr>
          <w:p w14:paraId="571CC655" w14:textId="77777777" w:rsidR="0031675F" w:rsidRPr="0031675F" w:rsidRDefault="0031675F" w:rsidP="0031675F">
            <w:pPr>
              <w:spacing w:before="40" w:after="40"/>
              <w:rPr>
                <w:rFonts w:cs="Arial"/>
                <w:sz w:val="18"/>
                <w:szCs w:val="18"/>
                <w:lang w:val="en-US"/>
              </w:rPr>
            </w:pPr>
          </w:p>
        </w:tc>
      </w:tr>
      <w:tr w:rsidR="0031675F" w:rsidRPr="0031675F" w14:paraId="44DE3AD1" w14:textId="77777777" w:rsidTr="00B00729">
        <w:trPr>
          <w:trHeight w:val="315"/>
          <w:jc w:val="center"/>
        </w:trPr>
        <w:tc>
          <w:tcPr>
            <w:tcW w:w="1405" w:type="dxa"/>
            <w:tcBorders>
              <w:top w:val="nil"/>
              <w:left w:val="nil"/>
              <w:bottom w:val="nil"/>
              <w:right w:val="nil"/>
            </w:tcBorders>
            <w:shd w:val="clear" w:color="auto" w:fill="auto"/>
            <w:noWrap/>
            <w:vAlign w:val="bottom"/>
            <w:hideMark/>
          </w:tcPr>
          <w:p w14:paraId="1E914C1A"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Vessel</w:t>
            </w:r>
          </w:p>
        </w:tc>
        <w:tc>
          <w:tcPr>
            <w:tcW w:w="972" w:type="dxa"/>
            <w:tcBorders>
              <w:top w:val="nil"/>
              <w:left w:val="nil"/>
              <w:bottom w:val="single" w:sz="4" w:space="0" w:color="auto"/>
              <w:right w:val="nil"/>
            </w:tcBorders>
            <w:shd w:val="clear" w:color="auto" w:fill="auto"/>
            <w:noWrap/>
            <w:vAlign w:val="bottom"/>
            <w:hideMark/>
          </w:tcPr>
          <w:p w14:paraId="47214ED9"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 </w:t>
            </w:r>
          </w:p>
        </w:tc>
        <w:tc>
          <w:tcPr>
            <w:tcW w:w="1022" w:type="dxa"/>
            <w:tcBorders>
              <w:top w:val="nil"/>
              <w:left w:val="nil"/>
              <w:bottom w:val="single" w:sz="4" w:space="0" w:color="auto"/>
              <w:right w:val="nil"/>
            </w:tcBorders>
            <w:shd w:val="clear" w:color="auto" w:fill="auto"/>
            <w:noWrap/>
            <w:vAlign w:val="bottom"/>
            <w:hideMark/>
          </w:tcPr>
          <w:p w14:paraId="63DAA6A8" w14:textId="77777777" w:rsidR="0031675F" w:rsidRPr="0031675F" w:rsidRDefault="0031675F" w:rsidP="0031675F">
            <w:pPr>
              <w:spacing w:before="40" w:after="40"/>
              <w:rPr>
                <w:rFonts w:cs="Arial"/>
                <w:b/>
                <w:bCs/>
                <w:sz w:val="18"/>
                <w:szCs w:val="18"/>
                <w:lang w:val="en-US"/>
              </w:rPr>
            </w:pPr>
            <w:r w:rsidRPr="0031675F">
              <w:rPr>
                <w:rFonts w:cs="Arial"/>
                <w:b/>
                <w:bCs/>
                <w:sz w:val="18"/>
                <w:szCs w:val="18"/>
                <w:lang w:val="en-US"/>
              </w:rPr>
              <w:t> </w:t>
            </w:r>
          </w:p>
        </w:tc>
        <w:tc>
          <w:tcPr>
            <w:tcW w:w="872" w:type="dxa"/>
            <w:tcBorders>
              <w:top w:val="nil"/>
              <w:left w:val="nil"/>
              <w:bottom w:val="single" w:sz="4" w:space="0" w:color="auto"/>
              <w:right w:val="nil"/>
            </w:tcBorders>
            <w:shd w:val="clear" w:color="auto" w:fill="auto"/>
            <w:noWrap/>
            <w:vAlign w:val="bottom"/>
            <w:hideMark/>
          </w:tcPr>
          <w:p w14:paraId="5638745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nil"/>
              <w:left w:val="nil"/>
              <w:bottom w:val="single" w:sz="4" w:space="0" w:color="auto"/>
              <w:right w:val="nil"/>
            </w:tcBorders>
            <w:shd w:val="clear" w:color="auto" w:fill="auto"/>
            <w:noWrap/>
            <w:vAlign w:val="bottom"/>
            <w:hideMark/>
          </w:tcPr>
          <w:p w14:paraId="4ED40A5E"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nil"/>
              <w:left w:val="nil"/>
              <w:bottom w:val="single" w:sz="4" w:space="0" w:color="auto"/>
              <w:right w:val="nil"/>
            </w:tcBorders>
            <w:shd w:val="clear" w:color="auto" w:fill="auto"/>
            <w:noWrap/>
            <w:vAlign w:val="bottom"/>
            <w:hideMark/>
          </w:tcPr>
          <w:p w14:paraId="379E8D0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nil"/>
              <w:left w:val="nil"/>
              <w:bottom w:val="nil"/>
              <w:right w:val="nil"/>
            </w:tcBorders>
            <w:shd w:val="clear" w:color="auto" w:fill="auto"/>
            <w:noWrap/>
            <w:vAlign w:val="bottom"/>
            <w:hideMark/>
          </w:tcPr>
          <w:p w14:paraId="5895B11E" w14:textId="77777777" w:rsidR="0031675F" w:rsidRPr="0031675F" w:rsidRDefault="0031675F" w:rsidP="0031675F">
            <w:pPr>
              <w:spacing w:before="40" w:after="40"/>
              <w:rPr>
                <w:rFonts w:cs="Arial"/>
                <w:sz w:val="18"/>
                <w:szCs w:val="18"/>
                <w:lang w:val="en-US"/>
              </w:rPr>
            </w:pPr>
          </w:p>
        </w:tc>
        <w:tc>
          <w:tcPr>
            <w:tcW w:w="689" w:type="dxa"/>
            <w:tcBorders>
              <w:top w:val="nil"/>
              <w:left w:val="nil"/>
              <w:bottom w:val="nil"/>
              <w:right w:val="nil"/>
            </w:tcBorders>
            <w:shd w:val="clear" w:color="auto" w:fill="auto"/>
            <w:noWrap/>
            <w:vAlign w:val="bottom"/>
            <w:hideMark/>
          </w:tcPr>
          <w:p w14:paraId="01B8A8BD" w14:textId="77777777" w:rsidR="0031675F" w:rsidRPr="0031675F" w:rsidRDefault="0031675F" w:rsidP="0031675F">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242E1029" w14:textId="77777777" w:rsidR="0031675F" w:rsidRPr="0031675F" w:rsidRDefault="0031675F" w:rsidP="0031675F">
            <w:pPr>
              <w:spacing w:before="40" w:after="40"/>
              <w:rPr>
                <w:rFonts w:cs="Arial"/>
                <w:sz w:val="18"/>
                <w:szCs w:val="18"/>
                <w:lang w:val="en-US"/>
              </w:rPr>
            </w:pPr>
          </w:p>
        </w:tc>
        <w:tc>
          <w:tcPr>
            <w:tcW w:w="506" w:type="dxa"/>
            <w:tcBorders>
              <w:top w:val="nil"/>
              <w:left w:val="nil"/>
              <w:bottom w:val="nil"/>
              <w:right w:val="nil"/>
            </w:tcBorders>
            <w:shd w:val="clear" w:color="auto" w:fill="auto"/>
            <w:noWrap/>
            <w:vAlign w:val="bottom"/>
            <w:hideMark/>
          </w:tcPr>
          <w:p w14:paraId="162EC2E6" w14:textId="77777777" w:rsidR="0031675F" w:rsidRPr="0031675F" w:rsidRDefault="0031675F" w:rsidP="0031675F">
            <w:pPr>
              <w:spacing w:before="40" w:after="40"/>
              <w:rPr>
                <w:rFonts w:cs="Arial"/>
                <w:sz w:val="18"/>
                <w:szCs w:val="18"/>
                <w:lang w:val="en-US"/>
              </w:rPr>
            </w:pPr>
          </w:p>
        </w:tc>
        <w:tc>
          <w:tcPr>
            <w:tcW w:w="423" w:type="dxa"/>
            <w:tcBorders>
              <w:top w:val="nil"/>
              <w:left w:val="nil"/>
              <w:bottom w:val="nil"/>
              <w:right w:val="nil"/>
            </w:tcBorders>
            <w:shd w:val="clear" w:color="auto" w:fill="auto"/>
            <w:noWrap/>
            <w:vAlign w:val="bottom"/>
            <w:hideMark/>
          </w:tcPr>
          <w:p w14:paraId="1AF7BF68" w14:textId="77777777" w:rsidR="0031675F" w:rsidRPr="0031675F" w:rsidRDefault="0031675F" w:rsidP="0031675F">
            <w:pPr>
              <w:spacing w:before="40" w:after="40"/>
              <w:rPr>
                <w:rFonts w:cs="Arial"/>
                <w:sz w:val="18"/>
                <w:szCs w:val="18"/>
                <w:lang w:val="en-US"/>
              </w:rPr>
            </w:pPr>
          </w:p>
        </w:tc>
        <w:tc>
          <w:tcPr>
            <w:tcW w:w="572" w:type="dxa"/>
            <w:tcBorders>
              <w:top w:val="nil"/>
              <w:left w:val="nil"/>
              <w:bottom w:val="nil"/>
              <w:right w:val="nil"/>
            </w:tcBorders>
            <w:shd w:val="clear" w:color="auto" w:fill="auto"/>
            <w:noWrap/>
            <w:vAlign w:val="bottom"/>
            <w:hideMark/>
          </w:tcPr>
          <w:p w14:paraId="2D76C80F" w14:textId="77777777" w:rsidR="0031675F" w:rsidRPr="0031675F" w:rsidRDefault="0031675F" w:rsidP="0031675F">
            <w:pPr>
              <w:spacing w:before="40" w:after="40"/>
              <w:rPr>
                <w:rFonts w:cs="Arial"/>
                <w:sz w:val="18"/>
                <w:szCs w:val="18"/>
                <w:lang w:val="en-US"/>
              </w:rPr>
            </w:pPr>
          </w:p>
        </w:tc>
        <w:tc>
          <w:tcPr>
            <w:tcW w:w="656" w:type="dxa"/>
            <w:tcBorders>
              <w:top w:val="nil"/>
              <w:left w:val="nil"/>
              <w:bottom w:val="nil"/>
              <w:right w:val="nil"/>
            </w:tcBorders>
            <w:shd w:val="clear" w:color="auto" w:fill="auto"/>
            <w:noWrap/>
            <w:vAlign w:val="bottom"/>
            <w:hideMark/>
          </w:tcPr>
          <w:p w14:paraId="40E5A1AB" w14:textId="77777777" w:rsidR="0031675F" w:rsidRPr="0031675F" w:rsidRDefault="0031675F" w:rsidP="0031675F">
            <w:pPr>
              <w:spacing w:before="40" w:after="40"/>
              <w:rPr>
                <w:rFonts w:cs="Arial"/>
                <w:sz w:val="18"/>
                <w:szCs w:val="18"/>
                <w:lang w:val="en-US"/>
              </w:rPr>
            </w:pPr>
          </w:p>
        </w:tc>
        <w:tc>
          <w:tcPr>
            <w:tcW w:w="606" w:type="dxa"/>
            <w:tcBorders>
              <w:top w:val="nil"/>
              <w:left w:val="nil"/>
              <w:bottom w:val="nil"/>
              <w:right w:val="nil"/>
            </w:tcBorders>
            <w:shd w:val="clear" w:color="auto" w:fill="auto"/>
            <w:noWrap/>
            <w:vAlign w:val="bottom"/>
            <w:hideMark/>
          </w:tcPr>
          <w:p w14:paraId="4477FC21" w14:textId="77777777" w:rsidR="0031675F" w:rsidRPr="0031675F" w:rsidRDefault="0031675F" w:rsidP="0031675F">
            <w:pPr>
              <w:spacing w:before="40" w:after="40"/>
              <w:rPr>
                <w:rFonts w:cs="Arial"/>
                <w:sz w:val="18"/>
                <w:szCs w:val="18"/>
                <w:lang w:val="en-US"/>
              </w:rPr>
            </w:pPr>
          </w:p>
        </w:tc>
        <w:tc>
          <w:tcPr>
            <w:tcW w:w="1420" w:type="dxa"/>
            <w:tcBorders>
              <w:top w:val="nil"/>
              <w:left w:val="nil"/>
              <w:bottom w:val="nil"/>
              <w:right w:val="nil"/>
            </w:tcBorders>
            <w:shd w:val="clear" w:color="auto" w:fill="auto"/>
            <w:noWrap/>
            <w:vAlign w:val="bottom"/>
            <w:hideMark/>
          </w:tcPr>
          <w:p w14:paraId="4A10641E"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71DD9C7A"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5DC8DC65" w14:textId="77777777" w:rsidR="0031675F" w:rsidRPr="0031675F" w:rsidRDefault="0031675F" w:rsidP="0031675F">
            <w:pPr>
              <w:spacing w:before="40" w:after="40"/>
              <w:rPr>
                <w:rFonts w:cs="Arial"/>
                <w:sz w:val="18"/>
                <w:szCs w:val="18"/>
                <w:lang w:val="en-US"/>
              </w:rPr>
            </w:pPr>
          </w:p>
        </w:tc>
        <w:tc>
          <w:tcPr>
            <w:tcW w:w="406" w:type="dxa"/>
            <w:tcBorders>
              <w:top w:val="nil"/>
              <w:left w:val="nil"/>
              <w:bottom w:val="nil"/>
              <w:right w:val="nil"/>
            </w:tcBorders>
            <w:shd w:val="clear" w:color="auto" w:fill="auto"/>
            <w:noWrap/>
            <w:vAlign w:val="bottom"/>
            <w:hideMark/>
          </w:tcPr>
          <w:p w14:paraId="7DBBF411" w14:textId="77777777" w:rsidR="0031675F" w:rsidRPr="0031675F" w:rsidRDefault="0031675F" w:rsidP="0031675F">
            <w:pPr>
              <w:spacing w:before="40" w:after="40"/>
              <w:rPr>
                <w:rFonts w:cs="Arial"/>
                <w:sz w:val="18"/>
                <w:szCs w:val="18"/>
                <w:lang w:val="en-US"/>
              </w:rPr>
            </w:pPr>
          </w:p>
        </w:tc>
        <w:tc>
          <w:tcPr>
            <w:tcW w:w="1222" w:type="dxa"/>
            <w:tcBorders>
              <w:top w:val="nil"/>
              <w:left w:val="nil"/>
              <w:bottom w:val="nil"/>
              <w:right w:val="nil"/>
            </w:tcBorders>
            <w:shd w:val="clear" w:color="auto" w:fill="auto"/>
            <w:noWrap/>
            <w:vAlign w:val="bottom"/>
            <w:hideMark/>
          </w:tcPr>
          <w:p w14:paraId="2E8F272A" w14:textId="77777777" w:rsidR="0031675F" w:rsidRPr="0031675F" w:rsidRDefault="0031675F" w:rsidP="0031675F">
            <w:pPr>
              <w:spacing w:before="40" w:after="40"/>
              <w:rPr>
                <w:rFonts w:cs="Arial"/>
                <w:sz w:val="18"/>
                <w:szCs w:val="18"/>
                <w:lang w:val="en-US"/>
              </w:rPr>
            </w:pPr>
          </w:p>
        </w:tc>
      </w:tr>
      <w:tr w:rsidR="0031675F" w:rsidRPr="0031675F" w14:paraId="37BBAD8F" w14:textId="77777777" w:rsidTr="00B00729">
        <w:trPr>
          <w:trHeight w:val="330"/>
          <w:jc w:val="center"/>
        </w:trPr>
        <w:tc>
          <w:tcPr>
            <w:tcW w:w="1405" w:type="dxa"/>
            <w:tcBorders>
              <w:top w:val="nil"/>
              <w:left w:val="nil"/>
              <w:right w:val="nil"/>
            </w:tcBorders>
            <w:shd w:val="clear" w:color="auto" w:fill="auto"/>
            <w:noWrap/>
            <w:vAlign w:val="bottom"/>
            <w:hideMark/>
          </w:tcPr>
          <w:p w14:paraId="1C83457C" w14:textId="77777777" w:rsidR="0031675F" w:rsidRPr="0031675F" w:rsidRDefault="0031675F" w:rsidP="0031675F">
            <w:pPr>
              <w:spacing w:before="40" w:after="40"/>
              <w:rPr>
                <w:rFonts w:cs="Arial"/>
                <w:b/>
                <w:bCs/>
                <w:sz w:val="18"/>
                <w:szCs w:val="18"/>
                <w:lang w:val="en-US"/>
              </w:rPr>
            </w:pPr>
          </w:p>
        </w:tc>
        <w:tc>
          <w:tcPr>
            <w:tcW w:w="972" w:type="dxa"/>
            <w:tcBorders>
              <w:top w:val="nil"/>
              <w:left w:val="nil"/>
              <w:right w:val="nil"/>
            </w:tcBorders>
            <w:shd w:val="clear" w:color="auto" w:fill="auto"/>
            <w:noWrap/>
            <w:vAlign w:val="bottom"/>
            <w:hideMark/>
          </w:tcPr>
          <w:p w14:paraId="730D6C8D" w14:textId="77777777" w:rsidR="0031675F" w:rsidRPr="0031675F" w:rsidRDefault="0031675F" w:rsidP="0031675F">
            <w:pPr>
              <w:spacing w:before="40" w:after="40"/>
              <w:rPr>
                <w:rFonts w:cs="Arial"/>
                <w:b/>
                <w:bCs/>
                <w:sz w:val="18"/>
                <w:szCs w:val="18"/>
                <w:lang w:val="en-US"/>
              </w:rPr>
            </w:pPr>
          </w:p>
        </w:tc>
        <w:tc>
          <w:tcPr>
            <w:tcW w:w="1022" w:type="dxa"/>
            <w:tcBorders>
              <w:top w:val="nil"/>
              <w:left w:val="nil"/>
              <w:right w:val="nil"/>
            </w:tcBorders>
            <w:shd w:val="clear" w:color="auto" w:fill="auto"/>
            <w:noWrap/>
            <w:vAlign w:val="bottom"/>
            <w:hideMark/>
          </w:tcPr>
          <w:p w14:paraId="650A5A80" w14:textId="77777777" w:rsidR="0031675F" w:rsidRPr="0031675F" w:rsidRDefault="0031675F" w:rsidP="0031675F">
            <w:pPr>
              <w:spacing w:before="40" w:after="40"/>
              <w:rPr>
                <w:rFonts w:cs="Arial"/>
                <w:b/>
                <w:bCs/>
                <w:sz w:val="18"/>
                <w:szCs w:val="18"/>
                <w:lang w:val="en-US"/>
              </w:rPr>
            </w:pPr>
          </w:p>
        </w:tc>
        <w:tc>
          <w:tcPr>
            <w:tcW w:w="872" w:type="dxa"/>
            <w:tcBorders>
              <w:top w:val="nil"/>
              <w:left w:val="nil"/>
              <w:right w:val="nil"/>
            </w:tcBorders>
            <w:shd w:val="clear" w:color="auto" w:fill="auto"/>
            <w:noWrap/>
            <w:vAlign w:val="bottom"/>
            <w:hideMark/>
          </w:tcPr>
          <w:p w14:paraId="593ED550" w14:textId="77777777" w:rsidR="0031675F" w:rsidRPr="0031675F" w:rsidRDefault="0031675F" w:rsidP="0031675F">
            <w:pPr>
              <w:spacing w:before="40" w:after="40"/>
              <w:rPr>
                <w:rFonts w:cs="Arial"/>
                <w:sz w:val="18"/>
                <w:szCs w:val="18"/>
                <w:lang w:val="en-US"/>
              </w:rPr>
            </w:pPr>
          </w:p>
        </w:tc>
        <w:tc>
          <w:tcPr>
            <w:tcW w:w="622" w:type="dxa"/>
            <w:tcBorders>
              <w:top w:val="nil"/>
              <w:left w:val="nil"/>
              <w:right w:val="nil"/>
            </w:tcBorders>
            <w:shd w:val="clear" w:color="auto" w:fill="auto"/>
            <w:noWrap/>
            <w:vAlign w:val="bottom"/>
            <w:hideMark/>
          </w:tcPr>
          <w:p w14:paraId="5A8A3EB8" w14:textId="77777777" w:rsidR="0031675F" w:rsidRPr="0031675F" w:rsidRDefault="0031675F" w:rsidP="0031675F">
            <w:pPr>
              <w:spacing w:before="40" w:after="40"/>
              <w:rPr>
                <w:rFonts w:cs="Arial"/>
                <w:sz w:val="18"/>
                <w:szCs w:val="18"/>
                <w:lang w:val="en-US"/>
              </w:rPr>
            </w:pPr>
          </w:p>
        </w:tc>
        <w:tc>
          <w:tcPr>
            <w:tcW w:w="589" w:type="dxa"/>
            <w:tcBorders>
              <w:top w:val="nil"/>
              <w:left w:val="nil"/>
              <w:right w:val="nil"/>
            </w:tcBorders>
            <w:shd w:val="clear" w:color="auto" w:fill="auto"/>
            <w:noWrap/>
            <w:vAlign w:val="bottom"/>
            <w:hideMark/>
          </w:tcPr>
          <w:p w14:paraId="0494FED3" w14:textId="77777777" w:rsidR="0031675F" w:rsidRPr="0031675F" w:rsidRDefault="0031675F" w:rsidP="0031675F">
            <w:pPr>
              <w:spacing w:before="40" w:after="40"/>
              <w:rPr>
                <w:rFonts w:cs="Arial"/>
                <w:sz w:val="18"/>
                <w:szCs w:val="18"/>
                <w:lang w:val="en-US"/>
              </w:rPr>
            </w:pPr>
          </w:p>
        </w:tc>
        <w:tc>
          <w:tcPr>
            <w:tcW w:w="639" w:type="dxa"/>
            <w:tcBorders>
              <w:top w:val="nil"/>
              <w:left w:val="nil"/>
              <w:right w:val="nil"/>
            </w:tcBorders>
            <w:shd w:val="clear" w:color="auto" w:fill="auto"/>
            <w:noWrap/>
            <w:vAlign w:val="bottom"/>
            <w:hideMark/>
          </w:tcPr>
          <w:p w14:paraId="6300A04B" w14:textId="77777777" w:rsidR="0031675F" w:rsidRPr="0031675F" w:rsidRDefault="0031675F" w:rsidP="0031675F">
            <w:pPr>
              <w:spacing w:before="40" w:after="40"/>
              <w:rPr>
                <w:rFonts w:cs="Arial"/>
                <w:sz w:val="18"/>
                <w:szCs w:val="18"/>
                <w:lang w:val="en-US"/>
              </w:rPr>
            </w:pPr>
          </w:p>
        </w:tc>
        <w:tc>
          <w:tcPr>
            <w:tcW w:w="689" w:type="dxa"/>
            <w:tcBorders>
              <w:top w:val="nil"/>
              <w:left w:val="nil"/>
              <w:right w:val="nil"/>
            </w:tcBorders>
            <w:shd w:val="clear" w:color="auto" w:fill="auto"/>
            <w:noWrap/>
            <w:vAlign w:val="bottom"/>
            <w:hideMark/>
          </w:tcPr>
          <w:p w14:paraId="2A124D91" w14:textId="77777777" w:rsidR="0031675F" w:rsidRPr="0031675F" w:rsidRDefault="0031675F" w:rsidP="0031675F">
            <w:pPr>
              <w:spacing w:before="40" w:after="40"/>
              <w:rPr>
                <w:rFonts w:cs="Arial"/>
                <w:sz w:val="18"/>
                <w:szCs w:val="18"/>
                <w:lang w:val="en-US"/>
              </w:rPr>
            </w:pPr>
          </w:p>
        </w:tc>
        <w:tc>
          <w:tcPr>
            <w:tcW w:w="572" w:type="dxa"/>
            <w:tcBorders>
              <w:top w:val="nil"/>
              <w:left w:val="nil"/>
              <w:right w:val="nil"/>
            </w:tcBorders>
            <w:shd w:val="clear" w:color="auto" w:fill="auto"/>
            <w:noWrap/>
            <w:vAlign w:val="bottom"/>
            <w:hideMark/>
          </w:tcPr>
          <w:p w14:paraId="1B3671DE" w14:textId="77777777" w:rsidR="0031675F" w:rsidRPr="0031675F" w:rsidRDefault="0031675F" w:rsidP="0031675F">
            <w:pPr>
              <w:spacing w:before="40" w:after="40"/>
              <w:rPr>
                <w:rFonts w:cs="Arial"/>
                <w:sz w:val="18"/>
                <w:szCs w:val="18"/>
                <w:lang w:val="en-US"/>
              </w:rPr>
            </w:pPr>
          </w:p>
        </w:tc>
        <w:tc>
          <w:tcPr>
            <w:tcW w:w="506" w:type="dxa"/>
            <w:tcBorders>
              <w:top w:val="nil"/>
              <w:left w:val="nil"/>
              <w:right w:val="nil"/>
            </w:tcBorders>
            <w:shd w:val="clear" w:color="auto" w:fill="auto"/>
            <w:noWrap/>
            <w:vAlign w:val="bottom"/>
            <w:hideMark/>
          </w:tcPr>
          <w:p w14:paraId="12BB2259" w14:textId="77777777" w:rsidR="0031675F" w:rsidRPr="0031675F" w:rsidRDefault="0031675F" w:rsidP="0031675F">
            <w:pPr>
              <w:spacing w:before="40" w:after="40"/>
              <w:rPr>
                <w:rFonts w:cs="Arial"/>
                <w:sz w:val="18"/>
                <w:szCs w:val="18"/>
                <w:lang w:val="en-US"/>
              </w:rPr>
            </w:pPr>
          </w:p>
        </w:tc>
        <w:tc>
          <w:tcPr>
            <w:tcW w:w="423" w:type="dxa"/>
            <w:tcBorders>
              <w:top w:val="nil"/>
              <w:left w:val="nil"/>
              <w:right w:val="nil"/>
            </w:tcBorders>
            <w:shd w:val="clear" w:color="auto" w:fill="auto"/>
            <w:noWrap/>
            <w:vAlign w:val="bottom"/>
            <w:hideMark/>
          </w:tcPr>
          <w:p w14:paraId="30217BDC" w14:textId="77777777" w:rsidR="0031675F" w:rsidRPr="0031675F" w:rsidRDefault="0031675F" w:rsidP="0031675F">
            <w:pPr>
              <w:spacing w:before="40" w:after="40"/>
              <w:rPr>
                <w:rFonts w:cs="Arial"/>
                <w:sz w:val="18"/>
                <w:szCs w:val="18"/>
                <w:lang w:val="en-US"/>
              </w:rPr>
            </w:pPr>
          </w:p>
        </w:tc>
        <w:tc>
          <w:tcPr>
            <w:tcW w:w="572" w:type="dxa"/>
            <w:tcBorders>
              <w:top w:val="nil"/>
              <w:left w:val="nil"/>
              <w:right w:val="nil"/>
            </w:tcBorders>
            <w:shd w:val="clear" w:color="auto" w:fill="auto"/>
            <w:noWrap/>
            <w:vAlign w:val="bottom"/>
            <w:hideMark/>
          </w:tcPr>
          <w:p w14:paraId="0F99845C" w14:textId="77777777" w:rsidR="0031675F" w:rsidRPr="0031675F" w:rsidRDefault="0031675F" w:rsidP="0031675F">
            <w:pPr>
              <w:spacing w:before="40" w:after="40"/>
              <w:rPr>
                <w:rFonts w:cs="Arial"/>
                <w:sz w:val="18"/>
                <w:szCs w:val="18"/>
                <w:lang w:val="en-US"/>
              </w:rPr>
            </w:pPr>
          </w:p>
        </w:tc>
        <w:tc>
          <w:tcPr>
            <w:tcW w:w="656" w:type="dxa"/>
            <w:tcBorders>
              <w:top w:val="nil"/>
              <w:left w:val="nil"/>
              <w:right w:val="nil"/>
            </w:tcBorders>
            <w:shd w:val="clear" w:color="auto" w:fill="auto"/>
            <w:noWrap/>
            <w:vAlign w:val="bottom"/>
            <w:hideMark/>
          </w:tcPr>
          <w:p w14:paraId="0F77844F" w14:textId="77777777" w:rsidR="0031675F" w:rsidRPr="0031675F" w:rsidRDefault="0031675F" w:rsidP="0031675F">
            <w:pPr>
              <w:spacing w:before="40" w:after="40"/>
              <w:rPr>
                <w:rFonts w:cs="Arial"/>
                <w:sz w:val="18"/>
                <w:szCs w:val="18"/>
                <w:lang w:val="en-US"/>
              </w:rPr>
            </w:pPr>
          </w:p>
        </w:tc>
        <w:tc>
          <w:tcPr>
            <w:tcW w:w="606" w:type="dxa"/>
            <w:tcBorders>
              <w:top w:val="nil"/>
              <w:left w:val="nil"/>
              <w:right w:val="nil"/>
            </w:tcBorders>
            <w:shd w:val="clear" w:color="auto" w:fill="auto"/>
            <w:noWrap/>
            <w:vAlign w:val="bottom"/>
            <w:hideMark/>
          </w:tcPr>
          <w:p w14:paraId="771B77BA" w14:textId="77777777" w:rsidR="0031675F" w:rsidRPr="0031675F" w:rsidRDefault="0031675F" w:rsidP="0031675F">
            <w:pPr>
              <w:spacing w:before="40" w:after="40"/>
              <w:rPr>
                <w:rFonts w:cs="Arial"/>
                <w:sz w:val="18"/>
                <w:szCs w:val="18"/>
                <w:lang w:val="en-US"/>
              </w:rPr>
            </w:pPr>
          </w:p>
        </w:tc>
        <w:tc>
          <w:tcPr>
            <w:tcW w:w="1420" w:type="dxa"/>
            <w:tcBorders>
              <w:top w:val="nil"/>
              <w:left w:val="nil"/>
              <w:bottom w:val="single" w:sz="8" w:space="0" w:color="7F7F7F"/>
              <w:right w:val="nil"/>
            </w:tcBorders>
            <w:shd w:val="clear" w:color="auto" w:fill="auto"/>
            <w:noWrap/>
            <w:vAlign w:val="bottom"/>
            <w:hideMark/>
          </w:tcPr>
          <w:p w14:paraId="73CD2124" w14:textId="77777777" w:rsidR="0031675F" w:rsidRPr="0031675F" w:rsidRDefault="0031675F" w:rsidP="0031675F">
            <w:pPr>
              <w:spacing w:before="40" w:after="40"/>
              <w:rPr>
                <w:rFonts w:cs="Arial"/>
                <w:sz w:val="18"/>
                <w:szCs w:val="18"/>
                <w:lang w:val="en-US"/>
              </w:rPr>
            </w:pPr>
          </w:p>
        </w:tc>
        <w:tc>
          <w:tcPr>
            <w:tcW w:w="406" w:type="dxa"/>
            <w:tcBorders>
              <w:top w:val="nil"/>
              <w:left w:val="nil"/>
              <w:bottom w:val="single" w:sz="8" w:space="0" w:color="7F7F7F"/>
              <w:right w:val="nil"/>
            </w:tcBorders>
            <w:shd w:val="clear" w:color="auto" w:fill="auto"/>
            <w:noWrap/>
            <w:vAlign w:val="bottom"/>
            <w:hideMark/>
          </w:tcPr>
          <w:p w14:paraId="1F7D449C" w14:textId="77777777" w:rsidR="0031675F" w:rsidRPr="0031675F" w:rsidRDefault="0031675F" w:rsidP="0031675F">
            <w:pPr>
              <w:spacing w:before="40" w:after="40"/>
              <w:rPr>
                <w:rFonts w:cs="Arial"/>
                <w:sz w:val="18"/>
                <w:szCs w:val="18"/>
                <w:lang w:val="en-US"/>
              </w:rPr>
            </w:pPr>
          </w:p>
        </w:tc>
        <w:tc>
          <w:tcPr>
            <w:tcW w:w="406" w:type="dxa"/>
            <w:tcBorders>
              <w:top w:val="nil"/>
              <w:left w:val="nil"/>
              <w:bottom w:val="single" w:sz="8" w:space="0" w:color="7F7F7F"/>
              <w:right w:val="nil"/>
            </w:tcBorders>
            <w:shd w:val="clear" w:color="auto" w:fill="auto"/>
            <w:noWrap/>
            <w:vAlign w:val="bottom"/>
            <w:hideMark/>
          </w:tcPr>
          <w:p w14:paraId="23BDE91E" w14:textId="77777777" w:rsidR="0031675F" w:rsidRPr="0031675F" w:rsidRDefault="0031675F" w:rsidP="0031675F">
            <w:pPr>
              <w:spacing w:before="40" w:after="40"/>
              <w:rPr>
                <w:rFonts w:cs="Arial"/>
                <w:sz w:val="18"/>
                <w:szCs w:val="18"/>
                <w:lang w:val="en-US"/>
              </w:rPr>
            </w:pPr>
          </w:p>
        </w:tc>
        <w:tc>
          <w:tcPr>
            <w:tcW w:w="406" w:type="dxa"/>
            <w:tcBorders>
              <w:top w:val="nil"/>
              <w:left w:val="nil"/>
              <w:bottom w:val="single" w:sz="8" w:space="0" w:color="7F7F7F"/>
              <w:right w:val="nil"/>
            </w:tcBorders>
            <w:shd w:val="clear" w:color="auto" w:fill="auto"/>
            <w:noWrap/>
            <w:vAlign w:val="bottom"/>
            <w:hideMark/>
          </w:tcPr>
          <w:p w14:paraId="47A4F293" w14:textId="77777777" w:rsidR="0031675F" w:rsidRPr="0031675F" w:rsidRDefault="0031675F" w:rsidP="0031675F">
            <w:pPr>
              <w:spacing w:before="40" w:after="40"/>
              <w:rPr>
                <w:rFonts w:cs="Arial"/>
                <w:sz w:val="18"/>
                <w:szCs w:val="18"/>
                <w:lang w:val="en-US"/>
              </w:rPr>
            </w:pPr>
          </w:p>
        </w:tc>
        <w:tc>
          <w:tcPr>
            <w:tcW w:w="1222" w:type="dxa"/>
            <w:tcBorders>
              <w:top w:val="nil"/>
              <w:left w:val="nil"/>
              <w:right w:val="nil"/>
            </w:tcBorders>
            <w:shd w:val="clear" w:color="auto" w:fill="auto"/>
            <w:noWrap/>
            <w:vAlign w:val="bottom"/>
            <w:hideMark/>
          </w:tcPr>
          <w:p w14:paraId="1DFAC09B" w14:textId="77777777" w:rsidR="0031675F" w:rsidRPr="0031675F" w:rsidRDefault="0031675F" w:rsidP="0031675F">
            <w:pPr>
              <w:spacing w:before="40" w:after="40"/>
              <w:rPr>
                <w:rFonts w:cs="Arial"/>
                <w:sz w:val="18"/>
                <w:szCs w:val="18"/>
                <w:lang w:val="en-US"/>
              </w:rPr>
            </w:pPr>
          </w:p>
        </w:tc>
      </w:tr>
      <w:tr w:rsidR="0031675F" w:rsidRPr="0031675F" w14:paraId="053688C4" w14:textId="77777777" w:rsidTr="00B00729">
        <w:trPr>
          <w:trHeight w:val="60"/>
          <w:jc w:val="center"/>
        </w:trPr>
        <w:tc>
          <w:tcPr>
            <w:tcW w:w="10145" w:type="dxa"/>
            <w:gridSpan w:val="14"/>
            <w:tcBorders>
              <w:bottom w:val="single" w:sz="8" w:space="0" w:color="7F7F7F"/>
              <w:right w:val="single" w:sz="8" w:space="0" w:color="7F7F7F"/>
            </w:tcBorders>
            <w:shd w:val="clear" w:color="000000" w:fill="auto"/>
            <w:noWrap/>
            <w:vAlign w:val="bottom"/>
            <w:hideMark/>
          </w:tcPr>
          <w:p w14:paraId="35FE2A15" w14:textId="77777777" w:rsidR="0031675F" w:rsidRPr="0031675F" w:rsidRDefault="0031675F" w:rsidP="0031675F">
            <w:pPr>
              <w:spacing w:before="40" w:after="40"/>
              <w:jc w:val="center"/>
              <w:rPr>
                <w:rFonts w:cs="Arial"/>
                <w:sz w:val="18"/>
                <w:szCs w:val="18"/>
                <w:lang w:val="en-US"/>
              </w:rPr>
            </w:pPr>
          </w:p>
        </w:tc>
        <w:tc>
          <w:tcPr>
            <w:tcW w:w="2638" w:type="dxa"/>
            <w:gridSpan w:val="4"/>
            <w:tcBorders>
              <w:top w:val="single" w:sz="8" w:space="0" w:color="7F7F7F"/>
              <w:left w:val="single" w:sz="8" w:space="0" w:color="7F7F7F"/>
              <w:bottom w:val="single" w:sz="8" w:space="0" w:color="7F7F7F"/>
              <w:right w:val="single" w:sz="8" w:space="0" w:color="7F7F7F"/>
            </w:tcBorders>
            <w:shd w:val="clear" w:color="000000" w:fill="C0C0C0"/>
            <w:noWrap/>
            <w:vAlign w:val="center"/>
            <w:hideMark/>
          </w:tcPr>
          <w:p w14:paraId="72A12704" w14:textId="77777777" w:rsidR="0031675F" w:rsidRPr="0031675F" w:rsidRDefault="0031675F" w:rsidP="0031675F">
            <w:pPr>
              <w:spacing w:before="40" w:after="40"/>
              <w:jc w:val="center"/>
              <w:rPr>
                <w:rFonts w:cs="Arial"/>
                <w:b/>
                <w:bCs/>
                <w:sz w:val="18"/>
                <w:szCs w:val="18"/>
                <w:lang w:val="en-US"/>
              </w:rPr>
            </w:pPr>
            <w:r w:rsidRPr="0031675F">
              <w:rPr>
                <w:rFonts w:cs="Arial"/>
                <w:b/>
                <w:bCs/>
                <w:sz w:val="18"/>
                <w:szCs w:val="18"/>
                <w:lang w:val="en-US"/>
              </w:rPr>
              <w:t>Extra samples</w:t>
            </w:r>
          </w:p>
        </w:tc>
        <w:tc>
          <w:tcPr>
            <w:tcW w:w="1222" w:type="dxa"/>
            <w:tcBorders>
              <w:left w:val="single" w:sz="8" w:space="0" w:color="7F7F7F"/>
              <w:bottom w:val="single" w:sz="8" w:space="0" w:color="7F7F7F"/>
            </w:tcBorders>
            <w:shd w:val="clear" w:color="000000" w:fill="auto"/>
            <w:noWrap/>
            <w:vAlign w:val="bottom"/>
            <w:hideMark/>
          </w:tcPr>
          <w:p w14:paraId="2B62B7EB" w14:textId="77777777" w:rsidR="0031675F" w:rsidRPr="0031675F" w:rsidRDefault="0031675F" w:rsidP="0031675F">
            <w:pPr>
              <w:spacing w:before="40" w:after="40"/>
              <w:jc w:val="center"/>
              <w:rPr>
                <w:rFonts w:cs="Arial"/>
                <w:b/>
                <w:bCs/>
                <w:sz w:val="18"/>
                <w:szCs w:val="18"/>
                <w:lang w:val="en-US"/>
              </w:rPr>
            </w:pPr>
            <w:r w:rsidRPr="0031675F">
              <w:rPr>
                <w:rFonts w:cs="Arial"/>
                <w:b/>
                <w:bCs/>
                <w:sz w:val="18"/>
                <w:szCs w:val="18"/>
                <w:lang w:val="en-US"/>
              </w:rPr>
              <w:t> </w:t>
            </w:r>
          </w:p>
        </w:tc>
      </w:tr>
      <w:tr w:rsidR="0031675F" w:rsidRPr="0031675F" w14:paraId="2000FA2D" w14:textId="77777777" w:rsidTr="00B00729">
        <w:trPr>
          <w:cantSplit/>
          <w:trHeight w:val="1309"/>
          <w:jc w:val="center"/>
        </w:trPr>
        <w:tc>
          <w:tcPr>
            <w:tcW w:w="1405"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18298B3E"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Site</w:t>
            </w:r>
          </w:p>
        </w:tc>
        <w:tc>
          <w:tcPr>
            <w:tcW w:w="97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0CCF7A4E"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Lat</w:t>
            </w:r>
          </w:p>
        </w:tc>
        <w:tc>
          <w:tcPr>
            <w:tcW w:w="102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0E93BF55"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Long</w:t>
            </w:r>
          </w:p>
        </w:tc>
        <w:tc>
          <w:tcPr>
            <w:tcW w:w="87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551FCDCF"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Sample ID</w:t>
            </w:r>
          </w:p>
        </w:tc>
        <w:tc>
          <w:tcPr>
            <w:tcW w:w="62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4027654D"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Time</w:t>
            </w:r>
          </w:p>
        </w:tc>
        <w:tc>
          <w:tcPr>
            <w:tcW w:w="589"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4266126A"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Site Depth</w:t>
            </w:r>
          </w:p>
        </w:tc>
        <w:tc>
          <w:tcPr>
            <w:tcW w:w="639"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60DD455F"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Sample Depth</w:t>
            </w:r>
          </w:p>
        </w:tc>
        <w:tc>
          <w:tcPr>
            <w:tcW w:w="689"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23BB37B0"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Temp</w:t>
            </w:r>
          </w:p>
        </w:tc>
        <w:tc>
          <w:tcPr>
            <w:tcW w:w="57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60541D2C"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SPC</w:t>
            </w:r>
          </w:p>
        </w:tc>
        <w:tc>
          <w:tcPr>
            <w:tcW w:w="50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15F010B5"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Sal</w:t>
            </w:r>
          </w:p>
        </w:tc>
        <w:tc>
          <w:tcPr>
            <w:tcW w:w="423"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35BD9C90"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pH</w:t>
            </w:r>
          </w:p>
        </w:tc>
        <w:tc>
          <w:tcPr>
            <w:tcW w:w="572"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462C0B9E"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Chl</w:t>
            </w:r>
          </w:p>
        </w:tc>
        <w:tc>
          <w:tcPr>
            <w:tcW w:w="65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22C674EE"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DO</w:t>
            </w:r>
          </w:p>
        </w:tc>
        <w:tc>
          <w:tcPr>
            <w:tcW w:w="60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3280A1B5" w14:textId="77777777" w:rsidR="0031675F" w:rsidRPr="0031675F" w:rsidRDefault="0031675F" w:rsidP="0031675F">
            <w:pPr>
              <w:spacing w:before="40" w:after="40"/>
              <w:ind w:left="113" w:right="113"/>
              <w:jc w:val="center"/>
              <w:rPr>
                <w:rFonts w:cs="Arial"/>
                <w:b/>
                <w:bCs/>
                <w:sz w:val="18"/>
                <w:szCs w:val="18"/>
                <w:lang w:val="en-US"/>
              </w:rPr>
            </w:pPr>
            <w:r w:rsidRPr="0031675F">
              <w:rPr>
                <w:rFonts w:cs="Arial"/>
                <w:b/>
                <w:bCs/>
                <w:sz w:val="18"/>
                <w:szCs w:val="18"/>
                <w:lang w:val="en-US"/>
              </w:rPr>
              <w:t>DO%</w:t>
            </w:r>
          </w:p>
        </w:tc>
        <w:tc>
          <w:tcPr>
            <w:tcW w:w="1420"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0BC86F07" w14:textId="77777777" w:rsidR="0031675F" w:rsidRPr="0031675F" w:rsidRDefault="0031675F" w:rsidP="0031675F">
            <w:pPr>
              <w:spacing w:before="40" w:after="40"/>
              <w:jc w:val="center"/>
              <w:rPr>
                <w:rFonts w:cs="Arial"/>
                <w:b/>
                <w:bCs/>
                <w:sz w:val="18"/>
                <w:szCs w:val="18"/>
                <w:lang w:val="en-US"/>
              </w:rPr>
            </w:pPr>
            <w:r w:rsidRPr="0031675F">
              <w:rPr>
                <w:rFonts w:cs="Arial"/>
                <w:b/>
                <w:bCs/>
                <w:sz w:val="18"/>
                <w:szCs w:val="18"/>
                <w:lang w:val="en-US"/>
              </w:rPr>
              <w:t>Duplicate</w:t>
            </w:r>
          </w:p>
        </w:tc>
        <w:tc>
          <w:tcPr>
            <w:tcW w:w="40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235823F4" w14:textId="77777777" w:rsidR="0031675F" w:rsidRPr="0031675F" w:rsidRDefault="0031675F" w:rsidP="0031675F">
            <w:pPr>
              <w:spacing w:before="40" w:after="40"/>
              <w:jc w:val="center"/>
              <w:rPr>
                <w:rFonts w:cs="Arial"/>
                <w:b/>
                <w:bCs/>
                <w:sz w:val="18"/>
                <w:szCs w:val="18"/>
                <w:lang w:val="en-US"/>
              </w:rPr>
            </w:pPr>
            <w:r w:rsidRPr="0031675F">
              <w:rPr>
                <w:rFonts w:cs="Arial"/>
                <w:b/>
                <w:bCs/>
                <w:sz w:val="18"/>
                <w:szCs w:val="18"/>
                <w:lang w:val="en-US"/>
              </w:rPr>
              <w:t>Pesticide</w:t>
            </w:r>
          </w:p>
        </w:tc>
        <w:tc>
          <w:tcPr>
            <w:tcW w:w="40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07681B44" w14:textId="77777777" w:rsidR="0031675F" w:rsidRPr="0031675F" w:rsidRDefault="0031675F" w:rsidP="0031675F">
            <w:pPr>
              <w:spacing w:before="40" w:after="40"/>
              <w:jc w:val="center"/>
              <w:rPr>
                <w:rFonts w:cs="Arial"/>
                <w:b/>
                <w:bCs/>
                <w:sz w:val="18"/>
                <w:szCs w:val="18"/>
                <w:lang w:val="en-US"/>
              </w:rPr>
            </w:pPr>
            <w:r w:rsidRPr="0031675F">
              <w:rPr>
                <w:rFonts w:cs="Arial"/>
                <w:b/>
                <w:bCs/>
                <w:sz w:val="18"/>
                <w:szCs w:val="18"/>
                <w:lang w:val="en-US"/>
              </w:rPr>
              <w:t>Phytoplankton</w:t>
            </w:r>
          </w:p>
        </w:tc>
        <w:tc>
          <w:tcPr>
            <w:tcW w:w="406" w:type="dxa"/>
            <w:tcBorders>
              <w:top w:val="single" w:sz="8" w:space="0" w:color="7F7F7F"/>
              <w:left w:val="single" w:sz="8" w:space="0" w:color="7F7F7F"/>
              <w:bottom w:val="single" w:sz="8" w:space="0" w:color="7F7F7F"/>
              <w:right w:val="single" w:sz="8" w:space="0" w:color="7F7F7F"/>
            </w:tcBorders>
            <w:shd w:val="clear" w:color="000000" w:fill="C0C0C0"/>
            <w:textDirection w:val="btLr"/>
            <w:vAlign w:val="center"/>
            <w:hideMark/>
          </w:tcPr>
          <w:p w14:paraId="3FEAA817" w14:textId="77777777" w:rsidR="0031675F" w:rsidRPr="0031675F" w:rsidRDefault="0031675F" w:rsidP="0031675F">
            <w:pPr>
              <w:spacing w:before="40" w:after="40"/>
              <w:jc w:val="center"/>
              <w:rPr>
                <w:rFonts w:cs="Arial"/>
                <w:b/>
                <w:bCs/>
                <w:sz w:val="18"/>
                <w:szCs w:val="18"/>
                <w:lang w:val="en-US"/>
              </w:rPr>
            </w:pPr>
            <w:r w:rsidRPr="0031675F">
              <w:rPr>
                <w:rFonts w:cs="Arial"/>
                <w:b/>
                <w:bCs/>
                <w:sz w:val="18"/>
                <w:szCs w:val="18"/>
                <w:lang w:val="en-US"/>
              </w:rPr>
              <w:t>Trace Metals</w:t>
            </w:r>
          </w:p>
        </w:tc>
        <w:tc>
          <w:tcPr>
            <w:tcW w:w="1222" w:type="dxa"/>
            <w:tcBorders>
              <w:top w:val="single" w:sz="8" w:space="0" w:color="7F7F7F"/>
              <w:left w:val="single" w:sz="8" w:space="0" w:color="7F7F7F"/>
              <w:bottom w:val="single" w:sz="8" w:space="0" w:color="7F7F7F"/>
              <w:right w:val="single" w:sz="8" w:space="0" w:color="7F7F7F"/>
            </w:tcBorders>
            <w:shd w:val="clear" w:color="000000" w:fill="C0C0C0"/>
            <w:noWrap/>
            <w:vAlign w:val="center"/>
            <w:hideMark/>
          </w:tcPr>
          <w:p w14:paraId="283F5086" w14:textId="77777777" w:rsidR="0031675F" w:rsidRPr="0031675F" w:rsidRDefault="0031675F" w:rsidP="0031675F">
            <w:pPr>
              <w:spacing w:before="40" w:after="40"/>
              <w:jc w:val="center"/>
              <w:rPr>
                <w:rFonts w:cs="Arial"/>
                <w:b/>
                <w:bCs/>
                <w:sz w:val="18"/>
                <w:szCs w:val="18"/>
                <w:lang w:val="en-US"/>
              </w:rPr>
            </w:pPr>
            <w:r w:rsidRPr="0031675F">
              <w:rPr>
                <w:rFonts w:cs="Arial"/>
                <w:b/>
                <w:bCs/>
                <w:sz w:val="18"/>
                <w:szCs w:val="18"/>
                <w:lang w:val="en-US"/>
              </w:rPr>
              <w:t>Comment</w:t>
            </w:r>
          </w:p>
        </w:tc>
      </w:tr>
      <w:tr w:rsidR="0031675F" w:rsidRPr="0031675F" w14:paraId="69F63F83" w14:textId="77777777" w:rsidTr="00B00729">
        <w:trPr>
          <w:trHeight w:val="45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08A4D7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4CB96A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15EF07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23AD0E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56C199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F1D75C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83C27E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6D47C0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0A7C71A"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F8E1C1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9D9857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8E2D71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163510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A29073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30671E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94C1869"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7515328"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5EFE54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F3C5E3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r>
      <w:tr w:rsidR="0031675F" w:rsidRPr="0031675F" w14:paraId="016D6BA8" w14:textId="77777777" w:rsidTr="00B00729">
        <w:trPr>
          <w:trHeight w:val="42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6EF69E5"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9BE3FD8"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2A4308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FE5F2C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39F5FF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431258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C79789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B1537A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8054EA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EA7F52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C73A1E5"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B169CCA"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D89DFFA"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D62578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0C5C558"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E3083E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640307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78F59D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1771BA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r>
      <w:tr w:rsidR="0031675F" w:rsidRPr="0031675F" w14:paraId="3E93FAD3" w14:textId="77777777" w:rsidTr="00B00729">
        <w:trPr>
          <w:trHeight w:val="45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DC7BB4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269B72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CA3C588"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1DDC9F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49B227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E85049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00F0AB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C1C2A1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F86782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4BBA5C3"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DD31BF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6E451FA"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029EB1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32BBFC5"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068C52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E613CA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361467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5D9DF2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251FE4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r>
      <w:tr w:rsidR="0031675F" w:rsidRPr="0031675F" w14:paraId="1C3C1833" w14:textId="77777777" w:rsidTr="00B00729">
        <w:trPr>
          <w:trHeight w:val="525"/>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E0A4A1E"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BCA361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789FE5A"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3EF8F0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84F9CB9"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13C251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B68EDC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376CB2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F5B70A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1FE85D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C60B57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51F3AFA"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A2655F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BBDF4E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169E10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5EB3EA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CCEAC4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FB53C6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6DBE063"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r>
      <w:tr w:rsidR="0031675F" w:rsidRPr="0031675F" w14:paraId="003F6473" w14:textId="77777777" w:rsidTr="00B00729">
        <w:trPr>
          <w:trHeight w:val="45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879150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8285F5E"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FDF9155"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ED7513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553245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1A4E49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DE2FC7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7FBC89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14AB8D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AA12F1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497BD2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C3F4A9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31C83A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7F280F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D4B7175"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24C5F88"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6F9CFE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8AAAA1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64CED7A"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r>
      <w:tr w:rsidR="0031675F" w:rsidRPr="0031675F" w14:paraId="3E4629A6" w14:textId="77777777" w:rsidTr="00B00729">
        <w:trPr>
          <w:trHeight w:val="54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AFD3E7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051EE9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239ED4A"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3512E1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C60FF8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038484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A39519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3FADAB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9A4F99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908EE2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6A51A2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6E8DE54"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EA5EAA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E289E2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747231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F191D2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180B3D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1811CC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13A8D2A"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r>
      <w:tr w:rsidR="0031675F" w:rsidRPr="0031675F" w14:paraId="38914913" w14:textId="77777777" w:rsidTr="00B00729">
        <w:trPr>
          <w:trHeight w:val="51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4B89149"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7AA638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EB8185E"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78B9315"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0966AA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586D40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080C2F9"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6C492C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E40977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EFEA323"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9C574C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71E6BF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5216D0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E606E2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46E8205"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E7EC7F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0CA39E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91B3CF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4FF7DF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r>
      <w:tr w:rsidR="0031675F" w:rsidRPr="0031675F" w14:paraId="5F6460A3" w14:textId="77777777" w:rsidTr="00B00729">
        <w:trPr>
          <w:trHeight w:val="435"/>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8AD228A"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512CA4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CE7880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95918E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A1E2D63"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2C0216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FCD6E1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70538C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E5F1A2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17A51E9"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CA51D08"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557770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77E071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8E28BA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614ED3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BDC7B59"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474B343"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C0DF871"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F00DE7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r>
      <w:tr w:rsidR="0031675F" w:rsidRPr="0031675F" w14:paraId="22B28DC4" w14:textId="77777777" w:rsidTr="00B00729">
        <w:trPr>
          <w:trHeight w:val="45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8DC378A"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34B794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1798CD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F1BDB7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ABFE84E"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F3FE46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1295ABE"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A8B0E60"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3B37388"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6640F8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7B3C5A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6B309F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D92F2B8"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9766572"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E1E8FC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57E4BB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92C5CF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5F73843"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836359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r>
      <w:tr w:rsidR="0031675F" w:rsidRPr="0031675F" w14:paraId="0549A87B" w14:textId="77777777" w:rsidTr="00B00729">
        <w:trPr>
          <w:trHeight w:val="450"/>
          <w:jc w:val="center"/>
        </w:trPr>
        <w:tc>
          <w:tcPr>
            <w:tcW w:w="1405"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6F55C9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9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DEEC6A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0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4C47E9C8"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8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DE073E5"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6CB1B05"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8D847FC"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3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C4E7F1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89"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A6E6873"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28A9EE8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A316AD8"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23"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4DCAF37"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57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13ACD83"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5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57EAF03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6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B0EF8DF"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420"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386E835D"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02B26679"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1111E1B6"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406"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760CCDF8"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c>
          <w:tcPr>
            <w:tcW w:w="1222" w:type="dxa"/>
            <w:tcBorders>
              <w:top w:val="single" w:sz="8" w:space="0" w:color="7F7F7F"/>
              <w:left w:val="single" w:sz="8" w:space="0" w:color="7F7F7F"/>
              <w:bottom w:val="single" w:sz="8" w:space="0" w:color="7F7F7F"/>
              <w:right w:val="single" w:sz="8" w:space="0" w:color="7F7F7F"/>
            </w:tcBorders>
            <w:shd w:val="clear" w:color="auto" w:fill="auto"/>
            <w:noWrap/>
            <w:vAlign w:val="bottom"/>
            <w:hideMark/>
          </w:tcPr>
          <w:p w14:paraId="6446A58B" w14:textId="77777777" w:rsidR="0031675F" w:rsidRPr="0031675F" w:rsidRDefault="0031675F" w:rsidP="0031675F">
            <w:pPr>
              <w:spacing w:before="40" w:after="40"/>
              <w:rPr>
                <w:rFonts w:cs="Arial"/>
                <w:sz w:val="18"/>
                <w:szCs w:val="18"/>
                <w:lang w:val="en-US"/>
              </w:rPr>
            </w:pPr>
            <w:r w:rsidRPr="0031675F">
              <w:rPr>
                <w:rFonts w:cs="Arial"/>
                <w:sz w:val="18"/>
                <w:szCs w:val="18"/>
                <w:lang w:val="en-US"/>
              </w:rPr>
              <w:t> </w:t>
            </w:r>
          </w:p>
        </w:tc>
      </w:tr>
    </w:tbl>
    <w:p w14:paraId="75D12822" w14:textId="77777777" w:rsidR="0031675F" w:rsidRPr="0031675F" w:rsidRDefault="0031675F" w:rsidP="0031675F"/>
    <w:p w14:paraId="73FD9C0E" w14:textId="77777777" w:rsidR="0031675F" w:rsidRPr="0031675F" w:rsidRDefault="0031675F" w:rsidP="0031675F">
      <w:pPr>
        <w:sectPr w:rsidR="0031675F" w:rsidRPr="0031675F" w:rsidSect="00084431">
          <w:headerReference w:type="default" r:id="rId195"/>
          <w:footerReference w:type="default" r:id="rId196"/>
          <w:pgSz w:w="16840" w:h="11907" w:orient="landscape" w:code="9"/>
          <w:pgMar w:top="1418" w:right="1418" w:bottom="1418" w:left="1418" w:header="708" w:footer="708" w:gutter="0"/>
          <w:cols w:space="708"/>
          <w:docGrid w:linePitch="360"/>
        </w:sectPr>
      </w:pPr>
    </w:p>
    <w:p w14:paraId="00093AEE" w14:textId="44A34ACA" w:rsidR="00374388" w:rsidRDefault="00374388" w:rsidP="00CA621B">
      <w:pPr>
        <w:pStyle w:val="Heading2"/>
        <w:numPr>
          <w:ilvl w:val="0"/>
          <w:numId w:val="0"/>
        </w:numPr>
        <w:ind w:left="284"/>
        <w:jc w:val="center"/>
      </w:pPr>
      <w:bookmarkStart w:id="754" w:name="_Toc12365643"/>
      <w:r w:rsidRPr="0031675F">
        <w:t>Appendix</w:t>
      </w:r>
      <w:r w:rsidRPr="0031675F">
        <w:rPr>
          <w:spacing w:val="-14"/>
        </w:rPr>
        <w:t xml:space="preserve"> </w:t>
      </w:r>
      <w:r w:rsidRPr="0031675F">
        <w:t>B</w:t>
      </w:r>
      <w:r>
        <w:t xml:space="preserve">3 </w:t>
      </w:r>
      <w:r w:rsidRPr="00374388">
        <w:t>Metadata for flood plume data entered into TropWater flood database</w:t>
      </w:r>
      <w:bookmarkEnd w:id="754"/>
    </w:p>
    <w:p w14:paraId="5EF480DF" w14:textId="399ABB1E" w:rsidR="0031675F" w:rsidRPr="0031675F" w:rsidRDefault="0031675F" w:rsidP="0031675F">
      <w:pPr>
        <w:jc w:val="center"/>
        <w:rPr>
          <w:b/>
          <w:sz w:val="36"/>
          <w:szCs w:val="36"/>
        </w:rPr>
      </w:pPr>
    </w:p>
    <w:p w14:paraId="6500CBF8" w14:textId="77777777" w:rsidR="0031675F" w:rsidRPr="0031675F" w:rsidRDefault="0031675F" w:rsidP="0031675F">
      <w:pPr>
        <w:jc w:val="center"/>
      </w:pPr>
    </w:p>
    <w:p w14:paraId="6A9DC494" w14:textId="77777777" w:rsidR="0031675F" w:rsidRPr="0031675F" w:rsidRDefault="0031675F" w:rsidP="0031675F">
      <w:pPr>
        <w:jc w:val="center"/>
      </w:pPr>
    </w:p>
    <w:p w14:paraId="418B59A7" w14:textId="77777777" w:rsidR="0031675F" w:rsidRPr="0031675F" w:rsidRDefault="0031675F" w:rsidP="0031675F">
      <w:pPr>
        <w:jc w:val="center"/>
      </w:pPr>
      <w:r w:rsidRPr="0031675F">
        <w:rPr>
          <w:noProof/>
          <w:lang w:eastAsia="en-AU"/>
        </w:rPr>
        <w:drawing>
          <wp:inline distT="0" distB="0" distL="0" distR="0" wp14:anchorId="3AB273D0" wp14:editId="6B11C5E1">
            <wp:extent cx="2291715" cy="1401445"/>
            <wp:effectExtent l="0" t="0" r="0" b="8255"/>
            <wp:docPr id="159" name="Picture 159"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88" r:link="rId189">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19FB2720" w14:textId="77777777" w:rsidR="0031675F" w:rsidRPr="0031675F" w:rsidRDefault="0031675F" w:rsidP="0031675F">
      <w:pPr>
        <w:jc w:val="center"/>
      </w:pPr>
    </w:p>
    <w:p w14:paraId="5318A6BA" w14:textId="77777777" w:rsidR="0031675F" w:rsidRPr="0031675F" w:rsidRDefault="0031675F" w:rsidP="0031675F">
      <w:pPr>
        <w:jc w:val="center"/>
      </w:pPr>
    </w:p>
    <w:p w14:paraId="73C11EEF" w14:textId="77777777" w:rsidR="0031675F" w:rsidRPr="0031675F" w:rsidRDefault="0031675F" w:rsidP="0031675F">
      <w:pPr>
        <w:jc w:val="center"/>
        <w:rPr>
          <w:rFonts w:cs="Arial"/>
        </w:rPr>
      </w:pPr>
    </w:p>
    <w:p w14:paraId="52CCB035" w14:textId="77777777" w:rsidR="0031675F" w:rsidRPr="0031675F" w:rsidRDefault="0031675F" w:rsidP="0031675F">
      <w:pPr>
        <w:jc w:val="center"/>
      </w:pPr>
    </w:p>
    <w:p w14:paraId="1190C4FD" w14:textId="77777777" w:rsidR="0031675F" w:rsidRPr="0031675F" w:rsidRDefault="0031675F" w:rsidP="0031675F"/>
    <w:p w14:paraId="79E1C851" w14:textId="77777777" w:rsidR="0031675F" w:rsidRPr="0031675F" w:rsidRDefault="0031675F" w:rsidP="0031675F">
      <w:pPr>
        <w:sectPr w:rsidR="0031675F" w:rsidRPr="0031675F" w:rsidSect="00084431">
          <w:headerReference w:type="default" r:id="rId197"/>
          <w:footerReference w:type="default" r:id="rId198"/>
          <w:pgSz w:w="11907" w:h="16840" w:code="9"/>
          <w:pgMar w:top="1418" w:right="1418" w:bottom="1418" w:left="1418" w:header="709" w:footer="709" w:gutter="0"/>
          <w:cols w:space="708"/>
          <w:vAlign w:val="center"/>
          <w:docGrid w:linePitch="360"/>
        </w:sectPr>
      </w:pPr>
    </w:p>
    <w:p w14:paraId="65CEC448" w14:textId="77777777" w:rsidR="0031675F" w:rsidRPr="0031675F" w:rsidRDefault="0031675F" w:rsidP="0031675F">
      <w:pPr>
        <w:rPr>
          <w:b/>
          <w:sz w:val="28"/>
          <w:szCs w:val="28"/>
        </w:rPr>
      </w:pPr>
      <w:r w:rsidRPr="0031675F">
        <w:rPr>
          <w:b/>
          <w:sz w:val="28"/>
          <w:szCs w:val="28"/>
        </w:rPr>
        <w:t>Metadata for flood plume data entered into TropWater flood database</w:t>
      </w:r>
    </w:p>
    <w:p w14:paraId="484CFDE9" w14:textId="77777777" w:rsidR="0031675F" w:rsidRPr="0031675F" w:rsidRDefault="0031675F" w:rsidP="0031675F"/>
    <w:p w14:paraId="4CB5A1DF" w14:textId="77777777" w:rsidR="0031675F" w:rsidRPr="0031675F" w:rsidRDefault="0031675F" w:rsidP="0031675F">
      <w:pPr>
        <w:rPr>
          <w:b/>
        </w:rPr>
      </w:pPr>
      <w:r w:rsidRPr="0031675F">
        <w:rPr>
          <w:b/>
        </w:rPr>
        <w:t>Water quality data for flood plumes 1991 – 2008</w:t>
      </w:r>
    </w:p>
    <w:p w14:paraId="6F0FB3C3" w14:textId="77777777" w:rsidR="0031675F" w:rsidRPr="0031675F" w:rsidRDefault="0031675F" w:rsidP="0031675F">
      <w:pPr>
        <w:rPr>
          <w:b/>
        </w:rPr>
      </w:pPr>
      <w:r w:rsidRPr="0031675F">
        <w:rPr>
          <w:b/>
        </w:rPr>
        <w:t>Mandatory fields</w:t>
      </w:r>
    </w:p>
    <w:p w14:paraId="4870322E" w14:textId="77777777" w:rsidR="0031675F" w:rsidRPr="0031675F" w:rsidRDefault="0031675F" w:rsidP="0031675F">
      <w:pPr>
        <w:rPr>
          <w:b/>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0"/>
        <w:gridCol w:w="7052"/>
      </w:tblGrid>
      <w:tr w:rsidR="0031675F" w:rsidRPr="0031675F" w14:paraId="39DEF216" w14:textId="77777777" w:rsidTr="00B00729">
        <w:trPr>
          <w:tblHeader/>
          <w:jc w:val="center"/>
        </w:trPr>
        <w:tc>
          <w:tcPr>
            <w:tcW w:w="1908" w:type="dxa"/>
            <w:shd w:val="clear" w:color="auto" w:fill="BFBFBF"/>
            <w:vAlign w:val="center"/>
          </w:tcPr>
          <w:p w14:paraId="1341EFBF" w14:textId="77777777" w:rsidR="0031675F" w:rsidRPr="0031675F" w:rsidRDefault="0031675F" w:rsidP="0031675F">
            <w:pPr>
              <w:spacing w:before="60" w:after="60"/>
              <w:rPr>
                <w:b/>
                <w:sz w:val="20"/>
              </w:rPr>
            </w:pPr>
            <w:r w:rsidRPr="0031675F">
              <w:rPr>
                <w:b/>
                <w:sz w:val="20"/>
              </w:rPr>
              <w:t>Field</w:t>
            </w:r>
          </w:p>
        </w:tc>
        <w:tc>
          <w:tcPr>
            <w:tcW w:w="6660" w:type="dxa"/>
            <w:shd w:val="clear" w:color="auto" w:fill="BFBFBF"/>
            <w:vAlign w:val="center"/>
          </w:tcPr>
          <w:p w14:paraId="63972E7A" w14:textId="77777777" w:rsidR="0031675F" w:rsidRPr="0031675F" w:rsidRDefault="0031675F" w:rsidP="0031675F">
            <w:pPr>
              <w:spacing w:before="60" w:after="60"/>
              <w:rPr>
                <w:b/>
                <w:sz w:val="20"/>
              </w:rPr>
            </w:pPr>
            <w:r w:rsidRPr="0031675F">
              <w:rPr>
                <w:b/>
                <w:sz w:val="20"/>
              </w:rPr>
              <w:t>Description</w:t>
            </w:r>
          </w:p>
        </w:tc>
      </w:tr>
      <w:tr w:rsidR="0031675F" w:rsidRPr="0031675F" w14:paraId="1B56E290" w14:textId="77777777" w:rsidTr="00B00729">
        <w:trPr>
          <w:jc w:val="center"/>
        </w:trPr>
        <w:tc>
          <w:tcPr>
            <w:tcW w:w="1908" w:type="dxa"/>
            <w:vAlign w:val="center"/>
          </w:tcPr>
          <w:p w14:paraId="38FA01D2" w14:textId="77777777" w:rsidR="0031675F" w:rsidRPr="0031675F" w:rsidRDefault="0031675F" w:rsidP="0031675F">
            <w:pPr>
              <w:spacing w:before="60" w:after="60"/>
              <w:rPr>
                <w:b/>
                <w:sz w:val="20"/>
              </w:rPr>
            </w:pPr>
            <w:r w:rsidRPr="0031675F">
              <w:rPr>
                <w:b/>
                <w:sz w:val="20"/>
              </w:rPr>
              <w:t>Unique ID</w:t>
            </w:r>
          </w:p>
        </w:tc>
        <w:tc>
          <w:tcPr>
            <w:tcW w:w="6660" w:type="dxa"/>
            <w:vAlign w:val="center"/>
          </w:tcPr>
          <w:p w14:paraId="6A24A83C" w14:textId="77777777" w:rsidR="0031675F" w:rsidRPr="0031675F" w:rsidRDefault="0031675F" w:rsidP="0031675F">
            <w:pPr>
              <w:spacing w:before="60" w:after="60"/>
              <w:rPr>
                <w:sz w:val="20"/>
              </w:rPr>
            </w:pPr>
            <w:r w:rsidRPr="0031675F">
              <w:rPr>
                <w:sz w:val="20"/>
              </w:rPr>
              <w:t>Id that links the sample and water quality data. Note all duplicates have been combined</w:t>
            </w:r>
          </w:p>
        </w:tc>
      </w:tr>
      <w:tr w:rsidR="0031675F" w:rsidRPr="0031675F" w14:paraId="359029B1" w14:textId="77777777" w:rsidTr="00B00729">
        <w:trPr>
          <w:jc w:val="center"/>
        </w:trPr>
        <w:tc>
          <w:tcPr>
            <w:tcW w:w="1908" w:type="dxa"/>
            <w:vAlign w:val="center"/>
          </w:tcPr>
          <w:p w14:paraId="6F3E5CD7" w14:textId="77777777" w:rsidR="0031675F" w:rsidRPr="0031675F" w:rsidRDefault="0031675F" w:rsidP="0031675F">
            <w:pPr>
              <w:spacing w:before="60" w:after="60"/>
              <w:rPr>
                <w:sz w:val="20"/>
              </w:rPr>
            </w:pPr>
            <w:r w:rsidRPr="0031675F">
              <w:rPr>
                <w:sz w:val="20"/>
              </w:rPr>
              <w:t>Cyclone</w:t>
            </w:r>
          </w:p>
        </w:tc>
        <w:tc>
          <w:tcPr>
            <w:tcW w:w="6660" w:type="dxa"/>
            <w:vAlign w:val="center"/>
          </w:tcPr>
          <w:p w14:paraId="467C9C97" w14:textId="77777777" w:rsidR="0031675F" w:rsidRPr="0031675F" w:rsidRDefault="0031675F" w:rsidP="0031675F">
            <w:pPr>
              <w:spacing w:before="60" w:after="60"/>
              <w:rPr>
                <w:sz w:val="20"/>
              </w:rPr>
            </w:pPr>
            <w:r w:rsidRPr="0031675F">
              <w:rPr>
                <w:sz w:val="20"/>
              </w:rPr>
              <w:t>Name of Cyclone associated with flood event (non cyclone = low pressure)</w:t>
            </w:r>
          </w:p>
        </w:tc>
      </w:tr>
      <w:tr w:rsidR="0031675F" w:rsidRPr="0031675F" w14:paraId="40DB9543" w14:textId="77777777" w:rsidTr="00B00729">
        <w:trPr>
          <w:jc w:val="center"/>
        </w:trPr>
        <w:tc>
          <w:tcPr>
            <w:tcW w:w="1908" w:type="dxa"/>
            <w:vAlign w:val="center"/>
          </w:tcPr>
          <w:p w14:paraId="769C4729" w14:textId="77777777" w:rsidR="0031675F" w:rsidRPr="0031675F" w:rsidRDefault="0031675F" w:rsidP="0031675F">
            <w:pPr>
              <w:spacing w:before="60" w:after="60"/>
              <w:rPr>
                <w:sz w:val="20"/>
              </w:rPr>
            </w:pPr>
            <w:r w:rsidRPr="0031675F">
              <w:rPr>
                <w:sz w:val="20"/>
              </w:rPr>
              <w:t>Cyclone number</w:t>
            </w:r>
          </w:p>
        </w:tc>
        <w:tc>
          <w:tcPr>
            <w:tcW w:w="6660" w:type="dxa"/>
            <w:vAlign w:val="center"/>
          </w:tcPr>
          <w:p w14:paraId="6462E442" w14:textId="77777777" w:rsidR="0031675F" w:rsidRPr="0031675F" w:rsidRDefault="0031675F" w:rsidP="0031675F">
            <w:pPr>
              <w:spacing w:before="60" w:after="60"/>
              <w:rPr>
                <w:sz w:val="20"/>
              </w:rPr>
            </w:pPr>
            <w:r w:rsidRPr="0031675F">
              <w:rPr>
                <w:sz w:val="20"/>
              </w:rPr>
              <w:t>Number associated with the cyclone [Joy = 1, Sadie = 2, Violet = 3, Ethel = 4, Justin = 5, Sid = 6, Rona = 7, Steve = 8, etc.]</w:t>
            </w:r>
          </w:p>
        </w:tc>
      </w:tr>
      <w:tr w:rsidR="0031675F" w:rsidRPr="0031675F" w14:paraId="375BC603" w14:textId="77777777" w:rsidTr="00B00729">
        <w:trPr>
          <w:jc w:val="center"/>
        </w:trPr>
        <w:tc>
          <w:tcPr>
            <w:tcW w:w="1908" w:type="dxa"/>
            <w:vAlign w:val="center"/>
          </w:tcPr>
          <w:p w14:paraId="42FA0AA6" w14:textId="77777777" w:rsidR="0031675F" w:rsidRPr="0031675F" w:rsidRDefault="0031675F" w:rsidP="0031675F">
            <w:pPr>
              <w:spacing w:before="60" w:after="60"/>
              <w:rPr>
                <w:sz w:val="20"/>
              </w:rPr>
            </w:pPr>
            <w:r w:rsidRPr="0031675F">
              <w:rPr>
                <w:sz w:val="20"/>
              </w:rPr>
              <w:t>Catchment</w:t>
            </w:r>
          </w:p>
        </w:tc>
        <w:tc>
          <w:tcPr>
            <w:tcW w:w="6660" w:type="dxa"/>
            <w:vAlign w:val="center"/>
          </w:tcPr>
          <w:p w14:paraId="0D775DF2" w14:textId="77777777" w:rsidR="0031675F" w:rsidRPr="0031675F" w:rsidRDefault="0031675F" w:rsidP="0031675F">
            <w:pPr>
              <w:spacing w:before="60" w:after="60"/>
              <w:rPr>
                <w:sz w:val="20"/>
              </w:rPr>
            </w:pPr>
            <w:r w:rsidRPr="0031675F">
              <w:rPr>
                <w:sz w:val="20"/>
              </w:rPr>
              <w:t>Catchment adjacent to sampling station</w:t>
            </w:r>
          </w:p>
        </w:tc>
      </w:tr>
      <w:tr w:rsidR="0031675F" w:rsidRPr="0031675F" w14:paraId="530D9CC3" w14:textId="77777777" w:rsidTr="00B00729">
        <w:trPr>
          <w:jc w:val="center"/>
        </w:trPr>
        <w:tc>
          <w:tcPr>
            <w:tcW w:w="1908" w:type="dxa"/>
            <w:vAlign w:val="center"/>
          </w:tcPr>
          <w:p w14:paraId="56C8244D" w14:textId="77777777" w:rsidR="0031675F" w:rsidRPr="0031675F" w:rsidRDefault="0031675F" w:rsidP="0031675F">
            <w:pPr>
              <w:spacing w:before="60" w:after="60"/>
              <w:rPr>
                <w:sz w:val="20"/>
              </w:rPr>
            </w:pPr>
            <w:r w:rsidRPr="0031675F">
              <w:rPr>
                <w:sz w:val="20"/>
              </w:rPr>
              <w:t>Catchment number</w:t>
            </w:r>
          </w:p>
        </w:tc>
        <w:tc>
          <w:tcPr>
            <w:tcW w:w="6660" w:type="dxa"/>
            <w:vAlign w:val="center"/>
          </w:tcPr>
          <w:p w14:paraId="57257530" w14:textId="77777777" w:rsidR="0031675F" w:rsidRPr="0031675F" w:rsidRDefault="0031675F" w:rsidP="0031675F">
            <w:pPr>
              <w:spacing w:before="60" w:after="60"/>
              <w:rPr>
                <w:sz w:val="20"/>
              </w:rPr>
            </w:pPr>
            <w:r w:rsidRPr="0031675F">
              <w:rPr>
                <w:sz w:val="20"/>
              </w:rPr>
              <w:t xml:space="preserve">Number associated with the catchment </w:t>
            </w:r>
          </w:p>
        </w:tc>
      </w:tr>
      <w:tr w:rsidR="0031675F" w:rsidRPr="0031675F" w14:paraId="53225D98" w14:textId="77777777" w:rsidTr="00B00729">
        <w:trPr>
          <w:jc w:val="center"/>
        </w:trPr>
        <w:tc>
          <w:tcPr>
            <w:tcW w:w="1908" w:type="dxa"/>
            <w:vAlign w:val="center"/>
          </w:tcPr>
          <w:p w14:paraId="4C43B503" w14:textId="77777777" w:rsidR="0031675F" w:rsidRPr="0031675F" w:rsidRDefault="0031675F" w:rsidP="0031675F">
            <w:pPr>
              <w:spacing w:before="60" w:after="60"/>
              <w:rPr>
                <w:sz w:val="20"/>
              </w:rPr>
            </w:pPr>
            <w:r w:rsidRPr="0031675F">
              <w:rPr>
                <w:sz w:val="20"/>
              </w:rPr>
              <w:t>River</w:t>
            </w:r>
          </w:p>
        </w:tc>
        <w:tc>
          <w:tcPr>
            <w:tcW w:w="6660" w:type="dxa"/>
            <w:vAlign w:val="center"/>
          </w:tcPr>
          <w:p w14:paraId="5C841B90" w14:textId="77777777" w:rsidR="0031675F" w:rsidRPr="0031675F" w:rsidRDefault="0031675F" w:rsidP="0031675F">
            <w:pPr>
              <w:spacing w:before="60" w:after="60"/>
              <w:rPr>
                <w:sz w:val="20"/>
              </w:rPr>
            </w:pPr>
            <w:r w:rsidRPr="0031675F">
              <w:rPr>
                <w:sz w:val="20"/>
              </w:rPr>
              <w:t>Most closely located flooding river ( if able to identify)</w:t>
            </w:r>
          </w:p>
        </w:tc>
      </w:tr>
      <w:tr w:rsidR="0031675F" w:rsidRPr="0031675F" w14:paraId="04D78D2A" w14:textId="77777777" w:rsidTr="00B00729">
        <w:trPr>
          <w:jc w:val="center"/>
        </w:trPr>
        <w:tc>
          <w:tcPr>
            <w:tcW w:w="1908" w:type="dxa"/>
            <w:vAlign w:val="center"/>
          </w:tcPr>
          <w:p w14:paraId="686D7AD7" w14:textId="77777777" w:rsidR="0031675F" w:rsidRPr="0031675F" w:rsidRDefault="0031675F" w:rsidP="0031675F">
            <w:pPr>
              <w:spacing w:before="60" w:after="60"/>
              <w:rPr>
                <w:sz w:val="20"/>
              </w:rPr>
            </w:pPr>
            <w:r w:rsidRPr="0031675F">
              <w:rPr>
                <w:sz w:val="20"/>
              </w:rPr>
              <w:t>Year</w:t>
            </w:r>
          </w:p>
        </w:tc>
        <w:tc>
          <w:tcPr>
            <w:tcW w:w="6660" w:type="dxa"/>
            <w:vAlign w:val="center"/>
          </w:tcPr>
          <w:p w14:paraId="4B0E7627" w14:textId="77777777" w:rsidR="0031675F" w:rsidRPr="0031675F" w:rsidRDefault="0031675F" w:rsidP="0031675F">
            <w:pPr>
              <w:spacing w:before="60" w:after="60"/>
              <w:rPr>
                <w:sz w:val="20"/>
              </w:rPr>
            </w:pPr>
            <w:r w:rsidRPr="0031675F">
              <w:rPr>
                <w:sz w:val="20"/>
              </w:rPr>
              <w:t>Year of sample</w:t>
            </w:r>
          </w:p>
        </w:tc>
      </w:tr>
      <w:tr w:rsidR="0031675F" w:rsidRPr="0031675F" w14:paraId="2336B3F0" w14:textId="77777777" w:rsidTr="00B00729">
        <w:trPr>
          <w:jc w:val="center"/>
        </w:trPr>
        <w:tc>
          <w:tcPr>
            <w:tcW w:w="1908" w:type="dxa"/>
            <w:vAlign w:val="center"/>
          </w:tcPr>
          <w:p w14:paraId="5C4F3350" w14:textId="77777777" w:rsidR="0031675F" w:rsidRPr="0031675F" w:rsidRDefault="0031675F" w:rsidP="0031675F">
            <w:pPr>
              <w:spacing w:before="60" w:after="60"/>
              <w:rPr>
                <w:sz w:val="20"/>
              </w:rPr>
            </w:pPr>
            <w:r w:rsidRPr="0031675F">
              <w:rPr>
                <w:sz w:val="20"/>
              </w:rPr>
              <w:t>Month</w:t>
            </w:r>
          </w:p>
        </w:tc>
        <w:tc>
          <w:tcPr>
            <w:tcW w:w="6660" w:type="dxa"/>
            <w:vAlign w:val="center"/>
          </w:tcPr>
          <w:p w14:paraId="65706099" w14:textId="77777777" w:rsidR="0031675F" w:rsidRPr="0031675F" w:rsidRDefault="0031675F" w:rsidP="0031675F">
            <w:pPr>
              <w:spacing w:before="60" w:after="60"/>
              <w:rPr>
                <w:sz w:val="20"/>
              </w:rPr>
            </w:pPr>
            <w:r w:rsidRPr="0031675F">
              <w:rPr>
                <w:sz w:val="20"/>
              </w:rPr>
              <w:t>The month that the sample was taken in</w:t>
            </w:r>
          </w:p>
        </w:tc>
      </w:tr>
      <w:tr w:rsidR="0031675F" w:rsidRPr="0031675F" w14:paraId="6DD73292" w14:textId="77777777" w:rsidTr="00B00729">
        <w:trPr>
          <w:jc w:val="center"/>
        </w:trPr>
        <w:tc>
          <w:tcPr>
            <w:tcW w:w="1908" w:type="dxa"/>
            <w:vAlign w:val="center"/>
          </w:tcPr>
          <w:p w14:paraId="04A1B650" w14:textId="77777777" w:rsidR="0031675F" w:rsidRPr="0031675F" w:rsidRDefault="0031675F" w:rsidP="0031675F">
            <w:pPr>
              <w:spacing w:before="60" w:after="60"/>
              <w:rPr>
                <w:sz w:val="20"/>
              </w:rPr>
            </w:pPr>
            <w:r w:rsidRPr="0031675F">
              <w:rPr>
                <w:sz w:val="20"/>
              </w:rPr>
              <w:t>Dist_Mou</w:t>
            </w:r>
          </w:p>
        </w:tc>
        <w:tc>
          <w:tcPr>
            <w:tcW w:w="6660" w:type="dxa"/>
            <w:vAlign w:val="center"/>
          </w:tcPr>
          <w:p w14:paraId="4ADBD069" w14:textId="77777777" w:rsidR="0031675F" w:rsidRPr="0031675F" w:rsidRDefault="0031675F" w:rsidP="0031675F">
            <w:pPr>
              <w:spacing w:before="60" w:after="60"/>
              <w:rPr>
                <w:sz w:val="20"/>
              </w:rPr>
            </w:pPr>
            <w:r w:rsidRPr="0031675F">
              <w:rPr>
                <w:sz w:val="20"/>
              </w:rPr>
              <w:t>Distance from river mouth (as plume moves)</w:t>
            </w:r>
          </w:p>
        </w:tc>
      </w:tr>
      <w:tr w:rsidR="0031675F" w:rsidRPr="0031675F" w14:paraId="59DC3B67" w14:textId="77777777" w:rsidTr="00B00729">
        <w:trPr>
          <w:jc w:val="center"/>
        </w:trPr>
        <w:tc>
          <w:tcPr>
            <w:tcW w:w="1908" w:type="dxa"/>
            <w:vAlign w:val="center"/>
          </w:tcPr>
          <w:p w14:paraId="73BBF07D" w14:textId="77777777" w:rsidR="0031675F" w:rsidRPr="0031675F" w:rsidRDefault="0031675F" w:rsidP="0031675F">
            <w:pPr>
              <w:spacing w:before="60" w:after="60"/>
              <w:rPr>
                <w:sz w:val="20"/>
              </w:rPr>
            </w:pPr>
            <w:r w:rsidRPr="0031675F">
              <w:rPr>
                <w:sz w:val="20"/>
              </w:rPr>
              <w:t>Reef</w:t>
            </w:r>
          </w:p>
        </w:tc>
        <w:tc>
          <w:tcPr>
            <w:tcW w:w="6660" w:type="dxa"/>
            <w:vAlign w:val="center"/>
          </w:tcPr>
          <w:p w14:paraId="0C05E985" w14:textId="77777777" w:rsidR="0031675F" w:rsidRPr="0031675F" w:rsidRDefault="0031675F" w:rsidP="0031675F">
            <w:pPr>
              <w:spacing w:before="60" w:after="60"/>
              <w:rPr>
                <w:sz w:val="20"/>
              </w:rPr>
            </w:pPr>
            <w:r w:rsidRPr="0031675F">
              <w:rPr>
                <w:sz w:val="20"/>
              </w:rPr>
              <w:t>Identifies if sample is located near a reef (within 1km) (R)</w:t>
            </w:r>
          </w:p>
        </w:tc>
      </w:tr>
      <w:tr w:rsidR="0031675F" w:rsidRPr="0031675F" w14:paraId="16CA96D2" w14:textId="77777777" w:rsidTr="00B00729">
        <w:trPr>
          <w:jc w:val="center"/>
        </w:trPr>
        <w:tc>
          <w:tcPr>
            <w:tcW w:w="1908" w:type="dxa"/>
            <w:vAlign w:val="center"/>
          </w:tcPr>
          <w:p w14:paraId="70DFBF13" w14:textId="77777777" w:rsidR="0031675F" w:rsidRPr="0031675F" w:rsidRDefault="0031675F" w:rsidP="0031675F">
            <w:pPr>
              <w:spacing w:before="60" w:after="60"/>
              <w:rPr>
                <w:sz w:val="20"/>
              </w:rPr>
            </w:pPr>
            <w:r w:rsidRPr="0031675F">
              <w:rPr>
                <w:sz w:val="20"/>
              </w:rPr>
              <w:t>Agency</w:t>
            </w:r>
          </w:p>
        </w:tc>
        <w:tc>
          <w:tcPr>
            <w:tcW w:w="6660" w:type="dxa"/>
            <w:vAlign w:val="center"/>
          </w:tcPr>
          <w:p w14:paraId="52B221E1" w14:textId="77777777" w:rsidR="0031675F" w:rsidRPr="0031675F" w:rsidRDefault="0031675F" w:rsidP="0031675F">
            <w:pPr>
              <w:spacing w:before="60" w:after="60"/>
              <w:rPr>
                <w:sz w:val="20"/>
              </w:rPr>
            </w:pPr>
            <w:r w:rsidRPr="0031675F">
              <w:rPr>
                <w:sz w:val="20"/>
              </w:rPr>
              <w:t>Agency responsible for sampling of data [string]</w:t>
            </w:r>
          </w:p>
        </w:tc>
      </w:tr>
      <w:tr w:rsidR="0031675F" w:rsidRPr="0031675F" w14:paraId="664C1ADE" w14:textId="77777777" w:rsidTr="00B00729">
        <w:trPr>
          <w:jc w:val="center"/>
        </w:trPr>
        <w:tc>
          <w:tcPr>
            <w:tcW w:w="1908" w:type="dxa"/>
            <w:vAlign w:val="center"/>
          </w:tcPr>
          <w:p w14:paraId="7508C735" w14:textId="77777777" w:rsidR="0031675F" w:rsidRPr="0031675F" w:rsidRDefault="0031675F" w:rsidP="0031675F">
            <w:pPr>
              <w:spacing w:before="60" w:after="60"/>
              <w:rPr>
                <w:sz w:val="20"/>
              </w:rPr>
            </w:pPr>
            <w:r w:rsidRPr="0031675F">
              <w:rPr>
                <w:sz w:val="20"/>
              </w:rPr>
              <w:t>T_B_S</w:t>
            </w:r>
          </w:p>
        </w:tc>
        <w:tc>
          <w:tcPr>
            <w:tcW w:w="6660" w:type="dxa"/>
            <w:vAlign w:val="center"/>
          </w:tcPr>
          <w:p w14:paraId="6CCF430C" w14:textId="77777777" w:rsidR="0031675F" w:rsidRPr="0031675F" w:rsidRDefault="0031675F" w:rsidP="0031675F">
            <w:pPr>
              <w:spacing w:before="60" w:after="60"/>
              <w:rPr>
                <w:sz w:val="20"/>
              </w:rPr>
            </w:pPr>
            <w:r w:rsidRPr="0031675F">
              <w:rPr>
                <w:sz w:val="20"/>
              </w:rPr>
              <w:t>Denotes location in water column. S(surface sample &lt; 1m), top (3 meters below surface, W (water column) , B (bottom)</w:t>
            </w:r>
          </w:p>
        </w:tc>
      </w:tr>
      <w:tr w:rsidR="0031675F" w:rsidRPr="0031675F" w14:paraId="50D47FC8" w14:textId="77777777" w:rsidTr="00B00729">
        <w:trPr>
          <w:jc w:val="center"/>
        </w:trPr>
        <w:tc>
          <w:tcPr>
            <w:tcW w:w="1908" w:type="dxa"/>
            <w:vAlign w:val="center"/>
          </w:tcPr>
          <w:p w14:paraId="10AFAC10" w14:textId="77777777" w:rsidR="0031675F" w:rsidRPr="0031675F" w:rsidRDefault="0031675F" w:rsidP="0031675F">
            <w:pPr>
              <w:spacing w:before="60" w:after="60"/>
              <w:rPr>
                <w:sz w:val="20"/>
              </w:rPr>
            </w:pPr>
            <w:r w:rsidRPr="0031675F">
              <w:rPr>
                <w:sz w:val="20"/>
              </w:rPr>
              <w:t>S_Depth</w:t>
            </w:r>
          </w:p>
        </w:tc>
        <w:tc>
          <w:tcPr>
            <w:tcW w:w="6660" w:type="dxa"/>
            <w:vAlign w:val="center"/>
          </w:tcPr>
          <w:p w14:paraId="3E68AD7E" w14:textId="77777777" w:rsidR="0031675F" w:rsidRPr="0031675F" w:rsidRDefault="0031675F" w:rsidP="0031675F">
            <w:pPr>
              <w:spacing w:before="60" w:after="60"/>
              <w:rPr>
                <w:sz w:val="20"/>
              </w:rPr>
            </w:pPr>
            <w:r w:rsidRPr="0031675F">
              <w:rPr>
                <w:sz w:val="20"/>
              </w:rPr>
              <w:t>Surface depth of sample</w:t>
            </w:r>
          </w:p>
        </w:tc>
      </w:tr>
      <w:tr w:rsidR="0031675F" w:rsidRPr="0031675F" w14:paraId="42F6B24D" w14:textId="77777777" w:rsidTr="00B00729">
        <w:trPr>
          <w:jc w:val="center"/>
        </w:trPr>
        <w:tc>
          <w:tcPr>
            <w:tcW w:w="1908" w:type="dxa"/>
            <w:vAlign w:val="center"/>
          </w:tcPr>
          <w:p w14:paraId="033700AA" w14:textId="77777777" w:rsidR="0031675F" w:rsidRPr="0031675F" w:rsidRDefault="0031675F" w:rsidP="0031675F">
            <w:pPr>
              <w:spacing w:before="60" w:after="60"/>
              <w:rPr>
                <w:sz w:val="20"/>
              </w:rPr>
            </w:pPr>
            <w:r w:rsidRPr="0031675F">
              <w:rPr>
                <w:sz w:val="20"/>
              </w:rPr>
              <w:t xml:space="preserve">Latitude </w:t>
            </w:r>
          </w:p>
        </w:tc>
        <w:tc>
          <w:tcPr>
            <w:tcW w:w="6660" w:type="dxa"/>
            <w:vAlign w:val="center"/>
          </w:tcPr>
          <w:p w14:paraId="70212789" w14:textId="77777777" w:rsidR="0031675F" w:rsidRPr="0031675F" w:rsidRDefault="0031675F" w:rsidP="0031675F">
            <w:pPr>
              <w:spacing w:before="60" w:after="60"/>
              <w:rPr>
                <w:sz w:val="20"/>
              </w:rPr>
            </w:pPr>
            <w:r w:rsidRPr="0031675F">
              <w:rPr>
                <w:sz w:val="20"/>
              </w:rPr>
              <w:t>Latitude in decimal degrees [integer]</w:t>
            </w:r>
          </w:p>
        </w:tc>
      </w:tr>
      <w:tr w:rsidR="0031675F" w:rsidRPr="0031675F" w14:paraId="1F14D6F7" w14:textId="77777777" w:rsidTr="00B00729">
        <w:trPr>
          <w:jc w:val="center"/>
        </w:trPr>
        <w:tc>
          <w:tcPr>
            <w:tcW w:w="1908" w:type="dxa"/>
            <w:vAlign w:val="center"/>
          </w:tcPr>
          <w:p w14:paraId="0D230460" w14:textId="77777777" w:rsidR="0031675F" w:rsidRPr="0031675F" w:rsidRDefault="0031675F" w:rsidP="0031675F">
            <w:pPr>
              <w:spacing w:before="60" w:after="60"/>
              <w:rPr>
                <w:sz w:val="20"/>
              </w:rPr>
            </w:pPr>
            <w:r w:rsidRPr="0031675F">
              <w:rPr>
                <w:sz w:val="20"/>
              </w:rPr>
              <w:t>Longitude</w:t>
            </w:r>
          </w:p>
        </w:tc>
        <w:tc>
          <w:tcPr>
            <w:tcW w:w="6660" w:type="dxa"/>
            <w:vAlign w:val="center"/>
          </w:tcPr>
          <w:p w14:paraId="136B8688" w14:textId="77777777" w:rsidR="0031675F" w:rsidRPr="0031675F" w:rsidRDefault="0031675F" w:rsidP="0031675F">
            <w:pPr>
              <w:spacing w:before="60" w:after="60"/>
              <w:rPr>
                <w:sz w:val="20"/>
              </w:rPr>
            </w:pPr>
            <w:r w:rsidRPr="0031675F">
              <w:rPr>
                <w:sz w:val="20"/>
              </w:rPr>
              <w:t>Longitude in decimal degrees [integer]</w:t>
            </w:r>
          </w:p>
        </w:tc>
      </w:tr>
      <w:tr w:rsidR="0031675F" w:rsidRPr="0031675F" w14:paraId="55FF906E" w14:textId="77777777" w:rsidTr="00B00729">
        <w:trPr>
          <w:jc w:val="center"/>
        </w:trPr>
        <w:tc>
          <w:tcPr>
            <w:tcW w:w="1908" w:type="dxa"/>
            <w:vAlign w:val="center"/>
          </w:tcPr>
          <w:p w14:paraId="7D87871C" w14:textId="77777777" w:rsidR="0031675F" w:rsidRPr="0031675F" w:rsidRDefault="0031675F" w:rsidP="0031675F">
            <w:pPr>
              <w:spacing w:before="60" w:after="60"/>
              <w:rPr>
                <w:sz w:val="20"/>
              </w:rPr>
            </w:pPr>
            <w:r w:rsidRPr="0031675F">
              <w:rPr>
                <w:sz w:val="20"/>
              </w:rPr>
              <w:t xml:space="preserve">DIN </w:t>
            </w:r>
          </w:p>
        </w:tc>
        <w:tc>
          <w:tcPr>
            <w:tcW w:w="6660" w:type="dxa"/>
            <w:vAlign w:val="center"/>
          </w:tcPr>
          <w:p w14:paraId="53574504" w14:textId="77777777" w:rsidR="0031675F" w:rsidRPr="0031675F" w:rsidRDefault="0031675F" w:rsidP="0031675F">
            <w:pPr>
              <w:spacing w:before="60" w:after="60"/>
              <w:rPr>
                <w:sz w:val="20"/>
              </w:rPr>
            </w:pPr>
            <w:r w:rsidRPr="0031675F">
              <w:rPr>
                <w:sz w:val="20"/>
              </w:rPr>
              <w:t>Dissolved Inorganic Nitrogen (addition of NO2 +NO3+ NH4) measured in µM [integer with 2 decimal places]</w:t>
            </w:r>
          </w:p>
        </w:tc>
      </w:tr>
      <w:tr w:rsidR="0031675F" w:rsidRPr="0031675F" w14:paraId="47A129EA" w14:textId="77777777" w:rsidTr="00B00729">
        <w:trPr>
          <w:jc w:val="center"/>
        </w:trPr>
        <w:tc>
          <w:tcPr>
            <w:tcW w:w="1908" w:type="dxa"/>
            <w:vAlign w:val="center"/>
          </w:tcPr>
          <w:p w14:paraId="4854ADF8" w14:textId="77777777" w:rsidR="0031675F" w:rsidRPr="0031675F" w:rsidRDefault="0031675F" w:rsidP="0031675F">
            <w:pPr>
              <w:spacing w:before="60" w:after="60"/>
              <w:rPr>
                <w:sz w:val="20"/>
              </w:rPr>
            </w:pPr>
            <w:r w:rsidRPr="0031675F">
              <w:rPr>
                <w:sz w:val="20"/>
              </w:rPr>
              <w:t>NO</w:t>
            </w:r>
            <w:r w:rsidRPr="0031675F">
              <w:rPr>
                <w:sz w:val="20"/>
                <w:vertAlign w:val="subscript"/>
              </w:rPr>
              <w:t>x</w:t>
            </w:r>
          </w:p>
        </w:tc>
        <w:tc>
          <w:tcPr>
            <w:tcW w:w="6660" w:type="dxa"/>
            <w:vAlign w:val="center"/>
          </w:tcPr>
          <w:p w14:paraId="73A2CD0C" w14:textId="77777777" w:rsidR="0031675F" w:rsidRPr="0031675F" w:rsidRDefault="0031675F" w:rsidP="0031675F">
            <w:pPr>
              <w:spacing w:before="60" w:after="60"/>
              <w:rPr>
                <w:sz w:val="20"/>
              </w:rPr>
            </w:pPr>
            <w:r w:rsidRPr="0031675F">
              <w:rPr>
                <w:sz w:val="20"/>
              </w:rPr>
              <w:t>Nitrate (addition of NO2 +NO3) , measured in µM[integer with 2 decimal places]</w:t>
            </w:r>
          </w:p>
        </w:tc>
      </w:tr>
      <w:tr w:rsidR="0031675F" w:rsidRPr="0031675F" w14:paraId="6BE9505F" w14:textId="77777777" w:rsidTr="00B00729">
        <w:trPr>
          <w:jc w:val="center"/>
        </w:trPr>
        <w:tc>
          <w:tcPr>
            <w:tcW w:w="1908" w:type="dxa"/>
            <w:vAlign w:val="center"/>
          </w:tcPr>
          <w:p w14:paraId="0CD1C6DC" w14:textId="77777777" w:rsidR="0031675F" w:rsidRPr="0031675F" w:rsidRDefault="0031675F" w:rsidP="0031675F">
            <w:pPr>
              <w:spacing w:before="60" w:after="60"/>
              <w:rPr>
                <w:sz w:val="20"/>
              </w:rPr>
            </w:pPr>
            <w:r w:rsidRPr="0031675F">
              <w:rPr>
                <w:sz w:val="20"/>
              </w:rPr>
              <w:t>NO</w:t>
            </w:r>
            <w:r w:rsidRPr="0031675F">
              <w:rPr>
                <w:sz w:val="20"/>
                <w:vertAlign w:val="subscript"/>
              </w:rPr>
              <w:t>2</w:t>
            </w:r>
          </w:p>
        </w:tc>
        <w:tc>
          <w:tcPr>
            <w:tcW w:w="6660" w:type="dxa"/>
            <w:vAlign w:val="center"/>
          </w:tcPr>
          <w:p w14:paraId="66C69905" w14:textId="77777777" w:rsidR="0031675F" w:rsidRPr="0031675F" w:rsidRDefault="0031675F" w:rsidP="0031675F">
            <w:pPr>
              <w:spacing w:before="60" w:after="60"/>
              <w:rPr>
                <w:sz w:val="20"/>
              </w:rPr>
            </w:pPr>
            <w:r w:rsidRPr="0031675F">
              <w:rPr>
                <w:sz w:val="20"/>
              </w:rPr>
              <w:t>Nitrite, measured in µM [integer, 2 decimal places]</w:t>
            </w:r>
          </w:p>
        </w:tc>
      </w:tr>
      <w:tr w:rsidR="0031675F" w:rsidRPr="0031675F" w14:paraId="3ECB6034" w14:textId="77777777" w:rsidTr="00B00729">
        <w:trPr>
          <w:jc w:val="center"/>
        </w:trPr>
        <w:tc>
          <w:tcPr>
            <w:tcW w:w="1908" w:type="dxa"/>
            <w:vAlign w:val="center"/>
          </w:tcPr>
          <w:p w14:paraId="70BD3A81" w14:textId="77777777" w:rsidR="0031675F" w:rsidRPr="0031675F" w:rsidRDefault="0031675F" w:rsidP="0031675F">
            <w:pPr>
              <w:spacing w:before="60" w:after="60"/>
              <w:rPr>
                <w:sz w:val="20"/>
              </w:rPr>
            </w:pPr>
            <w:r w:rsidRPr="0031675F">
              <w:rPr>
                <w:sz w:val="20"/>
              </w:rPr>
              <w:t>NO</w:t>
            </w:r>
            <w:r w:rsidRPr="0031675F">
              <w:rPr>
                <w:sz w:val="20"/>
                <w:vertAlign w:val="subscript"/>
              </w:rPr>
              <w:t>3</w:t>
            </w:r>
          </w:p>
        </w:tc>
        <w:tc>
          <w:tcPr>
            <w:tcW w:w="6660" w:type="dxa"/>
            <w:vAlign w:val="center"/>
          </w:tcPr>
          <w:p w14:paraId="267A5995" w14:textId="77777777" w:rsidR="0031675F" w:rsidRPr="0031675F" w:rsidRDefault="0031675F" w:rsidP="0031675F">
            <w:pPr>
              <w:spacing w:before="60" w:after="60"/>
              <w:rPr>
                <w:sz w:val="20"/>
              </w:rPr>
            </w:pPr>
            <w:r w:rsidRPr="0031675F">
              <w:rPr>
                <w:sz w:val="20"/>
              </w:rPr>
              <w:t>Nitrate, measured in µM [integer, 2 decimal places]</w:t>
            </w:r>
          </w:p>
        </w:tc>
      </w:tr>
      <w:tr w:rsidR="0031675F" w:rsidRPr="0031675F" w14:paraId="268F2C5D" w14:textId="77777777" w:rsidTr="00B00729">
        <w:trPr>
          <w:jc w:val="center"/>
        </w:trPr>
        <w:tc>
          <w:tcPr>
            <w:tcW w:w="1908" w:type="dxa"/>
            <w:vAlign w:val="center"/>
          </w:tcPr>
          <w:p w14:paraId="1B3671C6" w14:textId="77777777" w:rsidR="0031675F" w:rsidRPr="0031675F" w:rsidRDefault="0031675F" w:rsidP="0031675F">
            <w:pPr>
              <w:spacing w:before="60" w:after="60"/>
              <w:rPr>
                <w:sz w:val="20"/>
              </w:rPr>
            </w:pPr>
            <w:r w:rsidRPr="0031675F">
              <w:rPr>
                <w:sz w:val="20"/>
              </w:rPr>
              <w:t>NH</w:t>
            </w:r>
            <w:r w:rsidRPr="0031675F">
              <w:rPr>
                <w:sz w:val="20"/>
                <w:vertAlign w:val="subscript"/>
              </w:rPr>
              <w:t>4</w:t>
            </w:r>
          </w:p>
        </w:tc>
        <w:tc>
          <w:tcPr>
            <w:tcW w:w="6660" w:type="dxa"/>
            <w:vAlign w:val="center"/>
          </w:tcPr>
          <w:p w14:paraId="12B78C54" w14:textId="77777777" w:rsidR="0031675F" w:rsidRPr="0031675F" w:rsidRDefault="0031675F" w:rsidP="0031675F">
            <w:pPr>
              <w:spacing w:before="60" w:after="60"/>
              <w:rPr>
                <w:sz w:val="20"/>
              </w:rPr>
            </w:pPr>
            <w:r w:rsidRPr="0031675F">
              <w:rPr>
                <w:sz w:val="20"/>
              </w:rPr>
              <w:t>Ammonium</w:t>
            </w:r>
          </w:p>
        </w:tc>
      </w:tr>
      <w:tr w:rsidR="0031675F" w:rsidRPr="0031675F" w14:paraId="3D580ACC" w14:textId="77777777" w:rsidTr="00B00729">
        <w:trPr>
          <w:jc w:val="center"/>
        </w:trPr>
        <w:tc>
          <w:tcPr>
            <w:tcW w:w="1908" w:type="dxa"/>
            <w:vAlign w:val="center"/>
          </w:tcPr>
          <w:p w14:paraId="5DA5A7F3" w14:textId="77777777" w:rsidR="0031675F" w:rsidRPr="0031675F" w:rsidRDefault="0031675F" w:rsidP="0031675F">
            <w:pPr>
              <w:spacing w:before="60" w:after="60"/>
              <w:rPr>
                <w:sz w:val="20"/>
              </w:rPr>
            </w:pPr>
            <w:r w:rsidRPr="0031675F">
              <w:rPr>
                <w:sz w:val="20"/>
              </w:rPr>
              <w:t>DON</w:t>
            </w:r>
          </w:p>
        </w:tc>
        <w:tc>
          <w:tcPr>
            <w:tcW w:w="6660" w:type="dxa"/>
            <w:vAlign w:val="center"/>
          </w:tcPr>
          <w:p w14:paraId="37291003" w14:textId="77777777" w:rsidR="0031675F" w:rsidRPr="0031675F" w:rsidRDefault="0031675F" w:rsidP="0031675F">
            <w:pPr>
              <w:spacing w:before="60" w:after="60"/>
              <w:rPr>
                <w:sz w:val="20"/>
              </w:rPr>
            </w:pPr>
            <w:r w:rsidRPr="0031675F">
              <w:rPr>
                <w:sz w:val="20"/>
              </w:rPr>
              <w:t>Dissolved organic nitrogen , measured in µM [integer with 2 decimal places]</w:t>
            </w:r>
          </w:p>
        </w:tc>
      </w:tr>
      <w:tr w:rsidR="0031675F" w:rsidRPr="0031675F" w14:paraId="4185EB41" w14:textId="77777777" w:rsidTr="00B00729">
        <w:trPr>
          <w:jc w:val="center"/>
        </w:trPr>
        <w:tc>
          <w:tcPr>
            <w:tcW w:w="1908" w:type="dxa"/>
            <w:vAlign w:val="center"/>
          </w:tcPr>
          <w:p w14:paraId="75A3076D" w14:textId="77777777" w:rsidR="0031675F" w:rsidRPr="0031675F" w:rsidRDefault="0031675F" w:rsidP="0031675F">
            <w:pPr>
              <w:spacing w:before="60" w:after="60"/>
              <w:rPr>
                <w:sz w:val="20"/>
              </w:rPr>
            </w:pPr>
            <w:r w:rsidRPr="0031675F">
              <w:rPr>
                <w:sz w:val="20"/>
              </w:rPr>
              <w:t>TDN</w:t>
            </w:r>
          </w:p>
        </w:tc>
        <w:tc>
          <w:tcPr>
            <w:tcW w:w="6660" w:type="dxa"/>
            <w:vAlign w:val="center"/>
          </w:tcPr>
          <w:p w14:paraId="0A60E034" w14:textId="77777777" w:rsidR="0031675F" w:rsidRPr="0031675F" w:rsidRDefault="0031675F" w:rsidP="0031675F">
            <w:pPr>
              <w:spacing w:before="60" w:after="60"/>
              <w:rPr>
                <w:sz w:val="20"/>
              </w:rPr>
            </w:pPr>
            <w:r w:rsidRPr="0031675F">
              <w:rPr>
                <w:sz w:val="20"/>
              </w:rPr>
              <w:t>Total dissolved nitrogen (DIN + DON)</w:t>
            </w:r>
          </w:p>
        </w:tc>
      </w:tr>
      <w:tr w:rsidR="0031675F" w:rsidRPr="0031675F" w14:paraId="1A43E651" w14:textId="77777777" w:rsidTr="00B00729">
        <w:trPr>
          <w:jc w:val="center"/>
        </w:trPr>
        <w:tc>
          <w:tcPr>
            <w:tcW w:w="1908" w:type="dxa"/>
            <w:vAlign w:val="center"/>
          </w:tcPr>
          <w:p w14:paraId="499EF793" w14:textId="77777777" w:rsidR="0031675F" w:rsidRPr="0031675F" w:rsidRDefault="0031675F" w:rsidP="0031675F">
            <w:pPr>
              <w:spacing w:before="60" w:after="60"/>
              <w:rPr>
                <w:sz w:val="20"/>
              </w:rPr>
            </w:pPr>
            <w:r w:rsidRPr="0031675F">
              <w:rPr>
                <w:sz w:val="20"/>
              </w:rPr>
              <w:t>PN</w:t>
            </w:r>
          </w:p>
        </w:tc>
        <w:tc>
          <w:tcPr>
            <w:tcW w:w="6660" w:type="dxa"/>
            <w:vAlign w:val="center"/>
          </w:tcPr>
          <w:p w14:paraId="728CAFDF" w14:textId="77777777" w:rsidR="0031675F" w:rsidRPr="0031675F" w:rsidRDefault="0031675F" w:rsidP="0031675F">
            <w:pPr>
              <w:spacing w:before="60" w:after="60"/>
              <w:rPr>
                <w:sz w:val="20"/>
              </w:rPr>
            </w:pPr>
            <w:r w:rsidRPr="0031675F">
              <w:rPr>
                <w:sz w:val="20"/>
              </w:rPr>
              <w:t>Particulate Nitrogen (measured in µM[integer with 2 decimal places]</w:t>
            </w:r>
          </w:p>
        </w:tc>
      </w:tr>
      <w:tr w:rsidR="0031675F" w:rsidRPr="002E0761" w14:paraId="775939FD" w14:textId="77777777" w:rsidTr="00B00729">
        <w:trPr>
          <w:jc w:val="center"/>
        </w:trPr>
        <w:tc>
          <w:tcPr>
            <w:tcW w:w="1908" w:type="dxa"/>
            <w:vAlign w:val="center"/>
          </w:tcPr>
          <w:p w14:paraId="39E75EE8" w14:textId="77777777" w:rsidR="0031675F" w:rsidRPr="0031675F" w:rsidRDefault="0031675F" w:rsidP="0031675F">
            <w:pPr>
              <w:spacing w:before="60" w:after="60"/>
              <w:rPr>
                <w:sz w:val="20"/>
              </w:rPr>
            </w:pPr>
            <w:r w:rsidRPr="0031675F">
              <w:rPr>
                <w:sz w:val="20"/>
              </w:rPr>
              <w:t>TN</w:t>
            </w:r>
          </w:p>
        </w:tc>
        <w:tc>
          <w:tcPr>
            <w:tcW w:w="6660" w:type="dxa"/>
            <w:vAlign w:val="center"/>
          </w:tcPr>
          <w:p w14:paraId="7C30CDEF" w14:textId="77777777" w:rsidR="0031675F" w:rsidRPr="0031675F" w:rsidRDefault="0031675F" w:rsidP="0031675F">
            <w:pPr>
              <w:spacing w:before="60" w:after="60"/>
              <w:rPr>
                <w:sz w:val="20"/>
                <w:lang w:val="fr-FR"/>
              </w:rPr>
            </w:pPr>
            <w:r w:rsidRPr="0031675F">
              <w:rPr>
                <w:sz w:val="20"/>
                <w:lang w:val="fr-FR"/>
              </w:rPr>
              <w:t>Total Nitrogen (PN plus TDN)</w:t>
            </w:r>
          </w:p>
        </w:tc>
      </w:tr>
      <w:tr w:rsidR="0031675F" w:rsidRPr="0031675F" w14:paraId="7104641A" w14:textId="77777777" w:rsidTr="00B00729">
        <w:trPr>
          <w:jc w:val="center"/>
        </w:trPr>
        <w:tc>
          <w:tcPr>
            <w:tcW w:w="1908" w:type="dxa"/>
            <w:vAlign w:val="center"/>
          </w:tcPr>
          <w:p w14:paraId="35129BF7" w14:textId="77777777" w:rsidR="0031675F" w:rsidRPr="0031675F" w:rsidRDefault="0031675F" w:rsidP="0031675F">
            <w:pPr>
              <w:spacing w:before="60" w:after="60"/>
              <w:rPr>
                <w:sz w:val="20"/>
              </w:rPr>
            </w:pPr>
            <w:r w:rsidRPr="0031675F">
              <w:rPr>
                <w:sz w:val="20"/>
              </w:rPr>
              <w:t>DIP</w:t>
            </w:r>
          </w:p>
        </w:tc>
        <w:tc>
          <w:tcPr>
            <w:tcW w:w="6660" w:type="dxa"/>
            <w:vAlign w:val="center"/>
          </w:tcPr>
          <w:p w14:paraId="25F632B7" w14:textId="77777777" w:rsidR="0031675F" w:rsidRPr="0031675F" w:rsidRDefault="0031675F" w:rsidP="0031675F">
            <w:pPr>
              <w:spacing w:before="60" w:after="60"/>
              <w:rPr>
                <w:sz w:val="20"/>
              </w:rPr>
            </w:pPr>
            <w:r w:rsidRPr="0031675F">
              <w:rPr>
                <w:sz w:val="20"/>
              </w:rPr>
              <w:t>Dissolved inorganic phosphorus (measured in µM[integer with 2 decimal places]</w:t>
            </w:r>
          </w:p>
        </w:tc>
      </w:tr>
      <w:tr w:rsidR="0031675F" w:rsidRPr="0031675F" w14:paraId="55054C05" w14:textId="77777777" w:rsidTr="00B00729">
        <w:trPr>
          <w:jc w:val="center"/>
        </w:trPr>
        <w:tc>
          <w:tcPr>
            <w:tcW w:w="1908" w:type="dxa"/>
            <w:vAlign w:val="center"/>
          </w:tcPr>
          <w:p w14:paraId="5081408A" w14:textId="77777777" w:rsidR="0031675F" w:rsidRPr="0031675F" w:rsidRDefault="0031675F" w:rsidP="0031675F">
            <w:pPr>
              <w:spacing w:before="60" w:after="60"/>
              <w:rPr>
                <w:sz w:val="20"/>
              </w:rPr>
            </w:pPr>
            <w:r w:rsidRPr="0031675F">
              <w:rPr>
                <w:sz w:val="20"/>
              </w:rPr>
              <w:t xml:space="preserve">DOP </w:t>
            </w:r>
          </w:p>
        </w:tc>
        <w:tc>
          <w:tcPr>
            <w:tcW w:w="6660" w:type="dxa"/>
            <w:vAlign w:val="center"/>
          </w:tcPr>
          <w:p w14:paraId="0995DB28" w14:textId="77777777" w:rsidR="0031675F" w:rsidRPr="0031675F" w:rsidRDefault="0031675F" w:rsidP="0031675F">
            <w:pPr>
              <w:spacing w:before="60" w:after="60"/>
              <w:rPr>
                <w:sz w:val="20"/>
              </w:rPr>
            </w:pPr>
            <w:r w:rsidRPr="0031675F">
              <w:rPr>
                <w:sz w:val="20"/>
              </w:rPr>
              <w:t>Dissolved organic phosphorus, (measured in µM) [integer with 2 decimal places]</w:t>
            </w:r>
          </w:p>
        </w:tc>
      </w:tr>
      <w:tr w:rsidR="0031675F" w:rsidRPr="0031675F" w14:paraId="2B891E73" w14:textId="77777777" w:rsidTr="00B00729">
        <w:trPr>
          <w:jc w:val="center"/>
        </w:trPr>
        <w:tc>
          <w:tcPr>
            <w:tcW w:w="1908" w:type="dxa"/>
            <w:vAlign w:val="center"/>
          </w:tcPr>
          <w:p w14:paraId="47424863" w14:textId="77777777" w:rsidR="0031675F" w:rsidRPr="0031675F" w:rsidRDefault="0031675F" w:rsidP="0031675F">
            <w:pPr>
              <w:spacing w:before="60" w:after="60"/>
              <w:rPr>
                <w:sz w:val="20"/>
              </w:rPr>
            </w:pPr>
            <w:r w:rsidRPr="0031675F">
              <w:rPr>
                <w:sz w:val="20"/>
              </w:rPr>
              <w:t>PP</w:t>
            </w:r>
          </w:p>
        </w:tc>
        <w:tc>
          <w:tcPr>
            <w:tcW w:w="6660" w:type="dxa"/>
            <w:vAlign w:val="center"/>
          </w:tcPr>
          <w:p w14:paraId="54DFDF5F" w14:textId="77777777" w:rsidR="0031675F" w:rsidRPr="0031675F" w:rsidRDefault="0031675F" w:rsidP="0031675F">
            <w:pPr>
              <w:spacing w:before="60" w:after="60"/>
              <w:rPr>
                <w:sz w:val="20"/>
              </w:rPr>
            </w:pPr>
            <w:r w:rsidRPr="0031675F">
              <w:rPr>
                <w:sz w:val="20"/>
              </w:rPr>
              <w:t>Particulate Phosphorus</w:t>
            </w:r>
          </w:p>
        </w:tc>
      </w:tr>
      <w:tr w:rsidR="0031675F" w:rsidRPr="0031675F" w14:paraId="491C5825" w14:textId="77777777" w:rsidTr="00B00729">
        <w:trPr>
          <w:jc w:val="center"/>
        </w:trPr>
        <w:tc>
          <w:tcPr>
            <w:tcW w:w="1908" w:type="dxa"/>
            <w:vAlign w:val="center"/>
          </w:tcPr>
          <w:p w14:paraId="4661DA93" w14:textId="77777777" w:rsidR="0031675F" w:rsidRPr="0031675F" w:rsidRDefault="0031675F" w:rsidP="0031675F">
            <w:pPr>
              <w:spacing w:before="60" w:after="60"/>
              <w:rPr>
                <w:sz w:val="20"/>
              </w:rPr>
            </w:pPr>
            <w:r w:rsidRPr="0031675F">
              <w:rPr>
                <w:sz w:val="20"/>
              </w:rPr>
              <w:t>TP</w:t>
            </w:r>
          </w:p>
        </w:tc>
        <w:tc>
          <w:tcPr>
            <w:tcW w:w="6660" w:type="dxa"/>
            <w:vAlign w:val="center"/>
          </w:tcPr>
          <w:p w14:paraId="330B071B" w14:textId="77777777" w:rsidR="0031675F" w:rsidRPr="0031675F" w:rsidRDefault="0031675F" w:rsidP="0031675F">
            <w:pPr>
              <w:spacing w:before="60" w:after="60"/>
              <w:rPr>
                <w:sz w:val="20"/>
              </w:rPr>
            </w:pPr>
            <w:r w:rsidRPr="0031675F">
              <w:rPr>
                <w:sz w:val="20"/>
              </w:rPr>
              <w:t>Total phosphorus</w:t>
            </w:r>
          </w:p>
        </w:tc>
      </w:tr>
      <w:tr w:rsidR="0031675F" w:rsidRPr="0031675F" w14:paraId="6614AC89" w14:textId="77777777" w:rsidTr="00B00729">
        <w:trPr>
          <w:jc w:val="center"/>
        </w:trPr>
        <w:tc>
          <w:tcPr>
            <w:tcW w:w="1908" w:type="dxa"/>
            <w:vAlign w:val="center"/>
          </w:tcPr>
          <w:p w14:paraId="5F6E6C44" w14:textId="77777777" w:rsidR="0031675F" w:rsidRPr="0031675F" w:rsidRDefault="0031675F" w:rsidP="0031675F">
            <w:pPr>
              <w:spacing w:before="60" w:after="60"/>
              <w:rPr>
                <w:sz w:val="20"/>
              </w:rPr>
            </w:pPr>
            <w:r w:rsidRPr="0031675F">
              <w:rPr>
                <w:sz w:val="20"/>
              </w:rPr>
              <w:t>DIN%TN</w:t>
            </w:r>
          </w:p>
        </w:tc>
        <w:tc>
          <w:tcPr>
            <w:tcW w:w="6660" w:type="dxa"/>
            <w:vAlign w:val="center"/>
          </w:tcPr>
          <w:p w14:paraId="2A3C4AF7" w14:textId="77777777" w:rsidR="0031675F" w:rsidRPr="0031675F" w:rsidRDefault="0031675F" w:rsidP="0031675F">
            <w:pPr>
              <w:spacing w:before="60" w:after="60"/>
              <w:rPr>
                <w:sz w:val="20"/>
              </w:rPr>
            </w:pPr>
          </w:p>
        </w:tc>
      </w:tr>
      <w:tr w:rsidR="0031675F" w:rsidRPr="0031675F" w14:paraId="01DD75F4" w14:textId="77777777" w:rsidTr="00B00729">
        <w:trPr>
          <w:jc w:val="center"/>
        </w:trPr>
        <w:tc>
          <w:tcPr>
            <w:tcW w:w="1908" w:type="dxa"/>
            <w:vAlign w:val="center"/>
          </w:tcPr>
          <w:p w14:paraId="422BF68F" w14:textId="77777777" w:rsidR="0031675F" w:rsidRPr="0031675F" w:rsidRDefault="0031675F" w:rsidP="0031675F">
            <w:pPr>
              <w:spacing w:before="60" w:after="60"/>
              <w:rPr>
                <w:sz w:val="20"/>
              </w:rPr>
            </w:pPr>
            <w:r w:rsidRPr="0031675F">
              <w:rPr>
                <w:sz w:val="20"/>
              </w:rPr>
              <w:t>DIN:DIP</w:t>
            </w:r>
          </w:p>
        </w:tc>
        <w:tc>
          <w:tcPr>
            <w:tcW w:w="6660" w:type="dxa"/>
            <w:vAlign w:val="center"/>
          </w:tcPr>
          <w:p w14:paraId="2B9EB048" w14:textId="77777777" w:rsidR="0031675F" w:rsidRPr="0031675F" w:rsidRDefault="0031675F" w:rsidP="0031675F">
            <w:pPr>
              <w:spacing w:before="60" w:after="60"/>
              <w:rPr>
                <w:b/>
                <w:sz w:val="20"/>
              </w:rPr>
            </w:pPr>
            <w:r w:rsidRPr="0031675F">
              <w:rPr>
                <w:b/>
                <w:sz w:val="20"/>
              </w:rPr>
              <w:t>Ratio</w:t>
            </w:r>
          </w:p>
        </w:tc>
      </w:tr>
      <w:tr w:rsidR="0031675F" w:rsidRPr="0031675F" w14:paraId="3FC3CD46" w14:textId="77777777" w:rsidTr="00B00729">
        <w:trPr>
          <w:jc w:val="center"/>
        </w:trPr>
        <w:tc>
          <w:tcPr>
            <w:tcW w:w="1908" w:type="dxa"/>
            <w:vAlign w:val="center"/>
          </w:tcPr>
          <w:p w14:paraId="2802C32C" w14:textId="77777777" w:rsidR="0031675F" w:rsidRPr="0031675F" w:rsidRDefault="0031675F" w:rsidP="0031675F">
            <w:pPr>
              <w:spacing w:before="60" w:after="60"/>
              <w:rPr>
                <w:sz w:val="20"/>
              </w:rPr>
            </w:pPr>
            <w:r w:rsidRPr="0031675F">
              <w:rPr>
                <w:sz w:val="20"/>
              </w:rPr>
              <w:t>NOx:DIP</w:t>
            </w:r>
          </w:p>
        </w:tc>
        <w:tc>
          <w:tcPr>
            <w:tcW w:w="6660" w:type="dxa"/>
            <w:vAlign w:val="center"/>
          </w:tcPr>
          <w:p w14:paraId="0D0624F0" w14:textId="77777777" w:rsidR="0031675F" w:rsidRPr="0031675F" w:rsidRDefault="0031675F" w:rsidP="0031675F">
            <w:pPr>
              <w:spacing w:before="60" w:after="60"/>
              <w:rPr>
                <w:b/>
                <w:sz w:val="20"/>
              </w:rPr>
            </w:pPr>
          </w:p>
        </w:tc>
      </w:tr>
      <w:tr w:rsidR="0031675F" w:rsidRPr="0031675F" w14:paraId="2333DC76" w14:textId="77777777" w:rsidTr="00B00729">
        <w:trPr>
          <w:jc w:val="center"/>
        </w:trPr>
        <w:tc>
          <w:tcPr>
            <w:tcW w:w="1908" w:type="dxa"/>
            <w:vAlign w:val="center"/>
          </w:tcPr>
          <w:p w14:paraId="55A6D836" w14:textId="77777777" w:rsidR="0031675F" w:rsidRPr="0031675F" w:rsidRDefault="0031675F" w:rsidP="0031675F">
            <w:pPr>
              <w:spacing w:before="60" w:after="60"/>
              <w:rPr>
                <w:sz w:val="20"/>
              </w:rPr>
            </w:pPr>
            <w:r w:rsidRPr="0031675F">
              <w:rPr>
                <w:sz w:val="20"/>
              </w:rPr>
              <w:t>SPM</w:t>
            </w:r>
          </w:p>
        </w:tc>
        <w:tc>
          <w:tcPr>
            <w:tcW w:w="6660" w:type="dxa"/>
            <w:vAlign w:val="center"/>
          </w:tcPr>
          <w:p w14:paraId="7CC16B07" w14:textId="77777777" w:rsidR="0031675F" w:rsidRPr="0031675F" w:rsidRDefault="0031675F" w:rsidP="0031675F">
            <w:pPr>
              <w:spacing w:before="60" w:after="60"/>
              <w:rPr>
                <w:b/>
                <w:sz w:val="20"/>
              </w:rPr>
            </w:pPr>
            <w:r w:rsidRPr="0031675F">
              <w:rPr>
                <w:b/>
                <w:sz w:val="20"/>
              </w:rPr>
              <w:t>Suspended particulate matter</w:t>
            </w:r>
          </w:p>
        </w:tc>
      </w:tr>
      <w:tr w:rsidR="0031675F" w:rsidRPr="0031675F" w14:paraId="26418EDC" w14:textId="77777777" w:rsidTr="00B00729">
        <w:trPr>
          <w:jc w:val="center"/>
        </w:trPr>
        <w:tc>
          <w:tcPr>
            <w:tcW w:w="1908" w:type="dxa"/>
            <w:vAlign w:val="center"/>
          </w:tcPr>
          <w:p w14:paraId="179D6A85" w14:textId="77777777" w:rsidR="0031675F" w:rsidRPr="0031675F" w:rsidRDefault="0031675F" w:rsidP="0031675F">
            <w:pPr>
              <w:spacing w:before="60" w:after="60"/>
              <w:rPr>
                <w:sz w:val="20"/>
              </w:rPr>
            </w:pPr>
            <w:r w:rsidRPr="0031675F">
              <w:rPr>
                <w:sz w:val="20"/>
              </w:rPr>
              <w:t>Salinity</w:t>
            </w:r>
          </w:p>
        </w:tc>
        <w:tc>
          <w:tcPr>
            <w:tcW w:w="6660" w:type="dxa"/>
            <w:vAlign w:val="center"/>
          </w:tcPr>
          <w:p w14:paraId="0D0C2704" w14:textId="77777777" w:rsidR="0031675F" w:rsidRPr="0031675F" w:rsidRDefault="0031675F" w:rsidP="0031675F">
            <w:pPr>
              <w:spacing w:before="60" w:after="60"/>
              <w:rPr>
                <w:b/>
                <w:sz w:val="20"/>
              </w:rPr>
            </w:pPr>
          </w:p>
        </w:tc>
      </w:tr>
      <w:tr w:rsidR="0031675F" w:rsidRPr="0031675F" w14:paraId="2D88614C" w14:textId="77777777" w:rsidTr="00B00729">
        <w:trPr>
          <w:jc w:val="center"/>
        </w:trPr>
        <w:tc>
          <w:tcPr>
            <w:tcW w:w="1908" w:type="dxa"/>
            <w:vAlign w:val="center"/>
          </w:tcPr>
          <w:p w14:paraId="3C124F8F" w14:textId="77777777" w:rsidR="0031675F" w:rsidRPr="0031675F" w:rsidRDefault="0031675F" w:rsidP="0031675F">
            <w:pPr>
              <w:spacing w:before="60" w:after="60"/>
              <w:rPr>
                <w:sz w:val="20"/>
              </w:rPr>
            </w:pPr>
            <w:r w:rsidRPr="0031675F">
              <w:rPr>
                <w:sz w:val="20"/>
              </w:rPr>
              <w:t xml:space="preserve">Chlorophyll </w:t>
            </w:r>
          </w:p>
        </w:tc>
        <w:tc>
          <w:tcPr>
            <w:tcW w:w="6660" w:type="dxa"/>
            <w:vAlign w:val="center"/>
          </w:tcPr>
          <w:p w14:paraId="2582FF49" w14:textId="77777777" w:rsidR="0031675F" w:rsidRPr="0031675F" w:rsidRDefault="0031675F" w:rsidP="0031675F">
            <w:pPr>
              <w:spacing w:before="60" w:after="60"/>
              <w:rPr>
                <w:b/>
                <w:sz w:val="20"/>
              </w:rPr>
            </w:pPr>
          </w:p>
        </w:tc>
      </w:tr>
      <w:tr w:rsidR="0031675F" w:rsidRPr="0031675F" w14:paraId="2F1CCDC1" w14:textId="77777777" w:rsidTr="00B00729">
        <w:trPr>
          <w:trHeight w:val="70"/>
          <w:jc w:val="center"/>
        </w:trPr>
        <w:tc>
          <w:tcPr>
            <w:tcW w:w="1908" w:type="dxa"/>
            <w:vAlign w:val="center"/>
          </w:tcPr>
          <w:p w14:paraId="640968EA" w14:textId="77777777" w:rsidR="0031675F" w:rsidRPr="0031675F" w:rsidRDefault="0031675F" w:rsidP="0031675F">
            <w:pPr>
              <w:spacing w:before="60" w:after="60"/>
              <w:rPr>
                <w:sz w:val="20"/>
              </w:rPr>
            </w:pPr>
            <w:r w:rsidRPr="0031675F">
              <w:rPr>
                <w:sz w:val="20"/>
              </w:rPr>
              <w:t>Phaeo</w:t>
            </w:r>
          </w:p>
        </w:tc>
        <w:tc>
          <w:tcPr>
            <w:tcW w:w="6660" w:type="dxa"/>
            <w:vAlign w:val="center"/>
          </w:tcPr>
          <w:p w14:paraId="580ABDB6" w14:textId="77777777" w:rsidR="0031675F" w:rsidRPr="0031675F" w:rsidRDefault="0031675F" w:rsidP="0031675F">
            <w:pPr>
              <w:spacing w:before="60" w:after="60"/>
              <w:rPr>
                <w:b/>
                <w:sz w:val="20"/>
              </w:rPr>
            </w:pPr>
          </w:p>
        </w:tc>
      </w:tr>
      <w:tr w:rsidR="0031675F" w:rsidRPr="0031675F" w14:paraId="2FBF9D70" w14:textId="77777777" w:rsidTr="00B00729">
        <w:trPr>
          <w:trHeight w:val="70"/>
          <w:jc w:val="center"/>
        </w:trPr>
        <w:tc>
          <w:tcPr>
            <w:tcW w:w="1908" w:type="dxa"/>
            <w:vAlign w:val="center"/>
          </w:tcPr>
          <w:p w14:paraId="7F0E2865" w14:textId="77777777" w:rsidR="0031675F" w:rsidRPr="0031675F" w:rsidRDefault="0031675F" w:rsidP="0031675F">
            <w:pPr>
              <w:spacing w:before="60" w:after="60"/>
              <w:rPr>
                <w:sz w:val="20"/>
              </w:rPr>
            </w:pPr>
            <w:r w:rsidRPr="0031675F">
              <w:rPr>
                <w:sz w:val="20"/>
              </w:rPr>
              <w:t>Chl method</w:t>
            </w:r>
          </w:p>
        </w:tc>
        <w:tc>
          <w:tcPr>
            <w:tcW w:w="6660" w:type="dxa"/>
            <w:vAlign w:val="center"/>
          </w:tcPr>
          <w:p w14:paraId="5D30AF3D" w14:textId="77777777" w:rsidR="0031675F" w:rsidRPr="0031675F" w:rsidRDefault="0031675F" w:rsidP="0031675F">
            <w:pPr>
              <w:spacing w:before="60" w:after="60"/>
              <w:rPr>
                <w:b/>
                <w:sz w:val="20"/>
              </w:rPr>
            </w:pPr>
          </w:p>
        </w:tc>
      </w:tr>
    </w:tbl>
    <w:p w14:paraId="6507A934" w14:textId="77777777" w:rsidR="0031675F" w:rsidRPr="0031675F" w:rsidRDefault="0031675F" w:rsidP="0031675F">
      <w:pPr>
        <w:rPr>
          <w:b/>
        </w:rPr>
      </w:pPr>
    </w:p>
    <w:p w14:paraId="71F30FB9" w14:textId="77777777" w:rsidR="0031675F" w:rsidRPr="0031675F" w:rsidRDefault="0031675F" w:rsidP="0031675F">
      <w:r w:rsidRPr="0031675F">
        <w:t xml:space="preserve">(Quality control identified by laboratories and need further explanation). </w:t>
      </w:r>
    </w:p>
    <w:p w14:paraId="14AF1243" w14:textId="77777777" w:rsidR="0031675F" w:rsidRPr="0031675F" w:rsidRDefault="0031675F" w:rsidP="0031675F"/>
    <w:p w14:paraId="1B5C571B" w14:textId="77777777" w:rsidR="0031675F" w:rsidRPr="0031675F" w:rsidRDefault="0031675F" w:rsidP="0031675F">
      <w:pPr>
        <w:ind w:left="426" w:hanging="426"/>
        <w:rPr>
          <w:b/>
          <w:sz w:val="28"/>
          <w:szCs w:val="28"/>
        </w:rPr>
      </w:pPr>
      <w:r w:rsidRPr="0031675F">
        <w:rPr>
          <w:b/>
          <w:sz w:val="28"/>
          <w:szCs w:val="28"/>
        </w:rPr>
        <w:br w:type="page"/>
        <w:t>1.</w:t>
      </w:r>
      <w:r w:rsidRPr="0031675F">
        <w:rPr>
          <w:b/>
          <w:sz w:val="28"/>
          <w:szCs w:val="28"/>
        </w:rPr>
        <w:tab/>
        <w:t>Historical data</w:t>
      </w:r>
    </w:p>
    <w:p w14:paraId="40865437" w14:textId="77777777" w:rsidR="0031675F" w:rsidRPr="0031675F" w:rsidRDefault="0031675F" w:rsidP="0031675F"/>
    <w:p w14:paraId="7C599EAA" w14:textId="77777777" w:rsidR="0031675F" w:rsidRPr="0031675F" w:rsidRDefault="0031675F" w:rsidP="0031675F">
      <w:pPr>
        <w:ind w:left="426" w:hanging="426"/>
        <w:rPr>
          <w:b/>
        </w:rPr>
      </w:pPr>
      <w:r w:rsidRPr="0031675F">
        <w:rPr>
          <w:b/>
        </w:rPr>
        <w:t>1(a)</w:t>
      </w:r>
      <w:r w:rsidRPr="0031675F">
        <w:rPr>
          <w:b/>
        </w:rPr>
        <w:tab/>
        <w:t>Flood plume data collected during 1991 – 2001</w:t>
      </w:r>
    </w:p>
    <w:p w14:paraId="1528D40D" w14:textId="77777777" w:rsidR="0031675F" w:rsidRPr="0031675F" w:rsidRDefault="0031675F" w:rsidP="0031675F"/>
    <w:p w14:paraId="5A5BA69A" w14:textId="77777777" w:rsidR="0031675F" w:rsidRPr="0031675F" w:rsidRDefault="0031675F" w:rsidP="0031675F">
      <w:r w:rsidRPr="0031675F">
        <w:rPr>
          <w:b/>
        </w:rPr>
        <w:t>Program:</w:t>
      </w:r>
      <w:r w:rsidRPr="0031675F">
        <w:t xml:space="preserve"> </w:t>
      </w:r>
      <w:r w:rsidRPr="0031675F">
        <w:tab/>
      </w:r>
      <w:smartTag w:uri="urn:schemas-microsoft-com:office:smarttags" w:element="place">
        <w:smartTag w:uri="urn:schemas-microsoft-com:office:smarttags" w:element="PlaceName">
          <w:r w:rsidRPr="0031675F">
            <w:t>Great Barrier Reef</w:t>
          </w:r>
        </w:smartTag>
        <w:r w:rsidRPr="0031675F">
          <w:t xml:space="preserve"> </w:t>
        </w:r>
        <w:smartTag w:uri="urn:schemas-microsoft-com:office:smarttags" w:element="PlaceName">
          <w:r w:rsidRPr="0031675F">
            <w:t>Marine</w:t>
          </w:r>
        </w:smartTag>
        <w:r w:rsidRPr="0031675F">
          <w:t xml:space="preserve"> </w:t>
        </w:r>
        <w:smartTag w:uri="urn:schemas-microsoft-com:office:smarttags" w:element="PlaceType">
          <w:r w:rsidRPr="0031675F">
            <w:t>Park</w:t>
          </w:r>
        </w:smartTag>
      </w:smartTag>
      <w:r w:rsidRPr="0031675F">
        <w:t xml:space="preserve"> Authority flood plume monitoring. </w:t>
      </w:r>
    </w:p>
    <w:p w14:paraId="09133E69" w14:textId="77777777" w:rsidR="0031675F" w:rsidRPr="0031675F" w:rsidRDefault="0031675F" w:rsidP="0031675F">
      <w:r w:rsidRPr="0031675F">
        <w:rPr>
          <w:b/>
        </w:rPr>
        <w:t>Duration</w:t>
      </w:r>
      <w:r w:rsidRPr="0031675F">
        <w:t xml:space="preserve">: </w:t>
      </w:r>
      <w:r w:rsidRPr="0031675F">
        <w:tab/>
        <w:t>1991 – 2000</w:t>
      </w:r>
    </w:p>
    <w:p w14:paraId="424DFB2A" w14:textId="77777777" w:rsidR="0031675F" w:rsidRPr="0031675F" w:rsidRDefault="0031675F" w:rsidP="0031675F">
      <w:r w:rsidRPr="0031675F">
        <w:rPr>
          <w:b/>
        </w:rPr>
        <w:t>Organisation</w:t>
      </w:r>
      <w:r w:rsidRPr="0031675F">
        <w:t xml:space="preserve">: </w:t>
      </w:r>
      <w:r w:rsidRPr="0031675F">
        <w:tab/>
        <w:t>GBRMPA, AIMS</w:t>
      </w:r>
    </w:p>
    <w:p w14:paraId="44A95CDD" w14:textId="77777777" w:rsidR="0031675F" w:rsidRPr="0031675F" w:rsidRDefault="0031675F" w:rsidP="0031675F">
      <w:pPr>
        <w:rPr>
          <w:b/>
        </w:rPr>
      </w:pPr>
      <w:r w:rsidRPr="0031675F">
        <w:rPr>
          <w:b/>
        </w:rPr>
        <w:t>Individuals:</w:t>
      </w:r>
      <w:r w:rsidRPr="0031675F">
        <w:rPr>
          <w:b/>
        </w:rPr>
        <w:tab/>
      </w:r>
      <w:r w:rsidRPr="0031675F">
        <w:t xml:space="preserve">Michelle Devlin, Jane Waterhouse, </w:t>
      </w:r>
      <w:smartTag w:uri="urn:schemas-microsoft-com:office:smarttags" w:element="PersonName">
        <w:r w:rsidRPr="0031675F">
          <w:t>David Haynes</w:t>
        </w:r>
      </w:smartTag>
    </w:p>
    <w:p w14:paraId="305C65A0" w14:textId="77777777" w:rsidR="0031675F" w:rsidRPr="0031675F" w:rsidRDefault="0031675F" w:rsidP="0031675F">
      <w:r w:rsidRPr="0031675F">
        <w:rPr>
          <w:b/>
        </w:rPr>
        <w:t>Area</w:t>
      </w:r>
      <w:r w:rsidRPr="0031675F">
        <w:t xml:space="preserve">: </w:t>
      </w:r>
      <w:r w:rsidRPr="0031675F">
        <w:tab/>
      </w:r>
      <w:r w:rsidRPr="0031675F">
        <w:tab/>
        <w:t>Various catchments – see below</w:t>
      </w:r>
    </w:p>
    <w:p w14:paraId="63B36EB5" w14:textId="77777777" w:rsidR="0031675F" w:rsidRPr="0031675F" w:rsidRDefault="0031675F" w:rsidP="0031675F">
      <w:pPr>
        <w:ind w:left="1440" w:hanging="1440"/>
      </w:pPr>
      <w:r w:rsidRPr="0031675F">
        <w:rPr>
          <w:b/>
        </w:rPr>
        <w:t>Reports:</w:t>
      </w:r>
      <w:r w:rsidRPr="0031675F">
        <w:t xml:space="preserve"> </w:t>
      </w:r>
      <w:r w:rsidRPr="0031675F">
        <w:tab/>
        <w:t>Devlin et al. (2001) Flood plume monitoring in the Great Barrier Reef: spatial and temporal patterns in composition and distribution</w:t>
      </w:r>
    </w:p>
    <w:p w14:paraId="75AB0FCF" w14:textId="77777777" w:rsidR="0031675F" w:rsidRPr="0031675F" w:rsidRDefault="0031675F" w:rsidP="0031675F">
      <w:pPr>
        <w:rPr>
          <w:lang w:val="de-DE"/>
        </w:rPr>
      </w:pPr>
      <w:r w:rsidRPr="0031675F">
        <w:tab/>
      </w:r>
      <w:r w:rsidRPr="0031675F">
        <w:tab/>
      </w:r>
      <w:r w:rsidRPr="0031675F">
        <w:rPr>
          <w:lang w:val="de-DE"/>
        </w:rPr>
        <w:t xml:space="preserve">Devlin et al. 2002 </w:t>
      </w:r>
    </w:p>
    <w:p w14:paraId="3E8A7448" w14:textId="77777777" w:rsidR="0031675F" w:rsidRPr="0031675F" w:rsidRDefault="0031675F" w:rsidP="0031675F">
      <w:pPr>
        <w:rPr>
          <w:lang w:val="de-DE"/>
        </w:rPr>
      </w:pPr>
      <w:r w:rsidRPr="0031675F">
        <w:rPr>
          <w:lang w:val="de-DE"/>
        </w:rPr>
        <w:tab/>
      </w:r>
      <w:r w:rsidRPr="0031675F">
        <w:rPr>
          <w:lang w:val="de-DE"/>
        </w:rPr>
        <w:tab/>
        <w:t>Devlin et al. 2004</w:t>
      </w:r>
    </w:p>
    <w:p w14:paraId="609BC033" w14:textId="77777777" w:rsidR="0031675F" w:rsidRPr="0031675F" w:rsidRDefault="0031675F" w:rsidP="0031675F">
      <w:r w:rsidRPr="0031675F">
        <w:rPr>
          <w:b/>
        </w:rPr>
        <w:t>Events</w:t>
      </w:r>
      <w:r w:rsidRPr="0031675F">
        <w:t xml:space="preserve">: </w:t>
      </w:r>
      <w:r w:rsidRPr="0031675F">
        <w:tab/>
        <w:t>8</w:t>
      </w:r>
    </w:p>
    <w:p w14:paraId="522960C2" w14:textId="77777777" w:rsidR="0031675F" w:rsidRPr="0031675F" w:rsidRDefault="0031675F" w:rsidP="0031675F">
      <w:pPr>
        <w:ind w:left="720" w:firstLine="720"/>
      </w:pPr>
      <w:r w:rsidRPr="0031675F">
        <w:t>[Cyclone Joy – 1991]</w:t>
      </w:r>
    </w:p>
    <w:p w14:paraId="1871D276" w14:textId="77777777" w:rsidR="0031675F" w:rsidRPr="0031675F" w:rsidRDefault="0031675F" w:rsidP="0031675F">
      <w:pPr>
        <w:ind w:left="720" w:firstLine="720"/>
      </w:pPr>
      <w:r w:rsidRPr="0031675F">
        <w:t>[Cyclone Sadie – 1994]</w:t>
      </w:r>
    </w:p>
    <w:p w14:paraId="61A3C67E" w14:textId="77777777" w:rsidR="0031675F" w:rsidRPr="0031675F" w:rsidRDefault="0031675F" w:rsidP="0031675F">
      <w:pPr>
        <w:ind w:left="720" w:firstLine="720"/>
      </w:pPr>
      <w:r w:rsidRPr="0031675F">
        <w:t>[Cyclone Violet – 1995]</w:t>
      </w:r>
    </w:p>
    <w:p w14:paraId="6302B081" w14:textId="77777777" w:rsidR="0031675F" w:rsidRPr="0031675F" w:rsidRDefault="0031675F" w:rsidP="0031675F">
      <w:pPr>
        <w:ind w:left="720" w:firstLine="720"/>
      </w:pPr>
      <w:r w:rsidRPr="0031675F">
        <w:t>[Cyclone Ethel – 1996]</w:t>
      </w:r>
    </w:p>
    <w:p w14:paraId="793A31CE" w14:textId="77777777" w:rsidR="0031675F" w:rsidRPr="0031675F" w:rsidRDefault="0031675F" w:rsidP="0031675F">
      <w:pPr>
        <w:ind w:left="720" w:firstLine="720"/>
      </w:pPr>
      <w:r w:rsidRPr="0031675F">
        <w:t>[Cyclone Justine – 1997]</w:t>
      </w:r>
    </w:p>
    <w:p w14:paraId="4895B016" w14:textId="77777777" w:rsidR="0031675F" w:rsidRPr="0031675F" w:rsidRDefault="0031675F" w:rsidP="0031675F">
      <w:pPr>
        <w:ind w:left="720" w:firstLine="720"/>
      </w:pPr>
      <w:r w:rsidRPr="0031675F">
        <w:t>[Cyclone Sid – 1998]</w:t>
      </w:r>
    </w:p>
    <w:p w14:paraId="31910666" w14:textId="77777777" w:rsidR="0031675F" w:rsidRPr="0031675F" w:rsidRDefault="0031675F" w:rsidP="0031675F">
      <w:pPr>
        <w:ind w:left="720" w:firstLine="720"/>
      </w:pPr>
      <w:r w:rsidRPr="0031675F">
        <w:t>[Cyclone Rona – 1999]</w:t>
      </w:r>
    </w:p>
    <w:p w14:paraId="23AF38B2" w14:textId="77777777" w:rsidR="0031675F" w:rsidRPr="0031675F" w:rsidRDefault="0031675F" w:rsidP="0031675F">
      <w:pPr>
        <w:ind w:left="720" w:firstLine="720"/>
      </w:pPr>
      <w:r w:rsidRPr="0031675F">
        <w:t>[Cyclone Steve – 2000]</w:t>
      </w:r>
    </w:p>
    <w:p w14:paraId="141EBCA3" w14:textId="77777777" w:rsidR="0031675F" w:rsidRPr="0031675F" w:rsidRDefault="0031675F" w:rsidP="0031675F"/>
    <w:p w14:paraId="7A3786FD" w14:textId="77777777" w:rsidR="0031675F" w:rsidRPr="0031675F" w:rsidRDefault="0031675F" w:rsidP="0031675F">
      <w:r w:rsidRPr="0031675F">
        <w:t>For further information on cyclones, refer to Devlin et al. 2001</w:t>
      </w:r>
    </w:p>
    <w:p w14:paraId="3F428694" w14:textId="77777777" w:rsidR="0031675F" w:rsidRPr="0031675F" w:rsidRDefault="0031675F" w:rsidP="0031675F"/>
    <w:p w14:paraId="7631C08B" w14:textId="77777777" w:rsidR="0031675F" w:rsidRPr="0031675F" w:rsidRDefault="0031675F" w:rsidP="0031675F">
      <w:r w:rsidRPr="0031675F">
        <w:t>Parameters for each cyclone.</w:t>
      </w:r>
    </w:p>
    <w:p w14:paraId="6DB47A19" w14:textId="77777777" w:rsidR="0031675F" w:rsidRPr="0031675F" w:rsidRDefault="0031675F" w:rsidP="0031675F">
      <w:pPr>
        <w:ind w:left="426" w:hanging="426"/>
        <w:rPr>
          <w:b/>
          <w:sz w:val="28"/>
          <w:szCs w:val="28"/>
        </w:rPr>
      </w:pPr>
      <w:r w:rsidRPr="0031675F">
        <w:rPr>
          <w:b/>
          <w:sz w:val="28"/>
          <w:szCs w:val="28"/>
        </w:rPr>
        <w:br w:type="page"/>
        <w:t xml:space="preserve">2. </w:t>
      </w:r>
      <w:r w:rsidRPr="0031675F">
        <w:rPr>
          <w:b/>
          <w:sz w:val="28"/>
          <w:szCs w:val="28"/>
        </w:rPr>
        <w:tab/>
        <w:t>2001 – 2007 data</w:t>
      </w:r>
    </w:p>
    <w:p w14:paraId="3FBCF69C" w14:textId="77777777" w:rsidR="0031675F" w:rsidRPr="0031675F" w:rsidRDefault="0031675F" w:rsidP="0031675F">
      <w:pPr>
        <w:rPr>
          <w:b/>
        </w:rPr>
      </w:pPr>
    </w:p>
    <w:p w14:paraId="4F4D9D4E" w14:textId="77777777" w:rsidR="0031675F" w:rsidRPr="0031675F" w:rsidRDefault="0031675F" w:rsidP="0031675F">
      <w:pPr>
        <w:ind w:left="426" w:hanging="426"/>
        <w:rPr>
          <w:b/>
        </w:rPr>
      </w:pPr>
      <w:r w:rsidRPr="0031675F">
        <w:rPr>
          <w:b/>
        </w:rPr>
        <w:t>2.1</w:t>
      </w:r>
      <w:r w:rsidRPr="0031675F">
        <w:rPr>
          <w:b/>
        </w:rPr>
        <w:tab/>
        <w:t>Flood plume data collected during 2002</w:t>
      </w:r>
    </w:p>
    <w:p w14:paraId="6F98A2FB" w14:textId="77777777" w:rsidR="0031675F" w:rsidRPr="0031675F" w:rsidRDefault="0031675F" w:rsidP="0031675F"/>
    <w:p w14:paraId="4DB17BBB" w14:textId="77777777" w:rsidR="0031675F" w:rsidRPr="0031675F" w:rsidRDefault="0031675F" w:rsidP="0031675F">
      <w:r w:rsidRPr="0031675F">
        <w:rPr>
          <w:b/>
        </w:rPr>
        <w:t>Program:</w:t>
      </w:r>
      <w:r w:rsidRPr="0031675F">
        <w:t xml:space="preserve"> </w:t>
      </w:r>
      <w:r w:rsidRPr="0031675F">
        <w:tab/>
        <w:t xml:space="preserve">National Action Plan for Salinity and Water Quality (NAP) </w:t>
      </w:r>
    </w:p>
    <w:p w14:paraId="2CE49B36" w14:textId="77777777" w:rsidR="0031675F" w:rsidRPr="00C70D93" w:rsidRDefault="0031675F" w:rsidP="0031675F">
      <w:pPr>
        <w:rPr>
          <w:lang w:val="fr-FR"/>
        </w:rPr>
      </w:pPr>
      <w:r w:rsidRPr="00C70D93">
        <w:rPr>
          <w:b/>
          <w:lang w:val="fr-FR"/>
        </w:rPr>
        <w:t>Duration</w:t>
      </w:r>
      <w:r w:rsidRPr="00C70D93">
        <w:rPr>
          <w:lang w:val="fr-FR"/>
        </w:rPr>
        <w:t xml:space="preserve">: </w:t>
      </w:r>
      <w:r w:rsidRPr="00C70D93">
        <w:rPr>
          <w:lang w:val="fr-FR"/>
        </w:rPr>
        <w:tab/>
        <w:t>2002 – 2005</w:t>
      </w:r>
    </w:p>
    <w:p w14:paraId="59233E22" w14:textId="77777777" w:rsidR="0031675F" w:rsidRPr="00C70D93" w:rsidRDefault="0031675F" w:rsidP="0031675F">
      <w:pPr>
        <w:rPr>
          <w:lang w:val="fr-FR"/>
        </w:rPr>
      </w:pPr>
      <w:r w:rsidRPr="00C70D93">
        <w:rPr>
          <w:b/>
          <w:lang w:val="fr-FR"/>
        </w:rPr>
        <w:t>Organisation</w:t>
      </w:r>
      <w:r w:rsidRPr="00C70D93">
        <w:rPr>
          <w:lang w:val="fr-FR"/>
        </w:rPr>
        <w:t xml:space="preserve">: </w:t>
      </w:r>
      <w:r w:rsidRPr="00C70D93">
        <w:rPr>
          <w:lang w:val="fr-FR"/>
        </w:rPr>
        <w:tab/>
        <w:t>TropWater (JCU), ANU.</w:t>
      </w:r>
    </w:p>
    <w:p w14:paraId="38137E30" w14:textId="77777777" w:rsidR="0031675F" w:rsidRPr="0031675F" w:rsidRDefault="0031675F" w:rsidP="0031675F">
      <w:pPr>
        <w:rPr>
          <w:b/>
        </w:rPr>
      </w:pPr>
      <w:r w:rsidRPr="0031675F">
        <w:rPr>
          <w:b/>
        </w:rPr>
        <w:t>Individuals:</w:t>
      </w:r>
      <w:r w:rsidRPr="0031675F">
        <w:rPr>
          <w:b/>
        </w:rPr>
        <w:tab/>
      </w:r>
      <w:smartTag w:uri="urn:schemas-microsoft-com:office:smarttags" w:element="PersonName">
        <w:r w:rsidRPr="0031675F">
          <w:t>Jon Brodie</w:t>
        </w:r>
      </w:smartTag>
      <w:r w:rsidRPr="0031675F">
        <w:t>, Malcolm McCulloch</w:t>
      </w:r>
    </w:p>
    <w:p w14:paraId="5EDCB720" w14:textId="77777777" w:rsidR="0031675F" w:rsidRPr="0031675F" w:rsidRDefault="0031675F" w:rsidP="0031675F">
      <w:r w:rsidRPr="0031675F">
        <w:rPr>
          <w:b/>
        </w:rPr>
        <w:t>Area</w:t>
      </w:r>
      <w:r w:rsidRPr="0031675F">
        <w:t xml:space="preserve">: </w:t>
      </w:r>
      <w:r w:rsidRPr="0031675F">
        <w:tab/>
      </w:r>
      <w:r w:rsidRPr="0031675F">
        <w:tab/>
        <w:t>Burdekin catchment</w:t>
      </w:r>
    </w:p>
    <w:p w14:paraId="546A2F99" w14:textId="77777777" w:rsidR="0031675F" w:rsidRPr="0031675F" w:rsidRDefault="0031675F" w:rsidP="0031675F">
      <w:r w:rsidRPr="0031675F">
        <w:rPr>
          <w:b/>
        </w:rPr>
        <w:t>Events</w:t>
      </w:r>
      <w:r w:rsidRPr="0031675F">
        <w:t xml:space="preserve">: </w:t>
      </w:r>
      <w:r w:rsidRPr="0031675F">
        <w:tab/>
        <w:t>1</w:t>
      </w:r>
    </w:p>
    <w:p w14:paraId="08B0ECC8" w14:textId="77777777" w:rsidR="0031675F" w:rsidRPr="0031675F" w:rsidRDefault="0031675F" w:rsidP="0031675F">
      <w:r w:rsidRPr="0031675F">
        <w:tab/>
      </w:r>
      <w:r w:rsidRPr="0031675F">
        <w:tab/>
        <w:t>[Major flow event in February 2002, no cyclone associated]</w:t>
      </w:r>
    </w:p>
    <w:p w14:paraId="0678733A" w14:textId="77777777" w:rsidR="0031675F" w:rsidRPr="0031675F" w:rsidRDefault="0031675F" w:rsidP="0031675F"/>
    <w:p w14:paraId="55E91EE2" w14:textId="77777777" w:rsidR="0031675F" w:rsidRPr="0031675F" w:rsidRDefault="0031675F" w:rsidP="0031675F">
      <w:pPr>
        <w:rPr>
          <w:b/>
        </w:rPr>
      </w:pPr>
      <w:r w:rsidRPr="0031675F">
        <w:rPr>
          <w:b/>
        </w:rPr>
        <w:t>Description:</w:t>
      </w:r>
      <w:r w:rsidRPr="0031675F">
        <w:rPr>
          <w:b/>
        </w:rPr>
        <w:tab/>
      </w:r>
    </w:p>
    <w:p w14:paraId="6B52A163" w14:textId="77777777" w:rsidR="0031675F" w:rsidRPr="0031675F" w:rsidRDefault="0031675F" w:rsidP="0031675F">
      <w:r w:rsidRPr="0031675F">
        <w:t xml:space="preserve">Water samples collected from multiple sites within flood plume in transect heading out from river mouth. Majority of samples collected inside the visible area of the plume though some samples taken outside of plume for comparison. Surface samples were collected at 0.5 metres below the surface, with either a reversing thermometer Niskin Bottle for a rinsed clean sampling container with temperature measured by thermometer. Samples taken at depth were collected with Niskin Bottles. Salinity and temperature profiles were measured at all sites with an YSI salinity meter. Water samples for nutrient and chlorophyll analysis were collected, filtered and stored for further analysis. Volumes filtered for all analyses were dependent on turbidity of the water. Sub samples were filtered through GF/F (glass fibre) filters for chlorophyll and phaeoyphytin, and the filter immediately wrapped in aluminium foil and frozen. The second sub-sample was filtered through 0.45µM membrane filter for SS. </w:t>
      </w:r>
    </w:p>
    <w:p w14:paraId="5C063246" w14:textId="77777777" w:rsidR="0031675F" w:rsidRPr="0031675F" w:rsidRDefault="0031675F" w:rsidP="0031675F"/>
    <w:p w14:paraId="74C38310" w14:textId="77777777" w:rsidR="0031675F" w:rsidRPr="0031675F" w:rsidRDefault="0031675F" w:rsidP="0031675F">
      <w:r w:rsidRPr="0031675F">
        <w:t xml:space="preserve">Samples were collected at 13 stations in the plume covering range of salinities on February 20 and 21, 2002. The Burdekin flow in this event was moderate at Home Hill (Clare), the total February flow being 3.6 million ML, compared to a long term median flow at Clare of 1.2 million ML. Exact latitude and longitude can be found in database. While profiles for salinity and temperature with depth were taken only surface samples were collected for SS, nutrients and chlorophyll analysis. </w:t>
      </w:r>
    </w:p>
    <w:p w14:paraId="0B8802A3" w14:textId="77777777" w:rsidR="0031675F" w:rsidRPr="0031675F" w:rsidRDefault="0031675F" w:rsidP="0031675F"/>
    <w:p w14:paraId="7BD9EA92" w14:textId="77777777" w:rsidR="0031675F" w:rsidRPr="0031675F" w:rsidRDefault="0031675F" w:rsidP="0031675F">
      <w:pPr>
        <w:keepNext/>
        <w:rPr>
          <w:b/>
        </w:rPr>
      </w:pPr>
      <w:r w:rsidRPr="0031675F">
        <w:rPr>
          <w:b/>
        </w:rPr>
        <w:t>Data conversion:</w:t>
      </w:r>
    </w:p>
    <w:p w14:paraId="7208EE8E" w14:textId="77777777" w:rsidR="0031675F" w:rsidRPr="0031675F" w:rsidRDefault="0031675F" w:rsidP="0031675F">
      <w:pPr>
        <w:keepNext/>
      </w:pPr>
      <w:r w:rsidRPr="0031675F">
        <w:t>Latitude and longitude converted to degrees and minutes.</w:t>
      </w:r>
    </w:p>
    <w:p w14:paraId="5BB49FD1" w14:textId="77777777" w:rsidR="0031675F" w:rsidRPr="0031675F" w:rsidRDefault="0031675F" w:rsidP="0031675F"/>
    <w:p w14:paraId="3B63F3DC" w14:textId="77777777" w:rsidR="0031675F" w:rsidRPr="0031675F" w:rsidRDefault="0031675F" w:rsidP="0031675F">
      <w:pPr>
        <w:rPr>
          <w:b/>
        </w:rPr>
      </w:pPr>
      <w:r w:rsidRPr="0031675F">
        <w:rPr>
          <w:b/>
        </w:rPr>
        <w:t>Comments:</w:t>
      </w:r>
    </w:p>
    <w:p w14:paraId="048F1E16" w14:textId="77777777" w:rsidR="0031675F" w:rsidRPr="0031675F" w:rsidRDefault="0031675F" w:rsidP="0031675F">
      <w:r w:rsidRPr="0031675F">
        <w:t>Only chlorophyll, phaeophytin, SPM and salinity data (nutrient data lost in analysis process)</w:t>
      </w:r>
    </w:p>
    <w:p w14:paraId="0181D955" w14:textId="411873D7" w:rsidR="0031675F" w:rsidRPr="0031675F" w:rsidRDefault="0031675F" w:rsidP="0031675F">
      <w:r w:rsidRPr="0031675F">
        <w:t>SPM – mg</w:t>
      </w:r>
      <w:r w:rsidR="00E817CB" w:rsidRPr="00E817CB">
        <w:t xml:space="preserve"> L</w:t>
      </w:r>
      <w:r w:rsidR="00E817CB" w:rsidRPr="00E817CB">
        <w:rPr>
          <w:vertAlign w:val="superscript"/>
        </w:rPr>
        <w:t>-1</w:t>
      </w:r>
    </w:p>
    <w:p w14:paraId="6D7B5337" w14:textId="3E0C3913" w:rsidR="0031675F" w:rsidRPr="0031675F" w:rsidRDefault="0031675F" w:rsidP="0031675F">
      <w:r w:rsidRPr="0031675F">
        <w:t>Chl - µg</w:t>
      </w:r>
      <w:r w:rsidR="00E817CB" w:rsidRPr="00E817CB">
        <w:t xml:space="preserve"> L</w:t>
      </w:r>
      <w:r w:rsidR="00E817CB" w:rsidRPr="00E817CB">
        <w:rPr>
          <w:vertAlign w:val="superscript"/>
        </w:rPr>
        <w:t>-1</w:t>
      </w:r>
    </w:p>
    <w:p w14:paraId="2F344DCF" w14:textId="77777777" w:rsidR="0031675F" w:rsidRPr="0031675F" w:rsidRDefault="0031675F" w:rsidP="0031675F">
      <w:r w:rsidRPr="0031675F">
        <w:t>Salinity</w:t>
      </w:r>
    </w:p>
    <w:p w14:paraId="0499C1B7" w14:textId="77777777" w:rsidR="0031675F" w:rsidRPr="0031675F" w:rsidRDefault="0031675F" w:rsidP="0031675F"/>
    <w:p w14:paraId="19A92FD9" w14:textId="77777777" w:rsidR="0031675F" w:rsidRPr="0031675F" w:rsidRDefault="0031675F" w:rsidP="0031675F">
      <w:pPr>
        <w:ind w:left="426" w:hanging="426"/>
        <w:rPr>
          <w:b/>
        </w:rPr>
      </w:pPr>
      <w:r w:rsidRPr="0031675F">
        <w:rPr>
          <w:b/>
        </w:rPr>
        <w:br w:type="page"/>
        <w:t xml:space="preserve">2.2 </w:t>
      </w:r>
      <w:r w:rsidRPr="0031675F">
        <w:rPr>
          <w:b/>
        </w:rPr>
        <w:tab/>
        <w:t>TropWater flood plume data collected 2007</w:t>
      </w:r>
    </w:p>
    <w:p w14:paraId="0A9D4B50" w14:textId="77777777" w:rsidR="0031675F" w:rsidRPr="0031675F" w:rsidRDefault="0031675F" w:rsidP="0031675F">
      <w:pPr>
        <w:rPr>
          <w:b/>
        </w:rPr>
      </w:pPr>
    </w:p>
    <w:p w14:paraId="4F5EE75F" w14:textId="77777777" w:rsidR="0031675F" w:rsidRPr="0031675F" w:rsidRDefault="0031675F" w:rsidP="0031675F">
      <w:r w:rsidRPr="0031675F">
        <w:rPr>
          <w:b/>
        </w:rPr>
        <w:t>Program:</w:t>
      </w:r>
      <w:r w:rsidRPr="0031675F">
        <w:t xml:space="preserve"> </w:t>
      </w:r>
      <w:r w:rsidRPr="0031675F">
        <w:tab/>
        <w:t>MTSRF 3.7.2</w:t>
      </w:r>
    </w:p>
    <w:p w14:paraId="06DF00E8" w14:textId="77777777" w:rsidR="0031675F" w:rsidRPr="0031675F" w:rsidRDefault="0031675F" w:rsidP="0031675F">
      <w:r w:rsidRPr="0031675F">
        <w:rPr>
          <w:b/>
        </w:rPr>
        <w:t>Duration</w:t>
      </w:r>
      <w:r w:rsidRPr="0031675F">
        <w:t xml:space="preserve">: </w:t>
      </w:r>
      <w:r w:rsidRPr="0031675F">
        <w:tab/>
        <w:t>2007</w:t>
      </w:r>
    </w:p>
    <w:p w14:paraId="34326C25" w14:textId="77777777" w:rsidR="0031675F" w:rsidRPr="0031675F" w:rsidRDefault="0031675F" w:rsidP="0031675F">
      <w:r w:rsidRPr="0031675F">
        <w:rPr>
          <w:b/>
        </w:rPr>
        <w:t>Organisation</w:t>
      </w:r>
      <w:r w:rsidRPr="0031675F">
        <w:t xml:space="preserve">: </w:t>
      </w:r>
      <w:r w:rsidRPr="0031675F">
        <w:tab/>
        <w:t>TropWater (GBRMPA)</w:t>
      </w:r>
    </w:p>
    <w:p w14:paraId="0D6B9333" w14:textId="77777777" w:rsidR="0031675F" w:rsidRPr="0031675F" w:rsidRDefault="0031675F" w:rsidP="0031675F">
      <w:pPr>
        <w:rPr>
          <w:b/>
        </w:rPr>
      </w:pPr>
      <w:r w:rsidRPr="0031675F">
        <w:rPr>
          <w:b/>
        </w:rPr>
        <w:t>Individuals:</w:t>
      </w:r>
      <w:r w:rsidRPr="0031675F">
        <w:rPr>
          <w:b/>
        </w:rPr>
        <w:tab/>
      </w:r>
      <w:r w:rsidRPr="0031675F">
        <w:t>Steve Lewis, Zoe Bainbridge</w:t>
      </w:r>
      <w:r w:rsidRPr="0031675F">
        <w:rPr>
          <w:b/>
        </w:rPr>
        <w:t xml:space="preserve">, </w:t>
      </w:r>
      <w:r w:rsidRPr="0031675F">
        <w:t xml:space="preserve">Jon Brodie, </w:t>
      </w:r>
    </w:p>
    <w:p w14:paraId="72FAB123" w14:textId="77777777" w:rsidR="0031675F" w:rsidRPr="0031675F" w:rsidRDefault="0031675F" w:rsidP="0031675F">
      <w:r w:rsidRPr="0031675F">
        <w:rPr>
          <w:b/>
        </w:rPr>
        <w:t>Area</w:t>
      </w:r>
      <w:r w:rsidRPr="0031675F">
        <w:t xml:space="preserve">: </w:t>
      </w:r>
      <w:r w:rsidRPr="0031675F">
        <w:tab/>
      </w:r>
      <w:r w:rsidRPr="0031675F">
        <w:tab/>
        <w:t>Burdekin catchment</w:t>
      </w:r>
    </w:p>
    <w:p w14:paraId="166A92F7" w14:textId="77777777" w:rsidR="0031675F" w:rsidRPr="0031675F" w:rsidRDefault="0031675F" w:rsidP="0031675F">
      <w:r w:rsidRPr="0031675F">
        <w:tab/>
      </w:r>
      <w:r w:rsidRPr="0031675F">
        <w:tab/>
        <w:t xml:space="preserve">Black and </w:t>
      </w:r>
      <w:smartTag w:uri="urn:schemas-microsoft-com:office:smarttags" w:element="place">
        <w:smartTag w:uri="urn:schemas-microsoft-com:office:smarttags" w:element="PlaceName">
          <w:r w:rsidRPr="0031675F">
            <w:t>Bohle</w:t>
          </w:r>
        </w:smartTag>
        <w:r w:rsidRPr="0031675F">
          <w:t xml:space="preserve"> </w:t>
        </w:r>
        <w:smartTag w:uri="urn:schemas-microsoft-com:office:smarttags" w:element="PlaceType">
          <w:r w:rsidRPr="0031675F">
            <w:t>River</w:t>
          </w:r>
        </w:smartTag>
      </w:smartTag>
      <w:r w:rsidRPr="0031675F">
        <w:t xml:space="preserve"> (Townsville)</w:t>
      </w:r>
    </w:p>
    <w:p w14:paraId="1194BBF7" w14:textId="77777777" w:rsidR="0031675F" w:rsidRPr="0031675F" w:rsidRDefault="0031675F" w:rsidP="0031675F">
      <w:r w:rsidRPr="0031675F">
        <w:rPr>
          <w:b/>
        </w:rPr>
        <w:t>Events</w:t>
      </w:r>
      <w:r w:rsidRPr="0031675F">
        <w:t xml:space="preserve">: </w:t>
      </w:r>
      <w:r w:rsidRPr="0031675F">
        <w:tab/>
        <w:t>1</w:t>
      </w:r>
    </w:p>
    <w:p w14:paraId="11FBA8FB" w14:textId="77777777" w:rsidR="0031675F" w:rsidRPr="0031675F" w:rsidRDefault="0031675F" w:rsidP="0031675F">
      <w:r w:rsidRPr="0031675F">
        <w:tab/>
      </w:r>
      <w:r w:rsidRPr="0031675F">
        <w:tab/>
        <w:t>[February 2007]</w:t>
      </w:r>
    </w:p>
    <w:p w14:paraId="7E8E6C23" w14:textId="77777777" w:rsidR="0031675F" w:rsidRPr="0031675F" w:rsidRDefault="0031675F" w:rsidP="0031675F">
      <w:pPr>
        <w:rPr>
          <w:b/>
        </w:rPr>
      </w:pPr>
      <w:r w:rsidRPr="0031675F">
        <w:rPr>
          <w:b/>
        </w:rPr>
        <w:t>Description:</w:t>
      </w:r>
    </w:p>
    <w:p w14:paraId="38D77B71" w14:textId="77777777" w:rsidR="0031675F" w:rsidRPr="0031675F" w:rsidRDefault="0031675F" w:rsidP="0031675F">
      <w:pPr>
        <w:rPr>
          <w:b/>
        </w:rPr>
      </w:pPr>
      <w:r w:rsidRPr="0031675F">
        <w:rPr>
          <w:b/>
        </w:rPr>
        <w:br/>
        <w:t xml:space="preserve">Data conversion: </w:t>
      </w:r>
    </w:p>
    <w:p w14:paraId="3DA77A4A" w14:textId="46B6BF04" w:rsidR="0031675F" w:rsidRPr="0031675F" w:rsidRDefault="0031675F" w:rsidP="0031675F">
      <w:r w:rsidRPr="0031675F">
        <w:t>Nutrient concentrations (measured in µg</w:t>
      </w:r>
      <w:r w:rsidR="00E817CB" w:rsidRPr="00E817CB">
        <w:t xml:space="preserve"> L</w:t>
      </w:r>
      <w:r w:rsidR="00E817CB" w:rsidRPr="00E817CB">
        <w:rPr>
          <w:vertAlign w:val="superscript"/>
        </w:rPr>
        <w:t>-1</w:t>
      </w:r>
      <w:r w:rsidRPr="0031675F">
        <w:t>) were converted to µM.</w:t>
      </w:r>
    </w:p>
    <w:p w14:paraId="5D0B335C" w14:textId="77777777" w:rsidR="0031675F" w:rsidRPr="0031675F" w:rsidRDefault="0031675F" w:rsidP="0031675F">
      <w:pPr>
        <w:numPr>
          <w:ilvl w:val="0"/>
          <w:numId w:val="170"/>
        </w:numPr>
        <w:tabs>
          <w:tab w:val="clear" w:pos="720"/>
        </w:tabs>
        <w:spacing w:before="60" w:after="60" w:line="240" w:lineRule="auto"/>
        <w:ind w:left="340" w:hanging="340"/>
      </w:pPr>
      <w:r w:rsidRPr="0031675F">
        <w:t>TN, NO</w:t>
      </w:r>
      <w:r w:rsidRPr="0031675F">
        <w:rPr>
          <w:vertAlign w:val="subscript"/>
        </w:rPr>
        <w:t>2</w:t>
      </w:r>
      <w:r w:rsidRPr="0031675F">
        <w:t>, NO</w:t>
      </w:r>
      <w:r w:rsidRPr="0031675F">
        <w:rPr>
          <w:vertAlign w:val="subscript"/>
        </w:rPr>
        <w:t>3</w:t>
      </w:r>
      <w:r w:rsidRPr="0031675F">
        <w:t>, NO</w:t>
      </w:r>
      <w:r w:rsidRPr="0031675F">
        <w:rPr>
          <w:vertAlign w:val="subscript"/>
        </w:rPr>
        <w:t>X</w:t>
      </w:r>
      <w:r w:rsidRPr="0031675F">
        <w:t>, DON, PN converted by multiplying by 14.0067.</w:t>
      </w:r>
    </w:p>
    <w:p w14:paraId="11BE3F65" w14:textId="77777777" w:rsidR="0031675F" w:rsidRPr="0031675F" w:rsidRDefault="0031675F" w:rsidP="0031675F">
      <w:pPr>
        <w:numPr>
          <w:ilvl w:val="0"/>
          <w:numId w:val="170"/>
        </w:numPr>
        <w:tabs>
          <w:tab w:val="clear" w:pos="720"/>
        </w:tabs>
        <w:spacing w:before="60" w:after="60" w:line="240" w:lineRule="auto"/>
        <w:ind w:left="340" w:hanging="340"/>
      </w:pPr>
      <w:r w:rsidRPr="0031675F">
        <w:t xml:space="preserve">TP, FRP (DIP), PP, DOP converted by multiplying by 30.97376 (for description of parameters, see Appendix 1). </w:t>
      </w:r>
    </w:p>
    <w:p w14:paraId="4A92B98B" w14:textId="77777777" w:rsidR="0031675F" w:rsidRPr="0031675F" w:rsidRDefault="0031675F" w:rsidP="0031675F">
      <w:pPr>
        <w:numPr>
          <w:ilvl w:val="0"/>
          <w:numId w:val="171"/>
        </w:numPr>
        <w:tabs>
          <w:tab w:val="clear" w:pos="720"/>
        </w:tabs>
        <w:spacing w:before="60" w:after="60" w:line="240" w:lineRule="auto"/>
        <w:ind w:left="340" w:hanging="340"/>
      </w:pPr>
      <w:r w:rsidRPr="0031675F">
        <w:t>DIN calculated by addition of NO</w:t>
      </w:r>
      <w:r w:rsidRPr="0031675F">
        <w:rPr>
          <w:vertAlign w:val="subscript"/>
        </w:rPr>
        <w:t>X</w:t>
      </w:r>
      <w:r w:rsidRPr="0031675F">
        <w:t xml:space="preserve"> and NH</w:t>
      </w:r>
      <w:r w:rsidRPr="0031675F">
        <w:rPr>
          <w:vertAlign w:val="subscript"/>
        </w:rPr>
        <w:t>4.</w:t>
      </w:r>
    </w:p>
    <w:p w14:paraId="79E4D7A5" w14:textId="77777777" w:rsidR="0031675F" w:rsidRPr="0031675F" w:rsidRDefault="0031675F" w:rsidP="0031675F"/>
    <w:p w14:paraId="5B31C016" w14:textId="77777777" w:rsidR="0031675F" w:rsidRPr="0031675F" w:rsidRDefault="0031675F" w:rsidP="0031675F">
      <w:pPr>
        <w:rPr>
          <w:b/>
        </w:rPr>
      </w:pPr>
      <w:r w:rsidRPr="0031675F">
        <w:rPr>
          <w:b/>
        </w:rPr>
        <w:t>Comments:</w:t>
      </w:r>
    </w:p>
    <w:p w14:paraId="1EA3029B" w14:textId="77777777" w:rsidR="0031675F" w:rsidRPr="0031675F" w:rsidRDefault="0031675F" w:rsidP="0031675F">
      <w:r w:rsidRPr="0031675F">
        <w:t xml:space="preserve">Three separate events were sampled, being in the Burdekin flood plume, off the mouth of the Haughton (Barrattas) and the Bohle and Black river. </w:t>
      </w:r>
    </w:p>
    <w:p w14:paraId="6EA7BC63" w14:textId="77777777" w:rsidR="0031675F" w:rsidRPr="0031675F" w:rsidRDefault="0031675F" w:rsidP="0031675F"/>
    <w:p w14:paraId="33F31821" w14:textId="77777777" w:rsidR="0031675F" w:rsidRPr="0031675F" w:rsidRDefault="0031675F" w:rsidP="0031675F">
      <w:r w:rsidRPr="0031675F">
        <w:t xml:space="preserve">Unique id and sites for each event are listed below: </w:t>
      </w:r>
    </w:p>
    <w:p w14:paraId="0FF16EB3" w14:textId="77777777" w:rsidR="0031675F" w:rsidRPr="0031675F" w:rsidRDefault="0031675F" w:rsidP="0031675F">
      <w:pPr>
        <w:numPr>
          <w:ilvl w:val="0"/>
          <w:numId w:val="170"/>
        </w:numPr>
        <w:tabs>
          <w:tab w:val="clear" w:pos="720"/>
        </w:tabs>
        <w:spacing w:before="60" w:after="60" w:line="240" w:lineRule="auto"/>
        <w:ind w:left="340" w:hanging="340"/>
      </w:pPr>
      <w:r w:rsidRPr="0031675F">
        <w:t>Burdekin samples collected on 6</w:t>
      </w:r>
      <w:r w:rsidRPr="0031675F">
        <w:rPr>
          <w:vertAlign w:val="superscript"/>
        </w:rPr>
        <w:t>th</w:t>
      </w:r>
      <w:r w:rsidRPr="0031675F">
        <w:t xml:space="preserve"> and 7</w:t>
      </w:r>
      <w:r w:rsidRPr="0031675F">
        <w:rPr>
          <w:vertAlign w:val="superscript"/>
        </w:rPr>
        <w:t>th</w:t>
      </w:r>
      <w:r w:rsidRPr="0031675F">
        <w:t xml:space="preserve"> February 2007</w:t>
      </w:r>
    </w:p>
    <w:p w14:paraId="3C309228" w14:textId="77777777" w:rsidR="0031675F" w:rsidRPr="0031675F" w:rsidRDefault="0031675F" w:rsidP="0031675F">
      <w:pPr>
        <w:numPr>
          <w:ilvl w:val="0"/>
          <w:numId w:val="170"/>
        </w:numPr>
        <w:tabs>
          <w:tab w:val="clear" w:pos="720"/>
        </w:tabs>
        <w:spacing w:before="60" w:after="60" w:line="240" w:lineRule="auto"/>
        <w:ind w:left="340" w:hanging="340"/>
      </w:pPr>
      <w:r w:rsidRPr="0031675F">
        <w:t xml:space="preserve">Townsville-Thuringowa (Ross and </w:t>
      </w:r>
      <w:smartTag w:uri="urn:schemas-microsoft-com:office:smarttags" w:element="place">
        <w:r w:rsidRPr="0031675F">
          <w:t>Black River</w:t>
        </w:r>
      </w:smartTag>
      <w:r w:rsidRPr="0031675F">
        <w:t xml:space="preserve">) collected on </w:t>
      </w:r>
      <w:smartTag w:uri="urn:schemas-microsoft-com:office:smarttags" w:element="date">
        <w:smartTagPr>
          <w:attr w:name="Year" w:val="2007"/>
          <w:attr w:name="Day" w:val="2"/>
          <w:attr w:name="Month" w:val="2"/>
        </w:smartTagPr>
        <w:r w:rsidRPr="0031675F">
          <w:t>2</w:t>
        </w:r>
        <w:r w:rsidRPr="0031675F">
          <w:rPr>
            <w:vertAlign w:val="superscript"/>
          </w:rPr>
          <w:t>nd</w:t>
        </w:r>
        <w:r w:rsidRPr="0031675F">
          <w:t xml:space="preserve"> February 2007</w:t>
        </w:r>
      </w:smartTag>
    </w:p>
    <w:p w14:paraId="2E63ED29" w14:textId="77777777" w:rsidR="0031675F" w:rsidRPr="0031675F" w:rsidRDefault="0031675F" w:rsidP="0031675F">
      <w:pPr>
        <w:numPr>
          <w:ilvl w:val="0"/>
          <w:numId w:val="170"/>
        </w:numPr>
        <w:tabs>
          <w:tab w:val="clear" w:pos="720"/>
        </w:tabs>
        <w:spacing w:before="60" w:after="60" w:line="240" w:lineRule="auto"/>
        <w:ind w:left="340" w:hanging="340"/>
      </w:pPr>
      <w:r w:rsidRPr="0031675F">
        <w:t>Lower Burdekin (Haughton) collected on 3</w:t>
      </w:r>
      <w:r w:rsidRPr="0031675F">
        <w:rPr>
          <w:vertAlign w:val="superscript"/>
        </w:rPr>
        <w:t>rd</w:t>
      </w:r>
      <w:r w:rsidRPr="0031675F">
        <w:t xml:space="preserve"> February 2007</w:t>
      </w:r>
    </w:p>
    <w:p w14:paraId="4A8E158F" w14:textId="77777777" w:rsidR="0031675F" w:rsidRPr="0031675F" w:rsidRDefault="0031675F" w:rsidP="0031675F">
      <w:pPr>
        <w:rPr>
          <w:b/>
        </w:rPr>
      </w:pPr>
      <w:r w:rsidRPr="0031675F">
        <w:rPr>
          <w:noProof/>
          <w:lang w:eastAsia="en-AU"/>
        </w:rPr>
        <w:drawing>
          <wp:inline distT="0" distB="0" distL="0" distR="0" wp14:anchorId="23E14858" wp14:editId="617DDE76">
            <wp:extent cx="5761355" cy="4224020"/>
            <wp:effectExtent l="0" t="0" r="0" b="5080"/>
            <wp:docPr id="220" name="Picture 220" descr="Data sheet for the Burdekin." title="TropWater flood plume data collected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9" cstate="print"/>
                    <a:srcRect/>
                    <a:stretch>
                      <a:fillRect/>
                    </a:stretch>
                  </pic:blipFill>
                  <pic:spPr bwMode="auto">
                    <a:xfrm>
                      <a:off x="0" y="0"/>
                      <a:ext cx="5761355" cy="4224020"/>
                    </a:xfrm>
                    <a:prstGeom prst="rect">
                      <a:avLst/>
                    </a:prstGeom>
                    <a:noFill/>
                    <a:ln w="9525">
                      <a:noFill/>
                      <a:miter lim="800000"/>
                      <a:headEnd/>
                      <a:tailEnd/>
                    </a:ln>
                  </pic:spPr>
                </pic:pic>
              </a:graphicData>
            </a:graphic>
          </wp:inline>
        </w:drawing>
      </w:r>
    </w:p>
    <w:p w14:paraId="47DDFCB8" w14:textId="77777777" w:rsidR="0031675F" w:rsidRPr="0031675F" w:rsidRDefault="0031675F" w:rsidP="0031675F"/>
    <w:p w14:paraId="2A34FCA8" w14:textId="77777777" w:rsidR="0031675F" w:rsidRPr="0031675F" w:rsidRDefault="0031675F" w:rsidP="0031675F">
      <w:pPr>
        <w:rPr>
          <w:b/>
        </w:rPr>
      </w:pPr>
      <w:r w:rsidRPr="0031675F">
        <w:rPr>
          <w:b/>
        </w:rPr>
        <w:t xml:space="preserve">NO TN data available for Townsville (Ross and Black Rivers) and for Burdekin plume samples. Need to check with lab. </w:t>
      </w:r>
    </w:p>
    <w:p w14:paraId="4DCD7C64" w14:textId="77777777" w:rsidR="0031675F" w:rsidRPr="0031675F" w:rsidRDefault="0031675F" w:rsidP="0031675F">
      <w:pPr>
        <w:rPr>
          <w:b/>
        </w:rPr>
      </w:pPr>
    </w:p>
    <w:p w14:paraId="11F06238" w14:textId="77777777" w:rsidR="00281ECF" w:rsidRDefault="00281ECF" w:rsidP="0031675F">
      <w:pPr>
        <w:rPr>
          <w:b/>
        </w:rPr>
      </w:pPr>
      <w:r>
        <w:rPr>
          <w:b/>
        </w:rPr>
        <w:br w:type="page"/>
      </w:r>
    </w:p>
    <w:p w14:paraId="5F29ED7B" w14:textId="15EBCBA6" w:rsidR="0031675F" w:rsidRPr="0031675F" w:rsidRDefault="0031675F" w:rsidP="0031675F">
      <w:pPr>
        <w:rPr>
          <w:b/>
        </w:rPr>
      </w:pPr>
      <w:r w:rsidRPr="0031675F">
        <w:rPr>
          <w:b/>
        </w:rPr>
        <w:t xml:space="preserve">Parameters measured in the 2007 flood plume data (x denotes if the parameter was appended to the overall flood plume dataset. </w:t>
      </w:r>
    </w:p>
    <w:p w14:paraId="668869C3" w14:textId="77777777" w:rsidR="0031675F" w:rsidRPr="0031675F" w:rsidRDefault="0031675F" w:rsidP="0031675F">
      <w:pPr>
        <w:rPr>
          <w:b/>
        </w:rPr>
      </w:pPr>
      <w:r w:rsidRPr="0031675F">
        <w:rPr>
          <w:noProof/>
          <w:lang w:eastAsia="en-AU"/>
        </w:rPr>
        <w:drawing>
          <wp:inline distT="0" distB="0" distL="0" distR="0" wp14:anchorId="032F4FD9" wp14:editId="203EC2D9">
            <wp:extent cx="3418507" cy="7842885"/>
            <wp:effectExtent l="0" t="0" r="0" b="5715"/>
            <wp:docPr id="221" name="Picture 221" descr="Parameters measured in the 2007 flood plume data." title="TropWater flood plume data collected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0" cstate="print"/>
                    <a:srcRect/>
                    <a:stretch>
                      <a:fillRect/>
                    </a:stretch>
                  </pic:blipFill>
                  <pic:spPr bwMode="auto">
                    <a:xfrm>
                      <a:off x="0" y="0"/>
                      <a:ext cx="3422282" cy="7851547"/>
                    </a:xfrm>
                    <a:prstGeom prst="rect">
                      <a:avLst/>
                    </a:prstGeom>
                    <a:noFill/>
                    <a:ln w="9525">
                      <a:noFill/>
                      <a:miter lim="800000"/>
                      <a:headEnd/>
                      <a:tailEnd/>
                    </a:ln>
                  </pic:spPr>
                </pic:pic>
              </a:graphicData>
            </a:graphic>
          </wp:inline>
        </w:drawing>
      </w:r>
      <w:r w:rsidRPr="0031675F">
        <w:rPr>
          <w:b/>
        </w:rPr>
        <w:br w:type="page"/>
        <w:t>2.3</w:t>
      </w:r>
      <w:r w:rsidRPr="0031675F">
        <w:rPr>
          <w:b/>
        </w:rPr>
        <w:tab/>
        <w:t xml:space="preserve">AIMS data collected during 2007 </w:t>
      </w:r>
    </w:p>
    <w:p w14:paraId="1A4E5521" w14:textId="77777777" w:rsidR="0031675F" w:rsidRPr="0031675F" w:rsidRDefault="0031675F" w:rsidP="0031675F"/>
    <w:p w14:paraId="4A248D0F" w14:textId="77777777" w:rsidR="0031675F" w:rsidRPr="0031675F" w:rsidRDefault="0031675F" w:rsidP="0031675F">
      <w:r w:rsidRPr="0031675F">
        <w:rPr>
          <w:b/>
        </w:rPr>
        <w:t>Program:</w:t>
      </w:r>
      <w:r w:rsidRPr="0031675F">
        <w:t xml:space="preserve"> </w:t>
      </w:r>
      <w:r w:rsidRPr="0031675F">
        <w:tab/>
        <w:t>Catchment to Coast MTSFR 3.7.2</w:t>
      </w:r>
    </w:p>
    <w:p w14:paraId="77444985" w14:textId="77777777" w:rsidR="0031675F" w:rsidRPr="0031675F" w:rsidRDefault="0031675F" w:rsidP="0031675F">
      <w:r w:rsidRPr="0031675F">
        <w:rPr>
          <w:b/>
        </w:rPr>
        <w:t>Duration</w:t>
      </w:r>
      <w:r w:rsidRPr="0031675F">
        <w:t xml:space="preserve">: </w:t>
      </w:r>
      <w:r w:rsidRPr="0031675F">
        <w:tab/>
        <w:t>2007</w:t>
      </w:r>
    </w:p>
    <w:p w14:paraId="11C561B0" w14:textId="77777777" w:rsidR="0031675F" w:rsidRPr="0031675F" w:rsidRDefault="0031675F" w:rsidP="0031675F">
      <w:r w:rsidRPr="0031675F">
        <w:rPr>
          <w:b/>
        </w:rPr>
        <w:t>Organisation</w:t>
      </w:r>
      <w:r w:rsidRPr="0031675F">
        <w:t xml:space="preserve">: </w:t>
      </w:r>
      <w:r w:rsidRPr="0031675F">
        <w:tab/>
        <w:t>JCU</w:t>
      </w:r>
    </w:p>
    <w:p w14:paraId="5C4165D7" w14:textId="77777777" w:rsidR="0031675F" w:rsidRPr="0031675F" w:rsidRDefault="0031675F" w:rsidP="0031675F">
      <w:pPr>
        <w:rPr>
          <w:b/>
        </w:rPr>
      </w:pPr>
      <w:r w:rsidRPr="0031675F">
        <w:rPr>
          <w:b/>
        </w:rPr>
        <w:t>Individuals:</w:t>
      </w:r>
      <w:r w:rsidRPr="0031675F">
        <w:tab/>
        <w:t>Britta Schaffelke</w:t>
      </w:r>
    </w:p>
    <w:p w14:paraId="53ECDF31" w14:textId="77777777" w:rsidR="0031675F" w:rsidRPr="0031675F" w:rsidRDefault="0031675F" w:rsidP="0031675F">
      <w:r w:rsidRPr="0031675F">
        <w:rPr>
          <w:b/>
        </w:rPr>
        <w:t>Area</w:t>
      </w:r>
      <w:r w:rsidRPr="0031675F">
        <w:t xml:space="preserve">: </w:t>
      </w:r>
      <w:r w:rsidRPr="0031675F">
        <w:tab/>
      </w:r>
      <w:r w:rsidRPr="0031675F">
        <w:tab/>
        <w:t>Burdekin and Mackay Whitsundays catchment</w:t>
      </w:r>
    </w:p>
    <w:p w14:paraId="413B3ED5" w14:textId="77777777" w:rsidR="0031675F" w:rsidRPr="0031675F" w:rsidRDefault="0031675F" w:rsidP="0031675F">
      <w:r w:rsidRPr="0031675F">
        <w:rPr>
          <w:b/>
        </w:rPr>
        <w:t>Events</w:t>
      </w:r>
      <w:r w:rsidRPr="0031675F">
        <w:t xml:space="preserve">: </w:t>
      </w:r>
      <w:r w:rsidRPr="0031675F">
        <w:tab/>
        <w:t>1</w:t>
      </w:r>
    </w:p>
    <w:p w14:paraId="18E637AA" w14:textId="77777777" w:rsidR="0031675F" w:rsidRPr="0031675F" w:rsidRDefault="0031675F" w:rsidP="0031675F">
      <w:r w:rsidRPr="0031675F">
        <w:tab/>
      </w:r>
      <w:r w:rsidRPr="0031675F">
        <w:tab/>
        <w:t>[Major flow event in February 2007, no cyclone associated]</w:t>
      </w:r>
    </w:p>
    <w:p w14:paraId="52F236C5" w14:textId="77777777" w:rsidR="0031675F" w:rsidRPr="0031675F" w:rsidRDefault="0031675F" w:rsidP="0031675F"/>
    <w:p w14:paraId="312BFE61" w14:textId="77777777" w:rsidR="0031675F" w:rsidRPr="0031675F" w:rsidRDefault="0031675F" w:rsidP="0031675F">
      <w:pPr>
        <w:rPr>
          <w:b/>
        </w:rPr>
      </w:pPr>
      <w:r w:rsidRPr="0031675F">
        <w:rPr>
          <w:b/>
        </w:rPr>
        <w:t>Description:</w:t>
      </w:r>
      <w:r w:rsidRPr="0031675F">
        <w:rPr>
          <w:b/>
        </w:rPr>
        <w:tab/>
        <w:t xml:space="preserve"> </w:t>
      </w:r>
    </w:p>
    <w:p w14:paraId="7FCAAEC5" w14:textId="77777777" w:rsidR="0031675F" w:rsidRPr="0031675F" w:rsidRDefault="0031675F" w:rsidP="0031675F">
      <w:r w:rsidRPr="0031675F">
        <w:t xml:space="preserve">For description of samples in each trip refer to the table below. </w:t>
      </w:r>
    </w:p>
    <w:p w14:paraId="1D9FAC1C" w14:textId="77777777" w:rsidR="0031675F" w:rsidRPr="0031675F" w:rsidRDefault="0031675F" w:rsidP="0031675F"/>
    <w:p w14:paraId="119A816C" w14:textId="77777777" w:rsidR="0031675F" w:rsidRPr="0031675F" w:rsidRDefault="0031675F" w:rsidP="0031675F">
      <w:pPr>
        <w:rPr>
          <w:b/>
        </w:rPr>
      </w:pPr>
      <w:r w:rsidRPr="0031675F">
        <w:rPr>
          <w:b/>
        </w:rPr>
        <w:t>Data conversion:</w:t>
      </w:r>
    </w:p>
    <w:p w14:paraId="6F63B824" w14:textId="77777777" w:rsidR="0031675F" w:rsidRPr="0031675F" w:rsidRDefault="0031675F" w:rsidP="0031675F">
      <w:r w:rsidRPr="0031675F">
        <w:t>Latitude and longitude converted to degrees and minutes</w:t>
      </w:r>
    </w:p>
    <w:p w14:paraId="5F9C27D9" w14:textId="605EA710" w:rsidR="0031675F" w:rsidRPr="0031675F" w:rsidRDefault="0031675F" w:rsidP="0031675F">
      <w:r w:rsidRPr="0031675F">
        <w:t>Nutrient Laboratory results given in µg</w:t>
      </w:r>
      <w:r w:rsidR="00E817CB" w:rsidRPr="00E817CB">
        <w:t xml:space="preserve"> L</w:t>
      </w:r>
      <w:r w:rsidR="00E817CB" w:rsidRPr="00E817CB">
        <w:rPr>
          <w:vertAlign w:val="superscript"/>
        </w:rPr>
        <w:t>-1</w:t>
      </w:r>
      <w:r w:rsidRPr="0031675F">
        <w:t xml:space="preserve"> – converted to µM </w:t>
      </w:r>
    </w:p>
    <w:p w14:paraId="04B1A9E5" w14:textId="77777777" w:rsidR="0031675F" w:rsidRPr="0031675F" w:rsidRDefault="0031675F" w:rsidP="0031675F">
      <w:r w:rsidRPr="0031675F">
        <w:t xml:space="preserve">Comparison between </w:t>
      </w:r>
      <w:r w:rsidRPr="0031675F">
        <w:rPr>
          <w:i/>
        </w:rPr>
        <w:t>in situ</w:t>
      </w:r>
      <w:r w:rsidRPr="0031675F">
        <w:t xml:space="preserve"> salinity and laboratory salinity</w:t>
      </w:r>
    </w:p>
    <w:p w14:paraId="2ECF658C" w14:textId="77777777" w:rsidR="0031675F" w:rsidRPr="0031675F" w:rsidRDefault="0031675F" w:rsidP="0031675F">
      <w:r w:rsidRPr="0031675F">
        <w:t>CHECK TDP (DOP plus DIP)</w:t>
      </w:r>
    </w:p>
    <w:p w14:paraId="65777DE7" w14:textId="77777777" w:rsidR="0031675F" w:rsidRPr="0031675F" w:rsidRDefault="0031675F" w:rsidP="0031675F">
      <w:r w:rsidRPr="0031675F">
        <w:t>TDN (DIN plus DON)</w:t>
      </w:r>
    </w:p>
    <w:p w14:paraId="34260326" w14:textId="77777777" w:rsidR="0031675F" w:rsidRPr="0031675F" w:rsidRDefault="0031675F" w:rsidP="0031675F"/>
    <w:p w14:paraId="3153A8CA" w14:textId="77777777" w:rsidR="0031675F" w:rsidRPr="0031675F" w:rsidRDefault="0031675F" w:rsidP="0031675F">
      <w:pPr>
        <w:rPr>
          <w:b/>
        </w:rPr>
      </w:pPr>
    </w:p>
    <w:p w14:paraId="717F1B01" w14:textId="77777777" w:rsidR="0031675F" w:rsidRPr="0031675F" w:rsidRDefault="0031675F" w:rsidP="0031675F">
      <w:pPr>
        <w:rPr>
          <w:b/>
        </w:rPr>
      </w:pPr>
    </w:p>
    <w:p w14:paraId="343BFC76" w14:textId="77777777" w:rsidR="0031675F" w:rsidRPr="0031675F" w:rsidRDefault="0031675F" w:rsidP="0031675F">
      <w:pPr>
        <w:rPr>
          <w:b/>
        </w:rPr>
      </w:pPr>
      <w:r w:rsidRPr="0031675F">
        <w:rPr>
          <w:noProof/>
          <w:lang w:eastAsia="en-AU"/>
        </w:rPr>
        <w:drawing>
          <wp:inline distT="0" distB="0" distL="0" distR="0" wp14:anchorId="0C7F67B5" wp14:editId="236FEB47">
            <wp:extent cx="5144135" cy="7522845"/>
            <wp:effectExtent l="0" t="0" r="0" b="1905"/>
            <wp:docPr id="222" name="Picture 222" descr="Description of samples in each trip: Burdekin and Mackay Whitsundays catchment. " title="AIMS data collected during 200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1" cstate="print"/>
                    <a:srcRect/>
                    <a:stretch>
                      <a:fillRect/>
                    </a:stretch>
                  </pic:blipFill>
                  <pic:spPr bwMode="auto">
                    <a:xfrm>
                      <a:off x="0" y="0"/>
                      <a:ext cx="5144135" cy="7522845"/>
                    </a:xfrm>
                    <a:prstGeom prst="rect">
                      <a:avLst/>
                    </a:prstGeom>
                    <a:noFill/>
                    <a:ln w="9525">
                      <a:noFill/>
                      <a:miter lim="800000"/>
                      <a:headEnd/>
                      <a:tailEnd/>
                    </a:ln>
                  </pic:spPr>
                </pic:pic>
              </a:graphicData>
            </a:graphic>
          </wp:inline>
        </w:drawing>
      </w:r>
    </w:p>
    <w:p w14:paraId="7C510185" w14:textId="77777777" w:rsidR="0031675F" w:rsidRPr="0031675F" w:rsidRDefault="0031675F" w:rsidP="0031675F">
      <w:pPr>
        <w:rPr>
          <w:b/>
          <w:i/>
        </w:rPr>
      </w:pPr>
    </w:p>
    <w:p w14:paraId="4AB45688" w14:textId="77777777" w:rsidR="0031675F" w:rsidRPr="0031675F" w:rsidRDefault="0031675F" w:rsidP="0031675F">
      <w:pPr>
        <w:rPr>
          <w:b/>
          <w:i/>
        </w:rPr>
      </w:pPr>
    </w:p>
    <w:p w14:paraId="03688C22" w14:textId="77777777" w:rsidR="0031675F" w:rsidRPr="0031675F" w:rsidRDefault="0031675F" w:rsidP="0031675F"/>
    <w:p w14:paraId="5CD496F8" w14:textId="77777777" w:rsidR="0031675F" w:rsidRPr="0031675F" w:rsidRDefault="0031675F" w:rsidP="0031675F">
      <w:pPr>
        <w:rPr>
          <w:b/>
        </w:rPr>
      </w:pPr>
      <w:r w:rsidRPr="0031675F">
        <w:rPr>
          <w:b/>
        </w:rPr>
        <w:br w:type="page"/>
        <w:t xml:space="preserve">2.3 </w:t>
      </w:r>
      <w:r w:rsidRPr="0031675F">
        <w:rPr>
          <w:b/>
        </w:rPr>
        <w:tab/>
        <w:t xml:space="preserve">AIMS data collected during 2007 </w:t>
      </w:r>
    </w:p>
    <w:p w14:paraId="62B07EC9" w14:textId="77777777" w:rsidR="0031675F" w:rsidRPr="0031675F" w:rsidRDefault="0031675F" w:rsidP="0031675F"/>
    <w:p w14:paraId="27FCC4EE" w14:textId="77777777" w:rsidR="0031675F" w:rsidRPr="0031675F" w:rsidRDefault="0031675F" w:rsidP="0031675F">
      <w:r w:rsidRPr="0031675F">
        <w:rPr>
          <w:b/>
        </w:rPr>
        <w:t>Program:</w:t>
      </w:r>
      <w:r w:rsidRPr="0031675F">
        <w:t xml:space="preserve"> </w:t>
      </w:r>
      <w:r w:rsidRPr="0031675F">
        <w:tab/>
        <w:t>Catchment to Coast MTSFR 3.7.2</w:t>
      </w:r>
    </w:p>
    <w:p w14:paraId="271BA51F" w14:textId="77777777" w:rsidR="0031675F" w:rsidRPr="0031675F" w:rsidRDefault="0031675F" w:rsidP="0031675F">
      <w:r w:rsidRPr="0031675F">
        <w:rPr>
          <w:b/>
        </w:rPr>
        <w:t>Duration</w:t>
      </w:r>
      <w:r w:rsidRPr="0031675F">
        <w:t xml:space="preserve">: </w:t>
      </w:r>
      <w:r w:rsidRPr="0031675F">
        <w:tab/>
        <w:t>2007</w:t>
      </w:r>
    </w:p>
    <w:p w14:paraId="6A9A54C0" w14:textId="77777777" w:rsidR="0031675F" w:rsidRPr="0031675F" w:rsidRDefault="0031675F" w:rsidP="0031675F">
      <w:r w:rsidRPr="0031675F">
        <w:rPr>
          <w:b/>
        </w:rPr>
        <w:t>Organisation</w:t>
      </w:r>
      <w:r w:rsidRPr="0031675F">
        <w:t xml:space="preserve">: </w:t>
      </w:r>
      <w:r w:rsidRPr="0031675F">
        <w:tab/>
        <w:t>JCU</w:t>
      </w:r>
    </w:p>
    <w:p w14:paraId="3DB23652" w14:textId="77777777" w:rsidR="0031675F" w:rsidRPr="0031675F" w:rsidRDefault="0031675F" w:rsidP="0031675F">
      <w:pPr>
        <w:rPr>
          <w:b/>
        </w:rPr>
      </w:pPr>
      <w:r w:rsidRPr="0031675F">
        <w:rPr>
          <w:b/>
        </w:rPr>
        <w:t>Individuals:</w:t>
      </w:r>
      <w:r w:rsidRPr="0031675F">
        <w:tab/>
        <w:t>Katarina Fabricius</w:t>
      </w:r>
    </w:p>
    <w:p w14:paraId="78DAC931" w14:textId="77777777" w:rsidR="0031675F" w:rsidRPr="0031675F" w:rsidRDefault="0031675F" w:rsidP="0031675F">
      <w:r w:rsidRPr="0031675F">
        <w:rPr>
          <w:b/>
        </w:rPr>
        <w:t>Area</w:t>
      </w:r>
      <w:r w:rsidRPr="0031675F">
        <w:t xml:space="preserve">: </w:t>
      </w:r>
      <w:r w:rsidRPr="0031675F">
        <w:tab/>
      </w:r>
      <w:r w:rsidRPr="0031675F">
        <w:tab/>
        <w:t xml:space="preserve">Tully </w:t>
      </w:r>
      <w:smartTag w:uri="urn:schemas-microsoft-com:office:smarttags" w:element="City">
        <w:smartTag w:uri="urn:schemas-microsoft-com:office:smarttags" w:element="place">
          <w:r w:rsidRPr="0031675F">
            <w:t>Murray</w:t>
          </w:r>
        </w:smartTag>
      </w:smartTag>
      <w:r w:rsidRPr="0031675F">
        <w:t xml:space="preserve"> catchment</w:t>
      </w:r>
    </w:p>
    <w:p w14:paraId="7C656218" w14:textId="77777777" w:rsidR="0031675F" w:rsidRPr="0031675F" w:rsidRDefault="0031675F" w:rsidP="0031675F">
      <w:r w:rsidRPr="0031675F">
        <w:rPr>
          <w:b/>
        </w:rPr>
        <w:t>Events</w:t>
      </w:r>
      <w:r w:rsidRPr="0031675F">
        <w:t xml:space="preserve">: </w:t>
      </w:r>
      <w:r w:rsidRPr="0031675F">
        <w:tab/>
        <w:t>1</w:t>
      </w:r>
    </w:p>
    <w:p w14:paraId="58713851" w14:textId="77777777" w:rsidR="0031675F" w:rsidRPr="0031675F" w:rsidRDefault="0031675F" w:rsidP="0031675F">
      <w:r w:rsidRPr="0031675F">
        <w:tab/>
      </w:r>
      <w:r w:rsidRPr="0031675F">
        <w:tab/>
        <w:t>[February 2007, Cyclone Nelson]</w:t>
      </w:r>
    </w:p>
    <w:p w14:paraId="0A8A502C" w14:textId="77777777" w:rsidR="0031675F" w:rsidRPr="0031675F" w:rsidRDefault="0031675F" w:rsidP="0031675F"/>
    <w:p w14:paraId="77326C2B" w14:textId="77777777" w:rsidR="0031675F" w:rsidRPr="0031675F" w:rsidRDefault="0031675F" w:rsidP="0031675F">
      <w:pPr>
        <w:rPr>
          <w:b/>
        </w:rPr>
      </w:pPr>
      <w:r w:rsidRPr="0031675F">
        <w:rPr>
          <w:b/>
        </w:rPr>
        <w:t>Description:</w:t>
      </w:r>
    </w:p>
    <w:p w14:paraId="646C92B3" w14:textId="77777777" w:rsidR="0031675F" w:rsidRPr="0031675F" w:rsidRDefault="0031675F" w:rsidP="0031675F">
      <w:pPr>
        <w:rPr>
          <w:b/>
        </w:rPr>
      </w:pPr>
      <w:r w:rsidRPr="0031675F">
        <w:t>For description of samples in each trip refer to the table below.</w:t>
      </w:r>
      <w:r w:rsidRPr="0031675F">
        <w:rPr>
          <w:b/>
        </w:rPr>
        <w:tab/>
        <w:t xml:space="preserve"> </w:t>
      </w:r>
    </w:p>
    <w:p w14:paraId="3444B837" w14:textId="77777777" w:rsidR="0031675F" w:rsidRPr="0031675F" w:rsidRDefault="0031675F" w:rsidP="0031675F"/>
    <w:p w14:paraId="4B5BF1FE" w14:textId="77777777" w:rsidR="0031675F" w:rsidRPr="0031675F" w:rsidRDefault="0031675F" w:rsidP="0031675F">
      <w:pPr>
        <w:rPr>
          <w:b/>
        </w:rPr>
      </w:pPr>
      <w:r w:rsidRPr="0031675F">
        <w:rPr>
          <w:b/>
        </w:rPr>
        <w:t>Data conversion:</w:t>
      </w:r>
    </w:p>
    <w:p w14:paraId="215F7936" w14:textId="77777777" w:rsidR="0031675F" w:rsidRPr="0031675F" w:rsidRDefault="0031675F" w:rsidP="0031675F">
      <w:r w:rsidRPr="0031675F">
        <w:t>Latitude and longitude converted to degrees and minutes.</w:t>
      </w:r>
    </w:p>
    <w:p w14:paraId="66B9E195" w14:textId="00E362F4" w:rsidR="0031675F" w:rsidRPr="0031675F" w:rsidRDefault="0031675F" w:rsidP="0031675F">
      <w:r w:rsidRPr="0031675F">
        <w:t>Nutrient Laboratory results given in µg</w:t>
      </w:r>
      <w:r w:rsidR="00E817CB" w:rsidRPr="00E817CB">
        <w:t xml:space="preserve"> L</w:t>
      </w:r>
      <w:r w:rsidR="00E817CB" w:rsidRPr="00E817CB">
        <w:rPr>
          <w:vertAlign w:val="superscript"/>
        </w:rPr>
        <w:t>-1</w:t>
      </w:r>
      <w:r w:rsidRPr="0031675F">
        <w:t xml:space="preserve"> – converted to µM. </w:t>
      </w:r>
    </w:p>
    <w:p w14:paraId="04101096" w14:textId="77777777" w:rsidR="0031675F" w:rsidRPr="0031675F" w:rsidRDefault="0031675F" w:rsidP="0031675F">
      <w:r w:rsidRPr="0031675F">
        <w:t xml:space="preserve">Comparison between </w:t>
      </w:r>
      <w:r w:rsidRPr="0031675F">
        <w:rPr>
          <w:i/>
        </w:rPr>
        <w:t>in situ</w:t>
      </w:r>
      <w:r w:rsidRPr="0031675F">
        <w:t xml:space="preserve"> salinity and laboratory salinity.</w:t>
      </w:r>
    </w:p>
    <w:p w14:paraId="7758FCD7" w14:textId="77777777" w:rsidR="0031675F" w:rsidRPr="0031675F" w:rsidRDefault="0031675F" w:rsidP="0031675F"/>
    <w:p w14:paraId="2BE8C6B5" w14:textId="77777777" w:rsidR="0031675F" w:rsidRPr="0031675F" w:rsidRDefault="0031675F" w:rsidP="0031675F">
      <w:r w:rsidRPr="0031675F">
        <w:rPr>
          <w:noProof/>
          <w:lang w:eastAsia="en-AU"/>
        </w:rPr>
        <w:drawing>
          <wp:inline distT="0" distB="0" distL="0" distR="0" wp14:anchorId="1C7EB1C0" wp14:editId="616FBF63">
            <wp:extent cx="4678680" cy="4639310"/>
            <wp:effectExtent l="0" t="0" r="7620" b="8890"/>
            <wp:docPr id="223" name="Picture 223" descr="Description of samples in each trip: Tully-Murray catchment." title="AIMS data collected during 200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2" cstate="print"/>
                    <a:srcRect/>
                    <a:stretch>
                      <a:fillRect/>
                    </a:stretch>
                  </pic:blipFill>
                  <pic:spPr bwMode="auto">
                    <a:xfrm>
                      <a:off x="0" y="0"/>
                      <a:ext cx="4678680" cy="4639310"/>
                    </a:xfrm>
                    <a:prstGeom prst="rect">
                      <a:avLst/>
                    </a:prstGeom>
                    <a:noFill/>
                    <a:ln w="9525">
                      <a:noFill/>
                      <a:miter lim="800000"/>
                      <a:headEnd/>
                      <a:tailEnd/>
                    </a:ln>
                  </pic:spPr>
                </pic:pic>
              </a:graphicData>
            </a:graphic>
          </wp:inline>
        </w:drawing>
      </w:r>
    </w:p>
    <w:p w14:paraId="1C1BD84F" w14:textId="77777777" w:rsidR="0031675F" w:rsidRPr="0031675F" w:rsidRDefault="0031675F" w:rsidP="0031675F">
      <w:pPr>
        <w:rPr>
          <w:b/>
        </w:rPr>
      </w:pPr>
    </w:p>
    <w:p w14:paraId="73461E45" w14:textId="77777777" w:rsidR="0031675F" w:rsidRPr="0031675F" w:rsidRDefault="0031675F" w:rsidP="0031675F">
      <w:pPr>
        <w:ind w:left="426" w:hanging="426"/>
        <w:rPr>
          <w:b/>
          <w:sz w:val="28"/>
          <w:szCs w:val="28"/>
        </w:rPr>
      </w:pPr>
      <w:r w:rsidRPr="0031675F">
        <w:rPr>
          <w:b/>
        </w:rPr>
        <w:br w:type="page"/>
      </w:r>
      <w:r w:rsidRPr="0031675F">
        <w:rPr>
          <w:b/>
          <w:sz w:val="28"/>
          <w:szCs w:val="28"/>
        </w:rPr>
        <w:t xml:space="preserve">3. </w:t>
      </w:r>
      <w:r w:rsidRPr="0031675F">
        <w:rPr>
          <w:b/>
          <w:sz w:val="28"/>
          <w:szCs w:val="28"/>
        </w:rPr>
        <w:tab/>
        <w:t>New data (post 2008 – MTSRF program)</w:t>
      </w:r>
      <w:r w:rsidRPr="0031675F">
        <w:rPr>
          <w:b/>
          <w:sz w:val="28"/>
          <w:szCs w:val="28"/>
        </w:rPr>
        <w:tab/>
      </w:r>
      <w:r w:rsidRPr="0031675F">
        <w:rPr>
          <w:b/>
          <w:sz w:val="28"/>
          <w:szCs w:val="28"/>
        </w:rPr>
        <w:tab/>
      </w:r>
    </w:p>
    <w:p w14:paraId="64043985" w14:textId="77777777" w:rsidR="0031675F" w:rsidRPr="0031675F" w:rsidRDefault="0031675F" w:rsidP="0031675F"/>
    <w:p w14:paraId="111F9848" w14:textId="77777777" w:rsidR="0031675F" w:rsidRPr="0031675F" w:rsidRDefault="0031675F" w:rsidP="0031675F">
      <w:pPr>
        <w:tabs>
          <w:tab w:val="left" w:pos="426"/>
        </w:tabs>
        <w:rPr>
          <w:b/>
        </w:rPr>
      </w:pPr>
      <w:r w:rsidRPr="0031675F">
        <w:rPr>
          <w:b/>
        </w:rPr>
        <w:t xml:space="preserve">3.1. </w:t>
      </w:r>
      <w:r w:rsidRPr="0031675F">
        <w:rPr>
          <w:b/>
        </w:rPr>
        <w:tab/>
        <w:t>Flood plume data collected during 2008 – TropWater/JCU</w:t>
      </w:r>
    </w:p>
    <w:p w14:paraId="0421CA64" w14:textId="77777777" w:rsidR="0031675F" w:rsidRPr="0031675F" w:rsidRDefault="0031675F" w:rsidP="0031675F"/>
    <w:p w14:paraId="1F5E15B4" w14:textId="77777777" w:rsidR="0031675F" w:rsidRPr="0031675F" w:rsidRDefault="0031675F" w:rsidP="0031675F">
      <w:r w:rsidRPr="0031675F">
        <w:rPr>
          <w:b/>
        </w:rPr>
        <w:t>Program:</w:t>
      </w:r>
      <w:r w:rsidRPr="0031675F">
        <w:t xml:space="preserve"> </w:t>
      </w:r>
      <w:r w:rsidRPr="0031675F">
        <w:tab/>
        <w:t>Spatial and temporal monitoring of flood plumes MTSFR 3.7.2</w:t>
      </w:r>
    </w:p>
    <w:p w14:paraId="777356C8" w14:textId="77777777" w:rsidR="0031675F" w:rsidRPr="0031675F" w:rsidRDefault="0031675F" w:rsidP="0031675F">
      <w:r w:rsidRPr="0031675F">
        <w:rPr>
          <w:b/>
        </w:rPr>
        <w:t>Duration</w:t>
      </w:r>
      <w:r w:rsidRPr="0031675F">
        <w:t xml:space="preserve">: </w:t>
      </w:r>
      <w:r w:rsidRPr="0031675F">
        <w:tab/>
        <w:t>2008</w:t>
      </w:r>
    </w:p>
    <w:p w14:paraId="1ED51FEF" w14:textId="77777777" w:rsidR="0031675F" w:rsidRPr="0031675F" w:rsidRDefault="0031675F" w:rsidP="0031675F">
      <w:r w:rsidRPr="0031675F">
        <w:rPr>
          <w:b/>
        </w:rPr>
        <w:t>Organisation</w:t>
      </w:r>
      <w:r w:rsidRPr="0031675F">
        <w:t xml:space="preserve">: </w:t>
      </w:r>
      <w:r w:rsidRPr="0031675F">
        <w:tab/>
        <w:t>TropWater</w:t>
      </w:r>
    </w:p>
    <w:p w14:paraId="7136CF3D" w14:textId="77777777" w:rsidR="0031675F" w:rsidRPr="0031675F" w:rsidRDefault="0031675F" w:rsidP="0031675F">
      <w:pPr>
        <w:rPr>
          <w:b/>
        </w:rPr>
      </w:pPr>
      <w:r w:rsidRPr="0031675F">
        <w:rPr>
          <w:b/>
        </w:rPr>
        <w:t>Individuals:</w:t>
      </w:r>
      <w:r w:rsidRPr="0031675F">
        <w:rPr>
          <w:b/>
        </w:rPr>
        <w:tab/>
      </w:r>
      <w:r w:rsidRPr="0031675F">
        <w:t>M Devlin, Z Bainbridge, S. Lewis</w:t>
      </w:r>
    </w:p>
    <w:p w14:paraId="5EB958EF" w14:textId="77777777" w:rsidR="0031675F" w:rsidRPr="0031675F" w:rsidRDefault="0031675F" w:rsidP="0031675F">
      <w:r w:rsidRPr="0031675F">
        <w:rPr>
          <w:b/>
        </w:rPr>
        <w:t>Area</w:t>
      </w:r>
      <w:r w:rsidRPr="0031675F">
        <w:t xml:space="preserve">: </w:t>
      </w:r>
      <w:r w:rsidRPr="0031675F">
        <w:tab/>
      </w:r>
      <w:r w:rsidRPr="0031675F">
        <w:tab/>
        <w:t>Fitzroy and Burdekin catchment</w:t>
      </w:r>
    </w:p>
    <w:p w14:paraId="0795B9BF" w14:textId="77777777" w:rsidR="0031675F" w:rsidRPr="0031675F" w:rsidRDefault="0031675F" w:rsidP="0031675F">
      <w:r w:rsidRPr="0031675F">
        <w:rPr>
          <w:b/>
        </w:rPr>
        <w:t>Events</w:t>
      </w:r>
      <w:r w:rsidRPr="0031675F">
        <w:t xml:space="preserve">: </w:t>
      </w:r>
      <w:r w:rsidRPr="0031675F">
        <w:tab/>
        <w:t>3</w:t>
      </w:r>
    </w:p>
    <w:p w14:paraId="16037D9A" w14:textId="6C946B39" w:rsidR="0031675F" w:rsidRPr="0031675F" w:rsidRDefault="0031675F" w:rsidP="0031675F">
      <w:r w:rsidRPr="0031675F">
        <w:tab/>
      </w:r>
      <w:r w:rsidRPr="0031675F">
        <w:tab/>
        <w:t>[Major flow event in January 200</w:t>
      </w:r>
      <w:r w:rsidR="005102A0">
        <w:t>8</w:t>
      </w:r>
      <w:r w:rsidRPr="0031675F">
        <w:t>, no cyclone associated]</w:t>
      </w:r>
    </w:p>
    <w:p w14:paraId="1EF62CAD" w14:textId="77777777" w:rsidR="0031675F" w:rsidRPr="0031675F" w:rsidRDefault="0031675F" w:rsidP="0031675F"/>
    <w:p w14:paraId="651CB75F" w14:textId="77777777" w:rsidR="0031675F" w:rsidRPr="0031675F" w:rsidRDefault="0031675F" w:rsidP="0031675F">
      <w:pPr>
        <w:rPr>
          <w:b/>
        </w:rPr>
      </w:pPr>
      <w:r w:rsidRPr="0031675F">
        <w:rPr>
          <w:b/>
        </w:rPr>
        <w:t>Description:</w:t>
      </w:r>
      <w:r w:rsidRPr="0031675F">
        <w:rPr>
          <w:b/>
        </w:rPr>
        <w:tab/>
        <w:t xml:space="preserve"> </w:t>
      </w:r>
    </w:p>
    <w:p w14:paraId="19B39F24" w14:textId="77777777" w:rsidR="0031675F" w:rsidRPr="0031675F" w:rsidRDefault="0031675F" w:rsidP="0031675F">
      <w:r w:rsidRPr="0031675F">
        <w:t xml:space="preserve">For description of samples in each trip refer to the table below. </w:t>
      </w:r>
    </w:p>
    <w:p w14:paraId="1AECE393" w14:textId="77777777" w:rsidR="0031675F" w:rsidRPr="0031675F" w:rsidRDefault="0031675F" w:rsidP="0031675F"/>
    <w:p w14:paraId="0CE33A6C" w14:textId="77777777" w:rsidR="0031675F" w:rsidRPr="0031675F" w:rsidRDefault="0031675F" w:rsidP="0031675F">
      <w:r w:rsidRPr="0031675F">
        <w:t>[Burdekin sampling trip 2]</w:t>
      </w:r>
    </w:p>
    <w:p w14:paraId="044507AC" w14:textId="77777777" w:rsidR="0031675F" w:rsidRPr="0031675F" w:rsidRDefault="0031675F" w:rsidP="0031675F">
      <w:r w:rsidRPr="0031675F">
        <w:t>[Burdekin sampling trip 3]</w:t>
      </w:r>
    </w:p>
    <w:p w14:paraId="6743FB11" w14:textId="77777777" w:rsidR="0031675F" w:rsidRPr="0031675F" w:rsidRDefault="0031675F" w:rsidP="0031675F">
      <w:r w:rsidRPr="0031675F">
        <w:t>[Fitzroy sampling trip 1]</w:t>
      </w:r>
    </w:p>
    <w:p w14:paraId="3603B41C" w14:textId="77777777" w:rsidR="0031675F" w:rsidRPr="0031675F" w:rsidRDefault="0031675F" w:rsidP="0031675F">
      <w:pPr>
        <w:rPr>
          <w:b/>
        </w:rPr>
      </w:pPr>
    </w:p>
    <w:p w14:paraId="47217674" w14:textId="77777777" w:rsidR="0031675F" w:rsidRPr="0031675F" w:rsidRDefault="0031675F" w:rsidP="0031675F">
      <w:pPr>
        <w:rPr>
          <w:b/>
        </w:rPr>
      </w:pPr>
      <w:r w:rsidRPr="0031675F">
        <w:rPr>
          <w:b/>
        </w:rPr>
        <w:t>Data conversion:</w:t>
      </w:r>
    </w:p>
    <w:p w14:paraId="69CA29A3" w14:textId="77777777" w:rsidR="0031675F" w:rsidRPr="0031675F" w:rsidRDefault="0031675F" w:rsidP="0031675F">
      <w:r w:rsidRPr="0031675F">
        <w:t>Latitude and longitude converted to degrees and minutes.</w:t>
      </w:r>
    </w:p>
    <w:p w14:paraId="0BAC48D4" w14:textId="52708CA6" w:rsidR="0031675F" w:rsidRPr="0031675F" w:rsidRDefault="0031675F" w:rsidP="0031675F">
      <w:r w:rsidRPr="0031675F">
        <w:t>Nutrient Laboratory results given in µg</w:t>
      </w:r>
      <w:r w:rsidR="00E817CB" w:rsidRPr="00E817CB">
        <w:t xml:space="preserve"> L</w:t>
      </w:r>
      <w:r w:rsidR="00E817CB" w:rsidRPr="00E817CB">
        <w:rPr>
          <w:vertAlign w:val="superscript"/>
        </w:rPr>
        <w:t>-1</w:t>
      </w:r>
      <w:r w:rsidRPr="0031675F">
        <w:t xml:space="preserve"> – converted to µM. </w:t>
      </w:r>
    </w:p>
    <w:p w14:paraId="6B72B518" w14:textId="77777777" w:rsidR="0031675F" w:rsidRPr="0031675F" w:rsidRDefault="0031675F" w:rsidP="0031675F">
      <w:r w:rsidRPr="0031675F">
        <w:t xml:space="preserve">Comparison between </w:t>
      </w:r>
      <w:r w:rsidRPr="0031675F">
        <w:rPr>
          <w:i/>
        </w:rPr>
        <w:t>in situ</w:t>
      </w:r>
      <w:r w:rsidRPr="0031675F">
        <w:t xml:space="preserve"> salinity and laboratory salinity.</w:t>
      </w:r>
    </w:p>
    <w:p w14:paraId="2A9A4FE2" w14:textId="77777777" w:rsidR="0031675F" w:rsidRPr="0031675F" w:rsidRDefault="0031675F" w:rsidP="0031675F"/>
    <w:p w14:paraId="7CF755CF" w14:textId="77777777" w:rsidR="0031675F" w:rsidRPr="0031675F" w:rsidRDefault="0031675F" w:rsidP="0031675F"/>
    <w:p w14:paraId="37A3D5B1" w14:textId="77777777" w:rsidR="0031675F" w:rsidRPr="0031675F" w:rsidRDefault="0031675F" w:rsidP="0031675F"/>
    <w:p w14:paraId="2349CBEE" w14:textId="59726B09" w:rsidR="0031675F" w:rsidRPr="0031675F" w:rsidRDefault="0031675F" w:rsidP="0031675F"/>
    <w:p w14:paraId="61214120" w14:textId="752E8DF5" w:rsidR="0031675F" w:rsidRPr="0031675F" w:rsidRDefault="00281ECF" w:rsidP="0031675F">
      <w:r w:rsidRPr="0031675F">
        <w:rPr>
          <w:noProof/>
          <w:lang w:eastAsia="en-AU"/>
        </w:rPr>
        <w:drawing>
          <wp:anchor distT="0" distB="0" distL="114300" distR="114300" simplePos="0" relativeHeight="251768832" behindDoc="1" locked="0" layoutInCell="1" allowOverlap="1" wp14:anchorId="3CF0D083" wp14:editId="4FC99C56">
            <wp:simplePos x="0" y="0"/>
            <wp:positionH relativeFrom="column">
              <wp:posOffset>347345</wp:posOffset>
            </wp:positionH>
            <wp:positionV relativeFrom="paragraph">
              <wp:posOffset>231679</wp:posOffset>
            </wp:positionV>
            <wp:extent cx="4448175" cy="7379431"/>
            <wp:effectExtent l="0" t="0" r="0" b="0"/>
            <wp:wrapNone/>
            <wp:docPr id="224" name="Picture 224" descr="Description of samples in each trip: Burdekin and Fitzroy catchment." title="Flood plume data collected during 2008 – TropWater/J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4449396" cy="7381456"/>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31675F" w:rsidRPr="0031675F">
        <w:t>Table: Sampling details for Burdekin and Fitzroy flood plumes taken by JCU.</w:t>
      </w:r>
    </w:p>
    <w:p w14:paraId="53CC5665" w14:textId="77899BE5" w:rsidR="0031675F" w:rsidRPr="0031675F" w:rsidRDefault="0031675F" w:rsidP="0031675F">
      <w:pPr>
        <w:rPr>
          <w:b/>
        </w:rPr>
      </w:pPr>
    </w:p>
    <w:p w14:paraId="611B3E80" w14:textId="77777777" w:rsidR="0031675F" w:rsidRPr="0031675F" w:rsidRDefault="0031675F" w:rsidP="0031675F">
      <w:pPr>
        <w:tabs>
          <w:tab w:val="left" w:pos="426"/>
        </w:tabs>
        <w:rPr>
          <w:b/>
        </w:rPr>
      </w:pPr>
      <w:r w:rsidRPr="0031675F">
        <w:rPr>
          <w:b/>
        </w:rPr>
        <w:br w:type="page"/>
        <w:t xml:space="preserve">2e. </w:t>
      </w:r>
      <w:r w:rsidRPr="0031675F">
        <w:rPr>
          <w:b/>
        </w:rPr>
        <w:tab/>
        <w:t>Flood plume data collected during 2008 – CSIRO (FITZROY)</w:t>
      </w:r>
    </w:p>
    <w:p w14:paraId="6D399E39" w14:textId="77777777" w:rsidR="0031675F" w:rsidRPr="0031675F" w:rsidRDefault="0031675F" w:rsidP="0031675F"/>
    <w:p w14:paraId="5677D5DC" w14:textId="77777777" w:rsidR="0031675F" w:rsidRPr="0031675F" w:rsidRDefault="0031675F" w:rsidP="0031675F">
      <w:r w:rsidRPr="0031675F">
        <w:rPr>
          <w:b/>
        </w:rPr>
        <w:t>Program:</w:t>
      </w:r>
      <w:r w:rsidRPr="0031675F">
        <w:t xml:space="preserve"> </w:t>
      </w:r>
      <w:r w:rsidRPr="0031675F">
        <w:tab/>
        <w:t>CSIRO</w:t>
      </w:r>
    </w:p>
    <w:p w14:paraId="4E543B27" w14:textId="14E25D06" w:rsidR="0031675F" w:rsidRPr="0031675F" w:rsidRDefault="0031675F" w:rsidP="0031675F">
      <w:r w:rsidRPr="0031675F">
        <w:rPr>
          <w:b/>
        </w:rPr>
        <w:t>Duration</w:t>
      </w:r>
      <w:r w:rsidRPr="0031675F">
        <w:t xml:space="preserve">: </w:t>
      </w:r>
      <w:r w:rsidRPr="0031675F">
        <w:tab/>
        <w:t>200</w:t>
      </w:r>
      <w:r w:rsidR="005102A0">
        <w:t>8</w:t>
      </w:r>
    </w:p>
    <w:p w14:paraId="106E2608" w14:textId="77777777" w:rsidR="0031675F" w:rsidRPr="0031675F" w:rsidRDefault="0031675F" w:rsidP="0031675F">
      <w:r w:rsidRPr="0031675F">
        <w:rPr>
          <w:b/>
        </w:rPr>
        <w:t>Organisation</w:t>
      </w:r>
      <w:r w:rsidRPr="0031675F">
        <w:t xml:space="preserve">: </w:t>
      </w:r>
      <w:r w:rsidRPr="0031675F">
        <w:tab/>
        <w:t>CSIRO</w:t>
      </w:r>
    </w:p>
    <w:p w14:paraId="6CB5B2BB" w14:textId="77777777" w:rsidR="0031675F" w:rsidRPr="0031675F" w:rsidRDefault="0031675F" w:rsidP="0031675F">
      <w:pPr>
        <w:rPr>
          <w:b/>
        </w:rPr>
      </w:pPr>
      <w:r w:rsidRPr="0031675F">
        <w:rPr>
          <w:b/>
        </w:rPr>
        <w:t>Individuals:</w:t>
      </w:r>
      <w:r w:rsidRPr="0031675F">
        <w:rPr>
          <w:b/>
        </w:rPr>
        <w:tab/>
      </w:r>
      <w:r w:rsidRPr="0031675F">
        <w:t>V. Brando</w:t>
      </w:r>
    </w:p>
    <w:p w14:paraId="1196A81F" w14:textId="77777777" w:rsidR="0031675F" w:rsidRPr="0031675F" w:rsidRDefault="0031675F" w:rsidP="0031675F">
      <w:r w:rsidRPr="0031675F">
        <w:rPr>
          <w:b/>
        </w:rPr>
        <w:t>Area</w:t>
      </w:r>
      <w:r w:rsidRPr="0031675F">
        <w:t xml:space="preserve">: </w:t>
      </w:r>
      <w:r w:rsidRPr="0031675F">
        <w:tab/>
      </w:r>
      <w:r w:rsidRPr="0031675F">
        <w:tab/>
        <w:t>Fitzroy catchment</w:t>
      </w:r>
    </w:p>
    <w:p w14:paraId="5BBC6E39" w14:textId="77777777" w:rsidR="0031675F" w:rsidRPr="0031675F" w:rsidRDefault="0031675F" w:rsidP="0031675F">
      <w:r w:rsidRPr="0031675F">
        <w:rPr>
          <w:b/>
        </w:rPr>
        <w:t>Events</w:t>
      </w:r>
      <w:r w:rsidRPr="0031675F">
        <w:t xml:space="preserve">: </w:t>
      </w:r>
      <w:r w:rsidRPr="0031675F">
        <w:tab/>
        <w:t>1</w:t>
      </w:r>
    </w:p>
    <w:p w14:paraId="66DD6D0D" w14:textId="4B1777A3" w:rsidR="0031675F" w:rsidRPr="0031675F" w:rsidRDefault="0031675F" w:rsidP="0031675F">
      <w:r w:rsidRPr="0031675F">
        <w:tab/>
      </w:r>
      <w:r w:rsidRPr="0031675F">
        <w:tab/>
        <w:t>[Major flow event in January 200</w:t>
      </w:r>
      <w:r w:rsidR="005102A0">
        <w:t>8</w:t>
      </w:r>
      <w:r w:rsidRPr="0031675F">
        <w:t>, no cyclone associated]</w:t>
      </w:r>
    </w:p>
    <w:p w14:paraId="57AD7E96" w14:textId="77777777" w:rsidR="0031675F" w:rsidRPr="0031675F" w:rsidRDefault="0031675F" w:rsidP="0031675F"/>
    <w:p w14:paraId="35DE2BCA" w14:textId="77777777" w:rsidR="0031675F" w:rsidRPr="0031675F" w:rsidRDefault="0031675F" w:rsidP="0031675F">
      <w:pPr>
        <w:rPr>
          <w:b/>
        </w:rPr>
      </w:pPr>
      <w:r w:rsidRPr="0031675F">
        <w:rPr>
          <w:b/>
        </w:rPr>
        <w:t>Data conversion</w:t>
      </w:r>
    </w:p>
    <w:p w14:paraId="2742C26B" w14:textId="77777777" w:rsidR="0031675F" w:rsidRPr="0031675F" w:rsidRDefault="0031675F" w:rsidP="0031675F">
      <w:r w:rsidRPr="0031675F">
        <w:t>Latitude and longitude converted to degrees and minutes</w:t>
      </w:r>
    </w:p>
    <w:p w14:paraId="47295B23" w14:textId="77777777" w:rsidR="0031675F" w:rsidRPr="0031675F" w:rsidRDefault="0031675F" w:rsidP="0031675F"/>
    <w:p w14:paraId="189A2682" w14:textId="77777777" w:rsidR="0031675F" w:rsidRPr="0031675F" w:rsidRDefault="0031675F" w:rsidP="0031675F"/>
    <w:p w14:paraId="6CC40611" w14:textId="77777777" w:rsidR="0031675F" w:rsidRPr="0031675F" w:rsidRDefault="0031675F" w:rsidP="0031675F"/>
    <w:p w14:paraId="3729A6E6" w14:textId="77777777" w:rsidR="0031675F" w:rsidRPr="0031675F" w:rsidRDefault="0031675F" w:rsidP="0031675F"/>
    <w:p w14:paraId="53F48E9C" w14:textId="77777777" w:rsidR="0031675F" w:rsidRPr="0031675F" w:rsidRDefault="0031675F" w:rsidP="0031675F">
      <w:pPr>
        <w:rPr>
          <w:b/>
        </w:rPr>
      </w:pPr>
    </w:p>
    <w:p w14:paraId="680FD455" w14:textId="77777777" w:rsidR="0031675F" w:rsidRPr="0031675F" w:rsidRDefault="0031675F" w:rsidP="0031675F">
      <w:pPr>
        <w:rPr>
          <w:b/>
          <w:sz w:val="28"/>
          <w:szCs w:val="28"/>
        </w:rPr>
      </w:pPr>
      <w:r w:rsidRPr="0031675F">
        <w:rPr>
          <w:b/>
        </w:rPr>
        <w:br w:type="page"/>
      </w:r>
      <w:r w:rsidRPr="0031675F">
        <w:rPr>
          <w:b/>
          <w:sz w:val="28"/>
          <w:szCs w:val="28"/>
        </w:rPr>
        <w:t>Combined tables in ACCESS db</w:t>
      </w:r>
    </w:p>
    <w:p w14:paraId="42519CAB" w14:textId="77777777" w:rsidR="0031675F" w:rsidRPr="0031675F" w:rsidRDefault="0031675F" w:rsidP="0031675F"/>
    <w:p w14:paraId="4FF41327" w14:textId="77777777" w:rsidR="0031675F" w:rsidRPr="0031675F" w:rsidRDefault="0031675F" w:rsidP="0031675F">
      <w:pPr>
        <w:rPr>
          <w:b/>
        </w:rPr>
      </w:pPr>
      <w:r w:rsidRPr="0031675F">
        <w:rPr>
          <w:b/>
        </w:rPr>
        <w:t>Sampling data for flood plume 1991- 2008</w:t>
      </w:r>
    </w:p>
    <w:p w14:paraId="618FA080" w14:textId="77777777" w:rsidR="0031675F" w:rsidRPr="0031675F" w:rsidRDefault="0031675F" w:rsidP="0031675F">
      <w:pPr>
        <w:rPr>
          <w:b/>
        </w:rPr>
      </w:pPr>
      <w:r w:rsidRPr="0031675F">
        <w:rPr>
          <w:b/>
        </w:rPr>
        <w:t>Mandatory fields</w:t>
      </w:r>
    </w:p>
    <w:p w14:paraId="5E0D2677" w14:textId="77777777" w:rsidR="0031675F" w:rsidRPr="0031675F" w:rsidRDefault="0031675F" w:rsidP="0031675F">
      <w:pPr>
        <w:rPr>
          <w:b/>
        </w:rPr>
      </w:pPr>
    </w:p>
    <w:tbl>
      <w:tblPr>
        <w:tblW w:w="9072" w:type="dxa"/>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1E0" w:firstRow="1" w:lastRow="1" w:firstColumn="1" w:lastColumn="1" w:noHBand="0" w:noVBand="0"/>
      </w:tblPr>
      <w:tblGrid>
        <w:gridCol w:w="1979"/>
        <w:gridCol w:w="7093"/>
      </w:tblGrid>
      <w:tr w:rsidR="0031675F" w:rsidRPr="0031675F" w14:paraId="7534283A" w14:textId="77777777" w:rsidTr="00B00729">
        <w:trPr>
          <w:jc w:val="center"/>
        </w:trPr>
        <w:tc>
          <w:tcPr>
            <w:tcW w:w="1908" w:type="dxa"/>
          </w:tcPr>
          <w:p w14:paraId="39898683" w14:textId="77777777" w:rsidR="0031675F" w:rsidRPr="0031675F" w:rsidRDefault="0031675F" w:rsidP="0031675F">
            <w:pPr>
              <w:rPr>
                <w:b/>
              </w:rPr>
            </w:pPr>
            <w:r w:rsidRPr="0031675F">
              <w:rPr>
                <w:b/>
              </w:rPr>
              <w:t>Field</w:t>
            </w:r>
          </w:p>
        </w:tc>
        <w:tc>
          <w:tcPr>
            <w:tcW w:w="6840" w:type="dxa"/>
          </w:tcPr>
          <w:p w14:paraId="6BFA1CEA" w14:textId="77777777" w:rsidR="0031675F" w:rsidRPr="0031675F" w:rsidRDefault="0031675F" w:rsidP="0031675F">
            <w:pPr>
              <w:rPr>
                <w:b/>
              </w:rPr>
            </w:pPr>
            <w:r w:rsidRPr="0031675F">
              <w:rPr>
                <w:b/>
              </w:rPr>
              <w:t>Description</w:t>
            </w:r>
          </w:p>
        </w:tc>
      </w:tr>
      <w:tr w:rsidR="0031675F" w:rsidRPr="0031675F" w14:paraId="3E582EB8" w14:textId="77777777" w:rsidTr="00B00729">
        <w:trPr>
          <w:jc w:val="center"/>
        </w:trPr>
        <w:tc>
          <w:tcPr>
            <w:tcW w:w="1908" w:type="dxa"/>
          </w:tcPr>
          <w:p w14:paraId="6CF83693" w14:textId="77777777" w:rsidR="0031675F" w:rsidRPr="0031675F" w:rsidRDefault="0031675F" w:rsidP="0031675F">
            <w:r w:rsidRPr="0031675F">
              <w:t>Unique Id</w:t>
            </w:r>
          </w:p>
        </w:tc>
        <w:tc>
          <w:tcPr>
            <w:tcW w:w="6840" w:type="dxa"/>
          </w:tcPr>
          <w:p w14:paraId="095288D6" w14:textId="77777777" w:rsidR="0031675F" w:rsidRPr="0031675F" w:rsidRDefault="0031675F" w:rsidP="0031675F">
            <w:pPr>
              <w:rPr>
                <w:b/>
              </w:rPr>
            </w:pPr>
            <w:r w:rsidRPr="0031675F">
              <w:t xml:space="preserve">Id that links the sample and water quality data. Note all duplicates have been combined </w:t>
            </w:r>
          </w:p>
        </w:tc>
      </w:tr>
      <w:tr w:rsidR="0031675F" w:rsidRPr="0031675F" w14:paraId="185821C1" w14:textId="77777777" w:rsidTr="00B00729">
        <w:trPr>
          <w:jc w:val="center"/>
        </w:trPr>
        <w:tc>
          <w:tcPr>
            <w:tcW w:w="1908" w:type="dxa"/>
          </w:tcPr>
          <w:p w14:paraId="58050C6E" w14:textId="77777777" w:rsidR="0031675F" w:rsidRPr="0031675F" w:rsidRDefault="0031675F" w:rsidP="0031675F">
            <w:r w:rsidRPr="0031675F">
              <w:t xml:space="preserve">Latitude </w:t>
            </w:r>
          </w:p>
        </w:tc>
        <w:tc>
          <w:tcPr>
            <w:tcW w:w="6840" w:type="dxa"/>
          </w:tcPr>
          <w:p w14:paraId="54BAABA8" w14:textId="77777777" w:rsidR="0031675F" w:rsidRPr="0031675F" w:rsidRDefault="0031675F" w:rsidP="0031675F">
            <w:pPr>
              <w:rPr>
                <w:b/>
              </w:rPr>
            </w:pPr>
          </w:p>
        </w:tc>
      </w:tr>
      <w:tr w:rsidR="0031675F" w:rsidRPr="0031675F" w14:paraId="22E3F5CE" w14:textId="77777777" w:rsidTr="00B00729">
        <w:trPr>
          <w:jc w:val="center"/>
        </w:trPr>
        <w:tc>
          <w:tcPr>
            <w:tcW w:w="1908" w:type="dxa"/>
          </w:tcPr>
          <w:p w14:paraId="081394CD" w14:textId="77777777" w:rsidR="0031675F" w:rsidRPr="0031675F" w:rsidRDefault="0031675F" w:rsidP="0031675F">
            <w:r w:rsidRPr="0031675F">
              <w:t>Longitude</w:t>
            </w:r>
          </w:p>
        </w:tc>
        <w:tc>
          <w:tcPr>
            <w:tcW w:w="6840" w:type="dxa"/>
          </w:tcPr>
          <w:p w14:paraId="72402BF9" w14:textId="77777777" w:rsidR="0031675F" w:rsidRPr="0031675F" w:rsidRDefault="0031675F" w:rsidP="0031675F">
            <w:pPr>
              <w:rPr>
                <w:b/>
              </w:rPr>
            </w:pPr>
          </w:p>
        </w:tc>
      </w:tr>
      <w:tr w:rsidR="0031675F" w:rsidRPr="0031675F" w14:paraId="08E00C6C" w14:textId="77777777" w:rsidTr="00B00729">
        <w:trPr>
          <w:jc w:val="center"/>
        </w:trPr>
        <w:tc>
          <w:tcPr>
            <w:tcW w:w="1908" w:type="dxa"/>
          </w:tcPr>
          <w:p w14:paraId="1E59AD8A" w14:textId="77777777" w:rsidR="0031675F" w:rsidRPr="0031675F" w:rsidRDefault="0031675F" w:rsidP="0031675F">
            <w:r w:rsidRPr="0031675F">
              <w:t>Wind</w:t>
            </w:r>
          </w:p>
        </w:tc>
        <w:tc>
          <w:tcPr>
            <w:tcW w:w="6840" w:type="dxa"/>
          </w:tcPr>
          <w:p w14:paraId="71634878" w14:textId="77777777" w:rsidR="0031675F" w:rsidRPr="0031675F" w:rsidRDefault="0031675F" w:rsidP="0031675F">
            <w:pPr>
              <w:rPr>
                <w:b/>
              </w:rPr>
            </w:pPr>
          </w:p>
        </w:tc>
      </w:tr>
      <w:tr w:rsidR="0031675F" w:rsidRPr="0031675F" w14:paraId="18EDF937" w14:textId="77777777" w:rsidTr="00B00729">
        <w:trPr>
          <w:jc w:val="center"/>
        </w:trPr>
        <w:tc>
          <w:tcPr>
            <w:tcW w:w="1908" w:type="dxa"/>
          </w:tcPr>
          <w:p w14:paraId="16494335" w14:textId="77777777" w:rsidR="0031675F" w:rsidRPr="0031675F" w:rsidRDefault="0031675F" w:rsidP="0031675F">
            <w:r w:rsidRPr="0031675F">
              <w:t>Clouds</w:t>
            </w:r>
          </w:p>
        </w:tc>
        <w:tc>
          <w:tcPr>
            <w:tcW w:w="6840" w:type="dxa"/>
          </w:tcPr>
          <w:p w14:paraId="13A41608" w14:textId="77777777" w:rsidR="0031675F" w:rsidRPr="0031675F" w:rsidRDefault="0031675F" w:rsidP="0031675F">
            <w:pPr>
              <w:rPr>
                <w:b/>
              </w:rPr>
            </w:pPr>
          </w:p>
        </w:tc>
      </w:tr>
    </w:tbl>
    <w:p w14:paraId="7C7E7151" w14:textId="77777777" w:rsidR="0031675F" w:rsidRPr="0031675F" w:rsidRDefault="0031675F" w:rsidP="0031675F">
      <w:pPr>
        <w:rPr>
          <w:b/>
        </w:rPr>
      </w:pPr>
    </w:p>
    <w:p w14:paraId="19CE356D" w14:textId="77777777" w:rsidR="0031675F" w:rsidRPr="0031675F" w:rsidRDefault="0031675F" w:rsidP="0031675F">
      <w:pPr>
        <w:rPr>
          <w:b/>
        </w:rPr>
        <w:sectPr w:rsidR="0031675F" w:rsidRPr="0031675F" w:rsidSect="00084431">
          <w:headerReference w:type="default" r:id="rId204"/>
          <w:footerReference w:type="default" r:id="rId205"/>
          <w:pgSz w:w="11907" w:h="16840" w:code="9"/>
          <w:pgMar w:top="1418" w:right="1418" w:bottom="1418" w:left="1418" w:header="708" w:footer="708" w:gutter="0"/>
          <w:cols w:space="708"/>
          <w:docGrid w:linePitch="360"/>
        </w:sectPr>
      </w:pPr>
    </w:p>
    <w:p w14:paraId="267E58EA" w14:textId="3D6CF8AE" w:rsidR="00F5511E" w:rsidRDefault="00F5511E" w:rsidP="00CA621B">
      <w:pPr>
        <w:pStyle w:val="Heading2"/>
        <w:numPr>
          <w:ilvl w:val="0"/>
          <w:numId w:val="0"/>
        </w:numPr>
        <w:ind w:left="284"/>
        <w:jc w:val="center"/>
      </w:pPr>
      <w:bookmarkStart w:id="755" w:name="_Toc12365644"/>
      <w:r w:rsidRPr="0031675F">
        <w:t>Appendix</w:t>
      </w:r>
      <w:r w:rsidRPr="0031675F">
        <w:rPr>
          <w:spacing w:val="-14"/>
        </w:rPr>
        <w:t xml:space="preserve"> </w:t>
      </w:r>
      <w:r w:rsidRPr="0031675F">
        <w:t>B</w:t>
      </w:r>
      <w:r>
        <w:t xml:space="preserve">4 </w:t>
      </w:r>
      <w:r w:rsidRPr="00F5511E">
        <w:t>TropWater Water Sampling Input Sheet</w:t>
      </w:r>
      <w:bookmarkEnd w:id="755"/>
    </w:p>
    <w:p w14:paraId="097B8348" w14:textId="713C0450" w:rsidR="00F5511E" w:rsidRPr="0031675F" w:rsidRDefault="00F5511E" w:rsidP="0031675F">
      <w:pPr>
        <w:jc w:val="center"/>
        <w:rPr>
          <w:b/>
          <w:sz w:val="36"/>
          <w:szCs w:val="36"/>
        </w:rPr>
      </w:pPr>
    </w:p>
    <w:p w14:paraId="515BF128" w14:textId="3339BB8A" w:rsidR="0031675F" w:rsidRPr="0031675F" w:rsidRDefault="0031675F" w:rsidP="0031675F">
      <w:pPr>
        <w:jc w:val="center"/>
        <w:rPr>
          <w:b/>
          <w:sz w:val="36"/>
          <w:szCs w:val="36"/>
        </w:rPr>
      </w:pPr>
    </w:p>
    <w:p w14:paraId="4F3F6D9D" w14:textId="77777777" w:rsidR="0031675F" w:rsidRPr="0031675F" w:rsidRDefault="0031675F" w:rsidP="0031675F">
      <w:pPr>
        <w:jc w:val="center"/>
      </w:pPr>
    </w:p>
    <w:p w14:paraId="4F5CF0F5" w14:textId="77777777" w:rsidR="0031675F" w:rsidRPr="0031675F" w:rsidRDefault="0031675F" w:rsidP="0031675F">
      <w:pPr>
        <w:jc w:val="center"/>
        <w:rPr>
          <w:b/>
        </w:rPr>
      </w:pPr>
      <w:r w:rsidRPr="0031675F">
        <w:rPr>
          <w:b/>
        </w:rPr>
        <w:t>See ‘Appendix B4_TropWater input sheet.xls’ available for download from:</w:t>
      </w:r>
    </w:p>
    <w:p w14:paraId="3B94C770" w14:textId="77777777" w:rsidR="0031675F" w:rsidRPr="0031675F" w:rsidRDefault="00740B55" w:rsidP="0031675F">
      <w:pPr>
        <w:jc w:val="center"/>
        <w:rPr>
          <w:b/>
        </w:rPr>
      </w:pPr>
      <w:hyperlink r:id="rId206" w:history="1">
        <w:r w:rsidR="0031675F" w:rsidRPr="0031675F">
          <w:rPr>
            <w:color w:val="0000FF"/>
            <w:u w:val="single"/>
          </w:rPr>
          <w:t>http://www.rrrc.org.au/mmp/mmp_pubs.html</w:t>
        </w:r>
      </w:hyperlink>
    </w:p>
    <w:p w14:paraId="55B3E4C2" w14:textId="77777777" w:rsidR="0031675F" w:rsidRPr="0031675F" w:rsidRDefault="0031675F" w:rsidP="0031675F">
      <w:pPr>
        <w:jc w:val="center"/>
      </w:pPr>
    </w:p>
    <w:p w14:paraId="715BD4D8" w14:textId="77777777" w:rsidR="0031675F" w:rsidRPr="0031675F" w:rsidRDefault="0031675F" w:rsidP="0031675F">
      <w:pPr>
        <w:jc w:val="center"/>
      </w:pPr>
      <w:r w:rsidRPr="0031675F">
        <w:rPr>
          <w:noProof/>
          <w:lang w:eastAsia="en-AU"/>
        </w:rPr>
        <w:drawing>
          <wp:inline distT="0" distB="0" distL="0" distR="0" wp14:anchorId="3F423963" wp14:editId="6AA06F11">
            <wp:extent cx="2291715" cy="1401445"/>
            <wp:effectExtent l="0" t="0" r="0" b="8255"/>
            <wp:docPr id="160" name="Picture 160"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88" r:link="rId189">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6B0151A9" w14:textId="77777777" w:rsidR="0031675F" w:rsidRPr="0031675F" w:rsidRDefault="0031675F" w:rsidP="0031675F">
      <w:pPr>
        <w:jc w:val="center"/>
        <w:rPr>
          <w:rFonts w:cs="Arial"/>
        </w:rPr>
      </w:pPr>
    </w:p>
    <w:p w14:paraId="2CA6AF84" w14:textId="77777777" w:rsidR="0031675F" w:rsidRPr="0031675F" w:rsidRDefault="0031675F" w:rsidP="0031675F">
      <w:pPr>
        <w:jc w:val="center"/>
      </w:pPr>
    </w:p>
    <w:p w14:paraId="11A81CD1" w14:textId="77777777" w:rsidR="0031675F" w:rsidRPr="0031675F" w:rsidRDefault="0031675F" w:rsidP="0031675F"/>
    <w:p w14:paraId="79664ACD" w14:textId="77777777" w:rsidR="0031675F" w:rsidRPr="0031675F" w:rsidRDefault="0031675F" w:rsidP="0031675F">
      <w:pPr>
        <w:sectPr w:rsidR="0031675F" w:rsidRPr="0031675F" w:rsidSect="00084431">
          <w:headerReference w:type="default" r:id="rId207"/>
          <w:footerReference w:type="default" r:id="rId208"/>
          <w:pgSz w:w="11907" w:h="16840" w:code="9"/>
          <w:pgMar w:top="1418" w:right="1418" w:bottom="1418" w:left="1418" w:header="709" w:footer="709" w:gutter="0"/>
          <w:cols w:space="708"/>
          <w:vAlign w:val="center"/>
          <w:docGrid w:linePitch="360"/>
        </w:sectPr>
      </w:pPr>
    </w:p>
    <w:p w14:paraId="2C851727" w14:textId="2DB694D8" w:rsidR="00F5511E" w:rsidRDefault="00F5511E" w:rsidP="00CA621B">
      <w:pPr>
        <w:pStyle w:val="Heading2"/>
        <w:numPr>
          <w:ilvl w:val="0"/>
          <w:numId w:val="0"/>
        </w:numPr>
        <w:ind w:left="284"/>
        <w:jc w:val="center"/>
      </w:pPr>
      <w:bookmarkStart w:id="756" w:name="_Toc12365645"/>
      <w:r w:rsidRPr="0031675F">
        <w:t>Appendix</w:t>
      </w:r>
      <w:r w:rsidRPr="0031675F">
        <w:rPr>
          <w:spacing w:val="-14"/>
        </w:rPr>
        <w:t xml:space="preserve"> </w:t>
      </w:r>
      <w:r w:rsidRPr="0031675F">
        <w:t>B</w:t>
      </w:r>
      <w:r>
        <w:t xml:space="preserve">5 </w:t>
      </w:r>
      <w:r w:rsidRPr="00F5511E">
        <w:t>TropWater Auto-analysis methods:</w:t>
      </w:r>
      <w:r w:rsidR="00CA621B">
        <w:t xml:space="preserve"> </w:t>
      </w:r>
      <w:r w:rsidRPr="00F5511E">
        <w:t>Nitrogen – Ammonia</w:t>
      </w:r>
      <w:bookmarkEnd w:id="756"/>
    </w:p>
    <w:p w14:paraId="1846B0C5" w14:textId="77777777" w:rsidR="0031675F" w:rsidRPr="0031675F" w:rsidRDefault="0031675F" w:rsidP="0031675F">
      <w:pPr>
        <w:jc w:val="center"/>
      </w:pPr>
    </w:p>
    <w:p w14:paraId="6AF83EEB" w14:textId="77777777" w:rsidR="0031675F" w:rsidRPr="0031675F" w:rsidRDefault="0031675F" w:rsidP="0031675F">
      <w:pPr>
        <w:jc w:val="center"/>
      </w:pPr>
      <w:r w:rsidRPr="0031675F">
        <w:rPr>
          <w:noProof/>
          <w:lang w:eastAsia="en-AU"/>
        </w:rPr>
        <w:drawing>
          <wp:inline distT="0" distB="0" distL="0" distR="0" wp14:anchorId="27D1D2CB" wp14:editId="379073A3">
            <wp:extent cx="2291715" cy="1401445"/>
            <wp:effectExtent l="0" t="0" r="0" b="8255"/>
            <wp:docPr id="161" name="Picture 161"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88" r:link="rId189">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5092B6E7" w14:textId="77777777" w:rsidR="0031675F" w:rsidRPr="0031675F" w:rsidRDefault="0031675F" w:rsidP="0031675F">
      <w:pPr>
        <w:jc w:val="center"/>
      </w:pPr>
    </w:p>
    <w:p w14:paraId="277FADBC" w14:textId="77777777" w:rsidR="0031675F" w:rsidRPr="0031675F" w:rsidRDefault="0031675F" w:rsidP="0031675F">
      <w:pPr>
        <w:jc w:val="center"/>
      </w:pPr>
    </w:p>
    <w:p w14:paraId="6838DBC3" w14:textId="77777777" w:rsidR="0031675F" w:rsidRPr="0031675F" w:rsidRDefault="0031675F" w:rsidP="0031675F">
      <w:pPr>
        <w:jc w:val="center"/>
        <w:rPr>
          <w:rFonts w:cs="Arial"/>
        </w:rPr>
      </w:pPr>
    </w:p>
    <w:p w14:paraId="6853B934" w14:textId="77777777" w:rsidR="0031675F" w:rsidRPr="0031675F" w:rsidRDefault="0031675F" w:rsidP="0031675F">
      <w:pPr>
        <w:jc w:val="center"/>
      </w:pPr>
    </w:p>
    <w:p w14:paraId="6EF4F946" w14:textId="77777777" w:rsidR="0031675F" w:rsidRPr="0031675F" w:rsidRDefault="0031675F" w:rsidP="0031675F"/>
    <w:p w14:paraId="470BD629" w14:textId="77777777" w:rsidR="0031675F" w:rsidRPr="0031675F" w:rsidRDefault="0031675F" w:rsidP="0031675F">
      <w:pPr>
        <w:sectPr w:rsidR="0031675F" w:rsidRPr="0031675F" w:rsidSect="00084431">
          <w:headerReference w:type="default" r:id="rId209"/>
          <w:footerReference w:type="default" r:id="rId210"/>
          <w:pgSz w:w="11907" w:h="16840" w:code="9"/>
          <w:pgMar w:top="1418" w:right="1418" w:bottom="1418" w:left="1418" w:header="709" w:footer="709" w:gutter="0"/>
          <w:pgNumType w:start="199"/>
          <w:cols w:space="708"/>
          <w:vAlign w:val="center"/>
          <w:docGrid w:linePitch="360"/>
        </w:sectPr>
      </w:pPr>
    </w:p>
    <w:p w14:paraId="2C23B3BE" w14:textId="77777777" w:rsidR="0031675F" w:rsidRPr="0031675F" w:rsidRDefault="0031675F" w:rsidP="0031675F">
      <w:pPr>
        <w:rPr>
          <w:b/>
          <w:sz w:val="28"/>
          <w:szCs w:val="28"/>
        </w:rPr>
      </w:pPr>
      <w:r w:rsidRPr="0031675F">
        <w:rPr>
          <w:b/>
          <w:sz w:val="28"/>
          <w:szCs w:val="28"/>
        </w:rPr>
        <w:t>Nitrogen – Ammonia</w:t>
      </w:r>
    </w:p>
    <w:p w14:paraId="70B3597C" w14:textId="77777777" w:rsidR="0031675F" w:rsidRPr="0031675F" w:rsidRDefault="0031675F" w:rsidP="0031675F">
      <w:pPr>
        <w:shd w:val="clear" w:color="auto" w:fill="D9D9D9"/>
        <w:ind w:left="540" w:hanging="540"/>
        <w:rPr>
          <w:b/>
        </w:rPr>
      </w:pPr>
      <w:r w:rsidRPr="0031675F">
        <w:rPr>
          <w:b/>
        </w:rPr>
        <w:t xml:space="preserve">1.0 </w:t>
      </w:r>
      <w:r w:rsidRPr="0031675F">
        <w:rPr>
          <w:b/>
        </w:rPr>
        <w:tab/>
        <w:t>SCOPE AND APPLICATION</w:t>
      </w:r>
    </w:p>
    <w:p w14:paraId="2B7CE59B" w14:textId="77777777" w:rsidR="0031675F" w:rsidRPr="0031675F" w:rsidRDefault="0031675F" w:rsidP="0031675F"/>
    <w:p w14:paraId="71813303" w14:textId="77777777" w:rsidR="0031675F" w:rsidRPr="0031675F" w:rsidRDefault="0031675F" w:rsidP="0031675F">
      <w:r w:rsidRPr="0031675F">
        <w:t xml:space="preserve">This method provides a procedure for the determination of ammonia in drinking, surface, groundwater, saline and effluent wastewater samples. </w:t>
      </w:r>
    </w:p>
    <w:p w14:paraId="048EF3C7" w14:textId="77777777" w:rsidR="0031675F" w:rsidRPr="0031675F" w:rsidRDefault="0031675F" w:rsidP="0031675F"/>
    <w:p w14:paraId="7B2ACC2A" w14:textId="3DDE2BEF" w:rsidR="0031675F" w:rsidRPr="0031675F" w:rsidRDefault="0031675F" w:rsidP="0031675F">
      <w:r w:rsidRPr="0031675F">
        <w:t>The working range is 0.001 – 0.15 mg</w:t>
      </w:r>
      <w:r w:rsidR="00E817CB" w:rsidRPr="00E817CB">
        <w:t xml:space="preserve"> L</w:t>
      </w:r>
      <w:r w:rsidR="00E817CB" w:rsidRPr="00E817CB">
        <w:rPr>
          <w:vertAlign w:val="superscript"/>
        </w:rPr>
        <w:t>-1</w:t>
      </w:r>
      <w:r w:rsidRPr="0031675F">
        <w:t xml:space="preserve"> as N using the Alpkem segmented flow auto analyser.</w:t>
      </w:r>
    </w:p>
    <w:p w14:paraId="33E77446" w14:textId="77777777" w:rsidR="0031675F" w:rsidRPr="0031675F" w:rsidRDefault="0031675F" w:rsidP="0031675F"/>
    <w:p w14:paraId="51647593" w14:textId="77777777" w:rsidR="0031675F" w:rsidRPr="0031675F" w:rsidRDefault="0031675F" w:rsidP="0031675F">
      <w:r w:rsidRPr="0031675F">
        <w:t>The ammonium ion reacts with a basic media to form ammonia gas. The ammonia gas diffuses across a polypropylene membrane and is retained in a slightly acidic stream. The ammonia then reacts with phenol and alkaline hypochlorite to form indophenol blue in amounts proportional to the ammonia concentration present within the sample. This blue colour is then intensified with the addition of sodium nitroferricyanide and measured spectrophotometrically at 630 nm.</w:t>
      </w:r>
    </w:p>
    <w:p w14:paraId="15FF6192" w14:textId="77777777" w:rsidR="0031675F" w:rsidRPr="0031675F" w:rsidRDefault="0031675F" w:rsidP="0031675F"/>
    <w:p w14:paraId="014ED75D" w14:textId="77777777" w:rsidR="0031675F" w:rsidRPr="0031675F" w:rsidRDefault="0031675F" w:rsidP="0031675F">
      <w:pPr>
        <w:numPr>
          <w:ilvl w:val="1"/>
          <w:numId w:val="172"/>
        </w:numPr>
        <w:tabs>
          <w:tab w:val="clear" w:pos="1080"/>
        </w:tabs>
        <w:spacing w:before="0" w:after="0" w:line="240" w:lineRule="auto"/>
        <w:ind w:left="540" w:hanging="540"/>
        <w:jc w:val="both"/>
        <w:rPr>
          <w:b/>
        </w:rPr>
      </w:pPr>
      <w:r w:rsidRPr="0031675F">
        <w:rPr>
          <w:b/>
        </w:rPr>
        <w:t>Interferences</w:t>
      </w:r>
      <w:r w:rsidRPr="0031675F">
        <w:rPr>
          <w:b/>
        </w:rPr>
        <w:br/>
      </w:r>
    </w:p>
    <w:p w14:paraId="48A8BC8A" w14:textId="77777777" w:rsidR="0031675F" w:rsidRPr="0031675F" w:rsidRDefault="0031675F" w:rsidP="0031675F">
      <w:pPr>
        <w:spacing w:before="60" w:after="60"/>
        <w:ind w:left="1134" w:hanging="567"/>
      </w:pPr>
      <w:r w:rsidRPr="0031675F">
        <w:rPr>
          <w:b/>
        </w:rPr>
        <w:t xml:space="preserve">1.1.1 </w:t>
      </w:r>
      <w:r w:rsidRPr="0031675F">
        <w:rPr>
          <w:b/>
        </w:rPr>
        <w:tab/>
      </w:r>
      <w:r w:rsidRPr="0031675F">
        <w:t>Contamination of samples by ammonia is the most common interference. Be aware of potential sources of contamination such as laboratory atmosphere, tobacco smoke, sweat on the hands of workers, and take steps to minimise as much as possible (such as close laboratory door and uncap samples only minutes prior to analysis).</w:t>
      </w:r>
    </w:p>
    <w:p w14:paraId="0C55C4FE" w14:textId="77777777" w:rsidR="0031675F" w:rsidRPr="0031675F" w:rsidRDefault="0031675F" w:rsidP="0031675F">
      <w:pPr>
        <w:spacing w:before="60" w:after="60"/>
        <w:ind w:left="1134" w:hanging="567"/>
        <w:rPr>
          <w:bCs/>
        </w:rPr>
      </w:pPr>
      <w:r w:rsidRPr="0031675F">
        <w:rPr>
          <w:b/>
        </w:rPr>
        <w:t>1.1.2</w:t>
      </w:r>
      <w:r w:rsidRPr="0031675F">
        <w:rPr>
          <w:b/>
        </w:rPr>
        <w:tab/>
      </w:r>
      <w:r w:rsidRPr="0031675F">
        <w:rPr>
          <w:bCs/>
        </w:rPr>
        <w:t xml:space="preserve">Maintain an awareness of biological organisms such as algae which can assimilate ammonia rapidly and deplete the content of ammonia within a sample. </w:t>
      </w:r>
    </w:p>
    <w:p w14:paraId="5172EE75" w14:textId="77777777" w:rsidR="0031675F" w:rsidRPr="0031675F" w:rsidRDefault="0031675F" w:rsidP="0031675F">
      <w:pPr>
        <w:spacing w:before="60" w:after="60"/>
        <w:ind w:left="1134" w:hanging="567"/>
        <w:rPr>
          <w:bCs/>
        </w:rPr>
      </w:pPr>
      <w:r w:rsidRPr="0031675F">
        <w:rPr>
          <w:b/>
        </w:rPr>
        <w:t>1.1.3</w:t>
      </w:r>
      <w:r w:rsidRPr="0031675F">
        <w:rPr>
          <w:bCs/>
        </w:rPr>
        <w:tab/>
        <w:t xml:space="preserve">Turbid samples can interfere and should be filtered be through a 0.45 </w:t>
      </w:r>
      <w:r w:rsidRPr="0031675F">
        <w:rPr>
          <w:bCs/>
        </w:rPr>
        <w:sym w:font="Symbol" w:char="F06D"/>
      </w:r>
      <w:r w:rsidRPr="0031675F">
        <w:rPr>
          <w:bCs/>
        </w:rPr>
        <w:t xml:space="preserve">m polysuphone membrane filter </w:t>
      </w:r>
    </w:p>
    <w:p w14:paraId="4132E275" w14:textId="77777777" w:rsidR="0031675F" w:rsidRPr="0031675F" w:rsidRDefault="0031675F" w:rsidP="0031675F">
      <w:pPr>
        <w:spacing w:before="60" w:after="60"/>
        <w:ind w:left="1134" w:hanging="567"/>
        <w:rPr>
          <w:bCs/>
        </w:rPr>
      </w:pPr>
      <w:r w:rsidRPr="0031675F">
        <w:rPr>
          <w:b/>
        </w:rPr>
        <w:t>1.1.4</w:t>
      </w:r>
      <w:r w:rsidRPr="0031675F">
        <w:rPr>
          <w:b/>
        </w:rPr>
        <w:tab/>
      </w:r>
      <w:r w:rsidRPr="0031675F">
        <w:rPr>
          <w:bCs/>
        </w:rPr>
        <w:t>Metal ions such as calcium and magnesium interfere by causing precipitation at high levels. The addition of sodium citrate should minimise this problem.</w:t>
      </w:r>
    </w:p>
    <w:p w14:paraId="5826882E" w14:textId="77777777" w:rsidR="0031675F" w:rsidRPr="0031675F" w:rsidRDefault="0031675F" w:rsidP="0031675F">
      <w:pPr>
        <w:spacing w:before="60" w:after="60"/>
        <w:ind w:left="1134" w:hanging="567"/>
      </w:pPr>
      <w:r w:rsidRPr="0031675F">
        <w:rPr>
          <w:b/>
          <w:bCs/>
        </w:rPr>
        <w:t>1.1.5</w:t>
      </w:r>
      <w:r w:rsidRPr="0031675F">
        <w:tab/>
        <w:t>Positive interference may be attributed to substances e.g. urea, which when present in samples may hydrolyse to form ammonia.</w:t>
      </w:r>
    </w:p>
    <w:p w14:paraId="59433935" w14:textId="77777777" w:rsidR="0031675F" w:rsidRPr="0031675F" w:rsidRDefault="0031675F" w:rsidP="0031675F">
      <w:pPr>
        <w:spacing w:before="60" w:after="60"/>
        <w:ind w:left="1134" w:hanging="567"/>
      </w:pPr>
      <w:r w:rsidRPr="0031675F">
        <w:rPr>
          <w:b/>
          <w:bCs/>
        </w:rPr>
        <w:t>1.1.6</w:t>
      </w:r>
      <w:r w:rsidRPr="0031675F">
        <w:rPr>
          <w:b/>
          <w:bCs/>
        </w:rPr>
        <w:tab/>
      </w:r>
      <w:r w:rsidRPr="0031675F">
        <w:t>Amines and nitrates can cause positive interference at high concentrations.</w:t>
      </w:r>
    </w:p>
    <w:p w14:paraId="02F680B2" w14:textId="25924F4C" w:rsidR="0031675F" w:rsidRPr="0031675F" w:rsidRDefault="0031675F" w:rsidP="0031675F">
      <w:pPr>
        <w:spacing w:before="60" w:after="60"/>
        <w:ind w:left="1134" w:hanging="567"/>
      </w:pPr>
      <w:r w:rsidRPr="0031675F">
        <w:rPr>
          <w:b/>
          <w:bCs/>
        </w:rPr>
        <w:t>1.1.7</w:t>
      </w:r>
      <w:r w:rsidRPr="0031675F">
        <w:tab/>
        <w:t>Cyanide, thiocyanate and sulfide give positive interference at &gt;10 mg</w:t>
      </w:r>
      <w:r w:rsidR="00E817CB" w:rsidRPr="00E817CB">
        <w:t xml:space="preserve"> L</w:t>
      </w:r>
      <w:r w:rsidR="00E817CB" w:rsidRPr="00E817CB">
        <w:rPr>
          <w:vertAlign w:val="superscript"/>
        </w:rPr>
        <w:t>-1</w:t>
      </w:r>
      <w:r w:rsidRPr="0031675F">
        <w:t>.</w:t>
      </w:r>
      <w:r w:rsidRPr="0031675F">
        <w:tab/>
      </w:r>
      <w:r w:rsidRPr="0031675F">
        <w:br/>
      </w:r>
    </w:p>
    <w:p w14:paraId="45B3E95B" w14:textId="77777777" w:rsidR="0031675F" w:rsidRPr="0031675F" w:rsidRDefault="0031675F" w:rsidP="0031675F">
      <w:pPr>
        <w:ind w:left="540" w:hanging="540"/>
      </w:pPr>
      <w:r w:rsidRPr="0031675F">
        <w:rPr>
          <w:b/>
        </w:rPr>
        <w:t xml:space="preserve">1.2 </w:t>
      </w:r>
      <w:r w:rsidRPr="0031675F">
        <w:rPr>
          <w:b/>
        </w:rPr>
        <w:tab/>
      </w:r>
      <w:r w:rsidRPr="0031675F">
        <w:t>Approximately 26 samples per hour can be analysed.</w:t>
      </w:r>
    </w:p>
    <w:p w14:paraId="220C26D9" w14:textId="77777777" w:rsidR="0031675F" w:rsidRPr="0031675F" w:rsidRDefault="0031675F" w:rsidP="0031675F">
      <w:pPr>
        <w:ind w:left="540" w:hanging="540"/>
      </w:pPr>
    </w:p>
    <w:p w14:paraId="473B14B2" w14:textId="77777777" w:rsidR="0031675F" w:rsidRPr="0031675F" w:rsidRDefault="0031675F" w:rsidP="0031675F">
      <w:pPr>
        <w:ind w:left="540" w:hanging="540"/>
      </w:pPr>
      <w:r w:rsidRPr="0031675F">
        <w:rPr>
          <w:b/>
        </w:rPr>
        <w:t>1.3</w:t>
      </w:r>
      <w:r w:rsidRPr="0031675F">
        <w:t xml:space="preserve">  </w:t>
      </w:r>
      <w:r w:rsidRPr="0031675F">
        <w:tab/>
        <w:t>This method requires experience in the use of automated gas segmented flow colorimetric analyses. A minimum of 6 months training under the direct supervision of an experienced nutrient analyst is required before independent nutrient analyses can be performed.</w:t>
      </w:r>
    </w:p>
    <w:p w14:paraId="4095BD8A" w14:textId="77777777" w:rsidR="0031675F" w:rsidRPr="0031675F" w:rsidRDefault="0031675F" w:rsidP="0031675F">
      <w:pPr>
        <w:rPr>
          <w:b/>
        </w:rPr>
      </w:pPr>
    </w:p>
    <w:p w14:paraId="4B953EE8" w14:textId="77777777" w:rsidR="0031675F" w:rsidRPr="0031675F" w:rsidRDefault="0031675F" w:rsidP="0031675F">
      <w:pPr>
        <w:shd w:val="clear" w:color="auto" w:fill="D9D9D9"/>
        <w:ind w:left="540" w:hanging="540"/>
        <w:rPr>
          <w:b/>
        </w:rPr>
      </w:pPr>
      <w:r w:rsidRPr="0031675F">
        <w:rPr>
          <w:b/>
        </w:rPr>
        <w:t xml:space="preserve">2.0 </w:t>
      </w:r>
      <w:r w:rsidRPr="0031675F">
        <w:rPr>
          <w:b/>
        </w:rPr>
        <w:tab/>
        <w:t>DEFINITIONS</w:t>
      </w:r>
    </w:p>
    <w:p w14:paraId="379B3A13" w14:textId="77777777" w:rsidR="0031675F" w:rsidRPr="0031675F" w:rsidRDefault="0031675F" w:rsidP="0031675F">
      <w:pPr>
        <w:rPr>
          <w:b/>
        </w:rPr>
      </w:pPr>
    </w:p>
    <w:p w14:paraId="590FC50A" w14:textId="77777777" w:rsidR="0031675F" w:rsidRPr="0031675F" w:rsidRDefault="0031675F" w:rsidP="0031675F">
      <w:pPr>
        <w:ind w:left="540" w:hanging="540"/>
      </w:pPr>
      <w:r w:rsidRPr="0031675F">
        <w:rPr>
          <w:b/>
        </w:rPr>
        <w:t xml:space="preserve">2.1 </w:t>
      </w:r>
      <w:r w:rsidRPr="0031675F">
        <w:rPr>
          <w:b/>
        </w:rPr>
        <w:tab/>
        <w:t>Calibration Standard (</w:t>
      </w:r>
      <w:smartTag w:uri="urn:schemas-microsoft-com:office:smarttags" w:element="State">
        <w:smartTag w:uri="urn:schemas-microsoft-com:office:smarttags" w:element="place">
          <w:r w:rsidRPr="0031675F">
            <w:rPr>
              <w:b/>
            </w:rPr>
            <w:t>CAL</w:t>
          </w:r>
        </w:smartTag>
      </w:smartTag>
      <w:r w:rsidRPr="0031675F">
        <w:rPr>
          <w:b/>
        </w:rPr>
        <w:t xml:space="preserve">) – </w:t>
      </w:r>
      <w:r w:rsidRPr="0031675F">
        <w:t xml:space="preserve">A solution prepared from the primary dilution standard solution or stock standard solution containing analytes. The </w:t>
      </w:r>
      <w:smartTag w:uri="urn:schemas-microsoft-com:office:smarttags" w:element="State">
        <w:smartTag w:uri="urn:schemas-microsoft-com:office:smarttags" w:element="place">
          <w:r w:rsidRPr="0031675F">
            <w:t>CAL</w:t>
          </w:r>
        </w:smartTag>
      </w:smartTag>
      <w:r w:rsidRPr="0031675F">
        <w:t xml:space="preserve"> solutions are used to calibrate the instrument response with respect to analyte concentration.</w:t>
      </w:r>
    </w:p>
    <w:p w14:paraId="4D06FE2D" w14:textId="77777777" w:rsidR="0031675F" w:rsidRPr="0031675F" w:rsidRDefault="0031675F" w:rsidP="0031675F">
      <w:pPr>
        <w:ind w:left="540" w:hanging="540"/>
      </w:pPr>
    </w:p>
    <w:p w14:paraId="2051F39E" w14:textId="77777777" w:rsidR="0031675F" w:rsidRPr="0031675F" w:rsidRDefault="0031675F" w:rsidP="0031675F">
      <w:pPr>
        <w:ind w:left="540" w:hanging="540"/>
      </w:pPr>
      <w:r w:rsidRPr="0031675F">
        <w:rPr>
          <w:b/>
        </w:rPr>
        <w:t xml:space="preserve">2.2 </w:t>
      </w:r>
      <w:r w:rsidRPr="0031675F">
        <w:rPr>
          <w:b/>
        </w:rPr>
        <w:tab/>
        <w:t xml:space="preserve">Reagent Water (RM) - </w:t>
      </w:r>
      <w:r w:rsidRPr="0031675F">
        <w:t>Type 1 reagent grade water equal to or exceeding standards established by American Society for Testing Materials (ASTN). Reverse osmosis system followed by a Reagent water System that produces water with 18 M</w:t>
      </w:r>
      <w:r w:rsidRPr="0031675F">
        <w:sym w:font="Symbol" w:char="F057"/>
      </w:r>
      <w:r w:rsidRPr="0031675F">
        <w:t>ohm resistance is used. To avoid contamination the reagent water should be used the day of preparation.</w:t>
      </w:r>
    </w:p>
    <w:p w14:paraId="02FBC420" w14:textId="77777777" w:rsidR="0031675F" w:rsidRPr="0031675F" w:rsidRDefault="0031675F" w:rsidP="0031675F">
      <w:pPr>
        <w:ind w:left="540" w:hanging="540"/>
      </w:pPr>
    </w:p>
    <w:p w14:paraId="0F9FBD4B" w14:textId="77777777" w:rsidR="0031675F" w:rsidRPr="0031675F" w:rsidRDefault="0031675F" w:rsidP="0031675F">
      <w:pPr>
        <w:ind w:left="540" w:hanging="540"/>
      </w:pPr>
      <w:r w:rsidRPr="0031675F">
        <w:rPr>
          <w:b/>
        </w:rPr>
        <w:t xml:space="preserve">2.3 </w:t>
      </w:r>
      <w:r w:rsidRPr="0031675F">
        <w:rPr>
          <w:b/>
        </w:rPr>
        <w:tab/>
        <w:t xml:space="preserve">Laboratory Spike Blank (B+) - </w:t>
      </w:r>
      <w:r w:rsidRPr="0031675F">
        <w:t>An aliquot of reagent water to which a known quantity of nitrogen is added. The B+ is analysed exactly like a sample, its purpose is to determine the amount of nitrogen added to samples and further used in the calculation on spike recoveries aiding confidence in the digestion procedure.</w:t>
      </w:r>
    </w:p>
    <w:p w14:paraId="7E2DAC87" w14:textId="77777777" w:rsidR="0031675F" w:rsidRPr="0031675F" w:rsidRDefault="0031675F" w:rsidP="0031675F">
      <w:pPr>
        <w:ind w:left="540" w:hanging="540"/>
      </w:pPr>
    </w:p>
    <w:p w14:paraId="3940B66C" w14:textId="77777777" w:rsidR="0031675F" w:rsidRPr="0031675F" w:rsidRDefault="0031675F" w:rsidP="0031675F">
      <w:pPr>
        <w:ind w:left="540" w:hanging="540"/>
      </w:pPr>
      <w:r w:rsidRPr="0031675F">
        <w:rPr>
          <w:b/>
        </w:rPr>
        <w:t xml:space="preserve">2.4 </w:t>
      </w:r>
      <w:r w:rsidRPr="0031675F">
        <w:rPr>
          <w:b/>
        </w:rPr>
        <w:tab/>
        <w:t xml:space="preserve">Laboratory Reagent Blank (LRB) - </w:t>
      </w:r>
      <w:r w:rsidRPr="0031675F">
        <w:t>an aliquot of reagent water that is treated exactly as a sample including exposure to all lab ware, equipment, digestion mixture, digestion and reagents that are used with all other samples. The LRB is used to determine if any background interference is present and therefore needs to be taken into consideration when sample results are calculated.</w:t>
      </w:r>
    </w:p>
    <w:p w14:paraId="02A31EFC" w14:textId="77777777" w:rsidR="0031675F" w:rsidRPr="0031675F" w:rsidRDefault="0031675F" w:rsidP="0031675F">
      <w:pPr>
        <w:ind w:left="540" w:hanging="540"/>
      </w:pPr>
    </w:p>
    <w:p w14:paraId="46E8638B" w14:textId="77777777" w:rsidR="0031675F" w:rsidRPr="0031675F" w:rsidRDefault="0031675F" w:rsidP="0031675F">
      <w:pPr>
        <w:ind w:left="540" w:hanging="540"/>
      </w:pPr>
      <w:r w:rsidRPr="0031675F">
        <w:rPr>
          <w:b/>
        </w:rPr>
        <w:t xml:space="preserve">2.5 </w:t>
      </w:r>
      <w:r w:rsidRPr="0031675F">
        <w:rPr>
          <w:b/>
        </w:rPr>
        <w:tab/>
        <w:t xml:space="preserve">Method Detection Limit (MDL) - </w:t>
      </w:r>
      <w:r w:rsidRPr="0031675F">
        <w:t>The minimum concentration of an analyte that can be identified, measured and reported with 99% confidence that the analyte concentration is greater than zero.</w:t>
      </w:r>
    </w:p>
    <w:p w14:paraId="5C3F959A" w14:textId="77777777" w:rsidR="0031675F" w:rsidRPr="0031675F" w:rsidRDefault="0031675F" w:rsidP="0031675F">
      <w:pPr>
        <w:ind w:left="540" w:hanging="540"/>
      </w:pPr>
    </w:p>
    <w:p w14:paraId="0E5B1814" w14:textId="77777777" w:rsidR="0031675F" w:rsidRPr="0031675F" w:rsidRDefault="0031675F" w:rsidP="0031675F">
      <w:pPr>
        <w:ind w:left="540" w:hanging="540"/>
      </w:pPr>
      <w:r w:rsidRPr="0031675F">
        <w:rPr>
          <w:b/>
        </w:rPr>
        <w:t>2.6</w:t>
      </w:r>
      <w:r w:rsidRPr="0031675F">
        <w:rPr>
          <w:b/>
        </w:rPr>
        <w:tab/>
        <w:t xml:space="preserve">Stock Standard Solution (SSS) – </w:t>
      </w:r>
      <w:r w:rsidRPr="0031675F">
        <w:t>A concentrated solution of method analyte prepared in the laboratory using assayed reference compounds or purchased from a reputable commercial source.</w:t>
      </w:r>
    </w:p>
    <w:p w14:paraId="57B776A7" w14:textId="77777777" w:rsidR="0031675F" w:rsidRPr="0031675F" w:rsidRDefault="0031675F" w:rsidP="0031675F">
      <w:pPr>
        <w:ind w:left="540" w:hanging="540"/>
      </w:pPr>
    </w:p>
    <w:p w14:paraId="344FD822" w14:textId="77777777" w:rsidR="0031675F" w:rsidRPr="0031675F" w:rsidRDefault="0031675F" w:rsidP="0031675F">
      <w:pPr>
        <w:ind w:left="540" w:hanging="540"/>
      </w:pPr>
      <w:r w:rsidRPr="0031675F">
        <w:rPr>
          <w:b/>
        </w:rPr>
        <w:t xml:space="preserve">2.7 </w:t>
      </w:r>
      <w:r w:rsidRPr="0031675F">
        <w:rPr>
          <w:b/>
        </w:rPr>
        <w:tab/>
        <w:t xml:space="preserve">Certified Reference Material (CRM) - </w:t>
      </w:r>
      <w:r w:rsidRPr="0031675F">
        <w:t>“Real’ samples that have been purchased from an external reputable commercial source. The CRM’s are used to match matrices and concentrations with the samples being analysed to determine the accuracy of results.</w:t>
      </w:r>
    </w:p>
    <w:p w14:paraId="762366AA" w14:textId="77777777" w:rsidR="0031675F" w:rsidRPr="0031675F" w:rsidRDefault="0031675F" w:rsidP="0031675F">
      <w:pPr>
        <w:ind w:left="540" w:hanging="540"/>
      </w:pPr>
    </w:p>
    <w:p w14:paraId="4726918D" w14:textId="77777777" w:rsidR="0031675F" w:rsidRPr="0031675F" w:rsidRDefault="0031675F" w:rsidP="0031675F">
      <w:pPr>
        <w:ind w:left="540" w:hanging="540"/>
      </w:pPr>
      <w:r w:rsidRPr="0031675F">
        <w:rPr>
          <w:b/>
        </w:rPr>
        <w:t xml:space="preserve">2.8 </w:t>
      </w:r>
      <w:r w:rsidRPr="0031675F">
        <w:rPr>
          <w:b/>
        </w:rPr>
        <w:tab/>
      </w:r>
      <w:smartTag w:uri="urn:schemas-microsoft-com:office:smarttags" w:element="place">
        <w:smartTag w:uri="urn:schemas-microsoft-com:office:smarttags" w:element="PlaceName">
          <w:r w:rsidRPr="0031675F">
            <w:rPr>
              <w:b/>
            </w:rPr>
            <w:t>SYNC</w:t>
          </w:r>
        </w:smartTag>
        <w:r w:rsidRPr="0031675F">
          <w:rPr>
            <w:b/>
          </w:rPr>
          <w:t xml:space="preserve"> </w:t>
        </w:r>
        <w:smartTag w:uri="urn:schemas-microsoft-com:office:smarttags" w:element="PlaceType">
          <w:r w:rsidRPr="0031675F">
            <w:rPr>
              <w:b/>
            </w:rPr>
            <w:t>Peak</w:t>
          </w:r>
        </w:smartTag>
      </w:smartTag>
      <w:r w:rsidRPr="0031675F">
        <w:rPr>
          <w:b/>
        </w:rPr>
        <w:t xml:space="preserve"> Solution – </w:t>
      </w:r>
      <w:r w:rsidRPr="0031675F">
        <w:t>A coloured solution used to produce a synchronization peak in the refractive index measurement. A synchronization peak is required by the data acquisition programs to initialize the peak finding parameters. The first cup in every run must always be identified as a SYNC sample. The SYNC sample is usually a high standard, but can be any sample that generates a peak at least 25% of full scale.</w:t>
      </w:r>
    </w:p>
    <w:p w14:paraId="2DAAA990" w14:textId="77777777" w:rsidR="0031675F" w:rsidRPr="0031675F" w:rsidRDefault="0031675F" w:rsidP="0031675F">
      <w:pPr>
        <w:rPr>
          <w:b/>
        </w:rPr>
      </w:pPr>
    </w:p>
    <w:p w14:paraId="0737BCE7" w14:textId="77777777" w:rsidR="0031675F" w:rsidRPr="0031675F" w:rsidRDefault="0031675F" w:rsidP="0031675F">
      <w:pPr>
        <w:shd w:val="clear" w:color="auto" w:fill="D9D9D9"/>
        <w:ind w:left="567" w:hanging="567"/>
        <w:rPr>
          <w:b/>
        </w:rPr>
      </w:pPr>
      <w:r w:rsidRPr="0031675F">
        <w:rPr>
          <w:b/>
        </w:rPr>
        <w:t xml:space="preserve">3.0 </w:t>
      </w:r>
      <w:r w:rsidRPr="0031675F">
        <w:rPr>
          <w:b/>
        </w:rPr>
        <w:tab/>
        <w:t>SAFETY</w:t>
      </w:r>
    </w:p>
    <w:p w14:paraId="00569741" w14:textId="77777777" w:rsidR="0031675F" w:rsidRPr="0031675F" w:rsidRDefault="0031675F" w:rsidP="0031675F">
      <w:pPr>
        <w:ind w:left="540" w:hanging="540"/>
        <w:rPr>
          <w:b/>
        </w:rPr>
      </w:pPr>
    </w:p>
    <w:p w14:paraId="14F547F9" w14:textId="77777777" w:rsidR="0031675F" w:rsidRPr="0031675F" w:rsidRDefault="0031675F" w:rsidP="0031675F">
      <w:pPr>
        <w:ind w:left="540" w:hanging="540"/>
      </w:pPr>
      <w:r w:rsidRPr="0031675F">
        <w:rPr>
          <w:b/>
        </w:rPr>
        <w:t xml:space="preserve">3.1 </w:t>
      </w:r>
      <w:r w:rsidRPr="0031675F">
        <w:rPr>
          <w:b/>
        </w:rPr>
        <w:tab/>
      </w:r>
      <w:r w:rsidRPr="0031675F">
        <w:t>Water samples collected from the estuarine and coastal environments are generally not hazardous, however it is of paramount importance that the individual collecting the samples use the proper collection techniques and be aware of potential sources of contamination.</w:t>
      </w:r>
    </w:p>
    <w:p w14:paraId="20D6C725" w14:textId="77777777" w:rsidR="0031675F" w:rsidRPr="0031675F" w:rsidRDefault="0031675F" w:rsidP="0031675F">
      <w:pPr>
        <w:ind w:left="540" w:hanging="540"/>
      </w:pPr>
    </w:p>
    <w:p w14:paraId="6AA29450" w14:textId="77777777" w:rsidR="0031675F" w:rsidRPr="0031675F" w:rsidRDefault="0031675F" w:rsidP="0031675F">
      <w:pPr>
        <w:ind w:left="540" w:hanging="540"/>
      </w:pPr>
      <w:r w:rsidRPr="0031675F">
        <w:rPr>
          <w:b/>
        </w:rPr>
        <w:t>3.2</w:t>
      </w:r>
      <w:r w:rsidRPr="0031675F">
        <w:t xml:space="preserve"> </w:t>
      </w:r>
      <w:r w:rsidRPr="0031675F">
        <w:tab/>
        <w:t>High standards of laboratory technique should be used when preparing reagents. Laboratory personnel should obtain material safety data sheets (MSDS) for all chemicals used in this method, and read and sign acknowledgement over the handling of these chemicals. A lab coat, safety glasses and gloves should be used when handling concentrated acid.</w:t>
      </w:r>
    </w:p>
    <w:p w14:paraId="7A20A41D" w14:textId="77777777" w:rsidR="0031675F" w:rsidRPr="0031675F" w:rsidRDefault="0031675F" w:rsidP="0031675F"/>
    <w:p w14:paraId="5144F1AF" w14:textId="77777777" w:rsidR="0031675F" w:rsidRPr="0031675F" w:rsidRDefault="0031675F" w:rsidP="0031675F">
      <w:pPr>
        <w:shd w:val="clear" w:color="auto" w:fill="D9D9D9"/>
        <w:ind w:left="540" w:hanging="540"/>
        <w:rPr>
          <w:b/>
        </w:rPr>
      </w:pPr>
      <w:r w:rsidRPr="0031675F">
        <w:rPr>
          <w:b/>
        </w:rPr>
        <w:t xml:space="preserve">4.0 </w:t>
      </w:r>
      <w:r w:rsidRPr="0031675F">
        <w:rPr>
          <w:b/>
        </w:rPr>
        <w:tab/>
        <w:t>EQUIPMENT AND SUPPLIES</w:t>
      </w:r>
    </w:p>
    <w:p w14:paraId="5CF897DF" w14:textId="77777777" w:rsidR="0031675F" w:rsidRPr="0031675F" w:rsidRDefault="0031675F" w:rsidP="0031675F">
      <w:pPr>
        <w:ind w:left="540" w:hanging="540"/>
        <w:rPr>
          <w:b/>
        </w:rPr>
      </w:pPr>
      <w:r w:rsidRPr="0031675F">
        <w:rPr>
          <w:b/>
        </w:rPr>
        <w:tab/>
      </w:r>
    </w:p>
    <w:p w14:paraId="47E722EC" w14:textId="77777777" w:rsidR="0031675F" w:rsidRPr="0031675F" w:rsidRDefault="0031675F" w:rsidP="0031675F">
      <w:pPr>
        <w:ind w:left="540" w:hanging="540"/>
      </w:pPr>
      <w:r w:rsidRPr="0031675F">
        <w:rPr>
          <w:b/>
        </w:rPr>
        <w:t xml:space="preserve">4.1 </w:t>
      </w:r>
      <w:r w:rsidRPr="0031675F">
        <w:rPr>
          <w:b/>
        </w:rPr>
        <w:tab/>
        <w:t>Gas Segmented Continuous Flow Autoanalyser</w:t>
      </w:r>
      <w:r w:rsidRPr="0031675F">
        <w:t xml:space="preserve"> consisting of:</w:t>
      </w:r>
    </w:p>
    <w:p w14:paraId="09339A92" w14:textId="77777777" w:rsidR="0031675F" w:rsidRPr="0031675F" w:rsidRDefault="0031675F" w:rsidP="0031675F">
      <w:pPr>
        <w:ind w:left="540" w:hanging="540"/>
      </w:pPr>
    </w:p>
    <w:p w14:paraId="1BBD768F" w14:textId="77777777" w:rsidR="0031675F" w:rsidRPr="0031675F" w:rsidRDefault="0031675F" w:rsidP="0031675F">
      <w:pPr>
        <w:ind w:left="1134" w:hanging="567"/>
      </w:pPr>
      <w:r w:rsidRPr="0031675F">
        <w:rPr>
          <w:b/>
        </w:rPr>
        <w:t xml:space="preserve">4.1.1 </w:t>
      </w:r>
      <w:r w:rsidRPr="0031675F">
        <w:rPr>
          <w:b/>
        </w:rPr>
        <w:tab/>
      </w:r>
      <w:r w:rsidRPr="0031675F">
        <w:t xml:space="preserve">Autosampler. </w:t>
      </w:r>
    </w:p>
    <w:p w14:paraId="4E7A032C" w14:textId="77777777" w:rsidR="0031675F" w:rsidRPr="0031675F" w:rsidRDefault="0031675F" w:rsidP="0031675F">
      <w:pPr>
        <w:ind w:left="1080" w:hanging="540"/>
      </w:pPr>
    </w:p>
    <w:p w14:paraId="39D883CE" w14:textId="77777777" w:rsidR="0031675F" w:rsidRPr="0031675F" w:rsidRDefault="0031675F" w:rsidP="0031675F">
      <w:pPr>
        <w:ind w:left="1134" w:hanging="567"/>
      </w:pPr>
      <w:r w:rsidRPr="0031675F">
        <w:rPr>
          <w:b/>
        </w:rPr>
        <w:t xml:space="preserve">4.1.2 </w:t>
      </w:r>
      <w:r w:rsidRPr="0031675F">
        <w:rPr>
          <w:b/>
        </w:rPr>
        <w:tab/>
      </w:r>
      <w:r w:rsidRPr="0031675F">
        <w:t>Analytical manifold with membrane module for ammonia analyses.</w:t>
      </w:r>
    </w:p>
    <w:p w14:paraId="424540FD" w14:textId="77777777" w:rsidR="0031675F" w:rsidRPr="0031675F" w:rsidRDefault="0031675F" w:rsidP="0031675F">
      <w:pPr>
        <w:tabs>
          <w:tab w:val="left" w:pos="1064"/>
        </w:tabs>
      </w:pPr>
    </w:p>
    <w:p w14:paraId="75DB0ADD" w14:textId="77777777" w:rsidR="0031675F" w:rsidRPr="0031675F" w:rsidRDefault="0031675F" w:rsidP="0031675F">
      <w:pPr>
        <w:ind w:left="1134" w:hanging="567"/>
      </w:pPr>
      <w:r w:rsidRPr="0031675F">
        <w:rPr>
          <w:b/>
        </w:rPr>
        <w:t xml:space="preserve">4.1.3 </w:t>
      </w:r>
      <w:r w:rsidRPr="0031675F">
        <w:rPr>
          <w:b/>
        </w:rPr>
        <w:tab/>
      </w:r>
      <w:r w:rsidRPr="0031675F">
        <w:t>Peristaltic Pump and appropriate tubing.</w:t>
      </w:r>
    </w:p>
    <w:p w14:paraId="6F3CC222" w14:textId="77777777" w:rsidR="0031675F" w:rsidRPr="0031675F" w:rsidRDefault="0031675F" w:rsidP="0031675F">
      <w:pPr>
        <w:ind w:left="1134" w:hanging="567"/>
      </w:pPr>
    </w:p>
    <w:p w14:paraId="08F08A51" w14:textId="77777777" w:rsidR="0031675F" w:rsidRPr="0031675F" w:rsidRDefault="0031675F" w:rsidP="0031675F">
      <w:pPr>
        <w:ind w:left="1134" w:hanging="567"/>
      </w:pPr>
      <w:r w:rsidRPr="0031675F">
        <w:rPr>
          <w:b/>
        </w:rPr>
        <w:t xml:space="preserve">4.1.4 </w:t>
      </w:r>
      <w:r w:rsidRPr="0031675F">
        <w:rPr>
          <w:b/>
        </w:rPr>
        <w:tab/>
      </w:r>
      <w:r w:rsidRPr="0031675F">
        <w:t>Spectrophotometer equipped with a tungsten lamp (380-800 nm) or photometer with a 630 nm interference filter (2 nm bandwidth).</w:t>
      </w:r>
    </w:p>
    <w:p w14:paraId="0EF6F190" w14:textId="77777777" w:rsidR="0031675F" w:rsidRPr="0031675F" w:rsidRDefault="0031675F" w:rsidP="0031675F">
      <w:pPr>
        <w:ind w:left="1134" w:hanging="567"/>
      </w:pPr>
    </w:p>
    <w:p w14:paraId="329DD444" w14:textId="77777777" w:rsidR="0031675F" w:rsidRPr="0031675F" w:rsidRDefault="0031675F" w:rsidP="0031675F">
      <w:pPr>
        <w:ind w:left="1134" w:hanging="567"/>
      </w:pPr>
      <w:r w:rsidRPr="0031675F">
        <w:rPr>
          <w:b/>
        </w:rPr>
        <w:t>4.1.5</w:t>
      </w:r>
      <w:r w:rsidRPr="0031675F">
        <w:rPr>
          <w:b/>
        </w:rPr>
        <w:tab/>
      </w:r>
      <w:r w:rsidRPr="0031675F">
        <w:t>Computer based data acquisition system.</w:t>
      </w:r>
    </w:p>
    <w:p w14:paraId="6BE4FBF5" w14:textId="77777777" w:rsidR="0031675F" w:rsidRPr="0031675F" w:rsidRDefault="0031675F" w:rsidP="0031675F">
      <w:pPr>
        <w:ind w:left="1134" w:hanging="567"/>
      </w:pPr>
    </w:p>
    <w:p w14:paraId="4AA2DC3E" w14:textId="77777777" w:rsidR="0031675F" w:rsidRPr="0031675F" w:rsidRDefault="0031675F" w:rsidP="0031675F">
      <w:pPr>
        <w:ind w:left="540" w:hanging="540"/>
      </w:pPr>
      <w:r w:rsidRPr="0031675F">
        <w:rPr>
          <w:b/>
        </w:rPr>
        <w:t xml:space="preserve">4.2 </w:t>
      </w:r>
      <w:r w:rsidRPr="0031675F">
        <w:rPr>
          <w:b/>
        </w:rPr>
        <w:tab/>
        <w:t>Glassware and Supplies</w:t>
      </w:r>
    </w:p>
    <w:p w14:paraId="64E80246" w14:textId="77777777" w:rsidR="0031675F" w:rsidRPr="0031675F" w:rsidRDefault="0031675F" w:rsidP="0031675F">
      <w:pPr>
        <w:ind w:left="540" w:hanging="540"/>
      </w:pPr>
    </w:p>
    <w:p w14:paraId="33AC29C5" w14:textId="77777777" w:rsidR="0031675F" w:rsidRPr="0031675F" w:rsidRDefault="0031675F" w:rsidP="0031675F">
      <w:pPr>
        <w:ind w:left="1134" w:hanging="567"/>
      </w:pPr>
      <w:r w:rsidRPr="0031675F">
        <w:rPr>
          <w:b/>
        </w:rPr>
        <w:t xml:space="preserve">4.2.1 </w:t>
      </w:r>
      <w:r w:rsidRPr="0031675F">
        <w:rPr>
          <w:b/>
        </w:rPr>
        <w:tab/>
      </w:r>
      <w:r w:rsidRPr="0031675F">
        <w:t>All labware used in the analysis must be low in residual ammonia to avoid sample or reagent contamination. Soaking with lab grade detergent, rinsing with reverse osmosis water, followed by rinsing with 10% HCl and thoroughly rinsing with reagent water is sufficient.</w:t>
      </w:r>
    </w:p>
    <w:p w14:paraId="6ECB4B72" w14:textId="77777777" w:rsidR="0031675F" w:rsidRPr="0031675F" w:rsidRDefault="0031675F" w:rsidP="0031675F">
      <w:pPr>
        <w:ind w:left="1134" w:hanging="567"/>
      </w:pPr>
    </w:p>
    <w:p w14:paraId="081A4F4D" w14:textId="77777777" w:rsidR="0031675F" w:rsidRPr="0031675F" w:rsidRDefault="0031675F" w:rsidP="0031675F">
      <w:pPr>
        <w:ind w:left="1134" w:hanging="567"/>
      </w:pPr>
      <w:r w:rsidRPr="0031675F">
        <w:rPr>
          <w:b/>
        </w:rPr>
        <w:t xml:space="preserve">4.2.2 </w:t>
      </w:r>
      <w:r w:rsidRPr="0031675F">
        <w:rPr>
          <w:b/>
        </w:rPr>
        <w:tab/>
      </w:r>
      <w:r w:rsidRPr="0031675F">
        <w:t>Automatic pipetters capable of delivering volumes ranging from 10 – 100 μL and 100 – 1000 μL with an assortment of high quality disposable pipette tips. It is standard protocol to check the accuracy of the pipetters at least once per week using a four decimal place analytical balance.</w:t>
      </w:r>
    </w:p>
    <w:p w14:paraId="7460EC40" w14:textId="77777777" w:rsidR="0031675F" w:rsidRPr="0031675F" w:rsidRDefault="0031675F" w:rsidP="0031675F">
      <w:pPr>
        <w:tabs>
          <w:tab w:val="left" w:pos="1482"/>
        </w:tabs>
        <w:ind w:left="1134" w:hanging="567"/>
      </w:pPr>
      <w:r w:rsidRPr="0031675F">
        <w:tab/>
      </w:r>
      <w:r w:rsidRPr="0031675F">
        <w:tab/>
      </w:r>
    </w:p>
    <w:p w14:paraId="455444B1" w14:textId="77777777" w:rsidR="0031675F" w:rsidRPr="0031675F" w:rsidRDefault="0031675F" w:rsidP="0031675F">
      <w:pPr>
        <w:ind w:left="1134" w:hanging="567"/>
      </w:pPr>
      <w:r w:rsidRPr="0031675F">
        <w:rPr>
          <w:b/>
        </w:rPr>
        <w:t>4.2.3</w:t>
      </w:r>
      <w:r w:rsidRPr="0031675F">
        <w:rPr>
          <w:b/>
        </w:rPr>
        <w:tab/>
      </w:r>
      <w:r w:rsidRPr="0031675F">
        <w:t>Analytical balance, with capability to measure 4 decimal places for preparing SSS. It is standard protocol to have this balanced serviced and calibrated once per year, then checked weekly with certified weights.</w:t>
      </w:r>
    </w:p>
    <w:p w14:paraId="4CDC1470" w14:textId="77777777" w:rsidR="0031675F" w:rsidRPr="0031675F" w:rsidRDefault="0031675F" w:rsidP="0031675F">
      <w:pPr>
        <w:ind w:left="1134" w:hanging="567"/>
      </w:pPr>
    </w:p>
    <w:p w14:paraId="3208FA3C" w14:textId="3073B98F" w:rsidR="0031675F" w:rsidRPr="0031675F" w:rsidRDefault="0031675F" w:rsidP="0031675F">
      <w:pPr>
        <w:ind w:left="1134" w:hanging="567"/>
      </w:pPr>
      <w:r w:rsidRPr="0031675F">
        <w:rPr>
          <w:b/>
        </w:rPr>
        <w:t>4.2.4</w:t>
      </w:r>
      <w:r w:rsidRPr="0031675F">
        <w:tab/>
        <w:t>10</w:t>
      </w:r>
      <w:r w:rsidR="00BB13FD">
        <w:t xml:space="preserve"> </w:t>
      </w:r>
      <w:r w:rsidRPr="0031675F">
        <w:t>mL sterile high density polypropylene, glass volumetric flasks, and glass pipettes.</w:t>
      </w:r>
    </w:p>
    <w:p w14:paraId="1D7498B4" w14:textId="77777777" w:rsidR="0031675F" w:rsidRPr="0031675F" w:rsidRDefault="0031675F" w:rsidP="0031675F">
      <w:pPr>
        <w:ind w:left="1080" w:hanging="540"/>
      </w:pPr>
    </w:p>
    <w:p w14:paraId="1D13011E" w14:textId="77777777" w:rsidR="0031675F" w:rsidRPr="0031675F" w:rsidRDefault="0031675F" w:rsidP="0031675F">
      <w:pPr>
        <w:ind w:left="1134" w:hanging="567"/>
      </w:pPr>
      <w:r w:rsidRPr="0031675F">
        <w:rPr>
          <w:b/>
        </w:rPr>
        <w:t>4.2.5</w:t>
      </w:r>
      <w:r w:rsidRPr="0031675F">
        <w:rPr>
          <w:b/>
        </w:rPr>
        <w:tab/>
      </w:r>
      <w:r w:rsidRPr="0031675F">
        <w:t>105° C drying oven.</w:t>
      </w:r>
    </w:p>
    <w:p w14:paraId="7D1E9990" w14:textId="77777777" w:rsidR="0031675F" w:rsidRPr="0031675F" w:rsidRDefault="0031675F" w:rsidP="0031675F">
      <w:pPr>
        <w:ind w:left="1134" w:hanging="567"/>
      </w:pPr>
    </w:p>
    <w:p w14:paraId="19F615F6" w14:textId="77777777" w:rsidR="0031675F" w:rsidRPr="0031675F" w:rsidRDefault="0031675F" w:rsidP="0031675F">
      <w:pPr>
        <w:ind w:left="1134" w:hanging="567"/>
      </w:pPr>
      <w:r w:rsidRPr="0031675F">
        <w:rPr>
          <w:b/>
        </w:rPr>
        <w:t>4.2.6</w:t>
      </w:r>
      <w:r w:rsidRPr="0031675F">
        <w:tab/>
        <w:t>Desiccator.</w:t>
      </w:r>
    </w:p>
    <w:p w14:paraId="10B54088" w14:textId="77777777" w:rsidR="0031675F" w:rsidRPr="0031675F" w:rsidRDefault="0031675F" w:rsidP="0031675F">
      <w:pPr>
        <w:ind w:left="1134" w:hanging="567"/>
      </w:pPr>
    </w:p>
    <w:p w14:paraId="147963CC" w14:textId="77777777" w:rsidR="0031675F" w:rsidRPr="0031675F" w:rsidRDefault="0031675F" w:rsidP="0031675F">
      <w:pPr>
        <w:ind w:left="1134" w:hanging="567"/>
      </w:pPr>
      <w:r w:rsidRPr="0031675F">
        <w:rPr>
          <w:b/>
        </w:rPr>
        <w:t>4.2.7</w:t>
      </w:r>
      <w:r w:rsidRPr="0031675F">
        <w:tab/>
        <w:t>Polysulphone sterile membrane filters with 0.45 μm nominal pore size. Plastic sterile terumo syringe.</w:t>
      </w:r>
    </w:p>
    <w:p w14:paraId="0FF63A0A" w14:textId="77777777" w:rsidR="0031675F" w:rsidRPr="0031675F" w:rsidRDefault="0031675F" w:rsidP="0031675F">
      <w:pPr>
        <w:ind w:left="1080" w:hanging="540"/>
      </w:pPr>
    </w:p>
    <w:p w14:paraId="741D5C8F" w14:textId="77777777" w:rsidR="0031675F" w:rsidRPr="0031675F" w:rsidRDefault="0031675F" w:rsidP="0031675F">
      <w:pPr>
        <w:shd w:val="clear" w:color="auto" w:fill="D9D9D9"/>
        <w:ind w:left="540" w:hanging="540"/>
        <w:rPr>
          <w:b/>
        </w:rPr>
      </w:pPr>
      <w:r w:rsidRPr="0031675F">
        <w:rPr>
          <w:b/>
        </w:rPr>
        <w:t xml:space="preserve">5.0 </w:t>
      </w:r>
      <w:r w:rsidRPr="0031675F">
        <w:rPr>
          <w:b/>
        </w:rPr>
        <w:tab/>
        <w:t>REAGENTS AND STANDARDS</w:t>
      </w:r>
    </w:p>
    <w:p w14:paraId="2574CC5E" w14:textId="77777777" w:rsidR="0031675F" w:rsidRPr="0031675F" w:rsidRDefault="0031675F" w:rsidP="0031675F">
      <w:pPr>
        <w:ind w:left="709" w:hanging="1440"/>
        <w:rPr>
          <w:b/>
        </w:rPr>
      </w:pPr>
      <w:r w:rsidRPr="0031675F">
        <w:rPr>
          <w:b/>
        </w:rPr>
        <w:tab/>
      </w:r>
    </w:p>
    <w:p w14:paraId="0CD0F3B7" w14:textId="77777777" w:rsidR="0031675F" w:rsidRPr="0031675F" w:rsidRDefault="0031675F" w:rsidP="0031675F">
      <w:pPr>
        <w:ind w:left="540" w:hanging="540"/>
      </w:pPr>
      <w:r w:rsidRPr="0031675F">
        <w:rPr>
          <w:b/>
        </w:rPr>
        <w:t xml:space="preserve">5.1 </w:t>
      </w:r>
      <w:r w:rsidRPr="0031675F">
        <w:rPr>
          <w:b/>
        </w:rPr>
        <w:tab/>
        <w:t>Stock Reagent Solutions</w:t>
      </w:r>
      <w:r w:rsidRPr="0031675F">
        <w:t xml:space="preserve"> – all chemicals are analytical grade quality.</w:t>
      </w:r>
    </w:p>
    <w:p w14:paraId="4722647C" w14:textId="77777777" w:rsidR="0031675F" w:rsidRPr="0031675F" w:rsidRDefault="0031675F" w:rsidP="0031675F">
      <w:pPr>
        <w:ind w:left="540" w:hanging="540"/>
      </w:pPr>
    </w:p>
    <w:p w14:paraId="0D75BAF2" w14:textId="18D15FC2" w:rsidR="0031675F" w:rsidRPr="0031675F" w:rsidRDefault="0031675F" w:rsidP="0031675F">
      <w:pPr>
        <w:ind w:left="1134" w:hanging="567"/>
      </w:pPr>
      <w:r w:rsidRPr="0031675F">
        <w:rPr>
          <w:b/>
        </w:rPr>
        <w:t>5.1.1</w:t>
      </w:r>
      <w:r w:rsidRPr="0031675F">
        <w:rPr>
          <w:b/>
        </w:rPr>
        <w:tab/>
      </w:r>
      <w:r w:rsidRPr="0031675F">
        <w:t>Stock Ammonia Solution (1000 mg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 Quantitatively transfer 3.819 g of pre-dried (105°C for 1 hour minimum) ammonium chloride (NH</w:t>
      </w:r>
      <w:r w:rsidRPr="0031675F">
        <w:rPr>
          <w:vertAlign w:val="subscript"/>
        </w:rPr>
        <w:t>4</w:t>
      </w:r>
      <w:r w:rsidRPr="0031675F">
        <w:t>CL FW 53.49) to a 1000</w:t>
      </w:r>
      <w:r w:rsidR="00BB13FD">
        <w:t xml:space="preserve"> </w:t>
      </w:r>
      <w:r w:rsidRPr="0031675F">
        <w:t>mL glass volumetric flask containing approximately 800 mL of reagent water and dissolve. Fill to the mark with Reagent water and refrigerate. This solution is to be made daily.</w:t>
      </w:r>
    </w:p>
    <w:p w14:paraId="78919DD8" w14:textId="77777777" w:rsidR="0031675F" w:rsidRPr="0031675F" w:rsidRDefault="0031675F" w:rsidP="0031675F">
      <w:pPr>
        <w:ind w:left="1134" w:hanging="567"/>
      </w:pPr>
    </w:p>
    <w:p w14:paraId="05614FB3" w14:textId="3002F294" w:rsidR="0031675F" w:rsidRPr="0031675F" w:rsidRDefault="0031675F" w:rsidP="0031675F">
      <w:pPr>
        <w:ind w:left="1134" w:hanging="567"/>
        <w:rPr>
          <w:bCs/>
        </w:rPr>
      </w:pPr>
      <w:r w:rsidRPr="0031675F">
        <w:rPr>
          <w:b/>
        </w:rPr>
        <w:t xml:space="preserve">5.1.2 </w:t>
      </w:r>
      <w:r w:rsidRPr="0031675F">
        <w:rPr>
          <w:b/>
        </w:rPr>
        <w:tab/>
      </w:r>
      <w:r w:rsidRPr="0031675F">
        <w:rPr>
          <w:bCs/>
        </w:rPr>
        <w:t>Stock Ammonia Check Solution (100 mg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rPr>
          <w:bCs/>
        </w:rPr>
        <w:t xml:space="preserve">) - </w:t>
      </w:r>
      <w:r w:rsidRPr="0031675F">
        <w:t>Quantitatively transfer 0.4721 g of pre-dried (105°C for 1 hour minimum) ammonium sulfate ((NH</w:t>
      </w:r>
      <w:r w:rsidRPr="0031675F">
        <w:rPr>
          <w:vertAlign w:val="subscript"/>
        </w:rPr>
        <w:t>4</w:t>
      </w:r>
      <w:r w:rsidRPr="0031675F">
        <w:t>)</w:t>
      </w:r>
      <w:r w:rsidRPr="0031675F">
        <w:rPr>
          <w:vertAlign w:val="subscript"/>
        </w:rPr>
        <w:t>2</w:t>
      </w:r>
      <w:r w:rsidRPr="0031675F">
        <w:t>SO</w:t>
      </w:r>
      <w:r w:rsidRPr="0031675F">
        <w:rPr>
          <w:vertAlign w:val="subscript"/>
        </w:rPr>
        <w:t>4</w:t>
      </w:r>
      <w:r w:rsidRPr="0031675F">
        <w:t xml:space="preserve"> FW 132.14) to a 1000</w:t>
      </w:r>
      <w:r w:rsidR="00BB13FD">
        <w:t xml:space="preserve"> </w:t>
      </w:r>
      <w:r w:rsidRPr="0031675F">
        <w:t>mL glass volumetric flask containing approximately 800 mL of reagent water and dissolve. Fill to the mark with Reagent water and refrigerate. This solution is to be made daily.</w:t>
      </w:r>
    </w:p>
    <w:p w14:paraId="013B2C9F" w14:textId="77777777" w:rsidR="0031675F" w:rsidRPr="0031675F" w:rsidRDefault="0031675F" w:rsidP="0031675F">
      <w:pPr>
        <w:ind w:left="1134" w:hanging="567"/>
      </w:pPr>
    </w:p>
    <w:p w14:paraId="562B71C7" w14:textId="170675F0" w:rsidR="0031675F" w:rsidRPr="0031675F" w:rsidRDefault="0031675F" w:rsidP="0031675F">
      <w:pPr>
        <w:ind w:left="1134" w:hanging="567"/>
        <w:rPr>
          <w:b/>
        </w:rPr>
      </w:pPr>
      <w:r w:rsidRPr="0031675F">
        <w:rPr>
          <w:b/>
        </w:rPr>
        <w:t>5.1.3</w:t>
      </w:r>
      <w:r w:rsidRPr="0031675F">
        <w:rPr>
          <w:b/>
        </w:rPr>
        <w:tab/>
      </w:r>
      <w:r w:rsidRPr="0031675F">
        <w:t>Spiking Stock Solution (10 mg N</w:t>
      </w:r>
      <w:r w:rsidR="00BB13FD">
        <w:t xml:space="preserve"> </w:t>
      </w:r>
      <w:r w:rsidRPr="0031675F">
        <w:t>L</w:t>
      </w:r>
      <w:r w:rsidR="00BB13FD" w:rsidRPr="00BB13FD">
        <w:rPr>
          <w:vertAlign w:val="superscript"/>
        </w:rPr>
        <w:t>-1</w:t>
      </w:r>
      <w:r w:rsidRPr="0031675F">
        <w:t>) - Pipette 1 mL of the stock ammonia solution into a 10 mL Sarstedt tube and fill to the marked line with reagent water. Mix well. This solution should be made daily.</w:t>
      </w:r>
      <w:r w:rsidRPr="0031675F">
        <w:rPr>
          <w:b/>
        </w:rPr>
        <w:tab/>
      </w:r>
    </w:p>
    <w:p w14:paraId="5BB8CAF7" w14:textId="77777777" w:rsidR="0031675F" w:rsidRPr="0031675F" w:rsidRDefault="0031675F" w:rsidP="0031675F">
      <w:pPr>
        <w:ind w:left="1134" w:hanging="567"/>
      </w:pPr>
    </w:p>
    <w:p w14:paraId="5B4F4BB5" w14:textId="78109C9E" w:rsidR="0031675F" w:rsidRPr="0031675F" w:rsidRDefault="0031675F" w:rsidP="0031675F">
      <w:pPr>
        <w:numPr>
          <w:ilvl w:val="2"/>
          <w:numId w:val="177"/>
        </w:numPr>
        <w:tabs>
          <w:tab w:val="clear" w:pos="1286"/>
          <w:tab w:val="num" w:pos="1134"/>
        </w:tabs>
        <w:spacing w:before="0" w:after="0" w:line="240" w:lineRule="auto"/>
        <w:ind w:left="1134" w:hanging="568"/>
        <w:jc w:val="both"/>
      </w:pPr>
      <w:r w:rsidRPr="0031675F">
        <w:t>Stock Phenol Colour Reagent– Quantitatively transfer 0.05</w:t>
      </w:r>
      <w:r w:rsidR="00660229">
        <w:t xml:space="preserve"> </w:t>
      </w:r>
      <w:r w:rsidRPr="0031675F">
        <w:t>g sodium nitroprusside (Sodium nitrosopentacyanoferrate III N</w:t>
      </w:r>
      <w:r w:rsidR="00E62A46">
        <w:t>a</w:t>
      </w:r>
      <w:r w:rsidR="00E62A46" w:rsidRPr="00E62A46">
        <w:rPr>
          <w:vertAlign w:val="subscript"/>
        </w:rPr>
        <w:t>2</w:t>
      </w:r>
      <w:r w:rsidR="00E62A46">
        <w:t>[</w:t>
      </w:r>
      <w:r w:rsidRPr="0031675F">
        <w:t>Fe(CN)</w:t>
      </w:r>
      <w:r w:rsidRPr="0031675F">
        <w:rPr>
          <w:vertAlign w:val="subscript"/>
        </w:rPr>
        <w:t>5</w:t>
      </w:r>
      <w:r w:rsidRPr="0031675F">
        <w:t>NO</w:t>
      </w:r>
      <w:r w:rsidR="00E62A46">
        <w:t>]</w:t>
      </w:r>
      <w:r w:rsidRPr="0031675F">
        <w:t>*2H</w:t>
      </w:r>
      <w:r w:rsidRPr="0031675F">
        <w:rPr>
          <w:vertAlign w:val="subscript"/>
        </w:rPr>
        <w:t>2</w:t>
      </w:r>
      <w:r w:rsidRPr="0031675F">
        <w:t>0 FW 297.95) to an 80</w:t>
      </w:r>
      <w:r w:rsidR="00BB13FD">
        <w:t xml:space="preserve"> </w:t>
      </w:r>
      <w:r w:rsidRPr="0031675F">
        <w:t>mL glass volumetric containing approximately 80</w:t>
      </w:r>
      <w:r w:rsidR="00BB13FD">
        <w:t xml:space="preserve"> </w:t>
      </w:r>
      <w:r w:rsidRPr="0031675F">
        <w:t>mL of reagent water and dissolve. Fill to the mark with reagent water and then add 2 mL of phenol solution (phenol liquefied 80% ww/in water). Invert until phenol becomes well mixed. Transfer to the working phenol reagent glass amber bottle. This solution should be made daily.</w:t>
      </w:r>
    </w:p>
    <w:p w14:paraId="0C1840C3" w14:textId="77777777" w:rsidR="0031675F" w:rsidRPr="0031675F" w:rsidRDefault="0031675F" w:rsidP="0031675F">
      <w:pPr>
        <w:ind w:left="566"/>
      </w:pPr>
    </w:p>
    <w:p w14:paraId="197942CC" w14:textId="497F320E" w:rsidR="0031675F" w:rsidRPr="0031675F" w:rsidRDefault="0031675F" w:rsidP="0031675F">
      <w:pPr>
        <w:numPr>
          <w:ilvl w:val="2"/>
          <w:numId w:val="177"/>
        </w:numPr>
        <w:tabs>
          <w:tab w:val="clear" w:pos="1286"/>
          <w:tab w:val="num" w:pos="1134"/>
        </w:tabs>
        <w:spacing w:before="0" w:after="0" w:line="240" w:lineRule="auto"/>
        <w:ind w:left="1134" w:hanging="568"/>
        <w:jc w:val="both"/>
      </w:pPr>
      <w:r w:rsidRPr="0031675F">
        <w:t>Stock Hypochlorite Colour Reagent – Quantitatively transfer 0.5</w:t>
      </w:r>
      <w:r w:rsidR="00BB13FD">
        <w:t xml:space="preserve"> </w:t>
      </w:r>
      <w:r w:rsidRPr="0031675F">
        <w:t>g sodium hydroxide (NaOH FW 40.00) to an 80</w:t>
      </w:r>
      <w:r w:rsidR="00BB13FD">
        <w:t xml:space="preserve"> </w:t>
      </w:r>
      <w:r w:rsidRPr="0031675F">
        <w:t>mL glass volumetric containing approximately 80</w:t>
      </w:r>
      <w:r w:rsidR="00BB13FD">
        <w:t xml:space="preserve"> </w:t>
      </w:r>
      <w:r w:rsidRPr="0031675F">
        <w:t>mL of reagent water and dissolve. Fill to the mark with reagent water and then add 1 mL of 12% sodium hypochlorite solution (12% liquid chlorine). Invert until well mixed. Transfer to the working phenol reagent glass amber bottle. This solution should be made daily.</w:t>
      </w:r>
    </w:p>
    <w:p w14:paraId="5C044A4C" w14:textId="77777777" w:rsidR="0031675F" w:rsidRPr="0031675F" w:rsidRDefault="0031675F" w:rsidP="0031675F"/>
    <w:p w14:paraId="2BA33CAC" w14:textId="77777777" w:rsidR="0031675F" w:rsidRPr="0031675F" w:rsidRDefault="0031675F" w:rsidP="0031675F">
      <w:pPr>
        <w:ind w:left="566"/>
      </w:pPr>
    </w:p>
    <w:p w14:paraId="305B5E03" w14:textId="567FD0D7" w:rsidR="0031675F" w:rsidRPr="0031675F" w:rsidRDefault="0031675F" w:rsidP="0031675F">
      <w:pPr>
        <w:numPr>
          <w:ilvl w:val="2"/>
          <w:numId w:val="177"/>
        </w:numPr>
        <w:tabs>
          <w:tab w:val="clear" w:pos="1286"/>
          <w:tab w:val="num" w:pos="1134"/>
        </w:tabs>
        <w:spacing w:before="0" w:after="0" w:line="240" w:lineRule="auto"/>
        <w:ind w:left="1134" w:hanging="568"/>
        <w:jc w:val="both"/>
      </w:pPr>
      <w:r w:rsidRPr="0031675F">
        <w:t>Stock Tri Sodium Citrate Colour Reagent – Quantitatively transfer 1.0g sodium hydroxide (NaOH FW 40.00) to a 250</w:t>
      </w:r>
      <w:r w:rsidR="00BB13FD">
        <w:t xml:space="preserve"> </w:t>
      </w:r>
      <w:r w:rsidRPr="0031675F">
        <w:t>mL glass volumetric containing approximately 180</w:t>
      </w:r>
      <w:r w:rsidR="00BB13FD">
        <w:t xml:space="preserve"> </w:t>
      </w:r>
      <w:r w:rsidRPr="0031675F">
        <w:t>mL of reagent water and dissolve. Then quantitatively transfer 28.0</w:t>
      </w:r>
      <w:r w:rsidR="00BB13FD">
        <w:t xml:space="preserve"> </w:t>
      </w:r>
      <w:r w:rsidRPr="0031675F">
        <w:t>g tri sodium citrate (Na</w:t>
      </w:r>
      <w:r w:rsidRPr="0031675F">
        <w:rPr>
          <w:vertAlign w:val="subscript"/>
        </w:rPr>
        <w:t>3</w:t>
      </w:r>
      <w:r w:rsidRPr="0031675F">
        <w:t>C</w:t>
      </w:r>
      <w:r w:rsidRPr="0031675F">
        <w:rPr>
          <w:vertAlign w:val="subscript"/>
        </w:rPr>
        <w:t>6</w:t>
      </w:r>
      <w:r w:rsidRPr="0031675F">
        <w:t>H</w:t>
      </w:r>
      <w:r w:rsidRPr="0031675F">
        <w:rPr>
          <w:vertAlign w:val="subscript"/>
        </w:rPr>
        <w:t>5</w:t>
      </w:r>
      <w:r w:rsidRPr="0031675F">
        <w:t>O</w:t>
      </w:r>
      <w:r w:rsidRPr="0031675F">
        <w:rPr>
          <w:vertAlign w:val="subscript"/>
        </w:rPr>
        <w:t>7</w:t>
      </w:r>
      <w:r w:rsidRPr="0031675F">
        <w:t>.2H</w:t>
      </w:r>
      <w:r w:rsidRPr="0031675F">
        <w:rPr>
          <w:vertAlign w:val="subscript"/>
        </w:rPr>
        <w:t>2</w:t>
      </w:r>
      <w:r w:rsidRPr="0031675F">
        <w:t>0 FW 294.10) to the same 250 mL glass volumetric containing approximately 180 mL of reagent water and dissolve. Fill to the mark with reagent water and then add 1 mL of Brij - 35 solution (30% solution). Invert until well mixed. Transfer to the working tri sodium citrate reagent glass amber bottle. This solution should be made daily.</w:t>
      </w:r>
    </w:p>
    <w:p w14:paraId="3C327687" w14:textId="77777777" w:rsidR="0031675F" w:rsidRPr="0031675F" w:rsidRDefault="0031675F" w:rsidP="0031675F">
      <w:pPr>
        <w:ind w:left="566"/>
      </w:pPr>
    </w:p>
    <w:p w14:paraId="76F9DFEC" w14:textId="51CB9936" w:rsidR="0031675F" w:rsidRPr="0031675F" w:rsidRDefault="0031675F" w:rsidP="0031675F">
      <w:pPr>
        <w:numPr>
          <w:ilvl w:val="2"/>
          <w:numId w:val="177"/>
        </w:numPr>
        <w:tabs>
          <w:tab w:val="clear" w:pos="1286"/>
          <w:tab w:val="num" w:pos="1134"/>
        </w:tabs>
        <w:spacing w:before="0" w:after="0" w:line="240" w:lineRule="auto"/>
        <w:ind w:left="1134" w:hanging="568"/>
        <w:jc w:val="both"/>
      </w:pPr>
      <w:r w:rsidRPr="0031675F">
        <w:t>Stock 10% Hydrochloric acid solution  – Measure 25 mL of concentrated hydrochloric acid into a plastic 250</w:t>
      </w:r>
      <w:r w:rsidR="00BB13FD">
        <w:t xml:space="preserve"> </w:t>
      </w:r>
      <w:r w:rsidRPr="0031675F">
        <w:t>mL bottle containing 200</w:t>
      </w:r>
      <w:r w:rsidR="00BB13FD">
        <w:t xml:space="preserve"> </w:t>
      </w:r>
      <w:r w:rsidRPr="0031675F">
        <w:t>mLs of reagent water. Fill to the mark with reagent water and then add 1</w:t>
      </w:r>
      <w:r w:rsidR="00BB13FD">
        <w:t xml:space="preserve"> </w:t>
      </w:r>
      <w:r w:rsidRPr="0031675F">
        <w:t>mL of Brij - 35 solution (30% solution). Invert until will mixed. This solution should be made monthly.</w:t>
      </w:r>
    </w:p>
    <w:p w14:paraId="6B105A7E" w14:textId="77777777" w:rsidR="0031675F" w:rsidRPr="0031675F" w:rsidRDefault="0031675F" w:rsidP="0031675F">
      <w:pPr>
        <w:ind w:left="566"/>
      </w:pPr>
    </w:p>
    <w:p w14:paraId="6D6C740E" w14:textId="77777777" w:rsidR="0031675F" w:rsidRPr="0031675F" w:rsidRDefault="0031675F" w:rsidP="0031675F">
      <w:pPr>
        <w:ind w:left="540" w:hanging="540"/>
      </w:pPr>
      <w:r w:rsidRPr="0031675F">
        <w:rPr>
          <w:b/>
        </w:rPr>
        <w:t xml:space="preserve">5.2 </w:t>
      </w:r>
      <w:r w:rsidRPr="0031675F">
        <w:rPr>
          <w:b/>
        </w:rPr>
        <w:tab/>
        <w:t>Working Reagents</w:t>
      </w:r>
    </w:p>
    <w:p w14:paraId="74AD26A8" w14:textId="77777777" w:rsidR="0031675F" w:rsidRPr="0031675F" w:rsidRDefault="0031675F" w:rsidP="0031675F">
      <w:pPr>
        <w:ind w:left="540" w:hanging="540"/>
      </w:pPr>
    </w:p>
    <w:p w14:paraId="31B0F8B0" w14:textId="0AC19D33" w:rsidR="0031675F" w:rsidRPr="0031675F" w:rsidRDefault="0031675F" w:rsidP="0031675F">
      <w:pPr>
        <w:ind w:left="1134" w:hanging="567"/>
        <w:rPr>
          <w:bCs/>
        </w:rPr>
      </w:pPr>
      <w:r w:rsidRPr="0031675F">
        <w:rPr>
          <w:b/>
        </w:rPr>
        <w:t xml:space="preserve">5.2.1 </w:t>
      </w:r>
      <w:r w:rsidRPr="0031675F">
        <w:rPr>
          <w:b/>
        </w:rPr>
        <w:tab/>
      </w:r>
      <w:r w:rsidRPr="0031675F">
        <w:rPr>
          <w:bCs/>
        </w:rPr>
        <w:t>10% Hydrochloric Start up Solution – add 1 mL of Brij - 35 surfactant to 250</w:t>
      </w:r>
      <w:r w:rsidR="00BB13FD">
        <w:rPr>
          <w:bCs/>
        </w:rPr>
        <w:t xml:space="preserve"> </w:t>
      </w:r>
      <w:r w:rsidRPr="0031675F">
        <w:rPr>
          <w:bCs/>
        </w:rPr>
        <w:t xml:space="preserve">mL of a 10% hydrochloric solution. Shake gently. </w:t>
      </w:r>
    </w:p>
    <w:p w14:paraId="6D4142F0" w14:textId="77777777" w:rsidR="0031675F" w:rsidRPr="0031675F" w:rsidRDefault="0031675F" w:rsidP="0031675F">
      <w:pPr>
        <w:ind w:left="1134" w:hanging="567"/>
      </w:pPr>
    </w:p>
    <w:p w14:paraId="7BB1EA91" w14:textId="77777777" w:rsidR="0031675F" w:rsidRPr="0031675F" w:rsidRDefault="0031675F" w:rsidP="0031675F">
      <w:pPr>
        <w:ind w:left="1134" w:hanging="567"/>
      </w:pPr>
      <w:r w:rsidRPr="0031675F">
        <w:rPr>
          <w:b/>
        </w:rPr>
        <w:t xml:space="preserve">5.2.2 </w:t>
      </w:r>
      <w:r w:rsidRPr="0031675F">
        <w:rPr>
          <w:b/>
        </w:rPr>
        <w:tab/>
      </w:r>
      <w:r w:rsidRPr="0031675F">
        <w:t>Brij – 35</w:t>
      </w:r>
      <w:r w:rsidRPr="0031675F">
        <w:rPr>
          <w:color w:val="FF9900"/>
        </w:rPr>
        <w:t xml:space="preserve"> </w:t>
      </w:r>
      <w:r w:rsidRPr="0031675F">
        <w:t xml:space="preserve">Start up Solution – add 1 mL of Brij 28 surfactant to 500 mL of reagent water and mix gently. </w:t>
      </w:r>
    </w:p>
    <w:p w14:paraId="7380C6C4" w14:textId="77777777" w:rsidR="0031675F" w:rsidRPr="0031675F" w:rsidRDefault="0031675F" w:rsidP="0031675F">
      <w:pPr>
        <w:ind w:left="1134" w:hanging="567"/>
      </w:pPr>
    </w:p>
    <w:p w14:paraId="2E56446A" w14:textId="40B870F7" w:rsidR="0031675F" w:rsidRPr="0031675F" w:rsidRDefault="0031675F" w:rsidP="0031675F">
      <w:pPr>
        <w:ind w:left="1134" w:hanging="567"/>
      </w:pPr>
      <w:r w:rsidRPr="0031675F">
        <w:rPr>
          <w:b/>
        </w:rPr>
        <w:t xml:space="preserve">5.2.3 </w:t>
      </w:r>
      <w:r w:rsidRPr="0031675F">
        <w:rPr>
          <w:b/>
        </w:rPr>
        <w:tab/>
      </w:r>
      <w:r w:rsidRPr="0031675F">
        <w:t>Phenol Colour Reagent – Transfer reagent from volumetric flask to the 250</w:t>
      </w:r>
      <w:r w:rsidR="00BB13FD">
        <w:t xml:space="preserve"> </w:t>
      </w:r>
      <w:r w:rsidRPr="0031675F">
        <w:t>mL glass amber working reagent bottle.</w:t>
      </w:r>
    </w:p>
    <w:p w14:paraId="3E8B700C" w14:textId="77777777" w:rsidR="0031675F" w:rsidRPr="0031675F" w:rsidRDefault="0031675F" w:rsidP="0031675F">
      <w:pPr>
        <w:ind w:left="1134" w:hanging="567"/>
      </w:pPr>
    </w:p>
    <w:p w14:paraId="06565886" w14:textId="7ED2797C" w:rsidR="0031675F" w:rsidRPr="0031675F" w:rsidRDefault="0031675F" w:rsidP="0031675F">
      <w:pPr>
        <w:numPr>
          <w:ilvl w:val="2"/>
          <w:numId w:val="178"/>
        </w:numPr>
        <w:tabs>
          <w:tab w:val="clear" w:pos="1286"/>
          <w:tab w:val="num" w:pos="1134"/>
        </w:tabs>
        <w:spacing w:before="0" w:after="0" w:line="240" w:lineRule="auto"/>
        <w:ind w:left="1134" w:hanging="568"/>
        <w:jc w:val="both"/>
      </w:pPr>
      <w:r w:rsidRPr="0031675F">
        <w:t>Hypochlorite Colour Reagent – Transfer reagent from volumetric flask to the 250</w:t>
      </w:r>
      <w:r w:rsidR="00BB13FD">
        <w:t xml:space="preserve"> </w:t>
      </w:r>
      <w:r w:rsidRPr="0031675F">
        <w:t>mL glass amber working reagent bottle.</w:t>
      </w:r>
    </w:p>
    <w:p w14:paraId="398ED031" w14:textId="77777777" w:rsidR="0031675F" w:rsidRPr="0031675F" w:rsidRDefault="0031675F" w:rsidP="0031675F">
      <w:pPr>
        <w:ind w:left="566"/>
      </w:pPr>
    </w:p>
    <w:p w14:paraId="36D5B487" w14:textId="6B8B8E5E" w:rsidR="0031675F" w:rsidRPr="0031675F" w:rsidRDefault="0031675F" w:rsidP="0031675F">
      <w:pPr>
        <w:numPr>
          <w:ilvl w:val="2"/>
          <w:numId w:val="178"/>
        </w:numPr>
        <w:tabs>
          <w:tab w:val="clear" w:pos="1286"/>
          <w:tab w:val="num" w:pos="1134"/>
        </w:tabs>
        <w:spacing w:before="0" w:after="0" w:line="240" w:lineRule="auto"/>
        <w:ind w:left="1134" w:hanging="568"/>
        <w:jc w:val="both"/>
      </w:pPr>
      <w:r w:rsidRPr="0031675F">
        <w:t>Tri Sodium Citrate Colour Reagent – Transfer reagent from volumetric flask to the 250</w:t>
      </w:r>
      <w:r w:rsidR="00BB13FD">
        <w:t xml:space="preserve"> </w:t>
      </w:r>
      <w:r w:rsidRPr="0031675F">
        <w:t>mL glass amber working reagent bottle.</w:t>
      </w:r>
    </w:p>
    <w:p w14:paraId="3F7B78E2" w14:textId="77777777" w:rsidR="0031675F" w:rsidRPr="0031675F" w:rsidRDefault="0031675F" w:rsidP="0031675F">
      <w:pPr>
        <w:ind w:left="1134" w:hanging="567"/>
      </w:pPr>
    </w:p>
    <w:p w14:paraId="7ED947C5" w14:textId="77777777" w:rsidR="0031675F" w:rsidRPr="0031675F" w:rsidRDefault="0031675F" w:rsidP="0031675F">
      <w:pPr>
        <w:ind w:left="1134" w:hanging="567"/>
      </w:pPr>
      <w:r w:rsidRPr="0031675F">
        <w:rPr>
          <w:b/>
        </w:rPr>
        <w:t xml:space="preserve">5.2.6 </w:t>
      </w:r>
      <w:r w:rsidRPr="0031675F">
        <w:rPr>
          <w:b/>
        </w:rPr>
        <w:tab/>
      </w:r>
      <w:smartTag w:uri="urn:schemas-microsoft-com:office:smarttags" w:element="place">
        <w:smartTag w:uri="urn:schemas-microsoft-com:office:smarttags" w:element="PlaceName">
          <w:r w:rsidRPr="0031675F">
            <w:t>Colored</w:t>
          </w:r>
        </w:smartTag>
        <w:r w:rsidRPr="0031675F">
          <w:t xml:space="preserve"> </w:t>
        </w:r>
        <w:smartTag w:uri="urn:schemas-microsoft-com:office:smarttags" w:element="PlaceName">
          <w:r w:rsidRPr="0031675F">
            <w:t>SYNC</w:t>
          </w:r>
        </w:smartTag>
        <w:r w:rsidRPr="0031675F">
          <w:t xml:space="preserve"> </w:t>
        </w:r>
        <w:smartTag w:uri="urn:schemas-microsoft-com:office:smarttags" w:element="PlaceType">
          <w:r w:rsidRPr="0031675F">
            <w:t>Peak</w:t>
          </w:r>
        </w:smartTag>
      </w:smartTag>
      <w:r w:rsidRPr="0031675F">
        <w:t xml:space="preserve"> Solution – Use either a high ammonia standard that will obtain a peak between 25 to 100 percent full scale. </w:t>
      </w:r>
    </w:p>
    <w:p w14:paraId="70A35051" w14:textId="77777777" w:rsidR="0031675F" w:rsidRPr="0031675F" w:rsidRDefault="0031675F" w:rsidP="0031675F">
      <w:pPr>
        <w:ind w:left="1134" w:hanging="567"/>
      </w:pPr>
    </w:p>
    <w:p w14:paraId="444D2817" w14:textId="77777777" w:rsidR="0031675F" w:rsidRPr="0031675F" w:rsidRDefault="0031675F" w:rsidP="0031675F">
      <w:pPr>
        <w:ind w:left="1134" w:hanging="567"/>
      </w:pPr>
      <w:r w:rsidRPr="0031675F">
        <w:rPr>
          <w:b/>
        </w:rPr>
        <w:t xml:space="preserve">5.2.7 </w:t>
      </w:r>
      <w:r w:rsidRPr="0031675F">
        <w:rPr>
          <w:b/>
        </w:rPr>
        <w:tab/>
      </w:r>
      <w:r w:rsidRPr="0031675F">
        <w:t>Calibration Standards –</w:t>
      </w:r>
      <w:r w:rsidRPr="0031675F">
        <w:rPr>
          <w:b/>
        </w:rPr>
        <w:t xml:space="preserve"> </w:t>
      </w:r>
      <w:r w:rsidRPr="0031675F">
        <w:t>Prepare a series of calibration standards (</w:t>
      </w:r>
      <w:smartTag w:uri="urn:schemas-microsoft-com:office:smarttags" w:element="State">
        <w:smartTag w:uri="urn:schemas-microsoft-com:office:smarttags" w:element="place">
          <w:r w:rsidRPr="0031675F">
            <w:t>CAL</w:t>
          </w:r>
        </w:smartTag>
      </w:smartTag>
      <w:r w:rsidRPr="0031675F">
        <w:t>) by diluting a suitable volume of the stock standard solution to 100 mL volumetric flask using reagent water. Prepare these standards daily. The concentration range of calibration standards should bracket the expected concentrations of samples and not exceed two orders of magnitude. At least five calibration standards should be used to construct the calibration curve.</w:t>
      </w:r>
    </w:p>
    <w:p w14:paraId="5F07CD26" w14:textId="77777777" w:rsidR="0031675F" w:rsidRPr="0031675F" w:rsidRDefault="0031675F" w:rsidP="0031675F">
      <w:pPr>
        <w:ind w:left="1440" w:hanging="731"/>
      </w:pPr>
    </w:p>
    <w:p w14:paraId="49561FFE" w14:textId="77777777" w:rsidR="0031675F" w:rsidRPr="0031675F" w:rsidRDefault="0031675F" w:rsidP="0031675F">
      <w:pPr>
        <w:shd w:val="clear" w:color="auto" w:fill="D9D9D9"/>
        <w:ind w:left="540" w:hanging="540"/>
        <w:rPr>
          <w:b/>
        </w:rPr>
      </w:pPr>
      <w:r w:rsidRPr="0031675F">
        <w:rPr>
          <w:b/>
        </w:rPr>
        <w:t xml:space="preserve">6.0 </w:t>
      </w:r>
      <w:r w:rsidRPr="0031675F">
        <w:rPr>
          <w:b/>
        </w:rPr>
        <w:tab/>
        <w:t>SAMPLE COLLECTION, PRESERVATION AND STORAGE</w:t>
      </w:r>
    </w:p>
    <w:p w14:paraId="0816306A" w14:textId="77777777" w:rsidR="0031675F" w:rsidRPr="0031675F" w:rsidRDefault="0031675F" w:rsidP="0031675F">
      <w:pPr>
        <w:rPr>
          <w:b/>
        </w:rPr>
      </w:pPr>
      <w:r w:rsidRPr="0031675F">
        <w:rPr>
          <w:b/>
        </w:rPr>
        <w:tab/>
      </w:r>
    </w:p>
    <w:p w14:paraId="564BFD84" w14:textId="77777777" w:rsidR="0031675F" w:rsidRPr="0031675F" w:rsidRDefault="0031675F" w:rsidP="0031675F">
      <w:pPr>
        <w:ind w:left="540" w:hanging="540"/>
      </w:pPr>
      <w:r w:rsidRPr="0031675F">
        <w:rPr>
          <w:b/>
        </w:rPr>
        <w:t>6.1</w:t>
      </w:r>
      <w:r w:rsidRPr="0031675F">
        <w:t xml:space="preserve"> </w:t>
      </w:r>
      <w:r w:rsidRPr="0031675F">
        <w:tab/>
      </w:r>
      <w:r w:rsidRPr="0031675F">
        <w:rPr>
          <w:b/>
        </w:rPr>
        <w:t>Sample Collection</w:t>
      </w:r>
    </w:p>
    <w:p w14:paraId="3C4994D5" w14:textId="77777777" w:rsidR="0031675F" w:rsidRPr="0031675F" w:rsidRDefault="0031675F" w:rsidP="0031675F">
      <w:pPr>
        <w:ind w:left="540" w:hanging="540"/>
        <w:rPr>
          <w:b/>
        </w:rPr>
      </w:pPr>
    </w:p>
    <w:p w14:paraId="6DDF8E16" w14:textId="77777777" w:rsidR="0031675F" w:rsidRPr="0031675F" w:rsidRDefault="0031675F" w:rsidP="0031675F">
      <w:pPr>
        <w:ind w:left="1134" w:hanging="567"/>
      </w:pPr>
      <w:r w:rsidRPr="0031675F">
        <w:rPr>
          <w:b/>
        </w:rPr>
        <w:t>6.1.1</w:t>
      </w:r>
      <w:r w:rsidRPr="0031675F">
        <w:rPr>
          <w:b/>
        </w:rPr>
        <w:tab/>
      </w:r>
      <w:r w:rsidRPr="0031675F">
        <w:t>Samples collected for nutrient analyses from estuarine, coastal waters, streams and lakes are usually collected by one of two methods: either a peristaltic pump or grab sample.</w:t>
      </w:r>
    </w:p>
    <w:p w14:paraId="345AD29C" w14:textId="77777777" w:rsidR="0031675F" w:rsidRPr="0031675F" w:rsidRDefault="0031675F" w:rsidP="0031675F">
      <w:pPr>
        <w:ind w:left="1134" w:hanging="567"/>
        <w:rPr>
          <w:b/>
        </w:rPr>
      </w:pPr>
    </w:p>
    <w:p w14:paraId="1B4E84D0" w14:textId="77777777" w:rsidR="0031675F" w:rsidRPr="0031675F" w:rsidRDefault="0031675F" w:rsidP="0031675F">
      <w:pPr>
        <w:ind w:left="1134" w:hanging="567"/>
      </w:pPr>
      <w:r w:rsidRPr="0031675F">
        <w:rPr>
          <w:b/>
        </w:rPr>
        <w:t xml:space="preserve">6.1.2 </w:t>
      </w:r>
      <w:r w:rsidRPr="0031675F">
        <w:rPr>
          <w:b/>
        </w:rPr>
        <w:tab/>
      </w:r>
      <w:r w:rsidRPr="0031675F">
        <w:t>A peristaltic pump has a length of tube attached that is weighted down so that particular depths can be sampled if required. A grab sample is obtained using a hand held sampling pole with 1 L polypropylene bottle which is filled sub surface.</w:t>
      </w:r>
    </w:p>
    <w:p w14:paraId="2E49E6BF" w14:textId="77777777" w:rsidR="0031675F" w:rsidRPr="0031675F" w:rsidRDefault="0031675F" w:rsidP="0031675F">
      <w:pPr>
        <w:ind w:left="1134" w:hanging="567"/>
      </w:pPr>
    </w:p>
    <w:p w14:paraId="6425F64A" w14:textId="77777777" w:rsidR="0031675F" w:rsidRPr="0031675F" w:rsidRDefault="0031675F" w:rsidP="0031675F">
      <w:pPr>
        <w:ind w:left="1134" w:hanging="567"/>
      </w:pPr>
      <w:r w:rsidRPr="0031675F">
        <w:rPr>
          <w:b/>
        </w:rPr>
        <w:t>6.1.4</w:t>
      </w:r>
      <w:r w:rsidRPr="0031675F">
        <w:t xml:space="preserve"> </w:t>
      </w:r>
      <w:r w:rsidRPr="0031675F">
        <w:tab/>
        <w:t>The filterable nutrient component is filtered immediately at the point of collection using a Terumo sterile 60 mL syringe and 0.45 µm polysulphone Mini-Sart filter purchased from Sartorius (Cat #165333K).</w:t>
      </w:r>
    </w:p>
    <w:p w14:paraId="1F666AF9" w14:textId="77777777" w:rsidR="0031675F" w:rsidRPr="0031675F" w:rsidRDefault="0031675F" w:rsidP="0031675F"/>
    <w:p w14:paraId="37229020" w14:textId="77777777" w:rsidR="0031675F" w:rsidRPr="0031675F" w:rsidRDefault="0031675F" w:rsidP="0031675F">
      <w:pPr>
        <w:ind w:left="540" w:hanging="540"/>
      </w:pPr>
      <w:r w:rsidRPr="0031675F">
        <w:rPr>
          <w:b/>
        </w:rPr>
        <w:t>6.2</w:t>
      </w:r>
      <w:r w:rsidRPr="0031675F">
        <w:t xml:space="preserve"> </w:t>
      </w:r>
      <w:r w:rsidRPr="0031675F">
        <w:tab/>
      </w:r>
      <w:r w:rsidRPr="0031675F">
        <w:rPr>
          <w:b/>
        </w:rPr>
        <w:t>Sample Preservation</w:t>
      </w:r>
    </w:p>
    <w:p w14:paraId="43FFE1E8" w14:textId="77777777" w:rsidR="0031675F" w:rsidRPr="0031675F" w:rsidRDefault="0031675F" w:rsidP="0031675F">
      <w:pPr>
        <w:ind w:left="540" w:hanging="540"/>
        <w:rPr>
          <w:b/>
        </w:rPr>
      </w:pPr>
    </w:p>
    <w:p w14:paraId="4A8A69A8" w14:textId="77777777" w:rsidR="0031675F" w:rsidRPr="0031675F" w:rsidRDefault="0031675F" w:rsidP="0031675F">
      <w:pPr>
        <w:ind w:left="1134" w:hanging="567"/>
      </w:pPr>
      <w:r w:rsidRPr="0031675F">
        <w:rPr>
          <w:b/>
        </w:rPr>
        <w:t>6.2.1</w:t>
      </w:r>
      <w:r w:rsidRPr="0031675F">
        <w:t xml:space="preserve"> </w:t>
      </w:r>
      <w:r w:rsidRPr="0031675F">
        <w:tab/>
        <w:t>After collection and filtration the samples should either be analysed immediately or if this is not possible frozen at -18°C until analysis can be performed.</w:t>
      </w:r>
    </w:p>
    <w:p w14:paraId="3B042CD8" w14:textId="77777777" w:rsidR="0031675F" w:rsidRPr="0031675F" w:rsidRDefault="0031675F" w:rsidP="0031675F"/>
    <w:p w14:paraId="2A393A01" w14:textId="77777777" w:rsidR="0031675F" w:rsidRPr="0031675F" w:rsidRDefault="0031675F" w:rsidP="0031675F">
      <w:pPr>
        <w:ind w:left="540" w:hanging="540"/>
      </w:pPr>
      <w:r w:rsidRPr="0031675F">
        <w:rPr>
          <w:b/>
        </w:rPr>
        <w:t>6.3</w:t>
      </w:r>
      <w:r w:rsidRPr="0031675F">
        <w:t xml:space="preserve"> </w:t>
      </w:r>
      <w:r w:rsidRPr="0031675F">
        <w:tab/>
      </w:r>
      <w:r w:rsidRPr="0031675F">
        <w:rPr>
          <w:b/>
        </w:rPr>
        <w:t>Sample Storage</w:t>
      </w:r>
    </w:p>
    <w:p w14:paraId="7073028A" w14:textId="77777777" w:rsidR="0031675F" w:rsidRPr="0031675F" w:rsidRDefault="0031675F" w:rsidP="0031675F">
      <w:pPr>
        <w:ind w:left="540" w:hanging="540"/>
      </w:pPr>
    </w:p>
    <w:p w14:paraId="07356198" w14:textId="77777777" w:rsidR="0031675F" w:rsidRPr="0031675F" w:rsidRDefault="0031675F" w:rsidP="0031675F">
      <w:pPr>
        <w:ind w:left="1134" w:hanging="567"/>
      </w:pPr>
      <w:r w:rsidRPr="0031675F">
        <w:rPr>
          <w:b/>
        </w:rPr>
        <w:t>6.3.1</w:t>
      </w:r>
      <w:r w:rsidRPr="0031675F">
        <w:t xml:space="preserve"> </w:t>
      </w:r>
      <w:r w:rsidRPr="0031675F">
        <w:tab/>
        <w:t>Samples should be stored in a freezer that contains nutrient samples only. If possible samples should further be stored into there relevant matrix and concentration to further minimise any possible contamination e.g. store low level marine samples away from effluent samples.</w:t>
      </w:r>
    </w:p>
    <w:p w14:paraId="25EDC8A1" w14:textId="77777777" w:rsidR="0031675F" w:rsidRPr="0031675F" w:rsidRDefault="0031675F" w:rsidP="0031675F">
      <w:pPr>
        <w:ind w:left="709" w:hanging="709"/>
        <w:rPr>
          <w:b/>
        </w:rPr>
      </w:pPr>
    </w:p>
    <w:p w14:paraId="2E369C1C" w14:textId="77777777" w:rsidR="0031675F" w:rsidRPr="0031675F" w:rsidRDefault="0031675F" w:rsidP="0031675F">
      <w:pPr>
        <w:shd w:val="clear" w:color="auto" w:fill="D9D9D9"/>
        <w:ind w:left="540" w:hanging="540"/>
        <w:rPr>
          <w:b/>
        </w:rPr>
      </w:pPr>
      <w:r w:rsidRPr="0031675F">
        <w:rPr>
          <w:b/>
        </w:rPr>
        <w:t xml:space="preserve">7.0 </w:t>
      </w:r>
      <w:r w:rsidRPr="0031675F">
        <w:rPr>
          <w:b/>
        </w:rPr>
        <w:tab/>
        <w:t>QUALITY CONTROL</w:t>
      </w:r>
    </w:p>
    <w:p w14:paraId="000FACED" w14:textId="77777777" w:rsidR="0031675F" w:rsidRPr="0031675F" w:rsidRDefault="0031675F" w:rsidP="0031675F">
      <w:pPr>
        <w:ind w:left="709" w:hanging="709"/>
        <w:rPr>
          <w:b/>
        </w:rPr>
      </w:pPr>
    </w:p>
    <w:p w14:paraId="7469AFE6" w14:textId="77777777" w:rsidR="0031675F" w:rsidRPr="0031675F" w:rsidRDefault="0031675F" w:rsidP="0031675F">
      <w:pPr>
        <w:ind w:left="567" w:hanging="567"/>
      </w:pPr>
      <w:r w:rsidRPr="0031675F">
        <w:rPr>
          <w:b/>
        </w:rPr>
        <w:t xml:space="preserve">7.1 </w:t>
      </w:r>
      <w:r w:rsidRPr="0031675F">
        <w:rPr>
          <w:b/>
        </w:rPr>
        <w:tab/>
      </w:r>
      <w:r w:rsidRPr="0031675F">
        <w:t xml:space="preserve">The minimum requirements of this program is to demonstrate performance using in house reference materials (IHRM), duplicate analyses, spiking samples, and the use of certified reference material (CRM’s) purchased from an external source. Also, all vials used for sampling,  the digestion procedure, and syringe filters (if used) are subject to rigorous quality control checks before being utilised. </w:t>
      </w:r>
    </w:p>
    <w:p w14:paraId="158E066A" w14:textId="77777777" w:rsidR="0031675F" w:rsidRPr="0031675F" w:rsidRDefault="0031675F" w:rsidP="0031675F"/>
    <w:p w14:paraId="0498DB5D" w14:textId="77777777" w:rsidR="0031675F" w:rsidRPr="0031675F" w:rsidRDefault="0031675F" w:rsidP="0031675F">
      <w:pPr>
        <w:ind w:left="540"/>
      </w:pPr>
      <w:r w:rsidRPr="0031675F">
        <w:t xml:space="preserve">Additionally, to participate in inter collaborative nutrient trials at least once per year e.g. National Low Level Nutrient Collaborative Trials (NLLNCT). </w:t>
      </w:r>
    </w:p>
    <w:p w14:paraId="772443DE" w14:textId="77777777" w:rsidR="0031675F" w:rsidRPr="0031675F" w:rsidRDefault="0031675F" w:rsidP="0031675F">
      <w:pPr>
        <w:ind w:left="709"/>
      </w:pPr>
    </w:p>
    <w:p w14:paraId="454C879F" w14:textId="77777777" w:rsidR="0031675F" w:rsidRPr="0031675F" w:rsidRDefault="0031675F" w:rsidP="0031675F">
      <w:pPr>
        <w:ind w:left="540" w:hanging="540"/>
        <w:rPr>
          <w:b/>
        </w:rPr>
      </w:pPr>
      <w:r w:rsidRPr="0031675F">
        <w:rPr>
          <w:b/>
        </w:rPr>
        <w:t>7.2</w:t>
      </w:r>
      <w:r w:rsidRPr="0031675F">
        <w:tab/>
      </w:r>
      <w:r w:rsidRPr="0031675F">
        <w:rPr>
          <w:b/>
        </w:rPr>
        <w:t>In House Reference Material (IHRM)</w:t>
      </w:r>
    </w:p>
    <w:p w14:paraId="23FBAEDD" w14:textId="77777777" w:rsidR="0031675F" w:rsidRPr="0031675F" w:rsidRDefault="0031675F" w:rsidP="0031675F">
      <w:pPr>
        <w:ind w:left="540" w:hanging="540"/>
        <w:rPr>
          <w:b/>
        </w:rPr>
      </w:pPr>
    </w:p>
    <w:p w14:paraId="09700E6F" w14:textId="28500F6D" w:rsidR="0031675F" w:rsidRPr="0031675F" w:rsidRDefault="0031675F" w:rsidP="0031675F">
      <w:pPr>
        <w:ind w:left="1134" w:hanging="567"/>
      </w:pPr>
      <w:r w:rsidRPr="0031675F">
        <w:rPr>
          <w:b/>
        </w:rPr>
        <w:t>7.2.1</w:t>
      </w:r>
      <w:r w:rsidRPr="0031675F">
        <w:t xml:space="preserve"> </w:t>
      </w:r>
      <w:r w:rsidRPr="0031675F">
        <w:tab/>
        <w:t>A 100 µg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ammonia check standard is made up from the stock standard solution (SSS) of the ammonium sulfate solution. This standard is used to assess the accuracy of the ammonia calibration standards.</w:t>
      </w:r>
    </w:p>
    <w:p w14:paraId="2AE66A01" w14:textId="77777777" w:rsidR="0031675F" w:rsidRPr="0031675F" w:rsidRDefault="0031675F" w:rsidP="0031675F">
      <w:pPr>
        <w:ind w:left="1287" w:hanging="567"/>
      </w:pPr>
      <w:r w:rsidRPr="0031675F">
        <w:br/>
      </w:r>
    </w:p>
    <w:p w14:paraId="647D6C3F" w14:textId="77777777" w:rsidR="0031675F" w:rsidRPr="0031675F" w:rsidRDefault="0031675F" w:rsidP="0031675F">
      <w:pPr>
        <w:ind w:left="1287" w:hanging="567"/>
      </w:pPr>
      <w:r w:rsidRPr="0031675F">
        <w:br w:type="page"/>
        <w:t>Step 1:  Make up a secondary ammonium sulfate stock solution</w:t>
      </w:r>
    </w:p>
    <w:p w14:paraId="3AAE9C75" w14:textId="77777777" w:rsidR="0031675F" w:rsidRPr="0031675F" w:rsidRDefault="0031675F" w:rsidP="0031675F">
      <w:pPr>
        <w:ind w:left="540" w:hanging="540"/>
      </w:pPr>
      <w:r w:rsidRPr="0031675F">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67791B8E" w14:textId="77777777" w:rsidTr="00B00729">
        <w:trPr>
          <w:jc w:val="center"/>
        </w:trPr>
        <w:tc>
          <w:tcPr>
            <w:tcW w:w="2646" w:type="dxa"/>
            <w:vAlign w:val="center"/>
          </w:tcPr>
          <w:p w14:paraId="57B4F9BD" w14:textId="77777777" w:rsidR="0031675F" w:rsidRPr="0031675F" w:rsidRDefault="0031675F" w:rsidP="0031675F">
            <w:pPr>
              <w:jc w:val="center"/>
            </w:pPr>
            <w:r w:rsidRPr="0031675F">
              <w:t>Stock Ammonium sulfate Solution (mL)</w:t>
            </w:r>
          </w:p>
        </w:tc>
        <w:tc>
          <w:tcPr>
            <w:tcW w:w="2646" w:type="dxa"/>
            <w:vAlign w:val="center"/>
          </w:tcPr>
          <w:p w14:paraId="54DD9B34" w14:textId="77777777" w:rsidR="0031675F" w:rsidRPr="0031675F" w:rsidRDefault="0031675F" w:rsidP="0031675F">
            <w:pPr>
              <w:jc w:val="center"/>
            </w:pPr>
            <w:r w:rsidRPr="0031675F">
              <w:t>Size Volumetric Flask (mL)</w:t>
            </w:r>
          </w:p>
        </w:tc>
        <w:tc>
          <w:tcPr>
            <w:tcW w:w="2646" w:type="dxa"/>
            <w:vAlign w:val="center"/>
          </w:tcPr>
          <w:p w14:paraId="54980809" w14:textId="789DDDA7" w:rsidR="0031675F" w:rsidRPr="0031675F" w:rsidRDefault="0031675F" w:rsidP="00BB13FD">
            <w:pPr>
              <w:jc w:val="center"/>
            </w:pPr>
            <w:r w:rsidRPr="0031675F">
              <w:t>Calculated Concentration (µg N</w:t>
            </w:r>
            <w:r w:rsidR="00BB13FD">
              <w:t xml:space="preserve"> </w:t>
            </w:r>
            <w:r w:rsidRPr="0031675F">
              <w:t>L</w:t>
            </w:r>
            <w:r w:rsidR="00BB13FD" w:rsidRPr="00BB13FD">
              <w:rPr>
                <w:vertAlign w:val="superscript"/>
              </w:rPr>
              <w:t>-1</w:t>
            </w:r>
            <w:r w:rsidRPr="0031675F">
              <w:t>)</w:t>
            </w:r>
          </w:p>
        </w:tc>
      </w:tr>
      <w:tr w:rsidR="0031675F" w:rsidRPr="0031675F" w14:paraId="0D60C0C6" w14:textId="77777777" w:rsidTr="00B00729">
        <w:trPr>
          <w:trHeight w:val="401"/>
          <w:jc w:val="center"/>
        </w:trPr>
        <w:tc>
          <w:tcPr>
            <w:tcW w:w="2646" w:type="dxa"/>
            <w:vAlign w:val="center"/>
          </w:tcPr>
          <w:p w14:paraId="2C231212" w14:textId="77777777" w:rsidR="0031675F" w:rsidRPr="0031675F" w:rsidRDefault="0031675F" w:rsidP="0031675F">
            <w:pPr>
              <w:jc w:val="center"/>
            </w:pPr>
            <w:r w:rsidRPr="0031675F">
              <w:t>1</w:t>
            </w:r>
          </w:p>
        </w:tc>
        <w:tc>
          <w:tcPr>
            <w:tcW w:w="2646" w:type="dxa"/>
            <w:vAlign w:val="center"/>
          </w:tcPr>
          <w:p w14:paraId="5878FD33" w14:textId="77777777" w:rsidR="0031675F" w:rsidRPr="0031675F" w:rsidRDefault="0031675F" w:rsidP="0031675F">
            <w:pPr>
              <w:jc w:val="center"/>
            </w:pPr>
            <w:r w:rsidRPr="0031675F">
              <w:t>100</w:t>
            </w:r>
          </w:p>
        </w:tc>
        <w:tc>
          <w:tcPr>
            <w:tcW w:w="2646" w:type="dxa"/>
            <w:vAlign w:val="center"/>
          </w:tcPr>
          <w:p w14:paraId="3496845D" w14:textId="77777777" w:rsidR="0031675F" w:rsidRPr="0031675F" w:rsidRDefault="0031675F" w:rsidP="0031675F">
            <w:pPr>
              <w:jc w:val="center"/>
            </w:pPr>
            <w:r w:rsidRPr="0031675F">
              <w:t>1000</w:t>
            </w:r>
          </w:p>
        </w:tc>
      </w:tr>
    </w:tbl>
    <w:p w14:paraId="53D02F5D" w14:textId="77777777" w:rsidR="0031675F" w:rsidRPr="0031675F" w:rsidRDefault="0031675F" w:rsidP="0031675F">
      <w:pPr>
        <w:ind w:left="540" w:hanging="540"/>
      </w:pPr>
    </w:p>
    <w:p w14:paraId="74B5EEE7" w14:textId="77777777" w:rsidR="0031675F" w:rsidRPr="0031675F" w:rsidRDefault="0031675F" w:rsidP="0031675F">
      <w:pPr>
        <w:ind w:left="1457" w:hanging="737"/>
      </w:pPr>
      <w:r w:rsidRPr="0031675F">
        <w:t>Step 2:  Using the secondary stock solution made in step 1 make up the following dilutions which are used as a check standard.</w:t>
      </w:r>
    </w:p>
    <w:p w14:paraId="029B183F" w14:textId="77777777" w:rsidR="0031675F" w:rsidRPr="0031675F" w:rsidRDefault="0031675F" w:rsidP="0031675F">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18019302" w14:textId="77777777" w:rsidTr="00B00729">
        <w:trPr>
          <w:trHeight w:val="667"/>
          <w:jc w:val="center"/>
        </w:trPr>
        <w:tc>
          <w:tcPr>
            <w:tcW w:w="2646" w:type="dxa"/>
            <w:vAlign w:val="center"/>
          </w:tcPr>
          <w:p w14:paraId="12FDD3F9" w14:textId="77777777" w:rsidR="0031675F" w:rsidRPr="0031675F" w:rsidRDefault="0031675F" w:rsidP="0031675F">
            <w:pPr>
              <w:jc w:val="center"/>
            </w:pPr>
            <w:r w:rsidRPr="0031675F">
              <w:t>Stock Ammonium sulfate Solution (mL)</w:t>
            </w:r>
          </w:p>
        </w:tc>
        <w:tc>
          <w:tcPr>
            <w:tcW w:w="2646" w:type="dxa"/>
            <w:vAlign w:val="center"/>
          </w:tcPr>
          <w:p w14:paraId="2EB9BBF2" w14:textId="77777777" w:rsidR="0031675F" w:rsidRPr="0031675F" w:rsidRDefault="0031675F" w:rsidP="0031675F">
            <w:pPr>
              <w:jc w:val="center"/>
            </w:pPr>
            <w:r w:rsidRPr="0031675F">
              <w:t>Size Volumetric Flask (mL)</w:t>
            </w:r>
          </w:p>
        </w:tc>
        <w:tc>
          <w:tcPr>
            <w:tcW w:w="2646" w:type="dxa"/>
            <w:vAlign w:val="center"/>
          </w:tcPr>
          <w:p w14:paraId="266BFE25" w14:textId="68ED0E0B" w:rsidR="0031675F" w:rsidRPr="0031675F" w:rsidRDefault="0031675F" w:rsidP="00BB13FD">
            <w:pPr>
              <w:jc w:val="center"/>
            </w:pPr>
            <w:r w:rsidRPr="0031675F">
              <w:t>Calculated Concentration (µg N</w:t>
            </w:r>
            <w:r w:rsidR="00BB13FD">
              <w:t xml:space="preserve"> </w:t>
            </w:r>
            <w:r w:rsidRPr="0031675F">
              <w:t>L</w:t>
            </w:r>
            <w:r w:rsidR="00BB13FD" w:rsidRPr="00BB13FD">
              <w:rPr>
                <w:vertAlign w:val="superscript"/>
              </w:rPr>
              <w:t>-1</w:t>
            </w:r>
            <w:r w:rsidRPr="0031675F">
              <w:t>)</w:t>
            </w:r>
          </w:p>
        </w:tc>
      </w:tr>
      <w:tr w:rsidR="0031675F" w:rsidRPr="0031675F" w14:paraId="4F0A88ED" w14:textId="77777777" w:rsidTr="00B00729">
        <w:trPr>
          <w:trHeight w:val="284"/>
          <w:jc w:val="center"/>
        </w:trPr>
        <w:tc>
          <w:tcPr>
            <w:tcW w:w="2646" w:type="dxa"/>
            <w:vAlign w:val="center"/>
          </w:tcPr>
          <w:p w14:paraId="0F7164BC" w14:textId="77777777" w:rsidR="0031675F" w:rsidRPr="0031675F" w:rsidRDefault="0031675F" w:rsidP="0031675F">
            <w:pPr>
              <w:jc w:val="center"/>
            </w:pPr>
            <w:r w:rsidRPr="0031675F">
              <w:t>1</w:t>
            </w:r>
          </w:p>
        </w:tc>
        <w:tc>
          <w:tcPr>
            <w:tcW w:w="2646" w:type="dxa"/>
            <w:vAlign w:val="center"/>
          </w:tcPr>
          <w:p w14:paraId="0C322BD5" w14:textId="77777777" w:rsidR="0031675F" w:rsidRPr="0031675F" w:rsidRDefault="0031675F" w:rsidP="0031675F">
            <w:pPr>
              <w:jc w:val="center"/>
            </w:pPr>
            <w:r w:rsidRPr="0031675F">
              <w:t>100</w:t>
            </w:r>
          </w:p>
        </w:tc>
        <w:tc>
          <w:tcPr>
            <w:tcW w:w="2646" w:type="dxa"/>
            <w:vAlign w:val="center"/>
          </w:tcPr>
          <w:p w14:paraId="7BC8524F" w14:textId="77777777" w:rsidR="0031675F" w:rsidRPr="0031675F" w:rsidRDefault="0031675F" w:rsidP="0031675F">
            <w:pPr>
              <w:jc w:val="center"/>
            </w:pPr>
            <w:r w:rsidRPr="0031675F">
              <w:t>100</w:t>
            </w:r>
          </w:p>
        </w:tc>
      </w:tr>
    </w:tbl>
    <w:p w14:paraId="6233B90C" w14:textId="77777777" w:rsidR="0031675F" w:rsidRPr="0031675F" w:rsidRDefault="0031675F" w:rsidP="0031675F">
      <w:pPr>
        <w:ind w:left="567" w:hanging="567"/>
        <w:rPr>
          <w:b/>
        </w:rPr>
      </w:pPr>
    </w:p>
    <w:p w14:paraId="754EF01A" w14:textId="77777777" w:rsidR="0031675F" w:rsidRPr="0031675F" w:rsidRDefault="0031675F" w:rsidP="0031675F">
      <w:pPr>
        <w:ind w:left="567" w:hanging="567"/>
        <w:rPr>
          <w:b/>
        </w:rPr>
      </w:pPr>
      <w:r w:rsidRPr="0031675F">
        <w:rPr>
          <w:b/>
        </w:rPr>
        <w:t xml:space="preserve">7.3 </w:t>
      </w:r>
      <w:r w:rsidRPr="0031675F">
        <w:rPr>
          <w:b/>
        </w:rPr>
        <w:tab/>
        <w:t xml:space="preserve">Duplicate Analyses </w:t>
      </w:r>
    </w:p>
    <w:p w14:paraId="705E011D" w14:textId="77777777" w:rsidR="0031675F" w:rsidRPr="0031675F" w:rsidRDefault="0031675F" w:rsidP="0031675F">
      <w:pPr>
        <w:ind w:left="540" w:hanging="540"/>
        <w:rPr>
          <w:b/>
        </w:rPr>
      </w:pPr>
    </w:p>
    <w:p w14:paraId="615DB67C" w14:textId="77777777" w:rsidR="0031675F" w:rsidRPr="0031675F" w:rsidRDefault="0031675F" w:rsidP="0031675F">
      <w:pPr>
        <w:ind w:left="1134" w:hanging="567"/>
      </w:pPr>
      <w:r w:rsidRPr="0031675F">
        <w:rPr>
          <w:b/>
        </w:rPr>
        <w:t>7.3.1</w:t>
      </w:r>
      <w:r w:rsidRPr="0031675F">
        <w:t xml:space="preserve"> </w:t>
      </w:r>
      <w:r w:rsidRPr="0031675F">
        <w:tab/>
        <w:t>Duplicate analyses of samples are performed to a minimum of 5% per TropWater job submission. The standard deviation of these results should fall between +/- 10%. Failure to achieve this standard will result in samples being re-analysed.</w:t>
      </w:r>
    </w:p>
    <w:p w14:paraId="632EA41D" w14:textId="77777777" w:rsidR="0031675F" w:rsidRPr="0031675F" w:rsidRDefault="0031675F" w:rsidP="0031675F">
      <w:pPr>
        <w:ind w:left="1080" w:hanging="540"/>
      </w:pPr>
    </w:p>
    <w:p w14:paraId="0F5ACA0D" w14:textId="77777777" w:rsidR="0031675F" w:rsidRPr="0031675F" w:rsidRDefault="0031675F" w:rsidP="0031675F">
      <w:pPr>
        <w:ind w:left="540" w:hanging="540"/>
        <w:rPr>
          <w:b/>
        </w:rPr>
      </w:pPr>
      <w:r w:rsidRPr="0031675F">
        <w:rPr>
          <w:b/>
        </w:rPr>
        <w:t xml:space="preserve">7.4 </w:t>
      </w:r>
      <w:r w:rsidRPr="0031675F">
        <w:rPr>
          <w:b/>
        </w:rPr>
        <w:tab/>
        <w:t>Spiked Samples</w:t>
      </w:r>
    </w:p>
    <w:p w14:paraId="2905FC36" w14:textId="77777777" w:rsidR="0031675F" w:rsidRPr="0031675F" w:rsidRDefault="0031675F" w:rsidP="0031675F">
      <w:pPr>
        <w:ind w:left="540" w:hanging="540"/>
      </w:pPr>
    </w:p>
    <w:p w14:paraId="65A972E4" w14:textId="77777777" w:rsidR="0031675F" w:rsidRPr="0031675F" w:rsidRDefault="0031675F" w:rsidP="0031675F">
      <w:pPr>
        <w:numPr>
          <w:ilvl w:val="2"/>
          <w:numId w:val="173"/>
        </w:numPr>
        <w:tabs>
          <w:tab w:val="clear" w:pos="1260"/>
          <w:tab w:val="num" w:pos="1134"/>
        </w:tabs>
        <w:spacing w:before="0" w:after="0" w:line="240" w:lineRule="auto"/>
        <w:ind w:left="1134" w:hanging="567"/>
        <w:jc w:val="both"/>
      </w:pPr>
      <w:r w:rsidRPr="0031675F">
        <w:t>Samples are spiked to a minimum of 5% per TropWater job submission. The result of this addition should calculate to be between 90-110% recovery. Failure to achieve satisfactory recovery will results in samples being re- analysed. This may mean using a different series of dilutions.</w:t>
      </w:r>
      <w:r w:rsidRPr="0031675F">
        <w:br/>
      </w:r>
    </w:p>
    <w:p w14:paraId="30A97569" w14:textId="69409888" w:rsidR="0031675F" w:rsidRPr="0031675F" w:rsidRDefault="0031675F" w:rsidP="0031675F">
      <w:pPr>
        <w:numPr>
          <w:ilvl w:val="2"/>
          <w:numId w:val="173"/>
        </w:numPr>
        <w:tabs>
          <w:tab w:val="clear" w:pos="1260"/>
          <w:tab w:val="num" w:pos="1134"/>
        </w:tabs>
        <w:spacing w:before="0" w:after="0" w:line="240" w:lineRule="auto"/>
        <w:ind w:left="1134" w:hanging="567"/>
        <w:jc w:val="both"/>
      </w:pPr>
      <w:r w:rsidRPr="0031675F">
        <w:t>CRM are purchased in 250 mL containers. After the first thawing the whole CRM is sub – sampled into 10 mL tubes for future usage. These 10</w:t>
      </w:r>
      <w:r w:rsidR="00BB13FD">
        <w:t xml:space="preserve"> </w:t>
      </w:r>
      <w:r w:rsidRPr="0031675F">
        <w:t>mL tubes are then thawed as required.</w:t>
      </w:r>
      <w:r w:rsidRPr="0031675F">
        <w:br/>
      </w:r>
    </w:p>
    <w:p w14:paraId="700A1C27" w14:textId="77777777" w:rsidR="0031675F" w:rsidRPr="0031675F" w:rsidRDefault="0031675F" w:rsidP="0031675F">
      <w:pPr>
        <w:numPr>
          <w:ilvl w:val="1"/>
          <w:numId w:val="173"/>
        </w:numPr>
        <w:tabs>
          <w:tab w:val="clear" w:pos="630"/>
        </w:tabs>
        <w:spacing w:before="0" w:after="0" w:line="240" w:lineRule="auto"/>
        <w:ind w:left="567" w:hanging="567"/>
        <w:jc w:val="both"/>
        <w:rPr>
          <w:b/>
        </w:rPr>
      </w:pPr>
      <w:r w:rsidRPr="0031675F">
        <w:rPr>
          <w:b/>
        </w:rPr>
        <w:t>Consumable Quality Checks</w:t>
      </w:r>
    </w:p>
    <w:p w14:paraId="4EE6EA4B" w14:textId="77777777" w:rsidR="0031675F" w:rsidRPr="0031675F" w:rsidRDefault="0031675F" w:rsidP="0031675F">
      <w:pPr>
        <w:ind w:left="540"/>
        <w:rPr>
          <w:b/>
        </w:rPr>
      </w:pPr>
    </w:p>
    <w:p w14:paraId="0BB72F44" w14:textId="77777777" w:rsidR="0031675F" w:rsidRPr="0031675F" w:rsidRDefault="0031675F" w:rsidP="0031675F">
      <w:pPr>
        <w:ind w:left="1134" w:hanging="567"/>
      </w:pPr>
      <w:r w:rsidRPr="0031675F">
        <w:rPr>
          <w:b/>
        </w:rPr>
        <w:t>7.5.1</w:t>
      </w:r>
      <w:r w:rsidRPr="0031675F">
        <w:rPr>
          <w:b/>
        </w:rPr>
        <w:tab/>
      </w:r>
      <w:r w:rsidRPr="0031675F">
        <w:t>10 mL Sarstedt vials are ordered in large batches of at least 10,000 units (Cat # 60.9921.820). These vials are divided into their manufacturer batches and 1% of the vials are randomly selected and analysed for back ground contamination.</w:t>
      </w:r>
    </w:p>
    <w:p w14:paraId="0D9D0C63" w14:textId="77777777" w:rsidR="0031675F" w:rsidRPr="0031675F" w:rsidRDefault="0031675F" w:rsidP="0031675F">
      <w:pPr>
        <w:ind w:left="1134" w:hanging="567"/>
      </w:pPr>
    </w:p>
    <w:p w14:paraId="5CF0ECC8" w14:textId="77777777" w:rsidR="0031675F" w:rsidRPr="0031675F" w:rsidRDefault="0031675F" w:rsidP="0031675F">
      <w:pPr>
        <w:ind w:left="1134" w:hanging="567"/>
      </w:pPr>
      <w:r w:rsidRPr="0031675F">
        <w:rPr>
          <w:b/>
        </w:rPr>
        <w:t xml:space="preserve">7.5.2 </w:t>
      </w:r>
      <w:r w:rsidRPr="0031675F">
        <w:rPr>
          <w:b/>
        </w:rPr>
        <w:tab/>
      </w:r>
      <w:r w:rsidRPr="0031675F">
        <w:t xml:space="preserve">The sterile minisart 0.45 </w:t>
      </w:r>
      <w:r w:rsidRPr="0031675F">
        <w:sym w:font="Symbol" w:char="F06D"/>
      </w:r>
      <w:r w:rsidRPr="0031675F">
        <w:t>m polysulphone filters are ordered in large batches. These filters are divided into their manufacturer batches and 1% of the filters are randomly selected and analysed for back ground contamination.</w:t>
      </w:r>
    </w:p>
    <w:p w14:paraId="21B8A50D" w14:textId="77777777" w:rsidR="0031675F" w:rsidRPr="0031675F" w:rsidRDefault="0031675F" w:rsidP="0031675F"/>
    <w:p w14:paraId="43A0A8E2" w14:textId="77777777" w:rsidR="0031675F" w:rsidRPr="0031675F" w:rsidRDefault="0031675F" w:rsidP="0031675F">
      <w:pPr>
        <w:ind w:left="540" w:hanging="540"/>
        <w:rPr>
          <w:b/>
        </w:rPr>
      </w:pPr>
      <w:r w:rsidRPr="0031675F">
        <w:rPr>
          <w:b/>
        </w:rPr>
        <w:t xml:space="preserve">7.6 </w:t>
      </w:r>
      <w:r w:rsidRPr="0031675F">
        <w:rPr>
          <w:b/>
        </w:rPr>
        <w:tab/>
        <w:t>Certified Reference Material (CRM)</w:t>
      </w:r>
    </w:p>
    <w:p w14:paraId="057BB2AF" w14:textId="77777777" w:rsidR="0031675F" w:rsidRPr="0031675F" w:rsidRDefault="0031675F" w:rsidP="0031675F">
      <w:pPr>
        <w:ind w:left="540" w:hanging="540"/>
      </w:pPr>
    </w:p>
    <w:p w14:paraId="7582891C" w14:textId="77777777" w:rsidR="0031675F" w:rsidRPr="0031675F" w:rsidRDefault="0031675F" w:rsidP="0031675F">
      <w:pPr>
        <w:ind w:left="1134" w:hanging="567"/>
      </w:pPr>
      <w:r w:rsidRPr="0031675F">
        <w:rPr>
          <w:b/>
        </w:rPr>
        <w:t>7.6.1</w:t>
      </w:r>
      <w:r w:rsidRPr="0031675F">
        <w:t xml:space="preserve"> </w:t>
      </w:r>
      <w:r w:rsidRPr="0031675F">
        <w:tab/>
        <w:t>CRM’s are purchased from Queensland Health in both freshwater and saltwater. The CRM’s are matched to the sample matrices being analysed and also concentration. The certified value range must be achieved for sample results to be deemed accurate or all samples must be re- analysed with the correct value for the CRM’s obtained.</w:t>
      </w:r>
    </w:p>
    <w:p w14:paraId="2BD2F773" w14:textId="77777777" w:rsidR="0031675F" w:rsidRPr="0031675F" w:rsidRDefault="0031675F" w:rsidP="0031675F">
      <w:pPr>
        <w:ind w:left="567" w:hanging="567"/>
        <w:rPr>
          <w:b/>
        </w:rPr>
      </w:pPr>
    </w:p>
    <w:p w14:paraId="576BCF6B" w14:textId="77777777" w:rsidR="0031675F" w:rsidRPr="0031675F" w:rsidRDefault="0031675F" w:rsidP="0031675F">
      <w:pPr>
        <w:shd w:val="clear" w:color="auto" w:fill="D9D9D9"/>
        <w:ind w:left="567" w:hanging="567"/>
        <w:rPr>
          <w:b/>
        </w:rPr>
      </w:pPr>
      <w:r w:rsidRPr="0031675F">
        <w:rPr>
          <w:b/>
        </w:rPr>
        <w:t xml:space="preserve">8.0 </w:t>
      </w:r>
      <w:r w:rsidRPr="0031675F">
        <w:rPr>
          <w:b/>
        </w:rPr>
        <w:tab/>
        <w:t>CALIBRATION AND STANDARDISATION</w:t>
      </w:r>
    </w:p>
    <w:p w14:paraId="5E011123" w14:textId="77777777" w:rsidR="0031675F" w:rsidRPr="0031675F" w:rsidRDefault="0031675F" w:rsidP="0031675F">
      <w:pPr>
        <w:rPr>
          <w:b/>
        </w:rPr>
      </w:pPr>
    </w:p>
    <w:p w14:paraId="69FB60AD" w14:textId="77777777" w:rsidR="0031675F" w:rsidRPr="0031675F" w:rsidRDefault="0031675F" w:rsidP="0031675F">
      <w:pPr>
        <w:ind w:left="540" w:hanging="540"/>
      </w:pPr>
      <w:r w:rsidRPr="0031675F">
        <w:rPr>
          <w:b/>
        </w:rPr>
        <w:t>8.1</w:t>
      </w:r>
      <w:r w:rsidRPr="0031675F">
        <w:tab/>
        <w:t xml:space="preserve">At least seven calibration standards should be prepared daily for system calibration. </w:t>
      </w:r>
    </w:p>
    <w:p w14:paraId="6BB8BB71" w14:textId="77777777" w:rsidR="0031675F" w:rsidRPr="0031675F" w:rsidRDefault="0031675F" w:rsidP="0031675F">
      <w:pPr>
        <w:ind w:left="540" w:hanging="540"/>
      </w:pPr>
    </w:p>
    <w:p w14:paraId="28FBBBCA" w14:textId="1F44DFE9" w:rsidR="0031675F" w:rsidRPr="0031675F" w:rsidRDefault="0031675F" w:rsidP="0031675F">
      <w:pPr>
        <w:ind w:left="1134" w:hanging="567"/>
      </w:pPr>
      <w:r w:rsidRPr="0031675F">
        <w:rPr>
          <w:b/>
        </w:rPr>
        <w:t xml:space="preserve">8.1.1 </w:t>
      </w:r>
      <w:r w:rsidRPr="0031675F">
        <w:t>The following dilutions are used for a working range of 0.001 – 0.15 mg N</w:t>
      </w:r>
      <w:r w:rsidR="00BB13FD">
        <w:t xml:space="preserve"> </w:t>
      </w:r>
      <w:r w:rsidRPr="0031675F">
        <w:t>L</w:t>
      </w:r>
      <w:r w:rsidR="00BB13FD" w:rsidRPr="00BB13FD">
        <w:rPr>
          <w:vertAlign w:val="superscript"/>
        </w:rPr>
        <w:t>-1</w:t>
      </w:r>
      <w:r w:rsidRPr="0031675F">
        <w:t>:</w:t>
      </w:r>
    </w:p>
    <w:p w14:paraId="5C5FF0D9" w14:textId="77777777" w:rsidR="0031675F" w:rsidRPr="0031675F" w:rsidRDefault="0031675F" w:rsidP="0031675F">
      <w:pPr>
        <w:ind w:left="1134" w:hanging="567"/>
      </w:pPr>
    </w:p>
    <w:p w14:paraId="67A7A513" w14:textId="77777777" w:rsidR="0031675F" w:rsidRPr="0031675F" w:rsidRDefault="0031675F" w:rsidP="0031675F">
      <w:pPr>
        <w:ind w:left="1287" w:hanging="567"/>
      </w:pPr>
      <w:r w:rsidRPr="0031675F">
        <w:t>Step 1:  Make up a secondary ammonium chloride stock solution</w:t>
      </w:r>
    </w:p>
    <w:p w14:paraId="2574A77D" w14:textId="77777777" w:rsidR="0031675F" w:rsidRPr="0031675F" w:rsidRDefault="0031675F" w:rsidP="0031675F">
      <w:pPr>
        <w:ind w:left="540" w:hanging="540"/>
      </w:pPr>
      <w:r w:rsidRPr="0031675F">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14997F45" w14:textId="77777777" w:rsidTr="00B00729">
        <w:trPr>
          <w:jc w:val="center"/>
        </w:trPr>
        <w:tc>
          <w:tcPr>
            <w:tcW w:w="2646" w:type="dxa"/>
            <w:vAlign w:val="center"/>
          </w:tcPr>
          <w:p w14:paraId="074A3B3C" w14:textId="77777777" w:rsidR="0031675F" w:rsidRPr="0031675F" w:rsidRDefault="0031675F" w:rsidP="0031675F">
            <w:pPr>
              <w:jc w:val="center"/>
            </w:pPr>
            <w:r w:rsidRPr="0031675F">
              <w:t>Stock Ammonium chloride Solution (mL)</w:t>
            </w:r>
          </w:p>
        </w:tc>
        <w:tc>
          <w:tcPr>
            <w:tcW w:w="2646" w:type="dxa"/>
            <w:vAlign w:val="center"/>
          </w:tcPr>
          <w:p w14:paraId="45CF1196" w14:textId="77777777" w:rsidR="0031675F" w:rsidRPr="0031675F" w:rsidRDefault="0031675F" w:rsidP="0031675F">
            <w:pPr>
              <w:jc w:val="center"/>
            </w:pPr>
            <w:r w:rsidRPr="0031675F">
              <w:t>Size Volumetric Flask (mL)</w:t>
            </w:r>
          </w:p>
        </w:tc>
        <w:tc>
          <w:tcPr>
            <w:tcW w:w="2646" w:type="dxa"/>
            <w:vAlign w:val="center"/>
          </w:tcPr>
          <w:p w14:paraId="33E28873" w14:textId="579CA027" w:rsidR="0031675F" w:rsidRPr="0031675F" w:rsidRDefault="0031675F" w:rsidP="00BB13FD">
            <w:pPr>
              <w:jc w:val="center"/>
            </w:pPr>
            <w:r w:rsidRPr="0031675F">
              <w:t>Calculated Concentration (mg N</w:t>
            </w:r>
            <w:r w:rsidR="00BB13FD">
              <w:t xml:space="preserve"> </w:t>
            </w:r>
            <w:r w:rsidRPr="0031675F">
              <w:t>L</w:t>
            </w:r>
            <w:r w:rsidR="00BB13FD" w:rsidRPr="00BB13FD">
              <w:rPr>
                <w:vertAlign w:val="superscript"/>
              </w:rPr>
              <w:t>-1</w:t>
            </w:r>
            <w:r w:rsidRPr="0031675F">
              <w:t>)</w:t>
            </w:r>
          </w:p>
        </w:tc>
      </w:tr>
      <w:tr w:rsidR="0031675F" w:rsidRPr="0031675F" w14:paraId="17C0F0D0" w14:textId="77777777" w:rsidTr="00B00729">
        <w:trPr>
          <w:trHeight w:val="401"/>
          <w:jc w:val="center"/>
        </w:trPr>
        <w:tc>
          <w:tcPr>
            <w:tcW w:w="2646" w:type="dxa"/>
            <w:vAlign w:val="center"/>
          </w:tcPr>
          <w:p w14:paraId="5FB42539" w14:textId="77777777" w:rsidR="0031675F" w:rsidRPr="0031675F" w:rsidRDefault="0031675F" w:rsidP="0031675F">
            <w:pPr>
              <w:jc w:val="center"/>
            </w:pPr>
            <w:r w:rsidRPr="0031675F">
              <w:t>10</w:t>
            </w:r>
          </w:p>
        </w:tc>
        <w:tc>
          <w:tcPr>
            <w:tcW w:w="2646" w:type="dxa"/>
            <w:vAlign w:val="center"/>
          </w:tcPr>
          <w:p w14:paraId="1D04ED87" w14:textId="77777777" w:rsidR="0031675F" w:rsidRPr="0031675F" w:rsidRDefault="0031675F" w:rsidP="0031675F">
            <w:pPr>
              <w:jc w:val="center"/>
            </w:pPr>
            <w:r w:rsidRPr="0031675F">
              <w:t>100</w:t>
            </w:r>
          </w:p>
        </w:tc>
        <w:tc>
          <w:tcPr>
            <w:tcW w:w="2646" w:type="dxa"/>
            <w:vAlign w:val="center"/>
          </w:tcPr>
          <w:p w14:paraId="61190425" w14:textId="77777777" w:rsidR="0031675F" w:rsidRPr="0031675F" w:rsidRDefault="0031675F" w:rsidP="0031675F">
            <w:pPr>
              <w:jc w:val="center"/>
            </w:pPr>
            <w:r w:rsidRPr="0031675F">
              <w:t>100</w:t>
            </w:r>
          </w:p>
        </w:tc>
      </w:tr>
    </w:tbl>
    <w:p w14:paraId="5FE30838" w14:textId="77777777" w:rsidR="0031675F" w:rsidRPr="0031675F" w:rsidRDefault="0031675F" w:rsidP="0031675F">
      <w:pPr>
        <w:ind w:left="540" w:hanging="540"/>
      </w:pPr>
    </w:p>
    <w:p w14:paraId="23BF3013" w14:textId="77777777" w:rsidR="0031675F" w:rsidRPr="0031675F" w:rsidRDefault="0031675F" w:rsidP="0031675F">
      <w:pPr>
        <w:ind w:left="1457" w:hanging="737"/>
      </w:pPr>
      <w:r w:rsidRPr="0031675F">
        <w:t>Step 2:  Using the secondary stock solution made in step 1 make up the following tertiary stock solution.</w:t>
      </w:r>
    </w:p>
    <w:p w14:paraId="78A419AC" w14:textId="77777777" w:rsidR="0031675F" w:rsidRPr="0031675F" w:rsidRDefault="0031675F" w:rsidP="0031675F">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7B4FBC0E" w14:textId="77777777" w:rsidTr="00B00729">
        <w:trPr>
          <w:trHeight w:val="667"/>
          <w:jc w:val="center"/>
        </w:trPr>
        <w:tc>
          <w:tcPr>
            <w:tcW w:w="2646" w:type="dxa"/>
            <w:vAlign w:val="center"/>
          </w:tcPr>
          <w:p w14:paraId="4A79D458" w14:textId="77777777" w:rsidR="0031675F" w:rsidRPr="0031675F" w:rsidRDefault="0031675F" w:rsidP="0031675F">
            <w:pPr>
              <w:jc w:val="center"/>
            </w:pPr>
            <w:r w:rsidRPr="0031675F">
              <w:t>Secondary Stock Ammonium chloride Solution (mL)</w:t>
            </w:r>
          </w:p>
        </w:tc>
        <w:tc>
          <w:tcPr>
            <w:tcW w:w="2646" w:type="dxa"/>
            <w:vAlign w:val="center"/>
          </w:tcPr>
          <w:p w14:paraId="3ED40D5C" w14:textId="77777777" w:rsidR="0031675F" w:rsidRPr="0031675F" w:rsidRDefault="0031675F" w:rsidP="0031675F">
            <w:pPr>
              <w:jc w:val="center"/>
            </w:pPr>
            <w:r w:rsidRPr="0031675F">
              <w:t>Size Volumetric Flask (mL)</w:t>
            </w:r>
          </w:p>
        </w:tc>
        <w:tc>
          <w:tcPr>
            <w:tcW w:w="2646" w:type="dxa"/>
            <w:vAlign w:val="center"/>
          </w:tcPr>
          <w:p w14:paraId="681150A5" w14:textId="684E0F6F" w:rsidR="0031675F" w:rsidRPr="0031675F" w:rsidRDefault="0031675F" w:rsidP="00BB13FD">
            <w:pPr>
              <w:jc w:val="center"/>
            </w:pPr>
            <w:r w:rsidRPr="0031675F">
              <w:t>Calculated Concentration (µg N</w:t>
            </w:r>
            <w:r w:rsidR="00BB13FD">
              <w:t xml:space="preserve"> </w:t>
            </w:r>
            <w:r w:rsidRPr="0031675F">
              <w:t>L</w:t>
            </w:r>
            <w:r w:rsidR="00BB13FD" w:rsidRPr="00BB13FD">
              <w:rPr>
                <w:vertAlign w:val="superscript"/>
              </w:rPr>
              <w:t>-1</w:t>
            </w:r>
            <w:r w:rsidRPr="0031675F">
              <w:t>)</w:t>
            </w:r>
          </w:p>
        </w:tc>
      </w:tr>
      <w:tr w:rsidR="0031675F" w:rsidRPr="0031675F" w14:paraId="345BE451" w14:textId="77777777" w:rsidTr="00B00729">
        <w:trPr>
          <w:trHeight w:val="284"/>
          <w:jc w:val="center"/>
        </w:trPr>
        <w:tc>
          <w:tcPr>
            <w:tcW w:w="2646" w:type="dxa"/>
            <w:vAlign w:val="center"/>
          </w:tcPr>
          <w:p w14:paraId="3CEE576D" w14:textId="77777777" w:rsidR="0031675F" w:rsidRPr="0031675F" w:rsidRDefault="0031675F" w:rsidP="0031675F">
            <w:pPr>
              <w:jc w:val="center"/>
            </w:pPr>
            <w:r w:rsidRPr="0031675F">
              <w:t>1</w:t>
            </w:r>
          </w:p>
        </w:tc>
        <w:tc>
          <w:tcPr>
            <w:tcW w:w="2646" w:type="dxa"/>
            <w:vAlign w:val="center"/>
          </w:tcPr>
          <w:p w14:paraId="1E9CD1A2" w14:textId="77777777" w:rsidR="0031675F" w:rsidRPr="0031675F" w:rsidRDefault="0031675F" w:rsidP="0031675F">
            <w:pPr>
              <w:jc w:val="center"/>
            </w:pPr>
            <w:r w:rsidRPr="0031675F">
              <w:t>100</w:t>
            </w:r>
          </w:p>
        </w:tc>
        <w:tc>
          <w:tcPr>
            <w:tcW w:w="2646" w:type="dxa"/>
            <w:vAlign w:val="center"/>
          </w:tcPr>
          <w:p w14:paraId="0122EFF3" w14:textId="77777777" w:rsidR="0031675F" w:rsidRPr="0031675F" w:rsidRDefault="0031675F" w:rsidP="0031675F">
            <w:pPr>
              <w:jc w:val="center"/>
            </w:pPr>
            <w:r w:rsidRPr="0031675F">
              <w:t>1000</w:t>
            </w:r>
          </w:p>
        </w:tc>
      </w:tr>
    </w:tbl>
    <w:p w14:paraId="4452C341" w14:textId="77777777" w:rsidR="0031675F" w:rsidRPr="0031675F" w:rsidRDefault="0031675F" w:rsidP="0031675F">
      <w:pPr>
        <w:ind w:left="540" w:hanging="540"/>
      </w:pPr>
    </w:p>
    <w:p w14:paraId="36197310" w14:textId="77777777" w:rsidR="0031675F" w:rsidRPr="0031675F" w:rsidRDefault="0031675F" w:rsidP="0031675F">
      <w:pPr>
        <w:ind w:left="1457" w:hanging="737"/>
      </w:pPr>
      <w:r w:rsidRPr="0031675F">
        <w:t>Step 3:  Using the tertiary stock solution made in step 2 make up the following dilutions which are used as working calibration standards.</w:t>
      </w:r>
    </w:p>
    <w:p w14:paraId="095FF1E6" w14:textId="77777777" w:rsidR="0031675F" w:rsidRPr="0031675F" w:rsidRDefault="0031675F" w:rsidP="0031675F">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0EBDE4E7" w14:textId="77777777" w:rsidTr="00B00729">
        <w:trPr>
          <w:trHeight w:val="667"/>
          <w:jc w:val="center"/>
        </w:trPr>
        <w:tc>
          <w:tcPr>
            <w:tcW w:w="2646" w:type="dxa"/>
            <w:vAlign w:val="center"/>
          </w:tcPr>
          <w:p w14:paraId="40CFCA2A" w14:textId="77777777" w:rsidR="0031675F" w:rsidRPr="0031675F" w:rsidRDefault="0031675F" w:rsidP="0031675F">
            <w:pPr>
              <w:jc w:val="center"/>
            </w:pPr>
            <w:r w:rsidRPr="0031675F">
              <w:t>Tertiary Stock Ammonium chloride Solution (mL)</w:t>
            </w:r>
          </w:p>
        </w:tc>
        <w:tc>
          <w:tcPr>
            <w:tcW w:w="2646" w:type="dxa"/>
            <w:vAlign w:val="center"/>
          </w:tcPr>
          <w:p w14:paraId="7E8B7D47" w14:textId="77777777" w:rsidR="0031675F" w:rsidRPr="0031675F" w:rsidRDefault="0031675F" w:rsidP="0031675F">
            <w:pPr>
              <w:jc w:val="center"/>
            </w:pPr>
            <w:r w:rsidRPr="0031675F">
              <w:t>Size Volumetric Flask (mL)</w:t>
            </w:r>
          </w:p>
        </w:tc>
        <w:tc>
          <w:tcPr>
            <w:tcW w:w="2646" w:type="dxa"/>
            <w:vAlign w:val="center"/>
          </w:tcPr>
          <w:p w14:paraId="48520CB2" w14:textId="43BB87BC" w:rsidR="0031675F" w:rsidRPr="0031675F" w:rsidRDefault="0031675F" w:rsidP="0031675F">
            <w:pPr>
              <w:jc w:val="center"/>
            </w:pPr>
            <w:r w:rsidRPr="0031675F">
              <w:t>Calculated Concentration (µg N</w:t>
            </w:r>
            <w:r w:rsidR="00BB13FD">
              <w:t xml:space="preserve"> </w:t>
            </w:r>
            <w:r w:rsidR="00BB13FD" w:rsidRPr="0031675F">
              <w:t>L</w:t>
            </w:r>
            <w:r w:rsidR="00BB13FD" w:rsidRPr="00BB13FD">
              <w:rPr>
                <w:vertAlign w:val="superscript"/>
              </w:rPr>
              <w:t>-1</w:t>
            </w:r>
            <w:r w:rsidRPr="0031675F">
              <w:t>)</w:t>
            </w:r>
          </w:p>
        </w:tc>
      </w:tr>
      <w:tr w:rsidR="0031675F" w:rsidRPr="0031675F" w14:paraId="0C370CD3" w14:textId="77777777" w:rsidTr="00B00729">
        <w:trPr>
          <w:trHeight w:val="284"/>
          <w:jc w:val="center"/>
        </w:trPr>
        <w:tc>
          <w:tcPr>
            <w:tcW w:w="2646" w:type="dxa"/>
            <w:vAlign w:val="center"/>
          </w:tcPr>
          <w:p w14:paraId="26033C66" w14:textId="77777777" w:rsidR="0031675F" w:rsidRPr="0031675F" w:rsidRDefault="0031675F" w:rsidP="0031675F">
            <w:pPr>
              <w:jc w:val="center"/>
            </w:pPr>
            <w:r w:rsidRPr="0031675F">
              <w:t>1</w:t>
            </w:r>
          </w:p>
        </w:tc>
        <w:tc>
          <w:tcPr>
            <w:tcW w:w="2646" w:type="dxa"/>
            <w:vAlign w:val="center"/>
          </w:tcPr>
          <w:p w14:paraId="6530DDA9" w14:textId="77777777" w:rsidR="0031675F" w:rsidRPr="0031675F" w:rsidRDefault="0031675F" w:rsidP="0031675F">
            <w:pPr>
              <w:jc w:val="center"/>
            </w:pPr>
            <w:r w:rsidRPr="0031675F">
              <w:t>100</w:t>
            </w:r>
          </w:p>
        </w:tc>
        <w:tc>
          <w:tcPr>
            <w:tcW w:w="2646" w:type="dxa"/>
            <w:vAlign w:val="center"/>
          </w:tcPr>
          <w:p w14:paraId="1EB4769C" w14:textId="77777777" w:rsidR="0031675F" w:rsidRPr="0031675F" w:rsidRDefault="0031675F" w:rsidP="0031675F">
            <w:pPr>
              <w:jc w:val="center"/>
            </w:pPr>
            <w:r w:rsidRPr="0031675F">
              <w:t>10</w:t>
            </w:r>
          </w:p>
        </w:tc>
      </w:tr>
      <w:tr w:rsidR="0031675F" w:rsidRPr="0031675F" w14:paraId="5408C915" w14:textId="77777777" w:rsidTr="00B00729">
        <w:trPr>
          <w:trHeight w:val="284"/>
          <w:jc w:val="center"/>
        </w:trPr>
        <w:tc>
          <w:tcPr>
            <w:tcW w:w="2646" w:type="dxa"/>
            <w:vAlign w:val="center"/>
          </w:tcPr>
          <w:p w14:paraId="36F3BF70" w14:textId="77777777" w:rsidR="0031675F" w:rsidRPr="0031675F" w:rsidRDefault="0031675F" w:rsidP="0031675F">
            <w:pPr>
              <w:jc w:val="center"/>
            </w:pPr>
            <w:r w:rsidRPr="0031675F">
              <w:t>2</w:t>
            </w:r>
          </w:p>
        </w:tc>
        <w:tc>
          <w:tcPr>
            <w:tcW w:w="2646" w:type="dxa"/>
            <w:vAlign w:val="center"/>
          </w:tcPr>
          <w:p w14:paraId="4003FBC9" w14:textId="77777777" w:rsidR="0031675F" w:rsidRPr="0031675F" w:rsidRDefault="0031675F" w:rsidP="0031675F">
            <w:pPr>
              <w:jc w:val="center"/>
            </w:pPr>
            <w:r w:rsidRPr="0031675F">
              <w:t>100</w:t>
            </w:r>
          </w:p>
        </w:tc>
        <w:tc>
          <w:tcPr>
            <w:tcW w:w="2646" w:type="dxa"/>
            <w:vAlign w:val="center"/>
          </w:tcPr>
          <w:p w14:paraId="73DF2E86" w14:textId="77777777" w:rsidR="0031675F" w:rsidRPr="0031675F" w:rsidRDefault="0031675F" w:rsidP="0031675F">
            <w:pPr>
              <w:jc w:val="center"/>
            </w:pPr>
            <w:r w:rsidRPr="0031675F">
              <w:t>20</w:t>
            </w:r>
          </w:p>
        </w:tc>
      </w:tr>
      <w:tr w:rsidR="0031675F" w:rsidRPr="0031675F" w14:paraId="26A0BE4C" w14:textId="77777777" w:rsidTr="00B00729">
        <w:trPr>
          <w:trHeight w:val="284"/>
          <w:jc w:val="center"/>
        </w:trPr>
        <w:tc>
          <w:tcPr>
            <w:tcW w:w="2646" w:type="dxa"/>
            <w:vAlign w:val="center"/>
          </w:tcPr>
          <w:p w14:paraId="701714F3" w14:textId="77777777" w:rsidR="0031675F" w:rsidRPr="0031675F" w:rsidRDefault="0031675F" w:rsidP="0031675F">
            <w:pPr>
              <w:jc w:val="center"/>
            </w:pPr>
            <w:r w:rsidRPr="0031675F">
              <w:t>4</w:t>
            </w:r>
          </w:p>
        </w:tc>
        <w:tc>
          <w:tcPr>
            <w:tcW w:w="2646" w:type="dxa"/>
            <w:vAlign w:val="center"/>
          </w:tcPr>
          <w:p w14:paraId="408BA4D0" w14:textId="77777777" w:rsidR="0031675F" w:rsidRPr="0031675F" w:rsidRDefault="0031675F" w:rsidP="0031675F">
            <w:pPr>
              <w:jc w:val="center"/>
            </w:pPr>
            <w:r w:rsidRPr="0031675F">
              <w:t>100</w:t>
            </w:r>
          </w:p>
        </w:tc>
        <w:tc>
          <w:tcPr>
            <w:tcW w:w="2646" w:type="dxa"/>
            <w:vAlign w:val="center"/>
          </w:tcPr>
          <w:p w14:paraId="483EA730" w14:textId="77777777" w:rsidR="0031675F" w:rsidRPr="0031675F" w:rsidRDefault="0031675F" w:rsidP="0031675F">
            <w:pPr>
              <w:jc w:val="center"/>
            </w:pPr>
            <w:r w:rsidRPr="0031675F">
              <w:t>40</w:t>
            </w:r>
          </w:p>
        </w:tc>
      </w:tr>
      <w:tr w:rsidR="0031675F" w:rsidRPr="0031675F" w14:paraId="2C79B426" w14:textId="77777777" w:rsidTr="00B00729">
        <w:trPr>
          <w:trHeight w:val="284"/>
          <w:jc w:val="center"/>
        </w:trPr>
        <w:tc>
          <w:tcPr>
            <w:tcW w:w="2646" w:type="dxa"/>
            <w:vAlign w:val="center"/>
          </w:tcPr>
          <w:p w14:paraId="7FB125A0" w14:textId="77777777" w:rsidR="0031675F" w:rsidRPr="0031675F" w:rsidRDefault="0031675F" w:rsidP="0031675F">
            <w:pPr>
              <w:jc w:val="center"/>
            </w:pPr>
            <w:r w:rsidRPr="0031675F">
              <w:t>5</w:t>
            </w:r>
          </w:p>
        </w:tc>
        <w:tc>
          <w:tcPr>
            <w:tcW w:w="2646" w:type="dxa"/>
            <w:vAlign w:val="center"/>
          </w:tcPr>
          <w:p w14:paraId="49FD57EC" w14:textId="77777777" w:rsidR="0031675F" w:rsidRPr="0031675F" w:rsidRDefault="0031675F" w:rsidP="0031675F">
            <w:pPr>
              <w:jc w:val="center"/>
            </w:pPr>
            <w:r w:rsidRPr="0031675F">
              <w:t>100</w:t>
            </w:r>
          </w:p>
        </w:tc>
        <w:tc>
          <w:tcPr>
            <w:tcW w:w="2646" w:type="dxa"/>
            <w:vAlign w:val="center"/>
          </w:tcPr>
          <w:p w14:paraId="1722C8B0" w14:textId="77777777" w:rsidR="0031675F" w:rsidRPr="0031675F" w:rsidRDefault="0031675F" w:rsidP="0031675F">
            <w:pPr>
              <w:jc w:val="center"/>
            </w:pPr>
            <w:r w:rsidRPr="0031675F">
              <w:t>50</w:t>
            </w:r>
          </w:p>
        </w:tc>
      </w:tr>
      <w:tr w:rsidR="0031675F" w:rsidRPr="0031675F" w14:paraId="796C5B71" w14:textId="77777777" w:rsidTr="00B00729">
        <w:trPr>
          <w:trHeight w:val="284"/>
          <w:jc w:val="center"/>
        </w:trPr>
        <w:tc>
          <w:tcPr>
            <w:tcW w:w="2646" w:type="dxa"/>
            <w:vAlign w:val="center"/>
          </w:tcPr>
          <w:p w14:paraId="5400CFB9" w14:textId="77777777" w:rsidR="0031675F" w:rsidRPr="0031675F" w:rsidRDefault="0031675F" w:rsidP="0031675F">
            <w:pPr>
              <w:jc w:val="center"/>
            </w:pPr>
            <w:r w:rsidRPr="0031675F">
              <w:t>8</w:t>
            </w:r>
          </w:p>
        </w:tc>
        <w:tc>
          <w:tcPr>
            <w:tcW w:w="2646" w:type="dxa"/>
            <w:vAlign w:val="center"/>
          </w:tcPr>
          <w:p w14:paraId="3E2DD5B5" w14:textId="77777777" w:rsidR="0031675F" w:rsidRPr="0031675F" w:rsidRDefault="0031675F" w:rsidP="0031675F">
            <w:pPr>
              <w:jc w:val="center"/>
            </w:pPr>
            <w:r w:rsidRPr="0031675F">
              <w:t>100</w:t>
            </w:r>
          </w:p>
        </w:tc>
        <w:tc>
          <w:tcPr>
            <w:tcW w:w="2646" w:type="dxa"/>
            <w:vAlign w:val="center"/>
          </w:tcPr>
          <w:p w14:paraId="7F6C5100" w14:textId="77777777" w:rsidR="0031675F" w:rsidRPr="0031675F" w:rsidRDefault="0031675F" w:rsidP="0031675F">
            <w:pPr>
              <w:jc w:val="center"/>
            </w:pPr>
            <w:r w:rsidRPr="0031675F">
              <w:t>80</w:t>
            </w:r>
          </w:p>
        </w:tc>
      </w:tr>
      <w:tr w:rsidR="0031675F" w:rsidRPr="0031675F" w14:paraId="544109FF" w14:textId="77777777" w:rsidTr="00B00729">
        <w:trPr>
          <w:trHeight w:val="284"/>
          <w:jc w:val="center"/>
        </w:trPr>
        <w:tc>
          <w:tcPr>
            <w:tcW w:w="2646" w:type="dxa"/>
            <w:vAlign w:val="center"/>
          </w:tcPr>
          <w:p w14:paraId="4CFCF45D" w14:textId="77777777" w:rsidR="0031675F" w:rsidRPr="0031675F" w:rsidRDefault="0031675F" w:rsidP="0031675F">
            <w:pPr>
              <w:jc w:val="center"/>
            </w:pPr>
            <w:r w:rsidRPr="0031675F">
              <w:t>10</w:t>
            </w:r>
          </w:p>
        </w:tc>
        <w:tc>
          <w:tcPr>
            <w:tcW w:w="2646" w:type="dxa"/>
            <w:vAlign w:val="center"/>
          </w:tcPr>
          <w:p w14:paraId="1F37666F" w14:textId="77777777" w:rsidR="0031675F" w:rsidRPr="0031675F" w:rsidRDefault="0031675F" w:rsidP="0031675F">
            <w:pPr>
              <w:jc w:val="center"/>
            </w:pPr>
            <w:r w:rsidRPr="0031675F">
              <w:t>100</w:t>
            </w:r>
          </w:p>
        </w:tc>
        <w:tc>
          <w:tcPr>
            <w:tcW w:w="2646" w:type="dxa"/>
            <w:vAlign w:val="center"/>
          </w:tcPr>
          <w:p w14:paraId="2B617137" w14:textId="77777777" w:rsidR="0031675F" w:rsidRPr="0031675F" w:rsidRDefault="0031675F" w:rsidP="0031675F">
            <w:pPr>
              <w:jc w:val="center"/>
            </w:pPr>
            <w:r w:rsidRPr="0031675F">
              <w:t>100</w:t>
            </w:r>
          </w:p>
        </w:tc>
      </w:tr>
      <w:tr w:rsidR="0031675F" w:rsidRPr="0031675F" w14:paraId="0DA6AE32" w14:textId="77777777" w:rsidTr="00B00729">
        <w:trPr>
          <w:trHeight w:val="284"/>
          <w:jc w:val="center"/>
        </w:trPr>
        <w:tc>
          <w:tcPr>
            <w:tcW w:w="2646" w:type="dxa"/>
            <w:vAlign w:val="center"/>
          </w:tcPr>
          <w:p w14:paraId="5E294C42" w14:textId="77777777" w:rsidR="0031675F" w:rsidRPr="0031675F" w:rsidRDefault="0031675F" w:rsidP="0031675F">
            <w:pPr>
              <w:jc w:val="center"/>
            </w:pPr>
            <w:r w:rsidRPr="0031675F">
              <w:t>15</w:t>
            </w:r>
          </w:p>
        </w:tc>
        <w:tc>
          <w:tcPr>
            <w:tcW w:w="2646" w:type="dxa"/>
            <w:vAlign w:val="center"/>
          </w:tcPr>
          <w:p w14:paraId="715F6AE6" w14:textId="77777777" w:rsidR="0031675F" w:rsidRPr="0031675F" w:rsidRDefault="0031675F" w:rsidP="0031675F">
            <w:pPr>
              <w:jc w:val="center"/>
            </w:pPr>
            <w:r w:rsidRPr="0031675F">
              <w:t>100</w:t>
            </w:r>
          </w:p>
        </w:tc>
        <w:tc>
          <w:tcPr>
            <w:tcW w:w="2646" w:type="dxa"/>
            <w:vAlign w:val="center"/>
          </w:tcPr>
          <w:p w14:paraId="7494DB1C" w14:textId="77777777" w:rsidR="0031675F" w:rsidRPr="0031675F" w:rsidRDefault="0031675F" w:rsidP="0031675F">
            <w:pPr>
              <w:jc w:val="center"/>
            </w:pPr>
            <w:r w:rsidRPr="0031675F">
              <w:t>150</w:t>
            </w:r>
          </w:p>
        </w:tc>
      </w:tr>
    </w:tbl>
    <w:p w14:paraId="4E7572BB" w14:textId="77777777" w:rsidR="0031675F" w:rsidRPr="0031675F" w:rsidRDefault="0031675F" w:rsidP="0031675F">
      <w:pPr>
        <w:ind w:left="540" w:hanging="540"/>
      </w:pPr>
    </w:p>
    <w:p w14:paraId="0ABF3D1D" w14:textId="77777777" w:rsidR="0031675F" w:rsidRPr="0031675F" w:rsidRDefault="0031675F" w:rsidP="0031675F">
      <w:pPr>
        <w:ind w:left="540" w:hanging="540"/>
      </w:pPr>
      <w:r w:rsidRPr="0031675F">
        <w:rPr>
          <w:b/>
        </w:rPr>
        <w:t>8.2</w:t>
      </w:r>
      <w:r w:rsidRPr="0031675F">
        <w:t xml:space="preserve"> </w:t>
      </w:r>
      <w:r w:rsidRPr="0031675F">
        <w:tab/>
        <w:t>A calibration curve should be constructed for each sample run.</w:t>
      </w:r>
    </w:p>
    <w:p w14:paraId="65983875" w14:textId="77777777" w:rsidR="0031675F" w:rsidRPr="0031675F" w:rsidRDefault="0031675F" w:rsidP="0031675F">
      <w:pPr>
        <w:ind w:left="540" w:hanging="540"/>
      </w:pPr>
    </w:p>
    <w:p w14:paraId="1BBABFD1" w14:textId="77777777" w:rsidR="0031675F" w:rsidRPr="0031675F" w:rsidRDefault="0031675F" w:rsidP="0031675F">
      <w:pPr>
        <w:numPr>
          <w:ilvl w:val="1"/>
          <w:numId w:val="175"/>
        </w:numPr>
        <w:tabs>
          <w:tab w:val="clear" w:pos="360"/>
          <w:tab w:val="num" w:pos="567"/>
        </w:tabs>
        <w:spacing w:before="0" w:after="0" w:line="240" w:lineRule="auto"/>
        <w:ind w:left="567" w:hanging="567"/>
        <w:jc w:val="both"/>
      </w:pPr>
      <w:r w:rsidRPr="0031675F">
        <w:t xml:space="preserve">The calibration standards should be placed at the start, middle and end of the run to allow for any sensitivity drift. </w:t>
      </w:r>
    </w:p>
    <w:p w14:paraId="665D6A33" w14:textId="77777777" w:rsidR="0031675F" w:rsidRPr="0031675F" w:rsidRDefault="0031675F" w:rsidP="0031675F"/>
    <w:p w14:paraId="28C005FD" w14:textId="77777777" w:rsidR="0031675F" w:rsidRPr="0031675F" w:rsidRDefault="0031675F" w:rsidP="0031675F">
      <w:pPr>
        <w:ind w:left="1287" w:hanging="720"/>
      </w:pPr>
      <w:r w:rsidRPr="0031675F">
        <w:rPr>
          <w:b/>
          <w:bCs/>
        </w:rPr>
        <w:t>NOTE:</w:t>
      </w:r>
      <w:r w:rsidRPr="0031675F">
        <w:t xml:space="preserve"> For large amounts of samples it may be necessary to increase the amount of calibration standards digested to ensure that a ratio of one set of standards per 20 – 30 samples is achieved.</w:t>
      </w:r>
    </w:p>
    <w:p w14:paraId="69B27E1E" w14:textId="77777777" w:rsidR="0031675F" w:rsidRPr="0031675F" w:rsidRDefault="0031675F" w:rsidP="0031675F">
      <w:pPr>
        <w:ind w:left="540" w:hanging="540"/>
      </w:pPr>
    </w:p>
    <w:p w14:paraId="7F9D427A" w14:textId="77777777" w:rsidR="0031675F" w:rsidRPr="0031675F" w:rsidRDefault="0031675F" w:rsidP="0031675F">
      <w:pPr>
        <w:numPr>
          <w:ilvl w:val="1"/>
          <w:numId w:val="174"/>
        </w:numPr>
        <w:tabs>
          <w:tab w:val="clear" w:pos="360"/>
          <w:tab w:val="num" w:pos="567"/>
        </w:tabs>
        <w:spacing w:before="0" w:after="0" w:line="240" w:lineRule="auto"/>
        <w:ind w:left="567" w:hanging="567"/>
        <w:jc w:val="both"/>
      </w:pPr>
      <w:r w:rsidRPr="0031675F">
        <w:t>The CRM’s should be placed at the start and the end of the run to ensure the accuracy of results is maintained throughout the whole run.</w:t>
      </w:r>
    </w:p>
    <w:p w14:paraId="4F0C2CA5" w14:textId="77777777" w:rsidR="0031675F" w:rsidRPr="0031675F" w:rsidRDefault="0031675F" w:rsidP="0031675F"/>
    <w:p w14:paraId="21198631" w14:textId="77777777" w:rsidR="0031675F" w:rsidRPr="0031675F" w:rsidRDefault="0031675F" w:rsidP="0031675F">
      <w:pPr>
        <w:numPr>
          <w:ilvl w:val="1"/>
          <w:numId w:val="174"/>
        </w:numPr>
        <w:tabs>
          <w:tab w:val="clear" w:pos="360"/>
          <w:tab w:val="num" w:pos="567"/>
        </w:tabs>
        <w:spacing w:before="0" w:after="0" w:line="240" w:lineRule="auto"/>
        <w:jc w:val="both"/>
      </w:pPr>
      <w:r w:rsidRPr="0031675F">
        <w:t>Spiked samples should be prepared as follows:</w:t>
      </w:r>
    </w:p>
    <w:p w14:paraId="6B3DCDE1" w14:textId="77777777" w:rsidR="0031675F" w:rsidRPr="0031675F" w:rsidRDefault="0031675F" w:rsidP="0031675F"/>
    <w:p w14:paraId="3D1026E7" w14:textId="77777777" w:rsidR="0031675F" w:rsidRPr="0031675F" w:rsidRDefault="0031675F" w:rsidP="0031675F">
      <w:pPr>
        <w:ind w:left="1134" w:hanging="567"/>
      </w:pPr>
      <w:r w:rsidRPr="0031675F">
        <w:rPr>
          <w:b/>
        </w:rPr>
        <w:t>8.5.1</w:t>
      </w:r>
      <w:r w:rsidRPr="0031675F">
        <w:t xml:space="preserve"> Ensure that the sample randomly chosen to be spiked is 10 mL exactly (marked line). Use a micro pipette to remove any excess sample of conversely to add a little more sample into the vial.</w:t>
      </w:r>
    </w:p>
    <w:p w14:paraId="2FB130A1" w14:textId="77777777" w:rsidR="0031675F" w:rsidRPr="0031675F" w:rsidRDefault="0031675F" w:rsidP="0031675F">
      <w:pPr>
        <w:ind w:left="720"/>
        <w:rPr>
          <w:b/>
        </w:rPr>
      </w:pPr>
    </w:p>
    <w:p w14:paraId="3BA3599E" w14:textId="77777777" w:rsidR="0031675F" w:rsidRPr="0031675F" w:rsidRDefault="0031675F" w:rsidP="0031675F">
      <w:pPr>
        <w:ind w:left="567"/>
      </w:pPr>
      <w:r w:rsidRPr="0031675F">
        <w:rPr>
          <w:b/>
        </w:rPr>
        <w:t>NOTE:</w:t>
      </w:r>
      <w:r w:rsidRPr="0031675F">
        <w:t xml:space="preserve"> Thoroughly mix the sample before remove or adding any sample</w:t>
      </w:r>
    </w:p>
    <w:p w14:paraId="04B1E708" w14:textId="77777777" w:rsidR="0031675F" w:rsidRPr="0031675F" w:rsidRDefault="0031675F" w:rsidP="0031675F">
      <w:pPr>
        <w:ind w:left="567"/>
      </w:pPr>
    </w:p>
    <w:p w14:paraId="37F8CF36" w14:textId="0C531243" w:rsidR="0031675F" w:rsidRPr="0031675F" w:rsidRDefault="0031675F" w:rsidP="0031675F">
      <w:pPr>
        <w:ind w:left="1134" w:hanging="567"/>
      </w:pPr>
      <w:r w:rsidRPr="0031675F">
        <w:rPr>
          <w:b/>
        </w:rPr>
        <w:t>8.5.2</w:t>
      </w:r>
      <w:r w:rsidRPr="0031675F">
        <w:t xml:space="preserve"> Make up the spiking stock mixture by adding 1 mL of the Secondary Stock Ammonium chloride solution  to a Sarstedt 10</w:t>
      </w:r>
      <w:r w:rsidR="00BB13FD">
        <w:t xml:space="preserve"> </w:t>
      </w:r>
      <w:r w:rsidRPr="0031675F">
        <w:t>mL tube and fill with reagent water to the mark. Mix well.</w:t>
      </w:r>
    </w:p>
    <w:p w14:paraId="5F321206" w14:textId="77777777" w:rsidR="0031675F" w:rsidRPr="0031675F" w:rsidRDefault="0031675F" w:rsidP="0031675F">
      <w:pPr>
        <w:ind w:left="1134" w:hanging="567"/>
      </w:pPr>
    </w:p>
    <w:p w14:paraId="1EEA4DFE" w14:textId="44F10CB7" w:rsidR="0031675F" w:rsidRPr="0031675F" w:rsidRDefault="0031675F" w:rsidP="0031675F">
      <w:pPr>
        <w:ind w:left="1134" w:hanging="567"/>
      </w:pPr>
      <w:r w:rsidRPr="0031675F">
        <w:rPr>
          <w:b/>
        </w:rPr>
        <w:t>8.5.3</w:t>
      </w:r>
      <w:r w:rsidRPr="0031675F">
        <w:t xml:space="preserve"> Add 20µl of the spiking stock mixture (equivalent of 20 µg N</w:t>
      </w:r>
      <w:r w:rsidR="00BB13FD">
        <w:t xml:space="preserve"> </w:t>
      </w:r>
      <w:r w:rsidR="00BB13FD" w:rsidRPr="0031675F">
        <w:t>L</w:t>
      </w:r>
      <w:r w:rsidR="00BB13FD" w:rsidRPr="00BB13FD">
        <w:rPr>
          <w:vertAlign w:val="superscript"/>
        </w:rPr>
        <w:t>-1</w:t>
      </w:r>
      <w:r w:rsidRPr="0031675F">
        <w:t>) to the 10 mL sample and mix well.</w:t>
      </w:r>
    </w:p>
    <w:p w14:paraId="1DBECCA3" w14:textId="77777777" w:rsidR="0031675F" w:rsidRPr="0031675F" w:rsidRDefault="0031675F" w:rsidP="0031675F">
      <w:pPr>
        <w:ind w:left="1134" w:hanging="567"/>
      </w:pPr>
    </w:p>
    <w:p w14:paraId="3BBD4801" w14:textId="77777777" w:rsidR="0031675F" w:rsidRPr="0031675F" w:rsidRDefault="0031675F" w:rsidP="0031675F">
      <w:pPr>
        <w:ind w:left="1134" w:hanging="567"/>
      </w:pPr>
      <w:r w:rsidRPr="0031675F">
        <w:rPr>
          <w:b/>
        </w:rPr>
        <w:t>8.5.4</w:t>
      </w:r>
      <w:r w:rsidRPr="0031675F">
        <w:t xml:space="preserve"> A minimum of three spiked reagent water samples are to be prepared and analysed for every run.</w:t>
      </w:r>
    </w:p>
    <w:p w14:paraId="67803071" w14:textId="77777777" w:rsidR="0031675F" w:rsidRPr="0031675F" w:rsidRDefault="0031675F" w:rsidP="0031675F">
      <w:pPr>
        <w:ind w:left="540" w:hanging="540"/>
        <w:rPr>
          <w:b/>
        </w:rPr>
      </w:pPr>
    </w:p>
    <w:p w14:paraId="3BCF5656" w14:textId="77777777" w:rsidR="0031675F" w:rsidRPr="0031675F" w:rsidRDefault="0031675F" w:rsidP="0031675F">
      <w:pPr>
        <w:keepNext/>
        <w:shd w:val="clear" w:color="auto" w:fill="D9D9D9"/>
        <w:ind w:left="540" w:hanging="540"/>
        <w:rPr>
          <w:b/>
        </w:rPr>
      </w:pPr>
      <w:r w:rsidRPr="0031675F">
        <w:rPr>
          <w:b/>
        </w:rPr>
        <w:t xml:space="preserve">9.0 </w:t>
      </w:r>
      <w:r w:rsidRPr="0031675F">
        <w:rPr>
          <w:b/>
        </w:rPr>
        <w:tab/>
        <w:t>SAMPLE, CALIBRATION STANDARDS, IHRM AND DRM PREPARATION PROCEDURE</w:t>
      </w:r>
    </w:p>
    <w:p w14:paraId="1C3001AD" w14:textId="77777777" w:rsidR="0031675F" w:rsidRPr="0031675F" w:rsidRDefault="0031675F" w:rsidP="0031675F">
      <w:pPr>
        <w:keepNext/>
        <w:ind w:left="720" w:hanging="720"/>
        <w:rPr>
          <w:b/>
        </w:rPr>
      </w:pPr>
    </w:p>
    <w:p w14:paraId="78BD1AEB" w14:textId="77777777" w:rsidR="0031675F" w:rsidRPr="0031675F" w:rsidRDefault="0031675F" w:rsidP="0031675F">
      <w:pPr>
        <w:ind w:left="540" w:hanging="540"/>
      </w:pPr>
      <w:r w:rsidRPr="0031675F">
        <w:rPr>
          <w:b/>
        </w:rPr>
        <w:t>9.1</w:t>
      </w:r>
      <w:r w:rsidRPr="0031675F">
        <w:t xml:space="preserve"> </w:t>
      </w:r>
      <w:r w:rsidRPr="0031675F">
        <w:tab/>
        <w:t xml:space="preserve">If samples are frozen, thaw samples by running under a continuous flow of cold water. </w:t>
      </w:r>
    </w:p>
    <w:p w14:paraId="09BE97BE" w14:textId="77777777" w:rsidR="0031675F" w:rsidRPr="0031675F" w:rsidRDefault="0031675F" w:rsidP="0031675F">
      <w:pPr>
        <w:ind w:left="540" w:hanging="540"/>
      </w:pPr>
    </w:p>
    <w:p w14:paraId="6FD01CED" w14:textId="77777777" w:rsidR="0031675F" w:rsidRPr="0031675F" w:rsidRDefault="0031675F" w:rsidP="0031675F">
      <w:pPr>
        <w:ind w:left="540" w:hanging="540"/>
      </w:pPr>
      <w:r w:rsidRPr="0031675F">
        <w:rPr>
          <w:b/>
        </w:rPr>
        <w:t>9.2</w:t>
      </w:r>
      <w:r w:rsidRPr="0031675F">
        <w:t xml:space="preserve"> </w:t>
      </w:r>
      <w:r w:rsidRPr="0031675F">
        <w:tab/>
        <w:t>Make up the seven calibration standards (refer 8.1.1), and prepare the CRM’s (refer 7.4.2).</w:t>
      </w:r>
    </w:p>
    <w:p w14:paraId="1DF2A630" w14:textId="77777777" w:rsidR="0031675F" w:rsidRPr="0031675F" w:rsidRDefault="0031675F" w:rsidP="0031675F">
      <w:pPr>
        <w:ind w:left="540" w:hanging="540"/>
      </w:pPr>
    </w:p>
    <w:p w14:paraId="00DE3D1C" w14:textId="77777777" w:rsidR="0031675F" w:rsidRPr="0031675F" w:rsidRDefault="0031675F" w:rsidP="0031675F">
      <w:pPr>
        <w:ind w:left="540" w:hanging="540"/>
      </w:pPr>
      <w:r w:rsidRPr="0031675F">
        <w:rPr>
          <w:b/>
        </w:rPr>
        <w:t>9.3</w:t>
      </w:r>
      <w:r w:rsidRPr="0031675F">
        <w:t xml:space="preserve"> </w:t>
      </w:r>
      <w:r w:rsidRPr="0031675F">
        <w:tab/>
        <w:t>Choose and make up the spiked samples (refer 8.5).</w:t>
      </w:r>
    </w:p>
    <w:p w14:paraId="68DAFB17" w14:textId="77777777" w:rsidR="0031675F" w:rsidRPr="0031675F" w:rsidRDefault="0031675F" w:rsidP="0031675F">
      <w:pPr>
        <w:ind w:left="540" w:hanging="540"/>
      </w:pPr>
    </w:p>
    <w:p w14:paraId="33DF89BC" w14:textId="77777777" w:rsidR="0031675F" w:rsidRPr="0031675F" w:rsidRDefault="0031675F" w:rsidP="0031675F">
      <w:pPr>
        <w:ind w:left="567" w:hanging="567"/>
      </w:pPr>
      <w:r w:rsidRPr="0031675F">
        <w:rPr>
          <w:b/>
        </w:rPr>
        <w:t xml:space="preserve">9.4 </w:t>
      </w:r>
      <w:r w:rsidRPr="0031675F">
        <w:rPr>
          <w:b/>
        </w:rPr>
        <w:tab/>
      </w:r>
      <w:r w:rsidRPr="0031675F">
        <w:t>Choose and make up the IHRM check standard (refer 7.2.1).</w:t>
      </w:r>
    </w:p>
    <w:p w14:paraId="21B3B136" w14:textId="77777777" w:rsidR="0031675F" w:rsidRPr="0031675F" w:rsidRDefault="0031675F" w:rsidP="0031675F">
      <w:pPr>
        <w:ind w:left="1440" w:hanging="900"/>
        <w:rPr>
          <w:b/>
        </w:rPr>
      </w:pPr>
    </w:p>
    <w:p w14:paraId="05A23C23" w14:textId="77777777" w:rsidR="0031675F" w:rsidRPr="0031675F" w:rsidRDefault="0031675F" w:rsidP="0031675F">
      <w:pPr>
        <w:shd w:val="clear" w:color="auto" w:fill="D9D9D9"/>
        <w:ind w:left="567" w:hanging="567"/>
        <w:rPr>
          <w:b/>
        </w:rPr>
      </w:pPr>
      <w:r w:rsidRPr="0031675F">
        <w:rPr>
          <w:b/>
        </w:rPr>
        <w:t xml:space="preserve">10.0 </w:t>
      </w:r>
      <w:r w:rsidRPr="0031675F">
        <w:rPr>
          <w:b/>
        </w:rPr>
        <w:tab/>
        <w:t>ANALYTICAL PROCEDURE</w:t>
      </w:r>
    </w:p>
    <w:p w14:paraId="3BE9C42F" w14:textId="77777777" w:rsidR="0031675F" w:rsidRPr="0031675F" w:rsidRDefault="0031675F" w:rsidP="0031675F">
      <w:pPr>
        <w:ind w:left="720" w:hanging="720"/>
      </w:pPr>
      <w:r w:rsidRPr="0031675F">
        <w:rPr>
          <w:b/>
        </w:rPr>
        <w:tab/>
      </w:r>
      <w:r w:rsidRPr="0031675F">
        <w:rPr>
          <w:b/>
        </w:rPr>
        <w:tab/>
      </w:r>
      <w:r w:rsidRPr="0031675F">
        <w:t>.</w:t>
      </w:r>
    </w:p>
    <w:p w14:paraId="12182521" w14:textId="77777777" w:rsidR="0031675F" w:rsidRPr="0031675F" w:rsidRDefault="0031675F" w:rsidP="0031675F">
      <w:pPr>
        <w:numPr>
          <w:ilvl w:val="1"/>
          <w:numId w:val="180"/>
        </w:numPr>
        <w:tabs>
          <w:tab w:val="clear" w:pos="360"/>
          <w:tab w:val="num" w:pos="567"/>
        </w:tabs>
        <w:spacing w:before="0" w:after="0" w:line="240" w:lineRule="auto"/>
        <w:ind w:left="567" w:hanging="567"/>
        <w:jc w:val="both"/>
      </w:pPr>
      <w:r w:rsidRPr="0031675F">
        <w:t xml:space="preserve">Turn on the auto analyser and peristaltic pump and run the 10% hydrochloric solution through the system which has the ammonia membrane module removed for a minimum of thirty minutes to let the system equilibrate. </w:t>
      </w:r>
    </w:p>
    <w:p w14:paraId="4355259A" w14:textId="77777777" w:rsidR="0031675F" w:rsidRPr="0031675F" w:rsidRDefault="0031675F" w:rsidP="0031675F">
      <w:pPr>
        <w:tabs>
          <w:tab w:val="num" w:pos="1440"/>
        </w:tabs>
        <w:ind w:left="567"/>
      </w:pPr>
    </w:p>
    <w:p w14:paraId="34904AC8" w14:textId="77777777" w:rsidR="0031675F" w:rsidRPr="0031675F" w:rsidRDefault="0031675F" w:rsidP="0031675F">
      <w:pPr>
        <w:ind w:left="567"/>
      </w:pPr>
      <w:r w:rsidRPr="0031675F">
        <w:rPr>
          <w:b/>
          <w:bCs/>
        </w:rPr>
        <w:t xml:space="preserve">NOTE: </w:t>
      </w:r>
      <w:r w:rsidRPr="0031675F">
        <w:t>If ammonia membrane module is not removed then the 10% hydrochloric acid solution will destroy the membrane and a replacement will be required.</w:t>
      </w:r>
    </w:p>
    <w:p w14:paraId="1E919939" w14:textId="77777777" w:rsidR="0031675F" w:rsidRPr="0031675F" w:rsidRDefault="0031675F" w:rsidP="0031675F">
      <w:pPr>
        <w:spacing w:before="120" w:after="120" w:line="300" w:lineRule="exact"/>
        <w:ind w:left="567"/>
        <w:rPr>
          <w:rFonts w:ascii="Calibri" w:eastAsia="Times New Roman" w:hAnsi="Calibri"/>
          <w:lang w:eastAsia="en-AU"/>
        </w:rPr>
      </w:pPr>
      <w:r w:rsidRPr="0031675F">
        <w:rPr>
          <w:rFonts w:ascii="Calibri" w:eastAsia="Times New Roman" w:hAnsi="Calibri"/>
          <w:lang w:eastAsia="en-AU"/>
        </w:rPr>
        <w:t>Remove 10% hydrochloric solution and run reagent water with Brij added for fifteen minutes then add the ammonia membrane module and continue to run for another fifteen minutes. Turn on the spectrophotometer and check that the baseline is stable and you have a consistent bubble pattern through the manifold.</w:t>
      </w:r>
    </w:p>
    <w:p w14:paraId="52AFECE2" w14:textId="77777777" w:rsidR="0031675F" w:rsidRPr="0031675F" w:rsidRDefault="0031675F" w:rsidP="0031675F">
      <w:pPr>
        <w:ind w:left="567"/>
      </w:pPr>
      <w:r w:rsidRPr="0031675F">
        <w:rPr>
          <w:b/>
        </w:rPr>
        <w:t xml:space="preserve">NOTE: </w:t>
      </w:r>
      <w:r w:rsidRPr="0031675F">
        <w:t>The absorbency on the spectrophotometer should read 630 nm and should be set at the required sensitivity level for the range of working standards.</w:t>
      </w:r>
    </w:p>
    <w:p w14:paraId="421F7763" w14:textId="77777777" w:rsidR="0031675F" w:rsidRPr="0031675F" w:rsidRDefault="0031675F" w:rsidP="0031675F">
      <w:pPr>
        <w:ind w:left="1440" w:hanging="900"/>
      </w:pPr>
    </w:p>
    <w:p w14:paraId="4C33F046" w14:textId="77777777" w:rsidR="0031675F" w:rsidRPr="0031675F" w:rsidRDefault="0031675F" w:rsidP="0031675F">
      <w:pPr>
        <w:ind w:left="540" w:hanging="540"/>
      </w:pPr>
      <w:r w:rsidRPr="0031675F">
        <w:rPr>
          <w:b/>
        </w:rPr>
        <w:t>10.2</w:t>
      </w:r>
      <w:r w:rsidRPr="0031675F">
        <w:t xml:space="preserve"> </w:t>
      </w:r>
      <w:r w:rsidRPr="0031675F">
        <w:tab/>
        <w:t>Set up the autosampler software for the run. This will include the unique TropWater job number and sample identification number, along with any dilution data associated with samples.</w:t>
      </w:r>
    </w:p>
    <w:p w14:paraId="7F958910" w14:textId="77777777" w:rsidR="0031675F" w:rsidRPr="0031675F" w:rsidRDefault="0031675F" w:rsidP="0031675F">
      <w:pPr>
        <w:ind w:left="540" w:hanging="540"/>
      </w:pPr>
    </w:p>
    <w:p w14:paraId="26B830A3" w14:textId="77777777" w:rsidR="0031675F" w:rsidRPr="0031675F" w:rsidRDefault="0031675F" w:rsidP="0031675F">
      <w:pPr>
        <w:numPr>
          <w:ilvl w:val="1"/>
          <w:numId w:val="179"/>
        </w:numPr>
        <w:tabs>
          <w:tab w:val="clear" w:pos="360"/>
          <w:tab w:val="num" w:pos="567"/>
        </w:tabs>
        <w:spacing w:before="0" w:after="0" w:line="240" w:lineRule="auto"/>
        <w:ind w:left="567" w:hanging="567"/>
        <w:jc w:val="both"/>
      </w:pPr>
      <w:r w:rsidRPr="0031675F">
        <w:t>Mix the samples by inverting three times, and place in the appropriate rack number and cup position as allocated by the autosampler software.</w:t>
      </w:r>
    </w:p>
    <w:p w14:paraId="032EA094" w14:textId="77777777" w:rsidR="0031675F" w:rsidRPr="0031675F" w:rsidRDefault="0031675F" w:rsidP="0031675F"/>
    <w:p w14:paraId="2ED30C8F" w14:textId="77777777" w:rsidR="0031675F" w:rsidRPr="0031675F" w:rsidRDefault="0031675F" w:rsidP="0031675F">
      <w:pPr>
        <w:ind w:left="567" w:hanging="27"/>
      </w:pPr>
      <w:r w:rsidRPr="0031675F">
        <w:rPr>
          <w:b/>
          <w:bCs/>
        </w:rPr>
        <w:t>NOTE:</w:t>
      </w:r>
      <w:r w:rsidRPr="0031675F">
        <w:t xml:space="preserve"> Lids are to remain on samples, calibration standards and laboratory reagent blanks until the last moment before they are analysed to minimise potential ammonia contamination.</w:t>
      </w:r>
    </w:p>
    <w:p w14:paraId="719585AB" w14:textId="77777777" w:rsidR="0031675F" w:rsidRPr="0031675F" w:rsidRDefault="0031675F" w:rsidP="0031675F">
      <w:pPr>
        <w:ind w:left="540" w:hanging="540"/>
      </w:pPr>
    </w:p>
    <w:p w14:paraId="1035D90D" w14:textId="77777777" w:rsidR="0031675F" w:rsidRPr="0031675F" w:rsidRDefault="0031675F" w:rsidP="0031675F">
      <w:pPr>
        <w:ind w:left="540" w:hanging="540"/>
      </w:pPr>
      <w:r w:rsidRPr="0031675F">
        <w:rPr>
          <w:b/>
        </w:rPr>
        <w:t>10.4</w:t>
      </w:r>
      <w:r w:rsidRPr="0031675F">
        <w:t xml:space="preserve"> </w:t>
      </w:r>
      <w:r w:rsidRPr="0031675F">
        <w:tab/>
        <w:t>Remove the reagent water with Brij and add the working phenol solution, working hypochlorite solution, and working tri sodium citrate solution to the system. Allow to equilibrate for 5 minutes.</w:t>
      </w:r>
    </w:p>
    <w:p w14:paraId="7CD478CC" w14:textId="77777777" w:rsidR="0031675F" w:rsidRPr="0031675F" w:rsidRDefault="0031675F" w:rsidP="0031675F">
      <w:pPr>
        <w:ind w:left="540" w:hanging="540"/>
      </w:pPr>
    </w:p>
    <w:p w14:paraId="7E2B2956" w14:textId="43C04236" w:rsidR="0031675F" w:rsidRPr="0031675F" w:rsidRDefault="0031675F" w:rsidP="0031675F">
      <w:pPr>
        <w:ind w:left="540" w:hanging="540"/>
      </w:pPr>
      <w:r w:rsidRPr="0031675F">
        <w:rPr>
          <w:b/>
        </w:rPr>
        <w:t>10.5</w:t>
      </w:r>
      <w:r w:rsidRPr="0031675F">
        <w:t xml:space="preserve"> </w:t>
      </w:r>
      <w:r w:rsidRPr="0031675F">
        <w:tab/>
        <w:t>Inject a high level ammonia standard e.g. 100 µg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for 90 seconds and observe the peak absorbency through the spectrophotometer. </w:t>
      </w:r>
    </w:p>
    <w:p w14:paraId="58DDB290" w14:textId="77777777" w:rsidR="0031675F" w:rsidRPr="0031675F" w:rsidRDefault="0031675F" w:rsidP="0031675F">
      <w:pPr>
        <w:ind w:left="1440" w:hanging="900"/>
      </w:pPr>
    </w:p>
    <w:p w14:paraId="4C1834EC" w14:textId="77777777" w:rsidR="0031675F" w:rsidRPr="0031675F" w:rsidRDefault="0031675F" w:rsidP="0031675F">
      <w:pPr>
        <w:ind w:left="540" w:hanging="540"/>
      </w:pPr>
      <w:r w:rsidRPr="0031675F">
        <w:rPr>
          <w:b/>
        </w:rPr>
        <w:t>10.6</w:t>
      </w:r>
      <w:r w:rsidRPr="0031675F">
        <w:t xml:space="preserve"> </w:t>
      </w:r>
      <w:r w:rsidRPr="0031675F">
        <w:tab/>
        <w:t>Start the autosampler run. Observe that the first set of standards peak heights are normal and then check run periodically to ensure no malfunctions have occurred.</w:t>
      </w:r>
    </w:p>
    <w:p w14:paraId="57B3302D" w14:textId="77777777" w:rsidR="0031675F" w:rsidRPr="0031675F" w:rsidRDefault="0031675F" w:rsidP="0031675F">
      <w:pPr>
        <w:ind w:left="540" w:hanging="540"/>
      </w:pPr>
    </w:p>
    <w:p w14:paraId="104C2483" w14:textId="77777777" w:rsidR="0031675F" w:rsidRPr="0031675F" w:rsidRDefault="0031675F" w:rsidP="0031675F">
      <w:pPr>
        <w:ind w:left="540" w:hanging="540"/>
      </w:pPr>
      <w:r w:rsidRPr="0031675F">
        <w:rPr>
          <w:b/>
        </w:rPr>
        <w:t>10.8</w:t>
      </w:r>
      <w:r w:rsidRPr="0031675F">
        <w:t xml:space="preserve"> </w:t>
      </w:r>
      <w:r w:rsidRPr="0031675F">
        <w:tab/>
        <w:t xml:space="preserve">When autosampler run is finished stop the software, remove the working phenol solution, working hypochlorite solution and the working tri sodium citrate solution then put the reagent water with Brij back on. Rinse the manifold for a minimum of one hour and then turn the auto-analyser and peristaltic pump off. </w:t>
      </w:r>
    </w:p>
    <w:p w14:paraId="54217A39" w14:textId="77777777" w:rsidR="0031675F" w:rsidRPr="0031675F" w:rsidRDefault="0031675F" w:rsidP="0031675F">
      <w:pPr>
        <w:ind w:left="540" w:hanging="540"/>
      </w:pPr>
    </w:p>
    <w:p w14:paraId="235AC53C" w14:textId="77777777" w:rsidR="0031675F" w:rsidRPr="0031675F" w:rsidRDefault="0031675F" w:rsidP="0031675F">
      <w:pPr>
        <w:ind w:left="540" w:hanging="540"/>
      </w:pPr>
      <w:r w:rsidRPr="0031675F">
        <w:rPr>
          <w:b/>
        </w:rPr>
        <w:t>10.9</w:t>
      </w:r>
      <w:r w:rsidRPr="0031675F">
        <w:t xml:space="preserve"> </w:t>
      </w:r>
      <w:r w:rsidRPr="0031675F">
        <w:tab/>
        <w:t>Print out a hard copy of the trace and calculate results.</w:t>
      </w:r>
    </w:p>
    <w:p w14:paraId="6C4D512E" w14:textId="77777777" w:rsidR="0031675F" w:rsidRPr="0031675F" w:rsidRDefault="0031675F" w:rsidP="0031675F">
      <w:pPr>
        <w:rPr>
          <w:b/>
        </w:rPr>
      </w:pPr>
    </w:p>
    <w:p w14:paraId="6D304F5D" w14:textId="77777777" w:rsidR="0031675F" w:rsidRPr="0031675F" w:rsidRDefault="0031675F" w:rsidP="0031675F">
      <w:pPr>
        <w:shd w:val="clear" w:color="auto" w:fill="D9D9D9"/>
        <w:ind w:left="567" w:hanging="567"/>
        <w:rPr>
          <w:b/>
        </w:rPr>
      </w:pPr>
      <w:r w:rsidRPr="0031675F">
        <w:rPr>
          <w:b/>
        </w:rPr>
        <w:t xml:space="preserve">11.0 </w:t>
      </w:r>
      <w:r w:rsidRPr="0031675F">
        <w:rPr>
          <w:b/>
        </w:rPr>
        <w:tab/>
        <w:t>DATA ANALYSIS AND CALCULATIONS</w:t>
      </w:r>
    </w:p>
    <w:p w14:paraId="71619426" w14:textId="77777777" w:rsidR="0031675F" w:rsidRPr="0031675F" w:rsidRDefault="0031675F" w:rsidP="0031675F">
      <w:pPr>
        <w:ind w:left="720" w:hanging="720"/>
        <w:rPr>
          <w:b/>
        </w:rPr>
      </w:pPr>
    </w:p>
    <w:p w14:paraId="477D6F43" w14:textId="77777777" w:rsidR="0031675F" w:rsidRPr="0031675F" w:rsidRDefault="0031675F" w:rsidP="0031675F">
      <w:pPr>
        <w:ind w:left="540" w:hanging="540"/>
      </w:pPr>
      <w:r w:rsidRPr="0031675F">
        <w:rPr>
          <w:b/>
        </w:rPr>
        <w:t>11.1</w:t>
      </w:r>
      <w:r w:rsidRPr="0031675F">
        <w:t xml:space="preserve"> </w:t>
      </w:r>
      <w:r w:rsidRPr="0031675F">
        <w:tab/>
        <w:t>Concentrations of ammonia in samples are calculated from both quadratic and cubic equations obtained from the calibration standards.</w:t>
      </w:r>
    </w:p>
    <w:p w14:paraId="3222481D" w14:textId="77777777" w:rsidR="0031675F" w:rsidRPr="0031675F" w:rsidRDefault="0031675F" w:rsidP="0031675F">
      <w:pPr>
        <w:ind w:left="540" w:hanging="540"/>
      </w:pPr>
    </w:p>
    <w:p w14:paraId="68355427" w14:textId="77777777" w:rsidR="0031675F" w:rsidRPr="0031675F" w:rsidRDefault="0031675F" w:rsidP="0031675F">
      <w:pPr>
        <w:numPr>
          <w:ilvl w:val="1"/>
          <w:numId w:val="176"/>
        </w:numPr>
        <w:spacing w:before="0" w:after="0" w:line="240" w:lineRule="auto"/>
        <w:ind w:left="540" w:hanging="540"/>
        <w:jc w:val="both"/>
      </w:pPr>
      <w:r w:rsidRPr="0031675F">
        <w:t>The Quality Control of the results (refer 7.0) is assessed and results are either accepted or rejected and re-run at a later date.</w:t>
      </w:r>
    </w:p>
    <w:p w14:paraId="60EA5147" w14:textId="77777777" w:rsidR="0031675F" w:rsidRPr="0031675F" w:rsidRDefault="0031675F" w:rsidP="0031675F">
      <w:pPr>
        <w:ind w:left="1134" w:hanging="1134"/>
      </w:pPr>
    </w:p>
    <w:p w14:paraId="183D0D54" w14:textId="68B35420" w:rsidR="0031675F" w:rsidRPr="0031675F" w:rsidRDefault="0031675F" w:rsidP="0031675F">
      <w:pPr>
        <w:numPr>
          <w:ilvl w:val="1"/>
          <w:numId w:val="176"/>
        </w:numPr>
        <w:spacing w:before="0" w:after="0" w:line="240" w:lineRule="auto"/>
        <w:ind w:left="540" w:hanging="540"/>
        <w:jc w:val="both"/>
      </w:pPr>
      <w:r w:rsidRPr="0031675F">
        <w:t>Results should be reported in µg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unless otherwise requested (e.g. high values &gt; 5 mg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with the replicate and spike values stated on the report.</w:t>
      </w:r>
    </w:p>
    <w:p w14:paraId="7934FEA4" w14:textId="77777777" w:rsidR="0031675F" w:rsidRPr="0031675F" w:rsidRDefault="0031675F" w:rsidP="0031675F">
      <w:pPr>
        <w:ind w:left="1134" w:hanging="1134"/>
      </w:pPr>
    </w:p>
    <w:p w14:paraId="0119E373" w14:textId="77777777" w:rsidR="0031675F" w:rsidRPr="0031675F" w:rsidRDefault="0031675F" w:rsidP="0031675F">
      <w:pPr>
        <w:numPr>
          <w:ilvl w:val="2"/>
          <w:numId w:val="176"/>
        </w:numPr>
        <w:spacing w:before="0" w:after="0" w:line="240" w:lineRule="auto"/>
        <w:ind w:left="1247" w:hanging="680"/>
        <w:jc w:val="both"/>
      </w:pPr>
      <w:r w:rsidRPr="0031675F">
        <w:t>To calculate spike values for undiluted samples:</w:t>
      </w:r>
    </w:p>
    <w:p w14:paraId="59376EA5" w14:textId="77777777" w:rsidR="0031675F" w:rsidRPr="0031675F" w:rsidRDefault="0031675F" w:rsidP="0031675F"/>
    <w:tbl>
      <w:tblPr>
        <w:tblW w:w="0" w:type="auto"/>
        <w:jc w:val="center"/>
        <w:tblLook w:val="01E0" w:firstRow="1" w:lastRow="1" w:firstColumn="1" w:lastColumn="1" w:noHBand="0" w:noVBand="0"/>
        <w:tblCaption w:val="Formula"/>
        <w:tblDescription w:val="Calculation of spike values for undiluted samples."/>
      </w:tblPr>
      <w:tblGrid>
        <w:gridCol w:w="2448"/>
        <w:gridCol w:w="5040"/>
        <w:gridCol w:w="1368"/>
      </w:tblGrid>
      <w:tr w:rsidR="0031675F" w:rsidRPr="0031675F" w14:paraId="0FC6735E" w14:textId="77777777" w:rsidTr="00B00729">
        <w:trPr>
          <w:cantSplit/>
          <w:trHeight w:val="504"/>
          <w:jc w:val="center"/>
        </w:trPr>
        <w:tc>
          <w:tcPr>
            <w:tcW w:w="2448" w:type="dxa"/>
            <w:vMerge w:val="restart"/>
            <w:vAlign w:val="center"/>
          </w:tcPr>
          <w:p w14:paraId="3E9C8ECD" w14:textId="77777777" w:rsidR="0031675F" w:rsidRPr="0031675F" w:rsidRDefault="0031675F" w:rsidP="0031675F">
            <w:pPr>
              <w:jc w:val="center"/>
            </w:pPr>
            <w:r w:rsidRPr="0031675F">
              <w:t>Spike Recovery (%) =</w:t>
            </w:r>
          </w:p>
        </w:tc>
        <w:tc>
          <w:tcPr>
            <w:tcW w:w="5040" w:type="dxa"/>
            <w:tcBorders>
              <w:bottom w:val="single" w:sz="4" w:space="0" w:color="auto"/>
            </w:tcBorders>
            <w:vAlign w:val="center"/>
          </w:tcPr>
          <w:p w14:paraId="171F3221" w14:textId="77777777" w:rsidR="0031675F" w:rsidRPr="0031675F" w:rsidRDefault="0031675F" w:rsidP="0031675F">
            <w:pPr>
              <w:jc w:val="center"/>
            </w:pPr>
            <w:r w:rsidRPr="0031675F">
              <w:t>Sample + Average of Blanked Spiked Samples</w:t>
            </w:r>
          </w:p>
        </w:tc>
        <w:tc>
          <w:tcPr>
            <w:tcW w:w="1368" w:type="dxa"/>
            <w:vMerge w:val="restart"/>
            <w:vAlign w:val="center"/>
          </w:tcPr>
          <w:p w14:paraId="22D2E5CB" w14:textId="77777777" w:rsidR="0031675F" w:rsidRPr="0031675F" w:rsidRDefault="0031675F" w:rsidP="0031675F">
            <w:pPr>
              <w:jc w:val="center"/>
            </w:pPr>
            <w:r w:rsidRPr="0031675F">
              <w:t>X 100</w:t>
            </w:r>
          </w:p>
        </w:tc>
      </w:tr>
      <w:tr w:rsidR="0031675F" w:rsidRPr="0031675F" w14:paraId="6BCD4C4A" w14:textId="77777777" w:rsidTr="00B00729">
        <w:trPr>
          <w:cantSplit/>
          <w:trHeight w:val="516"/>
          <w:jc w:val="center"/>
        </w:trPr>
        <w:tc>
          <w:tcPr>
            <w:tcW w:w="2448" w:type="dxa"/>
            <w:vMerge/>
            <w:vAlign w:val="center"/>
          </w:tcPr>
          <w:p w14:paraId="4B448FBA" w14:textId="77777777" w:rsidR="0031675F" w:rsidRPr="0031675F" w:rsidRDefault="0031675F" w:rsidP="0031675F"/>
        </w:tc>
        <w:tc>
          <w:tcPr>
            <w:tcW w:w="5040" w:type="dxa"/>
            <w:tcBorders>
              <w:top w:val="single" w:sz="4" w:space="0" w:color="auto"/>
            </w:tcBorders>
            <w:vAlign w:val="center"/>
          </w:tcPr>
          <w:p w14:paraId="204A9D5A" w14:textId="77777777" w:rsidR="0031675F" w:rsidRPr="0031675F" w:rsidRDefault="0031675F" w:rsidP="0031675F">
            <w:pPr>
              <w:jc w:val="center"/>
            </w:pPr>
            <w:r w:rsidRPr="0031675F">
              <w:t>Spiked Sample</w:t>
            </w:r>
          </w:p>
        </w:tc>
        <w:tc>
          <w:tcPr>
            <w:tcW w:w="1368" w:type="dxa"/>
            <w:vMerge/>
            <w:vAlign w:val="center"/>
          </w:tcPr>
          <w:p w14:paraId="698343CF" w14:textId="77777777" w:rsidR="0031675F" w:rsidRPr="0031675F" w:rsidRDefault="0031675F" w:rsidP="0031675F">
            <w:pPr>
              <w:jc w:val="center"/>
            </w:pPr>
          </w:p>
        </w:tc>
      </w:tr>
    </w:tbl>
    <w:p w14:paraId="3DF4A8E5" w14:textId="77777777" w:rsidR="0031675F" w:rsidRPr="0031675F" w:rsidRDefault="0031675F" w:rsidP="0031675F"/>
    <w:p w14:paraId="6E003653" w14:textId="77777777" w:rsidR="0031675F" w:rsidRPr="0031675F" w:rsidRDefault="0031675F" w:rsidP="0031675F">
      <w:pPr>
        <w:numPr>
          <w:ilvl w:val="2"/>
          <w:numId w:val="176"/>
        </w:numPr>
        <w:spacing w:before="0" w:after="0" w:line="240" w:lineRule="auto"/>
        <w:jc w:val="both"/>
      </w:pPr>
      <w:r w:rsidRPr="0031675F">
        <w:t>To calculate spike values for diluted samples:</w:t>
      </w:r>
    </w:p>
    <w:p w14:paraId="193105E4" w14:textId="77777777" w:rsidR="0031675F" w:rsidRPr="0031675F" w:rsidRDefault="0031675F" w:rsidP="0031675F"/>
    <w:tbl>
      <w:tblPr>
        <w:tblW w:w="0" w:type="auto"/>
        <w:jc w:val="center"/>
        <w:tblLook w:val="01E0" w:firstRow="1" w:lastRow="1" w:firstColumn="1" w:lastColumn="1" w:noHBand="0" w:noVBand="0"/>
        <w:tblCaption w:val="Formula"/>
        <w:tblDescription w:val="Calculation of spike values for diluted samples."/>
      </w:tblPr>
      <w:tblGrid>
        <w:gridCol w:w="2448"/>
        <w:gridCol w:w="5040"/>
        <w:gridCol w:w="1368"/>
      </w:tblGrid>
      <w:tr w:rsidR="0031675F" w:rsidRPr="0031675F" w14:paraId="08A133B4" w14:textId="77777777" w:rsidTr="00B00729">
        <w:trPr>
          <w:cantSplit/>
          <w:trHeight w:val="786"/>
          <w:jc w:val="center"/>
        </w:trPr>
        <w:tc>
          <w:tcPr>
            <w:tcW w:w="2448" w:type="dxa"/>
            <w:vMerge w:val="restart"/>
            <w:vAlign w:val="center"/>
          </w:tcPr>
          <w:p w14:paraId="08BBB97F" w14:textId="77777777" w:rsidR="0031675F" w:rsidRPr="0031675F" w:rsidRDefault="0031675F" w:rsidP="0031675F">
            <w:pPr>
              <w:jc w:val="center"/>
            </w:pPr>
            <w:r w:rsidRPr="0031675F">
              <w:t>Spike Recovery (Dilutions) (%) =</w:t>
            </w:r>
          </w:p>
        </w:tc>
        <w:tc>
          <w:tcPr>
            <w:tcW w:w="5040" w:type="dxa"/>
            <w:tcBorders>
              <w:bottom w:val="single" w:sz="4" w:space="0" w:color="auto"/>
            </w:tcBorders>
            <w:vAlign w:val="center"/>
          </w:tcPr>
          <w:p w14:paraId="24C8036C" w14:textId="77777777" w:rsidR="0031675F" w:rsidRPr="0031675F" w:rsidRDefault="0031675F" w:rsidP="0031675F">
            <w:pPr>
              <w:jc w:val="center"/>
            </w:pPr>
            <w:r w:rsidRPr="0031675F">
              <w:t>(Sample/Dilution) + Average of Blanked Spiked Samples</w:t>
            </w:r>
          </w:p>
        </w:tc>
        <w:tc>
          <w:tcPr>
            <w:tcW w:w="1368" w:type="dxa"/>
            <w:vMerge w:val="restart"/>
            <w:vAlign w:val="center"/>
          </w:tcPr>
          <w:p w14:paraId="2838083F" w14:textId="77777777" w:rsidR="0031675F" w:rsidRPr="0031675F" w:rsidRDefault="0031675F" w:rsidP="0031675F">
            <w:pPr>
              <w:jc w:val="center"/>
            </w:pPr>
            <w:r w:rsidRPr="0031675F">
              <w:t>X 100</w:t>
            </w:r>
          </w:p>
        </w:tc>
      </w:tr>
      <w:tr w:rsidR="0031675F" w:rsidRPr="0031675F" w14:paraId="01C27E5A" w14:textId="77777777" w:rsidTr="00B00729">
        <w:trPr>
          <w:cantSplit/>
          <w:trHeight w:val="649"/>
          <w:jc w:val="center"/>
        </w:trPr>
        <w:tc>
          <w:tcPr>
            <w:tcW w:w="2448" w:type="dxa"/>
            <w:vMerge/>
            <w:vAlign w:val="center"/>
          </w:tcPr>
          <w:p w14:paraId="2B493990" w14:textId="77777777" w:rsidR="0031675F" w:rsidRPr="0031675F" w:rsidRDefault="0031675F" w:rsidP="0031675F"/>
        </w:tc>
        <w:tc>
          <w:tcPr>
            <w:tcW w:w="5040" w:type="dxa"/>
            <w:tcBorders>
              <w:top w:val="single" w:sz="4" w:space="0" w:color="auto"/>
            </w:tcBorders>
            <w:vAlign w:val="center"/>
          </w:tcPr>
          <w:p w14:paraId="3332137E" w14:textId="77777777" w:rsidR="0031675F" w:rsidRPr="0031675F" w:rsidRDefault="0031675F" w:rsidP="0031675F">
            <w:pPr>
              <w:jc w:val="center"/>
            </w:pPr>
            <w:r w:rsidRPr="0031675F">
              <w:t>(Spiked Sample/dilution)</w:t>
            </w:r>
          </w:p>
        </w:tc>
        <w:tc>
          <w:tcPr>
            <w:tcW w:w="1368" w:type="dxa"/>
            <w:vMerge/>
            <w:vAlign w:val="center"/>
          </w:tcPr>
          <w:p w14:paraId="23229BDF" w14:textId="77777777" w:rsidR="0031675F" w:rsidRPr="0031675F" w:rsidRDefault="0031675F" w:rsidP="0031675F"/>
        </w:tc>
      </w:tr>
    </w:tbl>
    <w:p w14:paraId="1D75E8FC" w14:textId="77777777" w:rsidR="0031675F" w:rsidRPr="0031675F" w:rsidRDefault="0031675F" w:rsidP="0031675F">
      <w:pPr>
        <w:rPr>
          <w:b/>
        </w:rPr>
      </w:pPr>
    </w:p>
    <w:p w14:paraId="4F77DE6B" w14:textId="77777777" w:rsidR="0031675F" w:rsidRPr="0031675F" w:rsidRDefault="0031675F" w:rsidP="0031675F">
      <w:pPr>
        <w:rPr>
          <w:b/>
        </w:rPr>
      </w:pPr>
    </w:p>
    <w:p w14:paraId="449C9BAB" w14:textId="77777777" w:rsidR="0031675F" w:rsidRPr="0031675F" w:rsidRDefault="0031675F" w:rsidP="0031675F">
      <w:r w:rsidRPr="0031675F">
        <w:br w:type="page"/>
      </w:r>
    </w:p>
    <w:p w14:paraId="470CBF12" w14:textId="77777777" w:rsidR="0031675F" w:rsidRPr="0031675F" w:rsidRDefault="0031675F" w:rsidP="0031675F">
      <w:pPr>
        <w:shd w:val="clear" w:color="auto" w:fill="D9D9D9"/>
      </w:pPr>
      <w:r w:rsidRPr="0031675F">
        <w:rPr>
          <w:b/>
        </w:rPr>
        <w:t xml:space="preserve">12.0 </w:t>
      </w:r>
      <w:r w:rsidRPr="0031675F">
        <w:rPr>
          <w:b/>
        </w:rPr>
        <w:tab/>
        <w:t>TABLES, DIAGRAMS, FLOWCHARTS</w:t>
      </w:r>
    </w:p>
    <w:p w14:paraId="4F0AE81C" w14:textId="77777777" w:rsidR="0031675F" w:rsidRPr="0031675F" w:rsidRDefault="0031675F" w:rsidP="0031675F">
      <w:pPr>
        <w:rPr>
          <w:b/>
        </w:rPr>
      </w:pPr>
    </w:p>
    <w:p w14:paraId="2DD5FDA4" w14:textId="77777777" w:rsidR="0031675F" w:rsidRPr="0031675F" w:rsidRDefault="0031675F" w:rsidP="0031675F">
      <w:r w:rsidRPr="0031675F">
        <w:rPr>
          <w:noProof/>
          <w:lang w:eastAsia="en-AU"/>
        </w:rPr>
        <mc:AlternateContent>
          <mc:Choice Requires="wpc">
            <w:drawing>
              <wp:inline distT="0" distB="0" distL="0" distR="0" wp14:anchorId="3BB10F67" wp14:editId="5D825BEB">
                <wp:extent cx="5979160" cy="4724400"/>
                <wp:effectExtent l="0" t="0" r="0" b="0"/>
                <wp:docPr id="225" name="Canvas 72" descr="Flowchart of inputs" title="TN Manifold – Nitrogen Total Alkaline Persulfate"/>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114" name="Group 114" descr="Flowchart of inputs." title="TN Manifold – Nitrogen Total Alkaline Persulfate"/>
                        <wpg:cNvGrpSpPr/>
                        <wpg:grpSpPr>
                          <a:xfrm>
                            <a:off x="82550" y="403860"/>
                            <a:ext cx="5041900" cy="3413124"/>
                            <a:chOff x="82550" y="403860"/>
                            <a:chExt cx="5041900" cy="3413124"/>
                          </a:xfrm>
                        </wpg:grpSpPr>
                        <wps:wsp>
                          <wps:cNvPr id="49" name="Text Box 74"/>
                          <wps:cNvSpPr txBox="1">
                            <a:spLocks noChangeArrowheads="1"/>
                          </wps:cNvSpPr>
                          <wps:spPr bwMode="auto">
                            <a:xfrm>
                              <a:off x="720725" y="561340"/>
                              <a:ext cx="145605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933B75" w14:textId="77777777" w:rsidR="00CB53E4" w:rsidRDefault="00CB53E4" w:rsidP="0031675F">
                                <w:pPr>
                                  <w:rPr>
                                    <w:b/>
                                    <w:sz w:val="16"/>
                                    <w:szCs w:val="16"/>
                                  </w:rPr>
                                </w:pPr>
                                <w:r>
                                  <w:rPr>
                                    <w:b/>
                                    <w:sz w:val="16"/>
                                    <w:szCs w:val="16"/>
                                  </w:rPr>
                                  <w:t>Debubbler</w:t>
                                </w:r>
                              </w:p>
                            </w:txbxContent>
                          </wps:txbx>
                          <wps:bodyPr rot="0" vert="horz" wrap="square" lIns="91440" tIns="45720" rIns="91440" bIns="45720" anchor="t" anchorCtr="0" upright="1">
                            <a:noAutofit/>
                          </wps:bodyPr>
                        </wps:wsp>
                        <wps:wsp>
                          <wps:cNvPr id="50" name="Text Box 75"/>
                          <wps:cNvSpPr txBox="1">
                            <a:spLocks noChangeArrowheads="1"/>
                          </wps:cNvSpPr>
                          <wps:spPr bwMode="auto">
                            <a:xfrm>
                              <a:off x="3803015" y="1902460"/>
                              <a:ext cx="1235075" cy="742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E2AC3A" w14:textId="77777777" w:rsidR="00CB53E4" w:rsidRDefault="00CB53E4" w:rsidP="0031675F">
                                <w:pPr>
                                  <w:rPr>
                                    <w:b/>
                                    <w:sz w:val="16"/>
                                    <w:szCs w:val="16"/>
                                  </w:rPr>
                                </w:pPr>
                                <w:r>
                                  <w:rPr>
                                    <w:b/>
                                    <w:sz w:val="16"/>
                                    <w:szCs w:val="16"/>
                                  </w:rPr>
                                  <w:t>Color Reagent</w:t>
                                </w:r>
                              </w:p>
                            </w:txbxContent>
                          </wps:txbx>
                          <wps:bodyPr rot="0" vert="horz" wrap="square" lIns="91440" tIns="45720" rIns="91440" bIns="45720" anchor="t" anchorCtr="0" upright="1">
                            <a:noAutofit/>
                          </wps:bodyPr>
                        </wps:wsp>
                        <wps:wsp>
                          <wps:cNvPr id="52" name="Text Box 76"/>
                          <wps:cNvSpPr txBox="1">
                            <a:spLocks noChangeArrowheads="1"/>
                          </wps:cNvSpPr>
                          <wps:spPr bwMode="auto">
                            <a:xfrm>
                              <a:off x="3810000" y="2295525"/>
                              <a:ext cx="851535" cy="588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7C32E8" w14:textId="77777777" w:rsidR="00CB53E4" w:rsidRDefault="00CB53E4" w:rsidP="0031675F">
                                <w:pPr>
                                  <w:rPr>
                                    <w:b/>
                                    <w:sz w:val="16"/>
                                    <w:szCs w:val="16"/>
                                  </w:rPr>
                                </w:pPr>
                                <w:r>
                                  <w:rPr>
                                    <w:b/>
                                    <w:sz w:val="16"/>
                                    <w:szCs w:val="16"/>
                                  </w:rPr>
                                  <w:t>Sample</w:t>
                                </w:r>
                              </w:p>
                            </w:txbxContent>
                          </wps:txbx>
                          <wps:bodyPr rot="0" vert="horz" wrap="square" lIns="91440" tIns="45720" rIns="91440" bIns="45720" anchor="t" anchorCtr="0" upright="1">
                            <a:noAutofit/>
                          </wps:bodyPr>
                        </wps:wsp>
                        <wps:wsp>
                          <wps:cNvPr id="54" name="Text Box 77"/>
                          <wps:cNvSpPr txBox="1">
                            <a:spLocks noChangeArrowheads="1"/>
                          </wps:cNvSpPr>
                          <wps:spPr bwMode="auto">
                            <a:xfrm>
                              <a:off x="3796030" y="2746375"/>
                              <a:ext cx="1328420" cy="640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611B01" w14:textId="77777777" w:rsidR="00CB53E4" w:rsidRDefault="00CB53E4" w:rsidP="0031675F">
                                <w:pPr>
                                  <w:rPr>
                                    <w:b/>
                                    <w:sz w:val="16"/>
                                    <w:szCs w:val="16"/>
                                  </w:rPr>
                                </w:pPr>
                                <w:r>
                                  <w:rPr>
                                    <w:b/>
                                    <w:sz w:val="16"/>
                                    <w:szCs w:val="16"/>
                                  </w:rPr>
                                  <w:t>Inert Gas (Ar)</w:t>
                                </w:r>
                              </w:p>
                            </w:txbxContent>
                          </wps:txbx>
                          <wps:bodyPr rot="0" vert="horz" wrap="square" lIns="91440" tIns="45720" rIns="91440" bIns="45720" anchor="t" anchorCtr="0" upright="1">
                            <a:noAutofit/>
                          </wps:bodyPr>
                        </wps:wsp>
                        <wps:wsp>
                          <wps:cNvPr id="55" name="Text Box 78"/>
                          <wps:cNvSpPr txBox="1">
                            <a:spLocks noChangeArrowheads="1"/>
                          </wps:cNvSpPr>
                          <wps:spPr bwMode="auto">
                            <a:xfrm>
                              <a:off x="3783330" y="3185795"/>
                              <a:ext cx="1254760"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6B9890" w14:textId="77777777" w:rsidR="00CB53E4" w:rsidRDefault="00CB53E4" w:rsidP="0031675F">
                                <w:pPr>
                                  <w:rPr>
                                    <w:b/>
                                    <w:sz w:val="16"/>
                                    <w:szCs w:val="16"/>
                                  </w:rPr>
                                </w:pPr>
                                <w:r>
                                  <w:rPr>
                                    <w:b/>
                                    <w:sz w:val="16"/>
                                    <w:szCs w:val="16"/>
                                  </w:rPr>
                                  <w:t>NH</w:t>
                                </w:r>
                                <w:r>
                                  <w:rPr>
                                    <w:b/>
                                    <w:sz w:val="16"/>
                                    <w:szCs w:val="16"/>
                                    <w:vertAlign w:val="subscript"/>
                                  </w:rPr>
                                  <w:t>4</w:t>
                                </w:r>
                                <w:r>
                                  <w:rPr>
                                    <w:b/>
                                    <w:sz w:val="16"/>
                                    <w:szCs w:val="16"/>
                                  </w:rPr>
                                  <w:t>Cl Buffer</w:t>
                                </w:r>
                              </w:p>
                            </w:txbxContent>
                          </wps:txbx>
                          <wps:bodyPr rot="0" vert="horz" wrap="square" lIns="91440" tIns="45720" rIns="91440" bIns="45720" anchor="t" anchorCtr="0" upright="1">
                            <a:noAutofit/>
                          </wps:bodyPr>
                        </wps:wsp>
                        <wps:wsp>
                          <wps:cNvPr id="56" name="Line 79"/>
                          <wps:cNvCnPr/>
                          <wps:spPr bwMode="auto">
                            <a:xfrm flipH="1" flipV="1">
                              <a:off x="2961005" y="2213610"/>
                              <a:ext cx="1656715" cy="5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Rectangle 80"/>
                          <wps:cNvSpPr>
                            <a:spLocks noChangeArrowheads="1"/>
                          </wps:cNvSpPr>
                          <wps:spPr bwMode="auto">
                            <a:xfrm>
                              <a:off x="1376045" y="1428115"/>
                              <a:ext cx="805815" cy="2359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 name="Oval 81"/>
                          <wps:cNvSpPr>
                            <a:spLocks noChangeArrowheads="1"/>
                          </wps:cNvSpPr>
                          <wps:spPr bwMode="auto">
                            <a:xfrm>
                              <a:off x="1528445" y="1521460"/>
                              <a:ext cx="10795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59" name="Oval 82"/>
                          <wps:cNvSpPr>
                            <a:spLocks noChangeArrowheads="1"/>
                          </wps:cNvSpPr>
                          <wps:spPr bwMode="auto">
                            <a:xfrm>
                              <a:off x="1920240" y="1682115"/>
                              <a:ext cx="106680" cy="13525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0" name="Oval 83"/>
                          <wps:cNvSpPr>
                            <a:spLocks noChangeArrowheads="1"/>
                          </wps:cNvSpPr>
                          <wps:spPr bwMode="auto">
                            <a:xfrm>
                              <a:off x="1526540" y="1957070"/>
                              <a:ext cx="106680" cy="13462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2" name="Oval 84"/>
                          <wps:cNvSpPr>
                            <a:spLocks noChangeArrowheads="1"/>
                          </wps:cNvSpPr>
                          <wps:spPr bwMode="auto">
                            <a:xfrm>
                              <a:off x="1911985" y="2122805"/>
                              <a:ext cx="10795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3" name="Oval 85"/>
                          <wps:cNvSpPr>
                            <a:spLocks noChangeArrowheads="1"/>
                          </wps:cNvSpPr>
                          <wps:spPr bwMode="auto">
                            <a:xfrm>
                              <a:off x="1533525" y="2861310"/>
                              <a:ext cx="106680"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4" name="Oval 86"/>
                          <wps:cNvSpPr>
                            <a:spLocks noChangeArrowheads="1"/>
                          </wps:cNvSpPr>
                          <wps:spPr bwMode="auto">
                            <a:xfrm>
                              <a:off x="1534160" y="3268980"/>
                              <a:ext cx="107315"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5" name="Oval 87"/>
                          <wps:cNvSpPr>
                            <a:spLocks noChangeArrowheads="1"/>
                          </wps:cNvSpPr>
                          <wps:spPr bwMode="auto">
                            <a:xfrm>
                              <a:off x="1525905" y="2433320"/>
                              <a:ext cx="107315"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6" name="Oval 88"/>
                          <wps:cNvSpPr>
                            <a:spLocks noChangeArrowheads="1"/>
                          </wps:cNvSpPr>
                          <wps:spPr bwMode="auto">
                            <a:xfrm>
                              <a:off x="1920240" y="2597150"/>
                              <a:ext cx="10668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7" name="Oval 89"/>
                          <wps:cNvSpPr>
                            <a:spLocks noChangeArrowheads="1"/>
                          </wps:cNvSpPr>
                          <wps:spPr bwMode="auto">
                            <a:xfrm>
                              <a:off x="1920240" y="3032760"/>
                              <a:ext cx="10668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8" name="Oval 90"/>
                          <wps:cNvSpPr>
                            <a:spLocks noChangeArrowheads="1"/>
                          </wps:cNvSpPr>
                          <wps:spPr bwMode="auto">
                            <a:xfrm>
                              <a:off x="1920875" y="3434715"/>
                              <a:ext cx="106680"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9" name="Text Box 91"/>
                          <wps:cNvSpPr txBox="1">
                            <a:spLocks noChangeArrowheads="1"/>
                          </wps:cNvSpPr>
                          <wps:spPr bwMode="auto">
                            <a:xfrm>
                              <a:off x="1460500" y="3365500"/>
                              <a:ext cx="26543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179758" w14:textId="77777777" w:rsidR="00CB53E4" w:rsidRDefault="00CB53E4" w:rsidP="0031675F">
                                <w:pPr>
                                  <w:jc w:val="center"/>
                                  <w:rPr>
                                    <w:b/>
                                    <w:sz w:val="16"/>
                                    <w:szCs w:val="16"/>
                                  </w:rPr>
                                </w:pPr>
                                <w:r>
                                  <w:rPr>
                                    <w:b/>
                                    <w:sz w:val="16"/>
                                    <w:szCs w:val="16"/>
                                  </w:rPr>
                                  <w:t>1</w:t>
                                </w:r>
                                <w:r>
                                  <w:rPr>
                                    <w:b/>
                                    <w:noProof/>
                                    <w:sz w:val="16"/>
                                    <w:szCs w:val="16"/>
                                    <w:lang w:eastAsia="en-AU"/>
                                  </w:rPr>
                                  <w:drawing>
                                    <wp:inline distT="0" distB="0" distL="0" distR="0" wp14:anchorId="7FB0FEAC" wp14:editId="766B3C52">
                                      <wp:extent cx="39370" cy="45085"/>
                                      <wp:effectExtent l="0" t="0" r="0" b="0"/>
                                      <wp:docPr id="231" name="Picture 231" descr="Rectangular box." title="Design fe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1"/>
                                              <a:srcRect/>
                                              <a:stretch>
                                                <a:fillRect/>
                                              </a:stretch>
                                            </pic:blipFill>
                                            <pic:spPr bwMode="auto">
                                              <a:xfrm>
                                                <a:off x="0" y="0"/>
                                                <a:ext cx="39370" cy="4508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wps:wsp>
                          <wps:cNvPr id="70" name="Text Box 92"/>
                          <wps:cNvSpPr txBox="1">
                            <a:spLocks noChangeArrowheads="1"/>
                          </wps:cNvSpPr>
                          <wps:spPr bwMode="auto">
                            <a:xfrm>
                              <a:off x="1849120" y="3450589"/>
                              <a:ext cx="234950" cy="366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D42812" w14:textId="77777777" w:rsidR="00CB53E4" w:rsidRDefault="00CB53E4" w:rsidP="0031675F">
                                <w:pPr>
                                  <w:rPr>
                                    <w:b/>
                                    <w:sz w:val="16"/>
                                    <w:szCs w:val="16"/>
                                  </w:rPr>
                                </w:pPr>
                                <w:r>
                                  <w:rPr>
                                    <w:b/>
                                    <w:sz w:val="16"/>
                                    <w:szCs w:val="16"/>
                                  </w:rPr>
                                  <w:t>2</w:t>
                                </w:r>
                              </w:p>
                            </w:txbxContent>
                          </wps:txbx>
                          <wps:bodyPr rot="0" vert="horz" wrap="square" lIns="91440" tIns="45720" rIns="91440" bIns="45720" anchor="t" anchorCtr="0" upright="1">
                            <a:noAutofit/>
                          </wps:bodyPr>
                        </wps:wsp>
                        <wps:wsp>
                          <wps:cNvPr id="71" name="Text Box 93"/>
                          <wps:cNvSpPr txBox="1">
                            <a:spLocks noChangeArrowheads="1"/>
                          </wps:cNvSpPr>
                          <wps:spPr bwMode="auto">
                            <a:xfrm>
                              <a:off x="1840229" y="3089275"/>
                              <a:ext cx="220345" cy="350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607B91" w14:textId="77777777" w:rsidR="00CB53E4" w:rsidRDefault="00CB53E4" w:rsidP="0031675F">
                                <w:pPr>
                                  <w:rPr>
                                    <w:b/>
                                    <w:sz w:val="16"/>
                                    <w:szCs w:val="16"/>
                                  </w:rPr>
                                </w:pPr>
                                <w:r>
                                  <w:rPr>
                                    <w:b/>
                                    <w:sz w:val="16"/>
                                    <w:szCs w:val="16"/>
                                  </w:rPr>
                                  <w:t>4</w:t>
                                </w:r>
                              </w:p>
                            </w:txbxContent>
                          </wps:txbx>
                          <wps:bodyPr rot="0" vert="horz" wrap="square" lIns="91440" tIns="45720" rIns="91440" bIns="45720" anchor="t" anchorCtr="0" upright="1">
                            <a:noAutofit/>
                          </wps:bodyPr>
                        </wps:wsp>
                        <wps:wsp>
                          <wps:cNvPr id="72" name="Text Box 94"/>
                          <wps:cNvSpPr txBox="1">
                            <a:spLocks noChangeArrowheads="1"/>
                          </wps:cNvSpPr>
                          <wps:spPr bwMode="auto">
                            <a:xfrm>
                              <a:off x="1453515" y="2941320"/>
                              <a:ext cx="25082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977A66" w14:textId="77777777" w:rsidR="00CB53E4" w:rsidRDefault="00CB53E4" w:rsidP="0031675F">
                                <w:pPr>
                                  <w:rPr>
                                    <w:b/>
                                    <w:sz w:val="16"/>
                                    <w:szCs w:val="16"/>
                                  </w:rPr>
                                </w:pPr>
                                <w:r>
                                  <w:rPr>
                                    <w:b/>
                                    <w:sz w:val="16"/>
                                    <w:szCs w:val="16"/>
                                  </w:rPr>
                                  <w:t>3</w:t>
                                </w:r>
                              </w:p>
                            </w:txbxContent>
                          </wps:txbx>
                          <wps:bodyPr rot="0" vert="horz" wrap="square" lIns="91440" tIns="45720" rIns="91440" bIns="45720" anchor="t" anchorCtr="0" upright="1">
                            <a:noAutofit/>
                          </wps:bodyPr>
                        </wps:wsp>
                        <wps:wsp>
                          <wps:cNvPr id="73" name="Text Box 95"/>
                          <wps:cNvSpPr txBox="1">
                            <a:spLocks noChangeArrowheads="1"/>
                          </wps:cNvSpPr>
                          <wps:spPr bwMode="auto">
                            <a:xfrm>
                              <a:off x="1839595" y="2713354"/>
                              <a:ext cx="295910" cy="366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57BB0" w14:textId="77777777" w:rsidR="00CB53E4" w:rsidRDefault="00CB53E4" w:rsidP="0031675F">
                                <w:pPr>
                                  <w:rPr>
                                    <w:b/>
                                    <w:sz w:val="16"/>
                                    <w:szCs w:val="16"/>
                                  </w:rPr>
                                </w:pPr>
                                <w:r>
                                  <w:rPr>
                                    <w:b/>
                                    <w:sz w:val="16"/>
                                    <w:szCs w:val="16"/>
                                  </w:rPr>
                                  <w:t>6</w:t>
                                </w:r>
                              </w:p>
                            </w:txbxContent>
                          </wps:txbx>
                          <wps:bodyPr rot="0" vert="horz" wrap="square" lIns="91440" tIns="45720" rIns="91440" bIns="45720" anchor="t" anchorCtr="0" upright="1">
                            <a:noAutofit/>
                          </wps:bodyPr>
                        </wps:wsp>
                        <wps:wsp>
                          <wps:cNvPr id="74" name="Text Box 96"/>
                          <wps:cNvSpPr txBox="1">
                            <a:spLocks noChangeArrowheads="1"/>
                          </wps:cNvSpPr>
                          <wps:spPr bwMode="auto">
                            <a:xfrm>
                              <a:off x="1444625" y="2521585"/>
                              <a:ext cx="281305" cy="398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7DFB6D" w14:textId="77777777" w:rsidR="00CB53E4" w:rsidRDefault="00CB53E4" w:rsidP="0031675F">
                                <w:pPr>
                                  <w:rPr>
                                    <w:b/>
                                    <w:sz w:val="16"/>
                                    <w:szCs w:val="16"/>
                                  </w:rPr>
                                </w:pPr>
                                <w:r>
                                  <w:rPr>
                                    <w:b/>
                                    <w:sz w:val="16"/>
                                    <w:szCs w:val="16"/>
                                  </w:rPr>
                                  <w:t>5</w:t>
                                </w:r>
                              </w:p>
                            </w:txbxContent>
                          </wps:txbx>
                          <wps:bodyPr rot="0" vert="horz" wrap="square" lIns="91440" tIns="45720" rIns="91440" bIns="45720" anchor="t" anchorCtr="0" upright="1">
                            <a:noAutofit/>
                          </wps:bodyPr>
                        </wps:wsp>
                        <wps:wsp>
                          <wps:cNvPr id="75" name="Text Box 97"/>
                          <wps:cNvSpPr txBox="1">
                            <a:spLocks noChangeArrowheads="1"/>
                          </wps:cNvSpPr>
                          <wps:spPr bwMode="auto">
                            <a:xfrm>
                              <a:off x="1824990" y="2221230"/>
                              <a:ext cx="259080" cy="375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494512" w14:textId="77777777" w:rsidR="00CB53E4" w:rsidRDefault="00CB53E4" w:rsidP="0031675F">
                                <w:pPr>
                                  <w:rPr>
                                    <w:b/>
                                    <w:sz w:val="16"/>
                                    <w:szCs w:val="16"/>
                                  </w:rPr>
                                </w:pPr>
                                <w:r>
                                  <w:rPr>
                                    <w:b/>
                                    <w:sz w:val="16"/>
                                    <w:szCs w:val="16"/>
                                  </w:rPr>
                                  <w:t>8</w:t>
                                </w:r>
                              </w:p>
                            </w:txbxContent>
                          </wps:txbx>
                          <wps:bodyPr rot="0" vert="horz" wrap="square" lIns="91440" tIns="45720" rIns="91440" bIns="45720" anchor="t" anchorCtr="0" upright="1">
                            <a:noAutofit/>
                          </wps:bodyPr>
                        </wps:wsp>
                        <wps:wsp>
                          <wps:cNvPr id="76" name="Text Box 98"/>
                          <wps:cNvSpPr txBox="1">
                            <a:spLocks noChangeArrowheads="1"/>
                          </wps:cNvSpPr>
                          <wps:spPr bwMode="auto">
                            <a:xfrm>
                              <a:off x="1444625" y="2054224"/>
                              <a:ext cx="273050" cy="379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DBAE92" w14:textId="77777777" w:rsidR="00CB53E4" w:rsidRDefault="00CB53E4" w:rsidP="0031675F">
                                <w:pPr>
                                  <w:rPr>
                                    <w:b/>
                                    <w:sz w:val="16"/>
                                    <w:szCs w:val="16"/>
                                  </w:rPr>
                                </w:pPr>
                                <w:r>
                                  <w:rPr>
                                    <w:b/>
                                    <w:sz w:val="16"/>
                                    <w:szCs w:val="16"/>
                                  </w:rPr>
                                  <w:t>7</w:t>
                                </w:r>
                              </w:p>
                            </w:txbxContent>
                          </wps:txbx>
                          <wps:bodyPr rot="0" vert="horz" wrap="square" lIns="91440" tIns="45720" rIns="91440" bIns="45720" anchor="t" anchorCtr="0" upright="1">
                            <a:noAutofit/>
                          </wps:bodyPr>
                        </wps:wsp>
                        <wps:wsp>
                          <wps:cNvPr id="78" name="Text Box 99"/>
                          <wps:cNvSpPr txBox="1">
                            <a:spLocks noChangeArrowheads="1"/>
                          </wps:cNvSpPr>
                          <wps:spPr bwMode="auto">
                            <a:xfrm>
                              <a:off x="1803400" y="1781176"/>
                              <a:ext cx="349250" cy="4324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DDD37D" w14:textId="77777777" w:rsidR="00CB53E4" w:rsidRDefault="00CB53E4" w:rsidP="0031675F">
                                <w:pPr>
                                  <w:rPr>
                                    <w:b/>
                                    <w:sz w:val="16"/>
                                    <w:szCs w:val="16"/>
                                  </w:rPr>
                                </w:pPr>
                                <w:r>
                                  <w:rPr>
                                    <w:b/>
                                    <w:sz w:val="16"/>
                                    <w:szCs w:val="16"/>
                                  </w:rPr>
                                  <w:t>10</w:t>
                                </w:r>
                              </w:p>
                            </w:txbxContent>
                          </wps:txbx>
                          <wps:bodyPr rot="0" vert="horz" wrap="square" lIns="91440" tIns="45720" rIns="91440" bIns="45720" anchor="t" anchorCtr="0" upright="1">
                            <a:noAutofit/>
                          </wps:bodyPr>
                        </wps:wsp>
                        <wps:wsp>
                          <wps:cNvPr id="79" name="Text Box 100"/>
                          <wps:cNvSpPr txBox="1">
                            <a:spLocks noChangeArrowheads="1"/>
                          </wps:cNvSpPr>
                          <wps:spPr bwMode="auto">
                            <a:xfrm>
                              <a:off x="1457960" y="1582420"/>
                              <a:ext cx="410210" cy="434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42B687" w14:textId="77777777" w:rsidR="00CB53E4" w:rsidRDefault="00CB53E4" w:rsidP="0031675F">
                                <w:pPr>
                                  <w:rPr>
                                    <w:b/>
                                    <w:sz w:val="16"/>
                                    <w:szCs w:val="16"/>
                                  </w:rPr>
                                </w:pPr>
                                <w:r>
                                  <w:rPr>
                                    <w:b/>
                                    <w:sz w:val="16"/>
                                    <w:szCs w:val="16"/>
                                  </w:rPr>
                                  <w:t>9</w:t>
                                </w:r>
                              </w:p>
                            </w:txbxContent>
                          </wps:txbx>
                          <wps:bodyPr rot="0" vert="horz" wrap="square" lIns="91440" tIns="45720" rIns="91440" bIns="45720" anchor="t" anchorCtr="0" upright="1">
                            <a:noAutofit/>
                          </wps:bodyPr>
                        </wps:wsp>
                        <wps:wsp>
                          <wps:cNvPr id="80" name="Line 101"/>
                          <wps:cNvCnPr/>
                          <wps:spPr bwMode="auto">
                            <a:xfrm flipH="1">
                              <a:off x="2973070" y="3553460"/>
                              <a:ext cx="167957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Line 102"/>
                          <wps:cNvCnPr/>
                          <wps:spPr bwMode="auto">
                            <a:xfrm flipH="1">
                              <a:off x="2964180" y="3077845"/>
                              <a:ext cx="167894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Line 103"/>
                          <wps:cNvCnPr/>
                          <wps:spPr bwMode="auto">
                            <a:xfrm flipH="1">
                              <a:off x="2317750" y="3078480"/>
                              <a:ext cx="65278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 name="Line 104"/>
                          <wps:cNvCnPr/>
                          <wps:spPr bwMode="auto">
                            <a:xfrm flipH="1">
                              <a:off x="2968625" y="2658745"/>
                              <a:ext cx="167957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 name="AutoShape 105"/>
                          <wps:cNvSpPr>
                            <a:spLocks/>
                          </wps:cNvSpPr>
                          <wps:spPr bwMode="auto">
                            <a:xfrm>
                              <a:off x="2044700" y="3121025"/>
                              <a:ext cx="221615" cy="366395"/>
                            </a:xfrm>
                            <a:prstGeom prst="rightBracket">
                              <a:avLst>
                                <a:gd name="adj" fmla="val 1377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Line 106"/>
                          <wps:cNvCnPr/>
                          <wps:spPr bwMode="auto">
                            <a:xfrm flipV="1">
                              <a:off x="2266315" y="3237230"/>
                              <a:ext cx="0" cy="914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 name="Line 107"/>
                          <wps:cNvCnPr/>
                          <wps:spPr bwMode="auto">
                            <a:xfrm flipH="1">
                              <a:off x="2323465" y="355155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 name="Line 108"/>
                          <wps:cNvCnPr/>
                          <wps:spPr bwMode="auto">
                            <a:xfrm flipH="1">
                              <a:off x="2315845" y="266255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Line 109"/>
                          <wps:cNvCnPr/>
                          <wps:spPr bwMode="auto">
                            <a:xfrm flipH="1">
                              <a:off x="2330450" y="221678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Line 110"/>
                          <wps:cNvCnPr/>
                          <wps:spPr bwMode="auto">
                            <a:xfrm flipH="1" flipV="1">
                              <a:off x="1125220" y="2720340"/>
                              <a:ext cx="79883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 name="Line 111"/>
                          <wps:cNvCnPr/>
                          <wps:spPr bwMode="auto">
                            <a:xfrm flipH="1">
                              <a:off x="1141095" y="3370580"/>
                              <a:ext cx="3803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 name="AutoShape 112"/>
                          <wps:cNvSpPr>
                            <a:spLocks/>
                          </wps:cNvSpPr>
                          <wps:spPr bwMode="auto">
                            <a:xfrm>
                              <a:off x="1042035" y="2720340"/>
                              <a:ext cx="106680" cy="650240"/>
                            </a:xfrm>
                            <a:prstGeom prst="leftBracket">
                              <a:avLst>
                                <a:gd name="adj" fmla="val 5079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Line 113"/>
                          <wps:cNvCnPr/>
                          <wps:spPr bwMode="auto">
                            <a:xfrm flipH="1">
                              <a:off x="1156970" y="3370580"/>
                              <a:ext cx="98425"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 name="Line 114"/>
                          <wps:cNvCnPr/>
                          <wps:spPr bwMode="auto">
                            <a:xfrm>
                              <a:off x="1223645" y="2712085"/>
                              <a:ext cx="10604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 name="Oval 115"/>
                          <wps:cNvSpPr>
                            <a:spLocks noChangeArrowheads="1"/>
                          </wps:cNvSpPr>
                          <wps:spPr bwMode="auto">
                            <a:xfrm>
                              <a:off x="1042035" y="3078480"/>
                              <a:ext cx="138430" cy="1181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5" name="Oval 116"/>
                          <wps:cNvSpPr>
                            <a:spLocks noChangeArrowheads="1"/>
                          </wps:cNvSpPr>
                          <wps:spPr bwMode="auto">
                            <a:xfrm>
                              <a:off x="1040130" y="3009265"/>
                              <a:ext cx="137795"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6" name="Oval 117"/>
                          <wps:cNvSpPr>
                            <a:spLocks noChangeArrowheads="1"/>
                          </wps:cNvSpPr>
                          <wps:spPr bwMode="auto">
                            <a:xfrm>
                              <a:off x="1038860" y="2941955"/>
                              <a:ext cx="13843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7" name="AutoShape 118"/>
                          <wps:cNvSpPr>
                            <a:spLocks/>
                          </wps:cNvSpPr>
                          <wps:spPr bwMode="auto">
                            <a:xfrm>
                              <a:off x="1421765" y="2479040"/>
                              <a:ext cx="106680" cy="441325"/>
                            </a:xfrm>
                            <a:prstGeom prst="leftBracket">
                              <a:avLst>
                                <a:gd name="adj" fmla="val 3447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Line 119"/>
                          <wps:cNvCnPr/>
                          <wps:spPr bwMode="auto">
                            <a:xfrm flipV="1">
                              <a:off x="1422400" y="2545080"/>
                              <a:ext cx="0" cy="1174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AutoShape 120"/>
                          <wps:cNvSpPr>
                            <a:spLocks/>
                          </wps:cNvSpPr>
                          <wps:spPr bwMode="auto">
                            <a:xfrm>
                              <a:off x="1004570" y="1544955"/>
                              <a:ext cx="516890" cy="483235"/>
                            </a:xfrm>
                            <a:prstGeom prst="leftBracket">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 name="Oval 121"/>
                          <wps:cNvSpPr>
                            <a:spLocks noChangeArrowheads="1"/>
                          </wps:cNvSpPr>
                          <wps:spPr bwMode="auto">
                            <a:xfrm>
                              <a:off x="1006475" y="1781175"/>
                              <a:ext cx="137795" cy="1168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1" name="Oval 122"/>
                          <wps:cNvSpPr>
                            <a:spLocks noChangeArrowheads="1"/>
                          </wps:cNvSpPr>
                          <wps:spPr bwMode="auto">
                            <a:xfrm>
                              <a:off x="1004570" y="1720215"/>
                              <a:ext cx="13716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2" name="Oval 123"/>
                          <wps:cNvSpPr>
                            <a:spLocks noChangeArrowheads="1"/>
                          </wps:cNvSpPr>
                          <wps:spPr bwMode="auto">
                            <a:xfrm>
                              <a:off x="1008380" y="1642745"/>
                              <a:ext cx="13843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3" name="Line 124"/>
                          <wps:cNvCnPr/>
                          <wps:spPr bwMode="auto">
                            <a:xfrm flipH="1">
                              <a:off x="1148080" y="2017395"/>
                              <a:ext cx="9779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Line 125"/>
                          <wps:cNvCnPr/>
                          <wps:spPr bwMode="auto">
                            <a:xfrm>
                              <a:off x="1227455" y="1543050"/>
                              <a:ext cx="10604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Line 126"/>
                          <wps:cNvCnPr/>
                          <wps:spPr bwMode="auto">
                            <a:xfrm flipV="1">
                              <a:off x="1581785" y="978535"/>
                              <a:ext cx="0" cy="533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 name="Line 127"/>
                          <wps:cNvCnPr/>
                          <wps:spPr bwMode="auto">
                            <a:xfrm flipH="1">
                              <a:off x="1140460" y="978535"/>
                              <a:ext cx="44831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 name="Line 128"/>
                          <wps:cNvCnPr/>
                          <wps:spPr bwMode="auto">
                            <a:xfrm flipV="1">
                              <a:off x="1580515" y="1110615"/>
                              <a:ext cx="635" cy="1162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Line 129"/>
                          <wps:cNvCnPr/>
                          <wps:spPr bwMode="auto">
                            <a:xfrm flipH="1">
                              <a:off x="1268730" y="984250"/>
                              <a:ext cx="9779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Rectangle 130"/>
                          <wps:cNvSpPr>
                            <a:spLocks noChangeArrowheads="1"/>
                          </wps:cNvSpPr>
                          <wps:spPr bwMode="auto">
                            <a:xfrm>
                              <a:off x="935990" y="862330"/>
                              <a:ext cx="205105" cy="241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1" name="Line 131"/>
                          <wps:cNvCnPr/>
                          <wps:spPr bwMode="auto">
                            <a:xfrm flipV="1">
                              <a:off x="1597025" y="1770380"/>
                              <a:ext cx="334010" cy="14916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2" name="Line 132"/>
                          <wps:cNvCnPr/>
                          <wps:spPr bwMode="auto">
                            <a:xfrm flipV="1">
                              <a:off x="1779905" y="2295525"/>
                              <a:ext cx="29845" cy="1581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3" name="Line 133"/>
                          <wps:cNvCnPr/>
                          <wps:spPr bwMode="auto">
                            <a:xfrm flipH="1">
                              <a:off x="479425" y="978535"/>
                              <a:ext cx="4489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 name="Line 134"/>
                          <wps:cNvCnPr/>
                          <wps:spPr bwMode="auto">
                            <a:xfrm flipH="1">
                              <a:off x="620395" y="982345"/>
                              <a:ext cx="98425"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 name="Oval 135"/>
                          <wps:cNvSpPr>
                            <a:spLocks noChangeArrowheads="1"/>
                          </wps:cNvSpPr>
                          <wps:spPr bwMode="auto">
                            <a:xfrm>
                              <a:off x="205740" y="878205"/>
                              <a:ext cx="258445" cy="20066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6" name="Text Box 136"/>
                          <wps:cNvSpPr txBox="1">
                            <a:spLocks noChangeArrowheads="1"/>
                          </wps:cNvSpPr>
                          <wps:spPr bwMode="auto">
                            <a:xfrm>
                              <a:off x="82550" y="403860"/>
                              <a:ext cx="874395" cy="666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310880" w14:textId="77777777" w:rsidR="00CB53E4" w:rsidRDefault="00CB53E4" w:rsidP="0031675F">
                                <w:pPr>
                                  <w:rPr>
                                    <w:b/>
                                    <w:sz w:val="16"/>
                                    <w:szCs w:val="16"/>
                                  </w:rPr>
                                </w:pPr>
                                <w:r>
                                  <w:rPr>
                                    <w:b/>
                                    <w:sz w:val="16"/>
                                    <w:szCs w:val="16"/>
                                  </w:rPr>
                                  <w:t>540 nm Detector</w:t>
                                </w:r>
                              </w:p>
                              <w:p w14:paraId="061FF2AA" w14:textId="77777777" w:rsidR="00CB53E4" w:rsidRDefault="00CB53E4" w:rsidP="0031675F">
                                <w:pPr>
                                  <w:rPr>
                                    <w:b/>
                                    <w:sz w:val="16"/>
                                    <w:szCs w:val="16"/>
                                  </w:rPr>
                                </w:pPr>
                              </w:p>
                            </w:txbxContent>
                          </wps:txbx>
                          <wps:bodyPr rot="0" vert="horz" wrap="square" lIns="91440" tIns="45720" rIns="91440" bIns="45720" anchor="t" anchorCtr="0" upright="1">
                            <a:noAutofit/>
                          </wps:bodyPr>
                        </wps:wsp>
                        <wps:wsp>
                          <wps:cNvPr id="137" name="Line 137"/>
                          <wps:cNvCnPr/>
                          <wps:spPr bwMode="auto">
                            <a:xfrm>
                              <a:off x="335915" y="1069975"/>
                              <a:ext cx="0" cy="400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 name="Line 138"/>
                          <wps:cNvCnPr/>
                          <wps:spPr bwMode="auto">
                            <a:xfrm>
                              <a:off x="335915" y="1162050"/>
                              <a:ext cx="0" cy="1416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 name="Rectangle 139"/>
                          <wps:cNvSpPr>
                            <a:spLocks noChangeArrowheads="1"/>
                          </wps:cNvSpPr>
                          <wps:spPr bwMode="auto">
                            <a:xfrm>
                              <a:off x="183515" y="1495425"/>
                              <a:ext cx="311785" cy="3409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0" name="Text Box 140"/>
                          <wps:cNvSpPr txBox="1">
                            <a:spLocks noChangeArrowheads="1"/>
                          </wps:cNvSpPr>
                          <wps:spPr bwMode="auto">
                            <a:xfrm>
                              <a:off x="121285" y="1837690"/>
                              <a:ext cx="722630" cy="419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C84ECC" w14:textId="77777777" w:rsidR="00CB53E4" w:rsidRDefault="00CB53E4" w:rsidP="0031675F">
                                <w:pPr>
                                  <w:rPr>
                                    <w:b/>
                                    <w:sz w:val="16"/>
                                    <w:szCs w:val="16"/>
                                  </w:rPr>
                                </w:pPr>
                                <w:r>
                                  <w:rPr>
                                    <w:b/>
                                    <w:sz w:val="16"/>
                                    <w:szCs w:val="16"/>
                                  </w:rPr>
                                  <w:t>Waste</w:t>
                                </w:r>
                              </w:p>
                            </w:txbxContent>
                          </wps:txbx>
                          <wps:bodyPr rot="0" vert="horz" wrap="square" lIns="91440" tIns="45720" rIns="91440" bIns="45720" anchor="t" anchorCtr="0" upright="1">
                            <a:noAutofit/>
                          </wps:bodyPr>
                        </wps:wsp>
                        <wps:wsp>
                          <wps:cNvPr id="141" name="Text Box 141"/>
                          <wps:cNvSpPr txBox="1">
                            <a:spLocks noChangeArrowheads="1"/>
                          </wps:cNvSpPr>
                          <wps:spPr bwMode="auto">
                            <a:xfrm>
                              <a:off x="2752725" y="534035"/>
                              <a:ext cx="1725930" cy="657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F49B2A" w14:textId="77777777" w:rsidR="00CB53E4" w:rsidRDefault="00CB53E4" w:rsidP="0031675F">
                                <w:pPr>
                                  <w:rPr>
                                    <w:b/>
                                    <w:sz w:val="20"/>
                                  </w:rPr>
                                </w:pPr>
                                <w:r>
                                  <w:rPr>
                                    <w:b/>
                                    <w:sz w:val="20"/>
                                  </w:rPr>
                                  <w:t>TN Manifold – Nitrogen Total Alkaline Persulfate</w:t>
                                </w:r>
                              </w:p>
                            </w:txbxContent>
                          </wps:txbx>
                          <wps:bodyPr rot="0" vert="horz" wrap="square" lIns="91440" tIns="45720" rIns="91440" bIns="45720" anchor="t" anchorCtr="0" upright="1">
                            <a:noAutofit/>
                          </wps:bodyPr>
                        </wps:wsp>
                      </wpg:wgp>
                    </wpc:wpc>
                  </a:graphicData>
                </a:graphic>
              </wp:inline>
            </w:drawing>
          </mc:Choice>
          <mc:Fallback>
            <w:pict>
              <v:group w14:anchorId="3BB10F67" id="Canvas 72" o:spid="_x0000_s1693" editas="canvas" alt="Title: TN Manifold – Nitrogen Total Alkaline Persulfate - Description: Flowchart of inputs" style="width:470.8pt;height:372pt;mso-position-horizontal-relative:char;mso-position-vertical-relative:line" coordsize="59791,472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">
                <v:shape id="_x0000_s1694" type="#_x0000_t75" alt="Flowchart of inputs" style="position:absolute;width:59791;height:47244;visibility:visible;mso-wrap-style:square">
                  <v:fill o:detectmouseclick="t"/>
                  <v:path o:connecttype="none"/>
                </v:shape>
                <v:group id="Group 114" o:spid="_x0000_s1695" alt="Flowchart of inputs." style="position:absolute;left:825;top:4038;width:50419;height:34131" coordorigin="825,4038" coordsize="50419,341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YKgsQAAADcAAAADwAAAGRycy9kb3ducmV2LnhtbERPS2vCQBC+F/wPywi9&#10;NZtoWyRmFZFaegiFqiDehuyYBLOzIbvN4993C4Xe5uN7TrYdTSN66lxtWUESxSCIC6trLhWcT4en&#10;FQjnkTU2lknBRA62m9lDhqm2A39Rf/SlCCHsUlRQed+mUrqiIoMusi1x4G62M+gD7EqpOxxCuGnk&#10;Io5fpcGaQ0OFLe0rKu7Hb6PgfcBht0ze+vx+20/X08vnJU9Iqcf5uFuD8DT6f/Gf+0OH+ckz/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SYKgsQAAADcAAAA&#10;DwAAAAAAAAAAAAAAAACqAgAAZHJzL2Rvd25yZXYueG1sUEsFBgAAAAAEAAQA+gAAAJsDAAAAAA==&#10;">
                  <v:shape id="Text Box 74" o:spid="_x0000_s1696" type="#_x0000_t202" style="position:absolute;left:7207;top:5613;width:14560;height:5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lTecMA&#10;AADbAAAADwAAAGRycy9kb3ducmV2LnhtbESPzWrDMBCE74W8g9hAbrWUkpbYiWxCS6CnluYPclus&#10;jW1irYylxu7bV4VCjsPMfMOsi9G24ka9bxxrmCcKBHHpTMOVhsN++7gE4QOywdYxafghD0U+eVhj&#10;ZtzAX3TbhUpECPsMNdQhdJmUvqzJok9cRxy9i+sthij7Spoehwi3rXxS6kVabDgu1NjRa03ldfdt&#10;NRw/LufTQn1Wb/a5G9yoJNtUaj2bjpsViEBjuIf/2+9GwyK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lTecMAAADbAAAADwAAAAAAAAAAAAAAAACYAgAAZHJzL2Rv&#10;d25yZXYueG1sUEsFBgAAAAAEAAQA9QAAAIgDAAAAAA==&#10;" filled="f" stroked="f">
                    <v:textbox>
                      <w:txbxContent>
                        <w:p w14:paraId="11933B75" w14:textId="77777777" w:rsidR="00CB53E4" w:rsidRDefault="00CB53E4" w:rsidP="0031675F">
                          <w:pPr>
                            <w:rPr>
                              <w:b/>
                              <w:sz w:val="16"/>
                              <w:szCs w:val="16"/>
                            </w:rPr>
                          </w:pPr>
                          <w:r>
                            <w:rPr>
                              <w:b/>
                              <w:sz w:val="16"/>
                              <w:szCs w:val="16"/>
                            </w:rPr>
                            <w:t>Debubbler</w:t>
                          </w:r>
                        </w:p>
                      </w:txbxContent>
                    </v:textbox>
                  </v:shape>
                  <v:shape id="Text Box 75" o:spid="_x0000_s1697" type="#_x0000_t202" style="position:absolute;left:38030;top:19024;width:12350;height:7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psOb4A&#10;AADbAAAADwAAAGRycy9kb3ducmV2LnhtbERPy4rCMBTdD/gP4QqzGxNFRatRRBFmNeIT3F2aa1ts&#10;bkoTbefvzUJweTjv+bK1pXhS7QvHGvo9BYI4dabgTMPpuP2ZgPAB2WDpmDT8k4flovM1x8S4hvf0&#10;PIRMxBD2CWrIQ6gSKX2ak0XfcxVx5G6uthgirDNpamxiuC3lQKmxtFhwbMixonVO6f3wsBrOf7fr&#10;Zah22caOqsa1SrKdSq2/u+1qBiJQGz7it/vXaBjF9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qbDm+AAAA2wAAAA8AAAAAAAAAAAAAAAAAmAIAAGRycy9kb3ducmV2&#10;LnhtbFBLBQYAAAAABAAEAPUAAACDAwAAAAA=&#10;" filled="f" stroked="f">
                    <v:textbox>
                      <w:txbxContent>
                        <w:p w14:paraId="77E2AC3A" w14:textId="77777777" w:rsidR="00CB53E4" w:rsidRDefault="00CB53E4" w:rsidP="0031675F">
                          <w:pPr>
                            <w:rPr>
                              <w:b/>
                              <w:sz w:val="16"/>
                              <w:szCs w:val="16"/>
                            </w:rPr>
                          </w:pPr>
                          <w:r>
                            <w:rPr>
                              <w:b/>
                              <w:sz w:val="16"/>
                              <w:szCs w:val="16"/>
                            </w:rPr>
                            <w:t>Color Reagent</w:t>
                          </w:r>
                        </w:p>
                      </w:txbxContent>
                    </v:textbox>
                  </v:shape>
                  <v:shape id="Text Box 76" o:spid="_x0000_s1698" type="#_x0000_t202" style="position:absolute;left:38100;top:22955;width:8515;height:5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RX1cIA&#10;AADbAAAADwAAAGRycy9kb3ducmV2LnhtbESPQYvCMBSE74L/ITzBmyaKyto1yrIieFJ0d4W9PZpn&#10;W2xeShNt/fdGEDwOM/MNs1i1thQ3qn3hWMNoqEAQp84UnGn4/dkMPkD4gGywdEwa7uRhtex2FpgY&#10;1/CBbseQiQhhn6CGPIQqkdKnOVn0Q1cRR+/saoshyjqTpsYmwm0px0rNpMWC40KOFX3nlF6OV6vh&#10;b3f+P03UPlvbadW4Vkm2c6l1v9d+fYII1IZ3+NXeGg3TM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dFfVwgAAANsAAAAPAAAAAAAAAAAAAAAAAJgCAABkcnMvZG93&#10;bnJldi54bWxQSwUGAAAAAAQABAD1AAAAhwMAAAAA&#10;" filled="f" stroked="f">
                    <v:textbox>
                      <w:txbxContent>
                        <w:p w14:paraId="747C32E8" w14:textId="77777777" w:rsidR="00CB53E4" w:rsidRDefault="00CB53E4" w:rsidP="0031675F">
                          <w:pPr>
                            <w:rPr>
                              <w:b/>
                              <w:sz w:val="16"/>
                              <w:szCs w:val="16"/>
                            </w:rPr>
                          </w:pPr>
                          <w:r>
                            <w:rPr>
                              <w:b/>
                              <w:sz w:val="16"/>
                              <w:szCs w:val="16"/>
                            </w:rPr>
                            <w:t>Sample</w:t>
                          </w:r>
                        </w:p>
                      </w:txbxContent>
                    </v:textbox>
                  </v:shape>
                  <v:shape id="Text Box 77" o:spid="_x0000_s1699" type="#_x0000_t202" style="position:absolute;left:37960;top:27463;width:13284;height:6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FqOsMA&#10;AADbAAAADwAAAGRycy9kb3ducmV2LnhtbESPQWvCQBSE74L/YXmCN7NrMVLTrFJaCp5atK3Q2yP7&#10;TILZtyG7TdJ/3xUEj8PMfMPku9E2oqfO1441LBMFgrhwpuZSw9fn2+IRhA/IBhvHpOGPPOy200mO&#10;mXEDH6g/hlJECPsMNVQhtJmUvqjIok9cSxy9s+sshii7UpoOhwi3jXxQai0t1hwXKmzppaLicvy1&#10;Gr7fzz+nlfooX23aDm5Uku1Gaj2fjc9PIAKN4R6+tfdGQ7qC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dFqOsMAAADbAAAADwAAAAAAAAAAAAAAAACYAgAAZHJzL2Rv&#10;d25yZXYueG1sUEsFBgAAAAAEAAQA9QAAAIgDAAAAAA==&#10;" filled="f" stroked="f">
                    <v:textbox>
                      <w:txbxContent>
                        <w:p w14:paraId="04611B01" w14:textId="77777777" w:rsidR="00CB53E4" w:rsidRDefault="00CB53E4" w:rsidP="0031675F">
                          <w:pPr>
                            <w:rPr>
                              <w:b/>
                              <w:sz w:val="16"/>
                              <w:szCs w:val="16"/>
                            </w:rPr>
                          </w:pPr>
                          <w:r>
                            <w:rPr>
                              <w:b/>
                              <w:sz w:val="16"/>
                              <w:szCs w:val="16"/>
                            </w:rPr>
                            <w:t>Inert Gas (Ar)</w:t>
                          </w:r>
                        </w:p>
                      </w:txbxContent>
                    </v:textbox>
                  </v:shape>
                  <v:shape id="Text Box 78" o:spid="_x0000_s1700" type="#_x0000_t202" style="position:absolute;left:37833;top:31857;width:12547;height:39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3PocIA&#10;AADbAAAADwAAAGRycy9kb3ducmV2LnhtbESPQWvCQBSE7wX/w/IEb3XXYopGV5GK4EmpVcHbI/tM&#10;gtm3Ibua+O/dQqHHYWa+YebLzlbiQY0vHWsYDRUI4syZknMNx5/N+wSED8gGK8ek4Ukelove2xxT&#10;41r+psch5CJC2KeooQihTqX0WUEW/dDVxNG7usZiiLLJpWmwjXBbyQ+lPqXFkuNCgTV9FZTdDner&#10;4bS7Xs5jtc/XNqlb1ynJdiq1HvS71QxEoC78h//aW6MhSeD3S/wB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nc+hwgAAANsAAAAPAAAAAAAAAAAAAAAAAJgCAABkcnMvZG93&#10;bnJldi54bWxQSwUGAAAAAAQABAD1AAAAhwMAAAAA&#10;" filled="f" stroked="f">
                    <v:textbox>
                      <w:txbxContent>
                        <w:p w14:paraId="1F6B9890" w14:textId="77777777" w:rsidR="00CB53E4" w:rsidRDefault="00CB53E4" w:rsidP="0031675F">
                          <w:pPr>
                            <w:rPr>
                              <w:b/>
                              <w:sz w:val="16"/>
                              <w:szCs w:val="16"/>
                            </w:rPr>
                          </w:pPr>
                          <w:r>
                            <w:rPr>
                              <w:b/>
                              <w:sz w:val="16"/>
                              <w:szCs w:val="16"/>
                            </w:rPr>
                            <w:t>NH</w:t>
                          </w:r>
                          <w:r>
                            <w:rPr>
                              <w:b/>
                              <w:sz w:val="16"/>
                              <w:szCs w:val="16"/>
                              <w:vertAlign w:val="subscript"/>
                            </w:rPr>
                            <w:t>4</w:t>
                          </w:r>
                          <w:r>
                            <w:rPr>
                              <w:b/>
                              <w:sz w:val="16"/>
                              <w:szCs w:val="16"/>
                            </w:rPr>
                            <w:t>Cl Buffer</w:t>
                          </w:r>
                        </w:p>
                      </w:txbxContent>
                    </v:textbox>
                  </v:shape>
                  <v:line id="Line 79" o:spid="_x0000_s1701" style="position:absolute;flip:x y;visibility:visible;mso-wrap-style:square" from="29610,22136" to="46177,22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3/F8QAAADbAAAADwAAAGRycy9kb3ducmV2LnhtbESPQWvCQBSE74X+h+UVvNWNQoOmriKC&#10;0IMXbdHrS/Y1G82+TbJrjP/eFQo9DjPzDbNYDbYWPXW+cqxgMk5AEBdOV1wq+Pnevs9A+ICssXZM&#10;Cu7kYbV8fVlgpt2N99QfQikihH2GCkwITSalLwxZ9GPXEEfv13UWQ5RdKXWHtwi3tZwmSSotVhwX&#10;DDa0MVRcDleroM+vk/Nxt7/4/NTO85lpN7s2VWr0Nqw/QQQawn/4r/2lFXyk8PwSf4Bc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vf8XxAAAANsAAAAPAAAAAAAAAAAA&#10;AAAAAKECAABkcnMvZG93bnJldi54bWxQSwUGAAAAAAQABAD5AAAAkgMAAAAA&#10;">
                    <v:stroke endarrow="block"/>
                  </v:line>
                  <v:rect id="Rectangle 80" o:spid="_x0000_s1702" style="position:absolute;left:13760;top:14281;width:8058;height:23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xsKsUA&#10;AADbAAAADwAAAGRycy9kb3ducmV2LnhtbESPQWvCQBSE7wX/w/KE3upGp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LGwqxQAAANsAAAAPAAAAAAAAAAAAAAAAAJgCAABkcnMv&#10;ZG93bnJldi54bWxQSwUGAAAAAAQABAD1AAAAigMAAAAA&#10;"/>
                  <v:oval id="Oval 81" o:spid="_x0000_s1703" style="position:absolute;left:15284;top:15214;width:1079;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MZksAA&#10;AADbAAAADwAAAGRycy9kb3ducmV2LnhtbERPTWvCQBC9C/6HZYTezMaGSEldRSoFe/BgbO9DdkyC&#10;2dmQncb033cPgsfH+97sJtepkYbQejawSlJQxJW3LdcGvi+fyzdQQZAtdp7JwB8F2G3nsw0W1t/5&#10;TGMptYohHAo00Ij0hdahashhSHxPHLmrHxxKhEOt7YD3GO46/Zqma+2w5djQYE8fDVW38tcZONT7&#10;cj3qTPLsejhKfvs5fWUrY14W0/4dlNAkT/HDfbQG8jg2fok/QG//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KMZksAAAADbAAAADwAAAAAAAAAAAAAAAACYAgAAZHJzL2Rvd25y&#10;ZXYueG1sUEsFBgAAAAAEAAQA9QAAAIUDAAAAAA==&#10;"/>
                  <v:oval id="Oval 82" o:spid="_x0000_s1704" style="position:absolute;left:19202;top:16821;width:1067;height:1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CcMA&#10;AADbAAAADwAAAGRycy9kb3ducmV2LnhtbESPQWvCQBSE74X+h+UVvNWNDRFNXUUqgj300Kj3R/aZ&#10;BLNvQ/Y1xn/vFgo9DjPzDbPajK5VA/Wh8WxgNk1AEZfeNlwZOB33rwtQQZAttp7JwJ0CbNbPTyvM&#10;rb/xNw2FVCpCOORooBbpcq1DWZPDMPUdcfQuvncoUfaVtj3eIty1+i1J5tphw3Ghxo4+aiqvxY8z&#10;sKu2xXzQqWTpZXeQ7Hr++kxnxkxexu07KKFR/sN/7YM1kC3h90v8AXr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8CcMAAADbAAAADwAAAAAAAAAAAAAAAACYAgAAZHJzL2Rv&#10;d25yZXYueG1sUEsFBgAAAAAEAAQA9QAAAIgDAAAAAA==&#10;"/>
                  <v:oval id="Oval 83" o:spid="_x0000_s1705" style="position:absolute;left:15265;top:19570;width:1067;height:1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nfKcAA&#10;AADbAAAADwAAAGRycy9kb3ducmV2LnhtbERPTWvCQBC9C/6HZYTezMYGQ0ldRSoFe/BgbO9DdkyC&#10;2dmQncb033cPgsfH+97sJtepkYbQejawSlJQxJW3LdcGvi+fyzdQQZAtdp7JwB8F2G3nsw0W1t/5&#10;TGMptYohHAo00Ij0hdahashhSHxPHLmrHxxKhEOt7YD3GO46/ZqmuXbYcmxosKePhqpb+esMHOp9&#10;mY86k3V2PRxlffs5fWUrY14W0/4dlNAkT/HDfbQG8rg+fok/QG//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LnfKcAAAADbAAAADwAAAAAAAAAAAAAAAACYAgAAZHJzL2Rvd25y&#10;ZXYueG1sUEsFBgAAAAAEAAQA9QAAAIUDAAAAAA==&#10;"/>
                  <v:oval id="Oval 84" o:spid="_x0000_s1706" style="position:absolute;left:19119;top:21228;width:1080;height:1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fkxcMA&#10;AADbAAAADwAAAGRycy9kb3ducmV2LnhtbESPQWvCQBSE70L/w/IK3nSjwVBSV5GKoAcPje39kX0m&#10;wezbkH2N6b/vCkKPw8x8w6y3o2vVQH1oPBtYzBNQxKW3DVcGvi6H2RuoIMgWW89k4JcCbDcvkzXm&#10;1t/5k4ZCKhUhHHI0UIt0udahrMlhmPuOOHpX3zuUKPtK2x7vEe5avUySTDtsOC7U2NFHTeWt+HEG&#10;9tWuyAadyiq97o+yun2fT+nCmOnruHsHJTTKf/jZPloD2RIeX+IP0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fkxcMAAADbAAAADwAAAAAAAAAAAAAAAACYAgAAZHJzL2Rv&#10;d25yZXYueG1sUEsFBgAAAAAEAAQA9QAAAIgDAAAAAA==&#10;"/>
                  <v:oval id="Oval 85" o:spid="_x0000_s1707" style="position:absolute;left:15335;top:28613;width:1067;height:1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BXsMA&#10;AADbAAAADwAAAGRycy9kb3ducmV2LnhtbESPQWvCQBSE7wX/w/IKvdWNDYaSuoooBT14aLT3R/aZ&#10;BLNvQ/Y1xn/vCkKPw8x8wyxWo2vVQH1oPBuYTRNQxKW3DVcGTsfv909QQZAttp7JwI0CrJaTlwXm&#10;1l/5h4ZCKhUhHHI0UIt0udahrMlhmPqOOHpn3zuUKPtK2x6vEe5a/ZEkmXbYcFyosaNNTeWl+HMG&#10;ttW6yAadyjw9b3cyv/we9unMmLfXcf0FSmiU//CzvbMGshQeX+IP0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BXsMAAADbAAAADwAAAAAAAAAAAAAAAACYAgAAZHJzL2Rv&#10;d25yZXYueG1sUEsFBgAAAAAEAAQA9QAAAIgDAAAAAA==&#10;"/>
                  <v:oval id="Oval 86" o:spid="_x0000_s1708" style="position:absolute;left:15341;top:32689;width:1073;height:1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LZKsMA&#10;AADbAAAADwAAAGRycy9kb3ducmV2LnhtbESPQWvCQBSE74L/YXlCb7qxqaGkriKVgh48NLb3R/aZ&#10;BLNvQ/Y1pv/eLQg9DjPzDbPejq5VA/Wh8WxguUhAEZfeNlwZ+Dp/zF9BBUG22HomA78UYLuZTtaY&#10;W3/jTxoKqVSEcMjRQC3S5VqHsiaHYeE74uhdfO9QouwrbXu8Rbhr9XOSZNphw3Ghxo7eayqvxY8z&#10;sK92RTboVFbpZX+Q1fX7dEyXxjzNxt0bKKFR/sOP9sEayF7g70v8AXp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4LZKsMAAADbAAAADwAAAAAAAAAAAAAAAACYAgAAZHJzL2Rv&#10;d25yZXYueG1sUEsFBgAAAAAEAAQA9QAAAIgDAAAAAA==&#10;"/>
                  <v:oval id="Oval 87" o:spid="_x0000_s1709" style="position:absolute;left:15259;top:24333;width:1073;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58scMA&#10;AADbAAAADwAAAGRycy9kb3ducmV2LnhtbESPwWrDMBBE74H+g9hCb7GcGpviRgmhoZAccqjb3hdr&#10;Y5tYK2NtHffvq0Cgx2Fm3jDr7ex6NdEYOs8GVkkKirj2tuPGwNfn+/IFVBBki71nMvBLAbabh8Ua&#10;S+uv/EFTJY2KEA4lGmhFhlLrULfkMCR+II7e2Y8OJcqx0XbEa4S7Xj+naaEddhwXWhzoraX6Uv04&#10;A/tmVxWTziTPzvuD5Jfv0zFbGfP0OO9eQQnN8h++tw/WQJHD7Uv8AXr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58scMAAADbAAAADwAAAAAAAAAAAAAAAACYAgAAZHJzL2Rv&#10;d25yZXYueG1sUEsFBgAAAAAEAAQA9QAAAIgDAAAAAA==&#10;"/>
                  <v:oval id="Oval 88" o:spid="_x0000_s1710" style="position:absolute;left:19202;top:25971;width:1067;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zixsMA&#10;AADbAAAADwAAAGRycy9kb3ducmV2LnhtbESPQWvCQBSE7wX/w/IKvdWNDYaSuoooBT14aLT3R/aZ&#10;BLNvQ/Y1xn/vCkKPw8x8wyxWo2vVQH1oPBuYTRNQxKW3DVcGTsfv909QQZAttp7JwI0CrJaTlwXm&#10;1l/5h4ZCKhUhHHI0UIt0udahrMlhmPqOOHpn3zuUKPtK2x6vEe5a/ZEkmXbYcFyosaNNTeWl+HMG&#10;ttW6yAadyjw9b3cyv/we9unMmLfXcf0FSmiU//CzvbMGsgweX+IP0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BzixsMAAADbAAAADwAAAAAAAAAAAAAAAACYAgAAZHJzL2Rv&#10;d25yZXYueG1sUEsFBgAAAAAEAAQA9QAAAIgDAAAAAA==&#10;"/>
                  <v:oval id="Oval 89" o:spid="_x0000_s1711" style="position:absolute;left:19202;top:30327;width:1067;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BHXcMA&#10;AADbAAAADwAAAGRycy9kb3ducmV2LnhtbESPQWvCQBSE70L/w/IKvelGg2lJXUUqBT300NjeH9ln&#10;Esy+DdlnjP/eFQo9DjPzDbPajK5VA/Wh8WxgPktAEZfeNlwZ+Dl+Tt9ABUG22HomAzcKsFk/TVaY&#10;W3/lbxoKqVSEcMjRQC3S5VqHsiaHYeY74uidfO9QouwrbXu8Rrhr9SJJMu2w4bhQY0cfNZXn4uIM&#10;7KptkQ06lWV62u1lef79OqRzY16ex+07KKFR/sN/7b01kL3C40v8AXp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1BHXcMAAADbAAAADwAAAAAAAAAAAAAAAACYAgAAZHJzL2Rv&#10;d25yZXYueG1sUEsFBgAAAAAEAAQA9QAAAIgDAAAAAA==&#10;"/>
                  <v:oval id="Oval 90" o:spid="_x0000_s1712" style="position:absolute;left:19208;top:34347;width:1067;height:1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TL8AA&#10;AADbAAAADwAAAGRycy9kb3ducmV2LnhtbERPTWvCQBC9C/6HZYTezMYGQ0ldRSoFe/BgbO9DdkyC&#10;2dmQncb033cPgsfH+97sJtepkYbQejawSlJQxJW3LdcGvi+fyzdQQZAtdp7JwB8F2G3nsw0W1t/5&#10;TGMptYohHAo00Ij0hdahashhSHxPHLmrHxxKhEOt7YD3GO46/ZqmuXbYcmxosKePhqpb+esMHOp9&#10;mY86k3V2PRxlffs5fWUrY14W0/4dlNAkT/HDfbQG8jg2fok/QG//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s/TL8AAAADbAAAADwAAAAAAAAAAAAAAAACYAgAAZHJzL2Rvd25y&#10;ZXYueG1sUEsFBgAAAAAEAAQA9QAAAIUDAAAAAA==&#10;"/>
                  <v:shape id="Text Box 91" o:spid="_x0000_s1713" type="#_x0000_t202" style="position:absolute;left:14605;top:33655;width:2654;height:2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wPGcIA&#10;AADbAAAADwAAAGRycy9kb3ducmV2LnhtbESPQYvCMBSE74L/ITzBmybKKmvXKKIseFJ0dwVvj+bZ&#10;lm1eShNt/fdGEDwOM/MNM1+2thQ3qn3hWMNoqEAQp84UnGn4/fkefILwAdlg6Zg03MnDctHtzDEx&#10;ruED3Y4hExHCPkENeQhVIqVPc7Loh64ijt7F1RZDlHUmTY1NhNtSjpWaSosFx4UcK1rnlP4fr1bD&#10;3+5yPn2ofbaxk6pxrZJsZ1Lrfq9dfYEI1IZ3+NXeGg3TG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A8ZwgAAANsAAAAPAAAAAAAAAAAAAAAAAJgCAABkcnMvZG93&#10;bnJldi54bWxQSwUGAAAAAAQABAD1AAAAhwMAAAAA&#10;" filled="f" stroked="f">
                    <v:textbox>
                      <w:txbxContent>
                        <w:p w14:paraId="10179758" w14:textId="77777777" w:rsidR="00CB53E4" w:rsidRDefault="00CB53E4" w:rsidP="0031675F">
                          <w:pPr>
                            <w:jc w:val="center"/>
                            <w:rPr>
                              <w:b/>
                              <w:sz w:val="16"/>
                              <w:szCs w:val="16"/>
                            </w:rPr>
                          </w:pPr>
                          <w:r>
                            <w:rPr>
                              <w:b/>
                              <w:sz w:val="16"/>
                              <w:szCs w:val="16"/>
                            </w:rPr>
                            <w:t>1</w:t>
                          </w:r>
                          <w:r>
                            <w:rPr>
                              <w:b/>
                              <w:noProof/>
                              <w:sz w:val="16"/>
                              <w:szCs w:val="16"/>
                              <w:lang w:eastAsia="en-AU"/>
                            </w:rPr>
                            <w:drawing>
                              <wp:inline distT="0" distB="0" distL="0" distR="0" wp14:anchorId="7FB0FEAC" wp14:editId="766B3C52">
                                <wp:extent cx="39370" cy="45085"/>
                                <wp:effectExtent l="0" t="0" r="0" b="0"/>
                                <wp:docPr id="231" name="Picture 231" descr="Rectangular box." title="Design fe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1"/>
                                        <a:srcRect/>
                                        <a:stretch>
                                          <a:fillRect/>
                                        </a:stretch>
                                      </pic:blipFill>
                                      <pic:spPr bwMode="auto">
                                        <a:xfrm>
                                          <a:off x="0" y="0"/>
                                          <a:ext cx="39370" cy="45085"/>
                                        </a:xfrm>
                                        <a:prstGeom prst="rect">
                                          <a:avLst/>
                                        </a:prstGeom>
                                        <a:noFill/>
                                        <a:ln w="9525">
                                          <a:noFill/>
                                          <a:miter lim="800000"/>
                                          <a:headEnd/>
                                          <a:tailEnd/>
                                        </a:ln>
                                      </pic:spPr>
                                    </pic:pic>
                                  </a:graphicData>
                                </a:graphic>
                              </wp:inline>
                            </w:drawing>
                          </w:r>
                        </w:p>
                      </w:txbxContent>
                    </v:textbox>
                  </v:shape>
                  <v:shape id="Text Box 92" o:spid="_x0000_s1714" type="#_x0000_t202" style="position:absolute;left:18491;top:34505;width:2349;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8wWcEA&#10;AADbAAAADwAAAGRycy9kb3ducmV2LnhtbERPz2vCMBS+D/Y/hCfstiaKbrMzylAGOyl2U/D2aJ5t&#10;WfMSmszW/94chB0/vt+L1WBbcaEuNI41jDMFgrh0puFKw8/35/MbiBCRDbaOScOVAqyWjw8LzI3r&#10;eU+XIlYihXDIUUMdo8+lDGVNFkPmPHHizq6zGBPsKmk67FO4beVEqRdpseHUUKOndU3lb/FnNRy2&#10;59NxqnbVxs587wYl2c6l1k+j4eMdRKQh/ovv7i+j4TWtT1/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fMFnBAAAA2wAAAA8AAAAAAAAAAAAAAAAAmAIAAGRycy9kb3du&#10;cmV2LnhtbFBLBQYAAAAABAAEAPUAAACGAwAAAAA=&#10;" filled="f" stroked="f">
                    <v:textbox>
                      <w:txbxContent>
                        <w:p w14:paraId="26D42812" w14:textId="77777777" w:rsidR="00CB53E4" w:rsidRDefault="00CB53E4" w:rsidP="0031675F">
                          <w:pPr>
                            <w:rPr>
                              <w:b/>
                              <w:sz w:val="16"/>
                              <w:szCs w:val="16"/>
                            </w:rPr>
                          </w:pPr>
                          <w:r>
                            <w:rPr>
                              <w:b/>
                              <w:sz w:val="16"/>
                              <w:szCs w:val="16"/>
                            </w:rPr>
                            <w:t>2</w:t>
                          </w:r>
                        </w:p>
                      </w:txbxContent>
                    </v:textbox>
                  </v:shape>
                  <v:shape id="Text Box 93" o:spid="_x0000_s1715" type="#_x0000_t202" style="position:absolute;left:18402;top:30892;width:2203;height:3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OVwsMA&#10;AADbAAAADwAAAGRycy9kb3ducmV2LnhtbESPW4vCMBSE3wX/QziCb2uiuF6qUURZ2KcVr+DboTm2&#10;xeakNFnb/febhQUfh5n5hlmuW1uKJ9W+cKxhOFAgiFNnCs40nE8fbzMQPiAbLB2Thh/ysF51O0tM&#10;jGv4QM9jyESEsE9QQx5ClUjp05ws+oGriKN3d7XFEGWdSVNjE+G2lCOlJtJiwXEhx4q2OaWP47fV&#10;cPm6365jtc929r1qXKsk27nUut9rNwsQgdrwCv+3P42G6RD+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OVwsMAAADbAAAADwAAAAAAAAAAAAAAAACYAgAAZHJzL2Rv&#10;d25yZXYueG1sUEsFBgAAAAAEAAQA9QAAAIgDAAAAAA==&#10;" filled="f" stroked="f">
                    <v:textbox>
                      <w:txbxContent>
                        <w:p w14:paraId="2F607B91" w14:textId="77777777" w:rsidR="00CB53E4" w:rsidRDefault="00CB53E4" w:rsidP="0031675F">
                          <w:pPr>
                            <w:rPr>
                              <w:b/>
                              <w:sz w:val="16"/>
                              <w:szCs w:val="16"/>
                            </w:rPr>
                          </w:pPr>
                          <w:r>
                            <w:rPr>
                              <w:b/>
                              <w:sz w:val="16"/>
                              <w:szCs w:val="16"/>
                            </w:rPr>
                            <w:t>4</w:t>
                          </w:r>
                        </w:p>
                      </w:txbxContent>
                    </v:textbox>
                  </v:shape>
                  <v:shape id="Text Box 94" o:spid="_x0000_s1716" type="#_x0000_t202" style="position:absolute;left:14535;top:29413;width:2508;height:3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ELtcQA&#10;AADbAAAADwAAAGRycy9kb3ducmV2LnhtbESPQWvCQBSE7wX/w/IEb7qr2FbTbESUQk8tpip4e2Sf&#10;SWj2bchuTfrvuwWhx2FmvmHSzWAbcaPO1441zGcKBHHhTM2lhuPn63QFwgdkg41j0vBDHjbZ6CHF&#10;xLieD3TLQykihH2CGqoQ2kRKX1Rk0c9cSxy9q+sshii7UpoO+wi3jVwo9SQt1hwXKmxpV1HxlX9b&#10;Daf36+W8VB/l3j62vRuUZLuWWk/Gw/YFRKAh/Ifv7Tej4XkB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BC7XEAAAA2wAAAA8AAAAAAAAAAAAAAAAAmAIAAGRycy9k&#10;b3ducmV2LnhtbFBLBQYAAAAABAAEAPUAAACJAwAAAAA=&#10;" filled="f" stroked="f">
                    <v:textbox>
                      <w:txbxContent>
                        <w:p w14:paraId="47977A66" w14:textId="77777777" w:rsidR="00CB53E4" w:rsidRDefault="00CB53E4" w:rsidP="0031675F">
                          <w:pPr>
                            <w:rPr>
                              <w:b/>
                              <w:sz w:val="16"/>
                              <w:szCs w:val="16"/>
                            </w:rPr>
                          </w:pPr>
                          <w:r>
                            <w:rPr>
                              <w:b/>
                              <w:sz w:val="16"/>
                              <w:szCs w:val="16"/>
                            </w:rPr>
                            <w:t>3</w:t>
                          </w:r>
                        </w:p>
                      </w:txbxContent>
                    </v:textbox>
                  </v:shape>
                  <v:shape id="Text Box 95" o:spid="_x0000_s1717" type="#_x0000_t202" style="position:absolute;left:18395;top:27133;width:2960;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2uLsQA&#10;AADbAAAADwAAAGRycy9kb3ducmV2LnhtbESPT2sCMRTE7wW/Q3hCb5rUqm23G0UsgqeKVgu9PTZv&#10;/+DmZdmk7vrtG0HocZiZ3zDpsre1uFDrK8cansYKBHHmTMWFhuPXZvQKwgdkg7Vj0nAlD8vF4CHF&#10;xLiO93Q5hEJECPsENZQhNImUPivJoh+7hjh6uWsthijbQpoWuwi3tZwoNZcWK44LJTa0Lik7H36t&#10;htNn/vM9Vbviw86azvVKsn2TWj8O+9U7iEB9+A/f21uj4eUZbl/i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Nri7EAAAA2wAAAA8AAAAAAAAAAAAAAAAAmAIAAGRycy9k&#10;b3ducmV2LnhtbFBLBQYAAAAABAAEAPUAAACJAwAAAAA=&#10;" filled="f" stroked="f">
                    <v:textbox>
                      <w:txbxContent>
                        <w:p w14:paraId="30A57BB0" w14:textId="77777777" w:rsidR="00CB53E4" w:rsidRDefault="00CB53E4" w:rsidP="0031675F">
                          <w:pPr>
                            <w:rPr>
                              <w:b/>
                              <w:sz w:val="16"/>
                              <w:szCs w:val="16"/>
                            </w:rPr>
                          </w:pPr>
                          <w:r>
                            <w:rPr>
                              <w:b/>
                              <w:sz w:val="16"/>
                              <w:szCs w:val="16"/>
                            </w:rPr>
                            <w:t>6</w:t>
                          </w:r>
                        </w:p>
                      </w:txbxContent>
                    </v:textbox>
                  </v:shape>
                  <v:shape id="Text Box 96" o:spid="_x0000_s1718" type="#_x0000_t202" style="position:absolute;left:14446;top:25215;width:2813;height:3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2WsQA&#10;AADbAAAADwAAAGRycy9kb3ducmV2LnhtbESPQWvCQBSE7wX/w/IEb7qr2FbTbESUQk8tpip4e2Sf&#10;SWj2bchuTfrvuwWhx2FmvmHSzWAbcaPO1441zGcKBHHhTM2lhuPn63QFwgdkg41j0vBDHjbZ6CHF&#10;xLieD3TLQykihH2CGqoQ2kRKX1Rk0c9cSxy9q+sshii7UpoO+wi3jVwo9SQt1hwXKmxpV1HxlX9b&#10;Daf36+W8VB/l3j62vRuUZLuWWk/Gw/YFRKAh/Ifv7Tej4Xk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kNlrEAAAA2wAAAA8AAAAAAAAAAAAAAAAAmAIAAGRycy9k&#10;b3ducmV2LnhtbFBLBQYAAAAABAAEAPUAAACJAwAAAAA=&#10;" filled="f" stroked="f">
                    <v:textbox>
                      <w:txbxContent>
                        <w:p w14:paraId="697DFB6D" w14:textId="77777777" w:rsidR="00CB53E4" w:rsidRDefault="00CB53E4" w:rsidP="0031675F">
                          <w:pPr>
                            <w:rPr>
                              <w:b/>
                              <w:sz w:val="16"/>
                              <w:szCs w:val="16"/>
                            </w:rPr>
                          </w:pPr>
                          <w:r>
                            <w:rPr>
                              <w:b/>
                              <w:sz w:val="16"/>
                              <w:szCs w:val="16"/>
                            </w:rPr>
                            <w:t>5</w:t>
                          </w:r>
                        </w:p>
                      </w:txbxContent>
                    </v:textbox>
                  </v:shape>
                  <v:shape id="Text Box 97" o:spid="_x0000_s1719" type="#_x0000_t202" style="position:absolute;left:18249;top:22212;width:2591;height:37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iTwcMA&#10;AADbAAAADwAAAGRycy9kb3ducmV2LnhtbESPQWvCQBSE7wX/w/KE3uquolbTbESUQk+KVgVvj+wz&#10;Cc2+DdmtSf99Vyj0OMzMN0y66m0t7tT6yrGG8UiBIM6dqbjQcPp8f1mA8AHZYO2YNPyQh1U2eEox&#10;Ma7jA92PoRARwj5BDWUITSKlz0uy6EeuIY7ezbUWQ5RtIU2LXYTbWk6UmkuLFceFEhvalJR/Hb+t&#10;hvPudr1M1b7Y2lnTuV5Jtkup9fOwX7+BCNSH//Bf+8NoeJ3B40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iTwcMAAADbAAAADwAAAAAAAAAAAAAAAACYAgAAZHJzL2Rv&#10;d25yZXYueG1sUEsFBgAAAAAEAAQA9QAAAIgDAAAAAA==&#10;" filled="f" stroked="f">
                    <v:textbox>
                      <w:txbxContent>
                        <w:p w14:paraId="67494512" w14:textId="77777777" w:rsidR="00CB53E4" w:rsidRDefault="00CB53E4" w:rsidP="0031675F">
                          <w:pPr>
                            <w:rPr>
                              <w:b/>
                              <w:sz w:val="16"/>
                              <w:szCs w:val="16"/>
                            </w:rPr>
                          </w:pPr>
                          <w:r>
                            <w:rPr>
                              <w:b/>
                              <w:sz w:val="16"/>
                              <w:szCs w:val="16"/>
                            </w:rPr>
                            <w:t>8</w:t>
                          </w:r>
                        </w:p>
                      </w:txbxContent>
                    </v:textbox>
                  </v:shape>
                  <v:shape id="Text Box 98" o:spid="_x0000_s1720" type="#_x0000_t202" style="position:absolute;left:14446;top:20542;width:2730;height:37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oNtsMA&#10;AADbAAAADwAAAGRycy9kb3ducmV2LnhtbESPQWvCQBSE74L/YXlCb7prsVZTV5FKoSfFVAVvj+wz&#10;Cc2+DdmtSf+9Kwgeh5n5hlmsOluJKzW+dKxhPFIgiDNnSs41HH6+hjMQPiAbrByThn/ysFr2ewtM&#10;jGt5T9c05CJC2CeooQihTqT0WUEW/cjVxNG7uMZiiLLJpWmwjXBbyVelptJiyXGhwJo+C8p+0z+r&#10;4bi9nE8Ttcs39q1uXack27nU+mXQrT9ABOrCM/xofxsN71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oNtsMAAADbAAAADwAAAAAAAAAAAAAAAACYAgAAZHJzL2Rv&#10;d25yZXYueG1sUEsFBgAAAAAEAAQA9QAAAIgDAAAAAA==&#10;" filled="f" stroked="f">
                    <v:textbox>
                      <w:txbxContent>
                        <w:p w14:paraId="6BDBAE92" w14:textId="77777777" w:rsidR="00CB53E4" w:rsidRDefault="00CB53E4" w:rsidP="0031675F">
                          <w:pPr>
                            <w:rPr>
                              <w:b/>
                              <w:sz w:val="16"/>
                              <w:szCs w:val="16"/>
                            </w:rPr>
                          </w:pPr>
                          <w:r>
                            <w:rPr>
                              <w:b/>
                              <w:sz w:val="16"/>
                              <w:szCs w:val="16"/>
                            </w:rPr>
                            <w:t>7</w:t>
                          </w:r>
                        </w:p>
                      </w:txbxContent>
                    </v:textbox>
                  </v:shape>
                  <v:shape id="Text Box 99" o:spid="_x0000_s1721" type="#_x0000_t202" style="position:absolute;left:18034;top:17811;width:3492;height:43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k8X8EA&#10;AADbAAAADwAAAGRycy9kb3ducmV2LnhtbERPz2vCMBS+D/Y/hCfstiaKbrMzylAGOyl2U/D2aJ5t&#10;WfMSmszW/94chB0/vt+L1WBbcaEuNI41jDMFgrh0puFKw8/35/MbiBCRDbaOScOVAqyWjw8LzI3r&#10;eU+XIlYihXDIUUMdo8+lDGVNFkPmPHHizq6zGBPsKmk67FO4beVEqRdpseHUUKOndU3lb/FnNRy2&#10;59NxqnbVxs587wYl2c6l1k+j4eMdRKQh/ovv7i+j4TWNTV/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pPF/BAAAA2wAAAA8AAAAAAAAAAAAAAAAAmAIAAGRycy9kb3du&#10;cmV2LnhtbFBLBQYAAAAABAAEAPUAAACGAwAAAAA=&#10;" filled="f" stroked="f">
                    <v:textbox>
                      <w:txbxContent>
                        <w:p w14:paraId="50DDD37D" w14:textId="77777777" w:rsidR="00CB53E4" w:rsidRDefault="00CB53E4" w:rsidP="0031675F">
                          <w:pPr>
                            <w:rPr>
                              <w:b/>
                              <w:sz w:val="16"/>
                              <w:szCs w:val="16"/>
                            </w:rPr>
                          </w:pPr>
                          <w:r>
                            <w:rPr>
                              <w:b/>
                              <w:sz w:val="16"/>
                              <w:szCs w:val="16"/>
                            </w:rPr>
                            <w:t>10</w:t>
                          </w:r>
                        </w:p>
                      </w:txbxContent>
                    </v:textbox>
                  </v:shape>
                  <v:shape id="Text Box 100" o:spid="_x0000_s1722" type="#_x0000_t202" style="position:absolute;left:14579;top:15824;width:4102;height:43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ZxMMA&#10;AADbAAAADwAAAGRycy9kb3ducmV2LnhtbESPW4vCMBSE3wX/QziCb2uiuF6qUURZ2KcVr+DboTm2&#10;xeakNFnb/febhQUfh5n5hlmuW1uKJ9W+cKxhOFAgiFNnCs40nE8fbzMQPiAbLB2Thh/ysF51O0tM&#10;jGv4QM9jyESEsE9QQx5ClUjp05ws+oGriKN3d7XFEGWdSVNjE+G2lCOlJtJiwXEhx4q2OaWP47fV&#10;cPm6365jtc929r1qXKsk27nUut9rNwsQgdrwCv+3P42G6Rz+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WZxMMAAADbAAAADwAAAAAAAAAAAAAAAACYAgAAZHJzL2Rv&#10;d25yZXYueG1sUEsFBgAAAAAEAAQA9QAAAIgDAAAAAA==&#10;" filled="f" stroked="f">
                    <v:textbox>
                      <w:txbxContent>
                        <w:p w14:paraId="5842B687" w14:textId="77777777" w:rsidR="00CB53E4" w:rsidRDefault="00CB53E4" w:rsidP="0031675F">
                          <w:pPr>
                            <w:rPr>
                              <w:b/>
                              <w:sz w:val="16"/>
                              <w:szCs w:val="16"/>
                            </w:rPr>
                          </w:pPr>
                          <w:r>
                            <w:rPr>
                              <w:b/>
                              <w:sz w:val="16"/>
                              <w:szCs w:val="16"/>
                            </w:rPr>
                            <w:t>9</w:t>
                          </w:r>
                        </w:p>
                      </w:txbxContent>
                    </v:textbox>
                  </v:shape>
                  <v:line id="Line 101" o:spid="_x0000_s1723" style="position:absolute;flip:x;visibility:visible;mso-wrap-style:square" from="29730,35534" to="46526,355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Ud9cQAAADbAAAADwAAAGRycy9kb3ducmV2LnhtbESPTUvDQBCG70L/wzIFL8FubEFq7LZU&#10;a0GQHvpx6HHIjklodjZkxzb+e+cgeBzeeZ95ZrEaQmuu1KcmsoPHSQ6GuIy+4crB6bh9mINJguyx&#10;jUwOfijBajm6W2Dh4433dD1IZRTCqUAHtUhXWJvKmgKmSeyINfuKfUDRsa+s7/Gm8NDaaZ4/2YAN&#10;64UaO3qrqbwcvoNqbHe8mc2y12Cz7Jnez/KZW3HufjysX8AIDfK//Nf+8A7maq+/KADs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FR31xAAAANsAAAAPAAAAAAAAAAAA&#10;AAAAAKECAABkcnMvZG93bnJldi54bWxQSwUGAAAAAAQABAD5AAAAkgMAAAAA&#10;">
                    <v:stroke endarrow="block"/>
                  </v:line>
                  <v:line id="Line 102" o:spid="_x0000_s1724" style="position:absolute;flip:x;visibility:visible;mso-wrap-style:square" from="29641,30778" to="46431,307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m4bsQAAADbAAAADwAAAGRycy9kb3ducmV2LnhtbESPT2vCQBDF74V+h2UEL0E3KhSNbkL/&#10;CULxUOvB45Adk2B2NmSnmn57t1Do8fHm/d68TTG4Vl2pD41nA7NpCoq49LbhysDxaztZggqCbLH1&#10;TAZ+KECRPz5sMLP+xp90PUilIoRDhgZqkS7TOpQ1OQxT3xFH7+x7hxJlX2nb4y3CXavnafqkHTYc&#10;G2rs6LWm8nL4dvGN7Z7fFovkxekkWdH7ST5SLcaMR8PzGpTQIP/Hf+mdNbCcwe+WCACd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WbhuxAAAANsAAAAPAAAAAAAAAAAA&#10;AAAAAKECAABkcnMvZG93bnJldi54bWxQSwUGAAAAAAQABAD5AAAAkgMAAAAA&#10;">
                    <v:stroke endarrow="block"/>
                  </v:line>
                  <v:line id="Line 103" o:spid="_x0000_s1725" style="position:absolute;flip:x;visibility:visible;mso-wrap-style:square" from="23177,30784" to="29705,30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smGcMAAADbAAAADwAAAGRycy9kb3ducmV2LnhtbESPQWvCQBCF70L/wzKFXkLdVEFsdJXW&#10;KgjiodaDxyE7JqHZ2ZAdNf57VxA8Pt68782bzjtXqzO1ofJs4KOfgiLOva24MLD/W72PQQVBtlh7&#10;JgNXCjCfvfSmmFl/4V8676RQEcIhQwOlSJNpHfKSHIa+b4ijd/StQ4myLbRt8RLhrtaDNB1phxXH&#10;hhIbWpSU/+9OLr6x2vLPcJh8O50kn7Q8yCbVYszba/c1ASXUyfP4kV5bA+MB3LdEAOjZ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LJhnDAAAA2wAAAA8AAAAAAAAAAAAA&#10;AAAAoQIAAGRycy9kb3ducmV2LnhtbFBLBQYAAAAABAAEAPkAAACRAwAAAAA=&#10;">
                    <v:stroke endarrow="block"/>
                  </v:line>
                  <v:line id="Line 104" o:spid="_x0000_s1726" style="position:absolute;flip:x;visibility:visible;mso-wrap-style:square" from="29686,26587" to="46482,26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eDgsQAAADbAAAADwAAAGRycy9kb3ducmV2LnhtbESPQWvCQBCF7wX/wzKCl1A3NSCauoq2&#10;CgXxoPbQ45Adk2B2NmSnGv99t1Do8fHmfW/eYtW7Rt2oC7VnAy/jFBRx4W3NpYHP8+55BioIssXG&#10;Mxl4UIDVcvC0wNz6Ox/pdpJSRQiHHA1UIm2udSgqchjGviWO3sV3DiXKrtS2w3uEu0ZP0nSqHdYc&#10;Gyps6a2i4nr6dvGN3YHfsyzZOJ0kc9p+yT7VYsxo2K9fQQn18n/8l/6wBmYZ/G6JAN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x4OCxAAAANsAAAAPAAAAAAAAAAAA&#10;AAAAAKECAABkcnMvZG93bnJldi54bWxQSwUGAAAAAAQABAD5AAAAkgMAAAAA&#10;">
                    <v:stroke endarrow="block"/>
                  </v:line>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105" o:spid="_x0000_s1727" type="#_x0000_t86" style="position:absolute;left:20447;top:31210;width:2216;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PKvsMA&#10;AADbAAAADwAAAGRycy9kb3ducmV2LnhtbESPQWvCQBSE74L/YXkFb7ppaFWiq0hppBcP0RavL9nX&#10;JDT7NmS3Sfrvu4LgcZiZb5jtfjSN6KlztWUFz4sIBHFhdc2lgs9LOl+DcB5ZY2OZFPyRg/1uOtli&#10;ou3AGfVnX4oAYZeggsr7NpHSFRUZdAvbEgfv23YGfZBdKXWHQ4CbRsZRtJQGaw4LFbb0VlHxc/41&#10;ChBtGn/lWBzfy7S5Zqd8pV9zpWZP42EDwtPoH+F7+0MrWL/A7Uv4AXL3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lPKvsMAAADbAAAADwAAAAAAAAAAAAAAAACYAgAAZHJzL2Rv&#10;d25yZXYueG1sUEsFBgAAAAAEAAQA9QAAAIgDAAAAAA==&#10;"/>
                  <v:line id="Line 106" o:spid="_x0000_s1728" style="position:absolute;flip:y;visibility:visible;mso-wrap-style:square" from="22663,32372" to="22663,33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K+bcQAAADbAAAADwAAAGRycy9kb3ducmV2LnhtbESPQWvCQBCF7wX/wzJCL6FuqlQ0uoq1&#10;FQTxUNuDxyE7JsHsbMhONf57Vyj0+HjzvjdvvuxcrS7UhsqzgddBCoo497biwsDP9+ZlAioIssXa&#10;Mxm4UYDlovc0x8z6K3/R5SCFihAOGRooRZpM65CX5DAMfEMcvZNvHUqUbaFti9cId7UepulYO6w4&#10;NpTY0Lqk/Hz4dfGNzZ4/RqPk3ekkmdLnUXapFmOe+91qBkqok//jv/TWGpi8wW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Yr5txAAAANsAAAAPAAAAAAAAAAAA&#10;AAAAAKECAABkcnMvZG93bnJldi54bWxQSwUGAAAAAAQABAD5AAAAkgMAAAAA&#10;">
                    <v:stroke endarrow="block"/>
                  </v:line>
                  <v:line id="Line 107" o:spid="_x0000_s1729" style="position:absolute;flip:x;visibility:visible;mso-wrap-style:square" from="23234,35515" to="29762,35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AgGsQAAADbAAAADwAAAGRycy9kb3ducmV2LnhtbESPQWvCQBCF70L/wzJCL0E3VhBN3YTa&#10;VhDEQ20PPQ7ZaRLMzobsVNN/3xUEj48373vz1sXgWnWmPjSeDcymKSji0tuGKwNfn9vJElQQZIut&#10;ZzLwRwGK/GG0xsz6C3/Q+SiVihAOGRqoRbpM61DW5DBMfUccvR/fO5Qo+0rbHi8R7lr9lKYL7bDh&#10;2FBjR681lafjr4tvbA/8Np8nG6eTZEXv37JPtRjzOB5enkEJDXI/vqV31sByAdctEQA6/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sCAaxAAAANsAAAAPAAAAAAAAAAAA&#10;AAAAAKECAABkcnMvZG93bnJldi54bWxQSwUGAAAAAAQABAD5AAAAkgMAAAAA&#10;">
                    <v:stroke endarrow="block"/>
                  </v:line>
                  <v:line id="Line 108" o:spid="_x0000_s1730" style="position:absolute;flip:x;visibility:visible;mso-wrap-style:square" from="23158,26625" to="29686,266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yFgcQAAADbAAAADwAAAGRycy9kb3ducmV2LnhtbESPQWvCQBCF7wX/wzJCL6FuqlA1uoq1&#10;FQTxUNuDxyE7JsHsbMhONf57Vyj0+HjzvjdvvuxcrS7UhsqzgddBCoo497biwsDP9+ZlAioIssXa&#10;Mxm4UYDlovc0x8z6K3/R5SCFihAOGRooRZpM65CX5DAMfEMcvZNvHUqUbaFti9cId7Uepumbdlhx&#10;bCixoXVJ+fnw6+Ibmz1/jEbJu9NJMqXPo+xSLcY897vVDJRQJ//Hf+mtNTAZw2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IWBxAAAANsAAAAPAAAAAAAAAAAA&#10;AAAAAKECAABkcnMvZG93bnJldi54bWxQSwUGAAAAAAQABAD5AAAAkgMAAAAA&#10;">
                    <v:stroke endarrow="block"/>
                  </v:line>
                  <v:line id="Line 109" o:spid="_x0000_s1731" style="position:absolute;flip:x;visibility:visible;mso-wrap-style:square" from="23304,22167" to="29832,22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R88QAAADbAAAADwAAAGRycy9kb3ducmV2LnhtbESPTUvDQBCG70L/wzIFL8FubEFq7LZU&#10;a0GQHvpx6HHIjklodjZkxzb+e+cgeBzeeZ95ZrEaQmuu1KcmsoPHSQ6GuIy+4crB6bh9mINJguyx&#10;jUwOfijBajm6W2Dh4433dD1IZRTCqUAHtUhXWJvKmgKmSeyINfuKfUDRsa+s7/Gm8NDaaZ4/2YAN&#10;64UaO3qrqbwcvoNqbHe8mc2y12Cz7Jnez/KZW3HufjysX8AIDfK//Nf+8A7mKqu/KADs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YxHzxAAAANsAAAAPAAAAAAAAAAAA&#10;AAAAAKECAABkcnMvZG93bnJldi54bWxQSwUGAAAAAAQABAD5AAAAkgMAAAAA&#10;">
                    <v:stroke endarrow="block"/>
                  </v:line>
                  <v:line id="Line 110" o:spid="_x0000_s1732" style="position:absolute;flip:x y;visibility:visible;mso-wrap-style:square" from="11252,27203" to="19240,27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28ksMAAADbAAAADwAAAGRycy9kb3ducmV2LnhtbESPT4vCMBTE7wt+h/AEL4um6iK1GkWE&#10;FU8u/sPro3m2xealNFlb/fRGWNjjMDO/YebL1pTiTrUrLCsYDiIQxKnVBWcKTsfvfgzCeWSNpWVS&#10;8CAHy0XnY46Jtg3v6X7wmQgQdgkqyL2vEildmpNBN7AVcfCutjbog6wzqWtsAtyUchRFE2mw4LCQ&#10;Y0XrnNLb4dcoQN49x3EzpC+5oYsb7X4+V+erUr1uu5qB8NT6//Bfe6sVxFN4fwk/QC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59vJLDAAAA2wAAAA8AAAAAAAAAAAAA&#10;AAAAoQIAAGRycy9kb3ducmV2LnhtbFBLBQYAAAAABAAEAPkAAACRAwAAAAA=&#10;"/>
                  <v:line id="Line 111" o:spid="_x0000_s1733" style="position:absolute;flip:x;visibility:visible;mso-wrap-style:square" from="11410,33705" to="15214,33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AhOcIAAADbAAAADwAAAGRycy9kb3ducmV2LnhtbERPz2vCMBS+C/sfwhvsIjN1iGg1igjC&#10;Dl6mUvH21jyb0ualJpl2/705DHb8+H4v171txZ18qB0rGI8yEMSl0zVXCk7H3fsMRIjIGlvHpOCX&#10;AqxXL4Ml5to9+Ivuh1iJFMIhRwUmxi6XMpSGLIaR64gTd3XeYkzQV1J7fKRw28qPLJtKizWnBoMd&#10;bQ2VzeHHKpCz/fDmN9+TpmjO57kpyqK77JV6e+03CxCR+vgv/nN/agXztD59ST9Ar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pAhOcIAAADbAAAADwAAAAAAAAAAAAAA&#10;AAChAgAAZHJzL2Rvd25yZXYueG1sUEsFBgAAAAAEAAQA+QAAAJADAAAAAA==&#10;"/>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AutoShape 112" o:spid="_x0000_s1734" type="#_x0000_t85" style="position:absolute;left:10420;top:27203;width:1067;height:6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QiMcMA&#10;AADbAAAADwAAAGRycy9kb3ducmV2LnhtbESPQWvCQBSE70L/w/IK3sxGD6VGVymWgsVT1Ra8PbLP&#10;bDD7Ns0+Ne2v7xYEj8PMfMPMl71v1IW6WAc2MM5yUMRlsDVXBva7t9EzqCjIFpvAZOCHIiwXD4M5&#10;FjZc+YMuW6lUgnAs0IATaQutY+nIY8xCS5y8Y+g8SpJdpW2H1wT3jZ7k+ZP2WHNacNjSylF52p69&#10;gfJTfr8obPQrOclXk+8Di343ZvjYv8xACfVyD9/aa2tgOob/L+kH6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nQiMcMAAADbAAAADwAAAAAAAAAAAAAAAACYAgAAZHJzL2Rv&#10;d25yZXYueG1sUEsFBgAAAAAEAAQA9QAAAIgDAAAAAA==&#10;"/>
                  <v:line id="Line 113" o:spid="_x0000_s1735" style="position:absolute;flip:x;visibility:visible;mso-wrap-style:square" from="11569,33705" to="12553,33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KwxMMAAADbAAAADwAAAGRycy9kb3ducmV2LnhtbESPQWvCQBCF70L/wzKFXoJuqiA1dZXW&#10;KgjioerB45CdJqHZ2ZAdNf57VxA8Pt68782bzjtXqzO1ofJs4H2QgiLOva24MHDYr/ofoIIgW6w9&#10;k4ErBZjPXnpTzKy/8C+dd1KoCOGQoYFSpMm0DnlJDsPAN8TR+/OtQ4myLbRt8RLhrtbDNB1rhxXH&#10;hhIbWpSU/+9OLr6x2vLPaJR8O50kE1oeZZNqMebttfv6BCXUyfP4kV5bA5Mh3LdEAOjZ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1SsMTDAAAA2wAAAA8AAAAAAAAAAAAA&#10;AAAAoQIAAGRycy9kb3ducmV2LnhtbFBLBQYAAAAABAAEAPkAAACRAwAAAAA=&#10;">
                    <v:stroke endarrow="block"/>
                  </v:line>
                  <v:line id="Line 114" o:spid="_x0000_s1736" style="position:absolute;visibility:visible;mso-wrap-style:square" from="12236,27120" to="13296,271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iVEcQAAADbAAAADwAAAGRycy9kb3ducmV2LnhtbESPzWrDMBCE74W8g9hAb42cBprYiRJK&#10;TaCHppAfct5YW8vUWhlLddS3rwKFHIeZ+YZZbaJtxUC9bxwrmE4yEMSV0w3XCk7H7dMChA/IGlvH&#10;pOCXPGzWo4cVFtpdeU/DIdQiQdgXqMCE0BVS+sqQRT9xHXHyvlxvMSTZ11L3eE1w28rnLHuRFhtO&#10;CwY7ejNUfR9+rIK5KfdyLsuP42c5NNM87uL5kiv1OI6vSxCBYriH/9vvWkE+g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uJURxAAAANsAAAAPAAAAAAAAAAAA&#10;AAAAAKECAABkcnMvZG93bnJldi54bWxQSwUGAAAAAAQABAD5AAAAkgMAAAAA&#10;">
                    <v:stroke endarrow="block"/>
                  </v:line>
                  <v:oval id="Oval 115" o:spid="_x0000_s1737" style="position:absolute;left:10420;top:30784;width:1384;height:1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epDcQA&#10;AADbAAAADwAAAGRycy9kb3ducmV2LnhtbESPQWvCQBSE70L/w/IKvenGpoaauopUCnrw0LTeH9ln&#10;Esy+DdnXmP77bkHwOMzMN8xqM7pWDdSHxrOB+SwBRVx623Bl4PvrY/oKKgiyxdYzGfilAJv1w2SF&#10;ufVX/qShkEpFCIccDdQiXa51KGtyGGa+I47e2fcOJcq+0rbHa4S7Vj8nSaYdNhwXauzovabyUvw4&#10;A7tqW2SDTmWRnnd7WVxOx0M6N+bpcdy+gRIa5R6+tffWwPIF/r/EH6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XqQ3EAAAA2wAAAA8AAAAAAAAAAAAAAAAAmAIAAGRycy9k&#10;b3ducmV2LnhtbFBLBQYAAAAABAAEAPUAAACJAwAAAAA=&#10;"/>
                  <v:oval id="Oval 116" o:spid="_x0000_s1738" style="position:absolute;left:10401;top:30092;width:1378;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sMlsMA&#10;AADbAAAADwAAAGRycy9kb3ducmV2LnhtbESPQWvCQBSE74X+h+UVvNWNDRFNXUUqgj300Kj3R/aZ&#10;BLNvQ/Y1xn/vFgo9DjPzDbPajK5VA/Wh8WxgNk1AEZfeNlwZOB33rwtQQZAttp7JwJ0CbNbPTyvM&#10;rb/xNw2FVCpCOORooBbpcq1DWZPDMPUdcfQuvncoUfaVtj3eIty1+i1J5tphw3Ghxo4+aiqvxY8z&#10;sKu2xXzQqWTpZXeQ7Hr++kxnxkxexu07KKFR/sN/7YM1sMzg90v8AXr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sMlsMAAADbAAAADwAAAAAAAAAAAAAAAACYAgAAZHJzL2Rv&#10;d25yZXYueG1sUEsFBgAAAAAEAAQA9QAAAIgDAAAAAA==&#10;"/>
                  <v:oval id="Oval 117" o:spid="_x0000_s1739" style="position:absolute;left:10388;top:29419;width:1384;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mS4cMA&#10;AADbAAAADwAAAGRycy9kb3ducmV2LnhtbESPQWvCQBSE70L/w/IKvelGg6FNXUUqBT300NjeH9ln&#10;Esy+DdlnjP/eFQo9DjPzDbPajK5VA/Wh8WxgPktAEZfeNlwZ+Dl+Tl9BBUG22HomAzcKsFk/TVaY&#10;W3/lbxoKqVSEcMjRQC3S5VqHsiaHYeY74uidfO9QouwrbXu8Rrhr9SJJMu2w4bhQY0cfNZXn4uIM&#10;7KptkQ06lWV62u1lef79OqRzY16ex+07KKFR/sN/7b018JbB40v8AXp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cmS4cMAAADbAAAADwAAAAAAAAAAAAAAAACYAgAAZHJzL2Rv&#10;d25yZXYueG1sUEsFBgAAAAAEAAQA9QAAAIgDAAAAAA==&#10;"/>
                  <v:shape id="AutoShape 118" o:spid="_x0000_s1740" type="#_x0000_t85" style="position:absolute;left:14217;top:24790;width:1067;height:4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Ef3sMA&#10;AADbAAAADwAAAGRycy9kb3ducmV2LnhtbESPQWsCMRSE74X+h/AKvWlWD9WuRhGL0OKp2ha8PTbP&#10;zeLmZbt56uqvbwShx2FmvmGm887X6kRtrAIbGPQzUMRFsBWXBr62q94YVBRki3VgMnChCPPZ48MU&#10;cxvO/EmnjZQqQTjmaMCJNLnWsXDkMfZDQ5y8fWg9SpJtqW2L5wT3tR5m2Yv2WHFacNjQ0lFx2By9&#10;geJbrj8U1vqNnGTL4e+ORX8Y8/zULSaghDr5D9/b79bA6whuX9IP0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Ef3sMAAADbAAAADwAAAAAAAAAAAAAAAACYAgAAZHJzL2Rv&#10;d25yZXYueG1sUEsFBgAAAAAEAAQA9QAAAIgDAAAAAA==&#10;"/>
                  <v:line id="Line 119" o:spid="_x0000_s1741" style="position:absolute;flip:y;visibility:visible;mso-wrap-style:square" from="14224,25450" to="14224,26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qHLsQAAADbAAAADwAAAGRycy9kb3ducmV2LnhtbESPwWrCQBCG74W+wzKFXoJurFBqdJXa&#10;VigUD1UPHofsmIRmZ0N2qvHtnUOhx+Gf/5tvFqshtOZMfWoiO5iMczDEZfQNVw4O+83oBUwSZI9t&#10;ZHJwpQSr5f3dAgsfL/xN551URiGcCnRQi3SFtamsKWAax45Ys1PsA4qOfWV9jxeFh9Y+5fmzDdiw&#10;Xqixo7eayp/db1CNzZbfp9NsHWyWzejjKF+5FeceH4bXORihQf6X/9qf3sFMZfUXBYBd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uocuxAAAANsAAAAPAAAAAAAAAAAA&#10;AAAAAKECAABkcnMvZG93bnJldi54bWxQSwUGAAAAAAQABAD5AAAAkgMAAAAA&#10;">
                    <v:stroke endarrow="block"/>
                  </v:line>
                  <v:shape id="AutoShape 120" o:spid="_x0000_s1742" type="#_x0000_t85" style="position:absolute;left:10045;top:15449;width:5169;height:4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IuN8MA&#10;AADbAAAADwAAAGRycy9kb3ducmV2LnhtbESPT2vCQBTE74V+h+UVvJlNPUiNrlIsgsWTf1rw9sg+&#10;s8Hs2zT7qtFP3y0Uehxm5jfMbNH7Rl2oi3VgA89ZDoq4DLbmysBhvxq+gIqCbLEJTAZuFGExf3yY&#10;YWHDlbd02UmlEoRjgQacSFtoHUtHHmMWWuLknULnUZLsKm07vCa4b/Qoz8faY81pwWFLS0flefft&#10;DZQfcv+ksNFv5CRfjr6OLPrdmMFT/zoFJdTLf/ivvbYGJhP4/ZJ+gJ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IuN8MAAADbAAAADwAAAAAAAAAAAAAAAACYAgAAZHJzL2Rv&#10;d25yZXYueG1sUEsFBgAAAAAEAAQA9QAAAIgDAAAAAA==&#10;"/>
                  <v:oval id="Oval 121" o:spid="_x0000_s1743" style="position:absolute;left:10064;top:17811;width:1378;height:11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Fp7sQA&#10;AADcAAAADwAAAGRycy9kb3ducmV2LnhtbESPQWvCQBCF74X+h2UKvdWNBkVSVxGlYA89NNr7kB2T&#10;YHY2ZKcx/fedQ6G3Gd6b977Z7KbQmZGG1EZ2MJ9lYIir6FuuHVzOby9rMEmQPXaRycEPJdhtHx82&#10;WPh4508aS6mNhnAq0EEj0hfWpqqhgGkWe2LVrnEIKLoOtfUD3jU8dHaRZSsbsGVtaLCnQ0PVrfwO&#10;Do71vlyNNpdlfj2eZHn7+njP5849P037VzBCk/yb/65PXvEzxddndAK7/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hae7EAAAA3AAAAA8AAAAAAAAAAAAAAAAAmAIAAGRycy9k&#10;b3ducmV2LnhtbFBLBQYAAAAABAAEAPUAAACJAwAAAAA=&#10;"/>
                  <v:oval id="Oval 122" o:spid="_x0000_s1744" style="position:absolute;left:10045;top:17202;width:1372;height:11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3MdcEA&#10;AADcAAAADwAAAGRycy9kb3ducmV2LnhtbERPTWvCQBC9C/6HZQq96SYGpaSuIkrBHjw0be9DdkyC&#10;2dmQHWP8925B6G0e73PW29G1aqA+NJ4NpPMEFHHpbcOVgZ/vj9kbqCDIFlvPZOBOAbab6WSNufU3&#10;/qKhkErFEA45GqhFulzrUNbkMMx9Rxy5s+8dSoR9pW2PtxjuWr1IkpV22HBsqLGjfU3lpbg6A4dq&#10;V6wGnckyOx+Osrz8nj6z1JjXl3H3DkpolH/x0320cX6Swt8z8QK9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7tzHXBAAAA3AAAAA8AAAAAAAAAAAAAAAAAmAIAAGRycy9kb3du&#10;cmV2LnhtbFBLBQYAAAAABAAEAPUAAACGAwAAAAA=&#10;"/>
                  <v:oval id="Oval 123" o:spid="_x0000_s1745" style="position:absolute;left:10083;top:16427;width:1385;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9SAsIA&#10;AADcAAAADwAAAGRycy9kb3ducmV2LnhtbERPTUvDQBC9C/0PyxS8mU0bWiR2U4pFaA8eTPU+ZKdJ&#10;SHY2ZMc0/nu3IHibx/uc3X52vZpoDK1nA6skBUVcedtybeDz8vb0DCoIssXeMxn4oQD7YvGww9z6&#10;G3/QVEqtYgiHHA00IkOudagachgSPxBH7upHhxLhWGs74i2Gu16v03SrHbYcGxoc6LWhqiu/nYFj&#10;fSi3k85kk12PJ9l0X+/nbGXM43I+vIASmuVf/Oc+2Tg/XcP9mXiB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1ICwgAAANwAAAAPAAAAAAAAAAAAAAAAAJgCAABkcnMvZG93&#10;bnJldi54bWxQSwUGAAAAAAQABAD1AAAAhwMAAAAA&#10;"/>
                  <v:line id="Line 124" o:spid="_x0000_s1746" style="position:absolute;flip:x;visibility:visible;mso-wrap-style:square" from="11480,20173" to="12458,20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wJrsUAAADcAAAADwAAAGRycy9kb3ducmV2LnhtbESPQWvCQBCF7wX/wzJCL6HutoGiqato&#10;rVAoHtQeehyyYxLMzobsqOm/7xYKvc3w3vfmzXw5+FZdqY9NYAuPEwOKuAyu4crC53H7MAUVBdlh&#10;G5gsfFOE5WJ0N8fChRvv6XqQSqUQjgVaqEW6QutY1uQxTkJHnLRT6D1KWvtKux5vKdy3+smYZ+2x&#10;4XShxo5eayrPh4tPNbY73uR5tvY6y2b09iUfRou19+Nh9QJKaJB/8x/97hJncvh9Jk2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wJrsUAAADcAAAADwAAAAAAAAAA&#10;AAAAAAChAgAAZHJzL2Rvd25yZXYueG1sUEsFBgAAAAAEAAQA+QAAAJMDAAAAAA==&#10;">
                    <v:stroke endarrow="block"/>
                  </v:line>
                  <v:line id="Line 125" o:spid="_x0000_s1747" style="position:absolute;visibility:visible;mso-wrap-style:square" from="12274,15430" to="13335,15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rWScIAAADcAAAADwAAAGRycy9kb3ducmV2LnhtbERP32vCMBB+F/Y/hBvsTVPHmFqNMlYG&#10;e9gEq/h8NmdTbC6lyWr23y8Dwbf7+H7eahNtKwbqfeNYwXSSgSCunG64VnDYf4znIHxA1tg6JgW/&#10;5GGzfhitMNfuyjsaylCLFMI+RwUmhC6X0leGLPqJ64gTd3a9xZBgX0vd4zWF21Y+Z9mrtNhwajDY&#10;0buh6lL+WAUzU+zkTBZf+20xNNNF/I7H00Kpp8f4tgQRKIa7+Ob+1Gl+9gL/z6QL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frWScIAAADcAAAADwAAAAAAAAAAAAAA&#10;AAChAgAAZHJzL2Rvd25yZXYueG1sUEsFBgAAAAAEAAQA+QAAAJADAAAAAA==&#10;">
                    <v:stroke endarrow="block"/>
                  </v:line>
                  <v:line id="Line 126" o:spid="_x0000_s1748" style="position:absolute;flip:y;visibility:visible;mso-wrap-style:square" from="15817,9785" to="15817,15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oiOcQAAADcAAAADwAAAGRycy9kb3ducmV2LnhtbERPTWsCMRC9F/wPYQQvotlKK7o1ihQK&#10;PXipyoq3cTPdLLuZbJNUt/++KQi9zeN9zmrT21ZcyYfasYLHaQaCuHS65krB8fA2WYAIEVlj65gU&#10;/FCAzXrwsMJcuxt/0HUfK5FCOOSowMTY5VKG0pDFMHUdceI+nbcYE/SV1B5vKdy2cpZlc2mx5tRg&#10;sKNXQ2Wz/7YK5GI3/vLby1NTNKfT0hRl0Z13So2G/fYFRKQ+/ovv7ned5mfP8PdMuk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qiI5xAAAANwAAAAPAAAAAAAAAAAA&#10;AAAAAKECAABkcnMvZG93bnJldi54bWxQSwUGAAAAAAQABAD5AAAAkgMAAAAA&#10;"/>
                  <v:line id="Line 127" o:spid="_x0000_s1749" style="position:absolute;flip:x;visibility:visible;mso-wrap-style:square" from="11404,9785" to="15887,9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3i8TsMAAADcAAAADwAAAGRycy9kb3ducmV2LnhtbERPTWsCMRC9C/6HMIVeRLMtRXRrFCkI&#10;PXipyoq36Wa6WXYzWZOo23/fFARv83ifs1j1thVX8qF2rOBlkoEgLp2uuVJw2G/GMxAhImtsHZOC&#10;XwqwWg4HC8y1u/EXXXexEimEQ44KTIxdLmUoDVkME9cRJ+7HeYsxQV9J7fGWwm0rX7NsKi3WnBoM&#10;dvRhqGx2F6tAzrajs19/vzVFczzOTVEW3Wmr1PNTv34HEamPD/Hd/anT/GwK/8+kC+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4vE7DAAAA3AAAAA8AAAAAAAAAAAAA&#10;AAAAoQIAAGRycy9kb3ducmV2LnhtbFBLBQYAAAAABAAEAPkAAACRAwAAAAA=&#10;"/>
                  <v:line id="Line 128" o:spid="_x0000_s1750" style="position:absolute;flip:y;visibility:visible;mso-wrap-style:square" from="15805,11106" to="15811,12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3Hv8UAAADcAAAADwAAAGRycy9kb3ducmV2LnhtbESPQUvDQBCF74L/YRmhl9Bu2oJo7CZo&#10;bUGQHqw9eByyYxLMzobs2MZ/7xwEb/OY9715s6mm0JszjamL7GC5yMEQ19F33Dg4ve/nd2CSIHvs&#10;I5ODH0pQlddXGyx8vPAbnY/SGA3hVKCDVmQorE11SwHTIg7EuvuMY0BROTbWj3jR8NDbVZ7f2oAd&#10;64UWB9q2VH8dv4PW2B/4eb3OnoLNsnvafchrbsW52c30+ABGaJJ/8x/94pVbaVt9Riew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H3Hv8UAAADcAAAADwAAAAAAAAAA&#10;AAAAAAChAgAAZHJzL2Rvd25yZXYueG1sUEsFBgAAAAAEAAQA+QAAAJMDAAAAAA==&#10;">
                    <v:stroke endarrow="block"/>
                  </v:line>
                  <v:line id="Line 129" o:spid="_x0000_s1751" style="position:absolute;flip:x;visibility:visible;mso-wrap-style:square" from="12687,9842" to="13665,9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FiJMQAAADcAAAADwAAAGRycy9kb3ducmV2LnhtbESPQWvCQBCF70L/wzKFXoJuqiA1dZXW&#10;KgjioerB45CdJqHZ2ZAdNf57VxC8zfDe9+bNdN65Wp2pDZVnA++DFBRx7m3FhYHDftX/ABUE2WLt&#10;mQxcKcB89tKbYmb9hX/pvJNCxRAOGRooRZpM65CX5DAMfEMctT/fOpS4toW2LV5iuKv1ME3H2mHF&#10;8UKJDS1Kyv93JxdrrLb8Mxol304nyYSWR9mkWox5e+2+PkEJdfI0P+i1jdxwAvdn4gR6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MWIkxAAAANwAAAAPAAAAAAAAAAAA&#10;AAAAAKECAABkcnMvZG93bnJldi54bWxQSwUGAAAAAAQABAD5AAAAkgMAAAAA&#10;">
                    <v:stroke endarrow="block"/>
                  </v:line>
                  <v:rect id="Rectangle 130" o:spid="_x0000_s1752" style="position:absolute;left:9359;top:8623;width:2051;height:2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O1L8QA&#10;AADcAAAADwAAAGRycy9kb3ducmV2LnhtbESPQW/CMAyF70j8h8hI3CAFpGnrCAiBQOwI7WU3r/Ha&#10;jsapmgCFXz8fJu1m6z2/93m57l2jbtSF2rOB2TQBRVx4W3NpIM/2k1dQISJbbDyTgQcFWK+GgyWm&#10;1t/5RLdzLJWEcEjRQBVjm2odioochqlviUX79p3DKGtXatvhXcJdo+dJ8qId1iwNFba0rai4nK/O&#10;wFc9z/F5yg6Je9sv4kef/Vw/d8aMR/3mHVSkPv6b/66PVvAXgi/PyAR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DtS/EAAAA3AAAAA8AAAAAAAAAAAAAAAAAmAIAAGRycy9k&#10;b3ducmV2LnhtbFBLBQYAAAAABAAEAPUAAACJAwAAAAA=&#10;"/>
                  <v:line id="Line 131" o:spid="_x0000_s1753" style="position:absolute;flip:y;visibility:visible;mso-wrap-style:square" from="15970,17703" to="19310,32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3uh8QAAADcAAAADwAAAGRycy9kb3ducmV2LnhtbERPTWsCMRC9C/6HMIVeSs3alqKrUUQQ&#10;evCiLSvexs10s+xmsiapbv+9KRS8zeN9znzZ21ZcyIfasYLxKANBXDpdc6Xg63PzPAERIrLG1jEp&#10;+KUAy8VwMMdcuyvv6LKPlUghHHJUYGLscilDachiGLmOOHHfzluMCfpKao/XFG5b+ZJl79JizanB&#10;YEdrQ2Wz/7EK5GT7dPar01tTNIfD1BRl0R23Sj0+9KsZiEh9vIv/3R86zX8dw98z6QK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e6HxAAAANwAAAAPAAAAAAAAAAAA&#10;AAAAAKECAABkcnMvZG93bnJldi54bWxQSwUGAAAAAAQABAD5AAAAkgMAAAAA&#10;"/>
                  <v:line id="Line 132" o:spid="_x0000_s1754" style="position:absolute;flip:y;visibility:visible;mso-wrap-style:square" from="17799,22955" to="18097,24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xmiMUAAADcAAAADwAAAGRycy9kb3ducmV2LnhtbESPzWvCQBDF7wX/h2WEXoJuakA0uor9&#10;EAriwY+DxyE7JsHsbMhONf3vu4VCbzO893vzZrnuXaPu1IXas4GXcQqKuPC25tLA+bQdzUAFQbbY&#10;eCYD3xRgvRo8LTG3/sEHuh+lVDGEQ44GKpE21zoUFTkMY98SR+3qO4cS167UtsNHDHeNnqTpVDus&#10;OV6osKW3iorb8cvFGts9v2dZ8up0kszp4yK7VIsxz8N+swAl1Mu/+Y/+tJHLJvD7TJxAr3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ExmiMUAAADcAAAADwAAAAAAAAAA&#10;AAAAAAChAgAAZHJzL2Rvd25yZXYueG1sUEsFBgAAAAAEAAQA+QAAAJMDAAAAAA==&#10;">
                    <v:stroke endarrow="block"/>
                  </v:line>
                  <v:line id="Line 133" o:spid="_x0000_s1755" style="position:absolute;flip:x;visibility:visible;mso-wrap-style:square" from="4794,9785" to="9283,97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PVa8QAAADcAAAADwAAAGRycy9kb3ducmV2LnhtbERPTWsCMRC9C/6HMIVepGatUnQ1ihQK&#10;PXipLSvexs10s+xmsk1S3f77RhC8zeN9zmrT21acyYfasYLJOANBXDpdc6Xg6/PtaQ4iRGSNrWNS&#10;8EcBNuvhYIW5dhf+oPM+ViKFcMhRgYmxy6UMpSGLYew64sR9O28xJugrqT1eUrht5XOWvUiLNacG&#10;gx29Giqb/a9VIOe70Y/fnmZN0RwOC1OURXfcKfX40G+XICL18S6+ud91mj+dwvWZdIF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Y9VrxAAAANwAAAAPAAAAAAAAAAAA&#10;AAAAAKECAABkcnMvZG93bnJldi54bWxQSwUGAAAAAAQABAD5AAAAkgMAAAAA&#10;"/>
                  <v:line id="Line 134" o:spid="_x0000_s1756" style="position:absolute;flip:x;visibility:visible;mso-wrap-style:square" from="6203,9823" to="7188,9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lbZ8UAAADcAAAADwAAAGRycy9kb3ducmV2LnhtbESPT2vCQBDF7wW/wzJCL6FuaorU6CrW&#10;PyCUHrQ9eByyYxLMzobsVNNv3xUKvc3w3u/Nm/myd426UhdqzwaeRyko4sLbmksDX5+7p1dQQZAt&#10;Np7JwA8FWC4GD3PMrb/xga5HKVUM4ZCjgUqkzbUORUUOw8i3xFE7+86hxLUrte3wFsNdo8dpOtEO&#10;a44XKmxpXVFxOX67WGP3wZssS96cTpIpbU/ynmox5nHYr2aghHr5N//Rexu57AXuz8QJ9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OlbZ8UAAADcAAAADwAAAAAAAAAA&#10;AAAAAAChAgAAZHJzL2Rvd25yZXYueG1sUEsFBgAAAAAEAAQA+QAAAJMDAAAAAA==&#10;">
                    <v:stroke endarrow="block"/>
                  </v:line>
                  <v:oval id="Oval 135" o:spid="_x0000_s1757" style="position:absolute;left:2057;top:8782;width:2584;height:2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oAy8EA&#10;AADcAAAADwAAAGRycy9kb3ducmV2LnhtbERPTWvCQBC9C/6HZQq96caGSEldRZSCPXgw2vuQHZNg&#10;djZkpzH9992C4G0e73NWm9G1aqA+NJ4NLOYJKOLS24YrA5fz5+wdVBBki61nMvBLATbr6WSFufV3&#10;PtFQSKViCIccDdQiXa51KGtyGOa+I47c1fcOJcK+0rbHewx3rX5LkqV22HBsqLGjXU3lrfhxBvbV&#10;tlgOOpUsve4Pkt2+j1/pwpjXl3H7AUpolKf44T7YOD/N4P+ZeIF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6AMvBAAAA3AAAAA8AAAAAAAAAAAAAAAAAmAIAAGRycy9kb3du&#10;cmV2LnhtbFBLBQYAAAAABAAEAPUAAACGAwAAAAA=&#10;"/>
                  <v:shape id="Text Box 136" o:spid="_x0000_s1758" type="#_x0000_t202" style="position:absolute;left:825;top:4038;width:8744;height:6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nossEA&#10;AADcAAAADwAAAGRycy9kb3ducmV2LnhtbERPS2vCQBC+C/0PyxR60936oo2uUpRCT4qxCr0N2TEJ&#10;ZmdDdmviv3cFwdt8fM+ZLztbiQs1vnSs4X2gQBBnzpSca/jdf/c/QPiAbLByTBqu5GG5eOnNMTGu&#10;5R1d0pCLGMI+QQ1FCHUipc8KsugHriaO3Mk1FkOETS5Ng20Mt5UcKjWVFkuODQXWtCooO6f/VsNh&#10;c/o7jtU2X9tJ3bpOSbafUuu31+5rBiJQF57ih/vHxPmjKdyfiRfIx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Z6LLBAAAA3AAAAA8AAAAAAAAAAAAAAAAAmAIAAGRycy9kb3du&#10;cmV2LnhtbFBLBQYAAAAABAAEAPUAAACGAwAAAAA=&#10;" filled="f" stroked="f">
                    <v:textbox>
                      <w:txbxContent>
                        <w:p w14:paraId="3A310880" w14:textId="77777777" w:rsidR="00CB53E4" w:rsidRDefault="00CB53E4" w:rsidP="0031675F">
                          <w:pPr>
                            <w:rPr>
                              <w:b/>
                              <w:sz w:val="16"/>
                              <w:szCs w:val="16"/>
                            </w:rPr>
                          </w:pPr>
                          <w:r>
                            <w:rPr>
                              <w:b/>
                              <w:sz w:val="16"/>
                              <w:szCs w:val="16"/>
                            </w:rPr>
                            <w:t>540 nm Detector</w:t>
                          </w:r>
                        </w:p>
                        <w:p w14:paraId="061FF2AA" w14:textId="77777777" w:rsidR="00CB53E4" w:rsidRDefault="00CB53E4" w:rsidP="0031675F">
                          <w:pPr>
                            <w:rPr>
                              <w:b/>
                              <w:sz w:val="16"/>
                              <w:szCs w:val="16"/>
                            </w:rPr>
                          </w:pPr>
                        </w:p>
                      </w:txbxContent>
                    </v:textbox>
                  </v:shape>
                  <v:line id="Line 137" o:spid="_x0000_s1759" style="position:absolute;visibility:visible;mso-wrap-style:square" from="3359,10699" to="3359,14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3xSF8QAAADcAAAADwAAAGRycy9kb3ducmV2LnhtbERPS2vCQBC+C/6HZYTedGOFVFJXEUtB&#10;eyj1Ae1xzE6TaHY27G6T9N93C4K3+fies1j1phYtOV9ZVjCdJCCIc6srLhScjq/jOQgfkDXWlknB&#10;L3lYLYeDBWbadryn9hAKEUPYZ6igDKHJpPR5SQb9xDbEkfu2zmCI0BVSO+xiuKnlY5Kk0mDFsaHE&#10;hjYl5dfDj1HwPvtI2/Xubdt/7tJz/rI/f106p9TDqF8/gwjUh7v45t7qOH/2BP/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fFIXxAAAANwAAAAPAAAAAAAAAAAA&#10;AAAAAKECAABkcnMvZG93bnJldi54bWxQSwUGAAAAAAQABAD5AAAAkgMAAAAA&#10;"/>
                  <v:line id="Line 138" o:spid="_x0000_s1760" style="position:absolute;visibility:visible;mso-wrap-style:square" from="3359,11620" to="3359,130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sW8cUAAADcAAAADwAAAGRycy9kb3ducmV2LnhtbESPQUsDMRCF70L/Q5iCN5utgm23TUvp&#10;InhQoa14nm7GzeJmsmziNv575yB4m+G9ee+bzS77To00xDawgfmsAEVcB9tyY+D9/HS3BBUTssUu&#10;MBn4oQi77eRmg6UNVz7SeEqNkhCOJRpwKfWl1rF25DHOQk8s2mcYPCZZh0bbAa8S7jt9XxSP2mPL&#10;0uCwp4Oj+uv07Q0sXHXUC129nN+qsZ2v8mv+uKyMuZ3m/RpUopz+zX/Xz1bwH4RWnpEJ9P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tsW8cUAAADcAAAADwAAAAAAAAAA&#10;AAAAAAChAgAAZHJzL2Rvd25yZXYueG1sUEsFBgAAAAAEAAQA+QAAAJMDAAAAAA==&#10;">
                    <v:stroke endarrow="block"/>
                  </v:line>
                  <v:rect id="Rectangle 139" o:spid="_x0000_s1761" style="position:absolute;left:1835;top:14954;width:3118;height:3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kcssIA&#10;AADcAAAADwAAAGRycy9kb3ducmV2LnhtbERPS2vCQBC+F/wPywi91Y0GikZXEYulPWq89DZmxySa&#10;nQ3ZzUN/fbcg9DYf33NWm8FUoqPGlZYVTCcRCOLM6pJzBad0/zYH4TyyxsoyKbiTg8169LLCRNue&#10;D9QdfS5CCLsEFRTe14mULivIoJvYmjhwF9sY9AE2udQN9iHcVHIWRe/SYMmhocCadgVlt2NrFJzL&#10;2Qkfh/QzMot97L+H9Nr+fCj1Oh62SxCeBv8vfrq/dJgfL+DvmXCB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RyywgAAANwAAAAPAAAAAAAAAAAAAAAAAJgCAABkcnMvZG93&#10;bnJldi54bWxQSwUGAAAAAAQABAD1AAAAhwMAAAAA&#10;"/>
                  <v:shape id="Text Box 140" o:spid="_x0000_s1762" type="#_x0000_t202" style="position:absolute;left:1212;top:18376;width:7227;height:4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qmIMQA&#10;AADcAAAADwAAAGRycy9kb3ducmV2LnhtbESPQWvCQBCF70L/wzIFb7rbotJGVykVoSeL2grehuyY&#10;BLOzIbua9N93DoK3Gd6b975ZrHpfqxu1sQps4WVsQBHnwVVcWPg5bEZvoGJCdlgHJgt/FGG1fBos&#10;MHOh4x3d9qlQEsIxQwtlSk2mdcxL8hjHoSEW7Rxaj0nWttCuxU7Cfa1fjZlpjxVLQ4kNfZaUX/ZX&#10;b+F3ez4dJ+a7WPtp04XeaPbv2trhc/8xB5WoTw/z/frLCf5E8OUZmUA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6piDEAAAA3AAAAA8AAAAAAAAAAAAAAAAAmAIAAGRycy9k&#10;b3ducmV2LnhtbFBLBQYAAAAABAAEAPUAAACJAwAAAAA=&#10;" filled="f" stroked="f">
                    <v:textbox>
                      <w:txbxContent>
                        <w:p w14:paraId="17C84ECC" w14:textId="77777777" w:rsidR="00CB53E4" w:rsidRDefault="00CB53E4" w:rsidP="0031675F">
                          <w:pPr>
                            <w:rPr>
                              <w:b/>
                              <w:sz w:val="16"/>
                              <w:szCs w:val="16"/>
                            </w:rPr>
                          </w:pPr>
                          <w:r>
                            <w:rPr>
                              <w:b/>
                              <w:sz w:val="16"/>
                              <w:szCs w:val="16"/>
                            </w:rPr>
                            <w:t>Waste</w:t>
                          </w:r>
                        </w:p>
                      </w:txbxContent>
                    </v:textbox>
                  </v:shape>
                  <v:shape id="Text Box 141" o:spid="_x0000_s1763" type="#_x0000_t202" style="position:absolute;left:27527;top:5340;width:17259;height:6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YDu8AA&#10;AADcAAAADwAAAGRycy9kb3ducmV2LnhtbERPTYvCMBC9C/sfwgh700RR0a5RFmXBk6LuCnsbmrEt&#10;NpPSRFv/vREEb/N4nzNftrYUN6p94VjDoK9AEKfOFJxp+D3+9KYgfEA2WDomDXfysFx8dOaYGNfw&#10;nm6HkIkYwj5BDXkIVSKlT3Oy6PuuIo7c2dUWQ4R1Jk2NTQy3pRwqNZEWC44NOVa0yim9HK5Ww9/2&#10;/H8aqV22tuOqca2SbGdS689u+/0FIlAb3uKXe2Pi/NEAns/EC+Ti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XYDu8AAAADcAAAADwAAAAAAAAAAAAAAAACYAgAAZHJzL2Rvd25y&#10;ZXYueG1sUEsFBgAAAAAEAAQA9QAAAIUDAAAAAA==&#10;" filled="f" stroked="f">
                    <v:textbox>
                      <w:txbxContent>
                        <w:p w14:paraId="25F49B2A" w14:textId="77777777" w:rsidR="00CB53E4" w:rsidRDefault="00CB53E4" w:rsidP="0031675F">
                          <w:pPr>
                            <w:rPr>
                              <w:b/>
                              <w:sz w:val="20"/>
                            </w:rPr>
                          </w:pPr>
                          <w:r>
                            <w:rPr>
                              <w:b/>
                              <w:sz w:val="20"/>
                            </w:rPr>
                            <w:t>TN Manifold – Nitrogen Total Alkaline Persulfate</w:t>
                          </w:r>
                        </w:p>
                      </w:txbxContent>
                    </v:textbox>
                  </v:shape>
                </v:group>
                <w10:anchorlock/>
              </v:group>
            </w:pict>
          </mc:Fallback>
        </mc:AlternateContent>
      </w:r>
    </w:p>
    <w:p w14:paraId="05704CD5" w14:textId="77777777" w:rsidR="0031675F" w:rsidRPr="0031675F" w:rsidRDefault="0031675F" w:rsidP="0031675F">
      <w:pPr>
        <w:sectPr w:rsidR="0031675F" w:rsidRPr="0031675F" w:rsidSect="00084431">
          <w:headerReference w:type="default" r:id="rId212"/>
          <w:footerReference w:type="default" r:id="rId213"/>
          <w:pgSz w:w="11907" w:h="16840" w:code="9"/>
          <w:pgMar w:top="1418" w:right="1418" w:bottom="1418" w:left="1418" w:header="708" w:footer="708" w:gutter="0"/>
          <w:cols w:space="708"/>
          <w:docGrid w:linePitch="360"/>
        </w:sectPr>
      </w:pPr>
    </w:p>
    <w:p w14:paraId="0B84A5BA" w14:textId="6607A7B8" w:rsidR="00F5511E" w:rsidRDefault="00F5511E" w:rsidP="00CA621B">
      <w:pPr>
        <w:pStyle w:val="Heading2"/>
        <w:numPr>
          <w:ilvl w:val="0"/>
          <w:numId w:val="0"/>
        </w:numPr>
        <w:ind w:left="284" w:hanging="284"/>
        <w:jc w:val="center"/>
      </w:pPr>
      <w:bookmarkStart w:id="757" w:name="_Toc12365646"/>
      <w:r w:rsidRPr="0031675F">
        <w:t>Appendix</w:t>
      </w:r>
      <w:r w:rsidRPr="0031675F">
        <w:rPr>
          <w:spacing w:val="-14"/>
        </w:rPr>
        <w:t xml:space="preserve"> </w:t>
      </w:r>
      <w:r w:rsidRPr="0031675F">
        <w:t>B</w:t>
      </w:r>
      <w:r>
        <w:t xml:space="preserve">6 </w:t>
      </w:r>
      <w:r w:rsidRPr="00F5511E">
        <w:t>TropWater Auto-analysis methods:</w:t>
      </w:r>
      <w:r w:rsidR="00CA621B">
        <w:t xml:space="preserve"> </w:t>
      </w:r>
      <w:r w:rsidRPr="00F5511E">
        <w:t>Phosphorus (Filterable Reactive)</w:t>
      </w:r>
      <w:bookmarkEnd w:id="757"/>
    </w:p>
    <w:p w14:paraId="7E4439D2" w14:textId="77777777" w:rsidR="0031675F" w:rsidRPr="0031675F" w:rsidRDefault="0031675F" w:rsidP="0031675F">
      <w:pPr>
        <w:jc w:val="center"/>
      </w:pPr>
    </w:p>
    <w:p w14:paraId="1A6B160B" w14:textId="77777777" w:rsidR="0031675F" w:rsidRPr="0031675F" w:rsidRDefault="0031675F" w:rsidP="0031675F">
      <w:pPr>
        <w:jc w:val="center"/>
      </w:pPr>
      <w:r w:rsidRPr="0031675F">
        <w:rPr>
          <w:noProof/>
          <w:lang w:eastAsia="en-AU"/>
        </w:rPr>
        <w:drawing>
          <wp:inline distT="0" distB="0" distL="0" distR="0" wp14:anchorId="6E9E5DE5" wp14:editId="4C851586">
            <wp:extent cx="2291715" cy="1401445"/>
            <wp:effectExtent l="0" t="0" r="0" b="8255"/>
            <wp:docPr id="162" name="Picture 162"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88" r:link="rId189">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19395514" w14:textId="77777777" w:rsidR="0031675F" w:rsidRPr="0031675F" w:rsidRDefault="0031675F" w:rsidP="0031675F">
      <w:pPr>
        <w:jc w:val="center"/>
      </w:pPr>
    </w:p>
    <w:p w14:paraId="478192C4" w14:textId="77777777" w:rsidR="0031675F" w:rsidRPr="0031675F" w:rsidRDefault="0031675F" w:rsidP="0031675F">
      <w:pPr>
        <w:jc w:val="center"/>
      </w:pPr>
    </w:p>
    <w:p w14:paraId="50E85360" w14:textId="77777777" w:rsidR="0031675F" w:rsidRPr="0031675F" w:rsidRDefault="0031675F" w:rsidP="0031675F">
      <w:pPr>
        <w:jc w:val="center"/>
        <w:rPr>
          <w:rFonts w:cs="Arial"/>
        </w:rPr>
      </w:pPr>
    </w:p>
    <w:p w14:paraId="7BD37279" w14:textId="77777777" w:rsidR="0031675F" w:rsidRPr="0031675F" w:rsidRDefault="0031675F" w:rsidP="0031675F"/>
    <w:p w14:paraId="79DB7BAC" w14:textId="77777777" w:rsidR="0031675F" w:rsidRPr="0031675F" w:rsidRDefault="0031675F" w:rsidP="0031675F"/>
    <w:p w14:paraId="74246F17" w14:textId="77777777" w:rsidR="0031675F" w:rsidRPr="0031675F" w:rsidRDefault="0031675F" w:rsidP="0031675F">
      <w:pPr>
        <w:sectPr w:rsidR="0031675F" w:rsidRPr="0031675F" w:rsidSect="00084431">
          <w:headerReference w:type="default" r:id="rId214"/>
          <w:footerReference w:type="default" r:id="rId215"/>
          <w:pgSz w:w="11907" w:h="16840" w:code="9"/>
          <w:pgMar w:top="1418" w:right="1418" w:bottom="1418" w:left="1418" w:header="709" w:footer="709" w:gutter="0"/>
          <w:cols w:space="708"/>
          <w:vAlign w:val="center"/>
          <w:docGrid w:linePitch="360"/>
        </w:sectPr>
      </w:pPr>
    </w:p>
    <w:p w14:paraId="34C6BE11" w14:textId="77777777" w:rsidR="0031675F" w:rsidRPr="0031675F" w:rsidRDefault="0031675F" w:rsidP="0031675F">
      <w:pPr>
        <w:rPr>
          <w:b/>
          <w:sz w:val="28"/>
          <w:szCs w:val="28"/>
        </w:rPr>
      </w:pPr>
      <w:r w:rsidRPr="0031675F">
        <w:rPr>
          <w:b/>
          <w:sz w:val="28"/>
          <w:szCs w:val="28"/>
        </w:rPr>
        <w:t>Phosphorus – Filterable Reactive</w:t>
      </w:r>
    </w:p>
    <w:p w14:paraId="47765DA1" w14:textId="77777777" w:rsidR="0031675F" w:rsidRPr="0031675F" w:rsidRDefault="0031675F" w:rsidP="0031675F">
      <w:pPr>
        <w:shd w:val="clear" w:color="auto" w:fill="D9D9D9"/>
        <w:ind w:left="540" w:hanging="540"/>
        <w:rPr>
          <w:b/>
        </w:rPr>
      </w:pPr>
      <w:r w:rsidRPr="0031675F">
        <w:rPr>
          <w:b/>
        </w:rPr>
        <w:t xml:space="preserve">1.0 </w:t>
      </w:r>
      <w:r w:rsidRPr="0031675F">
        <w:rPr>
          <w:b/>
        </w:rPr>
        <w:tab/>
      </w:r>
      <w:r w:rsidRPr="0031675F">
        <w:rPr>
          <w:b/>
          <w:caps/>
        </w:rPr>
        <w:t>Scope and Application</w:t>
      </w:r>
      <w:r w:rsidRPr="0031675F">
        <w:rPr>
          <w:b/>
        </w:rPr>
        <w:t xml:space="preserve"> </w:t>
      </w:r>
    </w:p>
    <w:p w14:paraId="22F2BFF5" w14:textId="77777777" w:rsidR="0031675F" w:rsidRPr="0031675F" w:rsidRDefault="0031675F" w:rsidP="0031675F">
      <w:pPr>
        <w:ind w:left="540" w:hanging="540"/>
      </w:pPr>
    </w:p>
    <w:p w14:paraId="55BAE502" w14:textId="77777777" w:rsidR="0031675F" w:rsidRPr="0031675F" w:rsidRDefault="0031675F" w:rsidP="0031675F">
      <w:pPr>
        <w:spacing w:after="120" w:line="240" w:lineRule="auto"/>
      </w:pPr>
      <w:r w:rsidRPr="0031675F">
        <w:t xml:space="preserve">This method provides a procedure for the determination of 0.45 </w:t>
      </w:r>
      <w:r w:rsidRPr="0031675F">
        <w:sym w:font="Symbol" w:char="F06D"/>
      </w:r>
      <w:r w:rsidRPr="0031675F">
        <w:t xml:space="preserve">m filterable reactive phosphorus (FRP) in drinking, surface, groundwater, saline and effluent wastewater samples. </w:t>
      </w:r>
    </w:p>
    <w:p w14:paraId="7DF050BE" w14:textId="77777777" w:rsidR="0031675F" w:rsidRPr="0031675F" w:rsidRDefault="0031675F" w:rsidP="0031675F"/>
    <w:p w14:paraId="0756931F" w14:textId="77777777" w:rsidR="0031675F" w:rsidRPr="0031675F" w:rsidRDefault="0031675F" w:rsidP="0031675F">
      <w:r w:rsidRPr="0031675F">
        <w:t>Both filterable reactive phosphorus and nitrate or nitrite are auto analysed simultaneously.</w:t>
      </w:r>
    </w:p>
    <w:p w14:paraId="1F56B6C0" w14:textId="77777777" w:rsidR="0031675F" w:rsidRPr="0031675F" w:rsidRDefault="0031675F" w:rsidP="0031675F"/>
    <w:p w14:paraId="5CAD96DA" w14:textId="6571C2E0" w:rsidR="0031675F" w:rsidRPr="0031675F" w:rsidRDefault="0031675F" w:rsidP="0031675F">
      <w:r w:rsidRPr="0031675F">
        <w:t>The working range is 0.005 – 0.15 mg</w:t>
      </w:r>
      <w:r w:rsidR="00E817CB" w:rsidRPr="00E817CB">
        <w:t xml:space="preserve"> L</w:t>
      </w:r>
      <w:r w:rsidR="00E817CB" w:rsidRPr="00E817CB">
        <w:rPr>
          <w:vertAlign w:val="superscript"/>
        </w:rPr>
        <w:t>-1</w:t>
      </w:r>
      <w:r w:rsidRPr="0031675F">
        <w:t xml:space="preserve"> as P using the Alpkem segmented flow auto analyser.</w:t>
      </w:r>
    </w:p>
    <w:p w14:paraId="0A80FE64" w14:textId="77777777" w:rsidR="0031675F" w:rsidRPr="0031675F" w:rsidRDefault="0031675F" w:rsidP="0031675F"/>
    <w:p w14:paraId="11AC09F6" w14:textId="77777777" w:rsidR="0031675F" w:rsidRPr="0031675F" w:rsidRDefault="0031675F" w:rsidP="0031675F">
      <w:pPr>
        <w:spacing w:after="120" w:line="240" w:lineRule="auto"/>
      </w:pPr>
      <w:r w:rsidRPr="0031675F">
        <w:t xml:space="preserve">This is an automated colorimetric method for the detection of 0.45 </w:t>
      </w:r>
      <w:r w:rsidRPr="0031675F">
        <w:sym w:font="Symbol" w:char="F06D"/>
      </w:r>
      <w:r w:rsidRPr="0031675F">
        <w:t>m filterable reactive phosphorus. Ammonium molybdate and antimony potassium tartrate react in an acidic medium with dilute solutions of phosphate to form an antimony-phosphomolybdate complex. This complex is reduced to an intense blue colored complex by the addition of ascorbic acid. The color produced is proportional to the phosphate concentration present in the sample. This color is read spectrophotometrically at 885nm.</w:t>
      </w:r>
    </w:p>
    <w:p w14:paraId="1006EEB9" w14:textId="77777777" w:rsidR="0031675F" w:rsidRPr="0031675F" w:rsidRDefault="0031675F" w:rsidP="0031675F"/>
    <w:p w14:paraId="7500E634" w14:textId="77777777" w:rsidR="0031675F" w:rsidRPr="0031675F" w:rsidRDefault="0031675F" w:rsidP="0031675F">
      <w:pPr>
        <w:numPr>
          <w:ilvl w:val="1"/>
          <w:numId w:val="172"/>
        </w:numPr>
        <w:tabs>
          <w:tab w:val="clear" w:pos="1080"/>
        </w:tabs>
        <w:spacing w:before="0" w:after="0" w:line="240" w:lineRule="auto"/>
        <w:ind w:left="540" w:hanging="540"/>
        <w:jc w:val="both"/>
        <w:rPr>
          <w:b/>
        </w:rPr>
      </w:pPr>
      <w:r w:rsidRPr="0031675F">
        <w:rPr>
          <w:b/>
        </w:rPr>
        <w:t>Interferences</w:t>
      </w:r>
    </w:p>
    <w:p w14:paraId="3E8C3F2B" w14:textId="77777777" w:rsidR="0031675F" w:rsidRPr="0031675F" w:rsidRDefault="0031675F" w:rsidP="0031675F">
      <w:pPr>
        <w:rPr>
          <w:b/>
        </w:rPr>
      </w:pPr>
    </w:p>
    <w:p w14:paraId="25602C37" w14:textId="77777777" w:rsidR="0031675F" w:rsidRPr="0031675F" w:rsidRDefault="0031675F" w:rsidP="0031675F">
      <w:pPr>
        <w:ind w:left="1080" w:hanging="540"/>
      </w:pPr>
      <w:r w:rsidRPr="0031675F">
        <w:rPr>
          <w:b/>
        </w:rPr>
        <w:t xml:space="preserve">1.1.2 </w:t>
      </w:r>
      <w:r w:rsidRPr="0031675F">
        <w:rPr>
          <w:b/>
        </w:rPr>
        <w:tab/>
      </w:r>
      <w:r w:rsidRPr="0031675F">
        <w:t>Samples with high levels of turbidity cause interference. Particulates should be removed by filtering through a Minisart sterile 0.45</w:t>
      </w:r>
      <w:r w:rsidRPr="0031675F">
        <w:sym w:font="Symbol" w:char="F06D"/>
      </w:r>
      <w:r w:rsidRPr="0031675F">
        <w:t>m polysulphone membrane filter at the point of collection.</w:t>
      </w:r>
    </w:p>
    <w:p w14:paraId="758CFA6A" w14:textId="77777777" w:rsidR="0031675F" w:rsidRPr="0031675F" w:rsidRDefault="0031675F" w:rsidP="0031675F">
      <w:pPr>
        <w:ind w:left="1080" w:hanging="540"/>
      </w:pPr>
    </w:p>
    <w:p w14:paraId="3C6FBCCE" w14:textId="77777777" w:rsidR="0031675F" w:rsidRPr="0031675F" w:rsidRDefault="0031675F" w:rsidP="0031675F">
      <w:pPr>
        <w:ind w:left="1080" w:hanging="540"/>
      </w:pPr>
      <w:r w:rsidRPr="0031675F">
        <w:rPr>
          <w:b/>
        </w:rPr>
        <w:t>1.1.3</w:t>
      </w:r>
      <w:r w:rsidRPr="0031675F">
        <w:t xml:space="preserve"> </w:t>
      </w:r>
      <w:r w:rsidRPr="0031675F">
        <w:tab/>
        <w:t>As phosphates are common in many detergents it is necessary that no phosphate detergents are used during the cleaning of any glassware or sample containers used in the laboratory. The technician must always be aware of potential contaminants and take the necessary steps to avoid this error, therefore ensuring the most accurate results are obtained.</w:t>
      </w:r>
    </w:p>
    <w:p w14:paraId="25AAEDE6" w14:textId="77777777" w:rsidR="0031675F" w:rsidRPr="0031675F" w:rsidRDefault="0031675F" w:rsidP="0031675F">
      <w:pPr>
        <w:ind w:left="1080" w:hanging="540"/>
      </w:pPr>
    </w:p>
    <w:p w14:paraId="297559D6" w14:textId="2FBE23A5" w:rsidR="0031675F" w:rsidRPr="0031675F" w:rsidRDefault="0031675F" w:rsidP="0031675F">
      <w:pPr>
        <w:ind w:left="1080" w:hanging="540"/>
      </w:pPr>
      <w:r w:rsidRPr="0031675F">
        <w:rPr>
          <w:b/>
        </w:rPr>
        <w:t>1.1.4</w:t>
      </w:r>
      <w:r w:rsidRPr="0031675F">
        <w:t xml:space="preserve"> </w:t>
      </w:r>
      <w:r w:rsidRPr="0031675F">
        <w:tab/>
        <w:t>Arsenate in concentrations above 0.1 mg As</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can interfere with the filterable reactive phosphorus results with arsenate forming a similar color complex to phosphate with these colorimetric reagents.</w:t>
      </w:r>
    </w:p>
    <w:p w14:paraId="160432F2" w14:textId="77777777" w:rsidR="0031675F" w:rsidRPr="0031675F" w:rsidRDefault="0031675F" w:rsidP="0031675F">
      <w:pPr>
        <w:ind w:left="1080" w:hanging="540"/>
      </w:pPr>
    </w:p>
    <w:p w14:paraId="3A233D57" w14:textId="58D96958" w:rsidR="0031675F" w:rsidRPr="0031675F" w:rsidRDefault="0031675F" w:rsidP="0031675F">
      <w:pPr>
        <w:ind w:left="1080" w:hanging="540"/>
      </w:pPr>
      <w:r w:rsidRPr="0031675F">
        <w:rPr>
          <w:b/>
        </w:rPr>
        <w:t>1.1.5</w:t>
      </w:r>
      <w:r w:rsidRPr="0031675F">
        <w:t xml:space="preserve"> </w:t>
      </w:r>
      <w:r w:rsidRPr="0031675F">
        <w:tab/>
        <w:t>Sulfides and nitrites at concentrations greater than 10 mg</w:t>
      </w:r>
      <w:r w:rsidR="00E817CB" w:rsidRPr="00E817CB">
        <w:t xml:space="preserve"> L</w:t>
      </w:r>
      <w:r w:rsidR="00E817CB" w:rsidRPr="00E817CB">
        <w:rPr>
          <w:vertAlign w:val="superscript"/>
        </w:rPr>
        <w:t>-1</w:t>
      </w:r>
      <w:r w:rsidRPr="0031675F">
        <w:t xml:space="preserve"> and 1 mg</w:t>
      </w:r>
      <w:r w:rsidR="00E817CB" w:rsidRPr="00E817CB">
        <w:t xml:space="preserve"> L</w:t>
      </w:r>
      <w:r w:rsidR="00E817CB" w:rsidRPr="00E817CB">
        <w:rPr>
          <w:vertAlign w:val="superscript"/>
        </w:rPr>
        <w:t>-1</w:t>
      </w:r>
      <w:r w:rsidRPr="0031675F">
        <w:t xml:space="preserve"> respectively can cause positive interference. Sulfide effects can be treated by simple dilution of the sample since high sulfide concentrations are most often associated with high phosphate values.</w:t>
      </w:r>
    </w:p>
    <w:p w14:paraId="74F4FAC2" w14:textId="77777777" w:rsidR="0031675F" w:rsidRPr="0031675F" w:rsidRDefault="0031675F" w:rsidP="0031675F">
      <w:pPr>
        <w:ind w:left="1080" w:hanging="540"/>
      </w:pPr>
    </w:p>
    <w:p w14:paraId="7544E19B" w14:textId="5FD894F4" w:rsidR="0031675F" w:rsidRPr="0031675F" w:rsidRDefault="0031675F" w:rsidP="0031675F">
      <w:pPr>
        <w:ind w:left="1080" w:hanging="540"/>
      </w:pPr>
      <w:r w:rsidRPr="0031675F">
        <w:rPr>
          <w:b/>
        </w:rPr>
        <w:t>1.1.6</w:t>
      </w:r>
      <w:r w:rsidRPr="0031675F">
        <w:t xml:space="preserve"> </w:t>
      </w:r>
      <w:r w:rsidRPr="0031675F">
        <w:tab/>
        <w:t>Chromium (VI) and chromium (III) at &gt;2 mg</w:t>
      </w:r>
      <w:r w:rsidR="00E817CB" w:rsidRPr="00E817CB">
        <w:t xml:space="preserve"> L</w:t>
      </w:r>
      <w:r w:rsidR="00E817CB" w:rsidRPr="00E817CB">
        <w:rPr>
          <w:vertAlign w:val="superscript"/>
        </w:rPr>
        <w:t>-1</w:t>
      </w:r>
      <w:r w:rsidRPr="0031675F">
        <w:t xml:space="preserve"> and 30 mg</w:t>
      </w:r>
      <w:r w:rsidR="00E817CB" w:rsidRPr="00E817CB">
        <w:t xml:space="preserve"> L</w:t>
      </w:r>
      <w:r w:rsidR="00E817CB" w:rsidRPr="00E817CB">
        <w:rPr>
          <w:vertAlign w:val="superscript"/>
        </w:rPr>
        <w:t>-1</w:t>
      </w:r>
      <w:r w:rsidRPr="0031675F">
        <w:t xml:space="preserve"> respectively cause negative interference by reacting with phosphate.</w:t>
      </w:r>
    </w:p>
    <w:p w14:paraId="6E8FDE55" w14:textId="77777777" w:rsidR="0031675F" w:rsidRPr="0031675F" w:rsidRDefault="0031675F" w:rsidP="0031675F">
      <w:pPr>
        <w:ind w:left="1080" w:hanging="540"/>
      </w:pPr>
    </w:p>
    <w:p w14:paraId="205159CB" w14:textId="6B015491" w:rsidR="0031675F" w:rsidRPr="0031675F" w:rsidRDefault="0031675F" w:rsidP="0031675F">
      <w:pPr>
        <w:ind w:left="1080" w:hanging="540"/>
      </w:pPr>
      <w:r w:rsidRPr="0031675F">
        <w:rPr>
          <w:b/>
        </w:rPr>
        <w:t>1.1.7</w:t>
      </w:r>
      <w:r w:rsidRPr="0031675F">
        <w:t xml:space="preserve"> </w:t>
      </w:r>
      <w:r w:rsidRPr="0031675F">
        <w:tab/>
        <w:t>Metal ions, Cu (II) and Fe (III) interfere at concentrations &gt;10 mg</w:t>
      </w:r>
      <w:r w:rsidR="00E817CB" w:rsidRPr="00E817CB">
        <w:t xml:space="preserve"> L</w:t>
      </w:r>
      <w:r w:rsidR="00E817CB" w:rsidRPr="00E817CB">
        <w:rPr>
          <w:vertAlign w:val="superscript"/>
        </w:rPr>
        <w:t>-1</w:t>
      </w:r>
      <w:r w:rsidRPr="0031675F">
        <w:t xml:space="preserve"> causing negative interference by reacting with phosphate by precipitating out the phosphorus from the dissolved phase.</w:t>
      </w:r>
    </w:p>
    <w:p w14:paraId="6BEE7E69" w14:textId="77777777" w:rsidR="0031675F" w:rsidRPr="0031675F" w:rsidRDefault="0031675F" w:rsidP="0031675F">
      <w:pPr>
        <w:ind w:left="1080" w:hanging="540"/>
      </w:pPr>
    </w:p>
    <w:p w14:paraId="37746ECB" w14:textId="77777777" w:rsidR="0031675F" w:rsidRPr="0031675F" w:rsidRDefault="0031675F" w:rsidP="0031675F">
      <w:pPr>
        <w:ind w:left="540" w:hanging="540"/>
        <w:rPr>
          <w:bCs/>
        </w:rPr>
      </w:pPr>
      <w:r w:rsidRPr="0031675F">
        <w:rPr>
          <w:b/>
        </w:rPr>
        <w:t xml:space="preserve">1.2 </w:t>
      </w:r>
      <w:r w:rsidRPr="0031675F">
        <w:rPr>
          <w:b/>
        </w:rPr>
        <w:tab/>
      </w:r>
      <w:r w:rsidRPr="0031675F">
        <w:rPr>
          <w:bCs/>
        </w:rPr>
        <w:t>Samples should be between pH 5.0 and 9.0.</w:t>
      </w:r>
    </w:p>
    <w:p w14:paraId="08CB23E9" w14:textId="77777777" w:rsidR="0031675F" w:rsidRPr="0031675F" w:rsidRDefault="0031675F" w:rsidP="0031675F">
      <w:pPr>
        <w:ind w:left="540" w:hanging="540"/>
      </w:pPr>
    </w:p>
    <w:p w14:paraId="742D6407" w14:textId="77777777" w:rsidR="0031675F" w:rsidRPr="0031675F" w:rsidRDefault="0031675F" w:rsidP="0031675F">
      <w:pPr>
        <w:ind w:left="540" w:hanging="540"/>
      </w:pPr>
      <w:r w:rsidRPr="0031675F">
        <w:rPr>
          <w:b/>
          <w:bCs/>
        </w:rPr>
        <w:t>1.3</w:t>
      </w:r>
      <w:r w:rsidRPr="0031675F">
        <w:tab/>
        <w:t>Approximately 30 samples per hour can be analysed.</w:t>
      </w:r>
    </w:p>
    <w:p w14:paraId="0C635E34" w14:textId="77777777" w:rsidR="0031675F" w:rsidRPr="0031675F" w:rsidRDefault="0031675F" w:rsidP="0031675F">
      <w:pPr>
        <w:ind w:left="540" w:hanging="540"/>
        <w:rPr>
          <w:b/>
        </w:rPr>
      </w:pPr>
    </w:p>
    <w:p w14:paraId="5B219587" w14:textId="77777777" w:rsidR="0031675F" w:rsidRPr="0031675F" w:rsidRDefault="0031675F" w:rsidP="0031675F">
      <w:pPr>
        <w:ind w:left="540" w:hanging="540"/>
      </w:pPr>
      <w:r w:rsidRPr="0031675F">
        <w:rPr>
          <w:b/>
        </w:rPr>
        <w:t>1.4</w:t>
      </w:r>
      <w:r w:rsidRPr="0031675F">
        <w:t xml:space="preserve"> </w:t>
      </w:r>
      <w:r w:rsidRPr="0031675F">
        <w:tab/>
        <w:t>This method requires experience in the use of automated gas segmented flow colorimetric analyses. A minimum of 6 months training under the direct supervision of an experienced nutrient analyst is required before independent nutrient analyses can be performed.</w:t>
      </w:r>
    </w:p>
    <w:p w14:paraId="3272556E" w14:textId="77777777" w:rsidR="0031675F" w:rsidRPr="0031675F" w:rsidRDefault="0031675F" w:rsidP="0031675F"/>
    <w:p w14:paraId="67441A53" w14:textId="77777777" w:rsidR="0031675F" w:rsidRPr="0031675F" w:rsidRDefault="0031675F" w:rsidP="0031675F">
      <w:pPr>
        <w:shd w:val="clear" w:color="auto" w:fill="D9D9D9"/>
        <w:ind w:left="540" w:hanging="540"/>
        <w:rPr>
          <w:b/>
        </w:rPr>
      </w:pPr>
      <w:r w:rsidRPr="0031675F">
        <w:rPr>
          <w:b/>
        </w:rPr>
        <w:t xml:space="preserve">2.0 </w:t>
      </w:r>
      <w:r w:rsidRPr="0031675F">
        <w:rPr>
          <w:b/>
        </w:rPr>
        <w:tab/>
        <w:t>DEFINITIONS</w:t>
      </w:r>
    </w:p>
    <w:p w14:paraId="3AB2D94A" w14:textId="77777777" w:rsidR="0031675F" w:rsidRPr="0031675F" w:rsidRDefault="0031675F" w:rsidP="0031675F">
      <w:pPr>
        <w:rPr>
          <w:b/>
        </w:rPr>
      </w:pPr>
    </w:p>
    <w:p w14:paraId="7A46BE60" w14:textId="77777777" w:rsidR="0031675F" w:rsidRPr="0031675F" w:rsidRDefault="0031675F" w:rsidP="0031675F">
      <w:pPr>
        <w:ind w:left="540" w:hanging="540"/>
        <w:rPr>
          <w:b/>
        </w:rPr>
      </w:pPr>
      <w:r w:rsidRPr="0031675F">
        <w:rPr>
          <w:b/>
        </w:rPr>
        <w:t xml:space="preserve">2.1 </w:t>
      </w:r>
      <w:r w:rsidRPr="0031675F">
        <w:rPr>
          <w:b/>
        </w:rPr>
        <w:tab/>
        <w:t>Calibration Standard (</w:t>
      </w:r>
      <w:smartTag w:uri="urn:schemas-microsoft-com:office:smarttags" w:element="State">
        <w:smartTag w:uri="urn:schemas-microsoft-com:office:smarttags" w:element="place">
          <w:r w:rsidRPr="0031675F">
            <w:rPr>
              <w:b/>
            </w:rPr>
            <w:t>CAL</w:t>
          </w:r>
        </w:smartTag>
      </w:smartTag>
      <w:r w:rsidRPr="0031675F">
        <w:rPr>
          <w:b/>
        </w:rPr>
        <w:t>)</w:t>
      </w:r>
    </w:p>
    <w:p w14:paraId="0702688E" w14:textId="77777777" w:rsidR="0031675F" w:rsidRPr="0031675F" w:rsidRDefault="0031675F" w:rsidP="0031675F">
      <w:pPr>
        <w:ind w:left="540"/>
      </w:pPr>
      <w:r w:rsidRPr="0031675F">
        <w:t xml:space="preserve">A solution prepared from the primary dilution standard solution or stock standard solution containing analytes. The </w:t>
      </w:r>
      <w:smartTag w:uri="urn:schemas-microsoft-com:office:smarttags" w:element="State">
        <w:smartTag w:uri="urn:schemas-microsoft-com:office:smarttags" w:element="place">
          <w:r w:rsidRPr="0031675F">
            <w:t>CAL</w:t>
          </w:r>
        </w:smartTag>
      </w:smartTag>
      <w:r w:rsidRPr="0031675F">
        <w:t xml:space="preserve"> solutions are used to calibrate the instrument response with respect to analyte concentration.</w:t>
      </w:r>
    </w:p>
    <w:p w14:paraId="0271D6D9" w14:textId="77777777" w:rsidR="0031675F" w:rsidRPr="0031675F" w:rsidRDefault="0031675F" w:rsidP="0031675F">
      <w:pPr>
        <w:ind w:left="540" w:hanging="540"/>
      </w:pPr>
    </w:p>
    <w:p w14:paraId="644BEC57" w14:textId="77777777" w:rsidR="0031675F" w:rsidRPr="0031675F" w:rsidRDefault="0031675F" w:rsidP="0031675F">
      <w:pPr>
        <w:ind w:left="540" w:hanging="540"/>
        <w:rPr>
          <w:b/>
        </w:rPr>
      </w:pPr>
      <w:r w:rsidRPr="0031675F">
        <w:rPr>
          <w:b/>
        </w:rPr>
        <w:t xml:space="preserve">2.2 </w:t>
      </w:r>
      <w:r w:rsidRPr="0031675F">
        <w:rPr>
          <w:b/>
        </w:rPr>
        <w:tab/>
        <w:t xml:space="preserve">Reagent Water (RM) </w:t>
      </w:r>
    </w:p>
    <w:p w14:paraId="4FB6B793" w14:textId="77777777" w:rsidR="0031675F" w:rsidRPr="0031675F" w:rsidRDefault="0031675F" w:rsidP="0031675F">
      <w:pPr>
        <w:ind w:left="540"/>
      </w:pPr>
      <w:r w:rsidRPr="0031675F">
        <w:t>Type 1 reagent grade water equal to or exceeding standards established by American Society for Testing Materials (ASTN). Reverse osmosis system followed by a Reagent Water System that produces water with 18 M</w:t>
      </w:r>
      <w:r w:rsidRPr="0031675F">
        <w:sym w:font="Symbol" w:char="F057"/>
      </w:r>
      <w:r w:rsidRPr="0031675F">
        <w:t>ohm resistance is used. To avoid contamination the reagent water should be used the day of preparation.</w:t>
      </w:r>
    </w:p>
    <w:p w14:paraId="2FAD5773" w14:textId="77777777" w:rsidR="0031675F" w:rsidRPr="0031675F" w:rsidRDefault="0031675F" w:rsidP="0031675F">
      <w:pPr>
        <w:ind w:left="540"/>
      </w:pPr>
    </w:p>
    <w:p w14:paraId="28009079" w14:textId="77777777" w:rsidR="0031675F" w:rsidRPr="0031675F" w:rsidRDefault="0031675F" w:rsidP="0031675F">
      <w:pPr>
        <w:ind w:left="540" w:hanging="540"/>
        <w:rPr>
          <w:b/>
        </w:rPr>
      </w:pPr>
      <w:r w:rsidRPr="0031675F">
        <w:rPr>
          <w:b/>
        </w:rPr>
        <w:t xml:space="preserve">2.3 </w:t>
      </w:r>
      <w:r w:rsidRPr="0031675F">
        <w:rPr>
          <w:b/>
        </w:rPr>
        <w:tab/>
        <w:t xml:space="preserve">Laboratory Spike Blank (B+) </w:t>
      </w:r>
    </w:p>
    <w:p w14:paraId="38B3468D" w14:textId="77777777" w:rsidR="0031675F" w:rsidRPr="0031675F" w:rsidRDefault="0031675F" w:rsidP="0031675F">
      <w:pPr>
        <w:ind w:left="540"/>
      </w:pPr>
      <w:r w:rsidRPr="0031675F">
        <w:t>An aliquot of reagent water to which a known quantity of phosphorus is added. The B+ is analysed exactly like a sample, its purpose is to determine the amount of phosphorus added to samples and further used in the calculation on spike recoveries aiding confidence in the digestion procedure recovery.</w:t>
      </w:r>
    </w:p>
    <w:p w14:paraId="50A66BD5" w14:textId="77777777" w:rsidR="0031675F" w:rsidRPr="0031675F" w:rsidRDefault="0031675F" w:rsidP="0031675F">
      <w:pPr>
        <w:ind w:left="540"/>
      </w:pPr>
    </w:p>
    <w:p w14:paraId="1B83B7B4" w14:textId="77777777" w:rsidR="0031675F" w:rsidRPr="0031675F" w:rsidRDefault="0031675F" w:rsidP="0031675F">
      <w:pPr>
        <w:ind w:left="540" w:hanging="540"/>
        <w:rPr>
          <w:b/>
        </w:rPr>
      </w:pPr>
      <w:r w:rsidRPr="0031675F">
        <w:rPr>
          <w:b/>
        </w:rPr>
        <w:t xml:space="preserve">2.4 </w:t>
      </w:r>
      <w:r w:rsidRPr="0031675F">
        <w:rPr>
          <w:b/>
        </w:rPr>
        <w:tab/>
        <w:t>Laboratory Reagent Blank (LRB)</w:t>
      </w:r>
    </w:p>
    <w:p w14:paraId="272B2865" w14:textId="77777777" w:rsidR="0031675F" w:rsidRPr="0031675F" w:rsidRDefault="0031675F" w:rsidP="0031675F">
      <w:pPr>
        <w:ind w:left="540"/>
      </w:pPr>
      <w:r w:rsidRPr="0031675F">
        <w:t>An aliquot of reagent water that is treated exactly as a sample including exposure to all lab ware, equipment, digestion mixture, digestion and reagents that are used with all other samples. The LRB is used to determine if any background interference is present and therefore needs to be taken into consideration when sample results are calculated.</w:t>
      </w:r>
    </w:p>
    <w:p w14:paraId="3DB9606A" w14:textId="77777777" w:rsidR="0031675F" w:rsidRPr="0031675F" w:rsidRDefault="0031675F" w:rsidP="0031675F">
      <w:pPr>
        <w:ind w:left="540"/>
      </w:pPr>
    </w:p>
    <w:p w14:paraId="0BB4A56B" w14:textId="77777777" w:rsidR="0031675F" w:rsidRPr="0031675F" w:rsidRDefault="0031675F" w:rsidP="0031675F">
      <w:pPr>
        <w:ind w:left="540" w:hanging="540"/>
        <w:rPr>
          <w:b/>
        </w:rPr>
      </w:pPr>
      <w:r w:rsidRPr="0031675F">
        <w:rPr>
          <w:b/>
        </w:rPr>
        <w:t>2.5</w:t>
      </w:r>
      <w:r w:rsidRPr="0031675F">
        <w:rPr>
          <w:b/>
        </w:rPr>
        <w:tab/>
        <w:t>Method Detection Limit (MDL)</w:t>
      </w:r>
    </w:p>
    <w:p w14:paraId="2C3AA45B" w14:textId="77777777" w:rsidR="0031675F" w:rsidRPr="0031675F" w:rsidRDefault="0031675F" w:rsidP="0031675F">
      <w:pPr>
        <w:ind w:left="540"/>
      </w:pPr>
      <w:r w:rsidRPr="0031675F">
        <w:t>The minimum concentration of an analyte that can be identified, measured and reported with 99% confidence that the analyte concentration is greater than zero.</w:t>
      </w:r>
    </w:p>
    <w:p w14:paraId="60C01085" w14:textId="77777777" w:rsidR="0031675F" w:rsidRPr="0031675F" w:rsidRDefault="0031675F" w:rsidP="0031675F">
      <w:pPr>
        <w:ind w:left="540"/>
      </w:pPr>
    </w:p>
    <w:p w14:paraId="4346B9E0" w14:textId="77777777" w:rsidR="0031675F" w:rsidRPr="0031675F" w:rsidRDefault="0031675F" w:rsidP="0031675F">
      <w:pPr>
        <w:ind w:left="540" w:hanging="540"/>
      </w:pPr>
      <w:r w:rsidRPr="0031675F">
        <w:rPr>
          <w:b/>
        </w:rPr>
        <w:t xml:space="preserve">2.6 </w:t>
      </w:r>
      <w:r w:rsidRPr="0031675F">
        <w:rPr>
          <w:b/>
        </w:rPr>
        <w:tab/>
        <w:t xml:space="preserve">Stock Standard Solution (SSS) </w:t>
      </w:r>
      <w:r w:rsidRPr="0031675F">
        <w:t xml:space="preserve"> </w:t>
      </w:r>
    </w:p>
    <w:p w14:paraId="0B558E03" w14:textId="77777777" w:rsidR="0031675F" w:rsidRPr="0031675F" w:rsidRDefault="0031675F" w:rsidP="0031675F">
      <w:pPr>
        <w:ind w:left="540"/>
      </w:pPr>
      <w:r w:rsidRPr="0031675F">
        <w:t>A concentrated solution of method analyte prepared in the laboratory using assayed reference compounds or purchased from a reputable commercial source.</w:t>
      </w:r>
    </w:p>
    <w:p w14:paraId="6C35AF13" w14:textId="77777777" w:rsidR="0031675F" w:rsidRPr="0031675F" w:rsidRDefault="0031675F" w:rsidP="0031675F">
      <w:pPr>
        <w:ind w:left="540"/>
      </w:pPr>
    </w:p>
    <w:p w14:paraId="628A6FA0" w14:textId="77777777" w:rsidR="0031675F" w:rsidRPr="0031675F" w:rsidRDefault="0031675F" w:rsidP="0031675F">
      <w:pPr>
        <w:ind w:left="540" w:hanging="540"/>
        <w:rPr>
          <w:b/>
        </w:rPr>
      </w:pPr>
      <w:r w:rsidRPr="0031675F">
        <w:rPr>
          <w:b/>
        </w:rPr>
        <w:t xml:space="preserve">2.7 </w:t>
      </w:r>
      <w:r w:rsidRPr="0031675F">
        <w:rPr>
          <w:b/>
        </w:rPr>
        <w:tab/>
        <w:t>Certified Reference Material (CRM)</w:t>
      </w:r>
    </w:p>
    <w:p w14:paraId="73E9338D" w14:textId="77777777" w:rsidR="0031675F" w:rsidRPr="0031675F" w:rsidRDefault="0031675F" w:rsidP="0031675F">
      <w:pPr>
        <w:ind w:left="540"/>
      </w:pPr>
      <w:r w:rsidRPr="0031675F">
        <w:t>“Real’ samples that have been purchased from an external reputable commercial source. The CRM are used to match matrices and concentrations with the samples being analysed to determine the accuracy of results.</w:t>
      </w:r>
    </w:p>
    <w:p w14:paraId="546B8DAD" w14:textId="77777777" w:rsidR="0031675F" w:rsidRPr="0031675F" w:rsidRDefault="0031675F" w:rsidP="0031675F">
      <w:pPr>
        <w:ind w:left="567" w:hanging="567"/>
        <w:rPr>
          <w:b/>
        </w:rPr>
      </w:pPr>
    </w:p>
    <w:p w14:paraId="3D26FD97" w14:textId="77777777" w:rsidR="0031675F" w:rsidRPr="0031675F" w:rsidRDefault="0031675F" w:rsidP="0031675F">
      <w:pPr>
        <w:ind w:left="567" w:hanging="567"/>
      </w:pPr>
      <w:r w:rsidRPr="0031675F">
        <w:rPr>
          <w:b/>
        </w:rPr>
        <w:t xml:space="preserve">2.8 </w:t>
      </w:r>
      <w:r w:rsidRPr="0031675F">
        <w:rPr>
          <w:b/>
        </w:rPr>
        <w:tab/>
      </w:r>
      <w:smartTag w:uri="urn:schemas-microsoft-com:office:smarttags" w:element="place">
        <w:smartTag w:uri="urn:schemas-microsoft-com:office:smarttags" w:element="PlaceName">
          <w:r w:rsidRPr="0031675F">
            <w:rPr>
              <w:b/>
            </w:rPr>
            <w:t>SYNC</w:t>
          </w:r>
        </w:smartTag>
        <w:r w:rsidRPr="0031675F">
          <w:rPr>
            <w:b/>
          </w:rPr>
          <w:t xml:space="preserve"> </w:t>
        </w:r>
        <w:smartTag w:uri="urn:schemas-microsoft-com:office:smarttags" w:element="PlaceType">
          <w:r w:rsidRPr="0031675F">
            <w:rPr>
              <w:b/>
            </w:rPr>
            <w:t>Peak</w:t>
          </w:r>
        </w:smartTag>
      </w:smartTag>
      <w:r w:rsidRPr="0031675F">
        <w:rPr>
          <w:b/>
        </w:rPr>
        <w:t xml:space="preserve"> Solution </w:t>
      </w:r>
    </w:p>
    <w:p w14:paraId="1BDB583C" w14:textId="77777777" w:rsidR="0031675F" w:rsidRPr="0031675F" w:rsidRDefault="0031675F" w:rsidP="0031675F">
      <w:pPr>
        <w:ind w:left="540"/>
      </w:pPr>
      <w:r w:rsidRPr="0031675F">
        <w:t>A colored solution used to produce a synchronization peak in the refractive index measurement. A synchronization peak is required by the data acquisition programs to initialize the peak finding parameters. The first cup in every run must always be identified as a SYNC sample. The SYNC sample is usually a high standard, but can be any sample that generates a peak at least 25% of full scale.</w:t>
      </w:r>
    </w:p>
    <w:p w14:paraId="48D4A91F" w14:textId="77777777" w:rsidR="0031675F" w:rsidRPr="0031675F" w:rsidRDefault="0031675F" w:rsidP="0031675F">
      <w:pPr>
        <w:rPr>
          <w:b/>
        </w:rPr>
      </w:pPr>
      <w:r w:rsidRPr="0031675F">
        <w:rPr>
          <w:b/>
        </w:rPr>
        <w:br/>
      </w:r>
    </w:p>
    <w:p w14:paraId="2168F45D" w14:textId="77777777" w:rsidR="0031675F" w:rsidRPr="0031675F" w:rsidRDefault="0031675F" w:rsidP="0031675F">
      <w:r w:rsidRPr="0031675F">
        <w:br w:type="page"/>
      </w:r>
    </w:p>
    <w:p w14:paraId="52734F0D" w14:textId="77777777" w:rsidR="0031675F" w:rsidRPr="0031675F" w:rsidRDefault="0031675F" w:rsidP="0031675F">
      <w:pPr>
        <w:shd w:val="clear" w:color="auto" w:fill="D9D9D9"/>
        <w:ind w:left="540" w:hanging="540"/>
        <w:rPr>
          <w:b/>
        </w:rPr>
      </w:pPr>
      <w:r w:rsidRPr="0031675F">
        <w:rPr>
          <w:b/>
        </w:rPr>
        <w:t xml:space="preserve">3.0 </w:t>
      </w:r>
      <w:r w:rsidRPr="0031675F">
        <w:rPr>
          <w:b/>
        </w:rPr>
        <w:tab/>
        <w:t>SAFETY</w:t>
      </w:r>
    </w:p>
    <w:p w14:paraId="2CAC9990" w14:textId="77777777" w:rsidR="0031675F" w:rsidRPr="0031675F" w:rsidRDefault="0031675F" w:rsidP="0031675F">
      <w:pPr>
        <w:ind w:left="540" w:hanging="540"/>
        <w:rPr>
          <w:b/>
        </w:rPr>
      </w:pPr>
    </w:p>
    <w:p w14:paraId="748BFC1B" w14:textId="77777777" w:rsidR="0031675F" w:rsidRPr="0031675F" w:rsidRDefault="0031675F" w:rsidP="0031675F">
      <w:pPr>
        <w:ind w:left="540" w:hanging="540"/>
      </w:pPr>
      <w:r w:rsidRPr="0031675F">
        <w:rPr>
          <w:b/>
        </w:rPr>
        <w:t xml:space="preserve">3.1 </w:t>
      </w:r>
      <w:r w:rsidRPr="0031675F">
        <w:rPr>
          <w:b/>
        </w:rPr>
        <w:tab/>
      </w:r>
      <w:r w:rsidRPr="0031675F">
        <w:t>Water samples collected from the estuarine and coastal environments are generally not hazardous, however it is of paramount importance that the individual collecting the samples use the proper collection techniques and be aware of potential sources of contamination.</w:t>
      </w:r>
    </w:p>
    <w:p w14:paraId="39538CFF" w14:textId="77777777" w:rsidR="0031675F" w:rsidRPr="0031675F" w:rsidRDefault="0031675F" w:rsidP="0031675F">
      <w:pPr>
        <w:ind w:left="540" w:hanging="540"/>
      </w:pPr>
    </w:p>
    <w:p w14:paraId="5554EFC6" w14:textId="77777777" w:rsidR="0031675F" w:rsidRPr="0031675F" w:rsidRDefault="0031675F" w:rsidP="0031675F">
      <w:pPr>
        <w:ind w:left="540" w:hanging="540"/>
      </w:pPr>
      <w:r w:rsidRPr="0031675F">
        <w:rPr>
          <w:b/>
        </w:rPr>
        <w:t>3.2</w:t>
      </w:r>
      <w:r w:rsidRPr="0031675F">
        <w:t xml:space="preserve"> </w:t>
      </w:r>
      <w:r w:rsidRPr="0031675F">
        <w:tab/>
        <w:t>High standards of laboratory technique should be used when preparing reagents which should all be of analytical grade. Laboratory personnel should obtain material safety data sheets (MSDS) for all chemicals used in this method, and read and sign acknowledgement over the handling of these chemicals. A lab coat, safety glasses and gloves should be used when handling concentrated acid.</w:t>
      </w:r>
    </w:p>
    <w:p w14:paraId="367F504D" w14:textId="77777777" w:rsidR="0031675F" w:rsidRPr="0031675F" w:rsidRDefault="0031675F" w:rsidP="0031675F">
      <w:pPr>
        <w:ind w:left="540" w:hanging="540"/>
      </w:pPr>
    </w:p>
    <w:p w14:paraId="4D387DDA" w14:textId="77777777" w:rsidR="0031675F" w:rsidRPr="0031675F" w:rsidRDefault="0031675F" w:rsidP="0031675F">
      <w:pPr>
        <w:shd w:val="clear" w:color="auto" w:fill="D9D9D9"/>
        <w:ind w:left="540" w:hanging="540"/>
        <w:rPr>
          <w:b/>
        </w:rPr>
      </w:pPr>
      <w:r w:rsidRPr="0031675F">
        <w:rPr>
          <w:b/>
        </w:rPr>
        <w:t xml:space="preserve">4.0 </w:t>
      </w:r>
      <w:r w:rsidRPr="0031675F">
        <w:rPr>
          <w:b/>
        </w:rPr>
        <w:tab/>
        <w:t>EQUIPMENT AND SUPPLIES</w:t>
      </w:r>
      <w:r w:rsidRPr="0031675F">
        <w:rPr>
          <w:b/>
        </w:rPr>
        <w:tab/>
      </w:r>
    </w:p>
    <w:p w14:paraId="0B40F2E9" w14:textId="77777777" w:rsidR="0031675F" w:rsidRPr="0031675F" w:rsidRDefault="0031675F" w:rsidP="0031675F">
      <w:pPr>
        <w:ind w:left="540" w:hanging="540"/>
        <w:rPr>
          <w:b/>
        </w:rPr>
      </w:pPr>
    </w:p>
    <w:p w14:paraId="55B37889" w14:textId="77777777" w:rsidR="0031675F" w:rsidRPr="0031675F" w:rsidRDefault="0031675F" w:rsidP="0031675F">
      <w:pPr>
        <w:ind w:left="540" w:hanging="540"/>
      </w:pPr>
      <w:r w:rsidRPr="0031675F">
        <w:rPr>
          <w:b/>
        </w:rPr>
        <w:t xml:space="preserve">4.1 </w:t>
      </w:r>
      <w:r w:rsidRPr="0031675F">
        <w:rPr>
          <w:b/>
        </w:rPr>
        <w:tab/>
        <w:t>Gas Segmented Continuous Flow Autoanalyser</w:t>
      </w:r>
      <w:r w:rsidRPr="0031675F">
        <w:t xml:space="preserve"> consisting of :</w:t>
      </w:r>
    </w:p>
    <w:p w14:paraId="6123F9D5" w14:textId="77777777" w:rsidR="0031675F" w:rsidRPr="0031675F" w:rsidRDefault="0031675F" w:rsidP="0031675F">
      <w:pPr>
        <w:ind w:left="1080" w:hanging="540"/>
      </w:pPr>
    </w:p>
    <w:p w14:paraId="3C3446F5" w14:textId="77777777" w:rsidR="0031675F" w:rsidRPr="0031675F" w:rsidRDefault="0031675F" w:rsidP="0031675F">
      <w:pPr>
        <w:ind w:left="1134" w:hanging="567"/>
      </w:pPr>
      <w:r w:rsidRPr="0031675F">
        <w:rPr>
          <w:b/>
        </w:rPr>
        <w:t xml:space="preserve">4.1.1 </w:t>
      </w:r>
      <w:r w:rsidRPr="0031675F">
        <w:rPr>
          <w:b/>
        </w:rPr>
        <w:tab/>
      </w:r>
      <w:r w:rsidRPr="0031675F">
        <w:t xml:space="preserve">Autosampler. </w:t>
      </w:r>
    </w:p>
    <w:p w14:paraId="3C92F208" w14:textId="77777777" w:rsidR="0031675F" w:rsidRPr="0031675F" w:rsidRDefault="0031675F" w:rsidP="0031675F">
      <w:pPr>
        <w:ind w:left="1134" w:hanging="567"/>
      </w:pPr>
    </w:p>
    <w:p w14:paraId="6C5BEC41" w14:textId="77777777" w:rsidR="0031675F" w:rsidRPr="0031675F" w:rsidRDefault="0031675F" w:rsidP="0031675F">
      <w:pPr>
        <w:ind w:left="1134" w:hanging="567"/>
      </w:pPr>
      <w:r w:rsidRPr="0031675F">
        <w:rPr>
          <w:b/>
        </w:rPr>
        <w:t xml:space="preserve">4.1.2 </w:t>
      </w:r>
      <w:r w:rsidRPr="0031675F">
        <w:rPr>
          <w:b/>
        </w:rPr>
        <w:tab/>
      </w:r>
      <w:r w:rsidRPr="0031675F">
        <w:t>Analytical manifold with a cartridge equipped for heating set to 60°.</w:t>
      </w:r>
    </w:p>
    <w:p w14:paraId="1D83612B" w14:textId="77777777" w:rsidR="0031675F" w:rsidRPr="0031675F" w:rsidRDefault="0031675F" w:rsidP="0031675F">
      <w:pPr>
        <w:ind w:left="1134" w:hanging="567"/>
      </w:pPr>
    </w:p>
    <w:p w14:paraId="5433634B" w14:textId="77777777" w:rsidR="0031675F" w:rsidRPr="0031675F" w:rsidRDefault="0031675F" w:rsidP="0031675F">
      <w:pPr>
        <w:ind w:left="1134" w:hanging="567"/>
      </w:pPr>
      <w:r w:rsidRPr="0031675F">
        <w:rPr>
          <w:b/>
        </w:rPr>
        <w:t xml:space="preserve">4.1.3 </w:t>
      </w:r>
      <w:r w:rsidRPr="0031675F">
        <w:rPr>
          <w:b/>
        </w:rPr>
        <w:tab/>
      </w:r>
      <w:r w:rsidRPr="0031675F">
        <w:t>Peristaltic Pump and appropriate tubing.</w:t>
      </w:r>
    </w:p>
    <w:p w14:paraId="527528AF" w14:textId="77777777" w:rsidR="0031675F" w:rsidRPr="0031675F" w:rsidRDefault="0031675F" w:rsidP="0031675F">
      <w:pPr>
        <w:ind w:left="1134" w:hanging="567"/>
      </w:pPr>
    </w:p>
    <w:p w14:paraId="73A6A5C0" w14:textId="77777777" w:rsidR="0031675F" w:rsidRPr="0031675F" w:rsidRDefault="0031675F" w:rsidP="0031675F">
      <w:pPr>
        <w:ind w:left="1134" w:hanging="567"/>
      </w:pPr>
      <w:r w:rsidRPr="0031675F">
        <w:rPr>
          <w:b/>
        </w:rPr>
        <w:t xml:space="preserve">4.1.4 </w:t>
      </w:r>
      <w:r w:rsidRPr="0031675F">
        <w:rPr>
          <w:b/>
        </w:rPr>
        <w:tab/>
      </w:r>
      <w:r w:rsidRPr="0031675F">
        <w:t>Spectrophotometer equipped with a tungsten lamp (380-885 nm) or photometer with an 885 nm interference filter (2 nm bandwidth).</w:t>
      </w:r>
    </w:p>
    <w:p w14:paraId="5B31B155" w14:textId="77777777" w:rsidR="0031675F" w:rsidRPr="0031675F" w:rsidRDefault="0031675F" w:rsidP="0031675F">
      <w:pPr>
        <w:ind w:left="1134" w:hanging="567"/>
      </w:pPr>
    </w:p>
    <w:p w14:paraId="1C6CEA04" w14:textId="77777777" w:rsidR="0031675F" w:rsidRPr="0031675F" w:rsidRDefault="0031675F" w:rsidP="0031675F">
      <w:pPr>
        <w:ind w:left="1134" w:hanging="567"/>
      </w:pPr>
      <w:r w:rsidRPr="0031675F">
        <w:rPr>
          <w:b/>
        </w:rPr>
        <w:t xml:space="preserve">4.1.6 </w:t>
      </w:r>
      <w:r w:rsidRPr="0031675F">
        <w:rPr>
          <w:b/>
        </w:rPr>
        <w:tab/>
      </w:r>
      <w:r w:rsidRPr="0031675F">
        <w:t>Computer based data acquisition system.</w:t>
      </w:r>
    </w:p>
    <w:p w14:paraId="195A50A8" w14:textId="77777777" w:rsidR="0031675F" w:rsidRPr="0031675F" w:rsidRDefault="0031675F" w:rsidP="0031675F">
      <w:pPr>
        <w:ind w:left="1080" w:hanging="540"/>
      </w:pPr>
    </w:p>
    <w:p w14:paraId="38D4EF29" w14:textId="77777777" w:rsidR="0031675F" w:rsidRPr="0031675F" w:rsidRDefault="0031675F" w:rsidP="0031675F">
      <w:pPr>
        <w:ind w:left="540" w:hanging="540"/>
      </w:pPr>
      <w:r w:rsidRPr="0031675F">
        <w:rPr>
          <w:b/>
        </w:rPr>
        <w:t xml:space="preserve">4.2 </w:t>
      </w:r>
      <w:r w:rsidRPr="0031675F">
        <w:rPr>
          <w:b/>
        </w:rPr>
        <w:tab/>
        <w:t>Glassware and Supplies</w:t>
      </w:r>
    </w:p>
    <w:p w14:paraId="5BE7BF3A" w14:textId="77777777" w:rsidR="0031675F" w:rsidRPr="0031675F" w:rsidRDefault="0031675F" w:rsidP="0031675F">
      <w:pPr>
        <w:ind w:left="540" w:hanging="540"/>
      </w:pPr>
    </w:p>
    <w:p w14:paraId="649FEAE9" w14:textId="77777777" w:rsidR="0031675F" w:rsidRPr="0031675F" w:rsidRDefault="0031675F" w:rsidP="0031675F">
      <w:pPr>
        <w:ind w:left="1134" w:hanging="567"/>
      </w:pPr>
      <w:r w:rsidRPr="0031675F">
        <w:rPr>
          <w:b/>
        </w:rPr>
        <w:t xml:space="preserve">4.2.1 </w:t>
      </w:r>
      <w:r w:rsidRPr="0031675F">
        <w:rPr>
          <w:b/>
        </w:rPr>
        <w:tab/>
      </w:r>
      <w:r w:rsidRPr="0031675F">
        <w:t>All labware used in the analysis must be low in residual phosphate to avoid sample or reagent contamination. Rinsing with reverse osmosis water, followed by rinsing with 10% HCl and thoroughly rinsing with reagent water is sufficient.</w:t>
      </w:r>
    </w:p>
    <w:p w14:paraId="6603DA7D" w14:textId="77777777" w:rsidR="0031675F" w:rsidRPr="0031675F" w:rsidRDefault="0031675F" w:rsidP="0031675F">
      <w:pPr>
        <w:ind w:left="1134" w:hanging="567"/>
      </w:pPr>
    </w:p>
    <w:p w14:paraId="3CE1D230" w14:textId="77777777" w:rsidR="0031675F" w:rsidRPr="0031675F" w:rsidRDefault="0031675F" w:rsidP="0031675F">
      <w:pPr>
        <w:ind w:left="1134" w:hanging="567"/>
      </w:pPr>
      <w:r w:rsidRPr="0031675F">
        <w:rPr>
          <w:b/>
        </w:rPr>
        <w:t xml:space="preserve">4.2.2 </w:t>
      </w:r>
      <w:r w:rsidRPr="0031675F">
        <w:rPr>
          <w:b/>
        </w:rPr>
        <w:tab/>
      </w:r>
      <w:r w:rsidRPr="0031675F">
        <w:t>Automatic pipetters capable of delivering volumes ranging from 10-100 μL and 100 – 1000 μL with an assortment of high quality disposable pipette tips. It is standard protocol to check the accuracy of the pipetters at least once per week using a four decimal place analytical balance.</w:t>
      </w:r>
    </w:p>
    <w:p w14:paraId="3E49610A" w14:textId="77777777" w:rsidR="0031675F" w:rsidRPr="0031675F" w:rsidRDefault="0031675F" w:rsidP="0031675F">
      <w:pPr>
        <w:ind w:left="1134" w:hanging="567"/>
      </w:pPr>
    </w:p>
    <w:p w14:paraId="201CA22A" w14:textId="77777777" w:rsidR="0031675F" w:rsidRPr="0031675F" w:rsidRDefault="0031675F" w:rsidP="0031675F">
      <w:pPr>
        <w:ind w:left="1134" w:hanging="567"/>
      </w:pPr>
      <w:r w:rsidRPr="0031675F">
        <w:rPr>
          <w:b/>
        </w:rPr>
        <w:t xml:space="preserve">4.2.3 </w:t>
      </w:r>
      <w:r w:rsidRPr="0031675F">
        <w:rPr>
          <w:b/>
        </w:rPr>
        <w:tab/>
      </w:r>
      <w:r w:rsidRPr="0031675F">
        <w:t>Analytical balance, with capability to measure 4 decimal places for preparing SSS. It is standard protocol to have this balanced serviced and calibrated once per year, then checked weekly with certified weights.</w:t>
      </w:r>
    </w:p>
    <w:p w14:paraId="0585DD75" w14:textId="77777777" w:rsidR="0031675F" w:rsidRPr="0031675F" w:rsidRDefault="0031675F" w:rsidP="0031675F">
      <w:pPr>
        <w:ind w:left="1134" w:hanging="567"/>
      </w:pPr>
    </w:p>
    <w:p w14:paraId="7B8D8DD1" w14:textId="77777777" w:rsidR="0031675F" w:rsidRPr="0031675F" w:rsidRDefault="0031675F" w:rsidP="0031675F">
      <w:pPr>
        <w:ind w:left="1134" w:hanging="567"/>
      </w:pPr>
      <w:r w:rsidRPr="0031675F">
        <w:rPr>
          <w:b/>
        </w:rPr>
        <w:t>4.2.4</w:t>
      </w:r>
      <w:r w:rsidRPr="0031675F">
        <w:t xml:space="preserve"> </w:t>
      </w:r>
      <w:r w:rsidRPr="0031675F">
        <w:tab/>
        <w:t>10 mL sterile high density polypropylene, glass volumetric flasks, and glass pipettes.</w:t>
      </w:r>
    </w:p>
    <w:p w14:paraId="00869399" w14:textId="77777777" w:rsidR="0031675F" w:rsidRPr="0031675F" w:rsidRDefault="0031675F" w:rsidP="0031675F">
      <w:pPr>
        <w:ind w:left="1134" w:hanging="567"/>
      </w:pPr>
    </w:p>
    <w:p w14:paraId="45D9140C" w14:textId="77777777" w:rsidR="0031675F" w:rsidRPr="0031675F" w:rsidRDefault="0031675F" w:rsidP="0031675F">
      <w:pPr>
        <w:ind w:left="1134" w:hanging="567"/>
      </w:pPr>
      <w:r w:rsidRPr="0031675F">
        <w:rPr>
          <w:b/>
        </w:rPr>
        <w:t xml:space="preserve">4.2.5 </w:t>
      </w:r>
      <w:r w:rsidRPr="0031675F">
        <w:rPr>
          <w:b/>
        </w:rPr>
        <w:tab/>
      </w:r>
      <w:r w:rsidRPr="0031675F">
        <w:t>105°C drying oven.</w:t>
      </w:r>
    </w:p>
    <w:p w14:paraId="33E2E46E" w14:textId="77777777" w:rsidR="0031675F" w:rsidRPr="0031675F" w:rsidRDefault="0031675F" w:rsidP="0031675F">
      <w:pPr>
        <w:ind w:left="1134" w:hanging="567"/>
      </w:pPr>
    </w:p>
    <w:p w14:paraId="22622DA0" w14:textId="77777777" w:rsidR="0031675F" w:rsidRPr="0031675F" w:rsidRDefault="0031675F" w:rsidP="0031675F">
      <w:pPr>
        <w:ind w:left="1134" w:hanging="567"/>
      </w:pPr>
      <w:r w:rsidRPr="0031675F">
        <w:rPr>
          <w:b/>
        </w:rPr>
        <w:t>4.2.6</w:t>
      </w:r>
      <w:r w:rsidRPr="0031675F">
        <w:t xml:space="preserve"> </w:t>
      </w:r>
      <w:r w:rsidRPr="0031675F">
        <w:tab/>
        <w:t>Desiccator.</w:t>
      </w:r>
    </w:p>
    <w:p w14:paraId="2B7D088D" w14:textId="77777777" w:rsidR="0031675F" w:rsidRPr="0031675F" w:rsidRDefault="0031675F" w:rsidP="0031675F">
      <w:pPr>
        <w:ind w:left="1134" w:hanging="567"/>
      </w:pPr>
    </w:p>
    <w:p w14:paraId="76BDD040" w14:textId="77777777" w:rsidR="0031675F" w:rsidRPr="0031675F" w:rsidRDefault="0031675F" w:rsidP="0031675F">
      <w:pPr>
        <w:ind w:left="1134" w:hanging="567"/>
      </w:pPr>
      <w:r w:rsidRPr="0031675F">
        <w:rPr>
          <w:b/>
        </w:rPr>
        <w:t>4.2.7</w:t>
      </w:r>
      <w:r w:rsidRPr="0031675F">
        <w:t xml:space="preserve"> </w:t>
      </w:r>
      <w:r w:rsidRPr="0031675F">
        <w:tab/>
        <w:t>Polysulphone sterile membrane filters with 0.45 μm nominal pore size. Plastic sterile Terumo syringe.</w:t>
      </w:r>
    </w:p>
    <w:p w14:paraId="6AEB2EF1" w14:textId="77777777" w:rsidR="0031675F" w:rsidRPr="0031675F" w:rsidRDefault="0031675F" w:rsidP="0031675F">
      <w:pPr>
        <w:ind w:left="1080" w:hanging="540"/>
      </w:pPr>
    </w:p>
    <w:p w14:paraId="5B74D1F4" w14:textId="77777777" w:rsidR="0031675F" w:rsidRPr="0031675F" w:rsidRDefault="0031675F" w:rsidP="0031675F">
      <w:pPr>
        <w:ind w:left="540" w:hanging="540"/>
      </w:pPr>
    </w:p>
    <w:p w14:paraId="2BA767F7" w14:textId="77777777" w:rsidR="0031675F" w:rsidRPr="0031675F" w:rsidRDefault="0031675F" w:rsidP="0031675F">
      <w:pPr>
        <w:shd w:val="clear" w:color="auto" w:fill="D9D9D9"/>
        <w:ind w:left="540" w:hanging="540"/>
        <w:rPr>
          <w:b/>
        </w:rPr>
      </w:pPr>
      <w:r w:rsidRPr="0031675F">
        <w:rPr>
          <w:b/>
        </w:rPr>
        <w:t xml:space="preserve">5.0 </w:t>
      </w:r>
      <w:r w:rsidRPr="0031675F">
        <w:rPr>
          <w:b/>
        </w:rPr>
        <w:tab/>
        <w:t>REAGENTS AND STANDARDS</w:t>
      </w:r>
    </w:p>
    <w:p w14:paraId="504C3EE7" w14:textId="77777777" w:rsidR="0031675F" w:rsidRPr="0031675F" w:rsidRDefault="0031675F" w:rsidP="0031675F">
      <w:pPr>
        <w:ind w:left="709" w:hanging="1440"/>
        <w:rPr>
          <w:b/>
        </w:rPr>
      </w:pPr>
      <w:r w:rsidRPr="0031675F">
        <w:rPr>
          <w:b/>
        </w:rPr>
        <w:tab/>
      </w:r>
      <w:r w:rsidRPr="0031675F">
        <w:rPr>
          <w:b/>
        </w:rPr>
        <w:tab/>
      </w:r>
    </w:p>
    <w:p w14:paraId="18160B66" w14:textId="77777777" w:rsidR="0031675F" w:rsidRPr="0031675F" w:rsidRDefault="0031675F" w:rsidP="0031675F">
      <w:pPr>
        <w:ind w:left="540" w:hanging="540"/>
      </w:pPr>
      <w:r w:rsidRPr="0031675F">
        <w:rPr>
          <w:b/>
        </w:rPr>
        <w:t xml:space="preserve">5.1 </w:t>
      </w:r>
      <w:r w:rsidRPr="0031675F">
        <w:rPr>
          <w:b/>
        </w:rPr>
        <w:tab/>
        <w:t>Stock Reagent Solutions</w:t>
      </w:r>
      <w:r w:rsidRPr="0031675F">
        <w:t xml:space="preserve"> – all chemicals are analytical grade quality.</w:t>
      </w:r>
    </w:p>
    <w:p w14:paraId="20BFF59D" w14:textId="77777777" w:rsidR="0031675F" w:rsidRPr="0031675F" w:rsidRDefault="0031675F" w:rsidP="0031675F">
      <w:pPr>
        <w:ind w:left="540" w:hanging="540"/>
      </w:pPr>
    </w:p>
    <w:p w14:paraId="7F3E4C4B" w14:textId="0DA07228" w:rsidR="0031675F" w:rsidRPr="0031675F" w:rsidRDefault="0031675F" w:rsidP="0031675F">
      <w:pPr>
        <w:ind w:left="1134" w:hanging="567"/>
      </w:pPr>
      <w:r w:rsidRPr="0031675F">
        <w:rPr>
          <w:b/>
        </w:rPr>
        <w:t>5.1.1</w:t>
      </w:r>
      <w:r w:rsidRPr="0031675F">
        <w:t xml:space="preserve"> </w:t>
      </w:r>
      <w:r w:rsidRPr="0031675F">
        <w:tab/>
        <w:t>Stock Phosphorus Solution (1000 mg P</w:t>
      </w:r>
      <w:r w:rsidR="00BB13FD">
        <w:t xml:space="preserve"> </w:t>
      </w:r>
      <w:r w:rsidRPr="0031675F">
        <w:t>L</w:t>
      </w:r>
      <w:r w:rsidR="00BB13FD" w:rsidRPr="00BB13FD">
        <w:rPr>
          <w:vertAlign w:val="superscript"/>
        </w:rPr>
        <w:t>-1</w:t>
      </w:r>
      <w:r w:rsidRPr="0031675F">
        <w:t>) – Quantitatively transfer 4.393 g of pre- dried (105°C for 1 hour minimum) potassium phosphate monobasic (KH</w:t>
      </w:r>
      <w:r w:rsidRPr="0031675F">
        <w:rPr>
          <w:vertAlign w:val="subscript"/>
        </w:rPr>
        <w:t>2</w:t>
      </w:r>
      <w:r w:rsidRPr="0031675F">
        <w:t>PO</w:t>
      </w:r>
      <w:r w:rsidRPr="0031675F">
        <w:rPr>
          <w:vertAlign w:val="subscript"/>
        </w:rPr>
        <w:t>4</w:t>
      </w:r>
      <w:r w:rsidRPr="0031675F">
        <w:t xml:space="preserve"> FW 136.09) to a 1000 mL glass volumetric flask containing 800 mL of reagent water and dissolve. Fill to mark with reagent water and refrigerate. This solution is stable for 2 – 3 weeks.</w:t>
      </w:r>
    </w:p>
    <w:p w14:paraId="1401C54C" w14:textId="77777777" w:rsidR="0031675F" w:rsidRPr="0031675F" w:rsidRDefault="0031675F" w:rsidP="0031675F">
      <w:pPr>
        <w:ind w:left="1134" w:hanging="567"/>
      </w:pPr>
    </w:p>
    <w:p w14:paraId="22FAA564" w14:textId="7DF133DD" w:rsidR="0031675F" w:rsidRPr="0031675F" w:rsidRDefault="0031675F" w:rsidP="0031675F">
      <w:pPr>
        <w:ind w:left="1134" w:hanging="567"/>
      </w:pPr>
      <w:r w:rsidRPr="0031675F">
        <w:rPr>
          <w:b/>
        </w:rPr>
        <w:t>5.1.2</w:t>
      </w:r>
      <w:r w:rsidRPr="0031675F">
        <w:t xml:space="preserve"> </w:t>
      </w:r>
      <w:r w:rsidRPr="0031675F">
        <w:tab/>
        <w:t>Spiking Stock Solution (250 mg P</w:t>
      </w:r>
      <w:r w:rsidR="00BB13FD">
        <w:t xml:space="preserve"> </w:t>
      </w:r>
      <w:r w:rsidR="00BB13FD" w:rsidRPr="0031675F">
        <w:t>L</w:t>
      </w:r>
      <w:r w:rsidR="00BB13FD" w:rsidRPr="00BB13FD">
        <w:rPr>
          <w:vertAlign w:val="superscript"/>
        </w:rPr>
        <w:t>-1</w:t>
      </w:r>
      <w:r w:rsidRPr="0031675F">
        <w:t>) – Pipette 1</w:t>
      </w:r>
      <w:r w:rsidR="00BB13FD">
        <w:t xml:space="preserve"> </w:t>
      </w:r>
      <w:r w:rsidRPr="0031675F">
        <w:t>mL of the stock phosphorus solution into a 250 mL glass volumetric containing 230</w:t>
      </w:r>
      <w:r w:rsidR="00BB13FD">
        <w:t xml:space="preserve"> mL</w:t>
      </w:r>
      <w:r w:rsidRPr="0031675F">
        <w:t xml:space="preserve"> of reagent water and then fill to marked line and mix well. This solution should be made daily.</w:t>
      </w:r>
    </w:p>
    <w:p w14:paraId="04A7AA53" w14:textId="77777777" w:rsidR="0031675F" w:rsidRPr="0031675F" w:rsidRDefault="0031675F" w:rsidP="0031675F">
      <w:pPr>
        <w:ind w:left="1134" w:hanging="567"/>
      </w:pPr>
    </w:p>
    <w:p w14:paraId="2F3DE016" w14:textId="77777777" w:rsidR="0031675F" w:rsidRPr="0031675F" w:rsidRDefault="0031675F" w:rsidP="0031675F">
      <w:pPr>
        <w:ind w:left="1134" w:hanging="567"/>
      </w:pPr>
      <w:r w:rsidRPr="0031675F">
        <w:rPr>
          <w:b/>
        </w:rPr>
        <w:t>5.1.3</w:t>
      </w:r>
      <w:r w:rsidRPr="0031675F">
        <w:t xml:space="preserve"> </w:t>
      </w:r>
      <w:r w:rsidRPr="0031675F">
        <w:tab/>
        <w:t>Sulphuric Acid Solution –Using a 25 mL glass measuring cylinder measure out 14 mL of concentrated sulphuric acid (H</w:t>
      </w:r>
      <w:r w:rsidRPr="0031675F">
        <w:rPr>
          <w:vertAlign w:val="subscript"/>
        </w:rPr>
        <w:t>2</w:t>
      </w:r>
      <w:r w:rsidRPr="0031675F">
        <w:t>SO</w:t>
      </w:r>
      <w:r w:rsidRPr="0031675F">
        <w:rPr>
          <w:vertAlign w:val="subscript"/>
        </w:rPr>
        <w:t>4</w:t>
      </w:r>
      <w:r w:rsidRPr="0031675F">
        <w:t xml:space="preserve"> 98.08) into a 250 mL glass volumetric flask containing approximately 200 mL of reagent water and mix well. Fill to the mark with reagent water. This solution is stable for 1 week.</w:t>
      </w:r>
    </w:p>
    <w:p w14:paraId="73CA6CBA" w14:textId="77777777" w:rsidR="0031675F" w:rsidRPr="0031675F" w:rsidRDefault="0031675F" w:rsidP="0031675F">
      <w:pPr>
        <w:ind w:left="1134" w:hanging="567"/>
      </w:pPr>
    </w:p>
    <w:p w14:paraId="37BA1960" w14:textId="77777777" w:rsidR="0031675F" w:rsidRPr="0031675F" w:rsidRDefault="0031675F" w:rsidP="0031675F">
      <w:pPr>
        <w:ind w:left="1134" w:hanging="567"/>
      </w:pPr>
      <w:r w:rsidRPr="0031675F">
        <w:rPr>
          <w:b/>
        </w:rPr>
        <w:t>5.1.4</w:t>
      </w:r>
      <w:r w:rsidRPr="0031675F">
        <w:t xml:space="preserve"> </w:t>
      </w:r>
      <w:r w:rsidRPr="0031675F">
        <w:tab/>
        <w:t>Ammonium Molybdate Solution - Quantitatively transfer 5.000 g of pre-dried (105°C for 1 hour minimum)  ammonium molybdate ((NH</w:t>
      </w:r>
      <w:r w:rsidRPr="0031675F">
        <w:rPr>
          <w:vertAlign w:val="subscript"/>
        </w:rPr>
        <w:t>4</w:t>
      </w:r>
      <w:r w:rsidRPr="0031675F">
        <w:t>)</w:t>
      </w:r>
      <w:r w:rsidRPr="0031675F">
        <w:rPr>
          <w:vertAlign w:val="subscript"/>
        </w:rPr>
        <w:t>6</w:t>
      </w:r>
      <w:r w:rsidRPr="0031675F">
        <w:t>Mo</w:t>
      </w:r>
      <w:r w:rsidRPr="0031675F">
        <w:rPr>
          <w:vertAlign w:val="subscript"/>
        </w:rPr>
        <w:t>7</w:t>
      </w:r>
      <w:r w:rsidRPr="0031675F">
        <w:t>O</w:t>
      </w:r>
      <w:r w:rsidRPr="0031675F">
        <w:rPr>
          <w:vertAlign w:val="subscript"/>
        </w:rPr>
        <w:t>24</w:t>
      </w:r>
      <w:r w:rsidRPr="0031675F">
        <w:t>.4H</w:t>
      </w:r>
      <w:r w:rsidRPr="0031675F">
        <w:rPr>
          <w:vertAlign w:val="subscript"/>
        </w:rPr>
        <w:t>2</w:t>
      </w:r>
      <w:r w:rsidRPr="0031675F">
        <w:t>0 FW 1235.86) into a 250 mL glass volumetric flask containing approximately 180 mL of reagent water and mix well. Using a 25 mL glass measuring cylinder measure out 8 mL of concentrated sulphuric acid (H</w:t>
      </w:r>
      <w:r w:rsidRPr="0031675F">
        <w:rPr>
          <w:vertAlign w:val="subscript"/>
        </w:rPr>
        <w:t>2</w:t>
      </w:r>
      <w:r w:rsidRPr="0031675F">
        <w:t>SO</w:t>
      </w:r>
      <w:r w:rsidRPr="0031675F">
        <w:rPr>
          <w:vertAlign w:val="subscript"/>
        </w:rPr>
        <w:t>4</w:t>
      </w:r>
      <w:r w:rsidRPr="0031675F">
        <w:t xml:space="preserve"> 98.08) and add to the molybdate mixture. Mix well and fill to the mark with reagent water. This solution is stable for 1 week.</w:t>
      </w:r>
    </w:p>
    <w:p w14:paraId="796C50D0" w14:textId="77777777" w:rsidR="0031675F" w:rsidRPr="0031675F" w:rsidRDefault="0031675F" w:rsidP="0031675F">
      <w:pPr>
        <w:ind w:left="1134" w:hanging="567"/>
      </w:pPr>
    </w:p>
    <w:p w14:paraId="4B652CB4" w14:textId="5345D636" w:rsidR="0031675F" w:rsidRPr="0031675F" w:rsidRDefault="0031675F" w:rsidP="0031675F">
      <w:pPr>
        <w:ind w:left="1134" w:hanging="567"/>
      </w:pPr>
      <w:r w:rsidRPr="0031675F">
        <w:rPr>
          <w:b/>
        </w:rPr>
        <w:t>5.1.5</w:t>
      </w:r>
      <w:r w:rsidRPr="0031675F">
        <w:t xml:space="preserve"> </w:t>
      </w:r>
      <w:r w:rsidRPr="0031675F">
        <w:tab/>
        <w:t>Antimony Potassium Tartrate Solution – Quantitatively transfer 0.125 g of antimony potassium tartrate (KSbO.C</w:t>
      </w:r>
      <w:r w:rsidRPr="0031675F">
        <w:rPr>
          <w:vertAlign w:val="subscript"/>
        </w:rPr>
        <w:t>4</w:t>
      </w:r>
      <w:r w:rsidRPr="0031675F">
        <w:t>H</w:t>
      </w:r>
      <w:r w:rsidRPr="0031675F">
        <w:rPr>
          <w:vertAlign w:val="subscript"/>
        </w:rPr>
        <w:t>4</w:t>
      </w:r>
      <w:r w:rsidRPr="0031675F">
        <w:t>O</w:t>
      </w:r>
      <w:r w:rsidRPr="0031675F">
        <w:rPr>
          <w:vertAlign w:val="subscript"/>
        </w:rPr>
        <w:t>6</w:t>
      </w:r>
      <w:r w:rsidRPr="0031675F">
        <w:t xml:space="preserve"> FW 324.92) and 5.000 g of L-ascorbic acid (C</w:t>
      </w:r>
      <w:r w:rsidRPr="0031675F">
        <w:rPr>
          <w:vertAlign w:val="subscript"/>
        </w:rPr>
        <w:t>6</w:t>
      </w:r>
      <w:r w:rsidRPr="0031675F">
        <w:t>H</w:t>
      </w:r>
      <w:r w:rsidRPr="0031675F">
        <w:rPr>
          <w:vertAlign w:val="subscript"/>
        </w:rPr>
        <w:t>8</w:t>
      </w:r>
      <w:r w:rsidRPr="0031675F">
        <w:t>O</w:t>
      </w:r>
      <w:r w:rsidRPr="0031675F">
        <w:rPr>
          <w:vertAlign w:val="subscript"/>
        </w:rPr>
        <w:t>6</w:t>
      </w:r>
      <w:r w:rsidRPr="0031675F">
        <w:t xml:space="preserve">  FW 176.13)</w:t>
      </w:r>
      <w:r w:rsidRPr="0031675F">
        <w:rPr>
          <w:b/>
        </w:rPr>
        <w:t xml:space="preserve"> </w:t>
      </w:r>
      <w:r w:rsidRPr="0031675F">
        <w:t>into a 250 mL glass volumetric flask containing approximately 180 mL of reagent water and mix well until the antimony is dissolved. Using a 25mL glass measuring cylinder measure out 12.5</w:t>
      </w:r>
      <w:r w:rsidR="00BB13FD">
        <w:t xml:space="preserve"> </w:t>
      </w:r>
      <w:r w:rsidRPr="0031675F">
        <w:t>mL of concentrated sulphuric acid (H</w:t>
      </w:r>
      <w:r w:rsidRPr="0031675F">
        <w:rPr>
          <w:vertAlign w:val="subscript"/>
        </w:rPr>
        <w:t>2</w:t>
      </w:r>
      <w:r w:rsidRPr="0031675F">
        <w:t>SO</w:t>
      </w:r>
      <w:r w:rsidRPr="0031675F">
        <w:rPr>
          <w:vertAlign w:val="subscript"/>
        </w:rPr>
        <w:t>4</w:t>
      </w:r>
      <w:r w:rsidRPr="0031675F">
        <w:t xml:space="preserve"> 98.08) and add to the antimony mixture. Mix well and fill to the mark with reagent water and cover with foil. This solution is stable for 1 day.</w:t>
      </w:r>
    </w:p>
    <w:p w14:paraId="0370DA06" w14:textId="77777777" w:rsidR="0031675F" w:rsidRPr="0031675F" w:rsidRDefault="0031675F" w:rsidP="0031675F">
      <w:pPr>
        <w:ind w:left="1134" w:hanging="567"/>
      </w:pPr>
    </w:p>
    <w:p w14:paraId="1B68C97C" w14:textId="77777777" w:rsidR="0031675F" w:rsidRPr="0031675F" w:rsidRDefault="0031675F" w:rsidP="0031675F">
      <w:pPr>
        <w:ind w:left="540" w:hanging="540"/>
      </w:pPr>
      <w:r w:rsidRPr="0031675F">
        <w:rPr>
          <w:b/>
        </w:rPr>
        <w:t xml:space="preserve">5.2 </w:t>
      </w:r>
      <w:r w:rsidRPr="0031675F">
        <w:rPr>
          <w:b/>
        </w:rPr>
        <w:tab/>
        <w:t>Working Reagents</w:t>
      </w:r>
    </w:p>
    <w:p w14:paraId="1E066175" w14:textId="77777777" w:rsidR="0031675F" w:rsidRPr="0031675F" w:rsidRDefault="0031675F" w:rsidP="0031675F">
      <w:pPr>
        <w:ind w:left="540" w:hanging="540"/>
      </w:pPr>
    </w:p>
    <w:p w14:paraId="75D57CF3" w14:textId="77777777" w:rsidR="0031675F" w:rsidRPr="0031675F" w:rsidRDefault="0031675F" w:rsidP="0031675F">
      <w:pPr>
        <w:ind w:left="1134" w:hanging="567"/>
      </w:pPr>
      <w:r w:rsidRPr="0031675F">
        <w:rPr>
          <w:b/>
        </w:rPr>
        <w:t xml:space="preserve">5.2.1 </w:t>
      </w:r>
      <w:r w:rsidRPr="0031675F">
        <w:rPr>
          <w:b/>
        </w:rPr>
        <w:tab/>
      </w:r>
      <w:r w:rsidRPr="0031675F">
        <w:t>Dowfax 2A1 Start up Solution – add 1 mL of Dowfax surfactant to 500 mL of reagent water and mix gently.</w:t>
      </w:r>
    </w:p>
    <w:p w14:paraId="1A276001" w14:textId="77777777" w:rsidR="0031675F" w:rsidRPr="0031675F" w:rsidRDefault="0031675F" w:rsidP="0031675F">
      <w:pPr>
        <w:ind w:left="1080" w:hanging="540"/>
      </w:pPr>
    </w:p>
    <w:p w14:paraId="739AC53A" w14:textId="77777777" w:rsidR="0031675F" w:rsidRPr="0031675F" w:rsidRDefault="0031675F" w:rsidP="0031675F">
      <w:pPr>
        <w:ind w:left="1620" w:hanging="900"/>
      </w:pPr>
      <w:r w:rsidRPr="0031675F">
        <w:rPr>
          <w:b/>
        </w:rPr>
        <w:t>NOTE:</w:t>
      </w:r>
      <w:r w:rsidRPr="0031675F">
        <w:t xml:space="preserve"> </w:t>
      </w:r>
      <w:r w:rsidRPr="0031675F">
        <w:tab/>
        <w:t>Dowfax contains levels of nitrate, therefore keep away from Triton X 100 start up solution.</w:t>
      </w:r>
    </w:p>
    <w:p w14:paraId="138D2B1F" w14:textId="77777777" w:rsidR="0031675F" w:rsidRPr="0031675F" w:rsidRDefault="0031675F" w:rsidP="0031675F">
      <w:pPr>
        <w:ind w:left="1440" w:hanging="540"/>
      </w:pPr>
    </w:p>
    <w:p w14:paraId="29BC1137" w14:textId="77777777" w:rsidR="0031675F" w:rsidRPr="0031675F" w:rsidRDefault="0031675F" w:rsidP="0031675F">
      <w:pPr>
        <w:ind w:left="1134" w:hanging="567"/>
      </w:pPr>
      <w:r w:rsidRPr="0031675F">
        <w:rPr>
          <w:b/>
        </w:rPr>
        <w:t xml:space="preserve">5.2.2 </w:t>
      </w:r>
      <w:r w:rsidRPr="0031675F">
        <w:rPr>
          <w:b/>
        </w:rPr>
        <w:tab/>
      </w:r>
      <w:r w:rsidRPr="0031675F">
        <w:t>Working Sulphuric Solution – add 1 mL of Dowfax to the 250 mL glass volumetric flask of stock sulphuric solution and shake gently.</w:t>
      </w:r>
    </w:p>
    <w:p w14:paraId="2EED335D" w14:textId="77777777" w:rsidR="0031675F" w:rsidRPr="0031675F" w:rsidRDefault="0031675F" w:rsidP="0031675F">
      <w:pPr>
        <w:ind w:left="1134" w:hanging="567"/>
      </w:pPr>
    </w:p>
    <w:p w14:paraId="5CD83C18" w14:textId="77777777" w:rsidR="0031675F" w:rsidRPr="0031675F" w:rsidRDefault="0031675F" w:rsidP="0031675F">
      <w:pPr>
        <w:ind w:left="1134" w:hanging="567"/>
      </w:pPr>
      <w:r w:rsidRPr="0031675F">
        <w:rPr>
          <w:b/>
        </w:rPr>
        <w:t>5.2.3</w:t>
      </w:r>
      <w:r w:rsidRPr="0031675F">
        <w:t xml:space="preserve"> </w:t>
      </w:r>
      <w:r w:rsidRPr="0031675F">
        <w:tab/>
        <w:t>Working ammonium molybdate solution – 250 mL glass volumetric flask of stock molybdate solution.</w:t>
      </w:r>
    </w:p>
    <w:p w14:paraId="6E863F3B" w14:textId="77777777" w:rsidR="0031675F" w:rsidRPr="0031675F" w:rsidRDefault="0031675F" w:rsidP="0031675F">
      <w:pPr>
        <w:ind w:left="1134" w:hanging="567"/>
      </w:pPr>
    </w:p>
    <w:p w14:paraId="2F34A475" w14:textId="77777777" w:rsidR="0031675F" w:rsidRPr="0031675F" w:rsidRDefault="0031675F" w:rsidP="0031675F">
      <w:pPr>
        <w:ind w:left="1134" w:hanging="567"/>
      </w:pPr>
      <w:r w:rsidRPr="0031675F">
        <w:rPr>
          <w:b/>
        </w:rPr>
        <w:t>5.2.4</w:t>
      </w:r>
      <w:r w:rsidRPr="0031675F">
        <w:t xml:space="preserve"> </w:t>
      </w:r>
      <w:r w:rsidRPr="0031675F">
        <w:tab/>
        <w:t>Working antimony potassium tartrate solution – 250 mL glass volumetric flask of stock antimony solution (covered in foil).</w:t>
      </w:r>
    </w:p>
    <w:p w14:paraId="1195F73F" w14:textId="77777777" w:rsidR="0031675F" w:rsidRPr="0031675F" w:rsidRDefault="0031675F" w:rsidP="0031675F">
      <w:pPr>
        <w:ind w:left="1134" w:hanging="567"/>
      </w:pPr>
    </w:p>
    <w:p w14:paraId="413ADE17" w14:textId="77777777" w:rsidR="0031675F" w:rsidRPr="0031675F" w:rsidRDefault="0031675F" w:rsidP="0031675F">
      <w:pPr>
        <w:ind w:left="1134" w:hanging="567"/>
      </w:pPr>
      <w:r w:rsidRPr="0031675F">
        <w:rPr>
          <w:b/>
        </w:rPr>
        <w:t xml:space="preserve">5.2.5 </w:t>
      </w:r>
      <w:r w:rsidRPr="0031675F">
        <w:rPr>
          <w:b/>
        </w:rPr>
        <w:tab/>
      </w:r>
      <w:smartTag w:uri="urn:schemas-microsoft-com:office:smarttags" w:element="place">
        <w:smartTag w:uri="urn:schemas-microsoft-com:office:smarttags" w:element="PlaceName">
          <w:r w:rsidRPr="0031675F">
            <w:t>Colored</w:t>
          </w:r>
        </w:smartTag>
        <w:r w:rsidRPr="0031675F">
          <w:t xml:space="preserve"> </w:t>
        </w:r>
        <w:smartTag w:uri="urn:schemas-microsoft-com:office:smarttags" w:element="PlaceName">
          <w:r w:rsidRPr="0031675F">
            <w:t>SYNC</w:t>
          </w:r>
        </w:smartTag>
        <w:r w:rsidRPr="0031675F">
          <w:t xml:space="preserve"> </w:t>
        </w:r>
        <w:smartTag w:uri="urn:schemas-microsoft-com:office:smarttags" w:element="PlaceType">
          <w:r w:rsidRPr="0031675F">
            <w:t>Peak</w:t>
          </w:r>
        </w:smartTag>
      </w:smartTag>
      <w:r w:rsidRPr="0031675F">
        <w:t xml:space="preserve"> Solution – Use either a high phosphorus standard that will obtain a peak between 25 to 100 percent full scale. Or add 50 µL of blue food coloring solution to 1000 mL and mix thoroughly.</w:t>
      </w:r>
    </w:p>
    <w:p w14:paraId="0A66E6A9" w14:textId="77777777" w:rsidR="0031675F" w:rsidRPr="0031675F" w:rsidRDefault="0031675F" w:rsidP="0031675F">
      <w:pPr>
        <w:ind w:left="1134" w:hanging="567"/>
      </w:pPr>
    </w:p>
    <w:p w14:paraId="28AB8DC1" w14:textId="77777777" w:rsidR="0031675F" w:rsidRPr="0031675F" w:rsidRDefault="0031675F" w:rsidP="0031675F">
      <w:pPr>
        <w:ind w:left="1134" w:hanging="567"/>
      </w:pPr>
      <w:r w:rsidRPr="0031675F">
        <w:rPr>
          <w:b/>
        </w:rPr>
        <w:t xml:space="preserve">5.2.6 </w:t>
      </w:r>
      <w:r w:rsidRPr="0031675F">
        <w:rPr>
          <w:b/>
        </w:rPr>
        <w:tab/>
      </w:r>
      <w:r w:rsidRPr="0031675F">
        <w:t>Calibration Standards –</w:t>
      </w:r>
      <w:r w:rsidRPr="0031675F">
        <w:rPr>
          <w:b/>
        </w:rPr>
        <w:t xml:space="preserve"> </w:t>
      </w:r>
      <w:r w:rsidRPr="0031675F">
        <w:t>Prepare a series of calibration standards (</w:t>
      </w:r>
      <w:smartTag w:uri="urn:schemas-microsoft-com:office:smarttags" w:element="State">
        <w:smartTag w:uri="urn:schemas-microsoft-com:office:smarttags" w:element="place">
          <w:r w:rsidRPr="0031675F">
            <w:t>CAL</w:t>
          </w:r>
        </w:smartTag>
      </w:smartTag>
      <w:r w:rsidRPr="0031675F">
        <w:t>) by diluting a suitable volume of the stock standard solution into a 100 mL volumetric flask using reagent water. Prepare these standards daily. The concentration range of calibration standards should bracket the expected concentrations of samples and not exceed two orders of magnitude. At least five calibration standards should be used to construct the calibration curve.</w:t>
      </w:r>
    </w:p>
    <w:p w14:paraId="5869ECF8" w14:textId="77777777" w:rsidR="0031675F" w:rsidRPr="0031675F" w:rsidRDefault="0031675F" w:rsidP="0031675F"/>
    <w:p w14:paraId="72B4C759" w14:textId="77777777" w:rsidR="0031675F" w:rsidRPr="0031675F" w:rsidRDefault="0031675F" w:rsidP="0031675F">
      <w:pPr>
        <w:shd w:val="clear" w:color="auto" w:fill="D9D9D9"/>
        <w:ind w:left="540" w:hanging="540"/>
        <w:rPr>
          <w:b/>
        </w:rPr>
      </w:pPr>
      <w:r w:rsidRPr="0031675F">
        <w:rPr>
          <w:b/>
        </w:rPr>
        <w:t xml:space="preserve">6.0 </w:t>
      </w:r>
      <w:r w:rsidRPr="0031675F">
        <w:rPr>
          <w:b/>
        </w:rPr>
        <w:tab/>
        <w:t>SAMPLE COLLECTION, PRESERVATION AND STORAGE</w:t>
      </w:r>
    </w:p>
    <w:p w14:paraId="1C5098B2" w14:textId="77777777" w:rsidR="0031675F" w:rsidRPr="0031675F" w:rsidRDefault="0031675F" w:rsidP="0031675F">
      <w:pPr>
        <w:rPr>
          <w:b/>
        </w:rPr>
      </w:pPr>
      <w:r w:rsidRPr="0031675F">
        <w:rPr>
          <w:b/>
        </w:rPr>
        <w:tab/>
      </w:r>
    </w:p>
    <w:p w14:paraId="5AFEA5C7" w14:textId="77777777" w:rsidR="0031675F" w:rsidRPr="0031675F" w:rsidRDefault="0031675F" w:rsidP="0031675F">
      <w:pPr>
        <w:ind w:left="540" w:hanging="540"/>
        <w:rPr>
          <w:b/>
        </w:rPr>
      </w:pPr>
      <w:r w:rsidRPr="0031675F">
        <w:rPr>
          <w:b/>
        </w:rPr>
        <w:t xml:space="preserve">6.1 </w:t>
      </w:r>
      <w:r w:rsidRPr="0031675F">
        <w:rPr>
          <w:b/>
        </w:rPr>
        <w:tab/>
        <w:t>Sample Collection</w:t>
      </w:r>
    </w:p>
    <w:p w14:paraId="762A9736" w14:textId="77777777" w:rsidR="0031675F" w:rsidRPr="0031675F" w:rsidRDefault="0031675F" w:rsidP="0031675F">
      <w:pPr>
        <w:ind w:left="540" w:hanging="540"/>
        <w:rPr>
          <w:b/>
        </w:rPr>
      </w:pPr>
    </w:p>
    <w:p w14:paraId="5AF7DD3D" w14:textId="77777777" w:rsidR="0031675F" w:rsidRPr="0031675F" w:rsidRDefault="0031675F" w:rsidP="0031675F">
      <w:pPr>
        <w:ind w:left="1134" w:hanging="567"/>
      </w:pPr>
      <w:r w:rsidRPr="0031675F">
        <w:rPr>
          <w:b/>
        </w:rPr>
        <w:t>6.1.1</w:t>
      </w:r>
      <w:r w:rsidRPr="0031675F">
        <w:rPr>
          <w:b/>
        </w:rPr>
        <w:tab/>
      </w:r>
      <w:r w:rsidRPr="0031675F">
        <w:t>Samples collected for nutrient analyses from estuarine, coastal waters, streams and lakes are usually collected by one of two methods: either a peristaltic pump or grab sample.</w:t>
      </w:r>
    </w:p>
    <w:p w14:paraId="71EF5947" w14:textId="77777777" w:rsidR="0031675F" w:rsidRPr="0031675F" w:rsidRDefault="0031675F" w:rsidP="0031675F">
      <w:pPr>
        <w:ind w:left="1134" w:hanging="567"/>
      </w:pPr>
    </w:p>
    <w:p w14:paraId="0640FD1F" w14:textId="3937B53A" w:rsidR="0031675F" w:rsidRPr="0031675F" w:rsidRDefault="0031675F" w:rsidP="0031675F">
      <w:pPr>
        <w:ind w:left="1134" w:hanging="567"/>
      </w:pPr>
      <w:r w:rsidRPr="0031675F">
        <w:rPr>
          <w:b/>
        </w:rPr>
        <w:t xml:space="preserve">6.1.2 </w:t>
      </w:r>
      <w:r w:rsidRPr="0031675F">
        <w:rPr>
          <w:b/>
        </w:rPr>
        <w:tab/>
      </w:r>
      <w:r w:rsidRPr="0031675F">
        <w:t>A peristaltic pump has a length of tube attached that is weighted down so that particular depths can be sampled if required. A grab sample is obtained using a hand held sampling pole with 1</w:t>
      </w:r>
      <w:r w:rsidR="00BB13FD">
        <w:t xml:space="preserve"> </w:t>
      </w:r>
      <w:r w:rsidRPr="0031675F">
        <w:t>L polypropylene bottle which is filled sub surface.</w:t>
      </w:r>
    </w:p>
    <w:p w14:paraId="063B3959" w14:textId="77777777" w:rsidR="0031675F" w:rsidRPr="0031675F" w:rsidRDefault="0031675F" w:rsidP="0031675F">
      <w:pPr>
        <w:ind w:left="1134" w:hanging="567"/>
      </w:pPr>
      <w:r w:rsidRPr="0031675F">
        <w:rPr>
          <w:b/>
        </w:rPr>
        <w:t>6.1.3</w:t>
      </w:r>
      <w:r w:rsidRPr="0031675F">
        <w:t xml:space="preserve"> </w:t>
      </w:r>
      <w:r w:rsidRPr="0031675F">
        <w:tab/>
        <w:t>The filterable nutrient component is filtered immediately at the point of collection using a Terumo sterile 60 mL syringe and 0.45 µm sterile polysulphone Mini-Sart filter purchased from Sartorius (Cat #165333K).</w:t>
      </w:r>
    </w:p>
    <w:p w14:paraId="2913CFD1" w14:textId="77777777" w:rsidR="0031675F" w:rsidRPr="0031675F" w:rsidRDefault="0031675F" w:rsidP="0031675F">
      <w:pPr>
        <w:ind w:left="1080" w:hanging="540"/>
      </w:pPr>
    </w:p>
    <w:p w14:paraId="78185F83" w14:textId="77777777" w:rsidR="0031675F" w:rsidRPr="0031675F" w:rsidRDefault="0031675F" w:rsidP="0031675F">
      <w:pPr>
        <w:ind w:left="540" w:hanging="540"/>
        <w:rPr>
          <w:b/>
        </w:rPr>
      </w:pPr>
      <w:r w:rsidRPr="0031675F">
        <w:rPr>
          <w:b/>
        </w:rPr>
        <w:t xml:space="preserve">6.2 </w:t>
      </w:r>
      <w:r w:rsidRPr="0031675F">
        <w:rPr>
          <w:b/>
        </w:rPr>
        <w:tab/>
        <w:t>Sample Preservation</w:t>
      </w:r>
    </w:p>
    <w:p w14:paraId="5A151595" w14:textId="77777777" w:rsidR="0031675F" w:rsidRPr="0031675F" w:rsidRDefault="0031675F" w:rsidP="0031675F">
      <w:pPr>
        <w:ind w:left="540" w:hanging="540"/>
        <w:rPr>
          <w:b/>
        </w:rPr>
      </w:pPr>
    </w:p>
    <w:p w14:paraId="75E9CBAB" w14:textId="77777777" w:rsidR="0031675F" w:rsidRPr="0031675F" w:rsidRDefault="0031675F" w:rsidP="0031675F">
      <w:pPr>
        <w:ind w:left="1134" w:hanging="567"/>
      </w:pPr>
      <w:r w:rsidRPr="0031675F">
        <w:rPr>
          <w:b/>
        </w:rPr>
        <w:t>6.2.1</w:t>
      </w:r>
      <w:r w:rsidRPr="0031675F">
        <w:t xml:space="preserve"> </w:t>
      </w:r>
      <w:r w:rsidRPr="0031675F">
        <w:tab/>
        <w:t>After collection and filtration the samples should either be analysed immediately or if this is not possible frozen at -18°C until analysis can be performed.</w:t>
      </w:r>
    </w:p>
    <w:p w14:paraId="25375775" w14:textId="77777777" w:rsidR="0031675F" w:rsidRPr="0031675F" w:rsidRDefault="0031675F" w:rsidP="0031675F">
      <w:pPr>
        <w:ind w:left="1080" w:hanging="540"/>
      </w:pPr>
    </w:p>
    <w:p w14:paraId="5722F28D" w14:textId="77777777" w:rsidR="0031675F" w:rsidRPr="0031675F" w:rsidRDefault="0031675F" w:rsidP="0031675F">
      <w:pPr>
        <w:ind w:left="540" w:hanging="540"/>
        <w:rPr>
          <w:b/>
        </w:rPr>
      </w:pPr>
      <w:r w:rsidRPr="0031675F">
        <w:rPr>
          <w:b/>
        </w:rPr>
        <w:t xml:space="preserve">6.3 </w:t>
      </w:r>
      <w:r w:rsidRPr="0031675F">
        <w:rPr>
          <w:b/>
        </w:rPr>
        <w:tab/>
        <w:t>Sample Storage</w:t>
      </w:r>
    </w:p>
    <w:p w14:paraId="72BFFD43" w14:textId="77777777" w:rsidR="0031675F" w:rsidRPr="0031675F" w:rsidRDefault="0031675F" w:rsidP="0031675F">
      <w:pPr>
        <w:ind w:left="540" w:hanging="540"/>
      </w:pPr>
    </w:p>
    <w:p w14:paraId="4A63DEB6" w14:textId="77777777" w:rsidR="0031675F" w:rsidRPr="0031675F" w:rsidRDefault="0031675F" w:rsidP="0031675F">
      <w:pPr>
        <w:ind w:left="1134" w:hanging="567"/>
      </w:pPr>
      <w:r w:rsidRPr="0031675F">
        <w:rPr>
          <w:b/>
        </w:rPr>
        <w:t>6.3.1</w:t>
      </w:r>
      <w:r w:rsidRPr="0031675F">
        <w:t xml:space="preserve"> </w:t>
      </w:r>
      <w:r w:rsidRPr="0031675F">
        <w:tab/>
        <w:t>Samples should be stored in a freezer that contains nutrient samples only. If possible samples should further be stored into there relevant matrix and concentration to further minimise any possible contamination e.g. Store low level marine samples away from effluent samples.</w:t>
      </w:r>
    </w:p>
    <w:p w14:paraId="7463D131" w14:textId="77777777" w:rsidR="0031675F" w:rsidRPr="0031675F" w:rsidRDefault="0031675F" w:rsidP="0031675F">
      <w:pPr>
        <w:rPr>
          <w:b/>
        </w:rPr>
      </w:pPr>
    </w:p>
    <w:p w14:paraId="345D4647" w14:textId="77777777" w:rsidR="0031675F" w:rsidRPr="0031675F" w:rsidRDefault="0031675F" w:rsidP="0031675F">
      <w:pPr>
        <w:shd w:val="clear" w:color="auto" w:fill="D9D9D9"/>
        <w:rPr>
          <w:b/>
        </w:rPr>
      </w:pPr>
      <w:r w:rsidRPr="0031675F">
        <w:rPr>
          <w:b/>
        </w:rPr>
        <w:t xml:space="preserve">7.0 </w:t>
      </w:r>
      <w:r w:rsidRPr="0031675F">
        <w:rPr>
          <w:b/>
        </w:rPr>
        <w:tab/>
        <w:t>QUALITY CONTROL</w:t>
      </w:r>
    </w:p>
    <w:p w14:paraId="795DE6D5" w14:textId="77777777" w:rsidR="0031675F" w:rsidRPr="0031675F" w:rsidRDefault="0031675F" w:rsidP="0031675F">
      <w:pPr>
        <w:ind w:left="709" w:hanging="709"/>
        <w:rPr>
          <w:b/>
        </w:rPr>
      </w:pPr>
    </w:p>
    <w:p w14:paraId="226D7FCD" w14:textId="77777777" w:rsidR="0031675F" w:rsidRPr="0031675F" w:rsidRDefault="0031675F" w:rsidP="0031675F">
      <w:pPr>
        <w:ind w:left="540" w:hanging="540"/>
      </w:pPr>
      <w:r w:rsidRPr="0031675F">
        <w:rPr>
          <w:b/>
        </w:rPr>
        <w:t xml:space="preserve">7.1 </w:t>
      </w:r>
      <w:r w:rsidRPr="0031675F">
        <w:rPr>
          <w:b/>
        </w:rPr>
        <w:tab/>
      </w:r>
      <w:r w:rsidRPr="0031675F">
        <w:t xml:space="preserve">The minimum requirements of this program is to demonstrate performance using duplicate analyses, spiked samples, and the use of certified reference material (CRM’s) purchased from an external source. Also, all vials for sampling and the digestion procedure, and syringe filters  are subject to rigorous quality control checks before being utilised. </w:t>
      </w:r>
    </w:p>
    <w:p w14:paraId="5DCCB037" w14:textId="77777777" w:rsidR="0031675F" w:rsidRPr="0031675F" w:rsidRDefault="0031675F" w:rsidP="0031675F">
      <w:pPr>
        <w:ind w:left="540" w:hanging="540"/>
      </w:pPr>
    </w:p>
    <w:p w14:paraId="10911888" w14:textId="77777777" w:rsidR="0031675F" w:rsidRPr="0031675F" w:rsidRDefault="0031675F" w:rsidP="0031675F">
      <w:pPr>
        <w:ind w:left="540"/>
      </w:pPr>
      <w:r w:rsidRPr="0031675F">
        <w:t xml:space="preserve">Additionally, to participate in inter collaborative nutrient trials at least once per year e.g. National Low Level Nutrient Collaborative Trials (NLLNCT). </w:t>
      </w:r>
    </w:p>
    <w:p w14:paraId="2966D81F" w14:textId="77777777" w:rsidR="0031675F" w:rsidRPr="0031675F" w:rsidRDefault="0031675F" w:rsidP="0031675F">
      <w:pPr>
        <w:ind w:left="540"/>
      </w:pPr>
    </w:p>
    <w:p w14:paraId="697DF85F" w14:textId="77777777" w:rsidR="0031675F" w:rsidRPr="0031675F" w:rsidRDefault="0031675F" w:rsidP="0031675F">
      <w:pPr>
        <w:ind w:left="540" w:hanging="540"/>
        <w:rPr>
          <w:b/>
        </w:rPr>
      </w:pPr>
      <w:r w:rsidRPr="0031675F">
        <w:rPr>
          <w:b/>
        </w:rPr>
        <w:br w:type="page"/>
        <w:t xml:space="preserve">7.2 </w:t>
      </w:r>
      <w:r w:rsidRPr="0031675F">
        <w:rPr>
          <w:b/>
        </w:rPr>
        <w:tab/>
        <w:t xml:space="preserve">Duplicate analyses </w:t>
      </w:r>
    </w:p>
    <w:p w14:paraId="20AE4FEC" w14:textId="77777777" w:rsidR="0031675F" w:rsidRPr="0031675F" w:rsidRDefault="0031675F" w:rsidP="0031675F">
      <w:pPr>
        <w:ind w:left="540" w:hanging="540"/>
        <w:rPr>
          <w:b/>
        </w:rPr>
      </w:pPr>
    </w:p>
    <w:p w14:paraId="5A3CCA6E" w14:textId="77777777" w:rsidR="0031675F" w:rsidRPr="0031675F" w:rsidRDefault="0031675F" w:rsidP="0031675F">
      <w:pPr>
        <w:ind w:left="1134" w:hanging="567"/>
      </w:pPr>
      <w:r w:rsidRPr="0031675F">
        <w:rPr>
          <w:b/>
        </w:rPr>
        <w:t>7.3.1</w:t>
      </w:r>
      <w:r w:rsidRPr="0031675F">
        <w:t xml:space="preserve"> </w:t>
      </w:r>
      <w:r w:rsidRPr="0031675F">
        <w:tab/>
        <w:t>Duplicate analyses of samples are performed to a minimum of 5% per TropWater job submission. The standard deviation of these results should fall between +/- 10%. Failure to achieve this standard will results in samples being re-analysed.</w:t>
      </w:r>
    </w:p>
    <w:p w14:paraId="692EB28E" w14:textId="77777777" w:rsidR="0031675F" w:rsidRPr="0031675F" w:rsidRDefault="0031675F" w:rsidP="0031675F">
      <w:pPr>
        <w:ind w:left="1080" w:hanging="540"/>
      </w:pPr>
    </w:p>
    <w:p w14:paraId="3F84CE33" w14:textId="77777777" w:rsidR="0031675F" w:rsidRPr="0031675F" w:rsidRDefault="0031675F" w:rsidP="0031675F">
      <w:pPr>
        <w:ind w:left="540" w:hanging="540"/>
        <w:rPr>
          <w:b/>
        </w:rPr>
      </w:pPr>
      <w:r w:rsidRPr="0031675F">
        <w:rPr>
          <w:b/>
        </w:rPr>
        <w:t xml:space="preserve">7.3 </w:t>
      </w:r>
      <w:r w:rsidRPr="0031675F">
        <w:rPr>
          <w:b/>
        </w:rPr>
        <w:tab/>
        <w:t>Spiked Samples</w:t>
      </w:r>
    </w:p>
    <w:p w14:paraId="64E7417C" w14:textId="77777777" w:rsidR="0031675F" w:rsidRPr="0031675F" w:rsidRDefault="0031675F" w:rsidP="0031675F">
      <w:pPr>
        <w:ind w:left="540" w:hanging="540"/>
      </w:pPr>
    </w:p>
    <w:p w14:paraId="16C80C6A" w14:textId="77777777" w:rsidR="0031675F" w:rsidRPr="0031675F" w:rsidRDefault="0031675F" w:rsidP="0031675F">
      <w:pPr>
        <w:ind w:left="1134" w:hanging="567"/>
      </w:pPr>
      <w:r w:rsidRPr="0031675F">
        <w:rPr>
          <w:b/>
        </w:rPr>
        <w:t>7.4.1</w:t>
      </w:r>
      <w:r w:rsidRPr="0031675F">
        <w:t xml:space="preserve"> </w:t>
      </w:r>
      <w:r w:rsidRPr="0031675F">
        <w:tab/>
        <w:t>Samples are spiked to a minimum of 5% per TropWater job submission. The result of this addition should calculate to be between 90 – 110% recovery. Failure to achieve satisfactory recovery will result in samples being re-analysed. This may mean using a different series of dilutions if required.</w:t>
      </w:r>
    </w:p>
    <w:p w14:paraId="1390F43C" w14:textId="77777777" w:rsidR="0031675F" w:rsidRPr="0031675F" w:rsidRDefault="0031675F" w:rsidP="0031675F">
      <w:pPr>
        <w:ind w:left="540" w:hanging="540"/>
        <w:rPr>
          <w:b/>
        </w:rPr>
      </w:pPr>
      <w:r w:rsidRPr="0031675F">
        <w:rPr>
          <w:b/>
        </w:rPr>
        <w:t xml:space="preserve">7.4 </w:t>
      </w:r>
      <w:r w:rsidRPr="0031675F">
        <w:rPr>
          <w:b/>
        </w:rPr>
        <w:tab/>
        <w:t>Certified Reference Material (CRM)</w:t>
      </w:r>
    </w:p>
    <w:p w14:paraId="3AF65E57" w14:textId="77777777" w:rsidR="0031675F" w:rsidRPr="0031675F" w:rsidRDefault="0031675F" w:rsidP="0031675F">
      <w:pPr>
        <w:ind w:left="540" w:hanging="540"/>
      </w:pPr>
    </w:p>
    <w:p w14:paraId="188E0075" w14:textId="77777777" w:rsidR="0031675F" w:rsidRPr="0031675F" w:rsidRDefault="0031675F" w:rsidP="0031675F">
      <w:pPr>
        <w:ind w:left="1134" w:hanging="567"/>
      </w:pPr>
      <w:r w:rsidRPr="0031675F">
        <w:rPr>
          <w:b/>
        </w:rPr>
        <w:t>7.4.1</w:t>
      </w:r>
      <w:r w:rsidRPr="0031675F">
        <w:t xml:space="preserve"> </w:t>
      </w:r>
      <w:r w:rsidRPr="0031675F">
        <w:tab/>
        <w:t>CRM’s are purchased from Queensland Health in both freshwater and saltwater. The CRM’s are matched to the sample matrices being analysed and also concentration. The certified value range must be achieved for sample results to be deemed accurate or all samples must be re- analysed with the correct value for the CRM obtained.</w:t>
      </w:r>
    </w:p>
    <w:p w14:paraId="1AB43B9C" w14:textId="77777777" w:rsidR="0031675F" w:rsidRPr="0031675F" w:rsidRDefault="0031675F" w:rsidP="0031675F">
      <w:pPr>
        <w:ind w:left="1134" w:hanging="567"/>
      </w:pPr>
    </w:p>
    <w:p w14:paraId="0F5F7E81" w14:textId="29304338" w:rsidR="0031675F" w:rsidRPr="0031675F" w:rsidRDefault="0031675F" w:rsidP="0031675F">
      <w:pPr>
        <w:ind w:left="1134" w:hanging="567"/>
      </w:pPr>
      <w:r w:rsidRPr="0031675F">
        <w:rPr>
          <w:b/>
        </w:rPr>
        <w:t>7.4.2</w:t>
      </w:r>
      <w:r w:rsidRPr="0031675F">
        <w:t xml:space="preserve"> </w:t>
      </w:r>
      <w:r w:rsidRPr="0031675F">
        <w:tab/>
        <w:t>CRM’s are purchased in 250 mL containers. After the first thawing the whole CRM is sub – sampled into 10 mL tubes for future usage. These 10</w:t>
      </w:r>
      <w:r w:rsidR="00BB13FD">
        <w:t xml:space="preserve"> </w:t>
      </w:r>
      <w:r w:rsidRPr="0031675F">
        <w:t>mL tubes are then thawed as required.</w:t>
      </w:r>
    </w:p>
    <w:p w14:paraId="5D84E27E" w14:textId="77777777" w:rsidR="0031675F" w:rsidRPr="0031675F" w:rsidRDefault="0031675F" w:rsidP="0031675F">
      <w:pPr>
        <w:ind w:left="1080" w:hanging="540"/>
      </w:pPr>
    </w:p>
    <w:p w14:paraId="4DF1EE7D" w14:textId="77777777" w:rsidR="0031675F" w:rsidRPr="0031675F" w:rsidRDefault="0031675F" w:rsidP="0031675F">
      <w:pPr>
        <w:ind w:left="540" w:hanging="540"/>
        <w:rPr>
          <w:b/>
        </w:rPr>
      </w:pPr>
      <w:r w:rsidRPr="0031675F">
        <w:rPr>
          <w:b/>
        </w:rPr>
        <w:t xml:space="preserve">7.5 </w:t>
      </w:r>
      <w:r w:rsidRPr="0031675F">
        <w:rPr>
          <w:b/>
        </w:rPr>
        <w:tab/>
        <w:t>Consumable Quality Checks</w:t>
      </w:r>
    </w:p>
    <w:p w14:paraId="55570EC5" w14:textId="77777777" w:rsidR="0031675F" w:rsidRPr="0031675F" w:rsidRDefault="0031675F" w:rsidP="0031675F">
      <w:pPr>
        <w:ind w:left="540" w:hanging="540"/>
        <w:rPr>
          <w:b/>
        </w:rPr>
      </w:pPr>
    </w:p>
    <w:p w14:paraId="07DE81D9" w14:textId="77777777" w:rsidR="0031675F" w:rsidRPr="0031675F" w:rsidRDefault="0031675F" w:rsidP="0031675F">
      <w:pPr>
        <w:numPr>
          <w:ilvl w:val="2"/>
          <w:numId w:val="181"/>
        </w:numPr>
        <w:spacing w:before="0" w:after="0" w:line="240" w:lineRule="auto"/>
        <w:jc w:val="both"/>
      </w:pPr>
      <w:r w:rsidRPr="0031675F">
        <w:t>10 mL Sarstedt vials are ordered in large batches of at least 10,000 units (Cat # 60.9921.820). These vials are divided into their manufacturer batches and 1% of the vials are randomly selected and analysed for back ground contamination.</w:t>
      </w:r>
    </w:p>
    <w:p w14:paraId="7E2812FB" w14:textId="77777777" w:rsidR="0031675F" w:rsidRPr="0031675F" w:rsidRDefault="0031675F" w:rsidP="0031675F">
      <w:pPr>
        <w:numPr>
          <w:ilvl w:val="2"/>
          <w:numId w:val="181"/>
        </w:numPr>
        <w:spacing w:before="0" w:after="0" w:line="240" w:lineRule="auto"/>
        <w:jc w:val="both"/>
      </w:pPr>
      <w:r w:rsidRPr="0031675F">
        <w:t xml:space="preserve">The sterile minisart 0.45 </w:t>
      </w:r>
      <w:r w:rsidRPr="0031675F">
        <w:sym w:font="Symbol" w:char="F06D"/>
      </w:r>
      <w:r w:rsidRPr="0031675F">
        <w:t>m polysulphone filters are ordered in large batches. These filters are divided into their manufacturer batches and 1% of the filters are randomly selected and analysed for back ground contamination.</w:t>
      </w:r>
    </w:p>
    <w:p w14:paraId="626D2D61" w14:textId="77777777" w:rsidR="0031675F" w:rsidRPr="0031675F" w:rsidRDefault="0031675F" w:rsidP="0031675F">
      <w:pPr>
        <w:rPr>
          <w:b/>
        </w:rPr>
      </w:pPr>
    </w:p>
    <w:p w14:paraId="1172C85E" w14:textId="77777777" w:rsidR="0031675F" w:rsidRPr="0031675F" w:rsidRDefault="0031675F" w:rsidP="0031675F">
      <w:pPr>
        <w:keepNext/>
        <w:shd w:val="clear" w:color="auto" w:fill="D9D9D9"/>
        <w:rPr>
          <w:b/>
        </w:rPr>
      </w:pPr>
      <w:r w:rsidRPr="0031675F">
        <w:rPr>
          <w:b/>
        </w:rPr>
        <w:t xml:space="preserve">8.0 </w:t>
      </w:r>
      <w:r w:rsidRPr="0031675F">
        <w:rPr>
          <w:b/>
        </w:rPr>
        <w:tab/>
        <w:t>CALIBRATION AND STANDARDISATION</w:t>
      </w:r>
    </w:p>
    <w:p w14:paraId="7B7D87BA" w14:textId="77777777" w:rsidR="0031675F" w:rsidRPr="0031675F" w:rsidRDefault="0031675F" w:rsidP="0031675F">
      <w:pPr>
        <w:keepNext/>
        <w:rPr>
          <w:b/>
        </w:rPr>
      </w:pPr>
    </w:p>
    <w:p w14:paraId="19CCD2A6" w14:textId="77777777" w:rsidR="0031675F" w:rsidRPr="0031675F" w:rsidRDefault="0031675F" w:rsidP="0031675F">
      <w:pPr>
        <w:ind w:left="540" w:hanging="540"/>
      </w:pPr>
      <w:r w:rsidRPr="0031675F">
        <w:rPr>
          <w:b/>
        </w:rPr>
        <w:t>8.1</w:t>
      </w:r>
      <w:r w:rsidRPr="0031675F">
        <w:t xml:space="preserve"> </w:t>
      </w:r>
      <w:r w:rsidRPr="0031675F">
        <w:tab/>
        <w:t>At least seven calibration standards should be prepared daily for system calibration. These calibration standards should undergo the same digestion procedure for samples being analysed.</w:t>
      </w:r>
    </w:p>
    <w:p w14:paraId="61B9E951" w14:textId="77777777" w:rsidR="0031675F" w:rsidRPr="0031675F" w:rsidRDefault="0031675F" w:rsidP="0031675F">
      <w:pPr>
        <w:ind w:left="540" w:hanging="540"/>
      </w:pPr>
    </w:p>
    <w:p w14:paraId="3438BF6A" w14:textId="5DE367A1" w:rsidR="0031675F" w:rsidRPr="0031675F" w:rsidRDefault="0031675F" w:rsidP="0031675F">
      <w:pPr>
        <w:ind w:left="1134" w:hanging="567"/>
      </w:pPr>
      <w:r w:rsidRPr="0031675F">
        <w:rPr>
          <w:b/>
        </w:rPr>
        <w:t>8.1.1</w:t>
      </w:r>
      <w:r w:rsidRPr="0031675F">
        <w:t xml:space="preserve"> </w:t>
      </w:r>
      <w:r w:rsidRPr="0031675F">
        <w:tab/>
        <w:t>The following dilutions are used for a working range of 0.005 – 0.200 µg P</w:t>
      </w:r>
      <w:r w:rsidR="00BB13FD">
        <w:t xml:space="preserve"> </w:t>
      </w:r>
      <w:r w:rsidRPr="0031675F">
        <w:t>L</w:t>
      </w:r>
      <w:r w:rsidR="00BB13FD" w:rsidRPr="00BB13FD">
        <w:rPr>
          <w:vertAlign w:val="superscript"/>
        </w:rPr>
        <w:t>-1</w:t>
      </w:r>
      <w:r w:rsidRPr="0031675F">
        <w:t>:</w:t>
      </w:r>
    </w:p>
    <w:p w14:paraId="00140A12" w14:textId="77777777" w:rsidR="0031675F" w:rsidRPr="0031675F" w:rsidRDefault="0031675F" w:rsidP="0031675F">
      <w:pPr>
        <w:ind w:left="1080" w:hanging="540"/>
      </w:pPr>
    </w:p>
    <w:p w14:paraId="1BD30FBC" w14:textId="77777777" w:rsidR="0031675F" w:rsidRPr="0031675F" w:rsidRDefault="0031675F" w:rsidP="0031675F">
      <w:pPr>
        <w:ind w:left="540" w:firstLine="27"/>
      </w:pPr>
      <w:r w:rsidRPr="0031675F">
        <w:t>Step 1: Make up a secondary stock phosphorus solution</w:t>
      </w:r>
    </w:p>
    <w:p w14:paraId="0B0F65CF" w14:textId="77777777" w:rsidR="0031675F" w:rsidRPr="0031675F" w:rsidRDefault="0031675F" w:rsidP="0031675F">
      <w:pPr>
        <w:ind w:left="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2552"/>
        <w:gridCol w:w="2552"/>
      </w:tblGrid>
      <w:tr w:rsidR="0031675F" w:rsidRPr="0031675F" w14:paraId="6FB87DB3" w14:textId="77777777" w:rsidTr="00B00729">
        <w:trPr>
          <w:jc w:val="center"/>
        </w:trPr>
        <w:tc>
          <w:tcPr>
            <w:tcW w:w="2551" w:type="dxa"/>
            <w:vAlign w:val="center"/>
          </w:tcPr>
          <w:p w14:paraId="68C17463" w14:textId="77777777" w:rsidR="0031675F" w:rsidRPr="0031675F" w:rsidRDefault="0031675F" w:rsidP="0031675F">
            <w:pPr>
              <w:ind w:left="540"/>
              <w:jc w:val="center"/>
            </w:pPr>
            <w:r w:rsidRPr="0031675F">
              <w:t>Stock Phosphorus Solution (mL)</w:t>
            </w:r>
          </w:p>
        </w:tc>
        <w:tc>
          <w:tcPr>
            <w:tcW w:w="2552" w:type="dxa"/>
            <w:vAlign w:val="center"/>
          </w:tcPr>
          <w:p w14:paraId="609AF106" w14:textId="77777777" w:rsidR="0031675F" w:rsidRPr="0031675F" w:rsidRDefault="0031675F" w:rsidP="0031675F">
            <w:pPr>
              <w:ind w:left="540"/>
              <w:jc w:val="center"/>
            </w:pPr>
            <w:r w:rsidRPr="0031675F">
              <w:t>Size Volumetric Flask (mL)</w:t>
            </w:r>
          </w:p>
        </w:tc>
        <w:tc>
          <w:tcPr>
            <w:tcW w:w="2552" w:type="dxa"/>
            <w:vAlign w:val="center"/>
          </w:tcPr>
          <w:p w14:paraId="331D6512" w14:textId="77777777" w:rsidR="0031675F" w:rsidRPr="0031675F" w:rsidRDefault="0031675F" w:rsidP="0031675F">
            <w:pPr>
              <w:ind w:left="540"/>
              <w:jc w:val="center"/>
            </w:pPr>
            <w:r w:rsidRPr="0031675F">
              <w:t>Calculated Concentration</w:t>
            </w:r>
          </w:p>
          <w:p w14:paraId="09BB40FA" w14:textId="64BEB32E" w:rsidR="0031675F" w:rsidRPr="0031675F" w:rsidRDefault="0031675F" w:rsidP="0031675F">
            <w:pPr>
              <w:ind w:left="540"/>
              <w:jc w:val="center"/>
            </w:pPr>
            <w:r w:rsidRPr="0031675F">
              <w:t>(µg P</w:t>
            </w:r>
            <w:r w:rsidR="00BB13FD">
              <w:t xml:space="preserve"> </w:t>
            </w:r>
            <w:r w:rsidR="00BB13FD" w:rsidRPr="0031675F">
              <w:t>L</w:t>
            </w:r>
            <w:r w:rsidR="00BB13FD" w:rsidRPr="00BB13FD">
              <w:rPr>
                <w:vertAlign w:val="superscript"/>
              </w:rPr>
              <w:t>-1</w:t>
            </w:r>
            <w:r w:rsidRPr="0031675F">
              <w:t>)</w:t>
            </w:r>
          </w:p>
        </w:tc>
      </w:tr>
      <w:tr w:rsidR="0031675F" w:rsidRPr="0031675F" w14:paraId="3B27F935" w14:textId="77777777" w:rsidTr="00B00729">
        <w:trPr>
          <w:trHeight w:val="350"/>
          <w:jc w:val="center"/>
        </w:trPr>
        <w:tc>
          <w:tcPr>
            <w:tcW w:w="2551" w:type="dxa"/>
            <w:vAlign w:val="center"/>
          </w:tcPr>
          <w:p w14:paraId="13BB35CA" w14:textId="77777777" w:rsidR="0031675F" w:rsidRPr="0031675F" w:rsidRDefault="0031675F" w:rsidP="0031675F">
            <w:pPr>
              <w:ind w:left="540"/>
              <w:jc w:val="center"/>
            </w:pPr>
            <w:r w:rsidRPr="0031675F">
              <w:t>1</w:t>
            </w:r>
          </w:p>
        </w:tc>
        <w:tc>
          <w:tcPr>
            <w:tcW w:w="2552" w:type="dxa"/>
            <w:vAlign w:val="center"/>
          </w:tcPr>
          <w:p w14:paraId="100B404E" w14:textId="77777777" w:rsidR="0031675F" w:rsidRPr="0031675F" w:rsidRDefault="0031675F" w:rsidP="0031675F">
            <w:pPr>
              <w:ind w:left="540"/>
              <w:jc w:val="center"/>
            </w:pPr>
            <w:r w:rsidRPr="0031675F">
              <w:t>1000</w:t>
            </w:r>
          </w:p>
        </w:tc>
        <w:tc>
          <w:tcPr>
            <w:tcW w:w="2552" w:type="dxa"/>
            <w:vAlign w:val="center"/>
          </w:tcPr>
          <w:p w14:paraId="1AAEB379" w14:textId="77777777" w:rsidR="0031675F" w:rsidRPr="0031675F" w:rsidRDefault="0031675F" w:rsidP="0031675F">
            <w:pPr>
              <w:ind w:left="540"/>
              <w:jc w:val="center"/>
            </w:pPr>
            <w:r w:rsidRPr="0031675F">
              <w:t>1000</w:t>
            </w:r>
          </w:p>
        </w:tc>
      </w:tr>
    </w:tbl>
    <w:p w14:paraId="07902E57" w14:textId="77777777" w:rsidR="0031675F" w:rsidRPr="0031675F" w:rsidRDefault="0031675F" w:rsidP="0031675F">
      <w:pPr>
        <w:ind w:left="720"/>
      </w:pPr>
    </w:p>
    <w:p w14:paraId="414E690B" w14:textId="77777777" w:rsidR="0031675F" w:rsidRPr="0031675F" w:rsidRDefault="0031675F" w:rsidP="0031675F">
      <w:pPr>
        <w:ind w:left="1260" w:hanging="720"/>
      </w:pPr>
      <w:r w:rsidRPr="0031675F">
        <w:br w:type="page"/>
        <w:t>Step 2: Using the secondary stock solution made in step 1 make up the following dilutions which are used as working calibration standards.</w:t>
      </w:r>
    </w:p>
    <w:p w14:paraId="78208FA1" w14:textId="77777777" w:rsidR="0031675F" w:rsidRPr="0031675F" w:rsidRDefault="0031675F" w:rsidP="0031675F">
      <w:pPr>
        <w:ind w:left="72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2552"/>
        <w:gridCol w:w="2552"/>
      </w:tblGrid>
      <w:tr w:rsidR="0031675F" w:rsidRPr="0031675F" w14:paraId="665627CE" w14:textId="77777777" w:rsidTr="00B00729">
        <w:trPr>
          <w:trHeight w:val="958"/>
          <w:jc w:val="center"/>
        </w:trPr>
        <w:tc>
          <w:tcPr>
            <w:tcW w:w="2551" w:type="dxa"/>
            <w:vAlign w:val="center"/>
          </w:tcPr>
          <w:p w14:paraId="1432FC04" w14:textId="77777777" w:rsidR="0031675F" w:rsidRPr="0031675F" w:rsidRDefault="0031675F" w:rsidP="0031675F">
            <w:pPr>
              <w:jc w:val="center"/>
            </w:pPr>
            <w:r w:rsidRPr="0031675F">
              <w:t xml:space="preserve">Secondary Stock Phosphorus Solution </w:t>
            </w:r>
          </w:p>
          <w:p w14:paraId="02FAE7EB" w14:textId="77777777" w:rsidR="0031675F" w:rsidRPr="0031675F" w:rsidRDefault="0031675F" w:rsidP="0031675F">
            <w:pPr>
              <w:jc w:val="center"/>
            </w:pPr>
            <w:r w:rsidRPr="0031675F">
              <w:t>(mL)</w:t>
            </w:r>
          </w:p>
        </w:tc>
        <w:tc>
          <w:tcPr>
            <w:tcW w:w="2552" w:type="dxa"/>
            <w:vAlign w:val="center"/>
          </w:tcPr>
          <w:p w14:paraId="6E9FDA44" w14:textId="77777777" w:rsidR="0031675F" w:rsidRPr="0031675F" w:rsidRDefault="0031675F" w:rsidP="0031675F">
            <w:pPr>
              <w:jc w:val="center"/>
            </w:pPr>
            <w:r w:rsidRPr="0031675F">
              <w:t>Size Volumetric Flask (mL)</w:t>
            </w:r>
          </w:p>
        </w:tc>
        <w:tc>
          <w:tcPr>
            <w:tcW w:w="2552" w:type="dxa"/>
            <w:vAlign w:val="center"/>
          </w:tcPr>
          <w:p w14:paraId="05854FE1" w14:textId="5188B6B4" w:rsidR="0031675F" w:rsidRPr="0031675F" w:rsidRDefault="0031675F" w:rsidP="0031675F">
            <w:pPr>
              <w:jc w:val="center"/>
            </w:pPr>
            <w:r w:rsidRPr="0031675F">
              <w:t>Calculated Concentration (µg P</w:t>
            </w:r>
            <w:r w:rsidR="00BB13FD">
              <w:t xml:space="preserve"> </w:t>
            </w:r>
            <w:r w:rsidR="00BB13FD" w:rsidRPr="0031675F">
              <w:t>L</w:t>
            </w:r>
            <w:r w:rsidR="00BB13FD" w:rsidRPr="00BB13FD">
              <w:rPr>
                <w:vertAlign w:val="superscript"/>
              </w:rPr>
              <w:t>-1</w:t>
            </w:r>
            <w:r w:rsidRPr="0031675F">
              <w:t>)</w:t>
            </w:r>
          </w:p>
        </w:tc>
      </w:tr>
      <w:tr w:rsidR="0031675F" w:rsidRPr="0031675F" w14:paraId="2D96C9D5" w14:textId="77777777" w:rsidTr="00B00729">
        <w:trPr>
          <w:trHeight w:val="284"/>
          <w:jc w:val="center"/>
        </w:trPr>
        <w:tc>
          <w:tcPr>
            <w:tcW w:w="2551" w:type="dxa"/>
            <w:vAlign w:val="center"/>
          </w:tcPr>
          <w:p w14:paraId="1241E51A" w14:textId="77777777" w:rsidR="0031675F" w:rsidRPr="0031675F" w:rsidRDefault="0031675F" w:rsidP="0031675F">
            <w:pPr>
              <w:jc w:val="center"/>
            </w:pPr>
            <w:r w:rsidRPr="0031675F">
              <w:t>1</w:t>
            </w:r>
          </w:p>
        </w:tc>
        <w:tc>
          <w:tcPr>
            <w:tcW w:w="2552" w:type="dxa"/>
            <w:vAlign w:val="center"/>
          </w:tcPr>
          <w:p w14:paraId="04FED311" w14:textId="77777777" w:rsidR="0031675F" w:rsidRPr="0031675F" w:rsidRDefault="0031675F" w:rsidP="0031675F">
            <w:pPr>
              <w:jc w:val="center"/>
            </w:pPr>
            <w:r w:rsidRPr="0031675F">
              <w:t>100</w:t>
            </w:r>
          </w:p>
        </w:tc>
        <w:tc>
          <w:tcPr>
            <w:tcW w:w="2552" w:type="dxa"/>
            <w:vAlign w:val="center"/>
          </w:tcPr>
          <w:p w14:paraId="3EF3E4A1" w14:textId="77777777" w:rsidR="0031675F" w:rsidRPr="0031675F" w:rsidRDefault="0031675F" w:rsidP="0031675F">
            <w:pPr>
              <w:jc w:val="center"/>
            </w:pPr>
            <w:r w:rsidRPr="0031675F">
              <w:t>10</w:t>
            </w:r>
          </w:p>
        </w:tc>
      </w:tr>
      <w:tr w:rsidR="0031675F" w:rsidRPr="0031675F" w14:paraId="4C441323" w14:textId="77777777" w:rsidTr="00B00729">
        <w:trPr>
          <w:trHeight w:val="284"/>
          <w:jc w:val="center"/>
        </w:trPr>
        <w:tc>
          <w:tcPr>
            <w:tcW w:w="2551" w:type="dxa"/>
            <w:vAlign w:val="center"/>
          </w:tcPr>
          <w:p w14:paraId="0CC9C5F3" w14:textId="77777777" w:rsidR="0031675F" w:rsidRPr="0031675F" w:rsidRDefault="0031675F" w:rsidP="0031675F">
            <w:pPr>
              <w:jc w:val="center"/>
            </w:pPr>
            <w:r w:rsidRPr="0031675F">
              <w:t>2</w:t>
            </w:r>
          </w:p>
        </w:tc>
        <w:tc>
          <w:tcPr>
            <w:tcW w:w="2552" w:type="dxa"/>
            <w:vAlign w:val="center"/>
          </w:tcPr>
          <w:p w14:paraId="33BBBF63" w14:textId="77777777" w:rsidR="0031675F" w:rsidRPr="0031675F" w:rsidRDefault="0031675F" w:rsidP="0031675F">
            <w:pPr>
              <w:jc w:val="center"/>
            </w:pPr>
            <w:r w:rsidRPr="0031675F">
              <w:t>100</w:t>
            </w:r>
          </w:p>
        </w:tc>
        <w:tc>
          <w:tcPr>
            <w:tcW w:w="2552" w:type="dxa"/>
            <w:vAlign w:val="center"/>
          </w:tcPr>
          <w:p w14:paraId="44AA1713" w14:textId="77777777" w:rsidR="0031675F" w:rsidRPr="0031675F" w:rsidRDefault="0031675F" w:rsidP="0031675F">
            <w:pPr>
              <w:jc w:val="center"/>
            </w:pPr>
            <w:r w:rsidRPr="0031675F">
              <w:t>20</w:t>
            </w:r>
          </w:p>
        </w:tc>
      </w:tr>
      <w:tr w:rsidR="0031675F" w:rsidRPr="0031675F" w14:paraId="09678B63" w14:textId="77777777" w:rsidTr="00B00729">
        <w:trPr>
          <w:trHeight w:val="284"/>
          <w:jc w:val="center"/>
        </w:trPr>
        <w:tc>
          <w:tcPr>
            <w:tcW w:w="2551" w:type="dxa"/>
            <w:vAlign w:val="center"/>
          </w:tcPr>
          <w:p w14:paraId="6A9EFA62" w14:textId="77777777" w:rsidR="0031675F" w:rsidRPr="0031675F" w:rsidRDefault="0031675F" w:rsidP="0031675F">
            <w:pPr>
              <w:jc w:val="center"/>
            </w:pPr>
            <w:r w:rsidRPr="0031675F">
              <w:t>4</w:t>
            </w:r>
          </w:p>
        </w:tc>
        <w:tc>
          <w:tcPr>
            <w:tcW w:w="2552" w:type="dxa"/>
            <w:vAlign w:val="center"/>
          </w:tcPr>
          <w:p w14:paraId="6FF8652E" w14:textId="77777777" w:rsidR="0031675F" w:rsidRPr="0031675F" w:rsidRDefault="0031675F" w:rsidP="0031675F">
            <w:pPr>
              <w:jc w:val="center"/>
            </w:pPr>
            <w:r w:rsidRPr="0031675F">
              <w:t>100</w:t>
            </w:r>
          </w:p>
        </w:tc>
        <w:tc>
          <w:tcPr>
            <w:tcW w:w="2552" w:type="dxa"/>
            <w:vAlign w:val="center"/>
          </w:tcPr>
          <w:p w14:paraId="274E7EE9" w14:textId="77777777" w:rsidR="0031675F" w:rsidRPr="0031675F" w:rsidRDefault="0031675F" w:rsidP="0031675F">
            <w:pPr>
              <w:jc w:val="center"/>
            </w:pPr>
            <w:r w:rsidRPr="0031675F">
              <w:t>40</w:t>
            </w:r>
          </w:p>
        </w:tc>
      </w:tr>
      <w:tr w:rsidR="0031675F" w:rsidRPr="0031675F" w14:paraId="739E5A5B" w14:textId="77777777" w:rsidTr="00B00729">
        <w:trPr>
          <w:trHeight w:val="284"/>
          <w:jc w:val="center"/>
        </w:trPr>
        <w:tc>
          <w:tcPr>
            <w:tcW w:w="2551" w:type="dxa"/>
            <w:vAlign w:val="center"/>
          </w:tcPr>
          <w:p w14:paraId="645B072A" w14:textId="77777777" w:rsidR="0031675F" w:rsidRPr="0031675F" w:rsidRDefault="0031675F" w:rsidP="0031675F">
            <w:pPr>
              <w:jc w:val="center"/>
            </w:pPr>
            <w:r w:rsidRPr="0031675F">
              <w:t>5</w:t>
            </w:r>
          </w:p>
        </w:tc>
        <w:tc>
          <w:tcPr>
            <w:tcW w:w="2552" w:type="dxa"/>
            <w:vAlign w:val="center"/>
          </w:tcPr>
          <w:p w14:paraId="132ECAED" w14:textId="77777777" w:rsidR="0031675F" w:rsidRPr="0031675F" w:rsidRDefault="0031675F" w:rsidP="0031675F">
            <w:pPr>
              <w:jc w:val="center"/>
            </w:pPr>
            <w:r w:rsidRPr="0031675F">
              <w:t>100</w:t>
            </w:r>
          </w:p>
        </w:tc>
        <w:tc>
          <w:tcPr>
            <w:tcW w:w="2552" w:type="dxa"/>
            <w:vAlign w:val="center"/>
          </w:tcPr>
          <w:p w14:paraId="052B9276" w14:textId="77777777" w:rsidR="0031675F" w:rsidRPr="0031675F" w:rsidRDefault="0031675F" w:rsidP="0031675F">
            <w:pPr>
              <w:jc w:val="center"/>
            </w:pPr>
            <w:r w:rsidRPr="0031675F">
              <w:t>50</w:t>
            </w:r>
          </w:p>
        </w:tc>
      </w:tr>
      <w:tr w:rsidR="0031675F" w:rsidRPr="0031675F" w14:paraId="5F0515C3" w14:textId="77777777" w:rsidTr="00B00729">
        <w:trPr>
          <w:trHeight w:val="284"/>
          <w:jc w:val="center"/>
        </w:trPr>
        <w:tc>
          <w:tcPr>
            <w:tcW w:w="2551" w:type="dxa"/>
            <w:vAlign w:val="center"/>
          </w:tcPr>
          <w:p w14:paraId="1CFD5CAE" w14:textId="77777777" w:rsidR="0031675F" w:rsidRPr="0031675F" w:rsidRDefault="0031675F" w:rsidP="0031675F">
            <w:pPr>
              <w:jc w:val="center"/>
            </w:pPr>
            <w:r w:rsidRPr="0031675F">
              <w:t>8</w:t>
            </w:r>
          </w:p>
        </w:tc>
        <w:tc>
          <w:tcPr>
            <w:tcW w:w="2552" w:type="dxa"/>
            <w:vAlign w:val="center"/>
          </w:tcPr>
          <w:p w14:paraId="3ED9505C" w14:textId="77777777" w:rsidR="0031675F" w:rsidRPr="0031675F" w:rsidRDefault="0031675F" w:rsidP="0031675F">
            <w:pPr>
              <w:jc w:val="center"/>
            </w:pPr>
            <w:r w:rsidRPr="0031675F">
              <w:t>100</w:t>
            </w:r>
          </w:p>
        </w:tc>
        <w:tc>
          <w:tcPr>
            <w:tcW w:w="2552" w:type="dxa"/>
            <w:vAlign w:val="center"/>
          </w:tcPr>
          <w:p w14:paraId="31ECA866" w14:textId="77777777" w:rsidR="0031675F" w:rsidRPr="0031675F" w:rsidRDefault="0031675F" w:rsidP="0031675F">
            <w:pPr>
              <w:jc w:val="center"/>
            </w:pPr>
            <w:r w:rsidRPr="0031675F">
              <w:t>80</w:t>
            </w:r>
          </w:p>
        </w:tc>
      </w:tr>
      <w:tr w:rsidR="0031675F" w:rsidRPr="0031675F" w14:paraId="41C13899" w14:textId="77777777" w:rsidTr="00B00729">
        <w:trPr>
          <w:trHeight w:val="284"/>
          <w:jc w:val="center"/>
        </w:trPr>
        <w:tc>
          <w:tcPr>
            <w:tcW w:w="2551" w:type="dxa"/>
            <w:vAlign w:val="center"/>
          </w:tcPr>
          <w:p w14:paraId="6120C955" w14:textId="77777777" w:rsidR="0031675F" w:rsidRPr="0031675F" w:rsidRDefault="0031675F" w:rsidP="0031675F">
            <w:pPr>
              <w:jc w:val="center"/>
            </w:pPr>
            <w:r w:rsidRPr="0031675F">
              <w:t>10</w:t>
            </w:r>
          </w:p>
        </w:tc>
        <w:tc>
          <w:tcPr>
            <w:tcW w:w="2552" w:type="dxa"/>
            <w:vAlign w:val="center"/>
          </w:tcPr>
          <w:p w14:paraId="41D8A682" w14:textId="77777777" w:rsidR="0031675F" w:rsidRPr="0031675F" w:rsidRDefault="0031675F" w:rsidP="0031675F">
            <w:pPr>
              <w:jc w:val="center"/>
            </w:pPr>
            <w:r w:rsidRPr="0031675F">
              <w:t>100</w:t>
            </w:r>
          </w:p>
        </w:tc>
        <w:tc>
          <w:tcPr>
            <w:tcW w:w="2552" w:type="dxa"/>
            <w:vAlign w:val="center"/>
          </w:tcPr>
          <w:p w14:paraId="2F78A0E5" w14:textId="77777777" w:rsidR="0031675F" w:rsidRPr="0031675F" w:rsidRDefault="0031675F" w:rsidP="0031675F">
            <w:pPr>
              <w:jc w:val="center"/>
            </w:pPr>
            <w:r w:rsidRPr="0031675F">
              <w:t>100</w:t>
            </w:r>
          </w:p>
        </w:tc>
      </w:tr>
      <w:tr w:rsidR="0031675F" w:rsidRPr="0031675F" w14:paraId="5AC3D374" w14:textId="77777777" w:rsidTr="00B00729">
        <w:trPr>
          <w:trHeight w:val="284"/>
          <w:jc w:val="center"/>
        </w:trPr>
        <w:tc>
          <w:tcPr>
            <w:tcW w:w="2551" w:type="dxa"/>
            <w:vAlign w:val="center"/>
          </w:tcPr>
          <w:p w14:paraId="2CA52365" w14:textId="77777777" w:rsidR="0031675F" w:rsidRPr="0031675F" w:rsidRDefault="0031675F" w:rsidP="0031675F">
            <w:pPr>
              <w:jc w:val="center"/>
            </w:pPr>
            <w:r w:rsidRPr="0031675F">
              <w:t>15</w:t>
            </w:r>
          </w:p>
        </w:tc>
        <w:tc>
          <w:tcPr>
            <w:tcW w:w="2552" w:type="dxa"/>
            <w:vAlign w:val="center"/>
          </w:tcPr>
          <w:p w14:paraId="564B9D0D" w14:textId="77777777" w:rsidR="0031675F" w:rsidRPr="0031675F" w:rsidRDefault="0031675F" w:rsidP="0031675F">
            <w:pPr>
              <w:jc w:val="center"/>
            </w:pPr>
            <w:r w:rsidRPr="0031675F">
              <w:t>100</w:t>
            </w:r>
          </w:p>
        </w:tc>
        <w:tc>
          <w:tcPr>
            <w:tcW w:w="2552" w:type="dxa"/>
            <w:vAlign w:val="center"/>
          </w:tcPr>
          <w:p w14:paraId="2DD4E0E1" w14:textId="77777777" w:rsidR="0031675F" w:rsidRPr="0031675F" w:rsidRDefault="0031675F" w:rsidP="0031675F">
            <w:pPr>
              <w:jc w:val="center"/>
            </w:pPr>
            <w:r w:rsidRPr="0031675F">
              <w:t>150</w:t>
            </w:r>
          </w:p>
        </w:tc>
      </w:tr>
    </w:tbl>
    <w:p w14:paraId="2594006E" w14:textId="77777777" w:rsidR="0031675F" w:rsidRPr="0031675F" w:rsidRDefault="0031675F" w:rsidP="0031675F">
      <w:pPr>
        <w:ind w:left="720"/>
      </w:pPr>
    </w:p>
    <w:p w14:paraId="39E13608" w14:textId="77777777" w:rsidR="0031675F" w:rsidRPr="0031675F" w:rsidRDefault="0031675F" w:rsidP="0031675F">
      <w:pPr>
        <w:ind w:left="1514" w:hanging="794"/>
      </w:pPr>
      <w:r w:rsidRPr="0031675F">
        <w:rPr>
          <w:b/>
        </w:rPr>
        <w:t>NOTE:</w:t>
      </w:r>
      <w:r w:rsidRPr="0031675F">
        <w:t xml:space="preserve"> The calibration standards are mixed phosphorus and either nitrate or nitrite standards (refer to Nitrate and Nitrite SOP 8.1.1 or 8.1.2 for direction)</w:t>
      </w:r>
    </w:p>
    <w:p w14:paraId="0FE2A1FB" w14:textId="77777777" w:rsidR="0031675F" w:rsidRPr="0031675F" w:rsidRDefault="0031675F" w:rsidP="0031675F">
      <w:pPr>
        <w:ind w:left="1440" w:hanging="720"/>
      </w:pPr>
    </w:p>
    <w:p w14:paraId="046CE232" w14:textId="77777777" w:rsidR="0031675F" w:rsidRPr="0031675F" w:rsidRDefault="0031675F" w:rsidP="0031675F">
      <w:pPr>
        <w:ind w:left="540" w:hanging="540"/>
      </w:pPr>
      <w:r w:rsidRPr="0031675F">
        <w:rPr>
          <w:b/>
        </w:rPr>
        <w:t>8.2</w:t>
      </w:r>
      <w:r w:rsidRPr="0031675F">
        <w:t xml:space="preserve"> </w:t>
      </w:r>
      <w:r w:rsidRPr="0031675F">
        <w:tab/>
        <w:t>A calibration curve should be constructed for each sample run.</w:t>
      </w:r>
    </w:p>
    <w:p w14:paraId="602E3AA1" w14:textId="77777777" w:rsidR="0031675F" w:rsidRPr="0031675F" w:rsidRDefault="0031675F" w:rsidP="0031675F">
      <w:pPr>
        <w:ind w:left="540" w:hanging="540"/>
      </w:pPr>
    </w:p>
    <w:p w14:paraId="688C219B" w14:textId="77777777" w:rsidR="0031675F" w:rsidRPr="0031675F" w:rsidRDefault="0031675F" w:rsidP="0031675F">
      <w:pPr>
        <w:ind w:left="540" w:hanging="540"/>
      </w:pPr>
      <w:r w:rsidRPr="0031675F">
        <w:rPr>
          <w:b/>
        </w:rPr>
        <w:t>8.3</w:t>
      </w:r>
      <w:r w:rsidRPr="0031675F">
        <w:t xml:space="preserve"> </w:t>
      </w:r>
      <w:r w:rsidRPr="0031675F">
        <w:tab/>
        <w:t xml:space="preserve">The calibration standards should be placed at the start, middle and end of the run to allow for any sensitivity drift. </w:t>
      </w:r>
    </w:p>
    <w:p w14:paraId="62F21F75" w14:textId="77777777" w:rsidR="0031675F" w:rsidRPr="0031675F" w:rsidRDefault="0031675F" w:rsidP="0031675F">
      <w:pPr>
        <w:ind w:left="539" w:hanging="539"/>
      </w:pPr>
    </w:p>
    <w:p w14:paraId="7DADB7C6" w14:textId="77777777" w:rsidR="0031675F" w:rsidRPr="0031675F" w:rsidRDefault="0031675F" w:rsidP="0031675F">
      <w:pPr>
        <w:ind w:left="1260" w:hanging="720"/>
      </w:pPr>
      <w:r w:rsidRPr="0031675F">
        <w:rPr>
          <w:b/>
        </w:rPr>
        <w:t>NOTE:</w:t>
      </w:r>
      <w:r w:rsidRPr="0031675F">
        <w:t xml:space="preserve"> For large amounts of samples it may be necessary to increase the amount of calibration standards  to ensure that a ratio of one set of standards per 20 – 30 samples is achieved.</w:t>
      </w:r>
    </w:p>
    <w:p w14:paraId="0C7012D4" w14:textId="77777777" w:rsidR="0031675F" w:rsidRPr="0031675F" w:rsidRDefault="0031675F" w:rsidP="0031675F">
      <w:pPr>
        <w:ind w:left="540" w:hanging="540"/>
      </w:pPr>
    </w:p>
    <w:p w14:paraId="428F1812" w14:textId="77777777" w:rsidR="0031675F" w:rsidRPr="0031675F" w:rsidRDefault="0031675F" w:rsidP="0031675F">
      <w:pPr>
        <w:ind w:left="540" w:hanging="540"/>
      </w:pPr>
      <w:r w:rsidRPr="0031675F">
        <w:rPr>
          <w:b/>
        </w:rPr>
        <w:t>8.4</w:t>
      </w:r>
      <w:r w:rsidRPr="0031675F">
        <w:t xml:space="preserve"> </w:t>
      </w:r>
      <w:r w:rsidRPr="0031675F">
        <w:tab/>
        <w:t>The CRM should be placed at the start and the end of the run to ensure the accuracy of results is maintained throughout the whole run.</w:t>
      </w:r>
    </w:p>
    <w:p w14:paraId="069B4834" w14:textId="77777777" w:rsidR="0031675F" w:rsidRPr="0031675F" w:rsidRDefault="0031675F" w:rsidP="0031675F">
      <w:pPr>
        <w:ind w:left="540" w:hanging="540"/>
      </w:pPr>
    </w:p>
    <w:p w14:paraId="0E2DA851" w14:textId="77777777" w:rsidR="0031675F" w:rsidRPr="0031675F" w:rsidRDefault="0031675F" w:rsidP="0031675F">
      <w:pPr>
        <w:ind w:left="540" w:hanging="540"/>
      </w:pPr>
      <w:r w:rsidRPr="0031675F">
        <w:rPr>
          <w:b/>
        </w:rPr>
        <w:t>8.5</w:t>
      </w:r>
      <w:r w:rsidRPr="0031675F">
        <w:t xml:space="preserve"> </w:t>
      </w:r>
      <w:r w:rsidRPr="0031675F">
        <w:tab/>
        <w:t>Spiked samples should be prepared as follows:</w:t>
      </w:r>
    </w:p>
    <w:p w14:paraId="089EF276" w14:textId="77777777" w:rsidR="0031675F" w:rsidRPr="0031675F" w:rsidRDefault="0031675F" w:rsidP="0031675F">
      <w:pPr>
        <w:ind w:left="540" w:hanging="540"/>
      </w:pPr>
    </w:p>
    <w:p w14:paraId="54C853D6" w14:textId="77777777" w:rsidR="0031675F" w:rsidRPr="0031675F" w:rsidRDefault="0031675F" w:rsidP="0031675F">
      <w:pPr>
        <w:ind w:left="1134" w:hanging="567"/>
      </w:pPr>
      <w:r w:rsidRPr="0031675F">
        <w:rPr>
          <w:b/>
        </w:rPr>
        <w:t>8.5.1</w:t>
      </w:r>
      <w:r w:rsidRPr="0031675F">
        <w:t xml:space="preserve"> </w:t>
      </w:r>
      <w:r w:rsidRPr="0031675F">
        <w:tab/>
        <w:t>Step 1: Ensure that the sample randomly chosen to be spiked is 10mLs exactly (marked line). Use a micro pipette to remove any excess sample or conversely to add a little more sample into the vial.</w:t>
      </w:r>
    </w:p>
    <w:p w14:paraId="244510B6" w14:textId="77777777" w:rsidR="0031675F" w:rsidRPr="0031675F" w:rsidRDefault="0031675F" w:rsidP="0031675F">
      <w:pPr>
        <w:ind w:left="1080" w:hanging="540"/>
      </w:pPr>
    </w:p>
    <w:p w14:paraId="089ED30A" w14:textId="77777777" w:rsidR="0031675F" w:rsidRPr="0031675F" w:rsidRDefault="0031675F" w:rsidP="0031675F">
      <w:pPr>
        <w:ind w:left="1467" w:hanging="900"/>
      </w:pPr>
      <w:r w:rsidRPr="0031675F">
        <w:rPr>
          <w:b/>
        </w:rPr>
        <w:t>NOTE:</w:t>
      </w:r>
      <w:r w:rsidRPr="0031675F">
        <w:t xml:space="preserve"> </w:t>
      </w:r>
      <w:r w:rsidRPr="0031675F">
        <w:tab/>
        <w:t>Thoroughly mix the sample before remove or adding any sample.</w:t>
      </w:r>
    </w:p>
    <w:p w14:paraId="5012CD98" w14:textId="77777777" w:rsidR="0031675F" w:rsidRPr="0031675F" w:rsidRDefault="0031675F" w:rsidP="0031675F">
      <w:pPr>
        <w:ind w:left="1440" w:hanging="900"/>
      </w:pPr>
    </w:p>
    <w:p w14:paraId="7C662B70" w14:textId="77777777" w:rsidR="0031675F" w:rsidRPr="0031675F" w:rsidRDefault="0031675F" w:rsidP="0031675F">
      <w:pPr>
        <w:ind w:left="1134" w:hanging="567"/>
      </w:pPr>
      <w:r w:rsidRPr="0031675F">
        <w:rPr>
          <w:b/>
        </w:rPr>
        <w:t>8.5.2</w:t>
      </w:r>
      <w:r w:rsidRPr="0031675F">
        <w:t xml:space="preserve"> </w:t>
      </w:r>
      <w:r w:rsidRPr="0031675F">
        <w:tab/>
        <w:t>Step 2: Make up the spiking stock mixture by adding 1mL of Stock Phosphorus Solution (SSS) to 230 mL of reagent water in a 250 mL glass volumetric flask. Mix well and fill to the marked line,</w:t>
      </w:r>
    </w:p>
    <w:p w14:paraId="769D651D" w14:textId="77777777" w:rsidR="0031675F" w:rsidRPr="0031675F" w:rsidRDefault="0031675F" w:rsidP="0031675F">
      <w:pPr>
        <w:ind w:left="1134" w:hanging="567"/>
      </w:pPr>
    </w:p>
    <w:p w14:paraId="0F3D0C70" w14:textId="1EC24B0B" w:rsidR="0031675F" w:rsidRPr="0031675F" w:rsidRDefault="0031675F" w:rsidP="0031675F">
      <w:pPr>
        <w:ind w:left="1134" w:hanging="567"/>
      </w:pPr>
      <w:r w:rsidRPr="0031675F">
        <w:rPr>
          <w:b/>
        </w:rPr>
        <w:t>8.5.3</w:t>
      </w:r>
      <w:r w:rsidRPr="0031675F">
        <w:t xml:space="preserve"> </w:t>
      </w:r>
      <w:r w:rsidRPr="0031675F">
        <w:tab/>
        <w:t>Step 3: Add 50µL of the spiking stock mixture (equivalent of 20 µg P</w:t>
      </w:r>
      <w:r w:rsidR="00BB13FD">
        <w:t xml:space="preserve"> </w:t>
      </w:r>
      <w:r w:rsidR="00BB13FD" w:rsidRPr="0031675F">
        <w:t>L</w:t>
      </w:r>
      <w:r w:rsidR="00BB13FD" w:rsidRPr="00BB13FD">
        <w:rPr>
          <w:vertAlign w:val="superscript"/>
        </w:rPr>
        <w:t>-1</w:t>
      </w:r>
      <w:r w:rsidRPr="0031675F">
        <w:t>) to the 10 mL sample and mix well.</w:t>
      </w:r>
    </w:p>
    <w:p w14:paraId="3412E4C1" w14:textId="77777777" w:rsidR="0031675F" w:rsidRPr="0031675F" w:rsidRDefault="0031675F" w:rsidP="0031675F">
      <w:pPr>
        <w:ind w:left="1134" w:hanging="567"/>
      </w:pPr>
    </w:p>
    <w:p w14:paraId="53DE7F34" w14:textId="77777777" w:rsidR="0031675F" w:rsidRPr="0031675F" w:rsidRDefault="0031675F" w:rsidP="0031675F">
      <w:pPr>
        <w:ind w:left="1134" w:hanging="567"/>
      </w:pPr>
      <w:r w:rsidRPr="0031675F">
        <w:rPr>
          <w:b/>
        </w:rPr>
        <w:t>8.5.4</w:t>
      </w:r>
      <w:r w:rsidRPr="0031675F">
        <w:t xml:space="preserve"> </w:t>
      </w:r>
      <w:r w:rsidRPr="0031675F">
        <w:tab/>
        <w:t>A minimum of three spiked reagent water samples are to be prepared and analysed for every run.</w:t>
      </w:r>
    </w:p>
    <w:p w14:paraId="19C2C57C" w14:textId="77777777" w:rsidR="0031675F" w:rsidRPr="0031675F" w:rsidRDefault="0031675F" w:rsidP="0031675F">
      <w:pPr>
        <w:ind w:left="720" w:hanging="720"/>
        <w:rPr>
          <w:b/>
        </w:rPr>
      </w:pPr>
    </w:p>
    <w:p w14:paraId="601EE67C" w14:textId="77777777" w:rsidR="0031675F" w:rsidRPr="0031675F" w:rsidRDefault="0031675F" w:rsidP="0031675F">
      <w:pPr>
        <w:ind w:left="720" w:hanging="720"/>
        <w:rPr>
          <w:b/>
        </w:rPr>
      </w:pPr>
    </w:p>
    <w:p w14:paraId="1C7D04FB" w14:textId="77777777" w:rsidR="0031675F" w:rsidRPr="0031675F" w:rsidRDefault="0031675F" w:rsidP="0031675F">
      <w:pPr>
        <w:ind w:left="540" w:hanging="540"/>
        <w:rPr>
          <w:b/>
        </w:rPr>
      </w:pPr>
      <w:r w:rsidRPr="0031675F">
        <w:rPr>
          <w:b/>
        </w:rPr>
        <w:br w:type="page"/>
      </w:r>
    </w:p>
    <w:p w14:paraId="0334D42C" w14:textId="77777777" w:rsidR="0031675F" w:rsidRPr="0031675F" w:rsidRDefault="0031675F" w:rsidP="0031675F">
      <w:pPr>
        <w:shd w:val="clear" w:color="auto" w:fill="D9D9D9"/>
        <w:ind w:left="540" w:hanging="540"/>
        <w:rPr>
          <w:b/>
        </w:rPr>
      </w:pPr>
      <w:r w:rsidRPr="0031675F">
        <w:rPr>
          <w:b/>
        </w:rPr>
        <w:t xml:space="preserve">9.0 </w:t>
      </w:r>
      <w:r w:rsidRPr="0031675F">
        <w:rPr>
          <w:b/>
        </w:rPr>
        <w:tab/>
        <w:t>SAMPLE, CALIBRATION STANDARDS, AND CRM PREPARATION PROCEDURE</w:t>
      </w:r>
    </w:p>
    <w:p w14:paraId="1CBC5E4C" w14:textId="77777777" w:rsidR="0031675F" w:rsidRPr="0031675F" w:rsidRDefault="0031675F" w:rsidP="0031675F">
      <w:pPr>
        <w:ind w:left="720" w:hanging="720"/>
        <w:rPr>
          <w:b/>
        </w:rPr>
      </w:pPr>
    </w:p>
    <w:p w14:paraId="017A59F0" w14:textId="77777777" w:rsidR="0031675F" w:rsidRPr="0031675F" w:rsidRDefault="0031675F" w:rsidP="0031675F">
      <w:pPr>
        <w:ind w:left="540" w:hanging="540"/>
      </w:pPr>
      <w:r w:rsidRPr="0031675F">
        <w:rPr>
          <w:b/>
        </w:rPr>
        <w:t>9.1</w:t>
      </w:r>
      <w:r w:rsidRPr="0031675F">
        <w:t xml:space="preserve"> </w:t>
      </w:r>
      <w:r w:rsidRPr="0031675F">
        <w:tab/>
        <w:t xml:space="preserve">If samples are frozen, thaw samples by running under a continuous flow of cold water. </w:t>
      </w:r>
    </w:p>
    <w:p w14:paraId="4DD90BE0" w14:textId="77777777" w:rsidR="0031675F" w:rsidRPr="0031675F" w:rsidRDefault="0031675F" w:rsidP="0031675F">
      <w:pPr>
        <w:ind w:left="540" w:hanging="540"/>
      </w:pPr>
    </w:p>
    <w:p w14:paraId="1AA9795A" w14:textId="77777777" w:rsidR="0031675F" w:rsidRPr="0031675F" w:rsidRDefault="0031675F" w:rsidP="0031675F">
      <w:pPr>
        <w:ind w:left="540" w:hanging="540"/>
      </w:pPr>
      <w:r w:rsidRPr="0031675F">
        <w:rPr>
          <w:b/>
        </w:rPr>
        <w:t>9.2</w:t>
      </w:r>
      <w:r w:rsidRPr="0031675F">
        <w:t xml:space="preserve"> </w:t>
      </w:r>
      <w:r w:rsidRPr="0031675F">
        <w:tab/>
        <w:t>Make up the seven calibration standards (refer 8.1.1), and prepare the CRM’s (refer 7.4.2).</w:t>
      </w:r>
    </w:p>
    <w:p w14:paraId="72A142FD" w14:textId="77777777" w:rsidR="0031675F" w:rsidRPr="0031675F" w:rsidRDefault="0031675F" w:rsidP="0031675F">
      <w:pPr>
        <w:ind w:left="540" w:hanging="540"/>
      </w:pPr>
    </w:p>
    <w:p w14:paraId="2F93E730" w14:textId="77777777" w:rsidR="0031675F" w:rsidRPr="0031675F" w:rsidRDefault="0031675F" w:rsidP="0031675F">
      <w:pPr>
        <w:ind w:left="540" w:hanging="540"/>
      </w:pPr>
      <w:r w:rsidRPr="0031675F">
        <w:rPr>
          <w:b/>
        </w:rPr>
        <w:t>9.3</w:t>
      </w:r>
      <w:r w:rsidRPr="0031675F">
        <w:t xml:space="preserve"> </w:t>
      </w:r>
      <w:r w:rsidRPr="0031675F">
        <w:tab/>
        <w:t>Choose and make up the spiked samples (refer 8.5).</w:t>
      </w:r>
    </w:p>
    <w:p w14:paraId="5818D8E7" w14:textId="77777777" w:rsidR="0031675F" w:rsidRPr="0031675F" w:rsidRDefault="0031675F" w:rsidP="0031675F">
      <w:pPr>
        <w:ind w:left="540" w:hanging="540"/>
      </w:pPr>
    </w:p>
    <w:p w14:paraId="4C460629" w14:textId="77777777" w:rsidR="0031675F" w:rsidRPr="0031675F" w:rsidRDefault="0031675F" w:rsidP="0031675F">
      <w:pPr>
        <w:shd w:val="clear" w:color="auto" w:fill="D9D9D9"/>
        <w:ind w:left="567" w:hanging="567"/>
        <w:rPr>
          <w:b/>
        </w:rPr>
      </w:pPr>
      <w:r w:rsidRPr="0031675F">
        <w:rPr>
          <w:b/>
        </w:rPr>
        <w:t xml:space="preserve">10.0 </w:t>
      </w:r>
      <w:r w:rsidRPr="0031675F">
        <w:rPr>
          <w:b/>
        </w:rPr>
        <w:tab/>
        <w:t>ANALYTICAL PROCEDURE</w:t>
      </w:r>
    </w:p>
    <w:p w14:paraId="3567307B" w14:textId="77777777" w:rsidR="0031675F" w:rsidRPr="0031675F" w:rsidRDefault="0031675F" w:rsidP="0031675F">
      <w:pPr>
        <w:ind w:left="720" w:hanging="720"/>
      </w:pPr>
      <w:r w:rsidRPr="0031675F">
        <w:rPr>
          <w:b/>
        </w:rPr>
        <w:tab/>
      </w:r>
      <w:r w:rsidRPr="0031675F">
        <w:rPr>
          <w:b/>
        </w:rPr>
        <w:tab/>
      </w:r>
      <w:r w:rsidRPr="0031675F">
        <w:t>.</w:t>
      </w:r>
    </w:p>
    <w:p w14:paraId="52BBB380" w14:textId="77777777" w:rsidR="0031675F" w:rsidRPr="0031675F" w:rsidRDefault="0031675F" w:rsidP="0031675F">
      <w:pPr>
        <w:ind w:left="540" w:hanging="540"/>
      </w:pPr>
      <w:r w:rsidRPr="0031675F">
        <w:rPr>
          <w:b/>
        </w:rPr>
        <w:t>10.1</w:t>
      </w:r>
      <w:r w:rsidRPr="0031675F">
        <w:t xml:space="preserve"> </w:t>
      </w:r>
      <w:r w:rsidRPr="0031675F">
        <w:tab/>
        <w:t>Turn on the auto analyser and peristaltic pump, run reagent water with Dowfax added through the system for a minimum of thirty minutes to let the system equilibrate. Turn on the spectrophotometer and check that the baseline is stable and you have a consistent bubble pattern through the manifold.</w:t>
      </w:r>
    </w:p>
    <w:p w14:paraId="05E22705" w14:textId="77777777" w:rsidR="0031675F" w:rsidRPr="0031675F" w:rsidRDefault="0031675F" w:rsidP="0031675F">
      <w:pPr>
        <w:ind w:left="540" w:hanging="540"/>
      </w:pPr>
    </w:p>
    <w:p w14:paraId="4FFFA569" w14:textId="77777777" w:rsidR="0031675F" w:rsidRPr="0031675F" w:rsidRDefault="0031675F" w:rsidP="0031675F">
      <w:pPr>
        <w:ind w:left="1440" w:hanging="900"/>
      </w:pPr>
      <w:r w:rsidRPr="0031675F">
        <w:rPr>
          <w:b/>
        </w:rPr>
        <w:t xml:space="preserve">NOTE: </w:t>
      </w:r>
      <w:r w:rsidRPr="0031675F">
        <w:rPr>
          <w:b/>
        </w:rPr>
        <w:tab/>
      </w:r>
      <w:r w:rsidRPr="0031675F">
        <w:t>The absorbency on the spectrophotometer should read 885 nm and should be set at the required sensitivity level for the range of working standards.</w:t>
      </w:r>
    </w:p>
    <w:p w14:paraId="1D7988A2" w14:textId="77777777" w:rsidR="0031675F" w:rsidRPr="0031675F" w:rsidRDefault="0031675F" w:rsidP="0031675F">
      <w:pPr>
        <w:ind w:left="1440" w:hanging="900"/>
      </w:pPr>
    </w:p>
    <w:p w14:paraId="5A7B805F" w14:textId="77777777" w:rsidR="0031675F" w:rsidRPr="0031675F" w:rsidRDefault="0031675F" w:rsidP="0031675F">
      <w:pPr>
        <w:ind w:left="540" w:hanging="540"/>
      </w:pPr>
      <w:r w:rsidRPr="0031675F">
        <w:rPr>
          <w:b/>
        </w:rPr>
        <w:t>10.2</w:t>
      </w:r>
      <w:r w:rsidRPr="0031675F">
        <w:t xml:space="preserve"> </w:t>
      </w:r>
      <w:r w:rsidRPr="0031675F">
        <w:tab/>
        <w:t>Set up the autosampler software for the run. This will include the unique TropWater job number and sample identification number, along with any dilution data associated with samples.</w:t>
      </w:r>
    </w:p>
    <w:p w14:paraId="4EF8AE54" w14:textId="77777777" w:rsidR="0031675F" w:rsidRPr="0031675F" w:rsidRDefault="0031675F" w:rsidP="0031675F">
      <w:pPr>
        <w:ind w:left="540" w:hanging="540"/>
      </w:pPr>
    </w:p>
    <w:p w14:paraId="3544A2FC" w14:textId="77777777" w:rsidR="0031675F" w:rsidRPr="0031675F" w:rsidRDefault="0031675F" w:rsidP="0031675F">
      <w:pPr>
        <w:ind w:left="540" w:hanging="540"/>
      </w:pPr>
      <w:r w:rsidRPr="0031675F">
        <w:rPr>
          <w:b/>
        </w:rPr>
        <w:t>10.3</w:t>
      </w:r>
      <w:r w:rsidRPr="0031675F">
        <w:t xml:space="preserve"> </w:t>
      </w:r>
      <w:r w:rsidRPr="0031675F">
        <w:tab/>
        <w:t xml:space="preserve">Mix the samples by inverting three times, remove lid and place in the appropriate rack number and cup position as allocated by the autosampler software. </w:t>
      </w:r>
    </w:p>
    <w:p w14:paraId="252D688D" w14:textId="77777777" w:rsidR="0031675F" w:rsidRPr="0031675F" w:rsidRDefault="0031675F" w:rsidP="0031675F">
      <w:pPr>
        <w:ind w:left="540" w:hanging="540"/>
      </w:pPr>
    </w:p>
    <w:p w14:paraId="5A10BC3E" w14:textId="77777777" w:rsidR="0031675F" w:rsidRPr="0031675F" w:rsidRDefault="0031675F" w:rsidP="0031675F">
      <w:pPr>
        <w:ind w:left="540" w:hanging="540"/>
      </w:pPr>
      <w:r w:rsidRPr="0031675F">
        <w:rPr>
          <w:b/>
        </w:rPr>
        <w:t>10.4</w:t>
      </w:r>
      <w:r w:rsidRPr="0031675F">
        <w:t xml:space="preserve"> </w:t>
      </w:r>
      <w:r w:rsidRPr="0031675F">
        <w:tab/>
        <w:t>Remove the reagent water with Dowfax and add the working sulphuric solution, working ammonium molybdate solution, and working antimony potassium tartrate solution to the system. Allow to equilibrate for 5 minutes.</w:t>
      </w:r>
    </w:p>
    <w:p w14:paraId="4F127A41" w14:textId="77777777" w:rsidR="0031675F" w:rsidRPr="0031675F" w:rsidRDefault="0031675F" w:rsidP="0031675F">
      <w:pPr>
        <w:ind w:left="540"/>
      </w:pPr>
    </w:p>
    <w:p w14:paraId="12E8E064" w14:textId="1DA8096F" w:rsidR="0031675F" w:rsidRPr="0031675F" w:rsidRDefault="0031675F" w:rsidP="0031675F">
      <w:pPr>
        <w:numPr>
          <w:ilvl w:val="1"/>
          <w:numId w:val="182"/>
        </w:numPr>
        <w:tabs>
          <w:tab w:val="clear" w:pos="360"/>
          <w:tab w:val="num" w:pos="567"/>
        </w:tabs>
        <w:spacing w:before="0" w:after="0" w:line="240" w:lineRule="auto"/>
        <w:ind w:left="567" w:hanging="567"/>
        <w:jc w:val="both"/>
      </w:pPr>
      <w:r w:rsidRPr="0031675F">
        <w:t>Inject a high level phosphorus standard e.g. 100 µg P</w:t>
      </w:r>
      <w:r w:rsidR="00BB13FD">
        <w:t xml:space="preserve"> </w:t>
      </w:r>
      <w:r w:rsidR="00BB13FD" w:rsidRPr="0031675F">
        <w:t>L</w:t>
      </w:r>
      <w:r w:rsidR="00BB13FD" w:rsidRPr="00BB13FD">
        <w:rPr>
          <w:vertAlign w:val="superscript"/>
        </w:rPr>
        <w:t>-1</w:t>
      </w:r>
      <w:r w:rsidRPr="0031675F">
        <w:t xml:space="preserve"> for 40 seconds and observe the peak absorbency through the spectrophotometer. </w:t>
      </w:r>
    </w:p>
    <w:p w14:paraId="0AF50877" w14:textId="77777777" w:rsidR="0031675F" w:rsidRPr="0031675F" w:rsidRDefault="0031675F" w:rsidP="0031675F">
      <w:pPr>
        <w:ind w:left="540" w:hanging="540"/>
      </w:pPr>
    </w:p>
    <w:p w14:paraId="7552702E" w14:textId="77777777" w:rsidR="0031675F" w:rsidRPr="0031675F" w:rsidRDefault="0031675F" w:rsidP="0031675F">
      <w:pPr>
        <w:numPr>
          <w:ilvl w:val="1"/>
          <w:numId w:val="182"/>
        </w:numPr>
        <w:tabs>
          <w:tab w:val="clear" w:pos="360"/>
          <w:tab w:val="num" w:pos="567"/>
        </w:tabs>
        <w:spacing w:before="0" w:after="0" w:line="240" w:lineRule="auto"/>
        <w:ind w:left="567" w:hanging="567"/>
        <w:jc w:val="both"/>
      </w:pPr>
      <w:r w:rsidRPr="0031675F">
        <w:t xml:space="preserve">Start the autosampler run. Observe that the first set of standards peak heights are normal and then check run periodically to ensure no malfunctions have occurred. </w:t>
      </w:r>
    </w:p>
    <w:p w14:paraId="76A68254" w14:textId="77777777" w:rsidR="0031675F" w:rsidRPr="0031675F" w:rsidRDefault="0031675F" w:rsidP="0031675F"/>
    <w:p w14:paraId="6CE2C6D3" w14:textId="77777777" w:rsidR="0031675F" w:rsidRPr="0031675F" w:rsidRDefault="0031675F" w:rsidP="0031675F">
      <w:pPr>
        <w:ind w:left="1418" w:hanging="851"/>
      </w:pPr>
      <w:r w:rsidRPr="0031675F">
        <w:rPr>
          <w:b/>
          <w:bCs/>
        </w:rPr>
        <w:t xml:space="preserve">NOTE: </w:t>
      </w:r>
      <w:r w:rsidRPr="0031675F">
        <w:rPr>
          <w:b/>
          <w:bCs/>
        </w:rPr>
        <w:tab/>
      </w:r>
      <w:r w:rsidRPr="0031675F">
        <w:t>If any samples are observed to exceed the upper working range standard then dilution of the sample and re-analysis should occur at the positions allocated for this purpose at the end of the run.</w:t>
      </w:r>
    </w:p>
    <w:p w14:paraId="52F285A9" w14:textId="77777777" w:rsidR="0031675F" w:rsidRPr="0031675F" w:rsidRDefault="0031675F" w:rsidP="0031675F"/>
    <w:p w14:paraId="3CFE8BB9" w14:textId="77777777" w:rsidR="0031675F" w:rsidRPr="0031675F" w:rsidRDefault="0031675F" w:rsidP="0031675F">
      <w:pPr>
        <w:ind w:left="540" w:hanging="540"/>
      </w:pPr>
      <w:r w:rsidRPr="0031675F">
        <w:rPr>
          <w:b/>
        </w:rPr>
        <w:t>10.7</w:t>
      </w:r>
      <w:r w:rsidRPr="0031675F">
        <w:t xml:space="preserve"> </w:t>
      </w:r>
      <w:r w:rsidRPr="0031675F">
        <w:tab/>
        <w:t xml:space="preserve">When the autosampler run is finished stop the software, remove the working sulphuric solution, working ammonium molybdate solution, and working antimony potassium tartrate solution then put the reagent water with Dowfax back on. Rinse the manifold for a minimum of one hour and then turn the auto analyser and peristaltic pump off. </w:t>
      </w:r>
    </w:p>
    <w:p w14:paraId="0C42FE32" w14:textId="77777777" w:rsidR="0031675F" w:rsidRPr="0031675F" w:rsidRDefault="0031675F" w:rsidP="0031675F">
      <w:pPr>
        <w:ind w:left="540" w:hanging="540"/>
      </w:pPr>
    </w:p>
    <w:p w14:paraId="011E6A4F" w14:textId="5EA521A8" w:rsidR="0031675F" w:rsidRPr="0031675F" w:rsidRDefault="0031675F" w:rsidP="0031675F">
      <w:pPr>
        <w:ind w:left="540" w:hanging="540"/>
      </w:pPr>
      <w:r w:rsidRPr="0031675F">
        <w:rPr>
          <w:b/>
        </w:rPr>
        <w:t>10.8</w:t>
      </w:r>
      <w:r w:rsidRPr="0031675F">
        <w:t xml:space="preserve"> </w:t>
      </w:r>
      <w:r w:rsidRPr="0031675F">
        <w:tab/>
        <w:t xml:space="preserve">Print out a hard copy of the trace and calculate results using the relevant Excel spreadsheets </w:t>
      </w:r>
      <w:r w:rsidR="000C7BDF">
        <w:t>located in the JCU team drive (internal access only),</w:t>
      </w:r>
    </w:p>
    <w:p w14:paraId="06E0F746" w14:textId="77777777" w:rsidR="0031675F" w:rsidRPr="0031675F" w:rsidRDefault="0031675F" w:rsidP="0031675F">
      <w:pPr>
        <w:ind w:left="720" w:hanging="720"/>
      </w:pPr>
    </w:p>
    <w:p w14:paraId="7F7AF019" w14:textId="77777777" w:rsidR="0031675F" w:rsidRPr="0031675F" w:rsidRDefault="0031675F" w:rsidP="0031675F">
      <w:pPr>
        <w:rPr>
          <w:b/>
        </w:rPr>
      </w:pPr>
    </w:p>
    <w:p w14:paraId="2A59F937" w14:textId="77777777" w:rsidR="0031675F" w:rsidRPr="0031675F" w:rsidRDefault="0031675F" w:rsidP="0031675F">
      <w:r w:rsidRPr="0031675F">
        <w:br w:type="page"/>
      </w:r>
    </w:p>
    <w:p w14:paraId="58BA7418" w14:textId="77777777" w:rsidR="0031675F" w:rsidRPr="0031675F" w:rsidRDefault="0031675F" w:rsidP="0031675F">
      <w:pPr>
        <w:shd w:val="clear" w:color="auto" w:fill="D9D9D9"/>
        <w:ind w:left="567" w:hanging="567"/>
        <w:rPr>
          <w:b/>
        </w:rPr>
      </w:pPr>
      <w:r w:rsidRPr="0031675F">
        <w:rPr>
          <w:b/>
        </w:rPr>
        <w:t xml:space="preserve">11.0 </w:t>
      </w:r>
      <w:r w:rsidRPr="0031675F">
        <w:rPr>
          <w:b/>
        </w:rPr>
        <w:tab/>
        <w:t>DATA ANALYSIS AND CALCULATIONS</w:t>
      </w:r>
    </w:p>
    <w:p w14:paraId="040490A4" w14:textId="77777777" w:rsidR="0031675F" w:rsidRPr="0031675F" w:rsidRDefault="0031675F" w:rsidP="0031675F">
      <w:pPr>
        <w:ind w:left="720" w:hanging="720"/>
        <w:rPr>
          <w:b/>
        </w:rPr>
      </w:pPr>
    </w:p>
    <w:p w14:paraId="3E2DA7D7" w14:textId="77777777" w:rsidR="0031675F" w:rsidRPr="0031675F" w:rsidRDefault="0031675F" w:rsidP="0031675F">
      <w:pPr>
        <w:ind w:left="540" w:hanging="540"/>
      </w:pPr>
      <w:r w:rsidRPr="0031675F">
        <w:rPr>
          <w:b/>
        </w:rPr>
        <w:t>11.1</w:t>
      </w:r>
      <w:r w:rsidRPr="0031675F">
        <w:t xml:space="preserve"> </w:t>
      </w:r>
      <w:r w:rsidRPr="0031675F">
        <w:tab/>
        <w:t>Concentrations of filterable reactive phosphorus in samples are calculated from both quadratic and cubic equations obtained from the calibration standards.</w:t>
      </w:r>
    </w:p>
    <w:p w14:paraId="788CA8C9" w14:textId="77777777" w:rsidR="0031675F" w:rsidRPr="0031675F" w:rsidRDefault="0031675F" w:rsidP="0031675F">
      <w:pPr>
        <w:ind w:left="540" w:hanging="540"/>
      </w:pPr>
    </w:p>
    <w:p w14:paraId="47342460" w14:textId="77777777" w:rsidR="0031675F" w:rsidRPr="0031675F" w:rsidRDefault="0031675F" w:rsidP="0031675F">
      <w:pPr>
        <w:ind w:left="540" w:hanging="540"/>
      </w:pPr>
      <w:r w:rsidRPr="0031675F">
        <w:rPr>
          <w:b/>
        </w:rPr>
        <w:t>11.2</w:t>
      </w:r>
      <w:r w:rsidRPr="0031675F">
        <w:t xml:space="preserve"> </w:t>
      </w:r>
      <w:r w:rsidRPr="0031675F">
        <w:tab/>
        <w:t>The Quality Control of the results (refer 7.0) is assessed and results are either accepted or rejected and re-run at a later date.</w:t>
      </w:r>
    </w:p>
    <w:p w14:paraId="36644C5E" w14:textId="77777777" w:rsidR="0031675F" w:rsidRPr="0031675F" w:rsidRDefault="0031675F" w:rsidP="0031675F">
      <w:pPr>
        <w:ind w:left="540" w:hanging="540"/>
      </w:pPr>
    </w:p>
    <w:p w14:paraId="40D295A7" w14:textId="7C976059" w:rsidR="0031675F" w:rsidRPr="0031675F" w:rsidRDefault="0031675F" w:rsidP="0031675F">
      <w:pPr>
        <w:ind w:left="540" w:hanging="540"/>
      </w:pPr>
      <w:r w:rsidRPr="0031675F">
        <w:rPr>
          <w:b/>
        </w:rPr>
        <w:t>11.3</w:t>
      </w:r>
      <w:r w:rsidRPr="0031675F">
        <w:t xml:space="preserve"> </w:t>
      </w:r>
      <w:r w:rsidRPr="0031675F">
        <w:tab/>
        <w:t>Results should be reported in µg P</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unless otherwise requested (e.g. High values &gt; 1 mg P</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with the replicate and spike values stated on the report.</w:t>
      </w:r>
    </w:p>
    <w:p w14:paraId="69C409E6" w14:textId="77777777" w:rsidR="0031675F" w:rsidRPr="0031675F" w:rsidRDefault="0031675F" w:rsidP="0031675F"/>
    <w:p w14:paraId="20BC9B6B" w14:textId="77777777" w:rsidR="0031675F" w:rsidRPr="0031675F" w:rsidRDefault="0031675F" w:rsidP="0031675F"/>
    <w:p w14:paraId="7EA309B2" w14:textId="77777777" w:rsidR="0031675F" w:rsidRPr="0031675F" w:rsidRDefault="0031675F" w:rsidP="0031675F">
      <w:pPr>
        <w:ind w:left="1247" w:hanging="680"/>
      </w:pPr>
      <w:r w:rsidRPr="0031675F">
        <w:rPr>
          <w:b/>
        </w:rPr>
        <w:t>11.3.1</w:t>
      </w:r>
      <w:r w:rsidRPr="0031675F">
        <w:t xml:space="preserve"> </w:t>
      </w:r>
      <w:r w:rsidRPr="0031675F">
        <w:tab/>
        <w:t>To calculate spike values for undiluted samples:</w:t>
      </w:r>
    </w:p>
    <w:p w14:paraId="4FB7E9D9" w14:textId="77777777" w:rsidR="0031675F" w:rsidRPr="0031675F" w:rsidRDefault="0031675F" w:rsidP="0031675F">
      <w:pPr>
        <w:rPr>
          <w:b/>
        </w:rPr>
      </w:pPr>
      <w:r w:rsidRPr="0031675F">
        <w:rPr>
          <w:b/>
        </w:rPr>
        <w:tab/>
      </w:r>
      <w:r w:rsidRPr="0031675F">
        <w:rPr>
          <w:b/>
        </w:rPr>
        <w:tab/>
      </w:r>
      <w:r w:rsidRPr="0031675F">
        <w:rPr>
          <w:b/>
        </w:rPr>
        <w:tab/>
      </w:r>
    </w:p>
    <w:tbl>
      <w:tblPr>
        <w:tblW w:w="0" w:type="auto"/>
        <w:jc w:val="center"/>
        <w:tblLook w:val="01E0" w:firstRow="1" w:lastRow="1" w:firstColumn="1" w:lastColumn="1" w:noHBand="0" w:noVBand="0"/>
      </w:tblPr>
      <w:tblGrid>
        <w:gridCol w:w="2448"/>
        <w:gridCol w:w="5040"/>
        <w:gridCol w:w="1368"/>
      </w:tblGrid>
      <w:tr w:rsidR="0031675F" w:rsidRPr="0031675F" w14:paraId="6D571288" w14:textId="77777777" w:rsidTr="00B00729">
        <w:trPr>
          <w:cantSplit/>
          <w:trHeight w:val="570"/>
          <w:jc w:val="center"/>
        </w:trPr>
        <w:tc>
          <w:tcPr>
            <w:tcW w:w="2448" w:type="dxa"/>
            <w:vMerge w:val="restart"/>
            <w:vAlign w:val="center"/>
          </w:tcPr>
          <w:p w14:paraId="5D931128" w14:textId="77777777" w:rsidR="0031675F" w:rsidRPr="0031675F" w:rsidRDefault="0031675F" w:rsidP="0031675F">
            <w:pPr>
              <w:jc w:val="center"/>
            </w:pPr>
            <w:r w:rsidRPr="0031675F">
              <w:t>Spike Recovery (%) =</w:t>
            </w:r>
          </w:p>
        </w:tc>
        <w:tc>
          <w:tcPr>
            <w:tcW w:w="5040" w:type="dxa"/>
            <w:tcBorders>
              <w:bottom w:val="single" w:sz="4" w:space="0" w:color="auto"/>
            </w:tcBorders>
            <w:vAlign w:val="center"/>
          </w:tcPr>
          <w:p w14:paraId="6E0617E0" w14:textId="77777777" w:rsidR="0031675F" w:rsidRPr="0031675F" w:rsidRDefault="0031675F" w:rsidP="0031675F">
            <w:pPr>
              <w:jc w:val="center"/>
            </w:pPr>
            <w:r w:rsidRPr="0031675F">
              <w:t>Sample + Average of blanked spiked samples</w:t>
            </w:r>
          </w:p>
        </w:tc>
        <w:tc>
          <w:tcPr>
            <w:tcW w:w="1368" w:type="dxa"/>
            <w:vMerge w:val="restart"/>
            <w:vAlign w:val="center"/>
          </w:tcPr>
          <w:p w14:paraId="7ACEDF3D" w14:textId="77777777" w:rsidR="0031675F" w:rsidRPr="0031675F" w:rsidRDefault="0031675F" w:rsidP="0031675F">
            <w:pPr>
              <w:jc w:val="center"/>
            </w:pPr>
            <w:r w:rsidRPr="0031675F">
              <w:t>X 100</w:t>
            </w:r>
          </w:p>
        </w:tc>
      </w:tr>
      <w:tr w:rsidR="0031675F" w:rsidRPr="0031675F" w14:paraId="065AB624" w14:textId="77777777" w:rsidTr="00B00729">
        <w:trPr>
          <w:cantSplit/>
          <w:trHeight w:val="526"/>
          <w:jc w:val="center"/>
        </w:trPr>
        <w:tc>
          <w:tcPr>
            <w:tcW w:w="2448" w:type="dxa"/>
            <w:vMerge/>
            <w:vAlign w:val="center"/>
          </w:tcPr>
          <w:p w14:paraId="406ED07C" w14:textId="77777777" w:rsidR="0031675F" w:rsidRPr="0031675F" w:rsidRDefault="0031675F" w:rsidP="0031675F"/>
        </w:tc>
        <w:tc>
          <w:tcPr>
            <w:tcW w:w="5040" w:type="dxa"/>
            <w:tcBorders>
              <w:top w:val="single" w:sz="4" w:space="0" w:color="auto"/>
            </w:tcBorders>
            <w:vAlign w:val="center"/>
          </w:tcPr>
          <w:p w14:paraId="7641003B" w14:textId="77777777" w:rsidR="0031675F" w:rsidRPr="0031675F" w:rsidRDefault="0031675F" w:rsidP="0031675F">
            <w:pPr>
              <w:jc w:val="center"/>
            </w:pPr>
            <w:r w:rsidRPr="0031675F">
              <w:t>Spiked Sample</w:t>
            </w:r>
          </w:p>
        </w:tc>
        <w:tc>
          <w:tcPr>
            <w:tcW w:w="1368" w:type="dxa"/>
            <w:vMerge/>
            <w:vAlign w:val="center"/>
          </w:tcPr>
          <w:p w14:paraId="36B2D9CF" w14:textId="77777777" w:rsidR="0031675F" w:rsidRPr="0031675F" w:rsidRDefault="0031675F" w:rsidP="0031675F"/>
        </w:tc>
      </w:tr>
    </w:tbl>
    <w:p w14:paraId="610A31AF" w14:textId="77777777" w:rsidR="0031675F" w:rsidRPr="0031675F" w:rsidRDefault="0031675F" w:rsidP="0031675F">
      <w:pPr>
        <w:ind w:left="567"/>
      </w:pPr>
    </w:p>
    <w:p w14:paraId="5F20DFAA" w14:textId="77777777" w:rsidR="0031675F" w:rsidRPr="0031675F" w:rsidRDefault="0031675F" w:rsidP="0031675F">
      <w:pPr>
        <w:ind w:left="1080" w:hanging="513"/>
        <w:rPr>
          <w:b/>
        </w:rPr>
      </w:pPr>
    </w:p>
    <w:p w14:paraId="0B31557A" w14:textId="77777777" w:rsidR="0031675F" w:rsidRPr="0031675F" w:rsidRDefault="0031675F" w:rsidP="0031675F">
      <w:pPr>
        <w:ind w:left="1247" w:hanging="680"/>
      </w:pPr>
      <w:r w:rsidRPr="0031675F">
        <w:rPr>
          <w:b/>
        </w:rPr>
        <w:t>11.3.2</w:t>
      </w:r>
      <w:r w:rsidRPr="0031675F">
        <w:t xml:space="preserve"> </w:t>
      </w:r>
      <w:r w:rsidRPr="0031675F">
        <w:tab/>
        <w:t>To calculate spike values for diluted samples:</w:t>
      </w:r>
    </w:p>
    <w:p w14:paraId="7EA8DF31" w14:textId="77777777" w:rsidR="0031675F" w:rsidRPr="0031675F" w:rsidRDefault="0031675F" w:rsidP="0031675F">
      <w:pPr>
        <w:ind w:left="1080" w:hanging="513"/>
      </w:pPr>
    </w:p>
    <w:tbl>
      <w:tblPr>
        <w:tblW w:w="0" w:type="auto"/>
        <w:jc w:val="center"/>
        <w:tblLook w:val="01E0" w:firstRow="1" w:lastRow="1" w:firstColumn="1" w:lastColumn="1" w:noHBand="0" w:noVBand="0"/>
      </w:tblPr>
      <w:tblGrid>
        <w:gridCol w:w="2448"/>
        <w:gridCol w:w="5040"/>
        <w:gridCol w:w="1368"/>
      </w:tblGrid>
      <w:tr w:rsidR="0031675F" w:rsidRPr="0031675F" w14:paraId="492E64FC" w14:textId="77777777" w:rsidTr="00B00729">
        <w:trPr>
          <w:cantSplit/>
          <w:trHeight w:val="763"/>
          <w:jc w:val="center"/>
        </w:trPr>
        <w:tc>
          <w:tcPr>
            <w:tcW w:w="2448" w:type="dxa"/>
            <w:vMerge w:val="restart"/>
            <w:vAlign w:val="center"/>
          </w:tcPr>
          <w:p w14:paraId="2F874BA5" w14:textId="77777777" w:rsidR="0031675F" w:rsidRPr="0031675F" w:rsidRDefault="0031675F" w:rsidP="0031675F">
            <w:pPr>
              <w:jc w:val="center"/>
            </w:pPr>
            <w:r w:rsidRPr="0031675F">
              <w:t>Spike Recovery (Dilutions) (%) =</w:t>
            </w:r>
          </w:p>
        </w:tc>
        <w:tc>
          <w:tcPr>
            <w:tcW w:w="5040" w:type="dxa"/>
            <w:tcBorders>
              <w:bottom w:val="single" w:sz="4" w:space="0" w:color="auto"/>
            </w:tcBorders>
            <w:vAlign w:val="center"/>
          </w:tcPr>
          <w:p w14:paraId="746DC1B2" w14:textId="77777777" w:rsidR="0031675F" w:rsidRPr="0031675F" w:rsidRDefault="0031675F" w:rsidP="0031675F">
            <w:pPr>
              <w:jc w:val="center"/>
            </w:pPr>
            <w:r w:rsidRPr="0031675F">
              <w:t>(Sample/Dilution) + Average of Blanked Spiked Samples</w:t>
            </w:r>
          </w:p>
        </w:tc>
        <w:tc>
          <w:tcPr>
            <w:tcW w:w="1368" w:type="dxa"/>
            <w:vMerge w:val="restart"/>
            <w:vAlign w:val="center"/>
          </w:tcPr>
          <w:p w14:paraId="31ACB1D1" w14:textId="77777777" w:rsidR="0031675F" w:rsidRPr="0031675F" w:rsidRDefault="0031675F" w:rsidP="0031675F">
            <w:pPr>
              <w:jc w:val="center"/>
            </w:pPr>
            <w:r w:rsidRPr="0031675F">
              <w:t>X 100</w:t>
            </w:r>
          </w:p>
        </w:tc>
      </w:tr>
      <w:tr w:rsidR="0031675F" w:rsidRPr="0031675F" w14:paraId="167DA94D" w14:textId="77777777" w:rsidTr="00B00729">
        <w:trPr>
          <w:cantSplit/>
          <w:trHeight w:val="554"/>
          <w:jc w:val="center"/>
        </w:trPr>
        <w:tc>
          <w:tcPr>
            <w:tcW w:w="2448" w:type="dxa"/>
            <w:vMerge/>
            <w:vAlign w:val="center"/>
          </w:tcPr>
          <w:p w14:paraId="13E4EB05" w14:textId="77777777" w:rsidR="0031675F" w:rsidRPr="0031675F" w:rsidRDefault="0031675F" w:rsidP="0031675F">
            <w:pPr>
              <w:jc w:val="center"/>
            </w:pPr>
          </w:p>
        </w:tc>
        <w:tc>
          <w:tcPr>
            <w:tcW w:w="5040" w:type="dxa"/>
            <w:tcBorders>
              <w:top w:val="single" w:sz="4" w:space="0" w:color="auto"/>
            </w:tcBorders>
            <w:vAlign w:val="center"/>
          </w:tcPr>
          <w:p w14:paraId="5018DFA1" w14:textId="77777777" w:rsidR="0031675F" w:rsidRPr="0031675F" w:rsidRDefault="0031675F" w:rsidP="0031675F">
            <w:pPr>
              <w:jc w:val="center"/>
            </w:pPr>
            <w:r w:rsidRPr="0031675F">
              <w:t>(Spiked Sample/Dilution)</w:t>
            </w:r>
          </w:p>
        </w:tc>
        <w:tc>
          <w:tcPr>
            <w:tcW w:w="1368" w:type="dxa"/>
            <w:vMerge/>
            <w:vAlign w:val="center"/>
          </w:tcPr>
          <w:p w14:paraId="654801E5" w14:textId="77777777" w:rsidR="0031675F" w:rsidRPr="0031675F" w:rsidRDefault="0031675F" w:rsidP="0031675F"/>
        </w:tc>
      </w:tr>
    </w:tbl>
    <w:p w14:paraId="6DD4B328" w14:textId="77777777" w:rsidR="0031675F" w:rsidRPr="0031675F" w:rsidRDefault="0031675F" w:rsidP="0031675F">
      <w:pPr>
        <w:ind w:left="720" w:hanging="720"/>
      </w:pPr>
    </w:p>
    <w:p w14:paraId="13E9EA9D" w14:textId="77777777" w:rsidR="0031675F" w:rsidRPr="0031675F" w:rsidRDefault="0031675F" w:rsidP="0031675F">
      <w:pPr>
        <w:ind w:left="720" w:hanging="720"/>
        <w:sectPr w:rsidR="0031675F" w:rsidRPr="0031675F" w:rsidSect="00084431">
          <w:headerReference w:type="default" r:id="rId216"/>
          <w:footerReference w:type="default" r:id="rId217"/>
          <w:pgSz w:w="11907" w:h="16840" w:code="9"/>
          <w:pgMar w:top="1418" w:right="1418" w:bottom="1418" w:left="1418" w:header="708" w:footer="708" w:gutter="0"/>
          <w:cols w:space="708"/>
          <w:docGrid w:linePitch="360"/>
        </w:sectPr>
      </w:pPr>
    </w:p>
    <w:p w14:paraId="0FDA3DDD" w14:textId="72549E59" w:rsidR="0031675F" w:rsidRDefault="00F5511E" w:rsidP="00D332D9">
      <w:pPr>
        <w:pStyle w:val="Heading2"/>
        <w:numPr>
          <w:ilvl w:val="0"/>
          <w:numId w:val="0"/>
        </w:numPr>
        <w:ind w:left="284" w:hanging="284"/>
        <w:jc w:val="center"/>
      </w:pPr>
      <w:bookmarkStart w:id="758" w:name="_Toc12365647"/>
      <w:r w:rsidRPr="0031675F">
        <w:t>Appendix</w:t>
      </w:r>
      <w:r w:rsidRPr="0031675F">
        <w:rPr>
          <w:spacing w:val="-14"/>
        </w:rPr>
        <w:t xml:space="preserve"> </w:t>
      </w:r>
      <w:r w:rsidRPr="0031675F">
        <w:t>B</w:t>
      </w:r>
      <w:r>
        <w:t xml:space="preserve">7 </w:t>
      </w:r>
      <w:r w:rsidRPr="00F5511E">
        <w:t>TropWater Auto-analysis methods:</w:t>
      </w:r>
      <w:r w:rsidR="00D332D9">
        <w:t xml:space="preserve"> </w:t>
      </w:r>
      <w:r w:rsidRPr="00F5511E">
        <w:t>Nitrate and Nitrite</w:t>
      </w:r>
      <w:bookmarkEnd w:id="758"/>
    </w:p>
    <w:p w14:paraId="5C8B38C3" w14:textId="34C06E54" w:rsidR="0031675F" w:rsidRPr="0031675F" w:rsidRDefault="0031675F" w:rsidP="00F5511E">
      <w:pPr>
        <w:jc w:val="center"/>
        <w:rPr>
          <w:b/>
          <w:sz w:val="36"/>
          <w:szCs w:val="36"/>
        </w:rPr>
      </w:pPr>
    </w:p>
    <w:p w14:paraId="640D65CF" w14:textId="77777777" w:rsidR="0031675F" w:rsidRPr="0031675F" w:rsidRDefault="0031675F" w:rsidP="0031675F">
      <w:pPr>
        <w:jc w:val="center"/>
      </w:pPr>
    </w:p>
    <w:p w14:paraId="71078F49" w14:textId="77777777" w:rsidR="0031675F" w:rsidRPr="0031675F" w:rsidRDefault="0031675F" w:rsidP="0031675F">
      <w:pPr>
        <w:jc w:val="center"/>
      </w:pPr>
    </w:p>
    <w:p w14:paraId="4A10E299" w14:textId="77777777" w:rsidR="0031675F" w:rsidRPr="0031675F" w:rsidRDefault="0031675F" w:rsidP="0031675F">
      <w:pPr>
        <w:jc w:val="center"/>
      </w:pPr>
      <w:r w:rsidRPr="0031675F">
        <w:rPr>
          <w:noProof/>
          <w:lang w:eastAsia="en-AU"/>
        </w:rPr>
        <w:drawing>
          <wp:inline distT="0" distB="0" distL="0" distR="0" wp14:anchorId="28978EEC" wp14:editId="5952B406">
            <wp:extent cx="2291715" cy="1401445"/>
            <wp:effectExtent l="0" t="0" r="0" b="8255"/>
            <wp:docPr id="163" name="Picture 163"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88" r:link="rId189">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04D1E3D3" w14:textId="77777777" w:rsidR="0031675F" w:rsidRPr="0031675F" w:rsidRDefault="0031675F" w:rsidP="0031675F">
      <w:pPr>
        <w:jc w:val="center"/>
      </w:pPr>
    </w:p>
    <w:p w14:paraId="031DB9C6" w14:textId="77777777" w:rsidR="0031675F" w:rsidRPr="0031675F" w:rsidRDefault="0031675F" w:rsidP="0031675F">
      <w:pPr>
        <w:jc w:val="center"/>
        <w:rPr>
          <w:rFonts w:cs="Arial"/>
        </w:rPr>
      </w:pPr>
    </w:p>
    <w:p w14:paraId="266C832C" w14:textId="77777777" w:rsidR="0031675F" w:rsidRPr="0031675F" w:rsidRDefault="0031675F" w:rsidP="0031675F"/>
    <w:p w14:paraId="2BF10934" w14:textId="77777777" w:rsidR="0031675F" w:rsidRPr="0031675F" w:rsidRDefault="0031675F" w:rsidP="0031675F"/>
    <w:p w14:paraId="58FACEAE" w14:textId="77777777" w:rsidR="0031675F" w:rsidRPr="0031675F" w:rsidRDefault="0031675F" w:rsidP="0031675F">
      <w:pPr>
        <w:sectPr w:rsidR="0031675F" w:rsidRPr="0031675F" w:rsidSect="00084431">
          <w:headerReference w:type="default" r:id="rId218"/>
          <w:footerReference w:type="default" r:id="rId219"/>
          <w:pgSz w:w="11907" w:h="16840" w:code="9"/>
          <w:pgMar w:top="1418" w:right="1418" w:bottom="1418" w:left="1418" w:header="709" w:footer="709" w:gutter="0"/>
          <w:cols w:space="708"/>
          <w:vAlign w:val="center"/>
          <w:docGrid w:linePitch="360"/>
        </w:sectPr>
      </w:pPr>
    </w:p>
    <w:p w14:paraId="28D7CB4B" w14:textId="77777777" w:rsidR="0031675F" w:rsidRPr="0031675F" w:rsidRDefault="0031675F" w:rsidP="0031675F">
      <w:pPr>
        <w:rPr>
          <w:b/>
          <w:sz w:val="28"/>
          <w:szCs w:val="28"/>
        </w:rPr>
      </w:pPr>
      <w:r w:rsidRPr="0031675F">
        <w:rPr>
          <w:b/>
          <w:sz w:val="28"/>
          <w:szCs w:val="28"/>
        </w:rPr>
        <w:t>Nitrogen – Nitrate and Nitrite</w:t>
      </w:r>
    </w:p>
    <w:p w14:paraId="799ECD2A" w14:textId="77777777" w:rsidR="0031675F" w:rsidRPr="0031675F" w:rsidRDefault="0031675F" w:rsidP="0031675F">
      <w:pPr>
        <w:shd w:val="clear" w:color="auto" w:fill="D9D9D9"/>
        <w:ind w:left="540" w:hanging="540"/>
        <w:rPr>
          <w:b/>
        </w:rPr>
      </w:pPr>
      <w:r w:rsidRPr="0031675F">
        <w:rPr>
          <w:b/>
        </w:rPr>
        <w:t xml:space="preserve">1.0 </w:t>
      </w:r>
      <w:r w:rsidRPr="0031675F">
        <w:rPr>
          <w:b/>
        </w:rPr>
        <w:tab/>
        <w:t>SCOPE AND APPLICATION</w:t>
      </w:r>
    </w:p>
    <w:p w14:paraId="5C31CB0D" w14:textId="77777777" w:rsidR="0031675F" w:rsidRPr="0031675F" w:rsidRDefault="0031675F" w:rsidP="0031675F"/>
    <w:p w14:paraId="7D47A93B" w14:textId="77777777" w:rsidR="0031675F" w:rsidRPr="0031675F" w:rsidRDefault="0031675F" w:rsidP="0031675F">
      <w:r w:rsidRPr="0031675F">
        <w:t xml:space="preserve">This method provides a procedure for the determination of 0.45 </w:t>
      </w:r>
      <w:r w:rsidRPr="0031675F">
        <w:sym w:font="Symbol" w:char="F06D"/>
      </w:r>
      <w:r w:rsidRPr="0031675F">
        <w:t xml:space="preserve">m filtered nitrate and nitrite in drinking, surface, groundwater, saline and effluent wastewater samples. </w:t>
      </w:r>
    </w:p>
    <w:p w14:paraId="413431C6" w14:textId="77777777" w:rsidR="0031675F" w:rsidRPr="0031675F" w:rsidRDefault="0031675F" w:rsidP="0031675F"/>
    <w:p w14:paraId="0A663DCB" w14:textId="77777777" w:rsidR="0031675F" w:rsidRPr="0031675F" w:rsidRDefault="0031675F" w:rsidP="0031675F">
      <w:r w:rsidRPr="0031675F">
        <w:t>Nitrate or nitrite are auto analysed simultaneously with filterable reactive phosphorus.</w:t>
      </w:r>
    </w:p>
    <w:p w14:paraId="0F5D4574" w14:textId="77777777" w:rsidR="0031675F" w:rsidRPr="0031675F" w:rsidRDefault="0031675F" w:rsidP="0031675F"/>
    <w:p w14:paraId="083E292B" w14:textId="452DD5E4" w:rsidR="0031675F" w:rsidRPr="0031675F" w:rsidRDefault="0031675F" w:rsidP="0031675F">
      <w:r w:rsidRPr="0031675F">
        <w:t>The working range for nitrite is 0.001 – 0.1 mg</w:t>
      </w:r>
      <w:r w:rsidR="00E817CB" w:rsidRPr="00E817CB">
        <w:t xml:space="preserve"> L</w:t>
      </w:r>
      <w:r w:rsidR="00E817CB" w:rsidRPr="00E817CB">
        <w:rPr>
          <w:vertAlign w:val="superscript"/>
        </w:rPr>
        <w:t>-1</w:t>
      </w:r>
      <w:r w:rsidRPr="0031675F">
        <w:t xml:space="preserve"> as N using the Alpkem segmented flow auto analyser.</w:t>
      </w:r>
    </w:p>
    <w:p w14:paraId="53BE08AC" w14:textId="2F838599" w:rsidR="0031675F" w:rsidRPr="0031675F" w:rsidRDefault="0031675F" w:rsidP="0031675F">
      <w:r w:rsidRPr="0031675F">
        <w:t>The working range for nitrate is 0.002 – 2.0 mg</w:t>
      </w:r>
      <w:r w:rsidR="00E817CB" w:rsidRPr="00E817CB">
        <w:t xml:space="preserve"> L</w:t>
      </w:r>
      <w:r w:rsidR="00E817CB" w:rsidRPr="00E817CB">
        <w:rPr>
          <w:vertAlign w:val="superscript"/>
        </w:rPr>
        <w:t>-1</w:t>
      </w:r>
      <w:r w:rsidRPr="0031675F">
        <w:t xml:space="preserve"> as N using the Alpkem segmented flow auto analyser.</w:t>
      </w:r>
    </w:p>
    <w:p w14:paraId="3C5F9536" w14:textId="77777777" w:rsidR="0031675F" w:rsidRPr="0031675F" w:rsidRDefault="0031675F" w:rsidP="0031675F"/>
    <w:p w14:paraId="39EC1395" w14:textId="77777777" w:rsidR="0031675F" w:rsidRPr="0031675F" w:rsidRDefault="0031675F" w:rsidP="0031675F">
      <w:r w:rsidRPr="0031675F">
        <w:t xml:space="preserve">Determination of nitrate is made by calculation (i.e. Oxidised nitrogen – Nitrite).  </w:t>
      </w:r>
    </w:p>
    <w:p w14:paraId="30B8023D" w14:textId="77777777" w:rsidR="0031675F" w:rsidRPr="0031675F" w:rsidRDefault="0031675F" w:rsidP="0031675F"/>
    <w:p w14:paraId="1E3AA019" w14:textId="65468501" w:rsidR="0031675F" w:rsidRPr="0031675F" w:rsidRDefault="0031675F" w:rsidP="0031675F">
      <w:r w:rsidRPr="0031675F">
        <w:t xml:space="preserve">This is an automated colorimetric method for the detection of 0.45 </w:t>
      </w:r>
      <w:r w:rsidRPr="0031675F">
        <w:sym w:font="Symbol" w:char="F06D"/>
      </w:r>
      <w:r w:rsidRPr="0031675F">
        <w:t>m filterable nitrate and nitrite using an automated segmented flow analyser utilizing a copper coated cadmium reduction column. Samples are passed through the copper coated cadmium reduction column with the nitrate in the sample reducing to nitrite which is then determined by diazotizing with sulfanilamide and coupling with N-1-naphthylethylenediamine dihydrochloride to form a red color azo dye which is read spectrophotometrically at 540</w:t>
      </w:r>
      <w:r w:rsidR="00E817CB">
        <w:t xml:space="preserve"> </w:t>
      </w:r>
      <w:r w:rsidRPr="0031675F">
        <w:t>nm. The absorbance measured at 540</w:t>
      </w:r>
      <w:r w:rsidR="00E817CB">
        <w:t xml:space="preserve"> </w:t>
      </w:r>
      <w:r w:rsidRPr="0031675F">
        <w:t>nm is linearly proportional to the concentration of nitrite + nitrate in the samples. Nitrate concentrations are obtained by subtracting the nitrite values which have been separately determined by analyzing the same sample minus the copper coated cadmium reduction column from the nitrate plus nitrite value obtained when using the cadmium column.</w:t>
      </w:r>
    </w:p>
    <w:p w14:paraId="4A1CB2ED" w14:textId="77777777" w:rsidR="0031675F" w:rsidRPr="0031675F" w:rsidRDefault="0031675F" w:rsidP="0031675F"/>
    <w:p w14:paraId="4A0911C1" w14:textId="77777777" w:rsidR="0031675F" w:rsidRPr="0031675F" w:rsidRDefault="0031675F" w:rsidP="0031675F">
      <w:pPr>
        <w:numPr>
          <w:ilvl w:val="1"/>
          <w:numId w:val="172"/>
        </w:numPr>
        <w:tabs>
          <w:tab w:val="clear" w:pos="1080"/>
        </w:tabs>
        <w:spacing w:before="0" w:after="0" w:line="240" w:lineRule="auto"/>
        <w:ind w:left="540" w:hanging="540"/>
        <w:jc w:val="both"/>
        <w:rPr>
          <w:b/>
        </w:rPr>
      </w:pPr>
      <w:r w:rsidRPr="0031675F">
        <w:rPr>
          <w:b/>
        </w:rPr>
        <w:t>Interferences</w:t>
      </w:r>
      <w:r w:rsidRPr="0031675F">
        <w:rPr>
          <w:b/>
        </w:rPr>
        <w:br/>
      </w:r>
    </w:p>
    <w:p w14:paraId="58FAE2EB" w14:textId="1575D20C" w:rsidR="0031675F" w:rsidRPr="0031675F" w:rsidRDefault="0031675F" w:rsidP="0031675F">
      <w:pPr>
        <w:ind w:left="1080" w:hanging="540"/>
      </w:pPr>
      <w:r w:rsidRPr="0031675F">
        <w:rPr>
          <w:b/>
        </w:rPr>
        <w:t xml:space="preserve">1.1.1 </w:t>
      </w:r>
      <w:r w:rsidRPr="0031675F">
        <w:t>Hydrogen sulfide at concentrations &gt;0.1 mg S</w:t>
      </w:r>
      <w:r w:rsidR="00E817CB" w:rsidRPr="00E817CB">
        <w:t xml:space="preserve"> L</w:t>
      </w:r>
      <w:r w:rsidR="00E817CB" w:rsidRPr="00E817CB">
        <w:rPr>
          <w:vertAlign w:val="superscript"/>
        </w:rPr>
        <w:t>-1</w:t>
      </w:r>
      <w:r w:rsidRPr="0031675F">
        <w:t xml:space="preserve"> can interfere with the efficiency of the cadmium column causing a decrease in sensitivity. </w:t>
      </w:r>
    </w:p>
    <w:p w14:paraId="2BE027FD" w14:textId="77777777" w:rsidR="0031675F" w:rsidRPr="0031675F" w:rsidRDefault="0031675F" w:rsidP="0031675F">
      <w:pPr>
        <w:ind w:left="1080" w:hanging="540"/>
      </w:pPr>
    </w:p>
    <w:p w14:paraId="516AEDD9" w14:textId="3B772B7D" w:rsidR="0031675F" w:rsidRPr="0031675F" w:rsidRDefault="0031675F" w:rsidP="0031675F">
      <w:pPr>
        <w:ind w:left="1080" w:hanging="540"/>
      </w:pPr>
      <w:r w:rsidRPr="0031675F">
        <w:rPr>
          <w:b/>
        </w:rPr>
        <w:t>1.1.2</w:t>
      </w:r>
      <w:r w:rsidRPr="0031675F">
        <w:t xml:space="preserve"> </w:t>
      </w:r>
      <w:r w:rsidRPr="0031675F">
        <w:tab/>
        <w:t>Iron, Copper and other heavy metals at concentrations greater than 1 mg</w:t>
      </w:r>
      <w:r w:rsidR="00E817CB" w:rsidRPr="00E817CB">
        <w:t xml:space="preserve"> L</w:t>
      </w:r>
      <w:r w:rsidR="00E817CB" w:rsidRPr="00E817CB">
        <w:rPr>
          <w:vertAlign w:val="superscript"/>
        </w:rPr>
        <w:t>-1</w:t>
      </w:r>
      <w:r w:rsidRPr="0031675F">
        <w:t xml:space="preserve"> can reduce the efficiency of the cadmium column. The addition of EDTA in the buffer solution will complex these metal ions. </w:t>
      </w:r>
      <w:r w:rsidRPr="0031675F">
        <w:br/>
      </w:r>
    </w:p>
    <w:p w14:paraId="0E338EFA" w14:textId="77777777" w:rsidR="0031675F" w:rsidRPr="0031675F" w:rsidRDefault="0031675F" w:rsidP="0031675F">
      <w:pPr>
        <w:ind w:left="1080" w:hanging="540"/>
        <w:rPr>
          <w:bCs/>
        </w:rPr>
      </w:pPr>
      <w:r w:rsidRPr="0031675F">
        <w:rPr>
          <w:b/>
        </w:rPr>
        <w:t xml:space="preserve">1.1.3 </w:t>
      </w:r>
      <w:r w:rsidRPr="0031675F">
        <w:rPr>
          <w:b/>
        </w:rPr>
        <w:tab/>
      </w:r>
      <w:r w:rsidRPr="0031675F">
        <w:rPr>
          <w:bCs/>
        </w:rPr>
        <w:t>Oil and grease can interfere by coating the reactive surface of the cadmium column.</w:t>
      </w:r>
    </w:p>
    <w:p w14:paraId="6B00CAEF" w14:textId="77777777" w:rsidR="0031675F" w:rsidRPr="0031675F" w:rsidRDefault="0031675F" w:rsidP="0031675F">
      <w:pPr>
        <w:ind w:left="1080" w:hanging="540"/>
      </w:pPr>
    </w:p>
    <w:p w14:paraId="187622EB" w14:textId="6EA42F39" w:rsidR="0031675F" w:rsidRPr="0031675F" w:rsidRDefault="0031675F" w:rsidP="0031675F">
      <w:pPr>
        <w:numPr>
          <w:ilvl w:val="2"/>
          <w:numId w:val="183"/>
        </w:numPr>
        <w:tabs>
          <w:tab w:val="clear" w:pos="1260"/>
        </w:tabs>
        <w:spacing w:before="0" w:after="0" w:line="240" w:lineRule="auto"/>
        <w:ind w:left="1134" w:hanging="594"/>
        <w:jc w:val="both"/>
      </w:pPr>
      <w:r w:rsidRPr="0031675F">
        <w:t>Residual chlorine oxidizes the cadmium column and should be removed by the addition of sodium thiosul</w:t>
      </w:r>
      <w:r w:rsidR="00CC6786">
        <w:t>f</w:t>
      </w:r>
      <w:r w:rsidRPr="0031675F">
        <w:t>ate to the sample.</w:t>
      </w:r>
    </w:p>
    <w:p w14:paraId="07266106" w14:textId="65CC2749" w:rsidR="0031675F" w:rsidRPr="0031675F" w:rsidRDefault="0031675F" w:rsidP="0031675F">
      <w:pPr>
        <w:numPr>
          <w:ilvl w:val="2"/>
          <w:numId w:val="183"/>
        </w:numPr>
        <w:tabs>
          <w:tab w:val="clear" w:pos="1260"/>
          <w:tab w:val="num" w:pos="1134"/>
        </w:tabs>
        <w:spacing w:before="0" w:after="0" w:line="240" w:lineRule="auto"/>
        <w:ind w:left="1134" w:hanging="594"/>
        <w:jc w:val="both"/>
      </w:pPr>
      <w:r w:rsidRPr="0031675F">
        <w:t>Samples with high levels of turbidity cause interference. Particulates should be removed by filtering through a Minisart sterile 0.45</w:t>
      </w:r>
      <w:r w:rsidR="00E817CB">
        <w:t xml:space="preserve"> </w:t>
      </w:r>
      <w:r w:rsidRPr="0031675F">
        <w:sym w:font="Symbol" w:char="F06D"/>
      </w:r>
      <w:r w:rsidRPr="0031675F">
        <w:t>m polysulphone membrane filter at the point of collection.</w:t>
      </w:r>
    </w:p>
    <w:p w14:paraId="6664D9E0" w14:textId="77777777" w:rsidR="0031675F" w:rsidRPr="0031675F" w:rsidRDefault="0031675F" w:rsidP="0031675F">
      <w:pPr>
        <w:numPr>
          <w:ilvl w:val="2"/>
          <w:numId w:val="183"/>
        </w:numPr>
        <w:tabs>
          <w:tab w:val="clear" w:pos="1260"/>
          <w:tab w:val="num" w:pos="1134"/>
        </w:tabs>
        <w:spacing w:before="0" w:after="0" w:line="240" w:lineRule="auto"/>
        <w:ind w:left="1134" w:hanging="594"/>
        <w:jc w:val="both"/>
      </w:pPr>
      <w:r w:rsidRPr="0031675F">
        <w:t xml:space="preserve">Highly coloured samples can bias the results. The effect of colour can be ascertained by removing the colour reagent and running the sample through the spectrophotometer. </w:t>
      </w:r>
    </w:p>
    <w:p w14:paraId="46075724" w14:textId="77777777" w:rsidR="0031675F" w:rsidRPr="0031675F" w:rsidRDefault="0031675F" w:rsidP="0031675F">
      <w:pPr>
        <w:numPr>
          <w:ilvl w:val="2"/>
          <w:numId w:val="183"/>
        </w:numPr>
        <w:tabs>
          <w:tab w:val="clear" w:pos="1260"/>
          <w:tab w:val="num" w:pos="1134"/>
        </w:tabs>
        <w:spacing w:before="0" w:after="0" w:line="240" w:lineRule="auto"/>
        <w:ind w:left="1134" w:hanging="594"/>
        <w:jc w:val="both"/>
      </w:pPr>
      <w:r w:rsidRPr="0031675F">
        <w:t>Organic compounds such as phenols and aromatic amines, which couple with the diazonium ions can cause interference.</w:t>
      </w:r>
      <w:r w:rsidRPr="0031675F">
        <w:tab/>
      </w:r>
      <w:r w:rsidRPr="0031675F">
        <w:br/>
      </w:r>
    </w:p>
    <w:p w14:paraId="22A6E815" w14:textId="77777777" w:rsidR="0031675F" w:rsidRPr="0031675F" w:rsidRDefault="0031675F" w:rsidP="0031675F">
      <w:pPr>
        <w:ind w:left="540" w:hanging="540"/>
      </w:pPr>
      <w:r w:rsidRPr="0031675F">
        <w:rPr>
          <w:b/>
        </w:rPr>
        <w:t xml:space="preserve">1.2 </w:t>
      </w:r>
      <w:r w:rsidRPr="0031675F">
        <w:rPr>
          <w:b/>
        </w:rPr>
        <w:tab/>
      </w:r>
      <w:r w:rsidRPr="0031675F">
        <w:t>Approximately 30 samples per hour can be analysed.</w:t>
      </w:r>
    </w:p>
    <w:p w14:paraId="78222599" w14:textId="77777777" w:rsidR="0031675F" w:rsidRPr="0031675F" w:rsidRDefault="0031675F" w:rsidP="0031675F">
      <w:pPr>
        <w:ind w:left="540" w:hanging="540"/>
      </w:pPr>
    </w:p>
    <w:p w14:paraId="510952B8" w14:textId="77777777" w:rsidR="0031675F" w:rsidRPr="0031675F" w:rsidRDefault="0031675F" w:rsidP="0031675F">
      <w:pPr>
        <w:ind w:left="540" w:hanging="540"/>
      </w:pPr>
      <w:r w:rsidRPr="0031675F">
        <w:rPr>
          <w:b/>
        </w:rPr>
        <w:t>1.3</w:t>
      </w:r>
      <w:r w:rsidRPr="0031675F">
        <w:t xml:space="preserve">  </w:t>
      </w:r>
      <w:r w:rsidRPr="0031675F">
        <w:tab/>
        <w:t>This method requires experience in the use of automated gas segmented flow colorimetric analyses, and familiarity with the techniques of preparation, activation and maintenance of the cadmium reduction column. A minimum of 6 months training under the direct supervision of an experienced nutrient analyst is required before independent nutrient analyses can be performed.</w:t>
      </w:r>
    </w:p>
    <w:p w14:paraId="6DB74BA9" w14:textId="77777777" w:rsidR="0031675F" w:rsidRPr="0031675F" w:rsidRDefault="0031675F" w:rsidP="0031675F">
      <w:pPr>
        <w:rPr>
          <w:b/>
        </w:rPr>
      </w:pPr>
    </w:p>
    <w:p w14:paraId="2BDE8509" w14:textId="77777777" w:rsidR="0031675F" w:rsidRPr="0031675F" w:rsidRDefault="0031675F" w:rsidP="0031675F">
      <w:pPr>
        <w:shd w:val="clear" w:color="auto" w:fill="D9D9D9"/>
        <w:ind w:left="567" w:hanging="567"/>
        <w:rPr>
          <w:b/>
        </w:rPr>
      </w:pPr>
      <w:r w:rsidRPr="0031675F">
        <w:rPr>
          <w:b/>
        </w:rPr>
        <w:t xml:space="preserve">2.0 </w:t>
      </w:r>
      <w:r w:rsidRPr="0031675F">
        <w:rPr>
          <w:b/>
        </w:rPr>
        <w:tab/>
        <w:t>DEFINITIONS</w:t>
      </w:r>
    </w:p>
    <w:p w14:paraId="12A280D1" w14:textId="77777777" w:rsidR="0031675F" w:rsidRPr="0031675F" w:rsidRDefault="0031675F" w:rsidP="0031675F">
      <w:pPr>
        <w:rPr>
          <w:b/>
        </w:rPr>
      </w:pPr>
    </w:p>
    <w:p w14:paraId="7F347D88" w14:textId="77777777" w:rsidR="0031675F" w:rsidRPr="0031675F" w:rsidRDefault="0031675F" w:rsidP="0031675F">
      <w:pPr>
        <w:ind w:left="540" w:hanging="540"/>
      </w:pPr>
      <w:r w:rsidRPr="0031675F">
        <w:rPr>
          <w:b/>
        </w:rPr>
        <w:t xml:space="preserve">2.1 </w:t>
      </w:r>
      <w:r w:rsidRPr="0031675F">
        <w:rPr>
          <w:b/>
        </w:rPr>
        <w:tab/>
        <w:t xml:space="preserve">Calibration Standard (CAL) – </w:t>
      </w:r>
      <w:r w:rsidRPr="0031675F">
        <w:t>A solution prepared from the primary dilution standard solution or stock standard solution containing analytes. The CAL solutions are used to calibrate the instrument response with respect to analyte concentration.</w:t>
      </w:r>
    </w:p>
    <w:p w14:paraId="1BC0BFAC" w14:textId="77777777" w:rsidR="0031675F" w:rsidRPr="0031675F" w:rsidRDefault="0031675F" w:rsidP="0031675F">
      <w:pPr>
        <w:ind w:left="540" w:hanging="540"/>
      </w:pPr>
    </w:p>
    <w:p w14:paraId="4C85E74D" w14:textId="77777777" w:rsidR="0031675F" w:rsidRPr="0031675F" w:rsidRDefault="0031675F" w:rsidP="0031675F">
      <w:pPr>
        <w:ind w:left="540" w:hanging="540"/>
      </w:pPr>
      <w:r w:rsidRPr="0031675F">
        <w:rPr>
          <w:b/>
        </w:rPr>
        <w:t xml:space="preserve">2.2 </w:t>
      </w:r>
      <w:r w:rsidRPr="0031675F">
        <w:rPr>
          <w:b/>
        </w:rPr>
        <w:tab/>
        <w:t xml:space="preserve">Reagent Water (RM) - </w:t>
      </w:r>
      <w:r w:rsidRPr="0031675F">
        <w:t>Type 1 reagent grade water equal to or exceeding standards established by American Society for Testing Materials (ASTN). Reverse osmosis system followed by a Reagent water System that produces water with 18 M</w:t>
      </w:r>
      <w:r w:rsidRPr="0031675F">
        <w:sym w:font="Symbol" w:char="F057"/>
      </w:r>
      <w:r w:rsidRPr="0031675F">
        <w:t>ohm resistance is used. To avoid contamination the reagent water should be used the day of preparation.</w:t>
      </w:r>
    </w:p>
    <w:p w14:paraId="48074931" w14:textId="77777777" w:rsidR="0031675F" w:rsidRPr="0031675F" w:rsidRDefault="0031675F" w:rsidP="0031675F">
      <w:pPr>
        <w:ind w:left="540" w:hanging="540"/>
      </w:pPr>
    </w:p>
    <w:p w14:paraId="5A8FBCEF" w14:textId="77777777" w:rsidR="0031675F" w:rsidRPr="0031675F" w:rsidRDefault="0031675F" w:rsidP="0031675F">
      <w:pPr>
        <w:ind w:left="540" w:hanging="540"/>
      </w:pPr>
      <w:r w:rsidRPr="0031675F">
        <w:rPr>
          <w:b/>
        </w:rPr>
        <w:t xml:space="preserve">2.3 </w:t>
      </w:r>
      <w:r w:rsidRPr="0031675F">
        <w:rPr>
          <w:b/>
        </w:rPr>
        <w:tab/>
        <w:t xml:space="preserve">Laboratory Spike Blank (B+) - </w:t>
      </w:r>
      <w:r w:rsidRPr="0031675F">
        <w:t>An aliquot of reagent water to which a known quantity of nitrogen is added. The B+ is analysed exactly like a sample, its purpose is to determine the amount of nitrogen added to samples and further used in the calculation on spike recoveries aiding confidence in the digestion procedure.</w:t>
      </w:r>
    </w:p>
    <w:p w14:paraId="574FF863" w14:textId="77777777" w:rsidR="0031675F" w:rsidRPr="0031675F" w:rsidRDefault="0031675F" w:rsidP="0031675F">
      <w:pPr>
        <w:ind w:left="540" w:hanging="540"/>
      </w:pPr>
    </w:p>
    <w:p w14:paraId="31F8C675" w14:textId="77777777" w:rsidR="0031675F" w:rsidRPr="0031675F" w:rsidRDefault="0031675F" w:rsidP="0031675F">
      <w:pPr>
        <w:ind w:left="540" w:hanging="540"/>
      </w:pPr>
      <w:r w:rsidRPr="0031675F">
        <w:rPr>
          <w:b/>
        </w:rPr>
        <w:t xml:space="preserve">2.4 </w:t>
      </w:r>
      <w:r w:rsidRPr="0031675F">
        <w:rPr>
          <w:b/>
        </w:rPr>
        <w:tab/>
        <w:t xml:space="preserve">Laboratory Reagent Blank (LRB) - </w:t>
      </w:r>
      <w:r w:rsidRPr="0031675F">
        <w:t>an aliquot of reagent water that is treated exactly as a sample including exposure to all lab ware, equipment, digestion mixture, digestion and reagents that are used with all other samples. The LRB is used to determine if any background interference is present and therefore needs to be taken into consideration when sample results are calculated.</w:t>
      </w:r>
    </w:p>
    <w:p w14:paraId="2FE23DD6" w14:textId="77777777" w:rsidR="0031675F" w:rsidRPr="0031675F" w:rsidRDefault="0031675F" w:rsidP="0031675F">
      <w:pPr>
        <w:ind w:left="540" w:hanging="540"/>
      </w:pPr>
    </w:p>
    <w:p w14:paraId="156B1196" w14:textId="77777777" w:rsidR="0031675F" w:rsidRPr="0031675F" w:rsidRDefault="0031675F" w:rsidP="0031675F">
      <w:pPr>
        <w:ind w:left="540" w:hanging="540"/>
      </w:pPr>
      <w:r w:rsidRPr="0031675F">
        <w:rPr>
          <w:b/>
        </w:rPr>
        <w:t xml:space="preserve">2.5 </w:t>
      </w:r>
      <w:r w:rsidRPr="0031675F">
        <w:rPr>
          <w:b/>
        </w:rPr>
        <w:tab/>
        <w:t xml:space="preserve">Method Detection Limit (MDL) - </w:t>
      </w:r>
      <w:r w:rsidRPr="0031675F">
        <w:t>The minimum concentration of an analyte that can be identified, measured and reported with 99% confidence that the analyte concentration is greater than zero.</w:t>
      </w:r>
    </w:p>
    <w:p w14:paraId="478E6EF9" w14:textId="77777777" w:rsidR="0031675F" w:rsidRPr="0031675F" w:rsidRDefault="0031675F" w:rsidP="0031675F">
      <w:pPr>
        <w:ind w:left="540" w:hanging="540"/>
      </w:pPr>
    </w:p>
    <w:p w14:paraId="3E442B3C" w14:textId="77777777" w:rsidR="0031675F" w:rsidRPr="0031675F" w:rsidRDefault="0031675F" w:rsidP="0031675F">
      <w:pPr>
        <w:ind w:left="540" w:hanging="540"/>
      </w:pPr>
      <w:r w:rsidRPr="0031675F">
        <w:rPr>
          <w:b/>
        </w:rPr>
        <w:t>2.6</w:t>
      </w:r>
      <w:r w:rsidRPr="0031675F">
        <w:rPr>
          <w:b/>
        </w:rPr>
        <w:tab/>
        <w:t xml:space="preserve">Stock Standard Solution (SSS) – </w:t>
      </w:r>
      <w:r w:rsidRPr="0031675F">
        <w:t>A concentrated solution of method analyte prepared in the laboratory using assayed reference compounds or purchased from a reputable commercial source.</w:t>
      </w:r>
    </w:p>
    <w:p w14:paraId="583B8266" w14:textId="77777777" w:rsidR="0031675F" w:rsidRPr="0031675F" w:rsidRDefault="0031675F" w:rsidP="0031675F">
      <w:pPr>
        <w:ind w:left="540" w:hanging="540"/>
      </w:pPr>
    </w:p>
    <w:p w14:paraId="7E066894" w14:textId="77777777" w:rsidR="0031675F" w:rsidRPr="0031675F" w:rsidRDefault="0031675F" w:rsidP="0031675F">
      <w:pPr>
        <w:ind w:left="540" w:hanging="540"/>
      </w:pPr>
      <w:r w:rsidRPr="0031675F">
        <w:rPr>
          <w:b/>
        </w:rPr>
        <w:t xml:space="preserve">2.7 </w:t>
      </w:r>
      <w:r w:rsidRPr="0031675F">
        <w:rPr>
          <w:b/>
        </w:rPr>
        <w:tab/>
        <w:t xml:space="preserve">Certified Reference Material (CRM) - </w:t>
      </w:r>
      <w:r w:rsidRPr="0031675F">
        <w:t>“Real’ samples that have been purchased from an external reputable commercial source. The CRM’s are used to match matrices and concentrations with the samples being analysed to determine the accuracy of results.</w:t>
      </w:r>
    </w:p>
    <w:p w14:paraId="56E6FAB0" w14:textId="77777777" w:rsidR="0031675F" w:rsidRPr="0031675F" w:rsidRDefault="0031675F" w:rsidP="0031675F">
      <w:pPr>
        <w:ind w:left="540" w:hanging="540"/>
      </w:pPr>
    </w:p>
    <w:p w14:paraId="762C14C4" w14:textId="77777777" w:rsidR="0031675F" w:rsidRPr="0031675F" w:rsidRDefault="0031675F" w:rsidP="0031675F">
      <w:pPr>
        <w:ind w:left="540" w:hanging="540"/>
      </w:pPr>
      <w:r w:rsidRPr="0031675F">
        <w:rPr>
          <w:b/>
        </w:rPr>
        <w:t xml:space="preserve">2.8 </w:t>
      </w:r>
      <w:r w:rsidRPr="0031675F">
        <w:rPr>
          <w:b/>
        </w:rPr>
        <w:tab/>
        <w:t xml:space="preserve">SYNC Peak Solution – </w:t>
      </w:r>
      <w:r w:rsidRPr="0031675F">
        <w:t>A coloured solution used to produce a synchronization peak in the refractive index measurement. A synchronization peak is required by the data acquisition programs to initialize the peak finding parameters. The first cup in every run must always be identified as a SYNC sample. The SYNC sample is usually a high standard, but can be any sample that generates a peak at least 25% of full scale.</w:t>
      </w:r>
    </w:p>
    <w:p w14:paraId="14259373" w14:textId="77777777" w:rsidR="0031675F" w:rsidRPr="0031675F" w:rsidRDefault="0031675F" w:rsidP="0031675F">
      <w:pPr>
        <w:rPr>
          <w:b/>
        </w:rPr>
      </w:pPr>
    </w:p>
    <w:p w14:paraId="00965A27" w14:textId="77777777" w:rsidR="0031675F" w:rsidRPr="0031675F" w:rsidRDefault="0031675F" w:rsidP="0031675F">
      <w:pPr>
        <w:rPr>
          <w:b/>
        </w:rPr>
      </w:pPr>
    </w:p>
    <w:p w14:paraId="230D4690" w14:textId="77777777" w:rsidR="0031675F" w:rsidRPr="0031675F" w:rsidRDefault="0031675F" w:rsidP="0031675F">
      <w:pPr>
        <w:rPr>
          <w:b/>
        </w:rPr>
      </w:pPr>
      <w:r w:rsidRPr="0031675F">
        <w:rPr>
          <w:b/>
        </w:rPr>
        <w:br w:type="page"/>
      </w:r>
    </w:p>
    <w:p w14:paraId="4F58C539" w14:textId="77777777" w:rsidR="0031675F" w:rsidRPr="0031675F" w:rsidRDefault="0031675F" w:rsidP="0031675F">
      <w:pPr>
        <w:shd w:val="clear" w:color="auto" w:fill="D9D9D9"/>
        <w:ind w:left="567" w:hanging="567"/>
        <w:rPr>
          <w:b/>
        </w:rPr>
      </w:pPr>
      <w:r w:rsidRPr="0031675F">
        <w:rPr>
          <w:b/>
        </w:rPr>
        <w:t xml:space="preserve">3.0 </w:t>
      </w:r>
      <w:r w:rsidRPr="0031675F">
        <w:rPr>
          <w:b/>
        </w:rPr>
        <w:tab/>
        <w:t>SAFETY</w:t>
      </w:r>
    </w:p>
    <w:p w14:paraId="1B9308EB" w14:textId="77777777" w:rsidR="0031675F" w:rsidRPr="0031675F" w:rsidRDefault="0031675F" w:rsidP="0031675F">
      <w:pPr>
        <w:ind w:left="540" w:hanging="540"/>
        <w:rPr>
          <w:b/>
        </w:rPr>
      </w:pPr>
    </w:p>
    <w:p w14:paraId="72C9DC0F" w14:textId="77777777" w:rsidR="0031675F" w:rsidRPr="0031675F" w:rsidRDefault="0031675F" w:rsidP="0031675F">
      <w:pPr>
        <w:ind w:left="540" w:hanging="540"/>
      </w:pPr>
      <w:r w:rsidRPr="0031675F">
        <w:rPr>
          <w:b/>
        </w:rPr>
        <w:t xml:space="preserve">3.1 </w:t>
      </w:r>
      <w:r w:rsidRPr="0031675F">
        <w:rPr>
          <w:b/>
        </w:rPr>
        <w:tab/>
      </w:r>
      <w:r w:rsidRPr="0031675F">
        <w:t>Water samples collected from the estuarine and coastal environments are generally not hazardous, however it is of paramount importance that the individual collecting the samples use the proper collection techniques and be aware of potential sources of contamination.</w:t>
      </w:r>
    </w:p>
    <w:p w14:paraId="450C3099" w14:textId="77777777" w:rsidR="0031675F" w:rsidRPr="0031675F" w:rsidRDefault="0031675F" w:rsidP="0031675F">
      <w:pPr>
        <w:ind w:left="540" w:hanging="540"/>
      </w:pPr>
    </w:p>
    <w:p w14:paraId="7FB12EE0" w14:textId="77777777" w:rsidR="0031675F" w:rsidRPr="0031675F" w:rsidRDefault="0031675F" w:rsidP="0031675F">
      <w:pPr>
        <w:ind w:left="540" w:hanging="540"/>
      </w:pPr>
      <w:r w:rsidRPr="0031675F">
        <w:rPr>
          <w:b/>
        </w:rPr>
        <w:t>3.2</w:t>
      </w:r>
      <w:r w:rsidRPr="0031675F">
        <w:t xml:space="preserve"> </w:t>
      </w:r>
      <w:r w:rsidRPr="0031675F">
        <w:tab/>
        <w:t>High standards of laboratory technique should be used when preparing reagents. Laboratory personnel should obtain material safety data sheets (MSDS) for all chemicals used in this method, and read and sign acknowledgement over the handling of these chemicals. A lab coat, safety glasses and gloves should be used when handling concentrated acid.</w:t>
      </w:r>
    </w:p>
    <w:p w14:paraId="4B604AA6" w14:textId="77777777" w:rsidR="0031675F" w:rsidRPr="0031675F" w:rsidRDefault="0031675F" w:rsidP="0031675F"/>
    <w:p w14:paraId="481CA523" w14:textId="77777777" w:rsidR="0031675F" w:rsidRPr="0031675F" w:rsidRDefault="0031675F" w:rsidP="0031675F">
      <w:pPr>
        <w:shd w:val="clear" w:color="auto" w:fill="D9D9D9"/>
        <w:ind w:left="540" w:hanging="540"/>
        <w:rPr>
          <w:b/>
        </w:rPr>
      </w:pPr>
      <w:r w:rsidRPr="0031675F">
        <w:rPr>
          <w:b/>
        </w:rPr>
        <w:t xml:space="preserve">4.0 </w:t>
      </w:r>
      <w:r w:rsidRPr="0031675F">
        <w:rPr>
          <w:b/>
        </w:rPr>
        <w:tab/>
        <w:t>EQUIPMENT AND SUPPLIES</w:t>
      </w:r>
    </w:p>
    <w:p w14:paraId="0DF7F999" w14:textId="77777777" w:rsidR="0031675F" w:rsidRPr="0031675F" w:rsidRDefault="0031675F" w:rsidP="0031675F">
      <w:pPr>
        <w:ind w:left="540" w:hanging="540"/>
        <w:rPr>
          <w:b/>
        </w:rPr>
      </w:pPr>
      <w:r w:rsidRPr="0031675F">
        <w:rPr>
          <w:b/>
        </w:rPr>
        <w:tab/>
      </w:r>
    </w:p>
    <w:p w14:paraId="7D2F19CD" w14:textId="77777777" w:rsidR="0031675F" w:rsidRPr="0031675F" w:rsidRDefault="0031675F" w:rsidP="0031675F">
      <w:pPr>
        <w:ind w:left="540" w:hanging="540"/>
      </w:pPr>
      <w:r w:rsidRPr="0031675F">
        <w:rPr>
          <w:b/>
        </w:rPr>
        <w:t xml:space="preserve">4.1 </w:t>
      </w:r>
      <w:r w:rsidRPr="0031675F">
        <w:rPr>
          <w:b/>
        </w:rPr>
        <w:tab/>
        <w:t>Gas Segmented Continuous Flow Autoanalyser</w:t>
      </w:r>
      <w:r w:rsidRPr="0031675F">
        <w:t xml:space="preserve"> consisting of:</w:t>
      </w:r>
    </w:p>
    <w:p w14:paraId="12FDC8A8" w14:textId="77777777" w:rsidR="0031675F" w:rsidRPr="0031675F" w:rsidRDefault="0031675F" w:rsidP="0031675F">
      <w:pPr>
        <w:ind w:left="540" w:hanging="540"/>
      </w:pPr>
    </w:p>
    <w:p w14:paraId="2D07A030" w14:textId="77777777" w:rsidR="0031675F" w:rsidRPr="0031675F" w:rsidRDefault="0031675F" w:rsidP="0031675F">
      <w:pPr>
        <w:ind w:left="1134" w:hanging="567"/>
      </w:pPr>
      <w:r w:rsidRPr="0031675F">
        <w:rPr>
          <w:b/>
        </w:rPr>
        <w:t xml:space="preserve">4.1.1 </w:t>
      </w:r>
      <w:r w:rsidRPr="0031675F">
        <w:rPr>
          <w:b/>
        </w:rPr>
        <w:tab/>
      </w:r>
      <w:r w:rsidRPr="0031675F">
        <w:t xml:space="preserve">Autosampler. </w:t>
      </w:r>
    </w:p>
    <w:p w14:paraId="18990C09" w14:textId="77777777" w:rsidR="0031675F" w:rsidRPr="0031675F" w:rsidRDefault="0031675F" w:rsidP="0031675F">
      <w:pPr>
        <w:ind w:left="1080" w:hanging="540"/>
      </w:pPr>
    </w:p>
    <w:p w14:paraId="426F6A65" w14:textId="77777777" w:rsidR="0031675F" w:rsidRPr="0031675F" w:rsidRDefault="0031675F" w:rsidP="0031675F">
      <w:pPr>
        <w:ind w:left="1134" w:hanging="567"/>
      </w:pPr>
      <w:r w:rsidRPr="0031675F">
        <w:rPr>
          <w:b/>
        </w:rPr>
        <w:t xml:space="preserve">4.1.2 </w:t>
      </w:r>
      <w:r w:rsidRPr="0031675F">
        <w:rPr>
          <w:b/>
        </w:rPr>
        <w:tab/>
      </w:r>
      <w:r w:rsidRPr="0031675F">
        <w:t>Analytical manifold with reaction coils for nitrate analyses.</w:t>
      </w:r>
    </w:p>
    <w:p w14:paraId="47517637" w14:textId="77777777" w:rsidR="0031675F" w:rsidRPr="0031675F" w:rsidRDefault="0031675F" w:rsidP="0031675F">
      <w:pPr>
        <w:ind w:left="1134" w:hanging="567"/>
      </w:pPr>
    </w:p>
    <w:p w14:paraId="1B30E770" w14:textId="77777777" w:rsidR="0031675F" w:rsidRPr="0031675F" w:rsidRDefault="0031675F" w:rsidP="0031675F">
      <w:pPr>
        <w:ind w:left="1134" w:hanging="567"/>
      </w:pPr>
      <w:r w:rsidRPr="0031675F">
        <w:rPr>
          <w:b/>
        </w:rPr>
        <w:t>4.1.3</w:t>
      </w:r>
      <w:r w:rsidRPr="0031675F">
        <w:rPr>
          <w:b/>
        </w:rPr>
        <w:tab/>
      </w:r>
      <w:r w:rsidRPr="0031675F">
        <w:t xml:space="preserve">Open Tubular Cadmium Reactor (OTCR) is a laboratory prepared packed copper coated cadmium reduction column (prepared according to procedures in section 5.3.1)  </w:t>
      </w:r>
    </w:p>
    <w:p w14:paraId="3E2B63CB" w14:textId="77777777" w:rsidR="0031675F" w:rsidRPr="0031675F" w:rsidRDefault="0031675F" w:rsidP="0031675F">
      <w:pPr>
        <w:tabs>
          <w:tab w:val="left" w:pos="1064"/>
        </w:tabs>
        <w:ind w:left="1134" w:hanging="567"/>
      </w:pPr>
      <w:r w:rsidRPr="0031675F">
        <w:tab/>
      </w:r>
    </w:p>
    <w:p w14:paraId="21A02DC0" w14:textId="77777777" w:rsidR="0031675F" w:rsidRPr="0031675F" w:rsidRDefault="0031675F" w:rsidP="0031675F">
      <w:pPr>
        <w:ind w:left="1134" w:hanging="567"/>
      </w:pPr>
      <w:r w:rsidRPr="0031675F">
        <w:rPr>
          <w:b/>
        </w:rPr>
        <w:t xml:space="preserve">4.1.4 </w:t>
      </w:r>
      <w:r w:rsidRPr="0031675F">
        <w:rPr>
          <w:b/>
        </w:rPr>
        <w:tab/>
      </w:r>
      <w:r w:rsidRPr="0031675F">
        <w:t>Peristaltic Pump and appropriate tubing.</w:t>
      </w:r>
    </w:p>
    <w:p w14:paraId="1907F1C6" w14:textId="77777777" w:rsidR="0031675F" w:rsidRPr="0031675F" w:rsidRDefault="0031675F" w:rsidP="0031675F">
      <w:pPr>
        <w:ind w:left="1134" w:hanging="567"/>
      </w:pPr>
    </w:p>
    <w:p w14:paraId="60D2F64B" w14:textId="77777777" w:rsidR="0031675F" w:rsidRPr="0031675F" w:rsidRDefault="0031675F" w:rsidP="0031675F">
      <w:pPr>
        <w:ind w:left="1134" w:hanging="567"/>
      </w:pPr>
      <w:r w:rsidRPr="0031675F">
        <w:rPr>
          <w:b/>
        </w:rPr>
        <w:t xml:space="preserve">4.1.5 </w:t>
      </w:r>
      <w:r w:rsidRPr="0031675F">
        <w:rPr>
          <w:b/>
        </w:rPr>
        <w:tab/>
      </w:r>
      <w:r w:rsidRPr="0031675F">
        <w:t>Spectrophotometer equipped with a tungsten lamp (380-800 nm) or photometer with a 540 nm interference filter (2 nm bandwidth).</w:t>
      </w:r>
    </w:p>
    <w:p w14:paraId="183F9263" w14:textId="77777777" w:rsidR="0031675F" w:rsidRPr="0031675F" w:rsidRDefault="0031675F" w:rsidP="0031675F">
      <w:pPr>
        <w:ind w:left="1134" w:hanging="567"/>
      </w:pPr>
    </w:p>
    <w:p w14:paraId="59DF8C19" w14:textId="77777777" w:rsidR="0031675F" w:rsidRPr="0031675F" w:rsidRDefault="0031675F" w:rsidP="0031675F">
      <w:pPr>
        <w:ind w:left="1134" w:hanging="567"/>
      </w:pPr>
      <w:r w:rsidRPr="0031675F">
        <w:rPr>
          <w:b/>
        </w:rPr>
        <w:t>4.1.6</w:t>
      </w:r>
      <w:r w:rsidRPr="0031675F">
        <w:rPr>
          <w:b/>
        </w:rPr>
        <w:tab/>
      </w:r>
      <w:r w:rsidRPr="0031675F">
        <w:t>Computer based data acquisition system.</w:t>
      </w:r>
    </w:p>
    <w:p w14:paraId="700E7465" w14:textId="77777777" w:rsidR="0031675F" w:rsidRPr="0031675F" w:rsidRDefault="0031675F" w:rsidP="0031675F">
      <w:pPr>
        <w:ind w:left="1134" w:hanging="567"/>
      </w:pPr>
    </w:p>
    <w:p w14:paraId="7594344F" w14:textId="77777777" w:rsidR="0031675F" w:rsidRPr="0031675F" w:rsidRDefault="0031675F" w:rsidP="0031675F">
      <w:pPr>
        <w:ind w:left="1134" w:hanging="567"/>
      </w:pPr>
      <w:r w:rsidRPr="0031675F">
        <w:rPr>
          <w:b/>
        </w:rPr>
        <w:t xml:space="preserve">4.1.7 </w:t>
      </w:r>
      <w:r w:rsidRPr="0031675F">
        <w:rPr>
          <w:b/>
        </w:rPr>
        <w:tab/>
      </w:r>
      <w:r w:rsidRPr="0031675F">
        <w:t>Inert gas (high purity grade, 99.99%) e.g. argon, nitrogen.</w:t>
      </w:r>
    </w:p>
    <w:p w14:paraId="51A7B103" w14:textId="77777777" w:rsidR="0031675F" w:rsidRPr="0031675F" w:rsidRDefault="0031675F" w:rsidP="0031675F">
      <w:pPr>
        <w:ind w:left="1080" w:hanging="540"/>
      </w:pPr>
    </w:p>
    <w:p w14:paraId="293E92BD" w14:textId="77777777" w:rsidR="0031675F" w:rsidRPr="0031675F" w:rsidRDefault="0031675F" w:rsidP="0031675F">
      <w:pPr>
        <w:ind w:left="540" w:hanging="540"/>
      </w:pPr>
      <w:r w:rsidRPr="0031675F">
        <w:rPr>
          <w:b/>
        </w:rPr>
        <w:t xml:space="preserve">4.2 </w:t>
      </w:r>
      <w:r w:rsidRPr="0031675F">
        <w:rPr>
          <w:b/>
        </w:rPr>
        <w:tab/>
        <w:t>Glassware and Supplies</w:t>
      </w:r>
    </w:p>
    <w:p w14:paraId="60901D8C" w14:textId="77777777" w:rsidR="0031675F" w:rsidRPr="0031675F" w:rsidRDefault="0031675F" w:rsidP="0031675F">
      <w:pPr>
        <w:ind w:left="540" w:hanging="540"/>
      </w:pPr>
    </w:p>
    <w:p w14:paraId="13CA693E" w14:textId="77777777" w:rsidR="0031675F" w:rsidRPr="0031675F" w:rsidRDefault="0031675F" w:rsidP="0031675F">
      <w:pPr>
        <w:ind w:left="1134" w:hanging="567"/>
      </w:pPr>
      <w:r w:rsidRPr="0031675F">
        <w:rPr>
          <w:b/>
        </w:rPr>
        <w:t xml:space="preserve">4.2.1 </w:t>
      </w:r>
      <w:r w:rsidRPr="0031675F">
        <w:rPr>
          <w:b/>
        </w:rPr>
        <w:tab/>
      </w:r>
      <w:r w:rsidRPr="0031675F">
        <w:t>All labware used in the analysis must be low in residual nitrate to avoid sample or reagent contamination. Soaking with lab grade detergent, rinsing with reverse osmosis water, followed by rinsing with 10% HCl and thoroughly rinsing with reagent water is sufficient.</w:t>
      </w:r>
    </w:p>
    <w:p w14:paraId="573419C8" w14:textId="77777777" w:rsidR="0031675F" w:rsidRPr="0031675F" w:rsidRDefault="0031675F" w:rsidP="0031675F">
      <w:pPr>
        <w:ind w:left="1134" w:hanging="567"/>
      </w:pPr>
    </w:p>
    <w:p w14:paraId="04CDF895" w14:textId="77777777" w:rsidR="0031675F" w:rsidRPr="0031675F" w:rsidRDefault="0031675F" w:rsidP="0031675F">
      <w:pPr>
        <w:ind w:left="1134" w:hanging="567"/>
      </w:pPr>
      <w:r w:rsidRPr="0031675F">
        <w:rPr>
          <w:b/>
        </w:rPr>
        <w:t xml:space="preserve">4.2.2 </w:t>
      </w:r>
      <w:r w:rsidRPr="0031675F">
        <w:rPr>
          <w:b/>
        </w:rPr>
        <w:tab/>
      </w:r>
      <w:r w:rsidRPr="0031675F">
        <w:t>Automatic pipettes capable of delivering volumes ranging from 10 – 100 μL and 100 – 1000 μL with an assortment of high quality disposable pipette tips. It is standard protocol to check the accuracy of the pipettes at least once per week using a four decimal place analytical balance.</w:t>
      </w:r>
    </w:p>
    <w:p w14:paraId="6CC62752" w14:textId="77777777" w:rsidR="0031675F" w:rsidRPr="0031675F" w:rsidRDefault="0031675F" w:rsidP="0031675F">
      <w:pPr>
        <w:tabs>
          <w:tab w:val="left" w:pos="1482"/>
        </w:tabs>
        <w:ind w:left="1134" w:hanging="567"/>
      </w:pPr>
      <w:r w:rsidRPr="0031675F">
        <w:tab/>
      </w:r>
      <w:r w:rsidRPr="0031675F">
        <w:tab/>
      </w:r>
    </w:p>
    <w:p w14:paraId="08DF61AA" w14:textId="77777777" w:rsidR="0031675F" w:rsidRPr="0031675F" w:rsidRDefault="0031675F" w:rsidP="0031675F">
      <w:pPr>
        <w:ind w:left="1134" w:hanging="567"/>
      </w:pPr>
      <w:r w:rsidRPr="0031675F">
        <w:rPr>
          <w:b/>
        </w:rPr>
        <w:t>4.2.3</w:t>
      </w:r>
      <w:r w:rsidRPr="0031675F">
        <w:rPr>
          <w:b/>
        </w:rPr>
        <w:tab/>
      </w:r>
      <w:r w:rsidRPr="0031675F">
        <w:t>Analytical balance, with capability to measure 4 decimal places for preparing SSS. It is standard protocol to have this balanced serviced and calibrated once per year, then checked weekly with certified weights.</w:t>
      </w:r>
    </w:p>
    <w:p w14:paraId="7CB26762" w14:textId="77777777" w:rsidR="0031675F" w:rsidRPr="0031675F" w:rsidRDefault="0031675F" w:rsidP="0031675F">
      <w:pPr>
        <w:ind w:left="1134" w:hanging="567"/>
      </w:pPr>
    </w:p>
    <w:p w14:paraId="63351662" w14:textId="686DD5AD" w:rsidR="0031675F" w:rsidRPr="0031675F" w:rsidRDefault="0031675F" w:rsidP="0031675F">
      <w:pPr>
        <w:ind w:left="1134" w:hanging="567"/>
      </w:pPr>
      <w:r w:rsidRPr="0031675F">
        <w:rPr>
          <w:b/>
        </w:rPr>
        <w:t>4.2.4</w:t>
      </w:r>
      <w:r w:rsidRPr="0031675F">
        <w:tab/>
        <w:t>10</w:t>
      </w:r>
      <w:r w:rsidR="00E07360">
        <w:t xml:space="preserve"> </w:t>
      </w:r>
      <w:r w:rsidRPr="0031675F">
        <w:t>mL sterile high density polypropylene, glass volumetric flasks, and glass pipettes.</w:t>
      </w:r>
    </w:p>
    <w:p w14:paraId="06A88A24" w14:textId="77777777" w:rsidR="0031675F" w:rsidRPr="0031675F" w:rsidRDefault="0031675F" w:rsidP="0031675F">
      <w:pPr>
        <w:ind w:left="1080" w:hanging="540"/>
      </w:pPr>
    </w:p>
    <w:p w14:paraId="0AC84712" w14:textId="77777777" w:rsidR="0031675F" w:rsidRPr="0031675F" w:rsidRDefault="0031675F" w:rsidP="0031675F">
      <w:pPr>
        <w:ind w:left="1134" w:hanging="567"/>
      </w:pPr>
      <w:r w:rsidRPr="0031675F">
        <w:rPr>
          <w:b/>
        </w:rPr>
        <w:t>4.2.5</w:t>
      </w:r>
      <w:r w:rsidRPr="0031675F">
        <w:rPr>
          <w:b/>
        </w:rPr>
        <w:tab/>
      </w:r>
      <w:r w:rsidRPr="0031675F">
        <w:t>105° C drying oven.</w:t>
      </w:r>
    </w:p>
    <w:p w14:paraId="405B35A9" w14:textId="77777777" w:rsidR="0031675F" w:rsidRPr="0031675F" w:rsidRDefault="0031675F" w:rsidP="0031675F">
      <w:pPr>
        <w:ind w:left="1134" w:hanging="567"/>
      </w:pPr>
    </w:p>
    <w:p w14:paraId="0626701C" w14:textId="77777777" w:rsidR="0031675F" w:rsidRPr="0031675F" w:rsidRDefault="0031675F" w:rsidP="0031675F">
      <w:pPr>
        <w:ind w:left="1134" w:hanging="567"/>
      </w:pPr>
      <w:r w:rsidRPr="0031675F">
        <w:rPr>
          <w:b/>
        </w:rPr>
        <w:t>4.2.6</w:t>
      </w:r>
      <w:r w:rsidRPr="0031675F">
        <w:tab/>
        <w:t>Desiccator.</w:t>
      </w:r>
    </w:p>
    <w:p w14:paraId="0BA7A23D" w14:textId="77777777" w:rsidR="0031675F" w:rsidRPr="0031675F" w:rsidRDefault="0031675F" w:rsidP="0031675F">
      <w:pPr>
        <w:ind w:left="1134" w:hanging="567"/>
      </w:pPr>
    </w:p>
    <w:p w14:paraId="3907BD40" w14:textId="77777777" w:rsidR="0031675F" w:rsidRPr="0031675F" w:rsidRDefault="0031675F" w:rsidP="0031675F">
      <w:pPr>
        <w:ind w:left="1134" w:hanging="567"/>
      </w:pPr>
      <w:r w:rsidRPr="0031675F">
        <w:rPr>
          <w:b/>
        </w:rPr>
        <w:t>4.2.7</w:t>
      </w:r>
      <w:r w:rsidRPr="0031675F">
        <w:tab/>
        <w:t>Polysulphone sterile membrane filters with 0.45 μm nominal pore size. Plastic sterile terumo syringe.</w:t>
      </w:r>
    </w:p>
    <w:p w14:paraId="78F417D7" w14:textId="77777777" w:rsidR="0031675F" w:rsidRPr="0031675F" w:rsidRDefault="0031675F" w:rsidP="0031675F">
      <w:pPr>
        <w:ind w:left="1134" w:hanging="567"/>
      </w:pPr>
    </w:p>
    <w:p w14:paraId="474379E8" w14:textId="77777777" w:rsidR="0031675F" w:rsidRPr="0031675F" w:rsidRDefault="0031675F" w:rsidP="0031675F">
      <w:pPr>
        <w:ind w:left="1134" w:hanging="567"/>
      </w:pPr>
      <w:r w:rsidRPr="0031675F">
        <w:rPr>
          <w:b/>
        </w:rPr>
        <w:t>4.2.8</w:t>
      </w:r>
      <w:r w:rsidRPr="0031675F">
        <w:tab/>
        <w:t>A pH meter with glass electrode and a reference electrode. A set of standard buffer solutions for calibration of the pH meter.</w:t>
      </w:r>
    </w:p>
    <w:p w14:paraId="02A89B37" w14:textId="77777777" w:rsidR="0031675F" w:rsidRPr="0031675F" w:rsidRDefault="0031675F" w:rsidP="0031675F">
      <w:pPr>
        <w:ind w:left="540" w:hanging="540"/>
        <w:rPr>
          <w:b/>
        </w:rPr>
      </w:pPr>
    </w:p>
    <w:p w14:paraId="19574FF8" w14:textId="77777777" w:rsidR="0031675F" w:rsidRPr="0031675F" w:rsidRDefault="0031675F" w:rsidP="0031675F">
      <w:pPr>
        <w:shd w:val="clear" w:color="auto" w:fill="D9D9D9"/>
        <w:ind w:left="540" w:hanging="540"/>
        <w:rPr>
          <w:b/>
        </w:rPr>
      </w:pPr>
      <w:r w:rsidRPr="0031675F">
        <w:rPr>
          <w:b/>
        </w:rPr>
        <w:t xml:space="preserve">5.0 </w:t>
      </w:r>
      <w:r w:rsidRPr="0031675F">
        <w:rPr>
          <w:b/>
        </w:rPr>
        <w:tab/>
        <w:t>REAGENTS AND STANDARDS</w:t>
      </w:r>
    </w:p>
    <w:p w14:paraId="45A39F68" w14:textId="77777777" w:rsidR="0031675F" w:rsidRPr="0031675F" w:rsidRDefault="0031675F" w:rsidP="0031675F">
      <w:pPr>
        <w:ind w:left="709" w:hanging="1440"/>
        <w:rPr>
          <w:b/>
        </w:rPr>
      </w:pPr>
      <w:r w:rsidRPr="0031675F">
        <w:rPr>
          <w:b/>
        </w:rPr>
        <w:tab/>
      </w:r>
    </w:p>
    <w:p w14:paraId="3127401C" w14:textId="77777777" w:rsidR="0031675F" w:rsidRPr="0031675F" w:rsidRDefault="0031675F" w:rsidP="0031675F">
      <w:pPr>
        <w:ind w:left="540" w:hanging="540"/>
      </w:pPr>
      <w:r w:rsidRPr="0031675F">
        <w:rPr>
          <w:b/>
        </w:rPr>
        <w:t xml:space="preserve">5.1 </w:t>
      </w:r>
      <w:r w:rsidRPr="0031675F">
        <w:rPr>
          <w:b/>
        </w:rPr>
        <w:tab/>
        <w:t>Stock Reagent Solutions</w:t>
      </w:r>
      <w:r w:rsidRPr="0031675F">
        <w:t xml:space="preserve"> – all chemicals are analytical grade quality.</w:t>
      </w:r>
    </w:p>
    <w:p w14:paraId="49D33828" w14:textId="77777777" w:rsidR="0031675F" w:rsidRPr="0031675F" w:rsidRDefault="0031675F" w:rsidP="0031675F">
      <w:pPr>
        <w:ind w:left="540" w:hanging="540"/>
      </w:pPr>
    </w:p>
    <w:p w14:paraId="471E2308" w14:textId="3AEA47EB" w:rsidR="0031675F" w:rsidRPr="0031675F" w:rsidRDefault="0031675F" w:rsidP="0031675F">
      <w:pPr>
        <w:ind w:left="1134" w:hanging="567"/>
      </w:pPr>
      <w:r w:rsidRPr="0031675F">
        <w:rPr>
          <w:b/>
        </w:rPr>
        <w:t>5.1.1</w:t>
      </w:r>
      <w:r w:rsidRPr="0031675F">
        <w:rPr>
          <w:b/>
        </w:rPr>
        <w:tab/>
      </w:r>
      <w:r w:rsidRPr="0031675F">
        <w:t>Stock Sulfanilamide Solution – Dissolve 40g Sulfanilamide and 1g N-1-Naphthylethylenediamine dihydrochloride (C</w:t>
      </w:r>
      <w:r w:rsidRPr="0031675F">
        <w:rPr>
          <w:vertAlign w:val="subscript"/>
        </w:rPr>
        <w:t>12</w:t>
      </w:r>
      <w:r w:rsidRPr="0031675F">
        <w:t>H</w:t>
      </w:r>
      <w:r w:rsidRPr="0031675F">
        <w:rPr>
          <w:vertAlign w:val="subscript"/>
        </w:rPr>
        <w:t>16</w:t>
      </w:r>
      <w:r w:rsidRPr="0031675F">
        <w:t>C</w:t>
      </w:r>
      <w:r w:rsidRPr="0031675F">
        <w:rPr>
          <w:vertAlign w:val="subscript"/>
        </w:rPr>
        <w:t>l2</w:t>
      </w:r>
      <w:r w:rsidRPr="0031675F">
        <w:t>N</w:t>
      </w:r>
      <w:r w:rsidRPr="0031675F">
        <w:rPr>
          <w:vertAlign w:val="subscript"/>
        </w:rPr>
        <w:t>2</w:t>
      </w:r>
      <w:r w:rsidRPr="0031675F">
        <w:t xml:space="preserve"> (NEDD) FW 259.18) in 800</w:t>
      </w:r>
      <w:r w:rsidR="00E07360">
        <w:t xml:space="preserve"> </w:t>
      </w:r>
      <w:r w:rsidRPr="0031675F">
        <w:t>mL of reagent water. Add 100</w:t>
      </w:r>
      <w:r w:rsidR="00E07360">
        <w:t xml:space="preserve"> </w:t>
      </w:r>
      <w:r w:rsidRPr="0031675F">
        <w:t>mL ortho-phosphoric acid (H</w:t>
      </w:r>
      <w:r w:rsidRPr="0031675F">
        <w:rPr>
          <w:vertAlign w:val="subscript"/>
        </w:rPr>
        <w:t>3</w:t>
      </w:r>
      <w:r w:rsidRPr="0031675F">
        <w:t>PO</w:t>
      </w:r>
      <w:r w:rsidRPr="0031675F">
        <w:rPr>
          <w:vertAlign w:val="subscript"/>
        </w:rPr>
        <w:t xml:space="preserve">4 </w:t>
      </w:r>
      <w:r w:rsidRPr="0031675F">
        <w:t>85%) and make up to 1 L mark in a glass volumetric flask. Stir for one hour on a magnetic stirrer. Store refrigerated in an amber glass bottle. This solution is stable for 6 weeks.</w:t>
      </w:r>
    </w:p>
    <w:p w14:paraId="6A32D534" w14:textId="77777777" w:rsidR="0031675F" w:rsidRPr="0031675F" w:rsidRDefault="0031675F" w:rsidP="0031675F">
      <w:pPr>
        <w:ind w:left="1134" w:hanging="567"/>
      </w:pPr>
    </w:p>
    <w:p w14:paraId="3B2A09ED" w14:textId="0E7EC3FA" w:rsidR="0031675F" w:rsidRPr="0031675F" w:rsidRDefault="0031675F" w:rsidP="0031675F">
      <w:pPr>
        <w:ind w:left="1134" w:hanging="567"/>
      </w:pPr>
      <w:r w:rsidRPr="0031675F">
        <w:rPr>
          <w:b/>
        </w:rPr>
        <w:t xml:space="preserve">5.1.2 </w:t>
      </w:r>
      <w:r w:rsidRPr="0031675F">
        <w:rPr>
          <w:b/>
        </w:rPr>
        <w:tab/>
      </w:r>
      <w:r w:rsidRPr="0031675F">
        <w:t>Stock Nitrate Solution (200 mg N</w:t>
      </w:r>
      <w:r w:rsidR="00E07360">
        <w:t xml:space="preserve"> </w:t>
      </w:r>
      <w:r w:rsidRPr="0031675F">
        <w:t>L</w:t>
      </w:r>
      <w:r w:rsidR="00E07360" w:rsidRPr="00E07360">
        <w:rPr>
          <w:vertAlign w:val="superscript"/>
        </w:rPr>
        <w:t>-1</w:t>
      </w:r>
      <w:r w:rsidRPr="0031675F">
        <w:t>) – Quantitatively transfer 1.4436 g of pre-dried (105°C for 1 hour minimum) potassium nitrate (KNO</w:t>
      </w:r>
      <w:r w:rsidRPr="0031675F">
        <w:rPr>
          <w:vertAlign w:val="subscript"/>
        </w:rPr>
        <w:t>3</w:t>
      </w:r>
      <w:r w:rsidRPr="0031675F">
        <w:t xml:space="preserve"> FW 101.099) to a 1000</w:t>
      </w:r>
      <w:r w:rsidR="00E07360">
        <w:t xml:space="preserve"> </w:t>
      </w:r>
      <w:r w:rsidRPr="0031675F">
        <w:t>mL glass volumetric flask containing approximately 800 mL of reagent water and dissolve. Fill to the mark with Reagent water and refrigerate. This solution is stable for 2-3 weeks.</w:t>
      </w:r>
    </w:p>
    <w:p w14:paraId="56CBA15D" w14:textId="77777777" w:rsidR="0031675F" w:rsidRPr="0031675F" w:rsidRDefault="0031675F" w:rsidP="0031675F">
      <w:pPr>
        <w:ind w:left="1134" w:hanging="567"/>
      </w:pPr>
    </w:p>
    <w:p w14:paraId="5CFA4593" w14:textId="716AD9C3" w:rsidR="0031675F" w:rsidRPr="0031675F" w:rsidRDefault="0031675F" w:rsidP="0031675F">
      <w:pPr>
        <w:ind w:left="1134" w:hanging="567"/>
        <w:rPr>
          <w:b/>
        </w:rPr>
      </w:pPr>
      <w:r w:rsidRPr="0031675F">
        <w:rPr>
          <w:b/>
        </w:rPr>
        <w:t>5.1.3</w:t>
      </w:r>
      <w:r w:rsidRPr="0031675F">
        <w:rPr>
          <w:b/>
        </w:rPr>
        <w:tab/>
      </w:r>
      <w:r w:rsidRPr="0031675F">
        <w:t>Spiking Stock Solution (20 mg N</w:t>
      </w:r>
      <w:r w:rsidR="00E07360">
        <w:t xml:space="preserve"> </w:t>
      </w:r>
      <w:r w:rsidRPr="0031675F">
        <w:t>L</w:t>
      </w:r>
      <w:r w:rsidR="00E07360" w:rsidRPr="00E07360">
        <w:rPr>
          <w:vertAlign w:val="superscript"/>
        </w:rPr>
        <w:t>-1</w:t>
      </w:r>
      <w:r w:rsidRPr="0031675F">
        <w:t>) - Pipette 1 mL of the stock nitrate solution into a 10 mL Sarstedt tube and fill to the marked line with reagent water. Mix well. This solution should be made daily.</w:t>
      </w:r>
      <w:r w:rsidRPr="0031675F">
        <w:rPr>
          <w:b/>
        </w:rPr>
        <w:tab/>
      </w:r>
    </w:p>
    <w:p w14:paraId="084BFB9C" w14:textId="77777777" w:rsidR="0031675F" w:rsidRPr="0031675F" w:rsidRDefault="0031675F" w:rsidP="0031675F">
      <w:pPr>
        <w:ind w:left="1134" w:hanging="567"/>
      </w:pPr>
    </w:p>
    <w:p w14:paraId="66005607" w14:textId="148F324C" w:rsidR="0031675F" w:rsidRPr="0031675F" w:rsidRDefault="0031675F" w:rsidP="0031675F">
      <w:pPr>
        <w:ind w:left="1134" w:hanging="567"/>
      </w:pPr>
      <w:r w:rsidRPr="0031675F">
        <w:rPr>
          <w:b/>
        </w:rPr>
        <w:t xml:space="preserve">5.1.4 </w:t>
      </w:r>
      <w:r w:rsidRPr="0031675F">
        <w:rPr>
          <w:b/>
        </w:rPr>
        <w:tab/>
      </w:r>
      <w:r w:rsidRPr="0031675F">
        <w:t>Stock Nitrite Solution (50 mg N</w:t>
      </w:r>
      <w:r w:rsidR="00E07360">
        <w:t xml:space="preserve"> </w:t>
      </w:r>
      <w:r w:rsidRPr="0031675F">
        <w:t>L</w:t>
      </w:r>
      <w:r w:rsidR="00E07360" w:rsidRPr="00E07360">
        <w:rPr>
          <w:vertAlign w:val="superscript"/>
        </w:rPr>
        <w:t>-1</w:t>
      </w:r>
      <w:r w:rsidRPr="0031675F">
        <w:t>) - Quantitatively transfer 0.246 g of pre dried (105°C for 1 hour minimum) sodium nitrite (NaNO</w:t>
      </w:r>
      <w:r w:rsidRPr="0031675F">
        <w:rPr>
          <w:vertAlign w:val="subscript"/>
        </w:rPr>
        <w:t>2</w:t>
      </w:r>
      <w:r w:rsidRPr="0031675F">
        <w:t xml:space="preserve"> FW 68.99) to a 1000 mL glass volumetric flask containing approximately 800 mL of reagent water and dissolve. Fill to the mark with Reagent water and refrigerate. This solution is stable for 2-3 weeks.</w:t>
      </w:r>
    </w:p>
    <w:p w14:paraId="35F139E3" w14:textId="77777777" w:rsidR="0031675F" w:rsidRPr="0031675F" w:rsidRDefault="0031675F" w:rsidP="0031675F">
      <w:pPr>
        <w:ind w:left="1134" w:hanging="567"/>
      </w:pPr>
    </w:p>
    <w:p w14:paraId="02469029" w14:textId="2FD50333" w:rsidR="0031675F" w:rsidRPr="0031675F" w:rsidRDefault="0031675F" w:rsidP="0031675F">
      <w:pPr>
        <w:ind w:left="1134" w:hanging="567"/>
      </w:pPr>
      <w:r w:rsidRPr="0031675F">
        <w:rPr>
          <w:b/>
        </w:rPr>
        <w:t xml:space="preserve">5.1.5 </w:t>
      </w:r>
      <w:r w:rsidRPr="0031675F">
        <w:rPr>
          <w:b/>
        </w:rPr>
        <w:tab/>
      </w:r>
      <w:r w:rsidRPr="0031675F">
        <w:t>Ammonium Chloride Buffer – Dissolved 85</w:t>
      </w:r>
      <w:r w:rsidR="00E07360">
        <w:t xml:space="preserve"> </w:t>
      </w:r>
      <w:r w:rsidRPr="0031675F">
        <w:t>g of ammonium chloride (NH</w:t>
      </w:r>
      <w:r w:rsidRPr="0031675F">
        <w:rPr>
          <w:vertAlign w:val="subscript"/>
        </w:rPr>
        <w:t>4</w:t>
      </w:r>
      <w:r w:rsidRPr="0031675F">
        <w:t>CL FW 53.49) and 1 g of Ethylene-diamine – tetra-acetic acid (EDTA C</w:t>
      </w:r>
      <w:r w:rsidRPr="0031675F">
        <w:rPr>
          <w:vertAlign w:val="subscript"/>
        </w:rPr>
        <w:t>10</w:t>
      </w:r>
      <w:r w:rsidRPr="0031675F">
        <w:t>H</w:t>
      </w:r>
      <w:r w:rsidRPr="0031675F">
        <w:rPr>
          <w:vertAlign w:val="subscript"/>
        </w:rPr>
        <w:t>13</w:t>
      </w:r>
      <w:r w:rsidRPr="0031675F">
        <w:t>N</w:t>
      </w:r>
      <w:r w:rsidRPr="0031675F">
        <w:rPr>
          <w:vertAlign w:val="subscript"/>
        </w:rPr>
        <w:t>2</w:t>
      </w:r>
      <w:r w:rsidRPr="0031675F">
        <w:t>O</w:t>
      </w:r>
      <w:r w:rsidRPr="0031675F">
        <w:rPr>
          <w:vertAlign w:val="subscript"/>
        </w:rPr>
        <w:t>8</w:t>
      </w:r>
      <w:r w:rsidRPr="0031675F">
        <w:t>Na</w:t>
      </w:r>
      <w:r w:rsidRPr="0031675F">
        <w:rPr>
          <w:vertAlign w:val="subscript"/>
        </w:rPr>
        <w:t>3</w:t>
      </w:r>
      <w:r w:rsidRPr="0031675F">
        <w:t xml:space="preserve"> FW 358.2) in 800 mL of reagent water. Using a 6</w:t>
      </w:r>
      <w:r w:rsidR="00E07360">
        <w:t xml:space="preserve"> </w:t>
      </w:r>
      <w:r w:rsidRPr="0031675F">
        <w:t>N NaOH solution buffer the pH up till pH 8.5 is reached. Add Reagent water to reach the 1000 mL fill line and then store refrigerated in an amber glass bottle.</w:t>
      </w:r>
    </w:p>
    <w:p w14:paraId="68152E70" w14:textId="77777777" w:rsidR="0031675F" w:rsidRPr="0031675F" w:rsidRDefault="0031675F" w:rsidP="0031675F"/>
    <w:p w14:paraId="0FA36BB7" w14:textId="77777777" w:rsidR="0031675F" w:rsidRPr="0031675F" w:rsidRDefault="0031675F" w:rsidP="0031675F">
      <w:pPr>
        <w:keepNext/>
        <w:ind w:left="539" w:hanging="539"/>
      </w:pPr>
      <w:r w:rsidRPr="0031675F">
        <w:rPr>
          <w:b/>
        </w:rPr>
        <w:t xml:space="preserve">5.2 </w:t>
      </w:r>
      <w:r w:rsidRPr="0031675F">
        <w:rPr>
          <w:b/>
        </w:rPr>
        <w:tab/>
        <w:t>Working Reagents</w:t>
      </w:r>
    </w:p>
    <w:p w14:paraId="0B67FA9D" w14:textId="77777777" w:rsidR="0031675F" w:rsidRPr="0031675F" w:rsidRDefault="0031675F" w:rsidP="0031675F">
      <w:pPr>
        <w:keepNext/>
        <w:ind w:left="539" w:hanging="539"/>
      </w:pPr>
    </w:p>
    <w:p w14:paraId="2F06162E" w14:textId="77777777" w:rsidR="0031675F" w:rsidRPr="0031675F" w:rsidRDefault="0031675F" w:rsidP="0031675F">
      <w:pPr>
        <w:ind w:left="1134" w:hanging="567"/>
      </w:pPr>
      <w:r w:rsidRPr="0031675F">
        <w:rPr>
          <w:b/>
        </w:rPr>
        <w:t xml:space="preserve">5.2.1 </w:t>
      </w:r>
      <w:r w:rsidRPr="0031675F">
        <w:rPr>
          <w:b/>
        </w:rPr>
        <w:tab/>
      </w:r>
      <w:r w:rsidRPr="0031675F">
        <w:t>Triton X 100 Start up Solution – add 1 mL of Triton X 100 surfactant to 500 mL of reagent water and mix gently.</w:t>
      </w:r>
    </w:p>
    <w:p w14:paraId="178D9E95" w14:textId="77777777" w:rsidR="0031675F" w:rsidRPr="0031675F" w:rsidRDefault="0031675F" w:rsidP="0031675F">
      <w:pPr>
        <w:ind w:left="1134" w:hanging="567"/>
      </w:pPr>
    </w:p>
    <w:p w14:paraId="2F0972A0" w14:textId="77777777" w:rsidR="0031675F" w:rsidRPr="0031675F" w:rsidRDefault="0031675F" w:rsidP="0031675F">
      <w:pPr>
        <w:ind w:left="1134" w:hanging="567"/>
      </w:pPr>
      <w:r w:rsidRPr="0031675F">
        <w:rPr>
          <w:b/>
        </w:rPr>
        <w:t xml:space="preserve">5.2.2 </w:t>
      </w:r>
      <w:r w:rsidRPr="0031675F">
        <w:rPr>
          <w:b/>
        </w:rPr>
        <w:tab/>
      </w:r>
      <w:r w:rsidRPr="0031675F">
        <w:t>Working Sulfanilamide Solution – add 1 mL of triton X 100 to 200 mL of the stock sulfanilamide solution in a glass amber bottle and shake gently.</w:t>
      </w:r>
    </w:p>
    <w:p w14:paraId="187F3C51" w14:textId="77777777" w:rsidR="0031675F" w:rsidRPr="0031675F" w:rsidRDefault="0031675F" w:rsidP="0031675F">
      <w:pPr>
        <w:ind w:left="1134" w:hanging="567"/>
      </w:pPr>
    </w:p>
    <w:p w14:paraId="6439C13F" w14:textId="77777777" w:rsidR="0031675F" w:rsidRPr="0031675F" w:rsidRDefault="0031675F" w:rsidP="0031675F">
      <w:pPr>
        <w:ind w:left="1134" w:hanging="567"/>
      </w:pPr>
      <w:r w:rsidRPr="0031675F">
        <w:rPr>
          <w:b/>
        </w:rPr>
        <w:t xml:space="preserve">5.2.3 </w:t>
      </w:r>
      <w:r w:rsidRPr="0031675F">
        <w:rPr>
          <w:b/>
        </w:rPr>
        <w:tab/>
      </w:r>
      <w:r w:rsidRPr="0031675F">
        <w:t>Ammonium Chloride Buffer – Mix a 1:3 ratio of ammonium chloride buffer to Reagent water in a 1L amber glass bottle and add 2 mL of Triton X 100.</w:t>
      </w:r>
    </w:p>
    <w:p w14:paraId="16B77537" w14:textId="77777777" w:rsidR="0031675F" w:rsidRPr="0031675F" w:rsidRDefault="0031675F" w:rsidP="0031675F">
      <w:pPr>
        <w:ind w:left="1134" w:hanging="567"/>
      </w:pPr>
    </w:p>
    <w:p w14:paraId="171884F7" w14:textId="77777777" w:rsidR="0031675F" w:rsidRPr="0031675F" w:rsidRDefault="0031675F" w:rsidP="0031675F">
      <w:pPr>
        <w:ind w:left="1134" w:hanging="567"/>
      </w:pPr>
      <w:r w:rsidRPr="0031675F">
        <w:rPr>
          <w:b/>
        </w:rPr>
        <w:t>5.2.4</w:t>
      </w:r>
      <w:r w:rsidRPr="0031675F">
        <w:rPr>
          <w:b/>
        </w:rPr>
        <w:tab/>
      </w:r>
      <w:r w:rsidRPr="0031675F">
        <w:t>Copper Sulfate Solution (2%) – Dissolve 20 g of copper sulfate (CuSO</w:t>
      </w:r>
      <w:r w:rsidRPr="0031675F">
        <w:rPr>
          <w:vertAlign w:val="subscript"/>
        </w:rPr>
        <w:t>4</w:t>
      </w:r>
      <w:r w:rsidRPr="0031675F">
        <w:t>.5H</w:t>
      </w:r>
      <w:r w:rsidRPr="0031675F">
        <w:rPr>
          <w:vertAlign w:val="subscript"/>
        </w:rPr>
        <w:t>2</w:t>
      </w:r>
      <w:r w:rsidRPr="0031675F">
        <w:t>O, FW 249.61) in 1 L of reagent water.</w:t>
      </w:r>
    </w:p>
    <w:p w14:paraId="22B1C43C" w14:textId="77777777" w:rsidR="0031675F" w:rsidRPr="0031675F" w:rsidRDefault="0031675F" w:rsidP="0031675F">
      <w:pPr>
        <w:ind w:left="1134" w:hanging="567"/>
      </w:pPr>
    </w:p>
    <w:p w14:paraId="18C1F6BC" w14:textId="19E8985E" w:rsidR="0031675F" w:rsidRPr="0031675F" w:rsidRDefault="0031675F" w:rsidP="0031675F">
      <w:pPr>
        <w:ind w:left="1134" w:hanging="567"/>
      </w:pPr>
      <w:r w:rsidRPr="0031675F">
        <w:rPr>
          <w:b/>
        </w:rPr>
        <w:t xml:space="preserve">5.2.5 </w:t>
      </w:r>
      <w:r w:rsidRPr="0031675F">
        <w:rPr>
          <w:b/>
        </w:rPr>
        <w:tab/>
      </w:r>
      <w:r w:rsidRPr="0031675F">
        <w:t>Colored SYNC Peak Solution – Use either a high nitrate standard that will obtain a peak between 25 to 100 percent full scale. Or add 50 µL of red food coloring solution to 1000</w:t>
      </w:r>
      <w:r w:rsidR="00E07360">
        <w:t xml:space="preserve"> </w:t>
      </w:r>
      <w:r w:rsidRPr="0031675F">
        <w:t>mL and mix thoroughly.</w:t>
      </w:r>
    </w:p>
    <w:p w14:paraId="642341F7" w14:textId="77777777" w:rsidR="0031675F" w:rsidRPr="0031675F" w:rsidRDefault="0031675F" w:rsidP="0031675F">
      <w:pPr>
        <w:ind w:left="1134" w:hanging="567"/>
      </w:pPr>
    </w:p>
    <w:p w14:paraId="37A69F5C" w14:textId="77777777" w:rsidR="0031675F" w:rsidRPr="0031675F" w:rsidRDefault="0031675F" w:rsidP="0031675F">
      <w:pPr>
        <w:ind w:left="1134" w:hanging="567"/>
      </w:pPr>
      <w:r w:rsidRPr="0031675F">
        <w:rPr>
          <w:b/>
        </w:rPr>
        <w:t xml:space="preserve">5.2.6 </w:t>
      </w:r>
      <w:r w:rsidRPr="0031675F">
        <w:rPr>
          <w:b/>
        </w:rPr>
        <w:tab/>
      </w:r>
      <w:r w:rsidRPr="0031675F">
        <w:t>Calibration Standards –</w:t>
      </w:r>
      <w:r w:rsidRPr="0031675F">
        <w:rPr>
          <w:b/>
        </w:rPr>
        <w:t xml:space="preserve"> </w:t>
      </w:r>
      <w:r w:rsidRPr="0031675F">
        <w:t>Prepare a series of calibration standards (CAL) by diluting a suitable volume of the stock standard solution to 100 mL volumetric flask using reagent water. Prepare these standards daily. The concentration range of calibration standards should bracket the expected concentrations of samples and not exceed two orders of magnitude. At least five calibration standards should be used to construct the calibration curve.</w:t>
      </w:r>
    </w:p>
    <w:p w14:paraId="0E3C6537" w14:textId="77777777" w:rsidR="0031675F" w:rsidRPr="0031675F" w:rsidRDefault="0031675F" w:rsidP="0031675F"/>
    <w:p w14:paraId="3E03ABD3" w14:textId="77777777" w:rsidR="0031675F" w:rsidRPr="0031675F" w:rsidRDefault="0031675F" w:rsidP="0031675F">
      <w:pPr>
        <w:ind w:left="540" w:hanging="540"/>
      </w:pPr>
      <w:r w:rsidRPr="0031675F">
        <w:rPr>
          <w:b/>
        </w:rPr>
        <w:t xml:space="preserve">5.3 </w:t>
      </w:r>
      <w:r w:rsidRPr="0031675F">
        <w:rPr>
          <w:b/>
        </w:rPr>
        <w:tab/>
        <w:t>Open Tubular Cadmium Reactor (OTCR)</w:t>
      </w:r>
    </w:p>
    <w:p w14:paraId="2DE38403" w14:textId="77777777" w:rsidR="0031675F" w:rsidRPr="0031675F" w:rsidRDefault="0031675F" w:rsidP="0031675F">
      <w:pPr>
        <w:ind w:left="540" w:hanging="540"/>
      </w:pPr>
    </w:p>
    <w:p w14:paraId="0C4C3013" w14:textId="77777777" w:rsidR="0031675F" w:rsidRPr="0031675F" w:rsidRDefault="0031675F" w:rsidP="0031675F">
      <w:pPr>
        <w:ind w:left="1134" w:hanging="567"/>
      </w:pPr>
      <w:r w:rsidRPr="0031675F">
        <w:rPr>
          <w:b/>
        </w:rPr>
        <w:t xml:space="preserve">5.3.1 </w:t>
      </w:r>
      <w:r w:rsidRPr="0031675F">
        <w:rPr>
          <w:b/>
        </w:rPr>
        <w:tab/>
      </w:r>
      <w:r w:rsidRPr="0031675F">
        <w:t>Open Tubular Cadmium Reactor – nitrate in the samples is reduced to nitrite by either a commercial open tubular cadmium reactor or a laboratory packed copper coated cadmium reduction column. If an OTCR is being employed the following procedure should be used to activate it:</w:t>
      </w:r>
    </w:p>
    <w:p w14:paraId="61DCF93B" w14:textId="77777777" w:rsidR="0031675F" w:rsidRPr="0031675F" w:rsidRDefault="0031675F" w:rsidP="0031675F">
      <w:pPr>
        <w:ind w:left="1080" w:hanging="540"/>
      </w:pPr>
    </w:p>
    <w:p w14:paraId="75522C57" w14:textId="14D01E8D" w:rsidR="0031675F" w:rsidRPr="0031675F" w:rsidRDefault="0031675F" w:rsidP="0031675F">
      <w:pPr>
        <w:ind w:left="1134" w:hanging="567"/>
      </w:pPr>
      <w:r w:rsidRPr="0031675F">
        <w:tab/>
        <w:t>Prepare reagent water, 10% HCl solution and 2% CuSO</w:t>
      </w:r>
      <w:r w:rsidRPr="0031675F">
        <w:rPr>
          <w:vertAlign w:val="subscript"/>
        </w:rPr>
        <w:t>4</w:t>
      </w:r>
      <w:r w:rsidRPr="0031675F">
        <w:t xml:space="preserve"> solution in three 60 mL syringes with unions. Firstly flush through 10</w:t>
      </w:r>
      <w:r w:rsidR="00E07360">
        <w:t xml:space="preserve"> </w:t>
      </w:r>
      <w:r w:rsidRPr="0031675F">
        <w:t>mL of reagent water, then flush with 10 mL of 10% HCl in 3 seconds and follow immediately with 30</w:t>
      </w:r>
      <w:r w:rsidR="00E07360">
        <w:t xml:space="preserve"> </w:t>
      </w:r>
      <w:r w:rsidRPr="0031675F">
        <w:t>mL of reagent water. Slowly flush 20</w:t>
      </w:r>
      <w:r w:rsidR="00E07360">
        <w:t xml:space="preserve"> </w:t>
      </w:r>
      <w:r w:rsidRPr="0031675F">
        <w:t>mL CuSO</w:t>
      </w:r>
      <w:r w:rsidRPr="0031675F">
        <w:rPr>
          <w:vertAlign w:val="subscript"/>
        </w:rPr>
        <w:t xml:space="preserve">4 </w:t>
      </w:r>
      <w:r w:rsidRPr="0031675F">
        <w:t>solution until a large amount of black precipitated copper comes out of the OTCR then stop flushing. Finally flush the OTCR with reagent water and then fill with ammonium chloride buffer for short term storage.</w:t>
      </w:r>
    </w:p>
    <w:p w14:paraId="6C7BF2A0" w14:textId="77777777" w:rsidR="0031675F" w:rsidRPr="0031675F" w:rsidRDefault="0031675F" w:rsidP="0031675F">
      <w:pPr>
        <w:ind w:left="1440" w:hanging="731"/>
      </w:pPr>
    </w:p>
    <w:p w14:paraId="6A17C90D" w14:textId="77777777" w:rsidR="0031675F" w:rsidRPr="0031675F" w:rsidRDefault="0031675F" w:rsidP="0031675F">
      <w:pPr>
        <w:shd w:val="clear" w:color="auto" w:fill="D9D9D9"/>
        <w:ind w:left="540" w:hanging="540"/>
        <w:rPr>
          <w:b/>
        </w:rPr>
      </w:pPr>
      <w:r w:rsidRPr="0031675F">
        <w:rPr>
          <w:b/>
        </w:rPr>
        <w:t xml:space="preserve">6.0 </w:t>
      </w:r>
      <w:r w:rsidRPr="0031675F">
        <w:rPr>
          <w:b/>
        </w:rPr>
        <w:tab/>
        <w:t>SAMPLE COLLECTION, PRESERVATION AND STORAGE</w:t>
      </w:r>
    </w:p>
    <w:p w14:paraId="2D88EB57" w14:textId="77777777" w:rsidR="0031675F" w:rsidRPr="0031675F" w:rsidRDefault="0031675F" w:rsidP="0031675F">
      <w:pPr>
        <w:rPr>
          <w:b/>
        </w:rPr>
      </w:pPr>
      <w:r w:rsidRPr="0031675F">
        <w:rPr>
          <w:b/>
        </w:rPr>
        <w:tab/>
      </w:r>
    </w:p>
    <w:p w14:paraId="78B9267E" w14:textId="77777777" w:rsidR="0031675F" w:rsidRPr="0031675F" w:rsidRDefault="0031675F" w:rsidP="0031675F">
      <w:pPr>
        <w:ind w:left="540" w:hanging="540"/>
      </w:pPr>
      <w:r w:rsidRPr="0031675F">
        <w:rPr>
          <w:b/>
        </w:rPr>
        <w:t>6.1</w:t>
      </w:r>
      <w:r w:rsidRPr="0031675F">
        <w:t xml:space="preserve"> </w:t>
      </w:r>
      <w:r w:rsidRPr="0031675F">
        <w:tab/>
      </w:r>
      <w:r w:rsidRPr="0031675F">
        <w:rPr>
          <w:b/>
        </w:rPr>
        <w:t>Sample Collection</w:t>
      </w:r>
    </w:p>
    <w:p w14:paraId="7206B152" w14:textId="77777777" w:rsidR="0031675F" w:rsidRPr="0031675F" w:rsidRDefault="0031675F" w:rsidP="0031675F">
      <w:pPr>
        <w:ind w:left="540" w:hanging="540"/>
        <w:rPr>
          <w:b/>
        </w:rPr>
      </w:pPr>
    </w:p>
    <w:p w14:paraId="05CD993E" w14:textId="77777777" w:rsidR="0031675F" w:rsidRPr="0031675F" w:rsidRDefault="0031675F" w:rsidP="0031675F">
      <w:pPr>
        <w:ind w:left="1134" w:hanging="567"/>
      </w:pPr>
      <w:r w:rsidRPr="0031675F">
        <w:rPr>
          <w:b/>
        </w:rPr>
        <w:t>6.1.1</w:t>
      </w:r>
      <w:r w:rsidRPr="0031675F">
        <w:rPr>
          <w:b/>
        </w:rPr>
        <w:tab/>
      </w:r>
      <w:r w:rsidRPr="0031675F">
        <w:t>Samples collected for nutrient analyses from estuarine, coastal waters, streams and lakes are usually collected by one of two methods: either a peristaltic pump or grab sample.</w:t>
      </w:r>
    </w:p>
    <w:p w14:paraId="3B7C9C24" w14:textId="77777777" w:rsidR="0031675F" w:rsidRPr="0031675F" w:rsidRDefault="0031675F" w:rsidP="0031675F">
      <w:pPr>
        <w:ind w:left="1134" w:hanging="567"/>
        <w:rPr>
          <w:b/>
        </w:rPr>
      </w:pPr>
    </w:p>
    <w:p w14:paraId="367EE8E5" w14:textId="77777777" w:rsidR="0031675F" w:rsidRPr="0031675F" w:rsidRDefault="0031675F" w:rsidP="0031675F">
      <w:pPr>
        <w:ind w:left="1134" w:hanging="567"/>
      </w:pPr>
      <w:r w:rsidRPr="0031675F">
        <w:rPr>
          <w:b/>
        </w:rPr>
        <w:t xml:space="preserve">6.1.2 </w:t>
      </w:r>
      <w:r w:rsidRPr="0031675F">
        <w:rPr>
          <w:b/>
        </w:rPr>
        <w:tab/>
      </w:r>
      <w:r w:rsidRPr="0031675F">
        <w:t>A peristaltic pump has a length of tube attached that is weighted down so that particular depths can be sampled if required. A grab sample is obtained using a hand held sampling pole with 1 L polypropylene bottle which is filled sub surface.</w:t>
      </w:r>
    </w:p>
    <w:p w14:paraId="3DB96E89" w14:textId="77777777" w:rsidR="0031675F" w:rsidRPr="0031675F" w:rsidRDefault="0031675F" w:rsidP="0031675F">
      <w:pPr>
        <w:ind w:left="1134" w:hanging="567"/>
      </w:pPr>
    </w:p>
    <w:p w14:paraId="0DD25357" w14:textId="77777777" w:rsidR="0031675F" w:rsidRPr="0031675F" w:rsidRDefault="0031675F" w:rsidP="0031675F">
      <w:pPr>
        <w:ind w:left="1134" w:hanging="567"/>
      </w:pPr>
      <w:r w:rsidRPr="0031675F">
        <w:rPr>
          <w:b/>
        </w:rPr>
        <w:t>6.1.4</w:t>
      </w:r>
      <w:r w:rsidRPr="0031675F">
        <w:t xml:space="preserve"> </w:t>
      </w:r>
      <w:r w:rsidRPr="0031675F">
        <w:tab/>
        <w:t>The filterable nutrient component is filtered immediately at the point of collection using a Terumo sterile 60 mL syringe and 0.45 µm polysulphone Mini-Sart filter purchased from Sartorius (Cat #165333K).</w:t>
      </w:r>
    </w:p>
    <w:p w14:paraId="58D3F4B7" w14:textId="77777777" w:rsidR="0031675F" w:rsidRPr="0031675F" w:rsidRDefault="0031675F" w:rsidP="0031675F"/>
    <w:p w14:paraId="565FEE97" w14:textId="77777777" w:rsidR="0031675F" w:rsidRPr="0031675F" w:rsidRDefault="0031675F" w:rsidP="0031675F">
      <w:pPr>
        <w:ind w:left="540" w:hanging="540"/>
      </w:pPr>
      <w:r w:rsidRPr="0031675F">
        <w:rPr>
          <w:b/>
        </w:rPr>
        <w:t>6.2</w:t>
      </w:r>
      <w:r w:rsidRPr="0031675F">
        <w:t xml:space="preserve"> </w:t>
      </w:r>
      <w:r w:rsidRPr="0031675F">
        <w:tab/>
      </w:r>
      <w:r w:rsidRPr="0031675F">
        <w:rPr>
          <w:b/>
        </w:rPr>
        <w:t>Sample Preservation</w:t>
      </w:r>
    </w:p>
    <w:p w14:paraId="3950F617" w14:textId="77777777" w:rsidR="0031675F" w:rsidRPr="0031675F" w:rsidRDefault="0031675F" w:rsidP="0031675F">
      <w:pPr>
        <w:ind w:left="540" w:hanging="540"/>
        <w:rPr>
          <w:b/>
        </w:rPr>
      </w:pPr>
    </w:p>
    <w:p w14:paraId="71FDA506" w14:textId="77777777" w:rsidR="0031675F" w:rsidRPr="0031675F" w:rsidRDefault="0031675F" w:rsidP="0031675F">
      <w:pPr>
        <w:ind w:left="1134" w:hanging="567"/>
      </w:pPr>
      <w:r w:rsidRPr="0031675F">
        <w:rPr>
          <w:b/>
        </w:rPr>
        <w:t>6.2.1</w:t>
      </w:r>
      <w:r w:rsidRPr="0031675F">
        <w:t xml:space="preserve"> </w:t>
      </w:r>
      <w:r w:rsidRPr="0031675F">
        <w:tab/>
        <w:t>After collection and filtration the samples should either be analysed immediately or if this is not possible frozen at -18°C until analysis can be performed.</w:t>
      </w:r>
    </w:p>
    <w:p w14:paraId="2AB0BAC3" w14:textId="77777777" w:rsidR="0031675F" w:rsidRPr="0031675F" w:rsidRDefault="0031675F" w:rsidP="0031675F"/>
    <w:p w14:paraId="58F98DC0" w14:textId="77777777" w:rsidR="0031675F" w:rsidRPr="0031675F" w:rsidRDefault="0031675F" w:rsidP="0031675F">
      <w:pPr>
        <w:ind w:left="540" w:hanging="540"/>
      </w:pPr>
      <w:r w:rsidRPr="0031675F">
        <w:rPr>
          <w:b/>
        </w:rPr>
        <w:br w:type="page"/>
        <w:t>6.3</w:t>
      </w:r>
      <w:r w:rsidRPr="0031675F">
        <w:t xml:space="preserve"> </w:t>
      </w:r>
      <w:r w:rsidRPr="0031675F">
        <w:tab/>
      </w:r>
      <w:r w:rsidRPr="0031675F">
        <w:rPr>
          <w:b/>
        </w:rPr>
        <w:t>Sample Storage</w:t>
      </w:r>
    </w:p>
    <w:p w14:paraId="78BFE074" w14:textId="77777777" w:rsidR="0031675F" w:rsidRPr="0031675F" w:rsidRDefault="0031675F" w:rsidP="0031675F">
      <w:pPr>
        <w:ind w:left="540" w:hanging="540"/>
      </w:pPr>
    </w:p>
    <w:p w14:paraId="7412BCF2" w14:textId="77777777" w:rsidR="0031675F" w:rsidRPr="0031675F" w:rsidRDefault="0031675F" w:rsidP="0031675F">
      <w:pPr>
        <w:ind w:left="1134" w:hanging="567"/>
      </w:pPr>
      <w:r w:rsidRPr="0031675F">
        <w:rPr>
          <w:b/>
        </w:rPr>
        <w:t>6.3.1</w:t>
      </w:r>
      <w:r w:rsidRPr="0031675F">
        <w:t xml:space="preserve"> </w:t>
      </w:r>
      <w:r w:rsidRPr="0031675F">
        <w:tab/>
        <w:t>Samples should be stored in a freezer that contains nutrient samples only. If possible samples should further be stored into there relevant matrix and concentration to further minimise any possible contamination e.g. store low level marine samples away from effluent samples.</w:t>
      </w:r>
    </w:p>
    <w:p w14:paraId="0DE78508" w14:textId="77777777" w:rsidR="0031675F" w:rsidRPr="0031675F" w:rsidRDefault="0031675F" w:rsidP="0031675F">
      <w:pPr>
        <w:ind w:left="709" w:hanging="709"/>
        <w:rPr>
          <w:b/>
        </w:rPr>
      </w:pPr>
    </w:p>
    <w:p w14:paraId="05E733CA" w14:textId="77777777" w:rsidR="0031675F" w:rsidRPr="0031675F" w:rsidRDefault="0031675F" w:rsidP="0031675F">
      <w:pPr>
        <w:shd w:val="clear" w:color="auto" w:fill="D9D9D9"/>
        <w:ind w:left="540" w:hanging="540"/>
        <w:rPr>
          <w:b/>
        </w:rPr>
      </w:pPr>
      <w:r w:rsidRPr="0031675F">
        <w:rPr>
          <w:b/>
        </w:rPr>
        <w:t xml:space="preserve">7.0 </w:t>
      </w:r>
      <w:r w:rsidRPr="0031675F">
        <w:rPr>
          <w:b/>
        </w:rPr>
        <w:tab/>
        <w:t>QUALITY CONTROL</w:t>
      </w:r>
    </w:p>
    <w:p w14:paraId="11BA827C" w14:textId="77777777" w:rsidR="0031675F" w:rsidRPr="0031675F" w:rsidRDefault="0031675F" w:rsidP="0031675F">
      <w:pPr>
        <w:ind w:left="709" w:hanging="709"/>
        <w:rPr>
          <w:b/>
        </w:rPr>
      </w:pPr>
    </w:p>
    <w:p w14:paraId="3B2C8811" w14:textId="77777777" w:rsidR="0031675F" w:rsidRPr="0031675F" w:rsidRDefault="0031675F" w:rsidP="0031675F">
      <w:pPr>
        <w:ind w:left="567" w:hanging="567"/>
      </w:pPr>
      <w:r w:rsidRPr="0031675F">
        <w:rPr>
          <w:b/>
        </w:rPr>
        <w:t xml:space="preserve">7.1 </w:t>
      </w:r>
      <w:r w:rsidRPr="0031675F">
        <w:rPr>
          <w:b/>
        </w:rPr>
        <w:tab/>
      </w:r>
      <w:r w:rsidRPr="0031675F">
        <w:t xml:space="preserve">The minimum requirements of this program is to demonstrate performance using in house reference materials (IHRM), duplicate analyses, spiking samples, and the use of certified reference material (CRM’s) purchased from an external source. Also, all vials used for sampling,  the digestion procedure, and syringe filters (if used) are subject to rigorous quality control checks before being utilised. </w:t>
      </w:r>
    </w:p>
    <w:p w14:paraId="366CD6C8" w14:textId="77777777" w:rsidR="0031675F" w:rsidRPr="0031675F" w:rsidRDefault="0031675F" w:rsidP="0031675F"/>
    <w:p w14:paraId="087891FF" w14:textId="77777777" w:rsidR="0031675F" w:rsidRPr="0031675F" w:rsidRDefault="0031675F" w:rsidP="0031675F">
      <w:pPr>
        <w:ind w:left="540"/>
      </w:pPr>
      <w:r w:rsidRPr="0031675F">
        <w:t xml:space="preserve">Additionally, to participate in inter collaborative nutrient trials at least once per year e.g. National Low Level Nutrient Collaborative Trials (NLLNCT). </w:t>
      </w:r>
    </w:p>
    <w:p w14:paraId="1485A73A" w14:textId="77777777" w:rsidR="0031675F" w:rsidRPr="0031675F" w:rsidRDefault="0031675F" w:rsidP="0031675F">
      <w:pPr>
        <w:ind w:left="709"/>
      </w:pPr>
    </w:p>
    <w:p w14:paraId="666D0966" w14:textId="77777777" w:rsidR="0031675F" w:rsidRPr="0031675F" w:rsidRDefault="0031675F" w:rsidP="0031675F">
      <w:pPr>
        <w:ind w:left="540" w:hanging="540"/>
        <w:rPr>
          <w:b/>
        </w:rPr>
      </w:pPr>
      <w:r w:rsidRPr="0031675F">
        <w:rPr>
          <w:b/>
        </w:rPr>
        <w:t>7.2</w:t>
      </w:r>
      <w:r w:rsidRPr="0031675F">
        <w:tab/>
      </w:r>
      <w:r w:rsidRPr="0031675F">
        <w:rPr>
          <w:b/>
        </w:rPr>
        <w:t>In House Reference Material (IHRM)</w:t>
      </w:r>
    </w:p>
    <w:p w14:paraId="000E8A24" w14:textId="77777777" w:rsidR="0031675F" w:rsidRPr="0031675F" w:rsidRDefault="0031675F" w:rsidP="0031675F">
      <w:pPr>
        <w:ind w:left="540" w:hanging="540"/>
        <w:rPr>
          <w:b/>
        </w:rPr>
      </w:pPr>
    </w:p>
    <w:p w14:paraId="48D632C3" w14:textId="71828589" w:rsidR="0031675F" w:rsidRPr="0031675F" w:rsidRDefault="0031675F" w:rsidP="0031675F">
      <w:pPr>
        <w:ind w:left="1134" w:hanging="567"/>
      </w:pPr>
      <w:r w:rsidRPr="0031675F">
        <w:rPr>
          <w:b/>
        </w:rPr>
        <w:t>7.2.1</w:t>
      </w:r>
      <w:r w:rsidRPr="0031675F">
        <w:t xml:space="preserve"> </w:t>
      </w:r>
      <w:r w:rsidRPr="0031675F">
        <w:tab/>
        <w:t>A 1000 µg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nitrite standard is made up from the stock standard solution (SSS). This standard is used to assess the efficiency of the OTCR.</w:t>
      </w:r>
    </w:p>
    <w:p w14:paraId="5C6638B5" w14:textId="77777777" w:rsidR="0031675F" w:rsidRPr="0031675F" w:rsidRDefault="0031675F" w:rsidP="0031675F">
      <w:pPr>
        <w:ind w:left="1134" w:hanging="567"/>
      </w:pPr>
      <w:r w:rsidRPr="0031675F">
        <w:br/>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67EA4919" w14:textId="77777777" w:rsidTr="00B00729">
        <w:trPr>
          <w:jc w:val="center"/>
        </w:trPr>
        <w:tc>
          <w:tcPr>
            <w:tcW w:w="2646" w:type="dxa"/>
            <w:vAlign w:val="center"/>
          </w:tcPr>
          <w:p w14:paraId="589A655F" w14:textId="77777777" w:rsidR="0031675F" w:rsidRPr="0031675F" w:rsidRDefault="0031675F" w:rsidP="0031675F">
            <w:pPr>
              <w:jc w:val="center"/>
            </w:pPr>
            <w:r w:rsidRPr="0031675F">
              <w:t>Stock Nitrite Solution (mL)</w:t>
            </w:r>
          </w:p>
        </w:tc>
        <w:tc>
          <w:tcPr>
            <w:tcW w:w="2646" w:type="dxa"/>
            <w:vAlign w:val="center"/>
          </w:tcPr>
          <w:p w14:paraId="362FE3C0" w14:textId="77777777" w:rsidR="0031675F" w:rsidRPr="0031675F" w:rsidRDefault="0031675F" w:rsidP="0031675F">
            <w:pPr>
              <w:jc w:val="center"/>
            </w:pPr>
            <w:r w:rsidRPr="0031675F">
              <w:t>Size Volumetric Flask (mL)</w:t>
            </w:r>
          </w:p>
        </w:tc>
        <w:tc>
          <w:tcPr>
            <w:tcW w:w="2646" w:type="dxa"/>
            <w:vAlign w:val="center"/>
          </w:tcPr>
          <w:p w14:paraId="6641085A" w14:textId="69FA049A" w:rsidR="0031675F" w:rsidRPr="0031675F" w:rsidRDefault="0031675F" w:rsidP="00E07360">
            <w:pPr>
              <w:jc w:val="center"/>
            </w:pPr>
            <w:r w:rsidRPr="0031675F">
              <w:t>Calculated Concentration (µg N</w:t>
            </w:r>
            <w:r w:rsidR="00E07360">
              <w:t xml:space="preserve"> </w:t>
            </w:r>
            <w:r w:rsidRPr="0031675F">
              <w:t>L</w:t>
            </w:r>
            <w:r w:rsidR="00E07360" w:rsidRPr="00E07360">
              <w:rPr>
                <w:vertAlign w:val="superscript"/>
              </w:rPr>
              <w:t>-1</w:t>
            </w:r>
            <w:r w:rsidRPr="0031675F">
              <w:t>)</w:t>
            </w:r>
          </w:p>
        </w:tc>
      </w:tr>
      <w:tr w:rsidR="0031675F" w:rsidRPr="0031675F" w14:paraId="49F11AA6" w14:textId="77777777" w:rsidTr="00B00729">
        <w:trPr>
          <w:trHeight w:val="503"/>
          <w:jc w:val="center"/>
        </w:trPr>
        <w:tc>
          <w:tcPr>
            <w:tcW w:w="2646" w:type="dxa"/>
            <w:vAlign w:val="center"/>
          </w:tcPr>
          <w:p w14:paraId="22032D35" w14:textId="77777777" w:rsidR="0031675F" w:rsidRPr="0031675F" w:rsidRDefault="0031675F" w:rsidP="0031675F">
            <w:pPr>
              <w:jc w:val="center"/>
            </w:pPr>
            <w:r w:rsidRPr="0031675F">
              <w:t>2</w:t>
            </w:r>
          </w:p>
        </w:tc>
        <w:tc>
          <w:tcPr>
            <w:tcW w:w="2646" w:type="dxa"/>
            <w:vAlign w:val="center"/>
          </w:tcPr>
          <w:p w14:paraId="6EEA1E05" w14:textId="77777777" w:rsidR="0031675F" w:rsidRPr="0031675F" w:rsidRDefault="0031675F" w:rsidP="0031675F">
            <w:pPr>
              <w:jc w:val="center"/>
            </w:pPr>
            <w:r w:rsidRPr="0031675F">
              <w:t>100</w:t>
            </w:r>
          </w:p>
        </w:tc>
        <w:tc>
          <w:tcPr>
            <w:tcW w:w="2646" w:type="dxa"/>
            <w:vAlign w:val="center"/>
          </w:tcPr>
          <w:p w14:paraId="268EA8DE" w14:textId="77777777" w:rsidR="0031675F" w:rsidRPr="0031675F" w:rsidRDefault="0031675F" w:rsidP="0031675F">
            <w:pPr>
              <w:jc w:val="center"/>
            </w:pPr>
            <w:r w:rsidRPr="0031675F">
              <w:t>1000</w:t>
            </w:r>
          </w:p>
        </w:tc>
      </w:tr>
    </w:tbl>
    <w:p w14:paraId="41982F84" w14:textId="77777777" w:rsidR="0031675F" w:rsidRPr="0031675F" w:rsidRDefault="0031675F" w:rsidP="0031675F">
      <w:pPr>
        <w:ind w:left="567" w:hanging="567"/>
        <w:rPr>
          <w:b/>
        </w:rPr>
      </w:pPr>
    </w:p>
    <w:p w14:paraId="0663B34C" w14:textId="77777777" w:rsidR="0031675F" w:rsidRPr="0031675F" w:rsidRDefault="0031675F" w:rsidP="0031675F">
      <w:pPr>
        <w:keepNext/>
        <w:ind w:left="567" w:hanging="567"/>
        <w:rPr>
          <w:b/>
        </w:rPr>
      </w:pPr>
      <w:r w:rsidRPr="0031675F">
        <w:rPr>
          <w:b/>
        </w:rPr>
        <w:t xml:space="preserve">7.3 </w:t>
      </w:r>
      <w:r w:rsidRPr="0031675F">
        <w:rPr>
          <w:b/>
        </w:rPr>
        <w:tab/>
        <w:t xml:space="preserve">Duplicate Analyses </w:t>
      </w:r>
    </w:p>
    <w:p w14:paraId="39E22401" w14:textId="77777777" w:rsidR="0031675F" w:rsidRPr="0031675F" w:rsidRDefault="0031675F" w:rsidP="0031675F">
      <w:pPr>
        <w:keepNext/>
        <w:ind w:left="540" w:hanging="540"/>
        <w:rPr>
          <w:b/>
        </w:rPr>
      </w:pPr>
    </w:p>
    <w:p w14:paraId="338C1973" w14:textId="77777777" w:rsidR="0031675F" w:rsidRPr="0031675F" w:rsidRDefault="0031675F" w:rsidP="0031675F">
      <w:pPr>
        <w:keepNext/>
        <w:ind w:left="1134" w:hanging="567"/>
      </w:pPr>
      <w:r w:rsidRPr="0031675F">
        <w:rPr>
          <w:b/>
        </w:rPr>
        <w:t>7.3.1</w:t>
      </w:r>
      <w:r w:rsidRPr="0031675F">
        <w:t xml:space="preserve"> </w:t>
      </w:r>
      <w:r w:rsidRPr="0031675F">
        <w:tab/>
        <w:t>Duplicate analyses of samples are performed to a minimum of 5% per TropWater job submission. The standard deviation of these results should fall between +/- 10%. Failure to achieve this standard will result in samples being re-analysed.</w:t>
      </w:r>
    </w:p>
    <w:p w14:paraId="20B91783" w14:textId="77777777" w:rsidR="0031675F" w:rsidRPr="0031675F" w:rsidRDefault="0031675F" w:rsidP="0031675F">
      <w:pPr>
        <w:ind w:left="1080" w:hanging="540"/>
      </w:pPr>
    </w:p>
    <w:p w14:paraId="77C7C20C" w14:textId="77777777" w:rsidR="0031675F" w:rsidRPr="0031675F" w:rsidRDefault="0031675F" w:rsidP="0031675F">
      <w:pPr>
        <w:ind w:left="540" w:hanging="540"/>
        <w:rPr>
          <w:b/>
        </w:rPr>
      </w:pPr>
      <w:r w:rsidRPr="0031675F">
        <w:rPr>
          <w:b/>
        </w:rPr>
        <w:t xml:space="preserve">7.4 </w:t>
      </w:r>
      <w:r w:rsidRPr="0031675F">
        <w:rPr>
          <w:b/>
        </w:rPr>
        <w:tab/>
        <w:t>Spiked Samples</w:t>
      </w:r>
    </w:p>
    <w:p w14:paraId="456C2ECF" w14:textId="77777777" w:rsidR="0031675F" w:rsidRPr="0031675F" w:rsidRDefault="0031675F" w:rsidP="0031675F">
      <w:pPr>
        <w:ind w:left="540" w:hanging="540"/>
      </w:pPr>
    </w:p>
    <w:p w14:paraId="624C9D21" w14:textId="77777777" w:rsidR="0031675F" w:rsidRPr="0031675F" w:rsidRDefault="0031675F" w:rsidP="0031675F">
      <w:pPr>
        <w:numPr>
          <w:ilvl w:val="2"/>
          <w:numId w:val="173"/>
        </w:numPr>
        <w:tabs>
          <w:tab w:val="clear" w:pos="1260"/>
          <w:tab w:val="num" w:pos="1134"/>
        </w:tabs>
        <w:spacing w:before="0" w:after="0" w:line="240" w:lineRule="auto"/>
        <w:ind w:left="1134" w:hanging="567"/>
        <w:jc w:val="both"/>
      </w:pPr>
      <w:r w:rsidRPr="0031675F">
        <w:t>Samples are spiked to a minimum of 5% per TropWater job submission. The result of this addition should calculate to be between 90-110% recovery. Failure to achieve satisfactory recovery will results in samples being re- analysed. This may mean using a different series of dilutions.</w:t>
      </w:r>
      <w:r w:rsidRPr="0031675F">
        <w:br/>
      </w:r>
    </w:p>
    <w:p w14:paraId="3034E457" w14:textId="378F750B" w:rsidR="0031675F" w:rsidRPr="0031675F" w:rsidRDefault="0031675F" w:rsidP="0031675F">
      <w:pPr>
        <w:numPr>
          <w:ilvl w:val="2"/>
          <w:numId w:val="173"/>
        </w:numPr>
        <w:tabs>
          <w:tab w:val="clear" w:pos="1260"/>
          <w:tab w:val="num" w:pos="1134"/>
        </w:tabs>
        <w:spacing w:before="0" w:after="0" w:line="240" w:lineRule="auto"/>
        <w:ind w:left="1134" w:hanging="567"/>
        <w:jc w:val="both"/>
      </w:pPr>
      <w:r w:rsidRPr="0031675F">
        <w:t>CRM are purchased in 250 mL containers. After the first thawing the whole CRM is sub – sampled into 10 mL tubes for future usage. These 10</w:t>
      </w:r>
      <w:r w:rsidR="00E07360">
        <w:t xml:space="preserve"> </w:t>
      </w:r>
      <w:r w:rsidRPr="0031675F">
        <w:t>mL tubes are then thawed as required.</w:t>
      </w:r>
      <w:r w:rsidRPr="0031675F">
        <w:br/>
      </w:r>
    </w:p>
    <w:p w14:paraId="78289FEA" w14:textId="77777777" w:rsidR="0031675F" w:rsidRPr="0031675F" w:rsidRDefault="0031675F" w:rsidP="0031675F">
      <w:pPr>
        <w:numPr>
          <w:ilvl w:val="1"/>
          <w:numId w:val="173"/>
        </w:numPr>
        <w:tabs>
          <w:tab w:val="clear" w:pos="630"/>
        </w:tabs>
        <w:spacing w:before="0" w:after="0" w:line="240" w:lineRule="auto"/>
        <w:ind w:left="567" w:hanging="567"/>
        <w:jc w:val="both"/>
        <w:rPr>
          <w:b/>
        </w:rPr>
      </w:pPr>
      <w:r w:rsidRPr="0031675F">
        <w:rPr>
          <w:b/>
        </w:rPr>
        <w:t>Consumable Quality Checks</w:t>
      </w:r>
    </w:p>
    <w:p w14:paraId="498BCAB2" w14:textId="77777777" w:rsidR="0031675F" w:rsidRPr="0031675F" w:rsidRDefault="0031675F" w:rsidP="0031675F">
      <w:pPr>
        <w:ind w:left="540"/>
        <w:rPr>
          <w:b/>
        </w:rPr>
      </w:pPr>
    </w:p>
    <w:p w14:paraId="12EBDDB7" w14:textId="77777777" w:rsidR="0031675F" w:rsidRPr="0031675F" w:rsidRDefault="0031675F" w:rsidP="0031675F">
      <w:pPr>
        <w:ind w:left="1134" w:hanging="567"/>
      </w:pPr>
      <w:r w:rsidRPr="0031675F">
        <w:rPr>
          <w:b/>
        </w:rPr>
        <w:t>7.5.1</w:t>
      </w:r>
      <w:r w:rsidRPr="0031675F">
        <w:rPr>
          <w:b/>
        </w:rPr>
        <w:tab/>
      </w:r>
      <w:r w:rsidRPr="0031675F">
        <w:t>10 mL Sarstedt vials are ordered in large batches of at least 10,000 units (Cat # 60.9921.820). These vials are divided into their manufacturer batches and 1% of the vials are randomly selected and analysed for back ground contamination.</w:t>
      </w:r>
    </w:p>
    <w:p w14:paraId="7DA58128" w14:textId="77777777" w:rsidR="0031675F" w:rsidRPr="0031675F" w:rsidRDefault="0031675F" w:rsidP="0031675F">
      <w:pPr>
        <w:ind w:left="1134" w:hanging="567"/>
      </w:pPr>
    </w:p>
    <w:p w14:paraId="5158C6E7" w14:textId="77777777" w:rsidR="0031675F" w:rsidRPr="0031675F" w:rsidRDefault="0031675F" w:rsidP="0031675F">
      <w:pPr>
        <w:ind w:left="1134" w:hanging="567"/>
      </w:pPr>
      <w:r w:rsidRPr="0031675F">
        <w:rPr>
          <w:b/>
        </w:rPr>
        <w:t xml:space="preserve">7.5.2 </w:t>
      </w:r>
      <w:r w:rsidRPr="0031675F">
        <w:rPr>
          <w:b/>
        </w:rPr>
        <w:tab/>
      </w:r>
      <w:r w:rsidRPr="0031675F">
        <w:t xml:space="preserve">The sterile Mini-sart 0.45 </w:t>
      </w:r>
      <w:r w:rsidRPr="0031675F">
        <w:sym w:font="Symbol" w:char="F06D"/>
      </w:r>
      <w:r w:rsidRPr="0031675F">
        <w:t xml:space="preserve">m polysulphone filters are ordered in large batches. These filters are divided into their manufacturer batches and 1% of the filters are randomly selected and analysed for back ground contamination. </w:t>
      </w:r>
    </w:p>
    <w:p w14:paraId="55D370FF" w14:textId="77777777" w:rsidR="0031675F" w:rsidRPr="0031675F" w:rsidRDefault="0031675F" w:rsidP="0031675F"/>
    <w:p w14:paraId="2BA2C1C0" w14:textId="77777777" w:rsidR="0031675F" w:rsidRPr="0031675F" w:rsidRDefault="0031675F" w:rsidP="0031675F">
      <w:pPr>
        <w:ind w:left="540" w:hanging="540"/>
        <w:rPr>
          <w:b/>
        </w:rPr>
      </w:pPr>
      <w:r w:rsidRPr="0031675F">
        <w:rPr>
          <w:b/>
        </w:rPr>
        <w:t xml:space="preserve">7.6 </w:t>
      </w:r>
      <w:r w:rsidRPr="0031675F">
        <w:rPr>
          <w:b/>
        </w:rPr>
        <w:tab/>
        <w:t>Certified Reference Material (CRM)</w:t>
      </w:r>
    </w:p>
    <w:p w14:paraId="1DEFB7CC" w14:textId="77777777" w:rsidR="0031675F" w:rsidRPr="0031675F" w:rsidRDefault="0031675F" w:rsidP="0031675F">
      <w:pPr>
        <w:ind w:left="540" w:hanging="540"/>
      </w:pPr>
    </w:p>
    <w:p w14:paraId="106AC6CF" w14:textId="77777777" w:rsidR="0031675F" w:rsidRPr="0031675F" w:rsidRDefault="0031675F" w:rsidP="0031675F">
      <w:pPr>
        <w:ind w:left="1134" w:hanging="567"/>
      </w:pPr>
      <w:r w:rsidRPr="0031675F">
        <w:rPr>
          <w:b/>
        </w:rPr>
        <w:t>7.6.1</w:t>
      </w:r>
      <w:r w:rsidRPr="0031675F">
        <w:t xml:space="preserve"> </w:t>
      </w:r>
      <w:r w:rsidRPr="0031675F">
        <w:tab/>
        <w:t>CRM’s are purchased from Queensland Health in both freshwater and saltwater. The CRM’s are matched to the sample matrices being analysed and also concentration. The certified value range must be achieved for sample results to be deemed accurate or all samples must be re- analysed with the correct value for the CRM’s obtained.</w:t>
      </w:r>
    </w:p>
    <w:p w14:paraId="6B59A16D" w14:textId="77777777" w:rsidR="0031675F" w:rsidRPr="0031675F" w:rsidRDefault="0031675F" w:rsidP="0031675F">
      <w:pPr>
        <w:ind w:left="567" w:hanging="567"/>
        <w:rPr>
          <w:b/>
        </w:rPr>
      </w:pPr>
    </w:p>
    <w:p w14:paraId="6892D592" w14:textId="77777777" w:rsidR="0031675F" w:rsidRPr="0031675F" w:rsidRDefault="0031675F" w:rsidP="0031675F">
      <w:pPr>
        <w:shd w:val="clear" w:color="auto" w:fill="D9D9D9"/>
        <w:ind w:left="567" w:hanging="567"/>
        <w:rPr>
          <w:b/>
        </w:rPr>
      </w:pPr>
      <w:r w:rsidRPr="0031675F">
        <w:rPr>
          <w:b/>
        </w:rPr>
        <w:t xml:space="preserve">8.0 </w:t>
      </w:r>
      <w:r w:rsidRPr="0031675F">
        <w:rPr>
          <w:b/>
        </w:rPr>
        <w:tab/>
        <w:t>CALIBRATION AND STANDARDISATION</w:t>
      </w:r>
    </w:p>
    <w:p w14:paraId="64182F5C" w14:textId="77777777" w:rsidR="0031675F" w:rsidRPr="0031675F" w:rsidRDefault="0031675F" w:rsidP="0031675F">
      <w:pPr>
        <w:rPr>
          <w:b/>
        </w:rPr>
      </w:pPr>
    </w:p>
    <w:p w14:paraId="0EDDB6CA" w14:textId="77777777" w:rsidR="0031675F" w:rsidRPr="0031675F" w:rsidRDefault="0031675F" w:rsidP="0031675F">
      <w:pPr>
        <w:ind w:left="540" w:hanging="540"/>
      </w:pPr>
      <w:r w:rsidRPr="0031675F">
        <w:rPr>
          <w:b/>
        </w:rPr>
        <w:t>8.1</w:t>
      </w:r>
      <w:r w:rsidRPr="0031675F">
        <w:tab/>
        <w:t>At least seven calibration standards should be prepared daily for system calibration. These calibration standards should undergo the same digestion procedure as the samples being analysed.</w:t>
      </w:r>
    </w:p>
    <w:p w14:paraId="6ABA191B" w14:textId="77777777" w:rsidR="0031675F" w:rsidRPr="0031675F" w:rsidRDefault="0031675F" w:rsidP="0031675F">
      <w:pPr>
        <w:ind w:left="540" w:hanging="540"/>
      </w:pPr>
    </w:p>
    <w:p w14:paraId="006203B8" w14:textId="07521405" w:rsidR="0031675F" w:rsidRPr="0031675F" w:rsidRDefault="0031675F" w:rsidP="0031675F">
      <w:pPr>
        <w:ind w:left="1134" w:hanging="567"/>
      </w:pPr>
      <w:r w:rsidRPr="0031675F">
        <w:rPr>
          <w:b/>
        </w:rPr>
        <w:t xml:space="preserve">8.1.1 </w:t>
      </w:r>
      <w:r w:rsidRPr="0031675F">
        <w:t>The following dilutions are used for a working range of 0.002 – 2.0 mg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as nitrate:</w:t>
      </w:r>
    </w:p>
    <w:p w14:paraId="4B355454" w14:textId="77777777" w:rsidR="0031675F" w:rsidRPr="0031675F" w:rsidRDefault="0031675F" w:rsidP="0031675F">
      <w:pPr>
        <w:ind w:left="1134" w:hanging="567"/>
      </w:pPr>
    </w:p>
    <w:p w14:paraId="57F0F3FB" w14:textId="77777777" w:rsidR="0031675F" w:rsidRPr="0031675F" w:rsidRDefault="0031675F" w:rsidP="0031675F">
      <w:pPr>
        <w:ind w:left="709" w:firstLine="11"/>
      </w:pPr>
      <w:r w:rsidRPr="0031675F">
        <w:t>Step 1:  Make up a secondary nitrate stock solution</w:t>
      </w:r>
    </w:p>
    <w:p w14:paraId="51CCC7C3" w14:textId="77777777" w:rsidR="0031675F" w:rsidRPr="0031675F" w:rsidRDefault="0031675F" w:rsidP="0031675F">
      <w:pPr>
        <w:ind w:left="540" w:hanging="540"/>
      </w:pPr>
      <w:r w:rsidRPr="0031675F">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7A5D3990" w14:textId="77777777" w:rsidTr="00B00729">
        <w:trPr>
          <w:jc w:val="center"/>
        </w:trPr>
        <w:tc>
          <w:tcPr>
            <w:tcW w:w="2646" w:type="dxa"/>
            <w:vAlign w:val="center"/>
          </w:tcPr>
          <w:p w14:paraId="38186D0A" w14:textId="77777777" w:rsidR="0031675F" w:rsidRPr="0031675F" w:rsidRDefault="0031675F" w:rsidP="0031675F">
            <w:pPr>
              <w:jc w:val="center"/>
            </w:pPr>
            <w:r w:rsidRPr="0031675F">
              <w:t>Stock Nitrate Solution (mL)</w:t>
            </w:r>
          </w:p>
        </w:tc>
        <w:tc>
          <w:tcPr>
            <w:tcW w:w="2646" w:type="dxa"/>
            <w:vAlign w:val="center"/>
          </w:tcPr>
          <w:p w14:paraId="1C1BF360" w14:textId="77777777" w:rsidR="0031675F" w:rsidRPr="0031675F" w:rsidRDefault="0031675F" w:rsidP="0031675F">
            <w:pPr>
              <w:jc w:val="center"/>
            </w:pPr>
            <w:r w:rsidRPr="0031675F">
              <w:t>Size Volumetric Flask (mL)</w:t>
            </w:r>
          </w:p>
        </w:tc>
        <w:tc>
          <w:tcPr>
            <w:tcW w:w="2646" w:type="dxa"/>
            <w:vAlign w:val="center"/>
          </w:tcPr>
          <w:p w14:paraId="77545C13" w14:textId="44A6B0A3" w:rsidR="0031675F" w:rsidRPr="0031675F" w:rsidRDefault="0031675F" w:rsidP="00E07360">
            <w:pPr>
              <w:jc w:val="center"/>
            </w:pPr>
            <w:r w:rsidRPr="0031675F">
              <w:t>Calculated Concentration (mg N</w:t>
            </w:r>
            <w:r w:rsidR="00E07360">
              <w:t xml:space="preserve"> </w:t>
            </w:r>
            <w:r w:rsidRPr="0031675F">
              <w:t>L</w:t>
            </w:r>
            <w:r w:rsidR="00E07360" w:rsidRPr="00E07360">
              <w:rPr>
                <w:vertAlign w:val="superscript"/>
              </w:rPr>
              <w:t>-1</w:t>
            </w:r>
            <w:r w:rsidRPr="0031675F">
              <w:t>)</w:t>
            </w:r>
          </w:p>
        </w:tc>
      </w:tr>
      <w:tr w:rsidR="0031675F" w:rsidRPr="0031675F" w14:paraId="3AF8C202" w14:textId="77777777" w:rsidTr="00B00729">
        <w:trPr>
          <w:trHeight w:val="401"/>
          <w:jc w:val="center"/>
        </w:trPr>
        <w:tc>
          <w:tcPr>
            <w:tcW w:w="2646" w:type="dxa"/>
            <w:vAlign w:val="center"/>
          </w:tcPr>
          <w:p w14:paraId="65764278" w14:textId="77777777" w:rsidR="0031675F" w:rsidRPr="0031675F" w:rsidRDefault="0031675F" w:rsidP="0031675F">
            <w:pPr>
              <w:jc w:val="center"/>
            </w:pPr>
            <w:r w:rsidRPr="0031675F">
              <w:t>5</w:t>
            </w:r>
          </w:p>
        </w:tc>
        <w:tc>
          <w:tcPr>
            <w:tcW w:w="2646" w:type="dxa"/>
            <w:vAlign w:val="center"/>
          </w:tcPr>
          <w:p w14:paraId="04E0EADC" w14:textId="77777777" w:rsidR="0031675F" w:rsidRPr="0031675F" w:rsidRDefault="0031675F" w:rsidP="0031675F">
            <w:pPr>
              <w:jc w:val="center"/>
            </w:pPr>
            <w:r w:rsidRPr="0031675F">
              <w:t>100</w:t>
            </w:r>
          </w:p>
        </w:tc>
        <w:tc>
          <w:tcPr>
            <w:tcW w:w="2646" w:type="dxa"/>
            <w:vAlign w:val="center"/>
          </w:tcPr>
          <w:p w14:paraId="439EB7AA" w14:textId="77777777" w:rsidR="0031675F" w:rsidRPr="0031675F" w:rsidRDefault="0031675F" w:rsidP="0031675F">
            <w:pPr>
              <w:jc w:val="center"/>
            </w:pPr>
            <w:r w:rsidRPr="0031675F">
              <w:t>10</w:t>
            </w:r>
          </w:p>
        </w:tc>
      </w:tr>
    </w:tbl>
    <w:p w14:paraId="7437AAFA" w14:textId="77777777" w:rsidR="0031675F" w:rsidRPr="0031675F" w:rsidRDefault="0031675F" w:rsidP="0031675F">
      <w:pPr>
        <w:ind w:left="540" w:hanging="540"/>
      </w:pPr>
    </w:p>
    <w:p w14:paraId="16A73A60" w14:textId="77777777" w:rsidR="0031675F" w:rsidRPr="0031675F" w:rsidRDefault="0031675F" w:rsidP="0031675F">
      <w:pPr>
        <w:ind w:left="1457" w:hanging="737"/>
      </w:pPr>
      <w:r w:rsidRPr="0031675F">
        <w:t>Step 2:  Using the secondary stock solution made in step 1 make up the following dilutions which are used as working calibration standards.</w:t>
      </w:r>
    </w:p>
    <w:p w14:paraId="28772A9A" w14:textId="77777777" w:rsidR="0031675F" w:rsidRPr="0031675F" w:rsidRDefault="0031675F" w:rsidP="0031675F">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09F4931E" w14:textId="77777777" w:rsidTr="00B00729">
        <w:trPr>
          <w:trHeight w:val="667"/>
          <w:jc w:val="center"/>
        </w:trPr>
        <w:tc>
          <w:tcPr>
            <w:tcW w:w="2646" w:type="dxa"/>
            <w:vAlign w:val="center"/>
          </w:tcPr>
          <w:p w14:paraId="7EAA127C" w14:textId="77777777" w:rsidR="0031675F" w:rsidRPr="0031675F" w:rsidRDefault="0031675F" w:rsidP="0031675F">
            <w:pPr>
              <w:jc w:val="center"/>
            </w:pPr>
            <w:r w:rsidRPr="0031675F">
              <w:t>Secondary Stock Nitrate Solution (mL)</w:t>
            </w:r>
          </w:p>
        </w:tc>
        <w:tc>
          <w:tcPr>
            <w:tcW w:w="2646" w:type="dxa"/>
            <w:vAlign w:val="center"/>
          </w:tcPr>
          <w:p w14:paraId="5D941642" w14:textId="77777777" w:rsidR="0031675F" w:rsidRPr="0031675F" w:rsidRDefault="0031675F" w:rsidP="0031675F">
            <w:pPr>
              <w:jc w:val="center"/>
            </w:pPr>
            <w:r w:rsidRPr="0031675F">
              <w:t>Size Volumetric Flask (mL)</w:t>
            </w:r>
          </w:p>
        </w:tc>
        <w:tc>
          <w:tcPr>
            <w:tcW w:w="2646" w:type="dxa"/>
            <w:vAlign w:val="center"/>
          </w:tcPr>
          <w:p w14:paraId="1526BB85" w14:textId="181CD322" w:rsidR="0031675F" w:rsidRPr="0031675F" w:rsidRDefault="0031675F" w:rsidP="0031675F">
            <w:pPr>
              <w:jc w:val="center"/>
            </w:pPr>
            <w:r w:rsidRPr="0031675F">
              <w:t>Calculated Concentration (µg N</w:t>
            </w:r>
            <w:r w:rsidR="00E07360">
              <w:t xml:space="preserve"> </w:t>
            </w:r>
            <w:r w:rsidR="00E07360" w:rsidRPr="0031675F">
              <w:t>L</w:t>
            </w:r>
            <w:r w:rsidR="00E07360" w:rsidRPr="00E07360">
              <w:rPr>
                <w:vertAlign w:val="superscript"/>
              </w:rPr>
              <w:t>-1</w:t>
            </w:r>
            <w:r w:rsidRPr="0031675F">
              <w:t>)</w:t>
            </w:r>
          </w:p>
        </w:tc>
      </w:tr>
      <w:tr w:rsidR="0031675F" w:rsidRPr="0031675F" w14:paraId="7B9A45DD" w14:textId="77777777" w:rsidTr="00B00729">
        <w:trPr>
          <w:trHeight w:val="284"/>
          <w:jc w:val="center"/>
        </w:trPr>
        <w:tc>
          <w:tcPr>
            <w:tcW w:w="2646" w:type="dxa"/>
            <w:vAlign w:val="center"/>
          </w:tcPr>
          <w:p w14:paraId="06BCA96A" w14:textId="77777777" w:rsidR="0031675F" w:rsidRPr="0031675F" w:rsidRDefault="0031675F" w:rsidP="0031675F">
            <w:pPr>
              <w:jc w:val="center"/>
            </w:pPr>
            <w:r w:rsidRPr="0031675F">
              <w:t>1</w:t>
            </w:r>
          </w:p>
        </w:tc>
        <w:tc>
          <w:tcPr>
            <w:tcW w:w="2646" w:type="dxa"/>
            <w:vAlign w:val="center"/>
          </w:tcPr>
          <w:p w14:paraId="0EBBEDE0" w14:textId="77777777" w:rsidR="0031675F" w:rsidRPr="0031675F" w:rsidRDefault="0031675F" w:rsidP="0031675F">
            <w:pPr>
              <w:jc w:val="center"/>
            </w:pPr>
            <w:r w:rsidRPr="0031675F">
              <w:t>100</w:t>
            </w:r>
          </w:p>
        </w:tc>
        <w:tc>
          <w:tcPr>
            <w:tcW w:w="2646" w:type="dxa"/>
            <w:vAlign w:val="center"/>
          </w:tcPr>
          <w:p w14:paraId="5AA15DD9" w14:textId="77777777" w:rsidR="0031675F" w:rsidRPr="0031675F" w:rsidRDefault="0031675F" w:rsidP="0031675F">
            <w:pPr>
              <w:jc w:val="center"/>
            </w:pPr>
            <w:r w:rsidRPr="0031675F">
              <w:t>100</w:t>
            </w:r>
          </w:p>
        </w:tc>
      </w:tr>
      <w:tr w:rsidR="0031675F" w:rsidRPr="0031675F" w14:paraId="581E59B7" w14:textId="77777777" w:rsidTr="00B00729">
        <w:trPr>
          <w:trHeight w:val="284"/>
          <w:jc w:val="center"/>
        </w:trPr>
        <w:tc>
          <w:tcPr>
            <w:tcW w:w="2646" w:type="dxa"/>
            <w:vAlign w:val="center"/>
          </w:tcPr>
          <w:p w14:paraId="68772F09" w14:textId="77777777" w:rsidR="0031675F" w:rsidRPr="0031675F" w:rsidRDefault="0031675F" w:rsidP="0031675F">
            <w:pPr>
              <w:jc w:val="center"/>
            </w:pPr>
            <w:r w:rsidRPr="0031675F">
              <w:t>2</w:t>
            </w:r>
          </w:p>
        </w:tc>
        <w:tc>
          <w:tcPr>
            <w:tcW w:w="2646" w:type="dxa"/>
            <w:vAlign w:val="center"/>
          </w:tcPr>
          <w:p w14:paraId="3F5460EF" w14:textId="77777777" w:rsidR="0031675F" w:rsidRPr="0031675F" w:rsidRDefault="0031675F" w:rsidP="0031675F">
            <w:pPr>
              <w:jc w:val="center"/>
            </w:pPr>
            <w:r w:rsidRPr="0031675F">
              <w:t>100</w:t>
            </w:r>
          </w:p>
        </w:tc>
        <w:tc>
          <w:tcPr>
            <w:tcW w:w="2646" w:type="dxa"/>
            <w:vAlign w:val="center"/>
          </w:tcPr>
          <w:p w14:paraId="2317838C" w14:textId="77777777" w:rsidR="0031675F" w:rsidRPr="0031675F" w:rsidRDefault="0031675F" w:rsidP="0031675F">
            <w:pPr>
              <w:jc w:val="center"/>
            </w:pPr>
            <w:r w:rsidRPr="0031675F">
              <w:t>200</w:t>
            </w:r>
          </w:p>
        </w:tc>
      </w:tr>
      <w:tr w:rsidR="0031675F" w:rsidRPr="0031675F" w14:paraId="2F955847" w14:textId="77777777" w:rsidTr="00B00729">
        <w:trPr>
          <w:trHeight w:val="284"/>
          <w:jc w:val="center"/>
        </w:trPr>
        <w:tc>
          <w:tcPr>
            <w:tcW w:w="2646" w:type="dxa"/>
            <w:vAlign w:val="center"/>
          </w:tcPr>
          <w:p w14:paraId="1F64A2BD" w14:textId="77777777" w:rsidR="0031675F" w:rsidRPr="0031675F" w:rsidRDefault="0031675F" w:rsidP="0031675F">
            <w:pPr>
              <w:jc w:val="center"/>
            </w:pPr>
            <w:r w:rsidRPr="0031675F">
              <w:t>4</w:t>
            </w:r>
          </w:p>
        </w:tc>
        <w:tc>
          <w:tcPr>
            <w:tcW w:w="2646" w:type="dxa"/>
            <w:vAlign w:val="center"/>
          </w:tcPr>
          <w:p w14:paraId="72C3FDA8" w14:textId="77777777" w:rsidR="0031675F" w:rsidRPr="0031675F" w:rsidRDefault="0031675F" w:rsidP="0031675F">
            <w:pPr>
              <w:jc w:val="center"/>
            </w:pPr>
            <w:r w:rsidRPr="0031675F">
              <w:t>100</w:t>
            </w:r>
          </w:p>
        </w:tc>
        <w:tc>
          <w:tcPr>
            <w:tcW w:w="2646" w:type="dxa"/>
            <w:vAlign w:val="center"/>
          </w:tcPr>
          <w:p w14:paraId="63E6FD6E" w14:textId="77777777" w:rsidR="0031675F" w:rsidRPr="0031675F" w:rsidRDefault="0031675F" w:rsidP="0031675F">
            <w:pPr>
              <w:jc w:val="center"/>
            </w:pPr>
            <w:r w:rsidRPr="0031675F">
              <w:t>400</w:t>
            </w:r>
          </w:p>
        </w:tc>
      </w:tr>
      <w:tr w:rsidR="0031675F" w:rsidRPr="0031675F" w14:paraId="4B2F1885" w14:textId="77777777" w:rsidTr="00B00729">
        <w:trPr>
          <w:trHeight w:val="284"/>
          <w:jc w:val="center"/>
        </w:trPr>
        <w:tc>
          <w:tcPr>
            <w:tcW w:w="2646" w:type="dxa"/>
            <w:vAlign w:val="center"/>
          </w:tcPr>
          <w:p w14:paraId="0F68642D" w14:textId="77777777" w:rsidR="0031675F" w:rsidRPr="0031675F" w:rsidRDefault="0031675F" w:rsidP="0031675F">
            <w:pPr>
              <w:jc w:val="center"/>
            </w:pPr>
            <w:r w:rsidRPr="0031675F">
              <w:t>5</w:t>
            </w:r>
          </w:p>
        </w:tc>
        <w:tc>
          <w:tcPr>
            <w:tcW w:w="2646" w:type="dxa"/>
            <w:vAlign w:val="center"/>
          </w:tcPr>
          <w:p w14:paraId="32D7D7A8" w14:textId="77777777" w:rsidR="0031675F" w:rsidRPr="0031675F" w:rsidRDefault="0031675F" w:rsidP="0031675F">
            <w:pPr>
              <w:jc w:val="center"/>
            </w:pPr>
            <w:r w:rsidRPr="0031675F">
              <w:t>100</w:t>
            </w:r>
          </w:p>
        </w:tc>
        <w:tc>
          <w:tcPr>
            <w:tcW w:w="2646" w:type="dxa"/>
            <w:vAlign w:val="center"/>
          </w:tcPr>
          <w:p w14:paraId="1D79228C" w14:textId="77777777" w:rsidR="0031675F" w:rsidRPr="0031675F" w:rsidRDefault="0031675F" w:rsidP="0031675F">
            <w:pPr>
              <w:jc w:val="center"/>
            </w:pPr>
            <w:r w:rsidRPr="0031675F">
              <w:t>500</w:t>
            </w:r>
          </w:p>
        </w:tc>
      </w:tr>
      <w:tr w:rsidR="0031675F" w:rsidRPr="0031675F" w14:paraId="4B8A6E9D" w14:textId="77777777" w:rsidTr="00B00729">
        <w:trPr>
          <w:trHeight w:val="284"/>
          <w:jc w:val="center"/>
        </w:trPr>
        <w:tc>
          <w:tcPr>
            <w:tcW w:w="2646" w:type="dxa"/>
            <w:vAlign w:val="center"/>
          </w:tcPr>
          <w:p w14:paraId="68CC80FA" w14:textId="77777777" w:rsidR="0031675F" w:rsidRPr="0031675F" w:rsidRDefault="0031675F" w:rsidP="0031675F">
            <w:pPr>
              <w:jc w:val="center"/>
            </w:pPr>
            <w:r w:rsidRPr="0031675F">
              <w:t>8</w:t>
            </w:r>
          </w:p>
        </w:tc>
        <w:tc>
          <w:tcPr>
            <w:tcW w:w="2646" w:type="dxa"/>
            <w:vAlign w:val="center"/>
          </w:tcPr>
          <w:p w14:paraId="087CEEC9" w14:textId="77777777" w:rsidR="0031675F" w:rsidRPr="0031675F" w:rsidRDefault="0031675F" w:rsidP="0031675F">
            <w:pPr>
              <w:jc w:val="center"/>
            </w:pPr>
            <w:r w:rsidRPr="0031675F">
              <w:t>100</w:t>
            </w:r>
          </w:p>
        </w:tc>
        <w:tc>
          <w:tcPr>
            <w:tcW w:w="2646" w:type="dxa"/>
            <w:vAlign w:val="center"/>
          </w:tcPr>
          <w:p w14:paraId="3BE14114" w14:textId="77777777" w:rsidR="0031675F" w:rsidRPr="0031675F" w:rsidRDefault="0031675F" w:rsidP="0031675F">
            <w:pPr>
              <w:jc w:val="center"/>
            </w:pPr>
            <w:r w:rsidRPr="0031675F">
              <w:t>800</w:t>
            </w:r>
          </w:p>
        </w:tc>
      </w:tr>
      <w:tr w:rsidR="0031675F" w:rsidRPr="0031675F" w14:paraId="43EF76D7" w14:textId="77777777" w:rsidTr="00B00729">
        <w:trPr>
          <w:trHeight w:val="284"/>
          <w:jc w:val="center"/>
        </w:trPr>
        <w:tc>
          <w:tcPr>
            <w:tcW w:w="2646" w:type="dxa"/>
            <w:vAlign w:val="center"/>
          </w:tcPr>
          <w:p w14:paraId="18C2486A" w14:textId="77777777" w:rsidR="0031675F" w:rsidRPr="0031675F" w:rsidRDefault="0031675F" w:rsidP="0031675F">
            <w:pPr>
              <w:jc w:val="center"/>
            </w:pPr>
            <w:r w:rsidRPr="0031675F">
              <w:t>10</w:t>
            </w:r>
          </w:p>
        </w:tc>
        <w:tc>
          <w:tcPr>
            <w:tcW w:w="2646" w:type="dxa"/>
            <w:vAlign w:val="center"/>
          </w:tcPr>
          <w:p w14:paraId="7060DA01" w14:textId="77777777" w:rsidR="0031675F" w:rsidRPr="0031675F" w:rsidRDefault="0031675F" w:rsidP="0031675F">
            <w:pPr>
              <w:jc w:val="center"/>
            </w:pPr>
            <w:r w:rsidRPr="0031675F">
              <w:t>100</w:t>
            </w:r>
          </w:p>
        </w:tc>
        <w:tc>
          <w:tcPr>
            <w:tcW w:w="2646" w:type="dxa"/>
            <w:vAlign w:val="center"/>
          </w:tcPr>
          <w:p w14:paraId="4E984DDA" w14:textId="77777777" w:rsidR="0031675F" w:rsidRPr="0031675F" w:rsidRDefault="0031675F" w:rsidP="0031675F">
            <w:pPr>
              <w:jc w:val="center"/>
            </w:pPr>
            <w:r w:rsidRPr="0031675F">
              <w:t>1000</w:t>
            </w:r>
          </w:p>
        </w:tc>
      </w:tr>
      <w:tr w:rsidR="0031675F" w:rsidRPr="0031675F" w14:paraId="13DF0FA0" w14:textId="77777777" w:rsidTr="00B00729">
        <w:trPr>
          <w:trHeight w:val="284"/>
          <w:jc w:val="center"/>
        </w:trPr>
        <w:tc>
          <w:tcPr>
            <w:tcW w:w="2646" w:type="dxa"/>
            <w:vAlign w:val="center"/>
          </w:tcPr>
          <w:p w14:paraId="54AEFD5B" w14:textId="77777777" w:rsidR="0031675F" w:rsidRPr="0031675F" w:rsidRDefault="0031675F" w:rsidP="0031675F">
            <w:pPr>
              <w:jc w:val="center"/>
            </w:pPr>
            <w:r w:rsidRPr="0031675F">
              <w:t>20</w:t>
            </w:r>
          </w:p>
        </w:tc>
        <w:tc>
          <w:tcPr>
            <w:tcW w:w="2646" w:type="dxa"/>
            <w:vAlign w:val="center"/>
          </w:tcPr>
          <w:p w14:paraId="583A716F" w14:textId="77777777" w:rsidR="0031675F" w:rsidRPr="0031675F" w:rsidRDefault="0031675F" w:rsidP="0031675F">
            <w:pPr>
              <w:jc w:val="center"/>
            </w:pPr>
            <w:r w:rsidRPr="0031675F">
              <w:t>100</w:t>
            </w:r>
          </w:p>
        </w:tc>
        <w:tc>
          <w:tcPr>
            <w:tcW w:w="2646" w:type="dxa"/>
            <w:vAlign w:val="center"/>
          </w:tcPr>
          <w:p w14:paraId="551EA64F" w14:textId="77777777" w:rsidR="0031675F" w:rsidRPr="0031675F" w:rsidRDefault="0031675F" w:rsidP="0031675F">
            <w:pPr>
              <w:jc w:val="center"/>
            </w:pPr>
            <w:r w:rsidRPr="0031675F">
              <w:t>2000</w:t>
            </w:r>
          </w:p>
        </w:tc>
      </w:tr>
    </w:tbl>
    <w:p w14:paraId="6F672851" w14:textId="77777777" w:rsidR="0031675F" w:rsidRPr="0031675F" w:rsidRDefault="0031675F" w:rsidP="0031675F">
      <w:pPr>
        <w:ind w:left="540" w:hanging="540"/>
      </w:pPr>
    </w:p>
    <w:p w14:paraId="6382984B" w14:textId="77777777" w:rsidR="0031675F" w:rsidRPr="0031675F" w:rsidRDefault="0031675F" w:rsidP="0031675F">
      <w:pPr>
        <w:ind w:left="1514" w:hanging="794"/>
      </w:pPr>
      <w:r w:rsidRPr="0031675F">
        <w:rPr>
          <w:b/>
        </w:rPr>
        <w:t>NOTE:</w:t>
      </w:r>
      <w:r w:rsidRPr="0031675F">
        <w:t xml:space="preserve"> The calibration standards are mixed phosphorus and either nitrate or nitrite standards (refer to FRPSOP 8.1.1 for direction). Once the initial nitrogen specie has been analysed simultaneously with filterable reactive phosphorus the remaining specie is then analysed with new working calibration standards which has no phosphorus mixed in.</w:t>
      </w:r>
    </w:p>
    <w:p w14:paraId="2419729A" w14:textId="77777777" w:rsidR="0031675F" w:rsidRPr="0031675F" w:rsidRDefault="0031675F" w:rsidP="0031675F">
      <w:pPr>
        <w:ind w:left="1514" w:hanging="794"/>
      </w:pPr>
    </w:p>
    <w:p w14:paraId="7F4E535C" w14:textId="3C3BB200" w:rsidR="0031675F" w:rsidRPr="0031675F" w:rsidRDefault="0031675F" w:rsidP="0031675F">
      <w:pPr>
        <w:ind w:left="1134" w:hanging="568"/>
      </w:pPr>
      <w:r w:rsidRPr="0031675F">
        <w:rPr>
          <w:b/>
        </w:rPr>
        <w:t xml:space="preserve">8.1.2 </w:t>
      </w:r>
      <w:r w:rsidRPr="0031675F">
        <w:rPr>
          <w:b/>
        </w:rPr>
        <w:tab/>
      </w:r>
      <w:r w:rsidRPr="0031675F">
        <w:t>The following dilutions are used for a working range of 0.001 – 0.1 mg N</w:t>
      </w:r>
      <w:r w:rsidR="00E07360">
        <w:t xml:space="preserve"> </w:t>
      </w:r>
      <w:r w:rsidR="00E07360" w:rsidRPr="0031675F">
        <w:t>L</w:t>
      </w:r>
      <w:r w:rsidR="00E07360" w:rsidRPr="00E07360">
        <w:rPr>
          <w:vertAlign w:val="superscript"/>
        </w:rPr>
        <w:t>-1</w:t>
      </w:r>
      <w:r w:rsidRPr="0031675F">
        <w:t xml:space="preserve"> as nitrite:</w:t>
      </w:r>
    </w:p>
    <w:p w14:paraId="7AE0F351" w14:textId="77777777" w:rsidR="0031675F" w:rsidRPr="0031675F" w:rsidRDefault="0031675F" w:rsidP="0031675F">
      <w:pPr>
        <w:ind w:left="1287" w:hanging="567"/>
      </w:pPr>
    </w:p>
    <w:p w14:paraId="22E37738" w14:textId="77777777" w:rsidR="0031675F" w:rsidRPr="0031675F" w:rsidRDefault="0031675F" w:rsidP="0031675F">
      <w:pPr>
        <w:ind w:left="1287" w:hanging="567"/>
      </w:pPr>
      <w:r w:rsidRPr="0031675F">
        <w:br w:type="page"/>
        <w:t>Step 1:  Make up a secondary nitrite stock solution</w:t>
      </w:r>
    </w:p>
    <w:p w14:paraId="0B615E83" w14:textId="77777777" w:rsidR="0031675F" w:rsidRPr="0031675F" w:rsidRDefault="0031675F" w:rsidP="0031675F">
      <w:pPr>
        <w:ind w:left="540" w:hanging="540"/>
      </w:pPr>
      <w:r w:rsidRPr="0031675F">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105EA7B6" w14:textId="77777777" w:rsidTr="00B00729">
        <w:trPr>
          <w:jc w:val="center"/>
        </w:trPr>
        <w:tc>
          <w:tcPr>
            <w:tcW w:w="2646" w:type="dxa"/>
            <w:vAlign w:val="center"/>
          </w:tcPr>
          <w:p w14:paraId="31737FCA" w14:textId="77777777" w:rsidR="0031675F" w:rsidRPr="0031675F" w:rsidRDefault="0031675F" w:rsidP="0031675F">
            <w:pPr>
              <w:jc w:val="center"/>
            </w:pPr>
            <w:r w:rsidRPr="0031675F">
              <w:t>Stock Nitrite Solution (mL)</w:t>
            </w:r>
          </w:p>
        </w:tc>
        <w:tc>
          <w:tcPr>
            <w:tcW w:w="2646" w:type="dxa"/>
            <w:vAlign w:val="center"/>
          </w:tcPr>
          <w:p w14:paraId="36FA24B3" w14:textId="77777777" w:rsidR="0031675F" w:rsidRPr="0031675F" w:rsidRDefault="0031675F" w:rsidP="0031675F">
            <w:pPr>
              <w:jc w:val="center"/>
            </w:pPr>
            <w:r w:rsidRPr="0031675F">
              <w:t>Size Volumetric Flask (mL)</w:t>
            </w:r>
          </w:p>
        </w:tc>
        <w:tc>
          <w:tcPr>
            <w:tcW w:w="2646" w:type="dxa"/>
            <w:vAlign w:val="center"/>
          </w:tcPr>
          <w:p w14:paraId="355EC956" w14:textId="038A32F2" w:rsidR="0031675F" w:rsidRPr="0031675F" w:rsidRDefault="0031675F" w:rsidP="0031675F">
            <w:pPr>
              <w:jc w:val="center"/>
            </w:pPr>
            <w:r w:rsidRPr="0031675F">
              <w:t>Calculated Concentration (mg N</w:t>
            </w:r>
            <w:r w:rsidR="00E07360">
              <w:t xml:space="preserve"> </w:t>
            </w:r>
            <w:r w:rsidR="00E07360" w:rsidRPr="0031675F">
              <w:t>L</w:t>
            </w:r>
            <w:r w:rsidR="00E07360" w:rsidRPr="00E07360">
              <w:rPr>
                <w:vertAlign w:val="superscript"/>
              </w:rPr>
              <w:t>-1</w:t>
            </w:r>
            <w:r w:rsidRPr="0031675F">
              <w:t>)</w:t>
            </w:r>
          </w:p>
        </w:tc>
      </w:tr>
      <w:tr w:rsidR="0031675F" w:rsidRPr="0031675F" w14:paraId="45BF12F5" w14:textId="77777777" w:rsidTr="00B00729">
        <w:trPr>
          <w:trHeight w:val="401"/>
          <w:jc w:val="center"/>
        </w:trPr>
        <w:tc>
          <w:tcPr>
            <w:tcW w:w="2646" w:type="dxa"/>
            <w:vAlign w:val="center"/>
          </w:tcPr>
          <w:p w14:paraId="1A549ED3" w14:textId="77777777" w:rsidR="0031675F" w:rsidRPr="0031675F" w:rsidRDefault="0031675F" w:rsidP="0031675F">
            <w:pPr>
              <w:jc w:val="center"/>
            </w:pPr>
            <w:r w:rsidRPr="0031675F">
              <w:t>2</w:t>
            </w:r>
          </w:p>
        </w:tc>
        <w:tc>
          <w:tcPr>
            <w:tcW w:w="2646" w:type="dxa"/>
            <w:vAlign w:val="center"/>
          </w:tcPr>
          <w:p w14:paraId="3B5DD6D9" w14:textId="77777777" w:rsidR="0031675F" w:rsidRPr="0031675F" w:rsidRDefault="0031675F" w:rsidP="0031675F">
            <w:pPr>
              <w:jc w:val="center"/>
            </w:pPr>
            <w:r w:rsidRPr="0031675F">
              <w:t>100</w:t>
            </w:r>
          </w:p>
        </w:tc>
        <w:tc>
          <w:tcPr>
            <w:tcW w:w="2646" w:type="dxa"/>
            <w:vAlign w:val="center"/>
          </w:tcPr>
          <w:p w14:paraId="1A0826A4" w14:textId="77777777" w:rsidR="0031675F" w:rsidRPr="0031675F" w:rsidRDefault="0031675F" w:rsidP="0031675F">
            <w:pPr>
              <w:jc w:val="center"/>
            </w:pPr>
            <w:r w:rsidRPr="0031675F">
              <w:t>1</w:t>
            </w:r>
          </w:p>
        </w:tc>
      </w:tr>
    </w:tbl>
    <w:p w14:paraId="4E470F61" w14:textId="77777777" w:rsidR="0031675F" w:rsidRPr="0031675F" w:rsidRDefault="0031675F" w:rsidP="0031675F">
      <w:pPr>
        <w:ind w:left="540" w:hanging="540"/>
      </w:pPr>
    </w:p>
    <w:p w14:paraId="1725D5EE" w14:textId="77777777" w:rsidR="0031675F" w:rsidRPr="0031675F" w:rsidRDefault="0031675F" w:rsidP="0031675F">
      <w:pPr>
        <w:ind w:left="1457" w:hanging="737"/>
      </w:pPr>
      <w:r w:rsidRPr="0031675F">
        <w:t>Step 2:  Using the secondary stock solution made in step 1 make up the following dilutions which are used as working calibration standards.</w:t>
      </w:r>
    </w:p>
    <w:p w14:paraId="218CCF33" w14:textId="77777777" w:rsidR="0031675F" w:rsidRPr="0031675F" w:rsidRDefault="0031675F" w:rsidP="0031675F">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19654FB6" w14:textId="77777777" w:rsidTr="00B00729">
        <w:trPr>
          <w:trHeight w:val="667"/>
          <w:jc w:val="center"/>
        </w:trPr>
        <w:tc>
          <w:tcPr>
            <w:tcW w:w="2646" w:type="dxa"/>
            <w:vAlign w:val="center"/>
          </w:tcPr>
          <w:p w14:paraId="31F592CC" w14:textId="77777777" w:rsidR="0031675F" w:rsidRPr="0031675F" w:rsidRDefault="0031675F" w:rsidP="0031675F">
            <w:pPr>
              <w:jc w:val="center"/>
            </w:pPr>
            <w:r w:rsidRPr="0031675F">
              <w:t>Secondary Stock Nitrate Solution (mL)</w:t>
            </w:r>
          </w:p>
        </w:tc>
        <w:tc>
          <w:tcPr>
            <w:tcW w:w="2646" w:type="dxa"/>
            <w:vAlign w:val="center"/>
          </w:tcPr>
          <w:p w14:paraId="350D6996" w14:textId="77777777" w:rsidR="0031675F" w:rsidRPr="0031675F" w:rsidRDefault="0031675F" w:rsidP="0031675F">
            <w:pPr>
              <w:jc w:val="center"/>
            </w:pPr>
            <w:r w:rsidRPr="0031675F">
              <w:t>Size Volumetric Flask (mL)</w:t>
            </w:r>
          </w:p>
        </w:tc>
        <w:tc>
          <w:tcPr>
            <w:tcW w:w="2646" w:type="dxa"/>
            <w:vAlign w:val="center"/>
          </w:tcPr>
          <w:p w14:paraId="5E987249" w14:textId="5A124C7E" w:rsidR="0031675F" w:rsidRPr="0031675F" w:rsidRDefault="0031675F" w:rsidP="0031675F">
            <w:pPr>
              <w:jc w:val="center"/>
            </w:pPr>
            <w:r w:rsidRPr="0031675F">
              <w:t>Calculated Concentration (µg N</w:t>
            </w:r>
            <w:r w:rsidR="00E07360">
              <w:t xml:space="preserve"> </w:t>
            </w:r>
            <w:r w:rsidR="00E07360" w:rsidRPr="0031675F">
              <w:t>L</w:t>
            </w:r>
            <w:r w:rsidR="00E07360" w:rsidRPr="00E07360">
              <w:rPr>
                <w:vertAlign w:val="superscript"/>
              </w:rPr>
              <w:t>-1</w:t>
            </w:r>
            <w:r w:rsidRPr="0031675F">
              <w:t>)</w:t>
            </w:r>
          </w:p>
        </w:tc>
      </w:tr>
      <w:tr w:rsidR="0031675F" w:rsidRPr="0031675F" w14:paraId="60D8237D" w14:textId="77777777" w:rsidTr="00B00729">
        <w:trPr>
          <w:trHeight w:val="284"/>
          <w:jc w:val="center"/>
        </w:trPr>
        <w:tc>
          <w:tcPr>
            <w:tcW w:w="2646" w:type="dxa"/>
            <w:vAlign w:val="center"/>
          </w:tcPr>
          <w:p w14:paraId="5EAFAFE3" w14:textId="77777777" w:rsidR="0031675F" w:rsidRPr="0031675F" w:rsidRDefault="0031675F" w:rsidP="0031675F">
            <w:pPr>
              <w:jc w:val="center"/>
            </w:pPr>
            <w:r w:rsidRPr="0031675F">
              <w:t>1</w:t>
            </w:r>
          </w:p>
        </w:tc>
        <w:tc>
          <w:tcPr>
            <w:tcW w:w="2646" w:type="dxa"/>
            <w:vAlign w:val="center"/>
          </w:tcPr>
          <w:p w14:paraId="14FB8F34" w14:textId="77777777" w:rsidR="0031675F" w:rsidRPr="0031675F" w:rsidRDefault="0031675F" w:rsidP="0031675F">
            <w:pPr>
              <w:jc w:val="center"/>
            </w:pPr>
            <w:r w:rsidRPr="0031675F">
              <w:t>100</w:t>
            </w:r>
          </w:p>
        </w:tc>
        <w:tc>
          <w:tcPr>
            <w:tcW w:w="2646" w:type="dxa"/>
            <w:vAlign w:val="center"/>
          </w:tcPr>
          <w:p w14:paraId="11B17B69" w14:textId="77777777" w:rsidR="0031675F" w:rsidRPr="0031675F" w:rsidRDefault="0031675F" w:rsidP="0031675F">
            <w:pPr>
              <w:jc w:val="center"/>
            </w:pPr>
            <w:r w:rsidRPr="0031675F">
              <w:t>10</w:t>
            </w:r>
          </w:p>
        </w:tc>
      </w:tr>
      <w:tr w:rsidR="0031675F" w:rsidRPr="0031675F" w14:paraId="5F4DF67D" w14:textId="77777777" w:rsidTr="00B00729">
        <w:trPr>
          <w:trHeight w:val="284"/>
          <w:jc w:val="center"/>
        </w:trPr>
        <w:tc>
          <w:tcPr>
            <w:tcW w:w="2646" w:type="dxa"/>
            <w:vAlign w:val="center"/>
          </w:tcPr>
          <w:p w14:paraId="5ED66307" w14:textId="77777777" w:rsidR="0031675F" w:rsidRPr="0031675F" w:rsidRDefault="0031675F" w:rsidP="0031675F">
            <w:pPr>
              <w:jc w:val="center"/>
            </w:pPr>
            <w:r w:rsidRPr="0031675F">
              <w:t>2</w:t>
            </w:r>
          </w:p>
        </w:tc>
        <w:tc>
          <w:tcPr>
            <w:tcW w:w="2646" w:type="dxa"/>
            <w:vAlign w:val="center"/>
          </w:tcPr>
          <w:p w14:paraId="61A1DD9B" w14:textId="77777777" w:rsidR="0031675F" w:rsidRPr="0031675F" w:rsidRDefault="0031675F" w:rsidP="0031675F">
            <w:pPr>
              <w:jc w:val="center"/>
            </w:pPr>
            <w:r w:rsidRPr="0031675F">
              <w:t>100</w:t>
            </w:r>
          </w:p>
        </w:tc>
        <w:tc>
          <w:tcPr>
            <w:tcW w:w="2646" w:type="dxa"/>
            <w:vAlign w:val="center"/>
          </w:tcPr>
          <w:p w14:paraId="19BF69E3" w14:textId="77777777" w:rsidR="0031675F" w:rsidRPr="0031675F" w:rsidRDefault="0031675F" w:rsidP="0031675F">
            <w:pPr>
              <w:jc w:val="center"/>
            </w:pPr>
            <w:r w:rsidRPr="0031675F">
              <w:t>20</w:t>
            </w:r>
          </w:p>
        </w:tc>
      </w:tr>
      <w:tr w:rsidR="0031675F" w:rsidRPr="0031675F" w14:paraId="45A98747" w14:textId="77777777" w:rsidTr="00B00729">
        <w:trPr>
          <w:trHeight w:val="284"/>
          <w:jc w:val="center"/>
        </w:trPr>
        <w:tc>
          <w:tcPr>
            <w:tcW w:w="2646" w:type="dxa"/>
            <w:vAlign w:val="center"/>
          </w:tcPr>
          <w:p w14:paraId="4CF60F1F" w14:textId="77777777" w:rsidR="0031675F" w:rsidRPr="0031675F" w:rsidRDefault="0031675F" w:rsidP="0031675F">
            <w:pPr>
              <w:jc w:val="center"/>
            </w:pPr>
            <w:r w:rsidRPr="0031675F">
              <w:t>4</w:t>
            </w:r>
          </w:p>
        </w:tc>
        <w:tc>
          <w:tcPr>
            <w:tcW w:w="2646" w:type="dxa"/>
            <w:vAlign w:val="center"/>
          </w:tcPr>
          <w:p w14:paraId="16AEFFD1" w14:textId="77777777" w:rsidR="0031675F" w:rsidRPr="0031675F" w:rsidRDefault="0031675F" w:rsidP="0031675F">
            <w:pPr>
              <w:jc w:val="center"/>
            </w:pPr>
            <w:r w:rsidRPr="0031675F">
              <w:t>100</w:t>
            </w:r>
          </w:p>
        </w:tc>
        <w:tc>
          <w:tcPr>
            <w:tcW w:w="2646" w:type="dxa"/>
            <w:vAlign w:val="center"/>
          </w:tcPr>
          <w:p w14:paraId="5298A973" w14:textId="77777777" w:rsidR="0031675F" w:rsidRPr="0031675F" w:rsidRDefault="0031675F" w:rsidP="0031675F">
            <w:pPr>
              <w:jc w:val="center"/>
            </w:pPr>
            <w:r w:rsidRPr="0031675F">
              <w:t>40</w:t>
            </w:r>
          </w:p>
        </w:tc>
      </w:tr>
      <w:tr w:rsidR="0031675F" w:rsidRPr="0031675F" w14:paraId="02F5290E" w14:textId="77777777" w:rsidTr="00B00729">
        <w:trPr>
          <w:trHeight w:val="284"/>
          <w:jc w:val="center"/>
        </w:trPr>
        <w:tc>
          <w:tcPr>
            <w:tcW w:w="2646" w:type="dxa"/>
            <w:vAlign w:val="center"/>
          </w:tcPr>
          <w:p w14:paraId="13B79B38" w14:textId="77777777" w:rsidR="0031675F" w:rsidRPr="0031675F" w:rsidRDefault="0031675F" w:rsidP="0031675F">
            <w:pPr>
              <w:jc w:val="center"/>
            </w:pPr>
            <w:r w:rsidRPr="0031675F">
              <w:t>5</w:t>
            </w:r>
          </w:p>
        </w:tc>
        <w:tc>
          <w:tcPr>
            <w:tcW w:w="2646" w:type="dxa"/>
            <w:vAlign w:val="center"/>
          </w:tcPr>
          <w:p w14:paraId="05CA6074" w14:textId="77777777" w:rsidR="0031675F" w:rsidRPr="0031675F" w:rsidRDefault="0031675F" w:rsidP="0031675F">
            <w:pPr>
              <w:jc w:val="center"/>
            </w:pPr>
            <w:r w:rsidRPr="0031675F">
              <w:t>100</w:t>
            </w:r>
          </w:p>
        </w:tc>
        <w:tc>
          <w:tcPr>
            <w:tcW w:w="2646" w:type="dxa"/>
            <w:vAlign w:val="center"/>
          </w:tcPr>
          <w:p w14:paraId="3FE302F4" w14:textId="77777777" w:rsidR="0031675F" w:rsidRPr="0031675F" w:rsidRDefault="0031675F" w:rsidP="0031675F">
            <w:pPr>
              <w:jc w:val="center"/>
            </w:pPr>
            <w:r w:rsidRPr="0031675F">
              <w:t>50</w:t>
            </w:r>
          </w:p>
        </w:tc>
      </w:tr>
      <w:tr w:rsidR="0031675F" w:rsidRPr="0031675F" w14:paraId="18CA5DED" w14:textId="77777777" w:rsidTr="00B00729">
        <w:trPr>
          <w:trHeight w:val="284"/>
          <w:jc w:val="center"/>
        </w:trPr>
        <w:tc>
          <w:tcPr>
            <w:tcW w:w="2646" w:type="dxa"/>
            <w:vAlign w:val="center"/>
          </w:tcPr>
          <w:p w14:paraId="1234AC78" w14:textId="77777777" w:rsidR="0031675F" w:rsidRPr="0031675F" w:rsidRDefault="0031675F" w:rsidP="0031675F">
            <w:pPr>
              <w:jc w:val="center"/>
            </w:pPr>
            <w:r w:rsidRPr="0031675F">
              <w:t>8</w:t>
            </w:r>
          </w:p>
        </w:tc>
        <w:tc>
          <w:tcPr>
            <w:tcW w:w="2646" w:type="dxa"/>
            <w:vAlign w:val="center"/>
          </w:tcPr>
          <w:p w14:paraId="09C93BC9" w14:textId="77777777" w:rsidR="0031675F" w:rsidRPr="0031675F" w:rsidRDefault="0031675F" w:rsidP="0031675F">
            <w:pPr>
              <w:jc w:val="center"/>
            </w:pPr>
            <w:r w:rsidRPr="0031675F">
              <w:t>100</w:t>
            </w:r>
          </w:p>
        </w:tc>
        <w:tc>
          <w:tcPr>
            <w:tcW w:w="2646" w:type="dxa"/>
            <w:vAlign w:val="center"/>
          </w:tcPr>
          <w:p w14:paraId="08073D61" w14:textId="77777777" w:rsidR="0031675F" w:rsidRPr="0031675F" w:rsidRDefault="0031675F" w:rsidP="0031675F">
            <w:pPr>
              <w:jc w:val="center"/>
            </w:pPr>
            <w:r w:rsidRPr="0031675F">
              <w:t>80</w:t>
            </w:r>
          </w:p>
        </w:tc>
      </w:tr>
      <w:tr w:rsidR="0031675F" w:rsidRPr="0031675F" w14:paraId="55867BB9" w14:textId="77777777" w:rsidTr="00B00729">
        <w:trPr>
          <w:trHeight w:val="284"/>
          <w:jc w:val="center"/>
        </w:trPr>
        <w:tc>
          <w:tcPr>
            <w:tcW w:w="2646" w:type="dxa"/>
            <w:vAlign w:val="center"/>
          </w:tcPr>
          <w:p w14:paraId="2681FC9B" w14:textId="77777777" w:rsidR="0031675F" w:rsidRPr="0031675F" w:rsidRDefault="0031675F" w:rsidP="0031675F">
            <w:pPr>
              <w:jc w:val="center"/>
            </w:pPr>
            <w:r w:rsidRPr="0031675F">
              <w:t>10</w:t>
            </w:r>
          </w:p>
        </w:tc>
        <w:tc>
          <w:tcPr>
            <w:tcW w:w="2646" w:type="dxa"/>
            <w:vAlign w:val="center"/>
          </w:tcPr>
          <w:p w14:paraId="63C47FED" w14:textId="77777777" w:rsidR="0031675F" w:rsidRPr="0031675F" w:rsidRDefault="0031675F" w:rsidP="0031675F">
            <w:pPr>
              <w:jc w:val="center"/>
            </w:pPr>
            <w:r w:rsidRPr="0031675F">
              <w:t>100</w:t>
            </w:r>
          </w:p>
        </w:tc>
        <w:tc>
          <w:tcPr>
            <w:tcW w:w="2646" w:type="dxa"/>
            <w:vAlign w:val="center"/>
          </w:tcPr>
          <w:p w14:paraId="046C9B17" w14:textId="77777777" w:rsidR="0031675F" w:rsidRPr="0031675F" w:rsidRDefault="0031675F" w:rsidP="0031675F">
            <w:pPr>
              <w:jc w:val="center"/>
            </w:pPr>
            <w:r w:rsidRPr="0031675F">
              <w:t>100</w:t>
            </w:r>
          </w:p>
        </w:tc>
      </w:tr>
    </w:tbl>
    <w:p w14:paraId="23455528" w14:textId="77777777" w:rsidR="0031675F" w:rsidRPr="0031675F" w:rsidRDefault="0031675F" w:rsidP="0031675F"/>
    <w:p w14:paraId="35E0970E" w14:textId="77777777" w:rsidR="0031675F" w:rsidRPr="0031675F" w:rsidRDefault="0031675F" w:rsidP="0031675F">
      <w:pPr>
        <w:ind w:left="540" w:hanging="540"/>
      </w:pPr>
    </w:p>
    <w:p w14:paraId="040FBE6B" w14:textId="77777777" w:rsidR="0031675F" w:rsidRPr="0031675F" w:rsidRDefault="0031675F" w:rsidP="0031675F">
      <w:pPr>
        <w:numPr>
          <w:ilvl w:val="1"/>
          <w:numId w:val="184"/>
        </w:numPr>
        <w:spacing w:before="0" w:after="0" w:line="240" w:lineRule="auto"/>
        <w:jc w:val="both"/>
      </w:pPr>
      <w:r w:rsidRPr="0031675F">
        <w:t>A calibration curve should be constructed for each sample run.</w:t>
      </w:r>
    </w:p>
    <w:p w14:paraId="6B08C98A" w14:textId="77777777" w:rsidR="0031675F" w:rsidRPr="0031675F" w:rsidRDefault="0031675F" w:rsidP="0031675F">
      <w:pPr>
        <w:ind w:left="283"/>
      </w:pPr>
    </w:p>
    <w:p w14:paraId="4B289597" w14:textId="77777777" w:rsidR="0031675F" w:rsidRPr="0031675F" w:rsidRDefault="0031675F" w:rsidP="0031675F">
      <w:pPr>
        <w:numPr>
          <w:ilvl w:val="1"/>
          <w:numId w:val="184"/>
        </w:numPr>
        <w:spacing w:before="0" w:after="0" w:line="240" w:lineRule="auto"/>
        <w:jc w:val="both"/>
      </w:pPr>
      <w:r w:rsidRPr="0031675F">
        <w:t xml:space="preserve">The calibration standards should be placed at the start, middle and end of the run to allow for any sensitivity drift and or reduction in OTCR efficiency. A high nitrite standard should immediately follow the calibration standards to determine if any change in OTCR efficiency is occurring. The decline in efficiency should be less than 5% during a run. To correct for OTCR efficiency change, multiply the sample peak height by the corresponding sensitivity drift correlation. </w:t>
      </w:r>
    </w:p>
    <w:p w14:paraId="6EFF8F67" w14:textId="77777777" w:rsidR="0031675F" w:rsidRPr="0031675F" w:rsidRDefault="0031675F" w:rsidP="0031675F">
      <w:pPr>
        <w:ind w:left="853"/>
      </w:pPr>
      <w:r w:rsidRPr="0031675F">
        <w:t>NOTE: For large amounts of samples it may be necessary to increase the amount of calibration standards digested to ensure that a ratio of one set of standards per 20 – 30 samples is achieved.</w:t>
      </w:r>
    </w:p>
    <w:p w14:paraId="5D2D628B" w14:textId="77777777" w:rsidR="0031675F" w:rsidRPr="0031675F" w:rsidRDefault="0031675F" w:rsidP="0031675F">
      <w:pPr>
        <w:ind w:left="853"/>
      </w:pPr>
    </w:p>
    <w:p w14:paraId="312A5FB7" w14:textId="77777777" w:rsidR="0031675F" w:rsidRPr="0031675F" w:rsidRDefault="0031675F" w:rsidP="0031675F">
      <w:pPr>
        <w:numPr>
          <w:ilvl w:val="1"/>
          <w:numId w:val="184"/>
        </w:numPr>
        <w:spacing w:before="0" w:after="0" w:line="240" w:lineRule="auto"/>
        <w:jc w:val="both"/>
      </w:pPr>
      <w:r w:rsidRPr="0031675F">
        <w:t>The CRM’s should be placed at the start and the end of the run to ensure the accuracy of results is maintained throughout the whole run.</w:t>
      </w:r>
    </w:p>
    <w:p w14:paraId="41A6B491" w14:textId="77777777" w:rsidR="0031675F" w:rsidRPr="0031675F" w:rsidRDefault="0031675F" w:rsidP="0031675F">
      <w:pPr>
        <w:ind w:left="283"/>
      </w:pPr>
    </w:p>
    <w:p w14:paraId="3369E449" w14:textId="77777777" w:rsidR="0031675F" w:rsidRPr="0031675F" w:rsidRDefault="0031675F" w:rsidP="0031675F">
      <w:pPr>
        <w:numPr>
          <w:ilvl w:val="1"/>
          <w:numId w:val="184"/>
        </w:numPr>
        <w:spacing w:before="0" w:after="0" w:line="240" w:lineRule="auto"/>
        <w:jc w:val="both"/>
      </w:pPr>
      <w:r w:rsidRPr="0031675F">
        <w:t>Spiked samples should be prepared as follows:</w:t>
      </w:r>
    </w:p>
    <w:p w14:paraId="0067948C" w14:textId="77777777" w:rsidR="0031675F" w:rsidRPr="0031675F" w:rsidRDefault="0031675F" w:rsidP="0031675F"/>
    <w:p w14:paraId="20BA720A" w14:textId="77777777" w:rsidR="0031675F" w:rsidRPr="0031675F" w:rsidRDefault="0031675F" w:rsidP="0031675F">
      <w:pPr>
        <w:ind w:left="1134" w:hanging="567"/>
      </w:pPr>
      <w:r w:rsidRPr="0031675F">
        <w:rPr>
          <w:b/>
        </w:rPr>
        <w:t>8.5.1</w:t>
      </w:r>
      <w:r w:rsidRPr="0031675F">
        <w:t xml:space="preserve"> Ensure that the sample randomly chosen to be spiked is 10 mL exactly (marked line). Use a micro pipette to remove any excess sample of conversely to add a little more sample into the vial.</w:t>
      </w:r>
    </w:p>
    <w:p w14:paraId="2BB59F6F" w14:textId="77777777" w:rsidR="0031675F" w:rsidRPr="0031675F" w:rsidRDefault="0031675F" w:rsidP="0031675F">
      <w:pPr>
        <w:ind w:left="720"/>
        <w:rPr>
          <w:b/>
        </w:rPr>
      </w:pPr>
    </w:p>
    <w:p w14:paraId="71B23738" w14:textId="77777777" w:rsidR="0031675F" w:rsidRPr="0031675F" w:rsidRDefault="0031675F" w:rsidP="0031675F">
      <w:pPr>
        <w:ind w:left="720"/>
      </w:pPr>
      <w:r w:rsidRPr="0031675F">
        <w:rPr>
          <w:b/>
        </w:rPr>
        <w:t>NOTE:</w:t>
      </w:r>
      <w:r w:rsidRPr="0031675F">
        <w:t xml:space="preserve"> Thoroughly mix the sample before remove or adding any sample</w:t>
      </w:r>
    </w:p>
    <w:p w14:paraId="5CFD4DA3" w14:textId="77777777" w:rsidR="0031675F" w:rsidRPr="0031675F" w:rsidRDefault="0031675F" w:rsidP="0031675F">
      <w:pPr>
        <w:ind w:left="567"/>
      </w:pPr>
    </w:p>
    <w:p w14:paraId="7C984E70" w14:textId="0B0D76B6" w:rsidR="0031675F" w:rsidRPr="0031675F" w:rsidRDefault="0031675F" w:rsidP="0031675F">
      <w:pPr>
        <w:ind w:left="1134" w:hanging="567"/>
      </w:pPr>
      <w:r w:rsidRPr="0031675F">
        <w:rPr>
          <w:b/>
        </w:rPr>
        <w:t>8.5.2</w:t>
      </w:r>
      <w:r w:rsidRPr="0031675F">
        <w:t xml:space="preserve"> Make up the spiking stock mixture by adding 1 mL of Stock Nitrate Solution (SSS) to a Sarstedt 10</w:t>
      </w:r>
      <w:r w:rsidR="00E07360">
        <w:t xml:space="preserve"> </w:t>
      </w:r>
      <w:r w:rsidRPr="0031675F">
        <w:t>mL tube and fill with reagent water to the mark. Mix well.</w:t>
      </w:r>
    </w:p>
    <w:p w14:paraId="7A0611ED" w14:textId="77777777" w:rsidR="0031675F" w:rsidRPr="0031675F" w:rsidRDefault="0031675F" w:rsidP="0031675F">
      <w:pPr>
        <w:ind w:left="1134" w:hanging="567"/>
      </w:pPr>
    </w:p>
    <w:p w14:paraId="55EA9906" w14:textId="2C89D387" w:rsidR="0031675F" w:rsidRPr="0031675F" w:rsidRDefault="0031675F" w:rsidP="0031675F">
      <w:pPr>
        <w:ind w:left="1134" w:hanging="567"/>
      </w:pPr>
      <w:r w:rsidRPr="0031675F">
        <w:rPr>
          <w:b/>
        </w:rPr>
        <w:t>8.5.3</w:t>
      </w:r>
      <w:r w:rsidRPr="0031675F">
        <w:t xml:space="preserve"> Add 50</w:t>
      </w:r>
      <w:r w:rsidR="00E07360">
        <w:t xml:space="preserve"> </w:t>
      </w:r>
      <w:r w:rsidRPr="0031675F">
        <w:t>µ</w:t>
      </w:r>
      <w:r w:rsidR="00E07360">
        <w:t>L</w:t>
      </w:r>
      <w:r w:rsidRPr="0031675F">
        <w:t xml:space="preserve"> of the spiking stock mixture (equivalent of 100 µg N</w:t>
      </w:r>
      <w:r w:rsidR="00E07360">
        <w:t xml:space="preserve"> </w:t>
      </w:r>
      <w:r w:rsidR="00E07360" w:rsidRPr="0031675F">
        <w:t>L</w:t>
      </w:r>
      <w:r w:rsidR="00E07360" w:rsidRPr="00E07360">
        <w:rPr>
          <w:vertAlign w:val="superscript"/>
        </w:rPr>
        <w:t>-1</w:t>
      </w:r>
      <w:r w:rsidRPr="0031675F">
        <w:t>) to the 10 mL sample and mix well.</w:t>
      </w:r>
    </w:p>
    <w:p w14:paraId="23FD529F" w14:textId="77777777" w:rsidR="0031675F" w:rsidRPr="0031675F" w:rsidRDefault="0031675F" w:rsidP="0031675F">
      <w:pPr>
        <w:ind w:left="1134" w:hanging="567"/>
      </w:pPr>
    </w:p>
    <w:p w14:paraId="485776A0" w14:textId="77777777" w:rsidR="0031675F" w:rsidRPr="0031675F" w:rsidRDefault="0031675F" w:rsidP="0031675F">
      <w:pPr>
        <w:ind w:left="1134" w:hanging="567"/>
      </w:pPr>
      <w:r w:rsidRPr="0031675F">
        <w:rPr>
          <w:b/>
        </w:rPr>
        <w:t>8.5.4</w:t>
      </w:r>
      <w:r w:rsidRPr="0031675F">
        <w:t xml:space="preserve"> A minimum of three spiked reagent water samples are to be prepared and analysed for every run.</w:t>
      </w:r>
    </w:p>
    <w:p w14:paraId="5E6EC24C" w14:textId="77777777" w:rsidR="0031675F" w:rsidRPr="0031675F" w:rsidRDefault="0031675F" w:rsidP="0031675F">
      <w:pPr>
        <w:ind w:left="540" w:hanging="540"/>
        <w:rPr>
          <w:b/>
        </w:rPr>
      </w:pPr>
    </w:p>
    <w:p w14:paraId="5A20C635" w14:textId="77777777" w:rsidR="0031675F" w:rsidRPr="0031675F" w:rsidRDefault="0031675F" w:rsidP="0031675F">
      <w:pPr>
        <w:ind w:left="540" w:hanging="540"/>
        <w:rPr>
          <w:b/>
        </w:rPr>
      </w:pPr>
    </w:p>
    <w:p w14:paraId="3660CEF9" w14:textId="77777777" w:rsidR="0031675F" w:rsidRPr="0031675F" w:rsidRDefault="0031675F" w:rsidP="0031675F">
      <w:pPr>
        <w:keepNext/>
        <w:shd w:val="clear" w:color="auto" w:fill="D9D9D9"/>
        <w:ind w:left="540" w:hanging="540"/>
        <w:rPr>
          <w:b/>
        </w:rPr>
      </w:pPr>
      <w:r w:rsidRPr="0031675F">
        <w:rPr>
          <w:b/>
        </w:rPr>
        <w:t xml:space="preserve">9.0 </w:t>
      </w:r>
      <w:r w:rsidRPr="0031675F">
        <w:rPr>
          <w:b/>
        </w:rPr>
        <w:tab/>
        <w:t>SAMPLE, CALIBRATION STANDARDS, IHRM AND CRM PREPARATION PROCEDURE</w:t>
      </w:r>
    </w:p>
    <w:p w14:paraId="3AF0F9A1" w14:textId="77777777" w:rsidR="0031675F" w:rsidRPr="0031675F" w:rsidRDefault="0031675F" w:rsidP="0031675F">
      <w:pPr>
        <w:keepNext/>
        <w:ind w:left="720" w:hanging="720"/>
        <w:rPr>
          <w:b/>
        </w:rPr>
      </w:pPr>
    </w:p>
    <w:p w14:paraId="49A560CA" w14:textId="77777777" w:rsidR="0031675F" w:rsidRPr="0031675F" w:rsidRDefault="0031675F" w:rsidP="0031675F">
      <w:pPr>
        <w:keepNext/>
        <w:ind w:left="540" w:hanging="540"/>
      </w:pPr>
      <w:r w:rsidRPr="0031675F">
        <w:rPr>
          <w:b/>
        </w:rPr>
        <w:t>9.1</w:t>
      </w:r>
      <w:r w:rsidRPr="0031675F">
        <w:t xml:space="preserve"> </w:t>
      </w:r>
      <w:r w:rsidRPr="0031675F">
        <w:tab/>
        <w:t xml:space="preserve">If samples are frozen, thaw samples by running under a continuous flow of cold water. </w:t>
      </w:r>
    </w:p>
    <w:p w14:paraId="687F1446" w14:textId="77777777" w:rsidR="0031675F" w:rsidRPr="0031675F" w:rsidRDefault="0031675F" w:rsidP="0031675F">
      <w:pPr>
        <w:ind w:left="540" w:hanging="540"/>
      </w:pPr>
    </w:p>
    <w:p w14:paraId="6E39BB09" w14:textId="77777777" w:rsidR="0031675F" w:rsidRPr="0031675F" w:rsidRDefault="0031675F" w:rsidP="0031675F">
      <w:pPr>
        <w:ind w:left="540" w:hanging="540"/>
      </w:pPr>
      <w:r w:rsidRPr="0031675F">
        <w:rPr>
          <w:b/>
        </w:rPr>
        <w:t>9.2</w:t>
      </w:r>
      <w:r w:rsidRPr="0031675F">
        <w:t xml:space="preserve"> </w:t>
      </w:r>
      <w:r w:rsidRPr="0031675F">
        <w:tab/>
        <w:t>Make up the seven calibration standards (refer 8.1.1 or 8.1.2, IHRM and prepare the CRM.</w:t>
      </w:r>
    </w:p>
    <w:p w14:paraId="37C940E8" w14:textId="77777777" w:rsidR="0031675F" w:rsidRPr="0031675F" w:rsidRDefault="0031675F" w:rsidP="0031675F">
      <w:pPr>
        <w:ind w:left="1440" w:hanging="900"/>
      </w:pPr>
    </w:p>
    <w:p w14:paraId="3ECBC8D7" w14:textId="77777777" w:rsidR="0031675F" w:rsidRPr="0031675F" w:rsidRDefault="0031675F" w:rsidP="0031675F">
      <w:pPr>
        <w:ind w:left="567" w:hanging="567"/>
      </w:pPr>
      <w:r w:rsidRPr="0031675F">
        <w:rPr>
          <w:b/>
        </w:rPr>
        <w:t xml:space="preserve">9.3 </w:t>
      </w:r>
      <w:r w:rsidRPr="0031675F">
        <w:rPr>
          <w:b/>
        </w:rPr>
        <w:tab/>
      </w:r>
      <w:r w:rsidRPr="0031675F">
        <w:t>Choose and make up the spiked samples (refer 8.5).</w:t>
      </w:r>
    </w:p>
    <w:p w14:paraId="2AE4C1AA" w14:textId="77777777" w:rsidR="0031675F" w:rsidRPr="0031675F" w:rsidRDefault="0031675F" w:rsidP="0031675F">
      <w:pPr>
        <w:ind w:left="720" w:hanging="720"/>
        <w:rPr>
          <w:b/>
        </w:rPr>
      </w:pPr>
    </w:p>
    <w:p w14:paraId="24E65D44" w14:textId="77777777" w:rsidR="0031675F" w:rsidRPr="0031675F" w:rsidRDefault="0031675F" w:rsidP="0031675F">
      <w:pPr>
        <w:shd w:val="clear" w:color="auto" w:fill="D9D9D9"/>
        <w:ind w:left="567" w:hanging="567"/>
        <w:rPr>
          <w:b/>
        </w:rPr>
      </w:pPr>
      <w:r w:rsidRPr="0031675F">
        <w:rPr>
          <w:b/>
        </w:rPr>
        <w:t xml:space="preserve">10.0 </w:t>
      </w:r>
      <w:r w:rsidRPr="0031675F">
        <w:rPr>
          <w:b/>
        </w:rPr>
        <w:tab/>
        <w:t>ANALYTICAL PROCEDURE</w:t>
      </w:r>
    </w:p>
    <w:p w14:paraId="3494D09F" w14:textId="77777777" w:rsidR="0031675F" w:rsidRPr="0031675F" w:rsidRDefault="0031675F" w:rsidP="0031675F">
      <w:pPr>
        <w:ind w:left="720" w:hanging="720"/>
      </w:pPr>
      <w:r w:rsidRPr="0031675F">
        <w:rPr>
          <w:b/>
        </w:rPr>
        <w:tab/>
      </w:r>
      <w:r w:rsidRPr="0031675F">
        <w:rPr>
          <w:b/>
        </w:rPr>
        <w:tab/>
      </w:r>
      <w:r w:rsidRPr="0031675F">
        <w:t>.</w:t>
      </w:r>
    </w:p>
    <w:p w14:paraId="4C143236" w14:textId="77777777" w:rsidR="0031675F" w:rsidRPr="0031675F" w:rsidRDefault="0031675F" w:rsidP="0031675F">
      <w:pPr>
        <w:ind w:left="540" w:hanging="540"/>
      </w:pPr>
      <w:r w:rsidRPr="0031675F">
        <w:rPr>
          <w:b/>
        </w:rPr>
        <w:t>10.1</w:t>
      </w:r>
      <w:r w:rsidRPr="0031675F">
        <w:t xml:space="preserve"> </w:t>
      </w:r>
      <w:r w:rsidRPr="0031675F">
        <w:tab/>
        <w:t>Turn on the auto analyser and peristaltic pump and run reagent water with Triton X 100 added through the system for a minimum of thirty minutes to let the system equilibrate. Turn on the spectrophotometer and check that the baseline is stable and you have a consistent bubble pattern through the manifold.</w:t>
      </w:r>
    </w:p>
    <w:p w14:paraId="3DD72246" w14:textId="77777777" w:rsidR="0031675F" w:rsidRPr="0031675F" w:rsidRDefault="0031675F" w:rsidP="0031675F">
      <w:pPr>
        <w:ind w:left="540" w:hanging="540"/>
      </w:pPr>
    </w:p>
    <w:p w14:paraId="014ABD69" w14:textId="77777777" w:rsidR="0031675F" w:rsidRPr="0031675F" w:rsidRDefault="0031675F" w:rsidP="0031675F">
      <w:pPr>
        <w:ind w:left="1440" w:hanging="900"/>
      </w:pPr>
      <w:r w:rsidRPr="0031675F">
        <w:rPr>
          <w:b/>
        </w:rPr>
        <w:t xml:space="preserve">NOTE: </w:t>
      </w:r>
      <w:r w:rsidRPr="0031675F">
        <w:rPr>
          <w:b/>
        </w:rPr>
        <w:tab/>
      </w:r>
      <w:r w:rsidRPr="0031675F">
        <w:t>The absorbency on the spectrophotometer should read 540 nm and should be set at the required sensitivity level for the range of working standards.</w:t>
      </w:r>
    </w:p>
    <w:p w14:paraId="2B5120CA" w14:textId="77777777" w:rsidR="0031675F" w:rsidRPr="0031675F" w:rsidRDefault="0031675F" w:rsidP="0031675F">
      <w:pPr>
        <w:ind w:left="1440" w:hanging="900"/>
      </w:pPr>
    </w:p>
    <w:p w14:paraId="6263AF56" w14:textId="77777777" w:rsidR="0031675F" w:rsidRPr="0031675F" w:rsidRDefault="0031675F" w:rsidP="0031675F">
      <w:pPr>
        <w:ind w:left="540" w:hanging="540"/>
      </w:pPr>
      <w:r w:rsidRPr="0031675F">
        <w:rPr>
          <w:b/>
        </w:rPr>
        <w:t>10.2</w:t>
      </w:r>
      <w:r w:rsidRPr="0031675F">
        <w:t xml:space="preserve"> </w:t>
      </w:r>
      <w:r w:rsidRPr="0031675F">
        <w:tab/>
        <w:t>Set up the autosampler software for the run. This will include the unique TropWater job number and sample identification number, along with any dilution data associated with samples.</w:t>
      </w:r>
    </w:p>
    <w:p w14:paraId="254A664D" w14:textId="77777777" w:rsidR="0031675F" w:rsidRPr="0031675F" w:rsidRDefault="0031675F" w:rsidP="0031675F">
      <w:pPr>
        <w:ind w:left="540" w:hanging="540"/>
      </w:pPr>
    </w:p>
    <w:p w14:paraId="324350EB" w14:textId="77777777" w:rsidR="0031675F" w:rsidRPr="0031675F" w:rsidRDefault="0031675F" w:rsidP="0031675F">
      <w:pPr>
        <w:numPr>
          <w:ilvl w:val="1"/>
          <w:numId w:val="185"/>
        </w:numPr>
        <w:tabs>
          <w:tab w:val="clear" w:pos="360"/>
          <w:tab w:val="num" w:pos="567"/>
        </w:tabs>
        <w:spacing w:before="0" w:after="0" w:line="240" w:lineRule="auto"/>
        <w:ind w:left="567" w:hanging="567"/>
        <w:jc w:val="both"/>
      </w:pPr>
      <w:r w:rsidRPr="0031675F">
        <w:t xml:space="preserve">Mix the samples by inverting three times, remove lid and place in the appropriate rack number and cup position as allocated by the autosampler software. </w:t>
      </w:r>
    </w:p>
    <w:p w14:paraId="5B842302" w14:textId="77777777" w:rsidR="0031675F" w:rsidRPr="0031675F" w:rsidRDefault="0031675F" w:rsidP="0031675F"/>
    <w:p w14:paraId="773FE32F" w14:textId="77777777" w:rsidR="0031675F" w:rsidRPr="0031675F" w:rsidRDefault="0031675F" w:rsidP="0031675F">
      <w:pPr>
        <w:ind w:left="540" w:hanging="540"/>
      </w:pPr>
      <w:r w:rsidRPr="0031675F">
        <w:rPr>
          <w:b/>
        </w:rPr>
        <w:t>10.4</w:t>
      </w:r>
      <w:r w:rsidRPr="0031675F">
        <w:t xml:space="preserve"> </w:t>
      </w:r>
      <w:r w:rsidRPr="0031675F">
        <w:tab/>
        <w:t>Remove the reagent water with Triton X-100 and add the working sulfanilamide solution, the working ammonium chloride buffer, and the inert gas to the system. Allow to equilibrate for 5 minutes.</w:t>
      </w:r>
    </w:p>
    <w:p w14:paraId="68FB6BA5" w14:textId="77777777" w:rsidR="0031675F" w:rsidRPr="0031675F" w:rsidRDefault="0031675F" w:rsidP="0031675F">
      <w:pPr>
        <w:ind w:left="540" w:hanging="540"/>
      </w:pPr>
    </w:p>
    <w:p w14:paraId="105D9699" w14:textId="77777777" w:rsidR="0031675F" w:rsidRPr="0031675F" w:rsidRDefault="0031675F" w:rsidP="0031675F">
      <w:pPr>
        <w:ind w:left="540" w:hanging="540"/>
      </w:pPr>
      <w:r w:rsidRPr="0031675F">
        <w:rPr>
          <w:b/>
        </w:rPr>
        <w:t>10.5</w:t>
      </w:r>
      <w:r w:rsidRPr="0031675F">
        <w:t xml:space="preserve"> </w:t>
      </w:r>
      <w:r w:rsidRPr="0031675F">
        <w:tab/>
        <w:t>If analysing for Nitrate and Nitrite then Regenerate the OTCR (refer 5.3.1) and place into the correct position on the manifold. Allow baseline to stabilize for 5 minutes. If analysing for nitrite only then ignore this step.</w:t>
      </w:r>
    </w:p>
    <w:p w14:paraId="71673682" w14:textId="77777777" w:rsidR="0031675F" w:rsidRPr="0031675F" w:rsidRDefault="0031675F" w:rsidP="0031675F">
      <w:pPr>
        <w:ind w:left="540" w:hanging="540"/>
      </w:pPr>
    </w:p>
    <w:p w14:paraId="1FA30BA5" w14:textId="11E86ACC" w:rsidR="0031675F" w:rsidRPr="0031675F" w:rsidRDefault="0031675F" w:rsidP="0031675F">
      <w:pPr>
        <w:ind w:left="540" w:hanging="540"/>
      </w:pPr>
      <w:r w:rsidRPr="0031675F">
        <w:rPr>
          <w:b/>
        </w:rPr>
        <w:t>10.6</w:t>
      </w:r>
      <w:r w:rsidRPr="0031675F">
        <w:t xml:space="preserve"> </w:t>
      </w:r>
      <w:r w:rsidRPr="0031675F">
        <w:tab/>
        <w:t>Inject a high level nitrate or nitrite standard e.g. 1000 µg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for 90 seconds and observe the peak absorbency through the spectrophotometer. </w:t>
      </w:r>
    </w:p>
    <w:p w14:paraId="4D027A81" w14:textId="77777777" w:rsidR="0031675F" w:rsidRPr="0031675F" w:rsidRDefault="0031675F" w:rsidP="0031675F">
      <w:pPr>
        <w:ind w:left="540" w:hanging="540"/>
      </w:pPr>
    </w:p>
    <w:p w14:paraId="73227E3A" w14:textId="77777777" w:rsidR="0031675F" w:rsidRPr="0031675F" w:rsidRDefault="0031675F" w:rsidP="0031675F">
      <w:pPr>
        <w:ind w:left="1440" w:hanging="900"/>
      </w:pPr>
      <w:r w:rsidRPr="0031675F">
        <w:rPr>
          <w:b/>
        </w:rPr>
        <w:t xml:space="preserve">NOTE: </w:t>
      </w:r>
      <w:r w:rsidRPr="0031675F">
        <w:rPr>
          <w:b/>
        </w:rPr>
        <w:tab/>
      </w:r>
      <w:r w:rsidRPr="0031675F">
        <w:t>If the peak height it too low then remove OTCR and regenerate again. If this still does not fix peak height then use a new OTCR.</w:t>
      </w:r>
    </w:p>
    <w:p w14:paraId="0D516F55" w14:textId="77777777" w:rsidR="0031675F" w:rsidRPr="0031675F" w:rsidRDefault="0031675F" w:rsidP="0031675F">
      <w:pPr>
        <w:ind w:left="1440" w:hanging="900"/>
      </w:pPr>
    </w:p>
    <w:p w14:paraId="0828D7E4" w14:textId="77777777" w:rsidR="0031675F" w:rsidRPr="0031675F" w:rsidRDefault="0031675F" w:rsidP="0031675F">
      <w:pPr>
        <w:numPr>
          <w:ilvl w:val="1"/>
          <w:numId w:val="186"/>
        </w:numPr>
        <w:tabs>
          <w:tab w:val="clear" w:pos="360"/>
          <w:tab w:val="num" w:pos="567"/>
        </w:tabs>
        <w:spacing w:before="0" w:after="0" w:line="240" w:lineRule="auto"/>
        <w:ind w:left="567" w:hanging="567"/>
        <w:jc w:val="both"/>
      </w:pPr>
      <w:r w:rsidRPr="0031675F">
        <w:t>Start the autosampler run. Observe that the first set of standards peak heights are normal and then check run periodically to ensure no malfunctions have occurred.</w:t>
      </w:r>
    </w:p>
    <w:p w14:paraId="21EEE84C" w14:textId="77777777" w:rsidR="0031675F" w:rsidRPr="0031675F" w:rsidRDefault="0031675F" w:rsidP="0031675F"/>
    <w:p w14:paraId="6552745D" w14:textId="77777777" w:rsidR="0031675F" w:rsidRPr="0031675F" w:rsidRDefault="0031675F" w:rsidP="0031675F">
      <w:pPr>
        <w:ind w:left="1418" w:hanging="851"/>
      </w:pPr>
      <w:r w:rsidRPr="0031675F">
        <w:rPr>
          <w:b/>
          <w:bCs/>
        </w:rPr>
        <w:t>NOTE:</w:t>
      </w:r>
      <w:r w:rsidRPr="0031675F">
        <w:rPr>
          <w:b/>
          <w:bCs/>
        </w:rPr>
        <w:tab/>
      </w:r>
      <w:r w:rsidRPr="0031675F">
        <w:t>If any samples are observed to exceed the upper working range standard then dilution of the sample and re-analysis should occur at the positions allocated for this purpose at the end of the run.</w:t>
      </w:r>
    </w:p>
    <w:p w14:paraId="2746FBF0" w14:textId="77777777" w:rsidR="0031675F" w:rsidRPr="0031675F" w:rsidRDefault="0031675F" w:rsidP="0031675F">
      <w:pPr>
        <w:ind w:left="540" w:hanging="540"/>
      </w:pPr>
    </w:p>
    <w:p w14:paraId="693BEC18" w14:textId="77777777" w:rsidR="0031675F" w:rsidRPr="0031675F" w:rsidRDefault="0031675F" w:rsidP="0031675F">
      <w:pPr>
        <w:ind w:left="540" w:hanging="540"/>
      </w:pPr>
      <w:r w:rsidRPr="0031675F">
        <w:rPr>
          <w:b/>
        </w:rPr>
        <w:t>10.8</w:t>
      </w:r>
      <w:r w:rsidRPr="0031675F">
        <w:t xml:space="preserve"> </w:t>
      </w:r>
      <w:r w:rsidRPr="0031675F">
        <w:tab/>
        <w:t xml:space="preserve">When autosampler run is finished stop the software, remove the OTCR (if used) followed by the working sulfanilamide solution and the working ammonium chloride buffer then put the reagent water with Triton X 100 back on. Rinse the manifold for a minimum of one hour and then turn the auto-analyser and peristaltic pump off. </w:t>
      </w:r>
    </w:p>
    <w:p w14:paraId="3ADD409E" w14:textId="77777777" w:rsidR="0031675F" w:rsidRPr="0031675F" w:rsidRDefault="0031675F" w:rsidP="0031675F">
      <w:pPr>
        <w:ind w:left="540" w:hanging="540"/>
      </w:pPr>
    </w:p>
    <w:p w14:paraId="5504B674" w14:textId="747ED856" w:rsidR="0031675F" w:rsidRPr="0031675F" w:rsidRDefault="0031675F" w:rsidP="0031675F">
      <w:pPr>
        <w:ind w:left="540" w:hanging="540"/>
        <w:rPr>
          <w:color w:val="FF9900"/>
        </w:rPr>
      </w:pPr>
      <w:r w:rsidRPr="0031675F">
        <w:rPr>
          <w:b/>
        </w:rPr>
        <w:t>10.9</w:t>
      </w:r>
      <w:r w:rsidRPr="0031675F">
        <w:t xml:space="preserve"> </w:t>
      </w:r>
      <w:r w:rsidRPr="0031675F">
        <w:tab/>
        <w:t xml:space="preserve">Print out a hard copy of the trace and calculate results using the relevant excel spreadsheets located </w:t>
      </w:r>
      <w:r w:rsidR="000C7BDF">
        <w:t>in the team drive (internal access only).</w:t>
      </w:r>
    </w:p>
    <w:p w14:paraId="30D85DCD" w14:textId="77777777" w:rsidR="0031675F" w:rsidRPr="0031675F" w:rsidRDefault="0031675F" w:rsidP="0031675F">
      <w:pPr>
        <w:rPr>
          <w:b/>
        </w:rPr>
      </w:pPr>
    </w:p>
    <w:p w14:paraId="77935D42" w14:textId="77777777" w:rsidR="0031675F" w:rsidRPr="0031675F" w:rsidRDefault="0031675F" w:rsidP="0031675F">
      <w:pPr>
        <w:shd w:val="clear" w:color="auto" w:fill="D9D9D9"/>
        <w:ind w:left="567" w:hanging="567"/>
        <w:rPr>
          <w:b/>
        </w:rPr>
      </w:pPr>
      <w:r w:rsidRPr="0031675F">
        <w:rPr>
          <w:b/>
        </w:rPr>
        <w:t xml:space="preserve">11.0 </w:t>
      </w:r>
      <w:r w:rsidRPr="0031675F">
        <w:rPr>
          <w:b/>
        </w:rPr>
        <w:tab/>
        <w:t>DATA ANALYSIS AND CALCULATIONS</w:t>
      </w:r>
    </w:p>
    <w:p w14:paraId="6B6D9A5F" w14:textId="77777777" w:rsidR="0031675F" w:rsidRPr="0031675F" w:rsidRDefault="0031675F" w:rsidP="0031675F">
      <w:pPr>
        <w:ind w:left="720" w:hanging="720"/>
        <w:rPr>
          <w:b/>
        </w:rPr>
      </w:pPr>
    </w:p>
    <w:p w14:paraId="66C80FD7" w14:textId="77777777" w:rsidR="0031675F" w:rsidRPr="0031675F" w:rsidRDefault="0031675F" w:rsidP="0031675F">
      <w:pPr>
        <w:ind w:left="540" w:hanging="540"/>
      </w:pPr>
      <w:r w:rsidRPr="0031675F">
        <w:rPr>
          <w:b/>
        </w:rPr>
        <w:t>11.1</w:t>
      </w:r>
      <w:r w:rsidRPr="0031675F">
        <w:t xml:space="preserve"> </w:t>
      </w:r>
      <w:r w:rsidRPr="0031675F">
        <w:tab/>
        <w:t>Concentrations of nitrate and nitrite in samples are calculated from the linear regression obtained from the calibration standards.</w:t>
      </w:r>
    </w:p>
    <w:p w14:paraId="2414A983" w14:textId="77777777" w:rsidR="0031675F" w:rsidRPr="0031675F" w:rsidRDefault="0031675F" w:rsidP="0031675F">
      <w:pPr>
        <w:ind w:left="1134" w:hanging="1134"/>
      </w:pPr>
    </w:p>
    <w:p w14:paraId="47B7CA7A" w14:textId="77777777" w:rsidR="0031675F" w:rsidRPr="0031675F" w:rsidRDefault="0031675F" w:rsidP="0031675F">
      <w:pPr>
        <w:numPr>
          <w:ilvl w:val="1"/>
          <w:numId w:val="176"/>
        </w:numPr>
        <w:spacing w:before="0" w:after="0" w:line="240" w:lineRule="auto"/>
        <w:ind w:left="540" w:hanging="540"/>
        <w:jc w:val="both"/>
      </w:pPr>
      <w:r w:rsidRPr="0031675F">
        <w:t>The Quality Control of the results (refer 7.0) is assessed and results are either accepted or rejected and re-run at a later date.</w:t>
      </w:r>
    </w:p>
    <w:p w14:paraId="70DF7386" w14:textId="77777777" w:rsidR="0031675F" w:rsidRPr="0031675F" w:rsidRDefault="0031675F" w:rsidP="0031675F">
      <w:pPr>
        <w:ind w:left="1134" w:hanging="1134"/>
      </w:pPr>
    </w:p>
    <w:p w14:paraId="475FC747" w14:textId="2FF670C4" w:rsidR="0031675F" w:rsidRPr="0031675F" w:rsidRDefault="0031675F" w:rsidP="0031675F">
      <w:pPr>
        <w:numPr>
          <w:ilvl w:val="1"/>
          <w:numId w:val="176"/>
        </w:numPr>
        <w:spacing w:before="0" w:after="0" w:line="240" w:lineRule="auto"/>
        <w:ind w:left="540" w:hanging="540"/>
        <w:jc w:val="both"/>
      </w:pPr>
      <w:r w:rsidRPr="0031675F">
        <w:t>Results should be reported in µg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unless otherwise requested (e.g. high values &gt; 5 mg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with the replicate and spike values stated on the report.</w:t>
      </w:r>
    </w:p>
    <w:p w14:paraId="406CC257" w14:textId="77777777" w:rsidR="0031675F" w:rsidRPr="0031675F" w:rsidRDefault="0031675F" w:rsidP="0031675F">
      <w:pPr>
        <w:ind w:left="1134" w:hanging="1134"/>
      </w:pPr>
    </w:p>
    <w:p w14:paraId="27684B63" w14:textId="77777777" w:rsidR="0031675F" w:rsidRPr="0031675F" w:rsidRDefault="0031675F" w:rsidP="0031675F">
      <w:pPr>
        <w:numPr>
          <w:ilvl w:val="2"/>
          <w:numId w:val="176"/>
        </w:numPr>
        <w:spacing w:before="0" w:after="0" w:line="240" w:lineRule="auto"/>
        <w:ind w:left="1247" w:hanging="680"/>
        <w:jc w:val="both"/>
      </w:pPr>
      <w:r w:rsidRPr="0031675F">
        <w:t>To calculate spike values for undiluted samples:</w:t>
      </w:r>
    </w:p>
    <w:p w14:paraId="6720EF40" w14:textId="77777777" w:rsidR="0031675F" w:rsidRPr="0031675F" w:rsidRDefault="0031675F" w:rsidP="0031675F"/>
    <w:tbl>
      <w:tblPr>
        <w:tblW w:w="0" w:type="auto"/>
        <w:jc w:val="center"/>
        <w:tblLook w:val="01E0" w:firstRow="1" w:lastRow="1" w:firstColumn="1" w:lastColumn="1" w:noHBand="0" w:noVBand="0"/>
      </w:tblPr>
      <w:tblGrid>
        <w:gridCol w:w="2448"/>
        <w:gridCol w:w="5040"/>
        <w:gridCol w:w="1368"/>
      </w:tblGrid>
      <w:tr w:rsidR="0031675F" w:rsidRPr="0031675F" w14:paraId="4AD412F6" w14:textId="77777777" w:rsidTr="00B00729">
        <w:trPr>
          <w:cantSplit/>
          <w:trHeight w:val="504"/>
          <w:jc w:val="center"/>
        </w:trPr>
        <w:tc>
          <w:tcPr>
            <w:tcW w:w="2448" w:type="dxa"/>
            <w:vMerge w:val="restart"/>
            <w:vAlign w:val="center"/>
          </w:tcPr>
          <w:p w14:paraId="758765BB" w14:textId="77777777" w:rsidR="0031675F" w:rsidRPr="0031675F" w:rsidRDefault="0031675F" w:rsidP="0031675F">
            <w:pPr>
              <w:jc w:val="center"/>
            </w:pPr>
            <w:r w:rsidRPr="0031675F">
              <w:t>Spike Recovery (%) =</w:t>
            </w:r>
          </w:p>
        </w:tc>
        <w:tc>
          <w:tcPr>
            <w:tcW w:w="5040" w:type="dxa"/>
            <w:tcBorders>
              <w:bottom w:val="single" w:sz="4" w:space="0" w:color="auto"/>
            </w:tcBorders>
            <w:vAlign w:val="center"/>
          </w:tcPr>
          <w:p w14:paraId="66569DF5" w14:textId="77777777" w:rsidR="0031675F" w:rsidRPr="0031675F" w:rsidRDefault="0031675F" w:rsidP="0031675F">
            <w:pPr>
              <w:jc w:val="center"/>
            </w:pPr>
            <w:r w:rsidRPr="0031675F">
              <w:t>Sample + Average of Blanked Spiked Samples</w:t>
            </w:r>
          </w:p>
        </w:tc>
        <w:tc>
          <w:tcPr>
            <w:tcW w:w="1368" w:type="dxa"/>
            <w:vMerge w:val="restart"/>
            <w:vAlign w:val="center"/>
          </w:tcPr>
          <w:p w14:paraId="23F6B6EB" w14:textId="77777777" w:rsidR="0031675F" w:rsidRPr="0031675F" w:rsidRDefault="0031675F" w:rsidP="0031675F">
            <w:pPr>
              <w:jc w:val="center"/>
            </w:pPr>
            <w:r w:rsidRPr="0031675F">
              <w:t>X 100</w:t>
            </w:r>
          </w:p>
        </w:tc>
      </w:tr>
      <w:tr w:rsidR="0031675F" w:rsidRPr="0031675F" w14:paraId="657069AC" w14:textId="77777777" w:rsidTr="00B00729">
        <w:trPr>
          <w:cantSplit/>
          <w:trHeight w:val="516"/>
          <w:jc w:val="center"/>
        </w:trPr>
        <w:tc>
          <w:tcPr>
            <w:tcW w:w="2448" w:type="dxa"/>
            <w:vMerge/>
            <w:vAlign w:val="center"/>
          </w:tcPr>
          <w:p w14:paraId="44E84D0B" w14:textId="77777777" w:rsidR="0031675F" w:rsidRPr="0031675F" w:rsidRDefault="0031675F" w:rsidP="0031675F"/>
        </w:tc>
        <w:tc>
          <w:tcPr>
            <w:tcW w:w="5040" w:type="dxa"/>
            <w:tcBorders>
              <w:top w:val="single" w:sz="4" w:space="0" w:color="auto"/>
            </w:tcBorders>
            <w:vAlign w:val="center"/>
          </w:tcPr>
          <w:p w14:paraId="1EE08B7F" w14:textId="77777777" w:rsidR="0031675F" w:rsidRPr="0031675F" w:rsidRDefault="0031675F" w:rsidP="0031675F">
            <w:pPr>
              <w:jc w:val="center"/>
            </w:pPr>
            <w:r w:rsidRPr="0031675F">
              <w:t>Spiked Sample</w:t>
            </w:r>
          </w:p>
        </w:tc>
        <w:tc>
          <w:tcPr>
            <w:tcW w:w="1368" w:type="dxa"/>
            <w:vMerge/>
            <w:vAlign w:val="center"/>
          </w:tcPr>
          <w:p w14:paraId="27543B37" w14:textId="77777777" w:rsidR="0031675F" w:rsidRPr="0031675F" w:rsidRDefault="0031675F" w:rsidP="0031675F">
            <w:pPr>
              <w:jc w:val="center"/>
            </w:pPr>
          </w:p>
        </w:tc>
      </w:tr>
    </w:tbl>
    <w:p w14:paraId="2492CA45" w14:textId="77777777" w:rsidR="0031675F" w:rsidRPr="0031675F" w:rsidRDefault="0031675F" w:rsidP="0031675F"/>
    <w:p w14:paraId="2E668A4A" w14:textId="77777777" w:rsidR="0031675F" w:rsidRPr="0031675F" w:rsidRDefault="0031675F" w:rsidP="0031675F">
      <w:pPr>
        <w:tabs>
          <w:tab w:val="left" w:pos="567"/>
          <w:tab w:val="num" w:pos="1276"/>
        </w:tabs>
      </w:pPr>
      <w:r w:rsidRPr="0031675F">
        <w:tab/>
      </w:r>
      <w:r w:rsidRPr="0031675F">
        <w:rPr>
          <w:b/>
          <w:bCs/>
        </w:rPr>
        <w:t>11.3.2</w:t>
      </w:r>
      <w:r w:rsidRPr="0031675F">
        <w:tab/>
        <w:t>To calculate spike values for diluted samples:</w:t>
      </w:r>
    </w:p>
    <w:p w14:paraId="2ED40ED4" w14:textId="77777777" w:rsidR="0031675F" w:rsidRPr="0031675F" w:rsidRDefault="0031675F" w:rsidP="0031675F"/>
    <w:tbl>
      <w:tblPr>
        <w:tblW w:w="0" w:type="auto"/>
        <w:jc w:val="center"/>
        <w:tblLook w:val="01E0" w:firstRow="1" w:lastRow="1" w:firstColumn="1" w:lastColumn="1" w:noHBand="0" w:noVBand="0"/>
      </w:tblPr>
      <w:tblGrid>
        <w:gridCol w:w="2448"/>
        <w:gridCol w:w="5040"/>
        <w:gridCol w:w="1368"/>
      </w:tblGrid>
      <w:tr w:rsidR="0031675F" w:rsidRPr="0031675F" w14:paraId="61F4478B" w14:textId="77777777" w:rsidTr="00B00729">
        <w:trPr>
          <w:cantSplit/>
          <w:trHeight w:val="786"/>
          <w:jc w:val="center"/>
        </w:trPr>
        <w:tc>
          <w:tcPr>
            <w:tcW w:w="2448" w:type="dxa"/>
            <w:vMerge w:val="restart"/>
            <w:vAlign w:val="center"/>
          </w:tcPr>
          <w:p w14:paraId="18499B9B" w14:textId="77777777" w:rsidR="0031675F" w:rsidRPr="0031675F" w:rsidRDefault="0031675F" w:rsidP="0031675F">
            <w:pPr>
              <w:jc w:val="center"/>
            </w:pPr>
            <w:r w:rsidRPr="0031675F">
              <w:t>Spike Recovery (Dilutions) (%) =</w:t>
            </w:r>
          </w:p>
        </w:tc>
        <w:tc>
          <w:tcPr>
            <w:tcW w:w="5040" w:type="dxa"/>
            <w:tcBorders>
              <w:bottom w:val="single" w:sz="4" w:space="0" w:color="auto"/>
            </w:tcBorders>
            <w:vAlign w:val="center"/>
          </w:tcPr>
          <w:p w14:paraId="5AE352D0" w14:textId="77777777" w:rsidR="0031675F" w:rsidRPr="0031675F" w:rsidRDefault="0031675F" w:rsidP="0031675F">
            <w:pPr>
              <w:jc w:val="center"/>
            </w:pPr>
            <w:r w:rsidRPr="0031675F">
              <w:t>(Sample/Dilution) + Average of Blanked Spiked Samples</w:t>
            </w:r>
          </w:p>
        </w:tc>
        <w:tc>
          <w:tcPr>
            <w:tcW w:w="1368" w:type="dxa"/>
            <w:vMerge w:val="restart"/>
            <w:vAlign w:val="center"/>
          </w:tcPr>
          <w:p w14:paraId="5DECD6AB" w14:textId="77777777" w:rsidR="0031675F" w:rsidRPr="0031675F" w:rsidRDefault="0031675F" w:rsidP="0031675F">
            <w:pPr>
              <w:jc w:val="center"/>
            </w:pPr>
            <w:r w:rsidRPr="0031675F">
              <w:t>X 100</w:t>
            </w:r>
          </w:p>
        </w:tc>
      </w:tr>
      <w:tr w:rsidR="0031675F" w:rsidRPr="0031675F" w14:paraId="47ABD528" w14:textId="77777777" w:rsidTr="00B00729">
        <w:trPr>
          <w:cantSplit/>
          <w:trHeight w:val="649"/>
          <w:jc w:val="center"/>
        </w:trPr>
        <w:tc>
          <w:tcPr>
            <w:tcW w:w="2448" w:type="dxa"/>
            <w:vMerge/>
            <w:vAlign w:val="center"/>
          </w:tcPr>
          <w:p w14:paraId="73698F23" w14:textId="77777777" w:rsidR="0031675F" w:rsidRPr="0031675F" w:rsidRDefault="0031675F" w:rsidP="0031675F"/>
        </w:tc>
        <w:tc>
          <w:tcPr>
            <w:tcW w:w="5040" w:type="dxa"/>
            <w:tcBorders>
              <w:top w:val="single" w:sz="4" w:space="0" w:color="auto"/>
            </w:tcBorders>
            <w:vAlign w:val="center"/>
          </w:tcPr>
          <w:p w14:paraId="33A52448" w14:textId="77777777" w:rsidR="0031675F" w:rsidRPr="0031675F" w:rsidRDefault="0031675F" w:rsidP="0031675F">
            <w:pPr>
              <w:jc w:val="center"/>
            </w:pPr>
            <w:r w:rsidRPr="0031675F">
              <w:t>(Spiked Sample/dilution)</w:t>
            </w:r>
          </w:p>
        </w:tc>
        <w:tc>
          <w:tcPr>
            <w:tcW w:w="1368" w:type="dxa"/>
            <w:vMerge/>
            <w:vAlign w:val="center"/>
          </w:tcPr>
          <w:p w14:paraId="616DADA7" w14:textId="77777777" w:rsidR="0031675F" w:rsidRPr="0031675F" w:rsidRDefault="0031675F" w:rsidP="0031675F"/>
        </w:tc>
      </w:tr>
    </w:tbl>
    <w:p w14:paraId="261D322E" w14:textId="77777777" w:rsidR="0031675F" w:rsidRPr="0031675F" w:rsidRDefault="0031675F" w:rsidP="0031675F">
      <w:pPr>
        <w:rPr>
          <w:b/>
        </w:rPr>
        <w:sectPr w:rsidR="0031675F" w:rsidRPr="0031675F" w:rsidSect="00084431">
          <w:headerReference w:type="default" r:id="rId220"/>
          <w:footerReference w:type="default" r:id="rId221"/>
          <w:pgSz w:w="11907" w:h="16840" w:code="9"/>
          <w:pgMar w:top="1418" w:right="1418" w:bottom="1418" w:left="1418" w:header="708" w:footer="708" w:gutter="0"/>
          <w:cols w:space="708"/>
          <w:docGrid w:linePitch="360"/>
        </w:sectPr>
      </w:pPr>
    </w:p>
    <w:p w14:paraId="539709A2" w14:textId="5E140C16" w:rsidR="00F5511E" w:rsidRDefault="00F5511E" w:rsidP="00D332D9">
      <w:pPr>
        <w:pStyle w:val="Heading2"/>
        <w:numPr>
          <w:ilvl w:val="0"/>
          <w:numId w:val="0"/>
        </w:numPr>
        <w:ind w:left="284"/>
        <w:jc w:val="center"/>
      </w:pPr>
      <w:bookmarkStart w:id="759" w:name="_Toc12365648"/>
      <w:r w:rsidRPr="0031675F">
        <w:t>Appendix</w:t>
      </w:r>
      <w:r w:rsidRPr="0031675F">
        <w:rPr>
          <w:spacing w:val="-14"/>
        </w:rPr>
        <w:t xml:space="preserve"> </w:t>
      </w:r>
      <w:r w:rsidRPr="0031675F">
        <w:t>B</w:t>
      </w:r>
      <w:r>
        <w:t xml:space="preserve">8 </w:t>
      </w:r>
      <w:r w:rsidRPr="00F5511E">
        <w:t>TropWater Auto-analysis methods:</w:t>
      </w:r>
      <w:r w:rsidR="00D332D9">
        <w:t xml:space="preserve"> </w:t>
      </w:r>
      <w:r w:rsidRPr="00F5511E">
        <w:t>Nitrogen – Total Alkaline Persulfate</w:t>
      </w:r>
      <w:bookmarkEnd w:id="759"/>
    </w:p>
    <w:p w14:paraId="47549AD5" w14:textId="77777777" w:rsidR="0031675F" w:rsidRPr="0031675F" w:rsidRDefault="0031675F" w:rsidP="0031675F">
      <w:pPr>
        <w:jc w:val="center"/>
      </w:pPr>
    </w:p>
    <w:p w14:paraId="13C4BEF0" w14:textId="77777777" w:rsidR="0031675F" w:rsidRPr="0031675F" w:rsidRDefault="0031675F" w:rsidP="0031675F">
      <w:pPr>
        <w:jc w:val="center"/>
      </w:pPr>
      <w:r w:rsidRPr="0031675F">
        <w:rPr>
          <w:noProof/>
          <w:lang w:eastAsia="en-AU"/>
        </w:rPr>
        <w:drawing>
          <wp:inline distT="0" distB="0" distL="0" distR="0" wp14:anchorId="54D11E2C" wp14:editId="757F6F93">
            <wp:extent cx="2296160" cy="1401445"/>
            <wp:effectExtent l="0" t="0" r="8890" b="8255"/>
            <wp:docPr id="164" name="Picture 164"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88" r:link="rId189">
                      <a:extLst>
                        <a:ext uri="{28A0092B-C50C-407E-A947-70E740481C1C}">
                          <a14:useLocalDpi xmlns:a14="http://schemas.microsoft.com/office/drawing/2010/main" val="0"/>
                        </a:ext>
                      </a:extLst>
                    </a:blip>
                    <a:srcRect/>
                    <a:stretch>
                      <a:fillRect/>
                    </a:stretch>
                  </pic:blipFill>
                  <pic:spPr bwMode="auto">
                    <a:xfrm>
                      <a:off x="0" y="0"/>
                      <a:ext cx="2296160" cy="1401445"/>
                    </a:xfrm>
                    <a:prstGeom prst="rect">
                      <a:avLst/>
                    </a:prstGeom>
                    <a:noFill/>
                    <a:ln>
                      <a:noFill/>
                    </a:ln>
                  </pic:spPr>
                </pic:pic>
              </a:graphicData>
            </a:graphic>
          </wp:inline>
        </w:drawing>
      </w:r>
    </w:p>
    <w:p w14:paraId="7DDDC3B1" w14:textId="77777777" w:rsidR="0031675F" w:rsidRPr="0031675F" w:rsidRDefault="0031675F" w:rsidP="0031675F">
      <w:pPr>
        <w:jc w:val="center"/>
      </w:pPr>
    </w:p>
    <w:p w14:paraId="3FA95A95" w14:textId="77777777" w:rsidR="0031675F" w:rsidRPr="0031675F" w:rsidRDefault="0031675F" w:rsidP="0031675F">
      <w:pPr>
        <w:jc w:val="center"/>
      </w:pPr>
    </w:p>
    <w:p w14:paraId="5F04D494" w14:textId="77777777" w:rsidR="0031675F" w:rsidRPr="0031675F" w:rsidRDefault="0031675F" w:rsidP="0031675F">
      <w:pPr>
        <w:jc w:val="center"/>
        <w:rPr>
          <w:rFonts w:cs="Arial"/>
        </w:rPr>
      </w:pPr>
    </w:p>
    <w:p w14:paraId="575C126C" w14:textId="77777777" w:rsidR="0031675F" w:rsidRPr="0031675F" w:rsidRDefault="0031675F" w:rsidP="0031675F"/>
    <w:p w14:paraId="023B9F37" w14:textId="77777777" w:rsidR="0031675F" w:rsidRPr="0031675F" w:rsidRDefault="0031675F" w:rsidP="0031675F">
      <w:pPr>
        <w:rPr>
          <w:b/>
        </w:rPr>
      </w:pPr>
    </w:p>
    <w:p w14:paraId="4457BCA0" w14:textId="77777777" w:rsidR="0031675F" w:rsidRPr="0031675F" w:rsidRDefault="0031675F" w:rsidP="0031675F">
      <w:pPr>
        <w:rPr>
          <w:b/>
        </w:rPr>
        <w:sectPr w:rsidR="0031675F" w:rsidRPr="0031675F" w:rsidSect="00084431">
          <w:headerReference w:type="default" r:id="rId222"/>
          <w:footerReference w:type="default" r:id="rId223"/>
          <w:pgSz w:w="11907" w:h="16840" w:code="9"/>
          <w:pgMar w:top="1418" w:right="1418" w:bottom="1418" w:left="1418" w:header="709" w:footer="709" w:gutter="0"/>
          <w:cols w:space="708"/>
          <w:vAlign w:val="center"/>
          <w:docGrid w:linePitch="360"/>
        </w:sectPr>
      </w:pPr>
    </w:p>
    <w:p w14:paraId="74EC1014" w14:textId="4896E25C" w:rsidR="0031675F" w:rsidRPr="0031675F" w:rsidRDefault="0031675F" w:rsidP="0031675F">
      <w:pPr>
        <w:rPr>
          <w:b/>
          <w:sz w:val="28"/>
          <w:szCs w:val="28"/>
        </w:rPr>
      </w:pPr>
      <w:r w:rsidRPr="0031675F">
        <w:rPr>
          <w:b/>
          <w:sz w:val="28"/>
          <w:szCs w:val="28"/>
        </w:rPr>
        <w:t>N</w:t>
      </w:r>
      <w:r w:rsidR="006B1D5F">
        <w:rPr>
          <w:b/>
          <w:sz w:val="28"/>
          <w:szCs w:val="28"/>
        </w:rPr>
        <w:t>itrogen – Total Alkaline Persul</w:t>
      </w:r>
      <w:r w:rsidR="00CC6786">
        <w:rPr>
          <w:b/>
          <w:sz w:val="28"/>
          <w:szCs w:val="28"/>
        </w:rPr>
        <w:t>f</w:t>
      </w:r>
      <w:r w:rsidRPr="0031675F">
        <w:rPr>
          <w:b/>
          <w:sz w:val="28"/>
          <w:szCs w:val="28"/>
        </w:rPr>
        <w:t>ate</w:t>
      </w:r>
    </w:p>
    <w:p w14:paraId="1F31CAD3" w14:textId="77777777" w:rsidR="0031675F" w:rsidRPr="0031675F" w:rsidRDefault="0031675F" w:rsidP="0031675F">
      <w:pPr>
        <w:shd w:val="clear" w:color="auto" w:fill="D9D9D9"/>
        <w:ind w:left="540" w:hanging="540"/>
        <w:rPr>
          <w:b/>
        </w:rPr>
      </w:pPr>
      <w:r w:rsidRPr="0031675F">
        <w:rPr>
          <w:b/>
        </w:rPr>
        <w:t xml:space="preserve">1.0 </w:t>
      </w:r>
      <w:r w:rsidRPr="0031675F">
        <w:rPr>
          <w:b/>
        </w:rPr>
        <w:tab/>
        <w:t>SCOPE AND APPLICATION</w:t>
      </w:r>
    </w:p>
    <w:p w14:paraId="543EC85C" w14:textId="77777777" w:rsidR="0031675F" w:rsidRPr="0031675F" w:rsidRDefault="0031675F" w:rsidP="0031675F"/>
    <w:p w14:paraId="079944BF" w14:textId="77777777" w:rsidR="0031675F" w:rsidRPr="0031675F" w:rsidRDefault="0031675F" w:rsidP="0031675F">
      <w:r w:rsidRPr="0031675F">
        <w:t xml:space="preserve">This method provides a procedure for the determination on Total Nitrogen (TN) in drinking, surface, groundwater, saline and effluent wastewater samples. </w:t>
      </w:r>
    </w:p>
    <w:p w14:paraId="1DEF0644" w14:textId="77777777" w:rsidR="0031675F" w:rsidRPr="0031675F" w:rsidRDefault="0031675F" w:rsidP="0031675F"/>
    <w:p w14:paraId="75D01EFD" w14:textId="77777777" w:rsidR="0031675F" w:rsidRPr="0031675F" w:rsidRDefault="0031675F" w:rsidP="0031675F">
      <w:r w:rsidRPr="0031675F">
        <w:t>Both Total Nitrogen/Total Filterable Nitrogen and Total Phosphorus/Total Filterable Phosphorus are digested simultaneously and also auto analysed simultaneously.</w:t>
      </w:r>
    </w:p>
    <w:p w14:paraId="4C41CA45" w14:textId="77777777" w:rsidR="0031675F" w:rsidRPr="0031675F" w:rsidRDefault="0031675F" w:rsidP="0031675F"/>
    <w:p w14:paraId="12F9845F" w14:textId="6290746C" w:rsidR="0031675F" w:rsidRPr="0031675F" w:rsidRDefault="0031675F" w:rsidP="0031675F">
      <w:r w:rsidRPr="0031675F">
        <w:t>The working range is 0.025 – 2.0 mg</w:t>
      </w:r>
      <w:r w:rsidR="004F29DF">
        <w:t xml:space="preserve"> </w:t>
      </w:r>
      <w:r w:rsidRPr="0031675F">
        <w:t>L</w:t>
      </w:r>
      <w:r w:rsidR="004F29DF" w:rsidRPr="004F29DF">
        <w:rPr>
          <w:vertAlign w:val="superscript"/>
        </w:rPr>
        <w:t>-1</w:t>
      </w:r>
      <w:r w:rsidRPr="0031675F">
        <w:t xml:space="preserve"> as N.</w:t>
      </w:r>
    </w:p>
    <w:p w14:paraId="0957F90C" w14:textId="77777777" w:rsidR="0031675F" w:rsidRPr="0031675F" w:rsidRDefault="0031675F" w:rsidP="0031675F"/>
    <w:p w14:paraId="0EF9EE3F" w14:textId="77777777" w:rsidR="0031675F" w:rsidRPr="0031675F" w:rsidRDefault="0031675F" w:rsidP="0031675F">
      <w:r w:rsidRPr="0031675F">
        <w:t>Organically bound nitrogen in water samples is converted to free nitrate by digestion at elevated temperature in an alkaline solution of potassium persulfate. The resulting digest is then analysed using an automated segmented flow analyser utilizing a copper coated cadmium reduction column. The nitrate in the sample is reduced to nitrite which is then determined by diazotizing with sulfanilamide and coupling with N-1-naphthylethylenediamine dihydrochloride to form a red color azo dye which is read spectrophotometrically at 540nm. The absorbance measured at 540nm is linearly proportional to the concentration of nitrite + nitrate in the samples.</w:t>
      </w:r>
    </w:p>
    <w:p w14:paraId="253592CC" w14:textId="77777777" w:rsidR="0031675F" w:rsidRPr="0031675F" w:rsidRDefault="0031675F" w:rsidP="0031675F"/>
    <w:p w14:paraId="134D6086" w14:textId="77777777" w:rsidR="0031675F" w:rsidRPr="0031675F" w:rsidRDefault="0031675F" w:rsidP="0031675F">
      <w:pPr>
        <w:numPr>
          <w:ilvl w:val="1"/>
          <w:numId w:val="172"/>
        </w:numPr>
        <w:tabs>
          <w:tab w:val="clear" w:pos="1080"/>
        </w:tabs>
        <w:spacing w:before="0" w:after="0" w:line="240" w:lineRule="auto"/>
        <w:ind w:left="540" w:hanging="540"/>
        <w:jc w:val="both"/>
        <w:rPr>
          <w:b/>
        </w:rPr>
      </w:pPr>
      <w:r w:rsidRPr="0031675F">
        <w:rPr>
          <w:b/>
        </w:rPr>
        <w:t>Interferences</w:t>
      </w:r>
      <w:r w:rsidRPr="0031675F">
        <w:rPr>
          <w:b/>
        </w:rPr>
        <w:br/>
      </w:r>
    </w:p>
    <w:p w14:paraId="1A7CA1F0" w14:textId="322A0DC6" w:rsidR="0031675F" w:rsidRPr="0031675F" w:rsidRDefault="0031675F" w:rsidP="0031675F">
      <w:pPr>
        <w:ind w:left="1080" w:hanging="540"/>
      </w:pPr>
      <w:r w:rsidRPr="0031675F">
        <w:rPr>
          <w:b/>
        </w:rPr>
        <w:t xml:space="preserve">1.1.1 </w:t>
      </w:r>
      <w:r w:rsidRPr="0031675F">
        <w:t>Samples containing high amounts of particulate matter (i.e. TSS mg</w:t>
      </w:r>
      <w:r w:rsidR="00E817CB" w:rsidRPr="00E817CB">
        <w:t xml:space="preserve"> L</w:t>
      </w:r>
      <w:r w:rsidR="00E817CB" w:rsidRPr="00E817CB">
        <w:rPr>
          <w:vertAlign w:val="superscript"/>
        </w:rPr>
        <w:t>-1</w:t>
      </w:r>
      <w:r w:rsidRPr="0031675F">
        <w:t xml:space="preserve"> value &gt; 100) may give poor total nitrogen recoveries. These samples require dilution pre-digest that include a spike to check the nitrogen recoveries during the digestion procedure.</w:t>
      </w:r>
    </w:p>
    <w:p w14:paraId="3A5D42F0" w14:textId="77777777" w:rsidR="0031675F" w:rsidRPr="0031675F" w:rsidRDefault="0031675F" w:rsidP="0031675F">
      <w:pPr>
        <w:ind w:left="1080" w:hanging="540"/>
      </w:pPr>
    </w:p>
    <w:p w14:paraId="26DDC75B" w14:textId="77777777" w:rsidR="0031675F" w:rsidRPr="0031675F" w:rsidRDefault="0031675F" w:rsidP="0031675F">
      <w:pPr>
        <w:ind w:left="1080" w:hanging="540"/>
      </w:pPr>
      <w:r w:rsidRPr="0031675F">
        <w:rPr>
          <w:b/>
        </w:rPr>
        <w:t>1.1.2</w:t>
      </w:r>
      <w:r w:rsidRPr="0031675F">
        <w:t xml:space="preserve"> For saline samples a two stage digestion is required to ensure that the white precipitate formed with the addition of the digestion mixture is dissolved, therefore ensuring adequate nitrogen recoveries.</w:t>
      </w:r>
      <w:r w:rsidRPr="0031675F">
        <w:br/>
      </w:r>
    </w:p>
    <w:p w14:paraId="2535C38E" w14:textId="77777777" w:rsidR="0031675F" w:rsidRPr="0031675F" w:rsidRDefault="0031675F" w:rsidP="0031675F">
      <w:pPr>
        <w:ind w:left="1080" w:hanging="540"/>
      </w:pPr>
      <w:r w:rsidRPr="0031675F">
        <w:rPr>
          <w:b/>
        </w:rPr>
        <w:t xml:space="preserve">1.1.3 </w:t>
      </w:r>
      <w:r w:rsidRPr="0031675F">
        <w:t>Contamination by ammonia can be a pre-digestion interference caused by the laboratory atmosphere, sweat on the technicians hand and tobacco smoke etc. To negate this contamination the technician must always be aware of any potential contaminants and take the necessary steps to minimise this error, therefore ensuring the most accurate results is obtained.</w:t>
      </w:r>
    </w:p>
    <w:p w14:paraId="1A9BDBBB" w14:textId="77777777" w:rsidR="0031675F" w:rsidRPr="0031675F" w:rsidRDefault="0031675F" w:rsidP="0031675F">
      <w:pPr>
        <w:ind w:left="1080" w:hanging="540"/>
      </w:pPr>
    </w:p>
    <w:p w14:paraId="684950CD" w14:textId="77777777" w:rsidR="0031675F" w:rsidRPr="0031675F" w:rsidRDefault="0031675F" w:rsidP="0031675F">
      <w:pPr>
        <w:ind w:left="1080" w:hanging="540"/>
      </w:pPr>
      <w:r w:rsidRPr="0031675F">
        <w:rPr>
          <w:b/>
        </w:rPr>
        <w:t>1.1.4</w:t>
      </w:r>
      <w:r w:rsidRPr="0031675F">
        <w:t xml:space="preserve"> Samples which contain high ammonia may cause lower nitrogen recoveries due to the addition of the alkaline digestion mixture. Replicates using different dilutions and spike recoveries will ensure accurate results are obtained.</w:t>
      </w:r>
      <w:r w:rsidRPr="0031675F">
        <w:tab/>
      </w:r>
      <w:r w:rsidRPr="0031675F">
        <w:br/>
      </w:r>
    </w:p>
    <w:p w14:paraId="5FADA755" w14:textId="77777777" w:rsidR="0031675F" w:rsidRPr="0031675F" w:rsidRDefault="0031675F" w:rsidP="0031675F">
      <w:pPr>
        <w:ind w:left="540" w:hanging="540"/>
      </w:pPr>
      <w:r w:rsidRPr="0031675F">
        <w:rPr>
          <w:b/>
        </w:rPr>
        <w:t xml:space="preserve">1.2 </w:t>
      </w:r>
      <w:r w:rsidRPr="0031675F">
        <w:rPr>
          <w:b/>
        </w:rPr>
        <w:tab/>
      </w:r>
      <w:r w:rsidRPr="0031675F">
        <w:t>Approximately 30 samples per hour can be analysed.</w:t>
      </w:r>
    </w:p>
    <w:p w14:paraId="23F94012" w14:textId="77777777" w:rsidR="0031675F" w:rsidRPr="0031675F" w:rsidRDefault="0031675F" w:rsidP="0031675F">
      <w:pPr>
        <w:ind w:left="540" w:hanging="540"/>
      </w:pPr>
    </w:p>
    <w:p w14:paraId="2C1BC45D" w14:textId="77777777" w:rsidR="0031675F" w:rsidRPr="0031675F" w:rsidRDefault="0031675F" w:rsidP="0031675F">
      <w:pPr>
        <w:ind w:left="540" w:hanging="540"/>
      </w:pPr>
      <w:r w:rsidRPr="0031675F">
        <w:rPr>
          <w:b/>
        </w:rPr>
        <w:t>1.3</w:t>
      </w:r>
      <w:r w:rsidRPr="0031675F">
        <w:t xml:space="preserve">  </w:t>
      </w:r>
      <w:r w:rsidRPr="0031675F">
        <w:tab/>
        <w:t>This method requires experience in the use of automated gas segmented flow colorimetric analyses, and familiarity with the techniques of preparation, activation and maintenance of the cadmium reduction column. A minimum of 6 months training under the direct supervision of an experienced nutrient analyst is required before independent nutrient analyses can be performed.</w:t>
      </w:r>
    </w:p>
    <w:p w14:paraId="4048E4C0" w14:textId="77777777" w:rsidR="0031675F" w:rsidRPr="0031675F" w:rsidRDefault="0031675F" w:rsidP="0031675F">
      <w:pPr>
        <w:rPr>
          <w:b/>
        </w:rPr>
      </w:pPr>
    </w:p>
    <w:p w14:paraId="477C5FBC" w14:textId="77777777" w:rsidR="0031675F" w:rsidRPr="0031675F" w:rsidRDefault="0031675F" w:rsidP="0031675F">
      <w:pPr>
        <w:rPr>
          <w:b/>
        </w:rPr>
      </w:pPr>
    </w:p>
    <w:p w14:paraId="09717BCD" w14:textId="77777777" w:rsidR="0031675F" w:rsidRPr="0031675F" w:rsidRDefault="0031675F" w:rsidP="0031675F">
      <w:pPr>
        <w:rPr>
          <w:b/>
        </w:rPr>
      </w:pPr>
      <w:r w:rsidRPr="0031675F">
        <w:rPr>
          <w:b/>
        </w:rPr>
        <w:br w:type="page"/>
      </w:r>
    </w:p>
    <w:p w14:paraId="61A72C68" w14:textId="77777777" w:rsidR="0031675F" w:rsidRPr="0031675F" w:rsidRDefault="0031675F" w:rsidP="0031675F">
      <w:pPr>
        <w:shd w:val="clear" w:color="auto" w:fill="D9D9D9"/>
        <w:ind w:left="567" w:hanging="567"/>
        <w:rPr>
          <w:b/>
        </w:rPr>
      </w:pPr>
      <w:r w:rsidRPr="0031675F">
        <w:rPr>
          <w:b/>
        </w:rPr>
        <w:t xml:space="preserve">2.0 </w:t>
      </w:r>
      <w:r w:rsidRPr="0031675F">
        <w:rPr>
          <w:b/>
        </w:rPr>
        <w:tab/>
        <w:t>DEFINITIONS</w:t>
      </w:r>
    </w:p>
    <w:p w14:paraId="655F6FD0" w14:textId="77777777" w:rsidR="0031675F" w:rsidRPr="0031675F" w:rsidRDefault="0031675F" w:rsidP="0031675F">
      <w:pPr>
        <w:rPr>
          <w:b/>
        </w:rPr>
      </w:pPr>
    </w:p>
    <w:p w14:paraId="19517D32" w14:textId="77777777" w:rsidR="0031675F" w:rsidRPr="0031675F" w:rsidRDefault="0031675F" w:rsidP="0031675F">
      <w:pPr>
        <w:ind w:left="540" w:hanging="540"/>
      </w:pPr>
      <w:r w:rsidRPr="0031675F">
        <w:rPr>
          <w:b/>
        </w:rPr>
        <w:t xml:space="preserve">2.1 </w:t>
      </w:r>
      <w:r w:rsidRPr="0031675F">
        <w:rPr>
          <w:b/>
        </w:rPr>
        <w:tab/>
        <w:t>Calibration Standard (</w:t>
      </w:r>
      <w:smartTag w:uri="urn:schemas-microsoft-com:office:smarttags" w:element="place">
        <w:smartTag w:uri="urn:schemas-microsoft-com:office:smarttags" w:element="State">
          <w:r w:rsidRPr="0031675F">
            <w:rPr>
              <w:b/>
            </w:rPr>
            <w:t>CAL</w:t>
          </w:r>
        </w:smartTag>
      </w:smartTag>
      <w:r w:rsidRPr="0031675F">
        <w:rPr>
          <w:b/>
        </w:rPr>
        <w:t xml:space="preserve">) – </w:t>
      </w:r>
      <w:r w:rsidRPr="0031675F">
        <w:t xml:space="preserve">A solution prepared from the primary dilution standard solution or stock standard solution containing analytes. The </w:t>
      </w:r>
      <w:smartTag w:uri="urn:schemas-microsoft-com:office:smarttags" w:element="place">
        <w:smartTag w:uri="urn:schemas-microsoft-com:office:smarttags" w:element="State">
          <w:r w:rsidRPr="0031675F">
            <w:t>CAL</w:t>
          </w:r>
        </w:smartTag>
      </w:smartTag>
      <w:r w:rsidRPr="0031675F">
        <w:t xml:space="preserve"> solutions are used to calibrate the instrument response with respect to analyte concentration.</w:t>
      </w:r>
    </w:p>
    <w:p w14:paraId="663C9997" w14:textId="77777777" w:rsidR="0031675F" w:rsidRPr="0031675F" w:rsidRDefault="0031675F" w:rsidP="0031675F">
      <w:pPr>
        <w:ind w:left="540" w:hanging="540"/>
      </w:pPr>
    </w:p>
    <w:p w14:paraId="3DDD1910" w14:textId="77777777" w:rsidR="0031675F" w:rsidRPr="0031675F" w:rsidRDefault="0031675F" w:rsidP="0031675F">
      <w:pPr>
        <w:ind w:left="540" w:hanging="540"/>
      </w:pPr>
      <w:r w:rsidRPr="0031675F">
        <w:rPr>
          <w:b/>
        </w:rPr>
        <w:t xml:space="preserve">2.2 </w:t>
      </w:r>
      <w:r w:rsidRPr="0031675F">
        <w:rPr>
          <w:b/>
        </w:rPr>
        <w:tab/>
        <w:t xml:space="preserve">Reagent Water (RM) - </w:t>
      </w:r>
      <w:r w:rsidRPr="0031675F">
        <w:t>Type 1 reagent grade water equal to or exceeding standards established by American Society for Testing Materials (ASTN). Reverse osmosis system followed by a Reagent water System that produces water with 18 M</w:t>
      </w:r>
      <w:r w:rsidRPr="0031675F">
        <w:sym w:font="Symbol" w:char="F057"/>
      </w:r>
      <w:r w:rsidRPr="0031675F">
        <w:t>ohm resistance is used. To avoid contamination the reagent water should be used the day of preparation.</w:t>
      </w:r>
    </w:p>
    <w:p w14:paraId="6617412B" w14:textId="77777777" w:rsidR="0031675F" w:rsidRPr="0031675F" w:rsidRDefault="0031675F" w:rsidP="0031675F">
      <w:pPr>
        <w:ind w:left="540" w:hanging="540"/>
      </w:pPr>
    </w:p>
    <w:p w14:paraId="252BFDF7" w14:textId="77777777" w:rsidR="0031675F" w:rsidRPr="0031675F" w:rsidRDefault="0031675F" w:rsidP="0031675F">
      <w:pPr>
        <w:ind w:left="540" w:hanging="540"/>
      </w:pPr>
      <w:r w:rsidRPr="0031675F">
        <w:rPr>
          <w:b/>
        </w:rPr>
        <w:t xml:space="preserve">2.3 </w:t>
      </w:r>
      <w:r w:rsidRPr="0031675F">
        <w:rPr>
          <w:b/>
        </w:rPr>
        <w:tab/>
        <w:t xml:space="preserve">Laboratory Spike Blank (B+) - </w:t>
      </w:r>
      <w:r w:rsidRPr="0031675F">
        <w:t>An aliquot of reagent water to which a known quantity of nitrogen is added. The B+ is analysed exactly like a sample, its purpose is to determine the amount of nitrogen added to samples and further used in the calculation on spike recoveries aiding confidence in the digestion procedure.</w:t>
      </w:r>
    </w:p>
    <w:p w14:paraId="23BAC36D" w14:textId="77777777" w:rsidR="0031675F" w:rsidRPr="0031675F" w:rsidRDefault="0031675F" w:rsidP="0031675F">
      <w:pPr>
        <w:ind w:left="540" w:hanging="540"/>
      </w:pPr>
    </w:p>
    <w:p w14:paraId="4EE7E624" w14:textId="77777777" w:rsidR="0031675F" w:rsidRPr="0031675F" w:rsidRDefault="0031675F" w:rsidP="0031675F">
      <w:pPr>
        <w:ind w:left="540" w:hanging="540"/>
      </w:pPr>
      <w:r w:rsidRPr="0031675F">
        <w:rPr>
          <w:b/>
        </w:rPr>
        <w:t xml:space="preserve">2.4 </w:t>
      </w:r>
      <w:r w:rsidRPr="0031675F">
        <w:rPr>
          <w:b/>
        </w:rPr>
        <w:tab/>
        <w:t xml:space="preserve">Laboratory Reagent Blank (LRB) - </w:t>
      </w:r>
      <w:r w:rsidRPr="0031675F">
        <w:t xml:space="preserve"> an aliquot of reagent water that is treated exactly as a sample including exposure to all lab ware, equipment, digestion mixture, digestion and reagents that are used with all other samples. The LRB is used to determine if any background interference is present and therefore needs to be taken into consideration when sample results are calculated.</w:t>
      </w:r>
    </w:p>
    <w:p w14:paraId="3174E01A" w14:textId="77777777" w:rsidR="0031675F" w:rsidRPr="0031675F" w:rsidRDefault="0031675F" w:rsidP="0031675F">
      <w:pPr>
        <w:ind w:left="540" w:hanging="540"/>
      </w:pPr>
    </w:p>
    <w:p w14:paraId="6BC603EF" w14:textId="77777777" w:rsidR="0031675F" w:rsidRPr="0031675F" w:rsidRDefault="0031675F" w:rsidP="0031675F">
      <w:pPr>
        <w:ind w:left="540" w:hanging="540"/>
      </w:pPr>
      <w:r w:rsidRPr="0031675F">
        <w:rPr>
          <w:b/>
        </w:rPr>
        <w:t xml:space="preserve">2.5 </w:t>
      </w:r>
      <w:r w:rsidRPr="0031675F">
        <w:rPr>
          <w:b/>
        </w:rPr>
        <w:tab/>
        <w:t xml:space="preserve">Method Detection Limit (MDL) - </w:t>
      </w:r>
      <w:r w:rsidRPr="0031675F">
        <w:t>The minimum concentration of an analyte that can be identified, measured and reported with 99% confidence that the analyte concentration is greater than zero.</w:t>
      </w:r>
    </w:p>
    <w:p w14:paraId="2691D466" w14:textId="77777777" w:rsidR="0031675F" w:rsidRPr="0031675F" w:rsidRDefault="0031675F" w:rsidP="0031675F">
      <w:pPr>
        <w:ind w:left="540" w:hanging="540"/>
      </w:pPr>
    </w:p>
    <w:p w14:paraId="438E082C" w14:textId="77777777" w:rsidR="0031675F" w:rsidRPr="0031675F" w:rsidRDefault="0031675F" w:rsidP="0031675F">
      <w:pPr>
        <w:ind w:left="540" w:hanging="540"/>
      </w:pPr>
      <w:r w:rsidRPr="0031675F">
        <w:rPr>
          <w:b/>
        </w:rPr>
        <w:t>2.6</w:t>
      </w:r>
      <w:r w:rsidRPr="0031675F">
        <w:rPr>
          <w:b/>
        </w:rPr>
        <w:tab/>
        <w:t xml:space="preserve">Stock Standard Solution (SSS) – </w:t>
      </w:r>
      <w:r w:rsidRPr="0031675F">
        <w:t>A concentrated solution of method analyte prepared in the laboratory using assayed reference compounds or purchased from a reputable commercial source.</w:t>
      </w:r>
    </w:p>
    <w:p w14:paraId="3ADC65E3" w14:textId="77777777" w:rsidR="0031675F" w:rsidRPr="0031675F" w:rsidRDefault="0031675F" w:rsidP="0031675F">
      <w:pPr>
        <w:ind w:left="540" w:hanging="540"/>
      </w:pPr>
    </w:p>
    <w:p w14:paraId="343D9081" w14:textId="77777777" w:rsidR="0031675F" w:rsidRPr="0031675F" w:rsidRDefault="0031675F" w:rsidP="0031675F">
      <w:pPr>
        <w:ind w:left="540" w:hanging="540"/>
      </w:pPr>
      <w:r w:rsidRPr="0031675F">
        <w:rPr>
          <w:b/>
        </w:rPr>
        <w:t xml:space="preserve">2.7 </w:t>
      </w:r>
      <w:r w:rsidRPr="0031675F">
        <w:rPr>
          <w:b/>
        </w:rPr>
        <w:tab/>
        <w:t xml:space="preserve">Certified Reference Material (CRM) - </w:t>
      </w:r>
      <w:r w:rsidRPr="0031675F">
        <w:t>“Real’ samples that have been purchased from an external reputable commercial source. The CRM’s are used to match matrices and concentrations with the samples being analysed to determine the accuracy of results.</w:t>
      </w:r>
    </w:p>
    <w:p w14:paraId="38DD72F0" w14:textId="77777777" w:rsidR="0031675F" w:rsidRPr="0031675F" w:rsidRDefault="0031675F" w:rsidP="0031675F">
      <w:pPr>
        <w:ind w:left="540" w:hanging="540"/>
      </w:pPr>
    </w:p>
    <w:p w14:paraId="228F455E" w14:textId="77777777" w:rsidR="0031675F" w:rsidRPr="0031675F" w:rsidRDefault="0031675F" w:rsidP="0031675F">
      <w:pPr>
        <w:ind w:left="540" w:hanging="540"/>
      </w:pPr>
      <w:r w:rsidRPr="0031675F">
        <w:rPr>
          <w:b/>
        </w:rPr>
        <w:t xml:space="preserve">2.8 </w:t>
      </w:r>
      <w:r w:rsidRPr="0031675F">
        <w:rPr>
          <w:b/>
        </w:rPr>
        <w:tab/>
      </w:r>
      <w:smartTag w:uri="urn:schemas-microsoft-com:office:smarttags" w:element="place">
        <w:smartTag w:uri="urn:schemas-microsoft-com:office:smarttags" w:element="PlaceName">
          <w:r w:rsidRPr="0031675F">
            <w:rPr>
              <w:b/>
            </w:rPr>
            <w:t>SYNC</w:t>
          </w:r>
        </w:smartTag>
        <w:r w:rsidRPr="0031675F">
          <w:rPr>
            <w:b/>
          </w:rPr>
          <w:t xml:space="preserve"> </w:t>
        </w:r>
        <w:smartTag w:uri="urn:schemas-microsoft-com:office:smarttags" w:element="PlaceType">
          <w:r w:rsidRPr="0031675F">
            <w:rPr>
              <w:b/>
            </w:rPr>
            <w:t>Peak</w:t>
          </w:r>
        </w:smartTag>
      </w:smartTag>
      <w:r w:rsidRPr="0031675F">
        <w:rPr>
          <w:b/>
        </w:rPr>
        <w:t xml:space="preserve"> Solution – </w:t>
      </w:r>
      <w:r w:rsidRPr="0031675F">
        <w:t>A coloured solution used to produce a synchronization peak in the refractive index measurement. A synchronization peak is required by the data acquisition programs to initialize the peak finding parameters. The first cup in every run must always be identified as a SYNC sample. The SYNC sample is usually a high standard, but can be any sample that generates a peak at least 25% of full scale.</w:t>
      </w:r>
    </w:p>
    <w:p w14:paraId="6D64FB5E" w14:textId="77777777" w:rsidR="0031675F" w:rsidRPr="0031675F" w:rsidRDefault="0031675F" w:rsidP="0031675F">
      <w:pPr>
        <w:rPr>
          <w:b/>
        </w:rPr>
      </w:pPr>
    </w:p>
    <w:p w14:paraId="560C2548" w14:textId="77777777" w:rsidR="0031675F" w:rsidRPr="0031675F" w:rsidRDefault="0031675F" w:rsidP="0031675F">
      <w:pPr>
        <w:shd w:val="clear" w:color="auto" w:fill="D9D9D9"/>
        <w:ind w:left="567" w:hanging="567"/>
        <w:rPr>
          <w:b/>
        </w:rPr>
      </w:pPr>
      <w:r w:rsidRPr="0031675F">
        <w:rPr>
          <w:b/>
        </w:rPr>
        <w:t xml:space="preserve">3.0 </w:t>
      </w:r>
      <w:r w:rsidRPr="0031675F">
        <w:rPr>
          <w:b/>
        </w:rPr>
        <w:tab/>
        <w:t>SAFETY</w:t>
      </w:r>
    </w:p>
    <w:p w14:paraId="2AFF16CC" w14:textId="77777777" w:rsidR="0031675F" w:rsidRPr="0031675F" w:rsidRDefault="0031675F" w:rsidP="0031675F">
      <w:pPr>
        <w:ind w:left="540" w:hanging="540"/>
        <w:rPr>
          <w:b/>
        </w:rPr>
      </w:pPr>
    </w:p>
    <w:p w14:paraId="171A4935" w14:textId="77777777" w:rsidR="0031675F" w:rsidRPr="0031675F" w:rsidRDefault="0031675F" w:rsidP="0031675F">
      <w:pPr>
        <w:ind w:left="540" w:hanging="540"/>
      </w:pPr>
      <w:r w:rsidRPr="0031675F">
        <w:rPr>
          <w:b/>
        </w:rPr>
        <w:t xml:space="preserve">3.1 </w:t>
      </w:r>
      <w:r w:rsidRPr="0031675F">
        <w:rPr>
          <w:b/>
        </w:rPr>
        <w:tab/>
      </w:r>
      <w:r w:rsidRPr="0031675F">
        <w:t>Water samples collected from the estuarine and coastal environments are generally not hazardous, however it is of paramount importance that the individual collecting the samples use the proper collection techniques and be aware of potential sources of contamination.</w:t>
      </w:r>
    </w:p>
    <w:p w14:paraId="66773976" w14:textId="77777777" w:rsidR="0031675F" w:rsidRPr="0031675F" w:rsidRDefault="0031675F" w:rsidP="0031675F">
      <w:pPr>
        <w:ind w:left="540" w:hanging="540"/>
      </w:pPr>
    </w:p>
    <w:p w14:paraId="06E46173" w14:textId="77777777" w:rsidR="0031675F" w:rsidRPr="0031675F" w:rsidRDefault="0031675F" w:rsidP="0031675F">
      <w:pPr>
        <w:ind w:left="540" w:hanging="540"/>
      </w:pPr>
      <w:r w:rsidRPr="0031675F">
        <w:rPr>
          <w:b/>
        </w:rPr>
        <w:t>3.2</w:t>
      </w:r>
      <w:r w:rsidRPr="0031675F">
        <w:t xml:space="preserve"> </w:t>
      </w:r>
      <w:r w:rsidRPr="0031675F">
        <w:tab/>
        <w:t>High standards of laboratory technique should be used when preparing reagents. Laboratory personnel should obtain material safety data sheets (MSDS) for all chemicals used in this method, and read and sign acknowledgement over the handling of these chemicals. A lab coat, safety glasses and gloves should be used when handling concentrated acid.</w:t>
      </w:r>
    </w:p>
    <w:p w14:paraId="027B3CBE" w14:textId="77777777" w:rsidR="0031675F" w:rsidRPr="0031675F" w:rsidRDefault="0031675F" w:rsidP="0031675F">
      <w:pPr>
        <w:ind w:left="720"/>
      </w:pPr>
    </w:p>
    <w:p w14:paraId="4CD5EED5" w14:textId="77777777" w:rsidR="0031675F" w:rsidRPr="0031675F" w:rsidRDefault="0031675F" w:rsidP="0031675F">
      <w:pPr>
        <w:ind w:left="720"/>
      </w:pPr>
    </w:p>
    <w:p w14:paraId="463848DB" w14:textId="77777777" w:rsidR="0031675F" w:rsidRPr="0031675F" w:rsidRDefault="0031675F" w:rsidP="0031675F">
      <w:pPr>
        <w:shd w:val="clear" w:color="auto" w:fill="D9D9D9"/>
        <w:ind w:left="540" w:hanging="540"/>
        <w:rPr>
          <w:b/>
        </w:rPr>
      </w:pPr>
      <w:r w:rsidRPr="0031675F">
        <w:rPr>
          <w:b/>
        </w:rPr>
        <w:t xml:space="preserve">4.0 </w:t>
      </w:r>
      <w:r w:rsidRPr="0031675F">
        <w:rPr>
          <w:b/>
        </w:rPr>
        <w:tab/>
        <w:t>EQUIPMENT AND SUPPLIES</w:t>
      </w:r>
    </w:p>
    <w:p w14:paraId="784FE47A" w14:textId="77777777" w:rsidR="0031675F" w:rsidRPr="0031675F" w:rsidRDefault="0031675F" w:rsidP="0031675F">
      <w:pPr>
        <w:ind w:left="540" w:hanging="540"/>
        <w:rPr>
          <w:b/>
        </w:rPr>
      </w:pPr>
      <w:r w:rsidRPr="0031675F">
        <w:rPr>
          <w:b/>
        </w:rPr>
        <w:tab/>
      </w:r>
    </w:p>
    <w:p w14:paraId="2BFD243E" w14:textId="77777777" w:rsidR="0031675F" w:rsidRPr="0031675F" w:rsidRDefault="0031675F" w:rsidP="0031675F">
      <w:pPr>
        <w:ind w:left="540" w:hanging="540"/>
      </w:pPr>
      <w:r w:rsidRPr="0031675F">
        <w:rPr>
          <w:b/>
        </w:rPr>
        <w:t xml:space="preserve">4.1 </w:t>
      </w:r>
      <w:r w:rsidRPr="0031675F">
        <w:rPr>
          <w:b/>
        </w:rPr>
        <w:tab/>
        <w:t>Gas Segmented Continuous Flow Autoanalyser</w:t>
      </w:r>
      <w:r w:rsidRPr="0031675F">
        <w:t xml:space="preserve"> consisting of:</w:t>
      </w:r>
    </w:p>
    <w:p w14:paraId="2964252F" w14:textId="77777777" w:rsidR="0031675F" w:rsidRPr="0031675F" w:rsidRDefault="0031675F" w:rsidP="0031675F">
      <w:pPr>
        <w:ind w:left="540" w:hanging="540"/>
      </w:pPr>
    </w:p>
    <w:p w14:paraId="01F33A92" w14:textId="77777777" w:rsidR="0031675F" w:rsidRPr="0031675F" w:rsidRDefault="0031675F" w:rsidP="0031675F">
      <w:pPr>
        <w:ind w:left="1134" w:hanging="567"/>
      </w:pPr>
      <w:r w:rsidRPr="0031675F">
        <w:rPr>
          <w:b/>
        </w:rPr>
        <w:t xml:space="preserve">4.1.1 </w:t>
      </w:r>
      <w:r w:rsidRPr="0031675F">
        <w:rPr>
          <w:b/>
        </w:rPr>
        <w:tab/>
      </w:r>
      <w:r w:rsidRPr="0031675F">
        <w:t xml:space="preserve">Autosampler. </w:t>
      </w:r>
    </w:p>
    <w:p w14:paraId="6B1A92E2" w14:textId="77777777" w:rsidR="0031675F" w:rsidRPr="0031675F" w:rsidRDefault="0031675F" w:rsidP="0031675F">
      <w:pPr>
        <w:ind w:left="1080" w:hanging="540"/>
      </w:pPr>
    </w:p>
    <w:p w14:paraId="7581C982" w14:textId="77777777" w:rsidR="0031675F" w:rsidRPr="0031675F" w:rsidRDefault="0031675F" w:rsidP="0031675F">
      <w:pPr>
        <w:ind w:left="1134" w:hanging="567"/>
      </w:pPr>
      <w:r w:rsidRPr="0031675F">
        <w:rPr>
          <w:b/>
        </w:rPr>
        <w:t xml:space="preserve">4.1.2 </w:t>
      </w:r>
      <w:r w:rsidRPr="0031675F">
        <w:rPr>
          <w:b/>
        </w:rPr>
        <w:tab/>
      </w:r>
      <w:r w:rsidRPr="0031675F">
        <w:t>Analytical manifold with reaction coils for nitrate analyses.</w:t>
      </w:r>
    </w:p>
    <w:p w14:paraId="0F1C763E" w14:textId="77777777" w:rsidR="0031675F" w:rsidRPr="0031675F" w:rsidRDefault="0031675F" w:rsidP="0031675F">
      <w:pPr>
        <w:ind w:left="1134" w:hanging="567"/>
      </w:pPr>
    </w:p>
    <w:p w14:paraId="51F0DF4C" w14:textId="77777777" w:rsidR="0031675F" w:rsidRPr="0031675F" w:rsidRDefault="0031675F" w:rsidP="0031675F">
      <w:pPr>
        <w:ind w:left="1134" w:hanging="567"/>
      </w:pPr>
      <w:r w:rsidRPr="0031675F">
        <w:rPr>
          <w:b/>
        </w:rPr>
        <w:t>4.1.3</w:t>
      </w:r>
      <w:r w:rsidRPr="0031675F">
        <w:rPr>
          <w:b/>
        </w:rPr>
        <w:tab/>
      </w:r>
      <w:r w:rsidRPr="0031675F">
        <w:t xml:space="preserve">Open Tubular Cadmium Reactor (OTCR) is a laboratory prepared packed copper coated cadmium reduction column (prepared according to procedures in section 5.3.1)  </w:t>
      </w:r>
    </w:p>
    <w:p w14:paraId="20B337FC" w14:textId="77777777" w:rsidR="0031675F" w:rsidRPr="0031675F" w:rsidRDefault="0031675F" w:rsidP="0031675F">
      <w:pPr>
        <w:tabs>
          <w:tab w:val="left" w:pos="1064"/>
        </w:tabs>
        <w:ind w:left="1134" w:hanging="567"/>
      </w:pPr>
      <w:r w:rsidRPr="0031675F">
        <w:tab/>
      </w:r>
    </w:p>
    <w:p w14:paraId="16777C11" w14:textId="77777777" w:rsidR="0031675F" w:rsidRPr="0031675F" w:rsidRDefault="0031675F" w:rsidP="0031675F">
      <w:pPr>
        <w:ind w:left="1134" w:hanging="567"/>
      </w:pPr>
      <w:r w:rsidRPr="0031675F">
        <w:rPr>
          <w:b/>
        </w:rPr>
        <w:t xml:space="preserve">4.1.4 </w:t>
      </w:r>
      <w:r w:rsidRPr="0031675F">
        <w:rPr>
          <w:b/>
        </w:rPr>
        <w:tab/>
      </w:r>
      <w:r w:rsidRPr="0031675F">
        <w:t>Peristaltic Pump and appropriate tubing.</w:t>
      </w:r>
    </w:p>
    <w:p w14:paraId="00DF5087" w14:textId="77777777" w:rsidR="0031675F" w:rsidRPr="0031675F" w:rsidRDefault="0031675F" w:rsidP="0031675F">
      <w:pPr>
        <w:ind w:left="1134" w:hanging="567"/>
      </w:pPr>
    </w:p>
    <w:p w14:paraId="1220EEF0" w14:textId="77777777" w:rsidR="0031675F" w:rsidRPr="0031675F" w:rsidRDefault="0031675F" w:rsidP="0031675F">
      <w:pPr>
        <w:ind w:left="1134" w:hanging="567"/>
      </w:pPr>
      <w:r w:rsidRPr="0031675F">
        <w:rPr>
          <w:b/>
        </w:rPr>
        <w:t xml:space="preserve">4.1.5 </w:t>
      </w:r>
      <w:r w:rsidRPr="0031675F">
        <w:rPr>
          <w:b/>
        </w:rPr>
        <w:tab/>
      </w:r>
      <w:r w:rsidRPr="0031675F">
        <w:t>Spectrophotometer equipped with a tungsten lamp (380-800 nm) or photometer with a 540 nm interference filter (2 nm bandwidth).</w:t>
      </w:r>
    </w:p>
    <w:p w14:paraId="147B20E4" w14:textId="77777777" w:rsidR="0031675F" w:rsidRPr="0031675F" w:rsidRDefault="0031675F" w:rsidP="0031675F">
      <w:pPr>
        <w:ind w:left="1134" w:hanging="567"/>
      </w:pPr>
    </w:p>
    <w:p w14:paraId="52A9968B" w14:textId="77777777" w:rsidR="0031675F" w:rsidRPr="0031675F" w:rsidRDefault="0031675F" w:rsidP="0031675F">
      <w:pPr>
        <w:ind w:left="1134" w:hanging="567"/>
      </w:pPr>
      <w:r w:rsidRPr="0031675F">
        <w:rPr>
          <w:b/>
        </w:rPr>
        <w:t>4.1.6</w:t>
      </w:r>
      <w:r w:rsidRPr="0031675F">
        <w:rPr>
          <w:b/>
        </w:rPr>
        <w:tab/>
      </w:r>
      <w:r w:rsidRPr="0031675F">
        <w:t>Computer based data acquisition system.</w:t>
      </w:r>
    </w:p>
    <w:p w14:paraId="4F012E2C" w14:textId="77777777" w:rsidR="0031675F" w:rsidRPr="0031675F" w:rsidRDefault="0031675F" w:rsidP="0031675F">
      <w:pPr>
        <w:ind w:left="1134" w:hanging="567"/>
      </w:pPr>
    </w:p>
    <w:p w14:paraId="7B551DB4" w14:textId="77777777" w:rsidR="0031675F" w:rsidRPr="0031675F" w:rsidRDefault="0031675F" w:rsidP="0031675F">
      <w:pPr>
        <w:ind w:left="1134" w:hanging="567"/>
      </w:pPr>
      <w:r w:rsidRPr="0031675F">
        <w:rPr>
          <w:b/>
        </w:rPr>
        <w:t xml:space="preserve">4.1.7 </w:t>
      </w:r>
      <w:r w:rsidRPr="0031675F">
        <w:rPr>
          <w:b/>
        </w:rPr>
        <w:tab/>
      </w:r>
      <w:r w:rsidRPr="0031675F">
        <w:t>Inert gas (high purity grade, 99.99%) e.g. argon, nitrogen.</w:t>
      </w:r>
    </w:p>
    <w:p w14:paraId="0B618CC9" w14:textId="77777777" w:rsidR="0031675F" w:rsidRPr="0031675F" w:rsidRDefault="0031675F" w:rsidP="0031675F">
      <w:pPr>
        <w:ind w:left="1080" w:hanging="540"/>
      </w:pPr>
    </w:p>
    <w:p w14:paraId="3862C161" w14:textId="77777777" w:rsidR="0031675F" w:rsidRPr="0031675F" w:rsidRDefault="0031675F" w:rsidP="0031675F">
      <w:pPr>
        <w:ind w:left="540" w:hanging="540"/>
      </w:pPr>
      <w:r w:rsidRPr="0031675F">
        <w:rPr>
          <w:b/>
        </w:rPr>
        <w:t xml:space="preserve">4.2 </w:t>
      </w:r>
      <w:r w:rsidRPr="0031675F">
        <w:rPr>
          <w:b/>
        </w:rPr>
        <w:tab/>
        <w:t>Glassware and Supplies</w:t>
      </w:r>
    </w:p>
    <w:p w14:paraId="3FA16F38" w14:textId="77777777" w:rsidR="0031675F" w:rsidRPr="0031675F" w:rsidRDefault="0031675F" w:rsidP="0031675F">
      <w:pPr>
        <w:ind w:left="540" w:hanging="540"/>
      </w:pPr>
    </w:p>
    <w:p w14:paraId="2F348E0A" w14:textId="77777777" w:rsidR="0031675F" w:rsidRPr="0031675F" w:rsidRDefault="0031675F" w:rsidP="0031675F">
      <w:pPr>
        <w:ind w:left="1134" w:hanging="567"/>
      </w:pPr>
      <w:r w:rsidRPr="0031675F">
        <w:rPr>
          <w:b/>
        </w:rPr>
        <w:t xml:space="preserve">4.2.1 </w:t>
      </w:r>
      <w:r w:rsidRPr="0031675F">
        <w:rPr>
          <w:b/>
        </w:rPr>
        <w:tab/>
      </w:r>
      <w:r w:rsidRPr="0031675F">
        <w:t>All labware used in the analysis must be low in residual nitrate to avoid sample or reagent contamination. Soaking with lab grade detergent, rinsing with reverse osmosis water, followed by rinsing with 10% HCl and thoroughly rinsing with reagent water is sufficient.</w:t>
      </w:r>
    </w:p>
    <w:p w14:paraId="0E39CF2E" w14:textId="77777777" w:rsidR="0031675F" w:rsidRPr="0031675F" w:rsidRDefault="0031675F" w:rsidP="0031675F">
      <w:pPr>
        <w:ind w:left="1134" w:hanging="567"/>
      </w:pPr>
    </w:p>
    <w:p w14:paraId="5ACDDE5E" w14:textId="77777777" w:rsidR="0031675F" w:rsidRPr="0031675F" w:rsidRDefault="0031675F" w:rsidP="0031675F">
      <w:pPr>
        <w:ind w:left="1134" w:hanging="567"/>
      </w:pPr>
      <w:r w:rsidRPr="0031675F">
        <w:rPr>
          <w:b/>
        </w:rPr>
        <w:t xml:space="preserve">4.2.2 </w:t>
      </w:r>
      <w:r w:rsidRPr="0031675F">
        <w:rPr>
          <w:b/>
        </w:rPr>
        <w:tab/>
      </w:r>
      <w:r w:rsidRPr="0031675F">
        <w:t>Automatic pipetters capable of delivering volumes ranging from 10 – 100 μL and 100 – 1000 μL with an assortment of high quality disposable pipette tips. It is standard protocol to check the accuracy of the pipetters at least once per week using a four decimal place analytical balance.</w:t>
      </w:r>
    </w:p>
    <w:p w14:paraId="26D8A101" w14:textId="77777777" w:rsidR="0031675F" w:rsidRPr="0031675F" w:rsidRDefault="0031675F" w:rsidP="0031675F">
      <w:pPr>
        <w:tabs>
          <w:tab w:val="left" w:pos="1482"/>
        </w:tabs>
        <w:ind w:left="1134" w:hanging="567"/>
      </w:pPr>
      <w:r w:rsidRPr="0031675F">
        <w:tab/>
      </w:r>
      <w:r w:rsidRPr="0031675F">
        <w:tab/>
      </w:r>
    </w:p>
    <w:p w14:paraId="5FA56992" w14:textId="77777777" w:rsidR="0031675F" w:rsidRPr="0031675F" w:rsidRDefault="0031675F" w:rsidP="0031675F">
      <w:pPr>
        <w:ind w:left="1134" w:hanging="567"/>
      </w:pPr>
      <w:r w:rsidRPr="0031675F">
        <w:rPr>
          <w:b/>
        </w:rPr>
        <w:t>4.2.3</w:t>
      </w:r>
      <w:r w:rsidRPr="0031675F">
        <w:rPr>
          <w:b/>
        </w:rPr>
        <w:tab/>
      </w:r>
      <w:r w:rsidRPr="0031675F">
        <w:t>Analytical balance, with capability to measure 4 decimal places for preparing SSS. It is standard protocol to have this balanced serviced and calibrated once per year, then checked weekly with certified weights.</w:t>
      </w:r>
    </w:p>
    <w:p w14:paraId="67CFE772" w14:textId="77777777" w:rsidR="0031675F" w:rsidRPr="0031675F" w:rsidRDefault="0031675F" w:rsidP="0031675F">
      <w:pPr>
        <w:ind w:left="1134" w:hanging="567"/>
      </w:pPr>
    </w:p>
    <w:p w14:paraId="2DEEDF5A" w14:textId="1A88DC44" w:rsidR="0031675F" w:rsidRPr="0031675F" w:rsidRDefault="0031675F" w:rsidP="0031675F">
      <w:pPr>
        <w:ind w:left="1134" w:hanging="567"/>
      </w:pPr>
      <w:r w:rsidRPr="0031675F">
        <w:rPr>
          <w:b/>
        </w:rPr>
        <w:t>4.2.4</w:t>
      </w:r>
      <w:r w:rsidRPr="0031675F">
        <w:tab/>
        <w:t>10</w:t>
      </w:r>
      <w:r w:rsidR="00E07360">
        <w:t xml:space="preserve"> </w:t>
      </w:r>
      <w:r w:rsidRPr="0031675F">
        <w:t>mL and 60</w:t>
      </w:r>
      <w:r w:rsidR="00E07360">
        <w:t xml:space="preserve"> </w:t>
      </w:r>
      <w:r w:rsidRPr="0031675F">
        <w:t>mL sterile high density polypropylene, 30</w:t>
      </w:r>
      <w:r w:rsidR="00E07360">
        <w:t xml:space="preserve"> </w:t>
      </w:r>
      <w:r w:rsidRPr="0031675F">
        <w:t>mL polycarbonate vials, glass volumetric flasks, and glass pipettes.</w:t>
      </w:r>
    </w:p>
    <w:p w14:paraId="3FFB387E" w14:textId="77777777" w:rsidR="0031675F" w:rsidRPr="0031675F" w:rsidRDefault="0031675F" w:rsidP="0031675F">
      <w:pPr>
        <w:ind w:left="1080" w:hanging="540"/>
      </w:pPr>
    </w:p>
    <w:p w14:paraId="23B3077A" w14:textId="77777777" w:rsidR="0031675F" w:rsidRPr="0031675F" w:rsidRDefault="0031675F" w:rsidP="0031675F">
      <w:pPr>
        <w:ind w:left="1134" w:hanging="567"/>
      </w:pPr>
      <w:r w:rsidRPr="0031675F">
        <w:rPr>
          <w:b/>
        </w:rPr>
        <w:t>4.2.5</w:t>
      </w:r>
      <w:r w:rsidRPr="0031675F">
        <w:rPr>
          <w:b/>
        </w:rPr>
        <w:tab/>
      </w:r>
      <w:r w:rsidRPr="0031675F">
        <w:t>105° C drying oven.</w:t>
      </w:r>
    </w:p>
    <w:p w14:paraId="263294A9" w14:textId="77777777" w:rsidR="0031675F" w:rsidRPr="0031675F" w:rsidRDefault="0031675F" w:rsidP="0031675F">
      <w:pPr>
        <w:ind w:left="1134" w:hanging="567"/>
      </w:pPr>
    </w:p>
    <w:p w14:paraId="7D7DD9DA" w14:textId="77777777" w:rsidR="0031675F" w:rsidRPr="0031675F" w:rsidRDefault="0031675F" w:rsidP="0031675F">
      <w:pPr>
        <w:ind w:left="1134" w:hanging="567"/>
      </w:pPr>
      <w:r w:rsidRPr="0031675F">
        <w:rPr>
          <w:b/>
        </w:rPr>
        <w:t>4.2.6</w:t>
      </w:r>
      <w:r w:rsidRPr="0031675F">
        <w:tab/>
        <w:t>Desiccator.</w:t>
      </w:r>
    </w:p>
    <w:p w14:paraId="601B84D1" w14:textId="77777777" w:rsidR="0031675F" w:rsidRPr="0031675F" w:rsidRDefault="0031675F" w:rsidP="0031675F">
      <w:pPr>
        <w:ind w:left="1134" w:hanging="567"/>
      </w:pPr>
    </w:p>
    <w:p w14:paraId="1AC33340" w14:textId="77777777" w:rsidR="0031675F" w:rsidRPr="0031675F" w:rsidRDefault="0031675F" w:rsidP="0031675F">
      <w:pPr>
        <w:ind w:left="1134" w:hanging="567"/>
      </w:pPr>
      <w:r w:rsidRPr="0031675F">
        <w:rPr>
          <w:b/>
        </w:rPr>
        <w:t>4.2.7</w:t>
      </w:r>
      <w:r w:rsidRPr="0031675F">
        <w:tab/>
        <w:t>Polysulphone sterile membrane filters with 0.45 μm nominal pore size. Plastic sterile terumo syringe.</w:t>
      </w:r>
    </w:p>
    <w:p w14:paraId="4D91D240" w14:textId="77777777" w:rsidR="0031675F" w:rsidRPr="0031675F" w:rsidRDefault="0031675F" w:rsidP="0031675F">
      <w:pPr>
        <w:ind w:left="1134" w:hanging="567"/>
      </w:pPr>
    </w:p>
    <w:p w14:paraId="6E3BBD56" w14:textId="77777777" w:rsidR="0031675F" w:rsidRPr="0031675F" w:rsidRDefault="0031675F" w:rsidP="0031675F">
      <w:pPr>
        <w:ind w:left="1134" w:hanging="567"/>
      </w:pPr>
      <w:r w:rsidRPr="0031675F">
        <w:rPr>
          <w:b/>
        </w:rPr>
        <w:t>4.2.8</w:t>
      </w:r>
      <w:r w:rsidRPr="0031675F">
        <w:tab/>
        <w:t>A pH meter with glass electrode and a reference electrode. A set of standard buffer solutions for calibration of the pH meter.</w:t>
      </w:r>
    </w:p>
    <w:p w14:paraId="04DB6F27" w14:textId="77777777" w:rsidR="0031675F" w:rsidRPr="0031675F" w:rsidRDefault="0031675F" w:rsidP="0031675F">
      <w:pPr>
        <w:ind w:left="1080" w:hanging="540"/>
      </w:pPr>
    </w:p>
    <w:p w14:paraId="7143D5A6" w14:textId="77777777" w:rsidR="0031675F" w:rsidRPr="0031675F" w:rsidRDefault="0031675F" w:rsidP="0031675F">
      <w:pPr>
        <w:ind w:left="540" w:hanging="540"/>
      </w:pPr>
      <w:r w:rsidRPr="0031675F">
        <w:rPr>
          <w:b/>
        </w:rPr>
        <w:t>4.3</w:t>
      </w:r>
      <w:r w:rsidRPr="0031675F">
        <w:t xml:space="preserve"> </w:t>
      </w:r>
      <w:r w:rsidRPr="0031675F">
        <w:tab/>
      </w:r>
      <w:r w:rsidRPr="0031675F">
        <w:rPr>
          <w:b/>
        </w:rPr>
        <w:t>Autoclave</w:t>
      </w:r>
    </w:p>
    <w:p w14:paraId="52684122" w14:textId="77777777" w:rsidR="0031675F" w:rsidRPr="0031675F" w:rsidRDefault="0031675F" w:rsidP="0031675F">
      <w:pPr>
        <w:ind w:left="540" w:hanging="540"/>
        <w:rPr>
          <w:b/>
        </w:rPr>
      </w:pPr>
    </w:p>
    <w:p w14:paraId="04978AB3" w14:textId="77777777" w:rsidR="0031675F" w:rsidRPr="0031675F" w:rsidRDefault="0031675F" w:rsidP="0031675F">
      <w:pPr>
        <w:shd w:val="clear" w:color="auto" w:fill="D9D9D9"/>
        <w:ind w:left="540" w:hanging="540"/>
        <w:rPr>
          <w:b/>
        </w:rPr>
      </w:pPr>
      <w:r w:rsidRPr="0031675F">
        <w:rPr>
          <w:b/>
        </w:rPr>
        <w:t xml:space="preserve">5.0 </w:t>
      </w:r>
      <w:r w:rsidRPr="0031675F">
        <w:rPr>
          <w:b/>
        </w:rPr>
        <w:tab/>
        <w:t>REAGENTS AND STANDARDS</w:t>
      </w:r>
    </w:p>
    <w:p w14:paraId="44B0A43B" w14:textId="77777777" w:rsidR="0031675F" w:rsidRPr="0031675F" w:rsidRDefault="0031675F" w:rsidP="0031675F">
      <w:pPr>
        <w:ind w:left="709" w:hanging="1440"/>
        <w:rPr>
          <w:b/>
        </w:rPr>
      </w:pPr>
      <w:r w:rsidRPr="0031675F">
        <w:rPr>
          <w:b/>
        </w:rPr>
        <w:tab/>
      </w:r>
    </w:p>
    <w:p w14:paraId="479955E8" w14:textId="77777777" w:rsidR="0031675F" w:rsidRPr="0031675F" w:rsidRDefault="0031675F" w:rsidP="0031675F">
      <w:pPr>
        <w:ind w:left="540" w:hanging="540"/>
      </w:pPr>
      <w:r w:rsidRPr="0031675F">
        <w:rPr>
          <w:b/>
        </w:rPr>
        <w:t xml:space="preserve">5.1 </w:t>
      </w:r>
      <w:r w:rsidRPr="0031675F">
        <w:rPr>
          <w:b/>
        </w:rPr>
        <w:tab/>
        <w:t>Stock Reagent Solutions</w:t>
      </w:r>
      <w:r w:rsidRPr="0031675F">
        <w:t xml:space="preserve"> – all chemicals are analytical grade quality.</w:t>
      </w:r>
    </w:p>
    <w:p w14:paraId="60818364" w14:textId="77777777" w:rsidR="0031675F" w:rsidRPr="0031675F" w:rsidRDefault="0031675F" w:rsidP="0031675F">
      <w:pPr>
        <w:ind w:left="540" w:hanging="540"/>
      </w:pPr>
    </w:p>
    <w:p w14:paraId="639A728F" w14:textId="483A5F01" w:rsidR="0031675F" w:rsidRPr="0031675F" w:rsidRDefault="0031675F" w:rsidP="0031675F">
      <w:pPr>
        <w:ind w:left="1134" w:hanging="567"/>
      </w:pPr>
      <w:r w:rsidRPr="0031675F">
        <w:rPr>
          <w:b/>
        </w:rPr>
        <w:t>5.1.1</w:t>
      </w:r>
      <w:r w:rsidRPr="0031675F">
        <w:rPr>
          <w:b/>
        </w:rPr>
        <w:tab/>
      </w:r>
      <w:r w:rsidRPr="0031675F">
        <w:t>Stock Sulfanilamide Solution – Dissolve 40g Sulfanilamide and 1g N-1-Naphthylethylenediamine dihydrochloride (C</w:t>
      </w:r>
      <w:r w:rsidRPr="0031675F">
        <w:rPr>
          <w:vertAlign w:val="subscript"/>
        </w:rPr>
        <w:t>12</w:t>
      </w:r>
      <w:r w:rsidRPr="0031675F">
        <w:t>H</w:t>
      </w:r>
      <w:r w:rsidRPr="0031675F">
        <w:rPr>
          <w:vertAlign w:val="subscript"/>
        </w:rPr>
        <w:t>16</w:t>
      </w:r>
      <w:r w:rsidRPr="0031675F">
        <w:t>C</w:t>
      </w:r>
      <w:r w:rsidRPr="0031675F">
        <w:rPr>
          <w:vertAlign w:val="subscript"/>
        </w:rPr>
        <w:t>l2</w:t>
      </w:r>
      <w:r w:rsidRPr="0031675F">
        <w:t>N</w:t>
      </w:r>
      <w:r w:rsidRPr="0031675F">
        <w:rPr>
          <w:vertAlign w:val="subscript"/>
        </w:rPr>
        <w:t>2</w:t>
      </w:r>
      <w:r w:rsidRPr="0031675F">
        <w:t xml:space="preserve"> (NEDD) FW 259.18) in 800</w:t>
      </w:r>
      <w:r w:rsidR="00E07360">
        <w:t xml:space="preserve"> mL</w:t>
      </w:r>
      <w:r w:rsidRPr="0031675F">
        <w:t xml:space="preserve"> of reagent water. Add 100mL ortho-phosphoric acid (H</w:t>
      </w:r>
      <w:r w:rsidRPr="0031675F">
        <w:rPr>
          <w:vertAlign w:val="subscript"/>
        </w:rPr>
        <w:t>3</w:t>
      </w:r>
      <w:r w:rsidRPr="0031675F">
        <w:t>PO</w:t>
      </w:r>
      <w:r w:rsidRPr="0031675F">
        <w:rPr>
          <w:vertAlign w:val="subscript"/>
        </w:rPr>
        <w:t xml:space="preserve">4 </w:t>
      </w:r>
      <w:r w:rsidRPr="0031675F">
        <w:t>85%) and make up to 1 L mark in a glass volumetric flask. Stir for one hour on a magnetic stirrer. Store refrigerated in an amber glass bottle. This solution is stable for 6 weeks.</w:t>
      </w:r>
    </w:p>
    <w:p w14:paraId="3729D2FB" w14:textId="77777777" w:rsidR="0031675F" w:rsidRPr="0031675F" w:rsidRDefault="0031675F" w:rsidP="0031675F">
      <w:pPr>
        <w:ind w:left="1134" w:hanging="567"/>
      </w:pPr>
    </w:p>
    <w:p w14:paraId="5A8FCAC3" w14:textId="71CDDB0E" w:rsidR="0031675F" w:rsidRPr="0031675F" w:rsidRDefault="0031675F" w:rsidP="0031675F">
      <w:pPr>
        <w:ind w:left="1134" w:hanging="567"/>
      </w:pPr>
      <w:r w:rsidRPr="0031675F">
        <w:rPr>
          <w:b/>
        </w:rPr>
        <w:t xml:space="preserve">5.1.2 </w:t>
      </w:r>
      <w:r w:rsidRPr="0031675F">
        <w:rPr>
          <w:b/>
        </w:rPr>
        <w:tab/>
      </w:r>
      <w:r w:rsidRPr="0031675F">
        <w:t>Stock Nitrate Solution (200 mg N</w:t>
      </w:r>
      <w:r w:rsidR="00E07360">
        <w:t xml:space="preserve"> </w:t>
      </w:r>
      <w:r w:rsidR="00E07360" w:rsidRPr="0031675F">
        <w:t>L</w:t>
      </w:r>
      <w:r w:rsidR="00E07360" w:rsidRPr="00E07360">
        <w:rPr>
          <w:vertAlign w:val="superscript"/>
        </w:rPr>
        <w:t>-1</w:t>
      </w:r>
      <w:r w:rsidRPr="0031675F">
        <w:t>) – Quantitatively transfer 1.4436 g of pre-dried (105°C for 1 hour minimum) potassium nitrate (KNO</w:t>
      </w:r>
      <w:r w:rsidRPr="0031675F">
        <w:rPr>
          <w:vertAlign w:val="subscript"/>
        </w:rPr>
        <w:t>3</w:t>
      </w:r>
      <w:r w:rsidRPr="0031675F">
        <w:t xml:space="preserve"> FW 101.099) to a 1000</w:t>
      </w:r>
      <w:r w:rsidR="00E07360">
        <w:t xml:space="preserve"> </w:t>
      </w:r>
      <w:r w:rsidRPr="0031675F">
        <w:t>mL glass volumetric flask containing approximately 800 mL of reagent water and dissolve. Fill to the mark with Reagent water and refrigerate. This solution is stable for 2-3 weeks.</w:t>
      </w:r>
    </w:p>
    <w:p w14:paraId="5962840A" w14:textId="77777777" w:rsidR="0031675F" w:rsidRPr="0031675F" w:rsidRDefault="0031675F" w:rsidP="0031675F">
      <w:pPr>
        <w:ind w:left="1134" w:hanging="567"/>
      </w:pPr>
    </w:p>
    <w:p w14:paraId="33704E5F" w14:textId="632D6395" w:rsidR="0031675F" w:rsidRPr="0031675F" w:rsidRDefault="0031675F" w:rsidP="0031675F">
      <w:pPr>
        <w:ind w:left="1134" w:hanging="567"/>
        <w:rPr>
          <w:b/>
        </w:rPr>
      </w:pPr>
      <w:r w:rsidRPr="0031675F">
        <w:rPr>
          <w:b/>
        </w:rPr>
        <w:t>5.1.3</w:t>
      </w:r>
      <w:r w:rsidRPr="0031675F">
        <w:rPr>
          <w:b/>
        </w:rPr>
        <w:tab/>
      </w:r>
      <w:r w:rsidRPr="0031675F">
        <w:t>Spiking Stock Solution (20 mg N</w:t>
      </w:r>
      <w:r w:rsidR="00E07360">
        <w:t xml:space="preserve"> </w:t>
      </w:r>
      <w:r w:rsidR="00E07360" w:rsidRPr="0031675F">
        <w:t>L</w:t>
      </w:r>
      <w:r w:rsidR="00E07360" w:rsidRPr="00E07360">
        <w:rPr>
          <w:vertAlign w:val="superscript"/>
        </w:rPr>
        <w:t>-1</w:t>
      </w:r>
      <w:r w:rsidRPr="0031675F">
        <w:t>) - Pipette 1 mL of the stock nitrate solution into a 10 mL Sarstedt tube and fill to the marked line with reagent water. Mix well. This solution should be made daily.</w:t>
      </w:r>
      <w:r w:rsidRPr="0031675F">
        <w:rPr>
          <w:b/>
        </w:rPr>
        <w:tab/>
      </w:r>
    </w:p>
    <w:p w14:paraId="767B6B13" w14:textId="77777777" w:rsidR="0031675F" w:rsidRPr="0031675F" w:rsidRDefault="0031675F" w:rsidP="0031675F">
      <w:pPr>
        <w:ind w:left="1134" w:hanging="567"/>
      </w:pPr>
    </w:p>
    <w:p w14:paraId="77C7AC90" w14:textId="70385A82" w:rsidR="0031675F" w:rsidRPr="0031675F" w:rsidRDefault="0031675F" w:rsidP="0031675F">
      <w:pPr>
        <w:ind w:left="1134" w:hanging="567"/>
      </w:pPr>
      <w:r w:rsidRPr="0031675F">
        <w:rPr>
          <w:b/>
        </w:rPr>
        <w:t xml:space="preserve">5.1.4 </w:t>
      </w:r>
      <w:r w:rsidRPr="0031675F">
        <w:rPr>
          <w:b/>
        </w:rPr>
        <w:tab/>
      </w:r>
      <w:r w:rsidRPr="0031675F">
        <w:t>Stock Nitrite Solution (50 mg N</w:t>
      </w:r>
      <w:r w:rsidR="00E07360">
        <w:t xml:space="preserve"> </w:t>
      </w:r>
      <w:r w:rsidR="00E07360" w:rsidRPr="0031675F">
        <w:t>L</w:t>
      </w:r>
      <w:r w:rsidR="00E07360" w:rsidRPr="00E07360">
        <w:rPr>
          <w:vertAlign w:val="superscript"/>
        </w:rPr>
        <w:t>-1</w:t>
      </w:r>
      <w:r w:rsidRPr="0031675F">
        <w:t>) - Quantitatively transfer 0.246 g of pre dried (105°C for 1 hour minimum) sodium nitrite (NaNO</w:t>
      </w:r>
      <w:r w:rsidRPr="0031675F">
        <w:rPr>
          <w:vertAlign w:val="subscript"/>
        </w:rPr>
        <w:t>2</w:t>
      </w:r>
      <w:r w:rsidRPr="0031675F">
        <w:t xml:space="preserve"> FW 68.99) to a 1000 mL glass volumetric flask containing approximately 800 mL of reagent water and dissolve. Fill to the mark with Reagent water and refrigerate. This solution is stable for 2-3 weeks.</w:t>
      </w:r>
    </w:p>
    <w:p w14:paraId="42340979" w14:textId="77777777" w:rsidR="0031675F" w:rsidRPr="0031675F" w:rsidRDefault="0031675F" w:rsidP="0031675F">
      <w:pPr>
        <w:ind w:left="1134" w:hanging="567"/>
      </w:pPr>
    </w:p>
    <w:p w14:paraId="615C35DB" w14:textId="22924118" w:rsidR="0031675F" w:rsidRPr="0031675F" w:rsidRDefault="0031675F" w:rsidP="0031675F">
      <w:pPr>
        <w:ind w:left="1134" w:hanging="567"/>
      </w:pPr>
      <w:r w:rsidRPr="0031675F">
        <w:rPr>
          <w:b/>
        </w:rPr>
        <w:t xml:space="preserve">5.1.5 </w:t>
      </w:r>
      <w:r w:rsidRPr="0031675F">
        <w:rPr>
          <w:b/>
        </w:rPr>
        <w:tab/>
      </w:r>
      <w:r w:rsidRPr="0031675F">
        <w:t>Ammonium Chloride Buffer – Dissolved 85</w:t>
      </w:r>
      <w:r w:rsidR="00E07360">
        <w:t xml:space="preserve"> </w:t>
      </w:r>
      <w:r w:rsidRPr="0031675F">
        <w:t>g of ammonium chloride (NH</w:t>
      </w:r>
      <w:r w:rsidRPr="0031675F">
        <w:rPr>
          <w:vertAlign w:val="subscript"/>
        </w:rPr>
        <w:t>4</w:t>
      </w:r>
      <w:r w:rsidRPr="0031675F">
        <w:t>CL FW 53.49) and 1 g of  Ethylene-diamine – tetra-acetic acid (EDTA C</w:t>
      </w:r>
      <w:r w:rsidRPr="0031675F">
        <w:rPr>
          <w:vertAlign w:val="subscript"/>
        </w:rPr>
        <w:t>10</w:t>
      </w:r>
      <w:r w:rsidRPr="0031675F">
        <w:t>H</w:t>
      </w:r>
      <w:r w:rsidRPr="0031675F">
        <w:rPr>
          <w:vertAlign w:val="subscript"/>
        </w:rPr>
        <w:t>13</w:t>
      </w:r>
      <w:r w:rsidRPr="0031675F">
        <w:t>N</w:t>
      </w:r>
      <w:r w:rsidRPr="0031675F">
        <w:rPr>
          <w:vertAlign w:val="subscript"/>
        </w:rPr>
        <w:t>2</w:t>
      </w:r>
      <w:r w:rsidRPr="0031675F">
        <w:t>O</w:t>
      </w:r>
      <w:r w:rsidRPr="0031675F">
        <w:rPr>
          <w:vertAlign w:val="subscript"/>
        </w:rPr>
        <w:t>8</w:t>
      </w:r>
      <w:r w:rsidRPr="0031675F">
        <w:t>Na</w:t>
      </w:r>
      <w:r w:rsidRPr="0031675F">
        <w:rPr>
          <w:vertAlign w:val="subscript"/>
        </w:rPr>
        <w:t>3</w:t>
      </w:r>
      <w:r w:rsidRPr="0031675F">
        <w:t xml:space="preserve"> FW 358.2) in 800 mL of reagent water. Using a 6</w:t>
      </w:r>
      <w:r w:rsidR="00E07360">
        <w:t xml:space="preserve"> </w:t>
      </w:r>
      <w:r w:rsidRPr="0031675F">
        <w:t>N NaOH solution buffer the pH up till pH 8.5 is reached. Add Reagent water to reach the 1000 mL fill line and then store refrigerated in a polypropylene bottle.</w:t>
      </w:r>
    </w:p>
    <w:p w14:paraId="298AF6AA" w14:textId="77777777" w:rsidR="0031675F" w:rsidRPr="0031675F" w:rsidRDefault="0031675F" w:rsidP="0031675F">
      <w:pPr>
        <w:ind w:left="1134" w:hanging="567"/>
      </w:pPr>
    </w:p>
    <w:p w14:paraId="5325A502" w14:textId="79958F46" w:rsidR="0031675F" w:rsidRPr="0031675F" w:rsidRDefault="0031675F" w:rsidP="0031675F">
      <w:pPr>
        <w:ind w:left="1134" w:hanging="567"/>
      </w:pPr>
      <w:r w:rsidRPr="0031675F">
        <w:rPr>
          <w:b/>
        </w:rPr>
        <w:t>5.1.6</w:t>
      </w:r>
      <w:r w:rsidRPr="0031675F">
        <w:t xml:space="preserve"> </w:t>
      </w:r>
      <w:r w:rsidRPr="0031675F">
        <w:tab/>
        <w:t>Digestive reagent – Mix 9 g of sodium hydroxide (NaOH FW 40.0) and 40 g of potassium persulfate (K</w:t>
      </w:r>
      <w:r w:rsidRPr="0031675F">
        <w:rPr>
          <w:vertAlign w:val="subscript"/>
        </w:rPr>
        <w:t>2</w:t>
      </w:r>
      <w:r w:rsidRPr="0031675F">
        <w:t>S</w:t>
      </w:r>
      <w:r w:rsidRPr="0031675F">
        <w:rPr>
          <w:vertAlign w:val="subscript"/>
        </w:rPr>
        <w:t>2</w:t>
      </w:r>
      <w:r w:rsidRPr="0031675F">
        <w:t>O</w:t>
      </w:r>
      <w:r w:rsidRPr="0031675F">
        <w:rPr>
          <w:vertAlign w:val="subscript"/>
        </w:rPr>
        <w:t xml:space="preserve">8 </w:t>
      </w:r>
      <w:r w:rsidRPr="0031675F">
        <w:t>FW 270.33) in 800</w:t>
      </w:r>
      <w:r w:rsidR="00E07360">
        <w:t xml:space="preserve"> </w:t>
      </w:r>
      <w:r w:rsidRPr="0031675F">
        <w:t>mL of reagent water in a 1000 mL polypropylene bottle and then fill to the 1000 mL marked line. Magnetic stir for a minimum of 1 hour or until all reagents are dissolved. Make daily.</w:t>
      </w:r>
    </w:p>
    <w:p w14:paraId="663821FB" w14:textId="77777777" w:rsidR="0031675F" w:rsidRPr="0031675F" w:rsidRDefault="0031675F" w:rsidP="0031675F"/>
    <w:p w14:paraId="127C7560" w14:textId="77777777" w:rsidR="0031675F" w:rsidRPr="0031675F" w:rsidRDefault="0031675F" w:rsidP="0031675F">
      <w:pPr>
        <w:ind w:left="540" w:hanging="540"/>
      </w:pPr>
      <w:r w:rsidRPr="0031675F">
        <w:rPr>
          <w:b/>
        </w:rPr>
        <w:t xml:space="preserve">5.2 </w:t>
      </w:r>
      <w:r w:rsidRPr="0031675F">
        <w:rPr>
          <w:b/>
        </w:rPr>
        <w:tab/>
        <w:t>Working Reagents</w:t>
      </w:r>
    </w:p>
    <w:p w14:paraId="4BAF9986" w14:textId="77777777" w:rsidR="0031675F" w:rsidRPr="0031675F" w:rsidRDefault="0031675F" w:rsidP="0031675F">
      <w:pPr>
        <w:ind w:left="540" w:hanging="540"/>
      </w:pPr>
    </w:p>
    <w:p w14:paraId="2AA1859E" w14:textId="77777777" w:rsidR="0031675F" w:rsidRPr="0031675F" w:rsidRDefault="0031675F" w:rsidP="0031675F">
      <w:pPr>
        <w:ind w:left="1134" w:hanging="567"/>
      </w:pPr>
      <w:r w:rsidRPr="0031675F">
        <w:rPr>
          <w:b/>
        </w:rPr>
        <w:t xml:space="preserve">5.2.1 </w:t>
      </w:r>
      <w:r w:rsidRPr="0031675F">
        <w:rPr>
          <w:b/>
        </w:rPr>
        <w:tab/>
      </w:r>
      <w:r w:rsidRPr="0031675F">
        <w:t>Triton X 100 Start up Solution – add 1 mL of Triton X 100 surfactant to 500 mL of reagent water and mix gently.</w:t>
      </w:r>
    </w:p>
    <w:p w14:paraId="118FD35F" w14:textId="77777777" w:rsidR="0031675F" w:rsidRPr="0031675F" w:rsidRDefault="0031675F" w:rsidP="0031675F">
      <w:pPr>
        <w:ind w:left="1134" w:hanging="567"/>
      </w:pPr>
    </w:p>
    <w:p w14:paraId="55AC963D" w14:textId="77777777" w:rsidR="0031675F" w:rsidRPr="0031675F" w:rsidRDefault="0031675F" w:rsidP="0031675F">
      <w:pPr>
        <w:ind w:left="1134" w:hanging="567"/>
      </w:pPr>
      <w:r w:rsidRPr="0031675F">
        <w:rPr>
          <w:b/>
        </w:rPr>
        <w:t xml:space="preserve">5.2.2 </w:t>
      </w:r>
      <w:r w:rsidRPr="0031675F">
        <w:rPr>
          <w:b/>
        </w:rPr>
        <w:tab/>
      </w:r>
      <w:r w:rsidRPr="0031675F">
        <w:t>Working Sulfanilamide Solution – add 1 mL of triton X 100 to 200 mL of the stock sulfanilamide solution in a glass amber bottle and shake gently.</w:t>
      </w:r>
    </w:p>
    <w:p w14:paraId="590C7AE0" w14:textId="77777777" w:rsidR="0031675F" w:rsidRPr="0031675F" w:rsidRDefault="0031675F" w:rsidP="0031675F">
      <w:pPr>
        <w:ind w:left="1134" w:hanging="567"/>
      </w:pPr>
    </w:p>
    <w:p w14:paraId="4ED2BF9C" w14:textId="77777777" w:rsidR="0031675F" w:rsidRPr="0031675F" w:rsidRDefault="0031675F" w:rsidP="0031675F">
      <w:pPr>
        <w:ind w:left="1134" w:hanging="567"/>
      </w:pPr>
      <w:r w:rsidRPr="0031675F">
        <w:rPr>
          <w:b/>
        </w:rPr>
        <w:t xml:space="preserve">5.2.3 </w:t>
      </w:r>
      <w:r w:rsidRPr="0031675F">
        <w:rPr>
          <w:b/>
        </w:rPr>
        <w:tab/>
      </w:r>
      <w:r w:rsidRPr="0031675F">
        <w:t>Ammonium Chloride Buffer – Mix a 1:3 ratio of ammonium chloride buffer to Reagent water in a 1L polypropylene bottle and add 2 mL of Triton X 100.</w:t>
      </w:r>
    </w:p>
    <w:p w14:paraId="060DB485" w14:textId="77777777" w:rsidR="0031675F" w:rsidRPr="0031675F" w:rsidRDefault="0031675F" w:rsidP="0031675F">
      <w:pPr>
        <w:ind w:left="1134" w:hanging="567"/>
      </w:pPr>
    </w:p>
    <w:p w14:paraId="56D2F48F" w14:textId="77777777" w:rsidR="0031675F" w:rsidRPr="0031675F" w:rsidRDefault="0031675F" w:rsidP="0031675F">
      <w:pPr>
        <w:ind w:left="1134" w:hanging="567"/>
      </w:pPr>
      <w:r w:rsidRPr="0031675F">
        <w:rPr>
          <w:b/>
        </w:rPr>
        <w:t>5.2.4</w:t>
      </w:r>
      <w:r w:rsidRPr="0031675F">
        <w:rPr>
          <w:b/>
        </w:rPr>
        <w:tab/>
      </w:r>
      <w:r w:rsidRPr="0031675F">
        <w:t>Copper Sulfate Solution (2%) – Dissolve 20 g of copper sulfate (CuSO</w:t>
      </w:r>
      <w:r w:rsidRPr="0031675F">
        <w:rPr>
          <w:vertAlign w:val="subscript"/>
        </w:rPr>
        <w:t>4</w:t>
      </w:r>
      <w:r w:rsidRPr="0031675F">
        <w:t>.5H</w:t>
      </w:r>
      <w:r w:rsidRPr="0031675F">
        <w:rPr>
          <w:vertAlign w:val="subscript"/>
        </w:rPr>
        <w:t>2</w:t>
      </w:r>
      <w:r w:rsidRPr="0031675F">
        <w:t>O, FW 249.61) in 1 L of reagent water.</w:t>
      </w:r>
    </w:p>
    <w:p w14:paraId="75FCEC29" w14:textId="77777777" w:rsidR="0031675F" w:rsidRPr="0031675F" w:rsidRDefault="0031675F" w:rsidP="0031675F">
      <w:pPr>
        <w:ind w:left="1134" w:hanging="567"/>
      </w:pPr>
    </w:p>
    <w:p w14:paraId="02FCD569" w14:textId="77777777" w:rsidR="0031675F" w:rsidRPr="0031675F" w:rsidRDefault="0031675F" w:rsidP="0031675F">
      <w:pPr>
        <w:ind w:left="1134" w:hanging="567"/>
      </w:pPr>
      <w:r w:rsidRPr="0031675F">
        <w:rPr>
          <w:b/>
        </w:rPr>
        <w:t xml:space="preserve">5.2.5 </w:t>
      </w:r>
      <w:r w:rsidRPr="0031675F">
        <w:rPr>
          <w:b/>
        </w:rPr>
        <w:tab/>
      </w:r>
      <w:smartTag w:uri="urn:schemas-microsoft-com:office:smarttags" w:element="place">
        <w:smartTag w:uri="urn:schemas-microsoft-com:office:smarttags" w:element="PlaceName">
          <w:r w:rsidRPr="0031675F">
            <w:t>Colored</w:t>
          </w:r>
        </w:smartTag>
        <w:r w:rsidRPr="0031675F">
          <w:t xml:space="preserve"> </w:t>
        </w:r>
        <w:smartTag w:uri="urn:schemas-microsoft-com:office:smarttags" w:element="PlaceName">
          <w:r w:rsidRPr="0031675F">
            <w:t>SYNC</w:t>
          </w:r>
        </w:smartTag>
        <w:r w:rsidRPr="0031675F">
          <w:t xml:space="preserve"> </w:t>
        </w:r>
        <w:smartTag w:uri="urn:schemas-microsoft-com:office:smarttags" w:element="PlaceType">
          <w:r w:rsidRPr="0031675F">
            <w:t>Peak</w:t>
          </w:r>
        </w:smartTag>
      </w:smartTag>
      <w:r w:rsidRPr="0031675F">
        <w:t xml:space="preserve"> Solution – Use either a high nitrate standard that will obtain a peak between 25 to 100 percent full scale. Or add 50 µL of red food coloring solution to 1000mL and mix thoroughly.</w:t>
      </w:r>
    </w:p>
    <w:p w14:paraId="3893E201" w14:textId="77777777" w:rsidR="0031675F" w:rsidRPr="0031675F" w:rsidRDefault="0031675F" w:rsidP="0031675F">
      <w:pPr>
        <w:ind w:left="1134" w:hanging="567"/>
      </w:pPr>
    </w:p>
    <w:p w14:paraId="1C52176F" w14:textId="77777777" w:rsidR="0031675F" w:rsidRPr="0031675F" w:rsidRDefault="0031675F" w:rsidP="0031675F">
      <w:pPr>
        <w:ind w:left="1134" w:hanging="567"/>
      </w:pPr>
      <w:r w:rsidRPr="0031675F">
        <w:rPr>
          <w:b/>
        </w:rPr>
        <w:t xml:space="preserve">5.2.6 </w:t>
      </w:r>
      <w:r w:rsidRPr="0031675F">
        <w:rPr>
          <w:b/>
        </w:rPr>
        <w:tab/>
      </w:r>
      <w:r w:rsidRPr="0031675F">
        <w:t>Calibration Standards –</w:t>
      </w:r>
      <w:r w:rsidRPr="0031675F">
        <w:rPr>
          <w:b/>
        </w:rPr>
        <w:t xml:space="preserve"> </w:t>
      </w:r>
      <w:r w:rsidRPr="0031675F">
        <w:t>Prepare a series of calibration standards (</w:t>
      </w:r>
      <w:smartTag w:uri="urn:schemas-microsoft-com:office:smarttags" w:element="place">
        <w:smartTag w:uri="urn:schemas-microsoft-com:office:smarttags" w:element="State">
          <w:r w:rsidRPr="0031675F">
            <w:t>CAL</w:t>
          </w:r>
        </w:smartTag>
      </w:smartTag>
      <w:r w:rsidRPr="0031675F">
        <w:t>) by diluting a suitable volume of the stock standard solution to 100 mL volumetric flask using reagent water. Prepare these standards daily. The concentration range of calibration standards should bracket the expected concentrations of samples and not exceed two orders of magnitude. At least five calibration standards should be used to construct the calibration curve.</w:t>
      </w:r>
    </w:p>
    <w:p w14:paraId="1459CA5A" w14:textId="77777777" w:rsidR="0031675F" w:rsidRPr="0031675F" w:rsidRDefault="0031675F" w:rsidP="0031675F"/>
    <w:p w14:paraId="53B4AE0B" w14:textId="77777777" w:rsidR="0031675F" w:rsidRPr="0031675F" w:rsidRDefault="0031675F" w:rsidP="0031675F">
      <w:pPr>
        <w:ind w:left="540" w:hanging="540"/>
      </w:pPr>
      <w:r w:rsidRPr="0031675F">
        <w:rPr>
          <w:b/>
        </w:rPr>
        <w:t xml:space="preserve">5.3 </w:t>
      </w:r>
      <w:r w:rsidRPr="0031675F">
        <w:rPr>
          <w:b/>
        </w:rPr>
        <w:tab/>
        <w:t>Open Tubular Cadmium Reactor (OTCR)</w:t>
      </w:r>
    </w:p>
    <w:p w14:paraId="5585C38C" w14:textId="77777777" w:rsidR="0031675F" w:rsidRPr="0031675F" w:rsidRDefault="0031675F" w:rsidP="0031675F">
      <w:pPr>
        <w:ind w:left="540" w:hanging="540"/>
      </w:pPr>
    </w:p>
    <w:p w14:paraId="07ABACC0" w14:textId="77777777" w:rsidR="0031675F" w:rsidRPr="0031675F" w:rsidRDefault="0031675F" w:rsidP="0031675F">
      <w:pPr>
        <w:ind w:left="1134" w:hanging="567"/>
      </w:pPr>
      <w:r w:rsidRPr="0031675F">
        <w:rPr>
          <w:b/>
        </w:rPr>
        <w:t xml:space="preserve">5.3.1 </w:t>
      </w:r>
      <w:r w:rsidRPr="0031675F">
        <w:rPr>
          <w:b/>
        </w:rPr>
        <w:tab/>
      </w:r>
      <w:r w:rsidRPr="0031675F">
        <w:t>Open Tubular Cadmium Reactor – nitrate in the samples is reduced to nitrite by either a commercial open tubular cadmium reactor or a laboratory packed copper coated cadmium reduction column. If an OTCR is being employed the following procedure should be used to activate it:</w:t>
      </w:r>
    </w:p>
    <w:p w14:paraId="600F01E3" w14:textId="77777777" w:rsidR="0031675F" w:rsidRPr="0031675F" w:rsidRDefault="0031675F" w:rsidP="0031675F">
      <w:pPr>
        <w:ind w:left="1080" w:hanging="540"/>
      </w:pPr>
    </w:p>
    <w:p w14:paraId="3AC84DE3" w14:textId="7D9B524B" w:rsidR="0031675F" w:rsidRPr="0031675F" w:rsidRDefault="0031675F" w:rsidP="0031675F">
      <w:pPr>
        <w:ind w:left="1134" w:hanging="567"/>
      </w:pPr>
      <w:r w:rsidRPr="0031675F">
        <w:tab/>
        <w:t>Prepare reagent water, 10% HCl solution and 2% CuSO</w:t>
      </w:r>
      <w:r w:rsidRPr="0031675F">
        <w:rPr>
          <w:vertAlign w:val="subscript"/>
        </w:rPr>
        <w:t>4</w:t>
      </w:r>
      <w:r w:rsidRPr="0031675F">
        <w:t xml:space="preserve"> solution in three 60 mL syringes with unions. Firstly flush through 10mL of reagent water, then flush with 10 mL of 10% HCl in 3 seconds and follow immediately with 30</w:t>
      </w:r>
      <w:r w:rsidR="00E07360">
        <w:t xml:space="preserve"> </w:t>
      </w:r>
      <w:r w:rsidRPr="0031675F">
        <w:t>mL of reagent water. Slowly flush 20</w:t>
      </w:r>
      <w:r w:rsidR="00E07360">
        <w:t xml:space="preserve"> </w:t>
      </w:r>
      <w:r w:rsidRPr="0031675F">
        <w:t>mL CuSO</w:t>
      </w:r>
      <w:r w:rsidRPr="0031675F">
        <w:rPr>
          <w:vertAlign w:val="subscript"/>
        </w:rPr>
        <w:t xml:space="preserve">4 </w:t>
      </w:r>
      <w:r w:rsidRPr="0031675F">
        <w:t>solution until a large amount of black precipitated copper comes out of the OTCR, then stop flushing. Finally flush the OTCR with reagent water and then fill with ammonium chloride buffer for short term storage.</w:t>
      </w:r>
    </w:p>
    <w:p w14:paraId="3160D0F0" w14:textId="77777777" w:rsidR="0031675F" w:rsidRPr="0031675F" w:rsidRDefault="0031675F" w:rsidP="0031675F"/>
    <w:p w14:paraId="6A3C4800" w14:textId="77777777" w:rsidR="0031675F" w:rsidRPr="0031675F" w:rsidRDefault="0031675F" w:rsidP="0031675F">
      <w:pPr>
        <w:shd w:val="clear" w:color="auto" w:fill="D9D9D9"/>
        <w:ind w:left="540" w:hanging="540"/>
        <w:rPr>
          <w:b/>
        </w:rPr>
      </w:pPr>
      <w:r w:rsidRPr="0031675F">
        <w:rPr>
          <w:b/>
        </w:rPr>
        <w:t xml:space="preserve">6.0 </w:t>
      </w:r>
      <w:r w:rsidRPr="0031675F">
        <w:rPr>
          <w:b/>
        </w:rPr>
        <w:tab/>
        <w:t>SAMPLE COLLECTION, PRESERVATION AND STORAGE</w:t>
      </w:r>
    </w:p>
    <w:p w14:paraId="25A30669" w14:textId="77777777" w:rsidR="0031675F" w:rsidRPr="0031675F" w:rsidRDefault="0031675F" w:rsidP="0031675F">
      <w:pPr>
        <w:rPr>
          <w:b/>
        </w:rPr>
      </w:pPr>
      <w:r w:rsidRPr="0031675F">
        <w:rPr>
          <w:b/>
        </w:rPr>
        <w:tab/>
      </w:r>
    </w:p>
    <w:p w14:paraId="7A39BEE3" w14:textId="77777777" w:rsidR="0031675F" w:rsidRPr="0031675F" w:rsidRDefault="0031675F" w:rsidP="0031675F">
      <w:pPr>
        <w:ind w:left="540" w:hanging="540"/>
      </w:pPr>
      <w:r w:rsidRPr="0031675F">
        <w:rPr>
          <w:b/>
        </w:rPr>
        <w:t>6.1</w:t>
      </w:r>
      <w:r w:rsidRPr="0031675F">
        <w:t xml:space="preserve"> </w:t>
      </w:r>
      <w:r w:rsidRPr="0031675F">
        <w:tab/>
      </w:r>
      <w:r w:rsidRPr="0031675F">
        <w:rPr>
          <w:b/>
        </w:rPr>
        <w:t>Sample Collection</w:t>
      </w:r>
    </w:p>
    <w:p w14:paraId="145CF504" w14:textId="77777777" w:rsidR="0031675F" w:rsidRPr="0031675F" w:rsidRDefault="0031675F" w:rsidP="0031675F">
      <w:pPr>
        <w:ind w:left="540" w:hanging="540"/>
        <w:rPr>
          <w:b/>
        </w:rPr>
      </w:pPr>
    </w:p>
    <w:p w14:paraId="4D305951" w14:textId="77777777" w:rsidR="0031675F" w:rsidRPr="0031675F" w:rsidRDefault="0031675F" w:rsidP="0031675F">
      <w:pPr>
        <w:ind w:left="1134" w:hanging="567"/>
      </w:pPr>
      <w:r w:rsidRPr="0031675F">
        <w:rPr>
          <w:b/>
        </w:rPr>
        <w:t>6.1.1</w:t>
      </w:r>
      <w:r w:rsidRPr="0031675F">
        <w:rPr>
          <w:b/>
        </w:rPr>
        <w:tab/>
      </w:r>
      <w:r w:rsidRPr="0031675F">
        <w:t>Samples collected for nutrient analyses from estuarine, coastal waters, streams and lakes are usually collected by one of two methods: either a peristaltic pump or grab sample.</w:t>
      </w:r>
    </w:p>
    <w:p w14:paraId="52DF6179" w14:textId="77777777" w:rsidR="0031675F" w:rsidRPr="0031675F" w:rsidRDefault="0031675F" w:rsidP="0031675F">
      <w:pPr>
        <w:ind w:left="1134" w:hanging="567"/>
        <w:rPr>
          <w:b/>
        </w:rPr>
      </w:pPr>
    </w:p>
    <w:p w14:paraId="5EAB521F" w14:textId="77777777" w:rsidR="0031675F" w:rsidRPr="0031675F" w:rsidRDefault="0031675F" w:rsidP="0031675F">
      <w:pPr>
        <w:ind w:left="1134" w:hanging="567"/>
      </w:pPr>
      <w:r w:rsidRPr="0031675F">
        <w:rPr>
          <w:b/>
        </w:rPr>
        <w:t xml:space="preserve">6.1.2 </w:t>
      </w:r>
      <w:r w:rsidRPr="0031675F">
        <w:rPr>
          <w:b/>
        </w:rPr>
        <w:tab/>
      </w:r>
      <w:r w:rsidRPr="0031675F">
        <w:t>A peristaltic pump has a length of tube attached that is weighted down so that particular depths can be sampled if required. A grab sample is obtained using a hand held sampling pole with 1 L polypropylene bottle which is filled sub surface.</w:t>
      </w:r>
    </w:p>
    <w:p w14:paraId="6D7A5011" w14:textId="77777777" w:rsidR="0031675F" w:rsidRPr="0031675F" w:rsidRDefault="0031675F" w:rsidP="0031675F">
      <w:pPr>
        <w:ind w:left="1134" w:hanging="567"/>
      </w:pPr>
    </w:p>
    <w:p w14:paraId="085E9018" w14:textId="77777777" w:rsidR="0031675F" w:rsidRPr="0031675F" w:rsidRDefault="0031675F" w:rsidP="0031675F">
      <w:pPr>
        <w:ind w:left="1134" w:hanging="567"/>
      </w:pPr>
      <w:r w:rsidRPr="0031675F">
        <w:rPr>
          <w:b/>
        </w:rPr>
        <w:t>6.1.3</w:t>
      </w:r>
      <w:r w:rsidRPr="0031675F">
        <w:t xml:space="preserve"> </w:t>
      </w:r>
      <w:r w:rsidRPr="0031675F">
        <w:tab/>
        <w:t xml:space="preserve">The total nutrient component is sampled into a gamma sterile 60 mL Sarstedt polypropylene tube (Cat# 60.596.001). </w:t>
      </w:r>
    </w:p>
    <w:p w14:paraId="2ECA9C32" w14:textId="77777777" w:rsidR="0031675F" w:rsidRPr="0031675F" w:rsidRDefault="0031675F" w:rsidP="0031675F">
      <w:pPr>
        <w:ind w:left="1134" w:hanging="567"/>
      </w:pPr>
    </w:p>
    <w:p w14:paraId="2DD6FBD6" w14:textId="77777777" w:rsidR="0031675F" w:rsidRPr="0031675F" w:rsidRDefault="0031675F" w:rsidP="0031675F">
      <w:pPr>
        <w:ind w:left="1134" w:hanging="567"/>
      </w:pPr>
      <w:r w:rsidRPr="0031675F">
        <w:rPr>
          <w:b/>
        </w:rPr>
        <w:t>6.1.4</w:t>
      </w:r>
      <w:r w:rsidRPr="0031675F">
        <w:t xml:space="preserve"> </w:t>
      </w:r>
      <w:r w:rsidRPr="0031675F">
        <w:tab/>
        <w:t>The total filterable nutrient component is filtered immediately at the point of collection using a Terumo sterile 60 mL syringe and 0.45 µm polysulphone Mini-Sart filter purchased from Sartorius (Cat #165333K).</w:t>
      </w:r>
    </w:p>
    <w:p w14:paraId="2B881A22" w14:textId="77777777" w:rsidR="0031675F" w:rsidRPr="0031675F" w:rsidRDefault="0031675F" w:rsidP="0031675F"/>
    <w:p w14:paraId="1F5F5894" w14:textId="77777777" w:rsidR="0031675F" w:rsidRPr="0031675F" w:rsidRDefault="0031675F" w:rsidP="0031675F">
      <w:pPr>
        <w:ind w:left="540" w:hanging="540"/>
      </w:pPr>
      <w:r w:rsidRPr="0031675F">
        <w:rPr>
          <w:b/>
        </w:rPr>
        <w:t>6.2</w:t>
      </w:r>
      <w:r w:rsidRPr="0031675F">
        <w:t xml:space="preserve"> </w:t>
      </w:r>
      <w:r w:rsidRPr="0031675F">
        <w:tab/>
      </w:r>
      <w:r w:rsidRPr="0031675F">
        <w:rPr>
          <w:b/>
        </w:rPr>
        <w:t>Sample Preservation</w:t>
      </w:r>
    </w:p>
    <w:p w14:paraId="27D5F185" w14:textId="77777777" w:rsidR="0031675F" w:rsidRPr="0031675F" w:rsidRDefault="0031675F" w:rsidP="0031675F">
      <w:pPr>
        <w:ind w:left="540" w:hanging="540"/>
        <w:rPr>
          <w:b/>
        </w:rPr>
      </w:pPr>
    </w:p>
    <w:p w14:paraId="559F474B" w14:textId="77777777" w:rsidR="0031675F" w:rsidRPr="0031675F" w:rsidRDefault="0031675F" w:rsidP="0031675F">
      <w:pPr>
        <w:ind w:left="1134" w:hanging="567"/>
      </w:pPr>
      <w:r w:rsidRPr="0031675F">
        <w:rPr>
          <w:b/>
        </w:rPr>
        <w:t>6.2.1</w:t>
      </w:r>
      <w:r w:rsidRPr="0031675F">
        <w:t xml:space="preserve"> </w:t>
      </w:r>
      <w:r w:rsidRPr="0031675F">
        <w:tab/>
        <w:t>After collection and filtration the samples should either be analysed immediately or if this is not possible frozen at -18°C until analysis can be performed.</w:t>
      </w:r>
    </w:p>
    <w:p w14:paraId="5A7EE921" w14:textId="77777777" w:rsidR="0031675F" w:rsidRPr="0031675F" w:rsidRDefault="0031675F" w:rsidP="0031675F"/>
    <w:p w14:paraId="51C26B82" w14:textId="77777777" w:rsidR="0031675F" w:rsidRPr="0031675F" w:rsidRDefault="0031675F" w:rsidP="0031675F">
      <w:pPr>
        <w:ind w:left="540" w:hanging="540"/>
      </w:pPr>
      <w:r w:rsidRPr="0031675F">
        <w:rPr>
          <w:b/>
        </w:rPr>
        <w:t>6.3</w:t>
      </w:r>
      <w:r w:rsidRPr="0031675F">
        <w:t xml:space="preserve"> </w:t>
      </w:r>
      <w:r w:rsidRPr="0031675F">
        <w:tab/>
      </w:r>
      <w:r w:rsidRPr="0031675F">
        <w:rPr>
          <w:b/>
        </w:rPr>
        <w:t>Sample Storage</w:t>
      </w:r>
    </w:p>
    <w:p w14:paraId="2AA32FDF" w14:textId="77777777" w:rsidR="0031675F" w:rsidRPr="0031675F" w:rsidRDefault="0031675F" w:rsidP="0031675F">
      <w:pPr>
        <w:ind w:left="540" w:hanging="540"/>
      </w:pPr>
    </w:p>
    <w:p w14:paraId="51704917" w14:textId="77777777" w:rsidR="0031675F" w:rsidRPr="0031675F" w:rsidRDefault="0031675F" w:rsidP="0031675F">
      <w:pPr>
        <w:ind w:left="1134" w:hanging="567"/>
      </w:pPr>
      <w:r w:rsidRPr="0031675F">
        <w:rPr>
          <w:b/>
        </w:rPr>
        <w:t>6.3.1</w:t>
      </w:r>
      <w:r w:rsidRPr="0031675F">
        <w:t xml:space="preserve"> </w:t>
      </w:r>
      <w:r w:rsidRPr="0031675F">
        <w:tab/>
        <w:t>Samples should be stored in a freezer that contains nutrient samples only. If possible samples should further be stored into there relevant matrix and concentration to further minimise any possible contamination e.g. store low level marine samples away from effluent samples.</w:t>
      </w:r>
    </w:p>
    <w:p w14:paraId="5BB0D158" w14:textId="77777777" w:rsidR="0031675F" w:rsidRPr="0031675F" w:rsidRDefault="0031675F" w:rsidP="0031675F">
      <w:pPr>
        <w:rPr>
          <w:b/>
        </w:rPr>
      </w:pPr>
    </w:p>
    <w:p w14:paraId="295BFC94" w14:textId="77777777" w:rsidR="0031675F" w:rsidRPr="0031675F" w:rsidRDefault="0031675F" w:rsidP="0031675F">
      <w:pPr>
        <w:shd w:val="clear" w:color="auto" w:fill="D9D9D9"/>
        <w:ind w:left="540" w:hanging="540"/>
        <w:rPr>
          <w:b/>
        </w:rPr>
      </w:pPr>
      <w:r w:rsidRPr="0031675F">
        <w:rPr>
          <w:b/>
        </w:rPr>
        <w:t xml:space="preserve">7.0 </w:t>
      </w:r>
      <w:r w:rsidRPr="0031675F">
        <w:rPr>
          <w:b/>
        </w:rPr>
        <w:tab/>
        <w:t>QUALITY CONTROL</w:t>
      </w:r>
    </w:p>
    <w:p w14:paraId="48F58AEA" w14:textId="77777777" w:rsidR="0031675F" w:rsidRPr="0031675F" w:rsidRDefault="0031675F" w:rsidP="0031675F">
      <w:pPr>
        <w:ind w:left="709" w:hanging="709"/>
        <w:rPr>
          <w:b/>
        </w:rPr>
      </w:pPr>
    </w:p>
    <w:p w14:paraId="0EDF01FC" w14:textId="77777777" w:rsidR="0031675F" w:rsidRPr="0031675F" w:rsidRDefault="0031675F" w:rsidP="0031675F">
      <w:pPr>
        <w:ind w:left="567" w:hanging="567"/>
      </w:pPr>
      <w:r w:rsidRPr="0031675F">
        <w:rPr>
          <w:b/>
        </w:rPr>
        <w:t xml:space="preserve">7.1 </w:t>
      </w:r>
      <w:r w:rsidRPr="0031675F">
        <w:rPr>
          <w:b/>
        </w:rPr>
        <w:tab/>
      </w:r>
      <w:r w:rsidRPr="0031675F">
        <w:t xml:space="preserve">The minimum requirements of this program is to demonstrate performance using in house reference materials (IHRM), duplicate analyses, spiking samples, and the use of certified reference material (CRM’s) purchased from an external source. Also, all vials used for sampling,  the digestion procedure, and syringe filters (if used) are subject to rigorous quality control checks before being utilised. </w:t>
      </w:r>
    </w:p>
    <w:p w14:paraId="1C5BE542" w14:textId="77777777" w:rsidR="0031675F" w:rsidRPr="0031675F" w:rsidRDefault="0031675F" w:rsidP="0031675F"/>
    <w:p w14:paraId="0C76DE1C" w14:textId="77777777" w:rsidR="0031675F" w:rsidRPr="0031675F" w:rsidRDefault="0031675F" w:rsidP="0031675F">
      <w:pPr>
        <w:ind w:left="540"/>
      </w:pPr>
      <w:r w:rsidRPr="0031675F">
        <w:t xml:space="preserve">Additionally, to participate in inter collaborative nutrient trials at least once per year e.g. National Low Level Nutrient Collaborative Trials (NLLNCT). </w:t>
      </w:r>
    </w:p>
    <w:p w14:paraId="47339670" w14:textId="77777777" w:rsidR="0031675F" w:rsidRPr="0031675F" w:rsidRDefault="0031675F" w:rsidP="0031675F">
      <w:pPr>
        <w:ind w:left="709"/>
      </w:pPr>
    </w:p>
    <w:p w14:paraId="211F1E5B" w14:textId="77777777" w:rsidR="0031675F" w:rsidRPr="0031675F" w:rsidRDefault="0031675F" w:rsidP="0031675F">
      <w:pPr>
        <w:ind w:left="540" w:hanging="540"/>
        <w:rPr>
          <w:b/>
        </w:rPr>
      </w:pPr>
      <w:r w:rsidRPr="0031675F">
        <w:rPr>
          <w:b/>
        </w:rPr>
        <w:t>7.2</w:t>
      </w:r>
      <w:r w:rsidRPr="0031675F">
        <w:tab/>
      </w:r>
      <w:r w:rsidRPr="0031675F">
        <w:rPr>
          <w:b/>
        </w:rPr>
        <w:t>In House Reference Material (IHRM)</w:t>
      </w:r>
    </w:p>
    <w:p w14:paraId="41DC5077" w14:textId="77777777" w:rsidR="0031675F" w:rsidRPr="0031675F" w:rsidRDefault="0031675F" w:rsidP="0031675F">
      <w:pPr>
        <w:ind w:left="540" w:hanging="540"/>
        <w:rPr>
          <w:b/>
        </w:rPr>
      </w:pPr>
    </w:p>
    <w:p w14:paraId="3C07C30B" w14:textId="1D71FBB8" w:rsidR="0031675F" w:rsidRPr="0031675F" w:rsidRDefault="0031675F" w:rsidP="0031675F">
      <w:pPr>
        <w:ind w:left="1134" w:hanging="567"/>
      </w:pPr>
      <w:r w:rsidRPr="0031675F">
        <w:rPr>
          <w:b/>
        </w:rPr>
        <w:t>7.2.1</w:t>
      </w:r>
      <w:r w:rsidRPr="0031675F">
        <w:t xml:space="preserve"> </w:t>
      </w:r>
      <w:r w:rsidRPr="0031675F">
        <w:tab/>
        <w:t>A 1000 µg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nitrite standards is made up from the stock standard solution (SSS). This standard is used to assess the efficiency of the OTCR.</w:t>
      </w:r>
    </w:p>
    <w:p w14:paraId="10D2405C" w14:textId="77777777" w:rsidR="0031675F" w:rsidRPr="0031675F" w:rsidRDefault="0031675F" w:rsidP="0031675F">
      <w:pPr>
        <w:ind w:left="1134" w:hanging="567"/>
      </w:pPr>
      <w:r w:rsidRPr="0031675F">
        <w:br/>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0E43CA96" w14:textId="77777777" w:rsidTr="00B00729">
        <w:trPr>
          <w:jc w:val="center"/>
        </w:trPr>
        <w:tc>
          <w:tcPr>
            <w:tcW w:w="2646" w:type="dxa"/>
            <w:vAlign w:val="center"/>
          </w:tcPr>
          <w:p w14:paraId="6CFBC836" w14:textId="38D2728C" w:rsidR="0031675F" w:rsidRPr="0031675F" w:rsidRDefault="0031675F" w:rsidP="0031675F">
            <w:pPr>
              <w:jc w:val="center"/>
            </w:pPr>
            <w:r w:rsidRPr="0031675F">
              <w:t>Stock Nitrite Solution (mL)</w:t>
            </w:r>
          </w:p>
        </w:tc>
        <w:tc>
          <w:tcPr>
            <w:tcW w:w="2646" w:type="dxa"/>
            <w:vAlign w:val="center"/>
          </w:tcPr>
          <w:p w14:paraId="123CA1B4" w14:textId="77777777" w:rsidR="0031675F" w:rsidRPr="0031675F" w:rsidRDefault="0031675F" w:rsidP="0031675F">
            <w:pPr>
              <w:jc w:val="center"/>
            </w:pPr>
            <w:r w:rsidRPr="0031675F">
              <w:t>Size Volumetric Flask (mL)</w:t>
            </w:r>
          </w:p>
        </w:tc>
        <w:tc>
          <w:tcPr>
            <w:tcW w:w="2646" w:type="dxa"/>
            <w:vAlign w:val="center"/>
          </w:tcPr>
          <w:p w14:paraId="3B142107" w14:textId="02ABAD38" w:rsidR="0031675F" w:rsidRPr="0031675F" w:rsidRDefault="0031675F" w:rsidP="0031675F">
            <w:pPr>
              <w:jc w:val="center"/>
            </w:pPr>
            <w:r w:rsidRPr="0031675F">
              <w:t>Calculated Concentration (µg N</w:t>
            </w:r>
            <w:r w:rsidR="00E07360">
              <w:t xml:space="preserve"> </w:t>
            </w:r>
            <w:r w:rsidR="00E07360" w:rsidRPr="0031675F">
              <w:t>L</w:t>
            </w:r>
            <w:r w:rsidR="00E07360" w:rsidRPr="00E07360">
              <w:rPr>
                <w:vertAlign w:val="superscript"/>
              </w:rPr>
              <w:t>-1</w:t>
            </w:r>
            <w:r w:rsidRPr="0031675F">
              <w:t>)</w:t>
            </w:r>
          </w:p>
        </w:tc>
      </w:tr>
      <w:tr w:rsidR="0031675F" w:rsidRPr="0031675F" w14:paraId="5186E891" w14:textId="77777777" w:rsidTr="00B00729">
        <w:trPr>
          <w:trHeight w:val="503"/>
          <w:jc w:val="center"/>
        </w:trPr>
        <w:tc>
          <w:tcPr>
            <w:tcW w:w="2646" w:type="dxa"/>
            <w:vAlign w:val="center"/>
          </w:tcPr>
          <w:p w14:paraId="59BF8314" w14:textId="77777777" w:rsidR="0031675F" w:rsidRPr="0031675F" w:rsidRDefault="0031675F" w:rsidP="0031675F">
            <w:pPr>
              <w:jc w:val="center"/>
            </w:pPr>
            <w:r w:rsidRPr="0031675F">
              <w:t>2</w:t>
            </w:r>
          </w:p>
        </w:tc>
        <w:tc>
          <w:tcPr>
            <w:tcW w:w="2646" w:type="dxa"/>
            <w:vAlign w:val="center"/>
          </w:tcPr>
          <w:p w14:paraId="23148503" w14:textId="77777777" w:rsidR="0031675F" w:rsidRPr="0031675F" w:rsidRDefault="0031675F" w:rsidP="0031675F">
            <w:pPr>
              <w:jc w:val="center"/>
            </w:pPr>
            <w:r w:rsidRPr="0031675F">
              <w:t>100</w:t>
            </w:r>
          </w:p>
        </w:tc>
        <w:tc>
          <w:tcPr>
            <w:tcW w:w="2646" w:type="dxa"/>
            <w:vAlign w:val="center"/>
          </w:tcPr>
          <w:p w14:paraId="653F8966" w14:textId="77777777" w:rsidR="0031675F" w:rsidRPr="0031675F" w:rsidRDefault="0031675F" w:rsidP="0031675F">
            <w:pPr>
              <w:jc w:val="center"/>
            </w:pPr>
            <w:r w:rsidRPr="0031675F">
              <w:t>1000</w:t>
            </w:r>
          </w:p>
        </w:tc>
      </w:tr>
    </w:tbl>
    <w:p w14:paraId="3F94ECB3" w14:textId="77777777" w:rsidR="0031675F" w:rsidRPr="0031675F" w:rsidRDefault="0031675F" w:rsidP="0031675F">
      <w:pPr>
        <w:ind w:left="567" w:hanging="567"/>
        <w:rPr>
          <w:b/>
        </w:rPr>
      </w:pPr>
    </w:p>
    <w:p w14:paraId="4F4969B1" w14:textId="77777777" w:rsidR="0031675F" w:rsidRPr="0031675F" w:rsidRDefault="0031675F" w:rsidP="0031675F">
      <w:pPr>
        <w:ind w:left="567" w:hanging="567"/>
        <w:rPr>
          <w:b/>
        </w:rPr>
      </w:pPr>
      <w:r w:rsidRPr="0031675F">
        <w:rPr>
          <w:b/>
        </w:rPr>
        <w:t xml:space="preserve">7.3 </w:t>
      </w:r>
      <w:r w:rsidRPr="0031675F">
        <w:rPr>
          <w:b/>
        </w:rPr>
        <w:tab/>
        <w:t xml:space="preserve">Duplicate Analyses </w:t>
      </w:r>
    </w:p>
    <w:p w14:paraId="4E687CE6" w14:textId="77777777" w:rsidR="0031675F" w:rsidRPr="0031675F" w:rsidRDefault="0031675F" w:rsidP="0031675F">
      <w:pPr>
        <w:ind w:left="540" w:hanging="540"/>
        <w:rPr>
          <w:b/>
        </w:rPr>
      </w:pPr>
    </w:p>
    <w:p w14:paraId="198C55FA" w14:textId="77777777" w:rsidR="0031675F" w:rsidRPr="0031675F" w:rsidRDefault="0031675F" w:rsidP="0031675F">
      <w:pPr>
        <w:ind w:left="1134" w:hanging="567"/>
      </w:pPr>
      <w:r w:rsidRPr="0031675F">
        <w:rPr>
          <w:b/>
        </w:rPr>
        <w:t>7.3.1</w:t>
      </w:r>
      <w:r w:rsidRPr="0031675F">
        <w:t xml:space="preserve"> </w:t>
      </w:r>
      <w:r w:rsidRPr="0031675F">
        <w:tab/>
        <w:t>Duplicate analyses of samples are performed to a minimum of 5% per TropWater job submission. The standard deviation of these results should fall between +/- 10%. Failure to achieve this standard will result in samples being re-analysed.</w:t>
      </w:r>
    </w:p>
    <w:p w14:paraId="37CB2A2B" w14:textId="77777777" w:rsidR="0031675F" w:rsidRPr="0031675F" w:rsidRDefault="0031675F" w:rsidP="0031675F">
      <w:pPr>
        <w:ind w:left="1080" w:hanging="540"/>
      </w:pPr>
    </w:p>
    <w:p w14:paraId="081D7F01" w14:textId="77777777" w:rsidR="0031675F" w:rsidRPr="0031675F" w:rsidRDefault="0031675F" w:rsidP="0031675F">
      <w:pPr>
        <w:ind w:left="540" w:hanging="540"/>
        <w:rPr>
          <w:b/>
        </w:rPr>
      </w:pPr>
      <w:r w:rsidRPr="0031675F">
        <w:rPr>
          <w:b/>
        </w:rPr>
        <w:t xml:space="preserve">7.4 </w:t>
      </w:r>
      <w:r w:rsidRPr="0031675F">
        <w:rPr>
          <w:b/>
        </w:rPr>
        <w:tab/>
        <w:t>Spiked Samples</w:t>
      </w:r>
    </w:p>
    <w:p w14:paraId="6E9DF27F" w14:textId="77777777" w:rsidR="0031675F" w:rsidRPr="0031675F" w:rsidRDefault="0031675F" w:rsidP="0031675F">
      <w:pPr>
        <w:ind w:left="540" w:hanging="540"/>
      </w:pPr>
    </w:p>
    <w:p w14:paraId="3C6CE7A0" w14:textId="77777777" w:rsidR="0031675F" w:rsidRPr="0031675F" w:rsidRDefault="0031675F" w:rsidP="0031675F">
      <w:pPr>
        <w:numPr>
          <w:ilvl w:val="2"/>
          <w:numId w:val="173"/>
        </w:numPr>
        <w:tabs>
          <w:tab w:val="clear" w:pos="1260"/>
          <w:tab w:val="num" w:pos="1134"/>
        </w:tabs>
        <w:spacing w:before="0" w:after="0" w:line="240" w:lineRule="auto"/>
        <w:ind w:left="1134" w:hanging="567"/>
        <w:jc w:val="both"/>
      </w:pPr>
      <w:r w:rsidRPr="0031675F">
        <w:t>Samples are spiked to a minimum of 5% per TropWater job submission. The result of this addition should calculate to be between 90-110% recovery. Failure to achieve satisfactory recovery will results in samples being re- analysed. This may mean using a different series of dilutions.</w:t>
      </w:r>
      <w:r w:rsidRPr="0031675F">
        <w:br/>
      </w:r>
    </w:p>
    <w:p w14:paraId="38FEB7C6" w14:textId="0F20FE89" w:rsidR="0031675F" w:rsidRPr="0031675F" w:rsidRDefault="0031675F" w:rsidP="0031675F">
      <w:pPr>
        <w:numPr>
          <w:ilvl w:val="2"/>
          <w:numId w:val="173"/>
        </w:numPr>
        <w:tabs>
          <w:tab w:val="clear" w:pos="1260"/>
          <w:tab w:val="num" w:pos="1134"/>
        </w:tabs>
        <w:spacing w:before="0" w:after="0" w:line="240" w:lineRule="auto"/>
        <w:ind w:left="1134" w:hanging="567"/>
        <w:jc w:val="both"/>
      </w:pPr>
      <w:r w:rsidRPr="0031675F">
        <w:t>CRM are purchased in 250 mL containers. After the first thawing the whole CRM is sub – sampled into 10 mL tubes for future usage. These 10</w:t>
      </w:r>
      <w:r w:rsidR="00E07360">
        <w:t xml:space="preserve"> </w:t>
      </w:r>
      <w:r w:rsidRPr="0031675F">
        <w:t>mL tubes are then thawed as required.</w:t>
      </w:r>
      <w:r w:rsidRPr="0031675F">
        <w:br/>
      </w:r>
    </w:p>
    <w:p w14:paraId="1EDCE7D2" w14:textId="77777777" w:rsidR="0031675F" w:rsidRPr="0031675F" w:rsidRDefault="0031675F" w:rsidP="0031675F">
      <w:pPr>
        <w:numPr>
          <w:ilvl w:val="1"/>
          <w:numId w:val="173"/>
        </w:numPr>
        <w:tabs>
          <w:tab w:val="clear" w:pos="630"/>
        </w:tabs>
        <w:spacing w:before="0" w:after="0" w:line="240" w:lineRule="auto"/>
        <w:ind w:left="567" w:hanging="567"/>
        <w:jc w:val="both"/>
        <w:rPr>
          <w:b/>
        </w:rPr>
      </w:pPr>
      <w:r w:rsidRPr="0031675F">
        <w:rPr>
          <w:b/>
        </w:rPr>
        <w:t>Consumable Quality Checks</w:t>
      </w:r>
    </w:p>
    <w:p w14:paraId="1BB6224E" w14:textId="77777777" w:rsidR="0031675F" w:rsidRPr="0031675F" w:rsidRDefault="0031675F" w:rsidP="0031675F">
      <w:pPr>
        <w:ind w:left="540"/>
        <w:rPr>
          <w:b/>
        </w:rPr>
      </w:pPr>
    </w:p>
    <w:p w14:paraId="354EDAF6" w14:textId="77777777" w:rsidR="0031675F" w:rsidRPr="0031675F" w:rsidRDefault="0031675F" w:rsidP="0031675F">
      <w:pPr>
        <w:ind w:left="1134" w:hanging="567"/>
      </w:pPr>
      <w:r w:rsidRPr="0031675F">
        <w:rPr>
          <w:b/>
        </w:rPr>
        <w:t>7.5.1</w:t>
      </w:r>
      <w:r w:rsidRPr="0031675F">
        <w:rPr>
          <w:b/>
        </w:rPr>
        <w:tab/>
      </w:r>
      <w:r w:rsidRPr="0031675F">
        <w:t>10 mL Sarstedt vials are ordered in large batches of at least 10,000 units (Cat # 60.9921.820). These vials are divided into their manufacturer batches and 1% of the vials are randomly selected and analysed for back ground contamination.</w:t>
      </w:r>
    </w:p>
    <w:p w14:paraId="2D32D3EE" w14:textId="77777777" w:rsidR="0031675F" w:rsidRPr="0031675F" w:rsidRDefault="0031675F" w:rsidP="0031675F">
      <w:pPr>
        <w:ind w:left="1134" w:hanging="567"/>
      </w:pPr>
    </w:p>
    <w:p w14:paraId="11F90CA8" w14:textId="77777777" w:rsidR="0031675F" w:rsidRPr="0031675F" w:rsidRDefault="0031675F" w:rsidP="0031675F">
      <w:pPr>
        <w:ind w:left="1134" w:hanging="567"/>
      </w:pPr>
      <w:r w:rsidRPr="0031675F">
        <w:rPr>
          <w:b/>
        </w:rPr>
        <w:t xml:space="preserve">7.5.2 </w:t>
      </w:r>
      <w:r w:rsidRPr="0031675F">
        <w:rPr>
          <w:b/>
        </w:rPr>
        <w:tab/>
      </w:r>
      <w:r w:rsidRPr="0031675F">
        <w:t xml:space="preserve">60 mL Sarstedt vials are ordered in batches of 1,000 units (Cat #60.596.001).These vials are divided into their manufacturer batches and 1% of the vials are randomly selected and analysed for back ground contamination. </w:t>
      </w:r>
    </w:p>
    <w:p w14:paraId="1A674F8B" w14:textId="77777777" w:rsidR="0031675F" w:rsidRPr="0031675F" w:rsidRDefault="0031675F" w:rsidP="0031675F">
      <w:pPr>
        <w:ind w:left="1134" w:hanging="567"/>
      </w:pPr>
    </w:p>
    <w:p w14:paraId="0863380E" w14:textId="77777777" w:rsidR="0031675F" w:rsidRPr="0031675F" w:rsidRDefault="0031675F" w:rsidP="0031675F">
      <w:pPr>
        <w:ind w:left="1134" w:hanging="567"/>
        <w:rPr>
          <w:b/>
        </w:rPr>
      </w:pPr>
      <w:r w:rsidRPr="0031675F">
        <w:rPr>
          <w:b/>
        </w:rPr>
        <w:t>7.5.3</w:t>
      </w:r>
      <w:r w:rsidRPr="0031675F">
        <w:t xml:space="preserve"> </w:t>
      </w:r>
      <w:r w:rsidRPr="0031675F">
        <w:tab/>
        <w:t>30 mL Sarstedt vials are ordered in batches of 5,000 units (Cat # 60.9922.216 and 60.9922.210 (saltwater samples) with lids C3011 HDPE natural). These vials are divided into their manufacturer batches and 1% of the vials are randomly selected and analysed for back ground contamination.</w:t>
      </w:r>
    </w:p>
    <w:p w14:paraId="616A192C" w14:textId="77777777" w:rsidR="0031675F" w:rsidRPr="0031675F" w:rsidRDefault="0031675F" w:rsidP="0031675F"/>
    <w:p w14:paraId="3E548DA4" w14:textId="77777777" w:rsidR="0031675F" w:rsidRPr="0031675F" w:rsidRDefault="0031675F" w:rsidP="0031675F">
      <w:pPr>
        <w:ind w:left="540" w:hanging="540"/>
        <w:rPr>
          <w:b/>
        </w:rPr>
      </w:pPr>
      <w:r w:rsidRPr="0031675F">
        <w:rPr>
          <w:b/>
        </w:rPr>
        <w:t xml:space="preserve">7.6 </w:t>
      </w:r>
      <w:r w:rsidRPr="0031675F">
        <w:rPr>
          <w:b/>
        </w:rPr>
        <w:tab/>
        <w:t>Certified Reference Material (CRM)</w:t>
      </w:r>
    </w:p>
    <w:p w14:paraId="4CCAB28E" w14:textId="77777777" w:rsidR="0031675F" w:rsidRPr="0031675F" w:rsidRDefault="0031675F" w:rsidP="0031675F">
      <w:pPr>
        <w:ind w:left="540" w:hanging="540"/>
      </w:pPr>
    </w:p>
    <w:p w14:paraId="1730D398" w14:textId="77777777" w:rsidR="0031675F" w:rsidRPr="0031675F" w:rsidRDefault="0031675F" w:rsidP="0031675F">
      <w:pPr>
        <w:ind w:left="1134" w:hanging="567"/>
      </w:pPr>
      <w:r w:rsidRPr="0031675F">
        <w:rPr>
          <w:b/>
        </w:rPr>
        <w:t>7.6.1</w:t>
      </w:r>
      <w:r w:rsidRPr="0031675F">
        <w:t xml:space="preserve"> </w:t>
      </w:r>
      <w:r w:rsidRPr="0031675F">
        <w:tab/>
        <w:t>CRM’s are purchased from Queensland Health in both freshwater and saltwater. The CRM’s are matched to the sample matrices being analysed and also concentration. The certified value range must be achieved for sample results to be deemed accurate or all samples must be re- analysed with the correct value for the CRM’s obtained.</w:t>
      </w:r>
    </w:p>
    <w:p w14:paraId="4732382C" w14:textId="77777777" w:rsidR="0031675F" w:rsidRPr="0031675F" w:rsidRDefault="0031675F" w:rsidP="0031675F">
      <w:pPr>
        <w:ind w:left="567" w:hanging="567"/>
        <w:rPr>
          <w:b/>
        </w:rPr>
      </w:pPr>
    </w:p>
    <w:p w14:paraId="6CA1D489" w14:textId="77777777" w:rsidR="0031675F" w:rsidRPr="0031675F" w:rsidRDefault="0031675F" w:rsidP="0031675F">
      <w:pPr>
        <w:shd w:val="clear" w:color="auto" w:fill="D9D9D9"/>
        <w:ind w:left="567" w:hanging="567"/>
        <w:rPr>
          <w:b/>
        </w:rPr>
      </w:pPr>
      <w:r w:rsidRPr="0031675F">
        <w:rPr>
          <w:b/>
        </w:rPr>
        <w:t xml:space="preserve">8.0 </w:t>
      </w:r>
      <w:r w:rsidRPr="0031675F">
        <w:rPr>
          <w:b/>
        </w:rPr>
        <w:tab/>
        <w:t>CALIBRATION AND STANDARDISATION</w:t>
      </w:r>
    </w:p>
    <w:p w14:paraId="176382D5" w14:textId="77777777" w:rsidR="0031675F" w:rsidRPr="0031675F" w:rsidRDefault="0031675F" w:rsidP="0031675F">
      <w:pPr>
        <w:rPr>
          <w:b/>
        </w:rPr>
      </w:pPr>
    </w:p>
    <w:p w14:paraId="5F9EF0FB" w14:textId="77777777" w:rsidR="0031675F" w:rsidRPr="0031675F" w:rsidRDefault="0031675F" w:rsidP="0031675F">
      <w:pPr>
        <w:ind w:left="540" w:hanging="540"/>
      </w:pPr>
      <w:r w:rsidRPr="0031675F">
        <w:rPr>
          <w:b/>
        </w:rPr>
        <w:t>8.1</w:t>
      </w:r>
      <w:r w:rsidRPr="0031675F">
        <w:tab/>
        <w:t>At least seven calibration standards should be prepared daily for system calibration. These calibration standards should undergo the same digestion procedure as the samples being analysed.</w:t>
      </w:r>
    </w:p>
    <w:p w14:paraId="6F8FB196" w14:textId="77777777" w:rsidR="0031675F" w:rsidRPr="0031675F" w:rsidRDefault="0031675F" w:rsidP="0031675F">
      <w:pPr>
        <w:ind w:left="540" w:hanging="540"/>
      </w:pPr>
    </w:p>
    <w:p w14:paraId="769CB09D" w14:textId="69CB38F9" w:rsidR="0031675F" w:rsidRPr="0031675F" w:rsidRDefault="0031675F" w:rsidP="0031675F">
      <w:pPr>
        <w:ind w:left="1134" w:hanging="567"/>
      </w:pPr>
      <w:r w:rsidRPr="0031675F">
        <w:rPr>
          <w:b/>
        </w:rPr>
        <w:t xml:space="preserve">8.1.1 </w:t>
      </w:r>
      <w:r w:rsidRPr="0031675F">
        <w:t>The following dilutions are used for a working range of 0.025 – 2.0 mg N</w:t>
      </w:r>
      <w:r w:rsidR="00E07360">
        <w:t xml:space="preserve"> </w:t>
      </w:r>
      <w:r w:rsidR="00E07360" w:rsidRPr="0031675F">
        <w:t>L</w:t>
      </w:r>
      <w:r w:rsidR="00E07360" w:rsidRPr="00E07360">
        <w:rPr>
          <w:vertAlign w:val="superscript"/>
        </w:rPr>
        <w:t>-1</w:t>
      </w:r>
      <w:r w:rsidRPr="0031675F">
        <w:t>:</w:t>
      </w:r>
    </w:p>
    <w:p w14:paraId="7430713E" w14:textId="77777777" w:rsidR="0031675F" w:rsidRPr="0031675F" w:rsidRDefault="0031675F" w:rsidP="0031675F">
      <w:pPr>
        <w:ind w:left="1134" w:hanging="567"/>
      </w:pPr>
    </w:p>
    <w:p w14:paraId="01753B42" w14:textId="77777777" w:rsidR="0031675F" w:rsidRPr="0031675F" w:rsidRDefault="0031675F" w:rsidP="0031675F">
      <w:pPr>
        <w:ind w:left="1287" w:hanging="567"/>
      </w:pPr>
      <w:r w:rsidRPr="0031675F">
        <w:t>Step 1:  Make up a secondary nitrate stock solution</w:t>
      </w:r>
    </w:p>
    <w:p w14:paraId="096EFD77" w14:textId="77777777" w:rsidR="0031675F" w:rsidRPr="0031675F" w:rsidRDefault="0031675F" w:rsidP="0031675F">
      <w:pPr>
        <w:ind w:left="540" w:hanging="540"/>
      </w:pPr>
      <w:r w:rsidRPr="0031675F">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6BE4E057" w14:textId="77777777" w:rsidTr="00B00729">
        <w:trPr>
          <w:jc w:val="center"/>
        </w:trPr>
        <w:tc>
          <w:tcPr>
            <w:tcW w:w="2646" w:type="dxa"/>
            <w:vAlign w:val="center"/>
          </w:tcPr>
          <w:p w14:paraId="01FE7156" w14:textId="77777777" w:rsidR="0031675F" w:rsidRPr="0031675F" w:rsidRDefault="0031675F" w:rsidP="0031675F">
            <w:pPr>
              <w:jc w:val="center"/>
            </w:pPr>
            <w:r w:rsidRPr="0031675F">
              <w:t>Stock Nitrate Solution (mLs)</w:t>
            </w:r>
          </w:p>
        </w:tc>
        <w:tc>
          <w:tcPr>
            <w:tcW w:w="2646" w:type="dxa"/>
            <w:vAlign w:val="center"/>
          </w:tcPr>
          <w:p w14:paraId="194EAA94" w14:textId="77777777" w:rsidR="0031675F" w:rsidRPr="0031675F" w:rsidRDefault="0031675F" w:rsidP="0031675F">
            <w:pPr>
              <w:jc w:val="center"/>
            </w:pPr>
            <w:r w:rsidRPr="0031675F">
              <w:t>Size Volumetric Flask (mL)</w:t>
            </w:r>
          </w:p>
        </w:tc>
        <w:tc>
          <w:tcPr>
            <w:tcW w:w="2646" w:type="dxa"/>
            <w:vAlign w:val="center"/>
          </w:tcPr>
          <w:p w14:paraId="79F29FAE" w14:textId="238074C1" w:rsidR="0031675F" w:rsidRPr="0031675F" w:rsidRDefault="0031675F" w:rsidP="0031675F">
            <w:pPr>
              <w:jc w:val="center"/>
            </w:pPr>
            <w:r w:rsidRPr="0031675F">
              <w:t>Calculated Concentration (mg N</w:t>
            </w:r>
            <w:r w:rsidR="00E07360">
              <w:t xml:space="preserve"> </w:t>
            </w:r>
            <w:r w:rsidR="00E07360" w:rsidRPr="0031675F">
              <w:t>L</w:t>
            </w:r>
            <w:r w:rsidR="00E07360" w:rsidRPr="00E07360">
              <w:rPr>
                <w:vertAlign w:val="superscript"/>
              </w:rPr>
              <w:t>-1</w:t>
            </w:r>
            <w:r w:rsidRPr="0031675F">
              <w:t>)</w:t>
            </w:r>
          </w:p>
        </w:tc>
      </w:tr>
      <w:tr w:rsidR="0031675F" w:rsidRPr="0031675F" w14:paraId="58D80B9F" w14:textId="77777777" w:rsidTr="00B00729">
        <w:trPr>
          <w:trHeight w:val="401"/>
          <w:jc w:val="center"/>
        </w:trPr>
        <w:tc>
          <w:tcPr>
            <w:tcW w:w="2646" w:type="dxa"/>
            <w:vAlign w:val="center"/>
          </w:tcPr>
          <w:p w14:paraId="467F5115" w14:textId="77777777" w:rsidR="0031675F" w:rsidRPr="0031675F" w:rsidRDefault="0031675F" w:rsidP="0031675F">
            <w:pPr>
              <w:jc w:val="center"/>
            </w:pPr>
            <w:r w:rsidRPr="0031675F">
              <w:t>5</w:t>
            </w:r>
          </w:p>
        </w:tc>
        <w:tc>
          <w:tcPr>
            <w:tcW w:w="2646" w:type="dxa"/>
            <w:vAlign w:val="center"/>
          </w:tcPr>
          <w:p w14:paraId="1D5666A0" w14:textId="77777777" w:rsidR="0031675F" w:rsidRPr="0031675F" w:rsidRDefault="0031675F" w:rsidP="0031675F">
            <w:pPr>
              <w:jc w:val="center"/>
            </w:pPr>
            <w:r w:rsidRPr="0031675F">
              <w:t>100</w:t>
            </w:r>
          </w:p>
        </w:tc>
        <w:tc>
          <w:tcPr>
            <w:tcW w:w="2646" w:type="dxa"/>
            <w:vAlign w:val="center"/>
          </w:tcPr>
          <w:p w14:paraId="16ABD35B" w14:textId="77777777" w:rsidR="0031675F" w:rsidRPr="0031675F" w:rsidRDefault="0031675F" w:rsidP="0031675F">
            <w:pPr>
              <w:jc w:val="center"/>
            </w:pPr>
            <w:r w:rsidRPr="0031675F">
              <w:t>10</w:t>
            </w:r>
          </w:p>
        </w:tc>
      </w:tr>
    </w:tbl>
    <w:p w14:paraId="7342AA20" w14:textId="77777777" w:rsidR="0031675F" w:rsidRPr="0031675F" w:rsidRDefault="0031675F" w:rsidP="0031675F">
      <w:pPr>
        <w:ind w:left="540" w:hanging="540"/>
      </w:pPr>
    </w:p>
    <w:p w14:paraId="5F8585E2" w14:textId="77777777" w:rsidR="0031675F" w:rsidRPr="0031675F" w:rsidRDefault="0031675F" w:rsidP="0031675F">
      <w:pPr>
        <w:ind w:left="1457" w:hanging="737"/>
      </w:pPr>
      <w:r w:rsidRPr="0031675F">
        <w:t>Step 2:  Using the secondary stock solution made in step 1 make up the following dilutions which are used as working calibration standards.</w:t>
      </w:r>
    </w:p>
    <w:p w14:paraId="206E1D79" w14:textId="77777777" w:rsidR="0031675F" w:rsidRPr="0031675F" w:rsidRDefault="0031675F" w:rsidP="0031675F">
      <w:pPr>
        <w:ind w:left="540" w:hanging="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646"/>
        <w:gridCol w:w="2646"/>
      </w:tblGrid>
      <w:tr w:rsidR="0031675F" w:rsidRPr="0031675F" w14:paraId="268915B5" w14:textId="77777777" w:rsidTr="00B00729">
        <w:trPr>
          <w:trHeight w:val="667"/>
          <w:jc w:val="center"/>
        </w:trPr>
        <w:tc>
          <w:tcPr>
            <w:tcW w:w="2646" w:type="dxa"/>
            <w:vAlign w:val="center"/>
          </w:tcPr>
          <w:p w14:paraId="3B6D73CA" w14:textId="77777777" w:rsidR="0031675F" w:rsidRPr="0031675F" w:rsidRDefault="0031675F" w:rsidP="0031675F">
            <w:pPr>
              <w:jc w:val="center"/>
            </w:pPr>
            <w:r w:rsidRPr="0031675F">
              <w:t>Secondary Stock Nitrate Solution (mLs)</w:t>
            </w:r>
          </w:p>
        </w:tc>
        <w:tc>
          <w:tcPr>
            <w:tcW w:w="2646" w:type="dxa"/>
            <w:vAlign w:val="center"/>
          </w:tcPr>
          <w:p w14:paraId="70FFD523" w14:textId="77777777" w:rsidR="0031675F" w:rsidRPr="0031675F" w:rsidRDefault="0031675F" w:rsidP="0031675F">
            <w:pPr>
              <w:jc w:val="center"/>
            </w:pPr>
            <w:r w:rsidRPr="0031675F">
              <w:t>Size Volumetric Flask (mL)</w:t>
            </w:r>
          </w:p>
        </w:tc>
        <w:tc>
          <w:tcPr>
            <w:tcW w:w="2646" w:type="dxa"/>
            <w:vAlign w:val="center"/>
          </w:tcPr>
          <w:p w14:paraId="21A087DE" w14:textId="50D31F81" w:rsidR="0031675F" w:rsidRPr="0031675F" w:rsidRDefault="0031675F" w:rsidP="0031675F">
            <w:pPr>
              <w:jc w:val="center"/>
            </w:pPr>
            <w:r w:rsidRPr="0031675F">
              <w:t>Calculated Concentration (µg N</w:t>
            </w:r>
            <w:r w:rsidR="00E07360">
              <w:t xml:space="preserve"> </w:t>
            </w:r>
            <w:r w:rsidR="00E07360" w:rsidRPr="0031675F">
              <w:t>L</w:t>
            </w:r>
            <w:r w:rsidR="00E07360" w:rsidRPr="00E07360">
              <w:rPr>
                <w:vertAlign w:val="superscript"/>
              </w:rPr>
              <w:t>-1</w:t>
            </w:r>
            <w:r w:rsidRPr="0031675F">
              <w:t>)</w:t>
            </w:r>
          </w:p>
        </w:tc>
      </w:tr>
      <w:tr w:rsidR="0031675F" w:rsidRPr="0031675F" w14:paraId="16453F35" w14:textId="77777777" w:rsidTr="00B00729">
        <w:trPr>
          <w:trHeight w:val="284"/>
          <w:jc w:val="center"/>
        </w:trPr>
        <w:tc>
          <w:tcPr>
            <w:tcW w:w="2646" w:type="dxa"/>
            <w:vAlign w:val="center"/>
          </w:tcPr>
          <w:p w14:paraId="74129439" w14:textId="77777777" w:rsidR="0031675F" w:rsidRPr="0031675F" w:rsidRDefault="0031675F" w:rsidP="0031675F">
            <w:pPr>
              <w:jc w:val="center"/>
            </w:pPr>
            <w:r w:rsidRPr="0031675F">
              <w:t>1</w:t>
            </w:r>
          </w:p>
        </w:tc>
        <w:tc>
          <w:tcPr>
            <w:tcW w:w="2646" w:type="dxa"/>
            <w:vAlign w:val="center"/>
          </w:tcPr>
          <w:p w14:paraId="07CD35E3" w14:textId="77777777" w:rsidR="0031675F" w:rsidRPr="0031675F" w:rsidRDefault="0031675F" w:rsidP="0031675F">
            <w:pPr>
              <w:jc w:val="center"/>
            </w:pPr>
            <w:r w:rsidRPr="0031675F">
              <w:t>100</w:t>
            </w:r>
          </w:p>
        </w:tc>
        <w:tc>
          <w:tcPr>
            <w:tcW w:w="2646" w:type="dxa"/>
            <w:vAlign w:val="center"/>
          </w:tcPr>
          <w:p w14:paraId="6698FD96" w14:textId="77777777" w:rsidR="0031675F" w:rsidRPr="0031675F" w:rsidRDefault="0031675F" w:rsidP="0031675F">
            <w:pPr>
              <w:jc w:val="center"/>
            </w:pPr>
            <w:r w:rsidRPr="0031675F">
              <w:t>100</w:t>
            </w:r>
          </w:p>
        </w:tc>
      </w:tr>
      <w:tr w:rsidR="0031675F" w:rsidRPr="0031675F" w14:paraId="1D635C10" w14:textId="77777777" w:rsidTr="00B00729">
        <w:trPr>
          <w:trHeight w:val="284"/>
          <w:jc w:val="center"/>
        </w:trPr>
        <w:tc>
          <w:tcPr>
            <w:tcW w:w="2646" w:type="dxa"/>
            <w:vAlign w:val="center"/>
          </w:tcPr>
          <w:p w14:paraId="79969450" w14:textId="77777777" w:rsidR="0031675F" w:rsidRPr="0031675F" w:rsidRDefault="0031675F" w:rsidP="0031675F">
            <w:pPr>
              <w:jc w:val="center"/>
            </w:pPr>
            <w:r w:rsidRPr="0031675F">
              <w:t>2</w:t>
            </w:r>
          </w:p>
        </w:tc>
        <w:tc>
          <w:tcPr>
            <w:tcW w:w="2646" w:type="dxa"/>
            <w:vAlign w:val="center"/>
          </w:tcPr>
          <w:p w14:paraId="20C4CCE2" w14:textId="77777777" w:rsidR="0031675F" w:rsidRPr="0031675F" w:rsidRDefault="0031675F" w:rsidP="0031675F">
            <w:pPr>
              <w:jc w:val="center"/>
            </w:pPr>
            <w:r w:rsidRPr="0031675F">
              <w:t>100</w:t>
            </w:r>
          </w:p>
        </w:tc>
        <w:tc>
          <w:tcPr>
            <w:tcW w:w="2646" w:type="dxa"/>
            <w:vAlign w:val="center"/>
          </w:tcPr>
          <w:p w14:paraId="38F4AB7B" w14:textId="77777777" w:rsidR="0031675F" w:rsidRPr="0031675F" w:rsidRDefault="0031675F" w:rsidP="0031675F">
            <w:pPr>
              <w:jc w:val="center"/>
            </w:pPr>
            <w:r w:rsidRPr="0031675F">
              <w:t>200</w:t>
            </w:r>
          </w:p>
        </w:tc>
      </w:tr>
      <w:tr w:rsidR="0031675F" w:rsidRPr="0031675F" w14:paraId="6AC205A3" w14:textId="77777777" w:rsidTr="00B00729">
        <w:trPr>
          <w:trHeight w:val="284"/>
          <w:jc w:val="center"/>
        </w:trPr>
        <w:tc>
          <w:tcPr>
            <w:tcW w:w="2646" w:type="dxa"/>
            <w:vAlign w:val="center"/>
          </w:tcPr>
          <w:p w14:paraId="07CF8524" w14:textId="77777777" w:rsidR="0031675F" w:rsidRPr="0031675F" w:rsidRDefault="0031675F" w:rsidP="0031675F">
            <w:pPr>
              <w:jc w:val="center"/>
            </w:pPr>
            <w:r w:rsidRPr="0031675F">
              <w:t>4</w:t>
            </w:r>
          </w:p>
        </w:tc>
        <w:tc>
          <w:tcPr>
            <w:tcW w:w="2646" w:type="dxa"/>
            <w:vAlign w:val="center"/>
          </w:tcPr>
          <w:p w14:paraId="3F3379D0" w14:textId="77777777" w:rsidR="0031675F" w:rsidRPr="0031675F" w:rsidRDefault="0031675F" w:rsidP="0031675F">
            <w:pPr>
              <w:jc w:val="center"/>
            </w:pPr>
            <w:r w:rsidRPr="0031675F">
              <w:t>100</w:t>
            </w:r>
          </w:p>
        </w:tc>
        <w:tc>
          <w:tcPr>
            <w:tcW w:w="2646" w:type="dxa"/>
            <w:vAlign w:val="center"/>
          </w:tcPr>
          <w:p w14:paraId="34D50232" w14:textId="77777777" w:rsidR="0031675F" w:rsidRPr="0031675F" w:rsidRDefault="0031675F" w:rsidP="0031675F">
            <w:pPr>
              <w:jc w:val="center"/>
            </w:pPr>
            <w:r w:rsidRPr="0031675F">
              <w:t>400</w:t>
            </w:r>
          </w:p>
        </w:tc>
      </w:tr>
      <w:tr w:rsidR="0031675F" w:rsidRPr="0031675F" w14:paraId="70F898A1" w14:textId="77777777" w:rsidTr="00B00729">
        <w:trPr>
          <w:trHeight w:val="284"/>
          <w:jc w:val="center"/>
        </w:trPr>
        <w:tc>
          <w:tcPr>
            <w:tcW w:w="2646" w:type="dxa"/>
            <w:vAlign w:val="center"/>
          </w:tcPr>
          <w:p w14:paraId="305F3760" w14:textId="77777777" w:rsidR="0031675F" w:rsidRPr="0031675F" w:rsidRDefault="0031675F" w:rsidP="0031675F">
            <w:pPr>
              <w:jc w:val="center"/>
            </w:pPr>
            <w:r w:rsidRPr="0031675F">
              <w:t>5</w:t>
            </w:r>
          </w:p>
        </w:tc>
        <w:tc>
          <w:tcPr>
            <w:tcW w:w="2646" w:type="dxa"/>
            <w:vAlign w:val="center"/>
          </w:tcPr>
          <w:p w14:paraId="4FDC2CB3" w14:textId="77777777" w:rsidR="0031675F" w:rsidRPr="0031675F" w:rsidRDefault="0031675F" w:rsidP="0031675F">
            <w:pPr>
              <w:jc w:val="center"/>
            </w:pPr>
            <w:r w:rsidRPr="0031675F">
              <w:t>100</w:t>
            </w:r>
          </w:p>
        </w:tc>
        <w:tc>
          <w:tcPr>
            <w:tcW w:w="2646" w:type="dxa"/>
            <w:vAlign w:val="center"/>
          </w:tcPr>
          <w:p w14:paraId="4CABAC2A" w14:textId="77777777" w:rsidR="0031675F" w:rsidRPr="0031675F" w:rsidRDefault="0031675F" w:rsidP="0031675F">
            <w:pPr>
              <w:jc w:val="center"/>
            </w:pPr>
            <w:r w:rsidRPr="0031675F">
              <w:t>500</w:t>
            </w:r>
          </w:p>
        </w:tc>
      </w:tr>
      <w:tr w:rsidR="0031675F" w:rsidRPr="0031675F" w14:paraId="6D083C4D" w14:textId="77777777" w:rsidTr="00B00729">
        <w:trPr>
          <w:trHeight w:val="284"/>
          <w:jc w:val="center"/>
        </w:trPr>
        <w:tc>
          <w:tcPr>
            <w:tcW w:w="2646" w:type="dxa"/>
            <w:vAlign w:val="center"/>
          </w:tcPr>
          <w:p w14:paraId="0C043C5F" w14:textId="77777777" w:rsidR="0031675F" w:rsidRPr="0031675F" w:rsidRDefault="0031675F" w:rsidP="0031675F">
            <w:pPr>
              <w:jc w:val="center"/>
            </w:pPr>
            <w:r w:rsidRPr="0031675F">
              <w:t>8</w:t>
            </w:r>
          </w:p>
        </w:tc>
        <w:tc>
          <w:tcPr>
            <w:tcW w:w="2646" w:type="dxa"/>
            <w:vAlign w:val="center"/>
          </w:tcPr>
          <w:p w14:paraId="198CC0EF" w14:textId="77777777" w:rsidR="0031675F" w:rsidRPr="0031675F" w:rsidRDefault="0031675F" w:rsidP="0031675F">
            <w:pPr>
              <w:jc w:val="center"/>
            </w:pPr>
            <w:r w:rsidRPr="0031675F">
              <w:t>100</w:t>
            </w:r>
          </w:p>
        </w:tc>
        <w:tc>
          <w:tcPr>
            <w:tcW w:w="2646" w:type="dxa"/>
            <w:vAlign w:val="center"/>
          </w:tcPr>
          <w:p w14:paraId="47D2620C" w14:textId="77777777" w:rsidR="0031675F" w:rsidRPr="0031675F" w:rsidRDefault="0031675F" w:rsidP="0031675F">
            <w:pPr>
              <w:jc w:val="center"/>
            </w:pPr>
            <w:r w:rsidRPr="0031675F">
              <w:t>800</w:t>
            </w:r>
          </w:p>
        </w:tc>
      </w:tr>
      <w:tr w:rsidR="0031675F" w:rsidRPr="0031675F" w14:paraId="61A931CC" w14:textId="77777777" w:rsidTr="00B00729">
        <w:trPr>
          <w:trHeight w:val="284"/>
          <w:jc w:val="center"/>
        </w:trPr>
        <w:tc>
          <w:tcPr>
            <w:tcW w:w="2646" w:type="dxa"/>
            <w:vAlign w:val="center"/>
          </w:tcPr>
          <w:p w14:paraId="6FFE3CEC" w14:textId="77777777" w:rsidR="0031675F" w:rsidRPr="0031675F" w:rsidRDefault="0031675F" w:rsidP="0031675F">
            <w:pPr>
              <w:jc w:val="center"/>
            </w:pPr>
            <w:r w:rsidRPr="0031675F">
              <w:t>10</w:t>
            </w:r>
          </w:p>
        </w:tc>
        <w:tc>
          <w:tcPr>
            <w:tcW w:w="2646" w:type="dxa"/>
            <w:vAlign w:val="center"/>
          </w:tcPr>
          <w:p w14:paraId="077419C2" w14:textId="77777777" w:rsidR="0031675F" w:rsidRPr="0031675F" w:rsidRDefault="0031675F" w:rsidP="0031675F">
            <w:pPr>
              <w:jc w:val="center"/>
            </w:pPr>
            <w:r w:rsidRPr="0031675F">
              <w:t>100</w:t>
            </w:r>
          </w:p>
        </w:tc>
        <w:tc>
          <w:tcPr>
            <w:tcW w:w="2646" w:type="dxa"/>
            <w:vAlign w:val="center"/>
          </w:tcPr>
          <w:p w14:paraId="0C0CC9DF" w14:textId="77777777" w:rsidR="0031675F" w:rsidRPr="0031675F" w:rsidRDefault="0031675F" w:rsidP="0031675F">
            <w:pPr>
              <w:jc w:val="center"/>
            </w:pPr>
            <w:r w:rsidRPr="0031675F">
              <w:t>1000</w:t>
            </w:r>
          </w:p>
        </w:tc>
      </w:tr>
      <w:tr w:rsidR="0031675F" w:rsidRPr="0031675F" w14:paraId="40D2423A" w14:textId="77777777" w:rsidTr="00B00729">
        <w:trPr>
          <w:trHeight w:val="284"/>
          <w:jc w:val="center"/>
        </w:trPr>
        <w:tc>
          <w:tcPr>
            <w:tcW w:w="2646" w:type="dxa"/>
            <w:vAlign w:val="center"/>
          </w:tcPr>
          <w:p w14:paraId="32E84B62" w14:textId="77777777" w:rsidR="0031675F" w:rsidRPr="0031675F" w:rsidRDefault="0031675F" w:rsidP="0031675F">
            <w:pPr>
              <w:jc w:val="center"/>
            </w:pPr>
            <w:r w:rsidRPr="0031675F">
              <w:t>20</w:t>
            </w:r>
          </w:p>
        </w:tc>
        <w:tc>
          <w:tcPr>
            <w:tcW w:w="2646" w:type="dxa"/>
            <w:vAlign w:val="center"/>
          </w:tcPr>
          <w:p w14:paraId="14A0B423" w14:textId="77777777" w:rsidR="0031675F" w:rsidRPr="0031675F" w:rsidRDefault="0031675F" w:rsidP="0031675F">
            <w:pPr>
              <w:jc w:val="center"/>
            </w:pPr>
            <w:r w:rsidRPr="0031675F">
              <w:t>100</w:t>
            </w:r>
          </w:p>
        </w:tc>
        <w:tc>
          <w:tcPr>
            <w:tcW w:w="2646" w:type="dxa"/>
            <w:vAlign w:val="center"/>
          </w:tcPr>
          <w:p w14:paraId="742B6BC4" w14:textId="77777777" w:rsidR="0031675F" w:rsidRPr="0031675F" w:rsidRDefault="0031675F" w:rsidP="0031675F">
            <w:pPr>
              <w:jc w:val="center"/>
            </w:pPr>
            <w:r w:rsidRPr="0031675F">
              <w:t>2000</w:t>
            </w:r>
          </w:p>
        </w:tc>
      </w:tr>
    </w:tbl>
    <w:p w14:paraId="5D438702" w14:textId="77777777" w:rsidR="0031675F" w:rsidRPr="0031675F" w:rsidRDefault="0031675F" w:rsidP="0031675F">
      <w:pPr>
        <w:ind w:left="540" w:hanging="540"/>
      </w:pPr>
    </w:p>
    <w:p w14:paraId="029F2CB3" w14:textId="77777777" w:rsidR="0031675F" w:rsidRPr="0031675F" w:rsidRDefault="0031675F" w:rsidP="0031675F">
      <w:pPr>
        <w:ind w:left="1514" w:hanging="794"/>
      </w:pPr>
      <w:r w:rsidRPr="0031675F">
        <w:rPr>
          <w:b/>
        </w:rPr>
        <w:t>NOTE:</w:t>
      </w:r>
      <w:r w:rsidRPr="0031675F">
        <w:t xml:space="preserve"> The calibration standards are mixed phosphorus and nitrogen standards (refer to TPSOP 8.1.1 for direction).</w:t>
      </w:r>
    </w:p>
    <w:p w14:paraId="2F8281C1" w14:textId="77777777" w:rsidR="0031675F" w:rsidRPr="0031675F" w:rsidRDefault="0031675F" w:rsidP="0031675F">
      <w:pPr>
        <w:ind w:left="540" w:hanging="540"/>
      </w:pPr>
    </w:p>
    <w:p w14:paraId="3CB8A1D5" w14:textId="77777777" w:rsidR="0031675F" w:rsidRPr="0031675F" w:rsidRDefault="0031675F" w:rsidP="0031675F">
      <w:pPr>
        <w:ind w:left="540" w:hanging="540"/>
      </w:pPr>
      <w:r w:rsidRPr="0031675F">
        <w:rPr>
          <w:b/>
        </w:rPr>
        <w:t>8.2</w:t>
      </w:r>
      <w:r w:rsidRPr="0031675F">
        <w:t xml:space="preserve"> </w:t>
      </w:r>
      <w:r w:rsidRPr="0031675F">
        <w:tab/>
        <w:t>A calibration curve should be constructed for each sample run.</w:t>
      </w:r>
    </w:p>
    <w:p w14:paraId="12253542" w14:textId="77777777" w:rsidR="0031675F" w:rsidRPr="0031675F" w:rsidRDefault="0031675F" w:rsidP="0031675F">
      <w:pPr>
        <w:ind w:left="540" w:hanging="540"/>
      </w:pPr>
    </w:p>
    <w:p w14:paraId="3878E664" w14:textId="77777777" w:rsidR="0031675F" w:rsidRPr="0031675F" w:rsidRDefault="0031675F" w:rsidP="0031675F">
      <w:pPr>
        <w:numPr>
          <w:ilvl w:val="1"/>
          <w:numId w:val="175"/>
        </w:numPr>
        <w:tabs>
          <w:tab w:val="clear" w:pos="360"/>
          <w:tab w:val="num" w:pos="567"/>
        </w:tabs>
        <w:spacing w:before="0" w:after="0" w:line="240" w:lineRule="auto"/>
        <w:ind w:left="567" w:hanging="567"/>
        <w:jc w:val="both"/>
      </w:pPr>
      <w:r w:rsidRPr="0031675F">
        <w:t>The calibration standards should be placed at the start, middle and end of the run to allow for any sensitivity drift and or reduction in OTCR efficiency. A high nitrite standard should immediately follow the calibration standards to determine if any change in OTCR efficiency is occurring. The decline in efficiency should be less than 5% during a run. To correct for OTCR efficiency change, multiply the sample peak height by the corresponding sensitivity drift correlation.</w:t>
      </w:r>
    </w:p>
    <w:p w14:paraId="112B53C3" w14:textId="77777777" w:rsidR="0031675F" w:rsidRPr="0031675F" w:rsidRDefault="0031675F" w:rsidP="0031675F"/>
    <w:p w14:paraId="4639139E" w14:textId="77777777" w:rsidR="0031675F" w:rsidRPr="0031675F" w:rsidRDefault="0031675F" w:rsidP="0031675F">
      <w:pPr>
        <w:ind w:left="1287" w:hanging="720"/>
      </w:pPr>
      <w:r w:rsidRPr="0031675F">
        <w:rPr>
          <w:b/>
        </w:rPr>
        <w:t>NOTE:</w:t>
      </w:r>
      <w:r w:rsidRPr="0031675F">
        <w:t xml:space="preserve"> </w:t>
      </w:r>
      <w:r w:rsidRPr="0031675F">
        <w:tab/>
        <w:t>For large amounts of samples it may be necessary to increase the amount of calibration standards digested to ensure that a ratio of one set of standards per 20 – 30 samples is achieved.</w:t>
      </w:r>
    </w:p>
    <w:p w14:paraId="16B25B95" w14:textId="77777777" w:rsidR="0031675F" w:rsidRPr="0031675F" w:rsidRDefault="0031675F" w:rsidP="0031675F">
      <w:pPr>
        <w:ind w:left="540" w:hanging="540"/>
      </w:pPr>
    </w:p>
    <w:p w14:paraId="53702C09" w14:textId="77777777" w:rsidR="0031675F" w:rsidRPr="0031675F" w:rsidRDefault="0031675F" w:rsidP="0031675F">
      <w:pPr>
        <w:numPr>
          <w:ilvl w:val="1"/>
          <w:numId w:val="174"/>
        </w:numPr>
        <w:tabs>
          <w:tab w:val="clear" w:pos="360"/>
          <w:tab w:val="num" w:pos="567"/>
        </w:tabs>
        <w:spacing w:before="0" w:after="0" w:line="240" w:lineRule="auto"/>
        <w:ind w:left="567" w:hanging="567"/>
        <w:jc w:val="both"/>
      </w:pPr>
      <w:r w:rsidRPr="0031675F">
        <w:t>The CRM’s should be placed at the start and the end of the run to ensure the accuracy of results is maintained throughout the whole run.</w:t>
      </w:r>
    </w:p>
    <w:p w14:paraId="115624FF" w14:textId="77777777" w:rsidR="0031675F" w:rsidRPr="0031675F" w:rsidRDefault="0031675F" w:rsidP="0031675F"/>
    <w:p w14:paraId="30D6084E" w14:textId="77777777" w:rsidR="0031675F" w:rsidRPr="0031675F" w:rsidRDefault="0031675F" w:rsidP="0031675F">
      <w:pPr>
        <w:numPr>
          <w:ilvl w:val="1"/>
          <w:numId w:val="174"/>
        </w:numPr>
        <w:tabs>
          <w:tab w:val="clear" w:pos="360"/>
          <w:tab w:val="num" w:pos="567"/>
        </w:tabs>
        <w:spacing w:before="0" w:after="0" w:line="240" w:lineRule="auto"/>
        <w:jc w:val="both"/>
      </w:pPr>
      <w:r w:rsidRPr="0031675F">
        <w:t>Spiked samples should be prepared as follows:</w:t>
      </w:r>
    </w:p>
    <w:p w14:paraId="1E095E9F" w14:textId="77777777" w:rsidR="0031675F" w:rsidRPr="0031675F" w:rsidRDefault="0031675F" w:rsidP="0031675F"/>
    <w:p w14:paraId="687FBBC5" w14:textId="77777777" w:rsidR="0031675F" w:rsidRPr="0031675F" w:rsidRDefault="0031675F" w:rsidP="0031675F">
      <w:pPr>
        <w:ind w:left="1134" w:hanging="567"/>
      </w:pPr>
      <w:r w:rsidRPr="0031675F">
        <w:rPr>
          <w:b/>
        </w:rPr>
        <w:t>8.5.1</w:t>
      </w:r>
      <w:r w:rsidRPr="0031675F">
        <w:t xml:space="preserve"> Ensure that the sample randomly chosen to be spiked is 10 mL exactly (marked line). Use a micro pipette to remove any excess sample of conversely to add a little more sample into the vial.</w:t>
      </w:r>
    </w:p>
    <w:p w14:paraId="075375BF" w14:textId="77777777" w:rsidR="0031675F" w:rsidRPr="0031675F" w:rsidRDefault="0031675F" w:rsidP="0031675F">
      <w:pPr>
        <w:ind w:left="720"/>
        <w:rPr>
          <w:b/>
        </w:rPr>
      </w:pPr>
    </w:p>
    <w:p w14:paraId="27D8D98F" w14:textId="77777777" w:rsidR="0031675F" w:rsidRPr="0031675F" w:rsidRDefault="0031675F" w:rsidP="0031675F">
      <w:pPr>
        <w:ind w:left="567"/>
      </w:pPr>
      <w:r w:rsidRPr="0031675F">
        <w:rPr>
          <w:b/>
        </w:rPr>
        <w:t>NOTE:</w:t>
      </w:r>
      <w:r w:rsidRPr="0031675F">
        <w:t xml:space="preserve"> Thoroughly mix the sample before remove or adding any sample</w:t>
      </w:r>
    </w:p>
    <w:p w14:paraId="451F0D21" w14:textId="77777777" w:rsidR="0031675F" w:rsidRPr="0031675F" w:rsidRDefault="0031675F" w:rsidP="0031675F">
      <w:pPr>
        <w:ind w:left="567"/>
      </w:pPr>
    </w:p>
    <w:p w14:paraId="53477E15" w14:textId="4E6C6D35" w:rsidR="0031675F" w:rsidRPr="0031675F" w:rsidRDefault="0031675F" w:rsidP="0031675F">
      <w:pPr>
        <w:ind w:left="1134" w:hanging="567"/>
      </w:pPr>
      <w:r w:rsidRPr="0031675F">
        <w:rPr>
          <w:b/>
        </w:rPr>
        <w:t>8.5.2</w:t>
      </w:r>
      <w:r w:rsidRPr="0031675F">
        <w:t xml:space="preserve"> Make up the spiking stock mixture by adding 1 mL of Stock Nitrate Solution (SSS) to a Sarstedt 10</w:t>
      </w:r>
      <w:r w:rsidR="00E07360">
        <w:t xml:space="preserve"> </w:t>
      </w:r>
      <w:r w:rsidRPr="0031675F">
        <w:t>mL tube and fill with reagent water to the mark. Mix well.</w:t>
      </w:r>
    </w:p>
    <w:p w14:paraId="78BCD653" w14:textId="77777777" w:rsidR="0031675F" w:rsidRPr="0031675F" w:rsidRDefault="0031675F" w:rsidP="0031675F">
      <w:pPr>
        <w:ind w:left="1134" w:hanging="567"/>
      </w:pPr>
    </w:p>
    <w:p w14:paraId="7F77212A" w14:textId="79B6E5C2" w:rsidR="0031675F" w:rsidRPr="0031675F" w:rsidRDefault="0031675F" w:rsidP="0031675F">
      <w:pPr>
        <w:ind w:left="1134" w:hanging="567"/>
      </w:pPr>
      <w:r w:rsidRPr="0031675F">
        <w:rPr>
          <w:b/>
        </w:rPr>
        <w:t>8.5.3</w:t>
      </w:r>
      <w:r w:rsidRPr="0031675F">
        <w:t xml:space="preserve"> Add 50µl of the spiking stock mixture (equivalent of 100 µg N</w:t>
      </w:r>
      <w:r w:rsidR="00E07360">
        <w:t xml:space="preserve"> </w:t>
      </w:r>
      <w:r w:rsidR="00E07360" w:rsidRPr="0031675F">
        <w:t>L</w:t>
      </w:r>
      <w:r w:rsidR="00E07360" w:rsidRPr="00E07360">
        <w:rPr>
          <w:vertAlign w:val="superscript"/>
        </w:rPr>
        <w:t>-1</w:t>
      </w:r>
      <w:r w:rsidRPr="0031675F">
        <w:t>) to the 10 mL sample and mix well.</w:t>
      </w:r>
    </w:p>
    <w:p w14:paraId="18404192" w14:textId="77777777" w:rsidR="0031675F" w:rsidRPr="0031675F" w:rsidRDefault="0031675F" w:rsidP="0031675F">
      <w:pPr>
        <w:ind w:left="1134" w:hanging="567"/>
      </w:pPr>
    </w:p>
    <w:p w14:paraId="74203482" w14:textId="77777777" w:rsidR="0031675F" w:rsidRPr="0031675F" w:rsidRDefault="0031675F" w:rsidP="0031675F">
      <w:pPr>
        <w:ind w:left="1134" w:hanging="567"/>
      </w:pPr>
      <w:r w:rsidRPr="0031675F">
        <w:rPr>
          <w:b/>
        </w:rPr>
        <w:t>8.5.4</w:t>
      </w:r>
      <w:r w:rsidRPr="0031675F">
        <w:t xml:space="preserve"> A minimum of three spiked reagent water samples are to be prepared and analysed for every run.</w:t>
      </w:r>
    </w:p>
    <w:p w14:paraId="128B6174" w14:textId="77777777" w:rsidR="0031675F" w:rsidRPr="0031675F" w:rsidRDefault="0031675F" w:rsidP="0031675F">
      <w:pPr>
        <w:rPr>
          <w:b/>
        </w:rPr>
      </w:pPr>
    </w:p>
    <w:p w14:paraId="08266D4B" w14:textId="77777777" w:rsidR="0031675F" w:rsidRPr="0031675F" w:rsidRDefault="0031675F" w:rsidP="0031675F">
      <w:pPr>
        <w:shd w:val="clear" w:color="auto" w:fill="D9D9D9"/>
        <w:ind w:left="540" w:hanging="540"/>
        <w:rPr>
          <w:b/>
        </w:rPr>
      </w:pPr>
      <w:r w:rsidRPr="0031675F">
        <w:rPr>
          <w:b/>
        </w:rPr>
        <w:t xml:space="preserve">9.0 </w:t>
      </w:r>
      <w:r w:rsidRPr="0031675F">
        <w:rPr>
          <w:b/>
        </w:rPr>
        <w:tab/>
        <w:t>SAMPLE, CALIBRATION STANDARDS, IHRM AND DRM PREPARATION PROCEDURE</w:t>
      </w:r>
    </w:p>
    <w:p w14:paraId="453B9B08" w14:textId="77777777" w:rsidR="0031675F" w:rsidRPr="0031675F" w:rsidRDefault="0031675F" w:rsidP="0031675F">
      <w:pPr>
        <w:ind w:left="720" w:hanging="720"/>
        <w:rPr>
          <w:b/>
        </w:rPr>
      </w:pPr>
    </w:p>
    <w:p w14:paraId="1AB75202" w14:textId="77777777" w:rsidR="0031675F" w:rsidRPr="0031675F" w:rsidRDefault="0031675F" w:rsidP="0031675F">
      <w:pPr>
        <w:ind w:left="540" w:hanging="540"/>
      </w:pPr>
      <w:r w:rsidRPr="0031675F">
        <w:rPr>
          <w:b/>
        </w:rPr>
        <w:t>9.1</w:t>
      </w:r>
      <w:r w:rsidRPr="0031675F">
        <w:t xml:space="preserve"> </w:t>
      </w:r>
      <w:r w:rsidRPr="0031675F">
        <w:tab/>
        <w:t xml:space="preserve">If samples are frozen, thaw samples by running under a continuous flow of cold water. </w:t>
      </w:r>
    </w:p>
    <w:p w14:paraId="05D1D0E0" w14:textId="77777777" w:rsidR="0031675F" w:rsidRPr="0031675F" w:rsidRDefault="0031675F" w:rsidP="0031675F">
      <w:pPr>
        <w:ind w:left="540" w:hanging="540"/>
      </w:pPr>
    </w:p>
    <w:p w14:paraId="5D46D30D" w14:textId="77777777" w:rsidR="0031675F" w:rsidRPr="0031675F" w:rsidRDefault="0031675F" w:rsidP="0031675F">
      <w:pPr>
        <w:ind w:left="540" w:hanging="540"/>
      </w:pPr>
      <w:r w:rsidRPr="0031675F">
        <w:rPr>
          <w:b/>
        </w:rPr>
        <w:t>9.2</w:t>
      </w:r>
      <w:r w:rsidRPr="0031675F">
        <w:t xml:space="preserve"> </w:t>
      </w:r>
      <w:r w:rsidRPr="0031675F">
        <w:tab/>
        <w:t>Make up the seven calibration standards, IHRM and prepare the CRM.</w:t>
      </w:r>
    </w:p>
    <w:p w14:paraId="011B83FA" w14:textId="77777777" w:rsidR="0031675F" w:rsidRPr="0031675F" w:rsidRDefault="0031675F" w:rsidP="0031675F">
      <w:pPr>
        <w:ind w:left="540" w:hanging="540"/>
      </w:pPr>
    </w:p>
    <w:p w14:paraId="17A2B0AA" w14:textId="77777777" w:rsidR="0031675F" w:rsidRPr="0031675F" w:rsidRDefault="0031675F" w:rsidP="0031675F">
      <w:pPr>
        <w:ind w:left="540" w:hanging="540"/>
      </w:pPr>
      <w:r w:rsidRPr="0031675F">
        <w:rPr>
          <w:b/>
        </w:rPr>
        <w:t>9.3</w:t>
      </w:r>
      <w:r w:rsidRPr="0031675F">
        <w:t xml:space="preserve"> </w:t>
      </w:r>
      <w:r w:rsidRPr="0031675F">
        <w:tab/>
        <w:t xml:space="preserve">Thoroughly mix the sample then decant 10 mL into a Sarstedt 10 mL sterile vial (if total filterable nitrogen is being analysed the sample will already be in the appropriate tube). If samples contain high amounts of particulates dilution series should be carried out at this point. </w:t>
      </w:r>
    </w:p>
    <w:p w14:paraId="57602EFE" w14:textId="77777777" w:rsidR="0031675F" w:rsidRPr="0031675F" w:rsidRDefault="0031675F" w:rsidP="0031675F">
      <w:pPr>
        <w:ind w:left="540" w:hanging="540"/>
      </w:pPr>
    </w:p>
    <w:p w14:paraId="1FF7A552" w14:textId="77777777" w:rsidR="0031675F" w:rsidRPr="0031675F" w:rsidRDefault="0031675F" w:rsidP="0031675F">
      <w:pPr>
        <w:ind w:left="1440" w:hanging="900"/>
      </w:pPr>
      <w:r w:rsidRPr="0031675F">
        <w:rPr>
          <w:b/>
        </w:rPr>
        <w:t xml:space="preserve">NOTE: </w:t>
      </w:r>
      <w:r w:rsidRPr="0031675F">
        <w:rPr>
          <w:b/>
        </w:rPr>
        <w:tab/>
      </w:r>
      <w:r w:rsidRPr="0031675F">
        <w:t>Alternatively if samples fall outside of the working range for this method, samples should be diluted, re- digested, and re- analysed.</w:t>
      </w:r>
    </w:p>
    <w:p w14:paraId="7A8E1141" w14:textId="77777777" w:rsidR="0031675F" w:rsidRPr="0031675F" w:rsidRDefault="0031675F" w:rsidP="0031675F">
      <w:pPr>
        <w:ind w:left="1440" w:hanging="900"/>
      </w:pPr>
    </w:p>
    <w:p w14:paraId="3738DBFB" w14:textId="77777777" w:rsidR="0031675F" w:rsidRPr="0031675F" w:rsidRDefault="0031675F" w:rsidP="0031675F">
      <w:pPr>
        <w:ind w:left="567" w:hanging="567"/>
      </w:pPr>
      <w:r w:rsidRPr="0031675F">
        <w:rPr>
          <w:b/>
        </w:rPr>
        <w:t xml:space="preserve">9.4 </w:t>
      </w:r>
      <w:r w:rsidRPr="0031675F">
        <w:rPr>
          <w:b/>
        </w:rPr>
        <w:tab/>
      </w:r>
      <w:r w:rsidRPr="0031675F">
        <w:t>Choose and make up the spiked samples (refer 8.5).</w:t>
      </w:r>
    </w:p>
    <w:p w14:paraId="1B5BFF48" w14:textId="77777777" w:rsidR="0031675F" w:rsidRPr="0031675F" w:rsidRDefault="0031675F" w:rsidP="0031675F">
      <w:pPr>
        <w:ind w:left="1440" w:hanging="900"/>
        <w:rPr>
          <w:b/>
        </w:rPr>
      </w:pPr>
    </w:p>
    <w:p w14:paraId="335D317E" w14:textId="77777777" w:rsidR="0031675F" w:rsidRPr="0031675F" w:rsidRDefault="0031675F" w:rsidP="0031675F">
      <w:pPr>
        <w:ind w:left="540" w:hanging="540"/>
      </w:pPr>
      <w:r w:rsidRPr="0031675F">
        <w:rPr>
          <w:b/>
        </w:rPr>
        <w:t>9.5</w:t>
      </w:r>
      <w:r w:rsidRPr="0031675F">
        <w:t xml:space="preserve"> </w:t>
      </w:r>
      <w:r w:rsidRPr="0031675F">
        <w:tab/>
        <w:t>Take the 10mL aliquot of samples, CRM, IHRM, and spiked samples and transfer after shaking sample to the Sarstedt 30 mL vial for digestion (ensure correct vial is used refer 9.7). Add 5 mL of digestive reagent and put the lid on tightly, mix well using vortex equipment and then loosen half a turn back and place vial into digestion rack for the autoclave.</w:t>
      </w:r>
    </w:p>
    <w:p w14:paraId="19407B6E" w14:textId="77777777" w:rsidR="0031675F" w:rsidRPr="0031675F" w:rsidRDefault="0031675F" w:rsidP="0031675F">
      <w:pPr>
        <w:ind w:left="540" w:hanging="540"/>
      </w:pPr>
    </w:p>
    <w:p w14:paraId="59CBD778" w14:textId="77777777" w:rsidR="0031675F" w:rsidRPr="0031675F" w:rsidRDefault="0031675F" w:rsidP="0031675F">
      <w:pPr>
        <w:ind w:left="540" w:hanging="540"/>
      </w:pPr>
      <w:r w:rsidRPr="0031675F">
        <w:rPr>
          <w:b/>
        </w:rPr>
        <w:t>9.6</w:t>
      </w:r>
      <w:r w:rsidRPr="0031675F">
        <w:t xml:space="preserve"> </w:t>
      </w:r>
      <w:r w:rsidRPr="0031675F">
        <w:tab/>
        <w:t>Thoroughly mix and decant three lots of 10 mL for each working calibration standard and add 5mLs of digestion mixture. Put the lid on tightly, mix well using vortex equipment and then loosen half a turn back and place vial into digestion rack for the autoclave.</w:t>
      </w:r>
    </w:p>
    <w:p w14:paraId="7C15EC62" w14:textId="77777777" w:rsidR="0031675F" w:rsidRPr="0031675F" w:rsidRDefault="0031675F" w:rsidP="0031675F">
      <w:pPr>
        <w:ind w:left="540" w:hanging="540"/>
      </w:pPr>
    </w:p>
    <w:p w14:paraId="701A6AFA" w14:textId="77777777" w:rsidR="0031675F" w:rsidRPr="0031675F" w:rsidRDefault="0031675F" w:rsidP="0031675F">
      <w:pPr>
        <w:ind w:left="540" w:hanging="540"/>
      </w:pPr>
      <w:r w:rsidRPr="0031675F">
        <w:rPr>
          <w:b/>
        </w:rPr>
        <w:t>9.7</w:t>
      </w:r>
      <w:r w:rsidRPr="0031675F">
        <w:rPr>
          <w:b/>
        </w:rPr>
        <w:tab/>
      </w:r>
      <w:r w:rsidRPr="0031675F">
        <w:t>For freshwater digests use Sarstedt vials (Cat # 60.9922.216) and for saltwater digests use Sarstedt vials (Cat # 60.9922.210 with HDPE lids Cat # C3011).</w:t>
      </w:r>
    </w:p>
    <w:p w14:paraId="4086F0EE" w14:textId="77777777" w:rsidR="0031675F" w:rsidRPr="0031675F" w:rsidRDefault="0031675F" w:rsidP="0031675F">
      <w:pPr>
        <w:ind w:left="540" w:hanging="540"/>
        <w:rPr>
          <w:b/>
        </w:rPr>
      </w:pPr>
      <w:r w:rsidRPr="0031675F">
        <w:rPr>
          <w:b/>
        </w:rPr>
        <w:tab/>
      </w:r>
    </w:p>
    <w:p w14:paraId="13D5BAE6" w14:textId="77777777" w:rsidR="0031675F" w:rsidRPr="0031675F" w:rsidRDefault="0031675F" w:rsidP="0031675F">
      <w:pPr>
        <w:ind w:left="540" w:hanging="540"/>
      </w:pPr>
      <w:r w:rsidRPr="0031675F">
        <w:rPr>
          <w:b/>
        </w:rPr>
        <w:t>9.8</w:t>
      </w:r>
      <w:r w:rsidRPr="0031675F">
        <w:t xml:space="preserve"> </w:t>
      </w:r>
      <w:r w:rsidRPr="0031675F">
        <w:tab/>
        <w:t>For freshwater samples digest the samples, calibrations standards, IHRM and CRM in an autoclave at 121°C for a period of seventy minutes. For saltwater samples, also digest the calibration standards, IHRM and CRM autoclave at 121°C for a period of 35 minutes, remove samples and vortex stir then autoclave for another period of 35 minutes.</w:t>
      </w:r>
    </w:p>
    <w:p w14:paraId="096FB444" w14:textId="77777777" w:rsidR="0031675F" w:rsidRPr="0031675F" w:rsidRDefault="0031675F" w:rsidP="0031675F">
      <w:pPr>
        <w:ind w:left="540" w:hanging="540"/>
      </w:pPr>
    </w:p>
    <w:p w14:paraId="1D635CB6" w14:textId="77777777" w:rsidR="0031675F" w:rsidRPr="0031675F" w:rsidRDefault="0031675F" w:rsidP="0031675F">
      <w:pPr>
        <w:ind w:left="540" w:hanging="540"/>
      </w:pPr>
      <w:r w:rsidRPr="0031675F">
        <w:rPr>
          <w:b/>
        </w:rPr>
        <w:t>9.9</w:t>
      </w:r>
      <w:r w:rsidRPr="0031675F">
        <w:t xml:space="preserve"> </w:t>
      </w:r>
      <w:r w:rsidRPr="0031675F">
        <w:tab/>
        <w:t>Let samples sit overnight to cool before analysing.</w:t>
      </w:r>
    </w:p>
    <w:p w14:paraId="07E87AF4" w14:textId="77777777" w:rsidR="0031675F" w:rsidRPr="0031675F" w:rsidRDefault="0031675F" w:rsidP="0031675F">
      <w:pPr>
        <w:ind w:left="720" w:hanging="720"/>
        <w:rPr>
          <w:b/>
        </w:rPr>
      </w:pPr>
    </w:p>
    <w:p w14:paraId="7CC18508" w14:textId="77777777" w:rsidR="0031675F" w:rsidRPr="0031675F" w:rsidRDefault="0031675F" w:rsidP="0031675F">
      <w:pPr>
        <w:keepNext/>
        <w:shd w:val="clear" w:color="auto" w:fill="D9D9D9"/>
        <w:ind w:left="567" w:hanging="567"/>
        <w:rPr>
          <w:b/>
        </w:rPr>
      </w:pPr>
      <w:r w:rsidRPr="0031675F">
        <w:rPr>
          <w:b/>
        </w:rPr>
        <w:t xml:space="preserve">10.0 </w:t>
      </w:r>
      <w:r w:rsidRPr="0031675F">
        <w:rPr>
          <w:b/>
        </w:rPr>
        <w:tab/>
        <w:t>ANALYTICAL PROCEDURE</w:t>
      </w:r>
    </w:p>
    <w:p w14:paraId="27196C0F" w14:textId="77777777" w:rsidR="0031675F" w:rsidRPr="0031675F" w:rsidRDefault="0031675F" w:rsidP="0031675F">
      <w:pPr>
        <w:keepNext/>
        <w:ind w:left="720" w:hanging="720"/>
      </w:pPr>
      <w:r w:rsidRPr="0031675F">
        <w:rPr>
          <w:b/>
        </w:rPr>
        <w:tab/>
      </w:r>
      <w:r w:rsidRPr="0031675F">
        <w:rPr>
          <w:b/>
        </w:rPr>
        <w:tab/>
      </w:r>
      <w:r w:rsidRPr="0031675F">
        <w:t>.</w:t>
      </w:r>
    </w:p>
    <w:p w14:paraId="15534183" w14:textId="77777777" w:rsidR="0031675F" w:rsidRPr="0031675F" w:rsidRDefault="0031675F" w:rsidP="0031675F">
      <w:pPr>
        <w:keepNext/>
        <w:ind w:left="540" w:hanging="540"/>
      </w:pPr>
      <w:r w:rsidRPr="0031675F">
        <w:rPr>
          <w:b/>
        </w:rPr>
        <w:t>10.1</w:t>
      </w:r>
      <w:r w:rsidRPr="0031675F">
        <w:t xml:space="preserve"> </w:t>
      </w:r>
      <w:r w:rsidRPr="0031675F">
        <w:tab/>
        <w:t>Turn on the auto analyser and peristaltic pump and run reagent water with Triton X 100 added through the system for a minimum of thirty minutes to let the system equilibrate. Turn on the spectrophotometer and check that the baseline is stable and you have a consistent bubble pattern through the manifold.</w:t>
      </w:r>
    </w:p>
    <w:p w14:paraId="3604EBB3" w14:textId="77777777" w:rsidR="0031675F" w:rsidRPr="0031675F" w:rsidRDefault="0031675F" w:rsidP="0031675F">
      <w:pPr>
        <w:ind w:left="540" w:hanging="540"/>
      </w:pPr>
    </w:p>
    <w:p w14:paraId="75D2F2D6" w14:textId="77777777" w:rsidR="0031675F" w:rsidRPr="0031675F" w:rsidRDefault="0031675F" w:rsidP="0031675F">
      <w:pPr>
        <w:ind w:left="1440" w:hanging="900"/>
      </w:pPr>
      <w:r w:rsidRPr="0031675F">
        <w:rPr>
          <w:b/>
        </w:rPr>
        <w:t xml:space="preserve">NOTE: </w:t>
      </w:r>
      <w:r w:rsidRPr="0031675F">
        <w:rPr>
          <w:b/>
        </w:rPr>
        <w:tab/>
      </w:r>
      <w:r w:rsidRPr="0031675F">
        <w:t>The absorbency on the spectrophotometer should read 540 nm and should be set at the required sensitivity level for the range of working standards.</w:t>
      </w:r>
    </w:p>
    <w:p w14:paraId="38BB0084" w14:textId="77777777" w:rsidR="0031675F" w:rsidRPr="0031675F" w:rsidRDefault="0031675F" w:rsidP="0031675F">
      <w:pPr>
        <w:ind w:left="1440" w:hanging="900"/>
      </w:pPr>
    </w:p>
    <w:p w14:paraId="790F9CB2" w14:textId="77777777" w:rsidR="0031675F" w:rsidRPr="0031675F" w:rsidRDefault="0031675F" w:rsidP="0031675F">
      <w:pPr>
        <w:ind w:left="540" w:hanging="540"/>
      </w:pPr>
      <w:r w:rsidRPr="0031675F">
        <w:rPr>
          <w:b/>
        </w:rPr>
        <w:t>10.2</w:t>
      </w:r>
      <w:r w:rsidRPr="0031675F">
        <w:t xml:space="preserve"> </w:t>
      </w:r>
      <w:r w:rsidRPr="0031675F">
        <w:tab/>
        <w:t>Set up the autosampler software for the run. This will include the unique TropWater job number and sample identification number, along with any dilution data associated with samples.</w:t>
      </w:r>
    </w:p>
    <w:p w14:paraId="66FB4336" w14:textId="77777777" w:rsidR="0031675F" w:rsidRPr="0031675F" w:rsidRDefault="0031675F" w:rsidP="0031675F">
      <w:pPr>
        <w:ind w:left="540" w:hanging="540"/>
      </w:pPr>
    </w:p>
    <w:p w14:paraId="504E53D8" w14:textId="77777777" w:rsidR="0031675F" w:rsidRPr="0031675F" w:rsidRDefault="0031675F" w:rsidP="0031675F">
      <w:pPr>
        <w:ind w:left="540" w:hanging="540"/>
      </w:pPr>
      <w:r w:rsidRPr="0031675F">
        <w:rPr>
          <w:b/>
        </w:rPr>
        <w:t>10.3</w:t>
      </w:r>
      <w:r w:rsidRPr="0031675F">
        <w:t xml:space="preserve"> </w:t>
      </w:r>
      <w:r w:rsidRPr="0031675F">
        <w:tab/>
        <w:t xml:space="preserve">Mix the digested sample using a vortex and decant into a 10 mL Sarstedt tubes (Cat # 60.9921.820) and place into the correct cup position as identified by the autosampler software. </w:t>
      </w:r>
    </w:p>
    <w:p w14:paraId="67F36E84" w14:textId="77777777" w:rsidR="0031675F" w:rsidRPr="0031675F" w:rsidRDefault="0031675F" w:rsidP="0031675F">
      <w:pPr>
        <w:ind w:left="540" w:hanging="540"/>
      </w:pPr>
    </w:p>
    <w:p w14:paraId="00E3B11F" w14:textId="77777777" w:rsidR="0031675F" w:rsidRPr="0031675F" w:rsidRDefault="0031675F" w:rsidP="0031675F">
      <w:pPr>
        <w:ind w:left="540" w:hanging="540"/>
      </w:pPr>
      <w:r w:rsidRPr="0031675F">
        <w:rPr>
          <w:b/>
        </w:rPr>
        <w:t>10.4</w:t>
      </w:r>
      <w:r w:rsidRPr="0031675F">
        <w:t xml:space="preserve"> </w:t>
      </w:r>
      <w:r w:rsidRPr="0031675F">
        <w:tab/>
        <w:t>Remove the reagent water with Triton X-100 and add the working sulfanilamide solution, the working ammonium chloride buffer, and the inert gas to the system. Allow to equilibrate for 5 minutes.</w:t>
      </w:r>
    </w:p>
    <w:p w14:paraId="3A0EACB5" w14:textId="77777777" w:rsidR="0031675F" w:rsidRPr="0031675F" w:rsidRDefault="0031675F" w:rsidP="0031675F">
      <w:pPr>
        <w:ind w:left="540" w:hanging="540"/>
      </w:pPr>
    </w:p>
    <w:p w14:paraId="6004694E" w14:textId="77777777" w:rsidR="0031675F" w:rsidRPr="0031675F" w:rsidRDefault="0031675F" w:rsidP="0031675F">
      <w:pPr>
        <w:ind w:left="540" w:hanging="540"/>
      </w:pPr>
      <w:r w:rsidRPr="0031675F">
        <w:rPr>
          <w:b/>
        </w:rPr>
        <w:t>10.5</w:t>
      </w:r>
      <w:r w:rsidRPr="0031675F">
        <w:t xml:space="preserve"> </w:t>
      </w:r>
      <w:r w:rsidRPr="0031675F">
        <w:tab/>
        <w:t>Regenerate the OTCR (refer 5.3.1) and place into the correct position on the manifold. Allow baseline to stabilize for 5 minutes.</w:t>
      </w:r>
    </w:p>
    <w:p w14:paraId="2448BA91" w14:textId="77777777" w:rsidR="0031675F" w:rsidRPr="0031675F" w:rsidRDefault="0031675F" w:rsidP="0031675F">
      <w:pPr>
        <w:ind w:left="540" w:hanging="540"/>
      </w:pPr>
    </w:p>
    <w:p w14:paraId="152A0F5D" w14:textId="6E7FFEB2" w:rsidR="0031675F" w:rsidRPr="0031675F" w:rsidRDefault="0031675F" w:rsidP="0031675F">
      <w:pPr>
        <w:ind w:left="540" w:hanging="540"/>
      </w:pPr>
      <w:r w:rsidRPr="0031675F">
        <w:rPr>
          <w:b/>
        </w:rPr>
        <w:t>10.6</w:t>
      </w:r>
      <w:r w:rsidRPr="0031675F">
        <w:t xml:space="preserve"> </w:t>
      </w:r>
      <w:r w:rsidRPr="0031675F">
        <w:tab/>
        <w:t>Inject a high level nitrate standard e.g. 1000 µg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for 90 seconds and observe the peak absorbency through the spectrophotometer. </w:t>
      </w:r>
    </w:p>
    <w:p w14:paraId="099C2F97" w14:textId="77777777" w:rsidR="0031675F" w:rsidRPr="0031675F" w:rsidRDefault="0031675F" w:rsidP="0031675F">
      <w:pPr>
        <w:ind w:left="540" w:hanging="540"/>
      </w:pPr>
    </w:p>
    <w:p w14:paraId="47DA6E4D" w14:textId="77777777" w:rsidR="0031675F" w:rsidRPr="0031675F" w:rsidRDefault="0031675F" w:rsidP="0031675F">
      <w:pPr>
        <w:ind w:left="1440" w:hanging="900"/>
      </w:pPr>
      <w:r w:rsidRPr="0031675F">
        <w:rPr>
          <w:b/>
        </w:rPr>
        <w:t xml:space="preserve">NOTE: </w:t>
      </w:r>
      <w:r w:rsidRPr="0031675F">
        <w:rPr>
          <w:b/>
        </w:rPr>
        <w:tab/>
      </w:r>
      <w:r w:rsidRPr="0031675F">
        <w:t>If the peak height it too low then remove OTCR and regenerate again. If this still does not fix peak height then use a new OTCR.</w:t>
      </w:r>
    </w:p>
    <w:p w14:paraId="21C64D87" w14:textId="77777777" w:rsidR="0031675F" w:rsidRPr="0031675F" w:rsidRDefault="0031675F" w:rsidP="0031675F">
      <w:pPr>
        <w:ind w:left="1440" w:hanging="900"/>
      </w:pPr>
    </w:p>
    <w:p w14:paraId="4F98E771" w14:textId="77777777" w:rsidR="0031675F" w:rsidRPr="0031675F" w:rsidRDefault="0031675F" w:rsidP="0031675F">
      <w:pPr>
        <w:ind w:left="540" w:hanging="540"/>
      </w:pPr>
      <w:r w:rsidRPr="0031675F">
        <w:rPr>
          <w:b/>
        </w:rPr>
        <w:t>10.7</w:t>
      </w:r>
      <w:r w:rsidRPr="0031675F">
        <w:t xml:space="preserve"> </w:t>
      </w:r>
      <w:r w:rsidRPr="0031675F">
        <w:tab/>
        <w:t>Start the autosampler run. Observe that the first set of standards peak heights are normal and then check run periodically to ensure no malfunctions have occurred.</w:t>
      </w:r>
    </w:p>
    <w:p w14:paraId="37F3CB1E" w14:textId="77777777" w:rsidR="0031675F" w:rsidRPr="0031675F" w:rsidRDefault="0031675F" w:rsidP="0031675F">
      <w:pPr>
        <w:ind w:left="540" w:hanging="540"/>
      </w:pPr>
    </w:p>
    <w:p w14:paraId="1EC41B69" w14:textId="77777777" w:rsidR="0031675F" w:rsidRPr="0031675F" w:rsidRDefault="0031675F" w:rsidP="0031675F">
      <w:pPr>
        <w:ind w:left="540" w:hanging="540"/>
      </w:pPr>
      <w:r w:rsidRPr="0031675F">
        <w:rPr>
          <w:b/>
        </w:rPr>
        <w:t>10.8</w:t>
      </w:r>
      <w:r w:rsidRPr="0031675F">
        <w:t xml:space="preserve"> </w:t>
      </w:r>
      <w:r w:rsidRPr="0031675F">
        <w:tab/>
        <w:t xml:space="preserve">When autosampler run is finished stop the software, remove the OTCR followed by the working sulfanilamide solution and the working ammonium chloride buffer then put the reagent water with Triton X 100 back on. Rinse the manifold for a minimum of one hour and then turn the auto-analyser and peristaltic pump off. </w:t>
      </w:r>
    </w:p>
    <w:p w14:paraId="645C58FE" w14:textId="77777777" w:rsidR="0031675F" w:rsidRPr="0031675F" w:rsidRDefault="0031675F" w:rsidP="0031675F">
      <w:pPr>
        <w:ind w:left="540" w:hanging="540"/>
      </w:pPr>
    </w:p>
    <w:p w14:paraId="45CEFDE9" w14:textId="77777777" w:rsidR="0031675F" w:rsidRPr="0031675F" w:rsidRDefault="0031675F" w:rsidP="0031675F">
      <w:pPr>
        <w:ind w:left="540" w:hanging="540"/>
      </w:pPr>
      <w:r w:rsidRPr="0031675F">
        <w:rPr>
          <w:b/>
        </w:rPr>
        <w:t>10.9</w:t>
      </w:r>
      <w:r w:rsidRPr="0031675F">
        <w:t xml:space="preserve"> </w:t>
      </w:r>
      <w:r w:rsidRPr="0031675F">
        <w:tab/>
        <w:t>Print out a hard copy of the trace and calculate results.</w:t>
      </w:r>
    </w:p>
    <w:p w14:paraId="30EFB43A" w14:textId="77777777" w:rsidR="0031675F" w:rsidRPr="0031675F" w:rsidRDefault="0031675F" w:rsidP="0031675F">
      <w:pPr>
        <w:rPr>
          <w:b/>
        </w:rPr>
      </w:pPr>
    </w:p>
    <w:p w14:paraId="76E1F414" w14:textId="77777777" w:rsidR="0031675F" w:rsidRPr="0031675F" w:rsidRDefault="0031675F" w:rsidP="0031675F">
      <w:r w:rsidRPr="0031675F">
        <w:br w:type="page"/>
      </w:r>
    </w:p>
    <w:p w14:paraId="555D8964" w14:textId="77777777" w:rsidR="0031675F" w:rsidRPr="0031675F" w:rsidRDefault="0031675F" w:rsidP="0031675F">
      <w:pPr>
        <w:shd w:val="clear" w:color="auto" w:fill="D9D9D9"/>
        <w:ind w:left="567" w:hanging="567"/>
        <w:rPr>
          <w:b/>
        </w:rPr>
      </w:pPr>
      <w:r w:rsidRPr="0031675F">
        <w:rPr>
          <w:b/>
        </w:rPr>
        <w:t xml:space="preserve">11.0 </w:t>
      </w:r>
      <w:r w:rsidRPr="0031675F">
        <w:rPr>
          <w:b/>
        </w:rPr>
        <w:tab/>
        <w:t>DATA ANALYSIS AND CALCULATIONS</w:t>
      </w:r>
    </w:p>
    <w:p w14:paraId="006CB15A" w14:textId="77777777" w:rsidR="0031675F" w:rsidRPr="0031675F" w:rsidRDefault="0031675F" w:rsidP="0031675F">
      <w:pPr>
        <w:ind w:left="720" w:hanging="720"/>
        <w:rPr>
          <w:b/>
        </w:rPr>
      </w:pPr>
    </w:p>
    <w:p w14:paraId="64DC6C03" w14:textId="77777777" w:rsidR="0031675F" w:rsidRPr="0031675F" w:rsidRDefault="0031675F" w:rsidP="0031675F">
      <w:pPr>
        <w:ind w:left="540" w:hanging="540"/>
      </w:pPr>
      <w:r w:rsidRPr="0031675F">
        <w:rPr>
          <w:b/>
        </w:rPr>
        <w:t>11.1</w:t>
      </w:r>
      <w:r w:rsidRPr="0031675F">
        <w:t xml:space="preserve"> </w:t>
      </w:r>
      <w:r w:rsidRPr="0031675F">
        <w:tab/>
        <w:t>Concentrations of total nitrogen in samples are calculated from the linear regression obtained from the calibration standards.</w:t>
      </w:r>
    </w:p>
    <w:p w14:paraId="77289045" w14:textId="77777777" w:rsidR="0031675F" w:rsidRPr="0031675F" w:rsidRDefault="0031675F" w:rsidP="0031675F">
      <w:pPr>
        <w:ind w:left="1134" w:hanging="1134"/>
      </w:pPr>
    </w:p>
    <w:p w14:paraId="6A33A2EC" w14:textId="77777777" w:rsidR="0031675F" w:rsidRPr="0031675F" w:rsidRDefault="0031675F" w:rsidP="0031675F">
      <w:pPr>
        <w:numPr>
          <w:ilvl w:val="1"/>
          <w:numId w:val="176"/>
        </w:numPr>
        <w:spacing w:before="0" w:after="0" w:line="240" w:lineRule="auto"/>
        <w:ind w:left="540" w:hanging="540"/>
        <w:jc w:val="both"/>
      </w:pPr>
      <w:r w:rsidRPr="0031675F">
        <w:t>The Quality Control of the results (refer 7.0) is assessed and results are either accepted or rejected and re-run at a later date.</w:t>
      </w:r>
    </w:p>
    <w:p w14:paraId="59FE1B50" w14:textId="77777777" w:rsidR="0031675F" w:rsidRPr="0031675F" w:rsidRDefault="0031675F" w:rsidP="0031675F">
      <w:pPr>
        <w:ind w:left="1134" w:hanging="1134"/>
      </w:pPr>
    </w:p>
    <w:p w14:paraId="046AB544" w14:textId="0B0D6EDE" w:rsidR="0031675F" w:rsidRPr="0031675F" w:rsidRDefault="0031675F" w:rsidP="0031675F">
      <w:pPr>
        <w:numPr>
          <w:ilvl w:val="1"/>
          <w:numId w:val="176"/>
        </w:numPr>
        <w:spacing w:before="0" w:after="0" w:line="240" w:lineRule="auto"/>
        <w:ind w:left="540" w:hanging="540"/>
        <w:jc w:val="both"/>
      </w:pPr>
      <w:r w:rsidRPr="0031675F">
        <w:t>Results should be reported in µg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unless otherwise requested (e.g. high values &gt; 5 mg N</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with the replicate and spike values stated on the report.</w:t>
      </w:r>
    </w:p>
    <w:p w14:paraId="0CB8A615" w14:textId="77777777" w:rsidR="0031675F" w:rsidRPr="0031675F" w:rsidRDefault="0031675F" w:rsidP="0031675F">
      <w:pPr>
        <w:ind w:left="1134" w:hanging="1134"/>
      </w:pPr>
    </w:p>
    <w:p w14:paraId="22C825D5" w14:textId="77777777" w:rsidR="0031675F" w:rsidRPr="0031675F" w:rsidRDefault="0031675F" w:rsidP="0031675F">
      <w:pPr>
        <w:numPr>
          <w:ilvl w:val="2"/>
          <w:numId w:val="176"/>
        </w:numPr>
        <w:spacing w:before="0" w:after="0" w:line="240" w:lineRule="auto"/>
        <w:ind w:left="1247" w:hanging="680"/>
        <w:jc w:val="both"/>
      </w:pPr>
      <w:r w:rsidRPr="0031675F">
        <w:t>To calculate spike values for undiluted samples:</w:t>
      </w:r>
    </w:p>
    <w:p w14:paraId="73602AAD" w14:textId="77777777" w:rsidR="0031675F" w:rsidRPr="0031675F" w:rsidRDefault="0031675F" w:rsidP="0031675F"/>
    <w:tbl>
      <w:tblPr>
        <w:tblW w:w="0" w:type="auto"/>
        <w:jc w:val="center"/>
        <w:tblLook w:val="01E0" w:firstRow="1" w:lastRow="1" w:firstColumn="1" w:lastColumn="1" w:noHBand="0" w:noVBand="0"/>
      </w:tblPr>
      <w:tblGrid>
        <w:gridCol w:w="2448"/>
        <w:gridCol w:w="5040"/>
        <w:gridCol w:w="1368"/>
      </w:tblGrid>
      <w:tr w:rsidR="0031675F" w:rsidRPr="0031675F" w14:paraId="2DEF8B98" w14:textId="77777777" w:rsidTr="00B00729">
        <w:trPr>
          <w:trHeight w:val="504"/>
          <w:jc w:val="center"/>
        </w:trPr>
        <w:tc>
          <w:tcPr>
            <w:tcW w:w="2448" w:type="dxa"/>
            <w:vMerge w:val="restart"/>
            <w:vAlign w:val="center"/>
          </w:tcPr>
          <w:p w14:paraId="4B5227EE" w14:textId="77777777" w:rsidR="0031675F" w:rsidRPr="0031675F" w:rsidRDefault="0031675F" w:rsidP="0031675F">
            <w:pPr>
              <w:jc w:val="center"/>
            </w:pPr>
            <w:r w:rsidRPr="0031675F">
              <w:t>Spike Recovery (%) =</w:t>
            </w:r>
          </w:p>
        </w:tc>
        <w:tc>
          <w:tcPr>
            <w:tcW w:w="5040" w:type="dxa"/>
            <w:tcBorders>
              <w:bottom w:val="single" w:sz="4" w:space="0" w:color="auto"/>
            </w:tcBorders>
            <w:vAlign w:val="center"/>
          </w:tcPr>
          <w:p w14:paraId="29D2C3AF" w14:textId="77777777" w:rsidR="0031675F" w:rsidRPr="0031675F" w:rsidRDefault="0031675F" w:rsidP="0031675F">
            <w:pPr>
              <w:jc w:val="center"/>
            </w:pPr>
            <w:r w:rsidRPr="0031675F">
              <w:t>Sample + Average of Blanked Spiked Samples</w:t>
            </w:r>
          </w:p>
        </w:tc>
        <w:tc>
          <w:tcPr>
            <w:tcW w:w="1368" w:type="dxa"/>
            <w:vMerge w:val="restart"/>
            <w:vAlign w:val="center"/>
          </w:tcPr>
          <w:p w14:paraId="15A9CB79" w14:textId="77777777" w:rsidR="0031675F" w:rsidRPr="0031675F" w:rsidRDefault="0031675F" w:rsidP="0031675F">
            <w:pPr>
              <w:jc w:val="center"/>
            </w:pPr>
            <w:r w:rsidRPr="0031675F">
              <w:t>X 100</w:t>
            </w:r>
          </w:p>
        </w:tc>
      </w:tr>
      <w:tr w:rsidR="0031675F" w:rsidRPr="0031675F" w14:paraId="24E1E0C8" w14:textId="77777777" w:rsidTr="00B00729">
        <w:trPr>
          <w:trHeight w:val="516"/>
          <w:jc w:val="center"/>
        </w:trPr>
        <w:tc>
          <w:tcPr>
            <w:tcW w:w="2448" w:type="dxa"/>
            <w:vMerge/>
            <w:vAlign w:val="center"/>
          </w:tcPr>
          <w:p w14:paraId="59CB0741" w14:textId="77777777" w:rsidR="0031675F" w:rsidRPr="0031675F" w:rsidRDefault="0031675F" w:rsidP="0031675F"/>
        </w:tc>
        <w:tc>
          <w:tcPr>
            <w:tcW w:w="5040" w:type="dxa"/>
            <w:tcBorders>
              <w:top w:val="single" w:sz="4" w:space="0" w:color="auto"/>
            </w:tcBorders>
            <w:vAlign w:val="center"/>
          </w:tcPr>
          <w:p w14:paraId="5CE23BED" w14:textId="77777777" w:rsidR="0031675F" w:rsidRPr="0031675F" w:rsidRDefault="0031675F" w:rsidP="0031675F">
            <w:pPr>
              <w:jc w:val="center"/>
            </w:pPr>
            <w:r w:rsidRPr="0031675F">
              <w:t>Spiked Sample</w:t>
            </w:r>
          </w:p>
        </w:tc>
        <w:tc>
          <w:tcPr>
            <w:tcW w:w="1368" w:type="dxa"/>
            <w:vMerge/>
            <w:vAlign w:val="center"/>
          </w:tcPr>
          <w:p w14:paraId="6E21E1D7" w14:textId="77777777" w:rsidR="0031675F" w:rsidRPr="0031675F" w:rsidRDefault="0031675F" w:rsidP="0031675F">
            <w:pPr>
              <w:jc w:val="center"/>
            </w:pPr>
          </w:p>
        </w:tc>
      </w:tr>
    </w:tbl>
    <w:p w14:paraId="08790CE3" w14:textId="77777777" w:rsidR="0031675F" w:rsidRPr="0031675F" w:rsidRDefault="0031675F" w:rsidP="0031675F"/>
    <w:p w14:paraId="26F004BB" w14:textId="77777777" w:rsidR="0031675F" w:rsidRPr="0031675F" w:rsidRDefault="0031675F" w:rsidP="0031675F"/>
    <w:p w14:paraId="60F25079" w14:textId="77777777" w:rsidR="0031675F" w:rsidRPr="0031675F" w:rsidRDefault="0031675F" w:rsidP="0031675F">
      <w:pPr>
        <w:numPr>
          <w:ilvl w:val="2"/>
          <w:numId w:val="176"/>
        </w:numPr>
        <w:spacing w:before="0" w:after="0" w:line="240" w:lineRule="auto"/>
        <w:jc w:val="both"/>
      </w:pPr>
      <w:r w:rsidRPr="0031675F">
        <w:t>To calculate spike values for diluted samples:</w:t>
      </w:r>
    </w:p>
    <w:p w14:paraId="4B062A4B" w14:textId="77777777" w:rsidR="0031675F" w:rsidRPr="0031675F" w:rsidRDefault="0031675F" w:rsidP="0031675F"/>
    <w:tbl>
      <w:tblPr>
        <w:tblW w:w="0" w:type="auto"/>
        <w:jc w:val="center"/>
        <w:tblLook w:val="01E0" w:firstRow="1" w:lastRow="1" w:firstColumn="1" w:lastColumn="1" w:noHBand="0" w:noVBand="0"/>
      </w:tblPr>
      <w:tblGrid>
        <w:gridCol w:w="2448"/>
        <w:gridCol w:w="5040"/>
        <w:gridCol w:w="1368"/>
      </w:tblGrid>
      <w:tr w:rsidR="0031675F" w:rsidRPr="0031675F" w14:paraId="58396B6D" w14:textId="77777777" w:rsidTr="00B00729">
        <w:trPr>
          <w:trHeight w:val="786"/>
          <w:jc w:val="center"/>
        </w:trPr>
        <w:tc>
          <w:tcPr>
            <w:tcW w:w="2448" w:type="dxa"/>
            <w:vMerge w:val="restart"/>
            <w:vAlign w:val="center"/>
          </w:tcPr>
          <w:p w14:paraId="46914E25" w14:textId="77777777" w:rsidR="0031675F" w:rsidRPr="0031675F" w:rsidRDefault="0031675F" w:rsidP="0031675F">
            <w:pPr>
              <w:jc w:val="center"/>
            </w:pPr>
            <w:r w:rsidRPr="0031675F">
              <w:t>Spike Recovery (Dilutions) (%) =</w:t>
            </w:r>
          </w:p>
        </w:tc>
        <w:tc>
          <w:tcPr>
            <w:tcW w:w="5040" w:type="dxa"/>
            <w:tcBorders>
              <w:bottom w:val="single" w:sz="4" w:space="0" w:color="auto"/>
            </w:tcBorders>
            <w:vAlign w:val="center"/>
          </w:tcPr>
          <w:p w14:paraId="4F6FC58C" w14:textId="77777777" w:rsidR="0031675F" w:rsidRPr="0031675F" w:rsidRDefault="0031675F" w:rsidP="0031675F">
            <w:pPr>
              <w:jc w:val="center"/>
            </w:pPr>
            <w:r w:rsidRPr="0031675F">
              <w:t>(Sample/Dilution) + Average of Blanked Spiked Samples</w:t>
            </w:r>
          </w:p>
        </w:tc>
        <w:tc>
          <w:tcPr>
            <w:tcW w:w="1368" w:type="dxa"/>
            <w:vMerge w:val="restart"/>
            <w:vAlign w:val="center"/>
          </w:tcPr>
          <w:p w14:paraId="0DFA591D" w14:textId="77777777" w:rsidR="0031675F" w:rsidRPr="0031675F" w:rsidRDefault="0031675F" w:rsidP="0031675F">
            <w:pPr>
              <w:jc w:val="center"/>
            </w:pPr>
            <w:r w:rsidRPr="0031675F">
              <w:t>X 100</w:t>
            </w:r>
          </w:p>
        </w:tc>
      </w:tr>
      <w:tr w:rsidR="0031675F" w:rsidRPr="0031675F" w14:paraId="4069A770" w14:textId="77777777" w:rsidTr="00B00729">
        <w:trPr>
          <w:trHeight w:val="649"/>
          <w:jc w:val="center"/>
        </w:trPr>
        <w:tc>
          <w:tcPr>
            <w:tcW w:w="2448" w:type="dxa"/>
            <w:vMerge/>
            <w:vAlign w:val="center"/>
          </w:tcPr>
          <w:p w14:paraId="2DDB0FC9" w14:textId="77777777" w:rsidR="0031675F" w:rsidRPr="0031675F" w:rsidRDefault="0031675F" w:rsidP="0031675F"/>
        </w:tc>
        <w:tc>
          <w:tcPr>
            <w:tcW w:w="5040" w:type="dxa"/>
            <w:tcBorders>
              <w:top w:val="single" w:sz="4" w:space="0" w:color="auto"/>
            </w:tcBorders>
            <w:vAlign w:val="center"/>
          </w:tcPr>
          <w:p w14:paraId="47F96E08" w14:textId="77777777" w:rsidR="0031675F" w:rsidRPr="0031675F" w:rsidRDefault="0031675F" w:rsidP="0031675F">
            <w:pPr>
              <w:jc w:val="center"/>
            </w:pPr>
            <w:r w:rsidRPr="0031675F">
              <w:t>(Spiked Sample/dilution)</w:t>
            </w:r>
          </w:p>
        </w:tc>
        <w:tc>
          <w:tcPr>
            <w:tcW w:w="1368" w:type="dxa"/>
            <w:vMerge/>
            <w:vAlign w:val="center"/>
          </w:tcPr>
          <w:p w14:paraId="46FF04D8" w14:textId="77777777" w:rsidR="0031675F" w:rsidRPr="0031675F" w:rsidRDefault="0031675F" w:rsidP="0031675F"/>
        </w:tc>
      </w:tr>
    </w:tbl>
    <w:p w14:paraId="30494CC7" w14:textId="77777777" w:rsidR="0031675F" w:rsidRPr="0031675F" w:rsidRDefault="0031675F" w:rsidP="0031675F">
      <w:pPr>
        <w:rPr>
          <w:b/>
        </w:rPr>
      </w:pPr>
    </w:p>
    <w:p w14:paraId="07134703" w14:textId="77777777" w:rsidR="0031675F" w:rsidRPr="0031675F" w:rsidRDefault="0031675F" w:rsidP="0031675F">
      <w:pPr>
        <w:rPr>
          <w:b/>
        </w:rPr>
      </w:pPr>
    </w:p>
    <w:p w14:paraId="0997F3F8" w14:textId="77777777" w:rsidR="0031675F" w:rsidRPr="0031675F" w:rsidRDefault="0031675F" w:rsidP="0031675F">
      <w:pPr>
        <w:rPr>
          <w:b/>
        </w:rPr>
      </w:pPr>
      <w:r w:rsidRPr="0031675F">
        <w:rPr>
          <w:b/>
        </w:rPr>
        <w:br w:type="page"/>
      </w:r>
    </w:p>
    <w:p w14:paraId="25771536" w14:textId="77777777" w:rsidR="0031675F" w:rsidRPr="0031675F" w:rsidRDefault="0031675F" w:rsidP="0031675F">
      <w:pPr>
        <w:shd w:val="clear" w:color="auto" w:fill="D9D9D9"/>
      </w:pPr>
      <w:r w:rsidRPr="0031675F">
        <w:rPr>
          <w:b/>
        </w:rPr>
        <w:t xml:space="preserve">12.0 </w:t>
      </w:r>
      <w:r w:rsidRPr="0031675F">
        <w:rPr>
          <w:b/>
        </w:rPr>
        <w:tab/>
        <w:t>TABLES, DIAGRAMS, FLOWCHARTS</w:t>
      </w:r>
    </w:p>
    <w:p w14:paraId="64758139" w14:textId="77777777" w:rsidR="0031675F" w:rsidRPr="0031675F" w:rsidRDefault="0031675F" w:rsidP="0031675F">
      <w:pPr>
        <w:rPr>
          <w:b/>
        </w:rPr>
      </w:pPr>
    </w:p>
    <w:p w14:paraId="0AEB41ED" w14:textId="77777777" w:rsidR="0031675F" w:rsidRPr="0031675F" w:rsidRDefault="0031675F" w:rsidP="0031675F">
      <w:pPr>
        <w:ind w:left="709"/>
      </w:pPr>
    </w:p>
    <w:p w14:paraId="7E4CC8E2" w14:textId="77777777" w:rsidR="0031675F" w:rsidRPr="0031675F" w:rsidRDefault="0031675F" w:rsidP="0031675F">
      <w:r w:rsidRPr="0031675F">
        <w:rPr>
          <w:noProof/>
          <w:lang w:eastAsia="en-AU"/>
        </w:rPr>
        <mc:AlternateContent>
          <mc:Choice Requires="wpc">
            <w:drawing>
              <wp:inline distT="0" distB="0" distL="0" distR="0" wp14:anchorId="34E84254" wp14:editId="6FCA91DE">
                <wp:extent cx="5979160" cy="4695825"/>
                <wp:effectExtent l="0" t="0" r="0" b="0"/>
                <wp:docPr id="226" name="Canvas 2" descr="Outline of flowchart." title="TN Manifold – Nitrogen Total Alkaline Persulfate"/>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115" name="Group 115"/>
                        <wpg:cNvGrpSpPr/>
                        <wpg:grpSpPr>
                          <a:xfrm>
                            <a:off x="88900" y="390525"/>
                            <a:ext cx="5049520" cy="3426460"/>
                            <a:chOff x="88900" y="390525"/>
                            <a:chExt cx="5049520" cy="3426460"/>
                          </a:xfrm>
                        </wpg:grpSpPr>
                        <wps:wsp>
                          <wps:cNvPr id="142" name="Text Box 4"/>
                          <wps:cNvSpPr txBox="1">
                            <a:spLocks noChangeArrowheads="1"/>
                          </wps:cNvSpPr>
                          <wps:spPr bwMode="auto">
                            <a:xfrm>
                              <a:off x="720725" y="539115"/>
                              <a:ext cx="1456055" cy="517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F43545" w14:textId="77777777" w:rsidR="00CB53E4" w:rsidRPr="000E3507" w:rsidRDefault="00CB53E4" w:rsidP="0031675F">
                                <w:pPr>
                                  <w:rPr>
                                    <w:b/>
                                    <w:sz w:val="16"/>
                                    <w:szCs w:val="16"/>
                                  </w:rPr>
                                </w:pPr>
                                <w:r>
                                  <w:rPr>
                                    <w:b/>
                                    <w:sz w:val="16"/>
                                    <w:szCs w:val="16"/>
                                  </w:rPr>
                                  <w:t>Debubbler</w:t>
                                </w:r>
                              </w:p>
                            </w:txbxContent>
                          </wps:txbx>
                          <wps:bodyPr rot="0" vert="horz" wrap="square" lIns="91440" tIns="45720" rIns="91440" bIns="45720" anchor="t" anchorCtr="0" upright="1">
                            <a:noAutofit/>
                          </wps:bodyPr>
                        </wps:wsp>
                        <wps:wsp>
                          <wps:cNvPr id="143" name="Text Box 5"/>
                          <wps:cNvSpPr txBox="1">
                            <a:spLocks noChangeArrowheads="1"/>
                          </wps:cNvSpPr>
                          <wps:spPr bwMode="auto">
                            <a:xfrm>
                              <a:off x="3786505" y="1824990"/>
                              <a:ext cx="1235075" cy="742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01C747" w14:textId="13577E4E" w:rsidR="00CB53E4" w:rsidRPr="00E14FE5" w:rsidRDefault="00CB53E4" w:rsidP="0031675F">
                                <w:pPr>
                                  <w:rPr>
                                    <w:b/>
                                    <w:sz w:val="16"/>
                                    <w:szCs w:val="16"/>
                                  </w:rPr>
                                </w:pPr>
                                <w:r>
                                  <w:rPr>
                                    <w:b/>
                                    <w:sz w:val="16"/>
                                    <w:szCs w:val="16"/>
                                  </w:rPr>
                                  <w:t>Colour Reagent</w:t>
                                </w:r>
                              </w:p>
                            </w:txbxContent>
                          </wps:txbx>
                          <wps:bodyPr rot="0" vert="horz" wrap="square" lIns="91440" tIns="45720" rIns="91440" bIns="45720" anchor="t" anchorCtr="0" upright="1">
                            <a:noAutofit/>
                          </wps:bodyPr>
                        </wps:wsp>
                        <wps:wsp>
                          <wps:cNvPr id="144" name="Text Box 6"/>
                          <wps:cNvSpPr txBox="1">
                            <a:spLocks noChangeArrowheads="1"/>
                          </wps:cNvSpPr>
                          <wps:spPr bwMode="auto">
                            <a:xfrm>
                              <a:off x="3810000" y="2295525"/>
                              <a:ext cx="851535" cy="588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8BC085" w14:textId="77777777" w:rsidR="00CB53E4" w:rsidRPr="00E81A59" w:rsidRDefault="00CB53E4" w:rsidP="0031675F">
                                <w:pPr>
                                  <w:rPr>
                                    <w:b/>
                                    <w:sz w:val="16"/>
                                    <w:szCs w:val="16"/>
                                  </w:rPr>
                                </w:pPr>
                                <w:r>
                                  <w:rPr>
                                    <w:b/>
                                    <w:sz w:val="16"/>
                                    <w:szCs w:val="16"/>
                                  </w:rPr>
                                  <w:t>Sample</w:t>
                                </w:r>
                              </w:p>
                            </w:txbxContent>
                          </wps:txbx>
                          <wps:bodyPr rot="0" vert="horz" wrap="square" lIns="91440" tIns="45720" rIns="91440" bIns="45720" anchor="t" anchorCtr="0" upright="1">
                            <a:noAutofit/>
                          </wps:bodyPr>
                        </wps:wsp>
                        <wps:wsp>
                          <wps:cNvPr id="145" name="Text Box 7"/>
                          <wps:cNvSpPr txBox="1">
                            <a:spLocks noChangeArrowheads="1"/>
                          </wps:cNvSpPr>
                          <wps:spPr bwMode="auto">
                            <a:xfrm>
                              <a:off x="3810000" y="2711450"/>
                              <a:ext cx="1328420" cy="640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D97682" w14:textId="77777777" w:rsidR="00CB53E4" w:rsidRPr="00134560" w:rsidRDefault="00CB53E4" w:rsidP="0031675F">
                                <w:pPr>
                                  <w:rPr>
                                    <w:b/>
                                    <w:sz w:val="16"/>
                                    <w:szCs w:val="16"/>
                                  </w:rPr>
                                </w:pPr>
                                <w:r>
                                  <w:rPr>
                                    <w:b/>
                                    <w:sz w:val="16"/>
                                    <w:szCs w:val="16"/>
                                  </w:rPr>
                                  <w:t>Inert Gas (Ar)</w:t>
                                </w:r>
                              </w:p>
                            </w:txbxContent>
                          </wps:txbx>
                          <wps:bodyPr rot="0" vert="horz" wrap="square" lIns="91440" tIns="45720" rIns="91440" bIns="45720" anchor="t" anchorCtr="0" upright="1">
                            <a:noAutofit/>
                          </wps:bodyPr>
                        </wps:wsp>
                        <wps:wsp>
                          <wps:cNvPr id="146" name="Text Box 8"/>
                          <wps:cNvSpPr txBox="1">
                            <a:spLocks noChangeArrowheads="1"/>
                          </wps:cNvSpPr>
                          <wps:spPr bwMode="auto">
                            <a:xfrm>
                              <a:off x="3786505" y="3211830"/>
                              <a:ext cx="1254760"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EF4B62" w14:textId="77777777" w:rsidR="00CB53E4" w:rsidRPr="00B5035E" w:rsidRDefault="00CB53E4" w:rsidP="0031675F">
                                <w:pPr>
                                  <w:rPr>
                                    <w:b/>
                                    <w:sz w:val="16"/>
                                    <w:szCs w:val="16"/>
                                  </w:rPr>
                                </w:pPr>
                                <w:r>
                                  <w:rPr>
                                    <w:b/>
                                    <w:sz w:val="16"/>
                                    <w:szCs w:val="16"/>
                                  </w:rPr>
                                  <w:t>NH</w:t>
                                </w:r>
                                <w:r w:rsidRPr="00B5035E">
                                  <w:rPr>
                                    <w:b/>
                                    <w:sz w:val="16"/>
                                    <w:szCs w:val="16"/>
                                    <w:vertAlign w:val="subscript"/>
                                  </w:rPr>
                                  <w:t>4</w:t>
                                </w:r>
                                <w:r>
                                  <w:rPr>
                                    <w:b/>
                                    <w:sz w:val="16"/>
                                    <w:szCs w:val="16"/>
                                  </w:rPr>
                                  <w:t>Cl Buffer</w:t>
                                </w:r>
                              </w:p>
                            </w:txbxContent>
                          </wps:txbx>
                          <wps:bodyPr rot="0" vert="horz" wrap="square" lIns="91440" tIns="45720" rIns="91440" bIns="45720" anchor="t" anchorCtr="0" upright="1">
                            <a:noAutofit/>
                          </wps:bodyPr>
                        </wps:wsp>
                        <wps:wsp>
                          <wps:cNvPr id="147" name="Line 9"/>
                          <wps:cNvCnPr/>
                          <wps:spPr bwMode="auto">
                            <a:xfrm flipH="1" flipV="1">
                              <a:off x="2961005" y="2213610"/>
                              <a:ext cx="1656715" cy="5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Rectangle 10"/>
                          <wps:cNvSpPr>
                            <a:spLocks noChangeArrowheads="1"/>
                          </wps:cNvSpPr>
                          <wps:spPr bwMode="auto">
                            <a:xfrm>
                              <a:off x="1376045" y="1428115"/>
                              <a:ext cx="805815" cy="2359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9" name="Oval 11"/>
                          <wps:cNvSpPr>
                            <a:spLocks noChangeArrowheads="1"/>
                          </wps:cNvSpPr>
                          <wps:spPr bwMode="auto">
                            <a:xfrm>
                              <a:off x="1528445" y="1521460"/>
                              <a:ext cx="10795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0" name="Oval 12"/>
                          <wps:cNvSpPr>
                            <a:spLocks noChangeArrowheads="1"/>
                          </wps:cNvSpPr>
                          <wps:spPr bwMode="auto">
                            <a:xfrm>
                              <a:off x="1920240" y="1682115"/>
                              <a:ext cx="106680" cy="13525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1" name="Oval 13"/>
                          <wps:cNvSpPr>
                            <a:spLocks noChangeArrowheads="1"/>
                          </wps:cNvSpPr>
                          <wps:spPr bwMode="auto">
                            <a:xfrm>
                              <a:off x="1526540" y="1957070"/>
                              <a:ext cx="106680" cy="13462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2" name="Oval 14"/>
                          <wps:cNvSpPr>
                            <a:spLocks noChangeArrowheads="1"/>
                          </wps:cNvSpPr>
                          <wps:spPr bwMode="auto">
                            <a:xfrm>
                              <a:off x="1911985" y="2122805"/>
                              <a:ext cx="10795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3" name="Oval 15"/>
                          <wps:cNvSpPr>
                            <a:spLocks noChangeArrowheads="1"/>
                          </wps:cNvSpPr>
                          <wps:spPr bwMode="auto">
                            <a:xfrm>
                              <a:off x="1533525" y="2861310"/>
                              <a:ext cx="106680"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4" name="Oval 16"/>
                          <wps:cNvSpPr>
                            <a:spLocks noChangeArrowheads="1"/>
                          </wps:cNvSpPr>
                          <wps:spPr bwMode="auto">
                            <a:xfrm>
                              <a:off x="1534160" y="3268980"/>
                              <a:ext cx="107315"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5" name="Oval 17"/>
                          <wps:cNvSpPr>
                            <a:spLocks noChangeArrowheads="1"/>
                          </wps:cNvSpPr>
                          <wps:spPr bwMode="auto">
                            <a:xfrm>
                              <a:off x="1525905" y="2433320"/>
                              <a:ext cx="107315"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5" name="Oval 18"/>
                          <wps:cNvSpPr>
                            <a:spLocks noChangeArrowheads="1"/>
                          </wps:cNvSpPr>
                          <wps:spPr bwMode="auto">
                            <a:xfrm>
                              <a:off x="1920240" y="2597150"/>
                              <a:ext cx="10668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6" name="Oval 19"/>
                          <wps:cNvSpPr>
                            <a:spLocks noChangeArrowheads="1"/>
                          </wps:cNvSpPr>
                          <wps:spPr bwMode="auto">
                            <a:xfrm>
                              <a:off x="1920240" y="3032760"/>
                              <a:ext cx="106680" cy="1339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7" name="Oval 20"/>
                          <wps:cNvSpPr>
                            <a:spLocks noChangeArrowheads="1"/>
                          </wps:cNvSpPr>
                          <wps:spPr bwMode="auto">
                            <a:xfrm>
                              <a:off x="1920875" y="3434715"/>
                              <a:ext cx="106680" cy="13335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8" name="Text Box 21"/>
                          <wps:cNvSpPr txBox="1">
                            <a:spLocks noChangeArrowheads="1"/>
                          </wps:cNvSpPr>
                          <wps:spPr bwMode="auto">
                            <a:xfrm>
                              <a:off x="1460500" y="3365500"/>
                              <a:ext cx="26543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2E62C5" w14:textId="77777777" w:rsidR="00CB53E4" w:rsidRPr="00BE1627" w:rsidRDefault="00CB53E4" w:rsidP="0031675F">
                                <w:pPr>
                                  <w:jc w:val="center"/>
                                  <w:rPr>
                                    <w:b/>
                                    <w:sz w:val="16"/>
                                    <w:szCs w:val="16"/>
                                  </w:rPr>
                                </w:pPr>
                                <w:r w:rsidRPr="00BE1627">
                                  <w:rPr>
                                    <w:b/>
                                    <w:sz w:val="16"/>
                                    <w:szCs w:val="16"/>
                                  </w:rPr>
                                  <w:t>1</w:t>
                                </w:r>
                                <w:r>
                                  <w:rPr>
                                    <w:b/>
                                    <w:noProof/>
                                    <w:sz w:val="16"/>
                                    <w:szCs w:val="16"/>
                                    <w:lang w:eastAsia="en-AU"/>
                                  </w:rPr>
                                  <w:drawing>
                                    <wp:inline distT="0" distB="0" distL="0" distR="0" wp14:anchorId="070F8B97" wp14:editId="5D01AB66">
                                      <wp:extent cx="39370" cy="45085"/>
                                      <wp:effectExtent l="0" t="0" r="0" b="0"/>
                                      <wp:docPr id="232" name="Picture 232" descr="Rectangular box." title="Design fe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1"/>
                                              <a:srcRect/>
                                              <a:stretch>
                                                <a:fillRect/>
                                              </a:stretch>
                                            </pic:blipFill>
                                            <pic:spPr bwMode="auto">
                                              <a:xfrm>
                                                <a:off x="0" y="0"/>
                                                <a:ext cx="39370" cy="4508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wps:wsp>
                          <wps:cNvPr id="169" name="Text Box 22"/>
                          <wps:cNvSpPr txBox="1">
                            <a:spLocks noChangeArrowheads="1"/>
                          </wps:cNvSpPr>
                          <wps:spPr bwMode="auto">
                            <a:xfrm>
                              <a:off x="1849120" y="3430270"/>
                              <a:ext cx="303530" cy="386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ADB2E8" w14:textId="77777777" w:rsidR="00CB53E4" w:rsidRPr="0058196D" w:rsidRDefault="00CB53E4" w:rsidP="0031675F">
                                <w:pPr>
                                  <w:rPr>
                                    <w:b/>
                                    <w:sz w:val="16"/>
                                    <w:szCs w:val="16"/>
                                  </w:rPr>
                                </w:pPr>
                                <w:r w:rsidRPr="0058196D">
                                  <w:rPr>
                                    <w:b/>
                                    <w:sz w:val="16"/>
                                    <w:szCs w:val="16"/>
                                  </w:rPr>
                                  <w:t>2</w:t>
                                </w:r>
                              </w:p>
                            </w:txbxContent>
                          </wps:txbx>
                          <wps:bodyPr rot="0" vert="horz" wrap="square" lIns="91440" tIns="45720" rIns="91440" bIns="45720" anchor="t" anchorCtr="0" upright="1">
                            <a:noAutofit/>
                          </wps:bodyPr>
                        </wps:wsp>
                        <wps:wsp>
                          <wps:cNvPr id="170" name="Text Box 23"/>
                          <wps:cNvSpPr txBox="1">
                            <a:spLocks noChangeArrowheads="1"/>
                          </wps:cNvSpPr>
                          <wps:spPr bwMode="auto">
                            <a:xfrm>
                              <a:off x="1840230" y="3032760"/>
                              <a:ext cx="204470" cy="387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C4862D" w14:textId="77777777" w:rsidR="00CB53E4" w:rsidRPr="00087FBD" w:rsidRDefault="00CB53E4" w:rsidP="0031675F">
                                <w:pPr>
                                  <w:rPr>
                                    <w:b/>
                                    <w:sz w:val="16"/>
                                    <w:szCs w:val="16"/>
                                  </w:rPr>
                                </w:pPr>
                                <w:r>
                                  <w:rPr>
                                    <w:b/>
                                    <w:sz w:val="16"/>
                                    <w:szCs w:val="16"/>
                                  </w:rPr>
                                  <w:t>4</w:t>
                                </w:r>
                              </w:p>
                            </w:txbxContent>
                          </wps:txbx>
                          <wps:bodyPr rot="0" vert="horz" wrap="square" lIns="91440" tIns="45720" rIns="91440" bIns="45720" anchor="t" anchorCtr="0" upright="1">
                            <a:noAutofit/>
                          </wps:bodyPr>
                        </wps:wsp>
                        <wps:wsp>
                          <wps:cNvPr id="171" name="Text Box 24"/>
                          <wps:cNvSpPr txBox="1">
                            <a:spLocks noChangeArrowheads="1"/>
                          </wps:cNvSpPr>
                          <wps:spPr bwMode="auto">
                            <a:xfrm>
                              <a:off x="1453515" y="2922270"/>
                              <a:ext cx="326390" cy="391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F6D2E" w14:textId="77777777" w:rsidR="00CB53E4" w:rsidRPr="00087FBD" w:rsidRDefault="00CB53E4" w:rsidP="0031675F">
                                <w:pPr>
                                  <w:rPr>
                                    <w:b/>
                                    <w:sz w:val="16"/>
                                    <w:szCs w:val="16"/>
                                  </w:rPr>
                                </w:pPr>
                                <w:r>
                                  <w:rPr>
                                    <w:b/>
                                    <w:sz w:val="16"/>
                                    <w:szCs w:val="16"/>
                                  </w:rPr>
                                  <w:t>3</w:t>
                                </w:r>
                              </w:p>
                            </w:txbxContent>
                          </wps:txbx>
                          <wps:bodyPr rot="0" vert="horz" wrap="square" lIns="91440" tIns="45720" rIns="91440" bIns="45720" anchor="t" anchorCtr="0" upright="1">
                            <a:noAutofit/>
                          </wps:bodyPr>
                        </wps:wsp>
                        <wps:wsp>
                          <wps:cNvPr id="172" name="Text Box 25"/>
                          <wps:cNvSpPr txBox="1">
                            <a:spLocks noChangeArrowheads="1"/>
                          </wps:cNvSpPr>
                          <wps:spPr bwMode="auto">
                            <a:xfrm>
                              <a:off x="1839595" y="2567305"/>
                              <a:ext cx="295910"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1856E4" w14:textId="77777777" w:rsidR="00CB53E4" w:rsidRPr="00087FBD" w:rsidRDefault="00CB53E4" w:rsidP="0031675F">
                                <w:pPr>
                                  <w:rPr>
                                    <w:b/>
                                    <w:sz w:val="16"/>
                                    <w:szCs w:val="16"/>
                                  </w:rPr>
                                </w:pPr>
                                <w:r>
                                  <w:rPr>
                                    <w:b/>
                                    <w:sz w:val="16"/>
                                    <w:szCs w:val="16"/>
                                  </w:rPr>
                                  <w:t>6</w:t>
                                </w:r>
                              </w:p>
                            </w:txbxContent>
                          </wps:txbx>
                          <wps:bodyPr rot="0" vert="horz" wrap="square" lIns="91440" tIns="45720" rIns="91440" bIns="45720" anchor="t" anchorCtr="0" upright="1">
                            <a:noAutofit/>
                          </wps:bodyPr>
                        </wps:wsp>
                        <wps:wsp>
                          <wps:cNvPr id="173" name="Text Box 26"/>
                          <wps:cNvSpPr txBox="1">
                            <a:spLocks noChangeArrowheads="1"/>
                          </wps:cNvSpPr>
                          <wps:spPr bwMode="auto">
                            <a:xfrm>
                              <a:off x="1444625" y="2521585"/>
                              <a:ext cx="335280" cy="398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A8C913" w14:textId="77777777" w:rsidR="00CB53E4" w:rsidRPr="00087FBD" w:rsidRDefault="00CB53E4" w:rsidP="0031675F">
                                <w:pPr>
                                  <w:rPr>
                                    <w:b/>
                                    <w:sz w:val="16"/>
                                    <w:szCs w:val="16"/>
                                  </w:rPr>
                                </w:pPr>
                                <w:r>
                                  <w:rPr>
                                    <w:b/>
                                    <w:sz w:val="16"/>
                                    <w:szCs w:val="16"/>
                                  </w:rPr>
                                  <w:t>5</w:t>
                                </w:r>
                              </w:p>
                            </w:txbxContent>
                          </wps:txbx>
                          <wps:bodyPr rot="0" vert="horz" wrap="square" lIns="91440" tIns="45720" rIns="91440" bIns="45720" anchor="t" anchorCtr="0" upright="1">
                            <a:noAutofit/>
                          </wps:bodyPr>
                        </wps:wsp>
                        <wps:wsp>
                          <wps:cNvPr id="174" name="Text Box 27"/>
                          <wps:cNvSpPr txBox="1">
                            <a:spLocks noChangeArrowheads="1"/>
                          </wps:cNvSpPr>
                          <wps:spPr bwMode="auto">
                            <a:xfrm>
                              <a:off x="1824990" y="2111376"/>
                              <a:ext cx="259080" cy="3848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69C0AA" w14:textId="77777777" w:rsidR="00CB53E4" w:rsidRPr="00087FBD" w:rsidRDefault="00CB53E4" w:rsidP="0031675F">
                                <w:pPr>
                                  <w:rPr>
                                    <w:b/>
                                    <w:sz w:val="16"/>
                                    <w:szCs w:val="16"/>
                                  </w:rPr>
                                </w:pPr>
                                <w:r>
                                  <w:rPr>
                                    <w:b/>
                                    <w:sz w:val="16"/>
                                    <w:szCs w:val="16"/>
                                  </w:rPr>
                                  <w:t>8</w:t>
                                </w:r>
                              </w:p>
                            </w:txbxContent>
                          </wps:txbx>
                          <wps:bodyPr rot="0" vert="horz" wrap="square" lIns="91440" tIns="45720" rIns="91440" bIns="45720" anchor="t" anchorCtr="0" upright="1">
                            <a:noAutofit/>
                          </wps:bodyPr>
                        </wps:wsp>
                        <wps:wsp>
                          <wps:cNvPr id="175" name="Text Box 28"/>
                          <wps:cNvSpPr txBox="1">
                            <a:spLocks noChangeArrowheads="1"/>
                          </wps:cNvSpPr>
                          <wps:spPr bwMode="auto">
                            <a:xfrm>
                              <a:off x="1444625" y="1957070"/>
                              <a:ext cx="273050" cy="363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44079F" w14:textId="77777777" w:rsidR="00CB53E4" w:rsidRPr="00087FBD" w:rsidRDefault="00CB53E4" w:rsidP="0031675F">
                                <w:pPr>
                                  <w:rPr>
                                    <w:b/>
                                    <w:sz w:val="16"/>
                                    <w:szCs w:val="16"/>
                                  </w:rPr>
                                </w:pPr>
                                <w:r>
                                  <w:rPr>
                                    <w:b/>
                                    <w:sz w:val="16"/>
                                    <w:szCs w:val="16"/>
                                  </w:rPr>
                                  <w:t>7</w:t>
                                </w:r>
                              </w:p>
                            </w:txbxContent>
                          </wps:txbx>
                          <wps:bodyPr rot="0" vert="horz" wrap="square" lIns="91440" tIns="45720" rIns="91440" bIns="45720" anchor="t" anchorCtr="0" upright="1">
                            <a:noAutofit/>
                          </wps:bodyPr>
                        </wps:wsp>
                        <wps:wsp>
                          <wps:cNvPr id="176" name="Text Box 29"/>
                          <wps:cNvSpPr txBox="1">
                            <a:spLocks noChangeArrowheads="1"/>
                          </wps:cNvSpPr>
                          <wps:spPr bwMode="auto">
                            <a:xfrm>
                              <a:off x="1803400" y="1655446"/>
                              <a:ext cx="349250" cy="455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045147" w14:textId="77777777" w:rsidR="00CB53E4" w:rsidRPr="00087FBD" w:rsidRDefault="00CB53E4" w:rsidP="0031675F">
                                <w:pPr>
                                  <w:rPr>
                                    <w:b/>
                                    <w:sz w:val="16"/>
                                    <w:szCs w:val="16"/>
                                  </w:rPr>
                                </w:pPr>
                                <w:r>
                                  <w:rPr>
                                    <w:b/>
                                    <w:sz w:val="16"/>
                                    <w:szCs w:val="16"/>
                                  </w:rPr>
                                  <w:t>10</w:t>
                                </w:r>
                              </w:p>
                            </w:txbxContent>
                          </wps:txbx>
                          <wps:bodyPr rot="0" vert="horz" wrap="square" lIns="91440" tIns="45720" rIns="91440" bIns="45720" anchor="t" anchorCtr="0" upright="1">
                            <a:noAutofit/>
                          </wps:bodyPr>
                        </wps:wsp>
                        <wps:wsp>
                          <wps:cNvPr id="177" name="Text Box 30"/>
                          <wps:cNvSpPr txBox="1">
                            <a:spLocks noChangeArrowheads="1"/>
                          </wps:cNvSpPr>
                          <wps:spPr bwMode="auto">
                            <a:xfrm>
                              <a:off x="1457960" y="1543050"/>
                              <a:ext cx="410210" cy="370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7E07CA" w14:textId="77777777" w:rsidR="00CB53E4" w:rsidRPr="00087FBD" w:rsidRDefault="00CB53E4" w:rsidP="0031675F">
                                <w:pPr>
                                  <w:rPr>
                                    <w:b/>
                                    <w:sz w:val="16"/>
                                    <w:szCs w:val="16"/>
                                  </w:rPr>
                                </w:pPr>
                                <w:r>
                                  <w:rPr>
                                    <w:b/>
                                    <w:sz w:val="16"/>
                                    <w:szCs w:val="16"/>
                                  </w:rPr>
                                  <w:t>9</w:t>
                                </w:r>
                              </w:p>
                            </w:txbxContent>
                          </wps:txbx>
                          <wps:bodyPr rot="0" vert="horz" wrap="square" lIns="91440" tIns="45720" rIns="91440" bIns="45720" anchor="t" anchorCtr="0" upright="1">
                            <a:noAutofit/>
                          </wps:bodyPr>
                        </wps:wsp>
                        <wps:wsp>
                          <wps:cNvPr id="178" name="Line 31"/>
                          <wps:cNvCnPr/>
                          <wps:spPr bwMode="auto">
                            <a:xfrm flipH="1">
                              <a:off x="2973070" y="3553460"/>
                              <a:ext cx="167957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9" name="Line 32"/>
                          <wps:cNvCnPr/>
                          <wps:spPr bwMode="auto">
                            <a:xfrm flipH="1">
                              <a:off x="2964180" y="3077845"/>
                              <a:ext cx="167894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0" name="Line 33"/>
                          <wps:cNvCnPr/>
                          <wps:spPr bwMode="auto">
                            <a:xfrm flipH="1">
                              <a:off x="2317750" y="3078480"/>
                              <a:ext cx="65278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1" name="Line 34"/>
                          <wps:cNvCnPr/>
                          <wps:spPr bwMode="auto">
                            <a:xfrm flipH="1">
                              <a:off x="2968625" y="2658745"/>
                              <a:ext cx="167957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2" name="AutoShape 35"/>
                          <wps:cNvSpPr>
                            <a:spLocks/>
                          </wps:cNvSpPr>
                          <wps:spPr bwMode="auto">
                            <a:xfrm>
                              <a:off x="2044700" y="3121025"/>
                              <a:ext cx="221615" cy="366395"/>
                            </a:xfrm>
                            <a:prstGeom prst="rightBracket">
                              <a:avLst>
                                <a:gd name="adj" fmla="val 1377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 name="Line 36"/>
                          <wps:cNvCnPr/>
                          <wps:spPr bwMode="auto">
                            <a:xfrm flipV="1">
                              <a:off x="2266315" y="3237230"/>
                              <a:ext cx="0" cy="914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4" name="Line 37"/>
                          <wps:cNvCnPr/>
                          <wps:spPr bwMode="auto">
                            <a:xfrm flipH="1">
                              <a:off x="2323465" y="355155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5" name="Line 38"/>
                          <wps:cNvCnPr/>
                          <wps:spPr bwMode="auto">
                            <a:xfrm flipH="1">
                              <a:off x="2315845" y="266255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6" name="Line 39"/>
                          <wps:cNvCnPr/>
                          <wps:spPr bwMode="auto">
                            <a:xfrm flipH="1">
                              <a:off x="2330450" y="2216785"/>
                              <a:ext cx="65278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Line 40"/>
                          <wps:cNvCnPr/>
                          <wps:spPr bwMode="auto">
                            <a:xfrm flipH="1" flipV="1">
                              <a:off x="1125220" y="2720340"/>
                              <a:ext cx="79883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 name="Line 41"/>
                          <wps:cNvCnPr/>
                          <wps:spPr bwMode="auto">
                            <a:xfrm flipH="1">
                              <a:off x="1141095" y="3370580"/>
                              <a:ext cx="3803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9" name="AutoShape 42"/>
                          <wps:cNvSpPr>
                            <a:spLocks/>
                          </wps:cNvSpPr>
                          <wps:spPr bwMode="auto">
                            <a:xfrm>
                              <a:off x="1042035" y="2720340"/>
                              <a:ext cx="106680" cy="650240"/>
                            </a:xfrm>
                            <a:prstGeom prst="leftBracket">
                              <a:avLst>
                                <a:gd name="adj" fmla="val 5079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Line 43"/>
                          <wps:cNvCnPr/>
                          <wps:spPr bwMode="auto">
                            <a:xfrm flipH="1">
                              <a:off x="1156970" y="3370580"/>
                              <a:ext cx="98425"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1" name="Line 44"/>
                          <wps:cNvCnPr/>
                          <wps:spPr bwMode="auto">
                            <a:xfrm>
                              <a:off x="1223645" y="2712085"/>
                              <a:ext cx="106045"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 name="Oval 45"/>
                          <wps:cNvSpPr>
                            <a:spLocks noChangeArrowheads="1"/>
                          </wps:cNvSpPr>
                          <wps:spPr bwMode="auto">
                            <a:xfrm>
                              <a:off x="1042035" y="3078480"/>
                              <a:ext cx="138430" cy="1181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3" name="Oval 46"/>
                          <wps:cNvSpPr>
                            <a:spLocks noChangeArrowheads="1"/>
                          </wps:cNvSpPr>
                          <wps:spPr bwMode="auto">
                            <a:xfrm>
                              <a:off x="1040130" y="3009265"/>
                              <a:ext cx="137795"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4" name="Oval 47"/>
                          <wps:cNvSpPr>
                            <a:spLocks noChangeArrowheads="1"/>
                          </wps:cNvSpPr>
                          <wps:spPr bwMode="auto">
                            <a:xfrm>
                              <a:off x="1038860" y="2941955"/>
                              <a:ext cx="13843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5" name="AutoShape 48"/>
                          <wps:cNvSpPr>
                            <a:spLocks/>
                          </wps:cNvSpPr>
                          <wps:spPr bwMode="auto">
                            <a:xfrm>
                              <a:off x="1421765" y="2479040"/>
                              <a:ext cx="106680" cy="441325"/>
                            </a:xfrm>
                            <a:prstGeom prst="leftBracket">
                              <a:avLst>
                                <a:gd name="adj" fmla="val 3447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 name="Line 49"/>
                          <wps:cNvCnPr/>
                          <wps:spPr bwMode="auto">
                            <a:xfrm flipV="1">
                              <a:off x="1422400" y="2545080"/>
                              <a:ext cx="0" cy="1174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7" name="AutoShape 50"/>
                          <wps:cNvSpPr>
                            <a:spLocks/>
                          </wps:cNvSpPr>
                          <wps:spPr bwMode="auto">
                            <a:xfrm>
                              <a:off x="1004570" y="1544955"/>
                              <a:ext cx="516890" cy="483235"/>
                            </a:xfrm>
                            <a:prstGeom prst="leftBracket">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 name="Oval 51"/>
                          <wps:cNvSpPr>
                            <a:spLocks noChangeArrowheads="1"/>
                          </wps:cNvSpPr>
                          <wps:spPr bwMode="auto">
                            <a:xfrm>
                              <a:off x="1006475" y="1781175"/>
                              <a:ext cx="137795" cy="1168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9" name="Oval 52"/>
                          <wps:cNvSpPr>
                            <a:spLocks noChangeArrowheads="1"/>
                          </wps:cNvSpPr>
                          <wps:spPr bwMode="auto">
                            <a:xfrm>
                              <a:off x="1004570" y="1720215"/>
                              <a:ext cx="13716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0" name="Oval 53"/>
                          <wps:cNvSpPr>
                            <a:spLocks noChangeArrowheads="1"/>
                          </wps:cNvSpPr>
                          <wps:spPr bwMode="auto">
                            <a:xfrm>
                              <a:off x="1008380" y="1642745"/>
                              <a:ext cx="138430" cy="11747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1" name="Line 54"/>
                          <wps:cNvCnPr/>
                          <wps:spPr bwMode="auto">
                            <a:xfrm flipH="1">
                              <a:off x="1148080" y="2017395"/>
                              <a:ext cx="9779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 name="Line 55"/>
                          <wps:cNvCnPr/>
                          <wps:spPr bwMode="auto">
                            <a:xfrm>
                              <a:off x="1227455" y="1543050"/>
                              <a:ext cx="10604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3" name="Line 56"/>
                          <wps:cNvCnPr/>
                          <wps:spPr bwMode="auto">
                            <a:xfrm flipV="1">
                              <a:off x="1581785" y="978535"/>
                              <a:ext cx="0" cy="533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 name="Line 57"/>
                          <wps:cNvCnPr/>
                          <wps:spPr bwMode="auto">
                            <a:xfrm flipH="1">
                              <a:off x="1140460" y="978535"/>
                              <a:ext cx="44831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 name="Line 58"/>
                          <wps:cNvCnPr/>
                          <wps:spPr bwMode="auto">
                            <a:xfrm flipV="1">
                              <a:off x="1580515" y="1110615"/>
                              <a:ext cx="635" cy="1162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 name="Line 59"/>
                          <wps:cNvCnPr/>
                          <wps:spPr bwMode="auto">
                            <a:xfrm flipH="1">
                              <a:off x="1268730" y="984250"/>
                              <a:ext cx="9779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7" name="Rectangle 60"/>
                          <wps:cNvSpPr>
                            <a:spLocks noChangeArrowheads="1"/>
                          </wps:cNvSpPr>
                          <wps:spPr bwMode="auto">
                            <a:xfrm>
                              <a:off x="935990" y="862330"/>
                              <a:ext cx="205105" cy="241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8" name="Line 61"/>
                          <wps:cNvCnPr/>
                          <wps:spPr bwMode="auto">
                            <a:xfrm flipV="1">
                              <a:off x="1597025" y="1770380"/>
                              <a:ext cx="334010" cy="14916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9" name="Line 62"/>
                          <wps:cNvCnPr/>
                          <wps:spPr bwMode="auto">
                            <a:xfrm flipV="1">
                              <a:off x="1779905" y="2295525"/>
                              <a:ext cx="29845" cy="1581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Line 63"/>
                          <wps:cNvCnPr/>
                          <wps:spPr bwMode="auto">
                            <a:xfrm flipH="1">
                              <a:off x="479425" y="978535"/>
                              <a:ext cx="4489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1" name="Line 64"/>
                          <wps:cNvCnPr/>
                          <wps:spPr bwMode="auto">
                            <a:xfrm flipH="1">
                              <a:off x="620395" y="982345"/>
                              <a:ext cx="98425"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 name="Oval 65"/>
                          <wps:cNvSpPr>
                            <a:spLocks noChangeArrowheads="1"/>
                          </wps:cNvSpPr>
                          <wps:spPr bwMode="auto">
                            <a:xfrm>
                              <a:off x="205740" y="878205"/>
                              <a:ext cx="258445" cy="20066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3" name="Text Box 66"/>
                          <wps:cNvSpPr txBox="1">
                            <a:spLocks noChangeArrowheads="1"/>
                          </wps:cNvSpPr>
                          <wps:spPr bwMode="auto">
                            <a:xfrm>
                              <a:off x="88900" y="390525"/>
                              <a:ext cx="874395" cy="666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16B9CC" w14:textId="77777777" w:rsidR="00CB53E4" w:rsidRDefault="00CB53E4" w:rsidP="0031675F">
                                <w:pPr>
                                  <w:rPr>
                                    <w:b/>
                                    <w:sz w:val="16"/>
                                    <w:szCs w:val="16"/>
                                  </w:rPr>
                                </w:pPr>
                                <w:r>
                                  <w:rPr>
                                    <w:b/>
                                    <w:sz w:val="16"/>
                                    <w:szCs w:val="16"/>
                                  </w:rPr>
                                  <w:t>540 nm Detector</w:t>
                                </w:r>
                              </w:p>
                              <w:p w14:paraId="50E297CE" w14:textId="77777777" w:rsidR="00CB53E4" w:rsidRPr="004539E3" w:rsidRDefault="00CB53E4" w:rsidP="0031675F">
                                <w:pPr>
                                  <w:rPr>
                                    <w:b/>
                                    <w:sz w:val="16"/>
                                    <w:szCs w:val="16"/>
                                  </w:rPr>
                                </w:pPr>
                              </w:p>
                            </w:txbxContent>
                          </wps:txbx>
                          <wps:bodyPr rot="0" vert="horz" wrap="square" lIns="91440" tIns="45720" rIns="91440" bIns="45720" anchor="t" anchorCtr="0" upright="1">
                            <a:noAutofit/>
                          </wps:bodyPr>
                        </wps:wsp>
                        <wps:wsp>
                          <wps:cNvPr id="214" name="Line 67"/>
                          <wps:cNvCnPr/>
                          <wps:spPr bwMode="auto">
                            <a:xfrm>
                              <a:off x="335915" y="1069975"/>
                              <a:ext cx="0" cy="400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 name="Line 68"/>
                          <wps:cNvCnPr/>
                          <wps:spPr bwMode="auto">
                            <a:xfrm>
                              <a:off x="335915" y="1162050"/>
                              <a:ext cx="0" cy="1416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Rectangle 69"/>
                          <wps:cNvSpPr>
                            <a:spLocks noChangeArrowheads="1"/>
                          </wps:cNvSpPr>
                          <wps:spPr bwMode="auto">
                            <a:xfrm>
                              <a:off x="183515" y="1495425"/>
                              <a:ext cx="311785" cy="3409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7" name="Text Box 70"/>
                          <wps:cNvSpPr txBox="1">
                            <a:spLocks noChangeArrowheads="1"/>
                          </wps:cNvSpPr>
                          <wps:spPr bwMode="auto">
                            <a:xfrm>
                              <a:off x="121285" y="1837689"/>
                              <a:ext cx="722630" cy="483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56DC01" w14:textId="77777777" w:rsidR="00CB53E4" w:rsidRPr="00C1444C" w:rsidRDefault="00CB53E4" w:rsidP="0031675F">
                                <w:pPr>
                                  <w:rPr>
                                    <w:b/>
                                    <w:sz w:val="16"/>
                                    <w:szCs w:val="16"/>
                                  </w:rPr>
                                </w:pPr>
                                <w:r>
                                  <w:rPr>
                                    <w:b/>
                                    <w:sz w:val="16"/>
                                    <w:szCs w:val="16"/>
                                  </w:rPr>
                                  <w:t>Waste</w:t>
                                </w:r>
                              </w:p>
                            </w:txbxContent>
                          </wps:txbx>
                          <wps:bodyPr rot="0" vert="horz" wrap="square" lIns="91440" tIns="45720" rIns="91440" bIns="45720" anchor="t" anchorCtr="0" upright="1">
                            <a:noAutofit/>
                          </wps:bodyPr>
                        </wps:wsp>
                        <wps:wsp>
                          <wps:cNvPr id="218" name="Text Box 71" descr="Outline of flowchart." title="TN Manifold – Nitrogen Total Alkaline Persulfate"/>
                          <wps:cNvSpPr txBox="1">
                            <a:spLocks noChangeArrowheads="1"/>
                          </wps:cNvSpPr>
                          <wps:spPr bwMode="auto">
                            <a:xfrm>
                              <a:off x="2752725" y="534035"/>
                              <a:ext cx="1725930" cy="608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54D738" w14:textId="77777777" w:rsidR="00CB53E4" w:rsidRPr="00601075" w:rsidRDefault="00CB53E4" w:rsidP="0031675F">
                                <w:pPr>
                                  <w:rPr>
                                    <w:b/>
                                    <w:sz w:val="20"/>
                                  </w:rPr>
                                </w:pPr>
                                <w:r>
                                  <w:rPr>
                                    <w:b/>
                                    <w:sz w:val="20"/>
                                  </w:rPr>
                                  <w:t>TN Manifold – Nitrogen Total Alkaline Persulfate</w:t>
                                </w:r>
                              </w:p>
                            </w:txbxContent>
                          </wps:txbx>
                          <wps:bodyPr rot="0" vert="horz" wrap="square" lIns="91440" tIns="45720" rIns="91440" bIns="45720" anchor="t" anchorCtr="0" upright="1">
                            <a:noAutofit/>
                          </wps:bodyPr>
                        </wps:wsp>
                      </wpg:wgp>
                    </wpc:wpc>
                  </a:graphicData>
                </a:graphic>
              </wp:inline>
            </w:drawing>
          </mc:Choice>
          <mc:Fallback>
            <w:pict>
              <v:group w14:anchorId="34E84254" id="Canvas 2" o:spid="_x0000_s1764" editas="canvas" alt="Title: TN Manifold – Nitrogen Total Alkaline Persulfate - Description: Outline of flowchart." style="width:470.8pt;height:369.75pt;mso-position-horizontal-relative:char;mso-position-vertical-relative:line" coordsize="59791,46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">
                <v:shape id="_x0000_s1765" type="#_x0000_t75" alt="Outline of flowchart." style="position:absolute;width:59791;height:46958;visibility:visible;mso-wrap-style:square">
                  <v:fill o:detectmouseclick="t"/>
                  <v:path o:connecttype="none"/>
                </v:shape>
                <v:group id="Group 115" o:spid="_x0000_s1766" style="position:absolute;left:889;top:3905;width:50495;height:34264" coordorigin="889,3905" coordsize="50495,342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mqvGcEAAADcAAAADwAAAGRycy9kb3ducmV2LnhtbERPTYvCMBC9L/gfwgje&#10;1rSKy1KNIqLiQYTVBfE2NGNbbCaliW3990YQvM3jfc5s0ZlSNFS7wrKCeBiBIE6tLjhT8H/afP+C&#10;cB5ZY2mZFDzIwWLe+5phom3Lf9QcfSZCCLsEFeTeV4mULs3JoBvaijhwV1sb9AHWmdQ1tiHclHIU&#10;RT/SYMGhIceKVjmlt+PdKNi22C7H8brZ366rx+U0OZz3MSk16HfLKQhPnf+I3+6dDvPjC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3mqvGcEAAADcAAAADwAA&#10;AAAAAAAAAAAAAACqAgAAZHJzL2Rvd25yZXYueG1sUEsFBgAAAAAEAAQA+gAAAJgDAAAAAA==&#10;">
                  <v:shape id="Text Box 4" o:spid="_x0000_s1767" type="#_x0000_t202" style="position:absolute;left:7207;top:5391;width:14560;height:5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SdzMIA&#10;AADcAAAADwAAAGRycy9kb3ducmV2LnhtbERPTWvCQBC9C/6HZYTezK4SpaZZpbQUerJoW6G3ITsm&#10;wexsyG6T9N93BcHbPN7n5LvRNqKnzteONSwSBYK4cKbmUsPX59v8EYQPyAYbx6ThjzzsttNJjplx&#10;Ax+oP4ZSxBD2GWqoQmgzKX1RkUWfuJY4cmfXWQwRdqU0HQ4x3DZyqdRaWqw5NlTY0ktFxeX4azV8&#10;788/p1R9lK921Q5uVJLtRmr9MBufn0AEGsNdfHO/mzg/XcL1mXi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pJ3MwgAAANwAAAAPAAAAAAAAAAAAAAAAAJgCAABkcnMvZG93&#10;bnJldi54bWxQSwUGAAAAAAQABAD1AAAAhwMAAAAA&#10;" filled="f" stroked="f">
                    <v:textbox>
                      <w:txbxContent>
                        <w:p w14:paraId="50F43545" w14:textId="77777777" w:rsidR="00CB53E4" w:rsidRPr="000E3507" w:rsidRDefault="00CB53E4" w:rsidP="0031675F">
                          <w:pPr>
                            <w:rPr>
                              <w:b/>
                              <w:sz w:val="16"/>
                              <w:szCs w:val="16"/>
                            </w:rPr>
                          </w:pPr>
                          <w:r>
                            <w:rPr>
                              <w:b/>
                              <w:sz w:val="16"/>
                              <w:szCs w:val="16"/>
                            </w:rPr>
                            <w:t>Debubbler</w:t>
                          </w:r>
                        </w:p>
                      </w:txbxContent>
                    </v:textbox>
                  </v:shape>
                  <v:shape id="Text Box 5" o:spid="_x0000_s1768" type="#_x0000_t202" style="position:absolute;left:37865;top:18249;width:12350;height:74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g4V8EA&#10;AADcAAAADwAAAGRycy9kb3ducmV2LnhtbERPTWvCQBC9C/0PyxS86W6rlTa6SqkInizGKvQ2ZMck&#10;mJ0N2dXEf+8Kgrd5vM+ZLTpbiQs1vnSs4W2oQBBnzpSca/jbrQafIHxANlg5Jg1X8rCYv/RmmBjX&#10;8pYuachFDGGfoIYihDqR0mcFWfRDVxNH7ugaiyHCJpemwTaG20q+KzWRFkuODQXW9FNQdkrPVsN+&#10;c/w/jNVvvrQfdes6Jdl+Sa37r933FESgLjzFD/faxPnjEdyfiRfI+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oOFfBAAAA3AAAAA8AAAAAAAAAAAAAAAAAmAIAAGRycy9kb3du&#10;cmV2LnhtbFBLBQYAAAAABAAEAPUAAACGAwAAAAA=&#10;" filled="f" stroked="f">
                    <v:textbox>
                      <w:txbxContent>
                        <w:p w14:paraId="4C01C747" w14:textId="13577E4E" w:rsidR="00CB53E4" w:rsidRPr="00E14FE5" w:rsidRDefault="00CB53E4" w:rsidP="0031675F">
                          <w:pPr>
                            <w:rPr>
                              <w:b/>
                              <w:sz w:val="16"/>
                              <w:szCs w:val="16"/>
                            </w:rPr>
                          </w:pPr>
                          <w:r>
                            <w:rPr>
                              <w:b/>
                              <w:sz w:val="16"/>
                              <w:szCs w:val="16"/>
                            </w:rPr>
                            <w:t>Colour Reagent</w:t>
                          </w:r>
                        </w:p>
                      </w:txbxContent>
                    </v:textbox>
                  </v:shape>
                  <v:shape id="Text Box 6" o:spid="_x0000_s1769" type="#_x0000_t202" style="position:absolute;left:38100;top:22955;width:8515;height:5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GgI8EA&#10;AADcAAAADwAAAGRycy9kb3ducmV2LnhtbERPTYvCMBC9L/gfwgje1sSlu2g1iqwInlbWVcHb0Ixt&#10;sZmUJtr6740g7G0e73Nmi85W4kaNLx1rGA0VCOLMmZJzDfu/9fsYhA/IBivHpOFOHhbz3tsMU+Na&#10;/qXbLuQihrBPUUMRQp1K6bOCLPqhq4kjd3aNxRBhk0vTYBvDbSU/lPqSFkuODQXW9F1QdtldrYbD&#10;z/l0TNQ2X9nPunWdkmwnUutBv1tOQQTqwr/45d6YOD9J4PlMvE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UBoCPBAAAA3AAAAA8AAAAAAAAAAAAAAAAAmAIAAGRycy9kb3du&#10;cmV2LnhtbFBLBQYAAAAABAAEAPUAAACGAwAAAAA=&#10;" filled="f" stroked="f">
                    <v:textbox>
                      <w:txbxContent>
                        <w:p w14:paraId="658BC085" w14:textId="77777777" w:rsidR="00CB53E4" w:rsidRPr="00E81A59" w:rsidRDefault="00CB53E4" w:rsidP="0031675F">
                          <w:pPr>
                            <w:rPr>
                              <w:b/>
                              <w:sz w:val="16"/>
                              <w:szCs w:val="16"/>
                            </w:rPr>
                          </w:pPr>
                          <w:r>
                            <w:rPr>
                              <w:b/>
                              <w:sz w:val="16"/>
                              <w:szCs w:val="16"/>
                            </w:rPr>
                            <w:t>Sample</w:t>
                          </w:r>
                        </w:p>
                      </w:txbxContent>
                    </v:textbox>
                  </v:shape>
                  <v:shape id="Text Box 7" o:spid="_x0000_s1770" type="#_x0000_t202" style="position:absolute;left:38100;top:27114;width:13284;height:6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0FuMIA&#10;AADcAAAADwAAAGRycy9kb3ducmV2LnhtbERPTWvCQBC9C/6HZQRvZtdipKZZpbQUPLVoW6G3ITsm&#10;wexsyG6T9N93BcHbPN7n5LvRNqKnzteONSwTBYK4cKbmUsPX59viEYQPyAYbx6ThjzzsttNJjplx&#10;Ax+oP4ZSxBD2GWqoQmgzKX1RkUWfuJY4cmfXWQwRdqU0HQ4x3DbyQam1tFhzbKiwpZeKisvx12r4&#10;fj//nFbqo3y1aTu4UUm2G6n1fDY+P4EINIa7+Obemzh/lcL1mXi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TQW4wgAAANwAAAAPAAAAAAAAAAAAAAAAAJgCAABkcnMvZG93&#10;bnJldi54bWxQSwUGAAAAAAQABAD1AAAAhwMAAAAA&#10;" filled="f" stroked="f">
                    <v:textbox>
                      <w:txbxContent>
                        <w:p w14:paraId="00D97682" w14:textId="77777777" w:rsidR="00CB53E4" w:rsidRPr="00134560" w:rsidRDefault="00CB53E4" w:rsidP="0031675F">
                          <w:pPr>
                            <w:rPr>
                              <w:b/>
                              <w:sz w:val="16"/>
                              <w:szCs w:val="16"/>
                            </w:rPr>
                          </w:pPr>
                          <w:r>
                            <w:rPr>
                              <w:b/>
                              <w:sz w:val="16"/>
                              <w:szCs w:val="16"/>
                            </w:rPr>
                            <w:t>Inert Gas (Ar)</w:t>
                          </w:r>
                        </w:p>
                      </w:txbxContent>
                    </v:textbox>
                  </v:shape>
                  <v:shape id="Text Box 8" o:spid="_x0000_s1771" type="#_x0000_t202" style="position:absolute;left:37865;top:32118;width:12547;height:39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bz8IA&#10;AADcAAAADwAAAGRycy9kb3ducmV2LnhtbERPTWvCQBC9C/6HZQRvZlexoaZZpVQKnlq0rdDbkB2T&#10;YHY2ZLdJ+u+7BcHbPN7n5LvRNqKnzteONSwTBYK4cKbmUsPnx+viEYQPyAYbx6ThlzzsttNJjplx&#10;Ax+pP4VSxBD2GWqoQmgzKX1RkUWfuJY4chfXWQwRdqU0HQ4x3DZypVQqLdYcGyps6aWi4nr6sRq+&#10;3i7f57V6L/f2oR3cqCTbjdR6Phufn0AEGsNdfHMfTJy/TuH/mXiB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n5vPwgAAANwAAAAPAAAAAAAAAAAAAAAAAJgCAABkcnMvZG93&#10;bnJldi54bWxQSwUGAAAAAAQABAD1AAAAhwMAAAAA&#10;" filled="f" stroked="f">
                    <v:textbox>
                      <w:txbxContent>
                        <w:p w14:paraId="7FEF4B62" w14:textId="77777777" w:rsidR="00CB53E4" w:rsidRPr="00B5035E" w:rsidRDefault="00CB53E4" w:rsidP="0031675F">
                          <w:pPr>
                            <w:rPr>
                              <w:b/>
                              <w:sz w:val="16"/>
                              <w:szCs w:val="16"/>
                            </w:rPr>
                          </w:pPr>
                          <w:r>
                            <w:rPr>
                              <w:b/>
                              <w:sz w:val="16"/>
                              <w:szCs w:val="16"/>
                            </w:rPr>
                            <w:t>NH</w:t>
                          </w:r>
                          <w:r w:rsidRPr="00B5035E">
                            <w:rPr>
                              <w:b/>
                              <w:sz w:val="16"/>
                              <w:szCs w:val="16"/>
                              <w:vertAlign w:val="subscript"/>
                            </w:rPr>
                            <w:t>4</w:t>
                          </w:r>
                          <w:r>
                            <w:rPr>
                              <w:b/>
                              <w:sz w:val="16"/>
                              <w:szCs w:val="16"/>
                            </w:rPr>
                            <w:t>Cl Buffer</w:t>
                          </w:r>
                        </w:p>
                      </w:txbxContent>
                    </v:textbox>
                  </v:shape>
                  <v:line id="Line 9" o:spid="_x0000_s1772" style="position:absolute;flip:x y;visibility:visible;mso-wrap-style:square" from="29610,22136" to="46177,22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QmfcMAAADcAAAADwAAAGRycy9kb3ducmV2LnhtbERPS2vCQBC+F/wPywi91Y0i1qauIoLg&#10;wYsP7HWSnWaj2dkku8b033cLQm/z8T1nseptJTpqfelYwXiUgCDOnS65UHA+bd/mIHxA1lg5JgU/&#10;5GG1HLwsMNXuwQfqjqEQMYR9igpMCHUqpc8NWfQjVxNH7tu1FkOEbSF1i48Ybis5SZKZtFhybDBY&#10;08ZQfjverYIuu4+vl/3h5rOv5iObm2azb2ZKvQ779SeIQH34Fz/dOx3nT9/h75l4gV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0Jn3DAAAA3AAAAA8AAAAAAAAAAAAA&#10;AAAAoQIAAGRycy9kb3ducmV2LnhtbFBLBQYAAAAABAAEAPkAAACRAwAAAAA=&#10;">
                    <v:stroke endarrow="block"/>
                  </v:line>
                  <v:rect id="Rectangle 10" o:spid="_x0000_s1773" style="position:absolute;left:13760;top:14281;width:8058;height:23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KVMQA&#10;AADcAAAADwAAAGRycy9kb3ducmV2LnhtbESPQW/CMAyF70j8h8hIu0EKTGh0BIRATOwI5cLNa7y2&#10;o3GqJkDZr58PSLvZes/vfV6sOlerG7Wh8mxgPEpAEefeVlwYOGW74RuoEJEt1p7JwIMCrJb93gJT&#10;6+98oNsxFkpCOKRooIyxSbUOeUkOw8g3xKJ9+9ZhlLUttG3xLuGu1pMkmWmHFUtDiQ1tSsovx6sz&#10;8FVNTvh7yD4SN99N42eX/VzPW2NeBt36HVSkLv6bn9d7K/i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zylTEAAAA3AAAAA8AAAAAAAAAAAAAAAAAmAIAAGRycy9k&#10;b3ducmV2LnhtbFBLBQYAAAAABAAEAPUAAACJAwAAAAA=&#10;"/>
                  <v:oval id="Oval 11" o:spid="_x0000_s1774" style="position:absolute;left:15284;top:15214;width:1079;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F5s8IA&#10;AADcAAAADwAAAGRycy9kb3ducmV2LnhtbERPTWvCQBC9C/0PyxR6041NDTV1FakU9OChab0P2TEJ&#10;ZmdDdhrTf98tCN7m8T5ntRldqwbqQ+PZwHyWgCIuvW24MvD99TF9BRUE2WLrmQz8UoDN+mGywtz6&#10;K3/SUEilYgiHHA3UIl2udShrchhmviOO3Nn3DiXCvtK2x2sMd61+TpJMO2w4NtTY0XtN5aX4cQZ2&#10;1bbIBp3KIj3v9rK4nI6HdG7M0+O4fQMlNMpdfHPvbZz/soT/Z+IFe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8XmzwgAAANwAAAAPAAAAAAAAAAAAAAAAAJgCAABkcnMvZG93&#10;bnJldi54bWxQSwUGAAAAAAQABAD1AAAAhwMAAAAA&#10;"/>
                  <v:oval id="Oval 12" o:spid="_x0000_s1775" style="position:absolute;left:19202;top:16821;width:1067;height:1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JG88QA&#10;AADcAAAADwAAAGRycy9kb3ducmV2LnhtbESPQUvDQBCF70L/wzIFb3ZTQ4rEbkuxCPXgwVTvQ3aa&#10;hGZnQ3ZM4793DoK3Gd6b977Z7ufQm4nG1EV2sF5lYIjr6DtuHHyeXx+ewCRB9thHJgc/lGC/W9xt&#10;sfTxxh80VdIYDeFUooNWZCitTXVLAdMqDsSqXeIYUHQdG+tHvGl46O1jlm1swI61ocWBXlqqr9V3&#10;cHBsDtVmsrkU+eV4kuL69f6Wr527X86HZzBCs/yb/65PXvELxddndAK7+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SRvPEAAAA3AAAAA8AAAAAAAAAAAAAAAAAmAIAAGRycy9k&#10;b3ducmV2LnhtbFBLBQYAAAAABAAEAPUAAACJAwAAAAA=&#10;"/>
                  <v:oval id="Oval 13" o:spid="_x0000_s1776" style="position:absolute;left:15265;top:19570;width:1067;height:1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7jaMIA&#10;AADcAAAADwAAAGRycy9kb3ducmV2LnhtbERPTUvDQBC9C/6HZQRvZpOGFIndlmIR6sGDab0P2WkS&#10;mp0N2Wma/vuuIHibx/uc1WZ2vZpoDJ1nA1mSgiKuve24MXA8fLy8ggqCbLH3TAZuFGCzfnxYYWn9&#10;lb9pqqRRMYRDiQZakaHUOtQtOQyJH4gjd/KjQ4lwbLQd8RrDXa8XabrUDjuODS0O9N5Sfa4uzsCu&#10;2VbLSedS5KfdXorzz9dnnhnz/DRv30AJzfIv/nPvbZxfZPD7TLxA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XuNowgAAANwAAAAPAAAAAAAAAAAAAAAAAJgCAABkcnMvZG93&#10;bnJldi54bWxQSwUGAAAAAAQABAD1AAAAhwMAAAAA&#10;"/>
                  <v:oval id="Oval 14" o:spid="_x0000_s1777" style="position:absolute;left:19119;top:21228;width:1080;height:1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x9H8EA&#10;AADcAAAADwAAAGRycy9kb3ducmV2LnhtbERPTWvCQBC9C/6HZYTedKMhUlJXkUpBDz00tvchOybB&#10;7GzITmP8965Q6G0e73M2u9G1aqA+NJ4NLBcJKOLS24YrA9/nj/krqCDIFlvPZOBOAXbb6WSDufU3&#10;/qKhkErFEA45GqhFulzrUNbkMCx8Rxy5i+8dSoR9pW2PtxjuWr1KkrV22HBsqLGj95rKa/HrDByq&#10;fbEedCpZejkcJbv+fJ7SpTEvs3H/BkpolH/xn/to4/xsBc9n4gV6+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2MfR/BAAAA3AAAAA8AAAAAAAAAAAAAAAAAmAIAAGRycy9kb3du&#10;cmV2LnhtbFBLBQYAAAAABAAEAPUAAACGAwAAAAA=&#10;"/>
                  <v:oval id="Oval 15" o:spid="_x0000_s1778" style="position:absolute;left:15335;top:28613;width:1067;height:1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DYhMEA&#10;AADcAAAADwAAAGRycy9kb3ducmV2LnhtbERPTWvCQBC9C/6HZQq96caGSEldRZSCPXgw2vuQHZNg&#10;djZkpzH9992C4G0e73NWm9G1aqA+NJ4NLOYJKOLS24YrA5fz5+wdVBBki61nMvBLATbr6WSFufV3&#10;PtFQSKViCIccDdQiXa51KGtyGOa+I47c1fcOJcK+0rbHewx3rX5LkqV22HBsqLGjXU3lrfhxBvbV&#10;tlgOOpUsve4Pkt2+j1/pwpjXl3H7AUpolKf44T7YOD9L4f+ZeIF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LA2ITBAAAA3AAAAA8AAAAAAAAAAAAAAAAAmAIAAGRycy9kb3du&#10;cmV2LnhtbFBLBQYAAAAABAAEAPUAAACGAwAAAAA=&#10;"/>
                  <v:oval id="Oval 16" o:spid="_x0000_s1779" style="position:absolute;left:15341;top:32689;width:1073;height:1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lA8MIA&#10;AADcAAAADwAAAGRycy9kb3ducmV2LnhtbERPTWvCQBC9C/6HZYTedGPTSEldRSoFPXhobO9DdkyC&#10;2dmQncb037sFobd5vM9Zb0fXqoH60Hg2sFwkoIhLbxuuDHydP+avoIIgW2w9k4FfCrDdTCdrzK2/&#10;8ScNhVQqhnDI0UAt0uVah7Imh2HhO+LIXXzvUCLsK217vMVw1+rnJFlphw3Hhho7eq+pvBY/zsC+&#10;2hWrQaeSpZf9QbLr9+mYLo15mo27N1BCo/yLH+6DjfOzF/h7Jl6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KUDwwgAAANwAAAAPAAAAAAAAAAAAAAAAAJgCAABkcnMvZG93&#10;bnJldi54bWxQSwUGAAAAAAQABAD1AAAAhwMAAAAA&#10;"/>
                  <v:oval id="Oval 17" o:spid="_x0000_s1780" style="position:absolute;left:15259;top:24333;width:1073;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Xla8EA&#10;AADcAAAADwAAAGRycy9kb3ducmV2LnhtbERPTWvCQBC9C/6HZQq96caGSEldRZSCPXgw2vuQHZNg&#10;djZkpzH9992C4G0e73NWm9G1aqA+NJ4NLOYJKOLS24YrA5fz5+wdVBBki61nMvBLATbr6WSFufV3&#10;PtFQSKViCIccDdQiXa51KGtyGOa+I47c1fcOJcK+0rbHewx3rX5LkqV22HBsqLGjXU3lrfhxBvbV&#10;tlgOOpUsve4Pkt2+j1/pwpjXl3H7AUpolKf44T7YOD/L4P+ZeIF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l5WvBAAAA3AAAAA8AAAAAAAAAAAAAAAAAmAIAAGRycy9kb3du&#10;cmV2LnhtbFBLBQYAAAAABAAEAPUAAACGAwAAAAA=&#10;"/>
                  <v:oval id="Oval 18" o:spid="_x0000_s1781" style="position:absolute;left:19202;top:25971;width:1067;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kv1sIA&#10;AADcAAAADwAAAGRycy9kb3ducmV2LnhtbERPTUvDQBC9F/wPywjemk0NCRK7LcUitIcejHofstMk&#10;NDsbsmMa/71bKHibx/uc9XZ2vZpoDJ1nA6skBUVce9txY+Dr8335AioIssXeMxn4pQDbzcNijaX1&#10;V/6gqZJGxRAOJRpoRYZS61C35DAkfiCO3NmPDiXCsdF2xGsMd71+TtNCO+w4NrQ40FtL9aX6cQb2&#10;za4qJp1Jnp33B8kv36djtjLm6XHevYISmuVffHcfbJxf5HB7Jl6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CS/WwgAAANwAAAAPAAAAAAAAAAAAAAAAAJgCAABkcnMvZG93&#10;bnJldi54bWxQSwUGAAAAAAQABAD1AAAAhwMAAAAA&#10;"/>
                  <v:oval id="Oval 19" o:spid="_x0000_s1782" style="position:absolute;left:19202;top:30327;width:1067;height:1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uxocEA&#10;AADcAAAADwAAAGRycy9kb3ducmV2LnhtbERPTWvCQBC9F/wPyxR6qxsbDCV1FVEKevDQaO9DdkyC&#10;2dmQncb4711B6G0e73MWq9G1aqA+NJ4NzKYJKOLS24YrA6fj9/snqCDIFlvPZOBGAVbLycsCc+uv&#10;/ENDIZWKIRxyNFCLdLnWoazJYZj6jjhyZ987lAj7StserzHctfojSTLtsOHYUGNHm5rKS/HnDGyr&#10;dZENOpV5et7uZH75PezTmTFvr+P6C5TQKP/ip3tn4/wsg8cz8QK9v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zbsaHBAAAA3AAAAA8AAAAAAAAAAAAAAAAAmAIAAGRycy9kb3du&#10;cmV2LnhtbFBLBQYAAAAABAAEAPUAAACGAwAAAAA=&#10;"/>
                  <v:oval id="Oval 20" o:spid="_x0000_s1783" style="position:absolute;left:19208;top:34347;width:1067;height:1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cUOsIA&#10;AADcAAAADwAAAGRycy9kb3ducmV2LnhtbERPTWvCQBC9C/0PyxR6040G05K6ilQKeuihsb0P2TEJ&#10;ZmdDdozx37tCobd5vM9ZbUbXqoH60Hg2MJ8loIhLbxuuDPwcP6dvoIIgW2w9k4EbBdisnyYrzK2/&#10;8jcNhVQqhnDI0UAt0uVah7Imh2HmO+LInXzvUCLsK217vMZw1+pFkmTaYcOxocaOPmoqz8XFGdhV&#10;2yIbdCrL9LTby/L8+3VI58a8PI/bd1BCo/yL/9x7G+dnr/B4Jl6g1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lxQ6wgAAANwAAAAPAAAAAAAAAAAAAAAAAJgCAABkcnMvZG93&#10;bnJldi54bWxQSwUGAAAAAAQABAD1AAAAhwMAAAAA&#10;"/>
                  <v:shape id="Text Box 21" o:spid="_x0000_s1784" type="#_x0000_t202" style="position:absolute;left:14605;top:33655;width:2654;height:2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2RsQA&#10;AADcAAAADwAAAGRycy9kb3ducmV2LnhtbESPQWvCQBCF70L/wzKF3nS3otJGVymK0FOl2grehuyY&#10;BLOzIbua9N87B6G3Gd6b975ZrHpfqxu1sQps4XVkQBHnwVVcWPg5bIdvoGJCdlgHJgt/FGG1fBos&#10;MHOh42+67VOhJIRjhhbKlJpM65iX5DGOQkMs2jm0HpOsbaFdi52E+1qPjZlpjxVLQ4kNrUvKL/ur&#10;t/D7dT4dJ2ZXbPy06UJvNPt3be3Lc/8xB5WoT//mx/WnE/yZ0MozMoFe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9kbEAAAA3AAAAA8AAAAAAAAAAAAAAAAAmAIAAGRycy9k&#10;b3ducmV2LnhtbFBLBQYAAAAABAAEAPUAAACJAwAAAAA=&#10;" filled="f" stroked="f">
                    <v:textbox>
                      <w:txbxContent>
                        <w:p w14:paraId="242E62C5" w14:textId="77777777" w:rsidR="00CB53E4" w:rsidRPr="00BE1627" w:rsidRDefault="00CB53E4" w:rsidP="0031675F">
                          <w:pPr>
                            <w:jc w:val="center"/>
                            <w:rPr>
                              <w:b/>
                              <w:sz w:val="16"/>
                              <w:szCs w:val="16"/>
                            </w:rPr>
                          </w:pPr>
                          <w:r w:rsidRPr="00BE1627">
                            <w:rPr>
                              <w:b/>
                              <w:sz w:val="16"/>
                              <w:szCs w:val="16"/>
                            </w:rPr>
                            <w:t>1</w:t>
                          </w:r>
                          <w:r>
                            <w:rPr>
                              <w:b/>
                              <w:noProof/>
                              <w:sz w:val="16"/>
                              <w:szCs w:val="16"/>
                              <w:lang w:eastAsia="en-AU"/>
                            </w:rPr>
                            <w:drawing>
                              <wp:inline distT="0" distB="0" distL="0" distR="0" wp14:anchorId="070F8B97" wp14:editId="5D01AB66">
                                <wp:extent cx="39370" cy="45085"/>
                                <wp:effectExtent l="0" t="0" r="0" b="0"/>
                                <wp:docPr id="232" name="Picture 232" descr="Rectangular box." title="Design fe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1"/>
                                        <a:srcRect/>
                                        <a:stretch>
                                          <a:fillRect/>
                                        </a:stretch>
                                      </pic:blipFill>
                                      <pic:spPr bwMode="auto">
                                        <a:xfrm>
                                          <a:off x="0" y="0"/>
                                          <a:ext cx="39370" cy="45085"/>
                                        </a:xfrm>
                                        <a:prstGeom prst="rect">
                                          <a:avLst/>
                                        </a:prstGeom>
                                        <a:noFill/>
                                        <a:ln w="9525">
                                          <a:noFill/>
                                          <a:miter lim="800000"/>
                                          <a:headEnd/>
                                          <a:tailEnd/>
                                        </a:ln>
                                      </pic:spPr>
                                    </pic:pic>
                                  </a:graphicData>
                                </a:graphic>
                              </wp:inline>
                            </w:drawing>
                          </w:r>
                        </w:p>
                      </w:txbxContent>
                    </v:textbox>
                  </v:shape>
                  <v:shape id="Text Box 22" o:spid="_x0000_s1785" type="#_x0000_t202" style="position:absolute;left:18491;top:34302;width:3035;height:3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VT3cAA&#10;AADcAAAADwAAAGRycy9kb3ducmV2LnhtbERPTYvCMBC9C/6HMII3TZRV1q5RRFnwpOjuCt6GZmzL&#10;NpPSRFv/vREEb/N4nzNftrYUN6p94VjDaKhAEKfOFJxp+P35HnyC8AHZYOmYNNzJw3LR7cwxMa7h&#10;A92OIRMxhH2CGvIQqkRKn+Zk0Q9dRRy5i6sthgjrTJoamxhuSzlWaiotFhwbcqxonVP6f7xaDX+7&#10;y/n0ofbZxk6qxrVKsp1Jrfu9dvUFIlAb3uKXe2vi/OkMns/EC+Ti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VT3cAAAADcAAAADwAAAAAAAAAAAAAAAACYAgAAZHJzL2Rvd25y&#10;ZXYueG1sUEsFBgAAAAAEAAQA9QAAAIUDAAAAAA==&#10;" filled="f" stroked="f">
                    <v:textbox>
                      <w:txbxContent>
                        <w:p w14:paraId="6CADB2E8" w14:textId="77777777" w:rsidR="00CB53E4" w:rsidRPr="0058196D" w:rsidRDefault="00CB53E4" w:rsidP="0031675F">
                          <w:pPr>
                            <w:rPr>
                              <w:b/>
                              <w:sz w:val="16"/>
                              <w:szCs w:val="16"/>
                            </w:rPr>
                          </w:pPr>
                          <w:r w:rsidRPr="0058196D">
                            <w:rPr>
                              <w:b/>
                              <w:sz w:val="16"/>
                              <w:szCs w:val="16"/>
                            </w:rPr>
                            <w:t>2</w:t>
                          </w:r>
                        </w:p>
                      </w:txbxContent>
                    </v:textbox>
                  </v:shape>
                  <v:shape id="Text Box 23" o:spid="_x0000_s1786" type="#_x0000_t202" style="position:absolute;left:18402;top:30327;width:2045;height:38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ZsncUA&#10;AADcAAAADwAAAGRycy9kb3ducmV2LnhtbESPT2vCQBDF70K/wzKCN921qG1TVykVwZNF+wd6G7Jj&#10;EpqdDdnVxG/vHAreZnhv3vvNct37Wl2ojVVgC9OJAUWcB1dxYeHrczt+BhUTssM6MFm4UoT16mGw&#10;xMyFjg90OaZCSQjHDC2UKTWZ1jEvyWOchIZYtFNoPSZZ20K7FjsJ97V+NGahPVYsDSU29F5S/nc8&#10;ewvf+9Pvz8x8FBs/b7rQG83+RVs7GvZvr6AS9elu/r/eOcF/Enx5Rib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VmydxQAAANwAAAAPAAAAAAAAAAAAAAAAAJgCAABkcnMv&#10;ZG93bnJldi54bWxQSwUGAAAAAAQABAD1AAAAigMAAAAA&#10;" filled="f" stroked="f">
                    <v:textbox>
                      <w:txbxContent>
                        <w:p w14:paraId="6DC4862D" w14:textId="77777777" w:rsidR="00CB53E4" w:rsidRPr="00087FBD" w:rsidRDefault="00CB53E4" w:rsidP="0031675F">
                          <w:pPr>
                            <w:rPr>
                              <w:b/>
                              <w:sz w:val="16"/>
                              <w:szCs w:val="16"/>
                            </w:rPr>
                          </w:pPr>
                          <w:r>
                            <w:rPr>
                              <w:b/>
                              <w:sz w:val="16"/>
                              <w:szCs w:val="16"/>
                            </w:rPr>
                            <w:t>4</w:t>
                          </w:r>
                        </w:p>
                      </w:txbxContent>
                    </v:textbox>
                  </v:shape>
                  <v:shape id="Text Box 24" o:spid="_x0000_s1787" type="#_x0000_t202" style="position:absolute;left:14535;top:29222;width:3264;height:39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rJBsEA&#10;AADcAAAADwAAAGRycy9kb3ducmV2LnhtbERPTYvCMBC9C/6HMIK3NXFRd7caZVEET4ruKuxtaMa2&#10;2ExKE23990ZY8DaP9zmzRWtLcaPaF441DAcKBHHqTMGZht+f9dsnCB+QDZaOScOdPCzm3c4ME+Ma&#10;3tPtEDIRQ9gnqCEPoUqk9GlOFv3AVcSRO7vaYoiwzqSpsYnhtpTvSk2kxYJjQ44VLXNKL4er1XDc&#10;nv9OI7XLVnZcNa5Vku2X1Lrfa7+nIAK14SX+d29MnP8xhO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sayQbBAAAA3AAAAA8AAAAAAAAAAAAAAAAAmAIAAGRycy9kb3du&#10;cmV2LnhtbFBLBQYAAAAABAAEAPUAAACGAwAAAAA=&#10;" filled="f" stroked="f">
                    <v:textbox>
                      <w:txbxContent>
                        <w:p w14:paraId="1D1F6D2E" w14:textId="77777777" w:rsidR="00CB53E4" w:rsidRPr="00087FBD" w:rsidRDefault="00CB53E4" w:rsidP="0031675F">
                          <w:pPr>
                            <w:rPr>
                              <w:b/>
                              <w:sz w:val="16"/>
                              <w:szCs w:val="16"/>
                            </w:rPr>
                          </w:pPr>
                          <w:r>
                            <w:rPr>
                              <w:b/>
                              <w:sz w:val="16"/>
                              <w:szCs w:val="16"/>
                            </w:rPr>
                            <w:t>3</w:t>
                          </w:r>
                        </w:p>
                      </w:txbxContent>
                    </v:textbox>
                  </v:shape>
                  <v:shape id="Text Box 25" o:spid="_x0000_s1788" type="#_x0000_t202" style="position:absolute;left:18395;top:25673;width:2960;height:4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hXccIA&#10;AADcAAAADwAAAGRycy9kb3ducmV2LnhtbERPS2vCQBC+F/oflil4092K9pFmI0URPFlMq9DbkB2T&#10;0OxsyK4m/ntXEHqbj+856WKwjThT52vHGp4nCgRx4UzNpYaf7/X4DYQPyAYbx6ThQh4W2eNDiolx&#10;Pe/onIdSxBD2CWqoQmgTKX1RkUU/cS1x5I6usxgi7EppOuxjuG3kVKkXabHm2FBhS8uKir/8ZDXs&#10;t8ffw0x9lSs7b3s3KMn2XWo9eho+P0AEGsK/+O7emDj/dQq3Z+IFMr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yFdxwgAAANwAAAAPAAAAAAAAAAAAAAAAAJgCAABkcnMvZG93&#10;bnJldi54bWxQSwUGAAAAAAQABAD1AAAAhwMAAAAA&#10;" filled="f" stroked="f">
                    <v:textbox>
                      <w:txbxContent>
                        <w:p w14:paraId="401856E4" w14:textId="77777777" w:rsidR="00CB53E4" w:rsidRPr="00087FBD" w:rsidRDefault="00CB53E4" w:rsidP="0031675F">
                          <w:pPr>
                            <w:rPr>
                              <w:b/>
                              <w:sz w:val="16"/>
                              <w:szCs w:val="16"/>
                            </w:rPr>
                          </w:pPr>
                          <w:r>
                            <w:rPr>
                              <w:b/>
                              <w:sz w:val="16"/>
                              <w:szCs w:val="16"/>
                            </w:rPr>
                            <w:t>6</w:t>
                          </w:r>
                        </w:p>
                      </w:txbxContent>
                    </v:textbox>
                  </v:shape>
                  <v:shape id="Text Box 26" o:spid="_x0000_s1789" type="#_x0000_t202" style="position:absolute;left:14446;top:25215;width:3353;height:3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Ty6sIA&#10;AADcAAAADwAAAGRycy9kb3ducmV2LnhtbERPTWsCMRC9C/6HMII3TaqtbbdGEaXgSdFqobdhM+4u&#10;bibLJrrrvzcFwds83udM560txZVqXzjW8DJUIIhTZwrONBx+vgcfIHxANlg6Jg038jCfdTtTTIxr&#10;eEfXfchEDGGfoIY8hCqR0qc5WfRDVxFH7uRqiyHCOpOmxiaG21KOlJpIiwXHhhwrWuaUnvcXq+G4&#10;Of39vqpttrJvVeNaJdl+Sq37vXbxBSJQG57ih3tt4vz3Mfw/Ey+Qs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hPLqwgAAANwAAAAPAAAAAAAAAAAAAAAAAJgCAABkcnMvZG93&#10;bnJldi54bWxQSwUGAAAAAAQABAD1AAAAhwMAAAAA&#10;" filled="f" stroked="f">
                    <v:textbox>
                      <w:txbxContent>
                        <w:p w14:paraId="6AA8C913" w14:textId="77777777" w:rsidR="00CB53E4" w:rsidRPr="00087FBD" w:rsidRDefault="00CB53E4" w:rsidP="0031675F">
                          <w:pPr>
                            <w:rPr>
                              <w:b/>
                              <w:sz w:val="16"/>
                              <w:szCs w:val="16"/>
                            </w:rPr>
                          </w:pPr>
                          <w:r>
                            <w:rPr>
                              <w:b/>
                              <w:sz w:val="16"/>
                              <w:szCs w:val="16"/>
                            </w:rPr>
                            <w:t>5</w:t>
                          </w:r>
                        </w:p>
                      </w:txbxContent>
                    </v:textbox>
                  </v:shape>
                  <v:shape id="Text Box 27" o:spid="_x0000_s1790" type="#_x0000_t202" style="position:absolute;left:18249;top:21113;width:2591;height:3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1qnsEA&#10;AADcAAAADwAAAGRycy9kb3ducmV2LnhtbERPS4vCMBC+C/sfwix402QXH7vVKMuK4ElRV2FvQzO2&#10;xWZSmmjrvzeC4G0+vudM560txZVqXzjW8NFXIIhTZwrONPztl70vED4gGywdk4YbeZjP3jpTTIxr&#10;eEvXXchEDGGfoIY8hCqR0qc5WfR9VxFH7uRqiyHCOpOmxiaG21J+KjWSFguODTlW9JtTet5drIbD&#10;+vR/HKhNtrDDqnGtkmy/pdbd9/ZnAiJQG17ip3tl4vzxAB7PxAvk7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tap7BAAAA3AAAAA8AAAAAAAAAAAAAAAAAmAIAAGRycy9kb3du&#10;cmV2LnhtbFBLBQYAAAAABAAEAPUAAACGAwAAAAA=&#10;" filled="f" stroked="f">
                    <v:textbox>
                      <w:txbxContent>
                        <w:p w14:paraId="1A69C0AA" w14:textId="77777777" w:rsidR="00CB53E4" w:rsidRPr="00087FBD" w:rsidRDefault="00CB53E4" w:rsidP="0031675F">
                          <w:pPr>
                            <w:rPr>
                              <w:b/>
                              <w:sz w:val="16"/>
                              <w:szCs w:val="16"/>
                            </w:rPr>
                          </w:pPr>
                          <w:r>
                            <w:rPr>
                              <w:b/>
                              <w:sz w:val="16"/>
                              <w:szCs w:val="16"/>
                            </w:rPr>
                            <w:t>8</w:t>
                          </w:r>
                        </w:p>
                      </w:txbxContent>
                    </v:textbox>
                  </v:shape>
                  <v:shape id="Text Box 28" o:spid="_x0000_s1791" type="#_x0000_t202" style="position:absolute;left:14446;top:19570;width:2730;height:3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HPBcEA&#10;AADcAAAADwAAAGRycy9kb3ducmV2LnhtbERPTWvCQBC9C/0PyxS86W6L1ja6SqkInizGKvQ2ZMck&#10;mJ0N2dXEf+8Kgrd5vM+ZLTpbiQs1vnSs4W2oQBBnzpSca/jbrQafIHxANlg5Jg1X8rCYv/RmmBjX&#10;8pYuachFDGGfoIYihDqR0mcFWfRDVxNH7ugaiyHCJpemwTaG20q+K/UhLZYcGwqs6aeg7JSerYb9&#10;5vh/GKnffGnHdes6Jdl+Sa37r933FESgLjzFD/faxPmTMdyfiRfI+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hzwXBAAAA3AAAAA8AAAAAAAAAAAAAAAAAmAIAAGRycy9kb3du&#10;cmV2LnhtbFBLBQYAAAAABAAEAPUAAACGAwAAAAA=&#10;" filled="f" stroked="f">
                    <v:textbox>
                      <w:txbxContent>
                        <w:p w14:paraId="3544079F" w14:textId="77777777" w:rsidR="00CB53E4" w:rsidRPr="00087FBD" w:rsidRDefault="00CB53E4" w:rsidP="0031675F">
                          <w:pPr>
                            <w:rPr>
                              <w:b/>
                              <w:sz w:val="16"/>
                              <w:szCs w:val="16"/>
                            </w:rPr>
                          </w:pPr>
                          <w:r>
                            <w:rPr>
                              <w:b/>
                              <w:sz w:val="16"/>
                              <w:szCs w:val="16"/>
                            </w:rPr>
                            <w:t>7</w:t>
                          </w:r>
                        </w:p>
                      </w:txbxContent>
                    </v:textbox>
                  </v:shape>
                  <v:shape id="Text Box 29" o:spid="_x0000_s1792" type="#_x0000_t202" style="position:absolute;left:18034;top:16554;width:3492;height:4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NRcsIA&#10;AADcAAAADwAAAGRycy9kb3ducmV2LnhtbERPS2vCQBC+C/0PyxR6092Kjza6SlEKPSnGKvQ2ZMck&#10;mJ0N2a2J/94VBG/z8T1nvuxsJS7U+NKxhveBAkGcOVNyruF3/93/AOEDssHKMWm4kofl4qU3x8S4&#10;lnd0SUMuYgj7BDUUIdSJlD4ryKIfuJo4cifXWAwRNrk0DbYx3FZyqNREWiw5NhRY06qg7Jz+Ww2H&#10;zenvOFLbfG3Hdes6Jdl+Sq3fXruvGYhAXXiKH+4fE+dPJ3B/Jl4gF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81FywgAAANwAAAAPAAAAAAAAAAAAAAAAAJgCAABkcnMvZG93&#10;bnJldi54bWxQSwUGAAAAAAQABAD1AAAAhwMAAAAA&#10;" filled="f" stroked="f">
                    <v:textbox>
                      <w:txbxContent>
                        <w:p w14:paraId="2C045147" w14:textId="77777777" w:rsidR="00CB53E4" w:rsidRPr="00087FBD" w:rsidRDefault="00CB53E4" w:rsidP="0031675F">
                          <w:pPr>
                            <w:rPr>
                              <w:b/>
                              <w:sz w:val="16"/>
                              <w:szCs w:val="16"/>
                            </w:rPr>
                          </w:pPr>
                          <w:r>
                            <w:rPr>
                              <w:b/>
                              <w:sz w:val="16"/>
                              <w:szCs w:val="16"/>
                            </w:rPr>
                            <w:t>10</w:t>
                          </w:r>
                        </w:p>
                      </w:txbxContent>
                    </v:textbox>
                  </v:shape>
                  <v:shape id="Text Box 30" o:spid="_x0000_s1793" type="#_x0000_t202" style="position:absolute;left:14579;top:15430;width:4102;height:3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06cIA&#10;AADcAAAADwAAAGRycy9kb3ducmV2LnhtbERPS2vCQBC+C/0PyxR6092Kjza6SlEKPSnGKvQ2ZMck&#10;mJ0N2a2J/94VBG/z8T1nvuxsJS7U+NKxhveBAkGcOVNyruF3/93/AOEDssHKMWm4kofl4qU3x8S4&#10;lnd0SUMuYgj7BDUUIdSJlD4ryKIfuJo4cifXWAwRNrk0DbYx3FZyqNREWiw5NhRY06qg7Jz+Ww2H&#10;zenvOFLbfG3Hdes6Jdl+Sq3fXruvGYhAXXiKH+4fE+dPp3B/Jl4gF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v/TpwgAAANwAAAAPAAAAAAAAAAAAAAAAAJgCAABkcnMvZG93&#10;bnJldi54bWxQSwUGAAAAAAQABAD1AAAAhwMAAAAA&#10;" filled="f" stroked="f">
                    <v:textbox>
                      <w:txbxContent>
                        <w:p w14:paraId="197E07CA" w14:textId="77777777" w:rsidR="00CB53E4" w:rsidRPr="00087FBD" w:rsidRDefault="00CB53E4" w:rsidP="0031675F">
                          <w:pPr>
                            <w:rPr>
                              <w:b/>
                              <w:sz w:val="16"/>
                              <w:szCs w:val="16"/>
                            </w:rPr>
                          </w:pPr>
                          <w:r>
                            <w:rPr>
                              <w:b/>
                              <w:sz w:val="16"/>
                              <w:szCs w:val="16"/>
                            </w:rPr>
                            <w:t>9</w:t>
                          </w:r>
                        </w:p>
                      </w:txbxContent>
                    </v:textbox>
                  </v:shape>
                  <v:line id="Line 31" o:spid="_x0000_s1794" style="position:absolute;flip:x;visibility:visible;mso-wrap-style:square" from="29730,35534" to="46526,355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7oosUAAADcAAAADwAAAGRycy9kb3ducmV2LnhtbESPT0vDQBDF74LfYRnBS2g3WvBPzKbY&#10;1oJQPNh68DhkxySYnQ3ZaRu/vXMQvM1j3u/Nm3I5hd6caExdZAc38xwMcR19x42Dj8N29gAmCbLH&#10;PjI5+KEEy+ryosTCxzO/02kvjdEQTgU6aEWGwtpUtxQwzeNArLuvOAYUlWNj/YhnDQ+9vc3zOxuw&#10;Y73Q4kDrlurv/TFoje0bbxaLbBVslj3Sy6fscivOXV9Nz09ghCb5N//Rr165e22rz+gEtv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87oosUAAADcAAAADwAAAAAAAAAA&#10;AAAAAAChAgAAZHJzL2Rvd25yZXYueG1sUEsFBgAAAAAEAAQA+QAAAJMDAAAAAA==&#10;">
                    <v:stroke endarrow="block"/>
                  </v:line>
                  <v:line id="Line 32" o:spid="_x0000_s1795" style="position:absolute;flip:x;visibility:visible;mso-wrap-style:square" from="29641,30778" to="46431,307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JNOcUAAADcAAAADwAAAGRycy9kb3ducmV2LnhtbESPQWvCQBCF70L/wzIFL0E3VrA1dZVa&#10;FQrSQ6MHj0N2moRmZ0N21PTfdwuCtxne+968Wax616gLdaH2bGAyTkERF97WXBo4HnajF1BBkC02&#10;nsnALwVYLR8GC8ysv/IXXXIpVQzhkKGBSqTNtA5FRQ7D2LfEUfv2nUOJa1dq2+E1hrtGP6XpTDus&#10;OV6osKX3ioqf/Oxijd0nb6bTZO10ksxpe5J9qsWY4WP/9gpKqJe7+UZ/2Mg9z+H/mTiBX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IJNOcUAAADcAAAADwAAAAAAAAAA&#10;AAAAAAChAgAAZHJzL2Rvd25yZXYueG1sUEsFBgAAAAAEAAQA+QAAAJMDAAAAAA==&#10;">
                    <v:stroke endarrow="block"/>
                  </v:line>
                  <v:line id="Line 33" o:spid="_x0000_s1796" style="position:absolute;flip:x;visibility:visible;mso-wrap-style:square" from="23177,30784" to="29705,30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2Ug8UAAADcAAAADwAAAGRycy9kb3ducmV2LnhtbESPQWvCQBCF74X+h2UKvQTdWKFodJXa&#10;VigUD7UePA7ZMQnNzobsVOO/dw6F3uYx73vzZrkeQmvO1KcmsoPJOAdDXEbfcOXg8L0dzcAkQfbY&#10;RiYHV0qwXt3fLbHw8cJfdN5LZTSEU4EOapGusDaVNQVM49gR6+4U+4Cisq+s7/Gi4aG1T3n+bAM2&#10;rBdq7Oi1pvJn/xu0xnbHb9Nptgk2y+b0fpTP3Ipzjw/DywKM0CD/5j/6wys30/r6jE5gV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G2Ug8UAAADcAAAADwAAAAAAAAAA&#10;AAAAAAChAgAAZHJzL2Rvd25yZXYueG1sUEsFBgAAAAAEAAQA+QAAAJMDAAAAAA==&#10;">
                    <v:stroke endarrow="block"/>
                  </v:line>
                  <v:line id="Line 34" o:spid="_x0000_s1797" style="position:absolute;flip:x;visibility:visible;mso-wrap-style:square" from="29686,26587" to="46482,26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ExGMUAAADcAAAADwAAAGRycy9kb3ducmV2LnhtbESPT2vCQBDF74V+h2UEL0E3KhSNbkL/&#10;CULxUOvB45Adk2B2NmSnmn57t1DobYb3fm/ebIrBtepKfWg8G5hNU1DEpbcNVwaOX9vJElQQZIut&#10;ZzLwQwGK/PFhg5n1N/6k60EqFUM4ZGigFukyrUNZk8Mw9R1x1M6+dyhx7Stte7zFcNfqeZo+aYcN&#10;xws1dvRaU3k5fLtYY7vnt8UieXE6SVb0fpKPVIsx49HwvAYlNMi/+Y/e2cgtZ/D7TJxA5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yExGMUAAADcAAAADwAAAAAAAAAA&#10;AAAAAAChAgAAZHJzL2Rvd25yZXYueG1sUEsFBgAAAAAEAAQA+QAAAJMDAAAAAA==&#10;">
                    <v:stroke endarrow="block"/>
                  </v:line>
                  <v:shape id="AutoShape 35" o:spid="_x0000_s1798" type="#_x0000_t86" style="position:absolute;left:20447;top:31210;width:2216;height:3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v7cAA&#10;AADcAAAADwAAAGRycy9kb3ducmV2LnhtbERPS4vCMBC+C/sfwix403QLrqUaRRYrXvbgC6/TZmyL&#10;zaQ0Ueu/NwsL3ubje8582ZtG3KlztWUFX+MIBHFhdc2lguMhGyUgnEfW2FgmBU9ysFx8DOaYavvg&#10;Hd33vhQhhF2KCirv21RKV1Rk0I1tSxy4i+0M+gC7UuoOHyHcNDKOom9psObQUGFLPxUV1/3NKEC0&#10;WXzKsdisy6w5737zqZ7kSg0/+9UMhKfev8X/7q0O85MY/p4JF8jF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bv7cAAAADcAAAADwAAAAAAAAAAAAAAAACYAgAAZHJzL2Rvd25y&#10;ZXYueG1sUEsFBgAAAAAEAAQA9QAAAIUDAAAAAA==&#10;"/>
                  <v:line id="Line 36" o:spid="_x0000_s1799" style="position:absolute;flip:y;visibility:visible;mso-wrap-style:square" from="22663,32372" to="22663,33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8K9MUAAADcAAAADwAAAGRycy9kb3ducmV2LnhtbESPT2vCQBDF7wW/wzJCL6FubKBo6ir+&#10;qSCUHqo99DhkxySYnQ3ZUdNv7wpCbzO893vzZrboXaMu1IXas4HxKAVFXHhbc2ng57B9mYAKgmyx&#10;8UwG/ijAYj54mmFu/ZW/6bKXUsUQDjkaqETaXOtQVOQwjHxLHLWj7xxKXLtS2w6vMdw1+jVN37TD&#10;muOFCltaV1Sc9mcXa2y/eJNlycrpJJnSx698plqMeR72y3dQQr38mx/0zkZuksH9mTiBn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L8K9MUAAADcAAAADwAAAAAAAAAA&#10;AAAAAAChAgAAZHJzL2Rvd25yZXYueG1sUEsFBgAAAAAEAAQA+QAAAJMDAAAAAA==&#10;">
                    <v:stroke endarrow="block"/>
                  </v:line>
                  <v:line id="Line 37" o:spid="_x0000_s1800" style="position:absolute;flip:x;visibility:visible;mso-wrap-style:square" from="23234,35515" to="29762,35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aSgMYAAADcAAAADwAAAGRycy9kb3ducmV2LnhtbESPT2vCQBDF70K/wzIFL0E3Vilp6iq1&#10;KhSkB/8cehyy0yQ0Oxuyo6bfvlsQvM3w3u/Nm/myd426UBdqzwYm4xQUceFtzaWB03E7ykAFQbbY&#10;eCYDvxRguXgYzDG3/sp7uhykVDGEQ44GKpE21zoUFTkMY98SR+3bdw4lrl2pbYfXGO4a/ZSmz9ph&#10;zfFChS29V1T8HM4u1th+8no6TVZOJ8kLbb5kl2oxZvjYv72CEurlbr7RHzZy2Qz+n4kT6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WkoDGAAAA3AAAAA8AAAAAAAAA&#10;AAAAAAAAoQIAAGRycy9kb3ducmV2LnhtbFBLBQYAAAAABAAEAPkAAACUAwAAAAA=&#10;">
                    <v:stroke endarrow="block"/>
                  </v:line>
                  <v:line id="Line 38" o:spid="_x0000_s1801" style="position:absolute;flip:x;visibility:visible;mso-wrap-style:square" from="23158,26625" to="29686,266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o3G8YAAADcAAAADwAAAGRycy9kb3ducmV2LnhtbESPT2vCQBDF70K/wzIFL0E3Vixp6iq1&#10;KhSkB/8cehyy0yQ0Oxuyo6bfvlsQvM3w3u/Nm/myd426UBdqzwYm4xQUceFtzaWB03E7ykAFQbbY&#10;eCYDvxRguXgYzDG3/sp7uhykVDGEQ44GKpE21zoUFTkMY98SR+3bdw4lrl2pbYfXGO4a/ZSmz9ph&#10;zfFChS29V1T8HM4u1th+8no6TVZOJ8kLbb5kl2oxZvjYv72CEurlbr7RHzZy2Qz+n4kT6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aNxvGAAAA3AAAAA8AAAAAAAAA&#10;AAAAAAAAoQIAAGRycy9kb3ducmV2LnhtbFBLBQYAAAAABAAEAPkAAACUAwAAAAA=&#10;">
                    <v:stroke endarrow="block"/>
                  </v:line>
                  <v:line id="Line 39" o:spid="_x0000_s1802" style="position:absolute;flip:x;visibility:visible;mso-wrap-style:square" from="23304,22167" to="29832,22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ipbMUAAADcAAAADwAAAGRycy9kb3ducmV2LnhtbESPT2vCQBDF74V+h2UEL0E3rSAa3YT+&#10;USgUD7UePA7ZMQlmZ0N2qvHbu4VCbzO893vzZl0MrlUX6kPj2cDTNAVFXHrbcGXg8L2dLEAFQbbY&#10;eiYDNwpQ5I8Pa8ysv/IXXfZSqRjCIUMDtUiXaR3KmhyGqe+Io3byvUOJa19p2+M1hrtWP6fpXDts&#10;OF6osaO3msrz/sfFGtsdv89myavTSbKkzVE+Uy3GjEfDywqU0CD/5j/6w0ZuMYffZ+IEOr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MipbMUAAADcAAAADwAAAAAAAAAA&#10;AAAAAAChAgAAZHJzL2Rvd25yZXYueG1sUEsFBgAAAAAEAAQA+QAAAJMDAAAAAA==&#10;">
                    <v:stroke endarrow="block"/>
                  </v:line>
                  <v:line id="Line 40" o:spid="_x0000_s1803" style="position:absolute;flip:x y;visibility:visible;mso-wrap-style:square" from="11252,27203" to="19240,27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ciCcEAAADcAAAADwAAAGRycy9kb3ducmV2LnhtbERPS4vCMBC+L/gfwgheFk3VRUs1iggr&#10;nlx84XVoxrbYTEqTtdVfb4SFvc3H95z5sjWluFPtCssKhoMIBHFqdcGZgtPxux+DcB5ZY2mZFDzI&#10;wXLR+Zhjom3De7offCZCCLsEFeTeV4mULs3JoBvYijhwV1sb9AHWmdQ1NiHclHIURRNpsODQkGNF&#10;65zS2+HXKEDePcdxM6QvuaGLG+1+Plfnq1K9bruagfDU+n/xn3urw/x4Cu9nwgVy8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lyIJwQAAANwAAAAPAAAAAAAAAAAAAAAA&#10;AKECAABkcnMvZG93bnJldi54bWxQSwUGAAAAAAQABAD5AAAAjwMAAAAA&#10;"/>
                  <v:line id="Line 41" o:spid="_x0000_s1804" style="position:absolute;flip:x;visibility:visible;mso-wrap-style:square" from="11410,33705" to="15214,33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iO/cYAAADcAAAADwAAAGRycy9kb3ducmV2LnhtbESPQUvDQBCF74L/YRnBi9hNRSSN3ZYi&#10;FDz0Yi0pvY3ZMRuSnY27axv/vXMQvM3w3rz3zXI9+UGdKaYusIH5rABF3ATbcWvg8L69L0GljGxx&#10;CEwGfijBenV9tcTKhgu/0XmfWyUhnCo04HIeK61T48hjmoWRWLTPED1mWWOrbcSLhPtBPxTFk/bY&#10;sTQ4HOnFUdPvv70BXe7uvuLm47Gv++Nx4eqmHk87Y25vps0zqExT/jf/Xb9awS+FVp6RCf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x4jv3GAAAA3AAAAA8AAAAAAAAA&#10;AAAAAAAAoQIAAGRycy9kb3ducmV2LnhtbFBLBQYAAAAABAAEAPkAAACUAwAAAAA=&#10;"/>
                  <v:shape id="AutoShape 42" o:spid="_x0000_s1805" type="#_x0000_t85" style="position:absolute;left:10420;top:27203;width:1067;height:6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MG4sEA&#10;AADcAAAADwAAAGRycy9kb3ducmV2LnhtbERPTWvCQBC9C/0PyxS8mU09iEZXKRbB0pPWFrwN2TEb&#10;zM6m2amm/vpuoeBtHu9zFqveN+pCXawDG3jKclDEZbA1VwYO75vRFFQUZItNYDLwQxFWy4fBAgsb&#10;rryjy14qlUI4FmjAibSF1rF05DFmoSVO3Cl0HiXBrtK2w2sK940e5/lEe6w5NThsae2oPO+/vYHy&#10;Q26fFN70CznJ1+OvI4t+NWb42D/PQQn1chf/u7c2zZ/O4O+ZdIF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TBuLBAAAA3AAAAA8AAAAAAAAAAAAAAAAAmAIAAGRycy9kb3du&#10;cmV2LnhtbFBLBQYAAAAABAAEAPUAAACGAwAAAAA=&#10;"/>
                  <v:line id="Line 43" o:spid="_x0000_s1806" style="position:absolute;flip:x;visibility:visible;mso-wrap-style:square" from="11569,33705" to="12553,337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QCXsUAAADcAAAADwAAAGRycy9kb3ducmV2LnhtbESPQWvCQBCF74X+h2UKvQTdWKHU6Cq1&#10;rVAoHqoePA7ZMQnNzobsVOO/dw6F3uYx73vzZrEaQmvO1KcmsoPJOAdDXEbfcOXgsN+MXsAkQfbY&#10;RiYHV0qwWt7fLbDw8cLfdN5JZTSEU4EOapGusDaVNQVM49gR6+4U+4Cisq+s7/Gi4aG1T3n+bAM2&#10;rBdq7OitpvJn9xu0xmbL79Nptg42y2b0cZSv3Ipzjw/D6xyM0CD/5j/60ys30/r6jE5gl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bQCXsUAAADcAAAADwAAAAAAAAAA&#10;AAAAAAChAgAAZHJzL2Rvd25yZXYueG1sUEsFBgAAAAAEAAQA+QAAAJMDAAAAAA==&#10;">
                    <v:stroke endarrow="block"/>
                  </v:line>
                  <v:line id="Line 44" o:spid="_x0000_s1807" style="position:absolute;visibility:visible;mso-wrap-style:square" from="12236,27120" to="13296,271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fgVsMAAADcAAAADwAAAGRycy9kb3ducmV2LnhtbERPyWrDMBC9B/IPYgK9JbJ7aGonSgg1&#10;hR6aQhZ6nloTy8QaGUt11L+vAoXe5vHWWW+j7cRIg28dK8gXGQji2umWGwXn0+v8GYQPyBo7x6Tg&#10;hzxsN9PJGkvtbnyg8RgakULYl6jAhNCXUvrakEW/cD1x4i5usBgSHBqpB7ylcNvJxyx7khZbTg0G&#10;e3oxVF+P31bB0lQHuZTV++mjGtu8iPv4+VUo9TCLuxWIQDH8i//cbzrNL3K4P5MukJ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2H4FbDAAAA3AAAAA8AAAAAAAAAAAAA&#10;AAAAoQIAAGRycy9kb3ducmV2LnhtbFBLBQYAAAAABAAEAPkAAACRAwAAAAA=&#10;">
                    <v:stroke endarrow="block"/>
                  </v:line>
                  <v:oval id="Oval 45" o:spid="_x0000_s1808" style="position:absolute;left:10420;top:30784;width:1384;height:1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XHhcIA&#10;AADcAAAADwAAAGRycy9kb3ducmV2LnhtbERPTWvCQBC9F/oflil4qxsNSo1ZRSqCPfTQtL0P2TEJ&#10;yc6G7DTGf+8WCr3N431Ovp9cp0YaQuPZwGKegCIuvW24MvD1eXp+ARUE2WLnmQzcKMB+9/iQY2b9&#10;lT9oLKRSMYRDhgZqkT7TOpQ1OQxz3xNH7uIHhxLhUGk74DWGu04vk2StHTYcG2rs6bWmsi1+nIFj&#10;dSjWo05llV6OZ1m13+9v6cKY2dN02IISmuRf/Oc+2zh/s4TfZ+IFenc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NceFwgAAANwAAAAPAAAAAAAAAAAAAAAAAJgCAABkcnMvZG93&#10;bnJldi54bWxQSwUGAAAAAAQABAD1AAAAhwMAAAAA&#10;"/>
                  <v:oval id="Oval 46" o:spid="_x0000_s1809" style="position:absolute;left:10401;top:30092;width:1378;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iHsEA&#10;AADcAAAADwAAAGRycy9kb3ducmV2LnhtbERPTWvCQBC9C/0Pywi96UaD0kZXkUrBHjw0tvchOybB&#10;7GzIjjH+e7cg9DaP9znr7eAa1VMXas8GZtMEFHHhbc2lgZ/T5+QNVBBki41nMnCnANvNy2iNmfU3&#10;/qY+l1LFEA4ZGqhE2kzrUFTkMEx9Sxy5s+8cSoRdqW2HtxjuGj1PkqV2WHNsqLClj4qKS351Bvbl&#10;Ll/2OpVFet4fZHH5PX6lM2Nex8NuBUpokH/x032wcf57Cn/PxAv0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5Yh7BAAAA3AAAAA8AAAAAAAAAAAAAAAAAmAIAAGRycy9kb3du&#10;cmV2LnhtbFBLBQYAAAAABAAEAPUAAACGAwAAAAA=&#10;"/>
                  <v:oval id="Oval 47" o:spid="_x0000_s1810" style="position:absolute;left:10388;top:29419;width:1384;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D6asIA&#10;AADcAAAADwAAAGRycy9kb3ducmV2LnhtbERPTWvCQBC9C/0PyxR6041NDTV1FakU9OChab0P2TEJ&#10;ZmdDdhrTf98tCN7m8T5ntRldqwbqQ+PZwHyWgCIuvW24MvD99TF9BRUE2WLrmQz8UoDN+mGywtz6&#10;K3/SUEilYgiHHA3UIl2udShrchhmviOO3Nn3DiXCvtK2x2sMd61+TpJMO2w4NtTY0XtN5aX4cQZ2&#10;1bbIBp3KIj3v9rK4nI6HdG7M0+O4fQMlNMpdfHPvbZy/fIH/Z+IFe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kPpqwgAAANwAAAAPAAAAAAAAAAAAAAAAAJgCAABkcnMvZG93&#10;bnJldi54bWxQSwUGAAAAAAQABAD1AAAAhwMAAAAA&#10;"/>
                  <v:shape id="AutoShape 48" o:spid="_x0000_s1811" type="#_x0000_t85" style="position:absolute;left:14217;top:24790;width:1067;height:4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eaOsEA&#10;AADcAAAADwAAAGRycy9kb3ducmV2LnhtbERPTWsCMRC9F/ofwhR606xCxa5GEYvQ4qnaFrwNm3Gz&#10;uJlsN6Ou/vpGEHqbx/uc6bzztTpRG6vABgb9DBRxEWzFpYGv7ao3BhUF2WIdmAxcKMJ89vgwxdyG&#10;M3/SaSOlSiEcczTgRJpc61g48hj7oSFO3D60HiXBttS2xXMK97UeZtlIe6w4NThsaOmoOGyO3kDx&#10;LdcfCmv9Rk6y5fB3x6I/jHl+6hYTUEKd/Ivv7neb5r++wO2ZdIGe/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HmjrBAAAA3AAAAA8AAAAAAAAAAAAAAAAAmAIAAGRycy9kb3du&#10;cmV2LnhtbFBLBQYAAAAABAAEAPUAAACGAwAAAAA=&#10;"/>
                  <v:line id="Line 49" o:spid="_x0000_s1812" style="position:absolute;flip:y;visibility:visible;mso-wrap-style:square" from="14224,25450" to="14224,26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E/scUAAADcAAAADwAAAGRycy9kb3ducmV2LnhtbESPT2vCQBDF74LfYZlCL6FuVBBNXcU/&#10;FQTxoO2hxyE7TUKzsyE7avrtu4LgbYb3fm/ezJedq9WV2lB5NjAcpKCIc28rLgx8fe7epqCCIFus&#10;PZOBPwqwXPR7c8ysv/GJrmcpVAzhkKGBUqTJtA55SQ7DwDfEUfvxrUOJa1to2+Ithrtaj9J0oh1W&#10;HC+U2NCmpPz3fHGxxu7I2/E4WTudJDP6+JZDqsWY15du9Q5KqJOn+UHvbeRmE7g/Eyf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RE/scUAAADcAAAADwAAAAAAAAAA&#10;AAAAAAChAgAAZHJzL2Rvd25yZXYueG1sUEsFBgAAAAAEAAQA+QAAAJMDAAAAAA==&#10;">
                    <v:stroke endarrow="block"/>
                  </v:line>
                  <v:shape id="AutoShape 50" o:spid="_x0000_s1813" type="#_x0000_t85" style="position:absolute;left:10045;top:15449;width:5169;height:4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mh1sEA&#10;AADcAAAADwAAAGRycy9kb3ducmV2LnhtbERPTWsCMRC9F/ofwhR606weql2NIhahxVO1LXgbNuNm&#10;cTPZbkZd/fWNIPQ2j/c503nna3WiNlaBDQz6GSjiItiKSwNf21VvDCoKssU6MBm4UIT57PFhirkN&#10;Z/6k00ZKlUI45mjAiTS51rFw5DH2Q0OcuH1oPUqCbalti+cU7ms9zLIX7bHi1OCwoaWj4rA5egPF&#10;t1x/KKz1GznJlsPfHYv+MOb5qVtMQAl18i++u99tmv86gtsz6QI9+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7ZodbBAAAA3AAAAA8AAAAAAAAAAAAAAAAAmAIAAGRycy9kb3du&#10;cmV2LnhtbFBLBQYAAAAABAAEAPUAAACGAwAAAAA=&#10;"/>
                  <v:oval id="Oval 51" o:spid="_x0000_s1814" style="position:absolute;left:10064;top:17811;width:1378;height:11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3wb8UA&#10;AADcAAAADwAAAGRycy9kb3ducmV2LnhtbESPQUvDQBCF74L/YRmhN7tpQ4vGbktpEerBg1HvQ3aa&#10;hGZnQ3ZM03/vHARvM7w3732z2U2hMyMNqY3sYDHPwBBX0bdcO/j6fH18ApME2WMXmRzcKMFue3+3&#10;wcLHK3/QWEptNIRTgQ4akb6wNlUNBUzz2BOrdo5DQNF1qK0f8KrhobPLLFvbgC1rQ4M9HRqqLuVP&#10;cHCs9+V6tLms8vPxJKvL9/tbvnBu9jDtX8AITfJv/rs+ecV/Vlp9Riew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3fBvxQAAANwAAAAPAAAAAAAAAAAAAAAAAJgCAABkcnMv&#10;ZG93bnJldi54bWxQSwUGAAAAAAQABAD1AAAAigMAAAAA&#10;"/>
                  <v:oval id="Oval 52" o:spid="_x0000_s1815" style="position:absolute;left:10045;top:17202;width:1372;height:11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V9MIA&#10;AADcAAAADwAAAGRycy9kb3ducmV2LnhtbERPTWvCQBC9F/oflhF6qxsblBpdJTQU9NCDaXsfsmMS&#10;zM6G7DSm/74rFLzN433Odj+5To00hNazgcU8AUVcedtybeDr8/35FVQQZIudZzLwSwH2u8eHLWbW&#10;X/lEYym1iiEcMjTQiPSZ1qFqyGGY+544cmc/OJQIh1rbAa8x3HX6JUlW2mHLsaHBnt4aqi7ljzNQ&#10;1Hm5GnUqy/RcHGR5+f44pgtjnmZTvgElNMld/O8+2Dh/vYbbM/ECv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kVX0wgAAANwAAAAPAAAAAAAAAAAAAAAAAJgCAABkcnMvZG93&#10;bnJldi54bWxQSwUGAAAAAAQABAD1AAAAhwMAAAAA&#10;"/>
                  <v:oval id="Oval 53" o:spid="_x0000_s1816" style="position:absolute;left:10083;top:16427;width:1385;height:1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QIksMA&#10;AADcAAAADwAAAGRycy9kb3ducmV2LnhtbESPQWvCQBSE70L/w/IK3szGBkVSV5GKoIceGvX+yD6T&#10;YPZtyL7G9N93hUKPw8x8w6y3o2vVQH1oPBuYJyko4tLbhisDl/NhtgIVBNli65kM/FCA7eZlssbc&#10;+gd/0VBIpSKEQ44GapEu1zqUNTkMie+Io3fzvUOJsq+07fER4a7Vb2m61A4bjgs1dvRRU3kvvp2B&#10;fbUrloPOZJHd9kdZ3K+fp2xuzPR13L2DEhrlP/zXPloDkQjPM/EI6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QIksMAAADcAAAADwAAAAAAAAAAAAAAAACYAgAAZHJzL2Rv&#10;d25yZXYueG1sUEsFBgAAAAAEAAQA9QAAAIgDAAAAAA==&#10;"/>
                  <v:line id="Line 54" o:spid="_x0000_s1817" style="position:absolute;flip:x;visibility:visible;mso-wrap-style:square" from="11480,20173" to="12458,20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dTPsUAAADcAAAADwAAAGRycy9kb3ducmV2LnhtbESPQWvCQBCF7wX/wzKCl1B3VSg1dZW2&#10;KhSKh2oPPQ7ZMQlmZ0N2qvHfdwWhx8eb9715i1XvG3WmLtaBLUzGBhRxEVzNpYXvw/bxGVQUZIdN&#10;YLJwpQir5eBhgbkLF/6i815KlSAcc7RQibS51rGoyGMch5Y4ecfQeZQku1K7Di8J7hs9NeZJe6w5&#10;NVTY0ntFxWn/69Mb2x2vZ7Pszessm9PmRz6NFmtHw/71BZRQL//H9/SHszA1E7iNSQT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dTPsUAAADcAAAADwAAAAAAAAAA&#10;AAAAAAChAgAAZHJzL2Rvd25yZXYueG1sUEsFBgAAAAAEAAQA+QAAAJMDAAAAAA==&#10;">
                    <v:stroke endarrow="block"/>
                  </v:line>
                  <v:line id="Line 55" o:spid="_x0000_s1818" style="position:absolute;visibility:visible;mso-wrap-style:square" from="12274,15430" to="13335,15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qK2sQAAADcAAAADwAAAGRycy9kb3ducmV2LnhtbESPQWsCMRSE7wX/Q3iCt5p1D1pXo4hL&#10;wYMtqKXn5+a5Wdy8LJt0Tf99Uyj0OMzMN8x6G20rBup941jBbJqBIK6cbrhW8HF5fX4B4QOyxtYx&#10;KfgmD9vN6GmNhXYPPtFwDrVIEPYFKjAhdIWUvjJk0U9dR5y8m+sthiT7WuoeHwluW5ln2VxabDgt&#10;GOxob6i6n7+sgoUpT3Ihy+PlvRya2TK+xc/rUqnJOO5WIALF8B/+ax+0gjzL4fdMOgJy8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eoraxAAAANwAAAAPAAAAAAAAAAAA&#10;AAAAAKECAABkcnMvZG93bnJldi54bWxQSwUGAAAAAAQABAD5AAAAkgMAAAAA&#10;">
                    <v:stroke endarrow="block"/>
                  </v:line>
                  <v:line id="Line 56" o:spid="_x0000_s1819" style="position:absolute;flip:y;visibility:visible;mso-wrap-style:square" from="15817,9785" to="15817,15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p+qscAAADcAAAADwAAAGRycy9kb3ducmV2LnhtbESPT2sCMRTE74LfIbxCL6VmtaXYrVFE&#10;KHjw4h9WenvdvG6W3bysSdTttzeFgsdhZn7DzBa9bcWFfKgdKxiPMhDEpdM1VwoO+8/nKYgQkTW2&#10;jknBLwVYzIeDGebaXXlLl12sRIJwyFGBibHLpQylIYth5Dri5P04bzEm6SupPV4T3LZykmVv0mLN&#10;acFgRytDZbM7WwVyunk6+eX3a1M0x+O7Kcqi+9oo9fjQLz9AROrjPfzfXmsFk+wF/s6kIyD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Kn6qxwAAANwAAAAPAAAAAAAA&#10;AAAAAAAAAKECAABkcnMvZG93bnJldi54bWxQSwUGAAAAAAQABAD5AAAAlQMAAAAA&#10;"/>
                  <v:line id="Line 57" o:spid="_x0000_s1820" style="position:absolute;flip:x;visibility:visible;mso-wrap-style:square" from="11404,9785" to="15887,9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8Pm3sYAAADcAAAADwAAAGRycy9kb3ducmV2LnhtbESPQWsCMRSE70L/Q3iFXqRmFRHdGkUE&#10;oQcv1bLi7XXzull287ImqW7/fSMIPQ4z8w2zXPe2FVfyoXasYDzKQBCXTtdcKfg87l7nIEJE1tg6&#10;JgW/FGC9ehosMdfuxh90PcRKJAiHHBWYGLtcylAashhGriNO3rfzFmOSvpLa4y3BbSsnWTaTFmtO&#10;CwY72hoqm8OPVSDn++HFb76mTdGcTgtTlEV33iv18txv3kBE6uN/+NF+1wom2RTuZ9IRkK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D5t7GAAAA3AAAAA8AAAAAAAAA&#10;AAAAAAAAoQIAAGRycy9kb3ducmV2LnhtbFBLBQYAAAAABAAEAPkAAACUAwAAAAA=&#10;"/>
                  <v:line id="Line 58" o:spid="_x0000_s1821" style="position:absolute;flip:y;visibility:visible;mso-wrap-style:square" from="15805,11106" to="15811,12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xVPcUAAADcAAAADwAAAGRycy9kb3ducmV2LnhtbESPT2vCQBDF74LfYRnBS6i7VVra6Cr9&#10;JwjSQ20PHofsNAnNzobsqPHbu0LB4+PN+715i1XvG3WkLtaBLdxPDCjiIriaSws/3+u7J1BRkB02&#10;gcnCmSKslsPBAnMXTvxFx52UKkE45mihEmlzrWNRkcc4CS1x8n5D51GS7ErtOjwluG/01JhH7bHm&#10;1FBhS28VFX+7g09vrD/5fTbLXr3Osmf62MvWaLF2POpf5qCEerkd/6c3zsLUPMB1TCKAX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uxVPcUAAADcAAAADwAAAAAAAAAA&#10;AAAAAAChAgAAZHJzL2Rvd25yZXYueG1sUEsFBgAAAAAEAAQA+QAAAJMDAAAAAA==&#10;">
                    <v:stroke endarrow="block"/>
                  </v:line>
                  <v:line id="Line 59" o:spid="_x0000_s1822" style="position:absolute;flip:x;visibility:visible;mso-wrap-style:square" from="12687,9842" to="13665,9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7LSsUAAADcAAAADwAAAGRycy9kb3ducmV2LnhtbESPQWvCQBCF7wX/wzKCl6C7KkgbXaW1&#10;CoXiodaDxyE7JsHsbMhONf333UKhx8eb9715q03vG3WjLtaBLUwnBhRxEVzNpYXT5378CCoKssMm&#10;MFn4pgib9eBhhbkLd/6g21FKlSAcc7RQibS51rGoyGOchJY4eZfQeZQku1K7Du8J7hs9M2ahPdac&#10;GipsaVtRcT1++fTG/sCv83n24nWWPdHuLO9Gi7WjYf+8BCXUy//xX/rNWZiZBfyOSQTQ6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j7LSsUAAADcAAAADwAAAAAAAAAA&#10;AAAAAAChAgAAZHJzL2Rvd25yZXYueG1sUEsFBgAAAAAEAAQA+QAAAJMDAAAAAA==&#10;">
                    <v:stroke endarrow="block"/>
                  </v:line>
                  <v:rect id="Rectangle 60" o:spid="_x0000_s1823" style="position:absolute;left:9359;top:8623;width:2051;height:2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OGmsUA&#10;AADcAAAADwAAAGRycy9kb3ducmV2LnhtbESPQWvCQBSE7wX/w/KE3uquKdg2zUZEsdijxktvr9nX&#10;JJp9G7Krpv56t1DwOMzMN0w2H2wrztT7xrGG6USBIC6dabjSsC/WT68gfEA22DomDb/kYZ6PHjJM&#10;jbvwls67UIkIYZ+ihjqELpXSlzVZ9BPXEUfvx/UWQ5R9JU2Plwi3rUyUmkmLDceFGjta1lQedyer&#10;4btJ9njdFh/Kvq2fw+dQHE5fK60fx8PiHUSgIdzD/+2N0ZCoF/g7E4+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Y4aaxQAAANwAAAAPAAAAAAAAAAAAAAAAAJgCAABkcnMv&#10;ZG93bnJldi54bWxQSwUGAAAAAAQABAD1AAAAigMAAAAA&#10;"/>
                  <v:line id="Line 61" o:spid="_x0000_s1824" style="position:absolute;flip:y;visibility:visible;mso-wrap-style:square" from="15970,17703" to="19310,32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7s28MAAADcAAAADwAAAGRycy9kb3ducmV2LnhtbERPz2vCMBS+D/wfwhN2GZoqY2g1igjC&#10;Dl7mRmW3Z/NsSpuXmkTt/vvlIHj8+H4v171txY18qB0rmIwzEMSl0zVXCn6+d6MZiBCRNbaOScEf&#10;BVivBi9LzLW78xfdDrESKYRDjgpMjF0uZSgNWQxj1xEn7uy8xZigr6T2eE/htpXTLPuQFmtODQY7&#10;2hoqm8PVKpCz/dvFb07vTdEcj3NTlEX3u1fqddhvFiAi9fEpfrg/tYJpltamM+kI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O7NvDAAAA3AAAAA8AAAAAAAAAAAAA&#10;AAAAoQIAAGRycy9kb3ducmV2LnhtbFBLBQYAAAAABAAEAPkAAACRAwAAAAA=&#10;"/>
                  <v:line id="Line 62" o:spid="_x0000_s1825" style="position:absolute;flip:y;visibility:visible;mso-wrap-style:square" from="17799,22955" to="18097,24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fOMUAAADcAAAADwAAAGRycy9kb3ducmV2LnhtbESPQWvCQBCF7wX/wzIFL6HuqlA0dRWt&#10;FYTiQdtDj0N2moRmZ0N2qum/dwWhx8eb9715i1XvG3WmLtaBLYxHBhRxEVzNpYXPj93TDFQUZIdN&#10;YLLwRxFWy8HDAnMXLnyk80lKlSAcc7RQibS51rGoyGMchZY4ed+h8yhJdqV2HV4S3Dd6Ysyz9lhz&#10;aqiwpdeKip/Tr09v7A68nU6zjddZNqe3L3k3WqwdPvbrF1BCvfwf39N7Z2Fi5nAbkwigl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FfOMUAAADcAAAADwAAAAAAAAAA&#10;AAAAAAChAgAAZHJzL2Rvd25yZXYueG1sUEsFBgAAAAAEAAQA+QAAAJMDAAAAAA==&#10;">
                    <v:stroke endarrow="block"/>
                  </v:line>
                  <v:line id="Line 63" o:spid="_x0000_s1826" style="position:absolute;flip:x;visibility:visible;mso-wrap-style:square" from="4794,9785" to="9283,97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F2AMMAAADcAAAADwAAAGRycy9kb3ducmV2LnhtbERPz2vCMBS+D/wfwhO8jJkqQ7QziggD&#10;D16mUvH21rw1pc1LTTLt/vvlIHj8+H4v171txY18qB0rmIwzEMSl0zVXCk7Hz7c5iBCRNbaOScEf&#10;BVivBi9LzLW78xfdDrESKYRDjgpMjF0uZSgNWQxj1xEn7sd5izFBX0nt8Z7CbSunWTaTFmtODQY7&#10;2hoqm8OvVSDn+9er33y/N0VzPi9MURbdZa/UaNhvPkBE6uNT/HDvtILpJM1PZ9IRkK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hdgDDAAAA3AAAAA8AAAAAAAAAAAAA&#10;AAAAoQIAAGRycy9kb3ducmV2LnhtbFBLBQYAAAAABAAEAPkAAACRAwAAAAA=&#10;"/>
                  <v:line id="Line 64" o:spid="_x0000_s1827" style="position:absolute;flip:x;visibility:visible;mso-wrap-style:square" from="6203,9823" to="7188,9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7F48UAAADcAAAADwAAAGRycy9kb3ducmV2LnhtbESPQWvCQBCF74X+h2UKvQTdRKHU6Cqt&#10;VSgUD1UPHofsmASzsyE7avz3XUHo8fHmfW/ebNG7Rl2oC7VnA9kwBUVceFtzaWC/Ww/eQQVBtth4&#10;JgM3CrCYPz/NMLf+yr902UqpIoRDjgYqkTbXOhQVOQxD3xJH7+g7hxJlV2rb4TXCXaNHafqmHdYc&#10;GypsaVlRcdqeXXxjveGv8Tj5dDpJJrQ6yE+qxZjXl/5jCkqol//jR/rbGhhlGdzHRALo+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A7F48UAAADcAAAADwAAAAAAAAAA&#10;AAAAAAChAgAAZHJzL2Rvd25yZXYueG1sUEsFBgAAAAAEAAQA+QAAAJMDAAAAAA==&#10;">
                    <v:stroke endarrow="block"/>
                  </v:line>
                  <v:oval id="Oval 65" o:spid="_x0000_s1828" style="position:absolute;left:2057;top:8782;width:2584;height:2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Olo8QA&#10;AADcAAAADwAAAGRycy9kb3ducmV2LnhtbESPT2vCQBTE7wW/w/KE3urmD4qkriJKwR56aLT3R/aZ&#10;BLNvQ/YZ02/fLRR6HGbmN8xmN7lOjTSE1rOBdJGAIq68bbk2cDm/vaxBBUG22HkmA98UYLedPW2w&#10;sP7BnzSWUqsI4VCggUakL7QOVUMOw8L3xNG7+sGhRDnU2g74iHDX6SxJVtphy3GhwZ4ODVW38u4M&#10;HOt9uRp1Lsv8ejzJ8vb18Z6nxjzPp/0rKKFJ/sN/7ZM1kKUZ/J6JR0B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DpaPEAAAA3AAAAA8AAAAAAAAAAAAAAAAAmAIAAGRycy9k&#10;b3ducmV2LnhtbFBLBQYAAAAABAAEAPUAAACJAwAAAAA=&#10;"/>
                  <v:shape id="Text Box 66" o:spid="_x0000_s1829" type="#_x0000_t202" style="position:absolute;left:889;top:3905;width:8743;height:6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52NsQA&#10;AADcAAAADwAAAGRycy9kb3ducmV2LnhtbESPT2vCQBTE7wW/w/IEb7qrtqIxG5GWQk8t/gVvj+wz&#10;CWbfhuzWpN++WxB6HGbmN0y66W0t7tT6yrGG6USBIM6dqbjQcDy8j5cgfEA2WDsmDT/kYZMNnlJM&#10;jOt4R/d9KESEsE9QQxlCk0jp85Is+olriKN3da3FEGVbSNNiF+G2ljOlFtJixXGhxIZeS8pv+2+r&#10;4fR5vZyf1VfxZl+azvVKsl1JrUfDfrsGEagP/+FH+8NomE3n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djbEAAAA3AAAAA8AAAAAAAAAAAAAAAAAmAIAAGRycy9k&#10;b3ducmV2LnhtbFBLBQYAAAAABAAEAPUAAACJAwAAAAA=&#10;" filled="f" stroked="f">
                    <v:textbox>
                      <w:txbxContent>
                        <w:p w14:paraId="2616B9CC" w14:textId="77777777" w:rsidR="00CB53E4" w:rsidRDefault="00CB53E4" w:rsidP="0031675F">
                          <w:pPr>
                            <w:rPr>
                              <w:b/>
                              <w:sz w:val="16"/>
                              <w:szCs w:val="16"/>
                            </w:rPr>
                          </w:pPr>
                          <w:r>
                            <w:rPr>
                              <w:b/>
                              <w:sz w:val="16"/>
                              <w:szCs w:val="16"/>
                            </w:rPr>
                            <w:t>540 nm Detector</w:t>
                          </w:r>
                        </w:p>
                        <w:p w14:paraId="50E297CE" w14:textId="77777777" w:rsidR="00CB53E4" w:rsidRPr="004539E3" w:rsidRDefault="00CB53E4" w:rsidP="0031675F">
                          <w:pPr>
                            <w:rPr>
                              <w:b/>
                              <w:sz w:val="16"/>
                              <w:szCs w:val="16"/>
                            </w:rPr>
                          </w:pPr>
                        </w:p>
                      </w:txbxContent>
                    </v:textbox>
                  </v:shape>
                  <v:line id="Line 67" o:spid="_x0000_s1830" style="position:absolute;visibility:visible;mso-wrap-style:square" from="3359,10699" to="3359,14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7xfMcAAADcAAAADwAAAGRycy9kb3ducmV2LnhtbESPT2vCQBTE70K/w/IK3nSjliCpq0hL&#10;QXsQ/xTa4zP7TGKzb8PuNkm/vSsUehxm5jfMYtWbWrTkfGVZwWScgCDOra64UPBxehvNQfiArLG2&#10;TAp+ycNq+TBYYKZtxwdqj6EQEcI+QwVlCE0mpc9LMujHtiGO3sU6gyFKV0jtsItwU8tpkqTSYMVx&#10;ocSGXkrKv48/RsFutk/b9fZ9039u03P+ejh/XTun1PCxXz+DCNSH//Bfe6MVTCdPcD8Tj4B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3PvF8xwAAANwAAAAPAAAAAAAA&#10;AAAAAAAAAKECAABkcnMvZG93bnJldi54bWxQSwUGAAAAAAQABAD5AAAAlQMAAAAA&#10;"/>
                  <v:line id="Line 68" o:spid="_x0000_s1831" style="position:absolute;visibility:visible;mso-wrap-style:square" from="3359,11620" to="3359,130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qEc8UAAADcAAAADwAAAGRycy9kb3ducmV2LnhtbESPQWsCMRSE70L/Q3iF3jS7grWuRild&#10;hB60oJaeXzfPzdLNy7JJ1/jvG6HgcZiZb5jVJtpWDNT7xrGCfJKBIK6cbrhW8Hnajl9A+ICssXVM&#10;Cq7kYbN+GK2w0O7CBxqOoRYJwr5ABSaErpDSV4Ys+onriJN3dr3FkGRfS93jJcFtK6dZ9iwtNpwW&#10;DHb0Zqj6Of5aBXNTHuRclrvTRzk0+SLu49f3Qqmnx/i6BBEohnv4v/2uFUzzG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EqEc8UAAADcAAAADwAAAAAAAAAA&#10;AAAAAAChAgAAZHJzL2Rvd25yZXYueG1sUEsFBgAAAAAEAAQA+QAAAJMDAAAAAA==&#10;">
                    <v:stroke endarrow="block"/>
                  </v:line>
                  <v:rect id="Rectangle 69" o:spid="_x0000_s1832" style="position:absolute;left:1835;top:14954;width:3118;height:3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13MMA&#10;AADcAAAADwAAAGRycy9kb3ducmV2LnhtbESPQYvCMBSE7wv+h/AEb2tqBXGrUcTFRY9aL96ezbOt&#10;Ni+liVr99UYQ9jjMzDfMdN6aStyocaVlBYN+BII4s7rkXME+XX2PQTiPrLGyTAoe5GA+63xNMdH2&#10;zlu67XwuAoRdggoK7+tESpcVZND1bU0cvJNtDPogm1zqBu8BbioZR9FIGiw5LBRY07Kg7LK7GgXH&#10;Mt7jc5v+ReZnNfSbNj1fD79K9brtYgLCU+v/w5/2WiuIByN4nwlHQM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13MMAAADcAAAADwAAAAAAAAAAAAAAAACYAgAAZHJzL2Rv&#10;d25yZXYueG1sUEsFBgAAAAAEAAQA9QAAAIgDAAAAAA==&#10;"/>
                  <v:shape id="Text Box 70" o:spid="_x0000_s1833" type="#_x0000_t202" style="position:absolute;left:1212;top:18376;width:7227;height:48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VwNcQA&#10;AADcAAAADwAAAGRycy9kb3ducmV2LnhtbESPT2vCQBTE7wW/w/IEb7qr2KoxG5GWQk8t/gVvj+wz&#10;CWbfhuzWpN++WxB6HGbmN0y66W0t7tT6yrGG6USBIM6dqbjQcDy8j5cgfEA2WDsmDT/kYZMNnlJM&#10;jOt4R/d9KESEsE9QQxlCk0jp85Is+olriKN3da3FEGVbSNNiF+G2ljOlXqTFiuNCiQ29lpTf9t9W&#10;w+nzejnP1VfxZp+bzvVKsl1JrUfDfrsGEagP/+FH+8NomE0X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FcDXEAAAA3AAAAA8AAAAAAAAAAAAAAAAAmAIAAGRycy9k&#10;b3ducmV2LnhtbFBLBQYAAAAABAAEAPUAAACJAwAAAAA=&#10;" filled="f" stroked="f">
                    <v:textbox>
                      <w:txbxContent>
                        <w:p w14:paraId="6F56DC01" w14:textId="77777777" w:rsidR="00CB53E4" w:rsidRPr="00C1444C" w:rsidRDefault="00CB53E4" w:rsidP="0031675F">
                          <w:pPr>
                            <w:rPr>
                              <w:b/>
                              <w:sz w:val="16"/>
                              <w:szCs w:val="16"/>
                            </w:rPr>
                          </w:pPr>
                          <w:r>
                            <w:rPr>
                              <w:b/>
                              <w:sz w:val="16"/>
                              <w:szCs w:val="16"/>
                            </w:rPr>
                            <w:t>Waste</w:t>
                          </w:r>
                        </w:p>
                      </w:txbxContent>
                    </v:textbox>
                  </v:shape>
                  <v:shape id="Text Box 71" o:spid="_x0000_s1834" type="#_x0000_t202" alt="Outline of flowchart." style="position:absolute;left:27527;top:5340;width:17259;height:6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rkR8AA&#10;AADcAAAADwAAAGRycy9kb3ducmV2LnhtbERPTYvCMBC9C/6HMII3TRRX3GoUUQRPK9bdBW9DM7bF&#10;ZlKaaOu/N4eFPT7e92rT2Uo8qfGlYw2TsQJBnDlTcq7h+3IYLUD4gGywckwaXuRhs+73VpgY1/KZ&#10;nmnIRQxhn6CGIoQ6kdJnBVn0Y1cTR+7mGoshwiaXpsE2httKTpWaS4slx4YCa9oVlN3Th9Xw83W7&#10;/s7UKd/bj7p1nZJsP6XWw0G3XYII1IV/8Z/7aDRMJ3FtPBOPgF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NrkR8AAAADcAAAADwAAAAAAAAAAAAAAAACYAgAAZHJzL2Rvd25y&#10;ZXYueG1sUEsFBgAAAAAEAAQA9QAAAIUDAAAAAA==&#10;" filled="f" stroked="f">
                    <v:textbox>
                      <w:txbxContent>
                        <w:p w14:paraId="0F54D738" w14:textId="77777777" w:rsidR="00CB53E4" w:rsidRPr="00601075" w:rsidRDefault="00CB53E4" w:rsidP="0031675F">
                          <w:pPr>
                            <w:rPr>
                              <w:b/>
                              <w:sz w:val="20"/>
                            </w:rPr>
                          </w:pPr>
                          <w:r>
                            <w:rPr>
                              <w:b/>
                              <w:sz w:val="20"/>
                            </w:rPr>
                            <w:t>TN Manifold – Nitrogen Total Alkaline Persulfate</w:t>
                          </w:r>
                        </w:p>
                      </w:txbxContent>
                    </v:textbox>
                  </v:shape>
                </v:group>
                <w10:anchorlock/>
              </v:group>
            </w:pict>
          </mc:Fallback>
        </mc:AlternateContent>
      </w:r>
    </w:p>
    <w:p w14:paraId="62C3713F" w14:textId="77777777" w:rsidR="0031675F" w:rsidRPr="0031675F" w:rsidRDefault="0031675F" w:rsidP="0031675F">
      <w:pPr>
        <w:sectPr w:rsidR="0031675F" w:rsidRPr="0031675F" w:rsidSect="00084431">
          <w:headerReference w:type="default" r:id="rId224"/>
          <w:footerReference w:type="default" r:id="rId225"/>
          <w:pgSz w:w="11907" w:h="16840" w:code="9"/>
          <w:pgMar w:top="1418" w:right="1418" w:bottom="1418" w:left="1418" w:header="708" w:footer="708" w:gutter="0"/>
          <w:cols w:space="708"/>
          <w:docGrid w:linePitch="360"/>
        </w:sectPr>
      </w:pPr>
    </w:p>
    <w:p w14:paraId="1CF27574" w14:textId="344C635A" w:rsidR="00F5511E" w:rsidRDefault="00F5511E" w:rsidP="00D332D9">
      <w:pPr>
        <w:pStyle w:val="Heading2"/>
        <w:numPr>
          <w:ilvl w:val="0"/>
          <w:numId w:val="0"/>
        </w:numPr>
        <w:ind w:left="284" w:hanging="284"/>
        <w:jc w:val="center"/>
      </w:pPr>
      <w:bookmarkStart w:id="760" w:name="_Toc12365649"/>
      <w:r w:rsidRPr="0031675F">
        <w:t>Appendix</w:t>
      </w:r>
      <w:r w:rsidRPr="0031675F">
        <w:rPr>
          <w:spacing w:val="-14"/>
        </w:rPr>
        <w:t xml:space="preserve"> </w:t>
      </w:r>
      <w:r w:rsidRPr="0031675F">
        <w:t>B</w:t>
      </w:r>
      <w:r>
        <w:t xml:space="preserve">9 </w:t>
      </w:r>
      <w:r w:rsidRPr="00F5511E">
        <w:t>TropWater Auto-analysis methods:</w:t>
      </w:r>
      <w:r w:rsidR="00D332D9">
        <w:t xml:space="preserve"> </w:t>
      </w:r>
      <w:r w:rsidRPr="00F5511E">
        <w:t>Phosphorus – Total Alkaline Persulfate</w:t>
      </w:r>
      <w:bookmarkEnd w:id="760"/>
    </w:p>
    <w:p w14:paraId="6DD04FD6" w14:textId="77777777" w:rsidR="0031675F" w:rsidRPr="0031675F" w:rsidRDefault="0031675F" w:rsidP="0031675F">
      <w:pPr>
        <w:jc w:val="center"/>
      </w:pPr>
    </w:p>
    <w:p w14:paraId="6B93A506" w14:textId="77777777" w:rsidR="0031675F" w:rsidRPr="0031675F" w:rsidRDefault="0031675F" w:rsidP="0031675F">
      <w:pPr>
        <w:jc w:val="center"/>
      </w:pPr>
      <w:r w:rsidRPr="0031675F">
        <w:rPr>
          <w:noProof/>
          <w:lang w:eastAsia="en-AU"/>
        </w:rPr>
        <w:drawing>
          <wp:inline distT="0" distB="0" distL="0" distR="0" wp14:anchorId="7AB1FADE" wp14:editId="18F200D3">
            <wp:extent cx="2296160" cy="1401445"/>
            <wp:effectExtent l="0" t="0" r="8890" b="8255"/>
            <wp:docPr id="227" name="Picture 227"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88" r:link="rId189">
                      <a:extLst>
                        <a:ext uri="{28A0092B-C50C-407E-A947-70E740481C1C}">
                          <a14:useLocalDpi xmlns:a14="http://schemas.microsoft.com/office/drawing/2010/main" val="0"/>
                        </a:ext>
                      </a:extLst>
                    </a:blip>
                    <a:srcRect/>
                    <a:stretch>
                      <a:fillRect/>
                    </a:stretch>
                  </pic:blipFill>
                  <pic:spPr bwMode="auto">
                    <a:xfrm>
                      <a:off x="0" y="0"/>
                      <a:ext cx="2296160" cy="1401445"/>
                    </a:xfrm>
                    <a:prstGeom prst="rect">
                      <a:avLst/>
                    </a:prstGeom>
                    <a:noFill/>
                    <a:ln>
                      <a:noFill/>
                    </a:ln>
                  </pic:spPr>
                </pic:pic>
              </a:graphicData>
            </a:graphic>
          </wp:inline>
        </w:drawing>
      </w:r>
    </w:p>
    <w:p w14:paraId="1A2EC0C2" w14:textId="77777777" w:rsidR="0031675F" w:rsidRPr="0031675F" w:rsidRDefault="0031675F" w:rsidP="0031675F">
      <w:pPr>
        <w:jc w:val="center"/>
      </w:pPr>
    </w:p>
    <w:p w14:paraId="0EA58368" w14:textId="77777777" w:rsidR="0031675F" w:rsidRPr="0031675F" w:rsidRDefault="0031675F" w:rsidP="0031675F">
      <w:pPr>
        <w:jc w:val="center"/>
      </w:pPr>
    </w:p>
    <w:p w14:paraId="7EAEF7B5" w14:textId="77777777" w:rsidR="0031675F" w:rsidRPr="0031675F" w:rsidRDefault="0031675F" w:rsidP="0031675F">
      <w:pPr>
        <w:jc w:val="center"/>
        <w:rPr>
          <w:rFonts w:cs="Arial"/>
        </w:rPr>
      </w:pPr>
    </w:p>
    <w:p w14:paraId="1961CD2C" w14:textId="77777777" w:rsidR="0031675F" w:rsidRPr="0031675F" w:rsidRDefault="0031675F" w:rsidP="0031675F"/>
    <w:p w14:paraId="5808D28C" w14:textId="77777777" w:rsidR="0031675F" w:rsidRPr="0031675F" w:rsidRDefault="0031675F" w:rsidP="0031675F">
      <w:pPr>
        <w:rPr>
          <w:b/>
        </w:rPr>
      </w:pPr>
    </w:p>
    <w:p w14:paraId="65821C39" w14:textId="77777777" w:rsidR="0031675F" w:rsidRPr="0031675F" w:rsidRDefault="0031675F" w:rsidP="0031675F">
      <w:pPr>
        <w:rPr>
          <w:b/>
        </w:rPr>
        <w:sectPr w:rsidR="0031675F" w:rsidRPr="0031675F" w:rsidSect="00084431">
          <w:headerReference w:type="default" r:id="rId226"/>
          <w:footerReference w:type="default" r:id="rId227"/>
          <w:pgSz w:w="11907" w:h="16840" w:code="9"/>
          <w:pgMar w:top="1418" w:right="1418" w:bottom="1418" w:left="1418" w:header="709" w:footer="709" w:gutter="0"/>
          <w:cols w:space="708"/>
          <w:vAlign w:val="center"/>
          <w:docGrid w:linePitch="360"/>
        </w:sectPr>
      </w:pPr>
    </w:p>
    <w:p w14:paraId="4B81AEF7" w14:textId="77777777" w:rsidR="0031675F" w:rsidRPr="0031675F" w:rsidRDefault="0031675F" w:rsidP="0031675F">
      <w:pPr>
        <w:rPr>
          <w:b/>
          <w:sz w:val="28"/>
          <w:szCs w:val="28"/>
        </w:rPr>
      </w:pPr>
      <w:r w:rsidRPr="0031675F">
        <w:rPr>
          <w:b/>
          <w:sz w:val="28"/>
          <w:szCs w:val="28"/>
        </w:rPr>
        <w:t>Phosphorus – Total Alkaline Persulfate</w:t>
      </w:r>
    </w:p>
    <w:p w14:paraId="49222806" w14:textId="77777777" w:rsidR="0031675F" w:rsidRPr="0031675F" w:rsidRDefault="0031675F" w:rsidP="0031675F">
      <w:pPr>
        <w:shd w:val="clear" w:color="auto" w:fill="D9D9D9"/>
        <w:ind w:left="540" w:hanging="540"/>
        <w:rPr>
          <w:b/>
        </w:rPr>
      </w:pPr>
      <w:r w:rsidRPr="0031675F">
        <w:rPr>
          <w:b/>
        </w:rPr>
        <w:t xml:space="preserve">1.0 </w:t>
      </w:r>
      <w:r w:rsidRPr="0031675F">
        <w:rPr>
          <w:b/>
        </w:rPr>
        <w:tab/>
      </w:r>
      <w:r w:rsidRPr="0031675F">
        <w:rPr>
          <w:b/>
          <w:caps/>
        </w:rPr>
        <w:t>Scope and Application</w:t>
      </w:r>
      <w:r w:rsidRPr="0031675F">
        <w:rPr>
          <w:b/>
        </w:rPr>
        <w:t xml:space="preserve"> </w:t>
      </w:r>
    </w:p>
    <w:p w14:paraId="3E665668" w14:textId="77777777" w:rsidR="0031675F" w:rsidRPr="0031675F" w:rsidRDefault="0031675F" w:rsidP="0031675F">
      <w:pPr>
        <w:ind w:left="540" w:hanging="540"/>
      </w:pPr>
    </w:p>
    <w:p w14:paraId="770DA0A8" w14:textId="77777777" w:rsidR="0031675F" w:rsidRPr="0031675F" w:rsidRDefault="0031675F" w:rsidP="0031675F">
      <w:r w:rsidRPr="0031675F">
        <w:t xml:space="preserve">This method provides a procedure for the determination on Total Phosphorus (TP) in drinking, surface, groundwater, saline and effluent wastewater samples using persulfate digestion. This method is also used for Total Filterable Phosphorus (TFP) determination. </w:t>
      </w:r>
    </w:p>
    <w:p w14:paraId="60D934CE" w14:textId="77777777" w:rsidR="0031675F" w:rsidRPr="0031675F" w:rsidRDefault="0031675F" w:rsidP="0031675F"/>
    <w:p w14:paraId="07CBB2B5" w14:textId="77777777" w:rsidR="0031675F" w:rsidRPr="0031675F" w:rsidRDefault="0031675F" w:rsidP="0031675F">
      <w:r w:rsidRPr="0031675F">
        <w:t>Both Total Phosphorus/Total Filterable Phosphorus and Total Nitrogen/Total Filterable Nitrogen are digested simultaneously and also auto analysed simultaneously.</w:t>
      </w:r>
    </w:p>
    <w:p w14:paraId="2C938480" w14:textId="77777777" w:rsidR="0031675F" w:rsidRPr="0031675F" w:rsidRDefault="0031675F" w:rsidP="0031675F"/>
    <w:p w14:paraId="324EE590" w14:textId="7F7247C5" w:rsidR="0031675F" w:rsidRPr="0031675F" w:rsidRDefault="0031675F" w:rsidP="0031675F">
      <w:r w:rsidRPr="0031675F">
        <w:t>The working range is 0.005 – 0.2 mg</w:t>
      </w:r>
      <w:r w:rsidR="00E817CB" w:rsidRPr="00E817CB">
        <w:t xml:space="preserve"> L</w:t>
      </w:r>
      <w:r w:rsidR="00E817CB" w:rsidRPr="00E817CB">
        <w:rPr>
          <w:vertAlign w:val="superscript"/>
        </w:rPr>
        <w:t>-1</w:t>
      </w:r>
      <w:r w:rsidRPr="0031675F">
        <w:t xml:space="preserve"> as P.</w:t>
      </w:r>
    </w:p>
    <w:p w14:paraId="17C98E98" w14:textId="77777777" w:rsidR="0031675F" w:rsidRPr="0031675F" w:rsidRDefault="0031675F" w:rsidP="0031675F"/>
    <w:p w14:paraId="2A70296C" w14:textId="77777777" w:rsidR="0031675F" w:rsidRPr="0031675F" w:rsidRDefault="0031675F" w:rsidP="0031675F">
      <w:r w:rsidRPr="0031675F">
        <w:t>This is an automated colorimetric method for the detection of Total Phosphorus. Organic phosphorus in water samples is converted to ortho-phosphate by digestion at 121°C with persulfate in an acidic medium. The resulting digest is then analysed using an automated segmented flow analyser. Ammonium molybdate and antimony potassium tartrate react in an acidic medium with dilute solutions of phosphate to form an antimony-phosphomolybdate complex. This complex is reduced to an intense blue colored complex by the addition of ascorbic acid. The color produced is proportional to the phosphate concentration present in the sample. This color is read spectrophotometrically at 885nm.</w:t>
      </w:r>
    </w:p>
    <w:p w14:paraId="2BF1E3A9" w14:textId="77777777" w:rsidR="0031675F" w:rsidRPr="0031675F" w:rsidRDefault="0031675F" w:rsidP="0031675F"/>
    <w:p w14:paraId="79B7928C" w14:textId="77777777" w:rsidR="0031675F" w:rsidRPr="0031675F" w:rsidRDefault="0031675F" w:rsidP="0031675F">
      <w:pPr>
        <w:numPr>
          <w:ilvl w:val="1"/>
          <w:numId w:val="172"/>
        </w:numPr>
        <w:tabs>
          <w:tab w:val="clear" w:pos="1080"/>
        </w:tabs>
        <w:spacing w:before="0" w:after="0" w:line="240" w:lineRule="auto"/>
        <w:ind w:left="540" w:hanging="540"/>
        <w:jc w:val="both"/>
        <w:rPr>
          <w:b/>
        </w:rPr>
      </w:pPr>
      <w:r w:rsidRPr="0031675F">
        <w:rPr>
          <w:b/>
        </w:rPr>
        <w:t>Interferences</w:t>
      </w:r>
    </w:p>
    <w:p w14:paraId="127E01FE" w14:textId="77777777" w:rsidR="0031675F" w:rsidRPr="0031675F" w:rsidRDefault="0031675F" w:rsidP="0031675F">
      <w:pPr>
        <w:rPr>
          <w:b/>
        </w:rPr>
      </w:pPr>
    </w:p>
    <w:p w14:paraId="071F2DF1" w14:textId="1513898E" w:rsidR="0031675F" w:rsidRPr="0031675F" w:rsidRDefault="0031675F" w:rsidP="0031675F">
      <w:pPr>
        <w:ind w:left="1080" w:hanging="540"/>
      </w:pPr>
      <w:r w:rsidRPr="0031675F">
        <w:rPr>
          <w:b/>
        </w:rPr>
        <w:t xml:space="preserve">1.1.2 </w:t>
      </w:r>
      <w:r w:rsidRPr="0031675F">
        <w:rPr>
          <w:b/>
        </w:rPr>
        <w:tab/>
      </w:r>
      <w:r w:rsidRPr="0031675F">
        <w:t>Samples containing high amounts of particulate matter (i.e. TSS mg</w:t>
      </w:r>
      <w:r w:rsidR="00E817CB" w:rsidRPr="00E817CB">
        <w:t xml:space="preserve"> L</w:t>
      </w:r>
      <w:r w:rsidR="00E817CB" w:rsidRPr="00E817CB">
        <w:rPr>
          <w:vertAlign w:val="superscript"/>
        </w:rPr>
        <w:t>-1</w:t>
      </w:r>
      <w:r w:rsidRPr="0031675F">
        <w:t xml:space="preserve"> value &gt; 100) may give poor total phosphorus recoveries. The dilution of these samples will derive nutrient concentrations that are considered to best reflect the ‘total’ phosphorus that is potentially bioavailable and limited to the non-geochemical phosphorus that is unlikely to be bioavailable, at least within a relative short term period e.g. months to years. This issue confronts some laboratories with respect to the most reliable nutrient digest procedure, but the focus of the TropWater Water Quality Laboratory is primarily to utilise the most appropriate method to determine the total bioavailable pool of phosphorus to the aquatic system.</w:t>
      </w:r>
    </w:p>
    <w:p w14:paraId="523220A9" w14:textId="77777777" w:rsidR="0031675F" w:rsidRPr="0031675F" w:rsidRDefault="0031675F" w:rsidP="0031675F">
      <w:pPr>
        <w:ind w:left="1080" w:hanging="540"/>
      </w:pPr>
    </w:p>
    <w:p w14:paraId="681BD061" w14:textId="77777777" w:rsidR="0031675F" w:rsidRPr="0031675F" w:rsidRDefault="0031675F" w:rsidP="0031675F">
      <w:pPr>
        <w:ind w:left="1080" w:hanging="540"/>
      </w:pPr>
      <w:r w:rsidRPr="0031675F">
        <w:rPr>
          <w:b/>
        </w:rPr>
        <w:t>1.1.3</w:t>
      </w:r>
      <w:r w:rsidRPr="0031675F">
        <w:t xml:space="preserve"> </w:t>
      </w:r>
      <w:r w:rsidRPr="0031675F">
        <w:tab/>
        <w:t>For saline samples a two stage digestion process is required to ensure that the white precipitate formed with the addition of the digestion mixture is dissolved, therefore ensuring adequate phosphorus recoveries.</w:t>
      </w:r>
    </w:p>
    <w:p w14:paraId="0E16030A" w14:textId="77777777" w:rsidR="0031675F" w:rsidRPr="0031675F" w:rsidRDefault="0031675F" w:rsidP="0031675F">
      <w:pPr>
        <w:ind w:left="1080" w:hanging="540"/>
      </w:pPr>
    </w:p>
    <w:p w14:paraId="7D7F5C63" w14:textId="77777777" w:rsidR="0031675F" w:rsidRPr="0031675F" w:rsidRDefault="0031675F" w:rsidP="0031675F">
      <w:pPr>
        <w:ind w:left="1080" w:hanging="540"/>
      </w:pPr>
      <w:r w:rsidRPr="0031675F">
        <w:rPr>
          <w:b/>
        </w:rPr>
        <w:t>1.1.4</w:t>
      </w:r>
      <w:r w:rsidRPr="0031675F">
        <w:t xml:space="preserve"> </w:t>
      </w:r>
      <w:r w:rsidRPr="0031675F">
        <w:tab/>
        <w:t>Phosphorus is commonly found in many detergents, therefore it is extremely important that phosphate based detergents are not used to clean any glassware or sample containers. The technician must always be aware of any potential contaminants and take the necessary steps to minimise this error, therefore ensuring the most accurate results are obtained.</w:t>
      </w:r>
    </w:p>
    <w:p w14:paraId="1A08464A" w14:textId="77777777" w:rsidR="0031675F" w:rsidRPr="0031675F" w:rsidRDefault="0031675F" w:rsidP="0031675F">
      <w:pPr>
        <w:ind w:left="1080" w:hanging="540"/>
      </w:pPr>
    </w:p>
    <w:p w14:paraId="4A7D5654" w14:textId="462E0CBF" w:rsidR="0031675F" w:rsidRPr="0031675F" w:rsidRDefault="0031675F" w:rsidP="0031675F">
      <w:pPr>
        <w:ind w:left="1080" w:hanging="540"/>
      </w:pPr>
      <w:r w:rsidRPr="0031675F">
        <w:rPr>
          <w:b/>
        </w:rPr>
        <w:t>1.1.5</w:t>
      </w:r>
      <w:r w:rsidRPr="0031675F">
        <w:t xml:space="preserve"> </w:t>
      </w:r>
      <w:r w:rsidRPr="0031675F">
        <w:tab/>
        <w:t>Arsenate in concentrations above 0.1 mg As</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can interfere with the total phosphorus results with arsenate forming a similar color complex to phosphate with these colorimetric reagents. </w:t>
      </w:r>
    </w:p>
    <w:p w14:paraId="4565BF5D" w14:textId="77777777" w:rsidR="0031675F" w:rsidRPr="0031675F" w:rsidRDefault="0031675F" w:rsidP="0031675F">
      <w:pPr>
        <w:ind w:left="1080" w:hanging="540"/>
      </w:pPr>
    </w:p>
    <w:p w14:paraId="6B6B2D5F" w14:textId="66761085" w:rsidR="0031675F" w:rsidRPr="0031675F" w:rsidRDefault="0031675F" w:rsidP="0031675F">
      <w:pPr>
        <w:ind w:left="1080" w:hanging="540"/>
      </w:pPr>
      <w:r w:rsidRPr="0031675F">
        <w:rPr>
          <w:b/>
        </w:rPr>
        <w:t>1.1.6</w:t>
      </w:r>
      <w:r w:rsidRPr="0031675F">
        <w:t xml:space="preserve"> </w:t>
      </w:r>
      <w:r w:rsidRPr="0031675F">
        <w:tab/>
        <w:t>Sulfides and nitrites at concentrations greater than 10 mg</w:t>
      </w:r>
      <w:r w:rsidR="00E817CB" w:rsidRPr="00E817CB">
        <w:t xml:space="preserve"> L</w:t>
      </w:r>
      <w:r w:rsidR="00E817CB" w:rsidRPr="00E817CB">
        <w:rPr>
          <w:vertAlign w:val="superscript"/>
        </w:rPr>
        <w:t>-1</w:t>
      </w:r>
      <w:r w:rsidRPr="0031675F">
        <w:t xml:space="preserve"> and 1 mg</w:t>
      </w:r>
      <w:r w:rsidR="00E817CB" w:rsidRPr="00E817CB">
        <w:t xml:space="preserve"> L</w:t>
      </w:r>
      <w:r w:rsidR="00E817CB" w:rsidRPr="00E817CB">
        <w:rPr>
          <w:vertAlign w:val="superscript"/>
        </w:rPr>
        <w:t>-1</w:t>
      </w:r>
      <w:r w:rsidR="00E817CB">
        <w:t xml:space="preserve">, </w:t>
      </w:r>
      <w:r w:rsidRPr="0031675F">
        <w:t>respectively</w:t>
      </w:r>
      <w:r w:rsidR="00E817CB">
        <w:t>,</w:t>
      </w:r>
      <w:r w:rsidRPr="0031675F">
        <w:t xml:space="preserve"> can cause positive interference.</w:t>
      </w:r>
    </w:p>
    <w:p w14:paraId="09B88682" w14:textId="77777777" w:rsidR="0031675F" w:rsidRPr="0031675F" w:rsidRDefault="0031675F" w:rsidP="0031675F">
      <w:pPr>
        <w:ind w:left="1080" w:hanging="540"/>
      </w:pPr>
    </w:p>
    <w:p w14:paraId="070CD969" w14:textId="3EC21975" w:rsidR="0031675F" w:rsidRPr="0031675F" w:rsidRDefault="0031675F" w:rsidP="0031675F">
      <w:pPr>
        <w:ind w:left="1080" w:hanging="540"/>
      </w:pPr>
      <w:r w:rsidRPr="0031675F">
        <w:rPr>
          <w:b/>
        </w:rPr>
        <w:t>1.1.7</w:t>
      </w:r>
      <w:r w:rsidRPr="0031675F">
        <w:t xml:space="preserve"> </w:t>
      </w:r>
      <w:r w:rsidRPr="0031675F">
        <w:tab/>
        <w:t>Chromium (VI) and chromium (III) at &gt;2 mg</w:t>
      </w:r>
      <w:r w:rsidR="00E817CB" w:rsidRPr="00E817CB">
        <w:t xml:space="preserve"> L</w:t>
      </w:r>
      <w:r w:rsidR="00E817CB" w:rsidRPr="00E817CB">
        <w:rPr>
          <w:vertAlign w:val="superscript"/>
        </w:rPr>
        <w:t>-1</w:t>
      </w:r>
      <w:r w:rsidRPr="0031675F">
        <w:t xml:space="preserve"> and 30 mg</w:t>
      </w:r>
      <w:r w:rsidR="00E817CB" w:rsidRPr="00E817CB">
        <w:t xml:space="preserve"> L</w:t>
      </w:r>
      <w:r w:rsidR="00E817CB" w:rsidRPr="00E817CB">
        <w:rPr>
          <w:vertAlign w:val="superscript"/>
        </w:rPr>
        <w:t>-1</w:t>
      </w:r>
      <w:r w:rsidR="00E817CB">
        <w:t xml:space="preserve">, </w:t>
      </w:r>
      <w:r w:rsidRPr="0031675F">
        <w:t>respectively</w:t>
      </w:r>
      <w:r w:rsidR="00E817CB">
        <w:t>,</w:t>
      </w:r>
      <w:r w:rsidRPr="0031675F">
        <w:t xml:space="preserve"> cause negative interference by reacting with phosphate.</w:t>
      </w:r>
    </w:p>
    <w:p w14:paraId="12FD3CC2" w14:textId="77777777" w:rsidR="0031675F" w:rsidRPr="0031675F" w:rsidRDefault="0031675F" w:rsidP="0031675F">
      <w:pPr>
        <w:ind w:left="1080" w:hanging="540"/>
      </w:pPr>
    </w:p>
    <w:p w14:paraId="18108704" w14:textId="7A0A45CA" w:rsidR="0031675F" w:rsidRPr="0031675F" w:rsidRDefault="0031675F" w:rsidP="0031675F">
      <w:pPr>
        <w:ind w:left="1080" w:hanging="540"/>
      </w:pPr>
      <w:r w:rsidRPr="0031675F">
        <w:rPr>
          <w:b/>
        </w:rPr>
        <w:t>1.1.8</w:t>
      </w:r>
      <w:r w:rsidRPr="0031675F">
        <w:t xml:space="preserve"> </w:t>
      </w:r>
      <w:r w:rsidRPr="0031675F">
        <w:tab/>
        <w:t>Metal ions, Cu (II) and Fe (III) interfere at concentrations &gt;10 mg</w:t>
      </w:r>
      <w:r w:rsidR="00E817CB" w:rsidRPr="00E817CB">
        <w:t xml:space="preserve"> L</w:t>
      </w:r>
      <w:r w:rsidR="00E817CB" w:rsidRPr="00E817CB">
        <w:rPr>
          <w:vertAlign w:val="superscript"/>
        </w:rPr>
        <w:t>-1</w:t>
      </w:r>
      <w:r w:rsidRPr="0031675F">
        <w:t xml:space="preserve"> causing negative interference by reacting with phosphate.</w:t>
      </w:r>
      <w:r w:rsidRPr="0031675F">
        <w:tab/>
      </w:r>
    </w:p>
    <w:p w14:paraId="4D186232" w14:textId="77777777" w:rsidR="0031675F" w:rsidRPr="0031675F" w:rsidRDefault="0031675F" w:rsidP="0031675F">
      <w:pPr>
        <w:ind w:left="1080" w:hanging="540"/>
      </w:pPr>
    </w:p>
    <w:p w14:paraId="3B7BE56A" w14:textId="77777777" w:rsidR="0031675F" w:rsidRPr="0031675F" w:rsidRDefault="0031675F" w:rsidP="0031675F">
      <w:pPr>
        <w:ind w:left="540" w:hanging="540"/>
      </w:pPr>
      <w:r w:rsidRPr="0031675F">
        <w:rPr>
          <w:b/>
        </w:rPr>
        <w:t xml:space="preserve">1.2 </w:t>
      </w:r>
      <w:r w:rsidRPr="0031675F">
        <w:rPr>
          <w:b/>
        </w:rPr>
        <w:tab/>
      </w:r>
      <w:r w:rsidRPr="0031675F">
        <w:t>Approximately 30 samples per hour can be analysed.</w:t>
      </w:r>
    </w:p>
    <w:p w14:paraId="1B1CF7C4" w14:textId="77777777" w:rsidR="0031675F" w:rsidRPr="0031675F" w:rsidRDefault="0031675F" w:rsidP="0031675F">
      <w:pPr>
        <w:ind w:left="540" w:hanging="540"/>
      </w:pPr>
    </w:p>
    <w:p w14:paraId="4159CF07" w14:textId="77777777" w:rsidR="0031675F" w:rsidRPr="0031675F" w:rsidRDefault="0031675F" w:rsidP="0031675F">
      <w:pPr>
        <w:ind w:left="540" w:hanging="540"/>
      </w:pPr>
      <w:r w:rsidRPr="0031675F">
        <w:rPr>
          <w:b/>
        </w:rPr>
        <w:t>1.3</w:t>
      </w:r>
      <w:r w:rsidRPr="0031675F">
        <w:t xml:space="preserve"> </w:t>
      </w:r>
      <w:r w:rsidRPr="0031675F">
        <w:tab/>
        <w:t>This method requires experience in the use of automated gas segmented flow colorimetric analyses. A minimum of 6 months training under the direct supervision of an experienced nutrient analyst is required before independent nutrient analyses can be performed.</w:t>
      </w:r>
    </w:p>
    <w:p w14:paraId="2D681B8E" w14:textId="77777777" w:rsidR="0031675F" w:rsidRPr="0031675F" w:rsidRDefault="0031675F" w:rsidP="0031675F"/>
    <w:p w14:paraId="0DF5F287" w14:textId="77777777" w:rsidR="0031675F" w:rsidRPr="0031675F" w:rsidRDefault="0031675F" w:rsidP="0031675F">
      <w:pPr>
        <w:keepNext/>
        <w:shd w:val="clear" w:color="auto" w:fill="D9D9D9"/>
        <w:ind w:left="540" w:hanging="540"/>
        <w:rPr>
          <w:b/>
        </w:rPr>
      </w:pPr>
      <w:r w:rsidRPr="0031675F">
        <w:rPr>
          <w:b/>
        </w:rPr>
        <w:t xml:space="preserve">2.0 </w:t>
      </w:r>
      <w:r w:rsidRPr="0031675F">
        <w:rPr>
          <w:b/>
        </w:rPr>
        <w:tab/>
        <w:t>DEFINITIONS</w:t>
      </w:r>
    </w:p>
    <w:p w14:paraId="2F65D3A6" w14:textId="77777777" w:rsidR="0031675F" w:rsidRPr="0031675F" w:rsidRDefault="0031675F" w:rsidP="0031675F">
      <w:pPr>
        <w:keepNext/>
        <w:rPr>
          <w:b/>
        </w:rPr>
      </w:pPr>
    </w:p>
    <w:p w14:paraId="70756064" w14:textId="77777777" w:rsidR="0031675F" w:rsidRPr="0031675F" w:rsidRDefault="0031675F" w:rsidP="0031675F">
      <w:pPr>
        <w:keepNext/>
        <w:ind w:left="540" w:hanging="540"/>
        <w:rPr>
          <w:b/>
        </w:rPr>
      </w:pPr>
      <w:r w:rsidRPr="0031675F">
        <w:rPr>
          <w:b/>
        </w:rPr>
        <w:t xml:space="preserve">2.1 </w:t>
      </w:r>
      <w:r w:rsidRPr="0031675F">
        <w:rPr>
          <w:b/>
        </w:rPr>
        <w:tab/>
        <w:t>Calibration Standard (</w:t>
      </w:r>
      <w:smartTag w:uri="urn:schemas-microsoft-com:office:smarttags" w:element="State">
        <w:smartTag w:uri="urn:schemas-microsoft-com:office:smarttags" w:element="place">
          <w:r w:rsidRPr="0031675F">
            <w:rPr>
              <w:b/>
            </w:rPr>
            <w:t>CAL</w:t>
          </w:r>
        </w:smartTag>
      </w:smartTag>
      <w:r w:rsidRPr="0031675F">
        <w:rPr>
          <w:b/>
        </w:rPr>
        <w:t>)</w:t>
      </w:r>
    </w:p>
    <w:p w14:paraId="61FFDB68" w14:textId="77777777" w:rsidR="0031675F" w:rsidRPr="0031675F" w:rsidRDefault="0031675F" w:rsidP="0031675F">
      <w:pPr>
        <w:ind w:left="540"/>
      </w:pPr>
      <w:r w:rsidRPr="0031675F">
        <w:t xml:space="preserve">A solution prepared from the primary dilution standard solution or stock standard solution containing analytes. The </w:t>
      </w:r>
      <w:smartTag w:uri="urn:schemas-microsoft-com:office:smarttags" w:element="place">
        <w:smartTag w:uri="urn:schemas-microsoft-com:office:smarttags" w:element="State">
          <w:r w:rsidRPr="0031675F">
            <w:t>CAL</w:t>
          </w:r>
        </w:smartTag>
      </w:smartTag>
      <w:r w:rsidRPr="0031675F">
        <w:t xml:space="preserve"> solutions are used to calibrate the instrument response with respect to analyte concentration.</w:t>
      </w:r>
    </w:p>
    <w:p w14:paraId="2F910105" w14:textId="77777777" w:rsidR="0031675F" w:rsidRPr="0031675F" w:rsidRDefault="0031675F" w:rsidP="0031675F">
      <w:pPr>
        <w:ind w:left="540" w:hanging="540"/>
      </w:pPr>
    </w:p>
    <w:p w14:paraId="68E0E74B" w14:textId="77777777" w:rsidR="0031675F" w:rsidRPr="0031675F" w:rsidRDefault="0031675F" w:rsidP="0031675F">
      <w:pPr>
        <w:ind w:left="540" w:hanging="540"/>
        <w:rPr>
          <w:b/>
        </w:rPr>
      </w:pPr>
      <w:r w:rsidRPr="0031675F">
        <w:rPr>
          <w:b/>
        </w:rPr>
        <w:t xml:space="preserve">2.2 </w:t>
      </w:r>
      <w:r w:rsidRPr="0031675F">
        <w:rPr>
          <w:b/>
        </w:rPr>
        <w:tab/>
        <w:t xml:space="preserve">Reagent Water (RM) </w:t>
      </w:r>
    </w:p>
    <w:p w14:paraId="17161738" w14:textId="77777777" w:rsidR="0031675F" w:rsidRPr="0031675F" w:rsidRDefault="0031675F" w:rsidP="0031675F">
      <w:pPr>
        <w:ind w:left="540"/>
      </w:pPr>
      <w:r w:rsidRPr="0031675F">
        <w:t>Type 1 reagent grade water equal to or exceeding standards established by American Society for Testing Materials (ASTN). Reverse osmosis system followed by a Reagent Water System that produces water with 18 M</w:t>
      </w:r>
      <w:r w:rsidRPr="0031675F">
        <w:sym w:font="Symbol" w:char="F057"/>
      </w:r>
      <w:r w:rsidRPr="0031675F">
        <w:t>ohm resistance is used. To avoid contamination the reagent water should be used the day of preparation.</w:t>
      </w:r>
    </w:p>
    <w:p w14:paraId="45857332" w14:textId="77777777" w:rsidR="0031675F" w:rsidRPr="0031675F" w:rsidRDefault="0031675F" w:rsidP="0031675F">
      <w:pPr>
        <w:ind w:left="540"/>
      </w:pPr>
    </w:p>
    <w:p w14:paraId="2BA11351" w14:textId="77777777" w:rsidR="0031675F" w:rsidRPr="0031675F" w:rsidRDefault="0031675F" w:rsidP="0031675F">
      <w:pPr>
        <w:ind w:left="540" w:hanging="540"/>
        <w:rPr>
          <w:b/>
        </w:rPr>
      </w:pPr>
      <w:r w:rsidRPr="0031675F">
        <w:rPr>
          <w:b/>
        </w:rPr>
        <w:t xml:space="preserve">2.3 </w:t>
      </w:r>
      <w:r w:rsidRPr="0031675F">
        <w:rPr>
          <w:b/>
        </w:rPr>
        <w:tab/>
        <w:t xml:space="preserve">Laboratory Spike Blank (B+) </w:t>
      </w:r>
    </w:p>
    <w:p w14:paraId="5D6ECF35" w14:textId="77777777" w:rsidR="0031675F" w:rsidRPr="0031675F" w:rsidRDefault="0031675F" w:rsidP="0031675F">
      <w:pPr>
        <w:ind w:left="540"/>
      </w:pPr>
      <w:r w:rsidRPr="0031675F">
        <w:t>An aliquot of reagent water to which a known quantity of phosphorus is added. The B+ is analysed exactly like a sample, its purpose is to determine the amount of phosphorus added to samples and further used in the calculation on spike recoveries aiding confidence in the digestion procedure recovery.</w:t>
      </w:r>
    </w:p>
    <w:p w14:paraId="7F101AB6" w14:textId="77777777" w:rsidR="0031675F" w:rsidRPr="0031675F" w:rsidRDefault="0031675F" w:rsidP="0031675F">
      <w:pPr>
        <w:ind w:left="540"/>
      </w:pPr>
    </w:p>
    <w:p w14:paraId="27DDBEFD" w14:textId="77777777" w:rsidR="0031675F" w:rsidRPr="0031675F" w:rsidRDefault="0031675F" w:rsidP="0031675F">
      <w:pPr>
        <w:ind w:left="540" w:hanging="540"/>
        <w:rPr>
          <w:b/>
        </w:rPr>
      </w:pPr>
      <w:r w:rsidRPr="0031675F">
        <w:rPr>
          <w:b/>
        </w:rPr>
        <w:t xml:space="preserve">2.4 </w:t>
      </w:r>
      <w:r w:rsidRPr="0031675F">
        <w:rPr>
          <w:b/>
        </w:rPr>
        <w:tab/>
        <w:t>Laboratory Reagent Blank (LRB)</w:t>
      </w:r>
    </w:p>
    <w:p w14:paraId="00F4C7F4" w14:textId="77777777" w:rsidR="0031675F" w:rsidRPr="0031675F" w:rsidRDefault="0031675F" w:rsidP="0031675F">
      <w:pPr>
        <w:ind w:left="540"/>
      </w:pPr>
      <w:r w:rsidRPr="0031675F">
        <w:t>An aliquot of reagent water that is treated exactly as a sample including exposure to all lab ware, equipment, digestion mixture, digestion and reagents that are used with all other samples. The LRB is used to determine if any background interference is present and therefore needs to be taken into consideration when sample results are calculated.</w:t>
      </w:r>
    </w:p>
    <w:p w14:paraId="49A79F87" w14:textId="77777777" w:rsidR="0031675F" w:rsidRPr="0031675F" w:rsidRDefault="0031675F" w:rsidP="0031675F">
      <w:pPr>
        <w:ind w:left="540"/>
      </w:pPr>
    </w:p>
    <w:p w14:paraId="3E9FC740" w14:textId="77777777" w:rsidR="0031675F" w:rsidRPr="0031675F" w:rsidRDefault="0031675F" w:rsidP="0031675F">
      <w:pPr>
        <w:ind w:left="540" w:hanging="540"/>
        <w:rPr>
          <w:b/>
        </w:rPr>
      </w:pPr>
      <w:r w:rsidRPr="0031675F">
        <w:rPr>
          <w:b/>
        </w:rPr>
        <w:t>2.5</w:t>
      </w:r>
      <w:r w:rsidRPr="0031675F">
        <w:rPr>
          <w:b/>
        </w:rPr>
        <w:tab/>
        <w:t>Method Detection Limit (MDL)</w:t>
      </w:r>
    </w:p>
    <w:p w14:paraId="12ABB2F3" w14:textId="77777777" w:rsidR="0031675F" w:rsidRPr="0031675F" w:rsidRDefault="0031675F" w:rsidP="0031675F">
      <w:pPr>
        <w:ind w:left="540"/>
      </w:pPr>
      <w:r w:rsidRPr="0031675F">
        <w:t>The minimum concentration of an analyte that can be identified, measured and reported with 99% confidence that the analyte concentration is greater than zero.</w:t>
      </w:r>
    </w:p>
    <w:p w14:paraId="5FFCDFCE" w14:textId="77777777" w:rsidR="0031675F" w:rsidRPr="0031675F" w:rsidRDefault="0031675F" w:rsidP="0031675F">
      <w:pPr>
        <w:ind w:left="540"/>
      </w:pPr>
    </w:p>
    <w:p w14:paraId="0322BF47" w14:textId="77777777" w:rsidR="0031675F" w:rsidRPr="0031675F" w:rsidRDefault="0031675F" w:rsidP="0031675F">
      <w:pPr>
        <w:ind w:left="540" w:hanging="540"/>
      </w:pPr>
      <w:r w:rsidRPr="0031675F">
        <w:rPr>
          <w:b/>
        </w:rPr>
        <w:t xml:space="preserve">2.6 </w:t>
      </w:r>
      <w:r w:rsidRPr="0031675F">
        <w:rPr>
          <w:b/>
        </w:rPr>
        <w:tab/>
        <w:t xml:space="preserve">Stock Standard Solution (SSS) </w:t>
      </w:r>
      <w:r w:rsidRPr="0031675F">
        <w:t xml:space="preserve"> </w:t>
      </w:r>
    </w:p>
    <w:p w14:paraId="6710A74F" w14:textId="77777777" w:rsidR="0031675F" w:rsidRPr="0031675F" w:rsidRDefault="0031675F" w:rsidP="0031675F">
      <w:pPr>
        <w:ind w:left="540"/>
      </w:pPr>
      <w:r w:rsidRPr="0031675F">
        <w:t>A concentrated solution of method analyte prepared in the laboratory using assayed reference compounds or purchased from a reputable commercial source.</w:t>
      </w:r>
    </w:p>
    <w:p w14:paraId="04EF7B77" w14:textId="77777777" w:rsidR="0031675F" w:rsidRPr="0031675F" w:rsidRDefault="0031675F" w:rsidP="0031675F">
      <w:pPr>
        <w:ind w:left="540"/>
      </w:pPr>
    </w:p>
    <w:p w14:paraId="72602EB6" w14:textId="77777777" w:rsidR="0031675F" w:rsidRPr="0031675F" w:rsidRDefault="0031675F" w:rsidP="0031675F">
      <w:pPr>
        <w:ind w:left="540" w:hanging="540"/>
        <w:rPr>
          <w:b/>
        </w:rPr>
      </w:pPr>
      <w:r w:rsidRPr="0031675F">
        <w:rPr>
          <w:b/>
        </w:rPr>
        <w:t xml:space="preserve">2.7 </w:t>
      </w:r>
      <w:r w:rsidRPr="0031675F">
        <w:rPr>
          <w:b/>
        </w:rPr>
        <w:tab/>
        <w:t>Certified Reference Material (CRM)</w:t>
      </w:r>
    </w:p>
    <w:p w14:paraId="6EECFBF1" w14:textId="77777777" w:rsidR="0031675F" w:rsidRPr="0031675F" w:rsidRDefault="0031675F" w:rsidP="0031675F">
      <w:pPr>
        <w:ind w:left="540"/>
      </w:pPr>
      <w:r w:rsidRPr="0031675F">
        <w:t>“Real’ samples that have been purchased from an external reputable commercial source. The CRM are used to match matrices and concentrations with the samples being analysed to determine the accuracy of results.</w:t>
      </w:r>
    </w:p>
    <w:p w14:paraId="148A4843" w14:textId="77777777" w:rsidR="0031675F" w:rsidRPr="0031675F" w:rsidRDefault="0031675F" w:rsidP="0031675F">
      <w:pPr>
        <w:ind w:left="567" w:hanging="567"/>
        <w:rPr>
          <w:b/>
        </w:rPr>
      </w:pPr>
    </w:p>
    <w:p w14:paraId="1802E19F" w14:textId="77777777" w:rsidR="0031675F" w:rsidRPr="0031675F" w:rsidRDefault="0031675F" w:rsidP="0031675F">
      <w:pPr>
        <w:ind w:left="567" w:hanging="567"/>
      </w:pPr>
      <w:r w:rsidRPr="0031675F">
        <w:rPr>
          <w:b/>
        </w:rPr>
        <w:t xml:space="preserve">2.8 </w:t>
      </w:r>
      <w:r w:rsidRPr="0031675F">
        <w:rPr>
          <w:b/>
        </w:rPr>
        <w:tab/>
      </w:r>
      <w:smartTag w:uri="urn:schemas-microsoft-com:office:smarttags" w:element="place">
        <w:smartTag w:uri="urn:schemas-microsoft-com:office:smarttags" w:element="PlaceName">
          <w:r w:rsidRPr="0031675F">
            <w:rPr>
              <w:b/>
            </w:rPr>
            <w:t>SYNC</w:t>
          </w:r>
        </w:smartTag>
        <w:r w:rsidRPr="0031675F">
          <w:rPr>
            <w:b/>
          </w:rPr>
          <w:t xml:space="preserve"> </w:t>
        </w:r>
        <w:smartTag w:uri="urn:schemas-microsoft-com:office:smarttags" w:element="PlaceType">
          <w:r w:rsidRPr="0031675F">
            <w:rPr>
              <w:b/>
            </w:rPr>
            <w:t>Peak</w:t>
          </w:r>
        </w:smartTag>
      </w:smartTag>
      <w:r w:rsidRPr="0031675F">
        <w:rPr>
          <w:b/>
        </w:rPr>
        <w:t xml:space="preserve"> Solution </w:t>
      </w:r>
    </w:p>
    <w:p w14:paraId="41965BD7" w14:textId="77777777" w:rsidR="0031675F" w:rsidRPr="0031675F" w:rsidRDefault="0031675F" w:rsidP="0031675F">
      <w:pPr>
        <w:ind w:left="540"/>
      </w:pPr>
      <w:r w:rsidRPr="0031675F">
        <w:t>A colored solution used to produce a synchronization peak in the refractive index measurement. A synchronization peak is required by the data acquisition programs to initialize the peak finding parameters. The first cup in every run must always be identified as a SYNC sample. The SYNC sample is usually a high standard, but can be any sample that generates a peak at least 25% of full scale.</w:t>
      </w:r>
    </w:p>
    <w:p w14:paraId="404E2118" w14:textId="77777777" w:rsidR="0031675F" w:rsidRPr="0031675F" w:rsidRDefault="0031675F" w:rsidP="0031675F">
      <w:pPr>
        <w:rPr>
          <w:b/>
        </w:rPr>
      </w:pPr>
    </w:p>
    <w:p w14:paraId="10587555" w14:textId="77777777" w:rsidR="0031675F" w:rsidRPr="0031675F" w:rsidRDefault="0031675F" w:rsidP="0031675F">
      <w:pPr>
        <w:shd w:val="clear" w:color="auto" w:fill="D9D9D9"/>
        <w:ind w:left="540" w:hanging="540"/>
        <w:rPr>
          <w:b/>
        </w:rPr>
      </w:pPr>
      <w:r w:rsidRPr="0031675F">
        <w:rPr>
          <w:b/>
        </w:rPr>
        <w:t xml:space="preserve">3.0 </w:t>
      </w:r>
      <w:r w:rsidRPr="0031675F">
        <w:rPr>
          <w:b/>
        </w:rPr>
        <w:tab/>
        <w:t>SAFETY</w:t>
      </w:r>
    </w:p>
    <w:p w14:paraId="2C99E8AA" w14:textId="77777777" w:rsidR="0031675F" w:rsidRPr="0031675F" w:rsidRDefault="0031675F" w:rsidP="0031675F">
      <w:pPr>
        <w:ind w:left="540" w:hanging="540"/>
        <w:rPr>
          <w:b/>
        </w:rPr>
      </w:pPr>
    </w:p>
    <w:p w14:paraId="277F90BC" w14:textId="77777777" w:rsidR="0031675F" w:rsidRPr="0031675F" w:rsidRDefault="0031675F" w:rsidP="0031675F">
      <w:pPr>
        <w:ind w:left="540" w:hanging="540"/>
      </w:pPr>
      <w:r w:rsidRPr="0031675F">
        <w:rPr>
          <w:b/>
        </w:rPr>
        <w:t xml:space="preserve">3.1 </w:t>
      </w:r>
      <w:r w:rsidRPr="0031675F">
        <w:rPr>
          <w:b/>
        </w:rPr>
        <w:tab/>
      </w:r>
      <w:r w:rsidRPr="0031675F">
        <w:t>Water samples collected from the estuarine and coastal environments are generally not hazardous, however it is of paramount importance that the individual collecting the samples use the proper collection techniques and be aware of potential sources of contamination.</w:t>
      </w:r>
    </w:p>
    <w:p w14:paraId="63E04101" w14:textId="77777777" w:rsidR="0031675F" w:rsidRPr="0031675F" w:rsidRDefault="0031675F" w:rsidP="0031675F">
      <w:pPr>
        <w:ind w:left="540" w:hanging="540"/>
      </w:pPr>
    </w:p>
    <w:p w14:paraId="2D2AB2DC" w14:textId="77777777" w:rsidR="0031675F" w:rsidRPr="0031675F" w:rsidRDefault="0031675F" w:rsidP="0031675F">
      <w:pPr>
        <w:ind w:left="540" w:hanging="540"/>
      </w:pPr>
      <w:r w:rsidRPr="0031675F">
        <w:rPr>
          <w:b/>
        </w:rPr>
        <w:t>3.2</w:t>
      </w:r>
      <w:r w:rsidRPr="0031675F">
        <w:t xml:space="preserve"> </w:t>
      </w:r>
      <w:r w:rsidRPr="0031675F">
        <w:tab/>
        <w:t>High standards of laboratory technique should be used when preparing reagents which should all be of analytical grade. Laboratory personnel should obtain material safety data sheets (MSDS) for all chemicals used in this method, and read and sign acknowledgement over the handling of these chemicals. A lab coat, safety glasses and gloves should be used when handling concentrated acid.</w:t>
      </w:r>
    </w:p>
    <w:p w14:paraId="5A1C6030" w14:textId="77777777" w:rsidR="0031675F" w:rsidRPr="0031675F" w:rsidRDefault="0031675F" w:rsidP="0031675F">
      <w:pPr>
        <w:ind w:left="540" w:hanging="540"/>
      </w:pPr>
    </w:p>
    <w:p w14:paraId="0DA2E91B" w14:textId="77777777" w:rsidR="0031675F" w:rsidRPr="0031675F" w:rsidRDefault="0031675F" w:rsidP="0031675F">
      <w:pPr>
        <w:shd w:val="clear" w:color="auto" w:fill="D9D9D9"/>
        <w:ind w:left="540" w:hanging="540"/>
        <w:rPr>
          <w:b/>
        </w:rPr>
      </w:pPr>
      <w:r w:rsidRPr="0031675F">
        <w:rPr>
          <w:b/>
        </w:rPr>
        <w:t xml:space="preserve">4.0 </w:t>
      </w:r>
      <w:r w:rsidRPr="0031675F">
        <w:rPr>
          <w:b/>
        </w:rPr>
        <w:tab/>
        <w:t>EQUIPMENT AND SUPPLIES</w:t>
      </w:r>
      <w:r w:rsidRPr="0031675F">
        <w:rPr>
          <w:b/>
        </w:rPr>
        <w:tab/>
      </w:r>
    </w:p>
    <w:p w14:paraId="3DD57837" w14:textId="77777777" w:rsidR="0031675F" w:rsidRPr="0031675F" w:rsidRDefault="0031675F" w:rsidP="0031675F">
      <w:pPr>
        <w:ind w:left="540" w:hanging="540"/>
        <w:rPr>
          <w:b/>
        </w:rPr>
      </w:pPr>
    </w:p>
    <w:p w14:paraId="4171B3CA" w14:textId="77777777" w:rsidR="0031675F" w:rsidRPr="0031675F" w:rsidRDefault="0031675F" w:rsidP="0031675F">
      <w:pPr>
        <w:ind w:left="540" w:hanging="540"/>
      </w:pPr>
      <w:r w:rsidRPr="0031675F">
        <w:rPr>
          <w:b/>
        </w:rPr>
        <w:t xml:space="preserve">4.1 </w:t>
      </w:r>
      <w:r w:rsidRPr="0031675F">
        <w:rPr>
          <w:b/>
        </w:rPr>
        <w:tab/>
        <w:t>Gas Segmented Continuous Flow Autoanalyser</w:t>
      </w:r>
      <w:r w:rsidRPr="0031675F">
        <w:t xml:space="preserve"> consisting of:</w:t>
      </w:r>
    </w:p>
    <w:p w14:paraId="420B361B" w14:textId="77777777" w:rsidR="0031675F" w:rsidRPr="0031675F" w:rsidRDefault="0031675F" w:rsidP="0031675F">
      <w:pPr>
        <w:ind w:left="1080" w:hanging="540"/>
      </w:pPr>
    </w:p>
    <w:p w14:paraId="43278EF6" w14:textId="77777777" w:rsidR="0031675F" w:rsidRPr="0031675F" w:rsidRDefault="0031675F" w:rsidP="0031675F">
      <w:pPr>
        <w:ind w:left="1134" w:hanging="567"/>
      </w:pPr>
      <w:r w:rsidRPr="0031675F">
        <w:rPr>
          <w:b/>
        </w:rPr>
        <w:t xml:space="preserve">4.1.1 </w:t>
      </w:r>
      <w:r w:rsidRPr="0031675F">
        <w:rPr>
          <w:b/>
        </w:rPr>
        <w:tab/>
      </w:r>
      <w:r w:rsidRPr="0031675F">
        <w:t xml:space="preserve">Autosampler. </w:t>
      </w:r>
    </w:p>
    <w:p w14:paraId="5FA45572" w14:textId="77777777" w:rsidR="0031675F" w:rsidRPr="0031675F" w:rsidRDefault="0031675F" w:rsidP="0031675F">
      <w:pPr>
        <w:ind w:left="1134" w:hanging="567"/>
      </w:pPr>
    </w:p>
    <w:p w14:paraId="3E6EEDB3" w14:textId="77777777" w:rsidR="0031675F" w:rsidRPr="0031675F" w:rsidRDefault="0031675F" w:rsidP="0031675F">
      <w:pPr>
        <w:ind w:left="1134" w:hanging="567"/>
      </w:pPr>
      <w:r w:rsidRPr="0031675F">
        <w:rPr>
          <w:b/>
        </w:rPr>
        <w:t xml:space="preserve">4.1.2 </w:t>
      </w:r>
      <w:r w:rsidRPr="0031675F">
        <w:rPr>
          <w:b/>
        </w:rPr>
        <w:tab/>
      </w:r>
      <w:r w:rsidRPr="0031675F">
        <w:t>Analytical manifold with a cartridge equipped for heating set to 60°.</w:t>
      </w:r>
    </w:p>
    <w:p w14:paraId="40A1CC76" w14:textId="77777777" w:rsidR="0031675F" w:rsidRPr="0031675F" w:rsidRDefault="0031675F" w:rsidP="0031675F">
      <w:pPr>
        <w:ind w:left="1134" w:hanging="567"/>
      </w:pPr>
    </w:p>
    <w:p w14:paraId="1A2D9BF1" w14:textId="77777777" w:rsidR="0031675F" w:rsidRPr="0031675F" w:rsidRDefault="0031675F" w:rsidP="0031675F">
      <w:pPr>
        <w:ind w:left="1134" w:hanging="567"/>
      </w:pPr>
      <w:r w:rsidRPr="0031675F">
        <w:rPr>
          <w:b/>
        </w:rPr>
        <w:t xml:space="preserve">4.1.3 </w:t>
      </w:r>
      <w:r w:rsidRPr="0031675F">
        <w:rPr>
          <w:b/>
        </w:rPr>
        <w:tab/>
      </w:r>
      <w:r w:rsidRPr="0031675F">
        <w:t>Peristaltic Pump and appropriate tubing.</w:t>
      </w:r>
    </w:p>
    <w:p w14:paraId="62C4348E" w14:textId="77777777" w:rsidR="0031675F" w:rsidRPr="0031675F" w:rsidRDefault="0031675F" w:rsidP="0031675F">
      <w:pPr>
        <w:ind w:left="1134" w:hanging="567"/>
      </w:pPr>
    </w:p>
    <w:p w14:paraId="1C211AC8" w14:textId="77777777" w:rsidR="0031675F" w:rsidRPr="0031675F" w:rsidRDefault="0031675F" w:rsidP="0031675F">
      <w:pPr>
        <w:ind w:left="1134" w:hanging="567"/>
      </w:pPr>
      <w:r w:rsidRPr="0031675F">
        <w:rPr>
          <w:b/>
        </w:rPr>
        <w:t xml:space="preserve">4.1.4 </w:t>
      </w:r>
      <w:r w:rsidRPr="0031675F">
        <w:rPr>
          <w:b/>
        </w:rPr>
        <w:tab/>
      </w:r>
      <w:r w:rsidRPr="0031675F">
        <w:t>Spectrophotometer equipped with a tungsten lamp (380-885 nm) or photometer with an 885 nm interference filter (2 nm bandwidth).</w:t>
      </w:r>
    </w:p>
    <w:p w14:paraId="3D0D336A" w14:textId="77777777" w:rsidR="0031675F" w:rsidRPr="0031675F" w:rsidRDefault="0031675F" w:rsidP="0031675F">
      <w:pPr>
        <w:ind w:left="1134" w:hanging="567"/>
      </w:pPr>
    </w:p>
    <w:p w14:paraId="3E7A2B4C" w14:textId="77777777" w:rsidR="0031675F" w:rsidRPr="0031675F" w:rsidRDefault="0031675F" w:rsidP="0031675F">
      <w:pPr>
        <w:ind w:left="1134" w:hanging="567"/>
      </w:pPr>
      <w:r w:rsidRPr="0031675F">
        <w:rPr>
          <w:b/>
        </w:rPr>
        <w:t xml:space="preserve">4.1.6 </w:t>
      </w:r>
      <w:r w:rsidRPr="0031675F">
        <w:rPr>
          <w:b/>
        </w:rPr>
        <w:tab/>
      </w:r>
      <w:r w:rsidRPr="0031675F">
        <w:t>Computer based data acquisition system.</w:t>
      </w:r>
    </w:p>
    <w:p w14:paraId="6FDBC884" w14:textId="77777777" w:rsidR="0031675F" w:rsidRPr="0031675F" w:rsidRDefault="0031675F" w:rsidP="0031675F">
      <w:pPr>
        <w:ind w:left="1080" w:hanging="540"/>
      </w:pPr>
    </w:p>
    <w:p w14:paraId="5DA85BD9" w14:textId="77777777" w:rsidR="0031675F" w:rsidRPr="0031675F" w:rsidRDefault="0031675F" w:rsidP="0031675F">
      <w:pPr>
        <w:ind w:left="540" w:hanging="540"/>
      </w:pPr>
      <w:r w:rsidRPr="0031675F">
        <w:rPr>
          <w:b/>
        </w:rPr>
        <w:t xml:space="preserve">4.2 </w:t>
      </w:r>
      <w:r w:rsidRPr="0031675F">
        <w:rPr>
          <w:b/>
        </w:rPr>
        <w:tab/>
        <w:t>Glassware and Supplies</w:t>
      </w:r>
    </w:p>
    <w:p w14:paraId="1ED88341" w14:textId="77777777" w:rsidR="0031675F" w:rsidRPr="0031675F" w:rsidRDefault="0031675F" w:rsidP="0031675F">
      <w:pPr>
        <w:ind w:left="540" w:hanging="540"/>
      </w:pPr>
    </w:p>
    <w:p w14:paraId="73300BE8" w14:textId="77777777" w:rsidR="0031675F" w:rsidRPr="0031675F" w:rsidRDefault="0031675F" w:rsidP="0031675F">
      <w:pPr>
        <w:ind w:left="1134" w:hanging="567"/>
      </w:pPr>
      <w:r w:rsidRPr="0031675F">
        <w:rPr>
          <w:b/>
        </w:rPr>
        <w:t xml:space="preserve">4.2.1 </w:t>
      </w:r>
      <w:r w:rsidRPr="0031675F">
        <w:rPr>
          <w:b/>
        </w:rPr>
        <w:tab/>
      </w:r>
      <w:r w:rsidRPr="0031675F">
        <w:t>All labware used in the analysis must be low in residual phosphate to avoid sample or reagent contamination. Rinsing with reverse osmosis water, followed by rinsing with 10% HCl and thoroughly rinsing with reagent water is sufficient.</w:t>
      </w:r>
    </w:p>
    <w:p w14:paraId="1545C56F" w14:textId="77777777" w:rsidR="0031675F" w:rsidRPr="0031675F" w:rsidRDefault="0031675F" w:rsidP="0031675F">
      <w:pPr>
        <w:ind w:left="1134" w:hanging="567"/>
      </w:pPr>
    </w:p>
    <w:p w14:paraId="30B3FA6F" w14:textId="77777777" w:rsidR="0031675F" w:rsidRPr="0031675F" w:rsidRDefault="0031675F" w:rsidP="0031675F">
      <w:pPr>
        <w:ind w:left="1134" w:hanging="567"/>
      </w:pPr>
      <w:r w:rsidRPr="0031675F">
        <w:rPr>
          <w:b/>
        </w:rPr>
        <w:t xml:space="preserve">4.2.2 </w:t>
      </w:r>
      <w:r w:rsidRPr="0031675F">
        <w:rPr>
          <w:b/>
        </w:rPr>
        <w:tab/>
      </w:r>
      <w:r w:rsidRPr="0031675F">
        <w:t>Automatic pipetters capable of delivering volumes ranging from 10-100 μL and 100 – 1000 μL with an assortment of high quality disposable pipette tips. It is standard protocol to check the accuracy of the pipetters at least once per week using a four decimal place analytical balance.</w:t>
      </w:r>
    </w:p>
    <w:p w14:paraId="039B3644" w14:textId="77777777" w:rsidR="0031675F" w:rsidRPr="0031675F" w:rsidRDefault="0031675F" w:rsidP="0031675F">
      <w:pPr>
        <w:ind w:left="1134" w:hanging="567"/>
      </w:pPr>
    </w:p>
    <w:p w14:paraId="747D7C2F" w14:textId="77777777" w:rsidR="0031675F" w:rsidRPr="0031675F" w:rsidRDefault="0031675F" w:rsidP="0031675F">
      <w:pPr>
        <w:ind w:left="1134" w:hanging="567"/>
      </w:pPr>
      <w:r w:rsidRPr="0031675F">
        <w:rPr>
          <w:b/>
        </w:rPr>
        <w:t xml:space="preserve">4.2.3 </w:t>
      </w:r>
      <w:r w:rsidRPr="0031675F">
        <w:rPr>
          <w:b/>
        </w:rPr>
        <w:tab/>
      </w:r>
      <w:r w:rsidRPr="0031675F">
        <w:t>Analytical balance, with capability to measure 4 decimal places for preparing SSS. It is standard protocol to have this balanced serviced and calibrated once per year, then checked weekly with certified weights.</w:t>
      </w:r>
    </w:p>
    <w:p w14:paraId="0D11FABB" w14:textId="77777777" w:rsidR="0031675F" w:rsidRPr="0031675F" w:rsidRDefault="0031675F" w:rsidP="0031675F">
      <w:pPr>
        <w:ind w:left="1134" w:hanging="567"/>
      </w:pPr>
    </w:p>
    <w:p w14:paraId="05CCA1E4" w14:textId="77777777" w:rsidR="0031675F" w:rsidRPr="0031675F" w:rsidRDefault="0031675F" w:rsidP="0031675F">
      <w:pPr>
        <w:ind w:left="1134" w:hanging="567"/>
      </w:pPr>
      <w:r w:rsidRPr="0031675F">
        <w:rPr>
          <w:b/>
        </w:rPr>
        <w:t>4.2.4</w:t>
      </w:r>
      <w:r w:rsidRPr="0031675F">
        <w:t xml:space="preserve"> </w:t>
      </w:r>
      <w:r w:rsidRPr="0031675F">
        <w:tab/>
        <w:t>10 mL and 60 mL sterile high density polypropylene, 30 mL polycarbonate vials, glass volumetric flasks, and glass pipettes.</w:t>
      </w:r>
    </w:p>
    <w:p w14:paraId="166B6605" w14:textId="77777777" w:rsidR="0031675F" w:rsidRPr="0031675F" w:rsidRDefault="0031675F" w:rsidP="0031675F">
      <w:pPr>
        <w:ind w:left="1134" w:hanging="567"/>
      </w:pPr>
    </w:p>
    <w:p w14:paraId="31359E84" w14:textId="77777777" w:rsidR="0031675F" w:rsidRPr="0031675F" w:rsidRDefault="0031675F" w:rsidP="0031675F">
      <w:pPr>
        <w:ind w:left="1134" w:hanging="567"/>
      </w:pPr>
      <w:r w:rsidRPr="0031675F">
        <w:rPr>
          <w:b/>
        </w:rPr>
        <w:t xml:space="preserve">4.2.5 </w:t>
      </w:r>
      <w:r w:rsidRPr="0031675F">
        <w:rPr>
          <w:b/>
        </w:rPr>
        <w:tab/>
      </w:r>
      <w:r w:rsidRPr="0031675F">
        <w:t>105°C drying oven.</w:t>
      </w:r>
    </w:p>
    <w:p w14:paraId="710EF97A" w14:textId="77777777" w:rsidR="0031675F" w:rsidRPr="0031675F" w:rsidRDefault="0031675F" w:rsidP="0031675F">
      <w:pPr>
        <w:ind w:left="1134" w:hanging="567"/>
      </w:pPr>
    </w:p>
    <w:p w14:paraId="6685C11E" w14:textId="77777777" w:rsidR="0031675F" w:rsidRPr="0031675F" w:rsidRDefault="0031675F" w:rsidP="0031675F">
      <w:pPr>
        <w:ind w:left="1134" w:hanging="567"/>
      </w:pPr>
      <w:r w:rsidRPr="0031675F">
        <w:rPr>
          <w:b/>
        </w:rPr>
        <w:t>4.2.6</w:t>
      </w:r>
      <w:r w:rsidRPr="0031675F">
        <w:t xml:space="preserve"> </w:t>
      </w:r>
      <w:r w:rsidRPr="0031675F">
        <w:tab/>
        <w:t>Desiccator.</w:t>
      </w:r>
    </w:p>
    <w:p w14:paraId="344E8938" w14:textId="77777777" w:rsidR="0031675F" w:rsidRPr="0031675F" w:rsidRDefault="0031675F" w:rsidP="0031675F">
      <w:pPr>
        <w:ind w:left="1134" w:hanging="567"/>
      </w:pPr>
    </w:p>
    <w:p w14:paraId="43F303B5" w14:textId="77777777" w:rsidR="0031675F" w:rsidRPr="0031675F" w:rsidRDefault="0031675F" w:rsidP="0031675F">
      <w:pPr>
        <w:ind w:left="1134" w:hanging="567"/>
      </w:pPr>
      <w:r w:rsidRPr="0031675F">
        <w:rPr>
          <w:b/>
        </w:rPr>
        <w:t>4.2.7</w:t>
      </w:r>
      <w:r w:rsidRPr="0031675F">
        <w:t xml:space="preserve"> </w:t>
      </w:r>
      <w:r w:rsidRPr="0031675F">
        <w:tab/>
        <w:t>Polysulphone sterile membrane filters with 0.45 μm nominal pore size. Plastic sterile Terumo syringe.</w:t>
      </w:r>
    </w:p>
    <w:p w14:paraId="5CE212D7" w14:textId="77777777" w:rsidR="0031675F" w:rsidRPr="0031675F" w:rsidRDefault="0031675F" w:rsidP="0031675F">
      <w:pPr>
        <w:ind w:left="1080" w:hanging="540"/>
      </w:pPr>
    </w:p>
    <w:p w14:paraId="67F9A502" w14:textId="77777777" w:rsidR="0031675F" w:rsidRPr="0031675F" w:rsidRDefault="0031675F" w:rsidP="0031675F">
      <w:pPr>
        <w:ind w:left="540" w:hanging="540"/>
      </w:pPr>
      <w:r w:rsidRPr="0031675F">
        <w:rPr>
          <w:b/>
        </w:rPr>
        <w:t>4.3</w:t>
      </w:r>
      <w:r w:rsidRPr="0031675F">
        <w:t xml:space="preserve"> </w:t>
      </w:r>
      <w:r w:rsidRPr="0031675F">
        <w:tab/>
      </w:r>
      <w:r w:rsidRPr="0031675F">
        <w:rPr>
          <w:b/>
        </w:rPr>
        <w:t>Autoclave</w:t>
      </w:r>
      <w:r w:rsidRPr="0031675F">
        <w:br/>
      </w:r>
    </w:p>
    <w:p w14:paraId="6F3C34EF" w14:textId="77777777" w:rsidR="0031675F" w:rsidRPr="0031675F" w:rsidRDefault="0031675F" w:rsidP="0031675F">
      <w:pPr>
        <w:shd w:val="clear" w:color="auto" w:fill="D9D9D9"/>
        <w:ind w:left="540" w:hanging="540"/>
        <w:rPr>
          <w:b/>
        </w:rPr>
      </w:pPr>
      <w:r w:rsidRPr="0031675F">
        <w:rPr>
          <w:b/>
        </w:rPr>
        <w:t xml:space="preserve">5.0 </w:t>
      </w:r>
      <w:r w:rsidRPr="0031675F">
        <w:rPr>
          <w:b/>
        </w:rPr>
        <w:tab/>
        <w:t>REAGENTS AND STANDARDS</w:t>
      </w:r>
    </w:p>
    <w:p w14:paraId="73C7B4A6" w14:textId="77777777" w:rsidR="0031675F" w:rsidRPr="0031675F" w:rsidRDefault="0031675F" w:rsidP="0031675F">
      <w:pPr>
        <w:ind w:left="709" w:hanging="1440"/>
        <w:rPr>
          <w:b/>
        </w:rPr>
      </w:pPr>
      <w:r w:rsidRPr="0031675F">
        <w:rPr>
          <w:b/>
        </w:rPr>
        <w:tab/>
      </w:r>
    </w:p>
    <w:p w14:paraId="4F6A4003" w14:textId="77777777" w:rsidR="0031675F" w:rsidRPr="0031675F" w:rsidRDefault="0031675F" w:rsidP="0031675F">
      <w:pPr>
        <w:ind w:left="540" w:hanging="540"/>
      </w:pPr>
      <w:r w:rsidRPr="0031675F">
        <w:rPr>
          <w:b/>
        </w:rPr>
        <w:t xml:space="preserve">5.1 </w:t>
      </w:r>
      <w:r w:rsidRPr="0031675F">
        <w:rPr>
          <w:b/>
        </w:rPr>
        <w:tab/>
        <w:t>Stock Reagent Solutions</w:t>
      </w:r>
      <w:r w:rsidRPr="0031675F">
        <w:t xml:space="preserve"> – all chemicals are analytical grade quality.</w:t>
      </w:r>
    </w:p>
    <w:p w14:paraId="3A2688BC" w14:textId="77777777" w:rsidR="0031675F" w:rsidRPr="0031675F" w:rsidRDefault="0031675F" w:rsidP="0031675F">
      <w:pPr>
        <w:ind w:left="540" w:hanging="540"/>
      </w:pPr>
    </w:p>
    <w:p w14:paraId="73585F5F" w14:textId="00E36A02" w:rsidR="0031675F" w:rsidRPr="0031675F" w:rsidRDefault="0031675F" w:rsidP="0031675F">
      <w:pPr>
        <w:ind w:left="1134" w:hanging="567"/>
      </w:pPr>
      <w:r w:rsidRPr="0031675F">
        <w:rPr>
          <w:b/>
        </w:rPr>
        <w:t>5.1.1</w:t>
      </w:r>
      <w:r w:rsidRPr="0031675F">
        <w:t xml:space="preserve"> </w:t>
      </w:r>
      <w:r w:rsidRPr="0031675F">
        <w:tab/>
        <w:t>Stock Phosphorus Solution (1000 mg P</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 Quantitatively transfer 4.393 g of pre- dried (105°C for 1 hour minimum) potassium phosphate monobasic (KH</w:t>
      </w:r>
      <w:r w:rsidRPr="0031675F">
        <w:rPr>
          <w:vertAlign w:val="subscript"/>
        </w:rPr>
        <w:t>2</w:t>
      </w:r>
      <w:r w:rsidRPr="0031675F">
        <w:t>PO</w:t>
      </w:r>
      <w:r w:rsidRPr="0031675F">
        <w:rPr>
          <w:vertAlign w:val="subscript"/>
        </w:rPr>
        <w:t>4</w:t>
      </w:r>
      <w:r w:rsidRPr="0031675F">
        <w:t xml:space="preserve"> FW 136.09) to a 1000 mL glass volumetric flask containing 800 mL of reagent water and dissolve. Fill to mark with reagent water and refrigerate. This solution is stable for 2 – 3 weeks.</w:t>
      </w:r>
    </w:p>
    <w:p w14:paraId="204FBFDE" w14:textId="77777777" w:rsidR="0031675F" w:rsidRPr="0031675F" w:rsidRDefault="0031675F" w:rsidP="0031675F">
      <w:pPr>
        <w:ind w:left="1134" w:hanging="567"/>
      </w:pPr>
    </w:p>
    <w:p w14:paraId="2E8060F8" w14:textId="0734A175" w:rsidR="0031675F" w:rsidRPr="0031675F" w:rsidRDefault="0031675F" w:rsidP="0031675F">
      <w:pPr>
        <w:ind w:left="1134" w:hanging="567"/>
      </w:pPr>
      <w:r w:rsidRPr="0031675F">
        <w:rPr>
          <w:b/>
        </w:rPr>
        <w:t>5.1.2</w:t>
      </w:r>
      <w:r w:rsidRPr="0031675F">
        <w:t xml:space="preserve"> </w:t>
      </w:r>
      <w:r w:rsidRPr="0031675F">
        <w:tab/>
        <w:t>Spiking Stock Solution (250 mg P</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 Pipette 1</w:t>
      </w:r>
      <w:r w:rsidR="00660229">
        <w:t xml:space="preserve"> </w:t>
      </w:r>
      <w:r w:rsidRPr="0031675F">
        <w:t>mL of the stock phosphorus solution into a 250 mL glass volumetric containing 230</w:t>
      </w:r>
      <w:r w:rsidR="00660229">
        <w:t xml:space="preserve"> </w:t>
      </w:r>
      <w:r w:rsidRPr="0031675F">
        <w:t>mL of reagent water and then fill to marked line and mix well. This solution should be made daily.</w:t>
      </w:r>
    </w:p>
    <w:p w14:paraId="0E14E236" w14:textId="77777777" w:rsidR="0031675F" w:rsidRPr="0031675F" w:rsidRDefault="0031675F" w:rsidP="0031675F">
      <w:pPr>
        <w:ind w:left="1134" w:hanging="567"/>
      </w:pPr>
    </w:p>
    <w:p w14:paraId="5236FC78" w14:textId="77777777" w:rsidR="0031675F" w:rsidRPr="0031675F" w:rsidRDefault="0031675F" w:rsidP="0031675F">
      <w:pPr>
        <w:ind w:left="1134" w:hanging="567"/>
      </w:pPr>
      <w:r w:rsidRPr="0031675F">
        <w:rPr>
          <w:b/>
        </w:rPr>
        <w:t>5.1.3</w:t>
      </w:r>
      <w:r w:rsidRPr="0031675F">
        <w:t xml:space="preserve"> </w:t>
      </w:r>
      <w:r w:rsidRPr="0031675F">
        <w:tab/>
        <w:t>Sulphuric Acid Solution –Using a 25 mL glass measuring cylinder measure out 14 mL of concentrated sulphuric acid (H</w:t>
      </w:r>
      <w:r w:rsidRPr="0031675F">
        <w:rPr>
          <w:vertAlign w:val="subscript"/>
        </w:rPr>
        <w:t>2</w:t>
      </w:r>
      <w:r w:rsidRPr="0031675F">
        <w:t>SO</w:t>
      </w:r>
      <w:r w:rsidRPr="0031675F">
        <w:rPr>
          <w:vertAlign w:val="subscript"/>
        </w:rPr>
        <w:t>4</w:t>
      </w:r>
      <w:r w:rsidRPr="0031675F">
        <w:t xml:space="preserve"> 98.08) into a 250 mL glass volumetric flask containing approximately 200 mL of reagent water and mix well. Fill to the mark with reagent water. This solution is stable for 1 week.</w:t>
      </w:r>
    </w:p>
    <w:p w14:paraId="2280730B" w14:textId="77777777" w:rsidR="0031675F" w:rsidRPr="0031675F" w:rsidRDefault="0031675F" w:rsidP="0031675F">
      <w:pPr>
        <w:ind w:left="1134" w:hanging="567"/>
      </w:pPr>
    </w:p>
    <w:p w14:paraId="34CA329B" w14:textId="77777777" w:rsidR="0031675F" w:rsidRPr="0031675F" w:rsidRDefault="0031675F" w:rsidP="0031675F">
      <w:pPr>
        <w:ind w:left="1134" w:hanging="567"/>
      </w:pPr>
      <w:r w:rsidRPr="0031675F">
        <w:rPr>
          <w:b/>
        </w:rPr>
        <w:t>5.1.4</w:t>
      </w:r>
      <w:r w:rsidRPr="0031675F">
        <w:t xml:space="preserve"> </w:t>
      </w:r>
      <w:r w:rsidRPr="0031675F">
        <w:tab/>
        <w:t>Ammonium Molybdate Solution - Quantitatively transfer 5.000 g of pre-dried (105°C for 1 hour minimum)  ammonium molybdate ((NH</w:t>
      </w:r>
      <w:r w:rsidRPr="0031675F">
        <w:rPr>
          <w:vertAlign w:val="subscript"/>
        </w:rPr>
        <w:t>4</w:t>
      </w:r>
      <w:r w:rsidRPr="0031675F">
        <w:t>)</w:t>
      </w:r>
      <w:r w:rsidRPr="0031675F">
        <w:rPr>
          <w:vertAlign w:val="subscript"/>
        </w:rPr>
        <w:t>6</w:t>
      </w:r>
      <w:r w:rsidRPr="0031675F">
        <w:t>Mo</w:t>
      </w:r>
      <w:r w:rsidRPr="0031675F">
        <w:rPr>
          <w:vertAlign w:val="subscript"/>
        </w:rPr>
        <w:t>7</w:t>
      </w:r>
      <w:r w:rsidRPr="0031675F">
        <w:t>O</w:t>
      </w:r>
      <w:r w:rsidRPr="0031675F">
        <w:rPr>
          <w:vertAlign w:val="subscript"/>
        </w:rPr>
        <w:t>24</w:t>
      </w:r>
      <w:r w:rsidRPr="0031675F">
        <w:t>.4H</w:t>
      </w:r>
      <w:r w:rsidRPr="0031675F">
        <w:rPr>
          <w:vertAlign w:val="subscript"/>
        </w:rPr>
        <w:t>2</w:t>
      </w:r>
      <w:r w:rsidRPr="0031675F">
        <w:t>0 FW 1235.86) into a 250 mL glass volumetric flask containing approximately 180 mL of reagent water and mix well. Using a 25 mL glass measuring cylinder measure out 8 mL of concentrated sulphuric acid (H</w:t>
      </w:r>
      <w:r w:rsidRPr="0031675F">
        <w:rPr>
          <w:vertAlign w:val="subscript"/>
        </w:rPr>
        <w:t>2</w:t>
      </w:r>
      <w:r w:rsidRPr="0031675F">
        <w:t>SO</w:t>
      </w:r>
      <w:r w:rsidRPr="0031675F">
        <w:rPr>
          <w:vertAlign w:val="subscript"/>
        </w:rPr>
        <w:t>4</w:t>
      </w:r>
      <w:r w:rsidRPr="0031675F">
        <w:t xml:space="preserve"> 98.08) and add to the molybdate mixture. Mix well and fill to the mark with reagent water. This solution is stable for 1 week.</w:t>
      </w:r>
    </w:p>
    <w:p w14:paraId="4C043455" w14:textId="77777777" w:rsidR="0031675F" w:rsidRPr="0031675F" w:rsidRDefault="0031675F" w:rsidP="0031675F">
      <w:pPr>
        <w:ind w:left="1134" w:hanging="567"/>
      </w:pPr>
    </w:p>
    <w:p w14:paraId="58587A6B" w14:textId="77777777" w:rsidR="0031675F" w:rsidRPr="0031675F" w:rsidRDefault="0031675F" w:rsidP="0031675F">
      <w:pPr>
        <w:ind w:left="1134" w:hanging="567"/>
      </w:pPr>
      <w:r w:rsidRPr="0031675F">
        <w:rPr>
          <w:b/>
        </w:rPr>
        <w:t>5.1.5</w:t>
      </w:r>
      <w:r w:rsidRPr="0031675F">
        <w:t xml:space="preserve"> </w:t>
      </w:r>
      <w:r w:rsidRPr="0031675F">
        <w:tab/>
        <w:t>Antimony Potassium Tartrate Solution – Quantitatively transfer 0.125 g of antimony potassium tartrate (KSbO.C</w:t>
      </w:r>
      <w:r w:rsidRPr="0031675F">
        <w:rPr>
          <w:vertAlign w:val="subscript"/>
        </w:rPr>
        <w:t>4</w:t>
      </w:r>
      <w:r w:rsidRPr="0031675F">
        <w:t>H</w:t>
      </w:r>
      <w:r w:rsidRPr="0031675F">
        <w:rPr>
          <w:vertAlign w:val="subscript"/>
        </w:rPr>
        <w:t>4</w:t>
      </w:r>
      <w:r w:rsidRPr="0031675F">
        <w:t>O</w:t>
      </w:r>
      <w:r w:rsidRPr="0031675F">
        <w:rPr>
          <w:vertAlign w:val="subscript"/>
        </w:rPr>
        <w:t>6</w:t>
      </w:r>
      <w:r w:rsidRPr="0031675F">
        <w:t xml:space="preserve"> FW 324.92) and 5.000 g of L-ascorbic acid (C</w:t>
      </w:r>
      <w:r w:rsidRPr="0031675F">
        <w:rPr>
          <w:vertAlign w:val="subscript"/>
        </w:rPr>
        <w:t>6</w:t>
      </w:r>
      <w:r w:rsidRPr="0031675F">
        <w:t>H</w:t>
      </w:r>
      <w:r w:rsidRPr="0031675F">
        <w:rPr>
          <w:vertAlign w:val="subscript"/>
        </w:rPr>
        <w:t>8</w:t>
      </w:r>
      <w:r w:rsidRPr="0031675F">
        <w:t>O</w:t>
      </w:r>
      <w:r w:rsidRPr="0031675F">
        <w:rPr>
          <w:vertAlign w:val="subscript"/>
        </w:rPr>
        <w:t>6</w:t>
      </w:r>
      <w:r w:rsidRPr="0031675F">
        <w:t xml:space="preserve">  FW 176.13)</w:t>
      </w:r>
      <w:r w:rsidRPr="0031675F">
        <w:rPr>
          <w:b/>
        </w:rPr>
        <w:t xml:space="preserve"> </w:t>
      </w:r>
      <w:r w:rsidRPr="0031675F">
        <w:t>into a 250 mL glass volumetric flask containing approximately 180 mL of reagent water and mix well until the antimony is dissolved. Using a 25mL glass measuring cylinder measure out 12.5mLs of concentrated sulphuric acid (H</w:t>
      </w:r>
      <w:r w:rsidRPr="0031675F">
        <w:rPr>
          <w:vertAlign w:val="subscript"/>
        </w:rPr>
        <w:t>2</w:t>
      </w:r>
      <w:r w:rsidRPr="0031675F">
        <w:t>SO</w:t>
      </w:r>
      <w:r w:rsidRPr="0031675F">
        <w:rPr>
          <w:vertAlign w:val="subscript"/>
        </w:rPr>
        <w:t>4</w:t>
      </w:r>
      <w:r w:rsidRPr="0031675F">
        <w:t xml:space="preserve"> 98.08) and add to the antimony mixture. Mix well and fill to the mark with reagent water and cover with foil. This solution is stable for 1 day.</w:t>
      </w:r>
    </w:p>
    <w:p w14:paraId="555D3708" w14:textId="77777777" w:rsidR="0031675F" w:rsidRPr="0031675F" w:rsidRDefault="0031675F" w:rsidP="0031675F">
      <w:pPr>
        <w:ind w:left="1134" w:hanging="567"/>
      </w:pPr>
    </w:p>
    <w:p w14:paraId="741517C7" w14:textId="77777777" w:rsidR="0031675F" w:rsidRPr="0031675F" w:rsidRDefault="0031675F" w:rsidP="0031675F">
      <w:pPr>
        <w:ind w:left="1134" w:hanging="567"/>
      </w:pPr>
      <w:r w:rsidRPr="0031675F">
        <w:rPr>
          <w:b/>
        </w:rPr>
        <w:t>5.1.6</w:t>
      </w:r>
      <w:r w:rsidRPr="0031675F">
        <w:t xml:space="preserve"> </w:t>
      </w:r>
      <w:r w:rsidRPr="0031675F">
        <w:tab/>
        <w:t>Digestive reagent – Mix 9 g of sodium hydroxide (NaOH FW 40.0) and 40 g of potassium persulfate (K</w:t>
      </w:r>
      <w:r w:rsidRPr="0031675F">
        <w:rPr>
          <w:vertAlign w:val="subscript"/>
        </w:rPr>
        <w:t>2</w:t>
      </w:r>
      <w:r w:rsidRPr="0031675F">
        <w:t>S</w:t>
      </w:r>
      <w:r w:rsidRPr="0031675F">
        <w:rPr>
          <w:vertAlign w:val="subscript"/>
        </w:rPr>
        <w:t>2</w:t>
      </w:r>
      <w:r w:rsidRPr="0031675F">
        <w:t>O</w:t>
      </w:r>
      <w:r w:rsidRPr="0031675F">
        <w:rPr>
          <w:vertAlign w:val="subscript"/>
        </w:rPr>
        <w:t>8</w:t>
      </w:r>
      <w:r w:rsidRPr="0031675F">
        <w:t xml:space="preserve"> FW 270.33) in 800 mL of reagent water in a 1000 mL polypropylene bottle and then fill to the 1000 mL marked line. Magnetic stir for a minimum of 1 hour or until all reagents are dissolved. Make daily.</w:t>
      </w:r>
    </w:p>
    <w:p w14:paraId="683E2061" w14:textId="77777777" w:rsidR="0031675F" w:rsidRPr="0031675F" w:rsidRDefault="0031675F" w:rsidP="0031675F">
      <w:pPr>
        <w:ind w:left="1080" w:hanging="540"/>
      </w:pPr>
    </w:p>
    <w:p w14:paraId="326D2971" w14:textId="77777777" w:rsidR="0031675F" w:rsidRPr="0031675F" w:rsidRDefault="0031675F" w:rsidP="0031675F">
      <w:pPr>
        <w:ind w:left="540" w:hanging="540"/>
      </w:pPr>
      <w:r w:rsidRPr="0031675F">
        <w:rPr>
          <w:b/>
        </w:rPr>
        <w:t xml:space="preserve">5.2 </w:t>
      </w:r>
      <w:r w:rsidRPr="0031675F">
        <w:rPr>
          <w:b/>
        </w:rPr>
        <w:tab/>
        <w:t>Working Reagents</w:t>
      </w:r>
    </w:p>
    <w:p w14:paraId="20DBA5BA" w14:textId="77777777" w:rsidR="0031675F" w:rsidRPr="0031675F" w:rsidRDefault="0031675F" w:rsidP="0031675F">
      <w:pPr>
        <w:ind w:left="540" w:hanging="540"/>
      </w:pPr>
    </w:p>
    <w:p w14:paraId="25718399" w14:textId="77777777" w:rsidR="0031675F" w:rsidRPr="0031675F" w:rsidRDefault="0031675F" w:rsidP="0031675F">
      <w:pPr>
        <w:ind w:left="1134" w:hanging="567"/>
      </w:pPr>
      <w:r w:rsidRPr="0031675F">
        <w:rPr>
          <w:b/>
        </w:rPr>
        <w:t xml:space="preserve">5.2.1 </w:t>
      </w:r>
      <w:r w:rsidRPr="0031675F">
        <w:rPr>
          <w:b/>
        </w:rPr>
        <w:tab/>
      </w:r>
      <w:r w:rsidRPr="0031675F">
        <w:t>Dowfax 2A1 Start up Solution – add 1 mL of Dowfax surfactant to 500 mL of reagent water and mix gently.</w:t>
      </w:r>
    </w:p>
    <w:p w14:paraId="0ED252CF" w14:textId="77777777" w:rsidR="0031675F" w:rsidRPr="0031675F" w:rsidRDefault="0031675F" w:rsidP="0031675F">
      <w:pPr>
        <w:ind w:left="1080" w:hanging="540"/>
      </w:pPr>
    </w:p>
    <w:p w14:paraId="35BF9AF4" w14:textId="77777777" w:rsidR="0031675F" w:rsidRPr="0031675F" w:rsidRDefault="0031675F" w:rsidP="0031675F">
      <w:pPr>
        <w:ind w:left="1620" w:hanging="900"/>
      </w:pPr>
      <w:r w:rsidRPr="0031675F">
        <w:rPr>
          <w:b/>
        </w:rPr>
        <w:t>NOTE:</w:t>
      </w:r>
      <w:r w:rsidRPr="0031675F">
        <w:t xml:space="preserve"> </w:t>
      </w:r>
      <w:r w:rsidRPr="0031675F">
        <w:tab/>
        <w:t>Dowfax contains levels of nitrate, therefore keep away from Triton X 100 start up solution.</w:t>
      </w:r>
    </w:p>
    <w:p w14:paraId="12A84E9F" w14:textId="77777777" w:rsidR="0031675F" w:rsidRPr="0031675F" w:rsidRDefault="0031675F" w:rsidP="0031675F">
      <w:pPr>
        <w:ind w:left="1440" w:hanging="540"/>
      </w:pPr>
    </w:p>
    <w:p w14:paraId="5DDCE447" w14:textId="77777777" w:rsidR="0031675F" w:rsidRPr="0031675F" w:rsidRDefault="0031675F" w:rsidP="0031675F">
      <w:pPr>
        <w:ind w:left="1134" w:hanging="567"/>
      </w:pPr>
      <w:r w:rsidRPr="0031675F">
        <w:rPr>
          <w:b/>
        </w:rPr>
        <w:t xml:space="preserve">5.2.2 </w:t>
      </w:r>
      <w:r w:rsidRPr="0031675F">
        <w:rPr>
          <w:b/>
        </w:rPr>
        <w:tab/>
      </w:r>
      <w:r w:rsidRPr="0031675F">
        <w:t>Working Sulphuric Solution – add 1 mL of Dowfax to the 250 mL glass volumetric flask of stock sulphuric solution and shake gently.</w:t>
      </w:r>
    </w:p>
    <w:p w14:paraId="7E2E72AC" w14:textId="77777777" w:rsidR="0031675F" w:rsidRPr="0031675F" w:rsidRDefault="0031675F" w:rsidP="0031675F">
      <w:pPr>
        <w:ind w:left="1134" w:hanging="567"/>
      </w:pPr>
    </w:p>
    <w:p w14:paraId="56F22C7D" w14:textId="77777777" w:rsidR="0031675F" w:rsidRPr="0031675F" w:rsidRDefault="0031675F" w:rsidP="0031675F">
      <w:pPr>
        <w:ind w:left="1134" w:hanging="567"/>
      </w:pPr>
      <w:r w:rsidRPr="0031675F">
        <w:rPr>
          <w:b/>
        </w:rPr>
        <w:t>5.2.3</w:t>
      </w:r>
      <w:r w:rsidRPr="0031675F">
        <w:t xml:space="preserve"> </w:t>
      </w:r>
      <w:r w:rsidRPr="0031675F">
        <w:tab/>
        <w:t>Working ammonium molybdate solution – 250 mL glass volumetric flask of stock molybdate solution.</w:t>
      </w:r>
    </w:p>
    <w:p w14:paraId="23A1A8EE" w14:textId="77777777" w:rsidR="0031675F" w:rsidRPr="0031675F" w:rsidRDefault="0031675F" w:rsidP="0031675F">
      <w:pPr>
        <w:ind w:left="1134" w:hanging="567"/>
      </w:pPr>
    </w:p>
    <w:p w14:paraId="0BDA6D0F" w14:textId="77777777" w:rsidR="0031675F" w:rsidRPr="0031675F" w:rsidRDefault="0031675F" w:rsidP="0031675F">
      <w:pPr>
        <w:ind w:left="1134" w:hanging="567"/>
      </w:pPr>
      <w:r w:rsidRPr="0031675F">
        <w:rPr>
          <w:b/>
        </w:rPr>
        <w:t>5.2.4</w:t>
      </w:r>
      <w:r w:rsidRPr="0031675F">
        <w:t xml:space="preserve"> </w:t>
      </w:r>
      <w:r w:rsidRPr="0031675F">
        <w:tab/>
        <w:t>Working antimony potassium tartrate solution – 250 mL glass volumetric flask of stock antimony solution (covered in foil).</w:t>
      </w:r>
    </w:p>
    <w:p w14:paraId="55968D93" w14:textId="77777777" w:rsidR="0031675F" w:rsidRPr="0031675F" w:rsidRDefault="0031675F" w:rsidP="0031675F">
      <w:pPr>
        <w:ind w:left="1134" w:hanging="567"/>
      </w:pPr>
    </w:p>
    <w:p w14:paraId="0BC211EE" w14:textId="77777777" w:rsidR="0031675F" w:rsidRPr="0031675F" w:rsidRDefault="0031675F" w:rsidP="0031675F">
      <w:pPr>
        <w:ind w:left="1134" w:hanging="567"/>
      </w:pPr>
      <w:r w:rsidRPr="0031675F">
        <w:rPr>
          <w:b/>
        </w:rPr>
        <w:t xml:space="preserve">5.2.5 </w:t>
      </w:r>
      <w:r w:rsidRPr="0031675F">
        <w:rPr>
          <w:b/>
        </w:rPr>
        <w:tab/>
      </w:r>
      <w:smartTag w:uri="urn:schemas-microsoft-com:office:smarttags" w:element="place">
        <w:smartTag w:uri="urn:schemas-microsoft-com:office:smarttags" w:element="PlaceName">
          <w:r w:rsidRPr="0031675F">
            <w:t>Colored</w:t>
          </w:r>
        </w:smartTag>
        <w:r w:rsidRPr="0031675F">
          <w:t xml:space="preserve"> </w:t>
        </w:r>
        <w:smartTag w:uri="urn:schemas-microsoft-com:office:smarttags" w:element="PlaceName">
          <w:r w:rsidRPr="0031675F">
            <w:t>SYNC</w:t>
          </w:r>
        </w:smartTag>
        <w:r w:rsidRPr="0031675F">
          <w:t xml:space="preserve"> </w:t>
        </w:r>
        <w:smartTag w:uri="urn:schemas-microsoft-com:office:smarttags" w:element="PlaceType">
          <w:r w:rsidRPr="0031675F">
            <w:t>Peak</w:t>
          </w:r>
        </w:smartTag>
      </w:smartTag>
      <w:r w:rsidRPr="0031675F">
        <w:t xml:space="preserve"> Solution – Use either a high phosphorus standard that will obtain a peak between 25 to 100 percent full scale. Or add 50 µL of blue food coloring solution to 1000 mL and mix thoroughly.</w:t>
      </w:r>
    </w:p>
    <w:p w14:paraId="2F367C8D" w14:textId="77777777" w:rsidR="0031675F" w:rsidRPr="0031675F" w:rsidRDefault="0031675F" w:rsidP="0031675F">
      <w:pPr>
        <w:ind w:left="1134" w:hanging="567"/>
      </w:pPr>
    </w:p>
    <w:p w14:paraId="585503B0" w14:textId="77777777" w:rsidR="0031675F" w:rsidRPr="0031675F" w:rsidRDefault="0031675F" w:rsidP="0031675F">
      <w:pPr>
        <w:ind w:left="1134" w:hanging="567"/>
      </w:pPr>
      <w:r w:rsidRPr="0031675F">
        <w:rPr>
          <w:b/>
        </w:rPr>
        <w:t xml:space="preserve">5.2.6 </w:t>
      </w:r>
      <w:r w:rsidRPr="0031675F">
        <w:rPr>
          <w:b/>
        </w:rPr>
        <w:tab/>
      </w:r>
      <w:r w:rsidRPr="0031675F">
        <w:t>Calibration Standards –</w:t>
      </w:r>
      <w:r w:rsidRPr="0031675F">
        <w:rPr>
          <w:b/>
        </w:rPr>
        <w:t xml:space="preserve"> </w:t>
      </w:r>
      <w:r w:rsidRPr="0031675F">
        <w:t>Prepare a series of calibration standards (</w:t>
      </w:r>
      <w:smartTag w:uri="urn:schemas-microsoft-com:office:smarttags" w:element="State">
        <w:smartTag w:uri="urn:schemas-microsoft-com:office:smarttags" w:element="place">
          <w:r w:rsidRPr="0031675F">
            <w:t>CAL</w:t>
          </w:r>
        </w:smartTag>
      </w:smartTag>
      <w:r w:rsidRPr="0031675F">
        <w:t>) by diluting a suitable volume of the stock standard solution into a 100 mL volumetric flask using reagent water. Prepare these standards daily. The concentration range of calibration standards should bracket the expected concentrations of samples and not exceed two orders of magnitude. At least five calibration standards should be used to construct the calibration curve.</w:t>
      </w:r>
    </w:p>
    <w:p w14:paraId="507B684E" w14:textId="77777777" w:rsidR="0031675F" w:rsidRPr="0031675F" w:rsidRDefault="0031675F" w:rsidP="0031675F">
      <w:pPr>
        <w:ind w:left="1440" w:hanging="731"/>
      </w:pPr>
    </w:p>
    <w:p w14:paraId="295D4B5C" w14:textId="77777777" w:rsidR="0031675F" w:rsidRPr="0031675F" w:rsidRDefault="0031675F" w:rsidP="0031675F">
      <w:pPr>
        <w:shd w:val="clear" w:color="auto" w:fill="D9D9D9"/>
        <w:ind w:left="540" w:hanging="540"/>
        <w:rPr>
          <w:b/>
        </w:rPr>
      </w:pPr>
      <w:r w:rsidRPr="0031675F">
        <w:rPr>
          <w:b/>
        </w:rPr>
        <w:t xml:space="preserve">6.0 </w:t>
      </w:r>
      <w:r w:rsidRPr="0031675F">
        <w:rPr>
          <w:b/>
        </w:rPr>
        <w:tab/>
        <w:t>SAMPLE COLLECTION, PRESERVATION AND STORAGE</w:t>
      </w:r>
    </w:p>
    <w:p w14:paraId="7B20C5C9" w14:textId="77777777" w:rsidR="0031675F" w:rsidRPr="0031675F" w:rsidRDefault="0031675F" w:rsidP="0031675F">
      <w:pPr>
        <w:rPr>
          <w:b/>
        </w:rPr>
      </w:pPr>
      <w:r w:rsidRPr="0031675F">
        <w:rPr>
          <w:b/>
        </w:rPr>
        <w:tab/>
      </w:r>
    </w:p>
    <w:p w14:paraId="3350A728" w14:textId="77777777" w:rsidR="0031675F" w:rsidRPr="0031675F" w:rsidRDefault="0031675F" w:rsidP="0031675F">
      <w:pPr>
        <w:ind w:left="540" w:hanging="540"/>
        <w:rPr>
          <w:b/>
        </w:rPr>
      </w:pPr>
      <w:r w:rsidRPr="0031675F">
        <w:rPr>
          <w:b/>
        </w:rPr>
        <w:t xml:space="preserve">6.1 </w:t>
      </w:r>
      <w:r w:rsidRPr="0031675F">
        <w:rPr>
          <w:b/>
        </w:rPr>
        <w:tab/>
        <w:t>Sample Collection</w:t>
      </w:r>
    </w:p>
    <w:p w14:paraId="38297C2E" w14:textId="77777777" w:rsidR="0031675F" w:rsidRPr="0031675F" w:rsidRDefault="0031675F" w:rsidP="0031675F">
      <w:pPr>
        <w:ind w:left="540" w:hanging="540"/>
        <w:rPr>
          <w:b/>
        </w:rPr>
      </w:pPr>
    </w:p>
    <w:p w14:paraId="2A8DB19A" w14:textId="77777777" w:rsidR="0031675F" w:rsidRPr="0031675F" w:rsidRDefault="0031675F" w:rsidP="0031675F">
      <w:pPr>
        <w:ind w:left="1134" w:hanging="567"/>
      </w:pPr>
      <w:r w:rsidRPr="0031675F">
        <w:rPr>
          <w:b/>
        </w:rPr>
        <w:t>6.1.1</w:t>
      </w:r>
      <w:r w:rsidRPr="0031675F">
        <w:rPr>
          <w:b/>
        </w:rPr>
        <w:tab/>
      </w:r>
      <w:r w:rsidRPr="0031675F">
        <w:t>Samples collected for nutrient analyses from estuarine, coastal waters, streams and lakes are usually collected by one of two methods: either a peristaltic pump or grab sample.</w:t>
      </w:r>
    </w:p>
    <w:p w14:paraId="18E31FF6" w14:textId="77777777" w:rsidR="0031675F" w:rsidRPr="0031675F" w:rsidRDefault="0031675F" w:rsidP="0031675F">
      <w:pPr>
        <w:ind w:left="1134" w:hanging="567"/>
      </w:pPr>
    </w:p>
    <w:p w14:paraId="5C4DF0FD" w14:textId="77777777" w:rsidR="0031675F" w:rsidRPr="0031675F" w:rsidRDefault="0031675F" w:rsidP="0031675F">
      <w:pPr>
        <w:ind w:left="1134" w:hanging="567"/>
      </w:pPr>
      <w:r w:rsidRPr="0031675F">
        <w:rPr>
          <w:b/>
        </w:rPr>
        <w:t xml:space="preserve">6.1.2 </w:t>
      </w:r>
      <w:r w:rsidRPr="0031675F">
        <w:rPr>
          <w:b/>
        </w:rPr>
        <w:tab/>
      </w:r>
      <w:r w:rsidRPr="0031675F">
        <w:t>A peristaltic pump has a length of tube attached that is weighted down so that particular depths can be sampled if required. A grab sample is obtained using a hand held sampling pole with 1L polypropylene bottle which is filled sub surface.</w:t>
      </w:r>
    </w:p>
    <w:p w14:paraId="352304D5" w14:textId="77777777" w:rsidR="0031675F" w:rsidRPr="0031675F" w:rsidRDefault="0031675F" w:rsidP="0031675F">
      <w:pPr>
        <w:ind w:left="1134" w:hanging="567"/>
      </w:pPr>
    </w:p>
    <w:p w14:paraId="1B7D40F0" w14:textId="77777777" w:rsidR="0031675F" w:rsidRPr="0031675F" w:rsidRDefault="0031675F" w:rsidP="0031675F">
      <w:pPr>
        <w:ind w:left="1134" w:hanging="567"/>
      </w:pPr>
      <w:r w:rsidRPr="0031675F">
        <w:rPr>
          <w:b/>
        </w:rPr>
        <w:t>6.1.3</w:t>
      </w:r>
      <w:r w:rsidRPr="0031675F">
        <w:t xml:space="preserve"> </w:t>
      </w:r>
      <w:r w:rsidRPr="0031675F">
        <w:tab/>
        <w:t xml:space="preserve">The total nutrient component is sampled into a gamma sterile 60mL Sarstedt polypropylene tube (Cat# 60.596.001). </w:t>
      </w:r>
    </w:p>
    <w:p w14:paraId="2F30FDB2" w14:textId="77777777" w:rsidR="0031675F" w:rsidRPr="0031675F" w:rsidRDefault="0031675F" w:rsidP="0031675F">
      <w:pPr>
        <w:ind w:left="1134" w:hanging="567"/>
      </w:pPr>
    </w:p>
    <w:p w14:paraId="05816C96" w14:textId="77777777" w:rsidR="0031675F" w:rsidRPr="0031675F" w:rsidRDefault="0031675F" w:rsidP="0031675F">
      <w:pPr>
        <w:ind w:left="1134" w:hanging="567"/>
      </w:pPr>
      <w:r w:rsidRPr="0031675F">
        <w:rPr>
          <w:b/>
        </w:rPr>
        <w:t>6.1.4</w:t>
      </w:r>
      <w:r w:rsidRPr="0031675F">
        <w:t xml:space="preserve"> </w:t>
      </w:r>
      <w:r w:rsidRPr="0031675F">
        <w:tab/>
        <w:t>The total filterable nutrient component is filtered immediately at the point of collection using a Terumo sterile 60 mL syringe and 0.45 µm sterile polysulphone Mini-Sart filter purchased from Sartorius (Cat #165333K).</w:t>
      </w:r>
    </w:p>
    <w:p w14:paraId="512F5E94" w14:textId="77777777" w:rsidR="0031675F" w:rsidRPr="0031675F" w:rsidRDefault="0031675F" w:rsidP="0031675F">
      <w:pPr>
        <w:ind w:left="1080" w:hanging="540"/>
      </w:pPr>
    </w:p>
    <w:p w14:paraId="214C346D" w14:textId="77777777" w:rsidR="0031675F" w:rsidRPr="0031675F" w:rsidRDefault="0031675F" w:rsidP="0031675F">
      <w:pPr>
        <w:ind w:left="540" w:hanging="540"/>
        <w:rPr>
          <w:b/>
        </w:rPr>
      </w:pPr>
      <w:r w:rsidRPr="0031675F">
        <w:rPr>
          <w:b/>
        </w:rPr>
        <w:t xml:space="preserve">6.2 </w:t>
      </w:r>
      <w:r w:rsidRPr="0031675F">
        <w:rPr>
          <w:b/>
        </w:rPr>
        <w:tab/>
        <w:t>Sample Preservation</w:t>
      </w:r>
    </w:p>
    <w:p w14:paraId="0383F937" w14:textId="77777777" w:rsidR="0031675F" w:rsidRPr="0031675F" w:rsidRDefault="0031675F" w:rsidP="0031675F">
      <w:pPr>
        <w:ind w:left="540" w:hanging="540"/>
        <w:rPr>
          <w:b/>
        </w:rPr>
      </w:pPr>
    </w:p>
    <w:p w14:paraId="78FC6E9F" w14:textId="77777777" w:rsidR="0031675F" w:rsidRPr="0031675F" w:rsidRDefault="0031675F" w:rsidP="0031675F">
      <w:pPr>
        <w:ind w:left="1134" w:hanging="567"/>
      </w:pPr>
      <w:r w:rsidRPr="0031675F">
        <w:rPr>
          <w:b/>
        </w:rPr>
        <w:t>6.2.1</w:t>
      </w:r>
      <w:r w:rsidRPr="0031675F">
        <w:t xml:space="preserve"> </w:t>
      </w:r>
      <w:r w:rsidRPr="0031675F">
        <w:tab/>
        <w:t>After collection and filtration the samples should either be digested immediately or if this is not possible frozen at -18°C until analysis can be performed.</w:t>
      </w:r>
    </w:p>
    <w:p w14:paraId="072CBA15" w14:textId="77777777" w:rsidR="0031675F" w:rsidRPr="0031675F" w:rsidRDefault="0031675F" w:rsidP="0031675F">
      <w:pPr>
        <w:ind w:left="1080" w:hanging="540"/>
      </w:pPr>
    </w:p>
    <w:p w14:paraId="59EB75E5" w14:textId="77777777" w:rsidR="0031675F" w:rsidRPr="0031675F" w:rsidRDefault="0031675F" w:rsidP="0031675F">
      <w:pPr>
        <w:ind w:left="540" w:hanging="540"/>
        <w:rPr>
          <w:b/>
        </w:rPr>
      </w:pPr>
      <w:r w:rsidRPr="0031675F">
        <w:rPr>
          <w:b/>
        </w:rPr>
        <w:t xml:space="preserve">6.3 </w:t>
      </w:r>
      <w:r w:rsidRPr="0031675F">
        <w:rPr>
          <w:b/>
        </w:rPr>
        <w:tab/>
        <w:t>Sample Storage</w:t>
      </w:r>
    </w:p>
    <w:p w14:paraId="3916A9DC" w14:textId="77777777" w:rsidR="0031675F" w:rsidRPr="0031675F" w:rsidRDefault="0031675F" w:rsidP="0031675F">
      <w:pPr>
        <w:ind w:left="540" w:hanging="540"/>
      </w:pPr>
    </w:p>
    <w:p w14:paraId="357F2454" w14:textId="77777777" w:rsidR="0031675F" w:rsidRPr="0031675F" w:rsidRDefault="0031675F" w:rsidP="0031675F">
      <w:pPr>
        <w:ind w:left="1134" w:hanging="567"/>
      </w:pPr>
      <w:r w:rsidRPr="0031675F">
        <w:rPr>
          <w:b/>
        </w:rPr>
        <w:t>6.3.1</w:t>
      </w:r>
      <w:r w:rsidRPr="0031675F">
        <w:t xml:space="preserve"> </w:t>
      </w:r>
      <w:r w:rsidRPr="0031675F">
        <w:tab/>
        <w:t>Samples should be stored in a freezer that contains nutrient samples only. If possible samples should further be stored into there relevant matrix and concentration to further minimise any possible contamination e.g. Store low level marine samples away from effluent samples.</w:t>
      </w:r>
    </w:p>
    <w:p w14:paraId="69A18853" w14:textId="77777777" w:rsidR="0031675F" w:rsidRPr="0031675F" w:rsidRDefault="0031675F" w:rsidP="0031675F">
      <w:pPr>
        <w:rPr>
          <w:b/>
        </w:rPr>
      </w:pPr>
    </w:p>
    <w:p w14:paraId="74F7C1E0" w14:textId="77777777" w:rsidR="0031675F" w:rsidRPr="0031675F" w:rsidRDefault="0031675F" w:rsidP="0031675F">
      <w:pPr>
        <w:shd w:val="clear" w:color="auto" w:fill="D9D9D9"/>
        <w:ind w:left="567" w:hanging="567"/>
        <w:rPr>
          <w:b/>
        </w:rPr>
      </w:pPr>
      <w:r w:rsidRPr="0031675F">
        <w:rPr>
          <w:b/>
        </w:rPr>
        <w:t xml:space="preserve">7.0 </w:t>
      </w:r>
      <w:r w:rsidRPr="0031675F">
        <w:rPr>
          <w:b/>
        </w:rPr>
        <w:tab/>
        <w:t>QUALITY CONTROL</w:t>
      </w:r>
    </w:p>
    <w:p w14:paraId="5FD59387" w14:textId="77777777" w:rsidR="0031675F" w:rsidRPr="0031675F" w:rsidRDefault="0031675F" w:rsidP="0031675F">
      <w:pPr>
        <w:ind w:left="709" w:hanging="709"/>
        <w:rPr>
          <w:b/>
        </w:rPr>
      </w:pPr>
    </w:p>
    <w:p w14:paraId="1F898447" w14:textId="77777777" w:rsidR="0031675F" w:rsidRPr="0031675F" w:rsidRDefault="0031675F" w:rsidP="0031675F">
      <w:pPr>
        <w:ind w:left="540" w:hanging="540"/>
      </w:pPr>
      <w:r w:rsidRPr="0031675F">
        <w:rPr>
          <w:b/>
        </w:rPr>
        <w:t xml:space="preserve">7.1 </w:t>
      </w:r>
      <w:r w:rsidRPr="0031675F">
        <w:rPr>
          <w:b/>
        </w:rPr>
        <w:tab/>
      </w:r>
      <w:r w:rsidRPr="0031675F">
        <w:t xml:space="preserve">The minimum requirements of this program is to demonstrate performance using duplicate analyses, spiked samples, and the use of certified reference material (CRM’s) purchased from an external source. Also, all vials for sampling and the digestion procedure, and syringe filters (if used) are subject to rigorous quality control checks before being utilised. </w:t>
      </w:r>
    </w:p>
    <w:p w14:paraId="79A45049" w14:textId="77777777" w:rsidR="0031675F" w:rsidRPr="0031675F" w:rsidRDefault="0031675F" w:rsidP="0031675F">
      <w:pPr>
        <w:ind w:left="540" w:hanging="540"/>
      </w:pPr>
    </w:p>
    <w:p w14:paraId="2FA8FF13" w14:textId="77777777" w:rsidR="0031675F" w:rsidRPr="0031675F" w:rsidRDefault="0031675F" w:rsidP="0031675F">
      <w:pPr>
        <w:ind w:left="540"/>
      </w:pPr>
      <w:r w:rsidRPr="0031675F">
        <w:t xml:space="preserve">Additionally, to participate in inter collaborative nutrient trials at least once per year e.g. National Low Level Nutrient Collaborative Trials (NLLNCT). </w:t>
      </w:r>
    </w:p>
    <w:p w14:paraId="014E4DCE" w14:textId="77777777" w:rsidR="0031675F" w:rsidRPr="0031675F" w:rsidRDefault="0031675F" w:rsidP="0031675F">
      <w:pPr>
        <w:ind w:left="540"/>
      </w:pPr>
    </w:p>
    <w:p w14:paraId="340B7968" w14:textId="77777777" w:rsidR="0031675F" w:rsidRPr="0031675F" w:rsidRDefault="0031675F" w:rsidP="0031675F">
      <w:pPr>
        <w:ind w:left="540" w:hanging="540"/>
        <w:rPr>
          <w:b/>
        </w:rPr>
      </w:pPr>
      <w:r w:rsidRPr="0031675F">
        <w:rPr>
          <w:b/>
        </w:rPr>
        <w:t xml:space="preserve">7.2 </w:t>
      </w:r>
      <w:r w:rsidRPr="0031675F">
        <w:rPr>
          <w:b/>
        </w:rPr>
        <w:tab/>
        <w:t xml:space="preserve">Duplicate analyses </w:t>
      </w:r>
    </w:p>
    <w:p w14:paraId="373D4CA5" w14:textId="77777777" w:rsidR="0031675F" w:rsidRPr="0031675F" w:rsidRDefault="0031675F" w:rsidP="0031675F">
      <w:pPr>
        <w:ind w:left="540" w:hanging="540"/>
        <w:rPr>
          <w:b/>
        </w:rPr>
      </w:pPr>
    </w:p>
    <w:p w14:paraId="45B22E52" w14:textId="77777777" w:rsidR="0031675F" w:rsidRPr="0031675F" w:rsidRDefault="0031675F" w:rsidP="0031675F">
      <w:pPr>
        <w:ind w:left="1134" w:hanging="567"/>
      </w:pPr>
      <w:r w:rsidRPr="0031675F">
        <w:rPr>
          <w:b/>
        </w:rPr>
        <w:t>7.3.1</w:t>
      </w:r>
      <w:r w:rsidRPr="0031675F">
        <w:t xml:space="preserve"> </w:t>
      </w:r>
      <w:r w:rsidRPr="0031675F">
        <w:tab/>
        <w:t>Duplicate analyses of samples are performed to a minimum of 5% per TropWater job submission. The standard deviation of these results should fall between +/- 10%. Failure to achieve this standard will results in samples being re-analysed.</w:t>
      </w:r>
    </w:p>
    <w:p w14:paraId="5FA7CFD0" w14:textId="77777777" w:rsidR="0031675F" w:rsidRPr="0031675F" w:rsidRDefault="0031675F" w:rsidP="0031675F">
      <w:pPr>
        <w:ind w:left="1080" w:hanging="540"/>
      </w:pPr>
    </w:p>
    <w:p w14:paraId="43DC381A" w14:textId="77777777" w:rsidR="0031675F" w:rsidRPr="0031675F" w:rsidRDefault="0031675F" w:rsidP="0031675F">
      <w:pPr>
        <w:ind w:left="540" w:hanging="540"/>
        <w:rPr>
          <w:b/>
        </w:rPr>
      </w:pPr>
      <w:r w:rsidRPr="0031675F">
        <w:rPr>
          <w:b/>
        </w:rPr>
        <w:t xml:space="preserve">7.3 </w:t>
      </w:r>
      <w:r w:rsidRPr="0031675F">
        <w:rPr>
          <w:b/>
        </w:rPr>
        <w:tab/>
        <w:t>Spiked Samples</w:t>
      </w:r>
    </w:p>
    <w:p w14:paraId="7261199B" w14:textId="77777777" w:rsidR="0031675F" w:rsidRPr="0031675F" w:rsidRDefault="0031675F" w:rsidP="0031675F">
      <w:pPr>
        <w:ind w:left="540" w:hanging="540"/>
      </w:pPr>
    </w:p>
    <w:p w14:paraId="1220392F" w14:textId="77777777" w:rsidR="0031675F" w:rsidRPr="0031675F" w:rsidRDefault="0031675F" w:rsidP="0031675F">
      <w:pPr>
        <w:ind w:left="1134" w:hanging="567"/>
      </w:pPr>
      <w:r w:rsidRPr="0031675F">
        <w:rPr>
          <w:b/>
        </w:rPr>
        <w:t>7.4.1</w:t>
      </w:r>
      <w:r w:rsidRPr="0031675F">
        <w:t xml:space="preserve"> </w:t>
      </w:r>
      <w:r w:rsidRPr="0031675F">
        <w:tab/>
        <w:t>Samples are spiked to a minimum of 5% per TropWater job submission. The result of this addition should calculate to be between 90 – 110% recovery. Failure to achieve satisfactory recovery will result in samples being re-analysed. This may mean using a different series of dilutions if required.</w:t>
      </w:r>
    </w:p>
    <w:p w14:paraId="793E8CDF" w14:textId="77777777" w:rsidR="0031675F" w:rsidRPr="0031675F" w:rsidRDefault="0031675F" w:rsidP="0031675F">
      <w:pPr>
        <w:keepNext/>
        <w:ind w:left="540" w:hanging="540"/>
        <w:rPr>
          <w:b/>
        </w:rPr>
      </w:pPr>
      <w:r w:rsidRPr="0031675F">
        <w:rPr>
          <w:b/>
        </w:rPr>
        <w:t xml:space="preserve">7.4 </w:t>
      </w:r>
      <w:r w:rsidRPr="0031675F">
        <w:rPr>
          <w:b/>
        </w:rPr>
        <w:tab/>
        <w:t>Certified Reference Material (CRM)</w:t>
      </w:r>
    </w:p>
    <w:p w14:paraId="6FAF4E2E" w14:textId="77777777" w:rsidR="0031675F" w:rsidRPr="0031675F" w:rsidRDefault="0031675F" w:rsidP="0031675F">
      <w:pPr>
        <w:keepNext/>
        <w:ind w:left="540" w:hanging="540"/>
      </w:pPr>
    </w:p>
    <w:p w14:paraId="33572EA0" w14:textId="77777777" w:rsidR="0031675F" w:rsidRPr="0031675F" w:rsidRDefault="0031675F" w:rsidP="0031675F">
      <w:pPr>
        <w:keepNext/>
        <w:ind w:left="1134" w:hanging="567"/>
      </w:pPr>
      <w:r w:rsidRPr="0031675F">
        <w:rPr>
          <w:b/>
        </w:rPr>
        <w:t>7.4.1</w:t>
      </w:r>
      <w:r w:rsidRPr="0031675F">
        <w:t xml:space="preserve"> </w:t>
      </w:r>
      <w:r w:rsidRPr="0031675F">
        <w:tab/>
        <w:t>CRM’s are purchased from Queensland Health in both freshwater and saltwater. The CRM’s are matched to the sample matrices being analysed and also concentration. The certified value range must be achieved for sample results to be deemed accurate or all samples must be re- analysed with the correct value for the CRM obtained.</w:t>
      </w:r>
    </w:p>
    <w:p w14:paraId="32A489F7" w14:textId="77777777" w:rsidR="0031675F" w:rsidRPr="0031675F" w:rsidRDefault="0031675F" w:rsidP="0031675F">
      <w:pPr>
        <w:ind w:left="1134" w:hanging="567"/>
      </w:pPr>
    </w:p>
    <w:p w14:paraId="6D4D9A66" w14:textId="77777777" w:rsidR="0031675F" w:rsidRPr="0031675F" w:rsidRDefault="0031675F" w:rsidP="0031675F">
      <w:pPr>
        <w:ind w:left="1134" w:hanging="567"/>
      </w:pPr>
      <w:r w:rsidRPr="0031675F">
        <w:rPr>
          <w:b/>
        </w:rPr>
        <w:t>7.4.2</w:t>
      </w:r>
      <w:r w:rsidRPr="0031675F">
        <w:t xml:space="preserve"> </w:t>
      </w:r>
      <w:r w:rsidRPr="0031675F">
        <w:tab/>
        <w:t>CRM’s are purchased in 250 mL containers. After the first thawing the whole CRM is sub – sampled into 10 mL tubes for future usage. These 10mL tubes are then thawed as required.</w:t>
      </w:r>
    </w:p>
    <w:p w14:paraId="55293ACE" w14:textId="77777777" w:rsidR="0031675F" w:rsidRPr="0031675F" w:rsidRDefault="0031675F" w:rsidP="0031675F">
      <w:pPr>
        <w:ind w:left="1080" w:hanging="540"/>
      </w:pPr>
    </w:p>
    <w:p w14:paraId="29C1E580" w14:textId="77777777" w:rsidR="0031675F" w:rsidRPr="0031675F" w:rsidRDefault="0031675F" w:rsidP="0031675F">
      <w:pPr>
        <w:ind w:left="540" w:hanging="540"/>
        <w:rPr>
          <w:b/>
        </w:rPr>
      </w:pPr>
      <w:r w:rsidRPr="0031675F">
        <w:rPr>
          <w:b/>
        </w:rPr>
        <w:t xml:space="preserve">7.5 </w:t>
      </w:r>
      <w:r w:rsidRPr="0031675F">
        <w:rPr>
          <w:b/>
        </w:rPr>
        <w:tab/>
        <w:t>Consumable Quality Checks</w:t>
      </w:r>
    </w:p>
    <w:p w14:paraId="0E8E3239" w14:textId="77777777" w:rsidR="0031675F" w:rsidRPr="0031675F" w:rsidRDefault="0031675F" w:rsidP="0031675F">
      <w:pPr>
        <w:ind w:left="540" w:hanging="540"/>
        <w:rPr>
          <w:b/>
        </w:rPr>
      </w:pPr>
    </w:p>
    <w:p w14:paraId="00297C91" w14:textId="77777777" w:rsidR="0031675F" w:rsidRPr="0031675F" w:rsidRDefault="0031675F" w:rsidP="0031675F">
      <w:pPr>
        <w:ind w:left="1134" w:hanging="567"/>
      </w:pPr>
      <w:r w:rsidRPr="0031675F">
        <w:rPr>
          <w:b/>
        </w:rPr>
        <w:t>7.5.1</w:t>
      </w:r>
      <w:r w:rsidRPr="0031675F">
        <w:t xml:space="preserve"> </w:t>
      </w:r>
      <w:r w:rsidRPr="0031675F">
        <w:tab/>
        <w:t>10 mL Sarstedt vials are ordered in large batches of at least 10,000 units (Cat # 60.9921.820). These vials are divided into their manufacturer batches and 1% of the vials are randomly selected and analysed for back ground contamination.</w:t>
      </w:r>
    </w:p>
    <w:p w14:paraId="529C8192" w14:textId="77777777" w:rsidR="0031675F" w:rsidRPr="0031675F" w:rsidRDefault="0031675F" w:rsidP="0031675F">
      <w:pPr>
        <w:ind w:left="1134" w:hanging="567"/>
      </w:pPr>
    </w:p>
    <w:p w14:paraId="59238F09" w14:textId="77777777" w:rsidR="0031675F" w:rsidRPr="0031675F" w:rsidRDefault="0031675F" w:rsidP="0031675F">
      <w:pPr>
        <w:ind w:left="1134" w:hanging="567"/>
      </w:pPr>
      <w:r w:rsidRPr="0031675F">
        <w:rPr>
          <w:b/>
        </w:rPr>
        <w:t>7.5.2</w:t>
      </w:r>
      <w:r w:rsidRPr="0031675F">
        <w:t xml:space="preserve"> </w:t>
      </w:r>
      <w:r w:rsidRPr="0031675F">
        <w:tab/>
        <w:t xml:space="preserve">60 mL Sarstedt vials are ordered in batches of 1,000 units (Cat # 60.596.001). These vials are divided into their manufacturer batches and 1% of the vials are randomly selected and analysed for back ground contamination. </w:t>
      </w:r>
    </w:p>
    <w:p w14:paraId="4433420F" w14:textId="77777777" w:rsidR="0031675F" w:rsidRPr="0031675F" w:rsidRDefault="0031675F" w:rsidP="0031675F">
      <w:pPr>
        <w:ind w:left="1134" w:hanging="567"/>
      </w:pPr>
    </w:p>
    <w:p w14:paraId="7D7A019A" w14:textId="77777777" w:rsidR="0031675F" w:rsidRPr="0031675F" w:rsidRDefault="0031675F" w:rsidP="0031675F">
      <w:pPr>
        <w:ind w:left="1134" w:hanging="567"/>
      </w:pPr>
      <w:r w:rsidRPr="0031675F">
        <w:rPr>
          <w:b/>
        </w:rPr>
        <w:t>7.5.3</w:t>
      </w:r>
      <w:r w:rsidRPr="0031675F">
        <w:t xml:space="preserve"> </w:t>
      </w:r>
      <w:r w:rsidRPr="0031675F">
        <w:tab/>
        <w:t>30 mL Sarstedt vials are ordered in batches of 5,000 units (Cat # 60.9922.216 and 60.9922.210 (saltwater samples) with lids C3011 HDPE natural). These vials are divided into their manufacturer batches and 1% of the vials are randomly selected and analysed for back ground contamination.</w:t>
      </w:r>
    </w:p>
    <w:p w14:paraId="4C9C6E13" w14:textId="77777777" w:rsidR="0031675F" w:rsidRPr="0031675F" w:rsidRDefault="0031675F" w:rsidP="0031675F">
      <w:pPr>
        <w:rPr>
          <w:b/>
        </w:rPr>
      </w:pPr>
    </w:p>
    <w:p w14:paraId="2837B5EE" w14:textId="77777777" w:rsidR="0031675F" w:rsidRPr="0031675F" w:rsidRDefault="0031675F" w:rsidP="0031675F">
      <w:pPr>
        <w:shd w:val="clear" w:color="auto" w:fill="D9D9D9"/>
        <w:ind w:left="567" w:hanging="567"/>
        <w:rPr>
          <w:b/>
        </w:rPr>
      </w:pPr>
      <w:r w:rsidRPr="0031675F">
        <w:rPr>
          <w:b/>
        </w:rPr>
        <w:t xml:space="preserve">8.0 </w:t>
      </w:r>
      <w:r w:rsidRPr="0031675F">
        <w:rPr>
          <w:b/>
        </w:rPr>
        <w:tab/>
        <w:t>CALIBRATION AND STANDARDISATION</w:t>
      </w:r>
    </w:p>
    <w:p w14:paraId="7C4B3BEE" w14:textId="77777777" w:rsidR="0031675F" w:rsidRPr="0031675F" w:rsidRDefault="0031675F" w:rsidP="0031675F">
      <w:pPr>
        <w:rPr>
          <w:b/>
        </w:rPr>
      </w:pPr>
    </w:p>
    <w:p w14:paraId="6D471CCF" w14:textId="77777777" w:rsidR="0031675F" w:rsidRPr="0031675F" w:rsidRDefault="0031675F" w:rsidP="0031675F">
      <w:pPr>
        <w:ind w:left="540" w:hanging="540"/>
      </w:pPr>
      <w:r w:rsidRPr="0031675F">
        <w:rPr>
          <w:b/>
        </w:rPr>
        <w:t>8.1</w:t>
      </w:r>
      <w:r w:rsidRPr="0031675F">
        <w:t xml:space="preserve"> </w:t>
      </w:r>
      <w:r w:rsidRPr="0031675F">
        <w:tab/>
        <w:t>At least seven calibration standards should be prepared daily for system calibration. These calibration standards should undergo the same digestion procedure for samples being analysed.</w:t>
      </w:r>
    </w:p>
    <w:p w14:paraId="5C291B12" w14:textId="77777777" w:rsidR="0031675F" w:rsidRPr="0031675F" w:rsidRDefault="0031675F" w:rsidP="0031675F">
      <w:pPr>
        <w:ind w:left="540" w:hanging="540"/>
      </w:pPr>
    </w:p>
    <w:p w14:paraId="300074B5" w14:textId="4DDB89CF" w:rsidR="0031675F" w:rsidRPr="0031675F" w:rsidRDefault="0031675F" w:rsidP="0031675F">
      <w:pPr>
        <w:ind w:left="1134" w:hanging="567"/>
      </w:pPr>
      <w:r w:rsidRPr="0031675F">
        <w:rPr>
          <w:b/>
        </w:rPr>
        <w:t>8.1.1</w:t>
      </w:r>
      <w:r w:rsidRPr="0031675F">
        <w:t xml:space="preserve"> </w:t>
      </w:r>
      <w:r w:rsidRPr="0031675F">
        <w:tab/>
        <w:t>The following dilutions are used for a working range of 0.005 – 0.200 µg P</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w:t>
      </w:r>
    </w:p>
    <w:p w14:paraId="1C89FE33" w14:textId="77777777" w:rsidR="0031675F" w:rsidRPr="0031675F" w:rsidRDefault="0031675F" w:rsidP="0031675F">
      <w:pPr>
        <w:ind w:left="1080" w:hanging="540"/>
      </w:pPr>
    </w:p>
    <w:p w14:paraId="74E9B813" w14:textId="77777777" w:rsidR="0031675F" w:rsidRPr="0031675F" w:rsidRDefault="0031675F" w:rsidP="0031675F">
      <w:pPr>
        <w:ind w:left="540" w:firstLine="27"/>
      </w:pPr>
      <w:r w:rsidRPr="0031675F">
        <w:t>Step 1: Make up a secondary stock phosphorus solution</w:t>
      </w:r>
    </w:p>
    <w:p w14:paraId="4547B108" w14:textId="77777777" w:rsidR="0031675F" w:rsidRPr="0031675F" w:rsidRDefault="0031675F" w:rsidP="0031675F">
      <w:pPr>
        <w:ind w:left="54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2552"/>
        <w:gridCol w:w="2552"/>
      </w:tblGrid>
      <w:tr w:rsidR="0031675F" w:rsidRPr="0031675F" w14:paraId="27002AD6" w14:textId="77777777" w:rsidTr="00B00729">
        <w:trPr>
          <w:jc w:val="center"/>
        </w:trPr>
        <w:tc>
          <w:tcPr>
            <w:tcW w:w="2551" w:type="dxa"/>
            <w:vAlign w:val="center"/>
          </w:tcPr>
          <w:p w14:paraId="6A5F4AC2" w14:textId="77777777" w:rsidR="0031675F" w:rsidRPr="0031675F" w:rsidRDefault="0031675F" w:rsidP="0031675F">
            <w:pPr>
              <w:ind w:left="540"/>
              <w:jc w:val="center"/>
            </w:pPr>
            <w:r w:rsidRPr="0031675F">
              <w:t>Stock Phosphorus Solution (mL)</w:t>
            </w:r>
          </w:p>
        </w:tc>
        <w:tc>
          <w:tcPr>
            <w:tcW w:w="2552" w:type="dxa"/>
            <w:vAlign w:val="center"/>
          </w:tcPr>
          <w:p w14:paraId="64C3DFEC" w14:textId="77777777" w:rsidR="0031675F" w:rsidRPr="0031675F" w:rsidRDefault="0031675F" w:rsidP="0031675F">
            <w:pPr>
              <w:ind w:left="540"/>
              <w:jc w:val="center"/>
            </w:pPr>
            <w:r w:rsidRPr="0031675F">
              <w:t>Size Volumetric Flask (mL)</w:t>
            </w:r>
          </w:p>
        </w:tc>
        <w:tc>
          <w:tcPr>
            <w:tcW w:w="2552" w:type="dxa"/>
            <w:vAlign w:val="center"/>
          </w:tcPr>
          <w:p w14:paraId="49724CB5" w14:textId="77777777" w:rsidR="0031675F" w:rsidRPr="0031675F" w:rsidRDefault="0031675F" w:rsidP="0031675F">
            <w:pPr>
              <w:ind w:left="540"/>
              <w:jc w:val="center"/>
            </w:pPr>
            <w:r w:rsidRPr="0031675F">
              <w:t>Calculated Concentration</w:t>
            </w:r>
          </w:p>
          <w:p w14:paraId="40F58BC7" w14:textId="12B9D222" w:rsidR="0031675F" w:rsidRPr="0031675F" w:rsidRDefault="0031675F" w:rsidP="0031675F">
            <w:pPr>
              <w:ind w:left="540"/>
              <w:jc w:val="center"/>
            </w:pPr>
            <w:r w:rsidRPr="0031675F">
              <w:t>(µg P</w:t>
            </w:r>
            <w:r w:rsidR="00660229" w:rsidRPr="00E37A70">
              <w:rPr>
                <w:rFonts w:cs="Arial"/>
                <w:spacing w:val="-1"/>
              </w:rPr>
              <w:t xml:space="preserve"> L</w:t>
            </w:r>
            <w:r w:rsidR="00660229" w:rsidRPr="00E37A70">
              <w:rPr>
                <w:rFonts w:cs="Arial"/>
                <w:spacing w:val="-1"/>
                <w:vertAlign w:val="superscript"/>
              </w:rPr>
              <w:t>-1</w:t>
            </w:r>
            <w:r w:rsidRPr="0031675F">
              <w:t>)</w:t>
            </w:r>
          </w:p>
        </w:tc>
      </w:tr>
      <w:tr w:rsidR="0031675F" w:rsidRPr="0031675F" w14:paraId="138ED5FC" w14:textId="77777777" w:rsidTr="00B00729">
        <w:trPr>
          <w:trHeight w:val="350"/>
          <w:jc w:val="center"/>
        </w:trPr>
        <w:tc>
          <w:tcPr>
            <w:tcW w:w="2551" w:type="dxa"/>
            <w:vAlign w:val="center"/>
          </w:tcPr>
          <w:p w14:paraId="4C78098A" w14:textId="77777777" w:rsidR="0031675F" w:rsidRPr="0031675F" w:rsidRDefault="0031675F" w:rsidP="0031675F">
            <w:pPr>
              <w:ind w:left="540"/>
              <w:jc w:val="center"/>
            </w:pPr>
            <w:r w:rsidRPr="0031675F">
              <w:t>1</w:t>
            </w:r>
          </w:p>
        </w:tc>
        <w:tc>
          <w:tcPr>
            <w:tcW w:w="2552" w:type="dxa"/>
            <w:vAlign w:val="center"/>
          </w:tcPr>
          <w:p w14:paraId="3412DD02" w14:textId="77777777" w:rsidR="0031675F" w:rsidRPr="0031675F" w:rsidRDefault="0031675F" w:rsidP="0031675F">
            <w:pPr>
              <w:ind w:left="540"/>
              <w:jc w:val="center"/>
            </w:pPr>
            <w:r w:rsidRPr="0031675F">
              <w:t>1000</w:t>
            </w:r>
          </w:p>
        </w:tc>
        <w:tc>
          <w:tcPr>
            <w:tcW w:w="2552" w:type="dxa"/>
            <w:vAlign w:val="center"/>
          </w:tcPr>
          <w:p w14:paraId="52B56274" w14:textId="77777777" w:rsidR="0031675F" w:rsidRPr="0031675F" w:rsidRDefault="0031675F" w:rsidP="0031675F">
            <w:pPr>
              <w:ind w:left="540"/>
              <w:jc w:val="center"/>
            </w:pPr>
            <w:r w:rsidRPr="0031675F">
              <w:t>1000</w:t>
            </w:r>
          </w:p>
        </w:tc>
      </w:tr>
    </w:tbl>
    <w:p w14:paraId="69B3CFDA" w14:textId="77777777" w:rsidR="0031675F" w:rsidRPr="0031675F" w:rsidRDefault="0031675F" w:rsidP="0031675F">
      <w:pPr>
        <w:ind w:left="720"/>
      </w:pPr>
    </w:p>
    <w:p w14:paraId="3239DDF3" w14:textId="77777777" w:rsidR="0031675F" w:rsidRPr="0031675F" w:rsidRDefault="0031675F" w:rsidP="0031675F">
      <w:pPr>
        <w:ind w:left="1260" w:hanging="720"/>
      </w:pPr>
      <w:r w:rsidRPr="0031675F">
        <w:t>Step 2: Using the secondary stock solution made in step 1 make up the following dilutions which are used as working calibration standards.</w:t>
      </w:r>
    </w:p>
    <w:p w14:paraId="71048180" w14:textId="77777777" w:rsidR="0031675F" w:rsidRPr="0031675F" w:rsidRDefault="0031675F" w:rsidP="0031675F">
      <w:pPr>
        <w:ind w:left="72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2552"/>
        <w:gridCol w:w="2552"/>
      </w:tblGrid>
      <w:tr w:rsidR="0031675F" w:rsidRPr="0031675F" w14:paraId="0BFA6F7C" w14:textId="77777777" w:rsidTr="00B00729">
        <w:trPr>
          <w:trHeight w:val="958"/>
          <w:jc w:val="center"/>
        </w:trPr>
        <w:tc>
          <w:tcPr>
            <w:tcW w:w="2551" w:type="dxa"/>
            <w:vAlign w:val="center"/>
          </w:tcPr>
          <w:p w14:paraId="54E8FD9D" w14:textId="77777777" w:rsidR="0031675F" w:rsidRPr="0031675F" w:rsidRDefault="0031675F" w:rsidP="0031675F">
            <w:pPr>
              <w:jc w:val="center"/>
            </w:pPr>
            <w:r w:rsidRPr="0031675F">
              <w:t xml:space="preserve">Secondary Stock Phosphorus Solution </w:t>
            </w:r>
          </w:p>
          <w:p w14:paraId="09566274" w14:textId="77777777" w:rsidR="0031675F" w:rsidRPr="0031675F" w:rsidRDefault="0031675F" w:rsidP="0031675F">
            <w:pPr>
              <w:jc w:val="center"/>
            </w:pPr>
            <w:r w:rsidRPr="0031675F">
              <w:t>(mL)</w:t>
            </w:r>
          </w:p>
        </w:tc>
        <w:tc>
          <w:tcPr>
            <w:tcW w:w="2552" w:type="dxa"/>
            <w:vAlign w:val="center"/>
          </w:tcPr>
          <w:p w14:paraId="520BBDA1" w14:textId="77777777" w:rsidR="0031675F" w:rsidRPr="0031675F" w:rsidRDefault="0031675F" w:rsidP="0031675F">
            <w:pPr>
              <w:jc w:val="center"/>
            </w:pPr>
            <w:r w:rsidRPr="0031675F">
              <w:t>Size Volumetric Flask (mL)</w:t>
            </w:r>
          </w:p>
        </w:tc>
        <w:tc>
          <w:tcPr>
            <w:tcW w:w="2552" w:type="dxa"/>
            <w:vAlign w:val="center"/>
          </w:tcPr>
          <w:p w14:paraId="277699E3" w14:textId="2CDEB342" w:rsidR="0031675F" w:rsidRPr="0031675F" w:rsidRDefault="0031675F" w:rsidP="0031675F">
            <w:pPr>
              <w:jc w:val="center"/>
            </w:pPr>
            <w:r w:rsidRPr="0031675F">
              <w:t>Calculated Concentration (µg P</w:t>
            </w:r>
            <w:r w:rsidR="00660229" w:rsidRPr="00E37A70">
              <w:rPr>
                <w:rFonts w:cs="Arial"/>
                <w:spacing w:val="-1"/>
              </w:rPr>
              <w:t xml:space="preserve"> L</w:t>
            </w:r>
            <w:r w:rsidR="00660229" w:rsidRPr="00E37A70">
              <w:rPr>
                <w:rFonts w:cs="Arial"/>
                <w:spacing w:val="-1"/>
                <w:vertAlign w:val="superscript"/>
              </w:rPr>
              <w:t>-1</w:t>
            </w:r>
            <w:r w:rsidRPr="0031675F">
              <w:t>)</w:t>
            </w:r>
          </w:p>
        </w:tc>
      </w:tr>
      <w:tr w:rsidR="0031675F" w:rsidRPr="0031675F" w14:paraId="3AE5EB8F" w14:textId="77777777" w:rsidTr="00B00729">
        <w:trPr>
          <w:trHeight w:val="284"/>
          <w:jc w:val="center"/>
        </w:trPr>
        <w:tc>
          <w:tcPr>
            <w:tcW w:w="2551" w:type="dxa"/>
            <w:vAlign w:val="center"/>
          </w:tcPr>
          <w:p w14:paraId="2193AF9B" w14:textId="77777777" w:rsidR="0031675F" w:rsidRPr="0031675F" w:rsidRDefault="0031675F" w:rsidP="0031675F">
            <w:pPr>
              <w:jc w:val="center"/>
            </w:pPr>
            <w:r w:rsidRPr="0031675F">
              <w:t>1</w:t>
            </w:r>
          </w:p>
        </w:tc>
        <w:tc>
          <w:tcPr>
            <w:tcW w:w="2552" w:type="dxa"/>
            <w:vAlign w:val="center"/>
          </w:tcPr>
          <w:p w14:paraId="39C492B1" w14:textId="77777777" w:rsidR="0031675F" w:rsidRPr="0031675F" w:rsidRDefault="0031675F" w:rsidP="0031675F">
            <w:pPr>
              <w:jc w:val="center"/>
            </w:pPr>
            <w:r w:rsidRPr="0031675F">
              <w:t>100</w:t>
            </w:r>
          </w:p>
        </w:tc>
        <w:tc>
          <w:tcPr>
            <w:tcW w:w="2552" w:type="dxa"/>
            <w:vAlign w:val="center"/>
          </w:tcPr>
          <w:p w14:paraId="453C71C8" w14:textId="77777777" w:rsidR="0031675F" w:rsidRPr="0031675F" w:rsidRDefault="0031675F" w:rsidP="0031675F">
            <w:pPr>
              <w:jc w:val="center"/>
            </w:pPr>
            <w:r w:rsidRPr="0031675F">
              <w:t>10</w:t>
            </w:r>
          </w:p>
        </w:tc>
      </w:tr>
      <w:tr w:rsidR="0031675F" w:rsidRPr="0031675F" w14:paraId="757350C9" w14:textId="77777777" w:rsidTr="00B00729">
        <w:trPr>
          <w:trHeight w:val="284"/>
          <w:jc w:val="center"/>
        </w:trPr>
        <w:tc>
          <w:tcPr>
            <w:tcW w:w="2551" w:type="dxa"/>
            <w:vAlign w:val="center"/>
          </w:tcPr>
          <w:p w14:paraId="218AA7FD" w14:textId="77777777" w:rsidR="0031675F" w:rsidRPr="0031675F" w:rsidRDefault="0031675F" w:rsidP="0031675F">
            <w:pPr>
              <w:jc w:val="center"/>
            </w:pPr>
            <w:r w:rsidRPr="0031675F">
              <w:t>2</w:t>
            </w:r>
          </w:p>
        </w:tc>
        <w:tc>
          <w:tcPr>
            <w:tcW w:w="2552" w:type="dxa"/>
            <w:vAlign w:val="center"/>
          </w:tcPr>
          <w:p w14:paraId="5F5B62FC" w14:textId="77777777" w:rsidR="0031675F" w:rsidRPr="0031675F" w:rsidRDefault="0031675F" w:rsidP="0031675F">
            <w:pPr>
              <w:jc w:val="center"/>
            </w:pPr>
            <w:r w:rsidRPr="0031675F">
              <w:t>100</w:t>
            </w:r>
          </w:p>
        </w:tc>
        <w:tc>
          <w:tcPr>
            <w:tcW w:w="2552" w:type="dxa"/>
            <w:vAlign w:val="center"/>
          </w:tcPr>
          <w:p w14:paraId="4FF141BA" w14:textId="77777777" w:rsidR="0031675F" w:rsidRPr="0031675F" w:rsidRDefault="0031675F" w:rsidP="0031675F">
            <w:pPr>
              <w:jc w:val="center"/>
            </w:pPr>
            <w:r w:rsidRPr="0031675F">
              <w:t>20</w:t>
            </w:r>
          </w:p>
        </w:tc>
      </w:tr>
      <w:tr w:rsidR="0031675F" w:rsidRPr="0031675F" w14:paraId="42096AC9" w14:textId="77777777" w:rsidTr="00B00729">
        <w:trPr>
          <w:trHeight w:val="284"/>
          <w:jc w:val="center"/>
        </w:trPr>
        <w:tc>
          <w:tcPr>
            <w:tcW w:w="2551" w:type="dxa"/>
            <w:vAlign w:val="center"/>
          </w:tcPr>
          <w:p w14:paraId="63EF3584" w14:textId="77777777" w:rsidR="0031675F" w:rsidRPr="0031675F" w:rsidRDefault="0031675F" w:rsidP="0031675F">
            <w:pPr>
              <w:jc w:val="center"/>
            </w:pPr>
            <w:r w:rsidRPr="0031675F">
              <w:t>4</w:t>
            </w:r>
          </w:p>
        </w:tc>
        <w:tc>
          <w:tcPr>
            <w:tcW w:w="2552" w:type="dxa"/>
            <w:vAlign w:val="center"/>
          </w:tcPr>
          <w:p w14:paraId="6AE4E497" w14:textId="77777777" w:rsidR="0031675F" w:rsidRPr="0031675F" w:rsidRDefault="0031675F" w:rsidP="0031675F">
            <w:pPr>
              <w:jc w:val="center"/>
            </w:pPr>
            <w:r w:rsidRPr="0031675F">
              <w:t>100</w:t>
            </w:r>
          </w:p>
        </w:tc>
        <w:tc>
          <w:tcPr>
            <w:tcW w:w="2552" w:type="dxa"/>
            <w:vAlign w:val="center"/>
          </w:tcPr>
          <w:p w14:paraId="6A225450" w14:textId="77777777" w:rsidR="0031675F" w:rsidRPr="0031675F" w:rsidRDefault="0031675F" w:rsidP="0031675F">
            <w:pPr>
              <w:jc w:val="center"/>
            </w:pPr>
            <w:r w:rsidRPr="0031675F">
              <w:t>40</w:t>
            </w:r>
          </w:p>
        </w:tc>
      </w:tr>
      <w:tr w:rsidR="0031675F" w:rsidRPr="0031675F" w14:paraId="431FB063" w14:textId="77777777" w:rsidTr="00B00729">
        <w:trPr>
          <w:trHeight w:val="284"/>
          <w:jc w:val="center"/>
        </w:trPr>
        <w:tc>
          <w:tcPr>
            <w:tcW w:w="2551" w:type="dxa"/>
            <w:vAlign w:val="center"/>
          </w:tcPr>
          <w:p w14:paraId="7E52862B" w14:textId="77777777" w:rsidR="0031675F" w:rsidRPr="0031675F" w:rsidRDefault="0031675F" w:rsidP="0031675F">
            <w:pPr>
              <w:jc w:val="center"/>
            </w:pPr>
            <w:r w:rsidRPr="0031675F">
              <w:t>5</w:t>
            </w:r>
          </w:p>
        </w:tc>
        <w:tc>
          <w:tcPr>
            <w:tcW w:w="2552" w:type="dxa"/>
            <w:vAlign w:val="center"/>
          </w:tcPr>
          <w:p w14:paraId="3EF22811" w14:textId="77777777" w:rsidR="0031675F" w:rsidRPr="0031675F" w:rsidRDefault="0031675F" w:rsidP="0031675F">
            <w:pPr>
              <w:jc w:val="center"/>
            </w:pPr>
            <w:r w:rsidRPr="0031675F">
              <w:t>100</w:t>
            </w:r>
          </w:p>
        </w:tc>
        <w:tc>
          <w:tcPr>
            <w:tcW w:w="2552" w:type="dxa"/>
            <w:vAlign w:val="center"/>
          </w:tcPr>
          <w:p w14:paraId="6AF7E52C" w14:textId="77777777" w:rsidR="0031675F" w:rsidRPr="0031675F" w:rsidRDefault="0031675F" w:rsidP="0031675F">
            <w:pPr>
              <w:jc w:val="center"/>
            </w:pPr>
            <w:r w:rsidRPr="0031675F">
              <w:t>50</w:t>
            </w:r>
          </w:p>
        </w:tc>
      </w:tr>
      <w:tr w:rsidR="0031675F" w:rsidRPr="0031675F" w14:paraId="634367D2" w14:textId="77777777" w:rsidTr="00B00729">
        <w:trPr>
          <w:trHeight w:val="284"/>
          <w:jc w:val="center"/>
        </w:trPr>
        <w:tc>
          <w:tcPr>
            <w:tcW w:w="2551" w:type="dxa"/>
            <w:vAlign w:val="center"/>
          </w:tcPr>
          <w:p w14:paraId="31BE92EB" w14:textId="77777777" w:rsidR="0031675F" w:rsidRPr="0031675F" w:rsidRDefault="0031675F" w:rsidP="0031675F">
            <w:pPr>
              <w:jc w:val="center"/>
            </w:pPr>
            <w:r w:rsidRPr="0031675F">
              <w:t>8</w:t>
            </w:r>
          </w:p>
        </w:tc>
        <w:tc>
          <w:tcPr>
            <w:tcW w:w="2552" w:type="dxa"/>
            <w:vAlign w:val="center"/>
          </w:tcPr>
          <w:p w14:paraId="771709C0" w14:textId="77777777" w:rsidR="0031675F" w:rsidRPr="0031675F" w:rsidRDefault="0031675F" w:rsidP="0031675F">
            <w:pPr>
              <w:jc w:val="center"/>
            </w:pPr>
            <w:r w:rsidRPr="0031675F">
              <w:t>100</w:t>
            </w:r>
          </w:p>
        </w:tc>
        <w:tc>
          <w:tcPr>
            <w:tcW w:w="2552" w:type="dxa"/>
            <w:vAlign w:val="center"/>
          </w:tcPr>
          <w:p w14:paraId="49DDF66C" w14:textId="77777777" w:rsidR="0031675F" w:rsidRPr="0031675F" w:rsidRDefault="0031675F" w:rsidP="0031675F">
            <w:pPr>
              <w:jc w:val="center"/>
            </w:pPr>
            <w:r w:rsidRPr="0031675F">
              <w:t>80</w:t>
            </w:r>
          </w:p>
        </w:tc>
      </w:tr>
      <w:tr w:rsidR="0031675F" w:rsidRPr="0031675F" w14:paraId="3EFC83E6" w14:textId="77777777" w:rsidTr="00B00729">
        <w:trPr>
          <w:trHeight w:val="284"/>
          <w:jc w:val="center"/>
        </w:trPr>
        <w:tc>
          <w:tcPr>
            <w:tcW w:w="2551" w:type="dxa"/>
            <w:vAlign w:val="center"/>
          </w:tcPr>
          <w:p w14:paraId="2BF2D448" w14:textId="77777777" w:rsidR="0031675F" w:rsidRPr="0031675F" w:rsidRDefault="0031675F" w:rsidP="0031675F">
            <w:pPr>
              <w:jc w:val="center"/>
            </w:pPr>
            <w:r w:rsidRPr="0031675F">
              <w:t>10</w:t>
            </w:r>
          </w:p>
        </w:tc>
        <w:tc>
          <w:tcPr>
            <w:tcW w:w="2552" w:type="dxa"/>
            <w:vAlign w:val="center"/>
          </w:tcPr>
          <w:p w14:paraId="1DC6A4B3" w14:textId="77777777" w:rsidR="0031675F" w:rsidRPr="0031675F" w:rsidRDefault="0031675F" w:rsidP="0031675F">
            <w:pPr>
              <w:jc w:val="center"/>
            </w:pPr>
            <w:r w:rsidRPr="0031675F">
              <w:t>100</w:t>
            </w:r>
          </w:p>
        </w:tc>
        <w:tc>
          <w:tcPr>
            <w:tcW w:w="2552" w:type="dxa"/>
            <w:vAlign w:val="center"/>
          </w:tcPr>
          <w:p w14:paraId="68A938FF" w14:textId="77777777" w:rsidR="0031675F" w:rsidRPr="0031675F" w:rsidRDefault="0031675F" w:rsidP="0031675F">
            <w:pPr>
              <w:jc w:val="center"/>
            </w:pPr>
            <w:r w:rsidRPr="0031675F">
              <w:t>100</w:t>
            </w:r>
          </w:p>
        </w:tc>
      </w:tr>
      <w:tr w:rsidR="0031675F" w:rsidRPr="0031675F" w14:paraId="50A57939" w14:textId="77777777" w:rsidTr="00B00729">
        <w:trPr>
          <w:trHeight w:val="284"/>
          <w:jc w:val="center"/>
        </w:trPr>
        <w:tc>
          <w:tcPr>
            <w:tcW w:w="2551" w:type="dxa"/>
            <w:vAlign w:val="center"/>
          </w:tcPr>
          <w:p w14:paraId="785CF2A8" w14:textId="77777777" w:rsidR="0031675F" w:rsidRPr="0031675F" w:rsidRDefault="0031675F" w:rsidP="0031675F">
            <w:pPr>
              <w:jc w:val="center"/>
            </w:pPr>
            <w:r w:rsidRPr="0031675F">
              <w:t>20</w:t>
            </w:r>
          </w:p>
        </w:tc>
        <w:tc>
          <w:tcPr>
            <w:tcW w:w="2552" w:type="dxa"/>
            <w:vAlign w:val="center"/>
          </w:tcPr>
          <w:p w14:paraId="20D60AA6" w14:textId="77777777" w:rsidR="0031675F" w:rsidRPr="0031675F" w:rsidRDefault="0031675F" w:rsidP="0031675F">
            <w:pPr>
              <w:jc w:val="center"/>
            </w:pPr>
            <w:r w:rsidRPr="0031675F">
              <w:t>100</w:t>
            </w:r>
          </w:p>
        </w:tc>
        <w:tc>
          <w:tcPr>
            <w:tcW w:w="2552" w:type="dxa"/>
            <w:vAlign w:val="center"/>
          </w:tcPr>
          <w:p w14:paraId="4E634045" w14:textId="77777777" w:rsidR="0031675F" w:rsidRPr="0031675F" w:rsidRDefault="0031675F" w:rsidP="0031675F">
            <w:pPr>
              <w:jc w:val="center"/>
            </w:pPr>
            <w:r w:rsidRPr="0031675F">
              <w:t>200</w:t>
            </w:r>
          </w:p>
        </w:tc>
      </w:tr>
    </w:tbl>
    <w:p w14:paraId="77285798" w14:textId="77777777" w:rsidR="0031675F" w:rsidRPr="0031675F" w:rsidRDefault="0031675F" w:rsidP="0031675F">
      <w:pPr>
        <w:ind w:left="720"/>
      </w:pPr>
    </w:p>
    <w:p w14:paraId="61B564E4" w14:textId="77777777" w:rsidR="0031675F" w:rsidRPr="0031675F" w:rsidRDefault="0031675F" w:rsidP="0031675F">
      <w:pPr>
        <w:ind w:left="1514" w:hanging="794"/>
      </w:pPr>
      <w:r w:rsidRPr="0031675F">
        <w:rPr>
          <w:b/>
        </w:rPr>
        <w:t>NOTE:</w:t>
      </w:r>
      <w:r w:rsidRPr="0031675F">
        <w:t xml:space="preserve"> The calibration standards are mixed phosphorus and nitrogen standards (refer to TNSOP 8.1.1 for direction)</w:t>
      </w:r>
    </w:p>
    <w:p w14:paraId="06EC76A4" w14:textId="77777777" w:rsidR="0031675F" w:rsidRPr="0031675F" w:rsidRDefault="0031675F" w:rsidP="0031675F">
      <w:pPr>
        <w:ind w:left="1440" w:hanging="720"/>
      </w:pPr>
    </w:p>
    <w:p w14:paraId="38903610" w14:textId="77777777" w:rsidR="0031675F" w:rsidRPr="0031675F" w:rsidRDefault="0031675F" w:rsidP="0031675F">
      <w:pPr>
        <w:ind w:left="540" w:hanging="540"/>
      </w:pPr>
      <w:r w:rsidRPr="0031675F">
        <w:rPr>
          <w:b/>
        </w:rPr>
        <w:t>8.2</w:t>
      </w:r>
      <w:r w:rsidRPr="0031675F">
        <w:t xml:space="preserve"> </w:t>
      </w:r>
      <w:r w:rsidRPr="0031675F">
        <w:tab/>
        <w:t>A calibration curve should be constructed for each sample run.</w:t>
      </w:r>
    </w:p>
    <w:p w14:paraId="0F76DE67" w14:textId="77777777" w:rsidR="0031675F" w:rsidRPr="0031675F" w:rsidRDefault="0031675F" w:rsidP="0031675F">
      <w:pPr>
        <w:ind w:left="540" w:hanging="540"/>
      </w:pPr>
    </w:p>
    <w:p w14:paraId="5E3EE00C" w14:textId="77777777" w:rsidR="0031675F" w:rsidRPr="0031675F" w:rsidRDefault="0031675F" w:rsidP="0031675F">
      <w:pPr>
        <w:ind w:left="540" w:hanging="540"/>
      </w:pPr>
      <w:r w:rsidRPr="0031675F">
        <w:rPr>
          <w:b/>
        </w:rPr>
        <w:t>8.3</w:t>
      </w:r>
      <w:r w:rsidRPr="0031675F">
        <w:t xml:space="preserve"> </w:t>
      </w:r>
      <w:r w:rsidRPr="0031675F">
        <w:tab/>
        <w:t xml:space="preserve">The calibration standards should be placed at the start, middle and end of the run to allow for any sensitivity drift. </w:t>
      </w:r>
    </w:p>
    <w:p w14:paraId="2D2602E7" w14:textId="77777777" w:rsidR="0031675F" w:rsidRPr="0031675F" w:rsidRDefault="0031675F" w:rsidP="0031675F">
      <w:pPr>
        <w:ind w:left="539" w:hanging="539"/>
      </w:pPr>
    </w:p>
    <w:p w14:paraId="264A29E4" w14:textId="77777777" w:rsidR="0031675F" w:rsidRPr="0031675F" w:rsidRDefault="0031675F" w:rsidP="0031675F">
      <w:pPr>
        <w:ind w:left="1260" w:hanging="720"/>
      </w:pPr>
      <w:r w:rsidRPr="0031675F">
        <w:rPr>
          <w:b/>
        </w:rPr>
        <w:t>NOTE:</w:t>
      </w:r>
      <w:r w:rsidRPr="0031675F">
        <w:t xml:space="preserve"> For large amounts of samples it may be necessary to increase the amount of calibration standards digested to ensure that a ratio of one set of standards per 20 – 30 samples is achieved.</w:t>
      </w:r>
    </w:p>
    <w:p w14:paraId="0635DEBB" w14:textId="77777777" w:rsidR="0031675F" w:rsidRPr="0031675F" w:rsidRDefault="0031675F" w:rsidP="0031675F">
      <w:pPr>
        <w:ind w:left="540" w:hanging="540"/>
      </w:pPr>
    </w:p>
    <w:p w14:paraId="5BAE69AC" w14:textId="77777777" w:rsidR="0031675F" w:rsidRPr="0031675F" w:rsidRDefault="0031675F" w:rsidP="0031675F">
      <w:pPr>
        <w:ind w:left="540" w:hanging="540"/>
      </w:pPr>
      <w:r w:rsidRPr="0031675F">
        <w:rPr>
          <w:b/>
        </w:rPr>
        <w:t>8.4</w:t>
      </w:r>
      <w:r w:rsidRPr="0031675F">
        <w:t xml:space="preserve"> </w:t>
      </w:r>
      <w:r w:rsidRPr="0031675F">
        <w:tab/>
        <w:t>The CRM should be placed at the start and the end of the run to ensure the accuracy of results is maintained throughout the whole run.</w:t>
      </w:r>
    </w:p>
    <w:p w14:paraId="4D18DF19" w14:textId="77777777" w:rsidR="0031675F" w:rsidRPr="0031675F" w:rsidRDefault="0031675F" w:rsidP="0031675F">
      <w:pPr>
        <w:ind w:left="540" w:hanging="540"/>
      </w:pPr>
    </w:p>
    <w:p w14:paraId="4E33A656" w14:textId="77777777" w:rsidR="0031675F" w:rsidRPr="0031675F" w:rsidRDefault="0031675F" w:rsidP="0031675F">
      <w:pPr>
        <w:ind w:left="540" w:hanging="540"/>
      </w:pPr>
      <w:r w:rsidRPr="0031675F">
        <w:rPr>
          <w:b/>
        </w:rPr>
        <w:t>8.5</w:t>
      </w:r>
      <w:r w:rsidRPr="0031675F">
        <w:t xml:space="preserve"> </w:t>
      </w:r>
      <w:r w:rsidRPr="0031675F">
        <w:tab/>
        <w:t>Spiked samples should be prepared as follows:</w:t>
      </w:r>
    </w:p>
    <w:p w14:paraId="2E810C6E" w14:textId="77777777" w:rsidR="0031675F" w:rsidRPr="0031675F" w:rsidRDefault="0031675F" w:rsidP="0031675F">
      <w:pPr>
        <w:ind w:left="540" w:hanging="540"/>
      </w:pPr>
    </w:p>
    <w:p w14:paraId="27C6B3FA" w14:textId="77777777" w:rsidR="0031675F" w:rsidRPr="0031675F" w:rsidRDefault="0031675F" w:rsidP="0031675F">
      <w:pPr>
        <w:ind w:left="1134" w:hanging="567"/>
      </w:pPr>
      <w:r w:rsidRPr="0031675F">
        <w:rPr>
          <w:b/>
        </w:rPr>
        <w:t>8.5.1</w:t>
      </w:r>
      <w:r w:rsidRPr="0031675F">
        <w:t xml:space="preserve"> </w:t>
      </w:r>
      <w:r w:rsidRPr="0031675F">
        <w:tab/>
        <w:t>Step 1: Ensure that the sample randomly chosen to be spiked is 10mLs exactly (marked line). Use a micro pipette to remove any excess sample or conversely to add a little more sample into the vial.</w:t>
      </w:r>
    </w:p>
    <w:p w14:paraId="0CF33366" w14:textId="77777777" w:rsidR="0031675F" w:rsidRPr="0031675F" w:rsidRDefault="0031675F" w:rsidP="0031675F">
      <w:pPr>
        <w:ind w:left="1080" w:hanging="540"/>
      </w:pPr>
    </w:p>
    <w:p w14:paraId="69077EA8" w14:textId="77777777" w:rsidR="0031675F" w:rsidRPr="0031675F" w:rsidRDefault="0031675F" w:rsidP="0031675F">
      <w:pPr>
        <w:ind w:left="1467" w:hanging="900"/>
      </w:pPr>
      <w:r w:rsidRPr="0031675F">
        <w:rPr>
          <w:b/>
        </w:rPr>
        <w:t>NOTE:</w:t>
      </w:r>
      <w:r w:rsidRPr="0031675F">
        <w:t xml:space="preserve"> </w:t>
      </w:r>
      <w:r w:rsidRPr="0031675F">
        <w:tab/>
        <w:t>Thoroughly mix the sample before remove or adding any sample.</w:t>
      </w:r>
    </w:p>
    <w:p w14:paraId="5F92F27C" w14:textId="77777777" w:rsidR="0031675F" w:rsidRPr="0031675F" w:rsidRDefault="0031675F" w:rsidP="0031675F">
      <w:pPr>
        <w:ind w:left="1440" w:hanging="900"/>
      </w:pPr>
    </w:p>
    <w:p w14:paraId="236D57C4" w14:textId="77777777" w:rsidR="0031675F" w:rsidRPr="0031675F" w:rsidRDefault="0031675F" w:rsidP="0031675F">
      <w:pPr>
        <w:ind w:left="1134" w:hanging="567"/>
      </w:pPr>
      <w:r w:rsidRPr="0031675F">
        <w:rPr>
          <w:b/>
        </w:rPr>
        <w:t>8.5.2</w:t>
      </w:r>
      <w:r w:rsidRPr="0031675F">
        <w:t xml:space="preserve"> </w:t>
      </w:r>
      <w:r w:rsidRPr="0031675F">
        <w:tab/>
        <w:t>Step 2: Make up the spiking stock mixture by adding 1mL of Stock Phosphorus Solution (SSS) to 230 mL of reagent water in a 250 mL glass volumetric flask. Mix well and fill to the marked line,</w:t>
      </w:r>
    </w:p>
    <w:p w14:paraId="34CCB014" w14:textId="77777777" w:rsidR="0031675F" w:rsidRPr="0031675F" w:rsidRDefault="0031675F" w:rsidP="0031675F">
      <w:pPr>
        <w:ind w:left="1134" w:hanging="567"/>
      </w:pPr>
    </w:p>
    <w:p w14:paraId="2B8BB9BF" w14:textId="6053FF20" w:rsidR="0031675F" w:rsidRPr="0031675F" w:rsidRDefault="0031675F" w:rsidP="0031675F">
      <w:pPr>
        <w:ind w:left="1134" w:hanging="567"/>
      </w:pPr>
      <w:r w:rsidRPr="0031675F">
        <w:rPr>
          <w:b/>
        </w:rPr>
        <w:t>8.5.3</w:t>
      </w:r>
      <w:r w:rsidRPr="0031675F">
        <w:t xml:space="preserve"> </w:t>
      </w:r>
      <w:r w:rsidRPr="0031675F">
        <w:tab/>
        <w:t>Step 3: Add 50µL of the spiking stock mixture (equivalent of 20 µg P</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to the 10 mL sample and mix well.</w:t>
      </w:r>
    </w:p>
    <w:p w14:paraId="2A619CFE" w14:textId="77777777" w:rsidR="0031675F" w:rsidRPr="0031675F" w:rsidRDefault="0031675F" w:rsidP="0031675F">
      <w:pPr>
        <w:ind w:left="1134" w:hanging="567"/>
      </w:pPr>
    </w:p>
    <w:p w14:paraId="7DD0967C" w14:textId="77777777" w:rsidR="0031675F" w:rsidRPr="0031675F" w:rsidRDefault="0031675F" w:rsidP="0031675F">
      <w:pPr>
        <w:ind w:left="1134" w:hanging="567"/>
      </w:pPr>
      <w:r w:rsidRPr="0031675F">
        <w:rPr>
          <w:b/>
        </w:rPr>
        <w:t>8.5.4</w:t>
      </w:r>
      <w:r w:rsidRPr="0031675F">
        <w:t xml:space="preserve"> </w:t>
      </w:r>
      <w:r w:rsidRPr="0031675F">
        <w:tab/>
        <w:t>A minimum of three spiked reagent water samples are to be prepared and analysed for every run.</w:t>
      </w:r>
    </w:p>
    <w:p w14:paraId="462A078F" w14:textId="77777777" w:rsidR="0031675F" w:rsidRPr="0031675F" w:rsidRDefault="0031675F" w:rsidP="0031675F">
      <w:pPr>
        <w:ind w:left="720" w:hanging="720"/>
        <w:rPr>
          <w:b/>
        </w:rPr>
      </w:pPr>
    </w:p>
    <w:p w14:paraId="5570E42C" w14:textId="77777777" w:rsidR="0031675F" w:rsidRPr="0031675F" w:rsidRDefault="0031675F" w:rsidP="0031675F">
      <w:pPr>
        <w:shd w:val="clear" w:color="auto" w:fill="D9D9D9"/>
        <w:ind w:left="540" w:hanging="540"/>
        <w:rPr>
          <w:b/>
        </w:rPr>
      </w:pPr>
      <w:r w:rsidRPr="0031675F">
        <w:rPr>
          <w:b/>
        </w:rPr>
        <w:t xml:space="preserve">9.0 </w:t>
      </w:r>
      <w:r w:rsidRPr="0031675F">
        <w:rPr>
          <w:b/>
        </w:rPr>
        <w:tab/>
        <w:t>SAMPLE, CALIBRATION STANDARDS, AND CRM PREPARATION PROCEDURE</w:t>
      </w:r>
    </w:p>
    <w:p w14:paraId="66EE430D" w14:textId="77777777" w:rsidR="0031675F" w:rsidRPr="0031675F" w:rsidRDefault="0031675F" w:rsidP="0031675F">
      <w:pPr>
        <w:ind w:left="720" w:hanging="720"/>
        <w:rPr>
          <w:b/>
        </w:rPr>
      </w:pPr>
    </w:p>
    <w:p w14:paraId="5D8F261C" w14:textId="77777777" w:rsidR="0031675F" w:rsidRPr="0031675F" w:rsidRDefault="0031675F" w:rsidP="0031675F">
      <w:pPr>
        <w:ind w:left="540" w:hanging="540"/>
      </w:pPr>
      <w:r w:rsidRPr="0031675F">
        <w:rPr>
          <w:b/>
        </w:rPr>
        <w:t>9.1</w:t>
      </w:r>
      <w:r w:rsidRPr="0031675F">
        <w:t xml:space="preserve"> </w:t>
      </w:r>
      <w:r w:rsidRPr="0031675F">
        <w:tab/>
        <w:t xml:space="preserve">If samples are frozen, thaw samples by running under a continuous flow of cold water. </w:t>
      </w:r>
    </w:p>
    <w:p w14:paraId="57B5D896" w14:textId="77777777" w:rsidR="0031675F" w:rsidRPr="0031675F" w:rsidRDefault="0031675F" w:rsidP="0031675F">
      <w:pPr>
        <w:ind w:left="540" w:hanging="540"/>
      </w:pPr>
    </w:p>
    <w:p w14:paraId="7642D937" w14:textId="77777777" w:rsidR="0031675F" w:rsidRPr="0031675F" w:rsidRDefault="0031675F" w:rsidP="0031675F">
      <w:pPr>
        <w:ind w:left="540" w:hanging="540"/>
      </w:pPr>
      <w:r w:rsidRPr="0031675F">
        <w:rPr>
          <w:b/>
        </w:rPr>
        <w:t>9.2</w:t>
      </w:r>
      <w:r w:rsidRPr="0031675F">
        <w:t xml:space="preserve"> </w:t>
      </w:r>
      <w:r w:rsidRPr="0031675F">
        <w:tab/>
        <w:t>Make up the seven calibration standards (refer 8.1.1), and prepare the CRM’s (refer 7.4.2).</w:t>
      </w:r>
    </w:p>
    <w:p w14:paraId="7D94144E" w14:textId="77777777" w:rsidR="0031675F" w:rsidRPr="0031675F" w:rsidRDefault="0031675F" w:rsidP="0031675F">
      <w:pPr>
        <w:ind w:left="540" w:hanging="540"/>
      </w:pPr>
    </w:p>
    <w:p w14:paraId="34DBE1F5" w14:textId="77777777" w:rsidR="0031675F" w:rsidRPr="0031675F" w:rsidRDefault="0031675F" w:rsidP="0031675F">
      <w:pPr>
        <w:ind w:left="540" w:hanging="540"/>
      </w:pPr>
      <w:r w:rsidRPr="0031675F">
        <w:rPr>
          <w:b/>
        </w:rPr>
        <w:t>9.3</w:t>
      </w:r>
      <w:r w:rsidRPr="0031675F">
        <w:t xml:space="preserve"> </w:t>
      </w:r>
      <w:r w:rsidRPr="0031675F">
        <w:tab/>
        <w:t xml:space="preserve">Thoroughly mix the sample then decant 10 mL into a Sarstedt 10mL sterile vial (if total filterable phosphorus is being analysed the sample will already be in the appropriate tube). If samples contain high amounts of particulates dilution series should be carried out at this point. </w:t>
      </w:r>
    </w:p>
    <w:p w14:paraId="727843F3" w14:textId="77777777" w:rsidR="0031675F" w:rsidRPr="0031675F" w:rsidRDefault="0031675F" w:rsidP="0031675F">
      <w:pPr>
        <w:ind w:left="540" w:hanging="540"/>
      </w:pPr>
    </w:p>
    <w:p w14:paraId="0AD3BA37" w14:textId="77777777" w:rsidR="0031675F" w:rsidRPr="0031675F" w:rsidRDefault="0031675F" w:rsidP="0031675F">
      <w:pPr>
        <w:ind w:left="1440" w:hanging="900"/>
      </w:pPr>
      <w:r w:rsidRPr="0031675F">
        <w:rPr>
          <w:b/>
        </w:rPr>
        <w:t xml:space="preserve">NOTE: </w:t>
      </w:r>
      <w:r w:rsidRPr="0031675F">
        <w:rPr>
          <w:b/>
        </w:rPr>
        <w:tab/>
      </w:r>
      <w:r w:rsidRPr="0031675F">
        <w:t>Alternatively if samples fall outside of the working range for this method, samples should be diluted, re- digested, and re- analysed.</w:t>
      </w:r>
    </w:p>
    <w:p w14:paraId="779B8A0C" w14:textId="77777777" w:rsidR="0031675F" w:rsidRPr="0031675F" w:rsidRDefault="0031675F" w:rsidP="0031675F">
      <w:pPr>
        <w:ind w:left="1440" w:hanging="900"/>
      </w:pPr>
    </w:p>
    <w:p w14:paraId="250BE5CC" w14:textId="77777777" w:rsidR="0031675F" w:rsidRPr="0031675F" w:rsidRDefault="0031675F" w:rsidP="0031675F">
      <w:pPr>
        <w:ind w:left="540" w:hanging="540"/>
      </w:pPr>
      <w:r w:rsidRPr="0031675F">
        <w:rPr>
          <w:b/>
        </w:rPr>
        <w:t>9.4</w:t>
      </w:r>
      <w:r w:rsidRPr="0031675F">
        <w:t xml:space="preserve"> </w:t>
      </w:r>
      <w:r w:rsidRPr="0031675F">
        <w:tab/>
        <w:t>Choose and make up the spiked samples (refer 8.5).</w:t>
      </w:r>
    </w:p>
    <w:p w14:paraId="547B8B44" w14:textId="77777777" w:rsidR="0031675F" w:rsidRPr="0031675F" w:rsidRDefault="0031675F" w:rsidP="0031675F">
      <w:pPr>
        <w:ind w:left="540" w:hanging="540"/>
      </w:pPr>
    </w:p>
    <w:p w14:paraId="229A8679" w14:textId="77777777" w:rsidR="0031675F" w:rsidRPr="0031675F" w:rsidRDefault="0031675F" w:rsidP="0031675F">
      <w:pPr>
        <w:ind w:left="540" w:hanging="540"/>
      </w:pPr>
      <w:r w:rsidRPr="0031675F">
        <w:rPr>
          <w:b/>
        </w:rPr>
        <w:t>9.5</w:t>
      </w:r>
      <w:r w:rsidRPr="0031675F">
        <w:t xml:space="preserve"> </w:t>
      </w:r>
      <w:r w:rsidRPr="0031675F">
        <w:tab/>
        <w:t xml:space="preserve">Take the 10 mL aliquot of samples, CRM, or spiked samples and transfer after shaking sample to the Sarstedt 30 mL vial for digestion (ensure correct vial is used refer 9.7). Add 5 mL of digestive reagent and put the lid on tightly, mix well using vortex equipment and then loosen half a turn back and place vial into digestion rack for the autoclave. </w:t>
      </w:r>
    </w:p>
    <w:p w14:paraId="1D259079" w14:textId="77777777" w:rsidR="0031675F" w:rsidRPr="0031675F" w:rsidRDefault="0031675F" w:rsidP="0031675F">
      <w:pPr>
        <w:ind w:left="540" w:hanging="540"/>
      </w:pPr>
    </w:p>
    <w:p w14:paraId="4524347E" w14:textId="77777777" w:rsidR="0031675F" w:rsidRPr="0031675F" w:rsidRDefault="0031675F" w:rsidP="0031675F">
      <w:pPr>
        <w:ind w:left="540" w:hanging="540"/>
      </w:pPr>
      <w:r w:rsidRPr="0031675F">
        <w:rPr>
          <w:b/>
        </w:rPr>
        <w:t>9.6</w:t>
      </w:r>
      <w:r w:rsidRPr="0031675F">
        <w:t xml:space="preserve"> </w:t>
      </w:r>
      <w:r w:rsidRPr="0031675F">
        <w:tab/>
        <w:t xml:space="preserve">Thoroughly mix and decant three lots of 10 mL for each working calibration standard and add 5 mL of digestion mixture. Put the lid on tightly, mix well using vortex equipment and then loosen half a turn back and place vial into digestion rack for the autoclave. </w:t>
      </w:r>
    </w:p>
    <w:p w14:paraId="18FEAB01" w14:textId="77777777" w:rsidR="0031675F" w:rsidRPr="0031675F" w:rsidRDefault="0031675F" w:rsidP="0031675F">
      <w:pPr>
        <w:ind w:left="540" w:hanging="540"/>
      </w:pPr>
    </w:p>
    <w:p w14:paraId="7CF3080C" w14:textId="77777777" w:rsidR="0031675F" w:rsidRPr="0031675F" w:rsidRDefault="0031675F" w:rsidP="0031675F">
      <w:pPr>
        <w:ind w:left="540" w:hanging="540"/>
      </w:pPr>
      <w:r w:rsidRPr="0031675F">
        <w:rPr>
          <w:b/>
        </w:rPr>
        <w:t>9.7</w:t>
      </w:r>
      <w:r w:rsidRPr="0031675F">
        <w:t xml:space="preserve"> </w:t>
      </w:r>
      <w:r w:rsidRPr="0031675F">
        <w:tab/>
        <w:t>For freshwater digests use Sarstedt vials (Cat # 60.9922.216) and for saltwater digests use Sarstedt vials (Cat # 60.9922.210 with HDPE lids Cat # C3011).</w:t>
      </w:r>
    </w:p>
    <w:p w14:paraId="1288A787" w14:textId="77777777" w:rsidR="0031675F" w:rsidRPr="0031675F" w:rsidRDefault="0031675F" w:rsidP="0031675F">
      <w:pPr>
        <w:ind w:left="540" w:hanging="540"/>
      </w:pPr>
    </w:p>
    <w:p w14:paraId="1F8FA090" w14:textId="77777777" w:rsidR="0031675F" w:rsidRPr="0031675F" w:rsidRDefault="0031675F" w:rsidP="0031675F">
      <w:pPr>
        <w:ind w:left="540" w:hanging="540"/>
      </w:pPr>
      <w:r w:rsidRPr="0031675F">
        <w:rPr>
          <w:b/>
        </w:rPr>
        <w:t>9.8</w:t>
      </w:r>
      <w:r w:rsidRPr="0031675F">
        <w:t xml:space="preserve"> </w:t>
      </w:r>
      <w:r w:rsidRPr="0031675F">
        <w:tab/>
        <w:t>For freshwater samples digest the samples, calibrations standards, and CRM’s in an autoclave at 121°C for a period of seventy minutes. For saltwater samples, calibration standards, and CRM autoclave at 121°C for a period of 35 minutes, remove samples and vortex stir then autoclave for another period of 35 minutes.</w:t>
      </w:r>
    </w:p>
    <w:p w14:paraId="640F88D4" w14:textId="77777777" w:rsidR="0031675F" w:rsidRPr="0031675F" w:rsidRDefault="0031675F" w:rsidP="0031675F">
      <w:pPr>
        <w:ind w:left="540" w:hanging="540"/>
      </w:pPr>
    </w:p>
    <w:p w14:paraId="43012906" w14:textId="77777777" w:rsidR="0031675F" w:rsidRPr="0031675F" w:rsidRDefault="0031675F" w:rsidP="0031675F">
      <w:pPr>
        <w:ind w:left="540" w:hanging="540"/>
      </w:pPr>
      <w:r w:rsidRPr="0031675F">
        <w:rPr>
          <w:b/>
        </w:rPr>
        <w:t>9.9</w:t>
      </w:r>
      <w:r w:rsidRPr="0031675F">
        <w:t xml:space="preserve"> </w:t>
      </w:r>
      <w:r w:rsidRPr="0031675F">
        <w:tab/>
        <w:t>Let samples sit overnight to cool before analysing.</w:t>
      </w:r>
    </w:p>
    <w:p w14:paraId="1E8F9643" w14:textId="77777777" w:rsidR="0031675F" w:rsidRPr="0031675F" w:rsidRDefault="0031675F" w:rsidP="0031675F">
      <w:pPr>
        <w:ind w:left="720" w:hanging="720"/>
        <w:rPr>
          <w:b/>
        </w:rPr>
      </w:pPr>
      <w:r w:rsidRPr="0031675F">
        <w:rPr>
          <w:b/>
        </w:rPr>
        <w:br w:type="page"/>
      </w:r>
    </w:p>
    <w:p w14:paraId="05843BF8" w14:textId="77777777" w:rsidR="0031675F" w:rsidRPr="0031675F" w:rsidRDefault="0031675F" w:rsidP="0031675F">
      <w:pPr>
        <w:shd w:val="clear" w:color="auto" w:fill="D9D9D9"/>
        <w:ind w:left="567" w:hanging="567"/>
        <w:rPr>
          <w:b/>
        </w:rPr>
      </w:pPr>
      <w:r w:rsidRPr="0031675F">
        <w:rPr>
          <w:b/>
        </w:rPr>
        <w:t xml:space="preserve">10.0 </w:t>
      </w:r>
      <w:r w:rsidRPr="0031675F">
        <w:rPr>
          <w:b/>
        </w:rPr>
        <w:tab/>
        <w:t>ANALYTICAL PROCEDURE</w:t>
      </w:r>
    </w:p>
    <w:p w14:paraId="3CFD5257" w14:textId="77777777" w:rsidR="0031675F" w:rsidRPr="0031675F" w:rsidRDefault="0031675F" w:rsidP="0031675F">
      <w:pPr>
        <w:ind w:left="720" w:hanging="720"/>
      </w:pPr>
      <w:r w:rsidRPr="0031675F">
        <w:rPr>
          <w:b/>
        </w:rPr>
        <w:tab/>
      </w:r>
      <w:r w:rsidRPr="0031675F">
        <w:rPr>
          <w:b/>
        </w:rPr>
        <w:tab/>
      </w:r>
      <w:r w:rsidRPr="0031675F">
        <w:t>.</w:t>
      </w:r>
    </w:p>
    <w:p w14:paraId="5D4CA4C0" w14:textId="77777777" w:rsidR="0031675F" w:rsidRPr="0031675F" w:rsidRDefault="0031675F" w:rsidP="0031675F">
      <w:pPr>
        <w:ind w:left="540" w:hanging="540"/>
      </w:pPr>
      <w:r w:rsidRPr="0031675F">
        <w:rPr>
          <w:b/>
        </w:rPr>
        <w:t>10.1</w:t>
      </w:r>
      <w:r w:rsidRPr="0031675F">
        <w:t xml:space="preserve"> </w:t>
      </w:r>
      <w:r w:rsidRPr="0031675F">
        <w:tab/>
        <w:t>Turn on the auto analyser and peristaltic pump, run reagent water with Dowfax added through the system for a minimum of thirty minutes to let the system equilibrate. Turn on the spectrophotometer and check that the baseline is stable and you have a consistent bubble pattern through the manifold.</w:t>
      </w:r>
    </w:p>
    <w:p w14:paraId="60594F16" w14:textId="77777777" w:rsidR="0031675F" w:rsidRPr="0031675F" w:rsidRDefault="0031675F" w:rsidP="0031675F">
      <w:pPr>
        <w:ind w:left="540" w:hanging="540"/>
      </w:pPr>
    </w:p>
    <w:p w14:paraId="5D3BEA10" w14:textId="77777777" w:rsidR="0031675F" w:rsidRPr="0031675F" w:rsidRDefault="0031675F" w:rsidP="0031675F">
      <w:pPr>
        <w:ind w:left="1440" w:hanging="900"/>
      </w:pPr>
      <w:r w:rsidRPr="0031675F">
        <w:rPr>
          <w:b/>
        </w:rPr>
        <w:t xml:space="preserve">NOTE: </w:t>
      </w:r>
      <w:r w:rsidRPr="0031675F">
        <w:rPr>
          <w:b/>
        </w:rPr>
        <w:tab/>
      </w:r>
      <w:r w:rsidRPr="0031675F">
        <w:t>The absorbency on the spectrophotometer should read 885 nm and should be set at the required sensitivity level for the range of working standards.</w:t>
      </w:r>
    </w:p>
    <w:p w14:paraId="5E8F574E" w14:textId="77777777" w:rsidR="0031675F" w:rsidRPr="0031675F" w:rsidRDefault="0031675F" w:rsidP="0031675F">
      <w:pPr>
        <w:ind w:left="1440" w:hanging="900"/>
      </w:pPr>
    </w:p>
    <w:p w14:paraId="3C152FF7" w14:textId="77777777" w:rsidR="0031675F" w:rsidRPr="0031675F" w:rsidRDefault="0031675F" w:rsidP="0031675F">
      <w:pPr>
        <w:ind w:left="540" w:hanging="540"/>
      </w:pPr>
      <w:r w:rsidRPr="0031675F">
        <w:rPr>
          <w:b/>
        </w:rPr>
        <w:t>10.2</w:t>
      </w:r>
      <w:r w:rsidRPr="0031675F">
        <w:t xml:space="preserve"> </w:t>
      </w:r>
      <w:r w:rsidRPr="0031675F">
        <w:tab/>
        <w:t>Set up the autosampler software for the run. This will include the unique TropWater job number and sample identification number, along with any dilution data associated with samples.</w:t>
      </w:r>
    </w:p>
    <w:p w14:paraId="13DDEE66" w14:textId="77777777" w:rsidR="0031675F" w:rsidRPr="0031675F" w:rsidRDefault="0031675F" w:rsidP="0031675F">
      <w:pPr>
        <w:ind w:left="540" w:hanging="540"/>
      </w:pPr>
    </w:p>
    <w:p w14:paraId="440F8676" w14:textId="77777777" w:rsidR="0031675F" w:rsidRPr="0031675F" w:rsidRDefault="0031675F" w:rsidP="0031675F">
      <w:pPr>
        <w:ind w:left="540" w:hanging="540"/>
      </w:pPr>
      <w:r w:rsidRPr="0031675F">
        <w:rPr>
          <w:b/>
        </w:rPr>
        <w:t>10.3</w:t>
      </w:r>
      <w:r w:rsidRPr="0031675F">
        <w:t xml:space="preserve"> </w:t>
      </w:r>
      <w:r w:rsidRPr="0031675F">
        <w:tab/>
        <w:t xml:space="preserve">Mix the digested sample using a vortex and decant into 10 mL Sarstedt tubes (Cat # 60.9921.820) and place into the correct cup position as identified by the autosampler software. </w:t>
      </w:r>
    </w:p>
    <w:p w14:paraId="22A63AAE" w14:textId="77777777" w:rsidR="0031675F" w:rsidRPr="0031675F" w:rsidRDefault="0031675F" w:rsidP="0031675F">
      <w:pPr>
        <w:ind w:left="540" w:hanging="540"/>
      </w:pPr>
    </w:p>
    <w:p w14:paraId="5E25E892" w14:textId="77777777" w:rsidR="0031675F" w:rsidRPr="0031675F" w:rsidRDefault="0031675F" w:rsidP="0031675F">
      <w:pPr>
        <w:ind w:left="540" w:hanging="540"/>
      </w:pPr>
      <w:r w:rsidRPr="0031675F">
        <w:rPr>
          <w:b/>
        </w:rPr>
        <w:t>10.4</w:t>
      </w:r>
      <w:r w:rsidRPr="0031675F">
        <w:t xml:space="preserve"> </w:t>
      </w:r>
      <w:r w:rsidRPr="0031675F">
        <w:tab/>
        <w:t>Remove the reagent water with Dowfax and add the working sulphuric solution, working ammonium molybdate solution, and working antimony potassium tartrate solution to the system. Allow to equilibrate for 5 minutes.</w:t>
      </w:r>
    </w:p>
    <w:p w14:paraId="6F580E31" w14:textId="77777777" w:rsidR="0031675F" w:rsidRPr="0031675F" w:rsidRDefault="0031675F" w:rsidP="0031675F">
      <w:pPr>
        <w:ind w:left="540"/>
      </w:pPr>
    </w:p>
    <w:p w14:paraId="20254FE2" w14:textId="4952B97C" w:rsidR="0031675F" w:rsidRPr="0031675F" w:rsidRDefault="0031675F" w:rsidP="0031675F">
      <w:pPr>
        <w:ind w:left="540" w:hanging="540"/>
      </w:pPr>
      <w:r w:rsidRPr="0031675F">
        <w:rPr>
          <w:b/>
        </w:rPr>
        <w:t>10.5</w:t>
      </w:r>
      <w:r w:rsidRPr="0031675F">
        <w:t xml:space="preserve"> </w:t>
      </w:r>
      <w:r w:rsidRPr="0031675F">
        <w:tab/>
        <w:t>Inject a high level phosphorus standard e.g. 100 µg P</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for 40 seconds and observe the peak absorbency through the spectrophotometer. </w:t>
      </w:r>
    </w:p>
    <w:p w14:paraId="52766219" w14:textId="77777777" w:rsidR="0031675F" w:rsidRPr="0031675F" w:rsidRDefault="0031675F" w:rsidP="0031675F">
      <w:pPr>
        <w:ind w:left="540" w:hanging="540"/>
      </w:pPr>
    </w:p>
    <w:p w14:paraId="229E407C" w14:textId="77777777" w:rsidR="0031675F" w:rsidRPr="0031675F" w:rsidRDefault="0031675F" w:rsidP="0031675F">
      <w:pPr>
        <w:ind w:left="540" w:hanging="540"/>
      </w:pPr>
      <w:r w:rsidRPr="0031675F">
        <w:rPr>
          <w:b/>
        </w:rPr>
        <w:t>10.6</w:t>
      </w:r>
      <w:r w:rsidRPr="0031675F">
        <w:t xml:space="preserve"> </w:t>
      </w:r>
      <w:r w:rsidRPr="0031675F">
        <w:tab/>
        <w:t>Start the autosampler run. Observe that the first set of standards peak heights are normal and then check run periodically to ensure no malfunctions have occurred.</w:t>
      </w:r>
    </w:p>
    <w:p w14:paraId="2C1CA200" w14:textId="77777777" w:rsidR="0031675F" w:rsidRPr="0031675F" w:rsidRDefault="0031675F" w:rsidP="0031675F"/>
    <w:p w14:paraId="617FA261" w14:textId="77777777" w:rsidR="0031675F" w:rsidRPr="0031675F" w:rsidRDefault="0031675F" w:rsidP="0031675F">
      <w:pPr>
        <w:ind w:left="540" w:hanging="540"/>
      </w:pPr>
      <w:r w:rsidRPr="0031675F">
        <w:rPr>
          <w:b/>
        </w:rPr>
        <w:t>10.7</w:t>
      </w:r>
      <w:r w:rsidRPr="0031675F">
        <w:t xml:space="preserve"> </w:t>
      </w:r>
      <w:r w:rsidRPr="0031675F">
        <w:tab/>
        <w:t xml:space="preserve">When the autosampler run is finished stop the software, remove the working sulphuric solution, working ammonium molybdate solution, and working antimony potassium tartrate solution then put the reagent water with Dowfax back on. Rinse the manifold for a minimum of one hour and then turn the auto analyser and peristaltic pump off. </w:t>
      </w:r>
    </w:p>
    <w:p w14:paraId="78854EE8" w14:textId="77777777" w:rsidR="0031675F" w:rsidRPr="0031675F" w:rsidRDefault="0031675F" w:rsidP="0031675F">
      <w:pPr>
        <w:ind w:left="540" w:hanging="540"/>
      </w:pPr>
    </w:p>
    <w:p w14:paraId="2D311B29" w14:textId="77777777" w:rsidR="0031675F" w:rsidRPr="0031675F" w:rsidRDefault="0031675F" w:rsidP="0031675F">
      <w:pPr>
        <w:ind w:left="540" w:hanging="540"/>
      </w:pPr>
      <w:r w:rsidRPr="0031675F">
        <w:rPr>
          <w:b/>
        </w:rPr>
        <w:t>10.8</w:t>
      </w:r>
      <w:r w:rsidRPr="0031675F">
        <w:t xml:space="preserve"> </w:t>
      </w:r>
      <w:r w:rsidRPr="0031675F">
        <w:tab/>
        <w:t>Print out a hard copy of the trace and calculate results.</w:t>
      </w:r>
    </w:p>
    <w:p w14:paraId="4FEBB78E" w14:textId="77777777" w:rsidR="0031675F" w:rsidRPr="0031675F" w:rsidRDefault="0031675F" w:rsidP="0031675F">
      <w:pPr>
        <w:rPr>
          <w:b/>
        </w:rPr>
      </w:pPr>
    </w:p>
    <w:p w14:paraId="20ED9D40" w14:textId="77777777" w:rsidR="0031675F" w:rsidRPr="0031675F" w:rsidRDefault="0031675F" w:rsidP="0031675F">
      <w:pPr>
        <w:shd w:val="clear" w:color="auto" w:fill="D9D9D9"/>
        <w:tabs>
          <w:tab w:val="left" w:pos="567"/>
        </w:tabs>
        <w:rPr>
          <w:b/>
        </w:rPr>
      </w:pPr>
      <w:r w:rsidRPr="0031675F">
        <w:rPr>
          <w:b/>
        </w:rPr>
        <w:t xml:space="preserve">11.0 </w:t>
      </w:r>
      <w:r w:rsidRPr="0031675F">
        <w:rPr>
          <w:b/>
        </w:rPr>
        <w:tab/>
        <w:t>DATA ANALYSIS AND CALCULATIONS</w:t>
      </w:r>
    </w:p>
    <w:p w14:paraId="56B671D9" w14:textId="77777777" w:rsidR="0031675F" w:rsidRPr="0031675F" w:rsidRDefault="0031675F" w:rsidP="0031675F">
      <w:pPr>
        <w:ind w:left="720" w:hanging="720"/>
        <w:rPr>
          <w:b/>
        </w:rPr>
      </w:pPr>
    </w:p>
    <w:p w14:paraId="303A6441" w14:textId="77777777" w:rsidR="0031675F" w:rsidRPr="0031675F" w:rsidRDefault="0031675F" w:rsidP="0031675F">
      <w:pPr>
        <w:ind w:left="540" w:hanging="540"/>
      </w:pPr>
      <w:r w:rsidRPr="0031675F">
        <w:rPr>
          <w:b/>
        </w:rPr>
        <w:t>11.1</w:t>
      </w:r>
      <w:r w:rsidRPr="0031675F">
        <w:t xml:space="preserve"> </w:t>
      </w:r>
      <w:r w:rsidRPr="0031675F">
        <w:tab/>
        <w:t>Concentrations of total phosphorus in samples are calculated from both quadratic and cubic equations obtained from the calibration standards.</w:t>
      </w:r>
    </w:p>
    <w:p w14:paraId="4B24E3F6" w14:textId="77777777" w:rsidR="0031675F" w:rsidRPr="0031675F" w:rsidRDefault="0031675F" w:rsidP="0031675F">
      <w:pPr>
        <w:ind w:left="540" w:hanging="540"/>
      </w:pPr>
    </w:p>
    <w:p w14:paraId="614A1FBE" w14:textId="77777777" w:rsidR="0031675F" w:rsidRPr="0031675F" w:rsidRDefault="0031675F" w:rsidP="0031675F">
      <w:pPr>
        <w:ind w:left="540" w:hanging="540"/>
      </w:pPr>
      <w:r w:rsidRPr="0031675F">
        <w:rPr>
          <w:b/>
        </w:rPr>
        <w:t>11.2</w:t>
      </w:r>
      <w:r w:rsidRPr="0031675F">
        <w:t xml:space="preserve"> </w:t>
      </w:r>
      <w:r w:rsidRPr="0031675F">
        <w:tab/>
        <w:t>The Quality Control of the results (refer 7.0) is assessed and results are either accepted or rejected and re-run at a later date.</w:t>
      </w:r>
    </w:p>
    <w:p w14:paraId="73B0B1E2" w14:textId="77777777" w:rsidR="0031675F" w:rsidRPr="0031675F" w:rsidRDefault="0031675F" w:rsidP="0031675F">
      <w:pPr>
        <w:ind w:left="540" w:hanging="540"/>
      </w:pPr>
    </w:p>
    <w:p w14:paraId="5CA52096" w14:textId="67B1104F" w:rsidR="0031675F" w:rsidRPr="0031675F" w:rsidRDefault="0031675F" w:rsidP="0031675F">
      <w:pPr>
        <w:ind w:left="540" w:hanging="540"/>
      </w:pPr>
      <w:r w:rsidRPr="0031675F">
        <w:rPr>
          <w:b/>
        </w:rPr>
        <w:t>11.3</w:t>
      </w:r>
      <w:r w:rsidRPr="0031675F">
        <w:t xml:space="preserve"> </w:t>
      </w:r>
      <w:r w:rsidRPr="0031675F">
        <w:tab/>
        <w:t>Results should be reported in µg P</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xml:space="preserve"> unless otherwise requested (e.g. High values &gt; 1 mg P</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t>) with the replicate and spike values stated on the report.</w:t>
      </w:r>
    </w:p>
    <w:p w14:paraId="45E01380" w14:textId="77777777" w:rsidR="0031675F" w:rsidRPr="0031675F" w:rsidRDefault="0031675F" w:rsidP="0031675F"/>
    <w:p w14:paraId="4058FCC0" w14:textId="77777777" w:rsidR="0031675F" w:rsidRPr="0031675F" w:rsidRDefault="0031675F" w:rsidP="0031675F">
      <w:pPr>
        <w:ind w:left="1247" w:hanging="680"/>
      </w:pPr>
      <w:r w:rsidRPr="0031675F">
        <w:rPr>
          <w:b/>
        </w:rPr>
        <w:br w:type="page"/>
        <w:t>11.3.1</w:t>
      </w:r>
      <w:r w:rsidRPr="0031675F">
        <w:t xml:space="preserve"> </w:t>
      </w:r>
      <w:r w:rsidRPr="0031675F">
        <w:tab/>
        <w:t>To calculate spike values for undiluted samples:</w:t>
      </w:r>
    </w:p>
    <w:p w14:paraId="30E53721" w14:textId="77777777" w:rsidR="0031675F" w:rsidRPr="0031675F" w:rsidRDefault="0031675F" w:rsidP="0031675F">
      <w:pPr>
        <w:rPr>
          <w:b/>
        </w:rPr>
      </w:pPr>
      <w:r w:rsidRPr="0031675F">
        <w:rPr>
          <w:b/>
        </w:rPr>
        <w:tab/>
      </w:r>
      <w:r w:rsidRPr="0031675F">
        <w:rPr>
          <w:b/>
        </w:rPr>
        <w:tab/>
      </w:r>
      <w:r w:rsidRPr="0031675F">
        <w:rPr>
          <w:b/>
        </w:rPr>
        <w:tab/>
      </w:r>
    </w:p>
    <w:tbl>
      <w:tblPr>
        <w:tblW w:w="0" w:type="auto"/>
        <w:jc w:val="center"/>
        <w:tblLook w:val="01E0" w:firstRow="1" w:lastRow="1" w:firstColumn="1" w:lastColumn="1" w:noHBand="0" w:noVBand="0"/>
      </w:tblPr>
      <w:tblGrid>
        <w:gridCol w:w="2448"/>
        <w:gridCol w:w="5040"/>
        <w:gridCol w:w="1368"/>
      </w:tblGrid>
      <w:tr w:rsidR="0031675F" w:rsidRPr="0031675F" w14:paraId="231834CD" w14:textId="77777777" w:rsidTr="00B00729">
        <w:trPr>
          <w:trHeight w:val="570"/>
          <w:jc w:val="center"/>
        </w:trPr>
        <w:tc>
          <w:tcPr>
            <w:tcW w:w="2448" w:type="dxa"/>
            <w:vMerge w:val="restart"/>
            <w:vAlign w:val="center"/>
          </w:tcPr>
          <w:p w14:paraId="6480BD9C" w14:textId="77777777" w:rsidR="0031675F" w:rsidRPr="0031675F" w:rsidRDefault="0031675F" w:rsidP="0031675F">
            <w:pPr>
              <w:jc w:val="center"/>
            </w:pPr>
            <w:r w:rsidRPr="0031675F">
              <w:t>Spike Recovery (%) =</w:t>
            </w:r>
          </w:p>
        </w:tc>
        <w:tc>
          <w:tcPr>
            <w:tcW w:w="5040" w:type="dxa"/>
            <w:tcBorders>
              <w:bottom w:val="single" w:sz="4" w:space="0" w:color="auto"/>
            </w:tcBorders>
            <w:vAlign w:val="center"/>
          </w:tcPr>
          <w:p w14:paraId="39F6F498" w14:textId="77777777" w:rsidR="0031675F" w:rsidRPr="0031675F" w:rsidRDefault="0031675F" w:rsidP="0031675F">
            <w:pPr>
              <w:jc w:val="center"/>
            </w:pPr>
            <w:r w:rsidRPr="0031675F">
              <w:t>Sample + Average of blanked spiked samples</w:t>
            </w:r>
          </w:p>
        </w:tc>
        <w:tc>
          <w:tcPr>
            <w:tcW w:w="1368" w:type="dxa"/>
            <w:vMerge w:val="restart"/>
            <w:vAlign w:val="center"/>
          </w:tcPr>
          <w:p w14:paraId="52124CC6" w14:textId="77777777" w:rsidR="0031675F" w:rsidRPr="0031675F" w:rsidRDefault="0031675F" w:rsidP="0031675F">
            <w:pPr>
              <w:jc w:val="center"/>
            </w:pPr>
            <w:r w:rsidRPr="0031675F">
              <w:t>X 100</w:t>
            </w:r>
          </w:p>
        </w:tc>
      </w:tr>
      <w:tr w:rsidR="0031675F" w:rsidRPr="0031675F" w14:paraId="2356B321" w14:textId="77777777" w:rsidTr="00B00729">
        <w:trPr>
          <w:trHeight w:val="526"/>
          <w:jc w:val="center"/>
        </w:trPr>
        <w:tc>
          <w:tcPr>
            <w:tcW w:w="2448" w:type="dxa"/>
            <w:vMerge/>
            <w:vAlign w:val="center"/>
          </w:tcPr>
          <w:p w14:paraId="72AE7363" w14:textId="77777777" w:rsidR="0031675F" w:rsidRPr="0031675F" w:rsidRDefault="0031675F" w:rsidP="0031675F"/>
        </w:tc>
        <w:tc>
          <w:tcPr>
            <w:tcW w:w="5040" w:type="dxa"/>
            <w:tcBorders>
              <w:top w:val="single" w:sz="4" w:space="0" w:color="auto"/>
            </w:tcBorders>
            <w:vAlign w:val="center"/>
          </w:tcPr>
          <w:p w14:paraId="298D91C8" w14:textId="77777777" w:rsidR="0031675F" w:rsidRPr="0031675F" w:rsidRDefault="0031675F" w:rsidP="0031675F">
            <w:pPr>
              <w:jc w:val="center"/>
            </w:pPr>
            <w:r w:rsidRPr="0031675F">
              <w:t>Spiked Sample</w:t>
            </w:r>
          </w:p>
        </w:tc>
        <w:tc>
          <w:tcPr>
            <w:tcW w:w="1368" w:type="dxa"/>
            <w:vMerge/>
            <w:vAlign w:val="center"/>
          </w:tcPr>
          <w:p w14:paraId="371E6007" w14:textId="77777777" w:rsidR="0031675F" w:rsidRPr="0031675F" w:rsidRDefault="0031675F" w:rsidP="0031675F"/>
        </w:tc>
      </w:tr>
    </w:tbl>
    <w:p w14:paraId="5022B082" w14:textId="77777777" w:rsidR="0031675F" w:rsidRPr="0031675F" w:rsidRDefault="0031675F" w:rsidP="0031675F">
      <w:pPr>
        <w:ind w:left="567"/>
      </w:pPr>
    </w:p>
    <w:p w14:paraId="5DDA5BEB" w14:textId="77777777" w:rsidR="0031675F" w:rsidRPr="0031675F" w:rsidRDefault="0031675F" w:rsidP="0031675F">
      <w:pPr>
        <w:ind w:left="1080" w:hanging="513"/>
        <w:rPr>
          <w:b/>
        </w:rPr>
      </w:pPr>
    </w:p>
    <w:p w14:paraId="1D052768" w14:textId="77777777" w:rsidR="0031675F" w:rsidRPr="0031675F" w:rsidRDefault="0031675F" w:rsidP="0031675F">
      <w:pPr>
        <w:ind w:left="1247" w:hanging="680"/>
      </w:pPr>
      <w:r w:rsidRPr="0031675F">
        <w:rPr>
          <w:b/>
        </w:rPr>
        <w:t>11.3.2</w:t>
      </w:r>
      <w:r w:rsidRPr="0031675F">
        <w:t xml:space="preserve"> </w:t>
      </w:r>
      <w:r w:rsidRPr="0031675F">
        <w:tab/>
        <w:t>To calculate spike values for diluted samples:</w:t>
      </w:r>
    </w:p>
    <w:p w14:paraId="69C57CDF" w14:textId="77777777" w:rsidR="0031675F" w:rsidRPr="0031675F" w:rsidRDefault="0031675F" w:rsidP="0031675F">
      <w:pPr>
        <w:ind w:left="1080" w:hanging="513"/>
      </w:pPr>
    </w:p>
    <w:tbl>
      <w:tblPr>
        <w:tblW w:w="0" w:type="auto"/>
        <w:jc w:val="center"/>
        <w:tblLook w:val="01E0" w:firstRow="1" w:lastRow="1" w:firstColumn="1" w:lastColumn="1" w:noHBand="0" w:noVBand="0"/>
      </w:tblPr>
      <w:tblGrid>
        <w:gridCol w:w="2448"/>
        <w:gridCol w:w="5040"/>
        <w:gridCol w:w="1368"/>
      </w:tblGrid>
      <w:tr w:rsidR="0031675F" w:rsidRPr="0031675F" w14:paraId="3FCF8604" w14:textId="77777777" w:rsidTr="00B00729">
        <w:trPr>
          <w:trHeight w:val="763"/>
          <w:jc w:val="center"/>
        </w:trPr>
        <w:tc>
          <w:tcPr>
            <w:tcW w:w="2448" w:type="dxa"/>
            <w:vMerge w:val="restart"/>
            <w:vAlign w:val="center"/>
          </w:tcPr>
          <w:p w14:paraId="58546AC6" w14:textId="77777777" w:rsidR="0031675F" w:rsidRPr="0031675F" w:rsidRDefault="0031675F" w:rsidP="0031675F">
            <w:pPr>
              <w:jc w:val="center"/>
            </w:pPr>
            <w:r w:rsidRPr="0031675F">
              <w:t>Spike Recovery (Dilutions) (%) =</w:t>
            </w:r>
          </w:p>
        </w:tc>
        <w:tc>
          <w:tcPr>
            <w:tcW w:w="5040" w:type="dxa"/>
            <w:tcBorders>
              <w:bottom w:val="single" w:sz="4" w:space="0" w:color="auto"/>
            </w:tcBorders>
            <w:vAlign w:val="center"/>
          </w:tcPr>
          <w:p w14:paraId="3991201F" w14:textId="77777777" w:rsidR="0031675F" w:rsidRPr="0031675F" w:rsidRDefault="0031675F" w:rsidP="0031675F">
            <w:pPr>
              <w:jc w:val="center"/>
            </w:pPr>
            <w:r w:rsidRPr="0031675F">
              <w:t>(Sample/Dilution) + Average of Blanked Spiked Samples</w:t>
            </w:r>
          </w:p>
        </w:tc>
        <w:tc>
          <w:tcPr>
            <w:tcW w:w="1368" w:type="dxa"/>
            <w:vMerge w:val="restart"/>
            <w:vAlign w:val="center"/>
          </w:tcPr>
          <w:p w14:paraId="0F8A1836" w14:textId="77777777" w:rsidR="0031675F" w:rsidRPr="0031675F" w:rsidRDefault="0031675F" w:rsidP="0031675F">
            <w:pPr>
              <w:jc w:val="center"/>
            </w:pPr>
            <w:r w:rsidRPr="0031675F">
              <w:t>X 100</w:t>
            </w:r>
          </w:p>
        </w:tc>
      </w:tr>
      <w:tr w:rsidR="0031675F" w:rsidRPr="0031675F" w14:paraId="67FDCCAE" w14:textId="77777777" w:rsidTr="00B00729">
        <w:trPr>
          <w:trHeight w:val="554"/>
          <w:jc w:val="center"/>
        </w:trPr>
        <w:tc>
          <w:tcPr>
            <w:tcW w:w="2448" w:type="dxa"/>
            <w:vMerge/>
            <w:vAlign w:val="center"/>
          </w:tcPr>
          <w:p w14:paraId="17551C5A" w14:textId="77777777" w:rsidR="0031675F" w:rsidRPr="0031675F" w:rsidRDefault="0031675F" w:rsidP="0031675F">
            <w:pPr>
              <w:jc w:val="center"/>
            </w:pPr>
          </w:p>
        </w:tc>
        <w:tc>
          <w:tcPr>
            <w:tcW w:w="5040" w:type="dxa"/>
            <w:tcBorders>
              <w:top w:val="single" w:sz="4" w:space="0" w:color="auto"/>
            </w:tcBorders>
            <w:vAlign w:val="center"/>
          </w:tcPr>
          <w:p w14:paraId="372D5474" w14:textId="77777777" w:rsidR="0031675F" w:rsidRPr="0031675F" w:rsidRDefault="0031675F" w:rsidP="0031675F">
            <w:pPr>
              <w:jc w:val="center"/>
            </w:pPr>
            <w:r w:rsidRPr="0031675F">
              <w:t>(Spiked Sample/Dilution)</w:t>
            </w:r>
          </w:p>
        </w:tc>
        <w:tc>
          <w:tcPr>
            <w:tcW w:w="1368" w:type="dxa"/>
            <w:vMerge/>
            <w:vAlign w:val="center"/>
          </w:tcPr>
          <w:p w14:paraId="610DC2FA" w14:textId="77777777" w:rsidR="0031675F" w:rsidRPr="0031675F" w:rsidRDefault="0031675F" w:rsidP="0031675F"/>
        </w:tc>
      </w:tr>
    </w:tbl>
    <w:p w14:paraId="0EA22394" w14:textId="77777777" w:rsidR="0031675F" w:rsidRPr="0031675F" w:rsidRDefault="0031675F" w:rsidP="0031675F">
      <w:pPr>
        <w:ind w:left="720" w:hanging="720"/>
      </w:pPr>
    </w:p>
    <w:p w14:paraId="7D3B9B9C" w14:textId="77777777" w:rsidR="0031675F" w:rsidRPr="0031675F" w:rsidRDefault="0031675F" w:rsidP="0031675F">
      <w:pPr>
        <w:ind w:left="720" w:hanging="720"/>
        <w:sectPr w:rsidR="0031675F" w:rsidRPr="0031675F" w:rsidSect="00084431">
          <w:headerReference w:type="default" r:id="rId228"/>
          <w:footerReference w:type="default" r:id="rId229"/>
          <w:pgSz w:w="11907" w:h="16840" w:code="9"/>
          <w:pgMar w:top="1418" w:right="1418" w:bottom="1418" w:left="1418" w:header="708" w:footer="708" w:gutter="0"/>
          <w:cols w:space="708"/>
          <w:docGrid w:linePitch="360"/>
        </w:sectPr>
      </w:pPr>
    </w:p>
    <w:p w14:paraId="72CDAE5F" w14:textId="70ADC012" w:rsidR="0031675F" w:rsidRDefault="00B76705" w:rsidP="00D332D9">
      <w:pPr>
        <w:pStyle w:val="Heading2"/>
        <w:numPr>
          <w:ilvl w:val="0"/>
          <w:numId w:val="0"/>
        </w:numPr>
        <w:ind w:left="284"/>
        <w:jc w:val="center"/>
      </w:pPr>
      <w:bookmarkStart w:id="761" w:name="_Toc12365650"/>
      <w:r w:rsidRPr="0031675F">
        <w:t>Appendix</w:t>
      </w:r>
      <w:r w:rsidRPr="0031675F">
        <w:rPr>
          <w:spacing w:val="-14"/>
        </w:rPr>
        <w:t xml:space="preserve"> </w:t>
      </w:r>
      <w:r w:rsidRPr="0031675F">
        <w:t>B</w:t>
      </w:r>
      <w:r>
        <w:t xml:space="preserve">10 </w:t>
      </w:r>
      <w:r w:rsidRPr="00B76705">
        <w:t>TropWater Auto-analysis methods:</w:t>
      </w:r>
      <w:r w:rsidR="00D332D9">
        <w:t xml:space="preserve"> </w:t>
      </w:r>
      <w:r w:rsidRPr="00B76705">
        <w:t>Chlorophyll</w:t>
      </w:r>
      <w:bookmarkEnd w:id="761"/>
    </w:p>
    <w:p w14:paraId="678BB0AE" w14:textId="77777777" w:rsidR="0031675F" w:rsidRDefault="0031675F" w:rsidP="0031675F">
      <w:pPr>
        <w:jc w:val="center"/>
      </w:pPr>
    </w:p>
    <w:p w14:paraId="2910BF64" w14:textId="77777777" w:rsidR="00B76705" w:rsidRPr="0031675F" w:rsidRDefault="00B76705" w:rsidP="0031675F">
      <w:pPr>
        <w:jc w:val="center"/>
      </w:pPr>
    </w:p>
    <w:p w14:paraId="7505EB49" w14:textId="77777777" w:rsidR="0031675F" w:rsidRPr="0031675F" w:rsidRDefault="0031675F" w:rsidP="0031675F">
      <w:pPr>
        <w:jc w:val="center"/>
      </w:pPr>
      <w:r w:rsidRPr="0031675F">
        <w:rPr>
          <w:noProof/>
          <w:lang w:eastAsia="en-AU"/>
        </w:rPr>
        <w:drawing>
          <wp:inline distT="0" distB="0" distL="0" distR="0" wp14:anchorId="171660F7" wp14:editId="5092B40E">
            <wp:extent cx="2291715" cy="1401445"/>
            <wp:effectExtent l="0" t="0" r="0" b="8255"/>
            <wp:docPr id="228" name="Picture 228"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188" r:link="rId189">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7F2034D2" w14:textId="77777777" w:rsidR="0031675F" w:rsidRPr="0031675F" w:rsidRDefault="0031675F" w:rsidP="0031675F">
      <w:pPr>
        <w:jc w:val="center"/>
      </w:pPr>
    </w:p>
    <w:p w14:paraId="11974C4F" w14:textId="77777777" w:rsidR="0031675F" w:rsidRPr="0031675F" w:rsidRDefault="0031675F" w:rsidP="0031675F">
      <w:pPr>
        <w:jc w:val="center"/>
      </w:pPr>
    </w:p>
    <w:p w14:paraId="74573B74" w14:textId="77777777" w:rsidR="0031675F" w:rsidRPr="0031675F" w:rsidRDefault="0031675F" w:rsidP="0031675F">
      <w:pPr>
        <w:jc w:val="center"/>
        <w:rPr>
          <w:rFonts w:cs="Arial"/>
        </w:rPr>
      </w:pPr>
    </w:p>
    <w:p w14:paraId="5190B94A" w14:textId="77777777" w:rsidR="0031675F" w:rsidRPr="0031675F" w:rsidRDefault="0031675F" w:rsidP="0031675F"/>
    <w:p w14:paraId="3821384E" w14:textId="77777777" w:rsidR="0031675F" w:rsidRPr="0031675F" w:rsidRDefault="0031675F" w:rsidP="0031675F">
      <w:pPr>
        <w:rPr>
          <w:b/>
        </w:rPr>
      </w:pPr>
    </w:p>
    <w:p w14:paraId="6D79DBCE" w14:textId="77777777" w:rsidR="0031675F" w:rsidRPr="0031675F" w:rsidRDefault="0031675F" w:rsidP="0031675F">
      <w:pPr>
        <w:rPr>
          <w:b/>
        </w:rPr>
        <w:sectPr w:rsidR="0031675F" w:rsidRPr="0031675F" w:rsidSect="00084431">
          <w:headerReference w:type="default" r:id="rId230"/>
          <w:footerReference w:type="default" r:id="rId231"/>
          <w:pgSz w:w="11907" w:h="16840" w:code="9"/>
          <w:pgMar w:top="1418" w:right="1418" w:bottom="1418" w:left="1418" w:header="709" w:footer="709" w:gutter="0"/>
          <w:cols w:space="708"/>
          <w:vAlign w:val="center"/>
          <w:docGrid w:linePitch="360"/>
        </w:sectPr>
      </w:pPr>
    </w:p>
    <w:p w14:paraId="76F25502" w14:textId="77777777" w:rsidR="0031675F" w:rsidRPr="0031675F" w:rsidRDefault="0031675F" w:rsidP="0031675F">
      <w:pPr>
        <w:rPr>
          <w:b/>
          <w:sz w:val="28"/>
          <w:szCs w:val="28"/>
        </w:rPr>
      </w:pPr>
      <w:r w:rsidRPr="0031675F">
        <w:rPr>
          <w:b/>
          <w:sz w:val="28"/>
          <w:szCs w:val="28"/>
        </w:rPr>
        <w:t>Chlorophyll</w:t>
      </w:r>
    </w:p>
    <w:p w14:paraId="49B43293" w14:textId="77777777" w:rsidR="0031675F" w:rsidRPr="0031675F" w:rsidRDefault="0031675F" w:rsidP="0031675F">
      <w:pPr>
        <w:shd w:val="clear" w:color="auto" w:fill="D9D9D9"/>
        <w:tabs>
          <w:tab w:val="left" w:pos="567"/>
        </w:tabs>
        <w:rPr>
          <w:b/>
        </w:rPr>
      </w:pPr>
      <w:r w:rsidRPr="0031675F">
        <w:rPr>
          <w:b/>
        </w:rPr>
        <w:t>DEFINITION</w:t>
      </w:r>
    </w:p>
    <w:p w14:paraId="21050D31" w14:textId="77777777" w:rsidR="0031675F" w:rsidRPr="0031675F" w:rsidRDefault="0031675F" w:rsidP="0031675F"/>
    <w:p w14:paraId="59D7D7D5" w14:textId="77777777" w:rsidR="0031675F" w:rsidRPr="0031675F" w:rsidRDefault="0031675F" w:rsidP="0031675F">
      <w:r w:rsidRPr="0031675F">
        <w:t>The concentration of photosynthetic pigments is used extensively to estimate phytoplankton biomass. All green plants contain chlorophyll</w:t>
      </w:r>
      <w:r w:rsidRPr="0031675F">
        <w:rPr>
          <w:i/>
        </w:rPr>
        <w:t xml:space="preserve"> a</w:t>
      </w:r>
      <w:r w:rsidRPr="0031675F">
        <w:t xml:space="preserve"> which constitutes approximately 1 to 2 % of the dry weight of planktonic algae. Other pigments that occur in phytoplankton include chlorophylls </w:t>
      </w:r>
      <w:r w:rsidRPr="0031675F">
        <w:rPr>
          <w:i/>
        </w:rPr>
        <w:t>b</w:t>
      </w:r>
      <w:r w:rsidRPr="0031675F">
        <w:t xml:space="preserve"> and </w:t>
      </w:r>
      <w:r w:rsidRPr="0031675F">
        <w:rPr>
          <w:i/>
        </w:rPr>
        <w:t>c</w:t>
      </w:r>
      <w:r w:rsidRPr="0031675F">
        <w:t>, xanthophylls, phycobilins and carotens. The important chlorophyll degradation products found in the aquatic environment are the chlorophyllides, pheophorbides and pheophytins. The presence or absence of the various photosynthetic pigments is used, among other features, to separate the major algal groups.</w:t>
      </w:r>
    </w:p>
    <w:p w14:paraId="487FE7B6" w14:textId="77777777" w:rsidR="0031675F" w:rsidRPr="0031675F" w:rsidRDefault="0031675F" w:rsidP="0031675F"/>
    <w:p w14:paraId="6DE90915" w14:textId="77777777" w:rsidR="0031675F" w:rsidRPr="0031675F" w:rsidRDefault="0031675F" w:rsidP="0031675F">
      <w:pPr>
        <w:shd w:val="clear" w:color="auto" w:fill="D9D9D9"/>
        <w:tabs>
          <w:tab w:val="left" w:pos="567"/>
        </w:tabs>
        <w:rPr>
          <w:b/>
          <w:i/>
        </w:rPr>
      </w:pPr>
      <w:r w:rsidRPr="0031675F">
        <w:rPr>
          <w:b/>
        </w:rPr>
        <w:t>PRINCIPLE</w:t>
      </w:r>
    </w:p>
    <w:p w14:paraId="200E4DE9" w14:textId="77777777" w:rsidR="0031675F" w:rsidRPr="0031675F" w:rsidRDefault="0031675F" w:rsidP="0031675F"/>
    <w:p w14:paraId="5FCFB10B" w14:textId="77777777" w:rsidR="0031675F" w:rsidRPr="0031675F" w:rsidRDefault="0031675F" w:rsidP="0031675F">
      <w:r w:rsidRPr="0031675F">
        <w:t xml:space="preserve">The three methods for determining chlorophyll </w:t>
      </w:r>
      <w:r w:rsidRPr="0031675F">
        <w:rPr>
          <w:i/>
        </w:rPr>
        <w:t>a</w:t>
      </w:r>
      <w:r w:rsidRPr="0031675F">
        <w:t xml:space="preserve"> in phytoplankton are the spectrophotometric, the fluorometric, and the high-performance liquid chromatographic (HPLC) techniques. Fluorometry is more sensitive than spectrophotometry, requires fewer samples, and can be used for in-vivo measurements. These optical methods can significantly under- or overestimate chlorophyll </w:t>
      </w:r>
      <w:r w:rsidRPr="0031675F">
        <w:rPr>
          <w:i/>
        </w:rPr>
        <w:t>a</w:t>
      </w:r>
      <w:r w:rsidRPr="0031675F">
        <w:t xml:space="preserve"> concentrations, in part because of the overlap of the absorption and fluorescence bands of co-occurring accessory pigments and chlorophyll degradation products.</w:t>
      </w:r>
    </w:p>
    <w:p w14:paraId="3DC7E530" w14:textId="77777777" w:rsidR="0031675F" w:rsidRPr="0031675F" w:rsidRDefault="0031675F" w:rsidP="0031675F"/>
    <w:p w14:paraId="38B03562" w14:textId="77777777" w:rsidR="0031675F" w:rsidRPr="0031675F" w:rsidRDefault="0031675F" w:rsidP="0031675F">
      <w:r w:rsidRPr="0031675F">
        <w:t xml:space="preserve">Pheophorbide </w:t>
      </w:r>
      <w:r w:rsidRPr="0031675F">
        <w:rPr>
          <w:i/>
        </w:rPr>
        <w:t>a</w:t>
      </w:r>
      <w:r w:rsidRPr="0031675F">
        <w:t xml:space="preserve"> and pheophytin </w:t>
      </w:r>
      <w:r w:rsidRPr="0031675F">
        <w:rPr>
          <w:i/>
        </w:rPr>
        <w:t>a</w:t>
      </w:r>
      <w:r w:rsidRPr="0031675F">
        <w:t xml:space="preserve">, two common degradation products of chlorophyll </w:t>
      </w:r>
      <w:r w:rsidRPr="0031675F">
        <w:rPr>
          <w:i/>
        </w:rPr>
        <w:t>a</w:t>
      </w:r>
      <w:r w:rsidRPr="0031675F">
        <w:t xml:space="preserve">, can interfere with the determination of chlorophyll </w:t>
      </w:r>
      <w:r w:rsidRPr="0031675F">
        <w:rPr>
          <w:i/>
        </w:rPr>
        <w:t>a</w:t>
      </w:r>
      <w:r w:rsidRPr="0031675F">
        <w:t xml:space="preserve"> because they absorb light and fluoresce in the same region of the spectrum as does chlorophyll </w:t>
      </w:r>
      <w:r w:rsidRPr="0031675F">
        <w:rPr>
          <w:i/>
        </w:rPr>
        <w:t>a</w:t>
      </w:r>
      <w:r w:rsidRPr="0031675F">
        <w:t>. If these pheopigments are present, significant errors in chlorophyll</w:t>
      </w:r>
      <w:r w:rsidRPr="0031675F">
        <w:rPr>
          <w:i/>
        </w:rPr>
        <w:t xml:space="preserve"> a </w:t>
      </w:r>
      <w:r w:rsidRPr="0031675F">
        <w:t xml:space="preserve">values will result. Pheopigments can be measured either by spectrophotometry or fluorometry, but in marine and freshwater environments the fluorometric method is unreliable when chlorophyll </w:t>
      </w:r>
      <w:r w:rsidRPr="0031675F">
        <w:rPr>
          <w:i/>
        </w:rPr>
        <w:t>b</w:t>
      </w:r>
      <w:r w:rsidRPr="0031675F">
        <w:t xml:space="preserve"> co-occurs. Upon acidification of chlorophyll </w:t>
      </w:r>
      <w:r w:rsidRPr="0031675F">
        <w:rPr>
          <w:i/>
        </w:rPr>
        <w:t>b</w:t>
      </w:r>
      <w:r w:rsidRPr="0031675F">
        <w:t xml:space="preserve">, the resulting fluorescence emission of pheophytin </w:t>
      </w:r>
      <w:r w:rsidRPr="0031675F">
        <w:rPr>
          <w:i/>
        </w:rPr>
        <w:t>b</w:t>
      </w:r>
      <w:r w:rsidRPr="0031675F">
        <w:t xml:space="preserve"> is coincident with that of pheophytin </w:t>
      </w:r>
      <w:r w:rsidRPr="0031675F">
        <w:rPr>
          <w:i/>
        </w:rPr>
        <w:t>a</w:t>
      </w:r>
      <w:r w:rsidRPr="0031675F">
        <w:t xml:space="preserve">, thus producing underestimation and overestimation of chlorophyll </w:t>
      </w:r>
      <w:r w:rsidRPr="0031675F">
        <w:rPr>
          <w:i/>
        </w:rPr>
        <w:t>a</w:t>
      </w:r>
      <w:r w:rsidRPr="0031675F">
        <w:t xml:space="preserve"> and pheopigments, respectively.</w:t>
      </w:r>
    </w:p>
    <w:p w14:paraId="5AFCCD5D" w14:textId="77777777" w:rsidR="0031675F" w:rsidRPr="0031675F" w:rsidRDefault="0031675F" w:rsidP="0031675F"/>
    <w:p w14:paraId="2F5F3DAE" w14:textId="77777777" w:rsidR="0031675F" w:rsidRPr="0031675F" w:rsidRDefault="0031675F" w:rsidP="0031675F">
      <w:pPr>
        <w:shd w:val="clear" w:color="auto" w:fill="D9D9D9"/>
        <w:tabs>
          <w:tab w:val="left" w:pos="567"/>
        </w:tabs>
        <w:rPr>
          <w:b/>
        </w:rPr>
      </w:pPr>
      <w:r w:rsidRPr="0031675F">
        <w:rPr>
          <w:b/>
        </w:rPr>
        <w:t xml:space="preserve">SAMPLING AND STORAGE </w:t>
      </w:r>
    </w:p>
    <w:p w14:paraId="73CE0E54" w14:textId="77777777" w:rsidR="0031675F" w:rsidRPr="0031675F" w:rsidRDefault="0031675F" w:rsidP="0031675F"/>
    <w:p w14:paraId="4308AFB7" w14:textId="77777777" w:rsidR="0031675F" w:rsidRPr="0031675F" w:rsidRDefault="0031675F" w:rsidP="0031675F">
      <w:r w:rsidRPr="0031675F">
        <w:t>Collect appropriate sample volumes in 1 L opaque plastic or glass bottles. If processing must be delayed, hold sample on ice or at 4 ºC and protect from exposure to light. If samples are to be stored use opaque bottles because even brief exposure to light during storage will alter chlorophyll values.</w:t>
      </w:r>
    </w:p>
    <w:p w14:paraId="3F49DB6B" w14:textId="77777777" w:rsidR="0031675F" w:rsidRPr="0031675F" w:rsidRDefault="0031675F" w:rsidP="0031675F"/>
    <w:p w14:paraId="0F736CD8" w14:textId="77777777" w:rsidR="0031675F" w:rsidRPr="0031675F" w:rsidRDefault="0031675F" w:rsidP="0031675F">
      <w:pPr>
        <w:shd w:val="clear" w:color="auto" w:fill="D9D9D9"/>
        <w:tabs>
          <w:tab w:val="left" w:pos="567"/>
        </w:tabs>
        <w:rPr>
          <w:b/>
        </w:rPr>
      </w:pPr>
      <w:r w:rsidRPr="0031675F">
        <w:rPr>
          <w:b/>
        </w:rPr>
        <w:t>SPECTROPHOTOMETRIC METHOD</w:t>
      </w:r>
    </w:p>
    <w:p w14:paraId="5A234D32" w14:textId="77777777" w:rsidR="0031675F" w:rsidRPr="0031675F" w:rsidRDefault="0031675F" w:rsidP="0031675F">
      <w:pPr>
        <w:rPr>
          <w:b/>
        </w:rPr>
      </w:pPr>
    </w:p>
    <w:p w14:paraId="17554FE2" w14:textId="77777777" w:rsidR="0031675F" w:rsidRPr="0031675F" w:rsidRDefault="0031675F" w:rsidP="0031675F">
      <w:r w:rsidRPr="0031675F">
        <w:t>Even though the laboratory has the capability to perform the fluorometric method the spectrophotometric method is preferred in the laboratory due to the above principle.</w:t>
      </w:r>
    </w:p>
    <w:p w14:paraId="3EE646FA" w14:textId="77777777" w:rsidR="0031675F" w:rsidRPr="0031675F" w:rsidRDefault="0031675F" w:rsidP="0031675F"/>
    <w:p w14:paraId="233DAF4D" w14:textId="77777777" w:rsidR="0031675F" w:rsidRPr="0031675F" w:rsidRDefault="0031675F" w:rsidP="0031675F">
      <w:pPr>
        <w:shd w:val="clear" w:color="auto" w:fill="D9D9D9"/>
        <w:tabs>
          <w:tab w:val="left" w:pos="567"/>
        </w:tabs>
        <w:rPr>
          <w:b/>
        </w:rPr>
      </w:pPr>
      <w:r w:rsidRPr="0031675F">
        <w:rPr>
          <w:b/>
        </w:rPr>
        <w:t>PROCEDURE</w:t>
      </w:r>
    </w:p>
    <w:p w14:paraId="107AE595" w14:textId="77777777" w:rsidR="0031675F" w:rsidRPr="0031675F" w:rsidRDefault="0031675F" w:rsidP="0031675F"/>
    <w:p w14:paraId="55C638FA" w14:textId="77777777" w:rsidR="0031675F" w:rsidRPr="0031675F" w:rsidRDefault="0031675F" w:rsidP="0031675F">
      <w:pPr>
        <w:rPr>
          <w:b/>
        </w:rPr>
      </w:pPr>
      <w:r w:rsidRPr="0031675F">
        <w:rPr>
          <w:b/>
        </w:rPr>
        <w:t>Laboratory Apparatus</w:t>
      </w:r>
    </w:p>
    <w:p w14:paraId="3084C356" w14:textId="77777777" w:rsidR="0031675F" w:rsidRPr="0031675F" w:rsidRDefault="0031675F" w:rsidP="0031675F"/>
    <w:p w14:paraId="70467F06" w14:textId="77777777" w:rsidR="0031675F" w:rsidRPr="0031675F" w:rsidRDefault="0031675F" w:rsidP="0031675F">
      <w:r w:rsidRPr="0031675F">
        <w:t xml:space="preserve">Filtration apparatus: </w:t>
      </w:r>
    </w:p>
    <w:p w14:paraId="5B83FFA4" w14:textId="77777777" w:rsidR="0031675F" w:rsidRPr="0031675F" w:rsidRDefault="0031675F" w:rsidP="0031675F">
      <w:pPr>
        <w:numPr>
          <w:ilvl w:val="0"/>
          <w:numId w:val="191"/>
        </w:numPr>
        <w:spacing w:before="60" w:after="60" w:line="240" w:lineRule="auto"/>
        <w:ind w:left="284" w:hanging="284"/>
        <w:jc w:val="both"/>
      </w:pPr>
      <w:r w:rsidRPr="0031675F">
        <w:t>Solvent resistant filter assembly with vacuum pump</w:t>
      </w:r>
    </w:p>
    <w:p w14:paraId="71F31728" w14:textId="77777777" w:rsidR="0031675F" w:rsidRPr="0031675F" w:rsidRDefault="0031675F" w:rsidP="0031675F">
      <w:pPr>
        <w:numPr>
          <w:ilvl w:val="0"/>
          <w:numId w:val="191"/>
        </w:numPr>
        <w:spacing w:before="60" w:after="60" w:line="240" w:lineRule="auto"/>
        <w:ind w:left="284" w:hanging="284"/>
        <w:jc w:val="both"/>
      </w:pPr>
      <w:r w:rsidRPr="0031675F">
        <w:t>GFB filters (1.0 µm porosity, 47 mm diameter)</w:t>
      </w:r>
    </w:p>
    <w:p w14:paraId="15CC5EE8" w14:textId="77777777" w:rsidR="0031675F" w:rsidRPr="0031675F" w:rsidRDefault="0031675F" w:rsidP="0031675F">
      <w:pPr>
        <w:numPr>
          <w:ilvl w:val="0"/>
          <w:numId w:val="191"/>
        </w:numPr>
        <w:spacing w:before="60" w:after="60" w:line="240" w:lineRule="auto"/>
        <w:ind w:left="284" w:hanging="284"/>
        <w:jc w:val="both"/>
      </w:pPr>
      <w:r w:rsidRPr="0031675F">
        <w:t>Measuring cylinder</w:t>
      </w:r>
    </w:p>
    <w:p w14:paraId="5C61AA0B" w14:textId="77777777" w:rsidR="0031675F" w:rsidRPr="0031675F" w:rsidRDefault="0031675F" w:rsidP="0031675F">
      <w:pPr>
        <w:numPr>
          <w:ilvl w:val="0"/>
          <w:numId w:val="191"/>
        </w:numPr>
        <w:spacing w:before="60" w:after="60" w:line="240" w:lineRule="auto"/>
        <w:ind w:left="284" w:hanging="284"/>
        <w:jc w:val="both"/>
      </w:pPr>
      <w:r w:rsidRPr="0031675F">
        <w:t>Rinse bottles</w:t>
      </w:r>
    </w:p>
    <w:p w14:paraId="29C557F1" w14:textId="77777777" w:rsidR="0031675F" w:rsidRPr="0031675F" w:rsidRDefault="0031675F" w:rsidP="0031675F"/>
    <w:p w14:paraId="12CB7A44" w14:textId="77777777" w:rsidR="0031675F" w:rsidRPr="0031675F" w:rsidRDefault="0031675F" w:rsidP="0031675F">
      <w:r w:rsidRPr="0031675F">
        <w:t xml:space="preserve">Tissue grinder: </w:t>
      </w:r>
    </w:p>
    <w:p w14:paraId="231E41A5" w14:textId="77777777" w:rsidR="0031675F" w:rsidRPr="0031675F" w:rsidRDefault="0031675F" w:rsidP="0031675F">
      <w:pPr>
        <w:numPr>
          <w:ilvl w:val="0"/>
          <w:numId w:val="191"/>
        </w:numPr>
        <w:spacing w:before="60" w:after="60" w:line="240" w:lineRule="auto"/>
        <w:ind w:left="284" w:hanging="284"/>
        <w:jc w:val="both"/>
      </w:pPr>
      <w:r w:rsidRPr="0031675F">
        <w:t>Preferably use round-bottom grinding tubes with a matching pestle having grooves in the TFE tip.</w:t>
      </w:r>
    </w:p>
    <w:p w14:paraId="5AC92098" w14:textId="77777777" w:rsidR="0031675F" w:rsidRPr="0031675F" w:rsidRDefault="0031675F" w:rsidP="0031675F">
      <w:pPr>
        <w:numPr>
          <w:ilvl w:val="0"/>
          <w:numId w:val="191"/>
        </w:numPr>
        <w:spacing w:before="60" w:after="60" w:line="240" w:lineRule="auto"/>
        <w:ind w:left="284" w:hanging="284"/>
        <w:jc w:val="both"/>
      </w:pPr>
      <w:r w:rsidRPr="0031675F">
        <w:t>Clinical centrifuge</w:t>
      </w:r>
    </w:p>
    <w:p w14:paraId="70F45643" w14:textId="77777777" w:rsidR="0031675F" w:rsidRPr="0031675F" w:rsidRDefault="0031675F" w:rsidP="0031675F">
      <w:pPr>
        <w:numPr>
          <w:ilvl w:val="0"/>
          <w:numId w:val="191"/>
        </w:numPr>
        <w:spacing w:before="60" w:after="60" w:line="240" w:lineRule="auto"/>
        <w:ind w:left="284" w:hanging="284"/>
        <w:jc w:val="both"/>
      </w:pPr>
      <w:r w:rsidRPr="0031675F">
        <w:t>Centrifuge tubes: 15 mL graduated, screw-cap</w:t>
      </w:r>
    </w:p>
    <w:p w14:paraId="689E2985" w14:textId="77777777" w:rsidR="0031675F" w:rsidRPr="0031675F" w:rsidRDefault="0031675F" w:rsidP="0031675F">
      <w:pPr>
        <w:numPr>
          <w:ilvl w:val="0"/>
          <w:numId w:val="191"/>
        </w:numPr>
        <w:spacing w:before="60" w:after="60" w:line="240" w:lineRule="auto"/>
        <w:ind w:left="284" w:hanging="284"/>
        <w:jc w:val="both"/>
      </w:pPr>
      <w:r w:rsidRPr="0031675F">
        <w:t xml:space="preserve">Spectrophotometer: with a narrow band (pass) width (0.5 to 2.0 nm) because the chlorophyll absorption peak is relatively narrow. At a spectral band width of 20 nm the chlorophyll </w:t>
      </w:r>
      <w:r w:rsidRPr="004F29DF">
        <w:rPr>
          <w:i/>
        </w:rPr>
        <w:t>a</w:t>
      </w:r>
      <w:r w:rsidRPr="0031675F">
        <w:t xml:space="preserve"> concentration may be underestimated by as much as 40%.</w:t>
      </w:r>
    </w:p>
    <w:p w14:paraId="16ABC3C9" w14:textId="77777777" w:rsidR="0031675F" w:rsidRPr="0031675F" w:rsidRDefault="0031675F" w:rsidP="0031675F">
      <w:pPr>
        <w:numPr>
          <w:ilvl w:val="0"/>
          <w:numId w:val="191"/>
        </w:numPr>
        <w:spacing w:before="60" w:after="60" w:line="240" w:lineRule="auto"/>
        <w:ind w:left="284" w:hanging="284"/>
        <w:jc w:val="both"/>
      </w:pPr>
      <w:r w:rsidRPr="0031675F">
        <w:t>Cuvettes: with 1-, 4-, and 10-cm path lengths</w:t>
      </w:r>
    </w:p>
    <w:p w14:paraId="5682C225" w14:textId="77777777" w:rsidR="0031675F" w:rsidRPr="0031675F" w:rsidRDefault="0031675F" w:rsidP="0031675F">
      <w:pPr>
        <w:numPr>
          <w:ilvl w:val="0"/>
          <w:numId w:val="191"/>
        </w:numPr>
        <w:spacing w:before="60" w:after="60" w:line="240" w:lineRule="auto"/>
        <w:ind w:left="284" w:hanging="284"/>
        <w:jc w:val="both"/>
      </w:pPr>
      <w:r w:rsidRPr="0031675F">
        <w:t>Pasteur pipette</w:t>
      </w:r>
    </w:p>
    <w:p w14:paraId="715EF442" w14:textId="77777777" w:rsidR="0031675F" w:rsidRPr="0031675F" w:rsidRDefault="0031675F" w:rsidP="0031675F"/>
    <w:p w14:paraId="62CD7A9D" w14:textId="77777777" w:rsidR="0031675F" w:rsidRPr="0031675F" w:rsidRDefault="0031675F" w:rsidP="0031675F">
      <w:pPr>
        <w:rPr>
          <w:b/>
        </w:rPr>
      </w:pPr>
      <w:r w:rsidRPr="0031675F">
        <w:rPr>
          <w:b/>
        </w:rPr>
        <w:t xml:space="preserve">Reagents </w:t>
      </w:r>
    </w:p>
    <w:p w14:paraId="7FE5D5F0" w14:textId="77777777" w:rsidR="0031675F" w:rsidRPr="0031675F" w:rsidRDefault="0031675F" w:rsidP="0031675F"/>
    <w:p w14:paraId="2F4D5086" w14:textId="77777777" w:rsidR="0031675F" w:rsidRPr="0031675F" w:rsidRDefault="0031675F" w:rsidP="0031675F">
      <w:pPr>
        <w:numPr>
          <w:ilvl w:val="0"/>
          <w:numId w:val="191"/>
        </w:numPr>
        <w:spacing w:before="60" w:after="60" w:line="240" w:lineRule="auto"/>
        <w:ind w:left="284" w:hanging="284"/>
        <w:jc w:val="both"/>
      </w:pPr>
      <w:r w:rsidRPr="0031675F">
        <w:t>Saturated magnesium carbonate solution: Add 1.0 g finely powdered MgCO3 to 100 mL distilled water.</w:t>
      </w:r>
    </w:p>
    <w:p w14:paraId="4416F3BB" w14:textId="77777777" w:rsidR="0031675F" w:rsidRPr="0031675F" w:rsidRDefault="0031675F" w:rsidP="0031675F">
      <w:pPr>
        <w:numPr>
          <w:ilvl w:val="0"/>
          <w:numId w:val="191"/>
        </w:numPr>
        <w:spacing w:before="60" w:after="60" w:line="240" w:lineRule="auto"/>
        <w:ind w:left="284" w:hanging="284"/>
        <w:jc w:val="both"/>
      </w:pPr>
      <w:r w:rsidRPr="0031675F">
        <w:t>Aqueous acetone solution: Mix 90 parts acetone (reagent grade BP 56 ºC) with 10 parts milli-Q.</w:t>
      </w:r>
    </w:p>
    <w:p w14:paraId="3F91189D" w14:textId="77777777" w:rsidR="0031675F" w:rsidRPr="0031675F" w:rsidRDefault="0031675F" w:rsidP="0031675F">
      <w:pPr>
        <w:numPr>
          <w:ilvl w:val="0"/>
          <w:numId w:val="191"/>
        </w:numPr>
        <w:spacing w:before="60" w:after="60" w:line="240" w:lineRule="auto"/>
        <w:ind w:left="284" w:hanging="284"/>
        <w:jc w:val="both"/>
      </w:pPr>
      <w:r w:rsidRPr="0031675F">
        <w:t>100% Acetone</w:t>
      </w:r>
    </w:p>
    <w:p w14:paraId="3C6A040B" w14:textId="77777777" w:rsidR="0031675F" w:rsidRPr="0031675F" w:rsidRDefault="0031675F" w:rsidP="0031675F">
      <w:pPr>
        <w:numPr>
          <w:ilvl w:val="0"/>
          <w:numId w:val="191"/>
        </w:numPr>
        <w:spacing w:before="60" w:after="60" w:line="240" w:lineRule="auto"/>
        <w:ind w:left="284" w:hanging="284"/>
        <w:jc w:val="both"/>
      </w:pPr>
      <w:r w:rsidRPr="0031675F">
        <w:t>Hydrochloric acid, HCl: 0.1 N</w:t>
      </w:r>
    </w:p>
    <w:p w14:paraId="4A29FF00" w14:textId="77777777" w:rsidR="0031675F" w:rsidRPr="0031675F" w:rsidRDefault="0031675F" w:rsidP="0031675F"/>
    <w:p w14:paraId="48287725" w14:textId="77777777" w:rsidR="0031675F" w:rsidRPr="0031675F" w:rsidRDefault="0031675F" w:rsidP="0031675F">
      <w:pPr>
        <w:shd w:val="clear" w:color="auto" w:fill="D9D9D9"/>
        <w:tabs>
          <w:tab w:val="left" w:pos="567"/>
        </w:tabs>
        <w:rPr>
          <w:b/>
        </w:rPr>
      </w:pPr>
      <w:r w:rsidRPr="0031675F">
        <w:rPr>
          <w:b/>
        </w:rPr>
        <w:t>METHOD</w:t>
      </w:r>
    </w:p>
    <w:p w14:paraId="536F9F9B" w14:textId="77777777" w:rsidR="0031675F" w:rsidRPr="0031675F" w:rsidRDefault="0031675F" w:rsidP="0031675F"/>
    <w:p w14:paraId="7C4ADCFD" w14:textId="77777777" w:rsidR="0031675F" w:rsidRPr="0031675F" w:rsidRDefault="0031675F" w:rsidP="0031675F">
      <w:pPr>
        <w:rPr>
          <w:b/>
        </w:rPr>
      </w:pPr>
      <w:r w:rsidRPr="0031675F">
        <w:rPr>
          <w:b/>
        </w:rPr>
        <w:t xml:space="preserve">Filtration </w:t>
      </w:r>
    </w:p>
    <w:p w14:paraId="5F0CD463" w14:textId="77777777" w:rsidR="0031675F" w:rsidRPr="0031675F" w:rsidRDefault="0031675F" w:rsidP="0031675F"/>
    <w:p w14:paraId="0A3CCB2F" w14:textId="77777777" w:rsidR="0031675F" w:rsidRPr="0031675F" w:rsidRDefault="0031675F" w:rsidP="0031675F">
      <w:pPr>
        <w:numPr>
          <w:ilvl w:val="0"/>
          <w:numId w:val="187"/>
        </w:numPr>
        <w:tabs>
          <w:tab w:val="clear" w:pos="720"/>
        </w:tabs>
        <w:spacing w:before="60" w:after="60" w:line="240" w:lineRule="auto"/>
        <w:ind w:left="397" w:hanging="397"/>
        <w:jc w:val="both"/>
      </w:pPr>
      <w:r w:rsidRPr="0031675F">
        <w:t xml:space="preserve">Concentrate sample by filtering as soon as possible after collection. If processing must be delayed, hold sample on ice or at 4 ºC and protect from exposure to light. </w:t>
      </w:r>
    </w:p>
    <w:p w14:paraId="594B8F28" w14:textId="77777777" w:rsidR="0031675F" w:rsidRPr="0031675F" w:rsidRDefault="0031675F" w:rsidP="0031675F">
      <w:pPr>
        <w:numPr>
          <w:ilvl w:val="0"/>
          <w:numId w:val="187"/>
        </w:numPr>
        <w:tabs>
          <w:tab w:val="clear" w:pos="720"/>
        </w:tabs>
        <w:spacing w:before="60" w:after="60" w:line="240" w:lineRule="auto"/>
        <w:ind w:left="397" w:hanging="397"/>
        <w:jc w:val="both"/>
      </w:pPr>
      <w:r w:rsidRPr="0031675F">
        <w:t xml:space="preserve">Insert filter paper into filtration apparatus. </w:t>
      </w:r>
    </w:p>
    <w:p w14:paraId="42BFDD81" w14:textId="77777777" w:rsidR="0031675F" w:rsidRPr="0031675F" w:rsidRDefault="0031675F" w:rsidP="0031675F">
      <w:pPr>
        <w:numPr>
          <w:ilvl w:val="0"/>
          <w:numId w:val="187"/>
        </w:numPr>
        <w:tabs>
          <w:tab w:val="clear" w:pos="720"/>
        </w:tabs>
        <w:spacing w:before="60" w:after="60" w:line="240" w:lineRule="auto"/>
        <w:ind w:left="397" w:hanging="397"/>
        <w:jc w:val="both"/>
      </w:pPr>
      <w:r w:rsidRPr="0031675F">
        <w:t xml:space="preserve">Mix sample thoroughly before pouring a measured volume onto the filter. Apply vacuum. </w:t>
      </w:r>
    </w:p>
    <w:p w14:paraId="55A16DE3" w14:textId="77777777" w:rsidR="0031675F" w:rsidRPr="0031675F" w:rsidRDefault="0031675F" w:rsidP="0031675F">
      <w:pPr>
        <w:numPr>
          <w:ilvl w:val="0"/>
          <w:numId w:val="187"/>
        </w:numPr>
        <w:tabs>
          <w:tab w:val="clear" w:pos="720"/>
        </w:tabs>
        <w:spacing w:before="60" w:after="60" w:line="240" w:lineRule="auto"/>
        <w:ind w:left="397" w:hanging="397"/>
        <w:jc w:val="both"/>
      </w:pPr>
      <w:r w:rsidRPr="0031675F">
        <w:t>Filter as much sample as possible, however if more than 10 mins is required to complete filtration decrease sample volume and repeat filtration.</w:t>
      </w:r>
    </w:p>
    <w:p w14:paraId="2D017701" w14:textId="77777777" w:rsidR="0031675F" w:rsidRPr="0031675F" w:rsidRDefault="0031675F" w:rsidP="0031675F">
      <w:pPr>
        <w:autoSpaceDE w:val="0"/>
        <w:autoSpaceDN w:val="0"/>
        <w:adjustRightInd w:val="0"/>
        <w:spacing w:before="60" w:after="60"/>
        <w:ind w:left="397"/>
      </w:pPr>
      <w:r w:rsidRPr="0031675F">
        <w:t>Record volume of sample filtered and wash filter with approx 10 mL RO water. Before applying vacuum, add a 200</w:t>
      </w:r>
      <w:r w:rsidRPr="0031675F">
        <w:rPr>
          <w:lang w:val="en-US"/>
        </w:rPr>
        <w:t xml:space="preserve"> μL of</w:t>
      </w:r>
      <w:r w:rsidRPr="0031675F">
        <w:t>MgCO</w:t>
      </w:r>
      <w:r w:rsidRPr="0031675F">
        <w:rPr>
          <w:vertAlign w:val="subscript"/>
        </w:rPr>
        <w:t>3</w:t>
      </w:r>
      <w:r w:rsidRPr="0031675F">
        <w:t xml:space="preserve"> solution to aid in the preservation of chlorophyll </w:t>
      </w:r>
      <w:r w:rsidRPr="0031675F">
        <w:rPr>
          <w:i/>
        </w:rPr>
        <w:t>a</w:t>
      </w:r>
      <w:r w:rsidRPr="0031675F">
        <w:t>.</w:t>
      </w:r>
    </w:p>
    <w:p w14:paraId="2C3F3D87" w14:textId="77777777" w:rsidR="0031675F" w:rsidRPr="0031675F" w:rsidRDefault="0031675F" w:rsidP="0031675F">
      <w:pPr>
        <w:numPr>
          <w:ilvl w:val="0"/>
          <w:numId w:val="187"/>
        </w:numPr>
        <w:tabs>
          <w:tab w:val="clear" w:pos="720"/>
        </w:tabs>
        <w:spacing w:before="60" w:after="60" w:line="240" w:lineRule="auto"/>
        <w:ind w:left="397" w:hanging="397"/>
        <w:jc w:val="both"/>
      </w:pPr>
      <w:r w:rsidRPr="0031675F">
        <w:t xml:space="preserve">Remove filter when all traces of water are removed and fold in half. Wrap in a small piece of paper towel and insert into an envelope labelled with job and sample number. </w:t>
      </w:r>
    </w:p>
    <w:p w14:paraId="1128278E" w14:textId="77777777" w:rsidR="0031675F" w:rsidRPr="0031675F" w:rsidRDefault="0031675F" w:rsidP="0031675F">
      <w:pPr>
        <w:numPr>
          <w:ilvl w:val="0"/>
          <w:numId w:val="187"/>
        </w:numPr>
        <w:tabs>
          <w:tab w:val="clear" w:pos="720"/>
        </w:tabs>
        <w:spacing w:before="60" w:after="60" w:line="240" w:lineRule="auto"/>
        <w:ind w:left="397" w:hanging="397"/>
        <w:jc w:val="both"/>
      </w:pPr>
      <w:r w:rsidRPr="0031675F">
        <w:t>Freeze envelope until grinding is carried out. Samples on filters taken from water having pH 7 or higher may be stored frozen for 3 weeks. Process samples from acidic water promptly after filtration to prevent possible chlorophyll degradation from residual acidic water on filter.</w:t>
      </w:r>
    </w:p>
    <w:p w14:paraId="4C823F50" w14:textId="77777777" w:rsidR="0031675F" w:rsidRPr="0031675F" w:rsidRDefault="0031675F" w:rsidP="0031675F"/>
    <w:p w14:paraId="3BC3B9E7" w14:textId="77777777" w:rsidR="0031675F" w:rsidRPr="0031675F" w:rsidRDefault="0031675F" w:rsidP="0031675F">
      <w:pPr>
        <w:rPr>
          <w:b/>
        </w:rPr>
      </w:pPr>
      <w:r w:rsidRPr="0031675F">
        <w:rPr>
          <w:b/>
        </w:rPr>
        <w:t>Pigment extraction</w:t>
      </w:r>
    </w:p>
    <w:p w14:paraId="5EBFA497" w14:textId="77777777" w:rsidR="0031675F" w:rsidRPr="0031675F" w:rsidRDefault="0031675F" w:rsidP="0031675F"/>
    <w:p w14:paraId="791A0E3E" w14:textId="77777777" w:rsidR="0031675F" w:rsidRPr="0031675F" w:rsidRDefault="0031675F" w:rsidP="0031675F">
      <w:r w:rsidRPr="0031675F">
        <w:t>Conduct work with chlorophyll extracts in subdued light to avoid degradation. Use opaque containers or wrap with aluminium foil. The pigments are extracted from the plankton concentrate with aqueous acetone and the optical density (absorbance) of the extract is determined with a spectrophotometer. The ease with which the chlorophylls are removed from the cells varies considerably with different algae. To achieve consistent complete extraction of the pigments, disrupt the cells mechanically with a tissue grinder.</w:t>
      </w:r>
    </w:p>
    <w:p w14:paraId="77A1551C" w14:textId="77777777" w:rsidR="0031675F" w:rsidRPr="0031675F" w:rsidRDefault="0031675F" w:rsidP="0031675F"/>
    <w:p w14:paraId="034B054B" w14:textId="77777777" w:rsidR="0031675F" w:rsidRPr="0031675F" w:rsidRDefault="0031675F" w:rsidP="0031675F">
      <w:r w:rsidRPr="0031675F">
        <w:t xml:space="preserve">Glass fibre filters are preferred for removing algae from water. The glass fibres assist in breaking the cells during grinding, larger volumes of water can be filtered, and no precipitate forms after acidification. </w:t>
      </w:r>
    </w:p>
    <w:p w14:paraId="7016B3EF" w14:textId="77777777" w:rsidR="0031675F" w:rsidRPr="0031675F" w:rsidRDefault="0031675F" w:rsidP="0031675F"/>
    <w:p w14:paraId="3201BFAE" w14:textId="77777777" w:rsidR="0031675F" w:rsidRPr="0031675F" w:rsidRDefault="0031675F" w:rsidP="0031675F">
      <w:pPr>
        <w:numPr>
          <w:ilvl w:val="0"/>
          <w:numId w:val="188"/>
        </w:numPr>
        <w:tabs>
          <w:tab w:val="clear" w:pos="720"/>
        </w:tabs>
        <w:spacing w:before="60" w:after="60" w:line="240" w:lineRule="auto"/>
        <w:ind w:left="397" w:hanging="397"/>
        <w:jc w:val="both"/>
      </w:pPr>
      <w:r w:rsidRPr="0031675F">
        <w:t xml:space="preserve">Pour 10 mL 90 % aqueous acetone solution into a measuring cylinder </w:t>
      </w:r>
    </w:p>
    <w:p w14:paraId="08233754" w14:textId="77777777" w:rsidR="0031675F" w:rsidRPr="0031675F" w:rsidRDefault="0031675F" w:rsidP="0031675F">
      <w:pPr>
        <w:numPr>
          <w:ilvl w:val="0"/>
          <w:numId w:val="188"/>
        </w:numPr>
        <w:tabs>
          <w:tab w:val="clear" w:pos="720"/>
        </w:tabs>
        <w:spacing w:before="60" w:after="60" w:line="240" w:lineRule="auto"/>
        <w:ind w:left="397" w:hanging="397"/>
        <w:jc w:val="both"/>
      </w:pPr>
      <w:r w:rsidRPr="0031675F">
        <w:t xml:space="preserve">Place sample in tissue grinder, cover with 2 to 3 mL of the 90 % aqueous acetone solution, and macerate at 500 rpm for 1 min. </w:t>
      </w:r>
    </w:p>
    <w:p w14:paraId="4A0E3F12" w14:textId="77777777" w:rsidR="0031675F" w:rsidRPr="0031675F" w:rsidRDefault="0031675F" w:rsidP="0031675F">
      <w:pPr>
        <w:numPr>
          <w:ilvl w:val="0"/>
          <w:numId w:val="188"/>
        </w:numPr>
        <w:tabs>
          <w:tab w:val="clear" w:pos="720"/>
        </w:tabs>
        <w:spacing w:before="60" w:after="60" w:line="240" w:lineRule="auto"/>
        <w:ind w:left="397" w:hanging="397"/>
        <w:jc w:val="both"/>
      </w:pPr>
      <w:r w:rsidRPr="0031675F">
        <w:t xml:space="preserve">Transfer sample to a screw cap centrifuge tube and use the remaining 7 to 8 mL 90 % aqueous acetone solution to wash remaining sample into centrifuge tube. </w:t>
      </w:r>
    </w:p>
    <w:p w14:paraId="1F96802A" w14:textId="77777777" w:rsidR="0031675F" w:rsidRPr="0031675F" w:rsidRDefault="0031675F" w:rsidP="0031675F">
      <w:pPr>
        <w:numPr>
          <w:ilvl w:val="0"/>
          <w:numId w:val="188"/>
        </w:numPr>
        <w:tabs>
          <w:tab w:val="clear" w:pos="720"/>
        </w:tabs>
        <w:spacing w:before="60" w:after="60" w:line="240" w:lineRule="auto"/>
        <w:ind w:left="397" w:hanging="397"/>
        <w:jc w:val="both"/>
      </w:pPr>
      <w:r w:rsidRPr="0031675F">
        <w:t xml:space="preserve">Keep samples between 2 and 24 hrs at 4 ºC in the dark. </w:t>
      </w:r>
    </w:p>
    <w:p w14:paraId="6BBF90F0" w14:textId="77777777" w:rsidR="0031675F" w:rsidRPr="0031675F" w:rsidRDefault="0031675F" w:rsidP="0031675F">
      <w:pPr>
        <w:numPr>
          <w:ilvl w:val="0"/>
          <w:numId w:val="188"/>
        </w:numPr>
        <w:tabs>
          <w:tab w:val="clear" w:pos="720"/>
        </w:tabs>
        <w:spacing w:before="60" w:after="60" w:line="240" w:lineRule="auto"/>
        <w:ind w:left="397" w:hanging="397"/>
        <w:jc w:val="both"/>
      </w:pPr>
      <w:r w:rsidRPr="0031675F">
        <w:t>Centrifuge samples in closed tubes for approximately 10 min at 500 g, shake tubes and centrifuge again for another 10 min.</w:t>
      </w:r>
    </w:p>
    <w:p w14:paraId="2F28448B" w14:textId="77777777" w:rsidR="0031675F" w:rsidRPr="0031675F" w:rsidRDefault="0031675F" w:rsidP="0031675F"/>
    <w:p w14:paraId="36DA5DFD" w14:textId="77777777" w:rsidR="0031675F" w:rsidRPr="0031675F" w:rsidRDefault="0031675F" w:rsidP="0031675F">
      <w:pPr>
        <w:rPr>
          <w:i/>
        </w:rPr>
      </w:pPr>
      <w:r w:rsidRPr="0031675F">
        <w:rPr>
          <w:i/>
        </w:rPr>
        <w:t>Spectrophotometric determination of chlorophyll using a dual beam spectrophotometer (Determination of chlorophyll a in the presence of pheophytin)</w:t>
      </w:r>
    </w:p>
    <w:p w14:paraId="7254966A" w14:textId="77777777" w:rsidR="0031675F" w:rsidRPr="0031675F" w:rsidRDefault="0031675F" w:rsidP="0031675F">
      <w:pPr>
        <w:ind w:left="360"/>
      </w:pPr>
    </w:p>
    <w:p w14:paraId="321B42BD" w14:textId="77777777" w:rsidR="0031675F" w:rsidRPr="0031675F" w:rsidRDefault="0031675F" w:rsidP="0031675F">
      <w:pPr>
        <w:numPr>
          <w:ilvl w:val="0"/>
          <w:numId w:val="189"/>
        </w:numPr>
        <w:tabs>
          <w:tab w:val="clear" w:pos="720"/>
        </w:tabs>
        <w:spacing w:before="60" w:after="60" w:line="240" w:lineRule="auto"/>
        <w:ind w:left="397" w:hanging="397"/>
        <w:jc w:val="both"/>
      </w:pPr>
      <w:r w:rsidRPr="0031675F">
        <w:t>Turn spectrophotometer on allowing time for instrument to self-check.</w:t>
      </w:r>
    </w:p>
    <w:p w14:paraId="5ADC2B98" w14:textId="77777777" w:rsidR="0031675F" w:rsidRPr="0031675F" w:rsidRDefault="0031675F" w:rsidP="0031675F">
      <w:pPr>
        <w:numPr>
          <w:ilvl w:val="0"/>
          <w:numId w:val="189"/>
        </w:numPr>
        <w:tabs>
          <w:tab w:val="clear" w:pos="720"/>
        </w:tabs>
        <w:spacing w:before="60" w:after="60" w:line="240" w:lineRule="auto"/>
        <w:ind w:left="397" w:hanging="397"/>
        <w:jc w:val="both"/>
      </w:pPr>
      <w:r w:rsidRPr="0031675F">
        <w:t>Use 90 % aqueous acetone solution to blank spectrophotometer:</w:t>
      </w:r>
    </w:p>
    <w:p w14:paraId="4B814561" w14:textId="77777777" w:rsidR="0031675F" w:rsidRPr="0031675F" w:rsidRDefault="0031675F" w:rsidP="0031675F">
      <w:pPr>
        <w:numPr>
          <w:ilvl w:val="0"/>
          <w:numId w:val="190"/>
        </w:numPr>
        <w:tabs>
          <w:tab w:val="clear" w:pos="1140"/>
          <w:tab w:val="num" w:pos="709"/>
        </w:tabs>
        <w:spacing w:before="60" w:after="60" w:line="240" w:lineRule="auto"/>
        <w:ind w:left="426" w:firstLine="0"/>
        <w:jc w:val="both"/>
      </w:pPr>
      <w:r w:rsidRPr="0031675F">
        <w:t>Pipette 3mL of 90% acetone into two 1 cm cuvettes and place in spectrophotometer.</w:t>
      </w:r>
    </w:p>
    <w:p w14:paraId="394F67F1" w14:textId="77777777" w:rsidR="0031675F" w:rsidRPr="0031675F" w:rsidRDefault="0031675F" w:rsidP="0031675F">
      <w:pPr>
        <w:numPr>
          <w:ilvl w:val="0"/>
          <w:numId w:val="190"/>
        </w:numPr>
        <w:tabs>
          <w:tab w:val="clear" w:pos="1140"/>
          <w:tab w:val="num" w:pos="709"/>
        </w:tabs>
        <w:spacing w:before="60" w:after="60" w:line="240" w:lineRule="auto"/>
        <w:ind w:left="426" w:firstLine="0"/>
        <w:jc w:val="both"/>
      </w:pPr>
      <w:r w:rsidRPr="0031675F">
        <w:t xml:space="preserve">Press: </w:t>
      </w:r>
      <w:r w:rsidRPr="0031675F">
        <w:rPr>
          <w:b/>
        </w:rPr>
        <w:t>Params [F1]</w:t>
      </w:r>
      <w:r w:rsidRPr="0031675F">
        <w:t xml:space="preserve"> </w:t>
      </w:r>
      <w:r w:rsidRPr="0031675F">
        <w:rPr>
          <w:b/>
        </w:rPr>
        <w:sym w:font="Wingdings" w:char="F0E0"/>
      </w:r>
      <w:r w:rsidRPr="0031675F">
        <w:rPr>
          <w:b/>
        </w:rPr>
        <w:t xml:space="preserve"> Set [F2] </w:t>
      </w:r>
      <w:r w:rsidRPr="0031675F">
        <w:rPr>
          <w:b/>
        </w:rPr>
        <w:sym w:font="Wingdings" w:char="F0E0"/>
      </w:r>
      <w:r w:rsidRPr="0031675F">
        <w:rPr>
          <w:b/>
        </w:rPr>
        <w:t xml:space="preserve"> CHLOA [5] </w:t>
      </w:r>
      <w:r w:rsidRPr="0031675F">
        <w:rPr>
          <w:b/>
        </w:rPr>
        <w:sym w:font="Wingdings" w:char="F0E0"/>
      </w:r>
      <w:r w:rsidRPr="0031675F">
        <w:rPr>
          <w:b/>
        </w:rPr>
        <w:t xml:space="preserve"> [Enter] </w:t>
      </w:r>
      <w:r w:rsidRPr="0031675F">
        <w:rPr>
          <w:b/>
        </w:rPr>
        <w:sym w:font="Wingdings" w:char="F0E0"/>
      </w:r>
      <w:r w:rsidRPr="0031675F">
        <w:t xml:space="preserve"> </w:t>
      </w:r>
      <w:r w:rsidRPr="0031675F">
        <w:rPr>
          <w:b/>
        </w:rPr>
        <w:t>BaseCorr [F1]</w:t>
      </w:r>
    </w:p>
    <w:p w14:paraId="365349E4" w14:textId="77777777" w:rsidR="0031675F" w:rsidRPr="0031675F" w:rsidRDefault="0031675F" w:rsidP="0031675F">
      <w:pPr>
        <w:numPr>
          <w:ilvl w:val="0"/>
          <w:numId w:val="190"/>
        </w:numPr>
        <w:tabs>
          <w:tab w:val="clear" w:pos="1140"/>
          <w:tab w:val="num" w:pos="709"/>
        </w:tabs>
        <w:spacing w:before="60" w:after="60" w:line="240" w:lineRule="auto"/>
        <w:ind w:left="426" w:firstLine="0"/>
        <w:jc w:val="both"/>
      </w:pPr>
      <w:r w:rsidRPr="0031675F">
        <w:t>Leave the back cuvette in the cell for the rest of the analysis.</w:t>
      </w:r>
    </w:p>
    <w:p w14:paraId="3446724A" w14:textId="77777777" w:rsidR="0031675F" w:rsidRPr="0031675F" w:rsidRDefault="0031675F" w:rsidP="0031675F">
      <w:pPr>
        <w:numPr>
          <w:ilvl w:val="0"/>
          <w:numId w:val="189"/>
        </w:numPr>
        <w:tabs>
          <w:tab w:val="clear" w:pos="720"/>
        </w:tabs>
        <w:spacing w:before="60" w:after="60" w:line="240" w:lineRule="auto"/>
        <w:ind w:left="397" w:hanging="397"/>
        <w:jc w:val="both"/>
      </w:pPr>
      <w:r w:rsidRPr="0031675F">
        <w:t xml:space="preserve">Remove the front cuvette, dispose of blank and transfer 3 mL clarified sample extract to cuvette.  Place in spectrophotometer cell, close lid and press: </w:t>
      </w:r>
      <w:r w:rsidRPr="0031675F">
        <w:rPr>
          <w:b/>
        </w:rPr>
        <w:t xml:space="preserve">MeasDisp [F3] </w:t>
      </w:r>
      <w:r w:rsidRPr="0031675F">
        <w:rPr>
          <w:b/>
        </w:rPr>
        <w:sym w:font="Wingdings" w:char="F0E0"/>
      </w:r>
      <w:r w:rsidRPr="0031675F">
        <w:rPr>
          <w:b/>
        </w:rPr>
        <w:t xml:space="preserve"> [Enter]</w:t>
      </w:r>
      <w:r w:rsidRPr="0031675F">
        <w:t>.  This reads the absorbance of the extract at both 664nm and 750nm.</w:t>
      </w:r>
    </w:p>
    <w:p w14:paraId="0D9B5F25" w14:textId="77777777" w:rsidR="0031675F" w:rsidRPr="0031675F" w:rsidRDefault="0031675F" w:rsidP="0031675F">
      <w:pPr>
        <w:numPr>
          <w:ilvl w:val="0"/>
          <w:numId w:val="189"/>
        </w:numPr>
        <w:tabs>
          <w:tab w:val="clear" w:pos="720"/>
        </w:tabs>
        <w:spacing w:before="60" w:after="60" w:line="240" w:lineRule="auto"/>
        <w:ind w:left="397" w:hanging="397"/>
        <w:jc w:val="both"/>
      </w:pPr>
      <w:r w:rsidRPr="0031675F">
        <w:t>Record the 664 nm – 750 nm value.</w:t>
      </w:r>
    </w:p>
    <w:p w14:paraId="1C9DD540" w14:textId="77777777" w:rsidR="0031675F" w:rsidRPr="0031675F" w:rsidRDefault="0031675F" w:rsidP="0031675F">
      <w:pPr>
        <w:numPr>
          <w:ilvl w:val="0"/>
          <w:numId w:val="189"/>
        </w:numPr>
        <w:tabs>
          <w:tab w:val="clear" w:pos="720"/>
        </w:tabs>
        <w:spacing w:before="60" w:after="60" w:line="240" w:lineRule="auto"/>
        <w:ind w:left="397" w:hanging="397"/>
        <w:jc w:val="both"/>
      </w:pPr>
      <w:r w:rsidRPr="0031675F">
        <w:t xml:space="preserve">Acidify extract in the cuvette with 0.1 mL of 0.1 </w:t>
      </w:r>
      <w:r w:rsidRPr="0031675F">
        <w:rPr>
          <w:i/>
        </w:rPr>
        <w:t>N</w:t>
      </w:r>
      <w:r w:rsidRPr="0031675F">
        <w:t xml:space="preserve"> HCl.  Cover with Parafilm and mix by inversion and place cuvette back in cell.  Set a timer for 90 s and start timing as soon as acid is added to sample in cuvette.</w:t>
      </w:r>
    </w:p>
    <w:p w14:paraId="6E0AC4AD" w14:textId="77777777" w:rsidR="0031675F" w:rsidRPr="0031675F" w:rsidRDefault="0031675F" w:rsidP="0031675F">
      <w:pPr>
        <w:numPr>
          <w:ilvl w:val="0"/>
          <w:numId w:val="189"/>
        </w:numPr>
        <w:tabs>
          <w:tab w:val="clear" w:pos="720"/>
        </w:tabs>
        <w:spacing w:before="60" w:after="60" w:line="240" w:lineRule="auto"/>
        <w:ind w:left="397" w:hanging="397"/>
        <w:jc w:val="both"/>
      </w:pPr>
      <w:r w:rsidRPr="0031675F">
        <w:t xml:space="preserve">Press: </w:t>
      </w:r>
      <w:r w:rsidRPr="0031675F">
        <w:rPr>
          <w:b/>
        </w:rPr>
        <w:t xml:space="preserve">[Return] </w:t>
      </w:r>
      <w:r w:rsidRPr="0031675F">
        <w:rPr>
          <w:b/>
        </w:rPr>
        <w:sym w:font="Wingdings" w:char="F0E0"/>
      </w:r>
      <w:r w:rsidRPr="0031675F">
        <w:rPr>
          <w:b/>
        </w:rPr>
        <w:t xml:space="preserve"> [Mode] </w:t>
      </w:r>
      <w:r w:rsidRPr="0031675F">
        <w:rPr>
          <w:b/>
        </w:rPr>
        <w:sym w:font="Wingdings" w:char="F0E0"/>
      </w:r>
      <w:r w:rsidRPr="0031675F">
        <w:rPr>
          <w:b/>
        </w:rPr>
        <w:t xml:space="preserve"> Params [F1]</w:t>
      </w:r>
      <w:r w:rsidRPr="0031675F">
        <w:t xml:space="preserve"> </w:t>
      </w:r>
      <w:r w:rsidRPr="0031675F">
        <w:rPr>
          <w:b/>
        </w:rPr>
        <w:sym w:font="Wingdings" w:char="F0E0"/>
      </w:r>
      <w:r w:rsidRPr="0031675F">
        <w:rPr>
          <w:b/>
        </w:rPr>
        <w:t xml:space="preserve"> Set [F2] </w:t>
      </w:r>
      <w:r w:rsidRPr="0031675F">
        <w:rPr>
          <w:b/>
        </w:rPr>
        <w:sym w:font="Wingdings" w:char="F0E0"/>
      </w:r>
      <w:r w:rsidRPr="0031675F">
        <w:rPr>
          <w:b/>
        </w:rPr>
        <w:t xml:space="preserve"> CHLOROAA [6] </w:t>
      </w:r>
      <w:r w:rsidRPr="0031675F">
        <w:rPr>
          <w:b/>
        </w:rPr>
        <w:sym w:font="Wingdings" w:char="F0E0"/>
      </w:r>
      <w:r w:rsidRPr="0031675F">
        <w:rPr>
          <w:b/>
        </w:rPr>
        <w:t xml:space="preserve"> [Enter]</w:t>
      </w:r>
    </w:p>
    <w:p w14:paraId="2E28052E" w14:textId="77777777" w:rsidR="0031675F" w:rsidRPr="0031675F" w:rsidRDefault="0031675F" w:rsidP="0031675F">
      <w:pPr>
        <w:numPr>
          <w:ilvl w:val="0"/>
          <w:numId w:val="189"/>
        </w:numPr>
        <w:tabs>
          <w:tab w:val="clear" w:pos="720"/>
        </w:tabs>
        <w:spacing w:before="60" w:after="60" w:line="240" w:lineRule="auto"/>
        <w:ind w:left="397" w:hanging="397"/>
        <w:jc w:val="both"/>
      </w:pPr>
      <w:r w:rsidRPr="0031675F">
        <w:t xml:space="preserve">When 90 s is up, read the sample by pressing </w:t>
      </w:r>
      <w:r w:rsidRPr="0031675F">
        <w:rPr>
          <w:b/>
        </w:rPr>
        <w:t xml:space="preserve">MeasDisp [F3] </w:t>
      </w:r>
      <w:r w:rsidRPr="0031675F">
        <w:rPr>
          <w:b/>
        </w:rPr>
        <w:sym w:font="Wingdings" w:char="F0E0"/>
      </w:r>
      <w:r w:rsidRPr="0031675F">
        <w:rPr>
          <w:b/>
        </w:rPr>
        <w:t xml:space="preserve"> [Enter]</w:t>
      </w:r>
      <w:r w:rsidRPr="0031675F">
        <w:t>.  This reads the absorbance of the extract at both 665nm and 750nm.</w:t>
      </w:r>
    </w:p>
    <w:p w14:paraId="505B7194" w14:textId="77777777" w:rsidR="0031675F" w:rsidRPr="0031675F" w:rsidRDefault="0031675F" w:rsidP="0031675F">
      <w:pPr>
        <w:numPr>
          <w:ilvl w:val="0"/>
          <w:numId w:val="189"/>
        </w:numPr>
        <w:tabs>
          <w:tab w:val="clear" w:pos="720"/>
        </w:tabs>
        <w:spacing w:before="60" w:after="60" w:line="240" w:lineRule="auto"/>
        <w:ind w:left="397" w:hanging="397"/>
        <w:jc w:val="both"/>
      </w:pPr>
      <w:r w:rsidRPr="0031675F">
        <w:t>Record the 665 nm – 750 nm value.</w:t>
      </w:r>
    </w:p>
    <w:p w14:paraId="5F2119A0" w14:textId="77777777" w:rsidR="0031675F" w:rsidRPr="0031675F" w:rsidRDefault="0031675F" w:rsidP="0031675F">
      <w:pPr>
        <w:numPr>
          <w:ilvl w:val="0"/>
          <w:numId w:val="189"/>
        </w:numPr>
        <w:tabs>
          <w:tab w:val="clear" w:pos="720"/>
        </w:tabs>
        <w:spacing w:before="60" w:after="60" w:line="240" w:lineRule="auto"/>
        <w:ind w:left="397" w:hanging="397"/>
        <w:jc w:val="both"/>
      </w:pPr>
      <w:r w:rsidRPr="0031675F">
        <w:t xml:space="preserve">Press: </w:t>
      </w:r>
      <w:r w:rsidRPr="0031675F">
        <w:rPr>
          <w:b/>
        </w:rPr>
        <w:t xml:space="preserve">[Return] </w:t>
      </w:r>
      <w:r w:rsidRPr="0031675F">
        <w:rPr>
          <w:b/>
        </w:rPr>
        <w:sym w:font="Wingdings" w:char="F0E0"/>
      </w:r>
      <w:r w:rsidRPr="0031675F">
        <w:rPr>
          <w:b/>
        </w:rPr>
        <w:t xml:space="preserve"> [Mode] </w:t>
      </w:r>
      <w:r w:rsidRPr="0031675F">
        <w:t>to get back to main screen to read next sample.</w:t>
      </w:r>
    </w:p>
    <w:p w14:paraId="13E0E752" w14:textId="77777777" w:rsidR="0031675F" w:rsidRPr="0031675F" w:rsidRDefault="0031675F" w:rsidP="0031675F">
      <w:pPr>
        <w:numPr>
          <w:ilvl w:val="0"/>
          <w:numId w:val="189"/>
        </w:numPr>
        <w:tabs>
          <w:tab w:val="clear" w:pos="720"/>
        </w:tabs>
        <w:spacing w:before="60" w:after="60" w:line="240" w:lineRule="auto"/>
        <w:ind w:left="397" w:hanging="397"/>
        <w:jc w:val="both"/>
      </w:pPr>
      <w:r w:rsidRPr="0031675F">
        <w:t xml:space="preserve">Rinse cuvette 3 times with 100% acetone and repeat sequence without the base correction, i.e.: </w:t>
      </w:r>
      <w:r w:rsidRPr="0031675F">
        <w:rPr>
          <w:b/>
        </w:rPr>
        <w:t>Params [F1]</w:t>
      </w:r>
      <w:r w:rsidRPr="0031675F">
        <w:t xml:space="preserve"> </w:t>
      </w:r>
      <w:r w:rsidRPr="0031675F">
        <w:rPr>
          <w:b/>
        </w:rPr>
        <w:sym w:font="Wingdings" w:char="F0E0"/>
      </w:r>
      <w:r w:rsidRPr="0031675F">
        <w:rPr>
          <w:b/>
        </w:rPr>
        <w:t xml:space="preserve"> Set [F2] </w:t>
      </w:r>
      <w:r w:rsidRPr="0031675F">
        <w:rPr>
          <w:b/>
        </w:rPr>
        <w:sym w:font="Wingdings" w:char="F0E0"/>
      </w:r>
      <w:r w:rsidRPr="0031675F">
        <w:rPr>
          <w:b/>
        </w:rPr>
        <w:t xml:space="preserve"> CHLOA [5] </w:t>
      </w:r>
      <w:r w:rsidRPr="0031675F">
        <w:rPr>
          <w:b/>
        </w:rPr>
        <w:sym w:font="Wingdings" w:char="F0E0"/>
      </w:r>
      <w:r w:rsidRPr="0031675F">
        <w:rPr>
          <w:b/>
        </w:rPr>
        <w:t xml:space="preserve"> [Enter] </w:t>
      </w:r>
      <w:r w:rsidRPr="0031675F">
        <w:rPr>
          <w:b/>
        </w:rPr>
        <w:sym w:font="Wingdings" w:char="F0E0"/>
      </w:r>
      <w:r w:rsidRPr="0031675F">
        <w:rPr>
          <w:b/>
        </w:rPr>
        <w:t xml:space="preserve"> MeasDisp [F3] </w:t>
      </w:r>
      <w:r w:rsidRPr="0031675F">
        <w:rPr>
          <w:b/>
        </w:rPr>
        <w:sym w:font="Wingdings" w:char="F0E0"/>
      </w:r>
      <w:r w:rsidRPr="0031675F">
        <w:rPr>
          <w:b/>
        </w:rPr>
        <w:t xml:space="preserve"> [Enter]</w:t>
      </w:r>
      <w:r w:rsidRPr="0031675F">
        <w:t>.</w:t>
      </w:r>
    </w:p>
    <w:p w14:paraId="3616E040" w14:textId="77777777" w:rsidR="0031675F" w:rsidRPr="0031675F" w:rsidRDefault="0031675F" w:rsidP="0031675F"/>
    <w:p w14:paraId="26A5B837" w14:textId="77777777" w:rsidR="0031675F" w:rsidRPr="0031675F" w:rsidRDefault="0031675F" w:rsidP="0031675F">
      <w:r w:rsidRPr="0031675F">
        <w:t xml:space="preserve">Note: The OD 664 before acidification should be between 0.1 and 0.8. For concentrated extracts (above 0.8) dilute sample </w:t>
      </w:r>
      <w:smartTag w:uri="urn:schemas-microsoft-com:office:smarttags" w:element="time">
        <w:smartTagPr>
          <w:attr w:name="Minute" w:val="10"/>
          <w:attr w:name="Hour" w:val="13"/>
        </w:smartTagPr>
        <w:r w:rsidRPr="0031675F">
          <w:t>1:10</w:t>
        </w:r>
      </w:smartTag>
      <w:r w:rsidRPr="0031675F">
        <w:t xml:space="preserve"> before measuring absorbances.</w:t>
      </w:r>
    </w:p>
    <w:p w14:paraId="3E98DBF7" w14:textId="77777777" w:rsidR="0031675F" w:rsidRPr="0031675F" w:rsidRDefault="0031675F" w:rsidP="0031675F"/>
    <w:p w14:paraId="093B5F3C" w14:textId="77777777" w:rsidR="0031675F" w:rsidRPr="0031675F" w:rsidRDefault="0031675F" w:rsidP="0031675F">
      <w:pPr>
        <w:rPr>
          <w:b/>
        </w:rPr>
      </w:pPr>
      <w:r w:rsidRPr="0031675F">
        <w:rPr>
          <w:b/>
        </w:rPr>
        <w:br w:type="page"/>
        <w:t>Calculations</w:t>
      </w:r>
    </w:p>
    <w:p w14:paraId="45C145BB" w14:textId="77777777" w:rsidR="0031675F" w:rsidRPr="0031675F" w:rsidRDefault="0031675F" w:rsidP="0031675F">
      <w:pPr>
        <w:rPr>
          <w:lang w:val="en-US"/>
        </w:rPr>
      </w:pPr>
    </w:p>
    <w:p w14:paraId="229CF4F9" w14:textId="77777777" w:rsidR="0031675F" w:rsidRPr="0031675F" w:rsidRDefault="0031675F" w:rsidP="0031675F">
      <w:pPr>
        <w:rPr>
          <w:lang w:val="en-US"/>
        </w:rPr>
      </w:pPr>
      <w:r w:rsidRPr="0031675F">
        <w:rPr>
          <w:lang w:val="en-US"/>
        </w:rPr>
        <w:t xml:space="preserve">Subtract the 750 nm OD value from the readings before (OD 664 nm) and after acidification (OD 665 nm). </w:t>
      </w:r>
    </w:p>
    <w:p w14:paraId="7A6EA65B" w14:textId="77777777" w:rsidR="0031675F" w:rsidRPr="0031675F" w:rsidRDefault="0031675F" w:rsidP="0031675F">
      <w:pPr>
        <w:rPr>
          <w:lang w:val="en-US"/>
        </w:rPr>
      </w:pPr>
    </w:p>
    <w:p w14:paraId="01F0F037" w14:textId="77777777" w:rsidR="0031675F" w:rsidRPr="0031675F" w:rsidRDefault="0031675F" w:rsidP="0031675F">
      <w:pPr>
        <w:rPr>
          <w:lang w:val="en-US"/>
        </w:rPr>
      </w:pPr>
      <w:r w:rsidRPr="0031675F">
        <w:rPr>
          <w:lang w:val="en-US"/>
        </w:rPr>
        <w:t xml:space="preserve">Using the corrected values calculate chlorophyll </w:t>
      </w:r>
      <w:r w:rsidRPr="0031675F">
        <w:rPr>
          <w:i/>
          <w:lang w:val="en-US"/>
        </w:rPr>
        <w:t>a</w:t>
      </w:r>
      <w:r w:rsidRPr="0031675F">
        <w:rPr>
          <w:lang w:val="en-US"/>
        </w:rPr>
        <w:t xml:space="preserve"> and pheophytin </w:t>
      </w:r>
      <w:r w:rsidRPr="0031675F">
        <w:rPr>
          <w:i/>
          <w:lang w:val="en-US"/>
        </w:rPr>
        <w:t xml:space="preserve">a </w:t>
      </w:r>
      <w:r w:rsidRPr="0031675F">
        <w:rPr>
          <w:lang w:val="en-US"/>
        </w:rPr>
        <w:t>per cubic meter as follows:</w:t>
      </w:r>
    </w:p>
    <w:p w14:paraId="133C2AE6" w14:textId="77777777" w:rsidR="0031675F" w:rsidRPr="0031675F" w:rsidRDefault="0031675F" w:rsidP="0031675F">
      <w:pPr>
        <w:rPr>
          <w:lang w:val="en-US"/>
        </w:rPr>
      </w:pPr>
    </w:p>
    <w:p w14:paraId="064686E3" w14:textId="77777777" w:rsidR="0031675F" w:rsidRPr="0031675F" w:rsidRDefault="0031675F" w:rsidP="0031675F">
      <w:pPr>
        <w:rPr>
          <w:lang w:val="en-US"/>
        </w:rPr>
      </w:pPr>
      <w:r w:rsidRPr="0031675F">
        <w:rPr>
          <w:lang w:val="en-US"/>
        </w:rPr>
        <w:t xml:space="preserve">Chlorophyll </w:t>
      </w:r>
      <w:r w:rsidRPr="0031675F">
        <w:rPr>
          <w:i/>
          <w:lang w:val="en-US"/>
        </w:rPr>
        <w:t>a</w:t>
      </w:r>
      <w:r w:rsidRPr="0031675F">
        <w:rPr>
          <w:lang w:val="en-US"/>
        </w:rPr>
        <w:t>, mg/m</w:t>
      </w:r>
      <w:r w:rsidRPr="0031675F">
        <w:rPr>
          <w:vertAlign w:val="superscript"/>
          <w:lang w:val="en-US"/>
        </w:rPr>
        <w:t xml:space="preserve">3 </w:t>
      </w:r>
      <w:r w:rsidRPr="0031675F">
        <w:rPr>
          <w:lang w:val="en-US"/>
        </w:rPr>
        <w:t>= 26.7 (664</w:t>
      </w:r>
      <w:r w:rsidRPr="0031675F">
        <w:rPr>
          <w:vertAlign w:val="subscript"/>
          <w:lang w:val="en-US"/>
        </w:rPr>
        <w:t>b</w:t>
      </w:r>
      <w:r w:rsidRPr="0031675F">
        <w:rPr>
          <w:lang w:val="en-US"/>
        </w:rPr>
        <w:t xml:space="preserve"> – 665</w:t>
      </w:r>
      <w:r w:rsidRPr="0031675F">
        <w:rPr>
          <w:vertAlign w:val="subscript"/>
          <w:lang w:val="en-US"/>
        </w:rPr>
        <w:t>a</w:t>
      </w:r>
      <w:r w:rsidRPr="0031675F">
        <w:rPr>
          <w:lang w:val="en-US"/>
        </w:rPr>
        <w:t>) x V</w:t>
      </w:r>
      <w:r w:rsidRPr="0031675F">
        <w:rPr>
          <w:vertAlign w:val="subscript"/>
          <w:lang w:val="en-US"/>
        </w:rPr>
        <w:t>1</w:t>
      </w:r>
      <w:r w:rsidRPr="0031675F">
        <w:rPr>
          <w:lang w:val="en-US"/>
        </w:rPr>
        <w:t>/ V</w:t>
      </w:r>
      <w:r w:rsidRPr="0031675F">
        <w:rPr>
          <w:vertAlign w:val="subscript"/>
          <w:lang w:val="en-US"/>
        </w:rPr>
        <w:t>2</w:t>
      </w:r>
      <w:r w:rsidRPr="0031675F">
        <w:rPr>
          <w:lang w:val="en-US"/>
        </w:rPr>
        <w:t xml:space="preserve"> x L</w:t>
      </w:r>
    </w:p>
    <w:p w14:paraId="5AB167F6" w14:textId="77777777" w:rsidR="0031675F" w:rsidRPr="0031675F" w:rsidRDefault="0031675F" w:rsidP="0031675F">
      <w:pPr>
        <w:rPr>
          <w:lang w:val="en-US"/>
        </w:rPr>
      </w:pPr>
    </w:p>
    <w:p w14:paraId="62EE3CBB" w14:textId="77777777" w:rsidR="0031675F" w:rsidRPr="0031675F" w:rsidRDefault="0031675F" w:rsidP="0031675F">
      <w:pPr>
        <w:rPr>
          <w:lang w:val="en-US"/>
        </w:rPr>
      </w:pPr>
      <w:r w:rsidRPr="0031675F">
        <w:rPr>
          <w:lang w:val="en-US"/>
        </w:rPr>
        <w:t xml:space="preserve">Pheophytin </w:t>
      </w:r>
      <w:r w:rsidRPr="0031675F">
        <w:rPr>
          <w:i/>
          <w:lang w:val="en-US"/>
        </w:rPr>
        <w:t>a</w:t>
      </w:r>
      <w:r w:rsidRPr="0031675F">
        <w:rPr>
          <w:lang w:val="en-US"/>
        </w:rPr>
        <w:t>, mg/m</w:t>
      </w:r>
      <w:r w:rsidRPr="0031675F">
        <w:rPr>
          <w:vertAlign w:val="superscript"/>
          <w:lang w:val="en-US"/>
        </w:rPr>
        <w:t>3</w:t>
      </w:r>
      <w:r w:rsidRPr="0031675F">
        <w:rPr>
          <w:lang w:val="en-US"/>
        </w:rPr>
        <w:t xml:space="preserve"> = 26.7 [1.7 (665</w:t>
      </w:r>
      <w:r w:rsidRPr="0031675F">
        <w:rPr>
          <w:vertAlign w:val="subscript"/>
          <w:lang w:val="en-US"/>
        </w:rPr>
        <w:t>a</w:t>
      </w:r>
      <w:r w:rsidRPr="0031675F">
        <w:rPr>
          <w:lang w:val="en-US"/>
        </w:rPr>
        <w:t>) – 664</w:t>
      </w:r>
      <w:r w:rsidRPr="0031675F">
        <w:rPr>
          <w:vertAlign w:val="subscript"/>
          <w:lang w:val="en-US"/>
        </w:rPr>
        <w:t>b</w:t>
      </w:r>
      <w:r w:rsidRPr="0031675F">
        <w:rPr>
          <w:lang w:val="en-US"/>
        </w:rPr>
        <w:t>) x V</w:t>
      </w:r>
      <w:r w:rsidRPr="0031675F">
        <w:rPr>
          <w:vertAlign w:val="subscript"/>
          <w:lang w:val="en-US"/>
        </w:rPr>
        <w:t>1</w:t>
      </w:r>
      <w:r w:rsidRPr="0031675F">
        <w:rPr>
          <w:lang w:val="en-US"/>
        </w:rPr>
        <w:t>/ V</w:t>
      </w:r>
      <w:r w:rsidRPr="0031675F">
        <w:rPr>
          <w:vertAlign w:val="subscript"/>
          <w:lang w:val="en-US"/>
        </w:rPr>
        <w:t>2</w:t>
      </w:r>
      <w:r w:rsidRPr="0031675F">
        <w:rPr>
          <w:lang w:val="en-US"/>
        </w:rPr>
        <w:t xml:space="preserve"> x L</w:t>
      </w:r>
    </w:p>
    <w:p w14:paraId="689CAF24" w14:textId="77777777" w:rsidR="0031675F" w:rsidRPr="0031675F" w:rsidRDefault="0031675F" w:rsidP="0031675F">
      <w:pPr>
        <w:rPr>
          <w:lang w:val="en-US"/>
        </w:rPr>
      </w:pPr>
    </w:p>
    <w:p w14:paraId="5DF7F6C8" w14:textId="77777777" w:rsidR="0031675F" w:rsidRPr="0031675F" w:rsidRDefault="0031675F" w:rsidP="0031675F">
      <w:pPr>
        <w:rPr>
          <w:lang w:val="en-US"/>
        </w:rPr>
      </w:pPr>
      <w:r w:rsidRPr="0031675F">
        <w:rPr>
          <w:lang w:val="en-US"/>
        </w:rPr>
        <w:t xml:space="preserve">Where: </w:t>
      </w:r>
    </w:p>
    <w:p w14:paraId="0CC3366B" w14:textId="77777777" w:rsidR="0031675F" w:rsidRPr="0031675F" w:rsidRDefault="0031675F" w:rsidP="0031675F">
      <w:pPr>
        <w:rPr>
          <w:lang w:val="en-US"/>
        </w:rPr>
      </w:pPr>
    </w:p>
    <w:p w14:paraId="380B5F98" w14:textId="77777777" w:rsidR="0031675F" w:rsidRPr="0031675F" w:rsidRDefault="0031675F" w:rsidP="0031675F">
      <w:pPr>
        <w:rPr>
          <w:lang w:val="en-US"/>
        </w:rPr>
      </w:pPr>
      <w:r w:rsidRPr="0031675F">
        <w:rPr>
          <w:lang w:val="en-US"/>
        </w:rPr>
        <w:t>V</w:t>
      </w:r>
      <w:r w:rsidRPr="0031675F">
        <w:rPr>
          <w:vertAlign w:val="subscript"/>
          <w:lang w:val="en-US"/>
        </w:rPr>
        <w:t xml:space="preserve">1 </w:t>
      </w:r>
      <w:r w:rsidRPr="0031675F">
        <w:rPr>
          <w:lang w:val="en-US"/>
        </w:rPr>
        <w:t>= volume of extract, L,</w:t>
      </w:r>
    </w:p>
    <w:p w14:paraId="275F10F4" w14:textId="77777777" w:rsidR="0031675F" w:rsidRPr="0031675F" w:rsidRDefault="0031675F" w:rsidP="0031675F">
      <w:pPr>
        <w:rPr>
          <w:vertAlign w:val="superscript"/>
          <w:lang w:val="en-US"/>
        </w:rPr>
      </w:pPr>
      <w:r w:rsidRPr="0031675F">
        <w:rPr>
          <w:lang w:val="en-US"/>
        </w:rPr>
        <w:t>V</w:t>
      </w:r>
      <w:r w:rsidRPr="0031675F">
        <w:rPr>
          <w:vertAlign w:val="subscript"/>
          <w:lang w:val="en-US"/>
        </w:rPr>
        <w:t xml:space="preserve">2 </w:t>
      </w:r>
      <w:r w:rsidRPr="0031675F">
        <w:rPr>
          <w:lang w:val="en-US"/>
        </w:rPr>
        <w:t>= volume of sample, m</w:t>
      </w:r>
      <w:r w:rsidRPr="0031675F">
        <w:rPr>
          <w:vertAlign w:val="superscript"/>
          <w:lang w:val="en-US"/>
        </w:rPr>
        <w:t>3</w:t>
      </w:r>
    </w:p>
    <w:p w14:paraId="051A261A" w14:textId="77777777" w:rsidR="0031675F" w:rsidRPr="0031675F" w:rsidRDefault="0031675F" w:rsidP="0031675F">
      <w:pPr>
        <w:rPr>
          <w:lang w:val="en-US"/>
        </w:rPr>
      </w:pPr>
      <w:r w:rsidRPr="0031675F">
        <w:rPr>
          <w:lang w:val="en-US"/>
        </w:rPr>
        <w:t>L = light path length or width of cuvette, cm, and</w:t>
      </w:r>
    </w:p>
    <w:p w14:paraId="57347588" w14:textId="77777777" w:rsidR="0031675F" w:rsidRPr="0031675F" w:rsidRDefault="0031675F" w:rsidP="0031675F">
      <w:pPr>
        <w:rPr>
          <w:lang w:val="en-US"/>
        </w:rPr>
      </w:pPr>
      <w:r w:rsidRPr="0031675F">
        <w:rPr>
          <w:lang w:val="en-US"/>
        </w:rPr>
        <w:t>664</w:t>
      </w:r>
      <w:r w:rsidRPr="0031675F">
        <w:rPr>
          <w:vertAlign w:val="subscript"/>
          <w:lang w:val="en-US"/>
        </w:rPr>
        <w:t>b</w:t>
      </w:r>
      <w:r w:rsidRPr="0031675F">
        <w:rPr>
          <w:lang w:val="en-US"/>
        </w:rPr>
        <w:t>, 665</w:t>
      </w:r>
      <w:r w:rsidRPr="0031675F">
        <w:rPr>
          <w:vertAlign w:val="subscript"/>
          <w:lang w:val="en-US"/>
        </w:rPr>
        <w:t xml:space="preserve">a </w:t>
      </w:r>
      <w:r w:rsidRPr="0031675F">
        <w:rPr>
          <w:lang w:val="en-US"/>
        </w:rPr>
        <w:t>= optical densities of 90% acetone extract before and after acidification, respectively</w:t>
      </w:r>
    </w:p>
    <w:p w14:paraId="128DC431" w14:textId="77777777" w:rsidR="0031675F" w:rsidRPr="0031675F" w:rsidRDefault="0031675F" w:rsidP="0031675F">
      <w:pPr>
        <w:rPr>
          <w:lang w:val="en-US"/>
        </w:rPr>
      </w:pPr>
    </w:p>
    <w:p w14:paraId="63AC40D9" w14:textId="77777777" w:rsidR="0031675F" w:rsidRPr="0031675F" w:rsidRDefault="0031675F" w:rsidP="0031675F">
      <w:pPr>
        <w:rPr>
          <w:lang w:val="en-US"/>
        </w:rPr>
      </w:pPr>
      <w:r w:rsidRPr="0031675F">
        <w:rPr>
          <w:lang w:val="en-US"/>
        </w:rPr>
        <w:t>The value 26.7 is the absorbance correction and equals A x K</w:t>
      </w:r>
    </w:p>
    <w:p w14:paraId="6240B5BF" w14:textId="77777777" w:rsidR="0031675F" w:rsidRPr="0031675F" w:rsidRDefault="0031675F" w:rsidP="0031675F">
      <w:pPr>
        <w:rPr>
          <w:lang w:val="en-US"/>
        </w:rPr>
      </w:pPr>
    </w:p>
    <w:p w14:paraId="67895652" w14:textId="77777777" w:rsidR="0031675F" w:rsidRPr="0031675F" w:rsidRDefault="0031675F" w:rsidP="0031675F">
      <w:pPr>
        <w:rPr>
          <w:lang w:val="en-US"/>
        </w:rPr>
      </w:pPr>
      <w:r w:rsidRPr="0031675F">
        <w:rPr>
          <w:lang w:val="en-US"/>
        </w:rPr>
        <w:t>Where:</w:t>
      </w:r>
    </w:p>
    <w:p w14:paraId="1AC1843F" w14:textId="77777777" w:rsidR="0031675F" w:rsidRPr="0031675F" w:rsidRDefault="0031675F" w:rsidP="0031675F">
      <w:pPr>
        <w:rPr>
          <w:lang w:val="en-US"/>
        </w:rPr>
      </w:pPr>
    </w:p>
    <w:p w14:paraId="0CFB336A" w14:textId="77777777" w:rsidR="0031675F" w:rsidRPr="0031675F" w:rsidRDefault="0031675F" w:rsidP="0031675F">
      <w:pPr>
        <w:rPr>
          <w:lang w:val="en-US"/>
        </w:rPr>
      </w:pPr>
      <w:r w:rsidRPr="0031675F">
        <w:rPr>
          <w:lang w:val="en-US"/>
        </w:rPr>
        <w:t xml:space="preserve">A = absorbance coefficient for chlorophyll </w:t>
      </w:r>
      <w:r w:rsidRPr="0031675F">
        <w:rPr>
          <w:i/>
          <w:lang w:val="en-US"/>
        </w:rPr>
        <w:t>a</w:t>
      </w:r>
      <w:r w:rsidRPr="0031675F">
        <w:rPr>
          <w:lang w:val="en-US"/>
        </w:rPr>
        <w:t xml:space="preserve"> at 664 nm = 11.0, and</w:t>
      </w:r>
    </w:p>
    <w:p w14:paraId="1BF02AC6" w14:textId="77777777" w:rsidR="0031675F" w:rsidRPr="0031675F" w:rsidRDefault="0031675F" w:rsidP="0031675F">
      <w:pPr>
        <w:rPr>
          <w:lang w:val="en-US"/>
        </w:rPr>
      </w:pPr>
      <w:r w:rsidRPr="0031675F">
        <w:rPr>
          <w:lang w:val="en-US"/>
        </w:rPr>
        <w:t>K = ratio expressing correction for acidification.</w:t>
      </w:r>
    </w:p>
    <w:p w14:paraId="67A5A96C" w14:textId="77777777" w:rsidR="0031675F" w:rsidRPr="0031675F" w:rsidRDefault="0031675F" w:rsidP="0031675F">
      <w:pPr>
        <w:rPr>
          <w:lang w:val="en-US"/>
        </w:rPr>
      </w:pPr>
    </w:p>
    <w:p w14:paraId="5961769D" w14:textId="77777777" w:rsidR="0031675F" w:rsidRPr="0031675F" w:rsidRDefault="0031675F" w:rsidP="0031675F">
      <w:pPr>
        <w:rPr>
          <w:u w:val="single"/>
          <w:lang w:val="en-US"/>
        </w:rPr>
      </w:pPr>
      <w:r w:rsidRPr="0031675F">
        <w:rPr>
          <w:lang w:val="en-US"/>
        </w:rPr>
        <w:t>=</w:t>
      </w:r>
      <w:r w:rsidRPr="0031675F">
        <w:rPr>
          <w:lang w:val="en-US"/>
        </w:rPr>
        <w:tab/>
        <w:t xml:space="preserve"> </w:t>
      </w:r>
      <w:r w:rsidRPr="0031675F">
        <w:rPr>
          <w:u w:val="single"/>
          <w:lang w:val="en-US"/>
        </w:rPr>
        <w:t>(664</w:t>
      </w:r>
      <w:r w:rsidRPr="0031675F">
        <w:rPr>
          <w:u w:val="single"/>
          <w:vertAlign w:val="subscript"/>
          <w:lang w:val="en-US"/>
        </w:rPr>
        <w:t>b</w:t>
      </w:r>
      <w:r w:rsidRPr="0031675F">
        <w:rPr>
          <w:u w:val="single"/>
          <w:lang w:val="en-US"/>
        </w:rPr>
        <w:t>/665</w:t>
      </w:r>
      <w:r w:rsidRPr="0031675F">
        <w:rPr>
          <w:u w:val="single"/>
          <w:vertAlign w:val="subscript"/>
          <w:lang w:val="en-US"/>
        </w:rPr>
        <w:t>a</w:t>
      </w:r>
      <w:r w:rsidRPr="0031675F">
        <w:rPr>
          <w:u w:val="single"/>
          <w:lang w:val="en-US"/>
        </w:rPr>
        <w:t xml:space="preserve">) </w:t>
      </w:r>
      <w:r w:rsidRPr="0031675F">
        <w:rPr>
          <w:i/>
          <w:u w:val="single"/>
          <w:lang w:val="en-US"/>
        </w:rPr>
        <w:t>pure chlorophyll a</w:t>
      </w:r>
    </w:p>
    <w:p w14:paraId="0B1051D6" w14:textId="77777777" w:rsidR="0031675F" w:rsidRPr="0031675F" w:rsidRDefault="0031675F" w:rsidP="0031675F">
      <w:pPr>
        <w:rPr>
          <w:lang w:val="en-US"/>
        </w:rPr>
      </w:pPr>
      <w:r w:rsidRPr="0031675F">
        <w:rPr>
          <w:lang w:val="en-US"/>
        </w:rPr>
        <w:t xml:space="preserve">  </w:t>
      </w:r>
      <w:r w:rsidRPr="0031675F">
        <w:rPr>
          <w:lang w:val="en-US"/>
        </w:rPr>
        <w:tab/>
        <w:t xml:space="preserve"> (664</w:t>
      </w:r>
      <w:r w:rsidRPr="0031675F">
        <w:rPr>
          <w:vertAlign w:val="subscript"/>
          <w:lang w:val="en-US"/>
        </w:rPr>
        <w:t>b</w:t>
      </w:r>
      <w:r w:rsidRPr="0031675F">
        <w:rPr>
          <w:lang w:val="en-US"/>
        </w:rPr>
        <w:t>/665</w:t>
      </w:r>
      <w:r w:rsidRPr="0031675F">
        <w:rPr>
          <w:vertAlign w:val="subscript"/>
          <w:lang w:val="en-US"/>
        </w:rPr>
        <w:t>a</w:t>
      </w:r>
      <w:r w:rsidRPr="0031675F">
        <w:rPr>
          <w:lang w:val="en-US"/>
        </w:rPr>
        <w:t xml:space="preserve">) </w:t>
      </w:r>
      <w:r w:rsidRPr="0031675F">
        <w:rPr>
          <w:i/>
          <w:lang w:val="en-US"/>
        </w:rPr>
        <w:t>pure chlorophyll a</w:t>
      </w:r>
      <w:r w:rsidRPr="0031675F">
        <w:rPr>
          <w:lang w:val="en-US"/>
        </w:rPr>
        <w:t xml:space="preserve"> – (664</w:t>
      </w:r>
      <w:r w:rsidRPr="0031675F">
        <w:rPr>
          <w:vertAlign w:val="subscript"/>
          <w:lang w:val="en-US"/>
        </w:rPr>
        <w:t>b</w:t>
      </w:r>
      <w:r w:rsidRPr="0031675F">
        <w:rPr>
          <w:lang w:val="en-US"/>
        </w:rPr>
        <w:t>/665</w:t>
      </w:r>
      <w:r w:rsidRPr="0031675F">
        <w:rPr>
          <w:vertAlign w:val="subscript"/>
          <w:lang w:val="en-US"/>
        </w:rPr>
        <w:t>a</w:t>
      </w:r>
      <w:r w:rsidRPr="0031675F">
        <w:rPr>
          <w:lang w:val="en-US"/>
        </w:rPr>
        <w:t xml:space="preserve">) </w:t>
      </w:r>
      <w:r w:rsidRPr="0031675F">
        <w:rPr>
          <w:i/>
          <w:lang w:val="en-US"/>
        </w:rPr>
        <w:t>pure pheophytin a</w:t>
      </w:r>
    </w:p>
    <w:p w14:paraId="0C202855" w14:textId="77777777" w:rsidR="0031675F" w:rsidRPr="0031675F" w:rsidRDefault="0031675F" w:rsidP="0031675F">
      <w:pPr>
        <w:rPr>
          <w:lang w:val="en-US"/>
        </w:rPr>
      </w:pPr>
    </w:p>
    <w:p w14:paraId="48B7F116" w14:textId="77777777" w:rsidR="0031675F" w:rsidRPr="0031675F" w:rsidRDefault="0031675F" w:rsidP="0031675F">
      <w:pPr>
        <w:rPr>
          <w:lang w:val="en-US"/>
        </w:rPr>
      </w:pPr>
      <w:r w:rsidRPr="0031675F">
        <w:rPr>
          <w:lang w:val="en-US"/>
        </w:rPr>
        <w:t>= 1.7/ 1.7-1.0 = 2.43</w:t>
      </w:r>
    </w:p>
    <w:p w14:paraId="53A8B946" w14:textId="77777777" w:rsidR="0031675F" w:rsidRPr="0031675F" w:rsidRDefault="0031675F" w:rsidP="0031675F">
      <w:pPr>
        <w:rPr>
          <w:lang w:val="en-US"/>
        </w:rPr>
      </w:pPr>
    </w:p>
    <w:p w14:paraId="0AD89BEF" w14:textId="77777777" w:rsidR="0031675F" w:rsidRPr="0031675F" w:rsidRDefault="0031675F" w:rsidP="0031675F">
      <w:pPr>
        <w:shd w:val="clear" w:color="auto" w:fill="D9D9D9"/>
        <w:tabs>
          <w:tab w:val="left" w:pos="567"/>
        </w:tabs>
        <w:rPr>
          <w:b/>
        </w:rPr>
      </w:pPr>
      <w:r w:rsidRPr="0031675F">
        <w:rPr>
          <w:b/>
        </w:rPr>
        <w:t>RESULTS DOCUMENTATION</w:t>
      </w:r>
    </w:p>
    <w:p w14:paraId="32E2C9B6" w14:textId="77777777" w:rsidR="0031675F" w:rsidRPr="0031675F" w:rsidRDefault="0031675F" w:rsidP="0031675F"/>
    <w:p w14:paraId="41611333" w14:textId="77777777" w:rsidR="0031675F" w:rsidRPr="0031675F" w:rsidRDefault="0031675F" w:rsidP="0031675F">
      <w:r w:rsidRPr="0031675F">
        <w:t>Report:</w:t>
      </w:r>
    </w:p>
    <w:p w14:paraId="442A5B53" w14:textId="77777777" w:rsidR="0031675F" w:rsidRPr="0031675F" w:rsidRDefault="0031675F" w:rsidP="0031675F"/>
    <w:p w14:paraId="27FE6A27" w14:textId="46F3327D" w:rsidR="0031675F" w:rsidRPr="0031675F" w:rsidRDefault="0031675F" w:rsidP="0031675F">
      <w:r w:rsidRPr="0031675F">
        <w:t>Values in the range of 0 to 10 mg</w:t>
      </w:r>
      <w:r w:rsidR="00E817CB" w:rsidRPr="00E817CB">
        <w:t xml:space="preserve"> L</w:t>
      </w:r>
      <w:r w:rsidR="00E817CB" w:rsidRPr="00E817CB">
        <w:rPr>
          <w:vertAlign w:val="superscript"/>
        </w:rPr>
        <w:t>-1</w:t>
      </w:r>
      <w:r w:rsidRPr="0031675F">
        <w:t>:</w:t>
      </w:r>
      <w:r w:rsidRPr="0031675F">
        <w:tab/>
        <w:t xml:space="preserve"> to two decimals place e.g.:  6.79 mg</w:t>
      </w:r>
      <w:r w:rsidR="00E817CB" w:rsidRPr="00E817CB">
        <w:t xml:space="preserve"> L</w:t>
      </w:r>
      <w:r w:rsidR="00E817CB" w:rsidRPr="00E817CB">
        <w:rPr>
          <w:vertAlign w:val="superscript"/>
        </w:rPr>
        <w:t>-1</w:t>
      </w:r>
    </w:p>
    <w:p w14:paraId="663B1C54" w14:textId="6BCADA48" w:rsidR="0031675F" w:rsidRPr="0031675F" w:rsidRDefault="0031675F" w:rsidP="0031675F">
      <w:r w:rsidRPr="0031675F">
        <w:t>Values in the range of 10-99 mg</w:t>
      </w:r>
      <w:r w:rsidR="00E817CB" w:rsidRPr="00E817CB">
        <w:t xml:space="preserve"> L</w:t>
      </w:r>
      <w:r w:rsidR="00E817CB" w:rsidRPr="00E817CB">
        <w:rPr>
          <w:vertAlign w:val="superscript"/>
        </w:rPr>
        <w:t>-1</w:t>
      </w:r>
      <w:r w:rsidRPr="0031675F">
        <w:t>:</w:t>
      </w:r>
      <w:r w:rsidRPr="0031675F">
        <w:tab/>
        <w:t xml:space="preserve"> to unit place e.g.: 54 mg</w:t>
      </w:r>
      <w:r w:rsidR="00E817CB" w:rsidRPr="00E817CB">
        <w:t xml:space="preserve"> L</w:t>
      </w:r>
      <w:r w:rsidR="00E817CB" w:rsidRPr="00E817CB">
        <w:rPr>
          <w:vertAlign w:val="superscript"/>
        </w:rPr>
        <w:t>-1</w:t>
      </w:r>
    </w:p>
    <w:p w14:paraId="04BAAB45" w14:textId="56D606F7" w:rsidR="0031675F" w:rsidRPr="0031675F" w:rsidRDefault="0031675F" w:rsidP="0031675F">
      <w:r w:rsidRPr="0031675F">
        <w:t>Values 100 mg</w:t>
      </w:r>
      <w:r w:rsidR="00E817CB" w:rsidRPr="00E817CB">
        <w:t xml:space="preserve"> L</w:t>
      </w:r>
      <w:r w:rsidR="00E817CB" w:rsidRPr="00E817CB">
        <w:rPr>
          <w:vertAlign w:val="superscript"/>
        </w:rPr>
        <w:t>-1</w:t>
      </w:r>
      <w:r w:rsidRPr="0031675F">
        <w:t xml:space="preserve"> or over:</w:t>
      </w:r>
      <w:r w:rsidRPr="0031675F">
        <w:tab/>
      </w:r>
      <w:r w:rsidRPr="0031675F">
        <w:tab/>
        <w:t xml:space="preserve"> to 2 significant figures e.g.: 340 mg</w:t>
      </w:r>
      <w:r w:rsidR="00E817CB" w:rsidRPr="00E817CB">
        <w:t xml:space="preserve"> L</w:t>
      </w:r>
      <w:r w:rsidR="00E817CB" w:rsidRPr="00E817CB">
        <w:rPr>
          <w:vertAlign w:val="superscript"/>
        </w:rPr>
        <w:t>-1</w:t>
      </w:r>
      <w:r w:rsidRPr="0031675F">
        <w:t>, 2500 mg</w:t>
      </w:r>
      <w:r w:rsidR="00E817CB" w:rsidRPr="00E817CB">
        <w:t xml:space="preserve"> L</w:t>
      </w:r>
      <w:r w:rsidR="00E817CB" w:rsidRPr="00E817CB">
        <w:rPr>
          <w:vertAlign w:val="superscript"/>
        </w:rPr>
        <w:t>-1</w:t>
      </w:r>
    </w:p>
    <w:p w14:paraId="08492700" w14:textId="77777777" w:rsidR="0031675F" w:rsidRPr="0031675F" w:rsidRDefault="0031675F" w:rsidP="0031675F"/>
    <w:p w14:paraId="7969CF90" w14:textId="77777777" w:rsidR="0031675F" w:rsidRPr="0031675F" w:rsidRDefault="0031675F" w:rsidP="0031675F">
      <w:r w:rsidRPr="0031675F">
        <w:t>Record results on data sheets:</w:t>
      </w:r>
    </w:p>
    <w:p w14:paraId="6B4CB9BA" w14:textId="77777777" w:rsidR="0031675F" w:rsidRPr="0031675F" w:rsidRDefault="0031675F" w:rsidP="0031675F"/>
    <w:p w14:paraId="797DFC7E" w14:textId="77777777" w:rsidR="0031675F" w:rsidRPr="0031675F" w:rsidRDefault="0031675F" w:rsidP="0031675F">
      <w:r w:rsidRPr="0031675F">
        <w:t>Results sheet 14:  Chlorophyll and Phaeophyta Analysis</w:t>
      </w:r>
    </w:p>
    <w:p w14:paraId="714C6B93" w14:textId="77777777" w:rsidR="0031675F" w:rsidRPr="0031675F" w:rsidRDefault="0031675F" w:rsidP="0031675F">
      <w:r w:rsidRPr="0031675F">
        <w:t>Results sheet 15:  Chlorophyll Standards</w:t>
      </w:r>
    </w:p>
    <w:p w14:paraId="1BC7E5B5" w14:textId="77777777" w:rsidR="0031675F" w:rsidRPr="0031675F" w:rsidRDefault="0031675F" w:rsidP="0031675F">
      <w:r w:rsidRPr="0031675F">
        <w:t>Results sheet 16:  Blank Analysis - Chlorophyll</w:t>
      </w:r>
    </w:p>
    <w:p w14:paraId="5EC41B9B" w14:textId="77777777" w:rsidR="0031675F" w:rsidRPr="0031675F" w:rsidRDefault="0031675F" w:rsidP="0031675F"/>
    <w:p w14:paraId="2463F4C2" w14:textId="77777777" w:rsidR="0031675F" w:rsidRPr="0031675F" w:rsidRDefault="0031675F" w:rsidP="0031675F">
      <w:pPr>
        <w:shd w:val="clear" w:color="auto" w:fill="D9D9D9"/>
        <w:tabs>
          <w:tab w:val="left" w:pos="567"/>
        </w:tabs>
        <w:rPr>
          <w:b/>
        </w:rPr>
      </w:pPr>
      <w:r w:rsidRPr="0031675F">
        <w:rPr>
          <w:b/>
        </w:rPr>
        <w:t>ACCEPTABLE LIMITS</w:t>
      </w:r>
    </w:p>
    <w:p w14:paraId="29B17C16" w14:textId="77777777" w:rsidR="0031675F" w:rsidRPr="0031675F" w:rsidRDefault="0031675F" w:rsidP="0031675F"/>
    <w:p w14:paraId="18F22805" w14:textId="77777777" w:rsidR="0031675F" w:rsidRPr="0031675F" w:rsidRDefault="0031675F" w:rsidP="0031675F">
      <w:r w:rsidRPr="0031675F">
        <w:t>The OD 664 before acidification should be between 0.1 and 0.8. Dilute samples where the OD is higher than this.</w:t>
      </w:r>
    </w:p>
    <w:p w14:paraId="1CF5FAFF" w14:textId="77777777" w:rsidR="0031675F" w:rsidRPr="0031675F" w:rsidRDefault="0031675F" w:rsidP="0031675F">
      <w:pPr>
        <w:rPr>
          <w:b/>
        </w:rPr>
      </w:pPr>
    </w:p>
    <w:p w14:paraId="23AABE70" w14:textId="77777777" w:rsidR="0031675F" w:rsidRPr="0031675F" w:rsidRDefault="0031675F" w:rsidP="0031675F">
      <w:r w:rsidRPr="0031675F">
        <w:br w:type="page"/>
      </w:r>
    </w:p>
    <w:p w14:paraId="68589232" w14:textId="77777777" w:rsidR="0031675F" w:rsidRPr="0031675F" w:rsidRDefault="0031675F" w:rsidP="0031675F">
      <w:pPr>
        <w:shd w:val="clear" w:color="auto" w:fill="D9D9D9"/>
        <w:tabs>
          <w:tab w:val="left" w:pos="567"/>
        </w:tabs>
        <w:rPr>
          <w:b/>
        </w:rPr>
      </w:pPr>
      <w:r w:rsidRPr="0031675F">
        <w:rPr>
          <w:b/>
        </w:rPr>
        <w:t>VERIFICATION</w:t>
      </w:r>
    </w:p>
    <w:p w14:paraId="28ED7B41" w14:textId="77777777" w:rsidR="0031675F" w:rsidRPr="0031675F" w:rsidRDefault="0031675F" w:rsidP="0031675F"/>
    <w:p w14:paraId="399E4674" w14:textId="77777777" w:rsidR="0031675F" w:rsidRPr="0031675F" w:rsidRDefault="0031675F" w:rsidP="0031675F">
      <w:r w:rsidRPr="0031675F">
        <w:t xml:space="preserve">Check spectrophotometer and method accuracy monthly with inter-laboratory standards and bimonthly with a purchased chlorophyll standard. Results should fall within 5% of standard results. </w:t>
      </w:r>
    </w:p>
    <w:p w14:paraId="0801A1D1" w14:textId="77777777" w:rsidR="0031675F" w:rsidRPr="0031675F" w:rsidRDefault="0031675F" w:rsidP="0031675F"/>
    <w:p w14:paraId="41A981F4" w14:textId="77777777" w:rsidR="0031675F" w:rsidRPr="0031675F" w:rsidRDefault="0031675F" w:rsidP="0031675F">
      <w:r w:rsidRPr="0031675F">
        <w:t>Perform a Blank Analysis monthly to check levels of contamination throughout the procedure by using at least 500 mL RO water as the sample.</w:t>
      </w:r>
    </w:p>
    <w:p w14:paraId="1EEB3BDE" w14:textId="77777777" w:rsidR="0031675F" w:rsidRPr="0031675F" w:rsidRDefault="0031675F" w:rsidP="0031675F">
      <w:r w:rsidRPr="0031675F">
        <w:t xml:space="preserve"> </w:t>
      </w:r>
    </w:p>
    <w:p w14:paraId="41647F67" w14:textId="77777777" w:rsidR="0031675F" w:rsidRPr="0031675F" w:rsidRDefault="0031675F" w:rsidP="0031675F">
      <w:r w:rsidRPr="0031675F">
        <w:t xml:space="preserve">Perform duplicate analyses on at least 10% of samples. Accept results if duplicates are within 10% of each other. </w:t>
      </w:r>
    </w:p>
    <w:p w14:paraId="47785E65" w14:textId="77777777" w:rsidR="0031675F" w:rsidRPr="0031675F" w:rsidRDefault="0031675F" w:rsidP="0031675F"/>
    <w:p w14:paraId="6FCA2992" w14:textId="77777777" w:rsidR="0031675F" w:rsidRPr="0031675F" w:rsidRDefault="0031675F" w:rsidP="0031675F">
      <w:r w:rsidRPr="0031675F">
        <w:t>For data assessment for bias precision see Section 1020 Standard Methods.</w:t>
      </w:r>
    </w:p>
    <w:p w14:paraId="39A9C0EC" w14:textId="77777777" w:rsidR="0031675F" w:rsidRPr="0031675F" w:rsidRDefault="0031675F" w:rsidP="0031675F">
      <w:pPr>
        <w:rPr>
          <w:b/>
        </w:rPr>
      </w:pPr>
    </w:p>
    <w:p w14:paraId="405AF361" w14:textId="77777777" w:rsidR="0031675F" w:rsidRPr="0031675F" w:rsidRDefault="0031675F" w:rsidP="0031675F">
      <w:pPr>
        <w:rPr>
          <w:b/>
        </w:rPr>
        <w:sectPr w:rsidR="0031675F" w:rsidRPr="0031675F" w:rsidSect="00084431">
          <w:headerReference w:type="default" r:id="rId232"/>
          <w:footerReference w:type="default" r:id="rId233"/>
          <w:pgSz w:w="11907" w:h="16840" w:code="9"/>
          <w:pgMar w:top="1418" w:right="1418" w:bottom="1418" w:left="1418" w:header="708" w:footer="708" w:gutter="0"/>
          <w:cols w:space="708"/>
          <w:docGrid w:linePitch="360"/>
        </w:sectPr>
      </w:pPr>
    </w:p>
    <w:p w14:paraId="1E9640C0" w14:textId="4A123EC2" w:rsidR="00B76705" w:rsidRDefault="00B76705" w:rsidP="00D332D9">
      <w:pPr>
        <w:pStyle w:val="Heading2"/>
        <w:numPr>
          <w:ilvl w:val="0"/>
          <w:numId w:val="0"/>
        </w:numPr>
        <w:ind w:left="284"/>
        <w:jc w:val="center"/>
      </w:pPr>
      <w:bookmarkStart w:id="762" w:name="_Toc12365651"/>
      <w:r w:rsidRPr="0031675F">
        <w:t>Appendix</w:t>
      </w:r>
      <w:r w:rsidRPr="0031675F">
        <w:rPr>
          <w:spacing w:val="-14"/>
        </w:rPr>
        <w:t xml:space="preserve"> </w:t>
      </w:r>
      <w:r w:rsidRPr="0031675F">
        <w:t>B</w:t>
      </w:r>
      <w:r>
        <w:t xml:space="preserve">11 </w:t>
      </w:r>
      <w:r w:rsidRPr="00B76705">
        <w:t>TropWater Auto-analysis methods:</w:t>
      </w:r>
      <w:r w:rsidR="00D332D9">
        <w:t xml:space="preserve"> </w:t>
      </w:r>
      <w:r w:rsidRPr="00B76705">
        <w:t>Total Suspended Solids</w:t>
      </w:r>
      <w:bookmarkEnd w:id="762"/>
    </w:p>
    <w:p w14:paraId="54E855FE" w14:textId="77777777" w:rsidR="0031675F" w:rsidRDefault="0031675F" w:rsidP="0031675F">
      <w:pPr>
        <w:jc w:val="center"/>
      </w:pPr>
    </w:p>
    <w:p w14:paraId="01B8B160" w14:textId="77777777" w:rsidR="00B76705" w:rsidRPr="0031675F" w:rsidRDefault="00B76705" w:rsidP="0031675F">
      <w:pPr>
        <w:jc w:val="center"/>
      </w:pPr>
    </w:p>
    <w:p w14:paraId="7037C318" w14:textId="77777777" w:rsidR="0031675F" w:rsidRPr="0031675F" w:rsidRDefault="0031675F" w:rsidP="0031675F">
      <w:pPr>
        <w:jc w:val="center"/>
      </w:pPr>
      <w:r w:rsidRPr="0031675F">
        <w:rPr>
          <w:noProof/>
          <w:lang w:eastAsia="en-AU"/>
        </w:rPr>
        <w:drawing>
          <wp:inline distT="0" distB="0" distL="0" distR="0" wp14:anchorId="27124C23" wp14:editId="03FFA665">
            <wp:extent cx="2291715" cy="1401445"/>
            <wp:effectExtent l="0" t="0" r="0" b="8255"/>
            <wp:docPr id="229" name="Picture 229"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234" r:link="rId189" cstate="print">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2644570C" w14:textId="77777777" w:rsidR="0031675F" w:rsidRPr="0031675F" w:rsidRDefault="0031675F" w:rsidP="0031675F">
      <w:pPr>
        <w:jc w:val="center"/>
      </w:pPr>
    </w:p>
    <w:p w14:paraId="26CC2D6B" w14:textId="77777777" w:rsidR="0031675F" w:rsidRPr="0031675F" w:rsidRDefault="0031675F" w:rsidP="0031675F">
      <w:pPr>
        <w:jc w:val="center"/>
      </w:pPr>
    </w:p>
    <w:p w14:paraId="01F73558" w14:textId="77777777" w:rsidR="0031675F" w:rsidRPr="0031675F" w:rsidRDefault="0031675F" w:rsidP="0031675F">
      <w:pPr>
        <w:jc w:val="center"/>
        <w:rPr>
          <w:rFonts w:cs="Arial"/>
        </w:rPr>
      </w:pPr>
    </w:p>
    <w:p w14:paraId="03C631C9" w14:textId="77777777" w:rsidR="0031675F" w:rsidRPr="0031675F" w:rsidRDefault="0031675F" w:rsidP="0031675F"/>
    <w:p w14:paraId="6570A411" w14:textId="77777777" w:rsidR="0031675F" w:rsidRPr="0031675F" w:rsidRDefault="0031675F" w:rsidP="0031675F">
      <w:pPr>
        <w:rPr>
          <w:b/>
        </w:rPr>
      </w:pPr>
    </w:p>
    <w:p w14:paraId="2D530BEA" w14:textId="77777777" w:rsidR="0031675F" w:rsidRPr="0031675F" w:rsidRDefault="0031675F" w:rsidP="0031675F">
      <w:pPr>
        <w:rPr>
          <w:b/>
        </w:rPr>
        <w:sectPr w:rsidR="0031675F" w:rsidRPr="0031675F" w:rsidSect="00084431">
          <w:headerReference w:type="default" r:id="rId235"/>
          <w:footerReference w:type="default" r:id="rId236"/>
          <w:pgSz w:w="11907" w:h="16840" w:code="9"/>
          <w:pgMar w:top="1418" w:right="1418" w:bottom="1418" w:left="1418" w:header="709" w:footer="709" w:gutter="0"/>
          <w:cols w:space="708"/>
          <w:vAlign w:val="center"/>
          <w:docGrid w:linePitch="360"/>
        </w:sectPr>
      </w:pPr>
    </w:p>
    <w:p w14:paraId="65FCE234" w14:textId="77777777" w:rsidR="0031675F" w:rsidRPr="0031675F" w:rsidRDefault="0031675F" w:rsidP="0031675F">
      <w:pPr>
        <w:rPr>
          <w:b/>
          <w:sz w:val="28"/>
          <w:szCs w:val="28"/>
        </w:rPr>
      </w:pPr>
      <w:r w:rsidRPr="0031675F">
        <w:rPr>
          <w:b/>
          <w:sz w:val="28"/>
          <w:szCs w:val="28"/>
        </w:rPr>
        <w:t>Total Suspended Solids (TSS)</w:t>
      </w:r>
    </w:p>
    <w:p w14:paraId="317EC8B2" w14:textId="77777777" w:rsidR="0031675F" w:rsidRPr="0031675F" w:rsidRDefault="0031675F" w:rsidP="0031675F">
      <w:pPr>
        <w:shd w:val="clear" w:color="auto" w:fill="D9D9D9"/>
        <w:tabs>
          <w:tab w:val="left" w:pos="567"/>
        </w:tabs>
        <w:rPr>
          <w:b/>
        </w:rPr>
      </w:pPr>
      <w:r w:rsidRPr="0031675F">
        <w:rPr>
          <w:b/>
        </w:rPr>
        <w:t>DEFINITION</w:t>
      </w:r>
    </w:p>
    <w:p w14:paraId="67E62C67" w14:textId="77777777" w:rsidR="0031675F" w:rsidRPr="0031675F" w:rsidRDefault="0031675F" w:rsidP="0031675F"/>
    <w:p w14:paraId="04426029" w14:textId="77777777" w:rsidR="0031675F" w:rsidRPr="0031675F" w:rsidRDefault="0031675F" w:rsidP="0031675F">
      <w:r w:rsidRPr="0031675F">
        <w:t>Suspended solids refers to any matter suspended in water or wastewater. Solids may affect water or effluent quality adversely in a number of ways. Waters high in suspended solids may be aesthetically unsatisfactory for such purposes as drinking or bathing. Solids analyses are important in the control of biological and physical wastewater treatment processes and for assessing compliance with regulatory agency wastewater effluent limitations.</w:t>
      </w:r>
    </w:p>
    <w:p w14:paraId="016FB839" w14:textId="77777777" w:rsidR="0031675F" w:rsidRPr="0031675F" w:rsidRDefault="0031675F" w:rsidP="0031675F"/>
    <w:p w14:paraId="35FB2671" w14:textId="77777777" w:rsidR="0031675F" w:rsidRPr="0031675F" w:rsidRDefault="0031675F" w:rsidP="0031675F">
      <w:r w:rsidRPr="0031675F">
        <w:t>“Total suspended solids” or TSS comprise the portion of total solids retained by a filter.</w:t>
      </w:r>
    </w:p>
    <w:p w14:paraId="7EFE9EAE" w14:textId="77777777" w:rsidR="0031675F" w:rsidRPr="0031675F" w:rsidRDefault="0031675F" w:rsidP="0031675F"/>
    <w:p w14:paraId="091A7885" w14:textId="77777777" w:rsidR="0031675F" w:rsidRPr="0031675F" w:rsidRDefault="0031675F" w:rsidP="0031675F">
      <w:pPr>
        <w:rPr>
          <w:b/>
        </w:rPr>
      </w:pPr>
      <w:r w:rsidRPr="0031675F">
        <w:rPr>
          <w:b/>
        </w:rPr>
        <w:t>Sources of error and variability</w:t>
      </w:r>
    </w:p>
    <w:p w14:paraId="578E2ACE" w14:textId="77777777" w:rsidR="0031675F" w:rsidRPr="0031675F" w:rsidRDefault="0031675F" w:rsidP="0031675F">
      <w:pPr>
        <w:rPr>
          <w:i/>
        </w:rPr>
      </w:pPr>
    </w:p>
    <w:p w14:paraId="040D0C49" w14:textId="77777777" w:rsidR="0031675F" w:rsidRPr="0031675F" w:rsidRDefault="0031675F" w:rsidP="0031675F">
      <w:r w:rsidRPr="0031675F">
        <w:t xml:space="preserve">Sampling, sub-sampling, and pipetting may introduce serious errors. Make and keep samples homogeneous during transfer. If part of a sample adheres to the sample container, consider this in evaluating and reporting results. </w:t>
      </w:r>
    </w:p>
    <w:p w14:paraId="039D1222" w14:textId="77777777" w:rsidR="0031675F" w:rsidRPr="0031675F" w:rsidRDefault="0031675F" w:rsidP="0031675F"/>
    <w:p w14:paraId="3BCD4C03" w14:textId="77777777" w:rsidR="0031675F" w:rsidRPr="0031675F" w:rsidRDefault="0031675F" w:rsidP="0031675F">
      <w:r w:rsidRPr="0031675F">
        <w:t>The temperature at which the residue is dried has an important bearing on results, because weight losses due to volatilization of organic matter, mechanically occluded water, water crystallization, and gases from heat-induced chemical decomposition, as well as weight gains due to oxidization, depend on temperature and time of heating. Each sample requires close attention to desiccation after drying; note the characteristic of both the filtered material and dried material through the analysis. Minimize opening desiccator because moist air enters. Some solids may be stronger desiccants than those used in the desiccator and may take on water.</w:t>
      </w:r>
    </w:p>
    <w:p w14:paraId="4DE9E8A1" w14:textId="77777777" w:rsidR="0031675F" w:rsidRPr="0031675F" w:rsidRDefault="0031675F" w:rsidP="0031675F"/>
    <w:p w14:paraId="218E44A7" w14:textId="77777777" w:rsidR="0031675F" w:rsidRPr="0031675F" w:rsidRDefault="0031675F" w:rsidP="0031675F">
      <w:r w:rsidRPr="0031675F">
        <w:t>Residues dried at 103 to 105ºC may retain not only water of crystallization but also some mechanically occluded water. Because removal of occluded water is marginal at this temperature, attainment of constant weight may be very slow.</w:t>
      </w:r>
    </w:p>
    <w:p w14:paraId="69EC7E2D" w14:textId="77777777" w:rsidR="0031675F" w:rsidRPr="0031675F" w:rsidRDefault="0031675F" w:rsidP="0031675F"/>
    <w:p w14:paraId="30B17770" w14:textId="77777777" w:rsidR="0031675F" w:rsidRPr="0031675F" w:rsidRDefault="0031675F" w:rsidP="0031675F">
      <w:r w:rsidRPr="0031675F">
        <w:t>Results for residues high in oil or grease may be questionable because of the difficulty of drying to constant weight in a reasonable time.</w:t>
      </w:r>
    </w:p>
    <w:p w14:paraId="233FDD87" w14:textId="77777777" w:rsidR="0031675F" w:rsidRPr="0031675F" w:rsidRDefault="0031675F" w:rsidP="0031675F"/>
    <w:p w14:paraId="642255B7" w14:textId="77777777" w:rsidR="0031675F" w:rsidRPr="0031675F" w:rsidRDefault="0031675F" w:rsidP="0031675F">
      <w:r w:rsidRPr="0031675F">
        <w:t>To aid in quality assurance, analyse a proportion of the samples in duplicate and dry samples to a constant weight. This entails including multiple drying-cooling-weighing cycles for one batch of samples per week.</w:t>
      </w:r>
    </w:p>
    <w:p w14:paraId="143F26DF" w14:textId="77777777" w:rsidR="0031675F" w:rsidRPr="0031675F" w:rsidRDefault="0031675F" w:rsidP="0031675F"/>
    <w:p w14:paraId="55C3073C" w14:textId="77777777" w:rsidR="0031675F" w:rsidRPr="0031675F" w:rsidRDefault="0031675F" w:rsidP="0031675F">
      <w:pPr>
        <w:shd w:val="clear" w:color="auto" w:fill="D9D9D9"/>
        <w:tabs>
          <w:tab w:val="left" w:pos="567"/>
        </w:tabs>
        <w:rPr>
          <w:b/>
        </w:rPr>
      </w:pPr>
      <w:r w:rsidRPr="0031675F">
        <w:rPr>
          <w:b/>
        </w:rPr>
        <w:t>PRINCIPLE – TSS</w:t>
      </w:r>
      <w:r w:rsidRPr="0031675F">
        <w:rPr>
          <w:b/>
          <w:vertAlign w:val="subscript"/>
        </w:rPr>
        <w:t>GF/C</w:t>
      </w:r>
    </w:p>
    <w:p w14:paraId="35F97AEA" w14:textId="77777777" w:rsidR="0031675F" w:rsidRPr="0031675F" w:rsidRDefault="0031675F" w:rsidP="0031675F"/>
    <w:p w14:paraId="3EED2EFC" w14:textId="77777777" w:rsidR="0031675F" w:rsidRPr="0031675F" w:rsidRDefault="0031675F" w:rsidP="0031675F">
      <w:r w:rsidRPr="0031675F">
        <w:t xml:space="preserve">A well-mixed sample is filtered through a weighed standard glass fibre filter and the residue retained on the filter is dried to a constant weight at 103 to 105ºC. The increase in weight of the filter represents the total suspended solids. </w:t>
      </w:r>
    </w:p>
    <w:p w14:paraId="2C305A6E" w14:textId="77777777" w:rsidR="0031675F" w:rsidRPr="0031675F" w:rsidRDefault="0031675F" w:rsidP="0031675F"/>
    <w:p w14:paraId="560A027B" w14:textId="77777777" w:rsidR="0031675F" w:rsidRPr="0031675F" w:rsidRDefault="0031675F" w:rsidP="0031675F">
      <w:pPr>
        <w:rPr>
          <w:b/>
        </w:rPr>
      </w:pPr>
      <w:r w:rsidRPr="0031675F">
        <w:rPr>
          <w:b/>
        </w:rPr>
        <w:t>Interferences and Control Measures</w:t>
      </w:r>
    </w:p>
    <w:p w14:paraId="590DFE53" w14:textId="77777777" w:rsidR="0031675F" w:rsidRPr="0031675F" w:rsidRDefault="0031675F" w:rsidP="0031675F"/>
    <w:p w14:paraId="08E2A799" w14:textId="77777777" w:rsidR="0031675F" w:rsidRPr="0031675F" w:rsidRDefault="0031675F" w:rsidP="0031675F">
      <w:r w:rsidRPr="0031675F">
        <w:t>Exclude large, floating particles from the sample if it is determined that their inclusion is not desired in the final result. Because excessive residue in the filter may form a water-trapping crust and adhere to the filtration vessel wall, limit sample size to no more than 200 mg residue. For samples high in dissolved solids (e.g. marine and brackish waters) thoroughly wash the filter to ensure removal of dissolved material. Prolonged filtration times resulting from filter clogging may produce high results owing to increased colloidal materials captured on the clogged filter. When filtering less than 100 ml of sample perform replicates where possible. Measure volumes less than 250 ml using a measuring cylinder. For marine water samples and samples of known low TSS filter no less than 3 L if possible.</w:t>
      </w:r>
    </w:p>
    <w:p w14:paraId="7A444C34" w14:textId="77777777" w:rsidR="0031675F" w:rsidRPr="0031675F" w:rsidRDefault="0031675F" w:rsidP="0031675F"/>
    <w:p w14:paraId="292C6CDD" w14:textId="77777777" w:rsidR="0031675F" w:rsidRPr="0031675F" w:rsidRDefault="0031675F" w:rsidP="0031675F">
      <w:pPr>
        <w:shd w:val="clear" w:color="auto" w:fill="D9D9D9"/>
        <w:tabs>
          <w:tab w:val="left" w:pos="567"/>
        </w:tabs>
        <w:rPr>
          <w:b/>
        </w:rPr>
      </w:pPr>
      <w:r w:rsidRPr="0031675F">
        <w:rPr>
          <w:b/>
        </w:rPr>
        <w:t xml:space="preserve">SAMPLING AND STORAGE </w:t>
      </w:r>
    </w:p>
    <w:p w14:paraId="28592B6F" w14:textId="77777777" w:rsidR="0031675F" w:rsidRPr="0031675F" w:rsidRDefault="0031675F" w:rsidP="0031675F"/>
    <w:p w14:paraId="7FE4104C" w14:textId="77777777" w:rsidR="0031675F" w:rsidRPr="0031675F" w:rsidRDefault="0031675F" w:rsidP="0031675F">
      <w:r w:rsidRPr="0031675F">
        <w:t xml:space="preserve">Use resistant glass or plastic bottles provided that the material in suspension does not adhere to the container walls. Begin analysis as soon as possible because of the impracticality of preserving the sample. Refrigerate sample at 0 to 4 ºC up to the time of analysis to minimize microbiological decomposition of solids. It is preferable to analyse the samples within 24 hours of collection. In this holding period can not be met due to field work commitments or otherwise, the sample should not be held for more that 7 days. Bring samples to room temperature before analysis. </w:t>
      </w:r>
    </w:p>
    <w:p w14:paraId="6B521EAE" w14:textId="77777777" w:rsidR="0031675F" w:rsidRPr="0031675F" w:rsidRDefault="0031675F" w:rsidP="0031675F"/>
    <w:p w14:paraId="486FE8C7" w14:textId="77777777" w:rsidR="0031675F" w:rsidRPr="0031675F" w:rsidRDefault="0031675F" w:rsidP="0031675F">
      <w:pPr>
        <w:keepNext/>
        <w:shd w:val="clear" w:color="auto" w:fill="D9D9D9"/>
        <w:tabs>
          <w:tab w:val="left" w:pos="567"/>
        </w:tabs>
        <w:rPr>
          <w:b/>
        </w:rPr>
      </w:pPr>
      <w:r w:rsidRPr="0031675F">
        <w:rPr>
          <w:b/>
        </w:rPr>
        <w:t xml:space="preserve">PROCEDURE  </w:t>
      </w:r>
    </w:p>
    <w:p w14:paraId="084205F8" w14:textId="77777777" w:rsidR="0031675F" w:rsidRPr="0031675F" w:rsidRDefault="0031675F" w:rsidP="0031675F">
      <w:pPr>
        <w:keepNext/>
      </w:pPr>
    </w:p>
    <w:p w14:paraId="67EBAF3E" w14:textId="77777777" w:rsidR="0031675F" w:rsidRPr="0031675F" w:rsidRDefault="0031675F" w:rsidP="0031675F">
      <w:pPr>
        <w:rPr>
          <w:b/>
        </w:rPr>
      </w:pPr>
      <w:r w:rsidRPr="0031675F">
        <w:rPr>
          <w:b/>
        </w:rPr>
        <w:t>Laboratory Apparatus</w:t>
      </w:r>
    </w:p>
    <w:p w14:paraId="57AEC78C" w14:textId="77777777" w:rsidR="0031675F" w:rsidRPr="0031675F" w:rsidRDefault="0031675F" w:rsidP="0031675F"/>
    <w:p w14:paraId="672A2085" w14:textId="77777777" w:rsidR="0031675F" w:rsidRPr="0031675F" w:rsidRDefault="0031675F" w:rsidP="0031675F">
      <w:pPr>
        <w:numPr>
          <w:ilvl w:val="0"/>
          <w:numId w:val="191"/>
        </w:numPr>
        <w:spacing w:before="0" w:after="0" w:line="240" w:lineRule="auto"/>
        <w:ind w:left="284" w:hanging="284"/>
        <w:jc w:val="both"/>
      </w:pPr>
      <w:r w:rsidRPr="0031675F">
        <w:t>250 ml measuring cylinder</w:t>
      </w:r>
    </w:p>
    <w:p w14:paraId="562E8647" w14:textId="77777777" w:rsidR="0031675F" w:rsidRPr="0031675F" w:rsidRDefault="0031675F" w:rsidP="0031675F">
      <w:pPr>
        <w:numPr>
          <w:ilvl w:val="0"/>
          <w:numId w:val="191"/>
        </w:numPr>
        <w:spacing w:before="0" w:after="0" w:line="240" w:lineRule="auto"/>
        <w:ind w:left="284" w:hanging="284"/>
        <w:jc w:val="both"/>
      </w:pPr>
      <w:r w:rsidRPr="0031675F">
        <w:t>Filtration apparatus</w:t>
      </w:r>
    </w:p>
    <w:p w14:paraId="51E22437" w14:textId="77777777" w:rsidR="0031675F" w:rsidRPr="0031675F" w:rsidRDefault="0031675F" w:rsidP="0031675F">
      <w:pPr>
        <w:numPr>
          <w:ilvl w:val="0"/>
          <w:numId w:val="191"/>
        </w:numPr>
        <w:spacing w:before="0" w:after="0" w:line="240" w:lineRule="auto"/>
        <w:ind w:left="284" w:hanging="284"/>
        <w:jc w:val="both"/>
      </w:pPr>
      <w:r w:rsidRPr="0031675F">
        <w:t>ProWeigh pre-weighed filter papers, Whatman GF/C or similar quality (47 mm diameter, nominal pore size - 1.2µm)</w:t>
      </w:r>
    </w:p>
    <w:p w14:paraId="6B942453" w14:textId="77777777" w:rsidR="0031675F" w:rsidRPr="0031675F" w:rsidRDefault="0031675F" w:rsidP="0031675F">
      <w:pPr>
        <w:numPr>
          <w:ilvl w:val="0"/>
          <w:numId w:val="191"/>
        </w:numPr>
        <w:spacing w:before="0" w:after="0" w:line="240" w:lineRule="auto"/>
        <w:ind w:left="284" w:hanging="284"/>
        <w:jc w:val="both"/>
      </w:pPr>
      <w:r w:rsidRPr="0031675F">
        <w:t>Labelled dishes</w:t>
      </w:r>
    </w:p>
    <w:p w14:paraId="2D4275E5" w14:textId="77777777" w:rsidR="0031675F" w:rsidRPr="0031675F" w:rsidRDefault="0031675F" w:rsidP="0031675F">
      <w:pPr>
        <w:numPr>
          <w:ilvl w:val="0"/>
          <w:numId w:val="191"/>
        </w:numPr>
        <w:spacing w:before="0" w:after="0" w:line="240" w:lineRule="auto"/>
        <w:ind w:left="284" w:hanging="284"/>
        <w:jc w:val="both"/>
      </w:pPr>
      <w:r w:rsidRPr="0031675F">
        <w:t>Measuring cylinder</w:t>
      </w:r>
    </w:p>
    <w:p w14:paraId="69B1A1D7" w14:textId="77777777" w:rsidR="0031675F" w:rsidRPr="0031675F" w:rsidRDefault="0031675F" w:rsidP="0031675F">
      <w:pPr>
        <w:numPr>
          <w:ilvl w:val="0"/>
          <w:numId w:val="191"/>
        </w:numPr>
        <w:spacing w:before="0" w:after="0" w:line="240" w:lineRule="auto"/>
        <w:ind w:left="284" w:hanging="284"/>
        <w:jc w:val="both"/>
      </w:pPr>
      <w:r w:rsidRPr="0031675F">
        <w:t>Rinse bottles</w:t>
      </w:r>
    </w:p>
    <w:p w14:paraId="5E9A922A" w14:textId="77777777" w:rsidR="0031675F" w:rsidRPr="0031675F" w:rsidRDefault="0031675F" w:rsidP="0031675F">
      <w:pPr>
        <w:numPr>
          <w:ilvl w:val="0"/>
          <w:numId w:val="191"/>
        </w:numPr>
        <w:spacing w:before="0" w:after="0" w:line="240" w:lineRule="auto"/>
        <w:ind w:left="284" w:hanging="284"/>
        <w:jc w:val="both"/>
      </w:pPr>
      <w:r w:rsidRPr="0031675F">
        <w:t>Drying Oven for operation at 103 to 105ºC</w:t>
      </w:r>
    </w:p>
    <w:p w14:paraId="6AE64606" w14:textId="77777777" w:rsidR="0031675F" w:rsidRPr="0031675F" w:rsidRDefault="0031675F" w:rsidP="0031675F">
      <w:pPr>
        <w:numPr>
          <w:ilvl w:val="0"/>
          <w:numId w:val="191"/>
        </w:numPr>
        <w:spacing w:before="0" w:after="0" w:line="240" w:lineRule="auto"/>
        <w:ind w:left="284" w:hanging="284"/>
        <w:jc w:val="both"/>
      </w:pPr>
      <w:r w:rsidRPr="0031675F">
        <w:t>Fine forceps (light weight, broad ended to prevent spiking the filter (e.g. those used for macro-invertebrate sorting))</w:t>
      </w:r>
    </w:p>
    <w:p w14:paraId="1F193C2F" w14:textId="77777777" w:rsidR="0031675F" w:rsidRPr="0031675F" w:rsidRDefault="0031675F" w:rsidP="0031675F">
      <w:pPr>
        <w:numPr>
          <w:ilvl w:val="0"/>
          <w:numId w:val="191"/>
        </w:numPr>
        <w:spacing w:before="0" w:after="0" w:line="240" w:lineRule="auto"/>
        <w:ind w:left="284" w:hanging="284"/>
        <w:jc w:val="both"/>
      </w:pPr>
      <w:r w:rsidRPr="0031675F">
        <w:t>Analytical balance, capable of weighing to 0.1 mg</w:t>
      </w:r>
    </w:p>
    <w:p w14:paraId="26268F0C" w14:textId="77777777" w:rsidR="0031675F" w:rsidRPr="0031675F" w:rsidRDefault="0031675F" w:rsidP="0031675F"/>
    <w:p w14:paraId="304A8D23" w14:textId="77777777" w:rsidR="0031675F" w:rsidRPr="0031675F" w:rsidRDefault="0031675F" w:rsidP="0031675F">
      <w:pPr>
        <w:rPr>
          <w:b/>
        </w:rPr>
      </w:pPr>
      <w:r w:rsidRPr="0031675F">
        <w:rPr>
          <w:b/>
        </w:rPr>
        <w:t>Method</w:t>
      </w:r>
    </w:p>
    <w:p w14:paraId="37154006" w14:textId="77777777" w:rsidR="0031675F" w:rsidRPr="0031675F" w:rsidRDefault="0031675F" w:rsidP="0031675F"/>
    <w:p w14:paraId="4545E485" w14:textId="77777777" w:rsidR="0031675F" w:rsidRPr="0031675F" w:rsidRDefault="0031675F" w:rsidP="0031675F">
      <w:r w:rsidRPr="0031675F">
        <w:t>ProWeigh pre-weighed filter papers are to be used, but if these are unavailable, Whatman GF/C or similar quality filters are to be used and have their weight determined as outlined below.</w:t>
      </w:r>
    </w:p>
    <w:p w14:paraId="255CA0F4" w14:textId="77777777" w:rsidR="0031675F" w:rsidRPr="0031675F" w:rsidRDefault="0031675F" w:rsidP="0031675F"/>
    <w:p w14:paraId="6D9773EC" w14:textId="77777777" w:rsidR="0031675F" w:rsidRPr="0031675F" w:rsidRDefault="0031675F" w:rsidP="0031675F">
      <w:r w:rsidRPr="0031675F">
        <w:t>Determining dry filter weight:</w:t>
      </w:r>
    </w:p>
    <w:p w14:paraId="66472948" w14:textId="77777777" w:rsidR="0031675F" w:rsidRPr="0031675F" w:rsidRDefault="0031675F" w:rsidP="0031675F"/>
    <w:p w14:paraId="5307956F" w14:textId="77777777" w:rsidR="0031675F" w:rsidRPr="0031675F" w:rsidRDefault="0031675F" w:rsidP="0031675F">
      <w:pPr>
        <w:numPr>
          <w:ilvl w:val="0"/>
          <w:numId w:val="192"/>
        </w:numPr>
        <w:tabs>
          <w:tab w:val="clear" w:pos="720"/>
          <w:tab w:val="num" w:pos="426"/>
        </w:tabs>
        <w:spacing w:before="0" w:after="0" w:line="240" w:lineRule="auto"/>
        <w:ind w:left="426" w:hanging="426"/>
        <w:jc w:val="both"/>
      </w:pPr>
      <w:r w:rsidRPr="0031675F">
        <w:t xml:space="preserve">Heat clean dish carrying filter paper to 103 to 105ºC for at least 3 hours. </w:t>
      </w:r>
    </w:p>
    <w:p w14:paraId="64FC9AD7" w14:textId="77777777" w:rsidR="0031675F" w:rsidRPr="0031675F" w:rsidRDefault="0031675F" w:rsidP="0031675F">
      <w:pPr>
        <w:numPr>
          <w:ilvl w:val="0"/>
          <w:numId w:val="192"/>
        </w:numPr>
        <w:tabs>
          <w:tab w:val="clear" w:pos="720"/>
          <w:tab w:val="num" w:pos="426"/>
        </w:tabs>
        <w:spacing w:before="0" w:after="0" w:line="240" w:lineRule="auto"/>
        <w:ind w:left="426" w:hanging="426"/>
        <w:jc w:val="both"/>
      </w:pPr>
      <w:r w:rsidRPr="0031675F">
        <w:t xml:space="preserve">Store and cool dish in desiccator until needed. </w:t>
      </w:r>
    </w:p>
    <w:p w14:paraId="49CD09F0" w14:textId="77777777" w:rsidR="0031675F" w:rsidRPr="0031675F" w:rsidRDefault="0031675F" w:rsidP="0031675F">
      <w:pPr>
        <w:numPr>
          <w:ilvl w:val="0"/>
          <w:numId w:val="192"/>
        </w:numPr>
        <w:tabs>
          <w:tab w:val="clear" w:pos="720"/>
          <w:tab w:val="num" w:pos="426"/>
        </w:tabs>
        <w:spacing w:before="0" w:after="0" w:line="240" w:lineRule="auto"/>
        <w:ind w:left="426" w:hanging="426"/>
        <w:jc w:val="both"/>
      </w:pPr>
      <w:r w:rsidRPr="0031675F">
        <w:t>Once in balance room, open desiccator, remove a filter dish and close desiccator.</w:t>
      </w:r>
    </w:p>
    <w:p w14:paraId="5A03223D" w14:textId="77777777" w:rsidR="0031675F" w:rsidRPr="0031675F" w:rsidRDefault="0031675F" w:rsidP="0031675F">
      <w:pPr>
        <w:numPr>
          <w:ilvl w:val="0"/>
          <w:numId w:val="192"/>
        </w:numPr>
        <w:tabs>
          <w:tab w:val="clear" w:pos="720"/>
          <w:tab w:val="num" w:pos="426"/>
        </w:tabs>
        <w:spacing w:before="0" w:after="0" w:line="240" w:lineRule="auto"/>
        <w:ind w:left="426" w:hanging="426"/>
        <w:jc w:val="both"/>
      </w:pPr>
      <w:r w:rsidRPr="0031675F">
        <w:t>Remove filter using the forceps and place on the balance tray.</w:t>
      </w:r>
    </w:p>
    <w:p w14:paraId="45456722" w14:textId="77777777" w:rsidR="0031675F" w:rsidRPr="0031675F" w:rsidRDefault="0031675F" w:rsidP="0031675F">
      <w:pPr>
        <w:numPr>
          <w:ilvl w:val="0"/>
          <w:numId w:val="192"/>
        </w:numPr>
        <w:tabs>
          <w:tab w:val="clear" w:pos="720"/>
          <w:tab w:val="num" w:pos="426"/>
        </w:tabs>
        <w:spacing w:before="0" w:after="0" w:line="240" w:lineRule="auto"/>
        <w:ind w:left="426" w:hanging="426"/>
        <w:jc w:val="both"/>
      </w:pPr>
      <w:r w:rsidRPr="0031675F">
        <w:t>Weigh filter paper.</w:t>
      </w:r>
    </w:p>
    <w:p w14:paraId="12926F8D" w14:textId="77777777" w:rsidR="0031675F" w:rsidRPr="0031675F" w:rsidRDefault="0031675F" w:rsidP="0031675F">
      <w:pPr>
        <w:numPr>
          <w:ilvl w:val="0"/>
          <w:numId w:val="192"/>
        </w:numPr>
        <w:tabs>
          <w:tab w:val="clear" w:pos="720"/>
          <w:tab w:val="num" w:pos="426"/>
        </w:tabs>
        <w:spacing w:before="0" w:after="0" w:line="240" w:lineRule="auto"/>
        <w:ind w:left="426" w:hanging="426"/>
        <w:jc w:val="both"/>
      </w:pPr>
      <w:r w:rsidRPr="0031675F">
        <w:t>For one batch a week repeat cycle of drying, cooling, desiccating and weighing until a constant weight is obtained or until weight change is less than 4% of the previous weight or 0.5 mg whichever is less.</w:t>
      </w:r>
    </w:p>
    <w:p w14:paraId="16CE32CA" w14:textId="77777777" w:rsidR="0031675F" w:rsidRPr="0031675F" w:rsidRDefault="0031675F" w:rsidP="0031675F">
      <w:pPr>
        <w:numPr>
          <w:ilvl w:val="0"/>
          <w:numId w:val="192"/>
        </w:numPr>
        <w:tabs>
          <w:tab w:val="clear" w:pos="720"/>
          <w:tab w:val="num" w:pos="426"/>
        </w:tabs>
        <w:spacing w:before="0" w:after="0" w:line="240" w:lineRule="auto"/>
        <w:ind w:left="426" w:hanging="426"/>
        <w:jc w:val="both"/>
      </w:pPr>
      <w:r w:rsidRPr="0031675F">
        <w:t>Record weight and clean dish label in TSS analyses log book.</w:t>
      </w:r>
    </w:p>
    <w:p w14:paraId="7F7F3C8E" w14:textId="77777777" w:rsidR="0031675F" w:rsidRPr="0031675F" w:rsidRDefault="0031675F" w:rsidP="0031675F">
      <w:pPr>
        <w:numPr>
          <w:ilvl w:val="0"/>
          <w:numId w:val="192"/>
        </w:numPr>
        <w:tabs>
          <w:tab w:val="clear" w:pos="720"/>
          <w:tab w:val="num" w:pos="426"/>
        </w:tabs>
        <w:spacing w:before="0" w:after="0" w:line="240" w:lineRule="auto"/>
        <w:ind w:left="426" w:hanging="426"/>
        <w:jc w:val="both"/>
      </w:pPr>
      <w:r w:rsidRPr="0031675F">
        <w:t>Place filter back in dish and return to the desiccator.</w:t>
      </w:r>
    </w:p>
    <w:p w14:paraId="4F43173C" w14:textId="77777777" w:rsidR="0031675F" w:rsidRPr="0031675F" w:rsidRDefault="0031675F" w:rsidP="0031675F">
      <w:pPr>
        <w:numPr>
          <w:ilvl w:val="0"/>
          <w:numId w:val="192"/>
        </w:numPr>
        <w:tabs>
          <w:tab w:val="clear" w:pos="720"/>
          <w:tab w:val="num" w:pos="426"/>
        </w:tabs>
        <w:spacing w:before="0" w:after="0" w:line="240" w:lineRule="auto"/>
        <w:ind w:left="426" w:hanging="426"/>
        <w:jc w:val="both"/>
      </w:pPr>
      <w:r w:rsidRPr="0031675F">
        <w:t>For one batch per week determine filter paper purity by placing pre-weighed filter on clean filtration apparatus and washing with three successive 20 ml portions of deionized water. Remove all traces of water and repeat steps a. to h. Compare results with unwashed filter papers.</w:t>
      </w:r>
    </w:p>
    <w:p w14:paraId="5BDF382E" w14:textId="77777777" w:rsidR="0031675F" w:rsidRPr="0031675F" w:rsidRDefault="0031675F" w:rsidP="0031675F"/>
    <w:p w14:paraId="1D7B1F52" w14:textId="77777777" w:rsidR="0031675F" w:rsidRPr="0031675F" w:rsidRDefault="0031675F" w:rsidP="0031675F">
      <w:pPr>
        <w:rPr>
          <w:b/>
        </w:rPr>
      </w:pPr>
      <w:r w:rsidRPr="0031675F">
        <w:rPr>
          <w:b/>
        </w:rPr>
        <w:t>Sample filtration</w:t>
      </w:r>
    </w:p>
    <w:p w14:paraId="176D41C4" w14:textId="77777777" w:rsidR="0031675F" w:rsidRPr="0031675F" w:rsidRDefault="0031675F" w:rsidP="0031675F">
      <w:pPr>
        <w:rPr>
          <w:b/>
        </w:rPr>
      </w:pPr>
    </w:p>
    <w:p w14:paraId="5580BFCA" w14:textId="77777777" w:rsidR="0031675F" w:rsidRPr="0031675F" w:rsidRDefault="0031675F" w:rsidP="0031675F">
      <w:pPr>
        <w:numPr>
          <w:ilvl w:val="0"/>
          <w:numId w:val="193"/>
        </w:numPr>
        <w:tabs>
          <w:tab w:val="clear" w:pos="720"/>
        </w:tabs>
        <w:spacing w:before="0" w:after="0" w:line="240" w:lineRule="auto"/>
        <w:ind w:left="567" w:hanging="425"/>
        <w:jc w:val="both"/>
      </w:pPr>
      <w:r w:rsidRPr="0031675F">
        <w:t>Run samples in numerical order.</w:t>
      </w:r>
    </w:p>
    <w:p w14:paraId="474A7C14" w14:textId="77777777" w:rsidR="0031675F" w:rsidRPr="0031675F" w:rsidRDefault="0031675F" w:rsidP="0031675F">
      <w:pPr>
        <w:numPr>
          <w:ilvl w:val="0"/>
          <w:numId w:val="193"/>
        </w:numPr>
        <w:tabs>
          <w:tab w:val="clear" w:pos="720"/>
        </w:tabs>
        <w:spacing w:before="0" w:after="0" w:line="240" w:lineRule="auto"/>
        <w:ind w:left="567" w:hanging="425"/>
        <w:jc w:val="both"/>
      </w:pPr>
      <w:r w:rsidRPr="0031675F">
        <w:t>Choose a sample volume that will yield a residue between 2.5 and 200mg. Residues generally greater than 200mg are likely to adhere to the side of the filtration vessel and will result in an underestimate of suspended solids. Use a 100 ml measuring cylinder to measure volumes between 250mL &amp; 25mL.  For volumes less than 25mL, use a pipette (5mL, 10mL &amp; 20mL).</w:t>
      </w:r>
    </w:p>
    <w:p w14:paraId="0F86E0FD" w14:textId="77777777" w:rsidR="0031675F" w:rsidRPr="0031675F" w:rsidRDefault="0031675F" w:rsidP="0031675F">
      <w:pPr>
        <w:numPr>
          <w:ilvl w:val="0"/>
          <w:numId w:val="193"/>
        </w:numPr>
        <w:tabs>
          <w:tab w:val="clear" w:pos="720"/>
        </w:tabs>
        <w:spacing w:before="0" w:after="0" w:line="240" w:lineRule="auto"/>
        <w:ind w:left="567" w:hanging="425"/>
        <w:jc w:val="both"/>
      </w:pPr>
      <w:r w:rsidRPr="0031675F">
        <w:t>Use the filter papers in numerical order. Place pre-weighed filter on filtration apparatus and wet filter with a small volume of RO water and apply vacuum to seal it and check for leaks.</w:t>
      </w:r>
    </w:p>
    <w:p w14:paraId="4471F598" w14:textId="77777777" w:rsidR="0031675F" w:rsidRPr="0031675F" w:rsidRDefault="0031675F" w:rsidP="0031675F">
      <w:pPr>
        <w:numPr>
          <w:ilvl w:val="0"/>
          <w:numId w:val="193"/>
        </w:numPr>
        <w:tabs>
          <w:tab w:val="clear" w:pos="720"/>
        </w:tabs>
        <w:spacing w:before="0" w:after="0" w:line="240" w:lineRule="auto"/>
        <w:ind w:left="567" w:hanging="425"/>
        <w:jc w:val="both"/>
      </w:pPr>
      <w:r w:rsidRPr="0031675F">
        <w:t>Ensure vacuum is turned off, even when adding sample from a cylinder or pipette.</w:t>
      </w:r>
    </w:p>
    <w:p w14:paraId="62E79E16" w14:textId="77777777" w:rsidR="0031675F" w:rsidRPr="0031675F" w:rsidRDefault="0031675F" w:rsidP="0031675F">
      <w:pPr>
        <w:numPr>
          <w:ilvl w:val="0"/>
          <w:numId w:val="193"/>
        </w:numPr>
        <w:tabs>
          <w:tab w:val="clear" w:pos="720"/>
        </w:tabs>
        <w:spacing w:before="0" w:after="0" w:line="240" w:lineRule="auto"/>
        <w:ind w:left="567" w:hanging="425"/>
        <w:jc w:val="both"/>
      </w:pPr>
      <w:r w:rsidRPr="0031675F">
        <w:t>Pour a measured volume of well mixed sample into filter.  Apply sample evenly and quickly (if water samples with a high amount of fine suspended solids are added slowly to the filter a proportion of fine material (&lt;1µm) will pass through the filter – it is best to flood the filter).  Be sure to shake sample well each time before pouring or before extracting each aliquot if using a pipette.</w:t>
      </w:r>
    </w:p>
    <w:p w14:paraId="6AA891F9" w14:textId="77777777" w:rsidR="0031675F" w:rsidRPr="0031675F" w:rsidRDefault="0031675F" w:rsidP="0031675F">
      <w:pPr>
        <w:numPr>
          <w:ilvl w:val="0"/>
          <w:numId w:val="193"/>
        </w:numPr>
        <w:tabs>
          <w:tab w:val="clear" w:pos="720"/>
        </w:tabs>
        <w:spacing w:before="0" w:after="0" w:line="240" w:lineRule="auto"/>
        <w:ind w:left="567" w:hanging="425"/>
        <w:jc w:val="both"/>
      </w:pPr>
      <w:r w:rsidRPr="0031675F">
        <w:t>Apply vacuum.</w:t>
      </w:r>
    </w:p>
    <w:p w14:paraId="5FF4F172" w14:textId="77777777" w:rsidR="0031675F" w:rsidRPr="0031675F" w:rsidRDefault="0031675F" w:rsidP="0031675F">
      <w:pPr>
        <w:numPr>
          <w:ilvl w:val="0"/>
          <w:numId w:val="193"/>
        </w:numPr>
        <w:tabs>
          <w:tab w:val="clear" w:pos="720"/>
        </w:tabs>
        <w:spacing w:before="0" w:after="0" w:line="240" w:lineRule="auto"/>
        <w:ind w:left="567" w:hanging="425"/>
        <w:jc w:val="both"/>
      </w:pPr>
      <w:r w:rsidRPr="0031675F">
        <w:t>Filter as much sample as possible; however, if more than 10 minutes is required to complete filtration repeat with a lower volume.  If there is insufficient sample to repeat, the allow sample to filter completely and mark record with ‘10+’.</w:t>
      </w:r>
    </w:p>
    <w:p w14:paraId="52DF8325" w14:textId="77777777" w:rsidR="0031675F" w:rsidRPr="0031675F" w:rsidRDefault="0031675F" w:rsidP="0031675F">
      <w:pPr>
        <w:numPr>
          <w:ilvl w:val="0"/>
          <w:numId w:val="193"/>
        </w:numPr>
        <w:tabs>
          <w:tab w:val="clear" w:pos="720"/>
        </w:tabs>
        <w:spacing w:before="0" w:after="0" w:line="240" w:lineRule="auto"/>
        <w:ind w:left="567" w:hanging="425"/>
        <w:jc w:val="both"/>
      </w:pPr>
      <w:r w:rsidRPr="0031675F">
        <w:t>Record volume of sample filtered in TSS analyses log book.</w:t>
      </w:r>
    </w:p>
    <w:p w14:paraId="63B70F63" w14:textId="77777777" w:rsidR="0031675F" w:rsidRPr="0031675F" w:rsidRDefault="0031675F" w:rsidP="0031675F">
      <w:pPr>
        <w:numPr>
          <w:ilvl w:val="0"/>
          <w:numId w:val="193"/>
        </w:numPr>
        <w:tabs>
          <w:tab w:val="clear" w:pos="720"/>
        </w:tabs>
        <w:spacing w:before="0" w:after="0" w:line="240" w:lineRule="auto"/>
        <w:ind w:left="567" w:hanging="425"/>
        <w:jc w:val="both"/>
      </w:pPr>
      <w:r w:rsidRPr="0031675F">
        <w:t>After complete filtration, rinse filter and sides of manifold (and measuring cylinder if used) with a total of 50mL RO water for fresh water samples and 500mL RO water for salt water samples.</w:t>
      </w:r>
    </w:p>
    <w:p w14:paraId="00D626DB" w14:textId="77777777" w:rsidR="0031675F" w:rsidRPr="0031675F" w:rsidRDefault="0031675F" w:rsidP="0031675F">
      <w:pPr>
        <w:numPr>
          <w:ilvl w:val="0"/>
          <w:numId w:val="193"/>
        </w:numPr>
        <w:tabs>
          <w:tab w:val="clear" w:pos="720"/>
        </w:tabs>
        <w:spacing w:before="0" w:after="0" w:line="240" w:lineRule="auto"/>
        <w:ind w:left="567" w:hanging="425"/>
        <w:jc w:val="both"/>
      </w:pPr>
      <w:r w:rsidRPr="0031675F">
        <w:t>Ensure filter paper is almost dry via suction, remove and place on labelled dish.</w:t>
      </w:r>
    </w:p>
    <w:p w14:paraId="329D4386" w14:textId="77777777" w:rsidR="0031675F" w:rsidRPr="0031675F" w:rsidRDefault="0031675F" w:rsidP="0031675F"/>
    <w:p w14:paraId="56344CB6" w14:textId="77777777" w:rsidR="0031675F" w:rsidRPr="0031675F" w:rsidRDefault="0031675F" w:rsidP="0031675F">
      <w:r w:rsidRPr="0031675F">
        <w:t>Determining dry TSS weight:</w:t>
      </w:r>
    </w:p>
    <w:p w14:paraId="2F6FD013" w14:textId="77777777" w:rsidR="0031675F" w:rsidRPr="0031675F" w:rsidRDefault="0031675F" w:rsidP="0031675F">
      <w:pPr>
        <w:numPr>
          <w:ilvl w:val="0"/>
          <w:numId w:val="194"/>
        </w:numPr>
        <w:tabs>
          <w:tab w:val="clear" w:pos="720"/>
        </w:tabs>
        <w:spacing w:before="0" w:after="0" w:line="240" w:lineRule="auto"/>
        <w:ind w:left="567" w:hanging="425"/>
        <w:jc w:val="both"/>
      </w:pPr>
      <w:r w:rsidRPr="0031675F">
        <w:t>Dry filter for at least 3 hours in 103 to 105ºC oven.</w:t>
      </w:r>
    </w:p>
    <w:p w14:paraId="6F8E44E9" w14:textId="77777777" w:rsidR="0031675F" w:rsidRPr="0031675F" w:rsidRDefault="0031675F" w:rsidP="0031675F">
      <w:pPr>
        <w:numPr>
          <w:ilvl w:val="0"/>
          <w:numId w:val="194"/>
        </w:numPr>
        <w:tabs>
          <w:tab w:val="clear" w:pos="720"/>
        </w:tabs>
        <w:spacing w:before="0" w:after="0" w:line="240" w:lineRule="auto"/>
        <w:ind w:left="567" w:hanging="425"/>
        <w:jc w:val="both"/>
      </w:pPr>
      <w:r w:rsidRPr="0031675F">
        <w:t>Cool dish carrying filter in desiccator to balance temperature, and weigh filter paper and record weight.</w:t>
      </w:r>
    </w:p>
    <w:p w14:paraId="3FF6A0F2" w14:textId="77777777" w:rsidR="0031675F" w:rsidRPr="0031675F" w:rsidRDefault="0031675F" w:rsidP="0031675F">
      <w:pPr>
        <w:numPr>
          <w:ilvl w:val="0"/>
          <w:numId w:val="194"/>
        </w:numPr>
        <w:tabs>
          <w:tab w:val="clear" w:pos="720"/>
        </w:tabs>
        <w:spacing w:before="0" w:after="0" w:line="240" w:lineRule="auto"/>
        <w:ind w:left="567" w:hanging="425"/>
        <w:jc w:val="both"/>
      </w:pPr>
      <w:r w:rsidRPr="0031675F">
        <w:t>For one batch a week repeat cycle of drying, cooling, desiccating and weighing until a constant weight is obtained, or until weight change is less than 4% of previous weight or 0.5 mg, whichever is less.</w:t>
      </w:r>
    </w:p>
    <w:p w14:paraId="738938F4" w14:textId="77777777" w:rsidR="0031675F" w:rsidRPr="0031675F" w:rsidRDefault="0031675F" w:rsidP="0031675F">
      <w:pPr>
        <w:ind w:left="360"/>
      </w:pPr>
    </w:p>
    <w:p w14:paraId="725AEF0F" w14:textId="32BB367F" w:rsidR="0031675F" w:rsidRPr="0031675F" w:rsidRDefault="0031675F" w:rsidP="0031675F">
      <w:pPr>
        <w:ind w:left="720" w:hanging="720"/>
      </w:pPr>
      <w:r w:rsidRPr="0031675F">
        <w:rPr>
          <w:b/>
        </w:rPr>
        <w:t>Note:</w:t>
      </w:r>
      <w:r w:rsidRPr="0031675F">
        <w:t xml:space="preserve"> </w:t>
      </w:r>
      <w:r w:rsidRPr="0031675F">
        <w:tab/>
        <w:t>When weighing dried filter paper, be alert to change in weight due to air exposure and/or sample degradation.  Keep filter in the desiccator until weighing, carefully removing the filters and re-sealing the desiccator between each filter weighing.  Also check that silica</w:t>
      </w:r>
      <w:r w:rsidR="006B5965">
        <w:t>te</w:t>
      </w:r>
      <w:r w:rsidRPr="0031675F">
        <w:t xml:space="preserve"> beads in the desiccator are still bright blue.  If pale, change beads before use.</w:t>
      </w:r>
    </w:p>
    <w:p w14:paraId="25920D8F" w14:textId="77777777" w:rsidR="0031675F" w:rsidRPr="0031675F" w:rsidRDefault="0031675F" w:rsidP="0031675F">
      <w:pPr>
        <w:ind w:left="720" w:hanging="720"/>
      </w:pPr>
    </w:p>
    <w:p w14:paraId="6F1EEB35" w14:textId="77777777" w:rsidR="0031675F" w:rsidRPr="0031675F" w:rsidRDefault="0031675F" w:rsidP="0031675F">
      <w:pPr>
        <w:ind w:left="720" w:hanging="720"/>
      </w:pPr>
      <w:r w:rsidRPr="0031675F">
        <w:t>Refrigerate remaining sample after filtration and retain for one week if possible.</w:t>
      </w:r>
    </w:p>
    <w:p w14:paraId="10323C4E" w14:textId="77777777" w:rsidR="0031675F" w:rsidRPr="0031675F" w:rsidRDefault="0031675F" w:rsidP="0031675F">
      <w:pPr>
        <w:ind w:left="720" w:hanging="720"/>
      </w:pPr>
    </w:p>
    <w:p w14:paraId="72402D1D" w14:textId="77777777" w:rsidR="0031675F" w:rsidRPr="0031675F" w:rsidRDefault="0031675F" w:rsidP="0031675F">
      <w:pPr>
        <w:shd w:val="clear" w:color="auto" w:fill="D9D9D9"/>
        <w:tabs>
          <w:tab w:val="left" w:pos="567"/>
        </w:tabs>
        <w:rPr>
          <w:b/>
        </w:rPr>
      </w:pPr>
      <w:r w:rsidRPr="0031675F">
        <w:rPr>
          <w:b/>
        </w:rPr>
        <w:t>Blanks</w:t>
      </w:r>
    </w:p>
    <w:p w14:paraId="230F94E4" w14:textId="77777777" w:rsidR="0031675F" w:rsidRPr="0031675F" w:rsidRDefault="0031675F" w:rsidP="0031675F"/>
    <w:p w14:paraId="27CFC346" w14:textId="77777777" w:rsidR="0031675F" w:rsidRPr="0031675F" w:rsidRDefault="0031675F" w:rsidP="0031675F">
      <w:r w:rsidRPr="0031675F">
        <w:t xml:space="preserve">Analyse at least one blank filter per week.  The blank filter should be carried through the filtration process using 250mL deionized water and oven drying.  The average of the blank filter should be accounted for in the TSS calculation. </w:t>
      </w:r>
    </w:p>
    <w:p w14:paraId="6883231A" w14:textId="77777777" w:rsidR="0031675F" w:rsidRPr="0031675F" w:rsidRDefault="0031675F" w:rsidP="0031675F"/>
    <w:p w14:paraId="09E69203" w14:textId="77777777" w:rsidR="0031675F" w:rsidRPr="0031675F" w:rsidRDefault="0031675F" w:rsidP="0031675F"/>
    <w:p w14:paraId="6D7C3057" w14:textId="77777777" w:rsidR="0031675F" w:rsidRPr="0031675F" w:rsidRDefault="0031675F" w:rsidP="0031675F">
      <w:pPr>
        <w:shd w:val="clear" w:color="auto" w:fill="D9D9D9"/>
        <w:tabs>
          <w:tab w:val="left" w:pos="567"/>
        </w:tabs>
        <w:rPr>
          <w:b/>
        </w:rPr>
      </w:pPr>
      <w:r w:rsidRPr="0031675F">
        <w:rPr>
          <w:b/>
        </w:rPr>
        <w:t>Calculations</w:t>
      </w:r>
    </w:p>
    <w:p w14:paraId="50575CBC" w14:textId="77777777" w:rsidR="0031675F" w:rsidRPr="0031675F" w:rsidRDefault="0031675F" w:rsidP="0031675F">
      <w:pPr>
        <w:rPr>
          <w:lang w:val="en-US"/>
        </w:rPr>
      </w:pPr>
    </w:p>
    <w:p w14:paraId="428D7E20" w14:textId="4B6070DA" w:rsidR="0031675F" w:rsidRPr="0031675F" w:rsidRDefault="0031675F" w:rsidP="0031675F">
      <w:pPr>
        <w:rPr>
          <w:lang w:val="en-US"/>
        </w:rPr>
      </w:pPr>
      <w:r w:rsidRPr="0031675F">
        <w:rPr>
          <w:lang w:val="en-US"/>
        </w:rPr>
        <w:t>mg TSS</w:t>
      </w:r>
      <w:r w:rsidRPr="0031675F">
        <w:rPr>
          <w:vertAlign w:val="subscript"/>
          <w:lang w:val="en-US"/>
        </w:rPr>
        <w:t>GF/C</w:t>
      </w:r>
      <w:r w:rsidR="00660229" w:rsidRPr="00660229">
        <w:rPr>
          <w:rFonts w:cs="Arial"/>
          <w:spacing w:val="-1"/>
        </w:rPr>
        <w:t xml:space="preserve"> </w:t>
      </w:r>
      <w:r w:rsidR="00660229" w:rsidRPr="00E37A70">
        <w:rPr>
          <w:rFonts w:cs="Arial"/>
          <w:spacing w:val="-1"/>
        </w:rPr>
        <w:t>L</w:t>
      </w:r>
      <w:r w:rsidR="00660229" w:rsidRPr="00E37A70">
        <w:rPr>
          <w:rFonts w:cs="Arial"/>
          <w:spacing w:val="-1"/>
          <w:vertAlign w:val="superscript"/>
        </w:rPr>
        <w:t>-1</w:t>
      </w:r>
      <w:r w:rsidRPr="0031675F">
        <w:rPr>
          <w:lang w:val="en-US"/>
        </w:rPr>
        <w:t xml:space="preserve"> = ((A – B) – filter blank) x 1000</w:t>
      </w:r>
      <w:r w:rsidR="00660229">
        <w:rPr>
          <w:lang w:val="en-US"/>
        </w:rPr>
        <w:t xml:space="preserve"> </w:t>
      </w:r>
      <w:r w:rsidRPr="0031675F">
        <w:rPr>
          <w:lang w:val="en-US"/>
        </w:rPr>
        <w:t>/</w:t>
      </w:r>
      <w:r w:rsidR="00660229">
        <w:rPr>
          <w:lang w:val="en-US"/>
        </w:rPr>
        <w:t xml:space="preserve"> </w:t>
      </w:r>
      <w:r w:rsidRPr="0031675F">
        <w:rPr>
          <w:lang w:val="en-US"/>
        </w:rPr>
        <w:t>sample volume, ml</w:t>
      </w:r>
    </w:p>
    <w:p w14:paraId="492C65B2" w14:textId="77777777" w:rsidR="0031675F" w:rsidRPr="0031675F" w:rsidRDefault="0031675F" w:rsidP="0031675F">
      <w:pPr>
        <w:rPr>
          <w:lang w:val="en-US"/>
        </w:rPr>
      </w:pPr>
    </w:p>
    <w:p w14:paraId="47462FDC" w14:textId="77777777" w:rsidR="0031675F" w:rsidRPr="0031675F" w:rsidRDefault="0031675F" w:rsidP="0031675F">
      <w:pPr>
        <w:rPr>
          <w:lang w:val="en-US"/>
        </w:rPr>
      </w:pPr>
      <w:r w:rsidRPr="0031675F">
        <w:rPr>
          <w:lang w:val="en-US"/>
        </w:rPr>
        <w:t>where:</w:t>
      </w:r>
    </w:p>
    <w:p w14:paraId="6AA6EEB9" w14:textId="77777777" w:rsidR="0031675F" w:rsidRPr="0031675F" w:rsidRDefault="0031675F" w:rsidP="0031675F">
      <w:pPr>
        <w:rPr>
          <w:lang w:val="en-US"/>
        </w:rPr>
      </w:pPr>
      <w:r w:rsidRPr="0031675F">
        <w:rPr>
          <w:lang w:val="en-US"/>
        </w:rPr>
        <w:t>A = dry weight of dried residue + filter paper, mg, and</w:t>
      </w:r>
    </w:p>
    <w:p w14:paraId="21212D50" w14:textId="77777777" w:rsidR="0031675F" w:rsidRPr="0031675F" w:rsidRDefault="0031675F" w:rsidP="0031675F">
      <w:pPr>
        <w:rPr>
          <w:lang w:val="en-US"/>
        </w:rPr>
      </w:pPr>
      <w:r w:rsidRPr="0031675F">
        <w:rPr>
          <w:lang w:val="en-US"/>
        </w:rPr>
        <w:t>B = dry weight of filter, mg</w:t>
      </w:r>
    </w:p>
    <w:p w14:paraId="10D42471" w14:textId="77777777" w:rsidR="0031675F" w:rsidRPr="0031675F" w:rsidRDefault="0031675F" w:rsidP="0031675F">
      <w:pPr>
        <w:rPr>
          <w:lang w:val="en-US"/>
        </w:rPr>
      </w:pPr>
    </w:p>
    <w:p w14:paraId="3586B661" w14:textId="77777777" w:rsidR="0031675F" w:rsidRPr="0031675F" w:rsidRDefault="0031675F" w:rsidP="0031675F">
      <w:pPr>
        <w:shd w:val="clear" w:color="auto" w:fill="D9D9D9"/>
        <w:tabs>
          <w:tab w:val="left" w:pos="567"/>
        </w:tabs>
        <w:rPr>
          <w:b/>
        </w:rPr>
      </w:pPr>
      <w:r w:rsidRPr="0031675F">
        <w:rPr>
          <w:b/>
        </w:rPr>
        <w:t>RESULTS DOCUMENTATION</w:t>
      </w:r>
    </w:p>
    <w:p w14:paraId="0C0F6AFA" w14:textId="77777777" w:rsidR="0031675F" w:rsidRPr="0031675F" w:rsidRDefault="0031675F" w:rsidP="0031675F"/>
    <w:p w14:paraId="4687B417" w14:textId="77777777" w:rsidR="0031675F" w:rsidRPr="0031675F" w:rsidRDefault="0031675F" w:rsidP="0031675F">
      <w:pPr>
        <w:rPr>
          <w:b/>
        </w:rPr>
      </w:pPr>
      <w:r w:rsidRPr="0031675F">
        <w:rPr>
          <w:b/>
        </w:rPr>
        <w:t>Report:</w:t>
      </w:r>
    </w:p>
    <w:p w14:paraId="5F14A3D4" w14:textId="77777777" w:rsidR="0031675F" w:rsidRPr="0031675F" w:rsidRDefault="0031675F" w:rsidP="0031675F"/>
    <w:p w14:paraId="35DDF52D" w14:textId="4D73C4EA" w:rsidR="0031675F" w:rsidRPr="0031675F" w:rsidRDefault="0031675F" w:rsidP="0031675F">
      <w:r w:rsidRPr="0031675F">
        <w:t>Values in the range of 0 to 10 mg</w:t>
      </w:r>
      <w:r w:rsidR="00E817CB" w:rsidRPr="00E817CB">
        <w:t xml:space="preserve"> L</w:t>
      </w:r>
      <w:r w:rsidR="00E817CB" w:rsidRPr="00E817CB">
        <w:rPr>
          <w:vertAlign w:val="superscript"/>
        </w:rPr>
        <w:t>-1</w:t>
      </w:r>
      <w:r w:rsidRPr="0031675F">
        <w:t>:</w:t>
      </w:r>
      <w:r w:rsidRPr="0031675F">
        <w:tab/>
        <w:t xml:space="preserve"> to one decimal place e.g. 6.7 mg</w:t>
      </w:r>
      <w:r w:rsidR="00E817CB" w:rsidRPr="00E817CB">
        <w:t xml:space="preserve"> L</w:t>
      </w:r>
      <w:r w:rsidR="00E817CB" w:rsidRPr="00E817CB">
        <w:rPr>
          <w:vertAlign w:val="superscript"/>
        </w:rPr>
        <w:t>-1</w:t>
      </w:r>
    </w:p>
    <w:p w14:paraId="1F138E2D" w14:textId="72090CF8" w:rsidR="0031675F" w:rsidRPr="0031675F" w:rsidRDefault="0031675F" w:rsidP="0031675F">
      <w:r w:rsidRPr="0031675F">
        <w:t>Values in the range of 10-99 mg</w:t>
      </w:r>
      <w:r w:rsidR="00E817CB" w:rsidRPr="00E817CB">
        <w:t xml:space="preserve"> L</w:t>
      </w:r>
      <w:r w:rsidR="00E817CB" w:rsidRPr="00E817CB">
        <w:rPr>
          <w:vertAlign w:val="superscript"/>
        </w:rPr>
        <w:t>-1</w:t>
      </w:r>
      <w:r w:rsidRPr="0031675F">
        <w:t>:</w:t>
      </w:r>
      <w:r w:rsidRPr="0031675F">
        <w:tab/>
        <w:t xml:space="preserve"> to unit place e.g. 54 mg</w:t>
      </w:r>
      <w:r w:rsidR="00E817CB" w:rsidRPr="00E817CB">
        <w:t xml:space="preserve"> L</w:t>
      </w:r>
      <w:r w:rsidR="00E817CB" w:rsidRPr="00E817CB">
        <w:rPr>
          <w:vertAlign w:val="superscript"/>
        </w:rPr>
        <w:t>-1</w:t>
      </w:r>
    </w:p>
    <w:p w14:paraId="4C420B1F" w14:textId="06376252" w:rsidR="0031675F" w:rsidRPr="0031675F" w:rsidRDefault="0031675F" w:rsidP="0031675F">
      <w:r w:rsidRPr="0031675F">
        <w:t>Values 100 mg</w:t>
      </w:r>
      <w:r w:rsidR="00E817CB" w:rsidRPr="00E817CB">
        <w:t xml:space="preserve"> L</w:t>
      </w:r>
      <w:r w:rsidR="00E817CB" w:rsidRPr="00E817CB">
        <w:rPr>
          <w:vertAlign w:val="superscript"/>
        </w:rPr>
        <w:t>-1</w:t>
      </w:r>
      <w:r w:rsidRPr="0031675F">
        <w:t xml:space="preserve"> or over:</w:t>
      </w:r>
      <w:r w:rsidRPr="0031675F">
        <w:tab/>
      </w:r>
      <w:r w:rsidRPr="0031675F">
        <w:tab/>
        <w:t xml:space="preserve"> to 2 significant figures e.g. 340 mg</w:t>
      </w:r>
      <w:r w:rsidR="00E817CB" w:rsidRPr="00E817CB">
        <w:t xml:space="preserve"> L</w:t>
      </w:r>
      <w:r w:rsidR="00E817CB" w:rsidRPr="00E817CB">
        <w:rPr>
          <w:vertAlign w:val="superscript"/>
        </w:rPr>
        <w:t>-1</w:t>
      </w:r>
      <w:r w:rsidRPr="0031675F">
        <w:t>, 2500 mg</w:t>
      </w:r>
      <w:r w:rsidR="00E817CB" w:rsidRPr="00E817CB">
        <w:t xml:space="preserve"> L</w:t>
      </w:r>
      <w:r w:rsidR="00E817CB" w:rsidRPr="00E817CB">
        <w:rPr>
          <w:vertAlign w:val="superscript"/>
        </w:rPr>
        <w:t>-1</w:t>
      </w:r>
    </w:p>
    <w:p w14:paraId="1CB175A3" w14:textId="77777777" w:rsidR="0031675F" w:rsidRPr="0031675F" w:rsidRDefault="0031675F" w:rsidP="0031675F"/>
    <w:p w14:paraId="5EFAABBB" w14:textId="77777777" w:rsidR="0031675F" w:rsidRPr="0031675F" w:rsidRDefault="0031675F" w:rsidP="0031675F">
      <w:r w:rsidRPr="0031675F">
        <w:t>Record results on data sheets:</w:t>
      </w:r>
    </w:p>
    <w:p w14:paraId="519B03A4" w14:textId="77777777" w:rsidR="0031675F" w:rsidRPr="0031675F" w:rsidRDefault="0031675F" w:rsidP="0031675F">
      <w:r w:rsidRPr="0031675F">
        <w:t>Results sheet # Total Suspended Solids Analysis</w:t>
      </w:r>
    </w:p>
    <w:p w14:paraId="42E79B32" w14:textId="77777777" w:rsidR="0031675F" w:rsidRPr="0031675F" w:rsidRDefault="0031675F" w:rsidP="0031675F">
      <w:r w:rsidRPr="0031675F">
        <w:t>Results sheet # Total Suspended Solids Batch Blanks</w:t>
      </w:r>
    </w:p>
    <w:p w14:paraId="4A39A73A" w14:textId="77777777" w:rsidR="0031675F" w:rsidRPr="0031675F" w:rsidRDefault="0031675F" w:rsidP="0031675F">
      <w:r w:rsidRPr="0031675F">
        <w:t>Results sheet # Total Suspended Solids RO Blank</w:t>
      </w:r>
    </w:p>
    <w:p w14:paraId="20D142A6" w14:textId="77777777" w:rsidR="0031675F" w:rsidRPr="0031675F" w:rsidRDefault="0031675F" w:rsidP="0031675F"/>
    <w:p w14:paraId="16F6A755" w14:textId="77777777" w:rsidR="0031675F" w:rsidRPr="0031675F" w:rsidRDefault="0031675F" w:rsidP="0031675F">
      <w:pPr>
        <w:shd w:val="clear" w:color="auto" w:fill="D9D9D9"/>
        <w:tabs>
          <w:tab w:val="left" w:pos="567"/>
        </w:tabs>
        <w:rPr>
          <w:b/>
        </w:rPr>
      </w:pPr>
      <w:r w:rsidRPr="0031675F">
        <w:rPr>
          <w:b/>
        </w:rPr>
        <w:t>ACCEPTABLE LIMITS</w:t>
      </w:r>
    </w:p>
    <w:p w14:paraId="0F7E373B" w14:textId="77777777" w:rsidR="0031675F" w:rsidRPr="0031675F" w:rsidRDefault="0031675F" w:rsidP="0031675F"/>
    <w:p w14:paraId="7819939E" w14:textId="0FA87134" w:rsidR="0031675F" w:rsidRPr="0031675F" w:rsidRDefault="0031675F" w:rsidP="0031675F">
      <w:r w:rsidRPr="0031675F">
        <w:t>Report values above 0.2 mg</w:t>
      </w:r>
      <w:r w:rsidR="00E817CB" w:rsidRPr="00E817CB">
        <w:t xml:space="preserve"> L</w:t>
      </w:r>
      <w:r w:rsidR="00E817CB" w:rsidRPr="00E817CB">
        <w:rPr>
          <w:vertAlign w:val="superscript"/>
        </w:rPr>
        <w:t>-1</w:t>
      </w:r>
      <w:r w:rsidRPr="0031675F">
        <w:t xml:space="preserve"> on a 1</w:t>
      </w:r>
      <w:r w:rsidR="00E817CB">
        <w:t xml:space="preserve"> </w:t>
      </w:r>
      <w:r w:rsidRPr="0031675F">
        <w:t>L filtered volume basis</w:t>
      </w:r>
    </w:p>
    <w:p w14:paraId="084115A7" w14:textId="77777777" w:rsidR="0031675F" w:rsidRPr="0031675F" w:rsidRDefault="0031675F" w:rsidP="0031675F">
      <w:r w:rsidRPr="0031675F">
        <w:t xml:space="preserve"> </w:t>
      </w:r>
    </w:p>
    <w:p w14:paraId="43E867E2" w14:textId="77777777" w:rsidR="0031675F" w:rsidRPr="0031675F" w:rsidRDefault="0031675F" w:rsidP="0031675F">
      <w:pPr>
        <w:shd w:val="clear" w:color="auto" w:fill="D9D9D9"/>
        <w:tabs>
          <w:tab w:val="left" w:pos="567"/>
        </w:tabs>
        <w:rPr>
          <w:b/>
        </w:rPr>
      </w:pPr>
      <w:r w:rsidRPr="0031675F">
        <w:rPr>
          <w:b/>
        </w:rPr>
        <w:t>VERIFICATION</w:t>
      </w:r>
    </w:p>
    <w:p w14:paraId="45E61621" w14:textId="77777777" w:rsidR="0031675F" w:rsidRPr="0031675F" w:rsidRDefault="0031675F" w:rsidP="0031675F"/>
    <w:p w14:paraId="26EBBF57" w14:textId="77777777" w:rsidR="0031675F" w:rsidRPr="0031675F" w:rsidRDefault="0031675F" w:rsidP="0031675F">
      <w:r w:rsidRPr="0031675F">
        <w:t>Analyse at least 10% of all samples in duplicate. Duplicate determinations should agree within 10% of their average weight (as per APHA (2000) methods). When filtering less than 50 ml of sample perform replicates 50% of the samples.</w:t>
      </w:r>
    </w:p>
    <w:p w14:paraId="3D182DCB" w14:textId="77777777" w:rsidR="0031675F" w:rsidRPr="0031675F" w:rsidRDefault="0031675F" w:rsidP="0031675F"/>
    <w:p w14:paraId="63A19FA2" w14:textId="77777777" w:rsidR="0031675F" w:rsidRPr="0031675F" w:rsidRDefault="0031675F" w:rsidP="0031675F">
      <w:r w:rsidRPr="0031675F">
        <w:t>Sample duplicates should be marked with the appropriate symbol to indicate reason for performing repeat:</w:t>
      </w:r>
    </w:p>
    <w:p w14:paraId="4A75F05A" w14:textId="77777777" w:rsidR="0031675F" w:rsidRPr="0031675F" w:rsidRDefault="0031675F" w:rsidP="0031675F"/>
    <w:p w14:paraId="2992991E" w14:textId="77777777" w:rsidR="0031675F" w:rsidRPr="0031675F" w:rsidRDefault="0031675F" w:rsidP="0031675F">
      <w:r w:rsidRPr="0031675F">
        <w:t>R - Replicate for QC purposes</w:t>
      </w:r>
    </w:p>
    <w:p w14:paraId="7808E75E" w14:textId="77777777" w:rsidR="0031675F" w:rsidRPr="0031675F" w:rsidRDefault="0031675F" w:rsidP="0031675F">
      <w:r w:rsidRPr="0031675F">
        <w:t>RL - Repeated due to leak</w:t>
      </w:r>
    </w:p>
    <w:p w14:paraId="08A0E854" w14:textId="77777777" w:rsidR="0031675F" w:rsidRPr="0031675F" w:rsidRDefault="0031675F" w:rsidP="0031675F">
      <w:r w:rsidRPr="0031675F">
        <w:t>RV - Repeated with a lower volume</w:t>
      </w:r>
    </w:p>
    <w:p w14:paraId="1FFD96A4" w14:textId="77777777" w:rsidR="0031675F" w:rsidRPr="0031675F" w:rsidRDefault="0031675F" w:rsidP="0031675F"/>
    <w:p w14:paraId="5E88C6ED" w14:textId="77777777" w:rsidR="0031675F" w:rsidRPr="0031675F" w:rsidRDefault="0031675F" w:rsidP="0031675F">
      <w:r w:rsidRPr="0031675F">
        <w:t>Perform replicates between analysts once per month. Duplicate determinations should agree within 10% of their average weight (as per APHA (2000) methods).</w:t>
      </w:r>
    </w:p>
    <w:p w14:paraId="40445886" w14:textId="77777777" w:rsidR="0031675F" w:rsidRPr="0031675F" w:rsidRDefault="0031675F" w:rsidP="0031675F"/>
    <w:p w14:paraId="1904F223" w14:textId="77777777" w:rsidR="0031675F" w:rsidRPr="0031675F" w:rsidRDefault="0031675F" w:rsidP="0031675F">
      <w:r w:rsidRPr="0031675F">
        <w:t>Where possible continue quality assurance practices with purchased standards and inter-laboratory standards.</w:t>
      </w:r>
    </w:p>
    <w:p w14:paraId="6DC9D9F1" w14:textId="77777777" w:rsidR="0031675F" w:rsidRPr="0031675F" w:rsidRDefault="0031675F" w:rsidP="0031675F"/>
    <w:p w14:paraId="73BAD959" w14:textId="77777777" w:rsidR="0031675F" w:rsidRPr="0031675F" w:rsidRDefault="0031675F" w:rsidP="0031675F">
      <w:pPr>
        <w:shd w:val="clear" w:color="auto" w:fill="D9D9D9"/>
        <w:tabs>
          <w:tab w:val="left" w:pos="567"/>
        </w:tabs>
        <w:rPr>
          <w:b/>
        </w:rPr>
      </w:pPr>
      <w:r w:rsidRPr="0031675F">
        <w:rPr>
          <w:b/>
        </w:rPr>
        <w:t>QA STATISTICS</w:t>
      </w:r>
    </w:p>
    <w:p w14:paraId="623133A0" w14:textId="77777777" w:rsidR="0031675F" w:rsidRPr="0031675F" w:rsidRDefault="0031675F" w:rsidP="0031675F">
      <w:r w:rsidRPr="0031675F">
        <w:t>REFERENCES</w:t>
      </w:r>
    </w:p>
    <w:p w14:paraId="241C813A" w14:textId="31DB4C8C" w:rsidR="007B54B3" w:rsidRPr="004B3171" w:rsidRDefault="0031675F" w:rsidP="009521DE">
      <w:pPr>
        <w:numPr>
          <w:ilvl w:val="0"/>
          <w:numId w:val="195"/>
        </w:numPr>
        <w:tabs>
          <w:tab w:val="clear" w:pos="720"/>
          <w:tab w:val="num" w:pos="284"/>
        </w:tabs>
        <w:spacing w:before="0" w:after="0" w:line="240" w:lineRule="auto"/>
        <w:ind w:left="284" w:hanging="284"/>
        <w:contextualSpacing/>
        <w:jc w:val="both"/>
        <w:rPr>
          <w:rFonts w:cs="Arial"/>
        </w:rPr>
      </w:pPr>
      <w:r w:rsidRPr="0031675F">
        <w:t>Standard Methods for the Examination of Water and Wastewater APHA AWWA WEF 20</w:t>
      </w:r>
      <w:r w:rsidRPr="0031675F">
        <w:rPr>
          <w:vertAlign w:val="superscript"/>
        </w:rPr>
        <w:t>th</w:t>
      </w:r>
      <w:r w:rsidRPr="0031675F">
        <w:t xml:space="preserve"> Ed 1998</w:t>
      </w:r>
    </w:p>
    <w:p w14:paraId="6CDBB38A" w14:textId="77777777" w:rsidR="004B3171" w:rsidRDefault="004B3171" w:rsidP="004B3171">
      <w:pPr>
        <w:spacing w:before="0" w:after="0" w:line="240" w:lineRule="auto"/>
        <w:contextualSpacing/>
        <w:jc w:val="both"/>
      </w:pPr>
    </w:p>
    <w:p w14:paraId="4383B0FD" w14:textId="1AE0D515" w:rsidR="000C7BDF" w:rsidRDefault="000C7BDF" w:rsidP="004B3171">
      <w:pPr>
        <w:spacing w:before="0" w:after="0" w:line="240" w:lineRule="auto"/>
        <w:contextualSpacing/>
        <w:jc w:val="both"/>
      </w:pPr>
      <w:r>
        <w:br w:type="page"/>
      </w:r>
    </w:p>
    <w:p w14:paraId="78CAFE3A" w14:textId="77777777" w:rsidR="004B3171" w:rsidRDefault="004B3171" w:rsidP="004B3171">
      <w:pPr>
        <w:spacing w:before="0" w:after="0" w:line="240" w:lineRule="auto"/>
        <w:contextualSpacing/>
        <w:jc w:val="both"/>
      </w:pPr>
    </w:p>
    <w:p w14:paraId="1E880164" w14:textId="77777777" w:rsidR="004B3171" w:rsidRDefault="004B3171" w:rsidP="004B3171">
      <w:pPr>
        <w:spacing w:before="0" w:after="0" w:line="240" w:lineRule="auto"/>
        <w:contextualSpacing/>
        <w:jc w:val="both"/>
      </w:pPr>
    </w:p>
    <w:p w14:paraId="62AA18CA" w14:textId="77777777" w:rsidR="004B3171" w:rsidRDefault="004B3171" w:rsidP="004B3171">
      <w:pPr>
        <w:spacing w:before="0" w:after="0" w:line="240" w:lineRule="auto"/>
        <w:contextualSpacing/>
        <w:jc w:val="both"/>
      </w:pPr>
    </w:p>
    <w:p w14:paraId="3285F7D1" w14:textId="77777777" w:rsidR="004B3171" w:rsidRDefault="004B3171" w:rsidP="004B3171">
      <w:pPr>
        <w:spacing w:before="0" w:after="0" w:line="240" w:lineRule="auto"/>
        <w:contextualSpacing/>
        <w:jc w:val="both"/>
      </w:pPr>
    </w:p>
    <w:p w14:paraId="5880DF1F" w14:textId="77777777" w:rsidR="004B3171" w:rsidRDefault="004B3171" w:rsidP="004B3171">
      <w:pPr>
        <w:spacing w:before="0" w:after="0" w:line="240" w:lineRule="auto"/>
        <w:contextualSpacing/>
        <w:jc w:val="both"/>
      </w:pPr>
    </w:p>
    <w:p w14:paraId="34D3C114" w14:textId="77777777" w:rsidR="004B3171" w:rsidRDefault="004B3171" w:rsidP="004B3171">
      <w:pPr>
        <w:spacing w:before="0" w:after="0" w:line="240" w:lineRule="auto"/>
        <w:contextualSpacing/>
        <w:jc w:val="both"/>
      </w:pPr>
    </w:p>
    <w:p w14:paraId="3AA2E000" w14:textId="77777777" w:rsidR="004B3171" w:rsidRDefault="004B3171" w:rsidP="004B3171">
      <w:pPr>
        <w:spacing w:before="0" w:after="0" w:line="240" w:lineRule="auto"/>
        <w:contextualSpacing/>
        <w:jc w:val="both"/>
      </w:pPr>
    </w:p>
    <w:p w14:paraId="157841A2" w14:textId="77777777" w:rsidR="004B3171" w:rsidRDefault="004B3171" w:rsidP="004B3171">
      <w:pPr>
        <w:spacing w:before="0" w:after="0" w:line="240" w:lineRule="auto"/>
        <w:contextualSpacing/>
        <w:jc w:val="both"/>
      </w:pPr>
    </w:p>
    <w:p w14:paraId="417AB154" w14:textId="77777777" w:rsidR="004B3171" w:rsidRDefault="004B3171" w:rsidP="004B3171">
      <w:pPr>
        <w:spacing w:before="0" w:after="0" w:line="240" w:lineRule="auto"/>
        <w:contextualSpacing/>
        <w:jc w:val="both"/>
      </w:pPr>
    </w:p>
    <w:p w14:paraId="1AF1B650" w14:textId="77777777" w:rsidR="004B3171" w:rsidRDefault="004B3171" w:rsidP="004B3171">
      <w:pPr>
        <w:spacing w:before="0" w:after="0" w:line="240" w:lineRule="auto"/>
        <w:contextualSpacing/>
        <w:jc w:val="both"/>
      </w:pPr>
    </w:p>
    <w:p w14:paraId="45EBE9E3" w14:textId="77777777" w:rsidR="004B3171" w:rsidRDefault="004B3171" w:rsidP="004B3171">
      <w:pPr>
        <w:spacing w:before="0" w:after="0" w:line="240" w:lineRule="auto"/>
        <w:contextualSpacing/>
        <w:jc w:val="both"/>
      </w:pPr>
    </w:p>
    <w:p w14:paraId="0678869B" w14:textId="77777777" w:rsidR="004B3171" w:rsidRDefault="004B3171" w:rsidP="004B3171">
      <w:pPr>
        <w:spacing w:before="0" w:after="0" w:line="240" w:lineRule="auto"/>
        <w:contextualSpacing/>
        <w:jc w:val="both"/>
      </w:pPr>
    </w:p>
    <w:p w14:paraId="58D09351" w14:textId="77777777" w:rsidR="004B3171" w:rsidRDefault="004B3171" w:rsidP="004B3171">
      <w:pPr>
        <w:spacing w:before="0" w:after="0" w:line="240" w:lineRule="auto"/>
        <w:contextualSpacing/>
        <w:jc w:val="both"/>
      </w:pPr>
    </w:p>
    <w:p w14:paraId="54B06E4E" w14:textId="77777777" w:rsidR="004B3171" w:rsidRDefault="004B3171" w:rsidP="004B3171">
      <w:pPr>
        <w:spacing w:before="0" w:after="0" w:line="240" w:lineRule="auto"/>
        <w:contextualSpacing/>
        <w:jc w:val="both"/>
      </w:pPr>
    </w:p>
    <w:p w14:paraId="0F84850C" w14:textId="77777777" w:rsidR="004B3171" w:rsidRDefault="004B3171" w:rsidP="004B3171">
      <w:pPr>
        <w:spacing w:before="0" w:after="0" w:line="240" w:lineRule="auto"/>
        <w:contextualSpacing/>
        <w:jc w:val="both"/>
      </w:pPr>
    </w:p>
    <w:p w14:paraId="59F24C19" w14:textId="5C043C9A" w:rsidR="004B3171" w:rsidRDefault="00B76705" w:rsidP="00D332D9">
      <w:pPr>
        <w:pStyle w:val="Heading2"/>
        <w:numPr>
          <w:ilvl w:val="0"/>
          <w:numId w:val="0"/>
        </w:numPr>
        <w:ind w:left="284"/>
        <w:jc w:val="center"/>
      </w:pPr>
      <w:bookmarkStart w:id="763" w:name="_Toc12365652"/>
      <w:r w:rsidRPr="0031675F">
        <w:t>Appendix</w:t>
      </w:r>
      <w:r w:rsidRPr="0031675F">
        <w:rPr>
          <w:spacing w:val="-14"/>
        </w:rPr>
        <w:t xml:space="preserve"> </w:t>
      </w:r>
      <w:r w:rsidRPr="0031675F">
        <w:t>B</w:t>
      </w:r>
      <w:r>
        <w:t xml:space="preserve">12 </w:t>
      </w:r>
      <w:r w:rsidRPr="00B76705">
        <w:t>TropWater Auto-analysis methods:</w:t>
      </w:r>
      <w:r w:rsidR="00D332D9">
        <w:t xml:space="preserve"> </w:t>
      </w:r>
      <w:r w:rsidRPr="00B76705">
        <w:t>Colored Dissolved Organic Matter</w:t>
      </w:r>
      <w:bookmarkEnd w:id="763"/>
    </w:p>
    <w:p w14:paraId="76B4A795" w14:textId="77777777" w:rsidR="004B3171" w:rsidRDefault="004B3171" w:rsidP="004B3171">
      <w:pPr>
        <w:jc w:val="center"/>
      </w:pPr>
    </w:p>
    <w:p w14:paraId="5BCCF66A" w14:textId="77777777" w:rsidR="00B76705" w:rsidRPr="0031675F" w:rsidRDefault="00B76705" w:rsidP="004B3171">
      <w:pPr>
        <w:jc w:val="center"/>
      </w:pPr>
    </w:p>
    <w:p w14:paraId="0B8DE6AF" w14:textId="77777777" w:rsidR="004B3171" w:rsidRPr="0031675F" w:rsidRDefault="004B3171" w:rsidP="004B3171">
      <w:pPr>
        <w:jc w:val="center"/>
      </w:pPr>
      <w:r w:rsidRPr="0031675F">
        <w:rPr>
          <w:noProof/>
          <w:lang w:eastAsia="en-AU"/>
        </w:rPr>
        <w:drawing>
          <wp:inline distT="0" distB="0" distL="0" distR="0" wp14:anchorId="2EC67154" wp14:editId="0DF66156">
            <wp:extent cx="2291715" cy="1401445"/>
            <wp:effectExtent l="0" t="0" r="0" b="8255"/>
            <wp:docPr id="48" name="Picture 48"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234" r:link="rId189" cstate="print">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5DD77C3F" w14:textId="77777777" w:rsidR="004B3171" w:rsidRDefault="004B3171" w:rsidP="004B3171">
      <w:pPr>
        <w:jc w:val="center"/>
      </w:pPr>
    </w:p>
    <w:p w14:paraId="36AECF82" w14:textId="77777777" w:rsidR="004B3171" w:rsidRDefault="004B3171" w:rsidP="004B3171">
      <w:pPr>
        <w:jc w:val="center"/>
      </w:pPr>
    </w:p>
    <w:p w14:paraId="6B5B806C" w14:textId="77777777" w:rsidR="004B3171" w:rsidRDefault="004B3171" w:rsidP="004B3171">
      <w:pPr>
        <w:jc w:val="center"/>
      </w:pPr>
    </w:p>
    <w:p w14:paraId="305A930A" w14:textId="77777777" w:rsidR="004B3171" w:rsidRDefault="004B3171" w:rsidP="004B3171">
      <w:pPr>
        <w:jc w:val="center"/>
      </w:pPr>
    </w:p>
    <w:p w14:paraId="1DC7BE60" w14:textId="77777777" w:rsidR="004B3171" w:rsidRDefault="004B3171" w:rsidP="004B3171">
      <w:pPr>
        <w:jc w:val="center"/>
      </w:pPr>
    </w:p>
    <w:p w14:paraId="12DF3741" w14:textId="77777777" w:rsidR="004B3171" w:rsidRDefault="004B3171" w:rsidP="004B3171">
      <w:pPr>
        <w:jc w:val="center"/>
      </w:pPr>
    </w:p>
    <w:p w14:paraId="18576BF1" w14:textId="77777777" w:rsidR="004B3171" w:rsidRDefault="004B3171" w:rsidP="004B3171">
      <w:pPr>
        <w:jc w:val="center"/>
      </w:pPr>
    </w:p>
    <w:p w14:paraId="6CD4C049" w14:textId="4D9D10A2" w:rsidR="000C7BDF" w:rsidRDefault="000C7BDF" w:rsidP="004B3171">
      <w:pPr>
        <w:jc w:val="center"/>
      </w:pPr>
      <w:r>
        <w:br w:type="page"/>
      </w:r>
    </w:p>
    <w:p w14:paraId="26F0ADD3" w14:textId="77777777" w:rsidR="00B951D6" w:rsidRPr="00C70D93" w:rsidRDefault="00B951D6" w:rsidP="00B951D6">
      <w:pPr>
        <w:rPr>
          <w:rFonts w:cs="Arial"/>
          <w:b/>
          <w:u w:val="single"/>
        </w:rPr>
      </w:pPr>
      <w:r w:rsidRPr="00C70D93">
        <w:rPr>
          <w:rFonts w:cs="Arial"/>
          <w:b/>
          <w:u w:val="single"/>
        </w:rPr>
        <w:t>CDOM</w:t>
      </w:r>
    </w:p>
    <w:p w14:paraId="7A4931DE" w14:textId="77777777" w:rsidR="00B951D6" w:rsidRPr="00F52AB1" w:rsidRDefault="00B951D6" w:rsidP="00B951D6">
      <w:pPr>
        <w:rPr>
          <w:rFonts w:cs="Arial"/>
        </w:rPr>
      </w:pPr>
      <w:r w:rsidRPr="00F52AB1">
        <w:rPr>
          <w:rFonts w:cs="Arial"/>
        </w:rPr>
        <w:t>Samples are allowed to come to room temperature before placement into a 10 cm path-length quartz cell. The CDOM absorption coefficient (m-1) of each filtrate is measured from 250-800 nm using a Shimadzu UV1700 spectrophotometer. Milli-Q water (Millipore) is used as a reference</w:t>
      </w:r>
      <w:r>
        <w:rPr>
          <w:rFonts w:cs="Arial"/>
        </w:rPr>
        <w:t>.</w:t>
      </w:r>
      <w:r w:rsidRPr="00F52AB1">
        <w:rPr>
          <w:rFonts w:cs="Arial"/>
        </w:rPr>
        <w:t xml:space="preserve"> </w:t>
      </w:r>
    </w:p>
    <w:p w14:paraId="650B1705" w14:textId="77777777" w:rsidR="00B951D6" w:rsidRDefault="00B951D6" w:rsidP="00B951D6">
      <w:pPr>
        <w:rPr>
          <w:rFonts w:cs="Arial"/>
        </w:rPr>
      </w:pPr>
      <w:r w:rsidRPr="00F52AB1">
        <w:rPr>
          <w:rFonts w:cs="Arial"/>
        </w:rPr>
        <w:t>CDOM absorption is measured using a dual beam Shimadzu UV1700 spectrophotometer.</w:t>
      </w:r>
    </w:p>
    <w:p w14:paraId="757F00F1" w14:textId="77777777" w:rsidR="00B951D6" w:rsidRDefault="00B951D6" w:rsidP="00B951D6">
      <w:pPr>
        <w:rPr>
          <w:rFonts w:cs="Arial"/>
        </w:rPr>
      </w:pPr>
      <w:r w:rsidRPr="00F52AB1">
        <w:rPr>
          <w:rFonts w:cs="Arial"/>
        </w:rPr>
        <w:t xml:space="preserve">The instrument is baselined with a pure MilliQ water reference cuvette and a 0.2 μm filtered MilliQ water as the sample. After baselining the instrument the reference remains in the machine and a field sample is then placed into the sample cuvette. The optical density (OD) of the sample is then measured over 250-800 nm at 0.5 nm resolution. To obtain the absorption spectrum, the mean value from 680 nm where absorption is deemed to be zero is subtracted from spectrum. </w:t>
      </w:r>
    </w:p>
    <w:p w14:paraId="24540D7F" w14:textId="77777777" w:rsidR="00B951D6" w:rsidRDefault="00B951D6" w:rsidP="00B951D6">
      <w:pPr>
        <w:rPr>
          <w:rFonts w:cs="Arial"/>
        </w:rPr>
      </w:pPr>
      <w:r w:rsidRPr="00F52AB1">
        <w:rPr>
          <w:rFonts w:cs="Arial"/>
        </w:rPr>
        <w:t>For a complete description of the method refer to ‘Ocean Optics Protocols for Satellite Ocean Color Sensor Validation, Revision 4, Volume IV’ (NASA/TM-2003-211621/Rev4-Vol.IV).</w:t>
      </w:r>
    </w:p>
    <w:p w14:paraId="66007026" w14:textId="6D26BA09" w:rsidR="00B951D6" w:rsidRPr="00B951D6" w:rsidRDefault="00B951D6" w:rsidP="00B951D6">
      <w:pPr>
        <w:rPr>
          <w:rFonts w:cs="Arial"/>
        </w:rPr>
      </w:pPr>
      <w:r w:rsidRPr="00F52AB1">
        <w:rPr>
          <w:rFonts w:cs="Arial"/>
        </w:rPr>
        <w:t>The resultant is multiplied by 2.303/L (where L is the path-length of the cuvettes, ca. 0.1 m) to give the absorption in units of inverse metres (m-1). CDOM absorption spectra are fitted to an exponential function over the range 370-600 nm. Not only the nominal value for CDOM at 443 nm is stored in the data base, but also the fitting coefficients, allowing the CDOM determination at any wave-length between 370-600 nm as required.</w:t>
      </w:r>
    </w:p>
    <w:p w14:paraId="38E19227" w14:textId="0C4384D9" w:rsidR="000C7BDF" w:rsidRDefault="000C7BDF">
      <w:r>
        <w:br w:type="page"/>
      </w:r>
    </w:p>
    <w:p w14:paraId="43CE1B76" w14:textId="77777777" w:rsidR="00B951D6" w:rsidRDefault="00B951D6" w:rsidP="00B951D6">
      <w:pPr>
        <w:spacing w:before="0" w:after="0" w:line="240" w:lineRule="auto"/>
        <w:contextualSpacing/>
        <w:jc w:val="both"/>
      </w:pPr>
    </w:p>
    <w:p w14:paraId="55004AAB" w14:textId="77777777" w:rsidR="00B951D6" w:rsidRDefault="00B951D6" w:rsidP="00B951D6">
      <w:pPr>
        <w:spacing w:before="0" w:after="0" w:line="240" w:lineRule="auto"/>
        <w:contextualSpacing/>
        <w:jc w:val="both"/>
      </w:pPr>
    </w:p>
    <w:p w14:paraId="073D62EF" w14:textId="77777777" w:rsidR="00B951D6" w:rsidRDefault="00B951D6" w:rsidP="00B951D6">
      <w:pPr>
        <w:spacing w:before="0" w:after="0" w:line="240" w:lineRule="auto"/>
        <w:contextualSpacing/>
        <w:jc w:val="both"/>
      </w:pPr>
    </w:p>
    <w:p w14:paraId="59091203" w14:textId="77777777" w:rsidR="00B951D6" w:rsidRDefault="00B951D6" w:rsidP="00B951D6">
      <w:pPr>
        <w:spacing w:before="0" w:after="0" w:line="240" w:lineRule="auto"/>
        <w:contextualSpacing/>
        <w:jc w:val="both"/>
      </w:pPr>
    </w:p>
    <w:p w14:paraId="4C04D6DB" w14:textId="77777777" w:rsidR="00B951D6" w:rsidRDefault="00B951D6" w:rsidP="00B951D6">
      <w:pPr>
        <w:spacing w:before="0" w:after="0" w:line="240" w:lineRule="auto"/>
        <w:contextualSpacing/>
        <w:jc w:val="both"/>
      </w:pPr>
    </w:p>
    <w:p w14:paraId="70B35A42" w14:textId="77777777" w:rsidR="00B951D6" w:rsidRDefault="00B951D6" w:rsidP="00B951D6">
      <w:pPr>
        <w:spacing w:before="0" w:after="0" w:line="240" w:lineRule="auto"/>
        <w:contextualSpacing/>
        <w:jc w:val="both"/>
      </w:pPr>
    </w:p>
    <w:p w14:paraId="2B9A99DA" w14:textId="77777777" w:rsidR="00B951D6" w:rsidRDefault="00B951D6" w:rsidP="00B951D6">
      <w:pPr>
        <w:spacing w:before="0" w:after="0" w:line="240" w:lineRule="auto"/>
        <w:contextualSpacing/>
        <w:jc w:val="both"/>
      </w:pPr>
    </w:p>
    <w:p w14:paraId="650D0E0B" w14:textId="77777777" w:rsidR="00B951D6" w:rsidRDefault="00B951D6" w:rsidP="00B951D6">
      <w:pPr>
        <w:spacing w:before="0" w:after="0" w:line="240" w:lineRule="auto"/>
        <w:contextualSpacing/>
        <w:jc w:val="both"/>
      </w:pPr>
    </w:p>
    <w:p w14:paraId="40E0B1A2" w14:textId="77777777" w:rsidR="00B951D6" w:rsidRDefault="00B951D6" w:rsidP="00B951D6">
      <w:pPr>
        <w:spacing w:before="0" w:after="0" w:line="240" w:lineRule="auto"/>
        <w:contextualSpacing/>
        <w:jc w:val="both"/>
      </w:pPr>
    </w:p>
    <w:p w14:paraId="070B7470" w14:textId="77777777" w:rsidR="00B951D6" w:rsidRDefault="00B951D6" w:rsidP="00B951D6">
      <w:pPr>
        <w:spacing w:before="0" w:after="0" w:line="240" w:lineRule="auto"/>
        <w:contextualSpacing/>
        <w:jc w:val="both"/>
      </w:pPr>
    </w:p>
    <w:p w14:paraId="5D7EA555" w14:textId="77777777" w:rsidR="00B951D6" w:rsidRDefault="00B951D6" w:rsidP="00B951D6">
      <w:pPr>
        <w:spacing w:before="0" w:after="0" w:line="240" w:lineRule="auto"/>
        <w:contextualSpacing/>
        <w:jc w:val="both"/>
      </w:pPr>
    </w:p>
    <w:p w14:paraId="5E999401" w14:textId="77777777" w:rsidR="00B951D6" w:rsidRDefault="00B951D6" w:rsidP="00B951D6">
      <w:pPr>
        <w:spacing w:before="0" w:after="0" w:line="240" w:lineRule="auto"/>
        <w:contextualSpacing/>
        <w:jc w:val="both"/>
      </w:pPr>
    </w:p>
    <w:p w14:paraId="4969951F" w14:textId="0C29E48B" w:rsidR="00B76705" w:rsidRDefault="00B76705" w:rsidP="004605EE">
      <w:pPr>
        <w:pStyle w:val="Heading2"/>
        <w:numPr>
          <w:ilvl w:val="0"/>
          <w:numId w:val="0"/>
        </w:numPr>
        <w:ind w:left="284"/>
        <w:jc w:val="center"/>
      </w:pPr>
      <w:bookmarkStart w:id="764" w:name="_Toc12365653"/>
      <w:r w:rsidRPr="0031675F">
        <w:t>Appendix</w:t>
      </w:r>
      <w:r w:rsidRPr="0031675F">
        <w:rPr>
          <w:spacing w:val="-14"/>
        </w:rPr>
        <w:t xml:space="preserve"> </w:t>
      </w:r>
      <w:r w:rsidRPr="0031675F">
        <w:t>B</w:t>
      </w:r>
      <w:r>
        <w:t xml:space="preserve">13 </w:t>
      </w:r>
      <w:r w:rsidRPr="00B76705">
        <w:t>TropWater methods:</w:t>
      </w:r>
      <w:r w:rsidR="004605EE">
        <w:t xml:space="preserve"> </w:t>
      </w:r>
      <w:r w:rsidRPr="00B76705">
        <w:t>Laboratory Salinity</w:t>
      </w:r>
      <w:bookmarkEnd w:id="764"/>
    </w:p>
    <w:p w14:paraId="73511C6E" w14:textId="77777777" w:rsidR="00B951D6" w:rsidRDefault="00B951D6" w:rsidP="00B951D6">
      <w:pPr>
        <w:jc w:val="center"/>
      </w:pPr>
    </w:p>
    <w:p w14:paraId="2B54D606" w14:textId="77777777" w:rsidR="00B76705" w:rsidRPr="0031675F" w:rsidRDefault="00B76705" w:rsidP="00B951D6">
      <w:pPr>
        <w:jc w:val="center"/>
      </w:pPr>
    </w:p>
    <w:p w14:paraId="09BC9702" w14:textId="77777777" w:rsidR="00B951D6" w:rsidRPr="0031675F" w:rsidRDefault="00B951D6" w:rsidP="00B951D6">
      <w:pPr>
        <w:jc w:val="center"/>
      </w:pPr>
      <w:r w:rsidRPr="0031675F">
        <w:rPr>
          <w:noProof/>
          <w:lang w:eastAsia="en-AU"/>
        </w:rPr>
        <w:drawing>
          <wp:inline distT="0" distB="0" distL="0" distR="0" wp14:anchorId="437F43E9" wp14:editId="045D1C9D">
            <wp:extent cx="2291715" cy="1401445"/>
            <wp:effectExtent l="0" t="0" r="0" b="8255"/>
            <wp:docPr id="113" name="Picture 113" descr="TropWATER Logo 2a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pWATER Logo 2a (col)"/>
                    <pic:cNvPicPr>
                      <a:picLocks noChangeAspect="1" noChangeArrowheads="1"/>
                    </pic:cNvPicPr>
                  </pic:nvPicPr>
                  <pic:blipFill>
                    <a:blip r:embed="rId237" r:link="rId189" cstate="print">
                      <a:extLst>
                        <a:ext uri="{28A0092B-C50C-407E-A947-70E740481C1C}">
                          <a14:useLocalDpi xmlns:a14="http://schemas.microsoft.com/office/drawing/2010/main" val="0"/>
                        </a:ext>
                      </a:extLst>
                    </a:blip>
                    <a:srcRect/>
                    <a:stretch>
                      <a:fillRect/>
                    </a:stretch>
                  </pic:blipFill>
                  <pic:spPr bwMode="auto">
                    <a:xfrm>
                      <a:off x="0" y="0"/>
                      <a:ext cx="2291715" cy="1401445"/>
                    </a:xfrm>
                    <a:prstGeom prst="rect">
                      <a:avLst/>
                    </a:prstGeom>
                    <a:noFill/>
                    <a:ln>
                      <a:noFill/>
                    </a:ln>
                  </pic:spPr>
                </pic:pic>
              </a:graphicData>
            </a:graphic>
          </wp:inline>
        </w:drawing>
      </w:r>
    </w:p>
    <w:p w14:paraId="22F9E2B2" w14:textId="77777777" w:rsidR="00B951D6" w:rsidRDefault="00B951D6" w:rsidP="00B951D6">
      <w:pPr>
        <w:jc w:val="center"/>
      </w:pPr>
    </w:p>
    <w:p w14:paraId="677A9EA1" w14:textId="77777777" w:rsidR="00B951D6" w:rsidRDefault="00B951D6" w:rsidP="00B951D6">
      <w:pPr>
        <w:jc w:val="center"/>
      </w:pPr>
    </w:p>
    <w:p w14:paraId="662469C4" w14:textId="77777777" w:rsidR="00B951D6" w:rsidRDefault="00B951D6" w:rsidP="00B951D6">
      <w:pPr>
        <w:jc w:val="center"/>
      </w:pPr>
    </w:p>
    <w:p w14:paraId="1DFA77E5" w14:textId="77777777" w:rsidR="00B951D6" w:rsidRDefault="00B951D6" w:rsidP="00B951D6">
      <w:pPr>
        <w:jc w:val="center"/>
      </w:pPr>
    </w:p>
    <w:p w14:paraId="2CD6510D" w14:textId="77777777" w:rsidR="00B951D6" w:rsidRDefault="00B951D6" w:rsidP="00B951D6">
      <w:pPr>
        <w:jc w:val="center"/>
      </w:pPr>
    </w:p>
    <w:p w14:paraId="34F036CA" w14:textId="77777777" w:rsidR="00B951D6" w:rsidRDefault="00B951D6" w:rsidP="00B951D6">
      <w:pPr>
        <w:jc w:val="center"/>
      </w:pPr>
    </w:p>
    <w:p w14:paraId="7E72BFC4" w14:textId="77777777" w:rsidR="00B951D6" w:rsidRDefault="00B951D6" w:rsidP="00B951D6">
      <w:pPr>
        <w:jc w:val="center"/>
      </w:pPr>
    </w:p>
    <w:p w14:paraId="1333C0FC" w14:textId="77777777" w:rsidR="00B951D6" w:rsidRDefault="00B951D6" w:rsidP="00B951D6">
      <w:pPr>
        <w:jc w:val="center"/>
      </w:pPr>
    </w:p>
    <w:p w14:paraId="636EEB34" w14:textId="12A26734" w:rsidR="000C7BDF" w:rsidRDefault="000C7BDF" w:rsidP="00B951D6">
      <w:pPr>
        <w:jc w:val="center"/>
      </w:pPr>
      <w:r>
        <w:br w:type="page"/>
      </w:r>
    </w:p>
    <w:p w14:paraId="7B5DED69" w14:textId="77777777" w:rsidR="00B951D6" w:rsidRDefault="00B951D6" w:rsidP="00B951D6">
      <w:pPr>
        <w:jc w:val="center"/>
      </w:pPr>
    </w:p>
    <w:p w14:paraId="2B175F93" w14:textId="77777777" w:rsidR="00B951D6" w:rsidRDefault="00B951D6" w:rsidP="00B951D6">
      <w:pPr>
        <w:rPr>
          <w:b/>
          <w:u w:val="single"/>
        </w:rPr>
      </w:pPr>
      <w:r w:rsidRPr="00B951D6">
        <w:rPr>
          <w:b/>
          <w:u w:val="single"/>
        </w:rPr>
        <w:t>EC/SALINITY</w:t>
      </w:r>
    </w:p>
    <w:p w14:paraId="66947F4F" w14:textId="1B6812EA" w:rsidR="00B951D6" w:rsidRPr="00B951D6" w:rsidRDefault="00B951D6" w:rsidP="00B951D6">
      <w:pPr>
        <w:rPr>
          <w:b/>
          <w:u w:val="single"/>
        </w:rPr>
      </w:pPr>
      <w:r w:rsidRPr="00B951D6">
        <w:rPr>
          <w:rFonts w:eastAsia="Calibri" w:cs="Arial"/>
        </w:rPr>
        <w:t>Samples are allowed to come to room temperature before using a Metrohm 912 Lab Conductometer to read the Electrical Conductivity (μS/cm) at  25°C and Salinity(PSU) is calculated using the formula on page 36 of the</w:t>
      </w:r>
      <w:r w:rsidRPr="00B951D6">
        <w:t>“</w:t>
      </w:r>
      <w:r w:rsidRPr="00B951D6">
        <w:rPr>
          <w:bCs/>
          <w:iCs/>
        </w:rPr>
        <w:t>USGS Guidelines and Standard Procedures for Continous Water Quality Monitors: Operation, Record Computation and Data</w:t>
      </w:r>
      <w:r w:rsidRPr="00B951D6">
        <w:t>”</w:t>
      </w:r>
    </w:p>
    <w:p w14:paraId="69E4D88E" w14:textId="77777777" w:rsidR="00B951D6" w:rsidRPr="00B951D6" w:rsidRDefault="00B951D6" w:rsidP="00B951D6"/>
    <w:p w14:paraId="0B54BE25" w14:textId="77777777" w:rsidR="00B951D6" w:rsidRPr="00B951D6" w:rsidRDefault="00B951D6" w:rsidP="00B951D6">
      <w:r w:rsidRPr="00B951D6">
        <w:t>T</w:t>
      </w:r>
      <w:r w:rsidRPr="00B951D6">
        <w:rPr>
          <w:rFonts w:cs="Arial"/>
        </w:rPr>
        <w:t xml:space="preserve">he Conductometer is calibrated with the 0.5M KCl (58670 μS/cm) at </w:t>
      </w:r>
      <w:r w:rsidRPr="00B951D6">
        <w:t>25°C and the OSIL/IAPSO salinity standard is used as a QC check after calibration.</w:t>
      </w:r>
    </w:p>
    <w:p w14:paraId="4D0F3CE6" w14:textId="77777777" w:rsidR="00B951D6" w:rsidRDefault="00B951D6" w:rsidP="00B951D6">
      <w:pPr>
        <w:rPr>
          <w:rFonts w:cs="Arial"/>
        </w:rPr>
      </w:pPr>
    </w:p>
    <w:p w14:paraId="5CA02AE1" w14:textId="77777777" w:rsidR="00B951D6" w:rsidRDefault="00B951D6" w:rsidP="00B951D6">
      <w:pPr>
        <w:rPr>
          <w:rFonts w:cs="Arial"/>
        </w:rPr>
      </w:pPr>
    </w:p>
    <w:p w14:paraId="31422380" w14:textId="77777777" w:rsidR="00B951D6" w:rsidRDefault="00B951D6" w:rsidP="00C70D93"/>
    <w:p w14:paraId="43C6BDB0" w14:textId="77777777" w:rsidR="00B951D6" w:rsidRPr="00731167" w:rsidRDefault="00B951D6" w:rsidP="004B3171">
      <w:pPr>
        <w:spacing w:before="0" w:after="0" w:line="240" w:lineRule="auto"/>
        <w:contextualSpacing/>
        <w:jc w:val="both"/>
        <w:rPr>
          <w:rFonts w:cs="Arial"/>
        </w:rPr>
      </w:pPr>
    </w:p>
    <w:sectPr w:rsidR="00B951D6" w:rsidRPr="00731167" w:rsidSect="001D0C61">
      <w:headerReference w:type="default" r:id="rId238"/>
      <w:footerReference w:type="default" r:id="rId239"/>
      <w:pgSz w:w="11910" w:h="16850"/>
      <w:pgMar w:top="720" w:right="1281" w:bottom="697" w:left="1281" w:header="520" w:footer="500" w:gutter="0"/>
      <w:paperSrc w:first="7" w:other="7"/>
      <w:cols w:space="720"/>
      <w:titlePg/>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5D13DC4" w16cid:durableId="1F3D080E"/>
  <w16cid:commentId w16cid:paraId="3EED1621" w16cid:durableId="1F3D08C3"/>
  <w16cid:commentId w16cid:paraId="3767C509" w16cid:durableId="1F40D3CF"/>
  <w16cid:commentId w16cid:paraId="141CD66D" w16cid:durableId="1F40D4B0"/>
  <w16cid:commentId w16cid:paraId="41BBDFE3" w16cid:durableId="20922AE0"/>
  <w16cid:commentId w16cid:paraId="15C6EB0C" w16cid:durableId="1F40DA5E"/>
  <w16cid:commentId w16cid:paraId="06042BD0" w16cid:durableId="20922AE4"/>
  <w16cid:commentId w16cid:paraId="1098F53B" w16cid:durableId="1F40DAA8"/>
  <w16cid:commentId w16cid:paraId="2EC1FEBA" w16cid:durableId="2090E616"/>
  <w16cid:commentId w16cid:paraId="30101907" w16cid:durableId="20981561"/>
  <w16cid:commentId w16cid:paraId="41132F86" w16cid:durableId="2090E617"/>
  <w16cid:commentId w16cid:paraId="4917AB15" w16cid:durableId="1F40DE9C"/>
  <w16cid:commentId w16cid:paraId="1C509A58" w16cid:durableId="1F40DEE2"/>
  <w16cid:commentId w16cid:paraId="3A7B1212" w16cid:durableId="1F40E6D8"/>
  <w16cid:commentId w16cid:paraId="1673B98E" w16cid:durableId="1F421A71"/>
  <w16cid:commentId w16cid:paraId="70B316F0" w16cid:durableId="1F435630"/>
  <w16cid:commentId w16cid:paraId="18B30C90" w16cid:durableId="1F421688"/>
  <w16cid:commentId w16cid:paraId="75B53394" w16cid:durableId="2090E61F"/>
  <w16cid:commentId w16cid:paraId="38359B39" w16cid:durableId="1F4219EA"/>
  <w16cid:commentId w16cid:paraId="63D9A24C" w16cid:durableId="1F4219D6"/>
  <w16cid:commentId w16cid:paraId="6A037F6F" w16cid:durableId="1F421AB9"/>
  <w16cid:commentId w16cid:paraId="2F76E034" w16cid:durableId="1F4286B3"/>
  <w16cid:commentId w16cid:paraId="7FEBA3E6" w16cid:durableId="2090E624"/>
  <w16cid:commentId w16cid:paraId="4FA57757" w16cid:durableId="1F421B63"/>
  <w16cid:commentId w16cid:paraId="511433DD" w16cid:durableId="1F4286BE"/>
  <w16cid:commentId w16cid:paraId="2144B4E9" w16cid:durableId="1F421D42"/>
  <w16cid:commentId w16cid:paraId="627010C3" w16cid:durableId="1F4286F2"/>
  <w16cid:commentId w16cid:paraId="001D61C1" w16cid:durableId="1F421E0C"/>
  <w16cid:commentId w16cid:paraId="37CCBACD" w16cid:durableId="1F422297"/>
  <w16cid:commentId w16cid:paraId="0FBB78AF" w16cid:durableId="1F422585"/>
  <w16cid:commentId w16cid:paraId="72EE5945" w16cid:durableId="1F42267B"/>
  <w16cid:commentId w16cid:paraId="63053C3B" w16cid:durableId="1F4226AF"/>
  <w16cid:commentId w16cid:paraId="0C8FC9F5" w16cid:durableId="1F4229D4"/>
  <w16cid:commentId w16cid:paraId="297BFF86" w16cid:durableId="1F4228F9"/>
  <w16cid:commentId w16cid:paraId="269BFF66" w16cid:durableId="1F422A0F"/>
  <w16cid:commentId w16cid:paraId="7DFBA608" w16cid:durableId="1F422C93"/>
  <w16cid:commentId w16cid:paraId="4D8DDC43" w16cid:durableId="1F422DC6"/>
  <w16cid:commentId w16cid:paraId="769D5D74" w16cid:durableId="1F424D89"/>
  <w16cid:commentId w16cid:paraId="3E0D120A" w16cid:durableId="1F4242F4"/>
  <w16cid:commentId w16cid:paraId="34F34D02" w16cid:durableId="1F425069"/>
  <w16cid:commentId w16cid:paraId="2D8C6DD3" w16cid:durableId="1F426F1E"/>
  <w16cid:commentId w16cid:paraId="51971844" w16cid:durableId="1F4270B2"/>
  <w16cid:commentId w16cid:paraId="34C66780" w16cid:durableId="1F42831C"/>
  <w16cid:commentId w16cid:paraId="099C275E" w16cid:durableId="209675C3"/>
  <w16cid:commentId w16cid:paraId="499471F9" w16cid:durableId="2096709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714387" w14:textId="77777777" w:rsidR="00CB53E4" w:rsidRDefault="00CB53E4" w:rsidP="00DE530A">
      <w:r>
        <w:separator/>
      </w:r>
    </w:p>
  </w:endnote>
  <w:endnote w:type="continuationSeparator" w:id="0">
    <w:p w14:paraId="701CEAF7" w14:textId="77777777" w:rsidR="00CB53E4" w:rsidRDefault="00CB53E4" w:rsidP="00DE530A">
      <w:r>
        <w:continuationSeparator/>
      </w:r>
    </w:p>
  </w:endnote>
  <w:endnote w:type="continuationNotice" w:id="1">
    <w:p w14:paraId="5AD99AE2" w14:textId="77777777" w:rsidR="00CB53E4" w:rsidRDefault="00CB53E4">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egoe UI">
    <w:panose1 w:val="020B0502040204020203"/>
    <w:charset w:val="00"/>
    <w:family w:val="swiss"/>
    <w:pitch w:val="variable"/>
    <w:sig w:usb0="E10022FF" w:usb1="C000E47F" w:usb2="00000029" w:usb3="00000000" w:csb0="000001DF" w:csb1="00000000"/>
  </w:font>
  <w:font w:name="Palatino">
    <w:altName w:val="Book Antiqua"/>
    <w:panose1 w:val="00000000000000000000"/>
    <w:charset w:val="00"/>
    <w:family w:val="roman"/>
    <w:notTrueType/>
    <w:pitch w:val="variable"/>
    <w:sig w:usb0="00000003" w:usb1="00000000" w:usb2="00000000" w:usb3="00000000" w:csb0="00000001" w:csb1="00000000"/>
  </w:font>
  <w:font w:name="Angsana New">
    <w:panose1 w:val="02020603050405020304"/>
    <w:charset w:val="DE"/>
    <w:family w:val="roman"/>
    <w:notTrueType/>
    <w:pitch w:val="variable"/>
    <w:sig w:usb0="01000001" w:usb1="00000000" w:usb2="00000000" w:usb3="00000000" w:csb0="00010000" w:csb1="00000000"/>
  </w:font>
  <w:font w:name="Arial Black">
    <w:panose1 w:val="020B0A04020102020204"/>
    <w:charset w:val="00"/>
    <w:family w:val="swiss"/>
    <w:pitch w:val="variable"/>
    <w:sig w:usb0="A00002AF" w:usb1="400078FB" w:usb2="00000000" w:usb3="00000000" w:csb0="0000009F" w:csb1="00000000"/>
  </w:font>
  <w:font w:name="Optimum">
    <w:altName w:val="Cambria"/>
    <w:charset w:val="00"/>
    <w:family w:val="auto"/>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emibold">
    <w:panose1 w:val="020B0702040204020203"/>
    <w:charset w:val="00"/>
    <w:family w:val="swiss"/>
    <w:pitch w:val="variable"/>
    <w:sig w:usb0="E00002FF" w:usb1="4000A47B"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Planti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EB3EB0" w14:textId="77777777" w:rsidR="00A374A1" w:rsidRDefault="00A374A1">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F4A0A6" w14:textId="77777777" w:rsidR="00CB53E4" w:rsidRPr="003117B3" w:rsidRDefault="00CB53E4" w:rsidP="00084431">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FC8FBE" w14:textId="77777777" w:rsidR="00CB53E4" w:rsidRPr="003117B3" w:rsidRDefault="00CB53E4" w:rsidP="00084431">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623EF1" w14:textId="77777777" w:rsidR="00CB53E4" w:rsidRPr="003117B3" w:rsidRDefault="00CB53E4" w:rsidP="00084431">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FF4759" w14:textId="77777777" w:rsidR="00CB53E4" w:rsidRPr="003117B3" w:rsidRDefault="00CB53E4" w:rsidP="00084431">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60D201" w14:textId="77777777" w:rsidR="00CB53E4" w:rsidRPr="003117B3" w:rsidRDefault="00CB53E4" w:rsidP="00084431">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4CE7B4" w14:textId="77777777" w:rsidR="00CB53E4" w:rsidRPr="003117B3" w:rsidRDefault="00CB53E4" w:rsidP="00084431">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64BA4" w14:textId="77777777" w:rsidR="00CB53E4" w:rsidRPr="003117B3" w:rsidRDefault="00CB53E4" w:rsidP="00084431">
    <w:pPr>
      <w:pStyle w:val="Foo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08884E" w14:textId="77777777" w:rsidR="00CB53E4" w:rsidRPr="003117B3" w:rsidRDefault="00CB53E4" w:rsidP="00084431">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AF2DF1" w14:textId="77777777" w:rsidR="00CB53E4" w:rsidRPr="003117B3" w:rsidRDefault="00CB53E4" w:rsidP="00084431">
    <w:pPr>
      <w:pStyle w:val="Foo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5F5B08" w14:textId="77777777" w:rsidR="00CB53E4" w:rsidRPr="003117B3" w:rsidRDefault="00CB53E4" w:rsidP="0008443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3AF421" w14:textId="77777777" w:rsidR="00CB53E4" w:rsidRDefault="00CB53E4" w:rsidP="00727BE9">
    <w:pPr>
      <w:pStyle w:val="Footer"/>
      <w:tabs>
        <w:tab w:val="clear" w:pos="4513"/>
        <w:tab w:val="clear" w:pos="9026"/>
        <w:tab w:val="left" w:pos="3720"/>
      </w:tabs>
      <w:ind w:left="-142"/>
    </w:pPr>
    <w:r>
      <w:tab/>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AA072A" w14:textId="77777777" w:rsidR="00CB53E4" w:rsidRPr="003117B3" w:rsidRDefault="00CB53E4" w:rsidP="00084431">
    <w:pPr>
      <w:pStyle w:val="Foote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149D44" w14:textId="77777777" w:rsidR="00CB53E4" w:rsidRPr="003117B3" w:rsidRDefault="00CB53E4" w:rsidP="00084431">
    <w:pPr>
      <w:pStyle w:val="Foote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698185" w14:textId="77777777" w:rsidR="00CB53E4" w:rsidRPr="003117B3" w:rsidRDefault="00CB53E4" w:rsidP="00084431">
    <w:pPr>
      <w:pStyle w:val="Foote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5CEE0C" w14:textId="77777777" w:rsidR="00CB53E4" w:rsidRPr="003117B3" w:rsidRDefault="00CB53E4" w:rsidP="00084431">
    <w:pPr>
      <w:pStyle w:val="Foote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B6069C" w14:textId="77777777" w:rsidR="00CB53E4" w:rsidRPr="003117B3" w:rsidRDefault="00CB53E4" w:rsidP="00084431">
    <w:pPr>
      <w:pStyle w:val="Foote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AC0A94" w14:textId="77777777" w:rsidR="00CB53E4" w:rsidRPr="003117B3" w:rsidRDefault="00CB53E4" w:rsidP="00084431">
    <w:pPr>
      <w:pStyle w:val="Foote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F9316E" w14:textId="77777777" w:rsidR="00CB53E4" w:rsidRPr="003117B3" w:rsidRDefault="00CB53E4" w:rsidP="00084431">
    <w:pPr>
      <w:pStyle w:val="Foote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3163904"/>
      <w:docPartObj>
        <w:docPartGallery w:val="Page Numbers (Bottom of Page)"/>
        <w:docPartUnique/>
      </w:docPartObj>
    </w:sdtPr>
    <w:sdtEndPr>
      <w:rPr>
        <w:noProof/>
      </w:rPr>
    </w:sdtEndPr>
    <w:sdtContent>
      <w:p w14:paraId="37DF45BC" w14:textId="7CB206AD" w:rsidR="00CB53E4" w:rsidRPr="003117B3" w:rsidRDefault="00CB53E4" w:rsidP="006B1D5F">
        <w:pPr>
          <w:pStyle w:val="Footer"/>
          <w:jc w:val="center"/>
        </w:pPr>
        <w:r>
          <w:fldChar w:fldCharType="begin"/>
        </w:r>
        <w:r>
          <w:instrText xml:space="preserve"> PAGE   \* MERGEFORMAT </w:instrText>
        </w:r>
        <w:r>
          <w:fldChar w:fldCharType="separate"/>
        </w:r>
        <w:r w:rsidR="00A374A1">
          <w:rPr>
            <w:noProof/>
          </w:rPr>
          <w:t>306</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3954010"/>
      <w:docPartObj>
        <w:docPartGallery w:val="Page Numbers (Bottom of Page)"/>
        <w:docPartUnique/>
      </w:docPartObj>
    </w:sdtPr>
    <w:sdtEndPr>
      <w:rPr>
        <w:noProof/>
      </w:rPr>
    </w:sdtEndPr>
    <w:sdtContent>
      <w:p w14:paraId="49B94A7F" w14:textId="72942E18" w:rsidR="00CB53E4" w:rsidRDefault="00CB53E4">
        <w:pPr>
          <w:pStyle w:val="Footer"/>
          <w:jc w:val="center"/>
        </w:pPr>
        <w:r>
          <w:fldChar w:fldCharType="begin"/>
        </w:r>
        <w:r>
          <w:instrText xml:space="preserve"> PAGE   \* MERGEFORMAT </w:instrText>
        </w:r>
        <w:r>
          <w:fldChar w:fldCharType="separate"/>
        </w:r>
        <w:r w:rsidR="00A374A1">
          <w:rPr>
            <w:noProof/>
          </w:rPr>
          <w:t>297</w:t>
        </w:r>
        <w:r>
          <w:rPr>
            <w:noProof/>
          </w:rPr>
          <w:fldChar w:fldCharType="end"/>
        </w:r>
      </w:p>
    </w:sdtContent>
  </w:sdt>
  <w:p w14:paraId="63658C03" w14:textId="77777777" w:rsidR="00CB53E4" w:rsidRDefault="00CB53E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5B27E1" w14:textId="77777777" w:rsidR="00CB53E4" w:rsidRPr="001857A5" w:rsidRDefault="00CB53E4" w:rsidP="001857A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389501"/>
      <w:docPartObj>
        <w:docPartGallery w:val="Page Numbers (Bottom of Page)"/>
        <w:docPartUnique/>
      </w:docPartObj>
    </w:sdtPr>
    <w:sdtEndPr/>
    <w:sdtContent>
      <w:p w14:paraId="7E3C94B3" w14:textId="27D8C60F" w:rsidR="00CB53E4" w:rsidRDefault="00CB53E4">
        <w:pPr>
          <w:pStyle w:val="Footer"/>
          <w:jc w:val="center"/>
        </w:pPr>
        <w:r>
          <w:rPr>
            <w:rFonts w:ascii="Gill Sans MT" w:hAnsi="Gill Sans MT"/>
          </w:rPr>
          <w:fldChar w:fldCharType="begin"/>
        </w:r>
        <w:r>
          <w:rPr>
            <w:rFonts w:ascii="Gill Sans MT" w:hAnsi="Gill Sans MT"/>
          </w:rPr>
          <w:instrText xml:space="preserve"> PAGE   \* MERGEFORMAT </w:instrText>
        </w:r>
        <w:r>
          <w:rPr>
            <w:rFonts w:ascii="Gill Sans MT" w:hAnsi="Gill Sans MT"/>
          </w:rPr>
          <w:fldChar w:fldCharType="separate"/>
        </w:r>
        <w:r w:rsidR="00A374A1">
          <w:rPr>
            <w:rFonts w:ascii="Gill Sans MT" w:hAnsi="Gill Sans MT"/>
            <w:noProof/>
          </w:rPr>
          <w:t>1</w:t>
        </w:r>
        <w:r>
          <w:rPr>
            <w:rFonts w:ascii="Gill Sans MT" w:hAnsi="Gill Sans MT"/>
          </w:rPr>
          <w:fldChar w:fldCharType="end"/>
        </w:r>
      </w:p>
    </w:sdtContent>
  </w:sdt>
  <w:p w14:paraId="752189E4" w14:textId="77777777" w:rsidR="00CB53E4" w:rsidRDefault="00CB53E4">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476801"/>
      <w:docPartObj>
        <w:docPartGallery w:val="Page Numbers (Bottom of Page)"/>
        <w:docPartUnique/>
      </w:docPartObj>
    </w:sdtPr>
    <w:sdtEndPr/>
    <w:sdtContent>
      <w:p w14:paraId="27367D48" w14:textId="1459C9E7" w:rsidR="00CB53E4" w:rsidRDefault="00CB53E4">
        <w:pPr>
          <w:pStyle w:val="Foote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A374A1">
          <w:rPr>
            <w:rFonts w:ascii="Gill Sans MT" w:hAnsi="Gill Sans MT"/>
            <w:noProof/>
          </w:rPr>
          <w:t>15</w:t>
        </w:r>
        <w:r w:rsidRPr="004004DA">
          <w:rPr>
            <w:rFonts w:ascii="Gill Sans MT" w:hAnsi="Gill Sans MT"/>
          </w:rPr>
          <w:fldChar w:fldCharType="end"/>
        </w:r>
      </w:p>
    </w:sdtContent>
  </w:sdt>
  <w:p w14:paraId="7070ECEC" w14:textId="77777777" w:rsidR="00CB53E4" w:rsidRDefault="00CB53E4">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9947974"/>
      <w:docPartObj>
        <w:docPartGallery w:val="Page Numbers (Bottom of Page)"/>
        <w:docPartUnique/>
      </w:docPartObj>
    </w:sdtPr>
    <w:sdtEndPr>
      <w:rPr>
        <w:noProof/>
        <w:sz w:val="18"/>
      </w:rPr>
    </w:sdtEndPr>
    <w:sdtContent>
      <w:p w14:paraId="09BCE35B" w14:textId="262C1D4C" w:rsidR="00CB53E4" w:rsidRPr="00AC154C" w:rsidRDefault="00CB53E4" w:rsidP="004A5C83">
        <w:pPr>
          <w:pStyle w:val="Footer"/>
          <w:jc w:val="center"/>
          <w:rPr>
            <w:sz w:val="18"/>
          </w:rPr>
        </w:pPr>
        <w:r w:rsidRPr="00AC154C">
          <w:rPr>
            <w:sz w:val="18"/>
          </w:rPr>
          <w:fldChar w:fldCharType="begin"/>
        </w:r>
        <w:r w:rsidRPr="00AC154C">
          <w:rPr>
            <w:sz w:val="18"/>
          </w:rPr>
          <w:instrText xml:space="preserve"> PAGE   \* MERGEFORMAT </w:instrText>
        </w:r>
        <w:r w:rsidRPr="00AC154C">
          <w:rPr>
            <w:sz w:val="18"/>
          </w:rPr>
          <w:fldChar w:fldCharType="separate"/>
        </w:r>
        <w:r w:rsidR="00A374A1">
          <w:rPr>
            <w:noProof/>
            <w:sz w:val="18"/>
          </w:rPr>
          <w:t>174</w:t>
        </w:r>
        <w:r w:rsidRPr="00AC154C">
          <w:rPr>
            <w:noProof/>
            <w:sz w:val="18"/>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C7FD27" w14:textId="77777777" w:rsidR="00CB53E4" w:rsidRPr="003117B3" w:rsidRDefault="00CB53E4" w:rsidP="00084431">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73888E" w14:textId="77777777" w:rsidR="00CB53E4" w:rsidRPr="003117B3" w:rsidRDefault="00CB53E4" w:rsidP="0008443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3F8049" w14:textId="77777777" w:rsidR="00CB53E4" w:rsidRDefault="00CB53E4" w:rsidP="00DE530A">
      <w:r>
        <w:separator/>
      </w:r>
    </w:p>
  </w:footnote>
  <w:footnote w:type="continuationSeparator" w:id="0">
    <w:p w14:paraId="3BED39D8" w14:textId="77777777" w:rsidR="00CB53E4" w:rsidRDefault="00CB53E4" w:rsidP="00DE530A">
      <w:r>
        <w:continuationSeparator/>
      </w:r>
    </w:p>
  </w:footnote>
  <w:footnote w:type="continuationNotice" w:id="1">
    <w:p w14:paraId="68EA78D5" w14:textId="77777777" w:rsidR="00CB53E4" w:rsidRDefault="00CB53E4">
      <w:pPr>
        <w:spacing w:before="0"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624B8A" w14:textId="77777777" w:rsidR="00A374A1" w:rsidRDefault="00A374A1">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0DBEA8" w14:textId="35F6C699" w:rsidR="00CB53E4" w:rsidRPr="003117B3"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7FFBF5" w14:textId="06EFAEA5" w:rsidR="00CB53E4" w:rsidRPr="003117B3"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6F87D0" w14:textId="77777777" w:rsidR="00CB53E4" w:rsidRPr="0019327D" w:rsidRDefault="00CB53E4" w:rsidP="00084431">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6FDE8" w14:textId="04DD3A30" w:rsidR="00CB53E4" w:rsidRPr="003117B3"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802893" w14:textId="29E8D470" w:rsidR="00CB53E4" w:rsidRPr="0019327D"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B64DFF" w14:textId="7457384A" w:rsidR="00CB53E4" w:rsidRPr="0019327D"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97AD2E" w14:textId="68D36BD5" w:rsidR="00CB53E4" w:rsidRPr="003117B3"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D72E96" w14:textId="49DA945D" w:rsidR="00CB53E4" w:rsidRPr="0019327D"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85DB24" w14:textId="6CA7738A" w:rsidR="00CB53E4" w:rsidRPr="003117B3"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8318A" w14:textId="59322717" w:rsidR="00CB53E4" w:rsidRPr="0019327D"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E91CC8" w14:textId="77777777" w:rsidR="00CB53E4" w:rsidRPr="00512A35" w:rsidRDefault="00CB53E4" w:rsidP="00727BE9">
    <w:pPr>
      <w:pStyle w:val="Header"/>
      <w:tabs>
        <w:tab w:val="clear" w:pos="4513"/>
        <w:tab w:val="clear" w:pos="9026"/>
      </w:tabs>
      <w:ind w:left="-142"/>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800261" w14:textId="1B328749" w:rsidR="00CB53E4" w:rsidRPr="003117B3"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284D74" w14:textId="51900D96" w:rsidR="00CB53E4" w:rsidRPr="0019327D"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990C8A" w14:textId="133335A3" w:rsidR="00CB53E4" w:rsidRPr="003117B3"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8730FA" w14:textId="3CBD282A" w:rsidR="00CB53E4" w:rsidRPr="0019327D"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911A4B" w14:textId="5E36DF73" w:rsidR="00CB53E4" w:rsidRPr="00C213BE"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18730" w14:textId="3A6B2B00" w:rsidR="00CB53E4" w:rsidRPr="0019327D"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D7C4FB" w14:textId="7F1E95ED" w:rsidR="00CB53E4" w:rsidRPr="003117B3"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E3B16C" w14:textId="238240BC" w:rsidR="00CB53E4" w:rsidRPr="0019327D"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B7FB08" w14:textId="5A0BF8B2" w:rsidR="00CB53E4" w:rsidRPr="003117B3"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CEBD1" w14:textId="7AD83A0E" w:rsidR="00CB53E4" w:rsidRDefault="00CB53E4" w:rsidP="002670A8">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F96D94" w14:textId="05DDA198" w:rsidR="00CB53E4" w:rsidRDefault="00CB53E4" w:rsidP="004004DA">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ED189A" w14:textId="5F706BD4" w:rsidR="00CB53E4" w:rsidRPr="002670A8" w:rsidRDefault="00CB53E4" w:rsidP="002670A8">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DBF908" w14:textId="778112AA" w:rsidR="00CB53E4" w:rsidRPr="004C67F5" w:rsidRDefault="00CB53E4" w:rsidP="004C67F5">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087631" w14:textId="41E9C9EC" w:rsidR="00CB53E4" w:rsidRPr="006B1D5F"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B5448E" w14:textId="4E767E2E" w:rsidR="00CB53E4" w:rsidRPr="0019327D"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D9B9E0" w14:textId="44FEEEBA" w:rsidR="00CB53E4" w:rsidRPr="0019327D" w:rsidRDefault="00CB53E4" w:rsidP="006B1D5F">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rPr>
      <w:t>Marine Monitoring Program</w:t>
    </w:r>
    <w:r>
      <w:rPr>
        <w:rFonts w:ascii="Gill Sans MT" w:eastAsia="Times New Roman" w:hAnsi="Gill Sans MT"/>
        <w:smallCaps/>
        <w:sz w:val="20"/>
      </w:rPr>
      <w:tab/>
    </w:r>
    <w:r w:rsidRPr="005935D8">
      <w:rPr>
        <w:rFonts w:ascii="Gill Sans MT" w:eastAsia="Times New Roman" w:hAnsi="Gill Sans MT"/>
        <w:smallCaps/>
        <w:sz w:val="20"/>
      </w:rPr>
      <w:t>QA/QC</w:t>
    </w:r>
    <w:r>
      <w:rPr>
        <w:rFonts w:ascii="Gill Sans MT" w:eastAsia="Times New Roman" w:hAnsi="Gill Sans MT"/>
        <w:smallCaps/>
        <w:sz w:val="20"/>
      </w:rPr>
      <w:t xml:space="preserve"> Manual</w:t>
    </w:r>
    <w:r w:rsidRPr="005935D8">
      <w:rPr>
        <w:rFonts w:ascii="Gill Sans MT" w:eastAsia="Times New Roman" w:hAnsi="Gill Sans MT"/>
        <w:smallCaps/>
        <w:sz w:val="20"/>
      </w:rPr>
      <w:t xml:space="preserve"> </w:t>
    </w:r>
    <w:r>
      <w:rPr>
        <w:rFonts w:ascii="Gill Sans MT" w:eastAsia="Times New Roman" w:hAnsi="Gill Sans MT"/>
        <w:smallCaps/>
        <w:sz w:val="20"/>
      </w:rPr>
      <w:t>2017–2018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86D87"/>
    <w:multiLevelType w:val="hybridMultilevel"/>
    <w:tmpl w:val="5D3C40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05276BA"/>
    <w:multiLevelType w:val="hybridMultilevel"/>
    <w:tmpl w:val="08F87C80"/>
    <w:lvl w:ilvl="0" w:tplc="AD423CB2">
      <w:start w:val="1"/>
      <w:numFmt w:val="bullet"/>
      <w:lvlText w:val="-"/>
      <w:lvlJc w:val="left"/>
      <w:pPr>
        <w:ind w:left="154" w:hanging="161"/>
      </w:pPr>
      <w:rPr>
        <w:rFonts w:ascii="Trebuchet MS" w:eastAsia="Trebuchet MS" w:hAnsi="Trebuchet MS" w:hint="default"/>
        <w:sz w:val="24"/>
        <w:szCs w:val="24"/>
      </w:rPr>
    </w:lvl>
    <w:lvl w:ilvl="1" w:tplc="0B24BF12">
      <w:start w:val="1"/>
      <w:numFmt w:val="bullet"/>
      <w:lvlText w:val="•"/>
      <w:lvlJc w:val="left"/>
      <w:pPr>
        <w:ind w:left="1056" w:hanging="161"/>
      </w:pPr>
      <w:rPr>
        <w:rFonts w:hint="default"/>
      </w:rPr>
    </w:lvl>
    <w:lvl w:ilvl="2" w:tplc="AAB690A0">
      <w:start w:val="1"/>
      <w:numFmt w:val="bullet"/>
      <w:lvlText w:val="•"/>
      <w:lvlJc w:val="left"/>
      <w:pPr>
        <w:ind w:left="1959" w:hanging="161"/>
      </w:pPr>
      <w:rPr>
        <w:rFonts w:hint="default"/>
      </w:rPr>
    </w:lvl>
    <w:lvl w:ilvl="3" w:tplc="F31067B2">
      <w:start w:val="1"/>
      <w:numFmt w:val="bullet"/>
      <w:lvlText w:val="•"/>
      <w:lvlJc w:val="left"/>
      <w:pPr>
        <w:ind w:left="2862" w:hanging="161"/>
      </w:pPr>
      <w:rPr>
        <w:rFonts w:hint="default"/>
      </w:rPr>
    </w:lvl>
    <w:lvl w:ilvl="4" w:tplc="B4FE1F56">
      <w:start w:val="1"/>
      <w:numFmt w:val="bullet"/>
      <w:lvlText w:val="•"/>
      <w:lvlJc w:val="left"/>
      <w:pPr>
        <w:ind w:left="3765" w:hanging="161"/>
      </w:pPr>
      <w:rPr>
        <w:rFonts w:hint="default"/>
      </w:rPr>
    </w:lvl>
    <w:lvl w:ilvl="5" w:tplc="684808F6">
      <w:start w:val="1"/>
      <w:numFmt w:val="bullet"/>
      <w:lvlText w:val="•"/>
      <w:lvlJc w:val="left"/>
      <w:pPr>
        <w:ind w:left="4668" w:hanging="161"/>
      </w:pPr>
      <w:rPr>
        <w:rFonts w:hint="default"/>
      </w:rPr>
    </w:lvl>
    <w:lvl w:ilvl="6" w:tplc="1548C4D8">
      <w:start w:val="1"/>
      <w:numFmt w:val="bullet"/>
      <w:lvlText w:val="•"/>
      <w:lvlJc w:val="left"/>
      <w:pPr>
        <w:ind w:left="5571" w:hanging="161"/>
      </w:pPr>
      <w:rPr>
        <w:rFonts w:hint="default"/>
      </w:rPr>
    </w:lvl>
    <w:lvl w:ilvl="7" w:tplc="31F6F072">
      <w:start w:val="1"/>
      <w:numFmt w:val="bullet"/>
      <w:lvlText w:val="•"/>
      <w:lvlJc w:val="left"/>
      <w:pPr>
        <w:ind w:left="6474" w:hanging="161"/>
      </w:pPr>
      <w:rPr>
        <w:rFonts w:hint="default"/>
      </w:rPr>
    </w:lvl>
    <w:lvl w:ilvl="8" w:tplc="F474CAAE">
      <w:start w:val="1"/>
      <w:numFmt w:val="bullet"/>
      <w:lvlText w:val="•"/>
      <w:lvlJc w:val="left"/>
      <w:pPr>
        <w:ind w:left="7377" w:hanging="161"/>
      </w:pPr>
      <w:rPr>
        <w:rFonts w:hint="default"/>
      </w:rPr>
    </w:lvl>
  </w:abstractNum>
  <w:abstractNum w:abstractNumId="2" w15:restartNumberingAfterBreak="0">
    <w:nsid w:val="008E73C4"/>
    <w:multiLevelType w:val="multilevel"/>
    <w:tmpl w:val="A9467848"/>
    <w:lvl w:ilvl="0">
      <w:start w:val="4"/>
      <w:numFmt w:val="decimal"/>
      <w:lvlText w:val="%1"/>
      <w:lvlJc w:val="left"/>
      <w:pPr>
        <w:ind w:left="678" w:hanging="540"/>
      </w:pPr>
      <w:rPr>
        <w:rFonts w:hint="default"/>
      </w:rPr>
    </w:lvl>
    <w:lvl w:ilvl="1">
      <w:start w:val="1"/>
      <w:numFmt w:val="decimal"/>
      <w:lvlText w:val="%1.%2"/>
      <w:lvlJc w:val="left"/>
      <w:pPr>
        <w:ind w:left="678" w:hanging="540"/>
      </w:pPr>
      <w:rPr>
        <w:rFonts w:ascii="Calibri" w:eastAsia="Calibri" w:hAnsi="Calibri" w:hint="default"/>
        <w:b/>
        <w:bCs/>
        <w:sz w:val="22"/>
        <w:szCs w:val="22"/>
      </w:rPr>
    </w:lvl>
    <w:lvl w:ilvl="2">
      <w:start w:val="1"/>
      <w:numFmt w:val="decimal"/>
      <w:lvlText w:val="%1.%2.%3"/>
      <w:lvlJc w:val="left"/>
      <w:pPr>
        <w:ind w:left="1271" w:hanging="567"/>
      </w:pPr>
      <w:rPr>
        <w:rFonts w:ascii="Calibri" w:eastAsia="Calibri" w:hAnsi="Calibri" w:hint="default"/>
        <w:b/>
        <w:bCs/>
        <w:sz w:val="22"/>
        <w:szCs w:val="22"/>
      </w:rPr>
    </w:lvl>
    <w:lvl w:ilvl="3">
      <w:start w:val="1"/>
      <w:numFmt w:val="bullet"/>
      <w:lvlText w:val="•"/>
      <w:lvlJc w:val="left"/>
      <w:pPr>
        <w:ind w:left="3079" w:hanging="567"/>
      </w:pPr>
      <w:rPr>
        <w:rFonts w:hint="default"/>
      </w:rPr>
    </w:lvl>
    <w:lvl w:ilvl="4">
      <w:start w:val="1"/>
      <w:numFmt w:val="bullet"/>
      <w:lvlText w:val="•"/>
      <w:lvlJc w:val="left"/>
      <w:pPr>
        <w:ind w:left="3983" w:hanging="567"/>
      </w:pPr>
      <w:rPr>
        <w:rFonts w:hint="default"/>
      </w:rPr>
    </w:lvl>
    <w:lvl w:ilvl="5">
      <w:start w:val="1"/>
      <w:numFmt w:val="bullet"/>
      <w:lvlText w:val="•"/>
      <w:lvlJc w:val="left"/>
      <w:pPr>
        <w:ind w:left="4887" w:hanging="567"/>
      </w:pPr>
      <w:rPr>
        <w:rFonts w:hint="default"/>
      </w:rPr>
    </w:lvl>
    <w:lvl w:ilvl="6">
      <w:start w:val="1"/>
      <w:numFmt w:val="bullet"/>
      <w:lvlText w:val="•"/>
      <w:lvlJc w:val="left"/>
      <w:pPr>
        <w:ind w:left="5790" w:hanging="567"/>
      </w:pPr>
      <w:rPr>
        <w:rFonts w:hint="default"/>
      </w:rPr>
    </w:lvl>
    <w:lvl w:ilvl="7">
      <w:start w:val="1"/>
      <w:numFmt w:val="bullet"/>
      <w:lvlText w:val="•"/>
      <w:lvlJc w:val="left"/>
      <w:pPr>
        <w:ind w:left="6694" w:hanging="567"/>
      </w:pPr>
      <w:rPr>
        <w:rFonts w:hint="default"/>
      </w:rPr>
    </w:lvl>
    <w:lvl w:ilvl="8">
      <w:start w:val="1"/>
      <w:numFmt w:val="bullet"/>
      <w:lvlText w:val="•"/>
      <w:lvlJc w:val="left"/>
      <w:pPr>
        <w:ind w:left="7598" w:hanging="567"/>
      </w:pPr>
      <w:rPr>
        <w:rFonts w:hint="default"/>
      </w:rPr>
    </w:lvl>
  </w:abstractNum>
  <w:abstractNum w:abstractNumId="3" w15:restartNumberingAfterBreak="0">
    <w:nsid w:val="04166452"/>
    <w:multiLevelType w:val="hybridMultilevel"/>
    <w:tmpl w:val="B6963426"/>
    <w:lvl w:ilvl="0" w:tplc="2604CD50">
      <w:start w:val="1"/>
      <w:numFmt w:val="decimal"/>
      <w:lvlText w:val="%1."/>
      <w:lvlJc w:val="left"/>
      <w:pPr>
        <w:ind w:left="478" w:hanging="360"/>
      </w:pPr>
      <w:rPr>
        <w:rFonts w:ascii="Calibri" w:eastAsia="Calibri" w:hAnsi="Calibri" w:hint="default"/>
        <w:sz w:val="22"/>
        <w:szCs w:val="22"/>
      </w:rPr>
    </w:lvl>
    <w:lvl w:ilvl="1" w:tplc="34FC05F8">
      <w:start w:val="1"/>
      <w:numFmt w:val="lowerLetter"/>
      <w:lvlText w:val="%2."/>
      <w:lvlJc w:val="left"/>
      <w:pPr>
        <w:ind w:left="970" w:hanging="425"/>
      </w:pPr>
      <w:rPr>
        <w:rFonts w:ascii="Calibri" w:eastAsia="Calibri" w:hAnsi="Calibri" w:hint="default"/>
        <w:sz w:val="22"/>
        <w:szCs w:val="22"/>
      </w:rPr>
    </w:lvl>
    <w:lvl w:ilvl="2" w:tplc="7BFA9ABA">
      <w:start w:val="1"/>
      <w:numFmt w:val="bullet"/>
      <w:lvlText w:val="•"/>
      <w:lvlJc w:val="left"/>
      <w:pPr>
        <w:ind w:left="1896" w:hanging="425"/>
      </w:pPr>
      <w:rPr>
        <w:rFonts w:hint="default"/>
      </w:rPr>
    </w:lvl>
    <w:lvl w:ilvl="3" w:tplc="6F1269B2">
      <w:start w:val="1"/>
      <w:numFmt w:val="bullet"/>
      <w:lvlText w:val="•"/>
      <w:lvlJc w:val="left"/>
      <w:pPr>
        <w:ind w:left="2823" w:hanging="425"/>
      </w:pPr>
      <w:rPr>
        <w:rFonts w:hint="default"/>
      </w:rPr>
    </w:lvl>
    <w:lvl w:ilvl="4" w:tplc="43824D7C">
      <w:start w:val="1"/>
      <w:numFmt w:val="bullet"/>
      <w:lvlText w:val="•"/>
      <w:lvlJc w:val="left"/>
      <w:pPr>
        <w:ind w:left="3749" w:hanging="425"/>
      </w:pPr>
      <w:rPr>
        <w:rFonts w:hint="default"/>
      </w:rPr>
    </w:lvl>
    <w:lvl w:ilvl="5" w:tplc="06F67908">
      <w:start w:val="1"/>
      <w:numFmt w:val="bullet"/>
      <w:lvlText w:val="•"/>
      <w:lvlJc w:val="left"/>
      <w:pPr>
        <w:ind w:left="4675" w:hanging="425"/>
      </w:pPr>
      <w:rPr>
        <w:rFonts w:hint="default"/>
      </w:rPr>
    </w:lvl>
    <w:lvl w:ilvl="6" w:tplc="A3206AEC">
      <w:start w:val="1"/>
      <w:numFmt w:val="bullet"/>
      <w:lvlText w:val="•"/>
      <w:lvlJc w:val="left"/>
      <w:pPr>
        <w:ind w:left="5601" w:hanging="425"/>
      </w:pPr>
      <w:rPr>
        <w:rFonts w:hint="default"/>
      </w:rPr>
    </w:lvl>
    <w:lvl w:ilvl="7" w:tplc="441A037E">
      <w:start w:val="1"/>
      <w:numFmt w:val="bullet"/>
      <w:lvlText w:val="•"/>
      <w:lvlJc w:val="left"/>
      <w:pPr>
        <w:ind w:left="6527" w:hanging="425"/>
      </w:pPr>
      <w:rPr>
        <w:rFonts w:hint="default"/>
      </w:rPr>
    </w:lvl>
    <w:lvl w:ilvl="8" w:tplc="70144F18">
      <w:start w:val="1"/>
      <w:numFmt w:val="bullet"/>
      <w:lvlText w:val="•"/>
      <w:lvlJc w:val="left"/>
      <w:pPr>
        <w:ind w:left="7454" w:hanging="425"/>
      </w:pPr>
      <w:rPr>
        <w:rFonts w:hint="default"/>
      </w:rPr>
    </w:lvl>
  </w:abstractNum>
  <w:abstractNum w:abstractNumId="4" w15:restartNumberingAfterBreak="0">
    <w:nsid w:val="044A2F21"/>
    <w:multiLevelType w:val="hybridMultilevel"/>
    <w:tmpl w:val="9E2C9DCE"/>
    <w:lvl w:ilvl="0" w:tplc="85463DA8">
      <w:start w:val="1"/>
      <w:numFmt w:val="decimal"/>
      <w:lvlText w:val="%1."/>
      <w:lvlJc w:val="left"/>
      <w:pPr>
        <w:ind w:left="478" w:hanging="360"/>
      </w:pPr>
      <w:rPr>
        <w:rFonts w:ascii="Calibri" w:eastAsia="Calibri" w:hAnsi="Calibri" w:hint="default"/>
        <w:sz w:val="22"/>
        <w:szCs w:val="22"/>
      </w:rPr>
    </w:lvl>
    <w:lvl w:ilvl="1" w:tplc="A60A4ADE">
      <w:start w:val="1"/>
      <w:numFmt w:val="bullet"/>
      <w:lvlText w:val="•"/>
      <w:lvlJc w:val="left"/>
      <w:pPr>
        <w:ind w:left="1361" w:hanging="360"/>
      </w:pPr>
      <w:rPr>
        <w:rFonts w:hint="default"/>
      </w:rPr>
    </w:lvl>
    <w:lvl w:ilvl="2" w:tplc="B210C30E">
      <w:start w:val="1"/>
      <w:numFmt w:val="bullet"/>
      <w:lvlText w:val="•"/>
      <w:lvlJc w:val="left"/>
      <w:pPr>
        <w:ind w:left="2244" w:hanging="360"/>
      </w:pPr>
      <w:rPr>
        <w:rFonts w:hint="default"/>
      </w:rPr>
    </w:lvl>
    <w:lvl w:ilvl="3" w:tplc="809ED38A">
      <w:start w:val="1"/>
      <w:numFmt w:val="bullet"/>
      <w:lvlText w:val="•"/>
      <w:lvlJc w:val="left"/>
      <w:pPr>
        <w:ind w:left="3127" w:hanging="360"/>
      </w:pPr>
      <w:rPr>
        <w:rFonts w:hint="default"/>
      </w:rPr>
    </w:lvl>
    <w:lvl w:ilvl="4" w:tplc="0D6429A6">
      <w:start w:val="1"/>
      <w:numFmt w:val="bullet"/>
      <w:lvlText w:val="•"/>
      <w:lvlJc w:val="left"/>
      <w:pPr>
        <w:ind w:left="4009" w:hanging="360"/>
      </w:pPr>
      <w:rPr>
        <w:rFonts w:hint="default"/>
      </w:rPr>
    </w:lvl>
    <w:lvl w:ilvl="5" w:tplc="3F0296F4">
      <w:start w:val="1"/>
      <w:numFmt w:val="bullet"/>
      <w:lvlText w:val="•"/>
      <w:lvlJc w:val="left"/>
      <w:pPr>
        <w:ind w:left="4892" w:hanging="360"/>
      </w:pPr>
      <w:rPr>
        <w:rFonts w:hint="default"/>
      </w:rPr>
    </w:lvl>
    <w:lvl w:ilvl="6" w:tplc="8F2C0E2E">
      <w:start w:val="1"/>
      <w:numFmt w:val="bullet"/>
      <w:lvlText w:val="•"/>
      <w:lvlJc w:val="left"/>
      <w:pPr>
        <w:ind w:left="5775" w:hanging="360"/>
      </w:pPr>
      <w:rPr>
        <w:rFonts w:hint="default"/>
      </w:rPr>
    </w:lvl>
    <w:lvl w:ilvl="7" w:tplc="5CA20620">
      <w:start w:val="1"/>
      <w:numFmt w:val="bullet"/>
      <w:lvlText w:val="•"/>
      <w:lvlJc w:val="left"/>
      <w:pPr>
        <w:ind w:left="6658" w:hanging="360"/>
      </w:pPr>
      <w:rPr>
        <w:rFonts w:hint="default"/>
      </w:rPr>
    </w:lvl>
    <w:lvl w:ilvl="8" w:tplc="70D88A1C">
      <w:start w:val="1"/>
      <w:numFmt w:val="bullet"/>
      <w:lvlText w:val="•"/>
      <w:lvlJc w:val="left"/>
      <w:pPr>
        <w:ind w:left="7540" w:hanging="360"/>
      </w:pPr>
      <w:rPr>
        <w:rFonts w:hint="default"/>
      </w:rPr>
    </w:lvl>
  </w:abstractNum>
  <w:abstractNum w:abstractNumId="5" w15:restartNumberingAfterBreak="0">
    <w:nsid w:val="04B12AD6"/>
    <w:multiLevelType w:val="hybridMultilevel"/>
    <w:tmpl w:val="FB8CE37C"/>
    <w:lvl w:ilvl="0" w:tplc="CF14A6A2">
      <w:start w:val="1"/>
      <w:numFmt w:val="decimal"/>
      <w:lvlText w:val="%1)"/>
      <w:lvlJc w:val="left"/>
      <w:pPr>
        <w:ind w:left="498" w:hanging="231"/>
      </w:pPr>
      <w:rPr>
        <w:rFonts w:ascii="Calibri" w:eastAsia="Calibri" w:hAnsi="Calibri" w:hint="default"/>
        <w:sz w:val="22"/>
        <w:szCs w:val="22"/>
      </w:rPr>
    </w:lvl>
    <w:lvl w:ilvl="1" w:tplc="165C0F76">
      <w:start w:val="1"/>
      <w:numFmt w:val="bullet"/>
      <w:lvlText w:val="•"/>
      <w:lvlJc w:val="left"/>
      <w:pPr>
        <w:ind w:left="1381" w:hanging="231"/>
      </w:pPr>
      <w:rPr>
        <w:rFonts w:hint="default"/>
      </w:rPr>
    </w:lvl>
    <w:lvl w:ilvl="2" w:tplc="A6CA25E2">
      <w:start w:val="1"/>
      <w:numFmt w:val="bullet"/>
      <w:lvlText w:val="•"/>
      <w:lvlJc w:val="left"/>
      <w:pPr>
        <w:ind w:left="2264" w:hanging="231"/>
      </w:pPr>
      <w:rPr>
        <w:rFonts w:hint="default"/>
      </w:rPr>
    </w:lvl>
    <w:lvl w:ilvl="3" w:tplc="C5D61728">
      <w:start w:val="1"/>
      <w:numFmt w:val="bullet"/>
      <w:lvlText w:val="•"/>
      <w:lvlJc w:val="left"/>
      <w:pPr>
        <w:ind w:left="3147" w:hanging="231"/>
      </w:pPr>
      <w:rPr>
        <w:rFonts w:hint="default"/>
      </w:rPr>
    </w:lvl>
    <w:lvl w:ilvl="4" w:tplc="C38C8706">
      <w:start w:val="1"/>
      <w:numFmt w:val="bullet"/>
      <w:lvlText w:val="•"/>
      <w:lvlJc w:val="left"/>
      <w:pPr>
        <w:ind w:left="4029" w:hanging="231"/>
      </w:pPr>
      <w:rPr>
        <w:rFonts w:hint="default"/>
      </w:rPr>
    </w:lvl>
    <w:lvl w:ilvl="5" w:tplc="6B9A74D8">
      <w:start w:val="1"/>
      <w:numFmt w:val="bullet"/>
      <w:lvlText w:val="•"/>
      <w:lvlJc w:val="left"/>
      <w:pPr>
        <w:ind w:left="4912" w:hanging="231"/>
      </w:pPr>
      <w:rPr>
        <w:rFonts w:hint="default"/>
      </w:rPr>
    </w:lvl>
    <w:lvl w:ilvl="6" w:tplc="14EA98D6">
      <w:start w:val="1"/>
      <w:numFmt w:val="bullet"/>
      <w:lvlText w:val="•"/>
      <w:lvlJc w:val="left"/>
      <w:pPr>
        <w:ind w:left="5795" w:hanging="231"/>
      </w:pPr>
      <w:rPr>
        <w:rFonts w:hint="default"/>
      </w:rPr>
    </w:lvl>
    <w:lvl w:ilvl="7" w:tplc="C5FCFABC">
      <w:start w:val="1"/>
      <w:numFmt w:val="bullet"/>
      <w:lvlText w:val="•"/>
      <w:lvlJc w:val="left"/>
      <w:pPr>
        <w:ind w:left="6678" w:hanging="231"/>
      </w:pPr>
      <w:rPr>
        <w:rFonts w:hint="default"/>
      </w:rPr>
    </w:lvl>
    <w:lvl w:ilvl="8" w:tplc="B92444EE">
      <w:start w:val="1"/>
      <w:numFmt w:val="bullet"/>
      <w:lvlText w:val="•"/>
      <w:lvlJc w:val="left"/>
      <w:pPr>
        <w:ind w:left="7560" w:hanging="231"/>
      </w:pPr>
      <w:rPr>
        <w:rFonts w:hint="default"/>
      </w:rPr>
    </w:lvl>
  </w:abstractNum>
  <w:abstractNum w:abstractNumId="6" w15:restartNumberingAfterBreak="0">
    <w:nsid w:val="051F223A"/>
    <w:multiLevelType w:val="hybridMultilevel"/>
    <w:tmpl w:val="78C6A452"/>
    <w:lvl w:ilvl="0" w:tplc="8FA41DD4">
      <w:start w:val="7"/>
      <w:numFmt w:val="decimal"/>
      <w:lvlText w:val="%1."/>
      <w:lvlJc w:val="left"/>
      <w:pPr>
        <w:ind w:left="402" w:hanging="284"/>
      </w:pPr>
      <w:rPr>
        <w:rFonts w:ascii="Calibri" w:eastAsia="Calibri" w:hAnsi="Calibri" w:hint="default"/>
        <w:i/>
        <w:sz w:val="22"/>
        <w:szCs w:val="22"/>
      </w:rPr>
    </w:lvl>
    <w:lvl w:ilvl="1" w:tplc="AD4820FE">
      <w:start w:val="1"/>
      <w:numFmt w:val="bullet"/>
      <w:lvlText w:val="•"/>
      <w:lvlJc w:val="left"/>
      <w:pPr>
        <w:ind w:left="1292" w:hanging="284"/>
      </w:pPr>
      <w:rPr>
        <w:rFonts w:hint="default"/>
      </w:rPr>
    </w:lvl>
    <w:lvl w:ilvl="2" w:tplc="01988D10">
      <w:start w:val="1"/>
      <w:numFmt w:val="bullet"/>
      <w:lvlText w:val="•"/>
      <w:lvlJc w:val="left"/>
      <w:pPr>
        <w:ind w:left="2182" w:hanging="284"/>
      </w:pPr>
      <w:rPr>
        <w:rFonts w:hint="default"/>
      </w:rPr>
    </w:lvl>
    <w:lvl w:ilvl="3" w:tplc="465831C8">
      <w:start w:val="1"/>
      <w:numFmt w:val="bullet"/>
      <w:lvlText w:val="•"/>
      <w:lvlJc w:val="left"/>
      <w:pPr>
        <w:ind w:left="3073" w:hanging="284"/>
      </w:pPr>
      <w:rPr>
        <w:rFonts w:hint="default"/>
      </w:rPr>
    </w:lvl>
    <w:lvl w:ilvl="4" w:tplc="44863B2A">
      <w:start w:val="1"/>
      <w:numFmt w:val="bullet"/>
      <w:lvlText w:val="•"/>
      <w:lvlJc w:val="left"/>
      <w:pPr>
        <w:ind w:left="3963" w:hanging="284"/>
      </w:pPr>
      <w:rPr>
        <w:rFonts w:hint="default"/>
      </w:rPr>
    </w:lvl>
    <w:lvl w:ilvl="5" w:tplc="1D2C6B2E">
      <w:start w:val="1"/>
      <w:numFmt w:val="bullet"/>
      <w:lvlText w:val="•"/>
      <w:lvlJc w:val="left"/>
      <w:pPr>
        <w:ind w:left="4854" w:hanging="284"/>
      </w:pPr>
      <w:rPr>
        <w:rFonts w:hint="default"/>
      </w:rPr>
    </w:lvl>
    <w:lvl w:ilvl="6" w:tplc="3B267DE2">
      <w:start w:val="1"/>
      <w:numFmt w:val="bullet"/>
      <w:lvlText w:val="•"/>
      <w:lvlJc w:val="left"/>
      <w:pPr>
        <w:ind w:left="5744" w:hanging="284"/>
      </w:pPr>
      <w:rPr>
        <w:rFonts w:hint="default"/>
      </w:rPr>
    </w:lvl>
    <w:lvl w:ilvl="7" w:tplc="C8EEEBCC">
      <w:start w:val="1"/>
      <w:numFmt w:val="bullet"/>
      <w:lvlText w:val="•"/>
      <w:lvlJc w:val="left"/>
      <w:pPr>
        <w:ind w:left="6635" w:hanging="284"/>
      </w:pPr>
      <w:rPr>
        <w:rFonts w:hint="default"/>
      </w:rPr>
    </w:lvl>
    <w:lvl w:ilvl="8" w:tplc="B1E64952">
      <w:start w:val="1"/>
      <w:numFmt w:val="bullet"/>
      <w:lvlText w:val="•"/>
      <w:lvlJc w:val="left"/>
      <w:pPr>
        <w:ind w:left="7525" w:hanging="284"/>
      </w:pPr>
      <w:rPr>
        <w:rFonts w:hint="default"/>
      </w:rPr>
    </w:lvl>
  </w:abstractNum>
  <w:abstractNum w:abstractNumId="7" w15:restartNumberingAfterBreak="0">
    <w:nsid w:val="05413DE7"/>
    <w:multiLevelType w:val="hybridMultilevel"/>
    <w:tmpl w:val="1A7C8C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5473583"/>
    <w:multiLevelType w:val="hybridMultilevel"/>
    <w:tmpl w:val="2D5ED5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5DC7861"/>
    <w:multiLevelType w:val="hybridMultilevel"/>
    <w:tmpl w:val="F67810AE"/>
    <w:lvl w:ilvl="0" w:tplc="24A64B0A">
      <w:start w:val="1"/>
      <w:numFmt w:val="bullet"/>
      <w:lvlText w:val=""/>
      <w:lvlJc w:val="left"/>
      <w:pPr>
        <w:ind w:left="838" w:hanging="360"/>
      </w:pPr>
      <w:rPr>
        <w:rFonts w:ascii="Symbol" w:eastAsia="Symbol" w:hAnsi="Symbol" w:hint="default"/>
        <w:sz w:val="22"/>
        <w:szCs w:val="22"/>
      </w:rPr>
    </w:lvl>
    <w:lvl w:ilvl="1" w:tplc="5186D7D8">
      <w:start w:val="1"/>
      <w:numFmt w:val="bullet"/>
      <w:lvlText w:val="•"/>
      <w:lvlJc w:val="left"/>
      <w:pPr>
        <w:ind w:left="1685" w:hanging="360"/>
      </w:pPr>
      <w:rPr>
        <w:rFonts w:hint="default"/>
      </w:rPr>
    </w:lvl>
    <w:lvl w:ilvl="2" w:tplc="3574EBC0">
      <w:start w:val="1"/>
      <w:numFmt w:val="bullet"/>
      <w:lvlText w:val="•"/>
      <w:lvlJc w:val="left"/>
      <w:pPr>
        <w:ind w:left="2532" w:hanging="360"/>
      </w:pPr>
      <w:rPr>
        <w:rFonts w:hint="default"/>
      </w:rPr>
    </w:lvl>
    <w:lvl w:ilvl="3" w:tplc="AC8C2AF0">
      <w:start w:val="1"/>
      <w:numFmt w:val="bullet"/>
      <w:lvlText w:val="•"/>
      <w:lvlJc w:val="left"/>
      <w:pPr>
        <w:ind w:left="3379" w:hanging="360"/>
      </w:pPr>
      <w:rPr>
        <w:rFonts w:hint="default"/>
      </w:rPr>
    </w:lvl>
    <w:lvl w:ilvl="4" w:tplc="8F948D7C">
      <w:start w:val="1"/>
      <w:numFmt w:val="bullet"/>
      <w:lvlText w:val="•"/>
      <w:lvlJc w:val="left"/>
      <w:pPr>
        <w:ind w:left="4225" w:hanging="360"/>
      </w:pPr>
      <w:rPr>
        <w:rFonts w:hint="default"/>
      </w:rPr>
    </w:lvl>
    <w:lvl w:ilvl="5" w:tplc="4E9AD9F0">
      <w:start w:val="1"/>
      <w:numFmt w:val="bullet"/>
      <w:lvlText w:val="•"/>
      <w:lvlJc w:val="left"/>
      <w:pPr>
        <w:ind w:left="5072" w:hanging="360"/>
      </w:pPr>
      <w:rPr>
        <w:rFonts w:hint="default"/>
      </w:rPr>
    </w:lvl>
    <w:lvl w:ilvl="6" w:tplc="718A1670">
      <w:start w:val="1"/>
      <w:numFmt w:val="bullet"/>
      <w:lvlText w:val="•"/>
      <w:lvlJc w:val="left"/>
      <w:pPr>
        <w:ind w:left="5919" w:hanging="360"/>
      </w:pPr>
      <w:rPr>
        <w:rFonts w:hint="default"/>
      </w:rPr>
    </w:lvl>
    <w:lvl w:ilvl="7" w:tplc="0E401F36">
      <w:start w:val="1"/>
      <w:numFmt w:val="bullet"/>
      <w:lvlText w:val="•"/>
      <w:lvlJc w:val="left"/>
      <w:pPr>
        <w:ind w:left="6766" w:hanging="360"/>
      </w:pPr>
      <w:rPr>
        <w:rFonts w:hint="default"/>
      </w:rPr>
    </w:lvl>
    <w:lvl w:ilvl="8" w:tplc="E0A015A6">
      <w:start w:val="1"/>
      <w:numFmt w:val="bullet"/>
      <w:lvlText w:val="•"/>
      <w:lvlJc w:val="left"/>
      <w:pPr>
        <w:ind w:left="7612" w:hanging="360"/>
      </w:pPr>
      <w:rPr>
        <w:rFonts w:hint="default"/>
      </w:rPr>
    </w:lvl>
  </w:abstractNum>
  <w:abstractNum w:abstractNumId="10" w15:restartNumberingAfterBreak="0">
    <w:nsid w:val="062443A1"/>
    <w:multiLevelType w:val="multilevel"/>
    <w:tmpl w:val="3D068960"/>
    <w:lvl w:ilvl="0">
      <w:start w:val="14"/>
      <w:numFmt w:val="upperLetter"/>
      <w:lvlText w:val="%1"/>
      <w:lvlJc w:val="left"/>
      <w:pPr>
        <w:ind w:left="118" w:hanging="427"/>
      </w:pPr>
      <w:rPr>
        <w:rFonts w:hint="default"/>
      </w:rPr>
    </w:lvl>
    <w:lvl w:ilvl="1">
      <w:start w:val="2"/>
      <w:numFmt w:val="upperLetter"/>
      <w:lvlText w:val="%1.%2."/>
      <w:lvlJc w:val="left"/>
      <w:pPr>
        <w:ind w:left="118" w:hanging="427"/>
      </w:pPr>
      <w:rPr>
        <w:rFonts w:ascii="Calibri" w:eastAsia="Calibri" w:hAnsi="Calibri" w:hint="default"/>
        <w:spacing w:val="-1"/>
        <w:sz w:val="22"/>
        <w:szCs w:val="22"/>
      </w:rPr>
    </w:lvl>
    <w:lvl w:ilvl="2">
      <w:start w:val="1"/>
      <w:numFmt w:val="bullet"/>
      <w:lvlText w:val=""/>
      <w:lvlJc w:val="left"/>
      <w:pPr>
        <w:ind w:left="838" w:hanging="360"/>
      </w:pPr>
      <w:rPr>
        <w:rFonts w:ascii="Symbol" w:eastAsia="Symbol" w:hAnsi="Symbol" w:hint="default"/>
        <w:sz w:val="22"/>
        <w:szCs w:val="22"/>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543" w:hanging="360"/>
      </w:pPr>
      <w:rPr>
        <w:rFonts w:hint="default"/>
      </w:rPr>
    </w:lvl>
    <w:lvl w:ilvl="7">
      <w:start w:val="1"/>
      <w:numFmt w:val="bullet"/>
      <w:lvlText w:val="•"/>
      <w:lvlJc w:val="left"/>
      <w:pPr>
        <w:ind w:left="6483" w:hanging="360"/>
      </w:pPr>
      <w:rPr>
        <w:rFonts w:hint="default"/>
      </w:rPr>
    </w:lvl>
    <w:lvl w:ilvl="8">
      <w:start w:val="1"/>
      <w:numFmt w:val="bullet"/>
      <w:lvlText w:val="•"/>
      <w:lvlJc w:val="left"/>
      <w:pPr>
        <w:ind w:left="7424" w:hanging="360"/>
      </w:pPr>
      <w:rPr>
        <w:rFonts w:hint="default"/>
      </w:rPr>
    </w:lvl>
  </w:abstractNum>
  <w:abstractNum w:abstractNumId="11" w15:restartNumberingAfterBreak="0">
    <w:nsid w:val="062A299D"/>
    <w:multiLevelType w:val="multilevel"/>
    <w:tmpl w:val="AF54C9AE"/>
    <w:lvl w:ilvl="0">
      <w:start w:val="9"/>
      <w:numFmt w:val="decimal"/>
      <w:lvlText w:val="%1"/>
      <w:lvlJc w:val="left"/>
      <w:pPr>
        <w:ind w:left="838" w:hanging="720"/>
      </w:pPr>
      <w:rPr>
        <w:rFonts w:hint="default"/>
      </w:rPr>
    </w:lvl>
    <w:lvl w:ilvl="1">
      <w:start w:val="4"/>
      <w:numFmt w:val="decimal"/>
      <w:lvlText w:val="%1.%2"/>
      <w:lvlJc w:val="left"/>
      <w:pPr>
        <w:ind w:left="838" w:hanging="720"/>
      </w:pPr>
      <w:rPr>
        <w:rFonts w:hint="default"/>
      </w:rPr>
    </w:lvl>
    <w:lvl w:ilvl="2">
      <w:start w:val="2"/>
      <w:numFmt w:val="decimal"/>
      <w:lvlText w:val="%1.%2.%3"/>
      <w:lvlJc w:val="left"/>
      <w:pPr>
        <w:ind w:left="838" w:hanging="720"/>
      </w:pPr>
      <w:rPr>
        <w:rFonts w:ascii="Arial" w:eastAsia="Arial" w:hAnsi="Arial" w:hint="default"/>
        <w:b/>
        <w:bCs/>
        <w:sz w:val="22"/>
        <w:szCs w:val="22"/>
      </w:rPr>
    </w:lvl>
    <w:lvl w:ilvl="3">
      <w:start w:val="1"/>
      <w:numFmt w:val="decimal"/>
      <w:lvlText w:val="%4."/>
      <w:lvlJc w:val="left"/>
      <w:pPr>
        <w:ind w:left="747" w:hanging="358"/>
      </w:pPr>
      <w:rPr>
        <w:rFonts w:ascii="Calibri" w:eastAsia="Calibri" w:hAnsi="Calibri" w:hint="default"/>
        <w:sz w:val="22"/>
        <w:szCs w:val="22"/>
      </w:rPr>
    </w:lvl>
    <w:lvl w:ilvl="4">
      <w:start w:val="1"/>
      <w:numFmt w:val="bullet"/>
      <w:lvlText w:val="•"/>
      <w:lvlJc w:val="left"/>
      <w:pPr>
        <w:ind w:left="3661" w:hanging="358"/>
      </w:pPr>
      <w:rPr>
        <w:rFonts w:hint="default"/>
      </w:rPr>
    </w:lvl>
    <w:lvl w:ilvl="5">
      <w:start w:val="1"/>
      <w:numFmt w:val="bullet"/>
      <w:lvlText w:val="•"/>
      <w:lvlJc w:val="left"/>
      <w:pPr>
        <w:ind w:left="4602" w:hanging="358"/>
      </w:pPr>
      <w:rPr>
        <w:rFonts w:hint="default"/>
      </w:rPr>
    </w:lvl>
    <w:lvl w:ilvl="6">
      <w:start w:val="1"/>
      <w:numFmt w:val="bullet"/>
      <w:lvlText w:val="•"/>
      <w:lvlJc w:val="left"/>
      <w:pPr>
        <w:ind w:left="5543" w:hanging="358"/>
      </w:pPr>
      <w:rPr>
        <w:rFonts w:hint="default"/>
      </w:rPr>
    </w:lvl>
    <w:lvl w:ilvl="7">
      <w:start w:val="1"/>
      <w:numFmt w:val="bullet"/>
      <w:lvlText w:val="•"/>
      <w:lvlJc w:val="left"/>
      <w:pPr>
        <w:ind w:left="6483" w:hanging="358"/>
      </w:pPr>
      <w:rPr>
        <w:rFonts w:hint="default"/>
      </w:rPr>
    </w:lvl>
    <w:lvl w:ilvl="8">
      <w:start w:val="1"/>
      <w:numFmt w:val="bullet"/>
      <w:lvlText w:val="•"/>
      <w:lvlJc w:val="left"/>
      <w:pPr>
        <w:ind w:left="7424" w:hanging="358"/>
      </w:pPr>
      <w:rPr>
        <w:rFonts w:hint="default"/>
      </w:rPr>
    </w:lvl>
  </w:abstractNum>
  <w:abstractNum w:abstractNumId="12" w15:restartNumberingAfterBreak="0">
    <w:nsid w:val="06936FF3"/>
    <w:multiLevelType w:val="multilevel"/>
    <w:tmpl w:val="45A8A058"/>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color w:val="365F91" w:themeColor="accent1" w:themeShade="BF"/>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3" w15:restartNumberingAfterBreak="0">
    <w:nsid w:val="06DB42C4"/>
    <w:multiLevelType w:val="multilevel"/>
    <w:tmpl w:val="37EA6624"/>
    <w:lvl w:ilvl="0">
      <w:start w:val="8"/>
      <w:numFmt w:val="decimal"/>
      <w:lvlText w:val="%1"/>
      <w:lvlJc w:val="left"/>
      <w:pPr>
        <w:tabs>
          <w:tab w:val="num" w:pos="360"/>
        </w:tabs>
        <w:ind w:left="360" w:hanging="360"/>
      </w:pPr>
      <w:rPr>
        <w:rFonts w:hint="default"/>
        <w:b/>
      </w:rPr>
    </w:lvl>
    <w:lvl w:ilvl="1">
      <w:start w:val="3"/>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14" w15:restartNumberingAfterBreak="0">
    <w:nsid w:val="075625C9"/>
    <w:multiLevelType w:val="hybridMultilevel"/>
    <w:tmpl w:val="760AD5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07F16C24"/>
    <w:multiLevelType w:val="multilevel"/>
    <w:tmpl w:val="E7402B50"/>
    <w:lvl w:ilvl="0">
      <w:start w:val="3"/>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705" w:hanging="567"/>
      </w:pPr>
      <w:rPr>
        <w:rFonts w:ascii="Arial" w:eastAsia="Arial" w:hAnsi="Arial" w:hint="default"/>
        <w:b/>
        <w:bCs/>
        <w:sz w:val="22"/>
        <w:szCs w:val="22"/>
      </w:rPr>
    </w:lvl>
    <w:lvl w:ilvl="3">
      <w:start w:val="1"/>
      <w:numFmt w:val="decimal"/>
      <w:lvlText w:val="%1.%2.%3.%4"/>
      <w:lvlJc w:val="left"/>
      <w:pPr>
        <w:ind w:left="812" w:hanging="674"/>
      </w:pPr>
      <w:rPr>
        <w:rFonts w:ascii="Calibri" w:eastAsia="Calibri" w:hAnsi="Calibri" w:hint="default"/>
        <w:b/>
        <w:bCs/>
        <w:i/>
        <w:sz w:val="22"/>
        <w:szCs w:val="22"/>
      </w:rPr>
    </w:lvl>
    <w:lvl w:ilvl="4">
      <w:start w:val="1"/>
      <w:numFmt w:val="bullet"/>
      <w:lvlText w:val="•"/>
      <w:lvlJc w:val="left"/>
      <w:pPr>
        <w:ind w:left="3060" w:hanging="674"/>
      </w:pPr>
      <w:rPr>
        <w:rFonts w:hint="default"/>
      </w:rPr>
    </w:lvl>
    <w:lvl w:ilvl="5">
      <w:start w:val="1"/>
      <w:numFmt w:val="bullet"/>
      <w:lvlText w:val="•"/>
      <w:lvlJc w:val="left"/>
      <w:pPr>
        <w:ind w:left="4185" w:hanging="674"/>
      </w:pPr>
      <w:rPr>
        <w:rFonts w:hint="default"/>
      </w:rPr>
    </w:lvl>
    <w:lvl w:ilvl="6">
      <w:start w:val="1"/>
      <w:numFmt w:val="bullet"/>
      <w:lvlText w:val="•"/>
      <w:lvlJc w:val="left"/>
      <w:pPr>
        <w:ind w:left="5309" w:hanging="674"/>
      </w:pPr>
      <w:rPr>
        <w:rFonts w:hint="default"/>
      </w:rPr>
    </w:lvl>
    <w:lvl w:ilvl="7">
      <w:start w:val="1"/>
      <w:numFmt w:val="bullet"/>
      <w:lvlText w:val="•"/>
      <w:lvlJc w:val="left"/>
      <w:pPr>
        <w:ind w:left="6433" w:hanging="674"/>
      </w:pPr>
      <w:rPr>
        <w:rFonts w:hint="default"/>
      </w:rPr>
    </w:lvl>
    <w:lvl w:ilvl="8">
      <w:start w:val="1"/>
      <w:numFmt w:val="bullet"/>
      <w:lvlText w:val="•"/>
      <w:lvlJc w:val="left"/>
      <w:pPr>
        <w:ind w:left="7557" w:hanging="674"/>
      </w:pPr>
      <w:rPr>
        <w:rFonts w:hint="default"/>
      </w:rPr>
    </w:lvl>
  </w:abstractNum>
  <w:abstractNum w:abstractNumId="16" w15:restartNumberingAfterBreak="0">
    <w:nsid w:val="09397075"/>
    <w:multiLevelType w:val="hybridMultilevel"/>
    <w:tmpl w:val="10109D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09594923"/>
    <w:multiLevelType w:val="hybridMultilevel"/>
    <w:tmpl w:val="EA9AA9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0C7235F8"/>
    <w:multiLevelType w:val="hybridMultilevel"/>
    <w:tmpl w:val="7042235A"/>
    <w:lvl w:ilvl="0" w:tplc="AE56B8A2">
      <w:start w:val="1"/>
      <w:numFmt w:val="decimal"/>
      <w:lvlText w:val="%1)"/>
      <w:lvlJc w:val="left"/>
      <w:pPr>
        <w:ind w:left="546" w:hanging="428"/>
      </w:pPr>
      <w:rPr>
        <w:rFonts w:ascii="Calibri" w:eastAsia="Calibri" w:hAnsi="Calibri" w:hint="default"/>
        <w:sz w:val="22"/>
        <w:szCs w:val="22"/>
      </w:rPr>
    </w:lvl>
    <w:lvl w:ilvl="1" w:tplc="9EC8CB76">
      <w:start w:val="1"/>
      <w:numFmt w:val="lowerLetter"/>
      <w:lvlText w:val="(%2)"/>
      <w:lvlJc w:val="left"/>
      <w:pPr>
        <w:ind w:left="970" w:hanging="425"/>
      </w:pPr>
      <w:rPr>
        <w:rFonts w:ascii="Calibri" w:eastAsia="Calibri" w:hAnsi="Calibri" w:hint="default"/>
        <w:spacing w:val="-1"/>
        <w:sz w:val="22"/>
        <w:szCs w:val="22"/>
      </w:rPr>
    </w:lvl>
    <w:lvl w:ilvl="2" w:tplc="0BA6444C">
      <w:start w:val="1"/>
      <w:numFmt w:val="bullet"/>
      <w:lvlText w:val="•"/>
      <w:lvlJc w:val="left"/>
      <w:pPr>
        <w:ind w:left="970" w:hanging="425"/>
      </w:pPr>
      <w:rPr>
        <w:rFonts w:hint="default"/>
      </w:rPr>
    </w:lvl>
    <w:lvl w:ilvl="3" w:tplc="AD88E622">
      <w:start w:val="1"/>
      <w:numFmt w:val="bullet"/>
      <w:lvlText w:val="•"/>
      <w:lvlJc w:val="left"/>
      <w:pPr>
        <w:ind w:left="2012" w:hanging="425"/>
      </w:pPr>
      <w:rPr>
        <w:rFonts w:hint="default"/>
      </w:rPr>
    </w:lvl>
    <w:lvl w:ilvl="4" w:tplc="63682220">
      <w:start w:val="1"/>
      <w:numFmt w:val="bullet"/>
      <w:lvlText w:val="•"/>
      <w:lvlJc w:val="left"/>
      <w:pPr>
        <w:ind w:left="3054" w:hanging="425"/>
      </w:pPr>
      <w:rPr>
        <w:rFonts w:hint="default"/>
      </w:rPr>
    </w:lvl>
    <w:lvl w:ilvl="5" w:tplc="82405E9A">
      <w:start w:val="1"/>
      <w:numFmt w:val="bullet"/>
      <w:lvlText w:val="•"/>
      <w:lvlJc w:val="left"/>
      <w:pPr>
        <w:ind w:left="4096" w:hanging="425"/>
      </w:pPr>
      <w:rPr>
        <w:rFonts w:hint="default"/>
      </w:rPr>
    </w:lvl>
    <w:lvl w:ilvl="6" w:tplc="8E221F8C">
      <w:start w:val="1"/>
      <w:numFmt w:val="bullet"/>
      <w:lvlText w:val="•"/>
      <w:lvlJc w:val="left"/>
      <w:pPr>
        <w:ind w:left="5138" w:hanging="425"/>
      </w:pPr>
      <w:rPr>
        <w:rFonts w:hint="default"/>
      </w:rPr>
    </w:lvl>
    <w:lvl w:ilvl="7" w:tplc="B5341F52">
      <w:start w:val="1"/>
      <w:numFmt w:val="bullet"/>
      <w:lvlText w:val="•"/>
      <w:lvlJc w:val="left"/>
      <w:pPr>
        <w:ind w:left="6180" w:hanging="425"/>
      </w:pPr>
      <w:rPr>
        <w:rFonts w:hint="default"/>
      </w:rPr>
    </w:lvl>
    <w:lvl w:ilvl="8" w:tplc="0436F3D6">
      <w:start w:val="1"/>
      <w:numFmt w:val="bullet"/>
      <w:lvlText w:val="•"/>
      <w:lvlJc w:val="left"/>
      <w:pPr>
        <w:ind w:left="7222" w:hanging="425"/>
      </w:pPr>
      <w:rPr>
        <w:rFonts w:hint="default"/>
      </w:rPr>
    </w:lvl>
  </w:abstractNum>
  <w:abstractNum w:abstractNumId="19" w15:restartNumberingAfterBreak="0">
    <w:nsid w:val="0C844A18"/>
    <w:multiLevelType w:val="hybridMultilevel"/>
    <w:tmpl w:val="6C3CCA8E"/>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20" w15:restartNumberingAfterBreak="0">
    <w:nsid w:val="0C8E4971"/>
    <w:multiLevelType w:val="hybridMultilevel"/>
    <w:tmpl w:val="5E1CE084"/>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1" w15:restartNumberingAfterBreak="0">
    <w:nsid w:val="0E4B0E4A"/>
    <w:multiLevelType w:val="multilevel"/>
    <w:tmpl w:val="B0D46A3E"/>
    <w:lvl w:ilvl="0">
      <w:start w:val="10"/>
      <w:numFmt w:val="decimal"/>
      <w:lvlText w:val="%1"/>
      <w:lvlJc w:val="left"/>
      <w:pPr>
        <w:tabs>
          <w:tab w:val="num" w:pos="360"/>
        </w:tabs>
        <w:ind w:left="360" w:hanging="360"/>
      </w:pPr>
      <w:rPr>
        <w:rFonts w:hint="default"/>
        <w:b/>
      </w:rPr>
    </w:lvl>
    <w:lvl w:ilvl="1">
      <w:start w:val="5"/>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22" w15:restartNumberingAfterBreak="0">
    <w:nsid w:val="0F696081"/>
    <w:multiLevelType w:val="hybridMultilevel"/>
    <w:tmpl w:val="1E9EF7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119702E4"/>
    <w:multiLevelType w:val="hybridMultilevel"/>
    <w:tmpl w:val="02DCEF7A"/>
    <w:lvl w:ilvl="0" w:tplc="AF644144">
      <w:start w:val="1"/>
      <w:numFmt w:val="bullet"/>
      <w:lvlText w:val=""/>
      <w:lvlJc w:val="left"/>
      <w:pPr>
        <w:ind w:left="402" w:hanging="284"/>
      </w:pPr>
      <w:rPr>
        <w:rFonts w:ascii="Symbol" w:eastAsia="Symbol" w:hAnsi="Symbol" w:hint="default"/>
        <w:sz w:val="22"/>
        <w:szCs w:val="22"/>
      </w:rPr>
    </w:lvl>
    <w:lvl w:ilvl="1" w:tplc="39EEED48">
      <w:start w:val="1"/>
      <w:numFmt w:val="bullet"/>
      <w:lvlText w:val="•"/>
      <w:lvlJc w:val="left"/>
      <w:pPr>
        <w:ind w:left="1292" w:hanging="284"/>
      </w:pPr>
      <w:rPr>
        <w:rFonts w:hint="default"/>
      </w:rPr>
    </w:lvl>
    <w:lvl w:ilvl="2" w:tplc="6B446F6E">
      <w:start w:val="1"/>
      <w:numFmt w:val="bullet"/>
      <w:lvlText w:val="•"/>
      <w:lvlJc w:val="left"/>
      <w:pPr>
        <w:ind w:left="2182" w:hanging="284"/>
      </w:pPr>
      <w:rPr>
        <w:rFonts w:hint="default"/>
      </w:rPr>
    </w:lvl>
    <w:lvl w:ilvl="3" w:tplc="40CA14F2">
      <w:start w:val="1"/>
      <w:numFmt w:val="bullet"/>
      <w:lvlText w:val="•"/>
      <w:lvlJc w:val="left"/>
      <w:pPr>
        <w:ind w:left="3073" w:hanging="284"/>
      </w:pPr>
      <w:rPr>
        <w:rFonts w:hint="default"/>
      </w:rPr>
    </w:lvl>
    <w:lvl w:ilvl="4" w:tplc="0A0E06AA">
      <w:start w:val="1"/>
      <w:numFmt w:val="bullet"/>
      <w:lvlText w:val="•"/>
      <w:lvlJc w:val="left"/>
      <w:pPr>
        <w:ind w:left="3963" w:hanging="284"/>
      </w:pPr>
      <w:rPr>
        <w:rFonts w:hint="default"/>
      </w:rPr>
    </w:lvl>
    <w:lvl w:ilvl="5" w:tplc="FBF22980">
      <w:start w:val="1"/>
      <w:numFmt w:val="bullet"/>
      <w:lvlText w:val="•"/>
      <w:lvlJc w:val="left"/>
      <w:pPr>
        <w:ind w:left="4854" w:hanging="284"/>
      </w:pPr>
      <w:rPr>
        <w:rFonts w:hint="default"/>
      </w:rPr>
    </w:lvl>
    <w:lvl w:ilvl="6" w:tplc="99586986">
      <w:start w:val="1"/>
      <w:numFmt w:val="bullet"/>
      <w:lvlText w:val="•"/>
      <w:lvlJc w:val="left"/>
      <w:pPr>
        <w:ind w:left="5744" w:hanging="284"/>
      </w:pPr>
      <w:rPr>
        <w:rFonts w:hint="default"/>
      </w:rPr>
    </w:lvl>
    <w:lvl w:ilvl="7" w:tplc="DAB60B18">
      <w:start w:val="1"/>
      <w:numFmt w:val="bullet"/>
      <w:lvlText w:val="•"/>
      <w:lvlJc w:val="left"/>
      <w:pPr>
        <w:ind w:left="6635" w:hanging="284"/>
      </w:pPr>
      <w:rPr>
        <w:rFonts w:hint="default"/>
      </w:rPr>
    </w:lvl>
    <w:lvl w:ilvl="8" w:tplc="D39E0ED6">
      <w:start w:val="1"/>
      <w:numFmt w:val="bullet"/>
      <w:lvlText w:val="•"/>
      <w:lvlJc w:val="left"/>
      <w:pPr>
        <w:ind w:left="7525" w:hanging="284"/>
      </w:pPr>
      <w:rPr>
        <w:rFonts w:hint="default"/>
      </w:rPr>
    </w:lvl>
  </w:abstractNum>
  <w:abstractNum w:abstractNumId="24" w15:restartNumberingAfterBreak="0">
    <w:nsid w:val="124E7F5B"/>
    <w:multiLevelType w:val="hybridMultilevel"/>
    <w:tmpl w:val="1082CEA6"/>
    <w:lvl w:ilvl="0" w:tplc="6344985E">
      <w:start w:val="1"/>
      <w:numFmt w:val="bullet"/>
      <w:lvlText w:val=""/>
      <w:lvlJc w:val="left"/>
      <w:pPr>
        <w:ind w:left="838" w:hanging="360"/>
      </w:pPr>
      <w:rPr>
        <w:rFonts w:ascii="Symbol" w:eastAsia="Symbol" w:hAnsi="Symbol" w:hint="default"/>
        <w:w w:val="99"/>
        <w:sz w:val="20"/>
        <w:szCs w:val="20"/>
      </w:rPr>
    </w:lvl>
    <w:lvl w:ilvl="1" w:tplc="B46640A8">
      <w:start w:val="1"/>
      <w:numFmt w:val="bullet"/>
      <w:lvlText w:val="•"/>
      <w:lvlJc w:val="left"/>
      <w:pPr>
        <w:ind w:left="1685" w:hanging="360"/>
      </w:pPr>
      <w:rPr>
        <w:rFonts w:hint="default"/>
      </w:rPr>
    </w:lvl>
    <w:lvl w:ilvl="2" w:tplc="CF4405D4">
      <w:start w:val="1"/>
      <w:numFmt w:val="bullet"/>
      <w:lvlText w:val="•"/>
      <w:lvlJc w:val="left"/>
      <w:pPr>
        <w:ind w:left="2532" w:hanging="360"/>
      </w:pPr>
      <w:rPr>
        <w:rFonts w:hint="default"/>
      </w:rPr>
    </w:lvl>
    <w:lvl w:ilvl="3" w:tplc="D868A3B4">
      <w:start w:val="1"/>
      <w:numFmt w:val="bullet"/>
      <w:lvlText w:val="•"/>
      <w:lvlJc w:val="left"/>
      <w:pPr>
        <w:ind w:left="3379" w:hanging="360"/>
      </w:pPr>
      <w:rPr>
        <w:rFonts w:hint="default"/>
      </w:rPr>
    </w:lvl>
    <w:lvl w:ilvl="4" w:tplc="CD6AE286">
      <w:start w:val="1"/>
      <w:numFmt w:val="bullet"/>
      <w:lvlText w:val="•"/>
      <w:lvlJc w:val="left"/>
      <w:pPr>
        <w:ind w:left="4225" w:hanging="360"/>
      </w:pPr>
      <w:rPr>
        <w:rFonts w:hint="default"/>
      </w:rPr>
    </w:lvl>
    <w:lvl w:ilvl="5" w:tplc="ED5A2E28">
      <w:start w:val="1"/>
      <w:numFmt w:val="bullet"/>
      <w:lvlText w:val="•"/>
      <w:lvlJc w:val="left"/>
      <w:pPr>
        <w:ind w:left="5072" w:hanging="360"/>
      </w:pPr>
      <w:rPr>
        <w:rFonts w:hint="default"/>
      </w:rPr>
    </w:lvl>
    <w:lvl w:ilvl="6" w:tplc="FFD40616">
      <w:start w:val="1"/>
      <w:numFmt w:val="bullet"/>
      <w:lvlText w:val="•"/>
      <w:lvlJc w:val="left"/>
      <w:pPr>
        <w:ind w:left="5919" w:hanging="360"/>
      </w:pPr>
      <w:rPr>
        <w:rFonts w:hint="default"/>
      </w:rPr>
    </w:lvl>
    <w:lvl w:ilvl="7" w:tplc="E1DA16F4">
      <w:start w:val="1"/>
      <w:numFmt w:val="bullet"/>
      <w:lvlText w:val="•"/>
      <w:lvlJc w:val="left"/>
      <w:pPr>
        <w:ind w:left="6766" w:hanging="360"/>
      </w:pPr>
      <w:rPr>
        <w:rFonts w:hint="default"/>
      </w:rPr>
    </w:lvl>
    <w:lvl w:ilvl="8" w:tplc="00ECB682">
      <w:start w:val="1"/>
      <w:numFmt w:val="bullet"/>
      <w:lvlText w:val="•"/>
      <w:lvlJc w:val="left"/>
      <w:pPr>
        <w:ind w:left="7612" w:hanging="360"/>
      </w:pPr>
      <w:rPr>
        <w:rFonts w:hint="default"/>
      </w:rPr>
    </w:lvl>
  </w:abstractNum>
  <w:abstractNum w:abstractNumId="25" w15:restartNumberingAfterBreak="0">
    <w:nsid w:val="12796398"/>
    <w:multiLevelType w:val="hybridMultilevel"/>
    <w:tmpl w:val="22B046D2"/>
    <w:lvl w:ilvl="0" w:tplc="68F04E44">
      <w:start w:val="1"/>
      <w:numFmt w:val="bullet"/>
      <w:lvlText w:val=""/>
      <w:lvlJc w:val="left"/>
      <w:pPr>
        <w:ind w:left="479" w:hanging="360"/>
      </w:pPr>
      <w:rPr>
        <w:rFonts w:ascii="Symbol" w:eastAsia="Symbol" w:hAnsi="Symbol" w:hint="default"/>
        <w:sz w:val="22"/>
        <w:szCs w:val="22"/>
      </w:rPr>
    </w:lvl>
    <w:lvl w:ilvl="1" w:tplc="0E0EA282">
      <w:start w:val="1"/>
      <w:numFmt w:val="bullet"/>
      <w:lvlText w:val="•"/>
      <w:lvlJc w:val="left"/>
      <w:pPr>
        <w:ind w:left="1362" w:hanging="360"/>
      </w:pPr>
      <w:rPr>
        <w:rFonts w:hint="default"/>
      </w:rPr>
    </w:lvl>
    <w:lvl w:ilvl="2" w:tplc="F55A01B4">
      <w:start w:val="1"/>
      <w:numFmt w:val="bullet"/>
      <w:lvlText w:val="•"/>
      <w:lvlJc w:val="left"/>
      <w:pPr>
        <w:ind w:left="2245" w:hanging="360"/>
      </w:pPr>
      <w:rPr>
        <w:rFonts w:hint="default"/>
      </w:rPr>
    </w:lvl>
    <w:lvl w:ilvl="3" w:tplc="BCA8EAE4">
      <w:start w:val="1"/>
      <w:numFmt w:val="bullet"/>
      <w:lvlText w:val="•"/>
      <w:lvlJc w:val="left"/>
      <w:pPr>
        <w:ind w:left="3127" w:hanging="360"/>
      </w:pPr>
      <w:rPr>
        <w:rFonts w:hint="default"/>
      </w:rPr>
    </w:lvl>
    <w:lvl w:ilvl="4" w:tplc="D690FECC">
      <w:start w:val="1"/>
      <w:numFmt w:val="bullet"/>
      <w:lvlText w:val="•"/>
      <w:lvlJc w:val="left"/>
      <w:pPr>
        <w:ind w:left="4010" w:hanging="360"/>
      </w:pPr>
      <w:rPr>
        <w:rFonts w:hint="default"/>
      </w:rPr>
    </w:lvl>
    <w:lvl w:ilvl="5" w:tplc="63FC1160">
      <w:start w:val="1"/>
      <w:numFmt w:val="bullet"/>
      <w:lvlText w:val="•"/>
      <w:lvlJc w:val="left"/>
      <w:pPr>
        <w:ind w:left="4893" w:hanging="360"/>
      </w:pPr>
      <w:rPr>
        <w:rFonts w:hint="default"/>
      </w:rPr>
    </w:lvl>
    <w:lvl w:ilvl="6" w:tplc="E68646F6">
      <w:start w:val="1"/>
      <w:numFmt w:val="bullet"/>
      <w:lvlText w:val="•"/>
      <w:lvlJc w:val="left"/>
      <w:pPr>
        <w:ind w:left="5775" w:hanging="360"/>
      </w:pPr>
      <w:rPr>
        <w:rFonts w:hint="default"/>
      </w:rPr>
    </w:lvl>
    <w:lvl w:ilvl="7" w:tplc="CF28E67A">
      <w:start w:val="1"/>
      <w:numFmt w:val="bullet"/>
      <w:lvlText w:val="•"/>
      <w:lvlJc w:val="left"/>
      <w:pPr>
        <w:ind w:left="6658" w:hanging="360"/>
      </w:pPr>
      <w:rPr>
        <w:rFonts w:hint="default"/>
      </w:rPr>
    </w:lvl>
    <w:lvl w:ilvl="8" w:tplc="7C9292C2">
      <w:start w:val="1"/>
      <w:numFmt w:val="bullet"/>
      <w:lvlText w:val="•"/>
      <w:lvlJc w:val="left"/>
      <w:pPr>
        <w:ind w:left="7541" w:hanging="360"/>
      </w:pPr>
      <w:rPr>
        <w:rFonts w:hint="default"/>
      </w:rPr>
    </w:lvl>
  </w:abstractNum>
  <w:abstractNum w:abstractNumId="26" w15:restartNumberingAfterBreak="0">
    <w:nsid w:val="134F69BD"/>
    <w:multiLevelType w:val="hybridMultilevel"/>
    <w:tmpl w:val="9C68D4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3">
      <w:start w:val="1"/>
      <w:numFmt w:val="bullet"/>
      <w:lvlText w:val="o"/>
      <w:lvlJc w:val="left"/>
      <w:pPr>
        <w:ind w:left="2880" w:hanging="360"/>
      </w:pPr>
      <w:rPr>
        <w:rFonts w:ascii="Courier New" w:hAnsi="Courier New" w:cs="Courier New"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13974409"/>
    <w:multiLevelType w:val="multilevel"/>
    <w:tmpl w:val="6FD007CA"/>
    <w:lvl w:ilvl="0">
      <w:start w:val="6"/>
      <w:numFmt w:val="decimal"/>
      <w:lvlText w:val="%1"/>
      <w:lvlJc w:val="left"/>
      <w:pPr>
        <w:ind w:left="685" w:hanging="567"/>
      </w:pPr>
      <w:rPr>
        <w:rFonts w:hint="default"/>
      </w:rPr>
    </w:lvl>
    <w:lvl w:ilvl="1">
      <w:start w:val="4"/>
      <w:numFmt w:val="decimal"/>
      <w:lvlText w:val="%1.%2"/>
      <w:lvlJc w:val="left"/>
      <w:pPr>
        <w:ind w:left="685" w:hanging="567"/>
      </w:pPr>
      <w:rPr>
        <w:rFonts w:ascii="Arial" w:eastAsia="Arial" w:hAnsi="Arial" w:hint="default"/>
        <w:b/>
        <w:bCs/>
        <w:sz w:val="24"/>
        <w:szCs w:val="24"/>
      </w:rPr>
    </w:lvl>
    <w:lvl w:ilvl="2">
      <w:start w:val="1"/>
      <w:numFmt w:val="decimal"/>
      <w:lvlText w:val="%1.%2.%3"/>
      <w:lvlJc w:val="left"/>
      <w:pPr>
        <w:ind w:left="685" w:hanging="567"/>
      </w:pPr>
      <w:rPr>
        <w:rFonts w:ascii="Arial" w:eastAsia="Arial" w:hAnsi="Arial" w:hint="default"/>
        <w:b/>
        <w:bCs/>
        <w:sz w:val="22"/>
        <w:szCs w:val="22"/>
      </w:rPr>
    </w:lvl>
    <w:lvl w:ilvl="3">
      <w:start w:val="1"/>
      <w:numFmt w:val="decimal"/>
      <w:lvlText w:val="%1.%2.%3.%4"/>
      <w:lvlJc w:val="left"/>
      <w:pPr>
        <w:ind w:left="838" w:hanging="720"/>
      </w:pPr>
      <w:rPr>
        <w:rFonts w:ascii="Arial" w:eastAsia="Arial" w:hAnsi="Arial" w:hint="default"/>
        <w:b/>
        <w:bCs/>
        <w:spacing w:val="-1"/>
        <w:sz w:val="22"/>
        <w:szCs w:val="22"/>
      </w:rPr>
    </w:lvl>
    <w:lvl w:ilvl="4">
      <w:start w:val="1"/>
      <w:numFmt w:val="bullet"/>
      <w:lvlText w:val="•"/>
      <w:lvlJc w:val="left"/>
      <w:pPr>
        <w:ind w:left="2955" w:hanging="720"/>
      </w:pPr>
      <w:rPr>
        <w:rFonts w:hint="default"/>
      </w:rPr>
    </w:lvl>
    <w:lvl w:ilvl="5">
      <w:start w:val="1"/>
      <w:numFmt w:val="bullet"/>
      <w:lvlText w:val="•"/>
      <w:lvlJc w:val="left"/>
      <w:pPr>
        <w:ind w:left="4014" w:hanging="720"/>
      </w:pPr>
      <w:rPr>
        <w:rFonts w:hint="default"/>
      </w:rPr>
    </w:lvl>
    <w:lvl w:ilvl="6">
      <w:start w:val="1"/>
      <w:numFmt w:val="bullet"/>
      <w:lvlText w:val="•"/>
      <w:lvlJc w:val="left"/>
      <w:pPr>
        <w:ind w:left="5072" w:hanging="720"/>
      </w:pPr>
      <w:rPr>
        <w:rFonts w:hint="default"/>
      </w:rPr>
    </w:lvl>
    <w:lvl w:ilvl="7">
      <w:start w:val="1"/>
      <w:numFmt w:val="bullet"/>
      <w:lvlText w:val="•"/>
      <w:lvlJc w:val="left"/>
      <w:pPr>
        <w:ind w:left="6131" w:hanging="720"/>
      </w:pPr>
      <w:rPr>
        <w:rFonts w:hint="default"/>
      </w:rPr>
    </w:lvl>
    <w:lvl w:ilvl="8">
      <w:start w:val="1"/>
      <w:numFmt w:val="bullet"/>
      <w:lvlText w:val="•"/>
      <w:lvlJc w:val="left"/>
      <w:pPr>
        <w:ind w:left="7189" w:hanging="720"/>
      </w:pPr>
      <w:rPr>
        <w:rFonts w:hint="default"/>
      </w:rPr>
    </w:lvl>
  </w:abstractNum>
  <w:abstractNum w:abstractNumId="28" w15:restartNumberingAfterBreak="0">
    <w:nsid w:val="141B06A8"/>
    <w:multiLevelType w:val="hybridMultilevel"/>
    <w:tmpl w:val="2AF69058"/>
    <w:lvl w:ilvl="0" w:tplc="0B76EAF6">
      <w:start w:val="1"/>
      <w:numFmt w:val="bullet"/>
      <w:lvlText w:val="-"/>
      <w:lvlJc w:val="left"/>
      <w:pPr>
        <w:ind w:left="190" w:hanging="161"/>
      </w:pPr>
      <w:rPr>
        <w:rFonts w:ascii="Trebuchet MS" w:eastAsia="Trebuchet MS" w:hAnsi="Trebuchet MS" w:hint="default"/>
        <w:sz w:val="24"/>
        <w:szCs w:val="24"/>
      </w:rPr>
    </w:lvl>
    <w:lvl w:ilvl="1" w:tplc="84D6693C">
      <w:start w:val="1"/>
      <w:numFmt w:val="bullet"/>
      <w:lvlText w:val="•"/>
      <w:lvlJc w:val="left"/>
      <w:pPr>
        <w:ind w:left="1065" w:hanging="161"/>
      </w:pPr>
      <w:rPr>
        <w:rFonts w:hint="default"/>
      </w:rPr>
    </w:lvl>
    <w:lvl w:ilvl="2" w:tplc="C4905740">
      <w:start w:val="1"/>
      <w:numFmt w:val="bullet"/>
      <w:lvlText w:val="•"/>
      <w:lvlJc w:val="left"/>
      <w:pPr>
        <w:ind w:left="1940" w:hanging="161"/>
      </w:pPr>
      <w:rPr>
        <w:rFonts w:hint="default"/>
      </w:rPr>
    </w:lvl>
    <w:lvl w:ilvl="3" w:tplc="CBEC9286">
      <w:start w:val="1"/>
      <w:numFmt w:val="bullet"/>
      <w:lvlText w:val="•"/>
      <w:lvlJc w:val="left"/>
      <w:pPr>
        <w:ind w:left="2816" w:hanging="161"/>
      </w:pPr>
      <w:rPr>
        <w:rFonts w:hint="default"/>
      </w:rPr>
    </w:lvl>
    <w:lvl w:ilvl="4" w:tplc="8DEAF43A">
      <w:start w:val="1"/>
      <w:numFmt w:val="bullet"/>
      <w:lvlText w:val="•"/>
      <w:lvlJc w:val="left"/>
      <w:pPr>
        <w:ind w:left="3691" w:hanging="161"/>
      </w:pPr>
      <w:rPr>
        <w:rFonts w:hint="default"/>
      </w:rPr>
    </w:lvl>
    <w:lvl w:ilvl="5" w:tplc="1E9CCF72">
      <w:start w:val="1"/>
      <w:numFmt w:val="bullet"/>
      <w:lvlText w:val="•"/>
      <w:lvlJc w:val="left"/>
      <w:pPr>
        <w:ind w:left="4566" w:hanging="161"/>
      </w:pPr>
      <w:rPr>
        <w:rFonts w:hint="default"/>
      </w:rPr>
    </w:lvl>
    <w:lvl w:ilvl="6" w:tplc="FCAA9F04">
      <w:start w:val="1"/>
      <w:numFmt w:val="bullet"/>
      <w:lvlText w:val="•"/>
      <w:lvlJc w:val="left"/>
      <w:pPr>
        <w:ind w:left="5441" w:hanging="161"/>
      </w:pPr>
      <w:rPr>
        <w:rFonts w:hint="default"/>
      </w:rPr>
    </w:lvl>
    <w:lvl w:ilvl="7" w:tplc="FAF2CD10">
      <w:start w:val="1"/>
      <w:numFmt w:val="bullet"/>
      <w:lvlText w:val="•"/>
      <w:lvlJc w:val="left"/>
      <w:pPr>
        <w:ind w:left="6316" w:hanging="161"/>
      </w:pPr>
      <w:rPr>
        <w:rFonts w:hint="default"/>
      </w:rPr>
    </w:lvl>
    <w:lvl w:ilvl="8" w:tplc="71C40E5A">
      <w:start w:val="1"/>
      <w:numFmt w:val="bullet"/>
      <w:lvlText w:val="•"/>
      <w:lvlJc w:val="left"/>
      <w:pPr>
        <w:ind w:left="7192" w:hanging="161"/>
      </w:pPr>
      <w:rPr>
        <w:rFonts w:hint="default"/>
      </w:rPr>
    </w:lvl>
  </w:abstractNum>
  <w:abstractNum w:abstractNumId="29" w15:restartNumberingAfterBreak="0">
    <w:nsid w:val="14622CE1"/>
    <w:multiLevelType w:val="hybridMultilevel"/>
    <w:tmpl w:val="FB3EFC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151623C4"/>
    <w:multiLevelType w:val="hybridMultilevel"/>
    <w:tmpl w:val="78C20E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1517354E"/>
    <w:multiLevelType w:val="hybridMultilevel"/>
    <w:tmpl w:val="399C86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15DA7795"/>
    <w:multiLevelType w:val="hybridMultilevel"/>
    <w:tmpl w:val="D23E3774"/>
    <w:lvl w:ilvl="0" w:tplc="BF84ADEE">
      <w:start w:val="1"/>
      <w:numFmt w:val="lowerLetter"/>
      <w:lvlText w:val="%1."/>
      <w:lvlJc w:val="left"/>
      <w:pPr>
        <w:ind w:left="344" w:hanging="226"/>
      </w:pPr>
      <w:rPr>
        <w:rFonts w:ascii="Calibri" w:eastAsia="Calibri" w:hAnsi="Calibri" w:hint="default"/>
        <w:b/>
        <w:bCs/>
        <w:i/>
        <w:sz w:val="22"/>
        <w:szCs w:val="22"/>
      </w:rPr>
    </w:lvl>
    <w:lvl w:ilvl="1" w:tplc="F66412E2">
      <w:start w:val="1"/>
      <w:numFmt w:val="bullet"/>
      <w:lvlText w:val="•"/>
      <w:lvlJc w:val="left"/>
      <w:pPr>
        <w:ind w:left="1240" w:hanging="226"/>
      </w:pPr>
      <w:rPr>
        <w:rFonts w:hint="default"/>
      </w:rPr>
    </w:lvl>
    <w:lvl w:ilvl="2" w:tplc="E75C4E12">
      <w:start w:val="1"/>
      <w:numFmt w:val="bullet"/>
      <w:lvlText w:val="•"/>
      <w:lvlJc w:val="left"/>
      <w:pPr>
        <w:ind w:left="2136" w:hanging="226"/>
      </w:pPr>
      <w:rPr>
        <w:rFonts w:hint="default"/>
      </w:rPr>
    </w:lvl>
    <w:lvl w:ilvl="3" w:tplc="70C2439C">
      <w:start w:val="1"/>
      <w:numFmt w:val="bullet"/>
      <w:lvlText w:val="•"/>
      <w:lvlJc w:val="left"/>
      <w:pPr>
        <w:ind w:left="3032" w:hanging="226"/>
      </w:pPr>
      <w:rPr>
        <w:rFonts w:hint="default"/>
      </w:rPr>
    </w:lvl>
    <w:lvl w:ilvl="4" w:tplc="33F809B2">
      <w:start w:val="1"/>
      <w:numFmt w:val="bullet"/>
      <w:lvlText w:val="•"/>
      <w:lvlJc w:val="left"/>
      <w:pPr>
        <w:ind w:left="3929" w:hanging="226"/>
      </w:pPr>
      <w:rPr>
        <w:rFonts w:hint="default"/>
      </w:rPr>
    </w:lvl>
    <w:lvl w:ilvl="5" w:tplc="62BE8F60">
      <w:start w:val="1"/>
      <w:numFmt w:val="bullet"/>
      <w:lvlText w:val="•"/>
      <w:lvlJc w:val="left"/>
      <w:pPr>
        <w:ind w:left="4825" w:hanging="226"/>
      </w:pPr>
      <w:rPr>
        <w:rFonts w:hint="default"/>
      </w:rPr>
    </w:lvl>
    <w:lvl w:ilvl="6" w:tplc="EB641332">
      <w:start w:val="1"/>
      <w:numFmt w:val="bullet"/>
      <w:lvlText w:val="•"/>
      <w:lvlJc w:val="left"/>
      <w:pPr>
        <w:ind w:left="5721" w:hanging="226"/>
      </w:pPr>
      <w:rPr>
        <w:rFonts w:hint="default"/>
      </w:rPr>
    </w:lvl>
    <w:lvl w:ilvl="7" w:tplc="CA48A724">
      <w:start w:val="1"/>
      <w:numFmt w:val="bullet"/>
      <w:lvlText w:val="•"/>
      <w:lvlJc w:val="left"/>
      <w:pPr>
        <w:ind w:left="6617" w:hanging="226"/>
      </w:pPr>
      <w:rPr>
        <w:rFonts w:hint="default"/>
      </w:rPr>
    </w:lvl>
    <w:lvl w:ilvl="8" w:tplc="A7DE8102">
      <w:start w:val="1"/>
      <w:numFmt w:val="bullet"/>
      <w:lvlText w:val="•"/>
      <w:lvlJc w:val="left"/>
      <w:pPr>
        <w:ind w:left="7513" w:hanging="226"/>
      </w:pPr>
      <w:rPr>
        <w:rFonts w:hint="default"/>
      </w:rPr>
    </w:lvl>
  </w:abstractNum>
  <w:abstractNum w:abstractNumId="33" w15:restartNumberingAfterBreak="0">
    <w:nsid w:val="183E24E8"/>
    <w:multiLevelType w:val="multilevel"/>
    <w:tmpl w:val="639230A8"/>
    <w:lvl w:ilvl="0">
      <w:start w:val="7"/>
      <w:numFmt w:val="decimal"/>
      <w:lvlText w:val="%1"/>
      <w:lvlJc w:val="left"/>
      <w:pPr>
        <w:tabs>
          <w:tab w:val="num" w:pos="360"/>
        </w:tabs>
        <w:ind w:left="360" w:hanging="360"/>
      </w:pPr>
      <w:rPr>
        <w:rFonts w:hint="default"/>
        <w:b/>
      </w:rPr>
    </w:lvl>
    <w:lvl w:ilvl="1">
      <w:start w:val="4"/>
      <w:numFmt w:val="decimal"/>
      <w:lvlText w:val="%1.%2"/>
      <w:lvlJc w:val="left"/>
      <w:pPr>
        <w:tabs>
          <w:tab w:val="num" w:pos="630"/>
        </w:tabs>
        <w:ind w:left="630" w:hanging="360"/>
      </w:pPr>
      <w:rPr>
        <w:rFonts w:hint="default"/>
        <w:b/>
      </w:rPr>
    </w:lvl>
    <w:lvl w:ilvl="2">
      <w:start w:val="1"/>
      <w:numFmt w:val="decimal"/>
      <w:lvlText w:val="%1.%2.%3"/>
      <w:lvlJc w:val="left"/>
      <w:pPr>
        <w:tabs>
          <w:tab w:val="num" w:pos="1260"/>
        </w:tabs>
        <w:ind w:left="1260" w:hanging="720"/>
      </w:pPr>
      <w:rPr>
        <w:rFonts w:hint="default"/>
        <w:b/>
      </w:rPr>
    </w:lvl>
    <w:lvl w:ilvl="3">
      <w:start w:val="1"/>
      <w:numFmt w:val="decimal"/>
      <w:lvlText w:val="%1.%2.%3.%4"/>
      <w:lvlJc w:val="left"/>
      <w:pPr>
        <w:tabs>
          <w:tab w:val="num" w:pos="1530"/>
        </w:tabs>
        <w:ind w:left="1530" w:hanging="720"/>
      </w:pPr>
      <w:rPr>
        <w:rFonts w:hint="default"/>
        <w:b/>
      </w:rPr>
    </w:lvl>
    <w:lvl w:ilvl="4">
      <w:start w:val="1"/>
      <w:numFmt w:val="decimal"/>
      <w:lvlText w:val="%1.%2.%3.%4.%5"/>
      <w:lvlJc w:val="left"/>
      <w:pPr>
        <w:tabs>
          <w:tab w:val="num" w:pos="2160"/>
        </w:tabs>
        <w:ind w:left="2160" w:hanging="1080"/>
      </w:pPr>
      <w:rPr>
        <w:rFonts w:hint="default"/>
        <w:b/>
      </w:rPr>
    </w:lvl>
    <w:lvl w:ilvl="5">
      <w:start w:val="1"/>
      <w:numFmt w:val="decimal"/>
      <w:lvlText w:val="%1.%2.%3.%4.%5.%6"/>
      <w:lvlJc w:val="left"/>
      <w:pPr>
        <w:tabs>
          <w:tab w:val="num" w:pos="2430"/>
        </w:tabs>
        <w:ind w:left="2430" w:hanging="1080"/>
      </w:pPr>
      <w:rPr>
        <w:rFonts w:hint="default"/>
        <w:b/>
      </w:rPr>
    </w:lvl>
    <w:lvl w:ilvl="6">
      <w:start w:val="1"/>
      <w:numFmt w:val="decimal"/>
      <w:lvlText w:val="%1.%2.%3.%4.%5.%6.%7"/>
      <w:lvlJc w:val="left"/>
      <w:pPr>
        <w:tabs>
          <w:tab w:val="num" w:pos="3060"/>
        </w:tabs>
        <w:ind w:left="3060" w:hanging="1440"/>
      </w:pPr>
      <w:rPr>
        <w:rFonts w:hint="default"/>
        <w:b/>
      </w:rPr>
    </w:lvl>
    <w:lvl w:ilvl="7">
      <w:start w:val="1"/>
      <w:numFmt w:val="decimal"/>
      <w:lvlText w:val="%1.%2.%3.%4.%5.%6.%7.%8"/>
      <w:lvlJc w:val="left"/>
      <w:pPr>
        <w:tabs>
          <w:tab w:val="num" w:pos="3330"/>
        </w:tabs>
        <w:ind w:left="3330" w:hanging="1440"/>
      </w:pPr>
      <w:rPr>
        <w:rFonts w:hint="default"/>
        <w:b/>
      </w:rPr>
    </w:lvl>
    <w:lvl w:ilvl="8">
      <w:start w:val="1"/>
      <w:numFmt w:val="decimal"/>
      <w:lvlText w:val="%1.%2.%3.%4.%5.%6.%7.%8.%9"/>
      <w:lvlJc w:val="left"/>
      <w:pPr>
        <w:tabs>
          <w:tab w:val="num" w:pos="3600"/>
        </w:tabs>
        <w:ind w:left="3600" w:hanging="1440"/>
      </w:pPr>
      <w:rPr>
        <w:rFonts w:hint="default"/>
        <w:b/>
      </w:rPr>
    </w:lvl>
  </w:abstractNum>
  <w:abstractNum w:abstractNumId="34" w15:restartNumberingAfterBreak="0">
    <w:nsid w:val="18925206"/>
    <w:multiLevelType w:val="multilevel"/>
    <w:tmpl w:val="D270CEF0"/>
    <w:lvl w:ilvl="0">
      <w:start w:val="9"/>
      <w:numFmt w:val="decimal"/>
      <w:lvlText w:val="%1"/>
      <w:lvlJc w:val="left"/>
      <w:pPr>
        <w:ind w:left="838" w:hanging="720"/>
      </w:pPr>
      <w:rPr>
        <w:rFonts w:hint="default"/>
      </w:rPr>
    </w:lvl>
    <w:lvl w:ilvl="1">
      <w:start w:val="5"/>
      <w:numFmt w:val="decimal"/>
      <w:lvlText w:val="%1.%2"/>
      <w:lvlJc w:val="left"/>
      <w:pPr>
        <w:ind w:left="838" w:hanging="720"/>
      </w:pPr>
      <w:rPr>
        <w:rFonts w:ascii="Arial" w:eastAsia="Arial" w:hAnsi="Arial" w:hint="default"/>
        <w:b/>
        <w:bCs/>
        <w:sz w:val="24"/>
        <w:szCs w:val="24"/>
      </w:rPr>
    </w:lvl>
    <w:lvl w:ilvl="2">
      <w:start w:val="1"/>
      <w:numFmt w:val="bullet"/>
      <w:lvlText w:val=""/>
      <w:lvlJc w:val="left"/>
      <w:pPr>
        <w:ind w:left="838" w:hanging="360"/>
      </w:pPr>
      <w:rPr>
        <w:rFonts w:ascii="Symbol" w:eastAsia="Symbol" w:hAnsi="Symbol" w:hint="default"/>
        <w:w w:val="99"/>
        <w:sz w:val="20"/>
        <w:szCs w:val="20"/>
      </w:rPr>
    </w:lvl>
    <w:lvl w:ilvl="3">
      <w:start w:val="1"/>
      <w:numFmt w:val="bullet"/>
      <w:lvlText w:val="•"/>
      <w:lvlJc w:val="left"/>
      <w:pPr>
        <w:ind w:left="1911" w:hanging="360"/>
      </w:pPr>
      <w:rPr>
        <w:rFonts w:hint="default"/>
      </w:rPr>
    </w:lvl>
    <w:lvl w:ilvl="4">
      <w:start w:val="1"/>
      <w:numFmt w:val="bullet"/>
      <w:lvlText w:val="•"/>
      <w:lvlJc w:val="left"/>
      <w:pPr>
        <w:ind w:left="2965" w:hanging="360"/>
      </w:pPr>
      <w:rPr>
        <w:rFonts w:hint="default"/>
      </w:rPr>
    </w:lvl>
    <w:lvl w:ilvl="5">
      <w:start w:val="1"/>
      <w:numFmt w:val="bullet"/>
      <w:lvlText w:val="•"/>
      <w:lvlJc w:val="left"/>
      <w:pPr>
        <w:ind w:left="4018" w:hanging="360"/>
      </w:pPr>
      <w:rPr>
        <w:rFonts w:hint="default"/>
      </w:rPr>
    </w:lvl>
    <w:lvl w:ilvl="6">
      <w:start w:val="1"/>
      <w:numFmt w:val="bullet"/>
      <w:lvlText w:val="•"/>
      <w:lvlJc w:val="left"/>
      <w:pPr>
        <w:ind w:left="5072" w:hanging="360"/>
      </w:pPr>
      <w:rPr>
        <w:rFonts w:hint="default"/>
      </w:rPr>
    </w:lvl>
    <w:lvl w:ilvl="7">
      <w:start w:val="1"/>
      <w:numFmt w:val="bullet"/>
      <w:lvlText w:val="•"/>
      <w:lvlJc w:val="left"/>
      <w:pPr>
        <w:ind w:left="6125" w:hanging="360"/>
      </w:pPr>
      <w:rPr>
        <w:rFonts w:hint="default"/>
      </w:rPr>
    </w:lvl>
    <w:lvl w:ilvl="8">
      <w:start w:val="1"/>
      <w:numFmt w:val="bullet"/>
      <w:lvlText w:val="•"/>
      <w:lvlJc w:val="left"/>
      <w:pPr>
        <w:ind w:left="7179" w:hanging="360"/>
      </w:pPr>
      <w:rPr>
        <w:rFonts w:hint="default"/>
      </w:rPr>
    </w:lvl>
  </w:abstractNum>
  <w:abstractNum w:abstractNumId="35" w15:restartNumberingAfterBreak="0">
    <w:nsid w:val="18D677BD"/>
    <w:multiLevelType w:val="hybridMultilevel"/>
    <w:tmpl w:val="DECCF2F0"/>
    <w:lvl w:ilvl="0" w:tplc="8B98CDD0">
      <w:start w:val="1"/>
      <w:numFmt w:val="decimal"/>
      <w:lvlText w:val="%1."/>
      <w:lvlJc w:val="left"/>
      <w:pPr>
        <w:ind w:left="154" w:hanging="287"/>
      </w:pPr>
      <w:rPr>
        <w:rFonts w:ascii="Trebuchet MS" w:eastAsia="Trebuchet MS" w:hAnsi="Trebuchet MS" w:hint="default"/>
        <w:spacing w:val="-1"/>
        <w:sz w:val="24"/>
        <w:szCs w:val="24"/>
      </w:rPr>
    </w:lvl>
    <w:lvl w:ilvl="1" w:tplc="451EE1B0">
      <w:start w:val="1"/>
      <w:numFmt w:val="bullet"/>
      <w:lvlText w:val="•"/>
      <w:lvlJc w:val="left"/>
      <w:pPr>
        <w:ind w:left="1056" w:hanging="287"/>
      </w:pPr>
      <w:rPr>
        <w:rFonts w:hint="default"/>
      </w:rPr>
    </w:lvl>
    <w:lvl w:ilvl="2" w:tplc="AF4EE1C0">
      <w:start w:val="1"/>
      <w:numFmt w:val="bullet"/>
      <w:lvlText w:val="•"/>
      <w:lvlJc w:val="left"/>
      <w:pPr>
        <w:ind w:left="1959" w:hanging="287"/>
      </w:pPr>
      <w:rPr>
        <w:rFonts w:hint="default"/>
      </w:rPr>
    </w:lvl>
    <w:lvl w:ilvl="3" w:tplc="36665A76">
      <w:start w:val="1"/>
      <w:numFmt w:val="bullet"/>
      <w:lvlText w:val="•"/>
      <w:lvlJc w:val="left"/>
      <w:pPr>
        <w:ind w:left="2862" w:hanging="287"/>
      </w:pPr>
      <w:rPr>
        <w:rFonts w:hint="default"/>
      </w:rPr>
    </w:lvl>
    <w:lvl w:ilvl="4" w:tplc="C6121D10">
      <w:start w:val="1"/>
      <w:numFmt w:val="bullet"/>
      <w:lvlText w:val="•"/>
      <w:lvlJc w:val="left"/>
      <w:pPr>
        <w:ind w:left="3765" w:hanging="287"/>
      </w:pPr>
      <w:rPr>
        <w:rFonts w:hint="default"/>
      </w:rPr>
    </w:lvl>
    <w:lvl w:ilvl="5" w:tplc="68422CF6">
      <w:start w:val="1"/>
      <w:numFmt w:val="bullet"/>
      <w:lvlText w:val="•"/>
      <w:lvlJc w:val="left"/>
      <w:pPr>
        <w:ind w:left="4668" w:hanging="287"/>
      </w:pPr>
      <w:rPr>
        <w:rFonts w:hint="default"/>
      </w:rPr>
    </w:lvl>
    <w:lvl w:ilvl="6" w:tplc="33CEDF76">
      <w:start w:val="1"/>
      <w:numFmt w:val="bullet"/>
      <w:lvlText w:val="•"/>
      <w:lvlJc w:val="left"/>
      <w:pPr>
        <w:ind w:left="5571" w:hanging="287"/>
      </w:pPr>
      <w:rPr>
        <w:rFonts w:hint="default"/>
      </w:rPr>
    </w:lvl>
    <w:lvl w:ilvl="7" w:tplc="77021390">
      <w:start w:val="1"/>
      <w:numFmt w:val="bullet"/>
      <w:lvlText w:val="•"/>
      <w:lvlJc w:val="left"/>
      <w:pPr>
        <w:ind w:left="6474" w:hanging="287"/>
      </w:pPr>
      <w:rPr>
        <w:rFonts w:hint="default"/>
      </w:rPr>
    </w:lvl>
    <w:lvl w:ilvl="8" w:tplc="DC707696">
      <w:start w:val="1"/>
      <w:numFmt w:val="bullet"/>
      <w:lvlText w:val="•"/>
      <w:lvlJc w:val="left"/>
      <w:pPr>
        <w:ind w:left="7377" w:hanging="287"/>
      </w:pPr>
      <w:rPr>
        <w:rFonts w:hint="default"/>
      </w:rPr>
    </w:lvl>
  </w:abstractNum>
  <w:abstractNum w:abstractNumId="36" w15:restartNumberingAfterBreak="0">
    <w:nsid w:val="19963D48"/>
    <w:multiLevelType w:val="hybridMultilevel"/>
    <w:tmpl w:val="E10E8B32"/>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37" w15:restartNumberingAfterBreak="0">
    <w:nsid w:val="1A683367"/>
    <w:multiLevelType w:val="hybridMultilevel"/>
    <w:tmpl w:val="90EC546C"/>
    <w:lvl w:ilvl="0" w:tplc="09CE8144">
      <w:start w:val="1"/>
      <w:numFmt w:val="bullet"/>
      <w:lvlText w:val=""/>
      <w:lvlJc w:val="left"/>
      <w:pPr>
        <w:tabs>
          <w:tab w:val="num" w:pos="720"/>
        </w:tabs>
        <w:ind w:left="720" w:hanging="360"/>
      </w:pPr>
      <w:rPr>
        <w:rFonts w:ascii="Symbol" w:hAnsi="Symbol" w:hint="default"/>
        <w:color w:val="auto"/>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B31669A"/>
    <w:multiLevelType w:val="hybridMultilevel"/>
    <w:tmpl w:val="C7964E5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1B8F6885"/>
    <w:multiLevelType w:val="hybridMultilevel"/>
    <w:tmpl w:val="020E3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1D2D7261"/>
    <w:multiLevelType w:val="multilevel"/>
    <w:tmpl w:val="DB46B166"/>
    <w:lvl w:ilvl="0">
      <w:start w:val="10"/>
      <w:numFmt w:val="decimal"/>
      <w:lvlText w:val="%1"/>
      <w:lvlJc w:val="left"/>
      <w:pPr>
        <w:ind w:left="858" w:hanging="720"/>
      </w:pPr>
      <w:rPr>
        <w:rFonts w:hint="default"/>
      </w:rPr>
    </w:lvl>
    <w:lvl w:ilvl="1">
      <w:start w:val="1"/>
      <w:numFmt w:val="decimal"/>
      <w:lvlText w:val="%1.%2"/>
      <w:lvlJc w:val="left"/>
      <w:pPr>
        <w:ind w:left="858" w:hanging="720"/>
      </w:pPr>
      <w:rPr>
        <w:rFonts w:ascii="Arial" w:eastAsia="Arial" w:hAnsi="Arial" w:hint="default"/>
        <w:b/>
        <w:bCs/>
        <w:sz w:val="24"/>
        <w:szCs w:val="24"/>
      </w:rPr>
    </w:lvl>
    <w:lvl w:ilvl="2">
      <w:start w:val="1"/>
      <w:numFmt w:val="decimal"/>
      <w:lvlText w:val="%1.%2.%3"/>
      <w:lvlJc w:val="left"/>
      <w:pPr>
        <w:ind w:left="858" w:hanging="720"/>
      </w:pPr>
      <w:rPr>
        <w:rFonts w:ascii="Arial" w:eastAsia="Arial" w:hAnsi="Arial" w:hint="default"/>
        <w:b/>
        <w:bCs/>
        <w:sz w:val="22"/>
        <w:szCs w:val="22"/>
      </w:rPr>
    </w:lvl>
    <w:lvl w:ilvl="3">
      <w:start w:val="1"/>
      <w:numFmt w:val="bullet"/>
      <w:lvlText w:val=""/>
      <w:lvlJc w:val="left"/>
      <w:pPr>
        <w:ind w:left="838" w:hanging="360"/>
      </w:pPr>
      <w:rPr>
        <w:rFonts w:ascii="Symbol" w:eastAsia="Symbol" w:hAnsi="Symbol" w:hint="default"/>
        <w:w w:val="99"/>
        <w:sz w:val="20"/>
        <w:szCs w:val="20"/>
      </w:rPr>
    </w:lvl>
    <w:lvl w:ilvl="4">
      <w:start w:val="1"/>
      <w:numFmt w:val="bullet"/>
      <w:lvlText w:val="•"/>
      <w:lvlJc w:val="left"/>
      <w:pPr>
        <w:ind w:left="2970" w:hanging="360"/>
      </w:pPr>
      <w:rPr>
        <w:rFonts w:hint="default"/>
      </w:rPr>
    </w:lvl>
    <w:lvl w:ilvl="5">
      <w:start w:val="1"/>
      <w:numFmt w:val="bullet"/>
      <w:lvlText w:val="•"/>
      <w:lvlJc w:val="left"/>
      <w:pPr>
        <w:ind w:left="4026" w:hanging="360"/>
      </w:pPr>
      <w:rPr>
        <w:rFonts w:hint="default"/>
      </w:rPr>
    </w:lvl>
    <w:lvl w:ilvl="6">
      <w:start w:val="1"/>
      <w:numFmt w:val="bullet"/>
      <w:lvlText w:val="•"/>
      <w:lvlJc w:val="left"/>
      <w:pPr>
        <w:ind w:left="5082" w:hanging="360"/>
      </w:pPr>
      <w:rPr>
        <w:rFonts w:hint="default"/>
      </w:rPr>
    </w:lvl>
    <w:lvl w:ilvl="7">
      <w:start w:val="1"/>
      <w:numFmt w:val="bullet"/>
      <w:lvlText w:val="•"/>
      <w:lvlJc w:val="left"/>
      <w:pPr>
        <w:ind w:left="6138" w:hanging="360"/>
      </w:pPr>
      <w:rPr>
        <w:rFonts w:hint="default"/>
      </w:rPr>
    </w:lvl>
    <w:lvl w:ilvl="8">
      <w:start w:val="1"/>
      <w:numFmt w:val="bullet"/>
      <w:lvlText w:val="•"/>
      <w:lvlJc w:val="left"/>
      <w:pPr>
        <w:ind w:left="7194" w:hanging="360"/>
      </w:pPr>
      <w:rPr>
        <w:rFonts w:hint="default"/>
      </w:rPr>
    </w:lvl>
  </w:abstractNum>
  <w:abstractNum w:abstractNumId="41" w15:restartNumberingAfterBreak="0">
    <w:nsid w:val="1D493BF4"/>
    <w:multiLevelType w:val="hybridMultilevel"/>
    <w:tmpl w:val="687CF162"/>
    <w:lvl w:ilvl="0" w:tplc="EFF08D72">
      <w:start w:val="1"/>
      <w:numFmt w:val="lowerLetter"/>
      <w:lvlText w:val="%1."/>
      <w:lvlJc w:val="left"/>
      <w:pPr>
        <w:ind w:left="402" w:hanging="284"/>
      </w:pPr>
      <w:rPr>
        <w:rFonts w:ascii="Calibri" w:eastAsia="Calibri" w:hAnsi="Calibri" w:hint="default"/>
        <w:spacing w:val="-1"/>
        <w:sz w:val="22"/>
        <w:szCs w:val="22"/>
      </w:rPr>
    </w:lvl>
    <w:lvl w:ilvl="1" w:tplc="ECA657AC">
      <w:start w:val="1"/>
      <w:numFmt w:val="bullet"/>
      <w:lvlText w:val="•"/>
      <w:lvlJc w:val="left"/>
      <w:pPr>
        <w:ind w:left="1292" w:hanging="284"/>
      </w:pPr>
      <w:rPr>
        <w:rFonts w:hint="default"/>
      </w:rPr>
    </w:lvl>
    <w:lvl w:ilvl="2" w:tplc="E9ECB426">
      <w:start w:val="1"/>
      <w:numFmt w:val="bullet"/>
      <w:lvlText w:val="•"/>
      <w:lvlJc w:val="left"/>
      <w:pPr>
        <w:ind w:left="2182" w:hanging="284"/>
      </w:pPr>
      <w:rPr>
        <w:rFonts w:hint="default"/>
      </w:rPr>
    </w:lvl>
    <w:lvl w:ilvl="3" w:tplc="C4AA501E">
      <w:start w:val="1"/>
      <w:numFmt w:val="bullet"/>
      <w:lvlText w:val="•"/>
      <w:lvlJc w:val="left"/>
      <w:pPr>
        <w:ind w:left="3073" w:hanging="284"/>
      </w:pPr>
      <w:rPr>
        <w:rFonts w:hint="default"/>
      </w:rPr>
    </w:lvl>
    <w:lvl w:ilvl="4" w:tplc="226E470E">
      <w:start w:val="1"/>
      <w:numFmt w:val="bullet"/>
      <w:lvlText w:val="•"/>
      <w:lvlJc w:val="left"/>
      <w:pPr>
        <w:ind w:left="3963" w:hanging="284"/>
      </w:pPr>
      <w:rPr>
        <w:rFonts w:hint="default"/>
      </w:rPr>
    </w:lvl>
    <w:lvl w:ilvl="5" w:tplc="48D0BF3C">
      <w:start w:val="1"/>
      <w:numFmt w:val="bullet"/>
      <w:lvlText w:val="•"/>
      <w:lvlJc w:val="left"/>
      <w:pPr>
        <w:ind w:left="4854" w:hanging="284"/>
      </w:pPr>
      <w:rPr>
        <w:rFonts w:hint="default"/>
      </w:rPr>
    </w:lvl>
    <w:lvl w:ilvl="6" w:tplc="DD4A1C94">
      <w:start w:val="1"/>
      <w:numFmt w:val="bullet"/>
      <w:lvlText w:val="•"/>
      <w:lvlJc w:val="left"/>
      <w:pPr>
        <w:ind w:left="5744" w:hanging="284"/>
      </w:pPr>
      <w:rPr>
        <w:rFonts w:hint="default"/>
      </w:rPr>
    </w:lvl>
    <w:lvl w:ilvl="7" w:tplc="AC0A8A78">
      <w:start w:val="1"/>
      <w:numFmt w:val="bullet"/>
      <w:lvlText w:val="•"/>
      <w:lvlJc w:val="left"/>
      <w:pPr>
        <w:ind w:left="6635" w:hanging="284"/>
      </w:pPr>
      <w:rPr>
        <w:rFonts w:hint="default"/>
      </w:rPr>
    </w:lvl>
    <w:lvl w:ilvl="8" w:tplc="C1349E12">
      <w:start w:val="1"/>
      <w:numFmt w:val="bullet"/>
      <w:lvlText w:val="•"/>
      <w:lvlJc w:val="left"/>
      <w:pPr>
        <w:ind w:left="7525" w:hanging="284"/>
      </w:pPr>
      <w:rPr>
        <w:rFonts w:hint="default"/>
      </w:rPr>
    </w:lvl>
  </w:abstractNum>
  <w:abstractNum w:abstractNumId="42" w15:restartNumberingAfterBreak="0">
    <w:nsid w:val="1D5576D0"/>
    <w:multiLevelType w:val="hybridMultilevel"/>
    <w:tmpl w:val="F500B54C"/>
    <w:lvl w:ilvl="0" w:tplc="A9B28F32">
      <w:start w:val="1"/>
      <w:numFmt w:val="decimal"/>
      <w:lvlText w:val="%1."/>
      <w:lvlJc w:val="left"/>
      <w:pPr>
        <w:ind w:left="502" w:hanging="360"/>
      </w:pPr>
      <w:rPr>
        <w:rFonts w:hint="default"/>
      </w:rPr>
    </w:lvl>
    <w:lvl w:ilvl="1" w:tplc="0C090019" w:tentative="1">
      <w:start w:val="1"/>
      <w:numFmt w:val="lowerLetter"/>
      <w:lvlText w:val="%2."/>
      <w:lvlJc w:val="left"/>
      <w:pPr>
        <w:ind w:left="1222" w:hanging="360"/>
      </w:pPr>
    </w:lvl>
    <w:lvl w:ilvl="2" w:tplc="0C09001B" w:tentative="1">
      <w:start w:val="1"/>
      <w:numFmt w:val="lowerRoman"/>
      <w:lvlText w:val="%3."/>
      <w:lvlJc w:val="right"/>
      <w:pPr>
        <w:ind w:left="1942" w:hanging="180"/>
      </w:pPr>
    </w:lvl>
    <w:lvl w:ilvl="3" w:tplc="0C09000F" w:tentative="1">
      <w:start w:val="1"/>
      <w:numFmt w:val="decimal"/>
      <w:lvlText w:val="%4."/>
      <w:lvlJc w:val="left"/>
      <w:pPr>
        <w:ind w:left="2662" w:hanging="360"/>
      </w:pPr>
    </w:lvl>
    <w:lvl w:ilvl="4" w:tplc="0C090019" w:tentative="1">
      <w:start w:val="1"/>
      <w:numFmt w:val="lowerLetter"/>
      <w:lvlText w:val="%5."/>
      <w:lvlJc w:val="left"/>
      <w:pPr>
        <w:ind w:left="3382" w:hanging="360"/>
      </w:pPr>
    </w:lvl>
    <w:lvl w:ilvl="5" w:tplc="0C09001B" w:tentative="1">
      <w:start w:val="1"/>
      <w:numFmt w:val="lowerRoman"/>
      <w:lvlText w:val="%6."/>
      <w:lvlJc w:val="right"/>
      <w:pPr>
        <w:ind w:left="4102" w:hanging="180"/>
      </w:pPr>
    </w:lvl>
    <w:lvl w:ilvl="6" w:tplc="0C09000F" w:tentative="1">
      <w:start w:val="1"/>
      <w:numFmt w:val="decimal"/>
      <w:lvlText w:val="%7."/>
      <w:lvlJc w:val="left"/>
      <w:pPr>
        <w:ind w:left="4822" w:hanging="360"/>
      </w:pPr>
    </w:lvl>
    <w:lvl w:ilvl="7" w:tplc="0C090019" w:tentative="1">
      <w:start w:val="1"/>
      <w:numFmt w:val="lowerLetter"/>
      <w:lvlText w:val="%8."/>
      <w:lvlJc w:val="left"/>
      <w:pPr>
        <w:ind w:left="5542" w:hanging="360"/>
      </w:pPr>
    </w:lvl>
    <w:lvl w:ilvl="8" w:tplc="0C09001B" w:tentative="1">
      <w:start w:val="1"/>
      <w:numFmt w:val="lowerRoman"/>
      <w:lvlText w:val="%9."/>
      <w:lvlJc w:val="right"/>
      <w:pPr>
        <w:ind w:left="6262" w:hanging="180"/>
      </w:pPr>
    </w:lvl>
  </w:abstractNum>
  <w:abstractNum w:abstractNumId="43" w15:restartNumberingAfterBreak="0">
    <w:nsid w:val="1E6545B7"/>
    <w:multiLevelType w:val="multilevel"/>
    <w:tmpl w:val="248A4CB0"/>
    <w:lvl w:ilvl="0">
      <w:start w:val="1"/>
      <w:numFmt w:val="bullet"/>
      <w:lvlText w:val=""/>
      <w:lvlJc w:val="left"/>
      <w:pPr>
        <w:ind w:left="422" w:hanging="284"/>
      </w:pPr>
      <w:rPr>
        <w:rFonts w:ascii="Symbol" w:eastAsia="Symbol" w:hAnsi="Symbol" w:hint="default"/>
        <w:w w:val="99"/>
        <w:sz w:val="20"/>
        <w:szCs w:val="20"/>
      </w:rPr>
    </w:lvl>
    <w:lvl w:ilvl="1">
      <w:start w:val="1"/>
      <w:numFmt w:val="bullet"/>
      <w:lvlText w:val="-"/>
      <w:lvlJc w:val="left"/>
      <w:pPr>
        <w:ind w:left="685" w:hanging="284"/>
      </w:pPr>
      <w:rPr>
        <w:rFonts w:ascii="Times New Roman" w:eastAsia="Times New Roman" w:hAnsi="Times New Roman" w:hint="default"/>
        <w:sz w:val="22"/>
        <w:szCs w:val="22"/>
      </w:rPr>
    </w:lvl>
    <w:lvl w:ilvl="2">
      <w:start w:val="1"/>
      <w:numFmt w:val="bullet"/>
      <w:lvlText w:val="•"/>
      <w:lvlJc w:val="left"/>
      <w:pPr>
        <w:ind w:left="1643" w:hanging="284"/>
      </w:pPr>
      <w:rPr>
        <w:rFonts w:hint="default"/>
      </w:rPr>
    </w:lvl>
    <w:lvl w:ilvl="3">
      <w:start w:val="1"/>
      <w:numFmt w:val="bullet"/>
      <w:lvlText w:val="•"/>
      <w:lvlJc w:val="left"/>
      <w:pPr>
        <w:ind w:left="2601" w:hanging="284"/>
      </w:pPr>
      <w:rPr>
        <w:rFonts w:hint="default"/>
      </w:rPr>
    </w:lvl>
    <w:lvl w:ilvl="4">
      <w:start w:val="1"/>
      <w:numFmt w:val="bullet"/>
      <w:lvlText w:val="•"/>
      <w:lvlJc w:val="left"/>
      <w:pPr>
        <w:ind w:left="3559" w:hanging="284"/>
      </w:pPr>
      <w:rPr>
        <w:rFonts w:hint="default"/>
      </w:rPr>
    </w:lvl>
    <w:lvl w:ilvl="5">
      <w:start w:val="1"/>
      <w:numFmt w:val="bullet"/>
      <w:lvlText w:val="•"/>
      <w:lvlJc w:val="left"/>
      <w:pPr>
        <w:ind w:left="4516" w:hanging="284"/>
      </w:pPr>
      <w:rPr>
        <w:rFonts w:hint="default"/>
      </w:rPr>
    </w:lvl>
    <w:lvl w:ilvl="6">
      <w:start w:val="1"/>
      <w:numFmt w:val="bullet"/>
      <w:lvlText w:val="•"/>
      <w:lvlJc w:val="left"/>
      <w:pPr>
        <w:ind w:left="5474" w:hanging="284"/>
      </w:pPr>
      <w:rPr>
        <w:rFonts w:hint="default"/>
      </w:rPr>
    </w:lvl>
    <w:lvl w:ilvl="7">
      <w:start w:val="1"/>
      <w:numFmt w:val="bullet"/>
      <w:lvlText w:val="•"/>
      <w:lvlJc w:val="left"/>
      <w:pPr>
        <w:ind w:left="6432" w:hanging="284"/>
      </w:pPr>
      <w:rPr>
        <w:rFonts w:hint="default"/>
      </w:rPr>
    </w:lvl>
    <w:lvl w:ilvl="8">
      <w:start w:val="1"/>
      <w:numFmt w:val="bullet"/>
      <w:lvlText w:val="•"/>
      <w:lvlJc w:val="left"/>
      <w:pPr>
        <w:ind w:left="7390" w:hanging="284"/>
      </w:pPr>
      <w:rPr>
        <w:rFonts w:hint="default"/>
      </w:rPr>
    </w:lvl>
  </w:abstractNum>
  <w:abstractNum w:abstractNumId="44" w15:restartNumberingAfterBreak="0">
    <w:nsid w:val="1F581D5F"/>
    <w:multiLevelType w:val="hybridMultilevel"/>
    <w:tmpl w:val="E9ECC1A6"/>
    <w:lvl w:ilvl="0" w:tplc="443ACDF6">
      <w:start w:val="1"/>
      <w:numFmt w:val="lowerLetter"/>
      <w:lvlText w:val="%1."/>
      <w:lvlJc w:val="righ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1FF232F3"/>
    <w:multiLevelType w:val="hybridMultilevel"/>
    <w:tmpl w:val="9F5405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20B32107"/>
    <w:multiLevelType w:val="hybridMultilevel"/>
    <w:tmpl w:val="459E32F4"/>
    <w:lvl w:ilvl="0" w:tplc="0C090017">
      <w:start w:val="1"/>
      <w:numFmt w:val="lowerLetter"/>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47" w15:restartNumberingAfterBreak="0">
    <w:nsid w:val="20D95ED7"/>
    <w:multiLevelType w:val="hybridMultilevel"/>
    <w:tmpl w:val="585677BC"/>
    <w:lvl w:ilvl="0" w:tplc="0C090017">
      <w:start w:val="1"/>
      <w:numFmt w:val="lowerLetter"/>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48" w15:restartNumberingAfterBreak="0">
    <w:nsid w:val="20EC4858"/>
    <w:multiLevelType w:val="hybridMultilevel"/>
    <w:tmpl w:val="16647F9C"/>
    <w:lvl w:ilvl="0" w:tplc="F4F62FD2">
      <w:start w:val="1"/>
      <w:numFmt w:val="decimal"/>
      <w:lvlText w:val="%1)"/>
      <w:lvlJc w:val="left"/>
      <w:pPr>
        <w:ind w:left="678" w:hanging="242"/>
      </w:pPr>
      <w:rPr>
        <w:rFonts w:ascii="Calibri" w:eastAsia="Calibri" w:hAnsi="Calibri" w:hint="default"/>
        <w:sz w:val="22"/>
        <w:szCs w:val="22"/>
      </w:rPr>
    </w:lvl>
    <w:lvl w:ilvl="1" w:tplc="F27ADF68">
      <w:start w:val="1"/>
      <w:numFmt w:val="bullet"/>
      <w:lvlText w:val="•"/>
      <w:lvlJc w:val="left"/>
      <w:pPr>
        <w:ind w:left="1543" w:hanging="242"/>
      </w:pPr>
      <w:rPr>
        <w:rFonts w:hint="default"/>
      </w:rPr>
    </w:lvl>
    <w:lvl w:ilvl="2" w:tplc="1C2E9A74">
      <w:start w:val="1"/>
      <w:numFmt w:val="bullet"/>
      <w:lvlText w:val="•"/>
      <w:lvlJc w:val="left"/>
      <w:pPr>
        <w:ind w:left="2408" w:hanging="242"/>
      </w:pPr>
      <w:rPr>
        <w:rFonts w:hint="default"/>
      </w:rPr>
    </w:lvl>
    <w:lvl w:ilvl="3" w:tplc="D5B882DC">
      <w:start w:val="1"/>
      <w:numFmt w:val="bullet"/>
      <w:lvlText w:val="•"/>
      <w:lvlJc w:val="left"/>
      <w:pPr>
        <w:ind w:left="3273" w:hanging="242"/>
      </w:pPr>
      <w:rPr>
        <w:rFonts w:hint="default"/>
      </w:rPr>
    </w:lvl>
    <w:lvl w:ilvl="4" w:tplc="C0006F6A">
      <w:start w:val="1"/>
      <w:numFmt w:val="bullet"/>
      <w:lvlText w:val="•"/>
      <w:lvlJc w:val="left"/>
      <w:pPr>
        <w:ind w:left="4137" w:hanging="242"/>
      </w:pPr>
      <w:rPr>
        <w:rFonts w:hint="default"/>
      </w:rPr>
    </w:lvl>
    <w:lvl w:ilvl="5" w:tplc="8E2CC086">
      <w:start w:val="1"/>
      <w:numFmt w:val="bullet"/>
      <w:lvlText w:val="•"/>
      <w:lvlJc w:val="left"/>
      <w:pPr>
        <w:ind w:left="5002" w:hanging="242"/>
      </w:pPr>
      <w:rPr>
        <w:rFonts w:hint="default"/>
      </w:rPr>
    </w:lvl>
    <w:lvl w:ilvl="6" w:tplc="7C52FBAA">
      <w:start w:val="1"/>
      <w:numFmt w:val="bullet"/>
      <w:lvlText w:val="•"/>
      <w:lvlJc w:val="left"/>
      <w:pPr>
        <w:ind w:left="5867" w:hanging="242"/>
      </w:pPr>
      <w:rPr>
        <w:rFonts w:hint="default"/>
      </w:rPr>
    </w:lvl>
    <w:lvl w:ilvl="7" w:tplc="61EC1B98">
      <w:start w:val="1"/>
      <w:numFmt w:val="bullet"/>
      <w:lvlText w:val="•"/>
      <w:lvlJc w:val="left"/>
      <w:pPr>
        <w:ind w:left="6732" w:hanging="242"/>
      </w:pPr>
      <w:rPr>
        <w:rFonts w:hint="default"/>
      </w:rPr>
    </w:lvl>
    <w:lvl w:ilvl="8" w:tplc="10225AEA">
      <w:start w:val="1"/>
      <w:numFmt w:val="bullet"/>
      <w:lvlText w:val="•"/>
      <w:lvlJc w:val="left"/>
      <w:pPr>
        <w:ind w:left="7596" w:hanging="242"/>
      </w:pPr>
      <w:rPr>
        <w:rFonts w:hint="default"/>
      </w:rPr>
    </w:lvl>
  </w:abstractNum>
  <w:abstractNum w:abstractNumId="49" w15:restartNumberingAfterBreak="0">
    <w:nsid w:val="20F3534D"/>
    <w:multiLevelType w:val="hybridMultilevel"/>
    <w:tmpl w:val="EDA0A5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0" w15:restartNumberingAfterBreak="0">
    <w:nsid w:val="222E7B30"/>
    <w:multiLevelType w:val="hybridMultilevel"/>
    <w:tmpl w:val="692C4F4C"/>
    <w:lvl w:ilvl="0" w:tplc="8950246A">
      <w:start w:val="1"/>
      <w:numFmt w:val="bullet"/>
      <w:lvlText w:val=""/>
      <w:lvlJc w:val="left"/>
      <w:pPr>
        <w:ind w:left="546" w:hanging="428"/>
      </w:pPr>
      <w:rPr>
        <w:rFonts w:ascii="Symbol" w:eastAsia="Symbol" w:hAnsi="Symbol" w:hint="default"/>
        <w:w w:val="99"/>
        <w:sz w:val="20"/>
        <w:szCs w:val="20"/>
      </w:rPr>
    </w:lvl>
    <w:lvl w:ilvl="1" w:tplc="753CFD20">
      <w:start w:val="1"/>
      <w:numFmt w:val="bullet"/>
      <w:lvlText w:val="•"/>
      <w:lvlJc w:val="left"/>
      <w:pPr>
        <w:ind w:left="1422" w:hanging="428"/>
      </w:pPr>
      <w:rPr>
        <w:rFonts w:hint="default"/>
      </w:rPr>
    </w:lvl>
    <w:lvl w:ilvl="2" w:tplc="71CAAEAC">
      <w:start w:val="1"/>
      <w:numFmt w:val="bullet"/>
      <w:lvlText w:val="•"/>
      <w:lvlJc w:val="left"/>
      <w:pPr>
        <w:ind w:left="2298" w:hanging="428"/>
      </w:pPr>
      <w:rPr>
        <w:rFonts w:hint="default"/>
      </w:rPr>
    </w:lvl>
    <w:lvl w:ilvl="3" w:tplc="88A258F2">
      <w:start w:val="1"/>
      <w:numFmt w:val="bullet"/>
      <w:lvlText w:val="•"/>
      <w:lvlJc w:val="left"/>
      <w:pPr>
        <w:ind w:left="3174" w:hanging="428"/>
      </w:pPr>
      <w:rPr>
        <w:rFonts w:hint="default"/>
      </w:rPr>
    </w:lvl>
    <w:lvl w:ilvl="4" w:tplc="BFF6D6E4">
      <w:start w:val="1"/>
      <w:numFmt w:val="bullet"/>
      <w:lvlText w:val="•"/>
      <w:lvlJc w:val="left"/>
      <w:pPr>
        <w:ind w:left="4050" w:hanging="428"/>
      </w:pPr>
      <w:rPr>
        <w:rFonts w:hint="default"/>
      </w:rPr>
    </w:lvl>
    <w:lvl w:ilvl="5" w:tplc="7084D7BA">
      <w:start w:val="1"/>
      <w:numFmt w:val="bullet"/>
      <w:lvlText w:val="•"/>
      <w:lvlJc w:val="left"/>
      <w:pPr>
        <w:ind w:left="4926" w:hanging="428"/>
      </w:pPr>
      <w:rPr>
        <w:rFonts w:hint="default"/>
      </w:rPr>
    </w:lvl>
    <w:lvl w:ilvl="6" w:tplc="B57CD26C">
      <w:start w:val="1"/>
      <w:numFmt w:val="bullet"/>
      <w:lvlText w:val="•"/>
      <w:lvlJc w:val="left"/>
      <w:pPr>
        <w:ind w:left="5802" w:hanging="428"/>
      </w:pPr>
      <w:rPr>
        <w:rFonts w:hint="default"/>
      </w:rPr>
    </w:lvl>
    <w:lvl w:ilvl="7" w:tplc="2162F388">
      <w:start w:val="1"/>
      <w:numFmt w:val="bullet"/>
      <w:lvlText w:val="•"/>
      <w:lvlJc w:val="left"/>
      <w:pPr>
        <w:ind w:left="6678" w:hanging="428"/>
      </w:pPr>
      <w:rPr>
        <w:rFonts w:hint="default"/>
      </w:rPr>
    </w:lvl>
    <w:lvl w:ilvl="8" w:tplc="40AC7E9C">
      <w:start w:val="1"/>
      <w:numFmt w:val="bullet"/>
      <w:lvlText w:val="•"/>
      <w:lvlJc w:val="left"/>
      <w:pPr>
        <w:ind w:left="7554" w:hanging="428"/>
      </w:pPr>
      <w:rPr>
        <w:rFonts w:hint="default"/>
      </w:rPr>
    </w:lvl>
  </w:abstractNum>
  <w:abstractNum w:abstractNumId="51" w15:restartNumberingAfterBreak="0">
    <w:nsid w:val="22776DEE"/>
    <w:multiLevelType w:val="hybridMultilevel"/>
    <w:tmpl w:val="248A4CB0"/>
    <w:lvl w:ilvl="0" w:tplc="8A44B844">
      <w:start w:val="1"/>
      <w:numFmt w:val="bullet"/>
      <w:lvlText w:val=""/>
      <w:lvlJc w:val="left"/>
      <w:pPr>
        <w:ind w:left="422" w:hanging="284"/>
      </w:pPr>
      <w:rPr>
        <w:rFonts w:ascii="Symbol" w:eastAsia="Symbol" w:hAnsi="Symbol" w:hint="default"/>
        <w:w w:val="99"/>
        <w:sz w:val="20"/>
        <w:szCs w:val="20"/>
      </w:rPr>
    </w:lvl>
    <w:lvl w:ilvl="1" w:tplc="B2422B30">
      <w:start w:val="1"/>
      <w:numFmt w:val="bullet"/>
      <w:lvlText w:val="-"/>
      <w:lvlJc w:val="left"/>
      <w:pPr>
        <w:ind w:left="685" w:hanging="284"/>
      </w:pPr>
      <w:rPr>
        <w:rFonts w:ascii="Times New Roman" w:eastAsia="Times New Roman" w:hAnsi="Times New Roman" w:hint="default"/>
        <w:sz w:val="22"/>
        <w:szCs w:val="22"/>
      </w:rPr>
    </w:lvl>
    <w:lvl w:ilvl="2" w:tplc="4C5010EA">
      <w:start w:val="1"/>
      <w:numFmt w:val="bullet"/>
      <w:lvlText w:val="•"/>
      <w:lvlJc w:val="left"/>
      <w:pPr>
        <w:ind w:left="1643" w:hanging="284"/>
      </w:pPr>
      <w:rPr>
        <w:rFonts w:hint="default"/>
      </w:rPr>
    </w:lvl>
    <w:lvl w:ilvl="3" w:tplc="35603672">
      <w:start w:val="1"/>
      <w:numFmt w:val="bullet"/>
      <w:lvlText w:val="•"/>
      <w:lvlJc w:val="left"/>
      <w:pPr>
        <w:ind w:left="2601" w:hanging="284"/>
      </w:pPr>
      <w:rPr>
        <w:rFonts w:hint="default"/>
      </w:rPr>
    </w:lvl>
    <w:lvl w:ilvl="4" w:tplc="2EB2F2FA">
      <w:start w:val="1"/>
      <w:numFmt w:val="bullet"/>
      <w:lvlText w:val="•"/>
      <w:lvlJc w:val="left"/>
      <w:pPr>
        <w:ind w:left="3559" w:hanging="284"/>
      </w:pPr>
      <w:rPr>
        <w:rFonts w:hint="default"/>
      </w:rPr>
    </w:lvl>
    <w:lvl w:ilvl="5" w:tplc="0B867D52">
      <w:start w:val="1"/>
      <w:numFmt w:val="bullet"/>
      <w:lvlText w:val="•"/>
      <w:lvlJc w:val="left"/>
      <w:pPr>
        <w:ind w:left="4516" w:hanging="284"/>
      </w:pPr>
      <w:rPr>
        <w:rFonts w:hint="default"/>
      </w:rPr>
    </w:lvl>
    <w:lvl w:ilvl="6" w:tplc="5054FAE6">
      <w:start w:val="1"/>
      <w:numFmt w:val="bullet"/>
      <w:lvlText w:val="•"/>
      <w:lvlJc w:val="left"/>
      <w:pPr>
        <w:ind w:left="5474" w:hanging="284"/>
      </w:pPr>
      <w:rPr>
        <w:rFonts w:hint="default"/>
      </w:rPr>
    </w:lvl>
    <w:lvl w:ilvl="7" w:tplc="0FC687E4">
      <w:start w:val="1"/>
      <w:numFmt w:val="bullet"/>
      <w:lvlText w:val="•"/>
      <w:lvlJc w:val="left"/>
      <w:pPr>
        <w:ind w:left="6432" w:hanging="284"/>
      </w:pPr>
      <w:rPr>
        <w:rFonts w:hint="default"/>
      </w:rPr>
    </w:lvl>
    <w:lvl w:ilvl="8" w:tplc="B19888EE">
      <w:start w:val="1"/>
      <w:numFmt w:val="bullet"/>
      <w:lvlText w:val="•"/>
      <w:lvlJc w:val="left"/>
      <w:pPr>
        <w:ind w:left="7390" w:hanging="284"/>
      </w:pPr>
      <w:rPr>
        <w:rFonts w:hint="default"/>
      </w:rPr>
    </w:lvl>
  </w:abstractNum>
  <w:abstractNum w:abstractNumId="52" w15:restartNumberingAfterBreak="0">
    <w:nsid w:val="23675E66"/>
    <w:multiLevelType w:val="multilevel"/>
    <w:tmpl w:val="0A78F1D8"/>
    <w:lvl w:ilvl="0">
      <w:start w:val="12"/>
      <w:numFmt w:val="decimal"/>
      <w:lvlText w:val="%1"/>
      <w:lvlJc w:val="left"/>
      <w:pPr>
        <w:ind w:left="820" w:hanging="720"/>
      </w:pPr>
      <w:rPr>
        <w:rFonts w:hint="default"/>
      </w:rPr>
    </w:lvl>
    <w:lvl w:ilvl="1">
      <w:start w:val="7"/>
      <w:numFmt w:val="decimal"/>
      <w:lvlText w:val="%1.%2"/>
      <w:lvlJc w:val="left"/>
      <w:pPr>
        <w:ind w:left="820" w:hanging="720"/>
      </w:pPr>
      <w:rPr>
        <w:rFonts w:hint="default"/>
      </w:rPr>
    </w:lvl>
    <w:lvl w:ilvl="2">
      <w:start w:val="1"/>
      <w:numFmt w:val="decimal"/>
      <w:lvlText w:val="%1.%2.%3"/>
      <w:lvlJc w:val="left"/>
      <w:pPr>
        <w:ind w:left="820" w:hanging="720"/>
      </w:pPr>
      <w:rPr>
        <w:rFonts w:ascii="Arial" w:eastAsia="Arial" w:hAnsi="Arial" w:hint="default"/>
        <w:b/>
        <w:bCs/>
        <w:sz w:val="22"/>
        <w:szCs w:val="22"/>
      </w:rPr>
    </w:lvl>
    <w:lvl w:ilvl="3">
      <w:start w:val="1"/>
      <w:numFmt w:val="decimal"/>
      <w:lvlText w:val="%4."/>
      <w:lvlJc w:val="left"/>
      <w:pPr>
        <w:ind w:left="820" w:hanging="360"/>
      </w:pPr>
      <w:rPr>
        <w:rFonts w:ascii="Calibri" w:eastAsia="Calibri" w:hAnsi="Calibri" w:hint="default"/>
        <w:sz w:val="22"/>
        <w:szCs w:val="22"/>
      </w:rPr>
    </w:lvl>
    <w:lvl w:ilvl="4">
      <w:start w:val="1"/>
      <w:numFmt w:val="lowerLetter"/>
      <w:lvlText w:val="%5."/>
      <w:lvlJc w:val="left"/>
      <w:pPr>
        <w:ind w:left="1540" w:hanging="360"/>
      </w:pPr>
      <w:rPr>
        <w:rFonts w:ascii="Calibri" w:eastAsia="Calibri" w:hAnsi="Calibri" w:hint="default"/>
        <w:spacing w:val="-1"/>
        <w:sz w:val="22"/>
        <w:szCs w:val="22"/>
      </w:rPr>
    </w:lvl>
    <w:lvl w:ilvl="5">
      <w:start w:val="1"/>
      <w:numFmt w:val="bullet"/>
      <w:lvlText w:val="•"/>
      <w:lvlJc w:val="left"/>
      <w:pPr>
        <w:ind w:left="4555" w:hanging="360"/>
      </w:pPr>
      <w:rPr>
        <w:rFonts w:hint="default"/>
      </w:rPr>
    </w:lvl>
    <w:lvl w:ilvl="6">
      <w:start w:val="1"/>
      <w:numFmt w:val="bullet"/>
      <w:lvlText w:val="•"/>
      <w:lvlJc w:val="left"/>
      <w:pPr>
        <w:ind w:left="5560" w:hanging="360"/>
      </w:pPr>
      <w:rPr>
        <w:rFonts w:hint="default"/>
      </w:rPr>
    </w:lvl>
    <w:lvl w:ilvl="7">
      <w:start w:val="1"/>
      <w:numFmt w:val="bullet"/>
      <w:lvlText w:val="•"/>
      <w:lvlJc w:val="left"/>
      <w:pPr>
        <w:ind w:left="6565" w:hanging="360"/>
      </w:pPr>
      <w:rPr>
        <w:rFonts w:hint="default"/>
      </w:rPr>
    </w:lvl>
    <w:lvl w:ilvl="8">
      <w:start w:val="1"/>
      <w:numFmt w:val="bullet"/>
      <w:lvlText w:val="•"/>
      <w:lvlJc w:val="left"/>
      <w:pPr>
        <w:ind w:left="7570" w:hanging="360"/>
      </w:pPr>
      <w:rPr>
        <w:rFonts w:hint="default"/>
      </w:rPr>
    </w:lvl>
  </w:abstractNum>
  <w:abstractNum w:abstractNumId="53" w15:restartNumberingAfterBreak="0">
    <w:nsid w:val="251F54FC"/>
    <w:multiLevelType w:val="hybridMultilevel"/>
    <w:tmpl w:val="305CB58C"/>
    <w:lvl w:ilvl="0" w:tplc="733656A2">
      <w:start w:val="1"/>
      <w:numFmt w:val="decimal"/>
      <w:lvlText w:val="%1)"/>
      <w:lvlJc w:val="left"/>
      <w:pPr>
        <w:ind w:left="678" w:hanging="250"/>
        <w:jc w:val="right"/>
      </w:pPr>
      <w:rPr>
        <w:rFonts w:ascii="Calibri" w:eastAsia="Calibri" w:hAnsi="Calibri" w:hint="default"/>
        <w:sz w:val="22"/>
        <w:szCs w:val="22"/>
      </w:rPr>
    </w:lvl>
    <w:lvl w:ilvl="1" w:tplc="124C445A">
      <w:start w:val="1"/>
      <w:numFmt w:val="lowerLetter"/>
      <w:lvlText w:val="%2)"/>
      <w:lvlJc w:val="left"/>
      <w:pPr>
        <w:ind w:left="1081" w:hanging="223"/>
      </w:pPr>
      <w:rPr>
        <w:rFonts w:ascii="Calibri" w:eastAsia="Calibri" w:hAnsi="Calibri" w:hint="default"/>
        <w:sz w:val="22"/>
        <w:szCs w:val="22"/>
      </w:rPr>
    </w:lvl>
    <w:lvl w:ilvl="2" w:tplc="A9FCDCAE">
      <w:start w:val="1"/>
      <w:numFmt w:val="bullet"/>
      <w:lvlText w:val="•"/>
      <w:lvlJc w:val="left"/>
      <w:pPr>
        <w:ind w:left="1997" w:hanging="223"/>
      </w:pPr>
      <w:rPr>
        <w:rFonts w:hint="default"/>
      </w:rPr>
    </w:lvl>
    <w:lvl w:ilvl="3" w:tplc="AF82BFA4">
      <w:start w:val="1"/>
      <w:numFmt w:val="bullet"/>
      <w:lvlText w:val="•"/>
      <w:lvlJc w:val="left"/>
      <w:pPr>
        <w:ind w:left="2913" w:hanging="223"/>
      </w:pPr>
      <w:rPr>
        <w:rFonts w:hint="default"/>
      </w:rPr>
    </w:lvl>
    <w:lvl w:ilvl="4" w:tplc="ACE08622">
      <w:start w:val="1"/>
      <w:numFmt w:val="bullet"/>
      <w:lvlText w:val="•"/>
      <w:lvlJc w:val="left"/>
      <w:pPr>
        <w:ind w:left="3829" w:hanging="223"/>
      </w:pPr>
      <w:rPr>
        <w:rFonts w:hint="default"/>
      </w:rPr>
    </w:lvl>
    <w:lvl w:ilvl="5" w:tplc="533C7ED8">
      <w:start w:val="1"/>
      <w:numFmt w:val="bullet"/>
      <w:lvlText w:val="•"/>
      <w:lvlJc w:val="left"/>
      <w:pPr>
        <w:ind w:left="4745" w:hanging="223"/>
      </w:pPr>
      <w:rPr>
        <w:rFonts w:hint="default"/>
      </w:rPr>
    </w:lvl>
    <w:lvl w:ilvl="6" w:tplc="ACE68632">
      <w:start w:val="1"/>
      <w:numFmt w:val="bullet"/>
      <w:lvlText w:val="•"/>
      <w:lvlJc w:val="left"/>
      <w:pPr>
        <w:ind w:left="5661" w:hanging="223"/>
      </w:pPr>
      <w:rPr>
        <w:rFonts w:hint="default"/>
      </w:rPr>
    </w:lvl>
    <w:lvl w:ilvl="7" w:tplc="CB2AA70A">
      <w:start w:val="1"/>
      <w:numFmt w:val="bullet"/>
      <w:lvlText w:val="•"/>
      <w:lvlJc w:val="left"/>
      <w:pPr>
        <w:ind w:left="6578" w:hanging="223"/>
      </w:pPr>
      <w:rPr>
        <w:rFonts w:hint="default"/>
      </w:rPr>
    </w:lvl>
    <w:lvl w:ilvl="8" w:tplc="D2F239F0">
      <w:start w:val="1"/>
      <w:numFmt w:val="bullet"/>
      <w:lvlText w:val="•"/>
      <w:lvlJc w:val="left"/>
      <w:pPr>
        <w:ind w:left="7494" w:hanging="223"/>
      </w:pPr>
      <w:rPr>
        <w:rFonts w:hint="default"/>
      </w:rPr>
    </w:lvl>
  </w:abstractNum>
  <w:abstractNum w:abstractNumId="54" w15:restartNumberingAfterBreak="0">
    <w:nsid w:val="270F2A72"/>
    <w:multiLevelType w:val="multilevel"/>
    <w:tmpl w:val="0336889C"/>
    <w:lvl w:ilvl="0">
      <w:start w:val="10"/>
      <w:numFmt w:val="decimal"/>
      <w:lvlText w:val="%1"/>
      <w:lvlJc w:val="left"/>
      <w:pPr>
        <w:tabs>
          <w:tab w:val="num" w:pos="360"/>
        </w:tabs>
        <w:ind w:left="360" w:hanging="360"/>
      </w:pPr>
      <w:rPr>
        <w:rFonts w:hint="default"/>
        <w:b/>
      </w:rPr>
    </w:lvl>
    <w:lvl w:ilvl="1">
      <w:start w:val="7"/>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55" w15:restartNumberingAfterBreak="0">
    <w:nsid w:val="28307FF3"/>
    <w:multiLevelType w:val="hybridMultilevel"/>
    <w:tmpl w:val="DCE0F940"/>
    <w:lvl w:ilvl="0" w:tplc="D28A7B5C">
      <w:start w:val="1"/>
      <w:numFmt w:val="decimal"/>
      <w:lvlText w:val="%1."/>
      <w:lvlJc w:val="left"/>
      <w:pPr>
        <w:ind w:left="858" w:hanging="360"/>
      </w:pPr>
      <w:rPr>
        <w:rFonts w:ascii="Calibri" w:eastAsia="Calibri" w:hAnsi="Calibri" w:hint="default"/>
        <w:sz w:val="22"/>
        <w:szCs w:val="22"/>
      </w:rPr>
    </w:lvl>
    <w:lvl w:ilvl="1" w:tplc="F438B2FC">
      <w:start w:val="1"/>
      <w:numFmt w:val="bullet"/>
      <w:lvlText w:val="•"/>
      <w:lvlJc w:val="left"/>
      <w:pPr>
        <w:ind w:left="1707" w:hanging="360"/>
      </w:pPr>
      <w:rPr>
        <w:rFonts w:hint="default"/>
      </w:rPr>
    </w:lvl>
    <w:lvl w:ilvl="2" w:tplc="17A4514E">
      <w:start w:val="1"/>
      <w:numFmt w:val="bullet"/>
      <w:lvlText w:val="•"/>
      <w:lvlJc w:val="left"/>
      <w:pPr>
        <w:ind w:left="2556" w:hanging="360"/>
      </w:pPr>
      <w:rPr>
        <w:rFonts w:hint="default"/>
      </w:rPr>
    </w:lvl>
    <w:lvl w:ilvl="3" w:tplc="7A4AFD3A">
      <w:start w:val="1"/>
      <w:numFmt w:val="bullet"/>
      <w:lvlText w:val="•"/>
      <w:lvlJc w:val="left"/>
      <w:pPr>
        <w:ind w:left="3405" w:hanging="360"/>
      </w:pPr>
      <w:rPr>
        <w:rFonts w:hint="default"/>
      </w:rPr>
    </w:lvl>
    <w:lvl w:ilvl="4" w:tplc="4C4C96AE">
      <w:start w:val="1"/>
      <w:numFmt w:val="bullet"/>
      <w:lvlText w:val="•"/>
      <w:lvlJc w:val="left"/>
      <w:pPr>
        <w:ind w:left="4253" w:hanging="360"/>
      </w:pPr>
      <w:rPr>
        <w:rFonts w:hint="default"/>
      </w:rPr>
    </w:lvl>
    <w:lvl w:ilvl="5" w:tplc="194252CA">
      <w:start w:val="1"/>
      <w:numFmt w:val="bullet"/>
      <w:lvlText w:val="•"/>
      <w:lvlJc w:val="left"/>
      <w:pPr>
        <w:ind w:left="5102" w:hanging="360"/>
      </w:pPr>
      <w:rPr>
        <w:rFonts w:hint="default"/>
      </w:rPr>
    </w:lvl>
    <w:lvl w:ilvl="6" w:tplc="A30A5E8E">
      <w:start w:val="1"/>
      <w:numFmt w:val="bullet"/>
      <w:lvlText w:val="•"/>
      <w:lvlJc w:val="left"/>
      <w:pPr>
        <w:ind w:left="5951" w:hanging="360"/>
      </w:pPr>
      <w:rPr>
        <w:rFonts w:hint="default"/>
      </w:rPr>
    </w:lvl>
    <w:lvl w:ilvl="7" w:tplc="C11A92B6">
      <w:start w:val="1"/>
      <w:numFmt w:val="bullet"/>
      <w:lvlText w:val="•"/>
      <w:lvlJc w:val="left"/>
      <w:pPr>
        <w:ind w:left="6800" w:hanging="360"/>
      </w:pPr>
      <w:rPr>
        <w:rFonts w:hint="default"/>
      </w:rPr>
    </w:lvl>
    <w:lvl w:ilvl="8" w:tplc="D99E071E">
      <w:start w:val="1"/>
      <w:numFmt w:val="bullet"/>
      <w:lvlText w:val="•"/>
      <w:lvlJc w:val="left"/>
      <w:pPr>
        <w:ind w:left="7648" w:hanging="360"/>
      </w:pPr>
      <w:rPr>
        <w:rFonts w:hint="default"/>
      </w:rPr>
    </w:lvl>
  </w:abstractNum>
  <w:abstractNum w:abstractNumId="56" w15:restartNumberingAfterBreak="0">
    <w:nsid w:val="28643C01"/>
    <w:multiLevelType w:val="multilevel"/>
    <w:tmpl w:val="7AA6D102"/>
    <w:lvl w:ilvl="0">
      <w:start w:val="8"/>
      <w:numFmt w:val="decimal"/>
      <w:lvlText w:val="%1"/>
      <w:lvlJc w:val="left"/>
      <w:pPr>
        <w:tabs>
          <w:tab w:val="num" w:pos="570"/>
        </w:tabs>
        <w:ind w:left="570" w:hanging="570"/>
      </w:pPr>
      <w:rPr>
        <w:rFonts w:hint="default"/>
        <w:b/>
      </w:rPr>
    </w:lvl>
    <w:lvl w:ilvl="1">
      <w:start w:val="2"/>
      <w:numFmt w:val="decimal"/>
      <w:lvlText w:val="%1.%2"/>
      <w:lvlJc w:val="left"/>
      <w:pPr>
        <w:tabs>
          <w:tab w:val="num" w:pos="853"/>
        </w:tabs>
        <w:ind w:left="853" w:hanging="570"/>
      </w:pPr>
      <w:rPr>
        <w:rFonts w:hint="default"/>
        <w:b/>
      </w:rPr>
    </w:lvl>
    <w:lvl w:ilvl="2">
      <w:start w:val="2"/>
      <w:numFmt w:val="decimal"/>
      <w:lvlText w:val="%1.%2.%3"/>
      <w:lvlJc w:val="left"/>
      <w:pPr>
        <w:tabs>
          <w:tab w:val="num" w:pos="1286"/>
        </w:tabs>
        <w:ind w:left="1286" w:hanging="720"/>
      </w:pPr>
      <w:rPr>
        <w:rFonts w:hint="default"/>
        <w:b/>
      </w:rPr>
    </w:lvl>
    <w:lvl w:ilvl="3">
      <w:start w:val="1"/>
      <w:numFmt w:val="decimal"/>
      <w:lvlText w:val="%1.%2.%3.%4"/>
      <w:lvlJc w:val="left"/>
      <w:pPr>
        <w:tabs>
          <w:tab w:val="num" w:pos="1569"/>
        </w:tabs>
        <w:ind w:left="1569" w:hanging="720"/>
      </w:pPr>
      <w:rPr>
        <w:rFonts w:hint="default"/>
        <w:b/>
      </w:rPr>
    </w:lvl>
    <w:lvl w:ilvl="4">
      <w:start w:val="1"/>
      <w:numFmt w:val="decimal"/>
      <w:lvlText w:val="%1.%2.%3.%4.%5"/>
      <w:lvlJc w:val="left"/>
      <w:pPr>
        <w:tabs>
          <w:tab w:val="num" w:pos="2212"/>
        </w:tabs>
        <w:ind w:left="2212" w:hanging="1080"/>
      </w:pPr>
      <w:rPr>
        <w:rFonts w:hint="default"/>
        <w:b/>
      </w:rPr>
    </w:lvl>
    <w:lvl w:ilvl="5">
      <w:start w:val="1"/>
      <w:numFmt w:val="decimal"/>
      <w:lvlText w:val="%1.%2.%3.%4.%5.%6"/>
      <w:lvlJc w:val="left"/>
      <w:pPr>
        <w:tabs>
          <w:tab w:val="num" w:pos="2495"/>
        </w:tabs>
        <w:ind w:left="2495" w:hanging="1080"/>
      </w:pPr>
      <w:rPr>
        <w:rFonts w:hint="default"/>
        <w:b/>
      </w:rPr>
    </w:lvl>
    <w:lvl w:ilvl="6">
      <w:start w:val="1"/>
      <w:numFmt w:val="decimal"/>
      <w:lvlText w:val="%1.%2.%3.%4.%5.%6.%7"/>
      <w:lvlJc w:val="left"/>
      <w:pPr>
        <w:tabs>
          <w:tab w:val="num" w:pos="3138"/>
        </w:tabs>
        <w:ind w:left="3138" w:hanging="1440"/>
      </w:pPr>
      <w:rPr>
        <w:rFonts w:hint="default"/>
        <w:b/>
      </w:rPr>
    </w:lvl>
    <w:lvl w:ilvl="7">
      <w:start w:val="1"/>
      <w:numFmt w:val="decimal"/>
      <w:lvlText w:val="%1.%2.%3.%4.%5.%6.%7.%8"/>
      <w:lvlJc w:val="left"/>
      <w:pPr>
        <w:tabs>
          <w:tab w:val="num" w:pos="3421"/>
        </w:tabs>
        <w:ind w:left="3421" w:hanging="1440"/>
      </w:pPr>
      <w:rPr>
        <w:rFonts w:hint="default"/>
        <w:b/>
      </w:rPr>
    </w:lvl>
    <w:lvl w:ilvl="8">
      <w:start w:val="1"/>
      <w:numFmt w:val="decimal"/>
      <w:lvlText w:val="%1.%2.%3.%4.%5.%6.%7.%8.%9"/>
      <w:lvlJc w:val="left"/>
      <w:pPr>
        <w:tabs>
          <w:tab w:val="num" w:pos="3704"/>
        </w:tabs>
        <w:ind w:left="3704" w:hanging="1440"/>
      </w:pPr>
      <w:rPr>
        <w:rFonts w:hint="default"/>
        <w:b/>
      </w:rPr>
    </w:lvl>
  </w:abstractNum>
  <w:abstractNum w:abstractNumId="57" w15:restartNumberingAfterBreak="0">
    <w:nsid w:val="2A1E694F"/>
    <w:multiLevelType w:val="hybridMultilevel"/>
    <w:tmpl w:val="899463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8" w15:restartNumberingAfterBreak="0">
    <w:nsid w:val="2AE30A21"/>
    <w:multiLevelType w:val="multilevel"/>
    <w:tmpl w:val="28280374"/>
    <w:lvl w:ilvl="0">
      <w:start w:val="14"/>
      <w:numFmt w:val="upperLetter"/>
      <w:lvlText w:val="%1"/>
      <w:lvlJc w:val="left"/>
      <w:pPr>
        <w:ind w:left="555" w:hanging="437"/>
      </w:pPr>
      <w:rPr>
        <w:rFonts w:hint="default"/>
      </w:rPr>
    </w:lvl>
    <w:lvl w:ilvl="1">
      <w:start w:val="2"/>
      <w:numFmt w:val="upperLetter"/>
      <w:lvlText w:val="%1.%2."/>
      <w:lvlJc w:val="left"/>
      <w:pPr>
        <w:ind w:left="555" w:hanging="437"/>
      </w:pPr>
      <w:rPr>
        <w:rFonts w:ascii="Calibri" w:eastAsia="Calibri" w:hAnsi="Calibri" w:hint="default"/>
        <w:b/>
        <w:bCs/>
        <w:sz w:val="22"/>
        <w:szCs w:val="22"/>
      </w:rPr>
    </w:lvl>
    <w:lvl w:ilvl="2">
      <w:start w:val="1"/>
      <w:numFmt w:val="bullet"/>
      <w:lvlText w:val=""/>
      <w:lvlJc w:val="left"/>
      <w:pPr>
        <w:ind w:left="838" w:hanging="360"/>
      </w:pPr>
      <w:rPr>
        <w:rFonts w:ascii="Symbol" w:eastAsia="Symbol" w:hAnsi="Symbol" w:hint="default"/>
        <w:sz w:val="22"/>
        <w:szCs w:val="22"/>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543" w:hanging="360"/>
      </w:pPr>
      <w:rPr>
        <w:rFonts w:hint="default"/>
      </w:rPr>
    </w:lvl>
    <w:lvl w:ilvl="7">
      <w:start w:val="1"/>
      <w:numFmt w:val="bullet"/>
      <w:lvlText w:val="•"/>
      <w:lvlJc w:val="left"/>
      <w:pPr>
        <w:ind w:left="6483" w:hanging="360"/>
      </w:pPr>
      <w:rPr>
        <w:rFonts w:hint="default"/>
      </w:rPr>
    </w:lvl>
    <w:lvl w:ilvl="8">
      <w:start w:val="1"/>
      <w:numFmt w:val="bullet"/>
      <w:lvlText w:val="•"/>
      <w:lvlJc w:val="left"/>
      <w:pPr>
        <w:ind w:left="7424" w:hanging="360"/>
      </w:pPr>
      <w:rPr>
        <w:rFonts w:hint="default"/>
      </w:rPr>
    </w:lvl>
  </w:abstractNum>
  <w:abstractNum w:abstractNumId="59" w15:restartNumberingAfterBreak="0">
    <w:nsid w:val="2AF10AE6"/>
    <w:multiLevelType w:val="hybridMultilevel"/>
    <w:tmpl w:val="408CD0D8"/>
    <w:lvl w:ilvl="0" w:tplc="414C751C">
      <w:start w:val="1"/>
      <w:numFmt w:val="decimal"/>
      <w:lvlText w:val="%1."/>
      <w:lvlJc w:val="left"/>
      <w:pPr>
        <w:ind w:left="473" w:hanging="360"/>
      </w:pPr>
      <w:rPr>
        <w:rFonts w:hint="default"/>
      </w:rPr>
    </w:lvl>
    <w:lvl w:ilvl="1" w:tplc="0C090019" w:tentative="1">
      <w:start w:val="1"/>
      <w:numFmt w:val="lowerLetter"/>
      <w:lvlText w:val="%2."/>
      <w:lvlJc w:val="left"/>
      <w:pPr>
        <w:ind w:left="1193" w:hanging="360"/>
      </w:pPr>
    </w:lvl>
    <w:lvl w:ilvl="2" w:tplc="0C09001B" w:tentative="1">
      <w:start w:val="1"/>
      <w:numFmt w:val="lowerRoman"/>
      <w:lvlText w:val="%3."/>
      <w:lvlJc w:val="right"/>
      <w:pPr>
        <w:ind w:left="1913" w:hanging="180"/>
      </w:pPr>
    </w:lvl>
    <w:lvl w:ilvl="3" w:tplc="0C09000F" w:tentative="1">
      <w:start w:val="1"/>
      <w:numFmt w:val="decimal"/>
      <w:lvlText w:val="%4."/>
      <w:lvlJc w:val="left"/>
      <w:pPr>
        <w:ind w:left="2633" w:hanging="360"/>
      </w:pPr>
    </w:lvl>
    <w:lvl w:ilvl="4" w:tplc="0C090019" w:tentative="1">
      <w:start w:val="1"/>
      <w:numFmt w:val="lowerLetter"/>
      <w:lvlText w:val="%5."/>
      <w:lvlJc w:val="left"/>
      <w:pPr>
        <w:ind w:left="3353" w:hanging="360"/>
      </w:pPr>
    </w:lvl>
    <w:lvl w:ilvl="5" w:tplc="0C09001B" w:tentative="1">
      <w:start w:val="1"/>
      <w:numFmt w:val="lowerRoman"/>
      <w:lvlText w:val="%6."/>
      <w:lvlJc w:val="right"/>
      <w:pPr>
        <w:ind w:left="4073" w:hanging="180"/>
      </w:pPr>
    </w:lvl>
    <w:lvl w:ilvl="6" w:tplc="0C09000F" w:tentative="1">
      <w:start w:val="1"/>
      <w:numFmt w:val="decimal"/>
      <w:lvlText w:val="%7."/>
      <w:lvlJc w:val="left"/>
      <w:pPr>
        <w:ind w:left="4793" w:hanging="360"/>
      </w:pPr>
    </w:lvl>
    <w:lvl w:ilvl="7" w:tplc="0C090019" w:tentative="1">
      <w:start w:val="1"/>
      <w:numFmt w:val="lowerLetter"/>
      <w:lvlText w:val="%8."/>
      <w:lvlJc w:val="left"/>
      <w:pPr>
        <w:ind w:left="5513" w:hanging="360"/>
      </w:pPr>
    </w:lvl>
    <w:lvl w:ilvl="8" w:tplc="0C09001B" w:tentative="1">
      <w:start w:val="1"/>
      <w:numFmt w:val="lowerRoman"/>
      <w:lvlText w:val="%9."/>
      <w:lvlJc w:val="right"/>
      <w:pPr>
        <w:ind w:left="6233" w:hanging="180"/>
      </w:pPr>
    </w:lvl>
  </w:abstractNum>
  <w:abstractNum w:abstractNumId="60" w15:restartNumberingAfterBreak="0">
    <w:nsid w:val="2B5E791B"/>
    <w:multiLevelType w:val="hybridMultilevel"/>
    <w:tmpl w:val="95C88934"/>
    <w:lvl w:ilvl="0" w:tplc="2C948AF2">
      <w:start w:val="1"/>
      <w:numFmt w:val="decimal"/>
      <w:lvlText w:val="%1."/>
      <w:lvlJc w:val="left"/>
      <w:pPr>
        <w:ind w:left="422" w:hanging="284"/>
      </w:pPr>
      <w:rPr>
        <w:rFonts w:ascii="Calibri" w:eastAsia="Calibri" w:hAnsi="Calibri" w:hint="default"/>
        <w:sz w:val="22"/>
        <w:szCs w:val="22"/>
      </w:rPr>
    </w:lvl>
    <w:lvl w:ilvl="1" w:tplc="D3922F4A">
      <w:start w:val="1"/>
      <w:numFmt w:val="bullet"/>
      <w:lvlText w:val="•"/>
      <w:lvlJc w:val="left"/>
      <w:pPr>
        <w:ind w:left="1314" w:hanging="284"/>
      </w:pPr>
      <w:rPr>
        <w:rFonts w:hint="default"/>
      </w:rPr>
    </w:lvl>
    <w:lvl w:ilvl="2" w:tplc="7DE2E4C4">
      <w:start w:val="1"/>
      <w:numFmt w:val="bullet"/>
      <w:lvlText w:val="•"/>
      <w:lvlJc w:val="left"/>
      <w:pPr>
        <w:ind w:left="2206" w:hanging="284"/>
      </w:pPr>
      <w:rPr>
        <w:rFonts w:hint="default"/>
      </w:rPr>
    </w:lvl>
    <w:lvl w:ilvl="3" w:tplc="DE388878">
      <w:start w:val="1"/>
      <w:numFmt w:val="bullet"/>
      <w:lvlText w:val="•"/>
      <w:lvlJc w:val="left"/>
      <w:pPr>
        <w:ind w:left="3099" w:hanging="284"/>
      </w:pPr>
      <w:rPr>
        <w:rFonts w:hint="default"/>
      </w:rPr>
    </w:lvl>
    <w:lvl w:ilvl="4" w:tplc="DAB87D52">
      <w:start w:val="1"/>
      <w:numFmt w:val="bullet"/>
      <w:lvlText w:val="•"/>
      <w:lvlJc w:val="left"/>
      <w:pPr>
        <w:ind w:left="3991" w:hanging="284"/>
      </w:pPr>
      <w:rPr>
        <w:rFonts w:hint="default"/>
      </w:rPr>
    </w:lvl>
    <w:lvl w:ilvl="5" w:tplc="468E2300">
      <w:start w:val="1"/>
      <w:numFmt w:val="bullet"/>
      <w:lvlText w:val="•"/>
      <w:lvlJc w:val="left"/>
      <w:pPr>
        <w:ind w:left="4884" w:hanging="284"/>
      </w:pPr>
      <w:rPr>
        <w:rFonts w:hint="default"/>
      </w:rPr>
    </w:lvl>
    <w:lvl w:ilvl="6" w:tplc="F96C59F8">
      <w:start w:val="1"/>
      <w:numFmt w:val="bullet"/>
      <w:lvlText w:val="•"/>
      <w:lvlJc w:val="left"/>
      <w:pPr>
        <w:ind w:left="5776" w:hanging="284"/>
      </w:pPr>
      <w:rPr>
        <w:rFonts w:hint="default"/>
      </w:rPr>
    </w:lvl>
    <w:lvl w:ilvl="7" w:tplc="1C880302">
      <w:start w:val="1"/>
      <w:numFmt w:val="bullet"/>
      <w:lvlText w:val="•"/>
      <w:lvlJc w:val="left"/>
      <w:pPr>
        <w:ind w:left="6669" w:hanging="284"/>
      </w:pPr>
      <w:rPr>
        <w:rFonts w:hint="default"/>
      </w:rPr>
    </w:lvl>
    <w:lvl w:ilvl="8" w:tplc="CF16207A">
      <w:start w:val="1"/>
      <w:numFmt w:val="bullet"/>
      <w:lvlText w:val="•"/>
      <w:lvlJc w:val="left"/>
      <w:pPr>
        <w:ind w:left="7561" w:hanging="284"/>
      </w:pPr>
      <w:rPr>
        <w:rFonts w:hint="default"/>
      </w:rPr>
    </w:lvl>
  </w:abstractNum>
  <w:abstractNum w:abstractNumId="61" w15:restartNumberingAfterBreak="0">
    <w:nsid w:val="2BC3173E"/>
    <w:multiLevelType w:val="multilevel"/>
    <w:tmpl w:val="1AE62E9C"/>
    <w:lvl w:ilvl="0">
      <w:start w:val="5"/>
      <w:numFmt w:val="decimal"/>
      <w:lvlText w:val="%1"/>
      <w:lvlJc w:val="left"/>
      <w:pPr>
        <w:ind w:left="678" w:hanging="540"/>
      </w:pPr>
      <w:rPr>
        <w:rFonts w:hint="default"/>
      </w:rPr>
    </w:lvl>
    <w:lvl w:ilvl="1">
      <w:start w:val="1"/>
      <w:numFmt w:val="decimal"/>
      <w:lvlText w:val="%1.%2"/>
      <w:lvlJc w:val="left"/>
      <w:pPr>
        <w:ind w:left="678" w:hanging="540"/>
      </w:pPr>
      <w:rPr>
        <w:rFonts w:ascii="Calibri" w:eastAsia="Calibri" w:hAnsi="Calibri" w:hint="default"/>
        <w:b/>
        <w:bCs/>
        <w:sz w:val="22"/>
        <w:szCs w:val="22"/>
      </w:rPr>
    </w:lvl>
    <w:lvl w:ilvl="2">
      <w:start w:val="1"/>
      <w:numFmt w:val="decimal"/>
      <w:lvlText w:val="%1.%2.%3"/>
      <w:lvlJc w:val="left"/>
      <w:pPr>
        <w:ind w:left="1271" w:hanging="567"/>
      </w:pPr>
      <w:rPr>
        <w:rFonts w:ascii="Calibri" w:eastAsia="Calibri" w:hAnsi="Calibri" w:hint="default"/>
        <w:b/>
        <w:bCs/>
        <w:sz w:val="22"/>
        <w:szCs w:val="22"/>
      </w:rPr>
    </w:lvl>
    <w:lvl w:ilvl="3">
      <w:start w:val="1"/>
      <w:numFmt w:val="bullet"/>
      <w:lvlText w:val="•"/>
      <w:lvlJc w:val="left"/>
      <w:pPr>
        <w:ind w:left="2288" w:hanging="567"/>
      </w:pPr>
      <w:rPr>
        <w:rFonts w:hint="default"/>
      </w:rPr>
    </w:lvl>
    <w:lvl w:ilvl="4">
      <w:start w:val="1"/>
      <w:numFmt w:val="bullet"/>
      <w:lvlText w:val="•"/>
      <w:lvlJc w:val="left"/>
      <w:pPr>
        <w:ind w:left="3305" w:hanging="567"/>
      </w:pPr>
      <w:rPr>
        <w:rFonts w:hint="default"/>
      </w:rPr>
    </w:lvl>
    <w:lvl w:ilvl="5">
      <w:start w:val="1"/>
      <w:numFmt w:val="bullet"/>
      <w:lvlText w:val="•"/>
      <w:lvlJc w:val="left"/>
      <w:pPr>
        <w:ind w:left="4322" w:hanging="567"/>
      </w:pPr>
      <w:rPr>
        <w:rFonts w:hint="default"/>
      </w:rPr>
    </w:lvl>
    <w:lvl w:ilvl="6">
      <w:start w:val="1"/>
      <w:numFmt w:val="bullet"/>
      <w:lvlText w:val="•"/>
      <w:lvlJc w:val="left"/>
      <w:pPr>
        <w:ind w:left="5339" w:hanging="567"/>
      </w:pPr>
      <w:rPr>
        <w:rFonts w:hint="default"/>
      </w:rPr>
    </w:lvl>
    <w:lvl w:ilvl="7">
      <w:start w:val="1"/>
      <w:numFmt w:val="bullet"/>
      <w:lvlText w:val="•"/>
      <w:lvlJc w:val="left"/>
      <w:pPr>
        <w:ind w:left="6355" w:hanging="567"/>
      </w:pPr>
      <w:rPr>
        <w:rFonts w:hint="default"/>
      </w:rPr>
    </w:lvl>
    <w:lvl w:ilvl="8">
      <w:start w:val="1"/>
      <w:numFmt w:val="bullet"/>
      <w:lvlText w:val="•"/>
      <w:lvlJc w:val="left"/>
      <w:pPr>
        <w:ind w:left="7372" w:hanging="567"/>
      </w:pPr>
      <w:rPr>
        <w:rFonts w:hint="default"/>
      </w:rPr>
    </w:lvl>
  </w:abstractNum>
  <w:abstractNum w:abstractNumId="62" w15:restartNumberingAfterBreak="0">
    <w:nsid w:val="2C55741C"/>
    <w:multiLevelType w:val="multilevel"/>
    <w:tmpl w:val="248A4CB0"/>
    <w:lvl w:ilvl="0">
      <w:start w:val="1"/>
      <w:numFmt w:val="bullet"/>
      <w:lvlText w:val=""/>
      <w:lvlJc w:val="left"/>
      <w:pPr>
        <w:ind w:left="422" w:hanging="284"/>
      </w:pPr>
      <w:rPr>
        <w:rFonts w:ascii="Symbol" w:eastAsia="Symbol" w:hAnsi="Symbol" w:hint="default"/>
        <w:w w:val="99"/>
        <w:sz w:val="20"/>
        <w:szCs w:val="20"/>
      </w:rPr>
    </w:lvl>
    <w:lvl w:ilvl="1">
      <w:start w:val="1"/>
      <w:numFmt w:val="bullet"/>
      <w:lvlText w:val="-"/>
      <w:lvlJc w:val="left"/>
      <w:pPr>
        <w:ind w:left="685" w:hanging="284"/>
      </w:pPr>
      <w:rPr>
        <w:rFonts w:ascii="Times New Roman" w:eastAsia="Times New Roman" w:hAnsi="Times New Roman" w:hint="default"/>
        <w:sz w:val="22"/>
        <w:szCs w:val="22"/>
      </w:rPr>
    </w:lvl>
    <w:lvl w:ilvl="2">
      <w:start w:val="1"/>
      <w:numFmt w:val="bullet"/>
      <w:lvlText w:val="•"/>
      <w:lvlJc w:val="left"/>
      <w:pPr>
        <w:ind w:left="1643" w:hanging="284"/>
      </w:pPr>
      <w:rPr>
        <w:rFonts w:hint="default"/>
      </w:rPr>
    </w:lvl>
    <w:lvl w:ilvl="3">
      <w:start w:val="1"/>
      <w:numFmt w:val="bullet"/>
      <w:lvlText w:val="•"/>
      <w:lvlJc w:val="left"/>
      <w:pPr>
        <w:ind w:left="2601" w:hanging="284"/>
      </w:pPr>
      <w:rPr>
        <w:rFonts w:hint="default"/>
      </w:rPr>
    </w:lvl>
    <w:lvl w:ilvl="4">
      <w:start w:val="1"/>
      <w:numFmt w:val="bullet"/>
      <w:lvlText w:val="•"/>
      <w:lvlJc w:val="left"/>
      <w:pPr>
        <w:ind w:left="3559" w:hanging="284"/>
      </w:pPr>
      <w:rPr>
        <w:rFonts w:hint="default"/>
      </w:rPr>
    </w:lvl>
    <w:lvl w:ilvl="5">
      <w:start w:val="1"/>
      <w:numFmt w:val="bullet"/>
      <w:lvlText w:val="•"/>
      <w:lvlJc w:val="left"/>
      <w:pPr>
        <w:ind w:left="4516" w:hanging="284"/>
      </w:pPr>
      <w:rPr>
        <w:rFonts w:hint="default"/>
      </w:rPr>
    </w:lvl>
    <w:lvl w:ilvl="6">
      <w:start w:val="1"/>
      <w:numFmt w:val="bullet"/>
      <w:lvlText w:val="•"/>
      <w:lvlJc w:val="left"/>
      <w:pPr>
        <w:ind w:left="5474" w:hanging="284"/>
      </w:pPr>
      <w:rPr>
        <w:rFonts w:hint="default"/>
      </w:rPr>
    </w:lvl>
    <w:lvl w:ilvl="7">
      <w:start w:val="1"/>
      <w:numFmt w:val="bullet"/>
      <w:lvlText w:val="•"/>
      <w:lvlJc w:val="left"/>
      <w:pPr>
        <w:ind w:left="6432" w:hanging="284"/>
      </w:pPr>
      <w:rPr>
        <w:rFonts w:hint="default"/>
      </w:rPr>
    </w:lvl>
    <w:lvl w:ilvl="8">
      <w:start w:val="1"/>
      <w:numFmt w:val="bullet"/>
      <w:lvlText w:val="•"/>
      <w:lvlJc w:val="left"/>
      <w:pPr>
        <w:ind w:left="7390" w:hanging="284"/>
      </w:pPr>
      <w:rPr>
        <w:rFonts w:hint="default"/>
      </w:rPr>
    </w:lvl>
  </w:abstractNum>
  <w:abstractNum w:abstractNumId="63" w15:restartNumberingAfterBreak="0">
    <w:nsid w:val="2D317C98"/>
    <w:multiLevelType w:val="hybridMultilevel"/>
    <w:tmpl w:val="69F448BA"/>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64" w15:restartNumberingAfterBreak="0">
    <w:nsid w:val="2DA60598"/>
    <w:multiLevelType w:val="hybridMultilevel"/>
    <w:tmpl w:val="8E4EF322"/>
    <w:lvl w:ilvl="0" w:tplc="F5763EAA">
      <w:start w:val="1"/>
      <w:numFmt w:val="upperLetter"/>
      <w:lvlText w:val="%1."/>
      <w:lvlJc w:val="left"/>
      <w:pPr>
        <w:ind w:left="430" w:hanging="292"/>
        <w:jc w:val="right"/>
      </w:pPr>
      <w:rPr>
        <w:rFonts w:ascii="Calibri" w:eastAsia="Calibri" w:hAnsi="Calibri" w:hint="default"/>
        <w:b/>
        <w:bCs/>
        <w:sz w:val="22"/>
        <w:szCs w:val="22"/>
      </w:rPr>
    </w:lvl>
    <w:lvl w:ilvl="1" w:tplc="94B093F6">
      <w:start w:val="1"/>
      <w:numFmt w:val="decimal"/>
      <w:lvlText w:val="%2."/>
      <w:lvlJc w:val="left"/>
      <w:pPr>
        <w:ind w:left="678" w:hanging="360"/>
      </w:pPr>
      <w:rPr>
        <w:rFonts w:ascii="Calibri" w:eastAsia="Calibri" w:hAnsi="Calibri" w:hint="default"/>
        <w:sz w:val="22"/>
        <w:szCs w:val="22"/>
      </w:rPr>
    </w:lvl>
    <w:lvl w:ilvl="2" w:tplc="D4E298AA">
      <w:start w:val="1"/>
      <w:numFmt w:val="bullet"/>
      <w:lvlText w:val="•"/>
      <w:lvlJc w:val="left"/>
      <w:pPr>
        <w:ind w:left="1639" w:hanging="360"/>
      </w:pPr>
      <w:rPr>
        <w:rFonts w:hint="default"/>
      </w:rPr>
    </w:lvl>
    <w:lvl w:ilvl="3" w:tplc="5D2CD50E">
      <w:start w:val="1"/>
      <w:numFmt w:val="bullet"/>
      <w:lvlText w:val="•"/>
      <w:lvlJc w:val="left"/>
      <w:pPr>
        <w:ind w:left="2600" w:hanging="360"/>
      </w:pPr>
      <w:rPr>
        <w:rFonts w:hint="default"/>
      </w:rPr>
    </w:lvl>
    <w:lvl w:ilvl="4" w:tplc="0A3012A0">
      <w:start w:val="1"/>
      <w:numFmt w:val="bullet"/>
      <w:lvlText w:val="•"/>
      <w:lvlJc w:val="left"/>
      <w:pPr>
        <w:ind w:left="3561" w:hanging="360"/>
      </w:pPr>
      <w:rPr>
        <w:rFonts w:hint="default"/>
      </w:rPr>
    </w:lvl>
    <w:lvl w:ilvl="5" w:tplc="C8FCE0CC">
      <w:start w:val="1"/>
      <w:numFmt w:val="bullet"/>
      <w:lvlText w:val="•"/>
      <w:lvlJc w:val="left"/>
      <w:pPr>
        <w:ind w:left="4522" w:hanging="360"/>
      </w:pPr>
      <w:rPr>
        <w:rFonts w:hint="default"/>
      </w:rPr>
    </w:lvl>
    <w:lvl w:ilvl="6" w:tplc="B14E7B10">
      <w:start w:val="1"/>
      <w:numFmt w:val="bullet"/>
      <w:lvlText w:val="•"/>
      <w:lvlJc w:val="left"/>
      <w:pPr>
        <w:ind w:left="5483" w:hanging="360"/>
      </w:pPr>
      <w:rPr>
        <w:rFonts w:hint="default"/>
      </w:rPr>
    </w:lvl>
    <w:lvl w:ilvl="7" w:tplc="968E5A84">
      <w:start w:val="1"/>
      <w:numFmt w:val="bullet"/>
      <w:lvlText w:val="•"/>
      <w:lvlJc w:val="left"/>
      <w:pPr>
        <w:ind w:left="6443" w:hanging="360"/>
      </w:pPr>
      <w:rPr>
        <w:rFonts w:hint="default"/>
      </w:rPr>
    </w:lvl>
    <w:lvl w:ilvl="8" w:tplc="11541022">
      <w:start w:val="1"/>
      <w:numFmt w:val="bullet"/>
      <w:lvlText w:val="•"/>
      <w:lvlJc w:val="left"/>
      <w:pPr>
        <w:ind w:left="7404" w:hanging="360"/>
      </w:pPr>
      <w:rPr>
        <w:rFonts w:hint="default"/>
      </w:rPr>
    </w:lvl>
  </w:abstractNum>
  <w:abstractNum w:abstractNumId="65" w15:restartNumberingAfterBreak="0">
    <w:nsid w:val="2DDD3047"/>
    <w:multiLevelType w:val="hybridMultilevel"/>
    <w:tmpl w:val="F50A40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6" w15:restartNumberingAfterBreak="0">
    <w:nsid w:val="2E7F79C0"/>
    <w:multiLevelType w:val="multilevel"/>
    <w:tmpl w:val="32FEAD60"/>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630"/>
        </w:tabs>
        <w:ind w:left="630" w:hanging="360"/>
      </w:pPr>
      <w:rPr>
        <w:rFonts w:hint="default"/>
        <w:b/>
      </w:rPr>
    </w:lvl>
    <w:lvl w:ilvl="2">
      <w:start w:val="4"/>
      <w:numFmt w:val="decimal"/>
      <w:lvlText w:val="%1.%2.%3"/>
      <w:lvlJc w:val="left"/>
      <w:pPr>
        <w:tabs>
          <w:tab w:val="num" w:pos="1260"/>
        </w:tabs>
        <w:ind w:left="1260" w:hanging="720"/>
      </w:pPr>
      <w:rPr>
        <w:rFonts w:hint="default"/>
        <w:b/>
      </w:rPr>
    </w:lvl>
    <w:lvl w:ilvl="3">
      <w:start w:val="1"/>
      <w:numFmt w:val="decimal"/>
      <w:lvlText w:val="%1.%2.%3.%4"/>
      <w:lvlJc w:val="left"/>
      <w:pPr>
        <w:tabs>
          <w:tab w:val="num" w:pos="1530"/>
        </w:tabs>
        <w:ind w:left="1530" w:hanging="720"/>
      </w:pPr>
      <w:rPr>
        <w:rFonts w:hint="default"/>
        <w:b/>
      </w:rPr>
    </w:lvl>
    <w:lvl w:ilvl="4">
      <w:start w:val="1"/>
      <w:numFmt w:val="decimal"/>
      <w:lvlText w:val="%1.%2.%3.%4.%5"/>
      <w:lvlJc w:val="left"/>
      <w:pPr>
        <w:tabs>
          <w:tab w:val="num" w:pos="2160"/>
        </w:tabs>
        <w:ind w:left="2160" w:hanging="1080"/>
      </w:pPr>
      <w:rPr>
        <w:rFonts w:hint="default"/>
        <w:b/>
      </w:rPr>
    </w:lvl>
    <w:lvl w:ilvl="5">
      <w:start w:val="1"/>
      <w:numFmt w:val="decimal"/>
      <w:lvlText w:val="%1.%2.%3.%4.%5.%6"/>
      <w:lvlJc w:val="left"/>
      <w:pPr>
        <w:tabs>
          <w:tab w:val="num" w:pos="2430"/>
        </w:tabs>
        <w:ind w:left="2430" w:hanging="1080"/>
      </w:pPr>
      <w:rPr>
        <w:rFonts w:hint="default"/>
        <w:b/>
      </w:rPr>
    </w:lvl>
    <w:lvl w:ilvl="6">
      <w:start w:val="1"/>
      <w:numFmt w:val="decimal"/>
      <w:lvlText w:val="%1.%2.%3.%4.%5.%6.%7"/>
      <w:lvlJc w:val="left"/>
      <w:pPr>
        <w:tabs>
          <w:tab w:val="num" w:pos="3060"/>
        </w:tabs>
        <w:ind w:left="3060" w:hanging="1440"/>
      </w:pPr>
      <w:rPr>
        <w:rFonts w:hint="default"/>
        <w:b/>
      </w:rPr>
    </w:lvl>
    <w:lvl w:ilvl="7">
      <w:start w:val="1"/>
      <w:numFmt w:val="decimal"/>
      <w:lvlText w:val="%1.%2.%3.%4.%5.%6.%7.%8"/>
      <w:lvlJc w:val="left"/>
      <w:pPr>
        <w:tabs>
          <w:tab w:val="num" w:pos="3330"/>
        </w:tabs>
        <w:ind w:left="3330" w:hanging="1440"/>
      </w:pPr>
      <w:rPr>
        <w:rFonts w:hint="default"/>
        <w:b/>
      </w:rPr>
    </w:lvl>
    <w:lvl w:ilvl="8">
      <w:start w:val="1"/>
      <w:numFmt w:val="decimal"/>
      <w:lvlText w:val="%1.%2.%3.%4.%5.%6.%7.%8.%9"/>
      <w:lvlJc w:val="left"/>
      <w:pPr>
        <w:tabs>
          <w:tab w:val="num" w:pos="3600"/>
        </w:tabs>
        <w:ind w:left="3600" w:hanging="1440"/>
      </w:pPr>
      <w:rPr>
        <w:rFonts w:hint="default"/>
        <w:b/>
      </w:rPr>
    </w:lvl>
  </w:abstractNum>
  <w:abstractNum w:abstractNumId="67" w15:restartNumberingAfterBreak="0">
    <w:nsid w:val="2E8A326E"/>
    <w:multiLevelType w:val="hybridMultilevel"/>
    <w:tmpl w:val="A782D4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8" w15:restartNumberingAfterBreak="0">
    <w:nsid w:val="304E6F38"/>
    <w:multiLevelType w:val="hybridMultilevel"/>
    <w:tmpl w:val="30C68098"/>
    <w:lvl w:ilvl="0" w:tplc="14FEB962">
      <w:start w:val="1"/>
      <w:numFmt w:val="bullet"/>
      <w:pStyle w:val="Head4"/>
      <w:lvlText w:val=""/>
      <w:lvlJc w:val="left"/>
      <w:pPr>
        <w:tabs>
          <w:tab w:val="num" w:pos="432"/>
        </w:tabs>
        <w:ind w:left="432" w:hanging="432"/>
      </w:pPr>
      <w:rPr>
        <w:rFonts w:ascii="Wingdings 2" w:hAnsi="Wingdings 2" w:cs="Times New Roman" w:hint="default"/>
        <w:color w:val="808080"/>
        <w:sz w:val="20"/>
        <w:szCs w:val="20"/>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30723903"/>
    <w:multiLevelType w:val="hybridMultilevel"/>
    <w:tmpl w:val="B79C82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0" w15:restartNumberingAfterBreak="0">
    <w:nsid w:val="316B1F0D"/>
    <w:multiLevelType w:val="hybridMultilevel"/>
    <w:tmpl w:val="E05A7FD4"/>
    <w:lvl w:ilvl="0" w:tplc="6B809A6A">
      <w:start w:val="5"/>
      <w:numFmt w:val="decimal"/>
      <w:lvlText w:val="%1."/>
      <w:lvlJc w:val="left"/>
      <w:pPr>
        <w:ind w:left="402" w:hanging="284"/>
      </w:pPr>
      <w:rPr>
        <w:rFonts w:ascii="Calibri" w:eastAsia="Calibri" w:hAnsi="Calibri" w:hint="default"/>
        <w:sz w:val="22"/>
        <w:szCs w:val="22"/>
      </w:rPr>
    </w:lvl>
    <w:lvl w:ilvl="1" w:tplc="78061572">
      <w:start w:val="1"/>
      <w:numFmt w:val="bullet"/>
      <w:lvlText w:val="•"/>
      <w:lvlJc w:val="left"/>
      <w:pPr>
        <w:ind w:left="1292" w:hanging="284"/>
      </w:pPr>
      <w:rPr>
        <w:rFonts w:hint="default"/>
      </w:rPr>
    </w:lvl>
    <w:lvl w:ilvl="2" w:tplc="08564704">
      <w:start w:val="1"/>
      <w:numFmt w:val="bullet"/>
      <w:lvlText w:val="•"/>
      <w:lvlJc w:val="left"/>
      <w:pPr>
        <w:ind w:left="2182" w:hanging="284"/>
      </w:pPr>
      <w:rPr>
        <w:rFonts w:hint="default"/>
      </w:rPr>
    </w:lvl>
    <w:lvl w:ilvl="3" w:tplc="E946BB8C">
      <w:start w:val="1"/>
      <w:numFmt w:val="bullet"/>
      <w:lvlText w:val="•"/>
      <w:lvlJc w:val="left"/>
      <w:pPr>
        <w:ind w:left="3073" w:hanging="284"/>
      </w:pPr>
      <w:rPr>
        <w:rFonts w:hint="default"/>
      </w:rPr>
    </w:lvl>
    <w:lvl w:ilvl="4" w:tplc="805CBD40">
      <w:start w:val="1"/>
      <w:numFmt w:val="bullet"/>
      <w:lvlText w:val="•"/>
      <w:lvlJc w:val="left"/>
      <w:pPr>
        <w:ind w:left="3963" w:hanging="284"/>
      </w:pPr>
      <w:rPr>
        <w:rFonts w:hint="default"/>
      </w:rPr>
    </w:lvl>
    <w:lvl w:ilvl="5" w:tplc="BCC692E2">
      <w:start w:val="1"/>
      <w:numFmt w:val="bullet"/>
      <w:lvlText w:val="•"/>
      <w:lvlJc w:val="left"/>
      <w:pPr>
        <w:ind w:left="4854" w:hanging="284"/>
      </w:pPr>
      <w:rPr>
        <w:rFonts w:hint="default"/>
      </w:rPr>
    </w:lvl>
    <w:lvl w:ilvl="6" w:tplc="559EF3E2">
      <w:start w:val="1"/>
      <w:numFmt w:val="bullet"/>
      <w:lvlText w:val="•"/>
      <w:lvlJc w:val="left"/>
      <w:pPr>
        <w:ind w:left="5744" w:hanging="284"/>
      </w:pPr>
      <w:rPr>
        <w:rFonts w:hint="default"/>
      </w:rPr>
    </w:lvl>
    <w:lvl w:ilvl="7" w:tplc="BFDCE27C">
      <w:start w:val="1"/>
      <w:numFmt w:val="bullet"/>
      <w:lvlText w:val="•"/>
      <w:lvlJc w:val="left"/>
      <w:pPr>
        <w:ind w:left="6635" w:hanging="284"/>
      </w:pPr>
      <w:rPr>
        <w:rFonts w:hint="default"/>
      </w:rPr>
    </w:lvl>
    <w:lvl w:ilvl="8" w:tplc="363CEBA4">
      <w:start w:val="1"/>
      <w:numFmt w:val="bullet"/>
      <w:lvlText w:val="•"/>
      <w:lvlJc w:val="left"/>
      <w:pPr>
        <w:ind w:left="7525" w:hanging="284"/>
      </w:pPr>
      <w:rPr>
        <w:rFonts w:hint="default"/>
      </w:rPr>
    </w:lvl>
  </w:abstractNum>
  <w:abstractNum w:abstractNumId="71" w15:restartNumberingAfterBreak="0">
    <w:nsid w:val="31FF33CC"/>
    <w:multiLevelType w:val="multilevel"/>
    <w:tmpl w:val="B1E07BE4"/>
    <w:lvl w:ilvl="0">
      <w:start w:val="2"/>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705" w:hanging="567"/>
      </w:pPr>
      <w:rPr>
        <w:rFonts w:ascii="Arial" w:eastAsia="Arial" w:hAnsi="Arial" w:hint="default"/>
        <w:b/>
        <w:bCs/>
        <w:sz w:val="22"/>
        <w:szCs w:val="22"/>
      </w:rPr>
    </w:lvl>
    <w:lvl w:ilvl="3">
      <w:start w:val="1"/>
      <w:numFmt w:val="bullet"/>
      <w:lvlText w:val="•"/>
      <w:lvlJc w:val="left"/>
      <w:pPr>
        <w:ind w:left="1857" w:hanging="567"/>
      </w:pPr>
      <w:rPr>
        <w:rFonts w:hint="default"/>
      </w:rPr>
    </w:lvl>
    <w:lvl w:ilvl="4">
      <w:start w:val="1"/>
      <w:numFmt w:val="bullet"/>
      <w:lvlText w:val="•"/>
      <w:lvlJc w:val="left"/>
      <w:pPr>
        <w:ind w:left="2921" w:hanging="567"/>
      </w:pPr>
      <w:rPr>
        <w:rFonts w:hint="default"/>
      </w:rPr>
    </w:lvl>
    <w:lvl w:ilvl="5">
      <w:start w:val="1"/>
      <w:numFmt w:val="bullet"/>
      <w:lvlText w:val="•"/>
      <w:lvlJc w:val="left"/>
      <w:pPr>
        <w:ind w:left="3985" w:hanging="567"/>
      </w:pPr>
      <w:rPr>
        <w:rFonts w:hint="default"/>
      </w:rPr>
    </w:lvl>
    <w:lvl w:ilvl="6">
      <w:start w:val="1"/>
      <w:numFmt w:val="bullet"/>
      <w:lvlText w:val="•"/>
      <w:lvlJc w:val="left"/>
      <w:pPr>
        <w:ind w:left="5049" w:hanging="567"/>
      </w:pPr>
      <w:rPr>
        <w:rFonts w:hint="default"/>
      </w:rPr>
    </w:lvl>
    <w:lvl w:ilvl="7">
      <w:start w:val="1"/>
      <w:numFmt w:val="bullet"/>
      <w:lvlText w:val="•"/>
      <w:lvlJc w:val="left"/>
      <w:pPr>
        <w:ind w:left="6113" w:hanging="567"/>
      </w:pPr>
      <w:rPr>
        <w:rFonts w:hint="default"/>
      </w:rPr>
    </w:lvl>
    <w:lvl w:ilvl="8">
      <w:start w:val="1"/>
      <w:numFmt w:val="bullet"/>
      <w:lvlText w:val="•"/>
      <w:lvlJc w:val="left"/>
      <w:pPr>
        <w:ind w:left="7178" w:hanging="567"/>
      </w:pPr>
      <w:rPr>
        <w:rFonts w:hint="default"/>
      </w:rPr>
    </w:lvl>
  </w:abstractNum>
  <w:abstractNum w:abstractNumId="72" w15:restartNumberingAfterBreak="0">
    <w:nsid w:val="32006621"/>
    <w:multiLevelType w:val="multilevel"/>
    <w:tmpl w:val="6EC84982"/>
    <w:lvl w:ilvl="0">
      <w:start w:val="8"/>
      <w:numFmt w:val="decimal"/>
      <w:lvlText w:val="%1"/>
      <w:lvlJc w:val="left"/>
      <w:pPr>
        <w:ind w:left="858" w:hanging="720"/>
      </w:pPr>
      <w:rPr>
        <w:rFonts w:hint="default"/>
      </w:rPr>
    </w:lvl>
    <w:lvl w:ilvl="1">
      <w:start w:val="1"/>
      <w:numFmt w:val="decimal"/>
      <w:lvlText w:val="%1.%2"/>
      <w:lvlJc w:val="left"/>
      <w:pPr>
        <w:ind w:left="858" w:hanging="720"/>
      </w:pPr>
      <w:rPr>
        <w:rFonts w:ascii="Arial" w:eastAsia="Arial" w:hAnsi="Arial" w:hint="default"/>
        <w:b/>
        <w:bCs/>
        <w:sz w:val="24"/>
        <w:szCs w:val="24"/>
      </w:rPr>
    </w:lvl>
    <w:lvl w:ilvl="2">
      <w:start w:val="1"/>
      <w:numFmt w:val="decimal"/>
      <w:lvlText w:val="%3."/>
      <w:lvlJc w:val="left"/>
      <w:pPr>
        <w:ind w:left="858" w:hanging="360"/>
      </w:pPr>
      <w:rPr>
        <w:rFonts w:ascii="Calibri" w:eastAsia="Calibri" w:hAnsi="Calibri" w:hint="default"/>
        <w:sz w:val="22"/>
        <w:szCs w:val="22"/>
      </w:rPr>
    </w:lvl>
    <w:lvl w:ilvl="3">
      <w:start w:val="1"/>
      <w:numFmt w:val="bullet"/>
      <w:lvlText w:val="•"/>
      <w:lvlJc w:val="left"/>
      <w:pPr>
        <w:ind w:left="1919" w:hanging="360"/>
      </w:pPr>
      <w:rPr>
        <w:rFonts w:hint="default"/>
      </w:rPr>
    </w:lvl>
    <w:lvl w:ilvl="4">
      <w:start w:val="1"/>
      <w:numFmt w:val="bullet"/>
      <w:lvlText w:val="•"/>
      <w:lvlJc w:val="left"/>
      <w:pPr>
        <w:ind w:left="2980" w:hanging="360"/>
      </w:pPr>
      <w:rPr>
        <w:rFonts w:hint="default"/>
      </w:rPr>
    </w:lvl>
    <w:lvl w:ilvl="5">
      <w:start w:val="1"/>
      <w:numFmt w:val="bullet"/>
      <w:lvlText w:val="•"/>
      <w:lvlJc w:val="left"/>
      <w:pPr>
        <w:ind w:left="4041" w:hanging="360"/>
      </w:pPr>
      <w:rPr>
        <w:rFonts w:hint="default"/>
      </w:rPr>
    </w:lvl>
    <w:lvl w:ilvl="6">
      <w:start w:val="1"/>
      <w:numFmt w:val="bullet"/>
      <w:lvlText w:val="•"/>
      <w:lvlJc w:val="left"/>
      <w:pPr>
        <w:ind w:left="5102" w:hanging="360"/>
      </w:pPr>
      <w:rPr>
        <w:rFonts w:hint="default"/>
      </w:rPr>
    </w:lvl>
    <w:lvl w:ilvl="7">
      <w:start w:val="1"/>
      <w:numFmt w:val="bullet"/>
      <w:lvlText w:val="•"/>
      <w:lvlJc w:val="left"/>
      <w:pPr>
        <w:ind w:left="6163" w:hanging="360"/>
      </w:pPr>
      <w:rPr>
        <w:rFonts w:hint="default"/>
      </w:rPr>
    </w:lvl>
    <w:lvl w:ilvl="8">
      <w:start w:val="1"/>
      <w:numFmt w:val="bullet"/>
      <w:lvlText w:val="•"/>
      <w:lvlJc w:val="left"/>
      <w:pPr>
        <w:ind w:left="7224" w:hanging="360"/>
      </w:pPr>
      <w:rPr>
        <w:rFonts w:hint="default"/>
      </w:rPr>
    </w:lvl>
  </w:abstractNum>
  <w:abstractNum w:abstractNumId="73" w15:restartNumberingAfterBreak="0">
    <w:nsid w:val="34C35818"/>
    <w:multiLevelType w:val="multilevel"/>
    <w:tmpl w:val="C720BF96"/>
    <w:lvl w:ilvl="0">
      <w:start w:val="10"/>
      <w:numFmt w:val="decimal"/>
      <w:lvlText w:val="%1"/>
      <w:lvlJc w:val="left"/>
      <w:pPr>
        <w:tabs>
          <w:tab w:val="num" w:pos="360"/>
        </w:tabs>
        <w:ind w:left="360" w:hanging="360"/>
      </w:pPr>
      <w:rPr>
        <w:rFonts w:hint="default"/>
        <w:b/>
      </w:rPr>
    </w:lvl>
    <w:lvl w:ilvl="1">
      <w:start w:val="3"/>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74" w15:restartNumberingAfterBreak="0">
    <w:nsid w:val="351D5DD5"/>
    <w:multiLevelType w:val="hybridMultilevel"/>
    <w:tmpl w:val="F3E8AD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5" w15:restartNumberingAfterBreak="0">
    <w:nsid w:val="36AC13B5"/>
    <w:multiLevelType w:val="hybridMultilevel"/>
    <w:tmpl w:val="86E473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6" w15:restartNumberingAfterBreak="0">
    <w:nsid w:val="36DC4B53"/>
    <w:multiLevelType w:val="multilevel"/>
    <w:tmpl w:val="EEB08074"/>
    <w:lvl w:ilvl="0">
      <w:start w:val="8"/>
      <w:numFmt w:val="decimal"/>
      <w:lvlText w:val="%1"/>
      <w:lvlJc w:val="left"/>
      <w:pPr>
        <w:tabs>
          <w:tab w:val="num" w:pos="360"/>
        </w:tabs>
        <w:ind w:left="360" w:hanging="360"/>
      </w:pPr>
      <w:rPr>
        <w:rFonts w:hint="default"/>
        <w:b/>
      </w:rPr>
    </w:lvl>
    <w:lvl w:ilvl="1">
      <w:start w:val="4"/>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77" w15:restartNumberingAfterBreak="0">
    <w:nsid w:val="38A7164C"/>
    <w:multiLevelType w:val="hybridMultilevel"/>
    <w:tmpl w:val="0D90A2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8" w15:restartNumberingAfterBreak="0">
    <w:nsid w:val="38AE355E"/>
    <w:multiLevelType w:val="hybridMultilevel"/>
    <w:tmpl w:val="45F8B5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9" w15:restartNumberingAfterBreak="0">
    <w:nsid w:val="38E974BE"/>
    <w:multiLevelType w:val="multilevel"/>
    <w:tmpl w:val="FAF2D50C"/>
    <w:lvl w:ilvl="0">
      <w:start w:val="5"/>
      <w:numFmt w:val="decimal"/>
      <w:lvlText w:val="%1"/>
      <w:lvlJc w:val="left"/>
      <w:pPr>
        <w:ind w:left="705" w:hanging="567"/>
      </w:pPr>
      <w:rPr>
        <w:rFonts w:hint="default"/>
      </w:rPr>
    </w:lvl>
    <w:lvl w:ilvl="1">
      <w:start w:val="4"/>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1277" w:hanging="567"/>
      </w:pPr>
      <w:rPr>
        <w:rFonts w:ascii="Arial" w:eastAsia="Arial" w:hAnsi="Arial" w:hint="default"/>
        <w:b/>
        <w:bCs/>
        <w:spacing w:val="-1"/>
        <w:sz w:val="22"/>
        <w:szCs w:val="22"/>
      </w:rPr>
    </w:lvl>
    <w:lvl w:ilvl="3">
      <w:start w:val="1"/>
      <w:numFmt w:val="bullet"/>
      <w:lvlText w:val="•"/>
      <w:lvlJc w:val="left"/>
      <w:pPr>
        <w:ind w:left="2625" w:hanging="567"/>
      </w:pPr>
      <w:rPr>
        <w:rFonts w:hint="default"/>
      </w:rPr>
    </w:lvl>
    <w:lvl w:ilvl="4">
      <w:start w:val="1"/>
      <w:numFmt w:val="bullet"/>
      <w:lvlText w:val="•"/>
      <w:lvlJc w:val="left"/>
      <w:pPr>
        <w:ind w:left="3585" w:hanging="567"/>
      </w:pPr>
      <w:rPr>
        <w:rFonts w:hint="default"/>
      </w:rPr>
    </w:lvl>
    <w:lvl w:ilvl="5">
      <w:start w:val="1"/>
      <w:numFmt w:val="bullet"/>
      <w:lvlText w:val="•"/>
      <w:lvlJc w:val="left"/>
      <w:pPr>
        <w:ind w:left="4545" w:hanging="567"/>
      </w:pPr>
      <w:rPr>
        <w:rFonts w:hint="default"/>
      </w:rPr>
    </w:lvl>
    <w:lvl w:ilvl="6">
      <w:start w:val="1"/>
      <w:numFmt w:val="bullet"/>
      <w:lvlText w:val="•"/>
      <w:lvlJc w:val="left"/>
      <w:pPr>
        <w:ind w:left="5505" w:hanging="567"/>
      </w:pPr>
      <w:rPr>
        <w:rFonts w:hint="default"/>
      </w:rPr>
    </w:lvl>
    <w:lvl w:ilvl="7">
      <w:start w:val="1"/>
      <w:numFmt w:val="bullet"/>
      <w:lvlText w:val="•"/>
      <w:lvlJc w:val="left"/>
      <w:pPr>
        <w:ind w:left="6466" w:hanging="567"/>
      </w:pPr>
      <w:rPr>
        <w:rFonts w:hint="default"/>
      </w:rPr>
    </w:lvl>
    <w:lvl w:ilvl="8">
      <w:start w:val="1"/>
      <w:numFmt w:val="bullet"/>
      <w:lvlText w:val="•"/>
      <w:lvlJc w:val="left"/>
      <w:pPr>
        <w:ind w:left="7426" w:hanging="567"/>
      </w:pPr>
      <w:rPr>
        <w:rFonts w:hint="default"/>
      </w:rPr>
    </w:lvl>
  </w:abstractNum>
  <w:abstractNum w:abstractNumId="80" w15:restartNumberingAfterBreak="0">
    <w:nsid w:val="399E1597"/>
    <w:multiLevelType w:val="hybridMultilevel"/>
    <w:tmpl w:val="EF148FA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1" w15:restartNumberingAfterBreak="0">
    <w:nsid w:val="39CC07DF"/>
    <w:multiLevelType w:val="hybridMultilevel"/>
    <w:tmpl w:val="638EC1F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2" w15:restartNumberingAfterBreak="0">
    <w:nsid w:val="3A116944"/>
    <w:multiLevelType w:val="hybridMultilevel"/>
    <w:tmpl w:val="D6E47F0C"/>
    <w:lvl w:ilvl="0" w:tplc="0C090001">
      <w:start w:val="1"/>
      <w:numFmt w:val="bullet"/>
      <w:lvlText w:val=""/>
      <w:lvlJc w:val="left"/>
      <w:pPr>
        <w:ind w:left="1440" w:hanging="360"/>
      </w:pPr>
      <w:rPr>
        <w:rFonts w:ascii="Symbol" w:hAnsi="Symbol" w:hint="default"/>
      </w:rPr>
    </w:lvl>
    <w:lvl w:ilvl="1" w:tplc="0C09001B">
      <w:start w:val="1"/>
      <w:numFmt w:val="lowerRoman"/>
      <w:lvlText w:val="%2."/>
      <w:lvlJc w:val="right"/>
      <w:pPr>
        <w:ind w:left="2160" w:hanging="360"/>
      </w:pPr>
      <w:rPr>
        <w:rFont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83" w15:restartNumberingAfterBreak="0">
    <w:nsid w:val="3B237302"/>
    <w:multiLevelType w:val="hybridMultilevel"/>
    <w:tmpl w:val="A7145B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4" w15:restartNumberingAfterBreak="0">
    <w:nsid w:val="3B3A6804"/>
    <w:multiLevelType w:val="hybridMultilevel"/>
    <w:tmpl w:val="8FF29908"/>
    <w:lvl w:ilvl="0" w:tplc="443ACDF6">
      <w:start w:val="1"/>
      <w:numFmt w:val="lowerLetter"/>
      <w:lvlText w:val="%1."/>
      <w:lvlJc w:val="righ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5" w15:restartNumberingAfterBreak="0">
    <w:nsid w:val="3B586C43"/>
    <w:multiLevelType w:val="hybridMultilevel"/>
    <w:tmpl w:val="42DEC9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6" w15:restartNumberingAfterBreak="0">
    <w:nsid w:val="3B5B5F3E"/>
    <w:multiLevelType w:val="multilevel"/>
    <w:tmpl w:val="01BA87C4"/>
    <w:lvl w:ilvl="0">
      <w:start w:val="6"/>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858" w:hanging="720"/>
      </w:pPr>
      <w:rPr>
        <w:rFonts w:ascii="Arial" w:eastAsia="Arial" w:hAnsi="Arial" w:hint="default"/>
        <w:b/>
        <w:bCs/>
        <w:sz w:val="22"/>
        <w:szCs w:val="22"/>
      </w:rPr>
    </w:lvl>
    <w:lvl w:ilvl="3">
      <w:start w:val="1"/>
      <w:numFmt w:val="bullet"/>
      <w:lvlText w:val="•"/>
      <w:lvlJc w:val="left"/>
      <w:pPr>
        <w:ind w:left="2744" w:hanging="720"/>
      </w:pPr>
      <w:rPr>
        <w:rFonts w:hint="default"/>
      </w:rPr>
    </w:lvl>
    <w:lvl w:ilvl="4">
      <w:start w:val="1"/>
      <w:numFmt w:val="bullet"/>
      <w:lvlText w:val="•"/>
      <w:lvlJc w:val="left"/>
      <w:pPr>
        <w:ind w:left="3688" w:hanging="720"/>
      </w:pPr>
      <w:rPr>
        <w:rFonts w:hint="default"/>
      </w:rPr>
    </w:lvl>
    <w:lvl w:ilvl="5">
      <w:start w:val="1"/>
      <w:numFmt w:val="bullet"/>
      <w:lvlText w:val="•"/>
      <w:lvlJc w:val="left"/>
      <w:pPr>
        <w:ind w:left="4631" w:hanging="720"/>
      </w:pPr>
      <w:rPr>
        <w:rFonts w:hint="default"/>
      </w:rPr>
    </w:lvl>
    <w:lvl w:ilvl="6">
      <w:start w:val="1"/>
      <w:numFmt w:val="bullet"/>
      <w:lvlText w:val="•"/>
      <w:lvlJc w:val="left"/>
      <w:pPr>
        <w:ind w:left="5574" w:hanging="720"/>
      </w:pPr>
      <w:rPr>
        <w:rFonts w:hint="default"/>
      </w:rPr>
    </w:lvl>
    <w:lvl w:ilvl="7">
      <w:start w:val="1"/>
      <w:numFmt w:val="bullet"/>
      <w:lvlText w:val="•"/>
      <w:lvlJc w:val="left"/>
      <w:pPr>
        <w:ind w:left="6517" w:hanging="720"/>
      </w:pPr>
      <w:rPr>
        <w:rFonts w:hint="default"/>
      </w:rPr>
    </w:lvl>
    <w:lvl w:ilvl="8">
      <w:start w:val="1"/>
      <w:numFmt w:val="bullet"/>
      <w:lvlText w:val="•"/>
      <w:lvlJc w:val="left"/>
      <w:pPr>
        <w:ind w:left="7460" w:hanging="720"/>
      </w:pPr>
      <w:rPr>
        <w:rFonts w:hint="default"/>
      </w:rPr>
    </w:lvl>
  </w:abstractNum>
  <w:abstractNum w:abstractNumId="87" w15:restartNumberingAfterBreak="0">
    <w:nsid w:val="3B92083B"/>
    <w:multiLevelType w:val="multilevel"/>
    <w:tmpl w:val="C9461354"/>
    <w:lvl w:ilvl="0">
      <w:start w:val="5"/>
      <w:numFmt w:val="decimal"/>
      <w:lvlText w:val="%1"/>
      <w:lvlJc w:val="left"/>
      <w:pPr>
        <w:tabs>
          <w:tab w:val="num" w:pos="360"/>
        </w:tabs>
        <w:ind w:left="360" w:hanging="360"/>
      </w:pPr>
      <w:rPr>
        <w:rFonts w:hint="default"/>
        <w:b/>
      </w:rPr>
    </w:lvl>
    <w:lvl w:ilvl="1">
      <w:start w:val="1"/>
      <w:numFmt w:val="decimal"/>
      <w:lvlText w:val="%1.%2"/>
      <w:lvlJc w:val="left"/>
      <w:pPr>
        <w:tabs>
          <w:tab w:val="num" w:pos="643"/>
        </w:tabs>
        <w:ind w:left="643" w:hanging="360"/>
      </w:pPr>
      <w:rPr>
        <w:rFonts w:hint="default"/>
        <w:b/>
      </w:rPr>
    </w:lvl>
    <w:lvl w:ilvl="2">
      <w:start w:val="4"/>
      <w:numFmt w:val="decimal"/>
      <w:lvlText w:val="%1.%2.%3"/>
      <w:lvlJc w:val="left"/>
      <w:pPr>
        <w:tabs>
          <w:tab w:val="num" w:pos="1286"/>
        </w:tabs>
        <w:ind w:left="1286" w:hanging="720"/>
      </w:pPr>
      <w:rPr>
        <w:rFonts w:hint="default"/>
        <w:b/>
      </w:rPr>
    </w:lvl>
    <w:lvl w:ilvl="3">
      <w:start w:val="1"/>
      <w:numFmt w:val="decimal"/>
      <w:lvlText w:val="%1.%2.%3.%4"/>
      <w:lvlJc w:val="left"/>
      <w:pPr>
        <w:tabs>
          <w:tab w:val="num" w:pos="1569"/>
        </w:tabs>
        <w:ind w:left="1569" w:hanging="720"/>
      </w:pPr>
      <w:rPr>
        <w:rFonts w:hint="default"/>
        <w:b/>
      </w:rPr>
    </w:lvl>
    <w:lvl w:ilvl="4">
      <w:start w:val="1"/>
      <w:numFmt w:val="decimal"/>
      <w:lvlText w:val="%1.%2.%3.%4.%5"/>
      <w:lvlJc w:val="left"/>
      <w:pPr>
        <w:tabs>
          <w:tab w:val="num" w:pos="2212"/>
        </w:tabs>
        <w:ind w:left="2212" w:hanging="1080"/>
      </w:pPr>
      <w:rPr>
        <w:rFonts w:hint="default"/>
        <w:b/>
      </w:rPr>
    </w:lvl>
    <w:lvl w:ilvl="5">
      <w:start w:val="1"/>
      <w:numFmt w:val="decimal"/>
      <w:lvlText w:val="%1.%2.%3.%4.%5.%6"/>
      <w:lvlJc w:val="left"/>
      <w:pPr>
        <w:tabs>
          <w:tab w:val="num" w:pos="2495"/>
        </w:tabs>
        <w:ind w:left="2495" w:hanging="1080"/>
      </w:pPr>
      <w:rPr>
        <w:rFonts w:hint="default"/>
        <w:b/>
      </w:rPr>
    </w:lvl>
    <w:lvl w:ilvl="6">
      <w:start w:val="1"/>
      <w:numFmt w:val="decimal"/>
      <w:lvlText w:val="%1.%2.%3.%4.%5.%6.%7"/>
      <w:lvlJc w:val="left"/>
      <w:pPr>
        <w:tabs>
          <w:tab w:val="num" w:pos="3138"/>
        </w:tabs>
        <w:ind w:left="3138" w:hanging="1440"/>
      </w:pPr>
      <w:rPr>
        <w:rFonts w:hint="default"/>
        <w:b/>
      </w:rPr>
    </w:lvl>
    <w:lvl w:ilvl="7">
      <w:start w:val="1"/>
      <w:numFmt w:val="decimal"/>
      <w:lvlText w:val="%1.%2.%3.%4.%5.%6.%7.%8"/>
      <w:lvlJc w:val="left"/>
      <w:pPr>
        <w:tabs>
          <w:tab w:val="num" w:pos="3421"/>
        </w:tabs>
        <w:ind w:left="3421" w:hanging="1440"/>
      </w:pPr>
      <w:rPr>
        <w:rFonts w:hint="default"/>
        <w:b/>
      </w:rPr>
    </w:lvl>
    <w:lvl w:ilvl="8">
      <w:start w:val="1"/>
      <w:numFmt w:val="decimal"/>
      <w:lvlText w:val="%1.%2.%3.%4.%5.%6.%7.%8.%9"/>
      <w:lvlJc w:val="left"/>
      <w:pPr>
        <w:tabs>
          <w:tab w:val="num" w:pos="3704"/>
        </w:tabs>
        <w:ind w:left="3704" w:hanging="1440"/>
      </w:pPr>
      <w:rPr>
        <w:rFonts w:hint="default"/>
        <w:b/>
      </w:rPr>
    </w:lvl>
  </w:abstractNum>
  <w:abstractNum w:abstractNumId="88" w15:restartNumberingAfterBreak="0">
    <w:nsid w:val="3CBE023B"/>
    <w:multiLevelType w:val="hybridMultilevel"/>
    <w:tmpl w:val="A4443966"/>
    <w:lvl w:ilvl="0" w:tplc="68DAD6C4">
      <w:start w:val="1"/>
      <w:numFmt w:val="decimal"/>
      <w:lvlText w:val="%1."/>
      <w:lvlJc w:val="left"/>
      <w:pPr>
        <w:ind w:left="422" w:hanging="284"/>
      </w:pPr>
      <w:rPr>
        <w:rFonts w:ascii="Calibri" w:eastAsia="Calibri" w:hAnsi="Calibri" w:hint="default"/>
        <w:sz w:val="22"/>
        <w:szCs w:val="22"/>
      </w:rPr>
    </w:lvl>
    <w:lvl w:ilvl="1" w:tplc="D9AC185A">
      <w:start w:val="1"/>
      <w:numFmt w:val="bullet"/>
      <w:lvlText w:val="•"/>
      <w:lvlJc w:val="left"/>
      <w:pPr>
        <w:ind w:left="1314" w:hanging="284"/>
      </w:pPr>
      <w:rPr>
        <w:rFonts w:hint="default"/>
      </w:rPr>
    </w:lvl>
    <w:lvl w:ilvl="2" w:tplc="87C644EC">
      <w:start w:val="1"/>
      <w:numFmt w:val="bullet"/>
      <w:lvlText w:val="•"/>
      <w:lvlJc w:val="left"/>
      <w:pPr>
        <w:ind w:left="2206" w:hanging="284"/>
      </w:pPr>
      <w:rPr>
        <w:rFonts w:hint="default"/>
      </w:rPr>
    </w:lvl>
    <w:lvl w:ilvl="3" w:tplc="7B284DF6">
      <w:start w:val="1"/>
      <w:numFmt w:val="bullet"/>
      <w:lvlText w:val="•"/>
      <w:lvlJc w:val="left"/>
      <w:pPr>
        <w:ind w:left="3099" w:hanging="284"/>
      </w:pPr>
      <w:rPr>
        <w:rFonts w:hint="default"/>
      </w:rPr>
    </w:lvl>
    <w:lvl w:ilvl="4" w:tplc="3EEC57B6">
      <w:start w:val="1"/>
      <w:numFmt w:val="bullet"/>
      <w:lvlText w:val="•"/>
      <w:lvlJc w:val="left"/>
      <w:pPr>
        <w:ind w:left="3991" w:hanging="284"/>
      </w:pPr>
      <w:rPr>
        <w:rFonts w:hint="default"/>
      </w:rPr>
    </w:lvl>
    <w:lvl w:ilvl="5" w:tplc="6368073E">
      <w:start w:val="1"/>
      <w:numFmt w:val="bullet"/>
      <w:lvlText w:val="•"/>
      <w:lvlJc w:val="left"/>
      <w:pPr>
        <w:ind w:left="4884" w:hanging="284"/>
      </w:pPr>
      <w:rPr>
        <w:rFonts w:hint="default"/>
      </w:rPr>
    </w:lvl>
    <w:lvl w:ilvl="6" w:tplc="1892F48A">
      <w:start w:val="1"/>
      <w:numFmt w:val="bullet"/>
      <w:lvlText w:val="•"/>
      <w:lvlJc w:val="left"/>
      <w:pPr>
        <w:ind w:left="5776" w:hanging="284"/>
      </w:pPr>
      <w:rPr>
        <w:rFonts w:hint="default"/>
      </w:rPr>
    </w:lvl>
    <w:lvl w:ilvl="7" w:tplc="FEEC7198">
      <w:start w:val="1"/>
      <w:numFmt w:val="bullet"/>
      <w:lvlText w:val="•"/>
      <w:lvlJc w:val="left"/>
      <w:pPr>
        <w:ind w:left="6669" w:hanging="284"/>
      </w:pPr>
      <w:rPr>
        <w:rFonts w:hint="default"/>
      </w:rPr>
    </w:lvl>
    <w:lvl w:ilvl="8" w:tplc="7410FB64">
      <w:start w:val="1"/>
      <w:numFmt w:val="bullet"/>
      <w:lvlText w:val="•"/>
      <w:lvlJc w:val="left"/>
      <w:pPr>
        <w:ind w:left="7561" w:hanging="284"/>
      </w:pPr>
      <w:rPr>
        <w:rFonts w:hint="default"/>
      </w:rPr>
    </w:lvl>
  </w:abstractNum>
  <w:abstractNum w:abstractNumId="89" w15:restartNumberingAfterBreak="0">
    <w:nsid w:val="3CC518CC"/>
    <w:multiLevelType w:val="hybridMultilevel"/>
    <w:tmpl w:val="1D22F3AC"/>
    <w:lvl w:ilvl="0" w:tplc="9DEE1C3A">
      <w:start w:val="1"/>
      <w:numFmt w:val="decimal"/>
      <w:lvlText w:val="%1."/>
      <w:lvlJc w:val="left"/>
      <w:pPr>
        <w:ind w:left="838" w:hanging="360"/>
      </w:pPr>
      <w:rPr>
        <w:rFonts w:ascii="Calibri" w:eastAsia="Calibri" w:hAnsi="Calibri" w:hint="default"/>
        <w:sz w:val="22"/>
        <w:szCs w:val="22"/>
      </w:rPr>
    </w:lvl>
    <w:lvl w:ilvl="1" w:tplc="3E687CE4">
      <w:start w:val="1"/>
      <w:numFmt w:val="bullet"/>
      <w:lvlText w:val="•"/>
      <w:lvlJc w:val="left"/>
      <w:pPr>
        <w:ind w:left="1685" w:hanging="360"/>
      </w:pPr>
      <w:rPr>
        <w:rFonts w:hint="default"/>
      </w:rPr>
    </w:lvl>
    <w:lvl w:ilvl="2" w:tplc="9BE63282">
      <w:start w:val="1"/>
      <w:numFmt w:val="bullet"/>
      <w:lvlText w:val="•"/>
      <w:lvlJc w:val="left"/>
      <w:pPr>
        <w:ind w:left="2532" w:hanging="360"/>
      </w:pPr>
      <w:rPr>
        <w:rFonts w:hint="default"/>
      </w:rPr>
    </w:lvl>
    <w:lvl w:ilvl="3" w:tplc="2F24F66A">
      <w:start w:val="1"/>
      <w:numFmt w:val="bullet"/>
      <w:lvlText w:val="•"/>
      <w:lvlJc w:val="left"/>
      <w:pPr>
        <w:ind w:left="3379" w:hanging="360"/>
      </w:pPr>
      <w:rPr>
        <w:rFonts w:hint="default"/>
      </w:rPr>
    </w:lvl>
    <w:lvl w:ilvl="4" w:tplc="F40ACBEC">
      <w:start w:val="1"/>
      <w:numFmt w:val="bullet"/>
      <w:lvlText w:val="•"/>
      <w:lvlJc w:val="left"/>
      <w:pPr>
        <w:ind w:left="4225" w:hanging="360"/>
      </w:pPr>
      <w:rPr>
        <w:rFonts w:hint="default"/>
      </w:rPr>
    </w:lvl>
    <w:lvl w:ilvl="5" w:tplc="A47A8F64">
      <w:start w:val="1"/>
      <w:numFmt w:val="bullet"/>
      <w:lvlText w:val="•"/>
      <w:lvlJc w:val="left"/>
      <w:pPr>
        <w:ind w:left="5072" w:hanging="360"/>
      </w:pPr>
      <w:rPr>
        <w:rFonts w:hint="default"/>
      </w:rPr>
    </w:lvl>
    <w:lvl w:ilvl="6" w:tplc="5756E1EA">
      <w:start w:val="1"/>
      <w:numFmt w:val="bullet"/>
      <w:lvlText w:val="•"/>
      <w:lvlJc w:val="left"/>
      <w:pPr>
        <w:ind w:left="5919" w:hanging="360"/>
      </w:pPr>
      <w:rPr>
        <w:rFonts w:hint="default"/>
      </w:rPr>
    </w:lvl>
    <w:lvl w:ilvl="7" w:tplc="5E9AA764">
      <w:start w:val="1"/>
      <w:numFmt w:val="bullet"/>
      <w:lvlText w:val="•"/>
      <w:lvlJc w:val="left"/>
      <w:pPr>
        <w:ind w:left="6766" w:hanging="360"/>
      </w:pPr>
      <w:rPr>
        <w:rFonts w:hint="default"/>
      </w:rPr>
    </w:lvl>
    <w:lvl w:ilvl="8" w:tplc="36C0F246">
      <w:start w:val="1"/>
      <w:numFmt w:val="bullet"/>
      <w:lvlText w:val="•"/>
      <w:lvlJc w:val="left"/>
      <w:pPr>
        <w:ind w:left="7612" w:hanging="360"/>
      </w:pPr>
      <w:rPr>
        <w:rFonts w:hint="default"/>
      </w:rPr>
    </w:lvl>
  </w:abstractNum>
  <w:abstractNum w:abstractNumId="90" w15:restartNumberingAfterBreak="0">
    <w:nsid w:val="3D4E14F4"/>
    <w:multiLevelType w:val="hybridMultilevel"/>
    <w:tmpl w:val="08C251E2"/>
    <w:lvl w:ilvl="0" w:tplc="A6FA4556">
      <w:start w:val="1"/>
      <w:numFmt w:val="lowerLetter"/>
      <w:lvlText w:val="%1."/>
      <w:lvlJc w:val="left"/>
      <w:pPr>
        <w:ind w:left="402" w:hanging="284"/>
      </w:pPr>
      <w:rPr>
        <w:rFonts w:ascii="Calibri" w:eastAsia="Calibri" w:hAnsi="Calibri" w:hint="default"/>
        <w:spacing w:val="-1"/>
        <w:sz w:val="22"/>
        <w:szCs w:val="22"/>
      </w:rPr>
    </w:lvl>
    <w:lvl w:ilvl="1" w:tplc="772C3B44">
      <w:start w:val="1"/>
      <w:numFmt w:val="bullet"/>
      <w:lvlText w:val=""/>
      <w:lvlJc w:val="left"/>
      <w:pPr>
        <w:ind w:left="685" w:hanging="284"/>
      </w:pPr>
      <w:rPr>
        <w:rFonts w:ascii="Symbol" w:eastAsia="Symbol" w:hAnsi="Symbol" w:hint="default"/>
        <w:sz w:val="22"/>
        <w:szCs w:val="22"/>
      </w:rPr>
    </w:lvl>
    <w:lvl w:ilvl="2" w:tplc="260E392A">
      <w:start w:val="1"/>
      <w:numFmt w:val="bullet"/>
      <w:lvlText w:val="•"/>
      <w:lvlJc w:val="left"/>
      <w:pPr>
        <w:ind w:left="1643" w:hanging="284"/>
      </w:pPr>
      <w:rPr>
        <w:rFonts w:hint="default"/>
      </w:rPr>
    </w:lvl>
    <w:lvl w:ilvl="3" w:tplc="4E1CF13A">
      <w:start w:val="1"/>
      <w:numFmt w:val="bullet"/>
      <w:lvlText w:val="•"/>
      <w:lvlJc w:val="left"/>
      <w:pPr>
        <w:ind w:left="2601" w:hanging="284"/>
      </w:pPr>
      <w:rPr>
        <w:rFonts w:hint="default"/>
      </w:rPr>
    </w:lvl>
    <w:lvl w:ilvl="4" w:tplc="09100336">
      <w:start w:val="1"/>
      <w:numFmt w:val="bullet"/>
      <w:lvlText w:val="•"/>
      <w:lvlJc w:val="left"/>
      <w:pPr>
        <w:ind w:left="3559" w:hanging="284"/>
      </w:pPr>
      <w:rPr>
        <w:rFonts w:hint="default"/>
      </w:rPr>
    </w:lvl>
    <w:lvl w:ilvl="5" w:tplc="6A4EBE2E">
      <w:start w:val="1"/>
      <w:numFmt w:val="bullet"/>
      <w:lvlText w:val="•"/>
      <w:lvlJc w:val="left"/>
      <w:pPr>
        <w:ind w:left="4516" w:hanging="284"/>
      </w:pPr>
      <w:rPr>
        <w:rFonts w:hint="default"/>
      </w:rPr>
    </w:lvl>
    <w:lvl w:ilvl="6" w:tplc="6B68DF22">
      <w:start w:val="1"/>
      <w:numFmt w:val="bullet"/>
      <w:lvlText w:val="•"/>
      <w:lvlJc w:val="left"/>
      <w:pPr>
        <w:ind w:left="5474" w:hanging="284"/>
      </w:pPr>
      <w:rPr>
        <w:rFonts w:hint="default"/>
      </w:rPr>
    </w:lvl>
    <w:lvl w:ilvl="7" w:tplc="A3AC84A4">
      <w:start w:val="1"/>
      <w:numFmt w:val="bullet"/>
      <w:lvlText w:val="•"/>
      <w:lvlJc w:val="left"/>
      <w:pPr>
        <w:ind w:left="6432" w:hanging="284"/>
      </w:pPr>
      <w:rPr>
        <w:rFonts w:hint="default"/>
      </w:rPr>
    </w:lvl>
    <w:lvl w:ilvl="8" w:tplc="FA4262E2">
      <w:start w:val="1"/>
      <w:numFmt w:val="bullet"/>
      <w:lvlText w:val="•"/>
      <w:lvlJc w:val="left"/>
      <w:pPr>
        <w:ind w:left="7390" w:hanging="284"/>
      </w:pPr>
      <w:rPr>
        <w:rFonts w:hint="default"/>
      </w:rPr>
    </w:lvl>
  </w:abstractNum>
  <w:abstractNum w:abstractNumId="91" w15:restartNumberingAfterBreak="0">
    <w:nsid w:val="3DBF7982"/>
    <w:multiLevelType w:val="hybridMultilevel"/>
    <w:tmpl w:val="603EBD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2" w15:restartNumberingAfterBreak="0">
    <w:nsid w:val="3DD434C1"/>
    <w:multiLevelType w:val="multilevel"/>
    <w:tmpl w:val="095662DA"/>
    <w:lvl w:ilvl="0">
      <w:start w:val="5"/>
      <w:numFmt w:val="decimal"/>
      <w:lvlText w:val="%1"/>
      <w:lvlJc w:val="left"/>
      <w:pPr>
        <w:tabs>
          <w:tab w:val="num" w:pos="360"/>
        </w:tabs>
        <w:ind w:left="360" w:hanging="360"/>
      </w:pPr>
      <w:rPr>
        <w:rFonts w:hint="default"/>
        <w:b/>
      </w:rPr>
    </w:lvl>
    <w:lvl w:ilvl="1">
      <w:start w:val="2"/>
      <w:numFmt w:val="decimal"/>
      <w:lvlText w:val="%1.%2"/>
      <w:lvlJc w:val="left"/>
      <w:pPr>
        <w:tabs>
          <w:tab w:val="num" w:pos="643"/>
        </w:tabs>
        <w:ind w:left="643" w:hanging="360"/>
      </w:pPr>
      <w:rPr>
        <w:rFonts w:hint="default"/>
        <w:b/>
      </w:rPr>
    </w:lvl>
    <w:lvl w:ilvl="2">
      <w:start w:val="4"/>
      <w:numFmt w:val="decimal"/>
      <w:lvlText w:val="%1.%2.%3"/>
      <w:lvlJc w:val="left"/>
      <w:pPr>
        <w:tabs>
          <w:tab w:val="num" w:pos="1286"/>
        </w:tabs>
        <w:ind w:left="1286" w:hanging="720"/>
      </w:pPr>
      <w:rPr>
        <w:rFonts w:hint="default"/>
        <w:b/>
      </w:rPr>
    </w:lvl>
    <w:lvl w:ilvl="3">
      <w:start w:val="1"/>
      <w:numFmt w:val="decimal"/>
      <w:lvlText w:val="%1.%2.%3.%4"/>
      <w:lvlJc w:val="left"/>
      <w:pPr>
        <w:tabs>
          <w:tab w:val="num" w:pos="1569"/>
        </w:tabs>
        <w:ind w:left="1569" w:hanging="720"/>
      </w:pPr>
      <w:rPr>
        <w:rFonts w:hint="default"/>
        <w:b/>
      </w:rPr>
    </w:lvl>
    <w:lvl w:ilvl="4">
      <w:start w:val="1"/>
      <w:numFmt w:val="decimal"/>
      <w:lvlText w:val="%1.%2.%3.%4.%5"/>
      <w:lvlJc w:val="left"/>
      <w:pPr>
        <w:tabs>
          <w:tab w:val="num" w:pos="2212"/>
        </w:tabs>
        <w:ind w:left="2212" w:hanging="1080"/>
      </w:pPr>
      <w:rPr>
        <w:rFonts w:hint="default"/>
        <w:b/>
      </w:rPr>
    </w:lvl>
    <w:lvl w:ilvl="5">
      <w:start w:val="1"/>
      <w:numFmt w:val="decimal"/>
      <w:lvlText w:val="%1.%2.%3.%4.%5.%6"/>
      <w:lvlJc w:val="left"/>
      <w:pPr>
        <w:tabs>
          <w:tab w:val="num" w:pos="2495"/>
        </w:tabs>
        <w:ind w:left="2495" w:hanging="1080"/>
      </w:pPr>
      <w:rPr>
        <w:rFonts w:hint="default"/>
        <w:b/>
      </w:rPr>
    </w:lvl>
    <w:lvl w:ilvl="6">
      <w:start w:val="1"/>
      <w:numFmt w:val="decimal"/>
      <w:lvlText w:val="%1.%2.%3.%4.%5.%6.%7"/>
      <w:lvlJc w:val="left"/>
      <w:pPr>
        <w:tabs>
          <w:tab w:val="num" w:pos="3138"/>
        </w:tabs>
        <w:ind w:left="3138" w:hanging="1440"/>
      </w:pPr>
      <w:rPr>
        <w:rFonts w:hint="default"/>
        <w:b/>
      </w:rPr>
    </w:lvl>
    <w:lvl w:ilvl="7">
      <w:start w:val="1"/>
      <w:numFmt w:val="decimal"/>
      <w:lvlText w:val="%1.%2.%3.%4.%5.%6.%7.%8"/>
      <w:lvlJc w:val="left"/>
      <w:pPr>
        <w:tabs>
          <w:tab w:val="num" w:pos="3421"/>
        </w:tabs>
        <w:ind w:left="3421" w:hanging="1440"/>
      </w:pPr>
      <w:rPr>
        <w:rFonts w:hint="default"/>
        <w:b/>
      </w:rPr>
    </w:lvl>
    <w:lvl w:ilvl="8">
      <w:start w:val="1"/>
      <w:numFmt w:val="decimal"/>
      <w:lvlText w:val="%1.%2.%3.%4.%5.%6.%7.%8.%9"/>
      <w:lvlJc w:val="left"/>
      <w:pPr>
        <w:tabs>
          <w:tab w:val="num" w:pos="3704"/>
        </w:tabs>
        <w:ind w:left="3704" w:hanging="1440"/>
      </w:pPr>
      <w:rPr>
        <w:rFonts w:hint="default"/>
        <w:b/>
      </w:rPr>
    </w:lvl>
  </w:abstractNum>
  <w:abstractNum w:abstractNumId="93" w15:restartNumberingAfterBreak="0">
    <w:nsid w:val="3E546A12"/>
    <w:multiLevelType w:val="multilevel"/>
    <w:tmpl w:val="AA203E58"/>
    <w:lvl w:ilvl="0">
      <w:start w:val="1"/>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bullet"/>
      <w:lvlText w:val="•"/>
      <w:lvlJc w:val="left"/>
      <w:pPr>
        <w:ind w:left="2433" w:hanging="567"/>
      </w:pPr>
      <w:rPr>
        <w:rFonts w:hint="default"/>
      </w:rPr>
    </w:lvl>
    <w:lvl w:ilvl="3">
      <w:start w:val="1"/>
      <w:numFmt w:val="bullet"/>
      <w:lvlText w:val="•"/>
      <w:lvlJc w:val="left"/>
      <w:pPr>
        <w:ind w:left="3297" w:hanging="567"/>
      </w:pPr>
      <w:rPr>
        <w:rFonts w:hint="default"/>
      </w:rPr>
    </w:lvl>
    <w:lvl w:ilvl="4">
      <w:start w:val="1"/>
      <w:numFmt w:val="bullet"/>
      <w:lvlText w:val="•"/>
      <w:lvlJc w:val="left"/>
      <w:pPr>
        <w:ind w:left="4161" w:hanging="567"/>
      </w:pPr>
      <w:rPr>
        <w:rFonts w:hint="default"/>
      </w:rPr>
    </w:lvl>
    <w:lvl w:ilvl="5">
      <w:start w:val="1"/>
      <w:numFmt w:val="bullet"/>
      <w:lvlText w:val="•"/>
      <w:lvlJc w:val="left"/>
      <w:pPr>
        <w:ind w:left="5025" w:hanging="567"/>
      </w:pPr>
      <w:rPr>
        <w:rFonts w:hint="default"/>
      </w:rPr>
    </w:lvl>
    <w:lvl w:ilvl="6">
      <w:start w:val="1"/>
      <w:numFmt w:val="bullet"/>
      <w:lvlText w:val="•"/>
      <w:lvlJc w:val="left"/>
      <w:pPr>
        <w:ind w:left="5889" w:hanging="567"/>
      </w:pPr>
      <w:rPr>
        <w:rFonts w:hint="default"/>
      </w:rPr>
    </w:lvl>
    <w:lvl w:ilvl="7">
      <w:start w:val="1"/>
      <w:numFmt w:val="bullet"/>
      <w:lvlText w:val="•"/>
      <w:lvlJc w:val="left"/>
      <w:pPr>
        <w:ind w:left="6754" w:hanging="567"/>
      </w:pPr>
      <w:rPr>
        <w:rFonts w:hint="default"/>
      </w:rPr>
    </w:lvl>
    <w:lvl w:ilvl="8">
      <w:start w:val="1"/>
      <w:numFmt w:val="bullet"/>
      <w:lvlText w:val="•"/>
      <w:lvlJc w:val="left"/>
      <w:pPr>
        <w:ind w:left="7618" w:hanging="567"/>
      </w:pPr>
      <w:rPr>
        <w:rFonts w:hint="default"/>
      </w:rPr>
    </w:lvl>
  </w:abstractNum>
  <w:abstractNum w:abstractNumId="94" w15:restartNumberingAfterBreak="0">
    <w:nsid w:val="3F130E14"/>
    <w:multiLevelType w:val="hybridMultilevel"/>
    <w:tmpl w:val="84E838DA"/>
    <w:lvl w:ilvl="0" w:tplc="60E829BC">
      <w:start w:val="1"/>
      <w:numFmt w:val="bullet"/>
      <w:lvlText w:val=""/>
      <w:lvlJc w:val="left"/>
      <w:pPr>
        <w:ind w:left="860" w:hanging="360"/>
      </w:pPr>
      <w:rPr>
        <w:rFonts w:ascii="Symbol" w:eastAsia="Symbol" w:hAnsi="Symbol" w:hint="default"/>
        <w:w w:val="99"/>
        <w:sz w:val="20"/>
        <w:szCs w:val="20"/>
      </w:rPr>
    </w:lvl>
    <w:lvl w:ilvl="1" w:tplc="A01E1C8C">
      <w:start w:val="1"/>
      <w:numFmt w:val="bullet"/>
      <w:lvlText w:val="•"/>
      <w:lvlJc w:val="left"/>
      <w:pPr>
        <w:ind w:left="1738" w:hanging="360"/>
      </w:pPr>
      <w:rPr>
        <w:rFonts w:hint="default"/>
      </w:rPr>
    </w:lvl>
    <w:lvl w:ilvl="2" w:tplc="81703242">
      <w:start w:val="1"/>
      <w:numFmt w:val="bullet"/>
      <w:lvlText w:val="•"/>
      <w:lvlJc w:val="left"/>
      <w:pPr>
        <w:ind w:left="2616" w:hanging="360"/>
      </w:pPr>
      <w:rPr>
        <w:rFonts w:hint="default"/>
      </w:rPr>
    </w:lvl>
    <w:lvl w:ilvl="3" w:tplc="73AE5B2C">
      <w:start w:val="1"/>
      <w:numFmt w:val="bullet"/>
      <w:lvlText w:val="•"/>
      <w:lvlJc w:val="left"/>
      <w:pPr>
        <w:ind w:left="3494" w:hanging="360"/>
      </w:pPr>
      <w:rPr>
        <w:rFonts w:hint="default"/>
      </w:rPr>
    </w:lvl>
    <w:lvl w:ilvl="4" w:tplc="1B90AA4E">
      <w:start w:val="1"/>
      <w:numFmt w:val="bullet"/>
      <w:lvlText w:val="•"/>
      <w:lvlJc w:val="left"/>
      <w:pPr>
        <w:ind w:left="4372" w:hanging="360"/>
      </w:pPr>
      <w:rPr>
        <w:rFonts w:hint="default"/>
      </w:rPr>
    </w:lvl>
    <w:lvl w:ilvl="5" w:tplc="21227554">
      <w:start w:val="1"/>
      <w:numFmt w:val="bullet"/>
      <w:lvlText w:val="•"/>
      <w:lvlJc w:val="left"/>
      <w:pPr>
        <w:ind w:left="5250" w:hanging="360"/>
      </w:pPr>
      <w:rPr>
        <w:rFonts w:hint="default"/>
      </w:rPr>
    </w:lvl>
    <w:lvl w:ilvl="6" w:tplc="7F08E57A">
      <w:start w:val="1"/>
      <w:numFmt w:val="bullet"/>
      <w:lvlText w:val="•"/>
      <w:lvlJc w:val="left"/>
      <w:pPr>
        <w:ind w:left="6128" w:hanging="360"/>
      </w:pPr>
      <w:rPr>
        <w:rFonts w:hint="default"/>
      </w:rPr>
    </w:lvl>
    <w:lvl w:ilvl="7" w:tplc="138432C0">
      <w:start w:val="1"/>
      <w:numFmt w:val="bullet"/>
      <w:lvlText w:val="•"/>
      <w:lvlJc w:val="left"/>
      <w:pPr>
        <w:ind w:left="7006" w:hanging="360"/>
      </w:pPr>
      <w:rPr>
        <w:rFonts w:hint="default"/>
      </w:rPr>
    </w:lvl>
    <w:lvl w:ilvl="8" w:tplc="624EB866">
      <w:start w:val="1"/>
      <w:numFmt w:val="bullet"/>
      <w:lvlText w:val="•"/>
      <w:lvlJc w:val="left"/>
      <w:pPr>
        <w:ind w:left="7884" w:hanging="360"/>
      </w:pPr>
      <w:rPr>
        <w:rFonts w:hint="default"/>
      </w:rPr>
    </w:lvl>
  </w:abstractNum>
  <w:abstractNum w:abstractNumId="95" w15:restartNumberingAfterBreak="0">
    <w:nsid w:val="3F17244E"/>
    <w:multiLevelType w:val="hybridMultilevel"/>
    <w:tmpl w:val="67B4CCA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6" w15:restartNumberingAfterBreak="0">
    <w:nsid w:val="3FB84812"/>
    <w:multiLevelType w:val="hybridMultilevel"/>
    <w:tmpl w:val="53FC6E0C"/>
    <w:lvl w:ilvl="0" w:tplc="63704DAE">
      <w:start w:val="1"/>
      <w:numFmt w:val="bullet"/>
      <w:lvlText w:val=""/>
      <w:lvlJc w:val="left"/>
      <w:pPr>
        <w:ind w:left="838" w:hanging="360"/>
      </w:pPr>
      <w:rPr>
        <w:rFonts w:ascii="Symbol" w:eastAsia="Symbol" w:hAnsi="Symbol" w:hint="default"/>
        <w:sz w:val="22"/>
        <w:szCs w:val="22"/>
      </w:rPr>
    </w:lvl>
    <w:lvl w:ilvl="1" w:tplc="954C27EE">
      <w:start w:val="1"/>
      <w:numFmt w:val="bullet"/>
      <w:lvlText w:val="•"/>
      <w:lvlJc w:val="left"/>
      <w:pPr>
        <w:ind w:left="1685" w:hanging="360"/>
      </w:pPr>
      <w:rPr>
        <w:rFonts w:hint="default"/>
      </w:rPr>
    </w:lvl>
    <w:lvl w:ilvl="2" w:tplc="4F5A8FDC">
      <w:start w:val="1"/>
      <w:numFmt w:val="bullet"/>
      <w:lvlText w:val="•"/>
      <w:lvlJc w:val="left"/>
      <w:pPr>
        <w:ind w:left="2532" w:hanging="360"/>
      </w:pPr>
      <w:rPr>
        <w:rFonts w:hint="default"/>
      </w:rPr>
    </w:lvl>
    <w:lvl w:ilvl="3" w:tplc="7D7A52C4">
      <w:start w:val="1"/>
      <w:numFmt w:val="bullet"/>
      <w:lvlText w:val="•"/>
      <w:lvlJc w:val="left"/>
      <w:pPr>
        <w:ind w:left="3379" w:hanging="360"/>
      </w:pPr>
      <w:rPr>
        <w:rFonts w:hint="default"/>
      </w:rPr>
    </w:lvl>
    <w:lvl w:ilvl="4" w:tplc="872885E0">
      <w:start w:val="1"/>
      <w:numFmt w:val="bullet"/>
      <w:lvlText w:val="•"/>
      <w:lvlJc w:val="left"/>
      <w:pPr>
        <w:ind w:left="4225" w:hanging="360"/>
      </w:pPr>
      <w:rPr>
        <w:rFonts w:hint="default"/>
      </w:rPr>
    </w:lvl>
    <w:lvl w:ilvl="5" w:tplc="76E000CC">
      <w:start w:val="1"/>
      <w:numFmt w:val="bullet"/>
      <w:lvlText w:val="•"/>
      <w:lvlJc w:val="left"/>
      <w:pPr>
        <w:ind w:left="5072" w:hanging="360"/>
      </w:pPr>
      <w:rPr>
        <w:rFonts w:hint="default"/>
      </w:rPr>
    </w:lvl>
    <w:lvl w:ilvl="6" w:tplc="F6C8EF04">
      <w:start w:val="1"/>
      <w:numFmt w:val="bullet"/>
      <w:lvlText w:val="•"/>
      <w:lvlJc w:val="left"/>
      <w:pPr>
        <w:ind w:left="5919" w:hanging="360"/>
      </w:pPr>
      <w:rPr>
        <w:rFonts w:hint="default"/>
      </w:rPr>
    </w:lvl>
    <w:lvl w:ilvl="7" w:tplc="286042C6">
      <w:start w:val="1"/>
      <w:numFmt w:val="bullet"/>
      <w:lvlText w:val="•"/>
      <w:lvlJc w:val="left"/>
      <w:pPr>
        <w:ind w:left="6766" w:hanging="360"/>
      </w:pPr>
      <w:rPr>
        <w:rFonts w:hint="default"/>
      </w:rPr>
    </w:lvl>
    <w:lvl w:ilvl="8" w:tplc="2AFA1000">
      <w:start w:val="1"/>
      <w:numFmt w:val="bullet"/>
      <w:lvlText w:val="•"/>
      <w:lvlJc w:val="left"/>
      <w:pPr>
        <w:ind w:left="7612" w:hanging="360"/>
      </w:pPr>
      <w:rPr>
        <w:rFonts w:hint="default"/>
      </w:rPr>
    </w:lvl>
  </w:abstractNum>
  <w:abstractNum w:abstractNumId="97" w15:restartNumberingAfterBreak="0">
    <w:nsid w:val="405D6673"/>
    <w:multiLevelType w:val="hybridMultilevel"/>
    <w:tmpl w:val="03367950"/>
    <w:lvl w:ilvl="0" w:tplc="BACCA478">
      <w:start w:val="3"/>
      <w:numFmt w:val="bullet"/>
      <w:lvlText w:val=""/>
      <w:lvlJc w:val="left"/>
      <w:pPr>
        <w:ind w:left="720" w:hanging="360"/>
      </w:pPr>
      <w:rPr>
        <w:rFonts w:ascii="Wingdings" w:eastAsiaTheme="minorHAnsi" w:hAnsi="Wingdings"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8" w15:restartNumberingAfterBreak="0">
    <w:nsid w:val="40885EA8"/>
    <w:multiLevelType w:val="hybridMultilevel"/>
    <w:tmpl w:val="308CBB1C"/>
    <w:lvl w:ilvl="0" w:tplc="2578F7A0">
      <w:start w:val="1"/>
      <w:numFmt w:val="decimal"/>
      <w:lvlText w:val="%1."/>
      <w:lvlJc w:val="left"/>
      <w:pPr>
        <w:ind w:left="720" w:hanging="360"/>
      </w:pPr>
      <w:rPr>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9" w15:restartNumberingAfterBreak="0">
    <w:nsid w:val="41355350"/>
    <w:multiLevelType w:val="hybridMultilevel"/>
    <w:tmpl w:val="D07807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0" w15:restartNumberingAfterBreak="0">
    <w:nsid w:val="41581265"/>
    <w:multiLevelType w:val="hybridMultilevel"/>
    <w:tmpl w:val="AB205BB4"/>
    <w:lvl w:ilvl="0" w:tplc="7B2A6B4A">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426E4242"/>
    <w:multiLevelType w:val="hybridMultilevel"/>
    <w:tmpl w:val="38D0F4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2" w15:restartNumberingAfterBreak="0">
    <w:nsid w:val="4281194B"/>
    <w:multiLevelType w:val="hybridMultilevel"/>
    <w:tmpl w:val="91588AE4"/>
    <w:lvl w:ilvl="0" w:tplc="3D483DC6">
      <w:start w:val="1"/>
      <w:numFmt w:val="decimal"/>
      <w:pStyle w:val="Numberedparagraph"/>
      <w:lvlText w:val="%1."/>
      <w:lvlJc w:val="left"/>
      <w:pPr>
        <w:ind w:left="1571" w:hanging="360"/>
      </w:pPr>
      <w:rPr>
        <w:rFonts w:hint="default"/>
      </w:rPr>
    </w:lvl>
    <w:lvl w:ilvl="1" w:tplc="0C090019">
      <w:start w:val="1"/>
      <w:numFmt w:val="lowerLetter"/>
      <w:lvlText w:val="%2."/>
      <w:lvlJc w:val="left"/>
      <w:pPr>
        <w:ind w:left="2291" w:hanging="360"/>
      </w:pPr>
    </w:lvl>
    <w:lvl w:ilvl="2" w:tplc="0C09001B">
      <w:start w:val="1"/>
      <w:numFmt w:val="lowerRoman"/>
      <w:lvlText w:val="%3."/>
      <w:lvlJc w:val="right"/>
      <w:pPr>
        <w:ind w:left="3011" w:hanging="180"/>
      </w:pPr>
    </w:lvl>
    <w:lvl w:ilvl="3" w:tplc="0C09000F" w:tentative="1">
      <w:start w:val="1"/>
      <w:numFmt w:val="decimal"/>
      <w:lvlText w:val="%4."/>
      <w:lvlJc w:val="left"/>
      <w:pPr>
        <w:ind w:left="3731" w:hanging="360"/>
      </w:pPr>
    </w:lvl>
    <w:lvl w:ilvl="4" w:tplc="0C090019" w:tentative="1">
      <w:start w:val="1"/>
      <w:numFmt w:val="lowerLetter"/>
      <w:lvlText w:val="%5."/>
      <w:lvlJc w:val="left"/>
      <w:pPr>
        <w:ind w:left="4451" w:hanging="360"/>
      </w:pPr>
    </w:lvl>
    <w:lvl w:ilvl="5" w:tplc="0C09001B" w:tentative="1">
      <w:start w:val="1"/>
      <w:numFmt w:val="lowerRoman"/>
      <w:lvlText w:val="%6."/>
      <w:lvlJc w:val="right"/>
      <w:pPr>
        <w:ind w:left="5171" w:hanging="180"/>
      </w:pPr>
    </w:lvl>
    <w:lvl w:ilvl="6" w:tplc="0C09000F" w:tentative="1">
      <w:start w:val="1"/>
      <w:numFmt w:val="decimal"/>
      <w:lvlText w:val="%7."/>
      <w:lvlJc w:val="left"/>
      <w:pPr>
        <w:ind w:left="5891" w:hanging="360"/>
      </w:pPr>
    </w:lvl>
    <w:lvl w:ilvl="7" w:tplc="0C090019" w:tentative="1">
      <w:start w:val="1"/>
      <w:numFmt w:val="lowerLetter"/>
      <w:lvlText w:val="%8."/>
      <w:lvlJc w:val="left"/>
      <w:pPr>
        <w:ind w:left="6611" w:hanging="360"/>
      </w:pPr>
    </w:lvl>
    <w:lvl w:ilvl="8" w:tplc="0C09001B" w:tentative="1">
      <w:start w:val="1"/>
      <w:numFmt w:val="lowerRoman"/>
      <w:lvlText w:val="%9."/>
      <w:lvlJc w:val="right"/>
      <w:pPr>
        <w:ind w:left="7331" w:hanging="180"/>
      </w:pPr>
    </w:lvl>
  </w:abstractNum>
  <w:abstractNum w:abstractNumId="103" w15:restartNumberingAfterBreak="0">
    <w:nsid w:val="446B1251"/>
    <w:multiLevelType w:val="hybridMultilevel"/>
    <w:tmpl w:val="A22CF0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4" w15:restartNumberingAfterBreak="0">
    <w:nsid w:val="45941252"/>
    <w:multiLevelType w:val="hybridMultilevel"/>
    <w:tmpl w:val="F8E64A3C"/>
    <w:lvl w:ilvl="0" w:tplc="6D2EDADE">
      <w:start w:val="1"/>
      <w:numFmt w:val="bullet"/>
      <w:lvlText w:val=""/>
      <w:lvlJc w:val="left"/>
      <w:pPr>
        <w:ind w:left="422" w:hanging="284"/>
      </w:pPr>
      <w:rPr>
        <w:rFonts w:ascii="Symbol" w:eastAsia="Symbol" w:hAnsi="Symbol" w:hint="default"/>
        <w:sz w:val="22"/>
        <w:szCs w:val="22"/>
      </w:rPr>
    </w:lvl>
    <w:lvl w:ilvl="1" w:tplc="1944CC0E">
      <w:start w:val="1"/>
      <w:numFmt w:val="bullet"/>
      <w:lvlText w:val="•"/>
      <w:lvlJc w:val="left"/>
      <w:pPr>
        <w:ind w:left="1314" w:hanging="284"/>
      </w:pPr>
      <w:rPr>
        <w:rFonts w:hint="default"/>
      </w:rPr>
    </w:lvl>
    <w:lvl w:ilvl="2" w:tplc="B6962DF0">
      <w:start w:val="1"/>
      <w:numFmt w:val="bullet"/>
      <w:lvlText w:val="•"/>
      <w:lvlJc w:val="left"/>
      <w:pPr>
        <w:ind w:left="2206" w:hanging="284"/>
      </w:pPr>
      <w:rPr>
        <w:rFonts w:hint="default"/>
      </w:rPr>
    </w:lvl>
    <w:lvl w:ilvl="3" w:tplc="9A68ECF0">
      <w:start w:val="1"/>
      <w:numFmt w:val="bullet"/>
      <w:lvlText w:val="•"/>
      <w:lvlJc w:val="left"/>
      <w:pPr>
        <w:ind w:left="3099" w:hanging="284"/>
      </w:pPr>
      <w:rPr>
        <w:rFonts w:hint="default"/>
      </w:rPr>
    </w:lvl>
    <w:lvl w:ilvl="4" w:tplc="488476AC">
      <w:start w:val="1"/>
      <w:numFmt w:val="bullet"/>
      <w:lvlText w:val="•"/>
      <w:lvlJc w:val="left"/>
      <w:pPr>
        <w:ind w:left="3991" w:hanging="284"/>
      </w:pPr>
      <w:rPr>
        <w:rFonts w:hint="default"/>
      </w:rPr>
    </w:lvl>
    <w:lvl w:ilvl="5" w:tplc="0248C79E">
      <w:start w:val="1"/>
      <w:numFmt w:val="bullet"/>
      <w:lvlText w:val="•"/>
      <w:lvlJc w:val="left"/>
      <w:pPr>
        <w:ind w:left="4884" w:hanging="284"/>
      </w:pPr>
      <w:rPr>
        <w:rFonts w:hint="default"/>
      </w:rPr>
    </w:lvl>
    <w:lvl w:ilvl="6" w:tplc="871CB9A8">
      <w:start w:val="1"/>
      <w:numFmt w:val="bullet"/>
      <w:lvlText w:val="•"/>
      <w:lvlJc w:val="left"/>
      <w:pPr>
        <w:ind w:left="5776" w:hanging="284"/>
      </w:pPr>
      <w:rPr>
        <w:rFonts w:hint="default"/>
      </w:rPr>
    </w:lvl>
    <w:lvl w:ilvl="7" w:tplc="F4FC099C">
      <w:start w:val="1"/>
      <w:numFmt w:val="bullet"/>
      <w:lvlText w:val="•"/>
      <w:lvlJc w:val="left"/>
      <w:pPr>
        <w:ind w:left="6669" w:hanging="284"/>
      </w:pPr>
      <w:rPr>
        <w:rFonts w:hint="default"/>
      </w:rPr>
    </w:lvl>
    <w:lvl w:ilvl="8" w:tplc="ED66232A">
      <w:start w:val="1"/>
      <w:numFmt w:val="bullet"/>
      <w:lvlText w:val="•"/>
      <w:lvlJc w:val="left"/>
      <w:pPr>
        <w:ind w:left="7561" w:hanging="284"/>
      </w:pPr>
      <w:rPr>
        <w:rFonts w:hint="default"/>
      </w:rPr>
    </w:lvl>
  </w:abstractNum>
  <w:abstractNum w:abstractNumId="105" w15:restartNumberingAfterBreak="0">
    <w:nsid w:val="45A166B7"/>
    <w:multiLevelType w:val="multilevel"/>
    <w:tmpl w:val="CFA0E9C8"/>
    <w:lvl w:ilvl="0">
      <w:start w:val="12"/>
      <w:numFmt w:val="decimal"/>
      <w:lvlText w:val="%1"/>
      <w:lvlJc w:val="left"/>
      <w:pPr>
        <w:ind w:left="818" w:hanging="718"/>
      </w:pPr>
      <w:rPr>
        <w:rFonts w:hint="default"/>
      </w:rPr>
    </w:lvl>
    <w:lvl w:ilvl="1">
      <w:start w:val="8"/>
      <w:numFmt w:val="decimal"/>
      <w:lvlText w:val="%1.%2"/>
      <w:lvlJc w:val="left"/>
      <w:pPr>
        <w:ind w:left="818" w:hanging="718"/>
      </w:pPr>
      <w:rPr>
        <w:rFonts w:ascii="Arial" w:eastAsia="Arial" w:hAnsi="Arial" w:hint="default"/>
        <w:b/>
        <w:bCs/>
        <w:sz w:val="24"/>
        <w:szCs w:val="24"/>
      </w:rPr>
    </w:lvl>
    <w:lvl w:ilvl="2">
      <w:start w:val="1"/>
      <w:numFmt w:val="bullet"/>
      <w:lvlText w:val="•"/>
      <w:lvlJc w:val="left"/>
      <w:pPr>
        <w:ind w:left="2570" w:hanging="718"/>
      </w:pPr>
      <w:rPr>
        <w:rFonts w:hint="default"/>
      </w:rPr>
    </w:lvl>
    <w:lvl w:ilvl="3">
      <w:start w:val="1"/>
      <w:numFmt w:val="bullet"/>
      <w:lvlText w:val="•"/>
      <w:lvlJc w:val="left"/>
      <w:pPr>
        <w:ind w:left="3446" w:hanging="718"/>
      </w:pPr>
      <w:rPr>
        <w:rFonts w:hint="default"/>
      </w:rPr>
    </w:lvl>
    <w:lvl w:ilvl="4">
      <w:start w:val="1"/>
      <w:numFmt w:val="bullet"/>
      <w:lvlText w:val="•"/>
      <w:lvlJc w:val="left"/>
      <w:pPr>
        <w:ind w:left="4323" w:hanging="718"/>
      </w:pPr>
      <w:rPr>
        <w:rFonts w:hint="default"/>
      </w:rPr>
    </w:lvl>
    <w:lvl w:ilvl="5">
      <w:start w:val="1"/>
      <w:numFmt w:val="bullet"/>
      <w:lvlText w:val="•"/>
      <w:lvlJc w:val="left"/>
      <w:pPr>
        <w:ind w:left="5199" w:hanging="718"/>
      </w:pPr>
      <w:rPr>
        <w:rFonts w:hint="default"/>
      </w:rPr>
    </w:lvl>
    <w:lvl w:ilvl="6">
      <w:start w:val="1"/>
      <w:numFmt w:val="bullet"/>
      <w:lvlText w:val="•"/>
      <w:lvlJc w:val="left"/>
      <w:pPr>
        <w:ind w:left="6075" w:hanging="718"/>
      </w:pPr>
      <w:rPr>
        <w:rFonts w:hint="default"/>
      </w:rPr>
    </w:lvl>
    <w:lvl w:ilvl="7">
      <w:start w:val="1"/>
      <w:numFmt w:val="bullet"/>
      <w:lvlText w:val="•"/>
      <w:lvlJc w:val="left"/>
      <w:pPr>
        <w:ind w:left="6951" w:hanging="718"/>
      </w:pPr>
      <w:rPr>
        <w:rFonts w:hint="default"/>
      </w:rPr>
    </w:lvl>
    <w:lvl w:ilvl="8">
      <w:start w:val="1"/>
      <w:numFmt w:val="bullet"/>
      <w:lvlText w:val="•"/>
      <w:lvlJc w:val="left"/>
      <w:pPr>
        <w:ind w:left="7827" w:hanging="718"/>
      </w:pPr>
      <w:rPr>
        <w:rFonts w:hint="default"/>
      </w:rPr>
    </w:lvl>
  </w:abstractNum>
  <w:abstractNum w:abstractNumId="106" w15:restartNumberingAfterBreak="0">
    <w:nsid w:val="45B14854"/>
    <w:multiLevelType w:val="hybridMultilevel"/>
    <w:tmpl w:val="2A32383A"/>
    <w:lvl w:ilvl="0" w:tplc="905C867A">
      <w:numFmt w:val="bullet"/>
      <w:lvlText w:val="-"/>
      <w:lvlJc w:val="left"/>
      <w:pPr>
        <w:tabs>
          <w:tab w:val="num" w:pos="1140"/>
        </w:tabs>
        <w:ind w:left="1140" w:hanging="360"/>
      </w:pPr>
      <w:rPr>
        <w:rFonts w:ascii="Times New Roman" w:eastAsia="Times New Roman" w:hAnsi="Times New Roman" w:cs="Times New Roman" w:hint="default"/>
      </w:rPr>
    </w:lvl>
    <w:lvl w:ilvl="1" w:tplc="04090003" w:tentative="1">
      <w:start w:val="1"/>
      <w:numFmt w:val="bullet"/>
      <w:lvlText w:val="o"/>
      <w:lvlJc w:val="left"/>
      <w:pPr>
        <w:tabs>
          <w:tab w:val="num" w:pos="1860"/>
        </w:tabs>
        <w:ind w:left="1860" w:hanging="360"/>
      </w:pPr>
      <w:rPr>
        <w:rFonts w:ascii="Courier New" w:hAnsi="Courier New" w:cs="Courier New" w:hint="default"/>
      </w:rPr>
    </w:lvl>
    <w:lvl w:ilvl="2" w:tplc="04090005" w:tentative="1">
      <w:start w:val="1"/>
      <w:numFmt w:val="bullet"/>
      <w:lvlText w:val=""/>
      <w:lvlJc w:val="left"/>
      <w:pPr>
        <w:tabs>
          <w:tab w:val="num" w:pos="2580"/>
        </w:tabs>
        <w:ind w:left="2580" w:hanging="360"/>
      </w:pPr>
      <w:rPr>
        <w:rFonts w:ascii="Wingdings" w:hAnsi="Wingdings" w:hint="default"/>
      </w:rPr>
    </w:lvl>
    <w:lvl w:ilvl="3" w:tplc="04090001" w:tentative="1">
      <w:start w:val="1"/>
      <w:numFmt w:val="bullet"/>
      <w:lvlText w:val=""/>
      <w:lvlJc w:val="left"/>
      <w:pPr>
        <w:tabs>
          <w:tab w:val="num" w:pos="3300"/>
        </w:tabs>
        <w:ind w:left="3300" w:hanging="360"/>
      </w:pPr>
      <w:rPr>
        <w:rFonts w:ascii="Symbol" w:hAnsi="Symbol" w:hint="default"/>
      </w:rPr>
    </w:lvl>
    <w:lvl w:ilvl="4" w:tplc="04090003" w:tentative="1">
      <w:start w:val="1"/>
      <w:numFmt w:val="bullet"/>
      <w:lvlText w:val="o"/>
      <w:lvlJc w:val="left"/>
      <w:pPr>
        <w:tabs>
          <w:tab w:val="num" w:pos="4020"/>
        </w:tabs>
        <w:ind w:left="4020" w:hanging="360"/>
      </w:pPr>
      <w:rPr>
        <w:rFonts w:ascii="Courier New" w:hAnsi="Courier New" w:cs="Courier New" w:hint="default"/>
      </w:rPr>
    </w:lvl>
    <w:lvl w:ilvl="5" w:tplc="04090005" w:tentative="1">
      <w:start w:val="1"/>
      <w:numFmt w:val="bullet"/>
      <w:lvlText w:val=""/>
      <w:lvlJc w:val="left"/>
      <w:pPr>
        <w:tabs>
          <w:tab w:val="num" w:pos="4740"/>
        </w:tabs>
        <w:ind w:left="4740" w:hanging="360"/>
      </w:pPr>
      <w:rPr>
        <w:rFonts w:ascii="Wingdings" w:hAnsi="Wingdings" w:hint="default"/>
      </w:rPr>
    </w:lvl>
    <w:lvl w:ilvl="6" w:tplc="04090001" w:tentative="1">
      <w:start w:val="1"/>
      <w:numFmt w:val="bullet"/>
      <w:lvlText w:val=""/>
      <w:lvlJc w:val="left"/>
      <w:pPr>
        <w:tabs>
          <w:tab w:val="num" w:pos="5460"/>
        </w:tabs>
        <w:ind w:left="5460" w:hanging="360"/>
      </w:pPr>
      <w:rPr>
        <w:rFonts w:ascii="Symbol" w:hAnsi="Symbol" w:hint="default"/>
      </w:rPr>
    </w:lvl>
    <w:lvl w:ilvl="7" w:tplc="04090003" w:tentative="1">
      <w:start w:val="1"/>
      <w:numFmt w:val="bullet"/>
      <w:lvlText w:val="o"/>
      <w:lvlJc w:val="left"/>
      <w:pPr>
        <w:tabs>
          <w:tab w:val="num" w:pos="6180"/>
        </w:tabs>
        <w:ind w:left="6180" w:hanging="360"/>
      </w:pPr>
      <w:rPr>
        <w:rFonts w:ascii="Courier New" w:hAnsi="Courier New" w:cs="Courier New" w:hint="default"/>
      </w:rPr>
    </w:lvl>
    <w:lvl w:ilvl="8" w:tplc="04090005" w:tentative="1">
      <w:start w:val="1"/>
      <w:numFmt w:val="bullet"/>
      <w:lvlText w:val=""/>
      <w:lvlJc w:val="left"/>
      <w:pPr>
        <w:tabs>
          <w:tab w:val="num" w:pos="6900"/>
        </w:tabs>
        <w:ind w:left="6900" w:hanging="360"/>
      </w:pPr>
      <w:rPr>
        <w:rFonts w:ascii="Wingdings" w:hAnsi="Wingdings" w:hint="default"/>
      </w:rPr>
    </w:lvl>
  </w:abstractNum>
  <w:abstractNum w:abstractNumId="107" w15:restartNumberingAfterBreak="0">
    <w:nsid w:val="472A6227"/>
    <w:multiLevelType w:val="hybridMultilevel"/>
    <w:tmpl w:val="789C9A16"/>
    <w:lvl w:ilvl="0" w:tplc="E1808B76">
      <w:start w:val="1"/>
      <w:numFmt w:val="decimal"/>
      <w:lvlText w:val="%1."/>
      <w:lvlJc w:val="left"/>
      <w:pPr>
        <w:ind w:left="838" w:hanging="360"/>
      </w:pPr>
      <w:rPr>
        <w:rFonts w:ascii="Calibri" w:eastAsia="Calibri" w:hAnsi="Calibri" w:hint="default"/>
        <w:sz w:val="22"/>
        <w:szCs w:val="22"/>
      </w:rPr>
    </w:lvl>
    <w:lvl w:ilvl="1" w:tplc="D86C2A94">
      <w:start w:val="1"/>
      <w:numFmt w:val="bullet"/>
      <w:lvlText w:val="•"/>
      <w:lvlJc w:val="left"/>
      <w:pPr>
        <w:ind w:left="1685" w:hanging="360"/>
      </w:pPr>
      <w:rPr>
        <w:rFonts w:hint="default"/>
      </w:rPr>
    </w:lvl>
    <w:lvl w:ilvl="2" w:tplc="EDE63606">
      <w:start w:val="1"/>
      <w:numFmt w:val="bullet"/>
      <w:lvlText w:val="•"/>
      <w:lvlJc w:val="left"/>
      <w:pPr>
        <w:ind w:left="2532" w:hanging="360"/>
      </w:pPr>
      <w:rPr>
        <w:rFonts w:hint="default"/>
      </w:rPr>
    </w:lvl>
    <w:lvl w:ilvl="3" w:tplc="01B0F846">
      <w:start w:val="1"/>
      <w:numFmt w:val="bullet"/>
      <w:lvlText w:val="•"/>
      <w:lvlJc w:val="left"/>
      <w:pPr>
        <w:ind w:left="3379" w:hanging="360"/>
      </w:pPr>
      <w:rPr>
        <w:rFonts w:hint="default"/>
      </w:rPr>
    </w:lvl>
    <w:lvl w:ilvl="4" w:tplc="2396BB38">
      <w:start w:val="1"/>
      <w:numFmt w:val="bullet"/>
      <w:lvlText w:val="•"/>
      <w:lvlJc w:val="left"/>
      <w:pPr>
        <w:ind w:left="4225" w:hanging="360"/>
      </w:pPr>
      <w:rPr>
        <w:rFonts w:hint="default"/>
      </w:rPr>
    </w:lvl>
    <w:lvl w:ilvl="5" w:tplc="DC8A2B80">
      <w:start w:val="1"/>
      <w:numFmt w:val="bullet"/>
      <w:lvlText w:val="•"/>
      <w:lvlJc w:val="left"/>
      <w:pPr>
        <w:ind w:left="5072" w:hanging="360"/>
      </w:pPr>
      <w:rPr>
        <w:rFonts w:hint="default"/>
      </w:rPr>
    </w:lvl>
    <w:lvl w:ilvl="6" w:tplc="50346282">
      <w:start w:val="1"/>
      <w:numFmt w:val="bullet"/>
      <w:lvlText w:val="•"/>
      <w:lvlJc w:val="left"/>
      <w:pPr>
        <w:ind w:left="5919" w:hanging="360"/>
      </w:pPr>
      <w:rPr>
        <w:rFonts w:hint="default"/>
      </w:rPr>
    </w:lvl>
    <w:lvl w:ilvl="7" w:tplc="A32A034C">
      <w:start w:val="1"/>
      <w:numFmt w:val="bullet"/>
      <w:lvlText w:val="•"/>
      <w:lvlJc w:val="left"/>
      <w:pPr>
        <w:ind w:left="6766" w:hanging="360"/>
      </w:pPr>
      <w:rPr>
        <w:rFonts w:hint="default"/>
      </w:rPr>
    </w:lvl>
    <w:lvl w:ilvl="8" w:tplc="B572505A">
      <w:start w:val="1"/>
      <w:numFmt w:val="bullet"/>
      <w:lvlText w:val="•"/>
      <w:lvlJc w:val="left"/>
      <w:pPr>
        <w:ind w:left="7612" w:hanging="360"/>
      </w:pPr>
      <w:rPr>
        <w:rFonts w:hint="default"/>
      </w:rPr>
    </w:lvl>
  </w:abstractNum>
  <w:abstractNum w:abstractNumId="108" w15:restartNumberingAfterBreak="0">
    <w:nsid w:val="477813A5"/>
    <w:multiLevelType w:val="multilevel"/>
    <w:tmpl w:val="4CCA3D1A"/>
    <w:lvl w:ilvl="0">
      <w:start w:val="12"/>
      <w:numFmt w:val="decimal"/>
      <w:lvlText w:val="%1"/>
      <w:lvlJc w:val="left"/>
      <w:pPr>
        <w:ind w:left="858" w:hanging="718"/>
      </w:pPr>
      <w:rPr>
        <w:rFonts w:hint="default"/>
      </w:rPr>
    </w:lvl>
    <w:lvl w:ilvl="1">
      <w:start w:val="1"/>
      <w:numFmt w:val="decimal"/>
      <w:lvlText w:val="%1.%2"/>
      <w:lvlJc w:val="left"/>
      <w:pPr>
        <w:ind w:left="858" w:hanging="718"/>
      </w:pPr>
      <w:rPr>
        <w:rFonts w:ascii="Arial" w:eastAsia="Arial" w:hAnsi="Arial" w:hint="default"/>
        <w:b/>
        <w:bCs/>
        <w:sz w:val="24"/>
        <w:szCs w:val="24"/>
      </w:rPr>
    </w:lvl>
    <w:lvl w:ilvl="2">
      <w:start w:val="1"/>
      <w:numFmt w:val="decimal"/>
      <w:lvlText w:val="%3."/>
      <w:lvlJc w:val="left"/>
      <w:pPr>
        <w:ind w:left="820" w:hanging="360"/>
      </w:pPr>
      <w:rPr>
        <w:rFonts w:ascii="Calibri" w:eastAsia="Calibri" w:hAnsi="Calibri" w:hint="default"/>
        <w:sz w:val="22"/>
        <w:szCs w:val="22"/>
      </w:rPr>
    </w:lvl>
    <w:lvl w:ilvl="3">
      <w:start w:val="1"/>
      <w:numFmt w:val="bullet"/>
      <w:lvlText w:val="•"/>
      <w:lvlJc w:val="left"/>
      <w:pPr>
        <w:ind w:left="2796" w:hanging="360"/>
      </w:pPr>
      <w:rPr>
        <w:rFonts w:hint="default"/>
      </w:rPr>
    </w:lvl>
    <w:lvl w:ilvl="4">
      <w:start w:val="1"/>
      <w:numFmt w:val="bullet"/>
      <w:lvlText w:val="•"/>
      <w:lvlJc w:val="left"/>
      <w:pPr>
        <w:ind w:left="3765" w:hanging="360"/>
      </w:pPr>
      <w:rPr>
        <w:rFonts w:hint="default"/>
      </w:rPr>
    </w:lvl>
    <w:lvl w:ilvl="5">
      <w:start w:val="1"/>
      <w:numFmt w:val="bullet"/>
      <w:lvlText w:val="•"/>
      <w:lvlJc w:val="left"/>
      <w:pPr>
        <w:ind w:left="4734" w:hanging="360"/>
      </w:pPr>
      <w:rPr>
        <w:rFonts w:hint="default"/>
      </w:rPr>
    </w:lvl>
    <w:lvl w:ilvl="6">
      <w:start w:val="1"/>
      <w:numFmt w:val="bullet"/>
      <w:lvlText w:val="•"/>
      <w:lvlJc w:val="left"/>
      <w:pPr>
        <w:ind w:left="5703"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641" w:hanging="360"/>
      </w:pPr>
      <w:rPr>
        <w:rFonts w:hint="default"/>
      </w:rPr>
    </w:lvl>
  </w:abstractNum>
  <w:abstractNum w:abstractNumId="109" w15:restartNumberingAfterBreak="0">
    <w:nsid w:val="478C1969"/>
    <w:multiLevelType w:val="multilevel"/>
    <w:tmpl w:val="9072D420"/>
    <w:lvl w:ilvl="0">
      <w:start w:val="9"/>
      <w:numFmt w:val="decimal"/>
      <w:lvlText w:val="%1"/>
      <w:lvlJc w:val="left"/>
      <w:pPr>
        <w:ind w:left="858" w:hanging="720"/>
      </w:pPr>
      <w:rPr>
        <w:rFonts w:hint="default"/>
      </w:rPr>
    </w:lvl>
    <w:lvl w:ilvl="1">
      <w:start w:val="4"/>
      <w:numFmt w:val="decimal"/>
      <w:lvlText w:val="%1.%2"/>
      <w:lvlJc w:val="left"/>
      <w:pPr>
        <w:ind w:left="858" w:hanging="720"/>
      </w:pPr>
      <w:rPr>
        <w:rFonts w:ascii="Arial" w:eastAsia="Arial" w:hAnsi="Arial" w:hint="default"/>
        <w:b/>
        <w:bCs/>
        <w:sz w:val="24"/>
        <w:szCs w:val="24"/>
      </w:rPr>
    </w:lvl>
    <w:lvl w:ilvl="2">
      <w:start w:val="1"/>
      <w:numFmt w:val="bullet"/>
      <w:lvlText w:val=""/>
      <w:lvlJc w:val="left"/>
      <w:pPr>
        <w:ind w:left="858" w:hanging="360"/>
      </w:pPr>
      <w:rPr>
        <w:rFonts w:ascii="Symbol" w:eastAsia="Symbol" w:hAnsi="Symbol" w:hint="default"/>
        <w:sz w:val="22"/>
        <w:szCs w:val="22"/>
      </w:rPr>
    </w:lvl>
    <w:lvl w:ilvl="3">
      <w:start w:val="1"/>
      <w:numFmt w:val="bullet"/>
      <w:lvlText w:val="•"/>
      <w:lvlJc w:val="left"/>
      <w:pPr>
        <w:ind w:left="1919" w:hanging="360"/>
      </w:pPr>
      <w:rPr>
        <w:rFonts w:hint="default"/>
      </w:rPr>
    </w:lvl>
    <w:lvl w:ilvl="4">
      <w:start w:val="1"/>
      <w:numFmt w:val="bullet"/>
      <w:lvlText w:val="•"/>
      <w:lvlJc w:val="left"/>
      <w:pPr>
        <w:ind w:left="2980" w:hanging="360"/>
      </w:pPr>
      <w:rPr>
        <w:rFonts w:hint="default"/>
      </w:rPr>
    </w:lvl>
    <w:lvl w:ilvl="5">
      <w:start w:val="1"/>
      <w:numFmt w:val="bullet"/>
      <w:lvlText w:val="•"/>
      <w:lvlJc w:val="left"/>
      <w:pPr>
        <w:ind w:left="4041" w:hanging="360"/>
      </w:pPr>
      <w:rPr>
        <w:rFonts w:hint="default"/>
      </w:rPr>
    </w:lvl>
    <w:lvl w:ilvl="6">
      <w:start w:val="1"/>
      <w:numFmt w:val="bullet"/>
      <w:lvlText w:val="•"/>
      <w:lvlJc w:val="left"/>
      <w:pPr>
        <w:ind w:left="5102" w:hanging="360"/>
      </w:pPr>
      <w:rPr>
        <w:rFonts w:hint="default"/>
      </w:rPr>
    </w:lvl>
    <w:lvl w:ilvl="7">
      <w:start w:val="1"/>
      <w:numFmt w:val="bullet"/>
      <w:lvlText w:val="•"/>
      <w:lvlJc w:val="left"/>
      <w:pPr>
        <w:ind w:left="6163" w:hanging="360"/>
      </w:pPr>
      <w:rPr>
        <w:rFonts w:hint="default"/>
      </w:rPr>
    </w:lvl>
    <w:lvl w:ilvl="8">
      <w:start w:val="1"/>
      <w:numFmt w:val="bullet"/>
      <w:lvlText w:val="•"/>
      <w:lvlJc w:val="left"/>
      <w:pPr>
        <w:ind w:left="7224" w:hanging="360"/>
      </w:pPr>
      <w:rPr>
        <w:rFonts w:hint="default"/>
      </w:rPr>
    </w:lvl>
  </w:abstractNum>
  <w:abstractNum w:abstractNumId="110" w15:restartNumberingAfterBreak="0">
    <w:nsid w:val="486E5762"/>
    <w:multiLevelType w:val="multilevel"/>
    <w:tmpl w:val="72A6C1A6"/>
    <w:lvl w:ilvl="0">
      <w:start w:val="9"/>
      <w:numFmt w:val="decimal"/>
      <w:lvlText w:val="%1"/>
      <w:lvlJc w:val="left"/>
      <w:pPr>
        <w:ind w:left="858" w:hanging="720"/>
      </w:pPr>
      <w:rPr>
        <w:rFonts w:hint="default"/>
      </w:rPr>
    </w:lvl>
    <w:lvl w:ilvl="1">
      <w:start w:val="1"/>
      <w:numFmt w:val="decimal"/>
      <w:lvlText w:val="%1.%2"/>
      <w:lvlJc w:val="left"/>
      <w:pPr>
        <w:ind w:left="858" w:hanging="720"/>
      </w:pPr>
      <w:rPr>
        <w:rFonts w:ascii="Arial" w:eastAsia="Arial" w:hAnsi="Arial" w:hint="default"/>
        <w:b/>
        <w:bCs/>
        <w:sz w:val="24"/>
        <w:szCs w:val="24"/>
      </w:rPr>
    </w:lvl>
    <w:lvl w:ilvl="2">
      <w:start w:val="1"/>
      <w:numFmt w:val="bullet"/>
      <w:lvlText w:val=""/>
      <w:lvlJc w:val="left"/>
      <w:pPr>
        <w:ind w:left="858" w:hanging="360"/>
      </w:pPr>
      <w:rPr>
        <w:rFonts w:ascii="Symbol" w:eastAsia="Symbol" w:hAnsi="Symbol" w:hint="default"/>
        <w:sz w:val="22"/>
        <w:szCs w:val="22"/>
      </w:rPr>
    </w:lvl>
    <w:lvl w:ilvl="3">
      <w:start w:val="1"/>
      <w:numFmt w:val="bullet"/>
      <w:lvlText w:val="•"/>
      <w:lvlJc w:val="left"/>
      <w:pPr>
        <w:ind w:left="1919" w:hanging="360"/>
      </w:pPr>
      <w:rPr>
        <w:rFonts w:hint="default"/>
      </w:rPr>
    </w:lvl>
    <w:lvl w:ilvl="4">
      <w:start w:val="1"/>
      <w:numFmt w:val="bullet"/>
      <w:lvlText w:val="•"/>
      <w:lvlJc w:val="left"/>
      <w:pPr>
        <w:ind w:left="2980" w:hanging="360"/>
      </w:pPr>
      <w:rPr>
        <w:rFonts w:hint="default"/>
      </w:rPr>
    </w:lvl>
    <w:lvl w:ilvl="5">
      <w:start w:val="1"/>
      <w:numFmt w:val="bullet"/>
      <w:lvlText w:val="•"/>
      <w:lvlJc w:val="left"/>
      <w:pPr>
        <w:ind w:left="4041" w:hanging="360"/>
      </w:pPr>
      <w:rPr>
        <w:rFonts w:hint="default"/>
      </w:rPr>
    </w:lvl>
    <w:lvl w:ilvl="6">
      <w:start w:val="1"/>
      <w:numFmt w:val="bullet"/>
      <w:lvlText w:val="•"/>
      <w:lvlJc w:val="left"/>
      <w:pPr>
        <w:ind w:left="5102" w:hanging="360"/>
      </w:pPr>
      <w:rPr>
        <w:rFonts w:hint="default"/>
      </w:rPr>
    </w:lvl>
    <w:lvl w:ilvl="7">
      <w:start w:val="1"/>
      <w:numFmt w:val="bullet"/>
      <w:lvlText w:val="•"/>
      <w:lvlJc w:val="left"/>
      <w:pPr>
        <w:ind w:left="6163" w:hanging="360"/>
      </w:pPr>
      <w:rPr>
        <w:rFonts w:hint="default"/>
      </w:rPr>
    </w:lvl>
    <w:lvl w:ilvl="8">
      <w:start w:val="1"/>
      <w:numFmt w:val="bullet"/>
      <w:lvlText w:val="•"/>
      <w:lvlJc w:val="left"/>
      <w:pPr>
        <w:ind w:left="7224" w:hanging="360"/>
      </w:pPr>
      <w:rPr>
        <w:rFonts w:hint="default"/>
      </w:rPr>
    </w:lvl>
  </w:abstractNum>
  <w:abstractNum w:abstractNumId="111" w15:restartNumberingAfterBreak="0">
    <w:nsid w:val="488D174E"/>
    <w:multiLevelType w:val="hybridMultilevel"/>
    <w:tmpl w:val="34B8072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2" w15:restartNumberingAfterBreak="0">
    <w:nsid w:val="4904581D"/>
    <w:multiLevelType w:val="hybridMultilevel"/>
    <w:tmpl w:val="3B72E738"/>
    <w:lvl w:ilvl="0" w:tplc="086C6BBC">
      <w:start w:val="1"/>
      <w:numFmt w:val="decimal"/>
      <w:lvlText w:val="%1."/>
      <w:lvlJc w:val="left"/>
      <w:pPr>
        <w:ind w:left="478" w:hanging="411"/>
      </w:pPr>
      <w:rPr>
        <w:rFonts w:ascii="Calibri" w:eastAsia="Calibri" w:hAnsi="Calibri" w:hint="default"/>
        <w:sz w:val="22"/>
        <w:szCs w:val="22"/>
      </w:rPr>
    </w:lvl>
    <w:lvl w:ilvl="1" w:tplc="70CA8776">
      <w:start w:val="1"/>
      <w:numFmt w:val="bullet"/>
      <w:lvlText w:val="•"/>
      <w:lvlJc w:val="left"/>
      <w:pPr>
        <w:ind w:left="1359" w:hanging="411"/>
      </w:pPr>
      <w:rPr>
        <w:rFonts w:hint="default"/>
      </w:rPr>
    </w:lvl>
    <w:lvl w:ilvl="2" w:tplc="2BE6692E">
      <w:start w:val="1"/>
      <w:numFmt w:val="bullet"/>
      <w:lvlText w:val="•"/>
      <w:lvlJc w:val="left"/>
      <w:pPr>
        <w:ind w:left="2240" w:hanging="411"/>
      </w:pPr>
      <w:rPr>
        <w:rFonts w:hint="default"/>
      </w:rPr>
    </w:lvl>
    <w:lvl w:ilvl="3" w:tplc="7848D088">
      <w:start w:val="1"/>
      <w:numFmt w:val="bullet"/>
      <w:lvlText w:val="•"/>
      <w:lvlJc w:val="left"/>
      <w:pPr>
        <w:ind w:left="3121" w:hanging="411"/>
      </w:pPr>
      <w:rPr>
        <w:rFonts w:hint="default"/>
      </w:rPr>
    </w:lvl>
    <w:lvl w:ilvl="4" w:tplc="98DE2368">
      <w:start w:val="1"/>
      <w:numFmt w:val="bullet"/>
      <w:lvlText w:val="•"/>
      <w:lvlJc w:val="left"/>
      <w:pPr>
        <w:ind w:left="4001" w:hanging="411"/>
      </w:pPr>
      <w:rPr>
        <w:rFonts w:hint="default"/>
      </w:rPr>
    </w:lvl>
    <w:lvl w:ilvl="5" w:tplc="96F23614">
      <w:start w:val="1"/>
      <w:numFmt w:val="bullet"/>
      <w:lvlText w:val="•"/>
      <w:lvlJc w:val="left"/>
      <w:pPr>
        <w:ind w:left="4882" w:hanging="411"/>
      </w:pPr>
      <w:rPr>
        <w:rFonts w:hint="default"/>
      </w:rPr>
    </w:lvl>
    <w:lvl w:ilvl="6" w:tplc="1EFC213C">
      <w:start w:val="1"/>
      <w:numFmt w:val="bullet"/>
      <w:lvlText w:val="•"/>
      <w:lvlJc w:val="left"/>
      <w:pPr>
        <w:ind w:left="5763" w:hanging="411"/>
      </w:pPr>
      <w:rPr>
        <w:rFonts w:hint="default"/>
      </w:rPr>
    </w:lvl>
    <w:lvl w:ilvl="7" w:tplc="8592B31E">
      <w:start w:val="1"/>
      <w:numFmt w:val="bullet"/>
      <w:lvlText w:val="•"/>
      <w:lvlJc w:val="left"/>
      <w:pPr>
        <w:ind w:left="6644" w:hanging="411"/>
      </w:pPr>
      <w:rPr>
        <w:rFonts w:hint="default"/>
      </w:rPr>
    </w:lvl>
    <w:lvl w:ilvl="8" w:tplc="19205B12">
      <w:start w:val="1"/>
      <w:numFmt w:val="bullet"/>
      <w:lvlText w:val="•"/>
      <w:lvlJc w:val="left"/>
      <w:pPr>
        <w:ind w:left="7524" w:hanging="411"/>
      </w:pPr>
      <w:rPr>
        <w:rFonts w:hint="default"/>
      </w:rPr>
    </w:lvl>
  </w:abstractNum>
  <w:abstractNum w:abstractNumId="113" w15:restartNumberingAfterBreak="0">
    <w:nsid w:val="490754E8"/>
    <w:multiLevelType w:val="hybridMultilevel"/>
    <w:tmpl w:val="432AF83A"/>
    <w:lvl w:ilvl="0" w:tplc="6D3AA0F0">
      <w:start w:val="1"/>
      <w:numFmt w:val="decimal"/>
      <w:lvlText w:val="%1."/>
      <w:lvlJc w:val="left"/>
      <w:pPr>
        <w:ind w:left="858" w:hanging="360"/>
      </w:pPr>
      <w:rPr>
        <w:rFonts w:ascii="Calibri" w:eastAsia="Calibri" w:hAnsi="Calibri" w:hint="default"/>
        <w:sz w:val="22"/>
        <w:szCs w:val="22"/>
      </w:rPr>
    </w:lvl>
    <w:lvl w:ilvl="1" w:tplc="C2A84866">
      <w:start w:val="1"/>
      <w:numFmt w:val="bullet"/>
      <w:lvlText w:val="•"/>
      <w:lvlJc w:val="left"/>
      <w:pPr>
        <w:ind w:left="1707" w:hanging="360"/>
      </w:pPr>
      <w:rPr>
        <w:rFonts w:hint="default"/>
      </w:rPr>
    </w:lvl>
    <w:lvl w:ilvl="2" w:tplc="C97630F6">
      <w:start w:val="1"/>
      <w:numFmt w:val="bullet"/>
      <w:lvlText w:val="•"/>
      <w:lvlJc w:val="left"/>
      <w:pPr>
        <w:ind w:left="2556" w:hanging="360"/>
      </w:pPr>
      <w:rPr>
        <w:rFonts w:hint="default"/>
      </w:rPr>
    </w:lvl>
    <w:lvl w:ilvl="3" w:tplc="C07CCDF2">
      <w:start w:val="1"/>
      <w:numFmt w:val="bullet"/>
      <w:lvlText w:val="•"/>
      <w:lvlJc w:val="left"/>
      <w:pPr>
        <w:ind w:left="3405" w:hanging="360"/>
      </w:pPr>
      <w:rPr>
        <w:rFonts w:hint="default"/>
      </w:rPr>
    </w:lvl>
    <w:lvl w:ilvl="4" w:tplc="632644F6">
      <w:start w:val="1"/>
      <w:numFmt w:val="bullet"/>
      <w:lvlText w:val="•"/>
      <w:lvlJc w:val="left"/>
      <w:pPr>
        <w:ind w:left="4253" w:hanging="360"/>
      </w:pPr>
      <w:rPr>
        <w:rFonts w:hint="default"/>
      </w:rPr>
    </w:lvl>
    <w:lvl w:ilvl="5" w:tplc="25EC5640">
      <w:start w:val="1"/>
      <w:numFmt w:val="bullet"/>
      <w:lvlText w:val="•"/>
      <w:lvlJc w:val="left"/>
      <w:pPr>
        <w:ind w:left="5102" w:hanging="360"/>
      </w:pPr>
      <w:rPr>
        <w:rFonts w:hint="default"/>
      </w:rPr>
    </w:lvl>
    <w:lvl w:ilvl="6" w:tplc="27F8A7B8">
      <w:start w:val="1"/>
      <w:numFmt w:val="bullet"/>
      <w:lvlText w:val="•"/>
      <w:lvlJc w:val="left"/>
      <w:pPr>
        <w:ind w:left="5951" w:hanging="360"/>
      </w:pPr>
      <w:rPr>
        <w:rFonts w:hint="default"/>
      </w:rPr>
    </w:lvl>
    <w:lvl w:ilvl="7" w:tplc="D5C6BA2E">
      <w:start w:val="1"/>
      <w:numFmt w:val="bullet"/>
      <w:lvlText w:val="•"/>
      <w:lvlJc w:val="left"/>
      <w:pPr>
        <w:ind w:left="6800" w:hanging="360"/>
      </w:pPr>
      <w:rPr>
        <w:rFonts w:hint="default"/>
      </w:rPr>
    </w:lvl>
    <w:lvl w:ilvl="8" w:tplc="17C41AB2">
      <w:start w:val="1"/>
      <w:numFmt w:val="bullet"/>
      <w:lvlText w:val="•"/>
      <w:lvlJc w:val="left"/>
      <w:pPr>
        <w:ind w:left="7648" w:hanging="360"/>
      </w:pPr>
      <w:rPr>
        <w:rFonts w:hint="default"/>
      </w:rPr>
    </w:lvl>
  </w:abstractNum>
  <w:abstractNum w:abstractNumId="114" w15:restartNumberingAfterBreak="0">
    <w:nsid w:val="49EB0A8F"/>
    <w:multiLevelType w:val="multilevel"/>
    <w:tmpl w:val="8EF6E442"/>
    <w:lvl w:ilvl="0">
      <w:start w:val="11"/>
      <w:numFmt w:val="decimal"/>
      <w:lvlText w:val="%1"/>
      <w:lvlJc w:val="left"/>
      <w:pPr>
        <w:ind w:left="838" w:hanging="720"/>
      </w:pPr>
      <w:rPr>
        <w:rFonts w:hint="default"/>
      </w:rPr>
    </w:lvl>
    <w:lvl w:ilvl="1">
      <w:start w:val="4"/>
      <w:numFmt w:val="decimal"/>
      <w:lvlText w:val="%1.%2"/>
      <w:lvlJc w:val="left"/>
      <w:pPr>
        <w:ind w:left="838" w:hanging="720"/>
      </w:pPr>
      <w:rPr>
        <w:rFonts w:ascii="Arial" w:eastAsia="Arial" w:hAnsi="Arial" w:hint="default"/>
        <w:b/>
        <w:bCs/>
        <w:sz w:val="24"/>
        <w:szCs w:val="24"/>
      </w:rPr>
    </w:lvl>
    <w:lvl w:ilvl="2">
      <w:start w:val="1"/>
      <w:numFmt w:val="decimal"/>
      <w:lvlText w:val="%1.%2.%3"/>
      <w:lvlJc w:val="left"/>
      <w:pPr>
        <w:ind w:left="838" w:hanging="720"/>
      </w:pPr>
      <w:rPr>
        <w:rFonts w:ascii="Arial" w:eastAsia="Arial" w:hAnsi="Arial" w:hint="default"/>
        <w:b/>
        <w:bCs/>
        <w:sz w:val="22"/>
        <w:szCs w:val="22"/>
      </w:rPr>
    </w:lvl>
    <w:lvl w:ilvl="3">
      <w:start w:val="1"/>
      <w:numFmt w:val="bullet"/>
      <w:lvlText w:val=""/>
      <w:lvlJc w:val="left"/>
      <w:pPr>
        <w:ind w:left="838" w:hanging="360"/>
      </w:pPr>
      <w:rPr>
        <w:rFonts w:ascii="Symbol" w:eastAsia="Symbol" w:hAnsi="Symbol" w:hint="default"/>
        <w:sz w:val="22"/>
        <w:szCs w:val="22"/>
      </w:rPr>
    </w:lvl>
    <w:lvl w:ilvl="4">
      <w:start w:val="1"/>
      <w:numFmt w:val="bullet"/>
      <w:lvlText w:val="•"/>
      <w:lvlJc w:val="left"/>
      <w:pPr>
        <w:ind w:left="838" w:hanging="360"/>
      </w:pPr>
      <w:rPr>
        <w:rFonts w:hint="default"/>
      </w:rPr>
    </w:lvl>
    <w:lvl w:ilvl="5">
      <w:start w:val="1"/>
      <w:numFmt w:val="bullet"/>
      <w:lvlText w:val="•"/>
      <w:lvlJc w:val="left"/>
      <w:pPr>
        <w:ind w:left="838" w:hanging="360"/>
      </w:pPr>
      <w:rPr>
        <w:rFonts w:hint="default"/>
      </w:rPr>
    </w:lvl>
    <w:lvl w:ilvl="6">
      <w:start w:val="1"/>
      <w:numFmt w:val="bullet"/>
      <w:lvlText w:val="•"/>
      <w:lvlJc w:val="left"/>
      <w:pPr>
        <w:ind w:left="838" w:hanging="360"/>
      </w:pPr>
      <w:rPr>
        <w:rFonts w:hint="default"/>
      </w:rPr>
    </w:lvl>
    <w:lvl w:ilvl="7">
      <w:start w:val="1"/>
      <w:numFmt w:val="bullet"/>
      <w:lvlText w:val="•"/>
      <w:lvlJc w:val="left"/>
      <w:pPr>
        <w:ind w:left="838" w:hanging="360"/>
      </w:pPr>
      <w:rPr>
        <w:rFonts w:hint="default"/>
      </w:rPr>
    </w:lvl>
    <w:lvl w:ilvl="8">
      <w:start w:val="1"/>
      <w:numFmt w:val="bullet"/>
      <w:lvlText w:val="•"/>
      <w:lvlJc w:val="left"/>
      <w:pPr>
        <w:ind w:left="3661" w:hanging="360"/>
      </w:pPr>
      <w:rPr>
        <w:rFonts w:hint="default"/>
      </w:rPr>
    </w:lvl>
  </w:abstractNum>
  <w:abstractNum w:abstractNumId="115" w15:restartNumberingAfterBreak="0">
    <w:nsid w:val="49FA4FEA"/>
    <w:multiLevelType w:val="hybridMultilevel"/>
    <w:tmpl w:val="FD5410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6" w15:restartNumberingAfterBreak="0">
    <w:nsid w:val="4B523CE8"/>
    <w:multiLevelType w:val="multilevel"/>
    <w:tmpl w:val="38F8E368"/>
    <w:lvl w:ilvl="0">
      <w:start w:val="2"/>
      <w:numFmt w:val="decimal"/>
      <w:lvlText w:val="%1"/>
      <w:lvlJc w:val="left"/>
      <w:pPr>
        <w:ind w:left="841" w:hanging="723"/>
      </w:pPr>
      <w:rPr>
        <w:rFonts w:hint="default"/>
      </w:rPr>
    </w:lvl>
    <w:lvl w:ilvl="1">
      <w:start w:val="3"/>
      <w:numFmt w:val="decimal"/>
      <w:lvlText w:val="%1.%2"/>
      <w:lvlJc w:val="left"/>
      <w:pPr>
        <w:ind w:left="841" w:hanging="723"/>
      </w:pPr>
      <w:rPr>
        <w:rFonts w:hint="default"/>
      </w:rPr>
    </w:lvl>
    <w:lvl w:ilvl="2">
      <w:start w:val="3"/>
      <w:numFmt w:val="decimal"/>
      <w:lvlText w:val="%1.%2.%3"/>
      <w:lvlJc w:val="left"/>
      <w:pPr>
        <w:ind w:left="841" w:hanging="723"/>
      </w:pPr>
      <w:rPr>
        <w:rFonts w:hint="default"/>
      </w:rPr>
    </w:lvl>
    <w:lvl w:ilvl="3">
      <w:start w:val="2"/>
      <w:numFmt w:val="decimal"/>
      <w:lvlText w:val="%1.%2.%3.%4"/>
      <w:lvlJc w:val="left"/>
      <w:pPr>
        <w:ind w:left="841" w:hanging="723"/>
      </w:pPr>
      <w:rPr>
        <w:rFonts w:ascii="Calibri" w:eastAsia="Calibri" w:hAnsi="Calibri" w:hint="default"/>
        <w:b/>
        <w:bCs/>
        <w:i/>
        <w:sz w:val="22"/>
        <w:szCs w:val="22"/>
      </w:rPr>
    </w:lvl>
    <w:lvl w:ilvl="4">
      <w:start w:val="1"/>
      <w:numFmt w:val="bullet"/>
      <w:lvlText w:val="•"/>
      <w:lvlJc w:val="left"/>
      <w:pPr>
        <w:ind w:left="4227" w:hanging="723"/>
      </w:pPr>
      <w:rPr>
        <w:rFonts w:hint="default"/>
      </w:rPr>
    </w:lvl>
    <w:lvl w:ilvl="5">
      <w:start w:val="1"/>
      <w:numFmt w:val="bullet"/>
      <w:lvlText w:val="•"/>
      <w:lvlJc w:val="left"/>
      <w:pPr>
        <w:ind w:left="5073" w:hanging="723"/>
      </w:pPr>
      <w:rPr>
        <w:rFonts w:hint="default"/>
      </w:rPr>
    </w:lvl>
    <w:lvl w:ilvl="6">
      <w:start w:val="1"/>
      <w:numFmt w:val="bullet"/>
      <w:lvlText w:val="•"/>
      <w:lvlJc w:val="left"/>
      <w:pPr>
        <w:ind w:left="5920" w:hanging="723"/>
      </w:pPr>
      <w:rPr>
        <w:rFonts w:hint="default"/>
      </w:rPr>
    </w:lvl>
    <w:lvl w:ilvl="7">
      <w:start w:val="1"/>
      <w:numFmt w:val="bullet"/>
      <w:lvlText w:val="•"/>
      <w:lvlJc w:val="left"/>
      <w:pPr>
        <w:ind w:left="6766" w:hanging="723"/>
      </w:pPr>
      <w:rPr>
        <w:rFonts w:hint="default"/>
      </w:rPr>
    </w:lvl>
    <w:lvl w:ilvl="8">
      <w:start w:val="1"/>
      <w:numFmt w:val="bullet"/>
      <w:lvlText w:val="•"/>
      <w:lvlJc w:val="left"/>
      <w:pPr>
        <w:ind w:left="7613" w:hanging="723"/>
      </w:pPr>
      <w:rPr>
        <w:rFonts w:hint="default"/>
      </w:rPr>
    </w:lvl>
  </w:abstractNum>
  <w:abstractNum w:abstractNumId="117" w15:restartNumberingAfterBreak="0">
    <w:nsid w:val="4BB06D4C"/>
    <w:multiLevelType w:val="hybridMultilevel"/>
    <w:tmpl w:val="951CF2B6"/>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118" w15:restartNumberingAfterBreak="0">
    <w:nsid w:val="4BCA4492"/>
    <w:multiLevelType w:val="hybridMultilevel"/>
    <w:tmpl w:val="9E34A4C0"/>
    <w:lvl w:ilvl="0" w:tplc="0C090001">
      <w:start w:val="1"/>
      <w:numFmt w:val="bullet"/>
      <w:lvlText w:val=""/>
      <w:lvlJc w:val="left"/>
      <w:pPr>
        <w:ind w:left="360" w:hanging="360"/>
      </w:pPr>
      <w:rPr>
        <w:rFonts w:ascii="Symbol" w:hAnsi="Symbol"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9" w15:restartNumberingAfterBreak="0">
    <w:nsid w:val="4BF66275"/>
    <w:multiLevelType w:val="hybridMultilevel"/>
    <w:tmpl w:val="CEC04BD2"/>
    <w:lvl w:ilvl="0" w:tplc="09427B9E">
      <w:start w:val="1"/>
      <w:numFmt w:val="lowerLetter"/>
      <w:lvlText w:val="%1."/>
      <w:lvlJc w:val="left"/>
      <w:pPr>
        <w:ind w:left="402" w:hanging="284"/>
      </w:pPr>
      <w:rPr>
        <w:rFonts w:ascii="Times New Roman" w:eastAsia="Times New Roman" w:hAnsi="Times New Roman" w:hint="default"/>
        <w:sz w:val="22"/>
        <w:szCs w:val="22"/>
      </w:rPr>
    </w:lvl>
    <w:lvl w:ilvl="1" w:tplc="E68AC1BE">
      <w:start w:val="1"/>
      <w:numFmt w:val="bullet"/>
      <w:lvlText w:val="•"/>
      <w:lvlJc w:val="left"/>
      <w:pPr>
        <w:ind w:left="1292" w:hanging="284"/>
      </w:pPr>
      <w:rPr>
        <w:rFonts w:hint="default"/>
      </w:rPr>
    </w:lvl>
    <w:lvl w:ilvl="2" w:tplc="08EE0ECE">
      <w:start w:val="1"/>
      <w:numFmt w:val="bullet"/>
      <w:lvlText w:val="•"/>
      <w:lvlJc w:val="left"/>
      <w:pPr>
        <w:ind w:left="2182" w:hanging="284"/>
      </w:pPr>
      <w:rPr>
        <w:rFonts w:hint="default"/>
      </w:rPr>
    </w:lvl>
    <w:lvl w:ilvl="3" w:tplc="6D00FB6C">
      <w:start w:val="1"/>
      <w:numFmt w:val="bullet"/>
      <w:lvlText w:val="•"/>
      <w:lvlJc w:val="left"/>
      <w:pPr>
        <w:ind w:left="3073" w:hanging="284"/>
      </w:pPr>
      <w:rPr>
        <w:rFonts w:hint="default"/>
      </w:rPr>
    </w:lvl>
    <w:lvl w:ilvl="4" w:tplc="0F082188">
      <w:start w:val="1"/>
      <w:numFmt w:val="bullet"/>
      <w:lvlText w:val="•"/>
      <w:lvlJc w:val="left"/>
      <w:pPr>
        <w:ind w:left="3963" w:hanging="284"/>
      </w:pPr>
      <w:rPr>
        <w:rFonts w:hint="default"/>
      </w:rPr>
    </w:lvl>
    <w:lvl w:ilvl="5" w:tplc="E47E59AA">
      <w:start w:val="1"/>
      <w:numFmt w:val="bullet"/>
      <w:lvlText w:val="•"/>
      <w:lvlJc w:val="left"/>
      <w:pPr>
        <w:ind w:left="4854" w:hanging="284"/>
      </w:pPr>
      <w:rPr>
        <w:rFonts w:hint="default"/>
      </w:rPr>
    </w:lvl>
    <w:lvl w:ilvl="6" w:tplc="66E60806">
      <w:start w:val="1"/>
      <w:numFmt w:val="bullet"/>
      <w:lvlText w:val="•"/>
      <w:lvlJc w:val="left"/>
      <w:pPr>
        <w:ind w:left="5744" w:hanging="284"/>
      </w:pPr>
      <w:rPr>
        <w:rFonts w:hint="default"/>
      </w:rPr>
    </w:lvl>
    <w:lvl w:ilvl="7" w:tplc="47C48F86">
      <w:start w:val="1"/>
      <w:numFmt w:val="bullet"/>
      <w:lvlText w:val="•"/>
      <w:lvlJc w:val="left"/>
      <w:pPr>
        <w:ind w:left="6635" w:hanging="284"/>
      </w:pPr>
      <w:rPr>
        <w:rFonts w:hint="default"/>
      </w:rPr>
    </w:lvl>
    <w:lvl w:ilvl="8" w:tplc="6FE28958">
      <w:start w:val="1"/>
      <w:numFmt w:val="bullet"/>
      <w:lvlText w:val="•"/>
      <w:lvlJc w:val="left"/>
      <w:pPr>
        <w:ind w:left="7525" w:hanging="284"/>
      </w:pPr>
      <w:rPr>
        <w:rFonts w:hint="default"/>
      </w:rPr>
    </w:lvl>
  </w:abstractNum>
  <w:abstractNum w:abstractNumId="120" w15:restartNumberingAfterBreak="0">
    <w:nsid w:val="4C301E70"/>
    <w:multiLevelType w:val="hybridMultilevel"/>
    <w:tmpl w:val="C02A8E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1" w15:restartNumberingAfterBreak="0">
    <w:nsid w:val="4D463214"/>
    <w:multiLevelType w:val="hybridMultilevel"/>
    <w:tmpl w:val="AA982C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2" w15:restartNumberingAfterBreak="0">
    <w:nsid w:val="4D7303A2"/>
    <w:multiLevelType w:val="hybridMultilevel"/>
    <w:tmpl w:val="284690E2"/>
    <w:lvl w:ilvl="0" w:tplc="B504D736">
      <w:start w:val="1"/>
      <w:numFmt w:val="decimal"/>
      <w:lvlText w:val="%1."/>
      <w:lvlJc w:val="left"/>
      <w:pPr>
        <w:ind w:left="831" w:hanging="360"/>
      </w:pPr>
      <w:rPr>
        <w:rFonts w:ascii="Calibri" w:eastAsia="Calibri" w:hAnsi="Calibri" w:hint="default"/>
        <w:spacing w:val="-1"/>
        <w:w w:val="99"/>
        <w:sz w:val="20"/>
        <w:szCs w:val="20"/>
      </w:rPr>
    </w:lvl>
    <w:lvl w:ilvl="1" w:tplc="BB66CC38">
      <w:start w:val="1"/>
      <w:numFmt w:val="bullet"/>
      <w:lvlText w:val="•"/>
      <w:lvlJc w:val="left"/>
      <w:pPr>
        <w:ind w:left="1691" w:hanging="360"/>
      </w:pPr>
      <w:rPr>
        <w:rFonts w:hint="default"/>
      </w:rPr>
    </w:lvl>
    <w:lvl w:ilvl="2" w:tplc="3FAABC78">
      <w:start w:val="1"/>
      <w:numFmt w:val="bullet"/>
      <w:lvlText w:val="•"/>
      <w:lvlJc w:val="left"/>
      <w:pPr>
        <w:ind w:left="2550" w:hanging="360"/>
      </w:pPr>
      <w:rPr>
        <w:rFonts w:hint="default"/>
      </w:rPr>
    </w:lvl>
    <w:lvl w:ilvl="3" w:tplc="C4463DC4">
      <w:start w:val="1"/>
      <w:numFmt w:val="bullet"/>
      <w:lvlText w:val="•"/>
      <w:lvlJc w:val="left"/>
      <w:pPr>
        <w:ind w:left="3410" w:hanging="360"/>
      </w:pPr>
      <w:rPr>
        <w:rFonts w:hint="default"/>
      </w:rPr>
    </w:lvl>
    <w:lvl w:ilvl="4" w:tplc="DD78BDDA">
      <w:start w:val="1"/>
      <w:numFmt w:val="bullet"/>
      <w:lvlText w:val="•"/>
      <w:lvlJc w:val="left"/>
      <w:pPr>
        <w:ind w:left="4269" w:hanging="360"/>
      </w:pPr>
      <w:rPr>
        <w:rFonts w:hint="default"/>
      </w:rPr>
    </w:lvl>
    <w:lvl w:ilvl="5" w:tplc="E8CA1678">
      <w:start w:val="1"/>
      <w:numFmt w:val="bullet"/>
      <w:lvlText w:val="•"/>
      <w:lvlJc w:val="left"/>
      <w:pPr>
        <w:ind w:left="5129" w:hanging="360"/>
      </w:pPr>
      <w:rPr>
        <w:rFonts w:hint="default"/>
      </w:rPr>
    </w:lvl>
    <w:lvl w:ilvl="6" w:tplc="5C660E72">
      <w:start w:val="1"/>
      <w:numFmt w:val="bullet"/>
      <w:lvlText w:val="•"/>
      <w:lvlJc w:val="left"/>
      <w:pPr>
        <w:ind w:left="5988" w:hanging="360"/>
      </w:pPr>
      <w:rPr>
        <w:rFonts w:hint="default"/>
      </w:rPr>
    </w:lvl>
    <w:lvl w:ilvl="7" w:tplc="6ED8E044">
      <w:start w:val="1"/>
      <w:numFmt w:val="bullet"/>
      <w:lvlText w:val="•"/>
      <w:lvlJc w:val="left"/>
      <w:pPr>
        <w:ind w:left="6847" w:hanging="360"/>
      </w:pPr>
      <w:rPr>
        <w:rFonts w:hint="default"/>
      </w:rPr>
    </w:lvl>
    <w:lvl w:ilvl="8" w:tplc="31364CB4">
      <w:start w:val="1"/>
      <w:numFmt w:val="bullet"/>
      <w:lvlText w:val="•"/>
      <w:lvlJc w:val="left"/>
      <w:pPr>
        <w:ind w:left="7707" w:hanging="360"/>
      </w:pPr>
      <w:rPr>
        <w:rFonts w:hint="default"/>
      </w:rPr>
    </w:lvl>
  </w:abstractNum>
  <w:abstractNum w:abstractNumId="123" w15:restartNumberingAfterBreak="0">
    <w:nsid w:val="4F024717"/>
    <w:multiLevelType w:val="hybridMultilevel"/>
    <w:tmpl w:val="10B44D58"/>
    <w:lvl w:ilvl="0" w:tplc="3ACE790E">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4F8E3150"/>
    <w:multiLevelType w:val="hybridMultilevel"/>
    <w:tmpl w:val="95D0BB06"/>
    <w:lvl w:ilvl="0" w:tplc="C5F4AA58">
      <w:start w:val="2"/>
      <w:numFmt w:val="decimal"/>
      <w:lvlText w:val="%1."/>
      <w:lvlJc w:val="left"/>
      <w:pPr>
        <w:ind w:left="402" w:hanging="284"/>
      </w:pPr>
      <w:rPr>
        <w:rFonts w:ascii="Calibri" w:eastAsia="Calibri" w:hAnsi="Calibri" w:hint="default"/>
        <w:sz w:val="22"/>
        <w:szCs w:val="22"/>
      </w:rPr>
    </w:lvl>
    <w:lvl w:ilvl="1" w:tplc="9546312E">
      <w:start w:val="1"/>
      <w:numFmt w:val="bullet"/>
      <w:lvlText w:val="•"/>
      <w:lvlJc w:val="left"/>
      <w:pPr>
        <w:ind w:left="1292" w:hanging="284"/>
      </w:pPr>
      <w:rPr>
        <w:rFonts w:hint="default"/>
      </w:rPr>
    </w:lvl>
    <w:lvl w:ilvl="2" w:tplc="4330F672">
      <w:start w:val="1"/>
      <w:numFmt w:val="bullet"/>
      <w:lvlText w:val="•"/>
      <w:lvlJc w:val="left"/>
      <w:pPr>
        <w:ind w:left="2182" w:hanging="284"/>
      </w:pPr>
      <w:rPr>
        <w:rFonts w:hint="default"/>
      </w:rPr>
    </w:lvl>
    <w:lvl w:ilvl="3" w:tplc="1BBE96BA">
      <w:start w:val="1"/>
      <w:numFmt w:val="bullet"/>
      <w:lvlText w:val="•"/>
      <w:lvlJc w:val="left"/>
      <w:pPr>
        <w:ind w:left="3073" w:hanging="284"/>
      </w:pPr>
      <w:rPr>
        <w:rFonts w:hint="default"/>
      </w:rPr>
    </w:lvl>
    <w:lvl w:ilvl="4" w:tplc="FF980232">
      <w:start w:val="1"/>
      <w:numFmt w:val="bullet"/>
      <w:lvlText w:val="•"/>
      <w:lvlJc w:val="left"/>
      <w:pPr>
        <w:ind w:left="3963" w:hanging="284"/>
      </w:pPr>
      <w:rPr>
        <w:rFonts w:hint="default"/>
      </w:rPr>
    </w:lvl>
    <w:lvl w:ilvl="5" w:tplc="8BF0E02A">
      <w:start w:val="1"/>
      <w:numFmt w:val="bullet"/>
      <w:lvlText w:val="•"/>
      <w:lvlJc w:val="left"/>
      <w:pPr>
        <w:ind w:left="4854" w:hanging="284"/>
      </w:pPr>
      <w:rPr>
        <w:rFonts w:hint="default"/>
      </w:rPr>
    </w:lvl>
    <w:lvl w:ilvl="6" w:tplc="5D4ECD02">
      <w:start w:val="1"/>
      <w:numFmt w:val="bullet"/>
      <w:lvlText w:val="•"/>
      <w:lvlJc w:val="left"/>
      <w:pPr>
        <w:ind w:left="5744" w:hanging="284"/>
      </w:pPr>
      <w:rPr>
        <w:rFonts w:hint="default"/>
      </w:rPr>
    </w:lvl>
    <w:lvl w:ilvl="7" w:tplc="54943298">
      <w:start w:val="1"/>
      <w:numFmt w:val="bullet"/>
      <w:lvlText w:val="•"/>
      <w:lvlJc w:val="left"/>
      <w:pPr>
        <w:ind w:left="6635" w:hanging="284"/>
      </w:pPr>
      <w:rPr>
        <w:rFonts w:hint="default"/>
      </w:rPr>
    </w:lvl>
    <w:lvl w:ilvl="8" w:tplc="4DAE70B4">
      <w:start w:val="1"/>
      <w:numFmt w:val="bullet"/>
      <w:lvlText w:val="•"/>
      <w:lvlJc w:val="left"/>
      <w:pPr>
        <w:ind w:left="7525" w:hanging="284"/>
      </w:pPr>
      <w:rPr>
        <w:rFonts w:hint="default"/>
      </w:rPr>
    </w:lvl>
  </w:abstractNum>
  <w:abstractNum w:abstractNumId="125" w15:restartNumberingAfterBreak="0">
    <w:nsid w:val="4F97204E"/>
    <w:multiLevelType w:val="hybridMultilevel"/>
    <w:tmpl w:val="090C4AEC"/>
    <w:lvl w:ilvl="0" w:tplc="B95A1FA8">
      <w:start w:val="1"/>
      <w:numFmt w:val="decimal"/>
      <w:lvlText w:val="%1."/>
      <w:lvlJc w:val="left"/>
      <w:pPr>
        <w:ind w:left="498" w:hanging="360"/>
      </w:pPr>
      <w:rPr>
        <w:rFonts w:ascii="Calibri" w:eastAsia="Calibri" w:hAnsi="Calibri" w:hint="default"/>
        <w:sz w:val="22"/>
        <w:szCs w:val="22"/>
      </w:rPr>
    </w:lvl>
    <w:lvl w:ilvl="1" w:tplc="B3EABC4A">
      <w:start w:val="1"/>
      <w:numFmt w:val="bullet"/>
      <w:lvlText w:val=""/>
      <w:lvlJc w:val="left"/>
      <w:pPr>
        <w:ind w:left="705" w:hanging="207"/>
      </w:pPr>
      <w:rPr>
        <w:rFonts w:ascii="Symbol" w:eastAsia="Symbol" w:hAnsi="Symbol" w:hint="default"/>
        <w:w w:val="99"/>
        <w:sz w:val="20"/>
        <w:szCs w:val="20"/>
      </w:rPr>
    </w:lvl>
    <w:lvl w:ilvl="2" w:tplc="EDA21BF2">
      <w:start w:val="1"/>
      <w:numFmt w:val="bullet"/>
      <w:lvlText w:val="•"/>
      <w:lvlJc w:val="left"/>
      <w:pPr>
        <w:ind w:left="705" w:hanging="207"/>
      </w:pPr>
      <w:rPr>
        <w:rFonts w:hint="default"/>
      </w:rPr>
    </w:lvl>
    <w:lvl w:ilvl="3" w:tplc="877C2F4E">
      <w:start w:val="1"/>
      <w:numFmt w:val="bullet"/>
      <w:lvlText w:val="•"/>
      <w:lvlJc w:val="left"/>
      <w:pPr>
        <w:ind w:left="1842" w:hanging="207"/>
      </w:pPr>
      <w:rPr>
        <w:rFonts w:hint="default"/>
      </w:rPr>
    </w:lvl>
    <w:lvl w:ilvl="4" w:tplc="23886054">
      <w:start w:val="1"/>
      <w:numFmt w:val="bullet"/>
      <w:lvlText w:val="•"/>
      <w:lvlJc w:val="left"/>
      <w:pPr>
        <w:ind w:left="2980" w:hanging="207"/>
      </w:pPr>
      <w:rPr>
        <w:rFonts w:hint="default"/>
      </w:rPr>
    </w:lvl>
    <w:lvl w:ilvl="5" w:tplc="104809D6">
      <w:start w:val="1"/>
      <w:numFmt w:val="bullet"/>
      <w:lvlText w:val="•"/>
      <w:lvlJc w:val="left"/>
      <w:pPr>
        <w:ind w:left="4118" w:hanging="207"/>
      </w:pPr>
      <w:rPr>
        <w:rFonts w:hint="default"/>
      </w:rPr>
    </w:lvl>
    <w:lvl w:ilvl="6" w:tplc="A380CCE6">
      <w:start w:val="1"/>
      <w:numFmt w:val="bullet"/>
      <w:lvlText w:val="•"/>
      <w:lvlJc w:val="left"/>
      <w:pPr>
        <w:ind w:left="5255" w:hanging="207"/>
      </w:pPr>
      <w:rPr>
        <w:rFonts w:hint="default"/>
      </w:rPr>
    </w:lvl>
    <w:lvl w:ilvl="7" w:tplc="328EFBE2">
      <w:start w:val="1"/>
      <w:numFmt w:val="bullet"/>
      <w:lvlText w:val="•"/>
      <w:lvlJc w:val="left"/>
      <w:pPr>
        <w:ind w:left="6393" w:hanging="207"/>
      </w:pPr>
      <w:rPr>
        <w:rFonts w:hint="default"/>
      </w:rPr>
    </w:lvl>
    <w:lvl w:ilvl="8" w:tplc="CBBA2A38">
      <w:start w:val="1"/>
      <w:numFmt w:val="bullet"/>
      <w:lvlText w:val="•"/>
      <w:lvlJc w:val="left"/>
      <w:pPr>
        <w:ind w:left="7531" w:hanging="207"/>
      </w:pPr>
      <w:rPr>
        <w:rFonts w:hint="default"/>
      </w:rPr>
    </w:lvl>
  </w:abstractNum>
  <w:abstractNum w:abstractNumId="126" w15:restartNumberingAfterBreak="0">
    <w:nsid w:val="4FFE7E2F"/>
    <w:multiLevelType w:val="hybridMultilevel"/>
    <w:tmpl w:val="C4265F2A"/>
    <w:lvl w:ilvl="0" w:tplc="A9B28F32">
      <w:start w:val="1"/>
      <w:numFmt w:val="decimal"/>
      <w:lvlText w:val="%1."/>
      <w:lvlJc w:val="left"/>
      <w:pPr>
        <w:ind w:left="502" w:hanging="360"/>
      </w:pPr>
      <w:rPr>
        <w:rFonts w:hint="default"/>
      </w:rPr>
    </w:lvl>
    <w:lvl w:ilvl="1" w:tplc="0C090019" w:tentative="1">
      <w:start w:val="1"/>
      <w:numFmt w:val="lowerLetter"/>
      <w:lvlText w:val="%2."/>
      <w:lvlJc w:val="left"/>
      <w:pPr>
        <w:ind w:left="1222" w:hanging="360"/>
      </w:pPr>
    </w:lvl>
    <w:lvl w:ilvl="2" w:tplc="0C09001B" w:tentative="1">
      <w:start w:val="1"/>
      <w:numFmt w:val="lowerRoman"/>
      <w:lvlText w:val="%3."/>
      <w:lvlJc w:val="right"/>
      <w:pPr>
        <w:ind w:left="1942" w:hanging="180"/>
      </w:pPr>
    </w:lvl>
    <w:lvl w:ilvl="3" w:tplc="0C09000F" w:tentative="1">
      <w:start w:val="1"/>
      <w:numFmt w:val="decimal"/>
      <w:lvlText w:val="%4."/>
      <w:lvlJc w:val="left"/>
      <w:pPr>
        <w:ind w:left="2662" w:hanging="360"/>
      </w:pPr>
    </w:lvl>
    <w:lvl w:ilvl="4" w:tplc="0C090019" w:tentative="1">
      <w:start w:val="1"/>
      <w:numFmt w:val="lowerLetter"/>
      <w:lvlText w:val="%5."/>
      <w:lvlJc w:val="left"/>
      <w:pPr>
        <w:ind w:left="3382" w:hanging="360"/>
      </w:pPr>
    </w:lvl>
    <w:lvl w:ilvl="5" w:tplc="0C09001B" w:tentative="1">
      <w:start w:val="1"/>
      <w:numFmt w:val="lowerRoman"/>
      <w:lvlText w:val="%6."/>
      <w:lvlJc w:val="right"/>
      <w:pPr>
        <w:ind w:left="4102" w:hanging="180"/>
      </w:pPr>
    </w:lvl>
    <w:lvl w:ilvl="6" w:tplc="0C09000F" w:tentative="1">
      <w:start w:val="1"/>
      <w:numFmt w:val="decimal"/>
      <w:lvlText w:val="%7."/>
      <w:lvlJc w:val="left"/>
      <w:pPr>
        <w:ind w:left="4822" w:hanging="360"/>
      </w:pPr>
    </w:lvl>
    <w:lvl w:ilvl="7" w:tplc="0C090019" w:tentative="1">
      <w:start w:val="1"/>
      <w:numFmt w:val="lowerLetter"/>
      <w:lvlText w:val="%8."/>
      <w:lvlJc w:val="left"/>
      <w:pPr>
        <w:ind w:left="5542" w:hanging="360"/>
      </w:pPr>
    </w:lvl>
    <w:lvl w:ilvl="8" w:tplc="0C09001B" w:tentative="1">
      <w:start w:val="1"/>
      <w:numFmt w:val="lowerRoman"/>
      <w:lvlText w:val="%9."/>
      <w:lvlJc w:val="right"/>
      <w:pPr>
        <w:ind w:left="6262" w:hanging="180"/>
      </w:pPr>
    </w:lvl>
  </w:abstractNum>
  <w:abstractNum w:abstractNumId="127" w15:restartNumberingAfterBreak="0">
    <w:nsid w:val="50F47A3F"/>
    <w:multiLevelType w:val="hybridMultilevel"/>
    <w:tmpl w:val="43929F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526C4338"/>
    <w:multiLevelType w:val="multilevel"/>
    <w:tmpl w:val="9E0A96F8"/>
    <w:lvl w:ilvl="0">
      <w:start w:val="10"/>
      <w:numFmt w:val="decimal"/>
      <w:lvlText w:val="%1"/>
      <w:lvlJc w:val="left"/>
      <w:pPr>
        <w:ind w:left="678" w:hanging="540"/>
      </w:pPr>
      <w:rPr>
        <w:rFonts w:hint="default"/>
      </w:rPr>
    </w:lvl>
    <w:lvl w:ilvl="1">
      <w:start w:val="8"/>
      <w:numFmt w:val="decimal"/>
      <w:lvlText w:val="%1.%2"/>
      <w:lvlJc w:val="left"/>
      <w:pPr>
        <w:ind w:left="678" w:hanging="540"/>
      </w:pPr>
      <w:rPr>
        <w:rFonts w:ascii="Calibri" w:eastAsia="Calibri" w:hAnsi="Calibri" w:hint="default"/>
        <w:b/>
        <w:bCs/>
        <w:sz w:val="22"/>
        <w:szCs w:val="22"/>
      </w:rPr>
    </w:lvl>
    <w:lvl w:ilvl="2">
      <w:start w:val="1"/>
      <w:numFmt w:val="bullet"/>
      <w:lvlText w:val="•"/>
      <w:lvlJc w:val="left"/>
      <w:pPr>
        <w:ind w:left="2424" w:hanging="540"/>
      </w:pPr>
      <w:rPr>
        <w:rFonts w:hint="default"/>
      </w:rPr>
    </w:lvl>
    <w:lvl w:ilvl="3">
      <w:start w:val="1"/>
      <w:numFmt w:val="bullet"/>
      <w:lvlText w:val="•"/>
      <w:lvlJc w:val="left"/>
      <w:pPr>
        <w:ind w:left="3297" w:hanging="540"/>
      </w:pPr>
      <w:rPr>
        <w:rFonts w:hint="default"/>
      </w:rPr>
    </w:lvl>
    <w:lvl w:ilvl="4">
      <w:start w:val="1"/>
      <w:numFmt w:val="bullet"/>
      <w:lvlText w:val="•"/>
      <w:lvlJc w:val="left"/>
      <w:pPr>
        <w:ind w:left="4169" w:hanging="540"/>
      </w:pPr>
      <w:rPr>
        <w:rFonts w:hint="default"/>
      </w:rPr>
    </w:lvl>
    <w:lvl w:ilvl="5">
      <w:start w:val="1"/>
      <w:numFmt w:val="bullet"/>
      <w:lvlText w:val="•"/>
      <w:lvlJc w:val="left"/>
      <w:pPr>
        <w:ind w:left="5042" w:hanging="540"/>
      </w:pPr>
      <w:rPr>
        <w:rFonts w:hint="default"/>
      </w:rPr>
    </w:lvl>
    <w:lvl w:ilvl="6">
      <w:start w:val="1"/>
      <w:numFmt w:val="bullet"/>
      <w:lvlText w:val="•"/>
      <w:lvlJc w:val="left"/>
      <w:pPr>
        <w:ind w:left="5915" w:hanging="540"/>
      </w:pPr>
      <w:rPr>
        <w:rFonts w:hint="default"/>
      </w:rPr>
    </w:lvl>
    <w:lvl w:ilvl="7">
      <w:start w:val="1"/>
      <w:numFmt w:val="bullet"/>
      <w:lvlText w:val="•"/>
      <w:lvlJc w:val="left"/>
      <w:pPr>
        <w:ind w:left="6788" w:hanging="540"/>
      </w:pPr>
      <w:rPr>
        <w:rFonts w:hint="default"/>
      </w:rPr>
    </w:lvl>
    <w:lvl w:ilvl="8">
      <w:start w:val="1"/>
      <w:numFmt w:val="bullet"/>
      <w:lvlText w:val="•"/>
      <w:lvlJc w:val="left"/>
      <w:pPr>
        <w:ind w:left="7660" w:hanging="540"/>
      </w:pPr>
      <w:rPr>
        <w:rFonts w:hint="default"/>
      </w:rPr>
    </w:lvl>
  </w:abstractNum>
  <w:abstractNum w:abstractNumId="129" w15:restartNumberingAfterBreak="0">
    <w:nsid w:val="53424B2B"/>
    <w:multiLevelType w:val="multilevel"/>
    <w:tmpl w:val="1DCC967C"/>
    <w:lvl w:ilvl="0">
      <w:start w:val="4"/>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685" w:hanging="567"/>
      </w:pPr>
      <w:rPr>
        <w:rFonts w:ascii="Arial" w:eastAsia="Arial" w:hAnsi="Arial" w:hint="default"/>
        <w:b/>
        <w:bCs/>
        <w:spacing w:val="-1"/>
        <w:w w:val="99"/>
        <w:sz w:val="20"/>
        <w:szCs w:val="20"/>
      </w:rPr>
    </w:lvl>
    <w:lvl w:ilvl="3">
      <w:start w:val="1"/>
      <w:numFmt w:val="decimal"/>
      <w:lvlText w:val="(%4)"/>
      <w:lvlJc w:val="left"/>
      <w:pPr>
        <w:ind w:left="1558" w:hanging="732"/>
      </w:pPr>
      <w:rPr>
        <w:rFonts w:ascii="Calibri" w:eastAsia="Calibri" w:hAnsi="Calibri" w:hint="default"/>
        <w:spacing w:val="-1"/>
        <w:sz w:val="22"/>
        <w:szCs w:val="22"/>
      </w:rPr>
    </w:lvl>
    <w:lvl w:ilvl="4">
      <w:start w:val="1"/>
      <w:numFmt w:val="bullet"/>
      <w:lvlText w:val="•"/>
      <w:lvlJc w:val="left"/>
      <w:pPr>
        <w:ind w:left="705" w:hanging="732"/>
      </w:pPr>
      <w:rPr>
        <w:rFonts w:hint="default"/>
      </w:rPr>
    </w:lvl>
    <w:lvl w:ilvl="5">
      <w:start w:val="1"/>
      <w:numFmt w:val="bullet"/>
      <w:lvlText w:val="•"/>
      <w:lvlJc w:val="left"/>
      <w:pPr>
        <w:ind w:left="1558" w:hanging="732"/>
      </w:pPr>
      <w:rPr>
        <w:rFonts w:hint="default"/>
      </w:rPr>
    </w:lvl>
    <w:lvl w:ilvl="6">
      <w:start w:val="1"/>
      <w:numFmt w:val="bullet"/>
      <w:lvlText w:val="•"/>
      <w:lvlJc w:val="left"/>
      <w:pPr>
        <w:ind w:left="3108" w:hanging="732"/>
      </w:pPr>
      <w:rPr>
        <w:rFonts w:hint="default"/>
      </w:rPr>
    </w:lvl>
    <w:lvl w:ilvl="7">
      <w:start w:val="1"/>
      <w:numFmt w:val="bullet"/>
      <w:lvlText w:val="•"/>
      <w:lvlJc w:val="left"/>
      <w:pPr>
        <w:ind w:left="4657" w:hanging="732"/>
      </w:pPr>
      <w:rPr>
        <w:rFonts w:hint="default"/>
      </w:rPr>
    </w:lvl>
    <w:lvl w:ilvl="8">
      <w:start w:val="1"/>
      <w:numFmt w:val="bullet"/>
      <w:lvlText w:val="•"/>
      <w:lvlJc w:val="left"/>
      <w:pPr>
        <w:ind w:left="6207" w:hanging="732"/>
      </w:pPr>
      <w:rPr>
        <w:rFonts w:hint="default"/>
      </w:rPr>
    </w:lvl>
  </w:abstractNum>
  <w:abstractNum w:abstractNumId="130" w15:restartNumberingAfterBreak="0">
    <w:nsid w:val="536048F9"/>
    <w:multiLevelType w:val="hybridMultilevel"/>
    <w:tmpl w:val="8E3C1A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1" w15:restartNumberingAfterBreak="0">
    <w:nsid w:val="54701922"/>
    <w:multiLevelType w:val="hybridMultilevel"/>
    <w:tmpl w:val="EB8052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2" w15:restartNumberingAfterBreak="0">
    <w:nsid w:val="55003352"/>
    <w:multiLevelType w:val="multilevel"/>
    <w:tmpl w:val="3D7041F2"/>
    <w:lvl w:ilvl="0">
      <w:start w:val="10"/>
      <w:numFmt w:val="decimal"/>
      <w:lvlText w:val="%1"/>
      <w:lvlJc w:val="left"/>
      <w:pPr>
        <w:tabs>
          <w:tab w:val="num" w:pos="360"/>
        </w:tabs>
        <w:ind w:left="360" w:hanging="360"/>
      </w:pPr>
      <w:rPr>
        <w:rFonts w:hint="default"/>
        <w:b/>
      </w:rPr>
    </w:lvl>
    <w:lvl w:ilvl="1">
      <w:start w:val="1"/>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133" w15:restartNumberingAfterBreak="0">
    <w:nsid w:val="566534D4"/>
    <w:multiLevelType w:val="hybridMultilevel"/>
    <w:tmpl w:val="DF1A8E9C"/>
    <w:lvl w:ilvl="0" w:tplc="9B0454BE">
      <w:start w:val="1"/>
      <w:numFmt w:val="bullet"/>
      <w:lvlText w:val=""/>
      <w:lvlJc w:val="left"/>
      <w:pPr>
        <w:ind w:left="820" w:hanging="360"/>
      </w:pPr>
      <w:rPr>
        <w:rFonts w:ascii="Symbol" w:eastAsia="Symbol" w:hAnsi="Symbol" w:hint="default"/>
        <w:sz w:val="22"/>
        <w:szCs w:val="22"/>
      </w:rPr>
    </w:lvl>
    <w:lvl w:ilvl="1" w:tplc="62FEFFA2">
      <w:start w:val="1"/>
      <w:numFmt w:val="bullet"/>
      <w:lvlText w:val="•"/>
      <w:lvlJc w:val="left"/>
      <w:pPr>
        <w:ind w:left="1696" w:hanging="360"/>
      </w:pPr>
      <w:rPr>
        <w:rFonts w:hint="default"/>
      </w:rPr>
    </w:lvl>
    <w:lvl w:ilvl="2" w:tplc="7ECCD304">
      <w:start w:val="1"/>
      <w:numFmt w:val="bullet"/>
      <w:lvlText w:val="•"/>
      <w:lvlJc w:val="left"/>
      <w:pPr>
        <w:ind w:left="2572" w:hanging="360"/>
      </w:pPr>
      <w:rPr>
        <w:rFonts w:hint="default"/>
      </w:rPr>
    </w:lvl>
    <w:lvl w:ilvl="3" w:tplc="FB6E56AA">
      <w:start w:val="1"/>
      <w:numFmt w:val="bullet"/>
      <w:lvlText w:val="•"/>
      <w:lvlJc w:val="left"/>
      <w:pPr>
        <w:ind w:left="3448" w:hanging="360"/>
      </w:pPr>
      <w:rPr>
        <w:rFonts w:hint="default"/>
      </w:rPr>
    </w:lvl>
    <w:lvl w:ilvl="4" w:tplc="1CF67108">
      <w:start w:val="1"/>
      <w:numFmt w:val="bullet"/>
      <w:lvlText w:val="•"/>
      <w:lvlJc w:val="left"/>
      <w:pPr>
        <w:ind w:left="4324" w:hanging="360"/>
      </w:pPr>
      <w:rPr>
        <w:rFonts w:hint="default"/>
      </w:rPr>
    </w:lvl>
    <w:lvl w:ilvl="5" w:tplc="9A3A0F8C">
      <w:start w:val="1"/>
      <w:numFmt w:val="bullet"/>
      <w:lvlText w:val="•"/>
      <w:lvlJc w:val="left"/>
      <w:pPr>
        <w:ind w:left="5200" w:hanging="360"/>
      </w:pPr>
      <w:rPr>
        <w:rFonts w:hint="default"/>
      </w:rPr>
    </w:lvl>
    <w:lvl w:ilvl="6" w:tplc="C4964A5A">
      <w:start w:val="1"/>
      <w:numFmt w:val="bullet"/>
      <w:lvlText w:val="•"/>
      <w:lvlJc w:val="left"/>
      <w:pPr>
        <w:ind w:left="6076" w:hanging="360"/>
      </w:pPr>
      <w:rPr>
        <w:rFonts w:hint="default"/>
      </w:rPr>
    </w:lvl>
    <w:lvl w:ilvl="7" w:tplc="E6AAC87E">
      <w:start w:val="1"/>
      <w:numFmt w:val="bullet"/>
      <w:lvlText w:val="•"/>
      <w:lvlJc w:val="left"/>
      <w:pPr>
        <w:ind w:left="6952" w:hanging="360"/>
      </w:pPr>
      <w:rPr>
        <w:rFonts w:hint="default"/>
      </w:rPr>
    </w:lvl>
    <w:lvl w:ilvl="8" w:tplc="0F9A02AA">
      <w:start w:val="1"/>
      <w:numFmt w:val="bullet"/>
      <w:lvlText w:val="•"/>
      <w:lvlJc w:val="left"/>
      <w:pPr>
        <w:ind w:left="7828" w:hanging="360"/>
      </w:pPr>
      <w:rPr>
        <w:rFonts w:hint="default"/>
      </w:rPr>
    </w:lvl>
  </w:abstractNum>
  <w:abstractNum w:abstractNumId="134" w15:restartNumberingAfterBreak="0">
    <w:nsid w:val="5666441F"/>
    <w:multiLevelType w:val="multilevel"/>
    <w:tmpl w:val="B6AC6730"/>
    <w:lvl w:ilvl="0">
      <w:start w:val="2"/>
      <w:numFmt w:val="decimal"/>
      <w:lvlText w:val="%1"/>
      <w:lvlJc w:val="left"/>
      <w:pPr>
        <w:ind w:left="685" w:hanging="567"/>
      </w:pPr>
      <w:rPr>
        <w:rFonts w:hint="default"/>
      </w:rPr>
    </w:lvl>
    <w:lvl w:ilvl="1">
      <w:start w:val="4"/>
      <w:numFmt w:val="decimal"/>
      <w:lvlText w:val="%1.%2"/>
      <w:lvlJc w:val="left"/>
      <w:pPr>
        <w:ind w:left="685" w:hanging="567"/>
      </w:pPr>
      <w:rPr>
        <w:rFonts w:ascii="Arial" w:eastAsia="Arial" w:hAnsi="Arial" w:hint="default"/>
        <w:b/>
        <w:bCs/>
        <w:sz w:val="24"/>
        <w:szCs w:val="24"/>
      </w:rPr>
    </w:lvl>
    <w:lvl w:ilvl="2">
      <w:start w:val="1"/>
      <w:numFmt w:val="bullet"/>
      <w:lvlText w:val="•"/>
      <w:lvlJc w:val="left"/>
      <w:pPr>
        <w:ind w:left="2409" w:hanging="567"/>
      </w:pPr>
      <w:rPr>
        <w:rFonts w:hint="default"/>
      </w:rPr>
    </w:lvl>
    <w:lvl w:ilvl="3">
      <w:start w:val="1"/>
      <w:numFmt w:val="bullet"/>
      <w:lvlText w:val="•"/>
      <w:lvlJc w:val="left"/>
      <w:pPr>
        <w:ind w:left="3271" w:hanging="567"/>
      </w:pPr>
      <w:rPr>
        <w:rFonts w:hint="default"/>
      </w:rPr>
    </w:lvl>
    <w:lvl w:ilvl="4">
      <w:start w:val="1"/>
      <w:numFmt w:val="bullet"/>
      <w:lvlText w:val="•"/>
      <w:lvlJc w:val="left"/>
      <w:pPr>
        <w:ind w:left="4133" w:hanging="567"/>
      </w:pPr>
      <w:rPr>
        <w:rFonts w:hint="default"/>
      </w:rPr>
    </w:lvl>
    <w:lvl w:ilvl="5">
      <w:start w:val="1"/>
      <w:numFmt w:val="bullet"/>
      <w:lvlText w:val="•"/>
      <w:lvlJc w:val="left"/>
      <w:pPr>
        <w:ind w:left="4995" w:hanging="567"/>
      </w:pPr>
      <w:rPr>
        <w:rFonts w:hint="default"/>
      </w:rPr>
    </w:lvl>
    <w:lvl w:ilvl="6">
      <w:start w:val="1"/>
      <w:numFmt w:val="bullet"/>
      <w:lvlText w:val="•"/>
      <w:lvlJc w:val="left"/>
      <w:pPr>
        <w:ind w:left="5857" w:hanging="567"/>
      </w:pPr>
      <w:rPr>
        <w:rFonts w:hint="default"/>
      </w:rPr>
    </w:lvl>
    <w:lvl w:ilvl="7">
      <w:start w:val="1"/>
      <w:numFmt w:val="bullet"/>
      <w:lvlText w:val="•"/>
      <w:lvlJc w:val="left"/>
      <w:pPr>
        <w:ind w:left="6720" w:hanging="567"/>
      </w:pPr>
      <w:rPr>
        <w:rFonts w:hint="default"/>
      </w:rPr>
    </w:lvl>
    <w:lvl w:ilvl="8">
      <w:start w:val="1"/>
      <w:numFmt w:val="bullet"/>
      <w:lvlText w:val="•"/>
      <w:lvlJc w:val="left"/>
      <w:pPr>
        <w:ind w:left="7582" w:hanging="567"/>
      </w:pPr>
      <w:rPr>
        <w:rFonts w:hint="default"/>
      </w:rPr>
    </w:lvl>
  </w:abstractNum>
  <w:abstractNum w:abstractNumId="135" w15:restartNumberingAfterBreak="0">
    <w:nsid w:val="56E97DCF"/>
    <w:multiLevelType w:val="multilevel"/>
    <w:tmpl w:val="220A3184"/>
    <w:lvl w:ilvl="0">
      <w:start w:val="8"/>
      <w:numFmt w:val="decimal"/>
      <w:lvlText w:val="%1"/>
      <w:lvlJc w:val="left"/>
      <w:pPr>
        <w:ind w:left="838" w:hanging="720"/>
      </w:pPr>
      <w:rPr>
        <w:rFonts w:hint="default"/>
      </w:rPr>
    </w:lvl>
    <w:lvl w:ilvl="1">
      <w:start w:val="4"/>
      <w:numFmt w:val="decimal"/>
      <w:lvlText w:val="%1.%2"/>
      <w:lvlJc w:val="left"/>
      <w:pPr>
        <w:ind w:left="838" w:hanging="720"/>
      </w:pPr>
      <w:rPr>
        <w:rFonts w:hint="default"/>
      </w:rPr>
    </w:lvl>
    <w:lvl w:ilvl="2">
      <w:start w:val="2"/>
      <w:numFmt w:val="decimal"/>
      <w:lvlText w:val="%1.%2.%3"/>
      <w:lvlJc w:val="left"/>
      <w:pPr>
        <w:ind w:left="838" w:hanging="720"/>
      </w:pPr>
      <w:rPr>
        <w:rFonts w:ascii="Arial" w:eastAsia="Arial" w:hAnsi="Arial" w:hint="default"/>
        <w:b/>
        <w:bCs/>
        <w:sz w:val="22"/>
        <w:szCs w:val="22"/>
      </w:rPr>
    </w:lvl>
    <w:lvl w:ilvl="3">
      <w:start w:val="1"/>
      <w:numFmt w:val="bullet"/>
      <w:lvlText w:val="•"/>
      <w:lvlJc w:val="left"/>
      <w:pPr>
        <w:ind w:left="3379" w:hanging="720"/>
      </w:pPr>
      <w:rPr>
        <w:rFonts w:hint="default"/>
      </w:rPr>
    </w:lvl>
    <w:lvl w:ilvl="4">
      <w:start w:val="1"/>
      <w:numFmt w:val="bullet"/>
      <w:lvlText w:val="•"/>
      <w:lvlJc w:val="left"/>
      <w:pPr>
        <w:ind w:left="4225" w:hanging="720"/>
      </w:pPr>
      <w:rPr>
        <w:rFonts w:hint="default"/>
      </w:rPr>
    </w:lvl>
    <w:lvl w:ilvl="5">
      <w:start w:val="1"/>
      <w:numFmt w:val="bullet"/>
      <w:lvlText w:val="•"/>
      <w:lvlJc w:val="left"/>
      <w:pPr>
        <w:ind w:left="5072" w:hanging="720"/>
      </w:pPr>
      <w:rPr>
        <w:rFonts w:hint="default"/>
      </w:rPr>
    </w:lvl>
    <w:lvl w:ilvl="6">
      <w:start w:val="1"/>
      <w:numFmt w:val="bullet"/>
      <w:lvlText w:val="•"/>
      <w:lvlJc w:val="left"/>
      <w:pPr>
        <w:ind w:left="5919" w:hanging="720"/>
      </w:pPr>
      <w:rPr>
        <w:rFonts w:hint="default"/>
      </w:rPr>
    </w:lvl>
    <w:lvl w:ilvl="7">
      <w:start w:val="1"/>
      <w:numFmt w:val="bullet"/>
      <w:lvlText w:val="•"/>
      <w:lvlJc w:val="left"/>
      <w:pPr>
        <w:ind w:left="6766" w:hanging="720"/>
      </w:pPr>
      <w:rPr>
        <w:rFonts w:hint="default"/>
      </w:rPr>
    </w:lvl>
    <w:lvl w:ilvl="8">
      <w:start w:val="1"/>
      <w:numFmt w:val="bullet"/>
      <w:lvlText w:val="•"/>
      <w:lvlJc w:val="left"/>
      <w:pPr>
        <w:ind w:left="7612" w:hanging="720"/>
      </w:pPr>
      <w:rPr>
        <w:rFonts w:hint="default"/>
      </w:rPr>
    </w:lvl>
  </w:abstractNum>
  <w:abstractNum w:abstractNumId="136" w15:restartNumberingAfterBreak="0">
    <w:nsid w:val="57103FC8"/>
    <w:multiLevelType w:val="hybridMultilevel"/>
    <w:tmpl w:val="2722B5DC"/>
    <w:lvl w:ilvl="0" w:tplc="4D0AF018">
      <w:start w:val="1"/>
      <w:numFmt w:val="decimal"/>
      <w:lvlText w:val="%1."/>
      <w:lvlJc w:val="left"/>
      <w:pPr>
        <w:ind w:left="534" w:hanging="396"/>
      </w:pPr>
      <w:rPr>
        <w:rFonts w:ascii="Calibri" w:eastAsia="Calibri" w:hAnsi="Calibri" w:hint="default"/>
        <w:sz w:val="22"/>
        <w:szCs w:val="22"/>
      </w:rPr>
    </w:lvl>
    <w:lvl w:ilvl="1" w:tplc="8FCC1554">
      <w:start w:val="1"/>
      <w:numFmt w:val="bullet"/>
      <w:lvlText w:val="•"/>
      <w:lvlJc w:val="left"/>
      <w:pPr>
        <w:ind w:left="1416" w:hanging="396"/>
      </w:pPr>
      <w:rPr>
        <w:rFonts w:hint="default"/>
      </w:rPr>
    </w:lvl>
    <w:lvl w:ilvl="2" w:tplc="8D7E8D76">
      <w:start w:val="1"/>
      <w:numFmt w:val="bullet"/>
      <w:lvlText w:val="•"/>
      <w:lvlJc w:val="left"/>
      <w:pPr>
        <w:ind w:left="2297" w:hanging="396"/>
      </w:pPr>
      <w:rPr>
        <w:rFonts w:hint="default"/>
      </w:rPr>
    </w:lvl>
    <w:lvl w:ilvl="3" w:tplc="6F9884B6">
      <w:start w:val="1"/>
      <w:numFmt w:val="bullet"/>
      <w:lvlText w:val="•"/>
      <w:lvlJc w:val="left"/>
      <w:pPr>
        <w:ind w:left="3178" w:hanging="396"/>
      </w:pPr>
      <w:rPr>
        <w:rFonts w:hint="default"/>
      </w:rPr>
    </w:lvl>
    <w:lvl w:ilvl="4" w:tplc="B23412DA">
      <w:start w:val="1"/>
      <w:numFmt w:val="bullet"/>
      <w:lvlText w:val="•"/>
      <w:lvlJc w:val="left"/>
      <w:pPr>
        <w:ind w:left="4059" w:hanging="396"/>
      </w:pPr>
      <w:rPr>
        <w:rFonts w:hint="default"/>
      </w:rPr>
    </w:lvl>
    <w:lvl w:ilvl="5" w:tplc="AFF4B4C4">
      <w:start w:val="1"/>
      <w:numFmt w:val="bullet"/>
      <w:lvlText w:val="•"/>
      <w:lvlJc w:val="left"/>
      <w:pPr>
        <w:ind w:left="4940" w:hanging="396"/>
      </w:pPr>
      <w:rPr>
        <w:rFonts w:hint="default"/>
      </w:rPr>
    </w:lvl>
    <w:lvl w:ilvl="6" w:tplc="775EF6E8">
      <w:start w:val="1"/>
      <w:numFmt w:val="bullet"/>
      <w:lvlText w:val="•"/>
      <w:lvlJc w:val="left"/>
      <w:pPr>
        <w:ind w:left="5821" w:hanging="396"/>
      </w:pPr>
      <w:rPr>
        <w:rFonts w:hint="default"/>
      </w:rPr>
    </w:lvl>
    <w:lvl w:ilvl="7" w:tplc="BD4EFC2C">
      <w:start w:val="1"/>
      <w:numFmt w:val="bullet"/>
      <w:lvlText w:val="•"/>
      <w:lvlJc w:val="left"/>
      <w:pPr>
        <w:ind w:left="6702" w:hanging="396"/>
      </w:pPr>
      <w:rPr>
        <w:rFonts w:hint="default"/>
      </w:rPr>
    </w:lvl>
    <w:lvl w:ilvl="8" w:tplc="C4466012">
      <w:start w:val="1"/>
      <w:numFmt w:val="bullet"/>
      <w:lvlText w:val="•"/>
      <w:lvlJc w:val="left"/>
      <w:pPr>
        <w:ind w:left="7584" w:hanging="396"/>
      </w:pPr>
      <w:rPr>
        <w:rFonts w:hint="default"/>
      </w:rPr>
    </w:lvl>
  </w:abstractNum>
  <w:abstractNum w:abstractNumId="137" w15:restartNumberingAfterBreak="0">
    <w:nsid w:val="571F0857"/>
    <w:multiLevelType w:val="hybridMultilevel"/>
    <w:tmpl w:val="50CE8056"/>
    <w:lvl w:ilvl="0" w:tplc="FDFE8044">
      <w:start w:val="1"/>
      <w:numFmt w:val="lowerLetter"/>
      <w:lvlText w:val="%1."/>
      <w:lvlJc w:val="left"/>
      <w:pPr>
        <w:ind w:left="394" w:hanging="276"/>
      </w:pPr>
      <w:rPr>
        <w:rFonts w:ascii="Calibri" w:eastAsia="Calibri" w:hAnsi="Calibri" w:hint="default"/>
        <w:b/>
        <w:bCs/>
        <w:i/>
        <w:sz w:val="22"/>
        <w:szCs w:val="22"/>
      </w:rPr>
    </w:lvl>
    <w:lvl w:ilvl="1" w:tplc="3702B5AE">
      <w:start w:val="1"/>
      <w:numFmt w:val="decimal"/>
      <w:lvlText w:val="%2."/>
      <w:lvlJc w:val="left"/>
      <w:pPr>
        <w:ind w:left="826" w:hanging="356"/>
      </w:pPr>
      <w:rPr>
        <w:rFonts w:ascii="Calibri" w:eastAsia="Calibri" w:hAnsi="Calibri" w:hint="default"/>
        <w:sz w:val="22"/>
        <w:szCs w:val="22"/>
      </w:rPr>
    </w:lvl>
    <w:lvl w:ilvl="2" w:tplc="6D2810AA">
      <w:start w:val="1"/>
      <w:numFmt w:val="bullet"/>
      <w:lvlText w:val="•"/>
      <w:lvlJc w:val="left"/>
      <w:pPr>
        <w:ind w:left="1768" w:hanging="356"/>
      </w:pPr>
      <w:rPr>
        <w:rFonts w:hint="default"/>
      </w:rPr>
    </w:lvl>
    <w:lvl w:ilvl="3" w:tplc="AAFC06AA">
      <w:start w:val="1"/>
      <w:numFmt w:val="bullet"/>
      <w:lvlText w:val="•"/>
      <w:lvlJc w:val="left"/>
      <w:pPr>
        <w:ind w:left="2711" w:hanging="356"/>
      </w:pPr>
      <w:rPr>
        <w:rFonts w:hint="default"/>
      </w:rPr>
    </w:lvl>
    <w:lvl w:ilvl="4" w:tplc="254A1436">
      <w:start w:val="1"/>
      <w:numFmt w:val="bullet"/>
      <w:lvlText w:val="•"/>
      <w:lvlJc w:val="left"/>
      <w:pPr>
        <w:ind w:left="3653" w:hanging="356"/>
      </w:pPr>
      <w:rPr>
        <w:rFonts w:hint="default"/>
      </w:rPr>
    </w:lvl>
    <w:lvl w:ilvl="5" w:tplc="9D101206">
      <w:start w:val="1"/>
      <w:numFmt w:val="bullet"/>
      <w:lvlText w:val="•"/>
      <w:lvlJc w:val="left"/>
      <w:pPr>
        <w:ind w:left="4595" w:hanging="356"/>
      </w:pPr>
      <w:rPr>
        <w:rFonts w:hint="default"/>
      </w:rPr>
    </w:lvl>
    <w:lvl w:ilvl="6" w:tplc="F4003924">
      <w:start w:val="1"/>
      <w:numFmt w:val="bullet"/>
      <w:lvlText w:val="•"/>
      <w:lvlJc w:val="left"/>
      <w:pPr>
        <w:ind w:left="5537" w:hanging="356"/>
      </w:pPr>
      <w:rPr>
        <w:rFonts w:hint="default"/>
      </w:rPr>
    </w:lvl>
    <w:lvl w:ilvl="7" w:tplc="9EB06E3E">
      <w:start w:val="1"/>
      <w:numFmt w:val="bullet"/>
      <w:lvlText w:val="•"/>
      <w:lvlJc w:val="left"/>
      <w:pPr>
        <w:ind w:left="6479" w:hanging="356"/>
      </w:pPr>
      <w:rPr>
        <w:rFonts w:hint="default"/>
      </w:rPr>
    </w:lvl>
    <w:lvl w:ilvl="8" w:tplc="C4A0CE5E">
      <w:start w:val="1"/>
      <w:numFmt w:val="bullet"/>
      <w:lvlText w:val="•"/>
      <w:lvlJc w:val="left"/>
      <w:pPr>
        <w:ind w:left="7422" w:hanging="356"/>
      </w:pPr>
      <w:rPr>
        <w:rFonts w:hint="default"/>
      </w:rPr>
    </w:lvl>
  </w:abstractNum>
  <w:abstractNum w:abstractNumId="138" w15:restartNumberingAfterBreak="0">
    <w:nsid w:val="5760594A"/>
    <w:multiLevelType w:val="hybridMultilevel"/>
    <w:tmpl w:val="6FD6CF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9" w15:restartNumberingAfterBreak="0">
    <w:nsid w:val="5773151C"/>
    <w:multiLevelType w:val="hybridMultilevel"/>
    <w:tmpl w:val="23DC23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0" w15:restartNumberingAfterBreak="0">
    <w:nsid w:val="579D5EBF"/>
    <w:multiLevelType w:val="multilevel"/>
    <w:tmpl w:val="248A4CB0"/>
    <w:lvl w:ilvl="0">
      <w:start w:val="1"/>
      <w:numFmt w:val="bullet"/>
      <w:lvlText w:val=""/>
      <w:lvlJc w:val="left"/>
      <w:pPr>
        <w:ind w:left="422" w:hanging="284"/>
      </w:pPr>
      <w:rPr>
        <w:rFonts w:ascii="Symbol" w:eastAsia="Symbol" w:hAnsi="Symbol" w:hint="default"/>
        <w:w w:val="99"/>
        <w:sz w:val="20"/>
        <w:szCs w:val="20"/>
      </w:rPr>
    </w:lvl>
    <w:lvl w:ilvl="1">
      <w:start w:val="1"/>
      <w:numFmt w:val="bullet"/>
      <w:lvlText w:val="-"/>
      <w:lvlJc w:val="left"/>
      <w:pPr>
        <w:ind w:left="685" w:hanging="284"/>
      </w:pPr>
      <w:rPr>
        <w:rFonts w:ascii="Times New Roman" w:eastAsia="Times New Roman" w:hAnsi="Times New Roman" w:hint="default"/>
        <w:sz w:val="22"/>
        <w:szCs w:val="22"/>
      </w:rPr>
    </w:lvl>
    <w:lvl w:ilvl="2">
      <w:start w:val="1"/>
      <w:numFmt w:val="bullet"/>
      <w:lvlText w:val="•"/>
      <w:lvlJc w:val="left"/>
      <w:pPr>
        <w:ind w:left="1643" w:hanging="284"/>
      </w:pPr>
      <w:rPr>
        <w:rFonts w:hint="default"/>
      </w:rPr>
    </w:lvl>
    <w:lvl w:ilvl="3">
      <w:start w:val="1"/>
      <w:numFmt w:val="bullet"/>
      <w:lvlText w:val="•"/>
      <w:lvlJc w:val="left"/>
      <w:pPr>
        <w:ind w:left="2601" w:hanging="284"/>
      </w:pPr>
      <w:rPr>
        <w:rFonts w:hint="default"/>
      </w:rPr>
    </w:lvl>
    <w:lvl w:ilvl="4">
      <w:start w:val="1"/>
      <w:numFmt w:val="bullet"/>
      <w:lvlText w:val="•"/>
      <w:lvlJc w:val="left"/>
      <w:pPr>
        <w:ind w:left="3559" w:hanging="284"/>
      </w:pPr>
      <w:rPr>
        <w:rFonts w:hint="default"/>
      </w:rPr>
    </w:lvl>
    <w:lvl w:ilvl="5">
      <w:start w:val="1"/>
      <w:numFmt w:val="bullet"/>
      <w:lvlText w:val="•"/>
      <w:lvlJc w:val="left"/>
      <w:pPr>
        <w:ind w:left="4516" w:hanging="284"/>
      </w:pPr>
      <w:rPr>
        <w:rFonts w:hint="default"/>
      </w:rPr>
    </w:lvl>
    <w:lvl w:ilvl="6">
      <w:start w:val="1"/>
      <w:numFmt w:val="bullet"/>
      <w:lvlText w:val="•"/>
      <w:lvlJc w:val="left"/>
      <w:pPr>
        <w:ind w:left="5474" w:hanging="284"/>
      </w:pPr>
      <w:rPr>
        <w:rFonts w:hint="default"/>
      </w:rPr>
    </w:lvl>
    <w:lvl w:ilvl="7">
      <w:start w:val="1"/>
      <w:numFmt w:val="bullet"/>
      <w:lvlText w:val="•"/>
      <w:lvlJc w:val="left"/>
      <w:pPr>
        <w:ind w:left="6432" w:hanging="284"/>
      </w:pPr>
      <w:rPr>
        <w:rFonts w:hint="default"/>
      </w:rPr>
    </w:lvl>
    <w:lvl w:ilvl="8">
      <w:start w:val="1"/>
      <w:numFmt w:val="bullet"/>
      <w:lvlText w:val="•"/>
      <w:lvlJc w:val="left"/>
      <w:pPr>
        <w:ind w:left="7390" w:hanging="284"/>
      </w:pPr>
      <w:rPr>
        <w:rFonts w:hint="default"/>
      </w:rPr>
    </w:lvl>
  </w:abstractNum>
  <w:abstractNum w:abstractNumId="141" w15:restartNumberingAfterBreak="0">
    <w:nsid w:val="586E39EB"/>
    <w:multiLevelType w:val="hybridMultilevel"/>
    <w:tmpl w:val="651A29BE"/>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42" w15:restartNumberingAfterBreak="0">
    <w:nsid w:val="58C00B67"/>
    <w:multiLevelType w:val="hybridMultilevel"/>
    <w:tmpl w:val="479A30B0"/>
    <w:lvl w:ilvl="0" w:tplc="0C090017">
      <w:start w:val="1"/>
      <w:numFmt w:val="lowerLetter"/>
      <w:lvlText w:val="%1)"/>
      <w:lvlJc w:val="left"/>
      <w:pPr>
        <w:tabs>
          <w:tab w:val="num" w:pos="720"/>
        </w:tabs>
        <w:ind w:left="720" w:hanging="360"/>
      </w:pPr>
    </w:lvl>
    <w:lvl w:ilvl="1" w:tplc="0C090019">
      <w:start w:val="1"/>
      <w:numFmt w:val="decimal"/>
      <w:lvlText w:val="%2."/>
      <w:lvlJc w:val="left"/>
      <w:pPr>
        <w:tabs>
          <w:tab w:val="num" w:pos="1440"/>
        </w:tabs>
        <w:ind w:left="1440" w:hanging="360"/>
      </w:pPr>
    </w:lvl>
    <w:lvl w:ilvl="2" w:tplc="0C09001B">
      <w:start w:val="1"/>
      <w:numFmt w:val="decimal"/>
      <w:lvlText w:val="%3."/>
      <w:lvlJc w:val="left"/>
      <w:pPr>
        <w:tabs>
          <w:tab w:val="num" w:pos="2160"/>
        </w:tabs>
        <w:ind w:left="2160" w:hanging="360"/>
      </w:pPr>
    </w:lvl>
    <w:lvl w:ilvl="3" w:tplc="0C09000F">
      <w:start w:val="1"/>
      <w:numFmt w:val="decimal"/>
      <w:lvlText w:val="%4."/>
      <w:lvlJc w:val="left"/>
      <w:pPr>
        <w:tabs>
          <w:tab w:val="num" w:pos="2880"/>
        </w:tabs>
        <w:ind w:left="2880" w:hanging="360"/>
      </w:pPr>
    </w:lvl>
    <w:lvl w:ilvl="4" w:tplc="0C090019">
      <w:start w:val="1"/>
      <w:numFmt w:val="decimal"/>
      <w:lvlText w:val="%5."/>
      <w:lvlJc w:val="left"/>
      <w:pPr>
        <w:tabs>
          <w:tab w:val="num" w:pos="3600"/>
        </w:tabs>
        <w:ind w:left="3600" w:hanging="360"/>
      </w:pPr>
    </w:lvl>
    <w:lvl w:ilvl="5" w:tplc="0C09001B">
      <w:start w:val="1"/>
      <w:numFmt w:val="decimal"/>
      <w:lvlText w:val="%6."/>
      <w:lvlJc w:val="left"/>
      <w:pPr>
        <w:tabs>
          <w:tab w:val="num" w:pos="4320"/>
        </w:tabs>
        <w:ind w:left="4320" w:hanging="360"/>
      </w:pPr>
    </w:lvl>
    <w:lvl w:ilvl="6" w:tplc="0C09000F">
      <w:start w:val="1"/>
      <w:numFmt w:val="decimal"/>
      <w:lvlText w:val="%7."/>
      <w:lvlJc w:val="left"/>
      <w:pPr>
        <w:tabs>
          <w:tab w:val="num" w:pos="5040"/>
        </w:tabs>
        <w:ind w:left="5040" w:hanging="360"/>
      </w:pPr>
    </w:lvl>
    <w:lvl w:ilvl="7" w:tplc="0C090019">
      <w:start w:val="1"/>
      <w:numFmt w:val="decimal"/>
      <w:lvlText w:val="%8."/>
      <w:lvlJc w:val="left"/>
      <w:pPr>
        <w:tabs>
          <w:tab w:val="num" w:pos="5760"/>
        </w:tabs>
        <w:ind w:left="5760" w:hanging="360"/>
      </w:pPr>
    </w:lvl>
    <w:lvl w:ilvl="8" w:tplc="0C09001B">
      <w:start w:val="1"/>
      <w:numFmt w:val="decimal"/>
      <w:lvlText w:val="%9."/>
      <w:lvlJc w:val="left"/>
      <w:pPr>
        <w:tabs>
          <w:tab w:val="num" w:pos="6480"/>
        </w:tabs>
        <w:ind w:left="6480" w:hanging="360"/>
      </w:pPr>
    </w:lvl>
  </w:abstractNum>
  <w:abstractNum w:abstractNumId="143" w15:restartNumberingAfterBreak="0">
    <w:nsid w:val="59F43322"/>
    <w:multiLevelType w:val="multilevel"/>
    <w:tmpl w:val="B0BEF46C"/>
    <w:lvl w:ilvl="0">
      <w:start w:val="10"/>
      <w:numFmt w:val="decimal"/>
      <w:lvlText w:val="%1"/>
      <w:lvlJc w:val="left"/>
      <w:pPr>
        <w:tabs>
          <w:tab w:val="num" w:pos="360"/>
        </w:tabs>
        <w:ind w:left="360" w:hanging="360"/>
      </w:pPr>
      <w:rPr>
        <w:rFonts w:hint="default"/>
        <w:b/>
      </w:rPr>
    </w:lvl>
    <w:lvl w:ilvl="1">
      <w:start w:val="3"/>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144" w15:restartNumberingAfterBreak="0">
    <w:nsid w:val="59F6016E"/>
    <w:multiLevelType w:val="hybridMultilevel"/>
    <w:tmpl w:val="24B81F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5" w15:restartNumberingAfterBreak="0">
    <w:nsid w:val="5B2271C7"/>
    <w:multiLevelType w:val="multilevel"/>
    <w:tmpl w:val="5A28269E"/>
    <w:lvl w:ilvl="0">
      <w:start w:val="11"/>
      <w:numFmt w:val="decimal"/>
      <w:lvlText w:val="%1"/>
      <w:lvlJc w:val="left"/>
      <w:pPr>
        <w:tabs>
          <w:tab w:val="num" w:pos="360"/>
        </w:tabs>
        <w:ind w:left="360" w:hanging="360"/>
      </w:pPr>
      <w:rPr>
        <w:rFonts w:hint="default"/>
        <w:b/>
      </w:rPr>
    </w:lvl>
    <w:lvl w:ilvl="1">
      <w:start w:val="2"/>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146" w15:restartNumberingAfterBreak="0">
    <w:nsid w:val="5D357839"/>
    <w:multiLevelType w:val="hybridMultilevel"/>
    <w:tmpl w:val="F500A6F0"/>
    <w:lvl w:ilvl="0" w:tplc="B46C4C20">
      <w:start w:val="1"/>
      <w:numFmt w:val="decimal"/>
      <w:lvlText w:val="%1."/>
      <w:lvlJc w:val="left"/>
      <w:pPr>
        <w:ind w:left="478" w:hanging="360"/>
      </w:pPr>
      <w:rPr>
        <w:rFonts w:ascii="Calibri" w:eastAsia="Calibri" w:hAnsi="Calibri" w:hint="default"/>
        <w:sz w:val="22"/>
        <w:szCs w:val="22"/>
      </w:rPr>
    </w:lvl>
    <w:lvl w:ilvl="1" w:tplc="E7E6F34E">
      <w:start w:val="1"/>
      <w:numFmt w:val="bullet"/>
      <w:lvlText w:val="•"/>
      <w:lvlJc w:val="left"/>
      <w:pPr>
        <w:ind w:left="1361" w:hanging="360"/>
      </w:pPr>
      <w:rPr>
        <w:rFonts w:hint="default"/>
      </w:rPr>
    </w:lvl>
    <w:lvl w:ilvl="2" w:tplc="8B581710">
      <w:start w:val="1"/>
      <w:numFmt w:val="bullet"/>
      <w:lvlText w:val="•"/>
      <w:lvlJc w:val="left"/>
      <w:pPr>
        <w:ind w:left="2244" w:hanging="360"/>
      </w:pPr>
      <w:rPr>
        <w:rFonts w:hint="default"/>
      </w:rPr>
    </w:lvl>
    <w:lvl w:ilvl="3" w:tplc="4588DE38">
      <w:start w:val="1"/>
      <w:numFmt w:val="bullet"/>
      <w:lvlText w:val="•"/>
      <w:lvlJc w:val="left"/>
      <w:pPr>
        <w:ind w:left="3127" w:hanging="360"/>
      </w:pPr>
      <w:rPr>
        <w:rFonts w:hint="default"/>
      </w:rPr>
    </w:lvl>
    <w:lvl w:ilvl="4" w:tplc="CD7E01CE">
      <w:start w:val="1"/>
      <w:numFmt w:val="bullet"/>
      <w:lvlText w:val="•"/>
      <w:lvlJc w:val="left"/>
      <w:pPr>
        <w:ind w:left="4009" w:hanging="360"/>
      </w:pPr>
      <w:rPr>
        <w:rFonts w:hint="default"/>
      </w:rPr>
    </w:lvl>
    <w:lvl w:ilvl="5" w:tplc="B1742BF4">
      <w:start w:val="1"/>
      <w:numFmt w:val="bullet"/>
      <w:lvlText w:val="•"/>
      <w:lvlJc w:val="left"/>
      <w:pPr>
        <w:ind w:left="4892" w:hanging="360"/>
      </w:pPr>
      <w:rPr>
        <w:rFonts w:hint="default"/>
      </w:rPr>
    </w:lvl>
    <w:lvl w:ilvl="6" w:tplc="7D28E276">
      <w:start w:val="1"/>
      <w:numFmt w:val="bullet"/>
      <w:lvlText w:val="•"/>
      <w:lvlJc w:val="left"/>
      <w:pPr>
        <w:ind w:left="5775" w:hanging="360"/>
      </w:pPr>
      <w:rPr>
        <w:rFonts w:hint="default"/>
      </w:rPr>
    </w:lvl>
    <w:lvl w:ilvl="7" w:tplc="728A90EA">
      <w:start w:val="1"/>
      <w:numFmt w:val="bullet"/>
      <w:lvlText w:val="•"/>
      <w:lvlJc w:val="left"/>
      <w:pPr>
        <w:ind w:left="6658" w:hanging="360"/>
      </w:pPr>
      <w:rPr>
        <w:rFonts w:hint="default"/>
      </w:rPr>
    </w:lvl>
    <w:lvl w:ilvl="8" w:tplc="077433C8">
      <w:start w:val="1"/>
      <w:numFmt w:val="bullet"/>
      <w:lvlText w:val="•"/>
      <w:lvlJc w:val="left"/>
      <w:pPr>
        <w:ind w:left="7540" w:hanging="360"/>
      </w:pPr>
      <w:rPr>
        <w:rFonts w:hint="default"/>
      </w:rPr>
    </w:lvl>
  </w:abstractNum>
  <w:abstractNum w:abstractNumId="147" w15:restartNumberingAfterBreak="0">
    <w:nsid w:val="5D6126CB"/>
    <w:multiLevelType w:val="multilevel"/>
    <w:tmpl w:val="ABA08A48"/>
    <w:lvl w:ilvl="0">
      <w:start w:val="7"/>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bullet"/>
      <w:lvlText w:val=""/>
      <w:lvlJc w:val="left"/>
      <w:pPr>
        <w:ind w:left="858" w:hanging="360"/>
      </w:pPr>
      <w:rPr>
        <w:rFonts w:ascii="Symbol" w:eastAsia="Symbol" w:hAnsi="Symbol" w:hint="default"/>
        <w:sz w:val="22"/>
        <w:szCs w:val="22"/>
      </w:rPr>
    </w:lvl>
    <w:lvl w:ilvl="3">
      <w:start w:val="1"/>
      <w:numFmt w:val="bullet"/>
      <w:lvlText w:val="•"/>
      <w:lvlJc w:val="left"/>
      <w:pPr>
        <w:ind w:left="1919" w:hanging="360"/>
      </w:pPr>
      <w:rPr>
        <w:rFonts w:hint="default"/>
      </w:rPr>
    </w:lvl>
    <w:lvl w:ilvl="4">
      <w:start w:val="1"/>
      <w:numFmt w:val="bullet"/>
      <w:lvlText w:val="•"/>
      <w:lvlJc w:val="left"/>
      <w:pPr>
        <w:ind w:left="2980" w:hanging="360"/>
      </w:pPr>
      <w:rPr>
        <w:rFonts w:hint="default"/>
      </w:rPr>
    </w:lvl>
    <w:lvl w:ilvl="5">
      <w:start w:val="1"/>
      <w:numFmt w:val="bullet"/>
      <w:lvlText w:val="•"/>
      <w:lvlJc w:val="left"/>
      <w:pPr>
        <w:ind w:left="4041" w:hanging="360"/>
      </w:pPr>
      <w:rPr>
        <w:rFonts w:hint="default"/>
      </w:rPr>
    </w:lvl>
    <w:lvl w:ilvl="6">
      <w:start w:val="1"/>
      <w:numFmt w:val="bullet"/>
      <w:lvlText w:val="•"/>
      <w:lvlJc w:val="left"/>
      <w:pPr>
        <w:ind w:left="5102" w:hanging="360"/>
      </w:pPr>
      <w:rPr>
        <w:rFonts w:hint="default"/>
      </w:rPr>
    </w:lvl>
    <w:lvl w:ilvl="7">
      <w:start w:val="1"/>
      <w:numFmt w:val="bullet"/>
      <w:lvlText w:val="•"/>
      <w:lvlJc w:val="left"/>
      <w:pPr>
        <w:ind w:left="6163" w:hanging="360"/>
      </w:pPr>
      <w:rPr>
        <w:rFonts w:hint="default"/>
      </w:rPr>
    </w:lvl>
    <w:lvl w:ilvl="8">
      <w:start w:val="1"/>
      <w:numFmt w:val="bullet"/>
      <w:lvlText w:val="•"/>
      <w:lvlJc w:val="left"/>
      <w:pPr>
        <w:ind w:left="7224" w:hanging="360"/>
      </w:pPr>
      <w:rPr>
        <w:rFonts w:hint="default"/>
      </w:rPr>
    </w:lvl>
  </w:abstractNum>
  <w:abstractNum w:abstractNumId="148" w15:restartNumberingAfterBreak="0">
    <w:nsid w:val="5DA6796A"/>
    <w:multiLevelType w:val="hybridMultilevel"/>
    <w:tmpl w:val="B0B49C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9" w15:restartNumberingAfterBreak="0">
    <w:nsid w:val="5EFA7385"/>
    <w:multiLevelType w:val="multilevel"/>
    <w:tmpl w:val="7F30FB96"/>
    <w:lvl w:ilvl="0">
      <w:start w:val="4"/>
      <w:numFmt w:val="decimal"/>
      <w:lvlText w:val="%1"/>
      <w:lvlJc w:val="left"/>
      <w:pPr>
        <w:ind w:left="685" w:hanging="567"/>
      </w:pPr>
      <w:rPr>
        <w:rFonts w:hint="default"/>
      </w:rPr>
    </w:lvl>
    <w:lvl w:ilvl="1">
      <w:start w:val="10"/>
      <w:numFmt w:val="decimal"/>
      <w:lvlText w:val="%1.%2"/>
      <w:lvlJc w:val="left"/>
      <w:pPr>
        <w:ind w:left="685" w:hanging="567"/>
      </w:pPr>
      <w:rPr>
        <w:rFonts w:ascii="Arial" w:eastAsia="Arial" w:hAnsi="Arial" w:hint="default"/>
        <w:b/>
        <w:bCs/>
        <w:sz w:val="24"/>
        <w:szCs w:val="24"/>
      </w:rPr>
    </w:lvl>
    <w:lvl w:ilvl="2">
      <w:start w:val="1"/>
      <w:numFmt w:val="bullet"/>
      <w:lvlText w:val="•"/>
      <w:lvlJc w:val="left"/>
      <w:pPr>
        <w:ind w:left="2409" w:hanging="567"/>
      </w:pPr>
      <w:rPr>
        <w:rFonts w:hint="default"/>
      </w:rPr>
    </w:lvl>
    <w:lvl w:ilvl="3">
      <w:start w:val="1"/>
      <w:numFmt w:val="bullet"/>
      <w:lvlText w:val="•"/>
      <w:lvlJc w:val="left"/>
      <w:pPr>
        <w:ind w:left="3271" w:hanging="567"/>
      </w:pPr>
      <w:rPr>
        <w:rFonts w:hint="default"/>
      </w:rPr>
    </w:lvl>
    <w:lvl w:ilvl="4">
      <w:start w:val="1"/>
      <w:numFmt w:val="bullet"/>
      <w:lvlText w:val="•"/>
      <w:lvlJc w:val="left"/>
      <w:pPr>
        <w:ind w:left="4133" w:hanging="567"/>
      </w:pPr>
      <w:rPr>
        <w:rFonts w:hint="default"/>
      </w:rPr>
    </w:lvl>
    <w:lvl w:ilvl="5">
      <w:start w:val="1"/>
      <w:numFmt w:val="bullet"/>
      <w:lvlText w:val="•"/>
      <w:lvlJc w:val="left"/>
      <w:pPr>
        <w:ind w:left="4995" w:hanging="567"/>
      </w:pPr>
      <w:rPr>
        <w:rFonts w:hint="default"/>
      </w:rPr>
    </w:lvl>
    <w:lvl w:ilvl="6">
      <w:start w:val="1"/>
      <w:numFmt w:val="bullet"/>
      <w:lvlText w:val="•"/>
      <w:lvlJc w:val="left"/>
      <w:pPr>
        <w:ind w:left="5857" w:hanging="567"/>
      </w:pPr>
      <w:rPr>
        <w:rFonts w:hint="default"/>
      </w:rPr>
    </w:lvl>
    <w:lvl w:ilvl="7">
      <w:start w:val="1"/>
      <w:numFmt w:val="bullet"/>
      <w:lvlText w:val="•"/>
      <w:lvlJc w:val="left"/>
      <w:pPr>
        <w:ind w:left="6720" w:hanging="567"/>
      </w:pPr>
      <w:rPr>
        <w:rFonts w:hint="default"/>
      </w:rPr>
    </w:lvl>
    <w:lvl w:ilvl="8">
      <w:start w:val="1"/>
      <w:numFmt w:val="bullet"/>
      <w:lvlText w:val="•"/>
      <w:lvlJc w:val="left"/>
      <w:pPr>
        <w:ind w:left="7582" w:hanging="567"/>
      </w:pPr>
      <w:rPr>
        <w:rFonts w:hint="default"/>
      </w:rPr>
    </w:lvl>
  </w:abstractNum>
  <w:abstractNum w:abstractNumId="150" w15:restartNumberingAfterBreak="0">
    <w:nsid w:val="5F0A4716"/>
    <w:multiLevelType w:val="multilevel"/>
    <w:tmpl w:val="C0808164"/>
    <w:lvl w:ilvl="0">
      <w:start w:val="7"/>
      <w:numFmt w:val="decimal"/>
      <w:lvlText w:val="%1"/>
      <w:lvlJc w:val="left"/>
      <w:pPr>
        <w:tabs>
          <w:tab w:val="num" w:pos="360"/>
        </w:tabs>
        <w:ind w:left="360" w:hanging="360"/>
      </w:pPr>
      <w:rPr>
        <w:rFonts w:hint="default"/>
        <w:b/>
      </w:rPr>
    </w:lvl>
    <w:lvl w:ilvl="1">
      <w:start w:val="5"/>
      <w:numFmt w:val="decimal"/>
      <w:lvlText w:val="%1.%2"/>
      <w:lvlJc w:val="left"/>
      <w:pPr>
        <w:tabs>
          <w:tab w:val="num" w:pos="643"/>
        </w:tabs>
        <w:ind w:left="643" w:hanging="360"/>
      </w:pPr>
      <w:rPr>
        <w:rFonts w:hint="default"/>
        <w:b/>
      </w:rPr>
    </w:lvl>
    <w:lvl w:ilvl="2">
      <w:start w:val="1"/>
      <w:numFmt w:val="decimal"/>
      <w:lvlText w:val="%1.%2.%3"/>
      <w:lvlJc w:val="left"/>
      <w:pPr>
        <w:tabs>
          <w:tab w:val="num" w:pos="1286"/>
        </w:tabs>
        <w:ind w:left="1286" w:hanging="720"/>
      </w:pPr>
      <w:rPr>
        <w:rFonts w:hint="default"/>
        <w:b/>
      </w:rPr>
    </w:lvl>
    <w:lvl w:ilvl="3">
      <w:start w:val="1"/>
      <w:numFmt w:val="decimal"/>
      <w:lvlText w:val="%1.%2.%3.%4"/>
      <w:lvlJc w:val="left"/>
      <w:pPr>
        <w:tabs>
          <w:tab w:val="num" w:pos="1569"/>
        </w:tabs>
        <w:ind w:left="1569" w:hanging="720"/>
      </w:pPr>
      <w:rPr>
        <w:rFonts w:hint="default"/>
        <w:b/>
      </w:rPr>
    </w:lvl>
    <w:lvl w:ilvl="4">
      <w:start w:val="1"/>
      <w:numFmt w:val="decimal"/>
      <w:lvlText w:val="%1.%2.%3.%4.%5"/>
      <w:lvlJc w:val="left"/>
      <w:pPr>
        <w:tabs>
          <w:tab w:val="num" w:pos="2212"/>
        </w:tabs>
        <w:ind w:left="2212" w:hanging="1080"/>
      </w:pPr>
      <w:rPr>
        <w:rFonts w:hint="default"/>
        <w:b/>
      </w:rPr>
    </w:lvl>
    <w:lvl w:ilvl="5">
      <w:start w:val="1"/>
      <w:numFmt w:val="decimal"/>
      <w:lvlText w:val="%1.%2.%3.%4.%5.%6"/>
      <w:lvlJc w:val="left"/>
      <w:pPr>
        <w:tabs>
          <w:tab w:val="num" w:pos="2495"/>
        </w:tabs>
        <w:ind w:left="2495" w:hanging="1080"/>
      </w:pPr>
      <w:rPr>
        <w:rFonts w:hint="default"/>
        <w:b/>
      </w:rPr>
    </w:lvl>
    <w:lvl w:ilvl="6">
      <w:start w:val="1"/>
      <w:numFmt w:val="decimal"/>
      <w:lvlText w:val="%1.%2.%3.%4.%5.%6.%7"/>
      <w:lvlJc w:val="left"/>
      <w:pPr>
        <w:tabs>
          <w:tab w:val="num" w:pos="3138"/>
        </w:tabs>
        <w:ind w:left="3138" w:hanging="1440"/>
      </w:pPr>
      <w:rPr>
        <w:rFonts w:hint="default"/>
        <w:b/>
      </w:rPr>
    </w:lvl>
    <w:lvl w:ilvl="7">
      <w:start w:val="1"/>
      <w:numFmt w:val="decimal"/>
      <w:lvlText w:val="%1.%2.%3.%4.%5.%6.%7.%8"/>
      <w:lvlJc w:val="left"/>
      <w:pPr>
        <w:tabs>
          <w:tab w:val="num" w:pos="3421"/>
        </w:tabs>
        <w:ind w:left="3421" w:hanging="1440"/>
      </w:pPr>
      <w:rPr>
        <w:rFonts w:hint="default"/>
        <w:b/>
      </w:rPr>
    </w:lvl>
    <w:lvl w:ilvl="8">
      <w:start w:val="1"/>
      <w:numFmt w:val="decimal"/>
      <w:lvlText w:val="%1.%2.%3.%4.%5.%6.%7.%8.%9"/>
      <w:lvlJc w:val="left"/>
      <w:pPr>
        <w:tabs>
          <w:tab w:val="num" w:pos="3704"/>
        </w:tabs>
        <w:ind w:left="3704" w:hanging="1440"/>
      </w:pPr>
      <w:rPr>
        <w:rFonts w:hint="default"/>
        <w:b/>
      </w:rPr>
    </w:lvl>
  </w:abstractNum>
  <w:abstractNum w:abstractNumId="151" w15:restartNumberingAfterBreak="0">
    <w:nsid w:val="5F2A25C5"/>
    <w:multiLevelType w:val="hybridMultilevel"/>
    <w:tmpl w:val="5324F83A"/>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2" w15:restartNumberingAfterBreak="0">
    <w:nsid w:val="5F4C25E2"/>
    <w:multiLevelType w:val="hybridMultilevel"/>
    <w:tmpl w:val="F94C6518"/>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153" w15:restartNumberingAfterBreak="0">
    <w:nsid w:val="60305351"/>
    <w:multiLevelType w:val="hybridMultilevel"/>
    <w:tmpl w:val="4790EEE0"/>
    <w:lvl w:ilvl="0" w:tplc="A50A12F6">
      <w:start w:val="2"/>
      <w:numFmt w:val="decimal"/>
      <w:lvlText w:val="(%1)"/>
      <w:lvlJc w:val="left"/>
      <w:pPr>
        <w:ind w:left="1558" w:hanging="720"/>
      </w:pPr>
      <w:rPr>
        <w:rFonts w:ascii="Calibri" w:eastAsia="Calibri" w:hAnsi="Calibri" w:hint="default"/>
        <w:spacing w:val="-1"/>
        <w:sz w:val="22"/>
        <w:szCs w:val="22"/>
      </w:rPr>
    </w:lvl>
    <w:lvl w:ilvl="1" w:tplc="C48A535E">
      <w:start w:val="1"/>
      <w:numFmt w:val="bullet"/>
      <w:lvlText w:val="•"/>
      <w:lvlJc w:val="left"/>
      <w:pPr>
        <w:ind w:left="2333" w:hanging="720"/>
      </w:pPr>
      <w:rPr>
        <w:rFonts w:hint="default"/>
      </w:rPr>
    </w:lvl>
    <w:lvl w:ilvl="2" w:tplc="9628EDA0">
      <w:start w:val="1"/>
      <w:numFmt w:val="bullet"/>
      <w:lvlText w:val="•"/>
      <w:lvlJc w:val="left"/>
      <w:pPr>
        <w:ind w:left="3108" w:hanging="720"/>
      </w:pPr>
      <w:rPr>
        <w:rFonts w:hint="default"/>
      </w:rPr>
    </w:lvl>
    <w:lvl w:ilvl="3" w:tplc="A27E5A86">
      <w:start w:val="1"/>
      <w:numFmt w:val="bullet"/>
      <w:lvlText w:val="•"/>
      <w:lvlJc w:val="left"/>
      <w:pPr>
        <w:ind w:left="3883" w:hanging="720"/>
      </w:pPr>
      <w:rPr>
        <w:rFonts w:hint="default"/>
      </w:rPr>
    </w:lvl>
    <w:lvl w:ilvl="4" w:tplc="1C542E00">
      <w:start w:val="1"/>
      <w:numFmt w:val="bullet"/>
      <w:lvlText w:val="•"/>
      <w:lvlJc w:val="left"/>
      <w:pPr>
        <w:ind w:left="4657" w:hanging="720"/>
      </w:pPr>
      <w:rPr>
        <w:rFonts w:hint="default"/>
      </w:rPr>
    </w:lvl>
    <w:lvl w:ilvl="5" w:tplc="365A7496">
      <w:start w:val="1"/>
      <w:numFmt w:val="bullet"/>
      <w:lvlText w:val="•"/>
      <w:lvlJc w:val="left"/>
      <w:pPr>
        <w:ind w:left="5432" w:hanging="720"/>
      </w:pPr>
      <w:rPr>
        <w:rFonts w:hint="default"/>
      </w:rPr>
    </w:lvl>
    <w:lvl w:ilvl="6" w:tplc="13C0021E">
      <w:start w:val="1"/>
      <w:numFmt w:val="bullet"/>
      <w:lvlText w:val="•"/>
      <w:lvlJc w:val="left"/>
      <w:pPr>
        <w:ind w:left="6207" w:hanging="720"/>
      </w:pPr>
      <w:rPr>
        <w:rFonts w:hint="default"/>
      </w:rPr>
    </w:lvl>
    <w:lvl w:ilvl="7" w:tplc="9C224098">
      <w:start w:val="1"/>
      <w:numFmt w:val="bullet"/>
      <w:lvlText w:val="•"/>
      <w:lvlJc w:val="left"/>
      <w:pPr>
        <w:ind w:left="6982" w:hanging="720"/>
      </w:pPr>
      <w:rPr>
        <w:rFonts w:hint="default"/>
      </w:rPr>
    </w:lvl>
    <w:lvl w:ilvl="8" w:tplc="5706E4CE">
      <w:start w:val="1"/>
      <w:numFmt w:val="bullet"/>
      <w:lvlText w:val="•"/>
      <w:lvlJc w:val="left"/>
      <w:pPr>
        <w:ind w:left="7756" w:hanging="720"/>
      </w:pPr>
      <w:rPr>
        <w:rFonts w:hint="default"/>
      </w:rPr>
    </w:lvl>
  </w:abstractNum>
  <w:abstractNum w:abstractNumId="154" w15:restartNumberingAfterBreak="0">
    <w:nsid w:val="60F84CC4"/>
    <w:multiLevelType w:val="hybridMultilevel"/>
    <w:tmpl w:val="77C092D4"/>
    <w:lvl w:ilvl="0" w:tplc="0C090017">
      <w:start w:val="1"/>
      <w:numFmt w:val="lowerLetter"/>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55" w15:restartNumberingAfterBreak="0">
    <w:nsid w:val="631A2AD6"/>
    <w:multiLevelType w:val="hybridMultilevel"/>
    <w:tmpl w:val="26922F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6" w15:restartNumberingAfterBreak="0">
    <w:nsid w:val="640E38B5"/>
    <w:multiLevelType w:val="hybridMultilevel"/>
    <w:tmpl w:val="6CEC2E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7" w15:restartNumberingAfterBreak="0">
    <w:nsid w:val="642654AA"/>
    <w:multiLevelType w:val="hybridMultilevel"/>
    <w:tmpl w:val="6BC841D0"/>
    <w:lvl w:ilvl="0" w:tplc="1446366E">
      <w:start w:val="1"/>
      <w:numFmt w:val="bullet"/>
      <w:lvlText w:val=""/>
      <w:lvlJc w:val="left"/>
      <w:pPr>
        <w:ind w:left="831" w:hanging="356"/>
      </w:pPr>
      <w:rPr>
        <w:rFonts w:ascii="Symbol" w:eastAsia="Symbol" w:hAnsi="Symbol" w:hint="default"/>
        <w:sz w:val="22"/>
        <w:szCs w:val="22"/>
      </w:rPr>
    </w:lvl>
    <w:lvl w:ilvl="1" w:tplc="87486220">
      <w:start w:val="1"/>
      <w:numFmt w:val="bullet"/>
      <w:lvlText w:val="•"/>
      <w:lvlJc w:val="left"/>
      <w:pPr>
        <w:ind w:left="1679" w:hanging="356"/>
      </w:pPr>
      <w:rPr>
        <w:rFonts w:hint="default"/>
      </w:rPr>
    </w:lvl>
    <w:lvl w:ilvl="2" w:tplc="D15431AE">
      <w:start w:val="1"/>
      <w:numFmt w:val="bullet"/>
      <w:lvlText w:val="•"/>
      <w:lvlJc w:val="left"/>
      <w:pPr>
        <w:ind w:left="2526" w:hanging="356"/>
      </w:pPr>
      <w:rPr>
        <w:rFonts w:hint="default"/>
      </w:rPr>
    </w:lvl>
    <w:lvl w:ilvl="3" w:tplc="61BAA4C6">
      <w:start w:val="1"/>
      <w:numFmt w:val="bullet"/>
      <w:lvlText w:val="•"/>
      <w:lvlJc w:val="left"/>
      <w:pPr>
        <w:ind w:left="3374" w:hanging="356"/>
      </w:pPr>
      <w:rPr>
        <w:rFonts w:hint="default"/>
      </w:rPr>
    </w:lvl>
    <w:lvl w:ilvl="4" w:tplc="F164273A">
      <w:start w:val="1"/>
      <w:numFmt w:val="bullet"/>
      <w:lvlText w:val="•"/>
      <w:lvlJc w:val="left"/>
      <w:pPr>
        <w:ind w:left="4221" w:hanging="356"/>
      </w:pPr>
      <w:rPr>
        <w:rFonts w:hint="default"/>
      </w:rPr>
    </w:lvl>
    <w:lvl w:ilvl="5" w:tplc="33AE1FC2">
      <w:start w:val="1"/>
      <w:numFmt w:val="bullet"/>
      <w:lvlText w:val="•"/>
      <w:lvlJc w:val="left"/>
      <w:pPr>
        <w:ind w:left="5069" w:hanging="356"/>
      </w:pPr>
      <w:rPr>
        <w:rFonts w:hint="default"/>
      </w:rPr>
    </w:lvl>
    <w:lvl w:ilvl="6" w:tplc="A1304C82">
      <w:start w:val="1"/>
      <w:numFmt w:val="bullet"/>
      <w:lvlText w:val="•"/>
      <w:lvlJc w:val="left"/>
      <w:pPr>
        <w:ind w:left="5916" w:hanging="356"/>
      </w:pPr>
      <w:rPr>
        <w:rFonts w:hint="default"/>
      </w:rPr>
    </w:lvl>
    <w:lvl w:ilvl="7" w:tplc="A7281324">
      <w:start w:val="1"/>
      <w:numFmt w:val="bullet"/>
      <w:lvlText w:val="•"/>
      <w:lvlJc w:val="left"/>
      <w:pPr>
        <w:ind w:left="6763" w:hanging="356"/>
      </w:pPr>
      <w:rPr>
        <w:rFonts w:hint="default"/>
      </w:rPr>
    </w:lvl>
    <w:lvl w:ilvl="8" w:tplc="B8A40388">
      <w:start w:val="1"/>
      <w:numFmt w:val="bullet"/>
      <w:lvlText w:val="•"/>
      <w:lvlJc w:val="left"/>
      <w:pPr>
        <w:ind w:left="7611" w:hanging="356"/>
      </w:pPr>
      <w:rPr>
        <w:rFonts w:hint="default"/>
      </w:rPr>
    </w:lvl>
  </w:abstractNum>
  <w:abstractNum w:abstractNumId="158" w15:restartNumberingAfterBreak="0">
    <w:nsid w:val="649334D7"/>
    <w:multiLevelType w:val="hybridMultilevel"/>
    <w:tmpl w:val="84D093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9" w15:restartNumberingAfterBreak="0">
    <w:nsid w:val="64D80793"/>
    <w:multiLevelType w:val="hybridMultilevel"/>
    <w:tmpl w:val="7DDE53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0" w15:restartNumberingAfterBreak="0">
    <w:nsid w:val="6589754B"/>
    <w:multiLevelType w:val="multilevel"/>
    <w:tmpl w:val="9AE0F58A"/>
    <w:lvl w:ilvl="0">
      <w:start w:val="8"/>
      <w:numFmt w:val="decimal"/>
      <w:lvlText w:val="%1"/>
      <w:lvlJc w:val="left"/>
      <w:pPr>
        <w:ind w:left="838" w:hanging="720"/>
      </w:pPr>
      <w:rPr>
        <w:rFonts w:hint="default"/>
      </w:rPr>
    </w:lvl>
    <w:lvl w:ilvl="1">
      <w:start w:val="5"/>
      <w:numFmt w:val="decimal"/>
      <w:lvlText w:val="%1.%2"/>
      <w:lvlJc w:val="left"/>
      <w:pPr>
        <w:ind w:left="838" w:hanging="720"/>
      </w:pPr>
      <w:rPr>
        <w:rFonts w:ascii="Arial" w:eastAsia="Arial" w:hAnsi="Arial" w:hint="default"/>
        <w:b/>
        <w:bCs/>
        <w:sz w:val="24"/>
        <w:szCs w:val="24"/>
      </w:rPr>
    </w:lvl>
    <w:lvl w:ilvl="2">
      <w:start w:val="1"/>
      <w:numFmt w:val="bullet"/>
      <w:lvlText w:val=""/>
      <w:lvlJc w:val="left"/>
      <w:pPr>
        <w:ind w:left="118" w:hanging="360"/>
      </w:pPr>
      <w:rPr>
        <w:rFonts w:ascii="Symbol" w:eastAsia="Symbol" w:hAnsi="Symbol" w:hint="default"/>
        <w:w w:val="99"/>
        <w:sz w:val="20"/>
        <w:szCs w:val="20"/>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543" w:hanging="360"/>
      </w:pPr>
      <w:rPr>
        <w:rFonts w:hint="default"/>
      </w:rPr>
    </w:lvl>
    <w:lvl w:ilvl="7">
      <w:start w:val="1"/>
      <w:numFmt w:val="bullet"/>
      <w:lvlText w:val="•"/>
      <w:lvlJc w:val="left"/>
      <w:pPr>
        <w:ind w:left="6483" w:hanging="360"/>
      </w:pPr>
      <w:rPr>
        <w:rFonts w:hint="default"/>
      </w:rPr>
    </w:lvl>
    <w:lvl w:ilvl="8">
      <w:start w:val="1"/>
      <w:numFmt w:val="bullet"/>
      <w:lvlText w:val="•"/>
      <w:lvlJc w:val="left"/>
      <w:pPr>
        <w:ind w:left="7424" w:hanging="360"/>
      </w:pPr>
      <w:rPr>
        <w:rFonts w:hint="default"/>
      </w:rPr>
    </w:lvl>
  </w:abstractNum>
  <w:abstractNum w:abstractNumId="161" w15:restartNumberingAfterBreak="0">
    <w:nsid w:val="65912FE7"/>
    <w:multiLevelType w:val="hybridMultilevel"/>
    <w:tmpl w:val="EE3859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3">
      <w:start w:val="1"/>
      <w:numFmt w:val="bullet"/>
      <w:lvlText w:val="o"/>
      <w:lvlJc w:val="left"/>
      <w:pPr>
        <w:ind w:left="2880" w:hanging="360"/>
      </w:pPr>
      <w:rPr>
        <w:rFonts w:ascii="Courier New" w:hAnsi="Courier New" w:cs="Courier New"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2" w15:restartNumberingAfterBreak="0">
    <w:nsid w:val="668A0616"/>
    <w:multiLevelType w:val="hybridMultilevel"/>
    <w:tmpl w:val="4002E0A4"/>
    <w:lvl w:ilvl="0" w:tplc="A088FDC6">
      <w:start w:val="1"/>
      <w:numFmt w:val="bullet"/>
      <w:lvlText w:val=""/>
      <w:lvlJc w:val="left"/>
      <w:pPr>
        <w:ind w:left="460" w:hanging="360"/>
      </w:pPr>
      <w:rPr>
        <w:rFonts w:ascii="Symbol" w:eastAsia="Symbol" w:hAnsi="Symbol" w:hint="default"/>
        <w:w w:val="99"/>
        <w:sz w:val="20"/>
        <w:szCs w:val="20"/>
      </w:rPr>
    </w:lvl>
    <w:lvl w:ilvl="1" w:tplc="61D46794">
      <w:start w:val="1"/>
      <w:numFmt w:val="bullet"/>
      <w:lvlText w:val="•"/>
      <w:lvlJc w:val="left"/>
      <w:pPr>
        <w:ind w:left="460" w:hanging="360"/>
      </w:pPr>
      <w:rPr>
        <w:rFonts w:hint="default"/>
      </w:rPr>
    </w:lvl>
    <w:lvl w:ilvl="2" w:tplc="1C3EBC04">
      <w:start w:val="1"/>
      <w:numFmt w:val="bullet"/>
      <w:lvlText w:val="•"/>
      <w:lvlJc w:val="left"/>
      <w:pPr>
        <w:ind w:left="1438" w:hanging="360"/>
      </w:pPr>
      <w:rPr>
        <w:rFonts w:hint="default"/>
      </w:rPr>
    </w:lvl>
    <w:lvl w:ilvl="3" w:tplc="85B88E14">
      <w:start w:val="1"/>
      <w:numFmt w:val="bullet"/>
      <w:lvlText w:val="•"/>
      <w:lvlJc w:val="left"/>
      <w:pPr>
        <w:ind w:left="2417" w:hanging="360"/>
      </w:pPr>
      <w:rPr>
        <w:rFonts w:hint="default"/>
      </w:rPr>
    </w:lvl>
    <w:lvl w:ilvl="4" w:tplc="F7788250">
      <w:start w:val="1"/>
      <w:numFmt w:val="bullet"/>
      <w:lvlText w:val="•"/>
      <w:lvlJc w:val="left"/>
      <w:pPr>
        <w:ind w:left="3395" w:hanging="360"/>
      </w:pPr>
      <w:rPr>
        <w:rFonts w:hint="default"/>
      </w:rPr>
    </w:lvl>
    <w:lvl w:ilvl="5" w:tplc="B08EE56C">
      <w:start w:val="1"/>
      <w:numFmt w:val="bullet"/>
      <w:lvlText w:val="•"/>
      <w:lvlJc w:val="left"/>
      <w:pPr>
        <w:ind w:left="4374" w:hanging="360"/>
      </w:pPr>
      <w:rPr>
        <w:rFonts w:hint="default"/>
      </w:rPr>
    </w:lvl>
    <w:lvl w:ilvl="6" w:tplc="E1CCF360">
      <w:start w:val="1"/>
      <w:numFmt w:val="bullet"/>
      <w:lvlText w:val="•"/>
      <w:lvlJc w:val="left"/>
      <w:pPr>
        <w:ind w:left="5352" w:hanging="360"/>
      </w:pPr>
      <w:rPr>
        <w:rFonts w:hint="default"/>
      </w:rPr>
    </w:lvl>
    <w:lvl w:ilvl="7" w:tplc="2C66989C">
      <w:start w:val="1"/>
      <w:numFmt w:val="bullet"/>
      <w:lvlText w:val="•"/>
      <w:lvlJc w:val="left"/>
      <w:pPr>
        <w:ind w:left="6331" w:hanging="360"/>
      </w:pPr>
      <w:rPr>
        <w:rFonts w:hint="default"/>
      </w:rPr>
    </w:lvl>
    <w:lvl w:ilvl="8" w:tplc="42F2AD54">
      <w:start w:val="1"/>
      <w:numFmt w:val="bullet"/>
      <w:lvlText w:val="•"/>
      <w:lvlJc w:val="left"/>
      <w:pPr>
        <w:ind w:left="7309" w:hanging="360"/>
      </w:pPr>
      <w:rPr>
        <w:rFonts w:hint="default"/>
      </w:rPr>
    </w:lvl>
  </w:abstractNum>
  <w:abstractNum w:abstractNumId="163" w15:restartNumberingAfterBreak="0">
    <w:nsid w:val="66F21FEF"/>
    <w:multiLevelType w:val="hybridMultilevel"/>
    <w:tmpl w:val="716CBF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4" w15:restartNumberingAfterBreak="0">
    <w:nsid w:val="677D67F4"/>
    <w:multiLevelType w:val="hybridMultilevel"/>
    <w:tmpl w:val="B0623BF8"/>
    <w:lvl w:ilvl="0" w:tplc="0210A014">
      <w:start w:val="1"/>
      <w:numFmt w:val="bullet"/>
      <w:lvlText w:val=""/>
      <w:lvlJc w:val="left"/>
      <w:pPr>
        <w:tabs>
          <w:tab w:val="num" w:pos="720"/>
        </w:tabs>
        <w:ind w:left="720" w:hanging="360"/>
      </w:pPr>
      <w:rPr>
        <w:rFonts w:ascii="Symbol" w:hAnsi="Symbol" w:hint="default"/>
        <w:sz w:val="20"/>
      </w:rPr>
    </w:lvl>
    <w:lvl w:ilvl="1" w:tplc="3DD687CC">
      <w:numFmt w:val="bullet"/>
      <w:lvlText w:val="-"/>
      <w:lvlJc w:val="left"/>
      <w:pPr>
        <w:tabs>
          <w:tab w:val="num" w:pos="1440"/>
        </w:tabs>
        <w:ind w:left="1440" w:hanging="360"/>
      </w:pPr>
      <w:rPr>
        <w:rFonts w:ascii="Times New Roman" w:eastAsia="Times New Roman" w:hAnsi="Times New Roman"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5" w15:restartNumberingAfterBreak="0">
    <w:nsid w:val="677F3EEE"/>
    <w:multiLevelType w:val="hybridMultilevel"/>
    <w:tmpl w:val="FBA8E8C6"/>
    <w:lvl w:ilvl="0" w:tplc="9C9222EA">
      <w:start w:val="1"/>
      <w:numFmt w:val="decimal"/>
      <w:lvlText w:val="%1."/>
      <w:lvlJc w:val="left"/>
      <w:pPr>
        <w:ind w:left="422" w:hanging="284"/>
      </w:pPr>
      <w:rPr>
        <w:rFonts w:ascii="Calibri" w:eastAsia="Calibri" w:hAnsi="Calibri" w:hint="default"/>
        <w:sz w:val="22"/>
        <w:szCs w:val="22"/>
      </w:rPr>
    </w:lvl>
    <w:lvl w:ilvl="1" w:tplc="D24E7F6A">
      <w:start w:val="1"/>
      <w:numFmt w:val="bullet"/>
      <w:lvlText w:val="•"/>
      <w:lvlJc w:val="left"/>
      <w:pPr>
        <w:ind w:left="1314" w:hanging="284"/>
      </w:pPr>
      <w:rPr>
        <w:rFonts w:hint="default"/>
      </w:rPr>
    </w:lvl>
    <w:lvl w:ilvl="2" w:tplc="A49A4A8C">
      <w:start w:val="1"/>
      <w:numFmt w:val="bullet"/>
      <w:lvlText w:val="•"/>
      <w:lvlJc w:val="left"/>
      <w:pPr>
        <w:ind w:left="2206" w:hanging="284"/>
      </w:pPr>
      <w:rPr>
        <w:rFonts w:hint="default"/>
      </w:rPr>
    </w:lvl>
    <w:lvl w:ilvl="3" w:tplc="31584A94">
      <w:start w:val="1"/>
      <w:numFmt w:val="bullet"/>
      <w:lvlText w:val="•"/>
      <w:lvlJc w:val="left"/>
      <w:pPr>
        <w:ind w:left="3099" w:hanging="284"/>
      </w:pPr>
      <w:rPr>
        <w:rFonts w:hint="default"/>
      </w:rPr>
    </w:lvl>
    <w:lvl w:ilvl="4" w:tplc="5DE48DD8">
      <w:start w:val="1"/>
      <w:numFmt w:val="bullet"/>
      <w:lvlText w:val="•"/>
      <w:lvlJc w:val="left"/>
      <w:pPr>
        <w:ind w:left="3991" w:hanging="284"/>
      </w:pPr>
      <w:rPr>
        <w:rFonts w:hint="default"/>
      </w:rPr>
    </w:lvl>
    <w:lvl w:ilvl="5" w:tplc="31A6385C">
      <w:start w:val="1"/>
      <w:numFmt w:val="bullet"/>
      <w:lvlText w:val="•"/>
      <w:lvlJc w:val="left"/>
      <w:pPr>
        <w:ind w:left="4884" w:hanging="284"/>
      </w:pPr>
      <w:rPr>
        <w:rFonts w:hint="default"/>
      </w:rPr>
    </w:lvl>
    <w:lvl w:ilvl="6" w:tplc="96F241E4">
      <w:start w:val="1"/>
      <w:numFmt w:val="bullet"/>
      <w:lvlText w:val="•"/>
      <w:lvlJc w:val="left"/>
      <w:pPr>
        <w:ind w:left="5776" w:hanging="284"/>
      </w:pPr>
      <w:rPr>
        <w:rFonts w:hint="default"/>
      </w:rPr>
    </w:lvl>
    <w:lvl w:ilvl="7" w:tplc="59AEC784">
      <w:start w:val="1"/>
      <w:numFmt w:val="bullet"/>
      <w:lvlText w:val="•"/>
      <w:lvlJc w:val="left"/>
      <w:pPr>
        <w:ind w:left="6669" w:hanging="284"/>
      </w:pPr>
      <w:rPr>
        <w:rFonts w:hint="default"/>
      </w:rPr>
    </w:lvl>
    <w:lvl w:ilvl="8" w:tplc="A6CA316C">
      <w:start w:val="1"/>
      <w:numFmt w:val="bullet"/>
      <w:lvlText w:val="•"/>
      <w:lvlJc w:val="left"/>
      <w:pPr>
        <w:ind w:left="7561" w:hanging="284"/>
      </w:pPr>
      <w:rPr>
        <w:rFonts w:hint="default"/>
      </w:rPr>
    </w:lvl>
  </w:abstractNum>
  <w:abstractNum w:abstractNumId="166" w15:restartNumberingAfterBreak="0">
    <w:nsid w:val="67810423"/>
    <w:multiLevelType w:val="hybridMultilevel"/>
    <w:tmpl w:val="2802352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7" w15:restartNumberingAfterBreak="0">
    <w:nsid w:val="678C36E1"/>
    <w:multiLevelType w:val="hybridMultilevel"/>
    <w:tmpl w:val="3AF638B6"/>
    <w:lvl w:ilvl="0" w:tplc="095AFAF2">
      <w:start w:val="1"/>
      <w:numFmt w:val="decimal"/>
      <w:lvlText w:val="%1."/>
      <w:lvlJc w:val="left"/>
      <w:pPr>
        <w:ind w:left="570" w:hanging="428"/>
      </w:pPr>
      <w:rPr>
        <w:rFonts w:ascii="Calibri" w:eastAsia="Calibri" w:hAnsi="Calibri" w:hint="default"/>
        <w:sz w:val="22"/>
        <w:szCs w:val="22"/>
      </w:rPr>
    </w:lvl>
    <w:lvl w:ilvl="1" w:tplc="B92A0950">
      <w:start w:val="1"/>
      <w:numFmt w:val="bullet"/>
      <w:lvlText w:val="•"/>
      <w:lvlJc w:val="left"/>
      <w:pPr>
        <w:ind w:left="1422" w:hanging="428"/>
      </w:pPr>
      <w:rPr>
        <w:rFonts w:hint="default"/>
      </w:rPr>
    </w:lvl>
    <w:lvl w:ilvl="2" w:tplc="C4325DF6">
      <w:start w:val="1"/>
      <w:numFmt w:val="bullet"/>
      <w:lvlText w:val="•"/>
      <w:lvlJc w:val="left"/>
      <w:pPr>
        <w:ind w:left="2298" w:hanging="428"/>
      </w:pPr>
      <w:rPr>
        <w:rFonts w:hint="default"/>
      </w:rPr>
    </w:lvl>
    <w:lvl w:ilvl="3" w:tplc="FF46D9BE">
      <w:start w:val="1"/>
      <w:numFmt w:val="bullet"/>
      <w:lvlText w:val="•"/>
      <w:lvlJc w:val="left"/>
      <w:pPr>
        <w:ind w:left="3174" w:hanging="428"/>
      </w:pPr>
      <w:rPr>
        <w:rFonts w:hint="default"/>
      </w:rPr>
    </w:lvl>
    <w:lvl w:ilvl="4" w:tplc="CF12954C">
      <w:start w:val="1"/>
      <w:numFmt w:val="bullet"/>
      <w:lvlText w:val="•"/>
      <w:lvlJc w:val="left"/>
      <w:pPr>
        <w:ind w:left="4050" w:hanging="428"/>
      </w:pPr>
      <w:rPr>
        <w:rFonts w:hint="default"/>
      </w:rPr>
    </w:lvl>
    <w:lvl w:ilvl="5" w:tplc="ECD4069E">
      <w:start w:val="1"/>
      <w:numFmt w:val="bullet"/>
      <w:lvlText w:val="•"/>
      <w:lvlJc w:val="left"/>
      <w:pPr>
        <w:ind w:left="4926" w:hanging="428"/>
      </w:pPr>
      <w:rPr>
        <w:rFonts w:hint="default"/>
      </w:rPr>
    </w:lvl>
    <w:lvl w:ilvl="6" w:tplc="5992A6B6">
      <w:start w:val="1"/>
      <w:numFmt w:val="bullet"/>
      <w:lvlText w:val="•"/>
      <w:lvlJc w:val="left"/>
      <w:pPr>
        <w:ind w:left="5802" w:hanging="428"/>
      </w:pPr>
      <w:rPr>
        <w:rFonts w:hint="default"/>
      </w:rPr>
    </w:lvl>
    <w:lvl w:ilvl="7" w:tplc="160C4084">
      <w:start w:val="1"/>
      <w:numFmt w:val="bullet"/>
      <w:lvlText w:val="•"/>
      <w:lvlJc w:val="left"/>
      <w:pPr>
        <w:ind w:left="6678" w:hanging="428"/>
      </w:pPr>
      <w:rPr>
        <w:rFonts w:hint="default"/>
      </w:rPr>
    </w:lvl>
    <w:lvl w:ilvl="8" w:tplc="8D8EFADE">
      <w:start w:val="1"/>
      <w:numFmt w:val="bullet"/>
      <w:lvlText w:val="•"/>
      <w:lvlJc w:val="left"/>
      <w:pPr>
        <w:ind w:left="7554" w:hanging="428"/>
      </w:pPr>
      <w:rPr>
        <w:rFonts w:hint="default"/>
      </w:rPr>
    </w:lvl>
  </w:abstractNum>
  <w:abstractNum w:abstractNumId="168" w15:restartNumberingAfterBreak="0">
    <w:nsid w:val="68D90750"/>
    <w:multiLevelType w:val="hybridMultilevel"/>
    <w:tmpl w:val="68A269D0"/>
    <w:lvl w:ilvl="0" w:tplc="DCFC3FCC">
      <w:start w:val="1"/>
      <w:numFmt w:val="decimal"/>
      <w:lvlText w:val="%1."/>
      <w:lvlJc w:val="left"/>
      <w:pPr>
        <w:ind w:left="478" w:hanging="360"/>
      </w:pPr>
      <w:rPr>
        <w:rFonts w:ascii="Calibri" w:eastAsia="Calibri" w:hAnsi="Calibri" w:hint="default"/>
        <w:sz w:val="22"/>
        <w:szCs w:val="22"/>
      </w:rPr>
    </w:lvl>
    <w:lvl w:ilvl="1" w:tplc="CCC89EFC">
      <w:start w:val="1"/>
      <w:numFmt w:val="lowerLetter"/>
      <w:lvlText w:val="%2."/>
      <w:lvlJc w:val="left"/>
      <w:pPr>
        <w:ind w:left="1198" w:hanging="360"/>
      </w:pPr>
      <w:rPr>
        <w:rFonts w:ascii="Calibri" w:eastAsia="Calibri" w:hAnsi="Calibri" w:hint="default"/>
        <w:spacing w:val="-1"/>
        <w:sz w:val="22"/>
        <w:szCs w:val="22"/>
      </w:rPr>
    </w:lvl>
    <w:lvl w:ilvl="2" w:tplc="B546DC90">
      <w:start w:val="1"/>
      <w:numFmt w:val="bullet"/>
      <w:lvlText w:val="•"/>
      <w:lvlJc w:val="left"/>
      <w:pPr>
        <w:ind w:left="2099" w:hanging="360"/>
      </w:pPr>
      <w:rPr>
        <w:rFonts w:hint="default"/>
      </w:rPr>
    </w:lvl>
    <w:lvl w:ilvl="3" w:tplc="0BDEB05C">
      <w:start w:val="1"/>
      <w:numFmt w:val="bullet"/>
      <w:lvlText w:val="•"/>
      <w:lvlJc w:val="left"/>
      <w:pPr>
        <w:ind w:left="3000" w:hanging="360"/>
      </w:pPr>
      <w:rPr>
        <w:rFonts w:hint="default"/>
      </w:rPr>
    </w:lvl>
    <w:lvl w:ilvl="4" w:tplc="383EED50">
      <w:start w:val="1"/>
      <w:numFmt w:val="bullet"/>
      <w:lvlText w:val="•"/>
      <w:lvlJc w:val="left"/>
      <w:pPr>
        <w:ind w:left="3901" w:hanging="360"/>
      </w:pPr>
      <w:rPr>
        <w:rFonts w:hint="default"/>
      </w:rPr>
    </w:lvl>
    <w:lvl w:ilvl="5" w:tplc="A8D6907A">
      <w:start w:val="1"/>
      <w:numFmt w:val="bullet"/>
      <w:lvlText w:val="•"/>
      <w:lvlJc w:val="left"/>
      <w:pPr>
        <w:ind w:left="4802" w:hanging="360"/>
      </w:pPr>
      <w:rPr>
        <w:rFonts w:hint="default"/>
      </w:rPr>
    </w:lvl>
    <w:lvl w:ilvl="6" w:tplc="0A106CDC">
      <w:start w:val="1"/>
      <w:numFmt w:val="bullet"/>
      <w:lvlText w:val="•"/>
      <w:lvlJc w:val="left"/>
      <w:pPr>
        <w:ind w:left="5703" w:hanging="360"/>
      </w:pPr>
      <w:rPr>
        <w:rFonts w:hint="default"/>
      </w:rPr>
    </w:lvl>
    <w:lvl w:ilvl="7" w:tplc="8B48ADF6">
      <w:start w:val="1"/>
      <w:numFmt w:val="bullet"/>
      <w:lvlText w:val="•"/>
      <w:lvlJc w:val="left"/>
      <w:pPr>
        <w:ind w:left="6603" w:hanging="360"/>
      </w:pPr>
      <w:rPr>
        <w:rFonts w:hint="default"/>
      </w:rPr>
    </w:lvl>
    <w:lvl w:ilvl="8" w:tplc="2F9AB1A2">
      <w:start w:val="1"/>
      <w:numFmt w:val="bullet"/>
      <w:lvlText w:val="•"/>
      <w:lvlJc w:val="left"/>
      <w:pPr>
        <w:ind w:left="7504" w:hanging="360"/>
      </w:pPr>
      <w:rPr>
        <w:rFonts w:hint="default"/>
      </w:rPr>
    </w:lvl>
  </w:abstractNum>
  <w:abstractNum w:abstractNumId="169" w15:restartNumberingAfterBreak="0">
    <w:nsid w:val="69181C3C"/>
    <w:multiLevelType w:val="hybridMultilevel"/>
    <w:tmpl w:val="882C64D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70" w15:restartNumberingAfterBreak="0">
    <w:nsid w:val="6B0C0518"/>
    <w:multiLevelType w:val="hybridMultilevel"/>
    <w:tmpl w:val="FBFEC9AE"/>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360" w:hanging="360"/>
      </w:pPr>
      <w:rPr>
        <w:rFonts w:ascii="Courier New" w:hAnsi="Courier New" w:cs="Courier New" w:hint="default"/>
      </w:rPr>
    </w:lvl>
    <w:lvl w:ilvl="2" w:tplc="0C090005">
      <w:start w:val="1"/>
      <w:numFmt w:val="bullet"/>
      <w:lvlText w:val=""/>
      <w:lvlJc w:val="left"/>
      <w:pPr>
        <w:ind w:left="1080" w:hanging="360"/>
      </w:pPr>
      <w:rPr>
        <w:rFonts w:ascii="Wingdings" w:hAnsi="Wingdings" w:hint="default"/>
      </w:rPr>
    </w:lvl>
    <w:lvl w:ilvl="3" w:tplc="0C090003">
      <w:start w:val="1"/>
      <w:numFmt w:val="bullet"/>
      <w:lvlText w:val="o"/>
      <w:lvlJc w:val="left"/>
      <w:pPr>
        <w:ind w:left="1800" w:hanging="360"/>
      </w:pPr>
      <w:rPr>
        <w:rFonts w:ascii="Courier New" w:hAnsi="Courier New" w:cs="Courier New" w:hint="default"/>
      </w:rPr>
    </w:lvl>
    <w:lvl w:ilvl="4" w:tplc="0C090003" w:tentative="1">
      <w:start w:val="1"/>
      <w:numFmt w:val="bullet"/>
      <w:lvlText w:val="o"/>
      <w:lvlJc w:val="left"/>
      <w:pPr>
        <w:ind w:left="2520" w:hanging="360"/>
      </w:pPr>
      <w:rPr>
        <w:rFonts w:ascii="Courier New" w:hAnsi="Courier New" w:cs="Courier New" w:hint="default"/>
      </w:rPr>
    </w:lvl>
    <w:lvl w:ilvl="5" w:tplc="0C090005" w:tentative="1">
      <w:start w:val="1"/>
      <w:numFmt w:val="bullet"/>
      <w:lvlText w:val=""/>
      <w:lvlJc w:val="left"/>
      <w:pPr>
        <w:ind w:left="3240" w:hanging="360"/>
      </w:pPr>
      <w:rPr>
        <w:rFonts w:ascii="Wingdings" w:hAnsi="Wingdings" w:hint="default"/>
      </w:rPr>
    </w:lvl>
    <w:lvl w:ilvl="6" w:tplc="0C090001" w:tentative="1">
      <w:start w:val="1"/>
      <w:numFmt w:val="bullet"/>
      <w:lvlText w:val=""/>
      <w:lvlJc w:val="left"/>
      <w:pPr>
        <w:ind w:left="3960" w:hanging="360"/>
      </w:pPr>
      <w:rPr>
        <w:rFonts w:ascii="Symbol" w:hAnsi="Symbol" w:hint="default"/>
      </w:rPr>
    </w:lvl>
    <w:lvl w:ilvl="7" w:tplc="0C090003" w:tentative="1">
      <w:start w:val="1"/>
      <w:numFmt w:val="bullet"/>
      <w:lvlText w:val="o"/>
      <w:lvlJc w:val="left"/>
      <w:pPr>
        <w:ind w:left="4680" w:hanging="360"/>
      </w:pPr>
      <w:rPr>
        <w:rFonts w:ascii="Courier New" w:hAnsi="Courier New" w:cs="Courier New" w:hint="default"/>
      </w:rPr>
    </w:lvl>
    <w:lvl w:ilvl="8" w:tplc="0C090005" w:tentative="1">
      <w:start w:val="1"/>
      <w:numFmt w:val="bullet"/>
      <w:lvlText w:val=""/>
      <w:lvlJc w:val="left"/>
      <w:pPr>
        <w:ind w:left="5400" w:hanging="360"/>
      </w:pPr>
      <w:rPr>
        <w:rFonts w:ascii="Wingdings" w:hAnsi="Wingdings" w:hint="default"/>
      </w:rPr>
    </w:lvl>
  </w:abstractNum>
  <w:abstractNum w:abstractNumId="171" w15:restartNumberingAfterBreak="0">
    <w:nsid w:val="6B42114D"/>
    <w:multiLevelType w:val="hybridMultilevel"/>
    <w:tmpl w:val="FA927920"/>
    <w:lvl w:ilvl="0" w:tplc="2E666664">
      <w:start w:val="1"/>
      <w:numFmt w:val="bullet"/>
      <w:lvlText w:val=""/>
      <w:lvlJc w:val="left"/>
      <w:pPr>
        <w:ind w:left="402" w:hanging="284"/>
      </w:pPr>
      <w:rPr>
        <w:rFonts w:ascii="Symbol" w:eastAsia="Symbol" w:hAnsi="Symbol" w:hint="default"/>
        <w:w w:val="99"/>
        <w:sz w:val="20"/>
        <w:szCs w:val="20"/>
      </w:rPr>
    </w:lvl>
    <w:lvl w:ilvl="1" w:tplc="6B980614">
      <w:start w:val="1"/>
      <w:numFmt w:val="bullet"/>
      <w:lvlText w:val="•"/>
      <w:lvlJc w:val="left"/>
      <w:pPr>
        <w:ind w:left="1292" w:hanging="284"/>
      </w:pPr>
      <w:rPr>
        <w:rFonts w:hint="default"/>
      </w:rPr>
    </w:lvl>
    <w:lvl w:ilvl="2" w:tplc="A0B0E8EE">
      <w:start w:val="1"/>
      <w:numFmt w:val="bullet"/>
      <w:lvlText w:val="•"/>
      <w:lvlJc w:val="left"/>
      <w:pPr>
        <w:ind w:left="2182" w:hanging="284"/>
      </w:pPr>
      <w:rPr>
        <w:rFonts w:hint="default"/>
      </w:rPr>
    </w:lvl>
    <w:lvl w:ilvl="3" w:tplc="7F4E68C8">
      <w:start w:val="1"/>
      <w:numFmt w:val="bullet"/>
      <w:lvlText w:val="•"/>
      <w:lvlJc w:val="left"/>
      <w:pPr>
        <w:ind w:left="3073" w:hanging="284"/>
      </w:pPr>
      <w:rPr>
        <w:rFonts w:hint="default"/>
      </w:rPr>
    </w:lvl>
    <w:lvl w:ilvl="4" w:tplc="4C723ED8">
      <w:start w:val="1"/>
      <w:numFmt w:val="bullet"/>
      <w:lvlText w:val="•"/>
      <w:lvlJc w:val="left"/>
      <w:pPr>
        <w:ind w:left="3963" w:hanging="284"/>
      </w:pPr>
      <w:rPr>
        <w:rFonts w:hint="default"/>
      </w:rPr>
    </w:lvl>
    <w:lvl w:ilvl="5" w:tplc="6BA29E34">
      <w:start w:val="1"/>
      <w:numFmt w:val="bullet"/>
      <w:lvlText w:val="•"/>
      <w:lvlJc w:val="left"/>
      <w:pPr>
        <w:ind w:left="4854" w:hanging="284"/>
      </w:pPr>
      <w:rPr>
        <w:rFonts w:hint="default"/>
      </w:rPr>
    </w:lvl>
    <w:lvl w:ilvl="6" w:tplc="B914D016">
      <w:start w:val="1"/>
      <w:numFmt w:val="bullet"/>
      <w:lvlText w:val="•"/>
      <w:lvlJc w:val="left"/>
      <w:pPr>
        <w:ind w:left="5744" w:hanging="284"/>
      </w:pPr>
      <w:rPr>
        <w:rFonts w:hint="default"/>
      </w:rPr>
    </w:lvl>
    <w:lvl w:ilvl="7" w:tplc="586CC2BA">
      <w:start w:val="1"/>
      <w:numFmt w:val="bullet"/>
      <w:lvlText w:val="•"/>
      <w:lvlJc w:val="left"/>
      <w:pPr>
        <w:ind w:left="6635" w:hanging="284"/>
      </w:pPr>
      <w:rPr>
        <w:rFonts w:hint="default"/>
      </w:rPr>
    </w:lvl>
    <w:lvl w:ilvl="8" w:tplc="F32CA766">
      <w:start w:val="1"/>
      <w:numFmt w:val="bullet"/>
      <w:lvlText w:val="•"/>
      <w:lvlJc w:val="left"/>
      <w:pPr>
        <w:ind w:left="7525" w:hanging="284"/>
      </w:pPr>
      <w:rPr>
        <w:rFonts w:hint="default"/>
      </w:rPr>
    </w:lvl>
  </w:abstractNum>
  <w:abstractNum w:abstractNumId="172" w15:restartNumberingAfterBreak="0">
    <w:nsid w:val="6B881707"/>
    <w:multiLevelType w:val="hybridMultilevel"/>
    <w:tmpl w:val="4EA0B8A4"/>
    <w:lvl w:ilvl="0" w:tplc="0AFEFD28">
      <w:start w:val="1"/>
      <w:numFmt w:val="decimal"/>
      <w:lvlText w:val="%1."/>
      <w:lvlJc w:val="left"/>
      <w:pPr>
        <w:ind w:left="402" w:hanging="284"/>
      </w:pPr>
      <w:rPr>
        <w:rFonts w:ascii="Calibri" w:eastAsia="Calibri" w:hAnsi="Calibri" w:hint="default"/>
        <w:sz w:val="22"/>
        <w:szCs w:val="22"/>
      </w:rPr>
    </w:lvl>
    <w:lvl w:ilvl="1" w:tplc="A23A1622">
      <w:start w:val="1"/>
      <w:numFmt w:val="bullet"/>
      <w:lvlText w:val="•"/>
      <w:lvlJc w:val="left"/>
      <w:pPr>
        <w:ind w:left="1292" w:hanging="284"/>
      </w:pPr>
      <w:rPr>
        <w:rFonts w:hint="default"/>
      </w:rPr>
    </w:lvl>
    <w:lvl w:ilvl="2" w:tplc="8E60898E">
      <w:start w:val="1"/>
      <w:numFmt w:val="bullet"/>
      <w:lvlText w:val="•"/>
      <w:lvlJc w:val="left"/>
      <w:pPr>
        <w:ind w:left="2182" w:hanging="284"/>
      </w:pPr>
      <w:rPr>
        <w:rFonts w:hint="default"/>
      </w:rPr>
    </w:lvl>
    <w:lvl w:ilvl="3" w:tplc="B5E461B8">
      <w:start w:val="1"/>
      <w:numFmt w:val="bullet"/>
      <w:lvlText w:val="•"/>
      <w:lvlJc w:val="left"/>
      <w:pPr>
        <w:ind w:left="3073" w:hanging="284"/>
      </w:pPr>
      <w:rPr>
        <w:rFonts w:hint="default"/>
      </w:rPr>
    </w:lvl>
    <w:lvl w:ilvl="4" w:tplc="67D48580">
      <w:start w:val="1"/>
      <w:numFmt w:val="bullet"/>
      <w:lvlText w:val="•"/>
      <w:lvlJc w:val="left"/>
      <w:pPr>
        <w:ind w:left="3963" w:hanging="284"/>
      </w:pPr>
      <w:rPr>
        <w:rFonts w:hint="default"/>
      </w:rPr>
    </w:lvl>
    <w:lvl w:ilvl="5" w:tplc="184C7D64">
      <w:start w:val="1"/>
      <w:numFmt w:val="bullet"/>
      <w:lvlText w:val="•"/>
      <w:lvlJc w:val="left"/>
      <w:pPr>
        <w:ind w:left="4854" w:hanging="284"/>
      </w:pPr>
      <w:rPr>
        <w:rFonts w:hint="default"/>
      </w:rPr>
    </w:lvl>
    <w:lvl w:ilvl="6" w:tplc="FBCEC2E4">
      <w:start w:val="1"/>
      <w:numFmt w:val="bullet"/>
      <w:lvlText w:val="•"/>
      <w:lvlJc w:val="left"/>
      <w:pPr>
        <w:ind w:left="5744" w:hanging="284"/>
      </w:pPr>
      <w:rPr>
        <w:rFonts w:hint="default"/>
      </w:rPr>
    </w:lvl>
    <w:lvl w:ilvl="7" w:tplc="61767B2C">
      <w:start w:val="1"/>
      <w:numFmt w:val="bullet"/>
      <w:lvlText w:val="•"/>
      <w:lvlJc w:val="left"/>
      <w:pPr>
        <w:ind w:left="6635" w:hanging="284"/>
      </w:pPr>
      <w:rPr>
        <w:rFonts w:hint="default"/>
      </w:rPr>
    </w:lvl>
    <w:lvl w:ilvl="8" w:tplc="ED9AEC88">
      <w:start w:val="1"/>
      <w:numFmt w:val="bullet"/>
      <w:lvlText w:val="•"/>
      <w:lvlJc w:val="left"/>
      <w:pPr>
        <w:ind w:left="7525" w:hanging="284"/>
      </w:pPr>
      <w:rPr>
        <w:rFonts w:hint="default"/>
      </w:rPr>
    </w:lvl>
  </w:abstractNum>
  <w:abstractNum w:abstractNumId="173" w15:restartNumberingAfterBreak="0">
    <w:nsid w:val="6C776AFE"/>
    <w:multiLevelType w:val="hybridMultilevel"/>
    <w:tmpl w:val="AB80DD02"/>
    <w:lvl w:ilvl="0" w:tplc="2DBE37AC">
      <w:start w:val="1"/>
      <w:numFmt w:val="decimal"/>
      <w:lvlText w:val="%1."/>
      <w:lvlJc w:val="left"/>
      <w:pPr>
        <w:ind w:left="678" w:hanging="360"/>
      </w:pPr>
      <w:rPr>
        <w:rFonts w:ascii="Calibri" w:eastAsia="Calibri" w:hAnsi="Calibri" w:hint="default"/>
        <w:sz w:val="22"/>
        <w:szCs w:val="22"/>
      </w:rPr>
    </w:lvl>
    <w:lvl w:ilvl="1" w:tplc="329297B4">
      <w:start w:val="1"/>
      <w:numFmt w:val="decimal"/>
      <w:lvlText w:val="%2."/>
      <w:lvlJc w:val="left"/>
      <w:pPr>
        <w:ind w:left="838" w:hanging="360"/>
      </w:pPr>
      <w:rPr>
        <w:rFonts w:ascii="Calibri" w:eastAsia="Calibri" w:hAnsi="Calibri" w:hint="default"/>
        <w:sz w:val="22"/>
        <w:szCs w:val="22"/>
      </w:rPr>
    </w:lvl>
    <w:lvl w:ilvl="2" w:tplc="6C5EF256">
      <w:start w:val="1"/>
      <w:numFmt w:val="bullet"/>
      <w:lvlText w:val="•"/>
      <w:lvlJc w:val="left"/>
      <w:pPr>
        <w:ind w:left="1779" w:hanging="360"/>
      </w:pPr>
      <w:rPr>
        <w:rFonts w:hint="default"/>
      </w:rPr>
    </w:lvl>
    <w:lvl w:ilvl="3" w:tplc="7CB4A278">
      <w:start w:val="1"/>
      <w:numFmt w:val="bullet"/>
      <w:lvlText w:val="•"/>
      <w:lvlJc w:val="left"/>
      <w:pPr>
        <w:ind w:left="2720" w:hanging="360"/>
      </w:pPr>
      <w:rPr>
        <w:rFonts w:hint="default"/>
      </w:rPr>
    </w:lvl>
    <w:lvl w:ilvl="4" w:tplc="5D04E09A">
      <w:start w:val="1"/>
      <w:numFmt w:val="bullet"/>
      <w:lvlText w:val="•"/>
      <w:lvlJc w:val="left"/>
      <w:pPr>
        <w:ind w:left="3661" w:hanging="360"/>
      </w:pPr>
      <w:rPr>
        <w:rFonts w:hint="default"/>
      </w:rPr>
    </w:lvl>
    <w:lvl w:ilvl="5" w:tplc="088C479E">
      <w:start w:val="1"/>
      <w:numFmt w:val="bullet"/>
      <w:lvlText w:val="•"/>
      <w:lvlJc w:val="left"/>
      <w:pPr>
        <w:ind w:left="4602" w:hanging="360"/>
      </w:pPr>
      <w:rPr>
        <w:rFonts w:hint="default"/>
      </w:rPr>
    </w:lvl>
    <w:lvl w:ilvl="6" w:tplc="EBC807C0">
      <w:start w:val="1"/>
      <w:numFmt w:val="bullet"/>
      <w:lvlText w:val="•"/>
      <w:lvlJc w:val="left"/>
      <w:pPr>
        <w:ind w:left="5543" w:hanging="360"/>
      </w:pPr>
      <w:rPr>
        <w:rFonts w:hint="default"/>
      </w:rPr>
    </w:lvl>
    <w:lvl w:ilvl="7" w:tplc="C32AD24A">
      <w:start w:val="1"/>
      <w:numFmt w:val="bullet"/>
      <w:lvlText w:val="•"/>
      <w:lvlJc w:val="left"/>
      <w:pPr>
        <w:ind w:left="6483" w:hanging="360"/>
      </w:pPr>
      <w:rPr>
        <w:rFonts w:hint="default"/>
      </w:rPr>
    </w:lvl>
    <w:lvl w:ilvl="8" w:tplc="0528245C">
      <w:start w:val="1"/>
      <w:numFmt w:val="bullet"/>
      <w:lvlText w:val="•"/>
      <w:lvlJc w:val="left"/>
      <w:pPr>
        <w:ind w:left="7424" w:hanging="360"/>
      </w:pPr>
      <w:rPr>
        <w:rFonts w:hint="default"/>
      </w:rPr>
    </w:lvl>
  </w:abstractNum>
  <w:abstractNum w:abstractNumId="174" w15:restartNumberingAfterBreak="0">
    <w:nsid w:val="6C885EA8"/>
    <w:multiLevelType w:val="hybridMultilevel"/>
    <w:tmpl w:val="453684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5" w15:restartNumberingAfterBreak="0">
    <w:nsid w:val="6D331C4A"/>
    <w:multiLevelType w:val="multilevel"/>
    <w:tmpl w:val="B46281C2"/>
    <w:lvl w:ilvl="0">
      <w:start w:val="14"/>
      <w:numFmt w:val="upperLetter"/>
      <w:lvlText w:val="%1"/>
      <w:lvlJc w:val="left"/>
      <w:pPr>
        <w:ind w:left="118" w:hanging="485"/>
      </w:pPr>
      <w:rPr>
        <w:rFonts w:hint="default"/>
      </w:rPr>
    </w:lvl>
    <w:lvl w:ilvl="1">
      <w:start w:val="2"/>
      <w:numFmt w:val="upperLetter"/>
      <w:lvlText w:val="%1.%2."/>
      <w:lvlJc w:val="left"/>
      <w:pPr>
        <w:ind w:left="118" w:hanging="485"/>
      </w:pPr>
      <w:rPr>
        <w:rFonts w:ascii="Calibri" w:eastAsia="Calibri" w:hAnsi="Calibri" w:hint="default"/>
        <w:spacing w:val="-1"/>
        <w:sz w:val="22"/>
        <w:szCs w:val="22"/>
      </w:rPr>
    </w:lvl>
    <w:lvl w:ilvl="2">
      <w:start w:val="1"/>
      <w:numFmt w:val="decimal"/>
      <w:lvlText w:val="%3."/>
      <w:lvlJc w:val="left"/>
      <w:pPr>
        <w:ind w:left="838" w:hanging="360"/>
      </w:pPr>
      <w:rPr>
        <w:rFonts w:ascii="Calibri" w:eastAsia="Calibri" w:hAnsi="Calibri" w:hint="default"/>
        <w:sz w:val="22"/>
        <w:szCs w:val="22"/>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543" w:hanging="360"/>
      </w:pPr>
      <w:rPr>
        <w:rFonts w:hint="default"/>
      </w:rPr>
    </w:lvl>
    <w:lvl w:ilvl="7">
      <w:start w:val="1"/>
      <w:numFmt w:val="bullet"/>
      <w:lvlText w:val="•"/>
      <w:lvlJc w:val="left"/>
      <w:pPr>
        <w:ind w:left="6483" w:hanging="360"/>
      </w:pPr>
      <w:rPr>
        <w:rFonts w:hint="default"/>
      </w:rPr>
    </w:lvl>
    <w:lvl w:ilvl="8">
      <w:start w:val="1"/>
      <w:numFmt w:val="bullet"/>
      <w:lvlText w:val="•"/>
      <w:lvlJc w:val="left"/>
      <w:pPr>
        <w:ind w:left="7424" w:hanging="360"/>
      </w:pPr>
      <w:rPr>
        <w:rFonts w:hint="default"/>
      </w:rPr>
    </w:lvl>
  </w:abstractNum>
  <w:abstractNum w:abstractNumId="176" w15:restartNumberingAfterBreak="0">
    <w:nsid w:val="6DF6405B"/>
    <w:multiLevelType w:val="hybridMultilevel"/>
    <w:tmpl w:val="4CEC5E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3">
      <w:start w:val="1"/>
      <w:numFmt w:val="bullet"/>
      <w:lvlText w:val="o"/>
      <w:lvlJc w:val="left"/>
      <w:pPr>
        <w:ind w:left="2880" w:hanging="360"/>
      </w:pPr>
      <w:rPr>
        <w:rFonts w:ascii="Courier New" w:hAnsi="Courier New" w:cs="Courier New"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7" w15:restartNumberingAfterBreak="0">
    <w:nsid w:val="6E865368"/>
    <w:multiLevelType w:val="hybridMultilevel"/>
    <w:tmpl w:val="0F7A36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8" w15:restartNumberingAfterBreak="0">
    <w:nsid w:val="6F846D12"/>
    <w:multiLevelType w:val="hybridMultilevel"/>
    <w:tmpl w:val="38100E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9" w15:restartNumberingAfterBreak="0">
    <w:nsid w:val="6F89233E"/>
    <w:multiLevelType w:val="multilevel"/>
    <w:tmpl w:val="6BF03A1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80" w15:restartNumberingAfterBreak="0">
    <w:nsid w:val="6FAE2D9C"/>
    <w:multiLevelType w:val="hybridMultilevel"/>
    <w:tmpl w:val="FB0488E4"/>
    <w:lvl w:ilvl="0" w:tplc="1FE87D38">
      <w:start w:val="1"/>
      <w:numFmt w:val="decimal"/>
      <w:lvlText w:val="%1)"/>
      <w:lvlJc w:val="left"/>
      <w:pPr>
        <w:ind w:left="498" w:hanging="228"/>
      </w:pPr>
      <w:rPr>
        <w:rFonts w:ascii="Calibri" w:eastAsia="Calibri" w:hAnsi="Calibri" w:hint="default"/>
        <w:sz w:val="22"/>
        <w:szCs w:val="22"/>
      </w:rPr>
    </w:lvl>
    <w:lvl w:ilvl="1" w:tplc="5D46AB46">
      <w:start w:val="1"/>
      <w:numFmt w:val="bullet"/>
      <w:lvlText w:val="•"/>
      <w:lvlJc w:val="left"/>
      <w:pPr>
        <w:ind w:left="1381" w:hanging="228"/>
      </w:pPr>
      <w:rPr>
        <w:rFonts w:hint="default"/>
      </w:rPr>
    </w:lvl>
    <w:lvl w:ilvl="2" w:tplc="37948BBA">
      <w:start w:val="1"/>
      <w:numFmt w:val="bullet"/>
      <w:lvlText w:val="•"/>
      <w:lvlJc w:val="left"/>
      <w:pPr>
        <w:ind w:left="2264" w:hanging="228"/>
      </w:pPr>
      <w:rPr>
        <w:rFonts w:hint="default"/>
      </w:rPr>
    </w:lvl>
    <w:lvl w:ilvl="3" w:tplc="C12EB05C">
      <w:start w:val="1"/>
      <w:numFmt w:val="bullet"/>
      <w:lvlText w:val="•"/>
      <w:lvlJc w:val="left"/>
      <w:pPr>
        <w:ind w:left="3147" w:hanging="228"/>
      </w:pPr>
      <w:rPr>
        <w:rFonts w:hint="default"/>
      </w:rPr>
    </w:lvl>
    <w:lvl w:ilvl="4" w:tplc="6E8A28B2">
      <w:start w:val="1"/>
      <w:numFmt w:val="bullet"/>
      <w:lvlText w:val="•"/>
      <w:lvlJc w:val="left"/>
      <w:pPr>
        <w:ind w:left="4029" w:hanging="228"/>
      </w:pPr>
      <w:rPr>
        <w:rFonts w:hint="default"/>
      </w:rPr>
    </w:lvl>
    <w:lvl w:ilvl="5" w:tplc="C05E8A26">
      <w:start w:val="1"/>
      <w:numFmt w:val="bullet"/>
      <w:lvlText w:val="•"/>
      <w:lvlJc w:val="left"/>
      <w:pPr>
        <w:ind w:left="4912" w:hanging="228"/>
      </w:pPr>
      <w:rPr>
        <w:rFonts w:hint="default"/>
      </w:rPr>
    </w:lvl>
    <w:lvl w:ilvl="6" w:tplc="6DA2559E">
      <w:start w:val="1"/>
      <w:numFmt w:val="bullet"/>
      <w:lvlText w:val="•"/>
      <w:lvlJc w:val="left"/>
      <w:pPr>
        <w:ind w:left="5795" w:hanging="228"/>
      </w:pPr>
      <w:rPr>
        <w:rFonts w:hint="default"/>
      </w:rPr>
    </w:lvl>
    <w:lvl w:ilvl="7" w:tplc="05BEB0C8">
      <w:start w:val="1"/>
      <w:numFmt w:val="bullet"/>
      <w:lvlText w:val="•"/>
      <w:lvlJc w:val="left"/>
      <w:pPr>
        <w:ind w:left="6678" w:hanging="228"/>
      </w:pPr>
      <w:rPr>
        <w:rFonts w:hint="default"/>
      </w:rPr>
    </w:lvl>
    <w:lvl w:ilvl="8" w:tplc="906616B4">
      <w:start w:val="1"/>
      <w:numFmt w:val="bullet"/>
      <w:lvlText w:val="•"/>
      <w:lvlJc w:val="left"/>
      <w:pPr>
        <w:ind w:left="7560" w:hanging="228"/>
      </w:pPr>
      <w:rPr>
        <w:rFonts w:hint="default"/>
      </w:rPr>
    </w:lvl>
  </w:abstractNum>
  <w:abstractNum w:abstractNumId="181" w15:restartNumberingAfterBreak="0">
    <w:nsid w:val="70180937"/>
    <w:multiLevelType w:val="hybridMultilevel"/>
    <w:tmpl w:val="82D6B22A"/>
    <w:lvl w:ilvl="0" w:tplc="8A0A3D86">
      <w:start w:val="1"/>
      <w:numFmt w:val="decimal"/>
      <w:lvlText w:val="%1."/>
      <w:lvlJc w:val="left"/>
      <w:pPr>
        <w:ind w:left="478" w:hanging="360"/>
      </w:pPr>
      <w:rPr>
        <w:rFonts w:ascii="Calibri" w:eastAsia="Calibri" w:hAnsi="Calibri" w:hint="default"/>
        <w:sz w:val="22"/>
        <w:szCs w:val="22"/>
      </w:rPr>
    </w:lvl>
    <w:lvl w:ilvl="1" w:tplc="D2941660">
      <w:start w:val="1"/>
      <w:numFmt w:val="bullet"/>
      <w:lvlText w:val="•"/>
      <w:lvlJc w:val="left"/>
      <w:pPr>
        <w:ind w:left="1361" w:hanging="360"/>
      </w:pPr>
      <w:rPr>
        <w:rFonts w:hint="default"/>
      </w:rPr>
    </w:lvl>
    <w:lvl w:ilvl="2" w:tplc="E6587F28">
      <w:start w:val="1"/>
      <w:numFmt w:val="bullet"/>
      <w:lvlText w:val="•"/>
      <w:lvlJc w:val="left"/>
      <w:pPr>
        <w:ind w:left="2244" w:hanging="360"/>
      </w:pPr>
      <w:rPr>
        <w:rFonts w:hint="default"/>
      </w:rPr>
    </w:lvl>
    <w:lvl w:ilvl="3" w:tplc="98A8CB7E">
      <w:start w:val="1"/>
      <w:numFmt w:val="bullet"/>
      <w:lvlText w:val="•"/>
      <w:lvlJc w:val="left"/>
      <w:pPr>
        <w:ind w:left="3127" w:hanging="360"/>
      </w:pPr>
      <w:rPr>
        <w:rFonts w:hint="default"/>
      </w:rPr>
    </w:lvl>
    <w:lvl w:ilvl="4" w:tplc="4F003F5E">
      <w:start w:val="1"/>
      <w:numFmt w:val="bullet"/>
      <w:lvlText w:val="•"/>
      <w:lvlJc w:val="left"/>
      <w:pPr>
        <w:ind w:left="4009" w:hanging="360"/>
      </w:pPr>
      <w:rPr>
        <w:rFonts w:hint="default"/>
      </w:rPr>
    </w:lvl>
    <w:lvl w:ilvl="5" w:tplc="7D5CCB84">
      <w:start w:val="1"/>
      <w:numFmt w:val="bullet"/>
      <w:lvlText w:val="•"/>
      <w:lvlJc w:val="left"/>
      <w:pPr>
        <w:ind w:left="4892" w:hanging="360"/>
      </w:pPr>
      <w:rPr>
        <w:rFonts w:hint="default"/>
      </w:rPr>
    </w:lvl>
    <w:lvl w:ilvl="6" w:tplc="00EE1074">
      <w:start w:val="1"/>
      <w:numFmt w:val="bullet"/>
      <w:lvlText w:val="•"/>
      <w:lvlJc w:val="left"/>
      <w:pPr>
        <w:ind w:left="5775" w:hanging="360"/>
      </w:pPr>
      <w:rPr>
        <w:rFonts w:hint="default"/>
      </w:rPr>
    </w:lvl>
    <w:lvl w:ilvl="7" w:tplc="A88A4788">
      <w:start w:val="1"/>
      <w:numFmt w:val="bullet"/>
      <w:lvlText w:val="•"/>
      <w:lvlJc w:val="left"/>
      <w:pPr>
        <w:ind w:left="6658" w:hanging="360"/>
      </w:pPr>
      <w:rPr>
        <w:rFonts w:hint="default"/>
      </w:rPr>
    </w:lvl>
    <w:lvl w:ilvl="8" w:tplc="BBB0D696">
      <w:start w:val="1"/>
      <w:numFmt w:val="bullet"/>
      <w:lvlText w:val="•"/>
      <w:lvlJc w:val="left"/>
      <w:pPr>
        <w:ind w:left="7540" w:hanging="360"/>
      </w:pPr>
      <w:rPr>
        <w:rFonts w:hint="default"/>
      </w:rPr>
    </w:lvl>
  </w:abstractNum>
  <w:abstractNum w:abstractNumId="182" w15:restartNumberingAfterBreak="0">
    <w:nsid w:val="701D4BFC"/>
    <w:multiLevelType w:val="multilevel"/>
    <w:tmpl w:val="BA1A2492"/>
    <w:lvl w:ilvl="0">
      <w:start w:val="11"/>
      <w:numFmt w:val="decimal"/>
      <w:lvlText w:val="%1"/>
      <w:lvlJc w:val="left"/>
      <w:pPr>
        <w:ind w:left="858" w:hanging="720"/>
      </w:pPr>
      <w:rPr>
        <w:rFonts w:hint="default"/>
      </w:rPr>
    </w:lvl>
    <w:lvl w:ilvl="1">
      <w:start w:val="1"/>
      <w:numFmt w:val="decimal"/>
      <w:lvlText w:val="%1.%2"/>
      <w:lvlJc w:val="left"/>
      <w:pPr>
        <w:ind w:left="858" w:hanging="720"/>
      </w:pPr>
      <w:rPr>
        <w:rFonts w:ascii="Arial" w:eastAsia="Arial" w:hAnsi="Arial" w:hint="default"/>
        <w:b/>
        <w:bCs/>
        <w:sz w:val="24"/>
        <w:szCs w:val="24"/>
      </w:rPr>
    </w:lvl>
    <w:lvl w:ilvl="2">
      <w:start w:val="1"/>
      <w:numFmt w:val="decimal"/>
      <w:lvlText w:val="%1.%2.%3"/>
      <w:lvlJc w:val="left"/>
      <w:pPr>
        <w:ind w:left="858" w:hanging="720"/>
      </w:pPr>
      <w:rPr>
        <w:rFonts w:ascii="Arial" w:eastAsia="Arial" w:hAnsi="Arial" w:hint="default"/>
        <w:b/>
        <w:bCs/>
        <w:sz w:val="22"/>
        <w:szCs w:val="22"/>
      </w:rPr>
    </w:lvl>
    <w:lvl w:ilvl="3">
      <w:start w:val="1"/>
      <w:numFmt w:val="bullet"/>
      <w:lvlText w:val=""/>
      <w:lvlJc w:val="left"/>
      <w:pPr>
        <w:ind w:left="858" w:hanging="360"/>
      </w:pPr>
      <w:rPr>
        <w:rFonts w:ascii="Symbol" w:eastAsia="Symbol" w:hAnsi="Symbol" w:hint="default"/>
        <w:sz w:val="22"/>
        <w:szCs w:val="22"/>
      </w:rPr>
    </w:lvl>
    <w:lvl w:ilvl="4">
      <w:start w:val="1"/>
      <w:numFmt w:val="bullet"/>
      <w:lvlText w:val=""/>
      <w:lvlJc w:val="left"/>
      <w:pPr>
        <w:ind w:left="958" w:hanging="360"/>
      </w:pPr>
      <w:rPr>
        <w:rFonts w:ascii="Symbol" w:eastAsia="Symbol" w:hAnsi="Symbol" w:hint="default"/>
        <w:sz w:val="22"/>
        <w:szCs w:val="22"/>
      </w:rPr>
    </w:lvl>
    <w:lvl w:ilvl="5">
      <w:start w:val="1"/>
      <w:numFmt w:val="bullet"/>
      <w:lvlText w:val="•"/>
      <w:lvlJc w:val="left"/>
      <w:pPr>
        <w:ind w:left="838" w:hanging="360"/>
      </w:pPr>
      <w:rPr>
        <w:rFonts w:hint="default"/>
      </w:rPr>
    </w:lvl>
    <w:lvl w:ilvl="6">
      <w:start w:val="1"/>
      <w:numFmt w:val="bullet"/>
      <w:lvlText w:val="•"/>
      <w:lvlJc w:val="left"/>
      <w:pPr>
        <w:ind w:left="838" w:hanging="360"/>
      </w:pPr>
      <w:rPr>
        <w:rFonts w:hint="default"/>
      </w:rPr>
    </w:lvl>
    <w:lvl w:ilvl="7">
      <w:start w:val="1"/>
      <w:numFmt w:val="bullet"/>
      <w:lvlText w:val="•"/>
      <w:lvlJc w:val="left"/>
      <w:pPr>
        <w:ind w:left="838" w:hanging="360"/>
      </w:pPr>
      <w:rPr>
        <w:rFonts w:hint="default"/>
      </w:rPr>
    </w:lvl>
    <w:lvl w:ilvl="8">
      <w:start w:val="1"/>
      <w:numFmt w:val="bullet"/>
      <w:lvlText w:val="•"/>
      <w:lvlJc w:val="left"/>
      <w:pPr>
        <w:ind w:left="858" w:hanging="360"/>
      </w:pPr>
      <w:rPr>
        <w:rFonts w:hint="default"/>
      </w:rPr>
    </w:lvl>
  </w:abstractNum>
  <w:abstractNum w:abstractNumId="183" w15:restartNumberingAfterBreak="0">
    <w:nsid w:val="711C14B3"/>
    <w:multiLevelType w:val="hybridMultilevel"/>
    <w:tmpl w:val="AE7E94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4" w15:restartNumberingAfterBreak="0">
    <w:nsid w:val="71B87A54"/>
    <w:multiLevelType w:val="hybridMultilevel"/>
    <w:tmpl w:val="8B747CC0"/>
    <w:lvl w:ilvl="0" w:tplc="0C090001">
      <w:start w:val="1"/>
      <w:numFmt w:val="bullet"/>
      <w:lvlText w:val=""/>
      <w:lvlJc w:val="left"/>
      <w:pPr>
        <w:ind w:left="838" w:hanging="360"/>
      </w:pPr>
      <w:rPr>
        <w:rFonts w:ascii="Symbol" w:hAnsi="Symbol" w:hint="default"/>
      </w:rPr>
    </w:lvl>
    <w:lvl w:ilvl="1" w:tplc="0C090003" w:tentative="1">
      <w:start w:val="1"/>
      <w:numFmt w:val="bullet"/>
      <w:lvlText w:val="o"/>
      <w:lvlJc w:val="left"/>
      <w:pPr>
        <w:ind w:left="1558" w:hanging="360"/>
      </w:pPr>
      <w:rPr>
        <w:rFonts w:ascii="Courier New" w:hAnsi="Courier New" w:cs="Courier New" w:hint="default"/>
      </w:rPr>
    </w:lvl>
    <w:lvl w:ilvl="2" w:tplc="0C090005" w:tentative="1">
      <w:start w:val="1"/>
      <w:numFmt w:val="bullet"/>
      <w:lvlText w:val=""/>
      <w:lvlJc w:val="left"/>
      <w:pPr>
        <w:ind w:left="2278" w:hanging="360"/>
      </w:pPr>
      <w:rPr>
        <w:rFonts w:ascii="Wingdings" w:hAnsi="Wingdings" w:hint="default"/>
      </w:rPr>
    </w:lvl>
    <w:lvl w:ilvl="3" w:tplc="0C090001" w:tentative="1">
      <w:start w:val="1"/>
      <w:numFmt w:val="bullet"/>
      <w:lvlText w:val=""/>
      <w:lvlJc w:val="left"/>
      <w:pPr>
        <w:ind w:left="2998" w:hanging="360"/>
      </w:pPr>
      <w:rPr>
        <w:rFonts w:ascii="Symbol" w:hAnsi="Symbol" w:hint="default"/>
      </w:rPr>
    </w:lvl>
    <w:lvl w:ilvl="4" w:tplc="0C090003" w:tentative="1">
      <w:start w:val="1"/>
      <w:numFmt w:val="bullet"/>
      <w:lvlText w:val="o"/>
      <w:lvlJc w:val="left"/>
      <w:pPr>
        <w:ind w:left="3718" w:hanging="360"/>
      </w:pPr>
      <w:rPr>
        <w:rFonts w:ascii="Courier New" w:hAnsi="Courier New" w:cs="Courier New" w:hint="default"/>
      </w:rPr>
    </w:lvl>
    <w:lvl w:ilvl="5" w:tplc="0C090005" w:tentative="1">
      <w:start w:val="1"/>
      <w:numFmt w:val="bullet"/>
      <w:lvlText w:val=""/>
      <w:lvlJc w:val="left"/>
      <w:pPr>
        <w:ind w:left="4438" w:hanging="360"/>
      </w:pPr>
      <w:rPr>
        <w:rFonts w:ascii="Wingdings" w:hAnsi="Wingdings" w:hint="default"/>
      </w:rPr>
    </w:lvl>
    <w:lvl w:ilvl="6" w:tplc="0C090001" w:tentative="1">
      <w:start w:val="1"/>
      <w:numFmt w:val="bullet"/>
      <w:lvlText w:val=""/>
      <w:lvlJc w:val="left"/>
      <w:pPr>
        <w:ind w:left="5158" w:hanging="360"/>
      </w:pPr>
      <w:rPr>
        <w:rFonts w:ascii="Symbol" w:hAnsi="Symbol" w:hint="default"/>
      </w:rPr>
    </w:lvl>
    <w:lvl w:ilvl="7" w:tplc="0C090003" w:tentative="1">
      <w:start w:val="1"/>
      <w:numFmt w:val="bullet"/>
      <w:lvlText w:val="o"/>
      <w:lvlJc w:val="left"/>
      <w:pPr>
        <w:ind w:left="5878" w:hanging="360"/>
      </w:pPr>
      <w:rPr>
        <w:rFonts w:ascii="Courier New" w:hAnsi="Courier New" w:cs="Courier New" w:hint="default"/>
      </w:rPr>
    </w:lvl>
    <w:lvl w:ilvl="8" w:tplc="0C090005" w:tentative="1">
      <w:start w:val="1"/>
      <w:numFmt w:val="bullet"/>
      <w:lvlText w:val=""/>
      <w:lvlJc w:val="left"/>
      <w:pPr>
        <w:ind w:left="6598" w:hanging="360"/>
      </w:pPr>
      <w:rPr>
        <w:rFonts w:ascii="Wingdings" w:hAnsi="Wingdings" w:hint="default"/>
      </w:rPr>
    </w:lvl>
  </w:abstractNum>
  <w:abstractNum w:abstractNumId="185" w15:restartNumberingAfterBreak="0">
    <w:nsid w:val="71DB312D"/>
    <w:multiLevelType w:val="hybridMultilevel"/>
    <w:tmpl w:val="74C2AA5E"/>
    <w:lvl w:ilvl="0" w:tplc="6EAAD968">
      <w:start w:val="1"/>
      <w:numFmt w:val="lowerLetter"/>
      <w:lvlText w:val="%1."/>
      <w:lvlJc w:val="left"/>
      <w:pPr>
        <w:ind w:left="402" w:hanging="284"/>
      </w:pPr>
      <w:rPr>
        <w:rFonts w:ascii="Calibri" w:eastAsia="Calibri" w:hAnsi="Calibri" w:hint="default"/>
        <w:spacing w:val="-1"/>
        <w:sz w:val="22"/>
        <w:szCs w:val="22"/>
      </w:rPr>
    </w:lvl>
    <w:lvl w:ilvl="1" w:tplc="FC8E6E12">
      <w:start w:val="1"/>
      <w:numFmt w:val="bullet"/>
      <w:lvlText w:val="•"/>
      <w:lvlJc w:val="left"/>
      <w:pPr>
        <w:ind w:left="1292" w:hanging="284"/>
      </w:pPr>
      <w:rPr>
        <w:rFonts w:hint="default"/>
      </w:rPr>
    </w:lvl>
    <w:lvl w:ilvl="2" w:tplc="06FC6C0E">
      <w:start w:val="1"/>
      <w:numFmt w:val="bullet"/>
      <w:lvlText w:val="•"/>
      <w:lvlJc w:val="left"/>
      <w:pPr>
        <w:ind w:left="2182" w:hanging="284"/>
      </w:pPr>
      <w:rPr>
        <w:rFonts w:hint="default"/>
      </w:rPr>
    </w:lvl>
    <w:lvl w:ilvl="3" w:tplc="DA84ADBC">
      <w:start w:val="1"/>
      <w:numFmt w:val="bullet"/>
      <w:lvlText w:val="•"/>
      <w:lvlJc w:val="left"/>
      <w:pPr>
        <w:ind w:left="3073" w:hanging="284"/>
      </w:pPr>
      <w:rPr>
        <w:rFonts w:hint="default"/>
      </w:rPr>
    </w:lvl>
    <w:lvl w:ilvl="4" w:tplc="772C33C8">
      <w:start w:val="1"/>
      <w:numFmt w:val="bullet"/>
      <w:lvlText w:val="•"/>
      <w:lvlJc w:val="left"/>
      <w:pPr>
        <w:ind w:left="3963" w:hanging="284"/>
      </w:pPr>
      <w:rPr>
        <w:rFonts w:hint="default"/>
      </w:rPr>
    </w:lvl>
    <w:lvl w:ilvl="5" w:tplc="E0E2D082">
      <w:start w:val="1"/>
      <w:numFmt w:val="bullet"/>
      <w:lvlText w:val="•"/>
      <w:lvlJc w:val="left"/>
      <w:pPr>
        <w:ind w:left="4854" w:hanging="284"/>
      </w:pPr>
      <w:rPr>
        <w:rFonts w:hint="default"/>
      </w:rPr>
    </w:lvl>
    <w:lvl w:ilvl="6" w:tplc="A474A8C4">
      <w:start w:val="1"/>
      <w:numFmt w:val="bullet"/>
      <w:lvlText w:val="•"/>
      <w:lvlJc w:val="left"/>
      <w:pPr>
        <w:ind w:left="5744" w:hanging="284"/>
      </w:pPr>
      <w:rPr>
        <w:rFonts w:hint="default"/>
      </w:rPr>
    </w:lvl>
    <w:lvl w:ilvl="7" w:tplc="0768671E">
      <w:start w:val="1"/>
      <w:numFmt w:val="bullet"/>
      <w:lvlText w:val="•"/>
      <w:lvlJc w:val="left"/>
      <w:pPr>
        <w:ind w:left="6635" w:hanging="284"/>
      </w:pPr>
      <w:rPr>
        <w:rFonts w:hint="default"/>
      </w:rPr>
    </w:lvl>
    <w:lvl w:ilvl="8" w:tplc="804A294E">
      <w:start w:val="1"/>
      <w:numFmt w:val="bullet"/>
      <w:lvlText w:val="•"/>
      <w:lvlJc w:val="left"/>
      <w:pPr>
        <w:ind w:left="7525" w:hanging="284"/>
      </w:pPr>
      <w:rPr>
        <w:rFonts w:hint="default"/>
      </w:rPr>
    </w:lvl>
  </w:abstractNum>
  <w:abstractNum w:abstractNumId="186" w15:restartNumberingAfterBreak="0">
    <w:nsid w:val="73F255FD"/>
    <w:multiLevelType w:val="multilevel"/>
    <w:tmpl w:val="9822E0AE"/>
    <w:lvl w:ilvl="0">
      <w:start w:val="8"/>
      <w:numFmt w:val="decimal"/>
      <w:lvlText w:val="%1"/>
      <w:lvlJc w:val="left"/>
      <w:pPr>
        <w:ind w:left="838" w:hanging="720"/>
      </w:pPr>
      <w:rPr>
        <w:rFonts w:hint="default"/>
      </w:rPr>
    </w:lvl>
    <w:lvl w:ilvl="1">
      <w:start w:val="4"/>
      <w:numFmt w:val="decimal"/>
      <w:lvlText w:val="%1.%2"/>
      <w:lvlJc w:val="left"/>
      <w:pPr>
        <w:ind w:left="838" w:hanging="720"/>
      </w:pPr>
      <w:rPr>
        <w:rFonts w:ascii="Arial" w:eastAsia="Arial" w:hAnsi="Arial" w:hint="default"/>
        <w:b/>
        <w:bCs/>
        <w:sz w:val="24"/>
        <w:szCs w:val="24"/>
      </w:rPr>
    </w:lvl>
    <w:lvl w:ilvl="2">
      <w:start w:val="1"/>
      <w:numFmt w:val="decimal"/>
      <w:lvlText w:val="%3."/>
      <w:lvlJc w:val="left"/>
      <w:pPr>
        <w:ind w:left="838" w:hanging="360"/>
      </w:pPr>
      <w:rPr>
        <w:rFonts w:ascii="Calibri" w:eastAsia="Calibri" w:hAnsi="Calibri" w:hint="default"/>
        <w:sz w:val="22"/>
        <w:szCs w:val="22"/>
      </w:rPr>
    </w:lvl>
    <w:lvl w:ilvl="3">
      <w:start w:val="1"/>
      <w:numFmt w:val="bullet"/>
      <w:lvlText w:val="•"/>
      <w:lvlJc w:val="left"/>
      <w:pPr>
        <w:ind w:left="1897" w:hanging="360"/>
      </w:pPr>
      <w:rPr>
        <w:rFonts w:hint="default"/>
      </w:rPr>
    </w:lvl>
    <w:lvl w:ilvl="4">
      <w:start w:val="1"/>
      <w:numFmt w:val="bullet"/>
      <w:lvlText w:val="•"/>
      <w:lvlJc w:val="left"/>
      <w:pPr>
        <w:ind w:left="2955" w:hanging="360"/>
      </w:pPr>
      <w:rPr>
        <w:rFonts w:hint="default"/>
      </w:rPr>
    </w:lvl>
    <w:lvl w:ilvl="5">
      <w:start w:val="1"/>
      <w:numFmt w:val="bullet"/>
      <w:lvlText w:val="•"/>
      <w:lvlJc w:val="left"/>
      <w:pPr>
        <w:ind w:left="4014" w:hanging="360"/>
      </w:pPr>
      <w:rPr>
        <w:rFonts w:hint="default"/>
      </w:rPr>
    </w:lvl>
    <w:lvl w:ilvl="6">
      <w:start w:val="1"/>
      <w:numFmt w:val="bullet"/>
      <w:lvlText w:val="•"/>
      <w:lvlJc w:val="left"/>
      <w:pPr>
        <w:ind w:left="5072" w:hanging="360"/>
      </w:pPr>
      <w:rPr>
        <w:rFonts w:hint="default"/>
      </w:rPr>
    </w:lvl>
    <w:lvl w:ilvl="7">
      <w:start w:val="1"/>
      <w:numFmt w:val="bullet"/>
      <w:lvlText w:val="•"/>
      <w:lvlJc w:val="left"/>
      <w:pPr>
        <w:ind w:left="6131" w:hanging="360"/>
      </w:pPr>
      <w:rPr>
        <w:rFonts w:hint="default"/>
      </w:rPr>
    </w:lvl>
    <w:lvl w:ilvl="8">
      <w:start w:val="1"/>
      <w:numFmt w:val="bullet"/>
      <w:lvlText w:val="•"/>
      <w:lvlJc w:val="left"/>
      <w:pPr>
        <w:ind w:left="7189" w:hanging="360"/>
      </w:pPr>
      <w:rPr>
        <w:rFonts w:hint="default"/>
      </w:rPr>
    </w:lvl>
  </w:abstractNum>
  <w:abstractNum w:abstractNumId="187" w15:restartNumberingAfterBreak="0">
    <w:nsid w:val="74896BA6"/>
    <w:multiLevelType w:val="multilevel"/>
    <w:tmpl w:val="3A8A331A"/>
    <w:lvl w:ilvl="0">
      <w:start w:val="9"/>
      <w:numFmt w:val="decimal"/>
      <w:lvlText w:val="%1"/>
      <w:lvlJc w:val="left"/>
      <w:pPr>
        <w:ind w:left="838" w:hanging="720"/>
      </w:pPr>
      <w:rPr>
        <w:rFonts w:hint="default"/>
      </w:rPr>
    </w:lvl>
    <w:lvl w:ilvl="1">
      <w:start w:val="5"/>
      <w:numFmt w:val="decimal"/>
      <w:lvlText w:val="%1.%2"/>
      <w:lvlJc w:val="left"/>
      <w:pPr>
        <w:ind w:left="838" w:hanging="720"/>
      </w:pPr>
      <w:rPr>
        <w:rFonts w:ascii="Arial" w:eastAsia="Arial" w:hAnsi="Arial" w:hint="default"/>
        <w:b/>
        <w:bCs/>
        <w:sz w:val="24"/>
        <w:szCs w:val="24"/>
      </w:rPr>
    </w:lvl>
    <w:lvl w:ilvl="2">
      <w:start w:val="1"/>
      <w:numFmt w:val="bullet"/>
      <w:lvlText w:val=""/>
      <w:lvlJc w:val="left"/>
      <w:pPr>
        <w:ind w:left="838" w:hanging="360"/>
      </w:pPr>
      <w:rPr>
        <w:rFonts w:ascii="Symbol" w:hAnsi="Symbol" w:hint="default"/>
        <w:w w:val="99"/>
        <w:sz w:val="20"/>
        <w:szCs w:val="20"/>
      </w:rPr>
    </w:lvl>
    <w:lvl w:ilvl="3">
      <w:start w:val="1"/>
      <w:numFmt w:val="bullet"/>
      <w:lvlText w:val="•"/>
      <w:lvlJc w:val="left"/>
      <w:pPr>
        <w:ind w:left="1911" w:hanging="360"/>
      </w:pPr>
      <w:rPr>
        <w:rFonts w:hint="default"/>
      </w:rPr>
    </w:lvl>
    <w:lvl w:ilvl="4">
      <w:start w:val="1"/>
      <w:numFmt w:val="bullet"/>
      <w:lvlText w:val="•"/>
      <w:lvlJc w:val="left"/>
      <w:pPr>
        <w:ind w:left="2965" w:hanging="360"/>
      </w:pPr>
      <w:rPr>
        <w:rFonts w:hint="default"/>
      </w:rPr>
    </w:lvl>
    <w:lvl w:ilvl="5">
      <w:start w:val="1"/>
      <w:numFmt w:val="bullet"/>
      <w:lvlText w:val="•"/>
      <w:lvlJc w:val="left"/>
      <w:pPr>
        <w:ind w:left="4018" w:hanging="360"/>
      </w:pPr>
      <w:rPr>
        <w:rFonts w:hint="default"/>
      </w:rPr>
    </w:lvl>
    <w:lvl w:ilvl="6">
      <w:start w:val="1"/>
      <w:numFmt w:val="bullet"/>
      <w:lvlText w:val="•"/>
      <w:lvlJc w:val="left"/>
      <w:pPr>
        <w:ind w:left="5072" w:hanging="360"/>
      </w:pPr>
      <w:rPr>
        <w:rFonts w:hint="default"/>
      </w:rPr>
    </w:lvl>
    <w:lvl w:ilvl="7">
      <w:start w:val="1"/>
      <w:numFmt w:val="bullet"/>
      <w:lvlText w:val="•"/>
      <w:lvlJc w:val="left"/>
      <w:pPr>
        <w:ind w:left="6125" w:hanging="360"/>
      </w:pPr>
      <w:rPr>
        <w:rFonts w:hint="default"/>
      </w:rPr>
    </w:lvl>
    <w:lvl w:ilvl="8">
      <w:start w:val="1"/>
      <w:numFmt w:val="bullet"/>
      <w:lvlText w:val="•"/>
      <w:lvlJc w:val="left"/>
      <w:pPr>
        <w:ind w:left="7179" w:hanging="360"/>
      </w:pPr>
      <w:rPr>
        <w:rFonts w:hint="default"/>
      </w:rPr>
    </w:lvl>
  </w:abstractNum>
  <w:abstractNum w:abstractNumId="188" w15:restartNumberingAfterBreak="0">
    <w:nsid w:val="7495439C"/>
    <w:multiLevelType w:val="hybridMultilevel"/>
    <w:tmpl w:val="13840B30"/>
    <w:lvl w:ilvl="0" w:tplc="AFF49386">
      <w:start w:val="1"/>
      <w:numFmt w:val="decimal"/>
      <w:lvlText w:val="%1."/>
      <w:lvlJc w:val="left"/>
      <w:pPr>
        <w:ind w:left="838" w:hanging="360"/>
      </w:pPr>
      <w:rPr>
        <w:rFonts w:ascii="Calibri" w:eastAsia="Calibri" w:hAnsi="Calibri" w:hint="default"/>
        <w:sz w:val="22"/>
        <w:szCs w:val="22"/>
      </w:rPr>
    </w:lvl>
    <w:lvl w:ilvl="1" w:tplc="E27E8C72">
      <w:start w:val="1"/>
      <w:numFmt w:val="bullet"/>
      <w:lvlText w:val="•"/>
      <w:lvlJc w:val="left"/>
      <w:pPr>
        <w:ind w:left="1042" w:hanging="171"/>
      </w:pPr>
      <w:rPr>
        <w:rFonts w:ascii="Calibri" w:eastAsia="Calibri" w:hAnsi="Calibri" w:hint="default"/>
        <w:sz w:val="22"/>
        <w:szCs w:val="22"/>
      </w:rPr>
    </w:lvl>
    <w:lvl w:ilvl="2" w:tplc="86FE379A">
      <w:start w:val="1"/>
      <w:numFmt w:val="bullet"/>
      <w:lvlText w:val="•"/>
      <w:lvlJc w:val="left"/>
      <w:pPr>
        <w:ind w:left="1960" w:hanging="171"/>
      </w:pPr>
      <w:rPr>
        <w:rFonts w:hint="default"/>
      </w:rPr>
    </w:lvl>
    <w:lvl w:ilvl="3" w:tplc="7BA6044C">
      <w:start w:val="1"/>
      <w:numFmt w:val="bullet"/>
      <w:lvlText w:val="•"/>
      <w:lvlJc w:val="left"/>
      <w:pPr>
        <w:ind w:left="2879" w:hanging="171"/>
      </w:pPr>
      <w:rPr>
        <w:rFonts w:hint="default"/>
      </w:rPr>
    </w:lvl>
    <w:lvl w:ilvl="4" w:tplc="57E0B392">
      <w:start w:val="1"/>
      <w:numFmt w:val="bullet"/>
      <w:lvlText w:val="•"/>
      <w:lvlJc w:val="left"/>
      <w:pPr>
        <w:ind w:left="3797" w:hanging="171"/>
      </w:pPr>
      <w:rPr>
        <w:rFonts w:hint="default"/>
      </w:rPr>
    </w:lvl>
    <w:lvl w:ilvl="5" w:tplc="8AB22F4A">
      <w:start w:val="1"/>
      <w:numFmt w:val="bullet"/>
      <w:lvlText w:val="•"/>
      <w:lvlJc w:val="left"/>
      <w:pPr>
        <w:ind w:left="4715" w:hanging="171"/>
      </w:pPr>
      <w:rPr>
        <w:rFonts w:hint="default"/>
      </w:rPr>
    </w:lvl>
    <w:lvl w:ilvl="6" w:tplc="9F5E8990">
      <w:start w:val="1"/>
      <w:numFmt w:val="bullet"/>
      <w:lvlText w:val="•"/>
      <w:lvlJc w:val="left"/>
      <w:pPr>
        <w:ind w:left="5633" w:hanging="171"/>
      </w:pPr>
      <w:rPr>
        <w:rFonts w:hint="default"/>
      </w:rPr>
    </w:lvl>
    <w:lvl w:ilvl="7" w:tplc="01708AFA">
      <w:start w:val="1"/>
      <w:numFmt w:val="bullet"/>
      <w:lvlText w:val="•"/>
      <w:lvlJc w:val="left"/>
      <w:pPr>
        <w:ind w:left="6551" w:hanging="171"/>
      </w:pPr>
      <w:rPr>
        <w:rFonts w:hint="default"/>
      </w:rPr>
    </w:lvl>
    <w:lvl w:ilvl="8" w:tplc="1D883A0A">
      <w:start w:val="1"/>
      <w:numFmt w:val="bullet"/>
      <w:lvlText w:val="•"/>
      <w:lvlJc w:val="left"/>
      <w:pPr>
        <w:ind w:left="7470" w:hanging="171"/>
      </w:pPr>
      <w:rPr>
        <w:rFonts w:hint="default"/>
      </w:rPr>
    </w:lvl>
  </w:abstractNum>
  <w:abstractNum w:abstractNumId="189" w15:restartNumberingAfterBreak="0">
    <w:nsid w:val="74C04662"/>
    <w:multiLevelType w:val="hybridMultilevel"/>
    <w:tmpl w:val="B57CE9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3">
      <w:start w:val="1"/>
      <w:numFmt w:val="bullet"/>
      <w:lvlText w:val="o"/>
      <w:lvlJc w:val="left"/>
      <w:pPr>
        <w:ind w:left="2880" w:hanging="360"/>
      </w:pPr>
      <w:rPr>
        <w:rFonts w:ascii="Courier New" w:hAnsi="Courier New" w:cs="Courier New"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0" w15:restartNumberingAfterBreak="0">
    <w:nsid w:val="755638A0"/>
    <w:multiLevelType w:val="hybridMultilevel"/>
    <w:tmpl w:val="21866102"/>
    <w:lvl w:ilvl="0" w:tplc="E47E5920">
      <w:start w:val="1"/>
      <w:numFmt w:val="decimal"/>
      <w:lvlText w:val="%1."/>
      <w:lvlJc w:val="left"/>
      <w:pPr>
        <w:ind w:left="498" w:hanging="360"/>
      </w:pPr>
      <w:rPr>
        <w:rFonts w:ascii="Calibri" w:eastAsia="Calibri" w:hAnsi="Calibri" w:hint="default"/>
        <w:sz w:val="22"/>
        <w:szCs w:val="22"/>
      </w:rPr>
    </w:lvl>
    <w:lvl w:ilvl="1" w:tplc="A7FAABA8">
      <w:start w:val="1"/>
      <w:numFmt w:val="bullet"/>
      <w:lvlText w:val="•"/>
      <w:lvlJc w:val="left"/>
      <w:pPr>
        <w:ind w:left="1383" w:hanging="360"/>
      </w:pPr>
      <w:rPr>
        <w:rFonts w:hint="default"/>
      </w:rPr>
    </w:lvl>
    <w:lvl w:ilvl="2" w:tplc="D8A61A52">
      <w:start w:val="1"/>
      <w:numFmt w:val="bullet"/>
      <w:lvlText w:val="•"/>
      <w:lvlJc w:val="left"/>
      <w:pPr>
        <w:ind w:left="2268" w:hanging="360"/>
      </w:pPr>
      <w:rPr>
        <w:rFonts w:hint="default"/>
      </w:rPr>
    </w:lvl>
    <w:lvl w:ilvl="3" w:tplc="086437B4">
      <w:start w:val="1"/>
      <w:numFmt w:val="bullet"/>
      <w:lvlText w:val="•"/>
      <w:lvlJc w:val="left"/>
      <w:pPr>
        <w:ind w:left="3153" w:hanging="360"/>
      </w:pPr>
      <w:rPr>
        <w:rFonts w:hint="default"/>
      </w:rPr>
    </w:lvl>
    <w:lvl w:ilvl="4" w:tplc="4468ADF0">
      <w:start w:val="1"/>
      <w:numFmt w:val="bullet"/>
      <w:lvlText w:val="•"/>
      <w:lvlJc w:val="left"/>
      <w:pPr>
        <w:ind w:left="4037" w:hanging="360"/>
      </w:pPr>
      <w:rPr>
        <w:rFonts w:hint="default"/>
      </w:rPr>
    </w:lvl>
    <w:lvl w:ilvl="5" w:tplc="758CFE1A">
      <w:start w:val="1"/>
      <w:numFmt w:val="bullet"/>
      <w:lvlText w:val="•"/>
      <w:lvlJc w:val="left"/>
      <w:pPr>
        <w:ind w:left="4922" w:hanging="360"/>
      </w:pPr>
      <w:rPr>
        <w:rFonts w:hint="default"/>
      </w:rPr>
    </w:lvl>
    <w:lvl w:ilvl="6" w:tplc="E7D8EC38">
      <w:start w:val="1"/>
      <w:numFmt w:val="bullet"/>
      <w:lvlText w:val="•"/>
      <w:lvlJc w:val="left"/>
      <w:pPr>
        <w:ind w:left="5807" w:hanging="360"/>
      </w:pPr>
      <w:rPr>
        <w:rFonts w:hint="default"/>
      </w:rPr>
    </w:lvl>
    <w:lvl w:ilvl="7" w:tplc="E1422970">
      <w:start w:val="1"/>
      <w:numFmt w:val="bullet"/>
      <w:lvlText w:val="•"/>
      <w:lvlJc w:val="left"/>
      <w:pPr>
        <w:ind w:left="6692" w:hanging="360"/>
      </w:pPr>
      <w:rPr>
        <w:rFonts w:hint="default"/>
      </w:rPr>
    </w:lvl>
    <w:lvl w:ilvl="8" w:tplc="1F4ACFCE">
      <w:start w:val="1"/>
      <w:numFmt w:val="bullet"/>
      <w:lvlText w:val="•"/>
      <w:lvlJc w:val="left"/>
      <w:pPr>
        <w:ind w:left="7576" w:hanging="360"/>
      </w:pPr>
      <w:rPr>
        <w:rFonts w:hint="default"/>
      </w:rPr>
    </w:lvl>
  </w:abstractNum>
  <w:abstractNum w:abstractNumId="191" w15:restartNumberingAfterBreak="0">
    <w:nsid w:val="75AD2FCF"/>
    <w:multiLevelType w:val="hybridMultilevel"/>
    <w:tmpl w:val="8E14F81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2" w15:restartNumberingAfterBreak="0">
    <w:nsid w:val="76556D7D"/>
    <w:multiLevelType w:val="hybridMultilevel"/>
    <w:tmpl w:val="5E6CE498"/>
    <w:lvl w:ilvl="0" w:tplc="269A3A68">
      <w:start w:val="1"/>
      <w:numFmt w:val="bullet"/>
      <w:lvlText w:val=""/>
      <w:lvlJc w:val="left"/>
      <w:pPr>
        <w:ind w:left="838" w:hanging="360"/>
      </w:pPr>
      <w:rPr>
        <w:rFonts w:ascii="Symbol" w:eastAsia="Symbol" w:hAnsi="Symbol" w:hint="default"/>
        <w:w w:val="99"/>
        <w:sz w:val="20"/>
        <w:szCs w:val="20"/>
      </w:rPr>
    </w:lvl>
    <w:lvl w:ilvl="1" w:tplc="176CDE54">
      <w:start w:val="1"/>
      <w:numFmt w:val="bullet"/>
      <w:lvlText w:val="•"/>
      <w:lvlJc w:val="left"/>
      <w:pPr>
        <w:ind w:left="1685" w:hanging="360"/>
      </w:pPr>
      <w:rPr>
        <w:rFonts w:hint="default"/>
      </w:rPr>
    </w:lvl>
    <w:lvl w:ilvl="2" w:tplc="EDF0B8CA">
      <w:start w:val="1"/>
      <w:numFmt w:val="bullet"/>
      <w:lvlText w:val="•"/>
      <w:lvlJc w:val="left"/>
      <w:pPr>
        <w:ind w:left="2532" w:hanging="360"/>
      </w:pPr>
      <w:rPr>
        <w:rFonts w:hint="default"/>
      </w:rPr>
    </w:lvl>
    <w:lvl w:ilvl="3" w:tplc="CC625E3A">
      <w:start w:val="1"/>
      <w:numFmt w:val="bullet"/>
      <w:lvlText w:val="•"/>
      <w:lvlJc w:val="left"/>
      <w:pPr>
        <w:ind w:left="3379" w:hanging="360"/>
      </w:pPr>
      <w:rPr>
        <w:rFonts w:hint="default"/>
      </w:rPr>
    </w:lvl>
    <w:lvl w:ilvl="4" w:tplc="47029890">
      <w:start w:val="1"/>
      <w:numFmt w:val="bullet"/>
      <w:lvlText w:val="•"/>
      <w:lvlJc w:val="left"/>
      <w:pPr>
        <w:ind w:left="4225" w:hanging="360"/>
      </w:pPr>
      <w:rPr>
        <w:rFonts w:hint="default"/>
      </w:rPr>
    </w:lvl>
    <w:lvl w:ilvl="5" w:tplc="59BC0FCC">
      <w:start w:val="1"/>
      <w:numFmt w:val="bullet"/>
      <w:lvlText w:val="•"/>
      <w:lvlJc w:val="left"/>
      <w:pPr>
        <w:ind w:left="5072" w:hanging="360"/>
      </w:pPr>
      <w:rPr>
        <w:rFonts w:hint="default"/>
      </w:rPr>
    </w:lvl>
    <w:lvl w:ilvl="6" w:tplc="6EF65152">
      <w:start w:val="1"/>
      <w:numFmt w:val="bullet"/>
      <w:lvlText w:val="•"/>
      <w:lvlJc w:val="left"/>
      <w:pPr>
        <w:ind w:left="5919" w:hanging="360"/>
      </w:pPr>
      <w:rPr>
        <w:rFonts w:hint="default"/>
      </w:rPr>
    </w:lvl>
    <w:lvl w:ilvl="7" w:tplc="4D0E62B4">
      <w:start w:val="1"/>
      <w:numFmt w:val="bullet"/>
      <w:lvlText w:val="•"/>
      <w:lvlJc w:val="left"/>
      <w:pPr>
        <w:ind w:left="6766" w:hanging="360"/>
      </w:pPr>
      <w:rPr>
        <w:rFonts w:hint="default"/>
      </w:rPr>
    </w:lvl>
    <w:lvl w:ilvl="8" w:tplc="02421BA2">
      <w:start w:val="1"/>
      <w:numFmt w:val="bullet"/>
      <w:lvlText w:val="•"/>
      <w:lvlJc w:val="left"/>
      <w:pPr>
        <w:ind w:left="7612" w:hanging="360"/>
      </w:pPr>
      <w:rPr>
        <w:rFonts w:hint="default"/>
      </w:rPr>
    </w:lvl>
  </w:abstractNum>
  <w:abstractNum w:abstractNumId="193" w15:restartNumberingAfterBreak="0">
    <w:nsid w:val="76F44D67"/>
    <w:multiLevelType w:val="multilevel"/>
    <w:tmpl w:val="248A4CB0"/>
    <w:lvl w:ilvl="0">
      <w:start w:val="1"/>
      <w:numFmt w:val="bullet"/>
      <w:lvlText w:val=""/>
      <w:lvlJc w:val="left"/>
      <w:pPr>
        <w:ind w:left="422" w:hanging="284"/>
      </w:pPr>
      <w:rPr>
        <w:rFonts w:ascii="Symbol" w:eastAsia="Symbol" w:hAnsi="Symbol" w:hint="default"/>
        <w:w w:val="99"/>
        <w:sz w:val="20"/>
        <w:szCs w:val="20"/>
      </w:rPr>
    </w:lvl>
    <w:lvl w:ilvl="1">
      <w:start w:val="1"/>
      <w:numFmt w:val="bullet"/>
      <w:lvlText w:val="-"/>
      <w:lvlJc w:val="left"/>
      <w:pPr>
        <w:ind w:left="685" w:hanging="284"/>
      </w:pPr>
      <w:rPr>
        <w:rFonts w:ascii="Times New Roman" w:eastAsia="Times New Roman" w:hAnsi="Times New Roman" w:hint="default"/>
        <w:sz w:val="22"/>
        <w:szCs w:val="22"/>
      </w:rPr>
    </w:lvl>
    <w:lvl w:ilvl="2">
      <w:start w:val="1"/>
      <w:numFmt w:val="bullet"/>
      <w:lvlText w:val="•"/>
      <w:lvlJc w:val="left"/>
      <w:pPr>
        <w:ind w:left="1643" w:hanging="284"/>
      </w:pPr>
      <w:rPr>
        <w:rFonts w:hint="default"/>
      </w:rPr>
    </w:lvl>
    <w:lvl w:ilvl="3">
      <w:start w:val="1"/>
      <w:numFmt w:val="bullet"/>
      <w:lvlText w:val="•"/>
      <w:lvlJc w:val="left"/>
      <w:pPr>
        <w:ind w:left="2601" w:hanging="284"/>
      </w:pPr>
      <w:rPr>
        <w:rFonts w:hint="default"/>
      </w:rPr>
    </w:lvl>
    <w:lvl w:ilvl="4">
      <w:start w:val="1"/>
      <w:numFmt w:val="bullet"/>
      <w:lvlText w:val="•"/>
      <w:lvlJc w:val="left"/>
      <w:pPr>
        <w:ind w:left="3559" w:hanging="284"/>
      </w:pPr>
      <w:rPr>
        <w:rFonts w:hint="default"/>
      </w:rPr>
    </w:lvl>
    <w:lvl w:ilvl="5">
      <w:start w:val="1"/>
      <w:numFmt w:val="bullet"/>
      <w:lvlText w:val="•"/>
      <w:lvlJc w:val="left"/>
      <w:pPr>
        <w:ind w:left="4516" w:hanging="284"/>
      </w:pPr>
      <w:rPr>
        <w:rFonts w:hint="default"/>
      </w:rPr>
    </w:lvl>
    <w:lvl w:ilvl="6">
      <w:start w:val="1"/>
      <w:numFmt w:val="bullet"/>
      <w:lvlText w:val="•"/>
      <w:lvlJc w:val="left"/>
      <w:pPr>
        <w:ind w:left="5474" w:hanging="284"/>
      </w:pPr>
      <w:rPr>
        <w:rFonts w:hint="default"/>
      </w:rPr>
    </w:lvl>
    <w:lvl w:ilvl="7">
      <w:start w:val="1"/>
      <w:numFmt w:val="bullet"/>
      <w:lvlText w:val="•"/>
      <w:lvlJc w:val="left"/>
      <w:pPr>
        <w:ind w:left="6432" w:hanging="284"/>
      </w:pPr>
      <w:rPr>
        <w:rFonts w:hint="default"/>
      </w:rPr>
    </w:lvl>
    <w:lvl w:ilvl="8">
      <w:start w:val="1"/>
      <w:numFmt w:val="bullet"/>
      <w:lvlText w:val="•"/>
      <w:lvlJc w:val="left"/>
      <w:pPr>
        <w:ind w:left="7390" w:hanging="284"/>
      </w:pPr>
      <w:rPr>
        <w:rFonts w:hint="default"/>
      </w:rPr>
    </w:lvl>
  </w:abstractNum>
  <w:abstractNum w:abstractNumId="194" w15:restartNumberingAfterBreak="0">
    <w:nsid w:val="78A930F8"/>
    <w:multiLevelType w:val="multilevel"/>
    <w:tmpl w:val="225806F8"/>
    <w:lvl w:ilvl="0">
      <w:start w:val="11"/>
      <w:numFmt w:val="decimal"/>
      <w:lvlText w:val="%1"/>
      <w:lvlJc w:val="left"/>
      <w:pPr>
        <w:ind w:left="838" w:hanging="720"/>
      </w:pPr>
      <w:rPr>
        <w:rFonts w:hint="default"/>
      </w:rPr>
    </w:lvl>
    <w:lvl w:ilvl="1">
      <w:start w:val="3"/>
      <w:numFmt w:val="decimal"/>
      <w:lvlText w:val="%1.%2"/>
      <w:lvlJc w:val="left"/>
      <w:pPr>
        <w:ind w:left="838" w:hanging="720"/>
      </w:pPr>
      <w:rPr>
        <w:rFonts w:hint="default"/>
      </w:rPr>
    </w:lvl>
    <w:lvl w:ilvl="2">
      <w:start w:val="1"/>
      <w:numFmt w:val="decimal"/>
      <w:lvlText w:val="%1.%2.%3"/>
      <w:lvlJc w:val="left"/>
      <w:pPr>
        <w:ind w:left="838" w:hanging="720"/>
      </w:pPr>
      <w:rPr>
        <w:rFonts w:ascii="Arial" w:eastAsia="Arial" w:hAnsi="Arial" w:hint="default"/>
        <w:b/>
        <w:bCs/>
        <w:sz w:val="22"/>
        <w:szCs w:val="22"/>
      </w:rPr>
    </w:lvl>
    <w:lvl w:ilvl="3">
      <w:start w:val="1"/>
      <w:numFmt w:val="bullet"/>
      <w:lvlText w:val=""/>
      <w:lvlJc w:val="left"/>
      <w:pPr>
        <w:ind w:left="118" w:hanging="360"/>
      </w:pPr>
      <w:rPr>
        <w:rFonts w:ascii="Symbol" w:eastAsia="Symbol" w:hAnsi="Symbol" w:hint="default"/>
        <w:sz w:val="22"/>
        <w:szCs w:val="22"/>
      </w:rPr>
    </w:lvl>
    <w:lvl w:ilvl="4">
      <w:start w:val="1"/>
      <w:numFmt w:val="bullet"/>
      <w:lvlText w:val="•"/>
      <w:lvlJc w:val="left"/>
      <w:pPr>
        <w:ind w:left="3661"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543" w:hanging="360"/>
      </w:pPr>
      <w:rPr>
        <w:rFonts w:hint="default"/>
      </w:rPr>
    </w:lvl>
    <w:lvl w:ilvl="7">
      <w:start w:val="1"/>
      <w:numFmt w:val="bullet"/>
      <w:lvlText w:val="•"/>
      <w:lvlJc w:val="left"/>
      <w:pPr>
        <w:ind w:left="6483" w:hanging="360"/>
      </w:pPr>
      <w:rPr>
        <w:rFonts w:hint="default"/>
      </w:rPr>
    </w:lvl>
    <w:lvl w:ilvl="8">
      <w:start w:val="1"/>
      <w:numFmt w:val="bullet"/>
      <w:lvlText w:val="•"/>
      <w:lvlJc w:val="left"/>
      <w:pPr>
        <w:ind w:left="7424" w:hanging="360"/>
      </w:pPr>
      <w:rPr>
        <w:rFonts w:hint="default"/>
      </w:rPr>
    </w:lvl>
  </w:abstractNum>
  <w:abstractNum w:abstractNumId="195" w15:restartNumberingAfterBreak="0">
    <w:nsid w:val="7955116D"/>
    <w:multiLevelType w:val="multilevel"/>
    <w:tmpl w:val="9B3E4586"/>
    <w:lvl w:ilvl="0">
      <w:start w:val="7"/>
      <w:numFmt w:val="decimal"/>
      <w:lvlText w:val="%1"/>
      <w:lvlJc w:val="left"/>
      <w:pPr>
        <w:ind w:left="705" w:hanging="567"/>
      </w:pPr>
      <w:rPr>
        <w:rFonts w:hint="default"/>
      </w:rPr>
    </w:lvl>
    <w:lvl w:ilvl="1">
      <w:start w:val="4"/>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858" w:hanging="720"/>
      </w:pPr>
      <w:rPr>
        <w:rFonts w:ascii="Arial" w:eastAsia="Arial" w:hAnsi="Arial" w:hint="default"/>
        <w:b/>
        <w:bCs/>
        <w:sz w:val="22"/>
        <w:szCs w:val="22"/>
      </w:rPr>
    </w:lvl>
    <w:lvl w:ilvl="3">
      <w:start w:val="1"/>
      <w:numFmt w:val="decimal"/>
      <w:lvlText w:val="%1.%2.%3.%4"/>
      <w:lvlJc w:val="left"/>
      <w:pPr>
        <w:ind w:left="838" w:hanging="720"/>
      </w:pPr>
      <w:rPr>
        <w:rFonts w:ascii="Calibri" w:eastAsia="Calibri" w:hAnsi="Calibri" w:hint="default"/>
        <w:b/>
        <w:bCs/>
        <w:i/>
        <w:sz w:val="22"/>
        <w:szCs w:val="22"/>
      </w:rPr>
    </w:lvl>
    <w:lvl w:ilvl="4">
      <w:start w:val="1"/>
      <w:numFmt w:val="bullet"/>
      <w:lvlText w:val="•"/>
      <w:lvlJc w:val="left"/>
      <w:pPr>
        <w:ind w:left="2970" w:hanging="720"/>
      </w:pPr>
      <w:rPr>
        <w:rFonts w:hint="default"/>
      </w:rPr>
    </w:lvl>
    <w:lvl w:ilvl="5">
      <w:start w:val="1"/>
      <w:numFmt w:val="bullet"/>
      <w:lvlText w:val="•"/>
      <w:lvlJc w:val="left"/>
      <w:pPr>
        <w:ind w:left="4026" w:hanging="720"/>
      </w:pPr>
      <w:rPr>
        <w:rFonts w:hint="default"/>
      </w:rPr>
    </w:lvl>
    <w:lvl w:ilvl="6">
      <w:start w:val="1"/>
      <w:numFmt w:val="bullet"/>
      <w:lvlText w:val="•"/>
      <w:lvlJc w:val="left"/>
      <w:pPr>
        <w:ind w:left="5082" w:hanging="720"/>
      </w:pPr>
      <w:rPr>
        <w:rFonts w:hint="default"/>
      </w:rPr>
    </w:lvl>
    <w:lvl w:ilvl="7">
      <w:start w:val="1"/>
      <w:numFmt w:val="bullet"/>
      <w:lvlText w:val="•"/>
      <w:lvlJc w:val="left"/>
      <w:pPr>
        <w:ind w:left="6138" w:hanging="720"/>
      </w:pPr>
      <w:rPr>
        <w:rFonts w:hint="default"/>
      </w:rPr>
    </w:lvl>
    <w:lvl w:ilvl="8">
      <w:start w:val="1"/>
      <w:numFmt w:val="bullet"/>
      <w:lvlText w:val="•"/>
      <w:lvlJc w:val="left"/>
      <w:pPr>
        <w:ind w:left="7194" w:hanging="720"/>
      </w:pPr>
      <w:rPr>
        <w:rFonts w:hint="default"/>
      </w:rPr>
    </w:lvl>
  </w:abstractNum>
  <w:abstractNum w:abstractNumId="196" w15:restartNumberingAfterBreak="0">
    <w:nsid w:val="79CE188C"/>
    <w:multiLevelType w:val="hybridMultilevel"/>
    <w:tmpl w:val="C7326A76"/>
    <w:lvl w:ilvl="0" w:tplc="8B70CD3C">
      <w:start w:val="1"/>
      <w:numFmt w:val="decimal"/>
      <w:lvlText w:val="%1)"/>
      <w:lvlJc w:val="left"/>
      <w:pPr>
        <w:ind w:left="546" w:hanging="428"/>
      </w:pPr>
      <w:rPr>
        <w:rFonts w:ascii="Calibri" w:eastAsia="Calibri" w:hAnsi="Calibri" w:hint="default"/>
        <w:sz w:val="22"/>
        <w:szCs w:val="22"/>
      </w:rPr>
    </w:lvl>
    <w:lvl w:ilvl="1" w:tplc="29E807FE">
      <w:start w:val="1"/>
      <w:numFmt w:val="bullet"/>
      <w:lvlText w:val="•"/>
      <w:lvlJc w:val="left"/>
      <w:pPr>
        <w:ind w:left="1422" w:hanging="428"/>
      </w:pPr>
      <w:rPr>
        <w:rFonts w:hint="default"/>
      </w:rPr>
    </w:lvl>
    <w:lvl w:ilvl="2" w:tplc="FB6E3300">
      <w:start w:val="1"/>
      <w:numFmt w:val="bullet"/>
      <w:lvlText w:val="•"/>
      <w:lvlJc w:val="left"/>
      <w:pPr>
        <w:ind w:left="2298" w:hanging="428"/>
      </w:pPr>
      <w:rPr>
        <w:rFonts w:hint="default"/>
      </w:rPr>
    </w:lvl>
    <w:lvl w:ilvl="3" w:tplc="08CE26D2">
      <w:start w:val="1"/>
      <w:numFmt w:val="bullet"/>
      <w:lvlText w:val="•"/>
      <w:lvlJc w:val="left"/>
      <w:pPr>
        <w:ind w:left="3174" w:hanging="428"/>
      </w:pPr>
      <w:rPr>
        <w:rFonts w:hint="default"/>
      </w:rPr>
    </w:lvl>
    <w:lvl w:ilvl="4" w:tplc="B7EC4F1A">
      <w:start w:val="1"/>
      <w:numFmt w:val="bullet"/>
      <w:lvlText w:val="•"/>
      <w:lvlJc w:val="left"/>
      <w:pPr>
        <w:ind w:left="4050" w:hanging="428"/>
      </w:pPr>
      <w:rPr>
        <w:rFonts w:hint="default"/>
      </w:rPr>
    </w:lvl>
    <w:lvl w:ilvl="5" w:tplc="0E703C26">
      <w:start w:val="1"/>
      <w:numFmt w:val="bullet"/>
      <w:lvlText w:val="•"/>
      <w:lvlJc w:val="left"/>
      <w:pPr>
        <w:ind w:left="4926" w:hanging="428"/>
      </w:pPr>
      <w:rPr>
        <w:rFonts w:hint="default"/>
      </w:rPr>
    </w:lvl>
    <w:lvl w:ilvl="6" w:tplc="03843268">
      <w:start w:val="1"/>
      <w:numFmt w:val="bullet"/>
      <w:lvlText w:val="•"/>
      <w:lvlJc w:val="left"/>
      <w:pPr>
        <w:ind w:left="5802" w:hanging="428"/>
      </w:pPr>
      <w:rPr>
        <w:rFonts w:hint="default"/>
      </w:rPr>
    </w:lvl>
    <w:lvl w:ilvl="7" w:tplc="0DB06CCC">
      <w:start w:val="1"/>
      <w:numFmt w:val="bullet"/>
      <w:lvlText w:val="•"/>
      <w:lvlJc w:val="left"/>
      <w:pPr>
        <w:ind w:left="6678" w:hanging="428"/>
      </w:pPr>
      <w:rPr>
        <w:rFonts w:hint="default"/>
      </w:rPr>
    </w:lvl>
    <w:lvl w:ilvl="8" w:tplc="4B36D58E">
      <w:start w:val="1"/>
      <w:numFmt w:val="bullet"/>
      <w:lvlText w:val="•"/>
      <w:lvlJc w:val="left"/>
      <w:pPr>
        <w:ind w:left="7554" w:hanging="428"/>
      </w:pPr>
      <w:rPr>
        <w:rFonts w:hint="default"/>
      </w:rPr>
    </w:lvl>
  </w:abstractNum>
  <w:abstractNum w:abstractNumId="197" w15:restartNumberingAfterBreak="0">
    <w:nsid w:val="7A4D3DC2"/>
    <w:multiLevelType w:val="hybridMultilevel"/>
    <w:tmpl w:val="0B8439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8" w15:restartNumberingAfterBreak="0">
    <w:nsid w:val="7A9F73CF"/>
    <w:multiLevelType w:val="hybridMultilevel"/>
    <w:tmpl w:val="492ECBDC"/>
    <w:lvl w:ilvl="0" w:tplc="522E4898">
      <w:start w:val="1"/>
      <w:numFmt w:val="decimal"/>
      <w:lvlText w:val="%1."/>
      <w:lvlJc w:val="left"/>
      <w:pPr>
        <w:ind w:left="720" w:hanging="360"/>
      </w:pPr>
      <w:rPr>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9" w15:restartNumberingAfterBreak="0">
    <w:nsid w:val="7C245057"/>
    <w:multiLevelType w:val="hybridMultilevel"/>
    <w:tmpl w:val="ACD26E96"/>
    <w:lvl w:ilvl="0" w:tplc="F38CEE5E">
      <w:start w:val="1"/>
      <w:numFmt w:val="decimal"/>
      <w:lvlText w:val="%1."/>
      <w:lvlJc w:val="left"/>
      <w:pPr>
        <w:ind w:left="820" w:hanging="360"/>
      </w:pPr>
      <w:rPr>
        <w:rFonts w:ascii="Calibri" w:eastAsia="Calibri" w:hAnsi="Calibri" w:hint="default"/>
        <w:sz w:val="22"/>
        <w:szCs w:val="22"/>
      </w:rPr>
    </w:lvl>
    <w:lvl w:ilvl="1" w:tplc="53A67966">
      <w:start w:val="1"/>
      <w:numFmt w:val="lowerLetter"/>
      <w:lvlText w:val="%2."/>
      <w:lvlJc w:val="left"/>
      <w:pPr>
        <w:ind w:left="1540" w:hanging="360"/>
      </w:pPr>
      <w:rPr>
        <w:rFonts w:ascii="Calibri" w:eastAsia="Calibri" w:hAnsi="Calibri" w:hint="default"/>
        <w:spacing w:val="-1"/>
        <w:sz w:val="22"/>
        <w:szCs w:val="22"/>
      </w:rPr>
    </w:lvl>
    <w:lvl w:ilvl="2" w:tplc="9BA469BC">
      <w:start w:val="1"/>
      <w:numFmt w:val="bullet"/>
      <w:lvlText w:val="•"/>
      <w:lvlJc w:val="left"/>
      <w:pPr>
        <w:ind w:left="2433" w:hanging="360"/>
      </w:pPr>
      <w:rPr>
        <w:rFonts w:hint="default"/>
      </w:rPr>
    </w:lvl>
    <w:lvl w:ilvl="3" w:tplc="AC888C6A">
      <w:start w:val="1"/>
      <w:numFmt w:val="bullet"/>
      <w:lvlText w:val="•"/>
      <w:lvlJc w:val="left"/>
      <w:pPr>
        <w:ind w:left="3326" w:hanging="360"/>
      </w:pPr>
      <w:rPr>
        <w:rFonts w:hint="default"/>
      </w:rPr>
    </w:lvl>
    <w:lvl w:ilvl="4" w:tplc="36C20310">
      <w:start w:val="1"/>
      <w:numFmt w:val="bullet"/>
      <w:lvlText w:val="•"/>
      <w:lvlJc w:val="left"/>
      <w:pPr>
        <w:ind w:left="4220" w:hanging="360"/>
      </w:pPr>
      <w:rPr>
        <w:rFonts w:hint="default"/>
      </w:rPr>
    </w:lvl>
    <w:lvl w:ilvl="5" w:tplc="CD5AA1DE">
      <w:start w:val="1"/>
      <w:numFmt w:val="bullet"/>
      <w:lvlText w:val="•"/>
      <w:lvlJc w:val="left"/>
      <w:pPr>
        <w:ind w:left="5113" w:hanging="360"/>
      </w:pPr>
      <w:rPr>
        <w:rFonts w:hint="default"/>
      </w:rPr>
    </w:lvl>
    <w:lvl w:ilvl="6" w:tplc="5C86EA70">
      <w:start w:val="1"/>
      <w:numFmt w:val="bullet"/>
      <w:lvlText w:val="•"/>
      <w:lvlJc w:val="left"/>
      <w:pPr>
        <w:ind w:left="6006" w:hanging="360"/>
      </w:pPr>
      <w:rPr>
        <w:rFonts w:hint="default"/>
      </w:rPr>
    </w:lvl>
    <w:lvl w:ilvl="7" w:tplc="7A8CCD34">
      <w:start w:val="1"/>
      <w:numFmt w:val="bullet"/>
      <w:lvlText w:val="•"/>
      <w:lvlJc w:val="left"/>
      <w:pPr>
        <w:ind w:left="6900" w:hanging="360"/>
      </w:pPr>
      <w:rPr>
        <w:rFonts w:hint="default"/>
      </w:rPr>
    </w:lvl>
    <w:lvl w:ilvl="8" w:tplc="B7D27CE4">
      <w:start w:val="1"/>
      <w:numFmt w:val="bullet"/>
      <w:lvlText w:val="•"/>
      <w:lvlJc w:val="left"/>
      <w:pPr>
        <w:ind w:left="7793" w:hanging="360"/>
      </w:pPr>
      <w:rPr>
        <w:rFonts w:hint="default"/>
      </w:rPr>
    </w:lvl>
  </w:abstractNum>
  <w:abstractNum w:abstractNumId="200" w15:restartNumberingAfterBreak="0">
    <w:nsid w:val="7C290D20"/>
    <w:multiLevelType w:val="hybridMultilevel"/>
    <w:tmpl w:val="7BBC74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1" w15:restartNumberingAfterBreak="0">
    <w:nsid w:val="7CAE6CFD"/>
    <w:multiLevelType w:val="hybridMultilevel"/>
    <w:tmpl w:val="0E7C31BE"/>
    <w:lvl w:ilvl="0" w:tplc="D798736A">
      <w:start w:val="1"/>
      <w:numFmt w:val="decimal"/>
      <w:lvlText w:val="%1."/>
      <w:lvlJc w:val="left"/>
      <w:pPr>
        <w:ind w:left="402" w:hanging="284"/>
      </w:pPr>
      <w:rPr>
        <w:rFonts w:ascii="Calibri" w:eastAsia="Calibri" w:hAnsi="Calibri" w:hint="default"/>
        <w:sz w:val="22"/>
        <w:szCs w:val="22"/>
      </w:rPr>
    </w:lvl>
    <w:lvl w:ilvl="1" w:tplc="3E62C210">
      <w:start w:val="1"/>
      <w:numFmt w:val="bullet"/>
      <w:lvlText w:val="•"/>
      <w:lvlJc w:val="left"/>
      <w:pPr>
        <w:ind w:left="1292" w:hanging="284"/>
      </w:pPr>
      <w:rPr>
        <w:rFonts w:hint="default"/>
      </w:rPr>
    </w:lvl>
    <w:lvl w:ilvl="2" w:tplc="58BA4D8C">
      <w:start w:val="1"/>
      <w:numFmt w:val="bullet"/>
      <w:lvlText w:val="•"/>
      <w:lvlJc w:val="left"/>
      <w:pPr>
        <w:ind w:left="2182" w:hanging="284"/>
      </w:pPr>
      <w:rPr>
        <w:rFonts w:hint="default"/>
      </w:rPr>
    </w:lvl>
    <w:lvl w:ilvl="3" w:tplc="4D8EAC56">
      <w:start w:val="1"/>
      <w:numFmt w:val="bullet"/>
      <w:lvlText w:val="•"/>
      <w:lvlJc w:val="left"/>
      <w:pPr>
        <w:ind w:left="3073" w:hanging="284"/>
      </w:pPr>
      <w:rPr>
        <w:rFonts w:hint="default"/>
      </w:rPr>
    </w:lvl>
    <w:lvl w:ilvl="4" w:tplc="0A0CED8A">
      <w:start w:val="1"/>
      <w:numFmt w:val="bullet"/>
      <w:lvlText w:val="•"/>
      <w:lvlJc w:val="left"/>
      <w:pPr>
        <w:ind w:left="3963" w:hanging="284"/>
      </w:pPr>
      <w:rPr>
        <w:rFonts w:hint="default"/>
      </w:rPr>
    </w:lvl>
    <w:lvl w:ilvl="5" w:tplc="7434797C">
      <w:start w:val="1"/>
      <w:numFmt w:val="bullet"/>
      <w:lvlText w:val="•"/>
      <w:lvlJc w:val="left"/>
      <w:pPr>
        <w:ind w:left="4854" w:hanging="284"/>
      </w:pPr>
      <w:rPr>
        <w:rFonts w:hint="default"/>
      </w:rPr>
    </w:lvl>
    <w:lvl w:ilvl="6" w:tplc="E6F04946">
      <w:start w:val="1"/>
      <w:numFmt w:val="bullet"/>
      <w:lvlText w:val="•"/>
      <w:lvlJc w:val="left"/>
      <w:pPr>
        <w:ind w:left="5744" w:hanging="284"/>
      </w:pPr>
      <w:rPr>
        <w:rFonts w:hint="default"/>
      </w:rPr>
    </w:lvl>
    <w:lvl w:ilvl="7" w:tplc="96AA67E8">
      <w:start w:val="1"/>
      <w:numFmt w:val="bullet"/>
      <w:lvlText w:val="•"/>
      <w:lvlJc w:val="left"/>
      <w:pPr>
        <w:ind w:left="6635" w:hanging="284"/>
      </w:pPr>
      <w:rPr>
        <w:rFonts w:hint="default"/>
      </w:rPr>
    </w:lvl>
    <w:lvl w:ilvl="8" w:tplc="A1F22F0A">
      <w:start w:val="1"/>
      <w:numFmt w:val="bullet"/>
      <w:lvlText w:val="•"/>
      <w:lvlJc w:val="left"/>
      <w:pPr>
        <w:ind w:left="7525" w:hanging="284"/>
      </w:pPr>
      <w:rPr>
        <w:rFonts w:hint="default"/>
      </w:rPr>
    </w:lvl>
  </w:abstractNum>
  <w:abstractNum w:abstractNumId="202" w15:restartNumberingAfterBreak="0">
    <w:nsid w:val="7D8A7BFB"/>
    <w:multiLevelType w:val="multilevel"/>
    <w:tmpl w:val="72A45662"/>
    <w:lvl w:ilvl="0">
      <w:start w:val="14"/>
      <w:numFmt w:val="upperLetter"/>
      <w:lvlText w:val="%1"/>
      <w:lvlJc w:val="left"/>
      <w:pPr>
        <w:ind w:left="218" w:hanging="442"/>
      </w:pPr>
      <w:rPr>
        <w:rFonts w:hint="default"/>
      </w:rPr>
    </w:lvl>
    <w:lvl w:ilvl="1">
      <w:start w:val="2"/>
      <w:numFmt w:val="upperLetter"/>
      <w:lvlText w:val="%1.%2."/>
      <w:lvlJc w:val="left"/>
      <w:pPr>
        <w:ind w:left="218" w:hanging="442"/>
      </w:pPr>
      <w:rPr>
        <w:rFonts w:ascii="Calibri" w:eastAsia="Calibri" w:hAnsi="Calibri" w:hint="default"/>
        <w:spacing w:val="-1"/>
        <w:sz w:val="22"/>
        <w:szCs w:val="22"/>
      </w:rPr>
    </w:lvl>
    <w:lvl w:ilvl="2">
      <w:start w:val="1"/>
      <w:numFmt w:val="bullet"/>
      <w:lvlText w:val=""/>
      <w:lvlJc w:val="left"/>
      <w:pPr>
        <w:ind w:left="938" w:hanging="360"/>
      </w:pPr>
      <w:rPr>
        <w:rFonts w:ascii="Symbol" w:eastAsia="Symbol" w:hAnsi="Symbol" w:hint="default"/>
        <w:sz w:val="22"/>
        <w:szCs w:val="22"/>
      </w:rPr>
    </w:lvl>
    <w:lvl w:ilvl="3">
      <w:start w:val="1"/>
      <w:numFmt w:val="bullet"/>
      <w:lvlText w:val="•"/>
      <w:lvlJc w:val="left"/>
      <w:pPr>
        <w:ind w:left="2820" w:hanging="360"/>
      </w:pPr>
      <w:rPr>
        <w:rFonts w:hint="default"/>
      </w:rPr>
    </w:lvl>
    <w:lvl w:ilvl="4">
      <w:start w:val="1"/>
      <w:numFmt w:val="bullet"/>
      <w:lvlText w:val="•"/>
      <w:lvlJc w:val="left"/>
      <w:pPr>
        <w:ind w:left="3761" w:hanging="360"/>
      </w:pPr>
      <w:rPr>
        <w:rFonts w:hint="default"/>
      </w:rPr>
    </w:lvl>
    <w:lvl w:ilvl="5">
      <w:start w:val="1"/>
      <w:numFmt w:val="bullet"/>
      <w:lvlText w:val="•"/>
      <w:lvlJc w:val="left"/>
      <w:pPr>
        <w:ind w:left="4702" w:hanging="360"/>
      </w:pPr>
      <w:rPr>
        <w:rFonts w:hint="default"/>
      </w:rPr>
    </w:lvl>
    <w:lvl w:ilvl="6">
      <w:start w:val="1"/>
      <w:numFmt w:val="bullet"/>
      <w:lvlText w:val="•"/>
      <w:lvlJc w:val="left"/>
      <w:pPr>
        <w:ind w:left="5643" w:hanging="360"/>
      </w:pPr>
      <w:rPr>
        <w:rFonts w:hint="default"/>
      </w:rPr>
    </w:lvl>
    <w:lvl w:ilvl="7">
      <w:start w:val="1"/>
      <w:numFmt w:val="bullet"/>
      <w:lvlText w:val="•"/>
      <w:lvlJc w:val="left"/>
      <w:pPr>
        <w:ind w:left="6583" w:hanging="360"/>
      </w:pPr>
      <w:rPr>
        <w:rFonts w:hint="default"/>
      </w:rPr>
    </w:lvl>
    <w:lvl w:ilvl="8">
      <w:start w:val="1"/>
      <w:numFmt w:val="bullet"/>
      <w:lvlText w:val="•"/>
      <w:lvlJc w:val="left"/>
      <w:pPr>
        <w:ind w:left="7524" w:hanging="360"/>
      </w:pPr>
      <w:rPr>
        <w:rFonts w:hint="default"/>
      </w:rPr>
    </w:lvl>
  </w:abstractNum>
  <w:abstractNum w:abstractNumId="203" w15:restartNumberingAfterBreak="0">
    <w:nsid w:val="7E403AB8"/>
    <w:multiLevelType w:val="hybridMultilevel"/>
    <w:tmpl w:val="A9CC7F46"/>
    <w:lvl w:ilvl="0" w:tplc="7FB6FF62">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4" w15:restartNumberingAfterBreak="0">
    <w:nsid w:val="7E9738A7"/>
    <w:multiLevelType w:val="hybridMultilevel"/>
    <w:tmpl w:val="45EA7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5" w15:restartNumberingAfterBreak="0">
    <w:nsid w:val="7ED9150E"/>
    <w:multiLevelType w:val="hybridMultilevel"/>
    <w:tmpl w:val="E35E3334"/>
    <w:lvl w:ilvl="0" w:tplc="9CC0F52C">
      <w:start w:val="1"/>
      <w:numFmt w:val="decimal"/>
      <w:lvlText w:val="%1."/>
      <w:lvlJc w:val="left"/>
      <w:pPr>
        <w:ind w:left="460" w:hanging="360"/>
      </w:pPr>
      <w:rPr>
        <w:rFonts w:ascii="Calibri" w:eastAsia="Calibri" w:hAnsi="Calibri" w:hint="default"/>
        <w:sz w:val="22"/>
        <w:szCs w:val="22"/>
      </w:rPr>
    </w:lvl>
    <w:lvl w:ilvl="1" w:tplc="3AC8982C">
      <w:start w:val="1"/>
      <w:numFmt w:val="bullet"/>
      <w:lvlText w:val="•"/>
      <w:lvlJc w:val="left"/>
      <w:pPr>
        <w:ind w:left="1372" w:hanging="360"/>
      </w:pPr>
      <w:rPr>
        <w:rFonts w:hint="default"/>
      </w:rPr>
    </w:lvl>
    <w:lvl w:ilvl="2" w:tplc="56BCBE16">
      <w:start w:val="1"/>
      <w:numFmt w:val="bullet"/>
      <w:lvlText w:val="•"/>
      <w:lvlJc w:val="left"/>
      <w:pPr>
        <w:ind w:left="2284" w:hanging="360"/>
      </w:pPr>
      <w:rPr>
        <w:rFonts w:hint="default"/>
      </w:rPr>
    </w:lvl>
    <w:lvl w:ilvl="3" w:tplc="CADCCF98">
      <w:start w:val="1"/>
      <w:numFmt w:val="bullet"/>
      <w:lvlText w:val="•"/>
      <w:lvlJc w:val="left"/>
      <w:pPr>
        <w:ind w:left="3196" w:hanging="360"/>
      </w:pPr>
      <w:rPr>
        <w:rFonts w:hint="default"/>
      </w:rPr>
    </w:lvl>
    <w:lvl w:ilvl="4" w:tplc="79564B70">
      <w:start w:val="1"/>
      <w:numFmt w:val="bullet"/>
      <w:lvlText w:val="•"/>
      <w:lvlJc w:val="left"/>
      <w:pPr>
        <w:ind w:left="4108" w:hanging="360"/>
      </w:pPr>
      <w:rPr>
        <w:rFonts w:hint="default"/>
      </w:rPr>
    </w:lvl>
    <w:lvl w:ilvl="5" w:tplc="8788D5F2">
      <w:start w:val="1"/>
      <w:numFmt w:val="bullet"/>
      <w:lvlText w:val="•"/>
      <w:lvlJc w:val="left"/>
      <w:pPr>
        <w:ind w:left="5020" w:hanging="360"/>
      </w:pPr>
      <w:rPr>
        <w:rFonts w:hint="default"/>
      </w:rPr>
    </w:lvl>
    <w:lvl w:ilvl="6" w:tplc="4740E322">
      <w:start w:val="1"/>
      <w:numFmt w:val="bullet"/>
      <w:lvlText w:val="•"/>
      <w:lvlJc w:val="left"/>
      <w:pPr>
        <w:ind w:left="5932" w:hanging="360"/>
      </w:pPr>
      <w:rPr>
        <w:rFonts w:hint="default"/>
      </w:rPr>
    </w:lvl>
    <w:lvl w:ilvl="7" w:tplc="2E48DEB8">
      <w:start w:val="1"/>
      <w:numFmt w:val="bullet"/>
      <w:lvlText w:val="•"/>
      <w:lvlJc w:val="left"/>
      <w:pPr>
        <w:ind w:left="6844" w:hanging="360"/>
      </w:pPr>
      <w:rPr>
        <w:rFonts w:hint="default"/>
      </w:rPr>
    </w:lvl>
    <w:lvl w:ilvl="8" w:tplc="DC10F952">
      <w:start w:val="1"/>
      <w:numFmt w:val="bullet"/>
      <w:lvlText w:val="•"/>
      <w:lvlJc w:val="left"/>
      <w:pPr>
        <w:ind w:left="7756" w:hanging="360"/>
      </w:pPr>
      <w:rPr>
        <w:rFonts w:hint="default"/>
      </w:rPr>
    </w:lvl>
  </w:abstractNum>
  <w:abstractNum w:abstractNumId="206" w15:restartNumberingAfterBreak="0">
    <w:nsid w:val="7F006B43"/>
    <w:multiLevelType w:val="multilevel"/>
    <w:tmpl w:val="75B41F18"/>
    <w:lvl w:ilvl="0">
      <w:start w:val="5"/>
      <w:numFmt w:val="decimal"/>
      <w:lvlText w:val="%1"/>
      <w:lvlJc w:val="left"/>
      <w:pPr>
        <w:ind w:left="705" w:hanging="567"/>
      </w:pPr>
      <w:rPr>
        <w:rFonts w:hint="default"/>
      </w:rPr>
    </w:lvl>
    <w:lvl w:ilvl="1">
      <w:start w:val="1"/>
      <w:numFmt w:val="decimal"/>
      <w:lvlText w:val="%1.%2"/>
      <w:lvlJc w:val="left"/>
      <w:pPr>
        <w:ind w:left="705" w:hanging="567"/>
      </w:pPr>
      <w:rPr>
        <w:rFonts w:ascii="Arial" w:eastAsia="Arial" w:hAnsi="Arial" w:hint="default"/>
        <w:b/>
        <w:bCs/>
        <w:sz w:val="24"/>
        <w:szCs w:val="24"/>
      </w:rPr>
    </w:lvl>
    <w:lvl w:ilvl="2">
      <w:start w:val="1"/>
      <w:numFmt w:val="decimal"/>
      <w:lvlText w:val="%1.%2.%3"/>
      <w:lvlJc w:val="left"/>
      <w:pPr>
        <w:ind w:left="858" w:hanging="720"/>
      </w:pPr>
      <w:rPr>
        <w:rFonts w:ascii="Arial" w:eastAsia="Arial" w:hAnsi="Arial" w:hint="default"/>
        <w:b/>
        <w:bCs/>
        <w:sz w:val="22"/>
        <w:szCs w:val="22"/>
      </w:rPr>
    </w:lvl>
    <w:lvl w:ilvl="3">
      <w:start w:val="1"/>
      <w:numFmt w:val="bullet"/>
      <w:lvlText w:val="•"/>
      <w:lvlJc w:val="left"/>
      <w:pPr>
        <w:ind w:left="2744" w:hanging="720"/>
      </w:pPr>
      <w:rPr>
        <w:rFonts w:hint="default"/>
      </w:rPr>
    </w:lvl>
    <w:lvl w:ilvl="4">
      <w:start w:val="1"/>
      <w:numFmt w:val="bullet"/>
      <w:lvlText w:val="•"/>
      <w:lvlJc w:val="left"/>
      <w:pPr>
        <w:ind w:left="3688" w:hanging="720"/>
      </w:pPr>
      <w:rPr>
        <w:rFonts w:hint="default"/>
      </w:rPr>
    </w:lvl>
    <w:lvl w:ilvl="5">
      <w:start w:val="1"/>
      <w:numFmt w:val="bullet"/>
      <w:lvlText w:val="•"/>
      <w:lvlJc w:val="left"/>
      <w:pPr>
        <w:ind w:left="4631" w:hanging="720"/>
      </w:pPr>
      <w:rPr>
        <w:rFonts w:hint="default"/>
      </w:rPr>
    </w:lvl>
    <w:lvl w:ilvl="6">
      <w:start w:val="1"/>
      <w:numFmt w:val="bullet"/>
      <w:lvlText w:val="•"/>
      <w:lvlJc w:val="left"/>
      <w:pPr>
        <w:ind w:left="5574" w:hanging="720"/>
      </w:pPr>
      <w:rPr>
        <w:rFonts w:hint="default"/>
      </w:rPr>
    </w:lvl>
    <w:lvl w:ilvl="7">
      <w:start w:val="1"/>
      <w:numFmt w:val="bullet"/>
      <w:lvlText w:val="•"/>
      <w:lvlJc w:val="left"/>
      <w:pPr>
        <w:ind w:left="6517" w:hanging="720"/>
      </w:pPr>
      <w:rPr>
        <w:rFonts w:hint="default"/>
      </w:rPr>
    </w:lvl>
    <w:lvl w:ilvl="8">
      <w:start w:val="1"/>
      <w:numFmt w:val="bullet"/>
      <w:lvlText w:val="•"/>
      <w:lvlJc w:val="left"/>
      <w:pPr>
        <w:ind w:left="7460" w:hanging="720"/>
      </w:pPr>
      <w:rPr>
        <w:rFonts w:hint="default"/>
      </w:rPr>
    </w:lvl>
  </w:abstractNum>
  <w:abstractNum w:abstractNumId="207" w15:restartNumberingAfterBreak="0">
    <w:nsid w:val="7F222006"/>
    <w:multiLevelType w:val="hybridMultilevel"/>
    <w:tmpl w:val="63948D6E"/>
    <w:lvl w:ilvl="0" w:tplc="23283ED0">
      <w:start w:val="1"/>
      <w:numFmt w:val="decimal"/>
      <w:lvlText w:val="%1."/>
      <w:lvlJc w:val="left"/>
      <w:pPr>
        <w:ind w:left="422" w:hanging="284"/>
      </w:pPr>
      <w:rPr>
        <w:rFonts w:ascii="Calibri" w:eastAsia="Calibri" w:hAnsi="Calibri" w:hint="default"/>
        <w:sz w:val="22"/>
        <w:szCs w:val="22"/>
      </w:rPr>
    </w:lvl>
    <w:lvl w:ilvl="1" w:tplc="1554BD46">
      <w:start w:val="1"/>
      <w:numFmt w:val="bullet"/>
      <w:lvlText w:val="•"/>
      <w:lvlJc w:val="left"/>
      <w:pPr>
        <w:ind w:left="1314" w:hanging="284"/>
      </w:pPr>
      <w:rPr>
        <w:rFonts w:hint="default"/>
      </w:rPr>
    </w:lvl>
    <w:lvl w:ilvl="2" w:tplc="D9704178">
      <w:start w:val="1"/>
      <w:numFmt w:val="bullet"/>
      <w:lvlText w:val="•"/>
      <w:lvlJc w:val="left"/>
      <w:pPr>
        <w:ind w:left="2206" w:hanging="284"/>
      </w:pPr>
      <w:rPr>
        <w:rFonts w:hint="default"/>
      </w:rPr>
    </w:lvl>
    <w:lvl w:ilvl="3" w:tplc="163A025C">
      <w:start w:val="1"/>
      <w:numFmt w:val="bullet"/>
      <w:lvlText w:val="•"/>
      <w:lvlJc w:val="left"/>
      <w:pPr>
        <w:ind w:left="3099" w:hanging="284"/>
      </w:pPr>
      <w:rPr>
        <w:rFonts w:hint="default"/>
      </w:rPr>
    </w:lvl>
    <w:lvl w:ilvl="4" w:tplc="DF58F492">
      <w:start w:val="1"/>
      <w:numFmt w:val="bullet"/>
      <w:lvlText w:val="•"/>
      <w:lvlJc w:val="left"/>
      <w:pPr>
        <w:ind w:left="3991" w:hanging="284"/>
      </w:pPr>
      <w:rPr>
        <w:rFonts w:hint="default"/>
      </w:rPr>
    </w:lvl>
    <w:lvl w:ilvl="5" w:tplc="28F24A28">
      <w:start w:val="1"/>
      <w:numFmt w:val="bullet"/>
      <w:lvlText w:val="•"/>
      <w:lvlJc w:val="left"/>
      <w:pPr>
        <w:ind w:left="4884" w:hanging="284"/>
      </w:pPr>
      <w:rPr>
        <w:rFonts w:hint="default"/>
      </w:rPr>
    </w:lvl>
    <w:lvl w:ilvl="6" w:tplc="6D04CE7E">
      <w:start w:val="1"/>
      <w:numFmt w:val="bullet"/>
      <w:lvlText w:val="•"/>
      <w:lvlJc w:val="left"/>
      <w:pPr>
        <w:ind w:left="5776" w:hanging="284"/>
      </w:pPr>
      <w:rPr>
        <w:rFonts w:hint="default"/>
      </w:rPr>
    </w:lvl>
    <w:lvl w:ilvl="7" w:tplc="435EFBAC">
      <w:start w:val="1"/>
      <w:numFmt w:val="bullet"/>
      <w:lvlText w:val="•"/>
      <w:lvlJc w:val="left"/>
      <w:pPr>
        <w:ind w:left="6669" w:hanging="284"/>
      </w:pPr>
      <w:rPr>
        <w:rFonts w:hint="default"/>
      </w:rPr>
    </w:lvl>
    <w:lvl w:ilvl="8" w:tplc="BFCA4ECA">
      <w:start w:val="1"/>
      <w:numFmt w:val="bullet"/>
      <w:lvlText w:val="•"/>
      <w:lvlJc w:val="left"/>
      <w:pPr>
        <w:ind w:left="7561" w:hanging="284"/>
      </w:pPr>
      <w:rPr>
        <w:rFonts w:hint="default"/>
      </w:rPr>
    </w:lvl>
  </w:abstractNum>
  <w:num w:numId="1">
    <w:abstractNumId w:val="82"/>
  </w:num>
  <w:num w:numId="2">
    <w:abstractNumId w:val="170"/>
  </w:num>
  <w:num w:numId="3">
    <w:abstractNumId w:val="12"/>
  </w:num>
  <w:num w:numId="4">
    <w:abstractNumId w:val="169"/>
  </w:num>
  <w:num w:numId="5">
    <w:abstractNumId w:val="65"/>
  </w:num>
  <w:num w:numId="6">
    <w:abstractNumId w:val="1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3"/>
  </w:num>
  <w:num w:numId="8">
    <w:abstractNumId w:val="200"/>
  </w:num>
  <w:num w:numId="9">
    <w:abstractNumId w:val="22"/>
  </w:num>
  <w:num w:numId="10">
    <w:abstractNumId w:val="14"/>
  </w:num>
  <w:num w:numId="11">
    <w:abstractNumId w:val="74"/>
  </w:num>
  <w:num w:numId="12">
    <w:abstractNumId w:val="7"/>
  </w:num>
  <w:num w:numId="13">
    <w:abstractNumId w:val="57"/>
  </w:num>
  <w:num w:numId="14">
    <w:abstractNumId w:val="31"/>
  </w:num>
  <w:num w:numId="15">
    <w:abstractNumId w:val="158"/>
  </w:num>
  <w:num w:numId="16">
    <w:abstractNumId w:val="83"/>
  </w:num>
  <w:num w:numId="17">
    <w:abstractNumId w:val="183"/>
  </w:num>
  <w:num w:numId="18">
    <w:abstractNumId w:val="75"/>
  </w:num>
  <w:num w:numId="19">
    <w:abstractNumId w:val="16"/>
  </w:num>
  <w:num w:numId="20">
    <w:abstractNumId w:val="174"/>
  </w:num>
  <w:num w:numId="21">
    <w:abstractNumId w:val="91"/>
  </w:num>
  <w:num w:numId="22">
    <w:abstractNumId w:val="45"/>
  </w:num>
  <w:num w:numId="23">
    <w:abstractNumId w:val="85"/>
  </w:num>
  <w:num w:numId="24">
    <w:abstractNumId w:val="17"/>
  </w:num>
  <w:num w:numId="25">
    <w:abstractNumId w:val="77"/>
  </w:num>
  <w:num w:numId="26">
    <w:abstractNumId w:val="197"/>
  </w:num>
  <w:num w:numId="27">
    <w:abstractNumId w:val="99"/>
  </w:num>
  <w:num w:numId="28">
    <w:abstractNumId w:val="148"/>
  </w:num>
  <w:num w:numId="29">
    <w:abstractNumId w:val="101"/>
  </w:num>
  <w:num w:numId="30">
    <w:abstractNumId w:val="26"/>
  </w:num>
  <w:num w:numId="31">
    <w:abstractNumId w:val="159"/>
  </w:num>
  <w:num w:numId="32">
    <w:abstractNumId w:val="69"/>
  </w:num>
  <w:num w:numId="33">
    <w:abstractNumId w:val="67"/>
  </w:num>
  <w:num w:numId="34">
    <w:abstractNumId w:val="176"/>
  </w:num>
  <w:num w:numId="35">
    <w:abstractNumId w:val="189"/>
  </w:num>
  <w:num w:numId="36">
    <w:abstractNumId w:val="161"/>
  </w:num>
  <w:num w:numId="37">
    <w:abstractNumId w:val="155"/>
  </w:num>
  <w:num w:numId="38">
    <w:abstractNumId w:val="144"/>
  </w:num>
  <w:num w:numId="39">
    <w:abstractNumId w:val="115"/>
  </w:num>
  <w:num w:numId="40">
    <w:abstractNumId w:val="8"/>
  </w:num>
  <w:num w:numId="41">
    <w:abstractNumId w:val="39"/>
  </w:num>
  <w:num w:numId="42">
    <w:abstractNumId w:val="177"/>
  </w:num>
  <w:num w:numId="43">
    <w:abstractNumId w:val="156"/>
  </w:num>
  <w:num w:numId="44">
    <w:abstractNumId w:val="178"/>
  </w:num>
  <w:num w:numId="45">
    <w:abstractNumId w:val="138"/>
  </w:num>
  <w:num w:numId="46">
    <w:abstractNumId w:val="0"/>
  </w:num>
  <w:num w:numId="47">
    <w:abstractNumId w:val="49"/>
  </w:num>
  <w:num w:numId="48">
    <w:abstractNumId w:val="30"/>
  </w:num>
  <w:num w:numId="49">
    <w:abstractNumId w:val="121"/>
  </w:num>
  <w:num w:numId="50">
    <w:abstractNumId w:val="131"/>
  </w:num>
  <w:num w:numId="51">
    <w:abstractNumId w:val="103"/>
  </w:num>
  <w:num w:numId="52">
    <w:abstractNumId w:val="29"/>
  </w:num>
  <w:num w:numId="53">
    <w:abstractNumId w:val="38"/>
  </w:num>
  <w:num w:numId="54">
    <w:abstractNumId w:val="102"/>
  </w:num>
  <w:num w:numId="55">
    <w:abstractNumId w:val="80"/>
  </w:num>
  <w:num w:numId="56">
    <w:abstractNumId w:val="20"/>
  </w:num>
  <w:num w:numId="57">
    <w:abstractNumId w:val="120"/>
  </w:num>
  <w:num w:numId="58">
    <w:abstractNumId w:val="162"/>
  </w:num>
  <w:num w:numId="59">
    <w:abstractNumId w:val="105"/>
  </w:num>
  <w:num w:numId="60">
    <w:abstractNumId w:val="52"/>
  </w:num>
  <w:num w:numId="61">
    <w:abstractNumId w:val="199"/>
  </w:num>
  <w:num w:numId="62">
    <w:abstractNumId w:val="133"/>
  </w:num>
  <w:num w:numId="63">
    <w:abstractNumId w:val="94"/>
  </w:num>
  <w:num w:numId="64">
    <w:abstractNumId w:val="108"/>
  </w:num>
  <w:num w:numId="65">
    <w:abstractNumId w:val="157"/>
  </w:num>
  <w:num w:numId="66">
    <w:abstractNumId w:val="202"/>
  </w:num>
  <w:num w:numId="67">
    <w:abstractNumId w:val="114"/>
  </w:num>
  <w:num w:numId="68">
    <w:abstractNumId w:val="188"/>
  </w:num>
  <w:num w:numId="69">
    <w:abstractNumId w:val="175"/>
  </w:num>
  <w:num w:numId="70">
    <w:abstractNumId w:val="194"/>
  </w:num>
  <w:num w:numId="71">
    <w:abstractNumId w:val="58"/>
  </w:num>
  <w:num w:numId="72">
    <w:abstractNumId w:val="10"/>
  </w:num>
  <w:num w:numId="73">
    <w:abstractNumId w:val="107"/>
  </w:num>
  <w:num w:numId="74">
    <w:abstractNumId w:val="182"/>
  </w:num>
  <w:num w:numId="75">
    <w:abstractNumId w:val="173"/>
  </w:num>
  <w:num w:numId="76">
    <w:abstractNumId w:val="64"/>
  </w:num>
  <w:num w:numId="77">
    <w:abstractNumId w:val="40"/>
  </w:num>
  <w:num w:numId="78">
    <w:abstractNumId w:val="122"/>
  </w:num>
  <w:num w:numId="79">
    <w:abstractNumId w:val="192"/>
  </w:num>
  <w:num w:numId="80">
    <w:abstractNumId w:val="96"/>
  </w:num>
  <w:num w:numId="81">
    <w:abstractNumId w:val="34"/>
  </w:num>
  <w:num w:numId="82">
    <w:abstractNumId w:val="137"/>
  </w:num>
  <w:num w:numId="83">
    <w:abstractNumId w:val="89"/>
  </w:num>
  <w:num w:numId="84">
    <w:abstractNumId w:val="11"/>
  </w:num>
  <w:num w:numId="85">
    <w:abstractNumId w:val="109"/>
  </w:num>
  <w:num w:numId="86">
    <w:abstractNumId w:val="113"/>
  </w:num>
  <w:num w:numId="87">
    <w:abstractNumId w:val="110"/>
  </w:num>
  <w:num w:numId="88">
    <w:abstractNumId w:val="4"/>
  </w:num>
  <w:num w:numId="89">
    <w:abstractNumId w:val="146"/>
  </w:num>
  <w:num w:numId="90">
    <w:abstractNumId w:val="181"/>
  </w:num>
  <w:num w:numId="91">
    <w:abstractNumId w:val="168"/>
  </w:num>
  <w:num w:numId="92">
    <w:abstractNumId w:val="9"/>
  </w:num>
  <w:num w:numId="93">
    <w:abstractNumId w:val="160"/>
  </w:num>
  <w:num w:numId="94">
    <w:abstractNumId w:val="25"/>
  </w:num>
  <w:num w:numId="95">
    <w:abstractNumId w:val="135"/>
  </w:num>
  <w:num w:numId="96">
    <w:abstractNumId w:val="186"/>
  </w:num>
  <w:num w:numId="97">
    <w:abstractNumId w:val="55"/>
  </w:num>
  <w:num w:numId="98">
    <w:abstractNumId w:val="72"/>
  </w:num>
  <w:num w:numId="99">
    <w:abstractNumId w:val="112"/>
  </w:num>
  <w:num w:numId="100">
    <w:abstractNumId w:val="24"/>
  </w:num>
  <w:num w:numId="101">
    <w:abstractNumId w:val="3"/>
  </w:num>
  <w:num w:numId="102">
    <w:abstractNumId w:val="136"/>
  </w:num>
  <w:num w:numId="103">
    <w:abstractNumId w:val="195"/>
  </w:num>
  <w:num w:numId="104">
    <w:abstractNumId w:val="190"/>
  </w:num>
  <w:num w:numId="105">
    <w:abstractNumId w:val="147"/>
  </w:num>
  <w:num w:numId="106">
    <w:abstractNumId w:val="50"/>
  </w:num>
  <w:num w:numId="107">
    <w:abstractNumId w:val="86"/>
  </w:num>
  <w:num w:numId="108">
    <w:abstractNumId w:val="171"/>
  </w:num>
  <w:num w:numId="109">
    <w:abstractNumId w:val="60"/>
  </w:num>
  <w:num w:numId="110">
    <w:abstractNumId w:val="79"/>
  </w:num>
  <w:num w:numId="111">
    <w:abstractNumId w:val="207"/>
  </w:num>
  <w:num w:numId="112">
    <w:abstractNumId w:val="206"/>
  </w:num>
  <w:num w:numId="113">
    <w:abstractNumId w:val="167"/>
  </w:num>
  <w:num w:numId="114">
    <w:abstractNumId w:val="149"/>
  </w:num>
  <w:num w:numId="115">
    <w:abstractNumId w:val="153"/>
  </w:num>
  <w:num w:numId="116">
    <w:abstractNumId w:val="41"/>
  </w:num>
  <w:num w:numId="117">
    <w:abstractNumId w:val="119"/>
  </w:num>
  <w:num w:numId="118">
    <w:abstractNumId w:val="90"/>
  </w:num>
  <w:num w:numId="119">
    <w:abstractNumId w:val="185"/>
  </w:num>
  <w:num w:numId="120">
    <w:abstractNumId w:val="23"/>
  </w:num>
  <w:num w:numId="121">
    <w:abstractNumId w:val="129"/>
  </w:num>
  <w:num w:numId="122">
    <w:abstractNumId w:val="53"/>
  </w:num>
  <w:num w:numId="123">
    <w:abstractNumId w:val="5"/>
  </w:num>
  <w:num w:numId="124">
    <w:abstractNumId w:val="180"/>
  </w:num>
  <w:num w:numId="125">
    <w:abstractNumId w:val="48"/>
  </w:num>
  <w:num w:numId="126">
    <w:abstractNumId w:val="51"/>
  </w:num>
  <w:num w:numId="127">
    <w:abstractNumId w:val="125"/>
  </w:num>
  <w:num w:numId="128">
    <w:abstractNumId w:val="15"/>
  </w:num>
  <w:num w:numId="129">
    <w:abstractNumId w:val="134"/>
  </w:num>
  <w:num w:numId="130">
    <w:abstractNumId w:val="18"/>
  </w:num>
  <w:num w:numId="131">
    <w:abstractNumId w:val="196"/>
  </w:num>
  <w:num w:numId="132">
    <w:abstractNumId w:val="32"/>
  </w:num>
  <w:num w:numId="133">
    <w:abstractNumId w:val="116"/>
  </w:num>
  <w:num w:numId="134">
    <w:abstractNumId w:val="71"/>
  </w:num>
  <w:num w:numId="135">
    <w:abstractNumId w:val="201"/>
  </w:num>
  <w:num w:numId="136">
    <w:abstractNumId w:val="172"/>
  </w:num>
  <w:num w:numId="137">
    <w:abstractNumId w:val="124"/>
  </w:num>
  <w:num w:numId="138">
    <w:abstractNumId w:val="6"/>
  </w:num>
  <w:num w:numId="139">
    <w:abstractNumId w:val="70"/>
  </w:num>
  <w:num w:numId="140">
    <w:abstractNumId w:val="88"/>
  </w:num>
  <w:num w:numId="141">
    <w:abstractNumId w:val="165"/>
  </w:num>
  <w:num w:numId="142">
    <w:abstractNumId w:val="104"/>
  </w:num>
  <w:num w:numId="143">
    <w:abstractNumId w:val="93"/>
  </w:num>
  <w:num w:numId="144">
    <w:abstractNumId w:val="42"/>
  </w:num>
  <w:num w:numId="145">
    <w:abstractNumId w:val="126"/>
  </w:num>
  <w:num w:numId="146">
    <w:abstractNumId w:val="205"/>
    <w:lvlOverride w:ilvl="0">
      <w:startOverride w:val="1"/>
    </w:lvlOverride>
    <w:lvlOverride w:ilvl="1"/>
    <w:lvlOverride w:ilvl="2"/>
    <w:lvlOverride w:ilvl="3"/>
    <w:lvlOverride w:ilvl="4"/>
    <w:lvlOverride w:ilvl="5"/>
    <w:lvlOverride w:ilvl="6"/>
    <w:lvlOverride w:ilvl="7"/>
    <w:lvlOverride w:ilvl="8"/>
  </w:num>
  <w:num w:numId="147">
    <w:abstractNumId w:val="19"/>
  </w:num>
  <w:num w:numId="148">
    <w:abstractNumId w:val="117"/>
  </w:num>
  <w:num w:numId="149">
    <w:abstractNumId w:val="63"/>
  </w:num>
  <w:num w:numId="150">
    <w:abstractNumId w:val="36"/>
  </w:num>
  <w:num w:numId="151">
    <w:abstractNumId w:val="184"/>
  </w:num>
  <w:num w:numId="152">
    <w:abstractNumId w:val="152"/>
  </w:num>
  <w:num w:numId="153">
    <w:abstractNumId w:val="95"/>
  </w:num>
  <w:num w:numId="154">
    <w:abstractNumId w:val="27"/>
  </w:num>
  <w:num w:numId="155">
    <w:abstractNumId w:val="140"/>
  </w:num>
  <w:num w:numId="156">
    <w:abstractNumId w:val="62"/>
  </w:num>
  <w:num w:numId="157">
    <w:abstractNumId w:val="193"/>
  </w:num>
  <w:num w:numId="158">
    <w:abstractNumId w:val="43"/>
  </w:num>
  <w:num w:numId="159">
    <w:abstractNumId w:val="98"/>
  </w:num>
  <w:num w:numId="160">
    <w:abstractNumId w:val="1"/>
  </w:num>
  <w:num w:numId="161">
    <w:abstractNumId w:val="35"/>
  </w:num>
  <w:num w:numId="162">
    <w:abstractNumId w:val="28"/>
  </w:num>
  <w:num w:numId="163">
    <w:abstractNumId w:val="81"/>
  </w:num>
  <w:num w:numId="164">
    <w:abstractNumId w:val="68"/>
  </w:num>
  <w:num w:numId="165">
    <w:abstractNumId w:val="37"/>
  </w:num>
  <w:num w:numId="166">
    <w:abstractNumId w:val="123"/>
  </w:num>
  <w:num w:numId="167">
    <w:abstractNumId w:val="203"/>
  </w:num>
  <w:num w:numId="168">
    <w:abstractNumId w:val="164"/>
  </w:num>
  <w:num w:numId="169">
    <w:abstractNumId w:val="100"/>
  </w:num>
  <w:num w:numId="170">
    <w:abstractNumId w:val="191"/>
  </w:num>
  <w:num w:numId="171">
    <w:abstractNumId w:val="127"/>
  </w:num>
  <w:num w:numId="172">
    <w:abstractNumId w:val="179"/>
  </w:num>
  <w:num w:numId="173">
    <w:abstractNumId w:val="33"/>
  </w:num>
  <w:num w:numId="174">
    <w:abstractNumId w:val="76"/>
  </w:num>
  <w:num w:numId="175">
    <w:abstractNumId w:val="13"/>
  </w:num>
  <w:num w:numId="176">
    <w:abstractNumId w:val="145"/>
  </w:num>
  <w:num w:numId="177">
    <w:abstractNumId w:val="87"/>
  </w:num>
  <w:num w:numId="178">
    <w:abstractNumId w:val="92"/>
  </w:num>
  <w:num w:numId="179">
    <w:abstractNumId w:val="143"/>
  </w:num>
  <w:num w:numId="180">
    <w:abstractNumId w:val="132"/>
  </w:num>
  <w:num w:numId="181">
    <w:abstractNumId w:val="150"/>
  </w:num>
  <w:num w:numId="182">
    <w:abstractNumId w:val="21"/>
  </w:num>
  <w:num w:numId="183">
    <w:abstractNumId w:val="66"/>
  </w:num>
  <w:num w:numId="184">
    <w:abstractNumId w:val="56"/>
  </w:num>
  <w:num w:numId="185">
    <w:abstractNumId w:val="73"/>
  </w:num>
  <w:num w:numId="186">
    <w:abstractNumId w:val="54"/>
  </w:num>
  <w:num w:numId="187">
    <w:abstractNumId w:val="46"/>
  </w:num>
  <w:num w:numId="188">
    <w:abstractNumId w:val="47"/>
  </w:num>
  <w:num w:numId="189">
    <w:abstractNumId w:val="154"/>
  </w:num>
  <w:num w:numId="190">
    <w:abstractNumId w:val="106"/>
  </w:num>
  <w:num w:numId="191">
    <w:abstractNumId w:val="204"/>
  </w:num>
  <w:num w:numId="192">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141"/>
  </w:num>
  <w:num w:numId="197">
    <w:abstractNumId w:val="166"/>
  </w:num>
  <w:num w:numId="198">
    <w:abstractNumId w:val="139"/>
  </w:num>
  <w:num w:numId="199">
    <w:abstractNumId w:val="111"/>
  </w:num>
  <w:num w:numId="200">
    <w:abstractNumId w:val="59"/>
  </w:num>
  <w:num w:numId="201">
    <w:abstractNumId w:val="198"/>
  </w:num>
  <w:num w:numId="202">
    <w:abstractNumId w:val="2"/>
  </w:num>
  <w:num w:numId="203">
    <w:abstractNumId w:val="61"/>
  </w:num>
  <w:num w:numId="204">
    <w:abstractNumId w:val="128"/>
  </w:num>
  <w:num w:numId="205">
    <w:abstractNumId w:val="187"/>
  </w:num>
  <w:num w:numId="206">
    <w:abstractNumId w:val="97"/>
  </w:num>
  <w:num w:numId="207">
    <w:abstractNumId w:val="78"/>
  </w:num>
  <w:num w:numId="208">
    <w:abstractNumId w:val="130"/>
  </w:num>
  <w:num w:numId="209">
    <w:abstractNumId w:val="118"/>
  </w:num>
  <w:num w:numId="210">
    <w:abstractNumId w:val="12"/>
  </w:num>
  <w:numIdMacAtCleanup w:val="2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activeWritingStyle w:appName="MSWord" w:lang="fr-FR" w:vendorID="64" w:dllVersion="131078" w:nlCheck="1" w:checkStyle="0"/>
  <w:activeWritingStyle w:appName="MSWord" w:lang="en-AU" w:vendorID="64" w:dllVersion="131078" w:nlCheck="1" w:checkStyle="1"/>
  <w:activeWritingStyle w:appName="MSWord" w:lang="en-GB" w:vendorID="64" w:dllVersion="131078" w:nlCheck="1" w:checkStyle="1"/>
  <w:revisionView w:inkAnnotations="0"/>
  <w:defaultTabStop w:val="720"/>
  <w:drawingGridHorizontalSpacing w:val="110"/>
  <w:displayHorizontalDrawingGridEvery w:val="2"/>
  <w:characterSpacingControl w:val="doNotCompress"/>
  <w:hdrShapeDefaults>
    <o:shapedefaults v:ext="edit" spidmax="32769" style="mso-position-horizontal:center;mso-position-horizontal-relative:margin;mso-position-vertical:center;mso-position-vertical-relative:margin" o:allowincell="f" fillcolor="silver" stroke="f">
      <v:fill color="silver" opacity=".5"/>
      <v:stroke on="f"/>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GBRMPA reports&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apfddtwo2e9z5e5vxoxafs7sf59wfp52rvf&quot;&gt;All References&lt;record-ids&gt;&lt;item&gt;54&lt;/item&gt;&lt;item&gt;196&lt;/item&gt;&lt;item&gt;753&lt;/item&gt;&lt;item&gt;1082&lt;/item&gt;&lt;item&gt;1206&lt;/item&gt;&lt;item&gt;1216&lt;/item&gt;&lt;item&gt;1236&lt;/item&gt;&lt;item&gt;1289&lt;/item&gt;&lt;item&gt;1290&lt;/item&gt;&lt;item&gt;1291&lt;/item&gt;&lt;item&gt;1292&lt;/item&gt;&lt;item&gt;1293&lt;/item&gt;&lt;item&gt;1294&lt;/item&gt;&lt;item&gt;1295&lt;/item&gt;&lt;item&gt;1296&lt;/item&gt;&lt;item&gt;1297&lt;/item&gt;&lt;item&gt;1298&lt;/item&gt;&lt;item&gt;1299&lt;/item&gt;&lt;item&gt;1300&lt;/item&gt;&lt;item&gt;1301&lt;/item&gt;&lt;item&gt;1302&lt;/item&gt;&lt;item&gt;1303&lt;/item&gt;&lt;item&gt;1304&lt;/item&gt;&lt;item&gt;1305&lt;/item&gt;&lt;item&gt;1306&lt;/item&gt;&lt;item&gt;1307&lt;/item&gt;&lt;item&gt;1308&lt;/item&gt;&lt;item&gt;1309&lt;/item&gt;&lt;item&gt;1310&lt;/item&gt;&lt;item&gt;1311&lt;/item&gt;&lt;item&gt;1312&lt;/item&gt;&lt;item&gt;1313&lt;/item&gt;&lt;item&gt;1314&lt;/item&gt;&lt;item&gt;1315&lt;/item&gt;&lt;item&gt;1316&lt;/item&gt;&lt;item&gt;1317&lt;/item&gt;&lt;item&gt;1318&lt;/item&gt;&lt;item&gt;1319&lt;/item&gt;&lt;item&gt;1320&lt;/item&gt;&lt;item&gt;1321&lt;/item&gt;&lt;item&gt;1322&lt;/item&gt;&lt;item&gt;1323&lt;/item&gt;&lt;item&gt;1324&lt;/item&gt;&lt;item&gt;1325&lt;/item&gt;&lt;item&gt;1326&lt;/item&gt;&lt;item&gt;1327&lt;/item&gt;&lt;item&gt;1328&lt;/item&gt;&lt;item&gt;1329&lt;/item&gt;&lt;item&gt;1330&lt;/item&gt;&lt;item&gt;1331&lt;/item&gt;&lt;item&gt;1332&lt;/item&gt;&lt;item&gt;1333&lt;/item&gt;&lt;item&gt;1334&lt;/item&gt;&lt;item&gt;1335&lt;/item&gt;&lt;item&gt;1336&lt;/item&gt;&lt;item&gt;1337&lt;/item&gt;&lt;/record-ids&gt;&lt;/item&gt;&lt;/Libraries&gt;"/>
  </w:docVars>
  <w:rsids>
    <w:rsidRoot w:val="008C7CFD"/>
    <w:rsid w:val="00000919"/>
    <w:rsid w:val="00002A7B"/>
    <w:rsid w:val="00003CBC"/>
    <w:rsid w:val="0000453D"/>
    <w:rsid w:val="00011A73"/>
    <w:rsid w:val="000131CA"/>
    <w:rsid w:val="00014A28"/>
    <w:rsid w:val="00015656"/>
    <w:rsid w:val="00015EF7"/>
    <w:rsid w:val="0001778E"/>
    <w:rsid w:val="00020384"/>
    <w:rsid w:val="000209B6"/>
    <w:rsid w:val="00022318"/>
    <w:rsid w:val="0002590D"/>
    <w:rsid w:val="00025CDC"/>
    <w:rsid w:val="00026B94"/>
    <w:rsid w:val="00027747"/>
    <w:rsid w:val="00033DFA"/>
    <w:rsid w:val="00034C3F"/>
    <w:rsid w:val="000355BC"/>
    <w:rsid w:val="00035642"/>
    <w:rsid w:val="00035780"/>
    <w:rsid w:val="00036574"/>
    <w:rsid w:val="0003740F"/>
    <w:rsid w:val="00040832"/>
    <w:rsid w:val="00040ACC"/>
    <w:rsid w:val="00041031"/>
    <w:rsid w:val="00041576"/>
    <w:rsid w:val="00044563"/>
    <w:rsid w:val="00047F77"/>
    <w:rsid w:val="0005104C"/>
    <w:rsid w:val="00051638"/>
    <w:rsid w:val="00051A4E"/>
    <w:rsid w:val="00051F0F"/>
    <w:rsid w:val="00053108"/>
    <w:rsid w:val="000547F6"/>
    <w:rsid w:val="00054C38"/>
    <w:rsid w:val="00055005"/>
    <w:rsid w:val="000558D9"/>
    <w:rsid w:val="0006161A"/>
    <w:rsid w:val="000620AC"/>
    <w:rsid w:val="00062389"/>
    <w:rsid w:val="00063DC1"/>
    <w:rsid w:val="00064F6F"/>
    <w:rsid w:val="0006725A"/>
    <w:rsid w:val="000709E8"/>
    <w:rsid w:val="0007355D"/>
    <w:rsid w:val="00073A9D"/>
    <w:rsid w:val="00084431"/>
    <w:rsid w:val="00085B47"/>
    <w:rsid w:val="000923AB"/>
    <w:rsid w:val="00092524"/>
    <w:rsid w:val="000925D1"/>
    <w:rsid w:val="0009384B"/>
    <w:rsid w:val="00093D39"/>
    <w:rsid w:val="00094D0F"/>
    <w:rsid w:val="00095A05"/>
    <w:rsid w:val="00096BFB"/>
    <w:rsid w:val="000A0996"/>
    <w:rsid w:val="000A1071"/>
    <w:rsid w:val="000A31A1"/>
    <w:rsid w:val="000A3BD4"/>
    <w:rsid w:val="000A729E"/>
    <w:rsid w:val="000B096B"/>
    <w:rsid w:val="000B3563"/>
    <w:rsid w:val="000B42D0"/>
    <w:rsid w:val="000B584E"/>
    <w:rsid w:val="000B6B9C"/>
    <w:rsid w:val="000C290F"/>
    <w:rsid w:val="000C2C06"/>
    <w:rsid w:val="000C648E"/>
    <w:rsid w:val="000C6A48"/>
    <w:rsid w:val="000C7BDF"/>
    <w:rsid w:val="000D084D"/>
    <w:rsid w:val="000D099D"/>
    <w:rsid w:val="000D1336"/>
    <w:rsid w:val="000D3238"/>
    <w:rsid w:val="000D3429"/>
    <w:rsid w:val="000D3999"/>
    <w:rsid w:val="000D4127"/>
    <w:rsid w:val="000D578D"/>
    <w:rsid w:val="000D64C9"/>
    <w:rsid w:val="000D68DE"/>
    <w:rsid w:val="000D75AC"/>
    <w:rsid w:val="000E00C1"/>
    <w:rsid w:val="000E19EC"/>
    <w:rsid w:val="000E1E0A"/>
    <w:rsid w:val="000E27E3"/>
    <w:rsid w:val="000E3217"/>
    <w:rsid w:val="000E6935"/>
    <w:rsid w:val="000E7F53"/>
    <w:rsid w:val="000F089C"/>
    <w:rsid w:val="000F359E"/>
    <w:rsid w:val="000F44F7"/>
    <w:rsid w:val="000F4667"/>
    <w:rsid w:val="000F4761"/>
    <w:rsid w:val="000F506C"/>
    <w:rsid w:val="000F50E4"/>
    <w:rsid w:val="000F53CF"/>
    <w:rsid w:val="001004E5"/>
    <w:rsid w:val="001010A2"/>
    <w:rsid w:val="001018F1"/>
    <w:rsid w:val="00101995"/>
    <w:rsid w:val="00103CD6"/>
    <w:rsid w:val="001055FA"/>
    <w:rsid w:val="0010639A"/>
    <w:rsid w:val="00106C0C"/>
    <w:rsid w:val="00107B80"/>
    <w:rsid w:val="0011095D"/>
    <w:rsid w:val="0011151B"/>
    <w:rsid w:val="00112303"/>
    <w:rsid w:val="00114475"/>
    <w:rsid w:val="00114B93"/>
    <w:rsid w:val="001152EF"/>
    <w:rsid w:val="0011534A"/>
    <w:rsid w:val="00120487"/>
    <w:rsid w:val="0012318B"/>
    <w:rsid w:val="00124D04"/>
    <w:rsid w:val="00127250"/>
    <w:rsid w:val="001306F0"/>
    <w:rsid w:val="0013094B"/>
    <w:rsid w:val="00132444"/>
    <w:rsid w:val="00132C21"/>
    <w:rsid w:val="00132E98"/>
    <w:rsid w:val="00133097"/>
    <w:rsid w:val="0013319A"/>
    <w:rsid w:val="00133905"/>
    <w:rsid w:val="00134D1D"/>
    <w:rsid w:val="001358E8"/>
    <w:rsid w:val="001375F7"/>
    <w:rsid w:val="00141A86"/>
    <w:rsid w:val="00142FBE"/>
    <w:rsid w:val="00143DB0"/>
    <w:rsid w:val="001450FC"/>
    <w:rsid w:val="00145735"/>
    <w:rsid w:val="00145BF7"/>
    <w:rsid w:val="001513F1"/>
    <w:rsid w:val="001530AB"/>
    <w:rsid w:val="0015336A"/>
    <w:rsid w:val="0015616A"/>
    <w:rsid w:val="00156A26"/>
    <w:rsid w:val="001579CE"/>
    <w:rsid w:val="00162190"/>
    <w:rsid w:val="00162308"/>
    <w:rsid w:val="0016486D"/>
    <w:rsid w:val="001648A1"/>
    <w:rsid w:val="00166B22"/>
    <w:rsid w:val="00170253"/>
    <w:rsid w:val="00170A7A"/>
    <w:rsid w:val="001712DF"/>
    <w:rsid w:val="0017255A"/>
    <w:rsid w:val="00172665"/>
    <w:rsid w:val="0017322C"/>
    <w:rsid w:val="001779DA"/>
    <w:rsid w:val="00180583"/>
    <w:rsid w:val="00180F0D"/>
    <w:rsid w:val="00181F1E"/>
    <w:rsid w:val="00183DFE"/>
    <w:rsid w:val="001841F6"/>
    <w:rsid w:val="001857A5"/>
    <w:rsid w:val="001861B8"/>
    <w:rsid w:val="00186915"/>
    <w:rsid w:val="00186A4E"/>
    <w:rsid w:val="0019085C"/>
    <w:rsid w:val="001925BE"/>
    <w:rsid w:val="00192DF5"/>
    <w:rsid w:val="001930CA"/>
    <w:rsid w:val="00193BCD"/>
    <w:rsid w:val="00195A4A"/>
    <w:rsid w:val="00195C0B"/>
    <w:rsid w:val="0019622A"/>
    <w:rsid w:val="0019644A"/>
    <w:rsid w:val="001967C0"/>
    <w:rsid w:val="0019707A"/>
    <w:rsid w:val="001A3610"/>
    <w:rsid w:val="001A4D90"/>
    <w:rsid w:val="001A5E21"/>
    <w:rsid w:val="001B1700"/>
    <w:rsid w:val="001B2418"/>
    <w:rsid w:val="001B57B8"/>
    <w:rsid w:val="001C0483"/>
    <w:rsid w:val="001C10CB"/>
    <w:rsid w:val="001C168A"/>
    <w:rsid w:val="001C1BFA"/>
    <w:rsid w:val="001C3697"/>
    <w:rsid w:val="001C3D43"/>
    <w:rsid w:val="001C5ED0"/>
    <w:rsid w:val="001C6437"/>
    <w:rsid w:val="001D02A2"/>
    <w:rsid w:val="001D0BAC"/>
    <w:rsid w:val="001D0C61"/>
    <w:rsid w:val="001D0D13"/>
    <w:rsid w:val="001D13B9"/>
    <w:rsid w:val="001D1C86"/>
    <w:rsid w:val="001D204A"/>
    <w:rsid w:val="001D21AE"/>
    <w:rsid w:val="001D2A9A"/>
    <w:rsid w:val="001D3967"/>
    <w:rsid w:val="001D5641"/>
    <w:rsid w:val="001D607D"/>
    <w:rsid w:val="001D6847"/>
    <w:rsid w:val="001D77FB"/>
    <w:rsid w:val="001E0A87"/>
    <w:rsid w:val="001E0ADF"/>
    <w:rsid w:val="001E1C5B"/>
    <w:rsid w:val="001E374B"/>
    <w:rsid w:val="001E5433"/>
    <w:rsid w:val="001E697F"/>
    <w:rsid w:val="001E6A8F"/>
    <w:rsid w:val="001E7CDE"/>
    <w:rsid w:val="001F10B9"/>
    <w:rsid w:val="001F3FBC"/>
    <w:rsid w:val="00200DA3"/>
    <w:rsid w:val="00202D04"/>
    <w:rsid w:val="00210396"/>
    <w:rsid w:val="002111CD"/>
    <w:rsid w:val="00212232"/>
    <w:rsid w:val="00213B2C"/>
    <w:rsid w:val="002164A6"/>
    <w:rsid w:val="002201BB"/>
    <w:rsid w:val="002211B0"/>
    <w:rsid w:val="00221607"/>
    <w:rsid w:val="00222079"/>
    <w:rsid w:val="00224F35"/>
    <w:rsid w:val="00227756"/>
    <w:rsid w:val="00231801"/>
    <w:rsid w:val="00232FB2"/>
    <w:rsid w:val="002338CE"/>
    <w:rsid w:val="002359B2"/>
    <w:rsid w:val="00235B39"/>
    <w:rsid w:val="002414D9"/>
    <w:rsid w:val="0024180E"/>
    <w:rsid w:val="0024554B"/>
    <w:rsid w:val="00247787"/>
    <w:rsid w:val="00252325"/>
    <w:rsid w:val="0025238B"/>
    <w:rsid w:val="0025270C"/>
    <w:rsid w:val="00252E9F"/>
    <w:rsid w:val="0025331F"/>
    <w:rsid w:val="002566C2"/>
    <w:rsid w:val="00260752"/>
    <w:rsid w:val="0026488C"/>
    <w:rsid w:val="0026499F"/>
    <w:rsid w:val="002661C5"/>
    <w:rsid w:val="00266E71"/>
    <w:rsid w:val="002670A8"/>
    <w:rsid w:val="00270534"/>
    <w:rsid w:val="00271C23"/>
    <w:rsid w:val="00275A56"/>
    <w:rsid w:val="00276D26"/>
    <w:rsid w:val="0028122E"/>
    <w:rsid w:val="00281ECF"/>
    <w:rsid w:val="00281EEC"/>
    <w:rsid w:val="00282617"/>
    <w:rsid w:val="002855F3"/>
    <w:rsid w:val="00287FED"/>
    <w:rsid w:val="00292049"/>
    <w:rsid w:val="00292C82"/>
    <w:rsid w:val="00292DFC"/>
    <w:rsid w:val="00292E37"/>
    <w:rsid w:val="00293921"/>
    <w:rsid w:val="00295070"/>
    <w:rsid w:val="002978FE"/>
    <w:rsid w:val="002A0D3B"/>
    <w:rsid w:val="002A2019"/>
    <w:rsid w:val="002A2BEB"/>
    <w:rsid w:val="002A2CCC"/>
    <w:rsid w:val="002A3315"/>
    <w:rsid w:val="002A5174"/>
    <w:rsid w:val="002A58C6"/>
    <w:rsid w:val="002B4D69"/>
    <w:rsid w:val="002C3CAA"/>
    <w:rsid w:val="002C45B7"/>
    <w:rsid w:val="002C68DC"/>
    <w:rsid w:val="002D094B"/>
    <w:rsid w:val="002D1C75"/>
    <w:rsid w:val="002D2EFA"/>
    <w:rsid w:val="002D6249"/>
    <w:rsid w:val="002D628A"/>
    <w:rsid w:val="002D6609"/>
    <w:rsid w:val="002D702F"/>
    <w:rsid w:val="002D7822"/>
    <w:rsid w:val="002E0510"/>
    <w:rsid w:val="002E0761"/>
    <w:rsid w:val="002E0D5D"/>
    <w:rsid w:val="002E10AA"/>
    <w:rsid w:val="002E22C4"/>
    <w:rsid w:val="002E23B7"/>
    <w:rsid w:val="002E2623"/>
    <w:rsid w:val="002E600A"/>
    <w:rsid w:val="002F1129"/>
    <w:rsid w:val="002F1162"/>
    <w:rsid w:val="002F161E"/>
    <w:rsid w:val="002F235A"/>
    <w:rsid w:val="002F4673"/>
    <w:rsid w:val="002F4A8E"/>
    <w:rsid w:val="002F4E7E"/>
    <w:rsid w:val="002F6901"/>
    <w:rsid w:val="002F7425"/>
    <w:rsid w:val="0030095E"/>
    <w:rsid w:val="0030207C"/>
    <w:rsid w:val="003028C5"/>
    <w:rsid w:val="003043BA"/>
    <w:rsid w:val="0030452D"/>
    <w:rsid w:val="003063E5"/>
    <w:rsid w:val="00306DC7"/>
    <w:rsid w:val="00310257"/>
    <w:rsid w:val="00310A9A"/>
    <w:rsid w:val="00312548"/>
    <w:rsid w:val="00312834"/>
    <w:rsid w:val="003164A7"/>
    <w:rsid w:val="0031675F"/>
    <w:rsid w:val="003208EC"/>
    <w:rsid w:val="00322094"/>
    <w:rsid w:val="00325989"/>
    <w:rsid w:val="00326B23"/>
    <w:rsid w:val="00327835"/>
    <w:rsid w:val="003310CF"/>
    <w:rsid w:val="00336E69"/>
    <w:rsid w:val="00340324"/>
    <w:rsid w:val="0034050C"/>
    <w:rsid w:val="00341259"/>
    <w:rsid w:val="0034167E"/>
    <w:rsid w:val="00342310"/>
    <w:rsid w:val="00342802"/>
    <w:rsid w:val="00344362"/>
    <w:rsid w:val="00345E85"/>
    <w:rsid w:val="00347199"/>
    <w:rsid w:val="003474FC"/>
    <w:rsid w:val="0035044F"/>
    <w:rsid w:val="003505CC"/>
    <w:rsid w:val="00351E6B"/>
    <w:rsid w:val="00354166"/>
    <w:rsid w:val="003543DE"/>
    <w:rsid w:val="00354BC7"/>
    <w:rsid w:val="00354CAC"/>
    <w:rsid w:val="00356AD1"/>
    <w:rsid w:val="00361E6D"/>
    <w:rsid w:val="0036236F"/>
    <w:rsid w:val="00363A85"/>
    <w:rsid w:val="00363EBB"/>
    <w:rsid w:val="003640F6"/>
    <w:rsid w:val="00366002"/>
    <w:rsid w:val="00366569"/>
    <w:rsid w:val="00366580"/>
    <w:rsid w:val="00370EFA"/>
    <w:rsid w:val="00371F77"/>
    <w:rsid w:val="00372A34"/>
    <w:rsid w:val="00372D1F"/>
    <w:rsid w:val="00373F05"/>
    <w:rsid w:val="00374388"/>
    <w:rsid w:val="00375196"/>
    <w:rsid w:val="003756F5"/>
    <w:rsid w:val="0037585D"/>
    <w:rsid w:val="00375BAE"/>
    <w:rsid w:val="0037657F"/>
    <w:rsid w:val="0037693C"/>
    <w:rsid w:val="00381345"/>
    <w:rsid w:val="0038219C"/>
    <w:rsid w:val="00383250"/>
    <w:rsid w:val="00383D28"/>
    <w:rsid w:val="003841D3"/>
    <w:rsid w:val="003847DA"/>
    <w:rsid w:val="0038480D"/>
    <w:rsid w:val="00386ADA"/>
    <w:rsid w:val="003876FC"/>
    <w:rsid w:val="00390A52"/>
    <w:rsid w:val="00394E0B"/>
    <w:rsid w:val="00396DEE"/>
    <w:rsid w:val="00396FF8"/>
    <w:rsid w:val="00397544"/>
    <w:rsid w:val="003A1160"/>
    <w:rsid w:val="003A2BF8"/>
    <w:rsid w:val="003A33F9"/>
    <w:rsid w:val="003A4173"/>
    <w:rsid w:val="003A513C"/>
    <w:rsid w:val="003A5642"/>
    <w:rsid w:val="003A6006"/>
    <w:rsid w:val="003A71D4"/>
    <w:rsid w:val="003A78DC"/>
    <w:rsid w:val="003B103C"/>
    <w:rsid w:val="003B371D"/>
    <w:rsid w:val="003B51B3"/>
    <w:rsid w:val="003B6581"/>
    <w:rsid w:val="003C00E0"/>
    <w:rsid w:val="003C251F"/>
    <w:rsid w:val="003C469B"/>
    <w:rsid w:val="003C7E1D"/>
    <w:rsid w:val="003D0156"/>
    <w:rsid w:val="003D32E4"/>
    <w:rsid w:val="003D3303"/>
    <w:rsid w:val="003D3960"/>
    <w:rsid w:val="003D4A6B"/>
    <w:rsid w:val="003E4F41"/>
    <w:rsid w:val="003E5C34"/>
    <w:rsid w:val="003E7002"/>
    <w:rsid w:val="003F3148"/>
    <w:rsid w:val="003F4DC0"/>
    <w:rsid w:val="003F6206"/>
    <w:rsid w:val="003F69E3"/>
    <w:rsid w:val="003F6B1A"/>
    <w:rsid w:val="003F70F1"/>
    <w:rsid w:val="004000F2"/>
    <w:rsid w:val="004004DA"/>
    <w:rsid w:val="00402206"/>
    <w:rsid w:val="0040286C"/>
    <w:rsid w:val="004040CF"/>
    <w:rsid w:val="00404425"/>
    <w:rsid w:val="0040495B"/>
    <w:rsid w:val="00404B84"/>
    <w:rsid w:val="00405D4E"/>
    <w:rsid w:val="00410311"/>
    <w:rsid w:val="00410405"/>
    <w:rsid w:val="00410AC5"/>
    <w:rsid w:val="0041119A"/>
    <w:rsid w:val="004111D7"/>
    <w:rsid w:val="00412529"/>
    <w:rsid w:val="00414588"/>
    <w:rsid w:val="00414A37"/>
    <w:rsid w:val="00415EE4"/>
    <w:rsid w:val="00416D70"/>
    <w:rsid w:val="004173BE"/>
    <w:rsid w:val="00417555"/>
    <w:rsid w:val="0041755C"/>
    <w:rsid w:val="004177B8"/>
    <w:rsid w:val="0042021F"/>
    <w:rsid w:val="004208F0"/>
    <w:rsid w:val="00421025"/>
    <w:rsid w:val="00421EC6"/>
    <w:rsid w:val="0042233F"/>
    <w:rsid w:val="00422AF5"/>
    <w:rsid w:val="004252CE"/>
    <w:rsid w:val="00425F9A"/>
    <w:rsid w:val="00426349"/>
    <w:rsid w:val="0043257F"/>
    <w:rsid w:val="0043500D"/>
    <w:rsid w:val="00436DDE"/>
    <w:rsid w:val="00437B0B"/>
    <w:rsid w:val="00442C98"/>
    <w:rsid w:val="004430F1"/>
    <w:rsid w:val="0045023F"/>
    <w:rsid w:val="00450283"/>
    <w:rsid w:val="00451218"/>
    <w:rsid w:val="0045293A"/>
    <w:rsid w:val="00453169"/>
    <w:rsid w:val="0045465B"/>
    <w:rsid w:val="004605EE"/>
    <w:rsid w:val="00463E17"/>
    <w:rsid w:val="00466057"/>
    <w:rsid w:val="00466107"/>
    <w:rsid w:val="00466655"/>
    <w:rsid w:val="004666F9"/>
    <w:rsid w:val="004671A0"/>
    <w:rsid w:val="00467C6D"/>
    <w:rsid w:val="00471224"/>
    <w:rsid w:val="00472A55"/>
    <w:rsid w:val="00472EF0"/>
    <w:rsid w:val="0047339C"/>
    <w:rsid w:val="004741A2"/>
    <w:rsid w:val="00475962"/>
    <w:rsid w:val="00475FAB"/>
    <w:rsid w:val="00477ABA"/>
    <w:rsid w:val="00477B7C"/>
    <w:rsid w:val="00480A6A"/>
    <w:rsid w:val="00481760"/>
    <w:rsid w:val="00481E41"/>
    <w:rsid w:val="0048324E"/>
    <w:rsid w:val="004836E8"/>
    <w:rsid w:val="004837D4"/>
    <w:rsid w:val="004864FC"/>
    <w:rsid w:val="00487DB1"/>
    <w:rsid w:val="00492C9A"/>
    <w:rsid w:val="00496782"/>
    <w:rsid w:val="00497784"/>
    <w:rsid w:val="004A048A"/>
    <w:rsid w:val="004A3840"/>
    <w:rsid w:val="004A3C40"/>
    <w:rsid w:val="004A5A69"/>
    <w:rsid w:val="004A5C83"/>
    <w:rsid w:val="004A5DCA"/>
    <w:rsid w:val="004A5ED0"/>
    <w:rsid w:val="004A72A1"/>
    <w:rsid w:val="004B0732"/>
    <w:rsid w:val="004B190F"/>
    <w:rsid w:val="004B3171"/>
    <w:rsid w:val="004B337E"/>
    <w:rsid w:val="004B4B3D"/>
    <w:rsid w:val="004B4C72"/>
    <w:rsid w:val="004B6ECC"/>
    <w:rsid w:val="004B7CF3"/>
    <w:rsid w:val="004C10FF"/>
    <w:rsid w:val="004C13CC"/>
    <w:rsid w:val="004C67F5"/>
    <w:rsid w:val="004C75B1"/>
    <w:rsid w:val="004D0B35"/>
    <w:rsid w:val="004D1E22"/>
    <w:rsid w:val="004D25C7"/>
    <w:rsid w:val="004D2844"/>
    <w:rsid w:val="004D30DF"/>
    <w:rsid w:val="004D488C"/>
    <w:rsid w:val="004D659C"/>
    <w:rsid w:val="004D6EF6"/>
    <w:rsid w:val="004E4B30"/>
    <w:rsid w:val="004E5B0A"/>
    <w:rsid w:val="004F17F6"/>
    <w:rsid w:val="004F1F41"/>
    <w:rsid w:val="004F29DF"/>
    <w:rsid w:val="004F4434"/>
    <w:rsid w:val="004F5AE3"/>
    <w:rsid w:val="004F5B75"/>
    <w:rsid w:val="004F7B83"/>
    <w:rsid w:val="005003F7"/>
    <w:rsid w:val="005053FF"/>
    <w:rsid w:val="00505525"/>
    <w:rsid w:val="00505926"/>
    <w:rsid w:val="00505ECC"/>
    <w:rsid w:val="00506969"/>
    <w:rsid w:val="00506BD3"/>
    <w:rsid w:val="005102A0"/>
    <w:rsid w:val="005108E5"/>
    <w:rsid w:val="00510BBE"/>
    <w:rsid w:val="00510FDF"/>
    <w:rsid w:val="005110E3"/>
    <w:rsid w:val="00512A35"/>
    <w:rsid w:val="005132C3"/>
    <w:rsid w:val="005135DA"/>
    <w:rsid w:val="0051554C"/>
    <w:rsid w:val="0051562D"/>
    <w:rsid w:val="00515B9F"/>
    <w:rsid w:val="0051633E"/>
    <w:rsid w:val="005239C6"/>
    <w:rsid w:val="00524AA0"/>
    <w:rsid w:val="005269CD"/>
    <w:rsid w:val="00527B13"/>
    <w:rsid w:val="005305AE"/>
    <w:rsid w:val="00530AC1"/>
    <w:rsid w:val="00531525"/>
    <w:rsid w:val="00531EF5"/>
    <w:rsid w:val="00531F2F"/>
    <w:rsid w:val="00532B38"/>
    <w:rsid w:val="005333D6"/>
    <w:rsid w:val="00533F5C"/>
    <w:rsid w:val="005343D3"/>
    <w:rsid w:val="00535BA5"/>
    <w:rsid w:val="00535F23"/>
    <w:rsid w:val="00536CD8"/>
    <w:rsid w:val="0054001D"/>
    <w:rsid w:val="00540CF7"/>
    <w:rsid w:val="005415AF"/>
    <w:rsid w:val="005432A1"/>
    <w:rsid w:val="00544B6E"/>
    <w:rsid w:val="0054556E"/>
    <w:rsid w:val="00545987"/>
    <w:rsid w:val="005461E1"/>
    <w:rsid w:val="005477E2"/>
    <w:rsid w:val="005505E5"/>
    <w:rsid w:val="005527E3"/>
    <w:rsid w:val="00554DCC"/>
    <w:rsid w:val="005579DB"/>
    <w:rsid w:val="0056167A"/>
    <w:rsid w:val="00565C98"/>
    <w:rsid w:val="00565E24"/>
    <w:rsid w:val="005668F9"/>
    <w:rsid w:val="005678E9"/>
    <w:rsid w:val="005700B3"/>
    <w:rsid w:val="005700E4"/>
    <w:rsid w:val="00572C40"/>
    <w:rsid w:val="00573605"/>
    <w:rsid w:val="005761F2"/>
    <w:rsid w:val="00576A1A"/>
    <w:rsid w:val="0057756F"/>
    <w:rsid w:val="005779D5"/>
    <w:rsid w:val="0058066D"/>
    <w:rsid w:val="00581704"/>
    <w:rsid w:val="0058370B"/>
    <w:rsid w:val="00585B84"/>
    <w:rsid w:val="00585C2F"/>
    <w:rsid w:val="005868C6"/>
    <w:rsid w:val="00586B4B"/>
    <w:rsid w:val="00587BCF"/>
    <w:rsid w:val="00590F0A"/>
    <w:rsid w:val="0059125D"/>
    <w:rsid w:val="00593055"/>
    <w:rsid w:val="005945E5"/>
    <w:rsid w:val="00596691"/>
    <w:rsid w:val="005977B2"/>
    <w:rsid w:val="005977E8"/>
    <w:rsid w:val="005A1102"/>
    <w:rsid w:val="005A35E3"/>
    <w:rsid w:val="005A371A"/>
    <w:rsid w:val="005A5919"/>
    <w:rsid w:val="005A6343"/>
    <w:rsid w:val="005A6516"/>
    <w:rsid w:val="005B05F4"/>
    <w:rsid w:val="005B0EB7"/>
    <w:rsid w:val="005B1A8B"/>
    <w:rsid w:val="005B2581"/>
    <w:rsid w:val="005B2E25"/>
    <w:rsid w:val="005B2E98"/>
    <w:rsid w:val="005B6B5A"/>
    <w:rsid w:val="005B730C"/>
    <w:rsid w:val="005B7F25"/>
    <w:rsid w:val="005C0B79"/>
    <w:rsid w:val="005C61AF"/>
    <w:rsid w:val="005C726E"/>
    <w:rsid w:val="005C7D4A"/>
    <w:rsid w:val="005D1328"/>
    <w:rsid w:val="005D584D"/>
    <w:rsid w:val="005D62C9"/>
    <w:rsid w:val="005E02D0"/>
    <w:rsid w:val="005E37CE"/>
    <w:rsid w:val="005E5A85"/>
    <w:rsid w:val="005E6BFB"/>
    <w:rsid w:val="005F1BCF"/>
    <w:rsid w:val="005F4C81"/>
    <w:rsid w:val="005F5263"/>
    <w:rsid w:val="005F624B"/>
    <w:rsid w:val="0060039A"/>
    <w:rsid w:val="00600477"/>
    <w:rsid w:val="006004B6"/>
    <w:rsid w:val="0060173D"/>
    <w:rsid w:val="00602F12"/>
    <w:rsid w:val="006032F4"/>
    <w:rsid w:val="00604998"/>
    <w:rsid w:val="006050ED"/>
    <w:rsid w:val="00607C5E"/>
    <w:rsid w:val="006121EF"/>
    <w:rsid w:val="00613C82"/>
    <w:rsid w:val="0061418A"/>
    <w:rsid w:val="0061524D"/>
    <w:rsid w:val="006152F4"/>
    <w:rsid w:val="006158EB"/>
    <w:rsid w:val="00620C94"/>
    <w:rsid w:val="00621C2B"/>
    <w:rsid w:val="00622701"/>
    <w:rsid w:val="00622D2F"/>
    <w:rsid w:val="00623785"/>
    <w:rsid w:val="00624E74"/>
    <w:rsid w:val="00625748"/>
    <w:rsid w:val="00627C8F"/>
    <w:rsid w:val="006319B2"/>
    <w:rsid w:val="006345F0"/>
    <w:rsid w:val="006348B5"/>
    <w:rsid w:val="0063499B"/>
    <w:rsid w:val="00636FB3"/>
    <w:rsid w:val="006378B0"/>
    <w:rsid w:val="0064271D"/>
    <w:rsid w:val="00642749"/>
    <w:rsid w:val="00643FE6"/>
    <w:rsid w:val="00647966"/>
    <w:rsid w:val="00650C8C"/>
    <w:rsid w:val="006538EA"/>
    <w:rsid w:val="0065581C"/>
    <w:rsid w:val="00655DEC"/>
    <w:rsid w:val="00657239"/>
    <w:rsid w:val="00657B55"/>
    <w:rsid w:val="0066015D"/>
    <w:rsid w:val="00660229"/>
    <w:rsid w:val="0066133A"/>
    <w:rsid w:val="00662E0E"/>
    <w:rsid w:val="00663222"/>
    <w:rsid w:val="0066378C"/>
    <w:rsid w:val="0066406E"/>
    <w:rsid w:val="00664214"/>
    <w:rsid w:val="00664784"/>
    <w:rsid w:val="00666AF6"/>
    <w:rsid w:val="00671546"/>
    <w:rsid w:val="0067588D"/>
    <w:rsid w:val="006758E1"/>
    <w:rsid w:val="00676316"/>
    <w:rsid w:val="00676EF7"/>
    <w:rsid w:val="00680554"/>
    <w:rsid w:val="006817BA"/>
    <w:rsid w:val="00683179"/>
    <w:rsid w:val="0068318C"/>
    <w:rsid w:val="006832C0"/>
    <w:rsid w:val="0068364E"/>
    <w:rsid w:val="00684189"/>
    <w:rsid w:val="00684262"/>
    <w:rsid w:val="00684DA3"/>
    <w:rsid w:val="00684EF0"/>
    <w:rsid w:val="006859B1"/>
    <w:rsid w:val="00685B15"/>
    <w:rsid w:val="00685EAC"/>
    <w:rsid w:val="00686A9D"/>
    <w:rsid w:val="00690CE5"/>
    <w:rsid w:val="0069275B"/>
    <w:rsid w:val="00693C45"/>
    <w:rsid w:val="006940F4"/>
    <w:rsid w:val="00694160"/>
    <w:rsid w:val="00694FB2"/>
    <w:rsid w:val="00695BEE"/>
    <w:rsid w:val="00695DDF"/>
    <w:rsid w:val="006962F6"/>
    <w:rsid w:val="00697912"/>
    <w:rsid w:val="006A07E5"/>
    <w:rsid w:val="006A510D"/>
    <w:rsid w:val="006B1D5F"/>
    <w:rsid w:val="006B360F"/>
    <w:rsid w:val="006B5965"/>
    <w:rsid w:val="006B651B"/>
    <w:rsid w:val="006C00E4"/>
    <w:rsid w:val="006C0E0F"/>
    <w:rsid w:val="006C1C47"/>
    <w:rsid w:val="006C255F"/>
    <w:rsid w:val="006C67E6"/>
    <w:rsid w:val="006C698C"/>
    <w:rsid w:val="006C704D"/>
    <w:rsid w:val="006C7D42"/>
    <w:rsid w:val="006C7E99"/>
    <w:rsid w:val="006D5B41"/>
    <w:rsid w:val="006E02C8"/>
    <w:rsid w:val="006E2F1B"/>
    <w:rsid w:val="006E4035"/>
    <w:rsid w:val="006E5818"/>
    <w:rsid w:val="006E5F0A"/>
    <w:rsid w:val="006E70B5"/>
    <w:rsid w:val="006E7C0A"/>
    <w:rsid w:val="006F0FE9"/>
    <w:rsid w:val="006F1540"/>
    <w:rsid w:val="006F1E2B"/>
    <w:rsid w:val="006F2B4D"/>
    <w:rsid w:val="006F4AA5"/>
    <w:rsid w:val="006F5E17"/>
    <w:rsid w:val="0070190E"/>
    <w:rsid w:val="007048C1"/>
    <w:rsid w:val="0070763C"/>
    <w:rsid w:val="00710B81"/>
    <w:rsid w:val="00711AF1"/>
    <w:rsid w:val="00711B7D"/>
    <w:rsid w:val="00712C10"/>
    <w:rsid w:val="00714174"/>
    <w:rsid w:val="00715302"/>
    <w:rsid w:val="0071564C"/>
    <w:rsid w:val="00715E4B"/>
    <w:rsid w:val="00716EF7"/>
    <w:rsid w:val="007177E2"/>
    <w:rsid w:val="00720FB4"/>
    <w:rsid w:val="00721894"/>
    <w:rsid w:val="00721980"/>
    <w:rsid w:val="00723241"/>
    <w:rsid w:val="00723F0F"/>
    <w:rsid w:val="00724985"/>
    <w:rsid w:val="007268E3"/>
    <w:rsid w:val="00727BE9"/>
    <w:rsid w:val="00731167"/>
    <w:rsid w:val="00734782"/>
    <w:rsid w:val="0073614F"/>
    <w:rsid w:val="00740B55"/>
    <w:rsid w:val="0074140C"/>
    <w:rsid w:val="007432DE"/>
    <w:rsid w:val="0074399A"/>
    <w:rsid w:val="00744642"/>
    <w:rsid w:val="007456F2"/>
    <w:rsid w:val="007460E0"/>
    <w:rsid w:val="00747A4D"/>
    <w:rsid w:val="007529A8"/>
    <w:rsid w:val="00753A8E"/>
    <w:rsid w:val="00754D88"/>
    <w:rsid w:val="00760274"/>
    <w:rsid w:val="00761C50"/>
    <w:rsid w:val="00761EB1"/>
    <w:rsid w:val="007636E7"/>
    <w:rsid w:val="00770397"/>
    <w:rsid w:val="0077222C"/>
    <w:rsid w:val="00774440"/>
    <w:rsid w:val="007753A5"/>
    <w:rsid w:val="00777322"/>
    <w:rsid w:val="007773CC"/>
    <w:rsid w:val="0077797C"/>
    <w:rsid w:val="0078034B"/>
    <w:rsid w:val="00780C6B"/>
    <w:rsid w:val="00782ABC"/>
    <w:rsid w:val="00782DF9"/>
    <w:rsid w:val="007842A2"/>
    <w:rsid w:val="00786471"/>
    <w:rsid w:val="007907FD"/>
    <w:rsid w:val="007928A4"/>
    <w:rsid w:val="007948D8"/>
    <w:rsid w:val="0079726A"/>
    <w:rsid w:val="007A016F"/>
    <w:rsid w:val="007A1D23"/>
    <w:rsid w:val="007A30A4"/>
    <w:rsid w:val="007A3386"/>
    <w:rsid w:val="007A3483"/>
    <w:rsid w:val="007A481D"/>
    <w:rsid w:val="007A6A03"/>
    <w:rsid w:val="007A6E4E"/>
    <w:rsid w:val="007A7CE3"/>
    <w:rsid w:val="007B0B85"/>
    <w:rsid w:val="007B21BB"/>
    <w:rsid w:val="007B337A"/>
    <w:rsid w:val="007B4F22"/>
    <w:rsid w:val="007B54B3"/>
    <w:rsid w:val="007B5F3B"/>
    <w:rsid w:val="007B63FC"/>
    <w:rsid w:val="007B6614"/>
    <w:rsid w:val="007C2ADD"/>
    <w:rsid w:val="007C3551"/>
    <w:rsid w:val="007C369D"/>
    <w:rsid w:val="007C38E5"/>
    <w:rsid w:val="007C6252"/>
    <w:rsid w:val="007C6DDA"/>
    <w:rsid w:val="007C6F06"/>
    <w:rsid w:val="007C7215"/>
    <w:rsid w:val="007D0761"/>
    <w:rsid w:val="007D1596"/>
    <w:rsid w:val="007D277F"/>
    <w:rsid w:val="007D330C"/>
    <w:rsid w:val="007D4348"/>
    <w:rsid w:val="007D53E9"/>
    <w:rsid w:val="007D5B8B"/>
    <w:rsid w:val="007D5BAE"/>
    <w:rsid w:val="007D73E4"/>
    <w:rsid w:val="007E0917"/>
    <w:rsid w:val="007E259D"/>
    <w:rsid w:val="007E3BE0"/>
    <w:rsid w:val="007E40D1"/>
    <w:rsid w:val="007E4D96"/>
    <w:rsid w:val="007E54BC"/>
    <w:rsid w:val="007E5978"/>
    <w:rsid w:val="007E5A3A"/>
    <w:rsid w:val="007E6EFF"/>
    <w:rsid w:val="007E6F19"/>
    <w:rsid w:val="007E7E1B"/>
    <w:rsid w:val="007E7ECE"/>
    <w:rsid w:val="007F1A7F"/>
    <w:rsid w:val="007F469A"/>
    <w:rsid w:val="007F4DB1"/>
    <w:rsid w:val="008033C6"/>
    <w:rsid w:val="008040D1"/>
    <w:rsid w:val="00806C4E"/>
    <w:rsid w:val="00807122"/>
    <w:rsid w:val="008106E6"/>
    <w:rsid w:val="0081143B"/>
    <w:rsid w:val="008121F7"/>
    <w:rsid w:val="00812840"/>
    <w:rsid w:val="00812C36"/>
    <w:rsid w:val="00820C48"/>
    <w:rsid w:val="00824693"/>
    <w:rsid w:val="00825B7A"/>
    <w:rsid w:val="00826309"/>
    <w:rsid w:val="00832795"/>
    <w:rsid w:val="008341E2"/>
    <w:rsid w:val="0083579F"/>
    <w:rsid w:val="00835969"/>
    <w:rsid w:val="0084058F"/>
    <w:rsid w:val="00841075"/>
    <w:rsid w:val="00842EF5"/>
    <w:rsid w:val="008434BC"/>
    <w:rsid w:val="008438F3"/>
    <w:rsid w:val="00850FD4"/>
    <w:rsid w:val="00851E17"/>
    <w:rsid w:val="008521C9"/>
    <w:rsid w:val="00852410"/>
    <w:rsid w:val="00854167"/>
    <w:rsid w:val="00854806"/>
    <w:rsid w:val="00855B0E"/>
    <w:rsid w:val="00855CF1"/>
    <w:rsid w:val="00857B53"/>
    <w:rsid w:val="008602D2"/>
    <w:rsid w:val="00862086"/>
    <w:rsid w:val="00862AB4"/>
    <w:rsid w:val="0087049D"/>
    <w:rsid w:val="0087128A"/>
    <w:rsid w:val="008717D5"/>
    <w:rsid w:val="00873CEF"/>
    <w:rsid w:val="00876ADA"/>
    <w:rsid w:val="00880997"/>
    <w:rsid w:val="00881242"/>
    <w:rsid w:val="008856BE"/>
    <w:rsid w:val="008859A1"/>
    <w:rsid w:val="008863AE"/>
    <w:rsid w:val="008917AE"/>
    <w:rsid w:val="00894C44"/>
    <w:rsid w:val="00895EEC"/>
    <w:rsid w:val="008967BB"/>
    <w:rsid w:val="00897DFB"/>
    <w:rsid w:val="008A0BC3"/>
    <w:rsid w:val="008A22C4"/>
    <w:rsid w:val="008A465E"/>
    <w:rsid w:val="008A4D29"/>
    <w:rsid w:val="008A5D0F"/>
    <w:rsid w:val="008A5D92"/>
    <w:rsid w:val="008A66E4"/>
    <w:rsid w:val="008B034F"/>
    <w:rsid w:val="008B0A8E"/>
    <w:rsid w:val="008B1FF1"/>
    <w:rsid w:val="008B3178"/>
    <w:rsid w:val="008B34C6"/>
    <w:rsid w:val="008B3869"/>
    <w:rsid w:val="008B40AE"/>
    <w:rsid w:val="008B453B"/>
    <w:rsid w:val="008B4656"/>
    <w:rsid w:val="008B5C34"/>
    <w:rsid w:val="008C03C9"/>
    <w:rsid w:val="008C06E0"/>
    <w:rsid w:val="008C073C"/>
    <w:rsid w:val="008C3170"/>
    <w:rsid w:val="008C3DBF"/>
    <w:rsid w:val="008C7CFD"/>
    <w:rsid w:val="008D2411"/>
    <w:rsid w:val="008D253F"/>
    <w:rsid w:val="008D5F84"/>
    <w:rsid w:val="008E2733"/>
    <w:rsid w:val="008E4803"/>
    <w:rsid w:val="008E492C"/>
    <w:rsid w:val="008F0229"/>
    <w:rsid w:val="008F0278"/>
    <w:rsid w:val="008F073A"/>
    <w:rsid w:val="008F2D6E"/>
    <w:rsid w:val="008F55F2"/>
    <w:rsid w:val="008F79D8"/>
    <w:rsid w:val="008F7B86"/>
    <w:rsid w:val="008F7BD4"/>
    <w:rsid w:val="0090108E"/>
    <w:rsid w:val="009022EB"/>
    <w:rsid w:val="009025BB"/>
    <w:rsid w:val="00902906"/>
    <w:rsid w:val="009052E9"/>
    <w:rsid w:val="00906125"/>
    <w:rsid w:val="00906354"/>
    <w:rsid w:val="00906FE3"/>
    <w:rsid w:val="00910320"/>
    <w:rsid w:val="00911CBF"/>
    <w:rsid w:val="009121A3"/>
    <w:rsid w:val="0091658F"/>
    <w:rsid w:val="00917941"/>
    <w:rsid w:val="009204FA"/>
    <w:rsid w:val="00920F4C"/>
    <w:rsid w:val="00923126"/>
    <w:rsid w:val="0092425E"/>
    <w:rsid w:val="009257AE"/>
    <w:rsid w:val="009274D7"/>
    <w:rsid w:val="00927D47"/>
    <w:rsid w:val="00931511"/>
    <w:rsid w:val="00934F1E"/>
    <w:rsid w:val="00935FF0"/>
    <w:rsid w:val="009377BD"/>
    <w:rsid w:val="00941742"/>
    <w:rsid w:val="009429B5"/>
    <w:rsid w:val="00943D89"/>
    <w:rsid w:val="009449B5"/>
    <w:rsid w:val="00945406"/>
    <w:rsid w:val="00946A5C"/>
    <w:rsid w:val="009471A7"/>
    <w:rsid w:val="00947511"/>
    <w:rsid w:val="009504D7"/>
    <w:rsid w:val="00950855"/>
    <w:rsid w:val="009515A2"/>
    <w:rsid w:val="00951EAE"/>
    <w:rsid w:val="009521DE"/>
    <w:rsid w:val="00952791"/>
    <w:rsid w:val="009538F4"/>
    <w:rsid w:val="00953F50"/>
    <w:rsid w:val="00954C0A"/>
    <w:rsid w:val="0095639E"/>
    <w:rsid w:val="00956406"/>
    <w:rsid w:val="009571F7"/>
    <w:rsid w:val="009575EF"/>
    <w:rsid w:val="0096082A"/>
    <w:rsid w:val="00960D8A"/>
    <w:rsid w:val="009643EA"/>
    <w:rsid w:val="00966533"/>
    <w:rsid w:val="009716A3"/>
    <w:rsid w:val="00971D97"/>
    <w:rsid w:val="00972FFF"/>
    <w:rsid w:val="00974F31"/>
    <w:rsid w:val="00981D48"/>
    <w:rsid w:val="009839F5"/>
    <w:rsid w:val="0098422B"/>
    <w:rsid w:val="009843F9"/>
    <w:rsid w:val="009850D4"/>
    <w:rsid w:val="0098655D"/>
    <w:rsid w:val="00987245"/>
    <w:rsid w:val="00987DD4"/>
    <w:rsid w:val="00992BA4"/>
    <w:rsid w:val="0099316F"/>
    <w:rsid w:val="0099446C"/>
    <w:rsid w:val="009960D3"/>
    <w:rsid w:val="009970A5"/>
    <w:rsid w:val="0099719C"/>
    <w:rsid w:val="009A457F"/>
    <w:rsid w:val="009A5645"/>
    <w:rsid w:val="009A6A66"/>
    <w:rsid w:val="009B138C"/>
    <w:rsid w:val="009B2D49"/>
    <w:rsid w:val="009B5E32"/>
    <w:rsid w:val="009B6881"/>
    <w:rsid w:val="009B6C43"/>
    <w:rsid w:val="009B73FB"/>
    <w:rsid w:val="009C01F0"/>
    <w:rsid w:val="009C48B4"/>
    <w:rsid w:val="009C4993"/>
    <w:rsid w:val="009C4F17"/>
    <w:rsid w:val="009C696E"/>
    <w:rsid w:val="009D0B11"/>
    <w:rsid w:val="009D155C"/>
    <w:rsid w:val="009D21F0"/>
    <w:rsid w:val="009D26C0"/>
    <w:rsid w:val="009D49A7"/>
    <w:rsid w:val="009D62AE"/>
    <w:rsid w:val="009D691F"/>
    <w:rsid w:val="009D6966"/>
    <w:rsid w:val="009D71C7"/>
    <w:rsid w:val="009D7473"/>
    <w:rsid w:val="009E1D67"/>
    <w:rsid w:val="009E1FE6"/>
    <w:rsid w:val="009E23A1"/>
    <w:rsid w:val="009E23DC"/>
    <w:rsid w:val="009E2684"/>
    <w:rsid w:val="009E2E4B"/>
    <w:rsid w:val="009E6DAF"/>
    <w:rsid w:val="009E783E"/>
    <w:rsid w:val="009E7B49"/>
    <w:rsid w:val="009F01F1"/>
    <w:rsid w:val="009F0AE5"/>
    <w:rsid w:val="009F1793"/>
    <w:rsid w:val="009F1EA2"/>
    <w:rsid w:val="009F315E"/>
    <w:rsid w:val="009F317B"/>
    <w:rsid w:val="009F475B"/>
    <w:rsid w:val="009F4FB6"/>
    <w:rsid w:val="009F54B9"/>
    <w:rsid w:val="009F5EFE"/>
    <w:rsid w:val="00A0238A"/>
    <w:rsid w:val="00A033A2"/>
    <w:rsid w:val="00A05495"/>
    <w:rsid w:val="00A10F14"/>
    <w:rsid w:val="00A13C29"/>
    <w:rsid w:val="00A15333"/>
    <w:rsid w:val="00A1609D"/>
    <w:rsid w:val="00A17A63"/>
    <w:rsid w:val="00A22105"/>
    <w:rsid w:val="00A22C69"/>
    <w:rsid w:val="00A25969"/>
    <w:rsid w:val="00A267A8"/>
    <w:rsid w:val="00A3064F"/>
    <w:rsid w:val="00A31528"/>
    <w:rsid w:val="00A3157F"/>
    <w:rsid w:val="00A3384B"/>
    <w:rsid w:val="00A3468E"/>
    <w:rsid w:val="00A35B72"/>
    <w:rsid w:val="00A35EAA"/>
    <w:rsid w:val="00A37400"/>
    <w:rsid w:val="00A374A1"/>
    <w:rsid w:val="00A43CB0"/>
    <w:rsid w:val="00A44051"/>
    <w:rsid w:val="00A44060"/>
    <w:rsid w:val="00A4574F"/>
    <w:rsid w:val="00A47563"/>
    <w:rsid w:val="00A47762"/>
    <w:rsid w:val="00A500B3"/>
    <w:rsid w:val="00A50DF4"/>
    <w:rsid w:val="00A514E6"/>
    <w:rsid w:val="00A53C5B"/>
    <w:rsid w:val="00A556F1"/>
    <w:rsid w:val="00A55F32"/>
    <w:rsid w:val="00A56E31"/>
    <w:rsid w:val="00A5726F"/>
    <w:rsid w:val="00A60ED5"/>
    <w:rsid w:val="00A61B74"/>
    <w:rsid w:val="00A642BF"/>
    <w:rsid w:val="00A65882"/>
    <w:rsid w:val="00A65C57"/>
    <w:rsid w:val="00A71352"/>
    <w:rsid w:val="00A74C5A"/>
    <w:rsid w:val="00A75266"/>
    <w:rsid w:val="00A7734A"/>
    <w:rsid w:val="00A77DE7"/>
    <w:rsid w:val="00A81AA2"/>
    <w:rsid w:val="00A838C2"/>
    <w:rsid w:val="00A84F80"/>
    <w:rsid w:val="00A861E2"/>
    <w:rsid w:val="00A877C1"/>
    <w:rsid w:val="00A91790"/>
    <w:rsid w:val="00A935F1"/>
    <w:rsid w:val="00A95B9F"/>
    <w:rsid w:val="00AA08B4"/>
    <w:rsid w:val="00AA414F"/>
    <w:rsid w:val="00AA65AE"/>
    <w:rsid w:val="00AA70D6"/>
    <w:rsid w:val="00AB196F"/>
    <w:rsid w:val="00AB3B51"/>
    <w:rsid w:val="00AC0529"/>
    <w:rsid w:val="00AC29DD"/>
    <w:rsid w:val="00AC2BC2"/>
    <w:rsid w:val="00AC31F2"/>
    <w:rsid w:val="00AC5669"/>
    <w:rsid w:val="00AD03B5"/>
    <w:rsid w:val="00AD2845"/>
    <w:rsid w:val="00AD301F"/>
    <w:rsid w:val="00AD3B06"/>
    <w:rsid w:val="00AD4AFA"/>
    <w:rsid w:val="00AD6D5C"/>
    <w:rsid w:val="00AD6DD9"/>
    <w:rsid w:val="00AD76A5"/>
    <w:rsid w:val="00AD79D7"/>
    <w:rsid w:val="00AD7E81"/>
    <w:rsid w:val="00AE13EC"/>
    <w:rsid w:val="00AE1E79"/>
    <w:rsid w:val="00AE52A3"/>
    <w:rsid w:val="00AE6A87"/>
    <w:rsid w:val="00AE6BB0"/>
    <w:rsid w:val="00AF0104"/>
    <w:rsid w:val="00AF130F"/>
    <w:rsid w:val="00AF204A"/>
    <w:rsid w:val="00AF366E"/>
    <w:rsid w:val="00AF5002"/>
    <w:rsid w:val="00AF50FD"/>
    <w:rsid w:val="00AF6F2F"/>
    <w:rsid w:val="00B0004D"/>
    <w:rsid w:val="00B00729"/>
    <w:rsid w:val="00B02424"/>
    <w:rsid w:val="00B0430C"/>
    <w:rsid w:val="00B051DD"/>
    <w:rsid w:val="00B0535B"/>
    <w:rsid w:val="00B1017A"/>
    <w:rsid w:val="00B11E36"/>
    <w:rsid w:val="00B139D2"/>
    <w:rsid w:val="00B143D9"/>
    <w:rsid w:val="00B14AD9"/>
    <w:rsid w:val="00B173F4"/>
    <w:rsid w:val="00B17A11"/>
    <w:rsid w:val="00B2089B"/>
    <w:rsid w:val="00B20EE5"/>
    <w:rsid w:val="00B21599"/>
    <w:rsid w:val="00B23072"/>
    <w:rsid w:val="00B23395"/>
    <w:rsid w:val="00B24619"/>
    <w:rsid w:val="00B25A0C"/>
    <w:rsid w:val="00B309A3"/>
    <w:rsid w:val="00B3201A"/>
    <w:rsid w:val="00B34238"/>
    <w:rsid w:val="00B3463D"/>
    <w:rsid w:val="00B348D2"/>
    <w:rsid w:val="00B35B58"/>
    <w:rsid w:val="00B373C3"/>
    <w:rsid w:val="00B40ABE"/>
    <w:rsid w:val="00B40F03"/>
    <w:rsid w:val="00B43AD7"/>
    <w:rsid w:val="00B46041"/>
    <w:rsid w:val="00B54926"/>
    <w:rsid w:val="00B560E3"/>
    <w:rsid w:val="00B60716"/>
    <w:rsid w:val="00B60833"/>
    <w:rsid w:val="00B62733"/>
    <w:rsid w:val="00B62B18"/>
    <w:rsid w:val="00B6359C"/>
    <w:rsid w:val="00B6569F"/>
    <w:rsid w:val="00B660C9"/>
    <w:rsid w:val="00B66A39"/>
    <w:rsid w:val="00B67118"/>
    <w:rsid w:val="00B67ACB"/>
    <w:rsid w:val="00B72075"/>
    <w:rsid w:val="00B72554"/>
    <w:rsid w:val="00B72915"/>
    <w:rsid w:val="00B72AB3"/>
    <w:rsid w:val="00B732F2"/>
    <w:rsid w:val="00B7407C"/>
    <w:rsid w:val="00B74D8D"/>
    <w:rsid w:val="00B76705"/>
    <w:rsid w:val="00B776E9"/>
    <w:rsid w:val="00B80212"/>
    <w:rsid w:val="00B82431"/>
    <w:rsid w:val="00B8262E"/>
    <w:rsid w:val="00B83706"/>
    <w:rsid w:val="00B900F7"/>
    <w:rsid w:val="00B90AE7"/>
    <w:rsid w:val="00B917CC"/>
    <w:rsid w:val="00B92148"/>
    <w:rsid w:val="00B951D6"/>
    <w:rsid w:val="00B956CB"/>
    <w:rsid w:val="00BA1775"/>
    <w:rsid w:val="00BA1A7A"/>
    <w:rsid w:val="00BA655D"/>
    <w:rsid w:val="00BA700F"/>
    <w:rsid w:val="00BA7FFD"/>
    <w:rsid w:val="00BB0109"/>
    <w:rsid w:val="00BB0306"/>
    <w:rsid w:val="00BB0E2B"/>
    <w:rsid w:val="00BB13FD"/>
    <w:rsid w:val="00BB2B69"/>
    <w:rsid w:val="00BB551F"/>
    <w:rsid w:val="00BB6593"/>
    <w:rsid w:val="00BB69ED"/>
    <w:rsid w:val="00BB70D1"/>
    <w:rsid w:val="00BB76C9"/>
    <w:rsid w:val="00BC0573"/>
    <w:rsid w:val="00BC49A8"/>
    <w:rsid w:val="00BC4BE0"/>
    <w:rsid w:val="00BC5B15"/>
    <w:rsid w:val="00BD1437"/>
    <w:rsid w:val="00BD158A"/>
    <w:rsid w:val="00BD29F8"/>
    <w:rsid w:val="00BD3474"/>
    <w:rsid w:val="00BD5064"/>
    <w:rsid w:val="00BE3D84"/>
    <w:rsid w:val="00BE73A2"/>
    <w:rsid w:val="00BE7516"/>
    <w:rsid w:val="00BF1E6A"/>
    <w:rsid w:val="00BF23B1"/>
    <w:rsid w:val="00BF5BF7"/>
    <w:rsid w:val="00BF5CB1"/>
    <w:rsid w:val="00BF6666"/>
    <w:rsid w:val="00BF71BC"/>
    <w:rsid w:val="00BF7A8E"/>
    <w:rsid w:val="00C000A4"/>
    <w:rsid w:val="00C00762"/>
    <w:rsid w:val="00C04FE0"/>
    <w:rsid w:val="00C050A4"/>
    <w:rsid w:val="00C06BE8"/>
    <w:rsid w:val="00C11655"/>
    <w:rsid w:val="00C138EB"/>
    <w:rsid w:val="00C15A68"/>
    <w:rsid w:val="00C16F6A"/>
    <w:rsid w:val="00C17311"/>
    <w:rsid w:val="00C210EF"/>
    <w:rsid w:val="00C24908"/>
    <w:rsid w:val="00C27461"/>
    <w:rsid w:val="00C3030C"/>
    <w:rsid w:val="00C31409"/>
    <w:rsid w:val="00C31F2F"/>
    <w:rsid w:val="00C321F8"/>
    <w:rsid w:val="00C33E39"/>
    <w:rsid w:val="00C352C7"/>
    <w:rsid w:val="00C35534"/>
    <w:rsid w:val="00C410BC"/>
    <w:rsid w:val="00C41E32"/>
    <w:rsid w:val="00C444DC"/>
    <w:rsid w:val="00C44597"/>
    <w:rsid w:val="00C50BA2"/>
    <w:rsid w:val="00C51021"/>
    <w:rsid w:val="00C526CA"/>
    <w:rsid w:val="00C5543B"/>
    <w:rsid w:val="00C55519"/>
    <w:rsid w:val="00C579F5"/>
    <w:rsid w:val="00C57B36"/>
    <w:rsid w:val="00C608C1"/>
    <w:rsid w:val="00C611BA"/>
    <w:rsid w:val="00C62BDF"/>
    <w:rsid w:val="00C6391E"/>
    <w:rsid w:val="00C65DC3"/>
    <w:rsid w:val="00C673B2"/>
    <w:rsid w:val="00C67654"/>
    <w:rsid w:val="00C70748"/>
    <w:rsid w:val="00C70C50"/>
    <w:rsid w:val="00C70D93"/>
    <w:rsid w:val="00C7197C"/>
    <w:rsid w:val="00C722D2"/>
    <w:rsid w:val="00C73144"/>
    <w:rsid w:val="00C73B29"/>
    <w:rsid w:val="00C74BCF"/>
    <w:rsid w:val="00C75051"/>
    <w:rsid w:val="00C77A7A"/>
    <w:rsid w:val="00C81927"/>
    <w:rsid w:val="00C835FD"/>
    <w:rsid w:val="00C83E00"/>
    <w:rsid w:val="00C84FB7"/>
    <w:rsid w:val="00C90ED1"/>
    <w:rsid w:val="00C91FD2"/>
    <w:rsid w:val="00C9291D"/>
    <w:rsid w:val="00C93B15"/>
    <w:rsid w:val="00C9438C"/>
    <w:rsid w:val="00CA1346"/>
    <w:rsid w:val="00CA4D85"/>
    <w:rsid w:val="00CA5400"/>
    <w:rsid w:val="00CA621B"/>
    <w:rsid w:val="00CA7AC2"/>
    <w:rsid w:val="00CB01E2"/>
    <w:rsid w:val="00CB052C"/>
    <w:rsid w:val="00CB2E2E"/>
    <w:rsid w:val="00CB4154"/>
    <w:rsid w:val="00CB4689"/>
    <w:rsid w:val="00CB53E4"/>
    <w:rsid w:val="00CB5D39"/>
    <w:rsid w:val="00CB669B"/>
    <w:rsid w:val="00CB6746"/>
    <w:rsid w:val="00CC0CBD"/>
    <w:rsid w:val="00CC0E4D"/>
    <w:rsid w:val="00CC1995"/>
    <w:rsid w:val="00CC2099"/>
    <w:rsid w:val="00CC5A54"/>
    <w:rsid w:val="00CC6786"/>
    <w:rsid w:val="00CC67BD"/>
    <w:rsid w:val="00CC7F2A"/>
    <w:rsid w:val="00CD2BED"/>
    <w:rsid w:val="00CD329B"/>
    <w:rsid w:val="00CD3E87"/>
    <w:rsid w:val="00CD4473"/>
    <w:rsid w:val="00CD588E"/>
    <w:rsid w:val="00CD6B66"/>
    <w:rsid w:val="00CE2623"/>
    <w:rsid w:val="00CE28F1"/>
    <w:rsid w:val="00CE3902"/>
    <w:rsid w:val="00CE4359"/>
    <w:rsid w:val="00CE53C7"/>
    <w:rsid w:val="00CE604D"/>
    <w:rsid w:val="00CE70F8"/>
    <w:rsid w:val="00CF099C"/>
    <w:rsid w:val="00CF2374"/>
    <w:rsid w:val="00CF4579"/>
    <w:rsid w:val="00CF4FBA"/>
    <w:rsid w:val="00CF63B7"/>
    <w:rsid w:val="00D00199"/>
    <w:rsid w:val="00D02A05"/>
    <w:rsid w:val="00D04440"/>
    <w:rsid w:val="00D054D5"/>
    <w:rsid w:val="00D0557D"/>
    <w:rsid w:val="00D07E30"/>
    <w:rsid w:val="00D12467"/>
    <w:rsid w:val="00D128B2"/>
    <w:rsid w:val="00D14C4E"/>
    <w:rsid w:val="00D1570D"/>
    <w:rsid w:val="00D15D6F"/>
    <w:rsid w:val="00D1688B"/>
    <w:rsid w:val="00D16DE4"/>
    <w:rsid w:val="00D25423"/>
    <w:rsid w:val="00D26006"/>
    <w:rsid w:val="00D2674D"/>
    <w:rsid w:val="00D2779B"/>
    <w:rsid w:val="00D329C0"/>
    <w:rsid w:val="00D332D9"/>
    <w:rsid w:val="00D33CD2"/>
    <w:rsid w:val="00D41015"/>
    <w:rsid w:val="00D411E7"/>
    <w:rsid w:val="00D41490"/>
    <w:rsid w:val="00D41D5B"/>
    <w:rsid w:val="00D42D1E"/>
    <w:rsid w:val="00D44BF5"/>
    <w:rsid w:val="00D46589"/>
    <w:rsid w:val="00D50A08"/>
    <w:rsid w:val="00D528AA"/>
    <w:rsid w:val="00D55CEC"/>
    <w:rsid w:val="00D601E7"/>
    <w:rsid w:val="00D6026D"/>
    <w:rsid w:val="00D60701"/>
    <w:rsid w:val="00D61182"/>
    <w:rsid w:val="00D62FAA"/>
    <w:rsid w:val="00D6407C"/>
    <w:rsid w:val="00D65C62"/>
    <w:rsid w:val="00D662BD"/>
    <w:rsid w:val="00D66C15"/>
    <w:rsid w:val="00D67252"/>
    <w:rsid w:val="00D7126A"/>
    <w:rsid w:val="00D73EE6"/>
    <w:rsid w:val="00D74CED"/>
    <w:rsid w:val="00D756FC"/>
    <w:rsid w:val="00D75A62"/>
    <w:rsid w:val="00D75A73"/>
    <w:rsid w:val="00D75F31"/>
    <w:rsid w:val="00D76935"/>
    <w:rsid w:val="00D77249"/>
    <w:rsid w:val="00D80074"/>
    <w:rsid w:val="00D80261"/>
    <w:rsid w:val="00D80344"/>
    <w:rsid w:val="00D81BD0"/>
    <w:rsid w:val="00D82586"/>
    <w:rsid w:val="00D82DFC"/>
    <w:rsid w:val="00D84791"/>
    <w:rsid w:val="00D84B08"/>
    <w:rsid w:val="00D86B93"/>
    <w:rsid w:val="00D87540"/>
    <w:rsid w:val="00D906D6"/>
    <w:rsid w:val="00DA0B37"/>
    <w:rsid w:val="00DA0B73"/>
    <w:rsid w:val="00DA151B"/>
    <w:rsid w:val="00DA17BE"/>
    <w:rsid w:val="00DA20B7"/>
    <w:rsid w:val="00DA3074"/>
    <w:rsid w:val="00DA32C5"/>
    <w:rsid w:val="00DA347E"/>
    <w:rsid w:val="00DA3998"/>
    <w:rsid w:val="00DA580E"/>
    <w:rsid w:val="00DA5EC0"/>
    <w:rsid w:val="00DB1C57"/>
    <w:rsid w:val="00DB2BB4"/>
    <w:rsid w:val="00DB3546"/>
    <w:rsid w:val="00DB36AB"/>
    <w:rsid w:val="00DB3C4C"/>
    <w:rsid w:val="00DB473C"/>
    <w:rsid w:val="00DB4E08"/>
    <w:rsid w:val="00DC2F94"/>
    <w:rsid w:val="00DC44CA"/>
    <w:rsid w:val="00DD20D5"/>
    <w:rsid w:val="00DD22A7"/>
    <w:rsid w:val="00DD5D4C"/>
    <w:rsid w:val="00DD7FC9"/>
    <w:rsid w:val="00DE137D"/>
    <w:rsid w:val="00DE294C"/>
    <w:rsid w:val="00DE3976"/>
    <w:rsid w:val="00DE3B95"/>
    <w:rsid w:val="00DE530A"/>
    <w:rsid w:val="00DE7279"/>
    <w:rsid w:val="00DE7541"/>
    <w:rsid w:val="00DE7B7B"/>
    <w:rsid w:val="00DF07F6"/>
    <w:rsid w:val="00DF255C"/>
    <w:rsid w:val="00DF2623"/>
    <w:rsid w:val="00DF46F6"/>
    <w:rsid w:val="00DF7EAC"/>
    <w:rsid w:val="00E00599"/>
    <w:rsid w:val="00E01BD0"/>
    <w:rsid w:val="00E02568"/>
    <w:rsid w:val="00E02721"/>
    <w:rsid w:val="00E03E7E"/>
    <w:rsid w:val="00E05EFD"/>
    <w:rsid w:val="00E06048"/>
    <w:rsid w:val="00E07360"/>
    <w:rsid w:val="00E1165D"/>
    <w:rsid w:val="00E11D92"/>
    <w:rsid w:val="00E14FF2"/>
    <w:rsid w:val="00E15778"/>
    <w:rsid w:val="00E15C3F"/>
    <w:rsid w:val="00E15EAC"/>
    <w:rsid w:val="00E16704"/>
    <w:rsid w:val="00E16F05"/>
    <w:rsid w:val="00E200D8"/>
    <w:rsid w:val="00E2020D"/>
    <w:rsid w:val="00E21412"/>
    <w:rsid w:val="00E232F5"/>
    <w:rsid w:val="00E25F76"/>
    <w:rsid w:val="00E2632E"/>
    <w:rsid w:val="00E26AC5"/>
    <w:rsid w:val="00E26C62"/>
    <w:rsid w:val="00E27B11"/>
    <w:rsid w:val="00E316CA"/>
    <w:rsid w:val="00E3237A"/>
    <w:rsid w:val="00E37008"/>
    <w:rsid w:val="00E37471"/>
    <w:rsid w:val="00E37665"/>
    <w:rsid w:val="00E37A70"/>
    <w:rsid w:val="00E423D3"/>
    <w:rsid w:val="00E42C19"/>
    <w:rsid w:val="00E450E5"/>
    <w:rsid w:val="00E46A46"/>
    <w:rsid w:val="00E47B6C"/>
    <w:rsid w:val="00E515F7"/>
    <w:rsid w:val="00E5186C"/>
    <w:rsid w:val="00E526A7"/>
    <w:rsid w:val="00E53D58"/>
    <w:rsid w:val="00E569A1"/>
    <w:rsid w:val="00E60B22"/>
    <w:rsid w:val="00E60DFF"/>
    <w:rsid w:val="00E6151A"/>
    <w:rsid w:val="00E618A1"/>
    <w:rsid w:val="00E62943"/>
    <w:rsid w:val="00E62A46"/>
    <w:rsid w:val="00E64015"/>
    <w:rsid w:val="00E64F37"/>
    <w:rsid w:val="00E66C20"/>
    <w:rsid w:val="00E66EC7"/>
    <w:rsid w:val="00E671B2"/>
    <w:rsid w:val="00E70238"/>
    <w:rsid w:val="00E70587"/>
    <w:rsid w:val="00E7373E"/>
    <w:rsid w:val="00E73DE1"/>
    <w:rsid w:val="00E7712F"/>
    <w:rsid w:val="00E817CB"/>
    <w:rsid w:val="00E836EE"/>
    <w:rsid w:val="00E85486"/>
    <w:rsid w:val="00E87867"/>
    <w:rsid w:val="00E8787C"/>
    <w:rsid w:val="00E92887"/>
    <w:rsid w:val="00E93443"/>
    <w:rsid w:val="00E93B89"/>
    <w:rsid w:val="00E94C67"/>
    <w:rsid w:val="00E95212"/>
    <w:rsid w:val="00E95655"/>
    <w:rsid w:val="00E961BE"/>
    <w:rsid w:val="00E97B88"/>
    <w:rsid w:val="00E97ECA"/>
    <w:rsid w:val="00EA38F7"/>
    <w:rsid w:val="00EA3D8E"/>
    <w:rsid w:val="00EA459D"/>
    <w:rsid w:val="00EA5522"/>
    <w:rsid w:val="00EA574B"/>
    <w:rsid w:val="00EA621F"/>
    <w:rsid w:val="00EB3A7F"/>
    <w:rsid w:val="00EB40D1"/>
    <w:rsid w:val="00EC0B19"/>
    <w:rsid w:val="00EC0CFA"/>
    <w:rsid w:val="00EC1EF6"/>
    <w:rsid w:val="00EC23BC"/>
    <w:rsid w:val="00EC47F8"/>
    <w:rsid w:val="00EC4A1F"/>
    <w:rsid w:val="00EC609E"/>
    <w:rsid w:val="00ED0BA2"/>
    <w:rsid w:val="00ED12AB"/>
    <w:rsid w:val="00ED13A0"/>
    <w:rsid w:val="00ED3DAA"/>
    <w:rsid w:val="00ED5E1F"/>
    <w:rsid w:val="00ED7A5F"/>
    <w:rsid w:val="00EE0B25"/>
    <w:rsid w:val="00EE1CD1"/>
    <w:rsid w:val="00EE249D"/>
    <w:rsid w:val="00EE767B"/>
    <w:rsid w:val="00EF05BA"/>
    <w:rsid w:val="00EF22E4"/>
    <w:rsid w:val="00EF2B9A"/>
    <w:rsid w:val="00EF3A57"/>
    <w:rsid w:val="00EF44CF"/>
    <w:rsid w:val="00EF6391"/>
    <w:rsid w:val="00EF6A4D"/>
    <w:rsid w:val="00EF6FF2"/>
    <w:rsid w:val="00EF7193"/>
    <w:rsid w:val="00EF7299"/>
    <w:rsid w:val="00F021B4"/>
    <w:rsid w:val="00F02C11"/>
    <w:rsid w:val="00F03C0A"/>
    <w:rsid w:val="00F03F4C"/>
    <w:rsid w:val="00F04C1F"/>
    <w:rsid w:val="00F05080"/>
    <w:rsid w:val="00F056CF"/>
    <w:rsid w:val="00F05DDF"/>
    <w:rsid w:val="00F06235"/>
    <w:rsid w:val="00F06D8C"/>
    <w:rsid w:val="00F07306"/>
    <w:rsid w:val="00F07768"/>
    <w:rsid w:val="00F12E5A"/>
    <w:rsid w:val="00F14421"/>
    <w:rsid w:val="00F144D7"/>
    <w:rsid w:val="00F166A4"/>
    <w:rsid w:val="00F16CE1"/>
    <w:rsid w:val="00F16FC3"/>
    <w:rsid w:val="00F21039"/>
    <w:rsid w:val="00F21B83"/>
    <w:rsid w:val="00F228FA"/>
    <w:rsid w:val="00F22B0B"/>
    <w:rsid w:val="00F264A4"/>
    <w:rsid w:val="00F27A2D"/>
    <w:rsid w:val="00F27C4F"/>
    <w:rsid w:val="00F32BCD"/>
    <w:rsid w:val="00F34143"/>
    <w:rsid w:val="00F342D5"/>
    <w:rsid w:val="00F36802"/>
    <w:rsid w:val="00F4085D"/>
    <w:rsid w:val="00F420C9"/>
    <w:rsid w:val="00F4260D"/>
    <w:rsid w:val="00F427F4"/>
    <w:rsid w:val="00F44CF9"/>
    <w:rsid w:val="00F45949"/>
    <w:rsid w:val="00F45DAD"/>
    <w:rsid w:val="00F46647"/>
    <w:rsid w:val="00F505EE"/>
    <w:rsid w:val="00F529DD"/>
    <w:rsid w:val="00F52AB1"/>
    <w:rsid w:val="00F531E9"/>
    <w:rsid w:val="00F54619"/>
    <w:rsid w:val="00F5511E"/>
    <w:rsid w:val="00F55636"/>
    <w:rsid w:val="00F5693F"/>
    <w:rsid w:val="00F56C60"/>
    <w:rsid w:val="00F57635"/>
    <w:rsid w:val="00F57A59"/>
    <w:rsid w:val="00F61FF7"/>
    <w:rsid w:val="00F6290D"/>
    <w:rsid w:val="00F6324B"/>
    <w:rsid w:val="00F7172A"/>
    <w:rsid w:val="00F7176D"/>
    <w:rsid w:val="00F75191"/>
    <w:rsid w:val="00F758B6"/>
    <w:rsid w:val="00F8093E"/>
    <w:rsid w:val="00F8280C"/>
    <w:rsid w:val="00F83792"/>
    <w:rsid w:val="00F83939"/>
    <w:rsid w:val="00F84CCB"/>
    <w:rsid w:val="00F8575D"/>
    <w:rsid w:val="00F91AEC"/>
    <w:rsid w:val="00F95312"/>
    <w:rsid w:val="00F968D2"/>
    <w:rsid w:val="00FA091E"/>
    <w:rsid w:val="00FA256D"/>
    <w:rsid w:val="00FA28DE"/>
    <w:rsid w:val="00FA56BC"/>
    <w:rsid w:val="00FA571F"/>
    <w:rsid w:val="00FB137E"/>
    <w:rsid w:val="00FB1C05"/>
    <w:rsid w:val="00FB24B7"/>
    <w:rsid w:val="00FB7CB3"/>
    <w:rsid w:val="00FC0334"/>
    <w:rsid w:val="00FC1A3A"/>
    <w:rsid w:val="00FC1D1A"/>
    <w:rsid w:val="00FC41A4"/>
    <w:rsid w:val="00FC5189"/>
    <w:rsid w:val="00FC59A5"/>
    <w:rsid w:val="00FC748A"/>
    <w:rsid w:val="00FC7796"/>
    <w:rsid w:val="00FC7B6F"/>
    <w:rsid w:val="00FC7CCA"/>
    <w:rsid w:val="00FD396F"/>
    <w:rsid w:val="00FD4CE3"/>
    <w:rsid w:val="00FE09C6"/>
    <w:rsid w:val="00FE2597"/>
    <w:rsid w:val="00FE2F59"/>
    <w:rsid w:val="00FE34ED"/>
    <w:rsid w:val="00FE379C"/>
    <w:rsid w:val="00FF0CEE"/>
    <w:rsid w:val="00FF230C"/>
    <w:rsid w:val="00FF3C2F"/>
    <w:rsid w:val="00FF3FA2"/>
    <w:rsid w:val="00FF4808"/>
    <w:rsid w:val="00FF50F7"/>
    <w:rsid w:val="00FF6CCF"/>
    <w:rsid w:val="00FF7437"/>
    <w:rsid w:val="00FF743C"/>
    <w:rsid w:val="00FF7741"/>
    <w:rsid w:val="00FF7F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martTagType w:namespaceuri="urn:schemas-microsoft-com:office:smarttags" w:name="State"/>
  <w:smartTagType w:namespaceuri="urn:schemas-microsoft-com:office:smarttags" w:name="City"/>
  <w:smartTagType w:namespaceuri="urn:schemas-microsoft-com:office:smarttags" w:name="date"/>
  <w:smartTagType w:namespaceuri="urn:schemas-microsoft-com:office:smarttags" w:name="PersonName"/>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32769" style="mso-position-horizontal:center;mso-position-horizontal-relative:margin;mso-position-vertical:center;mso-position-vertical-relative:margin" o:allowincell="f" fillcolor="silver" stroke="f">
      <v:fill color="silver" opacity=".5"/>
      <v:stroke on="f"/>
    </o:shapedefaults>
    <o:shapelayout v:ext="edit">
      <o:idmap v:ext="edit" data="1"/>
    </o:shapelayout>
  </w:shapeDefaults>
  <w:decimalSymbol w:val="."/>
  <w:listSeparator w:val=","/>
  <w14:docId w14:val="56E4A937"/>
  <w15:docId w15:val="{4AB7AB73-0BD7-4F4F-AD78-67E03DD16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imes New Roman"/>
        <w:sz w:val="22"/>
        <w:szCs w:val="22"/>
        <w:lang w:val="en-AU" w:eastAsia="en-US" w:bidi="ar-SA"/>
      </w:rPr>
    </w:rPrDefault>
    <w:pPrDefault>
      <w:pPr>
        <w:spacing w:before="240" w:after="24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5A85"/>
  </w:style>
  <w:style w:type="paragraph" w:styleId="Heading1">
    <w:name w:val="heading 1"/>
    <w:aliases w:val="h1"/>
    <w:basedOn w:val="Normal"/>
    <w:next w:val="Normal"/>
    <w:link w:val="Heading1Char"/>
    <w:autoRedefine/>
    <w:qFormat/>
    <w:rsid w:val="00374388"/>
    <w:pPr>
      <w:keepNext/>
      <w:keepLines/>
      <w:numPr>
        <w:numId w:val="3"/>
      </w:numPr>
      <w:tabs>
        <w:tab w:val="left" w:pos="680"/>
      </w:tabs>
      <w:outlineLvl w:val="0"/>
    </w:pPr>
    <w:rPr>
      <w:rFonts w:eastAsia="Times New Roman"/>
      <w:b/>
      <w:bCs/>
      <w:color w:val="365F91" w:themeColor="accent1" w:themeShade="BF"/>
      <w:sz w:val="28"/>
      <w:szCs w:val="28"/>
    </w:rPr>
  </w:style>
  <w:style w:type="paragraph" w:styleId="Heading2">
    <w:name w:val="heading 2"/>
    <w:aliases w:val="h2"/>
    <w:basedOn w:val="Normal"/>
    <w:next w:val="Normal"/>
    <w:link w:val="Heading2Char"/>
    <w:qFormat/>
    <w:rsid w:val="004A5DCA"/>
    <w:pPr>
      <w:keepNext/>
      <w:keepLines/>
      <w:numPr>
        <w:ilvl w:val="1"/>
        <w:numId w:val="3"/>
      </w:numPr>
      <w:tabs>
        <w:tab w:val="left" w:pos="680"/>
      </w:tabs>
      <w:ind w:left="284" w:hanging="284"/>
      <w:outlineLvl w:val="1"/>
    </w:pPr>
    <w:rPr>
      <w:rFonts w:eastAsia="Times New Roman"/>
      <w:b/>
      <w:bCs/>
      <w:color w:val="365F91" w:themeColor="accent1" w:themeShade="BF"/>
      <w:sz w:val="24"/>
      <w:szCs w:val="26"/>
    </w:rPr>
  </w:style>
  <w:style w:type="paragraph" w:styleId="Heading3">
    <w:name w:val="heading 3"/>
    <w:basedOn w:val="Normal"/>
    <w:next w:val="Normal"/>
    <w:link w:val="Heading3Char"/>
    <w:autoRedefine/>
    <w:qFormat/>
    <w:rsid w:val="0067588D"/>
    <w:pPr>
      <w:keepNext/>
      <w:keepLines/>
      <w:numPr>
        <w:ilvl w:val="2"/>
        <w:numId w:val="3"/>
      </w:numPr>
      <w:tabs>
        <w:tab w:val="left" w:pos="993"/>
      </w:tabs>
      <w:ind w:left="0" w:firstLine="0"/>
      <w:outlineLvl w:val="2"/>
    </w:pPr>
    <w:rPr>
      <w:rFonts w:eastAsia="Times New Roman" w:cs="Arial"/>
      <w:b/>
      <w:bCs/>
      <w:color w:val="365F91" w:themeColor="accent1" w:themeShade="BF"/>
    </w:rPr>
  </w:style>
  <w:style w:type="paragraph" w:styleId="Heading4">
    <w:name w:val="heading 4"/>
    <w:basedOn w:val="Normal"/>
    <w:next w:val="Normal"/>
    <w:link w:val="Heading4Char"/>
    <w:qFormat/>
    <w:rsid w:val="00B46041"/>
    <w:pPr>
      <w:keepNext/>
      <w:keepLines/>
      <w:numPr>
        <w:ilvl w:val="3"/>
        <w:numId w:val="3"/>
      </w:numPr>
      <w:spacing w:after="120"/>
      <w:outlineLvl w:val="3"/>
    </w:pPr>
    <w:rPr>
      <w:rFonts w:eastAsia="Times New Roman"/>
      <w:b/>
      <w:bCs/>
      <w:i/>
      <w:iCs/>
      <w:color w:val="365F91" w:themeColor="accent1" w:themeShade="BF"/>
      <w:sz w:val="20"/>
    </w:rPr>
  </w:style>
  <w:style w:type="paragraph" w:styleId="Heading5">
    <w:name w:val="heading 5"/>
    <w:basedOn w:val="Normal"/>
    <w:next w:val="Normal"/>
    <w:link w:val="Heading5Char"/>
    <w:qFormat/>
    <w:rsid w:val="00B23072"/>
    <w:pPr>
      <w:keepNext/>
      <w:keepLines/>
      <w:numPr>
        <w:ilvl w:val="4"/>
        <w:numId w:val="3"/>
      </w:numPr>
      <w:spacing w:before="200"/>
      <w:outlineLvl w:val="4"/>
    </w:pPr>
    <w:rPr>
      <w:rFonts w:ascii="Cambria" w:eastAsia="Times New Roman" w:hAnsi="Cambria"/>
      <w:color w:val="243F60"/>
    </w:rPr>
  </w:style>
  <w:style w:type="paragraph" w:styleId="Heading6">
    <w:name w:val="heading 6"/>
    <w:basedOn w:val="Normal"/>
    <w:next w:val="Normal"/>
    <w:link w:val="Heading6Char"/>
    <w:unhideWhenUsed/>
    <w:qFormat/>
    <w:rsid w:val="00F46647"/>
    <w:pPr>
      <w:keepNext/>
      <w:keepLines/>
      <w:numPr>
        <w:ilvl w:val="5"/>
        <w:numId w:val="3"/>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F46647"/>
    <w:pPr>
      <w:keepNext/>
      <w:keepLines/>
      <w:numPr>
        <w:ilvl w:val="6"/>
        <w:numId w:val="3"/>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F46647"/>
    <w:pPr>
      <w:keepNext/>
      <w:keepLines/>
      <w:numPr>
        <w:ilvl w:val="7"/>
        <w:numId w:val="3"/>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F46647"/>
    <w:pPr>
      <w:keepNext/>
      <w:keepLines/>
      <w:numPr>
        <w:ilvl w:val="8"/>
        <w:numId w:val="3"/>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
    <w:basedOn w:val="DefaultParagraphFont"/>
    <w:link w:val="Heading1"/>
    <w:rsid w:val="00374388"/>
    <w:rPr>
      <w:rFonts w:eastAsia="Times New Roman"/>
      <w:b/>
      <w:bCs/>
      <w:color w:val="365F91" w:themeColor="accent1" w:themeShade="BF"/>
      <w:sz w:val="28"/>
      <w:szCs w:val="28"/>
    </w:rPr>
  </w:style>
  <w:style w:type="character" w:customStyle="1" w:styleId="Heading2Char">
    <w:name w:val="Heading 2 Char"/>
    <w:aliases w:val="h2 Char"/>
    <w:basedOn w:val="DefaultParagraphFont"/>
    <w:link w:val="Heading2"/>
    <w:rsid w:val="004A5DCA"/>
    <w:rPr>
      <w:rFonts w:eastAsia="Times New Roman"/>
      <w:b/>
      <w:bCs/>
      <w:color w:val="365F91" w:themeColor="accent1" w:themeShade="BF"/>
      <w:sz w:val="24"/>
      <w:szCs w:val="26"/>
    </w:rPr>
  </w:style>
  <w:style w:type="character" w:customStyle="1" w:styleId="Heading3Char">
    <w:name w:val="Heading 3 Char"/>
    <w:basedOn w:val="DefaultParagraphFont"/>
    <w:link w:val="Heading3"/>
    <w:rsid w:val="0067588D"/>
    <w:rPr>
      <w:rFonts w:eastAsia="Times New Roman" w:cs="Arial"/>
      <w:b/>
      <w:bCs/>
      <w:color w:val="365F91" w:themeColor="accent1" w:themeShade="BF"/>
    </w:rPr>
  </w:style>
  <w:style w:type="character" w:customStyle="1" w:styleId="Heading4Char">
    <w:name w:val="Heading 4 Char"/>
    <w:basedOn w:val="DefaultParagraphFont"/>
    <w:link w:val="Heading4"/>
    <w:rsid w:val="00B46041"/>
    <w:rPr>
      <w:rFonts w:eastAsia="Times New Roman"/>
      <w:b/>
      <w:bCs/>
      <w:i/>
      <w:iCs/>
      <w:color w:val="365F91" w:themeColor="accent1" w:themeShade="BF"/>
      <w:sz w:val="20"/>
    </w:rPr>
  </w:style>
  <w:style w:type="character" w:customStyle="1" w:styleId="Heading5Char">
    <w:name w:val="Heading 5 Char"/>
    <w:basedOn w:val="DefaultParagraphFont"/>
    <w:link w:val="Heading5"/>
    <w:rsid w:val="00B23072"/>
    <w:rPr>
      <w:rFonts w:ascii="Cambria" w:eastAsia="Times New Roman" w:hAnsi="Cambria"/>
      <w:color w:val="243F60"/>
    </w:rPr>
  </w:style>
  <w:style w:type="character" w:customStyle="1" w:styleId="Heading6Char">
    <w:name w:val="Heading 6 Char"/>
    <w:basedOn w:val="DefaultParagraphFont"/>
    <w:link w:val="Heading6"/>
    <w:rsid w:val="00F46647"/>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F46647"/>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F46647"/>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F46647"/>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rsid w:val="00DE530A"/>
  </w:style>
  <w:style w:type="paragraph" w:styleId="Footer">
    <w:name w:val="footer"/>
    <w:basedOn w:val="Normal"/>
    <w:link w:val="FooterChar"/>
    <w:unhideWhenUsed/>
    <w:rsid w:val="00DE530A"/>
    <w:pPr>
      <w:tabs>
        <w:tab w:val="center" w:pos="4513"/>
        <w:tab w:val="right" w:pos="9026"/>
      </w:tabs>
    </w:pPr>
  </w:style>
  <w:style w:type="character" w:customStyle="1" w:styleId="FooterChar">
    <w:name w:val="Footer Char"/>
    <w:basedOn w:val="DefaultParagraphFont"/>
    <w:link w:val="Footer"/>
    <w:rsid w:val="00DE530A"/>
  </w:style>
  <w:style w:type="paragraph" w:customStyle="1" w:styleId="Default">
    <w:name w:val="Default"/>
    <w:rsid w:val="00B23072"/>
    <w:pPr>
      <w:autoSpaceDE w:val="0"/>
      <w:autoSpaceDN w:val="0"/>
      <w:adjustRightInd w:val="0"/>
      <w:spacing w:before="60" w:after="60"/>
      <w:jc w:val="both"/>
    </w:pPr>
    <w:rPr>
      <w:rFonts w:eastAsia="Times New Roman"/>
      <w:color w:val="000000"/>
      <w:szCs w:val="24"/>
      <w:lang w:eastAsia="en-AU"/>
    </w:rPr>
  </w:style>
  <w:style w:type="paragraph" w:styleId="ListParagraph">
    <w:name w:val="List Paragraph"/>
    <w:aliases w:val="DDM Gen Text,List Paragraph1"/>
    <w:basedOn w:val="Normal"/>
    <w:link w:val="ListParagraphChar"/>
    <w:uiPriority w:val="1"/>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autoRedefine/>
    <w:qFormat/>
    <w:rsid w:val="007E5A3A"/>
    <w:pPr>
      <w:shd w:val="clear" w:color="auto" w:fill="DBE5F1" w:themeFill="accent1" w:themeFillTint="33"/>
      <w:spacing w:before="120"/>
    </w:pPr>
    <w:rPr>
      <w:rFonts w:asciiTheme="minorHAnsi" w:eastAsiaTheme="minorEastAsia" w:hAnsiTheme="minorHAnsi" w:cs="Arial"/>
      <w:b/>
      <w:bCs/>
      <w:color w:val="000000" w:themeColor="text1"/>
      <w:lang w:val="en-US" w:eastAsia="en-AU" w:bidi="en-US"/>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rsid w:val="007E5A3A"/>
    <w:rPr>
      <w:rFonts w:asciiTheme="minorHAnsi" w:eastAsiaTheme="minorEastAsia" w:hAnsiTheme="minorHAnsi" w:cs="Arial"/>
      <w:b/>
      <w:bCs/>
      <w:color w:val="000000" w:themeColor="text1"/>
      <w:shd w:val="clear" w:color="auto" w:fill="DBE5F1" w:themeFill="accent1" w:themeFillTint="33"/>
      <w:lang w:val="en-US" w:eastAsia="en-AU" w:bidi="en-US"/>
    </w:rPr>
  </w:style>
  <w:style w:type="paragraph" w:styleId="BalloonText">
    <w:name w:val="Balloon Text"/>
    <w:basedOn w:val="Normal"/>
    <w:link w:val="BalloonTextChar"/>
    <w:semiHidden/>
    <w:unhideWhenUsed/>
    <w:rsid w:val="00B23072"/>
    <w:rPr>
      <w:rFonts w:ascii="Tahoma" w:hAnsi="Tahoma" w:cs="Tahoma"/>
      <w:sz w:val="16"/>
      <w:szCs w:val="16"/>
    </w:rPr>
  </w:style>
  <w:style w:type="character" w:customStyle="1" w:styleId="BalloonTextChar">
    <w:name w:val="Balloon Text Char"/>
    <w:basedOn w:val="DefaultParagraphFont"/>
    <w:link w:val="BalloonText"/>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pPr>
    <w:rPr>
      <w:rFonts w:ascii="Trebuchet MS" w:eastAsia="Times New Roman" w:hAnsi="Trebuchet MS"/>
      <w:sz w:val="21"/>
      <w:szCs w:val="20"/>
    </w:rPr>
  </w:style>
  <w:style w:type="paragraph" w:styleId="BodyText">
    <w:name w:val="Body Text"/>
    <w:basedOn w:val="Normal"/>
    <w:link w:val="BodyTextChar"/>
    <w:unhideWhenUsed/>
    <w:qFormat/>
    <w:rsid w:val="00B23072"/>
    <w:pPr>
      <w:spacing w:after="120"/>
    </w:pPr>
  </w:style>
  <w:style w:type="character" w:customStyle="1" w:styleId="BodyTextChar">
    <w:name w:val="Body Text Char"/>
    <w:basedOn w:val="DefaultParagraphFont"/>
    <w:link w:val="BodyText"/>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rPr>
  </w:style>
  <w:style w:type="paragraph" w:customStyle="1" w:styleId="References">
    <w:name w:val="References"/>
    <w:basedOn w:val="Normal"/>
    <w:rsid w:val="00B23072"/>
    <w:pPr>
      <w:keepLines/>
      <w:spacing w:after="120" w:line="300" w:lineRule="exact"/>
      <w:ind w:left="567" w:hanging="567"/>
    </w:pPr>
    <w:rPr>
      <w:rFonts w:ascii="Times New Roman" w:eastAsia="Times" w:hAnsi="Times New Roman"/>
      <w:szCs w:val="20"/>
      <w:lang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semiHidden/>
    <w:unhideWhenUsed/>
    <w:rsid w:val="00B23072"/>
    <w:rPr>
      <w:sz w:val="20"/>
      <w:szCs w:val="20"/>
    </w:rPr>
  </w:style>
  <w:style w:type="character" w:customStyle="1" w:styleId="FootnoteTextChar">
    <w:name w:val="Footnote Text Char"/>
    <w:basedOn w:val="DefaultParagraphFont"/>
    <w:link w:val="FootnoteText"/>
    <w:semiHidden/>
    <w:rsid w:val="00B23072"/>
    <w:rPr>
      <w:rFonts w:ascii="Calibri" w:eastAsia="Calibri" w:hAnsi="Calibri" w:cs="Times New Roman"/>
      <w:sz w:val="20"/>
      <w:szCs w:val="20"/>
      <w:lang w:val="en-US"/>
    </w:rPr>
  </w:style>
  <w:style w:type="character" w:styleId="CommentReference">
    <w:name w:val="annotation reference"/>
    <w:basedOn w:val="DefaultParagraphFont"/>
    <w:unhideWhenUsed/>
    <w:rsid w:val="00B23072"/>
    <w:rPr>
      <w:sz w:val="16"/>
      <w:szCs w:val="16"/>
    </w:rPr>
  </w:style>
  <w:style w:type="paragraph" w:styleId="CommentText">
    <w:name w:val="annotation text"/>
    <w:basedOn w:val="Normal"/>
    <w:link w:val="CommentTextChar"/>
    <w:uiPriority w:val="99"/>
    <w:unhideWhenUsed/>
    <w:rsid w:val="00B23072"/>
    <w:rPr>
      <w:sz w:val="20"/>
      <w:szCs w:val="20"/>
    </w:rPr>
  </w:style>
  <w:style w:type="character" w:customStyle="1" w:styleId="CommentTextChar">
    <w:name w:val="Comment Text Char"/>
    <w:basedOn w:val="DefaultParagraphFont"/>
    <w:link w:val="CommentText"/>
    <w:uiPriority w:val="99"/>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semiHidden/>
    <w:unhideWhenUsed/>
    <w:rsid w:val="00B23072"/>
    <w:rPr>
      <w:b/>
      <w:bCs/>
    </w:rPr>
  </w:style>
  <w:style w:type="character" w:customStyle="1" w:styleId="CommentSubjectChar">
    <w:name w:val="Comment Subject Char"/>
    <w:basedOn w:val="CommentTextChar"/>
    <w:link w:val="CommentSubject"/>
    <w:semiHidden/>
    <w:rsid w:val="00B23072"/>
    <w:rPr>
      <w:rFonts w:ascii="Calibri" w:eastAsia="Calibri" w:hAnsi="Calibri" w:cs="Times New Roman"/>
      <w:b/>
      <w:bCs/>
      <w:sz w:val="20"/>
      <w:szCs w:val="20"/>
      <w:lang w:val="en-US"/>
    </w:rPr>
  </w:style>
  <w:style w:type="paragraph" w:styleId="TOC1">
    <w:name w:val="toc 1"/>
    <w:basedOn w:val="Normal"/>
    <w:next w:val="Normal"/>
    <w:link w:val="TOC1Char"/>
    <w:autoRedefine/>
    <w:uiPriority w:val="39"/>
    <w:unhideWhenUsed/>
    <w:qFormat/>
    <w:rsid w:val="006345F0"/>
    <w:pPr>
      <w:tabs>
        <w:tab w:val="left" w:pos="284"/>
        <w:tab w:val="right" w:leader="dot" w:pos="9061"/>
      </w:tabs>
      <w:spacing w:before="120" w:after="0" w:line="360" w:lineRule="auto"/>
    </w:pPr>
    <w:rPr>
      <w:b/>
      <w:noProof/>
    </w:rPr>
  </w:style>
  <w:style w:type="paragraph" w:styleId="TOC3">
    <w:name w:val="toc 3"/>
    <w:basedOn w:val="Normal"/>
    <w:next w:val="Normal"/>
    <w:autoRedefine/>
    <w:uiPriority w:val="39"/>
    <w:unhideWhenUsed/>
    <w:qFormat/>
    <w:rsid w:val="006345F0"/>
    <w:pPr>
      <w:tabs>
        <w:tab w:val="left" w:pos="1701"/>
        <w:tab w:val="right" w:leader="dot" w:pos="9061"/>
      </w:tabs>
      <w:spacing w:before="0" w:after="0"/>
      <w:ind w:left="1702" w:hanging="851"/>
    </w:pPr>
    <w:rPr>
      <w:sz w:val="18"/>
    </w:rPr>
  </w:style>
  <w:style w:type="paragraph" w:styleId="TOC2">
    <w:name w:val="toc 2"/>
    <w:aliases w:val="tables"/>
    <w:basedOn w:val="Normal"/>
    <w:next w:val="Normal"/>
    <w:autoRedefine/>
    <w:uiPriority w:val="39"/>
    <w:unhideWhenUsed/>
    <w:qFormat/>
    <w:rsid w:val="004A5DCA"/>
    <w:pPr>
      <w:tabs>
        <w:tab w:val="left" w:pos="851"/>
        <w:tab w:val="right" w:leader="dot" w:pos="9016"/>
      </w:tabs>
      <w:spacing w:before="0" w:after="0"/>
      <w:ind w:left="215"/>
      <w:contextualSpacing/>
    </w:pPr>
    <w:rPr>
      <w:rFonts w:cs="Arial"/>
      <w:sz w:val="18"/>
    </w:rPr>
  </w:style>
  <w:style w:type="paragraph" w:customStyle="1" w:styleId="Table">
    <w:name w:val="Table"/>
    <w:basedOn w:val="Normal"/>
    <w:link w:val="TableChar"/>
    <w:rsid w:val="00956406"/>
    <w:pPr>
      <w:spacing w:before="80"/>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qFormat/>
    <w:rsid w:val="00565E24"/>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pPr>
    <w:rPr>
      <w:rFonts w:ascii="Gill Sans MT" w:eastAsia="Times New Roman" w:hAnsi="Gill Sans MT"/>
      <w:sz w:val="24"/>
      <w:szCs w:val="20"/>
      <w:lang w:val="en-GB"/>
    </w:rPr>
  </w:style>
  <w:style w:type="character" w:styleId="Strong">
    <w:name w:val="Strong"/>
    <w:qFormat/>
    <w:rsid w:val="00B23072"/>
    <w:rPr>
      <w:b/>
      <w:bCs/>
    </w:rPr>
  </w:style>
  <w:style w:type="character" w:styleId="Emphasis">
    <w:name w:val="Emphasis"/>
    <w:qFormat/>
    <w:rsid w:val="00B23072"/>
    <w:rPr>
      <w:i/>
      <w:iCs/>
    </w:rPr>
  </w:style>
  <w:style w:type="paragraph" w:styleId="TableofFigures">
    <w:name w:val="table of figures"/>
    <w:basedOn w:val="Normal"/>
    <w:next w:val="Normal"/>
    <w:uiPriority w:val="99"/>
    <w:unhideWhenUsed/>
    <w:rsid w:val="004605EE"/>
    <w:pPr>
      <w:tabs>
        <w:tab w:val="left" w:pos="284"/>
        <w:tab w:val="right" w:leader="dot" w:pos="9061"/>
      </w:tabs>
      <w:spacing w:before="120" w:after="0"/>
      <w:ind w:left="1134" w:hanging="1134"/>
      <w:contextualSpacing/>
    </w:pPr>
    <w:rPr>
      <w:sz w:val="20"/>
    </w:rPr>
  </w:style>
  <w:style w:type="paragraph" w:styleId="TOC4">
    <w:name w:val="toc 4"/>
    <w:basedOn w:val="Normal"/>
    <w:next w:val="Normal"/>
    <w:autoRedefine/>
    <w:uiPriority w:val="39"/>
    <w:unhideWhenUsed/>
    <w:qFormat/>
    <w:rsid w:val="00B23072"/>
    <w:pPr>
      <w:spacing w:after="100"/>
      <w:ind w:left="660"/>
    </w:pPr>
    <w:rPr>
      <w:rFonts w:asciiTheme="minorHAnsi" w:eastAsiaTheme="minorEastAsia" w:hAnsiTheme="minorHAnsi" w:cstheme="minorBidi"/>
    </w:rPr>
  </w:style>
  <w:style w:type="paragraph" w:styleId="TOC5">
    <w:name w:val="toc 5"/>
    <w:basedOn w:val="Normal"/>
    <w:next w:val="Normal"/>
    <w:autoRedefine/>
    <w:uiPriority w:val="39"/>
    <w:unhideWhenUsed/>
    <w:qFormat/>
    <w:rsid w:val="00B23072"/>
    <w:pPr>
      <w:spacing w:after="100"/>
      <w:ind w:left="880"/>
    </w:pPr>
    <w:rPr>
      <w:rFonts w:asciiTheme="minorHAnsi" w:eastAsiaTheme="minorEastAsia" w:hAnsiTheme="minorHAnsi" w:cstheme="minorBidi"/>
    </w:rPr>
  </w:style>
  <w:style w:type="paragraph" w:styleId="TOC6">
    <w:name w:val="toc 6"/>
    <w:basedOn w:val="Normal"/>
    <w:next w:val="Normal"/>
    <w:autoRedefine/>
    <w:uiPriority w:val="39"/>
    <w:unhideWhenUsed/>
    <w:qFormat/>
    <w:rsid w:val="00B23072"/>
    <w:pPr>
      <w:spacing w:after="100"/>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ind w:left="1760"/>
    </w:pPr>
    <w:rPr>
      <w:rFonts w:asciiTheme="minorHAnsi" w:eastAsiaTheme="minorEastAsia" w:hAnsiTheme="minorHAnsi" w:cstheme="minorBidi"/>
    </w:rPr>
  </w:style>
  <w:style w:type="paragraph" w:styleId="NoSpacing">
    <w:name w:val="No Spacing"/>
    <w:link w:val="NoSpacingChar"/>
    <w:uiPriority w:val="1"/>
    <w:qFormat/>
    <w:rsid w:val="00B23072"/>
    <w:rPr>
      <w:rFonts w:asciiTheme="minorHAnsi" w:eastAsiaTheme="minorEastAsia" w:hAnsiTheme="minorHAnsi"/>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rsid w:val="00B23072"/>
    <w:rPr>
      <w:rFonts w:asciiTheme="minorHAnsi" w:eastAsiaTheme="minorEastAsia" w:hAnsiTheme="minorHAnsi"/>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rPr>
      <w:rFonts w:eastAsia="Calibri"/>
      <w:lang w:val="en-US"/>
    </w:rPr>
  </w:style>
  <w:style w:type="paragraph" w:styleId="NormalWeb">
    <w:name w:val="Normal (Web)"/>
    <w:basedOn w:val="Normal"/>
    <w:uiPriority w:val="99"/>
    <w:unhideWhenUsed/>
    <w:rsid w:val="00DB36AB"/>
    <w:pPr>
      <w:spacing w:before="100" w:beforeAutospacing="1" w:after="100" w:afterAutospacing="1"/>
    </w:pPr>
    <w:rPr>
      <w:rFonts w:ascii="Times New Roman" w:eastAsiaTheme="minorEastAsia" w:hAnsi="Times New Roman"/>
      <w:sz w:val="24"/>
      <w:szCs w:val="24"/>
      <w:lang w:eastAsia="en-AU"/>
    </w:rPr>
  </w:style>
  <w:style w:type="paragraph" w:customStyle="1" w:styleId="BasicParagraph">
    <w:name w:val="[Basic Paragraph]"/>
    <w:basedOn w:val="Normal"/>
    <w:uiPriority w:val="99"/>
    <w:rsid w:val="0016486D"/>
    <w:pPr>
      <w:autoSpaceDE w:val="0"/>
      <w:autoSpaceDN w:val="0"/>
      <w:adjustRightInd w:val="0"/>
      <w:spacing w:line="288" w:lineRule="auto"/>
      <w:textAlignment w:val="center"/>
    </w:pPr>
    <w:rPr>
      <w:rFonts w:ascii="Times New Roman" w:hAnsi="Times New Roman"/>
      <w:color w:val="000000"/>
      <w:sz w:val="24"/>
      <w:szCs w:val="24"/>
      <w:lang w:val="en-GB"/>
    </w:rPr>
  </w:style>
  <w:style w:type="table" w:customStyle="1" w:styleId="Anita-ReportConsult">
    <w:name w:val="Anita - Report Consult"/>
    <w:uiPriority w:val="99"/>
    <w:rsid w:val="008B3178"/>
    <w:pPr>
      <w:ind w:firstLine="357"/>
    </w:pPr>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styleId="Quote">
    <w:name w:val="Quote"/>
    <w:basedOn w:val="Normal"/>
    <w:next w:val="Normal"/>
    <w:link w:val="QuoteChar"/>
    <w:uiPriority w:val="29"/>
    <w:qFormat/>
    <w:rsid w:val="00BB0109"/>
    <w:rPr>
      <w:i/>
      <w:iCs/>
      <w:color w:val="000000" w:themeColor="text1"/>
    </w:rPr>
  </w:style>
  <w:style w:type="character" w:customStyle="1" w:styleId="QuoteChar">
    <w:name w:val="Quote Char"/>
    <w:basedOn w:val="DefaultParagraphFont"/>
    <w:link w:val="Quote"/>
    <w:uiPriority w:val="29"/>
    <w:rsid w:val="00BB0109"/>
    <w:rPr>
      <w:rFonts w:ascii="Segoe UI" w:eastAsia="Calibri" w:hAnsi="Segoe UI" w:cs="Times New Roman"/>
      <w:i/>
      <w:iCs/>
      <w:color w:val="000000" w:themeColor="text1"/>
      <w:sz w:val="22"/>
      <w:lang w:val="en-US"/>
    </w:rPr>
  </w:style>
  <w:style w:type="character" w:customStyle="1" w:styleId="st">
    <w:name w:val="st"/>
    <w:basedOn w:val="DefaultParagraphFont"/>
    <w:rsid w:val="00BB0109"/>
  </w:style>
  <w:style w:type="character" w:styleId="FollowedHyperlink">
    <w:name w:val="FollowedHyperlink"/>
    <w:basedOn w:val="DefaultParagraphFont"/>
    <w:unhideWhenUsed/>
    <w:rsid w:val="001A5E21"/>
    <w:rPr>
      <w:color w:val="800080" w:themeColor="followedHyperlink"/>
      <w:u w:val="single"/>
    </w:rPr>
  </w:style>
  <w:style w:type="character" w:customStyle="1" w:styleId="ListParagraphChar">
    <w:name w:val="List Paragraph Char"/>
    <w:aliases w:val="DDM Gen Text Char,List Paragraph1 Char"/>
    <w:basedOn w:val="DefaultParagraphFont"/>
    <w:link w:val="ListParagraph"/>
    <w:uiPriority w:val="34"/>
    <w:locked/>
    <w:rsid w:val="00C44597"/>
    <w:rPr>
      <w:rFonts w:ascii="Segoe UI" w:eastAsia="Calibri" w:hAnsi="Segoe UI" w:cs="Times New Roman"/>
      <w:sz w:val="22"/>
      <w:lang w:val="en-US"/>
    </w:rPr>
  </w:style>
  <w:style w:type="character" w:styleId="BookTitle">
    <w:name w:val="Book Title"/>
    <w:uiPriority w:val="33"/>
    <w:qFormat/>
    <w:rsid w:val="00AD6D5C"/>
    <w:rPr>
      <w:rFonts w:asciiTheme="majorHAnsi" w:eastAsiaTheme="majorEastAsia" w:hAnsiTheme="majorHAnsi" w:cstheme="majorBidi" w:hint="default"/>
      <w:i w:val="0"/>
      <w:iCs/>
      <w:sz w:val="20"/>
      <w:szCs w:val="20"/>
    </w:rPr>
  </w:style>
  <w:style w:type="paragraph" w:styleId="TOCHeading">
    <w:name w:val="TOC Heading"/>
    <w:basedOn w:val="Heading1"/>
    <w:next w:val="Normal"/>
    <w:uiPriority w:val="39"/>
    <w:semiHidden/>
    <w:unhideWhenUsed/>
    <w:qFormat/>
    <w:rsid w:val="00295070"/>
    <w:pPr>
      <w:numPr>
        <w:numId w:val="0"/>
      </w:numPr>
      <w:tabs>
        <w:tab w:val="clear" w:pos="680"/>
      </w:tabs>
      <w:spacing w:before="480" w:after="0"/>
      <w:outlineLvl w:val="9"/>
    </w:pPr>
    <w:rPr>
      <w:rFonts w:asciiTheme="majorHAnsi" w:eastAsiaTheme="majorEastAsia" w:hAnsiTheme="majorHAnsi" w:cstheme="majorBidi"/>
      <w:lang w:eastAsia="ja-JP"/>
    </w:rPr>
  </w:style>
  <w:style w:type="character" w:styleId="PlaceholderText">
    <w:name w:val="Placeholder Text"/>
    <w:basedOn w:val="DefaultParagraphFont"/>
    <w:uiPriority w:val="99"/>
    <w:semiHidden/>
    <w:rsid w:val="002E600A"/>
    <w:rPr>
      <w:color w:val="808080"/>
    </w:rPr>
  </w:style>
  <w:style w:type="character" w:customStyle="1" w:styleId="iceouttxt">
    <w:name w:val="iceouttxt"/>
    <w:basedOn w:val="DefaultParagraphFont"/>
    <w:rsid w:val="002E600A"/>
  </w:style>
  <w:style w:type="paragraph" w:customStyle="1" w:styleId="Numberedparagraph">
    <w:name w:val="Numbered paragraph"/>
    <w:basedOn w:val="Normal"/>
    <w:link w:val="NumberedparagraphChar"/>
    <w:qFormat/>
    <w:rsid w:val="005C0B79"/>
    <w:pPr>
      <w:numPr>
        <w:numId w:val="54"/>
      </w:numPr>
      <w:spacing w:after="60"/>
      <w:jc w:val="both"/>
    </w:pPr>
    <w:rPr>
      <w:rFonts w:eastAsia="Times New Roman" w:cs="Arial"/>
      <w:lang w:bidi="en-US"/>
    </w:rPr>
  </w:style>
  <w:style w:type="character" w:customStyle="1" w:styleId="NumberedparagraphChar">
    <w:name w:val="Numbered paragraph Char"/>
    <w:basedOn w:val="DefaultParagraphFont"/>
    <w:link w:val="Numberedparagraph"/>
    <w:rsid w:val="005C0B79"/>
    <w:rPr>
      <w:rFonts w:eastAsia="Times New Roman" w:cs="Arial"/>
      <w:lang w:bidi="en-US"/>
    </w:rPr>
  </w:style>
  <w:style w:type="numbering" w:customStyle="1" w:styleId="NoList1">
    <w:name w:val="No List1"/>
    <w:next w:val="NoList"/>
    <w:uiPriority w:val="99"/>
    <w:semiHidden/>
    <w:unhideWhenUsed/>
    <w:rsid w:val="001861B8"/>
  </w:style>
  <w:style w:type="table" w:customStyle="1" w:styleId="TableGrid1">
    <w:name w:val="Table Grid1"/>
    <w:basedOn w:val="TableNormal"/>
    <w:next w:val="TableGrid"/>
    <w:uiPriority w:val="59"/>
    <w:rsid w:val="001861B8"/>
    <w:rPr>
      <w:rFonts w:asciiTheme="minorHAnsi" w:eastAsiaTheme="minorEastAsia" w:hAnsiTheme="minorHAnsi"/>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Anita-ReportConsult1">
    <w:name w:val="Anita - Report Consult1"/>
    <w:uiPriority w:val="99"/>
    <w:rsid w:val="001861B8"/>
    <w:pPr>
      <w:ind w:firstLine="357"/>
    </w:pPr>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character" w:styleId="IntenseReference">
    <w:name w:val="Intense Reference"/>
    <w:aliases w:val="fig tab body"/>
    <w:basedOn w:val="FigureChar"/>
    <w:uiPriority w:val="32"/>
    <w:qFormat/>
    <w:rsid w:val="001861B8"/>
    <w:rPr>
      <w:rFonts w:ascii="Arial" w:eastAsia="Times New Roman" w:hAnsi="Arial" w:cs="Times New Roman"/>
      <w:b w:val="0"/>
      <w:bCs/>
      <w:caps w:val="0"/>
      <w:smallCaps w:val="0"/>
      <w:strike w:val="0"/>
      <w:dstrike w:val="0"/>
      <w:color w:val="000000" w:themeColor="text1"/>
      <w:spacing w:val="0"/>
      <w:w w:val="100"/>
      <w:sz w:val="18"/>
      <w:szCs w:val="20"/>
      <w:u w:val="none"/>
      <w:effect w:val="none"/>
      <w:lang w:val="en-GB"/>
    </w:rPr>
  </w:style>
  <w:style w:type="paragraph" w:customStyle="1" w:styleId="Body">
    <w:name w:val="Body"/>
    <w:basedOn w:val="Normal"/>
    <w:rsid w:val="001861B8"/>
    <w:rPr>
      <w:rFonts w:ascii="Times" w:eastAsia="Times New Roman" w:hAnsi="Times"/>
      <w:sz w:val="26"/>
      <w:szCs w:val="20"/>
    </w:rPr>
  </w:style>
  <w:style w:type="paragraph" w:customStyle="1" w:styleId="Paragraph">
    <w:name w:val="Paragraph"/>
    <w:basedOn w:val="Body"/>
    <w:rsid w:val="001861B8"/>
  </w:style>
  <w:style w:type="paragraph" w:customStyle="1" w:styleId="TxtQuotation">
    <w:name w:val="Txt Quotation"/>
    <w:basedOn w:val="Normal"/>
    <w:next w:val="Normal"/>
    <w:rsid w:val="001861B8"/>
    <w:pPr>
      <w:tabs>
        <w:tab w:val="left" w:pos="567"/>
      </w:tabs>
      <w:spacing w:before="120" w:after="120" w:line="270" w:lineRule="atLeast"/>
      <w:ind w:left="567" w:right="567"/>
      <w:jc w:val="both"/>
    </w:pPr>
    <w:rPr>
      <w:rFonts w:ascii="Times" w:eastAsia="Times New Roman" w:hAnsi="Times"/>
      <w:color w:val="000000"/>
      <w:szCs w:val="20"/>
    </w:rPr>
  </w:style>
  <w:style w:type="paragraph" w:styleId="BodyTextIndent2">
    <w:name w:val="Body Text Indent 2"/>
    <w:basedOn w:val="Normal"/>
    <w:link w:val="BodyTextIndent2Char"/>
    <w:rsid w:val="001861B8"/>
    <w:pPr>
      <w:tabs>
        <w:tab w:val="left" w:pos="993"/>
      </w:tabs>
      <w:ind w:left="1704" w:hanging="1704"/>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1861B8"/>
    <w:rPr>
      <w:rFonts w:ascii="Times New Roman" w:eastAsia="Times New Roman" w:hAnsi="Times New Roman"/>
      <w:sz w:val="24"/>
      <w:szCs w:val="24"/>
    </w:rPr>
  </w:style>
  <w:style w:type="paragraph" w:customStyle="1" w:styleId="BodyText1">
    <w:name w:val="Body Text1"/>
    <w:basedOn w:val="Normal"/>
    <w:rsid w:val="001861B8"/>
    <w:pPr>
      <w:spacing w:before="120"/>
    </w:pPr>
    <w:rPr>
      <w:rFonts w:ascii="Palatino" w:eastAsia="Times New Roman" w:hAnsi="Palatino"/>
      <w:sz w:val="24"/>
      <w:szCs w:val="20"/>
    </w:rPr>
  </w:style>
  <w:style w:type="paragraph" w:styleId="BodyTextIndent3">
    <w:name w:val="Body Text Indent 3"/>
    <w:basedOn w:val="Normal"/>
    <w:link w:val="BodyTextIndent3Char"/>
    <w:rsid w:val="001861B8"/>
    <w:pPr>
      <w:ind w:left="851" w:hanging="851"/>
    </w:pPr>
    <w:rPr>
      <w:rFonts w:ascii="Times New Roman" w:eastAsia="Times New Roman" w:hAnsi="Times New Roman"/>
      <w:sz w:val="24"/>
      <w:szCs w:val="24"/>
    </w:rPr>
  </w:style>
  <w:style w:type="character" w:customStyle="1" w:styleId="BodyTextIndent3Char">
    <w:name w:val="Body Text Indent 3 Char"/>
    <w:basedOn w:val="DefaultParagraphFont"/>
    <w:link w:val="BodyTextIndent3"/>
    <w:rsid w:val="001861B8"/>
    <w:rPr>
      <w:rFonts w:ascii="Times New Roman" w:eastAsia="Times New Roman" w:hAnsi="Times New Roman"/>
      <w:sz w:val="24"/>
      <w:szCs w:val="24"/>
    </w:rPr>
  </w:style>
  <w:style w:type="paragraph" w:styleId="BodyText2">
    <w:name w:val="Body Text 2"/>
    <w:basedOn w:val="Normal"/>
    <w:link w:val="BodyText2Char"/>
    <w:rsid w:val="001861B8"/>
    <w:rPr>
      <w:rFonts w:ascii="Times New Roman" w:eastAsia="Times New Roman" w:hAnsi="Times New Roman"/>
      <w:b/>
      <w:bCs/>
      <w:sz w:val="24"/>
      <w:szCs w:val="20"/>
    </w:rPr>
  </w:style>
  <w:style w:type="character" w:customStyle="1" w:styleId="BodyText2Char">
    <w:name w:val="Body Text 2 Char"/>
    <w:basedOn w:val="DefaultParagraphFont"/>
    <w:link w:val="BodyText2"/>
    <w:rsid w:val="001861B8"/>
    <w:rPr>
      <w:rFonts w:ascii="Times New Roman" w:eastAsia="Times New Roman" w:hAnsi="Times New Roman"/>
      <w:b/>
      <w:bCs/>
      <w:sz w:val="24"/>
      <w:szCs w:val="20"/>
    </w:rPr>
  </w:style>
  <w:style w:type="paragraph" w:styleId="Title">
    <w:name w:val="Title"/>
    <w:basedOn w:val="Normal"/>
    <w:link w:val="TitleChar"/>
    <w:qFormat/>
    <w:rsid w:val="001861B8"/>
    <w:pPr>
      <w:ind w:left="720" w:hanging="720"/>
      <w:jc w:val="center"/>
    </w:pPr>
    <w:rPr>
      <w:rFonts w:ascii="Palatino" w:eastAsia="Times New Roman" w:hAnsi="Palatino"/>
      <w:b/>
      <w:bCs/>
      <w:szCs w:val="20"/>
    </w:rPr>
  </w:style>
  <w:style w:type="character" w:customStyle="1" w:styleId="TitleChar">
    <w:name w:val="Title Char"/>
    <w:basedOn w:val="DefaultParagraphFont"/>
    <w:link w:val="Title"/>
    <w:rsid w:val="001861B8"/>
    <w:rPr>
      <w:rFonts w:ascii="Palatino" w:eastAsia="Times New Roman" w:hAnsi="Palatino"/>
      <w:b/>
      <w:bCs/>
      <w:szCs w:val="20"/>
    </w:rPr>
  </w:style>
  <w:style w:type="paragraph" w:customStyle="1" w:styleId="ClauseLevel3">
    <w:name w:val="Clause Level 3"/>
    <w:rsid w:val="001861B8"/>
    <w:pPr>
      <w:tabs>
        <w:tab w:val="num" w:pos="0"/>
      </w:tabs>
      <w:spacing w:before="140" w:after="140" w:line="280" w:lineRule="atLeast"/>
      <w:ind w:hanging="1134"/>
    </w:pPr>
    <w:rPr>
      <w:rFonts w:eastAsia="Times New Roman" w:cs="Arial"/>
      <w:lang w:eastAsia="en-AU"/>
    </w:rPr>
  </w:style>
  <w:style w:type="character" w:styleId="PageNumber">
    <w:name w:val="page number"/>
    <w:basedOn w:val="DefaultParagraphFont"/>
    <w:rsid w:val="001861B8"/>
  </w:style>
  <w:style w:type="paragraph" w:styleId="BodyText3">
    <w:name w:val="Body Text 3"/>
    <w:basedOn w:val="Normal"/>
    <w:link w:val="BodyText3Char"/>
    <w:rsid w:val="001861B8"/>
    <w:pPr>
      <w:tabs>
        <w:tab w:val="right" w:pos="4253"/>
        <w:tab w:val="left" w:pos="4678"/>
      </w:tabs>
      <w:spacing w:line="360" w:lineRule="atLeast"/>
      <w:ind w:right="20"/>
    </w:pPr>
    <w:rPr>
      <w:rFonts w:ascii="Times New Roman" w:eastAsia="Times New Roman" w:hAnsi="Times New Roman"/>
      <w:sz w:val="24"/>
      <w:szCs w:val="24"/>
    </w:rPr>
  </w:style>
  <w:style w:type="character" w:customStyle="1" w:styleId="BodyText3Char">
    <w:name w:val="Body Text 3 Char"/>
    <w:basedOn w:val="DefaultParagraphFont"/>
    <w:link w:val="BodyText3"/>
    <w:rsid w:val="001861B8"/>
    <w:rPr>
      <w:rFonts w:ascii="Times New Roman" w:eastAsia="Times New Roman" w:hAnsi="Times New Roman"/>
      <w:sz w:val="24"/>
      <w:szCs w:val="24"/>
    </w:rPr>
  </w:style>
  <w:style w:type="paragraph" w:styleId="BlockText">
    <w:name w:val="Block Text"/>
    <w:basedOn w:val="Normal"/>
    <w:semiHidden/>
    <w:rsid w:val="001861B8"/>
    <w:pPr>
      <w:spacing w:after="120"/>
      <w:ind w:left="1440" w:right="1440"/>
    </w:pPr>
    <w:rPr>
      <w:rFonts w:ascii="Times New Roman" w:eastAsia="Times New Roman" w:hAnsi="Times New Roman"/>
      <w:sz w:val="20"/>
      <w:szCs w:val="20"/>
    </w:rPr>
  </w:style>
  <w:style w:type="paragraph" w:customStyle="1" w:styleId="Executionclause-landinWA">
    <w:name w:val="Execution clause - land in WA"/>
    <w:basedOn w:val="Normal"/>
    <w:rsid w:val="001861B8"/>
    <w:pPr>
      <w:keepNext/>
    </w:pPr>
    <w:rPr>
      <w:rFonts w:ascii="Palatino" w:eastAsia="Times New Roman" w:hAnsi="Palatino"/>
      <w:szCs w:val="20"/>
    </w:rPr>
  </w:style>
  <w:style w:type="paragraph" w:customStyle="1" w:styleId="Style4">
    <w:name w:val="Style 4"/>
    <w:basedOn w:val="Normal"/>
    <w:rsid w:val="001861B8"/>
    <w:pPr>
      <w:widowControl w:val="0"/>
      <w:autoSpaceDE w:val="0"/>
      <w:autoSpaceDN w:val="0"/>
      <w:ind w:left="792"/>
    </w:pPr>
    <w:rPr>
      <w:rFonts w:ascii="Times New Roman" w:eastAsia="Times New Roman" w:hAnsi="Times New Roman"/>
      <w:sz w:val="24"/>
      <w:szCs w:val="24"/>
      <w:lang w:val="en-US" w:eastAsia="en-AU"/>
    </w:rPr>
  </w:style>
  <w:style w:type="paragraph" w:styleId="Subtitle">
    <w:name w:val="Subtitle"/>
    <w:basedOn w:val="Normal"/>
    <w:link w:val="SubtitleChar"/>
    <w:qFormat/>
    <w:rsid w:val="001861B8"/>
    <w:pPr>
      <w:jc w:val="center"/>
    </w:pPr>
    <w:rPr>
      <w:rFonts w:ascii="Times New Roman" w:eastAsia="Times New Roman" w:hAnsi="Times New Roman"/>
      <w:b/>
      <w:sz w:val="24"/>
      <w:szCs w:val="20"/>
    </w:rPr>
  </w:style>
  <w:style w:type="character" w:customStyle="1" w:styleId="SubtitleChar">
    <w:name w:val="Subtitle Char"/>
    <w:basedOn w:val="DefaultParagraphFont"/>
    <w:link w:val="Subtitle"/>
    <w:rsid w:val="001861B8"/>
    <w:rPr>
      <w:rFonts w:ascii="Times New Roman" w:eastAsia="Times New Roman" w:hAnsi="Times New Roman"/>
      <w:b/>
      <w:sz w:val="24"/>
      <w:szCs w:val="20"/>
    </w:rPr>
  </w:style>
  <w:style w:type="paragraph" w:customStyle="1" w:styleId="normaltext">
    <w:name w:val="normal text"/>
    <w:basedOn w:val="Normal"/>
    <w:rsid w:val="001861B8"/>
    <w:rPr>
      <w:rFonts w:eastAsia="Times New Roman"/>
      <w:szCs w:val="24"/>
    </w:rPr>
  </w:style>
  <w:style w:type="paragraph" w:customStyle="1" w:styleId="MELegal3">
    <w:name w:val="ME Legal 3"/>
    <w:basedOn w:val="Normal"/>
    <w:rsid w:val="001861B8"/>
    <w:pPr>
      <w:tabs>
        <w:tab w:val="num" w:pos="360"/>
        <w:tab w:val="num" w:pos="2525"/>
      </w:tabs>
      <w:spacing w:after="140" w:line="280" w:lineRule="atLeast"/>
      <w:ind w:left="2525" w:hanging="681"/>
      <w:outlineLvl w:val="2"/>
    </w:pPr>
    <w:rPr>
      <w:rFonts w:ascii="Times New Roman" w:eastAsia="Times New Roman" w:hAnsi="Times New Roman" w:cs="Angsana New"/>
      <w:lang w:eastAsia="zh-CN" w:bidi="th-TH"/>
    </w:rPr>
  </w:style>
  <w:style w:type="paragraph" w:customStyle="1" w:styleId="MELegal2">
    <w:name w:val="ME Legal 2"/>
    <w:basedOn w:val="Normal"/>
    <w:next w:val="Normal"/>
    <w:rsid w:val="001861B8"/>
    <w:pPr>
      <w:keepNext/>
      <w:tabs>
        <w:tab w:val="num" w:pos="360"/>
        <w:tab w:val="num" w:pos="680"/>
      </w:tabs>
      <w:spacing w:before="60" w:after="60" w:line="280" w:lineRule="atLeast"/>
      <w:ind w:left="680" w:hanging="680"/>
      <w:outlineLvl w:val="1"/>
    </w:pPr>
    <w:rPr>
      <w:rFonts w:eastAsia="Times New Roman" w:cs="Angsana New"/>
      <w:b/>
      <w:bCs/>
      <w:w w:val="95"/>
      <w:sz w:val="24"/>
      <w:szCs w:val="24"/>
      <w:lang w:eastAsia="zh-CN" w:bidi="th-TH"/>
    </w:rPr>
  </w:style>
  <w:style w:type="paragraph" w:customStyle="1" w:styleId="MELegal4">
    <w:name w:val="ME Legal 4"/>
    <w:basedOn w:val="Normal"/>
    <w:rsid w:val="001861B8"/>
    <w:pPr>
      <w:tabs>
        <w:tab w:val="num" w:pos="360"/>
        <w:tab w:val="num" w:pos="2041"/>
      </w:tabs>
      <w:spacing w:after="140" w:line="280" w:lineRule="atLeast"/>
      <w:ind w:left="2041" w:hanging="680"/>
      <w:outlineLvl w:val="3"/>
    </w:pPr>
    <w:rPr>
      <w:rFonts w:ascii="Times New Roman" w:eastAsia="Times New Roman" w:hAnsi="Times New Roman" w:cs="Angsana New"/>
      <w:lang w:eastAsia="zh-CN" w:bidi="th-TH"/>
    </w:rPr>
  </w:style>
  <w:style w:type="paragraph" w:customStyle="1" w:styleId="TableParagraph">
    <w:name w:val="Table Paragraph"/>
    <w:basedOn w:val="Normal"/>
    <w:uiPriority w:val="1"/>
    <w:qFormat/>
    <w:rsid w:val="004A5C83"/>
    <w:pPr>
      <w:widowControl w:val="0"/>
      <w:spacing w:before="0" w:after="0" w:line="240" w:lineRule="auto"/>
    </w:pPr>
    <w:rPr>
      <w:rFonts w:ascii="Calibri" w:eastAsia="Calibri" w:hAnsi="Calibri"/>
      <w:lang w:val="en-US"/>
    </w:rPr>
  </w:style>
  <w:style w:type="paragraph" w:customStyle="1" w:styleId="xmsonormal">
    <w:name w:val="x_msonormal"/>
    <w:basedOn w:val="Normal"/>
    <w:rsid w:val="004A5C83"/>
    <w:pPr>
      <w:spacing w:before="100" w:beforeAutospacing="1" w:after="100" w:afterAutospacing="1" w:line="240" w:lineRule="auto"/>
    </w:pPr>
    <w:rPr>
      <w:rFonts w:ascii="Times New Roman" w:eastAsia="Times New Roman" w:hAnsi="Times New Roman"/>
      <w:sz w:val="24"/>
      <w:szCs w:val="24"/>
      <w:lang w:eastAsia="en-AU"/>
    </w:rPr>
  </w:style>
  <w:style w:type="paragraph" w:customStyle="1" w:styleId="ToCboldstart">
    <w:name w:val="ToC bold start"/>
    <w:basedOn w:val="TOC1"/>
    <w:link w:val="ToCboldstartChar"/>
    <w:uiPriority w:val="1"/>
    <w:qFormat/>
    <w:rsid w:val="004A5C83"/>
    <w:pPr>
      <w:widowControl w:val="0"/>
      <w:tabs>
        <w:tab w:val="clear" w:pos="284"/>
        <w:tab w:val="clear" w:pos="9061"/>
        <w:tab w:val="right" w:leader="dot" w:pos="9338"/>
      </w:tabs>
      <w:spacing w:before="41" w:line="240" w:lineRule="auto"/>
      <w:ind w:left="7"/>
    </w:pPr>
    <w:rPr>
      <w:rFonts w:ascii="Calibri" w:eastAsia="Calibri" w:hAnsi="Calibri"/>
    </w:rPr>
  </w:style>
  <w:style w:type="character" w:customStyle="1" w:styleId="TOC1Char">
    <w:name w:val="TOC 1 Char"/>
    <w:basedOn w:val="DefaultParagraphFont"/>
    <w:link w:val="TOC1"/>
    <w:uiPriority w:val="39"/>
    <w:rsid w:val="006345F0"/>
    <w:rPr>
      <w:b/>
      <w:noProof/>
    </w:rPr>
  </w:style>
  <w:style w:type="character" w:customStyle="1" w:styleId="ToCboldstartChar">
    <w:name w:val="ToC bold start Char"/>
    <w:basedOn w:val="TOC1Char"/>
    <w:link w:val="ToCboldstart"/>
    <w:uiPriority w:val="1"/>
    <w:rsid w:val="004A5C83"/>
    <w:rPr>
      <w:rFonts w:ascii="Calibri" w:eastAsia="Calibri" w:hAnsi="Calibri"/>
      <w:b/>
      <w:noProof/>
    </w:rPr>
  </w:style>
  <w:style w:type="paragraph" w:customStyle="1" w:styleId="BoldstartTOC">
    <w:name w:val="Bold start TOC"/>
    <w:basedOn w:val="ToCboldstart"/>
    <w:link w:val="BoldstartTOCChar"/>
    <w:uiPriority w:val="1"/>
    <w:qFormat/>
    <w:rsid w:val="004A5C83"/>
  </w:style>
  <w:style w:type="character" w:customStyle="1" w:styleId="BoldstartTOCChar">
    <w:name w:val="Bold start TOC Char"/>
    <w:basedOn w:val="ToCboldstartChar"/>
    <w:link w:val="BoldstartTOC"/>
    <w:uiPriority w:val="1"/>
    <w:rsid w:val="004A5C83"/>
    <w:rPr>
      <w:rFonts w:ascii="Calibri" w:eastAsia="Calibri" w:hAnsi="Calibri"/>
      <w:b/>
      <w:noProof/>
    </w:rPr>
  </w:style>
  <w:style w:type="character" w:styleId="IntenseEmphasis">
    <w:name w:val="Intense Emphasis"/>
    <w:basedOn w:val="DefaultParagraphFont"/>
    <w:uiPriority w:val="21"/>
    <w:qFormat/>
    <w:rsid w:val="00A75266"/>
    <w:rPr>
      <w:i/>
      <w:iCs/>
      <w:color w:val="4F81BD" w:themeColor="accent1"/>
    </w:rPr>
  </w:style>
  <w:style w:type="character" w:styleId="SubtleEmphasis">
    <w:name w:val="Subtle Emphasis"/>
    <w:basedOn w:val="DefaultParagraphFont"/>
    <w:uiPriority w:val="19"/>
    <w:qFormat/>
    <w:rsid w:val="008040D1"/>
    <w:rPr>
      <w:i/>
      <w:iCs/>
      <w:color w:val="404040" w:themeColor="text1" w:themeTint="BF"/>
    </w:rPr>
  </w:style>
  <w:style w:type="paragraph" w:customStyle="1" w:styleId="Head4">
    <w:name w:val="Head 4"/>
    <w:basedOn w:val="Heading3"/>
    <w:rsid w:val="00084431"/>
    <w:pPr>
      <w:keepLines w:val="0"/>
      <w:numPr>
        <w:ilvl w:val="0"/>
        <w:numId w:val="164"/>
      </w:numPr>
      <w:tabs>
        <w:tab w:val="clear" w:pos="432"/>
      </w:tabs>
      <w:spacing w:before="0" w:line="240" w:lineRule="auto"/>
      <w:ind w:left="0" w:firstLine="0"/>
      <w:jc w:val="both"/>
      <w:outlineLvl w:val="9"/>
    </w:pPr>
    <w:rPr>
      <w:b w:val="0"/>
      <w:bCs w:val="0"/>
      <w:i/>
      <w:color w:val="auto"/>
      <w:szCs w:val="20"/>
      <w:u w:val="single"/>
      <w:lang w:val="en-GB"/>
    </w:rPr>
  </w:style>
  <w:style w:type="paragraph" w:customStyle="1" w:styleId="Bodytxt">
    <w:name w:val="Body txt"/>
    <w:basedOn w:val="Normal"/>
    <w:rsid w:val="00084431"/>
    <w:pPr>
      <w:spacing w:before="0" w:after="0" w:line="320" w:lineRule="exact"/>
      <w:jc w:val="both"/>
    </w:pPr>
    <w:rPr>
      <w:rFonts w:ascii="Calibri" w:eastAsia="Times New Roman" w:hAnsi="Calibri"/>
      <w:szCs w:val="20"/>
      <w:lang w:val="en-GB"/>
    </w:rPr>
  </w:style>
  <w:style w:type="paragraph" w:customStyle="1" w:styleId="Reportsummary">
    <w:name w:val="Report summary"/>
    <w:basedOn w:val="Bodytxt"/>
    <w:rsid w:val="00084431"/>
    <w:pPr>
      <w:tabs>
        <w:tab w:val="num" w:pos="432"/>
      </w:tabs>
      <w:spacing w:after="240"/>
      <w:ind w:left="432" w:hanging="432"/>
    </w:pPr>
  </w:style>
  <w:style w:type="paragraph" w:customStyle="1" w:styleId="StyleTitleOptimum">
    <w:name w:val="Style Title + Optimum"/>
    <w:basedOn w:val="Title"/>
    <w:rsid w:val="00084431"/>
    <w:pPr>
      <w:spacing w:before="0" w:after="0" w:line="240" w:lineRule="auto"/>
      <w:ind w:left="0" w:firstLine="0"/>
    </w:pPr>
    <w:rPr>
      <w:rFonts w:ascii="Arial Black" w:hAnsi="Arial Black"/>
      <w:b w:val="0"/>
      <w:kern w:val="28"/>
      <w:sz w:val="40"/>
      <w:lang w:val="en-GB"/>
    </w:rPr>
  </w:style>
  <w:style w:type="paragraph" w:customStyle="1" w:styleId="StyleHeading5Optimum">
    <w:name w:val="Style Heading 5 + Optimum"/>
    <w:basedOn w:val="Heading5"/>
    <w:rsid w:val="00084431"/>
    <w:pPr>
      <w:keepLines w:val="0"/>
      <w:numPr>
        <w:ilvl w:val="0"/>
        <w:numId w:val="0"/>
      </w:numPr>
      <w:spacing w:before="0" w:after="60" w:line="240" w:lineRule="auto"/>
      <w:jc w:val="both"/>
    </w:pPr>
    <w:rPr>
      <w:rFonts w:ascii="Calibri" w:hAnsi="Calibri"/>
      <w:b/>
      <w:bCs/>
      <w:i/>
      <w:color w:val="auto"/>
      <w:sz w:val="32"/>
      <w:szCs w:val="20"/>
      <w:lang w:val="en-GB"/>
    </w:rPr>
  </w:style>
  <w:style w:type="paragraph" w:customStyle="1" w:styleId="StyleHeading4After6pt">
    <w:name w:val="Style Heading 4 + After:  6 pt"/>
    <w:basedOn w:val="Heading4"/>
    <w:rsid w:val="00084431"/>
    <w:pPr>
      <w:keepLines w:val="0"/>
      <w:numPr>
        <w:ilvl w:val="0"/>
        <w:numId w:val="0"/>
      </w:numPr>
      <w:spacing w:before="0" w:line="240" w:lineRule="auto"/>
      <w:jc w:val="both"/>
    </w:pPr>
    <w:rPr>
      <w:color w:val="auto"/>
      <w:sz w:val="22"/>
      <w:szCs w:val="20"/>
      <w:lang w:val="en-GB"/>
    </w:rPr>
  </w:style>
  <w:style w:type="character" w:styleId="FootnoteReference">
    <w:name w:val="footnote reference"/>
    <w:basedOn w:val="DefaultParagraphFont"/>
    <w:semiHidden/>
    <w:rsid w:val="00084431"/>
    <w:rPr>
      <w:vertAlign w:val="superscript"/>
    </w:rPr>
  </w:style>
  <w:style w:type="character" w:customStyle="1" w:styleId="CharChar">
    <w:name w:val="Char Char"/>
    <w:basedOn w:val="DefaultParagraphFont"/>
    <w:rsid w:val="00084431"/>
    <w:rPr>
      <w:rFonts w:ascii="Arial" w:hAnsi="Arial" w:cs="Arial"/>
      <w:b/>
      <w:bCs/>
      <w:kern w:val="32"/>
      <w:sz w:val="32"/>
      <w:szCs w:val="32"/>
      <w:lang w:val="en-AU" w:eastAsia="en-US" w:bidi="ar-SA"/>
    </w:rPr>
  </w:style>
  <w:style w:type="paragraph" w:styleId="ListBullet2">
    <w:name w:val="List Bullet 2"/>
    <w:basedOn w:val="Normal"/>
    <w:rsid w:val="00084431"/>
    <w:pPr>
      <w:tabs>
        <w:tab w:val="num" w:pos="432"/>
      </w:tabs>
      <w:spacing w:before="120" w:after="0" w:line="240" w:lineRule="auto"/>
      <w:ind w:left="432" w:hanging="432"/>
      <w:jc w:val="both"/>
    </w:pPr>
    <w:rPr>
      <w:rFonts w:ascii="Optimum" w:eastAsia="Times New Roman" w:hAnsi="Optimum"/>
      <w:szCs w:val="24"/>
    </w:rPr>
  </w:style>
  <w:style w:type="paragraph" w:styleId="PlainText">
    <w:name w:val="Plain Text"/>
    <w:basedOn w:val="Normal"/>
    <w:link w:val="PlainTextChar"/>
    <w:rsid w:val="00084431"/>
    <w:pPr>
      <w:spacing w:before="0" w:after="0" w:line="240" w:lineRule="auto"/>
      <w:jc w:val="both"/>
    </w:pPr>
    <w:rPr>
      <w:rFonts w:ascii="Courier New" w:eastAsia="Times New Roman" w:hAnsi="Courier New" w:cs="Courier New"/>
      <w:sz w:val="20"/>
      <w:szCs w:val="20"/>
      <w:lang w:eastAsia="en-AU"/>
    </w:rPr>
  </w:style>
  <w:style w:type="character" w:customStyle="1" w:styleId="PlainTextChar">
    <w:name w:val="Plain Text Char"/>
    <w:basedOn w:val="DefaultParagraphFont"/>
    <w:link w:val="PlainText"/>
    <w:rsid w:val="00084431"/>
    <w:rPr>
      <w:rFonts w:ascii="Courier New" w:eastAsia="Times New Roman" w:hAnsi="Courier New" w:cs="Courier New"/>
      <w:sz w:val="20"/>
      <w:szCs w:val="20"/>
      <w:lang w:eastAsia="en-AU"/>
    </w:rPr>
  </w:style>
  <w:style w:type="paragraph" w:customStyle="1" w:styleId="references0">
    <w:name w:val="references"/>
    <w:basedOn w:val="Normal"/>
    <w:rsid w:val="00084431"/>
    <w:pPr>
      <w:spacing w:before="100" w:beforeAutospacing="1" w:after="100" w:afterAutospacing="1" w:line="240" w:lineRule="auto"/>
      <w:jc w:val="both"/>
    </w:pPr>
    <w:rPr>
      <w:rFonts w:ascii="Arial Unicode MS" w:eastAsia="Arial Unicode MS" w:hAnsi="Arial Unicode MS" w:cs="Arial Unicode MS"/>
      <w:sz w:val="24"/>
      <w:szCs w:val="24"/>
    </w:rPr>
  </w:style>
  <w:style w:type="paragraph" w:customStyle="1" w:styleId="Heading54">
    <w:name w:val="Heading 54"/>
    <w:basedOn w:val="Heading5"/>
    <w:rsid w:val="00084431"/>
    <w:pPr>
      <w:keepNext w:val="0"/>
      <w:keepLines w:val="0"/>
      <w:numPr>
        <w:ilvl w:val="0"/>
        <w:numId w:val="0"/>
      </w:numPr>
      <w:spacing w:before="240" w:after="60" w:line="240" w:lineRule="auto"/>
    </w:pPr>
    <w:rPr>
      <w:rFonts w:ascii="Times New Roman" w:hAnsi="Times New Roman"/>
      <w:b/>
      <w:bCs/>
      <w:i/>
      <w:iCs/>
      <w:color w:val="auto"/>
      <w:sz w:val="24"/>
      <w:szCs w:val="24"/>
      <w:u w:val="single"/>
    </w:rPr>
  </w:style>
  <w:style w:type="character" w:customStyle="1" w:styleId="CharChar1">
    <w:name w:val="Char Char1"/>
    <w:basedOn w:val="DefaultParagraphFont"/>
    <w:rsid w:val="00084431"/>
    <w:rPr>
      <w:rFonts w:ascii="Arial" w:eastAsia="MS Mincho" w:hAnsi="Arial" w:cs="Arial"/>
      <w:b/>
      <w:bCs/>
      <w:kern w:val="32"/>
      <w:sz w:val="32"/>
      <w:szCs w:val="32"/>
      <w:lang w:val="en-AU" w:eastAsia="ja-JP" w:bidi="ar-SA"/>
    </w:rPr>
  </w:style>
  <w:style w:type="paragraph" w:customStyle="1" w:styleId="xl551">
    <w:name w:val="xl551"/>
    <w:basedOn w:val="Normal"/>
    <w:rsid w:val="00084431"/>
    <w:pPr>
      <w:pBdr>
        <w:top w:val="single" w:sz="8" w:space="0" w:color="auto"/>
        <w:left w:val="single" w:sz="8" w:space="0" w:color="auto"/>
        <w:right w:val="single" w:sz="4" w:space="0" w:color="C0C0C0"/>
      </w:pBdr>
      <w:spacing w:before="100" w:beforeAutospacing="1" w:after="100" w:afterAutospacing="1" w:line="240" w:lineRule="auto"/>
      <w:jc w:val="center"/>
      <w:textAlignment w:val="center"/>
    </w:pPr>
    <w:rPr>
      <w:rFonts w:eastAsia="Arial Unicode MS" w:cs="Arial"/>
      <w:color w:val="000000"/>
      <w:sz w:val="18"/>
      <w:szCs w:val="18"/>
    </w:rPr>
  </w:style>
  <w:style w:type="paragraph" w:customStyle="1" w:styleId="xl741">
    <w:name w:val="xl741"/>
    <w:basedOn w:val="Normal"/>
    <w:rsid w:val="00084431"/>
    <w:pPr>
      <w:pBdr>
        <w:bottom w:val="single" w:sz="8" w:space="0" w:color="auto"/>
      </w:pBdr>
      <w:spacing w:before="100" w:beforeAutospacing="1" w:after="100" w:afterAutospacing="1" w:line="240" w:lineRule="auto"/>
      <w:jc w:val="both"/>
    </w:pPr>
    <w:rPr>
      <w:rFonts w:ascii="Arial Unicode MS" w:eastAsia="Arial Unicode MS" w:hAnsi="Arial Unicode MS" w:cs="Arial Unicode MS"/>
      <w:sz w:val="24"/>
      <w:szCs w:val="24"/>
    </w:rPr>
  </w:style>
  <w:style w:type="paragraph" w:customStyle="1" w:styleId="xl251">
    <w:name w:val="xl251"/>
    <w:basedOn w:val="Normal"/>
    <w:rsid w:val="00084431"/>
    <w:pPr>
      <w:spacing w:before="100" w:beforeAutospacing="1" w:after="100" w:afterAutospacing="1" w:line="240" w:lineRule="auto"/>
      <w:jc w:val="center"/>
      <w:textAlignment w:val="center"/>
    </w:pPr>
    <w:rPr>
      <w:rFonts w:eastAsia="Arial Unicode MS" w:cs="Arial"/>
      <w:sz w:val="16"/>
      <w:szCs w:val="16"/>
    </w:rPr>
  </w:style>
  <w:style w:type="paragraph" w:customStyle="1" w:styleId="name1">
    <w:name w:val="name1"/>
    <w:basedOn w:val="Normal"/>
    <w:rsid w:val="00084431"/>
    <w:pPr>
      <w:keepNext/>
      <w:tabs>
        <w:tab w:val="left" w:pos="284"/>
        <w:tab w:val="left" w:pos="567"/>
        <w:tab w:val="left" w:pos="851"/>
        <w:tab w:val="left" w:pos="1134"/>
      </w:tabs>
      <w:spacing w:before="0" w:after="0" w:line="240" w:lineRule="auto"/>
      <w:jc w:val="both"/>
    </w:pPr>
    <w:rPr>
      <w:rFonts w:eastAsia="MS Mincho"/>
      <w:b/>
      <w:sz w:val="20"/>
      <w:szCs w:val="20"/>
    </w:rPr>
  </w:style>
  <w:style w:type="paragraph" w:customStyle="1" w:styleId="Style2">
    <w:name w:val="Style2"/>
    <w:basedOn w:val="Heading5"/>
    <w:rsid w:val="00084431"/>
    <w:pPr>
      <w:keepNext w:val="0"/>
      <w:keepLines w:val="0"/>
      <w:numPr>
        <w:ilvl w:val="0"/>
        <w:numId w:val="0"/>
      </w:numPr>
      <w:spacing w:before="240" w:after="60" w:line="240" w:lineRule="auto"/>
    </w:pPr>
    <w:rPr>
      <w:rFonts w:ascii="Times New Roman" w:hAnsi="Times New Roman"/>
      <w:b/>
      <w:bCs/>
      <w:i/>
      <w:iCs/>
      <w:color w:val="auto"/>
      <w:sz w:val="24"/>
      <w:szCs w:val="24"/>
      <w:u w:val="single"/>
    </w:rPr>
  </w:style>
  <w:style w:type="paragraph" w:customStyle="1" w:styleId="Style3">
    <w:name w:val="Style3"/>
    <w:basedOn w:val="Heading5"/>
    <w:rsid w:val="00084431"/>
    <w:pPr>
      <w:keepNext w:val="0"/>
      <w:keepLines w:val="0"/>
      <w:numPr>
        <w:ilvl w:val="0"/>
        <w:numId w:val="0"/>
      </w:numPr>
      <w:spacing w:before="240" w:after="60" w:line="240" w:lineRule="auto"/>
    </w:pPr>
    <w:rPr>
      <w:rFonts w:ascii="Times New Roman" w:hAnsi="Times New Roman"/>
      <w:b/>
      <w:bCs/>
      <w:i/>
      <w:iCs/>
      <w:color w:val="auto"/>
      <w:sz w:val="24"/>
      <w:szCs w:val="24"/>
      <w:u w:val="single"/>
    </w:rPr>
  </w:style>
  <w:style w:type="paragraph" w:customStyle="1" w:styleId="Style40">
    <w:name w:val="Style4"/>
    <w:basedOn w:val="Heading5"/>
    <w:autoRedefine/>
    <w:rsid w:val="00084431"/>
    <w:pPr>
      <w:keepNext w:val="0"/>
      <w:keepLines w:val="0"/>
      <w:numPr>
        <w:ilvl w:val="0"/>
        <w:numId w:val="0"/>
      </w:numPr>
      <w:spacing w:before="240" w:after="60" w:line="240" w:lineRule="auto"/>
    </w:pPr>
    <w:rPr>
      <w:rFonts w:ascii="Times New Roman" w:hAnsi="Times New Roman"/>
      <w:b/>
      <w:bCs/>
      <w:i/>
      <w:iCs/>
      <w:color w:val="auto"/>
      <w:sz w:val="24"/>
      <w:szCs w:val="24"/>
      <w:u w:val="single"/>
    </w:rPr>
  </w:style>
  <w:style w:type="paragraph" w:customStyle="1" w:styleId="TOCfig-table">
    <w:name w:val="TOC fig-table"/>
    <w:basedOn w:val="Normal"/>
    <w:rsid w:val="00084431"/>
    <w:pPr>
      <w:tabs>
        <w:tab w:val="left" w:pos="1152"/>
        <w:tab w:val="right" w:leader="dot" w:pos="8640"/>
      </w:tabs>
      <w:spacing w:before="120" w:after="0" w:line="240" w:lineRule="auto"/>
      <w:ind w:left="1152" w:right="720" w:hanging="1152"/>
      <w:jc w:val="both"/>
    </w:pPr>
    <w:rPr>
      <w:rFonts w:ascii="Calibri" w:eastAsia="Times New Roman" w:hAnsi="Calibri"/>
      <w:b/>
      <w:sz w:val="20"/>
      <w:szCs w:val="20"/>
      <w:lang w:val="en-GB"/>
    </w:rPr>
  </w:style>
  <w:style w:type="paragraph" w:styleId="Date">
    <w:name w:val="Date"/>
    <w:basedOn w:val="Normal"/>
    <w:next w:val="Normal"/>
    <w:link w:val="DateChar"/>
    <w:rsid w:val="00084431"/>
    <w:pPr>
      <w:spacing w:before="0" w:after="0" w:line="240" w:lineRule="auto"/>
      <w:jc w:val="both"/>
    </w:pPr>
    <w:rPr>
      <w:rFonts w:ascii="Calibri" w:eastAsia="Times New Roman" w:hAnsi="Calibri"/>
      <w:szCs w:val="20"/>
      <w:lang w:val="en-GB"/>
    </w:rPr>
  </w:style>
  <w:style w:type="character" w:customStyle="1" w:styleId="DateChar">
    <w:name w:val="Date Char"/>
    <w:basedOn w:val="DefaultParagraphFont"/>
    <w:link w:val="Date"/>
    <w:rsid w:val="00084431"/>
    <w:rPr>
      <w:rFonts w:ascii="Calibri" w:eastAsia="Times New Roman" w:hAnsi="Calibri"/>
      <w:szCs w:val="20"/>
      <w:lang w:val="en-GB"/>
    </w:rPr>
  </w:style>
  <w:style w:type="paragraph" w:customStyle="1" w:styleId="5">
    <w:name w:val="5"/>
    <w:basedOn w:val="Normal"/>
    <w:rsid w:val="00084431"/>
    <w:pPr>
      <w:spacing w:before="0" w:after="120" w:line="240" w:lineRule="auto"/>
      <w:jc w:val="both"/>
    </w:pPr>
    <w:rPr>
      <w:rFonts w:eastAsia="Times New Roman" w:cs="Arial"/>
      <w:b/>
      <w:lang w:val="en-US"/>
    </w:rPr>
  </w:style>
  <w:style w:type="paragraph" w:customStyle="1" w:styleId="table0">
    <w:name w:val="table"/>
    <w:basedOn w:val="Normal"/>
    <w:rsid w:val="00084431"/>
    <w:pPr>
      <w:spacing w:before="0" w:after="120" w:line="240" w:lineRule="auto"/>
      <w:jc w:val="both"/>
    </w:pPr>
    <w:rPr>
      <w:rFonts w:ascii="Arial Narrow" w:eastAsia="Times New Roman" w:hAnsi="Arial Narrow"/>
      <w:lang w:eastAsia="en-AU"/>
    </w:rPr>
  </w:style>
  <w:style w:type="paragraph" w:styleId="DocumentMap">
    <w:name w:val="Document Map"/>
    <w:basedOn w:val="Normal"/>
    <w:link w:val="DocumentMapChar"/>
    <w:semiHidden/>
    <w:rsid w:val="00084431"/>
    <w:pPr>
      <w:shd w:val="clear" w:color="auto" w:fill="000080"/>
      <w:spacing w:before="0" w:after="0" w:line="240" w:lineRule="auto"/>
      <w:jc w:val="both"/>
    </w:pPr>
    <w:rPr>
      <w:rFonts w:ascii="Tahoma" w:eastAsia="Times New Roman" w:hAnsi="Tahoma" w:cs="Tahoma"/>
      <w:sz w:val="20"/>
      <w:szCs w:val="20"/>
      <w:lang w:val="en-GB"/>
    </w:rPr>
  </w:style>
  <w:style w:type="character" w:customStyle="1" w:styleId="DocumentMapChar">
    <w:name w:val="Document Map Char"/>
    <w:basedOn w:val="DefaultParagraphFont"/>
    <w:link w:val="DocumentMap"/>
    <w:semiHidden/>
    <w:rsid w:val="00084431"/>
    <w:rPr>
      <w:rFonts w:ascii="Tahoma" w:eastAsia="Times New Roman" w:hAnsi="Tahoma" w:cs="Tahoma"/>
      <w:sz w:val="20"/>
      <w:szCs w:val="20"/>
      <w:shd w:val="clear" w:color="auto" w:fill="000080"/>
      <w:lang w:val="en-GB"/>
    </w:rPr>
  </w:style>
  <w:style w:type="character" w:customStyle="1" w:styleId="mainpgtext1">
    <w:name w:val="mainpgtext1"/>
    <w:basedOn w:val="DefaultParagraphFont"/>
    <w:rsid w:val="00084431"/>
    <w:rPr>
      <w:rFonts w:ascii="Arial" w:hAnsi="Arial" w:cs="Arial" w:hint="default"/>
      <w:b w:val="0"/>
      <w:bCs w:val="0"/>
      <w:i w:val="0"/>
      <w:iCs w:val="0"/>
      <w:color w:val="000000"/>
      <w:sz w:val="18"/>
      <w:szCs w:val="18"/>
    </w:rPr>
  </w:style>
  <w:style w:type="character" w:customStyle="1" w:styleId="hl">
    <w:name w:val="hl"/>
    <w:basedOn w:val="DefaultParagraphFont"/>
    <w:rsid w:val="00084431"/>
  </w:style>
  <w:style w:type="paragraph" w:customStyle="1" w:styleId="normal2">
    <w:name w:val="normal2"/>
    <w:basedOn w:val="Default"/>
    <w:next w:val="Default"/>
    <w:rsid w:val="00084431"/>
    <w:pPr>
      <w:spacing w:before="0" w:after="0" w:line="240" w:lineRule="auto"/>
    </w:pPr>
    <w:rPr>
      <w:rFonts w:ascii="Times New Roman" w:hAnsi="Times New Roman"/>
      <w:color w:val="auto"/>
      <w:sz w:val="24"/>
      <w:lang w:val="en-US" w:eastAsia="en-US"/>
    </w:rPr>
  </w:style>
  <w:style w:type="paragraph" w:customStyle="1" w:styleId="reference1">
    <w:name w:val="reference1"/>
    <w:basedOn w:val="Normal"/>
    <w:rsid w:val="00084431"/>
    <w:pPr>
      <w:spacing w:before="100" w:beforeAutospacing="1" w:after="150" w:line="240" w:lineRule="auto"/>
      <w:ind w:left="720" w:right="720" w:hanging="720"/>
      <w:jc w:val="both"/>
    </w:pPr>
    <w:rPr>
      <w:rFonts w:ascii="Times New Roman" w:eastAsia="Times New Roman" w:hAnsi="Times New Roman"/>
      <w:sz w:val="24"/>
      <w:szCs w:val="24"/>
      <w:lang w:eastAsia="en-AU"/>
    </w:rPr>
  </w:style>
  <w:style w:type="paragraph" w:customStyle="1" w:styleId="CM2">
    <w:name w:val="CM2"/>
    <w:basedOn w:val="Default"/>
    <w:next w:val="Default"/>
    <w:rsid w:val="00084431"/>
    <w:pPr>
      <w:widowControl w:val="0"/>
      <w:spacing w:before="0" w:after="0" w:line="278" w:lineRule="atLeast"/>
    </w:pPr>
    <w:rPr>
      <w:rFonts w:ascii="Times New Roman" w:hAnsi="Times New Roman"/>
      <w:color w:val="auto"/>
      <w:sz w:val="24"/>
    </w:rPr>
  </w:style>
  <w:style w:type="paragraph" w:customStyle="1" w:styleId="CM9">
    <w:name w:val="CM9"/>
    <w:basedOn w:val="Default"/>
    <w:next w:val="Default"/>
    <w:rsid w:val="00084431"/>
    <w:pPr>
      <w:widowControl w:val="0"/>
      <w:spacing w:before="0" w:after="0" w:line="240" w:lineRule="auto"/>
    </w:pPr>
    <w:rPr>
      <w:rFonts w:ascii="Times New Roman" w:hAnsi="Times New Roman"/>
      <w:color w:val="auto"/>
      <w:sz w:val="24"/>
    </w:rPr>
  </w:style>
  <w:style w:type="paragraph" w:customStyle="1" w:styleId="CM3">
    <w:name w:val="CM3"/>
    <w:basedOn w:val="Default"/>
    <w:next w:val="Default"/>
    <w:rsid w:val="00084431"/>
    <w:pPr>
      <w:widowControl w:val="0"/>
      <w:spacing w:before="0" w:after="0" w:line="276" w:lineRule="atLeast"/>
    </w:pPr>
    <w:rPr>
      <w:rFonts w:ascii="Times New Roman" w:hAnsi="Times New Roman"/>
      <w:color w:val="auto"/>
      <w:sz w:val="24"/>
    </w:rPr>
  </w:style>
  <w:style w:type="paragraph" w:customStyle="1" w:styleId="CM4">
    <w:name w:val="CM4"/>
    <w:basedOn w:val="Default"/>
    <w:next w:val="Default"/>
    <w:rsid w:val="00084431"/>
    <w:pPr>
      <w:widowControl w:val="0"/>
      <w:spacing w:before="0" w:after="0" w:line="276" w:lineRule="atLeast"/>
    </w:pPr>
    <w:rPr>
      <w:rFonts w:ascii="Times New Roman" w:hAnsi="Times New Roman"/>
      <w:color w:val="auto"/>
      <w:sz w:val="24"/>
    </w:rPr>
  </w:style>
  <w:style w:type="paragraph" w:customStyle="1" w:styleId="CM10">
    <w:name w:val="CM10"/>
    <w:basedOn w:val="Default"/>
    <w:next w:val="Default"/>
    <w:rsid w:val="00084431"/>
    <w:pPr>
      <w:widowControl w:val="0"/>
      <w:spacing w:before="0" w:after="0" w:line="240" w:lineRule="auto"/>
    </w:pPr>
    <w:rPr>
      <w:rFonts w:ascii="Times New Roman" w:hAnsi="Times New Roman"/>
      <w:color w:val="auto"/>
      <w:sz w:val="24"/>
    </w:rPr>
  </w:style>
  <w:style w:type="paragraph" w:customStyle="1" w:styleId="CM11">
    <w:name w:val="CM11"/>
    <w:basedOn w:val="Default"/>
    <w:next w:val="Default"/>
    <w:rsid w:val="00084431"/>
    <w:pPr>
      <w:widowControl w:val="0"/>
      <w:spacing w:before="0" w:after="0" w:line="240" w:lineRule="auto"/>
    </w:pPr>
    <w:rPr>
      <w:rFonts w:ascii="Times New Roman" w:hAnsi="Times New Roman"/>
      <w:color w:val="auto"/>
      <w:sz w:val="24"/>
    </w:rPr>
  </w:style>
  <w:style w:type="paragraph" w:customStyle="1" w:styleId="CM12">
    <w:name w:val="CM12"/>
    <w:basedOn w:val="Default"/>
    <w:next w:val="Default"/>
    <w:rsid w:val="00084431"/>
    <w:pPr>
      <w:widowControl w:val="0"/>
      <w:spacing w:before="0" w:after="0" w:line="240" w:lineRule="auto"/>
    </w:pPr>
    <w:rPr>
      <w:rFonts w:ascii="Times New Roman" w:hAnsi="Times New Roman"/>
      <w:color w:val="auto"/>
      <w:sz w:val="24"/>
    </w:rPr>
  </w:style>
  <w:style w:type="character" w:styleId="HTMLCite">
    <w:name w:val="HTML Cite"/>
    <w:basedOn w:val="DefaultParagraphFont"/>
    <w:rsid w:val="00084431"/>
    <w:rPr>
      <w:i/>
      <w:iCs/>
    </w:rPr>
  </w:style>
  <w:style w:type="paragraph" w:customStyle="1" w:styleId="Rpt-Head1">
    <w:name w:val="Rpt-Head1"/>
    <w:basedOn w:val="Heading1"/>
    <w:rsid w:val="00084431"/>
    <w:pPr>
      <w:keepLines w:val="0"/>
      <w:numPr>
        <w:numId w:val="0"/>
      </w:numPr>
      <w:tabs>
        <w:tab w:val="clear" w:pos="680"/>
      </w:tabs>
      <w:spacing w:before="0" w:after="840" w:line="240" w:lineRule="auto"/>
      <w:outlineLvl w:val="9"/>
    </w:pPr>
    <w:rPr>
      <w:rFonts w:ascii="Times New Roman" w:hAnsi="Times New Roman"/>
      <w:b w:val="0"/>
      <w:bCs w:val="0"/>
      <w:caps/>
      <w:color w:val="auto"/>
      <w:kern w:val="28"/>
      <w:sz w:val="36"/>
      <w:szCs w:val="20"/>
      <w:lang w:val="en-GB"/>
    </w:rPr>
  </w:style>
  <w:style w:type="paragraph" w:customStyle="1" w:styleId="Rpt-Normal">
    <w:name w:val="Rpt-Normal"/>
    <w:basedOn w:val="Normal"/>
    <w:rsid w:val="00084431"/>
    <w:pPr>
      <w:spacing w:before="0" w:after="0" w:line="320" w:lineRule="atLeast"/>
      <w:jc w:val="both"/>
    </w:pPr>
    <w:rPr>
      <w:rFonts w:ascii="Times New Roman" w:eastAsia="Times New Roman" w:hAnsi="Times New Roman"/>
      <w:sz w:val="24"/>
      <w:szCs w:val="20"/>
      <w:lang w:val="en-GB"/>
    </w:rPr>
  </w:style>
  <w:style w:type="paragraph" w:customStyle="1" w:styleId="Rpt-Head2">
    <w:name w:val="Rpt-Head2"/>
    <w:basedOn w:val="Heading2"/>
    <w:rsid w:val="00084431"/>
    <w:pPr>
      <w:keepLines w:val="0"/>
      <w:numPr>
        <w:ilvl w:val="0"/>
        <w:numId w:val="0"/>
      </w:numPr>
      <w:tabs>
        <w:tab w:val="clear" w:pos="680"/>
      </w:tabs>
      <w:spacing w:before="360" w:after="360" w:line="240" w:lineRule="auto"/>
      <w:jc w:val="both"/>
      <w:outlineLvl w:val="9"/>
    </w:pPr>
    <w:rPr>
      <w:rFonts w:ascii="Times New Roman" w:hAnsi="Times New Roman"/>
      <w:bCs w:val="0"/>
      <w:color w:val="auto"/>
      <w:kern w:val="28"/>
      <w:sz w:val="28"/>
      <w:szCs w:val="20"/>
      <w:lang w:val="en-GB"/>
    </w:rPr>
  </w:style>
  <w:style w:type="paragraph" w:customStyle="1" w:styleId="AttentionLine">
    <w:name w:val="Attention Line"/>
    <w:basedOn w:val="BodyText"/>
    <w:rsid w:val="00084431"/>
    <w:pPr>
      <w:spacing w:before="0" w:after="160" w:line="240" w:lineRule="auto"/>
      <w:jc w:val="both"/>
    </w:pPr>
    <w:rPr>
      <w:rFonts w:ascii="Times New Roman" w:eastAsia="Times New Roman" w:hAnsi="Times New Roman"/>
      <w:b/>
      <w:i/>
      <w:sz w:val="20"/>
      <w:szCs w:val="20"/>
      <w:lang w:val="en-US"/>
    </w:rPr>
  </w:style>
  <w:style w:type="paragraph" w:customStyle="1" w:styleId="BlockQuotation">
    <w:name w:val="Block Quotation"/>
    <w:basedOn w:val="BodyText"/>
    <w:rsid w:val="00084431"/>
    <w:pPr>
      <w:keepLines/>
      <w:spacing w:before="0" w:after="160" w:line="240" w:lineRule="auto"/>
      <w:ind w:left="720" w:right="720"/>
      <w:jc w:val="both"/>
    </w:pPr>
    <w:rPr>
      <w:rFonts w:ascii="Times New Roman" w:eastAsia="Times New Roman" w:hAnsi="Times New Roman"/>
      <w:i/>
      <w:sz w:val="20"/>
      <w:szCs w:val="20"/>
      <w:lang w:val="en-US"/>
    </w:rPr>
  </w:style>
  <w:style w:type="paragraph" w:customStyle="1" w:styleId="BlockQuotationFirst">
    <w:name w:val="Block Quotation First"/>
    <w:basedOn w:val="BlockQuotation"/>
    <w:next w:val="BlockQuotation"/>
    <w:rsid w:val="00084431"/>
    <w:pPr>
      <w:spacing w:before="120"/>
    </w:pPr>
  </w:style>
  <w:style w:type="paragraph" w:customStyle="1" w:styleId="BlockQuotationLast">
    <w:name w:val="Block Quotation Last"/>
    <w:basedOn w:val="BlockQuotation"/>
    <w:next w:val="BodyText"/>
    <w:rsid w:val="00084431"/>
    <w:pPr>
      <w:spacing w:after="240"/>
    </w:pPr>
  </w:style>
  <w:style w:type="paragraph" w:customStyle="1" w:styleId="BodyTextKeep">
    <w:name w:val="Body Text Keep"/>
    <w:basedOn w:val="BodyText"/>
    <w:rsid w:val="00084431"/>
    <w:pPr>
      <w:keepNext/>
      <w:spacing w:before="0" w:after="160" w:line="240" w:lineRule="auto"/>
      <w:jc w:val="both"/>
    </w:pPr>
    <w:rPr>
      <w:rFonts w:ascii="Times New Roman" w:eastAsia="Times New Roman" w:hAnsi="Times New Roman"/>
      <w:sz w:val="20"/>
      <w:szCs w:val="20"/>
      <w:lang w:val="en-US"/>
    </w:rPr>
  </w:style>
  <w:style w:type="paragraph" w:customStyle="1" w:styleId="ChapterLabel">
    <w:name w:val="Chapter Label"/>
    <w:basedOn w:val="Normal"/>
    <w:next w:val="Normal"/>
    <w:rsid w:val="00084431"/>
    <w:pPr>
      <w:keepNext/>
      <w:spacing w:before="360" w:after="0" w:line="240" w:lineRule="auto"/>
      <w:jc w:val="center"/>
    </w:pPr>
    <w:rPr>
      <w:rFonts w:eastAsia="Times New Roman"/>
      <w:b/>
      <w:kern w:val="28"/>
      <w:sz w:val="24"/>
      <w:szCs w:val="20"/>
      <w:u w:val="single"/>
      <w:lang w:val="en-US"/>
    </w:rPr>
  </w:style>
  <w:style w:type="paragraph" w:customStyle="1" w:styleId="ChapterSubtitle">
    <w:name w:val="Chapter Subtitle"/>
    <w:basedOn w:val="Normal"/>
    <w:next w:val="BodyText"/>
    <w:rsid w:val="00084431"/>
    <w:pPr>
      <w:keepNext/>
      <w:keepLines/>
      <w:spacing w:before="360" w:after="360" w:line="240" w:lineRule="auto"/>
      <w:jc w:val="center"/>
    </w:pPr>
    <w:rPr>
      <w:rFonts w:eastAsia="Times New Roman"/>
      <w:i/>
      <w:kern w:val="28"/>
      <w:sz w:val="28"/>
      <w:szCs w:val="20"/>
      <w:lang w:val="en-US"/>
    </w:rPr>
  </w:style>
  <w:style w:type="paragraph" w:customStyle="1" w:styleId="ChapterTitle">
    <w:name w:val="Chapter Title"/>
    <w:basedOn w:val="Normal"/>
    <w:next w:val="ChapterSubtitle"/>
    <w:rsid w:val="00084431"/>
    <w:pPr>
      <w:keepNext/>
      <w:keepLines/>
      <w:spacing w:before="600" w:after="0" w:line="240" w:lineRule="auto"/>
      <w:jc w:val="center"/>
    </w:pPr>
    <w:rPr>
      <w:rFonts w:eastAsia="Times New Roman"/>
      <w:b/>
      <w:kern w:val="28"/>
      <w:sz w:val="32"/>
      <w:szCs w:val="20"/>
      <w:lang w:val="en-US"/>
    </w:rPr>
  </w:style>
  <w:style w:type="paragraph" w:customStyle="1" w:styleId="DocumentLabel">
    <w:name w:val="Document Label"/>
    <w:basedOn w:val="Normal"/>
    <w:rsid w:val="00084431"/>
    <w:pPr>
      <w:keepNext/>
      <w:spacing w:after="360" w:line="240" w:lineRule="auto"/>
      <w:jc w:val="both"/>
    </w:pPr>
    <w:rPr>
      <w:rFonts w:ascii="Times New Roman" w:eastAsia="Times New Roman" w:hAnsi="Times New Roman"/>
      <w:b/>
      <w:kern w:val="28"/>
      <w:sz w:val="36"/>
      <w:szCs w:val="20"/>
      <w:lang w:val="en-US"/>
    </w:rPr>
  </w:style>
  <w:style w:type="paragraph" w:styleId="EndnoteText">
    <w:name w:val="endnote text"/>
    <w:basedOn w:val="Normal"/>
    <w:link w:val="EndnoteTextChar"/>
    <w:semiHidden/>
    <w:rsid w:val="00084431"/>
    <w:pPr>
      <w:tabs>
        <w:tab w:val="left" w:pos="187"/>
      </w:tabs>
      <w:spacing w:before="0" w:after="120" w:line="220" w:lineRule="exact"/>
      <w:ind w:left="187" w:hanging="187"/>
      <w:jc w:val="both"/>
    </w:pPr>
    <w:rPr>
      <w:rFonts w:ascii="Times New Roman" w:eastAsia="Times New Roman" w:hAnsi="Times New Roman"/>
      <w:sz w:val="18"/>
      <w:szCs w:val="20"/>
      <w:lang w:val="en-US"/>
    </w:rPr>
  </w:style>
  <w:style w:type="character" w:customStyle="1" w:styleId="EndnoteTextChar">
    <w:name w:val="Endnote Text Char"/>
    <w:basedOn w:val="DefaultParagraphFont"/>
    <w:link w:val="EndnoteText"/>
    <w:semiHidden/>
    <w:rsid w:val="00084431"/>
    <w:rPr>
      <w:rFonts w:ascii="Times New Roman" w:eastAsia="Times New Roman" w:hAnsi="Times New Roman"/>
      <w:sz w:val="18"/>
      <w:szCs w:val="20"/>
      <w:lang w:val="en-US"/>
    </w:rPr>
  </w:style>
  <w:style w:type="paragraph" w:customStyle="1" w:styleId="FooterEven">
    <w:name w:val="Footer Even"/>
    <w:basedOn w:val="Footer"/>
    <w:rsid w:val="00084431"/>
    <w:pPr>
      <w:keepLines/>
      <w:tabs>
        <w:tab w:val="clear" w:pos="4513"/>
        <w:tab w:val="clear" w:pos="9026"/>
        <w:tab w:val="center" w:pos="4320"/>
        <w:tab w:val="right" w:pos="8640"/>
      </w:tabs>
      <w:spacing w:before="0" w:after="0" w:line="240" w:lineRule="auto"/>
      <w:jc w:val="both"/>
    </w:pPr>
    <w:rPr>
      <w:rFonts w:ascii="Times New Roman" w:eastAsia="Times New Roman" w:hAnsi="Times New Roman"/>
      <w:sz w:val="20"/>
      <w:szCs w:val="20"/>
      <w:lang w:val="en-US"/>
    </w:rPr>
  </w:style>
  <w:style w:type="paragraph" w:customStyle="1" w:styleId="FooterFirst">
    <w:name w:val="Footer First"/>
    <w:basedOn w:val="Footer"/>
    <w:rsid w:val="00084431"/>
    <w:pPr>
      <w:keepLines/>
      <w:tabs>
        <w:tab w:val="clear" w:pos="4513"/>
        <w:tab w:val="clear" w:pos="9026"/>
        <w:tab w:val="center" w:pos="4320"/>
      </w:tabs>
      <w:spacing w:before="0" w:after="0" w:line="240" w:lineRule="auto"/>
      <w:jc w:val="center"/>
    </w:pPr>
    <w:rPr>
      <w:rFonts w:ascii="Times New Roman" w:eastAsia="Times New Roman" w:hAnsi="Times New Roman"/>
      <w:sz w:val="20"/>
      <w:szCs w:val="20"/>
      <w:lang w:val="en-US"/>
    </w:rPr>
  </w:style>
  <w:style w:type="paragraph" w:customStyle="1" w:styleId="FooterOdd">
    <w:name w:val="Footer Odd"/>
    <w:basedOn w:val="Footer"/>
    <w:rsid w:val="00084431"/>
    <w:pPr>
      <w:keepLines/>
      <w:tabs>
        <w:tab w:val="clear" w:pos="4513"/>
        <w:tab w:val="clear" w:pos="9026"/>
        <w:tab w:val="right" w:pos="0"/>
        <w:tab w:val="center" w:pos="4320"/>
        <w:tab w:val="right" w:pos="8640"/>
      </w:tabs>
      <w:spacing w:before="0" w:after="0" w:line="240" w:lineRule="auto"/>
      <w:jc w:val="right"/>
    </w:pPr>
    <w:rPr>
      <w:rFonts w:ascii="Times New Roman" w:eastAsia="Times New Roman" w:hAnsi="Times New Roman"/>
      <w:sz w:val="20"/>
      <w:szCs w:val="20"/>
      <w:lang w:val="en-US"/>
    </w:rPr>
  </w:style>
  <w:style w:type="paragraph" w:customStyle="1" w:styleId="FootnoteBase">
    <w:name w:val="Footnote Base"/>
    <w:basedOn w:val="Normal"/>
    <w:rsid w:val="00084431"/>
    <w:pPr>
      <w:tabs>
        <w:tab w:val="left" w:pos="187"/>
      </w:tabs>
      <w:spacing w:before="0" w:after="0" w:line="220" w:lineRule="exact"/>
      <w:ind w:left="187" w:hanging="187"/>
      <w:jc w:val="both"/>
    </w:pPr>
    <w:rPr>
      <w:rFonts w:ascii="Times New Roman" w:eastAsia="Times New Roman" w:hAnsi="Times New Roman"/>
      <w:sz w:val="18"/>
      <w:szCs w:val="20"/>
      <w:lang w:val="en-US"/>
    </w:rPr>
  </w:style>
  <w:style w:type="paragraph" w:customStyle="1" w:styleId="HeaderBase">
    <w:name w:val="Header Base"/>
    <w:basedOn w:val="Normal"/>
    <w:rsid w:val="00084431"/>
    <w:pPr>
      <w:keepLines/>
      <w:tabs>
        <w:tab w:val="center" w:pos="4320"/>
        <w:tab w:val="right" w:pos="8640"/>
      </w:tabs>
      <w:spacing w:before="0" w:after="0" w:line="240" w:lineRule="auto"/>
      <w:jc w:val="both"/>
    </w:pPr>
    <w:rPr>
      <w:rFonts w:ascii="Times New Roman" w:eastAsia="Times New Roman" w:hAnsi="Times New Roman"/>
      <w:sz w:val="20"/>
      <w:szCs w:val="20"/>
      <w:lang w:val="en-US"/>
    </w:rPr>
  </w:style>
  <w:style w:type="paragraph" w:customStyle="1" w:styleId="HeaderEven">
    <w:name w:val="Header Even"/>
    <w:basedOn w:val="Header"/>
    <w:rsid w:val="00084431"/>
    <w:pPr>
      <w:keepLines/>
      <w:tabs>
        <w:tab w:val="clear" w:pos="4513"/>
        <w:tab w:val="clear" w:pos="9026"/>
        <w:tab w:val="center" w:pos="4320"/>
        <w:tab w:val="right" w:pos="8640"/>
      </w:tabs>
      <w:spacing w:before="0" w:after="0" w:line="240" w:lineRule="auto"/>
      <w:jc w:val="both"/>
    </w:pPr>
    <w:rPr>
      <w:rFonts w:ascii="Times New Roman" w:eastAsia="Times New Roman" w:hAnsi="Times New Roman"/>
      <w:sz w:val="20"/>
      <w:szCs w:val="20"/>
      <w:lang w:val="en-US"/>
    </w:rPr>
  </w:style>
  <w:style w:type="paragraph" w:customStyle="1" w:styleId="HeaderFirst">
    <w:name w:val="Header First"/>
    <w:basedOn w:val="Header"/>
    <w:rsid w:val="00084431"/>
    <w:pPr>
      <w:keepLines/>
      <w:tabs>
        <w:tab w:val="clear" w:pos="4513"/>
        <w:tab w:val="clear" w:pos="9026"/>
        <w:tab w:val="center" w:pos="4320"/>
      </w:tabs>
      <w:spacing w:before="0" w:after="0" w:line="240" w:lineRule="auto"/>
      <w:jc w:val="center"/>
    </w:pPr>
    <w:rPr>
      <w:rFonts w:ascii="Times New Roman" w:eastAsia="Times New Roman" w:hAnsi="Times New Roman"/>
      <w:sz w:val="20"/>
      <w:szCs w:val="20"/>
      <w:lang w:val="en-US"/>
    </w:rPr>
  </w:style>
  <w:style w:type="paragraph" w:customStyle="1" w:styleId="HeaderOdd">
    <w:name w:val="Header Odd"/>
    <w:basedOn w:val="Header"/>
    <w:rsid w:val="00084431"/>
    <w:pPr>
      <w:keepLines/>
      <w:tabs>
        <w:tab w:val="clear" w:pos="4513"/>
        <w:tab w:val="clear" w:pos="9026"/>
        <w:tab w:val="right" w:pos="0"/>
        <w:tab w:val="center" w:pos="4320"/>
        <w:tab w:val="right" w:pos="8640"/>
      </w:tabs>
      <w:spacing w:before="0" w:after="0" w:line="240" w:lineRule="auto"/>
      <w:jc w:val="right"/>
    </w:pPr>
    <w:rPr>
      <w:rFonts w:ascii="Times New Roman" w:eastAsia="Times New Roman" w:hAnsi="Times New Roman"/>
      <w:sz w:val="20"/>
      <w:szCs w:val="20"/>
      <w:lang w:val="en-US"/>
    </w:rPr>
  </w:style>
  <w:style w:type="paragraph" w:customStyle="1" w:styleId="HeadingBase">
    <w:name w:val="Heading Base"/>
    <w:basedOn w:val="Normal"/>
    <w:next w:val="BodyText"/>
    <w:rsid w:val="00084431"/>
    <w:pPr>
      <w:keepNext/>
      <w:keepLines/>
      <w:spacing w:after="120" w:line="240" w:lineRule="auto"/>
      <w:jc w:val="both"/>
    </w:pPr>
    <w:rPr>
      <w:rFonts w:eastAsia="Times New Roman"/>
      <w:b/>
      <w:kern w:val="28"/>
      <w:sz w:val="36"/>
      <w:szCs w:val="20"/>
      <w:lang w:val="en-US"/>
    </w:rPr>
  </w:style>
  <w:style w:type="paragraph" w:styleId="Index1">
    <w:name w:val="index 1"/>
    <w:basedOn w:val="Normal"/>
    <w:semiHidden/>
    <w:rsid w:val="00084431"/>
    <w:pPr>
      <w:tabs>
        <w:tab w:val="right" w:leader="dot" w:pos="3960"/>
      </w:tabs>
      <w:spacing w:before="0" w:after="0" w:line="240" w:lineRule="auto"/>
      <w:ind w:left="720" w:hanging="720"/>
      <w:jc w:val="both"/>
    </w:pPr>
    <w:rPr>
      <w:rFonts w:ascii="Times New Roman" w:eastAsia="Times New Roman" w:hAnsi="Times New Roman"/>
      <w:sz w:val="20"/>
      <w:szCs w:val="20"/>
      <w:lang w:val="en-US"/>
    </w:rPr>
  </w:style>
  <w:style w:type="paragraph" w:styleId="Index2">
    <w:name w:val="index 2"/>
    <w:basedOn w:val="Normal"/>
    <w:semiHidden/>
    <w:rsid w:val="00084431"/>
    <w:pPr>
      <w:tabs>
        <w:tab w:val="right" w:leader="dot" w:pos="3960"/>
      </w:tabs>
      <w:spacing w:before="0" w:after="0" w:line="240" w:lineRule="auto"/>
      <w:ind w:left="1080" w:hanging="720"/>
      <w:jc w:val="both"/>
    </w:pPr>
    <w:rPr>
      <w:rFonts w:ascii="Times New Roman" w:eastAsia="Times New Roman" w:hAnsi="Times New Roman"/>
      <w:sz w:val="20"/>
      <w:szCs w:val="20"/>
      <w:lang w:val="en-US"/>
    </w:rPr>
  </w:style>
  <w:style w:type="paragraph" w:styleId="Index3">
    <w:name w:val="index 3"/>
    <w:basedOn w:val="Normal"/>
    <w:semiHidden/>
    <w:rsid w:val="00084431"/>
    <w:pPr>
      <w:tabs>
        <w:tab w:val="right" w:leader="dot" w:pos="3960"/>
      </w:tabs>
      <w:spacing w:before="0" w:after="0" w:line="240" w:lineRule="auto"/>
      <w:ind w:left="1440" w:hanging="720"/>
      <w:jc w:val="both"/>
    </w:pPr>
    <w:rPr>
      <w:rFonts w:ascii="Times New Roman" w:eastAsia="Times New Roman" w:hAnsi="Times New Roman"/>
      <w:sz w:val="20"/>
      <w:szCs w:val="20"/>
      <w:lang w:val="en-US"/>
    </w:rPr>
  </w:style>
  <w:style w:type="paragraph" w:styleId="Index4">
    <w:name w:val="index 4"/>
    <w:basedOn w:val="Normal"/>
    <w:semiHidden/>
    <w:rsid w:val="00084431"/>
    <w:pPr>
      <w:tabs>
        <w:tab w:val="right" w:leader="dot" w:pos="3960"/>
      </w:tabs>
      <w:spacing w:before="0" w:after="0" w:line="240" w:lineRule="auto"/>
      <w:ind w:left="1800" w:hanging="720"/>
      <w:jc w:val="both"/>
    </w:pPr>
    <w:rPr>
      <w:rFonts w:ascii="Times New Roman" w:eastAsia="Times New Roman" w:hAnsi="Times New Roman"/>
      <w:sz w:val="20"/>
      <w:szCs w:val="20"/>
      <w:lang w:val="en-US"/>
    </w:rPr>
  </w:style>
  <w:style w:type="paragraph" w:styleId="Index5">
    <w:name w:val="index 5"/>
    <w:basedOn w:val="Normal"/>
    <w:semiHidden/>
    <w:rsid w:val="00084431"/>
    <w:pPr>
      <w:tabs>
        <w:tab w:val="right" w:leader="dot" w:pos="3960"/>
      </w:tabs>
      <w:spacing w:before="0" w:after="0" w:line="240" w:lineRule="auto"/>
      <w:ind w:left="2160" w:hanging="720"/>
      <w:jc w:val="both"/>
    </w:pPr>
    <w:rPr>
      <w:rFonts w:ascii="Times New Roman" w:eastAsia="Times New Roman" w:hAnsi="Times New Roman"/>
      <w:sz w:val="20"/>
      <w:szCs w:val="20"/>
      <w:lang w:val="en-US"/>
    </w:rPr>
  </w:style>
  <w:style w:type="paragraph" w:styleId="Index6">
    <w:name w:val="index 6"/>
    <w:basedOn w:val="Normal"/>
    <w:semiHidden/>
    <w:rsid w:val="00084431"/>
    <w:pPr>
      <w:tabs>
        <w:tab w:val="right" w:leader="dot" w:pos="3960"/>
      </w:tabs>
      <w:spacing w:before="0" w:after="0" w:line="240" w:lineRule="auto"/>
      <w:ind w:left="1800" w:hanging="720"/>
      <w:jc w:val="both"/>
    </w:pPr>
    <w:rPr>
      <w:rFonts w:ascii="Times New Roman" w:eastAsia="Times New Roman" w:hAnsi="Times New Roman"/>
      <w:sz w:val="20"/>
      <w:szCs w:val="20"/>
      <w:lang w:val="en-US"/>
    </w:rPr>
  </w:style>
  <w:style w:type="paragraph" w:styleId="Index7">
    <w:name w:val="index 7"/>
    <w:basedOn w:val="Normal"/>
    <w:semiHidden/>
    <w:rsid w:val="00084431"/>
    <w:pPr>
      <w:tabs>
        <w:tab w:val="right" w:leader="dot" w:pos="3960"/>
      </w:tabs>
      <w:spacing w:before="0" w:after="0" w:line="240" w:lineRule="auto"/>
      <w:ind w:left="2160" w:hanging="720"/>
      <w:jc w:val="both"/>
    </w:pPr>
    <w:rPr>
      <w:rFonts w:ascii="Times New Roman" w:eastAsia="Times New Roman" w:hAnsi="Times New Roman"/>
      <w:sz w:val="20"/>
      <w:szCs w:val="20"/>
      <w:lang w:val="en-US"/>
    </w:rPr>
  </w:style>
  <w:style w:type="paragraph" w:styleId="Index8">
    <w:name w:val="index 8"/>
    <w:basedOn w:val="Normal"/>
    <w:semiHidden/>
    <w:rsid w:val="00084431"/>
    <w:pPr>
      <w:tabs>
        <w:tab w:val="right" w:leader="dot" w:pos="3960"/>
      </w:tabs>
      <w:spacing w:before="0" w:after="0" w:line="240" w:lineRule="auto"/>
      <w:ind w:left="2520" w:hanging="720"/>
      <w:jc w:val="both"/>
    </w:pPr>
    <w:rPr>
      <w:rFonts w:ascii="Times New Roman" w:eastAsia="Times New Roman" w:hAnsi="Times New Roman"/>
      <w:sz w:val="20"/>
      <w:szCs w:val="20"/>
      <w:lang w:val="en-US"/>
    </w:rPr>
  </w:style>
  <w:style w:type="paragraph" w:styleId="Index9">
    <w:name w:val="index 9"/>
    <w:basedOn w:val="Normal"/>
    <w:semiHidden/>
    <w:rsid w:val="00084431"/>
    <w:pPr>
      <w:tabs>
        <w:tab w:val="right" w:leader="dot" w:pos="3960"/>
      </w:tabs>
      <w:spacing w:before="0" w:after="0" w:line="240" w:lineRule="auto"/>
      <w:ind w:left="2880" w:hanging="720"/>
      <w:jc w:val="both"/>
    </w:pPr>
    <w:rPr>
      <w:rFonts w:ascii="Times New Roman" w:eastAsia="Times New Roman" w:hAnsi="Times New Roman"/>
      <w:sz w:val="20"/>
      <w:szCs w:val="20"/>
      <w:lang w:val="en-US"/>
    </w:rPr>
  </w:style>
  <w:style w:type="paragraph" w:customStyle="1" w:styleId="IndexBase">
    <w:name w:val="Index Base"/>
    <w:basedOn w:val="Normal"/>
    <w:rsid w:val="00084431"/>
    <w:pPr>
      <w:tabs>
        <w:tab w:val="right" w:leader="dot" w:pos="3960"/>
      </w:tabs>
      <w:spacing w:before="0" w:after="0" w:line="240" w:lineRule="auto"/>
      <w:ind w:left="720" w:hanging="720"/>
      <w:jc w:val="both"/>
    </w:pPr>
    <w:rPr>
      <w:rFonts w:ascii="Times New Roman" w:eastAsia="Times New Roman" w:hAnsi="Times New Roman"/>
      <w:sz w:val="20"/>
      <w:szCs w:val="20"/>
      <w:lang w:val="en-US"/>
    </w:rPr>
  </w:style>
  <w:style w:type="paragraph" w:styleId="IndexHeading">
    <w:name w:val="index heading"/>
    <w:basedOn w:val="Normal"/>
    <w:next w:val="Index1"/>
    <w:semiHidden/>
    <w:rsid w:val="00084431"/>
    <w:pPr>
      <w:keepNext/>
      <w:spacing w:after="0" w:line="240" w:lineRule="auto"/>
      <w:jc w:val="both"/>
    </w:pPr>
    <w:rPr>
      <w:rFonts w:eastAsia="Times New Roman"/>
      <w:b/>
      <w:kern w:val="28"/>
      <w:sz w:val="28"/>
      <w:szCs w:val="20"/>
      <w:lang w:val="en-US"/>
    </w:rPr>
  </w:style>
  <w:style w:type="character" w:customStyle="1" w:styleId="Lead-inEmphasis">
    <w:name w:val="Lead-in Emphasis"/>
    <w:rsid w:val="00084431"/>
    <w:rPr>
      <w:b/>
      <w:i/>
    </w:rPr>
  </w:style>
  <w:style w:type="character" w:styleId="LineNumber">
    <w:name w:val="line number"/>
    <w:rsid w:val="00084431"/>
    <w:rPr>
      <w:rFonts w:ascii="Arial" w:hAnsi="Arial"/>
      <w:sz w:val="18"/>
    </w:rPr>
  </w:style>
  <w:style w:type="paragraph" w:styleId="List">
    <w:name w:val="List"/>
    <w:basedOn w:val="BodyText"/>
    <w:rsid w:val="00084431"/>
    <w:pPr>
      <w:tabs>
        <w:tab w:val="left" w:pos="720"/>
      </w:tabs>
      <w:spacing w:before="0" w:after="80" w:line="240" w:lineRule="auto"/>
      <w:ind w:left="720" w:hanging="360"/>
      <w:jc w:val="both"/>
    </w:pPr>
    <w:rPr>
      <w:rFonts w:ascii="Times New Roman" w:eastAsia="Times New Roman" w:hAnsi="Times New Roman"/>
      <w:sz w:val="20"/>
      <w:szCs w:val="20"/>
      <w:lang w:val="en-US"/>
    </w:rPr>
  </w:style>
  <w:style w:type="paragraph" w:styleId="List2">
    <w:name w:val="List 2"/>
    <w:basedOn w:val="List"/>
    <w:rsid w:val="00084431"/>
    <w:pPr>
      <w:tabs>
        <w:tab w:val="clear" w:pos="720"/>
        <w:tab w:val="left" w:pos="1080"/>
      </w:tabs>
      <w:ind w:left="1080"/>
    </w:pPr>
  </w:style>
  <w:style w:type="paragraph" w:styleId="List3">
    <w:name w:val="List 3"/>
    <w:basedOn w:val="List"/>
    <w:rsid w:val="00084431"/>
    <w:pPr>
      <w:tabs>
        <w:tab w:val="clear" w:pos="720"/>
        <w:tab w:val="left" w:pos="1440"/>
      </w:tabs>
      <w:ind w:left="1440"/>
    </w:pPr>
  </w:style>
  <w:style w:type="paragraph" w:styleId="List4">
    <w:name w:val="List 4"/>
    <w:basedOn w:val="List"/>
    <w:rsid w:val="00084431"/>
    <w:pPr>
      <w:tabs>
        <w:tab w:val="clear" w:pos="720"/>
        <w:tab w:val="left" w:pos="1800"/>
      </w:tabs>
      <w:ind w:left="1800"/>
    </w:pPr>
  </w:style>
  <w:style w:type="paragraph" w:styleId="List5">
    <w:name w:val="List 5"/>
    <w:basedOn w:val="List"/>
    <w:rsid w:val="00084431"/>
    <w:pPr>
      <w:tabs>
        <w:tab w:val="clear" w:pos="720"/>
        <w:tab w:val="left" w:pos="2160"/>
      </w:tabs>
      <w:ind w:left="2160"/>
    </w:pPr>
  </w:style>
  <w:style w:type="paragraph" w:styleId="ListBullet">
    <w:name w:val="List Bullet"/>
    <w:basedOn w:val="List"/>
    <w:rsid w:val="00084431"/>
    <w:pPr>
      <w:tabs>
        <w:tab w:val="clear" w:pos="720"/>
      </w:tabs>
      <w:spacing w:after="160"/>
    </w:pPr>
  </w:style>
  <w:style w:type="paragraph" w:styleId="ListBullet3">
    <w:name w:val="List Bullet 3"/>
    <w:basedOn w:val="ListBullet"/>
    <w:rsid w:val="00084431"/>
    <w:pPr>
      <w:ind w:left="1440"/>
    </w:pPr>
  </w:style>
  <w:style w:type="paragraph" w:styleId="ListBullet4">
    <w:name w:val="List Bullet 4"/>
    <w:basedOn w:val="ListBullet"/>
    <w:rsid w:val="00084431"/>
    <w:pPr>
      <w:ind w:left="1800"/>
    </w:pPr>
  </w:style>
  <w:style w:type="paragraph" w:styleId="ListBullet5">
    <w:name w:val="List Bullet 5"/>
    <w:basedOn w:val="ListBullet"/>
    <w:rsid w:val="00084431"/>
    <w:pPr>
      <w:ind w:left="2160"/>
    </w:pPr>
  </w:style>
  <w:style w:type="paragraph" w:customStyle="1" w:styleId="ListBulletFirst">
    <w:name w:val="List Bullet First"/>
    <w:basedOn w:val="ListBullet"/>
    <w:next w:val="ListBullet"/>
    <w:rsid w:val="00084431"/>
    <w:pPr>
      <w:spacing w:before="80"/>
    </w:pPr>
  </w:style>
  <w:style w:type="paragraph" w:customStyle="1" w:styleId="ListBulletLast">
    <w:name w:val="List Bullet Last"/>
    <w:basedOn w:val="ListBullet"/>
    <w:next w:val="BodyText"/>
    <w:rsid w:val="00084431"/>
    <w:pPr>
      <w:spacing w:after="240"/>
    </w:pPr>
  </w:style>
  <w:style w:type="paragraph" w:styleId="ListContinue">
    <w:name w:val="List Continue"/>
    <w:basedOn w:val="List"/>
    <w:rsid w:val="00084431"/>
    <w:pPr>
      <w:tabs>
        <w:tab w:val="clear" w:pos="720"/>
      </w:tabs>
      <w:spacing w:after="160"/>
    </w:pPr>
  </w:style>
  <w:style w:type="paragraph" w:styleId="ListContinue2">
    <w:name w:val="List Continue 2"/>
    <w:basedOn w:val="ListContinue"/>
    <w:rsid w:val="00084431"/>
    <w:pPr>
      <w:ind w:left="1080"/>
    </w:pPr>
  </w:style>
  <w:style w:type="paragraph" w:styleId="ListContinue3">
    <w:name w:val="List Continue 3"/>
    <w:basedOn w:val="ListContinue"/>
    <w:rsid w:val="00084431"/>
    <w:pPr>
      <w:ind w:left="1440"/>
    </w:pPr>
  </w:style>
  <w:style w:type="paragraph" w:styleId="ListContinue4">
    <w:name w:val="List Continue 4"/>
    <w:basedOn w:val="ListContinue"/>
    <w:rsid w:val="00084431"/>
    <w:pPr>
      <w:ind w:left="1800"/>
    </w:pPr>
  </w:style>
  <w:style w:type="paragraph" w:styleId="ListContinue5">
    <w:name w:val="List Continue 5"/>
    <w:basedOn w:val="ListContinue"/>
    <w:rsid w:val="00084431"/>
    <w:pPr>
      <w:ind w:left="2160"/>
    </w:pPr>
  </w:style>
  <w:style w:type="paragraph" w:customStyle="1" w:styleId="ListFirst">
    <w:name w:val="List First"/>
    <w:basedOn w:val="List"/>
    <w:next w:val="List"/>
    <w:rsid w:val="00084431"/>
    <w:pPr>
      <w:spacing w:before="80"/>
    </w:pPr>
  </w:style>
  <w:style w:type="paragraph" w:customStyle="1" w:styleId="ListLast">
    <w:name w:val="List Last"/>
    <w:basedOn w:val="List"/>
    <w:next w:val="BodyText"/>
    <w:rsid w:val="00084431"/>
    <w:pPr>
      <w:spacing w:after="240"/>
    </w:pPr>
  </w:style>
  <w:style w:type="paragraph" w:styleId="ListNumber">
    <w:name w:val="List Number"/>
    <w:basedOn w:val="List"/>
    <w:rsid w:val="00084431"/>
    <w:pPr>
      <w:tabs>
        <w:tab w:val="clear" w:pos="720"/>
      </w:tabs>
      <w:spacing w:after="160"/>
    </w:pPr>
  </w:style>
  <w:style w:type="paragraph" w:styleId="ListNumber2">
    <w:name w:val="List Number 2"/>
    <w:basedOn w:val="ListNumber"/>
    <w:rsid w:val="00084431"/>
    <w:pPr>
      <w:ind w:left="1080"/>
    </w:pPr>
  </w:style>
  <w:style w:type="paragraph" w:styleId="ListNumber3">
    <w:name w:val="List Number 3"/>
    <w:basedOn w:val="ListNumber"/>
    <w:rsid w:val="00084431"/>
    <w:pPr>
      <w:ind w:left="1440"/>
    </w:pPr>
  </w:style>
  <w:style w:type="paragraph" w:styleId="ListNumber4">
    <w:name w:val="List Number 4"/>
    <w:basedOn w:val="ListNumber"/>
    <w:rsid w:val="00084431"/>
    <w:pPr>
      <w:ind w:left="1800"/>
    </w:pPr>
  </w:style>
  <w:style w:type="paragraph" w:styleId="ListNumber5">
    <w:name w:val="List Number 5"/>
    <w:basedOn w:val="ListNumber"/>
    <w:rsid w:val="00084431"/>
    <w:pPr>
      <w:ind w:left="2160"/>
    </w:pPr>
  </w:style>
  <w:style w:type="paragraph" w:customStyle="1" w:styleId="ListNumberFirst">
    <w:name w:val="List Number First"/>
    <w:basedOn w:val="ListNumber"/>
    <w:next w:val="ListNumber"/>
    <w:rsid w:val="00084431"/>
    <w:pPr>
      <w:spacing w:before="80"/>
    </w:pPr>
  </w:style>
  <w:style w:type="paragraph" w:customStyle="1" w:styleId="ListNumberLast">
    <w:name w:val="List Number Last"/>
    <w:basedOn w:val="ListNumber"/>
    <w:next w:val="BodyText"/>
    <w:rsid w:val="00084431"/>
    <w:pPr>
      <w:spacing w:after="240"/>
    </w:pPr>
  </w:style>
  <w:style w:type="paragraph" w:styleId="MacroText">
    <w:name w:val="macro"/>
    <w:basedOn w:val="BodyText"/>
    <w:link w:val="MacroTextChar"/>
    <w:semiHidden/>
    <w:rsid w:val="00084431"/>
    <w:pPr>
      <w:spacing w:before="0" w:line="240" w:lineRule="auto"/>
      <w:jc w:val="both"/>
    </w:pPr>
    <w:rPr>
      <w:rFonts w:ascii="Courier New" w:eastAsia="Times New Roman" w:hAnsi="Courier New"/>
      <w:sz w:val="20"/>
      <w:szCs w:val="20"/>
      <w:lang w:val="en-US"/>
    </w:rPr>
  </w:style>
  <w:style w:type="character" w:customStyle="1" w:styleId="MacroTextChar">
    <w:name w:val="Macro Text Char"/>
    <w:basedOn w:val="DefaultParagraphFont"/>
    <w:link w:val="MacroText"/>
    <w:semiHidden/>
    <w:rsid w:val="00084431"/>
    <w:rPr>
      <w:rFonts w:ascii="Courier New" w:eastAsia="Times New Roman" w:hAnsi="Courier New"/>
      <w:sz w:val="20"/>
      <w:szCs w:val="20"/>
      <w:lang w:val="en-US"/>
    </w:rPr>
  </w:style>
  <w:style w:type="paragraph" w:styleId="MessageHeader">
    <w:name w:val="Message Header"/>
    <w:basedOn w:val="BodyText"/>
    <w:link w:val="MessageHeaderChar"/>
    <w:rsid w:val="00084431"/>
    <w:pPr>
      <w:keepLines/>
      <w:tabs>
        <w:tab w:val="left" w:pos="3600"/>
        <w:tab w:val="left" w:pos="4680"/>
      </w:tabs>
      <w:spacing w:before="0" w:after="240" w:line="240" w:lineRule="auto"/>
      <w:ind w:left="1080" w:right="2880" w:hanging="1080"/>
      <w:jc w:val="both"/>
    </w:pPr>
    <w:rPr>
      <w:rFonts w:eastAsia="Times New Roman"/>
      <w:sz w:val="20"/>
      <w:szCs w:val="20"/>
      <w:lang w:val="en-US"/>
    </w:rPr>
  </w:style>
  <w:style w:type="character" w:customStyle="1" w:styleId="MessageHeaderChar">
    <w:name w:val="Message Header Char"/>
    <w:basedOn w:val="DefaultParagraphFont"/>
    <w:link w:val="MessageHeader"/>
    <w:rsid w:val="00084431"/>
    <w:rPr>
      <w:rFonts w:eastAsia="Times New Roman"/>
      <w:sz w:val="20"/>
      <w:szCs w:val="20"/>
      <w:lang w:val="en-US"/>
    </w:rPr>
  </w:style>
  <w:style w:type="paragraph" w:customStyle="1" w:styleId="PartLabel">
    <w:name w:val="Part Label"/>
    <w:basedOn w:val="HeadingBase"/>
    <w:next w:val="Normal"/>
    <w:rsid w:val="00084431"/>
    <w:pPr>
      <w:spacing w:before="600" w:after="160"/>
      <w:jc w:val="center"/>
    </w:pPr>
    <w:rPr>
      <w:b w:val="0"/>
      <w:sz w:val="24"/>
      <w:u w:val="single"/>
    </w:rPr>
  </w:style>
  <w:style w:type="paragraph" w:customStyle="1" w:styleId="PartSubtitle">
    <w:name w:val="Part Subtitle"/>
    <w:basedOn w:val="Normal"/>
    <w:next w:val="BodyText"/>
    <w:rsid w:val="00084431"/>
    <w:pPr>
      <w:keepNext/>
      <w:spacing w:before="360" w:after="120" w:line="240" w:lineRule="auto"/>
      <w:jc w:val="center"/>
    </w:pPr>
    <w:rPr>
      <w:rFonts w:eastAsia="Times New Roman"/>
      <w:i/>
      <w:kern w:val="28"/>
      <w:sz w:val="32"/>
      <w:szCs w:val="20"/>
      <w:lang w:val="en-US"/>
    </w:rPr>
  </w:style>
  <w:style w:type="paragraph" w:customStyle="1" w:styleId="PartTitle">
    <w:name w:val="Part Title"/>
    <w:basedOn w:val="HeadingBase"/>
    <w:next w:val="PartSubtitle"/>
    <w:rsid w:val="00084431"/>
    <w:pPr>
      <w:spacing w:before="600"/>
      <w:jc w:val="center"/>
    </w:pPr>
  </w:style>
  <w:style w:type="paragraph" w:customStyle="1" w:styleId="Picture">
    <w:name w:val="Picture"/>
    <w:basedOn w:val="BodyText"/>
    <w:next w:val="Caption"/>
    <w:rsid w:val="00084431"/>
    <w:pPr>
      <w:keepNext/>
      <w:spacing w:before="0" w:after="160" w:line="240" w:lineRule="auto"/>
      <w:jc w:val="both"/>
    </w:pPr>
    <w:rPr>
      <w:rFonts w:ascii="Times New Roman" w:eastAsia="Times New Roman" w:hAnsi="Times New Roman"/>
      <w:sz w:val="20"/>
      <w:szCs w:val="20"/>
      <w:lang w:val="en-US"/>
    </w:rPr>
  </w:style>
  <w:style w:type="paragraph" w:customStyle="1" w:styleId="SectionHeading">
    <w:name w:val="Section Heading"/>
    <w:basedOn w:val="HeadingBase"/>
    <w:rsid w:val="00084431"/>
    <w:pPr>
      <w:spacing w:after="80"/>
    </w:pPr>
    <w:rPr>
      <w:sz w:val="28"/>
    </w:rPr>
  </w:style>
  <w:style w:type="paragraph" w:customStyle="1" w:styleId="SectionLabel">
    <w:name w:val="Section Label"/>
    <w:basedOn w:val="HeadingBase"/>
    <w:next w:val="BodyText"/>
    <w:rsid w:val="00084431"/>
    <w:pPr>
      <w:spacing w:after="360"/>
      <w:jc w:val="center"/>
    </w:pPr>
  </w:style>
  <w:style w:type="paragraph" w:customStyle="1" w:styleId="SubjectLine">
    <w:name w:val="Subject Line"/>
    <w:basedOn w:val="BodyText"/>
    <w:next w:val="BodyText"/>
    <w:rsid w:val="00084431"/>
    <w:pPr>
      <w:spacing w:before="0" w:after="160" w:line="240" w:lineRule="auto"/>
      <w:jc w:val="both"/>
    </w:pPr>
    <w:rPr>
      <w:rFonts w:ascii="Times New Roman" w:eastAsia="Times New Roman" w:hAnsi="Times New Roman"/>
      <w:i/>
      <w:sz w:val="20"/>
      <w:szCs w:val="20"/>
      <w:u w:val="single"/>
      <w:lang w:val="en-US"/>
    </w:rPr>
  </w:style>
  <w:style w:type="paragraph" w:customStyle="1" w:styleId="SubtitleCover">
    <w:name w:val="Subtitle Cover"/>
    <w:basedOn w:val="Normal"/>
    <w:next w:val="BodyText"/>
    <w:rsid w:val="00084431"/>
    <w:pPr>
      <w:keepNext/>
      <w:spacing w:after="160" w:line="240" w:lineRule="auto"/>
      <w:jc w:val="center"/>
    </w:pPr>
    <w:rPr>
      <w:rFonts w:eastAsia="Times New Roman"/>
      <w:i/>
      <w:kern w:val="28"/>
      <w:sz w:val="36"/>
      <w:szCs w:val="20"/>
      <w:lang w:val="en-US"/>
    </w:rPr>
  </w:style>
  <w:style w:type="character" w:customStyle="1" w:styleId="Superscript">
    <w:name w:val="Superscript"/>
    <w:rsid w:val="00084431"/>
    <w:rPr>
      <w:vertAlign w:val="superscript"/>
    </w:rPr>
  </w:style>
  <w:style w:type="paragraph" w:styleId="TableofAuthorities">
    <w:name w:val="table of authorities"/>
    <w:basedOn w:val="Normal"/>
    <w:semiHidden/>
    <w:rsid w:val="00084431"/>
    <w:pPr>
      <w:tabs>
        <w:tab w:val="right" w:leader="dot" w:pos="8640"/>
      </w:tabs>
      <w:spacing w:before="0" w:after="0" w:line="240" w:lineRule="auto"/>
      <w:ind w:left="360" w:hanging="360"/>
      <w:jc w:val="both"/>
    </w:pPr>
    <w:rPr>
      <w:rFonts w:ascii="Times New Roman" w:eastAsia="Times New Roman" w:hAnsi="Times New Roman"/>
      <w:sz w:val="20"/>
      <w:szCs w:val="20"/>
      <w:lang w:val="en-US"/>
    </w:rPr>
  </w:style>
  <w:style w:type="paragraph" w:customStyle="1" w:styleId="TitleCover">
    <w:name w:val="Title Cover"/>
    <w:basedOn w:val="HeadingBase"/>
    <w:next w:val="SubtitleCover"/>
    <w:rsid w:val="00084431"/>
    <w:pPr>
      <w:spacing w:before="720" w:after="160"/>
      <w:jc w:val="center"/>
    </w:pPr>
    <w:rPr>
      <w:sz w:val="48"/>
    </w:rPr>
  </w:style>
  <w:style w:type="paragraph" w:styleId="TOAHeading">
    <w:name w:val="toa heading"/>
    <w:basedOn w:val="SectionHeading"/>
    <w:next w:val="TableofAuthorities"/>
    <w:semiHidden/>
    <w:rsid w:val="00084431"/>
  </w:style>
  <w:style w:type="paragraph" w:customStyle="1" w:styleId="TOCBase">
    <w:name w:val="TOC Base"/>
    <w:basedOn w:val="Normal"/>
    <w:rsid w:val="00084431"/>
    <w:pPr>
      <w:tabs>
        <w:tab w:val="right" w:leader="dot" w:pos="8640"/>
      </w:tabs>
      <w:spacing w:before="0" w:after="0" w:line="240" w:lineRule="auto"/>
      <w:jc w:val="both"/>
    </w:pPr>
    <w:rPr>
      <w:rFonts w:ascii="Times New Roman" w:eastAsia="Times New Roman" w:hAnsi="Times New Roman"/>
      <w:sz w:val="20"/>
      <w:szCs w:val="20"/>
      <w:lang w:val="en-US"/>
    </w:rPr>
  </w:style>
  <w:style w:type="paragraph" w:customStyle="1" w:styleId="icrs-body">
    <w:name w:val="icrs-body"/>
    <w:basedOn w:val="Normal"/>
    <w:rsid w:val="00084431"/>
    <w:pPr>
      <w:spacing w:before="0" w:after="0" w:line="240" w:lineRule="auto"/>
      <w:jc w:val="both"/>
    </w:pPr>
    <w:rPr>
      <w:rFonts w:ascii="Courier" w:eastAsia="Times New Roman" w:hAnsi="Courier"/>
      <w:sz w:val="20"/>
      <w:szCs w:val="20"/>
    </w:rPr>
  </w:style>
  <w:style w:type="paragraph" w:customStyle="1" w:styleId="Figuretxt">
    <w:name w:val="Figure txt"/>
    <w:basedOn w:val="Bodytxt"/>
    <w:autoRedefine/>
    <w:rsid w:val="00084431"/>
    <w:pPr>
      <w:tabs>
        <w:tab w:val="left" w:pos="851"/>
      </w:tabs>
      <w:spacing w:before="120" w:after="240" w:line="240" w:lineRule="exact"/>
    </w:pPr>
    <w:rPr>
      <w:rFonts w:ascii="Times New Roman" w:hAnsi="Times New Roman"/>
      <w:kern w:val="28"/>
      <w:sz w:val="20"/>
      <w:lang w:val="en-US"/>
    </w:rPr>
  </w:style>
  <w:style w:type="character" w:customStyle="1" w:styleId="UnresolvedMention1">
    <w:name w:val="Unresolved Mention1"/>
    <w:basedOn w:val="DefaultParagraphFont"/>
    <w:uiPriority w:val="99"/>
    <w:semiHidden/>
    <w:unhideWhenUsed/>
    <w:rsid w:val="00DB3546"/>
    <w:rPr>
      <w:color w:val="605E5C"/>
      <w:shd w:val="clear" w:color="auto" w:fill="E1DFDD"/>
    </w:rPr>
  </w:style>
  <w:style w:type="paragraph" w:customStyle="1" w:styleId="EndNoteBibliographyTitle">
    <w:name w:val="EndNote Bibliography Title"/>
    <w:basedOn w:val="Normal"/>
    <w:link w:val="EndNoteBibliographyTitleChar"/>
    <w:rsid w:val="00D75F31"/>
    <w:pPr>
      <w:spacing w:after="0"/>
      <w:jc w:val="center"/>
    </w:pPr>
    <w:rPr>
      <w:rFonts w:cs="Arial"/>
      <w:noProof/>
      <w:lang w:val="en-US"/>
    </w:rPr>
  </w:style>
  <w:style w:type="character" w:customStyle="1" w:styleId="EndNoteBibliographyTitleChar">
    <w:name w:val="EndNote Bibliography Title Char"/>
    <w:basedOn w:val="DefaultParagraphFont"/>
    <w:link w:val="EndNoteBibliographyTitle"/>
    <w:rsid w:val="00D75F31"/>
    <w:rPr>
      <w:rFonts w:cs="Arial"/>
      <w:noProof/>
      <w:lang w:val="en-US"/>
    </w:rPr>
  </w:style>
  <w:style w:type="paragraph" w:customStyle="1" w:styleId="EndNoteBibliography">
    <w:name w:val="EndNote Bibliography"/>
    <w:basedOn w:val="Normal"/>
    <w:link w:val="EndNoteBibliographyChar"/>
    <w:rsid w:val="00D75F31"/>
    <w:pPr>
      <w:spacing w:line="240" w:lineRule="auto"/>
    </w:pPr>
    <w:rPr>
      <w:rFonts w:cs="Arial"/>
      <w:noProof/>
      <w:lang w:val="en-US"/>
    </w:rPr>
  </w:style>
  <w:style w:type="character" w:customStyle="1" w:styleId="EndNoteBibliographyChar">
    <w:name w:val="EndNote Bibliography Char"/>
    <w:basedOn w:val="DefaultParagraphFont"/>
    <w:link w:val="EndNoteBibliography"/>
    <w:rsid w:val="00D75F31"/>
    <w:rPr>
      <w:rFonts w:cs="Arial"/>
      <w:noProof/>
      <w:lang w:val="en-US"/>
    </w:rPr>
  </w:style>
  <w:style w:type="character" w:customStyle="1" w:styleId="UnresolvedMention2">
    <w:name w:val="Unresolved Mention2"/>
    <w:basedOn w:val="DefaultParagraphFont"/>
    <w:uiPriority w:val="99"/>
    <w:semiHidden/>
    <w:unhideWhenUsed/>
    <w:rsid w:val="009B6C43"/>
    <w:rPr>
      <w:color w:val="605E5C"/>
      <w:shd w:val="clear" w:color="auto" w:fill="E1DFDD"/>
    </w:rPr>
  </w:style>
  <w:style w:type="character" w:customStyle="1" w:styleId="UnresolvedMention">
    <w:name w:val="Unresolved Mention"/>
    <w:basedOn w:val="DefaultParagraphFont"/>
    <w:uiPriority w:val="99"/>
    <w:semiHidden/>
    <w:unhideWhenUsed/>
    <w:rsid w:val="009179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201">
      <w:bodyDiv w:val="1"/>
      <w:marLeft w:val="0"/>
      <w:marRight w:val="0"/>
      <w:marTop w:val="0"/>
      <w:marBottom w:val="0"/>
      <w:divBdr>
        <w:top w:val="none" w:sz="0" w:space="0" w:color="auto"/>
        <w:left w:val="none" w:sz="0" w:space="0" w:color="auto"/>
        <w:bottom w:val="none" w:sz="0" w:space="0" w:color="auto"/>
        <w:right w:val="none" w:sz="0" w:space="0" w:color="auto"/>
      </w:divBdr>
    </w:div>
    <w:div w:id="356980">
      <w:bodyDiv w:val="1"/>
      <w:marLeft w:val="0"/>
      <w:marRight w:val="0"/>
      <w:marTop w:val="0"/>
      <w:marBottom w:val="0"/>
      <w:divBdr>
        <w:top w:val="none" w:sz="0" w:space="0" w:color="auto"/>
        <w:left w:val="none" w:sz="0" w:space="0" w:color="auto"/>
        <w:bottom w:val="none" w:sz="0" w:space="0" w:color="auto"/>
        <w:right w:val="none" w:sz="0" w:space="0" w:color="auto"/>
      </w:divBdr>
    </w:div>
    <w:div w:id="666661">
      <w:bodyDiv w:val="1"/>
      <w:marLeft w:val="0"/>
      <w:marRight w:val="0"/>
      <w:marTop w:val="0"/>
      <w:marBottom w:val="0"/>
      <w:divBdr>
        <w:top w:val="none" w:sz="0" w:space="0" w:color="auto"/>
        <w:left w:val="none" w:sz="0" w:space="0" w:color="auto"/>
        <w:bottom w:val="none" w:sz="0" w:space="0" w:color="auto"/>
        <w:right w:val="none" w:sz="0" w:space="0" w:color="auto"/>
      </w:divBdr>
    </w:div>
    <w:div w:id="863681">
      <w:bodyDiv w:val="1"/>
      <w:marLeft w:val="0"/>
      <w:marRight w:val="0"/>
      <w:marTop w:val="0"/>
      <w:marBottom w:val="0"/>
      <w:divBdr>
        <w:top w:val="none" w:sz="0" w:space="0" w:color="auto"/>
        <w:left w:val="none" w:sz="0" w:space="0" w:color="auto"/>
        <w:bottom w:val="none" w:sz="0" w:space="0" w:color="auto"/>
        <w:right w:val="none" w:sz="0" w:space="0" w:color="auto"/>
      </w:divBdr>
    </w:div>
    <w:div w:id="1245764">
      <w:bodyDiv w:val="1"/>
      <w:marLeft w:val="0"/>
      <w:marRight w:val="0"/>
      <w:marTop w:val="0"/>
      <w:marBottom w:val="0"/>
      <w:divBdr>
        <w:top w:val="none" w:sz="0" w:space="0" w:color="auto"/>
        <w:left w:val="none" w:sz="0" w:space="0" w:color="auto"/>
        <w:bottom w:val="none" w:sz="0" w:space="0" w:color="auto"/>
        <w:right w:val="none" w:sz="0" w:space="0" w:color="auto"/>
      </w:divBdr>
    </w:div>
    <w:div w:id="1275902">
      <w:bodyDiv w:val="1"/>
      <w:marLeft w:val="0"/>
      <w:marRight w:val="0"/>
      <w:marTop w:val="0"/>
      <w:marBottom w:val="0"/>
      <w:divBdr>
        <w:top w:val="none" w:sz="0" w:space="0" w:color="auto"/>
        <w:left w:val="none" w:sz="0" w:space="0" w:color="auto"/>
        <w:bottom w:val="none" w:sz="0" w:space="0" w:color="auto"/>
        <w:right w:val="none" w:sz="0" w:space="0" w:color="auto"/>
      </w:divBdr>
    </w:div>
    <w:div w:id="1519021">
      <w:bodyDiv w:val="1"/>
      <w:marLeft w:val="0"/>
      <w:marRight w:val="0"/>
      <w:marTop w:val="0"/>
      <w:marBottom w:val="0"/>
      <w:divBdr>
        <w:top w:val="none" w:sz="0" w:space="0" w:color="auto"/>
        <w:left w:val="none" w:sz="0" w:space="0" w:color="auto"/>
        <w:bottom w:val="none" w:sz="0" w:space="0" w:color="auto"/>
        <w:right w:val="none" w:sz="0" w:space="0" w:color="auto"/>
      </w:divBdr>
    </w:div>
    <w:div w:id="1670364">
      <w:bodyDiv w:val="1"/>
      <w:marLeft w:val="0"/>
      <w:marRight w:val="0"/>
      <w:marTop w:val="0"/>
      <w:marBottom w:val="0"/>
      <w:divBdr>
        <w:top w:val="none" w:sz="0" w:space="0" w:color="auto"/>
        <w:left w:val="none" w:sz="0" w:space="0" w:color="auto"/>
        <w:bottom w:val="none" w:sz="0" w:space="0" w:color="auto"/>
        <w:right w:val="none" w:sz="0" w:space="0" w:color="auto"/>
      </w:divBdr>
    </w:div>
    <w:div w:id="1976747">
      <w:bodyDiv w:val="1"/>
      <w:marLeft w:val="0"/>
      <w:marRight w:val="0"/>
      <w:marTop w:val="0"/>
      <w:marBottom w:val="0"/>
      <w:divBdr>
        <w:top w:val="none" w:sz="0" w:space="0" w:color="auto"/>
        <w:left w:val="none" w:sz="0" w:space="0" w:color="auto"/>
        <w:bottom w:val="none" w:sz="0" w:space="0" w:color="auto"/>
        <w:right w:val="none" w:sz="0" w:space="0" w:color="auto"/>
      </w:divBdr>
    </w:div>
    <w:div w:id="2318617">
      <w:bodyDiv w:val="1"/>
      <w:marLeft w:val="0"/>
      <w:marRight w:val="0"/>
      <w:marTop w:val="0"/>
      <w:marBottom w:val="0"/>
      <w:divBdr>
        <w:top w:val="none" w:sz="0" w:space="0" w:color="auto"/>
        <w:left w:val="none" w:sz="0" w:space="0" w:color="auto"/>
        <w:bottom w:val="none" w:sz="0" w:space="0" w:color="auto"/>
        <w:right w:val="none" w:sz="0" w:space="0" w:color="auto"/>
      </w:divBdr>
    </w:div>
    <w:div w:id="2326193">
      <w:bodyDiv w:val="1"/>
      <w:marLeft w:val="0"/>
      <w:marRight w:val="0"/>
      <w:marTop w:val="0"/>
      <w:marBottom w:val="0"/>
      <w:divBdr>
        <w:top w:val="none" w:sz="0" w:space="0" w:color="auto"/>
        <w:left w:val="none" w:sz="0" w:space="0" w:color="auto"/>
        <w:bottom w:val="none" w:sz="0" w:space="0" w:color="auto"/>
        <w:right w:val="none" w:sz="0" w:space="0" w:color="auto"/>
      </w:divBdr>
    </w:div>
    <w:div w:id="2369004">
      <w:bodyDiv w:val="1"/>
      <w:marLeft w:val="0"/>
      <w:marRight w:val="0"/>
      <w:marTop w:val="0"/>
      <w:marBottom w:val="0"/>
      <w:divBdr>
        <w:top w:val="none" w:sz="0" w:space="0" w:color="auto"/>
        <w:left w:val="none" w:sz="0" w:space="0" w:color="auto"/>
        <w:bottom w:val="none" w:sz="0" w:space="0" w:color="auto"/>
        <w:right w:val="none" w:sz="0" w:space="0" w:color="auto"/>
      </w:divBdr>
    </w:div>
    <w:div w:id="2440579">
      <w:bodyDiv w:val="1"/>
      <w:marLeft w:val="0"/>
      <w:marRight w:val="0"/>
      <w:marTop w:val="0"/>
      <w:marBottom w:val="0"/>
      <w:divBdr>
        <w:top w:val="none" w:sz="0" w:space="0" w:color="auto"/>
        <w:left w:val="none" w:sz="0" w:space="0" w:color="auto"/>
        <w:bottom w:val="none" w:sz="0" w:space="0" w:color="auto"/>
        <w:right w:val="none" w:sz="0" w:space="0" w:color="auto"/>
      </w:divBdr>
    </w:div>
    <w:div w:id="2510801">
      <w:bodyDiv w:val="1"/>
      <w:marLeft w:val="0"/>
      <w:marRight w:val="0"/>
      <w:marTop w:val="0"/>
      <w:marBottom w:val="0"/>
      <w:divBdr>
        <w:top w:val="none" w:sz="0" w:space="0" w:color="auto"/>
        <w:left w:val="none" w:sz="0" w:space="0" w:color="auto"/>
        <w:bottom w:val="none" w:sz="0" w:space="0" w:color="auto"/>
        <w:right w:val="none" w:sz="0" w:space="0" w:color="auto"/>
      </w:divBdr>
    </w:div>
    <w:div w:id="2629847">
      <w:bodyDiv w:val="1"/>
      <w:marLeft w:val="0"/>
      <w:marRight w:val="0"/>
      <w:marTop w:val="0"/>
      <w:marBottom w:val="0"/>
      <w:divBdr>
        <w:top w:val="none" w:sz="0" w:space="0" w:color="auto"/>
        <w:left w:val="none" w:sz="0" w:space="0" w:color="auto"/>
        <w:bottom w:val="none" w:sz="0" w:space="0" w:color="auto"/>
        <w:right w:val="none" w:sz="0" w:space="0" w:color="auto"/>
      </w:divBdr>
    </w:div>
    <w:div w:id="2754813">
      <w:bodyDiv w:val="1"/>
      <w:marLeft w:val="0"/>
      <w:marRight w:val="0"/>
      <w:marTop w:val="0"/>
      <w:marBottom w:val="0"/>
      <w:divBdr>
        <w:top w:val="none" w:sz="0" w:space="0" w:color="auto"/>
        <w:left w:val="none" w:sz="0" w:space="0" w:color="auto"/>
        <w:bottom w:val="none" w:sz="0" w:space="0" w:color="auto"/>
        <w:right w:val="none" w:sz="0" w:space="0" w:color="auto"/>
      </w:divBdr>
    </w:div>
    <w:div w:id="3170292">
      <w:bodyDiv w:val="1"/>
      <w:marLeft w:val="0"/>
      <w:marRight w:val="0"/>
      <w:marTop w:val="0"/>
      <w:marBottom w:val="0"/>
      <w:divBdr>
        <w:top w:val="none" w:sz="0" w:space="0" w:color="auto"/>
        <w:left w:val="none" w:sz="0" w:space="0" w:color="auto"/>
        <w:bottom w:val="none" w:sz="0" w:space="0" w:color="auto"/>
        <w:right w:val="none" w:sz="0" w:space="0" w:color="auto"/>
      </w:divBdr>
    </w:div>
    <w:div w:id="4017589">
      <w:bodyDiv w:val="1"/>
      <w:marLeft w:val="0"/>
      <w:marRight w:val="0"/>
      <w:marTop w:val="0"/>
      <w:marBottom w:val="0"/>
      <w:divBdr>
        <w:top w:val="none" w:sz="0" w:space="0" w:color="auto"/>
        <w:left w:val="none" w:sz="0" w:space="0" w:color="auto"/>
        <w:bottom w:val="none" w:sz="0" w:space="0" w:color="auto"/>
        <w:right w:val="none" w:sz="0" w:space="0" w:color="auto"/>
      </w:divBdr>
    </w:div>
    <w:div w:id="4090243">
      <w:bodyDiv w:val="1"/>
      <w:marLeft w:val="0"/>
      <w:marRight w:val="0"/>
      <w:marTop w:val="0"/>
      <w:marBottom w:val="0"/>
      <w:divBdr>
        <w:top w:val="none" w:sz="0" w:space="0" w:color="auto"/>
        <w:left w:val="none" w:sz="0" w:space="0" w:color="auto"/>
        <w:bottom w:val="none" w:sz="0" w:space="0" w:color="auto"/>
        <w:right w:val="none" w:sz="0" w:space="0" w:color="auto"/>
      </w:divBdr>
    </w:div>
    <w:div w:id="4211019">
      <w:bodyDiv w:val="1"/>
      <w:marLeft w:val="0"/>
      <w:marRight w:val="0"/>
      <w:marTop w:val="0"/>
      <w:marBottom w:val="0"/>
      <w:divBdr>
        <w:top w:val="none" w:sz="0" w:space="0" w:color="auto"/>
        <w:left w:val="none" w:sz="0" w:space="0" w:color="auto"/>
        <w:bottom w:val="none" w:sz="0" w:space="0" w:color="auto"/>
        <w:right w:val="none" w:sz="0" w:space="0" w:color="auto"/>
      </w:divBdr>
    </w:div>
    <w:div w:id="4410249">
      <w:bodyDiv w:val="1"/>
      <w:marLeft w:val="0"/>
      <w:marRight w:val="0"/>
      <w:marTop w:val="0"/>
      <w:marBottom w:val="0"/>
      <w:divBdr>
        <w:top w:val="none" w:sz="0" w:space="0" w:color="auto"/>
        <w:left w:val="none" w:sz="0" w:space="0" w:color="auto"/>
        <w:bottom w:val="none" w:sz="0" w:space="0" w:color="auto"/>
        <w:right w:val="none" w:sz="0" w:space="0" w:color="auto"/>
      </w:divBdr>
    </w:div>
    <w:div w:id="4522974">
      <w:bodyDiv w:val="1"/>
      <w:marLeft w:val="0"/>
      <w:marRight w:val="0"/>
      <w:marTop w:val="0"/>
      <w:marBottom w:val="0"/>
      <w:divBdr>
        <w:top w:val="none" w:sz="0" w:space="0" w:color="auto"/>
        <w:left w:val="none" w:sz="0" w:space="0" w:color="auto"/>
        <w:bottom w:val="none" w:sz="0" w:space="0" w:color="auto"/>
        <w:right w:val="none" w:sz="0" w:space="0" w:color="auto"/>
      </w:divBdr>
    </w:div>
    <w:div w:id="4749842">
      <w:bodyDiv w:val="1"/>
      <w:marLeft w:val="0"/>
      <w:marRight w:val="0"/>
      <w:marTop w:val="0"/>
      <w:marBottom w:val="0"/>
      <w:divBdr>
        <w:top w:val="none" w:sz="0" w:space="0" w:color="auto"/>
        <w:left w:val="none" w:sz="0" w:space="0" w:color="auto"/>
        <w:bottom w:val="none" w:sz="0" w:space="0" w:color="auto"/>
        <w:right w:val="none" w:sz="0" w:space="0" w:color="auto"/>
      </w:divBdr>
    </w:div>
    <w:div w:id="5060767">
      <w:bodyDiv w:val="1"/>
      <w:marLeft w:val="0"/>
      <w:marRight w:val="0"/>
      <w:marTop w:val="0"/>
      <w:marBottom w:val="0"/>
      <w:divBdr>
        <w:top w:val="none" w:sz="0" w:space="0" w:color="auto"/>
        <w:left w:val="none" w:sz="0" w:space="0" w:color="auto"/>
        <w:bottom w:val="none" w:sz="0" w:space="0" w:color="auto"/>
        <w:right w:val="none" w:sz="0" w:space="0" w:color="auto"/>
      </w:divBdr>
    </w:div>
    <w:div w:id="5208305">
      <w:bodyDiv w:val="1"/>
      <w:marLeft w:val="0"/>
      <w:marRight w:val="0"/>
      <w:marTop w:val="0"/>
      <w:marBottom w:val="0"/>
      <w:divBdr>
        <w:top w:val="none" w:sz="0" w:space="0" w:color="auto"/>
        <w:left w:val="none" w:sz="0" w:space="0" w:color="auto"/>
        <w:bottom w:val="none" w:sz="0" w:space="0" w:color="auto"/>
        <w:right w:val="none" w:sz="0" w:space="0" w:color="auto"/>
      </w:divBdr>
    </w:div>
    <w:div w:id="5328790">
      <w:bodyDiv w:val="1"/>
      <w:marLeft w:val="0"/>
      <w:marRight w:val="0"/>
      <w:marTop w:val="0"/>
      <w:marBottom w:val="0"/>
      <w:divBdr>
        <w:top w:val="none" w:sz="0" w:space="0" w:color="auto"/>
        <w:left w:val="none" w:sz="0" w:space="0" w:color="auto"/>
        <w:bottom w:val="none" w:sz="0" w:space="0" w:color="auto"/>
        <w:right w:val="none" w:sz="0" w:space="0" w:color="auto"/>
      </w:divBdr>
    </w:div>
    <w:div w:id="6099407">
      <w:bodyDiv w:val="1"/>
      <w:marLeft w:val="0"/>
      <w:marRight w:val="0"/>
      <w:marTop w:val="0"/>
      <w:marBottom w:val="0"/>
      <w:divBdr>
        <w:top w:val="none" w:sz="0" w:space="0" w:color="auto"/>
        <w:left w:val="none" w:sz="0" w:space="0" w:color="auto"/>
        <w:bottom w:val="none" w:sz="0" w:space="0" w:color="auto"/>
        <w:right w:val="none" w:sz="0" w:space="0" w:color="auto"/>
      </w:divBdr>
    </w:div>
    <w:div w:id="6324062">
      <w:bodyDiv w:val="1"/>
      <w:marLeft w:val="0"/>
      <w:marRight w:val="0"/>
      <w:marTop w:val="0"/>
      <w:marBottom w:val="0"/>
      <w:divBdr>
        <w:top w:val="none" w:sz="0" w:space="0" w:color="auto"/>
        <w:left w:val="none" w:sz="0" w:space="0" w:color="auto"/>
        <w:bottom w:val="none" w:sz="0" w:space="0" w:color="auto"/>
        <w:right w:val="none" w:sz="0" w:space="0" w:color="auto"/>
      </w:divBdr>
    </w:div>
    <w:div w:id="6492352">
      <w:bodyDiv w:val="1"/>
      <w:marLeft w:val="0"/>
      <w:marRight w:val="0"/>
      <w:marTop w:val="0"/>
      <w:marBottom w:val="0"/>
      <w:divBdr>
        <w:top w:val="none" w:sz="0" w:space="0" w:color="auto"/>
        <w:left w:val="none" w:sz="0" w:space="0" w:color="auto"/>
        <w:bottom w:val="none" w:sz="0" w:space="0" w:color="auto"/>
        <w:right w:val="none" w:sz="0" w:space="0" w:color="auto"/>
      </w:divBdr>
    </w:div>
    <w:div w:id="6564760">
      <w:bodyDiv w:val="1"/>
      <w:marLeft w:val="0"/>
      <w:marRight w:val="0"/>
      <w:marTop w:val="0"/>
      <w:marBottom w:val="0"/>
      <w:divBdr>
        <w:top w:val="none" w:sz="0" w:space="0" w:color="auto"/>
        <w:left w:val="none" w:sz="0" w:space="0" w:color="auto"/>
        <w:bottom w:val="none" w:sz="0" w:space="0" w:color="auto"/>
        <w:right w:val="none" w:sz="0" w:space="0" w:color="auto"/>
      </w:divBdr>
    </w:div>
    <w:div w:id="7222336">
      <w:bodyDiv w:val="1"/>
      <w:marLeft w:val="0"/>
      <w:marRight w:val="0"/>
      <w:marTop w:val="0"/>
      <w:marBottom w:val="0"/>
      <w:divBdr>
        <w:top w:val="none" w:sz="0" w:space="0" w:color="auto"/>
        <w:left w:val="none" w:sz="0" w:space="0" w:color="auto"/>
        <w:bottom w:val="none" w:sz="0" w:space="0" w:color="auto"/>
        <w:right w:val="none" w:sz="0" w:space="0" w:color="auto"/>
      </w:divBdr>
    </w:div>
    <w:div w:id="7413528">
      <w:bodyDiv w:val="1"/>
      <w:marLeft w:val="0"/>
      <w:marRight w:val="0"/>
      <w:marTop w:val="0"/>
      <w:marBottom w:val="0"/>
      <w:divBdr>
        <w:top w:val="none" w:sz="0" w:space="0" w:color="auto"/>
        <w:left w:val="none" w:sz="0" w:space="0" w:color="auto"/>
        <w:bottom w:val="none" w:sz="0" w:space="0" w:color="auto"/>
        <w:right w:val="none" w:sz="0" w:space="0" w:color="auto"/>
      </w:divBdr>
    </w:div>
    <w:div w:id="8600871">
      <w:bodyDiv w:val="1"/>
      <w:marLeft w:val="0"/>
      <w:marRight w:val="0"/>
      <w:marTop w:val="0"/>
      <w:marBottom w:val="0"/>
      <w:divBdr>
        <w:top w:val="none" w:sz="0" w:space="0" w:color="auto"/>
        <w:left w:val="none" w:sz="0" w:space="0" w:color="auto"/>
        <w:bottom w:val="none" w:sz="0" w:space="0" w:color="auto"/>
        <w:right w:val="none" w:sz="0" w:space="0" w:color="auto"/>
      </w:divBdr>
    </w:div>
    <w:div w:id="8604581">
      <w:bodyDiv w:val="1"/>
      <w:marLeft w:val="0"/>
      <w:marRight w:val="0"/>
      <w:marTop w:val="0"/>
      <w:marBottom w:val="0"/>
      <w:divBdr>
        <w:top w:val="none" w:sz="0" w:space="0" w:color="auto"/>
        <w:left w:val="none" w:sz="0" w:space="0" w:color="auto"/>
        <w:bottom w:val="none" w:sz="0" w:space="0" w:color="auto"/>
        <w:right w:val="none" w:sz="0" w:space="0" w:color="auto"/>
      </w:divBdr>
    </w:div>
    <w:div w:id="8678735">
      <w:bodyDiv w:val="1"/>
      <w:marLeft w:val="0"/>
      <w:marRight w:val="0"/>
      <w:marTop w:val="0"/>
      <w:marBottom w:val="0"/>
      <w:divBdr>
        <w:top w:val="none" w:sz="0" w:space="0" w:color="auto"/>
        <w:left w:val="none" w:sz="0" w:space="0" w:color="auto"/>
        <w:bottom w:val="none" w:sz="0" w:space="0" w:color="auto"/>
        <w:right w:val="none" w:sz="0" w:space="0" w:color="auto"/>
      </w:divBdr>
    </w:div>
    <w:div w:id="8680600">
      <w:bodyDiv w:val="1"/>
      <w:marLeft w:val="0"/>
      <w:marRight w:val="0"/>
      <w:marTop w:val="0"/>
      <w:marBottom w:val="0"/>
      <w:divBdr>
        <w:top w:val="none" w:sz="0" w:space="0" w:color="auto"/>
        <w:left w:val="none" w:sz="0" w:space="0" w:color="auto"/>
        <w:bottom w:val="none" w:sz="0" w:space="0" w:color="auto"/>
        <w:right w:val="none" w:sz="0" w:space="0" w:color="auto"/>
      </w:divBdr>
    </w:div>
    <w:div w:id="8794120">
      <w:bodyDiv w:val="1"/>
      <w:marLeft w:val="0"/>
      <w:marRight w:val="0"/>
      <w:marTop w:val="0"/>
      <w:marBottom w:val="0"/>
      <w:divBdr>
        <w:top w:val="none" w:sz="0" w:space="0" w:color="auto"/>
        <w:left w:val="none" w:sz="0" w:space="0" w:color="auto"/>
        <w:bottom w:val="none" w:sz="0" w:space="0" w:color="auto"/>
        <w:right w:val="none" w:sz="0" w:space="0" w:color="auto"/>
      </w:divBdr>
    </w:div>
    <w:div w:id="8913194">
      <w:bodyDiv w:val="1"/>
      <w:marLeft w:val="0"/>
      <w:marRight w:val="0"/>
      <w:marTop w:val="0"/>
      <w:marBottom w:val="0"/>
      <w:divBdr>
        <w:top w:val="none" w:sz="0" w:space="0" w:color="auto"/>
        <w:left w:val="none" w:sz="0" w:space="0" w:color="auto"/>
        <w:bottom w:val="none" w:sz="0" w:space="0" w:color="auto"/>
        <w:right w:val="none" w:sz="0" w:space="0" w:color="auto"/>
      </w:divBdr>
    </w:div>
    <w:div w:id="9378290">
      <w:bodyDiv w:val="1"/>
      <w:marLeft w:val="0"/>
      <w:marRight w:val="0"/>
      <w:marTop w:val="0"/>
      <w:marBottom w:val="0"/>
      <w:divBdr>
        <w:top w:val="none" w:sz="0" w:space="0" w:color="auto"/>
        <w:left w:val="none" w:sz="0" w:space="0" w:color="auto"/>
        <w:bottom w:val="none" w:sz="0" w:space="0" w:color="auto"/>
        <w:right w:val="none" w:sz="0" w:space="0" w:color="auto"/>
      </w:divBdr>
    </w:div>
    <w:div w:id="10305647">
      <w:bodyDiv w:val="1"/>
      <w:marLeft w:val="0"/>
      <w:marRight w:val="0"/>
      <w:marTop w:val="0"/>
      <w:marBottom w:val="0"/>
      <w:divBdr>
        <w:top w:val="none" w:sz="0" w:space="0" w:color="auto"/>
        <w:left w:val="none" w:sz="0" w:space="0" w:color="auto"/>
        <w:bottom w:val="none" w:sz="0" w:space="0" w:color="auto"/>
        <w:right w:val="none" w:sz="0" w:space="0" w:color="auto"/>
      </w:divBdr>
    </w:div>
    <w:div w:id="10306249">
      <w:bodyDiv w:val="1"/>
      <w:marLeft w:val="0"/>
      <w:marRight w:val="0"/>
      <w:marTop w:val="0"/>
      <w:marBottom w:val="0"/>
      <w:divBdr>
        <w:top w:val="none" w:sz="0" w:space="0" w:color="auto"/>
        <w:left w:val="none" w:sz="0" w:space="0" w:color="auto"/>
        <w:bottom w:val="none" w:sz="0" w:space="0" w:color="auto"/>
        <w:right w:val="none" w:sz="0" w:space="0" w:color="auto"/>
      </w:divBdr>
    </w:div>
    <w:div w:id="10496322">
      <w:bodyDiv w:val="1"/>
      <w:marLeft w:val="0"/>
      <w:marRight w:val="0"/>
      <w:marTop w:val="0"/>
      <w:marBottom w:val="0"/>
      <w:divBdr>
        <w:top w:val="none" w:sz="0" w:space="0" w:color="auto"/>
        <w:left w:val="none" w:sz="0" w:space="0" w:color="auto"/>
        <w:bottom w:val="none" w:sz="0" w:space="0" w:color="auto"/>
        <w:right w:val="none" w:sz="0" w:space="0" w:color="auto"/>
      </w:divBdr>
    </w:div>
    <w:div w:id="10618808">
      <w:bodyDiv w:val="1"/>
      <w:marLeft w:val="0"/>
      <w:marRight w:val="0"/>
      <w:marTop w:val="0"/>
      <w:marBottom w:val="0"/>
      <w:divBdr>
        <w:top w:val="none" w:sz="0" w:space="0" w:color="auto"/>
        <w:left w:val="none" w:sz="0" w:space="0" w:color="auto"/>
        <w:bottom w:val="none" w:sz="0" w:space="0" w:color="auto"/>
        <w:right w:val="none" w:sz="0" w:space="0" w:color="auto"/>
      </w:divBdr>
    </w:div>
    <w:div w:id="10688642">
      <w:bodyDiv w:val="1"/>
      <w:marLeft w:val="0"/>
      <w:marRight w:val="0"/>
      <w:marTop w:val="0"/>
      <w:marBottom w:val="0"/>
      <w:divBdr>
        <w:top w:val="none" w:sz="0" w:space="0" w:color="auto"/>
        <w:left w:val="none" w:sz="0" w:space="0" w:color="auto"/>
        <w:bottom w:val="none" w:sz="0" w:space="0" w:color="auto"/>
        <w:right w:val="none" w:sz="0" w:space="0" w:color="auto"/>
      </w:divBdr>
    </w:div>
    <w:div w:id="11146708">
      <w:bodyDiv w:val="1"/>
      <w:marLeft w:val="0"/>
      <w:marRight w:val="0"/>
      <w:marTop w:val="0"/>
      <w:marBottom w:val="0"/>
      <w:divBdr>
        <w:top w:val="none" w:sz="0" w:space="0" w:color="auto"/>
        <w:left w:val="none" w:sz="0" w:space="0" w:color="auto"/>
        <w:bottom w:val="none" w:sz="0" w:space="0" w:color="auto"/>
        <w:right w:val="none" w:sz="0" w:space="0" w:color="auto"/>
      </w:divBdr>
    </w:div>
    <w:div w:id="11299966">
      <w:bodyDiv w:val="1"/>
      <w:marLeft w:val="0"/>
      <w:marRight w:val="0"/>
      <w:marTop w:val="0"/>
      <w:marBottom w:val="0"/>
      <w:divBdr>
        <w:top w:val="none" w:sz="0" w:space="0" w:color="auto"/>
        <w:left w:val="none" w:sz="0" w:space="0" w:color="auto"/>
        <w:bottom w:val="none" w:sz="0" w:space="0" w:color="auto"/>
        <w:right w:val="none" w:sz="0" w:space="0" w:color="auto"/>
      </w:divBdr>
    </w:div>
    <w:div w:id="11810455">
      <w:bodyDiv w:val="1"/>
      <w:marLeft w:val="0"/>
      <w:marRight w:val="0"/>
      <w:marTop w:val="0"/>
      <w:marBottom w:val="0"/>
      <w:divBdr>
        <w:top w:val="none" w:sz="0" w:space="0" w:color="auto"/>
        <w:left w:val="none" w:sz="0" w:space="0" w:color="auto"/>
        <w:bottom w:val="none" w:sz="0" w:space="0" w:color="auto"/>
        <w:right w:val="none" w:sz="0" w:space="0" w:color="auto"/>
      </w:divBdr>
    </w:div>
    <w:div w:id="11882822">
      <w:bodyDiv w:val="1"/>
      <w:marLeft w:val="0"/>
      <w:marRight w:val="0"/>
      <w:marTop w:val="0"/>
      <w:marBottom w:val="0"/>
      <w:divBdr>
        <w:top w:val="none" w:sz="0" w:space="0" w:color="auto"/>
        <w:left w:val="none" w:sz="0" w:space="0" w:color="auto"/>
        <w:bottom w:val="none" w:sz="0" w:space="0" w:color="auto"/>
        <w:right w:val="none" w:sz="0" w:space="0" w:color="auto"/>
      </w:divBdr>
    </w:div>
    <w:div w:id="12733257">
      <w:bodyDiv w:val="1"/>
      <w:marLeft w:val="0"/>
      <w:marRight w:val="0"/>
      <w:marTop w:val="0"/>
      <w:marBottom w:val="0"/>
      <w:divBdr>
        <w:top w:val="none" w:sz="0" w:space="0" w:color="auto"/>
        <w:left w:val="none" w:sz="0" w:space="0" w:color="auto"/>
        <w:bottom w:val="none" w:sz="0" w:space="0" w:color="auto"/>
        <w:right w:val="none" w:sz="0" w:space="0" w:color="auto"/>
      </w:divBdr>
    </w:div>
    <w:div w:id="12919018">
      <w:bodyDiv w:val="1"/>
      <w:marLeft w:val="0"/>
      <w:marRight w:val="0"/>
      <w:marTop w:val="0"/>
      <w:marBottom w:val="0"/>
      <w:divBdr>
        <w:top w:val="none" w:sz="0" w:space="0" w:color="auto"/>
        <w:left w:val="none" w:sz="0" w:space="0" w:color="auto"/>
        <w:bottom w:val="none" w:sz="0" w:space="0" w:color="auto"/>
        <w:right w:val="none" w:sz="0" w:space="0" w:color="auto"/>
      </w:divBdr>
    </w:div>
    <w:div w:id="12922643">
      <w:bodyDiv w:val="1"/>
      <w:marLeft w:val="0"/>
      <w:marRight w:val="0"/>
      <w:marTop w:val="0"/>
      <w:marBottom w:val="0"/>
      <w:divBdr>
        <w:top w:val="none" w:sz="0" w:space="0" w:color="auto"/>
        <w:left w:val="none" w:sz="0" w:space="0" w:color="auto"/>
        <w:bottom w:val="none" w:sz="0" w:space="0" w:color="auto"/>
        <w:right w:val="none" w:sz="0" w:space="0" w:color="auto"/>
      </w:divBdr>
    </w:div>
    <w:div w:id="12923516">
      <w:bodyDiv w:val="1"/>
      <w:marLeft w:val="0"/>
      <w:marRight w:val="0"/>
      <w:marTop w:val="0"/>
      <w:marBottom w:val="0"/>
      <w:divBdr>
        <w:top w:val="none" w:sz="0" w:space="0" w:color="auto"/>
        <w:left w:val="none" w:sz="0" w:space="0" w:color="auto"/>
        <w:bottom w:val="none" w:sz="0" w:space="0" w:color="auto"/>
        <w:right w:val="none" w:sz="0" w:space="0" w:color="auto"/>
      </w:divBdr>
    </w:div>
    <w:div w:id="13306964">
      <w:bodyDiv w:val="1"/>
      <w:marLeft w:val="0"/>
      <w:marRight w:val="0"/>
      <w:marTop w:val="0"/>
      <w:marBottom w:val="0"/>
      <w:divBdr>
        <w:top w:val="none" w:sz="0" w:space="0" w:color="auto"/>
        <w:left w:val="none" w:sz="0" w:space="0" w:color="auto"/>
        <w:bottom w:val="none" w:sz="0" w:space="0" w:color="auto"/>
        <w:right w:val="none" w:sz="0" w:space="0" w:color="auto"/>
      </w:divBdr>
    </w:div>
    <w:div w:id="13922455">
      <w:bodyDiv w:val="1"/>
      <w:marLeft w:val="0"/>
      <w:marRight w:val="0"/>
      <w:marTop w:val="0"/>
      <w:marBottom w:val="0"/>
      <w:divBdr>
        <w:top w:val="none" w:sz="0" w:space="0" w:color="auto"/>
        <w:left w:val="none" w:sz="0" w:space="0" w:color="auto"/>
        <w:bottom w:val="none" w:sz="0" w:space="0" w:color="auto"/>
        <w:right w:val="none" w:sz="0" w:space="0" w:color="auto"/>
      </w:divBdr>
    </w:div>
    <w:div w:id="14427301">
      <w:bodyDiv w:val="1"/>
      <w:marLeft w:val="0"/>
      <w:marRight w:val="0"/>
      <w:marTop w:val="0"/>
      <w:marBottom w:val="0"/>
      <w:divBdr>
        <w:top w:val="none" w:sz="0" w:space="0" w:color="auto"/>
        <w:left w:val="none" w:sz="0" w:space="0" w:color="auto"/>
        <w:bottom w:val="none" w:sz="0" w:space="0" w:color="auto"/>
        <w:right w:val="none" w:sz="0" w:space="0" w:color="auto"/>
      </w:divBdr>
    </w:div>
    <w:div w:id="14616596">
      <w:bodyDiv w:val="1"/>
      <w:marLeft w:val="0"/>
      <w:marRight w:val="0"/>
      <w:marTop w:val="0"/>
      <w:marBottom w:val="0"/>
      <w:divBdr>
        <w:top w:val="none" w:sz="0" w:space="0" w:color="auto"/>
        <w:left w:val="none" w:sz="0" w:space="0" w:color="auto"/>
        <w:bottom w:val="none" w:sz="0" w:space="0" w:color="auto"/>
        <w:right w:val="none" w:sz="0" w:space="0" w:color="auto"/>
      </w:divBdr>
    </w:div>
    <w:div w:id="15078121">
      <w:bodyDiv w:val="1"/>
      <w:marLeft w:val="0"/>
      <w:marRight w:val="0"/>
      <w:marTop w:val="0"/>
      <w:marBottom w:val="0"/>
      <w:divBdr>
        <w:top w:val="none" w:sz="0" w:space="0" w:color="auto"/>
        <w:left w:val="none" w:sz="0" w:space="0" w:color="auto"/>
        <w:bottom w:val="none" w:sz="0" w:space="0" w:color="auto"/>
        <w:right w:val="none" w:sz="0" w:space="0" w:color="auto"/>
      </w:divBdr>
    </w:div>
    <w:div w:id="15229797">
      <w:bodyDiv w:val="1"/>
      <w:marLeft w:val="0"/>
      <w:marRight w:val="0"/>
      <w:marTop w:val="0"/>
      <w:marBottom w:val="0"/>
      <w:divBdr>
        <w:top w:val="none" w:sz="0" w:space="0" w:color="auto"/>
        <w:left w:val="none" w:sz="0" w:space="0" w:color="auto"/>
        <w:bottom w:val="none" w:sz="0" w:space="0" w:color="auto"/>
        <w:right w:val="none" w:sz="0" w:space="0" w:color="auto"/>
      </w:divBdr>
    </w:div>
    <w:div w:id="15353405">
      <w:bodyDiv w:val="1"/>
      <w:marLeft w:val="0"/>
      <w:marRight w:val="0"/>
      <w:marTop w:val="0"/>
      <w:marBottom w:val="0"/>
      <w:divBdr>
        <w:top w:val="none" w:sz="0" w:space="0" w:color="auto"/>
        <w:left w:val="none" w:sz="0" w:space="0" w:color="auto"/>
        <w:bottom w:val="none" w:sz="0" w:space="0" w:color="auto"/>
        <w:right w:val="none" w:sz="0" w:space="0" w:color="auto"/>
      </w:divBdr>
    </w:div>
    <w:div w:id="15431477">
      <w:bodyDiv w:val="1"/>
      <w:marLeft w:val="0"/>
      <w:marRight w:val="0"/>
      <w:marTop w:val="0"/>
      <w:marBottom w:val="0"/>
      <w:divBdr>
        <w:top w:val="none" w:sz="0" w:space="0" w:color="auto"/>
        <w:left w:val="none" w:sz="0" w:space="0" w:color="auto"/>
        <w:bottom w:val="none" w:sz="0" w:space="0" w:color="auto"/>
        <w:right w:val="none" w:sz="0" w:space="0" w:color="auto"/>
      </w:divBdr>
    </w:div>
    <w:div w:id="15620747">
      <w:bodyDiv w:val="1"/>
      <w:marLeft w:val="0"/>
      <w:marRight w:val="0"/>
      <w:marTop w:val="0"/>
      <w:marBottom w:val="0"/>
      <w:divBdr>
        <w:top w:val="none" w:sz="0" w:space="0" w:color="auto"/>
        <w:left w:val="none" w:sz="0" w:space="0" w:color="auto"/>
        <w:bottom w:val="none" w:sz="0" w:space="0" w:color="auto"/>
        <w:right w:val="none" w:sz="0" w:space="0" w:color="auto"/>
      </w:divBdr>
    </w:div>
    <w:div w:id="15622721">
      <w:bodyDiv w:val="1"/>
      <w:marLeft w:val="0"/>
      <w:marRight w:val="0"/>
      <w:marTop w:val="0"/>
      <w:marBottom w:val="0"/>
      <w:divBdr>
        <w:top w:val="none" w:sz="0" w:space="0" w:color="auto"/>
        <w:left w:val="none" w:sz="0" w:space="0" w:color="auto"/>
        <w:bottom w:val="none" w:sz="0" w:space="0" w:color="auto"/>
        <w:right w:val="none" w:sz="0" w:space="0" w:color="auto"/>
      </w:divBdr>
    </w:div>
    <w:div w:id="16589418">
      <w:bodyDiv w:val="1"/>
      <w:marLeft w:val="0"/>
      <w:marRight w:val="0"/>
      <w:marTop w:val="0"/>
      <w:marBottom w:val="0"/>
      <w:divBdr>
        <w:top w:val="none" w:sz="0" w:space="0" w:color="auto"/>
        <w:left w:val="none" w:sz="0" w:space="0" w:color="auto"/>
        <w:bottom w:val="none" w:sz="0" w:space="0" w:color="auto"/>
        <w:right w:val="none" w:sz="0" w:space="0" w:color="auto"/>
      </w:divBdr>
    </w:div>
    <w:div w:id="17389806">
      <w:bodyDiv w:val="1"/>
      <w:marLeft w:val="0"/>
      <w:marRight w:val="0"/>
      <w:marTop w:val="0"/>
      <w:marBottom w:val="0"/>
      <w:divBdr>
        <w:top w:val="none" w:sz="0" w:space="0" w:color="auto"/>
        <w:left w:val="none" w:sz="0" w:space="0" w:color="auto"/>
        <w:bottom w:val="none" w:sz="0" w:space="0" w:color="auto"/>
        <w:right w:val="none" w:sz="0" w:space="0" w:color="auto"/>
      </w:divBdr>
    </w:div>
    <w:div w:id="18052227">
      <w:bodyDiv w:val="1"/>
      <w:marLeft w:val="0"/>
      <w:marRight w:val="0"/>
      <w:marTop w:val="0"/>
      <w:marBottom w:val="0"/>
      <w:divBdr>
        <w:top w:val="none" w:sz="0" w:space="0" w:color="auto"/>
        <w:left w:val="none" w:sz="0" w:space="0" w:color="auto"/>
        <w:bottom w:val="none" w:sz="0" w:space="0" w:color="auto"/>
        <w:right w:val="none" w:sz="0" w:space="0" w:color="auto"/>
      </w:divBdr>
    </w:div>
    <w:div w:id="19087369">
      <w:bodyDiv w:val="1"/>
      <w:marLeft w:val="0"/>
      <w:marRight w:val="0"/>
      <w:marTop w:val="0"/>
      <w:marBottom w:val="0"/>
      <w:divBdr>
        <w:top w:val="none" w:sz="0" w:space="0" w:color="auto"/>
        <w:left w:val="none" w:sz="0" w:space="0" w:color="auto"/>
        <w:bottom w:val="none" w:sz="0" w:space="0" w:color="auto"/>
        <w:right w:val="none" w:sz="0" w:space="0" w:color="auto"/>
      </w:divBdr>
    </w:div>
    <w:div w:id="19740990">
      <w:bodyDiv w:val="1"/>
      <w:marLeft w:val="0"/>
      <w:marRight w:val="0"/>
      <w:marTop w:val="0"/>
      <w:marBottom w:val="0"/>
      <w:divBdr>
        <w:top w:val="none" w:sz="0" w:space="0" w:color="auto"/>
        <w:left w:val="none" w:sz="0" w:space="0" w:color="auto"/>
        <w:bottom w:val="none" w:sz="0" w:space="0" w:color="auto"/>
        <w:right w:val="none" w:sz="0" w:space="0" w:color="auto"/>
      </w:divBdr>
    </w:div>
    <w:div w:id="19859048">
      <w:bodyDiv w:val="1"/>
      <w:marLeft w:val="0"/>
      <w:marRight w:val="0"/>
      <w:marTop w:val="0"/>
      <w:marBottom w:val="0"/>
      <w:divBdr>
        <w:top w:val="none" w:sz="0" w:space="0" w:color="auto"/>
        <w:left w:val="none" w:sz="0" w:space="0" w:color="auto"/>
        <w:bottom w:val="none" w:sz="0" w:space="0" w:color="auto"/>
        <w:right w:val="none" w:sz="0" w:space="0" w:color="auto"/>
      </w:divBdr>
    </w:div>
    <w:div w:id="20328100">
      <w:bodyDiv w:val="1"/>
      <w:marLeft w:val="0"/>
      <w:marRight w:val="0"/>
      <w:marTop w:val="0"/>
      <w:marBottom w:val="0"/>
      <w:divBdr>
        <w:top w:val="none" w:sz="0" w:space="0" w:color="auto"/>
        <w:left w:val="none" w:sz="0" w:space="0" w:color="auto"/>
        <w:bottom w:val="none" w:sz="0" w:space="0" w:color="auto"/>
        <w:right w:val="none" w:sz="0" w:space="0" w:color="auto"/>
      </w:divBdr>
    </w:div>
    <w:div w:id="20934030">
      <w:bodyDiv w:val="1"/>
      <w:marLeft w:val="0"/>
      <w:marRight w:val="0"/>
      <w:marTop w:val="0"/>
      <w:marBottom w:val="0"/>
      <w:divBdr>
        <w:top w:val="none" w:sz="0" w:space="0" w:color="auto"/>
        <w:left w:val="none" w:sz="0" w:space="0" w:color="auto"/>
        <w:bottom w:val="none" w:sz="0" w:space="0" w:color="auto"/>
        <w:right w:val="none" w:sz="0" w:space="0" w:color="auto"/>
      </w:divBdr>
    </w:div>
    <w:div w:id="20980264">
      <w:bodyDiv w:val="1"/>
      <w:marLeft w:val="0"/>
      <w:marRight w:val="0"/>
      <w:marTop w:val="0"/>
      <w:marBottom w:val="0"/>
      <w:divBdr>
        <w:top w:val="none" w:sz="0" w:space="0" w:color="auto"/>
        <w:left w:val="none" w:sz="0" w:space="0" w:color="auto"/>
        <w:bottom w:val="none" w:sz="0" w:space="0" w:color="auto"/>
        <w:right w:val="none" w:sz="0" w:space="0" w:color="auto"/>
      </w:divBdr>
    </w:div>
    <w:div w:id="21127704">
      <w:bodyDiv w:val="1"/>
      <w:marLeft w:val="0"/>
      <w:marRight w:val="0"/>
      <w:marTop w:val="0"/>
      <w:marBottom w:val="0"/>
      <w:divBdr>
        <w:top w:val="none" w:sz="0" w:space="0" w:color="auto"/>
        <w:left w:val="none" w:sz="0" w:space="0" w:color="auto"/>
        <w:bottom w:val="none" w:sz="0" w:space="0" w:color="auto"/>
        <w:right w:val="none" w:sz="0" w:space="0" w:color="auto"/>
      </w:divBdr>
    </w:div>
    <w:div w:id="21711885">
      <w:bodyDiv w:val="1"/>
      <w:marLeft w:val="0"/>
      <w:marRight w:val="0"/>
      <w:marTop w:val="0"/>
      <w:marBottom w:val="0"/>
      <w:divBdr>
        <w:top w:val="none" w:sz="0" w:space="0" w:color="auto"/>
        <w:left w:val="none" w:sz="0" w:space="0" w:color="auto"/>
        <w:bottom w:val="none" w:sz="0" w:space="0" w:color="auto"/>
        <w:right w:val="none" w:sz="0" w:space="0" w:color="auto"/>
      </w:divBdr>
    </w:div>
    <w:div w:id="21980924">
      <w:bodyDiv w:val="1"/>
      <w:marLeft w:val="0"/>
      <w:marRight w:val="0"/>
      <w:marTop w:val="0"/>
      <w:marBottom w:val="0"/>
      <w:divBdr>
        <w:top w:val="none" w:sz="0" w:space="0" w:color="auto"/>
        <w:left w:val="none" w:sz="0" w:space="0" w:color="auto"/>
        <w:bottom w:val="none" w:sz="0" w:space="0" w:color="auto"/>
        <w:right w:val="none" w:sz="0" w:space="0" w:color="auto"/>
      </w:divBdr>
    </w:div>
    <w:div w:id="22440601">
      <w:bodyDiv w:val="1"/>
      <w:marLeft w:val="0"/>
      <w:marRight w:val="0"/>
      <w:marTop w:val="0"/>
      <w:marBottom w:val="0"/>
      <w:divBdr>
        <w:top w:val="none" w:sz="0" w:space="0" w:color="auto"/>
        <w:left w:val="none" w:sz="0" w:space="0" w:color="auto"/>
        <w:bottom w:val="none" w:sz="0" w:space="0" w:color="auto"/>
        <w:right w:val="none" w:sz="0" w:space="0" w:color="auto"/>
      </w:divBdr>
    </w:div>
    <w:div w:id="23136220">
      <w:bodyDiv w:val="1"/>
      <w:marLeft w:val="0"/>
      <w:marRight w:val="0"/>
      <w:marTop w:val="0"/>
      <w:marBottom w:val="0"/>
      <w:divBdr>
        <w:top w:val="none" w:sz="0" w:space="0" w:color="auto"/>
        <w:left w:val="none" w:sz="0" w:space="0" w:color="auto"/>
        <w:bottom w:val="none" w:sz="0" w:space="0" w:color="auto"/>
        <w:right w:val="none" w:sz="0" w:space="0" w:color="auto"/>
      </w:divBdr>
    </w:div>
    <w:div w:id="23139523">
      <w:bodyDiv w:val="1"/>
      <w:marLeft w:val="0"/>
      <w:marRight w:val="0"/>
      <w:marTop w:val="0"/>
      <w:marBottom w:val="0"/>
      <w:divBdr>
        <w:top w:val="none" w:sz="0" w:space="0" w:color="auto"/>
        <w:left w:val="none" w:sz="0" w:space="0" w:color="auto"/>
        <w:bottom w:val="none" w:sz="0" w:space="0" w:color="auto"/>
        <w:right w:val="none" w:sz="0" w:space="0" w:color="auto"/>
      </w:divBdr>
    </w:div>
    <w:div w:id="24135239">
      <w:bodyDiv w:val="1"/>
      <w:marLeft w:val="0"/>
      <w:marRight w:val="0"/>
      <w:marTop w:val="0"/>
      <w:marBottom w:val="0"/>
      <w:divBdr>
        <w:top w:val="none" w:sz="0" w:space="0" w:color="auto"/>
        <w:left w:val="none" w:sz="0" w:space="0" w:color="auto"/>
        <w:bottom w:val="none" w:sz="0" w:space="0" w:color="auto"/>
        <w:right w:val="none" w:sz="0" w:space="0" w:color="auto"/>
      </w:divBdr>
    </w:div>
    <w:div w:id="24139620">
      <w:bodyDiv w:val="1"/>
      <w:marLeft w:val="0"/>
      <w:marRight w:val="0"/>
      <w:marTop w:val="0"/>
      <w:marBottom w:val="0"/>
      <w:divBdr>
        <w:top w:val="none" w:sz="0" w:space="0" w:color="auto"/>
        <w:left w:val="none" w:sz="0" w:space="0" w:color="auto"/>
        <w:bottom w:val="none" w:sz="0" w:space="0" w:color="auto"/>
        <w:right w:val="none" w:sz="0" w:space="0" w:color="auto"/>
      </w:divBdr>
    </w:div>
    <w:div w:id="25254873">
      <w:bodyDiv w:val="1"/>
      <w:marLeft w:val="0"/>
      <w:marRight w:val="0"/>
      <w:marTop w:val="0"/>
      <w:marBottom w:val="0"/>
      <w:divBdr>
        <w:top w:val="none" w:sz="0" w:space="0" w:color="auto"/>
        <w:left w:val="none" w:sz="0" w:space="0" w:color="auto"/>
        <w:bottom w:val="none" w:sz="0" w:space="0" w:color="auto"/>
        <w:right w:val="none" w:sz="0" w:space="0" w:color="auto"/>
      </w:divBdr>
    </w:div>
    <w:div w:id="25449624">
      <w:bodyDiv w:val="1"/>
      <w:marLeft w:val="0"/>
      <w:marRight w:val="0"/>
      <w:marTop w:val="0"/>
      <w:marBottom w:val="0"/>
      <w:divBdr>
        <w:top w:val="none" w:sz="0" w:space="0" w:color="auto"/>
        <w:left w:val="none" w:sz="0" w:space="0" w:color="auto"/>
        <w:bottom w:val="none" w:sz="0" w:space="0" w:color="auto"/>
        <w:right w:val="none" w:sz="0" w:space="0" w:color="auto"/>
      </w:divBdr>
    </w:div>
    <w:div w:id="25952735">
      <w:bodyDiv w:val="1"/>
      <w:marLeft w:val="0"/>
      <w:marRight w:val="0"/>
      <w:marTop w:val="0"/>
      <w:marBottom w:val="0"/>
      <w:divBdr>
        <w:top w:val="none" w:sz="0" w:space="0" w:color="auto"/>
        <w:left w:val="none" w:sz="0" w:space="0" w:color="auto"/>
        <w:bottom w:val="none" w:sz="0" w:space="0" w:color="auto"/>
        <w:right w:val="none" w:sz="0" w:space="0" w:color="auto"/>
      </w:divBdr>
    </w:div>
    <w:div w:id="26181317">
      <w:bodyDiv w:val="1"/>
      <w:marLeft w:val="0"/>
      <w:marRight w:val="0"/>
      <w:marTop w:val="0"/>
      <w:marBottom w:val="0"/>
      <w:divBdr>
        <w:top w:val="none" w:sz="0" w:space="0" w:color="auto"/>
        <w:left w:val="none" w:sz="0" w:space="0" w:color="auto"/>
        <w:bottom w:val="none" w:sz="0" w:space="0" w:color="auto"/>
        <w:right w:val="none" w:sz="0" w:space="0" w:color="auto"/>
      </w:divBdr>
    </w:div>
    <w:div w:id="27074872">
      <w:bodyDiv w:val="1"/>
      <w:marLeft w:val="0"/>
      <w:marRight w:val="0"/>
      <w:marTop w:val="0"/>
      <w:marBottom w:val="0"/>
      <w:divBdr>
        <w:top w:val="none" w:sz="0" w:space="0" w:color="auto"/>
        <w:left w:val="none" w:sz="0" w:space="0" w:color="auto"/>
        <w:bottom w:val="none" w:sz="0" w:space="0" w:color="auto"/>
        <w:right w:val="none" w:sz="0" w:space="0" w:color="auto"/>
      </w:divBdr>
    </w:div>
    <w:div w:id="27075592">
      <w:bodyDiv w:val="1"/>
      <w:marLeft w:val="0"/>
      <w:marRight w:val="0"/>
      <w:marTop w:val="0"/>
      <w:marBottom w:val="0"/>
      <w:divBdr>
        <w:top w:val="none" w:sz="0" w:space="0" w:color="auto"/>
        <w:left w:val="none" w:sz="0" w:space="0" w:color="auto"/>
        <w:bottom w:val="none" w:sz="0" w:space="0" w:color="auto"/>
        <w:right w:val="none" w:sz="0" w:space="0" w:color="auto"/>
      </w:divBdr>
    </w:div>
    <w:div w:id="27144277">
      <w:bodyDiv w:val="1"/>
      <w:marLeft w:val="0"/>
      <w:marRight w:val="0"/>
      <w:marTop w:val="0"/>
      <w:marBottom w:val="0"/>
      <w:divBdr>
        <w:top w:val="none" w:sz="0" w:space="0" w:color="auto"/>
        <w:left w:val="none" w:sz="0" w:space="0" w:color="auto"/>
        <w:bottom w:val="none" w:sz="0" w:space="0" w:color="auto"/>
        <w:right w:val="none" w:sz="0" w:space="0" w:color="auto"/>
      </w:divBdr>
    </w:div>
    <w:div w:id="27263819">
      <w:bodyDiv w:val="1"/>
      <w:marLeft w:val="0"/>
      <w:marRight w:val="0"/>
      <w:marTop w:val="0"/>
      <w:marBottom w:val="0"/>
      <w:divBdr>
        <w:top w:val="none" w:sz="0" w:space="0" w:color="auto"/>
        <w:left w:val="none" w:sz="0" w:space="0" w:color="auto"/>
        <w:bottom w:val="none" w:sz="0" w:space="0" w:color="auto"/>
        <w:right w:val="none" w:sz="0" w:space="0" w:color="auto"/>
      </w:divBdr>
    </w:div>
    <w:div w:id="27806125">
      <w:bodyDiv w:val="1"/>
      <w:marLeft w:val="0"/>
      <w:marRight w:val="0"/>
      <w:marTop w:val="0"/>
      <w:marBottom w:val="0"/>
      <w:divBdr>
        <w:top w:val="none" w:sz="0" w:space="0" w:color="auto"/>
        <w:left w:val="none" w:sz="0" w:space="0" w:color="auto"/>
        <w:bottom w:val="none" w:sz="0" w:space="0" w:color="auto"/>
        <w:right w:val="none" w:sz="0" w:space="0" w:color="auto"/>
      </w:divBdr>
    </w:div>
    <w:div w:id="28115313">
      <w:bodyDiv w:val="1"/>
      <w:marLeft w:val="0"/>
      <w:marRight w:val="0"/>
      <w:marTop w:val="0"/>
      <w:marBottom w:val="0"/>
      <w:divBdr>
        <w:top w:val="none" w:sz="0" w:space="0" w:color="auto"/>
        <w:left w:val="none" w:sz="0" w:space="0" w:color="auto"/>
        <w:bottom w:val="none" w:sz="0" w:space="0" w:color="auto"/>
        <w:right w:val="none" w:sz="0" w:space="0" w:color="auto"/>
      </w:divBdr>
    </w:div>
    <w:div w:id="28531483">
      <w:bodyDiv w:val="1"/>
      <w:marLeft w:val="0"/>
      <w:marRight w:val="0"/>
      <w:marTop w:val="0"/>
      <w:marBottom w:val="0"/>
      <w:divBdr>
        <w:top w:val="none" w:sz="0" w:space="0" w:color="auto"/>
        <w:left w:val="none" w:sz="0" w:space="0" w:color="auto"/>
        <w:bottom w:val="none" w:sz="0" w:space="0" w:color="auto"/>
        <w:right w:val="none" w:sz="0" w:space="0" w:color="auto"/>
      </w:divBdr>
    </w:div>
    <w:div w:id="29182903">
      <w:bodyDiv w:val="1"/>
      <w:marLeft w:val="0"/>
      <w:marRight w:val="0"/>
      <w:marTop w:val="0"/>
      <w:marBottom w:val="0"/>
      <w:divBdr>
        <w:top w:val="none" w:sz="0" w:space="0" w:color="auto"/>
        <w:left w:val="none" w:sz="0" w:space="0" w:color="auto"/>
        <w:bottom w:val="none" w:sz="0" w:space="0" w:color="auto"/>
        <w:right w:val="none" w:sz="0" w:space="0" w:color="auto"/>
      </w:divBdr>
    </w:div>
    <w:div w:id="29260143">
      <w:bodyDiv w:val="1"/>
      <w:marLeft w:val="0"/>
      <w:marRight w:val="0"/>
      <w:marTop w:val="0"/>
      <w:marBottom w:val="0"/>
      <w:divBdr>
        <w:top w:val="none" w:sz="0" w:space="0" w:color="auto"/>
        <w:left w:val="none" w:sz="0" w:space="0" w:color="auto"/>
        <w:bottom w:val="none" w:sz="0" w:space="0" w:color="auto"/>
        <w:right w:val="none" w:sz="0" w:space="0" w:color="auto"/>
      </w:divBdr>
    </w:div>
    <w:div w:id="29496433">
      <w:bodyDiv w:val="1"/>
      <w:marLeft w:val="0"/>
      <w:marRight w:val="0"/>
      <w:marTop w:val="0"/>
      <w:marBottom w:val="0"/>
      <w:divBdr>
        <w:top w:val="none" w:sz="0" w:space="0" w:color="auto"/>
        <w:left w:val="none" w:sz="0" w:space="0" w:color="auto"/>
        <w:bottom w:val="none" w:sz="0" w:space="0" w:color="auto"/>
        <w:right w:val="none" w:sz="0" w:space="0" w:color="auto"/>
      </w:divBdr>
    </w:div>
    <w:div w:id="30232492">
      <w:bodyDiv w:val="1"/>
      <w:marLeft w:val="0"/>
      <w:marRight w:val="0"/>
      <w:marTop w:val="0"/>
      <w:marBottom w:val="0"/>
      <w:divBdr>
        <w:top w:val="none" w:sz="0" w:space="0" w:color="auto"/>
        <w:left w:val="none" w:sz="0" w:space="0" w:color="auto"/>
        <w:bottom w:val="none" w:sz="0" w:space="0" w:color="auto"/>
        <w:right w:val="none" w:sz="0" w:space="0" w:color="auto"/>
      </w:divBdr>
    </w:div>
    <w:div w:id="30611539">
      <w:bodyDiv w:val="1"/>
      <w:marLeft w:val="0"/>
      <w:marRight w:val="0"/>
      <w:marTop w:val="0"/>
      <w:marBottom w:val="0"/>
      <w:divBdr>
        <w:top w:val="none" w:sz="0" w:space="0" w:color="auto"/>
        <w:left w:val="none" w:sz="0" w:space="0" w:color="auto"/>
        <w:bottom w:val="none" w:sz="0" w:space="0" w:color="auto"/>
        <w:right w:val="none" w:sz="0" w:space="0" w:color="auto"/>
      </w:divBdr>
    </w:div>
    <w:div w:id="30692090">
      <w:bodyDiv w:val="1"/>
      <w:marLeft w:val="0"/>
      <w:marRight w:val="0"/>
      <w:marTop w:val="0"/>
      <w:marBottom w:val="0"/>
      <w:divBdr>
        <w:top w:val="none" w:sz="0" w:space="0" w:color="auto"/>
        <w:left w:val="none" w:sz="0" w:space="0" w:color="auto"/>
        <w:bottom w:val="none" w:sz="0" w:space="0" w:color="auto"/>
        <w:right w:val="none" w:sz="0" w:space="0" w:color="auto"/>
      </w:divBdr>
    </w:div>
    <w:div w:id="30812503">
      <w:bodyDiv w:val="1"/>
      <w:marLeft w:val="0"/>
      <w:marRight w:val="0"/>
      <w:marTop w:val="0"/>
      <w:marBottom w:val="0"/>
      <w:divBdr>
        <w:top w:val="none" w:sz="0" w:space="0" w:color="auto"/>
        <w:left w:val="none" w:sz="0" w:space="0" w:color="auto"/>
        <w:bottom w:val="none" w:sz="0" w:space="0" w:color="auto"/>
        <w:right w:val="none" w:sz="0" w:space="0" w:color="auto"/>
      </w:divBdr>
    </w:div>
    <w:div w:id="31418922">
      <w:bodyDiv w:val="1"/>
      <w:marLeft w:val="0"/>
      <w:marRight w:val="0"/>
      <w:marTop w:val="0"/>
      <w:marBottom w:val="0"/>
      <w:divBdr>
        <w:top w:val="none" w:sz="0" w:space="0" w:color="auto"/>
        <w:left w:val="none" w:sz="0" w:space="0" w:color="auto"/>
        <w:bottom w:val="none" w:sz="0" w:space="0" w:color="auto"/>
        <w:right w:val="none" w:sz="0" w:space="0" w:color="auto"/>
      </w:divBdr>
    </w:div>
    <w:div w:id="31535657">
      <w:bodyDiv w:val="1"/>
      <w:marLeft w:val="0"/>
      <w:marRight w:val="0"/>
      <w:marTop w:val="0"/>
      <w:marBottom w:val="0"/>
      <w:divBdr>
        <w:top w:val="none" w:sz="0" w:space="0" w:color="auto"/>
        <w:left w:val="none" w:sz="0" w:space="0" w:color="auto"/>
        <w:bottom w:val="none" w:sz="0" w:space="0" w:color="auto"/>
        <w:right w:val="none" w:sz="0" w:space="0" w:color="auto"/>
      </w:divBdr>
    </w:div>
    <w:div w:id="31929743">
      <w:bodyDiv w:val="1"/>
      <w:marLeft w:val="0"/>
      <w:marRight w:val="0"/>
      <w:marTop w:val="0"/>
      <w:marBottom w:val="0"/>
      <w:divBdr>
        <w:top w:val="none" w:sz="0" w:space="0" w:color="auto"/>
        <w:left w:val="none" w:sz="0" w:space="0" w:color="auto"/>
        <w:bottom w:val="none" w:sz="0" w:space="0" w:color="auto"/>
        <w:right w:val="none" w:sz="0" w:space="0" w:color="auto"/>
      </w:divBdr>
    </w:div>
    <w:div w:id="32079426">
      <w:bodyDiv w:val="1"/>
      <w:marLeft w:val="0"/>
      <w:marRight w:val="0"/>
      <w:marTop w:val="0"/>
      <w:marBottom w:val="0"/>
      <w:divBdr>
        <w:top w:val="none" w:sz="0" w:space="0" w:color="auto"/>
        <w:left w:val="none" w:sz="0" w:space="0" w:color="auto"/>
        <w:bottom w:val="none" w:sz="0" w:space="0" w:color="auto"/>
        <w:right w:val="none" w:sz="0" w:space="0" w:color="auto"/>
      </w:divBdr>
    </w:div>
    <w:div w:id="32466619">
      <w:bodyDiv w:val="1"/>
      <w:marLeft w:val="0"/>
      <w:marRight w:val="0"/>
      <w:marTop w:val="0"/>
      <w:marBottom w:val="0"/>
      <w:divBdr>
        <w:top w:val="none" w:sz="0" w:space="0" w:color="auto"/>
        <w:left w:val="none" w:sz="0" w:space="0" w:color="auto"/>
        <w:bottom w:val="none" w:sz="0" w:space="0" w:color="auto"/>
        <w:right w:val="none" w:sz="0" w:space="0" w:color="auto"/>
      </w:divBdr>
    </w:div>
    <w:div w:id="33582483">
      <w:bodyDiv w:val="1"/>
      <w:marLeft w:val="0"/>
      <w:marRight w:val="0"/>
      <w:marTop w:val="0"/>
      <w:marBottom w:val="0"/>
      <w:divBdr>
        <w:top w:val="none" w:sz="0" w:space="0" w:color="auto"/>
        <w:left w:val="none" w:sz="0" w:space="0" w:color="auto"/>
        <w:bottom w:val="none" w:sz="0" w:space="0" w:color="auto"/>
        <w:right w:val="none" w:sz="0" w:space="0" w:color="auto"/>
      </w:divBdr>
    </w:div>
    <w:div w:id="33817970">
      <w:bodyDiv w:val="1"/>
      <w:marLeft w:val="0"/>
      <w:marRight w:val="0"/>
      <w:marTop w:val="0"/>
      <w:marBottom w:val="0"/>
      <w:divBdr>
        <w:top w:val="none" w:sz="0" w:space="0" w:color="auto"/>
        <w:left w:val="none" w:sz="0" w:space="0" w:color="auto"/>
        <w:bottom w:val="none" w:sz="0" w:space="0" w:color="auto"/>
        <w:right w:val="none" w:sz="0" w:space="0" w:color="auto"/>
      </w:divBdr>
    </w:div>
    <w:div w:id="33889301">
      <w:bodyDiv w:val="1"/>
      <w:marLeft w:val="0"/>
      <w:marRight w:val="0"/>
      <w:marTop w:val="0"/>
      <w:marBottom w:val="0"/>
      <w:divBdr>
        <w:top w:val="none" w:sz="0" w:space="0" w:color="auto"/>
        <w:left w:val="none" w:sz="0" w:space="0" w:color="auto"/>
        <w:bottom w:val="none" w:sz="0" w:space="0" w:color="auto"/>
        <w:right w:val="none" w:sz="0" w:space="0" w:color="auto"/>
      </w:divBdr>
    </w:div>
    <w:div w:id="34476007">
      <w:bodyDiv w:val="1"/>
      <w:marLeft w:val="0"/>
      <w:marRight w:val="0"/>
      <w:marTop w:val="0"/>
      <w:marBottom w:val="0"/>
      <w:divBdr>
        <w:top w:val="none" w:sz="0" w:space="0" w:color="auto"/>
        <w:left w:val="none" w:sz="0" w:space="0" w:color="auto"/>
        <w:bottom w:val="none" w:sz="0" w:space="0" w:color="auto"/>
        <w:right w:val="none" w:sz="0" w:space="0" w:color="auto"/>
      </w:divBdr>
    </w:div>
    <w:div w:id="35204118">
      <w:bodyDiv w:val="1"/>
      <w:marLeft w:val="0"/>
      <w:marRight w:val="0"/>
      <w:marTop w:val="0"/>
      <w:marBottom w:val="0"/>
      <w:divBdr>
        <w:top w:val="none" w:sz="0" w:space="0" w:color="auto"/>
        <w:left w:val="none" w:sz="0" w:space="0" w:color="auto"/>
        <w:bottom w:val="none" w:sz="0" w:space="0" w:color="auto"/>
        <w:right w:val="none" w:sz="0" w:space="0" w:color="auto"/>
      </w:divBdr>
    </w:div>
    <w:div w:id="35325139">
      <w:bodyDiv w:val="1"/>
      <w:marLeft w:val="0"/>
      <w:marRight w:val="0"/>
      <w:marTop w:val="0"/>
      <w:marBottom w:val="0"/>
      <w:divBdr>
        <w:top w:val="none" w:sz="0" w:space="0" w:color="auto"/>
        <w:left w:val="none" w:sz="0" w:space="0" w:color="auto"/>
        <w:bottom w:val="none" w:sz="0" w:space="0" w:color="auto"/>
        <w:right w:val="none" w:sz="0" w:space="0" w:color="auto"/>
      </w:divBdr>
    </w:div>
    <w:div w:id="35587327">
      <w:bodyDiv w:val="1"/>
      <w:marLeft w:val="0"/>
      <w:marRight w:val="0"/>
      <w:marTop w:val="0"/>
      <w:marBottom w:val="0"/>
      <w:divBdr>
        <w:top w:val="none" w:sz="0" w:space="0" w:color="auto"/>
        <w:left w:val="none" w:sz="0" w:space="0" w:color="auto"/>
        <w:bottom w:val="none" w:sz="0" w:space="0" w:color="auto"/>
        <w:right w:val="none" w:sz="0" w:space="0" w:color="auto"/>
      </w:divBdr>
    </w:div>
    <w:div w:id="35667637">
      <w:bodyDiv w:val="1"/>
      <w:marLeft w:val="0"/>
      <w:marRight w:val="0"/>
      <w:marTop w:val="0"/>
      <w:marBottom w:val="0"/>
      <w:divBdr>
        <w:top w:val="none" w:sz="0" w:space="0" w:color="auto"/>
        <w:left w:val="none" w:sz="0" w:space="0" w:color="auto"/>
        <w:bottom w:val="none" w:sz="0" w:space="0" w:color="auto"/>
        <w:right w:val="none" w:sz="0" w:space="0" w:color="auto"/>
      </w:divBdr>
    </w:div>
    <w:div w:id="35813553">
      <w:bodyDiv w:val="1"/>
      <w:marLeft w:val="0"/>
      <w:marRight w:val="0"/>
      <w:marTop w:val="0"/>
      <w:marBottom w:val="0"/>
      <w:divBdr>
        <w:top w:val="none" w:sz="0" w:space="0" w:color="auto"/>
        <w:left w:val="none" w:sz="0" w:space="0" w:color="auto"/>
        <w:bottom w:val="none" w:sz="0" w:space="0" w:color="auto"/>
        <w:right w:val="none" w:sz="0" w:space="0" w:color="auto"/>
      </w:divBdr>
    </w:div>
    <w:div w:id="36048279">
      <w:bodyDiv w:val="1"/>
      <w:marLeft w:val="0"/>
      <w:marRight w:val="0"/>
      <w:marTop w:val="0"/>
      <w:marBottom w:val="0"/>
      <w:divBdr>
        <w:top w:val="none" w:sz="0" w:space="0" w:color="auto"/>
        <w:left w:val="none" w:sz="0" w:space="0" w:color="auto"/>
        <w:bottom w:val="none" w:sz="0" w:space="0" w:color="auto"/>
        <w:right w:val="none" w:sz="0" w:space="0" w:color="auto"/>
      </w:divBdr>
    </w:div>
    <w:div w:id="36470265">
      <w:bodyDiv w:val="1"/>
      <w:marLeft w:val="0"/>
      <w:marRight w:val="0"/>
      <w:marTop w:val="0"/>
      <w:marBottom w:val="0"/>
      <w:divBdr>
        <w:top w:val="none" w:sz="0" w:space="0" w:color="auto"/>
        <w:left w:val="none" w:sz="0" w:space="0" w:color="auto"/>
        <w:bottom w:val="none" w:sz="0" w:space="0" w:color="auto"/>
        <w:right w:val="none" w:sz="0" w:space="0" w:color="auto"/>
      </w:divBdr>
    </w:div>
    <w:div w:id="36509856">
      <w:bodyDiv w:val="1"/>
      <w:marLeft w:val="0"/>
      <w:marRight w:val="0"/>
      <w:marTop w:val="0"/>
      <w:marBottom w:val="0"/>
      <w:divBdr>
        <w:top w:val="none" w:sz="0" w:space="0" w:color="auto"/>
        <w:left w:val="none" w:sz="0" w:space="0" w:color="auto"/>
        <w:bottom w:val="none" w:sz="0" w:space="0" w:color="auto"/>
        <w:right w:val="none" w:sz="0" w:space="0" w:color="auto"/>
      </w:divBdr>
    </w:div>
    <w:div w:id="36666112">
      <w:bodyDiv w:val="1"/>
      <w:marLeft w:val="0"/>
      <w:marRight w:val="0"/>
      <w:marTop w:val="0"/>
      <w:marBottom w:val="0"/>
      <w:divBdr>
        <w:top w:val="none" w:sz="0" w:space="0" w:color="auto"/>
        <w:left w:val="none" w:sz="0" w:space="0" w:color="auto"/>
        <w:bottom w:val="none" w:sz="0" w:space="0" w:color="auto"/>
        <w:right w:val="none" w:sz="0" w:space="0" w:color="auto"/>
      </w:divBdr>
    </w:div>
    <w:div w:id="36898316">
      <w:bodyDiv w:val="1"/>
      <w:marLeft w:val="0"/>
      <w:marRight w:val="0"/>
      <w:marTop w:val="0"/>
      <w:marBottom w:val="0"/>
      <w:divBdr>
        <w:top w:val="none" w:sz="0" w:space="0" w:color="auto"/>
        <w:left w:val="none" w:sz="0" w:space="0" w:color="auto"/>
        <w:bottom w:val="none" w:sz="0" w:space="0" w:color="auto"/>
        <w:right w:val="none" w:sz="0" w:space="0" w:color="auto"/>
      </w:divBdr>
    </w:div>
    <w:div w:id="37173043">
      <w:bodyDiv w:val="1"/>
      <w:marLeft w:val="0"/>
      <w:marRight w:val="0"/>
      <w:marTop w:val="0"/>
      <w:marBottom w:val="0"/>
      <w:divBdr>
        <w:top w:val="none" w:sz="0" w:space="0" w:color="auto"/>
        <w:left w:val="none" w:sz="0" w:space="0" w:color="auto"/>
        <w:bottom w:val="none" w:sz="0" w:space="0" w:color="auto"/>
        <w:right w:val="none" w:sz="0" w:space="0" w:color="auto"/>
      </w:divBdr>
    </w:div>
    <w:div w:id="37442390">
      <w:bodyDiv w:val="1"/>
      <w:marLeft w:val="0"/>
      <w:marRight w:val="0"/>
      <w:marTop w:val="0"/>
      <w:marBottom w:val="0"/>
      <w:divBdr>
        <w:top w:val="none" w:sz="0" w:space="0" w:color="auto"/>
        <w:left w:val="none" w:sz="0" w:space="0" w:color="auto"/>
        <w:bottom w:val="none" w:sz="0" w:space="0" w:color="auto"/>
        <w:right w:val="none" w:sz="0" w:space="0" w:color="auto"/>
      </w:divBdr>
    </w:div>
    <w:div w:id="38869493">
      <w:bodyDiv w:val="1"/>
      <w:marLeft w:val="0"/>
      <w:marRight w:val="0"/>
      <w:marTop w:val="0"/>
      <w:marBottom w:val="0"/>
      <w:divBdr>
        <w:top w:val="none" w:sz="0" w:space="0" w:color="auto"/>
        <w:left w:val="none" w:sz="0" w:space="0" w:color="auto"/>
        <w:bottom w:val="none" w:sz="0" w:space="0" w:color="auto"/>
        <w:right w:val="none" w:sz="0" w:space="0" w:color="auto"/>
      </w:divBdr>
    </w:div>
    <w:div w:id="39018792">
      <w:bodyDiv w:val="1"/>
      <w:marLeft w:val="0"/>
      <w:marRight w:val="0"/>
      <w:marTop w:val="0"/>
      <w:marBottom w:val="0"/>
      <w:divBdr>
        <w:top w:val="none" w:sz="0" w:space="0" w:color="auto"/>
        <w:left w:val="none" w:sz="0" w:space="0" w:color="auto"/>
        <w:bottom w:val="none" w:sz="0" w:space="0" w:color="auto"/>
        <w:right w:val="none" w:sz="0" w:space="0" w:color="auto"/>
      </w:divBdr>
    </w:div>
    <w:div w:id="39482957">
      <w:bodyDiv w:val="1"/>
      <w:marLeft w:val="0"/>
      <w:marRight w:val="0"/>
      <w:marTop w:val="0"/>
      <w:marBottom w:val="0"/>
      <w:divBdr>
        <w:top w:val="none" w:sz="0" w:space="0" w:color="auto"/>
        <w:left w:val="none" w:sz="0" w:space="0" w:color="auto"/>
        <w:bottom w:val="none" w:sz="0" w:space="0" w:color="auto"/>
        <w:right w:val="none" w:sz="0" w:space="0" w:color="auto"/>
      </w:divBdr>
    </w:div>
    <w:div w:id="39550192">
      <w:bodyDiv w:val="1"/>
      <w:marLeft w:val="0"/>
      <w:marRight w:val="0"/>
      <w:marTop w:val="0"/>
      <w:marBottom w:val="0"/>
      <w:divBdr>
        <w:top w:val="none" w:sz="0" w:space="0" w:color="auto"/>
        <w:left w:val="none" w:sz="0" w:space="0" w:color="auto"/>
        <w:bottom w:val="none" w:sz="0" w:space="0" w:color="auto"/>
        <w:right w:val="none" w:sz="0" w:space="0" w:color="auto"/>
      </w:divBdr>
    </w:div>
    <w:div w:id="39674378">
      <w:bodyDiv w:val="1"/>
      <w:marLeft w:val="0"/>
      <w:marRight w:val="0"/>
      <w:marTop w:val="0"/>
      <w:marBottom w:val="0"/>
      <w:divBdr>
        <w:top w:val="none" w:sz="0" w:space="0" w:color="auto"/>
        <w:left w:val="none" w:sz="0" w:space="0" w:color="auto"/>
        <w:bottom w:val="none" w:sz="0" w:space="0" w:color="auto"/>
        <w:right w:val="none" w:sz="0" w:space="0" w:color="auto"/>
      </w:divBdr>
    </w:div>
    <w:div w:id="39743874">
      <w:bodyDiv w:val="1"/>
      <w:marLeft w:val="0"/>
      <w:marRight w:val="0"/>
      <w:marTop w:val="0"/>
      <w:marBottom w:val="0"/>
      <w:divBdr>
        <w:top w:val="none" w:sz="0" w:space="0" w:color="auto"/>
        <w:left w:val="none" w:sz="0" w:space="0" w:color="auto"/>
        <w:bottom w:val="none" w:sz="0" w:space="0" w:color="auto"/>
        <w:right w:val="none" w:sz="0" w:space="0" w:color="auto"/>
      </w:divBdr>
    </w:div>
    <w:div w:id="40331115">
      <w:bodyDiv w:val="1"/>
      <w:marLeft w:val="0"/>
      <w:marRight w:val="0"/>
      <w:marTop w:val="0"/>
      <w:marBottom w:val="0"/>
      <w:divBdr>
        <w:top w:val="none" w:sz="0" w:space="0" w:color="auto"/>
        <w:left w:val="none" w:sz="0" w:space="0" w:color="auto"/>
        <w:bottom w:val="none" w:sz="0" w:space="0" w:color="auto"/>
        <w:right w:val="none" w:sz="0" w:space="0" w:color="auto"/>
      </w:divBdr>
    </w:div>
    <w:div w:id="41105063">
      <w:bodyDiv w:val="1"/>
      <w:marLeft w:val="0"/>
      <w:marRight w:val="0"/>
      <w:marTop w:val="0"/>
      <w:marBottom w:val="0"/>
      <w:divBdr>
        <w:top w:val="none" w:sz="0" w:space="0" w:color="auto"/>
        <w:left w:val="none" w:sz="0" w:space="0" w:color="auto"/>
        <w:bottom w:val="none" w:sz="0" w:space="0" w:color="auto"/>
        <w:right w:val="none" w:sz="0" w:space="0" w:color="auto"/>
      </w:divBdr>
    </w:div>
    <w:div w:id="42415300">
      <w:bodyDiv w:val="1"/>
      <w:marLeft w:val="0"/>
      <w:marRight w:val="0"/>
      <w:marTop w:val="0"/>
      <w:marBottom w:val="0"/>
      <w:divBdr>
        <w:top w:val="none" w:sz="0" w:space="0" w:color="auto"/>
        <w:left w:val="none" w:sz="0" w:space="0" w:color="auto"/>
        <w:bottom w:val="none" w:sz="0" w:space="0" w:color="auto"/>
        <w:right w:val="none" w:sz="0" w:space="0" w:color="auto"/>
      </w:divBdr>
    </w:div>
    <w:div w:id="42563473">
      <w:bodyDiv w:val="1"/>
      <w:marLeft w:val="0"/>
      <w:marRight w:val="0"/>
      <w:marTop w:val="0"/>
      <w:marBottom w:val="0"/>
      <w:divBdr>
        <w:top w:val="none" w:sz="0" w:space="0" w:color="auto"/>
        <w:left w:val="none" w:sz="0" w:space="0" w:color="auto"/>
        <w:bottom w:val="none" w:sz="0" w:space="0" w:color="auto"/>
        <w:right w:val="none" w:sz="0" w:space="0" w:color="auto"/>
      </w:divBdr>
    </w:div>
    <w:div w:id="42603485">
      <w:bodyDiv w:val="1"/>
      <w:marLeft w:val="0"/>
      <w:marRight w:val="0"/>
      <w:marTop w:val="0"/>
      <w:marBottom w:val="0"/>
      <w:divBdr>
        <w:top w:val="none" w:sz="0" w:space="0" w:color="auto"/>
        <w:left w:val="none" w:sz="0" w:space="0" w:color="auto"/>
        <w:bottom w:val="none" w:sz="0" w:space="0" w:color="auto"/>
        <w:right w:val="none" w:sz="0" w:space="0" w:color="auto"/>
      </w:divBdr>
    </w:div>
    <w:div w:id="42994559">
      <w:bodyDiv w:val="1"/>
      <w:marLeft w:val="0"/>
      <w:marRight w:val="0"/>
      <w:marTop w:val="0"/>
      <w:marBottom w:val="0"/>
      <w:divBdr>
        <w:top w:val="none" w:sz="0" w:space="0" w:color="auto"/>
        <w:left w:val="none" w:sz="0" w:space="0" w:color="auto"/>
        <w:bottom w:val="none" w:sz="0" w:space="0" w:color="auto"/>
        <w:right w:val="none" w:sz="0" w:space="0" w:color="auto"/>
      </w:divBdr>
    </w:div>
    <w:div w:id="43264077">
      <w:bodyDiv w:val="1"/>
      <w:marLeft w:val="0"/>
      <w:marRight w:val="0"/>
      <w:marTop w:val="0"/>
      <w:marBottom w:val="0"/>
      <w:divBdr>
        <w:top w:val="none" w:sz="0" w:space="0" w:color="auto"/>
        <w:left w:val="none" w:sz="0" w:space="0" w:color="auto"/>
        <w:bottom w:val="none" w:sz="0" w:space="0" w:color="auto"/>
        <w:right w:val="none" w:sz="0" w:space="0" w:color="auto"/>
      </w:divBdr>
    </w:div>
    <w:div w:id="43482159">
      <w:bodyDiv w:val="1"/>
      <w:marLeft w:val="0"/>
      <w:marRight w:val="0"/>
      <w:marTop w:val="0"/>
      <w:marBottom w:val="0"/>
      <w:divBdr>
        <w:top w:val="none" w:sz="0" w:space="0" w:color="auto"/>
        <w:left w:val="none" w:sz="0" w:space="0" w:color="auto"/>
        <w:bottom w:val="none" w:sz="0" w:space="0" w:color="auto"/>
        <w:right w:val="none" w:sz="0" w:space="0" w:color="auto"/>
      </w:divBdr>
    </w:div>
    <w:div w:id="43911527">
      <w:bodyDiv w:val="1"/>
      <w:marLeft w:val="0"/>
      <w:marRight w:val="0"/>
      <w:marTop w:val="0"/>
      <w:marBottom w:val="0"/>
      <w:divBdr>
        <w:top w:val="none" w:sz="0" w:space="0" w:color="auto"/>
        <w:left w:val="none" w:sz="0" w:space="0" w:color="auto"/>
        <w:bottom w:val="none" w:sz="0" w:space="0" w:color="auto"/>
        <w:right w:val="none" w:sz="0" w:space="0" w:color="auto"/>
      </w:divBdr>
    </w:div>
    <w:div w:id="44107093">
      <w:bodyDiv w:val="1"/>
      <w:marLeft w:val="0"/>
      <w:marRight w:val="0"/>
      <w:marTop w:val="0"/>
      <w:marBottom w:val="0"/>
      <w:divBdr>
        <w:top w:val="none" w:sz="0" w:space="0" w:color="auto"/>
        <w:left w:val="none" w:sz="0" w:space="0" w:color="auto"/>
        <w:bottom w:val="none" w:sz="0" w:space="0" w:color="auto"/>
        <w:right w:val="none" w:sz="0" w:space="0" w:color="auto"/>
      </w:divBdr>
    </w:div>
    <w:div w:id="44111667">
      <w:bodyDiv w:val="1"/>
      <w:marLeft w:val="0"/>
      <w:marRight w:val="0"/>
      <w:marTop w:val="0"/>
      <w:marBottom w:val="0"/>
      <w:divBdr>
        <w:top w:val="none" w:sz="0" w:space="0" w:color="auto"/>
        <w:left w:val="none" w:sz="0" w:space="0" w:color="auto"/>
        <w:bottom w:val="none" w:sz="0" w:space="0" w:color="auto"/>
        <w:right w:val="none" w:sz="0" w:space="0" w:color="auto"/>
      </w:divBdr>
    </w:div>
    <w:div w:id="44373415">
      <w:bodyDiv w:val="1"/>
      <w:marLeft w:val="0"/>
      <w:marRight w:val="0"/>
      <w:marTop w:val="0"/>
      <w:marBottom w:val="0"/>
      <w:divBdr>
        <w:top w:val="none" w:sz="0" w:space="0" w:color="auto"/>
        <w:left w:val="none" w:sz="0" w:space="0" w:color="auto"/>
        <w:bottom w:val="none" w:sz="0" w:space="0" w:color="auto"/>
        <w:right w:val="none" w:sz="0" w:space="0" w:color="auto"/>
      </w:divBdr>
    </w:div>
    <w:div w:id="44451568">
      <w:bodyDiv w:val="1"/>
      <w:marLeft w:val="0"/>
      <w:marRight w:val="0"/>
      <w:marTop w:val="0"/>
      <w:marBottom w:val="0"/>
      <w:divBdr>
        <w:top w:val="none" w:sz="0" w:space="0" w:color="auto"/>
        <w:left w:val="none" w:sz="0" w:space="0" w:color="auto"/>
        <w:bottom w:val="none" w:sz="0" w:space="0" w:color="auto"/>
        <w:right w:val="none" w:sz="0" w:space="0" w:color="auto"/>
      </w:divBdr>
    </w:div>
    <w:div w:id="44568793">
      <w:bodyDiv w:val="1"/>
      <w:marLeft w:val="0"/>
      <w:marRight w:val="0"/>
      <w:marTop w:val="0"/>
      <w:marBottom w:val="0"/>
      <w:divBdr>
        <w:top w:val="none" w:sz="0" w:space="0" w:color="auto"/>
        <w:left w:val="none" w:sz="0" w:space="0" w:color="auto"/>
        <w:bottom w:val="none" w:sz="0" w:space="0" w:color="auto"/>
        <w:right w:val="none" w:sz="0" w:space="0" w:color="auto"/>
      </w:divBdr>
    </w:div>
    <w:div w:id="44834599">
      <w:bodyDiv w:val="1"/>
      <w:marLeft w:val="0"/>
      <w:marRight w:val="0"/>
      <w:marTop w:val="0"/>
      <w:marBottom w:val="0"/>
      <w:divBdr>
        <w:top w:val="none" w:sz="0" w:space="0" w:color="auto"/>
        <w:left w:val="none" w:sz="0" w:space="0" w:color="auto"/>
        <w:bottom w:val="none" w:sz="0" w:space="0" w:color="auto"/>
        <w:right w:val="none" w:sz="0" w:space="0" w:color="auto"/>
      </w:divBdr>
    </w:div>
    <w:div w:id="45028588">
      <w:bodyDiv w:val="1"/>
      <w:marLeft w:val="0"/>
      <w:marRight w:val="0"/>
      <w:marTop w:val="0"/>
      <w:marBottom w:val="0"/>
      <w:divBdr>
        <w:top w:val="none" w:sz="0" w:space="0" w:color="auto"/>
        <w:left w:val="none" w:sz="0" w:space="0" w:color="auto"/>
        <w:bottom w:val="none" w:sz="0" w:space="0" w:color="auto"/>
        <w:right w:val="none" w:sz="0" w:space="0" w:color="auto"/>
      </w:divBdr>
    </w:div>
    <w:div w:id="45568656">
      <w:bodyDiv w:val="1"/>
      <w:marLeft w:val="0"/>
      <w:marRight w:val="0"/>
      <w:marTop w:val="0"/>
      <w:marBottom w:val="0"/>
      <w:divBdr>
        <w:top w:val="none" w:sz="0" w:space="0" w:color="auto"/>
        <w:left w:val="none" w:sz="0" w:space="0" w:color="auto"/>
        <w:bottom w:val="none" w:sz="0" w:space="0" w:color="auto"/>
        <w:right w:val="none" w:sz="0" w:space="0" w:color="auto"/>
      </w:divBdr>
    </w:div>
    <w:div w:id="45882664">
      <w:bodyDiv w:val="1"/>
      <w:marLeft w:val="0"/>
      <w:marRight w:val="0"/>
      <w:marTop w:val="0"/>
      <w:marBottom w:val="0"/>
      <w:divBdr>
        <w:top w:val="none" w:sz="0" w:space="0" w:color="auto"/>
        <w:left w:val="none" w:sz="0" w:space="0" w:color="auto"/>
        <w:bottom w:val="none" w:sz="0" w:space="0" w:color="auto"/>
        <w:right w:val="none" w:sz="0" w:space="0" w:color="auto"/>
      </w:divBdr>
    </w:div>
    <w:div w:id="45951871">
      <w:bodyDiv w:val="1"/>
      <w:marLeft w:val="0"/>
      <w:marRight w:val="0"/>
      <w:marTop w:val="0"/>
      <w:marBottom w:val="0"/>
      <w:divBdr>
        <w:top w:val="none" w:sz="0" w:space="0" w:color="auto"/>
        <w:left w:val="none" w:sz="0" w:space="0" w:color="auto"/>
        <w:bottom w:val="none" w:sz="0" w:space="0" w:color="auto"/>
        <w:right w:val="none" w:sz="0" w:space="0" w:color="auto"/>
      </w:divBdr>
    </w:div>
    <w:div w:id="46614528">
      <w:bodyDiv w:val="1"/>
      <w:marLeft w:val="0"/>
      <w:marRight w:val="0"/>
      <w:marTop w:val="0"/>
      <w:marBottom w:val="0"/>
      <w:divBdr>
        <w:top w:val="none" w:sz="0" w:space="0" w:color="auto"/>
        <w:left w:val="none" w:sz="0" w:space="0" w:color="auto"/>
        <w:bottom w:val="none" w:sz="0" w:space="0" w:color="auto"/>
        <w:right w:val="none" w:sz="0" w:space="0" w:color="auto"/>
      </w:divBdr>
    </w:div>
    <w:div w:id="46954239">
      <w:bodyDiv w:val="1"/>
      <w:marLeft w:val="0"/>
      <w:marRight w:val="0"/>
      <w:marTop w:val="0"/>
      <w:marBottom w:val="0"/>
      <w:divBdr>
        <w:top w:val="none" w:sz="0" w:space="0" w:color="auto"/>
        <w:left w:val="none" w:sz="0" w:space="0" w:color="auto"/>
        <w:bottom w:val="none" w:sz="0" w:space="0" w:color="auto"/>
        <w:right w:val="none" w:sz="0" w:space="0" w:color="auto"/>
      </w:divBdr>
    </w:div>
    <w:div w:id="47609614">
      <w:bodyDiv w:val="1"/>
      <w:marLeft w:val="0"/>
      <w:marRight w:val="0"/>
      <w:marTop w:val="0"/>
      <w:marBottom w:val="0"/>
      <w:divBdr>
        <w:top w:val="none" w:sz="0" w:space="0" w:color="auto"/>
        <w:left w:val="none" w:sz="0" w:space="0" w:color="auto"/>
        <w:bottom w:val="none" w:sz="0" w:space="0" w:color="auto"/>
        <w:right w:val="none" w:sz="0" w:space="0" w:color="auto"/>
      </w:divBdr>
    </w:div>
    <w:div w:id="47732464">
      <w:bodyDiv w:val="1"/>
      <w:marLeft w:val="0"/>
      <w:marRight w:val="0"/>
      <w:marTop w:val="0"/>
      <w:marBottom w:val="0"/>
      <w:divBdr>
        <w:top w:val="none" w:sz="0" w:space="0" w:color="auto"/>
        <w:left w:val="none" w:sz="0" w:space="0" w:color="auto"/>
        <w:bottom w:val="none" w:sz="0" w:space="0" w:color="auto"/>
        <w:right w:val="none" w:sz="0" w:space="0" w:color="auto"/>
      </w:divBdr>
    </w:div>
    <w:div w:id="47849833">
      <w:bodyDiv w:val="1"/>
      <w:marLeft w:val="0"/>
      <w:marRight w:val="0"/>
      <w:marTop w:val="0"/>
      <w:marBottom w:val="0"/>
      <w:divBdr>
        <w:top w:val="none" w:sz="0" w:space="0" w:color="auto"/>
        <w:left w:val="none" w:sz="0" w:space="0" w:color="auto"/>
        <w:bottom w:val="none" w:sz="0" w:space="0" w:color="auto"/>
        <w:right w:val="none" w:sz="0" w:space="0" w:color="auto"/>
      </w:divBdr>
    </w:div>
    <w:div w:id="48039038">
      <w:bodyDiv w:val="1"/>
      <w:marLeft w:val="0"/>
      <w:marRight w:val="0"/>
      <w:marTop w:val="0"/>
      <w:marBottom w:val="0"/>
      <w:divBdr>
        <w:top w:val="none" w:sz="0" w:space="0" w:color="auto"/>
        <w:left w:val="none" w:sz="0" w:space="0" w:color="auto"/>
        <w:bottom w:val="none" w:sz="0" w:space="0" w:color="auto"/>
        <w:right w:val="none" w:sz="0" w:space="0" w:color="auto"/>
      </w:divBdr>
    </w:div>
    <w:div w:id="49574567">
      <w:bodyDiv w:val="1"/>
      <w:marLeft w:val="0"/>
      <w:marRight w:val="0"/>
      <w:marTop w:val="0"/>
      <w:marBottom w:val="0"/>
      <w:divBdr>
        <w:top w:val="none" w:sz="0" w:space="0" w:color="auto"/>
        <w:left w:val="none" w:sz="0" w:space="0" w:color="auto"/>
        <w:bottom w:val="none" w:sz="0" w:space="0" w:color="auto"/>
        <w:right w:val="none" w:sz="0" w:space="0" w:color="auto"/>
      </w:divBdr>
    </w:div>
    <w:div w:id="49617215">
      <w:bodyDiv w:val="1"/>
      <w:marLeft w:val="0"/>
      <w:marRight w:val="0"/>
      <w:marTop w:val="0"/>
      <w:marBottom w:val="0"/>
      <w:divBdr>
        <w:top w:val="none" w:sz="0" w:space="0" w:color="auto"/>
        <w:left w:val="none" w:sz="0" w:space="0" w:color="auto"/>
        <w:bottom w:val="none" w:sz="0" w:space="0" w:color="auto"/>
        <w:right w:val="none" w:sz="0" w:space="0" w:color="auto"/>
      </w:divBdr>
    </w:div>
    <w:div w:id="49766104">
      <w:bodyDiv w:val="1"/>
      <w:marLeft w:val="0"/>
      <w:marRight w:val="0"/>
      <w:marTop w:val="0"/>
      <w:marBottom w:val="0"/>
      <w:divBdr>
        <w:top w:val="none" w:sz="0" w:space="0" w:color="auto"/>
        <w:left w:val="none" w:sz="0" w:space="0" w:color="auto"/>
        <w:bottom w:val="none" w:sz="0" w:space="0" w:color="auto"/>
        <w:right w:val="none" w:sz="0" w:space="0" w:color="auto"/>
      </w:divBdr>
    </w:div>
    <w:div w:id="49888951">
      <w:bodyDiv w:val="1"/>
      <w:marLeft w:val="0"/>
      <w:marRight w:val="0"/>
      <w:marTop w:val="0"/>
      <w:marBottom w:val="0"/>
      <w:divBdr>
        <w:top w:val="none" w:sz="0" w:space="0" w:color="auto"/>
        <w:left w:val="none" w:sz="0" w:space="0" w:color="auto"/>
        <w:bottom w:val="none" w:sz="0" w:space="0" w:color="auto"/>
        <w:right w:val="none" w:sz="0" w:space="0" w:color="auto"/>
      </w:divBdr>
    </w:div>
    <w:div w:id="50151885">
      <w:bodyDiv w:val="1"/>
      <w:marLeft w:val="0"/>
      <w:marRight w:val="0"/>
      <w:marTop w:val="0"/>
      <w:marBottom w:val="0"/>
      <w:divBdr>
        <w:top w:val="none" w:sz="0" w:space="0" w:color="auto"/>
        <w:left w:val="none" w:sz="0" w:space="0" w:color="auto"/>
        <w:bottom w:val="none" w:sz="0" w:space="0" w:color="auto"/>
        <w:right w:val="none" w:sz="0" w:space="0" w:color="auto"/>
      </w:divBdr>
    </w:div>
    <w:div w:id="50541806">
      <w:bodyDiv w:val="1"/>
      <w:marLeft w:val="0"/>
      <w:marRight w:val="0"/>
      <w:marTop w:val="0"/>
      <w:marBottom w:val="0"/>
      <w:divBdr>
        <w:top w:val="none" w:sz="0" w:space="0" w:color="auto"/>
        <w:left w:val="none" w:sz="0" w:space="0" w:color="auto"/>
        <w:bottom w:val="none" w:sz="0" w:space="0" w:color="auto"/>
        <w:right w:val="none" w:sz="0" w:space="0" w:color="auto"/>
      </w:divBdr>
    </w:div>
    <w:div w:id="51316237">
      <w:bodyDiv w:val="1"/>
      <w:marLeft w:val="0"/>
      <w:marRight w:val="0"/>
      <w:marTop w:val="0"/>
      <w:marBottom w:val="0"/>
      <w:divBdr>
        <w:top w:val="none" w:sz="0" w:space="0" w:color="auto"/>
        <w:left w:val="none" w:sz="0" w:space="0" w:color="auto"/>
        <w:bottom w:val="none" w:sz="0" w:space="0" w:color="auto"/>
        <w:right w:val="none" w:sz="0" w:space="0" w:color="auto"/>
      </w:divBdr>
    </w:div>
    <w:div w:id="51513231">
      <w:bodyDiv w:val="1"/>
      <w:marLeft w:val="0"/>
      <w:marRight w:val="0"/>
      <w:marTop w:val="0"/>
      <w:marBottom w:val="0"/>
      <w:divBdr>
        <w:top w:val="none" w:sz="0" w:space="0" w:color="auto"/>
        <w:left w:val="none" w:sz="0" w:space="0" w:color="auto"/>
        <w:bottom w:val="none" w:sz="0" w:space="0" w:color="auto"/>
        <w:right w:val="none" w:sz="0" w:space="0" w:color="auto"/>
      </w:divBdr>
    </w:div>
    <w:div w:id="51586721">
      <w:bodyDiv w:val="1"/>
      <w:marLeft w:val="0"/>
      <w:marRight w:val="0"/>
      <w:marTop w:val="0"/>
      <w:marBottom w:val="0"/>
      <w:divBdr>
        <w:top w:val="none" w:sz="0" w:space="0" w:color="auto"/>
        <w:left w:val="none" w:sz="0" w:space="0" w:color="auto"/>
        <w:bottom w:val="none" w:sz="0" w:space="0" w:color="auto"/>
        <w:right w:val="none" w:sz="0" w:space="0" w:color="auto"/>
      </w:divBdr>
    </w:div>
    <w:div w:id="51740153">
      <w:bodyDiv w:val="1"/>
      <w:marLeft w:val="0"/>
      <w:marRight w:val="0"/>
      <w:marTop w:val="0"/>
      <w:marBottom w:val="0"/>
      <w:divBdr>
        <w:top w:val="none" w:sz="0" w:space="0" w:color="auto"/>
        <w:left w:val="none" w:sz="0" w:space="0" w:color="auto"/>
        <w:bottom w:val="none" w:sz="0" w:space="0" w:color="auto"/>
        <w:right w:val="none" w:sz="0" w:space="0" w:color="auto"/>
      </w:divBdr>
    </w:div>
    <w:div w:id="52119503">
      <w:bodyDiv w:val="1"/>
      <w:marLeft w:val="0"/>
      <w:marRight w:val="0"/>
      <w:marTop w:val="0"/>
      <w:marBottom w:val="0"/>
      <w:divBdr>
        <w:top w:val="none" w:sz="0" w:space="0" w:color="auto"/>
        <w:left w:val="none" w:sz="0" w:space="0" w:color="auto"/>
        <w:bottom w:val="none" w:sz="0" w:space="0" w:color="auto"/>
        <w:right w:val="none" w:sz="0" w:space="0" w:color="auto"/>
      </w:divBdr>
    </w:div>
    <w:div w:id="52587655">
      <w:bodyDiv w:val="1"/>
      <w:marLeft w:val="0"/>
      <w:marRight w:val="0"/>
      <w:marTop w:val="0"/>
      <w:marBottom w:val="0"/>
      <w:divBdr>
        <w:top w:val="none" w:sz="0" w:space="0" w:color="auto"/>
        <w:left w:val="none" w:sz="0" w:space="0" w:color="auto"/>
        <w:bottom w:val="none" w:sz="0" w:space="0" w:color="auto"/>
        <w:right w:val="none" w:sz="0" w:space="0" w:color="auto"/>
      </w:divBdr>
    </w:div>
    <w:div w:id="52705407">
      <w:bodyDiv w:val="1"/>
      <w:marLeft w:val="0"/>
      <w:marRight w:val="0"/>
      <w:marTop w:val="0"/>
      <w:marBottom w:val="0"/>
      <w:divBdr>
        <w:top w:val="none" w:sz="0" w:space="0" w:color="auto"/>
        <w:left w:val="none" w:sz="0" w:space="0" w:color="auto"/>
        <w:bottom w:val="none" w:sz="0" w:space="0" w:color="auto"/>
        <w:right w:val="none" w:sz="0" w:space="0" w:color="auto"/>
      </w:divBdr>
    </w:div>
    <w:div w:id="52899932">
      <w:bodyDiv w:val="1"/>
      <w:marLeft w:val="0"/>
      <w:marRight w:val="0"/>
      <w:marTop w:val="0"/>
      <w:marBottom w:val="0"/>
      <w:divBdr>
        <w:top w:val="none" w:sz="0" w:space="0" w:color="auto"/>
        <w:left w:val="none" w:sz="0" w:space="0" w:color="auto"/>
        <w:bottom w:val="none" w:sz="0" w:space="0" w:color="auto"/>
        <w:right w:val="none" w:sz="0" w:space="0" w:color="auto"/>
      </w:divBdr>
    </w:div>
    <w:div w:id="53165770">
      <w:bodyDiv w:val="1"/>
      <w:marLeft w:val="0"/>
      <w:marRight w:val="0"/>
      <w:marTop w:val="0"/>
      <w:marBottom w:val="0"/>
      <w:divBdr>
        <w:top w:val="none" w:sz="0" w:space="0" w:color="auto"/>
        <w:left w:val="none" w:sz="0" w:space="0" w:color="auto"/>
        <w:bottom w:val="none" w:sz="0" w:space="0" w:color="auto"/>
        <w:right w:val="none" w:sz="0" w:space="0" w:color="auto"/>
      </w:divBdr>
    </w:div>
    <w:div w:id="53353897">
      <w:bodyDiv w:val="1"/>
      <w:marLeft w:val="0"/>
      <w:marRight w:val="0"/>
      <w:marTop w:val="0"/>
      <w:marBottom w:val="0"/>
      <w:divBdr>
        <w:top w:val="none" w:sz="0" w:space="0" w:color="auto"/>
        <w:left w:val="none" w:sz="0" w:space="0" w:color="auto"/>
        <w:bottom w:val="none" w:sz="0" w:space="0" w:color="auto"/>
        <w:right w:val="none" w:sz="0" w:space="0" w:color="auto"/>
      </w:divBdr>
    </w:div>
    <w:div w:id="53429507">
      <w:bodyDiv w:val="1"/>
      <w:marLeft w:val="0"/>
      <w:marRight w:val="0"/>
      <w:marTop w:val="0"/>
      <w:marBottom w:val="0"/>
      <w:divBdr>
        <w:top w:val="none" w:sz="0" w:space="0" w:color="auto"/>
        <w:left w:val="none" w:sz="0" w:space="0" w:color="auto"/>
        <w:bottom w:val="none" w:sz="0" w:space="0" w:color="auto"/>
        <w:right w:val="none" w:sz="0" w:space="0" w:color="auto"/>
      </w:divBdr>
    </w:div>
    <w:div w:id="53509005">
      <w:bodyDiv w:val="1"/>
      <w:marLeft w:val="0"/>
      <w:marRight w:val="0"/>
      <w:marTop w:val="0"/>
      <w:marBottom w:val="0"/>
      <w:divBdr>
        <w:top w:val="none" w:sz="0" w:space="0" w:color="auto"/>
        <w:left w:val="none" w:sz="0" w:space="0" w:color="auto"/>
        <w:bottom w:val="none" w:sz="0" w:space="0" w:color="auto"/>
        <w:right w:val="none" w:sz="0" w:space="0" w:color="auto"/>
      </w:divBdr>
    </w:div>
    <w:div w:id="54010130">
      <w:bodyDiv w:val="1"/>
      <w:marLeft w:val="0"/>
      <w:marRight w:val="0"/>
      <w:marTop w:val="0"/>
      <w:marBottom w:val="0"/>
      <w:divBdr>
        <w:top w:val="none" w:sz="0" w:space="0" w:color="auto"/>
        <w:left w:val="none" w:sz="0" w:space="0" w:color="auto"/>
        <w:bottom w:val="none" w:sz="0" w:space="0" w:color="auto"/>
        <w:right w:val="none" w:sz="0" w:space="0" w:color="auto"/>
      </w:divBdr>
    </w:div>
    <w:div w:id="54087496">
      <w:bodyDiv w:val="1"/>
      <w:marLeft w:val="0"/>
      <w:marRight w:val="0"/>
      <w:marTop w:val="0"/>
      <w:marBottom w:val="0"/>
      <w:divBdr>
        <w:top w:val="none" w:sz="0" w:space="0" w:color="auto"/>
        <w:left w:val="none" w:sz="0" w:space="0" w:color="auto"/>
        <w:bottom w:val="none" w:sz="0" w:space="0" w:color="auto"/>
        <w:right w:val="none" w:sz="0" w:space="0" w:color="auto"/>
      </w:divBdr>
    </w:div>
    <w:div w:id="54165400">
      <w:bodyDiv w:val="1"/>
      <w:marLeft w:val="0"/>
      <w:marRight w:val="0"/>
      <w:marTop w:val="0"/>
      <w:marBottom w:val="0"/>
      <w:divBdr>
        <w:top w:val="none" w:sz="0" w:space="0" w:color="auto"/>
        <w:left w:val="none" w:sz="0" w:space="0" w:color="auto"/>
        <w:bottom w:val="none" w:sz="0" w:space="0" w:color="auto"/>
        <w:right w:val="none" w:sz="0" w:space="0" w:color="auto"/>
      </w:divBdr>
    </w:div>
    <w:div w:id="55445626">
      <w:bodyDiv w:val="1"/>
      <w:marLeft w:val="0"/>
      <w:marRight w:val="0"/>
      <w:marTop w:val="0"/>
      <w:marBottom w:val="0"/>
      <w:divBdr>
        <w:top w:val="none" w:sz="0" w:space="0" w:color="auto"/>
        <w:left w:val="none" w:sz="0" w:space="0" w:color="auto"/>
        <w:bottom w:val="none" w:sz="0" w:space="0" w:color="auto"/>
        <w:right w:val="none" w:sz="0" w:space="0" w:color="auto"/>
      </w:divBdr>
    </w:div>
    <w:div w:id="55667643">
      <w:bodyDiv w:val="1"/>
      <w:marLeft w:val="0"/>
      <w:marRight w:val="0"/>
      <w:marTop w:val="0"/>
      <w:marBottom w:val="0"/>
      <w:divBdr>
        <w:top w:val="none" w:sz="0" w:space="0" w:color="auto"/>
        <w:left w:val="none" w:sz="0" w:space="0" w:color="auto"/>
        <w:bottom w:val="none" w:sz="0" w:space="0" w:color="auto"/>
        <w:right w:val="none" w:sz="0" w:space="0" w:color="auto"/>
      </w:divBdr>
    </w:div>
    <w:div w:id="55979835">
      <w:bodyDiv w:val="1"/>
      <w:marLeft w:val="0"/>
      <w:marRight w:val="0"/>
      <w:marTop w:val="0"/>
      <w:marBottom w:val="0"/>
      <w:divBdr>
        <w:top w:val="none" w:sz="0" w:space="0" w:color="auto"/>
        <w:left w:val="none" w:sz="0" w:space="0" w:color="auto"/>
        <w:bottom w:val="none" w:sz="0" w:space="0" w:color="auto"/>
        <w:right w:val="none" w:sz="0" w:space="0" w:color="auto"/>
      </w:divBdr>
    </w:div>
    <w:div w:id="56129721">
      <w:bodyDiv w:val="1"/>
      <w:marLeft w:val="0"/>
      <w:marRight w:val="0"/>
      <w:marTop w:val="0"/>
      <w:marBottom w:val="0"/>
      <w:divBdr>
        <w:top w:val="none" w:sz="0" w:space="0" w:color="auto"/>
        <w:left w:val="none" w:sz="0" w:space="0" w:color="auto"/>
        <w:bottom w:val="none" w:sz="0" w:space="0" w:color="auto"/>
        <w:right w:val="none" w:sz="0" w:space="0" w:color="auto"/>
      </w:divBdr>
    </w:div>
    <w:div w:id="56441712">
      <w:bodyDiv w:val="1"/>
      <w:marLeft w:val="0"/>
      <w:marRight w:val="0"/>
      <w:marTop w:val="0"/>
      <w:marBottom w:val="0"/>
      <w:divBdr>
        <w:top w:val="none" w:sz="0" w:space="0" w:color="auto"/>
        <w:left w:val="none" w:sz="0" w:space="0" w:color="auto"/>
        <w:bottom w:val="none" w:sz="0" w:space="0" w:color="auto"/>
        <w:right w:val="none" w:sz="0" w:space="0" w:color="auto"/>
      </w:divBdr>
    </w:div>
    <w:div w:id="56520477">
      <w:bodyDiv w:val="1"/>
      <w:marLeft w:val="0"/>
      <w:marRight w:val="0"/>
      <w:marTop w:val="0"/>
      <w:marBottom w:val="0"/>
      <w:divBdr>
        <w:top w:val="none" w:sz="0" w:space="0" w:color="auto"/>
        <w:left w:val="none" w:sz="0" w:space="0" w:color="auto"/>
        <w:bottom w:val="none" w:sz="0" w:space="0" w:color="auto"/>
        <w:right w:val="none" w:sz="0" w:space="0" w:color="auto"/>
      </w:divBdr>
    </w:div>
    <w:div w:id="56588093">
      <w:bodyDiv w:val="1"/>
      <w:marLeft w:val="0"/>
      <w:marRight w:val="0"/>
      <w:marTop w:val="0"/>
      <w:marBottom w:val="0"/>
      <w:divBdr>
        <w:top w:val="none" w:sz="0" w:space="0" w:color="auto"/>
        <w:left w:val="none" w:sz="0" w:space="0" w:color="auto"/>
        <w:bottom w:val="none" w:sz="0" w:space="0" w:color="auto"/>
        <w:right w:val="none" w:sz="0" w:space="0" w:color="auto"/>
      </w:divBdr>
    </w:div>
    <w:div w:id="56830869">
      <w:bodyDiv w:val="1"/>
      <w:marLeft w:val="0"/>
      <w:marRight w:val="0"/>
      <w:marTop w:val="0"/>
      <w:marBottom w:val="0"/>
      <w:divBdr>
        <w:top w:val="none" w:sz="0" w:space="0" w:color="auto"/>
        <w:left w:val="none" w:sz="0" w:space="0" w:color="auto"/>
        <w:bottom w:val="none" w:sz="0" w:space="0" w:color="auto"/>
        <w:right w:val="none" w:sz="0" w:space="0" w:color="auto"/>
      </w:divBdr>
    </w:div>
    <w:div w:id="57017068">
      <w:bodyDiv w:val="1"/>
      <w:marLeft w:val="0"/>
      <w:marRight w:val="0"/>
      <w:marTop w:val="0"/>
      <w:marBottom w:val="0"/>
      <w:divBdr>
        <w:top w:val="none" w:sz="0" w:space="0" w:color="auto"/>
        <w:left w:val="none" w:sz="0" w:space="0" w:color="auto"/>
        <w:bottom w:val="none" w:sz="0" w:space="0" w:color="auto"/>
        <w:right w:val="none" w:sz="0" w:space="0" w:color="auto"/>
      </w:divBdr>
    </w:div>
    <w:div w:id="57750894">
      <w:bodyDiv w:val="1"/>
      <w:marLeft w:val="0"/>
      <w:marRight w:val="0"/>
      <w:marTop w:val="0"/>
      <w:marBottom w:val="0"/>
      <w:divBdr>
        <w:top w:val="none" w:sz="0" w:space="0" w:color="auto"/>
        <w:left w:val="none" w:sz="0" w:space="0" w:color="auto"/>
        <w:bottom w:val="none" w:sz="0" w:space="0" w:color="auto"/>
        <w:right w:val="none" w:sz="0" w:space="0" w:color="auto"/>
      </w:divBdr>
    </w:div>
    <w:div w:id="58409116">
      <w:bodyDiv w:val="1"/>
      <w:marLeft w:val="0"/>
      <w:marRight w:val="0"/>
      <w:marTop w:val="0"/>
      <w:marBottom w:val="0"/>
      <w:divBdr>
        <w:top w:val="none" w:sz="0" w:space="0" w:color="auto"/>
        <w:left w:val="none" w:sz="0" w:space="0" w:color="auto"/>
        <w:bottom w:val="none" w:sz="0" w:space="0" w:color="auto"/>
        <w:right w:val="none" w:sz="0" w:space="0" w:color="auto"/>
      </w:divBdr>
    </w:div>
    <w:div w:id="58872074">
      <w:bodyDiv w:val="1"/>
      <w:marLeft w:val="0"/>
      <w:marRight w:val="0"/>
      <w:marTop w:val="0"/>
      <w:marBottom w:val="0"/>
      <w:divBdr>
        <w:top w:val="none" w:sz="0" w:space="0" w:color="auto"/>
        <w:left w:val="none" w:sz="0" w:space="0" w:color="auto"/>
        <w:bottom w:val="none" w:sz="0" w:space="0" w:color="auto"/>
        <w:right w:val="none" w:sz="0" w:space="0" w:color="auto"/>
      </w:divBdr>
    </w:div>
    <w:div w:id="58948021">
      <w:bodyDiv w:val="1"/>
      <w:marLeft w:val="0"/>
      <w:marRight w:val="0"/>
      <w:marTop w:val="0"/>
      <w:marBottom w:val="0"/>
      <w:divBdr>
        <w:top w:val="none" w:sz="0" w:space="0" w:color="auto"/>
        <w:left w:val="none" w:sz="0" w:space="0" w:color="auto"/>
        <w:bottom w:val="none" w:sz="0" w:space="0" w:color="auto"/>
        <w:right w:val="none" w:sz="0" w:space="0" w:color="auto"/>
      </w:divBdr>
    </w:div>
    <w:div w:id="58987751">
      <w:bodyDiv w:val="1"/>
      <w:marLeft w:val="0"/>
      <w:marRight w:val="0"/>
      <w:marTop w:val="0"/>
      <w:marBottom w:val="0"/>
      <w:divBdr>
        <w:top w:val="none" w:sz="0" w:space="0" w:color="auto"/>
        <w:left w:val="none" w:sz="0" w:space="0" w:color="auto"/>
        <w:bottom w:val="none" w:sz="0" w:space="0" w:color="auto"/>
        <w:right w:val="none" w:sz="0" w:space="0" w:color="auto"/>
      </w:divBdr>
    </w:div>
    <w:div w:id="59014527">
      <w:bodyDiv w:val="1"/>
      <w:marLeft w:val="0"/>
      <w:marRight w:val="0"/>
      <w:marTop w:val="0"/>
      <w:marBottom w:val="0"/>
      <w:divBdr>
        <w:top w:val="none" w:sz="0" w:space="0" w:color="auto"/>
        <w:left w:val="none" w:sz="0" w:space="0" w:color="auto"/>
        <w:bottom w:val="none" w:sz="0" w:space="0" w:color="auto"/>
        <w:right w:val="none" w:sz="0" w:space="0" w:color="auto"/>
      </w:divBdr>
    </w:div>
    <w:div w:id="59402343">
      <w:bodyDiv w:val="1"/>
      <w:marLeft w:val="0"/>
      <w:marRight w:val="0"/>
      <w:marTop w:val="0"/>
      <w:marBottom w:val="0"/>
      <w:divBdr>
        <w:top w:val="none" w:sz="0" w:space="0" w:color="auto"/>
        <w:left w:val="none" w:sz="0" w:space="0" w:color="auto"/>
        <w:bottom w:val="none" w:sz="0" w:space="0" w:color="auto"/>
        <w:right w:val="none" w:sz="0" w:space="0" w:color="auto"/>
      </w:divBdr>
    </w:div>
    <w:div w:id="59988743">
      <w:bodyDiv w:val="1"/>
      <w:marLeft w:val="0"/>
      <w:marRight w:val="0"/>
      <w:marTop w:val="0"/>
      <w:marBottom w:val="0"/>
      <w:divBdr>
        <w:top w:val="none" w:sz="0" w:space="0" w:color="auto"/>
        <w:left w:val="none" w:sz="0" w:space="0" w:color="auto"/>
        <w:bottom w:val="none" w:sz="0" w:space="0" w:color="auto"/>
        <w:right w:val="none" w:sz="0" w:space="0" w:color="auto"/>
      </w:divBdr>
    </w:div>
    <w:div w:id="60057052">
      <w:bodyDiv w:val="1"/>
      <w:marLeft w:val="0"/>
      <w:marRight w:val="0"/>
      <w:marTop w:val="0"/>
      <w:marBottom w:val="0"/>
      <w:divBdr>
        <w:top w:val="none" w:sz="0" w:space="0" w:color="auto"/>
        <w:left w:val="none" w:sz="0" w:space="0" w:color="auto"/>
        <w:bottom w:val="none" w:sz="0" w:space="0" w:color="auto"/>
        <w:right w:val="none" w:sz="0" w:space="0" w:color="auto"/>
      </w:divBdr>
    </w:div>
    <w:div w:id="60370380">
      <w:bodyDiv w:val="1"/>
      <w:marLeft w:val="0"/>
      <w:marRight w:val="0"/>
      <w:marTop w:val="0"/>
      <w:marBottom w:val="0"/>
      <w:divBdr>
        <w:top w:val="none" w:sz="0" w:space="0" w:color="auto"/>
        <w:left w:val="none" w:sz="0" w:space="0" w:color="auto"/>
        <w:bottom w:val="none" w:sz="0" w:space="0" w:color="auto"/>
        <w:right w:val="none" w:sz="0" w:space="0" w:color="auto"/>
      </w:divBdr>
    </w:div>
    <w:div w:id="60762159">
      <w:bodyDiv w:val="1"/>
      <w:marLeft w:val="0"/>
      <w:marRight w:val="0"/>
      <w:marTop w:val="0"/>
      <w:marBottom w:val="0"/>
      <w:divBdr>
        <w:top w:val="none" w:sz="0" w:space="0" w:color="auto"/>
        <w:left w:val="none" w:sz="0" w:space="0" w:color="auto"/>
        <w:bottom w:val="none" w:sz="0" w:space="0" w:color="auto"/>
        <w:right w:val="none" w:sz="0" w:space="0" w:color="auto"/>
      </w:divBdr>
    </w:div>
    <w:div w:id="61025797">
      <w:bodyDiv w:val="1"/>
      <w:marLeft w:val="0"/>
      <w:marRight w:val="0"/>
      <w:marTop w:val="0"/>
      <w:marBottom w:val="0"/>
      <w:divBdr>
        <w:top w:val="none" w:sz="0" w:space="0" w:color="auto"/>
        <w:left w:val="none" w:sz="0" w:space="0" w:color="auto"/>
        <w:bottom w:val="none" w:sz="0" w:space="0" w:color="auto"/>
        <w:right w:val="none" w:sz="0" w:space="0" w:color="auto"/>
      </w:divBdr>
    </w:div>
    <w:div w:id="61102431">
      <w:bodyDiv w:val="1"/>
      <w:marLeft w:val="0"/>
      <w:marRight w:val="0"/>
      <w:marTop w:val="0"/>
      <w:marBottom w:val="0"/>
      <w:divBdr>
        <w:top w:val="none" w:sz="0" w:space="0" w:color="auto"/>
        <w:left w:val="none" w:sz="0" w:space="0" w:color="auto"/>
        <w:bottom w:val="none" w:sz="0" w:space="0" w:color="auto"/>
        <w:right w:val="none" w:sz="0" w:space="0" w:color="auto"/>
      </w:divBdr>
    </w:div>
    <w:div w:id="61762244">
      <w:bodyDiv w:val="1"/>
      <w:marLeft w:val="0"/>
      <w:marRight w:val="0"/>
      <w:marTop w:val="0"/>
      <w:marBottom w:val="0"/>
      <w:divBdr>
        <w:top w:val="none" w:sz="0" w:space="0" w:color="auto"/>
        <w:left w:val="none" w:sz="0" w:space="0" w:color="auto"/>
        <w:bottom w:val="none" w:sz="0" w:space="0" w:color="auto"/>
        <w:right w:val="none" w:sz="0" w:space="0" w:color="auto"/>
      </w:divBdr>
    </w:div>
    <w:div w:id="62024369">
      <w:bodyDiv w:val="1"/>
      <w:marLeft w:val="0"/>
      <w:marRight w:val="0"/>
      <w:marTop w:val="0"/>
      <w:marBottom w:val="0"/>
      <w:divBdr>
        <w:top w:val="none" w:sz="0" w:space="0" w:color="auto"/>
        <w:left w:val="none" w:sz="0" w:space="0" w:color="auto"/>
        <w:bottom w:val="none" w:sz="0" w:space="0" w:color="auto"/>
        <w:right w:val="none" w:sz="0" w:space="0" w:color="auto"/>
      </w:divBdr>
    </w:div>
    <w:div w:id="62027002">
      <w:bodyDiv w:val="1"/>
      <w:marLeft w:val="0"/>
      <w:marRight w:val="0"/>
      <w:marTop w:val="0"/>
      <w:marBottom w:val="0"/>
      <w:divBdr>
        <w:top w:val="none" w:sz="0" w:space="0" w:color="auto"/>
        <w:left w:val="none" w:sz="0" w:space="0" w:color="auto"/>
        <w:bottom w:val="none" w:sz="0" w:space="0" w:color="auto"/>
        <w:right w:val="none" w:sz="0" w:space="0" w:color="auto"/>
      </w:divBdr>
    </w:div>
    <w:div w:id="62218453">
      <w:bodyDiv w:val="1"/>
      <w:marLeft w:val="0"/>
      <w:marRight w:val="0"/>
      <w:marTop w:val="0"/>
      <w:marBottom w:val="0"/>
      <w:divBdr>
        <w:top w:val="none" w:sz="0" w:space="0" w:color="auto"/>
        <w:left w:val="none" w:sz="0" w:space="0" w:color="auto"/>
        <w:bottom w:val="none" w:sz="0" w:space="0" w:color="auto"/>
        <w:right w:val="none" w:sz="0" w:space="0" w:color="auto"/>
      </w:divBdr>
    </w:div>
    <w:div w:id="62530273">
      <w:bodyDiv w:val="1"/>
      <w:marLeft w:val="0"/>
      <w:marRight w:val="0"/>
      <w:marTop w:val="0"/>
      <w:marBottom w:val="0"/>
      <w:divBdr>
        <w:top w:val="none" w:sz="0" w:space="0" w:color="auto"/>
        <w:left w:val="none" w:sz="0" w:space="0" w:color="auto"/>
        <w:bottom w:val="none" w:sz="0" w:space="0" w:color="auto"/>
        <w:right w:val="none" w:sz="0" w:space="0" w:color="auto"/>
      </w:divBdr>
    </w:div>
    <w:div w:id="62947046">
      <w:bodyDiv w:val="1"/>
      <w:marLeft w:val="0"/>
      <w:marRight w:val="0"/>
      <w:marTop w:val="0"/>
      <w:marBottom w:val="0"/>
      <w:divBdr>
        <w:top w:val="none" w:sz="0" w:space="0" w:color="auto"/>
        <w:left w:val="none" w:sz="0" w:space="0" w:color="auto"/>
        <w:bottom w:val="none" w:sz="0" w:space="0" w:color="auto"/>
        <w:right w:val="none" w:sz="0" w:space="0" w:color="auto"/>
      </w:divBdr>
    </w:div>
    <w:div w:id="63920723">
      <w:bodyDiv w:val="1"/>
      <w:marLeft w:val="0"/>
      <w:marRight w:val="0"/>
      <w:marTop w:val="0"/>
      <w:marBottom w:val="0"/>
      <w:divBdr>
        <w:top w:val="none" w:sz="0" w:space="0" w:color="auto"/>
        <w:left w:val="none" w:sz="0" w:space="0" w:color="auto"/>
        <w:bottom w:val="none" w:sz="0" w:space="0" w:color="auto"/>
        <w:right w:val="none" w:sz="0" w:space="0" w:color="auto"/>
      </w:divBdr>
    </w:div>
    <w:div w:id="65425223">
      <w:bodyDiv w:val="1"/>
      <w:marLeft w:val="0"/>
      <w:marRight w:val="0"/>
      <w:marTop w:val="0"/>
      <w:marBottom w:val="0"/>
      <w:divBdr>
        <w:top w:val="none" w:sz="0" w:space="0" w:color="auto"/>
        <w:left w:val="none" w:sz="0" w:space="0" w:color="auto"/>
        <w:bottom w:val="none" w:sz="0" w:space="0" w:color="auto"/>
        <w:right w:val="none" w:sz="0" w:space="0" w:color="auto"/>
      </w:divBdr>
    </w:div>
    <w:div w:id="66151373">
      <w:bodyDiv w:val="1"/>
      <w:marLeft w:val="0"/>
      <w:marRight w:val="0"/>
      <w:marTop w:val="0"/>
      <w:marBottom w:val="0"/>
      <w:divBdr>
        <w:top w:val="none" w:sz="0" w:space="0" w:color="auto"/>
        <w:left w:val="none" w:sz="0" w:space="0" w:color="auto"/>
        <w:bottom w:val="none" w:sz="0" w:space="0" w:color="auto"/>
        <w:right w:val="none" w:sz="0" w:space="0" w:color="auto"/>
      </w:divBdr>
    </w:div>
    <w:div w:id="66997923">
      <w:bodyDiv w:val="1"/>
      <w:marLeft w:val="0"/>
      <w:marRight w:val="0"/>
      <w:marTop w:val="0"/>
      <w:marBottom w:val="0"/>
      <w:divBdr>
        <w:top w:val="none" w:sz="0" w:space="0" w:color="auto"/>
        <w:left w:val="none" w:sz="0" w:space="0" w:color="auto"/>
        <w:bottom w:val="none" w:sz="0" w:space="0" w:color="auto"/>
        <w:right w:val="none" w:sz="0" w:space="0" w:color="auto"/>
      </w:divBdr>
    </w:div>
    <w:div w:id="67391181">
      <w:bodyDiv w:val="1"/>
      <w:marLeft w:val="0"/>
      <w:marRight w:val="0"/>
      <w:marTop w:val="0"/>
      <w:marBottom w:val="0"/>
      <w:divBdr>
        <w:top w:val="none" w:sz="0" w:space="0" w:color="auto"/>
        <w:left w:val="none" w:sz="0" w:space="0" w:color="auto"/>
        <w:bottom w:val="none" w:sz="0" w:space="0" w:color="auto"/>
        <w:right w:val="none" w:sz="0" w:space="0" w:color="auto"/>
      </w:divBdr>
    </w:div>
    <w:div w:id="67575681">
      <w:bodyDiv w:val="1"/>
      <w:marLeft w:val="0"/>
      <w:marRight w:val="0"/>
      <w:marTop w:val="0"/>
      <w:marBottom w:val="0"/>
      <w:divBdr>
        <w:top w:val="none" w:sz="0" w:space="0" w:color="auto"/>
        <w:left w:val="none" w:sz="0" w:space="0" w:color="auto"/>
        <w:bottom w:val="none" w:sz="0" w:space="0" w:color="auto"/>
        <w:right w:val="none" w:sz="0" w:space="0" w:color="auto"/>
      </w:divBdr>
    </w:div>
    <w:div w:id="67777441">
      <w:bodyDiv w:val="1"/>
      <w:marLeft w:val="0"/>
      <w:marRight w:val="0"/>
      <w:marTop w:val="0"/>
      <w:marBottom w:val="0"/>
      <w:divBdr>
        <w:top w:val="none" w:sz="0" w:space="0" w:color="auto"/>
        <w:left w:val="none" w:sz="0" w:space="0" w:color="auto"/>
        <w:bottom w:val="none" w:sz="0" w:space="0" w:color="auto"/>
        <w:right w:val="none" w:sz="0" w:space="0" w:color="auto"/>
      </w:divBdr>
    </w:div>
    <w:div w:id="68354577">
      <w:bodyDiv w:val="1"/>
      <w:marLeft w:val="0"/>
      <w:marRight w:val="0"/>
      <w:marTop w:val="0"/>
      <w:marBottom w:val="0"/>
      <w:divBdr>
        <w:top w:val="none" w:sz="0" w:space="0" w:color="auto"/>
        <w:left w:val="none" w:sz="0" w:space="0" w:color="auto"/>
        <w:bottom w:val="none" w:sz="0" w:space="0" w:color="auto"/>
        <w:right w:val="none" w:sz="0" w:space="0" w:color="auto"/>
      </w:divBdr>
    </w:div>
    <w:div w:id="68381908">
      <w:bodyDiv w:val="1"/>
      <w:marLeft w:val="0"/>
      <w:marRight w:val="0"/>
      <w:marTop w:val="0"/>
      <w:marBottom w:val="0"/>
      <w:divBdr>
        <w:top w:val="none" w:sz="0" w:space="0" w:color="auto"/>
        <w:left w:val="none" w:sz="0" w:space="0" w:color="auto"/>
        <w:bottom w:val="none" w:sz="0" w:space="0" w:color="auto"/>
        <w:right w:val="none" w:sz="0" w:space="0" w:color="auto"/>
      </w:divBdr>
    </w:div>
    <w:div w:id="68623882">
      <w:bodyDiv w:val="1"/>
      <w:marLeft w:val="0"/>
      <w:marRight w:val="0"/>
      <w:marTop w:val="0"/>
      <w:marBottom w:val="0"/>
      <w:divBdr>
        <w:top w:val="none" w:sz="0" w:space="0" w:color="auto"/>
        <w:left w:val="none" w:sz="0" w:space="0" w:color="auto"/>
        <w:bottom w:val="none" w:sz="0" w:space="0" w:color="auto"/>
        <w:right w:val="none" w:sz="0" w:space="0" w:color="auto"/>
      </w:divBdr>
    </w:div>
    <w:div w:id="68774199">
      <w:bodyDiv w:val="1"/>
      <w:marLeft w:val="0"/>
      <w:marRight w:val="0"/>
      <w:marTop w:val="0"/>
      <w:marBottom w:val="0"/>
      <w:divBdr>
        <w:top w:val="none" w:sz="0" w:space="0" w:color="auto"/>
        <w:left w:val="none" w:sz="0" w:space="0" w:color="auto"/>
        <w:bottom w:val="none" w:sz="0" w:space="0" w:color="auto"/>
        <w:right w:val="none" w:sz="0" w:space="0" w:color="auto"/>
      </w:divBdr>
    </w:div>
    <w:div w:id="69039016">
      <w:bodyDiv w:val="1"/>
      <w:marLeft w:val="0"/>
      <w:marRight w:val="0"/>
      <w:marTop w:val="0"/>
      <w:marBottom w:val="0"/>
      <w:divBdr>
        <w:top w:val="none" w:sz="0" w:space="0" w:color="auto"/>
        <w:left w:val="none" w:sz="0" w:space="0" w:color="auto"/>
        <w:bottom w:val="none" w:sz="0" w:space="0" w:color="auto"/>
        <w:right w:val="none" w:sz="0" w:space="0" w:color="auto"/>
      </w:divBdr>
    </w:div>
    <w:div w:id="69042003">
      <w:bodyDiv w:val="1"/>
      <w:marLeft w:val="0"/>
      <w:marRight w:val="0"/>
      <w:marTop w:val="0"/>
      <w:marBottom w:val="0"/>
      <w:divBdr>
        <w:top w:val="none" w:sz="0" w:space="0" w:color="auto"/>
        <w:left w:val="none" w:sz="0" w:space="0" w:color="auto"/>
        <w:bottom w:val="none" w:sz="0" w:space="0" w:color="auto"/>
        <w:right w:val="none" w:sz="0" w:space="0" w:color="auto"/>
      </w:divBdr>
    </w:div>
    <w:div w:id="69625368">
      <w:bodyDiv w:val="1"/>
      <w:marLeft w:val="0"/>
      <w:marRight w:val="0"/>
      <w:marTop w:val="0"/>
      <w:marBottom w:val="0"/>
      <w:divBdr>
        <w:top w:val="none" w:sz="0" w:space="0" w:color="auto"/>
        <w:left w:val="none" w:sz="0" w:space="0" w:color="auto"/>
        <w:bottom w:val="none" w:sz="0" w:space="0" w:color="auto"/>
        <w:right w:val="none" w:sz="0" w:space="0" w:color="auto"/>
      </w:divBdr>
    </w:div>
    <w:div w:id="69739635">
      <w:bodyDiv w:val="1"/>
      <w:marLeft w:val="0"/>
      <w:marRight w:val="0"/>
      <w:marTop w:val="0"/>
      <w:marBottom w:val="0"/>
      <w:divBdr>
        <w:top w:val="none" w:sz="0" w:space="0" w:color="auto"/>
        <w:left w:val="none" w:sz="0" w:space="0" w:color="auto"/>
        <w:bottom w:val="none" w:sz="0" w:space="0" w:color="auto"/>
        <w:right w:val="none" w:sz="0" w:space="0" w:color="auto"/>
      </w:divBdr>
    </w:div>
    <w:div w:id="70279991">
      <w:bodyDiv w:val="1"/>
      <w:marLeft w:val="0"/>
      <w:marRight w:val="0"/>
      <w:marTop w:val="0"/>
      <w:marBottom w:val="0"/>
      <w:divBdr>
        <w:top w:val="none" w:sz="0" w:space="0" w:color="auto"/>
        <w:left w:val="none" w:sz="0" w:space="0" w:color="auto"/>
        <w:bottom w:val="none" w:sz="0" w:space="0" w:color="auto"/>
        <w:right w:val="none" w:sz="0" w:space="0" w:color="auto"/>
      </w:divBdr>
    </w:div>
    <w:div w:id="70540929">
      <w:bodyDiv w:val="1"/>
      <w:marLeft w:val="0"/>
      <w:marRight w:val="0"/>
      <w:marTop w:val="0"/>
      <w:marBottom w:val="0"/>
      <w:divBdr>
        <w:top w:val="none" w:sz="0" w:space="0" w:color="auto"/>
        <w:left w:val="none" w:sz="0" w:space="0" w:color="auto"/>
        <w:bottom w:val="none" w:sz="0" w:space="0" w:color="auto"/>
        <w:right w:val="none" w:sz="0" w:space="0" w:color="auto"/>
      </w:divBdr>
    </w:div>
    <w:div w:id="70742774">
      <w:bodyDiv w:val="1"/>
      <w:marLeft w:val="0"/>
      <w:marRight w:val="0"/>
      <w:marTop w:val="0"/>
      <w:marBottom w:val="0"/>
      <w:divBdr>
        <w:top w:val="none" w:sz="0" w:space="0" w:color="auto"/>
        <w:left w:val="none" w:sz="0" w:space="0" w:color="auto"/>
        <w:bottom w:val="none" w:sz="0" w:space="0" w:color="auto"/>
        <w:right w:val="none" w:sz="0" w:space="0" w:color="auto"/>
      </w:divBdr>
    </w:div>
    <w:div w:id="70854363">
      <w:bodyDiv w:val="1"/>
      <w:marLeft w:val="0"/>
      <w:marRight w:val="0"/>
      <w:marTop w:val="0"/>
      <w:marBottom w:val="0"/>
      <w:divBdr>
        <w:top w:val="none" w:sz="0" w:space="0" w:color="auto"/>
        <w:left w:val="none" w:sz="0" w:space="0" w:color="auto"/>
        <w:bottom w:val="none" w:sz="0" w:space="0" w:color="auto"/>
        <w:right w:val="none" w:sz="0" w:space="0" w:color="auto"/>
      </w:divBdr>
    </w:div>
    <w:div w:id="70858856">
      <w:bodyDiv w:val="1"/>
      <w:marLeft w:val="0"/>
      <w:marRight w:val="0"/>
      <w:marTop w:val="0"/>
      <w:marBottom w:val="0"/>
      <w:divBdr>
        <w:top w:val="none" w:sz="0" w:space="0" w:color="auto"/>
        <w:left w:val="none" w:sz="0" w:space="0" w:color="auto"/>
        <w:bottom w:val="none" w:sz="0" w:space="0" w:color="auto"/>
        <w:right w:val="none" w:sz="0" w:space="0" w:color="auto"/>
      </w:divBdr>
    </w:div>
    <w:div w:id="71202950">
      <w:bodyDiv w:val="1"/>
      <w:marLeft w:val="0"/>
      <w:marRight w:val="0"/>
      <w:marTop w:val="0"/>
      <w:marBottom w:val="0"/>
      <w:divBdr>
        <w:top w:val="none" w:sz="0" w:space="0" w:color="auto"/>
        <w:left w:val="none" w:sz="0" w:space="0" w:color="auto"/>
        <w:bottom w:val="none" w:sz="0" w:space="0" w:color="auto"/>
        <w:right w:val="none" w:sz="0" w:space="0" w:color="auto"/>
      </w:divBdr>
    </w:div>
    <w:div w:id="71853680">
      <w:bodyDiv w:val="1"/>
      <w:marLeft w:val="0"/>
      <w:marRight w:val="0"/>
      <w:marTop w:val="0"/>
      <w:marBottom w:val="0"/>
      <w:divBdr>
        <w:top w:val="none" w:sz="0" w:space="0" w:color="auto"/>
        <w:left w:val="none" w:sz="0" w:space="0" w:color="auto"/>
        <w:bottom w:val="none" w:sz="0" w:space="0" w:color="auto"/>
        <w:right w:val="none" w:sz="0" w:space="0" w:color="auto"/>
      </w:divBdr>
    </w:div>
    <w:div w:id="72048473">
      <w:bodyDiv w:val="1"/>
      <w:marLeft w:val="0"/>
      <w:marRight w:val="0"/>
      <w:marTop w:val="0"/>
      <w:marBottom w:val="0"/>
      <w:divBdr>
        <w:top w:val="none" w:sz="0" w:space="0" w:color="auto"/>
        <w:left w:val="none" w:sz="0" w:space="0" w:color="auto"/>
        <w:bottom w:val="none" w:sz="0" w:space="0" w:color="auto"/>
        <w:right w:val="none" w:sz="0" w:space="0" w:color="auto"/>
      </w:divBdr>
    </w:div>
    <w:div w:id="72092807">
      <w:bodyDiv w:val="1"/>
      <w:marLeft w:val="0"/>
      <w:marRight w:val="0"/>
      <w:marTop w:val="0"/>
      <w:marBottom w:val="0"/>
      <w:divBdr>
        <w:top w:val="none" w:sz="0" w:space="0" w:color="auto"/>
        <w:left w:val="none" w:sz="0" w:space="0" w:color="auto"/>
        <w:bottom w:val="none" w:sz="0" w:space="0" w:color="auto"/>
        <w:right w:val="none" w:sz="0" w:space="0" w:color="auto"/>
      </w:divBdr>
    </w:div>
    <w:div w:id="73019007">
      <w:bodyDiv w:val="1"/>
      <w:marLeft w:val="0"/>
      <w:marRight w:val="0"/>
      <w:marTop w:val="0"/>
      <w:marBottom w:val="0"/>
      <w:divBdr>
        <w:top w:val="none" w:sz="0" w:space="0" w:color="auto"/>
        <w:left w:val="none" w:sz="0" w:space="0" w:color="auto"/>
        <w:bottom w:val="none" w:sz="0" w:space="0" w:color="auto"/>
        <w:right w:val="none" w:sz="0" w:space="0" w:color="auto"/>
      </w:divBdr>
    </w:div>
    <w:div w:id="73093064">
      <w:bodyDiv w:val="1"/>
      <w:marLeft w:val="0"/>
      <w:marRight w:val="0"/>
      <w:marTop w:val="0"/>
      <w:marBottom w:val="0"/>
      <w:divBdr>
        <w:top w:val="none" w:sz="0" w:space="0" w:color="auto"/>
        <w:left w:val="none" w:sz="0" w:space="0" w:color="auto"/>
        <w:bottom w:val="none" w:sz="0" w:space="0" w:color="auto"/>
        <w:right w:val="none" w:sz="0" w:space="0" w:color="auto"/>
      </w:divBdr>
    </w:div>
    <w:div w:id="74211379">
      <w:bodyDiv w:val="1"/>
      <w:marLeft w:val="0"/>
      <w:marRight w:val="0"/>
      <w:marTop w:val="0"/>
      <w:marBottom w:val="0"/>
      <w:divBdr>
        <w:top w:val="none" w:sz="0" w:space="0" w:color="auto"/>
        <w:left w:val="none" w:sz="0" w:space="0" w:color="auto"/>
        <w:bottom w:val="none" w:sz="0" w:space="0" w:color="auto"/>
        <w:right w:val="none" w:sz="0" w:space="0" w:color="auto"/>
      </w:divBdr>
    </w:div>
    <w:div w:id="74474595">
      <w:bodyDiv w:val="1"/>
      <w:marLeft w:val="0"/>
      <w:marRight w:val="0"/>
      <w:marTop w:val="0"/>
      <w:marBottom w:val="0"/>
      <w:divBdr>
        <w:top w:val="none" w:sz="0" w:space="0" w:color="auto"/>
        <w:left w:val="none" w:sz="0" w:space="0" w:color="auto"/>
        <w:bottom w:val="none" w:sz="0" w:space="0" w:color="auto"/>
        <w:right w:val="none" w:sz="0" w:space="0" w:color="auto"/>
      </w:divBdr>
    </w:div>
    <w:div w:id="74480888">
      <w:bodyDiv w:val="1"/>
      <w:marLeft w:val="0"/>
      <w:marRight w:val="0"/>
      <w:marTop w:val="0"/>
      <w:marBottom w:val="0"/>
      <w:divBdr>
        <w:top w:val="none" w:sz="0" w:space="0" w:color="auto"/>
        <w:left w:val="none" w:sz="0" w:space="0" w:color="auto"/>
        <w:bottom w:val="none" w:sz="0" w:space="0" w:color="auto"/>
        <w:right w:val="none" w:sz="0" w:space="0" w:color="auto"/>
      </w:divBdr>
    </w:div>
    <w:div w:id="74589907">
      <w:bodyDiv w:val="1"/>
      <w:marLeft w:val="0"/>
      <w:marRight w:val="0"/>
      <w:marTop w:val="0"/>
      <w:marBottom w:val="0"/>
      <w:divBdr>
        <w:top w:val="none" w:sz="0" w:space="0" w:color="auto"/>
        <w:left w:val="none" w:sz="0" w:space="0" w:color="auto"/>
        <w:bottom w:val="none" w:sz="0" w:space="0" w:color="auto"/>
        <w:right w:val="none" w:sz="0" w:space="0" w:color="auto"/>
      </w:divBdr>
    </w:div>
    <w:div w:id="74714519">
      <w:bodyDiv w:val="1"/>
      <w:marLeft w:val="0"/>
      <w:marRight w:val="0"/>
      <w:marTop w:val="0"/>
      <w:marBottom w:val="0"/>
      <w:divBdr>
        <w:top w:val="none" w:sz="0" w:space="0" w:color="auto"/>
        <w:left w:val="none" w:sz="0" w:space="0" w:color="auto"/>
        <w:bottom w:val="none" w:sz="0" w:space="0" w:color="auto"/>
        <w:right w:val="none" w:sz="0" w:space="0" w:color="auto"/>
      </w:divBdr>
    </w:div>
    <w:div w:id="75134595">
      <w:bodyDiv w:val="1"/>
      <w:marLeft w:val="0"/>
      <w:marRight w:val="0"/>
      <w:marTop w:val="0"/>
      <w:marBottom w:val="0"/>
      <w:divBdr>
        <w:top w:val="none" w:sz="0" w:space="0" w:color="auto"/>
        <w:left w:val="none" w:sz="0" w:space="0" w:color="auto"/>
        <w:bottom w:val="none" w:sz="0" w:space="0" w:color="auto"/>
        <w:right w:val="none" w:sz="0" w:space="0" w:color="auto"/>
      </w:divBdr>
    </w:div>
    <w:div w:id="75367994">
      <w:bodyDiv w:val="1"/>
      <w:marLeft w:val="0"/>
      <w:marRight w:val="0"/>
      <w:marTop w:val="0"/>
      <w:marBottom w:val="0"/>
      <w:divBdr>
        <w:top w:val="none" w:sz="0" w:space="0" w:color="auto"/>
        <w:left w:val="none" w:sz="0" w:space="0" w:color="auto"/>
        <w:bottom w:val="none" w:sz="0" w:space="0" w:color="auto"/>
        <w:right w:val="none" w:sz="0" w:space="0" w:color="auto"/>
      </w:divBdr>
    </w:div>
    <w:div w:id="75521207">
      <w:bodyDiv w:val="1"/>
      <w:marLeft w:val="0"/>
      <w:marRight w:val="0"/>
      <w:marTop w:val="0"/>
      <w:marBottom w:val="0"/>
      <w:divBdr>
        <w:top w:val="none" w:sz="0" w:space="0" w:color="auto"/>
        <w:left w:val="none" w:sz="0" w:space="0" w:color="auto"/>
        <w:bottom w:val="none" w:sz="0" w:space="0" w:color="auto"/>
        <w:right w:val="none" w:sz="0" w:space="0" w:color="auto"/>
      </w:divBdr>
    </w:div>
    <w:div w:id="76024029">
      <w:bodyDiv w:val="1"/>
      <w:marLeft w:val="0"/>
      <w:marRight w:val="0"/>
      <w:marTop w:val="0"/>
      <w:marBottom w:val="0"/>
      <w:divBdr>
        <w:top w:val="none" w:sz="0" w:space="0" w:color="auto"/>
        <w:left w:val="none" w:sz="0" w:space="0" w:color="auto"/>
        <w:bottom w:val="none" w:sz="0" w:space="0" w:color="auto"/>
        <w:right w:val="none" w:sz="0" w:space="0" w:color="auto"/>
      </w:divBdr>
    </w:div>
    <w:div w:id="76170557">
      <w:bodyDiv w:val="1"/>
      <w:marLeft w:val="0"/>
      <w:marRight w:val="0"/>
      <w:marTop w:val="0"/>
      <w:marBottom w:val="0"/>
      <w:divBdr>
        <w:top w:val="none" w:sz="0" w:space="0" w:color="auto"/>
        <w:left w:val="none" w:sz="0" w:space="0" w:color="auto"/>
        <w:bottom w:val="none" w:sz="0" w:space="0" w:color="auto"/>
        <w:right w:val="none" w:sz="0" w:space="0" w:color="auto"/>
      </w:divBdr>
    </w:div>
    <w:div w:id="76904020">
      <w:bodyDiv w:val="1"/>
      <w:marLeft w:val="0"/>
      <w:marRight w:val="0"/>
      <w:marTop w:val="0"/>
      <w:marBottom w:val="0"/>
      <w:divBdr>
        <w:top w:val="none" w:sz="0" w:space="0" w:color="auto"/>
        <w:left w:val="none" w:sz="0" w:space="0" w:color="auto"/>
        <w:bottom w:val="none" w:sz="0" w:space="0" w:color="auto"/>
        <w:right w:val="none" w:sz="0" w:space="0" w:color="auto"/>
      </w:divBdr>
    </w:div>
    <w:div w:id="77020712">
      <w:bodyDiv w:val="1"/>
      <w:marLeft w:val="0"/>
      <w:marRight w:val="0"/>
      <w:marTop w:val="0"/>
      <w:marBottom w:val="0"/>
      <w:divBdr>
        <w:top w:val="none" w:sz="0" w:space="0" w:color="auto"/>
        <w:left w:val="none" w:sz="0" w:space="0" w:color="auto"/>
        <w:bottom w:val="none" w:sz="0" w:space="0" w:color="auto"/>
        <w:right w:val="none" w:sz="0" w:space="0" w:color="auto"/>
      </w:divBdr>
    </w:div>
    <w:div w:id="77408011">
      <w:bodyDiv w:val="1"/>
      <w:marLeft w:val="0"/>
      <w:marRight w:val="0"/>
      <w:marTop w:val="0"/>
      <w:marBottom w:val="0"/>
      <w:divBdr>
        <w:top w:val="none" w:sz="0" w:space="0" w:color="auto"/>
        <w:left w:val="none" w:sz="0" w:space="0" w:color="auto"/>
        <w:bottom w:val="none" w:sz="0" w:space="0" w:color="auto"/>
        <w:right w:val="none" w:sz="0" w:space="0" w:color="auto"/>
      </w:divBdr>
    </w:div>
    <w:div w:id="77797364">
      <w:bodyDiv w:val="1"/>
      <w:marLeft w:val="0"/>
      <w:marRight w:val="0"/>
      <w:marTop w:val="0"/>
      <w:marBottom w:val="0"/>
      <w:divBdr>
        <w:top w:val="none" w:sz="0" w:space="0" w:color="auto"/>
        <w:left w:val="none" w:sz="0" w:space="0" w:color="auto"/>
        <w:bottom w:val="none" w:sz="0" w:space="0" w:color="auto"/>
        <w:right w:val="none" w:sz="0" w:space="0" w:color="auto"/>
      </w:divBdr>
    </w:div>
    <w:div w:id="77947277">
      <w:bodyDiv w:val="1"/>
      <w:marLeft w:val="0"/>
      <w:marRight w:val="0"/>
      <w:marTop w:val="0"/>
      <w:marBottom w:val="0"/>
      <w:divBdr>
        <w:top w:val="none" w:sz="0" w:space="0" w:color="auto"/>
        <w:left w:val="none" w:sz="0" w:space="0" w:color="auto"/>
        <w:bottom w:val="none" w:sz="0" w:space="0" w:color="auto"/>
        <w:right w:val="none" w:sz="0" w:space="0" w:color="auto"/>
      </w:divBdr>
    </w:div>
    <w:div w:id="79108733">
      <w:bodyDiv w:val="1"/>
      <w:marLeft w:val="0"/>
      <w:marRight w:val="0"/>
      <w:marTop w:val="0"/>
      <w:marBottom w:val="0"/>
      <w:divBdr>
        <w:top w:val="none" w:sz="0" w:space="0" w:color="auto"/>
        <w:left w:val="none" w:sz="0" w:space="0" w:color="auto"/>
        <w:bottom w:val="none" w:sz="0" w:space="0" w:color="auto"/>
        <w:right w:val="none" w:sz="0" w:space="0" w:color="auto"/>
      </w:divBdr>
    </w:div>
    <w:div w:id="79718997">
      <w:bodyDiv w:val="1"/>
      <w:marLeft w:val="0"/>
      <w:marRight w:val="0"/>
      <w:marTop w:val="0"/>
      <w:marBottom w:val="0"/>
      <w:divBdr>
        <w:top w:val="none" w:sz="0" w:space="0" w:color="auto"/>
        <w:left w:val="none" w:sz="0" w:space="0" w:color="auto"/>
        <w:bottom w:val="none" w:sz="0" w:space="0" w:color="auto"/>
        <w:right w:val="none" w:sz="0" w:space="0" w:color="auto"/>
      </w:divBdr>
    </w:div>
    <w:div w:id="80225149">
      <w:bodyDiv w:val="1"/>
      <w:marLeft w:val="0"/>
      <w:marRight w:val="0"/>
      <w:marTop w:val="0"/>
      <w:marBottom w:val="0"/>
      <w:divBdr>
        <w:top w:val="none" w:sz="0" w:space="0" w:color="auto"/>
        <w:left w:val="none" w:sz="0" w:space="0" w:color="auto"/>
        <w:bottom w:val="none" w:sz="0" w:space="0" w:color="auto"/>
        <w:right w:val="none" w:sz="0" w:space="0" w:color="auto"/>
      </w:divBdr>
    </w:div>
    <w:div w:id="80416535">
      <w:bodyDiv w:val="1"/>
      <w:marLeft w:val="0"/>
      <w:marRight w:val="0"/>
      <w:marTop w:val="0"/>
      <w:marBottom w:val="0"/>
      <w:divBdr>
        <w:top w:val="none" w:sz="0" w:space="0" w:color="auto"/>
        <w:left w:val="none" w:sz="0" w:space="0" w:color="auto"/>
        <w:bottom w:val="none" w:sz="0" w:space="0" w:color="auto"/>
        <w:right w:val="none" w:sz="0" w:space="0" w:color="auto"/>
      </w:divBdr>
    </w:div>
    <w:div w:id="80685427">
      <w:bodyDiv w:val="1"/>
      <w:marLeft w:val="0"/>
      <w:marRight w:val="0"/>
      <w:marTop w:val="0"/>
      <w:marBottom w:val="0"/>
      <w:divBdr>
        <w:top w:val="none" w:sz="0" w:space="0" w:color="auto"/>
        <w:left w:val="none" w:sz="0" w:space="0" w:color="auto"/>
        <w:bottom w:val="none" w:sz="0" w:space="0" w:color="auto"/>
        <w:right w:val="none" w:sz="0" w:space="0" w:color="auto"/>
      </w:divBdr>
    </w:div>
    <w:div w:id="80685811">
      <w:bodyDiv w:val="1"/>
      <w:marLeft w:val="0"/>
      <w:marRight w:val="0"/>
      <w:marTop w:val="0"/>
      <w:marBottom w:val="0"/>
      <w:divBdr>
        <w:top w:val="none" w:sz="0" w:space="0" w:color="auto"/>
        <w:left w:val="none" w:sz="0" w:space="0" w:color="auto"/>
        <w:bottom w:val="none" w:sz="0" w:space="0" w:color="auto"/>
        <w:right w:val="none" w:sz="0" w:space="0" w:color="auto"/>
      </w:divBdr>
    </w:div>
    <w:div w:id="80765503">
      <w:bodyDiv w:val="1"/>
      <w:marLeft w:val="0"/>
      <w:marRight w:val="0"/>
      <w:marTop w:val="0"/>
      <w:marBottom w:val="0"/>
      <w:divBdr>
        <w:top w:val="none" w:sz="0" w:space="0" w:color="auto"/>
        <w:left w:val="none" w:sz="0" w:space="0" w:color="auto"/>
        <w:bottom w:val="none" w:sz="0" w:space="0" w:color="auto"/>
        <w:right w:val="none" w:sz="0" w:space="0" w:color="auto"/>
      </w:divBdr>
    </w:div>
    <w:div w:id="80835102">
      <w:bodyDiv w:val="1"/>
      <w:marLeft w:val="0"/>
      <w:marRight w:val="0"/>
      <w:marTop w:val="0"/>
      <w:marBottom w:val="0"/>
      <w:divBdr>
        <w:top w:val="none" w:sz="0" w:space="0" w:color="auto"/>
        <w:left w:val="none" w:sz="0" w:space="0" w:color="auto"/>
        <w:bottom w:val="none" w:sz="0" w:space="0" w:color="auto"/>
        <w:right w:val="none" w:sz="0" w:space="0" w:color="auto"/>
      </w:divBdr>
    </w:div>
    <w:div w:id="81071044">
      <w:bodyDiv w:val="1"/>
      <w:marLeft w:val="0"/>
      <w:marRight w:val="0"/>
      <w:marTop w:val="0"/>
      <w:marBottom w:val="0"/>
      <w:divBdr>
        <w:top w:val="none" w:sz="0" w:space="0" w:color="auto"/>
        <w:left w:val="none" w:sz="0" w:space="0" w:color="auto"/>
        <w:bottom w:val="none" w:sz="0" w:space="0" w:color="auto"/>
        <w:right w:val="none" w:sz="0" w:space="0" w:color="auto"/>
      </w:divBdr>
    </w:div>
    <w:div w:id="81072832">
      <w:bodyDiv w:val="1"/>
      <w:marLeft w:val="0"/>
      <w:marRight w:val="0"/>
      <w:marTop w:val="0"/>
      <w:marBottom w:val="0"/>
      <w:divBdr>
        <w:top w:val="none" w:sz="0" w:space="0" w:color="auto"/>
        <w:left w:val="none" w:sz="0" w:space="0" w:color="auto"/>
        <w:bottom w:val="none" w:sz="0" w:space="0" w:color="auto"/>
        <w:right w:val="none" w:sz="0" w:space="0" w:color="auto"/>
      </w:divBdr>
    </w:div>
    <w:div w:id="81344136">
      <w:bodyDiv w:val="1"/>
      <w:marLeft w:val="0"/>
      <w:marRight w:val="0"/>
      <w:marTop w:val="0"/>
      <w:marBottom w:val="0"/>
      <w:divBdr>
        <w:top w:val="none" w:sz="0" w:space="0" w:color="auto"/>
        <w:left w:val="none" w:sz="0" w:space="0" w:color="auto"/>
        <w:bottom w:val="none" w:sz="0" w:space="0" w:color="auto"/>
        <w:right w:val="none" w:sz="0" w:space="0" w:color="auto"/>
      </w:divBdr>
    </w:div>
    <w:div w:id="81686725">
      <w:bodyDiv w:val="1"/>
      <w:marLeft w:val="0"/>
      <w:marRight w:val="0"/>
      <w:marTop w:val="0"/>
      <w:marBottom w:val="0"/>
      <w:divBdr>
        <w:top w:val="none" w:sz="0" w:space="0" w:color="auto"/>
        <w:left w:val="none" w:sz="0" w:space="0" w:color="auto"/>
        <w:bottom w:val="none" w:sz="0" w:space="0" w:color="auto"/>
        <w:right w:val="none" w:sz="0" w:space="0" w:color="auto"/>
      </w:divBdr>
    </w:div>
    <w:div w:id="81875652">
      <w:bodyDiv w:val="1"/>
      <w:marLeft w:val="0"/>
      <w:marRight w:val="0"/>
      <w:marTop w:val="0"/>
      <w:marBottom w:val="0"/>
      <w:divBdr>
        <w:top w:val="none" w:sz="0" w:space="0" w:color="auto"/>
        <w:left w:val="none" w:sz="0" w:space="0" w:color="auto"/>
        <w:bottom w:val="none" w:sz="0" w:space="0" w:color="auto"/>
        <w:right w:val="none" w:sz="0" w:space="0" w:color="auto"/>
      </w:divBdr>
    </w:div>
    <w:div w:id="81949011">
      <w:bodyDiv w:val="1"/>
      <w:marLeft w:val="0"/>
      <w:marRight w:val="0"/>
      <w:marTop w:val="0"/>
      <w:marBottom w:val="0"/>
      <w:divBdr>
        <w:top w:val="none" w:sz="0" w:space="0" w:color="auto"/>
        <w:left w:val="none" w:sz="0" w:space="0" w:color="auto"/>
        <w:bottom w:val="none" w:sz="0" w:space="0" w:color="auto"/>
        <w:right w:val="none" w:sz="0" w:space="0" w:color="auto"/>
      </w:divBdr>
    </w:div>
    <w:div w:id="82339429">
      <w:bodyDiv w:val="1"/>
      <w:marLeft w:val="0"/>
      <w:marRight w:val="0"/>
      <w:marTop w:val="0"/>
      <w:marBottom w:val="0"/>
      <w:divBdr>
        <w:top w:val="none" w:sz="0" w:space="0" w:color="auto"/>
        <w:left w:val="none" w:sz="0" w:space="0" w:color="auto"/>
        <w:bottom w:val="none" w:sz="0" w:space="0" w:color="auto"/>
        <w:right w:val="none" w:sz="0" w:space="0" w:color="auto"/>
      </w:divBdr>
    </w:div>
    <w:div w:id="82607929">
      <w:bodyDiv w:val="1"/>
      <w:marLeft w:val="0"/>
      <w:marRight w:val="0"/>
      <w:marTop w:val="0"/>
      <w:marBottom w:val="0"/>
      <w:divBdr>
        <w:top w:val="none" w:sz="0" w:space="0" w:color="auto"/>
        <w:left w:val="none" w:sz="0" w:space="0" w:color="auto"/>
        <w:bottom w:val="none" w:sz="0" w:space="0" w:color="auto"/>
        <w:right w:val="none" w:sz="0" w:space="0" w:color="auto"/>
      </w:divBdr>
    </w:div>
    <w:div w:id="83035446">
      <w:bodyDiv w:val="1"/>
      <w:marLeft w:val="0"/>
      <w:marRight w:val="0"/>
      <w:marTop w:val="0"/>
      <w:marBottom w:val="0"/>
      <w:divBdr>
        <w:top w:val="none" w:sz="0" w:space="0" w:color="auto"/>
        <w:left w:val="none" w:sz="0" w:space="0" w:color="auto"/>
        <w:bottom w:val="none" w:sz="0" w:space="0" w:color="auto"/>
        <w:right w:val="none" w:sz="0" w:space="0" w:color="auto"/>
      </w:divBdr>
    </w:div>
    <w:div w:id="83039471">
      <w:bodyDiv w:val="1"/>
      <w:marLeft w:val="0"/>
      <w:marRight w:val="0"/>
      <w:marTop w:val="0"/>
      <w:marBottom w:val="0"/>
      <w:divBdr>
        <w:top w:val="none" w:sz="0" w:space="0" w:color="auto"/>
        <w:left w:val="none" w:sz="0" w:space="0" w:color="auto"/>
        <w:bottom w:val="none" w:sz="0" w:space="0" w:color="auto"/>
        <w:right w:val="none" w:sz="0" w:space="0" w:color="auto"/>
      </w:divBdr>
    </w:div>
    <w:div w:id="83648107">
      <w:bodyDiv w:val="1"/>
      <w:marLeft w:val="0"/>
      <w:marRight w:val="0"/>
      <w:marTop w:val="0"/>
      <w:marBottom w:val="0"/>
      <w:divBdr>
        <w:top w:val="none" w:sz="0" w:space="0" w:color="auto"/>
        <w:left w:val="none" w:sz="0" w:space="0" w:color="auto"/>
        <w:bottom w:val="none" w:sz="0" w:space="0" w:color="auto"/>
        <w:right w:val="none" w:sz="0" w:space="0" w:color="auto"/>
      </w:divBdr>
    </w:div>
    <w:div w:id="83650222">
      <w:bodyDiv w:val="1"/>
      <w:marLeft w:val="0"/>
      <w:marRight w:val="0"/>
      <w:marTop w:val="0"/>
      <w:marBottom w:val="0"/>
      <w:divBdr>
        <w:top w:val="none" w:sz="0" w:space="0" w:color="auto"/>
        <w:left w:val="none" w:sz="0" w:space="0" w:color="auto"/>
        <w:bottom w:val="none" w:sz="0" w:space="0" w:color="auto"/>
        <w:right w:val="none" w:sz="0" w:space="0" w:color="auto"/>
      </w:divBdr>
    </w:div>
    <w:div w:id="84308417">
      <w:bodyDiv w:val="1"/>
      <w:marLeft w:val="0"/>
      <w:marRight w:val="0"/>
      <w:marTop w:val="0"/>
      <w:marBottom w:val="0"/>
      <w:divBdr>
        <w:top w:val="none" w:sz="0" w:space="0" w:color="auto"/>
        <w:left w:val="none" w:sz="0" w:space="0" w:color="auto"/>
        <w:bottom w:val="none" w:sz="0" w:space="0" w:color="auto"/>
        <w:right w:val="none" w:sz="0" w:space="0" w:color="auto"/>
      </w:divBdr>
    </w:div>
    <w:div w:id="85661358">
      <w:bodyDiv w:val="1"/>
      <w:marLeft w:val="0"/>
      <w:marRight w:val="0"/>
      <w:marTop w:val="0"/>
      <w:marBottom w:val="0"/>
      <w:divBdr>
        <w:top w:val="none" w:sz="0" w:space="0" w:color="auto"/>
        <w:left w:val="none" w:sz="0" w:space="0" w:color="auto"/>
        <w:bottom w:val="none" w:sz="0" w:space="0" w:color="auto"/>
        <w:right w:val="none" w:sz="0" w:space="0" w:color="auto"/>
      </w:divBdr>
    </w:div>
    <w:div w:id="86073998">
      <w:bodyDiv w:val="1"/>
      <w:marLeft w:val="0"/>
      <w:marRight w:val="0"/>
      <w:marTop w:val="0"/>
      <w:marBottom w:val="0"/>
      <w:divBdr>
        <w:top w:val="none" w:sz="0" w:space="0" w:color="auto"/>
        <w:left w:val="none" w:sz="0" w:space="0" w:color="auto"/>
        <w:bottom w:val="none" w:sz="0" w:space="0" w:color="auto"/>
        <w:right w:val="none" w:sz="0" w:space="0" w:color="auto"/>
      </w:divBdr>
    </w:div>
    <w:div w:id="86195213">
      <w:bodyDiv w:val="1"/>
      <w:marLeft w:val="0"/>
      <w:marRight w:val="0"/>
      <w:marTop w:val="0"/>
      <w:marBottom w:val="0"/>
      <w:divBdr>
        <w:top w:val="none" w:sz="0" w:space="0" w:color="auto"/>
        <w:left w:val="none" w:sz="0" w:space="0" w:color="auto"/>
        <w:bottom w:val="none" w:sz="0" w:space="0" w:color="auto"/>
        <w:right w:val="none" w:sz="0" w:space="0" w:color="auto"/>
      </w:divBdr>
    </w:div>
    <w:div w:id="86196934">
      <w:bodyDiv w:val="1"/>
      <w:marLeft w:val="0"/>
      <w:marRight w:val="0"/>
      <w:marTop w:val="0"/>
      <w:marBottom w:val="0"/>
      <w:divBdr>
        <w:top w:val="none" w:sz="0" w:space="0" w:color="auto"/>
        <w:left w:val="none" w:sz="0" w:space="0" w:color="auto"/>
        <w:bottom w:val="none" w:sz="0" w:space="0" w:color="auto"/>
        <w:right w:val="none" w:sz="0" w:space="0" w:color="auto"/>
      </w:divBdr>
    </w:div>
    <w:div w:id="86771434">
      <w:bodyDiv w:val="1"/>
      <w:marLeft w:val="0"/>
      <w:marRight w:val="0"/>
      <w:marTop w:val="0"/>
      <w:marBottom w:val="0"/>
      <w:divBdr>
        <w:top w:val="none" w:sz="0" w:space="0" w:color="auto"/>
        <w:left w:val="none" w:sz="0" w:space="0" w:color="auto"/>
        <w:bottom w:val="none" w:sz="0" w:space="0" w:color="auto"/>
        <w:right w:val="none" w:sz="0" w:space="0" w:color="auto"/>
      </w:divBdr>
    </w:div>
    <w:div w:id="86924729">
      <w:bodyDiv w:val="1"/>
      <w:marLeft w:val="0"/>
      <w:marRight w:val="0"/>
      <w:marTop w:val="0"/>
      <w:marBottom w:val="0"/>
      <w:divBdr>
        <w:top w:val="none" w:sz="0" w:space="0" w:color="auto"/>
        <w:left w:val="none" w:sz="0" w:space="0" w:color="auto"/>
        <w:bottom w:val="none" w:sz="0" w:space="0" w:color="auto"/>
        <w:right w:val="none" w:sz="0" w:space="0" w:color="auto"/>
      </w:divBdr>
    </w:div>
    <w:div w:id="87384516">
      <w:bodyDiv w:val="1"/>
      <w:marLeft w:val="0"/>
      <w:marRight w:val="0"/>
      <w:marTop w:val="0"/>
      <w:marBottom w:val="0"/>
      <w:divBdr>
        <w:top w:val="none" w:sz="0" w:space="0" w:color="auto"/>
        <w:left w:val="none" w:sz="0" w:space="0" w:color="auto"/>
        <w:bottom w:val="none" w:sz="0" w:space="0" w:color="auto"/>
        <w:right w:val="none" w:sz="0" w:space="0" w:color="auto"/>
      </w:divBdr>
    </w:div>
    <w:div w:id="88045425">
      <w:bodyDiv w:val="1"/>
      <w:marLeft w:val="0"/>
      <w:marRight w:val="0"/>
      <w:marTop w:val="0"/>
      <w:marBottom w:val="0"/>
      <w:divBdr>
        <w:top w:val="none" w:sz="0" w:space="0" w:color="auto"/>
        <w:left w:val="none" w:sz="0" w:space="0" w:color="auto"/>
        <w:bottom w:val="none" w:sz="0" w:space="0" w:color="auto"/>
        <w:right w:val="none" w:sz="0" w:space="0" w:color="auto"/>
      </w:divBdr>
    </w:div>
    <w:div w:id="88552025">
      <w:bodyDiv w:val="1"/>
      <w:marLeft w:val="0"/>
      <w:marRight w:val="0"/>
      <w:marTop w:val="0"/>
      <w:marBottom w:val="0"/>
      <w:divBdr>
        <w:top w:val="none" w:sz="0" w:space="0" w:color="auto"/>
        <w:left w:val="none" w:sz="0" w:space="0" w:color="auto"/>
        <w:bottom w:val="none" w:sz="0" w:space="0" w:color="auto"/>
        <w:right w:val="none" w:sz="0" w:space="0" w:color="auto"/>
      </w:divBdr>
    </w:div>
    <w:div w:id="88625963">
      <w:bodyDiv w:val="1"/>
      <w:marLeft w:val="0"/>
      <w:marRight w:val="0"/>
      <w:marTop w:val="0"/>
      <w:marBottom w:val="0"/>
      <w:divBdr>
        <w:top w:val="none" w:sz="0" w:space="0" w:color="auto"/>
        <w:left w:val="none" w:sz="0" w:space="0" w:color="auto"/>
        <w:bottom w:val="none" w:sz="0" w:space="0" w:color="auto"/>
        <w:right w:val="none" w:sz="0" w:space="0" w:color="auto"/>
      </w:divBdr>
    </w:div>
    <w:div w:id="89472222">
      <w:bodyDiv w:val="1"/>
      <w:marLeft w:val="0"/>
      <w:marRight w:val="0"/>
      <w:marTop w:val="0"/>
      <w:marBottom w:val="0"/>
      <w:divBdr>
        <w:top w:val="none" w:sz="0" w:space="0" w:color="auto"/>
        <w:left w:val="none" w:sz="0" w:space="0" w:color="auto"/>
        <w:bottom w:val="none" w:sz="0" w:space="0" w:color="auto"/>
        <w:right w:val="none" w:sz="0" w:space="0" w:color="auto"/>
      </w:divBdr>
    </w:div>
    <w:div w:id="89931051">
      <w:bodyDiv w:val="1"/>
      <w:marLeft w:val="0"/>
      <w:marRight w:val="0"/>
      <w:marTop w:val="0"/>
      <w:marBottom w:val="0"/>
      <w:divBdr>
        <w:top w:val="none" w:sz="0" w:space="0" w:color="auto"/>
        <w:left w:val="none" w:sz="0" w:space="0" w:color="auto"/>
        <w:bottom w:val="none" w:sz="0" w:space="0" w:color="auto"/>
        <w:right w:val="none" w:sz="0" w:space="0" w:color="auto"/>
      </w:divBdr>
    </w:div>
    <w:div w:id="90319994">
      <w:bodyDiv w:val="1"/>
      <w:marLeft w:val="0"/>
      <w:marRight w:val="0"/>
      <w:marTop w:val="0"/>
      <w:marBottom w:val="0"/>
      <w:divBdr>
        <w:top w:val="none" w:sz="0" w:space="0" w:color="auto"/>
        <w:left w:val="none" w:sz="0" w:space="0" w:color="auto"/>
        <w:bottom w:val="none" w:sz="0" w:space="0" w:color="auto"/>
        <w:right w:val="none" w:sz="0" w:space="0" w:color="auto"/>
      </w:divBdr>
    </w:div>
    <w:div w:id="90862300">
      <w:bodyDiv w:val="1"/>
      <w:marLeft w:val="0"/>
      <w:marRight w:val="0"/>
      <w:marTop w:val="0"/>
      <w:marBottom w:val="0"/>
      <w:divBdr>
        <w:top w:val="none" w:sz="0" w:space="0" w:color="auto"/>
        <w:left w:val="none" w:sz="0" w:space="0" w:color="auto"/>
        <w:bottom w:val="none" w:sz="0" w:space="0" w:color="auto"/>
        <w:right w:val="none" w:sz="0" w:space="0" w:color="auto"/>
      </w:divBdr>
    </w:div>
    <w:div w:id="91049144">
      <w:bodyDiv w:val="1"/>
      <w:marLeft w:val="0"/>
      <w:marRight w:val="0"/>
      <w:marTop w:val="0"/>
      <w:marBottom w:val="0"/>
      <w:divBdr>
        <w:top w:val="none" w:sz="0" w:space="0" w:color="auto"/>
        <w:left w:val="none" w:sz="0" w:space="0" w:color="auto"/>
        <w:bottom w:val="none" w:sz="0" w:space="0" w:color="auto"/>
        <w:right w:val="none" w:sz="0" w:space="0" w:color="auto"/>
      </w:divBdr>
    </w:div>
    <w:div w:id="91170954">
      <w:bodyDiv w:val="1"/>
      <w:marLeft w:val="0"/>
      <w:marRight w:val="0"/>
      <w:marTop w:val="0"/>
      <w:marBottom w:val="0"/>
      <w:divBdr>
        <w:top w:val="none" w:sz="0" w:space="0" w:color="auto"/>
        <w:left w:val="none" w:sz="0" w:space="0" w:color="auto"/>
        <w:bottom w:val="none" w:sz="0" w:space="0" w:color="auto"/>
        <w:right w:val="none" w:sz="0" w:space="0" w:color="auto"/>
      </w:divBdr>
    </w:div>
    <w:div w:id="91318918">
      <w:bodyDiv w:val="1"/>
      <w:marLeft w:val="0"/>
      <w:marRight w:val="0"/>
      <w:marTop w:val="0"/>
      <w:marBottom w:val="0"/>
      <w:divBdr>
        <w:top w:val="none" w:sz="0" w:space="0" w:color="auto"/>
        <w:left w:val="none" w:sz="0" w:space="0" w:color="auto"/>
        <w:bottom w:val="none" w:sz="0" w:space="0" w:color="auto"/>
        <w:right w:val="none" w:sz="0" w:space="0" w:color="auto"/>
      </w:divBdr>
    </w:div>
    <w:div w:id="91437150">
      <w:bodyDiv w:val="1"/>
      <w:marLeft w:val="0"/>
      <w:marRight w:val="0"/>
      <w:marTop w:val="0"/>
      <w:marBottom w:val="0"/>
      <w:divBdr>
        <w:top w:val="none" w:sz="0" w:space="0" w:color="auto"/>
        <w:left w:val="none" w:sz="0" w:space="0" w:color="auto"/>
        <w:bottom w:val="none" w:sz="0" w:space="0" w:color="auto"/>
        <w:right w:val="none" w:sz="0" w:space="0" w:color="auto"/>
      </w:divBdr>
    </w:div>
    <w:div w:id="91559030">
      <w:bodyDiv w:val="1"/>
      <w:marLeft w:val="0"/>
      <w:marRight w:val="0"/>
      <w:marTop w:val="0"/>
      <w:marBottom w:val="0"/>
      <w:divBdr>
        <w:top w:val="none" w:sz="0" w:space="0" w:color="auto"/>
        <w:left w:val="none" w:sz="0" w:space="0" w:color="auto"/>
        <w:bottom w:val="none" w:sz="0" w:space="0" w:color="auto"/>
        <w:right w:val="none" w:sz="0" w:space="0" w:color="auto"/>
      </w:divBdr>
    </w:div>
    <w:div w:id="91975737">
      <w:bodyDiv w:val="1"/>
      <w:marLeft w:val="0"/>
      <w:marRight w:val="0"/>
      <w:marTop w:val="0"/>
      <w:marBottom w:val="0"/>
      <w:divBdr>
        <w:top w:val="none" w:sz="0" w:space="0" w:color="auto"/>
        <w:left w:val="none" w:sz="0" w:space="0" w:color="auto"/>
        <w:bottom w:val="none" w:sz="0" w:space="0" w:color="auto"/>
        <w:right w:val="none" w:sz="0" w:space="0" w:color="auto"/>
      </w:divBdr>
    </w:div>
    <w:div w:id="92173354">
      <w:bodyDiv w:val="1"/>
      <w:marLeft w:val="0"/>
      <w:marRight w:val="0"/>
      <w:marTop w:val="0"/>
      <w:marBottom w:val="0"/>
      <w:divBdr>
        <w:top w:val="none" w:sz="0" w:space="0" w:color="auto"/>
        <w:left w:val="none" w:sz="0" w:space="0" w:color="auto"/>
        <w:bottom w:val="none" w:sz="0" w:space="0" w:color="auto"/>
        <w:right w:val="none" w:sz="0" w:space="0" w:color="auto"/>
      </w:divBdr>
    </w:div>
    <w:div w:id="92210891">
      <w:bodyDiv w:val="1"/>
      <w:marLeft w:val="0"/>
      <w:marRight w:val="0"/>
      <w:marTop w:val="0"/>
      <w:marBottom w:val="0"/>
      <w:divBdr>
        <w:top w:val="none" w:sz="0" w:space="0" w:color="auto"/>
        <w:left w:val="none" w:sz="0" w:space="0" w:color="auto"/>
        <w:bottom w:val="none" w:sz="0" w:space="0" w:color="auto"/>
        <w:right w:val="none" w:sz="0" w:space="0" w:color="auto"/>
      </w:divBdr>
    </w:div>
    <w:div w:id="92434735">
      <w:bodyDiv w:val="1"/>
      <w:marLeft w:val="0"/>
      <w:marRight w:val="0"/>
      <w:marTop w:val="0"/>
      <w:marBottom w:val="0"/>
      <w:divBdr>
        <w:top w:val="none" w:sz="0" w:space="0" w:color="auto"/>
        <w:left w:val="none" w:sz="0" w:space="0" w:color="auto"/>
        <w:bottom w:val="none" w:sz="0" w:space="0" w:color="auto"/>
        <w:right w:val="none" w:sz="0" w:space="0" w:color="auto"/>
      </w:divBdr>
    </w:div>
    <w:div w:id="93210409">
      <w:bodyDiv w:val="1"/>
      <w:marLeft w:val="0"/>
      <w:marRight w:val="0"/>
      <w:marTop w:val="0"/>
      <w:marBottom w:val="0"/>
      <w:divBdr>
        <w:top w:val="none" w:sz="0" w:space="0" w:color="auto"/>
        <w:left w:val="none" w:sz="0" w:space="0" w:color="auto"/>
        <w:bottom w:val="none" w:sz="0" w:space="0" w:color="auto"/>
        <w:right w:val="none" w:sz="0" w:space="0" w:color="auto"/>
      </w:divBdr>
    </w:div>
    <w:div w:id="93326879">
      <w:bodyDiv w:val="1"/>
      <w:marLeft w:val="0"/>
      <w:marRight w:val="0"/>
      <w:marTop w:val="0"/>
      <w:marBottom w:val="0"/>
      <w:divBdr>
        <w:top w:val="none" w:sz="0" w:space="0" w:color="auto"/>
        <w:left w:val="none" w:sz="0" w:space="0" w:color="auto"/>
        <w:bottom w:val="none" w:sz="0" w:space="0" w:color="auto"/>
        <w:right w:val="none" w:sz="0" w:space="0" w:color="auto"/>
      </w:divBdr>
    </w:div>
    <w:div w:id="93794521">
      <w:bodyDiv w:val="1"/>
      <w:marLeft w:val="0"/>
      <w:marRight w:val="0"/>
      <w:marTop w:val="0"/>
      <w:marBottom w:val="0"/>
      <w:divBdr>
        <w:top w:val="none" w:sz="0" w:space="0" w:color="auto"/>
        <w:left w:val="none" w:sz="0" w:space="0" w:color="auto"/>
        <w:bottom w:val="none" w:sz="0" w:space="0" w:color="auto"/>
        <w:right w:val="none" w:sz="0" w:space="0" w:color="auto"/>
      </w:divBdr>
    </w:div>
    <w:div w:id="93941821">
      <w:bodyDiv w:val="1"/>
      <w:marLeft w:val="0"/>
      <w:marRight w:val="0"/>
      <w:marTop w:val="0"/>
      <w:marBottom w:val="0"/>
      <w:divBdr>
        <w:top w:val="none" w:sz="0" w:space="0" w:color="auto"/>
        <w:left w:val="none" w:sz="0" w:space="0" w:color="auto"/>
        <w:bottom w:val="none" w:sz="0" w:space="0" w:color="auto"/>
        <w:right w:val="none" w:sz="0" w:space="0" w:color="auto"/>
      </w:divBdr>
    </w:div>
    <w:div w:id="94252474">
      <w:bodyDiv w:val="1"/>
      <w:marLeft w:val="0"/>
      <w:marRight w:val="0"/>
      <w:marTop w:val="0"/>
      <w:marBottom w:val="0"/>
      <w:divBdr>
        <w:top w:val="none" w:sz="0" w:space="0" w:color="auto"/>
        <w:left w:val="none" w:sz="0" w:space="0" w:color="auto"/>
        <w:bottom w:val="none" w:sz="0" w:space="0" w:color="auto"/>
        <w:right w:val="none" w:sz="0" w:space="0" w:color="auto"/>
      </w:divBdr>
    </w:div>
    <w:div w:id="94324029">
      <w:bodyDiv w:val="1"/>
      <w:marLeft w:val="0"/>
      <w:marRight w:val="0"/>
      <w:marTop w:val="0"/>
      <w:marBottom w:val="0"/>
      <w:divBdr>
        <w:top w:val="none" w:sz="0" w:space="0" w:color="auto"/>
        <w:left w:val="none" w:sz="0" w:space="0" w:color="auto"/>
        <w:bottom w:val="none" w:sz="0" w:space="0" w:color="auto"/>
        <w:right w:val="none" w:sz="0" w:space="0" w:color="auto"/>
      </w:divBdr>
    </w:div>
    <w:div w:id="94403351">
      <w:bodyDiv w:val="1"/>
      <w:marLeft w:val="0"/>
      <w:marRight w:val="0"/>
      <w:marTop w:val="0"/>
      <w:marBottom w:val="0"/>
      <w:divBdr>
        <w:top w:val="none" w:sz="0" w:space="0" w:color="auto"/>
        <w:left w:val="none" w:sz="0" w:space="0" w:color="auto"/>
        <w:bottom w:val="none" w:sz="0" w:space="0" w:color="auto"/>
        <w:right w:val="none" w:sz="0" w:space="0" w:color="auto"/>
      </w:divBdr>
    </w:div>
    <w:div w:id="94404186">
      <w:bodyDiv w:val="1"/>
      <w:marLeft w:val="0"/>
      <w:marRight w:val="0"/>
      <w:marTop w:val="0"/>
      <w:marBottom w:val="0"/>
      <w:divBdr>
        <w:top w:val="none" w:sz="0" w:space="0" w:color="auto"/>
        <w:left w:val="none" w:sz="0" w:space="0" w:color="auto"/>
        <w:bottom w:val="none" w:sz="0" w:space="0" w:color="auto"/>
        <w:right w:val="none" w:sz="0" w:space="0" w:color="auto"/>
      </w:divBdr>
    </w:div>
    <w:div w:id="94443165">
      <w:bodyDiv w:val="1"/>
      <w:marLeft w:val="0"/>
      <w:marRight w:val="0"/>
      <w:marTop w:val="0"/>
      <w:marBottom w:val="0"/>
      <w:divBdr>
        <w:top w:val="none" w:sz="0" w:space="0" w:color="auto"/>
        <w:left w:val="none" w:sz="0" w:space="0" w:color="auto"/>
        <w:bottom w:val="none" w:sz="0" w:space="0" w:color="auto"/>
        <w:right w:val="none" w:sz="0" w:space="0" w:color="auto"/>
      </w:divBdr>
    </w:div>
    <w:div w:id="94517705">
      <w:bodyDiv w:val="1"/>
      <w:marLeft w:val="0"/>
      <w:marRight w:val="0"/>
      <w:marTop w:val="0"/>
      <w:marBottom w:val="0"/>
      <w:divBdr>
        <w:top w:val="none" w:sz="0" w:space="0" w:color="auto"/>
        <w:left w:val="none" w:sz="0" w:space="0" w:color="auto"/>
        <w:bottom w:val="none" w:sz="0" w:space="0" w:color="auto"/>
        <w:right w:val="none" w:sz="0" w:space="0" w:color="auto"/>
      </w:divBdr>
    </w:div>
    <w:div w:id="94710342">
      <w:bodyDiv w:val="1"/>
      <w:marLeft w:val="0"/>
      <w:marRight w:val="0"/>
      <w:marTop w:val="0"/>
      <w:marBottom w:val="0"/>
      <w:divBdr>
        <w:top w:val="none" w:sz="0" w:space="0" w:color="auto"/>
        <w:left w:val="none" w:sz="0" w:space="0" w:color="auto"/>
        <w:bottom w:val="none" w:sz="0" w:space="0" w:color="auto"/>
        <w:right w:val="none" w:sz="0" w:space="0" w:color="auto"/>
      </w:divBdr>
    </w:div>
    <w:div w:id="95058322">
      <w:bodyDiv w:val="1"/>
      <w:marLeft w:val="0"/>
      <w:marRight w:val="0"/>
      <w:marTop w:val="0"/>
      <w:marBottom w:val="0"/>
      <w:divBdr>
        <w:top w:val="none" w:sz="0" w:space="0" w:color="auto"/>
        <w:left w:val="none" w:sz="0" w:space="0" w:color="auto"/>
        <w:bottom w:val="none" w:sz="0" w:space="0" w:color="auto"/>
        <w:right w:val="none" w:sz="0" w:space="0" w:color="auto"/>
      </w:divBdr>
    </w:div>
    <w:div w:id="95714774">
      <w:bodyDiv w:val="1"/>
      <w:marLeft w:val="0"/>
      <w:marRight w:val="0"/>
      <w:marTop w:val="0"/>
      <w:marBottom w:val="0"/>
      <w:divBdr>
        <w:top w:val="none" w:sz="0" w:space="0" w:color="auto"/>
        <w:left w:val="none" w:sz="0" w:space="0" w:color="auto"/>
        <w:bottom w:val="none" w:sz="0" w:space="0" w:color="auto"/>
        <w:right w:val="none" w:sz="0" w:space="0" w:color="auto"/>
      </w:divBdr>
    </w:div>
    <w:div w:id="96096687">
      <w:bodyDiv w:val="1"/>
      <w:marLeft w:val="0"/>
      <w:marRight w:val="0"/>
      <w:marTop w:val="0"/>
      <w:marBottom w:val="0"/>
      <w:divBdr>
        <w:top w:val="none" w:sz="0" w:space="0" w:color="auto"/>
        <w:left w:val="none" w:sz="0" w:space="0" w:color="auto"/>
        <w:bottom w:val="none" w:sz="0" w:space="0" w:color="auto"/>
        <w:right w:val="none" w:sz="0" w:space="0" w:color="auto"/>
      </w:divBdr>
    </w:div>
    <w:div w:id="96215425">
      <w:bodyDiv w:val="1"/>
      <w:marLeft w:val="0"/>
      <w:marRight w:val="0"/>
      <w:marTop w:val="0"/>
      <w:marBottom w:val="0"/>
      <w:divBdr>
        <w:top w:val="none" w:sz="0" w:space="0" w:color="auto"/>
        <w:left w:val="none" w:sz="0" w:space="0" w:color="auto"/>
        <w:bottom w:val="none" w:sz="0" w:space="0" w:color="auto"/>
        <w:right w:val="none" w:sz="0" w:space="0" w:color="auto"/>
      </w:divBdr>
    </w:div>
    <w:div w:id="96411835">
      <w:bodyDiv w:val="1"/>
      <w:marLeft w:val="0"/>
      <w:marRight w:val="0"/>
      <w:marTop w:val="0"/>
      <w:marBottom w:val="0"/>
      <w:divBdr>
        <w:top w:val="none" w:sz="0" w:space="0" w:color="auto"/>
        <w:left w:val="none" w:sz="0" w:space="0" w:color="auto"/>
        <w:bottom w:val="none" w:sz="0" w:space="0" w:color="auto"/>
        <w:right w:val="none" w:sz="0" w:space="0" w:color="auto"/>
      </w:divBdr>
    </w:div>
    <w:div w:id="96679486">
      <w:bodyDiv w:val="1"/>
      <w:marLeft w:val="0"/>
      <w:marRight w:val="0"/>
      <w:marTop w:val="0"/>
      <w:marBottom w:val="0"/>
      <w:divBdr>
        <w:top w:val="none" w:sz="0" w:space="0" w:color="auto"/>
        <w:left w:val="none" w:sz="0" w:space="0" w:color="auto"/>
        <w:bottom w:val="none" w:sz="0" w:space="0" w:color="auto"/>
        <w:right w:val="none" w:sz="0" w:space="0" w:color="auto"/>
      </w:divBdr>
    </w:div>
    <w:div w:id="97216256">
      <w:bodyDiv w:val="1"/>
      <w:marLeft w:val="0"/>
      <w:marRight w:val="0"/>
      <w:marTop w:val="0"/>
      <w:marBottom w:val="0"/>
      <w:divBdr>
        <w:top w:val="none" w:sz="0" w:space="0" w:color="auto"/>
        <w:left w:val="none" w:sz="0" w:space="0" w:color="auto"/>
        <w:bottom w:val="none" w:sz="0" w:space="0" w:color="auto"/>
        <w:right w:val="none" w:sz="0" w:space="0" w:color="auto"/>
      </w:divBdr>
    </w:div>
    <w:div w:id="97263883">
      <w:bodyDiv w:val="1"/>
      <w:marLeft w:val="0"/>
      <w:marRight w:val="0"/>
      <w:marTop w:val="0"/>
      <w:marBottom w:val="0"/>
      <w:divBdr>
        <w:top w:val="none" w:sz="0" w:space="0" w:color="auto"/>
        <w:left w:val="none" w:sz="0" w:space="0" w:color="auto"/>
        <w:bottom w:val="none" w:sz="0" w:space="0" w:color="auto"/>
        <w:right w:val="none" w:sz="0" w:space="0" w:color="auto"/>
      </w:divBdr>
    </w:div>
    <w:div w:id="97406830">
      <w:bodyDiv w:val="1"/>
      <w:marLeft w:val="0"/>
      <w:marRight w:val="0"/>
      <w:marTop w:val="0"/>
      <w:marBottom w:val="0"/>
      <w:divBdr>
        <w:top w:val="none" w:sz="0" w:space="0" w:color="auto"/>
        <w:left w:val="none" w:sz="0" w:space="0" w:color="auto"/>
        <w:bottom w:val="none" w:sz="0" w:space="0" w:color="auto"/>
        <w:right w:val="none" w:sz="0" w:space="0" w:color="auto"/>
      </w:divBdr>
    </w:div>
    <w:div w:id="97989422">
      <w:bodyDiv w:val="1"/>
      <w:marLeft w:val="0"/>
      <w:marRight w:val="0"/>
      <w:marTop w:val="0"/>
      <w:marBottom w:val="0"/>
      <w:divBdr>
        <w:top w:val="none" w:sz="0" w:space="0" w:color="auto"/>
        <w:left w:val="none" w:sz="0" w:space="0" w:color="auto"/>
        <w:bottom w:val="none" w:sz="0" w:space="0" w:color="auto"/>
        <w:right w:val="none" w:sz="0" w:space="0" w:color="auto"/>
      </w:divBdr>
    </w:div>
    <w:div w:id="98524254">
      <w:bodyDiv w:val="1"/>
      <w:marLeft w:val="0"/>
      <w:marRight w:val="0"/>
      <w:marTop w:val="0"/>
      <w:marBottom w:val="0"/>
      <w:divBdr>
        <w:top w:val="none" w:sz="0" w:space="0" w:color="auto"/>
        <w:left w:val="none" w:sz="0" w:space="0" w:color="auto"/>
        <w:bottom w:val="none" w:sz="0" w:space="0" w:color="auto"/>
        <w:right w:val="none" w:sz="0" w:space="0" w:color="auto"/>
      </w:divBdr>
    </w:div>
    <w:div w:id="99837612">
      <w:bodyDiv w:val="1"/>
      <w:marLeft w:val="0"/>
      <w:marRight w:val="0"/>
      <w:marTop w:val="0"/>
      <w:marBottom w:val="0"/>
      <w:divBdr>
        <w:top w:val="none" w:sz="0" w:space="0" w:color="auto"/>
        <w:left w:val="none" w:sz="0" w:space="0" w:color="auto"/>
        <w:bottom w:val="none" w:sz="0" w:space="0" w:color="auto"/>
        <w:right w:val="none" w:sz="0" w:space="0" w:color="auto"/>
      </w:divBdr>
    </w:div>
    <w:div w:id="100296759">
      <w:bodyDiv w:val="1"/>
      <w:marLeft w:val="0"/>
      <w:marRight w:val="0"/>
      <w:marTop w:val="0"/>
      <w:marBottom w:val="0"/>
      <w:divBdr>
        <w:top w:val="none" w:sz="0" w:space="0" w:color="auto"/>
        <w:left w:val="none" w:sz="0" w:space="0" w:color="auto"/>
        <w:bottom w:val="none" w:sz="0" w:space="0" w:color="auto"/>
        <w:right w:val="none" w:sz="0" w:space="0" w:color="auto"/>
      </w:divBdr>
    </w:div>
    <w:div w:id="100339275">
      <w:bodyDiv w:val="1"/>
      <w:marLeft w:val="0"/>
      <w:marRight w:val="0"/>
      <w:marTop w:val="0"/>
      <w:marBottom w:val="0"/>
      <w:divBdr>
        <w:top w:val="none" w:sz="0" w:space="0" w:color="auto"/>
        <w:left w:val="none" w:sz="0" w:space="0" w:color="auto"/>
        <w:bottom w:val="none" w:sz="0" w:space="0" w:color="auto"/>
        <w:right w:val="none" w:sz="0" w:space="0" w:color="auto"/>
      </w:divBdr>
    </w:div>
    <w:div w:id="100802115">
      <w:bodyDiv w:val="1"/>
      <w:marLeft w:val="0"/>
      <w:marRight w:val="0"/>
      <w:marTop w:val="0"/>
      <w:marBottom w:val="0"/>
      <w:divBdr>
        <w:top w:val="none" w:sz="0" w:space="0" w:color="auto"/>
        <w:left w:val="none" w:sz="0" w:space="0" w:color="auto"/>
        <w:bottom w:val="none" w:sz="0" w:space="0" w:color="auto"/>
        <w:right w:val="none" w:sz="0" w:space="0" w:color="auto"/>
      </w:divBdr>
    </w:div>
    <w:div w:id="101191520">
      <w:bodyDiv w:val="1"/>
      <w:marLeft w:val="0"/>
      <w:marRight w:val="0"/>
      <w:marTop w:val="0"/>
      <w:marBottom w:val="0"/>
      <w:divBdr>
        <w:top w:val="none" w:sz="0" w:space="0" w:color="auto"/>
        <w:left w:val="none" w:sz="0" w:space="0" w:color="auto"/>
        <w:bottom w:val="none" w:sz="0" w:space="0" w:color="auto"/>
        <w:right w:val="none" w:sz="0" w:space="0" w:color="auto"/>
      </w:divBdr>
    </w:div>
    <w:div w:id="101463802">
      <w:bodyDiv w:val="1"/>
      <w:marLeft w:val="0"/>
      <w:marRight w:val="0"/>
      <w:marTop w:val="0"/>
      <w:marBottom w:val="0"/>
      <w:divBdr>
        <w:top w:val="none" w:sz="0" w:space="0" w:color="auto"/>
        <w:left w:val="none" w:sz="0" w:space="0" w:color="auto"/>
        <w:bottom w:val="none" w:sz="0" w:space="0" w:color="auto"/>
        <w:right w:val="none" w:sz="0" w:space="0" w:color="auto"/>
      </w:divBdr>
    </w:div>
    <w:div w:id="103693302">
      <w:bodyDiv w:val="1"/>
      <w:marLeft w:val="0"/>
      <w:marRight w:val="0"/>
      <w:marTop w:val="0"/>
      <w:marBottom w:val="0"/>
      <w:divBdr>
        <w:top w:val="none" w:sz="0" w:space="0" w:color="auto"/>
        <w:left w:val="none" w:sz="0" w:space="0" w:color="auto"/>
        <w:bottom w:val="none" w:sz="0" w:space="0" w:color="auto"/>
        <w:right w:val="none" w:sz="0" w:space="0" w:color="auto"/>
      </w:divBdr>
    </w:div>
    <w:div w:id="104737583">
      <w:bodyDiv w:val="1"/>
      <w:marLeft w:val="0"/>
      <w:marRight w:val="0"/>
      <w:marTop w:val="0"/>
      <w:marBottom w:val="0"/>
      <w:divBdr>
        <w:top w:val="none" w:sz="0" w:space="0" w:color="auto"/>
        <w:left w:val="none" w:sz="0" w:space="0" w:color="auto"/>
        <w:bottom w:val="none" w:sz="0" w:space="0" w:color="auto"/>
        <w:right w:val="none" w:sz="0" w:space="0" w:color="auto"/>
      </w:divBdr>
    </w:div>
    <w:div w:id="104813016">
      <w:bodyDiv w:val="1"/>
      <w:marLeft w:val="0"/>
      <w:marRight w:val="0"/>
      <w:marTop w:val="0"/>
      <w:marBottom w:val="0"/>
      <w:divBdr>
        <w:top w:val="none" w:sz="0" w:space="0" w:color="auto"/>
        <w:left w:val="none" w:sz="0" w:space="0" w:color="auto"/>
        <w:bottom w:val="none" w:sz="0" w:space="0" w:color="auto"/>
        <w:right w:val="none" w:sz="0" w:space="0" w:color="auto"/>
      </w:divBdr>
    </w:div>
    <w:div w:id="105200658">
      <w:bodyDiv w:val="1"/>
      <w:marLeft w:val="0"/>
      <w:marRight w:val="0"/>
      <w:marTop w:val="0"/>
      <w:marBottom w:val="0"/>
      <w:divBdr>
        <w:top w:val="none" w:sz="0" w:space="0" w:color="auto"/>
        <w:left w:val="none" w:sz="0" w:space="0" w:color="auto"/>
        <w:bottom w:val="none" w:sz="0" w:space="0" w:color="auto"/>
        <w:right w:val="none" w:sz="0" w:space="0" w:color="auto"/>
      </w:divBdr>
    </w:div>
    <w:div w:id="105854637">
      <w:bodyDiv w:val="1"/>
      <w:marLeft w:val="0"/>
      <w:marRight w:val="0"/>
      <w:marTop w:val="0"/>
      <w:marBottom w:val="0"/>
      <w:divBdr>
        <w:top w:val="none" w:sz="0" w:space="0" w:color="auto"/>
        <w:left w:val="none" w:sz="0" w:space="0" w:color="auto"/>
        <w:bottom w:val="none" w:sz="0" w:space="0" w:color="auto"/>
        <w:right w:val="none" w:sz="0" w:space="0" w:color="auto"/>
      </w:divBdr>
    </w:div>
    <w:div w:id="106124294">
      <w:bodyDiv w:val="1"/>
      <w:marLeft w:val="0"/>
      <w:marRight w:val="0"/>
      <w:marTop w:val="0"/>
      <w:marBottom w:val="0"/>
      <w:divBdr>
        <w:top w:val="none" w:sz="0" w:space="0" w:color="auto"/>
        <w:left w:val="none" w:sz="0" w:space="0" w:color="auto"/>
        <w:bottom w:val="none" w:sz="0" w:space="0" w:color="auto"/>
        <w:right w:val="none" w:sz="0" w:space="0" w:color="auto"/>
      </w:divBdr>
    </w:div>
    <w:div w:id="106513670">
      <w:bodyDiv w:val="1"/>
      <w:marLeft w:val="0"/>
      <w:marRight w:val="0"/>
      <w:marTop w:val="0"/>
      <w:marBottom w:val="0"/>
      <w:divBdr>
        <w:top w:val="none" w:sz="0" w:space="0" w:color="auto"/>
        <w:left w:val="none" w:sz="0" w:space="0" w:color="auto"/>
        <w:bottom w:val="none" w:sz="0" w:space="0" w:color="auto"/>
        <w:right w:val="none" w:sz="0" w:space="0" w:color="auto"/>
      </w:divBdr>
    </w:div>
    <w:div w:id="107161635">
      <w:bodyDiv w:val="1"/>
      <w:marLeft w:val="0"/>
      <w:marRight w:val="0"/>
      <w:marTop w:val="0"/>
      <w:marBottom w:val="0"/>
      <w:divBdr>
        <w:top w:val="none" w:sz="0" w:space="0" w:color="auto"/>
        <w:left w:val="none" w:sz="0" w:space="0" w:color="auto"/>
        <w:bottom w:val="none" w:sz="0" w:space="0" w:color="auto"/>
        <w:right w:val="none" w:sz="0" w:space="0" w:color="auto"/>
      </w:divBdr>
    </w:div>
    <w:div w:id="107623917">
      <w:bodyDiv w:val="1"/>
      <w:marLeft w:val="0"/>
      <w:marRight w:val="0"/>
      <w:marTop w:val="0"/>
      <w:marBottom w:val="0"/>
      <w:divBdr>
        <w:top w:val="none" w:sz="0" w:space="0" w:color="auto"/>
        <w:left w:val="none" w:sz="0" w:space="0" w:color="auto"/>
        <w:bottom w:val="none" w:sz="0" w:space="0" w:color="auto"/>
        <w:right w:val="none" w:sz="0" w:space="0" w:color="auto"/>
      </w:divBdr>
    </w:div>
    <w:div w:id="108208386">
      <w:bodyDiv w:val="1"/>
      <w:marLeft w:val="0"/>
      <w:marRight w:val="0"/>
      <w:marTop w:val="0"/>
      <w:marBottom w:val="0"/>
      <w:divBdr>
        <w:top w:val="none" w:sz="0" w:space="0" w:color="auto"/>
        <w:left w:val="none" w:sz="0" w:space="0" w:color="auto"/>
        <w:bottom w:val="none" w:sz="0" w:space="0" w:color="auto"/>
        <w:right w:val="none" w:sz="0" w:space="0" w:color="auto"/>
      </w:divBdr>
    </w:div>
    <w:div w:id="108286805">
      <w:bodyDiv w:val="1"/>
      <w:marLeft w:val="0"/>
      <w:marRight w:val="0"/>
      <w:marTop w:val="0"/>
      <w:marBottom w:val="0"/>
      <w:divBdr>
        <w:top w:val="none" w:sz="0" w:space="0" w:color="auto"/>
        <w:left w:val="none" w:sz="0" w:space="0" w:color="auto"/>
        <w:bottom w:val="none" w:sz="0" w:space="0" w:color="auto"/>
        <w:right w:val="none" w:sz="0" w:space="0" w:color="auto"/>
      </w:divBdr>
    </w:div>
    <w:div w:id="108818240">
      <w:bodyDiv w:val="1"/>
      <w:marLeft w:val="0"/>
      <w:marRight w:val="0"/>
      <w:marTop w:val="0"/>
      <w:marBottom w:val="0"/>
      <w:divBdr>
        <w:top w:val="none" w:sz="0" w:space="0" w:color="auto"/>
        <w:left w:val="none" w:sz="0" w:space="0" w:color="auto"/>
        <w:bottom w:val="none" w:sz="0" w:space="0" w:color="auto"/>
        <w:right w:val="none" w:sz="0" w:space="0" w:color="auto"/>
      </w:divBdr>
    </w:div>
    <w:div w:id="109084126">
      <w:bodyDiv w:val="1"/>
      <w:marLeft w:val="0"/>
      <w:marRight w:val="0"/>
      <w:marTop w:val="0"/>
      <w:marBottom w:val="0"/>
      <w:divBdr>
        <w:top w:val="none" w:sz="0" w:space="0" w:color="auto"/>
        <w:left w:val="none" w:sz="0" w:space="0" w:color="auto"/>
        <w:bottom w:val="none" w:sz="0" w:space="0" w:color="auto"/>
        <w:right w:val="none" w:sz="0" w:space="0" w:color="auto"/>
      </w:divBdr>
    </w:div>
    <w:div w:id="109593136">
      <w:bodyDiv w:val="1"/>
      <w:marLeft w:val="0"/>
      <w:marRight w:val="0"/>
      <w:marTop w:val="0"/>
      <w:marBottom w:val="0"/>
      <w:divBdr>
        <w:top w:val="none" w:sz="0" w:space="0" w:color="auto"/>
        <w:left w:val="none" w:sz="0" w:space="0" w:color="auto"/>
        <w:bottom w:val="none" w:sz="0" w:space="0" w:color="auto"/>
        <w:right w:val="none" w:sz="0" w:space="0" w:color="auto"/>
      </w:divBdr>
    </w:div>
    <w:div w:id="109786503">
      <w:bodyDiv w:val="1"/>
      <w:marLeft w:val="0"/>
      <w:marRight w:val="0"/>
      <w:marTop w:val="0"/>
      <w:marBottom w:val="0"/>
      <w:divBdr>
        <w:top w:val="none" w:sz="0" w:space="0" w:color="auto"/>
        <w:left w:val="none" w:sz="0" w:space="0" w:color="auto"/>
        <w:bottom w:val="none" w:sz="0" w:space="0" w:color="auto"/>
        <w:right w:val="none" w:sz="0" w:space="0" w:color="auto"/>
      </w:divBdr>
    </w:div>
    <w:div w:id="109907222">
      <w:bodyDiv w:val="1"/>
      <w:marLeft w:val="0"/>
      <w:marRight w:val="0"/>
      <w:marTop w:val="0"/>
      <w:marBottom w:val="0"/>
      <w:divBdr>
        <w:top w:val="none" w:sz="0" w:space="0" w:color="auto"/>
        <w:left w:val="none" w:sz="0" w:space="0" w:color="auto"/>
        <w:bottom w:val="none" w:sz="0" w:space="0" w:color="auto"/>
        <w:right w:val="none" w:sz="0" w:space="0" w:color="auto"/>
      </w:divBdr>
    </w:div>
    <w:div w:id="110319411">
      <w:bodyDiv w:val="1"/>
      <w:marLeft w:val="0"/>
      <w:marRight w:val="0"/>
      <w:marTop w:val="0"/>
      <w:marBottom w:val="0"/>
      <w:divBdr>
        <w:top w:val="none" w:sz="0" w:space="0" w:color="auto"/>
        <w:left w:val="none" w:sz="0" w:space="0" w:color="auto"/>
        <w:bottom w:val="none" w:sz="0" w:space="0" w:color="auto"/>
        <w:right w:val="none" w:sz="0" w:space="0" w:color="auto"/>
      </w:divBdr>
    </w:div>
    <w:div w:id="110439561">
      <w:bodyDiv w:val="1"/>
      <w:marLeft w:val="0"/>
      <w:marRight w:val="0"/>
      <w:marTop w:val="0"/>
      <w:marBottom w:val="0"/>
      <w:divBdr>
        <w:top w:val="none" w:sz="0" w:space="0" w:color="auto"/>
        <w:left w:val="none" w:sz="0" w:space="0" w:color="auto"/>
        <w:bottom w:val="none" w:sz="0" w:space="0" w:color="auto"/>
        <w:right w:val="none" w:sz="0" w:space="0" w:color="auto"/>
      </w:divBdr>
    </w:div>
    <w:div w:id="111215083">
      <w:bodyDiv w:val="1"/>
      <w:marLeft w:val="0"/>
      <w:marRight w:val="0"/>
      <w:marTop w:val="0"/>
      <w:marBottom w:val="0"/>
      <w:divBdr>
        <w:top w:val="none" w:sz="0" w:space="0" w:color="auto"/>
        <w:left w:val="none" w:sz="0" w:space="0" w:color="auto"/>
        <w:bottom w:val="none" w:sz="0" w:space="0" w:color="auto"/>
        <w:right w:val="none" w:sz="0" w:space="0" w:color="auto"/>
      </w:divBdr>
    </w:div>
    <w:div w:id="111218672">
      <w:bodyDiv w:val="1"/>
      <w:marLeft w:val="0"/>
      <w:marRight w:val="0"/>
      <w:marTop w:val="0"/>
      <w:marBottom w:val="0"/>
      <w:divBdr>
        <w:top w:val="none" w:sz="0" w:space="0" w:color="auto"/>
        <w:left w:val="none" w:sz="0" w:space="0" w:color="auto"/>
        <w:bottom w:val="none" w:sz="0" w:space="0" w:color="auto"/>
        <w:right w:val="none" w:sz="0" w:space="0" w:color="auto"/>
      </w:divBdr>
    </w:div>
    <w:div w:id="111412455">
      <w:bodyDiv w:val="1"/>
      <w:marLeft w:val="0"/>
      <w:marRight w:val="0"/>
      <w:marTop w:val="0"/>
      <w:marBottom w:val="0"/>
      <w:divBdr>
        <w:top w:val="none" w:sz="0" w:space="0" w:color="auto"/>
        <w:left w:val="none" w:sz="0" w:space="0" w:color="auto"/>
        <w:bottom w:val="none" w:sz="0" w:space="0" w:color="auto"/>
        <w:right w:val="none" w:sz="0" w:space="0" w:color="auto"/>
      </w:divBdr>
    </w:div>
    <w:div w:id="111554030">
      <w:bodyDiv w:val="1"/>
      <w:marLeft w:val="0"/>
      <w:marRight w:val="0"/>
      <w:marTop w:val="0"/>
      <w:marBottom w:val="0"/>
      <w:divBdr>
        <w:top w:val="none" w:sz="0" w:space="0" w:color="auto"/>
        <w:left w:val="none" w:sz="0" w:space="0" w:color="auto"/>
        <w:bottom w:val="none" w:sz="0" w:space="0" w:color="auto"/>
        <w:right w:val="none" w:sz="0" w:space="0" w:color="auto"/>
      </w:divBdr>
    </w:div>
    <w:div w:id="112018741">
      <w:bodyDiv w:val="1"/>
      <w:marLeft w:val="0"/>
      <w:marRight w:val="0"/>
      <w:marTop w:val="0"/>
      <w:marBottom w:val="0"/>
      <w:divBdr>
        <w:top w:val="none" w:sz="0" w:space="0" w:color="auto"/>
        <w:left w:val="none" w:sz="0" w:space="0" w:color="auto"/>
        <w:bottom w:val="none" w:sz="0" w:space="0" w:color="auto"/>
        <w:right w:val="none" w:sz="0" w:space="0" w:color="auto"/>
      </w:divBdr>
    </w:div>
    <w:div w:id="112402217">
      <w:bodyDiv w:val="1"/>
      <w:marLeft w:val="0"/>
      <w:marRight w:val="0"/>
      <w:marTop w:val="0"/>
      <w:marBottom w:val="0"/>
      <w:divBdr>
        <w:top w:val="none" w:sz="0" w:space="0" w:color="auto"/>
        <w:left w:val="none" w:sz="0" w:space="0" w:color="auto"/>
        <w:bottom w:val="none" w:sz="0" w:space="0" w:color="auto"/>
        <w:right w:val="none" w:sz="0" w:space="0" w:color="auto"/>
      </w:divBdr>
    </w:div>
    <w:div w:id="112411639">
      <w:bodyDiv w:val="1"/>
      <w:marLeft w:val="0"/>
      <w:marRight w:val="0"/>
      <w:marTop w:val="0"/>
      <w:marBottom w:val="0"/>
      <w:divBdr>
        <w:top w:val="none" w:sz="0" w:space="0" w:color="auto"/>
        <w:left w:val="none" w:sz="0" w:space="0" w:color="auto"/>
        <w:bottom w:val="none" w:sz="0" w:space="0" w:color="auto"/>
        <w:right w:val="none" w:sz="0" w:space="0" w:color="auto"/>
      </w:divBdr>
    </w:div>
    <w:div w:id="112483627">
      <w:bodyDiv w:val="1"/>
      <w:marLeft w:val="0"/>
      <w:marRight w:val="0"/>
      <w:marTop w:val="0"/>
      <w:marBottom w:val="0"/>
      <w:divBdr>
        <w:top w:val="none" w:sz="0" w:space="0" w:color="auto"/>
        <w:left w:val="none" w:sz="0" w:space="0" w:color="auto"/>
        <w:bottom w:val="none" w:sz="0" w:space="0" w:color="auto"/>
        <w:right w:val="none" w:sz="0" w:space="0" w:color="auto"/>
      </w:divBdr>
    </w:div>
    <w:div w:id="113062995">
      <w:bodyDiv w:val="1"/>
      <w:marLeft w:val="0"/>
      <w:marRight w:val="0"/>
      <w:marTop w:val="0"/>
      <w:marBottom w:val="0"/>
      <w:divBdr>
        <w:top w:val="none" w:sz="0" w:space="0" w:color="auto"/>
        <w:left w:val="none" w:sz="0" w:space="0" w:color="auto"/>
        <w:bottom w:val="none" w:sz="0" w:space="0" w:color="auto"/>
        <w:right w:val="none" w:sz="0" w:space="0" w:color="auto"/>
      </w:divBdr>
    </w:div>
    <w:div w:id="113132821">
      <w:bodyDiv w:val="1"/>
      <w:marLeft w:val="0"/>
      <w:marRight w:val="0"/>
      <w:marTop w:val="0"/>
      <w:marBottom w:val="0"/>
      <w:divBdr>
        <w:top w:val="none" w:sz="0" w:space="0" w:color="auto"/>
        <w:left w:val="none" w:sz="0" w:space="0" w:color="auto"/>
        <w:bottom w:val="none" w:sz="0" w:space="0" w:color="auto"/>
        <w:right w:val="none" w:sz="0" w:space="0" w:color="auto"/>
      </w:divBdr>
    </w:div>
    <w:div w:id="113212829">
      <w:bodyDiv w:val="1"/>
      <w:marLeft w:val="0"/>
      <w:marRight w:val="0"/>
      <w:marTop w:val="0"/>
      <w:marBottom w:val="0"/>
      <w:divBdr>
        <w:top w:val="none" w:sz="0" w:space="0" w:color="auto"/>
        <w:left w:val="none" w:sz="0" w:space="0" w:color="auto"/>
        <w:bottom w:val="none" w:sz="0" w:space="0" w:color="auto"/>
        <w:right w:val="none" w:sz="0" w:space="0" w:color="auto"/>
      </w:divBdr>
    </w:div>
    <w:div w:id="113409333">
      <w:bodyDiv w:val="1"/>
      <w:marLeft w:val="0"/>
      <w:marRight w:val="0"/>
      <w:marTop w:val="0"/>
      <w:marBottom w:val="0"/>
      <w:divBdr>
        <w:top w:val="none" w:sz="0" w:space="0" w:color="auto"/>
        <w:left w:val="none" w:sz="0" w:space="0" w:color="auto"/>
        <w:bottom w:val="none" w:sz="0" w:space="0" w:color="auto"/>
        <w:right w:val="none" w:sz="0" w:space="0" w:color="auto"/>
      </w:divBdr>
    </w:div>
    <w:div w:id="113719467">
      <w:bodyDiv w:val="1"/>
      <w:marLeft w:val="0"/>
      <w:marRight w:val="0"/>
      <w:marTop w:val="0"/>
      <w:marBottom w:val="0"/>
      <w:divBdr>
        <w:top w:val="none" w:sz="0" w:space="0" w:color="auto"/>
        <w:left w:val="none" w:sz="0" w:space="0" w:color="auto"/>
        <w:bottom w:val="none" w:sz="0" w:space="0" w:color="auto"/>
        <w:right w:val="none" w:sz="0" w:space="0" w:color="auto"/>
      </w:divBdr>
    </w:div>
    <w:div w:id="114443884">
      <w:bodyDiv w:val="1"/>
      <w:marLeft w:val="0"/>
      <w:marRight w:val="0"/>
      <w:marTop w:val="0"/>
      <w:marBottom w:val="0"/>
      <w:divBdr>
        <w:top w:val="none" w:sz="0" w:space="0" w:color="auto"/>
        <w:left w:val="none" w:sz="0" w:space="0" w:color="auto"/>
        <w:bottom w:val="none" w:sz="0" w:space="0" w:color="auto"/>
        <w:right w:val="none" w:sz="0" w:space="0" w:color="auto"/>
      </w:divBdr>
    </w:div>
    <w:div w:id="114833223">
      <w:bodyDiv w:val="1"/>
      <w:marLeft w:val="0"/>
      <w:marRight w:val="0"/>
      <w:marTop w:val="0"/>
      <w:marBottom w:val="0"/>
      <w:divBdr>
        <w:top w:val="none" w:sz="0" w:space="0" w:color="auto"/>
        <w:left w:val="none" w:sz="0" w:space="0" w:color="auto"/>
        <w:bottom w:val="none" w:sz="0" w:space="0" w:color="auto"/>
        <w:right w:val="none" w:sz="0" w:space="0" w:color="auto"/>
      </w:divBdr>
    </w:div>
    <w:div w:id="115100415">
      <w:bodyDiv w:val="1"/>
      <w:marLeft w:val="0"/>
      <w:marRight w:val="0"/>
      <w:marTop w:val="0"/>
      <w:marBottom w:val="0"/>
      <w:divBdr>
        <w:top w:val="none" w:sz="0" w:space="0" w:color="auto"/>
        <w:left w:val="none" w:sz="0" w:space="0" w:color="auto"/>
        <w:bottom w:val="none" w:sz="0" w:space="0" w:color="auto"/>
        <w:right w:val="none" w:sz="0" w:space="0" w:color="auto"/>
      </w:divBdr>
    </w:div>
    <w:div w:id="115607104">
      <w:bodyDiv w:val="1"/>
      <w:marLeft w:val="0"/>
      <w:marRight w:val="0"/>
      <w:marTop w:val="0"/>
      <w:marBottom w:val="0"/>
      <w:divBdr>
        <w:top w:val="none" w:sz="0" w:space="0" w:color="auto"/>
        <w:left w:val="none" w:sz="0" w:space="0" w:color="auto"/>
        <w:bottom w:val="none" w:sz="0" w:space="0" w:color="auto"/>
        <w:right w:val="none" w:sz="0" w:space="0" w:color="auto"/>
      </w:divBdr>
    </w:div>
    <w:div w:id="115805921">
      <w:bodyDiv w:val="1"/>
      <w:marLeft w:val="0"/>
      <w:marRight w:val="0"/>
      <w:marTop w:val="0"/>
      <w:marBottom w:val="0"/>
      <w:divBdr>
        <w:top w:val="none" w:sz="0" w:space="0" w:color="auto"/>
        <w:left w:val="none" w:sz="0" w:space="0" w:color="auto"/>
        <w:bottom w:val="none" w:sz="0" w:space="0" w:color="auto"/>
        <w:right w:val="none" w:sz="0" w:space="0" w:color="auto"/>
      </w:divBdr>
    </w:div>
    <w:div w:id="115873323">
      <w:bodyDiv w:val="1"/>
      <w:marLeft w:val="0"/>
      <w:marRight w:val="0"/>
      <w:marTop w:val="0"/>
      <w:marBottom w:val="0"/>
      <w:divBdr>
        <w:top w:val="none" w:sz="0" w:space="0" w:color="auto"/>
        <w:left w:val="none" w:sz="0" w:space="0" w:color="auto"/>
        <w:bottom w:val="none" w:sz="0" w:space="0" w:color="auto"/>
        <w:right w:val="none" w:sz="0" w:space="0" w:color="auto"/>
      </w:divBdr>
    </w:div>
    <w:div w:id="115879229">
      <w:bodyDiv w:val="1"/>
      <w:marLeft w:val="0"/>
      <w:marRight w:val="0"/>
      <w:marTop w:val="0"/>
      <w:marBottom w:val="0"/>
      <w:divBdr>
        <w:top w:val="none" w:sz="0" w:space="0" w:color="auto"/>
        <w:left w:val="none" w:sz="0" w:space="0" w:color="auto"/>
        <w:bottom w:val="none" w:sz="0" w:space="0" w:color="auto"/>
        <w:right w:val="none" w:sz="0" w:space="0" w:color="auto"/>
      </w:divBdr>
    </w:div>
    <w:div w:id="116488931">
      <w:bodyDiv w:val="1"/>
      <w:marLeft w:val="0"/>
      <w:marRight w:val="0"/>
      <w:marTop w:val="0"/>
      <w:marBottom w:val="0"/>
      <w:divBdr>
        <w:top w:val="none" w:sz="0" w:space="0" w:color="auto"/>
        <w:left w:val="none" w:sz="0" w:space="0" w:color="auto"/>
        <w:bottom w:val="none" w:sz="0" w:space="0" w:color="auto"/>
        <w:right w:val="none" w:sz="0" w:space="0" w:color="auto"/>
      </w:divBdr>
    </w:div>
    <w:div w:id="116797296">
      <w:bodyDiv w:val="1"/>
      <w:marLeft w:val="0"/>
      <w:marRight w:val="0"/>
      <w:marTop w:val="0"/>
      <w:marBottom w:val="0"/>
      <w:divBdr>
        <w:top w:val="none" w:sz="0" w:space="0" w:color="auto"/>
        <w:left w:val="none" w:sz="0" w:space="0" w:color="auto"/>
        <w:bottom w:val="none" w:sz="0" w:space="0" w:color="auto"/>
        <w:right w:val="none" w:sz="0" w:space="0" w:color="auto"/>
      </w:divBdr>
    </w:div>
    <w:div w:id="116798502">
      <w:bodyDiv w:val="1"/>
      <w:marLeft w:val="0"/>
      <w:marRight w:val="0"/>
      <w:marTop w:val="0"/>
      <w:marBottom w:val="0"/>
      <w:divBdr>
        <w:top w:val="none" w:sz="0" w:space="0" w:color="auto"/>
        <w:left w:val="none" w:sz="0" w:space="0" w:color="auto"/>
        <w:bottom w:val="none" w:sz="0" w:space="0" w:color="auto"/>
        <w:right w:val="none" w:sz="0" w:space="0" w:color="auto"/>
      </w:divBdr>
    </w:div>
    <w:div w:id="116800429">
      <w:bodyDiv w:val="1"/>
      <w:marLeft w:val="0"/>
      <w:marRight w:val="0"/>
      <w:marTop w:val="0"/>
      <w:marBottom w:val="0"/>
      <w:divBdr>
        <w:top w:val="none" w:sz="0" w:space="0" w:color="auto"/>
        <w:left w:val="none" w:sz="0" w:space="0" w:color="auto"/>
        <w:bottom w:val="none" w:sz="0" w:space="0" w:color="auto"/>
        <w:right w:val="none" w:sz="0" w:space="0" w:color="auto"/>
      </w:divBdr>
    </w:div>
    <w:div w:id="116946397">
      <w:bodyDiv w:val="1"/>
      <w:marLeft w:val="0"/>
      <w:marRight w:val="0"/>
      <w:marTop w:val="0"/>
      <w:marBottom w:val="0"/>
      <w:divBdr>
        <w:top w:val="none" w:sz="0" w:space="0" w:color="auto"/>
        <w:left w:val="none" w:sz="0" w:space="0" w:color="auto"/>
        <w:bottom w:val="none" w:sz="0" w:space="0" w:color="auto"/>
        <w:right w:val="none" w:sz="0" w:space="0" w:color="auto"/>
      </w:divBdr>
    </w:div>
    <w:div w:id="116992909">
      <w:bodyDiv w:val="1"/>
      <w:marLeft w:val="0"/>
      <w:marRight w:val="0"/>
      <w:marTop w:val="0"/>
      <w:marBottom w:val="0"/>
      <w:divBdr>
        <w:top w:val="none" w:sz="0" w:space="0" w:color="auto"/>
        <w:left w:val="none" w:sz="0" w:space="0" w:color="auto"/>
        <w:bottom w:val="none" w:sz="0" w:space="0" w:color="auto"/>
        <w:right w:val="none" w:sz="0" w:space="0" w:color="auto"/>
      </w:divBdr>
    </w:div>
    <w:div w:id="117070469">
      <w:bodyDiv w:val="1"/>
      <w:marLeft w:val="0"/>
      <w:marRight w:val="0"/>
      <w:marTop w:val="0"/>
      <w:marBottom w:val="0"/>
      <w:divBdr>
        <w:top w:val="none" w:sz="0" w:space="0" w:color="auto"/>
        <w:left w:val="none" w:sz="0" w:space="0" w:color="auto"/>
        <w:bottom w:val="none" w:sz="0" w:space="0" w:color="auto"/>
        <w:right w:val="none" w:sz="0" w:space="0" w:color="auto"/>
      </w:divBdr>
    </w:div>
    <w:div w:id="117526562">
      <w:bodyDiv w:val="1"/>
      <w:marLeft w:val="0"/>
      <w:marRight w:val="0"/>
      <w:marTop w:val="0"/>
      <w:marBottom w:val="0"/>
      <w:divBdr>
        <w:top w:val="none" w:sz="0" w:space="0" w:color="auto"/>
        <w:left w:val="none" w:sz="0" w:space="0" w:color="auto"/>
        <w:bottom w:val="none" w:sz="0" w:space="0" w:color="auto"/>
        <w:right w:val="none" w:sz="0" w:space="0" w:color="auto"/>
      </w:divBdr>
    </w:div>
    <w:div w:id="117534476">
      <w:bodyDiv w:val="1"/>
      <w:marLeft w:val="0"/>
      <w:marRight w:val="0"/>
      <w:marTop w:val="0"/>
      <w:marBottom w:val="0"/>
      <w:divBdr>
        <w:top w:val="none" w:sz="0" w:space="0" w:color="auto"/>
        <w:left w:val="none" w:sz="0" w:space="0" w:color="auto"/>
        <w:bottom w:val="none" w:sz="0" w:space="0" w:color="auto"/>
        <w:right w:val="none" w:sz="0" w:space="0" w:color="auto"/>
      </w:divBdr>
    </w:div>
    <w:div w:id="117722021">
      <w:bodyDiv w:val="1"/>
      <w:marLeft w:val="0"/>
      <w:marRight w:val="0"/>
      <w:marTop w:val="0"/>
      <w:marBottom w:val="0"/>
      <w:divBdr>
        <w:top w:val="none" w:sz="0" w:space="0" w:color="auto"/>
        <w:left w:val="none" w:sz="0" w:space="0" w:color="auto"/>
        <w:bottom w:val="none" w:sz="0" w:space="0" w:color="auto"/>
        <w:right w:val="none" w:sz="0" w:space="0" w:color="auto"/>
      </w:divBdr>
    </w:div>
    <w:div w:id="118187777">
      <w:bodyDiv w:val="1"/>
      <w:marLeft w:val="0"/>
      <w:marRight w:val="0"/>
      <w:marTop w:val="0"/>
      <w:marBottom w:val="0"/>
      <w:divBdr>
        <w:top w:val="none" w:sz="0" w:space="0" w:color="auto"/>
        <w:left w:val="none" w:sz="0" w:space="0" w:color="auto"/>
        <w:bottom w:val="none" w:sz="0" w:space="0" w:color="auto"/>
        <w:right w:val="none" w:sz="0" w:space="0" w:color="auto"/>
      </w:divBdr>
      <w:divsChild>
        <w:div w:id="1665283233">
          <w:marLeft w:val="0"/>
          <w:marRight w:val="0"/>
          <w:marTop w:val="0"/>
          <w:marBottom w:val="0"/>
          <w:divBdr>
            <w:top w:val="none" w:sz="0" w:space="0" w:color="auto"/>
            <w:left w:val="none" w:sz="0" w:space="0" w:color="auto"/>
            <w:bottom w:val="none" w:sz="0" w:space="0" w:color="auto"/>
            <w:right w:val="none" w:sz="0" w:space="0" w:color="auto"/>
          </w:divBdr>
          <w:divsChild>
            <w:div w:id="1303729439">
              <w:marLeft w:val="0"/>
              <w:marRight w:val="0"/>
              <w:marTop w:val="0"/>
              <w:marBottom w:val="0"/>
              <w:divBdr>
                <w:top w:val="none" w:sz="0" w:space="0" w:color="auto"/>
                <w:left w:val="none" w:sz="0" w:space="0" w:color="auto"/>
                <w:bottom w:val="none" w:sz="0" w:space="0" w:color="auto"/>
                <w:right w:val="none" w:sz="0" w:space="0" w:color="auto"/>
              </w:divBdr>
              <w:divsChild>
                <w:div w:id="409543474">
                  <w:marLeft w:val="0"/>
                  <w:marRight w:val="0"/>
                  <w:marTop w:val="0"/>
                  <w:marBottom w:val="0"/>
                  <w:divBdr>
                    <w:top w:val="none" w:sz="0" w:space="0" w:color="auto"/>
                    <w:left w:val="none" w:sz="0" w:space="0" w:color="auto"/>
                    <w:bottom w:val="none" w:sz="0" w:space="0" w:color="auto"/>
                    <w:right w:val="none" w:sz="0" w:space="0" w:color="auto"/>
                  </w:divBdr>
                </w:div>
                <w:div w:id="1110322293">
                  <w:marLeft w:val="0"/>
                  <w:marRight w:val="0"/>
                  <w:marTop w:val="0"/>
                  <w:marBottom w:val="0"/>
                  <w:divBdr>
                    <w:top w:val="none" w:sz="0" w:space="0" w:color="auto"/>
                    <w:left w:val="none" w:sz="0" w:space="0" w:color="auto"/>
                    <w:bottom w:val="none" w:sz="0" w:space="0" w:color="auto"/>
                    <w:right w:val="none" w:sz="0" w:space="0" w:color="auto"/>
                  </w:divBdr>
                </w:div>
              </w:divsChild>
            </w:div>
            <w:div w:id="1632201048">
              <w:marLeft w:val="0"/>
              <w:marRight w:val="0"/>
              <w:marTop w:val="0"/>
              <w:marBottom w:val="0"/>
              <w:divBdr>
                <w:top w:val="none" w:sz="0" w:space="0" w:color="auto"/>
                <w:left w:val="none" w:sz="0" w:space="0" w:color="auto"/>
                <w:bottom w:val="none" w:sz="0" w:space="0" w:color="auto"/>
                <w:right w:val="none" w:sz="0" w:space="0" w:color="auto"/>
              </w:divBdr>
            </w:div>
          </w:divsChild>
        </w:div>
        <w:div w:id="2087917551">
          <w:marLeft w:val="0"/>
          <w:marRight w:val="0"/>
          <w:marTop w:val="0"/>
          <w:marBottom w:val="0"/>
          <w:divBdr>
            <w:top w:val="none" w:sz="0" w:space="0" w:color="auto"/>
            <w:left w:val="none" w:sz="0" w:space="0" w:color="auto"/>
            <w:bottom w:val="none" w:sz="0" w:space="0" w:color="auto"/>
            <w:right w:val="none" w:sz="0" w:space="0" w:color="auto"/>
          </w:divBdr>
        </w:div>
      </w:divsChild>
    </w:div>
    <w:div w:id="118305965">
      <w:bodyDiv w:val="1"/>
      <w:marLeft w:val="0"/>
      <w:marRight w:val="0"/>
      <w:marTop w:val="0"/>
      <w:marBottom w:val="0"/>
      <w:divBdr>
        <w:top w:val="none" w:sz="0" w:space="0" w:color="auto"/>
        <w:left w:val="none" w:sz="0" w:space="0" w:color="auto"/>
        <w:bottom w:val="none" w:sz="0" w:space="0" w:color="auto"/>
        <w:right w:val="none" w:sz="0" w:space="0" w:color="auto"/>
      </w:divBdr>
    </w:div>
    <w:div w:id="118382518">
      <w:bodyDiv w:val="1"/>
      <w:marLeft w:val="0"/>
      <w:marRight w:val="0"/>
      <w:marTop w:val="0"/>
      <w:marBottom w:val="0"/>
      <w:divBdr>
        <w:top w:val="none" w:sz="0" w:space="0" w:color="auto"/>
        <w:left w:val="none" w:sz="0" w:space="0" w:color="auto"/>
        <w:bottom w:val="none" w:sz="0" w:space="0" w:color="auto"/>
        <w:right w:val="none" w:sz="0" w:space="0" w:color="auto"/>
      </w:divBdr>
    </w:div>
    <w:div w:id="118648670">
      <w:bodyDiv w:val="1"/>
      <w:marLeft w:val="0"/>
      <w:marRight w:val="0"/>
      <w:marTop w:val="0"/>
      <w:marBottom w:val="0"/>
      <w:divBdr>
        <w:top w:val="none" w:sz="0" w:space="0" w:color="auto"/>
        <w:left w:val="none" w:sz="0" w:space="0" w:color="auto"/>
        <w:bottom w:val="none" w:sz="0" w:space="0" w:color="auto"/>
        <w:right w:val="none" w:sz="0" w:space="0" w:color="auto"/>
      </w:divBdr>
    </w:div>
    <w:div w:id="118842270">
      <w:bodyDiv w:val="1"/>
      <w:marLeft w:val="0"/>
      <w:marRight w:val="0"/>
      <w:marTop w:val="0"/>
      <w:marBottom w:val="0"/>
      <w:divBdr>
        <w:top w:val="none" w:sz="0" w:space="0" w:color="auto"/>
        <w:left w:val="none" w:sz="0" w:space="0" w:color="auto"/>
        <w:bottom w:val="none" w:sz="0" w:space="0" w:color="auto"/>
        <w:right w:val="none" w:sz="0" w:space="0" w:color="auto"/>
      </w:divBdr>
    </w:div>
    <w:div w:id="119417475">
      <w:bodyDiv w:val="1"/>
      <w:marLeft w:val="0"/>
      <w:marRight w:val="0"/>
      <w:marTop w:val="0"/>
      <w:marBottom w:val="0"/>
      <w:divBdr>
        <w:top w:val="none" w:sz="0" w:space="0" w:color="auto"/>
        <w:left w:val="none" w:sz="0" w:space="0" w:color="auto"/>
        <w:bottom w:val="none" w:sz="0" w:space="0" w:color="auto"/>
        <w:right w:val="none" w:sz="0" w:space="0" w:color="auto"/>
      </w:divBdr>
    </w:div>
    <w:div w:id="119494999">
      <w:bodyDiv w:val="1"/>
      <w:marLeft w:val="0"/>
      <w:marRight w:val="0"/>
      <w:marTop w:val="0"/>
      <w:marBottom w:val="0"/>
      <w:divBdr>
        <w:top w:val="none" w:sz="0" w:space="0" w:color="auto"/>
        <w:left w:val="none" w:sz="0" w:space="0" w:color="auto"/>
        <w:bottom w:val="none" w:sz="0" w:space="0" w:color="auto"/>
        <w:right w:val="none" w:sz="0" w:space="0" w:color="auto"/>
      </w:divBdr>
    </w:div>
    <w:div w:id="119537789">
      <w:bodyDiv w:val="1"/>
      <w:marLeft w:val="0"/>
      <w:marRight w:val="0"/>
      <w:marTop w:val="0"/>
      <w:marBottom w:val="0"/>
      <w:divBdr>
        <w:top w:val="none" w:sz="0" w:space="0" w:color="auto"/>
        <w:left w:val="none" w:sz="0" w:space="0" w:color="auto"/>
        <w:bottom w:val="none" w:sz="0" w:space="0" w:color="auto"/>
        <w:right w:val="none" w:sz="0" w:space="0" w:color="auto"/>
      </w:divBdr>
    </w:div>
    <w:div w:id="120462328">
      <w:bodyDiv w:val="1"/>
      <w:marLeft w:val="0"/>
      <w:marRight w:val="0"/>
      <w:marTop w:val="0"/>
      <w:marBottom w:val="0"/>
      <w:divBdr>
        <w:top w:val="none" w:sz="0" w:space="0" w:color="auto"/>
        <w:left w:val="none" w:sz="0" w:space="0" w:color="auto"/>
        <w:bottom w:val="none" w:sz="0" w:space="0" w:color="auto"/>
        <w:right w:val="none" w:sz="0" w:space="0" w:color="auto"/>
      </w:divBdr>
    </w:div>
    <w:div w:id="120805442">
      <w:bodyDiv w:val="1"/>
      <w:marLeft w:val="0"/>
      <w:marRight w:val="0"/>
      <w:marTop w:val="0"/>
      <w:marBottom w:val="0"/>
      <w:divBdr>
        <w:top w:val="none" w:sz="0" w:space="0" w:color="auto"/>
        <w:left w:val="none" w:sz="0" w:space="0" w:color="auto"/>
        <w:bottom w:val="none" w:sz="0" w:space="0" w:color="auto"/>
        <w:right w:val="none" w:sz="0" w:space="0" w:color="auto"/>
      </w:divBdr>
    </w:div>
    <w:div w:id="121077730">
      <w:bodyDiv w:val="1"/>
      <w:marLeft w:val="0"/>
      <w:marRight w:val="0"/>
      <w:marTop w:val="0"/>
      <w:marBottom w:val="0"/>
      <w:divBdr>
        <w:top w:val="none" w:sz="0" w:space="0" w:color="auto"/>
        <w:left w:val="none" w:sz="0" w:space="0" w:color="auto"/>
        <w:bottom w:val="none" w:sz="0" w:space="0" w:color="auto"/>
        <w:right w:val="none" w:sz="0" w:space="0" w:color="auto"/>
      </w:divBdr>
    </w:div>
    <w:div w:id="121316028">
      <w:bodyDiv w:val="1"/>
      <w:marLeft w:val="0"/>
      <w:marRight w:val="0"/>
      <w:marTop w:val="0"/>
      <w:marBottom w:val="0"/>
      <w:divBdr>
        <w:top w:val="none" w:sz="0" w:space="0" w:color="auto"/>
        <w:left w:val="none" w:sz="0" w:space="0" w:color="auto"/>
        <w:bottom w:val="none" w:sz="0" w:space="0" w:color="auto"/>
        <w:right w:val="none" w:sz="0" w:space="0" w:color="auto"/>
      </w:divBdr>
    </w:div>
    <w:div w:id="121389493">
      <w:bodyDiv w:val="1"/>
      <w:marLeft w:val="0"/>
      <w:marRight w:val="0"/>
      <w:marTop w:val="0"/>
      <w:marBottom w:val="0"/>
      <w:divBdr>
        <w:top w:val="none" w:sz="0" w:space="0" w:color="auto"/>
        <w:left w:val="none" w:sz="0" w:space="0" w:color="auto"/>
        <w:bottom w:val="none" w:sz="0" w:space="0" w:color="auto"/>
        <w:right w:val="none" w:sz="0" w:space="0" w:color="auto"/>
      </w:divBdr>
    </w:div>
    <w:div w:id="121507486">
      <w:bodyDiv w:val="1"/>
      <w:marLeft w:val="0"/>
      <w:marRight w:val="0"/>
      <w:marTop w:val="0"/>
      <w:marBottom w:val="0"/>
      <w:divBdr>
        <w:top w:val="none" w:sz="0" w:space="0" w:color="auto"/>
        <w:left w:val="none" w:sz="0" w:space="0" w:color="auto"/>
        <w:bottom w:val="none" w:sz="0" w:space="0" w:color="auto"/>
        <w:right w:val="none" w:sz="0" w:space="0" w:color="auto"/>
      </w:divBdr>
    </w:div>
    <w:div w:id="122583858">
      <w:bodyDiv w:val="1"/>
      <w:marLeft w:val="0"/>
      <w:marRight w:val="0"/>
      <w:marTop w:val="0"/>
      <w:marBottom w:val="0"/>
      <w:divBdr>
        <w:top w:val="none" w:sz="0" w:space="0" w:color="auto"/>
        <w:left w:val="none" w:sz="0" w:space="0" w:color="auto"/>
        <w:bottom w:val="none" w:sz="0" w:space="0" w:color="auto"/>
        <w:right w:val="none" w:sz="0" w:space="0" w:color="auto"/>
      </w:divBdr>
    </w:div>
    <w:div w:id="122815413">
      <w:bodyDiv w:val="1"/>
      <w:marLeft w:val="0"/>
      <w:marRight w:val="0"/>
      <w:marTop w:val="0"/>
      <w:marBottom w:val="0"/>
      <w:divBdr>
        <w:top w:val="none" w:sz="0" w:space="0" w:color="auto"/>
        <w:left w:val="none" w:sz="0" w:space="0" w:color="auto"/>
        <w:bottom w:val="none" w:sz="0" w:space="0" w:color="auto"/>
        <w:right w:val="none" w:sz="0" w:space="0" w:color="auto"/>
      </w:divBdr>
    </w:div>
    <w:div w:id="123080385">
      <w:bodyDiv w:val="1"/>
      <w:marLeft w:val="0"/>
      <w:marRight w:val="0"/>
      <w:marTop w:val="0"/>
      <w:marBottom w:val="0"/>
      <w:divBdr>
        <w:top w:val="none" w:sz="0" w:space="0" w:color="auto"/>
        <w:left w:val="none" w:sz="0" w:space="0" w:color="auto"/>
        <w:bottom w:val="none" w:sz="0" w:space="0" w:color="auto"/>
        <w:right w:val="none" w:sz="0" w:space="0" w:color="auto"/>
      </w:divBdr>
    </w:div>
    <w:div w:id="123895044">
      <w:bodyDiv w:val="1"/>
      <w:marLeft w:val="0"/>
      <w:marRight w:val="0"/>
      <w:marTop w:val="0"/>
      <w:marBottom w:val="0"/>
      <w:divBdr>
        <w:top w:val="none" w:sz="0" w:space="0" w:color="auto"/>
        <w:left w:val="none" w:sz="0" w:space="0" w:color="auto"/>
        <w:bottom w:val="none" w:sz="0" w:space="0" w:color="auto"/>
        <w:right w:val="none" w:sz="0" w:space="0" w:color="auto"/>
      </w:divBdr>
    </w:div>
    <w:div w:id="124198127">
      <w:bodyDiv w:val="1"/>
      <w:marLeft w:val="0"/>
      <w:marRight w:val="0"/>
      <w:marTop w:val="0"/>
      <w:marBottom w:val="0"/>
      <w:divBdr>
        <w:top w:val="none" w:sz="0" w:space="0" w:color="auto"/>
        <w:left w:val="none" w:sz="0" w:space="0" w:color="auto"/>
        <w:bottom w:val="none" w:sz="0" w:space="0" w:color="auto"/>
        <w:right w:val="none" w:sz="0" w:space="0" w:color="auto"/>
      </w:divBdr>
    </w:div>
    <w:div w:id="124274402">
      <w:bodyDiv w:val="1"/>
      <w:marLeft w:val="0"/>
      <w:marRight w:val="0"/>
      <w:marTop w:val="0"/>
      <w:marBottom w:val="0"/>
      <w:divBdr>
        <w:top w:val="none" w:sz="0" w:space="0" w:color="auto"/>
        <w:left w:val="none" w:sz="0" w:space="0" w:color="auto"/>
        <w:bottom w:val="none" w:sz="0" w:space="0" w:color="auto"/>
        <w:right w:val="none" w:sz="0" w:space="0" w:color="auto"/>
      </w:divBdr>
    </w:div>
    <w:div w:id="124350633">
      <w:bodyDiv w:val="1"/>
      <w:marLeft w:val="0"/>
      <w:marRight w:val="0"/>
      <w:marTop w:val="0"/>
      <w:marBottom w:val="0"/>
      <w:divBdr>
        <w:top w:val="none" w:sz="0" w:space="0" w:color="auto"/>
        <w:left w:val="none" w:sz="0" w:space="0" w:color="auto"/>
        <w:bottom w:val="none" w:sz="0" w:space="0" w:color="auto"/>
        <w:right w:val="none" w:sz="0" w:space="0" w:color="auto"/>
      </w:divBdr>
    </w:div>
    <w:div w:id="124465786">
      <w:bodyDiv w:val="1"/>
      <w:marLeft w:val="0"/>
      <w:marRight w:val="0"/>
      <w:marTop w:val="0"/>
      <w:marBottom w:val="0"/>
      <w:divBdr>
        <w:top w:val="none" w:sz="0" w:space="0" w:color="auto"/>
        <w:left w:val="none" w:sz="0" w:space="0" w:color="auto"/>
        <w:bottom w:val="none" w:sz="0" w:space="0" w:color="auto"/>
        <w:right w:val="none" w:sz="0" w:space="0" w:color="auto"/>
      </w:divBdr>
    </w:div>
    <w:div w:id="124549863">
      <w:bodyDiv w:val="1"/>
      <w:marLeft w:val="0"/>
      <w:marRight w:val="0"/>
      <w:marTop w:val="0"/>
      <w:marBottom w:val="0"/>
      <w:divBdr>
        <w:top w:val="none" w:sz="0" w:space="0" w:color="auto"/>
        <w:left w:val="none" w:sz="0" w:space="0" w:color="auto"/>
        <w:bottom w:val="none" w:sz="0" w:space="0" w:color="auto"/>
        <w:right w:val="none" w:sz="0" w:space="0" w:color="auto"/>
      </w:divBdr>
    </w:div>
    <w:div w:id="124590779">
      <w:bodyDiv w:val="1"/>
      <w:marLeft w:val="0"/>
      <w:marRight w:val="0"/>
      <w:marTop w:val="0"/>
      <w:marBottom w:val="0"/>
      <w:divBdr>
        <w:top w:val="none" w:sz="0" w:space="0" w:color="auto"/>
        <w:left w:val="none" w:sz="0" w:space="0" w:color="auto"/>
        <w:bottom w:val="none" w:sz="0" w:space="0" w:color="auto"/>
        <w:right w:val="none" w:sz="0" w:space="0" w:color="auto"/>
      </w:divBdr>
    </w:div>
    <w:div w:id="125051715">
      <w:bodyDiv w:val="1"/>
      <w:marLeft w:val="0"/>
      <w:marRight w:val="0"/>
      <w:marTop w:val="0"/>
      <w:marBottom w:val="0"/>
      <w:divBdr>
        <w:top w:val="none" w:sz="0" w:space="0" w:color="auto"/>
        <w:left w:val="none" w:sz="0" w:space="0" w:color="auto"/>
        <w:bottom w:val="none" w:sz="0" w:space="0" w:color="auto"/>
        <w:right w:val="none" w:sz="0" w:space="0" w:color="auto"/>
      </w:divBdr>
    </w:div>
    <w:div w:id="125438295">
      <w:bodyDiv w:val="1"/>
      <w:marLeft w:val="0"/>
      <w:marRight w:val="0"/>
      <w:marTop w:val="0"/>
      <w:marBottom w:val="0"/>
      <w:divBdr>
        <w:top w:val="none" w:sz="0" w:space="0" w:color="auto"/>
        <w:left w:val="none" w:sz="0" w:space="0" w:color="auto"/>
        <w:bottom w:val="none" w:sz="0" w:space="0" w:color="auto"/>
        <w:right w:val="none" w:sz="0" w:space="0" w:color="auto"/>
      </w:divBdr>
    </w:div>
    <w:div w:id="125440533">
      <w:bodyDiv w:val="1"/>
      <w:marLeft w:val="0"/>
      <w:marRight w:val="0"/>
      <w:marTop w:val="0"/>
      <w:marBottom w:val="0"/>
      <w:divBdr>
        <w:top w:val="none" w:sz="0" w:space="0" w:color="auto"/>
        <w:left w:val="none" w:sz="0" w:space="0" w:color="auto"/>
        <w:bottom w:val="none" w:sz="0" w:space="0" w:color="auto"/>
        <w:right w:val="none" w:sz="0" w:space="0" w:color="auto"/>
      </w:divBdr>
    </w:div>
    <w:div w:id="125776090">
      <w:bodyDiv w:val="1"/>
      <w:marLeft w:val="0"/>
      <w:marRight w:val="0"/>
      <w:marTop w:val="0"/>
      <w:marBottom w:val="0"/>
      <w:divBdr>
        <w:top w:val="none" w:sz="0" w:space="0" w:color="auto"/>
        <w:left w:val="none" w:sz="0" w:space="0" w:color="auto"/>
        <w:bottom w:val="none" w:sz="0" w:space="0" w:color="auto"/>
        <w:right w:val="none" w:sz="0" w:space="0" w:color="auto"/>
      </w:divBdr>
    </w:div>
    <w:div w:id="126822774">
      <w:bodyDiv w:val="1"/>
      <w:marLeft w:val="0"/>
      <w:marRight w:val="0"/>
      <w:marTop w:val="0"/>
      <w:marBottom w:val="0"/>
      <w:divBdr>
        <w:top w:val="none" w:sz="0" w:space="0" w:color="auto"/>
        <w:left w:val="none" w:sz="0" w:space="0" w:color="auto"/>
        <w:bottom w:val="none" w:sz="0" w:space="0" w:color="auto"/>
        <w:right w:val="none" w:sz="0" w:space="0" w:color="auto"/>
      </w:divBdr>
    </w:div>
    <w:div w:id="127363383">
      <w:bodyDiv w:val="1"/>
      <w:marLeft w:val="0"/>
      <w:marRight w:val="0"/>
      <w:marTop w:val="0"/>
      <w:marBottom w:val="0"/>
      <w:divBdr>
        <w:top w:val="none" w:sz="0" w:space="0" w:color="auto"/>
        <w:left w:val="none" w:sz="0" w:space="0" w:color="auto"/>
        <w:bottom w:val="none" w:sz="0" w:space="0" w:color="auto"/>
        <w:right w:val="none" w:sz="0" w:space="0" w:color="auto"/>
      </w:divBdr>
    </w:div>
    <w:div w:id="127404779">
      <w:bodyDiv w:val="1"/>
      <w:marLeft w:val="0"/>
      <w:marRight w:val="0"/>
      <w:marTop w:val="0"/>
      <w:marBottom w:val="0"/>
      <w:divBdr>
        <w:top w:val="none" w:sz="0" w:space="0" w:color="auto"/>
        <w:left w:val="none" w:sz="0" w:space="0" w:color="auto"/>
        <w:bottom w:val="none" w:sz="0" w:space="0" w:color="auto"/>
        <w:right w:val="none" w:sz="0" w:space="0" w:color="auto"/>
      </w:divBdr>
    </w:div>
    <w:div w:id="127820071">
      <w:bodyDiv w:val="1"/>
      <w:marLeft w:val="0"/>
      <w:marRight w:val="0"/>
      <w:marTop w:val="0"/>
      <w:marBottom w:val="0"/>
      <w:divBdr>
        <w:top w:val="none" w:sz="0" w:space="0" w:color="auto"/>
        <w:left w:val="none" w:sz="0" w:space="0" w:color="auto"/>
        <w:bottom w:val="none" w:sz="0" w:space="0" w:color="auto"/>
        <w:right w:val="none" w:sz="0" w:space="0" w:color="auto"/>
      </w:divBdr>
    </w:div>
    <w:div w:id="127892878">
      <w:bodyDiv w:val="1"/>
      <w:marLeft w:val="0"/>
      <w:marRight w:val="0"/>
      <w:marTop w:val="0"/>
      <w:marBottom w:val="0"/>
      <w:divBdr>
        <w:top w:val="none" w:sz="0" w:space="0" w:color="auto"/>
        <w:left w:val="none" w:sz="0" w:space="0" w:color="auto"/>
        <w:bottom w:val="none" w:sz="0" w:space="0" w:color="auto"/>
        <w:right w:val="none" w:sz="0" w:space="0" w:color="auto"/>
      </w:divBdr>
    </w:div>
    <w:div w:id="128285696">
      <w:bodyDiv w:val="1"/>
      <w:marLeft w:val="0"/>
      <w:marRight w:val="0"/>
      <w:marTop w:val="0"/>
      <w:marBottom w:val="0"/>
      <w:divBdr>
        <w:top w:val="none" w:sz="0" w:space="0" w:color="auto"/>
        <w:left w:val="none" w:sz="0" w:space="0" w:color="auto"/>
        <w:bottom w:val="none" w:sz="0" w:space="0" w:color="auto"/>
        <w:right w:val="none" w:sz="0" w:space="0" w:color="auto"/>
      </w:divBdr>
    </w:div>
    <w:div w:id="128474195">
      <w:bodyDiv w:val="1"/>
      <w:marLeft w:val="0"/>
      <w:marRight w:val="0"/>
      <w:marTop w:val="0"/>
      <w:marBottom w:val="0"/>
      <w:divBdr>
        <w:top w:val="none" w:sz="0" w:space="0" w:color="auto"/>
        <w:left w:val="none" w:sz="0" w:space="0" w:color="auto"/>
        <w:bottom w:val="none" w:sz="0" w:space="0" w:color="auto"/>
        <w:right w:val="none" w:sz="0" w:space="0" w:color="auto"/>
      </w:divBdr>
    </w:div>
    <w:div w:id="129176830">
      <w:bodyDiv w:val="1"/>
      <w:marLeft w:val="0"/>
      <w:marRight w:val="0"/>
      <w:marTop w:val="0"/>
      <w:marBottom w:val="0"/>
      <w:divBdr>
        <w:top w:val="none" w:sz="0" w:space="0" w:color="auto"/>
        <w:left w:val="none" w:sz="0" w:space="0" w:color="auto"/>
        <w:bottom w:val="none" w:sz="0" w:space="0" w:color="auto"/>
        <w:right w:val="none" w:sz="0" w:space="0" w:color="auto"/>
      </w:divBdr>
    </w:div>
    <w:div w:id="129323617">
      <w:bodyDiv w:val="1"/>
      <w:marLeft w:val="0"/>
      <w:marRight w:val="0"/>
      <w:marTop w:val="0"/>
      <w:marBottom w:val="0"/>
      <w:divBdr>
        <w:top w:val="none" w:sz="0" w:space="0" w:color="auto"/>
        <w:left w:val="none" w:sz="0" w:space="0" w:color="auto"/>
        <w:bottom w:val="none" w:sz="0" w:space="0" w:color="auto"/>
        <w:right w:val="none" w:sz="0" w:space="0" w:color="auto"/>
      </w:divBdr>
    </w:div>
    <w:div w:id="130025809">
      <w:bodyDiv w:val="1"/>
      <w:marLeft w:val="0"/>
      <w:marRight w:val="0"/>
      <w:marTop w:val="0"/>
      <w:marBottom w:val="0"/>
      <w:divBdr>
        <w:top w:val="none" w:sz="0" w:space="0" w:color="auto"/>
        <w:left w:val="none" w:sz="0" w:space="0" w:color="auto"/>
        <w:bottom w:val="none" w:sz="0" w:space="0" w:color="auto"/>
        <w:right w:val="none" w:sz="0" w:space="0" w:color="auto"/>
      </w:divBdr>
    </w:div>
    <w:div w:id="130173585">
      <w:bodyDiv w:val="1"/>
      <w:marLeft w:val="0"/>
      <w:marRight w:val="0"/>
      <w:marTop w:val="0"/>
      <w:marBottom w:val="0"/>
      <w:divBdr>
        <w:top w:val="none" w:sz="0" w:space="0" w:color="auto"/>
        <w:left w:val="none" w:sz="0" w:space="0" w:color="auto"/>
        <w:bottom w:val="none" w:sz="0" w:space="0" w:color="auto"/>
        <w:right w:val="none" w:sz="0" w:space="0" w:color="auto"/>
      </w:divBdr>
    </w:div>
    <w:div w:id="131101428">
      <w:bodyDiv w:val="1"/>
      <w:marLeft w:val="0"/>
      <w:marRight w:val="0"/>
      <w:marTop w:val="0"/>
      <w:marBottom w:val="0"/>
      <w:divBdr>
        <w:top w:val="none" w:sz="0" w:space="0" w:color="auto"/>
        <w:left w:val="none" w:sz="0" w:space="0" w:color="auto"/>
        <w:bottom w:val="none" w:sz="0" w:space="0" w:color="auto"/>
        <w:right w:val="none" w:sz="0" w:space="0" w:color="auto"/>
      </w:divBdr>
      <w:divsChild>
        <w:div w:id="2007435557">
          <w:marLeft w:val="0"/>
          <w:marRight w:val="0"/>
          <w:marTop w:val="0"/>
          <w:marBottom w:val="0"/>
          <w:divBdr>
            <w:top w:val="none" w:sz="0" w:space="0" w:color="auto"/>
            <w:left w:val="none" w:sz="0" w:space="0" w:color="auto"/>
            <w:bottom w:val="none" w:sz="0" w:space="0" w:color="auto"/>
            <w:right w:val="none" w:sz="0" w:space="0" w:color="auto"/>
          </w:divBdr>
          <w:divsChild>
            <w:div w:id="1044907467">
              <w:marLeft w:val="0"/>
              <w:marRight w:val="0"/>
              <w:marTop w:val="0"/>
              <w:marBottom w:val="0"/>
              <w:divBdr>
                <w:top w:val="none" w:sz="0" w:space="0" w:color="auto"/>
                <w:left w:val="none" w:sz="0" w:space="0" w:color="auto"/>
                <w:bottom w:val="none" w:sz="0" w:space="0" w:color="auto"/>
                <w:right w:val="none" w:sz="0" w:space="0" w:color="auto"/>
              </w:divBdr>
              <w:divsChild>
                <w:div w:id="208156050">
                  <w:marLeft w:val="0"/>
                  <w:marRight w:val="0"/>
                  <w:marTop w:val="0"/>
                  <w:marBottom w:val="0"/>
                  <w:divBdr>
                    <w:top w:val="none" w:sz="0" w:space="0" w:color="auto"/>
                    <w:left w:val="none" w:sz="0" w:space="0" w:color="auto"/>
                    <w:bottom w:val="none" w:sz="0" w:space="0" w:color="auto"/>
                    <w:right w:val="none" w:sz="0" w:space="0" w:color="auto"/>
                  </w:divBdr>
                  <w:divsChild>
                    <w:div w:id="880240193">
                      <w:marLeft w:val="0"/>
                      <w:marRight w:val="0"/>
                      <w:marTop w:val="0"/>
                      <w:marBottom w:val="0"/>
                      <w:divBdr>
                        <w:top w:val="none" w:sz="0" w:space="0" w:color="auto"/>
                        <w:left w:val="none" w:sz="0" w:space="0" w:color="auto"/>
                        <w:bottom w:val="none" w:sz="0" w:space="0" w:color="auto"/>
                        <w:right w:val="none" w:sz="0" w:space="0" w:color="auto"/>
                      </w:divBdr>
                      <w:divsChild>
                        <w:div w:id="380903050">
                          <w:marLeft w:val="0"/>
                          <w:marRight w:val="0"/>
                          <w:marTop w:val="0"/>
                          <w:marBottom w:val="0"/>
                          <w:divBdr>
                            <w:top w:val="none" w:sz="0" w:space="0" w:color="auto"/>
                            <w:left w:val="none" w:sz="0" w:space="0" w:color="auto"/>
                            <w:bottom w:val="none" w:sz="0" w:space="0" w:color="auto"/>
                            <w:right w:val="none" w:sz="0" w:space="0" w:color="auto"/>
                          </w:divBdr>
                          <w:divsChild>
                            <w:div w:id="851607439">
                              <w:marLeft w:val="0"/>
                              <w:marRight w:val="0"/>
                              <w:marTop w:val="0"/>
                              <w:marBottom w:val="0"/>
                              <w:divBdr>
                                <w:top w:val="none" w:sz="0" w:space="0" w:color="auto"/>
                                <w:left w:val="none" w:sz="0" w:space="0" w:color="auto"/>
                                <w:bottom w:val="none" w:sz="0" w:space="0" w:color="auto"/>
                                <w:right w:val="none" w:sz="0" w:space="0" w:color="auto"/>
                              </w:divBdr>
                              <w:divsChild>
                                <w:div w:id="1164206628">
                                  <w:marLeft w:val="0"/>
                                  <w:marRight w:val="0"/>
                                  <w:marTop w:val="0"/>
                                  <w:marBottom w:val="0"/>
                                  <w:divBdr>
                                    <w:top w:val="none" w:sz="0" w:space="0" w:color="auto"/>
                                    <w:left w:val="none" w:sz="0" w:space="0" w:color="auto"/>
                                    <w:bottom w:val="none" w:sz="0" w:space="0" w:color="auto"/>
                                    <w:right w:val="none" w:sz="0" w:space="0" w:color="auto"/>
                                  </w:divBdr>
                                  <w:divsChild>
                                    <w:div w:id="451822463">
                                      <w:marLeft w:val="0"/>
                                      <w:marRight w:val="0"/>
                                      <w:marTop w:val="0"/>
                                      <w:marBottom w:val="0"/>
                                      <w:divBdr>
                                        <w:top w:val="none" w:sz="0" w:space="0" w:color="auto"/>
                                        <w:left w:val="none" w:sz="0" w:space="0" w:color="auto"/>
                                        <w:bottom w:val="none" w:sz="0" w:space="0" w:color="auto"/>
                                        <w:right w:val="none" w:sz="0" w:space="0" w:color="auto"/>
                                      </w:divBdr>
                                      <w:divsChild>
                                        <w:div w:id="547297880">
                                          <w:marLeft w:val="0"/>
                                          <w:marRight w:val="0"/>
                                          <w:marTop w:val="0"/>
                                          <w:marBottom w:val="0"/>
                                          <w:divBdr>
                                            <w:top w:val="none" w:sz="0" w:space="0" w:color="auto"/>
                                            <w:left w:val="none" w:sz="0" w:space="0" w:color="auto"/>
                                            <w:bottom w:val="none" w:sz="0" w:space="0" w:color="auto"/>
                                            <w:right w:val="none" w:sz="0" w:space="0" w:color="auto"/>
                                          </w:divBdr>
                                          <w:divsChild>
                                            <w:div w:id="204292378">
                                              <w:marLeft w:val="0"/>
                                              <w:marRight w:val="0"/>
                                              <w:marTop w:val="0"/>
                                              <w:marBottom w:val="0"/>
                                              <w:divBdr>
                                                <w:top w:val="none" w:sz="0" w:space="0" w:color="auto"/>
                                                <w:left w:val="none" w:sz="0" w:space="0" w:color="auto"/>
                                                <w:bottom w:val="none" w:sz="0" w:space="0" w:color="auto"/>
                                                <w:right w:val="none" w:sz="0" w:space="0" w:color="auto"/>
                                              </w:divBdr>
                                              <w:divsChild>
                                                <w:div w:id="863665419">
                                                  <w:marLeft w:val="0"/>
                                                  <w:marRight w:val="0"/>
                                                  <w:marTop w:val="0"/>
                                                  <w:marBottom w:val="0"/>
                                                  <w:divBdr>
                                                    <w:top w:val="none" w:sz="0" w:space="0" w:color="auto"/>
                                                    <w:left w:val="none" w:sz="0" w:space="0" w:color="auto"/>
                                                    <w:bottom w:val="none" w:sz="0" w:space="0" w:color="auto"/>
                                                    <w:right w:val="none" w:sz="0" w:space="0" w:color="auto"/>
                                                  </w:divBdr>
                                                  <w:divsChild>
                                                    <w:div w:id="1487093755">
                                                      <w:marLeft w:val="0"/>
                                                      <w:marRight w:val="0"/>
                                                      <w:marTop w:val="0"/>
                                                      <w:marBottom w:val="0"/>
                                                      <w:divBdr>
                                                        <w:top w:val="none" w:sz="0" w:space="0" w:color="auto"/>
                                                        <w:left w:val="none" w:sz="0" w:space="0" w:color="auto"/>
                                                        <w:bottom w:val="none" w:sz="0" w:space="0" w:color="auto"/>
                                                        <w:right w:val="none" w:sz="0" w:space="0" w:color="auto"/>
                                                      </w:divBdr>
                                                      <w:divsChild>
                                                        <w:div w:id="1155102608">
                                                          <w:marLeft w:val="0"/>
                                                          <w:marRight w:val="0"/>
                                                          <w:marTop w:val="0"/>
                                                          <w:marBottom w:val="0"/>
                                                          <w:divBdr>
                                                            <w:top w:val="none" w:sz="0" w:space="0" w:color="auto"/>
                                                            <w:left w:val="none" w:sz="0" w:space="0" w:color="auto"/>
                                                            <w:bottom w:val="none" w:sz="0" w:space="0" w:color="auto"/>
                                                            <w:right w:val="none" w:sz="0" w:space="0" w:color="auto"/>
                                                          </w:divBdr>
                                                          <w:divsChild>
                                                            <w:div w:id="136341067">
                                                              <w:marLeft w:val="0"/>
                                                              <w:marRight w:val="0"/>
                                                              <w:marTop w:val="0"/>
                                                              <w:marBottom w:val="0"/>
                                                              <w:divBdr>
                                                                <w:top w:val="none" w:sz="0" w:space="0" w:color="auto"/>
                                                                <w:left w:val="none" w:sz="0" w:space="0" w:color="auto"/>
                                                                <w:bottom w:val="none" w:sz="0" w:space="0" w:color="auto"/>
                                                                <w:right w:val="none" w:sz="0" w:space="0" w:color="auto"/>
                                                              </w:divBdr>
                                                              <w:divsChild>
                                                                <w:div w:id="43993913">
                                                                  <w:marLeft w:val="0"/>
                                                                  <w:marRight w:val="0"/>
                                                                  <w:marTop w:val="0"/>
                                                                  <w:marBottom w:val="0"/>
                                                                  <w:divBdr>
                                                                    <w:top w:val="none" w:sz="0" w:space="0" w:color="auto"/>
                                                                    <w:left w:val="none" w:sz="0" w:space="0" w:color="auto"/>
                                                                    <w:bottom w:val="none" w:sz="0" w:space="0" w:color="auto"/>
                                                                    <w:right w:val="none" w:sz="0" w:space="0" w:color="auto"/>
                                                                  </w:divBdr>
                                                                  <w:divsChild>
                                                                    <w:div w:id="1078674420">
                                                                      <w:marLeft w:val="0"/>
                                                                      <w:marRight w:val="0"/>
                                                                      <w:marTop w:val="0"/>
                                                                      <w:marBottom w:val="0"/>
                                                                      <w:divBdr>
                                                                        <w:top w:val="none" w:sz="0" w:space="0" w:color="auto"/>
                                                                        <w:left w:val="none" w:sz="0" w:space="0" w:color="auto"/>
                                                                        <w:bottom w:val="none" w:sz="0" w:space="0" w:color="auto"/>
                                                                        <w:right w:val="none" w:sz="0" w:space="0" w:color="auto"/>
                                                                      </w:divBdr>
                                                                      <w:divsChild>
                                                                        <w:div w:id="533350117">
                                                                          <w:marLeft w:val="0"/>
                                                                          <w:marRight w:val="0"/>
                                                                          <w:marTop w:val="0"/>
                                                                          <w:marBottom w:val="0"/>
                                                                          <w:divBdr>
                                                                            <w:top w:val="none" w:sz="0" w:space="0" w:color="auto"/>
                                                                            <w:left w:val="none" w:sz="0" w:space="0" w:color="auto"/>
                                                                            <w:bottom w:val="none" w:sz="0" w:space="0" w:color="auto"/>
                                                                            <w:right w:val="none" w:sz="0" w:space="0" w:color="auto"/>
                                                                          </w:divBdr>
                                                                          <w:divsChild>
                                                                            <w:div w:id="4290671">
                                                                              <w:marLeft w:val="0"/>
                                                                              <w:marRight w:val="0"/>
                                                                              <w:marTop w:val="0"/>
                                                                              <w:marBottom w:val="0"/>
                                                                              <w:divBdr>
                                                                                <w:top w:val="none" w:sz="0" w:space="0" w:color="auto"/>
                                                                                <w:left w:val="none" w:sz="0" w:space="0" w:color="auto"/>
                                                                                <w:bottom w:val="none" w:sz="0" w:space="0" w:color="auto"/>
                                                                                <w:right w:val="none" w:sz="0" w:space="0" w:color="auto"/>
                                                                              </w:divBdr>
                                                                            </w:div>
                                                                            <w:div w:id="34623232">
                                                                              <w:marLeft w:val="0"/>
                                                                              <w:marRight w:val="0"/>
                                                                              <w:marTop w:val="0"/>
                                                                              <w:marBottom w:val="0"/>
                                                                              <w:divBdr>
                                                                                <w:top w:val="none" w:sz="0" w:space="0" w:color="auto"/>
                                                                                <w:left w:val="none" w:sz="0" w:space="0" w:color="auto"/>
                                                                                <w:bottom w:val="none" w:sz="0" w:space="0" w:color="auto"/>
                                                                                <w:right w:val="none" w:sz="0" w:space="0" w:color="auto"/>
                                                                              </w:divBdr>
                                                                            </w:div>
                                                                            <w:div w:id="51000198">
                                                                              <w:marLeft w:val="0"/>
                                                                              <w:marRight w:val="0"/>
                                                                              <w:marTop w:val="0"/>
                                                                              <w:marBottom w:val="0"/>
                                                                              <w:divBdr>
                                                                                <w:top w:val="none" w:sz="0" w:space="0" w:color="auto"/>
                                                                                <w:left w:val="none" w:sz="0" w:space="0" w:color="auto"/>
                                                                                <w:bottom w:val="none" w:sz="0" w:space="0" w:color="auto"/>
                                                                                <w:right w:val="none" w:sz="0" w:space="0" w:color="auto"/>
                                                                              </w:divBdr>
                                                                            </w:div>
                                                                            <w:div w:id="99570382">
                                                                              <w:marLeft w:val="0"/>
                                                                              <w:marRight w:val="0"/>
                                                                              <w:marTop w:val="0"/>
                                                                              <w:marBottom w:val="0"/>
                                                                              <w:divBdr>
                                                                                <w:top w:val="none" w:sz="0" w:space="0" w:color="auto"/>
                                                                                <w:left w:val="none" w:sz="0" w:space="0" w:color="auto"/>
                                                                                <w:bottom w:val="none" w:sz="0" w:space="0" w:color="auto"/>
                                                                                <w:right w:val="none" w:sz="0" w:space="0" w:color="auto"/>
                                                                              </w:divBdr>
                                                                            </w:div>
                                                                            <w:div w:id="160658971">
                                                                              <w:marLeft w:val="0"/>
                                                                              <w:marRight w:val="0"/>
                                                                              <w:marTop w:val="0"/>
                                                                              <w:marBottom w:val="0"/>
                                                                              <w:divBdr>
                                                                                <w:top w:val="none" w:sz="0" w:space="0" w:color="auto"/>
                                                                                <w:left w:val="none" w:sz="0" w:space="0" w:color="auto"/>
                                                                                <w:bottom w:val="none" w:sz="0" w:space="0" w:color="auto"/>
                                                                                <w:right w:val="none" w:sz="0" w:space="0" w:color="auto"/>
                                                                              </w:divBdr>
                                                                            </w:div>
                                                                            <w:div w:id="241990608">
                                                                              <w:marLeft w:val="0"/>
                                                                              <w:marRight w:val="0"/>
                                                                              <w:marTop w:val="0"/>
                                                                              <w:marBottom w:val="0"/>
                                                                              <w:divBdr>
                                                                                <w:top w:val="none" w:sz="0" w:space="0" w:color="auto"/>
                                                                                <w:left w:val="none" w:sz="0" w:space="0" w:color="auto"/>
                                                                                <w:bottom w:val="none" w:sz="0" w:space="0" w:color="auto"/>
                                                                                <w:right w:val="none" w:sz="0" w:space="0" w:color="auto"/>
                                                                              </w:divBdr>
                                                                            </w:div>
                                                                            <w:div w:id="250429104">
                                                                              <w:marLeft w:val="0"/>
                                                                              <w:marRight w:val="0"/>
                                                                              <w:marTop w:val="0"/>
                                                                              <w:marBottom w:val="0"/>
                                                                              <w:divBdr>
                                                                                <w:top w:val="none" w:sz="0" w:space="0" w:color="auto"/>
                                                                                <w:left w:val="none" w:sz="0" w:space="0" w:color="auto"/>
                                                                                <w:bottom w:val="none" w:sz="0" w:space="0" w:color="auto"/>
                                                                                <w:right w:val="none" w:sz="0" w:space="0" w:color="auto"/>
                                                                              </w:divBdr>
                                                                            </w:div>
                                                                            <w:div w:id="305281381">
                                                                              <w:marLeft w:val="0"/>
                                                                              <w:marRight w:val="0"/>
                                                                              <w:marTop w:val="0"/>
                                                                              <w:marBottom w:val="0"/>
                                                                              <w:divBdr>
                                                                                <w:top w:val="none" w:sz="0" w:space="0" w:color="auto"/>
                                                                                <w:left w:val="none" w:sz="0" w:space="0" w:color="auto"/>
                                                                                <w:bottom w:val="none" w:sz="0" w:space="0" w:color="auto"/>
                                                                                <w:right w:val="none" w:sz="0" w:space="0" w:color="auto"/>
                                                                              </w:divBdr>
                                                                            </w:div>
                                                                            <w:div w:id="454371159">
                                                                              <w:marLeft w:val="0"/>
                                                                              <w:marRight w:val="0"/>
                                                                              <w:marTop w:val="0"/>
                                                                              <w:marBottom w:val="0"/>
                                                                              <w:divBdr>
                                                                                <w:top w:val="none" w:sz="0" w:space="0" w:color="auto"/>
                                                                                <w:left w:val="none" w:sz="0" w:space="0" w:color="auto"/>
                                                                                <w:bottom w:val="none" w:sz="0" w:space="0" w:color="auto"/>
                                                                                <w:right w:val="none" w:sz="0" w:space="0" w:color="auto"/>
                                                                              </w:divBdr>
                                                                            </w:div>
                                                                            <w:div w:id="477765867">
                                                                              <w:marLeft w:val="0"/>
                                                                              <w:marRight w:val="0"/>
                                                                              <w:marTop w:val="0"/>
                                                                              <w:marBottom w:val="0"/>
                                                                              <w:divBdr>
                                                                                <w:top w:val="none" w:sz="0" w:space="0" w:color="auto"/>
                                                                                <w:left w:val="none" w:sz="0" w:space="0" w:color="auto"/>
                                                                                <w:bottom w:val="none" w:sz="0" w:space="0" w:color="auto"/>
                                                                                <w:right w:val="none" w:sz="0" w:space="0" w:color="auto"/>
                                                                              </w:divBdr>
                                                                            </w:div>
                                                                            <w:div w:id="527719930">
                                                                              <w:marLeft w:val="0"/>
                                                                              <w:marRight w:val="0"/>
                                                                              <w:marTop w:val="0"/>
                                                                              <w:marBottom w:val="0"/>
                                                                              <w:divBdr>
                                                                                <w:top w:val="none" w:sz="0" w:space="0" w:color="auto"/>
                                                                                <w:left w:val="none" w:sz="0" w:space="0" w:color="auto"/>
                                                                                <w:bottom w:val="none" w:sz="0" w:space="0" w:color="auto"/>
                                                                                <w:right w:val="none" w:sz="0" w:space="0" w:color="auto"/>
                                                                              </w:divBdr>
                                                                            </w:div>
                                                                            <w:div w:id="538397132">
                                                                              <w:marLeft w:val="0"/>
                                                                              <w:marRight w:val="0"/>
                                                                              <w:marTop w:val="0"/>
                                                                              <w:marBottom w:val="0"/>
                                                                              <w:divBdr>
                                                                                <w:top w:val="none" w:sz="0" w:space="0" w:color="auto"/>
                                                                                <w:left w:val="none" w:sz="0" w:space="0" w:color="auto"/>
                                                                                <w:bottom w:val="none" w:sz="0" w:space="0" w:color="auto"/>
                                                                                <w:right w:val="none" w:sz="0" w:space="0" w:color="auto"/>
                                                                              </w:divBdr>
                                                                            </w:div>
                                                                            <w:div w:id="588194801">
                                                                              <w:marLeft w:val="0"/>
                                                                              <w:marRight w:val="0"/>
                                                                              <w:marTop w:val="0"/>
                                                                              <w:marBottom w:val="0"/>
                                                                              <w:divBdr>
                                                                                <w:top w:val="none" w:sz="0" w:space="0" w:color="auto"/>
                                                                                <w:left w:val="none" w:sz="0" w:space="0" w:color="auto"/>
                                                                                <w:bottom w:val="none" w:sz="0" w:space="0" w:color="auto"/>
                                                                                <w:right w:val="none" w:sz="0" w:space="0" w:color="auto"/>
                                                                              </w:divBdr>
                                                                            </w:div>
                                                                            <w:div w:id="603655286">
                                                                              <w:marLeft w:val="0"/>
                                                                              <w:marRight w:val="0"/>
                                                                              <w:marTop w:val="0"/>
                                                                              <w:marBottom w:val="0"/>
                                                                              <w:divBdr>
                                                                                <w:top w:val="none" w:sz="0" w:space="0" w:color="auto"/>
                                                                                <w:left w:val="none" w:sz="0" w:space="0" w:color="auto"/>
                                                                                <w:bottom w:val="none" w:sz="0" w:space="0" w:color="auto"/>
                                                                                <w:right w:val="none" w:sz="0" w:space="0" w:color="auto"/>
                                                                              </w:divBdr>
                                                                            </w:div>
                                                                            <w:div w:id="697900908">
                                                                              <w:marLeft w:val="0"/>
                                                                              <w:marRight w:val="0"/>
                                                                              <w:marTop w:val="0"/>
                                                                              <w:marBottom w:val="0"/>
                                                                              <w:divBdr>
                                                                                <w:top w:val="none" w:sz="0" w:space="0" w:color="auto"/>
                                                                                <w:left w:val="none" w:sz="0" w:space="0" w:color="auto"/>
                                                                                <w:bottom w:val="none" w:sz="0" w:space="0" w:color="auto"/>
                                                                                <w:right w:val="none" w:sz="0" w:space="0" w:color="auto"/>
                                                                              </w:divBdr>
                                                                            </w:div>
                                                                            <w:div w:id="698047856">
                                                                              <w:marLeft w:val="0"/>
                                                                              <w:marRight w:val="0"/>
                                                                              <w:marTop w:val="0"/>
                                                                              <w:marBottom w:val="0"/>
                                                                              <w:divBdr>
                                                                                <w:top w:val="none" w:sz="0" w:space="0" w:color="auto"/>
                                                                                <w:left w:val="none" w:sz="0" w:space="0" w:color="auto"/>
                                                                                <w:bottom w:val="none" w:sz="0" w:space="0" w:color="auto"/>
                                                                                <w:right w:val="none" w:sz="0" w:space="0" w:color="auto"/>
                                                                              </w:divBdr>
                                                                            </w:div>
                                                                            <w:div w:id="833834994">
                                                                              <w:marLeft w:val="0"/>
                                                                              <w:marRight w:val="0"/>
                                                                              <w:marTop w:val="0"/>
                                                                              <w:marBottom w:val="0"/>
                                                                              <w:divBdr>
                                                                                <w:top w:val="none" w:sz="0" w:space="0" w:color="auto"/>
                                                                                <w:left w:val="none" w:sz="0" w:space="0" w:color="auto"/>
                                                                                <w:bottom w:val="none" w:sz="0" w:space="0" w:color="auto"/>
                                                                                <w:right w:val="none" w:sz="0" w:space="0" w:color="auto"/>
                                                                              </w:divBdr>
                                                                            </w:div>
                                                                            <w:div w:id="928923876">
                                                                              <w:marLeft w:val="0"/>
                                                                              <w:marRight w:val="0"/>
                                                                              <w:marTop w:val="0"/>
                                                                              <w:marBottom w:val="0"/>
                                                                              <w:divBdr>
                                                                                <w:top w:val="none" w:sz="0" w:space="0" w:color="auto"/>
                                                                                <w:left w:val="none" w:sz="0" w:space="0" w:color="auto"/>
                                                                                <w:bottom w:val="none" w:sz="0" w:space="0" w:color="auto"/>
                                                                                <w:right w:val="none" w:sz="0" w:space="0" w:color="auto"/>
                                                                              </w:divBdr>
                                                                            </w:div>
                                                                            <w:div w:id="938558865">
                                                                              <w:marLeft w:val="0"/>
                                                                              <w:marRight w:val="0"/>
                                                                              <w:marTop w:val="0"/>
                                                                              <w:marBottom w:val="0"/>
                                                                              <w:divBdr>
                                                                                <w:top w:val="none" w:sz="0" w:space="0" w:color="auto"/>
                                                                                <w:left w:val="none" w:sz="0" w:space="0" w:color="auto"/>
                                                                                <w:bottom w:val="none" w:sz="0" w:space="0" w:color="auto"/>
                                                                                <w:right w:val="none" w:sz="0" w:space="0" w:color="auto"/>
                                                                              </w:divBdr>
                                                                            </w:div>
                                                                            <w:div w:id="1118527227">
                                                                              <w:marLeft w:val="0"/>
                                                                              <w:marRight w:val="0"/>
                                                                              <w:marTop w:val="0"/>
                                                                              <w:marBottom w:val="0"/>
                                                                              <w:divBdr>
                                                                                <w:top w:val="none" w:sz="0" w:space="0" w:color="auto"/>
                                                                                <w:left w:val="none" w:sz="0" w:space="0" w:color="auto"/>
                                                                                <w:bottom w:val="none" w:sz="0" w:space="0" w:color="auto"/>
                                                                                <w:right w:val="none" w:sz="0" w:space="0" w:color="auto"/>
                                                                              </w:divBdr>
                                                                            </w:div>
                                                                            <w:div w:id="1423646523">
                                                                              <w:marLeft w:val="0"/>
                                                                              <w:marRight w:val="0"/>
                                                                              <w:marTop w:val="0"/>
                                                                              <w:marBottom w:val="0"/>
                                                                              <w:divBdr>
                                                                                <w:top w:val="none" w:sz="0" w:space="0" w:color="auto"/>
                                                                                <w:left w:val="none" w:sz="0" w:space="0" w:color="auto"/>
                                                                                <w:bottom w:val="none" w:sz="0" w:space="0" w:color="auto"/>
                                                                                <w:right w:val="none" w:sz="0" w:space="0" w:color="auto"/>
                                                                              </w:divBdr>
                                                                            </w:div>
                                                                            <w:div w:id="1472558317">
                                                                              <w:marLeft w:val="0"/>
                                                                              <w:marRight w:val="0"/>
                                                                              <w:marTop w:val="0"/>
                                                                              <w:marBottom w:val="0"/>
                                                                              <w:divBdr>
                                                                                <w:top w:val="none" w:sz="0" w:space="0" w:color="auto"/>
                                                                                <w:left w:val="none" w:sz="0" w:space="0" w:color="auto"/>
                                                                                <w:bottom w:val="none" w:sz="0" w:space="0" w:color="auto"/>
                                                                                <w:right w:val="none" w:sz="0" w:space="0" w:color="auto"/>
                                                                              </w:divBdr>
                                                                            </w:div>
                                                                            <w:div w:id="1519276670">
                                                                              <w:marLeft w:val="0"/>
                                                                              <w:marRight w:val="0"/>
                                                                              <w:marTop w:val="0"/>
                                                                              <w:marBottom w:val="0"/>
                                                                              <w:divBdr>
                                                                                <w:top w:val="none" w:sz="0" w:space="0" w:color="auto"/>
                                                                                <w:left w:val="none" w:sz="0" w:space="0" w:color="auto"/>
                                                                                <w:bottom w:val="none" w:sz="0" w:space="0" w:color="auto"/>
                                                                                <w:right w:val="none" w:sz="0" w:space="0" w:color="auto"/>
                                                                              </w:divBdr>
                                                                            </w:div>
                                                                            <w:div w:id="1569876324">
                                                                              <w:marLeft w:val="0"/>
                                                                              <w:marRight w:val="0"/>
                                                                              <w:marTop w:val="0"/>
                                                                              <w:marBottom w:val="0"/>
                                                                              <w:divBdr>
                                                                                <w:top w:val="none" w:sz="0" w:space="0" w:color="auto"/>
                                                                                <w:left w:val="none" w:sz="0" w:space="0" w:color="auto"/>
                                                                                <w:bottom w:val="none" w:sz="0" w:space="0" w:color="auto"/>
                                                                                <w:right w:val="none" w:sz="0" w:space="0" w:color="auto"/>
                                                                              </w:divBdr>
                                                                            </w:div>
                                                                            <w:div w:id="1618754273">
                                                                              <w:marLeft w:val="0"/>
                                                                              <w:marRight w:val="0"/>
                                                                              <w:marTop w:val="0"/>
                                                                              <w:marBottom w:val="0"/>
                                                                              <w:divBdr>
                                                                                <w:top w:val="none" w:sz="0" w:space="0" w:color="auto"/>
                                                                                <w:left w:val="none" w:sz="0" w:space="0" w:color="auto"/>
                                                                                <w:bottom w:val="none" w:sz="0" w:space="0" w:color="auto"/>
                                                                                <w:right w:val="none" w:sz="0" w:space="0" w:color="auto"/>
                                                                              </w:divBdr>
                                                                            </w:div>
                                                                            <w:div w:id="1870408416">
                                                                              <w:marLeft w:val="0"/>
                                                                              <w:marRight w:val="0"/>
                                                                              <w:marTop w:val="0"/>
                                                                              <w:marBottom w:val="0"/>
                                                                              <w:divBdr>
                                                                                <w:top w:val="none" w:sz="0" w:space="0" w:color="auto"/>
                                                                                <w:left w:val="none" w:sz="0" w:space="0" w:color="auto"/>
                                                                                <w:bottom w:val="none" w:sz="0" w:space="0" w:color="auto"/>
                                                                                <w:right w:val="none" w:sz="0" w:space="0" w:color="auto"/>
                                                                              </w:divBdr>
                                                                            </w:div>
                                                                            <w:div w:id="1893537765">
                                                                              <w:marLeft w:val="0"/>
                                                                              <w:marRight w:val="0"/>
                                                                              <w:marTop w:val="0"/>
                                                                              <w:marBottom w:val="0"/>
                                                                              <w:divBdr>
                                                                                <w:top w:val="none" w:sz="0" w:space="0" w:color="auto"/>
                                                                                <w:left w:val="none" w:sz="0" w:space="0" w:color="auto"/>
                                                                                <w:bottom w:val="none" w:sz="0" w:space="0" w:color="auto"/>
                                                                                <w:right w:val="none" w:sz="0" w:space="0" w:color="auto"/>
                                                                              </w:divBdr>
                                                                            </w:div>
                                                                            <w:div w:id="1921284941">
                                                                              <w:marLeft w:val="0"/>
                                                                              <w:marRight w:val="0"/>
                                                                              <w:marTop w:val="0"/>
                                                                              <w:marBottom w:val="0"/>
                                                                              <w:divBdr>
                                                                                <w:top w:val="none" w:sz="0" w:space="0" w:color="auto"/>
                                                                                <w:left w:val="none" w:sz="0" w:space="0" w:color="auto"/>
                                                                                <w:bottom w:val="none" w:sz="0" w:space="0" w:color="auto"/>
                                                                                <w:right w:val="none" w:sz="0" w:space="0" w:color="auto"/>
                                                                              </w:divBdr>
                                                                            </w:div>
                                                                            <w:div w:id="205928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289705">
      <w:bodyDiv w:val="1"/>
      <w:marLeft w:val="0"/>
      <w:marRight w:val="0"/>
      <w:marTop w:val="0"/>
      <w:marBottom w:val="0"/>
      <w:divBdr>
        <w:top w:val="none" w:sz="0" w:space="0" w:color="auto"/>
        <w:left w:val="none" w:sz="0" w:space="0" w:color="auto"/>
        <w:bottom w:val="none" w:sz="0" w:space="0" w:color="auto"/>
        <w:right w:val="none" w:sz="0" w:space="0" w:color="auto"/>
      </w:divBdr>
    </w:div>
    <w:div w:id="131607484">
      <w:bodyDiv w:val="1"/>
      <w:marLeft w:val="0"/>
      <w:marRight w:val="0"/>
      <w:marTop w:val="0"/>
      <w:marBottom w:val="0"/>
      <w:divBdr>
        <w:top w:val="none" w:sz="0" w:space="0" w:color="auto"/>
        <w:left w:val="none" w:sz="0" w:space="0" w:color="auto"/>
        <w:bottom w:val="none" w:sz="0" w:space="0" w:color="auto"/>
        <w:right w:val="none" w:sz="0" w:space="0" w:color="auto"/>
      </w:divBdr>
    </w:div>
    <w:div w:id="131951730">
      <w:bodyDiv w:val="1"/>
      <w:marLeft w:val="0"/>
      <w:marRight w:val="0"/>
      <w:marTop w:val="0"/>
      <w:marBottom w:val="0"/>
      <w:divBdr>
        <w:top w:val="none" w:sz="0" w:space="0" w:color="auto"/>
        <w:left w:val="none" w:sz="0" w:space="0" w:color="auto"/>
        <w:bottom w:val="none" w:sz="0" w:space="0" w:color="auto"/>
        <w:right w:val="none" w:sz="0" w:space="0" w:color="auto"/>
      </w:divBdr>
    </w:div>
    <w:div w:id="132065785">
      <w:bodyDiv w:val="1"/>
      <w:marLeft w:val="0"/>
      <w:marRight w:val="0"/>
      <w:marTop w:val="0"/>
      <w:marBottom w:val="0"/>
      <w:divBdr>
        <w:top w:val="none" w:sz="0" w:space="0" w:color="auto"/>
        <w:left w:val="none" w:sz="0" w:space="0" w:color="auto"/>
        <w:bottom w:val="none" w:sz="0" w:space="0" w:color="auto"/>
        <w:right w:val="none" w:sz="0" w:space="0" w:color="auto"/>
      </w:divBdr>
    </w:div>
    <w:div w:id="132135571">
      <w:bodyDiv w:val="1"/>
      <w:marLeft w:val="0"/>
      <w:marRight w:val="0"/>
      <w:marTop w:val="0"/>
      <w:marBottom w:val="0"/>
      <w:divBdr>
        <w:top w:val="none" w:sz="0" w:space="0" w:color="auto"/>
        <w:left w:val="none" w:sz="0" w:space="0" w:color="auto"/>
        <w:bottom w:val="none" w:sz="0" w:space="0" w:color="auto"/>
        <w:right w:val="none" w:sz="0" w:space="0" w:color="auto"/>
      </w:divBdr>
    </w:div>
    <w:div w:id="132410385">
      <w:bodyDiv w:val="1"/>
      <w:marLeft w:val="0"/>
      <w:marRight w:val="0"/>
      <w:marTop w:val="0"/>
      <w:marBottom w:val="0"/>
      <w:divBdr>
        <w:top w:val="none" w:sz="0" w:space="0" w:color="auto"/>
        <w:left w:val="none" w:sz="0" w:space="0" w:color="auto"/>
        <w:bottom w:val="none" w:sz="0" w:space="0" w:color="auto"/>
        <w:right w:val="none" w:sz="0" w:space="0" w:color="auto"/>
      </w:divBdr>
    </w:div>
    <w:div w:id="133182035">
      <w:bodyDiv w:val="1"/>
      <w:marLeft w:val="0"/>
      <w:marRight w:val="0"/>
      <w:marTop w:val="0"/>
      <w:marBottom w:val="0"/>
      <w:divBdr>
        <w:top w:val="none" w:sz="0" w:space="0" w:color="auto"/>
        <w:left w:val="none" w:sz="0" w:space="0" w:color="auto"/>
        <w:bottom w:val="none" w:sz="0" w:space="0" w:color="auto"/>
        <w:right w:val="none" w:sz="0" w:space="0" w:color="auto"/>
      </w:divBdr>
    </w:div>
    <w:div w:id="133451595">
      <w:bodyDiv w:val="1"/>
      <w:marLeft w:val="0"/>
      <w:marRight w:val="0"/>
      <w:marTop w:val="0"/>
      <w:marBottom w:val="0"/>
      <w:divBdr>
        <w:top w:val="none" w:sz="0" w:space="0" w:color="auto"/>
        <w:left w:val="none" w:sz="0" w:space="0" w:color="auto"/>
        <w:bottom w:val="none" w:sz="0" w:space="0" w:color="auto"/>
        <w:right w:val="none" w:sz="0" w:space="0" w:color="auto"/>
      </w:divBdr>
    </w:div>
    <w:div w:id="133766620">
      <w:bodyDiv w:val="1"/>
      <w:marLeft w:val="0"/>
      <w:marRight w:val="0"/>
      <w:marTop w:val="0"/>
      <w:marBottom w:val="0"/>
      <w:divBdr>
        <w:top w:val="none" w:sz="0" w:space="0" w:color="auto"/>
        <w:left w:val="none" w:sz="0" w:space="0" w:color="auto"/>
        <w:bottom w:val="none" w:sz="0" w:space="0" w:color="auto"/>
        <w:right w:val="none" w:sz="0" w:space="0" w:color="auto"/>
      </w:divBdr>
    </w:div>
    <w:div w:id="134034871">
      <w:bodyDiv w:val="1"/>
      <w:marLeft w:val="0"/>
      <w:marRight w:val="0"/>
      <w:marTop w:val="0"/>
      <w:marBottom w:val="0"/>
      <w:divBdr>
        <w:top w:val="none" w:sz="0" w:space="0" w:color="auto"/>
        <w:left w:val="none" w:sz="0" w:space="0" w:color="auto"/>
        <w:bottom w:val="none" w:sz="0" w:space="0" w:color="auto"/>
        <w:right w:val="none" w:sz="0" w:space="0" w:color="auto"/>
      </w:divBdr>
    </w:div>
    <w:div w:id="134183900">
      <w:bodyDiv w:val="1"/>
      <w:marLeft w:val="0"/>
      <w:marRight w:val="0"/>
      <w:marTop w:val="0"/>
      <w:marBottom w:val="0"/>
      <w:divBdr>
        <w:top w:val="none" w:sz="0" w:space="0" w:color="auto"/>
        <w:left w:val="none" w:sz="0" w:space="0" w:color="auto"/>
        <w:bottom w:val="none" w:sz="0" w:space="0" w:color="auto"/>
        <w:right w:val="none" w:sz="0" w:space="0" w:color="auto"/>
      </w:divBdr>
    </w:div>
    <w:div w:id="134221589">
      <w:bodyDiv w:val="1"/>
      <w:marLeft w:val="0"/>
      <w:marRight w:val="0"/>
      <w:marTop w:val="0"/>
      <w:marBottom w:val="0"/>
      <w:divBdr>
        <w:top w:val="none" w:sz="0" w:space="0" w:color="auto"/>
        <w:left w:val="none" w:sz="0" w:space="0" w:color="auto"/>
        <w:bottom w:val="none" w:sz="0" w:space="0" w:color="auto"/>
        <w:right w:val="none" w:sz="0" w:space="0" w:color="auto"/>
      </w:divBdr>
    </w:div>
    <w:div w:id="134808211">
      <w:bodyDiv w:val="1"/>
      <w:marLeft w:val="0"/>
      <w:marRight w:val="0"/>
      <w:marTop w:val="0"/>
      <w:marBottom w:val="0"/>
      <w:divBdr>
        <w:top w:val="none" w:sz="0" w:space="0" w:color="auto"/>
        <w:left w:val="none" w:sz="0" w:space="0" w:color="auto"/>
        <w:bottom w:val="none" w:sz="0" w:space="0" w:color="auto"/>
        <w:right w:val="none" w:sz="0" w:space="0" w:color="auto"/>
      </w:divBdr>
    </w:div>
    <w:div w:id="134958949">
      <w:bodyDiv w:val="1"/>
      <w:marLeft w:val="0"/>
      <w:marRight w:val="0"/>
      <w:marTop w:val="0"/>
      <w:marBottom w:val="0"/>
      <w:divBdr>
        <w:top w:val="none" w:sz="0" w:space="0" w:color="auto"/>
        <w:left w:val="none" w:sz="0" w:space="0" w:color="auto"/>
        <w:bottom w:val="none" w:sz="0" w:space="0" w:color="auto"/>
        <w:right w:val="none" w:sz="0" w:space="0" w:color="auto"/>
      </w:divBdr>
    </w:div>
    <w:div w:id="135611949">
      <w:bodyDiv w:val="1"/>
      <w:marLeft w:val="0"/>
      <w:marRight w:val="0"/>
      <w:marTop w:val="0"/>
      <w:marBottom w:val="0"/>
      <w:divBdr>
        <w:top w:val="none" w:sz="0" w:space="0" w:color="auto"/>
        <w:left w:val="none" w:sz="0" w:space="0" w:color="auto"/>
        <w:bottom w:val="none" w:sz="0" w:space="0" w:color="auto"/>
        <w:right w:val="none" w:sz="0" w:space="0" w:color="auto"/>
      </w:divBdr>
    </w:div>
    <w:div w:id="135995588">
      <w:bodyDiv w:val="1"/>
      <w:marLeft w:val="0"/>
      <w:marRight w:val="0"/>
      <w:marTop w:val="0"/>
      <w:marBottom w:val="0"/>
      <w:divBdr>
        <w:top w:val="none" w:sz="0" w:space="0" w:color="auto"/>
        <w:left w:val="none" w:sz="0" w:space="0" w:color="auto"/>
        <w:bottom w:val="none" w:sz="0" w:space="0" w:color="auto"/>
        <w:right w:val="none" w:sz="0" w:space="0" w:color="auto"/>
      </w:divBdr>
    </w:div>
    <w:div w:id="136192776">
      <w:bodyDiv w:val="1"/>
      <w:marLeft w:val="0"/>
      <w:marRight w:val="0"/>
      <w:marTop w:val="0"/>
      <w:marBottom w:val="0"/>
      <w:divBdr>
        <w:top w:val="none" w:sz="0" w:space="0" w:color="auto"/>
        <w:left w:val="none" w:sz="0" w:space="0" w:color="auto"/>
        <w:bottom w:val="none" w:sz="0" w:space="0" w:color="auto"/>
        <w:right w:val="none" w:sz="0" w:space="0" w:color="auto"/>
      </w:divBdr>
    </w:div>
    <w:div w:id="136536424">
      <w:bodyDiv w:val="1"/>
      <w:marLeft w:val="0"/>
      <w:marRight w:val="0"/>
      <w:marTop w:val="0"/>
      <w:marBottom w:val="0"/>
      <w:divBdr>
        <w:top w:val="none" w:sz="0" w:space="0" w:color="auto"/>
        <w:left w:val="none" w:sz="0" w:space="0" w:color="auto"/>
        <w:bottom w:val="none" w:sz="0" w:space="0" w:color="auto"/>
        <w:right w:val="none" w:sz="0" w:space="0" w:color="auto"/>
      </w:divBdr>
    </w:div>
    <w:div w:id="136650315">
      <w:bodyDiv w:val="1"/>
      <w:marLeft w:val="0"/>
      <w:marRight w:val="0"/>
      <w:marTop w:val="0"/>
      <w:marBottom w:val="0"/>
      <w:divBdr>
        <w:top w:val="none" w:sz="0" w:space="0" w:color="auto"/>
        <w:left w:val="none" w:sz="0" w:space="0" w:color="auto"/>
        <w:bottom w:val="none" w:sz="0" w:space="0" w:color="auto"/>
        <w:right w:val="none" w:sz="0" w:space="0" w:color="auto"/>
      </w:divBdr>
    </w:div>
    <w:div w:id="136797764">
      <w:bodyDiv w:val="1"/>
      <w:marLeft w:val="0"/>
      <w:marRight w:val="0"/>
      <w:marTop w:val="0"/>
      <w:marBottom w:val="0"/>
      <w:divBdr>
        <w:top w:val="none" w:sz="0" w:space="0" w:color="auto"/>
        <w:left w:val="none" w:sz="0" w:space="0" w:color="auto"/>
        <w:bottom w:val="none" w:sz="0" w:space="0" w:color="auto"/>
        <w:right w:val="none" w:sz="0" w:space="0" w:color="auto"/>
      </w:divBdr>
    </w:div>
    <w:div w:id="136920632">
      <w:bodyDiv w:val="1"/>
      <w:marLeft w:val="0"/>
      <w:marRight w:val="0"/>
      <w:marTop w:val="0"/>
      <w:marBottom w:val="0"/>
      <w:divBdr>
        <w:top w:val="none" w:sz="0" w:space="0" w:color="auto"/>
        <w:left w:val="none" w:sz="0" w:space="0" w:color="auto"/>
        <w:bottom w:val="none" w:sz="0" w:space="0" w:color="auto"/>
        <w:right w:val="none" w:sz="0" w:space="0" w:color="auto"/>
      </w:divBdr>
    </w:div>
    <w:div w:id="137379317">
      <w:bodyDiv w:val="1"/>
      <w:marLeft w:val="0"/>
      <w:marRight w:val="0"/>
      <w:marTop w:val="0"/>
      <w:marBottom w:val="0"/>
      <w:divBdr>
        <w:top w:val="none" w:sz="0" w:space="0" w:color="auto"/>
        <w:left w:val="none" w:sz="0" w:space="0" w:color="auto"/>
        <w:bottom w:val="none" w:sz="0" w:space="0" w:color="auto"/>
        <w:right w:val="none" w:sz="0" w:space="0" w:color="auto"/>
      </w:divBdr>
    </w:div>
    <w:div w:id="137383703">
      <w:bodyDiv w:val="1"/>
      <w:marLeft w:val="0"/>
      <w:marRight w:val="0"/>
      <w:marTop w:val="0"/>
      <w:marBottom w:val="0"/>
      <w:divBdr>
        <w:top w:val="none" w:sz="0" w:space="0" w:color="auto"/>
        <w:left w:val="none" w:sz="0" w:space="0" w:color="auto"/>
        <w:bottom w:val="none" w:sz="0" w:space="0" w:color="auto"/>
        <w:right w:val="none" w:sz="0" w:space="0" w:color="auto"/>
      </w:divBdr>
    </w:div>
    <w:div w:id="137500113">
      <w:bodyDiv w:val="1"/>
      <w:marLeft w:val="0"/>
      <w:marRight w:val="0"/>
      <w:marTop w:val="0"/>
      <w:marBottom w:val="0"/>
      <w:divBdr>
        <w:top w:val="none" w:sz="0" w:space="0" w:color="auto"/>
        <w:left w:val="none" w:sz="0" w:space="0" w:color="auto"/>
        <w:bottom w:val="none" w:sz="0" w:space="0" w:color="auto"/>
        <w:right w:val="none" w:sz="0" w:space="0" w:color="auto"/>
      </w:divBdr>
    </w:div>
    <w:div w:id="137891334">
      <w:bodyDiv w:val="1"/>
      <w:marLeft w:val="0"/>
      <w:marRight w:val="0"/>
      <w:marTop w:val="0"/>
      <w:marBottom w:val="0"/>
      <w:divBdr>
        <w:top w:val="none" w:sz="0" w:space="0" w:color="auto"/>
        <w:left w:val="none" w:sz="0" w:space="0" w:color="auto"/>
        <w:bottom w:val="none" w:sz="0" w:space="0" w:color="auto"/>
        <w:right w:val="none" w:sz="0" w:space="0" w:color="auto"/>
      </w:divBdr>
    </w:div>
    <w:div w:id="138157299">
      <w:bodyDiv w:val="1"/>
      <w:marLeft w:val="0"/>
      <w:marRight w:val="0"/>
      <w:marTop w:val="0"/>
      <w:marBottom w:val="0"/>
      <w:divBdr>
        <w:top w:val="none" w:sz="0" w:space="0" w:color="auto"/>
        <w:left w:val="none" w:sz="0" w:space="0" w:color="auto"/>
        <w:bottom w:val="none" w:sz="0" w:space="0" w:color="auto"/>
        <w:right w:val="none" w:sz="0" w:space="0" w:color="auto"/>
      </w:divBdr>
    </w:div>
    <w:div w:id="138234390">
      <w:bodyDiv w:val="1"/>
      <w:marLeft w:val="0"/>
      <w:marRight w:val="0"/>
      <w:marTop w:val="0"/>
      <w:marBottom w:val="0"/>
      <w:divBdr>
        <w:top w:val="none" w:sz="0" w:space="0" w:color="auto"/>
        <w:left w:val="none" w:sz="0" w:space="0" w:color="auto"/>
        <w:bottom w:val="none" w:sz="0" w:space="0" w:color="auto"/>
        <w:right w:val="none" w:sz="0" w:space="0" w:color="auto"/>
      </w:divBdr>
    </w:div>
    <w:div w:id="138575132">
      <w:bodyDiv w:val="1"/>
      <w:marLeft w:val="0"/>
      <w:marRight w:val="0"/>
      <w:marTop w:val="0"/>
      <w:marBottom w:val="0"/>
      <w:divBdr>
        <w:top w:val="none" w:sz="0" w:space="0" w:color="auto"/>
        <w:left w:val="none" w:sz="0" w:space="0" w:color="auto"/>
        <w:bottom w:val="none" w:sz="0" w:space="0" w:color="auto"/>
        <w:right w:val="none" w:sz="0" w:space="0" w:color="auto"/>
      </w:divBdr>
    </w:div>
    <w:div w:id="138772017">
      <w:bodyDiv w:val="1"/>
      <w:marLeft w:val="0"/>
      <w:marRight w:val="0"/>
      <w:marTop w:val="0"/>
      <w:marBottom w:val="0"/>
      <w:divBdr>
        <w:top w:val="none" w:sz="0" w:space="0" w:color="auto"/>
        <w:left w:val="none" w:sz="0" w:space="0" w:color="auto"/>
        <w:bottom w:val="none" w:sz="0" w:space="0" w:color="auto"/>
        <w:right w:val="none" w:sz="0" w:space="0" w:color="auto"/>
      </w:divBdr>
    </w:div>
    <w:div w:id="139081559">
      <w:bodyDiv w:val="1"/>
      <w:marLeft w:val="0"/>
      <w:marRight w:val="0"/>
      <w:marTop w:val="0"/>
      <w:marBottom w:val="0"/>
      <w:divBdr>
        <w:top w:val="none" w:sz="0" w:space="0" w:color="auto"/>
        <w:left w:val="none" w:sz="0" w:space="0" w:color="auto"/>
        <w:bottom w:val="none" w:sz="0" w:space="0" w:color="auto"/>
        <w:right w:val="none" w:sz="0" w:space="0" w:color="auto"/>
      </w:divBdr>
    </w:div>
    <w:div w:id="139272779">
      <w:bodyDiv w:val="1"/>
      <w:marLeft w:val="0"/>
      <w:marRight w:val="0"/>
      <w:marTop w:val="0"/>
      <w:marBottom w:val="0"/>
      <w:divBdr>
        <w:top w:val="none" w:sz="0" w:space="0" w:color="auto"/>
        <w:left w:val="none" w:sz="0" w:space="0" w:color="auto"/>
        <w:bottom w:val="none" w:sz="0" w:space="0" w:color="auto"/>
        <w:right w:val="none" w:sz="0" w:space="0" w:color="auto"/>
      </w:divBdr>
    </w:div>
    <w:div w:id="139612970">
      <w:bodyDiv w:val="1"/>
      <w:marLeft w:val="0"/>
      <w:marRight w:val="0"/>
      <w:marTop w:val="0"/>
      <w:marBottom w:val="0"/>
      <w:divBdr>
        <w:top w:val="none" w:sz="0" w:space="0" w:color="auto"/>
        <w:left w:val="none" w:sz="0" w:space="0" w:color="auto"/>
        <w:bottom w:val="none" w:sz="0" w:space="0" w:color="auto"/>
        <w:right w:val="none" w:sz="0" w:space="0" w:color="auto"/>
      </w:divBdr>
    </w:div>
    <w:div w:id="139926517">
      <w:bodyDiv w:val="1"/>
      <w:marLeft w:val="0"/>
      <w:marRight w:val="0"/>
      <w:marTop w:val="0"/>
      <w:marBottom w:val="0"/>
      <w:divBdr>
        <w:top w:val="none" w:sz="0" w:space="0" w:color="auto"/>
        <w:left w:val="none" w:sz="0" w:space="0" w:color="auto"/>
        <w:bottom w:val="none" w:sz="0" w:space="0" w:color="auto"/>
        <w:right w:val="none" w:sz="0" w:space="0" w:color="auto"/>
      </w:divBdr>
    </w:div>
    <w:div w:id="140122979">
      <w:bodyDiv w:val="1"/>
      <w:marLeft w:val="0"/>
      <w:marRight w:val="0"/>
      <w:marTop w:val="0"/>
      <w:marBottom w:val="0"/>
      <w:divBdr>
        <w:top w:val="none" w:sz="0" w:space="0" w:color="auto"/>
        <w:left w:val="none" w:sz="0" w:space="0" w:color="auto"/>
        <w:bottom w:val="none" w:sz="0" w:space="0" w:color="auto"/>
        <w:right w:val="none" w:sz="0" w:space="0" w:color="auto"/>
      </w:divBdr>
    </w:div>
    <w:div w:id="140195889">
      <w:bodyDiv w:val="1"/>
      <w:marLeft w:val="0"/>
      <w:marRight w:val="0"/>
      <w:marTop w:val="0"/>
      <w:marBottom w:val="0"/>
      <w:divBdr>
        <w:top w:val="none" w:sz="0" w:space="0" w:color="auto"/>
        <w:left w:val="none" w:sz="0" w:space="0" w:color="auto"/>
        <w:bottom w:val="none" w:sz="0" w:space="0" w:color="auto"/>
        <w:right w:val="none" w:sz="0" w:space="0" w:color="auto"/>
      </w:divBdr>
    </w:div>
    <w:div w:id="140196910">
      <w:bodyDiv w:val="1"/>
      <w:marLeft w:val="0"/>
      <w:marRight w:val="0"/>
      <w:marTop w:val="0"/>
      <w:marBottom w:val="0"/>
      <w:divBdr>
        <w:top w:val="none" w:sz="0" w:space="0" w:color="auto"/>
        <w:left w:val="none" w:sz="0" w:space="0" w:color="auto"/>
        <w:bottom w:val="none" w:sz="0" w:space="0" w:color="auto"/>
        <w:right w:val="none" w:sz="0" w:space="0" w:color="auto"/>
      </w:divBdr>
    </w:div>
    <w:div w:id="140316475">
      <w:bodyDiv w:val="1"/>
      <w:marLeft w:val="0"/>
      <w:marRight w:val="0"/>
      <w:marTop w:val="0"/>
      <w:marBottom w:val="0"/>
      <w:divBdr>
        <w:top w:val="none" w:sz="0" w:space="0" w:color="auto"/>
        <w:left w:val="none" w:sz="0" w:space="0" w:color="auto"/>
        <w:bottom w:val="none" w:sz="0" w:space="0" w:color="auto"/>
        <w:right w:val="none" w:sz="0" w:space="0" w:color="auto"/>
      </w:divBdr>
    </w:div>
    <w:div w:id="140390983">
      <w:bodyDiv w:val="1"/>
      <w:marLeft w:val="0"/>
      <w:marRight w:val="0"/>
      <w:marTop w:val="0"/>
      <w:marBottom w:val="0"/>
      <w:divBdr>
        <w:top w:val="none" w:sz="0" w:space="0" w:color="auto"/>
        <w:left w:val="none" w:sz="0" w:space="0" w:color="auto"/>
        <w:bottom w:val="none" w:sz="0" w:space="0" w:color="auto"/>
        <w:right w:val="none" w:sz="0" w:space="0" w:color="auto"/>
      </w:divBdr>
    </w:div>
    <w:div w:id="140849257">
      <w:bodyDiv w:val="1"/>
      <w:marLeft w:val="0"/>
      <w:marRight w:val="0"/>
      <w:marTop w:val="0"/>
      <w:marBottom w:val="0"/>
      <w:divBdr>
        <w:top w:val="none" w:sz="0" w:space="0" w:color="auto"/>
        <w:left w:val="none" w:sz="0" w:space="0" w:color="auto"/>
        <w:bottom w:val="none" w:sz="0" w:space="0" w:color="auto"/>
        <w:right w:val="none" w:sz="0" w:space="0" w:color="auto"/>
      </w:divBdr>
    </w:div>
    <w:div w:id="141389229">
      <w:bodyDiv w:val="1"/>
      <w:marLeft w:val="0"/>
      <w:marRight w:val="0"/>
      <w:marTop w:val="0"/>
      <w:marBottom w:val="0"/>
      <w:divBdr>
        <w:top w:val="none" w:sz="0" w:space="0" w:color="auto"/>
        <w:left w:val="none" w:sz="0" w:space="0" w:color="auto"/>
        <w:bottom w:val="none" w:sz="0" w:space="0" w:color="auto"/>
        <w:right w:val="none" w:sz="0" w:space="0" w:color="auto"/>
      </w:divBdr>
    </w:div>
    <w:div w:id="141505198">
      <w:bodyDiv w:val="1"/>
      <w:marLeft w:val="0"/>
      <w:marRight w:val="0"/>
      <w:marTop w:val="0"/>
      <w:marBottom w:val="0"/>
      <w:divBdr>
        <w:top w:val="none" w:sz="0" w:space="0" w:color="auto"/>
        <w:left w:val="none" w:sz="0" w:space="0" w:color="auto"/>
        <w:bottom w:val="none" w:sz="0" w:space="0" w:color="auto"/>
        <w:right w:val="none" w:sz="0" w:space="0" w:color="auto"/>
      </w:divBdr>
    </w:div>
    <w:div w:id="141653579">
      <w:bodyDiv w:val="1"/>
      <w:marLeft w:val="0"/>
      <w:marRight w:val="0"/>
      <w:marTop w:val="0"/>
      <w:marBottom w:val="0"/>
      <w:divBdr>
        <w:top w:val="none" w:sz="0" w:space="0" w:color="auto"/>
        <w:left w:val="none" w:sz="0" w:space="0" w:color="auto"/>
        <w:bottom w:val="none" w:sz="0" w:space="0" w:color="auto"/>
        <w:right w:val="none" w:sz="0" w:space="0" w:color="auto"/>
      </w:divBdr>
    </w:div>
    <w:div w:id="141773066">
      <w:bodyDiv w:val="1"/>
      <w:marLeft w:val="0"/>
      <w:marRight w:val="0"/>
      <w:marTop w:val="0"/>
      <w:marBottom w:val="0"/>
      <w:divBdr>
        <w:top w:val="none" w:sz="0" w:space="0" w:color="auto"/>
        <w:left w:val="none" w:sz="0" w:space="0" w:color="auto"/>
        <w:bottom w:val="none" w:sz="0" w:space="0" w:color="auto"/>
        <w:right w:val="none" w:sz="0" w:space="0" w:color="auto"/>
      </w:divBdr>
    </w:div>
    <w:div w:id="141851639">
      <w:bodyDiv w:val="1"/>
      <w:marLeft w:val="0"/>
      <w:marRight w:val="0"/>
      <w:marTop w:val="0"/>
      <w:marBottom w:val="0"/>
      <w:divBdr>
        <w:top w:val="none" w:sz="0" w:space="0" w:color="auto"/>
        <w:left w:val="none" w:sz="0" w:space="0" w:color="auto"/>
        <w:bottom w:val="none" w:sz="0" w:space="0" w:color="auto"/>
        <w:right w:val="none" w:sz="0" w:space="0" w:color="auto"/>
      </w:divBdr>
    </w:div>
    <w:div w:id="142091550">
      <w:bodyDiv w:val="1"/>
      <w:marLeft w:val="0"/>
      <w:marRight w:val="0"/>
      <w:marTop w:val="0"/>
      <w:marBottom w:val="0"/>
      <w:divBdr>
        <w:top w:val="none" w:sz="0" w:space="0" w:color="auto"/>
        <w:left w:val="none" w:sz="0" w:space="0" w:color="auto"/>
        <w:bottom w:val="none" w:sz="0" w:space="0" w:color="auto"/>
        <w:right w:val="none" w:sz="0" w:space="0" w:color="auto"/>
      </w:divBdr>
    </w:div>
    <w:div w:id="142234393">
      <w:bodyDiv w:val="1"/>
      <w:marLeft w:val="0"/>
      <w:marRight w:val="0"/>
      <w:marTop w:val="0"/>
      <w:marBottom w:val="0"/>
      <w:divBdr>
        <w:top w:val="none" w:sz="0" w:space="0" w:color="auto"/>
        <w:left w:val="none" w:sz="0" w:space="0" w:color="auto"/>
        <w:bottom w:val="none" w:sz="0" w:space="0" w:color="auto"/>
        <w:right w:val="none" w:sz="0" w:space="0" w:color="auto"/>
      </w:divBdr>
    </w:div>
    <w:div w:id="142355972">
      <w:bodyDiv w:val="1"/>
      <w:marLeft w:val="0"/>
      <w:marRight w:val="0"/>
      <w:marTop w:val="0"/>
      <w:marBottom w:val="0"/>
      <w:divBdr>
        <w:top w:val="none" w:sz="0" w:space="0" w:color="auto"/>
        <w:left w:val="none" w:sz="0" w:space="0" w:color="auto"/>
        <w:bottom w:val="none" w:sz="0" w:space="0" w:color="auto"/>
        <w:right w:val="none" w:sz="0" w:space="0" w:color="auto"/>
      </w:divBdr>
    </w:div>
    <w:div w:id="142356486">
      <w:bodyDiv w:val="1"/>
      <w:marLeft w:val="0"/>
      <w:marRight w:val="0"/>
      <w:marTop w:val="0"/>
      <w:marBottom w:val="0"/>
      <w:divBdr>
        <w:top w:val="none" w:sz="0" w:space="0" w:color="auto"/>
        <w:left w:val="none" w:sz="0" w:space="0" w:color="auto"/>
        <w:bottom w:val="none" w:sz="0" w:space="0" w:color="auto"/>
        <w:right w:val="none" w:sz="0" w:space="0" w:color="auto"/>
      </w:divBdr>
    </w:div>
    <w:div w:id="142703006">
      <w:bodyDiv w:val="1"/>
      <w:marLeft w:val="0"/>
      <w:marRight w:val="0"/>
      <w:marTop w:val="0"/>
      <w:marBottom w:val="0"/>
      <w:divBdr>
        <w:top w:val="none" w:sz="0" w:space="0" w:color="auto"/>
        <w:left w:val="none" w:sz="0" w:space="0" w:color="auto"/>
        <w:bottom w:val="none" w:sz="0" w:space="0" w:color="auto"/>
        <w:right w:val="none" w:sz="0" w:space="0" w:color="auto"/>
      </w:divBdr>
    </w:div>
    <w:div w:id="142703147">
      <w:bodyDiv w:val="1"/>
      <w:marLeft w:val="0"/>
      <w:marRight w:val="0"/>
      <w:marTop w:val="0"/>
      <w:marBottom w:val="0"/>
      <w:divBdr>
        <w:top w:val="none" w:sz="0" w:space="0" w:color="auto"/>
        <w:left w:val="none" w:sz="0" w:space="0" w:color="auto"/>
        <w:bottom w:val="none" w:sz="0" w:space="0" w:color="auto"/>
        <w:right w:val="none" w:sz="0" w:space="0" w:color="auto"/>
      </w:divBdr>
    </w:div>
    <w:div w:id="143353619">
      <w:bodyDiv w:val="1"/>
      <w:marLeft w:val="0"/>
      <w:marRight w:val="0"/>
      <w:marTop w:val="0"/>
      <w:marBottom w:val="0"/>
      <w:divBdr>
        <w:top w:val="none" w:sz="0" w:space="0" w:color="auto"/>
        <w:left w:val="none" w:sz="0" w:space="0" w:color="auto"/>
        <w:bottom w:val="none" w:sz="0" w:space="0" w:color="auto"/>
        <w:right w:val="none" w:sz="0" w:space="0" w:color="auto"/>
      </w:divBdr>
    </w:div>
    <w:div w:id="143814157">
      <w:bodyDiv w:val="1"/>
      <w:marLeft w:val="0"/>
      <w:marRight w:val="0"/>
      <w:marTop w:val="0"/>
      <w:marBottom w:val="0"/>
      <w:divBdr>
        <w:top w:val="none" w:sz="0" w:space="0" w:color="auto"/>
        <w:left w:val="none" w:sz="0" w:space="0" w:color="auto"/>
        <w:bottom w:val="none" w:sz="0" w:space="0" w:color="auto"/>
        <w:right w:val="none" w:sz="0" w:space="0" w:color="auto"/>
      </w:divBdr>
    </w:div>
    <w:div w:id="144470860">
      <w:bodyDiv w:val="1"/>
      <w:marLeft w:val="0"/>
      <w:marRight w:val="0"/>
      <w:marTop w:val="0"/>
      <w:marBottom w:val="0"/>
      <w:divBdr>
        <w:top w:val="none" w:sz="0" w:space="0" w:color="auto"/>
        <w:left w:val="none" w:sz="0" w:space="0" w:color="auto"/>
        <w:bottom w:val="none" w:sz="0" w:space="0" w:color="auto"/>
        <w:right w:val="none" w:sz="0" w:space="0" w:color="auto"/>
      </w:divBdr>
    </w:div>
    <w:div w:id="144902125">
      <w:bodyDiv w:val="1"/>
      <w:marLeft w:val="0"/>
      <w:marRight w:val="0"/>
      <w:marTop w:val="0"/>
      <w:marBottom w:val="0"/>
      <w:divBdr>
        <w:top w:val="none" w:sz="0" w:space="0" w:color="auto"/>
        <w:left w:val="none" w:sz="0" w:space="0" w:color="auto"/>
        <w:bottom w:val="none" w:sz="0" w:space="0" w:color="auto"/>
        <w:right w:val="none" w:sz="0" w:space="0" w:color="auto"/>
      </w:divBdr>
    </w:div>
    <w:div w:id="145128901">
      <w:bodyDiv w:val="1"/>
      <w:marLeft w:val="0"/>
      <w:marRight w:val="0"/>
      <w:marTop w:val="0"/>
      <w:marBottom w:val="0"/>
      <w:divBdr>
        <w:top w:val="none" w:sz="0" w:space="0" w:color="auto"/>
        <w:left w:val="none" w:sz="0" w:space="0" w:color="auto"/>
        <w:bottom w:val="none" w:sz="0" w:space="0" w:color="auto"/>
        <w:right w:val="none" w:sz="0" w:space="0" w:color="auto"/>
      </w:divBdr>
    </w:div>
    <w:div w:id="145318231">
      <w:bodyDiv w:val="1"/>
      <w:marLeft w:val="0"/>
      <w:marRight w:val="0"/>
      <w:marTop w:val="0"/>
      <w:marBottom w:val="0"/>
      <w:divBdr>
        <w:top w:val="none" w:sz="0" w:space="0" w:color="auto"/>
        <w:left w:val="none" w:sz="0" w:space="0" w:color="auto"/>
        <w:bottom w:val="none" w:sz="0" w:space="0" w:color="auto"/>
        <w:right w:val="none" w:sz="0" w:space="0" w:color="auto"/>
      </w:divBdr>
    </w:div>
    <w:div w:id="145631040">
      <w:bodyDiv w:val="1"/>
      <w:marLeft w:val="0"/>
      <w:marRight w:val="0"/>
      <w:marTop w:val="0"/>
      <w:marBottom w:val="0"/>
      <w:divBdr>
        <w:top w:val="none" w:sz="0" w:space="0" w:color="auto"/>
        <w:left w:val="none" w:sz="0" w:space="0" w:color="auto"/>
        <w:bottom w:val="none" w:sz="0" w:space="0" w:color="auto"/>
        <w:right w:val="none" w:sz="0" w:space="0" w:color="auto"/>
      </w:divBdr>
    </w:div>
    <w:div w:id="145897245">
      <w:bodyDiv w:val="1"/>
      <w:marLeft w:val="0"/>
      <w:marRight w:val="0"/>
      <w:marTop w:val="0"/>
      <w:marBottom w:val="0"/>
      <w:divBdr>
        <w:top w:val="none" w:sz="0" w:space="0" w:color="auto"/>
        <w:left w:val="none" w:sz="0" w:space="0" w:color="auto"/>
        <w:bottom w:val="none" w:sz="0" w:space="0" w:color="auto"/>
        <w:right w:val="none" w:sz="0" w:space="0" w:color="auto"/>
      </w:divBdr>
    </w:div>
    <w:div w:id="146631367">
      <w:bodyDiv w:val="1"/>
      <w:marLeft w:val="0"/>
      <w:marRight w:val="0"/>
      <w:marTop w:val="0"/>
      <w:marBottom w:val="0"/>
      <w:divBdr>
        <w:top w:val="none" w:sz="0" w:space="0" w:color="auto"/>
        <w:left w:val="none" w:sz="0" w:space="0" w:color="auto"/>
        <w:bottom w:val="none" w:sz="0" w:space="0" w:color="auto"/>
        <w:right w:val="none" w:sz="0" w:space="0" w:color="auto"/>
      </w:divBdr>
    </w:div>
    <w:div w:id="146744775">
      <w:bodyDiv w:val="1"/>
      <w:marLeft w:val="0"/>
      <w:marRight w:val="0"/>
      <w:marTop w:val="0"/>
      <w:marBottom w:val="0"/>
      <w:divBdr>
        <w:top w:val="none" w:sz="0" w:space="0" w:color="auto"/>
        <w:left w:val="none" w:sz="0" w:space="0" w:color="auto"/>
        <w:bottom w:val="none" w:sz="0" w:space="0" w:color="auto"/>
        <w:right w:val="none" w:sz="0" w:space="0" w:color="auto"/>
      </w:divBdr>
    </w:div>
    <w:div w:id="146867264">
      <w:bodyDiv w:val="1"/>
      <w:marLeft w:val="0"/>
      <w:marRight w:val="0"/>
      <w:marTop w:val="0"/>
      <w:marBottom w:val="0"/>
      <w:divBdr>
        <w:top w:val="none" w:sz="0" w:space="0" w:color="auto"/>
        <w:left w:val="none" w:sz="0" w:space="0" w:color="auto"/>
        <w:bottom w:val="none" w:sz="0" w:space="0" w:color="auto"/>
        <w:right w:val="none" w:sz="0" w:space="0" w:color="auto"/>
      </w:divBdr>
    </w:div>
    <w:div w:id="147020826">
      <w:bodyDiv w:val="1"/>
      <w:marLeft w:val="0"/>
      <w:marRight w:val="0"/>
      <w:marTop w:val="0"/>
      <w:marBottom w:val="0"/>
      <w:divBdr>
        <w:top w:val="none" w:sz="0" w:space="0" w:color="auto"/>
        <w:left w:val="none" w:sz="0" w:space="0" w:color="auto"/>
        <w:bottom w:val="none" w:sz="0" w:space="0" w:color="auto"/>
        <w:right w:val="none" w:sz="0" w:space="0" w:color="auto"/>
      </w:divBdr>
    </w:div>
    <w:div w:id="147288823">
      <w:bodyDiv w:val="1"/>
      <w:marLeft w:val="0"/>
      <w:marRight w:val="0"/>
      <w:marTop w:val="0"/>
      <w:marBottom w:val="0"/>
      <w:divBdr>
        <w:top w:val="none" w:sz="0" w:space="0" w:color="auto"/>
        <w:left w:val="none" w:sz="0" w:space="0" w:color="auto"/>
        <w:bottom w:val="none" w:sz="0" w:space="0" w:color="auto"/>
        <w:right w:val="none" w:sz="0" w:space="0" w:color="auto"/>
      </w:divBdr>
    </w:div>
    <w:div w:id="147477781">
      <w:bodyDiv w:val="1"/>
      <w:marLeft w:val="0"/>
      <w:marRight w:val="0"/>
      <w:marTop w:val="0"/>
      <w:marBottom w:val="0"/>
      <w:divBdr>
        <w:top w:val="none" w:sz="0" w:space="0" w:color="auto"/>
        <w:left w:val="none" w:sz="0" w:space="0" w:color="auto"/>
        <w:bottom w:val="none" w:sz="0" w:space="0" w:color="auto"/>
        <w:right w:val="none" w:sz="0" w:space="0" w:color="auto"/>
      </w:divBdr>
    </w:div>
    <w:div w:id="147482046">
      <w:bodyDiv w:val="1"/>
      <w:marLeft w:val="0"/>
      <w:marRight w:val="0"/>
      <w:marTop w:val="0"/>
      <w:marBottom w:val="0"/>
      <w:divBdr>
        <w:top w:val="none" w:sz="0" w:space="0" w:color="auto"/>
        <w:left w:val="none" w:sz="0" w:space="0" w:color="auto"/>
        <w:bottom w:val="none" w:sz="0" w:space="0" w:color="auto"/>
        <w:right w:val="none" w:sz="0" w:space="0" w:color="auto"/>
      </w:divBdr>
    </w:div>
    <w:div w:id="147484948">
      <w:bodyDiv w:val="1"/>
      <w:marLeft w:val="0"/>
      <w:marRight w:val="0"/>
      <w:marTop w:val="0"/>
      <w:marBottom w:val="0"/>
      <w:divBdr>
        <w:top w:val="none" w:sz="0" w:space="0" w:color="auto"/>
        <w:left w:val="none" w:sz="0" w:space="0" w:color="auto"/>
        <w:bottom w:val="none" w:sz="0" w:space="0" w:color="auto"/>
        <w:right w:val="none" w:sz="0" w:space="0" w:color="auto"/>
      </w:divBdr>
    </w:div>
    <w:div w:id="147553323">
      <w:bodyDiv w:val="1"/>
      <w:marLeft w:val="0"/>
      <w:marRight w:val="0"/>
      <w:marTop w:val="0"/>
      <w:marBottom w:val="0"/>
      <w:divBdr>
        <w:top w:val="none" w:sz="0" w:space="0" w:color="auto"/>
        <w:left w:val="none" w:sz="0" w:space="0" w:color="auto"/>
        <w:bottom w:val="none" w:sz="0" w:space="0" w:color="auto"/>
        <w:right w:val="none" w:sz="0" w:space="0" w:color="auto"/>
      </w:divBdr>
    </w:div>
    <w:div w:id="147671143">
      <w:bodyDiv w:val="1"/>
      <w:marLeft w:val="0"/>
      <w:marRight w:val="0"/>
      <w:marTop w:val="0"/>
      <w:marBottom w:val="0"/>
      <w:divBdr>
        <w:top w:val="none" w:sz="0" w:space="0" w:color="auto"/>
        <w:left w:val="none" w:sz="0" w:space="0" w:color="auto"/>
        <w:bottom w:val="none" w:sz="0" w:space="0" w:color="auto"/>
        <w:right w:val="none" w:sz="0" w:space="0" w:color="auto"/>
      </w:divBdr>
    </w:div>
    <w:div w:id="147676465">
      <w:bodyDiv w:val="1"/>
      <w:marLeft w:val="0"/>
      <w:marRight w:val="0"/>
      <w:marTop w:val="0"/>
      <w:marBottom w:val="0"/>
      <w:divBdr>
        <w:top w:val="none" w:sz="0" w:space="0" w:color="auto"/>
        <w:left w:val="none" w:sz="0" w:space="0" w:color="auto"/>
        <w:bottom w:val="none" w:sz="0" w:space="0" w:color="auto"/>
        <w:right w:val="none" w:sz="0" w:space="0" w:color="auto"/>
      </w:divBdr>
    </w:div>
    <w:div w:id="147863643">
      <w:bodyDiv w:val="1"/>
      <w:marLeft w:val="0"/>
      <w:marRight w:val="0"/>
      <w:marTop w:val="0"/>
      <w:marBottom w:val="0"/>
      <w:divBdr>
        <w:top w:val="none" w:sz="0" w:space="0" w:color="auto"/>
        <w:left w:val="none" w:sz="0" w:space="0" w:color="auto"/>
        <w:bottom w:val="none" w:sz="0" w:space="0" w:color="auto"/>
        <w:right w:val="none" w:sz="0" w:space="0" w:color="auto"/>
      </w:divBdr>
    </w:div>
    <w:div w:id="148984983">
      <w:bodyDiv w:val="1"/>
      <w:marLeft w:val="0"/>
      <w:marRight w:val="0"/>
      <w:marTop w:val="0"/>
      <w:marBottom w:val="0"/>
      <w:divBdr>
        <w:top w:val="none" w:sz="0" w:space="0" w:color="auto"/>
        <w:left w:val="none" w:sz="0" w:space="0" w:color="auto"/>
        <w:bottom w:val="none" w:sz="0" w:space="0" w:color="auto"/>
        <w:right w:val="none" w:sz="0" w:space="0" w:color="auto"/>
      </w:divBdr>
    </w:div>
    <w:div w:id="149684396">
      <w:bodyDiv w:val="1"/>
      <w:marLeft w:val="0"/>
      <w:marRight w:val="0"/>
      <w:marTop w:val="0"/>
      <w:marBottom w:val="0"/>
      <w:divBdr>
        <w:top w:val="none" w:sz="0" w:space="0" w:color="auto"/>
        <w:left w:val="none" w:sz="0" w:space="0" w:color="auto"/>
        <w:bottom w:val="none" w:sz="0" w:space="0" w:color="auto"/>
        <w:right w:val="none" w:sz="0" w:space="0" w:color="auto"/>
      </w:divBdr>
    </w:div>
    <w:div w:id="150602926">
      <w:bodyDiv w:val="1"/>
      <w:marLeft w:val="0"/>
      <w:marRight w:val="0"/>
      <w:marTop w:val="0"/>
      <w:marBottom w:val="0"/>
      <w:divBdr>
        <w:top w:val="none" w:sz="0" w:space="0" w:color="auto"/>
        <w:left w:val="none" w:sz="0" w:space="0" w:color="auto"/>
        <w:bottom w:val="none" w:sz="0" w:space="0" w:color="auto"/>
        <w:right w:val="none" w:sz="0" w:space="0" w:color="auto"/>
      </w:divBdr>
    </w:div>
    <w:div w:id="150607854">
      <w:bodyDiv w:val="1"/>
      <w:marLeft w:val="0"/>
      <w:marRight w:val="0"/>
      <w:marTop w:val="0"/>
      <w:marBottom w:val="0"/>
      <w:divBdr>
        <w:top w:val="none" w:sz="0" w:space="0" w:color="auto"/>
        <w:left w:val="none" w:sz="0" w:space="0" w:color="auto"/>
        <w:bottom w:val="none" w:sz="0" w:space="0" w:color="auto"/>
        <w:right w:val="none" w:sz="0" w:space="0" w:color="auto"/>
      </w:divBdr>
    </w:div>
    <w:div w:id="151525785">
      <w:bodyDiv w:val="1"/>
      <w:marLeft w:val="0"/>
      <w:marRight w:val="0"/>
      <w:marTop w:val="0"/>
      <w:marBottom w:val="0"/>
      <w:divBdr>
        <w:top w:val="none" w:sz="0" w:space="0" w:color="auto"/>
        <w:left w:val="none" w:sz="0" w:space="0" w:color="auto"/>
        <w:bottom w:val="none" w:sz="0" w:space="0" w:color="auto"/>
        <w:right w:val="none" w:sz="0" w:space="0" w:color="auto"/>
      </w:divBdr>
    </w:div>
    <w:div w:id="152261128">
      <w:bodyDiv w:val="1"/>
      <w:marLeft w:val="0"/>
      <w:marRight w:val="0"/>
      <w:marTop w:val="0"/>
      <w:marBottom w:val="0"/>
      <w:divBdr>
        <w:top w:val="none" w:sz="0" w:space="0" w:color="auto"/>
        <w:left w:val="none" w:sz="0" w:space="0" w:color="auto"/>
        <w:bottom w:val="none" w:sz="0" w:space="0" w:color="auto"/>
        <w:right w:val="none" w:sz="0" w:space="0" w:color="auto"/>
      </w:divBdr>
    </w:div>
    <w:div w:id="152962696">
      <w:bodyDiv w:val="1"/>
      <w:marLeft w:val="0"/>
      <w:marRight w:val="0"/>
      <w:marTop w:val="0"/>
      <w:marBottom w:val="0"/>
      <w:divBdr>
        <w:top w:val="none" w:sz="0" w:space="0" w:color="auto"/>
        <w:left w:val="none" w:sz="0" w:space="0" w:color="auto"/>
        <w:bottom w:val="none" w:sz="0" w:space="0" w:color="auto"/>
        <w:right w:val="none" w:sz="0" w:space="0" w:color="auto"/>
      </w:divBdr>
    </w:div>
    <w:div w:id="153179416">
      <w:bodyDiv w:val="1"/>
      <w:marLeft w:val="0"/>
      <w:marRight w:val="0"/>
      <w:marTop w:val="0"/>
      <w:marBottom w:val="0"/>
      <w:divBdr>
        <w:top w:val="none" w:sz="0" w:space="0" w:color="auto"/>
        <w:left w:val="none" w:sz="0" w:space="0" w:color="auto"/>
        <w:bottom w:val="none" w:sz="0" w:space="0" w:color="auto"/>
        <w:right w:val="none" w:sz="0" w:space="0" w:color="auto"/>
      </w:divBdr>
    </w:div>
    <w:div w:id="153881733">
      <w:bodyDiv w:val="1"/>
      <w:marLeft w:val="0"/>
      <w:marRight w:val="0"/>
      <w:marTop w:val="0"/>
      <w:marBottom w:val="0"/>
      <w:divBdr>
        <w:top w:val="none" w:sz="0" w:space="0" w:color="auto"/>
        <w:left w:val="none" w:sz="0" w:space="0" w:color="auto"/>
        <w:bottom w:val="none" w:sz="0" w:space="0" w:color="auto"/>
        <w:right w:val="none" w:sz="0" w:space="0" w:color="auto"/>
      </w:divBdr>
    </w:div>
    <w:div w:id="154540287">
      <w:bodyDiv w:val="1"/>
      <w:marLeft w:val="0"/>
      <w:marRight w:val="0"/>
      <w:marTop w:val="0"/>
      <w:marBottom w:val="0"/>
      <w:divBdr>
        <w:top w:val="none" w:sz="0" w:space="0" w:color="auto"/>
        <w:left w:val="none" w:sz="0" w:space="0" w:color="auto"/>
        <w:bottom w:val="none" w:sz="0" w:space="0" w:color="auto"/>
        <w:right w:val="none" w:sz="0" w:space="0" w:color="auto"/>
      </w:divBdr>
    </w:div>
    <w:div w:id="154762005">
      <w:bodyDiv w:val="1"/>
      <w:marLeft w:val="0"/>
      <w:marRight w:val="0"/>
      <w:marTop w:val="0"/>
      <w:marBottom w:val="0"/>
      <w:divBdr>
        <w:top w:val="none" w:sz="0" w:space="0" w:color="auto"/>
        <w:left w:val="none" w:sz="0" w:space="0" w:color="auto"/>
        <w:bottom w:val="none" w:sz="0" w:space="0" w:color="auto"/>
        <w:right w:val="none" w:sz="0" w:space="0" w:color="auto"/>
      </w:divBdr>
    </w:div>
    <w:div w:id="155000811">
      <w:bodyDiv w:val="1"/>
      <w:marLeft w:val="0"/>
      <w:marRight w:val="0"/>
      <w:marTop w:val="0"/>
      <w:marBottom w:val="0"/>
      <w:divBdr>
        <w:top w:val="none" w:sz="0" w:space="0" w:color="auto"/>
        <w:left w:val="none" w:sz="0" w:space="0" w:color="auto"/>
        <w:bottom w:val="none" w:sz="0" w:space="0" w:color="auto"/>
        <w:right w:val="none" w:sz="0" w:space="0" w:color="auto"/>
      </w:divBdr>
    </w:div>
    <w:div w:id="155460750">
      <w:bodyDiv w:val="1"/>
      <w:marLeft w:val="0"/>
      <w:marRight w:val="0"/>
      <w:marTop w:val="0"/>
      <w:marBottom w:val="0"/>
      <w:divBdr>
        <w:top w:val="none" w:sz="0" w:space="0" w:color="auto"/>
        <w:left w:val="none" w:sz="0" w:space="0" w:color="auto"/>
        <w:bottom w:val="none" w:sz="0" w:space="0" w:color="auto"/>
        <w:right w:val="none" w:sz="0" w:space="0" w:color="auto"/>
      </w:divBdr>
    </w:div>
    <w:div w:id="155659480">
      <w:bodyDiv w:val="1"/>
      <w:marLeft w:val="0"/>
      <w:marRight w:val="0"/>
      <w:marTop w:val="0"/>
      <w:marBottom w:val="0"/>
      <w:divBdr>
        <w:top w:val="none" w:sz="0" w:space="0" w:color="auto"/>
        <w:left w:val="none" w:sz="0" w:space="0" w:color="auto"/>
        <w:bottom w:val="none" w:sz="0" w:space="0" w:color="auto"/>
        <w:right w:val="none" w:sz="0" w:space="0" w:color="auto"/>
      </w:divBdr>
    </w:div>
    <w:div w:id="155845492">
      <w:bodyDiv w:val="1"/>
      <w:marLeft w:val="0"/>
      <w:marRight w:val="0"/>
      <w:marTop w:val="0"/>
      <w:marBottom w:val="0"/>
      <w:divBdr>
        <w:top w:val="none" w:sz="0" w:space="0" w:color="auto"/>
        <w:left w:val="none" w:sz="0" w:space="0" w:color="auto"/>
        <w:bottom w:val="none" w:sz="0" w:space="0" w:color="auto"/>
        <w:right w:val="none" w:sz="0" w:space="0" w:color="auto"/>
      </w:divBdr>
    </w:div>
    <w:div w:id="155994170">
      <w:bodyDiv w:val="1"/>
      <w:marLeft w:val="0"/>
      <w:marRight w:val="0"/>
      <w:marTop w:val="0"/>
      <w:marBottom w:val="0"/>
      <w:divBdr>
        <w:top w:val="none" w:sz="0" w:space="0" w:color="auto"/>
        <w:left w:val="none" w:sz="0" w:space="0" w:color="auto"/>
        <w:bottom w:val="none" w:sz="0" w:space="0" w:color="auto"/>
        <w:right w:val="none" w:sz="0" w:space="0" w:color="auto"/>
      </w:divBdr>
    </w:div>
    <w:div w:id="156237992">
      <w:bodyDiv w:val="1"/>
      <w:marLeft w:val="0"/>
      <w:marRight w:val="0"/>
      <w:marTop w:val="0"/>
      <w:marBottom w:val="0"/>
      <w:divBdr>
        <w:top w:val="none" w:sz="0" w:space="0" w:color="auto"/>
        <w:left w:val="none" w:sz="0" w:space="0" w:color="auto"/>
        <w:bottom w:val="none" w:sz="0" w:space="0" w:color="auto"/>
        <w:right w:val="none" w:sz="0" w:space="0" w:color="auto"/>
      </w:divBdr>
    </w:div>
    <w:div w:id="156311543">
      <w:bodyDiv w:val="1"/>
      <w:marLeft w:val="0"/>
      <w:marRight w:val="0"/>
      <w:marTop w:val="0"/>
      <w:marBottom w:val="0"/>
      <w:divBdr>
        <w:top w:val="none" w:sz="0" w:space="0" w:color="auto"/>
        <w:left w:val="none" w:sz="0" w:space="0" w:color="auto"/>
        <w:bottom w:val="none" w:sz="0" w:space="0" w:color="auto"/>
        <w:right w:val="none" w:sz="0" w:space="0" w:color="auto"/>
      </w:divBdr>
    </w:div>
    <w:div w:id="156461229">
      <w:bodyDiv w:val="1"/>
      <w:marLeft w:val="0"/>
      <w:marRight w:val="0"/>
      <w:marTop w:val="0"/>
      <w:marBottom w:val="0"/>
      <w:divBdr>
        <w:top w:val="none" w:sz="0" w:space="0" w:color="auto"/>
        <w:left w:val="none" w:sz="0" w:space="0" w:color="auto"/>
        <w:bottom w:val="none" w:sz="0" w:space="0" w:color="auto"/>
        <w:right w:val="none" w:sz="0" w:space="0" w:color="auto"/>
      </w:divBdr>
    </w:div>
    <w:div w:id="156894533">
      <w:bodyDiv w:val="1"/>
      <w:marLeft w:val="0"/>
      <w:marRight w:val="0"/>
      <w:marTop w:val="0"/>
      <w:marBottom w:val="0"/>
      <w:divBdr>
        <w:top w:val="none" w:sz="0" w:space="0" w:color="auto"/>
        <w:left w:val="none" w:sz="0" w:space="0" w:color="auto"/>
        <w:bottom w:val="none" w:sz="0" w:space="0" w:color="auto"/>
        <w:right w:val="none" w:sz="0" w:space="0" w:color="auto"/>
      </w:divBdr>
    </w:div>
    <w:div w:id="157039384">
      <w:bodyDiv w:val="1"/>
      <w:marLeft w:val="0"/>
      <w:marRight w:val="0"/>
      <w:marTop w:val="0"/>
      <w:marBottom w:val="0"/>
      <w:divBdr>
        <w:top w:val="none" w:sz="0" w:space="0" w:color="auto"/>
        <w:left w:val="none" w:sz="0" w:space="0" w:color="auto"/>
        <w:bottom w:val="none" w:sz="0" w:space="0" w:color="auto"/>
        <w:right w:val="none" w:sz="0" w:space="0" w:color="auto"/>
      </w:divBdr>
    </w:div>
    <w:div w:id="157352288">
      <w:bodyDiv w:val="1"/>
      <w:marLeft w:val="0"/>
      <w:marRight w:val="0"/>
      <w:marTop w:val="0"/>
      <w:marBottom w:val="0"/>
      <w:divBdr>
        <w:top w:val="none" w:sz="0" w:space="0" w:color="auto"/>
        <w:left w:val="none" w:sz="0" w:space="0" w:color="auto"/>
        <w:bottom w:val="none" w:sz="0" w:space="0" w:color="auto"/>
        <w:right w:val="none" w:sz="0" w:space="0" w:color="auto"/>
      </w:divBdr>
    </w:div>
    <w:div w:id="157699845">
      <w:bodyDiv w:val="1"/>
      <w:marLeft w:val="0"/>
      <w:marRight w:val="0"/>
      <w:marTop w:val="0"/>
      <w:marBottom w:val="0"/>
      <w:divBdr>
        <w:top w:val="none" w:sz="0" w:space="0" w:color="auto"/>
        <w:left w:val="none" w:sz="0" w:space="0" w:color="auto"/>
        <w:bottom w:val="none" w:sz="0" w:space="0" w:color="auto"/>
        <w:right w:val="none" w:sz="0" w:space="0" w:color="auto"/>
      </w:divBdr>
    </w:div>
    <w:div w:id="157887763">
      <w:bodyDiv w:val="1"/>
      <w:marLeft w:val="0"/>
      <w:marRight w:val="0"/>
      <w:marTop w:val="0"/>
      <w:marBottom w:val="0"/>
      <w:divBdr>
        <w:top w:val="none" w:sz="0" w:space="0" w:color="auto"/>
        <w:left w:val="none" w:sz="0" w:space="0" w:color="auto"/>
        <w:bottom w:val="none" w:sz="0" w:space="0" w:color="auto"/>
        <w:right w:val="none" w:sz="0" w:space="0" w:color="auto"/>
      </w:divBdr>
    </w:div>
    <w:div w:id="158354176">
      <w:bodyDiv w:val="1"/>
      <w:marLeft w:val="0"/>
      <w:marRight w:val="0"/>
      <w:marTop w:val="0"/>
      <w:marBottom w:val="0"/>
      <w:divBdr>
        <w:top w:val="none" w:sz="0" w:space="0" w:color="auto"/>
        <w:left w:val="none" w:sz="0" w:space="0" w:color="auto"/>
        <w:bottom w:val="none" w:sz="0" w:space="0" w:color="auto"/>
        <w:right w:val="none" w:sz="0" w:space="0" w:color="auto"/>
      </w:divBdr>
    </w:div>
    <w:div w:id="158469664">
      <w:bodyDiv w:val="1"/>
      <w:marLeft w:val="0"/>
      <w:marRight w:val="0"/>
      <w:marTop w:val="0"/>
      <w:marBottom w:val="0"/>
      <w:divBdr>
        <w:top w:val="none" w:sz="0" w:space="0" w:color="auto"/>
        <w:left w:val="none" w:sz="0" w:space="0" w:color="auto"/>
        <w:bottom w:val="none" w:sz="0" w:space="0" w:color="auto"/>
        <w:right w:val="none" w:sz="0" w:space="0" w:color="auto"/>
      </w:divBdr>
    </w:div>
    <w:div w:id="158473498">
      <w:bodyDiv w:val="1"/>
      <w:marLeft w:val="0"/>
      <w:marRight w:val="0"/>
      <w:marTop w:val="0"/>
      <w:marBottom w:val="0"/>
      <w:divBdr>
        <w:top w:val="none" w:sz="0" w:space="0" w:color="auto"/>
        <w:left w:val="none" w:sz="0" w:space="0" w:color="auto"/>
        <w:bottom w:val="none" w:sz="0" w:space="0" w:color="auto"/>
        <w:right w:val="none" w:sz="0" w:space="0" w:color="auto"/>
      </w:divBdr>
    </w:div>
    <w:div w:id="159004511">
      <w:bodyDiv w:val="1"/>
      <w:marLeft w:val="0"/>
      <w:marRight w:val="0"/>
      <w:marTop w:val="0"/>
      <w:marBottom w:val="0"/>
      <w:divBdr>
        <w:top w:val="none" w:sz="0" w:space="0" w:color="auto"/>
        <w:left w:val="none" w:sz="0" w:space="0" w:color="auto"/>
        <w:bottom w:val="none" w:sz="0" w:space="0" w:color="auto"/>
        <w:right w:val="none" w:sz="0" w:space="0" w:color="auto"/>
      </w:divBdr>
    </w:div>
    <w:div w:id="159276118">
      <w:bodyDiv w:val="1"/>
      <w:marLeft w:val="0"/>
      <w:marRight w:val="0"/>
      <w:marTop w:val="0"/>
      <w:marBottom w:val="0"/>
      <w:divBdr>
        <w:top w:val="none" w:sz="0" w:space="0" w:color="auto"/>
        <w:left w:val="none" w:sz="0" w:space="0" w:color="auto"/>
        <w:bottom w:val="none" w:sz="0" w:space="0" w:color="auto"/>
        <w:right w:val="none" w:sz="0" w:space="0" w:color="auto"/>
      </w:divBdr>
    </w:div>
    <w:div w:id="159734823">
      <w:bodyDiv w:val="1"/>
      <w:marLeft w:val="0"/>
      <w:marRight w:val="0"/>
      <w:marTop w:val="0"/>
      <w:marBottom w:val="0"/>
      <w:divBdr>
        <w:top w:val="none" w:sz="0" w:space="0" w:color="auto"/>
        <w:left w:val="none" w:sz="0" w:space="0" w:color="auto"/>
        <w:bottom w:val="none" w:sz="0" w:space="0" w:color="auto"/>
        <w:right w:val="none" w:sz="0" w:space="0" w:color="auto"/>
      </w:divBdr>
    </w:div>
    <w:div w:id="159781452">
      <w:bodyDiv w:val="1"/>
      <w:marLeft w:val="0"/>
      <w:marRight w:val="0"/>
      <w:marTop w:val="0"/>
      <w:marBottom w:val="0"/>
      <w:divBdr>
        <w:top w:val="none" w:sz="0" w:space="0" w:color="auto"/>
        <w:left w:val="none" w:sz="0" w:space="0" w:color="auto"/>
        <w:bottom w:val="none" w:sz="0" w:space="0" w:color="auto"/>
        <w:right w:val="none" w:sz="0" w:space="0" w:color="auto"/>
      </w:divBdr>
    </w:div>
    <w:div w:id="159928824">
      <w:bodyDiv w:val="1"/>
      <w:marLeft w:val="0"/>
      <w:marRight w:val="0"/>
      <w:marTop w:val="0"/>
      <w:marBottom w:val="0"/>
      <w:divBdr>
        <w:top w:val="none" w:sz="0" w:space="0" w:color="auto"/>
        <w:left w:val="none" w:sz="0" w:space="0" w:color="auto"/>
        <w:bottom w:val="none" w:sz="0" w:space="0" w:color="auto"/>
        <w:right w:val="none" w:sz="0" w:space="0" w:color="auto"/>
      </w:divBdr>
    </w:div>
    <w:div w:id="160583364">
      <w:bodyDiv w:val="1"/>
      <w:marLeft w:val="0"/>
      <w:marRight w:val="0"/>
      <w:marTop w:val="0"/>
      <w:marBottom w:val="0"/>
      <w:divBdr>
        <w:top w:val="none" w:sz="0" w:space="0" w:color="auto"/>
        <w:left w:val="none" w:sz="0" w:space="0" w:color="auto"/>
        <w:bottom w:val="none" w:sz="0" w:space="0" w:color="auto"/>
        <w:right w:val="none" w:sz="0" w:space="0" w:color="auto"/>
      </w:divBdr>
    </w:div>
    <w:div w:id="160587975">
      <w:bodyDiv w:val="1"/>
      <w:marLeft w:val="0"/>
      <w:marRight w:val="0"/>
      <w:marTop w:val="0"/>
      <w:marBottom w:val="0"/>
      <w:divBdr>
        <w:top w:val="none" w:sz="0" w:space="0" w:color="auto"/>
        <w:left w:val="none" w:sz="0" w:space="0" w:color="auto"/>
        <w:bottom w:val="none" w:sz="0" w:space="0" w:color="auto"/>
        <w:right w:val="none" w:sz="0" w:space="0" w:color="auto"/>
      </w:divBdr>
    </w:div>
    <w:div w:id="161816313">
      <w:bodyDiv w:val="1"/>
      <w:marLeft w:val="0"/>
      <w:marRight w:val="0"/>
      <w:marTop w:val="0"/>
      <w:marBottom w:val="0"/>
      <w:divBdr>
        <w:top w:val="none" w:sz="0" w:space="0" w:color="auto"/>
        <w:left w:val="none" w:sz="0" w:space="0" w:color="auto"/>
        <w:bottom w:val="none" w:sz="0" w:space="0" w:color="auto"/>
        <w:right w:val="none" w:sz="0" w:space="0" w:color="auto"/>
      </w:divBdr>
    </w:div>
    <w:div w:id="161893539">
      <w:bodyDiv w:val="1"/>
      <w:marLeft w:val="0"/>
      <w:marRight w:val="0"/>
      <w:marTop w:val="0"/>
      <w:marBottom w:val="0"/>
      <w:divBdr>
        <w:top w:val="none" w:sz="0" w:space="0" w:color="auto"/>
        <w:left w:val="none" w:sz="0" w:space="0" w:color="auto"/>
        <w:bottom w:val="none" w:sz="0" w:space="0" w:color="auto"/>
        <w:right w:val="none" w:sz="0" w:space="0" w:color="auto"/>
      </w:divBdr>
    </w:div>
    <w:div w:id="162161418">
      <w:bodyDiv w:val="1"/>
      <w:marLeft w:val="0"/>
      <w:marRight w:val="0"/>
      <w:marTop w:val="0"/>
      <w:marBottom w:val="0"/>
      <w:divBdr>
        <w:top w:val="none" w:sz="0" w:space="0" w:color="auto"/>
        <w:left w:val="none" w:sz="0" w:space="0" w:color="auto"/>
        <w:bottom w:val="none" w:sz="0" w:space="0" w:color="auto"/>
        <w:right w:val="none" w:sz="0" w:space="0" w:color="auto"/>
      </w:divBdr>
    </w:div>
    <w:div w:id="162362396">
      <w:bodyDiv w:val="1"/>
      <w:marLeft w:val="0"/>
      <w:marRight w:val="0"/>
      <w:marTop w:val="0"/>
      <w:marBottom w:val="0"/>
      <w:divBdr>
        <w:top w:val="none" w:sz="0" w:space="0" w:color="auto"/>
        <w:left w:val="none" w:sz="0" w:space="0" w:color="auto"/>
        <w:bottom w:val="none" w:sz="0" w:space="0" w:color="auto"/>
        <w:right w:val="none" w:sz="0" w:space="0" w:color="auto"/>
      </w:divBdr>
    </w:div>
    <w:div w:id="163515899">
      <w:bodyDiv w:val="1"/>
      <w:marLeft w:val="0"/>
      <w:marRight w:val="0"/>
      <w:marTop w:val="0"/>
      <w:marBottom w:val="0"/>
      <w:divBdr>
        <w:top w:val="none" w:sz="0" w:space="0" w:color="auto"/>
        <w:left w:val="none" w:sz="0" w:space="0" w:color="auto"/>
        <w:bottom w:val="none" w:sz="0" w:space="0" w:color="auto"/>
        <w:right w:val="none" w:sz="0" w:space="0" w:color="auto"/>
      </w:divBdr>
    </w:div>
    <w:div w:id="163665113">
      <w:bodyDiv w:val="1"/>
      <w:marLeft w:val="0"/>
      <w:marRight w:val="0"/>
      <w:marTop w:val="0"/>
      <w:marBottom w:val="0"/>
      <w:divBdr>
        <w:top w:val="none" w:sz="0" w:space="0" w:color="auto"/>
        <w:left w:val="none" w:sz="0" w:space="0" w:color="auto"/>
        <w:bottom w:val="none" w:sz="0" w:space="0" w:color="auto"/>
        <w:right w:val="none" w:sz="0" w:space="0" w:color="auto"/>
      </w:divBdr>
    </w:div>
    <w:div w:id="163666030">
      <w:bodyDiv w:val="1"/>
      <w:marLeft w:val="0"/>
      <w:marRight w:val="0"/>
      <w:marTop w:val="0"/>
      <w:marBottom w:val="0"/>
      <w:divBdr>
        <w:top w:val="none" w:sz="0" w:space="0" w:color="auto"/>
        <w:left w:val="none" w:sz="0" w:space="0" w:color="auto"/>
        <w:bottom w:val="none" w:sz="0" w:space="0" w:color="auto"/>
        <w:right w:val="none" w:sz="0" w:space="0" w:color="auto"/>
      </w:divBdr>
    </w:div>
    <w:div w:id="163861519">
      <w:bodyDiv w:val="1"/>
      <w:marLeft w:val="0"/>
      <w:marRight w:val="0"/>
      <w:marTop w:val="0"/>
      <w:marBottom w:val="0"/>
      <w:divBdr>
        <w:top w:val="none" w:sz="0" w:space="0" w:color="auto"/>
        <w:left w:val="none" w:sz="0" w:space="0" w:color="auto"/>
        <w:bottom w:val="none" w:sz="0" w:space="0" w:color="auto"/>
        <w:right w:val="none" w:sz="0" w:space="0" w:color="auto"/>
      </w:divBdr>
    </w:div>
    <w:div w:id="164980442">
      <w:bodyDiv w:val="1"/>
      <w:marLeft w:val="0"/>
      <w:marRight w:val="0"/>
      <w:marTop w:val="0"/>
      <w:marBottom w:val="0"/>
      <w:divBdr>
        <w:top w:val="none" w:sz="0" w:space="0" w:color="auto"/>
        <w:left w:val="none" w:sz="0" w:space="0" w:color="auto"/>
        <w:bottom w:val="none" w:sz="0" w:space="0" w:color="auto"/>
        <w:right w:val="none" w:sz="0" w:space="0" w:color="auto"/>
      </w:divBdr>
    </w:div>
    <w:div w:id="165946011">
      <w:bodyDiv w:val="1"/>
      <w:marLeft w:val="0"/>
      <w:marRight w:val="0"/>
      <w:marTop w:val="0"/>
      <w:marBottom w:val="0"/>
      <w:divBdr>
        <w:top w:val="none" w:sz="0" w:space="0" w:color="auto"/>
        <w:left w:val="none" w:sz="0" w:space="0" w:color="auto"/>
        <w:bottom w:val="none" w:sz="0" w:space="0" w:color="auto"/>
        <w:right w:val="none" w:sz="0" w:space="0" w:color="auto"/>
      </w:divBdr>
    </w:div>
    <w:div w:id="166134718">
      <w:bodyDiv w:val="1"/>
      <w:marLeft w:val="0"/>
      <w:marRight w:val="0"/>
      <w:marTop w:val="0"/>
      <w:marBottom w:val="0"/>
      <w:divBdr>
        <w:top w:val="none" w:sz="0" w:space="0" w:color="auto"/>
        <w:left w:val="none" w:sz="0" w:space="0" w:color="auto"/>
        <w:bottom w:val="none" w:sz="0" w:space="0" w:color="auto"/>
        <w:right w:val="none" w:sz="0" w:space="0" w:color="auto"/>
      </w:divBdr>
    </w:div>
    <w:div w:id="166214380">
      <w:bodyDiv w:val="1"/>
      <w:marLeft w:val="0"/>
      <w:marRight w:val="0"/>
      <w:marTop w:val="0"/>
      <w:marBottom w:val="0"/>
      <w:divBdr>
        <w:top w:val="none" w:sz="0" w:space="0" w:color="auto"/>
        <w:left w:val="none" w:sz="0" w:space="0" w:color="auto"/>
        <w:bottom w:val="none" w:sz="0" w:space="0" w:color="auto"/>
        <w:right w:val="none" w:sz="0" w:space="0" w:color="auto"/>
      </w:divBdr>
    </w:div>
    <w:div w:id="166332457">
      <w:bodyDiv w:val="1"/>
      <w:marLeft w:val="0"/>
      <w:marRight w:val="0"/>
      <w:marTop w:val="0"/>
      <w:marBottom w:val="0"/>
      <w:divBdr>
        <w:top w:val="none" w:sz="0" w:space="0" w:color="auto"/>
        <w:left w:val="none" w:sz="0" w:space="0" w:color="auto"/>
        <w:bottom w:val="none" w:sz="0" w:space="0" w:color="auto"/>
        <w:right w:val="none" w:sz="0" w:space="0" w:color="auto"/>
      </w:divBdr>
    </w:div>
    <w:div w:id="166799029">
      <w:bodyDiv w:val="1"/>
      <w:marLeft w:val="0"/>
      <w:marRight w:val="0"/>
      <w:marTop w:val="0"/>
      <w:marBottom w:val="0"/>
      <w:divBdr>
        <w:top w:val="none" w:sz="0" w:space="0" w:color="auto"/>
        <w:left w:val="none" w:sz="0" w:space="0" w:color="auto"/>
        <w:bottom w:val="none" w:sz="0" w:space="0" w:color="auto"/>
        <w:right w:val="none" w:sz="0" w:space="0" w:color="auto"/>
      </w:divBdr>
    </w:div>
    <w:div w:id="167017560">
      <w:bodyDiv w:val="1"/>
      <w:marLeft w:val="0"/>
      <w:marRight w:val="0"/>
      <w:marTop w:val="0"/>
      <w:marBottom w:val="0"/>
      <w:divBdr>
        <w:top w:val="none" w:sz="0" w:space="0" w:color="auto"/>
        <w:left w:val="none" w:sz="0" w:space="0" w:color="auto"/>
        <w:bottom w:val="none" w:sz="0" w:space="0" w:color="auto"/>
        <w:right w:val="none" w:sz="0" w:space="0" w:color="auto"/>
      </w:divBdr>
    </w:div>
    <w:div w:id="167404837">
      <w:bodyDiv w:val="1"/>
      <w:marLeft w:val="0"/>
      <w:marRight w:val="0"/>
      <w:marTop w:val="0"/>
      <w:marBottom w:val="0"/>
      <w:divBdr>
        <w:top w:val="none" w:sz="0" w:space="0" w:color="auto"/>
        <w:left w:val="none" w:sz="0" w:space="0" w:color="auto"/>
        <w:bottom w:val="none" w:sz="0" w:space="0" w:color="auto"/>
        <w:right w:val="none" w:sz="0" w:space="0" w:color="auto"/>
      </w:divBdr>
    </w:div>
    <w:div w:id="167839513">
      <w:bodyDiv w:val="1"/>
      <w:marLeft w:val="0"/>
      <w:marRight w:val="0"/>
      <w:marTop w:val="0"/>
      <w:marBottom w:val="0"/>
      <w:divBdr>
        <w:top w:val="none" w:sz="0" w:space="0" w:color="auto"/>
        <w:left w:val="none" w:sz="0" w:space="0" w:color="auto"/>
        <w:bottom w:val="none" w:sz="0" w:space="0" w:color="auto"/>
        <w:right w:val="none" w:sz="0" w:space="0" w:color="auto"/>
      </w:divBdr>
    </w:div>
    <w:div w:id="168833818">
      <w:bodyDiv w:val="1"/>
      <w:marLeft w:val="0"/>
      <w:marRight w:val="0"/>
      <w:marTop w:val="0"/>
      <w:marBottom w:val="0"/>
      <w:divBdr>
        <w:top w:val="none" w:sz="0" w:space="0" w:color="auto"/>
        <w:left w:val="none" w:sz="0" w:space="0" w:color="auto"/>
        <w:bottom w:val="none" w:sz="0" w:space="0" w:color="auto"/>
        <w:right w:val="none" w:sz="0" w:space="0" w:color="auto"/>
      </w:divBdr>
    </w:div>
    <w:div w:id="168906448">
      <w:bodyDiv w:val="1"/>
      <w:marLeft w:val="0"/>
      <w:marRight w:val="0"/>
      <w:marTop w:val="0"/>
      <w:marBottom w:val="0"/>
      <w:divBdr>
        <w:top w:val="none" w:sz="0" w:space="0" w:color="auto"/>
        <w:left w:val="none" w:sz="0" w:space="0" w:color="auto"/>
        <w:bottom w:val="none" w:sz="0" w:space="0" w:color="auto"/>
        <w:right w:val="none" w:sz="0" w:space="0" w:color="auto"/>
      </w:divBdr>
    </w:div>
    <w:div w:id="168913651">
      <w:bodyDiv w:val="1"/>
      <w:marLeft w:val="0"/>
      <w:marRight w:val="0"/>
      <w:marTop w:val="0"/>
      <w:marBottom w:val="0"/>
      <w:divBdr>
        <w:top w:val="none" w:sz="0" w:space="0" w:color="auto"/>
        <w:left w:val="none" w:sz="0" w:space="0" w:color="auto"/>
        <w:bottom w:val="none" w:sz="0" w:space="0" w:color="auto"/>
        <w:right w:val="none" w:sz="0" w:space="0" w:color="auto"/>
      </w:divBdr>
    </w:div>
    <w:div w:id="169030632">
      <w:bodyDiv w:val="1"/>
      <w:marLeft w:val="0"/>
      <w:marRight w:val="0"/>
      <w:marTop w:val="0"/>
      <w:marBottom w:val="0"/>
      <w:divBdr>
        <w:top w:val="none" w:sz="0" w:space="0" w:color="auto"/>
        <w:left w:val="none" w:sz="0" w:space="0" w:color="auto"/>
        <w:bottom w:val="none" w:sz="0" w:space="0" w:color="auto"/>
        <w:right w:val="none" w:sz="0" w:space="0" w:color="auto"/>
      </w:divBdr>
    </w:div>
    <w:div w:id="169101821">
      <w:bodyDiv w:val="1"/>
      <w:marLeft w:val="0"/>
      <w:marRight w:val="0"/>
      <w:marTop w:val="0"/>
      <w:marBottom w:val="0"/>
      <w:divBdr>
        <w:top w:val="none" w:sz="0" w:space="0" w:color="auto"/>
        <w:left w:val="none" w:sz="0" w:space="0" w:color="auto"/>
        <w:bottom w:val="none" w:sz="0" w:space="0" w:color="auto"/>
        <w:right w:val="none" w:sz="0" w:space="0" w:color="auto"/>
      </w:divBdr>
    </w:div>
    <w:div w:id="169225462">
      <w:bodyDiv w:val="1"/>
      <w:marLeft w:val="0"/>
      <w:marRight w:val="0"/>
      <w:marTop w:val="0"/>
      <w:marBottom w:val="0"/>
      <w:divBdr>
        <w:top w:val="none" w:sz="0" w:space="0" w:color="auto"/>
        <w:left w:val="none" w:sz="0" w:space="0" w:color="auto"/>
        <w:bottom w:val="none" w:sz="0" w:space="0" w:color="auto"/>
        <w:right w:val="none" w:sz="0" w:space="0" w:color="auto"/>
      </w:divBdr>
    </w:div>
    <w:div w:id="169292892">
      <w:bodyDiv w:val="1"/>
      <w:marLeft w:val="0"/>
      <w:marRight w:val="0"/>
      <w:marTop w:val="0"/>
      <w:marBottom w:val="0"/>
      <w:divBdr>
        <w:top w:val="none" w:sz="0" w:space="0" w:color="auto"/>
        <w:left w:val="none" w:sz="0" w:space="0" w:color="auto"/>
        <w:bottom w:val="none" w:sz="0" w:space="0" w:color="auto"/>
        <w:right w:val="none" w:sz="0" w:space="0" w:color="auto"/>
      </w:divBdr>
    </w:div>
    <w:div w:id="169294978">
      <w:bodyDiv w:val="1"/>
      <w:marLeft w:val="0"/>
      <w:marRight w:val="0"/>
      <w:marTop w:val="0"/>
      <w:marBottom w:val="0"/>
      <w:divBdr>
        <w:top w:val="none" w:sz="0" w:space="0" w:color="auto"/>
        <w:left w:val="none" w:sz="0" w:space="0" w:color="auto"/>
        <w:bottom w:val="none" w:sz="0" w:space="0" w:color="auto"/>
        <w:right w:val="none" w:sz="0" w:space="0" w:color="auto"/>
      </w:divBdr>
    </w:div>
    <w:div w:id="169376637">
      <w:bodyDiv w:val="1"/>
      <w:marLeft w:val="0"/>
      <w:marRight w:val="0"/>
      <w:marTop w:val="0"/>
      <w:marBottom w:val="0"/>
      <w:divBdr>
        <w:top w:val="none" w:sz="0" w:space="0" w:color="auto"/>
        <w:left w:val="none" w:sz="0" w:space="0" w:color="auto"/>
        <w:bottom w:val="none" w:sz="0" w:space="0" w:color="auto"/>
        <w:right w:val="none" w:sz="0" w:space="0" w:color="auto"/>
      </w:divBdr>
    </w:div>
    <w:div w:id="169804415">
      <w:bodyDiv w:val="1"/>
      <w:marLeft w:val="0"/>
      <w:marRight w:val="0"/>
      <w:marTop w:val="0"/>
      <w:marBottom w:val="0"/>
      <w:divBdr>
        <w:top w:val="none" w:sz="0" w:space="0" w:color="auto"/>
        <w:left w:val="none" w:sz="0" w:space="0" w:color="auto"/>
        <w:bottom w:val="none" w:sz="0" w:space="0" w:color="auto"/>
        <w:right w:val="none" w:sz="0" w:space="0" w:color="auto"/>
      </w:divBdr>
    </w:div>
    <w:div w:id="170411351">
      <w:bodyDiv w:val="1"/>
      <w:marLeft w:val="0"/>
      <w:marRight w:val="0"/>
      <w:marTop w:val="0"/>
      <w:marBottom w:val="0"/>
      <w:divBdr>
        <w:top w:val="none" w:sz="0" w:space="0" w:color="auto"/>
        <w:left w:val="none" w:sz="0" w:space="0" w:color="auto"/>
        <w:bottom w:val="none" w:sz="0" w:space="0" w:color="auto"/>
        <w:right w:val="none" w:sz="0" w:space="0" w:color="auto"/>
      </w:divBdr>
    </w:div>
    <w:div w:id="170489607">
      <w:bodyDiv w:val="1"/>
      <w:marLeft w:val="0"/>
      <w:marRight w:val="0"/>
      <w:marTop w:val="0"/>
      <w:marBottom w:val="0"/>
      <w:divBdr>
        <w:top w:val="none" w:sz="0" w:space="0" w:color="auto"/>
        <w:left w:val="none" w:sz="0" w:space="0" w:color="auto"/>
        <w:bottom w:val="none" w:sz="0" w:space="0" w:color="auto"/>
        <w:right w:val="none" w:sz="0" w:space="0" w:color="auto"/>
      </w:divBdr>
    </w:div>
    <w:div w:id="171140872">
      <w:bodyDiv w:val="1"/>
      <w:marLeft w:val="0"/>
      <w:marRight w:val="0"/>
      <w:marTop w:val="0"/>
      <w:marBottom w:val="0"/>
      <w:divBdr>
        <w:top w:val="none" w:sz="0" w:space="0" w:color="auto"/>
        <w:left w:val="none" w:sz="0" w:space="0" w:color="auto"/>
        <w:bottom w:val="none" w:sz="0" w:space="0" w:color="auto"/>
        <w:right w:val="none" w:sz="0" w:space="0" w:color="auto"/>
      </w:divBdr>
    </w:div>
    <w:div w:id="171646617">
      <w:bodyDiv w:val="1"/>
      <w:marLeft w:val="0"/>
      <w:marRight w:val="0"/>
      <w:marTop w:val="0"/>
      <w:marBottom w:val="0"/>
      <w:divBdr>
        <w:top w:val="none" w:sz="0" w:space="0" w:color="auto"/>
        <w:left w:val="none" w:sz="0" w:space="0" w:color="auto"/>
        <w:bottom w:val="none" w:sz="0" w:space="0" w:color="auto"/>
        <w:right w:val="none" w:sz="0" w:space="0" w:color="auto"/>
      </w:divBdr>
    </w:div>
    <w:div w:id="171722868">
      <w:bodyDiv w:val="1"/>
      <w:marLeft w:val="0"/>
      <w:marRight w:val="0"/>
      <w:marTop w:val="0"/>
      <w:marBottom w:val="0"/>
      <w:divBdr>
        <w:top w:val="none" w:sz="0" w:space="0" w:color="auto"/>
        <w:left w:val="none" w:sz="0" w:space="0" w:color="auto"/>
        <w:bottom w:val="none" w:sz="0" w:space="0" w:color="auto"/>
        <w:right w:val="none" w:sz="0" w:space="0" w:color="auto"/>
      </w:divBdr>
    </w:div>
    <w:div w:id="172110767">
      <w:bodyDiv w:val="1"/>
      <w:marLeft w:val="0"/>
      <w:marRight w:val="0"/>
      <w:marTop w:val="0"/>
      <w:marBottom w:val="0"/>
      <w:divBdr>
        <w:top w:val="none" w:sz="0" w:space="0" w:color="auto"/>
        <w:left w:val="none" w:sz="0" w:space="0" w:color="auto"/>
        <w:bottom w:val="none" w:sz="0" w:space="0" w:color="auto"/>
        <w:right w:val="none" w:sz="0" w:space="0" w:color="auto"/>
      </w:divBdr>
    </w:div>
    <w:div w:id="172308661">
      <w:bodyDiv w:val="1"/>
      <w:marLeft w:val="0"/>
      <w:marRight w:val="0"/>
      <w:marTop w:val="0"/>
      <w:marBottom w:val="0"/>
      <w:divBdr>
        <w:top w:val="none" w:sz="0" w:space="0" w:color="auto"/>
        <w:left w:val="none" w:sz="0" w:space="0" w:color="auto"/>
        <w:bottom w:val="none" w:sz="0" w:space="0" w:color="auto"/>
        <w:right w:val="none" w:sz="0" w:space="0" w:color="auto"/>
      </w:divBdr>
    </w:div>
    <w:div w:id="172452861">
      <w:bodyDiv w:val="1"/>
      <w:marLeft w:val="0"/>
      <w:marRight w:val="0"/>
      <w:marTop w:val="0"/>
      <w:marBottom w:val="0"/>
      <w:divBdr>
        <w:top w:val="none" w:sz="0" w:space="0" w:color="auto"/>
        <w:left w:val="none" w:sz="0" w:space="0" w:color="auto"/>
        <w:bottom w:val="none" w:sz="0" w:space="0" w:color="auto"/>
        <w:right w:val="none" w:sz="0" w:space="0" w:color="auto"/>
      </w:divBdr>
    </w:div>
    <w:div w:id="172453608">
      <w:bodyDiv w:val="1"/>
      <w:marLeft w:val="0"/>
      <w:marRight w:val="0"/>
      <w:marTop w:val="0"/>
      <w:marBottom w:val="0"/>
      <w:divBdr>
        <w:top w:val="none" w:sz="0" w:space="0" w:color="auto"/>
        <w:left w:val="none" w:sz="0" w:space="0" w:color="auto"/>
        <w:bottom w:val="none" w:sz="0" w:space="0" w:color="auto"/>
        <w:right w:val="none" w:sz="0" w:space="0" w:color="auto"/>
      </w:divBdr>
    </w:div>
    <w:div w:id="173082489">
      <w:bodyDiv w:val="1"/>
      <w:marLeft w:val="0"/>
      <w:marRight w:val="0"/>
      <w:marTop w:val="0"/>
      <w:marBottom w:val="0"/>
      <w:divBdr>
        <w:top w:val="none" w:sz="0" w:space="0" w:color="auto"/>
        <w:left w:val="none" w:sz="0" w:space="0" w:color="auto"/>
        <w:bottom w:val="none" w:sz="0" w:space="0" w:color="auto"/>
        <w:right w:val="none" w:sz="0" w:space="0" w:color="auto"/>
      </w:divBdr>
    </w:div>
    <w:div w:id="173152588">
      <w:bodyDiv w:val="1"/>
      <w:marLeft w:val="0"/>
      <w:marRight w:val="0"/>
      <w:marTop w:val="0"/>
      <w:marBottom w:val="0"/>
      <w:divBdr>
        <w:top w:val="none" w:sz="0" w:space="0" w:color="auto"/>
        <w:left w:val="none" w:sz="0" w:space="0" w:color="auto"/>
        <w:bottom w:val="none" w:sz="0" w:space="0" w:color="auto"/>
        <w:right w:val="none" w:sz="0" w:space="0" w:color="auto"/>
      </w:divBdr>
    </w:div>
    <w:div w:id="173229294">
      <w:bodyDiv w:val="1"/>
      <w:marLeft w:val="0"/>
      <w:marRight w:val="0"/>
      <w:marTop w:val="0"/>
      <w:marBottom w:val="0"/>
      <w:divBdr>
        <w:top w:val="none" w:sz="0" w:space="0" w:color="auto"/>
        <w:left w:val="none" w:sz="0" w:space="0" w:color="auto"/>
        <w:bottom w:val="none" w:sz="0" w:space="0" w:color="auto"/>
        <w:right w:val="none" w:sz="0" w:space="0" w:color="auto"/>
      </w:divBdr>
    </w:div>
    <w:div w:id="173501212">
      <w:bodyDiv w:val="1"/>
      <w:marLeft w:val="0"/>
      <w:marRight w:val="0"/>
      <w:marTop w:val="0"/>
      <w:marBottom w:val="0"/>
      <w:divBdr>
        <w:top w:val="none" w:sz="0" w:space="0" w:color="auto"/>
        <w:left w:val="none" w:sz="0" w:space="0" w:color="auto"/>
        <w:bottom w:val="none" w:sz="0" w:space="0" w:color="auto"/>
        <w:right w:val="none" w:sz="0" w:space="0" w:color="auto"/>
      </w:divBdr>
    </w:div>
    <w:div w:id="174349936">
      <w:bodyDiv w:val="1"/>
      <w:marLeft w:val="0"/>
      <w:marRight w:val="0"/>
      <w:marTop w:val="0"/>
      <w:marBottom w:val="0"/>
      <w:divBdr>
        <w:top w:val="none" w:sz="0" w:space="0" w:color="auto"/>
        <w:left w:val="none" w:sz="0" w:space="0" w:color="auto"/>
        <w:bottom w:val="none" w:sz="0" w:space="0" w:color="auto"/>
        <w:right w:val="none" w:sz="0" w:space="0" w:color="auto"/>
      </w:divBdr>
    </w:div>
    <w:div w:id="175463015">
      <w:bodyDiv w:val="1"/>
      <w:marLeft w:val="0"/>
      <w:marRight w:val="0"/>
      <w:marTop w:val="0"/>
      <w:marBottom w:val="0"/>
      <w:divBdr>
        <w:top w:val="none" w:sz="0" w:space="0" w:color="auto"/>
        <w:left w:val="none" w:sz="0" w:space="0" w:color="auto"/>
        <w:bottom w:val="none" w:sz="0" w:space="0" w:color="auto"/>
        <w:right w:val="none" w:sz="0" w:space="0" w:color="auto"/>
      </w:divBdr>
    </w:div>
    <w:div w:id="175535300">
      <w:bodyDiv w:val="1"/>
      <w:marLeft w:val="0"/>
      <w:marRight w:val="0"/>
      <w:marTop w:val="0"/>
      <w:marBottom w:val="0"/>
      <w:divBdr>
        <w:top w:val="none" w:sz="0" w:space="0" w:color="auto"/>
        <w:left w:val="none" w:sz="0" w:space="0" w:color="auto"/>
        <w:bottom w:val="none" w:sz="0" w:space="0" w:color="auto"/>
        <w:right w:val="none" w:sz="0" w:space="0" w:color="auto"/>
      </w:divBdr>
    </w:div>
    <w:div w:id="175657701">
      <w:bodyDiv w:val="1"/>
      <w:marLeft w:val="0"/>
      <w:marRight w:val="0"/>
      <w:marTop w:val="0"/>
      <w:marBottom w:val="0"/>
      <w:divBdr>
        <w:top w:val="none" w:sz="0" w:space="0" w:color="auto"/>
        <w:left w:val="none" w:sz="0" w:space="0" w:color="auto"/>
        <w:bottom w:val="none" w:sz="0" w:space="0" w:color="auto"/>
        <w:right w:val="none" w:sz="0" w:space="0" w:color="auto"/>
      </w:divBdr>
    </w:div>
    <w:div w:id="176310359">
      <w:bodyDiv w:val="1"/>
      <w:marLeft w:val="0"/>
      <w:marRight w:val="0"/>
      <w:marTop w:val="0"/>
      <w:marBottom w:val="0"/>
      <w:divBdr>
        <w:top w:val="none" w:sz="0" w:space="0" w:color="auto"/>
        <w:left w:val="none" w:sz="0" w:space="0" w:color="auto"/>
        <w:bottom w:val="none" w:sz="0" w:space="0" w:color="auto"/>
        <w:right w:val="none" w:sz="0" w:space="0" w:color="auto"/>
      </w:divBdr>
    </w:div>
    <w:div w:id="176773542">
      <w:bodyDiv w:val="1"/>
      <w:marLeft w:val="0"/>
      <w:marRight w:val="0"/>
      <w:marTop w:val="0"/>
      <w:marBottom w:val="0"/>
      <w:divBdr>
        <w:top w:val="none" w:sz="0" w:space="0" w:color="auto"/>
        <w:left w:val="none" w:sz="0" w:space="0" w:color="auto"/>
        <w:bottom w:val="none" w:sz="0" w:space="0" w:color="auto"/>
        <w:right w:val="none" w:sz="0" w:space="0" w:color="auto"/>
      </w:divBdr>
    </w:div>
    <w:div w:id="177424478">
      <w:bodyDiv w:val="1"/>
      <w:marLeft w:val="0"/>
      <w:marRight w:val="0"/>
      <w:marTop w:val="0"/>
      <w:marBottom w:val="0"/>
      <w:divBdr>
        <w:top w:val="none" w:sz="0" w:space="0" w:color="auto"/>
        <w:left w:val="none" w:sz="0" w:space="0" w:color="auto"/>
        <w:bottom w:val="none" w:sz="0" w:space="0" w:color="auto"/>
        <w:right w:val="none" w:sz="0" w:space="0" w:color="auto"/>
      </w:divBdr>
    </w:div>
    <w:div w:id="177894059">
      <w:bodyDiv w:val="1"/>
      <w:marLeft w:val="0"/>
      <w:marRight w:val="0"/>
      <w:marTop w:val="0"/>
      <w:marBottom w:val="0"/>
      <w:divBdr>
        <w:top w:val="none" w:sz="0" w:space="0" w:color="auto"/>
        <w:left w:val="none" w:sz="0" w:space="0" w:color="auto"/>
        <w:bottom w:val="none" w:sz="0" w:space="0" w:color="auto"/>
        <w:right w:val="none" w:sz="0" w:space="0" w:color="auto"/>
      </w:divBdr>
    </w:div>
    <w:div w:id="178546757">
      <w:bodyDiv w:val="1"/>
      <w:marLeft w:val="0"/>
      <w:marRight w:val="0"/>
      <w:marTop w:val="0"/>
      <w:marBottom w:val="0"/>
      <w:divBdr>
        <w:top w:val="none" w:sz="0" w:space="0" w:color="auto"/>
        <w:left w:val="none" w:sz="0" w:space="0" w:color="auto"/>
        <w:bottom w:val="none" w:sz="0" w:space="0" w:color="auto"/>
        <w:right w:val="none" w:sz="0" w:space="0" w:color="auto"/>
      </w:divBdr>
    </w:div>
    <w:div w:id="178588437">
      <w:bodyDiv w:val="1"/>
      <w:marLeft w:val="0"/>
      <w:marRight w:val="0"/>
      <w:marTop w:val="0"/>
      <w:marBottom w:val="0"/>
      <w:divBdr>
        <w:top w:val="none" w:sz="0" w:space="0" w:color="auto"/>
        <w:left w:val="none" w:sz="0" w:space="0" w:color="auto"/>
        <w:bottom w:val="none" w:sz="0" w:space="0" w:color="auto"/>
        <w:right w:val="none" w:sz="0" w:space="0" w:color="auto"/>
      </w:divBdr>
    </w:div>
    <w:div w:id="178933328">
      <w:bodyDiv w:val="1"/>
      <w:marLeft w:val="0"/>
      <w:marRight w:val="0"/>
      <w:marTop w:val="0"/>
      <w:marBottom w:val="0"/>
      <w:divBdr>
        <w:top w:val="none" w:sz="0" w:space="0" w:color="auto"/>
        <w:left w:val="none" w:sz="0" w:space="0" w:color="auto"/>
        <w:bottom w:val="none" w:sz="0" w:space="0" w:color="auto"/>
        <w:right w:val="none" w:sz="0" w:space="0" w:color="auto"/>
      </w:divBdr>
    </w:div>
    <w:div w:id="179203263">
      <w:bodyDiv w:val="1"/>
      <w:marLeft w:val="0"/>
      <w:marRight w:val="0"/>
      <w:marTop w:val="0"/>
      <w:marBottom w:val="0"/>
      <w:divBdr>
        <w:top w:val="none" w:sz="0" w:space="0" w:color="auto"/>
        <w:left w:val="none" w:sz="0" w:space="0" w:color="auto"/>
        <w:bottom w:val="none" w:sz="0" w:space="0" w:color="auto"/>
        <w:right w:val="none" w:sz="0" w:space="0" w:color="auto"/>
      </w:divBdr>
    </w:div>
    <w:div w:id="179852076">
      <w:bodyDiv w:val="1"/>
      <w:marLeft w:val="0"/>
      <w:marRight w:val="0"/>
      <w:marTop w:val="0"/>
      <w:marBottom w:val="0"/>
      <w:divBdr>
        <w:top w:val="none" w:sz="0" w:space="0" w:color="auto"/>
        <w:left w:val="none" w:sz="0" w:space="0" w:color="auto"/>
        <w:bottom w:val="none" w:sz="0" w:space="0" w:color="auto"/>
        <w:right w:val="none" w:sz="0" w:space="0" w:color="auto"/>
      </w:divBdr>
    </w:div>
    <w:div w:id="180361571">
      <w:bodyDiv w:val="1"/>
      <w:marLeft w:val="0"/>
      <w:marRight w:val="0"/>
      <w:marTop w:val="0"/>
      <w:marBottom w:val="0"/>
      <w:divBdr>
        <w:top w:val="none" w:sz="0" w:space="0" w:color="auto"/>
        <w:left w:val="none" w:sz="0" w:space="0" w:color="auto"/>
        <w:bottom w:val="none" w:sz="0" w:space="0" w:color="auto"/>
        <w:right w:val="none" w:sz="0" w:space="0" w:color="auto"/>
      </w:divBdr>
    </w:div>
    <w:div w:id="180433274">
      <w:bodyDiv w:val="1"/>
      <w:marLeft w:val="0"/>
      <w:marRight w:val="0"/>
      <w:marTop w:val="0"/>
      <w:marBottom w:val="0"/>
      <w:divBdr>
        <w:top w:val="none" w:sz="0" w:space="0" w:color="auto"/>
        <w:left w:val="none" w:sz="0" w:space="0" w:color="auto"/>
        <w:bottom w:val="none" w:sz="0" w:space="0" w:color="auto"/>
        <w:right w:val="none" w:sz="0" w:space="0" w:color="auto"/>
      </w:divBdr>
    </w:div>
    <w:div w:id="180820727">
      <w:bodyDiv w:val="1"/>
      <w:marLeft w:val="0"/>
      <w:marRight w:val="0"/>
      <w:marTop w:val="0"/>
      <w:marBottom w:val="0"/>
      <w:divBdr>
        <w:top w:val="none" w:sz="0" w:space="0" w:color="auto"/>
        <w:left w:val="none" w:sz="0" w:space="0" w:color="auto"/>
        <w:bottom w:val="none" w:sz="0" w:space="0" w:color="auto"/>
        <w:right w:val="none" w:sz="0" w:space="0" w:color="auto"/>
      </w:divBdr>
    </w:div>
    <w:div w:id="181209852">
      <w:bodyDiv w:val="1"/>
      <w:marLeft w:val="0"/>
      <w:marRight w:val="0"/>
      <w:marTop w:val="0"/>
      <w:marBottom w:val="0"/>
      <w:divBdr>
        <w:top w:val="none" w:sz="0" w:space="0" w:color="auto"/>
        <w:left w:val="none" w:sz="0" w:space="0" w:color="auto"/>
        <w:bottom w:val="none" w:sz="0" w:space="0" w:color="auto"/>
        <w:right w:val="none" w:sz="0" w:space="0" w:color="auto"/>
      </w:divBdr>
    </w:div>
    <w:div w:id="181481873">
      <w:bodyDiv w:val="1"/>
      <w:marLeft w:val="0"/>
      <w:marRight w:val="0"/>
      <w:marTop w:val="0"/>
      <w:marBottom w:val="0"/>
      <w:divBdr>
        <w:top w:val="none" w:sz="0" w:space="0" w:color="auto"/>
        <w:left w:val="none" w:sz="0" w:space="0" w:color="auto"/>
        <w:bottom w:val="none" w:sz="0" w:space="0" w:color="auto"/>
        <w:right w:val="none" w:sz="0" w:space="0" w:color="auto"/>
      </w:divBdr>
    </w:div>
    <w:div w:id="181868154">
      <w:bodyDiv w:val="1"/>
      <w:marLeft w:val="0"/>
      <w:marRight w:val="0"/>
      <w:marTop w:val="0"/>
      <w:marBottom w:val="0"/>
      <w:divBdr>
        <w:top w:val="none" w:sz="0" w:space="0" w:color="auto"/>
        <w:left w:val="none" w:sz="0" w:space="0" w:color="auto"/>
        <w:bottom w:val="none" w:sz="0" w:space="0" w:color="auto"/>
        <w:right w:val="none" w:sz="0" w:space="0" w:color="auto"/>
      </w:divBdr>
    </w:div>
    <w:div w:id="182517832">
      <w:bodyDiv w:val="1"/>
      <w:marLeft w:val="0"/>
      <w:marRight w:val="0"/>
      <w:marTop w:val="0"/>
      <w:marBottom w:val="0"/>
      <w:divBdr>
        <w:top w:val="none" w:sz="0" w:space="0" w:color="auto"/>
        <w:left w:val="none" w:sz="0" w:space="0" w:color="auto"/>
        <w:bottom w:val="none" w:sz="0" w:space="0" w:color="auto"/>
        <w:right w:val="none" w:sz="0" w:space="0" w:color="auto"/>
      </w:divBdr>
    </w:div>
    <w:div w:id="182786836">
      <w:bodyDiv w:val="1"/>
      <w:marLeft w:val="0"/>
      <w:marRight w:val="0"/>
      <w:marTop w:val="0"/>
      <w:marBottom w:val="0"/>
      <w:divBdr>
        <w:top w:val="none" w:sz="0" w:space="0" w:color="auto"/>
        <w:left w:val="none" w:sz="0" w:space="0" w:color="auto"/>
        <w:bottom w:val="none" w:sz="0" w:space="0" w:color="auto"/>
        <w:right w:val="none" w:sz="0" w:space="0" w:color="auto"/>
      </w:divBdr>
    </w:div>
    <w:div w:id="182791078">
      <w:bodyDiv w:val="1"/>
      <w:marLeft w:val="0"/>
      <w:marRight w:val="0"/>
      <w:marTop w:val="0"/>
      <w:marBottom w:val="0"/>
      <w:divBdr>
        <w:top w:val="none" w:sz="0" w:space="0" w:color="auto"/>
        <w:left w:val="none" w:sz="0" w:space="0" w:color="auto"/>
        <w:bottom w:val="none" w:sz="0" w:space="0" w:color="auto"/>
        <w:right w:val="none" w:sz="0" w:space="0" w:color="auto"/>
      </w:divBdr>
    </w:div>
    <w:div w:id="182863255">
      <w:bodyDiv w:val="1"/>
      <w:marLeft w:val="0"/>
      <w:marRight w:val="0"/>
      <w:marTop w:val="0"/>
      <w:marBottom w:val="0"/>
      <w:divBdr>
        <w:top w:val="none" w:sz="0" w:space="0" w:color="auto"/>
        <w:left w:val="none" w:sz="0" w:space="0" w:color="auto"/>
        <w:bottom w:val="none" w:sz="0" w:space="0" w:color="auto"/>
        <w:right w:val="none" w:sz="0" w:space="0" w:color="auto"/>
      </w:divBdr>
    </w:div>
    <w:div w:id="182938181">
      <w:bodyDiv w:val="1"/>
      <w:marLeft w:val="0"/>
      <w:marRight w:val="0"/>
      <w:marTop w:val="0"/>
      <w:marBottom w:val="0"/>
      <w:divBdr>
        <w:top w:val="none" w:sz="0" w:space="0" w:color="auto"/>
        <w:left w:val="none" w:sz="0" w:space="0" w:color="auto"/>
        <w:bottom w:val="none" w:sz="0" w:space="0" w:color="auto"/>
        <w:right w:val="none" w:sz="0" w:space="0" w:color="auto"/>
      </w:divBdr>
    </w:div>
    <w:div w:id="182986491">
      <w:bodyDiv w:val="1"/>
      <w:marLeft w:val="0"/>
      <w:marRight w:val="0"/>
      <w:marTop w:val="0"/>
      <w:marBottom w:val="0"/>
      <w:divBdr>
        <w:top w:val="none" w:sz="0" w:space="0" w:color="auto"/>
        <w:left w:val="none" w:sz="0" w:space="0" w:color="auto"/>
        <w:bottom w:val="none" w:sz="0" w:space="0" w:color="auto"/>
        <w:right w:val="none" w:sz="0" w:space="0" w:color="auto"/>
      </w:divBdr>
    </w:div>
    <w:div w:id="183523067">
      <w:bodyDiv w:val="1"/>
      <w:marLeft w:val="0"/>
      <w:marRight w:val="0"/>
      <w:marTop w:val="0"/>
      <w:marBottom w:val="0"/>
      <w:divBdr>
        <w:top w:val="none" w:sz="0" w:space="0" w:color="auto"/>
        <w:left w:val="none" w:sz="0" w:space="0" w:color="auto"/>
        <w:bottom w:val="none" w:sz="0" w:space="0" w:color="auto"/>
        <w:right w:val="none" w:sz="0" w:space="0" w:color="auto"/>
      </w:divBdr>
    </w:div>
    <w:div w:id="183910408">
      <w:bodyDiv w:val="1"/>
      <w:marLeft w:val="0"/>
      <w:marRight w:val="0"/>
      <w:marTop w:val="0"/>
      <w:marBottom w:val="0"/>
      <w:divBdr>
        <w:top w:val="none" w:sz="0" w:space="0" w:color="auto"/>
        <w:left w:val="none" w:sz="0" w:space="0" w:color="auto"/>
        <w:bottom w:val="none" w:sz="0" w:space="0" w:color="auto"/>
        <w:right w:val="none" w:sz="0" w:space="0" w:color="auto"/>
      </w:divBdr>
    </w:div>
    <w:div w:id="185025604">
      <w:bodyDiv w:val="1"/>
      <w:marLeft w:val="0"/>
      <w:marRight w:val="0"/>
      <w:marTop w:val="0"/>
      <w:marBottom w:val="0"/>
      <w:divBdr>
        <w:top w:val="none" w:sz="0" w:space="0" w:color="auto"/>
        <w:left w:val="none" w:sz="0" w:space="0" w:color="auto"/>
        <w:bottom w:val="none" w:sz="0" w:space="0" w:color="auto"/>
        <w:right w:val="none" w:sz="0" w:space="0" w:color="auto"/>
      </w:divBdr>
    </w:div>
    <w:div w:id="185101004">
      <w:bodyDiv w:val="1"/>
      <w:marLeft w:val="0"/>
      <w:marRight w:val="0"/>
      <w:marTop w:val="0"/>
      <w:marBottom w:val="0"/>
      <w:divBdr>
        <w:top w:val="none" w:sz="0" w:space="0" w:color="auto"/>
        <w:left w:val="none" w:sz="0" w:space="0" w:color="auto"/>
        <w:bottom w:val="none" w:sz="0" w:space="0" w:color="auto"/>
        <w:right w:val="none" w:sz="0" w:space="0" w:color="auto"/>
      </w:divBdr>
    </w:div>
    <w:div w:id="185365256">
      <w:bodyDiv w:val="1"/>
      <w:marLeft w:val="0"/>
      <w:marRight w:val="0"/>
      <w:marTop w:val="0"/>
      <w:marBottom w:val="0"/>
      <w:divBdr>
        <w:top w:val="none" w:sz="0" w:space="0" w:color="auto"/>
        <w:left w:val="none" w:sz="0" w:space="0" w:color="auto"/>
        <w:bottom w:val="none" w:sz="0" w:space="0" w:color="auto"/>
        <w:right w:val="none" w:sz="0" w:space="0" w:color="auto"/>
      </w:divBdr>
    </w:div>
    <w:div w:id="185560945">
      <w:bodyDiv w:val="1"/>
      <w:marLeft w:val="0"/>
      <w:marRight w:val="0"/>
      <w:marTop w:val="0"/>
      <w:marBottom w:val="0"/>
      <w:divBdr>
        <w:top w:val="none" w:sz="0" w:space="0" w:color="auto"/>
        <w:left w:val="none" w:sz="0" w:space="0" w:color="auto"/>
        <w:bottom w:val="none" w:sz="0" w:space="0" w:color="auto"/>
        <w:right w:val="none" w:sz="0" w:space="0" w:color="auto"/>
      </w:divBdr>
    </w:div>
    <w:div w:id="185681271">
      <w:bodyDiv w:val="1"/>
      <w:marLeft w:val="0"/>
      <w:marRight w:val="0"/>
      <w:marTop w:val="0"/>
      <w:marBottom w:val="0"/>
      <w:divBdr>
        <w:top w:val="none" w:sz="0" w:space="0" w:color="auto"/>
        <w:left w:val="none" w:sz="0" w:space="0" w:color="auto"/>
        <w:bottom w:val="none" w:sz="0" w:space="0" w:color="auto"/>
        <w:right w:val="none" w:sz="0" w:space="0" w:color="auto"/>
      </w:divBdr>
    </w:div>
    <w:div w:id="185754400">
      <w:bodyDiv w:val="1"/>
      <w:marLeft w:val="0"/>
      <w:marRight w:val="0"/>
      <w:marTop w:val="0"/>
      <w:marBottom w:val="0"/>
      <w:divBdr>
        <w:top w:val="none" w:sz="0" w:space="0" w:color="auto"/>
        <w:left w:val="none" w:sz="0" w:space="0" w:color="auto"/>
        <w:bottom w:val="none" w:sz="0" w:space="0" w:color="auto"/>
        <w:right w:val="none" w:sz="0" w:space="0" w:color="auto"/>
      </w:divBdr>
    </w:div>
    <w:div w:id="187724418">
      <w:bodyDiv w:val="1"/>
      <w:marLeft w:val="0"/>
      <w:marRight w:val="0"/>
      <w:marTop w:val="0"/>
      <w:marBottom w:val="0"/>
      <w:divBdr>
        <w:top w:val="none" w:sz="0" w:space="0" w:color="auto"/>
        <w:left w:val="none" w:sz="0" w:space="0" w:color="auto"/>
        <w:bottom w:val="none" w:sz="0" w:space="0" w:color="auto"/>
        <w:right w:val="none" w:sz="0" w:space="0" w:color="auto"/>
      </w:divBdr>
    </w:div>
    <w:div w:id="188186522">
      <w:bodyDiv w:val="1"/>
      <w:marLeft w:val="0"/>
      <w:marRight w:val="0"/>
      <w:marTop w:val="0"/>
      <w:marBottom w:val="0"/>
      <w:divBdr>
        <w:top w:val="none" w:sz="0" w:space="0" w:color="auto"/>
        <w:left w:val="none" w:sz="0" w:space="0" w:color="auto"/>
        <w:bottom w:val="none" w:sz="0" w:space="0" w:color="auto"/>
        <w:right w:val="none" w:sz="0" w:space="0" w:color="auto"/>
      </w:divBdr>
    </w:div>
    <w:div w:id="188764681">
      <w:bodyDiv w:val="1"/>
      <w:marLeft w:val="0"/>
      <w:marRight w:val="0"/>
      <w:marTop w:val="0"/>
      <w:marBottom w:val="0"/>
      <w:divBdr>
        <w:top w:val="none" w:sz="0" w:space="0" w:color="auto"/>
        <w:left w:val="none" w:sz="0" w:space="0" w:color="auto"/>
        <w:bottom w:val="none" w:sz="0" w:space="0" w:color="auto"/>
        <w:right w:val="none" w:sz="0" w:space="0" w:color="auto"/>
      </w:divBdr>
    </w:div>
    <w:div w:id="189228740">
      <w:bodyDiv w:val="1"/>
      <w:marLeft w:val="0"/>
      <w:marRight w:val="0"/>
      <w:marTop w:val="0"/>
      <w:marBottom w:val="0"/>
      <w:divBdr>
        <w:top w:val="none" w:sz="0" w:space="0" w:color="auto"/>
        <w:left w:val="none" w:sz="0" w:space="0" w:color="auto"/>
        <w:bottom w:val="none" w:sz="0" w:space="0" w:color="auto"/>
        <w:right w:val="none" w:sz="0" w:space="0" w:color="auto"/>
      </w:divBdr>
    </w:div>
    <w:div w:id="189298152">
      <w:bodyDiv w:val="1"/>
      <w:marLeft w:val="0"/>
      <w:marRight w:val="0"/>
      <w:marTop w:val="0"/>
      <w:marBottom w:val="0"/>
      <w:divBdr>
        <w:top w:val="none" w:sz="0" w:space="0" w:color="auto"/>
        <w:left w:val="none" w:sz="0" w:space="0" w:color="auto"/>
        <w:bottom w:val="none" w:sz="0" w:space="0" w:color="auto"/>
        <w:right w:val="none" w:sz="0" w:space="0" w:color="auto"/>
      </w:divBdr>
    </w:div>
    <w:div w:id="190072036">
      <w:bodyDiv w:val="1"/>
      <w:marLeft w:val="0"/>
      <w:marRight w:val="0"/>
      <w:marTop w:val="0"/>
      <w:marBottom w:val="0"/>
      <w:divBdr>
        <w:top w:val="none" w:sz="0" w:space="0" w:color="auto"/>
        <w:left w:val="none" w:sz="0" w:space="0" w:color="auto"/>
        <w:bottom w:val="none" w:sz="0" w:space="0" w:color="auto"/>
        <w:right w:val="none" w:sz="0" w:space="0" w:color="auto"/>
      </w:divBdr>
    </w:div>
    <w:div w:id="190922429">
      <w:bodyDiv w:val="1"/>
      <w:marLeft w:val="0"/>
      <w:marRight w:val="0"/>
      <w:marTop w:val="0"/>
      <w:marBottom w:val="0"/>
      <w:divBdr>
        <w:top w:val="none" w:sz="0" w:space="0" w:color="auto"/>
        <w:left w:val="none" w:sz="0" w:space="0" w:color="auto"/>
        <w:bottom w:val="none" w:sz="0" w:space="0" w:color="auto"/>
        <w:right w:val="none" w:sz="0" w:space="0" w:color="auto"/>
      </w:divBdr>
    </w:div>
    <w:div w:id="191310807">
      <w:bodyDiv w:val="1"/>
      <w:marLeft w:val="0"/>
      <w:marRight w:val="0"/>
      <w:marTop w:val="0"/>
      <w:marBottom w:val="0"/>
      <w:divBdr>
        <w:top w:val="none" w:sz="0" w:space="0" w:color="auto"/>
        <w:left w:val="none" w:sz="0" w:space="0" w:color="auto"/>
        <w:bottom w:val="none" w:sz="0" w:space="0" w:color="auto"/>
        <w:right w:val="none" w:sz="0" w:space="0" w:color="auto"/>
      </w:divBdr>
    </w:div>
    <w:div w:id="191455332">
      <w:bodyDiv w:val="1"/>
      <w:marLeft w:val="0"/>
      <w:marRight w:val="0"/>
      <w:marTop w:val="0"/>
      <w:marBottom w:val="0"/>
      <w:divBdr>
        <w:top w:val="none" w:sz="0" w:space="0" w:color="auto"/>
        <w:left w:val="none" w:sz="0" w:space="0" w:color="auto"/>
        <w:bottom w:val="none" w:sz="0" w:space="0" w:color="auto"/>
        <w:right w:val="none" w:sz="0" w:space="0" w:color="auto"/>
      </w:divBdr>
    </w:div>
    <w:div w:id="191572297">
      <w:bodyDiv w:val="1"/>
      <w:marLeft w:val="0"/>
      <w:marRight w:val="0"/>
      <w:marTop w:val="0"/>
      <w:marBottom w:val="0"/>
      <w:divBdr>
        <w:top w:val="none" w:sz="0" w:space="0" w:color="auto"/>
        <w:left w:val="none" w:sz="0" w:space="0" w:color="auto"/>
        <w:bottom w:val="none" w:sz="0" w:space="0" w:color="auto"/>
        <w:right w:val="none" w:sz="0" w:space="0" w:color="auto"/>
      </w:divBdr>
    </w:div>
    <w:div w:id="191653719">
      <w:bodyDiv w:val="1"/>
      <w:marLeft w:val="0"/>
      <w:marRight w:val="0"/>
      <w:marTop w:val="0"/>
      <w:marBottom w:val="0"/>
      <w:divBdr>
        <w:top w:val="none" w:sz="0" w:space="0" w:color="auto"/>
        <w:left w:val="none" w:sz="0" w:space="0" w:color="auto"/>
        <w:bottom w:val="none" w:sz="0" w:space="0" w:color="auto"/>
        <w:right w:val="none" w:sz="0" w:space="0" w:color="auto"/>
      </w:divBdr>
    </w:div>
    <w:div w:id="191842207">
      <w:bodyDiv w:val="1"/>
      <w:marLeft w:val="0"/>
      <w:marRight w:val="0"/>
      <w:marTop w:val="0"/>
      <w:marBottom w:val="0"/>
      <w:divBdr>
        <w:top w:val="none" w:sz="0" w:space="0" w:color="auto"/>
        <w:left w:val="none" w:sz="0" w:space="0" w:color="auto"/>
        <w:bottom w:val="none" w:sz="0" w:space="0" w:color="auto"/>
        <w:right w:val="none" w:sz="0" w:space="0" w:color="auto"/>
      </w:divBdr>
    </w:div>
    <w:div w:id="192302396">
      <w:bodyDiv w:val="1"/>
      <w:marLeft w:val="0"/>
      <w:marRight w:val="0"/>
      <w:marTop w:val="0"/>
      <w:marBottom w:val="0"/>
      <w:divBdr>
        <w:top w:val="none" w:sz="0" w:space="0" w:color="auto"/>
        <w:left w:val="none" w:sz="0" w:space="0" w:color="auto"/>
        <w:bottom w:val="none" w:sz="0" w:space="0" w:color="auto"/>
        <w:right w:val="none" w:sz="0" w:space="0" w:color="auto"/>
      </w:divBdr>
    </w:div>
    <w:div w:id="192500150">
      <w:bodyDiv w:val="1"/>
      <w:marLeft w:val="0"/>
      <w:marRight w:val="0"/>
      <w:marTop w:val="0"/>
      <w:marBottom w:val="0"/>
      <w:divBdr>
        <w:top w:val="none" w:sz="0" w:space="0" w:color="auto"/>
        <w:left w:val="none" w:sz="0" w:space="0" w:color="auto"/>
        <w:bottom w:val="none" w:sz="0" w:space="0" w:color="auto"/>
        <w:right w:val="none" w:sz="0" w:space="0" w:color="auto"/>
      </w:divBdr>
    </w:div>
    <w:div w:id="193075978">
      <w:bodyDiv w:val="1"/>
      <w:marLeft w:val="0"/>
      <w:marRight w:val="0"/>
      <w:marTop w:val="0"/>
      <w:marBottom w:val="0"/>
      <w:divBdr>
        <w:top w:val="none" w:sz="0" w:space="0" w:color="auto"/>
        <w:left w:val="none" w:sz="0" w:space="0" w:color="auto"/>
        <w:bottom w:val="none" w:sz="0" w:space="0" w:color="auto"/>
        <w:right w:val="none" w:sz="0" w:space="0" w:color="auto"/>
      </w:divBdr>
    </w:div>
    <w:div w:id="193079482">
      <w:bodyDiv w:val="1"/>
      <w:marLeft w:val="0"/>
      <w:marRight w:val="0"/>
      <w:marTop w:val="0"/>
      <w:marBottom w:val="0"/>
      <w:divBdr>
        <w:top w:val="none" w:sz="0" w:space="0" w:color="auto"/>
        <w:left w:val="none" w:sz="0" w:space="0" w:color="auto"/>
        <w:bottom w:val="none" w:sz="0" w:space="0" w:color="auto"/>
        <w:right w:val="none" w:sz="0" w:space="0" w:color="auto"/>
      </w:divBdr>
    </w:div>
    <w:div w:id="193082385">
      <w:bodyDiv w:val="1"/>
      <w:marLeft w:val="0"/>
      <w:marRight w:val="0"/>
      <w:marTop w:val="0"/>
      <w:marBottom w:val="0"/>
      <w:divBdr>
        <w:top w:val="none" w:sz="0" w:space="0" w:color="auto"/>
        <w:left w:val="none" w:sz="0" w:space="0" w:color="auto"/>
        <w:bottom w:val="none" w:sz="0" w:space="0" w:color="auto"/>
        <w:right w:val="none" w:sz="0" w:space="0" w:color="auto"/>
      </w:divBdr>
    </w:div>
    <w:div w:id="193422476">
      <w:bodyDiv w:val="1"/>
      <w:marLeft w:val="0"/>
      <w:marRight w:val="0"/>
      <w:marTop w:val="0"/>
      <w:marBottom w:val="0"/>
      <w:divBdr>
        <w:top w:val="none" w:sz="0" w:space="0" w:color="auto"/>
        <w:left w:val="none" w:sz="0" w:space="0" w:color="auto"/>
        <w:bottom w:val="none" w:sz="0" w:space="0" w:color="auto"/>
        <w:right w:val="none" w:sz="0" w:space="0" w:color="auto"/>
      </w:divBdr>
    </w:div>
    <w:div w:id="194075103">
      <w:bodyDiv w:val="1"/>
      <w:marLeft w:val="0"/>
      <w:marRight w:val="0"/>
      <w:marTop w:val="0"/>
      <w:marBottom w:val="0"/>
      <w:divBdr>
        <w:top w:val="none" w:sz="0" w:space="0" w:color="auto"/>
        <w:left w:val="none" w:sz="0" w:space="0" w:color="auto"/>
        <w:bottom w:val="none" w:sz="0" w:space="0" w:color="auto"/>
        <w:right w:val="none" w:sz="0" w:space="0" w:color="auto"/>
      </w:divBdr>
    </w:div>
    <w:div w:id="194390215">
      <w:bodyDiv w:val="1"/>
      <w:marLeft w:val="0"/>
      <w:marRight w:val="0"/>
      <w:marTop w:val="0"/>
      <w:marBottom w:val="0"/>
      <w:divBdr>
        <w:top w:val="none" w:sz="0" w:space="0" w:color="auto"/>
        <w:left w:val="none" w:sz="0" w:space="0" w:color="auto"/>
        <w:bottom w:val="none" w:sz="0" w:space="0" w:color="auto"/>
        <w:right w:val="none" w:sz="0" w:space="0" w:color="auto"/>
      </w:divBdr>
    </w:div>
    <w:div w:id="194657901">
      <w:bodyDiv w:val="1"/>
      <w:marLeft w:val="0"/>
      <w:marRight w:val="0"/>
      <w:marTop w:val="0"/>
      <w:marBottom w:val="0"/>
      <w:divBdr>
        <w:top w:val="none" w:sz="0" w:space="0" w:color="auto"/>
        <w:left w:val="none" w:sz="0" w:space="0" w:color="auto"/>
        <w:bottom w:val="none" w:sz="0" w:space="0" w:color="auto"/>
        <w:right w:val="none" w:sz="0" w:space="0" w:color="auto"/>
      </w:divBdr>
    </w:div>
    <w:div w:id="194779493">
      <w:bodyDiv w:val="1"/>
      <w:marLeft w:val="0"/>
      <w:marRight w:val="0"/>
      <w:marTop w:val="0"/>
      <w:marBottom w:val="0"/>
      <w:divBdr>
        <w:top w:val="none" w:sz="0" w:space="0" w:color="auto"/>
        <w:left w:val="none" w:sz="0" w:space="0" w:color="auto"/>
        <w:bottom w:val="none" w:sz="0" w:space="0" w:color="auto"/>
        <w:right w:val="none" w:sz="0" w:space="0" w:color="auto"/>
      </w:divBdr>
    </w:div>
    <w:div w:id="194781493">
      <w:bodyDiv w:val="1"/>
      <w:marLeft w:val="0"/>
      <w:marRight w:val="0"/>
      <w:marTop w:val="0"/>
      <w:marBottom w:val="0"/>
      <w:divBdr>
        <w:top w:val="none" w:sz="0" w:space="0" w:color="auto"/>
        <w:left w:val="none" w:sz="0" w:space="0" w:color="auto"/>
        <w:bottom w:val="none" w:sz="0" w:space="0" w:color="auto"/>
        <w:right w:val="none" w:sz="0" w:space="0" w:color="auto"/>
      </w:divBdr>
    </w:div>
    <w:div w:id="195167701">
      <w:bodyDiv w:val="1"/>
      <w:marLeft w:val="0"/>
      <w:marRight w:val="0"/>
      <w:marTop w:val="0"/>
      <w:marBottom w:val="0"/>
      <w:divBdr>
        <w:top w:val="none" w:sz="0" w:space="0" w:color="auto"/>
        <w:left w:val="none" w:sz="0" w:space="0" w:color="auto"/>
        <w:bottom w:val="none" w:sz="0" w:space="0" w:color="auto"/>
        <w:right w:val="none" w:sz="0" w:space="0" w:color="auto"/>
      </w:divBdr>
    </w:div>
    <w:div w:id="195431747">
      <w:bodyDiv w:val="1"/>
      <w:marLeft w:val="0"/>
      <w:marRight w:val="0"/>
      <w:marTop w:val="0"/>
      <w:marBottom w:val="0"/>
      <w:divBdr>
        <w:top w:val="none" w:sz="0" w:space="0" w:color="auto"/>
        <w:left w:val="none" w:sz="0" w:space="0" w:color="auto"/>
        <w:bottom w:val="none" w:sz="0" w:space="0" w:color="auto"/>
        <w:right w:val="none" w:sz="0" w:space="0" w:color="auto"/>
      </w:divBdr>
    </w:div>
    <w:div w:id="195581499">
      <w:bodyDiv w:val="1"/>
      <w:marLeft w:val="0"/>
      <w:marRight w:val="0"/>
      <w:marTop w:val="0"/>
      <w:marBottom w:val="0"/>
      <w:divBdr>
        <w:top w:val="none" w:sz="0" w:space="0" w:color="auto"/>
        <w:left w:val="none" w:sz="0" w:space="0" w:color="auto"/>
        <w:bottom w:val="none" w:sz="0" w:space="0" w:color="auto"/>
        <w:right w:val="none" w:sz="0" w:space="0" w:color="auto"/>
      </w:divBdr>
    </w:div>
    <w:div w:id="195655665">
      <w:bodyDiv w:val="1"/>
      <w:marLeft w:val="0"/>
      <w:marRight w:val="0"/>
      <w:marTop w:val="0"/>
      <w:marBottom w:val="0"/>
      <w:divBdr>
        <w:top w:val="none" w:sz="0" w:space="0" w:color="auto"/>
        <w:left w:val="none" w:sz="0" w:space="0" w:color="auto"/>
        <w:bottom w:val="none" w:sz="0" w:space="0" w:color="auto"/>
        <w:right w:val="none" w:sz="0" w:space="0" w:color="auto"/>
      </w:divBdr>
    </w:div>
    <w:div w:id="195822610">
      <w:bodyDiv w:val="1"/>
      <w:marLeft w:val="0"/>
      <w:marRight w:val="0"/>
      <w:marTop w:val="0"/>
      <w:marBottom w:val="0"/>
      <w:divBdr>
        <w:top w:val="none" w:sz="0" w:space="0" w:color="auto"/>
        <w:left w:val="none" w:sz="0" w:space="0" w:color="auto"/>
        <w:bottom w:val="none" w:sz="0" w:space="0" w:color="auto"/>
        <w:right w:val="none" w:sz="0" w:space="0" w:color="auto"/>
      </w:divBdr>
    </w:div>
    <w:div w:id="196505975">
      <w:bodyDiv w:val="1"/>
      <w:marLeft w:val="0"/>
      <w:marRight w:val="0"/>
      <w:marTop w:val="0"/>
      <w:marBottom w:val="0"/>
      <w:divBdr>
        <w:top w:val="none" w:sz="0" w:space="0" w:color="auto"/>
        <w:left w:val="none" w:sz="0" w:space="0" w:color="auto"/>
        <w:bottom w:val="none" w:sz="0" w:space="0" w:color="auto"/>
        <w:right w:val="none" w:sz="0" w:space="0" w:color="auto"/>
      </w:divBdr>
    </w:div>
    <w:div w:id="196742932">
      <w:bodyDiv w:val="1"/>
      <w:marLeft w:val="0"/>
      <w:marRight w:val="0"/>
      <w:marTop w:val="0"/>
      <w:marBottom w:val="0"/>
      <w:divBdr>
        <w:top w:val="none" w:sz="0" w:space="0" w:color="auto"/>
        <w:left w:val="none" w:sz="0" w:space="0" w:color="auto"/>
        <w:bottom w:val="none" w:sz="0" w:space="0" w:color="auto"/>
        <w:right w:val="none" w:sz="0" w:space="0" w:color="auto"/>
      </w:divBdr>
    </w:div>
    <w:div w:id="196817029">
      <w:bodyDiv w:val="1"/>
      <w:marLeft w:val="0"/>
      <w:marRight w:val="0"/>
      <w:marTop w:val="0"/>
      <w:marBottom w:val="0"/>
      <w:divBdr>
        <w:top w:val="none" w:sz="0" w:space="0" w:color="auto"/>
        <w:left w:val="none" w:sz="0" w:space="0" w:color="auto"/>
        <w:bottom w:val="none" w:sz="0" w:space="0" w:color="auto"/>
        <w:right w:val="none" w:sz="0" w:space="0" w:color="auto"/>
      </w:divBdr>
    </w:div>
    <w:div w:id="197091816">
      <w:bodyDiv w:val="1"/>
      <w:marLeft w:val="0"/>
      <w:marRight w:val="0"/>
      <w:marTop w:val="0"/>
      <w:marBottom w:val="0"/>
      <w:divBdr>
        <w:top w:val="none" w:sz="0" w:space="0" w:color="auto"/>
        <w:left w:val="none" w:sz="0" w:space="0" w:color="auto"/>
        <w:bottom w:val="none" w:sz="0" w:space="0" w:color="auto"/>
        <w:right w:val="none" w:sz="0" w:space="0" w:color="auto"/>
      </w:divBdr>
    </w:div>
    <w:div w:id="197395811">
      <w:bodyDiv w:val="1"/>
      <w:marLeft w:val="0"/>
      <w:marRight w:val="0"/>
      <w:marTop w:val="0"/>
      <w:marBottom w:val="0"/>
      <w:divBdr>
        <w:top w:val="none" w:sz="0" w:space="0" w:color="auto"/>
        <w:left w:val="none" w:sz="0" w:space="0" w:color="auto"/>
        <w:bottom w:val="none" w:sz="0" w:space="0" w:color="auto"/>
        <w:right w:val="none" w:sz="0" w:space="0" w:color="auto"/>
      </w:divBdr>
    </w:div>
    <w:div w:id="197550559">
      <w:bodyDiv w:val="1"/>
      <w:marLeft w:val="0"/>
      <w:marRight w:val="0"/>
      <w:marTop w:val="0"/>
      <w:marBottom w:val="0"/>
      <w:divBdr>
        <w:top w:val="none" w:sz="0" w:space="0" w:color="auto"/>
        <w:left w:val="none" w:sz="0" w:space="0" w:color="auto"/>
        <w:bottom w:val="none" w:sz="0" w:space="0" w:color="auto"/>
        <w:right w:val="none" w:sz="0" w:space="0" w:color="auto"/>
      </w:divBdr>
    </w:div>
    <w:div w:id="197671567">
      <w:bodyDiv w:val="1"/>
      <w:marLeft w:val="0"/>
      <w:marRight w:val="0"/>
      <w:marTop w:val="0"/>
      <w:marBottom w:val="0"/>
      <w:divBdr>
        <w:top w:val="none" w:sz="0" w:space="0" w:color="auto"/>
        <w:left w:val="none" w:sz="0" w:space="0" w:color="auto"/>
        <w:bottom w:val="none" w:sz="0" w:space="0" w:color="auto"/>
        <w:right w:val="none" w:sz="0" w:space="0" w:color="auto"/>
      </w:divBdr>
    </w:div>
    <w:div w:id="197737856">
      <w:bodyDiv w:val="1"/>
      <w:marLeft w:val="0"/>
      <w:marRight w:val="0"/>
      <w:marTop w:val="0"/>
      <w:marBottom w:val="0"/>
      <w:divBdr>
        <w:top w:val="none" w:sz="0" w:space="0" w:color="auto"/>
        <w:left w:val="none" w:sz="0" w:space="0" w:color="auto"/>
        <w:bottom w:val="none" w:sz="0" w:space="0" w:color="auto"/>
        <w:right w:val="none" w:sz="0" w:space="0" w:color="auto"/>
      </w:divBdr>
    </w:div>
    <w:div w:id="197818290">
      <w:bodyDiv w:val="1"/>
      <w:marLeft w:val="0"/>
      <w:marRight w:val="0"/>
      <w:marTop w:val="0"/>
      <w:marBottom w:val="0"/>
      <w:divBdr>
        <w:top w:val="none" w:sz="0" w:space="0" w:color="auto"/>
        <w:left w:val="none" w:sz="0" w:space="0" w:color="auto"/>
        <w:bottom w:val="none" w:sz="0" w:space="0" w:color="auto"/>
        <w:right w:val="none" w:sz="0" w:space="0" w:color="auto"/>
      </w:divBdr>
    </w:div>
    <w:div w:id="197933090">
      <w:bodyDiv w:val="1"/>
      <w:marLeft w:val="0"/>
      <w:marRight w:val="0"/>
      <w:marTop w:val="0"/>
      <w:marBottom w:val="0"/>
      <w:divBdr>
        <w:top w:val="none" w:sz="0" w:space="0" w:color="auto"/>
        <w:left w:val="none" w:sz="0" w:space="0" w:color="auto"/>
        <w:bottom w:val="none" w:sz="0" w:space="0" w:color="auto"/>
        <w:right w:val="none" w:sz="0" w:space="0" w:color="auto"/>
      </w:divBdr>
    </w:div>
    <w:div w:id="198124735">
      <w:bodyDiv w:val="1"/>
      <w:marLeft w:val="0"/>
      <w:marRight w:val="0"/>
      <w:marTop w:val="0"/>
      <w:marBottom w:val="0"/>
      <w:divBdr>
        <w:top w:val="none" w:sz="0" w:space="0" w:color="auto"/>
        <w:left w:val="none" w:sz="0" w:space="0" w:color="auto"/>
        <w:bottom w:val="none" w:sz="0" w:space="0" w:color="auto"/>
        <w:right w:val="none" w:sz="0" w:space="0" w:color="auto"/>
      </w:divBdr>
    </w:div>
    <w:div w:id="198133138">
      <w:bodyDiv w:val="1"/>
      <w:marLeft w:val="0"/>
      <w:marRight w:val="0"/>
      <w:marTop w:val="0"/>
      <w:marBottom w:val="0"/>
      <w:divBdr>
        <w:top w:val="none" w:sz="0" w:space="0" w:color="auto"/>
        <w:left w:val="none" w:sz="0" w:space="0" w:color="auto"/>
        <w:bottom w:val="none" w:sz="0" w:space="0" w:color="auto"/>
        <w:right w:val="none" w:sz="0" w:space="0" w:color="auto"/>
      </w:divBdr>
    </w:div>
    <w:div w:id="198519583">
      <w:bodyDiv w:val="1"/>
      <w:marLeft w:val="0"/>
      <w:marRight w:val="0"/>
      <w:marTop w:val="0"/>
      <w:marBottom w:val="0"/>
      <w:divBdr>
        <w:top w:val="none" w:sz="0" w:space="0" w:color="auto"/>
        <w:left w:val="none" w:sz="0" w:space="0" w:color="auto"/>
        <w:bottom w:val="none" w:sz="0" w:space="0" w:color="auto"/>
        <w:right w:val="none" w:sz="0" w:space="0" w:color="auto"/>
      </w:divBdr>
    </w:div>
    <w:div w:id="198706183">
      <w:bodyDiv w:val="1"/>
      <w:marLeft w:val="0"/>
      <w:marRight w:val="0"/>
      <w:marTop w:val="0"/>
      <w:marBottom w:val="0"/>
      <w:divBdr>
        <w:top w:val="none" w:sz="0" w:space="0" w:color="auto"/>
        <w:left w:val="none" w:sz="0" w:space="0" w:color="auto"/>
        <w:bottom w:val="none" w:sz="0" w:space="0" w:color="auto"/>
        <w:right w:val="none" w:sz="0" w:space="0" w:color="auto"/>
      </w:divBdr>
    </w:div>
    <w:div w:id="198713948">
      <w:bodyDiv w:val="1"/>
      <w:marLeft w:val="0"/>
      <w:marRight w:val="0"/>
      <w:marTop w:val="0"/>
      <w:marBottom w:val="0"/>
      <w:divBdr>
        <w:top w:val="none" w:sz="0" w:space="0" w:color="auto"/>
        <w:left w:val="none" w:sz="0" w:space="0" w:color="auto"/>
        <w:bottom w:val="none" w:sz="0" w:space="0" w:color="auto"/>
        <w:right w:val="none" w:sz="0" w:space="0" w:color="auto"/>
      </w:divBdr>
    </w:div>
    <w:div w:id="198931760">
      <w:bodyDiv w:val="1"/>
      <w:marLeft w:val="0"/>
      <w:marRight w:val="0"/>
      <w:marTop w:val="0"/>
      <w:marBottom w:val="0"/>
      <w:divBdr>
        <w:top w:val="none" w:sz="0" w:space="0" w:color="auto"/>
        <w:left w:val="none" w:sz="0" w:space="0" w:color="auto"/>
        <w:bottom w:val="none" w:sz="0" w:space="0" w:color="auto"/>
        <w:right w:val="none" w:sz="0" w:space="0" w:color="auto"/>
      </w:divBdr>
    </w:div>
    <w:div w:id="199057652">
      <w:bodyDiv w:val="1"/>
      <w:marLeft w:val="0"/>
      <w:marRight w:val="0"/>
      <w:marTop w:val="0"/>
      <w:marBottom w:val="0"/>
      <w:divBdr>
        <w:top w:val="none" w:sz="0" w:space="0" w:color="auto"/>
        <w:left w:val="none" w:sz="0" w:space="0" w:color="auto"/>
        <w:bottom w:val="none" w:sz="0" w:space="0" w:color="auto"/>
        <w:right w:val="none" w:sz="0" w:space="0" w:color="auto"/>
      </w:divBdr>
    </w:div>
    <w:div w:id="199057788">
      <w:bodyDiv w:val="1"/>
      <w:marLeft w:val="0"/>
      <w:marRight w:val="0"/>
      <w:marTop w:val="0"/>
      <w:marBottom w:val="0"/>
      <w:divBdr>
        <w:top w:val="none" w:sz="0" w:space="0" w:color="auto"/>
        <w:left w:val="none" w:sz="0" w:space="0" w:color="auto"/>
        <w:bottom w:val="none" w:sz="0" w:space="0" w:color="auto"/>
        <w:right w:val="none" w:sz="0" w:space="0" w:color="auto"/>
      </w:divBdr>
    </w:div>
    <w:div w:id="199168457">
      <w:bodyDiv w:val="1"/>
      <w:marLeft w:val="0"/>
      <w:marRight w:val="0"/>
      <w:marTop w:val="0"/>
      <w:marBottom w:val="0"/>
      <w:divBdr>
        <w:top w:val="none" w:sz="0" w:space="0" w:color="auto"/>
        <w:left w:val="none" w:sz="0" w:space="0" w:color="auto"/>
        <w:bottom w:val="none" w:sz="0" w:space="0" w:color="auto"/>
        <w:right w:val="none" w:sz="0" w:space="0" w:color="auto"/>
      </w:divBdr>
    </w:div>
    <w:div w:id="199444162">
      <w:bodyDiv w:val="1"/>
      <w:marLeft w:val="0"/>
      <w:marRight w:val="0"/>
      <w:marTop w:val="0"/>
      <w:marBottom w:val="0"/>
      <w:divBdr>
        <w:top w:val="none" w:sz="0" w:space="0" w:color="auto"/>
        <w:left w:val="none" w:sz="0" w:space="0" w:color="auto"/>
        <w:bottom w:val="none" w:sz="0" w:space="0" w:color="auto"/>
        <w:right w:val="none" w:sz="0" w:space="0" w:color="auto"/>
      </w:divBdr>
    </w:div>
    <w:div w:id="199754371">
      <w:bodyDiv w:val="1"/>
      <w:marLeft w:val="0"/>
      <w:marRight w:val="0"/>
      <w:marTop w:val="0"/>
      <w:marBottom w:val="0"/>
      <w:divBdr>
        <w:top w:val="none" w:sz="0" w:space="0" w:color="auto"/>
        <w:left w:val="none" w:sz="0" w:space="0" w:color="auto"/>
        <w:bottom w:val="none" w:sz="0" w:space="0" w:color="auto"/>
        <w:right w:val="none" w:sz="0" w:space="0" w:color="auto"/>
      </w:divBdr>
    </w:div>
    <w:div w:id="200022018">
      <w:bodyDiv w:val="1"/>
      <w:marLeft w:val="0"/>
      <w:marRight w:val="0"/>
      <w:marTop w:val="0"/>
      <w:marBottom w:val="0"/>
      <w:divBdr>
        <w:top w:val="none" w:sz="0" w:space="0" w:color="auto"/>
        <w:left w:val="none" w:sz="0" w:space="0" w:color="auto"/>
        <w:bottom w:val="none" w:sz="0" w:space="0" w:color="auto"/>
        <w:right w:val="none" w:sz="0" w:space="0" w:color="auto"/>
      </w:divBdr>
    </w:div>
    <w:div w:id="200360596">
      <w:bodyDiv w:val="1"/>
      <w:marLeft w:val="0"/>
      <w:marRight w:val="0"/>
      <w:marTop w:val="0"/>
      <w:marBottom w:val="0"/>
      <w:divBdr>
        <w:top w:val="none" w:sz="0" w:space="0" w:color="auto"/>
        <w:left w:val="none" w:sz="0" w:space="0" w:color="auto"/>
        <w:bottom w:val="none" w:sz="0" w:space="0" w:color="auto"/>
        <w:right w:val="none" w:sz="0" w:space="0" w:color="auto"/>
      </w:divBdr>
    </w:div>
    <w:div w:id="200679415">
      <w:bodyDiv w:val="1"/>
      <w:marLeft w:val="0"/>
      <w:marRight w:val="0"/>
      <w:marTop w:val="0"/>
      <w:marBottom w:val="0"/>
      <w:divBdr>
        <w:top w:val="none" w:sz="0" w:space="0" w:color="auto"/>
        <w:left w:val="none" w:sz="0" w:space="0" w:color="auto"/>
        <w:bottom w:val="none" w:sz="0" w:space="0" w:color="auto"/>
        <w:right w:val="none" w:sz="0" w:space="0" w:color="auto"/>
      </w:divBdr>
    </w:div>
    <w:div w:id="200899014">
      <w:bodyDiv w:val="1"/>
      <w:marLeft w:val="0"/>
      <w:marRight w:val="0"/>
      <w:marTop w:val="0"/>
      <w:marBottom w:val="0"/>
      <w:divBdr>
        <w:top w:val="none" w:sz="0" w:space="0" w:color="auto"/>
        <w:left w:val="none" w:sz="0" w:space="0" w:color="auto"/>
        <w:bottom w:val="none" w:sz="0" w:space="0" w:color="auto"/>
        <w:right w:val="none" w:sz="0" w:space="0" w:color="auto"/>
      </w:divBdr>
    </w:div>
    <w:div w:id="201094152">
      <w:bodyDiv w:val="1"/>
      <w:marLeft w:val="0"/>
      <w:marRight w:val="0"/>
      <w:marTop w:val="0"/>
      <w:marBottom w:val="0"/>
      <w:divBdr>
        <w:top w:val="none" w:sz="0" w:space="0" w:color="auto"/>
        <w:left w:val="none" w:sz="0" w:space="0" w:color="auto"/>
        <w:bottom w:val="none" w:sz="0" w:space="0" w:color="auto"/>
        <w:right w:val="none" w:sz="0" w:space="0" w:color="auto"/>
      </w:divBdr>
    </w:div>
    <w:div w:id="201288768">
      <w:bodyDiv w:val="1"/>
      <w:marLeft w:val="0"/>
      <w:marRight w:val="0"/>
      <w:marTop w:val="0"/>
      <w:marBottom w:val="0"/>
      <w:divBdr>
        <w:top w:val="none" w:sz="0" w:space="0" w:color="auto"/>
        <w:left w:val="none" w:sz="0" w:space="0" w:color="auto"/>
        <w:bottom w:val="none" w:sz="0" w:space="0" w:color="auto"/>
        <w:right w:val="none" w:sz="0" w:space="0" w:color="auto"/>
      </w:divBdr>
    </w:div>
    <w:div w:id="201483539">
      <w:bodyDiv w:val="1"/>
      <w:marLeft w:val="0"/>
      <w:marRight w:val="0"/>
      <w:marTop w:val="0"/>
      <w:marBottom w:val="0"/>
      <w:divBdr>
        <w:top w:val="none" w:sz="0" w:space="0" w:color="auto"/>
        <w:left w:val="none" w:sz="0" w:space="0" w:color="auto"/>
        <w:bottom w:val="none" w:sz="0" w:space="0" w:color="auto"/>
        <w:right w:val="none" w:sz="0" w:space="0" w:color="auto"/>
      </w:divBdr>
    </w:div>
    <w:div w:id="201670755">
      <w:bodyDiv w:val="1"/>
      <w:marLeft w:val="0"/>
      <w:marRight w:val="0"/>
      <w:marTop w:val="0"/>
      <w:marBottom w:val="0"/>
      <w:divBdr>
        <w:top w:val="none" w:sz="0" w:space="0" w:color="auto"/>
        <w:left w:val="none" w:sz="0" w:space="0" w:color="auto"/>
        <w:bottom w:val="none" w:sz="0" w:space="0" w:color="auto"/>
        <w:right w:val="none" w:sz="0" w:space="0" w:color="auto"/>
      </w:divBdr>
    </w:div>
    <w:div w:id="201747799">
      <w:bodyDiv w:val="1"/>
      <w:marLeft w:val="0"/>
      <w:marRight w:val="0"/>
      <w:marTop w:val="0"/>
      <w:marBottom w:val="0"/>
      <w:divBdr>
        <w:top w:val="none" w:sz="0" w:space="0" w:color="auto"/>
        <w:left w:val="none" w:sz="0" w:space="0" w:color="auto"/>
        <w:bottom w:val="none" w:sz="0" w:space="0" w:color="auto"/>
        <w:right w:val="none" w:sz="0" w:space="0" w:color="auto"/>
      </w:divBdr>
    </w:div>
    <w:div w:id="201749686">
      <w:bodyDiv w:val="1"/>
      <w:marLeft w:val="0"/>
      <w:marRight w:val="0"/>
      <w:marTop w:val="0"/>
      <w:marBottom w:val="0"/>
      <w:divBdr>
        <w:top w:val="none" w:sz="0" w:space="0" w:color="auto"/>
        <w:left w:val="none" w:sz="0" w:space="0" w:color="auto"/>
        <w:bottom w:val="none" w:sz="0" w:space="0" w:color="auto"/>
        <w:right w:val="none" w:sz="0" w:space="0" w:color="auto"/>
      </w:divBdr>
    </w:div>
    <w:div w:id="202444821">
      <w:bodyDiv w:val="1"/>
      <w:marLeft w:val="0"/>
      <w:marRight w:val="0"/>
      <w:marTop w:val="0"/>
      <w:marBottom w:val="0"/>
      <w:divBdr>
        <w:top w:val="none" w:sz="0" w:space="0" w:color="auto"/>
        <w:left w:val="none" w:sz="0" w:space="0" w:color="auto"/>
        <w:bottom w:val="none" w:sz="0" w:space="0" w:color="auto"/>
        <w:right w:val="none" w:sz="0" w:space="0" w:color="auto"/>
      </w:divBdr>
    </w:div>
    <w:div w:id="202836623">
      <w:bodyDiv w:val="1"/>
      <w:marLeft w:val="0"/>
      <w:marRight w:val="0"/>
      <w:marTop w:val="0"/>
      <w:marBottom w:val="0"/>
      <w:divBdr>
        <w:top w:val="none" w:sz="0" w:space="0" w:color="auto"/>
        <w:left w:val="none" w:sz="0" w:space="0" w:color="auto"/>
        <w:bottom w:val="none" w:sz="0" w:space="0" w:color="auto"/>
        <w:right w:val="none" w:sz="0" w:space="0" w:color="auto"/>
      </w:divBdr>
    </w:div>
    <w:div w:id="202984809">
      <w:bodyDiv w:val="1"/>
      <w:marLeft w:val="0"/>
      <w:marRight w:val="0"/>
      <w:marTop w:val="0"/>
      <w:marBottom w:val="0"/>
      <w:divBdr>
        <w:top w:val="none" w:sz="0" w:space="0" w:color="auto"/>
        <w:left w:val="none" w:sz="0" w:space="0" w:color="auto"/>
        <w:bottom w:val="none" w:sz="0" w:space="0" w:color="auto"/>
        <w:right w:val="none" w:sz="0" w:space="0" w:color="auto"/>
      </w:divBdr>
    </w:div>
    <w:div w:id="203173286">
      <w:bodyDiv w:val="1"/>
      <w:marLeft w:val="0"/>
      <w:marRight w:val="0"/>
      <w:marTop w:val="0"/>
      <w:marBottom w:val="0"/>
      <w:divBdr>
        <w:top w:val="none" w:sz="0" w:space="0" w:color="auto"/>
        <w:left w:val="none" w:sz="0" w:space="0" w:color="auto"/>
        <w:bottom w:val="none" w:sz="0" w:space="0" w:color="auto"/>
        <w:right w:val="none" w:sz="0" w:space="0" w:color="auto"/>
      </w:divBdr>
    </w:div>
    <w:div w:id="203294859">
      <w:bodyDiv w:val="1"/>
      <w:marLeft w:val="0"/>
      <w:marRight w:val="0"/>
      <w:marTop w:val="0"/>
      <w:marBottom w:val="0"/>
      <w:divBdr>
        <w:top w:val="none" w:sz="0" w:space="0" w:color="auto"/>
        <w:left w:val="none" w:sz="0" w:space="0" w:color="auto"/>
        <w:bottom w:val="none" w:sz="0" w:space="0" w:color="auto"/>
        <w:right w:val="none" w:sz="0" w:space="0" w:color="auto"/>
      </w:divBdr>
    </w:div>
    <w:div w:id="204100360">
      <w:bodyDiv w:val="1"/>
      <w:marLeft w:val="0"/>
      <w:marRight w:val="0"/>
      <w:marTop w:val="0"/>
      <w:marBottom w:val="0"/>
      <w:divBdr>
        <w:top w:val="none" w:sz="0" w:space="0" w:color="auto"/>
        <w:left w:val="none" w:sz="0" w:space="0" w:color="auto"/>
        <w:bottom w:val="none" w:sz="0" w:space="0" w:color="auto"/>
        <w:right w:val="none" w:sz="0" w:space="0" w:color="auto"/>
      </w:divBdr>
    </w:div>
    <w:div w:id="204104319">
      <w:bodyDiv w:val="1"/>
      <w:marLeft w:val="0"/>
      <w:marRight w:val="0"/>
      <w:marTop w:val="0"/>
      <w:marBottom w:val="0"/>
      <w:divBdr>
        <w:top w:val="none" w:sz="0" w:space="0" w:color="auto"/>
        <w:left w:val="none" w:sz="0" w:space="0" w:color="auto"/>
        <w:bottom w:val="none" w:sz="0" w:space="0" w:color="auto"/>
        <w:right w:val="none" w:sz="0" w:space="0" w:color="auto"/>
      </w:divBdr>
    </w:div>
    <w:div w:id="204215718">
      <w:bodyDiv w:val="1"/>
      <w:marLeft w:val="0"/>
      <w:marRight w:val="0"/>
      <w:marTop w:val="0"/>
      <w:marBottom w:val="0"/>
      <w:divBdr>
        <w:top w:val="none" w:sz="0" w:space="0" w:color="auto"/>
        <w:left w:val="none" w:sz="0" w:space="0" w:color="auto"/>
        <w:bottom w:val="none" w:sz="0" w:space="0" w:color="auto"/>
        <w:right w:val="none" w:sz="0" w:space="0" w:color="auto"/>
      </w:divBdr>
    </w:div>
    <w:div w:id="204373833">
      <w:bodyDiv w:val="1"/>
      <w:marLeft w:val="0"/>
      <w:marRight w:val="0"/>
      <w:marTop w:val="0"/>
      <w:marBottom w:val="0"/>
      <w:divBdr>
        <w:top w:val="none" w:sz="0" w:space="0" w:color="auto"/>
        <w:left w:val="none" w:sz="0" w:space="0" w:color="auto"/>
        <w:bottom w:val="none" w:sz="0" w:space="0" w:color="auto"/>
        <w:right w:val="none" w:sz="0" w:space="0" w:color="auto"/>
      </w:divBdr>
    </w:div>
    <w:div w:id="204487086">
      <w:bodyDiv w:val="1"/>
      <w:marLeft w:val="0"/>
      <w:marRight w:val="0"/>
      <w:marTop w:val="0"/>
      <w:marBottom w:val="0"/>
      <w:divBdr>
        <w:top w:val="none" w:sz="0" w:space="0" w:color="auto"/>
        <w:left w:val="none" w:sz="0" w:space="0" w:color="auto"/>
        <w:bottom w:val="none" w:sz="0" w:space="0" w:color="auto"/>
        <w:right w:val="none" w:sz="0" w:space="0" w:color="auto"/>
      </w:divBdr>
    </w:div>
    <w:div w:id="204559763">
      <w:bodyDiv w:val="1"/>
      <w:marLeft w:val="0"/>
      <w:marRight w:val="0"/>
      <w:marTop w:val="0"/>
      <w:marBottom w:val="0"/>
      <w:divBdr>
        <w:top w:val="none" w:sz="0" w:space="0" w:color="auto"/>
        <w:left w:val="none" w:sz="0" w:space="0" w:color="auto"/>
        <w:bottom w:val="none" w:sz="0" w:space="0" w:color="auto"/>
        <w:right w:val="none" w:sz="0" w:space="0" w:color="auto"/>
      </w:divBdr>
    </w:div>
    <w:div w:id="204803767">
      <w:bodyDiv w:val="1"/>
      <w:marLeft w:val="0"/>
      <w:marRight w:val="0"/>
      <w:marTop w:val="0"/>
      <w:marBottom w:val="0"/>
      <w:divBdr>
        <w:top w:val="none" w:sz="0" w:space="0" w:color="auto"/>
        <w:left w:val="none" w:sz="0" w:space="0" w:color="auto"/>
        <w:bottom w:val="none" w:sz="0" w:space="0" w:color="auto"/>
        <w:right w:val="none" w:sz="0" w:space="0" w:color="auto"/>
      </w:divBdr>
    </w:div>
    <w:div w:id="204952661">
      <w:bodyDiv w:val="1"/>
      <w:marLeft w:val="0"/>
      <w:marRight w:val="0"/>
      <w:marTop w:val="0"/>
      <w:marBottom w:val="0"/>
      <w:divBdr>
        <w:top w:val="none" w:sz="0" w:space="0" w:color="auto"/>
        <w:left w:val="none" w:sz="0" w:space="0" w:color="auto"/>
        <w:bottom w:val="none" w:sz="0" w:space="0" w:color="auto"/>
        <w:right w:val="none" w:sz="0" w:space="0" w:color="auto"/>
      </w:divBdr>
    </w:div>
    <w:div w:id="205264519">
      <w:bodyDiv w:val="1"/>
      <w:marLeft w:val="0"/>
      <w:marRight w:val="0"/>
      <w:marTop w:val="0"/>
      <w:marBottom w:val="0"/>
      <w:divBdr>
        <w:top w:val="none" w:sz="0" w:space="0" w:color="auto"/>
        <w:left w:val="none" w:sz="0" w:space="0" w:color="auto"/>
        <w:bottom w:val="none" w:sz="0" w:space="0" w:color="auto"/>
        <w:right w:val="none" w:sz="0" w:space="0" w:color="auto"/>
      </w:divBdr>
    </w:div>
    <w:div w:id="205412741">
      <w:bodyDiv w:val="1"/>
      <w:marLeft w:val="0"/>
      <w:marRight w:val="0"/>
      <w:marTop w:val="0"/>
      <w:marBottom w:val="0"/>
      <w:divBdr>
        <w:top w:val="none" w:sz="0" w:space="0" w:color="auto"/>
        <w:left w:val="none" w:sz="0" w:space="0" w:color="auto"/>
        <w:bottom w:val="none" w:sz="0" w:space="0" w:color="auto"/>
        <w:right w:val="none" w:sz="0" w:space="0" w:color="auto"/>
      </w:divBdr>
    </w:div>
    <w:div w:id="205528124">
      <w:bodyDiv w:val="1"/>
      <w:marLeft w:val="0"/>
      <w:marRight w:val="0"/>
      <w:marTop w:val="0"/>
      <w:marBottom w:val="0"/>
      <w:divBdr>
        <w:top w:val="none" w:sz="0" w:space="0" w:color="auto"/>
        <w:left w:val="none" w:sz="0" w:space="0" w:color="auto"/>
        <w:bottom w:val="none" w:sz="0" w:space="0" w:color="auto"/>
        <w:right w:val="none" w:sz="0" w:space="0" w:color="auto"/>
      </w:divBdr>
    </w:div>
    <w:div w:id="205871565">
      <w:bodyDiv w:val="1"/>
      <w:marLeft w:val="0"/>
      <w:marRight w:val="0"/>
      <w:marTop w:val="0"/>
      <w:marBottom w:val="0"/>
      <w:divBdr>
        <w:top w:val="none" w:sz="0" w:space="0" w:color="auto"/>
        <w:left w:val="none" w:sz="0" w:space="0" w:color="auto"/>
        <w:bottom w:val="none" w:sz="0" w:space="0" w:color="auto"/>
        <w:right w:val="none" w:sz="0" w:space="0" w:color="auto"/>
      </w:divBdr>
    </w:div>
    <w:div w:id="206113295">
      <w:bodyDiv w:val="1"/>
      <w:marLeft w:val="0"/>
      <w:marRight w:val="0"/>
      <w:marTop w:val="0"/>
      <w:marBottom w:val="0"/>
      <w:divBdr>
        <w:top w:val="none" w:sz="0" w:space="0" w:color="auto"/>
        <w:left w:val="none" w:sz="0" w:space="0" w:color="auto"/>
        <w:bottom w:val="none" w:sz="0" w:space="0" w:color="auto"/>
        <w:right w:val="none" w:sz="0" w:space="0" w:color="auto"/>
      </w:divBdr>
    </w:div>
    <w:div w:id="206263050">
      <w:bodyDiv w:val="1"/>
      <w:marLeft w:val="0"/>
      <w:marRight w:val="0"/>
      <w:marTop w:val="0"/>
      <w:marBottom w:val="0"/>
      <w:divBdr>
        <w:top w:val="none" w:sz="0" w:space="0" w:color="auto"/>
        <w:left w:val="none" w:sz="0" w:space="0" w:color="auto"/>
        <w:bottom w:val="none" w:sz="0" w:space="0" w:color="auto"/>
        <w:right w:val="none" w:sz="0" w:space="0" w:color="auto"/>
      </w:divBdr>
    </w:div>
    <w:div w:id="206719018">
      <w:bodyDiv w:val="1"/>
      <w:marLeft w:val="0"/>
      <w:marRight w:val="0"/>
      <w:marTop w:val="0"/>
      <w:marBottom w:val="0"/>
      <w:divBdr>
        <w:top w:val="none" w:sz="0" w:space="0" w:color="auto"/>
        <w:left w:val="none" w:sz="0" w:space="0" w:color="auto"/>
        <w:bottom w:val="none" w:sz="0" w:space="0" w:color="auto"/>
        <w:right w:val="none" w:sz="0" w:space="0" w:color="auto"/>
      </w:divBdr>
    </w:div>
    <w:div w:id="206987960">
      <w:bodyDiv w:val="1"/>
      <w:marLeft w:val="0"/>
      <w:marRight w:val="0"/>
      <w:marTop w:val="0"/>
      <w:marBottom w:val="0"/>
      <w:divBdr>
        <w:top w:val="none" w:sz="0" w:space="0" w:color="auto"/>
        <w:left w:val="none" w:sz="0" w:space="0" w:color="auto"/>
        <w:bottom w:val="none" w:sz="0" w:space="0" w:color="auto"/>
        <w:right w:val="none" w:sz="0" w:space="0" w:color="auto"/>
      </w:divBdr>
    </w:div>
    <w:div w:id="207183195">
      <w:bodyDiv w:val="1"/>
      <w:marLeft w:val="0"/>
      <w:marRight w:val="0"/>
      <w:marTop w:val="0"/>
      <w:marBottom w:val="0"/>
      <w:divBdr>
        <w:top w:val="none" w:sz="0" w:space="0" w:color="auto"/>
        <w:left w:val="none" w:sz="0" w:space="0" w:color="auto"/>
        <w:bottom w:val="none" w:sz="0" w:space="0" w:color="auto"/>
        <w:right w:val="none" w:sz="0" w:space="0" w:color="auto"/>
      </w:divBdr>
    </w:div>
    <w:div w:id="207298181">
      <w:bodyDiv w:val="1"/>
      <w:marLeft w:val="0"/>
      <w:marRight w:val="0"/>
      <w:marTop w:val="0"/>
      <w:marBottom w:val="0"/>
      <w:divBdr>
        <w:top w:val="none" w:sz="0" w:space="0" w:color="auto"/>
        <w:left w:val="none" w:sz="0" w:space="0" w:color="auto"/>
        <w:bottom w:val="none" w:sz="0" w:space="0" w:color="auto"/>
        <w:right w:val="none" w:sz="0" w:space="0" w:color="auto"/>
      </w:divBdr>
    </w:div>
    <w:div w:id="207649249">
      <w:bodyDiv w:val="1"/>
      <w:marLeft w:val="0"/>
      <w:marRight w:val="0"/>
      <w:marTop w:val="0"/>
      <w:marBottom w:val="0"/>
      <w:divBdr>
        <w:top w:val="none" w:sz="0" w:space="0" w:color="auto"/>
        <w:left w:val="none" w:sz="0" w:space="0" w:color="auto"/>
        <w:bottom w:val="none" w:sz="0" w:space="0" w:color="auto"/>
        <w:right w:val="none" w:sz="0" w:space="0" w:color="auto"/>
      </w:divBdr>
    </w:div>
    <w:div w:id="208031953">
      <w:bodyDiv w:val="1"/>
      <w:marLeft w:val="0"/>
      <w:marRight w:val="0"/>
      <w:marTop w:val="0"/>
      <w:marBottom w:val="0"/>
      <w:divBdr>
        <w:top w:val="none" w:sz="0" w:space="0" w:color="auto"/>
        <w:left w:val="none" w:sz="0" w:space="0" w:color="auto"/>
        <w:bottom w:val="none" w:sz="0" w:space="0" w:color="auto"/>
        <w:right w:val="none" w:sz="0" w:space="0" w:color="auto"/>
      </w:divBdr>
    </w:div>
    <w:div w:id="208340428">
      <w:bodyDiv w:val="1"/>
      <w:marLeft w:val="0"/>
      <w:marRight w:val="0"/>
      <w:marTop w:val="0"/>
      <w:marBottom w:val="0"/>
      <w:divBdr>
        <w:top w:val="none" w:sz="0" w:space="0" w:color="auto"/>
        <w:left w:val="none" w:sz="0" w:space="0" w:color="auto"/>
        <w:bottom w:val="none" w:sz="0" w:space="0" w:color="auto"/>
        <w:right w:val="none" w:sz="0" w:space="0" w:color="auto"/>
      </w:divBdr>
    </w:div>
    <w:div w:id="208610028">
      <w:bodyDiv w:val="1"/>
      <w:marLeft w:val="0"/>
      <w:marRight w:val="0"/>
      <w:marTop w:val="0"/>
      <w:marBottom w:val="0"/>
      <w:divBdr>
        <w:top w:val="none" w:sz="0" w:space="0" w:color="auto"/>
        <w:left w:val="none" w:sz="0" w:space="0" w:color="auto"/>
        <w:bottom w:val="none" w:sz="0" w:space="0" w:color="auto"/>
        <w:right w:val="none" w:sz="0" w:space="0" w:color="auto"/>
      </w:divBdr>
    </w:div>
    <w:div w:id="208686810">
      <w:bodyDiv w:val="1"/>
      <w:marLeft w:val="0"/>
      <w:marRight w:val="0"/>
      <w:marTop w:val="0"/>
      <w:marBottom w:val="0"/>
      <w:divBdr>
        <w:top w:val="none" w:sz="0" w:space="0" w:color="auto"/>
        <w:left w:val="none" w:sz="0" w:space="0" w:color="auto"/>
        <w:bottom w:val="none" w:sz="0" w:space="0" w:color="auto"/>
        <w:right w:val="none" w:sz="0" w:space="0" w:color="auto"/>
      </w:divBdr>
    </w:div>
    <w:div w:id="209222996">
      <w:bodyDiv w:val="1"/>
      <w:marLeft w:val="0"/>
      <w:marRight w:val="0"/>
      <w:marTop w:val="0"/>
      <w:marBottom w:val="0"/>
      <w:divBdr>
        <w:top w:val="none" w:sz="0" w:space="0" w:color="auto"/>
        <w:left w:val="none" w:sz="0" w:space="0" w:color="auto"/>
        <w:bottom w:val="none" w:sz="0" w:space="0" w:color="auto"/>
        <w:right w:val="none" w:sz="0" w:space="0" w:color="auto"/>
      </w:divBdr>
    </w:div>
    <w:div w:id="209264306">
      <w:bodyDiv w:val="1"/>
      <w:marLeft w:val="0"/>
      <w:marRight w:val="0"/>
      <w:marTop w:val="0"/>
      <w:marBottom w:val="0"/>
      <w:divBdr>
        <w:top w:val="none" w:sz="0" w:space="0" w:color="auto"/>
        <w:left w:val="none" w:sz="0" w:space="0" w:color="auto"/>
        <w:bottom w:val="none" w:sz="0" w:space="0" w:color="auto"/>
        <w:right w:val="none" w:sz="0" w:space="0" w:color="auto"/>
      </w:divBdr>
    </w:div>
    <w:div w:id="209463155">
      <w:bodyDiv w:val="1"/>
      <w:marLeft w:val="0"/>
      <w:marRight w:val="0"/>
      <w:marTop w:val="0"/>
      <w:marBottom w:val="0"/>
      <w:divBdr>
        <w:top w:val="none" w:sz="0" w:space="0" w:color="auto"/>
        <w:left w:val="none" w:sz="0" w:space="0" w:color="auto"/>
        <w:bottom w:val="none" w:sz="0" w:space="0" w:color="auto"/>
        <w:right w:val="none" w:sz="0" w:space="0" w:color="auto"/>
      </w:divBdr>
    </w:div>
    <w:div w:id="209925736">
      <w:bodyDiv w:val="1"/>
      <w:marLeft w:val="0"/>
      <w:marRight w:val="0"/>
      <w:marTop w:val="0"/>
      <w:marBottom w:val="0"/>
      <w:divBdr>
        <w:top w:val="none" w:sz="0" w:space="0" w:color="auto"/>
        <w:left w:val="none" w:sz="0" w:space="0" w:color="auto"/>
        <w:bottom w:val="none" w:sz="0" w:space="0" w:color="auto"/>
        <w:right w:val="none" w:sz="0" w:space="0" w:color="auto"/>
      </w:divBdr>
    </w:div>
    <w:div w:id="210457806">
      <w:bodyDiv w:val="1"/>
      <w:marLeft w:val="0"/>
      <w:marRight w:val="0"/>
      <w:marTop w:val="0"/>
      <w:marBottom w:val="0"/>
      <w:divBdr>
        <w:top w:val="none" w:sz="0" w:space="0" w:color="auto"/>
        <w:left w:val="none" w:sz="0" w:space="0" w:color="auto"/>
        <w:bottom w:val="none" w:sz="0" w:space="0" w:color="auto"/>
        <w:right w:val="none" w:sz="0" w:space="0" w:color="auto"/>
      </w:divBdr>
    </w:div>
    <w:div w:id="210926943">
      <w:bodyDiv w:val="1"/>
      <w:marLeft w:val="0"/>
      <w:marRight w:val="0"/>
      <w:marTop w:val="0"/>
      <w:marBottom w:val="0"/>
      <w:divBdr>
        <w:top w:val="none" w:sz="0" w:space="0" w:color="auto"/>
        <w:left w:val="none" w:sz="0" w:space="0" w:color="auto"/>
        <w:bottom w:val="none" w:sz="0" w:space="0" w:color="auto"/>
        <w:right w:val="none" w:sz="0" w:space="0" w:color="auto"/>
      </w:divBdr>
    </w:div>
    <w:div w:id="211161866">
      <w:bodyDiv w:val="1"/>
      <w:marLeft w:val="0"/>
      <w:marRight w:val="0"/>
      <w:marTop w:val="0"/>
      <w:marBottom w:val="0"/>
      <w:divBdr>
        <w:top w:val="none" w:sz="0" w:space="0" w:color="auto"/>
        <w:left w:val="none" w:sz="0" w:space="0" w:color="auto"/>
        <w:bottom w:val="none" w:sz="0" w:space="0" w:color="auto"/>
        <w:right w:val="none" w:sz="0" w:space="0" w:color="auto"/>
      </w:divBdr>
    </w:div>
    <w:div w:id="211187546">
      <w:bodyDiv w:val="1"/>
      <w:marLeft w:val="0"/>
      <w:marRight w:val="0"/>
      <w:marTop w:val="0"/>
      <w:marBottom w:val="0"/>
      <w:divBdr>
        <w:top w:val="none" w:sz="0" w:space="0" w:color="auto"/>
        <w:left w:val="none" w:sz="0" w:space="0" w:color="auto"/>
        <w:bottom w:val="none" w:sz="0" w:space="0" w:color="auto"/>
        <w:right w:val="none" w:sz="0" w:space="0" w:color="auto"/>
      </w:divBdr>
    </w:div>
    <w:div w:id="211305813">
      <w:bodyDiv w:val="1"/>
      <w:marLeft w:val="0"/>
      <w:marRight w:val="0"/>
      <w:marTop w:val="0"/>
      <w:marBottom w:val="0"/>
      <w:divBdr>
        <w:top w:val="none" w:sz="0" w:space="0" w:color="auto"/>
        <w:left w:val="none" w:sz="0" w:space="0" w:color="auto"/>
        <w:bottom w:val="none" w:sz="0" w:space="0" w:color="auto"/>
        <w:right w:val="none" w:sz="0" w:space="0" w:color="auto"/>
      </w:divBdr>
    </w:div>
    <w:div w:id="211380609">
      <w:bodyDiv w:val="1"/>
      <w:marLeft w:val="0"/>
      <w:marRight w:val="0"/>
      <w:marTop w:val="0"/>
      <w:marBottom w:val="0"/>
      <w:divBdr>
        <w:top w:val="none" w:sz="0" w:space="0" w:color="auto"/>
        <w:left w:val="none" w:sz="0" w:space="0" w:color="auto"/>
        <w:bottom w:val="none" w:sz="0" w:space="0" w:color="auto"/>
        <w:right w:val="none" w:sz="0" w:space="0" w:color="auto"/>
      </w:divBdr>
    </w:div>
    <w:div w:id="211573991">
      <w:bodyDiv w:val="1"/>
      <w:marLeft w:val="0"/>
      <w:marRight w:val="0"/>
      <w:marTop w:val="0"/>
      <w:marBottom w:val="0"/>
      <w:divBdr>
        <w:top w:val="none" w:sz="0" w:space="0" w:color="auto"/>
        <w:left w:val="none" w:sz="0" w:space="0" w:color="auto"/>
        <w:bottom w:val="none" w:sz="0" w:space="0" w:color="auto"/>
        <w:right w:val="none" w:sz="0" w:space="0" w:color="auto"/>
      </w:divBdr>
    </w:div>
    <w:div w:id="211843814">
      <w:bodyDiv w:val="1"/>
      <w:marLeft w:val="0"/>
      <w:marRight w:val="0"/>
      <w:marTop w:val="0"/>
      <w:marBottom w:val="0"/>
      <w:divBdr>
        <w:top w:val="none" w:sz="0" w:space="0" w:color="auto"/>
        <w:left w:val="none" w:sz="0" w:space="0" w:color="auto"/>
        <w:bottom w:val="none" w:sz="0" w:space="0" w:color="auto"/>
        <w:right w:val="none" w:sz="0" w:space="0" w:color="auto"/>
      </w:divBdr>
    </w:div>
    <w:div w:id="213201929">
      <w:bodyDiv w:val="1"/>
      <w:marLeft w:val="0"/>
      <w:marRight w:val="0"/>
      <w:marTop w:val="0"/>
      <w:marBottom w:val="0"/>
      <w:divBdr>
        <w:top w:val="none" w:sz="0" w:space="0" w:color="auto"/>
        <w:left w:val="none" w:sz="0" w:space="0" w:color="auto"/>
        <w:bottom w:val="none" w:sz="0" w:space="0" w:color="auto"/>
        <w:right w:val="none" w:sz="0" w:space="0" w:color="auto"/>
      </w:divBdr>
    </w:div>
    <w:div w:id="213350355">
      <w:bodyDiv w:val="1"/>
      <w:marLeft w:val="0"/>
      <w:marRight w:val="0"/>
      <w:marTop w:val="0"/>
      <w:marBottom w:val="0"/>
      <w:divBdr>
        <w:top w:val="none" w:sz="0" w:space="0" w:color="auto"/>
        <w:left w:val="none" w:sz="0" w:space="0" w:color="auto"/>
        <w:bottom w:val="none" w:sz="0" w:space="0" w:color="auto"/>
        <w:right w:val="none" w:sz="0" w:space="0" w:color="auto"/>
      </w:divBdr>
    </w:div>
    <w:div w:id="213783402">
      <w:bodyDiv w:val="1"/>
      <w:marLeft w:val="0"/>
      <w:marRight w:val="0"/>
      <w:marTop w:val="0"/>
      <w:marBottom w:val="0"/>
      <w:divBdr>
        <w:top w:val="none" w:sz="0" w:space="0" w:color="auto"/>
        <w:left w:val="none" w:sz="0" w:space="0" w:color="auto"/>
        <w:bottom w:val="none" w:sz="0" w:space="0" w:color="auto"/>
        <w:right w:val="none" w:sz="0" w:space="0" w:color="auto"/>
      </w:divBdr>
    </w:div>
    <w:div w:id="213928211">
      <w:bodyDiv w:val="1"/>
      <w:marLeft w:val="0"/>
      <w:marRight w:val="0"/>
      <w:marTop w:val="0"/>
      <w:marBottom w:val="0"/>
      <w:divBdr>
        <w:top w:val="none" w:sz="0" w:space="0" w:color="auto"/>
        <w:left w:val="none" w:sz="0" w:space="0" w:color="auto"/>
        <w:bottom w:val="none" w:sz="0" w:space="0" w:color="auto"/>
        <w:right w:val="none" w:sz="0" w:space="0" w:color="auto"/>
      </w:divBdr>
    </w:div>
    <w:div w:id="213976510">
      <w:bodyDiv w:val="1"/>
      <w:marLeft w:val="0"/>
      <w:marRight w:val="0"/>
      <w:marTop w:val="0"/>
      <w:marBottom w:val="0"/>
      <w:divBdr>
        <w:top w:val="none" w:sz="0" w:space="0" w:color="auto"/>
        <w:left w:val="none" w:sz="0" w:space="0" w:color="auto"/>
        <w:bottom w:val="none" w:sz="0" w:space="0" w:color="auto"/>
        <w:right w:val="none" w:sz="0" w:space="0" w:color="auto"/>
      </w:divBdr>
    </w:div>
    <w:div w:id="214316699">
      <w:bodyDiv w:val="1"/>
      <w:marLeft w:val="0"/>
      <w:marRight w:val="0"/>
      <w:marTop w:val="0"/>
      <w:marBottom w:val="0"/>
      <w:divBdr>
        <w:top w:val="none" w:sz="0" w:space="0" w:color="auto"/>
        <w:left w:val="none" w:sz="0" w:space="0" w:color="auto"/>
        <w:bottom w:val="none" w:sz="0" w:space="0" w:color="auto"/>
        <w:right w:val="none" w:sz="0" w:space="0" w:color="auto"/>
      </w:divBdr>
    </w:div>
    <w:div w:id="214586402">
      <w:bodyDiv w:val="1"/>
      <w:marLeft w:val="0"/>
      <w:marRight w:val="0"/>
      <w:marTop w:val="0"/>
      <w:marBottom w:val="0"/>
      <w:divBdr>
        <w:top w:val="none" w:sz="0" w:space="0" w:color="auto"/>
        <w:left w:val="none" w:sz="0" w:space="0" w:color="auto"/>
        <w:bottom w:val="none" w:sz="0" w:space="0" w:color="auto"/>
        <w:right w:val="none" w:sz="0" w:space="0" w:color="auto"/>
      </w:divBdr>
    </w:div>
    <w:div w:id="214780706">
      <w:bodyDiv w:val="1"/>
      <w:marLeft w:val="0"/>
      <w:marRight w:val="0"/>
      <w:marTop w:val="0"/>
      <w:marBottom w:val="0"/>
      <w:divBdr>
        <w:top w:val="none" w:sz="0" w:space="0" w:color="auto"/>
        <w:left w:val="none" w:sz="0" w:space="0" w:color="auto"/>
        <w:bottom w:val="none" w:sz="0" w:space="0" w:color="auto"/>
        <w:right w:val="none" w:sz="0" w:space="0" w:color="auto"/>
      </w:divBdr>
    </w:div>
    <w:div w:id="214782035">
      <w:bodyDiv w:val="1"/>
      <w:marLeft w:val="0"/>
      <w:marRight w:val="0"/>
      <w:marTop w:val="0"/>
      <w:marBottom w:val="0"/>
      <w:divBdr>
        <w:top w:val="none" w:sz="0" w:space="0" w:color="auto"/>
        <w:left w:val="none" w:sz="0" w:space="0" w:color="auto"/>
        <w:bottom w:val="none" w:sz="0" w:space="0" w:color="auto"/>
        <w:right w:val="none" w:sz="0" w:space="0" w:color="auto"/>
      </w:divBdr>
    </w:div>
    <w:div w:id="215044139">
      <w:bodyDiv w:val="1"/>
      <w:marLeft w:val="0"/>
      <w:marRight w:val="0"/>
      <w:marTop w:val="0"/>
      <w:marBottom w:val="0"/>
      <w:divBdr>
        <w:top w:val="none" w:sz="0" w:space="0" w:color="auto"/>
        <w:left w:val="none" w:sz="0" w:space="0" w:color="auto"/>
        <w:bottom w:val="none" w:sz="0" w:space="0" w:color="auto"/>
        <w:right w:val="none" w:sz="0" w:space="0" w:color="auto"/>
      </w:divBdr>
    </w:div>
    <w:div w:id="215051990">
      <w:bodyDiv w:val="1"/>
      <w:marLeft w:val="0"/>
      <w:marRight w:val="0"/>
      <w:marTop w:val="0"/>
      <w:marBottom w:val="0"/>
      <w:divBdr>
        <w:top w:val="none" w:sz="0" w:space="0" w:color="auto"/>
        <w:left w:val="none" w:sz="0" w:space="0" w:color="auto"/>
        <w:bottom w:val="none" w:sz="0" w:space="0" w:color="auto"/>
        <w:right w:val="none" w:sz="0" w:space="0" w:color="auto"/>
      </w:divBdr>
    </w:div>
    <w:div w:id="215286247">
      <w:bodyDiv w:val="1"/>
      <w:marLeft w:val="0"/>
      <w:marRight w:val="0"/>
      <w:marTop w:val="0"/>
      <w:marBottom w:val="0"/>
      <w:divBdr>
        <w:top w:val="none" w:sz="0" w:space="0" w:color="auto"/>
        <w:left w:val="none" w:sz="0" w:space="0" w:color="auto"/>
        <w:bottom w:val="none" w:sz="0" w:space="0" w:color="auto"/>
        <w:right w:val="none" w:sz="0" w:space="0" w:color="auto"/>
      </w:divBdr>
    </w:div>
    <w:div w:id="215359197">
      <w:bodyDiv w:val="1"/>
      <w:marLeft w:val="0"/>
      <w:marRight w:val="0"/>
      <w:marTop w:val="0"/>
      <w:marBottom w:val="0"/>
      <w:divBdr>
        <w:top w:val="none" w:sz="0" w:space="0" w:color="auto"/>
        <w:left w:val="none" w:sz="0" w:space="0" w:color="auto"/>
        <w:bottom w:val="none" w:sz="0" w:space="0" w:color="auto"/>
        <w:right w:val="none" w:sz="0" w:space="0" w:color="auto"/>
      </w:divBdr>
    </w:div>
    <w:div w:id="215700036">
      <w:bodyDiv w:val="1"/>
      <w:marLeft w:val="0"/>
      <w:marRight w:val="0"/>
      <w:marTop w:val="0"/>
      <w:marBottom w:val="0"/>
      <w:divBdr>
        <w:top w:val="none" w:sz="0" w:space="0" w:color="auto"/>
        <w:left w:val="none" w:sz="0" w:space="0" w:color="auto"/>
        <w:bottom w:val="none" w:sz="0" w:space="0" w:color="auto"/>
        <w:right w:val="none" w:sz="0" w:space="0" w:color="auto"/>
      </w:divBdr>
    </w:div>
    <w:div w:id="216821396">
      <w:bodyDiv w:val="1"/>
      <w:marLeft w:val="0"/>
      <w:marRight w:val="0"/>
      <w:marTop w:val="0"/>
      <w:marBottom w:val="0"/>
      <w:divBdr>
        <w:top w:val="none" w:sz="0" w:space="0" w:color="auto"/>
        <w:left w:val="none" w:sz="0" w:space="0" w:color="auto"/>
        <w:bottom w:val="none" w:sz="0" w:space="0" w:color="auto"/>
        <w:right w:val="none" w:sz="0" w:space="0" w:color="auto"/>
      </w:divBdr>
    </w:div>
    <w:div w:id="217203007">
      <w:bodyDiv w:val="1"/>
      <w:marLeft w:val="0"/>
      <w:marRight w:val="0"/>
      <w:marTop w:val="0"/>
      <w:marBottom w:val="0"/>
      <w:divBdr>
        <w:top w:val="none" w:sz="0" w:space="0" w:color="auto"/>
        <w:left w:val="none" w:sz="0" w:space="0" w:color="auto"/>
        <w:bottom w:val="none" w:sz="0" w:space="0" w:color="auto"/>
        <w:right w:val="none" w:sz="0" w:space="0" w:color="auto"/>
      </w:divBdr>
    </w:div>
    <w:div w:id="217402920">
      <w:bodyDiv w:val="1"/>
      <w:marLeft w:val="0"/>
      <w:marRight w:val="0"/>
      <w:marTop w:val="0"/>
      <w:marBottom w:val="0"/>
      <w:divBdr>
        <w:top w:val="none" w:sz="0" w:space="0" w:color="auto"/>
        <w:left w:val="none" w:sz="0" w:space="0" w:color="auto"/>
        <w:bottom w:val="none" w:sz="0" w:space="0" w:color="auto"/>
        <w:right w:val="none" w:sz="0" w:space="0" w:color="auto"/>
      </w:divBdr>
    </w:div>
    <w:div w:id="217598135">
      <w:bodyDiv w:val="1"/>
      <w:marLeft w:val="0"/>
      <w:marRight w:val="0"/>
      <w:marTop w:val="0"/>
      <w:marBottom w:val="0"/>
      <w:divBdr>
        <w:top w:val="none" w:sz="0" w:space="0" w:color="auto"/>
        <w:left w:val="none" w:sz="0" w:space="0" w:color="auto"/>
        <w:bottom w:val="none" w:sz="0" w:space="0" w:color="auto"/>
        <w:right w:val="none" w:sz="0" w:space="0" w:color="auto"/>
      </w:divBdr>
    </w:div>
    <w:div w:id="217712990">
      <w:bodyDiv w:val="1"/>
      <w:marLeft w:val="0"/>
      <w:marRight w:val="0"/>
      <w:marTop w:val="0"/>
      <w:marBottom w:val="0"/>
      <w:divBdr>
        <w:top w:val="none" w:sz="0" w:space="0" w:color="auto"/>
        <w:left w:val="none" w:sz="0" w:space="0" w:color="auto"/>
        <w:bottom w:val="none" w:sz="0" w:space="0" w:color="auto"/>
        <w:right w:val="none" w:sz="0" w:space="0" w:color="auto"/>
      </w:divBdr>
    </w:div>
    <w:div w:id="218789077">
      <w:bodyDiv w:val="1"/>
      <w:marLeft w:val="0"/>
      <w:marRight w:val="0"/>
      <w:marTop w:val="0"/>
      <w:marBottom w:val="0"/>
      <w:divBdr>
        <w:top w:val="none" w:sz="0" w:space="0" w:color="auto"/>
        <w:left w:val="none" w:sz="0" w:space="0" w:color="auto"/>
        <w:bottom w:val="none" w:sz="0" w:space="0" w:color="auto"/>
        <w:right w:val="none" w:sz="0" w:space="0" w:color="auto"/>
      </w:divBdr>
    </w:div>
    <w:div w:id="219293920">
      <w:bodyDiv w:val="1"/>
      <w:marLeft w:val="0"/>
      <w:marRight w:val="0"/>
      <w:marTop w:val="0"/>
      <w:marBottom w:val="0"/>
      <w:divBdr>
        <w:top w:val="none" w:sz="0" w:space="0" w:color="auto"/>
        <w:left w:val="none" w:sz="0" w:space="0" w:color="auto"/>
        <w:bottom w:val="none" w:sz="0" w:space="0" w:color="auto"/>
        <w:right w:val="none" w:sz="0" w:space="0" w:color="auto"/>
      </w:divBdr>
    </w:div>
    <w:div w:id="219439826">
      <w:bodyDiv w:val="1"/>
      <w:marLeft w:val="0"/>
      <w:marRight w:val="0"/>
      <w:marTop w:val="0"/>
      <w:marBottom w:val="0"/>
      <w:divBdr>
        <w:top w:val="none" w:sz="0" w:space="0" w:color="auto"/>
        <w:left w:val="none" w:sz="0" w:space="0" w:color="auto"/>
        <w:bottom w:val="none" w:sz="0" w:space="0" w:color="auto"/>
        <w:right w:val="none" w:sz="0" w:space="0" w:color="auto"/>
      </w:divBdr>
    </w:div>
    <w:div w:id="219558583">
      <w:bodyDiv w:val="1"/>
      <w:marLeft w:val="0"/>
      <w:marRight w:val="0"/>
      <w:marTop w:val="0"/>
      <w:marBottom w:val="0"/>
      <w:divBdr>
        <w:top w:val="none" w:sz="0" w:space="0" w:color="auto"/>
        <w:left w:val="none" w:sz="0" w:space="0" w:color="auto"/>
        <w:bottom w:val="none" w:sz="0" w:space="0" w:color="auto"/>
        <w:right w:val="none" w:sz="0" w:space="0" w:color="auto"/>
      </w:divBdr>
    </w:div>
    <w:div w:id="219560620">
      <w:bodyDiv w:val="1"/>
      <w:marLeft w:val="0"/>
      <w:marRight w:val="0"/>
      <w:marTop w:val="0"/>
      <w:marBottom w:val="0"/>
      <w:divBdr>
        <w:top w:val="none" w:sz="0" w:space="0" w:color="auto"/>
        <w:left w:val="none" w:sz="0" w:space="0" w:color="auto"/>
        <w:bottom w:val="none" w:sz="0" w:space="0" w:color="auto"/>
        <w:right w:val="none" w:sz="0" w:space="0" w:color="auto"/>
      </w:divBdr>
    </w:div>
    <w:div w:id="219706605">
      <w:bodyDiv w:val="1"/>
      <w:marLeft w:val="0"/>
      <w:marRight w:val="0"/>
      <w:marTop w:val="0"/>
      <w:marBottom w:val="0"/>
      <w:divBdr>
        <w:top w:val="none" w:sz="0" w:space="0" w:color="auto"/>
        <w:left w:val="none" w:sz="0" w:space="0" w:color="auto"/>
        <w:bottom w:val="none" w:sz="0" w:space="0" w:color="auto"/>
        <w:right w:val="none" w:sz="0" w:space="0" w:color="auto"/>
      </w:divBdr>
    </w:div>
    <w:div w:id="220100085">
      <w:bodyDiv w:val="1"/>
      <w:marLeft w:val="0"/>
      <w:marRight w:val="0"/>
      <w:marTop w:val="0"/>
      <w:marBottom w:val="0"/>
      <w:divBdr>
        <w:top w:val="none" w:sz="0" w:space="0" w:color="auto"/>
        <w:left w:val="none" w:sz="0" w:space="0" w:color="auto"/>
        <w:bottom w:val="none" w:sz="0" w:space="0" w:color="auto"/>
        <w:right w:val="none" w:sz="0" w:space="0" w:color="auto"/>
      </w:divBdr>
    </w:div>
    <w:div w:id="220219485">
      <w:bodyDiv w:val="1"/>
      <w:marLeft w:val="0"/>
      <w:marRight w:val="0"/>
      <w:marTop w:val="0"/>
      <w:marBottom w:val="0"/>
      <w:divBdr>
        <w:top w:val="none" w:sz="0" w:space="0" w:color="auto"/>
        <w:left w:val="none" w:sz="0" w:space="0" w:color="auto"/>
        <w:bottom w:val="none" w:sz="0" w:space="0" w:color="auto"/>
        <w:right w:val="none" w:sz="0" w:space="0" w:color="auto"/>
      </w:divBdr>
    </w:div>
    <w:div w:id="220869923">
      <w:bodyDiv w:val="1"/>
      <w:marLeft w:val="0"/>
      <w:marRight w:val="0"/>
      <w:marTop w:val="0"/>
      <w:marBottom w:val="0"/>
      <w:divBdr>
        <w:top w:val="none" w:sz="0" w:space="0" w:color="auto"/>
        <w:left w:val="none" w:sz="0" w:space="0" w:color="auto"/>
        <w:bottom w:val="none" w:sz="0" w:space="0" w:color="auto"/>
        <w:right w:val="none" w:sz="0" w:space="0" w:color="auto"/>
      </w:divBdr>
    </w:div>
    <w:div w:id="220949838">
      <w:bodyDiv w:val="1"/>
      <w:marLeft w:val="0"/>
      <w:marRight w:val="0"/>
      <w:marTop w:val="0"/>
      <w:marBottom w:val="0"/>
      <w:divBdr>
        <w:top w:val="none" w:sz="0" w:space="0" w:color="auto"/>
        <w:left w:val="none" w:sz="0" w:space="0" w:color="auto"/>
        <w:bottom w:val="none" w:sz="0" w:space="0" w:color="auto"/>
        <w:right w:val="none" w:sz="0" w:space="0" w:color="auto"/>
      </w:divBdr>
    </w:div>
    <w:div w:id="221453462">
      <w:bodyDiv w:val="1"/>
      <w:marLeft w:val="0"/>
      <w:marRight w:val="0"/>
      <w:marTop w:val="0"/>
      <w:marBottom w:val="0"/>
      <w:divBdr>
        <w:top w:val="none" w:sz="0" w:space="0" w:color="auto"/>
        <w:left w:val="none" w:sz="0" w:space="0" w:color="auto"/>
        <w:bottom w:val="none" w:sz="0" w:space="0" w:color="auto"/>
        <w:right w:val="none" w:sz="0" w:space="0" w:color="auto"/>
      </w:divBdr>
    </w:div>
    <w:div w:id="221605287">
      <w:bodyDiv w:val="1"/>
      <w:marLeft w:val="0"/>
      <w:marRight w:val="0"/>
      <w:marTop w:val="0"/>
      <w:marBottom w:val="0"/>
      <w:divBdr>
        <w:top w:val="none" w:sz="0" w:space="0" w:color="auto"/>
        <w:left w:val="none" w:sz="0" w:space="0" w:color="auto"/>
        <w:bottom w:val="none" w:sz="0" w:space="0" w:color="auto"/>
        <w:right w:val="none" w:sz="0" w:space="0" w:color="auto"/>
      </w:divBdr>
    </w:div>
    <w:div w:id="221791664">
      <w:bodyDiv w:val="1"/>
      <w:marLeft w:val="0"/>
      <w:marRight w:val="0"/>
      <w:marTop w:val="0"/>
      <w:marBottom w:val="0"/>
      <w:divBdr>
        <w:top w:val="none" w:sz="0" w:space="0" w:color="auto"/>
        <w:left w:val="none" w:sz="0" w:space="0" w:color="auto"/>
        <w:bottom w:val="none" w:sz="0" w:space="0" w:color="auto"/>
        <w:right w:val="none" w:sz="0" w:space="0" w:color="auto"/>
      </w:divBdr>
    </w:div>
    <w:div w:id="222254199">
      <w:bodyDiv w:val="1"/>
      <w:marLeft w:val="0"/>
      <w:marRight w:val="0"/>
      <w:marTop w:val="0"/>
      <w:marBottom w:val="0"/>
      <w:divBdr>
        <w:top w:val="none" w:sz="0" w:space="0" w:color="auto"/>
        <w:left w:val="none" w:sz="0" w:space="0" w:color="auto"/>
        <w:bottom w:val="none" w:sz="0" w:space="0" w:color="auto"/>
        <w:right w:val="none" w:sz="0" w:space="0" w:color="auto"/>
      </w:divBdr>
    </w:div>
    <w:div w:id="222448473">
      <w:bodyDiv w:val="1"/>
      <w:marLeft w:val="0"/>
      <w:marRight w:val="0"/>
      <w:marTop w:val="0"/>
      <w:marBottom w:val="0"/>
      <w:divBdr>
        <w:top w:val="none" w:sz="0" w:space="0" w:color="auto"/>
        <w:left w:val="none" w:sz="0" w:space="0" w:color="auto"/>
        <w:bottom w:val="none" w:sz="0" w:space="0" w:color="auto"/>
        <w:right w:val="none" w:sz="0" w:space="0" w:color="auto"/>
      </w:divBdr>
    </w:div>
    <w:div w:id="222495729">
      <w:bodyDiv w:val="1"/>
      <w:marLeft w:val="0"/>
      <w:marRight w:val="0"/>
      <w:marTop w:val="0"/>
      <w:marBottom w:val="0"/>
      <w:divBdr>
        <w:top w:val="none" w:sz="0" w:space="0" w:color="auto"/>
        <w:left w:val="none" w:sz="0" w:space="0" w:color="auto"/>
        <w:bottom w:val="none" w:sz="0" w:space="0" w:color="auto"/>
        <w:right w:val="none" w:sz="0" w:space="0" w:color="auto"/>
      </w:divBdr>
    </w:div>
    <w:div w:id="222525856">
      <w:bodyDiv w:val="1"/>
      <w:marLeft w:val="0"/>
      <w:marRight w:val="0"/>
      <w:marTop w:val="0"/>
      <w:marBottom w:val="0"/>
      <w:divBdr>
        <w:top w:val="none" w:sz="0" w:space="0" w:color="auto"/>
        <w:left w:val="none" w:sz="0" w:space="0" w:color="auto"/>
        <w:bottom w:val="none" w:sz="0" w:space="0" w:color="auto"/>
        <w:right w:val="none" w:sz="0" w:space="0" w:color="auto"/>
      </w:divBdr>
    </w:div>
    <w:div w:id="222565803">
      <w:bodyDiv w:val="1"/>
      <w:marLeft w:val="0"/>
      <w:marRight w:val="0"/>
      <w:marTop w:val="0"/>
      <w:marBottom w:val="0"/>
      <w:divBdr>
        <w:top w:val="none" w:sz="0" w:space="0" w:color="auto"/>
        <w:left w:val="none" w:sz="0" w:space="0" w:color="auto"/>
        <w:bottom w:val="none" w:sz="0" w:space="0" w:color="auto"/>
        <w:right w:val="none" w:sz="0" w:space="0" w:color="auto"/>
      </w:divBdr>
    </w:div>
    <w:div w:id="223413065">
      <w:bodyDiv w:val="1"/>
      <w:marLeft w:val="0"/>
      <w:marRight w:val="0"/>
      <w:marTop w:val="0"/>
      <w:marBottom w:val="0"/>
      <w:divBdr>
        <w:top w:val="none" w:sz="0" w:space="0" w:color="auto"/>
        <w:left w:val="none" w:sz="0" w:space="0" w:color="auto"/>
        <w:bottom w:val="none" w:sz="0" w:space="0" w:color="auto"/>
        <w:right w:val="none" w:sz="0" w:space="0" w:color="auto"/>
      </w:divBdr>
    </w:div>
    <w:div w:id="223419475">
      <w:bodyDiv w:val="1"/>
      <w:marLeft w:val="0"/>
      <w:marRight w:val="0"/>
      <w:marTop w:val="0"/>
      <w:marBottom w:val="0"/>
      <w:divBdr>
        <w:top w:val="none" w:sz="0" w:space="0" w:color="auto"/>
        <w:left w:val="none" w:sz="0" w:space="0" w:color="auto"/>
        <w:bottom w:val="none" w:sz="0" w:space="0" w:color="auto"/>
        <w:right w:val="none" w:sz="0" w:space="0" w:color="auto"/>
      </w:divBdr>
    </w:div>
    <w:div w:id="223488775">
      <w:bodyDiv w:val="1"/>
      <w:marLeft w:val="0"/>
      <w:marRight w:val="0"/>
      <w:marTop w:val="0"/>
      <w:marBottom w:val="0"/>
      <w:divBdr>
        <w:top w:val="none" w:sz="0" w:space="0" w:color="auto"/>
        <w:left w:val="none" w:sz="0" w:space="0" w:color="auto"/>
        <w:bottom w:val="none" w:sz="0" w:space="0" w:color="auto"/>
        <w:right w:val="none" w:sz="0" w:space="0" w:color="auto"/>
      </w:divBdr>
    </w:div>
    <w:div w:id="223565203">
      <w:bodyDiv w:val="1"/>
      <w:marLeft w:val="0"/>
      <w:marRight w:val="0"/>
      <w:marTop w:val="0"/>
      <w:marBottom w:val="0"/>
      <w:divBdr>
        <w:top w:val="none" w:sz="0" w:space="0" w:color="auto"/>
        <w:left w:val="none" w:sz="0" w:space="0" w:color="auto"/>
        <w:bottom w:val="none" w:sz="0" w:space="0" w:color="auto"/>
        <w:right w:val="none" w:sz="0" w:space="0" w:color="auto"/>
      </w:divBdr>
    </w:div>
    <w:div w:id="223760479">
      <w:bodyDiv w:val="1"/>
      <w:marLeft w:val="0"/>
      <w:marRight w:val="0"/>
      <w:marTop w:val="0"/>
      <w:marBottom w:val="0"/>
      <w:divBdr>
        <w:top w:val="none" w:sz="0" w:space="0" w:color="auto"/>
        <w:left w:val="none" w:sz="0" w:space="0" w:color="auto"/>
        <w:bottom w:val="none" w:sz="0" w:space="0" w:color="auto"/>
        <w:right w:val="none" w:sz="0" w:space="0" w:color="auto"/>
      </w:divBdr>
    </w:div>
    <w:div w:id="224072806">
      <w:bodyDiv w:val="1"/>
      <w:marLeft w:val="0"/>
      <w:marRight w:val="0"/>
      <w:marTop w:val="0"/>
      <w:marBottom w:val="0"/>
      <w:divBdr>
        <w:top w:val="none" w:sz="0" w:space="0" w:color="auto"/>
        <w:left w:val="none" w:sz="0" w:space="0" w:color="auto"/>
        <w:bottom w:val="none" w:sz="0" w:space="0" w:color="auto"/>
        <w:right w:val="none" w:sz="0" w:space="0" w:color="auto"/>
      </w:divBdr>
    </w:div>
    <w:div w:id="224144418">
      <w:bodyDiv w:val="1"/>
      <w:marLeft w:val="0"/>
      <w:marRight w:val="0"/>
      <w:marTop w:val="0"/>
      <w:marBottom w:val="0"/>
      <w:divBdr>
        <w:top w:val="none" w:sz="0" w:space="0" w:color="auto"/>
        <w:left w:val="none" w:sz="0" w:space="0" w:color="auto"/>
        <w:bottom w:val="none" w:sz="0" w:space="0" w:color="auto"/>
        <w:right w:val="none" w:sz="0" w:space="0" w:color="auto"/>
      </w:divBdr>
    </w:div>
    <w:div w:id="224151459">
      <w:bodyDiv w:val="1"/>
      <w:marLeft w:val="0"/>
      <w:marRight w:val="0"/>
      <w:marTop w:val="0"/>
      <w:marBottom w:val="0"/>
      <w:divBdr>
        <w:top w:val="none" w:sz="0" w:space="0" w:color="auto"/>
        <w:left w:val="none" w:sz="0" w:space="0" w:color="auto"/>
        <w:bottom w:val="none" w:sz="0" w:space="0" w:color="auto"/>
        <w:right w:val="none" w:sz="0" w:space="0" w:color="auto"/>
      </w:divBdr>
    </w:div>
    <w:div w:id="224486652">
      <w:bodyDiv w:val="1"/>
      <w:marLeft w:val="0"/>
      <w:marRight w:val="0"/>
      <w:marTop w:val="0"/>
      <w:marBottom w:val="0"/>
      <w:divBdr>
        <w:top w:val="none" w:sz="0" w:space="0" w:color="auto"/>
        <w:left w:val="none" w:sz="0" w:space="0" w:color="auto"/>
        <w:bottom w:val="none" w:sz="0" w:space="0" w:color="auto"/>
        <w:right w:val="none" w:sz="0" w:space="0" w:color="auto"/>
      </w:divBdr>
    </w:div>
    <w:div w:id="224806526">
      <w:bodyDiv w:val="1"/>
      <w:marLeft w:val="0"/>
      <w:marRight w:val="0"/>
      <w:marTop w:val="0"/>
      <w:marBottom w:val="0"/>
      <w:divBdr>
        <w:top w:val="none" w:sz="0" w:space="0" w:color="auto"/>
        <w:left w:val="none" w:sz="0" w:space="0" w:color="auto"/>
        <w:bottom w:val="none" w:sz="0" w:space="0" w:color="auto"/>
        <w:right w:val="none" w:sz="0" w:space="0" w:color="auto"/>
      </w:divBdr>
    </w:div>
    <w:div w:id="224874674">
      <w:bodyDiv w:val="1"/>
      <w:marLeft w:val="0"/>
      <w:marRight w:val="0"/>
      <w:marTop w:val="0"/>
      <w:marBottom w:val="0"/>
      <w:divBdr>
        <w:top w:val="none" w:sz="0" w:space="0" w:color="auto"/>
        <w:left w:val="none" w:sz="0" w:space="0" w:color="auto"/>
        <w:bottom w:val="none" w:sz="0" w:space="0" w:color="auto"/>
        <w:right w:val="none" w:sz="0" w:space="0" w:color="auto"/>
      </w:divBdr>
    </w:div>
    <w:div w:id="224921087">
      <w:bodyDiv w:val="1"/>
      <w:marLeft w:val="0"/>
      <w:marRight w:val="0"/>
      <w:marTop w:val="0"/>
      <w:marBottom w:val="0"/>
      <w:divBdr>
        <w:top w:val="none" w:sz="0" w:space="0" w:color="auto"/>
        <w:left w:val="none" w:sz="0" w:space="0" w:color="auto"/>
        <w:bottom w:val="none" w:sz="0" w:space="0" w:color="auto"/>
        <w:right w:val="none" w:sz="0" w:space="0" w:color="auto"/>
      </w:divBdr>
    </w:div>
    <w:div w:id="225264301">
      <w:bodyDiv w:val="1"/>
      <w:marLeft w:val="0"/>
      <w:marRight w:val="0"/>
      <w:marTop w:val="0"/>
      <w:marBottom w:val="0"/>
      <w:divBdr>
        <w:top w:val="none" w:sz="0" w:space="0" w:color="auto"/>
        <w:left w:val="none" w:sz="0" w:space="0" w:color="auto"/>
        <w:bottom w:val="none" w:sz="0" w:space="0" w:color="auto"/>
        <w:right w:val="none" w:sz="0" w:space="0" w:color="auto"/>
      </w:divBdr>
    </w:div>
    <w:div w:id="225378628">
      <w:bodyDiv w:val="1"/>
      <w:marLeft w:val="0"/>
      <w:marRight w:val="0"/>
      <w:marTop w:val="0"/>
      <w:marBottom w:val="0"/>
      <w:divBdr>
        <w:top w:val="none" w:sz="0" w:space="0" w:color="auto"/>
        <w:left w:val="none" w:sz="0" w:space="0" w:color="auto"/>
        <w:bottom w:val="none" w:sz="0" w:space="0" w:color="auto"/>
        <w:right w:val="none" w:sz="0" w:space="0" w:color="auto"/>
      </w:divBdr>
    </w:div>
    <w:div w:id="225650929">
      <w:bodyDiv w:val="1"/>
      <w:marLeft w:val="0"/>
      <w:marRight w:val="0"/>
      <w:marTop w:val="0"/>
      <w:marBottom w:val="0"/>
      <w:divBdr>
        <w:top w:val="none" w:sz="0" w:space="0" w:color="auto"/>
        <w:left w:val="none" w:sz="0" w:space="0" w:color="auto"/>
        <w:bottom w:val="none" w:sz="0" w:space="0" w:color="auto"/>
        <w:right w:val="none" w:sz="0" w:space="0" w:color="auto"/>
      </w:divBdr>
    </w:div>
    <w:div w:id="226647066">
      <w:bodyDiv w:val="1"/>
      <w:marLeft w:val="0"/>
      <w:marRight w:val="0"/>
      <w:marTop w:val="0"/>
      <w:marBottom w:val="0"/>
      <w:divBdr>
        <w:top w:val="none" w:sz="0" w:space="0" w:color="auto"/>
        <w:left w:val="none" w:sz="0" w:space="0" w:color="auto"/>
        <w:bottom w:val="none" w:sz="0" w:space="0" w:color="auto"/>
        <w:right w:val="none" w:sz="0" w:space="0" w:color="auto"/>
      </w:divBdr>
    </w:div>
    <w:div w:id="226766701">
      <w:bodyDiv w:val="1"/>
      <w:marLeft w:val="0"/>
      <w:marRight w:val="0"/>
      <w:marTop w:val="0"/>
      <w:marBottom w:val="0"/>
      <w:divBdr>
        <w:top w:val="none" w:sz="0" w:space="0" w:color="auto"/>
        <w:left w:val="none" w:sz="0" w:space="0" w:color="auto"/>
        <w:bottom w:val="none" w:sz="0" w:space="0" w:color="auto"/>
        <w:right w:val="none" w:sz="0" w:space="0" w:color="auto"/>
      </w:divBdr>
    </w:div>
    <w:div w:id="226915876">
      <w:bodyDiv w:val="1"/>
      <w:marLeft w:val="0"/>
      <w:marRight w:val="0"/>
      <w:marTop w:val="0"/>
      <w:marBottom w:val="0"/>
      <w:divBdr>
        <w:top w:val="none" w:sz="0" w:space="0" w:color="auto"/>
        <w:left w:val="none" w:sz="0" w:space="0" w:color="auto"/>
        <w:bottom w:val="none" w:sz="0" w:space="0" w:color="auto"/>
        <w:right w:val="none" w:sz="0" w:space="0" w:color="auto"/>
      </w:divBdr>
    </w:div>
    <w:div w:id="227108010">
      <w:bodyDiv w:val="1"/>
      <w:marLeft w:val="0"/>
      <w:marRight w:val="0"/>
      <w:marTop w:val="0"/>
      <w:marBottom w:val="0"/>
      <w:divBdr>
        <w:top w:val="none" w:sz="0" w:space="0" w:color="auto"/>
        <w:left w:val="none" w:sz="0" w:space="0" w:color="auto"/>
        <w:bottom w:val="none" w:sz="0" w:space="0" w:color="auto"/>
        <w:right w:val="none" w:sz="0" w:space="0" w:color="auto"/>
      </w:divBdr>
    </w:div>
    <w:div w:id="227350281">
      <w:bodyDiv w:val="1"/>
      <w:marLeft w:val="0"/>
      <w:marRight w:val="0"/>
      <w:marTop w:val="0"/>
      <w:marBottom w:val="0"/>
      <w:divBdr>
        <w:top w:val="none" w:sz="0" w:space="0" w:color="auto"/>
        <w:left w:val="none" w:sz="0" w:space="0" w:color="auto"/>
        <w:bottom w:val="none" w:sz="0" w:space="0" w:color="auto"/>
        <w:right w:val="none" w:sz="0" w:space="0" w:color="auto"/>
      </w:divBdr>
    </w:div>
    <w:div w:id="227423538">
      <w:bodyDiv w:val="1"/>
      <w:marLeft w:val="0"/>
      <w:marRight w:val="0"/>
      <w:marTop w:val="0"/>
      <w:marBottom w:val="0"/>
      <w:divBdr>
        <w:top w:val="none" w:sz="0" w:space="0" w:color="auto"/>
        <w:left w:val="none" w:sz="0" w:space="0" w:color="auto"/>
        <w:bottom w:val="none" w:sz="0" w:space="0" w:color="auto"/>
        <w:right w:val="none" w:sz="0" w:space="0" w:color="auto"/>
      </w:divBdr>
    </w:div>
    <w:div w:id="227694174">
      <w:bodyDiv w:val="1"/>
      <w:marLeft w:val="0"/>
      <w:marRight w:val="0"/>
      <w:marTop w:val="0"/>
      <w:marBottom w:val="0"/>
      <w:divBdr>
        <w:top w:val="none" w:sz="0" w:space="0" w:color="auto"/>
        <w:left w:val="none" w:sz="0" w:space="0" w:color="auto"/>
        <w:bottom w:val="none" w:sz="0" w:space="0" w:color="auto"/>
        <w:right w:val="none" w:sz="0" w:space="0" w:color="auto"/>
      </w:divBdr>
    </w:div>
    <w:div w:id="228425205">
      <w:bodyDiv w:val="1"/>
      <w:marLeft w:val="0"/>
      <w:marRight w:val="0"/>
      <w:marTop w:val="0"/>
      <w:marBottom w:val="0"/>
      <w:divBdr>
        <w:top w:val="none" w:sz="0" w:space="0" w:color="auto"/>
        <w:left w:val="none" w:sz="0" w:space="0" w:color="auto"/>
        <w:bottom w:val="none" w:sz="0" w:space="0" w:color="auto"/>
        <w:right w:val="none" w:sz="0" w:space="0" w:color="auto"/>
      </w:divBdr>
    </w:div>
    <w:div w:id="228542773">
      <w:bodyDiv w:val="1"/>
      <w:marLeft w:val="0"/>
      <w:marRight w:val="0"/>
      <w:marTop w:val="0"/>
      <w:marBottom w:val="0"/>
      <w:divBdr>
        <w:top w:val="none" w:sz="0" w:space="0" w:color="auto"/>
        <w:left w:val="none" w:sz="0" w:space="0" w:color="auto"/>
        <w:bottom w:val="none" w:sz="0" w:space="0" w:color="auto"/>
        <w:right w:val="none" w:sz="0" w:space="0" w:color="auto"/>
      </w:divBdr>
    </w:div>
    <w:div w:id="228615117">
      <w:bodyDiv w:val="1"/>
      <w:marLeft w:val="0"/>
      <w:marRight w:val="0"/>
      <w:marTop w:val="0"/>
      <w:marBottom w:val="0"/>
      <w:divBdr>
        <w:top w:val="none" w:sz="0" w:space="0" w:color="auto"/>
        <w:left w:val="none" w:sz="0" w:space="0" w:color="auto"/>
        <w:bottom w:val="none" w:sz="0" w:space="0" w:color="auto"/>
        <w:right w:val="none" w:sz="0" w:space="0" w:color="auto"/>
      </w:divBdr>
    </w:div>
    <w:div w:id="228658869">
      <w:bodyDiv w:val="1"/>
      <w:marLeft w:val="0"/>
      <w:marRight w:val="0"/>
      <w:marTop w:val="0"/>
      <w:marBottom w:val="0"/>
      <w:divBdr>
        <w:top w:val="none" w:sz="0" w:space="0" w:color="auto"/>
        <w:left w:val="none" w:sz="0" w:space="0" w:color="auto"/>
        <w:bottom w:val="none" w:sz="0" w:space="0" w:color="auto"/>
        <w:right w:val="none" w:sz="0" w:space="0" w:color="auto"/>
      </w:divBdr>
    </w:div>
    <w:div w:id="228926519">
      <w:bodyDiv w:val="1"/>
      <w:marLeft w:val="0"/>
      <w:marRight w:val="0"/>
      <w:marTop w:val="0"/>
      <w:marBottom w:val="0"/>
      <w:divBdr>
        <w:top w:val="none" w:sz="0" w:space="0" w:color="auto"/>
        <w:left w:val="none" w:sz="0" w:space="0" w:color="auto"/>
        <w:bottom w:val="none" w:sz="0" w:space="0" w:color="auto"/>
        <w:right w:val="none" w:sz="0" w:space="0" w:color="auto"/>
      </w:divBdr>
    </w:div>
    <w:div w:id="229200255">
      <w:bodyDiv w:val="1"/>
      <w:marLeft w:val="0"/>
      <w:marRight w:val="0"/>
      <w:marTop w:val="0"/>
      <w:marBottom w:val="0"/>
      <w:divBdr>
        <w:top w:val="none" w:sz="0" w:space="0" w:color="auto"/>
        <w:left w:val="none" w:sz="0" w:space="0" w:color="auto"/>
        <w:bottom w:val="none" w:sz="0" w:space="0" w:color="auto"/>
        <w:right w:val="none" w:sz="0" w:space="0" w:color="auto"/>
      </w:divBdr>
    </w:div>
    <w:div w:id="229275357">
      <w:bodyDiv w:val="1"/>
      <w:marLeft w:val="0"/>
      <w:marRight w:val="0"/>
      <w:marTop w:val="0"/>
      <w:marBottom w:val="0"/>
      <w:divBdr>
        <w:top w:val="none" w:sz="0" w:space="0" w:color="auto"/>
        <w:left w:val="none" w:sz="0" w:space="0" w:color="auto"/>
        <w:bottom w:val="none" w:sz="0" w:space="0" w:color="auto"/>
        <w:right w:val="none" w:sz="0" w:space="0" w:color="auto"/>
      </w:divBdr>
    </w:div>
    <w:div w:id="229315477">
      <w:bodyDiv w:val="1"/>
      <w:marLeft w:val="0"/>
      <w:marRight w:val="0"/>
      <w:marTop w:val="0"/>
      <w:marBottom w:val="0"/>
      <w:divBdr>
        <w:top w:val="none" w:sz="0" w:space="0" w:color="auto"/>
        <w:left w:val="none" w:sz="0" w:space="0" w:color="auto"/>
        <w:bottom w:val="none" w:sz="0" w:space="0" w:color="auto"/>
        <w:right w:val="none" w:sz="0" w:space="0" w:color="auto"/>
      </w:divBdr>
    </w:div>
    <w:div w:id="230048386">
      <w:bodyDiv w:val="1"/>
      <w:marLeft w:val="0"/>
      <w:marRight w:val="0"/>
      <w:marTop w:val="0"/>
      <w:marBottom w:val="0"/>
      <w:divBdr>
        <w:top w:val="none" w:sz="0" w:space="0" w:color="auto"/>
        <w:left w:val="none" w:sz="0" w:space="0" w:color="auto"/>
        <w:bottom w:val="none" w:sz="0" w:space="0" w:color="auto"/>
        <w:right w:val="none" w:sz="0" w:space="0" w:color="auto"/>
      </w:divBdr>
    </w:div>
    <w:div w:id="230236247">
      <w:bodyDiv w:val="1"/>
      <w:marLeft w:val="0"/>
      <w:marRight w:val="0"/>
      <w:marTop w:val="0"/>
      <w:marBottom w:val="0"/>
      <w:divBdr>
        <w:top w:val="none" w:sz="0" w:space="0" w:color="auto"/>
        <w:left w:val="none" w:sz="0" w:space="0" w:color="auto"/>
        <w:bottom w:val="none" w:sz="0" w:space="0" w:color="auto"/>
        <w:right w:val="none" w:sz="0" w:space="0" w:color="auto"/>
      </w:divBdr>
    </w:div>
    <w:div w:id="230435079">
      <w:bodyDiv w:val="1"/>
      <w:marLeft w:val="0"/>
      <w:marRight w:val="0"/>
      <w:marTop w:val="0"/>
      <w:marBottom w:val="0"/>
      <w:divBdr>
        <w:top w:val="none" w:sz="0" w:space="0" w:color="auto"/>
        <w:left w:val="none" w:sz="0" w:space="0" w:color="auto"/>
        <w:bottom w:val="none" w:sz="0" w:space="0" w:color="auto"/>
        <w:right w:val="none" w:sz="0" w:space="0" w:color="auto"/>
      </w:divBdr>
    </w:div>
    <w:div w:id="230583678">
      <w:bodyDiv w:val="1"/>
      <w:marLeft w:val="0"/>
      <w:marRight w:val="0"/>
      <w:marTop w:val="0"/>
      <w:marBottom w:val="0"/>
      <w:divBdr>
        <w:top w:val="none" w:sz="0" w:space="0" w:color="auto"/>
        <w:left w:val="none" w:sz="0" w:space="0" w:color="auto"/>
        <w:bottom w:val="none" w:sz="0" w:space="0" w:color="auto"/>
        <w:right w:val="none" w:sz="0" w:space="0" w:color="auto"/>
      </w:divBdr>
    </w:div>
    <w:div w:id="231160585">
      <w:bodyDiv w:val="1"/>
      <w:marLeft w:val="0"/>
      <w:marRight w:val="0"/>
      <w:marTop w:val="0"/>
      <w:marBottom w:val="0"/>
      <w:divBdr>
        <w:top w:val="none" w:sz="0" w:space="0" w:color="auto"/>
        <w:left w:val="none" w:sz="0" w:space="0" w:color="auto"/>
        <w:bottom w:val="none" w:sz="0" w:space="0" w:color="auto"/>
        <w:right w:val="none" w:sz="0" w:space="0" w:color="auto"/>
      </w:divBdr>
    </w:div>
    <w:div w:id="231355210">
      <w:bodyDiv w:val="1"/>
      <w:marLeft w:val="0"/>
      <w:marRight w:val="0"/>
      <w:marTop w:val="0"/>
      <w:marBottom w:val="0"/>
      <w:divBdr>
        <w:top w:val="none" w:sz="0" w:space="0" w:color="auto"/>
        <w:left w:val="none" w:sz="0" w:space="0" w:color="auto"/>
        <w:bottom w:val="none" w:sz="0" w:space="0" w:color="auto"/>
        <w:right w:val="none" w:sz="0" w:space="0" w:color="auto"/>
      </w:divBdr>
    </w:div>
    <w:div w:id="231552305">
      <w:bodyDiv w:val="1"/>
      <w:marLeft w:val="0"/>
      <w:marRight w:val="0"/>
      <w:marTop w:val="0"/>
      <w:marBottom w:val="0"/>
      <w:divBdr>
        <w:top w:val="none" w:sz="0" w:space="0" w:color="auto"/>
        <w:left w:val="none" w:sz="0" w:space="0" w:color="auto"/>
        <w:bottom w:val="none" w:sz="0" w:space="0" w:color="auto"/>
        <w:right w:val="none" w:sz="0" w:space="0" w:color="auto"/>
      </w:divBdr>
    </w:div>
    <w:div w:id="231813779">
      <w:bodyDiv w:val="1"/>
      <w:marLeft w:val="0"/>
      <w:marRight w:val="0"/>
      <w:marTop w:val="0"/>
      <w:marBottom w:val="0"/>
      <w:divBdr>
        <w:top w:val="none" w:sz="0" w:space="0" w:color="auto"/>
        <w:left w:val="none" w:sz="0" w:space="0" w:color="auto"/>
        <w:bottom w:val="none" w:sz="0" w:space="0" w:color="auto"/>
        <w:right w:val="none" w:sz="0" w:space="0" w:color="auto"/>
      </w:divBdr>
    </w:div>
    <w:div w:id="232129955">
      <w:bodyDiv w:val="1"/>
      <w:marLeft w:val="0"/>
      <w:marRight w:val="0"/>
      <w:marTop w:val="0"/>
      <w:marBottom w:val="0"/>
      <w:divBdr>
        <w:top w:val="none" w:sz="0" w:space="0" w:color="auto"/>
        <w:left w:val="none" w:sz="0" w:space="0" w:color="auto"/>
        <w:bottom w:val="none" w:sz="0" w:space="0" w:color="auto"/>
        <w:right w:val="none" w:sz="0" w:space="0" w:color="auto"/>
      </w:divBdr>
    </w:div>
    <w:div w:id="232132051">
      <w:bodyDiv w:val="1"/>
      <w:marLeft w:val="0"/>
      <w:marRight w:val="0"/>
      <w:marTop w:val="0"/>
      <w:marBottom w:val="0"/>
      <w:divBdr>
        <w:top w:val="none" w:sz="0" w:space="0" w:color="auto"/>
        <w:left w:val="none" w:sz="0" w:space="0" w:color="auto"/>
        <w:bottom w:val="none" w:sz="0" w:space="0" w:color="auto"/>
        <w:right w:val="none" w:sz="0" w:space="0" w:color="auto"/>
      </w:divBdr>
    </w:div>
    <w:div w:id="232543070">
      <w:bodyDiv w:val="1"/>
      <w:marLeft w:val="0"/>
      <w:marRight w:val="0"/>
      <w:marTop w:val="0"/>
      <w:marBottom w:val="0"/>
      <w:divBdr>
        <w:top w:val="none" w:sz="0" w:space="0" w:color="auto"/>
        <w:left w:val="none" w:sz="0" w:space="0" w:color="auto"/>
        <w:bottom w:val="none" w:sz="0" w:space="0" w:color="auto"/>
        <w:right w:val="none" w:sz="0" w:space="0" w:color="auto"/>
      </w:divBdr>
    </w:div>
    <w:div w:id="233324139">
      <w:bodyDiv w:val="1"/>
      <w:marLeft w:val="0"/>
      <w:marRight w:val="0"/>
      <w:marTop w:val="0"/>
      <w:marBottom w:val="0"/>
      <w:divBdr>
        <w:top w:val="none" w:sz="0" w:space="0" w:color="auto"/>
        <w:left w:val="none" w:sz="0" w:space="0" w:color="auto"/>
        <w:bottom w:val="none" w:sz="0" w:space="0" w:color="auto"/>
        <w:right w:val="none" w:sz="0" w:space="0" w:color="auto"/>
      </w:divBdr>
    </w:div>
    <w:div w:id="233441696">
      <w:bodyDiv w:val="1"/>
      <w:marLeft w:val="0"/>
      <w:marRight w:val="0"/>
      <w:marTop w:val="0"/>
      <w:marBottom w:val="0"/>
      <w:divBdr>
        <w:top w:val="none" w:sz="0" w:space="0" w:color="auto"/>
        <w:left w:val="none" w:sz="0" w:space="0" w:color="auto"/>
        <w:bottom w:val="none" w:sz="0" w:space="0" w:color="auto"/>
        <w:right w:val="none" w:sz="0" w:space="0" w:color="auto"/>
      </w:divBdr>
    </w:div>
    <w:div w:id="233661136">
      <w:bodyDiv w:val="1"/>
      <w:marLeft w:val="0"/>
      <w:marRight w:val="0"/>
      <w:marTop w:val="0"/>
      <w:marBottom w:val="0"/>
      <w:divBdr>
        <w:top w:val="none" w:sz="0" w:space="0" w:color="auto"/>
        <w:left w:val="none" w:sz="0" w:space="0" w:color="auto"/>
        <w:bottom w:val="none" w:sz="0" w:space="0" w:color="auto"/>
        <w:right w:val="none" w:sz="0" w:space="0" w:color="auto"/>
      </w:divBdr>
    </w:div>
    <w:div w:id="234047042">
      <w:bodyDiv w:val="1"/>
      <w:marLeft w:val="0"/>
      <w:marRight w:val="0"/>
      <w:marTop w:val="0"/>
      <w:marBottom w:val="0"/>
      <w:divBdr>
        <w:top w:val="none" w:sz="0" w:space="0" w:color="auto"/>
        <w:left w:val="none" w:sz="0" w:space="0" w:color="auto"/>
        <w:bottom w:val="none" w:sz="0" w:space="0" w:color="auto"/>
        <w:right w:val="none" w:sz="0" w:space="0" w:color="auto"/>
      </w:divBdr>
    </w:div>
    <w:div w:id="234437971">
      <w:bodyDiv w:val="1"/>
      <w:marLeft w:val="0"/>
      <w:marRight w:val="0"/>
      <w:marTop w:val="0"/>
      <w:marBottom w:val="0"/>
      <w:divBdr>
        <w:top w:val="none" w:sz="0" w:space="0" w:color="auto"/>
        <w:left w:val="none" w:sz="0" w:space="0" w:color="auto"/>
        <w:bottom w:val="none" w:sz="0" w:space="0" w:color="auto"/>
        <w:right w:val="none" w:sz="0" w:space="0" w:color="auto"/>
      </w:divBdr>
    </w:div>
    <w:div w:id="234750959">
      <w:bodyDiv w:val="1"/>
      <w:marLeft w:val="0"/>
      <w:marRight w:val="0"/>
      <w:marTop w:val="0"/>
      <w:marBottom w:val="0"/>
      <w:divBdr>
        <w:top w:val="none" w:sz="0" w:space="0" w:color="auto"/>
        <w:left w:val="none" w:sz="0" w:space="0" w:color="auto"/>
        <w:bottom w:val="none" w:sz="0" w:space="0" w:color="auto"/>
        <w:right w:val="none" w:sz="0" w:space="0" w:color="auto"/>
      </w:divBdr>
    </w:div>
    <w:div w:id="235013615">
      <w:bodyDiv w:val="1"/>
      <w:marLeft w:val="0"/>
      <w:marRight w:val="0"/>
      <w:marTop w:val="0"/>
      <w:marBottom w:val="0"/>
      <w:divBdr>
        <w:top w:val="none" w:sz="0" w:space="0" w:color="auto"/>
        <w:left w:val="none" w:sz="0" w:space="0" w:color="auto"/>
        <w:bottom w:val="none" w:sz="0" w:space="0" w:color="auto"/>
        <w:right w:val="none" w:sz="0" w:space="0" w:color="auto"/>
      </w:divBdr>
    </w:div>
    <w:div w:id="235167301">
      <w:bodyDiv w:val="1"/>
      <w:marLeft w:val="0"/>
      <w:marRight w:val="0"/>
      <w:marTop w:val="0"/>
      <w:marBottom w:val="0"/>
      <w:divBdr>
        <w:top w:val="none" w:sz="0" w:space="0" w:color="auto"/>
        <w:left w:val="none" w:sz="0" w:space="0" w:color="auto"/>
        <w:bottom w:val="none" w:sz="0" w:space="0" w:color="auto"/>
        <w:right w:val="none" w:sz="0" w:space="0" w:color="auto"/>
      </w:divBdr>
    </w:div>
    <w:div w:id="235285421">
      <w:bodyDiv w:val="1"/>
      <w:marLeft w:val="0"/>
      <w:marRight w:val="0"/>
      <w:marTop w:val="0"/>
      <w:marBottom w:val="0"/>
      <w:divBdr>
        <w:top w:val="none" w:sz="0" w:space="0" w:color="auto"/>
        <w:left w:val="none" w:sz="0" w:space="0" w:color="auto"/>
        <w:bottom w:val="none" w:sz="0" w:space="0" w:color="auto"/>
        <w:right w:val="none" w:sz="0" w:space="0" w:color="auto"/>
      </w:divBdr>
    </w:div>
    <w:div w:id="235552134">
      <w:bodyDiv w:val="1"/>
      <w:marLeft w:val="0"/>
      <w:marRight w:val="0"/>
      <w:marTop w:val="0"/>
      <w:marBottom w:val="0"/>
      <w:divBdr>
        <w:top w:val="none" w:sz="0" w:space="0" w:color="auto"/>
        <w:left w:val="none" w:sz="0" w:space="0" w:color="auto"/>
        <w:bottom w:val="none" w:sz="0" w:space="0" w:color="auto"/>
        <w:right w:val="none" w:sz="0" w:space="0" w:color="auto"/>
      </w:divBdr>
    </w:div>
    <w:div w:id="235818774">
      <w:bodyDiv w:val="1"/>
      <w:marLeft w:val="0"/>
      <w:marRight w:val="0"/>
      <w:marTop w:val="0"/>
      <w:marBottom w:val="0"/>
      <w:divBdr>
        <w:top w:val="none" w:sz="0" w:space="0" w:color="auto"/>
        <w:left w:val="none" w:sz="0" w:space="0" w:color="auto"/>
        <w:bottom w:val="none" w:sz="0" w:space="0" w:color="auto"/>
        <w:right w:val="none" w:sz="0" w:space="0" w:color="auto"/>
      </w:divBdr>
    </w:div>
    <w:div w:id="235820382">
      <w:bodyDiv w:val="1"/>
      <w:marLeft w:val="0"/>
      <w:marRight w:val="0"/>
      <w:marTop w:val="0"/>
      <w:marBottom w:val="0"/>
      <w:divBdr>
        <w:top w:val="none" w:sz="0" w:space="0" w:color="auto"/>
        <w:left w:val="none" w:sz="0" w:space="0" w:color="auto"/>
        <w:bottom w:val="none" w:sz="0" w:space="0" w:color="auto"/>
        <w:right w:val="none" w:sz="0" w:space="0" w:color="auto"/>
      </w:divBdr>
    </w:div>
    <w:div w:id="236061272">
      <w:bodyDiv w:val="1"/>
      <w:marLeft w:val="0"/>
      <w:marRight w:val="0"/>
      <w:marTop w:val="0"/>
      <w:marBottom w:val="0"/>
      <w:divBdr>
        <w:top w:val="none" w:sz="0" w:space="0" w:color="auto"/>
        <w:left w:val="none" w:sz="0" w:space="0" w:color="auto"/>
        <w:bottom w:val="none" w:sz="0" w:space="0" w:color="auto"/>
        <w:right w:val="none" w:sz="0" w:space="0" w:color="auto"/>
      </w:divBdr>
    </w:div>
    <w:div w:id="236525630">
      <w:bodyDiv w:val="1"/>
      <w:marLeft w:val="0"/>
      <w:marRight w:val="0"/>
      <w:marTop w:val="0"/>
      <w:marBottom w:val="0"/>
      <w:divBdr>
        <w:top w:val="none" w:sz="0" w:space="0" w:color="auto"/>
        <w:left w:val="none" w:sz="0" w:space="0" w:color="auto"/>
        <w:bottom w:val="none" w:sz="0" w:space="0" w:color="auto"/>
        <w:right w:val="none" w:sz="0" w:space="0" w:color="auto"/>
      </w:divBdr>
    </w:div>
    <w:div w:id="237055574">
      <w:bodyDiv w:val="1"/>
      <w:marLeft w:val="0"/>
      <w:marRight w:val="0"/>
      <w:marTop w:val="0"/>
      <w:marBottom w:val="0"/>
      <w:divBdr>
        <w:top w:val="none" w:sz="0" w:space="0" w:color="auto"/>
        <w:left w:val="none" w:sz="0" w:space="0" w:color="auto"/>
        <w:bottom w:val="none" w:sz="0" w:space="0" w:color="auto"/>
        <w:right w:val="none" w:sz="0" w:space="0" w:color="auto"/>
      </w:divBdr>
    </w:div>
    <w:div w:id="237058890">
      <w:bodyDiv w:val="1"/>
      <w:marLeft w:val="0"/>
      <w:marRight w:val="0"/>
      <w:marTop w:val="0"/>
      <w:marBottom w:val="0"/>
      <w:divBdr>
        <w:top w:val="none" w:sz="0" w:space="0" w:color="auto"/>
        <w:left w:val="none" w:sz="0" w:space="0" w:color="auto"/>
        <w:bottom w:val="none" w:sz="0" w:space="0" w:color="auto"/>
        <w:right w:val="none" w:sz="0" w:space="0" w:color="auto"/>
      </w:divBdr>
    </w:div>
    <w:div w:id="237522850">
      <w:bodyDiv w:val="1"/>
      <w:marLeft w:val="0"/>
      <w:marRight w:val="0"/>
      <w:marTop w:val="0"/>
      <w:marBottom w:val="0"/>
      <w:divBdr>
        <w:top w:val="none" w:sz="0" w:space="0" w:color="auto"/>
        <w:left w:val="none" w:sz="0" w:space="0" w:color="auto"/>
        <w:bottom w:val="none" w:sz="0" w:space="0" w:color="auto"/>
        <w:right w:val="none" w:sz="0" w:space="0" w:color="auto"/>
      </w:divBdr>
    </w:div>
    <w:div w:id="237713606">
      <w:bodyDiv w:val="1"/>
      <w:marLeft w:val="0"/>
      <w:marRight w:val="0"/>
      <w:marTop w:val="0"/>
      <w:marBottom w:val="0"/>
      <w:divBdr>
        <w:top w:val="none" w:sz="0" w:space="0" w:color="auto"/>
        <w:left w:val="none" w:sz="0" w:space="0" w:color="auto"/>
        <w:bottom w:val="none" w:sz="0" w:space="0" w:color="auto"/>
        <w:right w:val="none" w:sz="0" w:space="0" w:color="auto"/>
      </w:divBdr>
    </w:div>
    <w:div w:id="238369866">
      <w:bodyDiv w:val="1"/>
      <w:marLeft w:val="0"/>
      <w:marRight w:val="0"/>
      <w:marTop w:val="0"/>
      <w:marBottom w:val="0"/>
      <w:divBdr>
        <w:top w:val="none" w:sz="0" w:space="0" w:color="auto"/>
        <w:left w:val="none" w:sz="0" w:space="0" w:color="auto"/>
        <w:bottom w:val="none" w:sz="0" w:space="0" w:color="auto"/>
        <w:right w:val="none" w:sz="0" w:space="0" w:color="auto"/>
      </w:divBdr>
    </w:div>
    <w:div w:id="238442144">
      <w:bodyDiv w:val="1"/>
      <w:marLeft w:val="0"/>
      <w:marRight w:val="0"/>
      <w:marTop w:val="0"/>
      <w:marBottom w:val="0"/>
      <w:divBdr>
        <w:top w:val="none" w:sz="0" w:space="0" w:color="auto"/>
        <w:left w:val="none" w:sz="0" w:space="0" w:color="auto"/>
        <w:bottom w:val="none" w:sz="0" w:space="0" w:color="auto"/>
        <w:right w:val="none" w:sz="0" w:space="0" w:color="auto"/>
      </w:divBdr>
    </w:div>
    <w:div w:id="238558981">
      <w:bodyDiv w:val="1"/>
      <w:marLeft w:val="0"/>
      <w:marRight w:val="0"/>
      <w:marTop w:val="0"/>
      <w:marBottom w:val="0"/>
      <w:divBdr>
        <w:top w:val="none" w:sz="0" w:space="0" w:color="auto"/>
        <w:left w:val="none" w:sz="0" w:space="0" w:color="auto"/>
        <w:bottom w:val="none" w:sz="0" w:space="0" w:color="auto"/>
        <w:right w:val="none" w:sz="0" w:space="0" w:color="auto"/>
      </w:divBdr>
    </w:div>
    <w:div w:id="238945751">
      <w:bodyDiv w:val="1"/>
      <w:marLeft w:val="0"/>
      <w:marRight w:val="0"/>
      <w:marTop w:val="0"/>
      <w:marBottom w:val="0"/>
      <w:divBdr>
        <w:top w:val="none" w:sz="0" w:space="0" w:color="auto"/>
        <w:left w:val="none" w:sz="0" w:space="0" w:color="auto"/>
        <w:bottom w:val="none" w:sz="0" w:space="0" w:color="auto"/>
        <w:right w:val="none" w:sz="0" w:space="0" w:color="auto"/>
      </w:divBdr>
    </w:div>
    <w:div w:id="240137141">
      <w:bodyDiv w:val="1"/>
      <w:marLeft w:val="0"/>
      <w:marRight w:val="0"/>
      <w:marTop w:val="0"/>
      <w:marBottom w:val="0"/>
      <w:divBdr>
        <w:top w:val="none" w:sz="0" w:space="0" w:color="auto"/>
        <w:left w:val="none" w:sz="0" w:space="0" w:color="auto"/>
        <w:bottom w:val="none" w:sz="0" w:space="0" w:color="auto"/>
        <w:right w:val="none" w:sz="0" w:space="0" w:color="auto"/>
      </w:divBdr>
    </w:div>
    <w:div w:id="240221330">
      <w:bodyDiv w:val="1"/>
      <w:marLeft w:val="0"/>
      <w:marRight w:val="0"/>
      <w:marTop w:val="0"/>
      <w:marBottom w:val="0"/>
      <w:divBdr>
        <w:top w:val="none" w:sz="0" w:space="0" w:color="auto"/>
        <w:left w:val="none" w:sz="0" w:space="0" w:color="auto"/>
        <w:bottom w:val="none" w:sz="0" w:space="0" w:color="auto"/>
        <w:right w:val="none" w:sz="0" w:space="0" w:color="auto"/>
      </w:divBdr>
    </w:div>
    <w:div w:id="240259239">
      <w:bodyDiv w:val="1"/>
      <w:marLeft w:val="0"/>
      <w:marRight w:val="0"/>
      <w:marTop w:val="0"/>
      <w:marBottom w:val="0"/>
      <w:divBdr>
        <w:top w:val="none" w:sz="0" w:space="0" w:color="auto"/>
        <w:left w:val="none" w:sz="0" w:space="0" w:color="auto"/>
        <w:bottom w:val="none" w:sz="0" w:space="0" w:color="auto"/>
        <w:right w:val="none" w:sz="0" w:space="0" w:color="auto"/>
      </w:divBdr>
    </w:div>
    <w:div w:id="240263697">
      <w:bodyDiv w:val="1"/>
      <w:marLeft w:val="0"/>
      <w:marRight w:val="0"/>
      <w:marTop w:val="0"/>
      <w:marBottom w:val="0"/>
      <w:divBdr>
        <w:top w:val="none" w:sz="0" w:space="0" w:color="auto"/>
        <w:left w:val="none" w:sz="0" w:space="0" w:color="auto"/>
        <w:bottom w:val="none" w:sz="0" w:space="0" w:color="auto"/>
        <w:right w:val="none" w:sz="0" w:space="0" w:color="auto"/>
      </w:divBdr>
    </w:div>
    <w:div w:id="240678933">
      <w:bodyDiv w:val="1"/>
      <w:marLeft w:val="0"/>
      <w:marRight w:val="0"/>
      <w:marTop w:val="0"/>
      <w:marBottom w:val="0"/>
      <w:divBdr>
        <w:top w:val="none" w:sz="0" w:space="0" w:color="auto"/>
        <w:left w:val="none" w:sz="0" w:space="0" w:color="auto"/>
        <w:bottom w:val="none" w:sz="0" w:space="0" w:color="auto"/>
        <w:right w:val="none" w:sz="0" w:space="0" w:color="auto"/>
      </w:divBdr>
    </w:div>
    <w:div w:id="241110609">
      <w:bodyDiv w:val="1"/>
      <w:marLeft w:val="0"/>
      <w:marRight w:val="0"/>
      <w:marTop w:val="0"/>
      <w:marBottom w:val="0"/>
      <w:divBdr>
        <w:top w:val="none" w:sz="0" w:space="0" w:color="auto"/>
        <w:left w:val="none" w:sz="0" w:space="0" w:color="auto"/>
        <w:bottom w:val="none" w:sz="0" w:space="0" w:color="auto"/>
        <w:right w:val="none" w:sz="0" w:space="0" w:color="auto"/>
      </w:divBdr>
    </w:div>
    <w:div w:id="241179826">
      <w:bodyDiv w:val="1"/>
      <w:marLeft w:val="0"/>
      <w:marRight w:val="0"/>
      <w:marTop w:val="0"/>
      <w:marBottom w:val="0"/>
      <w:divBdr>
        <w:top w:val="none" w:sz="0" w:space="0" w:color="auto"/>
        <w:left w:val="none" w:sz="0" w:space="0" w:color="auto"/>
        <w:bottom w:val="none" w:sz="0" w:space="0" w:color="auto"/>
        <w:right w:val="none" w:sz="0" w:space="0" w:color="auto"/>
      </w:divBdr>
    </w:div>
    <w:div w:id="241456839">
      <w:bodyDiv w:val="1"/>
      <w:marLeft w:val="0"/>
      <w:marRight w:val="0"/>
      <w:marTop w:val="0"/>
      <w:marBottom w:val="0"/>
      <w:divBdr>
        <w:top w:val="none" w:sz="0" w:space="0" w:color="auto"/>
        <w:left w:val="none" w:sz="0" w:space="0" w:color="auto"/>
        <w:bottom w:val="none" w:sz="0" w:space="0" w:color="auto"/>
        <w:right w:val="none" w:sz="0" w:space="0" w:color="auto"/>
      </w:divBdr>
    </w:div>
    <w:div w:id="241647401">
      <w:bodyDiv w:val="1"/>
      <w:marLeft w:val="0"/>
      <w:marRight w:val="0"/>
      <w:marTop w:val="0"/>
      <w:marBottom w:val="0"/>
      <w:divBdr>
        <w:top w:val="none" w:sz="0" w:space="0" w:color="auto"/>
        <w:left w:val="none" w:sz="0" w:space="0" w:color="auto"/>
        <w:bottom w:val="none" w:sz="0" w:space="0" w:color="auto"/>
        <w:right w:val="none" w:sz="0" w:space="0" w:color="auto"/>
      </w:divBdr>
    </w:div>
    <w:div w:id="241766614">
      <w:bodyDiv w:val="1"/>
      <w:marLeft w:val="0"/>
      <w:marRight w:val="0"/>
      <w:marTop w:val="0"/>
      <w:marBottom w:val="0"/>
      <w:divBdr>
        <w:top w:val="none" w:sz="0" w:space="0" w:color="auto"/>
        <w:left w:val="none" w:sz="0" w:space="0" w:color="auto"/>
        <w:bottom w:val="none" w:sz="0" w:space="0" w:color="auto"/>
        <w:right w:val="none" w:sz="0" w:space="0" w:color="auto"/>
      </w:divBdr>
    </w:div>
    <w:div w:id="241842551">
      <w:bodyDiv w:val="1"/>
      <w:marLeft w:val="0"/>
      <w:marRight w:val="0"/>
      <w:marTop w:val="0"/>
      <w:marBottom w:val="0"/>
      <w:divBdr>
        <w:top w:val="none" w:sz="0" w:space="0" w:color="auto"/>
        <w:left w:val="none" w:sz="0" w:space="0" w:color="auto"/>
        <w:bottom w:val="none" w:sz="0" w:space="0" w:color="auto"/>
        <w:right w:val="none" w:sz="0" w:space="0" w:color="auto"/>
      </w:divBdr>
    </w:div>
    <w:div w:id="241919042">
      <w:bodyDiv w:val="1"/>
      <w:marLeft w:val="0"/>
      <w:marRight w:val="0"/>
      <w:marTop w:val="0"/>
      <w:marBottom w:val="0"/>
      <w:divBdr>
        <w:top w:val="none" w:sz="0" w:space="0" w:color="auto"/>
        <w:left w:val="none" w:sz="0" w:space="0" w:color="auto"/>
        <w:bottom w:val="none" w:sz="0" w:space="0" w:color="auto"/>
        <w:right w:val="none" w:sz="0" w:space="0" w:color="auto"/>
      </w:divBdr>
    </w:div>
    <w:div w:id="242105996">
      <w:bodyDiv w:val="1"/>
      <w:marLeft w:val="0"/>
      <w:marRight w:val="0"/>
      <w:marTop w:val="0"/>
      <w:marBottom w:val="0"/>
      <w:divBdr>
        <w:top w:val="none" w:sz="0" w:space="0" w:color="auto"/>
        <w:left w:val="none" w:sz="0" w:space="0" w:color="auto"/>
        <w:bottom w:val="none" w:sz="0" w:space="0" w:color="auto"/>
        <w:right w:val="none" w:sz="0" w:space="0" w:color="auto"/>
      </w:divBdr>
    </w:div>
    <w:div w:id="242180436">
      <w:bodyDiv w:val="1"/>
      <w:marLeft w:val="0"/>
      <w:marRight w:val="0"/>
      <w:marTop w:val="0"/>
      <w:marBottom w:val="0"/>
      <w:divBdr>
        <w:top w:val="none" w:sz="0" w:space="0" w:color="auto"/>
        <w:left w:val="none" w:sz="0" w:space="0" w:color="auto"/>
        <w:bottom w:val="none" w:sz="0" w:space="0" w:color="auto"/>
        <w:right w:val="none" w:sz="0" w:space="0" w:color="auto"/>
      </w:divBdr>
    </w:div>
    <w:div w:id="242495317">
      <w:bodyDiv w:val="1"/>
      <w:marLeft w:val="0"/>
      <w:marRight w:val="0"/>
      <w:marTop w:val="0"/>
      <w:marBottom w:val="0"/>
      <w:divBdr>
        <w:top w:val="none" w:sz="0" w:space="0" w:color="auto"/>
        <w:left w:val="none" w:sz="0" w:space="0" w:color="auto"/>
        <w:bottom w:val="none" w:sz="0" w:space="0" w:color="auto"/>
        <w:right w:val="none" w:sz="0" w:space="0" w:color="auto"/>
      </w:divBdr>
    </w:div>
    <w:div w:id="242646563">
      <w:bodyDiv w:val="1"/>
      <w:marLeft w:val="0"/>
      <w:marRight w:val="0"/>
      <w:marTop w:val="0"/>
      <w:marBottom w:val="0"/>
      <w:divBdr>
        <w:top w:val="none" w:sz="0" w:space="0" w:color="auto"/>
        <w:left w:val="none" w:sz="0" w:space="0" w:color="auto"/>
        <w:bottom w:val="none" w:sz="0" w:space="0" w:color="auto"/>
        <w:right w:val="none" w:sz="0" w:space="0" w:color="auto"/>
      </w:divBdr>
    </w:div>
    <w:div w:id="242689662">
      <w:bodyDiv w:val="1"/>
      <w:marLeft w:val="0"/>
      <w:marRight w:val="0"/>
      <w:marTop w:val="0"/>
      <w:marBottom w:val="0"/>
      <w:divBdr>
        <w:top w:val="none" w:sz="0" w:space="0" w:color="auto"/>
        <w:left w:val="none" w:sz="0" w:space="0" w:color="auto"/>
        <w:bottom w:val="none" w:sz="0" w:space="0" w:color="auto"/>
        <w:right w:val="none" w:sz="0" w:space="0" w:color="auto"/>
      </w:divBdr>
    </w:div>
    <w:div w:id="242955616">
      <w:bodyDiv w:val="1"/>
      <w:marLeft w:val="0"/>
      <w:marRight w:val="0"/>
      <w:marTop w:val="0"/>
      <w:marBottom w:val="0"/>
      <w:divBdr>
        <w:top w:val="none" w:sz="0" w:space="0" w:color="auto"/>
        <w:left w:val="none" w:sz="0" w:space="0" w:color="auto"/>
        <w:bottom w:val="none" w:sz="0" w:space="0" w:color="auto"/>
        <w:right w:val="none" w:sz="0" w:space="0" w:color="auto"/>
      </w:divBdr>
    </w:div>
    <w:div w:id="243341214">
      <w:bodyDiv w:val="1"/>
      <w:marLeft w:val="0"/>
      <w:marRight w:val="0"/>
      <w:marTop w:val="0"/>
      <w:marBottom w:val="0"/>
      <w:divBdr>
        <w:top w:val="none" w:sz="0" w:space="0" w:color="auto"/>
        <w:left w:val="none" w:sz="0" w:space="0" w:color="auto"/>
        <w:bottom w:val="none" w:sz="0" w:space="0" w:color="auto"/>
        <w:right w:val="none" w:sz="0" w:space="0" w:color="auto"/>
      </w:divBdr>
    </w:div>
    <w:div w:id="244002033">
      <w:bodyDiv w:val="1"/>
      <w:marLeft w:val="0"/>
      <w:marRight w:val="0"/>
      <w:marTop w:val="0"/>
      <w:marBottom w:val="0"/>
      <w:divBdr>
        <w:top w:val="none" w:sz="0" w:space="0" w:color="auto"/>
        <w:left w:val="none" w:sz="0" w:space="0" w:color="auto"/>
        <w:bottom w:val="none" w:sz="0" w:space="0" w:color="auto"/>
        <w:right w:val="none" w:sz="0" w:space="0" w:color="auto"/>
      </w:divBdr>
    </w:div>
    <w:div w:id="244264741">
      <w:bodyDiv w:val="1"/>
      <w:marLeft w:val="0"/>
      <w:marRight w:val="0"/>
      <w:marTop w:val="0"/>
      <w:marBottom w:val="0"/>
      <w:divBdr>
        <w:top w:val="none" w:sz="0" w:space="0" w:color="auto"/>
        <w:left w:val="none" w:sz="0" w:space="0" w:color="auto"/>
        <w:bottom w:val="none" w:sz="0" w:space="0" w:color="auto"/>
        <w:right w:val="none" w:sz="0" w:space="0" w:color="auto"/>
      </w:divBdr>
    </w:div>
    <w:div w:id="244338292">
      <w:bodyDiv w:val="1"/>
      <w:marLeft w:val="0"/>
      <w:marRight w:val="0"/>
      <w:marTop w:val="0"/>
      <w:marBottom w:val="0"/>
      <w:divBdr>
        <w:top w:val="none" w:sz="0" w:space="0" w:color="auto"/>
        <w:left w:val="none" w:sz="0" w:space="0" w:color="auto"/>
        <w:bottom w:val="none" w:sz="0" w:space="0" w:color="auto"/>
        <w:right w:val="none" w:sz="0" w:space="0" w:color="auto"/>
      </w:divBdr>
    </w:div>
    <w:div w:id="244388667">
      <w:bodyDiv w:val="1"/>
      <w:marLeft w:val="0"/>
      <w:marRight w:val="0"/>
      <w:marTop w:val="0"/>
      <w:marBottom w:val="0"/>
      <w:divBdr>
        <w:top w:val="none" w:sz="0" w:space="0" w:color="auto"/>
        <w:left w:val="none" w:sz="0" w:space="0" w:color="auto"/>
        <w:bottom w:val="none" w:sz="0" w:space="0" w:color="auto"/>
        <w:right w:val="none" w:sz="0" w:space="0" w:color="auto"/>
      </w:divBdr>
    </w:div>
    <w:div w:id="244921790">
      <w:bodyDiv w:val="1"/>
      <w:marLeft w:val="0"/>
      <w:marRight w:val="0"/>
      <w:marTop w:val="0"/>
      <w:marBottom w:val="0"/>
      <w:divBdr>
        <w:top w:val="none" w:sz="0" w:space="0" w:color="auto"/>
        <w:left w:val="none" w:sz="0" w:space="0" w:color="auto"/>
        <w:bottom w:val="none" w:sz="0" w:space="0" w:color="auto"/>
        <w:right w:val="none" w:sz="0" w:space="0" w:color="auto"/>
      </w:divBdr>
    </w:div>
    <w:div w:id="245186414">
      <w:bodyDiv w:val="1"/>
      <w:marLeft w:val="0"/>
      <w:marRight w:val="0"/>
      <w:marTop w:val="0"/>
      <w:marBottom w:val="0"/>
      <w:divBdr>
        <w:top w:val="none" w:sz="0" w:space="0" w:color="auto"/>
        <w:left w:val="none" w:sz="0" w:space="0" w:color="auto"/>
        <w:bottom w:val="none" w:sz="0" w:space="0" w:color="auto"/>
        <w:right w:val="none" w:sz="0" w:space="0" w:color="auto"/>
      </w:divBdr>
    </w:div>
    <w:div w:id="245189206">
      <w:bodyDiv w:val="1"/>
      <w:marLeft w:val="0"/>
      <w:marRight w:val="0"/>
      <w:marTop w:val="0"/>
      <w:marBottom w:val="0"/>
      <w:divBdr>
        <w:top w:val="none" w:sz="0" w:space="0" w:color="auto"/>
        <w:left w:val="none" w:sz="0" w:space="0" w:color="auto"/>
        <w:bottom w:val="none" w:sz="0" w:space="0" w:color="auto"/>
        <w:right w:val="none" w:sz="0" w:space="0" w:color="auto"/>
      </w:divBdr>
    </w:div>
    <w:div w:id="245968232">
      <w:bodyDiv w:val="1"/>
      <w:marLeft w:val="0"/>
      <w:marRight w:val="0"/>
      <w:marTop w:val="0"/>
      <w:marBottom w:val="0"/>
      <w:divBdr>
        <w:top w:val="none" w:sz="0" w:space="0" w:color="auto"/>
        <w:left w:val="none" w:sz="0" w:space="0" w:color="auto"/>
        <w:bottom w:val="none" w:sz="0" w:space="0" w:color="auto"/>
        <w:right w:val="none" w:sz="0" w:space="0" w:color="auto"/>
      </w:divBdr>
    </w:div>
    <w:div w:id="246157269">
      <w:bodyDiv w:val="1"/>
      <w:marLeft w:val="0"/>
      <w:marRight w:val="0"/>
      <w:marTop w:val="0"/>
      <w:marBottom w:val="0"/>
      <w:divBdr>
        <w:top w:val="none" w:sz="0" w:space="0" w:color="auto"/>
        <w:left w:val="none" w:sz="0" w:space="0" w:color="auto"/>
        <w:bottom w:val="none" w:sz="0" w:space="0" w:color="auto"/>
        <w:right w:val="none" w:sz="0" w:space="0" w:color="auto"/>
      </w:divBdr>
    </w:div>
    <w:div w:id="246496608">
      <w:bodyDiv w:val="1"/>
      <w:marLeft w:val="0"/>
      <w:marRight w:val="0"/>
      <w:marTop w:val="0"/>
      <w:marBottom w:val="0"/>
      <w:divBdr>
        <w:top w:val="none" w:sz="0" w:space="0" w:color="auto"/>
        <w:left w:val="none" w:sz="0" w:space="0" w:color="auto"/>
        <w:bottom w:val="none" w:sz="0" w:space="0" w:color="auto"/>
        <w:right w:val="none" w:sz="0" w:space="0" w:color="auto"/>
      </w:divBdr>
    </w:div>
    <w:div w:id="246504436">
      <w:bodyDiv w:val="1"/>
      <w:marLeft w:val="0"/>
      <w:marRight w:val="0"/>
      <w:marTop w:val="0"/>
      <w:marBottom w:val="0"/>
      <w:divBdr>
        <w:top w:val="none" w:sz="0" w:space="0" w:color="auto"/>
        <w:left w:val="none" w:sz="0" w:space="0" w:color="auto"/>
        <w:bottom w:val="none" w:sz="0" w:space="0" w:color="auto"/>
        <w:right w:val="none" w:sz="0" w:space="0" w:color="auto"/>
      </w:divBdr>
    </w:div>
    <w:div w:id="247083244">
      <w:bodyDiv w:val="1"/>
      <w:marLeft w:val="0"/>
      <w:marRight w:val="0"/>
      <w:marTop w:val="0"/>
      <w:marBottom w:val="0"/>
      <w:divBdr>
        <w:top w:val="none" w:sz="0" w:space="0" w:color="auto"/>
        <w:left w:val="none" w:sz="0" w:space="0" w:color="auto"/>
        <w:bottom w:val="none" w:sz="0" w:space="0" w:color="auto"/>
        <w:right w:val="none" w:sz="0" w:space="0" w:color="auto"/>
      </w:divBdr>
    </w:div>
    <w:div w:id="247272945">
      <w:bodyDiv w:val="1"/>
      <w:marLeft w:val="0"/>
      <w:marRight w:val="0"/>
      <w:marTop w:val="0"/>
      <w:marBottom w:val="0"/>
      <w:divBdr>
        <w:top w:val="none" w:sz="0" w:space="0" w:color="auto"/>
        <w:left w:val="none" w:sz="0" w:space="0" w:color="auto"/>
        <w:bottom w:val="none" w:sz="0" w:space="0" w:color="auto"/>
        <w:right w:val="none" w:sz="0" w:space="0" w:color="auto"/>
      </w:divBdr>
    </w:div>
    <w:div w:id="247547508">
      <w:bodyDiv w:val="1"/>
      <w:marLeft w:val="0"/>
      <w:marRight w:val="0"/>
      <w:marTop w:val="0"/>
      <w:marBottom w:val="0"/>
      <w:divBdr>
        <w:top w:val="none" w:sz="0" w:space="0" w:color="auto"/>
        <w:left w:val="none" w:sz="0" w:space="0" w:color="auto"/>
        <w:bottom w:val="none" w:sz="0" w:space="0" w:color="auto"/>
        <w:right w:val="none" w:sz="0" w:space="0" w:color="auto"/>
      </w:divBdr>
    </w:div>
    <w:div w:id="247614663">
      <w:bodyDiv w:val="1"/>
      <w:marLeft w:val="0"/>
      <w:marRight w:val="0"/>
      <w:marTop w:val="0"/>
      <w:marBottom w:val="0"/>
      <w:divBdr>
        <w:top w:val="none" w:sz="0" w:space="0" w:color="auto"/>
        <w:left w:val="none" w:sz="0" w:space="0" w:color="auto"/>
        <w:bottom w:val="none" w:sz="0" w:space="0" w:color="auto"/>
        <w:right w:val="none" w:sz="0" w:space="0" w:color="auto"/>
      </w:divBdr>
    </w:div>
    <w:div w:id="247661712">
      <w:bodyDiv w:val="1"/>
      <w:marLeft w:val="0"/>
      <w:marRight w:val="0"/>
      <w:marTop w:val="0"/>
      <w:marBottom w:val="0"/>
      <w:divBdr>
        <w:top w:val="none" w:sz="0" w:space="0" w:color="auto"/>
        <w:left w:val="none" w:sz="0" w:space="0" w:color="auto"/>
        <w:bottom w:val="none" w:sz="0" w:space="0" w:color="auto"/>
        <w:right w:val="none" w:sz="0" w:space="0" w:color="auto"/>
      </w:divBdr>
    </w:div>
    <w:div w:id="247739449">
      <w:bodyDiv w:val="1"/>
      <w:marLeft w:val="0"/>
      <w:marRight w:val="0"/>
      <w:marTop w:val="0"/>
      <w:marBottom w:val="0"/>
      <w:divBdr>
        <w:top w:val="none" w:sz="0" w:space="0" w:color="auto"/>
        <w:left w:val="none" w:sz="0" w:space="0" w:color="auto"/>
        <w:bottom w:val="none" w:sz="0" w:space="0" w:color="auto"/>
        <w:right w:val="none" w:sz="0" w:space="0" w:color="auto"/>
      </w:divBdr>
    </w:div>
    <w:div w:id="248080199">
      <w:bodyDiv w:val="1"/>
      <w:marLeft w:val="0"/>
      <w:marRight w:val="0"/>
      <w:marTop w:val="0"/>
      <w:marBottom w:val="0"/>
      <w:divBdr>
        <w:top w:val="none" w:sz="0" w:space="0" w:color="auto"/>
        <w:left w:val="none" w:sz="0" w:space="0" w:color="auto"/>
        <w:bottom w:val="none" w:sz="0" w:space="0" w:color="auto"/>
        <w:right w:val="none" w:sz="0" w:space="0" w:color="auto"/>
      </w:divBdr>
    </w:div>
    <w:div w:id="248462045">
      <w:bodyDiv w:val="1"/>
      <w:marLeft w:val="0"/>
      <w:marRight w:val="0"/>
      <w:marTop w:val="0"/>
      <w:marBottom w:val="0"/>
      <w:divBdr>
        <w:top w:val="none" w:sz="0" w:space="0" w:color="auto"/>
        <w:left w:val="none" w:sz="0" w:space="0" w:color="auto"/>
        <w:bottom w:val="none" w:sz="0" w:space="0" w:color="auto"/>
        <w:right w:val="none" w:sz="0" w:space="0" w:color="auto"/>
      </w:divBdr>
    </w:div>
    <w:div w:id="248470221">
      <w:bodyDiv w:val="1"/>
      <w:marLeft w:val="0"/>
      <w:marRight w:val="0"/>
      <w:marTop w:val="0"/>
      <w:marBottom w:val="0"/>
      <w:divBdr>
        <w:top w:val="none" w:sz="0" w:space="0" w:color="auto"/>
        <w:left w:val="none" w:sz="0" w:space="0" w:color="auto"/>
        <w:bottom w:val="none" w:sz="0" w:space="0" w:color="auto"/>
        <w:right w:val="none" w:sz="0" w:space="0" w:color="auto"/>
      </w:divBdr>
    </w:div>
    <w:div w:id="248927816">
      <w:bodyDiv w:val="1"/>
      <w:marLeft w:val="0"/>
      <w:marRight w:val="0"/>
      <w:marTop w:val="0"/>
      <w:marBottom w:val="0"/>
      <w:divBdr>
        <w:top w:val="none" w:sz="0" w:space="0" w:color="auto"/>
        <w:left w:val="none" w:sz="0" w:space="0" w:color="auto"/>
        <w:bottom w:val="none" w:sz="0" w:space="0" w:color="auto"/>
        <w:right w:val="none" w:sz="0" w:space="0" w:color="auto"/>
      </w:divBdr>
    </w:div>
    <w:div w:id="249003470">
      <w:bodyDiv w:val="1"/>
      <w:marLeft w:val="0"/>
      <w:marRight w:val="0"/>
      <w:marTop w:val="0"/>
      <w:marBottom w:val="0"/>
      <w:divBdr>
        <w:top w:val="none" w:sz="0" w:space="0" w:color="auto"/>
        <w:left w:val="none" w:sz="0" w:space="0" w:color="auto"/>
        <w:bottom w:val="none" w:sz="0" w:space="0" w:color="auto"/>
        <w:right w:val="none" w:sz="0" w:space="0" w:color="auto"/>
      </w:divBdr>
    </w:div>
    <w:div w:id="250938522">
      <w:bodyDiv w:val="1"/>
      <w:marLeft w:val="0"/>
      <w:marRight w:val="0"/>
      <w:marTop w:val="0"/>
      <w:marBottom w:val="0"/>
      <w:divBdr>
        <w:top w:val="none" w:sz="0" w:space="0" w:color="auto"/>
        <w:left w:val="none" w:sz="0" w:space="0" w:color="auto"/>
        <w:bottom w:val="none" w:sz="0" w:space="0" w:color="auto"/>
        <w:right w:val="none" w:sz="0" w:space="0" w:color="auto"/>
      </w:divBdr>
    </w:div>
    <w:div w:id="252393833">
      <w:bodyDiv w:val="1"/>
      <w:marLeft w:val="0"/>
      <w:marRight w:val="0"/>
      <w:marTop w:val="0"/>
      <w:marBottom w:val="0"/>
      <w:divBdr>
        <w:top w:val="none" w:sz="0" w:space="0" w:color="auto"/>
        <w:left w:val="none" w:sz="0" w:space="0" w:color="auto"/>
        <w:bottom w:val="none" w:sz="0" w:space="0" w:color="auto"/>
        <w:right w:val="none" w:sz="0" w:space="0" w:color="auto"/>
      </w:divBdr>
    </w:div>
    <w:div w:id="252515417">
      <w:bodyDiv w:val="1"/>
      <w:marLeft w:val="0"/>
      <w:marRight w:val="0"/>
      <w:marTop w:val="0"/>
      <w:marBottom w:val="0"/>
      <w:divBdr>
        <w:top w:val="none" w:sz="0" w:space="0" w:color="auto"/>
        <w:left w:val="none" w:sz="0" w:space="0" w:color="auto"/>
        <w:bottom w:val="none" w:sz="0" w:space="0" w:color="auto"/>
        <w:right w:val="none" w:sz="0" w:space="0" w:color="auto"/>
      </w:divBdr>
    </w:div>
    <w:div w:id="252786542">
      <w:bodyDiv w:val="1"/>
      <w:marLeft w:val="0"/>
      <w:marRight w:val="0"/>
      <w:marTop w:val="0"/>
      <w:marBottom w:val="0"/>
      <w:divBdr>
        <w:top w:val="none" w:sz="0" w:space="0" w:color="auto"/>
        <w:left w:val="none" w:sz="0" w:space="0" w:color="auto"/>
        <w:bottom w:val="none" w:sz="0" w:space="0" w:color="auto"/>
        <w:right w:val="none" w:sz="0" w:space="0" w:color="auto"/>
      </w:divBdr>
    </w:div>
    <w:div w:id="252907310">
      <w:bodyDiv w:val="1"/>
      <w:marLeft w:val="0"/>
      <w:marRight w:val="0"/>
      <w:marTop w:val="0"/>
      <w:marBottom w:val="0"/>
      <w:divBdr>
        <w:top w:val="none" w:sz="0" w:space="0" w:color="auto"/>
        <w:left w:val="none" w:sz="0" w:space="0" w:color="auto"/>
        <w:bottom w:val="none" w:sz="0" w:space="0" w:color="auto"/>
        <w:right w:val="none" w:sz="0" w:space="0" w:color="auto"/>
      </w:divBdr>
    </w:div>
    <w:div w:id="252931149">
      <w:bodyDiv w:val="1"/>
      <w:marLeft w:val="0"/>
      <w:marRight w:val="0"/>
      <w:marTop w:val="0"/>
      <w:marBottom w:val="0"/>
      <w:divBdr>
        <w:top w:val="none" w:sz="0" w:space="0" w:color="auto"/>
        <w:left w:val="none" w:sz="0" w:space="0" w:color="auto"/>
        <w:bottom w:val="none" w:sz="0" w:space="0" w:color="auto"/>
        <w:right w:val="none" w:sz="0" w:space="0" w:color="auto"/>
      </w:divBdr>
    </w:div>
    <w:div w:id="253173215">
      <w:bodyDiv w:val="1"/>
      <w:marLeft w:val="0"/>
      <w:marRight w:val="0"/>
      <w:marTop w:val="0"/>
      <w:marBottom w:val="0"/>
      <w:divBdr>
        <w:top w:val="none" w:sz="0" w:space="0" w:color="auto"/>
        <w:left w:val="none" w:sz="0" w:space="0" w:color="auto"/>
        <w:bottom w:val="none" w:sz="0" w:space="0" w:color="auto"/>
        <w:right w:val="none" w:sz="0" w:space="0" w:color="auto"/>
      </w:divBdr>
    </w:div>
    <w:div w:id="253709349">
      <w:bodyDiv w:val="1"/>
      <w:marLeft w:val="0"/>
      <w:marRight w:val="0"/>
      <w:marTop w:val="0"/>
      <w:marBottom w:val="0"/>
      <w:divBdr>
        <w:top w:val="none" w:sz="0" w:space="0" w:color="auto"/>
        <w:left w:val="none" w:sz="0" w:space="0" w:color="auto"/>
        <w:bottom w:val="none" w:sz="0" w:space="0" w:color="auto"/>
        <w:right w:val="none" w:sz="0" w:space="0" w:color="auto"/>
      </w:divBdr>
    </w:div>
    <w:div w:id="253709431">
      <w:bodyDiv w:val="1"/>
      <w:marLeft w:val="0"/>
      <w:marRight w:val="0"/>
      <w:marTop w:val="0"/>
      <w:marBottom w:val="0"/>
      <w:divBdr>
        <w:top w:val="none" w:sz="0" w:space="0" w:color="auto"/>
        <w:left w:val="none" w:sz="0" w:space="0" w:color="auto"/>
        <w:bottom w:val="none" w:sz="0" w:space="0" w:color="auto"/>
        <w:right w:val="none" w:sz="0" w:space="0" w:color="auto"/>
      </w:divBdr>
    </w:div>
    <w:div w:id="254290454">
      <w:bodyDiv w:val="1"/>
      <w:marLeft w:val="0"/>
      <w:marRight w:val="0"/>
      <w:marTop w:val="0"/>
      <w:marBottom w:val="0"/>
      <w:divBdr>
        <w:top w:val="none" w:sz="0" w:space="0" w:color="auto"/>
        <w:left w:val="none" w:sz="0" w:space="0" w:color="auto"/>
        <w:bottom w:val="none" w:sz="0" w:space="0" w:color="auto"/>
        <w:right w:val="none" w:sz="0" w:space="0" w:color="auto"/>
      </w:divBdr>
    </w:div>
    <w:div w:id="254484159">
      <w:bodyDiv w:val="1"/>
      <w:marLeft w:val="0"/>
      <w:marRight w:val="0"/>
      <w:marTop w:val="0"/>
      <w:marBottom w:val="0"/>
      <w:divBdr>
        <w:top w:val="none" w:sz="0" w:space="0" w:color="auto"/>
        <w:left w:val="none" w:sz="0" w:space="0" w:color="auto"/>
        <w:bottom w:val="none" w:sz="0" w:space="0" w:color="auto"/>
        <w:right w:val="none" w:sz="0" w:space="0" w:color="auto"/>
      </w:divBdr>
    </w:div>
    <w:div w:id="254629963">
      <w:bodyDiv w:val="1"/>
      <w:marLeft w:val="0"/>
      <w:marRight w:val="0"/>
      <w:marTop w:val="0"/>
      <w:marBottom w:val="0"/>
      <w:divBdr>
        <w:top w:val="none" w:sz="0" w:space="0" w:color="auto"/>
        <w:left w:val="none" w:sz="0" w:space="0" w:color="auto"/>
        <w:bottom w:val="none" w:sz="0" w:space="0" w:color="auto"/>
        <w:right w:val="none" w:sz="0" w:space="0" w:color="auto"/>
      </w:divBdr>
    </w:div>
    <w:div w:id="254825992">
      <w:bodyDiv w:val="1"/>
      <w:marLeft w:val="0"/>
      <w:marRight w:val="0"/>
      <w:marTop w:val="0"/>
      <w:marBottom w:val="0"/>
      <w:divBdr>
        <w:top w:val="none" w:sz="0" w:space="0" w:color="auto"/>
        <w:left w:val="none" w:sz="0" w:space="0" w:color="auto"/>
        <w:bottom w:val="none" w:sz="0" w:space="0" w:color="auto"/>
        <w:right w:val="none" w:sz="0" w:space="0" w:color="auto"/>
      </w:divBdr>
    </w:div>
    <w:div w:id="255135718">
      <w:bodyDiv w:val="1"/>
      <w:marLeft w:val="0"/>
      <w:marRight w:val="0"/>
      <w:marTop w:val="0"/>
      <w:marBottom w:val="0"/>
      <w:divBdr>
        <w:top w:val="none" w:sz="0" w:space="0" w:color="auto"/>
        <w:left w:val="none" w:sz="0" w:space="0" w:color="auto"/>
        <w:bottom w:val="none" w:sz="0" w:space="0" w:color="auto"/>
        <w:right w:val="none" w:sz="0" w:space="0" w:color="auto"/>
      </w:divBdr>
    </w:div>
    <w:div w:id="256136297">
      <w:bodyDiv w:val="1"/>
      <w:marLeft w:val="0"/>
      <w:marRight w:val="0"/>
      <w:marTop w:val="0"/>
      <w:marBottom w:val="0"/>
      <w:divBdr>
        <w:top w:val="none" w:sz="0" w:space="0" w:color="auto"/>
        <w:left w:val="none" w:sz="0" w:space="0" w:color="auto"/>
        <w:bottom w:val="none" w:sz="0" w:space="0" w:color="auto"/>
        <w:right w:val="none" w:sz="0" w:space="0" w:color="auto"/>
      </w:divBdr>
    </w:div>
    <w:div w:id="256405712">
      <w:bodyDiv w:val="1"/>
      <w:marLeft w:val="0"/>
      <w:marRight w:val="0"/>
      <w:marTop w:val="0"/>
      <w:marBottom w:val="0"/>
      <w:divBdr>
        <w:top w:val="none" w:sz="0" w:space="0" w:color="auto"/>
        <w:left w:val="none" w:sz="0" w:space="0" w:color="auto"/>
        <w:bottom w:val="none" w:sz="0" w:space="0" w:color="auto"/>
        <w:right w:val="none" w:sz="0" w:space="0" w:color="auto"/>
      </w:divBdr>
    </w:div>
    <w:div w:id="256443368">
      <w:bodyDiv w:val="1"/>
      <w:marLeft w:val="0"/>
      <w:marRight w:val="0"/>
      <w:marTop w:val="0"/>
      <w:marBottom w:val="0"/>
      <w:divBdr>
        <w:top w:val="none" w:sz="0" w:space="0" w:color="auto"/>
        <w:left w:val="none" w:sz="0" w:space="0" w:color="auto"/>
        <w:bottom w:val="none" w:sz="0" w:space="0" w:color="auto"/>
        <w:right w:val="none" w:sz="0" w:space="0" w:color="auto"/>
      </w:divBdr>
    </w:div>
    <w:div w:id="256523015">
      <w:bodyDiv w:val="1"/>
      <w:marLeft w:val="0"/>
      <w:marRight w:val="0"/>
      <w:marTop w:val="0"/>
      <w:marBottom w:val="0"/>
      <w:divBdr>
        <w:top w:val="none" w:sz="0" w:space="0" w:color="auto"/>
        <w:left w:val="none" w:sz="0" w:space="0" w:color="auto"/>
        <w:bottom w:val="none" w:sz="0" w:space="0" w:color="auto"/>
        <w:right w:val="none" w:sz="0" w:space="0" w:color="auto"/>
      </w:divBdr>
    </w:div>
    <w:div w:id="256908297">
      <w:bodyDiv w:val="1"/>
      <w:marLeft w:val="0"/>
      <w:marRight w:val="0"/>
      <w:marTop w:val="0"/>
      <w:marBottom w:val="0"/>
      <w:divBdr>
        <w:top w:val="none" w:sz="0" w:space="0" w:color="auto"/>
        <w:left w:val="none" w:sz="0" w:space="0" w:color="auto"/>
        <w:bottom w:val="none" w:sz="0" w:space="0" w:color="auto"/>
        <w:right w:val="none" w:sz="0" w:space="0" w:color="auto"/>
      </w:divBdr>
    </w:div>
    <w:div w:id="256985312">
      <w:bodyDiv w:val="1"/>
      <w:marLeft w:val="0"/>
      <w:marRight w:val="0"/>
      <w:marTop w:val="0"/>
      <w:marBottom w:val="0"/>
      <w:divBdr>
        <w:top w:val="none" w:sz="0" w:space="0" w:color="auto"/>
        <w:left w:val="none" w:sz="0" w:space="0" w:color="auto"/>
        <w:bottom w:val="none" w:sz="0" w:space="0" w:color="auto"/>
        <w:right w:val="none" w:sz="0" w:space="0" w:color="auto"/>
      </w:divBdr>
    </w:div>
    <w:div w:id="257108079">
      <w:bodyDiv w:val="1"/>
      <w:marLeft w:val="0"/>
      <w:marRight w:val="0"/>
      <w:marTop w:val="0"/>
      <w:marBottom w:val="0"/>
      <w:divBdr>
        <w:top w:val="none" w:sz="0" w:space="0" w:color="auto"/>
        <w:left w:val="none" w:sz="0" w:space="0" w:color="auto"/>
        <w:bottom w:val="none" w:sz="0" w:space="0" w:color="auto"/>
        <w:right w:val="none" w:sz="0" w:space="0" w:color="auto"/>
      </w:divBdr>
    </w:div>
    <w:div w:id="257178018">
      <w:bodyDiv w:val="1"/>
      <w:marLeft w:val="0"/>
      <w:marRight w:val="0"/>
      <w:marTop w:val="0"/>
      <w:marBottom w:val="0"/>
      <w:divBdr>
        <w:top w:val="none" w:sz="0" w:space="0" w:color="auto"/>
        <w:left w:val="none" w:sz="0" w:space="0" w:color="auto"/>
        <w:bottom w:val="none" w:sz="0" w:space="0" w:color="auto"/>
        <w:right w:val="none" w:sz="0" w:space="0" w:color="auto"/>
      </w:divBdr>
    </w:div>
    <w:div w:id="257759924">
      <w:bodyDiv w:val="1"/>
      <w:marLeft w:val="0"/>
      <w:marRight w:val="0"/>
      <w:marTop w:val="0"/>
      <w:marBottom w:val="0"/>
      <w:divBdr>
        <w:top w:val="none" w:sz="0" w:space="0" w:color="auto"/>
        <w:left w:val="none" w:sz="0" w:space="0" w:color="auto"/>
        <w:bottom w:val="none" w:sz="0" w:space="0" w:color="auto"/>
        <w:right w:val="none" w:sz="0" w:space="0" w:color="auto"/>
      </w:divBdr>
    </w:div>
    <w:div w:id="257950831">
      <w:bodyDiv w:val="1"/>
      <w:marLeft w:val="0"/>
      <w:marRight w:val="0"/>
      <w:marTop w:val="0"/>
      <w:marBottom w:val="0"/>
      <w:divBdr>
        <w:top w:val="none" w:sz="0" w:space="0" w:color="auto"/>
        <w:left w:val="none" w:sz="0" w:space="0" w:color="auto"/>
        <w:bottom w:val="none" w:sz="0" w:space="0" w:color="auto"/>
        <w:right w:val="none" w:sz="0" w:space="0" w:color="auto"/>
      </w:divBdr>
    </w:div>
    <w:div w:id="258565264">
      <w:bodyDiv w:val="1"/>
      <w:marLeft w:val="0"/>
      <w:marRight w:val="0"/>
      <w:marTop w:val="0"/>
      <w:marBottom w:val="0"/>
      <w:divBdr>
        <w:top w:val="none" w:sz="0" w:space="0" w:color="auto"/>
        <w:left w:val="none" w:sz="0" w:space="0" w:color="auto"/>
        <w:bottom w:val="none" w:sz="0" w:space="0" w:color="auto"/>
        <w:right w:val="none" w:sz="0" w:space="0" w:color="auto"/>
      </w:divBdr>
    </w:div>
    <w:div w:id="258610452">
      <w:bodyDiv w:val="1"/>
      <w:marLeft w:val="0"/>
      <w:marRight w:val="0"/>
      <w:marTop w:val="0"/>
      <w:marBottom w:val="0"/>
      <w:divBdr>
        <w:top w:val="none" w:sz="0" w:space="0" w:color="auto"/>
        <w:left w:val="none" w:sz="0" w:space="0" w:color="auto"/>
        <w:bottom w:val="none" w:sz="0" w:space="0" w:color="auto"/>
        <w:right w:val="none" w:sz="0" w:space="0" w:color="auto"/>
      </w:divBdr>
    </w:div>
    <w:div w:id="258677990">
      <w:bodyDiv w:val="1"/>
      <w:marLeft w:val="0"/>
      <w:marRight w:val="0"/>
      <w:marTop w:val="0"/>
      <w:marBottom w:val="0"/>
      <w:divBdr>
        <w:top w:val="none" w:sz="0" w:space="0" w:color="auto"/>
        <w:left w:val="none" w:sz="0" w:space="0" w:color="auto"/>
        <w:bottom w:val="none" w:sz="0" w:space="0" w:color="auto"/>
        <w:right w:val="none" w:sz="0" w:space="0" w:color="auto"/>
      </w:divBdr>
    </w:div>
    <w:div w:id="259139686">
      <w:bodyDiv w:val="1"/>
      <w:marLeft w:val="0"/>
      <w:marRight w:val="0"/>
      <w:marTop w:val="0"/>
      <w:marBottom w:val="0"/>
      <w:divBdr>
        <w:top w:val="none" w:sz="0" w:space="0" w:color="auto"/>
        <w:left w:val="none" w:sz="0" w:space="0" w:color="auto"/>
        <w:bottom w:val="none" w:sz="0" w:space="0" w:color="auto"/>
        <w:right w:val="none" w:sz="0" w:space="0" w:color="auto"/>
      </w:divBdr>
    </w:div>
    <w:div w:id="259679154">
      <w:bodyDiv w:val="1"/>
      <w:marLeft w:val="0"/>
      <w:marRight w:val="0"/>
      <w:marTop w:val="0"/>
      <w:marBottom w:val="0"/>
      <w:divBdr>
        <w:top w:val="none" w:sz="0" w:space="0" w:color="auto"/>
        <w:left w:val="none" w:sz="0" w:space="0" w:color="auto"/>
        <w:bottom w:val="none" w:sz="0" w:space="0" w:color="auto"/>
        <w:right w:val="none" w:sz="0" w:space="0" w:color="auto"/>
      </w:divBdr>
    </w:div>
    <w:div w:id="259725429">
      <w:bodyDiv w:val="1"/>
      <w:marLeft w:val="0"/>
      <w:marRight w:val="0"/>
      <w:marTop w:val="0"/>
      <w:marBottom w:val="0"/>
      <w:divBdr>
        <w:top w:val="none" w:sz="0" w:space="0" w:color="auto"/>
        <w:left w:val="none" w:sz="0" w:space="0" w:color="auto"/>
        <w:bottom w:val="none" w:sz="0" w:space="0" w:color="auto"/>
        <w:right w:val="none" w:sz="0" w:space="0" w:color="auto"/>
      </w:divBdr>
    </w:div>
    <w:div w:id="259877074">
      <w:bodyDiv w:val="1"/>
      <w:marLeft w:val="0"/>
      <w:marRight w:val="0"/>
      <w:marTop w:val="0"/>
      <w:marBottom w:val="0"/>
      <w:divBdr>
        <w:top w:val="none" w:sz="0" w:space="0" w:color="auto"/>
        <w:left w:val="none" w:sz="0" w:space="0" w:color="auto"/>
        <w:bottom w:val="none" w:sz="0" w:space="0" w:color="auto"/>
        <w:right w:val="none" w:sz="0" w:space="0" w:color="auto"/>
      </w:divBdr>
    </w:div>
    <w:div w:id="260334357">
      <w:bodyDiv w:val="1"/>
      <w:marLeft w:val="0"/>
      <w:marRight w:val="0"/>
      <w:marTop w:val="0"/>
      <w:marBottom w:val="0"/>
      <w:divBdr>
        <w:top w:val="none" w:sz="0" w:space="0" w:color="auto"/>
        <w:left w:val="none" w:sz="0" w:space="0" w:color="auto"/>
        <w:bottom w:val="none" w:sz="0" w:space="0" w:color="auto"/>
        <w:right w:val="none" w:sz="0" w:space="0" w:color="auto"/>
      </w:divBdr>
    </w:div>
    <w:div w:id="260384454">
      <w:bodyDiv w:val="1"/>
      <w:marLeft w:val="0"/>
      <w:marRight w:val="0"/>
      <w:marTop w:val="0"/>
      <w:marBottom w:val="0"/>
      <w:divBdr>
        <w:top w:val="none" w:sz="0" w:space="0" w:color="auto"/>
        <w:left w:val="none" w:sz="0" w:space="0" w:color="auto"/>
        <w:bottom w:val="none" w:sz="0" w:space="0" w:color="auto"/>
        <w:right w:val="none" w:sz="0" w:space="0" w:color="auto"/>
      </w:divBdr>
    </w:div>
    <w:div w:id="260718833">
      <w:bodyDiv w:val="1"/>
      <w:marLeft w:val="0"/>
      <w:marRight w:val="0"/>
      <w:marTop w:val="0"/>
      <w:marBottom w:val="0"/>
      <w:divBdr>
        <w:top w:val="none" w:sz="0" w:space="0" w:color="auto"/>
        <w:left w:val="none" w:sz="0" w:space="0" w:color="auto"/>
        <w:bottom w:val="none" w:sz="0" w:space="0" w:color="auto"/>
        <w:right w:val="none" w:sz="0" w:space="0" w:color="auto"/>
      </w:divBdr>
    </w:div>
    <w:div w:id="260915913">
      <w:bodyDiv w:val="1"/>
      <w:marLeft w:val="0"/>
      <w:marRight w:val="0"/>
      <w:marTop w:val="0"/>
      <w:marBottom w:val="0"/>
      <w:divBdr>
        <w:top w:val="none" w:sz="0" w:space="0" w:color="auto"/>
        <w:left w:val="none" w:sz="0" w:space="0" w:color="auto"/>
        <w:bottom w:val="none" w:sz="0" w:space="0" w:color="auto"/>
        <w:right w:val="none" w:sz="0" w:space="0" w:color="auto"/>
      </w:divBdr>
    </w:div>
    <w:div w:id="260996674">
      <w:bodyDiv w:val="1"/>
      <w:marLeft w:val="0"/>
      <w:marRight w:val="0"/>
      <w:marTop w:val="0"/>
      <w:marBottom w:val="0"/>
      <w:divBdr>
        <w:top w:val="none" w:sz="0" w:space="0" w:color="auto"/>
        <w:left w:val="none" w:sz="0" w:space="0" w:color="auto"/>
        <w:bottom w:val="none" w:sz="0" w:space="0" w:color="auto"/>
        <w:right w:val="none" w:sz="0" w:space="0" w:color="auto"/>
      </w:divBdr>
    </w:div>
    <w:div w:id="261577105">
      <w:bodyDiv w:val="1"/>
      <w:marLeft w:val="0"/>
      <w:marRight w:val="0"/>
      <w:marTop w:val="0"/>
      <w:marBottom w:val="0"/>
      <w:divBdr>
        <w:top w:val="none" w:sz="0" w:space="0" w:color="auto"/>
        <w:left w:val="none" w:sz="0" w:space="0" w:color="auto"/>
        <w:bottom w:val="none" w:sz="0" w:space="0" w:color="auto"/>
        <w:right w:val="none" w:sz="0" w:space="0" w:color="auto"/>
      </w:divBdr>
    </w:div>
    <w:div w:id="261957779">
      <w:bodyDiv w:val="1"/>
      <w:marLeft w:val="0"/>
      <w:marRight w:val="0"/>
      <w:marTop w:val="0"/>
      <w:marBottom w:val="0"/>
      <w:divBdr>
        <w:top w:val="none" w:sz="0" w:space="0" w:color="auto"/>
        <w:left w:val="none" w:sz="0" w:space="0" w:color="auto"/>
        <w:bottom w:val="none" w:sz="0" w:space="0" w:color="auto"/>
        <w:right w:val="none" w:sz="0" w:space="0" w:color="auto"/>
      </w:divBdr>
    </w:div>
    <w:div w:id="262226233">
      <w:bodyDiv w:val="1"/>
      <w:marLeft w:val="0"/>
      <w:marRight w:val="0"/>
      <w:marTop w:val="0"/>
      <w:marBottom w:val="0"/>
      <w:divBdr>
        <w:top w:val="none" w:sz="0" w:space="0" w:color="auto"/>
        <w:left w:val="none" w:sz="0" w:space="0" w:color="auto"/>
        <w:bottom w:val="none" w:sz="0" w:space="0" w:color="auto"/>
        <w:right w:val="none" w:sz="0" w:space="0" w:color="auto"/>
      </w:divBdr>
    </w:div>
    <w:div w:id="262611843">
      <w:bodyDiv w:val="1"/>
      <w:marLeft w:val="0"/>
      <w:marRight w:val="0"/>
      <w:marTop w:val="0"/>
      <w:marBottom w:val="0"/>
      <w:divBdr>
        <w:top w:val="none" w:sz="0" w:space="0" w:color="auto"/>
        <w:left w:val="none" w:sz="0" w:space="0" w:color="auto"/>
        <w:bottom w:val="none" w:sz="0" w:space="0" w:color="auto"/>
        <w:right w:val="none" w:sz="0" w:space="0" w:color="auto"/>
      </w:divBdr>
    </w:div>
    <w:div w:id="262694217">
      <w:bodyDiv w:val="1"/>
      <w:marLeft w:val="0"/>
      <w:marRight w:val="0"/>
      <w:marTop w:val="0"/>
      <w:marBottom w:val="0"/>
      <w:divBdr>
        <w:top w:val="none" w:sz="0" w:space="0" w:color="auto"/>
        <w:left w:val="none" w:sz="0" w:space="0" w:color="auto"/>
        <w:bottom w:val="none" w:sz="0" w:space="0" w:color="auto"/>
        <w:right w:val="none" w:sz="0" w:space="0" w:color="auto"/>
      </w:divBdr>
    </w:div>
    <w:div w:id="262760570">
      <w:bodyDiv w:val="1"/>
      <w:marLeft w:val="0"/>
      <w:marRight w:val="0"/>
      <w:marTop w:val="0"/>
      <w:marBottom w:val="0"/>
      <w:divBdr>
        <w:top w:val="none" w:sz="0" w:space="0" w:color="auto"/>
        <w:left w:val="none" w:sz="0" w:space="0" w:color="auto"/>
        <w:bottom w:val="none" w:sz="0" w:space="0" w:color="auto"/>
        <w:right w:val="none" w:sz="0" w:space="0" w:color="auto"/>
      </w:divBdr>
    </w:div>
    <w:div w:id="262810108">
      <w:bodyDiv w:val="1"/>
      <w:marLeft w:val="0"/>
      <w:marRight w:val="0"/>
      <w:marTop w:val="0"/>
      <w:marBottom w:val="0"/>
      <w:divBdr>
        <w:top w:val="none" w:sz="0" w:space="0" w:color="auto"/>
        <w:left w:val="none" w:sz="0" w:space="0" w:color="auto"/>
        <w:bottom w:val="none" w:sz="0" w:space="0" w:color="auto"/>
        <w:right w:val="none" w:sz="0" w:space="0" w:color="auto"/>
      </w:divBdr>
    </w:div>
    <w:div w:id="262955752">
      <w:bodyDiv w:val="1"/>
      <w:marLeft w:val="0"/>
      <w:marRight w:val="0"/>
      <w:marTop w:val="0"/>
      <w:marBottom w:val="0"/>
      <w:divBdr>
        <w:top w:val="none" w:sz="0" w:space="0" w:color="auto"/>
        <w:left w:val="none" w:sz="0" w:space="0" w:color="auto"/>
        <w:bottom w:val="none" w:sz="0" w:space="0" w:color="auto"/>
        <w:right w:val="none" w:sz="0" w:space="0" w:color="auto"/>
      </w:divBdr>
    </w:div>
    <w:div w:id="263147565">
      <w:bodyDiv w:val="1"/>
      <w:marLeft w:val="0"/>
      <w:marRight w:val="0"/>
      <w:marTop w:val="0"/>
      <w:marBottom w:val="0"/>
      <w:divBdr>
        <w:top w:val="none" w:sz="0" w:space="0" w:color="auto"/>
        <w:left w:val="none" w:sz="0" w:space="0" w:color="auto"/>
        <w:bottom w:val="none" w:sz="0" w:space="0" w:color="auto"/>
        <w:right w:val="none" w:sz="0" w:space="0" w:color="auto"/>
      </w:divBdr>
    </w:div>
    <w:div w:id="263616152">
      <w:bodyDiv w:val="1"/>
      <w:marLeft w:val="0"/>
      <w:marRight w:val="0"/>
      <w:marTop w:val="0"/>
      <w:marBottom w:val="0"/>
      <w:divBdr>
        <w:top w:val="none" w:sz="0" w:space="0" w:color="auto"/>
        <w:left w:val="none" w:sz="0" w:space="0" w:color="auto"/>
        <w:bottom w:val="none" w:sz="0" w:space="0" w:color="auto"/>
        <w:right w:val="none" w:sz="0" w:space="0" w:color="auto"/>
      </w:divBdr>
    </w:div>
    <w:div w:id="263659207">
      <w:bodyDiv w:val="1"/>
      <w:marLeft w:val="0"/>
      <w:marRight w:val="0"/>
      <w:marTop w:val="0"/>
      <w:marBottom w:val="0"/>
      <w:divBdr>
        <w:top w:val="none" w:sz="0" w:space="0" w:color="auto"/>
        <w:left w:val="none" w:sz="0" w:space="0" w:color="auto"/>
        <w:bottom w:val="none" w:sz="0" w:space="0" w:color="auto"/>
        <w:right w:val="none" w:sz="0" w:space="0" w:color="auto"/>
      </w:divBdr>
    </w:div>
    <w:div w:id="264071370">
      <w:bodyDiv w:val="1"/>
      <w:marLeft w:val="0"/>
      <w:marRight w:val="0"/>
      <w:marTop w:val="0"/>
      <w:marBottom w:val="0"/>
      <w:divBdr>
        <w:top w:val="none" w:sz="0" w:space="0" w:color="auto"/>
        <w:left w:val="none" w:sz="0" w:space="0" w:color="auto"/>
        <w:bottom w:val="none" w:sz="0" w:space="0" w:color="auto"/>
        <w:right w:val="none" w:sz="0" w:space="0" w:color="auto"/>
      </w:divBdr>
    </w:div>
    <w:div w:id="264463278">
      <w:bodyDiv w:val="1"/>
      <w:marLeft w:val="0"/>
      <w:marRight w:val="0"/>
      <w:marTop w:val="0"/>
      <w:marBottom w:val="0"/>
      <w:divBdr>
        <w:top w:val="none" w:sz="0" w:space="0" w:color="auto"/>
        <w:left w:val="none" w:sz="0" w:space="0" w:color="auto"/>
        <w:bottom w:val="none" w:sz="0" w:space="0" w:color="auto"/>
        <w:right w:val="none" w:sz="0" w:space="0" w:color="auto"/>
      </w:divBdr>
    </w:div>
    <w:div w:id="264577058">
      <w:bodyDiv w:val="1"/>
      <w:marLeft w:val="0"/>
      <w:marRight w:val="0"/>
      <w:marTop w:val="0"/>
      <w:marBottom w:val="0"/>
      <w:divBdr>
        <w:top w:val="none" w:sz="0" w:space="0" w:color="auto"/>
        <w:left w:val="none" w:sz="0" w:space="0" w:color="auto"/>
        <w:bottom w:val="none" w:sz="0" w:space="0" w:color="auto"/>
        <w:right w:val="none" w:sz="0" w:space="0" w:color="auto"/>
      </w:divBdr>
    </w:div>
    <w:div w:id="264726055">
      <w:bodyDiv w:val="1"/>
      <w:marLeft w:val="0"/>
      <w:marRight w:val="0"/>
      <w:marTop w:val="0"/>
      <w:marBottom w:val="0"/>
      <w:divBdr>
        <w:top w:val="none" w:sz="0" w:space="0" w:color="auto"/>
        <w:left w:val="none" w:sz="0" w:space="0" w:color="auto"/>
        <w:bottom w:val="none" w:sz="0" w:space="0" w:color="auto"/>
        <w:right w:val="none" w:sz="0" w:space="0" w:color="auto"/>
      </w:divBdr>
    </w:div>
    <w:div w:id="264963882">
      <w:bodyDiv w:val="1"/>
      <w:marLeft w:val="0"/>
      <w:marRight w:val="0"/>
      <w:marTop w:val="0"/>
      <w:marBottom w:val="0"/>
      <w:divBdr>
        <w:top w:val="none" w:sz="0" w:space="0" w:color="auto"/>
        <w:left w:val="none" w:sz="0" w:space="0" w:color="auto"/>
        <w:bottom w:val="none" w:sz="0" w:space="0" w:color="auto"/>
        <w:right w:val="none" w:sz="0" w:space="0" w:color="auto"/>
      </w:divBdr>
    </w:div>
    <w:div w:id="265119595">
      <w:bodyDiv w:val="1"/>
      <w:marLeft w:val="0"/>
      <w:marRight w:val="0"/>
      <w:marTop w:val="0"/>
      <w:marBottom w:val="0"/>
      <w:divBdr>
        <w:top w:val="none" w:sz="0" w:space="0" w:color="auto"/>
        <w:left w:val="none" w:sz="0" w:space="0" w:color="auto"/>
        <w:bottom w:val="none" w:sz="0" w:space="0" w:color="auto"/>
        <w:right w:val="none" w:sz="0" w:space="0" w:color="auto"/>
      </w:divBdr>
    </w:div>
    <w:div w:id="265500822">
      <w:bodyDiv w:val="1"/>
      <w:marLeft w:val="0"/>
      <w:marRight w:val="0"/>
      <w:marTop w:val="0"/>
      <w:marBottom w:val="0"/>
      <w:divBdr>
        <w:top w:val="none" w:sz="0" w:space="0" w:color="auto"/>
        <w:left w:val="none" w:sz="0" w:space="0" w:color="auto"/>
        <w:bottom w:val="none" w:sz="0" w:space="0" w:color="auto"/>
        <w:right w:val="none" w:sz="0" w:space="0" w:color="auto"/>
      </w:divBdr>
    </w:div>
    <w:div w:id="265844502">
      <w:bodyDiv w:val="1"/>
      <w:marLeft w:val="0"/>
      <w:marRight w:val="0"/>
      <w:marTop w:val="0"/>
      <w:marBottom w:val="0"/>
      <w:divBdr>
        <w:top w:val="none" w:sz="0" w:space="0" w:color="auto"/>
        <w:left w:val="none" w:sz="0" w:space="0" w:color="auto"/>
        <w:bottom w:val="none" w:sz="0" w:space="0" w:color="auto"/>
        <w:right w:val="none" w:sz="0" w:space="0" w:color="auto"/>
      </w:divBdr>
    </w:div>
    <w:div w:id="265893299">
      <w:bodyDiv w:val="1"/>
      <w:marLeft w:val="0"/>
      <w:marRight w:val="0"/>
      <w:marTop w:val="0"/>
      <w:marBottom w:val="0"/>
      <w:divBdr>
        <w:top w:val="none" w:sz="0" w:space="0" w:color="auto"/>
        <w:left w:val="none" w:sz="0" w:space="0" w:color="auto"/>
        <w:bottom w:val="none" w:sz="0" w:space="0" w:color="auto"/>
        <w:right w:val="none" w:sz="0" w:space="0" w:color="auto"/>
      </w:divBdr>
    </w:div>
    <w:div w:id="266277928">
      <w:bodyDiv w:val="1"/>
      <w:marLeft w:val="0"/>
      <w:marRight w:val="0"/>
      <w:marTop w:val="0"/>
      <w:marBottom w:val="0"/>
      <w:divBdr>
        <w:top w:val="none" w:sz="0" w:space="0" w:color="auto"/>
        <w:left w:val="none" w:sz="0" w:space="0" w:color="auto"/>
        <w:bottom w:val="none" w:sz="0" w:space="0" w:color="auto"/>
        <w:right w:val="none" w:sz="0" w:space="0" w:color="auto"/>
      </w:divBdr>
    </w:div>
    <w:div w:id="266542319">
      <w:bodyDiv w:val="1"/>
      <w:marLeft w:val="0"/>
      <w:marRight w:val="0"/>
      <w:marTop w:val="0"/>
      <w:marBottom w:val="0"/>
      <w:divBdr>
        <w:top w:val="none" w:sz="0" w:space="0" w:color="auto"/>
        <w:left w:val="none" w:sz="0" w:space="0" w:color="auto"/>
        <w:bottom w:val="none" w:sz="0" w:space="0" w:color="auto"/>
        <w:right w:val="none" w:sz="0" w:space="0" w:color="auto"/>
      </w:divBdr>
    </w:div>
    <w:div w:id="266815417">
      <w:bodyDiv w:val="1"/>
      <w:marLeft w:val="0"/>
      <w:marRight w:val="0"/>
      <w:marTop w:val="0"/>
      <w:marBottom w:val="0"/>
      <w:divBdr>
        <w:top w:val="none" w:sz="0" w:space="0" w:color="auto"/>
        <w:left w:val="none" w:sz="0" w:space="0" w:color="auto"/>
        <w:bottom w:val="none" w:sz="0" w:space="0" w:color="auto"/>
        <w:right w:val="none" w:sz="0" w:space="0" w:color="auto"/>
      </w:divBdr>
    </w:div>
    <w:div w:id="267129258">
      <w:bodyDiv w:val="1"/>
      <w:marLeft w:val="0"/>
      <w:marRight w:val="0"/>
      <w:marTop w:val="0"/>
      <w:marBottom w:val="0"/>
      <w:divBdr>
        <w:top w:val="none" w:sz="0" w:space="0" w:color="auto"/>
        <w:left w:val="none" w:sz="0" w:space="0" w:color="auto"/>
        <w:bottom w:val="none" w:sz="0" w:space="0" w:color="auto"/>
        <w:right w:val="none" w:sz="0" w:space="0" w:color="auto"/>
      </w:divBdr>
    </w:div>
    <w:div w:id="267279777">
      <w:bodyDiv w:val="1"/>
      <w:marLeft w:val="0"/>
      <w:marRight w:val="0"/>
      <w:marTop w:val="0"/>
      <w:marBottom w:val="0"/>
      <w:divBdr>
        <w:top w:val="none" w:sz="0" w:space="0" w:color="auto"/>
        <w:left w:val="none" w:sz="0" w:space="0" w:color="auto"/>
        <w:bottom w:val="none" w:sz="0" w:space="0" w:color="auto"/>
        <w:right w:val="none" w:sz="0" w:space="0" w:color="auto"/>
      </w:divBdr>
    </w:div>
    <w:div w:id="267857873">
      <w:bodyDiv w:val="1"/>
      <w:marLeft w:val="0"/>
      <w:marRight w:val="0"/>
      <w:marTop w:val="0"/>
      <w:marBottom w:val="0"/>
      <w:divBdr>
        <w:top w:val="none" w:sz="0" w:space="0" w:color="auto"/>
        <w:left w:val="none" w:sz="0" w:space="0" w:color="auto"/>
        <w:bottom w:val="none" w:sz="0" w:space="0" w:color="auto"/>
        <w:right w:val="none" w:sz="0" w:space="0" w:color="auto"/>
      </w:divBdr>
    </w:div>
    <w:div w:id="268394894">
      <w:bodyDiv w:val="1"/>
      <w:marLeft w:val="0"/>
      <w:marRight w:val="0"/>
      <w:marTop w:val="0"/>
      <w:marBottom w:val="0"/>
      <w:divBdr>
        <w:top w:val="none" w:sz="0" w:space="0" w:color="auto"/>
        <w:left w:val="none" w:sz="0" w:space="0" w:color="auto"/>
        <w:bottom w:val="none" w:sz="0" w:space="0" w:color="auto"/>
        <w:right w:val="none" w:sz="0" w:space="0" w:color="auto"/>
      </w:divBdr>
    </w:div>
    <w:div w:id="268438300">
      <w:bodyDiv w:val="1"/>
      <w:marLeft w:val="0"/>
      <w:marRight w:val="0"/>
      <w:marTop w:val="0"/>
      <w:marBottom w:val="0"/>
      <w:divBdr>
        <w:top w:val="none" w:sz="0" w:space="0" w:color="auto"/>
        <w:left w:val="none" w:sz="0" w:space="0" w:color="auto"/>
        <w:bottom w:val="none" w:sz="0" w:space="0" w:color="auto"/>
        <w:right w:val="none" w:sz="0" w:space="0" w:color="auto"/>
      </w:divBdr>
    </w:div>
    <w:div w:id="269120739">
      <w:bodyDiv w:val="1"/>
      <w:marLeft w:val="0"/>
      <w:marRight w:val="0"/>
      <w:marTop w:val="0"/>
      <w:marBottom w:val="0"/>
      <w:divBdr>
        <w:top w:val="none" w:sz="0" w:space="0" w:color="auto"/>
        <w:left w:val="none" w:sz="0" w:space="0" w:color="auto"/>
        <w:bottom w:val="none" w:sz="0" w:space="0" w:color="auto"/>
        <w:right w:val="none" w:sz="0" w:space="0" w:color="auto"/>
      </w:divBdr>
    </w:div>
    <w:div w:id="269435414">
      <w:bodyDiv w:val="1"/>
      <w:marLeft w:val="0"/>
      <w:marRight w:val="0"/>
      <w:marTop w:val="0"/>
      <w:marBottom w:val="0"/>
      <w:divBdr>
        <w:top w:val="none" w:sz="0" w:space="0" w:color="auto"/>
        <w:left w:val="none" w:sz="0" w:space="0" w:color="auto"/>
        <w:bottom w:val="none" w:sz="0" w:space="0" w:color="auto"/>
        <w:right w:val="none" w:sz="0" w:space="0" w:color="auto"/>
      </w:divBdr>
    </w:div>
    <w:div w:id="269629690">
      <w:bodyDiv w:val="1"/>
      <w:marLeft w:val="0"/>
      <w:marRight w:val="0"/>
      <w:marTop w:val="0"/>
      <w:marBottom w:val="0"/>
      <w:divBdr>
        <w:top w:val="none" w:sz="0" w:space="0" w:color="auto"/>
        <w:left w:val="none" w:sz="0" w:space="0" w:color="auto"/>
        <w:bottom w:val="none" w:sz="0" w:space="0" w:color="auto"/>
        <w:right w:val="none" w:sz="0" w:space="0" w:color="auto"/>
      </w:divBdr>
    </w:div>
    <w:div w:id="270012696">
      <w:bodyDiv w:val="1"/>
      <w:marLeft w:val="0"/>
      <w:marRight w:val="0"/>
      <w:marTop w:val="0"/>
      <w:marBottom w:val="0"/>
      <w:divBdr>
        <w:top w:val="none" w:sz="0" w:space="0" w:color="auto"/>
        <w:left w:val="none" w:sz="0" w:space="0" w:color="auto"/>
        <w:bottom w:val="none" w:sz="0" w:space="0" w:color="auto"/>
        <w:right w:val="none" w:sz="0" w:space="0" w:color="auto"/>
      </w:divBdr>
    </w:div>
    <w:div w:id="270163850">
      <w:bodyDiv w:val="1"/>
      <w:marLeft w:val="0"/>
      <w:marRight w:val="0"/>
      <w:marTop w:val="0"/>
      <w:marBottom w:val="0"/>
      <w:divBdr>
        <w:top w:val="none" w:sz="0" w:space="0" w:color="auto"/>
        <w:left w:val="none" w:sz="0" w:space="0" w:color="auto"/>
        <w:bottom w:val="none" w:sz="0" w:space="0" w:color="auto"/>
        <w:right w:val="none" w:sz="0" w:space="0" w:color="auto"/>
      </w:divBdr>
    </w:div>
    <w:div w:id="270168920">
      <w:bodyDiv w:val="1"/>
      <w:marLeft w:val="0"/>
      <w:marRight w:val="0"/>
      <w:marTop w:val="0"/>
      <w:marBottom w:val="0"/>
      <w:divBdr>
        <w:top w:val="none" w:sz="0" w:space="0" w:color="auto"/>
        <w:left w:val="none" w:sz="0" w:space="0" w:color="auto"/>
        <w:bottom w:val="none" w:sz="0" w:space="0" w:color="auto"/>
        <w:right w:val="none" w:sz="0" w:space="0" w:color="auto"/>
      </w:divBdr>
    </w:div>
    <w:div w:id="271203785">
      <w:bodyDiv w:val="1"/>
      <w:marLeft w:val="0"/>
      <w:marRight w:val="0"/>
      <w:marTop w:val="0"/>
      <w:marBottom w:val="0"/>
      <w:divBdr>
        <w:top w:val="none" w:sz="0" w:space="0" w:color="auto"/>
        <w:left w:val="none" w:sz="0" w:space="0" w:color="auto"/>
        <w:bottom w:val="none" w:sz="0" w:space="0" w:color="auto"/>
        <w:right w:val="none" w:sz="0" w:space="0" w:color="auto"/>
      </w:divBdr>
    </w:div>
    <w:div w:id="271404315">
      <w:bodyDiv w:val="1"/>
      <w:marLeft w:val="0"/>
      <w:marRight w:val="0"/>
      <w:marTop w:val="0"/>
      <w:marBottom w:val="0"/>
      <w:divBdr>
        <w:top w:val="none" w:sz="0" w:space="0" w:color="auto"/>
        <w:left w:val="none" w:sz="0" w:space="0" w:color="auto"/>
        <w:bottom w:val="none" w:sz="0" w:space="0" w:color="auto"/>
        <w:right w:val="none" w:sz="0" w:space="0" w:color="auto"/>
      </w:divBdr>
    </w:div>
    <w:div w:id="271479436">
      <w:bodyDiv w:val="1"/>
      <w:marLeft w:val="0"/>
      <w:marRight w:val="0"/>
      <w:marTop w:val="0"/>
      <w:marBottom w:val="0"/>
      <w:divBdr>
        <w:top w:val="none" w:sz="0" w:space="0" w:color="auto"/>
        <w:left w:val="none" w:sz="0" w:space="0" w:color="auto"/>
        <w:bottom w:val="none" w:sz="0" w:space="0" w:color="auto"/>
        <w:right w:val="none" w:sz="0" w:space="0" w:color="auto"/>
      </w:divBdr>
    </w:div>
    <w:div w:id="272060519">
      <w:bodyDiv w:val="1"/>
      <w:marLeft w:val="0"/>
      <w:marRight w:val="0"/>
      <w:marTop w:val="0"/>
      <w:marBottom w:val="0"/>
      <w:divBdr>
        <w:top w:val="none" w:sz="0" w:space="0" w:color="auto"/>
        <w:left w:val="none" w:sz="0" w:space="0" w:color="auto"/>
        <w:bottom w:val="none" w:sz="0" w:space="0" w:color="auto"/>
        <w:right w:val="none" w:sz="0" w:space="0" w:color="auto"/>
      </w:divBdr>
    </w:div>
    <w:div w:id="272061046">
      <w:bodyDiv w:val="1"/>
      <w:marLeft w:val="0"/>
      <w:marRight w:val="0"/>
      <w:marTop w:val="0"/>
      <w:marBottom w:val="0"/>
      <w:divBdr>
        <w:top w:val="none" w:sz="0" w:space="0" w:color="auto"/>
        <w:left w:val="none" w:sz="0" w:space="0" w:color="auto"/>
        <w:bottom w:val="none" w:sz="0" w:space="0" w:color="auto"/>
        <w:right w:val="none" w:sz="0" w:space="0" w:color="auto"/>
      </w:divBdr>
      <w:divsChild>
        <w:div w:id="473445594">
          <w:marLeft w:val="0"/>
          <w:marRight w:val="0"/>
          <w:marTop w:val="0"/>
          <w:marBottom w:val="0"/>
          <w:divBdr>
            <w:top w:val="none" w:sz="0" w:space="0" w:color="auto"/>
            <w:left w:val="none" w:sz="0" w:space="0" w:color="auto"/>
            <w:bottom w:val="none" w:sz="0" w:space="0" w:color="auto"/>
            <w:right w:val="none" w:sz="0" w:space="0" w:color="auto"/>
          </w:divBdr>
        </w:div>
        <w:div w:id="504176748">
          <w:marLeft w:val="0"/>
          <w:marRight w:val="0"/>
          <w:marTop w:val="0"/>
          <w:marBottom w:val="0"/>
          <w:divBdr>
            <w:top w:val="none" w:sz="0" w:space="0" w:color="auto"/>
            <w:left w:val="none" w:sz="0" w:space="0" w:color="auto"/>
            <w:bottom w:val="none" w:sz="0" w:space="0" w:color="auto"/>
            <w:right w:val="none" w:sz="0" w:space="0" w:color="auto"/>
          </w:divBdr>
          <w:divsChild>
            <w:div w:id="424229721">
              <w:marLeft w:val="0"/>
              <w:marRight w:val="0"/>
              <w:marTop w:val="0"/>
              <w:marBottom w:val="0"/>
              <w:divBdr>
                <w:top w:val="none" w:sz="0" w:space="0" w:color="auto"/>
                <w:left w:val="none" w:sz="0" w:space="0" w:color="auto"/>
                <w:bottom w:val="none" w:sz="0" w:space="0" w:color="auto"/>
                <w:right w:val="none" w:sz="0" w:space="0" w:color="auto"/>
              </w:divBdr>
            </w:div>
            <w:div w:id="1286233654">
              <w:marLeft w:val="0"/>
              <w:marRight w:val="0"/>
              <w:marTop w:val="0"/>
              <w:marBottom w:val="0"/>
              <w:divBdr>
                <w:top w:val="none" w:sz="0" w:space="0" w:color="auto"/>
                <w:left w:val="none" w:sz="0" w:space="0" w:color="auto"/>
                <w:bottom w:val="none" w:sz="0" w:space="0" w:color="auto"/>
                <w:right w:val="none" w:sz="0" w:space="0" w:color="auto"/>
              </w:divBdr>
            </w:div>
            <w:div w:id="1386222544">
              <w:marLeft w:val="0"/>
              <w:marRight w:val="0"/>
              <w:marTop w:val="0"/>
              <w:marBottom w:val="0"/>
              <w:divBdr>
                <w:top w:val="none" w:sz="0" w:space="0" w:color="auto"/>
                <w:left w:val="none" w:sz="0" w:space="0" w:color="auto"/>
                <w:bottom w:val="none" w:sz="0" w:space="0" w:color="auto"/>
                <w:right w:val="none" w:sz="0" w:space="0" w:color="auto"/>
              </w:divBdr>
            </w:div>
            <w:div w:id="1472165337">
              <w:marLeft w:val="0"/>
              <w:marRight w:val="0"/>
              <w:marTop w:val="0"/>
              <w:marBottom w:val="0"/>
              <w:divBdr>
                <w:top w:val="none" w:sz="0" w:space="0" w:color="auto"/>
                <w:left w:val="none" w:sz="0" w:space="0" w:color="auto"/>
                <w:bottom w:val="none" w:sz="0" w:space="0" w:color="auto"/>
                <w:right w:val="none" w:sz="0" w:space="0" w:color="auto"/>
              </w:divBdr>
            </w:div>
            <w:div w:id="1652520753">
              <w:marLeft w:val="0"/>
              <w:marRight w:val="0"/>
              <w:marTop w:val="0"/>
              <w:marBottom w:val="0"/>
              <w:divBdr>
                <w:top w:val="none" w:sz="0" w:space="0" w:color="auto"/>
                <w:left w:val="none" w:sz="0" w:space="0" w:color="auto"/>
                <w:bottom w:val="none" w:sz="0" w:space="0" w:color="auto"/>
                <w:right w:val="none" w:sz="0" w:space="0" w:color="auto"/>
              </w:divBdr>
            </w:div>
            <w:div w:id="1736931738">
              <w:marLeft w:val="0"/>
              <w:marRight w:val="0"/>
              <w:marTop w:val="0"/>
              <w:marBottom w:val="0"/>
              <w:divBdr>
                <w:top w:val="none" w:sz="0" w:space="0" w:color="auto"/>
                <w:left w:val="none" w:sz="0" w:space="0" w:color="auto"/>
                <w:bottom w:val="none" w:sz="0" w:space="0" w:color="auto"/>
                <w:right w:val="none" w:sz="0" w:space="0" w:color="auto"/>
              </w:divBdr>
            </w:div>
            <w:div w:id="1813056086">
              <w:marLeft w:val="0"/>
              <w:marRight w:val="0"/>
              <w:marTop w:val="0"/>
              <w:marBottom w:val="0"/>
              <w:divBdr>
                <w:top w:val="none" w:sz="0" w:space="0" w:color="auto"/>
                <w:left w:val="none" w:sz="0" w:space="0" w:color="auto"/>
                <w:bottom w:val="none" w:sz="0" w:space="0" w:color="auto"/>
                <w:right w:val="none" w:sz="0" w:space="0" w:color="auto"/>
              </w:divBdr>
              <w:divsChild>
                <w:div w:id="775249084">
                  <w:marLeft w:val="0"/>
                  <w:marRight w:val="0"/>
                  <w:marTop w:val="0"/>
                  <w:marBottom w:val="0"/>
                  <w:divBdr>
                    <w:top w:val="none" w:sz="0" w:space="0" w:color="auto"/>
                    <w:left w:val="none" w:sz="0" w:space="0" w:color="auto"/>
                    <w:bottom w:val="none" w:sz="0" w:space="0" w:color="auto"/>
                    <w:right w:val="none" w:sz="0" w:space="0" w:color="auto"/>
                  </w:divBdr>
                </w:div>
                <w:div w:id="1042093295">
                  <w:marLeft w:val="0"/>
                  <w:marRight w:val="0"/>
                  <w:marTop w:val="0"/>
                  <w:marBottom w:val="0"/>
                  <w:divBdr>
                    <w:top w:val="none" w:sz="0" w:space="0" w:color="auto"/>
                    <w:left w:val="none" w:sz="0" w:space="0" w:color="auto"/>
                    <w:bottom w:val="none" w:sz="0" w:space="0" w:color="auto"/>
                    <w:right w:val="none" w:sz="0" w:space="0" w:color="auto"/>
                  </w:divBdr>
                </w:div>
                <w:div w:id="1221092170">
                  <w:marLeft w:val="0"/>
                  <w:marRight w:val="0"/>
                  <w:marTop w:val="0"/>
                  <w:marBottom w:val="0"/>
                  <w:divBdr>
                    <w:top w:val="none" w:sz="0" w:space="0" w:color="auto"/>
                    <w:left w:val="none" w:sz="0" w:space="0" w:color="auto"/>
                    <w:bottom w:val="none" w:sz="0" w:space="0" w:color="auto"/>
                    <w:right w:val="none" w:sz="0" w:space="0" w:color="auto"/>
                  </w:divBdr>
                </w:div>
                <w:div w:id="1344238254">
                  <w:marLeft w:val="0"/>
                  <w:marRight w:val="0"/>
                  <w:marTop w:val="0"/>
                  <w:marBottom w:val="0"/>
                  <w:divBdr>
                    <w:top w:val="none" w:sz="0" w:space="0" w:color="auto"/>
                    <w:left w:val="none" w:sz="0" w:space="0" w:color="auto"/>
                    <w:bottom w:val="none" w:sz="0" w:space="0" w:color="auto"/>
                    <w:right w:val="none" w:sz="0" w:space="0" w:color="auto"/>
                  </w:divBdr>
                </w:div>
                <w:div w:id="1661813725">
                  <w:marLeft w:val="0"/>
                  <w:marRight w:val="0"/>
                  <w:marTop w:val="0"/>
                  <w:marBottom w:val="0"/>
                  <w:divBdr>
                    <w:top w:val="none" w:sz="0" w:space="0" w:color="auto"/>
                    <w:left w:val="none" w:sz="0" w:space="0" w:color="auto"/>
                    <w:bottom w:val="none" w:sz="0" w:space="0" w:color="auto"/>
                    <w:right w:val="none" w:sz="0" w:space="0" w:color="auto"/>
                  </w:divBdr>
                </w:div>
                <w:div w:id="1893156876">
                  <w:marLeft w:val="0"/>
                  <w:marRight w:val="0"/>
                  <w:marTop w:val="0"/>
                  <w:marBottom w:val="0"/>
                  <w:divBdr>
                    <w:top w:val="none" w:sz="0" w:space="0" w:color="auto"/>
                    <w:left w:val="none" w:sz="0" w:space="0" w:color="auto"/>
                    <w:bottom w:val="none" w:sz="0" w:space="0" w:color="auto"/>
                    <w:right w:val="none" w:sz="0" w:space="0" w:color="auto"/>
                  </w:divBdr>
                  <w:divsChild>
                    <w:div w:id="539319490">
                      <w:marLeft w:val="0"/>
                      <w:marRight w:val="0"/>
                      <w:marTop w:val="0"/>
                      <w:marBottom w:val="0"/>
                      <w:divBdr>
                        <w:top w:val="none" w:sz="0" w:space="0" w:color="auto"/>
                        <w:left w:val="none" w:sz="0" w:space="0" w:color="auto"/>
                        <w:bottom w:val="none" w:sz="0" w:space="0" w:color="auto"/>
                        <w:right w:val="none" w:sz="0" w:space="0" w:color="auto"/>
                      </w:divBdr>
                    </w:div>
                    <w:div w:id="669219240">
                      <w:marLeft w:val="0"/>
                      <w:marRight w:val="0"/>
                      <w:marTop w:val="0"/>
                      <w:marBottom w:val="0"/>
                      <w:divBdr>
                        <w:top w:val="none" w:sz="0" w:space="0" w:color="auto"/>
                        <w:left w:val="none" w:sz="0" w:space="0" w:color="auto"/>
                        <w:bottom w:val="none" w:sz="0" w:space="0" w:color="auto"/>
                        <w:right w:val="none" w:sz="0" w:space="0" w:color="auto"/>
                      </w:divBdr>
                    </w:div>
                    <w:div w:id="724646433">
                      <w:marLeft w:val="0"/>
                      <w:marRight w:val="0"/>
                      <w:marTop w:val="0"/>
                      <w:marBottom w:val="0"/>
                      <w:divBdr>
                        <w:top w:val="none" w:sz="0" w:space="0" w:color="auto"/>
                        <w:left w:val="none" w:sz="0" w:space="0" w:color="auto"/>
                        <w:bottom w:val="none" w:sz="0" w:space="0" w:color="auto"/>
                        <w:right w:val="none" w:sz="0" w:space="0" w:color="auto"/>
                      </w:divBdr>
                      <w:divsChild>
                        <w:div w:id="42297400">
                          <w:marLeft w:val="0"/>
                          <w:marRight w:val="0"/>
                          <w:marTop w:val="0"/>
                          <w:marBottom w:val="0"/>
                          <w:divBdr>
                            <w:top w:val="none" w:sz="0" w:space="0" w:color="auto"/>
                            <w:left w:val="none" w:sz="0" w:space="0" w:color="auto"/>
                            <w:bottom w:val="none" w:sz="0" w:space="0" w:color="auto"/>
                            <w:right w:val="none" w:sz="0" w:space="0" w:color="auto"/>
                          </w:divBdr>
                        </w:div>
                        <w:div w:id="371881711">
                          <w:marLeft w:val="0"/>
                          <w:marRight w:val="0"/>
                          <w:marTop w:val="0"/>
                          <w:marBottom w:val="0"/>
                          <w:divBdr>
                            <w:top w:val="none" w:sz="0" w:space="0" w:color="auto"/>
                            <w:left w:val="none" w:sz="0" w:space="0" w:color="auto"/>
                            <w:bottom w:val="none" w:sz="0" w:space="0" w:color="auto"/>
                            <w:right w:val="none" w:sz="0" w:space="0" w:color="auto"/>
                          </w:divBdr>
                        </w:div>
                        <w:div w:id="736779161">
                          <w:marLeft w:val="0"/>
                          <w:marRight w:val="0"/>
                          <w:marTop w:val="0"/>
                          <w:marBottom w:val="0"/>
                          <w:divBdr>
                            <w:top w:val="none" w:sz="0" w:space="0" w:color="auto"/>
                            <w:left w:val="none" w:sz="0" w:space="0" w:color="auto"/>
                            <w:bottom w:val="none" w:sz="0" w:space="0" w:color="auto"/>
                            <w:right w:val="none" w:sz="0" w:space="0" w:color="auto"/>
                          </w:divBdr>
                        </w:div>
                        <w:div w:id="893780340">
                          <w:marLeft w:val="0"/>
                          <w:marRight w:val="0"/>
                          <w:marTop w:val="0"/>
                          <w:marBottom w:val="0"/>
                          <w:divBdr>
                            <w:top w:val="none" w:sz="0" w:space="0" w:color="auto"/>
                            <w:left w:val="none" w:sz="0" w:space="0" w:color="auto"/>
                            <w:bottom w:val="none" w:sz="0" w:space="0" w:color="auto"/>
                            <w:right w:val="none" w:sz="0" w:space="0" w:color="auto"/>
                          </w:divBdr>
                        </w:div>
                        <w:div w:id="932326307">
                          <w:marLeft w:val="0"/>
                          <w:marRight w:val="0"/>
                          <w:marTop w:val="0"/>
                          <w:marBottom w:val="0"/>
                          <w:divBdr>
                            <w:top w:val="none" w:sz="0" w:space="0" w:color="auto"/>
                            <w:left w:val="none" w:sz="0" w:space="0" w:color="auto"/>
                            <w:bottom w:val="none" w:sz="0" w:space="0" w:color="auto"/>
                            <w:right w:val="none" w:sz="0" w:space="0" w:color="auto"/>
                          </w:divBdr>
                          <w:divsChild>
                            <w:div w:id="187643796">
                              <w:marLeft w:val="0"/>
                              <w:marRight w:val="0"/>
                              <w:marTop w:val="0"/>
                              <w:marBottom w:val="0"/>
                              <w:divBdr>
                                <w:top w:val="none" w:sz="0" w:space="0" w:color="auto"/>
                                <w:left w:val="none" w:sz="0" w:space="0" w:color="auto"/>
                                <w:bottom w:val="none" w:sz="0" w:space="0" w:color="auto"/>
                                <w:right w:val="none" w:sz="0" w:space="0" w:color="auto"/>
                              </w:divBdr>
                            </w:div>
                            <w:div w:id="466050741">
                              <w:marLeft w:val="0"/>
                              <w:marRight w:val="0"/>
                              <w:marTop w:val="0"/>
                              <w:marBottom w:val="0"/>
                              <w:divBdr>
                                <w:top w:val="none" w:sz="0" w:space="0" w:color="auto"/>
                                <w:left w:val="none" w:sz="0" w:space="0" w:color="auto"/>
                                <w:bottom w:val="none" w:sz="0" w:space="0" w:color="auto"/>
                                <w:right w:val="none" w:sz="0" w:space="0" w:color="auto"/>
                              </w:divBdr>
                            </w:div>
                            <w:div w:id="500891683">
                              <w:marLeft w:val="0"/>
                              <w:marRight w:val="0"/>
                              <w:marTop w:val="0"/>
                              <w:marBottom w:val="0"/>
                              <w:divBdr>
                                <w:top w:val="none" w:sz="0" w:space="0" w:color="auto"/>
                                <w:left w:val="none" w:sz="0" w:space="0" w:color="auto"/>
                                <w:bottom w:val="none" w:sz="0" w:space="0" w:color="auto"/>
                                <w:right w:val="none" w:sz="0" w:space="0" w:color="auto"/>
                              </w:divBdr>
                            </w:div>
                            <w:div w:id="571551621">
                              <w:marLeft w:val="0"/>
                              <w:marRight w:val="0"/>
                              <w:marTop w:val="0"/>
                              <w:marBottom w:val="0"/>
                              <w:divBdr>
                                <w:top w:val="none" w:sz="0" w:space="0" w:color="auto"/>
                                <w:left w:val="none" w:sz="0" w:space="0" w:color="auto"/>
                                <w:bottom w:val="none" w:sz="0" w:space="0" w:color="auto"/>
                                <w:right w:val="none" w:sz="0" w:space="0" w:color="auto"/>
                              </w:divBdr>
                              <w:divsChild>
                                <w:div w:id="27607354">
                                  <w:marLeft w:val="0"/>
                                  <w:marRight w:val="0"/>
                                  <w:marTop w:val="0"/>
                                  <w:marBottom w:val="0"/>
                                  <w:divBdr>
                                    <w:top w:val="none" w:sz="0" w:space="0" w:color="auto"/>
                                    <w:left w:val="none" w:sz="0" w:space="0" w:color="auto"/>
                                    <w:bottom w:val="none" w:sz="0" w:space="0" w:color="auto"/>
                                    <w:right w:val="none" w:sz="0" w:space="0" w:color="auto"/>
                                  </w:divBdr>
                                </w:div>
                                <w:div w:id="290290221">
                                  <w:marLeft w:val="0"/>
                                  <w:marRight w:val="0"/>
                                  <w:marTop w:val="0"/>
                                  <w:marBottom w:val="0"/>
                                  <w:divBdr>
                                    <w:top w:val="none" w:sz="0" w:space="0" w:color="auto"/>
                                    <w:left w:val="none" w:sz="0" w:space="0" w:color="auto"/>
                                    <w:bottom w:val="none" w:sz="0" w:space="0" w:color="auto"/>
                                    <w:right w:val="none" w:sz="0" w:space="0" w:color="auto"/>
                                  </w:divBdr>
                                </w:div>
                                <w:div w:id="348068083">
                                  <w:marLeft w:val="0"/>
                                  <w:marRight w:val="0"/>
                                  <w:marTop w:val="0"/>
                                  <w:marBottom w:val="0"/>
                                  <w:divBdr>
                                    <w:top w:val="none" w:sz="0" w:space="0" w:color="auto"/>
                                    <w:left w:val="none" w:sz="0" w:space="0" w:color="auto"/>
                                    <w:bottom w:val="none" w:sz="0" w:space="0" w:color="auto"/>
                                    <w:right w:val="none" w:sz="0" w:space="0" w:color="auto"/>
                                  </w:divBdr>
                                </w:div>
                                <w:div w:id="460415997">
                                  <w:marLeft w:val="0"/>
                                  <w:marRight w:val="0"/>
                                  <w:marTop w:val="0"/>
                                  <w:marBottom w:val="0"/>
                                  <w:divBdr>
                                    <w:top w:val="none" w:sz="0" w:space="0" w:color="auto"/>
                                    <w:left w:val="none" w:sz="0" w:space="0" w:color="auto"/>
                                    <w:bottom w:val="none" w:sz="0" w:space="0" w:color="auto"/>
                                    <w:right w:val="none" w:sz="0" w:space="0" w:color="auto"/>
                                  </w:divBdr>
                                </w:div>
                                <w:div w:id="1004478914">
                                  <w:marLeft w:val="0"/>
                                  <w:marRight w:val="0"/>
                                  <w:marTop w:val="0"/>
                                  <w:marBottom w:val="0"/>
                                  <w:divBdr>
                                    <w:top w:val="none" w:sz="0" w:space="0" w:color="auto"/>
                                    <w:left w:val="none" w:sz="0" w:space="0" w:color="auto"/>
                                    <w:bottom w:val="none" w:sz="0" w:space="0" w:color="auto"/>
                                    <w:right w:val="none" w:sz="0" w:space="0" w:color="auto"/>
                                  </w:divBdr>
                                </w:div>
                                <w:div w:id="1208027674">
                                  <w:marLeft w:val="0"/>
                                  <w:marRight w:val="0"/>
                                  <w:marTop w:val="0"/>
                                  <w:marBottom w:val="0"/>
                                  <w:divBdr>
                                    <w:top w:val="none" w:sz="0" w:space="0" w:color="auto"/>
                                    <w:left w:val="none" w:sz="0" w:space="0" w:color="auto"/>
                                    <w:bottom w:val="none" w:sz="0" w:space="0" w:color="auto"/>
                                    <w:right w:val="none" w:sz="0" w:space="0" w:color="auto"/>
                                  </w:divBdr>
                                </w:div>
                                <w:div w:id="1527673948">
                                  <w:marLeft w:val="0"/>
                                  <w:marRight w:val="0"/>
                                  <w:marTop w:val="0"/>
                                  <w:marBottom w:val="0"/>
                                  <w:divBdr>
                                    <w:top w:val="none" w:sz="0" w:space="0" w:color="auto"/>
                                    <w:left w:val="none" w:sz="0" w:space="0" w:color="auto"/>
                                    <w:bottom w:val="none" w:sz="0" w:space="0" w:color="auto"/>
                                    <w:right w:val="none" w:sz="0" w:space="0" w:color="auto"/>
                                  </w:divBdr>
                                  <w:divsChild>
                                    <w:div w:id="594898360">
                                      <w:marLeft w:val="0"/>
                                      <w:marRight w:val="0"/>
                                      <w:marTop w:val="0"/>
                                      <w:marBottom w:val="0"/>
                                      <w:divBdr>
                                        <w:top w:val="none" w:sz="0" w:space="0" w:color="auto"/>
                                        <w:left w:val="none" w:sz="0" w:space="0" w:color="auto"/>
                                        <w:bottom w:val="none" w:sz="0" w:space="0" w:color="auto"/>
                                        <w:right w:val="none" w:sz="0" w:space="0" w:color="auto"/>
                                      </w:divBdr>
                                    </w:div>
                                    <w:div w:id="639268646">
                                      <w:marLeft w:val="0"/>
                                      <w:marRight w:val="0"/>
                                      <w:marTop w:val="0"/>
                                      <w:marBottom w:val="0"/>
                                      <w:divBdr>
                                        <w:top w:val="none" w:sz="0" w:space="0" w:color="auto"/>
                                        <w:left w:val="none" w:sz="0" w:space="0" w:color="auto"/>
                                        <w:bottom w:val="none" w:sz="0" w:space="0" w:color="auto"/>
                                        <w:right w:val="none" w:sz="0" w:space="0" w:color="auto"/>
                                      </w:divBdr>
                                    </w:div>
                                    <w:div w:id="685863833">
                                      <w:marLeft w:val="0"/>
                                      <w:marRight w:val="0"/>
                                      <w:marTop w:val="0"/>
                                      <w:marBottom w:val="0"/>
                                      <w:divBdr>
                                        <w:top w:val="none" w:sz="0" w:space="0" w:color="auto"/>
                                        <w:left w:val="none" w:sz="0" w:space="0" w:color="auto"/>
                                        <w:bottom w:val="none" w:sz="0" w:space="0" w:color="auto"/>
                                        <w:right w:val="none" w:sz="0" w:space="0" w:color="auto"/>
                                      </w:divBdr>
                                    </w:div>
                                    <w:div w:id="724333158">
                                      <w:marLeft w:val="0"/>
                                      <w:marRight w:val="0"/>
                                      <w:marTop w:val="0"/>
                                      <w:marBottom w:val="0"/>
                                      <w:divBdr>
                                        <w:top w:val="none" w:sz="0" w:space="0" w:color="auto"/>
                                        <w:left w:val="none" w:sz="0" w:space="0" w:color="auto"/>
                                        <w:bottom w:val="none" w:sz="0" w:space="0" w:color="auto"/>
                                        <w:right w:val="none" w:sz="0" w:space="0" w:color="auto"/>
                                      </w:divBdr>
                                    </w:div>
                                    <w:div w:id="947616193">
                                      <w:marLeft w:val="0"/>
                                      <w:marRight w:val="0"/>
                                      <w:marTop w:val="0"/>
                                      <w:marBottom w:val="0"/>
                                      <w:divBdr>
                                        <w:top w:val="none" w:sz="0" w:space="0" w:color="auto"/>
                                        <w:left w:val="none" w:sz="0" w:space="0" w:color="auto"/>
                                        <w:bottom w:val="none" w:sz="0" w:space="0" w:color="auto"/>
                                        <w:right w:val="none" w:sz="0" w:space="0" w:color="auto"/>
                                      </w:divBdr>
                                    </w:div>
                                    <w:div w:id="1616978347">
                                      <w:marLeft w:val="0"/>
                                      <w:marRight w:val="0"/>
                                      <w:marTop w:val="0"/>
                                      <w:marBottom w:val="0"/>
                                      <w:divBdr>
                                        <w:top w:val="none" w:sz="0" w:space="0" w:color="auto"/>
                                        <w:left w:val="none" w:sz="0" w:space="0" w:color="auto"/>
                                        <w:bottom w:val="none" w:sz="0" w:space="0" w:color="auto"/>
                                        <w:right w:val="none" w:sz="0" w:space="0" w:color="auto"/>
                                      </w:divBdr>
                                    </w:div>
                                    <w:div w:id="1839421848">
                                      <w:marLeft w:val="0"/>
                                      <w:marRight w:val="0"/>
                                      <w:marTop w:val="0"/>
                                      <w:marBottom w:val="0"/>
                                      <w:divBdr>
                                        <w:top w:val="none" w:sz="0" w:space="0" w:color="auto"/>
                                        <w:left w:val="none" w:sz="0" w:space="0" w:color="auto"/>
                                        <w:bottom w:val="none" w:sz="0" w:space="0" w:color="auto"/>
                                        <w:right w:val="none" w:sz="0" w:space="0" w:color="auto"/>
                                      </w:divBdr>
                                    </w:div>
                                    <w:div w:id="2105832672">
                                      <w:marLeft w:val="0"/>
                                      <w:marRight w:val="0"/>
                                      <w:marTop w:val="0"/>
                                      <w:marBottom w:val="0"/>
                                      <w:divBdr>
                                        <w:top w:val="none" w:sz="0" w:space="0" w:color="auto"/>
                                        <w:left w:val="none" w:sz="0" w:space="0" w:color="auto"/>
                                        <w:bottom w:val="none" w:sz="0" w:space="0" w:color="auto"/>
                                        <w:right w:val="none" w:sz="0" w:space="0" w:color="auto"/>
                                      </w:divBdr>
                                      <w:divsChild>
                                        <w:div w:id="227155144">
                                          <w:marLeft w:val="0"/>
                                          <w:marRight w:val="0"/>
                                          <w:marTop w:val="0"/>
                                          <w:marBottom w:val="0"/>
                                          <w:divBdr>
                                            <w:top w:val="none" w:sz="0" w:space="0" w:color="auto"/>
                                            <w:left w:val="none" w:sz="0" w:space="0" w:color="auto"/>
                                            <w:bottom w:val="none" w:sz="0" w:space="0" w:color="auto"/>
                                            <w:right w:val="none" w:sz="0" w:space="0" w:color="auto"/>
                                          </w:divBdr>
                                        </w:div>
                                        <w:div w:id="481967986">
                                          <w:marLeft w:val="0"/>
                                          <w:marRight w:val="0"/>
                                          <w:marTop w:val="0"/>
                                          <w:marBottom w:val="0"/>
                                          <w:divBdr>
                                            <w:top w:val="none" w:sz="0" w:space="0" w:color="auto"/>
                                            <w:left w:val="none" w:sz="0" w:space="0" w:color="auto"/>
                                            <w:bottom w:val="none" w:sz="0" w:space="0" w:color="auto"/>
                                            <w:right w:val="none" w:sz="0" w:space="0" w:color="auto"/>
                                          </w:divBdr>
                                        </w:div>
                                        <w:div w:id="677272735">
                                          <w:marLeft w:val="0"/>
                                          <w:marRight w:val="0"/>
                                          <w:marTop w:val="0"/>
                                          <w:marBottom w:val="0"/>
                                          <w:divBdr>
                                            <w:top w:val="none" w:sz="0" w:space="0" w:color="auto"/>
                                            <w:left w:val="none" w:sz="0" w:space="0" w:color="auto"/>
                                            <w:bottom w:val="none" w:sz="0" w:space="0" w:color="auto"/>
                                            <w:right w:val="none" w:sz="0" w:space="0" w:color="auto"/>
                                          </w:divBdr>
                                        </w:div>
                                        <w:div w:id="839084455">
                                          <w:marLeft w:val="0"/>
                                          <w:marRight w:val="0"/>
                                          <w:marTop w:val="0"/>
                                          <w:marBottom w:val="0"/>
                                          <w:divBdr>
                                            <w:top w:val="none" w:sz="0" w:space="0" w:color="auto"/>
                                            <w:left w:val="none" w:sz="0" w:space="0" w:color="auto"/>
                                            <w:bottom w:val="none" w:sz="0" w:space="0" w:color="auto"/>
                                            <w:right w:val="none" w:sz="0" w:space="0" w:color="auto"/>
                                          </w:divBdr>
                                          <w:divsChild>
                                            <w:div w:id="117993661">
                                              <w:marLeft w:val="0"/>
                                              <w:marRight w:val="0"/>
                                              <w:marTop w:val="0"/>
                                              <w:marBottom w:val="0"/>
                                              <w:divBdr>
                                                <w:top w:val="none" w:sz="0" w:space="0" w:color="auto"/>
                                                <w:left w:val="none" w:sz="0" w:space="0" w:color="auto"/>
                                                <w:bottom w:val="none" w:sz="0" w:space="0" w:color="auto"/>
                                                <w:right w:val="none" w:sz="0" w:space="0" w:color="auto"/>
                                              </w:divBdr>
                                            </w:div>
                                            <w:div w:id="311720588">
                                              <w:marLeft w:val="0"/>
                                              <w:marRight w:val="0"/>
                                              <w:marTop w:val="0"/>
                                              <w:marBottom w:val="0"/>
                                              <w:divBdr>
                                                <w:top w:val="none" w:sz="0" w:space="0" w:color="auto"/>
                                                <w:left w:val="none" w:sz="0" w:space="0" w:color="auto"/>
                                                <w:bottom w:val="none" w:sz="0" w:space="0" w:color="auto"/>
                                                <w:right w:val="none" w:sz="0" w:space="0" w:color="auto"/>
                                              </w:divBdr>
                                            </w:div>
                                            <w:div w:id="556471465">
                                              <w:marLeft w:val="0"/>
                                              <w:marRight w:val="0"/>
                                              <w:marTop w:val="0"/>
                                              <w:marBottom w:val="0"/>
                                              <w:divBdr>
                                                <w:top w:val="none" w:sz="0" w:space="0" w:color="auto"/>
                                                <w:left w:val="none" w:sz="0" w:space="0" w:color="auto"/>
                                                <w:bottom w:val="none" w:sz="0" w:space="0" w:color="auto"/>
                                                <w:right w:val="none" w:sz="0" w:space="0" w:color="auto"/>
                                              </w:divBdr>
                                              <w:divsChild>
                                                <w:div w:id="70852044">
                                                  <w:marLeft w:val="0"/>
                                                  <w:marRight w:val="0"/>
                                                  <w:marTop w:val="0"/>
                                                  <w:marBottom w:val="0"/>
                                                  <w:divBdr>
                                                    <w:top w:val="none" w:sz="0" w:space="0" w:color="auto"/>
                                                    <w:left w:val="none" w:sz="0" w:space="0" w:color="auto"/>
                                                    <w:bottom w:val="none" w:sz="0" w:space="0" w:color="auto"/>
                                                    <w:right w:val="none" w:sz="0" w:space="0" w:color="auto"/>
                                                  </w:divBdr>
                                                </w:div>
                                                <w:div w:id="125437633">
                                                  <w:marLeft w:val="0"/>
                                                  <w:marRight w:val="0"/>
                                                  <w:marTop w:val="0"/>
                                                  <w:marBottom w:val="0"/>
                                                  <w:divBdr>
                                                    <w:top w:val="none" w:sz="0" w:space="0" w:color="auto"/>
                                                    <w:left w:val="none" w:sz="0" w:space="0" w:color="auto"/>
                                                    <w:bottom w:val="none" w:sz="0" w:space="0" w:color="auto"/>
                                                    <w:right w:val="none" w:sz="0" w:space="0" w:color="auto"/>
                                                  </w:divBdr>
                                                </w:div>
                                                <w:div w:id="280459174">
                                                  <w:marLeft w:val="0"/>
                                                  <w:marRight w:val="0"/>
                                                  <w:marTop w:val="0"/>
                                                  <w:marBottom w:val="0"/>
                                                  <w:divBdr>
                                                    <w:top w:val="none" w:sz="0" w:space="0" w:color="auto"/>
                                                    <w:left w:val="none" w:sz="0" w:space="0" w:color="auto"/>
                                                    <w:bottom w:val="none" w:sz="0" w:space="0" w:color="auto"/>
                                                    <w:right w:val="none" w:sz="0" w:space="0" w:color="auto"/>
                                                  </w:divBdr>
                                                </w:div>
                                                <w:div w:id="561327933">
                                                  <w:marLeft w:val="0"/>
                                                  <w:marRight w:val="0"/>
                                                  <w:marTop w:val="0"/>
                                                  <w:marBottom w:val="0"/>
                                                  <w:divBdr>
                                                    <w:top w:val="none" w:sz="0" w:space="0" w:color="auto"/>
                                                    <w:left w:val="none" w:sz="0" w:space="0" w:color="auto"/>
                                                    <w:bottom w:val="none" w:sz="0" w:space="0" w:color="auto"/>
                                                    <w:right w:val="none" w:sz="0" w:space="0" w:color="auto"/>
                                                  </w:divBdr>
                                                </w:div>
                                                <w:div w:id="1133980469">
                                                  <w:marLeft w:val="0"/>
                                                  <w:marRight w:val="0"/>
                                                  <w:marTop w:val="0"/>
                                                  <w:marBottom w:val="0"/>
                                                  <w:divBdr>
                                                    <w:top w:val="none" w:sz="0" w:space="0" w:color="auto"/>
                                                    <w:left w:val="none" w:sz="0" w:space="0" w:color="auto"/>
                                                    <w:bottom w:val="none" w:sz="0" w:space="0" w:color="auto"/>
                                                    <w:right w:val="none" w:sz="0" w:space="0" w:color="auto"/>
                                                  </w:divBdr>
                                                </w:div>
                                                <w:div w:id="1145514704">
                                                  <w:marLeft w:val="0"/>
                                                  <w:marRight w:val="0"/>
                                                  <w:marTop w:val="0"/>
                                                  <w:marBottom w:val="0"/>
                                                  <w:divBdr>
                                                    <w:top w:val="none" w:sz="0" w:space="0" w:color="auto"/>
                                                    <w:left w:val="none" w:sz="0" w:space="0" w:color="auto"/>
                                                    <w:bottom w:val="none" w:sz="0" w:space="0" w:color="auto"/>
                                                    <w:right w:val="none" w:sz="0" w:space="0" w:color="auto"/>
                                                  </w:divBdr>
                                                  <w:divsChild>
                                                    <w:div w:id="25302629">
                                                      <w:marLeft w:val="0"/>
                                                      <w:marRight w:val="0"/>
                                                      <w:marTop w:val="0"/>
                                                      <w:marBottom w:val="0"/>
                                                      <w:divBdr>
                                                        <w:top w:val="none" w:sz="0" w:space="0" w:color="auto"/>
                                                        <w:left w:val="none" w:sz="0" w:space="0" w:color="auto"/>
                                                        <w:bottom w:val="none" w:sz="0" w:space="0" w:color="auto"/>
                                                        <w:right w:val="none" w:sz="0" w:space="0" w:color="auto"/>
                                                      </w:divBdr>
                                                    </w:div>
                                                    <w:div w:id="379549373">
                                                      <w:marLeft w:val="0"/>
                                                      <w:marRight w:val="0"/>
                                                      <w:marTop w:val="0"/>
                                                      <w:marBottom w:val="0"/>
                                                      <w:divBdr>
                                                        <w:top w:val="none" w:sz="0" w:space="0" w:color="auto"/>
                                                        <w:left w:val="none" w:sz="0" w:space="0" w:color="auto"/>
                                                        <w:bottom w:val="none" w:sz="0" w:space="0" w:color="auto"/>
                                                        <w:right w:val="none" w:sz="0" w:space="0" w:color="auto"/>
                                                      </w:divBdr>
                                                    </w:div>
                                                    <w:div w:id="501051039">
                                                      <w:marLeft w:val="0"/>
                                                      <w:marRight w:val="0"/>
                                                      <w:marTop w:val="0"/>
                                                      <w:marBottom w:val="0"/>
                                                      <w:divBdr>
                                                        <w:top w:val="none" w:sz="0" w:space="0" w:color="auto"/>
                                                        <w:left w:val="none" w:sz="0" w:space="0" w:color="auto"/>
                                                        <w:bottom w:val="none" w:sz="0" w:space="0" w:color="auto"/>
                                                        <w:right w:val="none" w:sz="0" w:space="0" w:color="auto"/>
                                                      </w:divBdr>
                                                    </w:div>
                                                    <w:div w:id="795222602">
                                                      <w:marLeft w:val="0"/>
                                                      <w:marRight w:val="0"/>
                                                      <w:marTop w:val="0"/>
                                                      <w:marBottom w:val="0"/>
                                                      <w:divBdr>
                                                        <w:top w:val="none" w:sz="0" w:space="0" w:color="auto"/>
                                                        <w:left w:val="none" w:sz="0" w:space="0" w:color="auto"/>
                                                        <w:bottom w:val="none" w:sz="0" w:space="0" w:color="auto"/>
                                                        <w:right w:val="none" w:sz="0" w:space="0" w:color="auto"/>
                                                      </w:divBdr>
                                                    </w:div>
                                                    <w:div w:id="1061367590">
                                                      <w:marLeft w:val="0"/>
                                                      <w:marRight w:val="0"/>
                                                      <w:marTop w:val="0"/>
                                                      <w:marBottom w:val="0"/>
                                                      <w:divBdr>
                                                        <w:top w:val="none" w:sz="0" w:space="0" w:color="auto"/>
                                                        <w:left w:val="none" w:sz="0" w:space="0" w:color="auto"/>
                                                        <w:bottom w:val="none" w:sz="0" w:space="0" w:color="auto"/>
                                                        <w:right w:val="none" w:sz="0" w:space="0" w:color="auto"/>
                                                      </w:divBdr>
                                                    </w:div>
                                                    <w:div w:id="1149438123">
                                                      <w:marLeft w:val="0"/>
                                                      <w:marRight w:val="0"/>
                                                      <w:marTop w:val="0"/>
                                                      <w:marBottom w:val="0"/>
                                                      <w:divBdr>
                                                        <w:top w:val="none" w:sz="0" w:space="0" w:color="auto"/>
                                                        <w:left w:val="none" w:sz="0" w:space="0" w:color="auto"/>
                                                        <w:bottom w:val="none" w:sz="0" w:space="0" w:color="auto"/>
                                                        <w:right w:val="none" w:sz="0" w:space="0" w:color="auto"/>
                                                      </w:divBdr>
                                                    </w:div>
                                                    <w:div w:id="1275288953">
                                                      <w:marLeft w:val="0"/>
                                                      <w:marRight w:val="0"/>
                                                      <w:marTop w:val="0"/>
                                                      <w:marBottom w:val="0"/>
                                                      <w:divBdr>
                                                        <w:top w:val="none" w:sz="0" w:space="0" w:color="auto"/>
                                                        <w:left w:val="none" w:sz="0" w:space="0" w:color="auto"/>
                                                        <w:bottom w:val="none" w:sz="0" w:space="0" w:color="auto"/>
                                                        <w:right w:val="none" w:sz="0" w:space="0" w:color="auto"/>
                                                      </w:divBdr>
                                                      <w:divsChild>
                                                        <w:div w:id="42944015">
                                                          <w:marLeft w:val="0"/>
                                                          <w:marRight w:val="0"/>
                                                          <w:marTop w:val="0"/>
                                                          <w:marBottom w:val="0"/>
                                                          <w:divBdr>
                                                            <w:top w:val="none" w:sz="0" w:space="0" w:color="auto"/>
                                                            <w:left w:val="none" w:sz="0" w:space="0" w:color="auto"/>
                                                            <w:bottom w:val="none" w:sz="0" w:space="0" w:color="auto"/>
                                                            <w:right w:val="none" w:sz="0" w:space="0" w:color="auto"/>
                                                          </w:divBdr>
                                                        </w:div>
                                                        <w:div w:id="615253707">
                                                          <w:marLeft w:val="0"/>
                                                          <w:marRight w:val="0"/>
                                                          <w:marTop w:val="0"/>
                                                          <w:marBottom w:val="0"/>
                                                          <w:divBdr>
                                                            <w:top w:val="none" w:sz="0" w:space="0" w:color="auto"/>
                                                            <w:left w:val="none" w:sz="0" w:space="0" w:color="auto"/>
                                                            <w:bottom w:val="none" w:sz="0" w:space="0" w:color="auto"/>
                                                            <w:right w:val="none" w:sz="0" w:space="0" w:color="auto"/>
                                                          </w:divBdr>
                                                        </w:div>
                                                        <w:div w:id="712996135">
                                                          <w:marLeft w:val="0"/>
                                                          <w:marRight w:val="0"/>
                                                          <w:marTop w:val="0"/>
                                                          <w:marBottom w:val="0"/>
                                                          <w:divBdr>
                                                            <w:top w:val="none" w:sz="0" w:space="0" w:color="auto"/>
                                                            <w:left w:val="none" w:sz="0" w:space="0" w:color="auto"/>
                                                            <w:bottom w:val="none" w:sz="0" w:space="0" w:color="auto"/>
                                                            <w:right w:val="none" w:sz="0" w:space="0" w:color="auto"/>
                                                          </w:divBdr>
                                                        </w:div>
                                                        <w:div w:id="1042705073">
                                                          <w:marLeft w:val="0"/>
                                                          <w:marRight w:val="0"/>
                                                          <w:marTop w:val="0"/>
                                                          <w:marBottom w:val="0"/>
                                                          <w:divBdr>
                                                            <w:top w:val="none" w:sz="0" w:space="0" w:color="auto"/>
                                                            <w:left w:val="none" w:sz="0" w:space="0" w:color="auto"/>
                                                            <w:bottom w:val="none" w:sz="0" w:space="0" w:color="auto"/>
                                                            <w:right w:val="none" w:sz="0" w:space="0" w:color="auto"/>
                                                          </w:divBdr>
                                                        </w:div>
                                                        <w:div w:id="1265041967">
                                                          <w:marLeft w:val="0"/>
                                                          <w:marRight w:val="0"/>
                                                          <w:marTop w:val="0"/>
                                                          <w:marBottom w:val="0"/>
                                                          <w:divBdr>
                                                            <w:top w:val="none" w:sz="0" w:space="0" w:color="auto"/>
                                                            <w:left w:val="none" w:sz="0" w:space="0" w:color="auto"/>
                                                            <w:bottom w:val="none" w:sz="0" w:space="0" w:color="auto"/>
                                                            <w:right w:val="none" w:sz="0" w:space="0" w:color="auto"/>
                                                          </w:divBdr>
                                                        </w:div>
                                                        <w:div w:id="1305575224">
                                                          <w:marLeft w:val="0"/>
                                                          <w:marRight w:val="0"/>
                                                          <w:marTop w:val="0"/>
                                                          <w:marBottom w:val="0"/>
                                                          <w:divBdr>
                                                            <w:top w:val="none" w:sz="0" w:space="0" w:color="auto"/>
                                                            <w:left w:val="none" w:sz="0" w:space="0" w:color="auto"/>
                                                            <w:bottom w:val="none" w:sz="0" w:space="0" w:color="auto"/>
                                                            <w:right w:val="none" w:sz="0" w:space="0" w:color="auto"/>
                                                          </w:divBdr>
                                                        </w:div>
                                                        <w:div w:id="1318612131">
                                                          <w:marLeft w:val="0"/>
                                                          <w:marRight w:val="0"/>
                                                          <w:marTop w:val="0"/>
                                                          <w:marBottom w:val="0"/>
                                                          <w:divBdr>
                                                            <w:top w:val="none" w:sz="0" w:space="0" w:color="auto"/>
                                                            <w:left w:val="none" w:sz="0" w:space="0" w:color="auto"/>
                                                            <w:bottom w:val="none" w:sz="0" w:space="0" w:color="auto"/>
                                                            <w:right w:val="none" w:sz="0" w:space="0" w:color="auto"/>
                                                          </w:divBdr>
                                                        </w:div>
                                                        <w:div w:id="1323849813">
                                                          <w:marLeft w:val="0"/>
                                                          <w:marRight w:val="0"/>
                                                          <w:marTop w:val="0"/>
                                                          <w:marBottom w:val="0"/>
                                                          <w:divBdr>
                                                            <w:top w:val="none" w:sz="0" w:space="0" w:color="auto"/>
                                                            <w:left w:val="none" w:sz="0" w:space="0" w:color="auto"/>
                                                            <w:bottom w:val="none" w:sz="0" w:space="0" w:color="auto"/>
                                                            <w:right w:val="none" w:sz="0" w:space="0" w:color="auto"/>
                                                          </w:divBdr>
                                                        </w:div>
                                                        <w:div w:id="209971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670467">
                                                  <w:marLeft w:val="0"/>
                                                  <w:marRight w:val="0"/>
                                                  <w:marTop w:val="0"/>
                                                  <w:marBottom w:val="0"/>
                                                  <w:divBdr>
                                                    <w:top w:val="none" w:sz="0" w:space="0" w:color="auto"/>
                                                    <w:left w:val="none" w:sz="0" w:space="0" w:color="auto"/>
                                                    <w:bottom w:val="none" w:sz="0" w:space="0" w:color="auto"/>
                                                    <w:right w:val="none" w:sz="0" w:space="0" w:color="auto"/>
                                                  </w:divBdr>
                                                </w:div>
                                                <w:div w:id="1680309648">
                                                  <w:marLeft w:val="0"/>
                                                  <w:marRight w:val="0"/>
                                                  <w:marTop w:val="0"/>
                                                  <w:marBottom w:val="0"/>
                                                  <w:divBdr>
                                                    <w:top w:val="none" w:sz="0" w:space="0" w:color="auto"/>
                                                    <w:left w:val="none" w:sz="0" w:space="0" w:color="auto"/>
                                                    <w:bottom w:val="none" w:sz="0" w:space="0" w:color="auto"/>
                                                    <w:right w:val="none" w:sz="0" w:space="0" w:color="auto"/>
                                                  </w:divBdr>
                                                </w:div>
                                              </w:divsChild>
                                            </w:div>
                                            <w:div w:id="1084105440">
                                              <w:marLeft w:val="0"/>
                                              <w:marRight w:val="0"/>
                                              <w:marTop w:val="0"/>
                                              <w:marBottom w:val="0"/>
                                              <w:divBdr>
                                                <w:top w:val="none" w:sz="0" w:space="0" w:color="auto"/>
                                                <w:left w:val="none" w:sz="0" w:space="0" w:color="auto"/>
                                                <w:bottom w:val="none" w:sz="0" w:space="0" w:color="auto"/>
                                                <w:right w:val="none" w:sz="0" w:space="0" w:color="auto"/>
                                              </w:divBdr>
                                            </w:div>
                                            <w:div w:id="1124925889">
                                              <w:marLeft w:val="0"/>
                                              <w:marRight w:val="0"/>
                                              <w:marTop w:val="0"/>
                                              <w:marBottom w:val="0"/>
                                              <w:divBdr>
                                                <w:top w:val="none" w:sz="0" w:space="0" w:color="auto"/>
                                                <w:left w:val="none" w:sz="0" w:space="0" w:color="auto"/>
                                                <w:bottom w:val="none" w:sz="0" w:space="0" w:color="auto"/>
                                                <w:right w:val="none" w:sz="0" w:space="0" w:color="auto"/>
                                              </w:divBdr>
                                            </w:div>
                                            <w:div w:id="1198078419">
                                              <w:marLeft w:val="0"/>
                                              <w:marRight w:val="0"/>
                                              <w:marTop w:val="0"/>
                                              <w:marBottom w:val="0"/>
                                              <w:divBdr>
                                                <w:top w:val="none" w:sz="0" w:space="0" w:color="auto"/>
                                                <w:left w:val="none" w:sz="0" w:space="0" w:color="auto"/>
                                                <w:bottom w:val="none" w:sz="0" w:space="0" w:color="auto"/>
                                                <w:right w:val="none" w:sz="0" w:space="0" w:color="auto"/>
                                              </w:divBdr>
                                            </w:div>
                                            <w:div w:id="1361934906">
                                              <w:marLeft w:val="0"/>
                                              <w:marRight w:val="0"/>
                                              <w:marTop w:val="0"/>
                                              <w:marBottom w:val="0"/>
                                              <w:divBdr>
                                                <w:top w:val="none" w:sz="0" w:space="0" w:color="auto"/>
                                                <w:left w:val="none" w:sz="0" w:space="0" w:color="auto"/>
                                                <w:bottom w:val="none" w:sz="0" w:space="0" w:color="auto"/>
                                                <w:right w:val="none" w:sz="0" w:space="0" w:color="auto"/>
                                              </w:divBdr>
                                            </w:div>
                                            <w:div w:id="1839811694">
                                              <w:marLeft w:val="0"/>
                                              <w:marRight w:val="0"/>
                                              <w:marTop w:val="0"/>
                                              <w:marBottom w:val="0"/>
                                              <w:divBdr>
                                                <w:top w:val="none" w:sz="0" w:space="0" w:color="auto"/>
                                                <w:left w:val="none" w:sz="0" w:space="0" w:color="auto"/>
                                                <w:bottom w:val="none" w:sz="0" w:space="0" w:color="auto"/>
                                                <w:right w:val="none" w:sz="0" w:space="0" w:color="auto"/>
                                              </w:divBdr>
                                            </w:div>
                                          </w:divsChild>
                                        </w:div>
                                        <w:div w:id="900797197">
                                          <w:marLeft w:val="0"/>
                                          <w:marRight w:val="0"/>
                                          <w:marTop w:val="0"/>
                                          <w:marBottom w:val="0"/>
                                          <w:divBdr>
                                            <w:top w:val="none" w:sz="0" w:space="0" w:color="auto"/>
                                            <w:left w:val="none" w:sz="0" w:space="0" w:color="auto"/>
                                            <w:bottom w:val="none" w:sz="0" w:space="0" w:color="auto"/>
                                            <w:right w:val="none" w:sz="0" w:space="0" w:color="auto"/>
                                          </w:divBdr>
                                        </w:div>
                                        <w:div w:id="1191256676">
                                          <w:marLeft w:val="0"/>
                                          <w:marRight w:val="0"/>
                                          <w:marTop w:val="0"/>
                                          <w:marBottom w:val="0"/>
                                          <w:divBdr>
                                            <w:top w:val="none" w:sz="0" w:space="0" w:color="auto"/>
                                            <w:left w:val="none" w:sz="0" w:space="0" w:color="auto"/>
                                            <w:bottom w:val="none" w:sz="0" w:space="0" w:color="auto"/>
                                            <w:right w:val="none" w:sz="0" w:space="0" w:color="auto"/>
                                          </w:divBdr>
                                        </w:div>
                                        <w:div w:id="1444610198">
                                          <w:marLeft w:val="0"/>
                                          <w:marRight w:val="0"/>
                                          <w:marTop w:val="0"/>
                                          <w:marBottom w:val="0"/>
                                          <w:divBdr>
                                            <w:top w:val="none" w:sz="0" w:space="0" w:color="auto"/>
                                            <w:left w:val="none" w:sz="0" w:space="0" w:color="auto"/>
                                            <w:bottom w:val="none" w:sz="0" w:space="0" w:color="auto"/>
                                            <w:right w:val="none" w:sz="0" w:space="0" w:color="auto"/>
                                          </w:divBdr>
                                        </w:div>
                                        <w:div w:id="162275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630060">
                                  <w:marLeft w:val="0"/>
                                  <w:marRight w:val="0"/>
                                  <w:marTop w:val="0"/>
                                  <w:marBottom w:val="0"/>
                                  <w:divBdr>
                                    <w:top w:val="none" w:sz="0" w:space="0" w:color="auto"/>
                                    <w:left w:val="none" w:sz="0" w:space="0" w:color="auto"/>
                                    <w:bottom w:val="none" w:sz="0" w:space="0" w:color="auto"/>
                                    <w:right w:val="none" w:sz="0" w:space="0" w:color="auto"/>
                                  </w:divBdr>
                                </w:div>
                              </w:divsChild>
                            </w:div>
                            <w:div w:id="789131483">
                              <w:marLeft w:val="0"/>
                              <w:marRight w:val="0"/>
                              <w:marTop w:val="0"/>
                              <w:marBottom w:val="0"/>
                              <w:divBdr>
                                <w:top w:val="none" w:sz="0" w:space="0" w:color="auto"/>
                                <w:left w:val="none" w:sz="0" w:space="0" w:color="auto"/>
                                <w:bottom w:val="none" w:sz="0" w:space="0" w:color="auto"/>
                                <w:right w:val="none" w:sz="0" w:space="0" w:color="auto"/>
                              </w:divBdr>
                            </w:div>
                            <w:div w:id="1127772779">
                              <w:marLeft w:val="0"/>
                              <w:marRight w:val="0"/>
                              <w:marTop w:val="0"/>
                              <w:marBottom w:val="0"/>
                              <w:divBdr>
                                <w:top w:val="none" w:sz="0" w:space="0" w:color="auto"/>
                                <w:left w:val="none" w:sz="0" w:space="0" w:color="auto"/>
                                <w:bottom w:val="none" w:sz="0" w:space="0" w:color="auto"/>
                                <w:right w:val="none" w:sz="0" w:space="0" w:color="auto"/>
                              </w:divBdr>
                            </w:div>
                            <w:div w:id="1156843095">
                              <w:marLeft w:val="0"/>
                              <w:marRight w:val="0"/>
                              <w:marTop w:val="0"/>
                              <w:marBottom w:val="0"/>
                              <w:divBdr>
                                <w:top w:val="none" w:sz="0" w:space="0" w:color="auto"/>
                                <w:left w:val="none" w:sz="0" w:space="0" w:color="auto"/>
                                <w:bottom w:val="none" w:sz="0" w:space="0" w:color="auto"/>
                                <w:right w:val="none" w:sz="0" w:space="0" w:color="auto"/>
                              </w:divBdr>
                            </w:div>
                            <w:div w:id="1990747721">
                              <w:marLeft w:val="0"/>
                              <w:marRight w:val="0"/>
                              <w:marTop w:val="0"/>
                              <w:marBottom w:val="0"/>
                              <w:divBdr>
                                <w:top w:val="none" w:sz="0" w:space="0" w:color="auto"/>
                                <w:left w:val="none" w:sz="0" w:space="0" w:color="auto"/>
                                <w:bottom w:val="none" w:sz="0" w:space="0" w:color="auto"/>
                                <w:right w:val="none" w:sz="0" w:space="0" w:color="auto"/>
                              </w:divBdr>
                            </w:div>
                          </w:divsChild>
                        </w:div>
                        <w:div w:id="1324436447">
                          <w:marLeft w:val="0"/>
                          <w:marRight w:val="0"/>
                          <w:marTop w:val="0"/>
                          <w:marBottom w:val="0"/>
                          <w:divBdr>
                            <w:top w:val="none" w:sz="0" w:space="0" w:color="auto"/>
                            <w:left w:val="none" w:sz="0" w:space="0" w:color="auto"/>
                            <w:bottom w:val="none" w:sz="0" w:space="0" w:color="auto"/>
                            <w:right w:val="none" w:sz="0" w:space="0" w:color="auto"/>
                          </w:divBdr>
                        </w:div>
                        <w:div w:id="1640305441">
                          <w:marLeft w:val="0"/>
                          <w:marRight w:val="0"/>
                          <w:marTop w:val="0"/>
                          <w:marBottom w:val="0"/>
                          <w:divBdr>
                            <w:top w:val="none" w:sz="0" w:space="0" w:color="auto"/>
                            <w:left w:val="none" w:sz="0" w:space="0" w:color="auto"/>
                            <w:bottom w:val="none" w:sz="0" w:space="0" w:color="auto"/>
                            <w:right w:val="none" w:sz="0" w:space="0" w:color="auto"/>
                          </w:divBdr>
                        </w:div>
                        <w:div w:id="1861504953">
                          <w:marLeft w:val="0"/>
                          <w:marRight w:val="0"/>
                          <w:marTop w:val="0"/>
                          <w:marBottom w:val="0"/>
                          <w:divBdr>
                            <w:top w:val="none" w:sz="0" w:space="0" w:color="auto"/>
                            <w:left w:val="none" w:sz="0" w:space="0" w:color="auto"/>
                            <w:bottom w:val="none" w:sz="0" w:space="0" w:color="auto"/>
                            <w:right w:val="none" w:sz="0" w:space="0" w:color="auto"/>
                          </w:divBdr>
                        </w:div>
                      </w:divsChild>
                    </w:div>
                    <w:div w:id="1206867165">
                      <w:marLeft w:val="0"/>
                      <w:marRight w:val="0"/>
                      <w:marTop w:val="0"/>
                      <w:marBottom w:val="0"/>
                      <w:divBdr>
                        <w:top w:val="none" w:sz="0" w:space="0" w:color="auto"/>
                        <w:left w:val="none" w:sz="0" w:space="0" w:color="auto"/>
                        <w:bottom w:val="none" w:sz="0" w:space="0" w:color="auto"/>
                        <w:right w:val="none" w:sz="0" w:space="0" w:color="auto"/>
                      </w:divBdr>
                    </w:div>
                    <w:div w:id="1385253221">
                      <w:marLeft w:val="0"/>
                      <w:marRight w:val="0"/>
                      <w:marTop w:val="0"/>
                      <w:marBottom w:val="0"/>
                      <w:divBdr>
                        <w:top w:val="none" w:sz="0" w:space="0" w:color="auto"/>
                        <w:left w:val="none" w:sz="0" w:space="0" w:color="auto"/>
                        <w:bottom w:val="none" w:sz="0" w:space="0" w:color="auto"/>
                        <w:right w:val="none" w:sz="0" w:space="0" w:color="auto"/>
                      </w:divBdr>
                    </w:div>
                    <w:div w:id="1468930926">
                      <w:marLeft w:val="0"/>
                      <w:marRight w:val="0"/>
                      <w:marTop w:val="0"/>
                      <w:marBottom w:val="0"/>
                      <w:divBdr>
                        <w:top w:val="none" w:sz="0" w:space="0" w:color="auto"/>
                        <w:left w:val="none" w:sz="0" w:space="0" w:color="auto"/>
                        <w:bottom w:val="none" w:sz="0" w:space="0" w:color="auto"/>
                        <w:right w:val="none" w:sz="0" w:space="0" w:color="auto"/>
                      </w:divBdr>
                    </w:div>
                    <w:div w:id="1613127130">
                      <w:marLeft w:val="0"/>
                      <w:marRight w:val="0"/>
                      <w:marTop w:val="0"/>
                      <w:marBottom w:val="0"/>
                      <w:divBdr>
                        <w:top w:val="none" w:sz="0" w:space="0" w:color="auto"/>
                        <w:left w:val="none" w:sz="0" w:space="0" w:color="auto"/>
                        <w:bottom w:val="none" w:sz="0" w:space="0" w:color="auto"/>
                        <w:right w:val="none" w:sz="0" w:space="0" w:color="auto"/>
                      </w:divBdr>
                    </w:div>
                    <w:div w:id="1858545266">
                      <w:marLeft w:val="0"/>
                      <w:marRight w:val="0"/>
                      <w:marTop w:val="0"/>
                      <w:marBottom w:val="0"/>
                      <w:divBdr>
                        <w:top w:val="none" w:sz="0" w:space="0" w:color="auto"/>
                        <w:left w:val="none" w:sz="0" w:space="0" w:color="auto"/>
                        <w:bottom w:val="none" w:sz="0" w:space="0" w:color="auto"/>
                        <w:right w:val="none" w:sz="0" w:space="0" w:color="auto"/>
                      </w:divBdr>
                    </w:div>
                  </w:divsChild>
                </w:div>
                <w:div w:id="1931504105">
                  <w:marLeft w:val="0"/>
                  <w:marRight w:val="0"/>
                  <w:marTop w:val="0"/>
                  <w:marBottom w:val="0"/>
                  <w:divBdr>
                    <w:top w:val="none" w:sz="0" w:space="0" w:color="auto"/>
                    <w:left w:val="none" w:sz="0" w:space="0" w:color="auto"/>
                    <w:bottom w:val="none" w:sz="0" w:space="0" w:color="auto"/>
                    <w:right w:val="none" w:sz="0" w:space="0" w:color="auto"/>
                  </w:divBdr>
                </w:div>
                <w:div w:id="2002275026">
                  <w:marLeft w:val="0"/>
                  <w:marRight w:val="0"/>
                  <w:marTop w:val="0"/>
                  <w:marBottom w:val="0"/>
                  <w:divBdr>
                    <w:top w:val="none" w:sz="0" w:space="0" w:color="auto"/>
                    <w:left w:val="none" w:sz="0" w:space="0" w:color="auto"/>
                    <w:bottom w:val="none" w:sz="0" w:space="0" w:color="auto"/>
                    <w:right w:val="none" w:sz="0" w:space="0" w:color="auto"/>
                  </w:divBdr>
                </w:div>
              </w:divsChild>
            </w:div>
            <w:div w:id="2004160601">
              <w:marLeft w:val="0"/>
              <w:marRight w:val="0"/>
              <w:marTop w:val="0"/>
              <w:marBottom w:val="0"/>
              <w:divBdr>
                <w:top w:val="none" w:sz="0" w:space="0" w:color="auto"/>
                <w:left w:val="none" w:sz="0" w:space="0" w:color="auto"/>
                <w:bottom w:val="none" w:sz="0" w:space="0" w:color="auto"/>
                <w:right w:val="none" w:sz="0" w:space="0" w:color="auto"/>
              </w:divBdr>
            </w:div>
          </w:divsChild>
        </w:div>
        <w:div w:id="1357921463">
          <w:marLeft w:val="0"/>
          <w:marRight w:val="0"/>
          <w:marTop w:val="0"/>
          <w:marBottom w:val="0"/>
          <w:divBdr>
            <w:top w:val="none" w:sz="0" w:space="0" w:color="auto"/>
            <w:left w:val="none" w:sz="0" w:space="0" w:color="auto"/>
            <w:bottom w:val="none" w:sz="0" w:space="0" w:color="auto"/>
            <w:right w:val="none" w:sz="0" w:space="0" w:color="auto"/>
          </w:divBdr>
        </w:div>
        <w:div w:id="1498223897">
          <w:marLeft w:val="0"/>
          <w:marRight w:val="0"/>
          <w:marTop w:val="0"/>
          <w:marBottom w:val="0"/>
          <w:divBdr>
            <w:top w:val="none" w:sz="0" w:space="0" w:color="auto"/>
            <w:left w:val="none" w:sz="0" w:space="0" w:color="auto"/>
            <w:bottom w:val="none" w:sz="0" w:space="0" w:color="auto"/>
            <w:right w:val="none" w:sz="0" w:space="0" w:color="auto"/>
          </w:divBdr>
        </w:div>
        <w:div w:id="1697072230">
          <w:marLeft w:val="0"/>
          <w:marRight w:val="0"/>
          <w:marTop w:val="0"/>
          <w:marBottom w:val="0"/>
          <w:divBdr>
            <w:top w:val="none" w:sz="0" w:space="0" w:color="auto"/>
            <w:left w:val="none" w:sz="0" w:space="0" w:color="auto"/>
            <w:bottom w:val="none" w:sz="0" w:space="0" w:color="auto"/>
            <w:right w:val="none" w:sz="0" w:space="0" w:color="auto"/>
          </w:divBdr>
        </w:div>
        <w:div w:id="1878812443">
          <w:marLeft w:val="0"/>
          <w:marRight w:val="0"/>
          <w:marTop w:val="0"/>
          <w:marBottom w:val="0"/>
          <w:divBdr>
            <w:top w:val="none" w:sz="0" w:space="0" w:color="auto"/>
            <w:left w:val="none" w:sz="0" w:space="0" w:color="auto"/>
            <w:bottom w:val="none" w:sz="0" w:space="0" w:color="auto"/>
            <w:right w:val="none" w:sz="0" w:space="0" w:color="auto"/>
          </w:divBdr>
        </w:div>
        <w:div w:id="2057926977">
          <w:marLeft w:val="0"/>
          <w:marRight w:val="0"/>
          <w:marTop w:val="0"/>
          <w:marBottom w:val="0"/>
          <w:divBdr>
            <w:top w:val="none" w:sz="0" w:space="0" w:color="auto"/>
            <w:left w:val="none" w:sz="0" w:space="0" w:color="auto"/>
            <w:bottom w:val="none" w:sz="0" w:space="0" w:color="auto"/>
            <w:right w:val="none" w:sz="0" w:space="0" w:color="auto"/>
          </w:divBdr>
        </w:div>
        <w:div w:id="2132507008">
          <w:marLeft w:val="0"/>
          <w:marRight w:val="0"/>
          <w:marTop w:val="0"/>
          <w:marBottom w:val="0"/>
          <w:divBdr>
            <w:top w:val="none" w:sz="0" w:space="0" w:color="auto"/>
            <w:left w:val="none" w:sz="0" w:space="0" w:color="auto"/>
            <w:bottom w:val="none" w:sz="0" w:space="0" w:color="auto"/>
            <w:right w:val="none" w:sz="0" w:space="0" w:color="auto"/>
          </w:divBdr>
        </w:div>
      </w:divsChild>
    </w:div>
    <w:div w:id="272203542">
      <w:bodyDiv w:val="1"/>
      <w:marLeft w:val="0"/>
      <w:marRight w:val="0"/>
      <w:marTop w:val="0"/>
      <w:marBottom w:val="0"/>
      <w:divBdr>
        <w:top w:val="none" w:sz="0" w:space="0" w:color="auto"/>
        <w:left w:val="none" w:sz="0" w:space="0" w:color="auto"/>
        <w:bottom w:val="none" w:sz="0" w:space="0" w:color="auto"/>
        <w:right w:val="none" w:sz="0" w:space="0" w:color="auto"/>
      </w:divBdr>
    </w:div>
    <w:div w:id="272368845">
      <w:bodyDiv w:val="1"/>
      <w:marLeft w:val="0"/>
      <w:marRight w:val="0"/>
      <w:marTop w:val="0"/>
      <w:marBottom w:val="0"/>
      <w:divBdr>
        <w:top w:val="none" w:sz="0" w:space="0" w:color="auto"/>
        <w:left w:val="none" w:sz="0" w:space="0" w:color="auto"/>
        <w:bottom w:val="none" w:sz="0" w:space="0" w:color="auto"/>
        <w:right w:val="none" w:sz="0" w:space="0" w:color="auto"/>
      </w:divBdr>
    </w:div>
    <w:div w:id="272518107">
      <w:bodyDiv w:val="1"/>
      <w:marLeft w:val="0"/>
      <w:marRight w:val="0"/>
      <w:marTop w:val="0"/>
      <w:marBottom w:val="0"/>
      <w:divBdr>
        <w:top w:val="none" w:sz="0" w:space="0" w:color="auto"/>
        <w:left w:val="none" w:sz="0" w:space="0" w:color="auto"/>
        <w:bottom w:val="none" w:sz="0" w:space="0" w:color="auto"/>
        <w:right w:val="none" w:sz="0" w:space="0" w:color="auto"/>
      </w:divBdr>
    </w:div>
    <w:div w:id="272978964">
      <w:bodyDiv w:val="1"/>
      <w:marLeft w:val="0"/>
      <w:marRight w:val="0"/>
      <w:marTop w:val="0"/>
      <w:marBottom w:val="0"/>
      <w:divBdr>
        <w:top w:val="none" w:sz="0" w:space="0" w:color="auto"/>
        <w:left w:val="none" w:sz="0" w:space="0" w:color="auto"/>
        <w:bottom w:val="none" w:sz="0" w:space="0" w:color="auto"/>
        <w:right w:val="none" w:sz="0" w:space="0" w:color="auto"/>
      </w:divBdr>
    </w:div>
    <w:div w:id="273245385">
      <w:bodyDiv w:val="1"/>
      <w:marLeft w:val="0"/>
      <w:marRight w:val="0"/>
      <w:marTop w:val="0"/>
      <w:marBottom w:val="0"/>
      <w:divBdr>
        <w:top w:val="none" w:sz="0" w:space="0" w:color="auto"/>
        <w:left w:val="none" w:sz="0" w:space="0" w:color="auto"/>
        <w:bottom w:val="none" w:sz="0" w:space="0" w:color="auto"/>
        <w:right w:val="none" w:sz="0" w:space="0" w:color="auto"/>
      </w:divBdr>
    </w:div>
    <w:div w:id="273366899">
      <w:bodyDiv w:val="1"/>
      <w:marLeft w:val="0"/>
      <w:marRight w:val="0"/>
      <w:marTop w:val="0"/>
      <w:marBottom w:val="0"/>
      <w:divBdr>
        <w:top w:val="none" w:sz="0" w:space="0" w:color="auto"/>
        <w:left w:val="none" w:sz="0" w:space="0" w:color="auto"/>
        <w:bottom w:val="none" w:sz="0" w:space="0" w:color="auto"/>
        <w:right w:val="none" w:sz="0" w:space="0" w:color="auto"/>
      </w:divBdr>
    </w:div>
    <w:div w:id="273445905">
      <w:bodyDiv w:val="1"/>
      <w:marLeft w:val="0"/>
      <w:marRight w:val="0"/>
      <w:marTop w:val="0"/>
      <w:marBottom w:val="0"/>
      <w:divBdr>
        <w:top w:val="none" w:sz="0" w:space="0" w:color="auto"/>
        <w:left w:val="none" w:sz="0" w:space="0" w:color="auto"/>
        <w:bottom w:val="none" w:sz="0" w:space="0" w:color="auto"/>
        <w:right w:val="none" w:sz="0" w:space="0" w:color="auto"/>
      </w:divBdr>
    </w:div>
    <w:div w:id="273560646">
      <w:bodyDiv w:val="1"/>
      <w:marLeft w:val="0"/>
      <w:marRight w:val="0"/>
      <w:marTop w:val="0"/>
      <w:marBottom w:val="0"/>
      <w:divBdr>
        <w:top w:val="none" w:sz="0" w:space="0" w:color="auto"/>
        <w:left w:val="none" w:sz="0" w:space="0" w:color="auto"/>
        <w:bottom w:val="none" w:sz="0" w:space="0" w:color="auto"/>
        <w:right w:val="none" w:sz="0" w:space="0" w:color="auto"/>
      </w:divBdr>
    </w:div>
    <w:div w:id="273683058">
      <w:bodyDiv w:val="1"/>
      <w:marLeft w:val="0"/>
      <w:marRight w:val="0"/>
      <w:marTop w:val="0"/>
      <w:marBottom w:val="0"/>
      <w:divBdr>
        <w:top w:val="none" w:sz="0" w:space="0" w:color="auto"/>
        <w:left w:val="none" w:sz="0" w:space="0" w:color="auto"/>
        <w:bottom w:val="none" w:sz="0" w:space="0" w:color="auto"/>
        <w:right w:val="none" w:sz="0" w:space="0" w:color="auto"/>
      </w:divBdr>
    </w:div>
    <w:div w:id="274286796">
      <w:bodyDiv w:val="1"/>
      <w:marLeft w:val="0"/>
      <w:marRight w:val="0"/>
      <w:marTop w:val="0"/>
      <w:marBottom w:val="0"/>
      <w:divBdr>
        <w:top w:val="none" w:sz="0" w:space="0" w:color="auto"/>
        <w:left w:val="none" w:sz="0" w:space="0" w:color="auto"/>
        <w:bottom w:val="none" w:sz="0" w:space="0" w:color="auto"/>
        <w:right w:val="none" w:sz="0" w:space="0" w:color="auto"/>
      </w:divBdr>
    </w:div>
    <w:div w:id="274413628">
      <w:bodyDiv w:val="1"/>
      <w:marLeft w:val="0"/>
      <w:marRight w:val="0"/>
      <w:marTop w:val="0"/>
      <w:marBottom w:val="0"/>
      <w:divBdr>
        <w:top w:val="none" w:sz="0" w:space="0" w:color="auto"/>
        <w:left w:val="none" w:sz="0" w:space="0" w:color="auto"/>
        <w:bottom w:val="none" w:sz="0" w:space="0" w:color="auto"/>
        <w:right w:val="none" w:sz="0" w:space="0" w:color="auto"/>
      </w:divBdr>
    </w:div>
    <w:div w:id="274484129">
      <w:bodyDiv w:val="1"/>
      <w:marLeft w:val="0"/>
      <w:marRight w:val="0"/>
      <w:marTop w:val="0"/>
      <w:marBottom w:val="0"/>
      <w:divBdr>
        <w:top w:val="none" w:sz="0" w:space="0" w:color="auto"/>
        <w:left w:val="none" w:sz="0" w:space="0" w:color="auto"/>
        <w:bottom w:val="none" w:sz="0" w:space="0" w:color="auto"/>
        <w:right w:val="none" w:sz="0" w:space="0" w:color="auto"/>
      </w:divBdr>
    </w:div>
    <w:div w:id="274555112">
      <w:bodyDiv w:val="1"/>
      <w:marLeft w:val="0"/>
      <w:marRight w:val="0"/>
      <w:marTop w:val="0"/>
      <w:marBottom w:val="0"/>
      <w:divBdr>
        <w:top w:val="none" w:sz="0" w:space="0" w:color="auto"/>
        <w:left w:val="none" w:sz="0" w:space="0" w:color="auto"/>
        <w:bottom w:val="none" w:sz="0" w:space="0" w:color="auto"/>
        <w:right w:val="none" w:sz="0" w:space="0" w:color="auto"/>
      </w:divBdr>
    </w:div>
    <w:div w:id="275480151">
      <w:bodyDiv w:val="1"/>
      <w:marLeft w:val="0"/>
      <w:marRight w:val="0"/>
      <w:marTop w:val="0"/>
      <w:marBottom w:val="0"/>
      <w:divBdr>
        <w:top w:val="none" w:sz="0" w:space="0" w:color="auto"/>
        <w:left w:val="none" w:sz="0" w:space="0" w:color="auto"/>
        <w:bottom w:val="none" w:sz="0" w:space="0" w:color="auto"/>
        <w:right w:val="none" w:sz="0" w:space="0" w:color="auto"/>
      </w:divBdr>
    </w:div>
    <w:div w:id="275866544">
      <w:bodyDiv w:val="1"/>
      <w:marLeft w:val="0"/>
      <w:marRight w:val="0"/>
      <w:marTop w:val="0"/>
      <w:marBottom w:val="0"/>
      <w:divBdr>
        <w:top w:val="none" w:sz="0" w:space="0" w:color="auto"/>
        <w:left w:val="none" w:sz="0" w:space="0" w:color="auto"/>
        <w:bottom w:val="none" w:sz="0" w:space="0" w:color="auto"/>
        <w:right w:val="none" w:sz="0" w:space="0" w:color="auto"/>
      </w:divBdr>
    </w:div>
    <w:div w:id="275989418">
      <w:bodyDiv w:val="1"/>
      <w:marLeft w:val="0"/>
      <w:marRight w:val="0"/>
      <w:marTop w:val="0"/>
      <w:marBottom w:val="0"/>
      <w:divBdr>
        <w:top w:val="none" w:sz="0" w:space="0" w:color="auto"/>
        <w:left w:val="none" w:sz="0" w:space="0" w:color="auto"/>
        <w:bottom w:val="none" w:sz="0" w:space="0" w:color="auto"/>
        <w:right w:val="none" w:sz="0" w:space="0" w:color="auto"/>
      </w:divBdr>
    </w:div>
    <w:div w:id="276184021">
      <w:bodyDiv w:val="1"/>
      <w:marLeft w:val="0"/>
      <w:marRight w:val="0"/>
      <w:marTop w:val="0"/>
      <w:marBottom w:val="0"/>
      <w:divBdr>
        <w:top w:val="none" w:sz="0" w:space="0" w:color="auto"/>
        <w:left w:val="none" w:sz="0" w:space="0" w:color="auto"/>
        <w:bottom w:val="none" w:sz="0" w:space="0" w:color="auto"/>
        <w:right w:val="none" w:sz="0" w:space="0" w:color="auto"/>
      </w:divBdr>
    </w:div>
    <w:div w:id="276185799">
      <w:bodyDiv w:val="1"/>
      <w:marLeft w:val="0"/>
      <w:marRight w:val="0"/>
      <w:marTop w:val="0"/>
      <w:marBottom w:val="0"/>
      <w:divBdr>
        <w:top w:val="none" w:sz="0" w:space="0" w:color="auto"/>
        <w:left w:val="none" w:sz="0" w:space="0" w:color="auto"/>
        <w:bottom w:val="none" w:sz="0" w:space="0" w:color="auto"/>
        <w:right w:val="none" w:sz="0" w:space="0" w:color="auto"/>
      </w:divBdr>
    </w:div>
    <w:div w:id="276258832">
      <w:bodyDiv w:val="1"/>
      <w:marLeft w:val="0"/>
      <w:marRight w:val="0"/>
      <w:marTop w:val="0"/>
      <w:marBottom w:val="0"/>
      <w:divBdr>
        <w:top w:val="none" w:sz="0" w:space="0" w:color="auto"/>
        <w:left w:val="none" w:sz="0" w:space="0" w:color="auto"/>
        <w:bottom w:val="none" w:sz="0" w:space="0" w:color="auto"/>
        <w:right w:val="none" w:sz="0" w:space="0" w:color="auto"/>
      </w:divBdr>
    </w:div>
    <w:div w:id="276301469">
      <w:bodyDiv w:val="1"/>
      <w:marLeft w:val="0"/>
      <w:marRight w:val="0"/>
      <w:marTop w:val="0"/>
      <w:marBottom w:val="0"/>
      <w:divBdr>
        <w:top w:val="none" w:sz="0" w:space="0" w:color="auto"/>
        <w:left w:val="none" w:sz="0" w:space="0" w:color="auto"/>
        <w:bottom w:val="none" w:sz="0" w:space="0" w:color="auto"/>
        <w:right w:val="none" w:sz="0" w:space="0" w:color="auto"/>
      </w:divBdr>
    </w:div>
    <w:div w:id="276956298">
      <w:bodyDiv w:val="1"/>
      <w:marLeft w:val="0"/>
      <w:marRight w:val="0"/>
      <w:marTop w:val="0"/>
      <w:marBottom w:val="0"/>
      <w:divBdr>
        <w:top w:val="none" w:sz="0" w:space="0" w:color="auto"/>
        <w:left w:val="none" w:sz="0" w:space="0" w:color="auto"/>
        <w:bottom w:val="none" w:sz="0" w:space="0" w:color="auto"/>
        <w:right w:val="none" w:sz="0" w:space="0" w:color="auto"/>
      </w:divBdr>
    </w:div>
    <w:div w:id="277104775">
      <w:bodyDiv w:val="1"/>
      <w:marLeft w:val="0"/>
      <w:marRight w:val="0"/>
      <w:marTop w:val="0"/>
      <w:marBottom w:val="0"/>
      <w:divBdr>
        <w:top w:val="none" w:sz="0" w:space="0" w:color="auto"/>
        <w:left w:val="none" w:sz="0" w:space="0" w:color="auto"/>
        <w:bottom w:val="none" w:sz="0" w:space="0" w:color="auto"/>
        <w:right w:val="none" w:sz="0" w:space="0" w:color="auto"/>
      </w:divBdr>
    </w:div>
    <w:div w:id="277177816">
      <w:bodyDiv w:val="1"/>
      <w:marLeft w:val="0"/>
      <w:marRight w:val="0"/>
      <w:marTop w:val="0"/>
      <w:marBottom w:val="0"/>
      <w:divBdr>
        <w:top w:val="none" w:sz="0" w:space="0" w:color="auto"/>
        <w:left w:val="none" w:sz="0" w:space="0" w:color="auto"/>
        <w:bottom w:val="none" w:sz="0" w:space="0" w:color="auto"/>
        <w:right w:val="none" w:sz="0" w:space="0" w:color="auto"/>
      </w:divBdr>
    </w:div>
    <w:div w:id="277685265">
      <w:bodyDiv w:val="1"/>
      <w:marLeft w:val="0"/>
      <w:marRight w:val="0"/>
      <w:marTop w:val="0"/>
      <w:marBottom w:val="0"/>
      <w:divBdr>
        <w:top w:val="none" w:sz="0" w:space="0" w:color="auto"/>
        <w:left w:val="none" w:sz="0" w:space="0" w:color="auto"/>
        <w:bottom w:val="none" w:sz="0" w:space="0" w:color="auto"/>
        <w:right w:val="none" w:sz="0" w:space="0" w:color="auto"/>
      </w:divBdr>
    </w:div>
    <w:div w:id="278267913">
      <w:bodyDiv w:val="1"/>
      <w:marLeft w:val="0"/>
      <w:marRight w:val="0"/>
      <w:marTop w:val="0"/>
      <w:marBottom w:val="0"/>
      <w:divBdr>
        <w:top w:val="none" w:sz="0" w:space="0" w:color="auto"/>
        <w:left w:val="none" w:sz="0" w:space="0" w:color="auto"/>
        <w:bottom w:val="none" w:sz="0" w:space="0" w:color="auto"/>
        <w:right w:val="none" w:sz="0" w:space="0" w:color="auto"/>
      </w:divBdr>
    </w:div>
    <w:div w:id="278681905">
      <w:bodyDiv w:val="1"/>
      <w:marLeft w:val="0"/>
      <w:marRight w:val="0"/>
      <w:marTop w:val="0"/>
      <w:marBottom w:val="0"/>
      <w:divBdr>
        <w:top w:val="none" w:sz="0" w:space="0" w:color="auto"/>
        <w:left w:val="none" w:sz="0" w:space="0" w:color="auto"/>
        <w:bottom w:val="none" w:sz="0" w:space="0" w:color="auto"/>
        <w:right w:val="none" w:sz="0" w:space="0" w:color="auto"/>
      </w:divBdr>
    </w:div>
    <w:div w:id="278923416">
      <w:bodyDiv w:val="1"/>
      <w:marLeft w:val="0"/>
      <w:marRight w:val="0"/>
      <w:marTop w:val="0"/>
      <w:marBottom w:val="0"/>
      <w:divBdr>
        <w:top w:val="none" w:sz="0" w:space="0" w:color="auto"/>
        <w:left w:val="none" w:sz="0" w:space="0" w:color="auto"/>
        <w:bottom w:val="none" w:sz="0" w:space="0" w:color="auto"/>
        <w:right w:val="none" w:sz="0" w:space="0" w:color="auto"/>
      </w:divBdr>
    </w:div>
    <w:div w:id="279537376">
      <w:bodyDiv w:val="1"/>
      <w:marLeft w:val="0"/>
      <w:marRight w:val="0"/>
      <w:marTop w:val="0"/>
      <w:marBottom w:val="0"/>
      <w:divBdr>
        <w:top w:val="none" w:sz="0" w:space="0" w:color="auto"/>
        <w:left w:val="none" w:sz="0" w:space="0" w:color="auto"/>
        <w:bottom w:val="none" w:sz="0" w:space="0" w:color="auto"/>
        <w:right w:val="none" w:sz="0" w:space="0" w:color="auto"/>
      </w:divBdr>
    </w:div>
    <w:div w:id="280116658">
      <w:bodyDiv w:val="1"/>
      <w:marLeft w:val="0"/>
      <w:marRight w:val="0"/>
      <w:marTop w:val="0"/>
      <w:marBottom w:val="0"/>
      <w:divBdr>
        <w:top w:val="none" w:sz="0" w:space="0" w:color="auto"/>
        <w:left w:val="none" w:sz="0" w:space="0" w:color="auto"/>
        <w:bottom w:val="none" w:sz="0" w:space="0" w:color="auto"/>
        <w:right w:val="none" w:sz="0" w:space="0" w:color="auto"/>
      </w:divBdr>
    </w:div>
    <w:div w:id="280191606">
      <w:bodyDiv w:val="1"/>
      <w:marLeft w:val="0"/>
      <w:marRight w:val="0"/>
      <w:marTop w:val="0"/>
      <w:marBottom w:val="0"/>
      <w:divBdr>
        <w:top w:val="none" w:sz="0" w:space="0" w:color="auto"/>
        <w:left w:val="none" w:sz="0" w:space="0" w:color="auto"/>
        <w:bottom w:val="none" w:sz="0" w:space="0" w:color="auto"/>
        <w:right w:val="none" w:sz="0" w:space="0" w:color="auto"/>
      </w:divBdr>
    </w:div>
    <w:div w:id="280378822">
      <w:bodyDiv w:val="1"/>
      <w:marLeft w:val="0"/>
      <w:marRight w:val="0"/>
      <w:marTop w:val="0"/>
      <w:marBottom w:val="0"/>
      <w:divBdr>
        <w:top w:val="none" w:sz="0" w:space="0" w:color="auto"/>
        <w:left w:val="none" w:sz="0" w:space="0" w:color="auto"/>
        <w:bottom w:val="none" w:sz="0" w:space="0" w:color="auto"/>
        <w:right w:val="none" w:sz="0" w:space="0" w:color="auto"/>
      </w:divBdr>
    </w:div>
    <w:div w:id="280647375">
      <w:bodyDiv w:val="1"/>
      <w:marLeft w:val="0"/>
      <w:marRight w:val="0"/>
      <w:marTop w:val="0"/>
      <w:marBottom w:val="0"/>
      <w:divBdr>
        <w:top w:val="none" w:sz="0" w:space="0" w:color="auto"/>
        <w:left w:val="none" w:sz="0" w:space="0" w:color="auto"/>
        <w:bottom w:val="none" w:sz="0" w:space="0" w:color="auto"/>
        <w:right w:val="none" w:sz="0" w:space="0" w:color="auto"/>
      </w:divBdr>
    </w:div>
    <w:div w:id="280647747">
      <w:bodyDiv w:val="1"/>
      <w:marLeft w:val="0"/>
      <w:marRight w:val="0"/>
      <w:marTop w:val="0"/>
      <w:marBottom w:val="0"/>
      <w:divBdr>
        <w:top w:val="none" w:sz="0" w:space="0" w:color="auto"/>
        <w:left w:val="none" w:sz="0" w:space="0" w:color="auto"/>
        <w:bottom w:val="none" w:sz="0" w:space="0" w:color="auto"/>
        <w:right w:val="none" w:sz="0" w:space="0" w:color="auto"/>
      </w:divBdr>
    </w:div>
    <w:div w:id="281233402">
      <w:bodyDiv w:val="1"/>
      <w:marLeft w:val="0"/>
      <w:marRight w:val="0"/>
      <w:marTop w:val="0"/>
      <w:marBottom w:val="0"/>
      <w:divBdr>
        <w:top w:val="none" w:sz="0" w:space="0" w:color="auto"/>
        <w:left w:val="none" w:sz="0" w:space="0" w:color="auto"/>
        <w:bottom w:val="none" w:sz="0" w:space="0" w:color="auto"/>
        <w:right w:val="none" w:sz="0" w:space="0" w:color="auto"/>
      </w:divBdr>
    </w:div>
    <w:div w:id="281306955">
      <w:bodyDiv w:val="1"/>
      <w:marLeft w:val="0"/>
      <w:marRight w:val="0"/>
      <w:marTop w:val="0"/>
      <w:marBottom w:val="0"/>
      <w:divBdr>
        <w:top w:val="none" w:sz="0" w:space="0" w:color="auto"/>
        <w:left w:val="none" w:sz="0" w:space="0" w:color="auto"/>
        <w:bottom w:val="none" w:sz="0" w:space="0" w:color="auto"/>
        <w:right w:val="none" w:sz="0" w:space="0" w:color="auto"/>
      </w:divBdr>
    </w:div>
    <w:div w:id="282269967">
      <w:bodyDiv w:val="1"/>
      <w:marLeft w:val="0"/>
      <w:marRight w:val="0"/>
      <w:marTop w:val="0"/>
      <w:marBottom w:val="0"/>
      <w:divBdr>
        <w:top w:val="none" w:sz="0" w:space="0" w:color="auto"/>
        <w:left w:val="none" w:sz="0" w:space="0" w:color="auto"/>
        <w:bottom w:val="none" w:sz="0" w:space="0" w:color="auto"/>
        <w:right w:val="none" w:sz="0" w:space="0" w:color="auto"/>
      </w:divBdr>
    </w:div>
    <w:div w:id="282613624">
      <w:bodyDiv w:val="1"/>
      <w:marLeft w:val="0"/>
      <w:marRight w:val="0"/>
      <w:marTop w:val="0"/>
      <w:marBottom w:val="0"/>
      <w:divBdr>
        <w:top w:val="none" w:sz="0" w:space="0" w:color="auto"/>
        <w:left w:val="none" w:sz="0" w:space="0" w:color="auto"/>
        <w:bottom w:val="none" w:sz="0" w:space="0" w:color="auto"/>
        <w:right w:val="none" w:sz="0" w:space="0" w:color="auto"/>
      </w:divBdr>
    </w:div>
    <w:div w:id="282617055">
      <w:bodyDiv w:val="1"/>
      <w:marLeft w:val="0"/>
      <w:marRight w:val="0"/>
      <w:marTop w:val="0"/>
      <w:marBottom w:val="0"/>
      <w:divBdr>
        <w:top w:val="none" w:sz="0" w:space="0" w:color="auto"/>
        <w:left w:val="none" w:sz="0" w:space="0" w:color="auto"/>
        <w:bottom w:val="none" w:sz="0" w:space="0" w:color="auto"/>
        <w:right w:val="none" w:sz="0" w:space="0" w:color="auto"/>
      </w:divBdr>
    </w:div>
    <w:div w:id="282813693">
      <w:bodyDiv w:val="1"/>
      <w:marLeft w:val="0"/>
      <w:marRight w:val="0"/>
      <w:marTop w:val="0"/>
      <w:marBottom w:val="0"/>
      <w:divBdr>
        <w:top w:val="none" w:sz="0" w:space="0" w:color="auto"/>
        <w:left w:val="none" w:sz="0" w:space="0" w:color="auto"/>
        <w:bottom w:val="none" w:sz="0" w:space="0" w:color="auto"/>
        <w:right w:val="none" w:sz="0" w:space="0" w:color="auto"/>
      </w:divBdr>
    </w:div>
    <w:div w:id="282882836">
      <w:bodyDiv w:val="1"/>
      <w:marLeft w:val="0"/>
      <w:marRight w:val="0"/>
      <w:marTop w:val="0"/>
      <w:marBottom w:val="0"/>
      <w:divBdr>
        <w:top w:val="none" w:sz="0" w:space="0" w:color="auto"/>
        <w:left w:val="none" w:sz="0" w:space="0" w:color="auto"/>
        <w:bottom w:val="none" w:sz="0" w:space="0" w:color="auto"/>
        <w:right w:val="none" w:sz="0" w:space="0" w:color="auto"/>
      </w:divBdr>
    </w:div>
    <w:div w:id="282925249">
      <w:bodyDiv w:val="1"/>
      <w:marLeft w:val="0"/>
      <w:marRight w:val="0"/>
      <w:marTop w:val="0"/>
      <w:marBottom w:val="0"/>
      <w:divBdr>
        <w:top w:val="none" w:sz="0" w:space="0" w:color="auto"/>
        <w:left w:val="none" w:sz="0" w:space="0" w:color="auto"/>
        <w:bottom w:val="none" w:sz="0" w:space="0" w:color="auto"/>
        <w:right w:val="none" w:sz="0" w:space="0" w:color="auto"/>
      </w:divBdr>
    </w:div>
    <w:div w:id="283122294">
      <w:bodyDiv w:val="1"/>
      <w:marLeft w:val="0"/>
      <w:marRight w:val="0"/>
      <w:marTop w:val="0"/>
      <w:marBottom w:val="0"/>
      <w:divBdr>
        <w:top w:val="none" w:sz="0" w:space="0" w:color="auto"/>
        <w:left w:val="none" w:sz="0" w:space="0" w:color="auto"/>
        <w:bottom w:val="none" w:sz="0" w:space="0" w:color="auto"/>
        <w:right w:val="none" w:sz="0" w:space="0" w:color="auto"/>
      </w:divBdr>
    </w:div>
    <w:div w:id="283390425">
      <w:bodyDiv w:val="1"/>
      <w:marLeft w:val="0"/>
      <w:marRight w:val="0"/>
      <w:marTop w:val="0"/>
      <w:marBottom w:val="0"/>
      <w:divBdr>
        <w:top w:val="none" w:sz="0" w:space="0" w:color="auto"/>
        <w:left w:val="none" w:sz="0" w:space="0" w:color="auto"/>
        <w:bottom w:val="none" w:sz="0" w:space="0" w:color="auto"/>
        <w:right w:val="none" w:sz="0" w:space="0" w:color="auto"/>
      </w:divBdr>
    </w:div>
    <w:div w:id="283658513">
      <w:bodyDiv w:val="1"/>
      <w:marLeft w:val="0"/>
      <w:marRight w:val="0"/>
      <w:marTop w:val="0"/>
      <w:marBottom w:val="0"/>
      <w:divBdr>
        <w:top w:val="none" w:sz="0" w:space="0" w:color="auto"/>
        <w:left w:val="none" w:sz="0" w:space="0" w:color="auto"/>
        <w:bottom w:val="none" w:sz="0" w:space="0" w:color="auto"/>
        <w:right w:val="none" w:sz="0" w:space="0" w:color="auto"/>
      </w:divBdr>
    </w:div>
    <w:div w:id="283735977">
      <w:bodyDiv w:val="1"/>
      <w:marLeft w:val="0"/>
      <w:marRight w:val="0"/>
      <w:marTop w:val="0"/>
      <w:marBottom w:val="0"/>
      <w:divBdr>
        <w:top w:val="none" w:sz="0" w:space="0" w:color="auto"/>
        <w:left w:val="none" w:sz="0" w:space="0" w:color="auto"/>
        <w:bottom w:val="none" w:sz="0" w:space="0" w:color="auto"/>
        <w:right w:val="none" w:sz="0" w:space="0" w:color="auto"/>
      </w:divBdr>
    </w:div>
    <w:div w:id="284046944">
      <w:bodyDiv w:val="1"/>
      <w:marLeft w:val="0"/>
      <w:marRight w:val="0"/>
      <w:marTop w:val="0"/>
      <w:marBottom w:val="0"/>
      <w:divBdr>
        <w:top w:val="none" w:sz="0" w:space="0" w:color="auto"/>
        <w:left w:val="none" w:sz="0" w:space="0" w:color="auto"/>
        <w:bottom w:val="none" w:sz="0" w:space="0" w:color="auto"/>
        <w:right w:val="none" w:sz="0" w:space="0" w:color="auto"/>
      </w:divBdr>
    </w:div>
    <w:div w:id="284049406">
      <w:bodyDiv w:val="1"/>
      <w:marLeft w:val="0"/>
      <w:marRight w:val="0"/>
      <w:marTop w:val="0"/>
      <w:marBottom w:val="0"/>
      <w:divBdr>
        <w:top w:val="none" w:sz="0" w:space="0" w:color="auto"/>
        <w:left w:val="none" w:sz="0" w:space="0" w:color="auto"/>
        <w:bottom w:val="none" w:sz="0" w:space="0" w:color="auto"/>
        <w:right w:val="none" w:sz="0" w:space="0" w:color="auto"/>
      </w:divBdr>
    </w:div>
    <w:div w:id="284698937">
      <w:bodyDiv w:val="1"/>
      <w:marLeft w:val="0"/>
      <w:marRight w:val="0"/>
      <w:marTop w:val="0"/>
      <w:marBottom w:val="0"/>
      <w:divBdr>
        <w:top w:val="none" w:sz="0" w:space="0" w:color="auto"/>
        <w:left w:val="none" w:sz="0" w:space="0" w:color="auto"/>
        <w:bottom w:val="none" w:sz="0" w:space="0" w:color="auto"/>
        <w:right w:val="none" w:sz="0" w:space="0" w:color="auto"/>
      </w:divBdr>
    </w:div>
    <w:div w:id="284776329">
      <w:bodyDiv w:val="1"/>
      <w:marLeft w:val="0"/>
      <w:marRight w:val="0"/>
      <w:marTop w:val="0"/>
      <w:marBottom w:val="0"/>
      <w:divBdr>
        <w:top w:val="none" w:sz="0" w:space="0" w:color="auto"/>
        <w:left w:val="none" w:sz="0" w:space="0" w:color="auto"/>
        <w:bottom w:val="none" w:sz="0" w:space="0" w:color="auto"/>
        <w:right w:val="none" w:sz="0" w:space="0" w:color="auto"/>
      </w:divBdr>
    </w:div>
    <w:div w:id="284889298">
      <w:bodyDiv w:val="1"/>
      <w:marLeft w:val="0"/>
      <w:marRight w:val="0"/>
      <w:marTop w:val="0"/>
      <w:marBottom w:val="0"/>
      <w:divBdr>
        <w:top w:val="none" w:sz="0" w:space="0" w:color="auto"/>
        <w:left w:val="none" w:sz="0" w:space="0" w:color="auto"/>
        <w:bottom w:val="none" w:sz="0" w:space="0" w:color="auto"/>
        <w:right w:val="none" w:sz="0" w:space="0" w:color="auto"/>
      </w:divBdr>
    </w:div>
    <w:div w:id="285427369">
      <w:bodyDiv w:val="1"/>
      <w:marLeft w:val="0"/>
      <w:marRight w:val="0"/>
      <w:marTop w:val="0"/>
      <w:marBottom w:val="0"/>
      <w:divBdr>
        <w:top w:val="none" w:sz="0" w:space="0" w:color="auto"/>
        <w:left w:val="none" w:sz="0" w:space="0" w:color="auto"/>
        <w:bottom w:val="none" w:sz="0" w:space="0" w:color="auto"/>
        <w:right w:val="none" w:sz="0" w:space="0" w:color="auto"/>
      </w:divBdr>
    </w:div>
    <w:div w:id="285427951">
      <w:bodyDiv w:val="1"/>
      <w:marLeft w:val="0"/>
      <w:marRight w:val="0"/>
      <w:marTop w:val="0"/>
      <w:marBottom w:val="0"/>
      <w:divBdr>
        <w:top w:val="none" w:sz="0" w:space="0" w:color="auto"/>
        <w:left w:val="none" w:sz="0" w:space="0" w:color="auto"/>
        <w:bottom w:val="none" w:sz="0" w:space="0" w:color="auto"/>
        <w:right w:val="none" w:sz="0" w:space="0" w:color="auto"/>
      </w:divBdr>
    </w:div>
    <w:div w:id="286008019">
      <w:bodyDiv w:val="1"/>
      <w:marLeft w:val="0"/>
      <w:marRight w:val="0"/>
      <w:marTop w:val="0"/>
      <w:marBottom w:val="0"/>
      <w:divBdr>
        <w:top w:val="none" w:sz="0" w:space="0" w:color="auto"/>
        <w:left w:val="none" w:sz="0" w:space="0" w:color="auto"/>
        <w:bottom w:val="none" w:sz="0" w:space="0" w:color="auto"/>
        <w:right w:val="none" w:sz="0" w:space="0" w:color="auto"/>
      </w:divBdr>
    </w:div>
    <w:div w:id="286274635">
      <w:bodyDiv w:val="1"/>
      <w:marLeft w:val="0"/>
      <w:marRight w:val="0"/>
      <w:marTop w:val="0"/>
      <w:marBottom w:val="0"/>
      <w:divBdr>
        <w:top w:val="none" w:sz="0" w:space="0" w:color="auto"/>
        <w:left w:val="none" w:sz="0" w:space="0" w:color="auto"/>
        <w:bottom w:val="none" w:sz="0" w:space="0" w:color="auto"/>
        <w:right w:val="none" w:sz="0" w:space="0" w:color="auto"/>
      </w:divBdr>
    </w:div>
    <w:div w:id="286662838">
      <w:bodyDiv w:val="1"/>
      <w:marLeft w:val="0"/>
      <w:marRight w:val="0"/>
      <w:marTop w:val="0"/>
      <w:marBottom w:val="0"/>
      <w:divBdr>
        <w:top w:val="none" w:sz="0" w:space="0" w:color="auto"/>
        <w:left w:val="none" w:sz="0" w:space="0" w:color="auto"/>
        <w:bottom w:val="none" w:sz="0" w:space="0" w:color="auto"/>
        <w:right w:val="none" w:sz="0" w:space="0" w:color="auto"/>
      </w:divBdr>
    </w:div>
    <w:div w:id="286746033">
      <w:bodyDiv w:val="1"/>
      <w:marLeft w:val="0"/>
      <w:marRight w:val="0"/>
      <w:marTop w:val="0"/>
      <w:marBottom w:val="0"/>
      <w:divBdr>
        <w:top w:val="none" w:sz="0" w:space="0" w:color="auto"/>
        <w:left w:val="none" w:sz="0" w:space="0" w:color="auto"/>
        <w:bottom w:val="none" w:sz="0" w:space="0" w:color="auto"/>
        <w:right w:val="none" w:sz="0" w:space="0" w:color="auto"/>
      </w:divBdr>
    </w:div>
    <w:div w:id="287056323">
      <w:bodyDiv w:val="1"/>
      <w:marLeft w:val="0"/>
      <w:marRight w:val="0"/>
      <w:marTop w:val="0"/>
      <w:marBottom w:val="0"/>
      <w:divBdr>
        <w:top w:val="none" w:sz="0" w:space="0" w:color="auto"/>
        <w:left w:val="none" w:sz="0" w:space="0" w:color="auto"/>
        <w:bottom w:val="none" w:sz="0" w:space="0" w:color="auto"/>
        <w:right w:val="none" w:sz="0" w:space="0" w:color="auto"/>
      </w:divBdr>
    </w:div>
    <w:div w:id="287397285">
      <w:bodyDiv w:val="1"/>
      <w:marLeft w:val="0"/>
      <w:marRight w:val="0"/>
      <w:marTop w:val="0"/>
      <w:marBottom w:val="0"/>
      <w:divBdr>
        <w:top w:val="none" w:sz="0" w:space="0" w:color="auto"/>
        <w:left w:val="none" w:sz="0" w:space="0" w:color="auto"/>
        <w:bottom w:val="none" w:sz="0" w:space="0" w:color="auto"/>
        <w:right w:val="none" w:sz="0" w:space="0" w:color="auto"/>
      </w:divBdr>
    </w:div>
    <w:div w:id="287590411">
      <w:bodyDiv w:val="1"/>
      <w:marLeft w:val="0"/>
      <w:marRight w:val="0"/>
      <w:marTop w:val="0"/>
      <w:marBottom w:val="0"/>
      <w:divBdr>
        <w:top w:val="none" w:sz="0" w:space="0" w:color="auto"/>
        <w:left w:val="none" w:sz="0" w:space="0" w:color="auto"/>
        <w:bottom w:val="none" w:sz="0" w:space="0" w:color="auto"/>
        <w:right w:val="none" w:sz="0" w:space="0" w:color="auto"/>
      </w:divBdr>
    </w:div>
    <w:div w:id="287903569">
      <w:bodyDiv w:val="1"/>
      <w:marLeft w:val="0"/>
      <w:marRight w:val="0"/>
      <w:marTop w:val="0"/>
      <w:marBottom w:val="0"/>
      <w:divBdr>
        <w:top w:val="none" w:sz="0" w:space="0" w:color="auto"/>
        <w:left w:val="none" w:sz="0" w:space="0" w:color="auto"/>
        <w:bottom w:val="none" w:sz="0" w:space="0" w:color="auto"/>
        <w:right w:val="none" w:sz="0" w:space="0" w:color="auto"/>
      </w:divBdr>
    </w:div>
    <w:div w:id="287929111">
      <w:bodyDiv w:val="1"/>
      <w:marLeft w:val="0"/>
      <w:marRight w:val="0"/>
      <w:marTop w:val="0"/>
      <w:marBottom w:val="0"/>
      <w:divBdr>
        <w:top w:val="none" w:sz="0" w:space="0" w:color="auto"/>
        <w:left w:val="none" w:sz="0" w:space="0" w:color="auto"/>
        <w:bottom w:val="none" w:sz="0" w:space="0" w:color="auto"/>
        <w:right w:val="none" w:sz="0" w:space="0" w:color="auto"/>
      </w:divBdr>
    </w:div>
    <w:div w:id="288708812">
      <w:bodyDiv w:val="1"/>
      <w:marLeft w:val="0"/>
      <w:marRight w:val="0"/>
      <w:marTop w:val="0"/>
      <w:marBottom w:val="0"/>
      <w:divBdr>
        <w:top w:val="none" w:sz="0" w:space="0" w:color="auto"/>
        <w:left w:val="none" w:sz="0" w:space="0" w:color="auto"/>
        <w:bottom w:val="none" w:sz="0" w:space="0" w:color="auto"/>
        <w:right w:val="none" w:sz="0" w:space="0" w:color="auto"/>
      </w:divBdr>
    </w:div>
    <w:div w:id="288781896">
      <w:bodyDiv w:val="1"/>
      <w:marLeft w:val="0"/>
      <w:marRight w:val="0"/>
      <w:marTop w:val="0"/>
      <w:marBottom w:val="0"/>
      <w:divBdr>
        <w:top w:val="none" w:sz="0" w:space="0" w:color="auto"/>
        <w:left w:val="none" w:sz="0" w:space="0" w:color="auto"/>
        <w:bottom w:val="none" w:sz="0" w:space="0" w:color="auto"/>
        <w:right w:val="none" w:sz="0" w:space="0" w:color="auto"/>
      </w:divBdr>
    </w:div>
    <w:div w:id="288820912">
      <w:bodyDiv w:val="1"/>
      <w:marLeft w:val="0"/>
      <w:marRight w:val="0"/>
      <w:marTop w:val="0"/>
      <w:marBottom w:val="0"/>
      <w:divBdr>
        <w:top w:val="none" w:sz="0" w:space="0" w:color="auto"/>
        <w:left w:val="none" w:sz="0" w:space="0" w:color="auto"/>
        <w:bottom w:val="none" w:sz="0" w:space="0" w:color="auto"/>
        <w:right w:val="none" w:sz="0" w:space="0" w:color="auto"/>
      </w:divBdr>
    </w:div>
    <w:div w:id="289484264">
      <w:bodyDiv w:val="1"/>
      <w:marLeft w:val="0"/>
      <w:marRight w:val="0"/>
      <w:marTop w:val="0"/>
      <w:marBottom w:val="0"/>
      <w:divBdr>
        <w:top w:val="none" w:sz="0" w:space="0" w:color="auto"/>
        <w:left w:val="none" w:sz="0" w:space="0" w:color="auto"/>
        <w:bottom w:val="none" w:sz="0" w:space="0" w:color="auto"/>
        <w:right w:val="none" w:sz="0" w:space="0" w:color="auto"/>
      </w:divBdr>
    </w:div>
    <w:div w:id="289554940">
      <w:bodyDiv w:val="1"/>
      <w:marLeft w:val="0"/>
      <w:marRight w:val="0"/>
      <w:marTop w:val="0"/>
      <w:marBottom w:val="0"/>
      <w:divBdr>
        <w:top w:val="none" w:sz="0" w:space="0" w:color="auto"/>
        <w:left w:val="none" w:sz="0" w:space="0" w:color="auto"/>
        <w:bottom w:val="none" w:sz="0" w:space="0" w:color="auto"/>
        <w:right w:val="none" w:sz="0" w:space="0" w:color="auto"/>
      </w:divBdr>
    </w:div>
    <w:div w:id="289671714">
      <w:bodyDiv w:val="1"/>
      <w:marLeft w:val="0"/>
      <w:marRight w:val="0"/>
      <w:marTop w:val="0"/>
      <w:marBottom w:val="0"/>
      <w:divBdr>
        <w:top w:val="none" w:sz="0" w:space="0" w:color="auto"/>
        <w:left w:val="none" w:sz="0" w:space="0" w:color="auto"/>
        <w:bottom w:val="none" w:sz="0" w:space="0" w:color="auto"/>
        <w:right w:val="none" w:sz="0" w:space="0" w:color="auto"/>
      </w:divBdr>
    </w:div>
    <w:div w:id="289869031">
      <w:bodyDiv w:val="1"/>
      <w:marLeft w:val="0"/>
      <w:marRight w:val="0"/>
      <w:marTop w:val="0"/>
      <w:marBottom w:val="0"/>
      <w:divBdr>
        <w:top w:val="none" w:sz="0" w:space="0" w:color="auto"/>
        <w:left w:val="none" w:sz="0" w:space="0" w:color="auto"/>
        <w:bottom w:val="none" w:sz="0" w:space="0" w:color="auto"/>
        <w:right w:val="none" w:sz="0" w:space="0" w:color="auto"/>
      </w:divBdr>
    </w:div>
    <w:div w:id="290094387">
      <w:bodyDiv w:val="1"/>
      <w:marLeft w:val="0"/>
      <w:marRight w:val="0"/>
      <w:marTop w:val="0"/>
      <w:marBottom w:val="0"/>
      <w:divBdr>
        <w:top w:val="none" w:sz="0" w:space="0" w:color="auto"/>
        <w:left w:val="none" w:sz="0" w:space="0" w:color="auto"/>
        <w:bottom w:val="none" w:sz="0" w:space="0" w:color="auto"/>
        <w:right w:val="none" w:sz="0" w:space="0" w:color="auto"/>
      </w:divBdr>
    </w:div>
    <w:div w:id="290399546">
      <w:bodyDiv w:val="1"/>
      <w:marLeft w:val="0"/>
      <w:marRight w:val="0"/>
      <w:marTop w:val="0"/>
      <w:marBottom w:val="0"/>
      <w:divBdr>
        <w:top w:val="none" w:sz="0" w:space="0" w:color="auto"/>
        <w:left w:val="none" w:sz="0" w:space="0" w:color="auto"/>
        <w:bottom w:val="none" w:sz="0" w:space="0" w:color="auto"/>
        <w:right w:val="none" w:sz="0" w:space="0" w:color="auto"/>
      </w:divBdr>
    </w:div>
    <w:div w:id="290525904">
      <w:bodyDiv w:val="1"/>
      <w:marLeft w:val="0"/>
      <w:marRight w:val="0"/>
      <w:marTop w:val="0"/>
      <w:marBottom w:val="0"/>
      <w:divBdr>
        <w:top w:val="none" w:sz="0" w:space="0" w:color="auto"/>
        <w:left w:val="none" w:sz="0" w:space="0" w:color="auto"/>
        <w:bottom w:val="none" w:sz="0" w:space="0" w:color="auto"/>
        <w:right w:val="none" w:sz="0" w:space="0" w:color="auto"/>
      </w:divBdr>
    </w:div>
    <w:div w:id="290750403">
      <w:bodyDiv w:val="1"/>
      <w:marLeft w:val="0"/>
      <w:marRight w:val="0"/>
      <w:marTop w:val="0"/>
      <w:marBottom w:val="0"/>
      <w:divBdr>
        <w:top w:val="none" w:sz="0" w:space="0" w:color="auto"/>
        <w:left w:val="none" w:sz="0" w:space="0" w:color="auto"/>
        <w:bottom w:val="none" w:sz="0" w:space="0" w:color="auto"/>
        <w:right w:val="none" w:sz="0" w:space="0" w:color="auto"/>
      </w:divBdr>
    </w:div>
    <w:div w:id="290861265">
      <w:bodyDiv w:val="1"/>
      <w:marLeft w:val="0"/>
      <w:marRight w:val="0"/>
      <w:marTop w:val="0"/>
      <w:marBottom w:val="0"/>
      <w:divBdr>
        <w:top w:val="none" w:sz="0" w:space="0" w:color="auto"/>
        <w:left w:val="none" w:sz="0" w:space="0" w:color="auto"/>
        <w:bottom w:val="none" w:sz="0" w:space="0" w:color="auto"/>
        <w:right w:val="none" w:sz="0" w:space="0" w:color="auto"/>
      </w:divBdr>
    </w:div>
    <w:div w:id="291138027">
      <w:bodyDiv w:val="1"/>
      <w:marLeft w:val="0"/>
      <w:marRight w:val="0"/>
      <w:marTop w:val="0"/>
      <w:marBottom w:val="0"/>
      <w:divBdr>
        <w:top w:val="none" w:sz="0" w:space="0" w:color="auto"/>
        <w:left w:val="none" w:sz="0" w:space="0" w:color="auto"/>
        <w:bottom w:val="none" w:sz="0" w:space="0" w:color="auto"/>
        <w:right w:val="none" w:sz="0" w:space="0" w:color="auto"/>
      </w:divBdr>
    </w:div>
    <w:div w:id="292255278">
      <w:bodyDiv w:val="1"/>
      <w:marLeft w:val="0"/>
      <w:marRight w:val="0"/>
      <w:marTop w:val="0"/>
      <w:marBottom w:val="0"/>
      <w:divBdr>
        <w:top w:val="none" w:sz="0" w:space="0" w:color="auto"/>
        <w:left w:val="none" w:sz="0" w:space="0" w:color="auto"/>
        <w:bottom w:val="none" w:sz="0" w:space="0" w:color="auto"/>
        <w:right w:val="none" w:sz="0" w:space="0" w:color="auto"/>
      </w:divBdr>
    </w:div>
    <w:div w:id="292753090">
      <w:bodyDiv w:val="1"/>
      <w:marLeft w:val="0"/>
      <w:marRight w:val="0"/>
      <w:marTop w:val="0"/>
      <w:marBottom w:val="0"/>
      <w:divBdr>
        <w:top w:val="none" w:sz="0" w:space="0" w:color="auto"/>
        <w:left w:val="none" w:sz="0" w:space="0" w:color="auto"/>
        <w:bottom w:val="none" w:sz="0" w:space="0" w:color="auto"/>
        <w:right w:val="none" w:sz="0" w:space="0" w:color="auto"/>
      </w:divBdr>
    </w:div>
    <w:div w:id="292760729">
      <w:bodyDiv w:val="1"/>
      <w:marLeft w:val="0"/>
      <w:marRight w:val="0"/>
      <w:marTop w:val="0"/>
      <w:marBottom w:val="0"/>
      <w:divBdr>
        <w:top w:val="none" w:sz="0" w:space="0" w:color="auto"/>
        <w:left w:val="none" w:sz="0" w:space="0" w:color="auto"/>
        <w:bottom w:val="none" w:sz="0" w:space="0" w:color="auto"/>
        <w:right w:val="none" w:sz="0" w:space="0" w:color="auto"/>
      </w:divBdr>
    </w:div>
    <w:div w:id="292831523">
      <w:bodyDiv w:val="1"/>
      <w:marLeft w:val="0"/>
      <w:marRight w:val="0"/>
      <w:marTop w:val="0"/>
      <w:marBottom w:val="0"/>
      <w:divBdr>
        <w:top w:val="none" w:sz="0" w:space="0" w:color="auto"/>
        <w:left w:val="none" w:sz="0" w:space="0" w:color="auto"/>
        <w:bottom w:val="none" w:sz="0" w:space="0" w:color="auto"/>
        <w:right w:val="none" w:sz="0" w:space="0" w:color="auto"/>
      </w:divBdr>
    </w:div>
    <w:div w:id="293340019">
      <w:bodyDiv w:val="1"/>
      <w:marLeft w:val="0"/>
      <w:marRight w:val="0"/>
      <w:marTop w:val="0"/>
      <w:marBottom w:val="0"/>
      <w:divBdr>
        <w:top w:val="none" w:sz="0" w:space="0" w:color="auto"/>
        <w:left w:val="none" w:sz="0" w:space="0" w:color="auto"/>
        <w:bottom w:val="none" w:sz="0" w:space="0" w:color="auto"/>
        <w:right w:val="none" w:sz="0" w:space="0" w:color="auto"/>
      </w:divBdr>
    </w:div>
    <w:div w:id="293683947">
      <w:bodyDiv w:val="1"/>
      <w:marLeft w:val="0"/>
      <w:marRight w:val="0"/>
      <w:marTop w:val="0"/>
      <w:marBottom w:val="0"/>
      <w:divBdr>
        <w:top w:val="none" w:sz="0" w:space="0" w:color="auto"/>
        <w:left w:val="none" w:sz="0" w:space="0" w:color="auto"/>
        <w:bottom w:val="none" w:sz="0" w:space="0" w:color="auto"/>
        <w:right w:val="none" w:sz="0" w:space="0" w:color="auto"/>
      </w:divBdr>
    </w:div>
    <w:div w:id="293949538">
      <w:bodyDiv w:val="1"/>
      <w:marLeft w:val="0"/>
      <w:marRight w:val="0"/>
      <w:marTop w:val="0"/>
      <w:marBottom w:val="0"/>
      <w:divBdr>
        <w:top w:val="none" w:sz="0" w:space="0" w:color="auto"/>
        <w:left w:val="none" w:sz="0" w:space="0" w:color="auto"/>
        <w:bottom w:val="none" w:sz="0" w:space="0" w:color="auto"/>
        <w:right w:val="none" w:sz="0" w:space="0" w:color="auto"/>
      </w:divBdr>
    </w:div>
    <w:div w:id="294143625">
      <w:bodyDiv w:val="1"/>
      <w:marLeft w:val="0"/>
      <w:marRight w:val="0"/>
      <w:marTop w:val="0"/>
      <w:marBottom w:val="0"/>
      <w:divBdr>
        <w:top w:val="none" w:sz="0" w:space="0" w:color="auto"/>
        <w:left w:val="none" w:sz="0" w:space="0" w:color="auto"/>
        <w:bottom w:val="none" w:sz="0" w:space="0" w:color="auto"/>
        <w:right w:val="none" w:sz="0" w:space="0" w:color="auto"/>
      </w:divBdr>
    </w:div>
    <w:div w:id="294219542">
      <w:bodyDiv w:val="1"/>
      <w:marLeft w:val="0"/>
      <w:marRight w:val="0"/>
      <w:marTop w:val="0"/>
      <w:marBottom w:val="0"/>
      <w:divBdr>
        <w:top w:val="none" w:sz="0" w:space="0" w:color="auto"/>
        <w:left w:val="none" w:sz="0" w:space="0" w:color="auto"/>
        <w:bottom w:val="none" w:sz="0" w:space="0" w:color="auto"/>
        <w:right w:val="none" w:sz="0" w:space="0" w:color="auto"/>
      </w:divBdr>
    </w:div>
    <w:div w:id="294414967">
      <w:bodyDiv w:val="1"/>
      <w:marLeft w:val="0"/>
      <w:marRight w:val="0"/>
      <w:marTop w:val="0"/>
      <w:marBottom w:val="0"/>
      <w:divBdr>
        <w:top w:val="none" w:sz="0" w:space="0" w:color="auto"/>
        <w:left w:val="none" w:sz="0" w:space="0" w:color="auto"/>
        <w:bottom w:val="none" w:sz="0" w:space="0" w:color="auto"/>
        <w:right w:val="none" w:sz="0" w:space="0" w:color="auto"/>
      </w:divBdr>
    </w:div>
    <w:div w:id="294609059">
      <w:bodyDiv w:val="1"/>
      <w:marLeft w:val="0"/>
      <w:marRight w:val="0"/>
      <w:marTop w:val="0"/>
      <w:marBottom w:val="0"/>
      <w:divBdr>
        <w:top w:val="none" w:sz="0" w:space="0" w:color="auto"/>
        <w:left w:val="none" w:sz="0" w:space="0" w:color="auto"/>
        <w:bottom w:val="none" w:sz="0" w:space="0" w:color="auto"/>
        <w:right w:val="none" w:sz="0" w:space="0" w:color="auto"/>
      </w:divBdr>
    </w:div>
    <w:div w:id="294718446">
      <w:bodyDiv w:val="1"/>
      <w:marLeft w:val="0"/>
      <w:marRight w:val="0"/>
      <w:marTop w:val="0"/>
      <w:marBottom w:val="0"/>
      <w:divBdr>
        <w:top w:val="none" w:sz="0" w:space="0" w:color="auto"/>
        <w:left w:val="none" w:sz="0" w:space="0" w:color="auto"/>
        <w:bottom w:val="none" w:sz="0" w:space="0" w:color="auto"/>
        <w:right w:val="none" w:sz="0" w:space="0" w:color="auto"/>
      </w:divBdr>
    </w:div>
    <w:div w:id="294796442">
      <w:bodyDiv w:val="1"/>
      <w:marLeft w:val="0"/>
      <w:marRight w:val="0"/>
      <w:marTop w:val="0"/>
      <w:marBottom w:val="0"/>
      <w:divBdr>
        <w:top w:val="none" w:sz="0" w:space="0" w:color="auto"/>
        <w:left w:val="none" w:sz="0" w:space="0" w:color="auto"/>
        <w:bottom w:val="none" w:sz="0" w:space="0" w:color="auto"/>
        <w:right w:val="none" w:sz="0" w:space="0" w:color="auto"/>
      </w:divBdr>
    </w:div>
    <w:div w:id="294914297">
      <w:bodyDiv w:val="1"/>
      <w:marLeft w:val="0"/>
      <w:marRight w:val="0"/>
      <w:marTop w:val="0"/>
      <w:marBottom w:val="0"/>
      <w:divBdr>
        <w:top w:val="none" w:sz="0" w:space="0" w:color="auto"/>
        <w:left w:val="none" w:sz="0" w:space="0" w:color="auto"/>
        <w:bottom w:val="none" w:sz="0" w:space="0" w:color="auto"/>
        <w:right w:val="none" w:sz="0" w:space="0" w:color="auto"/>
      </w:divBdr>
    </w:div>
    <w:div w:id="295183142">
      <w:bodyDiv w:val="1"/>
      <w:marLeft w:val="0"/>
      <w:marRight w:val="0"/>
      <w:marTop w:val="0"/>
      <w:marBottom w:val="0"/>
      <w:divBdr>
        <w:top w:val="none" w:sz="0" w:space="0" w:color="auto"/>
        <w:left w:val="none" w:sz="0" w:space="0" w:color="auto"/>
        <w:bottom w:val="none" w:sz="0" w:space="0" w:color="auto"/>
        <w:right w:val="none" w:sz="0" w:space="0" w:color="auto"/>
      </w:divBdr>
    </w:div>
    <w:div w:id="295306640">
      <w:bodyDiv w:val="1"/>
      <w:marLeft w:val="0"/>
      <w:marRight w:val="0"/>
      <w:marTop w:val="0"/>
      <w:marBottom w:val="0"/>
      <w:divBdr>
        <w:top w:val="none" w:sz="0" w:space="0" w:color="auto"/>
        <w:left w:val="none" w:sz="0" w:space="0" w:color="auto"/>
        <w:bottom w:val="none" w:sz="0" w:space="0" w:color="auto"/>
        <w:right w:val="none" w:sz="0" w:space="0" w:color="auto"/>
      </w:divBdr>
    </w:div>
    <w:div w:id="295456610">
      <w:bodyDiv w:val="1"/>
      <w:marLeft w:val="0"/>
      <w:marRight w:val="0"/>
      <w:marTop w:val="0"/>
      <w:marBottom w:val="0"/>
      <w:divBdr>
        <w:top w:val="none" w:sz="0" w:space="0" w:color="auto"/>
        <w:left w:val="none" w:sz="0" w:space="0" w:color="auto"/>
        <w:bottom w:val="none" w:sz="0" w:space="0" w:color="auto"/>
        <w:right w:val="none" w:sz="0" w:space="0" w:color="auto"/>
      </w:divBdr>
    </w:div>
    <w:div w:id="295646560">
      <w:bodyDiv w:val="1"/>
      <w:marLeft w:val="0"/>
      <w:marRight w:val="0"/>
      <w:marTop w:val="0"/>
      <w:marBottom w:val="0"/>
      <w:divBdr>
        <w:top w:val="none" w:sz="0" w:space="0" w:color="auto"/>
        <w:left w:val="none" w:sz="0" w:space="0" w:color="auto"/>
        <w:bottom w:val="none" w:sz="0" w:space="0" w:color="auto"/>
        <w:right w:val="none" w:sz="0" w:space="0" w:color="auto"/>
      </w:divBdr>
    </w:div>
    <w:div w:id="295839212">
      <w:bodyDiv w:val="1"/>
      <w:marLeft w:val="0"/>
      <w:marRight w:val="0"/>
      <w:marTop w:val="0"/>
      <w:marBottom w:val="0"/>
      <w:divBdr>
        <w:top w:val="none" w:sz="0" w:space="0" w:color="auto"/>
        <w:left w:val="none" w:sz="0" w:space="0" w:color="auto"/>
        <w:bottom w:val="none" w:sz="0" w:space="0" w:color="auto"/>
        <w:right w:val="none" w:sz="0" w:space="0" w:color="auto"/>
      </w:divBdr>
    </w:div>
    <w:div w:id="295914313">
      <w:bodyDiv w:val="1"/>
      <w:marLeft w:val="0"/>
      <w:marRight w:val="0"/>
      <w:marTop w:val="0"/>
      <w:marBottom w:val="0"/>
      <w:divBdr>
        <w:top w:val="none" w:sz="0" w:space="0" w:color="auto"/>
        <w:left w:val="none" w:sz="0" w:space="0" w:color="auto"/>
        <w:bottom w:val="none" w:sz="0" w:space="0" w:color="auto"/>
        <w:right w:val="none" w:sz="0" w:space="0" w:color="auto"/>
      </w:divBdr>
    </w:div>
    <w:div w:id="296183953">
      <w:bodyDiv w:val="1"/>
      <w:marLeft w:val="0"/>
      <w:marRight w:val="0"/>
      <w:marTop w:val="0"/>
      <w:marBottom w:val="0"/>
      <w:divBdr>
        <w:top w:val="none" w:sz="0" w:space="0" w:color="auto"/>
        <w:left w:val="none" w:sz="0" w:space="0" w:color="auto"/>
        <w:bottom w:val="none" w:sz="0" w:space="0" w:color="auto"/>
        <w:right w:val="none" w:sz="0" w:space="0" w:color="auto"/>
      </w:divBdr>
    </w:div>
    <w:div w:id="296380937">
      <w:bodyDiv w:val="1"/>
      <w:marLeft w:val="0"/>
      <w:marRight w:val="0"/>
      <w:marTop w:val="0"/>
      <w:marBottom w:val="0"/>
      <w:divBdr>
        <w:top w:val="none" w:sz="0" w:space="0" w:color="auto"/>
        <w:left w:val="none" w:sz="0" w:space="0" w:color="auto"/>
        <w:bottom w:val="none" w:sz="0" w:space="0" w:color="auto"/>
        <w:right w:val="none" w:sz="0" w:space="0" w:color="auto"/>
      </w:divBdr>
    </w:div>
    <w:div w:id="296953411">
      <w:bodyDiv w:val="1"/>
      <w:marLeft w:val="0"/>
      <w:marRight w:val="0"/>
      <w:marTop w:val="0"/>
      <w:marBottom w:val="0"/>
      <w:divBdr>
        <w:top w:val="none" w:sz="0" w:space="0" w:color="auto"/>
        <w:left w:val="none" w:sz="0" w:space="0" w:color="auto"/>
        <w:bottom w:val="none" w:sz="0" w:space="0" w:color="auto"/>
        <w:right w:val="none" w:sz="0" w:space="0" w:color="auto"/>
      </w:divBdr>
    </w:div>
    <w:div w:id="296955799">
      <w:bodyDiv w:val="1"/>
      <w:marLeft w:val="0"/>
      <w:marRight w:val="0"/>
      <w:marTop w:val="0"/>
      <w:marBottom w:val="0"/>
      <w:divBdr>
        <w:top w:val="none" w:sz="0" w:space="0" w:color="auto"/>
        <w:left w:val="none" w:sz="0" w:space="0" w:color="auto"/>
        <w:bottom w:val="none" w:sz="0" w:space="0" w:color="auto"/>
        <w:right w:val="none" w:sz="0" w:space="0" w:color="auto"/>
      </w:divBdr>
    </w:div>
    <w:div w:id="297076706">
      <w:bodyDiv w:val="1"/>
      <w:marLeft w:val="0"/>
      <w:marRight w:val="0"/>
      <w:marTop w:val="0"/>
      <w:marBottom w:val="0"/>
      <w:divBdr>
        <w:top w:val="none" w:sz="0" w:space="0" w:color="auto"/>
        <w:left w:val="none" w:sz="0" w:space="0" w:color="auto"/>
        <w:bottom w:val="none" w:sz="0" w:space="0" w:color="auto"/>
        <w:right w:val="none" w:sz="0" w:space="0" w:color="auto"/>
      </w:divBdr>
    </w:div>
    <w:div w:id="297151860">
      <w:bodyDiv w:val="1"/>
      <w:marLeft w:val="0"/>
      <w:marRight w:val="0"/>
      <w:marTop w:val="0"/>
      <w:marBottom w:val="0"/>
      <w:divBdr>
        <w:top w:val="none" w:sz="0" w:space="0" w:color="auto"/>
        <w:left w:val="none" w:sz="0" w:space="0" w:color="auto"/>
        <w:bottom w:val="none" w:sz="0" w:space="0" w:color="auto"/>
        <w:right w:val="none" w:sz="0" w:space="0" w:color="auto"/>
      </w:divBdr>
    </w:div>
    <w:div w:id="297998390">
      <w:bodyDiv w:val="1"/>
      <w:marLeft w:val="0"/>
      <w:marRight w:val="0"/>
      <w:marTop w:val="0"/>
      <w:marBottom w:val="0"/>
      <w:divBdr>
        <w:top w:val="none" w:sz="0" w:space="0" w:color="auto"/>
        <w:left w:val="none" w:sz="0" w:space="0" w:color="auto"/>
        <w:bottom w:val="none" w:sz="0" w:space="0" w:color="auto"/>
        <w:right w:val="none" w:sz="0" w:space="0" w:color="auto"/>
      </w:divBdr>
    </w:div>
    <w:div w:id="298077132">
      <w:bodyDiv w:val="1"/>
      <w:marLeft w:val="0"/>
      <w:marRight w:val="0"/>
      <w:marTop w:val="0"/>
      <w:marBottom w:val="0"/>
      <w:divBdr>
        <w:top w:val="none" w:sz="0" w:space="0" w:color="auto"/>
        <w:left w:val="none" w:sz="0" w:space="0" w:color="auto"/>
        <w:bottom w:val="none" w:sz="0" w:space="0" w:color="auto"/>
        <w:right w:val="none" w:sz="0" w:space="0" w:color="auto"/>
      </w:divBdr>
    </w:div>
    <w:div w:id="298153009">
      <w:bodyDiv w:val="1"/>
      <w:marLeft w:val="0"/>
      <w:marRight w:val="0"/>
      <w:marTop w:val="0"/>
      <w:marBottom w:val="0"/>
      <w:divBdr>
        <w:top w:val="none" w:sz="0" w:space="0" w:color="auto"/>
        <w:left w:val="none" w:sz="0" w:space="0" w:color="auto"/>
        <w:bottom w:val="none" w:sz="0" w:space="0" w:color="auto"/>
        <w:right w:val="none" w:sz="0" w:space="0" w:color="auto"/>
      </w:divBdr>
    </w:div>
    <w:div w:id="298609692">
      <w:bodyDiv w:val="1"/>
      <w:marLeft w:val="0"/>
      <w:marRight w:val="0"/>
      <w:marTop w:val="0"/>
      <w:marBottom w:val="0"/>
      <w:divBdr>
        <w:top w:val="none" w:sz="0" w:space="0" w:color="auto"/>
        <w:left w:val="none" w:sz="0" w:space="0" w:color="auto"/>
        <w:bottom w:val="none" w:sz="0" w:space="0" w:color="auto"/>
        <w:right w:val="none" w:sz="0" w:space="0" w:color="auto"/>
      </w:divBdr>
    </w:div>
    <w:div w:id="298844546">
      <w:bodyDiv w:val="1"/>
      <w:marLeft w:val="0"/>
      <w:marRight w:val="0"/>
      <w:marTop w:val="0"/>
      <w:marBottom w:val="0"/>
      <w:divBdr>
        <w:top w:val="none" w:sz="0" w:space="0" w:color="auto"/>
        <w:left w:val="none" w:sz="0" w:space="0" w:color="auto"/>
        <w:bottom w:val="none" w:sz="0" w:space="0" w:color="auto"/>
        <w:right w:val="none" w:sz="0" w:space="0" w:color="auto"/>
      </w:divBdr>
    </w:div>
    <w:div w:id="298918691">
      <w:bodyDiv w:val="1"/>
      <w:marLeft w:val="0"/>
      <w:marRight w:val="0"/>
      <w:marTop w:val="0"/>
      <w:marBottom w:val="0"/>
      <w:divBdr>
        <w:top w:val="none" w:sz="0" w:space="0" w:color="auto"/>
        <w:left w:val="none" w:sz="0" w:space="0" w:color="auto"/>
        <w:bottom w:val="none" w:sz="0" w:space="0" w:color="auto"/>
        <w:right w:val="none" w:sz="0" w:space="0" w:color="auto"/>
      </w:divBdr>
    </w:div>
    <w:div w:id="299386806">
      <w:bodyDiv w:val="1"/>
      <w:marLeft w:val="0"/>
      <w:marRight w:val="0"/>
      <w:marTop w:val="0"/>
      <w:marBottom w:val="0"/>
      <w:divBdr>
        <w:top w:val="none" w:sz="0" w:space="0" w:color="auto"/>
        <w:left w:val="none" w:sz="0" w:space="0" w:color="auto"/>
        <w:bottom w:val="none" w:sz="0" w:space="0" w:color="auto"/>
        <w:right w:val="none" w:sz="0" w:space="0" w:color="auto"/>
      </w:divBdr>
    </w:div>
    <w:div w:id="299768580">
      <w:bodyDiv w:val="1"/>
      <w:marLeft w:val="0"/>
      <w:marRight w:val="0"/>
      <w:marTop w:val="0"/>
      <w:marBottom w:val="0"/>
      <w:divBdr>
        <w:top w:val="none" w:sz="0" w:space="0" w:color="auto"/>
        <w:left w:val="none" w:sz="0" w:space="0" w:color="auto"/>
        <w:bottom w:val="none" w:sz="0" w:space="0" w:color="auto"/>
        <w:right w:val="none" w:sz="0" w:space="0" w:color="auto"/>
      </w:divBdr>
    </w:div>
    <w:div w:id="299771768">
      <w:bodyDiv w:val="1"/>
      <w:marLeft w:val="0"/>
      <w:marRight w:val="0"/>
      <w:marTop w:val="0"/>
      <w:marBottom w:val="0"/>
      <w:divBdr>
        <w:top w:val="none" w:sz="0" w:space="0" w:color="auto"/>
        <w:left w:val="none" w:sz="0" w:space="0" w:color="auto"/>
        <w:bottom w:val="none" w:sz="0" w:space="0" w:color="auto"/>
        <w:right w:val="none" w:sz="0" w:space="0" w:color="auto"/>
      </w:divBdr>
    </w:div>
    <w:div w:id="299924317">
      <w:bodyDiv w:val="1"/>
      <w:marLeft w:val="0"/>
      <w:marRight w:val="0"/>
      <w:marTop w:val="0"/>
      <w:marBottom w:val="0"/>
      <w:divBdr>
        <w:top w:val="none" w:sz="0" w:space="0" w:color="auto"/>
        <w:left w:val="none" w:sz="0" w:space="0" w:color="auto"/>
        <w:bottom w:val="none" w:sz="0" w:space="0" w:color="auto"/>
        <w:right w:val="none" w:sz="0" w:space="0" w:color="auto"/>
      </w:divBdr>
    </w:div>
    <w:div w:id="300118511">
      <w:bodyDiv w:val="1"/>
      <w:marLeft w:val="0"/>
      <w:marRight w:val="0"/>
      <w:marTop w:val="0"/>
      <w:marBottom w:val="0"/>
      <w:divBdr>
        <w:top w:val="none" w:sz="0" w:space="0" w:color="auto"/>
        <w:left w:val="none" w:sz="0" w:space="0" w:color="auto"/>
        <w:bottom w:val="none" w:sz="0" w:space="0" w:color="auto"/>
        <w:right w:val="none" w:sz="0" w:space="0" w:color="auto"/>
      </w:divBdr>
    </w:div>
    <w:div w:id="300692377">
      <w:bodyDiv w:val="1"/>
      <w:marLeft w:val="0"/>
      <w:marRight w:val="0"/>
      <w:marTop w:val="0"/>
      <w:marBottom w:val="0"/>
      <w:divBdr>
        <w:top w:val="none" w:sz="0" w:space="0" w:color="auto"/>
        <w:left w:val="none" w:sz="0" w:space="0" w:color="auto"/>
        <w:bottom w:val="none" w:sz="0" w:space="0" w:color="auto"/>
        <w:right w:val="none" w:sz="0" w:space="0" w:color="auto"/>
      </w:divBdr>
    </w:div>
    <w:div w:id="301085942">
      <w:bodyDiv w:val="1"/>
      <w:marLeft w:val="0"/>
      <w:marRight w:val="0"/>
      <w:marTop w:val="0"/>
      <w:marBottom w:val="0"/>
      <w:divBdr>
        <w:top w:val="none" w:sz="0" w:space="0" w:color="auto"/>
        <w:left w:val="none" w:sz="0" w:space="0" w:color="auto"/>
        <w:bottom w:val="none" w:sz="0" w:space="0" w:color="auto"/>
        <w:right w:val="none" w:sz="0" w:space="0" w:color="auto"/>
      </w:divBdr>
    </w:div>
    <w:div w:id="301737161">
      <w:bodyDiv w:val="1"/>
      <w:marLeft w:val="0"/>
      <w:marRight w:val="0"/>
      <w:marTop w:val="0"/>
      <w:marBottom w:val="0"/>
      <w:divBdr>
        <w:top w:val="none" w:sz="0" w:space="0" w:color="auto"/>
        <w:left w:val="none" w:sz="0" w:space="0" w:color="auto"/>
        <w:bottom w:val="none" w:sz="0" w:space="0" w:color="auto"/>
        <w:right w:val="none" w:sz="0" w:space="0" w:color="auto"/>
      </w:divBdr>
    </w:div>
    <w:div w:id="302538232">
      <w:bodyDiv w:val="1"/>
      <w:marLeft w:val="0"/>
      <w:marRight w:val="0"/>
      <w:marTop w:val="0"/>
      <w:marBottom w:val="0"/>
      <w:divBdr>
        <w:top w:val="none" w:sz="0" w:space="0" w:color="auto"/>
        <w:left w:val="none" w:sz="0" w:space="0" w:color="auto"/>
        <w:bottom w:val="none" w:sz="0" w:space="0" w:color="auto"/>
        <w:right w:val="none" w:sz="0" w:space="0" w:color="auto"/>
      </w:divBdr>
    </w:div>
    <w:div w:id="302662193">
      <w:bodyDiv w:val="1"/>
      <w:marLeft w:val="0"/>
      <w:marRight w:val="0"/>
      <w:marTop w:val="0"/>
      <w:marBottom w:val="0"/>
      <w:divBdr>
        <w:top w:val="none" w:sz="0" w:space="0" w:color="auto"/>
        <w:left w:val="none" w:sz="0" w:space="0" w:color="auto"/>
        <w:bottom w:val="none" w:sz="0" w:space="0" w:color="auto"/>
        <w:right w:val="none" w:sz="0" w:space="0" w:color="auto"/>
      </w:divBdr>
    </w:div>
    <w:div w:id="302664987">
      <w:bodyDiv w:val="1"/>
      <w:marLeft w:val="0"/>
      <w:marRight w:val="0"/>
      <w:marTop w:val="0"/>
      <w:marBottom w:val="0"/>
      <w:divBdr>
        <w:top w:val="none" w:sz="0" w:space="0" w:color="auto"/>
        <w:left w:val="none" w:sz="0" w:space="0" w:color="auto"/>
        <w:bottom w:val="none" w:sz="0" w:space="0" w:color="auto"/>
        <w:right w:val="none" w:sz="0" w:space="0" w:color="auto"/>
      </w:divBdr>
    </w:div>
    <w:div w:id="302854501">
      <w:bodyDiv w:val="1"/>
      <w:marLeft w:val="0"/>
      <w:marRight w:val="0"/>
      <w:marTop w:val="0"/>
      <w:marBottom w:val="0"/>
      <w:divBdr>
        <w:top w:val="none" w:sz="0" w:space="0" w:color="auto"/>
        <w:left w:val="none" w:sz="0" w:space="0" w:color="auto"/>
        <w:bottom w:val="none" w:sz="0" w:space="0" w:color="auto"/>
        <w:right w:val="none" w:sz="0" w:space="0" w:color="auto"/>
      </w:divBdr>
    </w:div>
    <w:div w:id="303125055">
      <w:bodyDiv w:val="1"/>
      <w:marLeft w:val="0"/>
      <w:marRight w:val="0"/>
      <w:marTop w:val="0"/>
      <w:marBottom w:val="0"/>
      <w:divBdr>
        <w:top w:val="none" w:sz="0" w:space="0" w:color="auto"/>
        <w:left w:val="none" w:sz="0" w:space="0" w:color="auto"/>
        <w:bottom w:val="none" w:sz="0" w:space="0" w:color="auto"/>
        <w:right w:val="none" w:sz="0" w:space="0" w:color="auto"/>
      </w:divBdr>
    </w:div>
    <w:div w:id="303780480">
      <w:bodyDiv w:val="1"/>
      <w:marLeft w:val="0"/>
      <w:marRight w:val="0"/>
      <w:marTop w:val="0"/>
      <w:marBottom w:val="0"/>
      <w:divBdr>
        <w:top w:val="none" w:sz="0" w:space="0" w:color="auto"/>
        <w:left w:val="none" w:sz="0" w:space="0" w:color="auto"/>
        <w:bottom w:val="none" w:sz="0" w:space="0" w:color="auto"/>
        <w:right w:val="none" w:sz="0" w:space="0" w:color="auto"/>
      </w:divBdr>
    </w:div>
    <w:div w:id="304284788">
      <w:bodyDiv w:val="1"/>
      <w:marLeft w:val="0"/>
      <w:marRight w:val="0"/>
      <w:marTop w:val="0"/>
      <w:marBottom w:val="0"/>
      <w:divBdr>
        <w:top w:val="none" w:sz="0" w:space="0" w:color="auto"/>
        <w:left w:val="none" w:sz="0" w:space="0" w:color="auto"/>
        <w:bottom w:val="none" w:sz="0" w:space="0" w:color="auto"/>
        <w:right w:val="none" w:sz="0" w:space="0" w:color="auto"/>
      </w:divBdr>
    </w:div>
    <w:div w:id="304311490">
      <w:bodyDiv w:val="1"/>
      <w:marLeft w:val="0"/>
      <w:marRight w:val="0"/>
      <w:marTop w:val="0"/>
      <w:marBottom w:val="0"/>
      <w:divBdr>
        <w:top w:val="none" w:sz="0" w:space="0" w:color="auto"/>
        <w:left w:val="none" w:sz="0" w:space="0" w:color="auto"/>
        <w:bottom w:val="none" w:sz="0" w:space="0" w:color="auto"/>
        <w:right w:val="none" w:sz="0" w:space="0" w:color="auto"/>
      </w:divBdr>
    </w:div>
    <w:div w:id="304504320">
      <w:bodyDiv w:val="1"/>
      <w:marLeft w:val="0"/>
      <w:marRight w:val="0"/>
      <w:marTop w:val="0"/>
      <w:marBottom w:val="0"/>
      <w:divBdr>
        <w:top w:val="none" w:sz="0" w:space="0" w:color="auto"/>
        <w:left w:val="none" w:sz="0" w:space="0" w:color="auto"/>
        <w:bottom w:val="none" w:sz="0" w:space="0" w:color="auto"/>
        <w:right w:val="none" w:sz="0" w:space="0" w:color="auto"/>
      </w:divBdr>
    </w:div>
    <w:div w:id="304941465">
      <w:bodyDiv w:val="1"/>
      <w:marLeft w:val="0"/>
      <w:marRight w:val="0"/>
      <w:marTop w:val="0"/>
      <w:marBottom w:val="0"/>
      <w:divBdr>
        <w:top w:val="none" w:sz="0" w:space="0" w:color="auto"/>
        <w:left w:val="none" w:sz="0" w:space="0" w:color="auto"/>
        <w:bottom w:val="none" w:sz="0" w:space="0" w:color="auto"/>
        <w:right w:val="none" w:sz="0" w:space="0" w:color="auto"/>
      </w:divBdr>
    </w:div>
    <w:div w:id="305088959">
      <w:bodyDiv w:val="1"/>
      <w:marLeft w:val="0"/>
      <w:marRight w:val="0"/>
      <w:marTop w:val="0"/>
      <w:marBottom w:val="0"/>
      <w:divBdr>
        <w:top w:val="none" w:sz="0" w:space="0" w:color="auto"/>
        <w:left w:val="none" w:sz="0" w:space="0" w:color="auto"/>
        <w:bottom w:val="none" w:sz="0" w:space="0" w:color="auto"/>
        <w:right w:val="none" w:sz="0" w:space="0" w:color="auto"/>
      </w:divBdr>
    </w:div>
    <w:div w:id="305161349">
      <w:bodyDiv w:val="1"/>
      <w:marLeft w:val="0"/>
      <w:marRight w:val="0"/>
      <w:marTop w:val="0"/>
      <w:marBottom w:val="0"/>
      <w:divBdr>
        <w:top w:val="none" w:sz="0" w:space="0" w:color="auto"/>
        <w:left w:val="none" w:sz="0" w:space="0" w:color="auto"/>
        <w:bottom w:val="none" w:sz="0" w:space="0" w:color="auto"/>
        <w:right w:val="none" w:sz="0" w:space="0" w:color="auto"/>
      </w:divBdr>
    </w:div>
    <w:div w:id="305161829">
      <w:bodyDiv w:val="1"/>
      <w:marLeft w:val="0"/>
      <w:marRight w:val="0"/>
      <w:marTop w:val="0"/>
      <w:marBottom w:val="0"/>
      <w:divBdr>
        <w:top w:val="none" w:sz="0" w:space="0" w:color="auto"/>
        <w:left w:val="none" w:sz="0" w:space="0" w:color="auto"/>
        <w:bottom w:val="none" w:sz="0" w:space="0" w:color="auto"/>
        <w:right w:val="none" w:sz="0" w:space="0" w:color="auto"/>
      </w:divBdr>
    </w:div>
    <w:div w:id="305473491">
      <w:bodyDiv w:val="1"/>
      <w:marLeft w:val="0"/>
      <w:marRight w:val="0"/>
      <w:marTop w:val="0"/>
      <w:marBottom w:val="0"/>
      <w:divBdr>
        <w:top w:val="none" w:sz="0" w:space="0" w:color="auto"/>
        <w:left w:val="none" w:sz="0" w:space="0" w:color="auto"/>
        <w:bottom w:val="none" w:sz="0" w:space="0" w:color="auto"/>
        <w:right w:val="none" w:sz="0" w:space="0" w:color="auto"/>
      </w:divBdr>
    </w:div>
    <w:div w:id="306010193">
      <w:bodyDiv w:val="1"/>
      <w:marLeft w:val="0"/>
      <w:marRight w:val="0"/>
      <w:marTop w:val="0"/>
      <w:marBottom w:val="0"/>
      <w:divBdr>
        <w:top w:val="none" w:sz="0" w:space="0" w:color="auto"/>
        <w:left w:val="none" w:sz="0" w:space="0" w:color="auto"/>
        <w:bottom w:val="none" w:sz="0" w:space="0" w:color="auto"/>
        <w:right w:val="none" w:sz="0" w:space="0" w:color="auto"/>
      </w:divBdr>
    </w:div>
    <w:div w:id="306207027">
      <w:bodyDiv w:val="1"/>
      <w:marLeft w:val="0"/>
      <w:marRight w:val="0"/>
      <w:marTop w:val="0"/>
      <w:marBottom w:val="0"/>
      <w:divBdr>
        <w:top w:val="none" w:sz="0" w:space="0" w:color="auto"/>
        <w:left w:val="none" w:sz="0" w:space="0" w:color="auto"/>
        <w:bottom w:val="none" w:sz="0" w:space="0" w:color="auto"/>
        <w:right w:val="none" w:sz="0" w:space="0" w:color="auto"/>
      </w:divBdr>
    </w:div>
    <w:div w:id="306251432">
      <w:bodyDiv w:val="1"/>
      <w:marLeft w:val="0"/>
      <w:marRight w:val="0"/>
      <w:marTop w:val="0"/>
      <w:marBottom w:val="0"/>
      <w:divBdr>
        <w:top w:val="none" w:sz="0" w:space="0" w:color="auto"/>
        <w:left w:val="none" w:sz="0" w:space="0" w:color="auto"/>
        <w:bottom w:val="none" w:sz="0" w:space="0" w:color="auto"/>
        <w:right w:val="none" w:sz="0" w:space="0" w:color="auto"/>
      </w:divBdr>
    </w:div>
    <w:div w:id="306281051">
      <w:bodyDiv w:val="1"/>
      <w:marLeft w:val="0"/>
      <w:marRight w:val="0"/>
      <w:marTop w:val="0"/>
      <w:marBottom w:val="0"/>
      <w:divBdr>
        <w:top w:val="none" w:sz="0" w:space="0" w:color="auto"/>
        <w:left w:val="none" w:sz="0" w:space="0" w:color="auto"/>
        <w:bottom w:val="none" w:sz="0" w:space="0" w:color="auto"/>
        <w:right w:val="none" w:sz="0" w:space="0" w:color="auto"/>
      </w:divBdr>
    </w:div>
    <w:div w:id="306664464">
      <w:bodyDiv w:val="1"/>
      <w:marLeft w:val="0"/>
      <w:marRight w:val="0"/>
      <w:marTop w:val="0"/>
      <w:marBottom w:val="0"/>
      <w:divBdr>
        <w:top w:val="none" w:sz="0" w:space="0" w:color="auto"/>
        <w:left w:val="none" w:sz="0" w:space="0" w:color="auto"/>
        <w:bottom w:val="none" w:sz="0" w:space="0" w:color="auto"/>
        <w:right w:val="none" w:sz="0" w:space="0" w:color="auto"/>
      </w:divBdr>
    </w:div>
    <w:div w:id="306713672">
      <w:bodyDiv w:val="1"/>
      <w:marLeft w:val="0"/>
      <w:marRight w:val="0"/>
      <w:marTop w:val="0"/>
      <w:marBottom w:val="0"/>
      <w:divBdr>
        <w:top w:val="none" w:sz="0" w:space="0" w:color="auto"/>
        <w:left w:val="none" w:sz="0" w:space="0" w:color="auto"/>
        <w:bottom w:val="none" w:sz="0" w:space="0" w:color="auto"/>
        <w:right w:val="none" w:sz="0" w:space="0" w:color="auto"/>
      </w:divBdr>
    </w:div>
    <w:div w:id="306864040">
      <w:bodyDiv w:val="1"/>
      <w:marLeft w:val="0"/>
      <w:marRight w:val="0"/>
      <w:marTop w:val="0"/>
      <w:marBottom w:val="0"/>
      <w:divBdr>
        <w:top w:val="none" w:sz="0" w:space="0" w:color="auto"/>
        <w:left w:val="none" w:sz="0" w:space="0" w:color="auto"/>
        <w:bottom w:val="none" w:sz="0" w:space="0" w:color="auto"/>
        <w:right w:val="none" w:sz="0" w:space="0" w:color="auto"/>
      </w:divBdr>
    </w:div>
    <w:div w:id="306865079">
      <w:bodyDiv w:val="1"/>
      <w:marLeft w:val="0"/>
      <w:marRight w:val="0"/>
      <w:marTop w:val="0"/>
      <w:marBottom w:val="0"/>
      <w:divBdr>
        <w:top w:val="none" w:sz="0" w:space="0" w:color="auto"/>
        <w:left w:val="none" w:sz="0" w:space="0" w:color="auto"/>
        <w:bottom w:val="none" w:sz="0" w:space="0" w:color="auto"/>
        <w:right w:val="none" w:sz="0" w:space="0" w:color="auto"/>
      </w:divBdr>
    </w:div>
    <w:div w:id="307051187">
      <w:bodyDiv w:val="1"/>
      <w:marLeft w:val="0"/>
      <w:marRight w:val="0"/>
      <w:marTop w:val="0"/>
      <w:marBottom w:val="0"/>
      <w:divBdr>
        <w:top w:val="none" w:sz="0" w:space="0" w:color="auto"/>
        <w:left w:val="none" w:sz="0" w:space="0" w:color="auto"/>
        <w:bottom w:val="none" w:sz="0" w:space="0" w:color="auto"/>
        <w:right w:val="none" w:sz="0" w:space="0" w:color="auto"/>
      </w:divBdr>
    </w:div>
    <w:div w:id="307054599">
      <w:bodyDiv w:val="1"/>
      <w:marLeft w:val="0"/>
      <w:marRight w:val="0"/>
      <w:marTop w:val="0"/>
      <w:marBottom w:val="0"/>
      <w:divBdr>
        <w:top w:val="none" w:sz="0" w:space="0" w:color="auto"/>
        <w:left w:val="none" w:sz="0" w:space="0" w:color="auto"/>
        <w:bottom w:val="none" w:sz="0" w:space="0" w:color="auto"/>
        <w:right w:val="none" w:sz="0" w:space="0" w:color="auto"/>
      </w:divBdr>
    </w:div>
    <w:div w:id="307057914">
      <w:bodyDiv w:val="1"/>
      <w:marLeft w:val="0"/>
      <w:marRight w:val="0"/>
      <w:marTop w:val="0"/>
      <w:marBottom w:val="0"/>
      <w:divBdr>
        <w:top w:val="none" w:sz="0" w:space="0" w:color="auto"/>
        <w:left w:val="none" w:sz="0" w:space="0" w:color="auto"/>
        <w:bottom w:val="none" w:sz="0" w:space="0" w:color="auto"/>
        <w:right w:val="none" w:sz="0" w:space="0" w:color="auto"/>
      </w:divBdr>
    </w:div>
    <w:div w:id="307131031">
      <w:bodyDiv w:val="1"/>
      <w:marLeft w:val="0"/>
      <w:marRight w:val="0"/>
      <w:marTop w:val="0"/>
      <w:marBottom w:val="0"/>
      <w:divBdr>
        <w:top w:val="none" w:sz="0" w:space="0" w:color="auto"/>
        <w:left w:val="none" w:sz="0" w:space="0" w:color="auto"/>
        <w:bottom w:val="none" w:sz="0" w:space="0" w:color="auto"/>
        <w:right w:val="none" w:sz="0" w:space="0" w:color="auto"/>
      </w:divBdr>
    </w:div>
    <w:div w:id="307563351">
      <w:bodyDiv w:val="1"/>
      <w:marLeft w:val="0"/>
      <w:marRight w:val="0"/>
      <w:marTop w:val="0"/>
      <w:marBottom w:val="0"/>
      <w:divBdr>
        <w:top w:val="none" w:sz="0" w:space="0" w:color="auto"/>
        <w:left w:val="none" w:sz="0" w:space="0" w:color="auto"/>
        <w:bottom w:val="none" w:sz="0" w:space="0" w:color="auto"/>
        <w:right w:val="none" w:sz="0" w:space="0" w:color="auto"/>
      </w:divBdr>
    </w:div>
    <w:div w:id="307588010">
      <w:bodyDiv w:val="1"/>
      <w:marLeft w:val="0"/>
      <w:marRight w:val="0"/>
      <w:marTop w:val="0"/>
      <w:marBottom w:val="0"/>
      <w:divBdr>
        <w:top w:val="none" w:sz="0" w:space="0" w:color="auto"/>
        <w:left w:val="none" w:sz="0" w:space="0" w:color="auto"/>
        <w:bottom w:val="none" w:sz="0" w:space="0" w:color="auto"/>
        <w:right w:val="none" w:sz="0" w:space="0" w:color="auto"/>
      </w:divBdr>
    </w:div>
    <w:div w:id="307592916">
      <w:bodyDiv w:val="1"/>
      <w:marLeft w:val="0"/>
      <w:marRight w:val="0"/>
      <w:marTop w:val="0"/>
      <w:marBottom w:val="0"/>
      <w:divBdr>
        <w:top w:val="none" w:sz="0" w:space="0" w:color="auto"/>
        <w:left w:val="none" w:sz="0" w:space="0" w:color="auto"/>
        <w:bottom w:val="none" w:sz="0" w:space="0" w:color="auto"/>
        <w:right w:val="none" w:sz="0" w:space="0" w:color="auto"/>
      </w:divBdr>
    </w:div>
    <w:div w:id="307710821">
      <w:bodyDiv w:val="1"/>
      <w:marLeft w:val="0"/>
      <w:marRight w:val="0"/>
      <w:marTop w:val="0"/>
      <w:marBottom w:val="0"/>
      <w:divBdr>
        <w:top w:val="none" w:sz="0" w:space="0" w:color="auto"/>
        <w:left w:val="none" w:sz="0" w:space="0" w:color="auto"/>
        <w:bottom w:val="none" w:sz="0" w:space="0" w:color="auto"/>
        <w:right w:val="none" w:sz="0" w:space="0" w:color="auto"/>
      </w:divBdr>
    </w:div>
    <w:div w:id="307903485">
      <w:bodyDiv w:val="1"/>
      <w:marLeft w:val="0"/>
      <w:marRight w:val="0"/>
      <w:marTop w:val="0"/>
      <w:marBottom w:val="0"/>
      <w:divBdr>
        <w:top w:val="none" w:sz="0" w:space="0" w:color="auto"/>
        <w:left w:val="none" w:sz="0" w:space="0" w:color="auto"/>
        <w:bottom w:val="none" w:sz="0" w:space="0" w:color="auto"/>
        <w:right w:val="none" w:sz="0" w:space="0" w:color="auto"/>
      </w:divBdr>
    </w:div>
    <w:div w:id="307906865">
      <w:bodyDiv w:val="1"/>
      <w:marLeft w:val="0"/>
      <w:marRight w:val="0"/>
      <w:marTop w:val="0"/>
      <w:marBottom w:val="0"/>
      <w:divBdr>
        <w:top w:val="none" w:sz="0" w:space="0" w:color="auto"/>
        <w:left w:val="none" w:sz="0" w:space="0" w:color="auto"/>
        <w:bottom w:val="none" w:sz="0" w:space="0" w:color="auto"/>
        <w:right w:val="none" w:sz="0" w:space="0" w:color="auto"/>
      </w:divBdr>
    </w:div>
    <w:div w:id="308247182">
      <w:bodyDiv w:val="1"/>
      <w:marLeft w:val="0"/>
      <w:marRight w:val="0"/>
      <w:marTop w:val="0"/>
      <w:marBottom w:val="0"/>
      <w:divBdr>
        <w:top w:val="none" w:sz="0" w:space="0" w:color="auto"/>
        <w:left w:val="none" w:sz="0" w:space="0" w:color="auto"/>
        <w:bottom w:val="none" w:sz="0" w:space="0" w:color="auto"/>
        <w:right w:val="none" w:sz="0" w:space="0" w:color="auto"/>
      </w:divBdr>
    </w:div>
    <w:div w:id="308366734">
      <w:bodyDiv w:val="1"/>
      <w:marLeft w:val="0"/>
      <w:marRight w:val="0"/>
      <w:marTop w:val="0"/>
      <w:marBottom w:val="0"/>
      <w:divBdr>
        <w:top w:val="none" w:sz="0" w:space="0" w:color="auto"/>
        <w:left w:val="none" w:sz="0" w:space="0" w:color="auto"/>
        <w:bottom w:val="none" w:sz="0" w:space="0" w:color="auto"/>
        <w:right w:val="none" w:sz="0" w:space="0" w:color="auto"/>
      </w:divBdr>
    </w:div>
    <w:div w:id="308438974">
      <w:bodyDiv w:val="1"/>
      <w:marLeft w:val="0"/>
      <w:marRight w:val="0"/>
      <w:marTop w:val="0"/>
      <w:marBottom w:val="0"/>
      <w:divBdr>
        <w:top w:val="none" w:sz="0" w:space="0" w:color="auto"/>
        <w:left w:val="none" w:sz="0" w:space="0" w:color="auto"/>
        <w:bottom w:val="none" w:sz="0" w:space="0" w:color="auto"/>
        <w:right w:val="none" w:sz="0" w:space="0" w:color="auto"/>
      </w:divBdr>
    </w:div>
    <w:div w:id="308557129">
      <w:bodyDiv w:val="1"/>
      <w:marLeft w:val="0"/>
      <w:marRight w:val="0"/>
      <w:marTop w:val="0"/>
      <w:marBottom w:val="0"/>
      <w:divBdr>
        <w:top w:val="none" w:sz="0" w:space="0" w:color="auto"/>
        <w:left w:val="none" w:sz="0" w:space="0" w:color="auto"/>
        <w:bottom w:val="none" w:sz="0" w:space="0" w:color="auto"/>
        <w:right w:val="none" w:sz="0" w:space="0" w:color="auto"/>
      </w:divBdr>
    </w:div>
    <w:div w:id="308638412">
      <w:bodyDiv w:val="1"/>
      <w:marLeft w:val="0"/>
      <w:marRight w:val="0"/>
      <w:marTop w:val="0"/>
      <w:marBottom w:val="0"/>
      <w:divBdr>
        <w:top w:val="none" w:sz="0" w:space="0" w:color="auto"/>
        <w:left w:val="none" w:sz="0" w:space="0" w:color="auto"/>
        <w:bottom w:val="none" w:sz="0" w:space="0" w:color="auto"/>
        <w:right w:val="none" w:sz="0" w:space="0" w:color="auto"/>
      </w:divBdr>
    </w:div>
    <w:div w:id="308704838">
      <w:bodyDiv w:val="1"/>
      <w:marLeft w:val="0"/>
      <w:marRight w:val="0"/>
      <w:marTop w:val="0"/>
      <w:marBottom w:val="0"/>
      <w:divBdr>
        <w:top w:val="none" w:sz="0" w:space="0" w:color="auto"/>
        <w:left w:val="none" w:sz="0" w:space="0" w:color="auto"/>
        <w:bottom w:val="none" w:sz="0" w:space="0" w:color="auto"/>
        <w:right w:val="none" w:sz="0" w:space="0" w:color="auto"/>
      </w:divBdr>
    </w:div>
    <w:div w:id="309482217">
      <w:bodyDiv w:val="1"/>
      <w:marLeft w:val="0"/>
      <w:marRight w:val="0"/>
      <w:marTop w:val="0"/>
      <w:marBottom w:val="0"/>
      <w:divBdr>
        <w:top w:val="none" w:sz="0" w:space="0" w:color="auto"/>
        <w:left w:val="none" w:sz="0" w:space="0" w:color="auto"/>
        <w:bottom w:val="none" w:sz="0" w:space="0" w:color="auto"/>
        <w:right w:val="none" w:sz="0" w:space="0" w:color="auto"/>
      </w:divBdr>
    </w:div>
    <w:div w:id="309526668">
      <w:bodyDiv w:val="1"/>
      <w:marLeft w:val="0"/>
      <w:marRight w:val="0"/>
      <w:marTop w:val="0"/>
      <w:marBottom w:val="0"/>
      <w:divBdr>
        <w:top w:val="none" w:sz="0" w:space="0" w:color="auto"/>
        <w:left w:val="none" w:sz="0" w:space="0" w:color="auto"/>
        <w:bottom w:val="none" w:sz="0" w:space="0" w:color="auto"/>
        <w:right w:val="none" w:sz="0" w:space="0" w:color="auto"/>
      </w:divBdr>
    </w:div>
    <w:div w:id="309941660">
      <w:bodyDiv w:val="1"/>
      <w:marLeft w:val="0"/>
      <w:marRight w:val="0"/>
      <w:marTop w:val="0"/>
      <w:marBottom w:val="0"/>
      <w:divBdr>
        <w:top w:val="none" w:sz="0" w:space="0" w:color="auto"/>
        <w:left w:val="none" w:sz="0" w:space="0" w:color="auto"/>
        <w:bottom w:val="none" w:sz="0" w:space="0" w:color="auto"/>
        <w:right w:val="none" w:sz="0" w:space="0" w:color="auto"/>
      </w:divBdr>
    </w:div>
    <w:div w:id="310184733">
      <w:bodyDiv w:val="1"/>
      <w:marLeft w:val="0"/>
      <w:marRight w:val="0"/>
      <w:marTop w:val="0"/>
      <w:marBottom w:val="0"/>
      <w:divBdr>
        <w:top w:val="none" w:sz="0" w:space="0" w:color="auto"/>
        <w:left w:val="none" w:sz="0" w:space="0" w:color="auto"/>
        <w:bottom w:val="none" w:sz="0" w:space="0" w:color="auto"/>
        <w:right w:val="none" w:sz="0" w:space="0" w:color="auto"/>
      </w:divBdr>
    </w:div>
    <w:div w:id="310402915">
      <w:bodyDiv w:val="1"/>
      <w:marLeft w:val="0"/>
      <w:marRight w:val="0"/>
      <w:marTop w:val="0"/>
      <w:marBottom w:val="0"/>
      <w:divBdr>
        <w:top w:val="none" w:sz="0" w:space="0" w:color="auto"/>
        <w:left w:val="none" w:sz="0" w:space="0" w:color="auto"/>
        <w:bottom w:val="none" w:sz="0" w:space="0" w:color="auto"/>
        <w:right w:val="none" w:sz="0" w:space="0" w:color="auto"/>
      </w:divBdr>
    </w:div>
    <w:div w:id="310914246">
      <w:bodyDiv w:val="1"/>
      <w:marLeft w:val="0"/>
      <w:marRight w:val="0"/>
      <w:marTop w:val="0"/>
      <w:marBottom w:val="0"/>
      <w:divBdr>
        <w:top w:val="none" w:sz="0" w:space="0" w:color="auto"/>
        <w:left w:val="none" w:sz="0" w:space="0" w:color="auto"/>
        <w:bottom w:val="none" w:sz="0" w:space="0" w:color="auto"/>
        <w:right w:val="none" w:sz="0" w:space="0" w:color="auto"/>
      </w:divBdr>
    </w:div>
    <w:div w:id="311179858">
      <w:bodyDiv w:val="1"/>
      <w:marLeft w:val="0"/>
      <w:marRight w:val="0"/>
      <w:marTop w:val="0"/>
      <w:marBottom w:val="0"/>
      <w:divBdr>
        <w:top w:val="none" w:sz="0" w:space="0" w:color="auto"/>
        <w:left w:val="none" w:sz="0" w:space="0" w:color="auto"/>
        <w:bottom w:val="none" w:sz="0" w:space="0" w:color="auto"/>
        <w:right w:val="none" w:sz="0" w:space="0" w:color="auto"/>
      </w:divBdr>
    </w:div>
    <w:div w:id="311259235">
      <w:bodyDiv w:val="1"/>
      <w:marLeft w:val="0"/>
      <w:marRight w:val="0"/>
      <w:marTop w:val="0"/>
      <w:marBottom w:val="0"/>
      <w:divBdr>
        <w:top w:val="none" w:sz="0" w:space="0" w:color="auto"/>
        <w:left w:val="none" w:sz="0" w:space="0" w:color="auto"/>
        <w:bottom w:val="none" w:sz="0" w:space="0" w:color="auto"/>
        <w:right w:val="none" w:sz="0" w:space="0" w:color="auto"/>
      </w:divBdr>
    </w:div>
    <w:div w:id="312174866">
      <w:bodyDiv w:val="1"/>
      <w:marLeft w:val="0"/>
      <w:marRight w:val="0"/>
      <w:marTop w:val="0"/>
      <w:marBottom w:val="0"/>
      <w:divBdr>
        <w:top w:val="none" w:sz="0" w:space="0" w:color="auto"/>
        <w:left w:val="none" w:sz="0" w:space="0" w:color="auto"/>
        <w:bottom w:val="none" w:sz="0" w:space="0" w:color="auto"/>
        <w:right w:val="none" w:sz="0" w:space="0" w:color="auto"/>
      </w:divBdr>
    </w:div>
    <w:div w:id="312177923">
      <w:bodyDiv w:val="1"/>
      <w:marLeft w:val="0"/>
      <w:marRight w:val="0"/>
      <w:marTop w:val="0"/>
      <w:marBottom w:val="0"/>
      <w:divBdr>
        <w:top w:val="none" w:sz="0" w:space="0" w:color="auto"/>
        <w:left w:val="none" w:sz="0" w:space="0" w:color="auto"/>
        <w:bottom w:val="none" w:sz="0" w:space="0" w:color="auto"/>
        <w:right w:val="none" w:sz="0" w:space="0" w:color="auto"/>
      </w:divBdr>
    </w:div>
    <w:div w:id="313070943">
      <w:bodyDiv w:val="1"/>
      <w:marLeft w:val="0"/>
      <w:marRight w:val="0"/>
      <w:marTop w:val="0"/>
      <w:marBottom w:val="0"/>
      <w:divBdr>
        <w:top w:val="none" w:sz="0" w:space="0" w:color="auto"/>
        <w:left w:val="none" w:sz="0" w:space="0" w:color="auto"/>
        <w:bottom w:val="none" w:sz="0" w:space="0" w:color="auto"/>
        <w:right w:val="none" w:sz="0" w:space="0" w:color="auto"/>
      </w:divBdr>
    </w:div>
    <w:div w:id="313343055">
      <w:bodyDiv w:val="1"/>
      <w:marLeft w:val="0"/>
      <w:marRight w:val="0"/>
      <w:marTop w:val="0"/>
      <w:marBottom w:val="0"/>
      <w:divBdr>
        <w:top w:val="none" w:sz="0" w:space="0" w:color="auto"/>
        <w:left w:val="none" w:sz="0" w:space="0" w:color="auto"/>
        <w:bottom w:val="none" w:sz="0" w:space="0" w:color="auto"/>
        <w:right w:val="none" w:sz="0" w:space="0" w:color="auto"/>
      </w:divBdr>
    </w:div>
    <w:div w:id="313602532">
      <w:bodyDiv w:val="1"/>
      <w:marLeft w:val="0"/>
      <w:marRight w:val="0"/>
      <w:marTop w:val="0"/>
      <w:marBottom w:val="0"/>
      <w:divBdr>
        <w:top w:val="none" w:sz="0" w:space="0" w:color="auto"/>
        <w:left w:val="none" w:sz="0" w:space="0" w:color="auto"/>
        <w:bottom w:val="none" w:sz="0" w:space="0" w:color="auto"/>
        <w:right w:val="none" w:sz="0" w:space="0" w:color="auto"/>
      </w:divBdr>
    </w:div>
    <w:div w:id="314838715">
      <w:bodyDiv w:val="1"/>
      <w:marLeft w:val="0"/>
      <w:marRight w:val="0"/>
      <w:marTop w:val="0"/>
      <w:marBottom w:val="0"/>
      <w:divBdr>
        <w:top w:val="none" w:sz="0" w:space="0" w:color="auto"/>
        <w:left w:val="none" w:sz="0" w:space="0" w:color="auto"/>
        <w:bottom w:val="none" w:sz="0" w:space="0" w:color="auto"/>
        <w:right w:val="none" w:sz="0" w:space="0" w:color="auto"/>
      </w:divBdr>
    </w:div>
    <w:div w:id="314918492">
      <w:bodyDiv w:val="1"/>
      <w:marLeft w:val="0"/>
      <w:marRight w:val="0"/>
      <w:marTop w:val="0"/>
      <w:marBottom w:val="0"/>
      <w:divBdr>
        <w:top w:val="none" w:sz="0" w:space="0" w:color="auto"/>
        <w:left w:val="none" w:sz="0" w:space="0" w:color="auto"/>
        <w:bottom w:val="none" w:sz="0" w:space="0" w:color="auto"/>
        <w:right w:val="none" w:sz="0" w:space="0" w:color="auto"/>
      </w:divBdr>
    </w:div>
    <w:div w:id="315576664">
      <w:bodyDiv w:val="1"/>
      <w:marLeft w:val="0"/>
      <w:marRight w:val="0"/>
      <w:marTop w:val="0"/>
      <w:marBottom w:val="0"/>
      <w:divBdr>
        <w:top w:val="none" w:sz="0" w:space="0" w:color="auto"/>
        <w:left w:val="none" w:sz="0" w:space="0" w:color="auto"/>
        <w:bottom w:val="none" w:sz="0" w:space="0" w:color="auto"/>
        <w:right w:val="none" w:sz="0" w:space="0" w:color="auto"/>
      </w:divBdr>
    </w:div>
    <w:div w:id="315687230">
      <w:bodyDiv w:val="1"/>
      <w:marLeft w:val="0"/>
      <w:marRight w:val="0"/>
      <w:marTop w:val="0"/>
      <w:marBottom w:val="0"/>
      <w:divBdr>
        <w:top w:val="none" w:sz="0" w:space="0" w:color="auto"/>
        <w:left w:val="none" w:sz="0" w:space="0" w:color="auto"/>
        <w:bottom w:val="none" w:sz="0" w:space="0" w:color="auto"/>
        <w:right w:val="none" w:sz="0" w:space="0" w:color="auto"/>
      </w:divBdr>
    </w:div>
    <w:div w:id="315689229">
      <w:bodyDiv w:val="1"/>
      <w:marLeft w:val="0"/>
      <w:marRight w:val="0"/>
      <w:marTop w:val="0"/>
      <w:marBottom w:val="0"/>
      <w:divBdr>
        <w:top w:val="none" w:sz="0" w:space="0" w:color="auto"/>
        <w:left w:val="none" w:sz="0" w:space="0" w:color="auto"/>
        <w:bottom w:val="none" w:sz="0" w:space="0" w:color="auto"/>
        <w:right w:val="none" w:sz="0" w:space="0" w:color="auto"/>
      </w:divBdr>
    </w:div>
    <w:div w:id="316031437">
      <w:bodyDiv w:val="1"/>
      <w:marLeft w:val="0"/>
      <w:marRight w:val="0"/>
      <w:marTop w:val="0"/>
      <w:marBottom w:val="0"/>
      <w:divBdr>
        <w:top w:val="none" w:sz="0" w:space="0" w:color="auto"/>
        <w:left w:val="none" w:sz="0" w:space="0" w:color="auto"/>
        <w:bottom w:val="none" w:sz="0" w:space="0" w:color="auto"/>
        <w:right w:val="none" w:sz="0" w:space="0" w:color="auto"/>
      </w:divBdr>
    </w:div>
    <w:div w:id="316568629">
      <w:bodyDiv w:val="1"/>
      <w:marLeft w:val="0"/>
      <w:marRight w:val="0"/>
      <w:marTop w:val="0"/>
      <w:marBottom w:val="0"/>
      <w:divBdr>
        <w:top w:val="none" w:sz="0" w:space="0" w:color="auto"/>
        <w:left w:val="none" w:sz="0" w:space="0" w:color="auto"/>
        <w:bottom w:val="none" w:sz="0" w:space="0" w:color="auto"/>
        <w:right w:val="none" w:sz="0" w:space="0" w:color="auto"/>
      </w:divBdr>
    </w:div>
    <w:div w:id="316960972">
      <w:bodyDiv w:val="1"/>
      <w:marLeft w:val="0"/>
      <w:marRight w:val="0"/>
      <w:marTop w:val="0"/>
      <w:marBottom w:val="0"/>
      <w:divBdr>
        <w:top w:val="none" w:sz="0" w:space="0" w:color="auto"/>
        <w:left w:val="none" w:sz="0" w:space="0" w:color="auto"/>
        <w:bottom w:val="none" w:sz="0" w:space="0" w:color="auto"/>
        <w:right w:val="none" w:sz="0" w:space="0" w:color="auto"/>
      </w:divBdr>
    </w:div>
    <w:div w:id="317072734">
      <w:bodyDiv w:val="1"/>
      <w:marLeft w:val="0"/>
      <w:marRight w:val="0"/>
      <w:marTop w:val="0"/>
      <w:marBottom w:val="0"/>
      <w:divBdr>
        <w:top w:val="none" w:sz="0" w:space="0" w:color="auto"/>
        <w:left w:val="none" w:sz="0" w:space="0" w:color="auto"/>
        <w:bottom w:val="none" w:sz="0" w:space="0" w:color="auto"/>
        <w:right w:val="none" w:sz="0" w:space="0" w:color="auto"/>
      </w:divBdr>
    </w:div>
    <w:div w:id="317267279">
      <w:bodyDiv w:val="1"/>
      <w:marLeft w:val="0"/>
      <w:marRight w:val="0"/>
      <w:marTop w:val="0"/>
      <w:marBottom w:val="0"/>
      <w:divBdr>
        <w:top w:val="none" w:sz="0" w:space="0" w:color="auto"/>
        <w:left w:val="none" w:sz="0" w:space="0" w:color="auto"/>
        <w:bottom w:val="none" w:sz="0" w:space="0" w:color="auto"/>
        <w:right w:val="none" w:sz="0" w:space="0" w:color="auto"/>
      </w:divBdr>
    </w:div>
    <w:div w:id="317271863">
      <w:bodyDiv w:val="1"/>
      <w:marLeft w:val="0"/>
      <w:marRight w:val="0"/>
      <w:marTop w:val="0"/>
      <w:marBottom w:val="0"/>
      <w:divBdr>
        <w:top w:val="none" w:sz="0" w:space="0" w:color="auto"/>
        <w:left w:val="none" w:sz="0" w:space="0" w:color="auto"/>
        <w:bottom w:val="none" w:sz="0" w:space="0" w:color="auto"/>
        <w:right w:val="none" w:sz="0" w:space="0" w:color="auto"/>
      </w:divBdr>
    </w:div>
    <w:div w:id="317272674">
      <w:bodyDiv w:val="1"/>
      <w:marLeft w:val="0"/>
      <w:marRight w:val="0"/>
      <w:marTop w:val="0"/>
      <w:marBottom w:val="0"/>
      <w:divBdr>
        <w:top w:val="none" w:sz="0" w:space="0" w:color="auto"/>
        <w:left w:val="none" w:sz="0" w:space="0" w:color="auto"/>
        <w:bottom w:val="none" w:sz="0" w:space="0" w:color="auto"/>
        <w:right w:val="none" w:sz="0" w:space="0" w:color="auto"/>
      </w:divBdr>
    </w:div>
    <w:div w:id="318193229">
      <w:bodyDiv w:val="1"/>
      <w:marLeft w:val="0"/>
      <w:marRight w:val="0"/>
      <w:marTop w:val="0"/>
      <w:marBottom w:val="0"/>
      <w:divBdr>
        <w:top w:val="none" w:sz="0" w:space="0" w:color="auto"/>
        <w:left w:val="none" w:sz="0" w:space="0" w:color="auto"/>
        <w:bottom w:val="none" w:sz="0" w:space="0" w:color="auto"/>
        <w:right w:val="none" w:sz="0" w:space="0" w:color="auto"/>
      </w:divBdr>
    </w:div>
    <w:div w:id="318272533">
      <w:bodyDiv w:val="1"/>
      <w:marLeft w:val="0"/>
      <w:marRight w:val="0"/>
      <w:marTop w:val="0"/>
      <w:marBottom w:val="0"/>
      <w:divBdr>
        <w:top w:val="none" w:sz="0" w:space="0" w:color="auto"/>
        <w:left w:val="none" w:sz="0" w:space="0" w:color="auto"/>
        <w:bottom w:val="none" w:sz="0" w:space="0" w:color="auto"/>
        <w:right w:val="none" w:sz="0" w:space="0" w:color="auto"/>
      </w:divBdr>
    </w:div>
    <w:div w:id="318580469">
      <w:bodyDiv w:val="1"/>
      <w:marLeft w:val="0"/>
      <w:marRight w:val="0"/>
      <w:marTop w:val="0"/>
      <w:marBottom w:val="0"/>
      <w:divBdr>
        <w:top w:val="none" w:sz="0" w:space="0" w:color="auto"/>
        <w:left w:val="none" w:sz="0" w:space="0" w:color="auto"/>
        <w:bottom w:val="none" w:sz="0" w:space="0" w:color="auto"/>
        <w:right w:val="none" w:sz="0" w:space="0" w:color="auto"/>
      </w:divBdr>
    </w:div>
    <w:div w:id="318703488">
      <w:bodyDiv w:val="1"/>
      <w:marLeft w:val="0"/>
      <w:marRight w:val="0"/>
      <w:marTop w:val="0"/>
      <w:marBottom w:val="0"/>
      <w:divBdr>
        <w:top w:val="none" w:sz="0" w:space="0" w:color="auto"/>
        <w:left w:val="none" w:sz="0" w:space="0" w:color="auto"/>
        <w:bottom w:val="none" w:sz="0" w:space="0" w:color="auto"/>
        <w:right w:val="none" w:sz="0" w:space="0" w:color="auto"/>
      </w:divBdr>
    </w:div>
    <w:div w:id="318770619">
      <w:bodyDiv w:val="1"/>
      <w:marLeft w:val="0"/>
      <w:marRight w:val="0"/>
      <w:marTop w:val="0"/>
      <w:marBottom w:val="0"/>
      <w:divBdr>
        <w:top w:val="none" w:sz="0" w:space="0" w:color="auto"/>
        <w:left w:val="none" w:sz="0" w:space="0" w:color="auto"/>
        <w:bottom w:val="none" w:sz="0" w:space="0" w:color="auto"/>
        <w:right w:val="none" w:sz="0" w:space="0" w:color="auto"/>
      </w:divBdr>
    </w:div>
    <w:div w:id="318771870">
      <w:bodyDiv w:val="1"/>
      <w:marLeft w:val="0"/>
      <w:marRight w:val="0"/>
      <w:marTop w:val="0"/>
      <w:marBottom w:val="0"/>
      <w:divBdr>
        <w:top w:val="none" w:sz="0" w:space="0" w:color="auto"/>
        <w:left w:val="none" w:sz="0" w:space="0" w:color="auto"/>
        <w:bottom w:val="none" w:sz="0" w:space="0" w:color="auto"/>
        <w:right w:val="none" w:sz="0" w:space="0" w:color="auto"/>
      </w:divBdr>
    </w:div>
    <w:div w:id="318772520">
      <w:bodyDiv w:val="1"/>
      <w:marLeft w:val="0"/>
      <w:marRight w:val="0"/>
      <w:marTop w:val="0"/>
      <w:marBottom w:val="0"/>
      <w:divBdr>
        <w:top w:val="none" w:sz="0" w:space="0" w:color="auto"/>
        <w:left w:val="none" w:sz="0" w:space="0" w:color="auto"/>
        <w:bottom w:val="none" w:sz="0" w:space="0" w:color="auto"/>
        <w:right w:val="none" w:sz="0" w:space="0" w:color="auto"/>
      </w:divBdr>
    </w:div>
    <w:div w:id="319162473">
      <w:bodyDiv w:val="1"/>
      <w:marLeft w:val="0"/>
      <w:marRight w:val="0"/>
      <w:marTop w:val="0"/>
      <w:marBottom w:val="0"/>
      <w:divBdr>
        <w:top w:val="none" w:sz="0" w:space="0" w:color="auto"/>
        <w:left w:val="none" w:sz="0" w:space="0" w:color="auto"/>
        <w:bottom w:val="none" w:sz="0" w:space="0" w:color="auto"/>
        <w:right w:val="none" w:sz="0" w:space="0" w:color="auto"/>
      </w:divBdr>
    </w:div>
    <w:div w:id="319311987">
      <w:bodyDiv w:val="1"/>
      <w:marLeft w:val="0"/>
      <w:marRight w:val="0"/>
      <w:marTop w:val="0"/>
      <w:marBottom w:val="0"/>
      <w:divBdr>
        <w:top w:val="none" w:sz="0" w:space="0" w:color="auto"/>
        <w:left w:val="none" w:sz="0" w:space="0" w:color="auto"/>
        <w:bottom w:val="none" w:sz="0" w:space="0" w:color="auto"/>
        <w:right w:val="none" w:sz="0" w:space="0" w:color="auto"/>
      </w:divBdr>
    </w:div>
    <w:div w:id="320545791">
      <w:bodyDiv w:val="1"/>
      <w:marLeft w:val="0"/>
      <w:marRight w:val="0"/>
      <w:marTop w:val="0"/>
      <w:marBottom w:val="0"/>
      <w:divBdr>
        <w:top w:val="none" w:sz="0" w:space="0" w:color="auto"/>
        <w:left w:val="none" w:sz="0" w:space="0" w:color="auto"/>
        <w:bottom w:val="none" w:sz="0" w:space="0" w:color="auto"/>
        <w:right w:val="none" w:sz="0" w:space="0" w:color="auto"/>
      </w:divBdr>
    </w:div>
    <w:div w:id="321204104">
      <w:bodyDiv w:val="1"/>
      <w:marLeft w:val="0"/>
      <w:marRight w:val="0"/>
      <w:marTop w:val="0"/>
      <w:marBottom w:val="0"/>
      <w:divBdr>
        <w:top w:val="none" w:sz="0" w:space="0" w:color="auto"/>
        <w:left w:val="none" w:sz="0" w:space="0" w:color="auto"/>
        <w:bottom w:val="none" w:sz="0" w:space="0" w:color="auto"/>
        <w:right w:val="none" w:sz="0" w:space="0" w:color="auto"/>
      </w:divBdr>
    </w:div>
    <w:div w:id="321546128">
      <w:bodyDiv w:val="1"/>
      <w:marLeft w:val="0"/>
      <w:marRight w:val="0"/>
      <w:marTop w:val="0"/>
      <w:marBottom w:val="0"/>
      <w:divBdr>
        <w:top w:val="none" w:sz="0" w:space="0" w:color="auto"/>
        <w:left w:val="none" w:sz="0" w:space="0" w:color="auto"/>
        <w:bottom w:val="none" w:sz="0" w:space="0" w:color="auto"/>
        <w:right w:val="none" w:sz="0" w:space="0" w:color="auto"/>
      </w:divBdr>
    </w:div>
    <w:div w:id="321810874">
      <w:bodyDiv w:val="1"/>
      <w:marLeft w:val="0"/>
      <w:marRight w:val="0"/>
      <w:marTop w:val="0"/>
      <w:marBottom w:val="0"/>
      <w:divBdr>
        <w:top w:val="none" w:sz="0" w:space="0" w:color="auto"/>
        <w:left w:val="none" w:sz="0" w:space="0" w:color="auto"/>
        <w:bottom w:val="none" w:sz="0" w:space="0" w:color="auto"/>
        <w:right w:val="none" w:sz="0" w:space="0" w:color="auto"/>
      </w:divBdr>
    </w:div>
    <w:div w:id="322009388">
      <w:bodyDiv w:val="1"/>
      <w:marLeft w:val="0"/>
      <w:marRight w:val="0"/>
      <w:marTop w:val="0"/>
      <w:marBottom w:val="0"/>
      <w:divBdr>
        <w:top w:val="none" w:sz="0" w:space="0" w:color="auto"/>
        <w:left w:val="none" w:sz="0" w:space="0" w:color="auto"/>
        <w:bottom w:val="none" w:sz="0" w:space="0" w:color="auto"/>
        <w:right w:val="none" w:sz="0" w:space="0" w:color="auto"/>
      </w:divBdr>
    </w:div>
    <w:div w:id="322397937">
      <w:bodyDiv w:val="1"/>
      <w:marLeft w:val="0"/>
      <w:marRight w:val="0"/>
      <w:marTop w:val="0"/>
      <w:marBottom w:val="0"/>
      <w:divBdr>
        <w:top w:val="none" w:sz="0" w:space="0" w:color="auto"/>
        <w:left w:val="none" w:sz="0" w:space="0" w:color="auto"/>
        <w:bottom w:val="none" w:sz="0" w:space="0" w:color="auto"/>
        <w:right w:val="none" w:sz="0" w:space="0" w:color="auto"/>
      </w:divBdr>
    </w:div>
    <w:div w:id="322465084">
      <w:bodyDiv w:val="1"/>
      <w:marLeft w:val="0"/>
      <w:marRight w:val="0"/>
      <w:marTop w:val="0"/>
      <w:marBottom w:val="0"/>
      <w:divBdr>
        <w:top w:val="none" w:sz="0" w:space="0" w:color="auto"/>
        <w:left w:val="none" w:sz="0" w:space="0" w:color="auto"/>
        <w:bottom w:val="none" w:sz="0" w:space="0" w:color="auto"/>
        <w:right w:val="none" w:sz="0" w:space="0" w:color="auto"/>
      </w:divBdr>
    </w:div>
    <w:div w:id="322468700">
      <w:bodyDiv w:val="1"/>
      <w:marLeft w:val="0"/>
      <w:marRight w:val="0"/>
      <w:marTop w:val="0"/>
      <w:marBottom w:val="0"/>
      <w:divBdr>
        <w:top w:val="none" w:sz="0" w:space="0" w:color="auto"/>
        <w:left w:val="none" w:sz="0" w:space="0" w:color="auto"/>
        <w:bottom w:val="none" w:sz="0" w:space="0" w:color="auto"/>
        <w:right w:val="none" w:sz="0" w:space="0" w:color="auto"/>
      </w:divBdr>
    </w:div>
    <w:div w:id="323318480">
      <w:bodyDiv w:val="1"/>
      <w:marLeft w:val="0"/>
      <w:marRight w:val="0"/>
      <w:marTop w:val="0"/>
      <w:marBottom w:val="0"/>
      <w:divBdr>
        <w:top w:val="none" w:sz="0" w:space="0" w:color="auto"/>
        <w:left w:val="none" w:sz="0" w:space="0" w:color="auto"/>
        <w:bottom w:val="none" w:sz="0" w:space="0" w:color="auto"/>
        <w:right w:val="none" w:sz="0" w:space="0" w:color="auto"/>
      </w:divBdr>
    </w:div>
    <w:div w:id="323362988">
      <w:bodyDiv w:val="1"/>
      <w:marLeft w:val="0"/>
      <w:marRight w:val="0"/>
      <w:marTop w:val="0"/>
      <w:marBottom w:val="0"/>
      <w:divBdr>
        <w:top w:val="none" w:sz="0" w:space="0" w:color="auto"/>
        <w:left w:val="none" w:sz="0" w:space="0" w:color="auto"/>
        <w:bottom w:val="none" w:sz="0" w:space="0" w:color="auto"/>
        <w:right w:val="none" w:sz="0" w:space="0" w:color="auto"/>
      </w:divBdr>
    </w:div>
    <w:div w:id="323438423">
      <w:bodyDiv w:val="1"/>
      <w:marLeft w:val="0"/>
      <w:marRight w:val="0"/>
      <w:marTop w:val="0"/>
      <w:marBottom w:val="0"/>
      <w:divBdr>
        <w:top w:val="none" w:sz="0" w:space="0" w:color="auto"/>
        <w:left w:val="none" w:sz="0" w:space="0" w:color="auto"/>
        <w:bottom w:val="none" w:sz="0" w:space="0" w:color="auto"/>
        <w:right w:val="none" w:sz="0" w:space="0" w:color="auto"/>
      </w:divBdr>
    </w:div>
    <w:div w:id="323507384">
      <w:bodyDiv w:val="1"/>
      <w:marLeft w:val="0"/>
      <w:marRight w:val="0"/>
      <w:marTop w:val="0"/>
      <w:marBottom w:val="0"/>
      <w:divBdr>
        <w:top w:val="none" w:sz="0" w:space="0" w:color="auto"/>
        <w:left w:val="none" w:sz="0" w:space="0" w:color="auto"/>
        <w:bottom w:val="none" w:sz="0" w:space="0" w:color="auto"/>
        <w:right w:val="none" w:sz="0" w:space="0" w:color="auto"/>
      </w:divBdr>
    </w:div>
    <w:div w:id="323510234">
      <w:bodyDiv w:val="1"/>
      <w:marLeft w:val="0"/>
      <w:marRight w:val="0"/>
      <w:marTop w:val="0"/>
      <w:marBottom w:val="0"/>
      <w:divBdr>
        <w:top w:val="none" w:sz="0" w:space="0" w:color="auto"/>
        <w:left w:val="none" w:sz="0" w:space="0" w:color="auto"/>
        <w:bottom w:val="none" w:sz="0" w:space="0" w:color="auto"/>
        <w:right w:val="none" w:sz="0" w:space="0" w:color="auto"/>
      </w:divBdr>
    </w:div>
    <w:div w:id="323975168">
      <w:bodyDiv w:val="1"/>
      <w:marLeft w:val="0"/>
      <w:marRight w:val="0"/>
      <w:marTop w:val="0"/>
      <w:marBottom w:val="0"/>
      <w:divBdr>
        <w:top w:val="none" w:sz="0" w:space="0" w:color="auto"/>
        <w:left w:val="none" w:sz="0" w:space="0" w:color="auto"/>
        <w:bottom w:val="none" w:sz="0" w:space="0" w:color="auto"/>
        <w:right w:val="none" w:sz="0" w:space="0" w:color="auto"/>
      </w:divBdr>
    </w:div>
    <w:div w:id="324212567">
      <w:bodyDiv w:val="1"/>
      <w:marLeft w:val="0"/>
      <w:marRight w:val="0"/>
      <w:marTop w:val="0"/>
      <w:marBottom w:val="0"/>
      <w:divBdr>
        <w:top w:val="none" w:sz="0" w:space="0" w:color="auto"/>
        <w:left w:val="none" w:sz="0" w:space="0" w:color="auto"/>
        <w:bottom w:val="none" w:sz="0" w:space="0" w:color="auto"/>
        <w:right w:val="none" w:sz="0" w:space="0" w:color="auto"/>
      </w:divBdr>
    </w:div>
    <w:div w:id="324361179">
      <w:bodyDiv w:val="1"/>
      <w:marLeft w:val="0"/>
      <w:marRight w:val="0"/>
      <w:marTop w:val="0"/>
      <w:marBottom w:val="0"/>
      <w:divBdr>
        <w:top w:val="none" w:sz="0" w:space="0" w:color="auto"/>
        <w:left w:val="none" w:sz="0" w:space="0" w:color="auto"/>
        <w:bottom w:val="none" w:sz="0" w:space="0" w:color="auto"/>
        <w:right w:val="none" w:sz="0" w:space="0" w:color="auto"/>
      </w:divBdr>
    </w:div>
    <w:div w:id="325549300">
      <w:bodyDiv w:val="1"/>
      <w:marLeft w:val="0"/>
      <w:marRight w:val="0"/>
      <w:marTop w:val="0"/>
      <w:marBottom w:val="0"/>
      <w:divBdr>
        <w:top w:val="none" w:sz="0" w:space="0" w:color="auto"/>
        <w:left w:val="none" w:sz="0" w:space="0" w:color="auto"/>
        <w:bottom w:val="none" w:sz="0" w:space="0" w:color="auto"/>
        <w:right w:val="none" w:sz="0" w:space="0" w:color="auto"/>
      </w:divBdr>
    </w:div>
    <w:div w:id="325590991">
      <w:bodyDiv w:val="1"/>
      <w:marLeft w:val="0"/>
      <w:marRight w:val="0"/>
      <w:marTop w:val="0"/>
      <w:marBottom w:val="0"/>
      <w:divBdr>
        <w:top w:val="none" w:sz="0" w:space="0" w:color="auto"/>
        <w:left w:val="none" w:sz="0" w:space="0" w:color="auto"/>
        <w:bottom w:val="none" w:sz="0" w:space="0" w:color="auto"/>
        <w:right w:val="none" w:sz="0" w:space="0" w:color="auto"/>
      </w:divBdr>
    </w:div>
    <w:div w:id="326177793">
      <w:bodyDiv w:val="1"/>
      <w:marLeft w:val="0"/>
      <w:marRight w:val="0"/>
      <w:marTop w:val="0"/>
      <w:marBottom w:val="0"/>
      <w:divBdr>
        <w:top w:val="none" w:sz="0" w:space="0" w:color="auto"/>
        <w:left w:val="none" w:sz="0" w:space="0" w:color="auto"/>
        <w:bottom w:val="none" w:sz="0" w:space="0" w:color="auto"/>
        <w:right w:val="none" w:sz="0" w:space="0" w:color="auto"/>
      </w:divBdr>
    </w:div>
    <w:div w:id="326371113">
      <w:bodyDiv w:val="1"/>
      <w:marLeft w:val="0"/>
      <w:marRight w:val="0"/>
      <w:marTop w:val="0"/>
      <w:marBottom w:val="0"/>
      <w:divBdr>
        <w:top w:val="none" w:sz="0" w:space="0" w:color="auto"/>
        <w:left w:val="none" w:sz="0" w:space="0" w:color="auto"/>
        <w:bottom w:val="none" w:sz="0" w:space="0" w:color="auto"/>
        <w:right w:val="none" w:sz="0" w:space="0" w:color="auto"/>
      </w:divBdr>
    </w:div>
    <w:div w:id="326401090">
      <w:bodyDiv w:val="1"/>
      <w:marLeft w:val="0"/>
      <w:marRight w:val="0"/>
      <w:marTop w:val="0"/>
      <w:marBottom w:val="0"/>
      <w:divBdr>
        <w:top w:val="none" w:sz="0" w:space="0" w:color="auto"/>
        <w:left w:val="none" w:sz="0" w:space="0" w:color="auto"/>
        <w:bottom w:val="none" w:sz="0" w:space="0" w:color="auto"/>
        <w:right w:val="none" w:sz="0" w:space="0" w:color="auto"/>
      </w:divBdr>
    </w:div>
    <w:div w:id="327098065">
      <w:bodyDiv w:val="1"/>
      <w:marLeft w:val="0"/>
      <w:marRight w:val="0"/>
      <w:marTop w:val="0"/>
      <w:marBottom w:val="0"/>
      <w:divBdr>
        <w:top w:val="none" w:sz="0" w:space="0" w:color="auto"/>
        <w:left w:val="none" w:sz="0" w:space="0" w:color="auto"/>
        <w:bottom w:val="none" w:sz="0" w:space="0" w:color="auto"/>
        <w:right w:val="none" w:sz="0" w:space="0" w:color="auto"/>
      </w:divBdr>
    </w:div>
    <w:div w:id="327439668">
      <w:bodyDiv w:val="1"/>
      <w:marLeft w:val="0"/>
      <w:marRight w:val="0"/>
      <w:marTop w:val="0"/>
      <w:marBottom w:val="0"/>
      <w:divBdr>
        <w:top w:val="none" w:sz="0" w:space="0" w:color="auto"/>
        <w:left w:val="none" w:sz="0" w:space="0" w:color="auto"/>
        <w:bottom w:val="none" w:sz="0" w:space="0" w:color="auto"/>
        <w:right w:val="none" w:sz="0" w:space="0" w:color="auto"/>
      </w:divBdr>
    </w:div>
    <w:div w:id="327636014">
      <w:bodyDiv w:val="1"/>
      <w:marLeft w:val="0"/>
      <w:marRight w:val="0"/>
      <w:marTop w:val="0"/>
      <w:marBottom w:val="0"/>
      <w:divBdr>
        <w:top w:val="none" w:sz="0" w:space="0" w:color="auto"/>
        <w:left w:val="none" w:sz="0" w:space="0" w:color="auto"/>
        <w:bottom w:val="none" w:sz="0" w:space="0" w:color="auto"/>
        <w:right w:val="none" w:sz="0" w:space="0" w:color="auto"/>
      </w:divBdr>
    </w:div>
    <w:div w:id="328140859">
      <w:bodyDiv w:val="1"/>
      <w:marLeft w:val="0"/>
      <w:marRight w:val="0"/>
      <w:marTop w:val="0"/>
      <w:marBottom w:val="0"/>
      <w:divBdr>
        <w:top w:val="none" w:sz="0" w:space="0" w:color="auto"/>
        <w:left w:val="none" w:sz="0" w:space="0" w:color="auto"/>
        <w:bottom w:val="none" w:sz="0" w:space="0" w:color="auto"/>
        <w:right w:val="none" w:sz="0" w:space="0" w:color="auto"/>
      </w:divBdr>
    </w:div>
    <w:div w:id="328296005">
      <w:bodyDiv w:val="1"/>
      <w:marLeft w:val="0"/>
      <w:marRight w:val="0"/>
      <w:marTop w:val="0"/>
      <w:marBottom w:val="0"/>
      <w:divBdr>
        <w:top w:val="none" w:sz="0" w:space="0" w:color="auto"/>
        <w:left w:val="none" w:sz="0" w:space="0" w:color="auto"/>
        <w:bottom w:val="none" w:sz="0" w:space="0" w:color="auto"/>
        <w:right w:val="none" w:sz="0" w:space="0" w:color="auto"/>
      </w:divBdr>
    </w:div>
    <w:div w:id="328408840">
      <w:bodyDiv w:val="1"/>
      <w:marLeft w:val="0"/>
      <w:marRight w:val="0"/>
      <w:marTop w:val="0"/>
      <w:marBottom w:val="0"/>
      <w:divBdr>
        <w:top w:val="none" w:sz="0" w:space="0" w:color="auto"/>
        <w:left w:val="none" w:sz="0" w:space="0" w:color="auto"/>
        <w:bottom w:val="none" w:sz="0" w:space="0" w:color="auto"/>
        <w:right w:val="none" w:sz="0" w:space="0" w:color="auto"/>
      </w:divBdr>
    </w:div>
    <w:div w:id="328410029">
      <w:bodyDiv w:val="1"/>
      <w:marLeft w:val="0"/>
      <w:marRight w:val="0"/>
      <w:marTop w:val="0"/>
      <w:marBottom w:val="0"/>
      <w:divBdr>
        <w:top w:val="none" w:sz="0" w:space="0" w:color="auto"/>
        <w:left w:val="none" w:sz="0" w:space="0" w:color="auto"/>
        <w:bottom w:val="none" w:sz="0" w:space="0" w:color="auto"/>
        <w:right w:val="none" w:sz="0" w:space="0" w:color="auto"/>
      </w:divBdr>
    </w:div>
    <w:div w:id="329793981">
      <w:bodyDiv w:val="1"/>
      <w:marLeft w:val="0"/>
      <w:marRight w:val="0"/>
      <w:marTop w:val="0"/>
      <w:marBottom w:val="0"/>
      <w:divBdr>
        <w:top w:val="none" w:sz="0" w:space="0" w:color="auto"/>
        <w:left w:val="none" w:sz="0" w:space="0" w:color="auto"/>
        <w:bottom w:val="none" w:sz="0" w:space="0" w:color="auto"/>
        <w:right w:val="none" w:sz="0" w:space="0" w:color="auto"/>
      </w:divBdr>
    </w:div>
    <w:div w:id="329800488">
      <w:bodyDiv w:val="1"/>
      <w:marLeft w:val="0"/>
      <w:marRight w:val="0"/>
      <w:marTop w:val="0"/>
      <w:marBottom w:val="0"/>
      <w:divBdr>
        <w:top w:val="none" w:sz="0" w:space="0" w:color="auto"/>
        <w:left w:val="none" w:sz="0" w:space="0" w:color="auto"/>
        <w:bottom w:val="none" w:sz="0" w:space="0" w:color="auto"/>
        <w:right w:val="none" w:sz="0" w:space="0" w:color="auto"/>
      </w:divBdr>
    </w:div>
    <w:div w:id="330254465">
      <w:bodyDiv w:val="1"/>
      <w:marLeft w:val="0"/>
      <w:marRight w:val="0"/>
      <w:marTop w:val="0"/>
      <w:marBottom w:val="0"/>
      <w:divBdr>
        <w:top w:val="none" w:sz="0" w:space="0" w:color="auto"/>
        <w:left w:val="none" w:sz="0" w:space="0" w:color="auto"/>
        <w:bottom w:val="none" w:sz="0" w:space="0" w:color="auto"/>
        <w:right w:val="none" w:sz="0" w:space="0" w:color="auto"/>
      </w:divBdr>
    </w:div>
    <w:div w:id="330521632">
      <w:bodyDiv w:val="1"/>
      <w:marLeft w:val="0"/>
      <w:marRight w:val="0"/>
      <w:marTop w:val="0"/>
      <w:marBottom w:val="0"/>
      <w:divBdr>
        <w:top w:val="none" w:sz="0" w:space="0" w:color="auto"/>
        <w:left w:val="none" w:sz="0" w:space="0" w:color="auto"/>
        <w:bottom w:val="none" w:sz="0" w:space="0" w:color="auto"/>
        <w:right w:val="none" w:sz="0" w:space="0" w:color="auto"/>
      </w:divBdr>
    </w:div>
    <w:div w:id="330641007">
      <w:bodyDiv w:val="1"/>
      <w:marLeft w:val="0"/>
      <w:marRight w:val="0"/>
      <w:marTop w:val="0"/>
      <w:marBottom w:val="0"/>
      <w:divBdr>
        <w:top w:val="none" w:sz="0" w:space="0" w:color="auto"/>
        <w:left w:val="none" w:sz="0" w:space="0" w:color="auto"/>
        <w:bottom w:val="none" w:sz="0" w:space="0" w:color="auto"/>
        <w:right w:val="none" w:sz="0" w:space="0" w:color="auto"/>
      </w:divBdr>
    </w:div>
    <w:div w:id="330643038">
      <w:bodyDiv w:val="1"/>
      <w:marLeft w:val="0"/>
      <w:marRight w:val="0"/>
      <w:marTop w:val="0"/>
      <w:marBottom w:val="0"/>
      <w:divBdr>
        <w:top w:val="none" w:sz="0" w:space="0" w:color="auto"/>
        <w:left w:val="none" w:sz="0" w:space="0" w:color="auto"/>
        <w:bottom w:val="none" w:sz="0" w:space="0" w:color="auto"/>
        <w:right w:val="none" w:sz="0" w:space="0" w:color="auto"/>
      </w:divBdr>
    </w:div>
    <w:div w:id="330646356">
      <w:bodyDiv w:val="1"/>
      <w:marLeft w:val="0"/>
      <w:marRight w:val="0"/>
      <w:marTop w:val="0"/>
      <w:marBottom w:val="0"/>
      <w:divBdr>
        <w:top w:val="none" w:sz="0" w:space="0" w:color="auto"/>
        <w:left w:val="none" w:sz="0" w:space="0" w:color="auto"/>
        <w:bottom w:val="none" w:sz="0" w:space="0" w:color="auto"/>
        <w:right w:val="none" w:sz="0" w:space="0" w:color="auto"/>
      </w:divBdr>
    </w:div>
    <w:div w:id="330959107">
      <w:bodyDiv w:val="1"/>
      <w:marLeft w:val="0"/>
      <w:marRight w:val="0"/>
      <w:marTop w:val="0"/>
      <w:marBottom w:val="0"/>
      <w:divBdr>
        <w:top w:val="none" w:sz="0" w:space="0" w:color="auto"/>
        <w:left w:val="none" w:sz="0" w:space="0" w:color="auto"/>
        <w:bottom w:val="none" w:sz="0" w:space="0" w:color="auto"/>
        <w:right w:val="none" w:sz="0" w:space="0" w:color="auto"/>
      </w:divBdr>
    </w:div>
    <w:div w:id="331224009">
      <w:bodyDiv w:val="1"/>
      <w:marLeft w:val="0"/>
      <w:marRight w:val="0"/>
      <w:marTop w:val="0"/>
      <w:marBottom w:val="0"/>
      <w:divBdr>
        <w:top w:val="none" w:sz="0" w:space="0" w:color="auto"/>
        <w:left w:val="none" w:sz="0" w:space="0" w:color="auto"/>
        <w:bottom w:val="none" w:sz="0" w:space="0" w:color="auto"/>
        <w:right w:val="none" w:sz="0" w:space="0" w:color="auto"/>
      </w:divBdr>
    </w:div>
    <w:div w:id="331379048">
      <w:bodyDiv w:val="1"/>
      <w:marLeft w:val="0"/>
      <w:marRight w:val="0"/>
      <w:marTop w:val="0"/>
      <w:marBottom w:val="0"/>
      <w:divBdr>
        <w:top w:val="none" w:sz="0" w:space="0" w:color="auto"/>
        <w:left w:val="none" w:sz="0" w:space="0" w:color="auto"/>
        <w:bottom w:val="none" w:sz="0" w:space="0" w:color="auto"/>
        <w:right w:val="none" w:sz="0" w:space="0" w:color="auto"/>
      </w:divBdr>
    </w:div>
    <w:div w:id="331766326">
      <w:bodyDiv w:val="1"/>
      <w:marLeft w:val="0"/>
      <w:marRight w:val="0"/>
      <w:marTop w:val="0"/>
      <w:marBottom w:val="0"/>
      <w:divBdr>
        <w:top w:val="none" w:sz="0" w:space="0" w:color="auto"/>
        <w:left w:val="none" w:sz="0" w:space="0" w:color="auto"/>
        <w:bottom w:val="none" w:sz="0" w:space="0" w:color="auto"/>
        <w:right w:val="none" w:sz="0" w:space="0" w:color="auto"/>
      </w:divBdr>
    </w:div>
    <w:div w:id="332489060">
      <w:bodyDiv w:val="1"/>
      <w:marLeft w:val="0"/>
      <w:marRight w:val="0"/>
      <w:marTop w:val="0"/>
      <w:marBottom w:val="0"/>
      <w:divBdr>
        <w:top w:val="none" w:sz="0" w:space="0" w:color="auto"/>
        <w:left w:val="none" w:sz="0" w:space="0" w:color="auto"/>
        <w:bottom w:val="none" w:sz="0" w:space="0" w:color="auto"/>
        <w:right w:val="none" w:sz="0" w:space="0" w:color="auto"/>
      </w:divBdr>
    </w:div>
    <w:div w:id="332493204">
      <w:bodyDiv w:val="1"/>
      <w:marLeft w:val="0"/>
      <w:marRight w:val="0"/>
      <w:marTop w:val="0"/>
      <w:marBottom w:val="0"/>
      <w:divBdr>
        <w:top w:val="none" w:sz="0" w:space="0" w:color="auto"/>
        <w:left w:val="none" w:sz="0" w:space="0" w:color="auto"/>
        <w:bottom w:val="none" w:sz="0" w:space="0" w:color="auto"/>
        <w:right w:val="none" w:sz="0" w:space="0" w:color="auto"/>
      </w:divBdr>
    </w:div>
    <w:div w:id="332531639">
      <w:bodyDiv w:val="1"/>
      <w:marLeft w:val="0"/>
      <w:marRight w:val="0"/>
      <w:marTop w:val="0"/>
      <w:marBottom w:val="0"/>
      <w:divBdr>
        <w:top w:val="none" w:sz="0" w:space="0" w:color="auto"/>
        <w:left w:val="none" w:sz="0" w:space="0" w:color="auto"/>
        <w:bottom w:val="none" w:sz="0" w:space="0" w:color="auto"/>
        <w:right w:val="none" w:sz="0" w:space="0" w:color="auto"/>
      </w:divBdr>
    </w:div>
    <w:div w:id="332878605">
      <w:bodyDiv w:val="1"/>
      <w:marLeft w:val="0"/>
      <w:marRight w:val="0"/>
      <w:marTop w:val="0"/>
      <w:marBottom w:val="0"/>
      <w:divBdr>
        <w:top w:val="none" w:sz="0" w:space="0" w:color="auto"/>
        <w:left w:val="none" w:sz="0" w:space="0" w:color="auto"/>
        <w:bottom w:val="none" w:sz="0" w:space="0" w:color="auto"/>
        <w:right w:val="none" w:sz="0" w:space="0" w:color="auto"/>
      </w:divBdr>
    </w:div>
    <w:div w:id="333149543">
      <w:bodyDiv w:val="1"/>
      <w:marLeft w:val="0"/>
      <w:marRight w:val="0"/>
      <w:marTop w:val="0"/>
      <w:marBottom w:val="0"/>
      <w:divBdr>
        <w:top w:val="none" w:sz="0" w:space="0" w:color="auto"/>
        <w:left w:val="none" w:sz="0" w:space="0" w:color="auto"/>
        <w:bottom w:val="none" w:sz="0" w:space="0" w:color="auto"/>
        <w:right w:val="none" w:sz="0" w:space="0" w:color="auto"/>
      </w:divBdr>
    </w:div>
    <w:div w:id="333807029">
      <w:bodyDiv w:val="1"/>
      <w:marLeft w:val="0"/>
      <w:marRight w:val="0"/>
      <w:marTop w:val="0"/>
      <w:marBottom w:val="0"/>
      <w:divBdr>
        <w:top w:val="none" w:sz="0" w:space="0" w:color="auto"/>
        <w:left w:val="none" w:sz="0" w:space="0" w:color="auto"/>
        <w:bottom w:val="none" w:sz="0" w:space="0" w:color="auto"/>
        <w:right w:val="none" w:sz="0" w:space="0" w:color="auto"/>
      </w:divBdr>
    </w:div>
    <w:div w:id="334040231">
      <w:bodyDiv w:val="1"/>
      <w:marLeft w:val="0"/>
      <w:marRight w:val="0"/>
      <w:marTop w:val="0"/>
      <w:marBottom w:val="0"/>
      <w:divBdr>
        <w:top w:val="none" w:sz="0" w:space="0" w:color="auto"/>
        <w:left w:val="none" w:sz="0" w:space="0" w:color="auto"/>
        <w:bottom w:val="none" w:sz="0" w:space="0" w:color="auto"/>
        <w:right w:val="none" w:sz="0" w:space="0" w:color="auto"/>
      </w:divBdr>
    </w:div>
    <w:div w:id="334306099">
      <w:bodyDiv w:val="1"/>
      <w:marLeft w:val="0"/>
      <w:marRight w:val="0"/>
      <w:marTop w:val="0"/>
      <w:marBottom w:val="0"/>
      <w:divBdr>
        <w:top w:val="none" w:sz="0" w:space="0" w:color="auto"/>
        <w:left w:val="none" w:sz="0" w:space="0" w:color="auto"/>
        <w:bottom w:val="none" w:sz="0" w:space="0" w:color="auto"/>
        <w:right w:val="none" w:sz="0" w:space="0" w:color="auto"/>
      </w:divBdr>
    </w:div>
    <w:div w:id="334576041">
      <w:bodyDiv w:val="1"/>
      <w:marLeft w:val="0"/>
      <w:marRight w:val="0"/>
      <w:marTop w:val="0"/>
      <w:marBottom w:val="0"/>
      <w:divBdr>
        <w:top w:val="none" w:sz="0" w:space="0" w:color="auto"/>
        <w:left w:val="none" w:sz="0" w:space="0" w:color="auto"/>
        <w:bottom w:val="none" w:sz="0" w:space="0" w:color="auto"/>
        <w:right w:val="none" w:sz="0" w:space="0" w:color="auto"/>
      </w:divBdr>
    </w:div>
    <w:div w:id="334839846">
      <w:bodyDiv w:val="1"/>
      <w:marLeft w:val="0"/>
      <w:marRight w:val="0"/>
      <w:marTop w:val="0"/>
      <w:marBottom w:val="0"/>
      <w:divBdr>
        <w:top w:val="none" w:sz="0" w:space="0" w:color="auto"/>
        <w:left w:val="none" w:sz="0" w:space="0" w:color="auto"/>
        <w:bottom w:val="none" w:sz="0" w:space="0" w:color="auto"/>
        <w:right w:val="none" w:sz="0" w:space="0" w:color="auto"/>
      </w:divBdr>
    </w:div>
    <w:div w:id="334843789">
      <w:bodyDiv w:val="1"/>
      <w:marLeft w:val="0"/>
      <w:marRight w:val="0"/>
      <w:marTop w:val="0"/>
      <w:marBottom w:val="0"/>
      <w:divBdr>
        <w:top w:val="none" w:sz="0" w:space="0" w:color="auto"/>
        <w:left w:val="none" w:sz="0" w:space="0" w:color="auto"/>
        <w:bottom w:val="none" w:sz="0" w:space="0" w:color="auto"/>
        <w:right w:val="none" w:sz="0" w:space="0" w:color="auto"/>
      </w:divBdr>
    </w:div>
    <w:div w:id="334921318">
      <w:bodyDiv w:val="1"/>
      <w:marLeft w:val="0"/>
      <w:marRight w:val="0"/>
      <w:marTop w:val="0"/>
      <w:marBottom w:val="0"/>
      <w:divBdr>
        <w:top w:val="none" w:sz="0" w:space="0" w:color="auto"/>
        <w:left w:val="none" w:sz="0" w:space="0" w:color="auto"/>
        <w:bottom w:val="none" w:sz="0" w:space="0" w:color="auto"/>
        <w:right w:val="none" w:sz="0" w:space="0" w:color="auto"/>
      </w:divBdr>
    </w:div>
    <w:div w:id="335036853">
      <w:bodyDiv w:val="1"/>
      <w:marLeft w:val="0"/>
      <w:marRight w:val="0"/>
      <w:marTop w:val="0"/>
      <w:marBottom w:val="0"/>
      <w:divBdr>
        <w:top w:val="none" w:sz="0" w:space="0" w:color="auto"/>
        <w:left w:val="none" w:sz="0" w:space="0" w:color="auto"/>
        <w:bottom w:val="none" w:sz="0" w:space="0" w:color="auto"/>
        <w:right w:val="none" w:sz="0" w:space="0" w:color="auto"/>
      </w:divBdr>
    </w:div>
    <w:div w:id="335116332">
      <w:bodyDiv w:val="1"/>
      <w:marLeft w:val="0"/>
      <w:marRight w:val="0"/>
      <w:marTop w:val="0"/>
      <w:marBottom w:val="0"/>
      <w:divBdr>
        <w:top w:val="none" w:sz="0" w:space="0" w:color="auto"/>
        <w:left w:val="none" w:sz="0" w:space="0" w:color="auto"/>
        <w:bottom w:val="none" w:sz="0" w:space="0" w:color="auto"/>
        <w:right w:val="none" w:sz="0" w:space="0" w:color="auto"/>
      </w:divBdr>
    </w:div>
    <w:div w:id="335349899">
      <w:bodyDiv w:val="1"/>
      <w:marLeft w:val="0"/>
      <w:marRight w:val="0"/>
      <w:marTop w:val="0"/>
      <w:marBottom w:val="0"/>
      <w:divBdr>
        <w:top w:val="none" w:sz="0" w:space="0" w:color="auto"/>
        <w:left w:val="none" w:sz="0" w:space="0" w:color="auto"/>
        <w:bottom w:val="none" w:sz="0" w:space="0" w:color="auto"/>
        <w:right w:val="none" w:sz="0" w:space="0" w:color="auto"/>
      </w:divBdr>
    </w:div>
    <w:div w:id="335377623">
      <w:bodyDiv w:val="1"/>
      <w:marLeft w:val="0"/>
      <w:marRight w:val="0"/>
      <w:marTop w:val="0"/>
      <w:marBottom w:val="0"/>
      <w:divBdr>
        <w:top w:val="none" w:sz="0" w:space="0" w:color="auto"/>
        <w:left w:val="none" w:sz="0" w:space="0" w:color="auto"/>
        <w:bottom w:val="none" w:sz="0" w:space="0" w:color="auto"/>
        <w:right w:val="none" w:sz="0" w:space="0" w:color="auto"/>
      </w:divBdr>
    </w:div>
    <w:div w:id="335495795">
      <w:bodyDiv w:val="1"/>
      <w:marLeft w:val="0"/>
      <w:marRight w:val="0"/>
      <w:marTop w:val="0"/>
      <w:marBottom w:val="0"/>
      <w:divBdr>
        <w:top w:val="none" w:sz="0" w:space="0" w:color="auto"/>
        <w:left w:val="none" w:sz="0" w:space="0" w:color="auto"/>
        <w:bottom w:val="none" w:sz="0" w:space="0" w:color="auto"/>
        <w:right w:val="none" w:sz="0" w:space="0" w:color="auto"/>
      </w:divBdr>
    </w:div>
    <w:div w:id="336345578">
      <w:bodyDiv w:val="1"/>
      <w:marLeft w:val="0"/>
      <w:marRight w:val="0"/>
      <w:marTop w:val="0"/>
      <w:marBottom w:val="0"/>
      <w:divBdr>
        <w:top w:val="none" w:sz="0" w:space="0" w:color="auto"/>
        <w:left w:val="none" w:sz="0" w:space="0" w:color="auto"/>
        <w:bottom w:val="none" w:sz="0" w:space="0" w:color="auto"/>
        <w:right w:val="none" w:sz="0" w:space="0" w:color="auto"/>
      </w:divBdr>
    </w:div>
    <w:div w:id="337081717">
      <w:bodyDiv w:val="1"/>
      <w:marLeft w:val="0"/>
      <w:marRight w:val="0"/>
      <w:marTop w:val="0"/>
      <w:marBottom w:val="0"/>
      <w:divBdr>
        <w:top w:val="none" w:sz="0" w:space="0" w:color="auto"/>
        <w:left w:val="none" w:sz="0" w:space="0" w:color="auto"/>
        <w:bottom w:val="none" w:sz="0" w:space="0" w:color="auto"/>
        <w:right w:val="none" w:sz="0" w:space="0" w:color="auto"/>
      </w:divBdr>
    </w:div>
    <w:div w:id="337580604">
      <w:bodyDiv w:val="1"/>
      <w:marLeft w:val="0"/>
      <w:marRight w:val="0"/>
      <w:marTop w:val="0"/>
      <w:marBottom w:val="0"/>
      <w:divBdr>
        <w:top w:val="none" w:sz="0" w:space="0" w:color="auto"/>
        <w:left w:val="none" w:sz="0" w:space="0" w:color="auto"/>
        <w:bottom w:val="none" w:sz="0" w:space="0" w:color="auto"/>
        <w:right w:val="none" w:sz="0" w:space="0" w:color="auto"/>
      </w:divBdr>
    </w:div>
    <w:div w:id="338241609">
      <w:bodyDiv w:val="1"/>
      <w:marLeft w:val="0"/>
      <w:marRight w:val="0"/>
      <w:marTop w:val="0"/>
      <w:marBottom w:val="0"/>
      <w:divBdr>
        <w:top w:val="none" w:sz="0" w:space="0" w:color="auto"/>
        <w:left w:val="none" w:sz="0" w:space="0" w:color="auto"/>
        <w:bottom w:val="none" w:sz="0" w:space="0" w:color="auto"/>
        <w:right w:val="none" w:sz="0" w:space="0" w:color="auto"/>
      </w:divBdr>
    </w:div>
    <w:div w:id="338393101">
      <w:bodyDiv w:val="1"/>
      <w:marLeft w:val="0"/>
      <w:marRight w:val="0"/>
      <w:marTop w:val="0"/>
      <w:marBottom w:val="0"/>
      <w:divBdr>
        <w:top w:val="none" w:sz="0" w:space="0" w:color="auto"/>
        <w:left w:val="none" w:sz="0" w:space="0" w:color="auto"/>
        <w:bottom w:val="none" w:sz="0" w:space="0" w:color="auto"/>
        <w:right w:val="none" w:sz="0" w:space="0" w:color="auto"/>
      </w:divBdr>
    </w:div>
    <w:div w:id="338773512">
      <w:bodyDiv w:val="1"/>
      <w:marLeft w:val="0"/>
      <w:marRight w:val="0"/>
      <w:marTop w:val="0"/>
      <w:marBottom w:val="0"/>
      <w:divBdr>
        <w:top w:val="none" w:sz="0" w:space="0" w:color="auto"/>
        <w:left w:val="none" w:sz="0" w:space="0" w:color="auto"/>
        <w:bottom w:val="none" w:sz="0" w:space="0" w:color="auto"/>
        <w:right w:val="none" w:sz="0" w:space="0" w:color="auto"/>
      </w:divBdr>
    </w:div>
    <w:div w:id="339041605">
      <w:bodyDiv w:val="1"/>
      <w:marLeft w:val="0"/>
      <w:marRight w:val="0"/>
      <w:marTop w:val="0"/>
      <w:marBottom w:val="0"/>
      <w:divBdr>
        <w:top w:val="none" w:sz="0" w:space="0" w:color="auto"/>
        <w:left w:val="none" w:sz="0" w:space="0" w:color="auto"/>
        <w:bottom w:val="none" w:sz="0" w:space="0" w:color="auto"/>
        <w:right w:val="none" w:sz="0" w:space="0" w:color="auto"/>
      </w:divBdr>
    </w:div>
    <w:div w:id="339620480">
      <w:bodyDiv w:val="1"/>
      <w:marLeft w:val="0"/>
      <w:marRight w:val="0"/>
      <w:marTop w:val="0"/>
      <w:marBottom w:val="0"/>
      <w:divBdr>
        <w:top w:val="none" w:sz="0" w:space="0" w:color="auto"/>
        <w:left w:val="none" w:sz="0" w:space="0" w:color="auto"/>
        <w:bottom w:val="none" w:sz="0" w:space="0" w:color="auto"/>
        <w:right w:val="none" w:sz="0" w:space="0" w:color="auto"/>
      </w:divBdr>
    </w:div>
    <w:div w:id="339822293">
      <w:bodyDiv w:val="1"/>
      <w:marLeft w:val="0"/>
      <w:marRight w:val="0"/>
      <w:marTop w:val="0"/>
      <w:marBottom w:val="0"/>
      <w:divBdr>
        <w:top w:val="none" w:sz="0" w:space="0" w:color="auto"/>
        <w:left w:val="none" w:sz="0" w:space="0" w:color="auto"/>
        <w:bottom w:val="none" w:sz="0" w:space="0" w:color="auto"/>
        <w:right w:val="none" w:sz="0" w:space="0" w:color="auto"/>
      </w:divBdr>
    </w:div>
    <w:div w:id="340009235">
      <w:bodyDiv w:val="1"/>
      <w:marLeft w:val="0"/>
      <w:marRight w:val="0"/>
      <w:marTop w:val="0"/>
      <w:marBottom w:val="0"/>
      <w:divBdr>
        <w:top w:val="none" w:sz="0" w:space="0" w:color="auto"/>
        <w:left w:val="none" w:sz="0" w:space="0" w:color="auto"/>
        <w:bottom w:val="none" w:sz="0" w:space="0" w:color="auto"/>
        <w:right w:val="none" w:sz="0" w:space="0" w:color="auto"/>
      </w:divBdr>
    </w:div>
    <w:div w:id="340468353">
      <w:bodyDiv w:val="1"/>
      <w:marLeft w:val="0"/>
      <w:marRight w:val="0"/>
      <w:marTop w:val="0"/>
      <w:marBottom w:val="0"/>
      <w:divBdr>
        <w:top w:val="none" w:sz="0" w:space="0" w:color="auto"/>
        <w:left w:val="none" w:sz="0" w:space="0" w:color="auto"/>
        <w:bottom w:val="none" w:sz="0" w:space="0" w:color="auto"/>
        <w:right w:val="none" w:sz="0" w:space="0" w:color="auto"/>
      </w:divBdr>
    </w:div>
    <w:div w:id="340590741">
      <w:bodyDiv w:val="1"/>
      <w:marLeft w:val="0"/>
      <w:marRight w:val="0"/>
      <w:marTop w:val="0"/>
      <w:marBottom w:val="0"/>
      <w:divBdr>
        <w:top w:val="none" w:sz="0" w:space="0" w:color="auto"/>
        <w:left w:val="none" w:sz="0" w:space="0" w:color="auto"/>
        <w:bottom w:val="none" w:sz="0" w:space="0" w:color="auto"/>
        <w:right w:val="none" w:sz="0" w:space="0" w:color="auto"/>
      </w:divBdr>
    </w:div>
    <w:div w:id="341013995">
      <w:bodyDiv w:val="1"/>
      <w:marLeft w:val="0"/>
      <w:marRight w:val="0"/>
      <w:marTop w:val="0"/>
      <w:marBottom w:val="0"/>
      <w:divBdr>
        <w:top w:val="none" w:sz="0" w:space="0" w:color="auto"/>
        <w:left w:val="none" w:sz="0" w:space="0" w:color="auto"/>
        <w:bottom w:val="none" w:sz="0" w:space="0" w:color="auto"/>
        <w:right w:val="none" w:sz="0" w:space="0" w:color="auto"/>
      </w:divBdr>
    </w:div>
    <w:div w:id="341400832">
      <w:bodyDiv w:val="1"/>
      <w:marLeft w:val="0"/>
      <w:marRight w:val="0"/>
      <w:marTop w:val="0"/>
      <w:marBottom w:val="0"/>
      <w:divBdr>
        <w:top w:val="none" w:sz="0" w:space="0" w:color="auto"/>
        <w:left w:val="none" w:sz="0" w:space="0" w:color="auto"/>
        <w:bottom w:val="none" w:sz="0" w:space="0" w:color="auto"/>
        <w:right w:val="none" w:sz="0" w:space="0" w:color="auto"/>
      </w:divBdr>
    </w:div>
    <w:div w:id="341861624">
      <w:bodyDiv w:val="1"/>
      <w:marLeft w:val="0"/>
      <w:marRight w:val="0"/>
      <w:marTop w:val="0"/>
      <w:marBottom w:val="0"/>
      <w:divBdr>
        <w:top w:val="none" w:sz="0" w:space="0" w:color="auto"/>
        <w:left w:val="none" w:sz="0" w:space="0" w:color="auto"/>
        <w:bottom w:val="none" w:sz="0" w:space="0" w:color="auto"/>
        <w:right w:val="none" w:sz="0" w:space="0" w:color="auto"/>
      </w:divBdr>
    </w:div>
    <w:div w:id="342048186">
      <w:bodyDiv w:val="1"/>
      <w:marLeft w:val="0"/>
      <w:marRight w:val="0"/>
      <w:marTop w:val="0"/>
      <w:marBottom w:val="0"/>
      <w:divBdr>
        <w:top w:val="none" w:sz="0" w:space="0" w:color="auto"/>
        <w:left w:val="none" w:sz="0" w:space="0" w:color="auto"/>
        <w:bottom w:val="none" w:sz="0" w:space="0" w:color="auto"/>
        <w:right w:val="none" w:sz="0" w:space="0" w:color="auto"/>
      </w:divBdr>
    </w:div>
    <w:div w:id="342129829">
      <w:bodyDiv w:val="1"/>
      <w:marLeft w:val="0"/>
      <w:marRight w:val="0"/>
      <w:marTop w:val="0"/>
      <w:marBottom w:val="0"/>
      <w:divBdr>
        <w:top w:val="none" w:sz="0" w:space="0" w:color="auto"/>
        <w:left w:val="none" w:sz="0" w:space="0" w:color="auto"/>
        <w:bottom w:val="none" w:sz="0" w:space="0" w:color="auto"/>
        <w:right w:val="none" w:sz="0" w:space="0" w:color="auto"/>
      </w:divBdr>
    </w:div>
    <w:div w:id="342172874">
      <w:bodyDiv w:val="1"/>
      <w:marLeft w:val="0"/>
      <w:marRight w:val="0"/>
      <w:marTop w:val="0"/>
      <w:marBottom w:val="0"/>
      <w:divBdr>
        <w:top w:val="none" w:sz="0" w:space="0" w:color="auto"/>
        <w:left w:val="none" w:sz="0" w:space="0" w:color="auto"/>
        <w:bottom w:val="none" w:sz="0" w:space="0" w:color="auto"/>
        <w:right w:val="none" w:sz="0" w:space="0" w:color="auto"/>
      </w:divBdr>
    </w:div>
    <w:div w:id="342628698">
      <w:bodyDiv w:val="1"/>
      <w:marLeft w:val="0"/>
      <w:marRight w:val="0"/>
      <w:marTop w:val="0"/>
      <w:marBottom w:val="0"/>
      <w:divBdr>
        <w:top w:val="none" w:sz="0" w:space="0" w:color="auto"/>
        <w:left w:val="none" w:sz="0" w:space="0" w:color="auto"/>
        <w:bottom w:val="none" w:sz="0" w:space="0" w:color="auto"/>
        <w:right w:val="none" w:sz="0" w:space="0" w:color="auto"/>
      </w:divBdr>
    </w:div>
    <w:div w:id="342708201">
      <w:bodyDiv w:val="1"/>
      <w:marLeft w:val="0"/>
      <w:marRight w:val="0"/>
      <w:marTop w:val="0"/>
      <w:marBottom w:val="0"/>
      <w:divBdr>
        <w:top w:val="none" w:sz="0" w:space="0" w:color="auto"/>
        <w:left w:val="none" w:sz="0" w:space="0" w:color="auto"/>
        <w:bottom w:val="none" w:sz="0" w:space="0" w:color="auto"/>
        <w:right w:val="none" w:sz="0" w:space="0" w:color="auto"/>
      </w:divBdr>
    </w:div>
    <w:div w:id="342900792">
      <w:bodyDiv w:val="1"/>
      <w:marLeft w:val="0"/>
      <w:marRight w:val="0"/>
      <w:marTop w:val="0"/>
      <w:marBottom w:val="0"/>
      <w:divBdr>
        <w:top w:val="none" w:sz="0" w:space="0" w:color="auto"/>
        <w:left w:val="none" w:sz="0" w:space="0" w:color="auto"/>
        <w:bottom w:val="none" w:sz="0" w:space="0" w:color="auto"/>
        <w:right w:val="none" w:sz="0" w:space="0" w:color="auto"/>
      </w:divBdr>
    </w:div>
    <w:div w:id="344409327">
      <w:bodyDiv w:val="1"/>
      <w:marLeft w:val="0"/>
      <w:marRight w:val="0"/>
      <w:marTop w:val="0"/>
      <w:marBottom w:val="0"/>
      <w:divBdr>
        <w:top w:val="none" w:sz="0" w:space="0" w:color="auto"/>
        <w:left w:val="none" w:sz="0" w:space="0" w:color="auto"/>
        <w:bottom w:val="none" w:sz="0" w:space="0" w:color="auto"/>
        <w:right w:val="none" w:sz="0" w:space="0" w:color="auto"/>
      </w:divBdr>
    </w:div>
    <w:div w:id="344795614">
      <w:bodyDiv w:val="1"/>
      <w:marLeft w:val="0"/>
      <w:marRight w:val="0"/>
      <w:marTop w:val="0"/>
      <w:marBottom w:val="0"/>
      <w:divBdr>
        <w:top w:val="none" w:sz="0" w:space="0" w:color="auto"/>
        <w:left w:val="none" w:sz="0" w:space="0" w:color="auto"/>
        <w:bottom w:val="none" w:sz="0" w:space="0" w:color="auto"/>
        <w:right w:val="none" w:sz="0" w:space="0" w:color="auto"/>
      </w:divBdr>
    </w:div>
    <w:div w:id="345131548">
      <w:bodyDiv w:val="1"/>
      <w:marLeft w:val="0"/>
      <w:marRight w:val="0"/>
      <w:marTop w:val="0"/>
      <w:marBottom w:val="0"/>
      <w:divBdr>
        <w:top w:val="none" w:sz="0" w:space="0" w:color="auto"/>
        <w:left w:val="none" w:sz="0" w:space="0" w:color="auto"/>
        <w:bottom w:val="none" w:sz="0" w:space="0" w:color="auto"/>
        <w:right w:val="none" w:sz="0" w:space="0" w:color="auto"/>
      </w:divBdr>
    </w:div>
    <w:div w:id="345255821">
      <w:bodyDiv w:val="1"/>
      <w:marLeft w:val="0"/>
      <w:marRight w:val="0"/>
      <w:marTop w:val="0"/>
      <w:marBottom w:val="0"/>
      <w:divBdr>
        <w:top w:val="none" w:sz="0" w:space="0" w:color="auto"/>
        <w:left w:val="none" w:sz="0" w:space="0" w:color="auto"/>
        <w:bottom w:val="none" w:sz="0" w:space="0" w:color="auto"/>
        <w:right w:val="none" w:sz="0" w:space="0" w:color="auto"/>
      </w:divBdr>
    </w:div>
    <w:div w:id="345520811">
      <w:bodyDiv w:val="1"/>
      <w:marLeft w:val="0"/>
      <w:marRight w:val="0"/>
      <w:marTop w:val="0"/>
      <w:marBottom w:val="0"/>
      <w:divBdr>
        <w:top w:val="none" w:sz="0" w:space="0" w:color="auto"/>
        <w:left w:val="none" w:sz="0" w:space="0" w:color="auto"/>
        <w:bottom w:val="none" w:sz="0" w:space="0" w:color="auto"/>
        <w:right w:val="none" w:sz="0" w:space="0" w:color="auto"/>
      </w:divBdr>
    </w:div>
    <w:div w:id="345907993">
      <w:bodyDiv w:val="1"/>
      <w:marLeft w:val="0"/>
      <w:marRight w:val="0"/>
      <w:marTop w:val="0"/>
      <w:marBottom w:val="0"/>
      <w:divBdr>
        <w:top w:val="none" w:sz="0" w:space="0" w:color="auto"/>
        <w:left w:val="none" w:sz="0" w:space="0" w:color="auto"/>
        <w:bottom w:val="none" w:sz="0" w:space="0" w:color="auto"/>
        <w:right w:val="none" w:sz="0" w:space="0" w:color="auto"/>
      </w:divBdr>
    </w:div>
    <w:div w:id="346323581">
      <w:bodyDiv w:val="1"/>
      <w:marLeft w:val="0"/>
      <w:marRight w:val="0"/>
      <w:marTop w:val="0"/>
      <w:marBottom w:val="0"/>
      <w:divBdr>
        <w:top w:val="none" w:sz="0" w:space="0" w:color="auto"/>
        <w:left w:val="none" w:sz="0" w:space="0" w:color="auto"/>
        <w:bottom w:val="none" w:sz="0" w:space="0" w:color="auto"/>
        <w:right w:val="none" w:sz="0" w:space="0" w:color="auto"/>
      </w:divBdr>
    </w:div>
    <w:div w:id="346442568">
      <w:bodyDiv w:val="1"/>
      <w:marLeft w:val="0"/>
      <w:marRight w:val="0"/>
      <w:marTop w:val="0"/>
      <w:marBottom w:val="0"/>
      <w:divBdr>
        <w:top w:val="none" w:sz="0" w:space="0" w:color="auto"/>
        <w:left w:val="none" w:sz="0" w:space="0" w:color="auto"/>
        <w:bottom w:val="none" w:sz="0" w:space="0" w:color="auto"/>
        <w:right w:val="none" w:sz="0" w:space="0" w:color="auto"/>
      </w:divBdr>
    </w:div>
    <w:div w:id="347105880">
      <w:bodyDiv w:val="1"/>
      <w:marLeft w:val="0"/>
      <w:marRight w:val="0"/>
      <w:marTop w:val="0"/>
      <w:marBottom w:val="0"/>
      <w:divBdr>
        <w:top w:val="none" w:sz="0" w:space="0" w:color="auto"/>
        <w:left w:val="none" w:sz="0" w:space="0" w:color="auto"/>
        <w:bottom w:val="none" w:sz="0" w:space="0" w:color="auto"/>
        <w:right w:val="none" w:sz="0" w:space="0" w:color="auto"/>
      </w:divBdr>
    </w:div>
    <w:div w:id="347372012">
      <w:bodyDiv w:val="1"/>
      <w:marLeft w:val="0"/>
      <w:marRight w:val="0"/>
      <w:marTop w:val="0"/>
      <w:marBottom w:val="0"/>
      <w:divBdr>
        <w:top w:val="none" w:sz="0" w:space="0" w:color="auto"/>
        <w:left w:val="none" w:sz="0" w:space="0" w:color="auto"/>
        <w:bottom w:val="none" w:sz="0" w:space="0" w:color="auto"/>
        <w:right w:val="none" w:sz="0" w:space="0" w:color="auto"/>
      </w:divBdr>
    </w:div>
    <w:div w:id="347605069">
      <w:bodyDiv w:val="1"/>
      <w:marLeft w:val="0"/>
      <w:marRight w:val="0"/>
      <w:marTop w:val="0"/>
      <w:marBottom w:val="0"/>
      <w:divBdr>
        <w:top w:val="none" w:sz="0" w:space="0" w:color="auto"/>
        <w:left w:val="none" w:sz="0" w:space="0" w:color="auto"/>
        <w:bottom w:val="none" w:sz="0" w:space="0" w:color="auto"/>
        <w:right w:val="none" w:sz="0" w:space="0" w:color="auto"/>
      </w:divBdr>
    </w:div>
    <w:div w:id="347605148">
      <w:bodyDiv w:val="1"/>
      <w:marLeft w:val="0"/>
      <w:marRight w:val="0"/>
      <w:marTop w:val="0"/>
      <w:marBottom w:val="0"/>
      <w:divBdr>
        <w:top w:val="none" w:sz="0" w:space="0" w:color="auto"/>
        <w:left w:val="none" w:sz="0" w:space="0" w:color="auto"/>
        <w:bottom w:val="none" w:sz="0" w:space="0" w:color="auto"/>
        <w:right w:val="none" w:sz="0" w:space="0" w:color="auto"/>
      </w:divBdr>
    </w:div>
    <w:div w:id="347610698">
      <w:bodyDiv w:val="1"/>
      <w:marLeft w:val="0"/>
      <w:marRight w:val="0"/>
      <w:marTop w:val="0"/>
      <w:marBottom w:val="0"/>
      <w:divBdr>
        <w:top w:val="none" w:sz="0" w:space="0" w:color="auto"/>
        <w:left w:val="none" w:sz="0" w:space="0" w:color="auto"/>
        <w:bottom w:val="none" w:sz="0" w:space="0" w:color="auto"/>
        <w:right w:val="none" w:sz="0" w:space="0" w:color="auto"/>
      </w:divBdr>
    </w:div>
    <w:div w:id="350453668">
      <w:bodyDiv w:val="1"/>
      <w:marLeft w:val="0"/>
      <w:marRight w:val="0"/>
      <w:marTop w:val="0"/>
      <w:marBottom w:val="0"/>
      <w:divBdr>
        <w:top w:val="none" w:sz="0" w:space="0" w:color="auto"/>
        <w:left w:val="none" w:sz="0" w:space="0" w:color="auto"/>
        <w:bottom w:val="none" w:sz="0" w:space="0" w:color="auto"/>
        <w:right w:val="none" w:sz="0" w:space="0" w:color="auto"/>
      </w:divBdr>
    </w:div>
    <w:div w:id="350760445">
      <w:bodyDiv w:val="1"/>
      <w:marLeft w:val="0"/>
      <w:marRight w:val="0"/>
      <w:marTop w:val="0"/>
      <w:marBottom w:val="0"/>
      <w:divBdr>
        <w:top w:val="none" w:sz="0" w:space="0" w:color="auto"/>
        <w:left w:val="none" w:sz="0" w:space="0" w:color="auto"/>
        <w:bottom w:val="none" w:sz="0" w:space="0" w:color="auto"/>
        <w:right w:val="none" w:sz="0" w:space="0" w:color="auto"/>
      </w:divBdr>
    </w:div>
    <w:div w:id="351537457">
      <w:bodyDiv w:val="1"/>
      <w:marLeft w:val="0"/>
      <w:marRight w:val="0"/>
      <w:marTop w:val="0"/>
      <w:marBottom w:val="0"/>
      <w:divBdr>
        <w:top w:val="none" w:sz="0" w:space="0" w:color="auto"/>
        <w:left w:val="none" w:sz="0" w:space="0" w:color="auto"/>
        <w:bottom w:val="none" w:sz="0" w:space="0" w:color="auto"/>
        <w:right w:val="none" w:sz="0" w:space="0" w:color="auto"/>
      </w:divBdr>
    </w:div>
    <w:div w:id="351734130">
      <w:bodyDiv w:val="1"/>
      <w:marLeft w:val="0"/>
      <w:marRight w:val="0"/>
      <w:marTop w:val="0"/>
      <w:marBottom w:val="0"/>
      <w:divBdr>
        <w:top w:val="none" w:sz="0" w:space="0" w:color="auto"/>
        <w:left w:val="none" w:sz="0" w:space="0" w:color="auto"/>
        <w:bottom w:val="none" w:sz="0" w:space="0" w:color="auto"/>
        <w:right w:val="none" w:sz="0" w:space="0" w:color="auto"/>
      </w:divBdr>
    </w:div>
    <w:div w:id="352927930">
      <w:bodyDiv w:val="1"/>
      <w:marLeft w:val="0"/>
      <w:marRight w:val="0"/>
      <w:marTop w:val="0"/>
      <w:marBottom w:val="0"/>
      <w:divBdr>
        <w:top w:val="none" w:sz="0" w:space="0" w:color="auto"/>
        <w:left w:val="none" w:sz="0" w:space="0" w:color="auto"/>
        <w:bottom w:val="none" w:sz="0" w:space="0" w:color="auto"/>
        <w:right w:val="none" w:sz="0" w:space="0" w:color="auto"/>
      </w:divBdr>
    </w:div>
    <w:div w:id="353074999">
      <w:bodyDiv w:val="1"/>
      <w:marLeft w:val="0"/>
      <w:marRight w:val="0"/>
      <w:marTop w:val="0"/>
      <w:marBottom w:val="0"/>
      <w:divBdr>
        <w:top w:val="none" w:sz="0" w:space="0" w:color="auto"/>
        <w:left w:val="none" w:sz="0" w:space="0" w:color="auto"/>
        <w:bottom w:val="none" w:sz="0" w:space="0" w:color="auto"/>
        <w:right w:val="none" w:sz="0" w:space="0" w:color="auto"/>
      </w:divBdr>
    </w:div>
    <w:div w:id="353460498">
      <w:bodyDiv w:val="1"/>
      <w:marLeft w:val="0"/>
      <w:marRight w:val="0"/>
      <w:marTop w:val="0"/>
      <w:marBottom w:val="0"/>
      <w:divBdr>
        <w:top w:val="none" w:sz="0" w:space="0" w:color="auto"/>
        <w:left w:val="none" w:sz="0" w:space="0" w:color="auto"/>
        <w:bottom w:val="none" w:sz="0" w:space="0" w:color="auto"/>
        <w:right w:val="none" w:sz="0" w:space="0" w:color="auto"/>
      </w:divBdr>
    </w:div>
    <w:div w:id="353501540">
      <w:bodyDiv w:val="1"/>
      <w:marLeft w:val="0"/>
      <w:marRight w:val="0"/>
      <w:marTop w:val="0"/>
      <w:marBottom w:val="0"/>
      <w:divBdr>
        <w:top w:val="none" w:sz="0" w:space="0" w:color="auto"/>
        <w:left w:val="none" w:sz="0" w:space="0" w:color="auto"/>
        <w:bottom w:val="none" w:sz="0" w:space="0" w:color="auto"/>
        <w:right w:val="none" w:sz="0" w:space="0" w:color="auto"/>
      </w:divBdr>
    </w:div>
    <w:div w:id="353649404">
      <w:bodyDiv w:val="1"/>
      <w:marLeft w:val="0"/>
      <w:marRight w:val="0"/>
      <w:marTop w:val="0"/>
      <w:marBottom w:val="0"/>
      <w:divBdr>
        <w:top w:val="none" w:sz="0" w:space="0" w:color="auto"/>
        <w:left w:val="none" w:sz="0" w:space="0" w:color="auto"/>
        <w:bottom w:val="none" w:sz="0" w:space="0" w:color="auto"/>
        <w:right w:val="none" w:sz="0" w:space="0" w:color="auto"/>
      </w:divBdr>
    </w:div>
    <w:div w:id="354501698">
      <w:bodyDiv w:val="1"/>
      <w:marLeft w:val="0"/>
      <w:marRight w:val="0"/>
      <w:marTop w:val="0"/>
      <w:marBottom w:val="0"/>
      <w:divBdr>
        <w:top w:val="none" w:sz="0" w:space="0" w:color="auto"/>
        <w:left w:val="none" w:sz="0" w:space="0" w:color="auto"/>
        <w:bottom w:val="none" w:sz="0" w:space="0" w:color="auto"/>
        <w:right w:val="none" w:sz="0" w:space="0" w:color="auto"/>
      </w:divBdr>
    </w:div>
    <w:div w:id="355230309">
      <w:bodyDiv w:val="1"/>
      <w:marLeft w:val="0"/>
      <w:marRight w:val="0"/>
      <w:marTop w:val="0"/>
      <w:marBottom w:val="0"/>
      <w:divBdr>
        <w:top w:val="none" w:sz="0" w:space="0" w:color="auto"/>
        <w:left w:val="none" w:sz="0" w:space="0" w:color="auto"/>
        <w:bottom w:val="none" w:sz="0" w:space="0" w:color="auto"/>
        <w:right w:val="none" w:sz="0" w:space="0" w:color="auto"/>
      </w:divBdr>
    </w:div>
    <w:div w:id="355232569">
      <w:bodyDiv w:val="1"/>
      <w:marLeft w:val="0"/>
      <w:marRight w:val="0"/>
      <w:marTop w:val="0"/>
      <w:marBottom w:val="0"/>
      <w:divBdr>
        <w:top w:val="none" w:sz="0" w:space="0" w:color="auto"/>
        <w:left w:val="none" w:sz="0" w:space="0" w:color="auto"/>
        <w:bottom w:val="none" w:sz="0" w:space="0" w:color="auto"/>
        <w:right w:val="none" w:sz="0" w:space="0" w:color="auto"/>
      </w:divBdr>
    </w:div>
    <w:div w:id="356200904">
      <w:bodyDiv w:val="1"/>
      <w:marLeft w:val="0"/>
      <w:marRight w:val="0"/>
      <w:marTop w:val="0"/>
      <w:marBottom w:val="0"/>
      <w:divBdr>
        <w:top w:val="none" w:sz="0" w:space="0" w:color="auto"/>
        <w:left w:val="none" w:sz="0" w:space="0" w:color="auto"/>
        <w:bottom w:val="none" w:sz="0" w:space="0" w:color="auto"/>
        <w:right w:val="none" w:sz="0" w:space="0" w:color="auto"/>
      </w:divBdr>
    </w:div>
    <w:div w:id="356349882">
      <w:bodyDiv w:val="1"/>
      <w:marLeft w:val="0"/>
      <w:marRight w:val="0"/>
      <w:marTop w:val="0"/>
      <w:marBottom w:val="0"/>
      <w:divBdr>
        <w:top w:val="none" w:sz="0" w:space="0" w:color="auto"/>
        <w:left w:val="none" w:sz="0" w:space="0" w:color="auto"/>
        <w:bottom w:val="none" w:sz="0" w:space="0" w:color="auto"/>
        <w:right w:val="none" w:sz="0" w:space="0" w:color="auto"/>
      </w:divBdr>
    </w:div>
    <w:div w:id="356663770">
      <w:bodyDiv w:val="1"/>
      <w:marLeft w:val="0"/>
      <w:marRight w:val="0"/>
      <w:marTop w:val="0"/>
      <w:marBottom w:val="0"/>
      <w:divBdr>
        <w:top w:val="none" w:sz="0" w:space="0" w:color="auto"/>
        <w:left w:val="none" w:sz="0" w:space="0" w:color="auto"/>
        <w:bottom w:val="none" w:sz="0" w:space="0" w:color="auto"/>
        <w:right w:val="none" w:sz="0" w:space="0" w:color="auto"/>
      </w:divBdr>
    </w:div>
    <w:div w:id="356858441">
      <w:bodyDiv w:val="1"/>
      <w:marLeft w:val="0"/>
      <w:marRight w:val="0"/>
      <w:marTop w:val="0"/>
      <w:marBottom w:val="0"/>
      <w:divBdr>
        <w:top w:val="none" w:sz="0" w:space="0" w:color="auto"/>
        <w:left w:val="none" w:sz="0" w:space="0" w:color="auto"/>
        <w:bottom w:val="none" w:sz="0" w:space="0" w:color="auto"/>
        <w:right w:val="none" w:sz="0" w:space="0" w:color="auto"/>
      </w:divBdr>
    </w:div>
    <w:div w:id="357782074">
      <w:bodyDiv w:val="1"/>
      <w:marLeft w:val="0"/>
      <w:marRight w:val="0"/>
      <w:marTop w:val="0"/>
      <w:marBottom w:val="0"/>
      <w:divBdr>
        <w:top w:val="none" w:sz="0" w:space="0" w:color="auto"/>
        <w:left w:val="none" w:sz="0" w:space="0" w:color="auto"/>
        <w:bottom w:val="none" w:sz="0" w:space="0" w:color="auto"/>
        <w:right w:val="none" w:sz="0" w:space="0" w:color="auto"/>
      </w:divBdr>
    </w:div>
    <w:div w:id="358046184">
      <w:bodyDiv w:val="1"/>
      <w:marLeft w:val="0"/>
      <w:marRight w:val="0"/>
      <w:marTop w:val="0"/>
      <w:marBottom w:val="0"/>
      <w:divBdr>
        <w:top w:val="none" w:sz="0" w:space="0" w:color="auto"/>
        <w:left w:val="none" w:sz="0" w:space="0" w:color="auto"/>
        <w:bottom w:val="none" w:sz="0" w:space="0" w:color="auto"/>
        <w:right w:val="none" w:sz="0" w:space="0" w:color="auto"/>
      </w:divBdr>
    </w:div>
    <w:div w:id="358894349">
      <w:bodyDiv w:val="1"/>
      <w:marLeft w:val="0"/>
      <w:marRight w:val="0"/>
      <w:marTop w:val="0"/>
      <w:marBottom w:val="0"/>
      <w:divBdr>
        <w:top w:val="none" w:sz="0" w:space="0" w:color="auto"/>
        <w:left w:val="none" w:sz="0" w:space="0" w:color="auto"/>
        <w:bottom w:val="none" w:sz="0" w:space="0" w:color="auto"/>
        <w:right w:val="none" w:sz="0" w:space="0" w:color="auto"/>
      </w:divBdr>
    </w:div>
    <w:div w:id="359749580">
      <w:bodyDiv w:val="1"/>
      <w:marLeft w:val="0"/>
      <w:marRight w:val="0"/>
      <w:marTop w:val="0"/>
      <w:marBottom w:val="0"/>
      <w:divBdr>
        <w:top w:val="none" w:sz="0" w:space="0" w:color="auto"/>
        <w:left w:val="none" w:sz="0" w:space="0" w:color="auto"/>
        <w:bottom w:val="none" w:sz="0" w:space="0" w:color="auto"/>
        <w:right w:val="none" w:sz="0" w:space="0" w:color="auto"/>
      </w:divBdr>
    </w:div>
    <w:div w:id="360056319">
      <w:bodyDiv w:val="1"/>
      <w:marLeft w:val="0"/>
      <w:marRight w:val="0"/>
      <w:marTop w:val="0"/>
      <w:marBottom w:val="0"/>
      <w:divBdr>
        <w:top w:val="none" w:sz="0" w:space="0" w:color="auto"/>
        <w:left w:val="none" w:sz="0" w:space="0" w:color="auto"/>
        <w:bottom w:val="none" w:sz="0" w:space="0" w:color="auto"/>
        <w:right w:val="none" w:sz="0" w:space="0" w:color="auto"/>
      </w:divBdr>
    </w:div>
    <w:div w:id="360129596">
      <w:bodyDiv w:val="1"/>
      <w:marLeft w:val="0"/>
      <w:marRight w:val="0"/>
      <w:marTop w:val="0"/>
      <w:marBottom w:val="0"/>
      <w:divBdr>
        <w:top w:val="none" w:sz="0" w:space="0" w:color="auto"/>
        <w:left w:val="none" w:sz="0" w:space="0" w:color="auto"/>
        <w:bottom w:val="none" w:sz="0" w:space="0" w:color="auto"/>
        <w:right w:val="none" w:sz="0" w:space="0" w:color="auto"/>
      </w:divBdr>
    </w:div>
    <w:div w:id="360210508">
      <w:bodyDiv w:val="1"/>
      <w:marLeft w:val="0"/>
      <w:marRight w:val="0"/>
      <w:marTop w:val="0"/>
      <w:marBottom w:val="0"/>
      <w:divBdr>
        <w:top w:val="none" w:sz="0" w:space="0" w:color="auto"/>
        <w:left w:val="none" w:sz="0" w:space="0" w:color="auto"/>
        <w:bottom w:val="none" w:sz="0" w:space="0" w:color="auto"/>
        <w:right w:val="none" w:sz="0" w:space="0" w:color="auto"/>
      </w:divBdr>
    </w:div>
    <w:div w:id="361244769">
      <w:bodyDiv w:val="1"/>
      <w:marLeft w:val="0"/>
      <w:marRight w:val="0"/>
      <w:marTop w:val="0"/>
      <w:marBottom w:val="0"/>
      <w:divBdr>
        <w:top w:val="none" w:sz="0" w:space="0" w:color="auto"/>
        <w:left w:val="none" w:sz="0" w:space="0" w:color="auto"/>
        <w:bottom w:val="none" w:sz="0" w:space="0" w:color="auto"/>
        <w:right w:val="none" w:sz="0" w:space="0" w:color="auto"/>
      </w:divBdr>
    </w:div>
    <w:div w:id="361562261">
      <w:bodyDiv w:val="1"/>
      <w:marLeft w:val="0"/>
      <w:marRight w:val="0"/>
      <w:marTop w:val="0"/>
      <w:marBottom w:val="0"/>
      <w:divBdr>
        <w:top w:val="none" w:sz="0" w:space="0" w:color="auto"/>
        <w:left w:val="none" w:sz="0" w:space="0" w:color="auto"/>
        <w:bottom w:val="none" w:sz="0" w:space="0" w:color="auto"/>
        <w:right w:val="none" w:sz="0" w:space="0" w:color="auto"/>
      </w:divBdr>
    </w:div>
    <w:div w:id="361786479">
      <w:bodyDiv w:val="1"/>
      <w:marLeft w:val="0"/>
      <w:marRight w:val="0"/>
      <w:marTop w:val="0"/>
      <w:marBottom w:val="0"/>
      <w:divBdr>
        <w:top w:val="none" w:sz="0" w:space="0" w:color="auto"/>
        <w:left w:val="none" w:sz="0" w:space="0" w:color="auto"/>
        <w:bottom w:val="none" w:sz="0" w:space="0" w:color="auto"/>
        <w:right w:val="none" w:sz="0" w:space="0" w:color="auto"/>
      </w:divBdr>
    </w:div>
    <w:div w:id="361975005">
      <w:bodyDiv w:val="1"/>
      <w:marLeft w:val="0"/>
      <w:marRight w:val="0"/>
      <w:marTop w:val="0"/>
      <w:marBottom w:val="0"/>
      <w:divBdr>
        <w:top w:val="none" w:sz="0" w:space="0" w:color="auto"/>
        <w:left w:val="none" w:sz="0" w:space="0" w:color="auto"/>
        <w:bottom w:val="none" w:sz="0" w:space="0" w:color="auto"/>
        <w:right w:val="none" w:sz="0" w:space="0" w:color="auto"/>
      </w:divBdr>
    </w:div>
    <w:div w:id="362679797">
      <w:bodyDiv w:val="1"/>
      <w:marLeft w:val="0"/>
      <w:marRight w:val="0"/>
      <w:marTop w:val="0"/>
      <w:marBottom w:val="0"/>
      <w:divBdr>
        <w:top w:val="none" w:sz="0" w:space="0" w:color="auto"/>
        <w:left w:val="none" w:sz="0" w:space="0" w:color="auto"/>
        <w:bottom w:val="none" w:sz="0" w:space="0" w:color="auto"/>
        <w:right w:val="none" w:sz="0" w:space="0" w:color="auto"/>
      </w:divBdr>
    </w:div>
    <w:div w:id="363142808">
      <w:bodyDiv w:val="1"/>
      <w:marLeft w:val="0"/>
      <w:marRight w:val="0"/>
      <w:marTop w:val="0"/>
      <w:marBottom w:val="0"/>
      <w:divBdr>
        <w:top w:val="none" w:sz="0" w:space="0" w:color="auto"/>
        <w:left w:val="none" w:sz="0" w:space="0" w:color="auto"/>
        <w:bottom w:val="none" w:sz="0" w:space="0" w:color="auto"/>
        <w:right w:val="none" w:sz="0" w:space="0" w:color="auto"/>
      </w:divBdr>
    </w:div>
    <w:div w:id="363794272">
      <w:bodyDiv w:val="1"/>
      <w:marLeft w:val="0"/>
      <w:marRight w:val="0"/>
      <w:marTop w:val="0"/>
      <w:marBottom w:val="0"/>
      <w:divBdr>
        <w:top w:val="none" w:sz="0" w:space="0" w:color="auto"/>
        <w:left w:val="none" w:sz="0" w:space="0" w:color="auto"/>
        <w:bottom w:val="none" w:sz="0" w:space="0" w:color="auto"/>
        <w:right w:val="none" w:sz="0" w:space="0" w:color="auto"/>
      </w:divBdr>
    </w:div>
    <w:div w:id="363987259">
      <w:bodyDiv w:val="1"/>
      <w:marLeft w:val="0"/>
      <w:marRight w:val="0"/>
      <w:marTop w:val="0"/>
      <w:marBottom w:val="0"/>
      <w:divBdr>
        <w:top w:val="none" w:sz="0" w:space="0" w:color="auto"/>
        <w:left w:val="none" w:sz="0" w:space="0" w:color="auto"/>
        <w:bottom w:val="none" w:sz="0" w:space="0" w:color="auto"/>
        <w:right w:val="none" w:sz="0" w:space="0" w:color="auto"/>
      </w:divBdr>
    </w:div>
    <w:div w:id="364448800">
      <w:bodyDiv w:val="1"/>
      <w:marLeft w:val="0"/>
      <w:marRight w:val="0"/>
      <w:marTop w:val="0"/>
      <w:marBottom w:val="0"/>
      <w:divBdr>
        <w:top w:val="none" w:sz="0" w:space="0" w:color="auto"/>
        <w:left w:val="none" w:sz="0" w:space="0" w:color="auto"/>
        <w:bottom w:val="none" w:sz="0" w:space="0" w:color="auto"/>
        <w:right w:val="none" w:sz="0" w:space="0" w:color="auto"/>
      </w:divBdr>
    </w:div>
    <w:div w:id="364598171">
      <w:bodyDiv w:val="1"/>
      <w:marLeft w:val="0"/>
      <w:marRight w:val="0"/>
      <w:marTop w:val="0"/>
      <w:marBottom w:val="0"/>
      <w:divBdr>
        <w:top w:val="none" w:sz="0" w:space="0" w:color="auto"/>
        <w:left w:val="none" w:sz="0" w:space="0" w:color="auto"/>
        <w:bottom w:val="none" w:sz="0" w:space="0" w:color="auto"/>
        <w:right w:val="none" w:sz="0" w:space="0" w:color="auto"/>
      </w:divBdr>
    </w:div>
    <w:div w:id="364673210">
      <w:bodyDiv w:val="1"/>
      <w:marLeft w:val="0"/>
      <w:marRight w:val="0"/>
      <w:marTop w:val="0"/>
      <w:marBottom w:val="0"/>
      <w:divBdr>
        <w:top w:val="none" w:sz="0" w:space="0" w:color="auto"/>
        <w:left w:val="none" w:sz="0" w:space="0" w:color="auto"/>
        <w:bottom w:val="none" w:sz="0" w:space="0" w:color="auto"/>
        <w:right w:val="none" w:sz="0" w:space="0" w:color="auto"/>
      </w:divBdr>
    </w:div>
    <w:div w:id="364991438">
      <w:bodyDiv w:val="1"/>
      <w:marLeft w:val="0"/>
      <w:marRight w:val="0"/>
      <w:marTop w:val="0"/>
      <w:marBottom w:val="0"/>
      <w:divBdr>
        <w:top w:val="none" w:sz="0" w:space="0" w:color="auto"/>
        <w:left w:val="none" w:sz="0" w:space="0" w:color="auto"/>
        <w:bottom w:val="none" w:sz="0" w:space="0" w:color="auto"/>
        <w:right w:val="none" w:sz="0" w:space="0" w:color="auto"/>
      </w:divBdr>
    </w:div>
    <w:div w:id="365252989">
      <w:bodyDiv w:val="1"/>
      <w:marLeft w:val="0"/>
      <w:marRight w:val="0"/>
      <w:marTop w:val="0"/>
      <w:marBottom w:val="0"/>
      <w:divBdr>
        <w:top w:val="none" w:sz="0" w:space="0" w:color="auto"/>
        <w:left w:val="none" w:sz="0" w:space="0" w:color="auto"/>
        <w:bottom w:val="none" w:sz="0" w:space="0" w:color="auto"/>
        <w:right w:val="none" w:sz="0" w:space="0" w:color="auto"/>
      </w:divBdr>
    </w:div>
    <w:div w:id="366105836">
      <w:bodyDiv w:val="1"/>
      <w:marLeft w:val="0"/>
      <w:marRight w:val="0"/>
      <w:marTop w:val="0"/>
      <w:marBottom w:val="0"/>
      <w:divBdr>
        <w:top w:val="none" w:sz="0" w:space="0" w:color="auto"/>
        <w:left w:val="none" w:sz="0" w:space="0" w:color="auto"/>
        <w:bottom w:val="none" w:sz="0" w:space="0" w:color="auto"/>
        <w:right w:val="none" w:sz="0" w:space="0" w:color="auto"/>
      </w:divBdr>
    </w:div>
    <w:div w:id="366612581">
      <w:bodyDiv w:val="1"/>
      <w:marLeft w:val="0"/>
      <w:marRight w:val="0"/>
      <w:marTop w:val="0"/>
      <w:marBottom w:val="0"/>
      <w:divBdr>
        <w:top w:val="none" w:sz="0" w:space="0" w:color="auto"/>
        <w:left w:val="none" w:sz="0" w:space="0" w:color="auto"/>
        <w:bottom w:val="none" w:sz="0" w:space="0" w:color="auto"/>
        <w:right w:val="none" w:sz="0" w:space="0" w:color="auto"/>
      </w:divBdr>
    </w:div>
    <w:div w:id="367413145">
      <w:bodyDiv w:val="1"/>
      <w:marLeft w:val="0"/>
      <w:marRight w:val="0"/>
      <w:marTop w:val="0"/>
      <w:marBottom w:val="0"/>
      <w:divBdr>
        <w:top w:val="none" w:sz="0" w:space="0" w:color="auto"/>
        <w:left w:val="none" w:sz="0" w:space="0" w:color="auto"/>
        <w:bottom w:val="none" w:sz="0" w:space="0" w:color="auto"/>
        <w:right w:val="none" w:sz="0" w:space="0" w:color="auto"/>
      </w:divBdr>
    </w:div>
    <w:div w:id="367536164">
      <w:bodyDiv w:val="1"/>
      <w:marLeft w:val="0"/>
      <w:marRight w:val="0"/>
      <w:marTop w:val="0"/>
      <w:marBottom w:val="0"/>
      <w:divBdr>
        <w:top w:val="none" w:sz="0" w:space="0" w:color="auto"/>
        <w:left w:val="none" w:sz="0" w:space="0" w:color="auto"/>
        <w:bottom w:val="none" w:sz="0" w:space="0" w:color="auto"/>
        <w:right w:val="none" w:sz="0" w:space="0" w:color="auto"/>
      </w:divBdr>
    </w:div>
    <w:div w:id="367684000">
      <w:bodyDiv w:val="1"/>
      <w:marLeft w:val="0"/>
      <w:marRight w:val="0"/>
      <w:marTop w:val="0"/>
      <w:marBottom w:val="0"/>
      <w:divBdr>
        <w:top w:val="none" w:sz="0" w:space="0" w:color="auto"/>
        <w:left w:val="none" w:sz="0" w:space="0" w:color="auto"/>
        <w:bottom w:val="none" w:sz="0" w:space="0" w:color="auto"/>
        <w:right w:val="none" w:sz="0" w:space="0" w:color="auto"/>
      </w:divBdr>
    </w:div>
    <w:div w:id="367877950">
      <w:bodyDiv w:val="1"/>
      <w:marLeft w:val="0"/>
      <w:marRight w:val="0"/>
      <w:marTop w:val="0"/>
      <w:marBottom w:val="0"/>
      <w:divBdr>
        <w:top w:val="none" w:sz="0" w:space="0" w:color="auto"/>
        <w:left w:val="none" w:sz="0" w:space="0" w:color="auto"/>
        <w:bottom w:val="none" w:sz="0" w:space="0" w:color="auto"/>
        <w:right w:val="none" w:sz="0" w:space="0" w:color="auto"/>
      </w:divBdr>
    </w:div>
    <w:div w:id="368383309">
      <w:bodyDiv w:val="1"/>
      <w:marLeft w:val="0"/>
      <w:marRight w:val="0"/>
      <w:marTop w:val="0"/>
      <w:marBottom w:val="0"/>
      <w:divBdr>
        <w:top w:val="none" w:sz="0" w:space="0" w:color="auto"/>
        <w:left w:val="none" w:sz="0" w:space="0" w:color="auto"/>
        <w:bottom w:val="none" w:sz="0" w:space="0" w:color="auto"/>
        <w:right w:val="none" w:sz="0" w:space="0" w:color="auto"/>
      </w:divBdr>
    </w:div>
    <w:div w:id="368533611">
      <w:bodyDiv w:val="1"/>
      <w:marLeft w:val="0"/>
      <w:marRight w:val="0"/>
      <w:marTop w:val="0"/>
      <w:marBottom w:val="0"/>
      <w:divBdr>
        <w:top w:val="none" w:sz="0" w:space="0" w:color="auto"/>
        <w:left w:val="none" w:sz="0" w:space="0" w:color="auto"/>
        <w:bottom w:val="none" w:sz="0" w:space="0" w:color="auto"/>
        <w:right w:val="none" w:sz="0" w:space="0" w:color="auto"/>
      </w:divBdr>
    </w:div>
    <w:div w:id="368535660">
      <w:bodyDiv w:val="1"/>
      <w:marLeft w:val="0"/>
      <w:marRight w:val="0"/>
      <w:marTop w:val="0"/>
      <w:marBottom w:val="0"/>
      <w:divBdr>
        <w:top w:val="none" w:sz="0" w:space="0" w:color="auto"/>
        <w:left w:val="none" w:sz="0" w:space="0" w:color="auto"/>
        <w:bottom w:val="none" w:sz="0" w:space="0" w:color="auto"/>
        <w:right w:val="none" w:sz="0" w:space="0" w:color="auto"/>
      </w:divBdr>
    </w:div>
    <w:div w:id="368648571">
      <w:bodyDiv w:val="1"/>
      <w:marLeft w:val="0"/>
      <w:marRight w:val="0"/>
      <w:marTop w:val="0"/>
      <w:marBottom w:val="0"/>
      <w:divBdr>
        <w:top w:val="none" w:sz="0" w:space="0" w:color="auto"/>
        <w:left w:val="none" w:sz="0" w:space="0" w:color="auto"/>
        <w:bottom w:val="none" w:sz="0" w:space="0" w:color="auto"/>
        <w:right w:val="none" w:sz="0" w:space="0" w:color="auto"/>
      </w:divBdr>
    </w:div>
    <w:div w:id="370112406">
      <w:bodyDiv w:val="1"/>
      <w:marLeft w:val="0"/>
      <w:marRight w:val="0"/>
      <w:marTop w:val="0"/>
      <w:marBottom w:val="0"/>
      <w:divBdr>
        <w:top w:val="none" w:sz="0" w:space="0" w:color="auto"/>
        <w:left w:val="none" w:sz="0" w:space="0" w:color="auto"/>
        <w:bottom w:val="none" w:sz="0" w:space="0" w:color="auto"/>
        <w:right w:val="none" w:sz="0" w:space="0" w:color="auto"/>
      </w:divBdr>
    </w:div>
    <w:div w:id="370152451">
      <w:bodyDiv w:val="1"/>
      <w:marLeft w:val="0"/>
      <w:marRight w:val="0"/>
      <w:marTop w:val="0"/>
      <w:marBottom w:val="0"/>
      <w:divBdr>
        <w:top w:val="none" w:sz="0" w:space="0" w:color="auto"/>
        <w:left w:val="none" w:sz="0" w:space="0" w:color="auto"/>
        <w:bottom w:val="none" w:sz="0" w:space="0" w:color="auto"/>
        <w:right w:val="none" w:sz="0" w:space="0" w:color="auto"/>
      </w:divBdr>
    </w:div>
    <w:div w:id="370497111">
      <w:bodyDiv w:val="1"/>
      <w:marLeft w:val="0"/>
      <w:marRight w:val="0"/>
      <w:marTop w:val="0"/>
      <w:marBottom w:val="0"/>
      <w:divBdr>
        <w:top w:val="none" w:sz="0" w:space="0" w:color="auto"/>
        <w:left w:val="none" w:sz="0" w:space="0" w:color="auto"/>
        <w:bottom w:val="none" w:sz="0" w:space="0" w:color="auto"/>
        <w:right w:val="none" w:sz="0" w:space="0" w:color="auto"/>
      </w:divBdr>
    </w:div>
    <w:div w:id="370768398">
      <w:bodyDiv w:val="1"/>
      <w:marLeft w:val="0"/>
      <w:marRight w:val="0"/>
      <w:marTop w:val="0"/>
      <w:marBottom w:val="0"/>
      <w:divBdr>
        <w:top w:val="none" w:sz="0" w:space="0" w:color="auto"/>
        <w:left w:val="none" w:sz="0" w:space="0" w:color="auto"/>
        <w:bottom w:val="none" w:sz="0" w:space="0" w:color="auto"/>
        <w:right w:val="none" w:sz="0" w:space="0" w:color="auto"/>
      </w:divBdr>
    </w:div>
    <w:div w:id="371030588">
      <w:bodyDiv w:val="1"/>
      <w:marLeft w:val="0"/>
      <w:marRight w:val="0"/>
      <w:marTop w:val="0"/>
      <w:marBottom w:val="0"/>
      <w:divBdr>
        <w:top w:val="none" w:sz="0" w:space="0" w:color="auto"/>
        <w:left w:val="none" w:sz="0" w:space="0" w:color="auto"/>
        <w:bottom w:val="none" w:sz="0" w:space="0" w:color="auto"/>
        <w:right w:val="none" w:sz="0" w:space="0" w:color="auto"/>
      </w:divBdr>
    </w:div>
    <w:div w:id="371418624">
      <w:bodyDiv w:val="1"/>
      <w:marLeft w:val="0"/>
      <w:marRight w:val="0"/>
      <w:marTop w:val="0"/>
      <w:marBottom w:val="0"/>
      <w:divBdr>
        <w:top w:val="none" w:sz="0" w:space="0" w:color="auto"/>
        <w:left w:val="none" w:sz="0" w:space="0" w:color="auto"/>
        <w:bottom w:val="none" w:sz="0" w:space="0" w:color="auto"/>
        <w:right w:val="none" w:sz="0" w:space="0" w:color="auto"/>
      </w:divBdr>
    </w:div>
    <w:div w:id="372075337">
      <w:bodyDiv w:val="1"/>
      <w:marLeft w:val="0"/>
      <w:marRight w:val="0"/>
      <w:marTop w:val="0"/>
      <w:marBottom w:val="0"/>
      <w:divBdr>
        <w:top w:val="none" w:sz="0" w:space="0" w:color="auto"/>
        <w:left w:val="none" w:sz="0" w:space="0" w:color="auto"/>
        <w:bottom w:val="none" w:sz="0" w:space="0" w:color="auto"/>
        <w:right w:val="none" w:sz="0" w:space="0" w:color="auto"/>
      </w:divBdr>
    </w:div>
    <w:div w:id="372117591">
      <w:bodyDiv w:val="1"/>
      <w:marLeft w:val="0"/>
      <w:marRight w:val="0"/>
      <w:marTop w:val="0"/>
      <w:marBottom w:val="0"/>
      <w:divBdr>
        <w:top w:val="none" w:sz="0" w:space="0" w:color="auto"/>
        <w:left w:val="none" w:sz="0" w:space="0" w:color="auto"/>
        <w:bottom w:val="none" w:sz="0" w:space="0" w:color="auto"/>
        <w:right w:val="none" w:sz="0" w:space="0" w:color="auto"/>
      </w:divBdr>
    </w:div>
    <w:div w:id="372273817">
      <w:bodyDiv w:val="1"/>
      <w:marLeft w:val="0"/>
      <w:marRight w:val="0"/>
      <w:marTop w:val="0"/>
      <w:marBottom w:val="0"/>
      <w:divBdr>
        <w:top w:val="none" w:sz="0" w:space="0" w:color="auto"/>
        <w:left w:val="none" w:sz="0" w:space="0" w:color="auto"/>
        <w:bottom w:val="none" w:sz="0" w:space="0" w:color="auto"/>
        <w:right w:val="none" w:sz="0" w:space="0" w:color="auto"/>
      </w:divBdr>
    </w:div>
    <w:div w:id="372274611">
      <w:bodyDiv w:val="1"/>
      <w:marLeft w:val="0"/>
      <w:marRight w:val="0"/>
      <w:marTop w:val="0"/>
      <w:marBottom w:val="0"/>
      <w:divBdr>
        <w:top w:val="none" w:sz="0" w:space="0" w:color="auto"/>
        <w:left w:val="none" w:sz="0" w:space="0" w:color="auto"/>
        <w:bottom w:val="none" w:sz="0" w:space="0" w:color="auto"/>
        <w:right w:val="none" w:sz="0" w:space="0" w:color="auto"/>
      </w:divBdr>
    </w:div>
    <w:div w:id="372577445">
      <w:bodyDiv w:val="1"/>
      <w:marLeft w:val="0"/>
      <w:marRight w:val="0"/>
      <w:marTop w:val="0"/>
      <w:marBottom w:val="0"/>
      <w:divBdr>
        <w:top w:val="none" w:sz="0" w:space="0" w:color="auto"/>
        <w:left w:val="none" w:sz="0" w:space="0" w:color="auto"/>
        <w:bottom w:val="none" w:sz="0" w:space="0" w:color="auto"/>
        <w:right w:val="none" w:sz="0" w:space="0" w:color="auto"/>
      </w:divBdr>
    </w:div>
    <w:div w:id="373162783">
      <w:bodyDiv w:val="1"/>
      <w:marLeft w:val="0"/>
      <w:marRight w:val="0"/>
      <w:marTop w:val="0"/>
      <w:marBottom w:val="0"/>
      <w:divBdr>
        <w:top w:val="none" w:sz="0" w:space="0" w:color="auto"/>
        <w:left w:val="none" w:sz="0" w:space="0" w:color="auto"/>
        <w:bottom w:val="none" w:sz="0" w:space="0" w:color="auto"/>
        <w:right w:val="none" w:sz="0" w:space="0" w:color="auto"/>
      </w:divBdr>
    </w:div>
    <w:div w:id="373383712">
      <w:bodyDiv w:val="1"/>
      <w:marLeft w:val="0"/>
      <w:marRight w:val="0"/>
      <w:marTop w:val="0"/>
      <w:marBottom w:val="0"/>
      <w:divBdr>
        <w:top w:val="none" w:sz="0" w:space="0" w:color="auto"/>
        <w:left w:val="none" w:sz="0" w:space="0" w:color="auto"/>
        <w:bottom w:val="none" w:sz="0" w:space="0" w:color="auto"/>
        <w:right w:val="none" w:sz="0" w:space="0" w:color="auto"/>
      </w:divBdr>
    </w:div>
    <w:div w:id="373507972">
      <w:bodyDiv w:val="1"/>
      <w:marLeft w:val="0"/>
      <w:marRight w:val="0"/>
      <w:marTop w:val="0"/>
      <w:marBottom w:val="0"/>
      <w:divBdr>
        <w:top w:val="none" w:sz="0" w:space="0" w:color="auto"/>
        <w:left w:val="none" w:sz="0" w:space="0" w:color="auto"/>
        <w:bottom w:val="none" w:sz="0" w:space="0" w:color="auto"/>
        <w:right w:val="none" w:sz="0" w:space="0" w:color="auto"/>
      </w:divBdr>
    </w:div>
    <w:div w:id="373698552">
      <w:bodyDiv w:val="1"/>
      <w:marLeft w:val="0"/>
      <w:marRight w:val="0"/>
      <w:marTop w:val="0"/>
      <w:marBottom w:val="0"/>
      <w:divBdr>
        <w:top w:val="none" w:sz="0" w:space="0" w:color="auto"/>
        <w:left w:val="none" w:sz="0" w:space="0" w:color="auto"/>
        <w:bottom w:val="none" w:sz="0" w:space="0" w:color="auto"/>
        <w:right w:val="none" w:sz="0" w:space="0" w:color="auto"/>
      </w:divBdr>
    </w:div>
    <w:div w:id="373888027">
      <w:bodyDiv w:val="1"/>
      <w:marLeft w:val="0"/>
      <w:marRight w:val="0"/>
      <w:marTop w:val="0"/>
      <w:marBottom w:val="0"/>
      <w:divBdr>
        <w:top w:val="none" w:sz="0" w:space="0" w:color="auto"/>
        <w:left w:val="none" w:sz="0" w:space="0" w:color="auto"/>
        <w:bottom w:val="none" w:sz="0" w:space="0" w:color="auto"/>
        <w:right w:val="none" w:sz="0" w:space="0" w:color="auto"/>
      </w:divBdr>
    </w:div>
    <w:div w:id="374429976">
      <w:bodyDiv w:val="1"/>
      <w:marLeft w:val="0"/>
      <w:marRight w:val="0"/>
      <w:marTop w:val="0"/>
      <w:marBottom w:val="0"/>
      <w:divBdr>
        <w:top w:val="none" w:sz="0" w:space="0" w:color="auto"/>
        <w:left w:val="none" w:sz="0" w:space="0" w:color="auto"/>
        <w:bottom w:val="none" w:sz="0" w:space="0" w:color="auto"/>
        <w:right w:val="none" w:sz="0" w:space="0" w:color="auto"/>
      </w:divBdr>
    </w:div>
    <w:div w:id="374500270">
      <w:bodyDiv w:val="1"/>
      <w:marLeft w:val="0"/>
      <w:marRight w:val="0"/>
      <w:marTop w:val="0"/>
      <w:marBottom w:val="0"/>
      <w:divBdr>
        <w:top w:val="none" w:sz="0" w:space="0" w:color="auto"/>
        <w:left w:val="none" w:sz="0" w:space="0" w:color="auto"/>
        <w:bottom w:val="none" w:sz="0" w:space="0" w:color="auto"/>
        <w:right w:val="none" w:sz="0" w:space="0" w:color="auto"/>
      </w:divBdr>
    </w:div>
    <w:div w:id="375083343">
      <w:bodyDiv w:val="1"/>
      <w:marLeft w:val="0"/>
      <w:marRight w:val="0"/>
      <w:marTop w:val="0"/>
      <w:marBottom w:val="0"/>
      <w:divBdr>
        <w:top w:val="none" w:sz="0" w:space="0" w:color="auto"/>
        <w:left w:val="none" w:sz="0" w:space="0" w:color="auto"/>
        <w:bottom w:val="none" w:sz="0" w:space="0" w:color="auto"/>
        <w:right w:val="none" w:sz="0" w:space="0" w:color="auto"/>
      </w:divBdr>
    </w:div>
    <w:div w:id="375394212">
      <w:bodyDiv w:val="1"/>
      <w:marLeft w:val="0"/>
      <w:marRight w:val="0"/>
      <w:marTop w:val="0"/>
      <w:marBottom w:val="0"/>
      <w:divBdr>
        <w:top w:val="none" w:sz="0" w:space="0" w:color="auto"/>
        <w:left w:val="none" w:sz="0" w:space="0" w:color="auto"/>
        <w:bottom w:val="none" w:sz="0" w:space="0" w:color="auto"/>
        <w:right w:val="none" w:sz="0" w:space="0" w:color="auto"/>
      </w:divBdr>
    </w:div>
    <w:div w:id="375550741">
      <w:bodyDiv w:val="1"/>
      <w:marLeft w:val="0"/>
      <w:marRight w:val="0"/>
      <w:marTop w:val="0"/>
      <w:marBottom w:val="0"/>
      <w:divBdr>
        <w:top w:val="none" w:sz="0" w:space="0" w:color="auto"/>
        <w:left w:val="none" w:sz="0" w:space="0" w:color="auto"/>
        <w:bottom w:val="none" w:sz="0" w:space="0" w:color="auto"/>
        <w:right w:val="none" w:sz="0" w:space="0" w:color="auto"/>
      </w:divBdr>
    </w:div>
    <w:div w:id="375811841">
      <w:bodyDiv w:val="1"/>
      <w:marLeft w:val="0"/>
      <w:marRight w:val="0"/>
      <w:marTop w:val="0"/>
      <w:marBottom w:val="0"/>
      <w:divBdr>
        <w:top w:val="none" w:sz="0" w:space="0" w:color="auto"/>
        <w:left w:val="none" w:sz="0" w:space="0" w:color="auto"/>
        <w:bottom w:val="none" w:sz="0" w:space="0" w:color="auto"/>
        <w:right w:val="none" w:sz="0" w:space="0" w:color="auto"/>
      </w:divBdr>
    </w:div>
    <w:div w:id="377053950">
      <w:bodyDiv w:val="1"/>
      <w:marLeft w:val="0"/>
      <w:marRight w:val="0"/>
      <w:marTop w:val="0"/>
      <w:marBottom w:val="0"/>
      <w:divBdr>
        <w:top w:val="none" w:sz="0" w:space="0" w:color="auto"/>
        <w:left w:val="none" w:sz="0" w:space="0" w:color="auto"/>
        <w:bottom w:val="none" w:sz="0" w:space="0" w:color="auto"/>
        <w:right w:val="none" w:sz="0" w:space="0" w:color="auto"/>
      </w:divBdr>
    </w:div>
    <w:div w:id="377626988">
      <w:bodyDiv w:val="1"/>
      <w:marLeft w:val="0"/>
      <w:marRight w:val="0"/>
      <w:marTop w:val="0"/>
      <w:marBottom w:val="0"/>
      <w:divBdr>
        <w:top w:val="none" w:sz="0" w:space="0" w:color="auto"/>
        <w:left w:val="none" w:sz="0" w:space="0" w:color="auto"/>
        <w:bottom w:val="none" w:sz="0" w:space="0" w:color="auto"/>
        <w:right w:val="none" w:sz="0" w:space="0" w:color="auto"/>
      </w:divBdr>
    </w:div>
    <w:div w:id="377752153">
      <w:bodyDiv w:val="1"/>
      <w:marLeft w:val="0"/>
      <w:marRight w:val="0"/>
      <w:marTop w:val="0"/>
      <w:marBottom w:val="0"/>
      <w:divBdr>
        <w:top w:val="none" w:sz="0" w:space="0" w:color="auto"/>
        <w:left w:val="none" w:sz="0" w:space="0" w:color="auto"/>
        <w:bottom w:val="none" w:sz="0" w:space="0" w:color="auto"/>
        <w:right w:val="none" w:sz="0" w:space="0" w:color="auto"/>
      </w:divBdr>
    </w:div>
    <w:div w:id="378168159">
      <w:bodyDiv w:val="1"/>
      <w:marLeft w:val="0"/>
      <w:marRight w:val="0"/>
      <w:marTop w:val="0"/>
      <w:marBottom w:val="0"/>
      <w:divBdr>
        <w:top w:val="none" w:sz="0" w:space="0" w:color="auto"/>
        <w:left w:val="none" w:sz="0" w:space="0" w:color="auto"/>
        <w:bottom w:val="none" w:sz="0" w:space="0" w:color="auto"/>
        <w:right w:val="none" w:sz="0" w:space="0" w:color="auto"/>
      </w:divBdr>
    </w:div>
    <w:div w:id="378238224">
      <w:bodyDiv w:val="1"/>
      <w:marLeft w:val="0"/>
      <w:marRight w:val="0"/>
      <w:marTop w:val="0"/>
      <w:marBottom w:val="0"/>
      <w:divBdr>
        <w:top w:val="none" w:sz="0" w:space="0" w:color="auto"/>
        <w:left w:val="none" w:sz="0" w:space="0" w:color="auto"/>
        <w:bottom w:val="none" w:sz="0" w:space="0" w:color="auto"/>
        <w:right w:val="none" w:sz="0" w:space="0" w:color="auto"/>
      </w:divBdr>
    </w:div>
    <w:div w:id="378408253">
      <w:bodyDiv w:val="1"/>
      <w:marLeft w:val="0"/>
      <w:marRight w:val="0"/>
      <w:marTop w:val="0"/>
      <w:marBottom w:val="0"/>
      <w:divBdr>
        <w:top w:val="none" w:sz="0" w:space="0" w:color="auto"/>
        <w:left w:val="none" w:sz="0" w:space="0" w:color="auto"/>
        <w:bottom w:val="none" w:sz="0" w:space="0" w:color="auto"/>
        <w:right w:val="none" w:sz="0" w:space="0" w:color="auto"/>
      </w:divBdr>
    </w:div>
    <w:div w:id="378479526">
      <w:bodyDiv w:val="1"/>
      <w:marLeft w:val="0"/>
      <w:marRight w:val="0"/>
      <w:marTop w:val="0"/>
      <w:marBottom w:val="0"/>
      <w:divBdr>
        <w:top w:val="none" w:sz="0" w:space="0" w:color="auto"/>
        <w:left w:val="none" w:sz="0" w:space="0" w:color="auto"/>
        <w:bottom w:val="none" w:sz="0" w:space="0" w:color="auto"/>
        <w:right w:val="none" w:sz="0" w:space="0" w:color="auto"/>
      </w:divBdr>
    </w:div>
    <w:div w:id="378554179">
      <w:bodyDiv w:val="1"/>
      <w:marLeft w:val="0"/>
      <w:marRight w:val="0"/>
      <w:marTop w:val="0"/>
      <w:marBottom w:val="0"/>
      <w:divBdr>
        <w:top w:val="none" w:sz="0" w:space="0" w:color="auto"/>
        <w:left w:val="none" w:sz="0" w:space="0" w:color="auto"/>
        <w:bottom w:val="none" w:sz="0" w:space="0" w:color="auto"/>
        <w:right w:val="none" w:sz="0" w:space="0" w:color="auto"/>
      </w:divBdr>
    </w:div>
    <w:div w:id="379790982">
      <w:bodyDiv w:val="1"/>
      <w:marLeft w:val="0"/>
      <w:marRight w:val="0"/>
      <w:marTop w:val="0"/>
      <w:marBottom w:val="0"/>
      <w:divBdr>
        <w:top w:val="none" w:sz="0" w:space="0" w:color="auto"/>
        <w:left w:val="none" w:sz="0" w:space="0" w:color="auto"/>
        <w:bottom w:val="none" w:sz="0" w:space="0" w:color="auto"/>
        <w:right w:val="none" w:sz="0" w:space="0" w:color="auto"/>
      </w:divBdr>
    </w:div>
    <w:div w:id="379937270">
      <w:bodyDiv w:val="1"/>
      <w:marLeft w:val="0"/>
      <w:marRight w:val="0"/>
      <w:marTop w:val="0"/>
      <w:marBottom w:val="0"/>
      <w:divBdr>
        <w:top w:val="none" w:sz="0" w:space="0" w:color="auto"/>
        <w:left w:val="none" w:sz="0" w:space="0" w:color="auto"/>
        <w:bottom w:val="none" w:sz="0" w:space="0" w:color="auto"/>
        <w:right w:val="none" w:sz="0" w:space="0" w:color="auto"/>
      </w:divBdr>
    </w:div>
    <w:div w:id="380206782">
      <w:bodyDiv w:val="1"/>
      <w:marLeft w:val="0"/>
      <w:marRight w:val="0"/>
      <w:marTop w:val="0"/>
      <w:marBottom w:val="0"/>
      <w:divBdr>
        <w:top w:val="none" w:sz="0" w:space="0" w:color="auto"/>
        <w:left w:val="none" w:sz="0" w:space="0" w:color="auto"/>
        <w:bottom w:val="none" w:sz="0" w:space="0" w:color="auto"/>
        <w:right w:val="none" w:sz="0" w:space="0" w:color="auto"/>
      </w:divBdr>
    </w:div>
    <w:div w:id="380249738">
      <w:bodyDiv w:val="1"/>
      <w:marLeft w:val="0"/>
      <w:marRight w:val="0"/>
      <w:marTop w:val="0"/>
      <w:marBottom w:val="0"/>
      <w:divBdr>
        <w:top w:val="none" w:sz="0" w:space="0" w:color="auto"/>
        <w:left w:val="none" w:sz="0" w:space="0" w:color="auto"/>
        <w:bottom w:val="none" w:sz="0" w:space="0" w:color="auto"/>
        <w:right w:val="none" w:sz="0" w:space="0" w:color="auto"/>
      </w:divBdr>
    </w:div>
    <w:div w:id="380517083">
      <w:bodyDiv w:val="1"/>
      <w:marLeft w:val="0"/>
      <w:marRight w:val="0"/>
      <w:marTop w:val="0"/>
      <w:marBottom w:val="0"/>
      <w:divBdr>
        <w:top w:val="none" w:sz="0" w:space="0" w:color="auto"/>
        <w:left w:val="none" w:sz="0" w:space="0" w:color="auto"/>
        <w:bottom w:val="none" w:sz="0" w:space="0" w:color="auto"/>
        <w:right w:val="none" w:sz="0" w:space="0" w:color="auto"/>
      </w:divBdr>
    </w:div>
    <w:div w:id="380784042">
      <w:bodyDiv w:val="1"/>
      <w:marLeft w:val="0"/>
      <w:marRight w:val="0"/>
      <w:marTop w:val="0"/>
      <w:marBottom w:val="0"/>
      <w:divBdr>
        <w:top w:val="none" w:sz="0" w:space="0" w:color="auto"/>
        <w:left w:val="none" w:sz="0" w:space="0" w:color="auto"/>
        <w:bottom w:val="none" w:sz="0" w:space="0" w:color="auto"/>
        <w:right w:val="none" w:sz="0" w:space="0" w:color="auto"/>
      </w:divBdr>
    </w:div>
    <w:div w:id="380790209">
      <w:bodyDiv w:val="1"/>
      <w:marLeft w:val="0"/>
      <w:marRight w:val="0"/>
      <w:marTop w:val="0"/>
      <w:marBottom w:val="0"/>
      <w:divBdr>
        <w:top w:val="none" w:sz="0" w:space="0" w:color="auto"/>
        <w:left w:val="none" w:sz="0" w:space="0" w:color="auto"/>
        <w:bottom w:val="none" w:sz="0" w:space="0" w:color="auto"/>
        <w:right w:val="none" w:sz="0" w:space="0" w:color="auto"/>
      </w:divBdr>
    </w:div>
    <w:div w:id="381563857">
      <w:bodyDiv w:val="1"/>
      <w:marLeft w:val="0"/>
      <w:marRight w:val="0"/>
      <w:marTop w:val="0"/>
      <w:marBottom w:val="0"/>
      <w:divBdr>
        <w:top w:val="none" w:sz="0" w:space="0" w:color="auto"/>
        <w:left w:val="none" w:sz="0" w:space="0" w:color="auto"/>
        <w:bottom w:val="none" w:sz="0" w:space="0" w:color="auto"/>
        <w:right w:val="none" w:sz="0" w:space="0" w:color="auto"/>
      </w:divBdr>
    </w:div>
    <w:div w:id="381713446">
      <w:bodyDiv w:val="1"/>
      <w:marLeft w:val="0"/>
      <w:marRight w:val="0"/>
      <w:marTop w:val="0"/>
      <w:marBottom w:val="0"/>
      <w:divBdr>
        <w:top w:val="none" w:sz="0" w:space="0" w:color="auto"/>
        <w:left w:val="none" w:sz="0" w:space="0" w:color="auto"/>
        <w:bottom w:val="none" w:sz="0" w:space="0" w:color="auto"/>
        <w:right w:val="none" w:sz="0" w:space="0" w:color="auto"/>
      </w:divBdr>
    </w:div>
    <w:div w:id="381951552">
      <w:bodyDiv w:val="1"/>
      <w:marLeft w:val="0"/>
      <w:marRight w:val="0"/>
      <w:marTop w:val="0"/>
      <w:marBottom w:val="0"/>
      <w:divBdr>
        <w:top w:val="none" w:sz="0" w:space="0" w:color="auto"/>
        <w:left w:val="none" w:sz="0" w:space="0" w:color="auto"/>
        <w:bottom w:val="none" w:sz="0" w:space="0" w:color="auto"/>
        <w:right w:val="none" w:sz="0" w:space="0" w:color="auto"/>
      </w:divBdr>
    </w:div>
    <w:div w:id="383065270">
      <w:bodyDiv w:val="1"/>
      <w:marLeft w:val="0"/>
      <w:marRight w:val="0"/>
      <w:marTop w:val="0"/>
      <w:marBottom w:val="0"/>
      <w:divBdr>
        <w:top w:val="none" w:sz="0" w:space="0" w:color="auto"/>
        <w:left w:val="none" w:sz="0" w:space="0" w:color="auto"/>
        <w:bottom w:val="none" w:sz="0" w:space="0" w:color="auto"/>
        <w:right w:val="none" w:sz="0" w:space="0" w:color="auto"/>
      </w:divBdr>
    </w:div>
    <w:div w:id="383255060">
      <w:bodyDiv w:val="1"/>
      <w:marLeft w:val="0"/>
      <w:marRight w:val="0"/>
      <w:marTop w:val="0"/>
      <w:marBottom w:val="0"/>
      <w:divBdr>
        <w:top w:val="none" w:sz="0" w:space="0" w:color="auto"/>
        <w:left w:val="none" w:sz="0" w:space="0" w:color="auto"/>
        <w:bottom w:val="none" w:sz="0" w:space="0" w:color="auto"/>
        <w:right w:val="none" w:sz="0" w:space="0" w:color="auto"/>
      </w:divBdr>
    </w:div>
    <w:div w:id="383263808">
      <w:bodyDiv w:val="1"/>
      <w:marLeft w:val="0"/>
      <w:marRight w:val="0"/>
      <w:marTop w:val="0"/>
      <w:marBottom w:val="0"/>
      <w:divBdr>
        <w:top w:val="none" w:sz="0" w:space="0" w:color="auto"/>
        <w:left w:val="none" w:sz="0" w:space="0" w:color="auto"/>
        <w:bottom w:val="none" w:sz="0" w:space="0" w:color="auto"/>
        <w:right w:val="none" w:sz="0" w:space="0" w:color="auto"/>
      </w:divBdr>
    </w:div>
    <w:div w:id="383795628">
      <w:bodyDiv w:val="1"/>
      <w:marLeft w:val="0"/>
      <w:marRight w:val="0"/>
      <w:marTop w:val="0"/>
      <w:marBottom w:val="0"/>
      <w:divBdr>
        <w:top w:val="none" w:sz="0" w:space="0" w:color="auto"/>
        <w:left w:val="none" w:sz="0" w:space="0" w:color="auto"/>
        <w:bottom w:val="none" w:sz="0" w:space="0" w:color="auto"/>
        <w:right w:val="none" w:sz="0" w:space="0" w:color="auto"/>
      </w:divBdr>
    </w:div>
    <w:div w:id="384068316">
      <w:bodyDiv w:val="1"/>
      <w:marLeft w:val="0"/>
      <w:marRight w:val="0"/>
      <w:marTop w:val="0"/>
      <w:marBottom w:val="0"/>
      <w:divBdr>
        <w:top w:val="none" w:sz="0" w:space="0" w:color="auto"/>
        <w:left w:val="none" w:sz="0" w:space="0" w:color="auto"/>
        <w:bottom w:val="none" w:sz="0" w:space="0" w:color="auto"/>
        <w:right w:val="none" w:sz="0" w:space="0" w:color="auto"/>
      </w:divBdr>
    </w:div>
    <w:div w:id="384068729">
      <w:bodyDiv w:val="1"/>
      <w:marLeft w:val="0"/>
      <w:marRight w:val="0"/>
      <w:marTop w:val="0"/>
      <w:marBottom w:val="0"/>
      <w:divBdr>
        <w:top w:val="none" w:sz="0" w:space="0" w:color="auto"/>
        <w:left w:val="none" w:sz="0" w:space="0" w:color="auto"/>
        <w:bottom w:val="none" w:sz="0" w:space="0" w:color="auto"/>
        <w:right w:val="none" w:sz="0" w:space="0" w:color="auto"/>
      </w:divBdr>
    </w:div>
    <w:div w:id="384568029">
      <w:bodyDiv w:val="1"/>
      <w:marLeft w:val="0"/>
      <w:marRight w:val="0"/>
      <w:marTop w:val="0"/>
      <w:marBottom w:val="0"/>
      <w:divBdr>
        <w:top w:val="none" w:sz="0" w:space="0" w:color="auto"/>
        <w:left w:val="none" w:sz="0" w:space="0" w:color="auto"/>
        <w:bottom w:val="none" w:sz="0" w:space="0" w:color="auto"/>
        <w:right w:val="none" w:sz="0" w:space="0" w:color="auto"/>
      </w:divBdr>
    </w:div>
    <w:div w:id="384568578">
      <w:bodyDiv w:val="1"/>
      <w:marLeft w:val="0"/>
      <w:marRight w:val="0"/>
      <w:marTop w:val="0"/>
      <w:marBottom w:val="0"/>
      <w:divBdr>
        <w:top w:val="none" w:sz="0" w:space="0" w:color="auto"/>
        <w:left w:val="none" w:sz="0" w:space="0" w:color="auto"/>
        <w:bottom w:val="none" w:sz="0" w:space="0" w:color="auto"/>
        <w:right w:val="none" w:sz="0" w:space="0" w:color="auto"/>
      </w:divBdr>
    </w:div>
    <w:div w:id="385950716">
      <w:bodyDiv w:val="1"/>
      <w:marLeft w:val="0"/>
      <w:marRight w:val="0"/>
      <w:marTop w:val="0"/>
      <w:marBottom w:val="0"/>
      <w:divBdr>
        <w:top w:val="none" w:sz="0" w:space="0" w:color="auto"/>
        <w:left w:val="none" w:sz="0" w:space="0" w:color="auto"/>
        <w:bottom w:val="none" w:sz="0" w:space="0" w:color="auto"/>
        <w:right w:val="none" w:sz="0" w:space="0" w:color="auto"/>
      </w:divBdr>
    </w:div>
    <w:div w:id="386026587">
      <w:bodyDiv w:val="1"/>
      <w:marLeft w:val="0"/>
      <w:marRight w:val="0"/>
      <w:marTop w:val="0"/>
      <w:marBottom w:val="0"/>
      <w:divBdr>
        <w:top w:val="none" w:sz="0" w:space="0" w:color="auto"/>
        <w:left w:val="none" w:sz="0" w:space="0" w:color="auto"/>
        <w:bottom w:val="none" w:sz="0" w:space="0" w:color="auto"/>
        <w:right w:val="none" w:sz="0" w:space="0" w:color="auto"/>
      </w:divBdr>
    </w:div>
    <w:div w:id="386802009">
      <w:bodyDiv w:val="1"/>
      <w:marLeft w:val="0"/>
      <w:marRight w:val="0"/>
      <w:marTop w:val="0"/>
      <w:marBottom w:val="0"/>
      <w:divBdr>
        <w:top w:val="none" w:sz="0" w:space="0" w:color="auto"/>
        <w:left w:val="none" w:sz="0" w:space="0" w:color="auto"/>
        <w:bottom w:val="none" w:sz="0" w:space="0" w:color="auto"/>
        <w:right w:val="none" w:sz="0" w:space="0" w:color="auto"/>
      </w:divBdr>
    </w:div>
    <w:div w:id="387076579">
      <w:bodyDiv w:val="1"/>
      <w:marLeft w:val="0"/>
      <w:marRight w:val="0"/>
      <w:marTop w:val="0"/>
      <w:marBottom w:val="0"/>
      <w:divBdr>
        <w:top w:val="none" w:sz="0" w:space="0" w:color="auto"/>
        <w:left w:val="none" w:sz="0" w:space="0" w:color="auto"/>
        <w:bottom w:val="none" w:sz="0" w:space="0" w:color="auto"/>
        <w:right w:val="none" w:sz="0" w:space="0" w:color="auto"/>
      </w:divBdr>
    </w:div>
    <w:div w:id="387190276">
      <w:bodyDiv w:val="1"/>
      <w:marLeft w:val="0"/>
      <w:marRight w:val="0"/>
      <w:marTop w:val="0"/>
      <w:marBottom w:val="0"/>
      <w:divBdr>
        <w:top w:val="none" w:sz="0" w:space="0" w:color="auto"/>
        <w:left w:val="none" w:sz="0" w:space="0" w:color="auto"/>
        <w:bottom w:val="none" w:sz="0" w:space="0" w:color="auto"/>
        <w:right w:val="none" w:sz="0" w:space="0" w:color="auto"/>
      </w:divBdr>
    </w:div>
    <w:div w:id="387848666">
      <w:bodyDiv w:val="1"/>
      <w:marLeft w:val="0"/>
      <w:marRight w:val="0"/>
      <w:marTop w:val="0"/>
      <w:marBottom w:val="0"/>
      <w:divBdr>
        <w:top w:val="none" w:sz="0" w:space="0" w:color="auto"/>
        <w:left w:val="none" w:sz="0" w:space="0" w:color="auto"/>
        <w:bottom w:val="none" w:sz="0" w:space="0" w:color="auto"/>
        <w:right w:val="none" w:sz="0" w:space="0" w:color="auto"/>
      </w:divBdr>
    </w:div>
    <w:div w:id="388192909">
      <w:bodyDiv w:val="1"/>
      <w:marLeft w:val="0"/>
      <w:marRight w:val="0"/>
      <w:marTop w:val="0"/>
      <w:marBottom w:val="0"/>
      <w:divBdr>
        <w:top w:val="none" w:sz="0" w:space="0" w:color="auto"/>
        <w:left w:val="none" w:sz="0" w:space="0" w:color="auto"/>
        <w:bottom w:val="none" w:sz="0" w:space="0" w:color="auto"/>
        <w:right w:val="none" w:sz="0" w:space="0" w:color="auto"/>
      </w:divBdr>
    </w:div>
    <w:div w:id="388308990">
      <w:bodyDiv w:val="1"/>
      <w:marLeft w:val="0"/>
      <w:marRight w:val="0"/>
      <w:marTop w:val="0"/>
      <w:marBottom w:val="0"/>
      <w:divBdr>
        <w:top w:val="none" w:sz="0" w:space="0" w:color="auto"/>
        <w:left w:val="none" w:sz="0" w:space="0" w:color="auto"/>
        <w:bottom w:val="none" w:sz="0" w:space="0" w:color="auto"/>
        <w:right w:val="none" w:sz="0" w:space="0" w:color="auto"/>
      </w:divBdr>
    </w:div>
    <w:div w:id="388379853">
      <w:bodyDiv w:val="1"/>
      <w:marLeft w:val="0"/>
      <w:marRight w:val="0"/>
      <w:marTop w:val="0"/>
      <w:marBottom w:val="0"/>
      <w:divBdr>
        <w:top w:val="none" w:sz="0" w:space="0" w:color="auto"/>
        <w:left w:val="none" w:sz="0" w:space="0" w:color="auto"/>
        <w:bottom w:val="none" w:sz="0" w:space="0" w:color="auto"/>
        <w:right w:val="none" w:sz="0" w:space="0" w:color="auto"/>
      </w:divBdr>
    </w:div>
    <w:div w:id="388384206">
      <w:bodyDiv w:val="1"/>
      <w:marLeft w:val="0"/>
      <w:marRight w:val="0"/>
      <w:marTop w:val="0"/>
      <w:marBottom w:val="0"/>
      <w:divBdr>
        <w:top w:val="none" w:sz="0" w:space="0" w:color="auto"/>
        <w:left w:val="none" w:sz="0" w:space="0" w:color="auto"/>
        <w:bottom w:val="none" w:sz="0" w:space="0" w:color="auto"/>
        <w:right w:val="none" w:sz="0" w:space="0" w:color="auto"/>
      </w:divBdr>
    </w:div>
    <w:div w:id="389425519">
      <w:bodyDiv w:val="1"/>
      <w:marLeft w:val="0"/>
      <w:marRight w:val="0"/>
      <w:marTop w:val="0"/>
      <w:marBottom w:val="0"/>
      <w:divBdr>
        <w:top w:val="none" w:sz="0" w:space="0" w:color="auto"/>
        <w:left w:val="none" w:sz="0" w:space="0" w:color="auto"/>
        <w:bottom w:val="none" w:sz="0" w:space="0" w:color="auto"/>
        <w:right w:val="none" w:sz="0" w:space="0" w:color="auto"/>
      </w:divBdr>
    </w:div>
    <w:div w:id="389501153">
      <w:bodyDiv w:val="1"/>
      <w:marLeft w:val="0"/>
      <w:marRight w:val="0"/>
      <w:marTop w:val="0"/>
      <w:marBottom w:val="0"/>
      <w:divBdr>
        <w:top w:val="none" w:sz="0" w:space="0" w:color="auto"/>
        <w:left w:val="none" w:sz="0" w:space="0" w:color="auto"/>
        <w:bottom w:val="none" w:sz="0" w:space="0" w:color="auto"/>
        <w:right w:val="none" w:sz="0" w:space="0" w:color="auto"/>
      </w:divBdr>
    </w:div>
    <w:div w:id="389578264">
      <w:bodyDiv w:val="1"/>
      <w:marLeft w:val="0"/>
      <w:marRight w:val="0"/>
      <w:marTop w:val="0"/>
      <w:marBottom w:val="0"/>
      <w:divBdr>
        <w:top w:val="none" w:sz="0" w:space="0" w:color="auto"/>
        <w:left w:val="none" w:sz="0" w:space="0" w:color="auto"/>
        <w:bottom w:val="none" w:sz="0" w:space="0" w:color="auto"/>
        <w:right w:val="none" w:sz="0" w:space="0" w:color="auto"/>
      </w:divBdr>
    </w:div>
    <w:div w:id="389692385">
      <w:bodyDiv w:val="1"/>
      <w:marLeft w:val="0"/>
      <w:marRight w:val="0"/>
      <w:marTop w:val="0"/>
      <w:marBottom w:val="0"/>
      <w:divBdr>
        <w:top w:val="none" w:sz="0" w:space="0" w:color="auto"/>
        <w:left w:val="none" w:sz="0" w:space="0" w:color="auto"/>
        <w:bottom w:val="none" w:sz="0" w:space="0" w:color="auto"/>
        <w:right w:val="none" w:sz="0" w:space="0" w:color="auto"/>
      </w:divBdr>
    </w:div>
    <w:div w:id="390155929">
      <w:bodyDiv w:val="1"/>
      <w:marLeft w:val="0"/>
      <w:marRight w:val="0"/>
      <w:marTop w:val="0"/>
      <w:marBottom w:val="0"/>
      <w:divBdr>
        <w:top w:val="none" w:sz="0" w:space="0" w:color="auto"/>
        <w:left w:val="none" w:sz="0" w:space="0" w:color="auto"/>
        <w:bottom w:val="none" w:sz="0" w:space="0" w:color="auto"/>
        <w:right w:val="none" w:sz="0" w:space="0" w:color="auto"/>
      </w:divBdr>
    </w:div>
    <w:div w:id="390664901">
      <w:bodyDiv w:val="1"/>
      <w:marLeft w:val="0"/>
      <w:marRight w:val="0"/>
      <w:marTop w:val="0"/>
      <w:marBottom w:val="0"/>
      <w:divBdr>
        <w:top w:val="none" w:sz="0" w:space="0" w:color="auto"/>
        <w:left w:val="none" w:sz="0" w:space="0" w:color="auto"/>
        <w:bottom w:val="none" w:sz="0" w:space="0" w:color="auto"/>
        <w:right w:val="none" w:sz="0" w:space="0" w:color="auto"/>
      </w:divBdr>
    </w:div>
    <w:div w:id="391470114">
      <w:bodyDiv w:val="1"/>
      <w:marLeft w:val="0"/>
      <w:marRight w:val="0"/>
      <w:marTop w:val="0"/>
      <w:marBottom w:val="0"/>
      <w:divBdr>
        <w:top w:val="none" w:sz="0" w:space="0" w:color="auto"/>
        <w:left w:val="none" w:sz="0" w:space="0" w:color="auto"/>
        <w:bottom w:val="none" w:sz="0" w:space="0" w:color="auto"/>
        <w:right w:val="none" w:sz="0" w:space="0" w:color="auto"/>
      </w:divBdr>
    </w:div>
    <w:div w:id="391853333">
      <w:bodyDiv w:val="1"/>
      <w:marLeft w:val="0"/>
      <w:marRight w:val="0"/>
      <w:marTop w:val="0"/>
      <w:marBottom w:val="0"/>
      <w:divBdr>
        <w:top w:val="none" w:sz="0" w:space="0" w:color="auto"/>
        <w:left w:val="none" w:sz="0" w:space="0" w:color="auto"/>
        <w:bottom w:val="none" w:sz="0" w:space="0" w:color="auto"/>
        <w:right w:val="none" w:sz="0" w:space="0" w:color="auto"/>
      </w:divBdr>
    </w:div>
    <w:div w:id="391856713">
      <w:bodyDiv w:val="1"/>
      <w:marLeft w:val="0"/>
      <w:marRight w:val="0"/>
      <w:marTop w:val="0"/>
      <w:marBottom w:val="0"/>
      <w:divBdr>
        <w:top w:val="none" w:sz="0" w:space="0" w:color="auto"/>
        <w:left w:val="none" w:sz="0" w:space="0" w:color="auto"/>
        <w:bottom w:val="none" w:sz="0" w:space="0" w:color="auto"/>
        <w:right w:val="none" w:sz="0" w:space="0" w:color="auto"/>
      </w:divBdr>
    </w:div>
    <w:div w:id="392193269">
      <w:bodyDiv w:val="1"/>
      <w:marLeft w:val="0"/>
      <w:marRight w:val="0"/>
      <w:marTop w:val="0"/>
      <w:marBottom w:val="0"/>
      <w:divBdr>
        <w:top w:val="none" w:sz="0" w:space="0" w:color="auto"/>
        <w:left w:val="none" w:sz="0" w:space="0" w:color="auto"/>
        <w:bottom w:val="none" w:sz="0" w:space="0" w:color="auto"/>
        <w:right w:val="none" w:sz="0" w:space="0" w:color="auto"/>
      </w:divBdr>
    </w:div>
    <w:div w:id="392394784">
      <w:bodyDiv w:val="1"/>
      <w:marLeft w:val="0"/>
      <w:marRight w:val="0"/>
      <w:marTop w:val="0"/>
      <w:marBottom w:val="0"/>
      <w:divBdr>
        <w:top w:val="none" w:sz="0" w:space="0" w:color="auto"/>
        <w:left w:val="none" w:sz="0" w:space="0" w:color="auto"/>
        <w:bottom w:val="none" w:sz="0" w:space="0" w:color="auto"/>
        <w:right w:val="none" w:sz="0" w:space="0" w:color="auto"/>
      </w:divBdr>
    </w:div>
    <w:div w:id="392629774">
      <w:bodyDiv w:val="1"/>
      <w:marLeft w:val="0"/>
      <w:marRight w:val="0"/>
      <w:marTop w:val="0"/>
      <w:marBottom w:val="0"/>
      <w:divBdr>
        <w:top w:val="none" w:sz="0" w:space="0" w:color="auto"/>
        <w:left w:val="none" w:sz="0" w:space="0" w:color="auto"/>
        <w:bottom w:val="none" w:sz="0" w:space="0" w:color="auto"/>
        <w:right w:val="none" w:sz="0" w:space="0" w:color="auto"/>
      </w:divBdr>
    </w:div>
    <w:div w:id="393312464">
      <w:bodyDiv w:val="1"/>
      <w:marLeft w:val="0"/>
      <w:marRight w:val="0"/>
      <w:marTop w:val="0"/>
      <w:marBottom w:val="0"/>
      <w:divBdr>
        <w:top w:val="none" w:sz="0" w:space="0" w:color="auto"/>
        <w:left w:val="none" w:sz="0" w:space="0" w:color="auto"/>
        <w:bottom w:val="none" w:sz="0" w:space="0" w:color="auto"/>
        <w:right w:val="none" w:sz="0" w:space="0" w:color="auto"/>
      </w:divBdr>
    </w:div>
    <w:div w:id="393940714">
      <w:bodyDiv w:val="1"/>
      <w:marLeft w:val="0"/>
      <w:marRight w:val="0"/>
      <w:marTop w:val="0"/>
      <w:marBottom w:val="0"/>
      <w:divBdr>
        <w:top w:val="none" w:sz="0" w:space="0" w:color="auto"/>
        <w:left w:val="none" w:sz="0" w:space="0" w:color="auto"/>
        <w:bottom w:val="none" w:sz="0" w:space="0" w:color="auto"/>
        <w:right w:val="none" w:sz="0" w:space="0" w:color="auto"/>
      </w:divBdr>
    </w:div>
    <w:div w:id="394134277">
      <w:bodyDiv w:val="1"/>
      <w:marLeft w:val="0"/>
      <w:marRight w:val="0"/>
      <w:marTop w:val="0"/>
      <w:marBottom w:val="0"/>
      <w:divBdr>
        <w:top w:val="none" w:sz="0" w:space="0" w:color="auto"/>
        <w:left w:val="none" w:sz="0" w:space="0" w:color="auto"/>
        <w:bottom w:val="none" w:sz="0" w:space="0" w:color="auto"/>
        <w:right w:val="none" w:sz="0" w:space="0" w:color="auto"/>
      </w:divBdr>
    </w:div>
    <w:div w:id="394400766">
      <w:bodyDiv w:val="1"/>
      <w:marLeft w:val="0"/>
      <w:marRight w:val="0"/>
      <w:marTop w:val="0"/>
      <w:marBottom w:val="0"/>
      <w:divBdr>
        <w:top w:val="none" w:sz="0" w:space="0" w:color="auto"/>
        <w:left w:val="none" w:sz="0" w:space="0" w:color="auto"/>
        <w:bottom w:val="none" w:sz="0" w:space="0" w:color="auto"/>
        <w:right w:val="none" w:sz="0" w:space="0" w:color="auto"/>
      </w:divBdr>
    </w:div>
    <w:div w:id="394401894">
      <w:bodyDiv w:val="1"/>
      <w:marLeft w:val="0"/>
      <w:marRight w:val="0"/>
      <w:marTop w:val="0"/>
      <w:marBottom w:val="0"/>
      <w:divBdr>
        <w:top w:val="none" w:sz="0" w:space="0" w:color="auto"/>
        <w:left w:val="none" w:sz="0" w:space="0" w:color="auto"/>
        <w:bottom w:val="none" w:sz="0" w:space="0" w:color="auto"/>
        <w:right w:val="none" w:sz="0" w:space="0" w:color="auto"/>
      </w:divBdr>
    </w:div>
    <w:div w:id="394594989">
      <w:bodyDiv w:val="1"/>
      <w:marLeft w:val="0"/>
      <w:marRight w:val="0"/>
      <w:marTop w:val="0"/>
      <w:marBottom w:val="0"/>
      <w:divBdr>
        <w:top w:val="none" w:sz="0" w:space="0" w:color="auto"/>
        <w:left w:val="none" w:sz="0" w:space="0" w:color="auto"/>
        <w:bottom w:val="none" w:sz="0" w:space="0" w:color="auto"/>
        <w:right w:val="none" w:sz="0" w:space="0" w:color="auto"/>
      </w:divBdr>
    </w:div>
    <w:div w:id="395476115">
      <w:bodyDiv w:val="1"/>
      <w:marLeft w:val="0"/>
      <w:marRight w:val="0"/>
      <w:marTop w:val="0"/>
      <w:marBottom w:val="0"/>
      <w:divBdr>
        <w:top w:val="none" w:sz="0" w:space="0" w:color="auto"/>
        <w:left w:val="none" w:sz="0" w:space="0" w:color="auto"/>
        <w:bottom w:val="none" w:sz="0" w:space="0" w:color="auto"/>
        <w:right w:val="none" w:sz="0" w:space="0" w:color="auto"/>
      </w:divBdr>
    </w:div>
    <w:div w:id="395591516">
      <w:bodyDiv w:val="1"/>
      <w:marLeft w:val="0"/>
      <w:marRight w:val="0"/>
      <w:marTop w:val="0"/>
      <w:marBottom w:val="0"/>
      <w:divBdr>
        <w:top w:val="none" w:sz="0" w:space="0" w:color="auto"/>
        <w:left w:val="none" w:sz="0" w:space="0" w:color="auto"/>
        <w:bottom w:val="none" w:sz="0" w:space="0" w:color="auto"/>
        <w:right w:val="none" w:sz="0" w:space="0" w:color="auto"/>
      </w:divBdr>
    </w:div>
    <w:div w:id="396439821">
      <w:bodyDiv w:val="1"/>
      <w:marLeft w:val="0"/>
      <w:marRight w:val="0"/>
      <w:marTop w:val="0"/>
      <w:marBottom w:val="0"/>
      <w:divBdr>
        <w:top w:val="none" w:sz="0" w:space="0" w:color="auto"/>
        <w:left w:val="none" w:sz="0" w:space="0" w:color="auto"/>
        <w:bottom w:val="none" w:sz="0" w:space="0" w:color="auto"/>
        <w:right w:val="none" w:sz="0" w:space="0" w:color="auto"/>
      </w:divBdr>
    </w:div>
    <w:div w:id="396516551">
      <w:bodyDiv w:val="1"/>
      <w:marLeft w:val="0"/>
      <w:marRight w:val="0"/>
      <w:marTop w:val="0"/>
      <w:marBottom w:val="0"/>
      <w:divBdr>
        <w:top w:val="none" w:sz="0" w:space="0" w:color="auto"/>
        <w:left w:val="none" w:sz="0" w:space="0" w:color="auto"/>
        <w:bottom w:val="none" w:sz="0" w:space="0" w:color="auto"/>
        <w:right w:val="none" w:sz="0" w:space="0" w:color="auto"/>
      </w:divBdr>
    </w:div>
    <w:div w:id="397023651">
      <w:bodyDiv w:val="1"/>
      <w:marLeft w:val="0"/>
      <w:marRight w:val="0"/>
      <w:marTop w:val="0"/>
      <w:marBottom w:val="0"/>
      <w:divBdr>
        <w:top w:val="none" w:sz="0" w:space="0" w:color="auto"/>
        <w:left w:val="none" w:sz="0" w:space="0" w:color="auto"/>
        <w:bottom w:val="none" w:sz="0" w:space="0" w:color="auto"/>
        <w:right w:val="none" w:sz="0" w:space="0" w:color="auto"/>
      </w:divBdr>
    </w:div>
    <w:div w:id="398017392">
      <w:bodyDiv w:val="1"/>
      <w:marLeft w:val="0"/>
      <w:marRight w:val="0"/>
      <w:marTop w:val="0"/>
      <w:marBottom w:val="0"/>
      <w:divBdr>
        <w:top w:val="none" w:sz="0" w:space="0" w:color="auto"/>
        <w:left w:val="none" w:sz="0" w:space="0" w:color="auto"/>
        <w:bottom w:val="none" w:sz="0" w:space="0" w:color="auto"/>
        <w:right w:val="none" w:sz="0" w:space="0" w:color="auto"/>
      </w:divBdr>
    </w:div>
    <w:div w:id="398289966">
      <w:bodyDiv w:val="1"/>
      <w:marLeft w:val="0"/>
      <w:marRight w:val="0"/>
      <w:marTop w:val="0"/>
      <w:marBottom w:val="0"/>
      <w:divBdr>
        <w:top w:val="none" w:sz="0" w:space="0" w:color="auto"/>
        <w:left w:val="none" w:sz="0" w:space="0" w:color="auto"/>
        <w:bottom w:val="none" w:sz="0" w:space="0" w:color="auto"/>
        <w:right w:val="none" w:sz="0" w:space="0" w:color="auto"/>
      </w:divBdr>
    </w:div>
    <w:div w:id="398333704">
      <w:bodyDiv w:val="1"/>
      <w:marLeft w:val="0"/>
      <w:marRight w:val="0"/>
      <w:marTop w:val="0"/>
      <w:marBottom w:val="0"/>
      <w:divBdr>
        <w:top w:val="none" w:sz="0" w:space="0" w:color="auto"/>
        <w:left w:val="none" w:sz="0" w:space="0" w:color="auto"/>
        <w:bottom w:val="none" w:sz="0" w:space="0" w:color="auto"/>
        <w:right w:val="none" w:sz="0" w:space="0" w:color="auto"/>
      </w:divBdr>
    </w:div>
    <w:div w:id="399450679">
      <w:bodyDiv w:val="1"/>
      <w:marLeft w:val="0"/>
      <w:marRight w:val="0"/>
      <w:marTop w:val="0"/>
      <w:marBottom w:val="0"/>
      <w:divBdr>
        <w:top w:val="none" w:sz="0" w:space="0" w:color="auto"/>
        <w:left w:val="none" w:sz="0" w:space="0" w:color="auto"/>
        <w:bottom w:val="none" w:sz="0" w:space="0" w:color="auto"/>
        <w:right w:val="none" w:sz="0" w:space="0" w:color="auto"/>
      </w:divBdr>
    </w:div>
    <w:div w:id="399521635">
      <w:bodyDiv w:val="1"/>
      <w:marLeft w:val="0"/>
      <w:marRight w:val="0"/>
      <w:marTop w:val="0"/>
      <w:marBottom w:val="0"/>
      <w:divBdr>
        <w:top w:val="none" w:sz="0" w:space="0" w:color="auto"/>
        <w:left w:val="none" w:sz="0" w:space="0" w:color="auto"/>
        <w:bottom w:val="none" w:sz="0" w:space="0" w:color="auto"/>
        <w:right w:val="none" w:sz="0" w:space="0" w:color="auto"/>
      </w:divBdr>
    </w:div>
    <w:div w:id="399599305">
      <w:bodyDiv w:val="1"/>
      <w:marLeft w:val="0"/>
      <w:marRight w:val="0"/>
      <w:marTop w:val="0"/>
      <w:marBottom w:val="0"/>
      <w:divBdr>
        <w:top w:val="none" w:sz="0" w:space="0" w:color="auto"/>
        <w:left w:val="none" w:sz="0" w:space="0" w:color="auto"/>
        <w:bottom w:val="none" w:sz="0" w:space="0" w:color="auto"/>
        <w:right w:val="none" w:sz="0" w:space="0" w:color="auto"/>
      </w:divBdr>
    </w:div>
    <w:div w:id="400061502">
      <w:bodyDiv w:val="1"/>
      <w:marLeft w:val="0"/>
      <w:marRight w:val="0"/>
      <w:marTop w:val="0"/>
      <w:marBottom w:val="0"/>
      <w:divBdr>
        <w:top w:val="none" w:sz="0" w:space="0" w:color="auto"/>
        <w:left w:val="none" w:sz="0" w:space="0" w:color="auto"/>
        <w:bottom w:val="none" w:sz="0" w:space="0" w:color="auto"/>
        <w:right w:val="none" w:sz="0" w:space="0" w:color="auto"/>
      </w:divBdr>
    </w:div>
    <w:div w:id="400252888">
      <w:bodyDiv w:val="1"/>
      <w:marLeft w:val="0"/>
      <w:marRight w:val="0"/>
      <w:marTop w:val="0"/>
      <w:marBottom w:val="0"/>
      <w:divBdr>
        <w:top w:val="none" w:sz="0" w:space="0" w:color="auto"/>
        <w:left w:val="none" w:sz="0" w:space="0" w:color="auto"/>
        <w:bottom w:val="none" w:sz="0" w:space="0" w:color="auto"/>
        <w:right w:val="none" w:sz="0" w:space="0" w:color="auto"/>
      </w:divBdr>
    </w:div>
    <w:div w:id="400442464">
      <w:bodyDiv w:val="1"/>
      <w:marLeft w:val="0"/>
      <w:marRight w:val="0"/>
      <w:marTop w:val="0"/>
      <w:marBottom w:val="0"/>
      <w:divBdr>
        <w:top w:val="none" w:sz="0" w:space="0" w:color="auto"/>
        <w:left w:val="none" w:sz="0" w:space="0" w:color="auto"/>
        <w:bottom w:val="none" w:sz="0" w:space="0" w:color="auto"/>
        <w:right w:val="none" w:sz="0" w:space="0" w:color="auto"/>
      </w:divBdr>
    </w:div>
    <w:div w:id="400563809">
      <w:bodyDiv w:val="1"/>
      <w:marLeft w:val="0"/>
      <w:marRight w:val="0"/>
      <w:marTop w:val="0"/>
      <w:marBottom w:val="0"/>
      <w:divBdr>
        <w:top w:val="none" w:sz="0" w:space="0" w:color="auto"/>
        <w:left w:val="none" w:sz="0" w:space="0" w:color="auto"/>
        <w:bottom w:val="none" w:sz="0" w:space="0" w:color="auto"/>
        <w:right w:val="none" w:sz="0" w:space="0" w:color="auto"/>
      </w:divBdr>
    </w:div>
    <w:div w:id="400568083">
      <w:bodyDiv w:val="1"/>
      <w:marLeft w:val="0"/>
      <w:marRight w:val="0"/>
      <w:marTop w:val="0"/>
      <w:marBottom w:val="0"/>
      <w:divBdr>
        <w:top w:val="none" w:sz="0" w:space="0" w:color="auto"/>
        <w:left w:val="none" w:sz="0" w:space="0" w:color="auto"/>
        <w:bottom w:val="none" w:sz="0" w:space="0" w:color="auto"/>
        <w:right w:val="none" w:sz="0" w:space="0" w:color="auto"/>
      </w:divBdr>
    </w:div>
    <w:div w:id="400716848">
      <w:bodyDiv w:val="1"/>
      <w:marLeft w:val="0"/>
      <w:marRight w:val="0"/>
      <w:marTop w:val="0"/>
      <w:marBottom w:val="0"/>
      <w:divBdr>
        <w:top w:val="none" w:sz="0" w:space="0" w:color="auto"/>
        <w:left w:val="none" w:sz="0" w:space="0" w:color="auto"/>
        <w:bottom w:val="none" w:sz="0" w:space="0" w:color="auto"/>
        <w:right w:val="none" w:sz="0" w:space="0" w:color="auto"/>
      </w:divBdr>
    </w:div>
    <w:div w:id="401493046">
      <w:bodyDiv w:val="1"/>
      <w:marLeft w:val="0"/>
      <w:marRight w:val="0"/>
      <w:marTop w:val="0"/>
      <w:marBottom w:val="0"/>
      <w:divBdr>
        <w:top w:val="none" w:sz="0" w:space="0" w:color="auto"/>
        <w:left w:val="none" w:sz="0" w:space="0" w:color="auto"/>
        <w:bottom w:val="none" w:sz="0" w:space="0" w:color="auto"/>
        <w:right w:val="none" w:sz="0" w:space="0" w:color="auto"/>
      </w:divBdr>
    </w:div>
    <w:div w:id="401873510">
      <w:bodyDiv w:val="1"/>
      <w:marLeft w:val="0"/>
      <w:marRight w:val="0"/>
      <w:marTop w:val="0"/>
      <w:marBottom w:val="0"/>
      <w:divBdr>
        <w:top w:val="none" w:sz="0" w:space="0" w:color="auto"/>
        <w:left w:val="none" w:sz="0" w:space="0" w:color="auto"/>
        <w:bottom w:val="none" w:sz="0" w:space="0" w:color="auto"/>
        <w:right w:val="none" w:sz="0" w:space="0" w:color="auto"/>
      </w:divBdr>
    </w:div>
    <w:div w:id="402794548">
      <w:bodyDiv w:val="1"/>
      <w:marLeft w:val="0"/>
      <w:marRight w:val="0"/>
      <w:marTop w:val="0"/>
      <w:marBottom w:val="0"/>
      <w:divBdr>
        <w:top w:val="none" w:sz="0" w:space="0" w:color="auto"/>
        <w:left w:val="none" w:sz="0" w:space="0" w:color="auto"/>
        <w:bottom w:val="none" w:sz="0" w:space="0" w:color="auto"/>
        <w:right w:val="none" w:sz="0" w:space="0" w:color="auto"/>
      </w:divBdr>
    </w:div>
    <w:div w:id="402917966">
      <w:bodyDiv w:val="1"/>
      <w:marLeft w:val="0"/>
      <w:marRight w:val="0"/>
      <w:marTop w:val="0"/>
      <w:marBottom w:val="0"/>
      <w:divBdr>
        <w:top w:val="none" w:sz="0" w:space="0" w:color="auto"/>
        <w:left w:val="none" w:sz="0" w:space="0" w:color="auto"/>
        <w:bottom w:val="none" w:sz="0" w:space="0" w:color="auto"/>
        <w:right w:val="none" w:sz="0" w:space="0" w:color="auto"/>
      </w:divBdr>
    </w:div>
    <w:div w:id="403795803">
      <w:bodyDiv w:val="1"/>
      <w:marLeft w:val="0"/>
      <w:marRight w:val="0"/>
      <w:marTop w:val="0"/>
      <w:marBottom w:val="0"/>
      <w:divBdr>
        <w:top w:val="none" w:sz="0" w:space="0" w:color="auto"/>
        <w:left w:val="none" w:sz="0" w:space="0" w:color="auto"/>
        <w:bottom w:val="none" w:sz="0" w:space="0" w:color="auto"/>
        <w:right w:val="none" w:sz="0" w:space="0" w:color="auto"/>
      </w:divBdr>
    </w:div>
    <w:div w:id="404303398">
      <w:bodyDiv w:val="1"/>
      <w:marLeft w:val="0"/>
      <w:marRight w:val="0"/>
      <w:marTop w:val="0"/>
      <w:marBottom w:val="0"/>
      <w:divBdr>
        <w:top w:val="none" w:sz="0" w:space="0" w:color="auto"/>
        <w:left w:val="none" w:sz="0" w:space="0" w:color="auto"/>
        <w:bottom w:val="none" w:sz="0" w:space="0" w:color="auto"/>
        <w:right w:val="none" w:sz="0" w:space="0" w:color="auto"/>
      </w:divBdr>
    </w:div>
    <w:div w:id="404569649">
      <w:bodyDiv w:val="1"/>
      <w:marLeft w:val="0"/>
      <w:marRight w:val="0"/>
      <w:marTop w:val="0"/>
      <w:marBottom w:val="0"/>
      <w:divBdr>
        <w:top w:val="none" w:sz="0" w:space="0" w:color="auto"/>
        <w:left w:val="none" w:sz="0" w:space="0" w:color="auto"/>
        <w:bottom w:val="none" w:sz="0" w:space="0" w:color="auto"/>
        <w:right w:val="none" w:sz="0" w:space="0" w:color="auto"/>
      </w:divBdr>
    </w:div>
    <w:div w:id="404645994">
      <w:bodyDiv w:val="1"/>
      <w:marLeft w:val="0"/>
      <w:marRight w:val="0"/>
      <w:marTop w:val="0"/>
      <w:marBottom w:val="0"/>
      <w:divBdr>
        <w:top w:val="none" w:sz="0" w:space="0" w:color="auto"/>
        <w:left w:val="none" w:sz="0" w:space="0" w:color="auto"/>
        <w:bottom w:val="none" w:sz="0" w:space="0" w:color="auto"/>
        <w:right w:val="none" w:sz="0" w:space="0" w:color="auto"/>
      </w:divBdr>
    </w:div>
    <w:div w:id="404841225">
      <w:bodyDiv w:val="1"/>
      <w:marLeft w:val="0"/>
      <w:marRight w:val="0"/>
      <w:marTop w:val="0"/>
      <w:marBottom w:val="0"/>
      <w:divBdr>
        <w:top w:val="none" w:sz="0" w:space="0" w:color="auto"/>
        <w:left w:val="none" w:sz="0" w:space="0" w:color="auto"/>
        <w:bottom w:val="none" w:sz="0" w:space="0" w:color="auto"/>
        <w:right w:val="none" w:sz="0" w:space="0" w:color="auto"/>
      </w:divBdr>
    </w:div>
    <w:div w:id="405110590">
      <w:bodyDiv w:val="1"/>
      <w:marLeft w:val="0"/>
      <w:marRight w:val="0"/>
      <w:marTop w:val="0"/>
      <w:marBottom w:val="0"/>
      <w:divBdr>
        <w:top w:val="none" w:sz="0" w:space="0" w:color="auto"/>
        <w:left w:val="none" w:sz="0" w:space="0" w:color="auto"/>
        <w:bottom w:val="none" w:sz="0" w:space="0" w:color="auto"/>
        <w:right w:val="none" w:sz="0" w:space="0" w:color="auto"/>
      </w:divBdr>
    </w:div>
    <w:div w:id="405299311">
      <w:bodyDiv w:val="1"/>
      <w:marLeft w:val="0"/>
      <w:marRight w:val="0"/>
      <w:marTop w:val="0"/>
      <w:marBottom w:val="0"/>
      <w:divBdr>
        <w:top w:val="none" w:sz="0" w:space="0" w:color="auto"/>
        <w:left w:val="none" w:sz="0" w:space="0" w:color="auto"/>
        <w:bottom w:val="none" w:sz="0" w:space="0" w:color="auto"/>
        <w:right w:val="none" w:sz="0" w:space="0" w:color="auto"/>
      </w:divBdr>
    </w:div>
    <w:div w:id="405302224">
      <w:bodyDiv w:val="1"/>
      <w:marLeft w:val="0"/>
      <w:marRight w:val="0"/>
      <w:marTop w:val="0"/>
      <w:marBottom w:val="0"/>
      <w:divBdr>
        <w:top w:val="none" w:sz="0" w:space="0" w:color="auto"/>
        <w:left w:val="none" w:sz="0" w:space="0" w:color="auto"/>
        <w:bottom w:val="none" w:sz="0" w:space="0" w:color="auto"/>
        <w:right w:val="none" w:sz="0" w:space="0" w:color="auto"/>
      </w:divBdr>
    </w:div>
    <w:div w:id="405423393">
      <w:bodyDiv w:val="1"/>
      <w:marLeft w:val="0"/>
      <w:marRight w:val="0"/>
      <w:marTop w:val="0"/>
      <w:marBottom w:val="0"/>
      <w:divBdr>
        <w:top w:val="none" w:sz="0" w:space="0" w:color="auto"/>
        <w:left w:val="none" w:sz="0" w:space="0" w:color="auto"/>
        <w:bottom w:val="none" w:sz="0" w:space="0" w:color="auto"/>
        <w:right w:val="none" w:sz="0" w:space="0" w:color="auto"/>
      </w:divBdr>
    </w:div>
    <w:div w:id="405684386">
      <w:bodyDiv w:val="1"/>
      <w:marLeft w:val="0"/>
      <w:marRight w:val="0"/>
      <w:marTop w:val="0"/>
      <w:marBottom w:val="0"/>
      <w:divBdr>
        <w:top w:val="none" w:sz="0" w:space="0" w:color="auto"/>
        <w:left w:val="none" w:sz="0" w:space="0" w:color="auto"/>
        <w:bottom w:val="none" w:sz="0" w:space="0" w:color="auto"/>
        <w:right w:val="none" w:sz="0" w:space="0" w:color="auto"/>
      </w:divBdr>
    </w:div>
    <w:div w:id="406074336">
      <w:bodyDiv w:val="1"/>
      <w:marLeft w:val="0"/>
      <w:marRight w:val="0"/>
      <w:marTop w:val="0"/>
      <w:marBottom w:val="0"/>
      <w:divBdr>
        <w:top w:val="none" w:sz="0" w:space="0" w:color="auto"/>
        <w:left w:val="none" w:sz="0" w:space="0" w:color="auto"/>
        <w:bottom w:val="none" w:sz="0" w:space="0" w:color="auto"/>
        <w:right w:val="none" w:sz="0" w:space="0" w:color="auto"/>
      </w:divBdr>
    </w:div>
    <w:div w:id="406147654">
      <w:bodyDiv w:val="1"/>
      <w:marLeft w:val="0"/>
      <w:marRight w:val="0"/>
      <w:marTop w:val="0"/>
      <w:marBottom w:val="0"/>
      <w:divBdr>
        <w:top w:val="none" w:sz="0" w:space="0" w:color="auto"/>
        <w:left w:val="none" w:sz="0" w:space="0" w:color="auto"/>
        <w:bottom w:val="none" w:sz="0" w:space="0" w:color="auto"/>
        <w:right w:val="none" w:sz="0" w:space="0" w:color="auto"/>
      </w:divBdr>
    </w:div>
    <w:div w:id="406270433">
      <w:bodyDiv w:val="1"/>
      <w:marLeft w:val="0"/>
      <w:marRight w:val="0"/>
      <w:marTop w:val="0"/>
      <w:marBottom w:val="0"/>
      <w:divBdr>
        <w:top w:val="none" w:sz="0" w:space="0" w:color="auto"/>
        <w:left w:val="none" w:sz="0" w:space="0" w:color="auto"/>
        <w:bottom w:val="none" w:sz="0" w:space="0" w:color="auto"/>
        <w:right w:val="none" w:sz="0" w:space="0" w:color="auto"/>
      </w:divBdr>
    </w:div>
    <w:div w:id="406272129">
      <w:bodyDiv w:val="1"/>
      <w:marLeft w:val="0"/>
      <w:marRight w:val="0"/>
      <w:marTop w:val="0"/>
      <w:marBottom w:val="0"/>
      <w:divBdr>
        <w:top w:val="none" w:sz="0" w:space="0" w:color="auto"/>
        <w:left w:val="none" w:sz="0" w:space="0" w:color="auto"/>
        <w:bottom w:val="none" w:sz="0" w:space="0" w:color="auto"/>
        <w:right w:val="none" w:sz="0" w:space="0" w:color="auto"/>
      </w:divBdr>
    </w:div>
    <w:div w:id="407848276">
      <w:bodyDiv w:val="1"/>
      <w:marLeft w:val="0"/>
      <w:marRight w:val="0"/>
      <w:marTop w:val="0"/>
      <w:marBottom w:val="0"/>
      <w:divBdr>
        <w:top w:val="none" w:sz="0" w:space="0" w:color="auto"/>
        <w:left w:val="none" w:sz="0" w:space="0" w:color="auto"/>
        <w:bottom w:val="none" w:sz="0" w:space="0" w:color="auto"/>
        <w:right w:val="none" w:sz="0" w:space="0" w:color="auto"/>
      </w:divBdr>
    </w:div>
    <w:div w:id="407851501">
      <w:bodyDiv w:val="1"/>
      <w:marLeft w:val="0"/>
      <w:marRight w:val="0"/>
      <w:marTop w:val="0"/>
      <w:marBottom w:val="0"/>
      <w:divBdr>
        <w:top w:val="none" w:sz="0" w:space="0" w:color="auto"/>
        <w:left w:val="none" w:sz="0" w:space="0" w:color="auto"/>
        <w:bottom w:val="none" w:sz="0" w:space="0" w:color="auto"/>
        <w:right w:val="none" w:sz="0" w:space="0" w:color="auto"/>
      </w:divBdr>
    </w:div>
    <w:div w:id="407961964">
      <w:bodyDiv w:val="1"/>
      <w:marLeft w:val="0"/>
      <w:marRight w:val="0"/>
      <w:marTop w:val="0"/>
      <w:marBottom w:val="0"/>
      <w:divBdr>
        <w:top w:val="none" w:sz="0" w:space="0" w:color="auto"/>
        <w:left w:val="none" w:sz="0" w:space="0" w:color="auto"/>
        <w:bottom w:val="none" w:sz="0" w:space="0" w:color="auto"/>
        <w:right w:val="none" w:sz="0" w:space="0" w:color="auto"/>
      </w:divBdr>
    </w:div>
    <w:div w:id="408188519">
      <w:bodyDiv w:val="1"/>
      <w:marLeft w:val="0"/>
      <w:marRight w:val="0"/>
      <w:marTop w:val="0"/>
      <w:marBottom w:val="0"/>
      <w:divBdr>
        <w:top w:val="none" w:sz="0" w:space="0" w:color="auto"/>
        <w:left w:val="none" w:sz="0" w:space="0" w:color="auto"/>
        <w:bottom w:val="none" w:sz="0" w:space="0" w:color="auto"/>
        <w:right w:val="none" w:sz="0" w:space="0" w:color="auto"/>
      </w:divBdr>
    </w:div>
    <w:div w:id="408775499">
      <w:bodyDiv w:val="1"/>
      <w:marLeft w:val="0"/>
      <w:marRight w:val="0"/>
      <w:marTop w:val="0"/>
      <w:marBottom w:val="0"/>
      <w:divBdr>
        <w:top w:val="none" w:sz="0" w:space="0" w:color="auto"/>
        <w:left w:val="none" w:sz="0" w:space="0" w:color="auto"/>
        <w:bottom w:val="none" w:sz="0" w:space="0" w:color="auto"/>
        <w:right w:val="none" w:sz="0" w:space="0" w:color="auto"/>
      </w:divBdr>
    </w:div>
    <w:div w:id="408967912">
      <w:bodyDiv w:val="1"/>
      <w:marLeft w:val="0"/>
      <w:marRight w:val="0"/>
      <w:marTop w:val="0"/>
      <w:marBottom w:val="0"/>
      <w:divBdr>
        <w:top w:val="none" w:sz="0" w:space="0" w:color="auto"/>
        <w:left w:val="none" w:sz="0" w:space="0" w:color="auto"/>
        <w:bottom w:val="none" w:sz="0" w:space="0" w:color="auto"/>
        <w:right w:val="none" w:sz="0" w:space="0" w:color="auto"/>
      </w:divBdr>
    </w:div>
    <w:div w:id="409010551">
      <w:bodyDiv w:val="1"/>
      <w:marLeft w:val="0"/>
      <w:marRight w:val="0"/>
      <w:marTop w:val="0"/>
      <w:marBottom w:val="0"/>
      <w:divBdr>
        <w:top w:val="none" w:sz="0" w:space="0" w:color="auto"/>
        <w:left w:val="none" w:sz="0" w:space="0" w:color="auto"/>
        <w:bottom w:val="none" w:sz="0" w:space="0" w:color="auto"/>
        <w:right w:val="none" w:sz="0" w:space="0" w:color="auto"/>
      </w:divBdr>
    </w:div>
    <w:div w:id="409304447">
      <w:bodyDiv w:val="1"/>
      <w:marLeft w:val="0"/>
      <w:marRight w:val="0"/>
      <w:marTop w:val="0"/>
      <w:marBottom w:val="0"/>
      <w:divBdr>
        <w:top w:val="none" w:sz="0" w:space="0" w:color="auto"/>
        <w:left w:val="none" w:sz="0" w:space="0" w:color="auto"/>
        <w:bottom w:val="none" w:sz="0" w:space="0" w:color="auto"/>
        <w:right w:val="none" w:sz="0" w:space="0" w:color="auto"/>
      </w:divBdr>
    </w:div>
    <w:div w:id="409354663">
      <w:bodyDiv w:val="1"/>
      <w:marLeft w:val="0"/>
      <w:marRight w:val="0"/>
      <w:marTop w:val="0"/>
      <w:marBottom w:val="0"/>
      <w:divBdr>
        <w:top w:val="none" w:sz="0" w:space="0" w:color="auto"/>
        <w:left w:val="none" w:sz="0" w:space="0" w:color="auto"/>
        <w:bottom w:val="none" w:sz="0" w:space="0" w:color="auto"/>
        <w:right w:val="none" w:sz="0" w:space="0" w:color="auto"/>
      </w:divBdr>
    </w:div>
    <w:div w:id="409430024">
      <w:bodyDiv w:val="1"/>
      <w:marLeft w:val="0"/>
      <w:marRight w:val="0"/>
      <w:marTop w:val="0"/>
      <w:marBottom w:val="0"/>
      <w:divBdr>
        <w:top w:val="none" w:sz="0" w:space="0" w:color="auto"/>
        <w:left w:val="none" w:sz="0" w:space="0" w:color="auto"/>
        <w:bottom w:val="none" w:sz="0" w:space="0" w:color="auto"/>
        <w:right w:val="none" w:sz="0" w:space="0" w:color="auto"/>
      </w:divBdr>
    </w:div>
    <w:div w:id="409545370">
      <w:bodyDiv w:val="1"/>
      <w:marLeft w:val="0"/>
      <w:marRight w:val="0"/>
      <w:marTop w:val="0"/>
      <w:marBottom w:val="0"/>
      <w:divBdr>
        <w:top w:val="none" w:sz="0" w:space="0" w:color="auto"/>
        <w:left w:val="none" w:sz="0" w:space="0" w:color="auto"/>
        <w:bottom w:val="none" w:sz="0" w:space="0" w:color="auto"/>
        <w:right w:val="none" w:sz="0" w:space="0" w:color="auto"/>
      </w:divBdr>
    </w:div>
    <w:div w:id="409624360">
      <w:bodyDiv w:val="1"/>
      <w:marLeft w:val="0"/>
      <w:marRight w:val="0"/>
      <w:marTop w:val="0"/>
      <w:marBottom w:val="0"/>
      <w:divBdr>
        <w:top w:val="none" w:sz="0" w:space="0" w:color="auto"/>
        <w:left w:val="none" w:sz="0" w:space="0" w:color="auto"/>
        <w:bottom w:val="none" w:sz="0" w:space="0" w:color="auto"/>
        <w:right w:val="none" w:sz="0" w:space="0" w:color="auto"/>
      </w:divBdr>
    </w:div>
    <w:div w:id="409695972">
      <w:bodyDiv w:val="1"/>
      <w:marLeft w:val="0"/>
      <w:marRight w:val="0"/>
      <w:marTop w:val="0"/>
      <w:marBottom w:val="0"/>
      <w:divBdr>
        <w:top w:val="none" w:sz="0" w:space="0" w:color="auto"/>
        <w:left w:val="none" w:sz="0" w:space="0" w:color="auto"/>
        <w:bottom w:val="none" w:sz="0" w:space="0" w:color="auto"/>
        <w:right w:val="none" w:sz="0" w:space="0" w:color="auto"/>
      </w:divBdr>
    </w:div>
    <w:div w:id="409931305">
      <w:bodyDiv w:val="1"/>
      <w:marLeft w:val="0"/>
      <w:marRight w:val="0"/>
      <w:marTop w:val="0"/>
      <w:marBottom w:val="0"/>
      <w:divBdr>
        <w:top w:val="none" w:sz="0" w:space="0" w:color="auto"/>
        <w:left w:val="none" w:sz="0" w:space="0" w:color="auto"/>
        <w:bottom w:val="none" w:sz="0" w:space="0" w:color="auto"/>
        <w:right w:val="none" w:sz="0" w:space="0" w:color="auto"/>
      </w:divBdr>
    </w:div>
    <w:div w:id="410348078">
      <w:bodyDiv w:val="1"/>
      <w:marLeft w:val="0"/>
      <w:marRight w:val="0"/>
      <w:marTop w:val="0"/>
      <w:marBottom w:val="0"/>
      <w:divBdr>
        <w:top w:val="none" w:sz="0" w:space="0" w:color="auto"/>
        <w:left w:val="none" w:sz="0" w:space="0" w:color="auto"/>
        <w:bottom w:val="none" w:sz="0" w:space="0" w:color="auto"/>
        <w:right w:val="none" w:sz="0" w:space="0" w:color="auto"/>
      </w:divBdr>
    </w:div>
    <w:div w:id="410933386">
      <w:bodyDiv w:val="1"/>
      <w:marLeft w:val="0"/>
      <w:marRight w:val="0"/>
      <w:marTop w:val="0"/>
      <w:marBottom w:val="0"/>
      <w:divBdr>
        <w:top w:val="none" w:sz="0" w:space="0" w:color="auto"/>
        <w:left w:val="none" w:sz="0" w:space="0" w:color="auto"/>
        <w:bottom w:val="none" w:sz="0" w:space="0" w:color="auto"/>
        <w:right w:val="none" w:sz="0" w:space="0" w:color="auto"/>
      </w:divBdr>
    </w:div>
    <w:div w:id="410935273">
      <w:bodyDiv w:val="1"/>
      <w:marLeft w:val="0"/>
      <w:marRight w:val="0"/>
      <w:marTop w:val="0"/>
      <w:marBottom w:val="0"/>
      <w:divBdr>
        <w:top w:val="none" w:sz="0" w:space="0" w:color="auto"/>
        <w:left w:val="none" w:sz="0" w:space="0" w:color="auto"/>
        <w:bottom w:val="none" w:sz="0" w:space="0" w:color="auto"/>
        <w:right w:val="none" w:sz="0" w:space="0" w:color="auto"/>
      </w:divBdr>
    </w:div>
    <w:div w:id="411202852">
      <w:bodyDiv w:val="1"/>
      <w:marLeft w:val="0"/>
      <w:marRight w:val="0"/>
      <w:marTop w:val="0"/>
      <w:marBottom w:val="0"/>
      <w:divBdr>
        <w:top w:val="none" w:sz="0" w:space="0" w:color="auto"/>
        <w:left w:val="none" w:sz="0" w:space="0" w:color="auto"/>
        <w:bottom w:val="none" w:sz="0" w:space="0" w:color="auto"/>
        <w:right w:val="none" w:sz="0" w:space="0" w:color="auto"/>
      </w:divBdr>
    </w:div>
    <w:div w:id="411509226">
      <w:bodyDiv w:val="1"/>
      <w:marLeft w:val="0"/>
      <w:marRight w:val="0"/>
      <w:marTop w:val="0"/>
      <w:marBottom w:val="0"/>
      <w:divBdr>
        <w:top w:val="none" w:sz="0" w:space="0" w:color="auto"/>
        <w:left w:val="none" w:sz="0" w:space="0" w:color="auto"/>
        <w:bottom w:val="none" w:sz="0" w:space="0" w:color="auto"/>
        <w:right w:val="none" w:sz="0" w:space="0" w:color="auto"/>
      </w:divBdr>
    </w:div>
    <w:div w:id="411896900">
      <w:bodyDiv w:val="1"/>
      <w:marLeft w:val="0"/>
      <w:marRight w:val="0"/>
      <w:marTop w:val="0"/>
      <w:marBottom w:val="0"/>
      <w:divBdr>
        <w:top w:val="none" w:sz="0" w:space="0" w:color="auto"/>
        <w:left w:val="none" w:sz="0" w:space="0" w:color="auto"/>
        <w:bottom w:val="none" w:sz="0" w:space="0" w:color="auto"/>
        <w:right w:val="none" w:sz="0" w:space="0" w:color="auto"/>
      </w:divBdr>
    </w:div>
    <w:div w:id="412044081">
      <w:bodyDiv w:val="1"/>
      <w:marLeft w:val="0"/>
      <w:marRight w:val="0"/>
      <w:marTop w:val="0"/>
      <w:marBottom w:val="0"/>
      <w:divBdr>
        <w:top w:val="none" w:sz="0" w:space="0" w:color="auto"/>
        <w:left w:val="none" w:sz="0" w:space="0" w:color="auto"/>
        <w:bottom w:val="none" w:sz="0" w:space="0" w:color="auto"/>
        <w:right w:val="none" w:sz="0" w:space="0" w:color="auto"/>
      </w:divBdr>
    </w:div>
    <w:div w:id="412549488">
      <w:bodyDiv w:val="1"/>
      <w:marLeft w:val="0"/>
      <w:marRight w:val="0"/>
      <w:marTop w:val="0"/>
      <w:marBottom w:val="0"/>
      <w:divBdr>
        <w:top w:val="none" w:sz="0" w:space="0" w:color="auto"/>
        <w:left w:val="none" w:sz="0" w:space="0" w:color="auto"/>
        <w:bottom w:val="none" w:sz="0" w:space="0" w:color="auto"/>
        <w:right w:val="none" w:sz="0" w:space="0" w:color="auto"/>
      </w:divBdr>
    </w:div>
    <w:div w:id="413429852">
      <w:bodyDiv w:val="1"/>
      <w:marLeft w:val="0"/>
      <w:marRight w:val="0"/>
      <w:marTop w:val="0"/>
      <w:marBottom w:val="0"/>
      <w:divBdr>
        <w:top w:val="none" w:sz="0" w:space="0" w:color="auto"/>
        <w:left w:val="none" w:sz="0" w:space="0" w:color="auto"/>
        <w:bottom w:val="none" w:sz="0" w:space="0" w:color="auto"/>
        <w:right w:val="none" w:sz="0" w:space="0" w:color="auto"/>
      </w:divBdr>
    </w:div>
    <w:div w:id="413430916">
      <w:bodyDiv w:val="1"/>
      <w:marLeft w:val="0"/>
      <w:marRight w:val="0"/>
      <w:marTop w:val="0"/>
      <w:marBottom w:val="0"/>
      <w:divBdr>
        <w:top w:val="none" w:sz="0" w:space="0" w:color="auto"/>
        <w:left w:val="none" w:sz="0" w:space="0" w:color="auto"/>
        <w:bottom w:val="none" w:sz="0" w:space="0" w:color="auto"/>
        <w:right w:val="none" w:sz="0" w:space="0" w:color="auto"/>
      </w:divBdr>
    </w:div>
    <w:div w:id="413553981">
      <w:bodyDiv w:val="1"/>
      <w:marLeft w:val="0"/>
      <w:marRight w:val="0"/>
      <w:marTop w:val="0"/>
      <w:marBottom w:val="0"/>
      <w:divBdr>
        <w:top w:val="none" w:sz="0" w:space="0" w:color="auto"/>
        <w:left w:val="none" w:sz="0" w:space="0" w:color="auto"/>
        <w:bottom w:val="none" w:sz="0" w:space="0" w:color="auto"/>
        <w:right w:val="none" w:sz="0" w:space="0" w:color="auto"/>
      </w:divBdr>
    </w:div>
    <w:div w:id="413673021">
      <w:bodyDiv w:val="1"/>
      <w:marLeft w:val="0"/>
      <w:marRight w:val="0"/>
      <w:marTop w:val="0"/>
      <w:marBottom w:val="0"/>
      <w:divBdr>
        <w:top w:val="none" w:sz="0" w:space="0" w:color="auto"/>
        <w:left w:val="none" w:sz="0" w:space="0" w:color="auto"/>
        <w:bottom w:val="none" w:sz="0" w:space="0" w:color="auto"/>
        <w:right w:val="none" w:sz="0" w:space="0" w:color="auto"/>
      </w:divBdr>
    </w:div>
    <w:div w:id="414010377">
      <w:bodyDiv w:val="1"/>
      <w:marLeft w:val="0"/>
      <w:marRight w:val="0"/>
      <w:marTop w:val="0"/>
      <w:marBottom w:val="0"/>
      <w:divBdr>
        <w:top w:val="none" w:sz="0" w:space="0" w:color="auto"/>
        <w:left w:val="none" w:sz="0" w:space="0" w:color="auto"/>
        <w:bottom w:val="none" w:sz="0" w:space="0" w:color="auto"/>
        <w:right w:val="none" w:sz="0" w:space="0" w:color="auto"/>
      </w:divBdr>
    </w:div>
    <w:div w:id="414010831">
      <w:bodyDiv w:val="1"/>
      <w:marLeft w:val="0"/>
      <w:marRight w:val="0"/>
      <w:marTop w:val="0"/>
      <w:marBottom w:val="0"/>
      <w:divBdr>
        <w:top w:val="none" w:sz="0" w:space="0" w:color="auto"/>
        <w:left w:val="none" w:sz="0" w:space="0" w:color="auto"/>
        <w:bottom w:val="none" w:sz="0" w:space="0" w:color="auto"/>
        <w:right w:val="none" w:sz="0" w:space="0" w:color="auto"/>
      </w:divBdr>
    </w:div>
    <w:div w:id="414480208">
      <w:bodyDiv w:val="1"/>
      <w:marLeft w:val="0"/>
      <w:marRight w:val="0"/>
      <w:marTop w:val="0"/>
      <w:marBottom w:val="0"/>
      <w:divBdr>
        <w:top w:val="none" w:sz="0" w:space="0" w:color="auto"/>
        <w:left w:val="none" w:sz="0" w:space="0" w:color="auto"/>
        <w:bottom w:val="none" w:sz="0" w:space="0" w:color="auto"/>
        <w:right w:val="none" w:sz="0" w:space="0" w:color="auto"/>
      </w:divBdr>
    </w:div>
    <w:div w:id="415253773">
      <w:bodyDiv w:val="1"/>
      <w:marLeft w:val="0"/>
      <w:marRight w:val="0"/>
      <w:marTop w:val="0"/>
      <w:marBottom w:val="0"/>
      <w:divBdr>
        <w:top w:val="none" w:sz="0" w:space="0" w:color="auto"/>
        <w:left w:val="none" w:sz="0" w:space="0" w:color="auto"/>
        <w:bottom w:val="none" w:sz="0" w:space="0" w:color="auto"/>
        <w:right w:val="none" w:sz="0" w:space="0" w:color="auto"/>
      </w:divBdr>
    </w:div>
    <w:div w:id="415440261">
      <w:bodyDiv w:val="1"/>
      <w:marLeft w:val="0"/>
      <w:marRight w:val="0"/>
      <w:marTop w:val="0"/>
      <w:marBottom w:val="0"/>
      <w:divBdr>
        <w:top w:val="none" w:sz="0" w:space="0" w:color="auto"/>
        <w:left w:val="none" w:sz="0" w:space="0" w:color="auto"/>
        <w:bottom w:val="none" w:sz="0" w:space="0" w:color="auto"/>
        <w:right w:val="none" w:sz="0" w:space="0" w:color="auto"/>
      </w:divBdr>
    </w:div>
    <w:div w:id="415515217">
      <w:bodyDiv w:val="1"/>
      <w:marLeft w:val="0"/>
      <w:marRight w:val="0"/>
      <w:marTop w:val="0"/>
      <w:marBottom w:val="0"/>
      <w:divBdr>
        <w:top w:val="none" w:sz="0" w:space="0" w:color="auto"/>
        <w:left w:val="none" w:sz="0" w:space="0" w:color="auto"/>
        <w:bottom w:val="none" w:sz="0" w:space="0" w:color="auto"/>
        <w:right w:val="none" w:sz="0" w:space="0" w:color="auto"/>
      </w:divBdr>
    </w:div>
    <w:div w:id="415715007">
      <w:bodyDiv w:val="1"/>
      <w:marLeft w:val="0"/>
      <w:marRight w:val="0"/>
      <w:marTop w:val="0"/>
      <w:marBottom w:val="0"/>
      <w:divBdr>
        <w:top w:val="none" w:sz="0" w:space="0" w:color="auto"/>
        <w:left w:val="none" w:sz="0" w:space="0" w:color="auto"/>
        <w:bottom w:val="none" w:sz="0" w:space="0" w:color="auto"/>
        <w:right w:val="none" w:sz="0" w:space="0" w:color="auto"/>
      </w:divBdr>
    </w:div>
    <w:div w:id="416053956">
      <w:bodyDiv w:val="1"/>
      <w:marLeft w:val="0"/>
      <w:marRight w:val="0"/>
      <w:marTop w:val="0"/>
      <w:marBottom w:val="0"/>
      <w:divBdr>
        <w:top w:val="none" w:sz="0" w:space="0" w:color="auto"/>
        <w:left w:val="none" w:sz="0" w:space="0" w:color="auto"/>
        <w:bottom w:val="none" w:sz="0" w:space="0" w:color="auto"/>
        <w:right w:val="none" w:sz="0" w:space="0" w:color="auto"/>
      </w:divBdr>
    </w:div>
    <w:div w:id="416095192">
      <w:bodyDiv w:val="1"/>
      <w:marLeft w:val="0"/>
      <w:marRight w:val="0"/>
      <w:marTop w:val="0"/>
      <w:marBottom w:val="0"/>
      <w:divBdr>
        <w:top w:val="none" w:sz="0" w:space="0" w:color="auto"/>
        <w:left w:val="none" w:sz="0" w:space="0" w:color="auto"/>
        <w:bottom w:val="none" w:sz="0" w:space="0" w:color="auto"/>
        <w:right w:val="none" w:sz="0" w:space="0" w:color="auto"/>
      </w:divBdr>
    </w:div>
    <w:div w:id="416219178">
      <w:bodyDiv w:val="1"/>
      <w:marLeft w:val="0"/>
      <w:marRight w:val="0"/>
      <w:marTop w:val="0"/>
      <w:marBottom w:val="0"/>
      <w:divBdr>
        <w:top w:val="none" w:sz="0" w:space="0" w:color="auto"/>
        <w:left w:val="none" w:sz="0" w:space="0" w:color="auto"/>
        <w:bottom w:val="none" w:sz="0" w:space="0" w:color="auto"/>
        <w:right w:val="none" w:sz="0" w:space="0" w:color="auto"/>
      </w:divBdr>
    </w:div>
    <w:div w:id="416245830">
      <w:bodyDiv w:val="1"/>
      <w:marLeft w:val="0"/>
      <w:marRight w:val="0"/>
      <w:marTop w:val="0"/>
      <w:marBottom w:val="0"/>
      <w:divBdr>
        <w:top w:val="none" w:sz="0" w:space="0" w:color="auto"/>
        <w:left w:val="none" w:sz="0" w:space="0" w:color="auto"/>
        <w:bottom w:val="none" w:sz="0" w:space="0" w:color="auto"/>
        <w:right w:val="none" w:sz="0" w:space="0" w:color="auto"/>
      </w:divBdr>
    </w:div>
    <w:div w:id="416287299">
      <w:bodyDiv w:val="1"/>
      <w:marLeft w:val="0"/>
      <w:marRight w:val="0"/>
      <w:marTop w:val="0"/>
      <w:marBottom w:val="0"/>
      <w:divBdr>
        <w:top w:val="none" w:sz="0" w:space="0" w:color="auto"/>
        <w:left w:val="none" w:sz="0" w:space="0" w:color="auto"/>
        <w:bottom w:val="none" w:sz="0" w:space="0" w:color="auto"/>
        <w:right w:val="none" w:sz="0" w:space="0" w:color="auto"/>
      </w:divBdr>
    </w:div>
    <w:div w:id="416563015">
      <w:bodyDiv w:val="1"/>
      <w:marLeft w:val="0"/>
      <w:marRight w:val="0"/>
      <w:marTop w:val="0"/>
      <w:marBottom w:val="0"/>
      <w:divBdr>
        <w:top w:val="none" w:sz="0" w:space="0" w:color="auto"/>
        <w:left w:val="none" w:sz="0" w:space="0" w:color="auto"/>
        <w:bottom w:val="none" w:sz="0" w:space="0" w:color="auto"/>
        <w:right w:val="none" w:sz="0" w:space="0" w:color="auto"/>
      </w:divBdr>
    </w:div>
    <w:div w:id="416634482">
      <w:bodyDiv w:val="1"/>
      <w:marLeft w:val="0"/>
      <w:marRight w:val="0"/>
      <w:marTop w:val="0"/>
      <w:marBottom w:val="0"/>
      <w:divBdr>
        <w:top w:val="none" w:sz="0" w:space="0" w:color="auto"/>
        <w:left w:val="none" w:sz="0" w:space="0" w:color="auto"/>
        <w:bottom w:val="none" w:sz="0" w:space="0" w:color="auto"/>
        <w:right w:val="none" w:sz="0" w:space="0" w:color="auto"/>
      </w:divBdr>
    </w:div>
    <w:div w:id="416902472">
      <w:bodyDiv w:val="1"/>
      <w:marLeft w:val="0"/>
      <w:marRight w:val="0"/>
      <w:marTop w:val="0"/>
      <w:marBottom w:val="0"/>
      <w:divBdr>
        <w:top w:val="none" w:sz="0" w:space="0" w:color="auto"/>
        <w:left w:val="none" w:sz="0" w:space="0" w:color="auto"/>
        <w:bottom w:val="none" w:sz="0" w:space="0" w:color="auto"/>
        <w:right w:val="none" w:sz="0" w:space="0" w:color="auto"/>
      </w:divBdr>
    </w:div>
    <w:div w:id="417168676">
      <w:bodyDiv w:val="1"/>
      <w:marLeft w:val="0"/>
      <w:marRight w:val="0"/>
      <w:marTop w:val="0"/>
      <w:marBottom w:val="0"/>
      <w:divBdr>
        <w:top w:val="none" w:sz="0" w:space="0" w:color="auto"/>
        <w:left w:val="none" w:sz="0" w:space="0" w:color="auto"/>
        <w:bottom w:val="none" w:sz="0" w:space="0" w:color="auto"/>
        <w:right w:val="none" w:sz="0" w:space="0" w:color="auto"/>
      </w:divBdr>
    </w:div>
    <w:div w:id="417562049">
      <w:bodyDiv w:val="1"/>
      <w:marLeft w:val="0"/>
      <w:marRight w:val="0"/>
      <w:marTop w:val="0"/>
      <w:marBottom w:val="0"/>
      <w:divBdr>
        <w:top w:val="none" w:sz="0" w:space="0" w:color="auto"/>
        <w:left w:val="none" w:sz="0" w:space="0" w:color="auto"/>
        <w:bottom w:val="none" w:sz="0" w:space="0" w:color="auto"/>
        <w:right w:val="none" w:sz="0" w:space="0" w:color="auto"/>
      </w:divBdr>
    </w:div>
    <w:div w:id="417603708">
      <w:bodyDiv w:val="1"/>
      <w:marLeft w:val="0"/>
      <w:marRight w:val="0"/>
      <w:marTop w:val="0"/>
      <w:marBottom w:val="0"/>
      <w:divBdr>
        <w:top w:val="none" w:sz="0" w:space="0" w:color="auto"/>
        <w:left w:val="none" w:sz="0" w:space="0" w:color="auto"/>
        <w:bottom w:val="none" w:sz="0" w:space="0" w:color="auto"/>
        <w:right w:val="none" w:sz="0" w:space="0" w:color="auto"/>
      </w:divBdr>
    </w:div>
    <w:div w:id="417871469">
      <w:bodyDiv w:val="1"/>
      <w:marLeft w:val="0"/>
      <w:marRight w:val="0"/>
      <w:marTop w:val="0"/>
      <w:marBottom w:val="0"/>
      <w:divBdr>
        <w:top w:val="none" w:sz="0" w:space="0" w:color="auto"/>
        <w:left w:val="none" w:sz="0" w:space="0" w:color="auto"/>
        <w:bottom w:val="none" w:sz="0" w:space="0" w:color="auto"/>
        <w:right w:val="none" w:sz="0" w:space="0" w:color="auto"/>
      </w:divBdr>
    </w:div>
    <w:div w:id="418333852">
      <w:bodyDiv w:val="1"/>
      <w:marLeft w:val="0"/>
      <w:marRight w:val="0"/>
      <w:marTop w:val="0"/>
      <w:marBottom w:val="0"/>
      <w:divBdr>
        <w:top w:val="none" w:sz="0" w:space="0" w:color="auto"/>
        <w:left w:val="none" w:sz="0" w:space="0" w:color="auto"/>
        <w:bottom w:val="none" w:sz="0" w:space="0" w:color="auto"/>
        <w:right w:val="none" w:sz="0" w:space="0" w:color="auto"/>
      </w:divBdr>
    </w:div>
    <w:div w:id="418672887">
      <w:bodyDiv w:val="1"/>
      <w:marLeft w:val="0"/>
      <w:marRight w:val="0"/>
      <w:marTop w:val="0"/>
      <w:marBottom w:val="0"/>
      <w:divBdr>
        <w:top w:val="none" w:sz="0" w:space="0" w:color="auto"/>
        <w:left w:val="none" w:sz="0" w:space="0" w:color="auto"/>
        <w:bottom w:val="none" w:sz="0" w:space="0" w:color="auto"/>
        <w:right w:val="none" w:sz="0" w:space="0" w:color="auto"/>
      </w:divBdr>
    </w:div>
    <w:div w:id="419303151">
      <w:bodyDiv w:val="1"/>
      <w:marLeft w:val="0"/>
      <w:marRight w:val="0"/>
      <w:marTop w:val="0"/>
      <w:marBottom w:val="0"/>
      <w:divBdr>
        <w:top w:val="none" w:sz="0" w:space="0" w:color="auto"/>
        <w:left w:val="none" w:sz="0" w:space="0" w:color="auto"/>
        <w:bottom w:val="none" w:sz="0" w:space="0" w:color="auto"/>
        <w:right w:val="none" w:sz="0" w:space="0" w:color="auto"/>
      </w:divBdr>
    </w:div>
    <w:div w:id="419376340">
      <w:bodyDiv w:val="1"/>
      <w:marLeft w:val="0"/>
      <w:marRight w:val="0"/>
      <w:marTop w:val="0"/>
      <w:marBottom w:val="0"/>
      <w:divBdr>
        <w:top w:val="none" w:sz="0" w:space="0" w:color="auto"/>
        <w:left w:val="none" w:sz="0" w:space="0" w:color="auto"/>
        <w:bottom w:val="none" w:sz="0" w:space="0" w:color="auto"/>
        <w:right w:val="none" w:sz="0" w:space="0" w:color="auto"/>
      </w:divBdr>
    </w:div>
    <w:div w:id="419520345">
      <w:bodyDiv w:val="1"/>
      <w:marLeft w:val="0"/>
      <w:marRight w:val="0"/>
      <w:marTop w:val="0"/>
      <w:marBottom w:val="0"/>
      <w:divBdr>
        <w:top w:val="none" w:sz="0" w:space="0" w:color="auto"/>
        <w:left w:val="none" w:sz="0" w:space="0" w:color="auto"/>
        <w:bottom w:val="none" w:sz="0" w:space="0" w:color="auto"/>
        <w:right w:val="none" w:sz="0" w:space="0" w:color="auto"/>
      </w:divBdr>
    </w:div>
    <w:div w:id="419525070">
      <w:bodyDiv w:val="1"/>
      <w:marLeft w:val="0"/>
      <w:marRight w:val="0"/>
      <w:marTop w:val="0"/>
      <w:marBottom w:val="0"/>
      <w:divBdr>
        <w:top w:val="none" w:sz="0" w:space="0" w:color="auto"/>
        <w:left w:val="none" w:sz="0" w:space="0" w:color="auto"/>
        <w:bottom w:val="none" w:sz="0" w:space="0" w:color="auto"/>
        <w:right w:val="none" w:sz="0" w:space="0" w:color="auto"/>
      </w:divBdr>
    </w:div>
    <w:div w:id="419641238">
      <w:bodyDiv w:val="1"/>
      <w:marLeft w:val="0"/>
      <w:marRight w:val="0"/>
      <w:marTop w:val="0"/>
      <w:marBottom w:val="0"/>
      <w:divBdr>
        <w:top w:val="none" w:sz="0" w:space="0" w:color="auto"/>
        <w:left w:val="none" w:sz="0" w:space="0" w:color="auto"/>
        <w:bottom w:val="none" w:sz="0" w:space="0" w:color="auto"/>
        <w:right w:val="none" w:sz="0" w:space="0" w:color="auto"/>
      </w:divBdr>
    </w:div>
    <w:div w:id="420180738">
      <w:bodyDiv w:val="1"/>
      <w:marLeft w:val="0"/>
      <w:marRight w:val="0"/>
      <w:marTop w:val="0"/>
      <w:marBottom w:val="0"/>
      <w:divBdr>
        <w:top w:val="none" w:sz="0" w:space="0" w:color="auto"/>
        <w:left w:val="none" w:sz="0" w:space="0" w:color="auto"/>
        <w:bottom w:val="none" w:sz="0" w:space="0" w:color="auto"/>
        <w:right w:val="none" w:sz="0" w:space="0" w:color="auto"/>
      </w:divBdr>
    </w:div>
    <w:div w:id="421490784">
      <w:bodyDiv w:val="1"/>
      <w:marLeft w:val="0"/>
      <w:marRight w:val="0"/>
      <w:marTop w:val="0"/>
      <w:marBottom w:val="0"/>
      <w:divBdr>
        <w:top w:val="none" w:sz="0" w:space="0" w:color="auto"/>
        <w:left w:val="none" w:sz="0" w:space="0" w:color="auto"/>
        <w:bottom w:val="none" w:sz="0" w:space="0" w:color="auto"/>
        <w:right w:val="none" w:sz="0" w:space="0" w:color="auto"/>
      </w:divBdr>
    </w:div>
    <w:div w:id="421873797">
      <w:bodyDiv w:val="1"/>
      <w:marLeft w:val="0"/>
      <w:marRight w:val="0"/>
      <w:marTop w:val="0"/>
      <w:marBottom w:val="0"/>
      <w:divBdr>
        <w:top w:val="none" w:sz="0" w:space="0" w:color="auto"/>
        <w:left w:val="none" w:sz="0" w:space="0" w:color="auto"/>
        <w:bottom w:val="none" w:sz="0" w:space="0" w:color="auto"/>
        <w:right w:val="none" w:sz="0" w:space="0" w:color="auto"/>
      </w:divBdr>
    </w:div>
    <w:div w:id="421949363">
      <w:bodyDiv w:val="1"/>
      <w:marLeft w:val="0"/>
      <w:marRight w:val="0"/>
      <w:marTop w:val="0"/>
      <w:marBottom w:val="0"/>
      <w:divBdr>
        <w:top w:val="none" w:sz="0" w:space="0" w:color="auto"/>
        <w:left w:val="none" w:sz="0" w:space="0" w:color="auto"/>
        <w:bottom w:val="none" w:sz="0" w:space="0" w:color="auto"/>
        <w:right w:val="none" w:sz="0" w:space="0" w:color="auto"/>
      </w:divBdr>
    </w:div>
    <w:div w:id="422383815">
      <w:bodyDiv w:val="1"/>
      <w:marLeft w:val="0"/>
      <w:marRight w:val="0"/>
      <w:marTop w:val="0"/>
      <w:marBottom w:val="0"/>
      <w:divBdr>
        <w:top w:val="none" w:sz="0" w:space="0" w:color="auto"/>
        <w:left w:val="none" w:sz="0" w:space="0" w:color="auto"/>
        <w:bottom w:val="none" w:sz="0" w:space="0" w:color="auto"/>
        <w:right w:val="none" w:sz="0" w:space="0" w:color="auto"/>
      </w:divBdr>
    </w:div>
    <w:div w:id="422652143">
      <w:bodyDiv w:val="1"/>
      <w:marLeft w:val="0"/>
      <w:marRight w:val="0"/>
      <w:marTop w:val="0"/>
      <w:marBottom w:val="0"/>
      <w:divBdr>
        <w:top w:val="none" w:sz="0" w:space="0" w:color="auto"/>
        <w:left w:val="none" w:sz="0" w:space="0" w:color="auto"/>
        <w:bottom w:val="none" w:sz="0" w:space="0" w:color="auto"/>
        <w:right w:val="none" w:sz="0" w:space="0" w:color="auto"/>
      </w:divBdr>
    </w:div>
    <w:div w:id="422726001">
      <w:bodyDiv w:val="1"/>
      <w:marLeft w:val="0"/>
      <w:marRight w:val="0"/>
      <w:marTop w:val="0"/>
      <w:marBottom w:val="0"/>
      <w:divBdr>
        <w:top w:val="none" w:sz="0" w:space="0" w:color="auto"/>
        <w:left w:val="none" w:sz="0" w:space="0" w:color="auto"/>
        <w:bottom w:val="none" w:sz="0" w:space="0" w:color="auto"/>
        <w:right w:val="none" w:sz="0" w:space="0" w:color="auto"/>
      </w:divBdr>
    </w:div>
    <w:div w:id="422801605">
      <w:bodyDiv w:val="1"/>
      <w:marLeft w:val="0"/>
      <w:marRight w:val="0"/>
      <w:marTop w:val="0"/>
      <w:marBottom w:val="0"/>
      <w:divBdr>
        <w:top w:val="none" w:sz="0" w:space="0" w:color="auto"/>
        <w:left w:val="none" w:sz="0" w:space="0" w:color="auto"/>
        <w:bottom w:val="none" w:sz="0" w:space="0" w:color="auto"/>
        <w:right w:val="none" w:sz="0" w:space="0" w:color="auto"/>
      </w:divBdr>
    </w:div>
    <w:div w:id="422846989">
      <w:bodyDiv w:val="1"/>
      <w:marLeft w:val="0"/>
      <w:marRight w:val="0"/>
      <w:marTop w:val="0"/>
      <w:marBottom w:val="0"/>
      <w:divBdr>
        <w:top w:val="none" w:sz="0" w:space="0" w:color="auto"/>
        <w:left w:val="none" w:sz="0" w:space="0" w:color="auto"/>
        <w:bottom w:val="none" w:sz="0" w:space="0" w:color="auto"/>
        <w:right w:val="none" w:sz="0" w:space="0" w:color="auto"/>
      </w:divBdr>
    </w:div>
    <w:div w:id="422918646">
      <w:bodyDiv w:val="1"/>
      <w:marLeft w:val="0"/>
      <w:marRight w:val="0"/>
      <w:marTop w:val="0"/>
      <w:marBottom w:val="0"/>
      <w:divBdr>
        <w:top w:val="none" w:sz="0" w:space="0" w:color="auto"/>
        <w:left w:val="none" w:sz="0" w:space="0" w:color="auto"/>
        <w:bottom w:val="none" w:sz="0" w:space="0" w:color="auto"/>
        <w:right w:val="none" w:sz="0" w:space="0" w:color="auto"/>
      </w:divBdr>
    </w:div>
    <w:div w:id="423183153">
      <w:bodyDiv w:val="1"/>
      <w:marLeft w:val="0"/>
      <w:marRight w:val="0"/>
      <w:marTop w:val="0"/>
      <w:marBottom w:val="0"/>
      <w:divBdr>
        <w:top w:val="none" w:sz="0" w:space="0" w:color="auto"/>
        <w:left w:val="none" w:sz="0" w:space="0" w:color="auto"/>
        <w:bottom w:val="none" w:sz="0" w:space="0" w:color="auto"/>
        <w:right w:val="none" w:sz="0" w:space="0" w:color="auto"/>
      </w:divBdr>
    </w:div>
    <w:div w:id="423309021">
      <w:bodyDiv w:val="1"/>
      <w:marLeft w:val="0"/>
      <w:marRight w:val="0"/>
      <w:marTop w:val="0"/>
      <w:marBottom w:val="0"/>
      <w:divBdr>
        <w:top w:val="none" w:sz="0" w:space="0" w:color="auto"/>
        <w:left w:val="none" w:sz="0" w:space="0" w:color="auto"/>
        <w:bottom w:val="none" w:sz="0" w:space="0" w:color="auto"/>
        <w:right w:val="none" w:sz="0" w:space="0" w:color="auto"/>
      </w:divBdr>
    </w:div>
    <w:div w:id="423382534">
      <w:bodyDiv w:val="1"/>
      <w:marLeft w:val="0"/>
      <w:marRight w:val="0"/>
      <w:marTop w:val="0"/>
      <w:marBottom w:val="0"/>
      <w:divBdr>
        <w:top w:val="none" w:sz="0" w:space="0" w:color="auto"/>
        <w:left w:val="none" w:sz="0" w:space="0" w:color="auto"/>
        <w:bottom w:val="none" w:sz="0" w:space="0" w:color="auto"/>
        <w:right w:val="none" w:sz="0" w:space="0" w:color="auto"/>
      </w:divBdr>
    </w:div>
    <w:div w:id="423384246">
      <w:bodyDiv w:val="1"/>
      <w:marLeft w:val="0"/>
      <w:marRight w:val="0"/>
      <w:marTop w:val="0"/>
      <w:marBottom w:val="0"/>
      <w:divBdr>
        <w:top w:val="none" w:sz="0" w:space="0" w:color="auto"/>
        <w:left w:val="none" w:sz="0" w:space="0" w:color="auto"/>
        <w:bottom w:val="none" w:sz="0" w:space="0" w:color="auto"/>
        <w:right w:val="none" w:sz="0" w:space="0" w:color="auto"/>
      </w:divBdr>
    </w:div>
    <w:div w:id="423651078">
      <w:bodyDiv w:val="1"/>
      <w:marLeft w:val="0"/>
      <w:marRight w:val="0"/>
      <w:marTop w:val="0"/>
      <w:marBottom w:val="0"/>
      <w:divBdr>
        <w:top w:val="none" w:sz="0" w:space="0" w:color="auto"/>
        <w:left w:val="none" w:sz="0" w:space="0" w:color="auto"/>
        <w:bottom w:val="none" w:sz="0" w:space="0" w:color="auto"/>
        <w:right w:val="none" w:sz="0" w:space="0" w:color="auto"/>
      </w:divBdr>
    </w:div>
    <w:div w:id="423769242">
      <w:bodyDiv w:val="1"/>
      <w:marLeft w:val="0"/>
      <w:marRight w:val="0"/>
      <w:marTop w:val="0"/>
      <w:marBottom w:val="0"/>
      <w:divBdr>
        <w:top w:val="none" w:sz="0" w:space="0" w:color="auto"/>
        <w:left w:val="none" w:sz="0" w:space="0" w:color="auto"/>
        <w:bottom w:val="none" w:sz="0" w:space="0" w:color="auto"/>
        <w:right w:val="none" w:sz="0" w:space="0" w:color="auto"/>
      </w:divBdr>
    </w:div>
    <w:div w:id="424500048">
      <w:bodyDiv w:val="1"/>
      <w:marLeft w:val="0"/>
      <w:marRight w:val="0"/>
      <w:marTop w:val="0"/>
      <w:marBottom w:val="0"/>
      <w:divBdr>
        <w:top w:val="none" w:sz="0" w:space="0" w:color="auto"/>
        <w:left w:val="none" w:sz="0" w:space="0" w:color="auto"/>
        <w:bottom w:val="none" w:sz="0" w:space="0" w:color="auto"/>
        <w:right w:val="none" w:sz="0" w:space="0" w:color="auto"/>
      </w:divBdr>
    </w:div>
    <w:div w:id="424613944">
      <w:bodyDiv w:val="1"/>
      <w:marLeft w:val="0"/>
      <w:marRight w:val="0"/>
      <w:marTop w:val="0"/>
      <w:marBottom w:val="0"/>
      <w:divBdr>
        <w:top w:val="none" w:sz="0" w:space="0" w:color="auto"/>
        <w:left w:val="none" w:sz="0" w:space="0" w:color="auto"/>
        <w:bottom w:val="none" w:sz="0" w:space="0" w:color="auto"/>
        <w:right w:val="none" w:sz="0" w:space="0" w:color="auto"/>
      </w:divBdr>
    </w:div>
    <w:div w:id="424885485">
      <w:bodyDiv w:val="1"/>
      <w:marLeft w:val="0"/>
      <w:marRight w:val="0"/>
      <w:marTop w:val="0"/>
      <w:marBottom w:val="0"/>
      <w:divBdr>
        <w:top w:val="none" w:sz="0" w:space="0" w:color="auto"/>
        <w:left w:val="none" w:sz="0" w:space="0" w:color="auto"/>
        <w:bottom w:val="none" w:sz="0" w:space="0" w:color="auto"/>
        <w:right w:val="none" w:sz="0" w:space="0" w:color="auto"/>
      </w:divBdr>
    </w:div>
    <w:div w:id="425004266">
      <w:bodyDiv w:val="1"/>
      <w:marLeft w:val="0"/>
      <w:marRight w:val="0"/>
      <w:marTop w:val="0"/>
      <w:marBottom w:val="0"/>
      <w:divBdr>
        <w:top w:val="none" w:sz="0" w:space="0" w:color="auto"/>
        <w:left w:val="none" w:sz="0" w:space="0" w:color="auto"/>
        <w:bottom w:val="none" w:sz="0" w:space="0" w:color="auto"/>
        <w:right w:val="none" w:sz="0" w:space="0" w:color="auto"/>
      </w:divBdr>
    </w:div>
    <w:div w:id="425005567">
      <w:bodyDiv w:val="1"/>
      <w:marLeft w:val="0"/>
      <w:marRight w:val="0"/>
      <w:marTop w:val="0"/>
      <w:marBottom w:val="0"/>
      <w:divBdr>
        <w:top w:val="none" w:sz="0" w:space="0" w:color="auto"/>
        <w:left w:val="none" w:sz="0" w:space="0" w:color="auto"/>
        <w:bottom w:val="none" w:sz="0" w:space="0" w:color="auto"/>
        <w:right w:val="none" w:sz="0" w:space="0" w:color="auto"/>
      </w:divBdr>
    </w:div>
    <w:div w:id="425197860">
      <w:bodyDiv w:val="1"/>
      <w:marLeft w:val="0"/>
      <w:marRight w:val="0"/>
      <w:marTop w:val="0"/>
      <w:marBottom w:val="0"/>
      <w:divBdr>
        <w:top w:val="none" w:sz="0" w:space="0" w:color="auto"/>
        <w:left w:val="none" w:sz="0" w:space="0" w:color="auto"/>
        <w:bottom w:val="none" w:sz="0" w:space="0" w:color="auto"/>
        <w:right w:val="none" w:sz="0" w:space="0" w:color="auto"/>
      </w:divBdr>
    </w:div>
    <w:div w:id="425226043">
      <w:bodyDiv w:val="1"/>
      <w:marLeft w:val="0"/>
      <w:marRight w:val="0"/>
      <w:marTop w:val="0"/>
      <w:marBottom w:val="0"/>
      <w:divBdr>
        <w:top w:val="none" w:sz="0" w:space="0" w:color="auto"/>
        <w:left w:val="none" w:sz="0" w:space="0" w:color="auto"/>
        <w:bottom w:val="none" w:sz="0" w:space="0" w:color="auto"/>
        <w:right w:val="none" w:sz="0" w:space="0" w:color="auto"/>
      </w:divBdr>
    </w:div>
    <w:div w:id="425612885">
      <w:bodyDiv w:val="1"/>
      <w:marLeft w:val="0"/>
      <w:marRight w:val="0"/>
      <w:marTop w:val="0"/>
      <w:marBottom w:val="0"/>
      <w:divBdr>
        <w:top w:val="none" w:sz="0" w:space="0" w:color="auto"/>
        <w:left w:val="none" w:sz="0" w:space="0" w:color="auto"/>
        <w:bottom w:val="none" w:sz="0" w:space="0" w:color="auto"/>
        <w:right w:val="none" w:sz="0" w:space="0" w:color="auto"/>
      </w:divBdr>
    </w:div>
    <w:div w:id="425688738">
      <w:bodyDiv w:val="1"/>
      <w:marLeft w:val="0"/>
      <w:marRight w:val="0"/>
      <w:marTop w:val="0"/>
      <w:marBottom w:val="0"/>
      <w:divBdr>
        <w:top w:val="none" w:sz="0" w:space="0" w:color="auto"/>
        <w:left w:val="none" w:sz="0" w:space="0" w:color="auto"/>
        <w:bottom w:val="none" w:sz="0" w:space="0" w:color="auto"/>
        <w:right w:val="none" w:sz="0" w:space="0" w:color="auto"/>
      </w:divBdr>
    </w:div>
    <w:div w:id="425807661">
      <w:bodyDiv w:val="1"/>
      <w:marLeft w:val="0"/>
      <w:marRight w:val="0"/>
      <w:marTop w:val="0"/>
      <w:marBottom w:val="0"/>
      <w:divBdr>
        <w:top w:val="none" w:sz="0" w:space="0" w:color="auto"/>
        <w:left w:val="none" w:sz="0" w:space="0" w:color="auto"/>
        <w:bottom w:val="none" w:sz="0" w:space="0" w:color="auto"/>
        <w:right w:val="none" w:sz="0" w:space="0" w:color="auto"/>
      </w:divBdr>
    </w:div>
    <w:div w:id="425881661">
      <w:bodyDiv w:val="1"/>
      <w:marLeft w:val="0"/>
      <w:marRight w:val="0"/>
      <w:marTop w:val="0"/>
      <w:marBottom w:val="0"/>
      <w:divBdr>
        <w:top w:val="none" w:sz="0" w:space="0" w:color="auto"/>
        <w:left w:val="none" w:sz="0" w:space="0" w:color="auto"/>
        <w:bottom w:val="none" w:sz="0" w:space="0" w:color="auto"/>
        <w:right w:val="none" w:sz="0" w:space="0" w:color="auto"/>
      </w:divBdr>
    </w:div>
    <w:div w:id="426540436">
      <w:bodyDiv w:val="1"/>
      <w:marLeft w:val="0"/>
      <w:marRight w:val="0"/>
      <w:marTop w:val="0"/>
      <w:marBottom w:val="0"/>
      <w:divBdr>
        <w:top w:val="none" w:sz="0" w:space="0" w:color="auto"/>
        <w:left w:val="none" w:sz="0" w:space="0" w:color="auto"/>
        <w:bottom w:val="none" w:sz="0" w:space="0" w:color="auto"/>
        <w:right w:val="none" w:sz="0" w:space="0" w:color="auto"/>
      </w:divBdr>
    </w:div>
    <w:div w:id="426580783">
      <w:bodyDiv w:val="1"/>
      <w:marLeft w:val="0"/>
      <w:marRight w:val="0"/>
      <w:marTop w:val="0"/>
      <w:marBottom w:val="0"/>
      <w:divBdr>
        <w:top w:val="none" w:sz="0" w:space="0" w:color="auto"/>
        <w:left w:val="none" w:sz="0" w:space="0" w:color="auto"/>
        <w:bottom w:val="none" w:sz="0" w:space="0" w:color="auto"/>
        <w:right w:val="none" w:sz="0" w:space="0" w:color="auto"/>
      </w:divBdr>
    </w:div>
    <w:div w:id="426584609">
      <w:bodyDiv w:val="1"/>
      <w:marLeft w:val="0"/>
      <w:marRight w:val="0"/>
      <w:marTop w:val="0"/>
      <w:marBottom w:val="0"/>
      <w:divBdr>
        <w:top w:val="none" w:sz="0" w:space="0" w:color="auto"/>
        <w:left w:val="none" w:sz="0" w:space="0" w:color="auto"/>
        <w:bottom w:val="none" w:sz="0" w:space="0" w:color="auto"/>
        <w:right w:val="none" w:sz="0" w:space="0" w:color="auto"/>
      </w:divBdr>
    </w:div>
    <w:div w:id="426779983">
      <w:bodyDiv w:val="1"/>
      <w:marLeft w:val="0"/>
      <w:marRight w:val="0"/>
      <w:marTop w:val="0"/>
      <w:marBottom w:val="0"/>
      <w:divBdr>
        <w:top w:val="none" w:sz="0" w:space="0" w:color="auto"/>
        <w:left w:val="none" w:sz="0" w:space="0" w:color="auto"/>
        <w:bottom w:val="none" w:sz="0" w:space="0" w:color="auto"/>
        <w:right w:val="none" w:sz="0" w:space="0" w:color="auto"/>
      </w:divBdr>
    </w:div>
    <w:div w:id="427194722">
      <w:bodyDiv w:val="1"/>
      <w:marLeft w:val="0"/>
      <w:marRight w:val="0"/>
      <w:marTop w:val="0"/>
      <w:marBottom w:val="0"/>
      <w:divBdr>
        <w:top w:val="none" w:sz="0" w:space="0" w:color="auto"/>
        <w:left w:val="none" w:sz="0" w:space="0" w:color="auto"/>
        <w:bottom w:val="none" w:sz="0" w:space="0" w:color="auto"/>
        <w:right w:val="none" w:sz="0" w:space="0" w:color="auto"/>
      </w:divBdr>
    </w:div>
    <w:div w:id="427312225">
      <w:bodyDiv w:val="1"/>
      <w:marLeft w:val="0"/>
      <w:marRight w:val="0"/>
      <w:marTop w:val="0"/>
      <w:marBottom w:val="0"/>
      <w:divBdr>
        <w:top w:val="none" w:sz="0" w:space="0" w:color="auto"/>
        <w:left w:val="none" w:sz="0" w:space="0" w:color="auto"/>
        <w:bottom w:val="none" w:sz="0" w:space="0" w:color="auto"/>
        <w:right w:val="none" w:sz="0" w:space="0" w:color="auto"/>
      </w:divBdr>
    </w:div>
    <w:div w:id="428308949">
      <w:bodyDiv w:val="1"/>
      <w:marLeft w:val="0"/>
      <w:marRight w:val="0"/>
      <w:marTop w:val="0"/>
      <w:marBottom w:val="0"/>
      <w:divBdr>
        <w:top w:val="none" w:sz="0" w:space="0" w:color="auto"/>
        <w:left w:val="none" w:sz="0" w:space="0" w:color="auto"/>
        <w:bottom w:val="none" w:sz="0" w:space="0" w:color="auto"/>
        <w:right w:val="none" w:sz="0" w:space="0" w:color="auto"/>
      </w:divBdr>
    </w:div>
    <w:div w:id="428476415">
      <w:bodyDiv w:val="1"/>
      <w:marLeft w:val="0"/>
      <w:marRight w:val="0"/>
      <w:marTop w:val="0"/>
      <w:marBottom w:val="0"/>
      <w:divBdr>
        <w:top w:val="none" w:sz="0" w:space="0" w:color="auto"/>
        <w:left w:val="none" w:sz="0" w:space="0" w:color="auto"/>
        <w:bottom w:val="none" w:sz="0" w:space="0" w:color="auto"/>
        <w:right w:val="none" w:sz="0" w:space="0" w:color="auto"/>
      </w:divBdr>
    </w:div>
    <w:div w:id="428813800">
      <w:bodyDiv w:val="1"/>
      <w:marLeft w:val="0"/>
      <w:marRight w:val="0"/>
      <w:marTop w:val="0"/>
      <w:marBottom w:val="0"/>
      <w:divBdr>
        <w:top w:val="none" w:sz="0" w:space="0" w:color="auto"/>
        <w:left w:val="none" w:sz="0" w:space="0" w:color="auto"/>
        <w:bottom w:val="none" w:sz="0" w:space="0" w:color="auto"/>
        <w:right w:val="none" w:sz="0" w:space="0" w:color="auto"/>
      </w:divBdr>
    </w:div>
    <w:div w:id="428819232">
      <w:bodyDiv w:val="1"/>
      <w:marLeft w:val="0"/>
      <w:marRight w:val="0"/>
      <w:marTop w:val="0"/>
      <w:marBottom w:val="0"/>
      <w:divBdr>
        <w:top w:val="none" w:sz="0" w:space="0" w:color="auto"/>
        <w:left w:val="none" w:sz="0" w:space="0" w:color="auto"/>
        <w:bottom w:val="none" w:sz="0" w:space="0" w:color="auto"/>
        <w:right w:val="none" w:sz="0" w:space="0" w:color="auto"/>
      </w:divBdr>
    </w:div>
    <w:div w:id="429200235">
      <w:bodyDiv w:val="1"/>
      <w:marLeft w:val="0"/>
      <w:marRight w:val="0"/>
      <w:marTop w:val="0"/>
      <w:marBottom w:val="0"/>
      <w:divBdr>
        <w:top w:val="none" w:sz="0" w:space="0" w:color="auto"/>
        <w:left w:val="none" w:sz="0" w:space="0" w:color="auto"/>
        <w:bottom w:val="none" w:sz="0" w:space="0" w:color="auto"/>
        <w:right w:val="none" w:sz="0" w:space="0" w:color="auto"/>
      </w:divBdr>
    </w:div>
    <w:div w:id="429351686">
      <w:bodyDiv w:val="1"/>
      <w:marLeft w:val="0"/>
      <w:marRight w:val="0"/>
      <w:marTop w:val="0"/>
      <w:marBottom w:val="0"/>
      <w:divBdr>
        <w:top w:val="none" w:sz="0" w:space="0" w:color="auto"/>
        <w:left w:val="none" w:sz="0" w:space="0" w:color="auto"/>
        <w:bottom w:val="none" w:sz="0" w:space="0" w:color="auto"/>
        <w:right w:val="none" w:sz="0" w:space="0" w:color="auto"/>
      </w:divBdr>
    </w:div>
    <w:div w:id="429665600">
      <w:bodyDiv w:val="1"/>
      <w:marLeft w:val="0"/>
      <w:marRight w:val="0"/>
      <w:marTop w:val="0"/>
      <w:marBottom w:val="0"/>
      <w:divBdr>
        <w:top w:val="none" w:sz="0" w:space="0" w:color="auto"/>
        <w:left w:val="none" w:sz="0" w:space="0" w:color="auto"/>
        <w:bottom w:val="none" w:sz="0" w:space="0" w:color="auto"/>
        <w:right w:val="none" w:sz="0" w:space="0" w:color="auto"/>
      </w:divBdr>
    </w:div>
    <w:div w:id="429813088">
      <w:bodyDiv w:val="1"/>
      <w:marLeft w:val="0"/>
      <w:marRight w:val="0"/>
      <w:marTop w:val="0"/>
      <w:marBottom w:val="0"/>
      <w:divBdr>
        <w:top w:val="none" w:sz="0" w:space="0" w:color="auto"/>
        <w:left w:val="none" w:sz="0" w:space="0" w:color="auto"/>
        <w:bottom w:val="none" w:sz="0" w:space="0" w:color="auto"/>
        <w:right w:val="none" w:sz="0" w:space="0" w:color="auto"/>
      </w:divBdr>
    </w:div>
    <w:div w:id="430779277">
      <w:bodyDiv w:val="1"/>
      <w:marLeft w:val="0"/>
      <w:marRight w:val="0"/>
      <w:marTop w:val="0"/>
      <w:marBottom w:val="0"/>
      <w:divBdr>
        <w:top w:val="none" w:sz="0" w:space="0" w:color="auto"/>
        <w:left w:val="none" w:sz="0" w:space="0" w:color="auto"/>
        <w:bottom w:val="none" w:sz="0" w:space="0" w:color="auto"/>
        <w:right w:val="none" w:sz="0" w:space="0" w:color="auto"/>
      </w:divBdr>
    </w:div>
    <w:div w:id="430857545">
      <w:bodyDiv w:val="1"/>
      <w:marLeft w:val="0"/>
      <w:marRight w:val="0"/>
      <w:marTop w:val="0"/>
      <w:marBottom w:val="0"/>
      <w:divBdr>
        <w:top w:val="none" w:sz="0" w:space="0" w:color="auto"/>
        <w:left w:val="none" w:sz="0" w:space="0" w:color="auto"/>
        <w:bottom w:val="none" w:sz="0" w:space="0" w:color="auto"/>
        <w:right w:val="none" w:sz="0" w:space="0" w:color="auto"/>
      </w:divBdr>
    </w:div>
    <w:div w:id="430972622">
      <w:bodyDiv w:val="1"/>
      <w:marLeft w:val="0"/>
      <w:marRight w:val="0"/>
      <w:marTop w:val="0"/>
      <w:marBottom w:val="0"/>
      <w:divBdr>
        <w:top w:val="none" w:sz="0" w:space="0" w:color="auto"/>
        <w:left w:val="none" w:sz="0" w:space="0" w:color="auto"/>
        <w:bottom w:val="none" w:sz="0" w:space="0" w:color="auto"/>
        <w:right w:val="none" w:sz="0" w:space="0" w:color="auto"/>
      </w:divBdr>
    </w:div>
    <w:div w:id="430978740">
      <w:bodyDiv w:val="1"/>
      <w:marLeft w:val="0"/>
      <w:marRight w:val="0"/>
      <w:marTop w:val="0"/>
      <w:marBottom w:val="0"/>
      <w:divBdr>
        <w:top w:val="none" w:sz="0" w:space="0" w:color="auto"/>
        <w:left w:val="none" w:sz="0" w:space="0" w:color="auto"/>
        <w:bottom w:val="none" w:sz="0" w:space="0" w:color="auto"/>
        <w:right w:val="none" w:sz="0" w:space="0" w:color="auto"/>
      </w:divBdr>
    </w:div>
    <w:div w:id="431123691">
      <w:bodyDiv w:val="1"/>
      <w:marLeft w:val="0"/>
      <w:marRight w:val="0"/>
      <w:marTop w:val="0"/>
      <w:marBottom w:val="0"/>
      <w:divBdr>
        <w:top w:val="none" w:sz="0" w:space="0" w:color="auto"/>
        <w:left w:val="none" w:sz="0" w:space="0" w:color="auto"/>
        <w:bottom w:val="none" w:sz="0" w:space="0" w:color="auto"/>
        <w:right w:val="none" w:sz="0" w:space="0" w:color="auto"/>
      </w:divBdr>
    </w:div>
    <w:div w:id="431170500">
      <w:bodyDiv w:val="1"/>
      <w:marLeft w:val="0"/>
      <w:marRight w:val="0"/>
      <w:marTop w:val="0"/>
      <w:marBottom w:val="0"/>
      <w:divBdr>
        <w:top w:val="none" w:sz="0" w:space="0" w:color="auto"/>
        <w:left w:val="none" w:sz="0" w:space="0" w:color="auto"/>
        <w:bottom w:val="none" w:sz="0" w:space="0" w:color="auto"/>
        <w:right w:val="none" w:sz="0" w:space="0" w:color="auto"/>
      </w:divBdr>
    </w:div>
    <w:div w:id="431240472">
      <w:bodyDiv w:val="1"/>
      <w:marLeft w:val="0"/>
      <w:marRight w:val="0"/>
      <w:marTop w:val="0"/>
      <w:marBottom w:val="0"/>
      <w:divBdr>
        <w:top w:val="none" w:sz="0" w:space="0" w:color="auto"/>
        <w:left w:val="none" w:sz="0" w:space="0" w:color="auto"/>
        <w:bottom w:val="none" w:sz="0" w:space="0" w:color="auto"/>
        <w:right w:val="none" w:sz="0" w:space="0" w:color="auto"/>
      </w:divBdr>
    </w:div>
    <w:div w:id="431584651">
      <w:bodyDiv w:val="1"/>
      <w:marLeft w:val="0"/>
      <w:marRight w:val="0"/>
      <w:marTop w:val="0"/>
      <w:marBottom w:val="0"/>
      <w:divBdr>
        <w:top w:val="none" w:sz="0" w:space="0" w:color="auto"/>
        <w:left w:val="none" w:sz="0" w:space="0" w:color="auto"/>
        <w:bottom w:val="none" w:sz="0" w:space="0" w:color="auto"/>
        <w:right w:val="none" w:sz="0" w:space="0" w:color="auto"/>
      </w:divBdr>
    </w:div>
    <w:div w:id="431627992">
      <w:bodyDiv w:val="1"/>
      <w:marLeft w:val="0"/>
      <w:marRight w:val="0"/>
      <w:marTop w:val="0"/>
      <w:marBottom w:val="0"/>
      <w:divBdr>
        <w:top w:val="none" w:sz="0" w:space="0" w:color="auto"/>
        <w:left w:val="none" w:sz="0" w:space="0" w:color="auto"/>
        <w:bottom w:val="none" w:sz="0" w:space="0" w:color="auto"/>
        <w:right w:val="none" w:sz="0" w:space="0" w:color="auto"/>
      </w:divBdr>
    </w:div>
    <w:div w:id="431634504">
      <w:bodyDiv w:val="1"/>
      <w:marLeft w:val="0"/>
      <w:marRight w:val="0"/>
      <w:marTop w:val="0"/>
      <w:marBottom w:val="0"/>
      <w:divBdr>
        <w:top w:val="none" w:sz="0" w:space="0" w:color="auto"/>
        <w:left w:val="none" w:sz="0" w:space="0" w:color="auto"/>
        <w:bottom w:val="none" w:sz="0" w:space="0" w:color="auto"/>
        <w:right w:val="none" w:sz="0" w:space="0" w:color="auto"/>
      </w:divBdr>
    </w:div>
    <w:div w:id="431975020">
      <w:bodyDiv w:val="1"/>
      <w:marLeft w:val="0"/>
      <w:marRight w:val="0"/>
      <w:marTop w:val="0"/>
      <w:marBottom w:val="0"/>
      <w:divBdr>
        <w:top w:val="none" w:sz="0" w:space="0" w:color="auto"/>
        <w:left w:val="none" w:sz="0" w:space="0" w:color="auto"/>
        <w:bottom w:val="none" w:sz="0" w:space="0" w:color="auto"/>
        <w:right w:val="none" w:sz="0" w:space="0" w:color="auto"/>
      </w:divBdr>
    </w:div>
    <w:div w:id="432751943">
      <w:bodyDiv w:val="1"/>
      <w:marLeft w:val="0"/>
      <w:marRight w:val="0"/>
      <w:marTop w:val="0"/>
      <w:marBottom w:val="0"/>
      <w:divBdr>
        <w:top w:val="none" w:sz="0" w:space="0" w:color="auto"/>
        <w:left w:val="none" w:sz="0" w:space="0" w:color="auto"/>
        <w:bottom w:val="none" w:sz="0" w:space="0" w:color="auto"/>
        <w:right w:val="none" w:sz="0" w:space="0" w:color="auto"/>
      </w:divBdr>
    </w:div>
    <w:div w:id="433133593">
      <w:bodyDiv w:val="1"/>
      <w:marLeft w:val="0"/>
      <w:marRight w:val="0"/>
      <w:marTop w:val="0"/>
      <w:marBottom w:val="0"/>
      <w:divBdr>
        <w:top w:val="none" w:sz="0" w:space="0" w:color="auto"/>
        <w:left w:val="none" w:sz="0" w:space="0" w:color="auto"/>
        <w:bottom w:val="none" w:sz="0" w:space="0" w:color="auto"/>
        <w:right w:val="none" w:sz="0" w:space="0" w:color="auto"/>
      </w:divBdr>
    </w:div>
    <w:div w:id="433672748">
      <w:bodyDiv w:val="1"/>
      <w:marLeft w:val="0"/>
      <w:marRight w:val="0"/>
      <w:marTop w:val="0"/>
      <w:marBottom w:val="0"/>
      <w:divBdr>
        <w:top w:val="none" w:sz="0" w:space="0" w:color="auto"/>
        <w:left w:val="none" w:sz="0" w:space="0" w:color="auto"/>
        <w:bottom w:val="none" w:sz="0" w:space="0" w:color="auto"/>
        <w:right w:val="none" w:sz="0" w:space="0" w:color="auto"/>
      </w:divBdr>
    </w:div>
    <w:div w:id="433672778">
      <w:bodyDiv w:val="1"/>
      <w:marLeft w:val="0"/>
      <w:marRight w:val="0"/>
      <w:marTop w:val="0"/>
      <w:marBottom w:val="0"/>
      <w:divBdr>
        <w:top w:val="none" w:sz="0" w:space="0" w:color="auto"/>
        <w:left w:val="none" w:sz="0" w:space="0" w:color="auto"/>
        <w:bottom w:val="none" w:sz="0" w:space="0" w:color="auto"/>
        <w:right w:val="none" w:sz="0" w:space="0" w:color="auto"/>
      </w:divBdr>
    </w:div>
    <w:div w:id="433748120">
      <w:bodyDiv w:val="1"/>
      <w:marLeft w:val="0"/>
      <w:marRight w:val="0"/>
      <w:marTop w:val="0"/>
      <w:marBottom w:val="0"/>
      <w:divBdr>
        <w:top w:val="none" w:sz="0" w:space="0" w:color="auto"/>
        <w:left w:val="none" w:sz="0" w:space="0" w:color="auto"/>
        <w:bottom w:val="none" w:sz="0" w:space="0" w:color="auto"/>
        <w:right w:val="none" w:sz="0" w:space="0" w:color="auto"/>
      </w:divBdr>
    </w:div>
    <w:div w:id="434058482">
      <w:bodyDiv w:val="1"/>
      <w:marLeft w:val="0"/>
      <w:marRight w:val="0"/>
      <w:marTop w:val="0"/>
      <w:marBottom w:val="0"/>
      <w:divBdr>
        <w:top w:val="none" w:sz="0" w:space="0" w:color="auto"/>
        <w:left w:val="none" w:sz="0" w:space="0" w:color="auto"/>
        <w:bottom w:val="none" w:sz="0" w:space="0" w:color="auto"/>
        <w:right w:val="none" w:sz="0" w:space="0" w:color="auto"/>
      </w:divBdr>
    </w:div>
    <w:div w:id="434642418">
      <w:bodyDiv w:val="1"/>
      <w:marLeft w:val="0"/>
      <w:marRight w:val="0"/>
      <w:marTop w:val="0"/>
      <w:marBottom w:val="0"/>
      <w:divBdr>
        <w:top w:val="none" w:sz="0" w:space="0" w:color="auto"/>
        <w:left w:val="none" w:sz="0" w:space="0" w:color="auto"/>
        <w:bottom w:val="none" w:sz="0" w:space="0" w:color="auto"/>
        <w:right w:val="none" w:sz="0" w:space="0" w:color="auto"/>
      </w:divBdr>
    </w:div>
    <w:div w:id="434716883">
      <w:bodyDiv w:val="1"/>
      <w:marLeft w:val="0"/>
      <w:marRight w:val="0"/>
      <w:marTop w:val="0"/>
      <w:marBottom w:val="0"/>
      <w:divBdr>
        <w:top w:val="none" w:sz="0" w:space="0" w:color="auto"/>
        <w:left w:val="none" w:sz="0" w:space="0" w:color="auto"/>
        <w:bottom w:val="none" w:sz="0" w:space="0" w:color="auto"/>
        <w:right w:val="none" w:sz="0" w:space="0" w:color="auto"/>
      </w:divBdr>
    </w:div>
    <w:div w:id="434787755">
      <w:bodyDiv w:val="1"/>
      <w:marLeft w:val="0"/>
      <w:marRight w:val="0"/>
      <w:marTop w:val="0"/>
      <w:marBottom w:val="0"/>
      <w:divBdr>
        <w:top w:val="none" w:sz="0" w:space="0" w:color="auto"/>
        <w:left w:val="none" w:sz="0" w:space="0" w:color="auto"/>
        <w:bottom w:val="none" w:sz="0" w:space="0" w:color="auto"/>
        <w:right w:val="none" w:sz="0" w:space="0" w:color="auto"/>
      </w:divBdr>
    </w:div>
    <w:div w:id="434834334">
      <w:bodyDiv w:val="1"/>
      <w:marLeft w:val="0"/>
      <w:marRight w:val="0"/>
      <w:marTop w:val="0"/>
      <w:marBottom w:val="0"/>
      <w:divBdr>
        <w:top w:val="none" w:sz="0" w:space="0" w:color="auto"/>
        <w:left w:val="none" w:sz="0" w:space="0" w:color="auto"/>
        <w:bottom w:val="none" w:sz="0" w:space="0" w:color="auto"/>
        <w:right w:val="none" w:sz="0" w:space="0" w:color="auto"/>
      </w:divBdr>
    </w:div>
    <w:div w:id="434903744">
      <w:bodyDiv w:val="1"/>
      <w:marLeft w:val="0"/>
      <w:marRight w:val="0"/>
      <w:marTop w:val="0"/>
      <w:marBottom w:val="0"/>
      <w:divBdr>
        <w:top w:val="none" w:sz="0" w:space="0" w:color="auto"/>
        <w:left w:val="none" w:sz="0" w:space="0" w:color="auto"/>
        <w:bottom w:val="none" w:sz="0" w:space="0" w:color="auto"/>
        <w:right w:val="none" w:sz="0" w:space="0" w:color="auto"/>
      </w:divBdr>
    </w:div>
    <w:div w:id="435178972">
      <w:bodyDiv w:val="1"/>
      <w:marLeft w:val="0"/>
      <w:marRight w:val="0"/>
      <w:marTop w:val="0"/>
      <w:marBottom w:val="0"/>
      <w:divBdr>
        <w:top w:val="none" w:sz="0" w:space="0" w:color="auto"/>
        <w:left w:val="none" w:sz="0" w:space="0" w:color="auto"/>
        <w:bottom w:val="none" w:sz="0" w:space="0" w:color="auto"/>
        <w:right w:val="none" w:sz="0" w:space="0" w:color="auto"/>
      </w:divBdr>
    </w:div>
    <w:div w:id="435440079">
      <w:bodyDiv w:val="1"/>
      <w:marLeft w:val="0"/>
      <w:marRight w:val="0"/>
      <w:marTop w:val="0"/>
      <w:marBottom w:val="0"/>
      <w:divBdr>
        <w:top w:val="none" w:sz="0" w:space="0" w:color="auto"/>
        <w:left w:val="none" w:sz="0" w:space="0" w:color="auto"/>
        <w:bottom w:val="none" w:sz="0" w:space="0" w:color="auto"/>
        <w:right w:val="none" w:sz="0" w:space="0" w:color="auto"/>
      </w:divBdr>
    </w:div>
    <w:div w:id="435684893">
      <w:bodyDiv w:val="1"/>
      <w:marLeft w:val="0"/>
      <w:marRight w:val="0"/>
      <w:marTop w:val="0"/>
      <w:marBottom w:val="0"/>
      <w:divBdr>
        <w:top w:val="none" w:sz="0" w:space="0" w:color="auto"/>
        <w:left w:val="none" w:sz="0" w:space="0" w:color="auto"/>
        <w:bottom w:val="none" w:sz="0" w:space="0" w:color="auto"/>
        <w:right w:val="none" w:sz="0" w:space="0" w:color="auto"/>
      </w:divBdr>
    </w:div>
    <w:div w:id="435953596">
      <w:bodyDiv w:val="1"/>
      <w:marLeft w:val="0"/>
      <w:marRight w:val="0"/>
      <w:marTop w:val="0"/>
      <w:marBottom w:val="0"/>
      <w:divBdr>
        <w:top w:val="none" w:sz="0" w:space="0" w:color="auto"/>
        <w:left w:val="none" w:sz="0" w:space="0" w:color="auto"/>
        <w:bottom w:val="none" w:sz="0" w:space="0" w:color="auto"/>
        <w:right w:val="none" w:sz="0" w:space="0" w:color="auto"/>
      </w:divBdr>
    </w:div>
    <w:div w:id="436172137">
      <w:bodyDiv w:val="1"/>
      <w:marLeft w:val="0"/>
      <w:marRight w:val="0"/>
      <w:marTop w:val="0"/>
      <w:marBottom w:val="0"/>
      <w:divBdr>
        <w:top w:val="none" w:sz="0" w:space="0" w:color="auto"/>
        <w:left w:val="none" w:sz="0" w:space="0" w:color="auto"/>
        <w:bottom w:val="none" w:sz="0" w:space="0" w:color="auto"/>
        <w:right w:val="none" w:sz="0" w:space="0" w:color="auto"/>
      </w:divBdr>
    </w:div>
    <w:div w:id="436297519">
      <w:bodyDiv w:val="1"/>
      <w:marLeft w:val="0"/>
      <w:marRight w:val="0"/>
      <w:marTop w:val="0"/>
      <w:marBottom w:val="0"/>
      <w:divBdr>
        <w:top w:val="none" w:sz="0" w:space="0" w:color="auto"/>
        <w:left w:val="none" w:sz="0" w:space="0" w:color="auto"/>
        <w:bottom w:val="none" w:sz="0" w:space="0" w:color="auto"/>
        <w:right w:val="none" w:sz="0" w:space="0" w:color="auto"/>
      </w:divBdr>
    </w:div>
    <w:div w:id="436408260">
      <w:bodyDiv w:val="1"/>
      <w:marLeft w:val="0"/>
      <w:marRight w:val="0"/>
      <w:marTop w:val="0"/>
      <w:marBottom w:val="0"/>
      <w:divBdr>
        <w:top w:val="none" w:sz="0" w:space="0" w:color="auto"/>
        <w:left w:val="none" w:sz="0" w:space="0" w:color="auto"/>
        <w:bottom w:val="none" w:sz="0" w:space="0" w:color="auto"/>
        <w:right w:val="none" w:sz="0" w:space="0" w:color="auto"/>
      </w:divBdr>
    </w:div>
    <w:div w:id="436608195">
      <w:bodyDiv w:val="1"/>
      <w:marLeft w:val="0"/>
      <w:marRight w:val="0"/>
      <w:marTop w:val="0"/>
      <w:marBottom w:val="0"/>
      <w:divBdr>
        <w:top w:val="none" w:sz="0" w:space="0" w:color="auto"/>
        <w:left w:val="none" w:sz="0" w:space="0" w:color="auto"/>
        <w:bottom w:val="none" w:sz="0" w:space="0" w:color="auto"/>
        <w:right w:val="none" w:sz="0" w:space="0" w:color="auto"/>
      </w:divBdr>
    </w:div>
    <w:div w:id="437725885">
      <w:bodyDiv w:val="1"/>
      <w:marLeft w:val="0"/>
      <w:marRight w:val="0"/>
      <w:marTop w:val="0"/>
      <w:marBottom w:val="0"/>
      <w:divBdr>
        <w:top w:val="none" w:sz="0" w:space="0" w:color="auto"/>
        <w:left w:val="none" w:sz="0" w:space="0" w:color="auto"/>
        <w:bottom w:val="none" w:sz="0" w:space="0" w:color="auto"/>
        <w:right w:val="none" w:sz="0" w:space="0" w:color="auto"/>
      </w:divBdr>
    </w:div>
    <w:div w:id="438450592">
      <w:bodyDiv w:val="1"/>
      <w:marLeft w:val="0"/>
      <w:marRight w:val="0"/>
      <w:marTop w:val="0"/>
      <w:marBottom w:val="0"/>
      <w:divBdr>
        <w:top w:val="none" w:sz="0" w:space="0" w:color="auto"/>
        <w:left w:val="none" w:sz="0" w:space="0" w:color="auto"/>
        <w:bottom w:val="none" w:sz="0" w:space="0" w:color="auto"/>
        <w:right w:val="none" w:sz="0" w:space="0" w:color="auto"/>
      </w:divBdr>
    </w:div>
    <w:div w:id="438599362">
      <w:bodyDiv w:val="1"/>
      <w:marLeft w:val="0"/>
      <w:marRight w:val="0"/>
      <w:marTop w:val="0"/>
      <w:marBottom w:val="0"/>
      <w:divBdr>
        <w:top w:val="none" w:sz="0" w:space="0" w:color="auto"/>
        <w:left w:val="none" w:sz="0" w:space="0" w:color="auto"/>
        <w:bottom w:val="none" w:sz="0" w:space="0" w:color="auto"/>
        <w:right w:val="none" w:sz="0" w:space="0" w:color="auto"/>
      </w:divBdr>
    </w:div>
    <w:div w:id="439027807">
      <w:bodyDiv w:val="1"/>
      <w:marLeft w:val="0"/>
      <w:marRight w:val="0"/>
      <w:marTop w:val="0"/>
      <w:marBottom w:val="0"/>
      <w:divBdr>
        <w:top w:val="none" w:sz="0" w:space="0" w:color="auto"/>
        <w:left w:val="none" w:sz="0" w:space="0" w:color="auto"/>
        <w:bottom w:val="none" w:sz="0" w:space="0" w:color="auto"/>
        <w:right w:val="none" w:sz="0" w:space="0" w:color="auto"/>
      </w:divBdr>
    </w:div>
    <w:div w:id="439496359">
      <w:bodyDiv w:val="1"/>
      <w:marLeft w:val="0"/>
      <w:marRight w:val="0"/>
      <w:marTop w:val="0"/>
      <w:marBottom w:val="0"/>
      <w:divBdr>
        <w:top w:val="none" w:sz="0" w:space="0" w:color="auto"/>
        <w:left w:val="none" w:sz="0" w:space="0" w:color="auto"/>
        <w:bottom w:val="none" w:sz="0" w:space="0" w:color="auto"/>
        <w:right w:val="none" w:sz="0" w:space="0" w:color="auto"/>
      </w:divBdr>
    </w:div>
    <w:div w:id="439569624">
      <w:bodyDiv w:val="1"/>
      <w:marLeft w:val="0"/>
      <w:marRight w:val="0"/>
      <w:marTop w:val="0"/>
      <w:marBottom w:val="0"/>
      <w:divBdr>
        <w:top w:val="none" w:sz="0" w:space="0" w:color="auto"/>
        <w:left w:val="none" w:sz="0" w:space="0" w:color="auto"/>
        <w:bottom w:val="none" w:sz="0" w:space="0" w:color="auto"/>
        <w:right w:val="none" w:sz="0" w:space="0" w:color="auto"/>
      </w:divBdr>
    </w:div>
    <w:div w:id="439572259">
      <w:bodyDiv w:val="1"/>
      <w:marLeft w:val="0"/>
      <w:marRight w:val="0"/>
      <w:marTop w:val="0"/>
      <w:marBottom w:val="0"/>
      <w:divBdr>
        <w:top w:val="none" w:sz="0" w:space="0" w:color="auto"/>
        <w:left w:val="none" w:sz="0" w:space="0" w:color="auto"/>
        <w:bottom w:val="none" w:sz="0" w:space="0" w:color="auto"/>
        <w:right w:val="none" w:sz="0" w:space="0" w:color="auto"/>
      </w:divBdr>
    </w:div>
    <w:div w:id="439836560">
      <w:bodyDiv w:val="1"/>
      <w:marLeft w:val="0"/>
      <w:marRight w:val="0"/>
      <w:marTop w:val="0"/>
      <w:marBottom w:val="0"/>
      <w:divBdr>
        <w:top w:val="none" w:sz="0" w:space="0" w:color="auto"/>
        <w:left w:val="none" w:sz="0" w:space="0" w:color="auto"/>
        <w:bottom w:val="none" w:sz="0" w:space="0" w:color="auto"/>
        <w:right w:val="none" w:sz="0" w:space="0" w:color="auto"/>
      </w:divBdr>
    </w:div>
    <w:div w:id="440148075">
      <w:bodyDiv w:val="1"/>
      <w:marLeft w:val="0"/>
      <w:marRight w:val="0"/>
      <w:marTop w:val="0"/>
      <w:marBottom w:val="0"/>
      <w:divBdr>
        <w:top w:val="none" w:sz="0" w:space="0" w:color="auto"/>
        <w:left w:val="none" w:sz="0" w:space="0" w:color="auto"/>
        <w:bottom w:val="none" w:sz="0" w:space="0" w:color="auto"/>
        <w:right w:val="none" w:sz="0" w:space="0" w:color="auto"/>
      </w:divBdr>
    </w:div>
    <w:div w:id="440996665">
      <w:bodyDiv w:val="1"/>
      <w:marLeft w:val="0"/>
      <w:marRight w:val="0"/>
      <w:marTop w:val="0"/>
      <w:marBottom w:val="0"/>
      <w:divBdr>
        <w:top w:val="none" w:sz="0" w:space="0" w:color="auto"/>
        <w:left w:val="none" w:sz="0" w:space="0" w:color="auto"/>
        <w:bottom w:val="none" w:sz="0" w:space="0" w:color="auto"/>
        <w:right w:val="none" w:sz="0" w:space="0" w:color="auto"/>
      </w:divBdr>
    </w:div>
    <w:div w:id="441613799">
      <w:bodyDiv w:val="1"/>
      <w:marLeft w:val="0"/>
      <w:marRight w:val="0"/>
      <w:marTop w:val="0"/>
      <w:marBottom w:val="0"/>
      <w:divBdr>
        <w:top w:val="none" w:sz="0" w:space="0" w:color="auto"/>
        <w:left w:val="none" w:sz="0" w:space="0" w:color="auto"/>
        <w:bottom w:val="none" w:sz="0" w:space="0" w:color="auto"/>
        <w:right w:val="none" w:sz="0" w:space="0" w:color="auto"/>
      </w:divBdr>
    </w:div>
    <w:div w:id="442001858">
      <w:bodyDiv w:val="1"/>
      <w:marLeft w:val="0"/>
      <w:marRight w:val="0"/>
      <w:marTop w:val="0"/>
      <w:marBottom w:val="0"/>
      <w:divBdr>
        <w:top w:val="none" w:sz="0" w:space="0" w:color="auto"/>
        <w:left w:val="none" w:sz="0" w:space="0" w:color="auto"/>
        <w:bottom w:val="none" w:sz="0" w:space="0" w:color="auto"/>
        <w:right w:val="none" w:sz="0" w:space="0" w:color="auto"/>
      </w:divBdr>
    </w:div>
    <w:div w:id="442262831">
      <w:bodyDiv w:val="1"/>
      <w:marLeft w:val="0"/>
      <w:marRight w:val="0"/>
      <w:marTop w:val="0"/>
      <w:marBottom w:val="0"/>
      <w:divBdr>
        <w:top w:val="none" w:sz="0" w:space="0" w:color="auto"/>
        <w:left w:val="none" w:sz="0" w:space="0" w:color="auto"/>
        <w:bottom w:val="none" w:sz="0" w:space="0" w:color="auto"/>
        <w:right w:val="none" w:sz="0" w:space="0" w:color="auto"/>
      </w:divBdr>
    </w:div>
    <w:div w:id="442268523">
      <w:bodyDiv w:val="1"/>
      <w:marLeft w:val="0"/>
      <w:marRight w:val="0"/>
      <w:marTop w:val="0"/>
      <w:marBottom w:val="0"/>
      <w:divBdr>
        <w:top w:val="none" w:sz="0" w:space="0" w:color="auto"/>
        <w:left w:val="none" w:sz="0" w:space="0" w:color="auto"/>
        <w:bottom w:val="none" w:sz="0" w:space="0" w:color="auto"/>
        <w:right w:val="none" w:sz="0" w:space="0" w:color="auto"/>
      </w:divBdr>
    </w:div>
    <w:div w:id="442455641">
      <w:bodyDiv w:val="1"/>
      <w:marLeft w:val="0"/>
      <w:marRight w:val="0"/>
      <w:marTop w:val="0"/>
      <w:marBottom w:val="0"/>
      <w:divBdr>
        <w:top w:val="none" w:sz="0" w:space="0" w:color="auto"/>
        <w:left w:val="none" w:sz="0" w:space="0" w:color="auto"/>
        <w:bottom w:val="none" w:sz="0" w:space="0" w:color="auto"/>
        <w:right w:val="none" w:sz="0" w:space="0" w:color="auto"/>
      </w:divBdr>
    </w:div>
    <w:div w:id="442459227">
      <w:bodyDiv w:val="1"/>
      <w:marLeft w:val="0"/>
      <w:marRight w:val="0"/>
      <w:marTop w:val="0"/>
      <w:marBottom w:val="0"/>
      <w:divBdr>
        <w:top w:val="none" w:sz="0" w:space="0" w:color="auto"/>
        <w:left w:val="none" w:sz="0" w:space="0" w:color="auto"/>
        <w:bottom w:val="none" w:sz="0" w:space="0" w:color="auto"/>
        <w:right w:val="none" w:sz="0" w:space="0" w:color="auto"/>
      </w:divBdr>
    </w:div>
    <w:div w:id="442531200">
      <w:bodyDiv w:val="1"/>
      <w:marLeft w:val="0"/>
      <w:marRight w:val="0"/>
      <w:marTop w:val="0"/>
      <w:marBottom w:val="0"/>
      <w:divBdr>
        <w:top w:val="none" w:sz="0" w:space="0" w:color="auto"/>
        <w:left w:val="none" w:sz="0" w:space="0" w:color="auto"/>
        <w:bottom w:val="none" w:sz="0" w:space="0" w:color="auto"/>
        <w:right w:val="none" w:sz="0" w:space="0" w:color="auto"/>
      </w:divBdr>
    </w:div>
    <w:div w:id="442922444">
      <w:bodyDiv w:val="1"/>
      <w:marLeft w:val="0"/>
      <w:marRight w:val="0"/>
      <w:marTop w:val="0"/>
      <w:marBottom w:val="0"/>
      <w:divBdr>
        <w:top w:val="none" w:sz="0" w:space="0" w:color="auto"/>
        <w:left w:val="none" w:sz="0" w:space="0" w:color="auto"/>
        <w:bottom w:val="none" w:sz="0" w:space="0" w:color="auto"/>
        <w:right w:val="none" w:sz="0" w:space="0" w:color="auto"/>
      </w:divBdr>
    </w:div>
    <w:div w:id="443116371">
      <w:bodyDiv w:val="1"/>
      <w:marLeft w:val="0"/>
      <w:marRight w:val="0"/>
      <w:marTop w:val="0"/>
      <w:marBottom w:val="0"/>
      <w:divBdr>
        <w:top w:val="none" w:sz="0" w:space="0" w:color="auto"/>
        <w:left w:val="none" w:sz="0" w:space="0" w:color="auto"/>
        <w:bottom w:val="none" w:sz="0" w:space="0" w:color="auto"/>
        <w:right w:val="none" w:sz="0" w:space="0" w:color="auto"/>
      </w:divBdr>
    </w:div>
    <w:div w:id="443548008">
      <w:bodyDiv w:val="1"/>
      <w:marLeft w:val="0"/>
      <w:marRight w:val="0"/>
      <w:marTop w:val="0"/>
      <w:marBottom w:val="0"/>
      <w:divBdr>
        <w:top w:val="none" w:sz="0" w:space="0" w:color="auto"/>
        <w:left w:val="none" w:sz="0" w:space="0" w:color="auto"/>
        <w:bottom w:val="none" w:sz="0" w:space="0" w:color="auto"/>
        <w:right w:val="none" w:sz="0" w:space="0" w:color="auto"/>
      </w:divBdr>
    </w:div>
    <w:div w:id="443579841">
      <w:bodyDiv w:val="1"/>
      <w:marLeft w:val="0"/>
      <w:marRight w:val="0"/>
      <w:marTop w:val="0"/>
      <w:marBottom w:val="0"/>
      <w:divBdr>
        <w:top w:val="none" w:sz="0" w:space="0" w:color="auto"/>
        <w:left w:val="none" w:sz="0" w:space="0" w:color="auto"/>
        <w:bottom w:val="none" w:sz="0" w:space="0" w:color="auto"/>
        <w:right w:val="none" w:sz="0" w:space="0" w:color="auto"/>
      </w:divBdr>
    </w:div>
    <w:div w:id="444926159">
      <w:bodyDiv w:val="1"/>
      <w:marLeft w:val="0"/>
      <w:marRight w:val="0"/>
      <w:marTop w:val="0"/>
      <w:marBottom w:val="0"/>
      <w:divBdr>
        <w:top w:val="none" w:sz="0" w:space="0" w:color="auto"/>
        <w:left w:val="none" w:sz="0" w:space="0" w:color="auto"/>
        <w:bottom w:val="none" w:sz="0" w:space="0" w:color="auto"/>
        <w:right w:val="none" w:sz="0" w:space="0" w:color="auto"/>
      </w:divBdr>
    </w:div>
    <w:div w:id="445004825">
      <w:bodyDiv w:val="1"/>
      <w:marLeft w:val="0"/>
      <w:marRight w:val="0"/>
      <w:marTop w:val="0"/>
      <w:marBottom w:val="0"/>
      <w:divBdr>
        <w:top w:val="none" w:sz="0" w:space="0" w:color="auto"/>
        <w:left w:val="none" w:sz="0" w:space="0" w:color="auto"/>
        <w:bottom w:val="none" w:sz="0" w:space="0" w:color="auto"/>
        <w:right w:val="none" w:sz="0" w:space="0" w:color="auto"/>
      </w:divBdr>
    </w:div>
    <w:div w:id="445319634">
      <w:bodyDiv w:val="1"/>
      <w:marLeft w:val="0"/>
      <w:marRight w:val="0"/>
      <w:marTop w:val="0"/>
      <w:marBottom w:val="0"/>
      <w:divBdr>
        <w:top w:val="none" w:sz="0" w:space="0" w:color="auto"/>
        <w:left w:val="none" w:sz="0" w:space="0" w:color="auto"/>
        <w:bottom w:val="none" w:sz="0" w:space="0" w:color="auto"/>
        <w:right w:val="none" w:sz="0" w:space="0" w:color="auto"/>
      </w:divBdr>
    </w:div>
    <w:div w:id="445730863">
      <w:bodyDiv w:val="1"/>
      <w:marLeft w:val="0"/>
      <w:marRight w:val="0"/>
      <w:marTop w:val="0"/>
      <w:marBottom w:val="0"/>
      <w:divBdr>
        <w:top w:val="none" w:sz="0" w:space="0" w:color="auto"/>
        <w:left w:val="none" w:sz="0" w:space="0" w:color="auto"/>
        <w:bottom w:val="none" w:sz="0" w:space="0" w:color="auto"/>
        <w:right w:val="none" w:sz="0" w:space="0" w:color="auto"/>
      </w:divBdr>
    </w:div>
    <w:div w:id="446045166">
      <w:bodyDiv w:val="1"/>
      <w:marLeft w:val="0"/>
      <w:marRight w:val="0"/>
      <w:marTop w:val="0"/>
      <w:marBottom w:val="0"/>
      <w:divBdr>
        <w:top w:val="none" w:sz="0" w:space="0" w:color="auto"/>
        <w:left w:val="none" w:sz="0" w:space="0" w:color="auto"/>
        <w:bottom w:val="none" w:sz="0" w:space="0" w:color="auto"/>
        <w:right w:val="none" w:sz="0" w:space="0" w:color="auto"/>
      </w:divBdr>
    </w:div>
    <w:div w:id="446631201">
      <w:bodyDiv w:val="1"/>
      <w:marLeft w:val="0"/>
      <w:marRight w:val="0"/>
      <w:marTop w:val="0"/>
      <w:marBottom w:val="0"/>
      <w:divBdr>
        <w:top w:val="none" w:sz="0" w:space="0" w:color="auto"/>
        <w:left w:val="none" w:sz="0" w:space="0" w:color="auto"/>
        <w:bottom w:val="none" w:sz="0" w:space="0" w:color="auto"/>
        <w:right w:val="none" w:sz="0" w:space="0" w:color="auto"/>
      </w:divBdr>
    </w:div>
    <w:div w:id="446966121">
      <w:bodyDiv w:val="1"/>
      <w:marLeft w:val="0"/>
      <w:marRight w:val="0"/>
      <w:marTop w:val="0"/>
      <w:marBottom w:val="0"/>
      <w:divBdr>
        <w:top w:val="none" w:sz="0" w:space="0" w:color="auto"/>
        <w:left w:val="none" w:sz="0" w:space="0" w:color="auto"/>
        <w:bottom w:val="none" w:sz="0" w:space="0" w:color="auto"/>
        <w:right w:val="none" w:sz="0" w:space="0" w:color="auto"/>
      </w:divBdr>
    </w:div>
    <w:div w:id="447045912">
      <w:bodyDiv w:val="1"/>
      <w:marLeft w:val="0"/>
      <w:marRight w:val="0"/>
      <w:marTop w:val="0"/>
      <w:marBottom w:val="0"/>
      <w:divBdr>
        <w:top w:val="none" w:sz="0" w:space="0" w:color="auto"/>
        <w:left w:val="none" w:sz="0" w:space="0" w:color="auto"/>
        <w:bottom w:val="none" w:sz="0" w:space="0" w:color="auto"/>
        <w:right w:val="none" w:sz="0" w:space="0" w:color="auto"/>
      </w:divBdr>
    </w:div>
    <w:div w:id="447088483">
      <w:bodyDiv w:val="1"/>
      <w:marLeft w:val="0"/>
      <w:marRight w:val="0"/>
      <w:marTop w:val="0"/>
      <w:marBottom w:val="0"/>
      <w:divBdr>
        <w:top w:val="none" w:sz="0" w:space="0" w:color="auto"/>
        <w:left w:val="none" w:sz="0" w:space="0" w:color="auto"/>
        <w:bottom w:val="none" w:sz="0" w:space="0" w:color="auto"/>
        <w:right w:val="none" w:sz="0" w:space="0" w:color="auto"/>
      </w:divBdr>
    </w:div>
    <w:div w:id="447234871">
      <w:bodyDiv w:val="1"/>
      <w:marLeft w:val="0"/>
      <w:marRight w:val="0"/>
      <w:marTop w:val="0"/>
      <w:marBottom w:val="0"/>
      <w:divBdr>
        <w:top w:val="none" w:sz="0" w:space="0" w:color="auto"/>
        <w:left w:val="none" w:sz="0" w:space="0" w:color="auto"/>
        <w:bottom w:val="none" w:sz="0" w:space="0" w:color="auto"/>
        <w:right w:val="none" w:sz="0" w:space="0" w:color="auto"/>
      </w:divBdr>
    </w:div>
    <w:div w:id="447428669">
      <w:bodyDiv w:val="1"/>
      <w:marLeft w:val="0"/>
      <w:marRight w:val="0"/>
      <w:marTop w:val="0"/>
      <w:marBottom w:val="0"/>
      <w:divBdr>
        <w:top w:val="none" w:sz="0" w:space="0" w:color="auto"/>
        <w:left w:val="none" w:sz="0" w:space="0" w:color="auto"/>
        <w:bottom w:val="none" w:sz="0" w:space="0" w:color="auto"/>
        <w:right w:val="none" w:sz="0" w:space="0" w:color="auto"/>
      </w:divBdr>
    </w:div>
    <w:div w:id="447553547">
      <w:bodyDiv w:val="1"/>
      <w:marLeft w:val="0"/>
      <w:marRight w:val="0"/>
      <w:marTop w:val="0"/>
      <w:marBottom w:val="0"/>
      <w:divBdr>
        <w:top w:val="none" w:sz="0" w:space="0" w:color="auto"/>
        <w:left w:val="none" w:sz="0" w:space="0" w:color="auto"/>
        <w:bottom w:val="none" w:sz="0" w:space="0" w:color="auto"/>
        <w:right w:val="none" w:sz="0" w:space="0" w:color="auto"/>
      </w:divBdr>
    </w:div>
    <w:div w:id="447554170">
      <w:bodyDiv w:val="1"/>
      <w:marLeft w:val="0"/>
      <w:marRight w:val="0"/>
      <w:marTop w:val="0"/>
      <w:marBottom w:val="0"/>
      <w:divBdr>
        <w:top w:val="none" w:sz="0" w:space="0" w:color="auto"/>
        <w:left w:val="none" w:sz="0" w:space="0" w:color="auto"/>
        <w:bottom w:val="none" w:sz="0" w:space="0" w:color="auto"/>
        <w:right w:val="none" w:sz="0" w:space="0" w:color="auto"/>
      </w:divBdr>
    </w:div>
    <w:div w:id="447624102">
      <w:bodyDiv w:val="1"/>
      <w:marLeft w:val="0"/>
      <w:marRight w:val="0"/>
      <w:marTop w:val="0"/>
      <w:marBottom w:val="0"/>
      <w:divBdr>
        <w:top w:val="none" w:sz="0" w:space="0" w:color="auto"/>
        <w:left w:val="none" w:sz="0" w:space="0" w:color="auto"/>
        <w:bottom w:val="none" w:sz="0" w:space="0" w:color="auto"/>
        <w:right w:val="none" w:sz="0" w:space="0" w:color="auto"/>
      </w:divBdr>
    </w:div>
    <w:div w:id="447746561">
      <w:bodyDiv w:val="1"/>
      <w:marLeft w:val="0"/>
      <w:marRight w:val="0"/>
      <w:marTop w:val="0"/>
      <w:marBottom w:val="0"/>
      <w:divBdr>
        <w:top w:val="none" w:sz="0" w:space="0" w:color="auto"/>
        <w:left w:val="none" w:sz="0" w:space="0" w:color="auto"/>
        <w:bottom w:val="none" w:sz="0" w:space="0" w:color="auto"/>
        <w:right w:val="none" w:sz="0" w:space="0" w:color="auto"/>
      </w:divBdr>
    </w:div>
    <w:div w:id="448624462">
      <w:bodyDiv w:val="1"/>
      <w:marLeft w:val="0"/>
      <w:marRight w:val="0"/>
      <w:marTop w:val="0"/>
      <w:marBottom w:val="0"/>
      <w:divBdr>
        <w:top w:val="none" w:sz="0" w:space="0" w:color="auto"/>
        <w:left w:val="none" w:sz="0" w:space="0" w:color="auto"/>
        <w:bottom w:val="none" w:sz="0" w:space="0" w:color="auto"/>
        <w:right w:val="none" w:sz="0" w:space="0" w:color="auto"/>
      </w:divBdr>
    </w:div>
    <w:div w:id="448671365">
      <w:bodyDiv w:val="1"/>
      <w:marLeft w:val="0"/>
      <w:marRight w:val="0"/>
      <w:marTop w:val="0"/>
      <w:marBottom w:val="0"/>
      <w:divBdr>
        <w:top w:val="none" w:sz="0" w:space="0" w:color="auto"/>
        <w:left w:val="none" w:sz="0" w:space="0" w:color="auto"/>
        <w:bottom w:val="none" w:sz="0" w:space="0" w:color="auto"/>
        <w:right w:val="none" w:sz="0" w:space="0" w:color="auto"/>
      </w:divBdr>
    </w:div>
    <w:div w:id="448740343">
      <w:bodyDiv w:val="1"/>
      <w:marLeft w:val="0"/>
      <w:marRight w:val="0"/>
      <w:marTop w:val="0"/>
      <w:marBottom w:val="0"/>
      <w:divBdr>
        <w:top w:val="none" w:sz="0" w:space="0" w:color="auto"/>
        <w:left w:val="none" w:sz="0" w:space="0" w:color="auto"/>
        <w:bottom w:val="none" w:sz="0" w:space="0" w:color="auto"/>
        <w:right w:val="none" w:sz="0" w:space="0" w:color="auto"/>
      </w:divBdr>
    </w:div>
    <w:div w:id="449208292">
      <w:bodyDiv w:val="1"/>
      <w:marLeft w:val="0"/>
      <w:marRight w:val="0"/>
      <w:marTop w:val="0"/>
      <w:marBottom w:val="0"/>
      <w:divBdr>
        <w:top w:val="none" w:sz="0" w:space="0" w:color="auto"/>
        <w:left w:val="none" w:sz="0" w:space="0" w:color="auto"/>
        <w:bottom w:val="none" w:sz="0" w:space="0" w:color="auto"/>
        <w:right w:val="none" w:sz="0" w:space="0" w:color="auto"/>
      </w:divBdr>
    </w:div>
    <w:div w:id="449249775">
      <w:bodyDiv w:val="1"/>
      <w:marLeft w:val="0"/>
      <w:marRight w:val="0"/>
      <w:marTop w:val="0"/>
      <w:marBottom w:val="0"/>
      <w:divBdr>
        <w:top w:val="none" w:sz="0" w:space="0" w:color="auto"/>
        <w:left w:val="none" w:sz="0" w:space="0" w:color="auto"/>
        <w:bottom w:val="none" w:sz="0" w:space="0" w:color="auto"/>
        <w:right w:val="none" w:sz="0" w:space="0" w:color="auto"/>
      </w:divBdr>
    </w:div>
    <w:div w:id="449667542">
      <w:bodyDiv w:val="1"/>
      <w:marLeft w:val="0"/>
      <w:marRight w:val="0"/>
      <w:marTop w:val="0"/>
      <w:marBottom w:val="0"/>
      <w:divBdr>
        <w:top w:val="none" w:sz="0" w:space="0" w:color="auto"/>
        <w:left w:val="none" w:sz="0" w:space="0" w:color="auto"/>
        <w:bottom w:val="none" w:sz="0" w:space="0" w:color="auto"/>
        <w:right w:val="none" w:sz="0" w:space="0" w:color="auto"/>
      </w:divBdr>
    </w:div>
    <w:div w:id="449708789">
      <w:bodyDiv w:val="1"/>
      <w:marLeft w:val="0"/>
      <w:marRight w:val="0"/>
      <w:marTop w:val="0"/>
      <w:marBottom w:val="0"/>
      <w:divBdr>
        <w:top w:val="none" w:sz="0" w:space="0" w:color="auto"/>
        <w:left w:val="none" w:sz="0" w:space="0" w:color="auto"/>
        <w:bottom w:val="none" w:sz="0" w:space="0" w:color="auto"/>
        <w:right w:val="none" w:sz="0" w:space="0" w:color="auto"/>
      </w:divBdr>
    </w:div>
    <w:div w:id="449933811">
      <w:bodyDiv w:val="1"/>
      <w:marLeft w:val="0"/>
      <w:marRight w:val="0"/>
      <w:marTop w:val="0"/>
      <w:marBottom w:val="0"/>
      <w:divBdr>
        <w:top w:val="none" w:sz="0" w:space="0" w:color="auto"/>
        <w:left w:val="none" w:sz="0" w:space="0" w:color="auto"/>
        <w:bottom w:val="none" w:sz="0" w:space="0" w:color="auto"/>
        <w:right w:val="none" w:sz="0" w:space="0" w:color="auto"/>
      </w:divBdr>
    </w:div>
    <w:div w:id="449976551">
      <w:bodyDiv w:val="1"/>
      <w:marLeft w:val="0"/>
      <w:marRight w:val="0"/>
      <w:marTop w:val="0"/>
      <w:marBottom w:val="0"/>
      <w:divBdr>
        <w:top w:val="none" w:sz="0" w:space="0" w:color="auto"/>
        <w:left w:val="none" w:sz="0" w:space="0" w:color="auto"/>
        <w:bottom w:val="none" w:sz="0" w:space="0" w:color="auto"/>
        <w:right w:val="none" w:sz="0" w:space="0" w:color="auto"/>
      </w:divBdr>
    </w:div>
    <w:div w:id="450174070">
      <w:bodyDiv w:val="1"/>
      <w:marLeft w:val="0"/>
      <w:marRight w:val="0"/>
      <w:marTop w:val="0"/>
      <w:marBottom w:val="0"/>
      <w:divBdr>
        <w:top w:val="none" w:sz="0" w:space="0" w:color="auto"/>
        <w:left w:val="none" w:sz="0" w:space="0" w:color="auto"/>
        <w:bottom w:val="none" w:sz="0" w:space="0" w:color="auto"/>
        <w:right w:val="none" w:sz="0" w:space="0" w:color="auto"/>
      </w:divBdr>
    </w:div>
    <w:div w:id="450365894">
      <w:bodyDiv w:val="1"/>
      <w:marLeft w:val="0"/>
      <w:marRight w:val="0"/>
      <w:marTop w:val="0"/>
      <w:marBottom w:val="0"/>
      <w:divBdr>
        <w:top w:val="none" w:sz="0" w:space="0" w:color="auto"/>
        <w:left w:val="none" w:sz="0" w:space="0" w:color="auto"/>
        <w:bottom w:val="none" w:sz="0" w:space="0" w:color="auto"/>
        <w:right w:val="none" w:sz="0" w:space="0" w:color="auto"/>
      </w:divBdr>
    </w:div>
    <w:div w:id="450513569">
      <w:bodyDiv w:val="1"/>
      <w:marLeft w:val="0"/>
      <w:marRight w:val="0"/>
      <w:marTop w:val="0"/>
      <w:marBottom w:val="0"/>
      <w:divBdr>
        <w:top w:val="none" w:sz="0" w:space="0" w:color="auto"/>
        <w:left w:val="none" w:sz="0" w:space="0" w:color="auto"/>
        <w:bottom w:val="none" w:sz="0" w:space="0" w:color="auto"/>
        <w:right w:val="none" w:sz="0" w:space="0" w:color="auto"/>
      </w:divBdr>
    </w:div>
    <w:div w:id="450587726">
      <w:bodyDiv w:val="1"/>
      <w:marLeft w:val="0"/>
      <w:marRight w:val="0"/>
      <w:marTop w:val="0"/>
      <w:marBottom w:val="0"/>
      <w:divBdr>
        <w:top w:val="none" w:sz="0" w:space="0" w:color="auto"/>
        <w:left w:val="none" w:sz="0" w:space="0" w:color="auto"/>
        <w:bottom w:val="none" w:sz="0" w:space="0" w:color="auto"/>
        <w:right w:val="none" w:sz="0" w:space="0" w:color="auto"/>
      </w:divBdr>
    </w:div>
    <w:div w:id="450784808">
      <w:bodyDiv w:val="1"/>
      <w:marLeft w:val="0"/>
      <w:marRight w:val="0"/>
      <w:marTop w:val="0"/>
      <w:marBottom w:val="0"/>
      <w:divBdr>
        <w:top w:val="none" w:sz="0" w:space="0" w:color="auto"/>
        <w:left w:val="none" w:sz="0" w:space="0" w:color="auto"/>
        <w:bottom w:val="none" w:sz="0" w:space="0" w:color="auto"/>
        <w:right w:val="none" w:sz="0" w:space="0" w:color="auto"/>
      </w:divBdr>
    </w:div>
    <w:div w:id="451634692">
      <w:bodyDiv w:val="1"/>
      <w:marLeft w:val="0"/>
      <w:marRight w:val="0"/>
      <w:marTop w:val="0"/>
      <w:marBottom w:val="0"/>
      <w:divBdr>
        <w:top w:val="none" w:sz="0" w:space="0" w:color="auto"/>
        <w:left w:val="none" w:sz="0" w:space="0" w:color="auto"/>
        <w:bottom w:val="none" w:sz="0" w:space="0" w:color="auto"/>
        <w:right w:val="none" w:sz="0" w:space="0" w:color="auto"/>
      </w:divBdr>
    </w:div>
    <w:div w:id="451948187">
      <w:bodyDiv w:val="1"/>
      <w:marLeft w:val="0"/>
      <w:marRight w:val="0"/>
      <w:marTop w:val="0"/>
      <w:marBottom w:val="0"/>
      <w:divBdr>
        <w:top w:val="none" w:sz="0" w:space="0" w:color="auto"/>
        <w:left w:val="none" w:sz="0" w:space="0" w:color="auto"/>
        <w:bottom w:val="none" w:sz="0" w:space="0" w:color="auto"/>
        <w:right w:val="none" w:sz="0" w:space="0" w:color="auto"/>
      </w:divBdr>
    </w:div>
    <w:div w:id="452553078">
      <w:bodyDiv w:val="1"/>
      <w:marLeft w:val="0"/>
      <w:marRight w:val="0"/>
      <w:marTop w:val="0"/>
      <w:marBottom w:val="0"/>
      <w:divBdr>
        <w:top w:val="none" w:sz="0" w:space="0" w:color="auto"/>
        <w:left w:val="none" w:sz="0" w:space="0" w:color="auto"/>
        <w:bottom w:val="none" w:sz="0" w:space="0" w:color="auto"/>
        <w:right w:val="none" w:sz="0" w:space="0" w:color="auto"/>
      </w:divBdr>
    </w:div>
    <w:div w:id="452791394">
      <w:bodyDiv w:val="1"/>
      <w:marLeft w:val="0"/>
      <w:marRight w:val="0"/>
      <w:marTop w:val="0"/>
      <w:marBottom w:val="0"/>
      <w:divBdr>
        <w:top w:val="none" w:sz="0" w:space="0" w:color="auto"/>
        <w:left w:val="none" w:sz="0" w:space="0" w:color="auto"/>
        <w:bottom w:val="none" w:sz="0" w:space="0" w:color="auto"/>
        <w:right w:val="none" w:sz="0" w:space="0" w:color="auto"/>
      </w:divBdr>
    </w:div>
    <w:div w:id="452942055">
      <w:bodyDiv w:val="1"/>
      <w:marLeft w:val="0"/>
      <w:marRight w:val="0"/>
      <w:marTop w:val="0"/>
      <w:marBottom w:val="0"/>
      <w:divBdr>
        <w:top w:val="none" w:sz="0" w:space="0" w:color="auto"/>
        <w:left w:val="none" w:sz="0" w:space="0" w:color="auto"/>
        <w:bottom w:val="none" w:sz="0" w:space="0" w:color="auto"/>
        <w:right w:val="none" w:sz="0" w:space="0" w:color="auto"/>
      </w:divBdr>
    </w:div>
    <w:div w:id="453594916">
      <w:bodyDiv w:val="1"/>
      <w:marLeft w:val="0"/>
      <w:marRight w:val="0"/>
      <w:marTop w:val="0"/>
      <w:marBottom w:val="0"/>
      <w:divBdr>
        <w:top w:val="none" w:sz="0" w:space="0" w:color="auto"/>
        <w:left w:val="none" w:sz="0" w:space="0" w:color="auto"/>
        <w:bottom w:val="none" w:sz="0" w:space="0" w:color="auto"/>
        <w:right w:val="none" w:sz="0" w:space="0" w:color="auto"/>
      </w:divBdr>
    </w:div>
    <w:div w:id="454175407">
      <w:bodyDiv w:val="1"/>
      <w:marLeft w:val="0"/>
      <w:marRight w:val="0"/>
      <w:marTop w:val="0"/>
      <w:marBottom w:val="0"/>
      <w:divBdr>
        <w:top w:val="none" w:sz="0" w:space="0" w:color="auto"/>
        <w:left w:val="none" w:sz="0" w:space="0" w:color="auto"/>
        <w:bottom w:val="none" w:sz="0" w:space="0" w:color="auto"/>
        <w:right w:val="none" w:sz="0" w:space="0" w:color="auto"/>
      </w:divBdr>
    </w:div>
    <w:div w:id="454560984">
      <w:bodyDiv w:val="1"/>
      <w:marLeft w:val="0"/>
      <w:marRight w:val="0"/>
      <w:marTop w:val="0"/>
      <w:marBottom w:val="0"/>
      <w:divBdr>
        <w:top w:val="none" w:sz="0" w:space="0" w:color="auto"/>
        <w:left w:val="none" w:sz="0" w:space="0" w:color="auto"/>
        <w:bottom w:val="none" w:sz="0" w:space="0" w:color="auto"/>
        <w:right w:val="none" w:sz="0" w:space="0" w:color="auto"/>
      </w:divBdr>
    </w:div>
    <w:div w:id="454641202">
      <w:bodyDiv w:val="1"/>
      <w:marLeft w:val="0"/>
      <w:marRight w:val="0"/>
      <w:marTop w:val="0"/>
      <w:marBottom w:val="0"/>
      <w:divBdr>
        <w:top w:val="none" w:sz="0" w:space="0" w:color="auto"/>
        <w:left w:val="none" w:sz="0" w:space="0" w:color="auto"/>
        <w:bottom w:val="none" w:sz="0" w:space="0" w:color="auto"/>
        <w:right w:val="none" w:sz="0" w:space="0" w:color="auto"/>
      </w:divBdr>
    </w:div>
    <w:div w:id="454910423">
      <w:bodyDiv w:val="1"/>
      <w:marLeft w:val="0"/>
      <w:marRight w:val="0"/>
      <w:marTop w:val="0"/>
      <w:marBottom w:val="0"/>
      <w:divBdr>
        <w:top w:val="none" w:sz="0" w:space="0" w:color="auto"/>
        <w:left w:val="none" w:sz="0" w:space="0" w:color="auto"/>
        <w:bottom w:val="none" w:sz="0" w:space="0" w:color="auto"/>
        <w:right w:val="none" w:sz="0" w:space="0" w:color="auto"/>
      </w:divBdr>
    </w:div>
    <w:div w:id="455294479">
      <w:bodyDiv w:val="1"/>
      <w:marLeft w:val="0"/>
      <w:marRight w:val="0"/>
      <w:marTop w:val="0"/>
      <w:marBottom w:val="0"/>
      <w:divBdr>
        <w:top w:val="none" w:sz="0" w:space="0" w:color="auto"/>
        <w:left w:val="none" w:sz="0" w:space="0" w:color="auto"/>
        <w:bottom w:val="none" w:sz="0" w:space="0" w:color="auto"/>
        <w:right w:val="none" w:sz="0" w:space="0" w:color="auto"/>
      </w:divBdr>
    </w:div>
    <w:div w:id="455679515">
      <w:bodyDiv w:val="1"/>
      <w:marLeft w:val="0"/>
      <w:marRight w:val="0"/>
      <w:marTop w:val="0"/>
      <w:marBottom w:val="0"/>
      <w:divBdr>
        <w:top w:val="none" w:sz="0" w:space="0" w:color="auto"/>
        <w:left w:val="none" w:sz="0" w:space="0" w:color="auto"/>
        <w:bottom w:val="none" w:sz="0" w:space="0" w:color="auto"/>
        <w:right w:val="none" w:sz="0" w:space="0" w:color="auto"/>
      </w:divBdr>
    </w:div>
    <w:div w:id="455948924">
      <w:bodyDiv w:val="1"/>
      <w:marLeft w:val="0"/>
      <w:marRight w:val="0"/>
      <w:marTop w:val="0"/>
      <w:marBottom w:val="0"/>
      <w:divBdr>
        <w:top w:val="none" w:sz="0" w:space="0" w:color="auto"/>
        <w:left w:val="none" w:sz="0" w:space="0" w:color="auto"/>
        <w:bottom w:val="none" w:sz="0" w:space="0" w:color="auto"/>
        <w:right w:val="none" w:sz="0" w:space="0" w:color="auto"/>
      </w:divBdr>
    </w:div>
    <w:div w:id="456147337">
      <w:bodyDiv w:val="1"/>
      <w:marLeft w:val="0"/>
      <w:marRight w:val="0"/>
      <w:marTop w:val="0"/>
      <w:marBottom w:val="0"/>
      <w:divBdr>
        <w:top w:val="none" w:sz="0" w:space="0" w:color="auto"/>
        <w:left w:val="none" w:sz="0" w:space="0" w:color="auto"/>
        <w:bottom w:val="none" w:sz="0" w:space="0" w:color="auto"/>
        <w:right w:val="none" w:sz="0" w:space="0" w:color="auto"/>
      </w:divBdr>
    </w:div>
    <w:div w:id="456489333">
      <w:bodyDiv w:val="1"/>
      <w:marLeft w:val="0"/>
      <w:marRight w:val="0"/>
      <w:marTop w:val="0"/>
      <w:marBottom w:val="0"/>
      <w:divBdr>
        <w:top w:val="none" w:sz="0" w:space="0" w:color="auto"/>
        <w:left w:val="none" w:sz="0" w:space="0" w:color="auto"/>
        <w:bottom w:val="none" w:sz="0" w:space="0" w:color="auto"/>
        <w:right w:val="none" w:sz="0" w:space="0" w:color="auto"/>
      </w:divBdr>
    </w:div>
    <w:div w:id="456527722">
      <w:bodyDiv w:val="1"/>
      <w:marLeft w:val="0"/>
      <w:marRight w:val="0"/>
      <w:marTop w:val="0"/>
      <w:marBottom w:val="0"/>
      <w:divBdr>
        <w:top w:val="none" w:sz="0" w:space="0" w:color="auto"/>
        <w:left w:val="none" w:sz="0" w:space="0" w:color="auto"/>
        <w:bottom w:val="none" w:sz="0" w:space="0" w:color="auto"/>
        <w:right w:val="none" w:sz="0" w:space="0" w:color="auto"/>
      </w:divBdr>
    </w:div>
    <w:div w:id="456603554">
      <w:bodyDiv w:val="1"/>
      <w:marLeft w:val="0"/>
      <w:marRight w:val="0"/>
      <w:marTop w:val="0"/>
      <w:marBottom w:val="0"/>
      <w:divBdr>
        <w:top w:val="none" w:sz="0" w:space="0" w:color="auto"/>
        <w:left w:val="none" w:sz="0" w:space="0" w:color="auto"/>
        <w:bottom w:val="none" w:sz="0" w:space="0" w:color="auto"/>
        <w:right w:val="none" w:sz="0" w:space="0" w:color="auto"/>
      </w:divBdr>
    </w:div>
    <w:div w:id="456607456">
      <w:bodyDiv w:val="1"/>
      <w:marLeft w:val="0"/>
      <w:marRight w:val="0"/>
      <w:marTop w:val="0"/>
      <w:marBottom w:val="0"/>
      <w:divBdr>
        <w:top w:val="none" w:sz="0" w:space="0" w:color="auto"/>
        <w:left w:val="none" w:sz="0" w:space="0" w:color="auto"/>
        <w:bottom w:val="none" w:sz="0" w:space="0" w:color="auto"/>
        <w:right w:val="none" w:sz="0" w:space="0" w:color="auto"/>
      </w:divBdr>
    </w:div>
    <w:div w:id="456610482">
      <w:bodyDiv w:val="1"/>
      <w:marLeft w:val="0"/>
      <w:marRight w:val="0"/>
      <w:marTop w:val="0"/>
      <w:marBottom w:val="0"/>
      <w:divBdr>
        <w:top w:val="none" w:sz="0" w:space="0" w:color="auto"/>
        <w:left w:val="none" w:sz="0" w:space="0" w:color="auto"/>
        <w:bottom w:val="none" w:sz="0" w:space="0" w:color="auto"/>
        <w:right w:val="none" w:sz="0" w:space="0" w:color="auto"/>
      </w:divBdr>
    </w:div>
    <w:div w:id="457186758">
      <w:bodyDiv w:val="1"/>
      <w:marLeft w:val="0"/>
      <w:marRight w:val="0"/>
      <w:marTop w:val="0"/>
      <w:marBottom w:val="0"/>
      <w:divBdr>
        <w:top w:val="none" w:sz="0" w:space="0" w:color="auto"/>
        <w:left w:val="none" w:sz="0" w:space="0" w:color="auto"/>
        <w:bottom w:val="none" w:sz="0" w:space="0" w:color="auto"/>
        <w:right w:val="none" w:sz="0" w:space="0" w:color="auto"/>
      </w:divBdr>
    </w:div>
    <w:div w:id="457263291">
      <w:bodyDiv w:val="1"/>
      <w:marLeft w:val="0"/>
      <w:marRight w:val="0"/>
      <w:marTop w:val="0"/>
      <w:marBottom w:val="0"/>
      <w:divBdr>
        <w:top w:val="none" w:sz="0" w:space="0" w:color="auto"/>
        <w:left w:val="none" w:sz="0" w:space="0" w:color="auto"/>
        <w:bottom w:val="none" w:sz="0" w:space="0" w:color="auto"/>
        <w:right w:val="none" w:sz="0" w:space="0" w:color="auto"/>
      </w:divBdr>
    </w:div>
    <w:div w:id="457266666">
      <w:bodyDiv w:val="1"/>
      <w:marLeft w:val="0"/>
      <w:marRight w:val="0"/>
      <w:marTop w:val="0"/>
      <w:marBottom w:val="0"/>
      <w:divBdr>
        <w:top w:val="none" w:sz="0" w:space="0" w:color="auto"/>
        <w:left w:val="none" w:sz="0" w:space="0" w:color="auto"/>
        <w:bottom w:val="none" w:sz="0" w:space="0" w:color="auto"/>
        <w:right w:val="none" w:sz="0" w:space="0" w:color="auto"/>
      </w:divBdr>
    </w:div>
    <w:div w:id="457383423">
      <w:bodyDiv w:val="1"/>
      <w:marLeft w:val="0"/>
      <w:marRight w:val="0"/>
      <w:marTop w:val="0"/>
      <w:marBottom w:val="0"/>
      <w:divBdr>
        <w:top w:val="none" w:sz="0" w:space="0" w:color="auto"/>
        <w:left w:val="none" w:sz="0" w:space="0" w:color="auto"/>
        <w:bottom w:val="none" w:sz="0" w:space="0" w:color="auto"/>
        <w:right w:val="none" w:sz="0" w:space="0" w:color="auto"/>
      </w:divBdr>
    </w:div>
    <w:div w:id="457525855">
      <w:bodyDiv w:val="1"/>
      <w:marLeft w:val="0"/>
      <w:marRight w:val="0"/>
      <w:marTop w:val="0"/>
      <w:marBottom w:val="0"/>
      <w:divBdr>
        <w:top w:val="none" w:sz="0" w:space="0" w:color="auto"/>
        <w:left w:val="none" w:sz="0" w:space="0" w:color="auto"/>
        <w:bottom w:val="none" w:sz="0" w:space="0" w:color="auto"/>
        <w:right w:val="none" w:sz="0" w:space="0" w:color="auto"/>
      </w:divBdr>
    </w:div>
    <w:div w:id="457719181">
      <w:bodyDiv w:val="1"/>
      <w:marLeft w:val="0"/>
      <w:marRight w:val="0"/>
      <w:marTop w:val="0"/>
      <w:marBottom w:val="0"/>
      <w:divBdr>
        <w:top w:val="none" w:sz="0" w:space="0" w:color="auto"/>
        <w:left w:val="none" w:sz="0" w:space="0" w:color="auto"/>
        <w:bottom w:val="none" w:sz="0" w:space="0" w:color="auto"/>
        <w:right w:val="none" w:sz="0" w:space="0" w:color="auto"/>
      </w:divBdr>
    </w:div>
    <w:div w:id="458107725">
      <w:bodyDiv w:val="1"/>
      <w:marLeft w:val="0"/>
      <w:marRight w:val="0"/>
      <w:marTop w:val="0"/>
      <w:marBottom w:val="0"/>
      <w:divBdr>
        <w:top w:val="none" w:sz="0" w:space="0" w:color="auto"/>
        <w:left w:val="none" w:sz="0" w:space="0" w:color="auto"/>
        <w:bottom w:val="none" w:sz="0" w:space="0" w:color="auto"/>
        <w:right w:val="none" w:sz="0" w:space="0" w:color="auto"/>
      </w:divBdr>
    </w:div>
    <w:div w:id="458453677">
      <w:bodyDiv w:val="1"/>
      <w:marLeft w:val="0"/>
      <w:marRight w:val="0"/>
      <w:marTop w:val="0"/>
      <w:marBottom w:val="0"/>
      <w:divBdr>
        <w:top w:val="none" w:sz="0" w:space="0" w:color="auto"/>
        <w:left w:val="none" w:sz="0" w:space="0" w:color="auto"/>
        <w:bottom w:val="none" w:sz="0" w:space="0" w:color="auto"/>
        <w:right w:val="none" w:sz="0" w:space="0" w:color="auto"/>
      </w:divBdr>
    </w:div>
    <w:div w:id="459038019">
      <w:bodyDiv w:val="1"/>
      <w:marLeft w:val="0"/>
      <w:marRight w:val="0"/>
      <w:marTop w:val="0"/>
      <w:marBottom w:val="0"/>
      <w:divBdr>
        <w:top w:val="none" w:sz="0" w:space="0" w:color="auto"/>
        <w:left w:val="none" w:sz="0" w:space="0" w:color="auto"/>
        <w:bottom w:val="none" w:sz="0" w:space="0" w:color="auto"/>
        <w:right w:val="none" w:sz="0" w:space="0" w:color="auto"/>
      </w:divBdr>
    </w:div>
    <w:div w:id="459110558">
      <w:bodyDiv w:val="1"/>
      <w:marLeft w:val="0"/>
      <w:marRight w:val="0"/>
      <w:marTop w:val="0"/>
      <w:marBottom w:val="0"/>
      <w:divBdr>
        <w:top w:val="none" w:sz="0" w:space="0" w:color="auto"/>
        <w:left w:val="none" w:sz="0" w:space="0" w:color="auto"/>
        <w:bottom w:val="none" w:sz="0" w:space="0" w:color="auto"/>
        <w:right w:val="none" w:sz="0" w:space="0" w:color="auto"/>
      </w:divBdr>
    </w:div>
    <w:div w:id="459610486">
      <w:bodyDiv w:val="1"/>
      <w:marLeft w:val="0"/>
      <w:marRight w:val="0"/>
      <w:marTop w:val="0"/>
      <w:marBottom w:val="0"/>
      <w:divBdr>
        <w:top w:val="none" w:sz="0" w:space="0" w:color="auto"/>
        <w:left w:val="none" w:sz="0" w:space="0" w:color="auto"/>
        <w:bottom w:val="none" w:sz="0" w:space="0" w:color="auto"/>
        <w:right w:val="none" w:sz="0" w:space="0" w:color="auto"/>
      </w:divBdr>
    </w:div>
    <w:div w:id="460347321">
      <w:bodyDiv w:val="1"/>
      <w:marLeft w:val="0"/>
      <w:marRight w:val="0"/>
      <w:marTop w:val="0"/>
      <w:marBottom w:val="0"/>
      <w:divBdr>
        <w:top w:val="none" w:sz="0" w:space="0" w:color="auto"/>
        <w:left w:val="none" w:sz="0" w:space="0" w:color="auto"/>
        <w:bottom w:val="none" w:sz="0" w:space="0" w:color="auto"/>
        <w:right w:val="none" w:sz="0" w:space="0" w:color="auto"/>
      </w:divBdr>
    </w:div>
    <w:div w:id="460653873">
      <w:bodyDiv w:val="1"/>
      <w:marLeft w:val="0"/>
      <w:marRight w:val="0"/>
      <w:marTop w:val="0"/>
      <w:marBottom w:val="0"/>
      <w:divBdr>
        <w:top w:val="none" w:sz="0" w:space="0" w:color="auto"/>
        <w:left w:val="none" w:sz="0" w:space="0" w:color="auto"/>
        <w:bottom w:val="none" w:sz="0" w:space="0" w:color="auto"/>
        <w:right w:val="none" w:sz="0" w:space="0" w:color="auto"/>
      </w:divBdr>
    </w:div>
    <w:div w:id="460928609">
      <w:bodyDiv w:val="1"/>
      <w:marLeft w:val="0"/>
      <w:marRight w:val="0"/>
      <w:marTop w:val="0"/>
      <w:marBottom w:val="0"/>
      <w:divBdr>
        <w:top w:val="none" w:sz="0" w:space="0" w:color="auto"/>
        <w:left w:val="none" w:sz="0" w:space="0" w:color="auto"/>
        <w:bottom w:val="none" w:sz="0" w:space="0" w:color="auto"/>
        <w:right w:val="none" w:sz="0" w:space="0" w:color="auto"/>
      </w:divBdr>
    </w:div>
    <w:div w:id="461385162">
      <w:bodyDiv w:val="1"/>
      <w:marLeft w:val="0"/>
      <w:marRight w:val="0"/>
      <w:marTop w:val="0"/>
      <w:marBottom w:val="0"/>
      <w:divBdr>
        <w:top w:val="none" w:sz="0" w:space="0" w:color="auto"/>
        <w:left w:val="none" w:sz="0" w:space="0" w:color="auto"/>
        <w:bottom w:val="none" w:sz="0" w:space="0" w:color="auto"/>
        <w:right w:val="none" w:sz="0" w:space="0" w:color="auto"/>
      </w:divBdr>
    </w:div>
    <w:div w:id="461463603">
      <w:bodyDiv w:val="1"/>
      <w:marLeft w:val="0"/>
      <w:marRight w:val="0"/>
      <w:marTop w:val="0"/>
      <w:marBottom w:val="0"/>
      <w:divBdr>
        <w:top w:val="none" w:sz="0" w:space="0" w:color="auto"/>
        <w:left w:val="none" w:sz="0" w:space="0" w:color="auto"/>
        <w:bottom w:val="none" w:sz="0" w:space="0" w:color="auto"/>
        <w:right w:val="none" w:sz="0" w:space="0" w:color="auto"/>
      </w:divBdr>
    </w:div>
    <w:div w:id="461922574">
      <w:bodyDiv w:val="1"/>
      <w:marLeft w:val="0"/>
      <w:marRight w:val="0"/>
      <w:marTop w:val="0"/>
      <w:marBottom w:val="0"/>
      <w:divBdr>
        <w:top w:val="none" w:sz="0" w:space="0" w:color="auto"/>
        <w:left w:val="none" w:sz="0" w:space="0" w:color="auto"/>
        <w:bottom w:val="none" w:sz="0" w:space="0" w:color="auto"/>
        <w:right w:val="none" w:sz="0" w:space="0" w:color="auto"/>
      </w:divBdr>
    </w:div>
    <w:div w:id="462038652">
      <w:bodyDiv w:val="1"/>
      <w:marLeft w:val="0"/>
      <w:marRight w:val="0"/>
      <w:marTop w:val="0"/>
      <w:marBottom w:val="0"/>
      <w:divBdr>
        <w:top w:val="none" w:sz="0" w:space="0" w:color="auto"/>
        <w:left w:val="none" w:sz="0" w:space="0" w:color="auto"/>
        <w:bottom w:val="none" w:sz="0" w:space="0" w:color="auto"/>
        <w:right w:val="none" w:sz="0" w:space="0" w:color="auto"/>
      </w:divBdr>
    </w:div>
    <w:div w:id="462117147">
      <w:bodyDiv w:val="1"/>
      <w:marLeft w:val="0"/>
      <w:marRight w:val="0"/>
      <w:marTop w:val="0"/>
      <w:marBottom w:val="0"/>
      <w:divBdr>
        <w:top w:val="none" w:sz="0" w:space="0" w:color="auto"/>
        <w:left w:val="none" w:sz="0" w:space="0" w:color="auto"/>
        <w:bottom w:val="none" w:sz="0" w:space="0" w:color="auto"/>
        <w:right w:val="none" w:sz="0" w:space="0" w:color="auto"/>
      </w:divBdr>
    </w:div>
    <w:div w:id="462577665">
      <w:bodyDiv w:val="1"/>
      <w:marLeft w:val="0"/>
      <w:marRight w:val="0"/>
      <w:marTop w:val="0"/>
      <w:marBottom w:val="0"/>
      <w:divBdr>
        <w:top w:val="none" w:sz="0" w:space="0" w:color="auto"/>
        <w:left w:val="none" w:sz="0" w:space="0" w:color="auto"/>
        <w:bottom w:val="none" w:sz="0" w:space="0" w:color="auto"/>
        <w:right w:val="none" w:sz="0" w:space="0" w:color="auto"/>
      </w:divBdr>
    </w:div>
    <w:div w:id="462620339">
      <w:bodyDiv w:val="1"/>
      <w:marLeft w:val="0"/>
      <w:marRight w:val="0"/>
      <w:marTop w:val="0"/>
      <w:marBottom w:val="0"/>
      <w:divBdr>
        <w:top w:val="none" w:sz="0" w:space="0" w:color="auto"/>
        <w:left w:val="none" w:sz="0" w:space="0" w:color="auto"/>
        <w:bottom w:val="none" w:sz="0" w:space="0" w:color="auto"/>
        <w:right w:val="none" w:sz="0" w:space="0" w:color="auto"/>
      </w:divBdr>
    </w:div>
    <w:div w:id="462625087">
      <w:bodyDiv w:val="1"/>
      <w:marLeft w:val="0"/>
      <w:marRight w:val="0"/>
      <w:marTop w:val="0"/>
      <w:marBottom w:val="0"/>
      <w:divBdr>
        <w:top w:val="none" w:sz="0" w:space="0" w:color="auto"/>
        <w:left w:val="none" w:sz="0" w:space="0" w:color="auto"/>
        <w:bottom w:val="none" w:sz="0" w:space="0" w:color="auto"/>
        <w:right w:val="none" w:sz="0" w:space="0" w:color="auto"/>
      </w:divBdr>
    </w:div>
    <w:div w:id="462775512">
      <w:bodyDiv w:val="1"/>
      <w:marLeft w:val="0"/>
      <w:marRight w:val="0"/>
      <w:marTop w:val="0"/>
      <w:marBottom w:val="0"/>
      <w:divBdr>
        <w:top w:val="none" w:sz="0" w:space="0" w:color="auto"/>
        <w:left w:val="none" w:sz="0" w:space="0" w:color="auto"/>
        <w:bottom w:val="none" w:sz="0" w:space="0" w:color="auto"/>
        <w:right w:val="none" w:sz="0" w:space="0" w:color="auto"/>
      </w:divBdr>
    </w:div>
    <w:div w:id="462891576">
      <w:bodyDiv w:val="1"/>
      <w:marLeft w:val="0"/>
      <w:marRight w:val="0"/>
      <w:marTop w:val="0"/>
      <w:marBottom w:val="0"/>
      <w:divBdr>
        <w:top w:val="none" w:sz="0" w:space="0" w:color="auto"/>
        <w:left w:val="none" w:sz="0" w:space="0" w:color="auto"/>
        <w:bottom w:val="none" w:sz="0" w:space="0" w:color="auto"/>
        <w:right w:val="none" w:sz="0" w:space="0" w:color="auto"/>
      </w:divBdr>
    </w:div>
    <w:div w:id="463081662">
      <w:bodyDiv w:val="1"/>
      <w:marLeft w:val="0"/>
      <w:marRight w:val="0"/>
      <w:marTop w:val="0"/>
      <w:marBottom w:val="0"/>
      <w:divBdr>
        <w:top w:val="none" w:sz="0" w:space="0" w:color="auto"/>
        <w:left w:val="none" w:sz="0" w:space="0" w:color="auto"/>
        <w:bottom w:val="none" w:sz="0" w:space="0" w:color="auto"/>
        <w:right w:val="none" w:sz="0" w:space="0" w:color="auto"/>
      </w:divBdr>
    </w:div>
    <w:div w:id="463275420">
      <w:bodyDiv w:val="1"/>
      <w:marLeft w:val="0"/>
      <w:marRight w:val="0"/>
      <w:marTop w:val="0"/>
      <w:marBottom w:val="0"/>
      <w:divBdr>
        <w:top w:val="none" w:sz="0" w:space="0" w:color="auto"/>
        <w:left w:val="none" w:sz="0" w:space="0" w:color="auto"/>
        <w:bottom w:val="none" w:sz="0" w:space="0" w:color="auto"/>
        <w:right w:val="none" w:sz="0" w:space="0" w:color="auto"/>
      </w:divBdr>
    </w:div>
    <w:div w:id="463622254">
      <w:bodyDiv w:val="1"/>
      <w:marLeft w:val="0"/>
      <w:marRight w:val="0"/>
      <w:marTop w:val="0"/>
      <w:marBottom w:val="0"/>
      <w:divBdr>
        <w:top w:val="none" w:sz="0" w:space="0" w:color="auto"/>
        <w:left w:val="none" w:sz="0" w:space="0" w:color="auto"/>
        <w:bottom w:val="none" w:sz="0" w:space="0" w:color="auto"/>
        <w:right w:val="none" w:sz="0" w:space="0" w:color="auto"/>
      </w:divBdr>
    </w:div>
    <w:div w:id="463696996">
      <w:bodyDiv w:val="1"/>
      <w:marLeft w:val="0"/>
      <w:marRight w:val="0"/>
      <w:marTop w:val="0"/>
      <w:marBottom w:val="0"/>
      <w:divBdr>
        <w:top w:val="none" w:sz="0" w:space="0" w:color="auto"/>
        <w:left w:val="none" w:sz="0" w:space="0" w:color="auto"/>
        <w:bottom w:val="none" w:sz="0" w:space="0" w:color="auto"/>
        <w:right w:val="none" w:sz="0" w:space="0" w:color="auto"/>
      </w:divBdr>
    </w:div>
    <w:div w:id="463698983">
      <w:bodyDiv w:val="1"/>
      <w:marLeft w:val="0"/>
      <w:marRight w:val="0"/>
      <w:marTop w:val="0"/>
      <w:marBottom w:val="0"/>
      <w:divBdr>
        <w:top w:val="none" w:sz="0" w:space="0" w:color="auto"/>
        <w:left w:val="none" w:sz="0" w:space="0" w:color="auto"/>
        <w:bottom w:val="none" w:sz="0" w:space="0" w:color="auto"/>
        <w:right w:val="none" w:sz="0" w:space="0" w:color="auto"/>
      </w:divBdr>
    </w:div>
    <w:div w:id="464129428">
      <w:bodyDiv w:val="1"/>
      <w:marLeft w:val="0"/>
      <w:marRight w:val="0"/>
      <w:marTop w:val="0"/>
      <w:marBottom w:val="0"/>
      <w:divBdr>
        <w:top w:val="none" w:sz="0" w:space="0" w:color="auto"/>
        <w:left w:val="none" w:sz="0" w:space="0" w:color="auto"/>
        <w:bottom w:val="none" w:sz="0" w:space="0" w:color="auto"/>
        <w:right w:val="none" w:sz="0" w:space="0" w:color="auto"/>
      </w:divBdr>
    </w:div>
    <w:div w:id="464154828">
      <w:bodyDiv w:val="1"/>
      <w:marLeft w:val="0"/>
      <w:marRight w:val="0"/>
      <w:marTop w:val="0"/>
      <w:marBottom w:val="0"/>
      <w:divBdr>
        <w:top w:val="none" w:sz="0" w:space="0" w:color="auto"/>
        <w:left w:val="none" w:sz="0" w:space="0" w:color="auto"/>
        <w:bottom w:val="none" w:sz="0" w:space="0" w:color="auto"/>
        <w:right w:val="none" w:sz="0" w:space="0" w:color="auto"/>
      </w:divBdr>
    </w:div>
    <w:div w:id="464274978">
      <w:bodyDiv w:val="1"/>
      <w:marLeft w:val="0"/>
      <w:marRight w:val="0"/>
      <w:marTop w:val="0"/>
      <w:marBottom w:val="0"/>
      <w:divBdr>
        <w:top w:val="none" w:sz="0" w:space="0" w:color="auto"/>
        <w:left w:val="none" w:sz="0" w:space="0" w:color="auto"/>
        <w:bottom w:val="none" w:sz="0" w:space="0" w:color="auto"/>
        <w:right w:val="none" w:sz="0" w:space="0" w:color="auto"/>
      </w:divBdr>
    </w:div>
    <w:div w:id="464540399">
      <w:bodyDiv w:val="1"/>
      <w:marLeft w:val="0"/>
      <w:marRight w:val="0"/>
      <w:marTop w:val="0"/>
      <w:marBottom w:val="0"/>
      <w:divBdr>
        <w:top w:val="none" w:sz="0" w:space="0" w:color="auto"/>
        <w:left w:val="none" w:sz="0" w:space="0" w:color="auto"/>
        <w:bottom w:val="none" w:sz="0" w:space="0" w:color="auto"/>
        <w:right w:val="none" w:sz="0" w:space="0" w:color="auto"/>
      </w:divBdr>
    </w:div>
    <w:div w:id="464810769">
      <w:bodyDiv w:val="1"/>
      <w:marLeft w:val="0"/>
      <w:marRight w:val="0"/>
      <w:marTop w:val="0"/>
      <w:marBottom w:val="0"/>
      <w:divBdr>
        <w:top w:val="none" w:sz="0" w:space="0" w:color="auto"/>
        <w:left w:val="none" w:sz="0" w:space="0" w:color="auto"/>
        <w:bottom w:val="none" w:sz="0" w:space="0" w:color="auto"/>
        <w:right w:val="none" w:sz="0" w:space="0" w:color="auto"/>
      </w:divBdr>
    </w:div>
    <w:div w:id="465705829">
      <w:bodyDiv w:val="1"/>
      <w:marLeft w:val="0"/>
      <w:marRight w:val="0"/>
      <w:marTop w:val="0"/>
      <w:marBottom w:val="0"/>
      <w:divBdr>
        <w:top w:val="none" w:sz="0" w:space="0" w:color="auto"/>
        <w:left w:val="none" w:sz="0" w:space="0" w:color="auto"/>
        <w:bottom w:val="none" w:sz="0" w:space="0" w:color="auto"/>
        <w:right w:val="none" w:sz="0" w:space="0" w:color="auto"/>
      </w:divBdr>
    </w:div>
    <w:div w:id="466320523">
      <w:bodyDiv w:val="1"/>
      <w:marLeft w:val="0"/>
      <w:marRight w:val="0"/>
      <w:marTop w:val="0"/>
      <w:marBottom w:val="0"/>
      <w:divBdr>
        <w:top w:val="none" w:sz="0" w:space="0" w:color="auto"/>
        <w:left w:val="none" w:sz="0" w:space="0" w:color="auto"/>
        <w:bottom w:val="none" w:sz="0" w:space="0" w:color="auto"/>
        <w:right w:val="none" w:sz="0" w:space="0" w:color="auto"/>
      </w:divBdr>
    </w:div>
    <w:div w:id="466511478">
      <w:bodyDiv w:val="1"/>
      <w:marLeft w:val="0"/>
      <w:marRight w:val="0"/>
      <w:marTop w:val="0"/>
      <w:marBottom w:val="0"/>
      <w:divBdr>
        <w:top w:val="none" w:sz="0" w:space="0" w:color="auto"/>
        <w:left w:val="none" w:sz="0" w:space="0" w:color="auto"/>
        <w:bottom w:val="none" w:sz="0" w:space="0" w:color="auto"/>
        <w:right w:val="none" w:sz="0" w:space="0" w:color="auto"/>
      </w:divBdr>
    </w:div>
    <w:div w:id="466706304">
      <w:bodyDiv w:val="1"/>
      <w:marLeft w:val="0"/>
      <w:marRight w:val="0"/>
      <w:marTop w:val="0"/>
      <w:marBottom w:val="0"/>
      <w:divBdr>
        <w:top w:val="none" w:sz="0" w:space="0" w:color="auto"/>
        <w:left w:val="none" w:sz="0" w:space="0" w:color="auto"/>
        <w:bottom w:val="none" w:sz="0" w:space="0" w:color="auto"/>
        <w:right w:val="none" w:sz="0" w:space="0" w:color="auto"/>
      </w:divBdr>
    </w:div>
    <w:div w:id="466969232">
      <w:bodyDiv w:val="1"/>
      <w:marLeft w:val="0"/>
      <w:marRight w:val="0"/>
      <w:marTop w:val="0"/>
      <w:marBottom w:val="0"/>
      <w:divBdr>
        <w:top w:val="none" w:sz="0" w:space="0" w:color="auto"/>
        <w:left w:val="none" w:sz="0" w:space="0" w:color="auto"/>
        <w:bottom w:val="none" w:sz="0" w:space="0" w:color="auto"/>
        <w:right w:val="none" w:sz="0" w:space="0" w:color="auto"/>
      </w:divBdr>
    </w:div>
    <w:div w:id="467019470">
      <w:bodyDiv w:val="1"/>
      <w:marLeft w:val="0"/>
      <w:marRight w:val="0"/>
      <w:marTop w:val="0"/>
      <w:marBottom w:val="0"/>
      <w:divBdr>
        <w:top w:val="none" w:sz="0" w:space="0" w:color="auto"/>
        <w:left w:val="none" w:sz="0" w:space="0" w:color="auto"/>
        <w:bottom w:val="none" w:sz="0" w:space="0" w:color="auto"/>
        <w:right w:val="none" w:sz="0" w:space="0" w:color="auto"/>
      </w:divBdr>
    </w:div>
    <w:div w:id="467406928">
      <w:bodyDiv w:val="1"/>
      <w:marLeft w:val="0"/>
      <w:marRight w:val="0"/>
      <w:marTop w:val="0"/>
      <w:marBottom w:val="0"/>
      <w:divBdr>
        <w:top w:val="none" w:sz="0" w:space="0" w:color="auto"/>
        <w:left w:val="none" w:sz="0" w:space="0" w:color="auto"/>
        <w:bottom w:val="none" w:sz="0" w:space="0" w:color="auto"/>
        <w:right w:val="none" w:sz="0" w:space="0" w:color="auto"/>
      </w:divBdr>
    </w:div>
    <w:div w:id="467550489">
      <w:bodyDiv w:val="1"/>
      <w:marLeft w:val="0"/>
      <w:marRight w:val="0"/>
      <w:marTop w:val="0"/>
      <w:marBottom w:val="0"/>
      <w:divBdr>
        <w:top w:val="none" w:sz="0" w:space="0" w:color="auto"/>
        <w:left w:val="none" w:sz="0" w:space="0" w:color="auto"/>
        <w:bottom w:val="none" w:sz="0" w:space="0" w:color="auto"/>
        <w:right w:val="none" w:sz="0" w:space="0" w:color="auto"/>
      </w:divBdr>
    </w:div>
    <w:div w:id="467741653">
      <w:bodyDiv w:val="1"/>
      <w:marLeft w:val="0"/>
      <w:marRight w:val="0"/>
      <w:marTop w:val="0"/>
      <w:marBottom w:val="0"/>
      <w:divBdr>
        <w:top w:val="none" w:sz="0" w:space="0" w:color="auto"/>
        <w:left w:val="none" w:sz="0" w:space="0" w:color="auto"/>
        <w:bottom w:val="none" w:sz="0" w:space="0" w:color="auto"/>
        <w:right w:val="none" w:sz="0" w:space="0" w:color="auto"/>
      </w:divBdr>
    </w:div>
    <w:div w:id="468011489">
      <w:bodyDiv w:val="1"/>
      <w:marLeft w:val="0"/>
      <w:marRight w:val="0"/>
      <w:marTop w:val="0"/>
      <w:marBottom w:val="0"/>
      <w:divBdr>
        <w:top w:val="none" w:sz="0" w:space="0" w:color="auto"/>
        <w:left w:val="none" w:sz="0" w:space="0" w:color="auto"/>
        <w:bottom w:val="none" w:sz="0" w:space="0" w:color="auto"/>
        <w:right w:val="none" w:sz="0" w:space="0" w:color="auto"/>
      </w:divBdr>
    </w:div>
    <w:div w:id="468087516">
      <w:bodyDiv w:val="1"/>
      <w:marLeft w:val="0"/>
      <w:marRight w:val="0"/>
      <w:marTop w:val="0"/>
      <w:marBottom w:val="0"/>
      <w:divBdr>
        <w:top w:val="none" w:sz="0" w:space="0" w:color="auto"/>
        <w:left w:val="none" w:sz="0" w:space="0" w:color="auto"/>
        <w:bottom w:val="none" w:sz="0" w:space="0" w:color="auto"/>
        <w:right w:val="none" w:sz="0" w:space="0" w:color="auto"/>
      </w:divBdr>
    </w:div>
    <w:div w:id="468474679">
      <w:bodyDiv w:val="1"/>
      <w:marLeft w:val="0"/>
      <w:marRight w:val="0"/>
      <w:marTop w:val="0"/>
      <w:marBottom w:val="0"/>
      <w:divBdr>
        <w:top w:val="none" w:sz="0" w:space="0" w:color="auto"/>
        <w:left w:val="none" w:sz="0" w:space="0" w:color="auto"/>
        <w:bottom w:val="none" w:sz="0" w:space="0" w:color="auto"/>
        <w:right w:val="none" w:sz="0" w:space="0" w:color="auto"/>
      </w:divBdr>
    </w:div>
    <w:div w:id="468477398">
      <w:bodyDiv w:val="1"/>
      <w:marLeft w:val="0"/>
      <w:marRight w:val="0"/>
      <w:marTop w:val="0"/>
      <w:marBottom w:val="0"/>
      <w:divBdr>
        <w:top w:val="none" w:sz="0" w:space="0" w:color="auto"/>
        <w:left w:val="none" w:sz="0" w:space="0" w:color="auto"/>
        <w:bottom w:val="none" w:sz="0" w:space="0" w:color="auto"/>
        <w:right w:val="none" w:sz="0" w:space="0" w:color="auto"/>
      </w:divBdr>
    </w:div>
    <w:div w:id="468547403">
      <w:bodyDiv w:val="1"/>
      <w:marLeft w:val="0"/>
      <w:marRight w:val="0"/>
      <w:marTop w:val="0"/>
      <w:marBottom w:val="0"/>
      <w:divBdr>
        <w:top w:val="none" w:sz="0" w:space="0" w:color="auto"/>
        <w:left w:val="none" w:sz="0" w:space="0" w:color="auto"/>
        <w:bottom w:val="none" w:sz="0" w:space="0" w:color="auto"/>
        <w:right w:val="none" w:sz="0" w:space="0" w:color="auto"/>
      </w:divBdr>
    </w:div>
    <w:div w:id="468864023">
      <w:bodyDiv w:val="1"/>
      <w:marLeft w:val="0"/>
      <w:marRight w:val="0"/>
      <w:marTop w:val="0"/>
      <w:marBottom w:val="0"/>
      <w:divBdr>
        <w:top w:val="none" w:sz="0" w:space="0" w:color="auto"/>
        <w:left w:val="none" w:sz="0" w:space="0" w:color="auto"/>
        <w:bottom w:val="none" w:sz="0" w:space="0" w:color="auto"/>
        <w:right w:val="none" w:sz="0" w:space="0" w:color="auto"/>
      </w:divBdr>
    </w:div>
    <w:div w:id="469397854">
      <w:bodyDiv w:val="1"/>
      <w:marLeft w:val="0"/>
      <w:marRight w:val="0"/>
      <w:marTop w:val="0"/>
      <w:marBottom w:val="0"/>
      <w:divBdr>
        <w:top w:val="none" w:sz="0" w:space="0" w:color="auto"/>
        <w:left w:val="none" w:sz="0" w:space="0" w:color="auto"/>
        <w:bottom w:val="none" w:sz="0" w:space="0" w:color="auto"/>
        <w:right w:val="none" w:sz="0" w:space="0" w:color="auto"/>
      </w:divBdr>
    </w:div>
    <w:div w:id="470173773">
      <w:bodyDiv w:val="1"/>
      <w:marLeft w:val="0"/>
      <w:marRight w:val="0"/>
      <w:marTop w:val="0"/>
      <w:marBottom w:val="0"/>
      <w:divBdr>
        <w:top w:val="none" w:sz="0" w:space="0" w:color="auto"/>
        <w:left w:val="none" w:sz="0" w:space="0" w:color="auto"/>
        <w:bottom w:val="none" w:sz="0" w:space="0" w:color="auto"/>
        <w:right w:val="none" w:sz="0" w:space="0" w:color="auto"/>
      </w:divBdr>
    </w:div>
    <w:div w:id="470294745">
      <w:bodyDiv w:val="1"/>
      <w:marLeft w:val="0"/>
      <w:marRight w:val="0"/>
      <w:marTop w:val="0"/>
      <w:marBottom w:val="0"/>
      <w:divBdr>
        <w:top w:val="none" w:sz="0" w:space="0" w:color="auto"/>
        <w:left w:val="none" w:sz="0" w:space="0" w:color="auto"/>
        <w:bottom w:val="none" w:sz="0" w:space="0" w:color="auto"/>
        <w:right w:val="none" w:sz="0" w:space="0" w:color="auto"/>
      </w:divBdr>
    </w:div>
    <w:div w:id="470829028">
      <w:bodyDiv w:val="1"/>
      <w:marLeft w:val="0"/>
      <w:marRight w:val="0"/>
      <w:marTop w:val="0"/>
      <w:marBottom w:val="0"/>
      <w:divBdr>
        <w:top w:val="none" w:sz="0" w:space="0" w:color="auto"/>
        <w:left w:val="none" w:sz="0" w:space="0" w:color="auto"/>
        <w:bottom w:val="none" w:sz="0" w:space="0" w:color="auto"/>
        <w:right w:val="none" w:sz="0" w:space="0" w:color="auto"/>
      </w:divBdr>
    </w:div>
    <w:div w:id="471406792">
      <w:bodyDiv w:val="1"/>
      <w:marLeft w:val="0"/>
      <w:marRight w:val="0"/>
      <w:marTop w:val="0"/>
      <w:marBottom w:val="0"/>
      <w:divBdr>
        <w:top w:val="none" w:sz="0" w:space="0" w:color="auto"/>
        <w:left w:val="none" w:sz="0" w:space="0" w:color="auto"/>
        <w:bottom w:val="none" w:sz="0" w:space="0" w:color="auto"/>
        <w:right w:val="none" w:sz="0" w:space="0" w:color="auto"/>
      </w:divBdr>
    </w:div>
    <w:div w:id="471558369">
      <w:bodyDiv w:val="1"/>
      <w:marLeft w:val="0"/>
      <w:marRight w:val="0"/>
      <w:marTop w:val="0"/>
      <w:marBottom w:val="0"/>
      <w:divBdr>
        <w:top w:val="none" w:sz="0" w:space="0" w:color="auto"/>
        <w:left w:val="none" w:sz="0" w:space="0" w:color="auto"/>
        <w:bottom w:val="none" w:sz="0" w:space="0" w:color="auto"/>
        <w:right w:val="none" w:sz="0" w:space="0" w:color="auto"/>
      </w:divBdr>
    </w:div>
    <w:div w:id="471675973">
      <w:bodyDiv w:val="1"/>
      <w:marLeft w:val="0"/>
      <w:marRight w:val="0"/>
      <w:marTop w:val="0"/>
      <w:marBottom w:val="0"/>
      <w:divBdr>
        <w:top w:val="none" w:sz="0" w:space="0" w:color="auto"/>
        <w:left w:val="none" w:sz="0" w:space="0" w:color="auto"/>
        <w:bottom w:val="none" w:sz="0" w:space="0" w:color="auto"/>
        <w:right w:val="none" w:sz="0" w:space="0" w:color="auto"/>
      </w:divBdr>
    </w:div>
    <w:div w:id="471869195">
      <w:bodyDiv w:val="1"/>
      <w:marLeft w:val="0"/>
      <w:marRight w:val="0"/>
      <w:marTop w:val="0"/>
      <w:marBottom w:val="0"/>
      <w:divBdr>
        <w:top w:val="none" w:sz="0" w:space="0" w:color="auto"/>
        <w:left w:val="none" w:sz="0" w:space="0" w:color="auto"/>
        <w:bottom w:val="none" w:sz="0" w:space="0" w:color="auto"/>
        <w:right w:val="none" w:sz="0" w:space="0" w:color="auto"/>
      </w:divBdr>
    </w:div>
    <w:div w:id="472066485">
      <w:bodyDiv w:val="1"/>
      <w:marLeft w:val="0"/>
      <w:marRight w:val="0"/>
      <w:marTop w:val="0"/>
      <w:marBottom w:val="0"/>
      <w:divBdr>
        <w:top w:val="none" w:sz="0" w:space="0" w:color="auto"/>
        <w:left w:val="none" w:sz="0" w:space="0" w:color="auto"/>
        <w:bottom w:val="none" w:sz="0" w:space="0" w:color="auto"/>
        <w:right w:val="none" w:sz="0" w:space="0" w:color="auto"/>
      </w:divBdr>
    </w:div>
    <w:div w:id="472413147">
      <w:bodyDiv w:val="1"/>
      <w:marLeft w:val="0"/>
      <w:marRight w:val="0"/>
      <w:marTop w:val="0"/>
      <w:marBottom w:val="0"/>
      <w:divBdr>
        <w:top w:val="none" w:sz="0" w:space="0" w:color="auto"/>
        <w:left w:val="none" w:sz="0" w:space="0" w:color="auto"/>
        <w:bottom w:val="none" w:sz="0" w:space="0" w:color="auto"/>
        <w:right w:val="none" w:sz="0" w:space="0" w:color="auto"/>
      </w:divBdr>
    </w:div>
    <w:div w:id="473377039">
      <w:bodyDiv w:val="1"/>
      <w:marLeft w:val="0"/>
      <w:marRight w:val="0"/>
      <w:marTop w:val="0"/>
      <w:marBottom w:val="0"/>
      <w:divBdr>
        <w:top w:val="none" w:sz="0" w:space="0" w:color="auto"/>
        <w:left w:val="none" w:sz="0" w:space="0" w:color="auto"/>
        <w:bottom w:val="none" w:sz="0" w:space="0" w:color="auto"/>
        <w:right w:val="none" w:sz="0" w:space="0" w:color="auto"/>
      </w:divBdr>
    </w:div>
    <w:div w:id="473838528">
      <w:bodyDiv w:val="1"/>
      <w:marLeft w:val="0"/>
      <w:marRight w:val="0"/>
      <w:marTop w:val="0"/>
      <w:marBottom w:val="0"/>
      <w:divBdr>
        <w:top w:val="none" w:sz="0" w:space="0" w:color="auto"/>
        <w:left w:val="none" w:sz="0" w:space="0" w:color="auto"/>
        <w:bottom w:val="none" w:sz="0" w:space="0" w:color="auto"/>
        <w:right w:val="none" w:sz="0" w:space="0" w:color="auto"/>
      </w:divBdr>
    </w:div>
    <w:div w:id="474032044">
      <w:bodyDiv w:val="1"/>
      <w:marLeft w:val="0"/>
      <w:marRight w:val="0"/>
      <w:marTop w:val="0"/>
      <w:marBottom w:val="0"/>
      <w:divBdr>
        <w:top w:val="none" w:sz="0" w:space="0" w:color="auto"/>
        <w:left w:val="none" w:sz="0" w:space="0" w:color="auto"/>
        <w:bottom w:val="none" w:sz="0" w:space="0" w:color="auto"/>
        <w:right w:val="none" w:sz="0" w:space="0" w:color="auto"/>
      </w:divBdr>
    </w:div>
    <w:div w:id="474032272">
      <w:bodyDiv w:val="1"/>
      <w:marLeft w:val="0"/>
      <w:marRight w:val="0"/>
      <w:marTop w:val="0"/>
      <w:marBottom w:val="0"/>
      <w:divBdr>
        <w:top w:val="none" w:sz="0" w:space="0" w:color="auto"/>
        <w:left w:val="none" w:sz="0" w:space="0" w:color="auto"/>
        <w:bottom w:val="none" w:sz="0" w:space="0" w:color="auto"/>
        <w:right w:val="none" w:sz="0" w:space="0" w:color="auto"/>
      </w:divBdr>
    </w:div>
    <w:div w:id="474220419">
      <w:bodyDiv w:val="1"/>
      <w:marLeft w:val="0"/>
      <w:marRight w:val="0"/>
      <w:marTop w:val="0"/>
      <w:marBottom w:val="0"/>
      <w:divBdr>
        <w:top w:val="none" w:sz="0" w:space="0" w:color="auto"/>
        <w:left w:val="none" w:sz="0" w:space="0" w:color="auto"/>
        <w:bottom w:val="none" w:sz="0" w:space="0" w:color="auto"/>
        <w:right w:val="none" w:sz="0" w:space="0" w:color="auto"/>
      </w:divBdr>
    </w:div>
    <w:div w:id="474370462">
      <w:bodyDiv w:val="1"/>
      <w:marLeft w:val="0"/>
      <w:marRight w:val="0"/>
      <w:marTop w:val="0"/>
      <w:marBottom w:val="0"/>
      <w:divBdr>
        <w:top w:val="none" w:sz="0" w:space="0" w:color="auto"/>
        <w:left w:val="none" w:sz="0" w:space="0" w:color="auto"/>
        <w:bottom w:val="none" w:sz="0" w:space="0" w:color="auto"/>
        <w:right w:val="none" w:sz="0" w:space="0" w:color="auto"/>
      </w:divBdr>
    </w:div>
    <w:div w:id="474445871">
      <w:bodyDiv w:val="1"/>
      <w:marLeft w:val="0"/>
      <w:marRight w:val="0"/>
      <w:marTop w:val="0"/>
      <w:marBottom w:val="0"/>
      <w:divBdr>
        <w:top w:val="none" w:sz="0" w:space="0" w:color="auto"/>
        <w:left w:val="none" w:sz="0" w:space="0" w:color="auto"/>
        <w:bottom w:val="none" w:sz="0" w:space="0" w:color="auto"/>
        <w:right w:val="none" w:sz="0" w:space="0" w:color="auto"/>
      </w:divBdr>
    </w:div>
    <w:div w:id="474875653">
      <w:bodyDiv w:val="1"/>
      <w:marLeft w:val="0"/>
      <w:marRight w:val="0"/>
      <w:marTop w:val="0"/>
      <w:marBottom w:val="0"/>
      <w:divBdr>
        <w:top w:val="none" w:sz="0" w:space="0" w:color="auto"/>
        <w:left w:val="none" w:sz="0" w:space="0" w:color="auto"/>
        <w:bottom w:val="none" w:sz="0" w:space="0" w:color="auto"/>
        <w:right w:val="none" w:sz="0" w:space="0" w:color="auto"/>
      </w:divBdr>
    </w:div>
    <w:div w:id="475270138">
      <w:bodyDiv w:val="1"/>
      <w:marLeft w:val="0"/>
      <w:marRight w:val="0"/>
      <w:marTop w:val="0"/>
      <w:marBottom w:val="0"/>
      <w:divBdr>
        <w:top w:val="none" w:sz="0" w:space="0" w:color="auto"/>
        <w:left w:val="none" w:sz="0" w:space="0" w:color="auto"/>
        <w:bottom w:val="none" w:sz="0" w:space="0" w:color="auto"/>
        <w:right w:val="none" w:sz="0" w:space="0" w:color="auto"/>
      </w:divBdr>
    </w:div>
    <w:div w:id="475298565">
      <w:bodyDiv w:val="1"/>
      <w:marLeft w:val="0"/>
      <w:marRight w:val="0"/>
      <w:marTop w:val="0"/>
      <w:marBottom w:val="0"/>
      <w:divBdr>
        <w:top w:val="none" w:sz="0" w:space="0" w:color="auto"/>
        <w:left w:val="none" w:sz="0" w:space="0" w:color="auto"/>
        <w:bottom w:val="none" w:sz="0" w:space="0" w:color="auto"/>
        <w:right w:val="none" w:sz="0" w:space="0" w:color="auto"/>
      </w:divBdr>
    </w:div>
    <w:div w:id="476726814">
      <w:bodyDiv w:val="1"/>
      <w:marLeft w:val="0"/>
      <w:marRight w:val="0"/>
      <w:marTop w:val="0"/>
      <w:marBottom w:val="0"/>
      <w:divBdr>
        <w:top w:val="none" w:sz="0" w:space="0" w:color="auto"/>
        <w:left w:val="none" w:sz="0" w:space="0" w:color="auto"/>
        <w:bottom w:val="none" w:sz="0" w:space="0" w:color="auto"/>
        <w:right w:val="none" w:sz="0" w:space="0" w:color="auto"/>
      </w:divBdr>
    </w:div>
    <w:div w:id="476799245">
      <w:bodyDiv w:val="1"/>
      <w:marLeft w:val="0"/>
      <w:marRight w:val="0"/>
      <w:marTop w:val="0"/>
      <w:marBottom w:val="0"/>
      <w:divBdr>
        <w:top w:val="none" w:sz="0" w:space="0" w:color="auto"/>
        <w:left w:val="none" w:sz="0" w:space="0" w:color="auto"/>
        <w:bottom w:val="none" w:sz="0" w:space="0" w:color="auto"/>
        <w:right w:val="none" w:sz="0" w:space="0" w:color="auto"/>
      </w:divBdr>
    </w:div>
    <w:div w:id="476915033">
      <w:bodyDiv w:val="1"/>
      <w:marLeft w:val="0"/>
      <w:marRight w:val="0"/>
      <w:marTop w:val="0"/>
      <w:marBottom w:val="0"/>
      <w:divBdr>
        <w:top w:val="none" w:sz="0" w:space="0" w:color="auto"/>
        <w:left w:val="none" w:sz="0" w:space="0" w:color="auto"/>
        <w:bottom w:val="none" w:sz="0" w:space="0" w:color="auto"/>
        <w:right w:val="none" w:sz="0" w:space="0" w:color="auto"/>
      </w:divBdr>
    </w:div>
    <w:div w:id="476996146">
      <w:bodyDiv w:val="1"/>
      <w:marLeft w:val="0"/>
      <w:marRight w:val="0"/>
      <w:marTop w:val="0"/>
      <w:marBottom w:val="0"/>
      <w:divBdr>
        <w:top w:val="none" w:sz="0" w:space="0" w:color="auto"/>
        <w:left w:val="none" w:sz="0" w:space="0" w:color="auto"/>
        <w:bottom w:val="none" w:sz="0" w:space="0" w:color="auto"/>
        <w:right w:val="none" w:sz="0" w:space="0" w:color="auto"/>
      </w:divBdr>
    </w:div>
    <w:div w:id="476999760">
      <w:bodyDiv w:val="1"/>
      <w:marLeft w:val="0"/>
      <w:marRight w:val="0"/>
      <w:marTop w:val="0"/>
      <w:marBottom w:val="0"/>
      <w:divBdr>
        <w:top w:val="none" w:sz="0" w:space="0" w:color="auto"/>
        <w:left w:val="none" w:sz="0" w:space="0" w:color="auto"/>
        <w:bottom w:val="none" w:sz="0" w:space="0" w:color="auto"/>
        <w:right w:val="none" w:sz="0" w:space="0" w:color="auto"/>
      </w:divBdr>
    </w:div>
    <w:div w:id="477264753">
      <w:bodyDiv w:val="1"/>
      <w:marLeft w:val="0"/>
      <w:marRight w:val="0"/>
      <w:marTop w:val="0"/>
      <w:marBottom w:val="0"/>
      <w:divBdr>
        <w:top w:val="none" w:sz="0" w:space="0" w:color="auto"/>
        <w:left w:val="none" w:sz="0" w:space="0" w:color="auto"/>
        <w:bottom w:val="none" w:sz="0" w:space="0" w:color="auto"/>
        <w:right w:val="none" w:sz="0" w:space="0" w:color="auto"/>
      </w:divBdr>
    </w:div>
    <w:div w:id="477379381">
      <w:bodyDiv w:val="1"/>
      <w:marLeft w:val="0"/>
      <w:marRight w:val="0"/>
      <w:marTop w:val="0"/>
      <w:marBottom w:val="0"/>
      <w:divBdr>
        <w:top w:val="none" w:sz="0" w:space="0" w:color="auto"/>
        <w:left w:val="none" w:sz="0" w:space="0" w:color="auto"/>
        <w:bottom w:val="none" w:sz="0" w:space="0" w:color="auto"/>
        <w:right w:val="none" w:sz="0" w:space="0" w:color="auto"/>
      </w:divBdr>
    </w:div>
    <w:div w:id="477381563">
      <w:bodyDiv w:val="1"/>
      <w:marLeft w:val="0"/>
      <w:marRight w:val="0"/>
      <w:marTop w:val="0"/>
      <w:marBottom w:val="0"/>
      <w:divBdr>
        <w:top w:val="none" w:sz="0" w:space="0" w:color="auto"/>
        <w:left w:val="none" w:sz="0" w:space="0" w:color="auto"/>
        <w:bottom w:val="none" w:sz="0" w:space="0" w:color="auto"/>
        <w:right w:val="none" w:sz="0" w:space="0" w:color="auto"/>
      </w:divBdr>
    </w:div>
    <w:div w:id="477842092">
      <w:bodyDiv w:val="1"/>
      <w:marLeft w:val="0"/>
      <w:marRight w:val="0"/>
      <w:marTop w:val="0"/>
      <w:marBottom w:val="0"/>
      <w:divBdr>
        <w:top w:val="none" w:sz="0" w:space="0" w:color="auto"/>
        <w:left w:val="none" w:sz="0" w:space="0" w:color="auto"/>
        <w:bottom w:val="none" w:sz="0" w:space="0" w:color="auto"/>
        <w:right w:val="none" w:sz="0" w:space="0" w:color="auto"/>
      </w:divBdr>
    </w:div>
    <w:div w:id="477919547">
      <w:bodyDiv w:val="1"/>
      <w:marLeft w:val="0"/>
      <w:marRight w:val="0"/>
      <w:marTop w:val="0"/>
      <w:marBottom w:val="0"/>
      <w:divBdr>
        <w:top w:val="none" w:sz="0" w:space="0" w:color="auto"/>
        <w:left w:val="none" w:sz="0" w:space="0" w:color="auto"/>
        <w:bottom w:val="none" w:sz="0" w:space="0" w:color="auto"/>
        <w:right w:val="none" w:sz="0" w:space="0" w:color="auto"/>
      </w:divBdr>
    </w:div>
    <w:div w:id="478616811">
      <w:bodyDiv w:val="1"/>
      <w:marLeft w:val="0"/>
      <w:marRight w:val="0"/>
      <w:marTop w:val="0"/>
      <w:marBottom w:val="0"/>
      <w:divBdr>
        <w:top w:val="none" w:sz="0" w:space="0" w:color="auto"/>
        <w:left w:val="none" w:sz="0" w:space="0" w:color="auto"/>
        <w:bottom w:val="none" w:sz="0" w:space="0" w:color="auto"/>
        <w:right w:val="none" w:sz="0" w:space="0" w:color="auto"/>
      </w:divBdr>
    </w:div>
    <w:div w:id="479425599">
      <w:bodyDiv w:val="1"/>
      <w:marLeft w:val="0"/>
      <w:marRight w:val="0"/>
      <w:marTop w:val="0"/>
      <w:marBottom w:val="0"/>
      <w:divBdr>
        <w:top w:val="none" w:sz="0" w:space="0" w:color="auto"/>
        <w:left w:val="none" w:sz="0" w:space="0" w:color="auto"/>
        <w:bottom w:val="none" w:sz="0" w:space="0" w:color="auto"/>
        <w:right w:val="none" w:sz="0" w:space="0" w:color="auto"/>
      </w:divBdr>
    </w:div>
    <w:div w:id="479611982">
      <w:bodyDiv w:val="1"/>
      <w:marLeft w:val="0"/>
      <w:marRight w:val="0"/>
      <w:marTop w:val="0"/>
      <w:marBottom w:val="0"/>
      <w:divBdr>
        <w:top w:val="none" w:sz="0" w:space="0" w:color="auto"/>
        <w:left w:val="none" w:sz="0" w:space="0" w:color="auto"/>
        <w:bottom w:val="none" w:sz="0" w:space="0" w:color="auto"/>
        <w:right w:val="none" w:sz="0" w:space="0" w:color="auto"/>
      </w:divBdr>
    </w:div>
    <w:div w:id="479615132">
      <w:bodyDiv w:val="1"/>
      <w:marLeft w:val="0"/>
      <w:marRight w:val="0"/>
      <w:marTop w:val="0"/>
      <w:marBottom w:val="0"/>
      <w:divBdr>
        <w:top w:val="none" w:sz="0" w:space="0" w:color="auto"/>
        <w:left w:val="none" w:sz="0" w:space="0" w:color="auto"/>
        <w:bottom w:val="none" w:sz="0" w:space="0" w:color="auto"/>
        <w:right w:val="none" w:sz="0" w:space="0" w:color="auto"/>
      </w:divBdr>
    </w:div>
    <w:div w:id="480002812">
      <w:bodyDiv w:val="1"/>
      <w:marLeft w:val="0"/>
      <w:marRight w:val="0"/>
      <w:marTop w:val="0"/>
      <w:marBottom w:val="0"/>
      <w:divBdr>
        <w:top w:val="none" w:sz="0" w:space="0" w:color="auto"/>
        <w:left w:val="none" w:sz="0" w:space="0" w:color="auto"/>
        <w:bottom w:val="none" w:sz="0" w:space="0" w:color="auto"/>
        <w:right w:val="none" w:sz="0" w:space="0" w:color="auto"/>
      </w:divBdr>
    </w:div>
    <w:div w:id="480998623">
      <w:bodyDiv w:val="1"/>
      <w:marLeft w:val="0"/>
      <w:marRight w:val="0"/>
      <w:marTop w:val="0"/>
      <w:marBottom w:val="0"/>
      <w:divBdr>
        <w:top w:val="none" w:sz="0" w:space="0" w:color="auto"/>
        <w:left w:val="none" w:sz="0" w:space="0" w:color="auto"/>
        <w:bottom w:val="none" w:sz="0" w:space="0" w:color="auto"/>
        <w:right w:val="none" w:sz="0" w:space="0" w:color="auto"/>
      </w:divBdr>
    </w:div>
    <w:div w:id="481388348">
      <w:bodyDiv w:val="1"/>
      <w:marLeft w:val="0"/>
      <w:marRight w:val="0"/>
      <w:marTop w:val="0"/>
      <w:marBottom w:val="0"/>
      <w:divBdr>
        <w:top w:val="none" w:sz="0" w:space="0" w:color="auto"/>
        <w:left w:val="none" w:sz="0" w:space="0" w:color="auto"/>
        <w:bottom w:val="none" w:sz="0" w:space="0" w:color="auto"/>
        <w:right w:val="none" w:sz="0" w:space="0" w:color="auto"/>
      </w:divBdr>
    </w:div>
    <w:div w:id="481511111">
      <w:bodyDiv w:val="1"/>
      <w:marLeft w:val="0"/>
      <w:marRight w:val="0"/>
      <w:marTop w:val="0"/>
      <w:marBottom w:val="0"/>
      <w:divBdr>
        <w:top w:val="none" w:sz="0" w:space="0" w:color="auto"/>
        <w:left w:val="none" w:sz="0" w:space="0" w:color="auto"/>
        <w:bottom w:val="none" w:sz="0" w:space="0" w:color="auto"/>
        <w:right w:val="none" w:sz="0" w:space="0" w:color="auto"/>
      </w:divBdr>
    </w:div>
    <w:div w:id="481779546">
      <w:bodyDiv w:val="1"/>
      <w:marLeft w:val="0"/>
      <w:marRight w:val="0"/>
      <w:marTop w:val="0"/>
      <w:marBottom w:val="0"/>
      <w:divBdr>
        <w:top w:val="none" w:sz="0" w:space="0" w:color="auto"/>
        <w:left w:val="none" w:sz="0" w:space="0" w:color="auto"/>
        <w:bottom w:val="none" w:sz="0" w:space="0" w:color="auto"/>
        <w:right w:val="none" w:sz="0" w:space="0" w:color="auto"/>
      </w:divBdr>
    </w:div>
    <w:div w:id="482091513">
      <w:bodyDiv w:val="1"/>
      <w:marLeft w:val="0"/>
      <w:marRight w:val="0"/>
      <w:marTop w:val="0"/>
      <w:marBottom w:val="0"/>
      <w:divBdr>
        <w:top w:val="none" w:sz="0" w:space="0" w:color="auto"/>
        <w:left w:val="none" w:sz="0" w:space="0" w:color="auto"/>
        <w:bottom w:val="none" w:sz="0" w:space="0" w:color="auto"/>
        <w:right w:val="none" w:sz="0" w:space="0" w:color="auto"/>
      </w:divBdr>
    </w:div>
    <w:div w:id="482236066">
      <w:bodyDiv w:val="1"/>
      <w:marLeft w:val="0"/>
      <w:marRight w:val="0"/>
      <w:marTop w:val="0"/>
      <w:marBottom w:val="0"/>
      <w:divBdr>
        <w:top w:val="none" w:sz="0" w:space="0" w:color="auto"/>
        <w:left w:val="none" w:sz="0" w:space="0" w:color="auto"/>
        <w:bottom w:val="none" w:sz="0" w:space="0" w:color="auto"/>
        <w:right w:val="none" w:sz="0" w:space="0" w:color="auto"/>
      </w:divBdr>
    </w:div>
    <w:div w:id="482284357">
      <w:bodyDiv w:val="1"/>
      <w:marLeft w:val="0"/>
      <w:marRight w:val="0"/>
      <w:marTop w:val="0"/>
      <w:marBottom w:val="0"/>
      <w:divBdr>
        <w:top w:val="none" w:sz="0" w:space="0" w:color="auto"/>
        <w:left w:val="none" w:sz="0" w:space="0" w:color="auto"/>
        <w:bottom w:val="none" w:sz="0" w:space="0" w:color="auto"/>
        <w:right w:val="none" w:sz="0" w:space="0" w:color="auto"/>
      </w:divBdr>
    </w:div>
    <w:div w:id="482896844">
      <w:bodyDiv w:val="1"/>
      <w:marLeft w:val="0"/>
      <w:marRight w:val="0"/>
      <w:marTop w:val="0"/>
      <w:marBottom w:val="0"/>
      <w:divBdr>
        <w:top w:val="none" w:sz="0" w:space="0" w:color="auto"/>
        <w:left w:val="none" w:sz="0" w:space="0" w:color="auto"/>
        <w:bottom w:val="none" w:sz="0" w:space="0" w:color="auto"/>
        <w:right w:val="none" w:sz="0" w:space="0" w:color="auto"/>
      </w:divBdr>
    </w:div>
    <w:div w:id="483006197">
      <w:bodyDiv w:val="1"/>
      <w:marLeft w:val="0"/>
      <w:marRight w:val="0"/>
      <w:marTop w:val="0"/>
      <w:marBottom w:val="0"/>
      <w:divBdr>
        <w:top w:val="none" w:sz="0" w:space="0" w:color="auto"/>
        <w:left w:val="none" w:sz="0" w:space="0" w:color="auto"/>
        <w:bottom w:val="none" w:sz="0" w:space="0" w:color="auto"/>
        <w:right w:val="none" w:sz="0" w:space="0" w:color="auto"/>
      </w:divBdr>
    </w:div>
    <w:div w:id="483274491">
      <w:bodyDiv w:val="1"/>
      <w:marLeft w:val="0"/>
      <w:marRight w:val="0"/>
      <w:marTop w:val="0"/>
      <w:marBottom w:val="0"/>
      <w:divBdr>
        <w:top w:val="none" w:sz="0" w:space="0" w:color="auto"/>
        <w:left w:val="none" w:sz="0" w:space="0" w:color="auto"/>
        <w:bottom w:val="none" w:sz="0" w:space="0" w:color="auto"/>
        <w:right w:val="none" w:sz="0" w:space="0" w:color="auto"/>
      </w:divBdr>
    </w:div>
    <w:div w:id="483938638">
      <w:bodyDiv w:val="1"/>
      <w:marLeft w:val="0"/>
      <w:marRight w:val="0"/>
      <w:marTop w:val="0"/>
      <w:marBottom w:val="0"/>
      <w:divBdr>
        <w:top w:val="none" w:sz="0" w:space="0" w:color="auto"/>
        <w:left w:val="none" w:sz="0" w:space="0" w:color="auto"/>
        <w:bottom w:val="none" w:sz="0" w:space="0" w:color="auto"/>
        <w:right w:val="none" w:sz="0" w:space="0" w:color="auto"/>
      </w:divBdr>
    </w:div>
    <w:div w:id="484470474">
      <w:bodyDiv w:val="1"/>
      <w:marLeft w:val="0"/>
      <w:marRight w:val="0"/>
      <w:marTop w:val="0"/>
      <w:marBottom w:val="0"/>
      <w:divBdr>
        <w:top w:val="none" w:sz="0" w:space="0" w:color="auto"/>
        <w:left w:val="none" w:sz="0" w:space="0" w:color="auto"/>
        <w:bottom w:val="none" w:sz="0" w:space="0" w:color="auto"/>
        <w:right w:val="none" w:sz="0" w:space="0" w:color="auto"/>
      </w:divBdr>
    </w:div>
    <w:div w:id="484471142">
      <w:bodyDiv w:val="1"/>
      <w:marLeft w:val="0"/>
      <w:marRight w:val="0"/>
      <w:marTop w:val="0"/>
      <w:marBottom w:val="0"/>
      <w:divBdr>
        <w:top w:val="none" w:sz="0" w:space="0" w:color="auto"/>
        <w:left w:val="none" w:sz="0" w:space="0" w:color="auto"/>
        <w:bottom w:val="none" w:sz="0" w:space="0" w:color="auto"/>
        <w:right w:val="none" w:sz="0" w:space="0" w:color="auto"/>
      </w:divBdr>
    </w:div>
    <w:div w:id="484660643">
      <w:bodyDiv w:val="1"/>
      <w:marLeft w:val="0"/>
      <w:marRight w:val="0"/>
      <w:marTop w:val="0"/>
      <w:marBottom w:val="0"/>
      <w:divBdr>
        <w:top w:val="none" w:sz="0" w:space="0" w:color="auto"/>
        <w:left w:val="none" w:sz="0" w:space="0" w:color="auto"/>
        <w:bottom w:val="none" w:sz="0" w:space="0" w:color="auto"/>
        <w:right w:val="none" w:sz="0" w:space="0" w:color="auto"/>
      </w:divBdr>
    </w:div>
    <w:div w:id="485128240">
      <w:bodyDiv w:val="1"/>
      <w:marLeft w:val="0"/>
      <w:marRight w:val="0"/>
      <w:marTop w:val="0"/>
      <w:marBottom w:val="0"/>
      <w:divBdr>
        <w:top w:val="none" w:sz="0" w:space="0" w:color="auto"/>
        <w:left w:val="none" w:sz="0" w:space="0" w:color="auto"/>
        <w:bottom w:val="none" w:sz="0" w:space="0" w:color="auto"/>
        <w:right w:val="none" w:sz="0" w:space="0" w:color="auto"/>
      </w:divBdr>
    </w:div>
    <w:div w:id="485169159">
      <w:bodyDiv w:val="1"/>
      <w:marLeft w:val="0"/>
      <w:marRight w:val="0"/>
      <w:marTop w:val="0"/>
      <w:marBottom w:val="0"/>
      <w:divBdr>
        <w:top w:val="none" w:sz="0" w:space="0" w:color="auto"/>
        <w:left w:val="none" w:sz="0" w:space="0" w:color="auto"/>
        <w:bottom w:val="none" w:sz="0" w:space="0" w:color="auto"/>
        <w:right w:val="none" w:sz="0" w:space="0" w:color="auto"/>
      </w:divBdr>
    </w:div>
    <w:div w:id="485442664">
      <w:bodyDiv w:val="1"/>
      <w:marLeft w:val="0"/>
      <w:marRight w:val="0"/>
      <w:marTop w:val="0"/>
      <w:marBottom w:val="0"/>
      <w:divBdr>
        <w:top w:val="none" w:sz="0" w:space="0" w:color="auto"/>
        <w:left w:val="none" w:sz="0" w:space="0" w:color="auto"/>
        <w:bottom w:val="none" w:sz="0" w:space="0" w:color="auto"/>
        <w:right w:val="none" w:sz="0" w:space="0" w:color="auto"/>
      </w:divBdr>
    </w:div>
    <w:div w:id="485515173">
      <w:bodyDiv w:val="1"/>
      <w:marLeft w:val="0"/>
      <w:marRight w:val="0"/>
      <w:marTop w:val="0"/>
      <w:marBottom w:val="0"/>
      <w:divBdr>
        <w:top w:val="none" w:sz="0" w:space="0" w:color="auto"/>
        <w:left w:val="none" w:sz="0" w:space="0" w:color="auto"/>
        <w:bottom w:val="none" w:sz="0" w:space="0" w:color="auto"/>
        <w:right w:val="none" w:sz="0" w:space="0" w:color="auto"/>
      </w:divBdr>
    </w:div>
    <w:div w:id="485705452">
      <w:bodyDiv w:val="1"/>
      <w:marLeft w:val="0"/>
      <w:marRight w:val="0"/>
      <w:marTop w:val="0"/>
      <w:marBottom w:val="0"/>
      <w:divBdr>
        <w:top w:val="none" w:sz="0" w:space="0" w:color="auto"/>
        <w:left w:val="none" w:sz="0" w:space="0" w:color="auto"/>
        <w:bottom w:val="none" w:sz="0" w:space="0" w:color="auto"/>
        <w:right w:val="none" w:sz="0" w:space="0" w:color="auto"/>
      </w:divBdr>
    </w:div>
    <w:div w:id="486211727">
      <w:bodyDiv w:val="1"/>
      <w:marLeft w:val="0"/>
      <w:marRight w:val="0"/>
      <w:marTop w:val="0"/>
      <w:marBottom w:val="0"/>
      <w:divBdr>
        <w:top w:val="none" w:sz="0" w:space="0" w:color="auto"/>
        <w:left w:val="none" w:sz="0" w:space="0" w:color="auto"/>
        <w:bottom w:val="none" w:sz="0" w:space="0" w:color="auto"/>
        <w:right w:val="none" w:sz="0" w:space="0" w:color="auto"/>
      </w:divBdr>
    </w:div>
    <w:div w:id="486438455">
      <w:bodyDiv w:val="1"/>
      <w:marLeft w:val="0"/>
      <w:marRight w:val="0"/>
      <w:marTop w:val="0"/>
      <w:marBottom w:val="0"/>
      <w:divBdr>
        <w:top w:val="none" w:sz="0" w:space="0" w:color="auto"/>
        <w:left w:val="none" w:sz="0" w:space="0" w:color="auto"/>
        <w:bottom w:val="none" w:sz="0" w:space="0" w:color="auto"/>
        <w:right w:val="none" w:sz="0" w:space="0" w:color="auto"/>
      </w:divBdr>
    </w:div>
    <w:div w:id="486552553">
      <w:bodyDiv w:val="1"/>
      <w:marLeft w:val="0"/>
      <w:marRight w:val="0"/>
      <w:marTop w:val="0"/>
      <w:marBottom w:val="0"/>
      <w:divBdr>
        <w:top w:val="none" w:sz="0" w:space="0" w:color="auto"/>
        <w:left w:val="none" w:sz="0" w:space="0" w:color="auto"/>
        <w:bottom w:val="none" w:sz="0" w:space="0" w:color="auto"/>
        <w:right w:val="none" w:sz="0" w:space="0" w:color="auto"/>
      </w:divBdr>
    </w:div>
    <w:div w:id="487282020">
      <w:bodyDiv w:val="1"/>
      <w:marLeft w:val="0"/>
      <w:marRight w:val="0"/>
      <w:marTop w:val="0"/>
      <w:marBottom w:val="0"/>
      <w:divBdr>
        <w:top w:val="none" w:sz="0" w:space="0" w:color="auto"/>
        <w:left w:val="none" w:sz="0" w:space="0" w:color="auto"/>
        <w:bottom w:val="none" w:sz="0" w:space="0" w:color="auto"/>
        <w:right w:val="none" w:sz="0" w:space="0" w:color="auto"/>
      </w:divBdr>
    </w:div>
    <w:div w:id="487282571">
      <w:bodyDiv w:val="1"/>
      <w:marLeft w:val="0"/>
      <w:marRight w:val="0"/>
      <w:marTop w:val="0"/>
      <w:marBottom w:val="0"/>
      <w:divBdr>
        <w:top w:val="none" w:sz="0" w:space="0" w:color="auto"/>
        <w:left w:val="none" w:sz="0" w:space="0" w:color="auto"/>
        <w:bottom w:val="none" w:sz="0" w:space="0" w:color="auto"/>
        <w:right w:val="none" w:sz="0" w:space="0" w:color="auto"/>
      </w:divBdr>
    </w:div>
    <w:div w:id="487408929">
      <w:bodyDiv w:val="1"/>
      <w:marLeft w:val="0"/>
      <w:marRight w:val="0"/>
      <w:marTop w:val="0"/>
      <w:marBottom w:val="0"/>
      <w:divBdr>
        <w:top w:val="none" w:sz="0" w:space="0" w:color="auto"/>
        <w:left w:val="none" w:sz="0" w:space="0" w:color="auto"/>
        <w:bottom w:val="none" w:sz="0" w:space="0" w:color="auto"/>
        <w:right w:val="none" w:sz="0" w:space="0" w:color="auto"/>
      </w:divBdr>
    </w:div>
    <w:div w:id="488064308">
      <w:bodyDiv w:val="1"/>
      <w:marLeft w:val="0"/>
      <w:marRight w:val="0"/>
      <w:marTop w:val="0"/>
      <w:marBottom w:val="0"/>
      <w:divBdr>
        <w:top w:val="none" w:sz="0" w:space="0" w:color="auto"/>
        <w:left w:val="none" w:sz="0" w:space="0" w:color="auto"/>
        <w:bottom w:val="none" w:sz="0" w:space="0" w:color="auto"/>
        <w:right w:val="none" w:sz="0" w:space="0" w:color="auto"/>
      </w:divBdr>
    </w:div>
    <w:div w:id="488836982">
      <w:bodyDiv w:val="1"/>
      <w:marLeft w:val="0"/>
      <w:marRight w:val="0"/>
      <w:marTop w:val="0"/>
      <w:marBottom w:val="0"/>
      <w:divBdr>
        <w:top w:val="none" w:sz="0" w:space="0" w:color="auto"/>
        <w:left w:val="none" w:sz="0" w:space="0" w:color="auto"/>
        <w:bottom w:val="none" w:sz="0" w:space="0" w:color="auto"/>
        <w:right w:val="none" w:sz="0" w:space="0" w:color="auto"/>
      </w:divBdr>
    </w:div>
    <w:div w:id="489105085">
      <w:bodyDiv w:val="1"/>
      <w:marLeft w:val="0"/>
      <w:marRight w:val="0"/>
      <w:marTop w:val="0"/>
      <w:marBottom w:val="0"/>
      <w:divBdr>
        <w:top w:val="none" w:sz="0" w:space="0" w:color="auto"/>
        <w:left w:val="none" w:sz="0" w:space="0" w:color="auto"/>
        <w:bottom w:val="none" w:sz="0" w:space="0" w:color="auto"/>
        <w:right w:val="none" w:sz="0" w:space="0" w:color="auto"/>
      </w:divBdr>
    </w:div>
    <w:div w:id="489448342">
      <w:bodyDiv w:val="1"/>
      <w:marLeft w:val="0"/>
      <w:marRight w:val="0"/>
      <w:marTop w:val="0"/>
      <w:marBottom w:val="0"/>
      <w:divBdr>
        <w:top w:val="none" w:sz="0" w:space="0" w:color="auto"/>
        <w:left w:val="none" w:sz="0" w:space="0" w:color="auto"/>
        <w:bottom w:val="none" w:sz="0" w:space="0" w:color="auto"/>
        <w:right w:val="none" w:sz="0" w:space="0" w:color="auto"/>
      </w:divBdr>
    </w:div>
    <w:div w:id="489490768">
      <w:bodyDiv w:val="1"/>
      <w:marLeft w:val="0"/>
      <w:marRight w:val="0"/>
      <w:marTop w:val="0"/>
      <w:marBottom w:val="0"/>
      <w:divBdr>
        <w:top w:val="none" w:sz="0" w:space="0" w:color="auto"/>
        <w:left w:val="none" w:sz="0" w:space="0" w:color="auto"/>
        <w:bottom w:val="none" w:sz="0" w:space="0" w:color="auto"/>
        <w:right w:val="none" w:sz="0" w:space="0" w:color="auto"/>
      </w:divBdr>
    </w:div>
    <w:div w:id="489559688">
      <w:bodyDiv w:val="1"/>
      <w:marLeft w:val="0"/>
      <w:marRight w:val="0"/>
      <w:marTop w:val="0"/>
      <w:marBottom w:val="0"/>
      <w:divBdr>
        <w:top w:val="none" w:sz="0" w:space="0" w:color="auto"/>
        <w:left w:val="none" w:sz="0" w:space="0" w:color="auto"/>
        <w:bottom w:val="none" w:sz="0" w:space="0" w:color="auto"/>
        <w:right w:val="none" w:sz="0" w:space="0" w:color="auto"/>
      </w:divBdr>
    </w:div>
    <w:div w:id="489713263">
      <w:bodyDiv w:val="1"/>
      <w:marLeft w:val="0"/>
      <w:marRight w:val="0"/>
      <w:marTop w:val="0"/>
      <w:marBottom w:val="0"/>
      <w:divBdr>
        <w:top w:val="none" w:sz="0" w:space="0" w:color="auto"/>
        <w:left w:val="none" w:sz="0" w:space="0" w:color="auto"/>
        <w:bottom w:val="none" w:sz="0" w:space="0" w:color="auto"/>
        <w:right w:val="none" w:sz="0" w:space="0" w:color="auto"/>
      </w:divBdr>
    </w:div>
    <w:div w:id="489827153">
      <w:bodyDiv w:val="1"/>
      <w:marLeft w:val="0"/>
      <w:marRight w:val="0"/>
      <w:marTop w:val="0"/>
      <w:marBottom w:val="0"/>
      <w:divBdr>
        <w:top w:val="none" w:sz="0" w:space="0" w:color="auto"/>
        <w:left w:val="none" w:sz="0" w:space="0" w:color="auto"/>
        <w:bottom w:val="none" w:sz="0" w:space="0" w:color="auto"/>
        <w:right w:val="none" w:sz="0" w:space="0" w:color="auto"/>
      </w:divBdr>
    </w:div>
    <w:div w:id="490220351">
      <w:bodyDiv w:val="1"/>
      <w:marLeft w:val="0"/>
      <w:marRight w:val="0"/>
      <w:marTop w:val="0"/>
      <w:marBottom w:val="0"/>
      <w:divBdr>
        <w:top w:val="none" w:sz="0" w:space="0" w:color="auto"/>
        <w:left w:val="none" w:sz="0" w:space="0" w:color="auto"/>
        <w:bottom w:val="none" w:sz="0" w:space="0" w:color="auto"/>
        <w:right w:val="none" w:sz="0" w:space="0" w:color="auto"/>
      </w:divBdr>
    </w:div>
    <w:div w:id="491455905">
      <w:bodyDiv w:val="1"/>
      <w:marLeft w:val="0"/>
      <w:marRight w:val="0"/>
      <w:marTop w:val="0"/>
      <w:marBottom w:val="0"/>
      <w:divBdr>
        <w:top w:val="none" w:sz="0" w:space="0" w:color="auto"/>
        <w:left w:val="none" w:sz="0" w:space="0" w:color="auto"/>
        <w:bottom w:val="none" w:sz="0" w:space="0" w:color="auto"/>
        <w:right w:val="none" w:sz="0" w:space="0" w:color="auto"/>
      </w:divBdr>
    </w:div>
    <w:div w:id="492067663">
      <w:bodyDiv w:val="1"/>
      <w:marLeft w:val="0"/>
      <w:marRight w:val="0"/>
      <w:marTop w:val="0"/>
      <w:marBottom w:val="0"/>
      <w:divBdr>
        <w:top w:val="none" w:sz="0" w:space="0" w:color="auto"/>
        <w:left w:val="none" w:sz="0" w:space="0" w:color="auto"/>
        <w:bottom w:val="none" w:sz="0" w:space="0" w:color="auto"/>
        <w:right w:val="none" w:sz="0" w:space="0" w:color="auto"/>
      </w:divBdr>
    </w:div>
    <w:div w:id="492766502">
      <w:bodyDiv w:val="1"/>
      <w:marLeft w:val="0"/>
      <w:marRight w:val="0"/>
      <w:marTop w:val="0"/>
      <w:marBottom w:val="0"/>
      <w:divBdr>
        <w:top w:val="none" w:sz="0" w:space="0" w:color="auto"/>
        <w:left w:val="none" w:sz="0" w:space="0" w:color="auto"/>
        <w:bottom w:val="none" w:sz="0" w:space="0" w:color="auto"/>
        <w:right w:val="none" w:sz="0" w:space="0" w:color="auto"/>
      </w:divBdr>
    </w:div>
    <w:div w:id="492793485">
      <w:bodyDiv w:val="1"/>
      <w:marLeft w:val="0"/>
      <w:marRight w:val="0"/>
      <w:marTop w:val="0"/>
      <w:marBottom w:val="0"/>
      <w:divBdr>
        <w:top w:val="none" w:sz="0" w:space="0" w:color="auto"/>
        <w:left w:val="none" w:sz="0" w:space="0" w:color="auto"/>
        <w:bottom w:val="none" w:sz="0" w:space="0" w:color="auto"/>
        <w:right w:val="none" w:sz="0" w:space="0" w:color="auto"/>
      </w:divBdr>
    </w:div>
    <w:div w:id="493256051">
      <w:bodyDiv w:val="1"/>
      <w:marLeft w:val="0"/>
      <w:marRight w:val="0"/>
      <w:marTop w:val="0"/>
      <w:marBottom w:val="0"/>
      <w:divBdr>
        <w:top w:val="none" w:sz="0" w:space="0" w:color="auto"/>
        <w:left w:val="none" w:sz="0" w:space="0" w:color="auto"/>
        <w:bottom w:val="none" w:sz="0" w:space="0" w:color="auto"/>
        <w:right w:val="none" w:sz="0" w:space="0" w:color="auto"/>
      </w:divBdr>
    </w:div>
    <w:div w:id="493567061">
      <w:bodyDiv w:val="1"/>
      <w:marLeft w:val="0"/>
      <w:marRight w:val="0"/>
      <w:marTop w:val="0"/>
      <w:marBottom w:val="0"/>
      <w:divBdr>
        <w:top w:val="none" w:sz="0" w:space="0" w:color="auto"/>
        <w:left w:val="none" w:sz="0" w:space="0" w:color="auto"/>
        <w:bottom w:val="none" w:sz="0" w:space="0" w:color="auto"/>
        <w:right w:val="none" w:sz="0" w:space="0" w:color="auto"/>
      </w:divBdr>
    </w:div>
    <w:div w:id="494303661">
      <w:bodyDiv w:val="1"/>
      <w:marLeft w:val="0"/>
      <w:marRight w:val="0"/>
      <w:marTop w:val="0"/>
      <w:marBottom w:val="0"/>
      <w:divBdr>
        <w:top w:val="none" w:sz="0" w:space="0" w:color="auto"/>
        <w:left w:val="none" w:sz="0" w:space="0" w:color="auto"/>
        <w:bottom w:val="none" w:sz="0" w:space="0" w:color="auto"/>
        <w:right w:val="none" w:sz="0" w:space="0" w:color="auto"/>
      </w:divBdr>
    </w:div>
    <w:div w:id="494493813">
      <w:bodyDiv w:val="1"/>
      <w:marLeft w:val="0"/>
      <w:marRight w:val="0"/>
      <w:marTop w:val="0"/>
      <w:marBottom w:val="0"/>
      <w:divBdr>
        <w:top w:val="none" w:sz="0" w:space="0" w:color="auto"/>
        <w:left w:val="none" w:sz="0" w:space="0" w:color="auto"/>
        <w:bottom w:val="none" w:sz="0" w:space="0" w:color="auto"/>
        <w:right w:val="none" w:sz="0" w:space="0" w:color="auto"/>
      </w:divBdr>
    </w:div>
    <w:div w:id="494686170">
      <w:bodyDiv w:val="1"/>
      <w:marLeft w:val="0"/>
      <w:marRight w:val="0"/>
      <w:marTop w:val="0"/>
      <w:marBottom w:val="0"/>
      <w:divBdr>
        <w:top w:val="none" w:sz="0" w:space="0" w:color="auto"/>
        <w:left w:val="none" w:sz="0" w:space="0" w:color="auto"/>
        <w:bottom w:val="none" w:sz="0" w:space="0" w:color="auto"/>
        <w:right w:val="none" w:sz="0" w:space="0" w:color="auto"/>
      </w:divBdr>
    </w:div>
    <w:div w:id="494690039">
      <w:bodyDiv w:val="1"/>
      <w:marLeft w:val="0"/>
      <w:marRight w:val="0"/>
      <w:marTop w:val="0"/>
      <w:marBottom w:val="0"/>
      <w:divBdr>
        <w:top w:val="none" w:sz="0" w:space="0" w:color="auto"/>
        <w:left w:val="none" w:sz="0" w:space="0" w:color="auto"/>
        <w:bottom w:val="none" w:sz="0" w:space="0" w:color="auto"/>
        <w:right w:val="none" w:sz="0" w:space="0" w:color="auto"/>
      </w:divBdr>
    </w:div>
    <w:div w:id="494997852">
      <w:bodyDiv w:val="1"/>
      <w:marLeft w:val="0"/>
      <w:marRight w:val="0"/>
      <w:marTop w:val="0"/>
      <w:marBottom w:val="0"/>
      <w:divBdr>
        <w:top w:val="none" w:sz="0" w:space="0" w:color="auto"/>
        <w:left w:val="none" w:sz="0" w:space="0" w:color="auto"/>
        <w:bottom w:val="none" w:sz="0" w:space="0" w:color="auto"/>
        <w:right w:val="none" w:sz="0" w:space="0" w:color="auto"/>
      </w:divBdr>
    </w:div>
    <w:div w:id="495003509">
      <w:bodyDiv w:val="1"/>
      <w:marLeft w:val="0"/>
      <w:marRight w:val="0"/>
      <w:marTop w:val="0"/>
      <w:marBottom w:val="0"/>
      <w:divBdr>
        <w:top w:val="none" w:sz="0" w:space="0" w:color="auto"/>
        <w:left w:val="none" w:sz="0" w:space="0" w:color="auto"/>
        <w:bottom w:val="none" w:sz="0" w:space="0" w:color="auto"/>
        <w:right w:val="none" w:sz="0" w:space="0" w:color="auto"/>
      </w:divBdr>
    </w:div>
    <w:div w:id="495145802">
      <w:bodyDiv w:val="1"/>
      <w:marLeft w:val="0"/>
      <w:marRight w:val="0"/>
      <w:marTop w:val="0"/>
      <w:marBottom w:val="0"/>
      <w:divBdr>
        <w:top w:val="none" w:sz="0" w:space="0" w:color="auto"/>
        <w:left w:val="none" w:sz="0" w:space="0" w:color="auto"/>
        <w:bottom w:val="none" w:sz="0" w:space="0" w:color="auto"/>
        <w:right w:val="none" w:sz="0" w:space="0" w:color="auto"/>
      </w:divBdr>
    </w:div>
    <w:div w:id="495150915">
      <w:bodyDiv w:val="1"/>
      <w:marLeft w:val="0"/>
      <w:marRight w:val="0"/>
      <w:marTop w:val="0"/>
      <w:marBottom w:val="0"/>
      <w:divBdr>
        <w:top w:val="none" w:sz="0" w:space="0" w:color="auto"/>
        <w:left w:val="none" w:sz="0" w:space="0" w:color="auto"/>
        <w:bottom w:val="none" w:sz="0" w:space="0" w:color="auto"/>
        <w:right w:val="none" w:sz="0" w:space="0" w:color="auto"/>
      </w:divBdr>
    </w:div>
    <w:div w:id="495926556">
      <w:bodyDiv w:val="1"/>
      <w:marLeft w:val="0"/>
      <w:marRight w:val="0"/>
      <w:marTop w:val="0"/>
      <w:marBottom w:val="0"/>
      <w:divBdr>
        <w:top w:val="none" w:sz="0" w:space="0" w:color="auto"/>
        <w:left w:val="none" w:sz="0" w:space="0" w:color="auto"/>
        <w:bottom w:val="none" w:sz="0" w:space="0" w:color="auto"/>
        <w:right w:val="none" w:sz="0" w:space="0" w:color="auto"/>
      </w:divBdr>
    </w:div>
    <w:div w:id="496070855">
      <w:bodyDiv w:val="1"/>
      <w:marLeft w:val="0"/>
      <w:marRight w:val="0"/>
      <w:marTop w:val="0"/>
      <w:marBottom w:val="0"/>
      <w:divBdr>
        <w:top w:val="none" w:sz="0" w:space="0" w:color="auto"/>
        <w:left w:val="none" w:sz="0" w:space="0" w:color="auto"/>
        <w:bottom w:val="none" w:sz="0" w:space="0" w:color="auto"/>
        <w:right w:val="none" w:sz="0" w:space="0" w:color="auto"/>
      </w:divBdr>
    </w:div>
    <w:div w:id="496657258">
      <w:bodyDiv w:val="1"/>
      <w:marLeft w:val="0"/>
      <w:marRight w:val="0"/>
      <w:marTop w:val="0"/>
      <w:marBottom w:val="0"/>
      <w:divBdr>
        <w:top w:val="none" w:sz="0" w:space="0" w:color="auto"/>
        <w:left w:val="none" w:sz="0" w:space="0" w:color="auto"/>
        <w:bottom w:val="none" w:sz="0" w:space="0" w:color="auto"/>
        <w:right w:val="none" w:sz="0" w:space="0" w:color="auto"/>
      </w:divBdr>
    </w:div>
    <w:div w:id="496769105">
      <w:bodyDiv w:val="1"/>
      <w:marLeft w:val="0"/>
      <w:marRight w:val="0"/>
      <w:marTop w:val="0"/>
      <w:marBottom w:val="0"/>
      <w:divBdr>
        <w:top w:val="none" w:sz="0" w:space="0" w:color="auto"/>
        <w:left w:val="none" w:sz="0" w:space="0" w:color="auto"/>
        <w:bottom w:val="none" w:sz="0" w:space="0" w:color="auto"/>
        <w:right w:val="none" w:sz="0" w:space="0" w:color="auto"/>
      </w:divBdr>
    </w:div>
    <w:div w:id="497505857">
      <w:bodyDiv w:val="1"/>
      <w:marLeft w:val="0"/>
      <w:marRight w:val="0"/>
      <w:marTop w:val="0"/>
      <w:marBottom w:val="0"/>
      <w:divBdr>
        <w:top w:val="none" w:sz="0" w:space="0" w:color="auto"/>
        <w:left w:val="none" w:sz="0" w:space="0" w:color="auto"/>
        <w:bottom w:val="none" w:sz="0" w:space="0" w:color="auto"/>
        <w:right w:val="none" w:sz="0" w:space="0" w:color="auto"/>
      </w:divBdr>
    </w:div>
    <w:div w:id="497815137">
      <w:bodyDiv w:val="1"/>
      <w:marLeft w:val="0"/>
      <w:marRight w:val="0"/>
      <w:marTop w:val="0"/>
      <w:marBottom w:val="0"/>
      <w:divBdr>
        <w:top w:val="none" w:sz="0" w:space="0" w:color="auto"/>
        <w:left w:val="none" w:sz="0" w:space="0" w:color="auto"/>
        <w:bottom w:val="none" w:sz="0" w:space="0" w:color="auto"/>
        <w:right w:val="none" w:sz="0" w:space="0" w:color="auto"/>
      </w:divBdr>
    </w:div>
    <w:div w:id="498009428">
      <w:bodyDiv w:val="1"/>
      <w:marLeft w:val="0"/>
      <w:marRight w:val="0"/>
      <w:marTop w:val="0"/>
      <w:marBottom w:val="0"/>
      <w:divBdr>
        <w:top w:val="none" w:sz="0" w:space="0" w:color="auto"/>
        <w:left w:val="none" w:sz="0" w:space="0" w:color="auto"/>
        <w:bottom w:val="none" w:sz="0" w:space="0" w:color="auto"/>
        <w:right w:val="none" w:sz="0" w:space="0" w:color="auto"/>
      </w:divBdr>
    </w:div>
    <w:div w:id="498623723">
      <w:bodyDiv w:val="1"/>
      <w:marLeft w:val="0"/>
      <w:marRight w:val="0"/>
      <w:marTop w:val="0"/>
      <w:marBottom w:val="0"/>
      <w:divBdr>
        <w:top w:val="none" w:sz="0" w:space="0" w:color="auto"/>
        <w:left w:val="none" w:sz="0" w:space="0" w:color="auto"/>
        <w:bottom w:val="none" w:sz="0" w:space="0" w:color="auto"/>
        <w:right w:val="none" w:sz="0" w:space="0" w:color="auto"/>
      </w:divBdr>
    </w:div>
    <w:div w:id="498815494">
      <w:bodyDiv w:val="1"/>
      <w:marLeft w:val="0"/>
      <w:marRight w:val="0"/>
      <w:marTop w:val="0"/>
      <w:marBottom w:val="0"/>
      <w:divBdr>
        <w:top w:val="none" w:sz="0" w:space="0" w:color="auto"/>
        <w:left w:val="none" w:sz="0" w:space="0" w:color="auto"/>
        <w:bottom w:val="none" w:sz="0" w:space="0" w:color="auto"/>
        <w:right w:val="none" w:sz="0" w:space="0" w:color="auto"/>
      </w:divBdr>
    </w:div>
    <w:div w:id="499001184">
      <w:bodyDiv w:val="1"/>
      <w:marLeft w:val="0"/>
      <w:marRight w:val="0"/>
      <w:marTop w:val="0"/>
      <w:marBottom w:val="0"/>
      <w:divBdr>
        <w:top w:val="none" w:sz="0" w:space="0" w:color="auto"/>
        <w:left w:val="none" w:sz="0" w:space="0" w:color="auto"/>
        <w:bottom w:val="none" w:sz="0" w:space="0" w:color="auto"/>
        <w:right w:val="none" w:sz="0" w:space="0" w:color="auto"/>
      </w:divBdr>
    </w:div>
    <w:div w:id="499735030">
      <w:bodyDiv w:val="1"/>
      <w:marLeft w:val="0"/>
      <w:marRight w:val="0"/>
      <w:marTop w:val="0"/>
      <w:marBottom w:val="0"/>
      <w:divBdr>
        <w:top w:val="none" w:sz="0" w:space="0" w:color="auto"/>
        <w:left w:val="none" w:sz="0" w:space="0" w:color="auto"/>
        <w:bottom w:val="none" w:sz="0" w:space="0" w:color="auto"/>
        <w:right w:val="none" w:sz="0" w:space="0" w:color="auto"/>
      </w:divBdr>
    </w:div>
    <w:div w:id="499740587">
      <w:bodyDiv w:val="1"/>
      <w:marLeft w:val="0"/>
      <w:marRight w:val="0"/>
      <w:marTop w:val="0"/>
      <w:marBottom w:val="0"/>
      <w:divBdr>
        <w:top w:val="none" w:sz="0" w:space="0" w:color="auto"/>
        <w:left w:val="none" w:sz="0" w:space="0" w:color="auto"/>
        <w:bottom w:val="none" w:sz="0" w:space="0" w:color="auto"/>
        <w:right w:val="none" w:sz="0" w:space="0" w:color="auto"/>
      </w:divBdr>
    </w:div>
    <w:div w:id="500243613">
      <w:bodyDiv w:val="1"/>
      <w:marLeft w:val="0"/>
      <w:marRight w:val="0"/>
      <w:marTop w:val="0"/>
      <w:marBottom w:val="0"/>
      <w:divBdr>
        <w:top w:val="none" w:sz="0" w:space="0" w:color="auto"/>
        <w:left w:val="none" w:sz="0" w:space="0" w:color="auto"/>
        <w:bottom w:val="none" w:sz="0" w:space="0" w:color="auto"/>
        <w:right w:val="none" w:sz="0" w:space="0" w:color="auto"/>
      </w:divBdr>
    </w:div>
    <w:div w:id="500317720">
      <w:bodyDiv w:val="1"/>
      <w:marLeft w:val="0"/>
      <w:marRight w:val="0"/>
      <w:marTop w:val="0"/>
      <w:marBottom w:val="0"/>
      <w:divBdr>
        <w:top w:val="none" w:sz="0" w:space="0" w:color="auto"/>
        <w:left w:val="none" w:sz="0" w:space="0" w:color="auto"/>
        <w:bottom w:val="none" w:sz="0" w:space="0" w:color="auto"/>
        <w:right w:val="none" w:sz="0" w:space="0" w:color="auto"/>
      </w:divBdr>
    </w:div>
    <w:div w:id="500851814">
      <w:bodyDiv w:val="1"/>
      <w:marLeft w:val="0"/>
      <w:marRight w:val="0"/>
      <w:marTop w:val="0"/>
      <w:marBottom w:val="0"/>
      <w:divBdr>
        <w:top w:val="none" w:sz="0" w:space="0" w:color="auto"/>
        <w:left w:val="none" w:sz="0" w:space="0" w:color="auto"/>
        <w:bottom w:val="none" w:sz="0" w:space="0" w:color="auto"/>
        <w:right w:val="none" w:sz="0" w:space="0" w:color="auto"/>
      </w:divBdr>
    </w:div>
    <w:div w:id="501088332">
      <w:bodyDiv w:val="1"/>
      <w:marLeft w:val="0"/>
      <w:marRight w:val="0"/>
      <w:marTop w:val="0"/>
      <w:marBottom w:val="0"/>
      <w:divBdr>
        <w:top w:val="none" w:sz="0" w:space="0" w:color="auto"/>
        <w:left w:val="none" w:sz="0" w:space="0" w:color="auto"/>
        <w:bottom w:val="none" w:sz="0" w:space="0" w:color="auto"/>
        <w:right w:val="none" w:sz="0" w:space="0" w:color="auto"/>
      </w:divBdr>
    </w:div>
    <w:div w:id="501354024">
      <w:bodyDiv w:val="1"/>
      <w:marLeft w:val="0"/>
      <w:marRight w:val="0"/>
      <w:marTop w:val="0"/>
      <w:marBottom w:val="0"/>
      <w:divBdr>
        <w:top w:val="none" w:sz="0" w:space="0" w:color="auto"/>
        <w:left w:val="none" w:sz="0" w:space="0" w:color="auto"/>
        <w:bottom w:val="none" w:sz="0" w:space="0" w:color="auto"/>
        <w:right w:val="none" w:sz="0" w:space="0" w:color="auto"/>
      </w:divBdr>
    </w:div>
    <w:div w:id="501822060">
      <w:bodyDiv w:val="1"/>
      <w:marLeft w:val="0"/>
      <w:marRight w:val="0"/>
      <w:marTop w:val="0"/>
      <w:marBottom w:val="0"/>
      <w:divBdr>
        <w:top w:val="none" w:sz="0" w:space="0" w:color="auto"/>
        <w:left w:val="none" w:sz="0" w:space="0" w:color="auto"/>
        <w:bottom w:val="none" w:sz="0" w:space="0" w:color="auto"/>
        <w:right w:val="none" w:sz="0" w:space="0" w:color="auto"/>
      </w:divBdr>
    </w:div>
    <w:div w:id="501896109">
      <w:bodyDiv w:val="1"/>
      <w:marLeft w:val="0"/>
      <w:marRight w:val="0"/>
      <w:marTop w:val="0"/>
      <w:marBottom w:val="0"/>
      <w:divBdr>
        <w:top w:val="none" w:sz="0" w:space="0" w:color="auto"/>
        <w:left w:val="none" w:sz="0" w:space="0" w:color="auto"/>
        <w:bottom w:val="none" w:sz="0" w:space="0" w:color="auto"/>
        <w:right w:val="none" w:sz="0" w:space="0" w:color="auto"/>
      </w:divBdr>
    </w:div>
    <w:div w:id="502284868">
      <w:bodyDiv w:val="1"/>
      <w:marLeft w:val="0"/>
      <w:marRight w:val="0"/>
      <w:marTop w:val="0"/>
      <w:marBottom w:val="0"/>
      <w:divBdr>
        <w:top w:val="none" w:sz="0" w:space="0" w:color="auto"/>
        <w:left w:val="none" w:sz="0" w:space="0" w:color="auto"/>
        <w:bottom w:val="none" w:sz="0" w:space="0" w:color="auto"/>
        <w:right w:val="none" w:sz="0" w:space="0" w:color="auto"/>
      </w:divBdr>
    </w:div>
    <w:div w:id="502404120">
      <w:bodyDiv w:val="1"/>
      <w:marLeft w:val="0"/>
      <w:marRight w:val="0"/>
      <w:marTop w:val="0"/>
      <w:marBottom w:val="0"/>
      <w:divBdr>
        <w:top w:val="none" w:sz="0" w:space="0" w:color="auto"/>
        <w:left w:val="none" w:sz="0" w:space="0" w:color="auto"/>
        <w:bottom w:val="none" w:sz="0" w:space="0" w:color="auto"/>
        <w:right w:val="none" w:sz="0" w:space="0" w:color="auto"/>
      </w:divBdr>
    </w:div>
    <w:div w:id="502546511">
      <w:bodyDiv w:val="1"/>
      <w:marLeft w:val="0"/>
      <w:marRight w:val="0"/>
      <w:marTop w:val="0"/>
      <w:marBottom w:val="0"/>
      <w:divBdr>
        <w:top w:val="none" w:sz="0" w:space="0" w:color="auto"/>
        <w:left w:val="none" w:sz="0" w:space="0" w:color="auto"/>
        <w:bottom w:val="none" w:sz="0" w:space="0" w:color="auto"/>
        <w:right w:val="none" w:sz="0" w:space="0" w:color="auto"/>
      </w:divBdr>
    </w:div>
    <w:div w:id="502745830">
      <w:bodyDiv w:val="1"/>
      <w:marLeft w:val="0"/>
      <w:marRight w:val="0"/>
      <w:marTop w:val="0"/>
      <w:marBottom w:val="0"/>
      <w:divBdr>
        <w:top w:val="none" w:sz="0" w:space="0" w:color="auto"/>
        <w:left w:val="none" w:sz="0" w:space="0" w:color="auto"/>
        <w:bottom w:val="none" w:sz="0" w:space="0" w:color="auto"/>
        <w:right w:val="none" w:sz="0" w:space="0" w:color="auto"/>
      </w:divBdr>
    </w:div>
    <w:div w:id="503520721">
      <w:bodyDiv w:val="1"/>
      <w:marLeft w:val="0"/>
      <w:marRight w:val="0"/>
      <w:marTop w:val="0"/>
      <w:marBottom w:val="0"/>
      <w:divBdr>
        <w:top w:val="none" w:sz="0" w:space="0" w:color="auto"/>
        <w:left w:val="none" w:sz="0" w:space="0" w:color="auto"/>
        <w:bottom w:val="none" w:sz="0" w:space="0" w:color="auto"/>
        <w:right w:val="none" w:sz="0" w:space="0" w:color="auto"/>
      </w:divBdr>
    </w:div>
    <w:div w:id="503787772">
      <w:bodyDiv w:val="1"/>
      <w:marLeft w:val="0"/>
      <w:marRight w:val="0"/>
      <w:marTop w:val="0"/>
      <w:marBottom w:val="0"/>
      <w:divBdr>
        <w:top w:val="none" w:sz="0" w:space="0" w:color="auto"/>
        <w:left w:val="none" w:sz="0" w:space="0" w:color="auto"/>
        <w:bottom w:val="none" w:sz="0" w:space="0" w:color="auto"/>
        <w:right w:val="none" w:sz="0" w:space="0" w:color="auto"/>
      </w:divBdr>
    </w:div>
    <w:div w:id="503937521">
      <w:bodyDiv w:val="1"/>
      <w:marLeft w:val="0"/>
      <w:marRight w:val="0"/>
      <w:marTop w:val="0"/>
      <w:marBottom w:val="0"/>
      <w:divBdr>
        <w:top w:val="none" w:sz="0" w:space="0" w:color="auto"/>
        <w:left w:val="none" w:sz="0" w:space="0" w:color="auto"/>
        <w:bottom w:val="none" w:sz="0" w:space="0" w:color="auto"/>
        <w:right w:val="none" w:sz="0" w:space="0" w:color="auto"/>
      </w:divBdr>
    </w:div>
    <w:div w:id="503938890">
      <w:bodyDiv w:val="1"/>
      <w:marLeft w:val="0"/>
      <w:marRight w:val="0"/>
      <w:marTop w:val="0"/>
      <w:marBottom w:val="0"/>
      <w:divBdr>
        <w:top w:val="none" w:sz="0" w:space="0" w:color="auto"/>
        <w:left w:val="none" w:sz="0" w:space="0" w:color="auto"/>
        <w:bottom w:val="none" w:sz="0" w:space="0" w:color="auto"/>
        <w:right w:val="none" w:sz="0" w:space="0" w:color="auto"/>
      </w:divBdr>
    </w:div>
    <w:div w:id="503979412">
      <w:bodyDiv w:val="1"/>
      <w:marLeft w:val="0"/>
      <w:marRight w:val="0"/>
      <w:marTop w:val="0"/>
      <w:marBottom w:val="0"/>
      <w:divBdr>
        <w:top w:val="none" w:sz="0" w:space="0" w:color="auto"/>
        <w:left w:val="none" w:sz="0" w:space="0" w:color="auto"/>
        <w:bottom w:val="none" w:sz="0" w:space="0" w:color="auto"/>
        <w:right w:val="none" w:sz="0" w:space="0" w:color="auto"/>
      </w:divBdr>
    </w:div>
    <w:div w:id="504171958">
      <w:bodyDiv w:val="1"/>
      <w:marLeft w:val="0"/>
      <w:marRight w:val="0"/>
      <w:marTop w:val="0"/>
      <w:marBottom w:val="0"/>
      <w:divBdr>
        <w:top w:val="none" w:sz="0" w:space="0" w:color="auto"/>
        <w:left w:val="none" w:sz="0" w:space="0" w:color="auto"/>
        <w:bottom w:val="none" w:sz="0" w:space="0" w:color="auto"/>
        <w:right w:val="none" w:sz="0" w:space="0" w:color="auto"/>
      </w:divBdr>
    </w:div>
    <w:div w:id="504512466">
      <w:bodyDiv w:val="1"/>
      <w:marLeft w:val="0"/>
      <w:marRight w:val="0"/>
      <w:marTop w:val="0"/>
      <w:marBottom w:val="0"/>
      <w:divBdr>
        <w:top w:val="none" w:sz="0" w:space="0" w:color="auto"/>
        <w:left w:val="none" w:sz="0" w:space="0" w:color="auto"/>
        <w:bottom w:val="none" w:sz="0" w:space="0" w:color="auto"/>
        <w:right w:val="none" w:sz="0" w:space="0" w:color="auto"/>
      </w:divBdr>
    </w:div>
    <w:div w:id="504789641">
      <w:bodyDiv w:val="1"/>
      <w:marLeft w:val="0"/>
      <w:marRight w:val="0"/>
      <w:marTop w:val="0"/>
      <w:marBottom w:val="0"/>
      <w:divBdr>
        <w:top w:val="none" w:sz="0" w:space="0" w:color="auto"/>
        <w:left w:val="none" w:sz="0" w:space="0" w:color="auto"/>
        <w:bottom w:val="none" w:sz="0" w:space="0" w:color="auto"/>
        <w:right w:val="none" w:sz="0" w:space="0" w:color="auto"/>
      </w:divBdr>
    </w:div>
    <w:div w:id="504825576">
      <w:bodyDiv w:val="1"/>
      <w:marLeft w:val="0"/>
      <w:marRight w:val="0"/>
      <w:marTop w:val="0"/>
      <w:marBottom w:val="0"/>
      <w:divBdr>
        <w:top w:val="none" w:sz="0" w:space="0" w:color="auto"/>
        <w:left w:val="none" w:sz="0" w:space="0" w:color="auto"/>
        <w:bottom w:val="none" w:sz="0" w:space="0" w:color="auto"/>
        <w:right w:val="none" w:sz="0" w:space="0" w:color="auto"/>
      </w:divBdr>
    </w:div>
    <w:div w:id="504976878">
      <w:bodyDiv w:val="1"/>
      <w:marLeft w:val="0"/>
      <w:marRight w:val="0"/>
      <w:marTop w:val="0"/>
      <w:marBottom w:val="0"/>
      <w:divBdr>
        <w:top w:val="none" w:sz="0" w:space="0" w:color="auto"/>
        <w:left w:val="none" w:sz="0" w:space="0" w:color="auto"/>
        <w:bottom w:val="none" w:sz="0" w:space="0" w:color="auto"/>
        <w:right w:val="none" w:sz="0" w:space="0" w:color="auto"/>
      </w:divBdr>
    </w:div>
    <w:div w:id="504978515">
      <w:bodyDiv w:val="1"/>
      <w:marLeft w:val="0"/>
      <w:marRight w:val="0"/>
      <w:marTop w:val="0"/>
      <w:marBottom w:val="0"/>
      <w:divBdr>
        <w:top w:val="none" w:sz="0" w:space="0" w:color="auto"/>
        <w:left w:val="none" w:sz="0" w:space="0" w:color="auto"/>
        <w:bottom w:val="none" w:sz="0" w:space="0" w:color="auto"/>
        <w:right w:val="none" w:sz="0" w:space="0" w:color="auto"/>
      </w:divBdr>
    </w:div>
    <w:div w:id="505020727">
      <w:bodyDiv w:val="1"/>
      <w:marLeft w:val="0"/>
      <w:marRight w:val="0"/>
      <w:marTop w:val="0"/>
      <w:marBottom w:val="0"/>
      <w:divBdr>
        <w:top w:val="none" w:sz="0" w:space="0" w:color="auto"/>
        <w:left w:val="none" w:sz="0" w:space="0" w:color="auto"/>
        <w:bottom w:val="none" w:sz="0" w:space="0" w:color="auto"/>
        <w:right w:val="none" w:sz="0" w:space="0" w:color="auto"/>
      </w:divBdr>
    </w:div>
    <w:div w:id="505367159">
      <w:bodyDiv w:val="1"/>
      <w:marLeft w:val="0"/>
      <w:marRight w:val="0"/>
      <w:marTop w:val="0"/>
      <w:marBottom w:val="0"/>
      <w:divBdr>
        <w:top w:val="none" w:sz="0" w:space="0" w:color="auto"/>
        <w:left w:val="none" w:sz="0" w:space="0" w:color="auto"/>
        <w:bottom w:val="none" w:sz="0" w:space="0" w:color="auto"/>
        <w:right w:val="none" w:sz="0" w:space="0" w:color="auto"/>
      </w:divBdr>
    </w:div>
    <w:div w:id="505484325">
      <w:bodyDiv w:val="1"/>
      <w:marLeft w:val="0"/>
      <w:marRight w:val="0"/>
      <w:marTop w:val="0"/>
      <w:marBottom w:val="0"/>
      <w:divBdr>
        <w:top w:val="none" w:sz="0" w:space="0" w:color="auto"/>
        <w:left w:val="none" w:sz="0" w:space="0" w:color="auto"/>
        <w:bottom w:val="none" w:sz="0" w:space="0" w:color="auto"/>
        <w:right w:val="none" w:sz="0" w:space="0" w:color="auto"/>
      </w:divBdr>
    </w:div>
    <w:div w:id="505945525">
      <w:bodyDiv w:val="1"/>
      <w:marLeft w:val="0"/>
      <w:marRight w:val="0"/>
      <w:marTop w:val="0"/>
      <w:marBottom w:val="0"/>
      <w:divBdr>
        <w:top w:val="none" w:sz="0" w:space="0" w:color="auto"/>
        <w:left w:val="none" w:sz="0" w:space="0" w:color="auto"/>
        <w:bottom w:val="none" w:sz="0" w:space="0" w:color="auto"/>
        <w:right w:val="none" w:sz="0" w:space="0" w:color="auto"/>
      </w:divBdr>
    </w:div>
    <w:div w:id="506093592">
      <w:bodyDiv w:val="1"/>
      <w:marLeft w:val="0"/>
      <w:marRight w:val="0"/>
      <w:marTop w:val="0"/>
      <w:marBottom w:val="0"/>
      <w:divBdr>
        <w:top w:val="none" w:sz="0" w:space="0" w:color="auto"/>
        <w:left w:val="none" w:sz="0" w:space="0" w:color="auto"/>
        <w:bottom w:val="none" w:sz="0" w:space="0" w:color="auto"/>
        <w:right w:val="none" w:sz="0" w:space="0" w:color="auto"/>
      </w:divBdr>
    </w:div>
    <w:div w:id="506285985">
      <w:bodyDiv w:val="1"/>
      <w:marLeft w:val="0"/>
      <w:marRight w:val="0"/>
      <w:marTop w:val="0"/>
      <w:marBottom w:val="0"/>
      <w:divBdr>
        <w:top w:val="none" w:sz="0" w:space="0" w:color="auto"/>
        <w:left w:val="none" w:sz="0" w:space="0" w:color="auto"/>
        <w:bottom w:val="none" w:sz="0" w:space="0" w:color="auto"/>
        <w:right w:val="none" w:sz="0" w:space="0" w:color="auto"/>
      </w:divBdr>
    </w:div>
    <w:div w:id="506528962">
      <w:bodyDiv w:val="1"/>
      <w:marLeft w:val="0"/>
      <w:marRight w:val="0"/>
      <w:marTop w:val="0"/>
      <w:marBottom w:val="0"/>
      <w:divBdr>
        <w:top w:val="none" w:sz="0" w:space="0" w:color="auto"/>
        <w:left w:val="none" w:sz="0" w:space="0" w:color="auto"/>
        <w:bottom w:val="none" w:sz="0" w:space="0" w:color="auto"/>
        <w:right w:val="none" w:sz="0" w:space="0" w:color="auto"/>
      </w:divBdr>
    </w:div>
    <w:div w:id="506870960">
      <w:bodyDiv w:val="1"/>
      <w:marLeft w:val="0"/>
      <w:marRight w:val="0"/>
      <w:marTop w:val="0"/>
      <w:marBottom w:val="0"/>
      <w:divBdr>
        <w:top w:val="none" w:sz="0" w:space="0" w:color="auto"/>
        <w:left w:val="none" w:sz="0" w:space="0" w:color="auto"/>
        <w:bottom w:val="none" w:sz="0" w:space="0" w:color="auto"/>
        <w:right w:val="none" w:sz="0" w:space="0" w:color="auto"/>
      </w:divBdr>
    </w:div>
    <w:div w:id="506940756">
      <w:bodyDiv w:val="1"/>
      <w:marLeft w:val="0"/>
      <w:marRight w:val="0"/>
      <w:marTop w:val="0"/>
      <w:marBottom w:val="0"/>
      <w:divBdr>
        <w:top w:val="none" w:sz="0" w:space="0" w:color="auto"/>
        <w:left w:val="none" w:sz="0" w:space="0" w:color="auto"/>
        <w:bottom w:val="none" w:sz="0" w:space="0" w:color="auto"/>
        <w:right w:val="none" w:sz="0" w:space="0" w:color="auto"/>
      </w:divBdr>
    </w:div>
    <w:div w:id="507326312">
      <w:bodyDiv w:val="1"/>
      <w:marLeft w:val="0"/>
      <w:marRight w:val="0"/>
      <w:marTop w:val="0"/>
      <w:marBottom w:val="0"/>
      <w:divBdr>
        <w:top w:val="none" w:sz="0" w:space="0" w:color="auto"/>
        <w:left w:val="none" w:sz="0" w:space="0" w:color="auto"/>
        <w:bottom w:val="none" w:sz="0" w:space="0" w:color="auto"/>
        <w:right w:val="none" w:sz="0" w:space="0" w:color="auto"/>
      </w:divBdr>
    </w:div>
    <w:div w:id="507716322">
      <w:bodyDiv w:val="1"/>
      <w:marLeft w:val="0"/>
      <w:marRight w:val="0"/>
      <w:marTop w:val="0"/>
      <w:marBottom w:val="0"/>
      <w:divBdr>
        <w:top w:val="none" w:sz="0" w:space="0" w:color="auto"/>
        <w:left w:val="none" w:sz="0" w:space="0" w:color="auto"/>
        <w:bottom w:val="none" w:sz="0" w:space="0" w:color="auto"/>
        <w:right w:val="none" w:sz="0" w:space="0" w:color="auto"/>
      </w:divBdr>
    </w:div>
    <w:div w:id="507986079">
      <w:bodyDiv w:val="1"/>
      <w:marLeft w:val="0"/>
      <w:marRight w:val="0"/>
      <w:marTop w:val="0"/>
      <w:marBottom w:val="0"/>
      <w:divBdr>
        <w:top w:val="none" w:sz="0" w:space="0" w:color="auto"/>
        <w:left w:val="none" w:sz="0" w:space="0" w:color="auto"/>
        <w:bottom w:val="none" w:sz="0" w:space="0" w:color="auto"/>
        <w:right w:val="none" w:sz="0" w:space="0" w:color="auto"/>
      </w:divBdr>
    </w:div>
    <w:div w:id="508328275">
      <w:bodyDiv w:val="1"/>
      <w:marLeft w:val="0"/>
      <w:marRight w:val="0"/>
      <w:marTop w:val="0"/>
      <w:marBottom w:val="0"/>
      <w:divBdr>
        <w:top w:val="none" w:sz="0" w:space="0" w:color="auto"/>
        <w:left w:val="none" w:sz="0" w:space="0" w:color="auto"/>
        <w:bottom w:val="none" w:sz="0" w:space="0" w:color="auto"/>
        <w:right w:val="none" w:sz="0" w:space="0" w:color="auto"/>
      </w:divBdr>
    </w:div>
    <w:div w:id="508836292">
      <w:bodyDiv w:val="1"/>
      <w:marLeft w:val="0"/>
      <w:marRight w:val="0"/>
      <w:marTop w:val="0"/>
      <w:marBottom w:val="0"/>
      <w:divBdr>
        <w:top w:val="none" w:sz="0" w:space="0" w:color="auto"/>
        <w:left w:val="none" w:sz="0" w:space="0" w:color="auto"/>
        <w:bottom w:val="none" w:sz="0" w:space="0" w:color="auto"/>
        <w:right w:val="none" w:sz="0" w:space="0" w:color="auto"/>
      </w:divBdr>
    </w:div>
    <w:div w:id="509149327">
      <w:bodyDiv w:val="1"/>
      <w:marLeft w:val="0"/>
      <w:marRight w:val="0"/>
      <w:marTop w:val="0"/>
      <w:marBottom w:val="0"/>
      <w:divBdr>
        <w:top w:val="none" w:sz="0" w:space="0" w:color="auto"/>
        <w:left w:val="none" w:sz="0" w:space="0" w:color="auto"/>
        <w:bottom w:val="none" w:sz="0" w:space="0" w:color="auto"/>
        <w:right w:val="none" w:sz="0" w:space="0" w:color="auto"/>
      </w:divBdr>
    </w:div>
    <w:div w:id="509224780">
      <w:bodyDiv w:val="1"/>
      <w:marLeft w:val="0"/>
      <w:marRight w:val="0"/>
      <w:marTop w:val="0"/>
      <w:marBottom w:val="0"/>
      <w:divBdr>
        <w:top w:val="none" w:sz="0" w:space="0" w:color="auto"/>
        <w:left w:val="none" w:sz="0" w:space="0" w:color="auto"/>
        <w:bottom w:val="none" w:sz="0" w:space="0" w:color="auto"/>
        <w:right w:val="none" w:sz="0" w:space="0" w:color="auto"/>
      </w:divBdr>
    </w:div>
    <w:div w:id="509296935">
      <w:bodyDiv w:val="1"/>
      <w:marLeft w:val="0"/>
      <w:marRight w:val="0"/>
      <w:marTop w:val="0"/>
      <w:marBottom w:val="0"/>
      <w:divBdr>
        <w:top w:val="none" w:sz="0" w:space="0" w:color="auto"/>
        <w:left w:val="none" w:sz="0" w:space="0" w:color="auto"/>
        <w:bottom w:val="none" w:sz="0" w:space="0" w:color="auto"/>
        <w:right w:val="none" w:sz="0" w:space="0" w:color="auto"/>
      </w:divBdr>
    </w:div>
    <w:div w:id="509300076">
      <w:bodyDiv w:val="1"/>
      <w:marLeft w:val="0"/>
      <w:marRight w:val="0"/>
      <w:marTop w:val="0"/>
      <w:marBottom w:val="0"/>
      <w:divBdr>
        <w:top w:val="none" w:sz="0" w:space="0" w:color="auto"/>
        <w:left w:val="none" w:sz="0" w:space="0" w:color="auto"/>
        <w:bottom w:val="none" w:sz="0" w:space="0" w:color="auto"/>
        <w:right w:val="none" w:sz="0" w:space="0" w:color="auto"/>
      </w:divBdr>
    </w:div>
    <w:div w:id="509492305">
      <w:bodyDiv w:val="1"/>
      <w:marLeft w:val="0"/>
      <w:marRight w:val="0"/>
      <w:marTop w:val="0"/>
      <w:marBottom w:val="0"/>
      <w:divBdr>
        <w:top w:val="none" w:sz="0" w:space="0" w:color="auto"/>
        <w:left w:val="none" w:sz="0" w:space="0" w:color="auto"/>
        <w:bottom w:val="none" w:sz="0" w:space="0" w:color="auto"/>
        <w:right w:val="none" w:sz="0" w:space="0" w:color="auto"/>
      </w:divBdr>
    </w:div>
    <w:div w:id="509569989">
      <w:bodyDiv w:val="1"/>
      <w:marLeft w:val="0"/>
      <w:marRight w:val="0"/>
      <w:marTop w:val="0"/>
      <w:marBottom w:val="0"/>
      <w:divBdr>
        <w:top w:val="none" w:sz="0" w:space="0" w:color="auto"/>
        <w:left w:val="none" w:sz="0" w:space="0" w:color="auto"/>
        <w:bottom w:val="none" w:sz="0" w:space="0" w:color="auto"/>
        <w:right w:val="none" w:sz="0" w:space="0" w:color="auto"/>
      </w:divBdr>
    </w:div>
    <w:div w:id="509640218">
      <w:bodyDiv w:val="1"/>
      <w:marLeft w:val="0"/>
      <w:marRight w:val="0"/>
      <w:marTop w:val="0"/>
      <w:marBottom w:val="0"/>
      <w:divBdr>
        <w:top w:val="none" w:sz="0" w:space="0" w:color="auto"/>
        <w:left w:val="none" w:sz="0" w:space="0" w:color="auto"/>
        <w:bottom w:val="none" w:sz="0" w:space="0" w:color="auto"/>
        <w:right w:val="none" w:sz="0" w:space="0" w:color="auto"/>
      </w:divBdr>
    </w:div>
    <w:div w:id="510991281">
      <w:bodyDiv w:val="1"/>
      <w:marLeft w:val="0"/>
      <w:marRight w:val="0"/>
      <w:marTop w:val="0"/>
      <w:marBottom w:val="0"/>
      <w:divBdr>
        <w:top w:val="none" w:sz="0" w:space="0" w:color="auto"/>
        <w:left w:val="none" w:sz="0" w:space="0" w:color="auto"/>
        <w:bottom w:val="none" w:sz="0" w:space="0" w:color="auto"/>
        <w:right w:val="none" w:sz="0" w:space="0" w:color="auto"/>
      </w:divBdr>
    </w:div>
    <w:div w:id="511341019">
      <w:bodyDiv w:val="1"/>
      <w:marLeft w:val="0"/>
      <w:marRight w:val="0"/>
      <w:marTop w:val="0"/>
      <w:marBottom w:val="0"/>
      <w:divBdr>
        <w:top w:val="none" w:sz="0" w:space="0" w:color="auto"/>
        <w:left w:val="none" w:sz="0" w:space="0" w:color="auto"/>
        <w:bottom w:val="none" w:sz="0" w:space="0" w:color="auto"/>
        <w:right w:val="none" w:sz="0" w:space="0" w:color="auto"/>
      </w:divBdr>
    </w:div>
    <w:div w:id="511527243">
      <w:bodyDiv w:val="1"/>
      <w:marLeft w:val="0"/>
      <w:marRight w:val="0"/>
      <w:marTop w:val="0"/>
      <w:marBottom w:val="0"/>
      <w:divBdr>
        <w:top w:val="none" w:sz="0" w:space="0" w:color="auto"/>
        <w:left w:val="none" w:sz="0" w:space="0" w:color="auto"/>
        <w:bottom w:val="none" w:sz="0" w:space="0" w:color="auto"/>
        <w:right w:val="none" w:sz="0" w:space="0" w:color="auto"/>
      </w:divBdr>
    </w:div>
    <w:div w:id="511796798">
      <w:bodyDiv w:val="1"/>
      <w:marLeft w:val="0"/>
      <w:marRight w:val="0"/>
      <w:marTop w:val="0"/>
      <w:marBottom w:val="0"/>
      <w:divBdr>
        <w:top w:val="none" w:sz="0" w:space="0" w:color="auto"/>
        <w:left w:val="none" w:sz="0" w:space="0" w:color="auto"/>
        <w:bottom w:val="none" w:sz="0" w:space="0" w:color="auto"/>
        <w:right w:val="none" w:sz="0" w:space="0" w:color="auto"/>
      </w:divBdr>
    </w:div>
    <w:div w:id="512185077">
      <w:bodyDiv w:val="1"/>
      <w:marLeft w:val="0"/>
      <w:marRight w:val="0"/>
      <w:marTop w:val="0"/>
      <w:marBottom w:val="0"/>
      <w:divBdr>
        <w:top w:val="none" w:sz="0" w:space="0" w:color="auto"/>
        <w:left w:val="none" w:sz="0" w:space="0" w:color="auto"/>
        <w:bottom w:val="none" w:sz="0" w:space="0" w:color="auto"/>
        <w:right w:val="none" w:sz="0" w:space="0" w:color="auto"/>
      </w:divBdr>
    </w:div>
    <w:div w:id="512885744">
      <w:bodyDiv w:val="1"/>
      <w:marLeft w:val="0"/>
      <w:marRight w:val="0"/>
      <w:marTop w:val="0"/>
      <w:marBottom w:val="0"/>
      <w:divBdr>
        <w:top w:val="none" w:sz="0" w:space="0" w:color="auto"/>
        <w:left w:val="none" w:sz="0" w:space="0" w:color="auto"/>
        <w:bottom w:val="none" w:sz="0" w:space="0" w:color="auto"/>
        <w:right w:val="none" w:sz="0" w:space="0" w:color="auto"/>
      </w:divBdr>
    </w:div>
    <w:div w:id="513232913">
      <w:bodyDiv w:val="1"/>
      <w:marLeft w:val="0"/>
      <w:marRight w:val="0"/>
      <w:marTop w:val="0"/>
      <w:marBottom w:val="0"/>
      <w:divBdr>
        <w:top w:val="none" w:sz="0" w:space="0" w:color="auto"/>
        <w:left w:val="none" w:sz="0" w:space="0" w:color="auto"/>
        <w:bottom w:val="none" w:sz="0" w:space="0" w:color="auto"/>
        <w:right w:val="none" w:sz="0" w:space="0" w:color="auto"/>
      </w:divBdr>
    </w:div>
    <w:div w:id="514153435">
      <w:bodyDiv w:val="1"/>
      <w:marLeft w:val="0"/>
      <w:marRight w:val="0"/>
      <w:marTop w:val="0"/>
      <w:marBottom w:val="0"/>
      <w:divBdr>
        <w:top w:val="none" w:sz="0" w:space="0" w:color="auto"/>
        <w:left w:val="none" w:sz="0" w:space="0" w:color="auto"/>
        <w:bottom w:val="none" w:sz="0" w:space="0" w:color="auto"/>
        <w:right w:val="none" w:sz="0" w:space="0" w:color="auto"/>
      </w:divBdr>
    </w:div>
    <w:div w:id="514812371">
      <w:bodyDiv w:val="1"/>
      <w:marLeft w:val="0"/>
      <w:marRight w:val="0"/>
      <w:marTop w:val="0"/>
      <w:marBottom w:val="0"/>
      <w:divBdr>
        <w:top w:val="none" w:sz="0" w:space="0" w:color="auto"/>
        <w:left w:val="none" w:sz="0" w:space="0" w:color="auto"/>
        <w:bottom w:val="none" w:sz="0" w:space="0" w:color="auto"/>
        <w:right w:val="none" w:sz="0" w:space="0" w:color="auto"/>
      </w:divBdr>
    </w:div>
    <w:div w:id="514925475">
      <w:bodyDiv w:val="1"/>
      <w:marLeft w:val="0"/>
      <w:marRight w:val="0"/>
      <w:marTop w:val="0"/>
      <w:marBottom w:val="0"/>
      <w:divBdr>
        <w:top w:val="none" w:sz="0" w:space="0" w:color="auto"/>
        <w:left w:val="none" w:sz="0" w:space="0" w:color="auto"/>
        <w:bottom w:val="none" w:sz="0" w:space="0" w:color="auto"/>
        <w:right w:val="none" w:sz="0" w:space="0" w:color="auto"/>
      </w:divBdr>
    </w:div>
    <w:div w:id="515195438">
      <w:bodyDiv w:val="1"/>
      <w:marLeft w:val="0"/>
      <w:marRight w:val="0"/>
      <w:marTop w:val="0"/>
      <w:marBottom w:val="0"/>
      <w:divBdr>
        <w:top w:val="none" w:sz="0" w:space="0" w:color="auto"/>
        <w:left w:val="none" w:sz="0" w:space="0" w:color="auto"/>
        <w:bottom w:val="none" w:sz="0" w:space="0" w:color="auto"/>
        <w:right w:val="none" w:sz="0" w:space="0" w:color="auto"/>
      </w:divBdr>
    </w:div>
    <w:div w:id="515390416">
      <w:bodyDiv w:val="1"/>
      <w:marLeft w:val="0"/>
      <w:marRight w:val="0"/>
      <w:marTop w:val="0"/>
      <w:marBottom w:val="0"/>
      <w:divBdr>
        <w:top w:val="none" w:sz="0" w:space="0" w:color="auto"/>
        <w:left w:val="none" w:sz="0" w:space="0" w:color="auto"/>
        <w:bottom w:val="none" w:sz="0" w:space="0" w:color="auto"/>
        <w:right w:val="none" w:sz="0" w:space="0" w:color="auto"/>
      </w:divBdr>
    </w:div>
    <w:div w:id="515538622">
      <w:bodyDiv w:val="1"/>
      <w:marLeft w:val="0"/>
      <w:marRight w:val="0"/>
      <w:marTop w:val="0"/>
      <w:marBottom w:val="0"/>
      <w:divBdr>
        <w:top w:val="none" w:sz="0" w:space="0" w:color="auto"/>
        <w:left w:val="none" w:sz="0" w:space="0" w:color="auto"/>
        <w:bottom w:val="none" w:sz="0" w:space="0" w:color="auto"/>
        <w:right w:val="none" w:sz="0" w:space="0" w:color="auto"/>
      </w:divBdr>
    </w:div>
    <w:div w:id="516238839">
      <w:bodyDiv w:val="1"/>
      <w:marLeft w:val="0"/>
      <w:marRight w:val="0"/>
      <w:marTop w:val="0"/>
      <w:marBottom w:val="0"/>
      <w:divBdr>
        <w:top w:val="none" w:sz="0" w:space="0" w:color="auto"/>
        <w:left w:val="none" w:sz="0" w:space="0" w:color="auto"/>
        <w:bottom w:val="none" w:sz="0" w:space="0" w:color="auto"/>
        <w:right w:val="none" w:sz="0" w:space="0" w:color="auto"/>
      </w:divBdr>
    </w:div>
    <w:div w:id="516388301">
      <w:bodyDiv w:val="1"/>
      <w:marLeft w:val="0"/>
      <w:marRight w:val="0"/>
      <w:marTop w:val="0"/>
      <w:marBottom w:val="0"/>
      <w:divBdr>
        <w:top w:val="none" w:sz="0" w:space="0" w:color="auto"/>
        <w:left w:val="none" w:sz="0" w:space="0" w:color="auto"/>
        <w:bottom w:val="none" w:sz="0" w:space="0" w:color="auto"/>
        <w:right w:val="none" w:sz="0" w:space="0" w:color="auto"/>
      </w:divBdr>
    </w:div>
    <w:div w:id="516702313">
      <w:bodyDiv w:val="1"/>
      <w:marLeft w:val="0"/>
      <w:marRight w:val="0"/>
      <w:marTop w:val="0"/>
      <w:marBottom w:val="0"/>
      <w:divBdr>
        <w:top w:val="none" w:sz="0" w:space="0" w:color="auto"/>
        <w:left w:val="none" w:sz="0" w:space="0" w:color="auto"/>
        <w:bottom w:val="none" w:sz="0" w:space="0" w:color="auto"/>
        <w:right w:val="none" w:sz="0" w:space="0" w:color="auto"/>
      </w:divBdr>
    </w:div>
    <w:div w:id="516775466">
      <w:bodyDiv w:val="1"/>
      <w:marLeft w:val="0"/>
      <w:marRight w:val="0"/>
      <w:marTop w:val="0"/>
      <w:marBottom w:val="0"/>
      <w:divBdr>
        <w:top w:val="none" w:sz="0" w:space="0" w:color="auto"/>
        <w:left w:val="none" w:sz="0" w:space="0" w:color="auto"/>
        <w:bottom w:val="none" w:sz="0" w:space="0" w:color="auto"/>
        <w:right w:val="none" w:sz="0" w:space="0" w:color="auto"/>
      </w:divBdr>
    </w:div>
    <w:div w:id="516967003">
      <w:bodyDiv w:val="1"/>
      <w:marLeft w:val="0"/>
      <w:marRight w:val="0"/>
      <w:marTop w:val="0"/>
      <w:marBottom w:val="0"/>
      <w:divBdr>
        <w:top w:val="none" w:sz="0" w:space="0" w:color="auto"/>
        <w:left w:val="none" w:sz="0" w:space="0" w:color="auto"/>
        <w:bottom w:val="none" w:sz="0" w:space="0" w:color="auto"/>
        <w:right w:val="none" w:sz="0" w:space="0" w:color="auto"/>
      </w:divBdr>
    </w:div>
    <w:div w:id="517281872">
      <w:bodyDiv w:val="1"/>
      <w:marLeft w:val="0"/>
      <w:marRight w:val="0"/>
      <w:marTop w:val="0"/>
      <w:marBottom w:val="0"/>
      <w:divBdr>
        <w:top w:val="none" w:sz="0" w:space="0" w:color="auto"/>
        <w:left w:val="none" w:sz="0" w:space="0" w:color="auto"/>
        <w:bottom w:val="none" w:sz="0" w:space="0" w:color="auto"/>
        <w:right w:val="none" w:sz="0" w:space="0" w:color="auto"/>
      </w:divBdr>
    </w:div>
    <w:div w:id="517473390">
      <w:bodyDiv w:val="1"/>
      <w:marLeft w:val="0"/>
      <w:marRight w:val="0"/>
      <w:marTop w:val="0"/>
      <w:marBottom w:val="0"/>
      <w:divBdr>
        <w:top w:val="none" w:sz="0" w:space="0" w:color="auto"/>
        <w:left w:val="none" w:sz="0" w:space="0" w:color="auto"/>
        <w:bottom w:val="none" w:sz="0" w:space="0" w:color="auto"/>
        <w:right w:val="none" w:sz="0" w:space="0" w:color="auto"/>
      </w:divBdr>
    </w:div>
    <w:div w:id="517693713">
      <w:bodyDiv w:val="1"/>
      <w:marLeft w:val="0"/>
      <w:marRight w:val="0"/>
      <w:marTop w:val="0"/>
      <w:marBottom w:val="0"/>
      <w:divBdr>
        <w:top w:val="none" w:sz="0" w:space="0" w:color="auto"/>
        <w:left w:val="none" w:sz="0" w:space="0" w:color="auto"/>
        <w:bottom w:val="none" w:sz="0" w:space="0" w:color="auto"/>
        <w:right w:val="none" w:sz="0" w:space="0" w:color="auto"/>
      </w:divBdr>
    </w:div>
    <w:div w:id="517819393">
      <w:bodyDiv w:val="1"/>
      <w:marLeft w:val="0"/>
      <w:marRight w:val="0"/>
      <w:marTop w:val="0"/>
      <w:marBottom w:val="0"/>
      <w:divBdr>
        <w:top w:val="none" w:sz="0" w:space="0" w:color="auto"/>
        <w:left w:val="none" w:sz="0" w:space="0" w:color="auto"/>
        <w:bottom w:val="none" w:sz="0" w:space="0" w:color="auto"/>
        <w:right w:val="none" w:sz="0" w:space="0" w:color="auto"/>
      </w:divBdr>
    </w:div>
    <w:div w:id="517820012">
      <w:bodyDiv w:val="1"/>
      <w:marLeft w:val="0"/>
      <w:marRight w:val="0"/>
      <w:marTop w:val="0"/>
      <w:marBottom w:val="0"/>
      <w:divBdr>
        <w:top w:val="none" w:sz="0" w:space="0" w:color="auto"/>
        <w:left w:val="none" w:sz="0" w:space="0" w:color="auto"/>
        <w:bottom w:val="none" w:sz="0" w:space="0" w:color="auto"/>
        <w:right w:val="none" w:sz="0" w:space="0" w:color="auto"/>
      </w:divBdr>
    </w:div>
    <w:div w:id="518158106">
      <w:bodyDiv w:val="1"/>
      <w:marLeft w:val="0"/>
      <w:marRight w:val="0"/>
      <w:marTop w:val="0"/>
      <w:marBottom w:val="0"/>
      <w:divBdr>
        <w:top w:val="none" w:sz="0" w:space="0" w:color="auto"/>
        <w:left w:val="none" w:sz="0" w:space="0" w:color="auto"/>
        <w:bottom w:val="none" w:sz="0" w:space="0" w:color="auto"/>
        <w:right w:val="none" w:sz="0" w:space="0" w:color="auto"/>
      </w:divBdr>
    </w:div>
    <w:div w:id="518928099">
      <w:bodyDiv w:val="1"/>
      <w:marLeft w:val="0"/>
      <w:marRight w:val="0"/>
      <w:marTop w:val="0"/>
      <w:marBottom w:val="0"/>
      <w:divBdr>
        <w:top w:val="none" w:sz="0" w:space="0" w:color="auto"/>
        <w:left w:val="none" w:sz="0" w:space="0" w:color="auto"/>
        <w:bottom w:val="none" w:sz="0" w:space="0" w:color="auto"/>
        <w:right w:val="none" w:sz="0" w:space="0" w:color="auto"/>
      </w:divBdr>
    </w:div>
    <w:div w:id="519785510">
      <w:bodyDiv w:val="1"/>
      <w:marLeft w:val="0"/>
      <w:marRight w:val="0"/>
      <w:marTop w:val="0"/>
      <w:marBottom w:val="0"/>
      <w:divBdr>
        <w:top w:val="none" w:sz="0" w:space="0" w:color="auto"/>
        <w:left w:val="none" w:sz="0" w:space="0" w:color="auto"/>
        <w:bottom w:val="none" w:sz="0" w:space="0" w:color="auto"/>
        <w:right w:val="none" w:sz="0" w:space="0" w:color="auto"/>
      </w:divBdr>
    </w:div>
    <w:div w:id="520239329">
      <w:bodyDiv w:val="1"/>
      <w:marLeft w:val="0"/>
      <w:marRight w:val="0"/>
      <w:marTop w:val="0"/>
      <w:marBottom w:val="0"/>
      <w:divBdr>
        <w:top w:val="none" w:sz="0" w:space="0" w:color="auto"/>
        <w:left w:val="none" w:sz="0" w:space="0" w:color="auto"/>
        <w:bottom w:val="none" w:sz="0" w:space="0" w:color="auto"/>
        <w:right w:val="none" w:sz="0" w:space="0" w:color="auto"/>
      </w:divBdr>
    </w:div>
    <w:div w:id="520239774">
      <w:bodyDiv w:val="1"/>
      <w:marLeft w:val="0"/>
      <w:marRight w:val="0"/>
      <w:marTop w:val="0"/>
      <w:marBottom w:val="0"/>
      <w:divBdr>
        <w:top w:val="none" w:sz="0" w:space="0" w:color="auto"/>
        <w:left w:val="none" w:sz="0" w:space="0" w:color="auto"/>
        <w:bottom w:val="none" w:sz="0" w:space="0" w:color="auto"/>
        <w:right w:val="none" w:sz="0" w:space="0" w:color="auto"/>
      </w:divBdr>
    </w:div>
    <w:div w:id="520898966">
      <w:bodyDiv w:val="1"/>
      <w:marLeft w:val="0"/>
      <w:marRight w:val="0"/>
      <w:marTop w:val="0"/>
      <w:marBottom w:val="0"/>
      <w:divBdr>
        <w:top w:val="none" w:sz="0" w:space="0" w:color="auto"/>
        <w:left w:val="none" w:sz="0" w:space="0" w:color="auto"/>
        <w:bottom w:val="none" w:sz="0" w:space="0" w:color="auto"/>
        <w:right w:val="none" w:sz="0" w:space="0" w:color="auto"/>
      </w:divBdr>
    </w:div>
    <w:div w:id="521093037">
      <w:bodyDiv w:val="1"/>
      <w:marLeft w:val="0"/>
      <w:marRight w:val="0"/>
      <w:marTop w:val="0"/>
      <w:marBottom w:val="0"/>
      <w:divBdr>
        <w:top w:val="none" w:sz="0" w:space="0" w:color="auto"/>
        <w:left w:val="none" w:sz="0" w:space="0" w:color="auto"/>
        <w:bottom w:val="none" w:sz="0" w:space="0" w:color="auto"/>
        <w:right w:val="none" w:sz="0" w:space="0" w:color="auto"/>
      </w:divBdr>
    </w:div>
    <w:div w:id="521286216">
      <w:bodyDiv w:val="1"/>
      <w:marLeft w:val="0"/>
      <w:marRight w:val="0"/>
      <w:marTop w:val="0"/>
      <w:marBottom w:val="0"/>
      <w:divBdr>
        <w:top w:val="none" w:sz="0" w:space="0" w:color="auto"/>
        <w:left w:val="none" w:sz="0" w:space="0" w:color="auto"/>
        <w:bottom w:val="none" w:sz="0" w:space="0" w:color="auto"/>
        <w:right w:val="none" w:sz="0" w:space="0" w:color="auto"/>
      </w:divBdr>
    </w:div>
    <w:div w:id="521286618">
      <w:bodyDiv w:val="1"/>
      <w:marLeft w:val="0"/>
      <w:marRight w:val="0"/>
      <w:marTop w:val="0"/>
      <w:marBottom w:val="0"/>
      <w:divBdr>
        <w:top w:val="none" w:sz="0" w:space="0" w:color="auto"/>
        <w:left w:val="none" w:sz="0" w:space="0" w:color="auto"/>
        <w:bottom w:val="none" w:sz="0" w:space="0" w:color="auto"/>
        <w:right w:val="none" w:sz="0" w:space="0" w:color="auto"/>
      </w:divBdr>
    </w:div>
    <w:div w:id="521407670">
      <w:bodyDiv w:val="1"/>
      <w:marLeft w:val="0"/>
      <w:marRight w:val="0"/>
      <w:marTop w:val="0"/>
      <w:marBottom w:val="0"/>
      <w:divBdr>
        <w:top w:val="none" w:sz="0" w:space="0" w:color="auto"/>
        <w:left w:val="none" w:sz="0" w:space="0" w:color="auto"/>
        <w:bottom w:val="none" w:sz="0" w:space="0" w:color="auto"/>
        <w:right w:val="none" w:sz="0" w:space="0" w:color="auto"/>
      </w:divBdr>
    </w:div>
    <w:div w:id="521750564">
      <w:bodyDiv w:val="1"/>
      <w:marLeft w:val="0"/>
      <w:marRight w:val="0"/>
      <w:marTop w:val="0"/>
      <w:marBottom w:val="0"/>
      <w:divBdr>
        <w:top w:val="none" w:sz="0" w:space="0" w:color="auto"/>
        <w:left w:val="none" w:sz="0" w:space="0" w:color="auto"/>
        <w:bottom w:val="none" w:sz="0" w:space="0" w:color="auto"/>
        <w:right w:val="none" w:sz="0" w:space="0" w:color="auto"/>
      </w:divBdr>
    </w:div>
    <w:div w:id="521936479">
      <w:bodyDiv w:val="1"/>
      <w:marLeft w:val="0"/>
      <w:marRight w:val="0"/>
      <w:marTop w:val="0"/>
      <w:marBottom w:val="0"/>
      <w:divBdr>
        <w:top w:val="none" w:sz="0" w:space="0" w:color="auto"/>
        <w:left w:val="none" w:sz="0" w:space="0" w:color="auto"/>
        <w:bottom w:val="none" w:sz="0" w:space="0" w:color="auto"/>
        <w:right w:val="none" w:sz="0" w:space="0" w:color="auto"/>
      </w:divBdr>
    </w:div>
    <w:div w:id="522474812">
      <w:bodyDiv w:val="1"/>
      <w:marLeft w:val="0"/>
      <w:marRight w:val="0"/>
      <w:marTop w:val="0"/>
      <w:marBottom w:val="0"/>
      <w:divBdr>
        <w:top w:val="none" w:sz="0" w:space="0" w:color="auto"/>
        <w:left w:val="none" w:sz="0" w:space="0" w:color="auto"/>
        <w:bottom w:val="none" w:sz="0" w:space="0" w:color="auto"/>
        <w:right w:val="none" w:sz="0" w:space="0" w:color="auto"/>
      </w:divBdr>
    </w:div>
    <w:div w:id="523061701">
      <w:bodyDiv w:val="1"/>
      <w:marLeft w:val="0"/>
      <w:marRight w:val="0"/>
      <w:marTop w:val="0"/>
      <w:marBottom w:val="0"/>
      <w:divBdr>
        <w:top w:val="none" w:sz="0" w:space="0" w:color="auto"/>
        <w:left w:val="none" w:sz="0" w:space="0" w:color="auto"/>
        <w:bottom w:val="none" w:sz="0" w:space="0" w:color="auto"/>
        <w:right w:val="none" w:sz="0" w:space="0" w:color="auto"/>
      </w:divBdr>
    </w:div>
    <w:div w:id="523523567">
      <w:bodyDiv w:val="1"/>
      <w:marLeft w:val="0"/>
      <w:marRight w:val="0"/>
      <w:marTop w:val="0"/>
      <w:marBottom w:val="0"/>
      <w:divBdr>
        <w:top w:val="none" w:sz="0" w:space="0" w:color="auto"/>
        <w:left w:val="none" w:sz="0" w:space="0" w:color="auto"/>
        <w:bottom w:val="none" w:sz="0" w:space="0" w:color="auto"/>
        <w:right w:val="none" w:sz="0" w:space="0" w:color="auto"/>
      </w:divBdr>
    </w:div>
    <w:div w:id="523986194">
      <w:bodyDiv w:val="1"/>
      <w:marLeft w:val="0"/>
      <w:marRight w:val="0"/>
      <w:marTop w:val="0"/>
      <w:marBottom w:val="0"/>
      <w:divBdr>
        <w:top w:val="none" w:sz="0" w:space="0" w:color="auto"/>
        <w:left w:val="none" w:sz="0" w:space="0" w:color="auto"/>
        <w:bottom w:val="none" w:sz="0" w:space="0" w:color="auto"/>
        <w:right w:val="none" w:sz="0" w:space="0" w:color="auto"/>
      </w:divBdr>
    </w:div>
    <w:div w:id="524096082">
      <w:bodyDiv w:val="1"/>
      <w:marLeft w:val="0"/>
      <w:marRight w:val="0"/>
      <w:marTop w:val="0"/>
      <w:marBottom w:val="0"/>
      <w:divBdr>
        <w:top w:val="none" w:sz="0" w:space="0" w:color="auto"/>
        <w:left w:val="none" w:sz="0" w:space="0" w:color="auto"/>
        <w:bottom w:val="none" w:sz="0" w:space="0" w:color="auto"/>
        <w:right w:val="none" w:sz="0" w:space="0" w:color="auto"/>
      </w:divBdr>
    </w:div>
    <w:div w:id="524564997">
      <w:bodyDiv w:val="1"/>
      <w:marLeft w:val="0"/>
      <w:marRight w:val="0"/>
      <w:marTop w:val="0"/>
      <w:marBottom w:val="0"/>
      <w:divBdr>
        <w:top w:val="none" w:sz="0" w:space="0" w:color="auto"/>
        <w:left w:val="none" w:sz="0" w:space="0" w:color="auto"/>
        <w:bottom w:val="none" w:sz="0" w:space="0" w:color="auto"/>
        <w:right w:val="none" w:sz="0" w:space="0" w:color="auto"/>
      </w:divBdr>
    </w:div>
    <w:div w:id="525024836">
      <w:bodyDiv w:val="1"/>
      <w:marLeft w:val="0"/>
      <w:marRight w:val="0"/>
      <w:marTop w:val="0"/>
      <w:marBottom w:val="0"/>
      <w:divBdr>
        <w:top w:val="none" w:sz="0" w:space="0" w:color="auto"/>
        <w:left w:val="none" w:sz="0" w:space="0" w:color="auto"/>
        <w:bottom w:val="none" w:sz="0" w:space="0" w:color="auto"/>
        <w:right w:val="none" w:sz="0" w:space="0" w:color="auto"/>
      </w:divBdr>
    </w:div>
    <w:div w:id="525288922">
      <w:bodyDiv w:val="1"/>
      <w:marLeft w:val="0"/>
      <w:marRight w:val="0"/>
      <w:marTop w:val="0"/>
      <w:marBottom w:val="0"/>
      <w:divBdr>
        <w:top w:val="none" w:sz="0" w:space="0" w:color="auto"/>
        <w:left w:val="none" w:sz="0" w:space="0" w:color="auto"/>
        <w:bottom w:val="none" w:sz="0" w:space="0" w:color="auto"/>
        <w:right w:val="none" w:sz="0" w:space="0" w:color="auto"/>
      </w:divBdr>
    </w:div>
    <w:div w:id="525408140">
      <w:bodyDiv w:val="1"/>
      <w:marLeft w:val="0"/>
      <w:marRight w:val="0"/>
      <w:marTop w:val="0"/>
      <w:marBottom w:val="0"/>
      <w:divBdr>
        <w:top w:val="none" w:sz="0" w:space="0" w:color="auto"/>
        <w:left w:val="none" w:sz="0" w:space="0" w:color="auto"/>
        <w:bottom w:val="none" w:sz="0" w:space="0" w:color="auto"/>
        <w:right w:val="none" w:sz="0" w:space="0" w:color="auto"/>
      </w:divBdr>
    </w:div>
    <w:div w:id="525870498">
      <w:bodyDiv w:val="1"/>
      <w:marLeft w:val="0"/>
      <w:marRight w:val="0"/>
      <w:marTop w:val="0"/>
      <w:marBottom w:val="0"/>
      <w:divBdr>
        <w:top w:val="none" w:sz="0" w:space="0" w:color="auto"/>
        <w:left w:val="none" w:sz="0" w:space="0" w:color="auto"/>
        <w:bottom w:val="none" w:sz="0" w:space="0" w:color="auto"/>
        <w:right w:val="none" w:sz="0" w:space="0" w:color="auto"/>
      </w:divBdr>
    </w:div>
    <w:div w:id="526335471">
      <w:bodyDiv w:val="1"/>
      <w:marLeft w:val="0"/>
      <w:marRight w:val="0"/>
      <w:marTop w:val="0"/>
      <w:marBottom w:val="0"/>
      <w:divBdr>
        <w:top w:val="none" w:sz="0" w:space="0" w:color="auto"/>
        <w:left w:val="none" w:sz="0" w:space="0" w:color="auto"/>
        <w:bottom w:val="none" w:sz="0" w:space="0" w:color="auto"/>
        <w:right w:val="none" w:sz="0" w:space="0" w:color="auto"/>
      </w:divBdr>
    </w:div>
    <w:div w:id="526527430">
      <w:bodyDiv w:val="1"/>
      <w:marLeft w:val="0"/>
      <w:marRight w:val="0"/>
      <w:marTop w:val="0"/>
      <w:marBottom w:val="0"/>
      <w:divBdr>
        <w:top w:val="none" w:sz="0" w:space="0" w:color="auto"/>
        <w:left w:val="none" w:sz="0" w:space="0" w:color="auto"/>
        <w:bottom w:val="none" w:sz="0" w:space="0" w:color="auto"/>
        <w:right w:val="none" w:sz="0" w:space="0" w:color="auto"/>
      </w:divBdr>
    </w:div>
    <w:div w:id="526600642">
      <w:bodyDiv w:val="1"/>
      <w:marLeft w:val="0"/>
      <w:marRight w:val="0"/>
      <w:marTop w:val="0"/>
      <w:marBottom w:val="0"/>
      <w:divBdr>
        <w:top w:val="none" w:sz="0" w:space="0" w:color="auto"/>
        <w:left w:val="none" w:sz="0" w:space="0" w:color="auto"/>
        <w:bottom w:val="none" w:sz="0" w:space="0" w:color="auto"/>
        <w:right w:val="none" w:sz="0" w:space="0" w:color="auto"/>
      </w:divBdr>
    </w:div>
    <w:div w:id="526673610">
      <w:bodyDiv w:val="1"/>
      <w:marLeft w:val="0"/>
      <w:marRight w:val="0"/>
      <w:marTop w:val="0"/>
      <w:marBottom w:val="0"/>
      <w:divBdr>
        <w:top w:val="none" w:sz="0" w:space="0" w:color="auto"/>
        <w:left w:val="none" w:sz="0" w:space="0" w:color="auto"/>
        <w:bottom w:val="none" w:sz="0" w:space="0" w:color="auto"/>
        <w:right w:val="none" w:sz="0" w:space="0" w:color="auto"/>
      </w:divBdr>
    </w:div>
    <w:div w:id="526675451">
      <w:bodyDiv w:val="1"/>
      <w:marLeft w:val="0"/>
      <w:marRight w:val="0"/>
      <w:marTop w:val="0"/>
      <w:marBottom w:val="0"/>
      <w:divBdr>
        <w:top w:val="none" w:sz="0" w:space="0" w:color="auto"/>
        <w:left w:val="none" w:sz="0" w:space="0" w:color="auto"/>
        <w:bottom w:val="none" w:sz="0" w:space="0" w:color="auto"/>
        <w:right w:val="none" w:sz="0" w:space="0" w:color="auto"/>
      </w:divBdr>
    </w:div>
    <w:div w:id="526676462">
      <w:bodyDiv w:val="1"/>
      <w:marLeft w:val="0"/>
      <w:marRight w:val="0"/>
      <w:marTop w:val="0"/>
      <w:marBottom w:val="0"/>
      <w:divBdr>
        <w:top w:val="none" w:sz="0" w:space="0" w:color="auto"/>
        <w:left w:val="none" w:sz="0" w:space="0" w:color="auto"/>
        <w:bottom w:val="none" w:sz="0" w:space="0" w:color="auto"/>
        <w:right w:val="none" w:sz="0" w:space="0" w:color="auto"/>
      </w:divBdr>
    </w:div>
    <w:div w:id="526870101">
      <w:bodyDiv w:val="1"/>
      <w:marLeft w:val="0"/>
      <w:marRight w:val="0"/>
      <w:marTop w:val="0"/>
      <w:marBottom w:val="0"/>
      <w:divBdr>
        <w:top w:val="none" w:sz="0" w:space="0" w:color="auto"/>
        <w:left w:val="none" w:sz="0" w:space="0" w:color="auto"/>
        <w:bottom w:val="none" w:sz="0" w:space="0" w:color="auto"/>
        <w:right w:val="none" w:sz="0" w:space="0" w:color="auto"/>
      </w:divBdr>
    </w:div>
    <w:div w:id="527527482">
      <w:bodyDiv w:val="1"/>
      <w:marLeft w:val="0"/>
      <w:marRight w:val="0"/>
      <w:marTop w:val="0"/>
      <w:marBottom w:val="0"/>
      <w:divBdr>
        <w:top w:val="none" w:sz="0" w:space="0" w:color="auto"/>
        <w:left w:val="none" w:sz="0" w:space="0" w:color="auto"/>
        <w:bottom w:val="none" w:sz="0" w:space="0" w:color="auto"/>
        <w:right w:val="none" w:sz="0" w:space="0" w:color="auto"/>
      </w:divBdr>
    </w:div>
    <w:div w:id="527530715">
      <w:bodyDiv w:val="1"/>
      <w:marLeft w:val="0"/>
      <w:marRight w:val="0"/>
      <w:marTop w:val="0"/>
      <w:marBottom w:val="0"/>
      <w:divBdr>
        <w:top w:val="none" w:sz="0" w:space="0" w:color="auto"/>
        <w:left w:val="none" w:sz="0" w:space="0" w:color="auto"/>
        <w:bottom w:val="none" w:sz="0" w:space="0" w:color="auto"/>
        <w:right w:val="none" w:sz="0" w:space="0" w:color="auto"/>
      </w:divBdr>
    </w:div>
    <w:div w:id="527648848">
      <w:bodyDiv w:val="1"/>
      <w:marLeft w:val="0"/>
      <w:marRight w:val="0"/>
      <w:marTop w:val="0"/>
      <w:marBottom w:val="0"/>
      <w:divBdr>
        <w:top w:val="none" w:sz="0" w:space="0" w:color="auto"/>
        <w:left w:val="none" w:sz="0" w:space="0" w:color="auto"/>
        <w:bottom w:val="none" w:sz="0" w:space="0" w:color="auto"/>
        <w:right w:val="none" w:sz="0" w:space="0" w:color="auto"/>
      </w:divBdr>
    </w:div>
    <w:div w:id="527762602">
      <w:bodyDiv w:val="1"/>
      <w:marLeft w:val="0"/>
      <w:marRight w:val="0"/>
      <w:marTop w:val="0"/>
      <w:marBottom w:val="0"/>
      <w:divBdr>
        <w:top w:val="none" w:sz="0" w:space="0" w:color="auto"/>
        <w:left w:val="none" w:sz="0" w:space="0" w:color="auto"/>
        <w:bottom w:val="none" w:sz="0" w:space="0" w:color="auto"/>
        <w:right w:val="none" w:sz="0" w:space="0" w:color="auto"/>
      </w:divBdr>
    </w:div>
    <w:div w:id="527764162">
      <w:bodyDiv w:val="1"/>
      <w:marLeft w:val="0"/>
      <w:marRight w:val="0"/>
      <w:marTop w:val="0"/>
      <w:marBottom w:val="0"/>
      <w:divBdr>
        <w:top w:val="none" w:sz="0" w:space="0" w:color="auto"/>
        <w:left w:val="none" w:sz="0" w:space="0" w:color="auto"/>
        <w:bottom w:val="none" w:sz="0" w:space="0" w:color="auto"/>
        <w:right w:val="none" w:sz="0" w:space="0" w:color="auto"/>
      </w:divBdr>
    </w:div>
    <w:div w:id="527983895">
      <w:bodyDiv w:val="1"/>
      <w:marLeft w:val="0"/>
      <w:marRight w:val="0"/>
      <w:marTop w:val="0"/>
      <w:marBottom w:val="0"/>
      <w:divBdr>
        <w:top w:val="none" w:sz="0" w:space="0" w:color="auto"/>
        <w:left w:val="none" w:sz="0" w:space="0" w:color="auto"/>
        <w:bottom w:val="none" w:sz="0" w:space="0" w:color="auto"/>
        <w:right w:val="none" w:sz="0" w:space="0" w:color="auto"/>
      </w:divBdr>
    </w:div>
    <w:div w:id="528300430">
      <w:bodyDiv w:val="1"/>
      <w:marLeft w:val="0"/>
      <w:marRight w:val="0"/>
      <w:marTop w:val="0"/>
      <w:marBottom w:val="0"/>
      <w:divBdr>
        <w:top w:val="none" w:sz="0" w:space="0" w:color="auto"/>
        <w:left w:val="none" w:sz="0" w:space="0" w:color="auto"/>
        <w:bottom w:val="none" w:sz="0" w:space="0" w:color="auto"/>
        <w:right w:val="none" w:sz="0" w:space="0" w:color="auto"/>
      </w:divBdr>
    </w:div>
    <w:div w:id="528764395">
      <w:bodyDiv w:val="1"/>
      <w:marLeft w:val="0"/>
      <w:marRight w:val="0"/>
      <w:marTop w:val="0"/>
      <w:marBottom w:val="0"/>
      <w:divBdr>
        <w:top w:val="none" w:sz="0" w:space="0" w:color="auto"/>
        <w:left w:val="none" w:sz="0" w:space="0" w:color="auto"/>
        <w:bottom w:val="none" w:sz="0" w:space="0" w:color="auto"/>
        <w:right w:val="none" w:sz="0" w:space="0" w:color="auto"/>
      </w:divBdr>
    </w:div>
    <w:div w:id="528954824">
      <w:bodyDiv w:val="1"/>
      <w:marLeft w:val="0"/>
      <w:marRight w:val="0"/>
      <w:marTop w:val="0"/>
      <w:marBottom w:val="0"/>
      <w:divBdr>
        <w:top w:val="none" w:sz="0" w:space="0" w:color="auto"/>
        <w:left w:val="none" w:sz="0" w:space="0" w:color="auto"/>
        <w:bottom w:val="none" w:sz="0" w:space="0" w:color="auto"/>
        <w:right w:val="none" w:sz="0" w:space="0" w:color="auto"/>
      </w:divBdr>
    </w:div>
    <w:div w:id="529228178">
      <w:bodyDiv w:val="1"/>
      <w:marLeft w:val="0"/>
      <w:marRight w:val="0"/>
      <w:marTop w:val="0"/>
      <w:marBottom w:val="0"/>
      <w:divBdr>
        <w:top w:val="none" w:sz="0" w:space="0" w:color="auto"/>
        <w:left w:val="none" w:sz="0" w:space="0" w:color="auto"/>
        <w:bottom w:val="none" w:sz="0" w:space="0" w:color="auto"/>
        <w:right w:val="none" w:sz="0" w:space="0" w:color="auto"/>
      </w:divBdr>
    </w:div>
    <w:div w:id="529492231">
      <w:bodyDiv w:val="1"/>
      <w:marLeft w:val="0"/>
      <w:marRight w:val="0"/>
      <w:marTop w:val="0"/>
      <w:marBottom w:val="0"/>
      <w:divBdr>
        <w:top w:val="none" w:sz="0" w:space="0" w:color="auto"/>
        <w:left w:val="none" w:sz="0" w:space="0" w:color="auto"/>
        <w:bottom w:val="none" w:sz="0" w:space="0" w:color="auto"/>
        <w:right w:val="none" w:sz="0" w:space="0" w:color="auto"/>
      </w:divBdr>
    </w:div>
    <w:div w:id="529882720">
      <w:bodyDiv w:val="1"/>
      <w:marLeft w:val="0"/>
      <w:marRight w:val="0"/>
      <w:marTop w:val="0"/>
      <w:marBottom w:val="0"/>
      <w:divBdr>
        <w:top w:val="none" w:sz="0" w:space="0" w:color="auto"/>
        <w:left w:val="none" w:sz="0" w:space="0" w:color="auto"/>
        <w:bottom w:val="none" w:sz="0" w:space="0" w:color="auto"/>
        <w:right w:val="none" w:sz="0" w:space="0" w:color="auto"/>
      </w:divBdr>
    </w:div>
    <w:div w:id="529994749">
      <w:bodyDiv w:val="1"/>
      <w:marLeft w:val="0"/>
      <w:marRight w:val="0"/>
      <w:marTop w:val="0"/>
      <w:marBottom w:val="0"/>
      <w:divBdr>
        <w:top w:val="none" w:sz="0" w:space="0" w:color="auto"/>
        <w:left w:val="none" w:sz="0" w:space="0" w:color="auto"/>
        <w:bottom w:val="none" w:sz="0" w:space="0" w:color="auto"/>
        <w:right w:val="none" w:sz="0" w:space="0" w:color="auto"/>
      </w:divBdr>
    </w:div>
    <w:div w:id="530190931">
      <w:bodyDiv w:val="1"/>
      <w:marLeft w:val="0"/>
      <w:marRight w:val="0"/>
      <w:marTop w:val="0"/>
      <w:marBottom w:val="0"/>
      <w:divBdr>
        <w:top w:val="none" w:sz="0" w:space="0" w:color="auto"/>
        <w:left w:val="none" w:sz="0" w:space="0" w:color="auto"/>
        <w:bottom w:val="none" w:sz="0" w:space="0" w:color="auto"/>
        <w:right w:val="none" w:sz="0" w:space="0" w:color="auto"/>
      </w:divBdr>
    </w:div>
    <w:div w:id="530457692">
      <w:bodyDiv w:val="1"/>
      <w:marLeft w:val="0"/>
      <w:marRight w:val="0"/>
      <w:marTop w:val="0"/>
      <w:marBottom w:val="0"/>
      <w:divBdr>
        <w:top w:val="none" w:sz="0" w:space="0" w:color="auto"/>
        <w:left w:val="none" w:sz="0" w:space="0" w:color="auto"/>
        <w:bottom w:val="none" w:sz="0" w:space="0" w:color="auto"/>
        <w:right w:val="none" w:sz="0" w:space="0" w:color="auto"/>
      </w:divBdr>
    </w:div>
    <w:div w:id="531114240">
      <w:bodyDiv w:val="1"/>
      <w:marLeft w:val="0"/>
      <w:marRight w:val="0"/>
      <w:marTop w:val="0"/>
      <w:marBottom w:val="0"/>
      <w:divBdr>
        <w:top w:val="none" w:sz="0" w:space="0" w:color="auto"/>
        <w:left w:val="none" w:sz="0" w:space="0" w:color="auto"/>
        <w:bottom w:val="none" w:sz="0" w:space="0" w:color="auto"/>
        <w:right w:val="none" w:sz="0" w:space="0" w:color="auto"/>
      </w:divBdr>
    </w:div>
    <w:div w:id="531383663">
      <w:bodyDiv w:val="1"/>
      <w:marLeft w:val="0"/>
      <w:marRight w:val="0"/>
      <w:marTop w:val="0"/>
      <w:marBottom w:val="0"/>
      <w:divBdr>
        <w:top w:val="none" w:sz="0" w:space="0" w:color="auto"/>
        <w:left w:val="none" w:sz="0" w:space="0" w:color="auto"/>
        <w:bottom w:val="none" w:sz="0" w:space="0" w:color="auto"/>
        <w:right w:val="none" w:sz="0" w:space="0" w:color="auto"/>
      </w:divBdr>
    </w:div>
    <w:div w:id="531497990">
      <w:bodyDiv w:val="1"/>
      <w:marLeft w:val="0"/>
      <w:marRight w:val="0"/>
      <w:marTop w:val="0"/>
      <w:marBottom w:val="0"/>
      <w:divBdr>
        <w:top w:val="none" w:sz="0" w:space="0" w:color="auto"/>
        <w:left w:val="none" w:sz="0" w:space="0" w:color="auto"/>
        <w:bottom w:val="none" w:sz="0" w:space="0" w:color="auto"/>
        <w:right w:val="none" w:sz="0" w:space="0" w:color="auto"/>
      </w:divBdr>
    </w:div>
    <w:div w:id="531501008">
      <w:bodyDiv w:val="1"/>
      <w:marLeft w:val="0"/>
      <w:marRight w:val="0"/>
      <w:marTop w:val="0"/>
      <w:marBottom w:val="0"/>
      <w:divBdr>
        <w:top w:val="none" w:sz="0" w:space="0" w:color="auto"/>
        <w:left w:val="none" w:sz="0" w:space="0" w:color="auto"/>
        <w:bottom w:val="none" w:sz="0" w:space="0" w:color="auto"/>
        <w:right w:val="none" w:sz="0" w:space="0" w:color="auto"/>
      </w:divBdr>
    </w:div>
    <w:div w:id="532694243">
      <w:bodyDiv w:val="1"/>
      <w:marLeft w:val="0"/>
      <w:marRight w:val="0"/>
      <w:marTop w:val="0"/>
      <w:marBottom w:val="0"/>
      <w:divBdr>
        <w:top w:val="none" w:sz="0" w:space="0" w:color="auto"/>
        <w:left w:val="none" w:sz="0" w:space="0" w:color="auto"/>
        <w:bottom w:val="none" w:sz="0" w:space="0" w:color="auto"/>
        <w:right w:val="none" w:sz="0" w:space="0" w:color="auto"/>
      </w:divBdr>
    </w:div>
    <w:div w:id="533269070">
      <w:bodyDiv w:val="1"/>
      <w:marLeft w:val="0"/>
      <w:marRight w:val="0"/>
      <w:marTop w:val="0"/>
      <w:marBottom w:val="0"/>
      <w:divBdr>
        <w:top w:val="none" w:sz="0" w:space="0" w:color="auto"/>
        <w:left w:val="none" w:sz="0" w:space="0" w:color="auto"/>
        <w:bottom w:val="none" w:sz="0" w:space="0" w:color="auto"/>
        <w:right w:val="none" w:sz="0" w:space="0" w:color="auto"/>
      </w:divBdr>
    </w:div>
    <w:div w:id="533272899">
      <w:bodyDiv w:val="1"/>
      <w:marLeft w:val="0"/>
      <w:marRight w:val="0"/>
      <w:marTop w:val="0"/>
      <w:marBottom w:val="0"/>
      <w:divBdr>
        <w:top w:val="none" w:sz="0" w:space="0" w:color="auto"/>
        <w:left w:val="none" w:sz="0" w:space="0" w:color="auto"/>
        <w:bottom w:val="none" w:sz="0" w:space="0" w:color="auto"/>
        <w:right w:val="none" w:sz="0" w:space="0" w:color="auto"/>
      </w:divBdr>
    </w:div>
    <w:div w:id="533463703">
      <w:bodyDiv w:val="1"/>
      <w:marLeft w:val="0"/>
      <w:marRight w:val="0"/>
      <w:marTop w:val="0"/>
      <w:marBottom w:val="0"/>
      <w:divBdr>
        <w:top w:val="none" w:sz="0" w:space="0" w:color="auto"/>
        <w:left w:val="none" w:sz="0" w:space="0" w:color="auto"/>
        <w:bottom w:val="none" w:sz="0" w:space="0" w:color="auto"/>
        <w:right w:val="none" w:sz="0" w:space="0" w:color="auto"/>
      </w:divBdr>
    </w:div>
    <w:div w:id="534579244">
      <w:bodyDiv w:val="1"/>
      <w:marLeft w:val="0"/>
      <w:marRight w:val="0"/>
      <w:marTop w:val="0"/>
      <w:marBottom w:val="0"/>
      <w:divBdr>
        <w:top w:val="none" w:sz="0" w:space="0" w:color="auto"/>
        <w:left w:val="none" w:sz="0" w:space="0" w:color="auto"/>
        <w:bottom w:val="none" w:sz="0" w:space="0" w:color="auto"/>
        <w:right w:val="none" w:sz="0" w:space="0" w:color="auto"/>
      </w:divBdr>
    </w:div>
    <w:div w:id="535048822">
      <w:bodyDiv w:val="1"/>
      <w:marLeft w:val="0"/>
      <w:marRight w:val="0"/>
      <w:marTop w:val="0"/>
      <w:marBottom w:val="0"/>
      <w:divBdr>
        <w:top w:val="none" w:sz="0" w:space="0" w:color="auto"/>
        <w:left w:val="none" w:sz="0" w:space="0" w:color="auto"/>
        <w:bottom w:val="none" w:sz="0" w:space="0" w:color="auto"/>
        <w:right w:val="none" w:sz="0" w:space="0" w:color="auto"/>
      </w:divBdr>
    </w:div>
    <w:div w:id="535234147">
      <w:bodyDiv w:val="1"/>
      <w:marLeft w:val="0"/>
      <w:marRight w:val="0"/>
      <w:marTop w:val="0"/>
      <w:marBottom w:val="0"/>
      <w:divBdr>
        <w:top w:val="none" w:sz="0" w:space="0" w:color="auto"/>
        <w:left w:val="none" w:sz="0" w:space="0" w:color="auto"/>
        <w:bottom w:val="none" w:sz="0" w:space="0" w:color="auto"/>
        <w:right w:val="none" w:sz="0" w:space="0" w:color="auto"/>
      </w:divBdr>
    </w:div>
    <w:div w:id="535773527">
      <w:bodyDiv w:val="1"/>
      <w:marLeft w:val="0"/>
      <w:marRight w:val="0"/>
      <w:marTop w:val="0"/>
      <w:marBottom w:val="0"/>
      <w:divBdr>
        <w:top w:val="none" w:sz="0" w:space="0" w:color="auto"/>
        <w:left w:val="none" w:sz="0" w:space="0" w:color="auto"/>
        <w:bottom w:val="none" w:sz="0" w:space="0" w:color="auto"/>
        <w:right w:val="none" w:sz="0" w:space="0" w:color="auto"/>
      </w:divBdr>
    </w:div>
    <w:div w:id="535967151">
      <w:bodyDiv w:val="1"/>
      <w:marLeft w:val="0"/>
      <w:marRight w:val="0"/>
      <w:marTop w:val="0"/>
      <w:marBottom w:val="0"/>
      <w:divBdr>
        <w:top w:val="none" w:sz="0" w:space="0" w:color="auto"/>
        <w:left w:val="none" w:sz="0" w:space="0" w:color="auto"/>
        <w:bottom w:val="none" w:sz="0" w:space="0" w:color="auto"/>
        <w:right w:val="none" w:sz="0" w:space="0" w:color="auto"/>
      </w:divBdr>
    </w:div>
    <w:div w:id="536115649">
      <w:bodyDiv w:val="1"/>
      <w:marLeft w:val="0"/>
      <w:marRight w:val="0"/>
      <w:marTop w:val="0"/>
      <w:marBottom w:val="0"/>
      <w:divBdr>
        <w:top w:val="none" w:sz="0" w:space="0" w:color="auto"/>
        <w:left w:val="none" w:sz="0" w:space="0" w:color="auto"/>
        <w:bottom w:val="none" w:sz="0" w:space="0" w:color="auto"/>
        <w:right w:val="none" w:sz="0" w:space="0" w:color="auto"/>
      </w:divBdr>
    </w:div>
    <w:div w:id="536310453">
      <w:bodyDiv w:val="1"/>
      <w:marLeft w:val="0"/>
      <w:marRight w:val="0"/>
      <w:marTop w:val="0"/>
      <w:marBottom w:val="0"/>
      <w:divBdr>
        <w:top w:val="none" w:sz="0" w:space="0" w:color="auto"/>
        <w:left w:val="none" w:sz="0" w:space="0" w:color="auto"/>
        <w:bottom w:val="none" w:sz="0" w:space="0" w:color="auto"/>
        <w:right w:val="none" w:sz="0" w:space="0" w:color="auto"/>
      </w:divBdr>
    </w:div>
    <w:div w:id="536310999">
      <w:bodyDiv w:val="1"/>
      <w:marLeft w:val="0"/>
      <w:marRight w:val="0"/>
      <w:marTop w:val="0"/>
      <w:marBottom w:val="0"/>
      <w:divBdr>
        <w:top w:val="none" w:sz="0" w:space="0" w:color="auto"/>
        <w:left w:val="none" w:sz="0" w:space="0" w:color="auto"/>
        <w:bottom w:val="none" w:sz="0" w:space="0" w:color="auto"/>
        <w:right w:val="none" w:sz="0" w:space="0" w:color="auto"/>
      </w:divBdr>
    </w:div>
    <w:div w:id="536771014">
      <w:bodyDiv w:val="1"/>
      <w:marLeft w:val="0"/>
      <w:marRight w:val="0"/>
      <w:marTop w:val="0"/>
      <w:marBottom w:val="0"/>
      <w:divBdr>
        <w:top w:val="none" w:sz="0" w:space="0" w:color="auto"/>
        <w:left w:val="none" w:sz="0" w:space="0" w:color="auto"/>
        <w:bottom w:val="none" w:sz="0" w:space="0" w:color="auto"/>
        <w:right w:val="none" w:sz="0" w:space="0" w:color="auto"/>
      </w:divBdr>
    </w:div>
    <w:div w:id="536815146">
      <w:bodyDiv w:val="1"/>
      <w:marLeft w:val="0"/>
      <w:marRight w:val="0"/>
      <w:marTop w:val="0"/>
      <w:marBottom w:val="0"/>
      <w:divBdr>
        <w:top w:val="none" w:sz="0" w:space="0" w:color="auto"/>
        <w:left w:val="none" w:sz="0" w:space="0" w:color="auto"/>
        <w:bottom w:val="none" w:sz="0" w:space="0" w:color="auto"/>
        <w:right w:val="none" w:sz="0" w:space="0" w:color="auto"/>
      </w:divBdr>
    </w:div>
    <w:div w:id="536889511">
      <w:bodyDiv w:val="1"/>
      <w:marLeft w:val="0"/>
      <w:marRight w:val="0"/>
      <w:marTop w:val="0"/>
      <w:marBottom w:val="0"/>
      <w:divBdr>
        <w:top w:val="none" w:sz="0" w:space="0" w:color="auto"/>
        <w:left w:val="none" w:sz="0" w:space="0" w:color="auto"/>
        <w:bottom w:val="none" w:sz="0" w:space="0" w:color="auto"/>
        <w:right w:val="none" w:sz="0" w:space="0" w:color="auto"/>
      </w:divBdr>
    </w:div>
    <w:div w:id="536896514">
      <w:bodyDiv w:val="1"/>
      <w:marLeft w:val="0"/>
      <w:marRight w:val="0"/>
      <w:marTop w:val="0"/>
      <w:marBottom w:val="0"/>
      <w:divBdr>
        <w:top w:val="none" w:sz="0" w:space="0" w:color="auto"/>
        <w:left w:val="none" w:sz="0" w:space="0" w:color="auto"/>
        <w:bottom w:val="none" w:sz="0" w:space="0" w:color="auto"/>
        <w:right w:val="none" w:sz="0" w:space="0" w:color="auto"/>
      </w:divBdr>
    </w:div>
    <w:div w:id="536897288">
      <w:bodyDiv w:val="1"/>
      <w:marLeft w:val="0"/>
      <w:marRight w:val="0"/>
      <w:marTop w:val="0"/>
      <w:marBottom w:val="0"/>
      <w:divBdr>
        <w:top w:val="none" w:sz="0" w:space="0" w:color="auto"/>
        <w:left w:val="none" w:sz="0" w:space="0" w:color="auto"/>
        <w:bottom w:val="none" w:sz="0" w:space="0" w:color="auto"/>
        <w:right w:val="none" w:sz="0" w:space="0" w:color="auto"/>
      </w:divBdr>
    </w:div>
    <w:div w:id="536968364">
      <w:bodyDiv w:val="1"/>
      <w:marLeft w:val="0"/>
      <w:marRight w:val="0"/>
      <w:marTop w:val="0"/>
      <w:marBottom w:val="0"/>
      <w:divBdr>
        <w:top w:val="none" w:sz="0" w:space="0" w:color="auto"/>
        <w:left w:val="none" w:sz="0" w:space="0" w:color="auto"/>
        <w:bottom w:val="none" w:sz="0" w:space="0" w:color="auto"/>
        <w:right w:val="none" w:sz="0" w:space="0" w:color="auto"/>
      </w:divBdr>
    </w:div>
    <w:div w:id="537085778">
      <w:bodyDiv w:val="1"/>
      <w:marLeft w:val="0"/>
      <w:marRight w:val="0"/>
      <w:marTop w:val="0"/>
      <w:marBottom w:val="0"/>
      <w:divBdr>
        <w:top w:val="none" w:sz="0" w:space="0" w:color="auto"/>
        <w:left w:val="none" w:sz="0" w:space="0" w:color="auto"/>
        <w:bottom w:val="none" w:sz="0" w:space="0" w:color="auto"/>
        <w:right w:val="none" w:sz="0" w:space="0" w:color="auto"/>
      </w:divBdr>
    </w:div>
    <w:div w:id="537667945">
      <w:bodyDiv w:val="1"/>
      <w:marLeft w:val="0"/>
      <w:marRight w:val="0"/>
      <w:marTop w:val="0"/>
      <w:marBottom w:val="0"/>
      <w:divBdr>
        <w:top w:val="none" w:sz="0" w:space="0" w:color="auto"/>
        <w:left w:val="none" w:sz="0" w:space="0" w:color="auto"/>
        <w:bottom w:val="none" w:sz="0" w:space="0" w:color="auto"/>
        <w:right w:val="none" w:sz="0" w:space="0" w:color="auto"/>
      </w:divBdr>
    </w:div>
    <w:div w:id="537668174">
      <w:bodyDiv w:val="1"/>
      <w:marLeft w:val="0"/>
      <w:marRight w:val="0"/>
      <w:marTop w:val="0"/>
      <w:marBottom w:val="0"/>
      <w:divBdr>
        <w:top w:val="none" w:sz="0" w:space="0" w:color="auto"/>
        <w:left w:val="none" w:sz="0" w:space="0" w:color="auto"/>
        <w:bottom w:val="none" w:sz="0" w:space="0" w:color="auto"/>
        <w:right w:val="none" w:sz="0" w:space="0" w:color="auto"/>
      </w:divBdr>
    </w:div>
    <w:div w:id="538011311">
      <w:bodyDiv w:val="1"/>
      <w:marLeft w:val="0"/>
      <w:marRight w:val="0"/>
      <w:marTop w:val="0"/>
      <w:marBottom w:val="0"/>
      <w:divBdr>
        <w:top w:val="none" w:sz="0" w:space="0" w:color="auto"/>
        <w:left w:val="none" w:sz="0" w:space="0" w:color="auto"/>
        <w:bottom w:val="none" w:sz="0" w:space="0" w:color="auto"/>
        <w:right w:val="none" w:sz="0" w:space="0" w:color="auto"/>
      </w:divBdr>
    </w:div>
    <w:div w:id="538199061">
      <w:bodyDiv w:val="1"/>
      <w:marLeft w:val="0"/>
      <w:marRight w:val="0"/>
      <w:marTop w:val="0"/>
      <w:marBottom w:val="0"/>
      <w:divBdr>
        <w:top w:val="none" w:sz="0" w:space="0" w:color="auto"/>
        <w:left w:val="none" w:sz="0" w:space="0" w:color="auto"/>
        <w:bottom w:val="none" w:sz="0" w:space="0" w:color="auto"/>
        <w:right w:val="none" w:sz="0" w:space="0" w:color="auto"/>
      </w:divBdr>
    </w:div>
    <w:div w:id="539131858">
      <w:bodyDiv w:val="1"/>
      <w:marLeft w:val="0"/>
      <w:marRight w:val="0"/>
      <w:marTop w:val="0"/>
      <w:marBottom w:val="0"/>
      <w:divBdr>
        <w:top w:val="none" w:sz="0" w:space="0" w:color="auto"/>
        <w:left w:val="none" w:sz="0" w:space="0" w:color="auto"/>
        <w:bottom w:val="none" w:sz="0" w:space="0" w:color="auto"/>
        <w:right w:val="none" w:sz="0" w:space="0" w:color="auto"/>
      </w:divBdr>
    </w:div>
    <w:div w:id="539165592">
      <w:bodyDiv w:val="1"/>
      <w:marLeft w:val="0"/>
      <w:marRight w:val="0"/>
      <w:marTop w:val="0"/>
      <w:marBottom w:val="0"/>
      <w:divBdr>
        <w:top w:val="none" w:sz="0" w:space="0" w:color="auto"/>
        <w:left w:val="none" w:sz="0" w:space="0" w:color="auto"/>
        <w:bottom w:val="none" w:sz="0" w:space="0" w:color="auto"/>
        <w:right w:val="none" w:sz="0" w:space="0" w:color="auto"/>
      </w:divBdr>
    </w:div>
    <w:div w:id="539754799">
      <w:bodyDiv w:val="1"/>
      <w:marLeft w:val="0"/>
      <w:marRight w:val="0"/>
      <w:marTop w:val="0"/>
      <w:marBottom w:val="0"/>
      <w:divBdr>
        <w:top w:val="none" w:sz="0" w:space="0" w:color="auto"/>
        <w:left w:val="none" w:sz="0" w:space="0" w:color="auto"/>
        <w:bottom w:val="none" w:sz="0" w:space="0" w:color="auto"/>
        <w:right w:val="none" w:sz="0" w:space="0" w:color="auto"/>
      </w:divBdr>
    </w:div>
    <w:div w:id="539829898">
      <w:bodyDiv w:val="1"/>
      <w:marLeft w:val="0"/>
      <w:marRight w:val="0"/>
      <w:marTop w:val="0"/>
      <w:marBottom w:val="0"/>
      <w:divBdr>
        <w:top w:val="none" w:sz="0" w:space="0" w:color="auto"/>
        <w:left w:val="none" w:sz="0" w:space="0" w:color="auto"/>
        <w:bottom w:val="none" w:sz="0" w:space="0" w:color="auto"/>
        <w:right w:val="none" w:sz="0" w:space="0" w:color="auto"/>
      </w:divBdr>
    </w:div>
    <w:div w:id="540213796">
      <w:bodyDiv w:val="1"/>
      <w:marLeft w:val="0"/>
      <w:marRight w:val="0"/>
      <w:marTop w:val="0"/>
      <w:marBottom w:val="0"/>
      <w:divBdr>
        <w:top w:val="none" w:sz="0" w:space="0" w:color="auto"/>
        <w:left w:val="none" w:sz="0" w:space="0" w:color="auto"/>
        <w:bottom w:val="none" w:sz="0" w:space="0" w:color="auto"/>
        <w:right w:val="none" w:sz="0" w:space="0" w:color="auto"/>
      </w:divBdr>
    </w:div>
    <w:div w:id="540943092">
      <w:bodyDiv w:val="1"/>
      <w:marLeft w:val="0"/>
      <w:marRight w:val="0"/>
      <w:marTop w:val="0"/>
      <w:marBottom w:val="0"/>
      <w:divBdr>
        <w:top w:val="none" w:sz="0" w:space="0" w:color="auto"/>
        <w:left w:val="none" w:sz="0" w:space="0" w:color="auto"/>
        <w:bottom w:val="none" w:sz="0" w:space="0" w:color="auto"/>
        <w:right w:val="none" w:sz="0" w:space="0" w:color="auto"/>
      </w:divBdr>
    </w:div>
    <w:div w:id="541140192">
      <w:bodyDiv w:val="1"/>
      <w:marLeft w:val="0"/>
      <w:marRight w:val="0"/>
      <w:marTop w:val="0"/>
      <w:marBottom w:val="0"/>
      <w:divBdr>
        <w:top w:val="none" w:sz="0" w:space="0" w:color="auto"/>
        <w:left w:val="none" w:sz="0" w:space="0" w:color="auto"/>
        <w:bottom w:val="none" w:sz="0" w:space="0" w:color="auto"/>
        <w:right w:val="none" w:sz="0" w:space="0" w:color="auto"/>
      </w:divBdr>
    </w:div>
    <w:div w:id="541555394">
      <w:bodyDiv w:val="1"/>
      <w:marLeft w:val="0"/>
      <w:marRight w:val="0"/>
      <w:marTop w:val="0"/>
      <w:marBottom w:val="0"/>
      <w:divBdr>
        <w:top w:val="none" w:sz="0" w:space="0" w:color="auto"/>
        <w:left w:val="none" w:sz="0" w:space="0" w:color="auto"/>
        <w:bottom w:val="none" w:sz="0" w:space="0" w:color="auto"/>
        <w:right w:val="none" w:sz="0" w:space="0" w:color="auto"/>
      </w:divBdr>
    </w:div>
    <w:div w:id="542791673">
      <w:bodyDiv w:val="1"/>
      <w:marLeft w:val="0"/>
      <w:marRight w:val="0"/>
      <w:marTop w:val="0"/>
      <w:marBottom w:val="0"/>
      <w:divBdr>
        <w:top w:val="none" w:sz="0" w:space="0" w:color="auto"/>
        <w:left w:val="none" w:sz="0" w:space="0" w:color="auto"/>
        <w:bottom w:val="none" w:sz="0" w:space="0" w:color="auto"/>
        <w:right w:val="none" w:sz="0" w:space="0" w:color="auto"/>
      </w:divBdr>
    </w:div>
    <w:div w:id="543643673">
      <w:bodyDiv w:val="1"/>
      <w:marLeft w:val="0"/>
      <w:marRight w:val="0"/>
      <w:marTop w:val="0"/>
      <w:marBottom w:val="0"/>
      <w:divBdr>
        <w:top w:val="none" w:sz="0" w:space="0" w:color="auto"/>
        <w:left w:val="none" w:sz="0" w:space="0" w:color="auto"/>
        <w:bottom w:val="none" w:sz="0" w:space="0" w:color="auto"/>
        <w:right w:val="none" w:sz="0" w:space="0" w:color="auto"/>
      </w:divBdr>
    </w:div>
    <w:div w:id="543717788">
      <w:bodyDiv w:val="1"/>
      <w:marLeft w:val="0"/>
      <w:marRight w:val="0"/>
      <w:marTop w:val="0"/>
      <w:marBottom w:val="0"/>
      <w:divBdr>
        <w:top w:val="none" w:sz="0" w:space="0" w:color="auto"/>
        <w:left w:val="none" w:sz="0" w:space="0" w:color="auto"/>
        <w:bottom w:val="none" w:sz="0" w:space="0" w:color="auto"/>
        <w:right w:val="none" w:sz="0" w:space="0" w:color="auto"/>
      </w:divBdr>
    </w:div>
    <w:div w:id="544097319">
      <w:bodyDiv w:val="1"/>
      <w:marLeft w:val="0"/>
      <w:marRight w:val="0"/>
      <w:marTop w:val="0"/>
      <w:marBottom w:val="0"/>
      <w:divBdr>
        <w:top w:val="none" w:sz="0" w:space="0" w:color="auto"/>
        <w:left w:val="none" w:sz="0" w:space="0" w:color="auto"/>
        <w:bottom w:val="none" w:sz="0" w:space="0" w:color="auto"/>
        <w:right w:val="none" w:sz="0" w:space="0" w:color="auto"/>
      </w:divBdr>
    </w:div>
    <w:div w:id="544102186">
      <w:bodyDiv w:val="1"/>
      <w:marLeft w:val="0"/>
      <w:marRight w:val="0"/>
      <w:marTop w:val="0"/>
      <w:marBottom w:val="0"/>
      <w:divBdr>
        <w:top w:val="none" w:sz="0" w:space="0" w:color="auto"/>
        <w:left w:val="none" w:sz="0" w:space="0" w:color="auto"/>
        <w:bottom w:val="none" w:sz="0" w:space="0" w:color="auto"/>
        <w:right w:val="none" w:sz="0" w:space="0" w:color="auto"/>
      </w:divBdr>
    </w:div>
    <w:div w:id="544104802">
      <w:bodyDiv w:val="1"/>
      <w:marLeft w:val="0"/>
      <w:marRight w:val="0"/>
      <w:marTop w:val="0"/>
      <w:marBottom w:val="0"/>
      <w:divBdr>
        <w:top w:val="none" w:sz="0" w:space="0" w:color="auto"/>
        <w:left w:val="none" w:sz="0" w:space="0" w:color="auto"/>
        <w:bottom w:val="none" w:sz="0" w:space="0" w:color="auto"/>
        <w:right w:val="none" w:sz="0" w:space="0" w:color="auto"/>
      </w:divBdr>
    </w:div>
    <w:div w:id="544489322">
      <w:bodyDiv w:val="1"/>
      <w:marLeft w:val="0"/>
      <w:marRight w:val="0"/>
      <w:marTop w:val="0"/>
      <w:marBottom w:val="0"/>
      <w:divBdr>
        <w:top w:val="none" w:sz="0" w:space="0" w:color="auto"/>
        <w:left w:val="none" w:sz="0" w:space="0" w:color="auto"/>
        <w:bottom w:val="none" w:sz="0" w:space="0" w:color="auto"/>
        <w:right w:val="none" w:sz="0" w:space="0" w:color="auto"/>
      </w:divBdr>
    </w:div>
    <w:div w:id="544609246">
      <w:bodyDiv w:val="1"/>
      <w:marLeft w:val="0"/>
      <w:marRight w:val="0"/>
      <w:marTop w:val="0"/>
      <w:marBottom w:val="0"/>
      <w:divBdr>
        <w:top w:val="none" w:sz="0" w:space="0" w:color="auto"/>
        <w:left w:val="none" w:sz="0" w:space="0" w:color="auto"/>
        <w:bottom w:val="none" w:sz="0" w:space="0" w:color="auto"/>
        <w:right w:val="none" w:sz="0" w:space="0" w:color="auto"/>
      </w:divBdr>
    </w:div>
    <w:div w:id="545026429">
      <w:bodyDiv w:val="1"/>
      <w:marLeft w:val="0"/>
      <w:marRight w:val="0"/>
      <w:marTop w:val="0"/>
      <w:marBottom w:val="0"/>
      <w:divBdr>
        <w:top w:val="none" w:sz="0" w:space="0" w:color="auto"/>
        <w:left w:val="none" w:sz="0" w:space="0" w:color="auto"/>
        <w:bottom w:val="none" w:sz="0" w:space="0" w:color="auto"/>
        <w:right w:val="none" w:sz="0" w:space="0" w:color="auto"/>
      </w:divBdr>
    </w:div>
    <w:div w:id="545143802">
      <w:bodyDiv w:val="1"/>
      <w:marLeft w:val="0"/>
      <w:marRight w:val="0"/>
      <w:marTop w:val="0"/>
      <w:marBottom w:val="0"/>
      <w:divBdr>
        <w:top w:val="none" w:sz="0" w:space="0" w:color="auto"/>
        <w:left w:val="none" w:sz="0" w:space="0" w:color="auto"/>
        <w:bottom w:val="none" w:sz="0" w:space="0" w:color="auto"/>
        <w:right w:val="none" w:sz="0" w:space="0" w:color="auto"/>
      </w:divBdr>
    </w:div>
    <w:div w:id="545411073">
      <w:bodyDiv w:val="1"/>
      <w:marLeft w:val="0"/>
      <w:marRight w:val="0"/>
      <w:marTop w:val="0"/>
      <w:marBottom w:val="0"/>
      <w:divBdr>
        <w:top w:val="none" w:sz="0" w:space="0" w:color="auto"/>
        <w:left w:val="none" w:sz="0" w:space="0" w:color="auto"/>
        <w:bottom w:val="none" w:sz="0" w:space="0" w:color="auto"/>
        <w:right w:val="none" w:sz="0" w:space="0" w:color="auto"/>
      </w:divBdr>
    </w:div>
    <w:div w:id="545457676">
      <w:bodyDiv w:val="1"/>
      <w:marLeft w:val="0"/>
      <w:marRight w:val="0"/>
      <w:marTop w:val="0"/>
      <w:marBottom w:val="0"/>
      <w:divBdr>
        <w:top w:val="none" w:sz="0" w:space="0" w:color="auto"/>
        <w:left w:val="none" w:sz="0" w:space="0" w:color="auto"/>
        <w:bottom w:val="none" w:sz="0" w:space="0" w:color="auto"/>
        <w:right w:val="none" w:sz="0" w:space="0" w:color="auto"/>
      </w:divBdr>
    </w:div>
    <w:div w:id="545530181">
      <w:bodyDiv w:val="1"/>
      <w:marLeft w:val="0"/>
      <w:marRight w:val="0"/>
      <w:marTop w:val="0"/>
      <w:marBottom w:val="0"/>
      <w:divBdr>
        <w:top w:val="none" w:sz="0" w:space="0" w:color="auto"/>
        <w:left w:val="none" w:sz="0" w:space="0" w:color="auto"/>
        <w:bottom w:val="none" w:sz="0" w:space="0" w:color="auto"/>
        <w:right w:val="none" w:sz="0" w:space="0" w:color="auto"/>
      </w:divBdr>
    </w:div>
    <w:div w:id="545795125">
      <w:bodyDiv w:val="1"/>
      <w:marLeft w:val="0"/>
      <w:marRight w:val="0"/>
      <w:marTop w:val="0"/>
      <w:marBottom w:val="0"/>
      <w:divBdr>
        <w:top w:val="none" w:sz="0" w:space="0" w:color="auto"/>
        <w:left w:val="none" w:sz="0" w:space="0" w:color="auto"/>
        <w:bottom w:val="none" w:sz="0" w:space="0" w:color="auto"/>
        <w:right w:val="none" w:sz="0" w:space="0" w:color="auto"/>
      </w:divBdr>
    </w:div>
    <w:div w:id="545919948">
      <w:bodyDiv w:val="1"/>
      <w:marLeft w:val="0"/>
      <w:marRight w:val="0"/>
      <w:marTop w:val="0"/>
      <w:marBottom w:val="0"/>
      <w:divBdr>
        <w:top w:val="none" w:sz="0" w:space="0" w:color="auto"/>
        <w:left w:val="none" w:sz="0" w:space="0" w:color="auto"/>
        <w:bottom w:val="none" w:sz="0" w:space="0" w:color="auto"/>
        <w:right w:val="none" w:sz="0" w:space="0" w:color="auto"/>
      </w:divBdr>
    </w:div>
    <w:div w:id="546257835">
      <w:bodyDiv w:val="1"/>
      <w:marLeft w:val="0"/>
      <w:marRight w:val="0"/>
      <w:marTop w:val="0"/>
      <w:marBottom w:val="0"/>
      <w:divBdr>
        <w:top w:val="none" w:sz="0" w:space="0" w:color="auto"/>
        <w:left w:val="none" w:sz="0" w:space="0" w:color="auto"/>
        <w:bottom w:val="none" w:sz="0" w:space="0" w:color="auto"/>
        <w:right w:val="none" w:sz="0" w:space="0" w:color="auto"/>
      </w:divBdr>
    </w:div>
    <w:div w:id="546264091">
      <w:bodyDiv w:val="1"/>
      <w:marLeft w:val="0"/>
      <w:marRight w:val="0"/>
      <w:marTop w:val="0"/>
      <w:marBottom w:val="0"/>
      <w:divBdr>
        <w:top w:val="none" w:sz="0" w:space="0" w:color="auto"/>
        <w:left w:val="none" w:sz="0" w:space="0" w:color="auto"/>
        <w:bottom w:val="none" w:sz="0" w:space="0" w:color="auto"/>
        <w:right w:val="none" w:sz="0" w:space="0" w:color="auto"/>
      </w:divBdr>
    </w:div>
    <w:div w:id="547572524">
      <w:bodyDiv w:val="1"/>
      <w:marLeft w:val="0"/>
      <w:marRight w:val="0"/>
      <w:marTop w:val="0"/>
      <w:marBottom w:val="0"/>
      <w:divBdr>
        <w:top w:val="none" w:sz="0" w:space="0" w:color="auto"/>
        <w:left w:val="none" w:sz="0" w:space="0" w:color="auto"/>
        <w:bottom w:val="none" w:sz="0" w:space="0" w:color="auto"/>
        <w:right w:val="none" w:sz="0" w:space="0" w:color="auto"/>
      </w:divBdr>
    </w:div>
    <w:div w:id="548341314">
      <w:bodyDiv w:val="1"/>
      <w:marLeft w:val="0"/>
      <w:marRight w:val="0"/>
      <w:marTop w:val="0"/>
      <w:marBottom w:val="0"/>
      <w:divBdr>
        <w:top w:val="none" w:sz="0" w:space="0" w:color="auto"/>
        <w:left w:val="none" w:sz="0" w:space="0" w:color="auto"/>
        <w:bottom w:val="none" w:sz="0" w:space="0" w:color="auto"/>
        <w:right w:val="none" w:sz="0" w:space="0" w:color="auto"/>
      </w:divBdr>
    </w:div>
    <w:div w:id="548735685">
      <w:bodyDiv w:val="1"/>
      <w:marLeft w:val="0"/>
      <w:marRight w:val="0"/>
      <w:marTop w:val="0"/>
      <w:marBottom w:val="0"/>
      <w:divBdr>
        <w:top w:val="none" w:sz="0" w:space="0" w:color="auto"/>
        <w:left w:val="none" w:sz="0" w:space="0" w:color="auto"/>
        <w:bottom w:val="none" w:sz="0" w:space="0" w:color="auto"/>
        <w:right w:val="none" w:sz="0" w:space="0" w:color="auto"/>
      </w:divBdr>
    </w:div>
    <w:div w:id="549194247">
      <w:bodyDiv w:val="1"/>
      <w:marLeft w:val="0"/>
      <w:marRight w:val="0"/>
      <w:marTop w:val="0"/>
      <w:marBottom w:val="0"/>
      <w:divBdr>
        <w:top w:val="none" w:sz="0" w:space="0" w:color="auto"/>
        <w:left w:val="none" w:sz="0" w:space="0" w:color="auto"/>
        <w:bottom w:val="none" w:sz="0" w:space="0" w:color="auto"/>
        <w:right w:val="none" w:sz="0" w:space="0" w:color="auto"/>
      </w:divBdr>
    </w:div>
    <w:div w:id="549342813">
      <w:bodyDiv w:val="1"/>
      <w:marLeft w:val="0"/>
      <w:marRight w:val="0"/>
      <w:marTop w:val="0"/>
      <w:marBottom w:val="0"/>
      <w:divBdr>
        <w:top w:val="none" w:sz="0" w:space="0" w:color="auto"/>
        <w:left w:val="none" w:sz="0" w:space="0" w:color="auto"/>
        <w:bottom w:val="none" w:sz="0" w:space="0" w:color="auto"/>
        <w:right w:val="none" w:sz="0" w:space="0" w:color="auto"/>
      </w:divBdr>
    </w:div>
    <w:div w:id="549655162">
      <w:bodyDiv w:val="1"/>
      <w:marLeft w:val="0"/>
      <w:marRight w:val="0"/>
      <w:marTop w:val="0"/>
      <w:marBottom w:val="0"/>
      <w:divBdr>
        <w:top w:val="none" w:sz="0" w:space="0" w:color="auto"/>
        <w:left w:val="none" w:sz="0" w:space="0" w:color="auto"/>
        <w:bottom w:val="none" w:sz="0" w:space="0" w:color="auto"/>
        <w:right w:val="none" w:sz="0" w:space="0" w:color="auto"/>
      </w:divBdr>
    </w:div>
    <w:div w:id="550271424">
      <w:bodyDiv w:val="1"/>
      <w:marLeft w:val="0"/>
      <w:marRight w:val="0"/>
      <w:marTop w:val="0"/>
      <w:marBottom w:val="0"/>
      <w:divBdr>
        <w:top w:val="none" w:sz="0" w:space="0" w:color="auto"/>
        <w:left w:val="none" w:sz="0" w:space="0" w:color="auto"/>
        <w:bottom w:val="none" w:sz="0" w:space="0" w:color="auto"/>
        <w:right w:val="none" w:sz="0" w:space="0" w:color="auto"/>
      </w:divBdr>
    </w:div>
    <w:div w:id="550579207">
      <w:bodyDiv w:val="1"/>
      <w:marLeft w:val="0"/>
      <w:marRight w:val="0"/>
      <w:marTop w:val="0"/>
      <w:marBottom w:val="0"/>
      <w:divBdr>
        <w:top w:val="none" w:sz="0" w:space="0" w:color="auto"/>
        <w:left w:val="none" w:sz="0" w:space="0" w:color="auto"/>
        <w:bottom w:val="none" w:sz="0" w:space="0" w:color="auto"/>
        <w:right w:val="none" w:sz="0" w:space="0" w:color="auto"/>
      </w:divBdr>
    </w:div>
    <w:div w:id="550727986">
      <w:bodyDiv w:val="1"/>
      <w:marLeft w:val="0"/>
      <w:marRight w:val="0"/>
      <w:marTop w:val="0"/>
      <w:marBottom w:val="0"/>
      <w:divBdr>
        <w:top w:val="none" w:sz="0" w:space="0" w:color="auto"/>
        <w:left w:val="none" w:sz="0" w:space="0" w:color="auto"/>
        <w:bottom w:val="none" w:sz="0" w:space="0" w:color="auto"/>
        <w:right w:val="none" w:sz="0" w:space="0" w:color="auto"/>
      </w:divBdr>
    </w:div>
    <w:div w:id="551037253">
      <w:bodyDiv w:val="1"/>
      <w:marLeft w:val="0"/>
      <w:marRight w:val="0"/>
      <w:marTop w:val="0"/>
      <w:marBottom w:val="0"/>
      <w:divBdr>
        <w:top w:val="none" w:sz="0" w:space="0" w:color="auto"/>
        <w:left w:val="none" w:sz="0" w:space="0" w:color="auto"/>
        <w:bottom w:val="none" w:sz="0" w:space="0" w:color="auto"/>
        <w:right w:val="none" w:sz="0" w:space="0" w:color="auto"/>
      </w:divBdr>
    </w:div>
    <w:div w:id="551770925">
      <w:bodyDiv w:val="1"/>
      <w:marLeft w:val="0"/>
      <w:marRight w:val="0"/>
      <w:marTop w:val="0"/>
      <w:marBottom w:val="0"/>
      <w:divBdr>
        <w:top w:val="none" w:sz="0" w:space="0" w:color="auto"/>
        <w:left w:val="none" w:sz="0" w:space="0" w:color="auto"/>
        <w:bottom w:val="none" w:sz="0" w:space="0" w:color="auto"/>
        <w:right w:val="none" w:sz="0" w:space="0" w:color="auto"/>
      </w:divBdr>
    </w:div>
    <w:div w:id="551816737">
      <w:bodyDiv w:val="1"/>
      <w:marLeft w:val="0"/>
      <w:marRight w:val="0"/>
      <w:marTop w:val="0"/>
      <w:marBottom w:val="0"/>
      <w:divBdr>
        <w:top w:val="none" w:sz="0" w:space="0" w:color="auto"/>
        <w:left w:val="none" w:sz="0" w:space="0" w:color="auto"/>
        <w:bottom w:val="none" w:sz="0" w:space="0" w:color="auto"/>
        <w:right w:val="none" w:sz="0" w:space="0" w:color="auto"/>
      </w:divBdr>
    </w:div>
    <w:div w:id="551884893">
      <w:bodyDiv w:val="1"/>
      <w:marLeft w:val="0"/>
      <w:marRight w:val="0"/>
      <w:marTop w:val="0"/>
      <w:marBottom w:val="0"/>
      <w:divBdr>
        <w:top w:val="none" w:sz="0" w:space="0" w:color="auto"/>
        <w:left w:val="none" w:sz="0" w:space="0" w:color="auto"/>
        <w:bottom w:val="none" w:sz="0" w:space="0" w:color="auto"/>
        <w:right w:val="none" w:sz="0" w:space="0" w:color="auto"/>
      </w:divBdr>
    </w:div>
    <w:div w:id="551968706">
      <w:bodyDiv w:val="1"/>
      <w:marLeft w:val="0"/>
      <w:marRight w:val="0"/>
      <w:marTop w:val="0"/>
      <w:marBottom w:val="0"/>
      <w:divBdr>
        <w:top w:val="none" w:sz="0" w:space="0" w:color="auto"/>
        <w:left w:val="none" w:sz="0" w:space="0" w:color="auto"/>
        <w:bottom w:val="none" w:sz="0" w:space="0" w:color="auto"/>
        <w:right w:val="none" w:sz="0" w:space="0" w:color="auto"/>
      </w:divBdr>
    </w:div>
    <w:div w:id="552153947">
      <w:bodyDiv w:val="1"/>
      <w:marLeft w:val="0"/>
      <w:marRight w:val="0"/>
      <w:marTop w:val="0"/>
      <w:marBottom w:val="0"/>
      <w:divBdr>
        <w:top w:val="none" w:sz="0" w:space="0" w:color="auto"/>
        <w:left w:val="none" w:sz="0" w:space="0" w:color="auto"/>
        <w:bottom w:val="none" w:sz="0" w:space="0" w:color="auto"/>
        <w:right w:val="none" w:sz="0" w:space="0" w:color="auto"/>
      </w:divBdr>
    </w:div>
    <w:div w:id="553393399">
      <w:bodyDiv w:val="1"/>
      <w:marLeft w:val="0"/>
      <w:marRight w:val="0"/>
      <w:marTop w:val="0"/>
      <w:marBottom w:val="0"/>
      <w:divBdr>
        <w:top w:val="none" w:sz="0" w:space="0" w:color="auto"/>
        <w:left w:val="none" w:sz="0" w:space="0" w:color="auto"/>
        <w:bottom w:val="none" w:sz="0" w:space="0" w:color="auto"/>
        <w:right w:val="none" w:sz="0" w:space="0" w:color="auto"/>
      </w:divBdr>
    </w:div>
    <w:div w:id="553397202">
      <w:bodyDiv w:val="1"/>
      <w:marLeft w:val="0"/>
      <w:marRight w:val="0"/>
      <w:marTop w:val="0"/>
      <w:marBottom w:val="0"/>
      <w:divBdr>
        <w:top w:val="none" w:sz="0" w:space="0" w:color="auto"/>
        <w:left w:val="none" w:sz="0" w:space="0" w:color="auto"/>
        <w:bottom w:val="none" w:sz="0" w:space="0" w:color="auto"/>
        <w:right w:val="none" w:sz="0" w:space="0" w:color="auto"/>
      </w:divBdr>
    </w:div>
    <w:div w:id="553467949">
      <w:bodyDiv w:val="1"/>
      <w:marLeft w:val="0"/>
      <w:marRight w:val="0"/>
      <w:marTop w:val="0"/>
      <w:marBottom w:val="0"/>
      <w:divBdr>
        <w:top w:val="none" w:sz="0" w:space="0" w:color="auto"/>
        <w:left w:val="none" w:sz="0" w:space="0" w:color="auto"/>
        <w:bottom w:val="none" w:sz="0" w:space="0" w:color="auto"/>
        <w:right w:val="none" w:sz="0" w:space="0" w:color="auto"/>
      </w:divBdr>
    </w:div>
    <w:div w:id="553539244">
      <w:bodyDiv w:val="1"/>
      <w:marLeft w:val="0"/>
      <w:marRight w:val="0"/>
      <w:marTop w:val="0"/>
      <w:marBottom w:val="0"/>
      <w:divBdr>
        <w:top w:val="none" w:sz="0" w:space="0" w:color="auto"/>
        <w:left w:val="none" w:sz="0" w:space="0" w:color="auto"/>
        <w:bottom w:val="none" w:sz="0" w:space="0" w:color="auto"/>
        <w:right w:val="none" w:sz="0" w:space="0" w:color="auto"/>
      </w:divBdr>
    </w:div>
    <w:div w:id="553735986">
      <w:bodyDiv w:val="1"/>
      <w:marLeft w:val="0"/>
      <w:marRight w:val="0"/>
      <w:marTop w:val="0"/>
      <w:marBottom w:val="0"/>
      <w:divBdr>
        <w:top w:val="none" w:sz="0" w:space="0" w:color="auto"/>
        <w:left w:val="none" w:sz="0" w:space="0" w:color="auto"/>
        <w:bottom w:val="none" w:sz="0" w:space="0" w:color="auto"/>
        <w:right w:val="none" w:sz="0" w:space="0" w:color="auto"/>
      </w:divBdr>
    </w:div>
    <w:div w:id="554126750">
      <w:bodyDiv w:val="1"/>
      <w:marLeft w:val="0"/>
      <w:marRight w:val="0"/>
      <w:marTop w:val="0"/>
      <w:marBottom w:val="0"/>
      <w:divBdr>
        <w:top w:val="none" w:sz="0" w:space="0" w:color="auto"/>
        <w:left w:val="none" w:sz="0" w:space="0" w:color="auto"/>
        <w:bottom w:val="none" w:sz="0" w:space="0" w:color="auto"/>
        <w:right w:val="none" w:sz="0" w:space="0" w:color="auto"/>
      </w:divBdr>
    </w:div>
    <w:div w:id="554465490">
      <w:bodyDiv w:val="1"/>
      <w:marLeft w:val="0"/>
      <w:marRight w:val="0"/>
      <w:marTop w:val="0"/>
      <w:marBottom w:val="0"/>
      <w:divBdr>
        <w:top w:val="none" w:sz="0" w:space="0" w:color="auto"/>
        <w:left w:val="none" w:sz="0" w:space="0" w:color="auto"/>
        <w:bottom w:val="none" w:sz="0" w:space="0" w:color="auto"/>
        <w:right w:val="none" w:sz="0" w:space="0" w:color="auto"/>
      </w:divBdr>
    </w:div>
    <w:div w:id="554582476">
      <w:bodyDiv w:val="1"/>
      <w:marLeft w:val="0"/>
      <w:marRight w:val="0"/>
      <w:marTop w:val="0"/>
      <w:marBottom w:val="0"/>
      <w:divBdr>
        <w:top w:val="none" w:sz="0" w:space="0" w:color="auto"/>
        <w:left w:val="none" w:sz="0" w:space="0" w:color="auto"/>
        <w:bottom w:val="none" w:sz="0" w:space="0" w:color="auto"/>
        <w:right w:val="none" w:sz="0" w:space="0" w:color="auto"/>
      </w:divBdr>
    </w:div>
    <w:div w:id="554588886">
      <w:bodyDiv w:val="1"/>
      <w:marLeft w:val="0"/>
      <w:marRight w:val="0"/>
      <w:marTop w:val="0"/>
      <w:marBottom w:val="0"/>
      <w:divBdr>
        <w:top w:val="none" w:sz="0" w:space="0" w:color="auto"/>
        <w:left w:val="none" w:sz="0" w:space="0" w:color="auto"/>
        <w:bottom w:val="none" w:sz="0" w:space="0" w:color="auto"/>
        <w:right w:val="none" w:sz="0" w:space="0" w:color="auto"/>
      </w:divBdr>
    </w:div>
    <w:div w:id="554656957">
      <w:bodyDiv w:val="1"/>
      <w:marLeft w:val="0"/>
      <w:marRight w:val="0"/>
      <w:marTop w:val="0"/>
      <w:marBottom w:val="0"/>
      <w:divBdr>
        <w:top w:val="none" w:sz="0" w:space="0" w:color="auto"/>
        <w:left w:val="none" w:sz="0" w:space="0" w:color="auto"/>
        <w:bottom w:val="none" w:sz="0" w:space="0" w:color="auto"/>
        <w:right w:val="none" w:sz="0" w:space="0" w:color="auto"/>
      </w:divBdr>
    </w:div>
    <w:div w:id="554663349">
      <w:bodyDiv w:val="1"/>
      <w:marLeft w:val="0"/>
      <w:marRight w:val="0"/>
      <w:marTop w:val="0"/>
      <w:marBottom w:val="0"/>
      <w:divBdr>
        <w:top w:val="none" w:sz="0" w:space="0" w:color="auto"/>
        <w:left w:val="none" w:sz="0" w:space="0" w:color="auto"/>
        <w:bottom w:val="none" w:sz="0" w:space="0" w:color="auto"/>
        <w:right w:val="none" w:sz="0" w:space="0" w:color="auto"/>
      </w:divBdr>
    </w:div>
    <w:div w:id="555091900">
      <w:bodyDiv w:val="1"/>
      <w:marLeft w:val="0"/>
      <w:marRight w:val="0"/>
      <w:marTop w:val="0"/>
      <w:marBottom w:val="0"/>
      <w:divBdr>
        <w:top w:val="none" w:sz="0" w:space="0" w:color="auto"/>
        <w:left w:val="none" w:sz="0" w:space="0" w:color="auto"/>
        <w:bottom w:val="none" w:sz="0" w:space="0" w:color="auto"/>
        <w:right w:val="none" w:sz="0" w:space="0" w:color="auto"/>
      </w:divBdr>
    </w:div>
    <w:div w:id="555748193">
      <w:bodyDiv w:val="1"/>
      <w:marLeft w:val="0"/>
      <w:marRight w:val="0"/>
      <w:marTop w:val="0"/>
      <w:marBottom w:val="0"/>
      <w:divBdr>
        <w:top w:val="none" w:sz="0" w:space="0" w:color="auto"/>
        <w:left w:val="none" w:sz="0" w:space="0" w:color="auto"/>
        <w:bottom w:val="none" w:sz="0" w:space="0" w:color="auto"/>
        <w:right w:val="none" w:sz="0" w:space="0" w:color="auto"/>
      </w:divBdr>
    </w:div>
    <w:div w:id="556210615">
      <w:bodyDiv w:val="1"/>
      <w:marLeft w:val="0"/>
      <w:marRight w:val="0"/>
      <w:marTop w:val="0"/>
      <w:marBottom w:val="0"/>
      <w:divBdr>
        <w:top w:val="none" w:sz="0" w:space="0" w:color="auto"/>
        <w:left w:val="none" w:sz="0" w:space="0" w:color="auto"/>
        <w:bottom w:val="none" w:sz="0" w:space="0" w:color="auto"/>
        <w:right w:val="none" w:sz="0" w:space="0" w:color="auto"/>
      </w:divBdr>
    </w:div>
    <w:div w:id="556360672">
      <w:bodyDiv w:val="1"/>
      <w:marLeft w:val="0"/>
      <w:marRight w:val="0"/>
      <w:marTop w:val="0"/>
      <w:marBottom w:val="0"/>
      <w:divBdr>
        <w:top w:val="none" w:sz="0" w:space="0" w:color="auto"/>
        <w:left w:val="none" w:sz="0" w:space="0" w:color="auto"/>
        <w:bottom w:val="none" w:sz="0" w:space="0" w:color="auto"/>
        <w:right w:val="none" w:sz="0" w:space="0" w:color="auto"/>
      </w:divBdr>
    </w:div>
    <w:div w:id="556671542">
      <w:bodyDiv w:val="1"/>
      <w:marLeft w:val="0"/>
      <w:marRight w:val="0"/>
      <w:marTop w:val="0"/>
      <w:marBottom w:val="0"/>
      <w:divBdr>
        <w:top w:val="none" w:sz="0" w:space="0" w:color="auto"/>
        <w:left w:val="none" w:sz="0" w:space="0" w:color="auto"/>
        <w:bottom w:val="none" w:sz="0" w:space="0" w:color="auto"/>
        <w:right w:val="none" w:sz="0" w:space="0" w:color="auto"/>
      </w:divBdr>
    </w:div>
    <w:div w:id="556941141">
      <w:bodyDiv w:val="1"/>
      <w:marLeft w:val="0"/>
      <w:marRight w:val="0"/>
      <w:marTop w:val="0"/>
      <w:marBottom w:val="0"/>
      <w:divBdr>
        <w:top w:val="none" w:sz="0" w:space="0" w:color="auto"/>
        <w:left w:val="none" w:sz="0" w:space="0" w:color="auto"/>
        <w:bottom w:val="none" w:sz="0" w:space="0" w:color="auto"/>
        <w:right w:val="none" w:sz="0" w:space="0" w:color="auto"/>
      </w:divBdr>
    </w:div>
    <w:div w:id="557204655">
      <w:bodyDiv w:val="1"/>
      <w:marLeft w:val="0"/>
      <w:marRight w:val="0"/>
      <w:marTop w:val="0"/>
      <w:marBottom w:val="0"/>
      <w:divBdr>
        <w:top w:val="none" w:sz="0" w:space="0" w:color="auto"/>
        <w:left w:val="none" w:sz="0" w:space="0" w:color="auto"/>
        <w:bottom w:val="none" w:sz="0" w:space="0" w:color="auto"/>
        <w:right w:val="none" w:sz="0" w:space="0" w:color="auto"/>
      </w:divBdr>
    </w:div>
    <w:div w:id="558126855">
      <w:bodyDiv w:val="1"/>
      <w:marLeft w:val="0"/>
      <w:marRight w:val="0"/>
      <w:marTop w:val="0"/>
      <w:marBottom w:val="0"/>
      <w:divBdr>
        <w:top w:val="none" w:sz="0" w:space="0" w:color="auto"/>
        <w:left w:val="none" w:sz="0" w:space="0" w:color="auto"/>
        <w:bottom w:val="none" w:sz="0" w:space="0" w:color="auto"/>
        <w:right w:val="none" w:sz="0" w:space="0" w:color="auto"/>
      </w:divBdr>
    </w:div>
    <w:div w:id="558324944">
      <w:bodyDiv w:val="1"/>
      <w:marLeft w:val="0"/>
      <w:marRight w:val="0"/>
      <w:marTop w:val="0"/>
      <w:marBottom w:val="0"/>
      <w:divBdr>
        <w:top w:val="none" w:sz="0" w:space="0" w:color="auto"/>
        <w:left w:val="none" w:sz="0" w:space="0" w:color="auto"/>
        <w:bottom w:val="none" w:sz="0" w:space="0" w:color="auto"/>
        <w:right w:val="none" w:sz="0" w:space="0" w:color="auto"/>
      </w:divBdr>
    </w:div>
    <w:div w:id="559171048">
      <w:bodyDiv w:val="1"/>
      <w:marLeft w:val="0"/>
      <w:marRight w:val="0"/>
      <w:marTop w:val="0"/>
      <w:marBottom w:val="0"/>
      <w:divBdr>
        <w:top w:val="none" w:sz="0" w:space="0" w:color="auto"/>
        <w:left w:val="none" w:sz="0" w:space="0" w:color="auto"/>
        <w:bottom w:val="none" w:sz="0" w:space="0" w:color="auto"/>
        <w:right w:val="none" w:sz="0" w:space="0" w:color="auto"/>
      </w:divBdr>
    </w:div>
    <w:div w:id="559244599">
      <w:bodyDiv w:val="1"/>
      <w:marLeft w:val="0"/>
      <w:marRight w:val="0"/>
      <w:marTop w:val="0"/>
      <w:marBottom w:val="0"/>
      <w:divBdr>
        <w:top w:val="none" w:sz="0" w:space="0" w:color="auto"/>
        <w:left w:val="none" w:sz="0" w:space="0" w:color="auto"/>
        <w:bottom w:val="none" w:sz="0" w:space="0" w:color="auto"/>
        <w:right w:val="none" w:sz="0" w:space="0" w:color="auto"/>
      </w:divBdr>
    </w:div>
    <w:div w:id="559481077">
      <w:bodyDiv w:val="1"/>
      <w:marLeft w:val="0"/>
      <w:marRight w:val="0"/>
      <w:marTop w:val="0"/>
      <w:marBottom w:val="0"/>
      <w:divBdr>
        <w:top w:val="none" w:sz="0" w:space="0" w:color="auto"/>
        <w:left w:val="none" w:sz="0" w:space="0" w:color="auto"/>
        <w:bottom w:val="none" w:sz="0" w:space="0" w:color="auto"/>
        <w:right w:val="none" w:sz="0" w:space="0" w:color="auto"/>
      </w:divBdr>
    </w:div>
    <w:div w:id="559484013">
      <w:bodyDiv w:val="1"/>
      <w:marLeft w:val="0"/>
      <w:marRight w:val="0"/>
      <w:marTop w:val="0"/>
      <w:marBottom w:val="0"/>
      <w:divBdr>
        <w:top w:val="none" w:sz="0" w:space="0" w:color="auto"/>
        <w:left w:val="none" w:sz="0" w:space="0" w:color="auto"/>
        <w:bottom w:val="none" w:sz="0" w:space="0" w:color="auto"/>
        <w:right w:val="none" w:sz="0" w:space="0" w:color="auto"/>
      </w:divBdr>
    </w:div>
    <w:div w:id="559678829">
      <w:bodyDiv w:val="1"/>
      <w:marLeft w:val="0"/>
      <w:marRight w:val="0"/>
      <w:marTop w:val="0"/>
      <w:marBottom w:val="0"/>
      <w:divBdr>
        <w:top w:val="none" w:sz="0" w:space="0" w:color="auto"/>
        <w:left w:val="none" w:sz="0" w:space="0" w:color="auto"/>
        <w:bottom w:val="none" w:sz="0" w:space="0" w:color="auto"/>
        <w:right w:val="none" w:sz="0" w:space="0" w:color="auto"/>
      </w:divBdr>
    </w:div>
    <w:div w:id="559824796">
      <w:bodyDiv w:val="1"/>
      <w:marLeft w:val="0"/>
      <w:marRight w:val="0"/>
      <w:marTop w:val="0"/>
      <w:marBottom w:val="0"/>
      <w:divBdr>
        <w:top w:val="none" w:sz="0" w:space="0" w:color="auto"/>
        <w:left w:val="none" w:sz="0" w:space="0" w:color="auto"/>
        <w:bottom w:val="none" w:sz="0" w:space="0" w:color="auto"/>
        <w:right w:val="none" w:sz="0" w:space="0" w:color="auto"/>
      </w:divBdr>
    </w:div>
    <w:div w:id="559828856">
      <w:bodyDiv w:val="1"/>
      <w:marLeft w:val="0"/>
      <w:marRight w:val="0"/>
      <w:marTop w:val="0"/>
      <w:marBottom w:val="0"/>
      <w:divBdr>
        <w:top w:val="none" w:sz="0" w:space="0" w:color="auto"/>
        <w:left w:val="none" w:sz="0" w:space="0" w:color="auto"/>
        <w:bottom w:val="none" w:sz="0" w:space="0" w:color="auto"/>
        <w:right w:val="none" w:sz="0" w:space="0" w:color="auto"/>
      </w:divBdr>
    </w:div>
    <w:div w:id="559943298">
      <w:bodyDiv w:val="1"/>
      <w:marLeft w:val="0"/>
      <w:marRight w:val="0"/>
      <w:marTop w:val="0"/>
      <w:marBottom w:val="0"/>
      <w:divBdr>
        <w:top w:val="none" w:sz="0" w:space="0" w:color="auto"/>
        <w:left w:val="none" w:sz="0" w:space="0" w:color="auto"/>
        <w:bottom w:val="none" w:sz="0" w:space="0" w:color="auto"/>
        <w:right w:val="none" w:sz="0" w:space="0" w:color="auto"/>
      </w:divBdr>
    </w:div>
    <w:div w:id="560098172">
      <w:bodyDiv w:val="1"/>
      <w:marLeft w:val="0"/>
      <w:marRight w:val="0"/>
      <w:marTop w:val="0"/>
      <w:marBottom w:val="0"/>
      <w:divBdr>
        <w:top w:val="none" w:sz="0" w:space="0" w:color="auto"/>
        <w:left w:val="none" w:sz="0" w:space="0" w:color="auto"/>
        <w:bottom w:val="none" w:sz="0" w:space="0" w:color="auto"/>
        <w:right w:val="none" w:sz="0" w:space="0" w:color="auto"/>
      </w:divBdr>
    </w:div>
    <w:div w:id="560140034">
      <w:bodyDiv w:val="1"/>
      <w:marLeft w:val="0"/>
      <w:marRight w:val="0"/>
      <w:marTop w:val="0"/>
      <w:marBottom w:val="0"/>
      <w:divBdr>
        <w:top w:val="none" w:sz="0" w:space="0" w:color="auto"/>
        <w:left w:val="none" w:sz="0" w:space="0" w:color="auto"/>
        <w:bottom w:val="none" w:sz="0" w:space="0" w:color="auto"/>
        <w:right w:val="none" w:sz="0" w:space="0" w:color="auto"/>
      </w:divBdr>
    </w:div>
    <w:div w:id="560285691">
      <w:bodyDiv w:val="1"/>
      <w:marLeft w:val="0"/>
      <w:marRight w:val="0"/>
      <w:marTop w:val="0"/>
      <w:marBottom w:val="0"/>
      <w:divBdr>
        <w:top w:val="none" w:sz="0" w:space="0" w:color="auto"/>
        <w:left w:val="none" w:sz="0" w:space="0" w:color="auto"/>
        <w:bottom w:val="none" w:sz="0" w:space="0" w:color="auto"/>
        <w:right w:val="none" w:sz="0" w:space="0" w:color="auto"/>
      </w:divBdr>
    </w:div>
    <w:div w:id="560824040">
      <w:bodyDiv w:val="1"/>
      <w:marLeft w:val="0"/>
      <w:marRight w:val="0"/>
      <w:marTop w:val="0"/>
      <w:marBottom w:val="0"/>
      <w:divBdr>
        <w:top w:val="none" w:sz="0" w:space="0" w:color="auto"/>
        <w:left w:val="none" w:sz="0" w:space="0" w:color="auto"/>
        <w:bottom w:val="none" w:sz="0" w:space="0" w:color="auto"/>
        <w:right w:val="none" w:sz="0" w:space="0" w:color="auto"/>
      </w:divBdr>
    </w:div>
    <w:div w:id="561209101">
      <w:bodyDiv w:val="1"/>
      <w:marLeft w:val="0"/>
      <w:marRight w:val="0"/>
      <w:marTop w:val="0"/>
      <w:marBottom w:val="0"/>
      <w:divBdr>
        <w:top w:val="none" w:sz="0" w:space="0" w:color="auto"/>
        <w:left w:val="none" w:sz="0" w:space="0" w:color="auto"/>
        <w:bottom w:val="none" w:sz="0" w:space="0" w:color="auto"/>
        <w:right w:val="none" w:sz="0" w:space="0" w:color="auto"/>
      </w:divBdr>
      <w:divsChild>
        <w:div w:id="1530951272">
          <w:marLeft w:val="0"/>
          <w:marRight w:val="0"/>
          <w:marTop w:val="0"/>
          <w:marBottom w:val="0"/>
          <w:divBdr>
            <w:top w:val="none" w:sz="0" w:space="0" w:color="auto"/>
            <w:left w:val="none" w:sz="0" w:space="0" w:color="auto"/>
            <w:bottom w:val="none" w:sz="0" w:space="0" w:color="auto"/>
            <w:right w:val="none" w:sz="0" w:space="0" w:color="auto"/>
          </w:divBdr>
        </w:div>
        <w:div w:id="1606883635">
          <w:marLeft w:val="0"/>
          <w:marRight w:val="0"/>
          <w:marTop w:val="0"/>
          <w:marBottom w:val="0"/>
          <w:divBdr>
            <w:top w:val="none" w:sz="0" w:space="0" w:color="auto"/>
            <w:left w:val="none" w:sz="0" w:space="0" w:color="auto"/>
            <w:bottom w:val="none" w:sz="0" w:space="0" w:color="auto"/>
            <w:right w:val="none" w:sz="0" w:space="0" w:color="auto"/>
          </w:divBdr>
        </w:div>
        <w:div w:id="1723282836">
          <w:marLeft w:val="0"/>
          <w:marRight w:val="0"/>
          <w:marTop w:val="0"/>
          <w:marBottom w:val="0"/>
          <w:divBdr>
            <w:top w:val="none" w:sz="0" w:space="0" w:color="auto"/>
            <w:left w:val="none" w:sz="0" w:space="0" w:color="auto"/>
            <w:bottom w:val="none" w:sz="0" w:space="0" w:color="auto"/>
            <w:right w:val="none" w:sz="0" w:space="0" w:color="auto"/>
          </w:divBdr>
          <w:divsChild>
            <w:div w:id="582182313">
              <w:marLeft w:val="0"/>
              <w:marRight w:val="0"/>
              <w:marTop w:val="0"/>
              <w:marBottom w:val="0"/>
              <w:divBdr>
                <w:top w:val="none" w:sz="0" w:space="0" w:color="auto"/>
                <w:left w:val="none" w:sz="0" w:space="0" w:color="auto"/>
                <w:bottom w:val="none" w:sz="0" w:space="0" w:color="auto"/>
                <w:right w:val="none" w:sz="0" w:space="0" w:color="auto"/>
              </w:divBdr>
            </w:div>
            <w:div w:id="655377344">
              <w:marLeft w:val="0"/>
              <w:marRight w:val="0"/>
              <w:marTop w:val="0"/>
              <w:marBottom w:val="0"/>
              <w:divBdr>
                <w:top w:val="none" w:sz="0" w:space="0" w:color="auto"/>
                <w:left w:val="none" w:sz="0" w:space="0" w:color="auto"/>
                <w:bottom w:val="none" w:sz="0" w:space="0" w:color="auto"/>
                <w:right w:val="none" w:sz="0" w:space="0" w:color="auto"/>
              </w:divBdr>
            </w:div>
            <w:div w:id="1302812706">
              <w:marLeft w:val="0"/>
              <w:marRight w:val="0"/>
              <w:marTop w:val="0"/>
              <w:marBottom w:val="0"/>
              <w:divBdr>
                <w:top w:val="none" w:sz="0" w:space="0" w:color="auto"/>
                <w:left w:val="none" w:sz="0" w:space="0" w:color="auto"/>
                <w:bottom w:val="none" w:sz="0" w:space="0" w:color="auto"/>
                <w:right w:val="none" w:sz="0" w:space="0" w:color="auto"/>
              </w:divBdr>
            </w:div>
            <w:div w:id="1513180082">
              <w:marLeft w:val="0"/>
              <w:marRight w:val="0"/>
              <w:marTop w:val="0"/>
              <w:marBottom w:val="0"/>
              <w:divBdr>
                <w:top w:val="none" w:sz="0" w:space="0" w:color="auto"/>
                <w:left w:val="none" w:sz="0" w:space="0" w:color="auto"/>
                <w:bottom w:val="none" w:sz="0" w:space="0" w:color="auto"/>
                <w:right w:val="none" w:sz="0" w:space="0" w:color="auto"/>
              </w:divBdr>
              <w:divsChild>
                <w:div w:id="3410912">
                  <w:marLeft w:val="0"/>
                  <w:marRight w:val="0"/>
                  <w:marTop w:val="0"/>
                  <w:marBottom w:val="0"/>
                  <w:divBdr>
                    <w:top w:val="none" w:sz="0" w:space="0" w:color="auto"/>
                    <w:left w:val="none" w:sz="0" w:space="0" w:color="auto"/>
                    <w:bottom w:val="none" w:sz="0" w:space="0" w:color="auto"/>
                    <w:right w:val="none" w:sz="0" w:space="0" w:color="auto"/>
                  </w:divBdr>
                </w:div>
                <w:div w:id="1905214326">
                  <w:marLeft w:val="0"/>
                  <w:marRight w:val="0"/>
                  <w:marTop w:val="0"/>
                  <w:marBottom w:val="0"/>
                  <w:divBdr>
                    <w:top w:val="none" w:sz="0" w:space="0" w:color="auto"/>
                    <w:left w:val="none" w:sz="0" w:space="0" w:color="auto"/>
                    <w:bottom w:val="none" w:sz="0" w:space="0" w:color="auto"/>
                    <w:right w:val="none" w:sz="0" w:space="0" w:color="auto"/>
                  </w:divBdr>
                </w:div>
                <w:div w:id="1922837727">
                  <w:marLeft w:val="0"/>
                  <w:marRight w:val="0"/>
                  <w:marTop w:val="0"/>
                  <w:marBottom w:val="0"/>
                  <w:divBdr>
                    <w:top w:val="none" w:sz="0" w:space="0" w:color="auto"/>
                    <w:left w:val="none" w:sz="0" w:space="0" w:color="auto"/>
                    <w:bottom w:val="none" w:sz="0" w:space="0" w:color="auto"/>
                    <w:right w:val="none" w:sz="0" w:space="0" w:color="auto"/>
                  </w:divBdr>
                  <w:divsChild>
                    <w:div w:id="134225588">
                      <w:marLeft w:val="0"/>
                      <w:marRight w:val="0"/>
                      <w:marTop w:val="0"/>
                      <w:marBottom w:val="0"/>
                      <w:divBdr>
                        <w:top w:val="none" w:sz="0" w:space="0" w:color="auto"/>
                        <w:left w:val="none" w:sz="0" w:space="0" w:color="auto"/>
                        <w:bottom w:val="none" w:sz="0" w:space="0" w:color="auto"/>
                        <w:right w:val="none" w:sz="0" w:space="0" w:color="auto"/>
                      </w:divBdr>
                      <w:divsChild>
                        <w:div w:id="522671199">
                          <w:marLeft w:val="0"/>
                          <w:marRight w:val="0"/>
                          <w:marTop w:val="0"/>
                          <w:marBottom w:val="0"/>
                          <w:divBdr>
                            <w:top w:val="none" w:sz="0" w:space="0" w:color="auto"/>
                            <w:left w:val="none" w:sz="0" w:space="0" w:color="auto"/>
                            <w:bottom w:val="none" w:sz="0" w:space="0" w:color="auto"/>
                            <w:right w:val="none" w:sz="0" w:space="0" w:color="auto"/>
                          </w:divBdr>
                        </w:div>
                        <w:div w:id="739909896">
                          <w:marLeft w:val="0"/>
                          <w:marRight w:val="0"/>
                          <w:marTop w:val="0"/>
                          <w:marBottom w:val="0"/>
                          <w:divBdr>
                            <w:top w:val="none" w:sz="0" w:space="0" w:color="auto"/>
                            <w:left w:val="none" w:sz="0" w:space="0" w:color="auto"/>
                            <w:bottom w:val="none" w:sz="0" w:space="0" w:color="auto"/>
                            <w:right w:val="none" w:sz="0" w:space="0" w:color="auto"/>
                          </w:divBdr>
                          <w:divsChild>
                            <w:div w:id="407003746">
                              <w:marLeft w:val="0"/>
                              <w:marRight w:val="0"/>
                              <w:marTop w:val="0"/>
                              <w:marBottom w:val="0"/>
                              <w:divBdr>
                                <w:top w:val="none" w:sz="0" w:space="0" w:color="auto"/>
                                <w:left w:val="none" w:sz="0" w:space="0" w:color="auto"/>
                                <w:bottom w:val="none" w:sz="0" w:space="0" w:color="auto"/>
                                <w:right w:val="none" w:sz="0" w:space="0" w:color="auto"/>
                              </w:divBdr>
                            </w:div>
                            <w:div w:id="1140729111">
                              <w:marLeft w:val="0"/>
                              <w:marRight w:val="0"/>
                              <w:marTop w:val="0"/>
                              <w:marBottom w:val="0"/>
                              <w:divBdr>
                                <w:top w:val="none" w:sz="0" w:space="0" w:color="auto"/>
                                <w:left w:val="none" w:sz="0" w:space="0" w:color="auto"/>
                                <w:bottom w:val="none" w:sz="0" w:space="0" w:color="auto"/>
                                <w:right w:val="none" w:sz="0" w:space="0" w:color="auto"/>
                              </w:divBdr>
                            </w:div>
                            <w:div w:id="1180124012">
                              <w:marLeft w:val="0"/>
                              <w:marRight w:val="0"/>
                              <w:marTop w:val="0"/>
                              <w:marBottom w:val="0"/>
                              <w:divBdr>
                                <w:top w:val="none" w:sz="0" w:space="0" w:color="auto"/>
                                <w:left w:val="none" w:sz="0" w:space="0" w:color="auto"/>
                                <w:bottom w:val="none" w:sz="0" w:space="0" w:color="auto"/>
                                <w:right w:val="none" w:sz="0" w:space="0" w:color="auto"/>
                              </w:divBdr>
                            </w:div>
                            <w:div w:id="1468235395">
                              <w:marLeft w:val="0"/>
                              <w:marRight w:val="0"/>
                              <w:marTop w:val="0"/>
                              <w:marBottom w:val="0"/>
                              <w:divBdr>
                                <w:top w:val="none" w:sz="0" w:space="0" w:color="auto"/>
                                <w:left w:val="none" w:sz="0" w:space="0" w:color="auto"/>
                                <w:bottom w:val="none" w:sz="0" w:space="0" w:color="auto"/>
                                <w:right w:val="none" w:sz="0" w:space="0" w:color="auto"/>
                              </w:divBdr>
                              <w:divsChild>
                                <w:div w:id="669760">
                                  <w:marLeft w:val="0"/>
                                  <w:marRight w:val="0"/>
                                  <w:marTop w:val="0"/>
                                  <w:marBottom w:val="0"/>
                                  <w:divBdr>
                                    <w:top w:val="none" w:sz="0" w:space="0" w:color="auto"/>
                                    <w:left w:val="none" w:sz="0" w:space="0" w:color="auto"/>
                                    <w:bottom w:val="none" w:sz="0" w:space="0" w:color="auto"/>
                                    <w:right w:val="none" w:sz="0" w:space="0" w:color="auto"/>
                                  </w:divBdr>
                                </w:div>
                                <w:div w:id="124663905">
                                  <w:marLeft w:val="0"/>
                                  <w:marRight w:val="0"/>
                                  <w:marTop w:val="0"/>
                                  <w:marBottom w:val="0"/>
                                  <w:divBdr>
                                    <w:top w:val="none" w:sz="0" w:space="0" w:color="auto"/>
                                    <w:left w:val="none" w:sz="0" w:space="0" w:color="auto"/>
                                    <w:bottom w:val="none" w:sz="0" w:space="0" w:color="auto"/>
                                    <w:right w:val="none" w:sz="0" w:space="0" w:color="auto"/>
                                  </w:divBdr>
                                </w:div>
                                <w:div w:id="687214378">
                                  <w:marLeft w:val="0"/>
                                  <w:marRight w:val="0"/>
                                  <w:marTop w:val="0"/>
                                  <w:marBottom w:val="0"/>
                                  <w:divBdr>
                                    <w:top w:val="none" w:sz="0" w:space="0" w:color="auto"/>
                                    <w:left w:val="none" w:sz="0" w:space="0" w:color="auto"/>
                                    <w:bottom w:val="none" w:sz="0" w:space="0" w:color="auto"/>
                                    <w:right w:val="none" w:sz="0" w:space="0" w:color="auto"/>
                                  </w:divBdr>
                                  <w:divsChild>
                                    <w:div w:id="824902003">
                                      <w:marLeft w:val="0"/>
                                      <w:marRight w:val="0"/>
                                      <w:marTop w:val="0"/>
                                      <w:marBottom w:val="0"/>
                                      <w:divBdr>
                                        <w:top w:val="none" w:sz="0" w:space="0" w:color="auto"/>
                                        <w:left w:val="none" w:sz="0" w:space="0" w:color="auto"/>
                                        <w:bottom w:val="none" w:sz="0" w:space="0" w:color="auto"/>
                                        <w:right w:val="none" w:sz="0" w:space="0" w:color="auto"/>
                                      </w:divBdr>
                                    </w:div>
                                    <w:div w:id="1168520413">
                                      <w:marLeft w:val="0"/>
                                      <w:marRight w:val="0"/>
                                      <w:marTop w:val="0"/>
                                      <w:marBottom w:val="0"/>
                                      <w:divBdr>
                                        <w:top w:val="none" w:sz="0" w:space="0" w:color="auto"/>
                                        <w:left w:val="none" w:sz="0" w:space="0" w:color="auto"/>
                                        <w:bottom w:val="none" w:sz="0" w:space="0" w:color="auto"/>
                                        <w:right w:val="none" w:sz="0" w:space="0" w:color="auto"/>
                                      </w:divBdr>
                                    </w:div>
                                    <w:div w:id="1565526094">
                                      <w:marLeft w:val="0"/>
                                      <w:marRight w:val="0"/>
                                      <w:marTop w:val="0"/>
                                      <w:marBottom w:val="0"/>
                                      <w:divBdr>
                                        <w:top w:val="none" w:sz="0" w:space="0" w:color="auto"/>
                                        <w:left w:val="none" w:sz="0" w:space="0" w:color="auto"/>
                                        <w:bottom w:val="none" w:sz="0" w:space="0" w:color="auto"/>
                                        <w:right w:val="none" w:sz="0" w:space="0" w:color="auto"/>
                                      </w:divBdr>
                                    </w:div>
                                    <w:div w:id="1856532202">
                                      <w:marLeft w:val="0"/>
                                      <w:marRight w:val="0"/>
                                      <w:marTop w:val="0"/>
                                      <w:marBottom w:val="0"/>
                                      <w:divBdr>
                                        <w:top w:val="none" w:sz="0" w:space="0" w:color="auto"/>
                                        <w:left w:val="none" w:sz="0" w:space="0" w:color="auto"/>
                                        <w:bottom w:val="none" w:sz="0" w:space="0" w:color="auto"/>
                                        <w:right w:val="none" w:sz="0" w:space="0" w:color="auto"/>
                                      </w:divBdr>
                                      <w:divsChild>
                                        <w:div w:id="673268357">
                                          <w:marLeft w:val="0"/>
                                          <w:marRight w:val="0"/>
                                          <w:marTop w:val="0"/>
                                          <w:marBottom w:val="0"/>
                                          <w:divBdr>
                                            <w:top w:val="none" w:sz="0" w:space="0" w:color="auto"/>
                                            <w:left w:val="none" w:sz="0" w:space="0" w:color="auto"/>
                                            <w:bottom w:val="none" w:sz="0" w:space="0" w:color="auto"/>
                                            <w:right w:val="none" w:sz="0" w:space="0" w:color="auto"/>
                                          </w:divBdr>
                                        </w:div>
                                        <w:div w:id="1040589853">
                                          <w:marLeft w:val="0"/>
                                          <w:marRight w:val="0"/>
                                          <w:marTop w:val="0"/>
                                          <w:marBottom w:val="0"/>
                                          <w:divBdr>
                                            <w:top w:val="none" w:sz="0" w:space="0" w:color="auto"/>
                                            <w:left w:val="none" w:sz="0" w:space="0" w:color="auto"/>
                                            <w:bottom w:val="none" w:sz="0" w:space="0" w:color="auto"/>
                                            <w:right w:val="none" w:sz="0" w:space="0" w:color="auto"/>
                                          </w:divBdr>
                                        </w:div>
                                        <w:div w:id="1708526089">
                                          <w:marLeft w:val="0"/>
                                          <w:marRight w:val="0"/>
                                          <w:marTop w:val="0"/>
                                          <w:marBottom w:val="0"/>
                                          <w:divBdr>
                                            <w:top w:val="none" w:sz="0" w:space="0" w:color="auto"/>
                                            <w:left w:val="none" w:sz="0" w:space="0" w:color="auto"/>
                                            <w:bottom w:val="none" w:sz="0" w:space="0" w:color="auto"/>
                                            <w:right w:val="none" w:sz="0" w:space="0" w:color="auto"/>
                                          </w:divBdr>
                                          <w:divsChild>
                                            <w:div w:id="834689768">
                                              <w:marLeft w:val="0"/>
                                              <w:marRight w:val="0"/>
                                              <w:marTop w:val="0"/>
                                              <w:marBottom w:val="0"/>
                                              <w:divBdr>
                                                <w:top w:val="none" w:sz="0" w:space="0" w:color="auto"/>
                                                <w:left w:val="none" w:sz="0" w:space="0" w:color="auto"/>
                                                <w:bottom w:val="none" w:sz="0" w:space="0" w:color="auto"/>
                                                <w:right w:val="none" w:sz="0" w:space="0" w:color="auto"/>
                                              </w:divBdr>
                                            </w:div>
                                            <w:div w:id="1248493470">
                                              <w:marLeft w:val="0"/>
                                              <w:marRight w:val="0"/>
                                              <w:marTop w:val="0"/>
                                              <w:marBottom w:val="0"/>
                                              <w:divBdr>
                                                <w:top w:val="none" w:sz="0" w:space="0" w:color="auto"/>
                                                <w:left w:val="none" w:sz="0" w:space="0" w:color="auto"/>
                                                <w:bottom w:val="none" w:sz="0" w:space="0" w:color="auto"/>
                                                <w:right w:val="none" w:sz="0" w:space="0" w:color="auto"/>
                                              </w:divBdr>
                                              <w:divsChild>
                                                <w:div w:id="51004043">
                                                  <w:marLeft w:val="0"/>
                                                  <w:marRight w:val="0"/>
                                                  <w:marTop w:val="0"/>
                                                  <w:marBottom w:val="0"/>
                                                  <w:divBdr>
                                                    <w:top w:val="none" w:sz="0" w:space="0" w:color="auto"/>
                                                    <w:left w:val="none" w:sz="0" w:space="0" w:color="auto"/>
                                                    <w:bottom w:val="none" w:sz="0" w:space="0" w:color="auto"/>
                                                    <w:right w:val="none" w:sz="0" w:space="0" w:color="auto"/>
                                                  </w:divBdr>
                                                </w:div>
                                                <w:div w:id="386730481">
                                                  <w:marLeft w:val="0"/>
                                                  <w:marRight w:val="0"/>
                                                  <w:marTop w:val="0"/>
                                                  <w:marBottom w:val="0"/>
                                                  <w:divBdr>
                                                    <w:top w:val="none" w:sz="0" w:space="0" w:color="auto"/>
                                                    <w:left w:val="none" w:sz="0" w:space="0" w:color="auto"/>
                                                    <w:bottom w:val="none" w:sz="0" w:space="0" w:color="auto"/>
                                                    <w:right w:val="none" w:sz="0" w:space="0" w:color="auto"/>
                                                  </w:divBdr>
                                                </w:div>
                                                <w:div w:id="1140997470">
                                                  <w:marLeft w:val="0"/>
                                                  <w:marRight w:val="0"/>
                                                  <w:marTop w:val="0"/>
                                                  <w:marBottom w:val="0"/>
                                                  <w:divBdr>
                                                    <w:top w:val="none" w:sz="0" w:space="0" w:color="auto"/>
                                                    <w:left w:val="none" w:sz="0" w:space="0" w:color="auto"/>
                                                    <w:bottom w:val="none" w:sz="0" w:space="0" w:color="auto"/>
                                                    <w:right w:val="none" w:sz="0" w:space="0" w:color="auto"/>
                                                  </w:divBdr>
                                                </w:div>
                                                <w:div w:id="1176461230">
                                                  <w:marLeft w:val="0"/>
                                                  <w:marRight w:val="0"/>
                                                  <w:marTop w:val="0"/>
                                                  <w:marBottom w:val="0"/>
                                                  <w:divBdr>
                                                    <w:top w:val="none" w:sz="0" w:space="0" w:color="auto"/>
                                                    <w:left w:val="none" w:sz="0" w:space="0" w:color="auto"/>
                                                    <w:bottom w:val="none" w:sz="0" w:space="0" w:color="auto"/>
                                                    <w:right w:val="none" w:sz="0" w:space="0" w:color="auto"/>
                                                  </w:divBdr>
                                                  <w:divsChild>
                                                    <w:div w:id="374426543">
                                                      <w:marLeft w:val="0"/>
                                                      <w:marRight w:val="0"/>
                                                      <w:marTop w:val="0"/>
                                                      <w:marBottom w:val="0"/>
                                                      <w:divBdr>
                                                        <w:top w:val="none" w:sz="0" w:space="0" w:color="auto"/>
                                                        <w:left w:val="none" w:sz="0" w:space="0" w:color="auto"/>
                                                        <w:bottom w:val="none" w:sz="0" w:space="0" w:color="auto"/>
                                                        <w:right w:val="none" w:sz="0" w:space="0" w:color="auto"/>
                                                      </w:divBdr>
                                                    </w:div>
                                                    <w:div w:id="603272353">
                                                      <w:marLeft w:val="0"/>
                                                      <w:marRight w:val="0"/>
                                                      <w:marTop w:val="0"/>
                                                      <w:marBottom w:val="0"/>
                                                      <w:divBdr>
                                                        <w:top w:val="none" w:sz="0" w:space="0" w:color="auto"/>
                                                        <w:left w:val="none" w:sz="0" w:space="0" w:color="auto"/>
                                                        <w:bottom w:val="none" w:sz="0" w:space="0" w:color="auto"/>
                                                        <w:right w:val="none" w:sz="0" w:space="0" w:color="auto"/>
                                                      </w:divBdr>
                                                      <w:divsChild>
                                                        <w:div w:id="471408611">
                                                          <w:marLeft w:val="0"/>
                                                          <w:marRight w:val="0"/>
                                                          <w:marTop w:val="0"/>
                                                          <w:marBottom w:val="0"/>
                                                          <w:divBdr>
                                                            <w:top w:val="none" w:sz="0" w:space="0" w:color="auto"/>
                                                            <w:left w:val="none" w:sz="0" w:space="0" w:color="auto"/>
                                                            <w:bottom w:val="none" w:sz="0" w:space="0" w:color="auto"/>
                                                            <w:right w:val="none" w:sz="0" w:space="0" w:color="auto"/>
                                                          </w:divBdr>
                                                        </w:div>
                                                        <w:div w:id="699553020">
                                                          <w:marLeft w:val="0"/>
                                                          <w:marRight w:val="0"/>
                                                          <w:marTop w:val="0"/>
                                                          <w:marBottom w:val="0"/>
                                                          <w:divBdr>
                                                            <w:top w:val="none" w:sz="0" w:space="0" w:color="auto"/>
                                                            <w:left w:val="none" w:sz="0" w:space="0" w:color="auto"/>
                                                            <w:bottom w:val="none" w:sz="0" w:space="0" w:color="auto"/>
                                                            <w:right w:val="none" w:sz="0" w:space="0" w:color="auto"/>
                                                          </w:divBdr>
                                                        </w:div>
                                                        <w:div w:id="1525972150">
                                                          <w:marLeft w:val="0"/>
                                                          <w:marRight w:val="0"/>
                                                          <w:marTop w:val="0"/>
                                                          <w:marBottom w:val="0"/>
                                                          <w:divBdr>
                                                            <w:top w:val="none" w:sz="0" w:space="0" w:color="auto"/>
                                                            <w:left w:val="none" w:sz="0" w:space="0" w:color="auto"/>
                                                            <w:bottom w:val="none" w:sz="0" w:space="0" w:color="auto"/>
                                                            <w:right w:val="none" w:sz="0" w:space="0" w:color="auto"/>
                                                          </w:divBdr>
                                                          <w:divsChild>
                                                            <w:div w:id="392316440">
                                                              <w:marLeft w:val="0"/>
                                                              <w:marRight w:val="0"/>
                                                              <w:marTop w:val="0"/>
                                                              <w:marBottom w:val="0"/>
                                                              <w:divBdr>
                                                                <w:top w:val="none" w:sz="0" w:space="0" w:color="auto"/>
                                                                <w:left w:val="none" w:sz="0" w:space="0" w:color="auto"/>
                                                                <w:bottom w:val="none" w:sz="0" w:space="0" w:color="auto"/>
                                                                <w:right w:val="none" w:sz="0" w:space="0" w:color="auto"/>
                                                              </w:divBdr>
                                                            </w:div>
                                                            <w:div w:id="447890970">
                                                              <w:marLeft w:val="0"/>
                                                              <w:marRight w:val="0"/>
                                                              <w:marTop w:val="0"/>
                                                              <w:marBottom w:val="0"/>
                                                              <w:divBdr>
                                                                <w:top w:val="none" w:sz="0" w:space="0" w:color="auto"/>
                                                                <w:left w:val="none" w:sz="0" w:space="0" w:color="auto"/>
                                                                <w:bottom w:val="none" w:sz="0" w:space="0" w:color="auto"/>
                                                                <w:right w:val="none" w:sz="0" w:space="0" w:color="auto"/>
                                                              </w:divBdr>
                                                            </w:div>
                                                            <w:div w:id="836918025">
                                                              <w:marLeft w:val="0"/>
                                                              <w:marRight w:val="0"/>
                                                              <w:marTop w:val="0"/>
                                                              <w:marBottom w:val="0"/>
                                                              <w:divBdr>
                                                                <w:top w:val="none" w:sz="0" w:space="0" w:color="auto"/>
                                                                <w:left w:val="none" w:sz="0" w:space="0" w:color="auto"/>
                                                                <w:bottom w:val="none" w:sz="0" w:space="0" w:color="auto"/>
                                                                <w:right w:val="none" w:sz="0" w:space="0" w:color="auto"/>
                                                              </w:divBdr>
                                                            </w:div>
                                                            <w:div w:id="1105226581">
                                                              <w:marLeft w:val="0"/>
                                                              <w:marRight w:val="0"/>
                                                              <w:marTop w:val="0"/>
                                                              <w:marBottom w:val="0"/>
                                                              <w:divBdr>
                                                                <w:top w:val="none" w:sz="0" w:space="0" w:color="auto"/>
                                                                <w:left w:val="none" w:sz="0" w:space="0" w:color="auto"/>
                                                                <w:bottom w:val="none" w:sz="0" w:space="0" w:color="auto"/>
                                                                <w:right w:val="none" w:sz="0" w:space="0" w:color="auto"/>
                                                              </w:divBdr>
                                                              <w:divsChild>
                                                                <w:div w:id="108596230">
                                                                  <w:marLeft w:val="0"/>
                                                                  <w:marRight w:val="0"/>
                                                                  <w:marTop w:val="0"/>
                                                                  <w:marBottom w:val="0"/>
                                                                  <w:divBdr>
                                                                    <w:top w:val="none" w:sz="0" w:space="0" w:color="auto"/>
                                                                    <w:left w:val="none" w:sz="0" w:space="0" w:color="auto"/>
                                                                    <w:bottom w:val="none" w:sz="0" w:space="0" w:color="auto"/>
                                                                    <w:right w:val="none" w:sz="0" w:space="0" w:color="auto"/>
                                                                  </w:divBdr>
                                                                </w:div>
                                                                <w:div w:id="162942705">
                                                                  <w:marLeft w:val="0"/>
                                                                  <w:marRight w:val="0"/>
                                                                  <w:marTop w:val="0"/>
                                                                  <w:marBottom w:val="0"/>
                                                                  <w:divBdr>
                                                                    <w:top w:val="none" w:sz="0" w:space="0" w:color="auto"/>
                                                                    <w:left w:val="none" w:sz="0" w:space="0" w:color="auto"/>
                                                                    <w:bottom w:val="none" w:sz="0" w:space="0" w:color="auto"/>
                                                                    <w:right w:val="none" w:sz="0" w:space="0" w:color="auto"/>
                                                                  </w:divBdr>
                                                                </w:div>
                                                                <w:div w:id="190267173">
                                                                  <w:marLeft w:val="0"/>
                                                                  <w:marRight w:val="0"/>
                                                                  <w:marTop w:val="0"/>
                                                                  <w:marBottom w:val="0"/>
                                                                  <w:divBdr>
                                                                    <w:top w:val="none" w:sz="0" w:space="0" w:color="auto"/>
                                                                    <w:left w:val="none" w:sz="0" w:space="0" w:color="auto"/>
                                                                    <w:bottom w:val="none" w:sz="0" w:space="0" w:color="auto"/>
                                                                    <w:right w:val="none" w:sz="0" w:space="0" w:color="auto"/>
                                                                  </w:divBdr>
                                                                </w:div>
                                                                <w:div w:id="211886650">
                                                                  <w:marLeft w:val="0"/>
                                                                  <w:marRight w:val="0"/>
                                                                  <w:marTop w:val="0"/>
                                                                  <w:marBottom w:val="0"/>
                                                                  <w:divBdr>
                                                                    <w:top w:val="none" w:sz="0" w:space="0" w:color="auto"/>
                                                                    <w:left w:val="none" w:sz="0" w:space="0" w:color="auto"/>
                                                                    <w:bottom w:val="none" w:sz="0" w:space="0" w:color="auto"/>
                                                                    <w:right w:val="none" w:sz="0" w:space="0" w:color="auto"/>
                                                                  </w:divBdr>
                                                                </w:div>
                                                                <w:div w:id="217013494">
                                                                  <w:marLeft w:val="0"/>
                                                                  <w:marRight w:val="0"/>
                                                                  <w:marTop w:val="0"/>
                                                                  <w:marBottom w:val="0"/>
                                                                  <w:divBdr>
                                                                    <w:top w:val="none" w:sz="0" w:space="0" w:color="auto"/>
                                                                    <w:left w:val="none" w:sz="0" w:space="0" w:color="auto"/>
                                                                    <w:bottom w:val="none" w:sz="0" w:space="0" w:color="auto"/>
                                                                    <w:right w:val="none" w:sz="0" w:space="0" w:color="auto"/>
                                                                  </w:divBdr>
                                                                </w:div>
                                                                <w:div w:id="340476762">
                                                                  <w:marLeft w:val="0"/>
                                                                  <w:marRight w:val="0"/>
                                                                  <w:marTop w:val="0"/>
                                                                  <w:marBottom w:val="0"/>
                                                                  <w:divBdr>
                                                                    <w:top w:val="none" w:sz="0" w:space="0" w:color="auto"/>
                                                                    <w:left w:val="none" w:sz="0" w:space="0" w:color="auto"/>
                                                                    <w:bottom w:val="none" w:sz="0" w:space="0" w:color="auto"/>
                                                                    <w:right w:val="none" w:sz="0" w:space="0" w:color="auto"/>
                                                                  </w:divBdr>
                                                                </w:div>
                                                                <w:div w:id="415708568">
                                                                  <w:marLeft w:val="0"/>
                                                                  <w:marRight w:val="0"/>
                                                                  <w:marTop w:val="0"/>
                                                                  <w:marBottom w:val="0"/>
                                                                  <w:divBdr>
                                                                    <w:top w:val="none" w:sz="0" w:space="0" w:color="auto"/>
                                                                    <w:left w:val="none" w:sz="0" w:space="0" w:color="auto"/>
                                                                    <w:bottom w:val="none" w:sz="0" w:space="0" w:color="auto"/>
                                                                    <w:right w:val="none" w:sz="0" w:space="0" w:color="auto"/>
                                                                  </w:divBdr>
                                                                </w:div>
                                                                <w:div w:id="416293457">
                                                                  <w:marLeft w:val="0"/>
                                                                  <w:marRight w:val="0"/>
                                                                  <w:marTop w:val="0"/>
                                                                  <w:marBottom w:val="0"/>
                                                                  <w:divBdr>
                                                                    <w:top w:val="none" w:sz="0" w:space="0" w:color="auto"/>
                                                                    <w:left w:val="none" w:sz="0" w:space="0" w:color="auto"/>
                                                                    <w:bottom w:val="none" w:sz="0" w:space="0" w:color="auto"/>
                                                                    <w:right w:val="none" w:sz="0" w:space="0" w:color="auto"/>
                                                                  </w:divBdr>
                                                                </w:div>
                                                                <w:div w:id="423040940">
                                                                  <w:marLeft w:val="0"/>
                                                                  <w:marRight w:val="0"/>
                                                                  <w:marTop w:val="0"/>
                                                                  <w:marBottom w:val="0"/>
                                                                  <w:divBdr>
                                                                    <w:top w:val="none" w:sz="0" w:space="0" w:color="auto"/>
                                                                    <w:left w:val="none" w:sz="0" w:space="0" w:color="auto"/>
                                                                    <w:bottom w:val="none" w:sz="0" w:space="0" w:color="auto"/>
                                                                    <w:right w:val="none" w:sz="0" w:space="0" w:color="auto"/>
                                                                  </w:divBdr>
                                                                </w:div>
                                                                <w:div w:id="799882943">
                                                                  <w:marLeft w:val="0"/>
                                                                  <w:marRight w:val="0"/>
                                                                  <w:marTop w:val="0"/>
                                                                  <w:marBottom w:val="0"/>
                                                                  <w:divBdr>
                                                                    <w:top w:val="none" w:sz="0" w:space="0" w:color="auto"/>
                                                                    <w:left w:val="none" w:sz="0" w:space="0" w:color="auto"/>
                                                                    <w:bottom w:val="none" w:sz="0" w:space="0" w:color="auto"/>
                                                                    <w:right w:val="none" w:sz="0" w:space="0" w:color="auto"/>
                                                                  </w:divBdr>
                                                                </w:div>
                                                                <w:div w:id="821045389">
                                                                  <w:marLeft w:val="0"/>
                                                                  <w:marRight w:val="0"/>
                                                                  <w:marTop w:val="0"/>
                                                                  <w:marBottom w:val="0"/>
                                                                  <w:divBdr>
                                                                    <w:top w:val="none" w:sz="0" w:space="0" w:color="auto"/>
                                                                    <w:left w:val="none" w:sz="0" w:space="0" w:color="auto"/>
                                                                    <w:bottom w:val="none" w:sz="0" w:space="0" w:color="auto"/>
                                                                    <w:right w:val="none" w:sz="0" w:space="0" w:color="auto"/>
                                                                  </w:divBdr>
                                                                </w:div>
                                                                <w:div w:id="821166704">
                                                                  <w:marLeft w:val="0"/>
                                                                  <w:marRight w:val="0"/>
                                                                  <w:marTop w:val="0"/>
                                                                  <w:marBottom w:val="0"/>
                                                                  <w:divBdr>
                                                                    <w:top w:val="none" w:sz="0" w:space="0" w:color="auto"/>
                                                                    <w:left w:val="none" w:sz="0" w:space="0" w:color="auto"/>
                                                                    <w:bottom w:val="none" w:sz="0" w:space="0" w:color="auto"/>
                                                                    <w:right w:val="none" w:sz="0" w:space="0" w:color="auto"/>
                                                                  </w:divBdr>
                                                                </w:div>
                                                                <w:div w:id="848058724">
                                                                  <w:marLeft w:val="0"/>
                                                                  <w:marRight w:val="0"/>
                                                                  <w:marTop w:val="0"/>
                                                                  <w:marBottom w:val="0"/>
                                                                  <w:divBdr>
                                                                    <w:top w:val="none" w:sz="0" w:space="0" w:color="auto"/>
                                                                    <w:left w:val="none" w:sz="0" w:space="0" w:color="auto"/>
                                                                    <w:bottom w:val="none" w:sz="0" w:space="0" w:color="auto"/>
                                                                    <w:right w:val="none" w:sz="0" w:space="0" w:color="auto"/>
                                                                  </w:divBdr>
                                                                </w:div>
                                                                <w:div w:id="910043290">
                                                                  <w:marLeft w:val="0"/>
                                                                  <w:marRight w:val="0"/>
                                                                  <w:marTop w:val="0"/>
                                                                  <w:marBottom w:val="0"/>
                                                                  <w:divBdr>
                                                                    <w:top w:val="none" w:sz="0" w:space="0" w:color="auto"/>
                                                                    <w:left w:val="none" w:sz="0" w:space="0" w:color="auto"/>
                                                                    <w:bottom w:val="none" w:sz="0" w:space="0" w:color="auto"/>
                                                                    <w:right w:val="none" w:sz="0" w:space="0" w:color="auto"/>
                                                                  </w:divBdr>
                                                                </w:div>
                                                                <w:div w:id="1023241783">
                                                                  <w:marLeft w:val="0"/>
                                                                  <w:marRight w:val="0"/>
                                                                  <w:marTop w:val="0"/>
                                                                  <w:marBottom w:val="0"/>
                                                                  <w:divBdr>
                                                                    <w:top w:val="none" w:sz="0" w:space="0" w:color="auto"/>
                                                                    <w:left w:val="none" w:sz="0" w:space="0" w:color="auto"/>
                                                                    <w:bottom w:val="none" w:sz="0" w:space="0" w:color="auto"/>
                                                                    <w:right w:val="none" w:sz="0" w:space="0" w:color="auto"/>
                                                                  </w:divBdr>
                                                                </w:div>
                                                                <w:div w:id="1031340144">
                                                                  <w:marLeft w:val="0"/>
                                                                  <w:marRight w:val="0"/>
                                                                  <w:marTop w:val="0"/>
                                                                  <w:marBottom w:val="0"/>
                                                                  <w:divBdr>
                                                                    <w:top w:val="none" w:sz="0" w:space="0" w:color="auto"/>
                                                                    <w:left w:val="none" w:sz="0" w:space="0" w:color="auto"/>
                                                                    <w:bottom w:val="none" w:sz="0" w:space="0" w:color="auto"/>
                                                                    <w:right w:val="none" w:sz="0" w:space="0" w:color="auto"/>
                                                                  </w:divBdr>
                                                                </w:div>
                                                                <w:div w:id="1050416828">
                                                                  <w:marLeft w:val="0"/>
                                                                  <w:marRight w:val="0"/>
                                                                  <w:marTop w:val="0"/>
                                                                  <w:marBottom w:val="0"/>
                                                                  <w:divBdr>
                                                                    <w:top w:val="none" w:sz="0" w:space="0" w:color="auto"/>
                                                                    <w:left w:val="none" w:sz="0" w:space="0" w:color="auto"/>
                                                                    <w:bottom w:val="none" w:sz="0" w:space="0" w:color="auto"/>
                                                                    <w:right w:val="none" w:sz="0" w:space="0" w:color="auto"/>
                                                                  </w:divBdr>
                                                                </w:div>
                                                                <w:div w:id="1137842671">
                                                                  <w:marLeft w:val="0"/>
                                                                  <w:marRight w:val="0"/>
                                                                  <w:marTop w:val="0"/>
                                                                  <w:marBottom w:val="0"/>
                                                                  <w:divBdr>
                                                                    <w:top w:val="none" w:sz="0" w:space="0" w:color="auto"/>
                                                                    <w:left w:val="none" w:sz="0" w:space="0" w:color="auto"/>
                                                                    <w:bottom w:val="none" w:sz="0" w:space="0" w:color="auto"/>
                                                                    <w:right w:val="none" w:sz="0" w:space="0" w:color="auto"/>
                                                                  </w:divBdr>
                                                                </w:div>
                                                                <w:div w:id="1338998104">
                                                                  <w:marLeft w:val="0"/>
                                                                  <w:marRight w:val="0"/>
                                                                  <w:marTop w:val="0"/>
                                                                  <w:marBottom w:val="0"/>
                                                                  <w:divBdr>
                                                                    <w:top w:val="none" w:sz="0" w:space="0" w:color="auto"/>
                                                                    <w:left w:val="none" w:sz="0" w:space="0" w:color="auto"/>
                                                                    <w:bottom w:val="none" w:sz="0" w:space="0" w:color="auto"/>
                                                                    <w:right w:val="none" w:sz="0" w:space="0" w:color="auto"/>
                                                                  </w:divBdr>
                                                                </w:div>
                                                                <w:div w:id="1367023891">
                                                                  <w:marLeft w:val="0"/>
                                                                  <w:marRight w:val="0"/>
                                                                  <w:marTop w:val="0"/>
                                                                  <w:marBottom w:val="0"/>
                                                                  <w:divBdr>
                                                                    <w:top w:val="none" w:sz="0" w:space="0" w:color="auto"/>
                                                                    <w:left w:val="none" w:sz="0" w:space="0" w:color="auto"/>
                                                                    <w:bottom w:val="none" w:sz="0" w:space="0" w:color="auto"/>
                                                                    <w:right w:val="none" w:sz="0" w:space="0" w:color="auto"/>
                                                                  </w:divBdr>
                                                                </w:div>
                                                                <w:div w:id="1403869025">
                                                                  <w:marLeft w:val="0"/>
                                                                  <w:marRight w:val="0"/>
                                                                  <w:marTop w:val="0"/>
                                                                  <w:marBottom w:val="0"/>
                                                                  <w:divBdr>
                                                                    <w:top w:val="none" w:sz="0" w:space="0" w:color="auto"/>
                                                                    <w:left w:val="none" w:sz="0" w:space="0" w:color="auto"/>
                                                                    <w:bottom w:val="none" w:sz="0" w:space="0" w:color="auto"/>
                                                                    <w:right w:val="none" w:sz="0" w:space="0" w:color="auto"/>
                                                                  </w:divBdr>
                                                                </w:div>
                                                                <w:div w:id="1489010298">
                                                                  <w:marLeft w:val="0"/>
                                                                  <w:marRight w:val="0"/>
                                                                  <w:marTop w:val="0"/>
                                                                  <w:marBottom w:val="0"/>
                                                                  <w:divBdr>
                                                                    <w:top w:val="none" w:sz="0" w:space="0" w:color="auto"/>
                                                                    <w:left w:val="none" w:sz="0" w:space="0" w:color="auto"/>
                                                                    <w:bottom w:val="none" w:sz="0" w:space="0" w:color="auto"/>
                                                                    <w:right w:val="none" w:sz="0" w:space="0" w:color="auto"/>
                                                                  </w:divBdr>
                                                                </w:div>
                                                                <w:div w:id="1735932501">
                                                                  <w:marLeft w:val="0"/>
                                                                  <w:marRight w:val="0"/>
                                                                  <w:marTop w:val="0"/>
                                                                  <w:marBottom w:val="0"/>
                                                                  <w:divBdr>
                                                                    <w:top w:val="none" w:sz="0" w:space="0" w:color="auto"/>
                                                                    <w:left w:val="none" w:sz="0" w:space="0" w:color="auto"/>
                                                                    <w:bottom w:val="none" w:sz="0" w:space="0" w:color="auto"/>
                                                                    <w:right w:val="none" w:sz="0" w:space="0" w:color="auto"/>
                                                                  </w:divBdr>
                                                                </w:div>
                                                                <w:div w:id="1740908728">
                                                                  <w:marLeft w:val="0"/>
                                                                  <w:marRight w:val="0"/>
                                                                  <w:marTop w:val="0"/>
                                                                  <w:marBottom w:val="0"/>
                                                                  <w:divBdr>
                                                                    <w:top w:val="none" w:sz="0" w:space="0" w:color="auto"/>
                                                                    <w:left w:val="none" w:sz="0" w:space="0" w:color="auto"/>
                                                                    <w:bottom w:val="none" w:sz="0" w:space="0" w:color="auto"/>
                                                                    <w:right w:val="none" w:sz="0" w:space="0" w:color="auto"/>
                                                                  </w:divBdr>
                                                                </w:div>
                                                                <w:div w:id="1800877958">
                                                                  <w:marLeft w:val="0"/>
                                                                  <w:marRight w:val="0"/>
                                                                  <w:marTop w:val="0"/>
                                                                  <w:marBottom w:val="0"/>
                                                                  <w:divBdr>
                                                                    <w:top w:val="none" w:sz="0" w:space="0" w:color="auto"/>
                                                                    <w:left w:val="none" w:sz="0" w:space="0" w:color="auto"/>
                                                                    <w:bottom w:val="none" w:sz="0" w:space="0" w:color="auto"/>
                                                                    <w:right w:val="none" w:sz="0" w:space="0" w:color="auto"/>
                                                                  </w:divBdr>
                                                                </w:div>
                                                                <w:div w:id="1867211136">
                                                                  <w:marLeft w:val="0"/>
                                                                  <w:marRight w:val="0"/>
                                                                  <w:marTop w:val="0"/>
                                                                  <w:marBottom w:val="0"/>
                                                                  <w:divBdr>
                                                                    <w:top w:val="none" w:sz="0" w:space="0" w:color="auto"/>
                                                                    <w:left w:val="none" w:sz="0" w:space="0" w:color="auto"/>
                                                                    <w:bottom w:val="none" w:sz="0" w:space="0" w:color="auto"/>
                                                                    <w:right w:val="none" w:sz="0" w:space="0" w:color="auto"/>
                                                                  </w:divBdr>
                                                                </w:div>
                                                                <w:div w:id="1996570454">
                                                                  <w:marLeft w:val="0"/>
                                                                  <w:marRight w:val="0"/>
                                                                  <w:marTop w:val="0"/>
                                                                  <w:marBottom w:val="0"/>
                                                                  <w:divBdr>
                                                                    <w:top w:val="none" w:sz="0" w:space="0" w:color="auto"/>
                                                                    <w:left w:val="none" w:sz="0" w:space="0" w:color="auto"/>
                                                                    <w:bottom w:val="none" w:sz="0" w:space="0" w:color="auto"/>
                                                                    <w:right w:val="none" w:sz="0" w:space="0" w:color="auto"/>
                                                                  </w:divBdr>
                                                                </w:div>
                                                                <w:div w:id="2008828090">
                                                                  <w:marLeft w:val="0"/>
                                                                  <w:marRight w:val="0"/>
                                                                  <w:marTop w:val="0"/>
                                                                  <w:marBottom w:val="0"/>
                                                                  <w:divBdr>
                                                                    <w:top w:val="none" w:sz="0" w:space="0" w:color="auto"/>
                                                                    <w:left w:val="none" w:sz="0" w:space="0" w:color="auto"/>
                                                                    <w:bottom w:val="none" w:sz="0" w:space="0" w:color="auto"/>
                                                                    <w:right w:val="none" w:sz="0" w:space="0" w:color="auto"/>
                                                                  </w:divBdr>
                                                                </w:div>
                                                                <w:div w:id="2075741763">
                                                                  <w:marLeft w:val="0"/>
                                                                  <w:marRight w:val="0"/>
                                                                  <w:marTop w:val="0"/>
                                                                  <w:marBottom w:val="0"/>
                                                                  <w:divBdr>
                                                                    <w:top w:val="none" w:sz="0" w:space="0" w:color="auto"/>
                                                                    <w:left w:val="none" w:sz="0" w:space="0" w:color="auto"/>
                                                                    <w:bottom w:val="none" w:sz="0" w:space="0" w:color="auto"/>
                                                                    <w:right w:val="none" w:sz="0" w:space="0" w:color="auto"/>
                                                                  </w:divBdr>
                                                                </w:div>
                                                                <w:div w:id="2081439536">
                                                                  <w:marLeft w:val="0"/>
                                                                  <w:marRight w:val="0"/>
                                                                  <w:marTop w:val="0"/>
                                                                  <w:marBottom w:val="0"/>
                                                                  <w:divBdr>
                                                                    <w:top w:val="none" w:sz="0" w:space="0" w:color="auto"/>
                                                                    <w:left w:val="none" w:sz="0" w:space="0" w:color="auto"/>
                                                                    <w:bottom w:val="none" w:sz="0" w:space="0" w:color="auto"/>
                                                                    <w:right w:val="none" w:sz="0" w:space="0" w:color="auto"/>
                                                                  </w:divBdr>
                                                                </w:div>
                                                                <w:div w:id="2126851038">
                                                                  <w:marLeft w:val="0"/>
                                                                  <w:marRight w:val="0"/>
                                                                  <w:marTop w:val="0"/>
                                                                  <w:marBottom w:val="0"/>
                                                                  <w:divBdr>
                                                                    <w:top w:val="none" w:sz="0" w:space="0" w:color="auto"/>
                                                                    <w:left w:val="none" w:sz="0" w:space="0" w:color="auto"/>
                                                                    <w:bottom w:val="none" w:sz="0" w:space="0" w:color="auto"/>
                                                                    <w:right w:val="none" w:sz="0" w:space="0" w:color="auto"/>
                                                                  </w:divBdr>
                                                                </w:div>
                                                                <w:div w:id="2135949703">
                                                                  <w:marLeft w:val="0"/>
                                                                  <w:marRight w:val="0"/>
                                                                  <w:marTop w:val="0"/>
                                                                  <w:marBottom w:val="0"/>
                                                                  <w:divBdr>
                                                                    <w:top w:val="none" w:sz="0" w:space="0" w:color="auto"/>
                                                                    <w:left w:val="none" w:sz="0" w:space="0" w:color="auto"/>
                                                                    <w:bottom w:val="none" w:sz="0" w:space="0" w:color="auto"/>
                                                                    <w:right w:val="none" w:sz="0" w:space="0" w:color="auto"/>
                                                                  </w:divBdr>
                                                                </w:div>
                                                                <w:div w:id="2142259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653133">
                                                          <w:marLeft w:val="0"/>
                                                          <w:marRight w:val="0"/>
                                                          <w:marTop w:val="0"/>
                                                          <w:marBottom w:val="0"/>
                                                          <w:divBdr>
                                                            <w:top w:val="none" w:sz="0" w:space="0" w:color="auto"/>
                                                            <w:left w:val="none" w:sz="0" w:space="0" w:color="auto"/>
                                                            <w:bottom w:val="none" w:sz="0" w:space="0" w:color="auto"/>
                                                            <w:right w:val="none" w:sz="0" w:space="0" w:color="auto"/>
                                                          </w:divBdr>
                                                        </w:div>
                                                      </w:divsChild>
                                                    </w:div>
                                                    <w:div w:id="1531072362">
                                                      <w:marLeft w:val="0"/>
                                                      <w:marRight w:val="0"/>
                                                      <w:marTop w:val="0"/>
                                                      <w:marBottom w:val="0"/>
                                                      <w:divBdr>
                                                        <w:top w:val="none" w:sz="0" w:space="0" w:color="auto"/>
                                                        <w:left w:val="none" w:sz="0" w:space="0" w:color="auto"/>
                                                        <w:bottom w:val="none" w:sz="0" w:space="0" w:color="auto"/>
                                                        <w:right w:val="none" w:sz="0" w:space="0" w:color="auto"/>
                                                      </w:divBdr>
                                                    </w:div>
                                                    <w:div w:id="193038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320895">
                                              <w:marLeft w:val="0"/>
                                              <w:marRight w:val="0"/>
                                              <w:marTop w:val="0"/>
                                              <w:marBottom w:val="0"/>
                                              <w:divBdr>
                                                <w:top w:val="none" w:sz="0" w:space="0" w:color="auto"/>
                                                <w:left w:val="none" w:sz="0" w:space="0" w:color="auto"/>
                                                <w:bottom w:val="none" w:sz="0" w:space="0" w:color="auto"/>
                                                <w:right w:val="none" w:sz="0" w:space="0" w:color="auto"/>
                                              </w:divBdr>
                                            </w:div>
                                            <w:div w:id="1701317815">
                                              <w:marLeft w:val="0"/>
                                              <w:marRight w:val="0"/>
                                              <w:marTop w:val="0"/>
                                              <w:marBottom w:val="0"/>
                                              <w:divBdr>
                                                <w:top w:val="none" w:sz="0" w:space="0" w:color="auto"/>
                                                <w:left w:val="none" w:sz="0" w:space="0" w:color="auto"/>
                                                <w:bottom w:val="none" w:sz="0" w:space="0" w:color="auto"/>
                                                <w:right w:val="none" w:sz="0" w:space="0" w:color="auto"/>
                                              </w:divBdr>
                                            </w:div>
                                          </w:divsChild>
                                        </w:div>
                                        <w:div w:id="181829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1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917069">
                          <w:marLeft w:val="0"/>
                          <w:marRight w:val="0"/>
                          <w:marTop w:val="0"/>
                          <w:marBottom w:val="0"/>
                          <w:divBdr>
                            <w:top w:val="none" w:sz="0" w:space="0" w:color="auto"/>
                            <w:left w:val="none" w:sz="0" w:space="0" w:color="auto"/>
                            <w:bottom w:val="none" w:sz="0" w:space="0" w:color="auto"/>
                            <w:right w:val="none" w:sz="0" w:space="0" w:color="auto"/>
                          </w:divBdr>
                        </w:div>
                        <w:div w:id="1259755889">
                          <w:marLeft w:val="0"/>
                          <w:marRight w:val="0"/>
                          <w:marTop w:val="0"/>
                          <w:marBottom w:val="0"/>
                          <w:divBdr>
                            <w:top w:val="none" w:sz="0" w:space="0" w:color="auto"/>
                            <w:left w:val="none" w:sz="0" w:space="0" w:color="auto"/>
                            <w:bottom w:val="none" w:sz="0" w:space="0" w:color="auto"/>
                            <w:right w:val="none" w:sz="0" w:space="0" w:color="auto"/>
                          </w:divBdr>
                        </w:div>
                      </w:divsChild>
                    </w:div>
                    <w:div w:id="409352767">
                      <w:marLeft w:val="0"/>
                      <w:marRight w:val="0"/>
                      <w:marTop w:val="0"/>
                      <w:marBottom w:val="0"/>
                      <w:divBdr>
                        <w:top w:val="none" w:sz="0" w:space="0" w:color="auto"/>
                        <w:left w:val="none" w:sz="0" w:space="0" w:color="auto"/>
                        <w:bottom w:val="none" w:sz="0" w:space="0" w:color="auto"/>
                        <w:right w:val="none" w:sz="0" w:space="0" w:color="auto"/>
                      </w:divBdr>
                    </w:div>
                    <w:div w:id="1597596484">
                      <w:marLeft w:val="0"/>
                      <w:marRight w:val="0"/>
                      <w:marTop w:val="0"/>
                      <w:marBottom w:val="0"/>
                      <w:divBdr>
                        <w:top w:val="none" w:sz="0" w:space="0" w:color="auto"/>
                        <w:left w:val="none" w:sz="0" w:space="0" w:color="auto"/>
                        <w:bottom w:val="none" w:sz="0" w:space="0" w:color="auto"/>
                        <w:right w:val="none" w:sz="0" w:space="0" w:color="auto"/>
                      </w:divBdr>
                    </w:div>
                    <w:div w:id="1909873686">
                      <w:marLeft w:val="0"/>
                      <w:marRight w:val="0"/>
                      <w:marTop w:val="0"/>
                      <w:marBottom w:val="0"/>
                      <w:divBdr>
                        <w:top w:val="none" w:sz="0" w:space="0" w:color="auto"/>
                        <w:left w:val="none" w:sz="0" w:space="0" w:color="auto"/>
                        <w:bottom w:val="none" w:sz="0" w:space="0" w:color="auto"/>
                        <w:right w:val="none" w:sz="0" w:space="0" w:color="auto"/>
                      </w:divBdr>
                    </w:div>
                  </w:divsChild>
                </w:div>
                <w:div w:id="208437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524146">
          <w:marLeft w:val="0"/>
          <w:marRight w:val="0"/>
          <w:marTop w:val="0"/>
          <w:marBottom w:val="0"/>
          <w:divBdr>
            <w:top w:val="none" w:sz="0" w:space="0" w:color="auto"/>
            <w:left w:val="none" w:sz="0" w:space="0" w:color="auto"/>
            <w:bottom w:val="none" w:sz="0" w:space="0" w:color="auto"/>
            <w:right w:val="none" w:sz="0" w:space="0" w:color="auto"/>
          </w:divBdr>
        </w:div>
      </w:divsChild>
    </w:div>
    <w:div w:id="561452909">
      <w:bodyDiv w:val="1"/>
      <w:marLeft w:val="0"/>
      <w:marRight w:val="0"/>
      <w:marTop w:val="0"/>
      <w:marBottom w:val="0"/>
      <w:divBdr>
        <w:top w:val="none" w:sz="0" w:space="0" w:color="auto"/>
        <w:left w:val="none" w:sz="0" w:space="0" w:color="auto"/>
        <w:bottom w:val="none" w:sz="0" w:space="0" w:color="auto"/>
        <w:right w:val="none" w:sz="0" w:space="0" w:color="auto"/>
      </w:divBdr>
    </w:div>
    <w:div w:id="561523293">
      <w:bodyDiv w:val="1"/>
      <w:marLeft w:val="0"/>
      <w:marRight w:val="0"/>
      <w:marTop w:val="0"/>
      <w:marBottom w:val="0"/>
      <w:divBdr>
        <w:top w:val="none" w:sz="0" w:space="0" w:color="auto"/>
        <w:left w:val="none" w:sz="0" w:space="0" w:color="auto"/>
        <w:bottom w:val="none" w:sz="0" w:space="0" w:color="auto"/>
        <w:right w:val="none" w:sz="0" w:space="0" w:color="auto"/>
      </w:divBdr>
    </w:div>
    <w:div w:id="561674024">
      <w:bodyDiv w:val="1"/>
      <w:marLeft w:val="0"/>
      <w:marRight w:val="0"/>
      <w:marTop w:val="0"/>
      <w:marBottom w:val="0"/>
      <w:divBdr>
        <w:top w:val="none" w:sz="0" w:space="0" w:color="auto"/>
        <w:left w:val="none" w:sz="0" w:space="0" w:color="auto"/>
        <w:bottom w:val="none" w:sz="0" w:space="0" w:color="auto"/>
        <w:right w:val="none" w:sz="0" w:space="0" w:color="auto"/>
      </w:divBdr>
    </w:div>
    <w:div w:id="562133546">
      <w:bodyDiv w:val="1"/>
      <w:marLeft w:val="0"/>
      <w:marRight w:val="0"/>
      <w:marTop w:val="0"/>
      <w:marBottom w:val="0"/>
      <w:divBdr>
        <w:top w:val="none" w:sz="0" w:space="0" w:color="auto"/>
        <w:left w:val="none" w:sz="0" w:space="0" w:color="auto"/>
        <w:bottom w:val="none" w:sz="0" w:space="0" w:color="auto"/>
        <w:right w:val="none" w:sz="0" w:space="0" w:color="auto"/>
      </w:divBdr>
    </w:div>
    <w:div w:id="562179103">
      <w:bodyDiv w:val="1"/>
      <w:marLeft w:val="0"/>
      <w:marRight w:val="0"/>
      <w:marTop w:val="0"/>
      <w:marBottom w:val="0"/>
      <w:divBdr>
        <w:top w:val="none" w:sz="0" w:space="0" w:color="auto"/>
        <w:left w:val="none" w:sz="0" w:space="0" w:color="auto"/>
        <w:bottom w:val="none" w:sz="0" w:space="0" w:color="auto"/>
        <w:right w:val="none" w:sz="0" w:space="0" w:color="auto"/>
      </w:divBdr>
    </w:div>
    <w:div w:id="562326226">
      <w:bodyDiv w:val="1"/>
      <w:marLeft w:val="0"/>
      <w:marRight w:val="0"/>
      <w:marTop w:val="0"/>
      <w:marBottom w:val="0"/>
      <w:divBdr>
        <w:top w:val="none" w:sz="0" w:space="0" w:color="auto"/>
        <w:left w:val="none" w:sz="0" w:space="0" w:color="auto"/>
        <w:bottom w:val="none" w:sz="0" w:space="0" w:color="auto"/>
        <w:right w:val="none" w:sz="0" w:space="0" w:color="auto"/>
      </w:divBdr>
    </w:div>
    <w:div w:id="562568848">
      <w:bodyDiv w:val="1"/>
      <w:marLeft w:val="0"/>
      <w:marRight w:val="0"/>
      <w:marTop w:val="0"/>
      <w:marBottom w:val="0"/>
      <w:divBdr>
        <w:top w:val="none" w:sz="0" w:space="0" w:color="auto"/>
        <w:left w:val="none" w:sz="0" w:space="0" w:color="auto"/>
        <w:bottom w:val="none" w:sz="0" w:space="0" w:color="auto"/>
        <w:right w:val="none" w:sz="0" w:space="0" w:color="auto"/>
      </w:divBdr>
    </w:div>
    <w:div w:id="562764516">
      <w:bodyDiv w:val="1"/>
      <w:marLeft w:val="0"/>
      <w:marRight w:val="0"/>
      <w:marTop w:val="0"/>
      <w:marBottom w:val="0"/>
      <w:divBdr>
        <w:top w:val="none" w:sz="0" w:space="0" w:color="auto"/>
        <w:left w:val="none" w:sz="0" w:space="0" w:color="auto"/>
        <w:bottom w:val="none" w:sz="0" w:space="0" w:color="auto"/>
        <w:right w:val="none" w:sz="0" w:space="0" w:color="auto"/>
      </w:divBdr>
    </w:div>
    <w:div w:id="562764838">
      <w:bodyDiv w:val="1"/>
      <w:marLeft w:val="0"/>
      <w:marRight w:val="0"/>
      <w:marTop w:val="0"/>
      <w:marBottom w:val="0"/>
      <w:divBdr>
        <w:top w:val="none" w:sz="0" w:space="0" w:color="auto"/>
        <w:left w:val="none" w:sz="0" w:space="0" w:color="auto"/>
        <w:bottom w:val="none" w:sz="0" w:space="0" w:color="auto"/>
        <w:right w:val="none" w:sz="0" w:space="0" w:color="auto"/>
      </w:divBdr>
    </w:div>
    <w:div w:id="563107886">
      <w:bodyDiv w:val="1"/>
      <w:marLeft w:val="0"/>
      <w:marRight w:val="0"/>
      <w:marTop w:val="0"/>
      <w:marBottom w:val="0"/>
      <w:divBdr>
        <w:top w:val="none" w:sz="0" w:space="0" w:color="auto"/>
        <w:left w:val="none" w:sz="0" w:space="0" w:color="auto"/>
        <w:bottom w:val="none" w:sz="0" w:space="0" w:color="auto"/>
        <w:right w:val="none" w:sz="0" w:space="0" w:color="auto"/>
      </w:divBdr>
    </w:div>
    <w:div w:id="563177227">
      <w:bodyDiv w:val="1"/>
      <w:marLeft w:val="0"/>
      <w:marRight w:val="0"/>
      <w:marTop w:val="0"/>
      <w:marBottom w:val="0"/>
      <w:divBdr>
        <w:top w:val="none" w:sz="0" w:space="0" w:color="auto"/>
        <w:left w:val="none" w:sz="0" w:space="0" w:color="auto"/>
        <w:bottom w:val="none" w:sz="0" w:space="0" w:color="auto"/>
        <w:right w:val="none" w:sz="0" w:space="0" w:color="auto"/>
      </w:divBdr>
    </w:div>
    <w:div w:id="563416048">
      <w:bodyDiv w:val="1"/>
      <w:marLeft w:val="0"/>
      <w:marRight w:val="0"/>
      <w:marTop w:val="0"/>
      <w:marBottom w:val="0"/>
      <w:divBdr>
        <w:top w:val="none" w:sz="0" w:space="0" w:color="auto"/>
        <w:left w:val="none" w:sz="0" w:space="0" w:color="auto"/>
        <w:bottom w:val="none" w:sz="0" w:space="0" w:color="auto"/>
        <w:right w:val="none" w:sz="0" w:space="0" w:color="auto"/>
      </w:divBdr>
    </w:div>
    <w:div w:id="563642017">
      <w:bodyDiv w:val="1"/>
      <w:marLeft w:val="0"/>
      <w:marRight w:val="0"/>
      <w:marTop w:val="0"/>
      <w:marBottom w:val="0"/>
      <w:divBdr>
        <w:top w:val="none" w:sz="0" w:space="0" w:color="auto"/>
        <w:left w:val="none" w:sz="0" w:space="0" w:color="auto"/>
        <w:bottom w:val="none" w:sz="0" w:space="0" w:color="auto"/>
        <w:right w:val="none" w:sz="0" w:space="0" w:color="auto"/>
      </w:divBdr>
    </w:div>
    <w:div w:id="564266461">
      <w:bodyDiv w:val="1"/>
      <w:marLeft w:val="0"/>
      <w:marRight w:val="0"/>
      <w:marTop w:val="0"/>
      <w:marBottom w:val="0"/>
      <w:divBdr>
        <w:top w:val="none" w:sz="0" w:space="0" w:color="auto"/>
        <w:left w:val="none" w:sz="0" w:space="0" w:color="auto"/>
        <w:bottom w:val="none" w:sz="0" w:space="0" w:color="auto"/>
        <w:right w:val="none" w:sz="0" w:space="0" w:color="auto"/>
      </w:divBdr>
    </w:div>
    <w:div w:id="564679658">
      <w:bodyDiv w:val="1"/>
      <w:marLeft w:val="0"/>
      <w:marRight w:val="0"/>
      <w:marTop w:val="0"/>
      <w:marBottom w:val="0"/>
      <w:divBdr>
        <w:top w:val="none" w:sz="0" w:space="0" w:color="auto"/>
        <w:left w:val="none" w:sz="0" w:space="0" w:color="auto"/>
        <w:bottom w:val="none" w:sz="0" w:space="0" w:color="auto"/>
        <w:right w:val="none" w:sz="0" w:space="0" w:color="auto"/>
      </w:divBdr>
    </w:div>
    <w:div w:id="564948687">
      <w:bodyDiv w:val="1"/>
      <w:marLeft w:val="0"/>
      <w:marRight w:val="0"/>
      <w:marTop w:val="0"/>
      <w:marBottom w:val="0"/>
      <w:divBdr>
        <w:top w:val="none" w:sz="0" w:space="0" w:color="auto"/>
        <w:left w:val="none" w:sz="0" w:space="0" w:color="auto"/>
        <w:bottom w:val="none" w:sz="0" w:space="0" w:color="auto"/>
        <w:right w:val="none" w:sz="0" w:space="0" w:color="auto"/>
      </w:divBdr>
    </w:div>
    <w:div w:id="564998277">
      <w:bodyDiv w:val="1"/>
      <w:marLeft w:val="0"/>
      <w:marRight w:val="0"/>
      <w:marTop w:val="0"/>
      <w:marBottom w:val="0"/>
      <w:divBdr>
        <w:top w:val="none" w:sz="0" w:space="0" w:color="auto"/>
        <w:left w:val="none" w:sz="0" w:space="0" w:color="auto"/>
        <w:bottom w:val="none" w:sz="0" w:space="0" w:color="auto"/>
        <w:right w:val="none" w:sz="0" w:space="0" w:color="auto"/>
      </w:divBdr>
    </w:div>
    <w:div w:id="565604107">
      <w:bodyDiv w:val="1"/>
      <w:marLeft w:val="0"/>
      <w:marRight w:val="0"/>
      <w:marTop w:val="0"/>
      <w:marBottom w:val="0"/>
      <w:divBdr>
        <w:top w:val="none" w:sz="0" w:space="0" w:color="auto"/>
        <w:left w:val="none" w:sz="0" w:space="0" w:color="auto"/>
        <w:bottom w:val="none" w:sz="0" w:space="0" w:color="auto"/>
        <w:right w:val="none" w:sz="0" w:space="0" w:color="auto"/>
      </w:divBdr>
    </w:div>
    <w:div w:id="565724092">
      <w:bodyDiv w:val="1"/>
      <w:marLeft w:val="0"/>
      <w:marRight w:val="0"/>
      <w:marTop w:val="0"/>
      <w:marBottom w:val="0"/>
      <w:divBdr>
        <w:top w:val="none" w:sz="0" w:space="0" w:color="auto"/>
        <w:left w:val="none" w:sz="0" w:space="0" w:color="auto"/>
        <w:bottom w:val="none" w:sz="0" w:space="0" w:color="auto"/>
        <w:right w:val="none" w:sz="0" w:space="0" w:color="auto"/>
      </w:divBdr>
    </w:div>
    <w:div w:id="565800347">
      <w:bodyDiv w:val="1"/>
      <w:marLeft w:val="0"/>
      <w:marRight w:val="0"/>
      <w:marTop w:val="0"/>
      <w:marBottom w:val="0"/>
      <w:divBdr>
        <w:top w:val="none" w:sz="0" w:space="0" w:color="auto"/>
        <w:left w:val="none" w:sz="0" w:space="0" w:color="auto"/>
        <w:bottom w:val="none" w:sz="0" w:space="0" w:color="auto"/>
        <w:right w:val="none" w:sz="0" w:space="0" w:color="auto"/>
      </w:divBdr>
    </w:div>
    <w:div w:id="565800823">
      <w:bodyDiv w:val="1"/>
      <w:marLeft w:val="0"/>
      <w:marRight w:val="0"/>
      <w:marTop w:val="0"/>
      <w:marBottom w:val="0"/>
      <w:divBdr>
        <w:top w:val="none" w:sz="0" w:space="0" w:color="auto"/>
        <w:left w:val="none" w:sz="0" w:space="0" w:color="auto"/>
        <w:bottom w:val="none" w:sz="0" w:space="0" w:color="auto"/>
        <w:right w:val="none" w:sz="0" w:space="0" w:color="auto"/>
      </w:divBdr>
    </w:div>
    <w:div w:id="566065862">
      <w:bodyDiv w:val="1"/>
      <w:marLeft w:val="0"/>
      <w:marRight w:val="0"/>
      <w:marTop w:val="0"/>
      <w:marBottom w:val="0"/>
      <w:divBdr>
        <w:top w:val="none" w:sz="0" w:space="0" w:color="auto"/>
        <w:left w:val="none" w:sz="0" w:space="0" w:color="auto"/>
        <w:bottom w:val="none" w:sz="0" w:space="0" w:color="auto"/>
        <w:right w:val="none" w:sz="0" w:space="0" w:color="auto"/>
      </w:divBdr>
    </w:div>
    <w:div w:id="566308652">
      <w:bodyDiv w:val="1"/>
      <w:marLeft w:val="0"/>
      <w:marRight w:val="0"/>
      <w:marTop w:val="0"/>
      <w:marBottom w:val="0"/>
      <w:divBdr>
        <w:top w:val="none" w:sz="0" w:space="0" w:color="auto"/>
        <w:left w:val="none" w:sz="0" w:space="0" w:color="auto"/>
        <w:bottom w:val="none" w:sz="0" w:space="0" w:color="auto"/>
        <w:right w:val="none" w:sz="0" w:space="0" w:color="auto"/>
      </w:divBdr>
    </w:div>
    <w:div w:id="566495027">
      <w:bodyDiv w:val="1"/>
      <w:marLeft w:val="0"/>
      <w:marRight w:val="0"/>
      <w:marTop w:val="0"/>
      <w:marBottom w:val="0"/>
      <w:divBdr>
        <w:top w:val="none" w:sz="0" w:space="0" w:color="auto"/>
        <w:left w:val="none" w:sz="0" w:space="0" w:color="auto"/>
        <w:bottom w:val="none" w:sz="0" w:space="0" w:color="auto"/>
        <w:right w:val="none" w:sz="0" w:space="0" w:color="auto"/>
      </w:divBdr>
    </w:div>
    <w:div w:id="568198545">
      <w:bodyDiv w:val="1"/>
      <w:marLeft w:val="0"/>
      <w:marRight w:val="0"/>
      <w:marTop w:val="0"/>
      <w:marBottom w:val="0"/>
      <w:divBdr>
        <w:top w:val="none" w:sz="0" w:space="0" w:color="auto"/>
        <w:left w:val="none" w:sz="0" w:space="0" w:color="auto"/>
        <w:bottom w:val="none" w:sz="0" w:space="0" w:color="auto"/>
        <w:right w:val="none" w:sz="0" w:space="0" w:color="auto"/>
      </w:divBdr>
    </w:div>
    <w:div w:id="568463419">
      <w:bodyDiv w:val="1"/>
      <w:marLeft w:val="0"/>
      <w:marRight w:val="0"/>
      <w:marTop w:val="0"/>
      <w:marBottom w:val="0"/>
      <w:divBdr>
        <w:top w:val="none" w:sz="0" w:space="0" w:color="auto"/>
        <w:left w:val="none" w:sz="0" w:space="0" w:color="auto"/>
        <w:bottom w:val="none" w:sz="0" w:space="0" w:color="auto"/>
        <w:right w:val="none" w:sz="0" w:space="0" w:color="auto"/>
      </w:divBdr>
    </w:div>
    <w:div w:id="568612827">
      <w:bodyDiv w:val="1"/>
      <w:marLeft w:val="0"/>
      <w:marRight w:val="0"/>
      <w:marTop w:val="0"/>
      <w:marBottom w:val="0"/>
      <w:divBdr>
        <w:top w:val="none" w:sz="0" w:space="0" w:color="auto"/>
        <w:left w:val="none" w:sz="0" w:space="0" w:color="auto"/>
        <w:bottom w:val="none" w:sz="0" w:space="0" w:color="auto"/>
        <w:right w:val="none" w:sz="0" w:space="0" w:color="auto"/>
      </w:divBdr>
    </w:div>
    <w:div w:id="568730522">
      <w:bodyDiv w:val="1"/>
      <w:marLeft w:val="0"/>
      <w:marRight w:val="0"/>
      <w:marTop w:val="0"/>
      <w:marBottom w:val="0"/>
      <w:divBdr>
        <w:top w:val="none" w:sz="0" w:space="0" w:color="auto"/>
        <w:left w:val="none" w:sz="0" w:space="0" w:color="auto"/>
        <w:bottom w:val="none" w:sz="0" w:space="0" w:color="auto"/>
        <w:right w:val="none" w:sz="0" w:space="0" w:color="auto"/>
      </w:divBdr>
    </w:div>
    <w:div w:id="569115994">
      <w:bodyDiv w:val="1"/>
      <w:marLeft w:val="0"/>
      <w:marRight w:val="0"/>
      <w:marTop w:val="0"/>
      <w:marBottom w:val="0"/>
      <w:divBdr>
        <w:top w:val="none" w:sz="0" w:space="0" w:color="auto"/>
        <w:left w:val="none" w:sz="0" w:space="0" w:color="auto"/>
        <w:bottom w:val="none" w:sz="0" w:space="0" w:color="auto"/>
        <w:right w:val="none" w:sz="0" w:space="0" w:color="auto"/>
      </w:divBdr>
    </w:div>
    <w:div w:id="569388284">
      <w:bodyDiv w:val="1"/>
      <w:marLeft w:val="0"/>
      <w:marRight w:val="0"/>
      <w:marTop w:val="0"/>
      <w:marBottom w:val="0"/>
      <w:divBdr>
        <w:top w:val="none" w:sz="0" w:space="0" w:color="auto"/>
        <w:left w:val="none" w:sz="0" w:space="0" w:color="auto"/>
        <w:bottom w:val="none" w:sz="0" w:space="0" w:color="auto"/>
        <w:right w:val="none" w:sz="0" w:space="0" w:color="auto"/>
      </w:divBdr>
    </w:div>
    <w:div w:id="569534117">
      <w:bodyDiv w:val="1"/>
      <w:marLeft w:val="0"/>
      <w:marRight w:val="0"/>
      <w:marTop w:val="0"/>
      <w:marBottom w:val="0"/>
      <w:divBdr>
        <w:top w:val="none" w:sz="0" w:space="0" w:color="auto"/>
        <w:left w:val="none" w:sz="0" w:space="0" w:color="auto"/>
        <w:bottom w:val="none" w:sz="0" w:space="0" w:color="auto"/>
        <w:right w:val="none" w:sz="0" w:space="0" w:color="auto"/>
      </w:divBdr>
    </w:div>
    <w:div w:id="569584299">
      <w:bodyDiv w:val="1"/>
      <w:marLeft w:val="0"/>
      <w:marRight w:val="0"/>
      <w:marTop w:val="0"/>
      <w:marBottom w:val="0"/>
      <w:divBdr>
        <w:top w:val="none" w:sz="0" w:space="0" w:color="auto"/>
        <w:left w:val="none" w:sz="0" w:space="0" w:color="auto"/>
        <w:bottom w:val="none" w:sz="0" w:space="0" w:color="auto"/>
        <w:right w:val="none" w:sz="0" w:space="0" w:color="auto"/>
      </w:divBdr>
    </w:div>
    <w:div w:id="569652666">
      <w:bodyDiv w:val="1"/>
      <w:marLeft w:val="0"/>
      <w:marRight w:val="0"/>
      <w:marTop w:val="0"/>
      <w:marBottom w:val="0"/>
      <w:divBdr>
        <w:top w:val="none" w:sz="0" w:space="0" w:color="auto"/>
        <w:left w:val="none" w:sz="0" w:space="0" w:color="auto"/>
        <w:bottom w:val="none" w:sz="0" w:space="0" w:color="auto"/>
        <w:right w:val="none" w:sz="0" w:space="0" w:color="auto"/>
      </w:divBdr>
    </w:div>
    <w:div w:id="569778549">
      <w:bodyDiv w:val="1"/>
      <w:marLeft w:val="0"/>
      <w:marRight w:val="0"/>
      <w:marTop w:val="0"/>
      <w:marBottom w:val="0"/>
      <w:divBdr>
        <w:top w:val="none" w:sz="0" w:space="0" w:color="auto"/>
        <w:left w:val="none" w:sz="0" w:space="0" w:color="auto"/>
        <w:bottom w:val="none" w:sz="0" w:space="0" w:color="auto"/>
        <w:right w:val="none" w:sz="0" w:space="0" w:color="auto"/>
      </w:divBdr>
    </w:div>
    <w:div w:id="569924953">
      <w:bodyDiv w:val="1"/>
      <w:marLeft w:val="0"/>
      <w:marRight w:val="0"/>
      <w:marTop w:val="0"/>
      <w:marBottom w:val="0"/>
      <w:divBdr>
        <w:top w:val="none" w:sz="0" w:space="0" w:color="auto"/>
        <w:left w:val="none" w:sz="0" w:space="0" w:color="auto"/>
        <w:bottom w:val="none" w:sz="0" w:space="0" w:color="auto"/>
        <w:right w:val="none" w:sz="0" w:space="0" w:color="auto"/>
      </w:divBdr>
    </w:div>
    <w:div w:id="570971531">
      <w:bodyDiv w:val="1"/>
      <w:marLeft w:val="0"/>
      <w:marRight w:val="0"/>
      <w:marTop w:val="0"/>
      <w:marBottom w:val="0"/>
      <w:divBdr>
        <w:top w:val="none" w:sz="0" w:space="0" w:color="auto"/>
        <w:left w:val="none" w:sz="0" w:space="0" w:color="auto"/>
        <w:bottom w:val="none" w:sz="0" w:space="0" w:color="auto"/>
        <w:right w:val="none" w:sz="0" w:space="0" w:color="auto"/>
      </w:divBdr>
    </w:div>
    <w:div w:id="571239748">
      <w:bodyDiv w:val="1"/>
      <w:marLeft w:val="0"/>
      <w:marRight w:val="0"/>
      <w:marTop w:val="0"/>
      <w:marBottom w:val="0"/>
      <w:divBdr>
        <w:top w:val="none" w:sz="0" w:space="0" w:color="auto"/>
        <w:left w:val="none" w:sz="0" w:space="0" w:color="auto"/>
        <w:bottom w:val="none" w:sz="0" w:space="0" w:color="auto"/>
        <w:right w:val="none" w:sz="0" w:space="0" w:color="auto"/>
      </w:divBdr>
    </w:div>
    <w:div w:id="572350780">
      <w:bodyDiv w:val="1"/>
      <w:marLeft w:val="0"/>
      <w:marRight w:val="0"/>
      <w:marTop w:val="0"/>
      <w:marBottom w:val="0"/>
      <w:divBdr>
        <w:top w:val="none" w:sz="0" w:space="0" w:color="auto"/>
        <w:left w:val="none" w:sz="0" w:space="0" w:color="auto"/>
        <w:bottom w:val="none" w:sz="0" w:space="0" w:color="auto"/>
        <w:right w:val="none" w:sz="0" w:space="0" w:color="auto"/>
      </w:divBdr>
    </w:div>
    <w:div w:id="572399300">
      <w:bodyDiv w:val="1"/>
      <w:marLeft w:val="0"/>
      <w:marRight w:val="0"/>
      <w:marTop w:val="0"/>
      <w:marBottom w:val="0"/>
      <w:divBdr>
        <w:top w:val="none" w:sz="0" w:space="0" w:color="auto"/>
        <w:left w:val="none" w:sz="0" w:space="0" w:color="auto"/>
        <w:bottom w:val="none" w:sz="0" w:space="0" w:color="auto"/>
        <w:right w:val="none" w:sz="0" w:space="0" w:color="auto"/>
      </w:divBdr>
    </w:div>
    <w:div w:id="572738532">
      <w:bodyDiv w:val="1"/>
      <w:marLeft w:val="0"/>
      <w:marRight w:val="0"/>
      <w:marTop w:val="0"/>
      <w:marBottom w:val="0"/>
      <w:divBdr>
        <w:top w:val="none" w:sz="0" w:space="0" w:color="auto"/>
        <w:left w:val="none" w:sz="0" w:space="0" w:color="auto"/>
        <w:bottom w:val="none" w:sz="0" w:space="0" w:color="auto"/>
        <w:right w:val="none" w:sz="0" w:space="0" w:color="auto"/>
      </w:divBdr>
    </w:div>
    <w:div w:id="573008351">
      <w:bodyDiv w:val="1"/>
      <w:marLeft w:val="0"/>
      <w:marRight w:val="0"/>
      <w:marTop w:val="0"/>
      <w:marBottom w:val="0"/>
      <w:divBdr>
        <w:top w:val="none" w:sz="0" w:space="0" w:color="auto"/>
        <w:left w:val="none" w:sz="0" w:space="0" w:color="auto"/>
        <w:bottom w:val="none" w:sz="0" w:space="0" w:color="auto"/>
        <w:right w:val="none" w:sz="0" w:space="0" w:color="auto"/>
      </w:divBdr>
    </w:div>
    <w:div w:id="573128035">
      <w:bodyDiv w:val="1"/>
      <w:marLeft w:val="0"/>
      <w:marRight w:val="0"/>
      <w:marTop w:val="0"/>
      <w:marBottom w:val="0"/>
      <w:divBdr>
        <w:top w:val="none" w:sz="0" w:space="0" w:color="auto"/>
        <w:left w:val="none" w:sz="0" w:space="0" w:color="auto"/>
        <w:bottom w:val="none" w:sz="0" w:space="0" w:color="auto"/>
        <w:right w:val="none" w:sz="0" w:space="0" w:color="auto"/>
      </w:divBdr>
    </w:div>
    <w:div w:id="574753122">
      <w:bodyDiv w:val="1"/>
      <w:marLeft w:val="0"/>
      <w:marRight w:val="0"/>
      <w:marTop w:val="0"/>
      <w:marBottom w:val="0"/>
      <w:divBdr>
        <w:top w:val="none" w:sz="0" w:space="0" w:color="auto"/>
        <w:left w:val="none" w:sz="0" w:space="0" w:color="auto"/>
        <w:bottom w:val="none" w:sz="0" w:space="0" w:color="auto"/>
        <w:right w:val="none" w:sz="0" w:space="0" w:color="auto"/>
      </w:divBdr>
    </w:div>
    <w:div w:id="574783326">
      <w:bodyDiv w:val="1"/>
      <w:marLeft w:val="0"/>
      <w:marRight w:val="0"/>
      <w:marTop w:val="0"/>
      <w:marBottom w:val="0"/>
      <w:divBdr>
        <w:top w:val="none" w:sz="0" w:space="0" w:color="auto"/>
        <w:left w:val="none" w:sz="0" w:space="0" w:color="auto"/>
        <w:bottom w:val="none" w:sz="0" w:space="0" w:color="auto"/>
        <w:right w:val="none" w:sz="0" w:space="0" w:color="auto"/>
      </w:divBdr>
    </w:div>
    <w:div w:id="574822390">
      <w:bodyDiv w:val="1"/>
      <w:marLeft w:val="0"/>
      <w:marRight w:val="0"/>
      <w:marTop w:val="0"/>
      <w:marBottom w:val="0"/>
      <w:divBdr>
        <w:top w:val="none" w:sz="0" w:space="0" w:color="auto"/>
        <w:left w:val="none" w:sz="0" w:space="0" w:color="auto"/>
        <w:bottom w:val="none" w:sz="0" w:space="0" w:color="auto"/>
        <w:right w:val="none" w:sz="0" w:space="0" w:color="auto"/>
      </w:divBdr>
    </w:div>
    <w:div w:id="575171321">
      <w:bodyDiv w:val="1"/>
      <w:marLeft w:val="0"/>
      <w:marRight w:val="0"/>
      <w:marTop w:val="0"/>
      <w:marBottom w:val="0"/>
      <w:divBdr>
        <w:top w:val="none" w:sz="0" w:space="0" w:color="auto"/>
        <w:left w:val="none" w:sz="0" w:space="0" w:color="auto"/>
        <w:bottom w:val="none" w:sz="0" w:space="0" w:color="auto"/>
        <w:right w:val="none" w:sz="0" w:space="0" w:color="auto"/>
      </w:divBdr>
    </w:div>
    <w:div w:id="575214519">
      <w:bodyDiv w:val="1"/>
      <w:marLeft w:val="0"/>
      <w:marRight w:val="0"/>
      <w:marTop w:val="0"/>
      <w:marBottom w:val="0"/>
      <w:divBdr>
        <w:top w:val="none" w:sz="0" w:space="0" w:color="auto"/>
        <w:left w:val="none" w:sz="0" w:space="0" w:color="auto"/>
        <w:bottom w:val="none" w:sz="0" w:space="0" w:color="auto"/>
        <w:right w:val="none" w:sz="0" w:space="0" w:color="auto"/>
      </w:divBdr>
    </w:div>
    <w:div w:id="575283597">
      <w:bodyDiv w:val="1"/>
      <w:marLeft w:val="0"/>
      <w:marRight w:val="0"/>
      <w:marTop w:val="0"/>
      <w:marBottom w:val="0"/>
      <w:divBdr>
        <w:top w:val="none" w:sz="0" w:space="0" w:color="auto"/>
        <w:left w:val="none" w:sz="0" w:space="0" w:color="auto"/>
        <w:bottom w:val="none" w:sz="0" w:space="0" w:color="auto"/>
        <w:right w:val="none" w:sz="0" w:space="0" w:color="auto"/>
      </w:divBdr>
    </w:div>
    <w:div w:id="575745174">
      <w:bodyDiv w:val="1"/>
      <w:marLeft w:val="0"/>
      <w:marRight w:val="0"/>
      <w:marTop w:val="0"/>
      <w:marBottom w:val="0"/>
      <w:divBdr>
        <w:top w:val="none" w:sz="0" w:space="0" w:color="auto"/>
        <w:left w:val="none" w:sz="0" w:space="0" w:color="auto"/>
        <w:bottom w:val="none" w:sz="0" w:space="0" w:color="auto"/>
        <w:right w:val="none" w:sz="0" w:space="0" w:color="auto"/>
      </w:divBdr>
    </w:div>
    <w:div w:id="575751664">
      <w:bodyDiv w:val="1"/>
      <w:marLeft w:val="0"/>
      <w:marRight w:val="0"/>
      <w:marTop w:val="0"/>
      <w:marBottom w:val="0"/>
      <w:divBdr>
        <w:top w:val="none" w:sz="0" w:space="0" w:color="auto"/>
        <w:left w:val="none" w:sz="0" w:space="0" w:color="auto"/>
        <w:bottom w:val="none" w:sz="0" w:space="0" w:color="auto"/>
        <w:right w:val="none" w:sz="0" w:space="0" w:color="auto"/>
      </w:divBdr>
    </w:div>
    <w:div w:id="575752039">
      <w:bodyDiv w:val="1"/>
      <w:marLeft w:val="0"/>
      <w:marRight w:val="0"/>
      <w:marTop w:val="0"/>
      <w:marBottom w:val="0"/>
      <w:divBdr>
        <w:top w:val="none" w:sz="0" w:space="0" w:color="auto"/>
        <w:left w:val="none" w:sz="0" w:space="0" w:color="auto"/>
        <w:bottom w:val="none" w:sz="0" w:space="0" w:color="auto"/>
        <w:right w:val="none" w:sz="0" w:space="0" w:color="auto"/>
      </w:divBdr>
    </w:div>
    <w:div w:id="576211959">
      <w:bodyDiv w:val="1"/>
      <w:marLeft w:val="0"/>
      <w:marRight w:val="0"/>
      <w:marTop w:val="0"/>
      <w:marBottom w:val="0"/>
      <w:divBdr>
        <w:top w:val="none" w:sz="0" w:space="0" w:color="auto"/>
        <w:left w:val="none" w:sz="0" w:space="0" w:color="auto"/>
        <w:bottom w:val="none" w:sz="0" w:space="0" w:color="auto"/>
        <w:right w:val="none" w:sz="0" w:space="0" w:color="auto"/>
      </w:divBdr>
    </w:div>
    <w:div w:id="576747138">
      <w:bodyDiv w:val="1"/>
      <w:marLeft w:val="0"/>
      <w:marRight w:val="0"/>
      <w:marTop w:val="0"/>
      <w:marBottom w:val="0"/>
      <w:divBdr>
        <w:top w:val="none" w:sz="0" w:space="0" w:color="auto"/>
        <w:left w:val="none" w:sz="0" w:space="0" w:color="auto"/>
        <w:bottom w:val="none" w:sz="0" w:space="0" w:color="auto"/>
        <w:right w:val="none" w:sz="0" w:space="0" w:color="auto"/>
      </w:divBdr>
    </w:div>
    <w:div w:id="577054470">
      <w:bodyDiv w:val="1"/>
      <w:marLeft w:val="0"/>
      <w:marRight w:val="0"/>
      <w:marTop w:val="0"/>
      <w:marBottom w:val="0"/>
      <w:divBdr>
        <w:top w:val="none" w:sz="0" w:space="0" w:color="auto"/>
        <w:left w:val="none" w:sz="0" w:space="0" w:color="auto"/>
        <w:bottom w:val="none" w:sz="0" w:space="0" w:color="auto"/>
        <w:right w:val="none" w:sz="0" w:space="0" w:color="auto"/>
      </w:divBdr>
    </w:div>
    <w:div w:id="577178289">
      <w:bodyDiv w:val="1"/>
      <w:marLeft w:val="0"/>
      <w:marRight w:val="0"/>
      <w:marTop w:val="0"/>
      <w:marBottom w:val="0"/>
      <w:divBdr>
        <w:top w:val="none" w:sz="0" w:space="0" w:color="auto"/>
        <w:left w:val="none" w:sz="0" w:space="0" w:color="auto"/>
        <w:bottom w:val="none" w:sz="0" w:space="0" w:color="auto"/>
        <w:right w:val="none" w:sz="0" w:space="0" w:color="auto"/>
      </w:divBdr>
    </w:div>
    <w:div w:id="577328448">
      <w:bodyDiv w:val="1"/>
      <w:marLeft w:val="0"/>
      <w:marRight w:val="0"/>
      <w:marTop w:val="0"/>
      <w:marBottom w:val="0"/>
      <w:divBdr>
        <w:top w:val="none" w:sz="0" w:space="0" w:color="auto"/>
        <w:left w:val="none" w:sz="0" w:space="0" w:color="auto"/>
        <w:bottom w:val="none" w:sz="0" w:space="0" w:color="auto"/>
        <w:right w:val="none" w:sz="0" w:space="0" w:color="auto"/>
      </w:divBdr>
    </w:div>
    <w:div w:id="577442219">
      <w:bodyDiv w:val="1"/>
      <w:marLeft w:val="0"/>
      <w:marRight w:val="0"/>
      <w:marTop w:val="0"/>
      <w:marBottom w:val="0"/>
      <w:divBdr>
        <w:top w:val="none" w:sz="0" w:space="0" w:color="auto"/>
        <w:left w:val="none" w:sz="0" w:space="0" w:color="auto"/>
        <w:bottom w:val="none" w:sz="0" w:space="0" w:color="auto"/>
        <w:right w:val="none" w:sz="0" w:space="0" w:color="auto"/>
      </w:divBdr>
    </w:div>
    <w:div w:id="577523991">
      <w:bodyDiv w:val="1"/>
      <w:marLeft w:val="0"/>
      <w:marRight w:val="0"/>
      <w:marTop w:val="0"/>
      <w:marBottom w:val="0"/>
      <w:divBdr>
        <w:top w:val="none" w:sz="0" w:space="0" w:color="auto"/>
        <w:left w:val="none" w:sz="0" w:space="0" w:color="auto"/>
        <w:bottom w:val="none" w:sz="0" w:space="0" w:color="auto"/>
        <w:right w:val="none" w:sz="0" w:space="0" w:color="auto"/>
      </w:divBdr>
    </w:div>
    <w:div w:id="577594873">
      <w:bodyDiv w:val="1"/>
      <w:marLeft w:val="0"/>
      <w:marRight w:val="0"/>
      <w:marTop w:val="0"/>
      <w:marBottom w:val="0"/>
      <w:divBdr>
        <w:top w:val="none" w:sz="0" w:space="0" w:color="auto"/>
        <w:left w:val="none" w:sz="0" w:space="0" w:color="auto"/>
        <w:bottom w:val="none" w:sz="0" w:space="0" w:color="auto"/>
        <w:right w:val="none" w:sz="0" w:space="0" w:color="auto"/>
      </w:divBdr>
    </w:div>
    <w:div w:id="577985578">
      <w:bodyDiv w:val="1"/>
      <w:marLeft w:val="0"/>
      <w:marRight w:val="0"/>
      <w:marTop w:val="0"/>
      <w:marBottom w:val="0"/>
      <w:divBdr>
        <w:top w:val="none" w:sz="0" w:space="0" w:color="auto"/>
        <w:left w:val="none" w:sz="0" w:space="0" w:color="auto"/>
        <w:bottom w:val="none" w:sz="0" w:space="0" w:color="auto"/>
        <w:right w:val="none" w:sz="0" w:space="0" w:color="auto"/>
      </w:divBdr>
    </w:div>
    <w:div w:id="578561417">
      <w:bodyDiv w:val="1"/>
      <w:marLeft w:val="0"/>
      <w:marRight w:val="0"/>
      <w:marTop w:val="0"/>
      <w:marBottom w:val="0"/>
      <w:divBdr>
        <w:top w:val="none" w:sz="0" w:space="0" w:color="auto"/>
        <w:left w:val="none" w:sz="0" w:space="0" w:color="auto"/>
        <w:bottom w:val="none" w:sz="0" w:space="0" w:color="auto"/>
        <w:right w:val="none" w:sz="0" w:space="0" w:color="auto"/>
      </w:divBdr>
    </w:div>
    <w:div w:id="579367355">
      <w:bodyDiv w:val="1"/>
      <w:marLeft w:val="0"/>
      <w:marRight w:val="0"/>
      <w:marTop w:val="0"/>
      <w:marBottom w:val="0"/>
      <w:divBdr>
        <w:top w:val="none" w:sz="0" w:space="0" w:color="auto"/>
        <w:left w:val="none" w:sz="0" w:space="0" w:color="auto"/>
        <w:bottom w:val="none" w:sz="0" w:space="0" w:color="auto"/>
        <w:right w:val="none" w:sz="0" w:space="0" w:color="auto"/>
      </w:divBdr>
    </w:div>
    <w:div w:id="579565586">
      <w:bodyDiv w:val="1"/>
      <w:marLeft w:val="0"/>
      <w:marRight w:val="0"/>
      <w:marTop w:val="0"/>
      <w:marBottom w:val="0"/>
      <w:divBdr>
        <w:top w:val="none" w:sz="0" w:space="0" w:color="auto"/>
        <w:left w:val="none" w:sz="0" w:space="0" w:color="auto"/>
        <w:bottom w:val="none" w:sz="0" w:space="0" w:color="auto"/>
        <w:right w:val="none" w:sz="0" w:space="0" w:color="auto"/>
      </w:divBdr>
    </w:div>
    <w:div w:id="579608181">
      <w:bodyDiv w:val="1"/>
      <w:marLeft w:val="0"/>
      <w:marRight w:val="0"/>
      <w:marTop w:val="0"/>
      <w:marBottom w:val="0"/>
      <w:divBdr>
        <w:top w:val="none" w:sz="0" w:space="0" w:color="auto"/>
        <w:left w:val="none" w:sz="0" w:space="0" w:color="auto"/>
        <w:bottom w:val="none" w:sz="0" w:space="0" w:color="auto"/>
        <w:right w:val="none" w:sz="0" w:space="0" w:color="auto"/>
      </w:divBdr>
    </w:div>
    <w:div w:id="579753952">
      <w:bodyDiv w:val="1"/>
      <w:marLeft w:val="0"/>
      <w:marRight w:val="0"/>
      <w:marTop w:val="0"/>
      <w:marBottom w:val="0"/>
      <w:divBdr>
        <w:top w:val="none" w:sz="0" w:space="0" w:color="auto"/>
        <w:left w:val="none" w:sz="0" w:space="0" w:color="auto"/>
        <w:bottom w:val="none" w:sz="0" w:space="0" w:color="auto"/>
        <w:right w:val="none" w:sz="0" w:space="0" w:color="auto"/>
      </w:divBdr>
    </w:div>
    <w:div w:id="580023665">
      <w:bodyDiv w:val="1"/>
      <w:marLeft w:val="0"/>
      <w:marRight w:val="0"/>
      <w:marTop w:val="0"/>
      <w:marBottom w:val="0"/>
      <w:divBdr>
        <w:top w:val="none" w:sz="0" w:space="0" w:color="auto"/>
        <w:left w:val="none" w:sz="0" w:space="0" w:color="auto"/>
        <w:bottom w:val="none" w:sz="0" w:space="0" w:color="auto"/>
        <w:right w:val="none" w:sz="0" w:space="0" w:color="auto"/>
      </w:divBdr>
    </w:div>
    <w:div w:id="580140230">
      <w:bodyDiv w:val="1"/>
      <w:marLeft w:val="0"/>
      <w:marRight w:val="0"/>
      <w:marTop w:val="0"/>
      <w:marBottom w:val="0"/>
      <w:divBdr>
        <w:top w:val="none" w:sz="0" w:space="0" w:color="auto"/>
        <w:left w:val="none" w:sz="0" w:space="0" w:color="auto"/>
        <w:bottom w:val="none" w:sz="0" w:space="0" w:color="auto"/>
        <w:right w:val="none" w:sz="0" w:space="0" w:color="auto"/>
      </w:divBdr>
    </w:div>
    <w:div w:id="580332210">
      <w:bodyDiv w:val="1"/>
      <w:marLeft w:val="0"/>
      <w:marRight w:val="0"/>
      <w:marTop w:val="0"/>
      <w:marBottom w:val="0"/>
      <w:divBdr>
        <w:top w:val="none" w:sz="0" w:space="0" w:color="auto"/>
        <w:left w:val="none" w:sz="0" w:space="0" w:color="auto"/>
        <w:bottom w:val="none" w:sz="0" w:space="0" w:color="auto"/>
        <w:right w:val="none" w:sz="0" w:space="0" w:color="auto"/>
      </w:divBdr>
    </w:div>
    <w:div w:id="580411661">
      <w:bodyDiv w:val="1"/>
      <w:marLeft w:val="0"/>
      <w:marRight w:val="0"/>
      <w:marTop w:val="0"/>
      <w:marBottom w:val="0"/>
      <w:divBdr>
        <w:top w:val="none" w:sz="0" w:space="0" w:color="auto"/>
        <w:left w:val="none" w:sz="0" w:space="0" w:color="auto"/>
        <w:bottom w:val="none" w:sz="0" w:space="0" w:color="auto"/>
        <w:right w:val="none" w:sz="0" w:space="0" w:color="auto"/>
      </w:divBdr>
    </w:div>
    <w:div w:id="580871951">
      <w:bodyDiv w:val="1"/>
      <w:marLeft w:val="0"/>
      <w:marRight w:val="0"/>
      <w:marTop w:val="0"/>
      <w:marBottom w:val="0"/>
      <w:divBdr>
        <w:top w:val="none" w:sz="0" w:space="0" w:color="auto"/>
        <w:left w:val="none" w:sz="0" w:space="0" w:color="auto"/>
        <w:bottom w:val="none" w:sz="0" w:space="0" w:color="auto"/>
        <w:right w:val="none" w:sz="0" w:space="0" w:color="auto"/>
      </w:divBdr>
    </w:div>
    <w:div w:id="581108353">
      <w:bodyDiv w:val="1"/>
      <w:marLeft w:val="0"/>
      <w:marRight w:val="0"/>
      <w:marTop w:val="0"/>
      <w:marBottom w:val="0"/>
      <w:divBdr>
        <w:top w:val="none" w:sz="0" w:space="0" w:color="auto"/>
        <w:left w:val="none" w:sz="0" w:space="0" w:color="auto"/>
        <w:bottom w:val="none" w:sz="0" w:space="0" w:color="auto"/>
        <w:right w:val="none" w:sz="0" w:space="0" w:color="auto"/>
      </w:divBdr>
    </w:div>
    <w:div w:id="581336532">
      <w:bodyDiv w:val="1"/>
      <w:marLeft w:val="0"/>
      <w:marRight w:val="0"/>
      <w:marTop w:val="0"/>
      <w:marBottom w:val="0"/>
      <w:divBdr>
        <w:top w:val="none" w:sz="0" w:space="0" w:color="auto"/>
        <w:left w:val="none" w:sz="0" w:space="0" w:color="auto"/>
        <w:bottom w:val="none" w:sz="0" w:space="0" w:color="auto"/>
        <w:right w:val="none" w:sz="0" w:space="0" w:color="auto"/>
      </w:divBdr>
    </w:div>
    <w:div w:id="581764718">
      <w:bodyDiv w:val="1"/>
      <w:marLeft w:val="0"/>
      <w:marRight w:val="0"/>
      <w:marTop w:val="0"/>
      <w:marBottom w:val="0"/>
      <w:divBdr>
        <w:top w:val="none" w:sz="0" w:space="0" w:color="auto"/>
        <w:left w:val="none" w:sz="0" w:space="0" w:color="auto"/>
        <w:bottom w:val="none" w:sz="0" w:space="0" w:color="auto"/>
        <w:right w:val="none" w:sz="0" w:space="0" w:color="auto"/>
      </w:divBdr>
    </w:div>
    <w:div w:id="581985310">
      <w:bodyDiv w:val="1"/>
      <w:marLeft w:val="0"/>
      <w:marRight w:val="0"/>
      <w:marTop w:val="0"/>
      <w:marBottom w:val="0"/>
      <w:divBdr>
        <w:top w:val="none" w:sz="0" w:space="0" w:color="auto"/>
        <w:left w:val="none" w:sz="0" w:space="0" w:color="auto"/>
        <w:bottom w:val="none" w:sz="0" w:space="0" w:color="auto"/>
        <w:right w:val="none" w:sz="0" w:space="0" w:color="auto"/>
      </w:divBdr>
    </w:div>
    <w:div w:id="581988631">
      <w:bodyDiv w:val="1"/>
      <w:marLeft w:val="0"/>
      <w:marRight w:val="0"/>
      <w:marTop w:val="0"/>
      <w:marBottom w:val="0"/>
      <w:divBdr>
        <w:top w:val="none" w:sz="0" w:space="0" w:color="auto"/>
        <w:left w:val="none" w:sz="0" w:space="0" w:color="auto"/>
        <w:bottom w:val="none" w:sz="0" w:space="0" w:color="auto"/>
        <w:right w:val="none" w:sz="0" w:space="0" w:color="auto"/>
      </w:divBdr>
    </w:div>
    <w:div w:id="582494734">
      <w:bodyDiv w:val="1"/>
      <w:marLeft w:val="0"/>
      <w:marRight w:val="0"/>
      <w:marTop w:val="0"/>
      <w:marBottom w:val="0"/>
      <w:divBdr>
        <w:top w:val="none" w:sz="0" w:space="0" w:color="auto"/>
        <w:left w:val="none" w:sz="0" w:space="0" w:color="auto"/>
        <w:bottom w:val="none" w:sz="0" w:space="0" w:color="auto"/>
        <w:right w:val="none" w:sz="0" w:space="0" w:color="auto"/>
      </w:divBdr>
    </w:div>
    <w:div w:id="582566216">
      <w:bodyDiv w:val="1"/>
      <w:marLeft w:val="0"/>
      <w:marRight w:val="0"/>
      <w:marTop w:val="0"/>
      <w:marBottom w:val="0"/>
      <w:divBdr>
        <w:top w:val="none" w:sz="0" w:space="0" w:color="auto"/>
        <w:left w:val="none" w:sz="0" w:space="0" w:color="auto"/>
        <w:bottom w:val="none" w:sz="0" w:space="0" w:color="auto"/>
        <w:right w:val="none" w:sz="0" w:space="0" w:color="auto"/>
      </w:divBdr>
    </w:div>
    <w:div w:id="582760249">
      <w:bodyDiv w:val="1"/>
      <w:marLeft w:val="0"/>
      <w:marRight w:val="0"/>
      <w:marTop w:val="0"/>
      <w:marBottom w:val="0"/>
      <w:divBdr>
        <w:top w:val="none" w:sz="0" w:space="0" w:color="auto"/>
        <w:left w:val="none" w:sz="0" w:space="0" w:color="auto"/>
        <w:bottom w:val="none" w:sz="0" w:space="0" w:color="auto"/>
        <w:right w:val="none" w:sz="0" w:space="0" w:color="auto"/>
      </w:divBdr>
    </w:div>
    <w:div w:id="583413703">
      <w:bodyDiv w:val="1"/>
      <w:marLeft w:val="0"/>
      <w:marRight w:val="0"/>
      <w:marTop w:val="0"/>
      <w:marBottom w:val="0"/>
      <w:divBdr>
        <w:top w:val="none" w:sz="0" w:space="0" w:color="auto"/>
        <w:left w:val="none" w:sz="0" w:space="0" w:color="auto"/>
        <w:bottom w:val="none" w:sz="0" w:space="0" w:color="auto"/>
        <w:right w:val="none" w:sz="0" w:space="0" w:color="auto"/>
      </w:divBdr>
    </w:div>
    <w:div w:id="583496744">
      <w:bodyDiv w:val="1"/>
      <w:marLeft w:val="0"/>
      <w:marRight w:val="0"/>
      <w:marTop w:val="0"/>
      <w:marBottom w:val="0"/>
      <w:divBdr>
        <w:top w:val="none" w:sz="0" w:space="0" w:color="auto"/>
        <w:left w:val="none" w:sz="0" w:space="0" w:color="auto"/>
        <w:bottom w:val="none" w:sz="0" w:space="0" w:color="auto"/>
        <w:right w:val="none" w:sz="0" w:space="0" w:color="auto"/>
      </w:divBdr>
    </w:div>
    <w:div w:id="583997422">
      <w:bodyDiv w:val="1"/>
      <w:marLeft w:val="0"/>
      <w:marRight w:val="0"/>
      <w:marTop w:val="0"/>
      <w:marBottom w:val="0"/>
      <w:divBdr>
        <w:top w:val="none" w:sz="0" w:space="0" w:color="auto"/>
        <w:left w:val="none" w:sz="0" w:space="0" w:color="auto"/>
        <w:bottom w:val="none" w:sz="0" w:space="0" w:color="auto"/>
        <w:right w:val="none" w:sz="0" w:space="0" w:color="auto"/>
      </w:divBdr>
    </w:div>
    <w:div w:id="583997521">
      <w:bodyDiv w:val="1"/>
      <w:marLeft w:val="0"/>
      <w:marRight w:val="0"/>
      <w:marTop w:val="0"/>
      <w:marBottom w:val="0"/>
      <w:divBdr>
        <w:top w:val="none" w:sz="0" w:space="0" w:color="auto"/>
        <w:left w:val="none" w:sz="0" w:space="0" w:color="auto"/>
        <w:bottom w:val="none" w:sz="0" w:space="0" w:color="auto"/>
        <w:right w:val="none" w:sz="0" w:space="0" w:color="auto"/>
      </w:divBdr>
    </w:div>
    <w:div w:id="584191915">
      <w:bodyDiv w:val="1"/>
      <w:marLeft w:val="0"/>
      <w:marRight w:val="0"/>
      <w:marTop w:val="0"/>
      <w:marBottom w:val="0"/>
      <w:divBdr>
        <w:top w:val="none" w:sz="0" w:space="0" w:color="auto"/>
        <w:left w:val="none" w:sz="0" w:space="0" w:color="auto"/>
        <w:bottom w:val="none" w:sz="0" w:space="0" w:color="auto"/>
        <w:right w:val="none" w:sz="0" w:space="0" w:color="auto"/>
      </w:divBdr>
    </w:div>
    <w:div w:id="584195081">
      <w:bodyDiv w:val="1"/>
      <w:marLeft w:val="0"/>
      <w:marRight w:val="0"/>
      <w:marTop w:val="0"/>
      <w:marBottom w:val="0"/>
      <w:divBdr>
        <w:top w:val="none" w:sz="0" w:space="0" w:color="auto"/>
        <w:left w:val="none" w:sz="0" w:space="0" w:color="auto"/>
        <w:bottom w:val="none" w:sz="0" w:space="0" w:color="auto"/>
        <w:right w:val="none" w:sz="0" w:space="0" w:color="auto"/>
      </w:divBdr>
    </w:div>
    <w:div w:id="584340453">
      <w:bodyDiv w:val="1"/>
      <w:marLeft w:val="0"/>
      <w:marRight w:val="0"/>
      <w:marTop w:val="0"/>
      <w:marBottom w:val="0"/>
      <w:divBdr>
        <w:top w:val="none" w:sz="0" w:space="0" w:color="auto"/>
        <w:left w:val="none" w:sz="0" w:space="0" w:color="auto"/>
        <w:bottom w:val="none" w:sz="0" w:space="0" w:color="auto"/>
        <w:right w:val="none" w:sz="0" w:space="0" w:color="auto"/>
      </w:divBdr>
    </w:div>
    <w:div w:id="584459918">
      <w:bodyDiv w:val="1"/>
      <w:marLeft w:val="0"/>
      <w:marRight w:val="0"/>
      <w:marTop w:val="0"/>
      <w:marBottom w:val="0"/>
      <w:divBdr>
        <w:top w:val="none" w:sz="0" w:space="0" w:color="auto"/>
        <w:left w:val="none" w:sz="0" w:space="0" w:color="auto"/>
        <w:bottom w:val="none" w:sz="0" w:space="0" w:color="auto"/>
        <w:right w:val="none" w:sz="0" w:space="0" w:color="auto"/>
      </w:divBdr>
    </w:div>
    <w:div w:id="584536212">
      <w:bodyDiv w:val="1"/>
      <w:marLeft w:val="0"/>
      <w:marRight w:val="0"/>
      <w:marTop w:val="0"/>
      <w:marBottom w:val="0"/>
      <w:divBdr>
        <w:top w:val="none" w:sz="0" w:space="0" w:color="auto"/>
        <w:left w:val="none" w:sz="0" w:space="0" w:color="auto"/>
        <w:bottom w:val="none" w:sz="0" w:space="0" w:color="auto"/>
        <w:right w:val="none" w:sz="0" w:space="0" w:color="auto"/>
      </w:divBdr>
    </w:div>
    <w:div w:id="584799808">
      <w:bodyDiv w:val="1"/>
      <w:marLeft w:val="0"/>
      <w:marRight w:val="0"/>
      <w:marTop w:val="0"/>
      <w:marBottom w:val="0"/>
      <w:divBdr>
        <w:top w:val="none" w:sz="0" w:space="0" w:color="auto"/>
        <w:left w:val="none" w:sz="0" w:space="0" w:color="auto"/>
        <w:bottom w:val="none" w:sz="0" w:space="0" w:color="auto"/>
        <w:right w:val="none" w:sz="0" w:space="0" w:color="auto"/>
      </w:divBdr>
    </w:div>
    <w:div w:id="585456027">
      <w:bodyDiv w:val="1"/>
      <w:marLeft w:val="0"/>
      <w:marRight w:val="0"/>
      <w:marTop w:val="0"/>
      <w:marBottom w:val="0"/>
      <w:divBdr>
        <w:top w:val="none" w:sz="0" w:space="0" w:color="auto"/>
        <w:left w:val="none" w:sz="0" w:space="0" w:color="auto"/>
        <w:bottom w:val="none" w:sz="0" w:space="0" w:color="auto"/>
        <w:right w:val="none" w:sz="0" w:space="0" w:color="auto"/>
      </w:divBdr>
    </w:div>
    <w:div w:id="585456888">
      <w:bodyDiv w:val="1"/>
      <w:marLeft w:val="0"/>
      <w:marRight w:val="0"/>
      <w:marTop w:val="0"/>
      <w:marBottom w:val="0"/>
      <w:divBdr>
        <w:top w:val="none" w:sz="0" w:space="0" w:color="auto"/>
        <w:left w:val="none" w:sz="0" w:space="0" w:color="auto"/>
        <w:bottom w:val="none" w:sz="0" w:space="0" w:color="auto"/>
        <w:right w:val="none" w:sz="0" w:space="0" w:color="auto"/>
      </w:divBdr>
    </w:div>
    <w:div w:id="585654933">
      <w:bodyDiv w:val="1"/>
      <w:marLeft w:val="0"/>
      <w:marRight w:val="0"/>
      <w:marTop w:val="0"/>
      <w:marBottom w:val="0"/>
      <w:divBdr>
        <w:top w:val="none" w:sz="0" w:space="0" w:color="auto"/>
        <w:left w:val="none" w:sz="0" w:space="0" w:color="auto"/>
        <w:bottom w:val="none" w:sz="0" w:space="0" w:color="auto"/>
        <w:right w:val="none" w:sz="0" w:space="0" w:color="auto"/>
      </w:divBdr>
    </w:div>
    <w:div w:id="586038471">
      <w:bodyDiv w:val="1"/>
      <w:marLeft w:val="0"/>
      <w:marRight w:val="0"/>
      <w:marTop w:val="0"/>
      <w:marBottom w:val="0"/>
      <w:divBdr>
        <w:top w:val="none" w:sz="0" w:space="0" w:color="auto"/>
        <w:left w:val="none" w:sz="0" w:space="0" w:color="auto"/>
        <w:bottom w:val="none" w:sz="0" w:space="0" w:color="auto"/>
        <w:right w:val="none" w:sz="0" w:space="0" w:color="auto"/>
      </w:divBdr>
    </w:div>
    <w:div w:id="586234748">
      <w:bodyDiv w:val="1"/>
      <w:marLeft w:val="0"/>
      <w:marRight w:val="0"/>
      <w:marTop w:val="0"/>
      <w:marBottom w:val="0"/>
      <w:divBdr>
        <w:top w:val="none" w:sz="0" w:space="0" w:color="auto"/>
        <w:left w:val="none" w:sz="0" w:space="0" w:color="auto"/>
        <w:bottom w:val="none" w:sz="0" w:space="0" w:color="auto"/>
        <w:right w:val="none" w:sz="0" w:space="0" w:color="auto"/>
      </w:divBdr>
    </w:div>
    <w:div w:id="586499817">
      <w:bodyDiv w:val="1"/>
      <w:marLeft w:val="0"/>
      <w:marRight w:val="0"/>
      <w:marTop w:val="0"/>
      <w:marBottom w:val="0"/>
      <w:divBdr>
        <w:top w:val="none" w:sz="0" w:space="0" w:color="auto"/>
        <w:left w:val="none" w:sz="0" w:space="0" w:color="auto"/>
        <w:bottom w:val="none" w:sz="0" w:space="0" w:color="auto"/>
        <w:right w:val="none" w:sz="0" w:space="0" w:color="auto"/>
      </w:divBdr>
    </w:div>
    <w:div w:id="586615420">
      <w:bodyDiv w:val="1"/>
      <w:marLeft w:val="0"/>
      <w:marRight w:val="0"/>
      <w:marTop w:val="0"/>
      <w:marBottom w:val="0"/>
      <w:divBdr>
        <w:top w:val="none" w:sz="0" w:space="0" w:color="auto"/>
        <w:left w:val="none" w:sz="0" w:space="0" w:color="auto"/>
        <w:bottom w:val="none" w:sz="0" w:space="0" w:color="auto"/>
        <w:right w:val="none" w:sz="0" w:space="0" w:color="auto"/>
      </w:divBdr>
    </w:div>
    <w:div w:id="586957761">
      <w:bodyDiv w:val="1"/>
      <w:marLeft w:val="0"/>
      <w:marRight w:val="0"/>
      <w:marTop w:val="0"/>
      <w:marBottom w:val="0"/>
      <w:divBdr>
        <w:top w:val="none" w:sz="0" w:space="0" w:color="auto"/>
        <w:left w:val="none" w:sz="0" w:space="0" w:color="auto"/>
        <w:bottom w:val="none" w:sz="0" w:space="0" w:color="auto"/>
        <w:right w:val="none" w:sz="0" w:space="0" w:color="auto"/>
      </w:divBdr>
    </w:div>
    <w:div w:id="586964387">
      <w:bodyDiv w:val="1"/>
      <w:marLeft w:val="0"/>
      <w:marRight w:val="0"/>
      <w:marTop w:val="0"/>
      <w:marBottom w:val="0"/>
      <w:divBdr>
        <w:top w:val="none" w:sz="0" w:space="0" w:color="auto"/>
        <w:left w:val="none" w:sz="0" w:space="0" w:color="auto"/>
        <w:bottom w:val="none" w:sz="0" w:space="0" w:color="auto"/>
        <w:right w:val="none" w:sz="0" w:space="0" w:color="auto"/>
      </w:divBdr>
    </w:div>
    <w:div w:id="587008445">
      <w:bodyDiv w:val="1"/>
      <w:marLeft w:val="0"/>
      <w:marRight w:val="0"/>
      <w:marTop w:val="0"/>
      <w:marBottom w:val="0"/>
      <w:divBdr>
        <w:top w:val="none" w:sz="0" w:space="0" w:color="auto"/>
        <w:left w:val="none" w:sz="0" w:space="0" w:color="auto"/>
        <w:bottom w:val="none" w:sz="0" w:space="0" w:color="auto"/>
        <w:right w:val="none" w:sz="0" w:space="0" w:color="auto"/>
      </w:divBdr>
    </w:div>
    <w:div w:id="587076522">
      <w:bodyDiv w:val="1"/>
      <w:marLeft w:val="0"/>
      <w:marRight w:val="0"/>
      <w:marTop w:val="0"/>
      <w:marBottom w:val="0"/>
      <w:divBdr>
        <w:top w:val="none" w:sz="0" w:space="0" w:color="auto"/>
        <w:left w:val="none" w:sz="0" w:space="0" w:color="auto"/>
        <w:bottom w:val="none" w:sz="0" w:space="0" w:color="auto"/>
        <w:right w:val="none" w:sz="0" w:space="0" w:color="auto"/>
      </w:divBdr>
    </w:div>
    <w:div w:id="587926176">
      <w:bodyDiv w:val="1"/>
      <w:marLeft w:val="0"/>
      <w:marRight w:val="0"/>
      <w:marTop w:val="0"/>
      <w:marBottom w:val="0"/>
      <w:divBdr>
        <w:top w:val="none" w:sz="0" w:space="0" w:color="auto"/>
        <w:left w:val="none" w:sz="0" w:space="0" w:color="auto"/>
        <w:bottom w:val="none" w:sz="0" w:space="0" w:color="auto"/>
        <w:right w:val="none" w:sz="0" w:space="0" w:color="auto"/>
      </w:divBdr>
    </w:div>
    <w:div w:id="587926914">
      <w:bodyDiv w:val="1"/>
      <w:marLeft w:val="0"/>
      <w:marRight w:val="0"/>
      <w:marTop w:val="0"/>
      <w:marBottom w:val="0"/>
      <w:divBdr>
        <w:top w:val="none" w:sz="0" w:space="0" w:color="auto"/>
        <w:left w:val="none" w:sz="0" w:space="0" w:color="auto"/>
        <w:bottom w:val="none" w:sz="0" w:space="0" w:color="auto"/>
        <w:right w:val="none" w:sz="0" w:space="0" w:color="auto"/>
      </w:divBdr>
    </w:div>
    <w:div w:id="587928813">
      <w:bodyDiv w:val="1"/>
      <w:marLeft w:val="0"/>
      <w:marRight w:val="0"/>
      <w:marTop w:val="0"/>
      <w:marBottom w:val="0"/>
      <w:divBdr>
        <w:top w:val="none" w:sz="0" w:space="0" w:color="auto"/>
        <w:left w:val="none" w:sz="0" w:space="0" w:color="auto"/>
        <w:bottom w:val="none" w:sz="0" w:space="0" w:color="auto"/>
        <w:right w:val="none" w:sz="0" w:space="0" w:color="auto"/>
      </w:divBdr>
    </w:div>
    <w:div w:id="588076374">
      <w:bodyDiv w:val="1"/>
      <w:marLeft w:val="0"/>
      <w:marRight w:val="0"/>
      <w:marTop w:val="0"/>
      <w:marBottom w:val="0"/>
      <w:divBdr>
        <w:top w:val="none" w:sz="0" w:space="0" w:color="auto"/>
        <w:left w:val="none" w:sz="0" w:space="0" w:color="auto"/>
        <w:bottom w:val="none" w:sz="0" w:space="0" w:color="auto"/>
        <w:right w:val="none" w:sz="0" w:space="0" w:color="auto"/>
      </w:divBdr>
    </w:div>
    <w:div w:id="588392310">
      <w:bodyDiv w:val="1"/>
      <w:marLeft w:val="0"/>
      <w:marRight w:val="0"/>
      <w:marTop w:val="0"/>
      <w:marBottom w:val="0"/>
      <w:divBdr>
        <w:top w:val="none" w:sz="0" w:space="0" w:color="auto"/>
        <w:left w:val="none" w:sz="0" w:space="0" w:color="auto"/>
        <w:bottom w:val="none" w:sz="0" w:space="0" w:color="auto"/>
        <w:right w:val="none" w:sz="0" w:space="0" w:color="auto"/>
      </w:divBdr>
    </w:div>
    <w:div w:id="588539352">
      <w:bodyDiv w:val="1"/>
      <w:marLeft w:val="0"/>
      <w:marRight w:val="0"/>
      <w:marTop w:val="0"/>
      <w:marBottom w:val="0"/>
      <w:divBdr>
        <w:top w:val="none" w:sz="0" w:space="0" w:color="auto"/>
        <w:left w:val="none" w:sz="0" w:space="0" w:color="auto"/>
        <w:bottom w:val="none" w:sz="0" w:space="0" w:color="auto"/>
        <w:right w:val="none" w:sz="0" w:space="0" w:color="auto"/>
      </w:divBdr>
    </w:div>
    <w:div w:id="589394381">
      <w:bodyDiv w:val="1"/>
      <w:marLeft w:val="0"/>
      <w:marRight w:val="0"/>
      <w:marTop w:val="0"/>
      <w:marBottom w:val="0"/>
      <w:divBdr>
        <w:top w:val="none" w:sz="0" w:space="0" w:color="auto"/>
        <w:left w:val="none" w:sz="0" w:space="0" w:color="auto"/>
        <w:bottom w:val="none" w:sz="0" w:space="0" w:color="auto"/>
        <w:right w:val="none" w:sz="0" w:space="0" w:color="auto"/>
      </w:divBdr>
    </w:div>
    <w:div w:id="589895652">
      <w:bodyDiv w:val="1"/>
      <w:marLeft w:val="0"/>
      <w:marRight w:val="0"/>
      <w:marTop w:val="0"/>
      <w:marBottom w:val="0"/>
      <w:divBdr>
        <w:top w:val="none" w:sz="0" w:space="0" w:color="auto"/>
        <w:left w:val="none" w:sz="0" w:space="0" w:color="auto"/>
        <w:bottom w:val="none" w:sz="0" w:space="0" w:color="auto"/>
        <w:right w:val="none" w:sz="0" w:space="0" w:color="auto"/>
      </w:divBdr>
    </w:div>
    <w:div w:id="589898164">
      <w:bodyDiv w:val="1"/>
      <w:marLeft w:val="0"/>
      <w:marRight w:val="0"/>
      <w:marTop w:val="0"/>
      <w:marBottom w:val="0"/>
      <w:divBdr>
        <w:top w:val="none" w:sz="0" w:space="0" w:color="auto"/>
        <w:left w:val="none" w:sz="0" w:space="0" w:color="auto"/>
        <w:bottom w:val="none" w:sz="0" w:space="0" w:color="auto"/>
        <w:right w:val="none" w:sz="0" w:space="0" w:color="auto"/>
      </w:divBdr>
    </w:div>
    <w:div w:id="589972899">
      <w:bodyDiv w:val="1"/>
      <w:marLeft w:val="0"/>
      <w:marRight w:val="0"/>
      <w:marTop w:val="0"/>
      <w:marBottom w:val="0"/>
      <w:divBdr>
        <w:top w:val="none" w:sz="0" w:space="0" w:color="auto"/>
        <w:left w:val="none" w:sz="0" w:space="0" w:color="auto"/>
        <w:bottom w:val="none" w:sz="0" w:space="0" w:color="auto"/>
        <w:right w:val="none" w:sz="0" w:space="0" w:color="auto"/>
      </w:divBdr>
    </w:div>
    <w:div w:id="590435794">
      <w:bodyDiv w:val="1"/>
      <w:marLeft w:val="0"/>
      <w:marRight w:val="0"/>
      <w:marTop w:val="0"/>
      <w:marBottom w:val="0"/>
      <w:divBdr>
        <w:top w:val="none" w:sz="0" w:space="0" w:color="auto"/>
        <w:left w:val="none" w:sz="0" w:space="0" w:color="auto"/>
        <w:bottom w:val="none" w:sz="0" w:space="0" w:color="auto"/>
        <w:right w:val="none" w:sz="0" w:space="0" w:color="auto"/>
      </w:divBdr>
    </w:div>
    <w:div w:id="590548711">
      <w:bodyDiv w:val="1"/>
      <w:marLeft w:val="0"/>
      <w:marRight w:val="0"/>
      <w:marTop w:val="0"/>
      <w:marBottom w:val="0"/>
      <w:divBdr>
        <w:top w:val="none" w:sz="0" w:space="0" w:color="auto"/>
        <w:left w:val="none" w:sz="0" w:space="0" w:color="auto"/>
        <w:bottom w:val="none" w:sz="0" w:space="0" w:color="auto"/>
        <w:right w:val="none" w:sz="0" w:space="0" w:color="auto"/>
      </w:divBdr>
    </w:div>
    <w:div w:id="590698271">
      <w:bodyDiv w:val="1"/>
      <w:marLeft w:val="0"/>
      <w:marRight w:val="0"/>
      <w:marTop w:val="0"/>
      <w:marBottom w:val="0"/>
      <w:divBdr>
        <w:top w:val="none" w:sz="0" w:space="0" w:color="auto"/>
        <w:left w:val="none" w:sz="0" w:space="0" w:color="auto"/>
        <w:bottom w:val="none" w:sz="0" w:space="0" w:color="auto"/>
        <w:right w:val="none" w:sz="0" w:space="0" w:color="auto"/>
      </w:divBdr>
    </w:div>
    <w:div w:id="590748122">
      <w:bodyDiv w:val="1"/>
      <w:marLeft w:val="0"/>
      <w:marRight w:val="0"/>
      <w:marTop w:val="0"/>
      <w:marBottom w:val="0"/>
      <w:divBdr>
        <w:top w:val="none" w:sz="0" w:space="0" w:color="auto"/>
        <w:left w:val="none" w:sz="0" w:space="0" w:color="auto"/>
        <w:bottom w:val="none" w:sz="0" w:space="0" w:color="auto"/>
        <w:right w:val="none" w:sz="0" w:space="0" w:color="auto"/>
      </w:divBdr>
    </w:div>
    <w:div w:id="591013713">
      <w:bodyDiv w:val="1"/>
      <w:marLeft w:val="0"/>
      <w:marRight w:val="0"/>
      <w:marTop w:val="0"/>
      <w:marBottom w:val="0"/>
      <w:divBdr>
        <w:top w:val="none" w:sz="0" w:space="0" w:color="auto"/>
        <w:left w:val="none" w:sz="0" w:space="0" w:color="auto"/>
        <w:bottom w:val="none" w:sz="0" w:space="0" w:color="auto"/>
        <w:right w:val="none" w:sz="0" w:space="0" w:color="auto"/>
      </w:divBdr>
    </w:div>
    <w:div w:id="591936428">
      <w:bodyDiv w:val="1"/>
      <w:marLeft w:val="0"/>
      <w:marRight w:val="0"/>
      <w:marTop w:val="0"/>
      <w:marBottom w:val="0"/>
      <w:divBdr>
        <w:top w:val="none" w:sz="0" w:space="0" w:color="auto"/>
        <w:left w:val="none" w:sz="0" w:space="0" w:color="auto"/>
        <w:bottom w:val="none" w:sz="0" w:space="0" w:color="auto"/>
        <w:right w:val="none" w:sz="0" w:space="0" w:color="auto"/>
      </w:divBdr>
    </w:div>
    <w:div w:id="592325396">
      <w:bodyDiv w:val="1"/>
      <w:marLeft w:val="0"/>
      <w:marRight w:val="0"/>
      <w:marTop w:val="0"/>
      <w:marBottom w:val="0"/>
      <w:divBdr>
        <w:top w:val="none" w:sz="0" w:space="0" w:color="auto"/>
        <w:left w:val="none" w:sz="0" w:space="0" w:color="auto"/>
        <w:bottom w:val="none" w:sz="0" w:space="0" w:color="auto"/>
        <w:right w:val="none" w:sz="0" w:space="0" w:color="auto"/>
      </w:divBdr>
    </w:div>
    <w:div w:id="592709453">
      <w:bodyDiv w:val="1"/>
      <w:marLeft w:val="0"/>
      <w:marRight w:val="0"/>
      <w:marTop w:val="0"/>
      <w:marBottom w:val="0"/>
      <w:divBdr>
        <w:top w:val="none" w:sz="0" w:space="0" w:color="auto"/>
        <w:left w:val="none" w:sz="0" w:space="0" w:color="auto"/>
        <w:bottom w:val="none" w:sz="0" w:space="0" w:color="auto"/>
        <w:right w:val="none" w:sz="0" w:space="0" w:color="auto"/>
      </w:divBdr>
    </w:div>
    <w:div w:id="592931271">
      <w:bodyDiv w:val="1"/>
      <w:marLeft w:val="0"/>
      <w:marRight w:val="0"/>
      <w:marTop w:val="0"/>
      <w:marBottom w:val="0"/>
      <w:divBdr>
        <w:top w:val="none" w:sz="0" w:space="0" w:color="auto"/>
        <w:left w:val="none" w:sz="0" w:space="0" w:color="auto"/>
        <w:bottom w:val="none" w:sz="0" w:space="0" w:color="auto"/>
        <w:right w:val="none" w:sz="0" w:space="0" w:color="auto"/>
      </w:divBdr>
    </w:div>
    <w:div w:id="592933190">
      <w:bodyDiv w:val="1"/>
      <w:marLeft w:val="0"/>
      <w:marRight w:val="0"/>
      <w:marTop w:val="0"/>
      <w:marBottom w:val="0"/>
      <w:divBdr>
        <w:top w:val="none" w:sz="0" w:space="0" w:color="auto"/>
        <w:left w:val="none" w:sz="0" w:space="0" w:color="auto"/>
        <w:bottom w:val="none" w:sz="0" w:space="0" w:color="auto"/>
        <w:right w:val="none" w:sz="0" w:space="0" w:color="auto"/>
      </w:divBdr>
    </w:div>
    <w:div w:id="593127948">
      <w:bodyDiv w:val="1"/>
      <w:marLeft w:val="0"/>
      <w:marRight w:val="0"/>
      <w:marTop w:val="0"/>
      <w:marBottom w:val="0"/>
      <w:divBdr>
        <w:top w:val="none" w:sz="0" w:space="0" w:color="auto"/>
        <w:left w:val="none" w:sz="0" w:space="0" w:color="auto"/>
        <w:bottom w:val="none" w:sz="0" w:space="0" w:color="auto"/>
        <w:right w:val="none" w:sz="0" w:space="0" w:color="auto"/>
      </w:divBdr>
    </w:div>
    <w:div w:id="593437991">
      <w:bodyDiv w:val="1"/>
      <w:marLeft w:val="0"/>
      <w:marRight w:val="0"/>
      <w:marTop w:val="0"/>
      <w:marBottom w:val="0"/>
      <w:divBdr>
        <w:top w:val="none" w:sz="0" w:space="0" w:color="auto"/>
        <w:left w:val="none" w:sz="0" w:space="0" w:color="auto"/>
        <w:bottom w:val="none" w:sz="0" w:space="0" w:color="auto"/>
        <w:right w:val="none" w:sz="0" w:space="0" w:color="auto"/>
      </w:divBdr>
    </w:div>
    <w:div w:id="593709626">
      <w:bodyDiv w:val="1"/>
      <w:marLeft w:val="0"/>
      <w:marRight w:val="0"/>
      <w:marTop w:val="0"/>
      <w:marBottom w:val="0"/>
      <w:divBdr>
        <w:top w:val="none" w:sz="0" w:space="0" w:color="auto"/>
        <w:left w:val="none" w:sz="0" w:space="0" w:color="auto"/>
        <w:bottom w:val="none" w:sz="0" w:space="0" w:color="auto"/>
        <w:right w:val="none" w:sz="0" w:space="0" w:color="auto"/>
      </w:divBdr>
    </w:div>
    <w:div w:id="594288919">
      <w:bodyDiv w:val="1"/>
      <w:marLeft w:val="0"/>
      <w:marRight w:val="0"/>
      <w:marTop w:val="0"/>
      <w:marBottom w:val="0"/>
      <w:divBdr>
        <w:top w:val="none" w:sz="0" w:space="0" w:color="auto"/>
        <w:left w:val="none" w:sz="0" w:space="0" w:color="auto"/>
        <w:bottom w:val="none" w:sz="0" w:space="0" w:color="auto"/>
        <w:right w:val="none" w:sz="0" w:space="0" w:color="auto"/>
      </w:divBdr>
    </w:div>
    <w:div w:id="594486549">
      <w:bodyDiv w:val="1"/>
      <w:marLeft w:val="0"/>
      <w:marRight w:val="0"/>
      <w:marTop w:val="0"/>
      <w:marBottom w:val="0"/>
      <w:divBdr>
        <w:top w:val="none" w:sz="0" w:space="0" w:color="auto"/>
        <w:left w:val="none" w:sz="0" w:space="0" w:color="auto"/>
        <w:bottom w:val="none" w:sz="0" w:space="0" w:color="auto"/>
        <w:right w:val="none" w:sz="0" w:space="0" w:color="auto"/>
      </w:divBdr>
    </w:div>
    <w:div w:id="595216615">
      <w:bodyDiv w:val="1"/>
      <w:marLeft w:val="0"/>
      <w:marRight w:val="0"/>
      <w:marTop w:val="0"/>
      <w:marBottom w:val="0"/>
      <w:divBdr>
        <w:top w:val="none" w:sz="0" w:space="0" w:color="auto"/>
        <w:left w:val="none" w:sz="0" w:space="0" w:color="auto"/>
        <w:bottom w:val="none" w:sz="0" w:space="0" w:color="auto"/>
        <w:right w:val="none" w:sz="0" w:space="0" w:color="auto"/>
      </w:divBdr>
    </w:div>
    <w:div w:id="595477798">
      <w:bodyDiv w:val="1"/>
      <w:marLeft w:val="0"/>
      <w:marRight w:val="0"/>
      <w:marTop w:val="0"/>
      <w:marBottom w:val="0"/>
      <w:divBdr>
        <w:top w:val="none" w:sz="0" w:space="0" w:color="auto"/>
        <w:left w:val="none" w:sz="0" w:space="0" w:color="auto"/>
        <w:bottom w:val="none" w:sz="0" w:space="0" w:color="auto"/>
        <w:right w:val="none" w:sz="0" w:space="0" w:color="auto"/>
      </w:divBdr>
    </w:div>
    <w:div w:id="595526546">
      <w:bodyDiv w:val="1"/>
      <w:marLeft w:val="0"/>
      <w:marRight w:val="0"/>
      <w:marTop w:val="0"/>
      <w:marBottom w:val="0"/>
      <w:divBdr>
        <w:top w:val="none" w:sz="0" w:space="0" w:color="auto"/>
        <w:left w:val="none" w:sz="0" w:space="0" w:color="auto"/>
        <w:bottom w:val="none" w:sz="0" w:space="0" w:color="auto"/>
        <w:right w:val="none" w:sz="0" w:space="0" w:color="auto"/>
      </w:divBdr>
    </w:div>
    <w:div w:id="595674023">
      <w:bodyDiv w:val="1"/>
      <w:marLeft w:val="0"/>
      <w:marRight w:val="0"/>
      <w:marTop w:val="0"/>
      <w:marBottom w:val="0"/>
      <w:divBdr>
        <w:top w:val="none" w:sz="0" w:space="0" w:color="auto"/>
        <w:left w:val="none" w:sz="0" w:space="0" w:color="auto"/>
        <w:bottom w:val="none" w:sz="0" w:space="0" w:color="auto"/>
        <w:right w:val="none" w:sz="0" w:space="0" w:color="auto"/>
      </w:divBdr>
    </w:div>
    <w:div w:id="595945719">
      <w:bodyDiv w:val="1"/>
      <w:marLeft w:val="0"/>
      <w:marRight w:val="0"/>
      <w:marTop w:val="0"/>
      <w:marBottom w:val="0"/>
      <w:divBdr>
        <w:top w:val="none" w:sz="0" w:space="0" w:color="auto"/>
        <w:left w:val="none" w:sz="0" w:space="0" w:color="auto"/>
        <w:bottom w:val="none" w:sz="0" w:space="0" w:color="auto"/>
        <w:right w:val="none" w:sz="0" w:space="0" w:color="auto"/>
      </w:divBdr>
    </w:div>
    <w:div w:id="596249861">
      <w:bodyDiv w:val="1"/>
      <w:marLeft w:val="0"/>
      <w:marRight w:val="0"/>
      <w:marTop w:val="0"/>
      <w:marBottom w:val="0"/>
      <w:divBdr>
        <w:top w:val="none" w:sz="0" w:space="0" w:color="auto"/>
        <w:left w:val="none" w:sz="0" w:space="0" w:color="auto"/>
        <w:bottom w:val="none" w:sz="0" w:space="0" w:color="auto"/>
        <w:right w:val="none" w:sz="0" w:space="0" w:color="auto"/>
      </w:divBdr>
    </w:div>
    <w:div w:id="596400579">
      <w:bodyDiv w:val="1"/>
      <w:marLeft w:val="0"/>
      <w:marRight w:val="0"/>
      <w:marTop w:val="0"/>
      <w:marBottom w:val="0"/>
      <w:divBdr>
        <w:top w:val="none" w:sz="0" w:space="0" w:color="auto"/>
        <w:left w:val="none" w:sz="0" w:space="0" w:color="auto"/>
        <w:bottom w:val="none" w:sz="0" w:space="0" w:color="auto"/>
        <w:right w:val="none" w:sz="0" w:space="0" w:color="auto"/>
      </w:divBdr>
    </w:div>
    <w:div w:id="596982659">
      <w:bodyDiv w:val="1"/>
      <w:marLeft w:val="0"/>
      <w:marRight w:val="0"/>
      <w:marTop w:val="0"/>
      <w:marBottom w:val="0"/>
      <w:divBdr>
        <w:top w:val="none" w:sz="0" w:space="0" w:color="auto"/>
        <w:left w:val="none" w:sz="0" w:space="0" w:color="auto"/>
        <w:bottom w:val="none" w:sz="0" w:space="0" w:color="auto"/>
        <w:right w:val="none" w:sz="0" w:space="0" w:color="auto"/>
      </w:divBdr>
    </w:div>
    <w:div w:id="597369583">
      <w:bodyDiv w:val="1"/>
      <w:marLeft w:val="0"/>
      <w:marRight w:val="0"/>
      <w:marTop w:val="0"/>
      <w:marBottom w:val="0"/>
      <w:divBdr>
        <w:top w:val="none" w:sz="0" w:space="0" w:color="auto"/>
        <w:left w:val="none" w:sz="0" w:space="0" w:color="auto"/>
        <w:bottom w:val="none" w:sz="0" w:space="0" w:color="auto"/>
        <w:right w:val="none" w:sz="0" w:space="0" w:color="auto"/>
      </w:divBdr>
    </w:div>
    <w:div w:id="597560929">
      <w:bodyDiv w:val="1"/>
      <w:marLeft w:val="0"/>
      <w:marRight w:val="0"/>
      <w:marTop w:val="0"/>
      <w:marBottom w:val="0"/>
      <w:divBdr>
        <w:top w:val="none" w:sz="0" w:space="0" w:color="auto"/>
        <w:left w:val="none" w:sz="0" w:space="0" w:color="auto"/>
        <w:bottom w:val="none" w:sz="0" w:space="0" w:color="auto"/>
        <w:right w:val="none" w:sz="0" w:space="0" w:color="auto"/>
      </w:divBdr>
    </w:div>
    <w:div w:id="597755785">
      <w:bodyDiv w:val="1"/>
      <w:marLeft w:val="0"/>
      <w:marRight w:val="0"/>
      <w:marTop w:val="0"/>
      <w:marBottom w:val="0"/>
      <w:divBdr>
        <w:top w:val="none" w:sz="0" w:space="0" w:color="auto"/>
        <w:left w:val="none" w:sz="0" w:space="0" w:color="auto"/>
        <w:bottom w:val="none" w:sz="0" w:space="0" w:color="auto"/>
        <w:right w:val="none" w:sz="0" w:space="0" w:color="auto"/>
      </w:divBdr>
    </w:div>
    <w:div w:id="598298560">
      <w:bodyDiv w:val="1"/>
      <w:marLeft w:val="0"/>
      <w:marRight w:val="0"/>
      <w:marTop w:val="0"/>
      <w:marBottom w:val="0"/>
      <w:divBdr>
        <w:top w:val="none" w:sz="0" w:space="0" w:color="auto"/>
        <w:left w:val="none" w:sz="0" w:space="0" w:color="auto"/>
        <w:bottom w:val="none" w:sz="0" w:space="0" w:color="auto"/>
        <w:right w:val="none" w:sz="0" w:space="0" w:color="auto"/>
      </w:divBdr>
    </w:div>
    <w:div w:id="598412138">
      <w:bodyDiv w:val="1"/>
      <w:marLeft w:val="0"/>
      <w:marRight w:val="0"/>
      <w:marTop w:val="0"/>
      <w:marBottom w:val="0"/>
      <w:divBdr>
        <w:top w:val="none" w:sz="0" w:space="0" w:color="auto"/>
        <w:left w:val="none" w:sz="0" w:space="0" w:color="auto"/>
        <w:bottom w:val="none" w:sz="0" w:space="0" w:color="auto"/>
        <w:right w:val="none" w:sz="0" w:space="0" w:color="auto"/>
      </w:divBdr>
    </w:div>
    <w:div w:id="598564515">
      <w:bodyDiv w:val="1"/>
      <w:marLeft w:val="0"/>
      <w:marRight w:val="0"/>
      <w:marTop w:val="0"/>
      <w:marBottom w:val="0"/>
      <w:divBdr>
        <w:top w:val="none" w:sz="0" w:space="0" w:color="auto"/>
        <w:left w:val="none" w:sz="0" w:space="0" w:color="auto"/>
        <w:bottom w:val="none" w:sz="0" w:space="0" w:color="auto"/>
        <w:right w:val="none" w:sz="0" w:space="0" w:color="auto"/>
      </w:divBdr>
    </w:div>
    <w:div w:id="598566381">
      <w:bodyDiv w:val="1"/>
      <w:marLeft w:val="0"/>
      <w:marRight w:val="0"/>
      <w:marTop w:val="0"/>
      <w:marBottom w:val="0"/>
      <w:divBdr>
        <w:top w:val="none" w:sz="0" w:space="0" w:color="auto"/>
        <w:left w:val="none" w:sz="0" w:space="0" w:color="auto"/>
        <w:bottom w:val="none" w:sz="0" w:space="0" w:color="auto"/>
        <w:right w:val="none" w:sz="0" w:space="0" w:color="auto"/>
      </w:divBdr>
    </w:div>
    <w:div w:id="598608578">
      <w:bodyDiv w:val="1"/>
      <w:marLeft w:val="0"/>
      <w:marRight w:val="0"/>
      <w:marTop w:val="0"/>
      <w:marBottom w:val="0"/>
      <w:divBdr>
        <w:top w:val="none" w:sz="0" w:space="0" w:color="auto"/>
        <w:left w:val="none" w:sz="0" w:space="0" w:color="auto"/>
        <w:bottom w:val="none" w:sz="0" w:space="0" w:color="auto"/>
        <w:right w:val="none" w:sz="0" w:space="0" w:color="auto"/>
      </w:divBdr>
    </w:div>
    <w:div w:id="598758886">
      <w:bodyDiv w:val="1"/>
      <w:marLeft w:val="0"/>
      <w:marRight w:val="0"/>
      <w:marTop w:val="0"/>
      <w:marBottom w:val="0"/>
      <w:divBdr>
        <w:top w:val="none" w:sz="0" w:space="0" w:color="auto"/>
        <w:left w:val="none" w:sz="0" w:space="0" w:color="auto"/>
        <w:bottom w:val="none" w:sz="0" w:space="0" w:color="auto"/>
        <w:right w:val="none" w:sz="0" w:space="0" w:color="auto"/>
      </w:divBdr>
    </w:div>
    <w:div w:id="598760290">
      <w:bodyDiv w:val="1"/>
      <w:marLeft w:val="0"/>
      <w:marRight w:val="0"/>
      <w:marTop w:val="0"/>
      <w:marBottom w:val="0"/>
      <w:divBdr>
        <w:top w:val="none" w:sz="0" w:space="0" w:color="auto"/>
        <w:left w:val="none" w:sz="0" w:space="0" w:color="auto"/>
        <w:bottom w:val="none" w:sz="0" w:space="0" w:color="auto"/>
        <w:right w:val="none" w:sz="0" w:space="0" w:color="auto"/>
      </w:divBdr>
    </w:div>
    <w:div w:id="598830063">
      <w:bodyDiv w:val="1"/>
      <w:marLeft w:val="0"/>
      <w:marRight w:val="0"/>
      <w:marTop w:val="0"/>
      <w:marBottom w:val="0"/>
      <w:divBdr>
        <w:top w:val="none" w:sz="0" w:space="0" w:color="auto"/>
        <w:left w:val="none" w:sz="0" w:space="0" w:color="auto"/>
        <w:bottom w:val="none" w:sz="0" w:space="0" w:color="auto"/>
        <w:right w:val="none" w:sz="0" w:space="0" w:color="auto"/>
      </w:divBdr>
    </w:div>
    <w:div w:id="599532512">
      <w:bodyDiv w:val="1"/>
      <w:marLeft w:val="0"/>
      <w:marRight w:val="0"/>
      <w:marTop w:val="0"/>
      <w:marBottom w:val="0"/>
      <w:divBdr>
        <w:top w:val="none" w:sz="0" w:space="0" w:color="auto"/>
        <w:left w:val="none" w:sz="0" w:space="0" w:color="auto"/>
        <w:bottom w:val="none" w:sz="0" w:space="0" w:color="auto"/>
        <w:right w:val="none" w:sz="0" w:space="0" w:color="auto"/>
      </w:divBdr>
    </w:div>
    <w:div w:id="599996347">
      <w:bodyDiv w:val="1"/>
      <w:marLeft w:val="0"/>
      <w:marRight w:val="0"/>
      <w:marTop w:val="0"/>
      <w:marBottom w:val="0"/>
      <w:divBdr>
        <w:top w:val="none" w:sz="0" w:space="0" w:color="auto"/>
        <w:left w:val="none" w:sz="0" w:space="0" w:color="auto"/>
        <w:bottom w:val="none" w:sz="0" w:space="0" w:color="auto"/>
        <w:right w:val="none" w:sz="0" w:space="0" w:color="auto"/>
      </w:divBdr>
    </w:div>
    <w:div w:id="600261180">
      <w:bodyDiv w:val="1"/>
      <w:marLeft w:val="0"/>
      <w:marRight w:val="0"/>
      <w:marTop w:val="0"/>
      <w:marBottom w:val="0"/>
      <w:divBdr>
        <w:top w:val="none" w:sz="0" w:space="0" w:color="auto"/>
        <w:left w:val="none" w:sz="0" w:space="0" w:color="auto"/>
        <w:bottom w:val="none" w:sz="0" w:space="0" w:color="auto"/>
        <w:right w:val="none" w:sz="0" w:space="0" w:color="auto"/>
      </w:divBdr>
    </w:div>
    <w:div w:id="600602022">
      <w:bodyDiv w:val="1"/>
      <w:marLeft w:val="0"/>
      <w:marRight w:val="0"/>
      <w:marTop w:val="0"/>
      <w:marBottom w:val="0"/>
      <w:divBdr>
        <w:top w:val="none" w:sz="0" w:space="0" w:color="auto"/>
        <w:left w:val="none" w:sz="0" w:space="0" w:color="auto"/>
        <w:bottom w:val="none" w:sz="0" w:space="0" w:color="auto"/>
        <w:right w:val="none" w:sz="0" w:space="0" w:color="auto"/>
      </w:divBdr>
    </w:div>
    <w:div w:id="600769505">
      <w:bodyDiv w:val="1"/>
      <w:marLeft w:val="0"/>
      <w:marRight w:val="0"/>
      <w:marTop w:val="0"/>
      <w:marBottom w:val="0"/>
      <w:divBdr>
        <w:top w:val="none" w:sz="0" w:space="0" w:color="auto"/>
        <w:left w:val="none" w:sz="0" w:space="0" w:color="auto"/>
        <w:bottom w:val="none" w:sz="0" w:space="0" w:color="auto"/>
        <w:right w:val="none" w:sz="0" w:space="0" w:color="auto"/>
      </w:divBdr>
    </w:div>
    <w:div w:id="600845957">
      <w:bodyDiv w:val="1"/>
      <w:marLeft w:val="0"/>
      <w:marRight w:val="0"/>
      <w:marTop w:val="0"/>
      <w:marBottom w:val="0"/>
      <w:divBdr>
        <w:top w:val="none" w:sz="0" w:space="0" w:color="auto"/>
        <w:left w:val="none" w:sz="0" w:space="0" w:color="auto"/>
        <w:bottom w:val="none" w:sz="0" w:space="0" w:color="auto"/>
        <w:right w:val="none" w:sz="0" w:space="0" w:color="auto"/>
      </w:divBdr>
    </w:div>
    <w:div w:id="601298998">
      <w:bodyDiv w:val="1"/>
      <w:marLeft w:val="0"/>
      <w:marRight w:val="0"/>
      <w:marTop w:val="0"/>
      <w:marBottom w:val="0"/>
      <w:divBdr>
        <w:top w:val="none" w:sz="0" w:space="0" w:color="auto"/>
        <w:left w:val="none" w:sz="0" w:space="0" w:color="auto"/>
        <w:bottom w:val="none" w:sz="0" w:space="0" w:color="auto"/>
        <w:right w:val="none" w:sz="0" w:space="0" w:color="auto"/>
      </w:divBdr>
    </w:div>
    <w:div w:id="601374416">
      <w:bodyDiv w:val="1"/>
      <w:marLeft w:val="0"/>
      <w:marRight w:val="0"/>
      <w:marTop w:val="0"/>
      <w:marBottom w:val="0"/>
      <w:divBdr>
        <w:top w:val="none" w:sz="0" w:space="0" w:color="auto"/>
        <w:left w:val="none" w:sz="0" w:space="0" w:color="auto"/>
        <w:bottom w:val="none" w:sz="0" w:space="0" w:color="auto"/>
        <w:right w:val="none" w:sz="0" w:space="0" w:color="auto"/>
      </w:divBdr>
    </w:div>
    <w:div w:id="601495334">
      <w:bodyDiv w:val="1"/>
      <w:marLeft w:val="0"/>
      <w:marRight w:val="0"/>
      <w:marTop w:val="0"/>
      <w:marBottom w:val="0"/>
      <w:divBdr>
        <w:top w:val="none" w:sz="0" w:space="0" w:color="auto"/>
        <w:left w:val="none" w:sz="0" w:space="0" w:color="auto"/>
        <w:bottom w:val="none" w:sz="0" w:space="0" w:color="auto"/>
        <w:right w:val="none" w:sz="0" w:space="0" w:color="auto"/>
      </w:divBdr>
    </w:div>
    <w:div w:id="602810542">
      <w:bodyDiv w:val="1"/>
      <w:marLeft w:val="0"/>
      <w:marRight w:val="0"/>
      <w:marTop w:val="0"/>
      <w:marBottom w:val="0"/>
      <w:divBdr>
        <w:top w:val="none" w:sz="0" w:space="0" w:color="auto"/>
        <w:left w:val="none" w:sz="0" w:space="0" w:color="auto"/>
        <w:bottom w:val="none" w:sz="0" w:space="0" w:color="auto"/>
        <w:right w:val="none" w:sz="0" w:space="0" w:color="auto"/>
      </w:divBdr>
    </w:div>
    <w:div w:id="602957795">
      <w:bodyDiv w:val="1"/>
      <w:marLeft w:val="0"/>
      <w:marRight w:val="0"/>
      <w:marTop w:val="0"/>
      <w:marBottom w:val="0"/>
      <w:divBdr>
        <w:top w:val="none" w:sz="0" w:space="0" w:color="auto"/>
        <w:left w:val="none" w:sz="0" w:space="0" w:color="auto"/>
        <w:bottom w:val="none" w:sz="0" w:space="0" w:color="auto"/>
        <w:right w:val="none" w:sz="0" w:space="0" w:color="auto"/>
      </w:divBdr>
    </w:div>
    <w:div w:id="603148508">
      <w:bodyDiv w:val="1"/>
      <w:marLeft w:val="0"/>
      <w:marRight w:val="0"/>
      <w:marTop w:val="0"/>
      <w:marBottom w:val="0"/>
      <w:divBdr>
        <w:top w:val="none" w:sz="0" w:space="0" w:color="auto"/>
        <w:left w:val="none" w:sz="0" w:space="0" w:color="auto"/>
        <w:bottom w:val="none" w:sz="0" w:space="0" w:color="auto"/>
        <w:right w:val="none" w:sz="0" w:space="0" w:color="auto"/>
      </w:divBdr>
    </w:div>
    <w:div w:id="603349007">
      <w:bodyDiv w:val="1"/>
      <w:marLeft w:val="0"/>
      <w:marRight w:val="0"/>
      <w:marTop w:val="0"/>
      <w:marBottom w:val="0"/>
      <w:divBdr>
        <w:top w:val="none" w:sz="0" w:space="0" w:color="auto"/>
        <w:left w:val="none" w:sz="0" w:space="0" w:color="auto"/>
        <w:bottom w:val="none" w:sz="0" w:space="0" w:color="auto"/>
        <w:right w:val="none" w:sz="0" w:space="0" w:color="auto"/>
      </w:divBdr>
    </w:div>
    <w:div w:id="603421410">
      <w:bodyDiv w:val="1"/>
      <w:marLeft w:val="0"/>
      <w:marRight w:val="0"/>
      <w:marTop w:val="0"/>
      <w:marBottom w:val="0"/>
      <w:divBdr>
        <w:top w:val="none" w:sz="0" w:space="0" w:color="auto"/>
        <w:left w:val="none" w:sz="0" w:space="0" w:color="auto"/>
        <w:bottom w:val="none" w:sz="0" w:space="0" w:color="auto"/>
        <w:right w:val="none" w:sz="0" w:space="0" w:color="auto"/>
      </w:divBdr>
    </w:div>
    <w:div w:id="603807131">
      <w:bodyDiv w:val="1"/>
      <w:marLeft w:val="0"/>
      <w:marRight w:val="0"/>
      <w:marTop w:val="0"/>
      <w:marBottom w:val="0"/>
      <w:divBdr>
        <w:top w:val="none" w:sz="0" w:space="0" w:color="auto"/>
        <w:left w:val="none" w:sz="0" w:space="0" w:color="auto"/>
        <w:bottom w:val="none" w:sz="0" w:space="0" w:color="auto"/>
        <w:right w:val="none" w:sz="0" w:space="0" w:color="auto"/>
      </w:divBdr>
    </w:div>
    <w:div w:id="604851966">
      <w:bodyDiv w:val="1"/>
      <w:marLeft w:val="0"/>
      <w:marRight w:val="0"/>
      <w:marTop w:val="0"/>
      <w:marBottom w:val="0"/>
      <w:divBdr>
        <w:top w:val="none" w:sz="0" w:space="0" w:color="auto"/>
        <w:left w:val="none" w:sz="0" w:space="0" w:color="auto"/>
        <w:bottom w:val="none" w:sz="0" w:space="0" w:color="auto"/>
        <w:right w:val="none" w:sz="0" w:space="0" w:color="auto"/>
      </w:divBdr>
    </w:div>
    <w:div w:id="605697005">
      <w:bodyDiv w:val="1"/>
      <w:marLeft w:val="0"/>
      <w:marRight w:val="0"/>
      <w:marTop w:val="0"/>
      <w:marBottom w:val="0"/>
      <w:divBdr>
        <w:top w:val="none" w:sz="0" w:space="0" w:color="auto"/>
        <w:left w:val="none" w:sz="0" w:space="0" w:color="auto"/>
        <w:bottom w:val="none" w:sz="0" w:space="0" w:color="auto"/>
        <w:right w:val="none" w:sz="0" w:space="0" w:color="auto"/>
      </w:divBdr>
    </w:div>
    <w:div w:id="605774621">
      <w:bodyDiv w:val="1"/>
      <w:marLeft w:val="0"/>
      <w:marRight w:val="0"/>
      <w:marTop w:val="0"/>
      <w:marBottom w:val="0"/>
      <w:divBdr>
        <w:top w:val="none" w:sz="0" w:space="0" w:color="auto"/>
        <w:left w:val="none" w:sz="0" w:space="0" w:color="auto"/>
        <w:bottom w:val="none" w:sz="0" w:space="0" w:color="auto"/>
        <w:right w:val="none" w:sz="0" w:space="0" w:color="auto"/>
      </w:divBdr>
    </w:div>
    <w:div w:id="606078445">
      <w:bodyDiv w:val="1"/>
      <w:marLeft w:val="0"/>
      <w:marRight w:val="0"/>
      <w:marTop w:val="0"/>
      <w:marBottom w:val="0"/>
      <w:divBdr>
        <w:top w:val="none" w:sz="0" w:space="0" w:color="auto"/>
        <w:left w:val="none" w:sz="0" w:space="0" w:color="auto"/>
        <w:bottom w:val="none" w:sz="0" w:space="0" w:color="auto"/>
        <w:right w:val="none" w:sz="0" w:space="0" w:color="auto"/>
      </w:divBdr>
    </w:div>
    <w:div w:id="606079518">
      <w:bodyDiv w:val="1"/>
      <w:marLeft w:val="0"/>
      <w:marRight w:val="0"/>
      <w:marTop w:val="0"/>
      <w:marBottom w:val="0"/>
      <w:divBdr>
        <w:top w:val="none" w:sz="0" w:space="0" w:color="auto"/>
        <w:left w:val="none" w:sz="0" w:space="0" w:color="auto"/>
        <w:bottom w:val="none" w:sz="0" w:space="0" w:color="auto"/>
        <w:right w:val="none" w:sz="0" w:space="0" w:color="auto"/>
      </w:divBdr>
    </w:div>
    <w:div w:id="607547014">
      <w:bodyDiv w:val="1"/>
      <w:marLeft w:val="0"/>
      <w:marRight w:val="0"/>
      <w:marTop w:val="0"/>
      <w:marBottom w:val="0"/>
      <w:divBdr>
        <w:top w:val="none" w:sz="0" w:space="0" w:color="auto"/>
        <w:left w:val="none" w:sz="0" w:space="0" w:color="auto"/>
        <w:bottom w:val="none" w:sz="0" w:space="0" w:color="auto"/>
        <w:right w:val="none" w:sz="0" w:space="0" w:color="auto"/>
      </w:divBdr>
    </w:div>
    <w:div w:id="607585026">
      <w:bodyDiv w:val="1"/>
      <w:marLeft w:val="0"/>
      <w:marRight w:val="0"/>
      <w:marTop w:val="0"/>
      <w:marBottom w:val="0"/>
      <w:divBdr>
        <w:top w:val="none" w:sz="0" w:space="0" w:color="auto"/>
        <w:left w:val="none" w:sz="0" w:space="0" w:color="auto"/>
        <w:bottom w:val="none" w:sz="0" w:space="0" w:color="auto"/>
        <w:right w:val="none" w:sz="0" w:space="0" w:color="auto"/>
      </w:divBdr>
    </w:div>
    <w:div w:id="607587370">
      <w:bodyDiv w:val="1"/>
      <w:marLeft w:val="0"/>
      <w:marRight w:val="0"/>
      <w:marTop w:val="0"/>
      <w:marBottom w:val="0"/>
      <w:divBdr>
        <w:top w:val="none" w:sz="0" w:space="0" w:color="auto"/>
        <w:left w:val="none" w:sz="0" w:space="0" w:color="auto"/>
        <w:bottom w:val="none" w:sz="0" w:space="0" w:color="auto"/>
        <w:right w:val="none" w:sz="0" w:space="0" w:color="auto"/>
      </w:divBdr>
    </w:div>
    <w:div w:id="607591409">
      <w:bodyDiv w:val="1"/>
      <w:marLeft w:val="0"/>
      <w:marRight w:val="0"/>
      <w:marTop w:val="0"/>
      <w:marBottom w:val="0"/>
      <w:divBdr>
        <w:top w:val="none" w:sz="0" w:space="0" w:color="auto"/>
        <w:left w:val="none" w:sz="0" w:space="0" w:color="auto"/>
        <w:bottom w:val="none" w:sz="0" w:space="0" w:color="auto"/>
        <w:right w:val="none" w:sz="0" w:space="0" w:color="auto"/>
      </w:divBdr>
    </w:div>
    <w:div w:id="607737262">
      <w:bodyDiv w:val="1"/>
      <w:marLeft w:val="0"/>
      <w:marRight w:val="0"/>
      <w:marTop w:val="0"/>
      <w:marBottom w:val="0"/>
      <w:divBdr>
        <w:top w:val="none" w:sz="0" w:space="0" w:color="auto"/>
        <w:left w:val="none" w:sz="0" w:space="0" w:color="auto"/>
        <w:bottom w:val="none" w:sz="0" w:space="0" w:color="auto"/>
        <w:right w:val="none" w:sz="0" w:space="0" w:color="auto"/>
      </w:divBdr>
    </w:div>
    <w:div w:id="608123577">
      <w:bodyDiv w:val="1"/>
      <w:marLeft w:val="0"/>
      <w:marRight w:val="0"/>
      <w:marTop w:val="0"/>
      <w:marBottom w:val="0"/>
      <w:divBdr>
        <w:top w:val="none" w:sz="0" w:space="0" w:color="auto"/>
        <w:left w:val="none" w:sz="0" w:space="0" w:color="auto"/>
        <w:bottom w:val="none" w:sz="0" w:space="0" w:color="auto"/>
        <w:right w:val="none" w:sz="0" w:space="0" w:color="auto"/>
      </w:divBdr>
    </w:div>
    <w:div w:id="608436423">
      <w:bodyDiv w:val="1"/>
      <w:marLeft w:val="0"/>
      <w:marRight w:val="0"/>
      <w:marTop w:val="0"/>
      <w:marBottom w:val="0"/>
      <w:divBdr>
        <w:top w:val="none" w:sz="0" w:space="0" w:color="auto"/>
        <w:left w:val="none" w:sz="0" w:space="0" w:color="auto"/>
        <w:bottom w:val="none" w:sz="0" w:space="0" w:color="auto"/>
        <w:right w:val="none" w:sz="0" w:space="0" w:color="auto"/>
      </w:divBdr>
    </w:div>
    <w:div w:id="608706399">
      <w:bodyDiv w:val="1"/>
      <w:marLeft w:val="0"/>
      <w:marRight w:val="0"/>
      <w:marTop w:val="0"/>
      <w:marBottom w:val="0"/>
      <w:divBdr>
        <w:top w:val="none" w:sz="0" w:space="0" w:color="auto"/>
        <w:left w:val="none" w:sz="0" w:space="0" w:color="auto"/>
        <w:bottom w:val="none" w:sz="0" w:space="0" w:color="auto"/>
        <w:right w:val="none" w:sz="0" w:space="0" w:color="auto"/>
      </w:divBdr>
    </w:div>
    <w:div w:id="608783646">
      <w:bodyDiv w:val="1"/>
      <w:marLeft w:val="0"/>
      <w:marRight w:val="0"/>
      <w:marTop w:val="0"/>
      <w:marBottom w:val="0"/>
      <w:divBdr>
        <w:top w:val="none" w:sz="0" w:space="0" w:color="auto"/>
        <w:left w:val="none" w:sz="0" w:space="0" w:color="auto"/>
        <w:bottom w:val="none" w:sz="0" w:space="0" w:color="auto"/>
        <w:right w:val="none" w:sz="0" w:space="0" w:color="auto"/>
      </w:divBdr>
    </w:div>
    <w:div w:id="609510187">
      <w:bodyDiv w:val="1"/>
      <w:marLeft w:val="0"/>
      <w:marRight w:val="0"/>
      <w:marTop w:val="0"/>
      <w:marBottom w:val="0"/>
      <w:divBdr>
        <w:top w:val="none" w:sz="0" w:space="0" w:color="auto"/>
        <w:left w:val="none" w:sz="0" w:space="0" w:color="auto"/>
        <w:bottom w:val="none" w:sz="0" w:space="0" w:color="auto"/>
        <w:right w:val="none" w:sz="0" w:space="0" w:color="auto"/>
      </w:divBdr>
    </w:div>
    <w:div w:id="609703691">
      <w:bodyDiv w:val="1"/>
      <w:marLeft w:val="0"/>
      <w:marRight w:val="0"/>
      <w:marTop w:val="0"/>
      <w:marBottom w:val="0"/>
      <w:divBdr>
        <w:top w:val="none" w:sz="0" w:space="0" w:color="auto"/>
        <w:left w:val="none" w:sz="0" w:space="0" w:color="auto"/>
        <w:bottom w:val="none" w:sz="0" w:space="0" w:color="auto"/>
        <w:right w:val="none" w:sz="0" w:space="0" w:color="auto"/>
      </w:divBdr>
    </w:div>
    <w:div w:id="609821772">
      <w:bodyDiv w:val="1"/>
      <w:marLeft w:val="0"/>
      <w:marRight w:val="0"/>
      <w:marTop w:val="0"/>
      <w:marBottom w:val="0"/>
      <w:divBdr>
        <w:top w:val="none" w:sz="0" w:space="0" w:color="auto"/>
        <w:left w:val="none" w:sz="0" w:space="0" w:color="auto"/>
        <w:bottom w:val="none" w:sz="0" w:space="0" w:color="auto"/>
        <w:right w:val="none" w:sz="0" w:space="0" w:color="auto"/>
      </w:divBdr>
    </w:div>
    <w:div w:id="610164147">
      <w:bodyDiv w:val="1"/>
      <w:marLeft w:val="0"/>
      <w:marRight w:val="0"/>
      <w:marTop w:val="0"/>
      <w:marBottom w:val="0"/>
      <w:divBdr>
        <w:top w:val="none" w:sz="0" w:space="0" w:color="auto"/>
        <w:left w:val="none" w:sz="0" w:space="0" w:color="auto"/>
        <w:bottom w:val="none" w:sz="0" w:space="0" w:color="auto"/>
        <w:right w:val="none" w:sz="0" w:space="0" w:color="auto"/>
      </w:divBdr>
    </w:div>
    <w:div w:id="610281323">
      <w:bodyDiv w:val="1"/>
      <w:marLeft w:val="0"/>
      <w:marRight w:val="0"/>
      <w:marTop w:val="0"/>
      <w:marBottom w:val="0"/>
      <w:divBdr>
        <w:top w:val="none" w:sz="0" w:space="0" w:color="auto"/>
        <w:left w:val="none" w:sz="0" w:space="0" w:color="auto"/>
        <w:bottom w:val="none" w:sz="0" w:space="0" w:color="auto"/>
        <w:right w:val="none" w:sz="0" w:space="0" w:color="auto"/>
      </w:divBdr>
    </w:div>
    <w:div w:id="610406241">
      <w:bodyDiv w:val="1"/>
      <w:marLeft w:val="0"/>
      <w:marRight w:val="0"/>
      <w:marTop w:val="0"/>
      <w:marBottom w:val="0"/>
      <w:divBdr>
        <w:top w:val="none" w:sz="0" w:space="0" w:color="auto"/>
        <w:left w:val="none" w:sz="0" w:space="0" w:color="auto"/>
        <w:bottom w:val="none" w:sz="0" w:space="0" w:color="auto"/>
        <w:right w:val="none" w:sz="0" w:space="0" w:color="auto"/>
      </w:divBdr>
    </w:div>
    <w:div w:id="610553216">
      <w:bodyDiv w:val="1"/>
      <w:marLeft w:val="0"/>
      <w:marRight w:val="0"/>
      <w:marTop w:val="0"/>
      <w:marBottom w:val="0"/>
      <w:divBdr>
        <w:top w:val="none" w:sz="0" w:space="0" w:color="auto"/>
        <w:left w:val="none" w:sz="0" w:space="0" w:color="auto"/>
        <w:bottom w:val="none" w:sz="0" w:space="0" w:color="auto"/>
        <w:right w:val="none" w:sz="0" w:space="0" w:color="auto"/>
      </w:divBdr>
    </w:div>
    <w:div w:id="610749195">
      <w:bodyDiv w:val="1"/>
      <w:marLeft w:val="0"/>
      <w:marRight w:val="0"/>
      <w:marTop w:val="0"/>
      <w:marBottom w:val="0"/>
      <w:divBdr>
        <w:top w:val="none" w:sz="0" w:space="0" w:color="auto"/>
        <w:left w:val="none" w:sz="0" w:space="0" w:color="auto"/>
        <w:bottom w:val="none" w:sz="0" w:space="0" w:color="auto"/>
        <w:right w:val="none" w:sz="0" w:space="0" w:color="auto"/>
      </w:divBdr>
    </w:div>
    <w:div w:id="611011085">
      <w:bodyDiv w:val="1"/>
      <w:marLeft w:val="0"/>
      <w:marRight w:val="0"/>
      <w:marTop w:val="0"/>
      <w:marBottom w:val="0"/>
      <w:divBdr>
        <w:top w:val="none" w:sz="0" w:space="0" w:color="auto"/>
        <w:left w:val="none" w:sz="0" w:space="0" w:color="auto"/>
        <w:bottom w:val="none" w:sz="0" w:space="0" w:color="auto"/>
        <w:right w:val="none" w:sz="0" w:space="0" w:color="auto"/>
      </w:divBdr>
    </w:div>
    <w:div w:id="611084966">
      <w:bodyDiv w:val="1"/>
      <w:marLeft w:val="0"/>
      <w:marRight w:val="0"/>
      <w:marTop w:val="0"/>
      <w:marBottom w:val="0"/>
      <w:divBdr>
        <w:top w:val="none" w:sz="0" w:space="0" w:color="auto"/>
        <w:left w:val="none" w:sz="0" w:space="0" w:color="auto"/>
        <w:bottom w:val="none" w:sz="0" w:space="0" w:color="auto"/>
        <w:right w:val="none" w:sz="0" w:space="0" w:color="auto"/>
      </w:divBdr>
    </w:div>
    <w:div w:id="611548796">
      <w:bodyDiv w:val="1"/>
      <w:marLeft w:val="0"/>
      <w:marRight w:val="0"/>
      <w:marTop w:val="0"/>
      <w:marBottom w:val="0"/>
      <w:divBdr>
        <w:top w:val="none" w:sz="0" w:space="0" w:color="auto"/>
        <w:left w:val="none" w:sz="0" w:space="0" w:color="auto"/>
        <w:bottom w:val="none" w:sz="0" w:space="0" w:color="auto"/>
        <w:right w:val="none" w:sz="0" w:space="0" w:color="auto"/>
      </w:divBdr>
    </w:div>
    <w:div w:id="612324665">
      <w:bodyDiv w:val="1"/>
      <w:marLeft w:val="0"/>
      <w:marRight w:val="0"/>
      <w:marTop w:val="0"/>
      <w:marBottom w:val="0"/>
      <w:divBdr>
        <w:top w:val="none" w:sz="0" w:space="0" w:color="auto"/>
        <w:left w:val="none" w:sz="0" w:space="0" w:color="auto"/>
        <w:bottom w:val="none" w:sz="0" w:space="0" w:color="auto"/>
        <w:right w:val="none" w:sz="0" w:space="0" w:color="auto"/>
      </w:divBdr>
    </w:div>
    <w:div w:id="612905496">
      <w:bodyDiv w:val="1"/>
      <w:marLeft w:val="0"/>
      <w:marRight w:val="0"/>
      <w:marTop w:val="0"/>
      <w:marBottom w:val="0"/>
      <w:divBdr>
        <w:top w:val="none" w:sz="0" w:space="0" w:color="auto"/>
        <w:left w:val="none" w:sz="0" w:space="0" w:color="auto"/>
        <w:bottom w:val="none" w:sz="0" w:space="0" w:color="auto"/>
        <w:right w:val="none" w:sz="0" w:space="0" w:color="auto"/>
      </w:divBdr>
    </w:div>
    <w:div w:id="612976975">
      <w:bodyDiv w:val="1"/>
      <w:marLeft w:val="0"/>
      <w:marRight w:val="0"/>
      <w:marTop w:val="0"/>
      <w:marBottom w:val="0"/>
      <w:divBdr>
        <w:top w:val="none" w:sz="0" w:space="0" w:color="auto"/>
        <w:left w:val="none" w:sz="0" w:space="0" w:color="auto"/>
        <w:bottom w:val="none" w:sz="0" w:space="0" w:color="auto"/>
        <w:right w:val="none" w:sz="0" w:space="0" w:color="auto"/>
      </w:divBdr>
    </w:div>
    <w:div w:id="614479010">
      <w:bodyDiv w:val="1"/>
      <w:marLeft w:val="0"/>
      <w:marRight w:val="0"/>
      <w:marTop w:val="0"/>
      <w:marBottom w:val="0"/>
      <w:divBdr>
        <w:top w:val="none" w:sz="0" w:space="0" w:color="auto"/>
        <w:left w:val="none" w:sz="0" w:space="0" w:color="auto"/>
        <w:bottom w:val="none" w:sz="0" w:space="0" w:color="auto"/>
        <w:right w:val="none" w:sz="0" w:space="0" w:color="auto"/>
      </w:divBdr>
    </w:div>
    <w:div w:id="614674895">
      <w:bodyDiv w:val="1"/>
      <w:marLeft w:val="0"/>
      <w:marRight w:val="0"/>
      <w:marTop w:val="0"/>
      <w:marBottom w:val="0"/>
      <w:divBdr>
        <w:top w:val="none" w:sz="0" w:space="0" w:color="auto"/>
        <w:left w:val="none" w:sz="0" w:space="0" w:color="auto"/>
        <w:bottom w:val="none" w:sz="0" w:space="0" w:color="auto"/>
        <w:right w:val="none" w:sz="0" w:space="0" w:color="auto"/>
      </w:divBdr>
    </w:div>
    <w:div w:id="614868355">
      <w:bodyDiv w:val="1"/>
      <w:marLeft w:val="0"/>
      <w:marRight w:val="0"/>
      <w:marTop w:val="0"/>
      <w:marBottom w:val="0"/>
      <w:divBdr>
        <w:top w:val="none" w:sz="0" w:space="0" w:color="auto"/>
        <w:left w:val="none" w:sz="0" w:space="0" w:color="auto"/>
        <w:bottom w:val="none" w:sz="0" w:space="0" w:color="auto"/>
        <w:right w:val="none" w:sz="0" w:space="0" w:color="auto"/>
      </w:divBdr>
    </w:div>
    <w:div w:id="615217708">
      <w:bodyDiv w:val="1"/>
      <w:marLeft w:val="0"/>
      <w:marRight w:val="0"/>
      <w:marTop w:val="0"/>
      <w:marBottom w:val="0"/>
      <w:divBdr>
        <w:top w:val="none" w:sz="0" w:space="0" w:color="auto"/>
        <w:left w:val="none" w:sz="0" w:space="0" w:color="auto"/>
        <w:bottom w:val="none" w:sz="0" w:space="0" w:color="auto"/>
        <w:right w:val="none" w:sz="0" w:space="0" w:color="auto"/>
      </w:divBdr>
    </w:div>
    <w:div w:id="615791939">
      <w:bodyDiv w:val="1"/>
      <w:marLeft w:val="0"/>
      <w:marRight w:val="0"/>
      <w:marTop w:val="0"/>
      <w:marBottom w:val="0"/>
      <w:divBdr>
        <w:top w:val="none" w:sz="0" w:space="0" w:color="auto"/>
        <w:left w:val="none" w:sz="0" w:space="0" w:color="auto"/>
        <w:bottom w:val="none" w:sz="0" w:space="0" w:color="auto"/>
        <w:right w:val="none" w:sz="0" w:space="0" w:color="auto"/>
      </w:divBdr>
    </w:div>
    <w:div w:id="616376994">
      <w:bodyDiv w:val="1"/>
      <w:marLeft w:val="0"/>
      <w:marRight w:val="0"/>
      <w:marTop w:val="0"/>
      <w:marBottom w:val="0"/>
      <w:divBdr>
        <w:top w:val="none" w:sz="0" w:space="0" w:color="auto"/>
        <w:left w:val="none" w:sz="0" w:space="0" w:color="auto"/>
        <w:bottom w:val="none" w:sz="0" w:space="0" w:color="auto"/>
        <w:right w:val="none" w:sz="0" w:space="0" w:color="auto"/>
      </w:divBdr>
    </w:div>
    <w:div w:id="616722597">
      <w:bodyDiv w:val="1"/>
      <w:marLeft w:val="0"/>
      <w:marRight w:val="0"/>
      <w:marTop w:val="0"/>
      <w:marBottom w:val="0"/>
      <w:divBdr>
        <w:top w:val="none" w:sz="0" w:space="0" w:color="auto"/>
        <w:left w:val="none" w:sz="0" w:space="0" w:color="auto"/>
        <w:bottom w:val="none" w:sz="0" w:space="0" w:color="auto"/>
        <w:right w:val="none" w:sz="0" w:space="0" w:color="auto"/>
      </w:divBdr>
    </w:div>
    <w:div w:id="616985132">
      <w:bodyDiv w:val="1"/>
      <w:marLeft w:val="0"/>
      <w:marRight w:val="0"/>
      <w:marTop w:val="0"/>
      <w:marBottom w:val="0"/>
      <w:divBdr>
        <w:top w:val="none" w:sz="0" w:space="0" w:color="auto"/>
        <w:left w:val="none" w:sz="0" w:space="0" w:color="auto"/>
        <w:bottom w:val="none" w:sz="0" w:space="0" w:color="auto"/>
        <w:right w:val="none" w:sz="0" w:space="0" w:color="auto"/>
      </w:divBdr>
    </w:div>
    <w:div w:id="617219088">
      <w:bodyDiv w:val="1"/>
      <w:marLeft w:val="0"/>
      <w:marRight w:val="0"/>
      <w:marTop w:val="0"/>
      <w:marBottom w:val="0"/>
      <w:divBdr>
        <w:top w:val="none" w:sz="0" w:space="0" w:color="auto"/>
        <w:left w:val="none" w:sz="0" w:space="0" w:color="auto"/>
        <w:bottom w:val="none" w:sz="0" w:space="0" w:color="auto"/>
        <w:right w:val="none" w:sz="0" w:space="0" w:color="auto"/>
      </w:divBdr>
    </w:div>
    <w:div w:id="617957357">
      <w:bodyDiv w:val="1"/>
      <w:marLeft w:val="0"/>
      <w:marRight w:val="0"/>
      <w:marTop w:val="0"/>
      <w:marBottom w:val="0"/>
      <w:divBdr>
        <w:top w:val="none" w:sz="0" w:space="0" w:color="auto"/>
        <w:left w:val="none" w:sz="0" w:space="0" w:color="auto"/>
        <w:bottom w:val="none" w:sz="0" w:space="0" w:color="auto"/>
        <w:right w:val="none" w:sz="0" w:space="0" w:color="auto"/>
      </w:divBdr>
    </w:div>
    <w:div w:id="618220043">
      <w:bodyDiv w:val="1"/>
      <w:marLeft w:val="0"/>
      <w:marRight w:val="0"/>
      <w:marTop w:val="0"/>
      <w:marBottom w:val="0"/>
      <w:divBdr>
        <w:top w:val="none" w:sz="0" w:space="0" w:color="auto"/>
        <w:left w:val="none" w:sz="0" w:space="0" w:color="auto"/>
        <w:bottom w:val="none" w:sz="0" w:space="0" w:color="auto"/>
        <w:right w:val="none" w:sz="0" w:space="0" w:color="auto"/>
      </w:divBdr>
    </w:div>
    <w:div w:id="618998321">
      <w:bodyDiv w:val="1"/>
      <w:marLeft w:val="0"/>
      <w:marRight w:val="0"/>
      <w:marTop w:val="0"/>
      <w:marBottom w:val="0"/>
      <w:divBdr>
        <w:top w:val="none" w:sz="0" w:space="0" w:color="auto"/>
        <w:left w:val="none" w:sz="0" w:space="0" w:color="auto"/>
        <w:bottom w:val="none" w:sz="0" w:space="0" w:color="auto"/>
        <w:right w:val="none" w:sz="0" w:space="0" w:color="auto"/>
      </w:divBdr>
    </w:div>
    <w:div w:id="619191044">
      <w:bodyDiv w:val="1"/>
      <w:marLeft w:val="0"/>
      <w:marRight w:val="0"/>
      <w:marTop w:val="0"/>
      <w:marBottom w:val="0"/>
      <w:divBdr>
        <w:top w:val="none" w:sz="0" w:space="0" w:color="auto"/>
        <w:left w:val="none" w:sz="0" w:space="0" w:color="auto"/>
        <w:bottom w:val="none" w:sz="0" w:space="0" w:color="auto"/>
        <w:right w:val="none" w:sz="0" w:space="0" w:color="auto"/>
      </w:divBdr>
    </w:div>
    <w:div w:id="619529859">
      <w:bodyDiv w:val="1"/>
      <w:marLeft w:val="0"/>
      <w:marRight w:val="0"/>
      <w:marTop w:val="0"/>
      <w:marBottom w:val="0"/>
      <w:divBdr>
        <w:top w:val="none" w:sz="0" w:space="0" w:color="auto"/>
        <w:left w:val="none" w:sz="0" w:space="0" w:color="auto"/>
        <w:bottom w:val="none" w:sz="0" w:space="0" w:color="auto"/>
        <w:right w:val="none" w:sz="0" w:space="0" w:color="auto"/>
      </w:divBdr>
    </w:div>
    <w:div w:id="619728274">
      <w:bodyDiv w:val="1"/>
      <w:marLeft w:val="0"/>
      <w:marRight w:val="0"/>
      <w:marTop w:val="0"/>
      <w:marBottom w:val="0"/>
      <w:divBdr>
        <w:top w:val="none" w:sz="0" w:space="0" w:color="auto"/>
        <w:left w:val="none" w:sz="0" w:space="0" w:color="auto"/>
        <w:bottom w:val="none" w:sz="0" w:space="0" w:color="auto"/>
        <w:right w:val="none" w:sz="0" w:space="0" w:color="auto"/>
      </w:divBdr>
    </w:div>
    <w:div w:id="619841977">
      <w:bodyDiv w:val="1"/>
      <w:marLeft w:val="0"/>
      <w:marRight w:val="0"/>
      <w:marTop w:val="0"/>
      <w:marBottom w:val="0"/>
      <w:divBdr>
        <w:top w:val="none" w:sz="0" w:space="0" w:color="auto"/>
        <w:left w:val="none" w:sz="0" w:space="0" w:color="auto"/>
        <w:bottom w:val="none" w:sz="0" w:space="0" w:color="auto"/>
        <w:right w:val="none" w:sz="0" w:space="0" w:color="auto"/>
      </w:divBdr>
    </w:div>
    <w:div w:id="620457913">
      <w:bodyDiv w:val="1"/>
      <w:marLeft w:val="0"/>
      <w:marRight w:val="0"/>
      <w:marTop w:val="0"/>
      <w:marBottom w:val="0"/>
      <w:divBdr>
        <w:top w:val="none" w:sz="0" w:space="0" w:color="auto"/>
        <w:left w:val="none" w:sz="0" w:space="0" w:color="auto"/>
        <w:bottom w:val="none" w:sz="0" w:space="0" w:color="auto"/>
        <w:right w:val="none" w:sz="0" w:space="0" w:color="auto"/>
      </w:divBdr>
    </w:div>
    <w:div w:id="621884792">
      <w:bodyDiv w:val="1"/>
      <w:marLeft w:val="0"/>
      <w:marRight w:val="0"/>
      <w:marTop w:val="0"/>
      <w:marBottom w:val="0"/>
      <w:divBdr>
        <w:top w:val="none" w:sz="0" w:space="0" w:color="auto"/>
        <w:left w:val="none" w:sz="0" w:space="0" w:color="auto"/>
        <w:bottom w:val="none" w:sz="0" w:space="0" w:color="auto"/>
        <w:right w:val="none" w:sz="0" w:space="0" w:color="auto"/>
      </w:divBdr>
    </w:div>
    <w:div w:id="622074094">
      <w:bodyDiv w:val="1"/>
      <w:marLeft w:val="0"/>
      <w:marRight w:val="0"/>
      <w:marTop w:val="0"/>
      <w:marBottom w:val="0"/>
      <w:divBdr>
        <w:top w:val="none" w:sz="0" w:space="0" w:color="auto"/>
        <w:left w:val="none" w:sz="0" w:space="0" w:color="auto"/>
        <w:bottom w:val="none" w:sz="0" w:space="0" w:color="auto"/>
        <w:right w:val="none" w:sz="0" w:space="0" w:color="auto"/>
      </w:divBdr>
    </w:div>
    <w:div w:id="622537050">
      <w:bodyDiv w:val="1"/>
      <w:marLeft w:val="0"/>
      <w:marRight w:val="0"/>
      <w:marTop w:val="0"/>
      <w:marBottom w:val="0"/>
      <w:divBdr>
        <w:top w:val="none" w:sz="0" w:space="0" w:color="auto"/>
        <w:left w:val="none" w:sz="0" w:space="0" w:color="auto"/>
        <w:bottom w:val="none" w:sz="0" w:space="0" w:color="auto"/>
        <w:right w:val="none" w:sz="0" w:space="0" w:color="auto"/>
      </w:divBdr>
    </w:div>
    <w:div w:id="622544804">
      <w:bodyDiv w:val="1"/>
      <w:marLeft w:val="0"/>
      <w:marRight w:val="0"/>
      <w:marTop w:val="0"/>
      <w:marBottom w:val="0"/>
      <w:divBdr>
        <w:top w:val="none" w:sz="0" w:space="0" w:color="auto"/>
        <w:left w:val="none" w:sz="0" w:space="0" w:color="auto"/>
        <w:bottom w:val="none" w:sz="0" w:space="0" w:color="auto"/>
        <w:right w:val="none" w:sz="0" w:space="0" w:color="auto"/>
      </w:divBdr>
    </w:div>
    <w:div w:id="622686723">
      <w:bodyDiv w:val="1"/>
      <w:marLeft w:val="0"/>
      <w:marRight w:val="0"/>
      <w:marTop w:val="0"/>
      <w:marBottom w:val="0"/>
      <w:divBdr>
        <w:top w:val="none" w:sz="0" w:space="0" w:color="auto"/>
        <w:left w:val="none" w:sz="0" w:space="0" w:color="auto"/>
        <w:bottom w:val="none" w:sz="0" w:space="0" w:color="auto"/>
        <w:right w:val="none" w:sz="0" w:space="0" w:color="auto"/>
      </w:divBdr>
    </w:div>
    <w:div w:id="622734820">
      <w:bodyDiv w:val="1"/>
      <w:marLeft w:val="0"/>
      <w:marRight w:val="0"/>
      <w:marTop w:val="0"/>
      <w:marBottom w:val="0"/>
      <w:divBdr>
        <w:top w:val="none" w:sz="0" w:space="0" w:color="auto"/>
        <w:left w:val="none" w:sz="0" w:space="0" w:color="auto"/>
        <w:bottom w:val="none" w:sz="0" w:space="0" w:color="auto"/>
        <w:right w:val="none" w:sz="0" w:space="0" w:color="auto"/>
      </w:divBdr>
    </w:div>
    <w:div w:id="623002985">
      <w:bodyDiv w:val="1"/>
      <w:marLeft w:val="0"/>
      <w:marRight w:val="0"/>
      <w:marTop w:val="0"/>
      <w:marBottom w:val="0"/>
      <w:divBdr>
        <w:top w:val="none" w:sz="0" w:space="0" w:color="auto"/>
        <w:left w:val="none" w:sz="0" w:space="0" w:color="auto"/>
        <w:bottom w:val="none" w:sz="0" w:space="0" w:color="auto"/>
        <w:right w:val="none" w:sz="0" w:space="0" w:color="auto"/>
      </w:divBdr>
    </w:div>
    <w:div w:id="623077448">
      <w:bodyDiv w:val="1"/>
      <w:marLeft w:val="0"/>
      <w:marRight w:val="0"/>
      <w:marTop w:val="0"/>
      <w:marBottom w:val="0"/>
      <w:divBdr>
        <w:top w:val="none" w:sz="0" w:space="0" w:color="auto"/>
        <w:left w:val="none" w:sz="0" w:space="0" w:color="auto"/>
        <w:bottom w:val="none" w:sz="0" w:space="0" w:color="auto"/>
        <w:right w:val="none" w:sz="0" w:space="0" w:color="auto"/>
      </w:divBdr>
    </w:div>
    <w:div w:id="623774243">
      <w:bodyDiv w:val="1"/>
      <w:marLeft w:val="0"/>
      <w:marRight w:val="0"/>
      <w:marTop w:val="0"/>
      <w:marBottom w:val="0"/>
      <w:divBdr>
        <w:top w:val="none" w:sz="0" w:space="0" w:color="auto"/>
        <w:left w:val="none" w:sz="0" w:space="0" w:color="auto"/>
        <w:bottom w:val="none" w:sz="0" w:space="0" w:color="auto"/>
        <w:right w:val="none" w:sz="0" w:space="0" w:color="auto"/>
      </w:divBdr>
    </w:div>
    <w:div w:id="624238886">
      <w:bodyDiv w:val="1"/>
      <w:marLeft w:val="0"/>
      <w:marRight w:val="0"/>
      <w:marTop w:val="0"/>
      <w:marBottom w:val="0"/>
      <w:divBdr>
        <w:top w:val="none" w:sz="0" w:space="0" w:color="auto"/>
        <w:left w:val="none" w:sz="0" w:space="0" w:color="auto"/>
        <w:bottom w:val="none" w:sz="0" w:space="0" w:color="auto"/>
        <w:right w:val="none" w:sz="0" w:space="0" w:color="auto"/>
      </w:divBdr>
    </w:div>
    <w:div w:id="624316876">
      <w:bodyDiv w:val="1"/>
      <w:marLeft w:val="0"/>
      <w:marRight w:val="0"/>
      <w:marTop w:val="0"/>
      <w:marBottom w:val="0"/>
      <w:divBdr>
        <w:top w:val="none" w:sz="0" w:space="0" w:color="auto"/>
        <w:left w:val="none" w:sz="0" w:space="0" w:color="auto"/>
        <w:bottom w:val="none" w:sz="0" w:space="0" w:color="auto"/>
        <w:right w:val="none" w:sz="0" w:space="0" w:color="auto"/>
      </w:divBdr>
    </w:div>
    <w:div w:id="624384847">
      <w:bodyDiv w:val="1"/>
      <w:marLeft w:val="0"/>
      <w:marRight w:val="0"/>
      <w:marTop w:val="0"/>
      <w:marBottom w:val="0"/>
      <w:divBdr>
        <w:top w:val="none" w:sz="0" w:space="0" w:color="auto"/>
        <w:left w:val="none" w:sz="0" w:space="0" w:color="auto"/>
        <w:bottom w:val="none" w:sz="0" w:space="0" w:color="auto"/>
        <w:right w:val="none" w:sz="0" w:space="0" w:color="auto"/>
      </w:divBdr>
    </w:div>
    <w:div w:id="624507529">
      <w:bodyDiv w:val="1"/>
      <w:marLeft w:val="0"/>
      <w:marRight w:val="0"/>
      <w:marTop w:val="0"/>
      <w:marBottom w:val="0"/>
      <w:divBdr>
        <w:top w:val="none" w:sz="0" w:space="0" w:color="auto"/>
        <w:left w:val="none" w:sz="0" w:space="0" w:color="auto"/>
        <w:bottom w:val="none" w:sz="0" w:space="0" w:color="auto"/>
        <w:right w:val="none" w:sz="0" w:space="0" w:color="auto"/>
      </w:divBdr>
    </w:div>
    <w:div w:id="624580551">
      <w:bodyDiv w:val="1"/>
      <w:marLeft w:val="0"/>
      <w:marRight w:val="0"/>
      <w:marTop w:val="0"/>
      <w:marBottom w:val="0"/>
      <w:divBdr>
        <w:top w:val="none" w:sz="0" w:space="0" w:color="auto"/>
        <w:left w:val="none" w:sz="0" w:space="0" w:color="auto"/>
        <w:bottom w:val="none" w:sz="0" w:space="0" w:color="auto"/>
        <w:right w:val="none" w:sz="0" w:space="0" w:color="auto"/>
      </w:divBdr>
    </w:div>
    <w:div w:id="624585835">
      <w:bodyDiv w:val="1"/>
      <w:marLeft w:val="0"/>
      <w:marRight w:val="0"/>
      <w:marTop w:val="0"/>
      <w:marBottom w:val="0"/>
      <w:divBdr>
        <w:top w:val="none" w:sz="0" w:space="0" w:color="auto"/>
        <w:left w:val="none" w:sz="0" w:space="0" w:color="auto"/>
        <w:bottom w:val="none" w:sz="0" w:space="0" w:color="auto"/>
        <w:right w:val="none" w:sz="0" w:space="0" w:color="auto"/>
      </w:divBdr>
    </w:div>
    <w:div w:id="624845803">
      <w:bodyDiv w:val="1"/>
      <w:marLeft w:val="0"/>
      <w:marRight w:val="0"/>
      <w:marTop w:val="0"/>
      <w:marBottom w:val="0"/>
      <w:divBdr>
        <w:top w:val="none" w:sz="0" w:space="0" w:color="auto"/>
        <w:left w:val="none" w:sz="0" w:space="0" w:color="auto"/>
        <w:bottom w:val="none" w:sz="0" w:space="0" w:color="auto"/>
        <w:right w:val="none" w:sz="0" w:space="0" w:color="auto"/>
      </w:divBdr>
    </w:div>
    <w:div w:id="625506583">
      <w:bodyDiv w:val="1"/>
      <w:marLeft w:val="0"/>
      <w:marRight w:val="0"/>
      <w:marTop w:val="0"/>
      <w:marBottom w:val="0"/>
      <w:divBdr>
        <w:top w:val="none" w:sz="0" w:space="0" w:color="auto"/>
        <w:left w:val="none" w:sz="0" w:space="0" w:color="auto"/>
        <w:bottom w:val="none" w:sz="0" w:space="0" w:color="auto"/>
        <w:right w:val="none" w:sz="0" w:space="0" w:color="auto"/>
      </w:divBdr>
    </w:div>
    <w:div w:id="625545818">
      <w:bodyDiv w:val="1"/>
      <w:marLeft w:val="0"/>
      <w:marRight w:val="0"/>
      <w:marTop w:val="0"/>
      <w:marBottom w:val="0"/>
      <w:divBdr>
        <w:top w:val="none" w:sz="0" w:space="0" w:color="auto"/>
        <w:left w:val="none" w:sz="0" w:space="0" w:color="auto"/>
        <w:bottom w:val="none" w:sz="0" w:space="0" w:color="auto"/>
        <w:right w:val="none" w:sz="0" w:space="0" w:color="auto"/>
      </w:divBdr>
    </w:div>
    <w:div w:id="625547472">
      <w:bodyDiv w:val="1"/>
      <w:marLeft w:val="0"/>
      <w:marRight w:val="0"/>
      <w:marTop w:val="0"/>
      <w:marBottom w:val="0"/>
      <w:divBdr>
        <w:top w:val="none" w:sz="0" w:space="0" w:color="auto"/>
        <w:left w:val="none" w:sz="0" w:space="0" w:color="auto"/>
        <w:bottom w:val="none" w:sz="0" w:space="0" w:color="auto"/>
        <w:right w:val="none" w:sz="0" w:space="0" w:color="auto"/>
      </w:divBdr>
    </w:div>
    <w:div w:id="625744874">
      <w:bodyDiv w:val="1"/>
      <w:marLeft w:val="0"/>
      <w:marRight w:val="0"/>
      <w:marTop w:val="0"/>
      <w:marBottom w:val="0"/>
      <w:divBdr>
        <w:top w:val="none" w:sz="0" w:space="0" w:color="auto"/>
        <w:left w:val="none" w:sz="0" w:space="0" w:color="auto"/>
        <w:bottom w:val="none" w:sz="0" w:space="0" w:color="auto"/>
        <w:right w:val="none" w:sz="0" w:space="0" w:color="auto"/>
      </w:divBdr>
    </w:div>
    <w:div w:id="625937503">
      <w:bodyDiv w:val="1"/>
      <w:marLeft w:val="0"/>
      <w:marRight w:val="0"/>
      <w:marTop w:val="0"/>
      <w:marBottom w:val="0"/>
      <w:divBdr>
        <w:top w:val="none" w:sz="0" w:space="0" w:color="auto"/>
        <w:left w:val="none" w:sz="0" w:space="0" w:color="auto"/>
        <w:bottom w:val="none" w:sz="0" w:space="0" w:color="auto"/>
        <w:right w:val="none" w:sz="0" w:space="0" w:color="auto"/>
      </w:divBdr>
    </w:div>
    <w:div w:id="626005365">
      <w:bodyDiv w:val="1"/>
      <w:marLeft w:val="0"/>
      <w:marRight w:val="0"/>
      <w:marTop w:val="0"/>
      <w:marBottom w:val="0"/>
      <w:divBdr>
        <w:top w:val="none" w:sz="0" w:space="0" w:color="auto"/>
        <w:left w:val="none" w:sz="0" w:space="0" w:color="auto"/>
        <w:bottom w:val="none" w:sz="0" w:space="0" w:color="auto"/>
        <w:right w:val="none" w:sz="0" w:space="0" w:color="auto"/>
      </w:divBdr>
    </w:div>
    <w:div w:id="626088168">
      <w:bodyDiv w:val="1"/>
      <w:marLeft w:val="0"/>
      <w:marRight w:val="0"/>
      <w:marTop w:val="0"/>
      <w:marBottom w:val="0"/>
      <w:divBdr>
        <w:top w:val="none" w:sz="0" w:space="0" w:color="auto"/>
        <w:left w:val="none" w:sz="0" w:space="0" w:color="auto"/>
        <w:bottom w:val="none" w:sz="0" w:space="0" w:color="auto"/>
        <w:right w:val="none" w:sz="0" w:space="0" w:color="auto"/>
      </w:divBdr>
    </w:div>
    <w:div w:id="626855416">
      <w:bodyDiv w:val="1"/>
      <w:marLeft w:val="0"/>
      <w:marRight w:val="0"/>
      <w:marTop w:val="0"/>
      <w:marBottom w:val="0"/>
      <w:divBdr>
        <w:top w:val="none" w:sz="0" w:space="0" w:color="auto"/>
        <w:left w:val="none" w:sz="0" w:space="0" w:color="auto"/>
        <w:bottom w:val="none" w:sz="0" w:space="0" w:color="auto"/>
        <w:right w:val="none" w:sz="0" w:space="0" w:color="auto"/>
      </w:divBdr>
    </w:div>
    <w:div w:id="627660984">
      <w:bodyDiv w:val="1"/>
      <w:marLeft w:val="0"/>
      <w:marRight w:val="0"/>
      <w:marTop w:val="0"/>
      <w:marBottom w:val="0"/>
      <w:divBdr>
        <w:top w:val="none" w:sz="0" w:space="0" w:color="auto"/>
        <w:left w:val="none" w:sz="0" w:space="0" w:color="auto"/>
        <w:bottom w:val="none" w:sz="0" w:space="0" w:color="auto"/>
        <w:right w:val="none" w:sz="0" w:space="0" w:color="auto"/>
      </w:divBdr>
    </w:div>
    <w:div w:id="628171304">
      <w:bodyDiv w:val="1"/>
      <w:marLeft w:val="0"/>
      <w:marRight w:val="0"/>
      <w:marTop w:val="0"/>
      <w:marBottom w:val="0"/>
      <w:divBdr>
        <w:top w:val="none" w:sz="0" w:space="0" w:color="auto"/>
        <w:left w:val="none" w:sz="0" w:space="0" w:color="auto"/>
        <w:bottom w:val="none" w:sz="0" w:space="0" w:color="auto"/>
        <w:right w:val="none" w:sz="0" w:space="0" w:color="auto"/>
      </w:divBdr>
    </w:div>
    <w:div w:id="628975336">
      <w:bodyDiv w:val="1"/>
      <w:marLeft w:val="0"/>
      <w:marRight w:val="0"/>
      <w:marTop w:val="0"/>
      <w:marBottom w:val="0"/>
      <w:divBdr>
        <w:top w:val="none" w:sz="0" w:space="0" w:color="auto"/>
        <w:left w:val="none" w:sz="0" w:space="0" w:color="auto"/>
        <w:bottom w:val="none" w:sz="0" w:space="0" w:color="auto"/>
        <w:right w:val="none" w:sz="0" w:space="0" w:color="auto"/>
      </w:divBdr>
    </w:div>
    <w:div w:id="630088338">
      <w:bodyDiv w:val="1"/>
      <w:marLeft w:val="0"/>
      <w:marRight w:val="0"/>
      <w:marTop w:val="0"/>
      <w:marBottom w:val="0"/>
      <w:divBdr>
        <w:top w:val="none" w:sz="0" w:space="0" w:color="auto"/>
        <w:left w:val="none" w:sz="0" w:space="0" w:color="auto"/>
        <w:bottom w:val="none" w:sz="0" w:space="0" w:color="auto"/>
        <w:right w:val="none" w:sz="0" w:space="0" w:color="auto"/>
      </w:divBdr>
    </w:div>
    <w:div w:id="630552087">
      <w:bodyDiv w:val="1"/>
      <w:marLeft w:val="0"/>
      <w:marRight w:val="0"/>
      <w:marTop w:val="0"/>
      <w:marBottom w:val="0"/>
      <w:divBdr>
        <w:top w:val="none" w:sz="0" w:space="0" w:color="auto"/>
        <w:left w:val="none" w:sz="0" w:space="0" w:color="auto"/>
        <w:bottom w:val="none" w:sz="0" w:space="0" w:color="auto"/>
        <w:right w:val="none" w:sz="0" w:space="0" w:color="auto"/>
      </w:divBdr>
    </w:div>
    <w:div w:id="631251387">
      <w:bodyDiv w:val="1"/>
      <w:marLeft w:val="0"/>
      <w:marRight w:val="0"/>
      <w:marTop w:val="0"/>
      <w:marBottom w:val="0"/>
      <w:divBdr>
        <w:top w:val="none" w:sz="0" w:space="0" w:color="auto"/>
        <w:left w:val="none" w:sz="0" w:space="0" w:color="auto"/>
        <w:bottom w:val="none" w:sz="0" w:space="0" w:color="auto"/>
        <w:right w:val="none" w:sz="0" w:space="0" w:color="auto"/>
      </w:divBdr>
    </w:div>
    <w:div w:id="631591828">
      <w:bodyDiv w:val="1"/>
      <w:marLeft w:val="0"/>
      <w:marRight w:val="0"/>
      <w:marTop w:val="0"/>
      <w:marBottom w:val="0"/>
      <w:divBdr>
        <w:top w:val="none" w:sz="0" w:space="0" w:color="auto"/>
        <w:left w:val="none" w:sz="0" w:space="0" w:color="auto"/>
        <w:bottom w:val="none" w:sz="0" w:space="0" w:color="auto"/>
        <w:right w:val="none" w:sz="0" w:space="0" w:color="auto"/>
      </w:divBdr>
    </w:div>
    <w:div w:id="631595078">
      <w:bodyDiv w:val="1"/>
      <w:marLeft w:val="0"/>
      <w:marRight w:val="0"/>
      <w:marTop w:val="0"/>
      <w:marBottom w:val="0"/>
      <w:divBdr>
        <w:top w:val="none" w:sz="0" w:space="0" w:color="auto"/>
        <w:left w:val="none" w:sz="0" w:space="0" w:color="auto"/>
        <w:bottom w:val="none" w:sz="0" w:space="0" w:color="auto"/>
        <w:right w:val="none" w:sz="0" w:space="0" w:color="auto"/>
      </w:divBdr>
    </w:div>
    <w:div w:id="631910634">
      <w:bodyDiv w:val="1"/>
      <w:marLeft w:val="0"/>
      <w:marRight w:val="0"/>
      <w:marTop w:val="0"/>
      <w:marBottom w:val="0"/>
      <w:divBdr>
        <w:top w:val="none" w:sz="0" w:space="0" w:color="auto"/>
        <w:left w:val="none" w:sz="0" w:space="0" w:color="auto"/>
        <w:bottom w:val="none" w:sz="0" w:space="0" w:color="auto"/>
        <w:right w:val="none" w:sz="0" w:space="0" w:color="auto"/>
      </w:divBdr>
    </w:div>
    <w:div w:id="632372097">
      <w:bodyDiv w:val="1"/>
      <w:marLeft w:val="0"/>
      <w:marRight w:val="0"/>
      <w:marTop w:val="0"/>
      <w:marBottom w:val="0"/>
      <w:divBdr>
        <w:top w:val="none" w:sz="0" w:space="0" w:color="auto"/>
        <w:left w:val="none" w:sz="0" w:space="0" w:color="auto"/>
        <w:bottom w:val="none" w:sz="0" w:space="0" w:color="auto"/>
        <w:right w:val="none" w:sz="0" w:space="0" w:color="auto"/>
      </w:divBdr>
    </w:div>
    <w:div w:id="633098908">
      <w:bodyDiv w:val="1"/>
      <w:marLeft w:val="0"/>
      <w:marRight w:val="0"/>
      <w:marTop w:val="0"/>
      <w:marBottom w:val="0"/>
      <w:divBdr>
        <w:top w:val="none" w:sz="0" w:space="0" w:color="auto"/>
        <w:left w:val="none" w:sz="0" w:space="0" w:color="auto"/>
        <w:bottom w:val="none" w:sz="0" w:space="0" w:color="auto"/>
        <w:right w:val="none" w:sz="0" w:space="0" w:color="auto"/>
      </w:divBdr>
    </w:div>
    <w:div w:id="633218823">
      <w:bodyDiv w:val="1"/>
      <w:marLeft w:val="0"/>
      <w:marRight w:val="0"/>
      <w:marTop w:val="0"/>
      <w:marBottom w:val="0"/>
      <w:divBdr>
        <w:top w:val="none" w:sz="0" w:space="0" w:color="auto"/>
        <w:left w:val="none" w:sz="0" w:space="0" w:color="auto"/>
        <w:bottom w:val="none" w:sz="0" w:space="0" w:color="auto"/>
        <w:right w:val="none" w:sz="0" w:space="0" w:color="auto"/>
      </w:divBdr>
    </w:div>
    <w:div w:id="633297973">
      <w:bodyDiv w:val="1"/>
      <w:marLeft w:val="0"/>
      <w:marRight w:val="0"/>
      <w:marTop w:val="0"/>
      <w:marBottom w:val="0"/>
      <w:divBdr>
        <w:top w:val="none" w:sz="0" w:space="0" w:color="auto"/>
        <w:left w:val="none" w:sz="0" w:space="0" w:color="auto"/>
        <w:bottom w:val="none" w:sz="0" w:space="0" w:color="auto"/>
        <w:right w:val="none" w:sz="0" w:space="0" w:color="auto"/>
      </w:divBdr>
    </w:div>
    <w:div w:id="633800249">
      <w:bodyDiv w:val="1"/>
      <w:marLeft w:val="0"/>
      <w:marRight w:val="0"/>
      <w:marTop w:val="0"/>
      <w:marBottom w:val="0"/>
      <w:divBdr>
        <w:top w:val="none" w:sz="0" w:space="0" w:color="auto"/>
        <w:left w:val="none" w:sz="0" w:space="0" w:color="auto"/>
        <w:bottom w:val="none" w:sz="0" w:space="0" w:color="auto"/>
        <w:right w:val="none" w:sz="0" w:space="0" w:color="auto"/>
      </w:divBdr>
    </w:div>
    <w:div w:id="634219635">
      <w:bodyDiv w:val="1"/>
      <w:marLeft w:val="0"/>
      <w:marRight w:val="0"/>
      <w:marTop w:val="0"/>
      <w:marBottom w:val="0"/>
      <w:divBdr>
        <w:top w:val="none" w:sz="0" w:space="0" w:color="auto"/>
        <w:left w:val="none" w:sz="0" w:space="0" w:color="auto"/>
        <w:bottom w:val="none" w:sz="0" w:space="0" w:color="auto"/>
        <w:right w:val="none" w:sz="0" w:space="0" w:color="auto"/>
      </w:divBdr>
    </w:div>
    <w:div w:id="634288153">
      <w:bodyDiv w:val="1"/>
      <w:marLeft w:val="0"/>
      <w:marRight w:val="0"/>
      <w:marTop w:val="0"/>
      <w:marBottom w:val="0"/>
      <w:divBdr>
        <w:top w:val="none" w:sz="0" w:space="0" w:color="auto"/>
        <w:left w:val="none" w:sz="0" w:space="0" w:color="auto"/>
        <w:bottom w:val="none" w:sz="0" w:space="0" w:color="auto"/>
        <w:right w:val="none" w:sz="0" w:space="0" w:color="auto"/>
      </w:divBdr>
    </w:div>
    <w:div w:id="634679925">
      <w:bodyDiv w:val="1"/>
      <w:marLeft w:val="0"/>
      <w:marRight w:val="0"/>
      <w:marTop w:val="0"/>
      <w:marBottom w:val="0"/>
      <w:divBdr>
        <w:top w:val="none" w:sz="0" w:space="0" w:color="auto"/>
        <w:left w:val="none" w:sz="0" w:space="0" w:color="auto"/>
        <w:bottom w:val="none" w:sz="0" w:space="0" w:color="auto"/>
        <w:right w:val="none" w:sz="0" w:space="0" w:color="auto"/>
      </w:divBdr>
    </w:div>
    <w:div w:id="634877091">
      <w:bodyDiv w:val="1"/>
      <w:marLeft w:val="0"/>
      <w:marRight w:val="0"/>
      <w:marTop w:val="0"/>
      <w:marBottom w:val="0"/>
      <w:divBdr>
        <w:top w:val="none" w:sz="0" w:space="0" w:color="auto"/>
        <w:left w:val="none" w:sz="0" w:space="0" w:color="auto"/>
        <w:bottom w:val="none" w:sz="0" w:space="0" w:color="auto"/>
        <w:right w:val="none" w:sz="0" w:space="0" w:color="auto"/>
      </w:divBdr>
    </w:div>
    <w:div w:id="634990833">
      <w:bodyDiv w:val="1"/>
      <w:marLeft w:val="0"/>
      <w:marRight w:val="0"/>
      <w:marTop w:val="0"/>
      <w:marBottom w:val="0"/>
      <w:divBdr>
        <w:top w:val="none" w:sz="0" w:space="0" w:color="auto"/>
        <w:left w:val="none" w:sz="0" w:space="0" w:color="auto"/>
        <w:bottom w:val="none" w:sz="0" w:space="0" w:color="auto"/>
        <w:right w:val="none" w:sz="0" w:space="0" w:color="auto"/>
      </w:divBdr>
    </w:div>
    <w:div w:id="635255264">
      <w:bodyDiv w:val="1"/>
      <w:marLeft w:val="0"/>
      <w:marRight w:val="0"/>
      <w:marTop w:val="0"/>
      <w:marBottom w:val="0"/>
      <w:divBdr>
        <w:top w:val="none" w:sz="0" w:space="0" w:color="auto"/>
        <w:left w:val="none" w:sz="0" w:space="0" w:color="auto"/>
        <w:bottom w:val="none" w:sz="0" w:space="0" w:color="auto"/>
        <w:right w:val="none" w:sz="0" w:space="0" w:color="auto"/>
      </w:divBdr>
    </w:div>
    <w:div w:id="635373930">
      <w:bodyDiv w:val="1"/>
      <w:marLeft w:val="0"/>
      <w:marRight w:val="0"/>
      <w:marTop w:val="0"/>
      <w:marBottom w:val="0"/>
      <w:divBdr>
        <w:top w:val="none" w:sz="0" w:space="0" w:color="auto"/>
        <w:left w:val="none" w:sz="0" w:space="0" w:color="auto"/>
        <w:bottom w:val="none" w:sz="0" w:space="0" w:color="auto"/>
        <w:right w:val="none" w:sz="0" w:space="0" w:color="auto"/>
      </w:divBdr>
    </w:div>
    <w:div w:id="635796257">
      <w:bodyDiv w:val="1"/>
      <w:marLeft w:val="0"/>
      <w:marRight w:val="0"/>
      <w:marTop w:val="0"/>
      <w:marBottom w:val="0"/>
      <w:divBdr>
        <w:top w:val="none" w:sz="0" w:space="0" w:color="auto"/>
        <w:left w:val="none" w:sz="0" w:space="0" w:color="auto"/>
        <w:bottom w:val="none" w:sz="0" w:space="0" w:color="auto"/>
        <w:right w:val="none" w:sz="0" w:space="0" w:color="auto"/>
      </w:divBdr>
    </w:div>
    <w:div w:id="636111859">
      <w:bodyDiv w:val="1"/>
      <w:marLeft w:val="0"/>
      <w:marRight w:val="0"/>
      <w:marTop w:val="0"/>
      <w:marBottom w:val="0"/>
      <w:divBdr>
        <w:top w:val="none" w:sz="0" w:space="0" w:color="auto"/>
        <w:left w:val="none" w:sz="0" w:space="0" w:color="auto"/>
        <w:bottom w:val="none" w:sz="0" w:space="0" w:color="auto"/>
        <w:right w:val="none" w:sz="0" w:space="0" w:color="auto"/>
      </w:divBdr>
    </w:div>
    <w:div w:id="636452802">
      <w:bodyDiv w:val="1"/>
      <w:marLeft w:val="0"/>
      <w:marRight w:val="0"/>
      <w:marTop w:val="0"/>
      <w:marBottom w:val="0"/>
      <w:divBdr>
        <w:top w:val="none" w:sz="0" w:space="0" w:color="auto"/>
        <w:left w:val="none" w:sz="0" w:space="0" w:color="auto"/>
        <w:bottom w:val="none" w:sz="0" w:space="0" w:color="auto"/>
        <w:right w:val="none" w:sz="0" w:space="0" w:color="auto"/>
      </w:divBdr>
    </w:div>
    <w:div w:id="636496668">
      <w:bodyDiv w:val="1"/>
      <w:marLeft w:val="0"/>
      <w:marRight w:val="0"/>
      <w:marTop w:val="0"/>
      <w:marBottom w:val="0"/>
      <w:divBdr>
        <w:top w:val="none" w:sz="0" w:space="0" w:color="auto"/>
        <w:left w:val="none" w:sz="0" w:space="0" w:color="auto"/>
        <w:bottom w:val="none" w:sz="0" w:space="0" w:color="auto"/>
        <w:right w:val="none" w:sz="0" w:space="0" w:color="auto"/>
      </w:divBdr>
    </w:div>
    <w:div w:id="637146029">
      <w:bodyDiv w:val="1"/>
      <w:marLeft w:val="0"/>
      <w:marRight w:val="0"/>
      <w:marTop w:val="0"/>
      <w:marBottom w:val="0"/>
      <w:divBdr>
        <w:top w:val="none" w:sz="0" w:space="0" w:color="auto"/>
        <w:left w:val="none" w:sz="0" w:space="0" w:color="auto"/>
        <w:bottom w:val="none" w:sz="0" w:space="0" w:color="auto"/>
        <w:right w:val="none" w:sz="0" w:space="0" w:color="auto"/>
      </w:divBdr>
    </w:div>
    <w:div w:id="637415908">
      <w:bodyDiv w:val="1"/>
      <w:marLeft w:val="0"/>
      <w:marRight w:val="0"/>
      <w:marTop w:val="0"/>
      <w:marBottom w:val="0"/>
      <w:divBdr>
        <w:top w:val="none" w:sz="0" w:space="0" w:color="auto"/>
        <w:left w:val="none" w:sz="0" w:space="0" w:color="auto"/>
        <w:bottom w:val="none" w:sz="0" w:space="0" w:color="auto"/>
        <w:right w:val="none" w:sz="0" w:space="0" w:color="auto"/>
      </w:divBdr>
    </w:div>
    <w:div w:id="637489949">
      <w:bodyDiv w:val="1"/>
      <w:marLeft w:val="0"/>
      <w:marRight w:val="0"/>
      <w:marTop w:val="0"/>
      <w:marBottom w:val="0"/>
      <w:divBdr>
        <w:top w:val="none" w:sz="0" w:space="0" w:color="auto"/>
        <w:left w:val="none" w:sz="0" w:space="0" w:color="auto"/>
        <w:bottom w:val="none" w:sz="0" w:space="0" w:color="auto"/>
        <w:right w:val="none" w:sz="0" w:space="0" w:color="auto"/>
      </w:divBdr>
    </w:div>
    <w:div w:id="637537622">
      <w:bodyDiv w:val="1"/>
      <w:marLeft w:val="0"/>
      <w:marRight w:val="0"/>
      <w:marTop w:val="0"/>
      <w:marBottom w:val="0"/>
      <w:divBdr>
        <w:top w:val="none" w:sz="0" w:space="0" w:color="auto"/>
        <w:left w:val="none" w:sz="0" w:space="0" w:color="auto"/>
        <w:bottom w:val="none" w:sz="0" w:space="0" w:color="auto"/>
        <w:right w:val="none" w:sz="0" w:space="0" w:color="auto"/>
      </w:divBdr>
    </w:div>
    <w:div w:id="637539509">
      <w:bodyDiv w:val="1"/>
      <w:marLeft w:val="0"/>
      <w:marRight w:val="0"/>
      <w:marTop w:val="0"/>
      <w:marBottom w:val="0"/>
      <w:divBdr>
        <w:top w:val="none" w:sz="0" w:space="0" w:color="auto"/>
        <w:left w:val="none" w:sz="0" w:space="0" w:color="auto"/>
        <w:bottom w:val="none" w:sz="0" w:space="0" w:color="auto"/>
        <w:right w:val="none" w:sz="0" w:space="0" w:color="auto"/>
      </w:divBdr>
    </w:div>
    <w:div w:id="639111562">
      <w:bodyDiv w:val="1"/>
      <w:marLeft w:val="0"/>
      <w:marRight w:val="0"/>
      <w:marTop w:val="0"/>
      <w:marBottom w:val="0"/>
      <w:divBdr>
        <w:top w:val="none" w:sz="0" w:space="0" w:color="auto"/>
        <w:left w:val="none" w:sz="0" w:space="0" w:color="auto"/>
        <w:bottom w:val="none" w:sz="0" w:space="0" w:color="auto"/>
        <w:right w:val="none" w:sz="0" w:space="0" w:color="auto"/>
      </w:divBdr>
    </w:div>
    <w:div w:id="639261219">
      <w:bodyDiv w:val="1"/>
      <w:marLeft w:val="0"/>
      <w:marRight w:val="0"/>
      <w:marTop w:val="0"/>
      <w:marBottom w:val="0"/>
      <w:divBdr>
        <w:top w:val="none" w:sz="0" w:space="0" w:color="auto"/>
        <w:left w:val="none" w:sz="0" w:space="0" w:color="auto"/>
        <w:bottom w:val="none" w:sz="0" w:space="0" w:color="auto"/>
        <w:right w:val="none" w:sz="0" w:space="0" w:color="auto"/>
      </w:divBdr>
    </w:div>
    <w:div w:id="639919639">
      <w:bodyDiv w:val="1"/>
      <w:marLeft w:val="0"/>
      <w:marRight w:val="0"/>
      <w:marTop w:val="0"/>
      <w:marBottom w:val="0"/>
      <w:divBdr>
        <w:top w:val="none" w:sz="0" w:space="0" w:color="auto"/>
        <w:left w:val="none" w:sz="0" w:space="0" w:color="auto"/>
        <w:bottom w:val="none" w:sz="0" w:space="0" w:color="auto"/>
        <w:right w:val="none" w:sz="0" w:space="0" w:color="auto"/>
      </w:divBdr>
    </w:div>
    <w:div w:id="640232792">
      <w:bodyDiv w:val="1"/>
      <w:marLeft w:val="0"/>
      <w:marRight w:val="0"/>
      <w:marTop w:val="0"/>
      <w:marBottom w:val="0"/>
      <w:divBdr>
        <w:top w:val="none" w:sz="0" w:space="0" w:color="auto"/>
        <w:left w:val="none" w:sz="0" w:space="0" w:color="auto"/>
        <w:bottom w:val="none" w:sz="0" w:space="0" w:color="auto"/>
        <w:right w:val="none" w:sz="0" w:space="0" w:color="auto"/>
      </w:divBdr>
    </w:div>
    <w:div w:id="640232805">
      <w:bodyDiv w:val="1"/>
      <w:marLeft w:val="0"/>
      <w:marRight w:val="0"/>
      <w:marTop w:val="0"/>
      <w:marBottom w:val="0"/>
      <w:divBdr>
        <w:top w:val="none" w:sz="0" w:space="0" w:color="auto"/>
        <w:left w:val="none" w:sz="0" w:space="0" w:color="auto"/>
        <w:bottom w:val="none" w:sz="0" w:space="0" w:color="auto"/>
        <w:right w:val="none" w:sz="0" w:space="0" w:color="auto"/>
      </w:divBdr>
    </w:div>
    <w:div w:id="640355371">
      <w:bodyDiv w:val="1"/>
      <w:marLeft w:val="0"/>
      <w:marRight w:val="0"/>
      <w:marTop w:val="0"/>
      <w:marBottom w:val="0"/>
      <w:divBdr>
        <w:top w:val="none" w:sz="0" w:space="0" w:color="auto"/>
        <w:left w:val="none" w:sz="0" w:space="0" w:color="auto"/>
        <w:bottom w:val="none" w:sz="0" w:space="0" w:color="auto"/>
        <w:right w:val="none" w:sz="0" w:space="0" w:color="auto"/>
      </w:divBdr>
    </w:div>
    <w:div w:id="640497881">
      <w:bodyDiv w:val="1"/>
      <w:marLeft w:val="0"/>
      <w:marRight w:val="0"/>
      <w:marTop w:val="0"/>
      <w:marBottom w:val="0"/>
      <w:divBdr>
        <w:top w:val="none" w:sz="0" w:space="0" w:color="auto"/>
        <w:left w:val="none" w:sz="0" w:space="0" w:color="auto"/>
        <w:bottom w:val="none" w:sz="0" w:space="0" w:color="auto"/>
        <w:right w:val="none" w:sz="0" w:space="0" w:color="auto"/>
      </w:divBdr>
    </w:div>
    <w:div w:id="640841680">
      <w:bodyDiv w:val="1"/>
      <w:marLeft w:val="0"/>
      <w:marRight w:val="0"/>
      <w:marTop w:val="0"/>
      <w:marBottom w:val="0"/>
      <w:divBdr>
        <w:top w:val="none" w:sz="0" w:space="0" w:color="auto"/>
        <w:left w:val="none" w:sz="0" w:space="0" w:color="auto"/>
        <w:bottom w:val="none" w:sz="0" w:space="0" w:color="auto"/>
        <w:right w:val="none" w:sz="0" w:space="0" w:color="auto"/>
      </w:divBdr>
    </w:div>
    <w:div w:id="640967434">
      <w:bodyDiv w:val="1"/>
      <w:marLeft w:val="0"/>
      <w:marRight w:val="0"/>
      <w:marTop w:val="0"/>
      <w:marBottom w:val="0"/>
      <w:divBdr>
        <w:top w:val="none" w:sz="0" w:space="0" w:color="auto"/>
        <w:left w:val="none" w:sz="0" w:space="0" w:color="auto"/>
        <w:bottom w:val="none" w:sz="0" w:space="0" w:color="auto"/>
        <w:right w:val="none" w:sz="0" w:space="0" w:color="auto"/>
      </w:divBdr>
    </w:div>
    <w:div w:id="641153240">
      <w:bodyDiv w:val="1"/>
      <w:marLeft w:val="0"/>
      <w:marRight w:val="0"/>
      <w:marTop w:val="0"/>
      <w:marBottom w:val="0"/>
      <w:divBdr>
        <w:top w:val="none" w:sz="0" w:space="0" w:color="auto"/>
        <w:left w:val="none" w:sz="0" w:space="0" w:color="auto"/>
        <w:bottom w:val="none" w:sz="0" w:space="0" w:color="auto"/>
        <w:right w:val="none" w:sz="0" w:space="0" w:color="auto"/>
      </w:divBdr>
    </w:div>
    <w:div w:id="641155868">
      <w:bodyDiv w:val="1"/>
      <w:marLeft w:val="0"/>
      <w:marRight w:val="0"/>
      <w:marTop w:val="0"/>
      <w:marBottom w:val="0"/>
      <w:divBdr>
        <w:top w:val="none" w:sz="0" w:space="0" w:color="auto"/>
        <w:left w:val="none" w:sz="0" w:space="0" w:color="auto"/>
        <w:bottom w:val="none" w:sz="0" w:space="0" w:color="auto"/>
        <w:right w:val="none" w:sz="0" w:space="0" w:color="auto"/>
      </w:divBdr>
    </w:div>
    <w:div w:id="641227766">
      <w:bodyDiv w:val="1"/>
      <w:marLeft w:val="0"/>
      <w:marRight w:val="0"/>
      <w:marTop w:val="0"/>
      <w:marBottom w:val="0"/>
      <w:divBdr>
        <w:top w:val="none" w:sz="0" w:space="0" w:color="auto"/>
        <w:left w:val="none" w:sz="0" w:space="0" w:color="auto"/>
        <w:bottom w:val="none" w:sz="0" w:space="0" w:color="auto"/>
        <w:right w:val="none" w:sz="0" w:space="0" w:color="auto"/>
      </w:divBdr>
    </w:div>
    <w:div w:id="641233233">
      <w:bodyDiv w:val="1"/>
      <w:marLeft w:val="0"/>
      <w:marRight w:val="0"/>
      <w:marTop w:val="0"/>
      <w:marBottom w:val="0"/>
      <w:divBdr>
        <w:top w:val="none" w:sz="0" w:space="0" w:color="auto"/>
        <w:left w:val="none" w:sz="0" w:space="0" w:color="auto"/>
        <w:bottom w:val="none" w:sz="0" w:space="0" w:color="auto"/>
        <w:right w:val="none" w:sz="0" w:space="0" w:color="auto"/>
      </w:divBdr>
    </w:div>
    <w:div w:id="641233818">
      <w:bodyDiv w:val="1"/>
      <w:marLeft w:val="0"/>
      <w:marRight w:val="0"/>
      <w:marTop w:val="0"/>
      <w:marBottom w:val="0"/>
      <w:divBdr>
        <w:top w:val="none" w:sz="0" w:space="0" w:color="auto"/>
        <w:left w:val="none" w:sz="0" w:space="0" w:color="auto"/>
        <w:bottom w:val="none" w:sz="0" w:space="0" w:color="auto"/>
        <w:right w:val="none" w:sz="0" w:space="0" w:color="auto"/>
      </w:divBdr>
    </w:div>
    <w:div w:id="641739739">
      <w:bodyDiv w:val="1"/>
      <w:marLeft w:val="0"/>
      <w:marRight w:val="0"/>
      <w:marTop w:val="0"/>
      <w:marBottom w:val="0"/>
      <w:divBdr>
        <w:top w:val="none" w:sz="0" w:space="0" w:color="auto"/>
        <w:left w:val="none" w:sz="0" w:space="0" w:color="auto"/>
        <w:bottom w:val="none" w:sz="0" w:space="0" w:color="auto"/>
        <w:right w:val="none" w:sz="0" w:space="0" w:color="auto"/>
      </w:divBdr>
    </w:div>
    <w:div w:id="641890103">
      <w:bodyDiv w:val="1"/>
      <w:marLeft w:val="0"/>
      <w:marRight w:val="0"/>
      <w:marTop w:val="0"/>
      <w:marBottom w:val="0"/>
      <w:divBdr>
        <w:top w:val="none" w:sz="0" w:space="0" w:color="auto"/>
        <w:left w:val="none" w:sz="0" w:space="0" w:color="auto"/>
        <w:bottom w:val="none" w:sz="0" w:space="0" w:color="auto"/>
        <w:right w:val="none" w:sz="0" w:space="0" w:color="auto"/>
      </w:divBdr>
    </w:div>
    <w:div w:id="642199830">
      <w:bodyDiv w:val="1"/>
      <w:marLeft w:val="0"/>
      <w:marRight w:val="0"/>
      <w:marTop w:val="0"/>
      <w:marBottom w:val="0"/>
      <w:divBdr>
        <w:top w:val="none" w:sz="0" w:space="0" w:color="auto"/>
        <w:left w:val="none" w:sz="0" w:space="0" w:color="auto"/>
        <w:bottom w:val="none" w:sz="0" w:space="0" w:color="auto"/>
        <w:right w:val="none" w:sz="0" w:space="0" w:color="auto"/>
      </w:divBdr>
    </w:div>
    <w:div w:id="642319233">
      <w:bodyDiv w:val="1"/>
      <w:marLeft w:val="0"/>
      <w:marRight w:val="0"/>
      <w:marTop w:val="0"/>
      <w:marBottom w:val="0"/>
      <w:divBdr>
        <w:top w:val="none" w:sz="0" w:space="0" w:color="auto"/>
        <w:left w:val="none" w:sz="0" w:space="0" w:color="auto"/>
        <w:bottom w:val="none" w:sz="0" w:space="0" w:color="auto"/>
        <w:right w:val="none" w:sz="0" w:space="0" w:color="auto"/>
      </w:divBdr>
    </w:div>
    <w:div w:id="642321065">
      <w:bodyDiv w:val="1"/>
      <w:marLeft w:val="0"/>
      <w:marRight w:val="0"/>
      <w:marTop w:val="0"/>
      <w:marBottom w:val="0"/>
      <w:divBdr>
        <w:top w:val="none" w:sz="0" w:space="0" w:color="auto"/>
        <w:left w:val="none" w:sz="0" w:space="0" w:color="auto"/>
        <w:bottom w:val="none" w:sz="0" w:space="0" w:color="auto"/>
        <w:right w:val="none" w:sz="0" w:space="0" w:color="auto"/>
      </w:divBdr>
    </w:div>
    <w:div w:id="642849250">
      <w:bodyDiv w:val="1"/>
      <w:marLeft w:val="0"/>
      <w:marRight w:val="0"/>
      <w:marTop w:val="0"/>
      <w:marBottom w:val="0"/>
      <w:divBdr>
        <w:top w:val="none" w:sz="0" w:space="0" w:color="auto"/>
        <w:left w:val="none" w:sz="0" w:space="0" w:color="auto"/>
        <w:bottom w:val="none" w:sz="0" w:space="0" w:color="auto"/>
        <w:right w:val="none" w:sz="0" w:space="0" w:color="auto"/>
      </w:divBdr>
    </w:div>
    <w:div w:id="643316788">
      <w:bodyDiv w:val="1"/>
      <w:marLeft w:val="0"/>
      <w:marRight w:val="0"/>
      <w:marTop w:val="0"/>
      <w:marBottom w:val="0"/>
      <w:divBdr>
        <w:top w:val="none" w:sz="0" w:space="0" w:color="auto"/>
        <w:left w:val="none" w:sz="0" w:space="0" w:color="auto"/>
        <w:bottom w:val="none" w:sz="0" w:space="0" w:color="auto"/>
        <w:right w:val="none" w:sz="0" w:space="0" w:color="auto"/>
      </w:divBdr>
    </w:div>
    <w:div w:id="643512379">
      <w:bodyDiv w:val="1"/>
      <w:marLeft w:val="0"/>
      <w:marRight w:val="0"/>
      <w:marTop w:val="0"/>
      <w:marBottom w:val="0"/>
      <w:divBdr>
        <w:top w:val="none" w:sz="0" w:space="0" w:color="auto"/>
        <w:left w:val="none" w:sz="0" w:space="0" w:color="auto"/>
        <w:bottom w:val="none" w:sz="0" w:space="0" w:color="auto"/>
        <w:right w:val="none" w:sz="0" w:space="0" w:color="auto"/>
      </w:divBdr>
    </w:div>
    <w:div w:id="643699768">
      <w:bodyDiv w:val="1"/>
      <w:marLeft w:val="0"/>
      <w:marRight w:val="0"/>
      <w:marTop w:val="0"/>
      <w:marBottom w:val="0"/>
      <w:divBdr>
        <w:top w:val="none" w:sz="0" w:space="0" w:color="auto"/>
        <w:left w:val="none" w:sz="0" w:space="0" w:color="auto"/>
        <w:bottom w:val="none" w:sz="0" w:space="0" w:color="auto"/>
        <w:right w:val="none" w:sz="0" w:space="0" w:color="auto"/>
      </w:divBdr>
    </w:div>
    <w:div w:id="644629929">
      <w:bodyDiv w:val="1"/>
      <w:marLeft w:val="0"/>
      <w:marRight w:val="0"/>
      <w:marTop w:val="0"/>
      <w:marBottom w:val="0"/>
      <w:divBdr>
        <w:top w:val="none" w:sz="0" w:space="0" w:color="auto"/>
        <w:left w:val="none" w:sz="0" w:space="0" w:color="auto"/>
        <w:bottom w:val="none" w:sz="0" w:space="0" w:color="auto"/>
        <w:right w:val="none" w:sz="0" w:space="0" w:color="auto"/>
      </w:divBdr>
    </w:div>
    <w:div w:id="645008620">
      <w:bodyDiv w:val="1"/>
      <w:marLeft w:val="0"/>
      <w:marRight w:val="0"/>
      <w:marTop w:val="0"/>
      <w:marBottom w:val="0"/>
      <w:divBdr>
        <w:top w:val="none" w:sz="0" w:space="0" w:color="auto"/>
        <w:left w:val="none" w:sz="0" w:space="0" w:color="auto"/>
        <w:bottom w:val="none" w:sz="0" w:space="0" w:color="auto"/>
        <w:right w:val="none" w:sz="0" w:space="0" w:color="auto"/>
      </w:divBdr>
    </w:div>
    <w:div w:id="645086211">
      <w:bodyDiv w:val="1"/>
      <w:marLeft w:val="0"/>
      <w:marRight w:val="0"/>
      <w:marTop w:val="0"/>
      <w:marBottom w:val="0"/>
      <w:divBdr>
        <w:top w:val="none" w:sz="0" w:space="0" w:color="auto"/>
        <w:left w:val="none" w:sz="0" w:space="0" w:color="auto"/>
        <w:bottom w:val="none" w:sz="0" w:space="0" w:color="auto"/>
        <w:right w:val="none" w:sz="0" w:space="0" w:color="auto"/>
      </w:divBdr>
    </w:div>
    <w:div w:id="645089500">
      <w:bodyDiv w:val="1"/>
      <w:marLeft w:val="0"/>
      <w:marRight w:val="0"/>
      <w:marTop w:val="0"/>
      <w:marBottom w:val="0"/>
      <w:divBdr>
        <w:top w:val="none" w:sz="0" w:space="0" w:color="auto"/>
        <w:left w:val="none" w:sz="0" w:space="0" w:color="auto"/>
        <w:bottom w:val="none" w:sz="0" w:space="0" w:color="auto"/>
        <w:right w:val="none" w:sz="0" w:space="0" w:color="auto"/>
      </w:divBdr>
    </w:div>
    <w:div w:id="645283293">
      <w:bodyDiv w:val="1"/>
      <w:marLeft w:val="0"/>
      <w:marRight w:val="0"/>
      <w:marTop w:val="0"/>
      <w:marBottom w:val="0"/>
      <w:divBdr>
        <w:top w:val="none" w:sz="0" w:space="0" w:color="auto"/>
        <w:left w:val="none" w:sz="0" w:space="0" w:color="auto"/>
        <w:bottom w:val="none" w:sz="0" w:space="0" w:color="auto"/>
        <w:right w:val="none" w:sz="0" w:space="0" w:color="auto"/>
      </w:divBdr>
    </w:div>
    <w:div w:id="645361432">
      <w:bodyDiv w:val="1"/>
      <w:marLeft w:val="0"/>
      <w:marRight w:val="0"/>
      <w:marTop w:val="0"/>
      <w:marBottom w:val="0"/>
      <w:divBdr>
        <w:top w:val="none" w:sz="0" w:space="0" w:color="auto"/>
        <w:left w:val="none" w:sz="0" w:space="0" w:color="auto"/>
        <w:bottom w:val="none" w:sz="0" w:space="0" w:color="auto"/>
        <w:right w:val="none" w:sz="0" w:space="0" w:color="auto"/>
      </w:divBdr>
    </w:div>
    <w:div w:id="645548971">
      <w:bodyDiv w:val="1"/>
      <w:marLeft w:val="0"/>
      <w:marRight w:val="0"/>
      <w:marTop w:val="0"/>
      <w:marBottom w:val="0"/>
      <w:divBdr>
        <w:top w:val="none" w:sz="0" w:space="0" w:color="auto"/>
        <w:left w:val="none" w:sz="0" w:space="0" w:color="auto"/>
        <w:bottom w:val="none" w:sz="0" w:space="0" w:color="auto"/>
        <w:right w:val="none" w:sz="0" w:space="0" w:color="auto"/>
      </w:divBdr>
    </w:div>
    <w:div w:id="645552081">
      <w:bodyDiv w:val="1"/>
      <w:marLeft w:val="0"/>
      <w:marRight w:val="0"/>
      <w:marTop w:val="0"/>
      <w:marBottom w:val="0"/>
      <w:divBdr>
        <w:top w:val="none" w:sz="0" w:space="0" w:color="auto"/>
        <w:left w:val="none" w:sz="0" w:space="0" w:color="auto"/>
        <w:bottom w:val="none" w:sz="0" w:space="0" w:color="auto"/>
        <w:right w:val="none" w:sz="0" w:space="0" w:color="auto"/>
      </w:divBdr>
    </w:div>
    <w:div w:id="645820596">
      <w:bodyDiv w:val="1"/>
      <w:marLeft w:val="0"/>
      <w:marRight w:val="0"/>
      <w:marTop w:val="0"/>
      <w:marBottom w:val="0"/>
      <w:divBdr>
        <w:top w:val="none" w:sz="0" w:space="0" w:color="auto"/>
        <w:left w:val="none" w:sz="0" w:space="0" w:color="auto"/>
        <w:bottom w:val="none" w:sz="0" w:space="0" w:color="auto"/>
        <w:right w:val="none" w:sz="0" w:space="0" w:color="auto"/>
      </w:divBdr>
    </w:div>
    <w:div w:id="646200503">
      <w:bodyDiv w:val="1"/>
      <w:marLeft w:val="0"/>
      <w:marRight w:val="0"/>
      <w:marTop w:val="0"/>
      <w:marBottom w:val="0"/>
      <w:divBdr>
        <w:top w:val="none" w:sz="0" w:space="0" w:color="auto"/>
        <w:left w:val="none" w:sz="0" w:space="0" w:color="auto"/>
        <w:bottom w:val="none" w:sz="0" w:space="0" w:color="auto"/>
        <w:right w:val="none" w:sz="0" w:space="0" w:color="auto"/>
      </w:divBdr>
    </w:div>
    <w:div w:id="646403104">
      <w:bodyDiv w:val="1"/>
      <w:marLeft w:val="0"/>
      <w:marRight w:val="0"/>
      <w:marTop w:val="0"/>
      <w:marBottom w:val="0"/>
      <w:divBdr>
        <w:top w:val="none" w:sz="0" w:space="0" w:color="auto"/>
        <w:left w:val="none" w:sz="0" w:space="0" w:color="auto"/>
        <w:bottom w:val="none" w:sz="0" w:space="0" w:color="auto"/>
        <w:right w:val="none" w:sz="0" w:space="0" w:color="auto"/>
      </w:divBdr>
    </w:div>
    <w:div w:id="646788337">
      <w:bodyDiv w:val="1"/>
      <w:marLeft w:val="0"/>
      <w:marRight w:val="0"/>
      <w:marTop w:val="0"/>
      <w:marBottom w:val="0"/>
      <w:divBdr>
        <w:top w:val="none" w:sz="0" w:space="0" w:color="auto"/>
        <w:left w:val="none" w:sz="0" w:space="0" w:color="auto"/>
        <w:bottom w:val="none" w:sz="0" w:space="0" w:color="auto"/>
        <w:right w:val="none" w:sz="0" w:space="0" w:color="auto"/>
      </w:divBdr>
    </w:div>
    <w:div w:id="647057079">
      <w:bodyDiv w:val="1"/>
      <w:marLeft w:val="0"/>
      <w:marRight w:val="0"/>
      <w:marTop w:val="0"/>
      <w:marBottom w:val="0"/>
      <w:divBdr>
        <w:top w:val="none" w:sz="0" w:space="0" w:color="auto"/>
        <w:left w:val="none" w:sz="0" w:space="0" w:color="auto"/>
        <w:bottom w:val="none" w:sz="0" w:space="0" w:color="auto"/>
        <w:right w:val="none" w:sz="0" w:space="0" w:color="auto"/>
      </w:divBdr>
    </w:div>
    <w:div w:id="647242922">
      <w:bodyDiv w:val="1"/>
      <w:marLeft w:val="0"/>
      <w:marRight w:val="0"/>
      <w:marTop w:val="0"/>
      <w:marBottom w:val="0"/>
      <w:divBdr>
        <w:top w:val="none" w:sz="0" w:space="0" w:color="auto"/>
        <w:left w:val="none" w:sz="0" w:space="0" w:color="auto"/>
        <w:bottom w:val="none" w:sz="0" w:space="0" w:color="auto"/>
        <w:right w:val="none" w:sz="0" w:space="0" w:color="auto"/>
      </w:divBdr>
    </w:div>
    <w:div w:id="647974046">
      <w:bodyDiv w:val="1"/>
      <w:marLeft w:val="0"/>
      <w:marRight w:val="0"/>
      <w:marTop w:val="0"/>
      <w:marBottom w:val="0"/>
      <w:divBdr>
        <w:top w:val="none" w:sz="0" w:space="0" w:color="auto"/>
        <w:left w:val="none" w:sz="0" w:space="0" w:color="auto"/>
        <w:bottom w:val="none" w:sz="0" w:space="0" w:color="auto"/>
        <w:right w:val="none" w:sz="0" w:space="0" w:color="auto"/>
      </w:divBdr>
    </w:div>
    <w:div w:id="648247073">
      <w:bodyDiv w:val="1"/>
      <w:marLeft w:val="0"/>
      <w:marRight w:val="0"/>
      <w:marTop w:val="0"/>
      <w:marBottom w:val="0"/>
      <w:divBdr>
        <w:top w:val="none" w:sz="0" w:space="0" w:color="auto"/>
        <w:left w:val="none" w:sz="0" w:space="0" w:color="auto"/>
        <w:bottom w:val="none" w:sz="0" w:space="0" w:color="auto"/>
        <w:right w:val="none" w:sz="0" w:space="0" w:color="auto"/>
      </w:divBdr>
    </w:div>
    <w:div w:id="648939782">
      <w:bodyDiv w:val="1"/>
      <w:marLeft w:val="0"/>
      <w:marRight w:val="0"/>
      <w:marTop w:val="0"/>
      <w:marBottom w:val="0"/>
      <w:divBdr>
        <w:top w:val="none" w:sz="0" w:space="0" w:color="auto"/>
        <w:left w:val="none" w:sz="0" w:space="0" w:color="auto"/>
        <w:bottom w:val="none" w:sz="0" w:space="0" w:color="auto"/>
        <w:right w:val="none" w:sz="0" w:space="0" w:color="auto"/>
      </w:divBdr>
    </w:div>
    <w:div w:id="649987622">
      <w:bodyDiv w:val="1"/>
      <w:marLeft w:val="0"/>
      <w:marRight w:val="0"/>
      <w:marTop w:val="0"/>
      <w:marBottom w:val="0"/>
      <w:divBdr>
        <w:top w:val="none" w:sz="0" w:space="0" w:color="auto"/>
        <w:left w:val="none" w:sz="0" w:space="0" w:color="auto"/>
        <w:bottom w:val="none" w:sz="0" w:space="0" w:color="auto"/>
        <w:right w:val="none" w:sz="0" w:space="0" w:color="auto"/>
      </w:divBdr>
    </w:div>
    <w:div w:id="650057266">
      <w:bodyDiv w:val="1"/>
      <w:marLeft w:val="0"/>
      <w:marRight w:val="0"/>
      <w:marTop w:val="0"/>
      <w:marBottom w:val="0"/>
      <w:divBdr>
        <w:top w:val="none" w:sz="0" w:space="0" w:color="auto"/>
        <w:left w:val="none" w:sz="0" w:space="0" w:color="auto"/>
        <w:bottom w:val="none" w:sz="0" w:space="0" w:color="auto"/>
        <w:right w:val="none" w:sz="0" w:space="0" w:color="auto"/>
      </w:divBdr>
    </w:div>
    <w:div w:id="650446377">
      <w:bodyDiv w:val="1"/>
      <w:marLeft w:val="0"/>
      <w:marRight w:val="0"/>
      <w:marTop w:val="0"/>
      <w:marBottom w:val="0"/>
      <w:divBdr>
        <w:top w:val="none" w:sz="0" w:space="0" w:color="auto"/>
        <w:left w:val="none" w:sz="0" w:space="0" w:color="auto"/>
        <w:bottom w:val="none" w:sz="0" w:space="0" w:color="auto"/>
        <w:right w:val="none" w:sz="0" w:space="0" w:color="auto"/>
      </w:divBdr>
    </w:div>
    <w:div w:id="650597038">
      <w:bodyDiv w:val="1"/>
      <w:marLeft w:val="0"/>
      <w:marRight w:val="0"/>
      <w:marTop w:val="0"/>
      <w:marBottom w:val="0"/>
      <w:divBdr>
        <w:top w:val="none" w:sz="0" w:space="0" w:color="auto"/>
        <w:left w:val="none" w:sz="0" w:space="0" w:color="auto"/>
        <w:bottom w:val="none" w:sz="0" w:space="0" w:color="auto"/>
        <w:right w:val="none" w:sz="0" w:space="0" w:color="auto"/>
      </w:divBdr>
    </w:div>
    <w:div w:id="650642013">
      <w:bodyDiv w:val="1"/>
      <w:marLeft w:val="0"/>
      <w:marRight w:val="0"/>
      <w:marTop w:val="0"/>
      <w:marBottom w:val="0"/>
      <w:divBdr>
        <w:top w:val="none" w:sz="0" w:space="0" w:color="auto"/>
        <w:left w:val="none" w:sz="0" w:space="0" w:color="auto"/>
        <w:bottom w:val="none" w:sz="0" w:space="0" w:color="auto"/>
        <w:right w:val="none" w:sz="0" w:space="0" w:color="auto"/>
      </w:divBdr>
    </w:div>
    <w:div w:id="650642645">
      <w:bodyDiv w:val="1"/>
      <w:marLeft w:val="0"/>
      <w:marRight w:val="0"/>
      <w:marTop w:val="0"/>
      <w:marBottom w:val="0"/>
      <w:divBdr>
        <w:top w:val="none" w:sz="0" w:space="0" w:color="auto"/>
        <w:left w:val="none" w:sz="0" w:space="0" w:color="auto"/>
        <w:bottom w:val="none" w:sz="0" w:space="0" w:color="auto"/>
        <w:right w:val="none" w:sz="0" w:space="0" w:color="auto"/>
      </w:divBdr>
    </w:div>
    <w:div w:id="650984831">
      <w:bodyDiv w:val="1"/>
      <w:marLeft w:val="0"/>
      <w:marRight w:val="0"/>
      <w:marTop w:val="0"/>
      <w:marBottom w:val="0"/>
      <w:divBdr>
        <w:top w:val="none" w:sz="0" w:space="0" w:color="auto"/>
        <w:left w:val="none" w:sz="0" w:space="0" w:color="auto"/>
        <w:bottom w:val="none" w:sz="0" w:space="0" w:color="auto"/>
        <w:right w:val="none" w:sz="0" w:space="0" w:color="auto"/>
      </w:divBdr>
    </w:div>
    <w:div w:id="651175792">
      <w:bodyDiv w:val="1"/>
      <w:marLeft w:val="0"/>
      <w:marRight w:val="0"/>
      <w:marTop w:val="0"/>
      <w:marBottom w:val="0"/>
      <w:divBdr>
        <w:top w:val="none" w:sz="0" w:space="0" w:color="auto"/>
        <w:left w:val="none" w:sz="0" w:space="0" w:color="auto"/>
        <w:bottom w:val="none" w:sz="0" w:space="0" w:color="auto"/>
        <w:right w:val="none" w:sz="0" w:space="0" w:color="auto"/>
      </w:divBdr>
    </w:div>
    <w:div w:id="651253821">
      <w:bodyDiv w:val="1"/>
      <w:marLeft w:val="0"/>
      <w:marRight w:val="0"/>
      <w:marTop w:val="0"/>
      <w:marBottom w:val="0"/>
      <w:divBdr>
        <w:top w:val="none" w:sz="0" w:space="0" w:color="auto"/>
        <w:left w:val="none" w:sz="0" w:space="0" w:color="auto"/>
        <w:bottom w:val="none" w:sz="0" w:space="0" w:color="auto"/>
        <w:right w:val="none" w:sz="0" w:space="0" w:color="auto"/>
      </w:divBdr>
    </w:div>
    <w:div w:id="651637686">
      <w:bodyDiv w:val="1"/>
      <w:marLeft w:val="0"/>
      <w:marRight w:val="0"/>
      <w:marTop w:val="0"/>
      <w:marBottom w:val="0"/>
      <w:divBdr>
        <w:top w:val="none" w:sz="0" w:space="0" w:color="auto"/>
        <w:left w:val="none" w:sz="0" w:space="0" w:color="auto"/>
        <w:bottom w:val="none" w:sz="0" w:space="0" w:color="auto"/>
        <w:right w:val="none" w:sz="0" w:space="0" w:color="auto"/>
      </w:divBdr>
    </w:div>
    <w:div w:id="651645216">
      <w:bodyDiv w:val="1"/>
      <w:marLeft w:val="0"/>
      <w:marRight w:val="0"/>
      <w:marTop w:val="0"/>
      <w:marBottom w:val="0"/>
      <w:divBdr>
        <w:top w:val="none" w:sz="0" w:space="0" w:color="auto"/>
        <w:left w:val="none" w:sz="0" w:space="0" w:color="auto"/>
        <w:bottom w:val="none" w:sz="0" w:space="0" w:color="auto"/>
        <w:right w:val="none" w:sz="0" w:space="0" w:color="auto"/>
      </w:divBdr>
    </w:div>
    <w:div w:id="651720593">
      <w:bodyDiv w:val="1"/>
      <w:marLeft w:val="0"/>
      <w:marRight w:val="0"/>
      <w:marTop w:val="0"/>
      <w:marBottom w:val="0"/>
      <w:divBdr>
        <w:top w:val="none" w:sz="0" w:space="0" w:color="auto"/>
        <w:left w:val="none" w:sz="0" w:space="0" w:color="auto"/>
        <w:bottom w:val="none" w:sz="0" w:space="0" w:color="auto"/>
        <w:right w:val="none" w:sz="0" w:space="0" w:color="auto"/>
      </w:divBdr>
    </w:div>
    <w:div w:id="652294696">
      <w:bodyDiv w:val="1"/>
      <w:marLeft w:val="0"/>
      <w:marRight w:val="0"/>
      <w:marTop w:val="0"/>
      <w:marBottom w:val="0"/>
      <w:divBdr>
        <w:top w:val="none" w:sz="0" w:space="0" w:color="auto"/>
        <w:left w:val="none" w:sz="0" w:space="0" w:color="auto"/>
        <w:bottom w:val="none" w:sz="0" w:space="0" w:color="auto"/>
        <w:right w:val="none" w:sz="0" w:space="0" w:color="auto"/>
      </w:divBdr>
    </w:div>
    <w:div w:id="652677805">
      <w:bodyDiv w:val="1"/>
      <w:marLeft w:val="0"/>
      <w:marRight w:val="0"/>
      <w:marTop w:val="0"/>
      <w:marBottom w:val="0"/>
      <w:divBdr>
        <w:top w:val="none" w:sz="0" w:space="0" w:color="auto"/>
        <w:left w:val="none" w:sz="0" w:space="0" w:color="auto"/>
        <w:bottom w:val="none" w:sz="0" w:space="0" w:color="auto"/>
        <w:right w:val="none" w:sz="0" w:space="0" w:color="auto"/>
      </w:divBdr>
    </w:div>
    <w:div w:id="652680526">
      <w:bodyDiv w:val="1"/>
      <w:marLeft w:val="0"/>
      <w:marRight w:val="0"/>
      <w:marTop w:val="0"/>
      <w:marBottom w:val="0"/>
      <w:divBdr>
        <w:top w:val="none" w:sz="0" w:space="0" w:color="auto"/>
        <w:left w:val="none" w:sz="0" w:space="0" w:color="auto"/>
        <w:bottom w:val="none" w:sz="0" w:space="0" w:color="auto"/>
        <w:right w:val="none" w:sz="0" w:space="0" w:color="auto"/>
      </w:divBdr>
    </w:div>
    <w:div w:id="653067041">
      <w:bodyDiv w:val="1"/>
      <w:marLeft w:val="0"/>
      <w:marRight w:val="0"/>
      <w:marTop w:val="0"/>
      <w:marBottom w:val="0"/>
      <w:divBdr>
        <w:top w:val="none" w:sz="0" w:space="0" w:color="auto"/>
        <w:left w:val="none" w:sz="0" w:space="0" w:color="auto"/>
        <w:bottom w:val="none" w:sz="0" w:space="0" w:color="auto"/>
        <w:right w:val="none" w:sz="0" w:space="0" w:color="auto"/>
      </w:divBdr>
    </w:div>
    <w:div w:id="653264373">
      <w:bodyDiv w:val="1"/>
      <w:marLeft w:val="0"/>
      <w:marRight w:val="0"/>
      <w:marTop w:val="0"/>
      <w:marBottom w:val="0"/>
      <w:divBdr>
        <w:top w:val="none" w:sz="0" w:space="0" w:color="auto"/>
        <w:left w:val="none" w:sz="0" w:space="0" w:color="auto"/>
        <w:bottom w:val="none" w:sz="0" w:space="0" w:color="auto"/>
        <w:right w:val="none" w:sz="0" w:space="0" w:color="auto"/>
      </w:divBdr>
    </w:div>
    <w:div w:id="653414262">
      <w:bodyDiv w:val="1"/>
      <w:marLeft w:val="0"/>
      <w:marRight w:val="0"/>
      <w:marTop w:val="0"/>
      <w:marBottom w:val="0"/>
      <w:divBdr>
        <w:top w:val="none" w:sz="0" w:space="0" w:color="auto"/>
        <w:left w:val="none" w:sz="0" w:space="0" w:color="auto"/>
        <w:bottom w:val="none" w:sz="0" w:space="0" w:color="auto"/>
        <w:right w:val="none" w:sz="0" w:space="0" w:color="auto"/>
      </w:divBdr>
    </w:div>
    <w:div w:id="653797761">
      <w:bodyDiv w:val="1"/>
      <w:marLeft w:val="0"/>
      <w:marRight w:val="0"/>
      <w:marTop w:val="0"/>
      <w:marBottom w:val="0"/>
      <w:divBdr>
        <w:top w:val="none" w:sz="0" w:space="0" w:color="auto"/>
        <w:left w:val="none" w:sz="0" w:space="0" w:color="auto"/>
        <w:bottom w:val="none" w:sz="0" w:space="0" w:color="auto"/>
        <w:right w:val="none" w:sz="0" w:space="0" w:color="auto"/>
      </w:divBdr>
    </w:div>
    <w:div w:id="654184420">
      <w:bodyDiv w:val="1"/>
      <w:marLeft w:val="0"/>
      <w:marRight w:val="0"/>
      <w:marTop w:val="0"/>
      <w:marBottom w:val="0"/>
      <w:divBdr>
        <w:top w:val="none" w:sz="0" w:space="0" w:color="auto"/>
        <w:left w:val="none" w:sz="0" w:space="0" w:color="auto"/>
        <w:bottom w:val="none" w:sz="0" w:space="0" w:color="auto"/>
        <w:right w:val="none" w:sz="0" w:space="0" w:color="auto"/>
      </w:divBdr>
    </w:div>
    <w:div w:id="654262140">
      <w:bodyDiv w:val="1"/>
      <w:marLeft w:val="0"/>
      <w:marRight w:val="0"/>
      <w:marTop w:val="0"/>
      <w:marBottom w:val="0"/>
      <w:divBdr>
        <w:top w:val="none" w:sz="0" w:space="0" w:color="auto"/>
        <w:left w:val="none" w:sz="0" w:space="0" w:color="auto"/>
        <w:bottom w:val="none" w:sz="0" w:space="0" w:color="auto"/>
        <w:right w:val="none" w:sz="0" w:space="0" w:color="auto"/>
      </w:divBdr>
    </w:div>
    <w:div w:id="654452519">
      <w:bodyDiv w:val="1"/>
      <w:marLeft w:val="0"/>
      <w:marRight w:val="0"/>
      <w:marTop w:val="0"/>
      <w:marBottom w:val="0"/>
      <w:divBdr>
        <w:top w:val="none" w:sz="0" w:space="0" w:color="auto"/>
        <w:left w:val="none" w:sz="0" w:space="0" w:color="auto"/>
        <w:bottom w:val="none" w:sz="0" w:space="0" w:color="auto"/>
        <w:right w:val="none" w:sz="0" w:space="0" w:color="auto"/>
      </w:divBdr>
    </w:div>
    <w:div w:id="654531714">
      <w:bodyDiv w:val="1"/>
      <w:marLeft w:val="0"/>
      <w:marRight w:val="0"/>
      <w:marTop w:val="0"/>
      <w:marBottom w:val="0"/>
      <w:divBdr>
        <w:top w:val="none" w:sz="0" w:space="0" w:color="auto"/>
        <w:left w:val="none" w:sz="0" w:space="0" w:color="auto"/>
        <w:bottom w:val="none" w:sz="0" w:space="0" w:color="auto"/>
        <w:right w:val="none" w:sz="0" w:space="0" w:color="auto"/>
      </w:divBdr>
    </w:div>
    <w:div w:id="654605273">
      <w:bodyDiv w:val="1"/>
      <w:marLeft w:val="0"/>
      <w:marRight w:val="0"/>
      <w:marTop w:val="0"/>
      <w:marBottom w:val="0"/>
      <w:divBdr>
        <w:top w:val="none" w:sz="0" w:space="0" w:color="auto"/>
        <w:left w:val="none" w:sz="0" w:space="0" w:color="auto"/>
        <w:bottom w:val="none" w:sz="0" w:space="0" w:color="auto"/>
        <w:right w:val="none" w:sz="0" w:space="0" w:color="auto"/>
      </w:divBdr>
    </w:div>
    <w:div w:id="654728180">
      <w:bodyDiv w:val="1"/>
      <w:marLeft w:val="0"/>
      <w:marRight w:val="0"/>
      <w:marTop w:val="0"/>
      <w:marBottom w:val="0"/>
      <w:divBdr>
        <w:top w:val="none" w:sz="0" w:space="0" w:color="auto"/>
        <w:left w:val="none" w:sz="0" w:space="0" w:color="auto"/>
        <w:bottom w:val="none" w:sz="0" w:space="0" w:color="auto"/>
        <w:right w:val="none" w:sz="0" w:space="0" w:color="auto"/>
      </w:divBdr>
    </w:div>
    <w:div w:id="655188420">
      <w:bodyDiv w:val="1"/>
      <w:marLeft w:val="0"/>
      <w:marRight w:val="0"/>
      <w:marTop w:val="0"/>
      <w:marBottom w:val="0"/>
      <w:divBdr>
        <w:top w:val="none" w:sz="0" w:space="0" w:color="auto"/>
        <w:left w:val="none" w:sz="0" w:space="0" w:color="auto"/>
        <w:bottom w:val="none" w:sz="0" w:space="0" w:color="auto"/>
        <w:right w:val="none" w:sz="0" w:space="0" w:color="auto"/>
      </w:divBdr>
    </w:div>
    <w:div w:id="655841241">
      <w:bodyDiv w:val="1"/>
      <w:marLeft w:val="0"/>
      <w:marRight w:val="0"/>
      <w:marTop w:val="0"/>
      <w:marBottom w:val="0"/>
      <w:divBdr>
        <w:top w:val="none" w:sz="0" w:space="0" w:color="auto"/>
        <w:left w:val="none" w:sz="0" w:space="0" w:color="auto"/>
        <w:bottom w:val="none" w:sz="0" w:space="0" w:color="auto"/>
        <w:right w:val="none" w:sz="0" w:space="0" w:color="auto"/>
      </w:divBdr>
    </w:div>
    <w:div w:id="655956354">
      <w:bodyDiv w:val="1"/>
      <w:marLeft w:val="0"/>
      <w:marRight w:val="0"/>
      <w:marTop w:val="0"/>
      <w:marBottom w:val="0"/>
      <w:divBdr>
        <w:top w:val="none" w:sz="0" w:space="0" w:color="auto"/>
        <w:left w:val="none" w:sz="0" w:space="0" w:color="auto"/>
        <w:bottom w:val="none" w:sz="0" w:space="0" w:color="auto"/>
        <w:right w:val="none" w:sz="0" w:space="0" w:color="auto"/>
      </w:divBdr>
    </w:div>
    <w:div w:id="656030554">
      <w:bodyDiv w:val="1"/>
      <w:marLeft w:val="0"/>
      <w:marRight w:val="0"/>
      <w:marTop w:val="0"/>
      <w:marBottom w:val="0"/>
      <w:divBdr>
        <w:top w:val="none" w:sz="0" w:space="0" w:color="auto"/>
        <w:left w:val="none" w:sz="0" w:space="0" w:color="auto"/>
        <w:bottom w:val="none" w:sz="0" w:space="0" w:color="auto"/>
        <w:right w:val="none" w:sz="0" w:space="0" w:color="auto"/>
      </w:divBdr>
    </w:div>
    <w:div w:id="656107607">
      <w:bodyDiv w:val="1"/>
      <w:marLeft w:val="0"/>
      <w:marRight w:val="0"/>
      <w:marTop w:val="0"/>
      <w:marBottom w:val="0"/>
      <w:divBdr>
        <w:top w:val="none" w:sz="0" w:space="0" w:color="auto"/>
        <w:left w:val="none" w:sz="0" w:space="0" w:color="auto"/>
        <w:bottom w:val="none" w:sz="0" w:space="0" w:color="auto"/>
        <w:right w:val="none" w:sz="0" w:space="0" w:color="auto"/>
      </w:divBdr>
    </w:div>
    <w:div w:id="656147613">
      <w:bodyDiv w:val="1"/>
      <w:marLeft w:val="0"/>
      <w:marRight w:val="0"/>
      <w:marTop w:val="0"/>
      <w:marBottom w:val="0"/>
      <w:divBdr>
        <w:top w:val="none" w:sz="0" w:space="0" w:color="auto"/>
        <w:left w:val="none" w:sz="0" w:space="0" w:color="auto"/>
        <w:bottom w:val="none" w:sz="0" w:space="0" w:color="auto"/>
        <w:right w:val="none" w:sz="0" w:space="0" w:color="auto"/>
      </w:divBdr>
    </w:div>
    <w:div w:id="656806662">
      <w:bodyDiv w:val="1"/>
      <w:marLeft w:val="0"/>
      <w:marRight w:val="0"/>
      <w:marTop w:val="0"/>
      <w:marBottom w:val="0"/>
      <w:divBdr>
        <w:top w:val="none" w:sz="0" w:space="0" w:color="auto"/>
        <w:left w:val="none" w:sz="0" w:space="0" w:color="auto"/>
        <w:bottom w:val="none" w:sz="0" w:space="0" w:color="auto"/>
        <w:right w:val="none" w:sz="0" w:space="0" w:color="auto"/>
      </w:divBdr>
    </w:div>
    <w:div w:id="657226696">
      <w:bodyDiv w:val="1"/>
      <w:marLeft w:val="0"/>
      <w:marRight w:val="0"/>
      <w:marTop w:val="0"/>
      <w:marBottom w:val="0"/>
      <w:divBdr>
        <w:top w:val="none" w:sz="0" w:space="0" w:color="auto"/>
        <w:left w:val="none" w:sz="0" w:space="0" w:color="auto"/>
        <w:bottom w:val="none" w:sz="0" w:space="0" w:color="auto"/>
        <w:right w:val="none" w:sz="0" w:space="0" w:color="auto"/>
      </w:divBdr>
    </w:div>
    <w:div w:id="657614506">
      <w:bodyDiv w:val="1"/>
      <w:marLeft w:val="0"/>
      <w:marRight w:val="0"/>
      <w:marTop w:val="0"/>
      <w:marBottom w:val="0"/>
      <w:divBdr>
        <w:top w:val="none" w:sz="0" w:space="0" w:color="auto"/>
        <w:left w:val="none" w:sz="0" w:space="0" w:color="auto"/>
        <w:bottom w:val="none" w:sz="0" w:space="0" w:color="auto"/>
        <w:right w:val="none" w:sz="0" w:space="0" w:color="auto"/>
      </w:divBdr>
    </w:div>
    <w:div w:id="657726897">
      <w:bodyDiv w:val="1"/>
      <w:marLeft w:val="0"/>
      <w:marRight w:val="0"/>
      <w:marTop w:val="0"/>
      <w:marBottom w:val="0"/>
      <w:divBdr>
        <w:top w:val="none" w:sz="0" w:space="0" w:color="auto"/>
        <w:left w:val="none" w:sz="0" w:space="0" w:color="auto"/>
        <w:bottom w:val="none" w:sz="0" w:space="0" w:color="auto"/>
        <w:right w:val="none" w:sz="0" w:space="0" w:color="auto"/>
      </w:divBdr>
    </w:div>
    <w:div w:id="657999780">
      <w:bodyDiv w:val="1"/>
      <w:marLeft w:val="0"/>
      <w:marRight w:val="0"/>
      <w:marTop w:val="0"/>
      <w:marBottom w:val="0"/>
      <w:divBdr>
        <w:top w:val="none" w:sz="0" w:space="0" w:color="auto"/>
        <w:left w:val="none" w:sz="0" w:space="0" w:color="auto"/>
        <w:bottom w:val="none" w:sz="0" w:space="0" w:color="auto"/>
        <w:right w:val="none" w:sz="0" w:space="0" w:color="auto"/>
      </w:divBdr>
    </w:div>
    <w:div w:id="658533514">
      <w:bodyDiv w:val="1"/>
      <w:marLeft w:val="0"/>
      <w:marRight w:val="0"/>
      <w:marTop w:val="0"/>
      <w:marBottom w:val="0"/>
      <w:divBdr>
        <w:top w:val="none" w:sz="0" w:space="0" w:color="auto"/>
        <w:left w:val="none" w:sz="0" w:space="0" w:color="auto"/>
        <w:bottom w:val="none" w:sz="0" w:space="0" w:color="auto"/>
        <w:right w:val="none" w:sz="0" w:space="0" w:color="auto"/>
      </w:divBdr>
    </w:div>
    <w:div w:id="658578819">
      <w:bodyDiv w:val="1"/>
      <w:marLeft w:val="0"/>
      <w:marRight w:val="0"/>
      <w:marTop w:val="0"/>
      <w:marBottom w:val="0"/>
      <w:divBdr>
        <w:top w:val="none" w:sz="0" w:space="0" w:color="auto"/>
        <w:left w:val="none" w:sz="0" w:space="0" w:color="auto"/>
        <w:bottom w:val="none" w:sz="0" w:space="0" w:color="auto"/>
        <w:right w:val="none" w:sz="0" w:space="0" w:color="auto"/>
      </w:divBdr>
    </w:div>
    <w:div w:id="658845527">
      <w:bodyDiv w:val="1"/>
      <w:marLeft w:val="0"/>
      <w:marRight w:val="0"/>
      <w:marTop w:val="0"/>
      <w:marBottom w:val="0"/>
      <w:divBdr>
        <w:top w:val="none" w:sz="0" w:space="0" w:color="auto"/>
        <w:left w:val="none" w:sz="0" w:space="0" w:color="auto"/>
        <w:bottom w:val="none" w:sz="0" w:space="0" w:color="auto"/>
        <w:right w:val="none" w:sz="0" w:space="0" w:color="auto"/>
      </w:divBdr>
    </w:div>
    <w:div w:id="658847909">
      <w:bodyDiv w:val="1"/>
      <w:marLeft w:val="0"/>
      <w:marRight w:val="0"/>
      <w:marTop w:val="0"/>
      <w:marBottom w:val="0"/>
      <w:divBdr>
        <w:top w:val="none" w:sz="0" w:space="0" w:color="auto"/>
        <w:left w:val="none" w:sz="0" w:space="0" w:color="auto"/>
        <w:bottom w:val="none" w:sz="0" w:space="0" w:color="auto"/>
        <w:right w:val="none" w:sz="0" w:space="0" w:color="auto"/>
      </w:divBdr>
    </w:div>
    <w:div w:id="659039412">
      <w:bodyDiv w:val="1"/>
      <w:marLeft w:val="0"/>
      <w:marRight w:val="0"/>
      <w:marTop w:val="0"/>
      <w:marBottom w:val="0"/>
      <w:divBdr>
        <w:top w:val="none" w:sz="0" w:space="0" w:color="auto"/>
        <w:left w:val="none" w:sz="0" w:space="0" w:color="auto"/>
        <w:bottom w:val="none" w:sz="0" w:space="0" w:color="auto"/>
        <w:right w:val="none" w:sz="0" w:space="0" w:color="auto"/>
      </w:divBdr>
    </w:div>
    <w:div w:id="659577896">
      <w:bodyDiv w:val="1"/>
      <w:marLeft w:val="0"/>
      <w:marRight w:val="0"/>
      <w:marTop w:val="0"/>
      <w:marBottom w:val="0"/>
      <w:divBdr>
        <w:top w:val="none" w:sz="0" w:space="0" w:color="auto"/>
        <w:left w:val="none" w:sz="0" w:space="0" w:color="auto"/>
        <w:bottom w:val="none" w:sz="0" w:space="0" w:color="auto"/>
        <w:right w:val="none" w:sz="0" w:space="0" w:color="auto"/>
      </w:divBdr>
    </w:div>
    <w:div w:id="659579404">
      <w:bodyDiv w:val="1"/>
      <w:marLeft w:val="0"/>
      <w:marRight w:val="0"/>
      <w:marTop w:val="0"/>
      <w:marBottom w:val="0"/>
      <w:divBdr>
        <w:top w:val="none" w:sz="0" w:space="0" w:color="auto"/>
        <w:left w:val="none" w:sz="0" w:space="0" w:color="auto"/>
        <w:bottom w:val="none" w:sz="0" w:space="0" w:color="auto"/>
        <w:right w:val="none" w:sz="0" w:space="0" w:color="auto"/>
      </w:divBdr>
    </w:div>
    <w:div w:id="659695162">
      <w:bodyDiv w:val="1"/>
      <w:marLeft w:val="0"/>
      <w:marRight w:val="0"/>
      <w:marTop w:val="0"/>
      <w:marBottom w:val="0"/>
      <w:divBdr>
        <w:top w:val="none" w:sz="0" w:space="0" w:color="auto"/>
        <w:left w:val="none" w:sz="0" w:space="0" w:color="auto"/>
        <w:bottom w:val="none" w:sz="0" w:space="0" w:color="auto"/>
        <w:right w:val="none" w:sz="0" w:space="0" w:color="auto"/>
      </w:divBdr>
    </w:div>
    <w:div w:id="660160466">
      <w:bodyDiv w:val="1"/>
      <w:marLeft w:val="0"/>
      <w:marRight w:val="0"/>
      <w:marTop w:val="0"/>
      <w:marBottom w:val="0"/>
      <w:divBdr>
        <w:top w:val="none" w:sz="0" w:space="0" w:color="auto"/>
        <w:left w:val="none" w:sz="0" w:space="0" w:color="auto"/>
        <w:bottom w:val="none" w:sz="0" w:space="0" w:color="auto"/>
        <w:right w:val="none" w:sz="0" w:space="0" w:color="auto"/>
      </w:divBdr>
    </w:div>
    <w:div w:id="660163276">
      <w:bodyDiv w:val="1"/>
      <w:marLeft w:val="0"/>
      <w:marRight w:val="0"/>
      <w:marTop w:val="0"/>
      <w:marBottom w:val="0"/>
      <w:divBdr>
        <w:top w:val="none" w:sz="0" w:space="0" w:color="auto"/>
        <w:left w:val="none" w:sz="0" w:space="0" w:color="auto"/>
        <w:bottom w:val="none" w:sz="0" w:space="0" w:color="auto"/>
        <w:right w:val="none" w:sz="0" w:space="0" w:color="auto"/>
      </w:divBdr>
    </w:div>
    <w:div w:id="660503948">
      <w:bodyDiv w:val="1"/>
      <w:marLeft w:val="0"/>
      <w:marRight w:val="0"/>
      <w:marTop w:val="0"/>
      <w:marBottom w:val="0"/>
      <w:divBdr>
        <w:top w:val="none" w:sz="0" w:space="0" w:color="auto"/>
        <w:left w:val="none" w:sz="0" w:space="0" w:color="auto"/>
        <w:bottom w:val="none" w:sz="0" w:space="0" w:color="auto"/>
        <w:right w:val="none" w:sz="0" w:space="0" w:color="auto"/>
      </w:divBdr>
    </w:div>
    <w:div w:id="660699804">
      <w:bodyDiv w:val="1"/>
      <w:marLeft w:val="0"/>
      <w:marRight w:val="0"/>
      <w:marTop w:val="0"/>
      <w:marBottom w:val="0"/>
      <w:divBdr>
        <w:top w:val="none" w:sz="0" w:space="0" w:color="auto"/>
        <w:left w:val="none" w:sz="0" w:space="0" w:color="auto"/>
        <w:bottom w:val="none" w:sz="0" w:space="0" w:color="auto"/>
        <w:right w:val="none" w:sz="0" w:space="0" w:color="auto"/>
      </w:divBdr>
    </w:div>
    <w:div w:id="661159862">
      <w:bodyDiv w:val="1"/>
      <w:marLeft w:val="0"/>
      <w:marRight w:val="0"/>
      <w:marTop w:val="0"/>
      <w:marBottom w:val="0"/>
      <w:divBdr>
        <w:top w:val="none" w:sz="0" w:space="0" w:color="auto"/>
        <w:left w:val="none" w:sz="0" w:space="0" w:color="auto"/>
        <w:bottom w:val="none" w:sz="0" w:space="0" w:color="auto"/>
        <w:right w:val="none" w:sz="0" w:space="0" w:color="auto"/>
      </w:divBdr>
    </w:div>
    <w:div w:id="661352659">
      <w:bodyDiv w:val="1"/>
      <w:marLeft w:val="0"/>
      <w:marRight w:val="0"/>
      <w:marTop w:val="0"/>
      <w:marBottom w:val="0"/>
      <w:divBdr>
        <w:top w:val="none" w:sz="0" w:space="0" w:color="auto"/>
        <w:left w:val="none" w:sz="0" w:space="0" w:color="auto"/>
        <w:bottom w:val="none" w:sz="0" w:space="0" w:color="auto"/>
        <w:right w:val="none" w:sz="0" w:space="0" w:color="auto"/>
      </w:divBdr>
    </w:div>
    <w:div w:id="661393553">
      <w:bodyDiv w:val="1"/>
      <w:marLeft w:val="0"/>
      <w:marRight w:val="0"/>
      <w:marTop w:val="0"/>
      <w:marBottom w:val="0"/>
      <w:divBdr>
        <w:top w:val="none" w:sz="0" w:space="0" w:color="auto"/>
        <w:left w:val="none" w:sz="0" w:space="0" w:color="auto"/>
        <w:bottom w:val="none" w:sz="0" w:space="0" w:color="auto"/>
        <w:right w:val="none" w:sz="0" w:space="0" w:color="auto"/>
      </w:divBdr>
    </w:div>
    <w:div w:id="661472401">
      <w:bodyDiv w:val="1"/>
      <w:marLeft w:val="0"/>
      <w:marRight w:val="0"/>
      <w:marTop w:val="0"/>
      <w:marBottom w:val="0"/>
      <w:divBdr>
        <w:top w:val="none" w:sz="0" w:space="0" w:color="auto"/>
        <w:left w:val="none" w:sz="0" w:space="0" w:color="auto"/>
        <w:bottom w:val="none" w:sz="0" w:space="0" w:color="auto"/>
        <w:right w:val="none" w:sz="0" w:space="0" w:color="auto"/>
      </w:divBdr>
    </w:div>
    <w:div w:id="662048556">
      <w:bodyDiv w:val="1"/>
      <w:marLeft w:val="0"/>
      <w:marRight w:val="0"/>
      <w:marTop w:val="0"/>
      <w:marBottom w:val="0"/>
      <w:divBdr>
        <w:top w:val="none" w:sz="0" w:space="0" w:color="auto"/>
        <w:left w:val="none" w:sz="0" w:space="0" w:color="auto"/>
        <w:bottom w:val="none" w:sz="0" w:space="0" w:color="auto"/>
        <w:right w:val="none" w:sz="0" w:space="0" w:color="auto"/>
      </w:divBdr>
    </w:div>
    <w:div w:id="662664577">
      <w:bodyDiv w:val="1"/>
      <w:marLeft w:val="0"/>
      <w:marRight w:val="0"/>
      <w:marTop w:val="0"/>
      <w:marBottom w:val="0"/>
      <w:divBdr>
        <w:top w:val="none" w:sz="0" w:space="0" w:color="auto"/>
        <w:left w:val="none" w:sz="0" w:space="0" w:color="auto"/>
        <w:bottom w:val="none" w:sz="0" w:space="0" w:color="auto"/>
        <w:right w:val="none" w:sz="0" w:space="0" w:color="auto"/>
      </w:divBdr>
    </w:div>
    <w:div w:id="662860555">
      <w:bodyDiv w:val="1"/>
      <w:marLeft w:val="0"/>
      <w:marRight w:val="0"/>
      <w:marTop w:val="0"/>
      <w:marBottom w:val="0"/>
      <w:divBdr>
        <w:top w:val="none" w:sz="0" w:space="0" w:color="auto"/>
        <w:left w:val="none" w:sz="0" w:space="0" w:color="auto"/>
        <w:bottom w:val="none" w:sz="0" w:space="0" w:color="auto"/>
        <w:right w:val="none" w:sz="0" w:space="0" w:color="auto"/>
      </w:divBdr>
    </w:div>
    <w:div w:id="663170306">
      <w:bodyDiv w:val="1"/>
      <w:marLeft w:val="0"/>
      <w:marRight w:val="0"/>
      <w:marTop w:val="0"/>
      <w:marBottom w:val="0"/>
      <w:divBdr>
        <w:top w:val="none" w:sz="0" w:space="0" w:color="auto"/>
        <w:left w:val="none" w:sz="0" w:space="0" w:color="auto"/>
        <w:bottom w:val="none" w:sz="0" w:space="0" w:color="auto"/>
        <w:right w:val="none" w:sz="0" w:space="0" w:color="auto"/>
      </w:divBdr>
    </w:div>
    <w:div w:id="663242995">
      <w:bodyDiv w:val="1"/>
      <w:marLeft w:val="0"/>
      <w:marRight w:val="0"/>
      <w:marTop w:val="0"/>
      <w:marBottom w:val="0"/>
      <w:divBdr>
        <w:top w:val="none" w:sz="0" w:space="0" w:color="auto"/>
        <w:left w:val="none" w:sz="0" w:space="0" w:color="auto"/>
        <w:bottom w:val="none" w:sz="0" w:space="0" w:color="auto"/>
        <w:right w:val="none" w:sz="0" w:space="0" w:color="auto"/>
      </w:divBdr>
    </w:div>
    <w:div w:id="663313467">
      <w:bodyDiv w:val="1"/>
      <w:marLeft w:val="0"/>
      <w:marRight w:val="0"/>
      <w:marTop w:val="0"/>
      <w:marBottom w:val="0"/>
      <w:divBdr>
        <w:top w:val="none" w:sz="0" w:space="0" w:color="auto"/>
        <w:left w:val="none" w:sz="0" w:space="0" w:color="auto"/>
        <w:bottom w:val="none" w:sz="0" w:space="0" w:color="auto"/>
        <w:right w:val="none" w:sz="0" w:space="0" w:color="auto"/>
      </w:divBdr>
    </w:div>
    <w:div w:id="663819532">
      <w:bodyDiv w:val="1"/>
      <w:marLeft w:val="0"/>
      <w:marRight w:val="0"/>
      <w:marTop w:val="0"/>
      <w:marBottom w:val="0"/>
      <w:divBdr>
        <w:top w:val="none" w:sz="0" w:space="0" w:color="auto"/>
        <w:left w:val="none" w:sz="0" w:space="0" w:color="auto"/>
        <w:bottom w:val="none" w:sz="0" w:space="0" w:color="auto"/>
        <w:right w:val="none" w:sz="0" w:space="0" w:color="auto"/>
      </w:divBdr>
    </w:div>
    <w:div w:id="663822125">
      <w:bodyDiv w:val="1"/>
      <w:marLeft w:val="0"/>
      <w:marRight w:val="0"/>
      <w:marTop w:val="0"/>
      <w:marBottom w:val="0"/>
      <w:divBdr>
        <w:top w:val="none" w:sz="0" w:space="0" w:color="auto"/>
        <w:left w:val="none" w:sz="0" w:space="0" w:color="auto"/>
        <w:bottom w:val="none" w:sz="0" w:space="0" w:color="auto"/>
        <w:right w:val="none" w:sz="0" w:space="0" w:color="auto"/>
      </w:divBdr>
    </w:div>
    <w:div w:id="663897169">
      <w:bodyDiv w:val="1"/>
      <w:marLeft w:val="0"/>
      <w:marRight w:val="0"/>
      <w:marTop w:val="0"/>
      <w:marBottom w:val="0"/>
      <w:divBdr>
        <w:top w:val="none" w:sz="0" w:space="0" w:color="auto"/>
        <w:left w:val="none" w:sz="0" w:space="0" w:color="auto"/>
        <w:bottom w:val="none" w:sz="0" w:space="0" w:color="auto"/>
        <w:right w:val="none" w:sz="0" w:space="0" w:color="auto"/>
      </w:divBdr>
    </w:div>
    <w:div w:id="664092512">
      <w:bodyDiv w:val="1"/>
      <w:marLeft w:val="0"/>
      <w:marRight w:val="0"/>
      <w:marTop w:val="0"/>
      <w:marBottom w:val="0"/>
      <w:divBdr>
        <w:top w:val="none" w:sz="0" w:space="0" w:color="auto"/>
        <w:left w:val="none" w:sz="0" w:space="0" w:color="auto"/>
        <w:bottom w:val="none" w:sz="0" w:space="0" w:color="auto"/>
        <w:right w:val="none" w:sz="0" w:space="0" w:color="auto"/>
      </w:divBdr>
    </w:div>
    <w:div w:id="664169062">
      <w:bodyDiv w:val="1"/>
      <w:marLeft w:val="0"/>
      <w:marRight w:val="0"/>
      <w:marTop w:val="0"/>
      <w:marBottom w:val="0"/>
      <w:divBdr>
        <w:top w:val="none" w:sz="0" w:space="0" w:color="auto"/>
        <w:left w:val="none" w:sz="0" w:space="0" w:color="auto"/>
        <w:bottom w:val="none" w:sz="0" w:space="0" w:color="auto"/>
        <w:right w:val="none" w:sz="0" w:space="0" w:color="auto"/>
      </w:divBdr>
    </w:div>
    <w:div w:id="664892824">
      <w:bodyDiv w:val="1"/>
      <w:marLeft w:val="0"/>
      <w:marRight w:val="0"/>
      <w:marTop w:val="0"/>
      <w:marBottom w:val="0"/>
      <w:divBdr>
        <w:top w:val="none" w:sz="0" w:space="0" w:color="auto"/>
        <w:left w:val="none" w:sz="0" w:space="0" w:color="auto"/>
        <w:bottom w:val="none" w:sz="0" w:space="0" w:color="auto"/>
        <w:right w:val="none" w:sz="0" w:space="0" w:color="auto"/>
      </w:divBdr>
    </w:div>
    <w:div w:id="665398246">
      <w:bodyDiv w:val="1"/>
      <w:marLeft w:val="0"/>
      <w:marRight w:val="0"/>
      <w:marTop w:val="0"/>
      <w:marBottom w:val="0"/>
      <w:divBdr>
        <w:top w:val="none" w:sz="0" w:space="0" w:color="auto"/>
        <w:left w:val="none" w:sz="0" w:space="0" w:color="auto"/>
        <w:bottom w:val="none" w:sz="0" w:space="0" w:color="auto"/>
        <w:right w:val="none" w:sz="0" w:space="0" w:color="auto"/>
      </w:divBdr>
    </w:div>
    <w:div w:id="665858652">
      <w:bodyDiv w:val="1"/>
      <w:marLeft w:val="0"/>
      <w:marRight w:val="0"/>
      <w:marTop w:val="0"/>
      <w:marBottom w:val="0"/>
      <w:divBdr>
        <w:top w:val="none" w:sz="0" w:space="0" w:color="auto"/>
        <w:left w:val="none" w:sz="0" w:space="0" w:color="auto"/>
        <w:bottom w:val="none" w:sz="0" w:space="0" w:color="auto"/>
        <w:right w:val="none" w:sz="0" w:space="0" w:color="auto"/>
      </w:divBdr>
    </w:div>
    <w:div w:id="665864944">
      <w:bodyDiv w:val="1"/>
      <w:marLeft w:val="0"/>
      <w:marRight w:val="0"/>
      <w:marTop w:val="0"/>
      <w:marBottom w:val="0"/>
      <w:divBdr>
        <w:top w:val="none" w:sz="0" w:space="0" w:color="auto"/>
        <w:left w:val="none" w:sz="0" w:space="0" w:color="auto"/>
        <w:bottom w:val="none" w:sz="0" w:space="0" w:color="auto"/>
        <w:right w:val="none" w:sz="0" w:space="0" w:color="auto"/>
      </w:divBdr>
    </w:div>
    <w:div w:id="666518838">
      <w:bodyDiv w:val="1"/>
      <w:marLeft w:val="0"/>
      <w:marRight w:val="0"/>
      <w:marTop w:val="0"/>
      <w:marBottom w:val="0"/>
      <w:divBdr>
        <w:top w:val="none" w:sz="0" w:space="0" w:color="auto"/>
        <w:left w:val="none" w:sz="0" w:space="0" w:color="auto"/>
        <w:bottom w:val="none" w:sz="0" w:space="0" w:color="auto"/>
        <w:right w:val="none" w:sz="0" w:space="0" w:color="auto"/>
      </w:divBdr>
    </w:div>
    <w:div w:id="666981085">
      <w:bodyDiv w:val="1"/>
      <w:marLeft w:val="0"/>
      <w:marRight w:val="0"/>
      <w:marTop w:val="0"/>
      <w:marBottom w:val="0"/>
      <w:divBdr>
        <w:top w:val="none" w:sz="0" w:space="0" w:color="auto"/>
        <w:left w:val="none" w:sz="0" w:space="0" w:color="auto"/>
        <w:bottom w:val="none" w:sz="0" w:space="0" w:color="auto"/>
        <w:right w:val="none" w:sz="0" w:space="0" w:color="auto"/>
      </w:divBdr>
    </w:div>
    <w:div w:id="667054238">
      <w:bodyDiv w:val="1"/>
      <w:marLeft w:val="0"/>
      <w:marRight w:val="0"/>
      <w:marTop w:val="0"/>
      <w:marBottom w:val="0"/>
      <w:divBdr>
        <w:top w:val="none" w:sz="0" w:space="0" w:color="auto"/>
        <w:left w:val="none" w:sz="0" w:space="0" w:color="auto"/>
        <w:bottom w:val="none" w:sz="0" w:space="0" w:color="auto"/>
        <w:right w:val="none" w:sz="0" w:space="0" w:color="auto"/>
      </w:divBdr>
    </w:div>
    <w:div w:id="667364483">
      <w:bodyDiv w:val="1"/>
      <w:marLeft w:val="0"/>
      <w:marRight w:val="0"/>
      <w:marTop w:val="0"/>
      <w:marBottom w:val="0"/>
      <w:divBdr>
        <w:top w:val="none" w:sz="0" w:space="0" w:color="auto"/>
        <w:left w:val="none" w:sz="0" w:space="0" w:color="auto"/>
        <w:bottom w:val="none" w:sz="0" w:space="0" w:color="auto"/>
        <w:right w:val="none" w:sz="0" w:space="0" w:color="auto"/>
      </w:divBdr>
    </w:div>
    <w:div w:id="667631172">
      <w:bodyDiv w:val="1"/>
      <w:marLeft w:val="0"/>
      <w:marRight w:val="0"/>
      <w:marTop w:val="0"/>
      <w:marBottom w:val="0"/>
      <w:divBdr>
        <w:top w:val="none" w:sz="0" w:space="0" w:color="auto"/>
        <w:left w:val="none" w:sz="0" w:space="0" w:color="auto"/>
        <w:bottom w:val="none" w:sz="0" w:space="0" w:color="auto"/>
        <w:right w:val="none" w:sz="0" w:space="0" w:color="auto"/>
      </w:divBdr>
    </w:div>
    <w:div w:id="667830089">
      <w:bodyDiv w:val="1"/>
      <w:marLeft w:val="0"/>
      <w:marRight w:val="0"/>
      <w:marTop w:val="0"/>
      <w:marBottom w:val="0"/>
      <w:divBdr>
        <w:top w:val="none" w:sz="0" w:space="0" w:color="auto"/>
        <w:left w:val="none" w:sz="0" w:space="0" w:color="auto"/>
        <w:bottom w:val="none" w:sz="0" w:space="0" w:color="auto"/>
        <w:right w:val="none" w:sz="0" w:space="0" w:color="auto"/>
      </w:divBdr>
    </w:div>
    <w:div w:id="668336851">
      <w:bodyDiv w:val="1"/>
      <w:marLeft w:val="0"/>
      <w:marRight w:val="0"/>
      <w:marTop w:val="0"/>
      <w:marBottom w:val="0"/>
      <w:divBdr>
        <w:top w:val="none" w:sz="0" w:space="0" w:color="auto"/>
        <w:left w:val="none" w:sz="0" w:space="0" w:color="auto"/>
        <w:bottom w:val="none" w:sz="0" w:space="0" w:color="auto"/>
        <w:right w:val="none" w:sz="0" w:space="0" w:color="auto"/>
      </w:divBdr>
    </w:div>
    <w:div w:id="668362080">
      <w:bodyDiv w:val="1"/>
      <w:marLeft w:val="0"/>
      <w:marRight w:val="0"/>
      <w:marTop w:val="0"/>
      <w:marBottom w:val="0"/>
      <w:divBdr>
        <w:top w:val="none" w:sz="0" w:space="0" w:color="auto"/>
        <w:left w:val="none" w:sz="0" w:space="0" w:color="auto"/>
        <w:bottom w:val="none" w:sz="0" w:space="0" w:color="auto"/>
        <w:right w:val="none" w:sz="0" w:space="0" w:color="auto"/>
      </w:divBdr>
    </w:div>
    <w:div w:id="668407877">
      <w:bodyDiv w:val="1"/>
      <w:marLeft w:val="0"/>
      <w:marRight w:val="0"/>
      <w:marTop w:val="0"/>
      <w:marBottom w:val="0"/>
      <w:divBdr>
        <w:top w:val="none" w:sz="0" w:space="0" w:color="auto"/>
        <w:left w:val="none" w:sz="0" w:space="0" w:color="auto"/>
        <w:bottom w:val="none" w:sz="0" w:space="0" w:color="auto"/>
        <w:right w:val="none" w:sz="0" w:space="0" w:color="auto"/>
      </w:divBdr>
    </w:div>
    <w:div w:id="668559271">
      <w:bodyDiv w:val="1"/>
      <w:marLeft w:val="0"/>
      <w:marRight w:val="0"/>
      <w:marTop w:val="0"/>
      <w:marBottom w:val="0"/>
      <w:divBdr>
        <w:top w:val="none" w:sz="0" w:space="0" w:color="auto"/>
        <w:left w:val="none" w:sz="0" w:space="0" w:color="auto"/>
        <w:bottom w:val="none" w:sz="0" w:space="0" w:color="auto"/>
        <w:right w:val="none" w:sz="0" w:space="0" w:color="auto"/>
      </w:divBdr>
    </w:div>
    <w:div w:id="668600457">
      <w:bodyDiv w:val="1"/>
      <w:marLeft w:val="0"/>
      <w:marRight w:val="0"/>
      <w:marTop w:val="0"/>
      <w:marBottom w:val="0"/>
      <w:divBdr>
        <w:top w:val="none" w:sz="0" w:space="0" w:color="auto"/>
        <w:left w:val="none" w:sz="0" w:space="0" w:color="auto"/>
        <w:bottom w:val="none" w:sz="0" w:space="0" w:color="auto"/>
        <w:right w:val="none" w:sz="0" w:space="0" w:color="auto"/>
      </w:divBdr>
    </w:div>
    <w:div w:id="668677634">
      <w:bodyDiv w:val="1"/>
      <w:marLeft w:val="0"/>
      <w:marRight w:val="0"/>
      <w:marTop w:val="0"/>
      <w:marBottom w:val="0"/>
      <w:divBdr>
        <w:top w:val="none" w:sz="0" w:space="0" w:color="auto"/>
        <w:left w:val="none" w:sz="0" w:space="0" w:color="auto"/>
        <w:bottom w:val="none" w:sz="0" w:space="0" w:color="auto"/>
        <w:right w:val="none" w:sz="0" w:space="0" w:color="auto"/>
      </w:divBdr>
    </w:div>
    <w:div w:id="668943109">
      <w:bodyDiv w:val="1"/>
      <w:marLeft w:val="0"/>
      <w:marRight w:val="0"/>
      <w:marTop w:val="0"/>
      <w:marBottom w:val="0"/>
      <w:divBdr>
        <w:top w:val="none" w:sz="0" w:space="0" w:color="auto"/>
        <w:left w:val="none" w:sz="0" w:space="0" w:color="auto"/>
        <w:bottom w:val="none" w:sz="0" w:space="0" w:color="auto"/>
        <w:right w:val="none" w:sz="0" w:space="0" w:color="auto"/>
      </w:divBdr>
    </w:div>
    <w:div w:id="669258092">
      <w:bodyDiv w:val="1"/>
      <w:marLeft w:val="0"/>
      <w:marRight w:val="0"/>
      <w:marTop w:val="0"/>
      <w:marBottom w:val="0"/>
      <w:divBdr>
        <w:top w:val="none" w:sz="0" w:space="0" w:color="auto"/>
        <w:left w:val="none" w:sz="0" w:space="0" w:color="auto"/>
        <w:bottom w:val="none" w:sz="0" w:space="0" w:color="auto"/>
        <w:right w:val="none" w:sz="0" w:space="0" w:color="auto"/>
      </w:divBdr>
    </w:div>
    <w:div w:id="669333633">
      <w:bodyDiv w:val="1"/>
      <w:marLeft w:val="0"/>
      <w:marRight w:val="0"/>
      <w:marTop w:val="0"/>
      <w:marBottom w:val="0"/>
      <w:divBdr>
        <w:top w:val="none" w:sz="0" w:space="0" w:color="auto"/>
        <w:left w:val="none" w:sz="0" w:space="0" w:color="auto"/>
        <w:bottom w:val="none" w:sz="0" w:space="0" w:color="auto"/>
        <w:right w:val="none" w:sz="0" w:space="0" w:color="auto"/>
      </w:divBdr>
    </w:div>
    <w:div w:id="669673489">
      <w:bodyDiv w:val="1"/>
      <w:marLeft w:val="0"/>
      <w:marRight w:val="0"/>
      <w:marTop w:val="0"/>
      <w:marBottom w:val="0"/>
      <w:divBdr>
        <w:top w:val="none" w:sz="0" w:space="0" w:color="auto"/>
        <w:left w:val="none" w:sz="0" w:space="0" w:color="auto"/>
        <w:bottom w:val="none" w:sz="0" w:space="0" w:color="auto"/>
        <w:right w:val="none" w:sz="0" w:space="0" w:color="auto"/>
      </w:divBdr>
    </w:div>
    <w:div w:id="669718540">
      <w:bodyDiv w:val="1"/>
      <w:marLeft w:val="0"/>
      <w:marRight w:val="0"/>
      <w:marTop w:val="0"/>
      <w:marBottom w:val="0"/>
      <w:divBdr>
        <w:top w:val="none" w:sz="0" w:space="0" w:color="auto"/>
        <w:left w:val="none" w:sz="0" w:space="0" w:color="auto"/>
        <w:bottom w:val="none" w:sz="0" w:space="0" w:color="auto"/>
        <w:right w:val="none" w:sz="0" w:space="0" w:color="auto"/>
      </w:divBdr>
    </w:div>
    <w:div w:id="669794035">
      <w:bodyDiv w:val="1"/>
      <w:marLeft w:val="0"/>
      <w:marRight w:val="0"/>
      <w:marTop w:val="0"/>
      <w:marBottom w:val="0"/>
      <w:divBdr>
        <w:top w:val="none" w:sz="0" w:space="0" w:color="auto"/>
        <w:left w:val="none" w:sz="0" w:space="0" w:color="auto"/>
        <w:bottom w:val="none" w:sz="0" w:space="0" w:color="auto"/>
        <w:right w:val="none" w:sz="0" w:space="0" w:color="auto"/>
      </w:divBdr>
    </w:div>
    <w:div w:id="670255005">
      <w:bodyDiv w:val="1"/>
      <w:marLeft w:val="0"/>
      <w:marRight w:val="0"/>
      <w:marTop w:val="0"/>
      <w:marBottom w:val="0"/>
      <w:divBdr>
        <w:top w:val="none" w:sz="0" w:space="0" w:color="auto"/>
        <w:left w:val="none" w:sz="0" w:space="0" w:color="auto"/>
        <w:bottom w:val="none" w:sz="0" w:space="0" w:color="auto"/>
        <w:right w:val="none" w:sz="0" w:space="0" w:color="auto"/>
      </w:divBdr>
    </w:div>
    <w:div w:id="670833984">
      <w:bodyDiv w:val="1"/>
      <w:marLeft w:val="0"/>
      <w:marRight w:val="0"/>
      <w:marTop w:val="0"/>
      <w:marBottom w:val="0"/>
      <w:divBdr>
        <w:top w:val="none" w:sz="0" w:space="0" w:color="auto"/>
        <w:left w:val="none" w:sz="0" w:space="0" w:color="auto"/>
        <w:bottom w:val="none" w:sz="0" w:space="0" w:color="auto"/>
        <w:right w:val="none" w:sz="0" w:space="0" w:color="auto"/>
      </w:divBdr>
    </w:div>
    <w:div w:id="671176739">
      <w:bodyDiv w:val="1"/>
      <w:marLeft w:val="0"/>
      <w:marRight w:val="0"/>
      <w:marTop w:val="0"/>
      <w:marBottom w:val="0"/>
      <w:divBdr>
        <w:top w:val="none" w:sz="0" w:space="0" w:color="auto"/>
        <w:left w:val="none" w:sz="0" w:space="0" w:color="auto"/>
        <w:bottom w:val="none" w:sz="0" w:space="0" w:color="auto"/>
        <w:right w:val="none" w:sz="0" w:space="0" w:color="auto"/>
      </w:divBdr>
    </w:div>
    <w:div w:id="671182919">
      <w:bodyDiv w:val="1"/>
      <w:marLeft w:val="0"/>
      <w:marRight w:val="0"/>
      <w:marTop w:val="0"/>
      <w:marBottom w:val="0"/>
      <w:divBdr>
        <w:top w:val="none" w:sz="0" w:space="0" w:color="auto"/>
        <w:left w:val="none" w:sz="0" w:space="0" w:color="auto"/>
        <w:bottom w:val="none" w:sz="0" w:space="0" w:color="auto"/>
        <w:right w:val="none" w:sz="0" w:space="0" w:color="auto"/>
      </w:divBdr>
    </w:div>
    <w:div w:id="671251937">
      <w:bodyDiv w:val="1"/>
      <w:marLeft w:val="0"/>
      <w:marRight w:val="0"/>
      <w:marTop w:val="0"/>
      <w:marBottom w:val="0"/>
      <w:divBdr>
        <w:top w:val="none" w:sz="0" w:space="0" w:color="auto"/>
        <w:left w:val="none" w:sz="0" w:space="0" w:color="auto"/>
        <w:bottom w:val="none" w:sz="0" w:space="0" w:color="auto"/>
        <w:right w:val="none" w:sz="0" w:space="0" w:color="auto"/>
      </w:divBdr>
    </w:div>
    <w:div w:id="672419778">
      <w:bodyDiv w:val="1"/>
      <w:marLeft w:val="0"/>
      <w:marRight w:val="0"/>
      <w:marTop w:val="0"/>
      <w:marBottom w:val="0"/>
      <w:divBdr>
        <w:top w:val="none" w:sz="0" w:space="0" w:color="auto"/>
        <w:left w:val="none" w:sz="0" w:space="0" w:color="auto"/>
        <w:bottom w:val="none" w:sz="0" w:space="0" w:color="auto"/>
        <w:right w:val="none" w:sz="0" w:space="0" w:color="auto"/>
      </w:divBdr>
    </w:div>
    <w:div w:id="672685331">
      <w:bodyDiv w:val="1"/>
      <w:marLeft w:val="0"/>
      <w:marRight w:val="0"/>
      <w:marTop w:val="0"/>
      <w:marBottom w:val="0"/>
      <w:divBdr>
        <w:top w:val="none" w:sz="0" w:space="0" w:color="auto"/>
        <w:left w:val="none" w:sz="0" w:space="0" w:color="auto"/>
        <w:bottom w:val="none" w:sz="0" w:space="0" w:color="auto"/>
        <w:right w:val="none" w:sz="0" w:space="0" w:color="auto"/>
      </w:divBdr>
    </w:div>
    <w:div w:id="672687586">
      <w:bodyDiv w:val="1"/>
      <w:marLeft w:val="0"/>
      <w:marRight w:val="0"/>
      <w:marTop w:val="0"/>
      <w:marBottom w:val="0"/>
      <w:divBdr>
        <w:top w:val="none" w:sz="0" w:space="0" w:color="auto"/>
        <w:left w:val="none" w:sz="0" w:space="0" w:color="auto"/>
        <w:bottom w:val="none" w:sz="0" w:space="0" w:color="auto"/>
        <w:right w:val="none" w:sz="0" w:space="0" w:color="auto"/>
      </w:divBdr>
    </w:div>
    <w:div w:id="673604338">
      <w:bodyDiv w:val="1"/>
      <w:marLeft w:val="0"/>
      <w:marRight w:val="0"/>
      <w:marTop w:val="0"/>
      <w:marBottom w:val="0"/>
      <w:divBdr>
        <w:top w:val="none" w:sz="0" w:space="0" w:color="auto"/>
        <w:left w:val="none" w:sz="0" w:space="0" w:color="auto"/>
        <w:bottom w:val="none" w:sz="0" w:space="0" w:color="auto"/>
        <w:right w:val="none" w:sz="0" w:space="0" w:color="auto"/>
      </w:divBdr>
    </w:div>
    <w:div w:id="673608994">
      <w:bodyDiv w:val="1"/>
      <w:marLeft w:val="0"/>
      <w:marRight w:val="0"/>
      <w:marTop w:val="0"/>
      <w:marBottom w:val="0"/>
      <w:divBdr>
        <w:top w:val="none" w:sz="0" w:space="0" w:color="auto"/>
        <w:left w:val="none" w:sz="0" w:space="0" w:color="auto"/>
        <w:bottom w:val="none" w:sz="0" w:space="0" w:color="auto"/>
        <w:right w:val="none" w:sz="0" w:space="0" w:color="auto"/>
      </w:divBdr>
    </w:div>
    <w:div w:id="673994204">
      <w:bodyDiv w:val="1"/>
      <w:marLeft w:val="0"/>
      <w:marRight w:val="0"/>
      <w:marTop w:val="0"/>
      <w:marBottom w:val="0"/>
      <w:divBdr>
        <w:top w:val="none" w:sz="0" w:space="0" w:color="auto"/>
        <w:left w:val="none" w:sz="0" w:space="0" w:color="auto"/>
        <w:bottom w:val="none" w:sz="0" w:space="0" w:color="auto"/>
        <w:right w:val="none" w:sz="0" w:space="0" w:color="auto"/>
      </w:divBdr>
    </w:div>
    <w:div w:id="673997732">
      <w:bodyDiv w:val="1"/>
      <w:marLeft w:val="0"/>
      <w:marRight w:val="0"/>
      <w:marTop w:val="0"/>
      <w:marBottom w:val="0"/>
      <w:divBdr>
        <w:top w:val="none" w:sz="0" w:space="0" w:color="auto"/>
        <w:left w:val="none" w:sz="0" w:space="0" w:color="auto"/>
        <w:bottom w:val="none" w:sz="0" w:space="0" w:color="auto"/>
        <w:right w:val="none" w:sz="0" w:space="0" w:color="auto"/>
      </w:divBdr>
    </w:div>
    <w:div w:id="675616642">
      <w:bodyDiv w:val="1"/>
      <w:marLeft w:val="0"/>
      <w:marRight w:val="0"/>
      <w:marTop w:val="0"/>
      <w:marBottom w:val="0"/>
      <w:divBdr>
        <w:top w:val="none" w:sz="0" w:space="0" w:color="auto"/>
        <w:left w:val="none" w:sz="0" w:space="0" w:color="auto"/>
        <w:bottom w:val="none" w:sz="0" w:space="0" w:color="auto"/>
        <w:right w:val="none" w:sz="0" w:space="0" w:color="auto"/>
      </w:divBdr>
    </w:div>
    <w:div w:id="675693649">
      <w:bodyDiv w:val="1"/>
      <w:marLeft w:val="0"/>
      <w:marRight w:val="0"/>
      <w:marTop w:val="0"/>
      <w:marBottom w:val="0"/>
      <w:divBdr>
        <w:top w:val="none" w:sz="0" w:space="0" w:color="auto"/>
        <w:left w:val="none" w:sz="0" w:space="0" w:color="auto"/>
        <w:bottom w:val="none" w:sz="0" w:space="0" w:color="auto"/>
        <w:right w:val="none" w:sz="0" w:space="0" w:color="auto"/>
      </w:divBdr>
    </w:div>
    <w:div w:id="675957494">
      <w:bodyDiv w:val="1"/>
      <w:marLeft w:val="0"/>
      <w:marRight w:val="0"/>
      <w:marTop w:val="0"/>
      <w:marBottom w:val="0"/>
      <w:divBdr>
        <w:top w:val="none" w:sz="0" w:space="0" w:color="auto"/>
        <w:left w:val="none" w:sz="0" w:space="0" w:color="auto"/>
        <w:bottom w:val="none" w:sz="0" w:space="0" w:color="auto"/>
        <w:right w:val="none" w:sz="0" w:space="0" w:color="auto"/>
      </w:divBdr>
    </w:div>
    <w:div w:id="675964888">
      <w:bodyDiv w:val="1"/>
      <w:marLeft w:val="0"/>
      <w:marRight w:val="0"/>
      <w:marTop w:val="0"/>
      <w:marBottom w:val="0"/>
      <w:divBdr>
        <w:top w:val="none" w:sz="0" w:space="0" w:color="auto"/>
        <w:left w:val="none" w:sz="0" w:space="0" w:color="auto"/>
        <w:bottom w:val="none" w:sz="0" w:space="0" w:color="auto"/>
        <w:right w:val="none" w:sz="0" w:space="0" w:color="auto"/>
      </w:divBdr>
    </w:div>
    <w:div w:id="676158892">
      <w:bodyDiv w:val="1"/>
      <w:marLeft w:val="0"/>
      <w:marRight w:val="0"/>
      <w:marTop w:val="0"/>
      <w:marBottom w:val="0"/>
      <w:divBdr>
        <w:top w:val="none" w:sz="0" w:space="0" w:color="auto"/>
        <w:left w:val="none" w:sz="0" w:space="0" w:color="auto"/>
        <w:bottom w:val="none" w:sz="0" w:space="0" w:color="auto"/>
        <w:right w:val="none" w:sz="0" w:space="0" w:color="auto"/>
      </w:divBdr>
    </w:div>
    <w:div w:id="676225012">
      <w:bodyDiv w:val="1"/>
      <w:marLeft w:val="0"/>
      <w:marRight w:val="0"/>
      <w:marTop w:val="0"/>
      <w:marBottom w:val="0"/>
      <w:divBdr>
        <w:top w:val="none" w:sz="0" w:space="0" w:color="auto"/>
        <w:left w:val="none" w:sz="0" w:space="0" w:color="auto"/>
        <w:bottom w:val="none" w:sz="0" w:space="0" w:color="auto"/>
        <w:right w:val="none" w:sz="0" w:space="0" w:color="auto"/>
      </w:divBdr>
    </w:div>
    <w:div w:id="676345014">
      <w:bodyDiv w:val="1"/>
      <w:marLeft w:val="0"/>
      <w:marRight w:val="0"/>
      <w:marTop w:val="0"/>
      <w:marBottom w:val="0"/>
      <w:divBdr>
        <w:top w:val="none" w:sz="0" w:space="0" w:color="auto"/>
        <w:left w:val="none" w:sz="0" w:space="0" w:color="auto"/>
        <w:bottom w:val="none" w:sz="0" w:space="0" w:color="auto"/>
        <w:right w:val="none" w:sz="0" w:space="0" w:color="auto"/>
      </w:divBdr>
    </w:div>
    <w:div w:id="677581512">
      <w:bodyDiv w:val="1"/>
      <w:marLeft w:val="0"/>
      <w:marRight w:val="0"/>
      <w:marTop w:val="0"/>
      <w:marBottom w:val="0"/>
      <w:divBdr>
        <w:top w:val="none" w:sz="0" w:space="0" w:color="auto"/>
        <w:left w:val="none" w:sz="0" w:space="0" w:color="auto"/>
        <w:bottom w:val="none" w:sz="0" w:space="0" w:color="auto"/>
        <w:right w:val="none" w:sz="0" w:space="0" w:color="auto"/>
      </w:divBdr>
    </w:div>
    <w:div w:id="677773564">
      <w:bodyDiv w:val="1"/>
      <w:marLeft w:val="0"/>
      <w:marRight w:val="0"/>
      <w:marTop w:val="0"/>
      <w:marBottom w:val="0"/>
      <w:divBdr>
        <w:top w:val="none" w:sz="0" w:space="0" w:color="auto"/>
        <w:left w:val="none" w:sz="0" w:space="0" w:color="auto"/>
        <w:bottom w:val="none" w:sz="0" w:space="0" w:color="auto"/>
        <w:right w:val="none" w:sz="0" w:space="0" w:color="auto"/>
      </w:divBdr>
    </w:div>
    <w:div w:id="677973483">
      <w:bodyDiv w:val="1"/>
      <w:marLeft w:val="0"/>
      <w:marRight w:val="0"/>
      <w:marTop w:val="0"/>
      <w:marBottom w:val="0"/>
      <w:divBdr>
        <w:top w:val="none" w:sz="0" w:space="0" w:color="auto"/>
        <w:left w:val="none" w:sz="0" w:space="0" w:color="auto"/>
        <w:bottom w:val="none" w:sz="0" w:space="0" w:color="auto"/>
        <w:right w:val="none" w:sz="0" w:space="0" w:color="auto"/>
      </w:divBdr>
    </w:div>
    <w:div w:id="678001251">
      <w:bodyDiv w:val="1"/>
      <w:marLeft w:val="0"/>
      <w:marRight w:val="0"/>
      <w:marTop w:val="0"/>
      <w:marBottom w:val="0"/>
      <w:divBdr>
        <w:top w:val="none" w:sz="0" w:space="0" w:color="auto"/>
        <w:left w:val="none" w:sz="0" w:space="0" w:color="auto"/>
        <w:bottom w:val="none" w:sz="0" w:space="0" w:color="auto"/>
        <w:right w:val="none" w:sz="0" w:space="0" w:color="auto"/>
      </w:divBdr>
    </w:div>
    <w:div w:id="678119569">
      <w:bodyDiv w:val="1"/>
      <w:marLeft w:val="0"/>
      <w:marRight w:val="0"/>
      <w:marTop w:val="0"/>
      <w:marBottom w:val="0"/>
      <w:divBdr>
        <w:top w:val="none" w:sz="0" w:space="0" w:color="auto"/>
        <w:left w:val="none" w:sz="0" w:space="0" w:color="auto"/>
        <w:bottom w:val="none" w:sz="0" w:space="0" w:color="auto"/>
        <w:right w:val="none" w:sz="0" w:space="0" w:color="auto"/>
      </w:divBdr>
    </w:div>
    <w:div w:id="678119828">
      <w:bodyDiv w:val="1"/>
      <w:marLeft w:val="0"/>
      <w:marRight w:val="0"/>
      <w:marTop w:val="0"/>
      <w:marBottom w:val="0"/>
      <w:divBdr>
        <w:top w:val="none" w:sz="0" w:space="0" w:color="auto"/>
        <w:left w:val="none" w:sz="0" w:space="0" w:color="auto"/>
        <w:bottom w:val="none" w:sz="0" w:space="0" w:color="auto"/>
        <w:right w:val="none" w:sz="0" w:space="0" w:color="auto"/>
      </w:divBdr>
    </w:div>
    <w:div w:id="678583754">
      <w:bodyDiv w:val="1"/>
      <w:marLeft w:val="0"/>
      <w:marRight w:val="0"/>
      <w:marTop w:val="0"/>
      <w:marBottom w:val="0"/>
      <w:divBdr>
        <w:top w:val="none" w:sz="0" w:space="0" w:color="auto"/>
        <w:left w:val="none" w:sz="0" w:space="0" w:color="auto"/>
        <w:bottom w:val="none" w:sz="0" w:space="0" w:color="auto"/>
        <w:right w:val="none" w:sz="0" w:space="0" w:color="auto"/>
      </w:divBdr>
    </w:div>
    <w:div w:id="678846891">
      <w:bodyDiv w:val="1"/>
      <w:marLeft w:val="0"/>
      <w:marRight w:val="0"/>
      <w:marTop w:val="0"/>
      <w:marBottom w:val="0"/>
      <w:divBdr>
        <w:top w:val="none" w:sz="0" w:space="0" w:color="auto"/>
        <w:left w:val="none" w:sz="0" w:space="0" w:color="auto"/>
        <w:bottom w:val="none" w:sz="0" w:space="0" w:color="auto"/>
        <w:right w:val="none" w:sz="0" w:space="0" w:color="auto"/>
      </w:divBdr>
    </w:div>
    <w:div w:id="679166247">
      <w:bodyDiv w:val="1"/>
      <w:marLeft w:val="0"/>
      <w:marRight w:val="0"/>
      <w:marTop w:val="0"/>
      <w:marBottom w:val="0"/>
      <w:divBdr>
        <w:top w:val="none" w:sz="0" w:space="0" w:color="auto"/>
        <w:left w:val="none" w:sz="0" w:space="0" w:color="auto"/>
        <w:bottom w:val="none" w:sz="0" w:space="0" w:color="auto"/>
        <w:right w:val="none" w:sz="0" w:space="0" w:color="auto"/>
      </w:divBdr>
    </w:div>
    <w:div w:id="679703814">
      <w:bodyDiv w:val="1"/>
      <w:marLeft w:val="0"/>
      <w:marRight w:val="0"/>
      <w:marTop w:val="0"/>
      <w:marBottom w:val="0"/>
      <w:divBdr>
        <w:top w:val="none" w:sz="0" w:space="0" w:color="auto"/>
        <w:left w:val="none" w:sz="0" w:space="0" w:color="auto"/>
        <w:bottom w:val="none" w:sz="0" w:space="0" w:color="auto"/>
        <w:right w:val="none" w:sz="0" w:space="0" w:color="auto"/>
      </w:divBdr>
    </w:div>
    <w:div w:id="680547453">
      <w:bodyDiv w:val="1"/>
      <w:marLeft w:val="0"/>
      <w:marRight w:val="0"/>
      <w:marTop w:val="0"/>
      <w:marBottom w:val="0"/>
      <w:divBdr>
        <w:top w:val="none" w:sz="0" w:space="0" w:color="auto"/>
        <w:left w:val="none" w:sz="0" w:space="0" w:color="auto"/>
        <w:bottom w:val="none" w:sz="0" w:space="0" w:color="auto"/>
        <w:right w:val="none" w:sz="0" w:space="0" w:color="auto"/>
      </w:divBdr>
    </w:div>
    <w:div w:id="680861837">
      <w:bodyDiv w:val="1"/>
      <w:marLeft w:val="0"/>
      <w:marRight w:val="0"/>
      <w:marTop w:val="0"/>
      <w:marBottom w:val="0"/>
      <w:divBdr>
        <w:top w:val="none" w:sz="0" w:space="0" w:color="auto"/>
        <w:left w:val="none" w:sz="0" w:space="0" w:color="auto"/>
        <w:bottom w:val="none" w:sz="0" w:space="0" w:color="auto"/>
        <w:right w:val="none" w:sz="0" w:space="0" w:color="auto"/>
      </w:divBdr>
    </w:div>
    <w:div w:id="681509942">
      <w:bodyDiv w:val="1"/>
      <w:marLeft w:val="0"/>
      <w:marRight w:val="0"/>
      <w:marTop w:val="0"/>
      <w:marBottom w:val="0"/>
      <w:divBdr>
        <w:top w:val="none" w:sz="0" w:space="0" w:color="auto"/>
        <w:left w:val="none" w:sz="0" w:space="0" w:color="auto"/>
        <w:bottom w:val="none" w:sz="0" w:space="0" w:color="auto"/>
        <w:right w:val="none" w:sz="0" w:space="0" w:color="auto"/>
      </w:divBdr>
    </w:div>
    <w:div w:id="681591460">
      <w:bodyDiv w:val="1"/>
      <w:marLeft w:val="0"/>
      <w:marRight w:val="0"/>
      <w:marTop w:val="0"/>
      <w:marBottom w:val="0"/>
      <w:divBdr>
        <w:top w:val="none" w:sz="0" w:space="0" w:color="auto"/>
        <w:left w:val="none" w:sz="0" w:space="0" w:color="auto"/>
        <w:bottom w:val="none" w:sz="0" w:space="0" w:color="auto"/>
        <w:right w:val="none" w:sz="0" w:space="0" w:color="auto"/>
      </w:divBdr>
    </w:div>
    <w:div w:id="682049411">
      <w:bodyDiv w:val="1"/>
      <w:marLeft w:val="0"/>
      <w:marRight w:val="0"/>
      <w:marTop w:val="0"/>
      <w:marBottom w:val="0"/>
      <w:divBdr>
        <w:top w:val="none" w:sz="0" w:space="0" w:color="auto"/>
        <w:left w:val="none" w:sz="0" w:space="0" w:color="auto"/>
        <w:bottom w:val="none" w:sz="0" w:space="0" w:color="auto"/>
        <w:right w:val="none" w:sz="0" w:space="0" w:color="auto"/>
      </w:divBdr>
    </w:div>
    <w:div w:id="682588838">
      <w:bodyDiv w:val="1"/>
      <w:marLeft w:val="0"/>
      <w:marRight w:val="0"/>
      <w:marTop w:val="0"/>
      <w:marBottom w:val="0"/>
      <w:divBdr>
        <w:top w:val="none" w:sz="0" w:space="0" w:color="auto"/>
        <w:left w:val="none" w:sz="0" w:space="0" w:color="auto"/>
        <w:bottom w:val="none" w:sz="0" w:space="0" w:color="auto"/>
        <w:right w:val="none" w:sz="0" w:space="0" w:color="auto"/>
      </w:divBdr>
    </w:div>
    <w:div w:id="682976124">
      <w:bodyDiv w:val="1"/>
      <w:marLeft w:val="0"/>
      <w:marRight w:val="0"/>
      <w:marTop w:val="0"/>
      <w:marBottom w:val="0"/>
      <w:divBdr>
        <w:top w:val="none" w:sz="0" w:space="0" w:color="auto"/>
        <w:left w:val="none" w:sz="0" w:space="0" w:color="auto"/>
        <w:bottom w:val="none" w:sz="0" w:space="0" w:color="auto"/>
        <w:right w:val="none" w:sz="0" w:space="0" w:color="auto"/>
      </w:divBdr>
    </w:div>
    <w:div w:id="683439481">
      <w:bodyDiv w:val="1"/>
      <w:marLeft w:val="0"/>
      <w:marRight w:val="0"/>
      <w:marTop w:val="0"/>
      <w:marBottom w:val="0"/>
      <w:divBdr>
        <w:top w:val="none" w:sz="0" w:space="0" w:color="auto"/>
        <w:left w:val="none" w:sz="0" w:space="0" w:color="auto"/>
        <w:bottom w:val="none" w:sz="0" w:space="0" w:color="auto"/>
        <w:right w:val="none" w:sz="0" w:space="0" w:color="auto"/>
      </w:divBdr>
    </w:div>
    <w:div w:id="685058260">
      <w:bodyDiv w:val="1"/>
      <w:marLeft w:val="0"/>
      <w:marRight w:val="0"/>
      <w:marTop w:val="0"/>
      <w:marBottom w:val="0"/>
      <w:divBdr>
        <w:top w:val="none" w:sz="0" w:space="0" w:color="auto"/>
        <w:left w:val="none" w:sz="0" w:space="0" w:color="auto"/>
        <w:bottom w:val="none" w:sz="0" w:space="0" w:color="auto"/>
        <w:right w:val="none" w:sz="0" w:space="0" w:color="auto"/>
      </w:divBdr>
    </w:div>
    <w:div w:id="685596265">
      <w:bodyDiv w:val="1"/>
      <w:marLeft w:val="0"/>
      <w:marRight w:val="0"/>
      <w:marTop w:val="0"/>
      <w:marBottom w:val="0"/>
      <w:divBdr>
        <w:top w:val="none" w:sz="0" w:space="0" w:color="auto"/>
        <w:left w:val="none" w:sz="0" w:space="0" w:color="auto"/>
        <w:bottom w:val="none" w:sz="0" w:space="0" w:color="auto"/>
        <w:right w:val="none" w:sz="0" w:space="0" w:color="auto"/>
      </w:divBdr>
    </w:div>
    <w:div w:id="685643536">
      <w:bodyDiv w:val="1"/>
      <w:marLeft w:val="0"/>
      <w:marRight w:val="0"/>
      <w:marTop w:val="0"/>
      <w:marBottom w:val="0"/>
      <w:divBdr>
        <w:top w:val="none" w:sz="0" w:space="0" w:color="auto"/>
        <w:left w:val="none" w:sz="0" w:space="0" w:color="auto"/>
        <w:bottom w:val="none" w:sz="0" w:space="0" w:color="auto"/>
        <w:right w:val="none" w:sz="0" w:space="0" w:color="auto"/>
      </w:divBdr>
    </w:div>
    <w:div w:id="685835458">
      <w:bodyDiv w:val="1"/>
      <w:marLeft w:val="0"/>
      <w:marRight w:val="0"/>
      <w:marTop w:val="0"/>
      <w:marBottom w:val="0"/>
      <w:divBdr>
        <w:top w:val="none" w:sz="0" w:space="0" w:color="auto"/>
        <w:left w:val="none" w:sz="0" w:space="0" w:color="auto"/>
        <w:bottom w:val="none" w:sz="0" w:space="0" w:color="auto"/>
        <w:right w:val="none" w:sz="0" w:space="0" w:color="auto"/>
      </w:divBdr>
    </w:div>
    <w:div w:id="686717835">
      <w:bodyDiv w:val="1"/>
      <w:marLeft w:val="0"/>
      <w:marRight w:val="0"/>
      <w:marTop w:val="0"/>
      <w:marBottom w:val="0"/>
      <w:divBdr>
        <w:top w:val="none" w:sz="0" w:space="0" w:color="auto"/>
        <w:left w:val="none" w:sz="0" w:space="0" w:color="auto"/>
        <w:bottom w:val="none" w:sz="0" w:space="0" w:color="auto"/>
        <w:right w:val="none" w:sz="0" w:space="0" w:color="auto"/>
      </w:divBdr>
    </w:div>
    <w:div w:id="687296524">
      <w:bodyDiv w:val="1"/>
      <w:marLeft w:val="0"/>
      <w:marRight w:val="0"/>
      <w:marTop w:val="0"/>
      <w:marBottom w:val="0"/>
      <w:divBdr>
        <w:top w:val="none" w:sz="0" w:space="0" w:color="auto"/>
        <w:left w:val="none" w:sz="0" w:space="0" w:color="auto"/>
        <w:bottom w:val="none" w:sz="0" w:space="0" w:color="auto"/>
        <w:right w:val="none" w:sz="0" w:space="0" w:color="auto"/>
      </w:divBdr>
    </w:div>
    <w:div w:id="687414900">
      <w:bodyDiv w:val="1"/>
      <w:marLeft w:val="0"/>
      <w:marRight w:val="0"/>
      <w:marTop w:val="0"/>
      <w:marBottom w:val="0"/>
      <w:divBdr>
        <w:top w:val="none" w:sz="0" w:space="0" w:color="auto"/>
        <w:left w:val="none" w:sz="0" w:space="0" w:color="auto"/>
        <w:bottom w:val="none" w:sz="0" w:space="0" w:color="auto"/>
        <w:right w:val="none" w:sz="0" w:space="0" w:color="auto"/>
      </w:divBdr>
    </w:div>
    <w:div w:id="687831928">
      <w:bodyDiv w:val="1"/>
      <w:marLeft w:val="0"/>
      <w:marRight w:val="0"/>
      <w:marTop w:val="0"/>
      <w:marBottom w:val="0"/>
      <w:divBdr>
        <w:top w:val="none" w:sz="0" w:space="0" w:color="auto"/>
        <w:left w:val="none" w:sz="0" w:space="0" w:color="auto"/>
        <w:bottom w:val="none" w:sz="0" w:space="0" w:color="auto"/>
        <w:right w:val="none" w:sz="0" w:space="0" w:color="auto"/>
      </w:divBdr>
    </w:div>
    <w:div w:id="687949592">
      <w:bodyDiv w:val="1"/>
      <w:marLeft w:val="0"/>
      <w:marRight w:val="0"/>
      <w:marTop w:val="0"/>
      <w:marBottom w:val="0"/>
      <w:divBdr>
        <w:top w:val="none" w:sz="0" w:space="0" w:color="auto"/>
        <w:left w:val="none" w:sz="0" w:space="0" w:color="auto"/>
        <w:bottom w:val="none" w:sz="0" w:space="0" w:color="auto"/>
        <w:right w:val="none" w:sz="0" w:space="0" w:color="auto"/>
      </w:divBdr>
    </w:div>
    <w:div w:id="688487558">
      <w:bodyDiv w:val="1"/>
      <w:marLeft w:val="0"/>
      <w:marRight w:val="0"/>
      <w:marTop w:val="0"/>
      <w:marBottom w:val="0"/>
      <w:divBdr>
        <w:top w:val="none" w:sz="0" w:space="0" w:color="auto"/>
        <w:left w:val="none" w:sz="0" w:space="0" w:color="auto"/>
        <w:bottom w:val="none" w:sz="0" w:space="0" w:color="auto"/>
        <w:right w:val="none" w:sz="0" w:space="0" w:color="auto"/>
      </w:divBdr>
    </w:div>
    <w:div w:id="688796675">
      <w:bodyDiv w:val="1"/>
      <w:marLeft w:val="0"/>
      <w:marRight w:val="0"/>
      <w:marTop w:val="0"/>
      <w:marBottom w:val="0"/>
      <w:divBdr>
        <w:top w:val="none" w:sz="0" w:space="0" w:color="auto"/>
        <w:left w:val="none" w:sz="0" w:space="0" w:color="auto"/>
        <w:bottom w:val="none" w:sz="0" w:space="0" w:color="auto"/>
        <w:right w:val="none" w:sz="0" w:space="0" w:color="auto"/>
      </w:divBdr>
    </w:div>
    <w:div w:id="688914536">
      <w:bodyDiv w:val="1"/>
      <w:marLeft w:val="0"/>
      <w:marRight w:val="0"/>
      <w:marTop w:val="0"/>
      <w:marBottom w:val="0"/>
      <w:divBdr>
        <w:top w:val="none" w:sz="0" w:space="0" w:color="auto"/>
        <w:left w:val="none" w:sz="0" w:space="0" w:color="auto"/>
        <w:bottom w:val="none" w:sz="0" w:space="0" w:color="auto"/>
        <w:right w:val="none" w:sz="0" w:space="0" w:color="auto"/>
      </w:divBdr>
    </w:div>
    <w:div w:id="689186990">
      <w:bodyDiv w:val="1"/>
      <w:marLeft w:val="0"/>
      <w:marRight w:val="0"/>
      <w:marTop w:val="0"/>
      <w:marBottom w:val="0"/>
      <w:divBdr>
        <w:top w:val="none" w:sz="0" w:space="0" w:color="auto"/>
        <w:left w:val="none" w:sz="0" w:space="0" w:color="auto"/>
        <w:bottom w:val="none" w:sz="0" w:space="0" w:color="auto"/>
        <w:right w:val="none" w:sz="0" w:space="0" w:color="auto"/>
      </w:divBdr>
    </w:div>
    <w:div w:id="689528270">
      <w:bodyDiv w:val="1"/>
      <w:marLeft w:val="0"/>
      <w:marRight w:val="0"/>
      <w:marTop w:val="0"/>
      <w:marBottom w:val="0"/>
      <w:divBdr>
        <w:top w:val="none" w:sz="0" w:space="0" w:color="auto"/>
        <w:left w:val="none" w:sz="0" w:space="0" w:color="auto"/>
        <w:bottom w:val="none" w:sz="0" w:space="0" w:color="auto"/>
        <w:right w:val="none" w:sz="0" w:space="0" w:color="auto"/>
      </w:divBdr>
    </w:div>
    <w:div w:id="689796004">
      <w:bodyDiv w:val="1"/>
      <w:marLeft w:val="0"/>
      <w:marRight w:val="0"/>
      <w:marTop w:val="0"/>
      <w:marBottom w:val="0"/>
      <w:divBdr>
        <w:top w:val="none" w:sz="0" w:space="0" w:color="auto"/>
        <w:left w:val="none" w:sz="0" w:space="0" w:color="auto"/>
        <w:bottom w:val="none" w:sz="0" w:space="0" w:color="auto"/>
        <w:right w:val="none" w:sz="0" w:space="0" w:color="auto"/>
      </w:divBdr>
    </w:div>
    <w:div w:id="690304909">
      <w:bodyDiv w:val="1"/>
      <w:marLeft w:val="0"/>
      <w:marRight w:val="0"/>
      <w:marTop w:val="0"/>
      <w:marBottom w:val="0"/>
      <w:divBdr>
        <w:top w:val="none" w:sz="0" w:space="0" w:color="auto"/>
        <w:left w:val="none" w:sz="0" w:space="0" w:color="auto"/>
        <w:bottom w:val="none" w:sz="0" w:space="0" w:color="auto"/>
        <w:right w:val="none" w:sz="0" w:space="0" w:color="auto"/>
      </w:divBdr>
    </w:div>
    <w:div w:id="690762705">
      <w:bodyDiv w:val="1"/>
      <w:marLeft w:val="0"/>
      <w:marRight w:val="0"/>
      <w:marTop w:val="0"/>
      <w:marBottom w:val="0"/>
      <w:divBdr>
        <w:top w:val="none" w:sz="0" w:space="0" w:color="auto"/>
        <w:left w:val="none" w:sz="0" w:space="0" w:color="auto"/>
        <w:bottom w:val="none" w:sz="0" w:space="0" w:color="auto"/>
        <w:right w:val="none" w:sz="0" w:space="0" w:color="auto"/>
      </w:divBdr>
    </w:div>
    <w:div w:id="690953442">
      <w:bodyDiv w:val="1"/>
      <w:marLeft w:val="0"/>
      <w:marRight w:val="0"/>
      <w:marTop w:val="0"/>
      <w:marBottom w:val="0"/>
      <w:divBdr>
        <w:top w:val="none" w:sz="0" w:space="0" w:color="auto"/>
        <w:left w:val="none" w:sz="0" w:space="0" w:color="auto"/>
        <w:bottom w:val="none" w:sz="0" w:space="0" w:color="auto"/>
        <w:right w:val="none" w:sz="0" w:space="0" w:color="auto"/>
      </w:divBdr>
    </w:div>
    <w:div w:id="691109140">
      <w:bodyDiv w:val="1"/>
      <w:marLeft w:val="0"/>
      <w:marRight w:val="0"/>
      <w:marTop w:val="0"/>
      <w:marBottom w:val="0"/>
      <w:divBdr>
        <w:top w:val="none" w:sz="0" w:space="0" w:color="auto"/>
        <w:left w:val="none" w:sz="0" w:space="0" w:color="auto"/>
        <w:bottom w:val="none" w:sz="0" w:space="0" w:color="auto"/>
        <w:right w:val="none" w:sz="0" w:space="0" w:color="auto"/>
      </w:divBdr>
    </w:div>
    <w:div w:id="691228306">
      <w:bodyDiv w:val="1"/>
      <w:marLeft w:val="0"/>
      <w:marRight w:val="0"/>
      <w:marTop w:val="0"/>
      <w:marBottom w:val="0"/>
      <w:divBdr>
        <w:top w:val="none" w:sz="0" w:space="0" w:color="auto"/>
        <w:left w:val="none" w:sz="0" w:space="0" w:color="auto"/>
        <w:bottom w:val="none" w:sz="0" w:space="0" w:color="auto"/>
        <w:right w:val="none" w:sz="0" w:space="0" w:color="auto"/>
      </w:divBdr>
    </w:div>
    <w:div w:id="692463461">
      <w:bodyDiv w:val="1"/>
      <w:marLeft w:val="0"/>
      <w:marRight w:val="0"/>
      <w:marTop w:val="0"/>
      <w:marBottom w:val="0"/>
      <w:divBdr>
        <w:top w:val="none" w:sz="0" w:space="0" w:color="auto"/>
        <w:left w:val="none" w:sz="0" w:space="0" w:color="auto"/>
        <w:bottom w:val="none" w:sz="0" w:space="0" w:color="auto"/>
        <w:right w:val="none" w:sz="0" w:space="0" w:color="auto"/>
      </w:divBdr>
    </w:div>
    <w:div w:id="692535246">
      <w:bodyDiv w:val="1"/>
      <w:marLeft w:val="0"/>
      <w:marRight w:val="0"/>
      <w:marTop w:val="0"/>
      <w:marBottom w:val="0"/>
      <w:divBdr>
        <w:top w:val="none" w:sz="0" w:space="0" w:color="auto"/>
        <w:left w:val="none" w:sz="0" w:space="0" w:color="auto"/>
        <w:bottom w:val="none" w:sz="0" w:space="0" w:color="auto"/>
        <w:right w:val="none" w:sz="0" w:space="0" w:color="auto"/>
      </w:divBdr>
    </w:div>
    <w:div w:id="692724907">
      <w:bodyDiv w:val="1"/>
      <w:marLeft w:val="0"/>
      <w:marRight w:val="0"/>
      <w:marTop w:val="0"/>
      <w:marBottom w:val="0"/>
      <w:divBdr>
        <w:top w:val="none" w:sz="0" w:space="0" w:color="auto"/>
        <w:left w:val="none" w:sz="0" w:space="0" w:color="auto"/>
        <w:bottom w:val="none" w:sz="0" w:space="0" w:color="auto"/>
        <w:right w:val="none" w:sz="0" w:space="0" w:color="auto"/>
      </w:divBdr>
    </w:div>
    <w:div w:id="693193112">
      <w:bodyDiv w:val="1"/>
      <w:marLeft w:val="0"/>
      <w:marRight w:val="0"/>
      <w:marTop w:val="0"/>
      <w:marBottom w:val="0"/>
      <w:divBdr>
        <w:top w:val="none" w:sz="0" w:space="0" w:color="auto"/>
        <w:left w:val="none" w:sz="0" w:space="0" w:color="auto"/>
        <w:bottom w:val="none" w:sz="0" w:space="0" w:color="auto"/>
        <w:right w:val="none" w:sz="0" w:space="0" w:color="auto"/>
      </w:divBdr>
    </w:div>
    <w:div w:id="693314009">
      <w:bodyDiv w:val="1"/>
      <w:marLeft w:val="0"/>
      <w:marRight w:val="0"/>
      <w:marTop w:val="0"/>
      <w:marBottom w:val="0"/>
      <w:divBdr>
        <w:top w:val="none" w:sz="0" w:space="0" w:color="auto"/>
        <w:left w:val="none" w:sz="0" w:space="0" w:color="auto"/>
        <w:bottom w:val="none" w:sz="0" w:space="0" w:color="auto"/>
        <w:right w:val="none" w:sz="0" w:space="0" w:color="auto"/>
      </w:divBdr>
    </w:div>
    <w:div w:id="693531722">
      <w:bodyDiv w:val="1"/>
      <w:marLeft w:val="0"/>
      <w:marRight w:val="0"/>
      <w:marTop w:val="0"/>
      <w:marBottom w:val="0"/>
      <w:divBdr>
        <w:top w:val="none" w:sz="0" w:space="0" w:color="auto"/>
        <w:left w:val="none" w:sz="0" w:space="0" w:color="auto"/>
        <w:bottom w:val="none" w:sz="0" w:space="0" w:color="auto"/>
        <w:right w:val="none" w:sz="0" w:space="0" w:color="auto"/>
      </w:divBdr>
    </w:div>
    <w:div w:id="694189052">
      <w:bodyDiv w:val="1"/>
      <w:marLeft w:val="0"/>
      <w:marRight w:val="0"/>
      <w:marTop w:val="0"/>
      <w:marBottom w:val="0"/>
      <w:divBdr>
        <w:top w:val="none" w:sz="0" w:space="0" w:color="auto"/>
        <w:left w:val="none" w:sz="0" w:space="0" w:color="auto"/>
        <w:bottom w:val="none" w:sz="0" w:space="0" w:color="auto"/>
        <w:right w:val="none" w:sz="0" w:space="0" w:color="auto"/>
      </w:divBdr>
    </w:div>
    <w:div w:id="694693017">
      <w:bodyDiv w:val="1"/>
      <w:marLeft w:val="0"/>
      <w:marRight w:val="0"/>
      <w:marTop w:val="0"/>
      <w:marBottom w:val="0"/>
      <w:divBdr>
        <w:top w:val="none" w:sz="0" w:space="0" w:color="auto"/>
        <w:left w:val="none" w:sz="0" w:space="0" w:color="auto"/>
        <w:bottom w:val="none" w:sz="0" w:space="0" w:color="auto"/>
        <w:right w:val="none" w:sz="0" w:space="0" w:color="auto"/>
      </w:divBdr>
    </w:div>
    <w:div w:id="694883760">
      <w:bodyDiv w:val="1"/>
      <w:marLeft w:val="0"/>
      <w:marRight w:val="0"/>
      <w:marTop w:val="0"/>
      <w:marBottom w:val="0"/>
      <w:divBdr>
        <w:top w:val="none" w:sz="0" w:space="0" w:color="auto"/>
        <w:left w:val="none" w:sz="0" w:space="0" w:color="auto"/>
        <w:bottom w:val="none" w:sz="0" w:space="0" w:color="auto"/>
        <w:right w:val="none" w:sz="0" w:space="0" w:color="auto"/>
      </w:divBdr>
    </w:div>
    <w:div w:id="694961406">
      <w:bodyDiv w:val="1"/>
      <w:marLeft w:val="0"/>
      <w:marRight w:val="0"/>
      <w:marTop w:val="0"/>
      <w:marBottom w:val="0"/>
      <w:divBdr>
        <w:top w:val="none" w:sz="0" w:space="0" w:color="auto"/>
        <w:left w:val="none" w:sz="0" w:space="0" w:color="auto"/>
        <w:bottom w:val="none" w:sz="0" w:space="0" w:color="auto"/>
        <w:right w:val="none" w:sz="0" w:space="0" w:color="auto"/>
      </w:divBdr>
    </w:div>
    <w:div w:id="695084393">
      <w:bodyDiv w:val="1"/>
      <w:marLeft w:val="0"/>
      <w:marRight w:val="0"/>
      <w:marTop w:val="0"/>
      <w:marBottom w:val="0"/>
      <w:divBdr>
        <w:top w:val="none" w:sz="0" w:space="0" w:color="auto"/>
        <w:left w:val="none" w:sz="0" w:space="0" w:color="auto"/>
        <w:bottom w:val="none" w:sz="0" w:space="0" w:color="auto"/>
        <w:right w:val="none" w:sz="0" w:space="0" w:color="auto"/>
      </w:divBdr>
    </w:div>
    <w:div w:id="695275937">
      <w:bodyDiv w:val="1"/>
      <w:marLeft w:val="0"/>
      <w:marRight w:val="0"/>
      <w:marTop w:val="0"/>
      <w:marBottom w:val="0"/>
      <w:divBdr>
        <w:top w:val="none" w:sz="0" w:space="0" w:color="auto"/>
        <w:left w:val="none" w:sz="0" w:space="0" w:color="auto"/>
        <w:bottom w:val="none" w:sz="0" w:space="0" w:color="auto"/>
        <w:right w:val="none" w:sz="0" w:space="0" w:color="auto"/>
      </w:divBdr>
    </w:div>
    <w:div w:id="695619938">
      <w:bodyDiv w:val="1"/>
      <w:marLeft w:val="0"/>
      <w:marRight w:val="0"/>
      <w:marTop w:val="0"/>
      <w:marBottom w:val="0"/>
      <w:divBdr>
        <w:top w:val="none" w:sz="0" w:space="0" w:color="auto"/>
        <w:left w:val="none" w:sz="0" w:space="0" w:color="auto"/>
        <w:bottom w:val="none" w:sz="0" w:space="0" w:color="auto"/>
        <w:right w:val="none" w:sz="0" w:space="0" w:color="auto"/>
      </w:divBdr>
    </w:div>
    <w:div w:id="695620258">
      <w:bodyDiv w:val="1"/>
      <w:marLeft w:val="0"/>
      <w:marRight w:val="0"/>
      <w:marTop w:val="0"/>
      <w:marBottom w:val="0"/>
      <w:divBdr>
        <w:top w:val="none" w:sz="0" w:space="0" w:color="auto"/>
        <w:left w:val="none" w:sz="0" w:space="0" w:color="auto"/>
        <w:bottom w:val="none" w:sz="0" w:space="0" w:color="auto"/>
        <w:right w:val="none" w:sz="0" w:space="0" w:color="auto"/>
      </w:divBdr>
    </w:div>
    <w:div w:id="695691370">
      <w:bodyDiv w:val="1"/>
      <w:marLeft w:val="0"/>
      <w:marRight w:val="0"/>
      <w:marTop w:val="0"/>
      <w:marBottom w:val="0"/>
      <w:divBdr>
        <w:top w:val="none" w:sz="0" w:space="0" w:color="auto"/>
        <w:left w:val="none" w:sz="0" w:space="0" w:color="auto"/>
        <w:bottom w:val="none" w:sz="0" w:space="0" w:color="auto"/>
        <w:right w:val="none" w:sz="0" w:space="0" w:color="auto"/>
      </w:divBdr>
    </w:div>
    <w:div w:id="695737850">
      <w:bodyDiv w:val="1"/>
      <w:marLeft w:val="0"/>
      <w:marRight w:val="0"/>
      <w:marTop w:val="0"/>
      <w:marBottom w:val="0"/>
      <w:divBdr>
        <w:top w:val="none" w:sz="0" w:space="0" w:color="auto"/>
        <w:left w:val="none" w:sz="0" w:space="0" w:color="auto"/>
        <w:bottom w:val="none" w:sz="0" w:space="0" w:color="auto"/>
        <w:right w:val="none" w:sz="0" w:space="0" w:color="auto"/>
      </w:divBdr>
    </w:div>
    <w:div w:id="696001036">
      <w:bodyDiv w:val="1"/>
      <w:marLeft w:val="0"/>
      <w:marRight w:val="0"/>
      <w:marTop w:val="0"/>
      <w:marBottom w:val="0"/>
      <w:divBdr>
        <w:top w:val="none" w:sz="0" w:space="0" w:color="auto"/>
        <w:left w:val="none" w:sz="0" w:space="0" w:color="auto"/>
        <w:bottom w:val="none" w:sz="0" w:space="0" w:color="auto"/>
        <w:right w:val="none" w:sz="0" w:space="0" w:color="auto"/>
      </w:divBdr>
    </w:div>
    <w:div w:id="696392856">
      <w:bodyDiv w:val="1"/>
      <w:marLeft w:val="0"/>
      <w:marRight w:val="0"/>
      <w:marTop w:val="0"/>
      <w:marBottom w:val="0"/>
      <w:divBdr>
        <w:top w:val="none" w:sz="0" w:space="0" w:color="auto"/>
        <w:left w:val="none" w:sz="0" w:space="0" w:color="auto"/>
        <w:bottom w:val="none" w:sz="0" w:space="0" w:color="auto"/>
        <w:right w:val="none" w:sz="0" w:space="0" w:color="auto"/>
      </w:divBdr>
    </w:div>
    <w:div w:id="696736402">
      <w:bodyDiv w:val="1"/>
      <w:marLeft w:val="0"/>
      <w:marRight w:val="0"/>
      <w:marTop w:val="0"/>
      <w:marBottom w:val="0"/>
      <w:divBdr>
        <w:top w:val="none" w:sz="0" w:space="0" w:color="auto"/>
        <w:left w:val="none" w:sz="0" w:space="0" w:color="auto"/>
        <w:bottom w:val="none" w:sz="0" w:space="0" w:color="auto"/>
        <w:right w:val="none" w:sz="0" w:space="0" w:color="auto"/>
      </w:divBdr>
    </w:div>
    <w:div w:id="696740125">
      <w:bodyDiv w:val="1"/>
      <w:marLeft w:val="0"/>
      <w:marRight w:val="0"/>
      <w:marTop w:val="0"/>
      <w:marBottom w:val="0"/>
      <w:divBdr>
        <w:top w:val="none" w:sz="0" w:space="0" w:color="auto"/>
        <w:left w:val="none" w:sz="0" w:space="0" w:color="auto"/>
        <w:bottom w:val="none" w:sz="0" w:space="0" w:color="auto"/>
        <w:right w:val="none" w:sz="0" w:space="0" w:color="auto"/>
      </w:divBdr>
    </w:div>
    <w:div w:id="697774449">
      <w:bodyDiv w:val="1"/>
      <w:marLeft w:val="0"/>
      <w:marRight w:val="0"/>
      <w:marTop w:val="0"/>
      <w:marBottom w:val="0"/>
      <w:divBdr>
        <w:top w:val="none" w:sz="0" w:space="0" w:color="auto"/>
        <w:left w:val="none" w:sz="0" w:space="0" w:color="auto"/>
        <w:bottom w:val="none" w:sz="0" w:space="0" w:color="auto"/>
        <w:right w:val="none" w:sz="0" w:space="0" w:color="auto"/>
      </w:divBdr>
    </w:div>
    <w:div w:id="697855475">
      <w:bodyDiv w:val="1"/>
      <w:marLeft w:val="0"/>
      <w:marRight w:val="0"/>
      <w:marTop w:val="0"/>
      <w:marBottom w:val="0"/>
      <w:divBdr>
        <w:top w:val="none" w:sz="0" w:space="0" w:color="auto"/>
        <w:left w:val="none" w:sz="0" w:space="0" w:color="auto"/>
        <w:bottom w:val="none" w:sz="0" w:space="0" w:color="auto"/>
        <w:right w:val="none" w:sz="0" w:space="0" w:color="auto"/>
      </w:divBdr>
    </w:div>
    <w:div w:id="698166207">
      <w:bodyDiv w:val="1"/>
      <w:marLeft w:val="0"/>
      <w:marRight w:val="0"/>
      <w:marTop w:val="0"/>
      <w:marBottom w:val="0"/>
      <w:divBdr>
        <w:top w:val="none" w:sz="0" w:space="0" w:color="auto"/>
        <w:left w:val="none" w:sz="0" w:space="0" w:color="auto"/>
        <w:bottom w:val="none" w:sz="0" w:space="0" w:color="auto"/>
        <w:right w:val="none" w:sz="0" w:space="0" w:color="auto"/>
      </w:divBdr>
    </w:div>
    <w:div w:id="698431888">
      <w:bodyDiv w:val="1"/>
      <w:marLeft w:val="0"/>
      <w:marRight w:val="0"/>
      <w:marTop w:val="0"/>
      <w:marBottom w:val="0"/>
      <w:divBdr>
        <w:top w:val="none" w:sz="0" w:space="0" w:color="auto"/>
        <w:left w:val="none" w:sz="0" w:space="0" w:color="auto"/>
        <w:bottom w:val="none" w:sz="0" w:space="0" w:color="auto"/>
        <w:right w:val="none" w:sz="0" w:space="0" w:color="auto"/>
      </w:divBdr>
    </w:div>
    <w:div w:id="698700656">
      <w:bodyDiv w:val="1"/>
      <w:marLeft w:val="0"/>
      <w:marRight w:val="0"/>
      <w:marTop w:val="0"/>
      <w:marBottom w:val="0"/>
      <w:divBdr>
        <w:top w:val="none" w:sz="0" w:space="0" w:color="auto"/>
        <w:left w:val="none" w:sz="0" w:space="0" w:color="auto"/>
        <w:bottom w:val="none" w:sz="0" w:space="0" w:color="auto"/>
        <w:right w:val="none" w:sz="0" w:space="0" w:color="auto"/>
      </w:divBdr>
    </w:div>
    <w:div w:id="699209631">
      <w:bodyDiv w:val="1"/>
      <w:marLeft w:val="0"/>
      <w:marRight w:val="0"/>
      <w:marTop w:val="0"/>
      <w:marBottom w:val="0"/>
      <w:divBdr>
        <w:top w:val="none" w:sz="0" w:space="0" w:color="auto"/>
        <w:left w:val="none" w:sz="0" w:space="0" w:color="auto"/>
        <w:bottom w:val="none" w:sz="0" w:space="0" w:color="auto"/>
        <w:right w:val="none" w:sz="0" w:space="0" w:color="auto"/>
      </w:divBdr>
    </w:div>
    <w:div w:id="699555718">
      <w:bodyDiv w:val="1"/>
      <w:marLeft w:val="0"/>
      <w:marRight w:val="0"/>
      <w:marTop w:val="0"/>
      <w:marBottom w:val="0"/>
      <w:divBdr>
        <w:top w:val="none" w:sz="0" w:space="0" w:color="auto"/>
        <w:left w:val="none" w:sz="0" w:space="0" w:color="auto"/>
        <w:bottom w:val="none" w:sz="0" w:space="0" w:color="auto"/>
        <w:right w:val="none" w:sz="0" w:space="0" w:color="auto"/>
      </w:divBdr>
    </w:div>
    <w:div w:id="699819415">
      <w:bodyDiv w:val="1"/>
      <w:marLeft w:val="0"/>
      <w:marRight w:val="0"/>
      <w:marTop w:val="0"/>
      <w:marBottom w:val="0"/>
      <w:divBdr>
        <w:top w:val="none" w:sz="0" w:space="0" w:color="auto"/>
        <w:left w:val="none" w:sz="0" w:space="0" w:color="auto"/>
        <w:bottom w:val="none" w:sz="0" w:space="0" w:color="auto"/>
        <w:right w:val="none" w:sz="0" w:space="0" w:color="auto"/>
      </w:divBdr>
    </w:div>
    <w:div w:id="700588087">
      <w:bodyDiv w:val="1"/>
      <w:marLeft w:val="0"/>
      <w:marRight w:val="0"/>
      <w:marTop w:val="0"/>
      <w:marBottom w:val="0"/>
      <w:divBdr>
        <w:top w:val="none" w:sz="0" w:space="0" w:color="auto"/>
        <w:left w:val="none" w:sz="0" w:space="0" w:color="auto"/>
        <w:bottom w:val="none" w:sz="0" w:space="0" w:color="auto"/>
        <w:right w:val="none" w:sz="0" w:space="0" w:color="auto"/>
      </w:divBdr>
    </w:div>
    <w:div w:id="700982396">
      <w:bodyDiv w:val="1"/>
      <w:marLeft w:val="0"/>
      <w:marRight w:val="0"/>
      <w:marTop w:val="0"/>
      <w:marBottom w:val="0"/>
      <w:divBdr>
        <w:top w:val="none" w:sz="0" w:space="0" w:color="auto"/>
        <w:left w:val="none" w:sz="0" w:space="0" w:color="auto"/>
        <w:bottom w:val="none" w:sz="0" w:space="0" w:color="auto"/>
        <w:right w:val="none" w:sz="0" w:space="0" w:color="auto"/>
      </w:divBdr>
    </w:div>
    <w:div w:id="701563035">
      <w:bodyDiv w:val="1"/>
      <w:marLeft w:val="0"/>
      <w:marRight w:val="0"/>
      <w:marTop w:val="0"/>
      <w:marBottom w:val="0"/>
      <w:divBdr>
        <w:top w:val="none" w:sz="0" w:space="0" w:color="auto"/>
        <w:left w:val="none" w:sz="0" w:space="0" w:color="auto"/>
        <w:bottom w:val="none" w:sz="0" w:space="0" w:color="auto"/>
        <w:right w:val="none" w:sz="0" w:space="0" w:color="auto"/>
      </w:divBdr>
    </w:div>
    <w:div w:id="702481803">
      <w:bodyDiv w:val="1"/>
      <w:marLeft w:val="0"/>
      <w:marRight w:val="0"/>
      <w:marTop w:val="0"/>
      <w:marBottom w:val="0"/>
      <w:divBdr>
        <w:top w:val="none" w:sz="0" w:space="0" w:color="auto"/>
        <w:left w:val="none" w:sz="0" w:space="0" w:color="auto"/>
        <w:bottom w:val="none" w:sz="0" w:space="0" w:color="auto"/>
        <w:right w:val="none" w:sz="0" w:space="0" w:color="auto"/>
      </w:divBdr>
    </w:div>
    <w:div w:id="702750704">
      <w:bodyDiv w:val="1"/>
      <w:marLeft w:val="0"/>
      <w:marRight w:val="0"/>
      <w:marTop w:val="0"/>
      <w:marBottom w:val="0"/>
      <w:divBdr>
        <w:top w:val="none" w:sz="0" w:space="0" w:color="auto"/>
        <w:left w:val="none" w:sz="0" w:space="0" w:color="auto"/>
        <w:bottom w:val="none" w:sz="0" w:space="0" w:color="auto"/>
        <w:right w:val="none" w:sz="0" w:space="0" w:color="auto"/>
      </w:divBdr>
    </w:div>
    <w:div w:id="702824492">
      <w:bodyDiv w:val="1"/>
      <w:marLeft w:val="0"/>
      <w:marRight w:val="0"/>
      <w:marTop w:val="0"/>
      <w:marBottom w:val="0"/>
      <w:divBdr>
        <w:top w:val="none" w:sz="0" w:space="0" w:color="auto"/>
        <w:left w:val="none" w:sz="0" w:space="0" w:color="auto"/>
        <w:bottom w:val="none" w:sz="0" w:space="0" w:color="auto"/>
        <w:right w:val="none" w:sz="0" w:space="0" w:color="auto"/>
      </w:divBdr>
    </w:div>
    <w:div w:id="702899180">
      <w:bodyDiv w:val="1"/>
      <w:marLeft w:val="0"/>
      <w:marRight w:val="0"/>
      <w:marTop w:val="0"/>
      <w:marBottom w:val="0"/>
      <w:divBdr>
        <w:top w:val="none" w:sz="0" w:space="0" w:color="auto"/>
        <w:left w:val="none" w:sz="0" w:space="0" w:color="auto"/>
        <w:bottom w:val="none" w:sz="0" w:space="0" w:color="auto"/>
        <w:right w:val="none" w:sz="0" w:space="0" w:color="auto"/>
      </w:divBdr>
    </w:div>
    <w:div w:id="703021350">
      <w:bodyDiv w:val="1"/>
      <w:marLeft w:val="0"/>
      <w:marRight w:val="0"/>
      <w:marTop w:val="0"/>
      <w:marBottom w:val="0"/>
      <w:divBdr>
        <w:top w:val="none" w:sz="0" w:space="0" w:color="auto"/>
        <w:left w:val="none" w:sz="0" w:space="0" w:color="auto"/>
        <w:bottom w:val="none" w:sz="0" w:space="0" w:color="auto"/>
        <w:right w:val="none" w:sz="0" w:space="0" w:color="auto"/>
      </w:divBdr>
    </w:div>
    <w:div w:id="704448106">
      <w:bodyDiv w:val="1"/>
      <w:marLeft w:val="0"/>
      <w:marRight w:val="0"/>
      <w:marTop w:val="0"/>
      <w:marBottom w:val="0"/>
      <w:divBdr>
        <w:top w:val="none" w:sz="0" w:space="0" w:color="auto"/>
        <w:left w:val="none" w:sz="0" w:space="0" w:color="auto"/>
        <w:bottom w:val="none" w:sz="0" w:space="0" w:color="auto"/>
        <w:right w:val="none" w:sz="0" w:space="0" w:color="auto"/>
      </w:divBdr>
    </w:div>
    <w:div w:id="704600629">
      <w:bodyDiv w:val="1"/>
      <w:marLeft w:val="0"/>
      <w:marRight w:val="0"/>
      <w:marTop w:val="0"/>
      <w:marBottom w:val="0"/>
      <w:divBdr>
        <w:top w:val="none" w:sz="0" w:space="0" w:color="auto"/>
        <w:left w:val="none" w:sz="0" w:space="0" w:color="auto"/>
        <w:bottom w:val="none" w:sz="0" w:space="0" w:color="auto"/>
        <w:right w:val="none" w:sz="0" w:space="0" w:color="auto"/>
      </w:divBdr>
    </w:div>
    <w:div w:id="705057130">
      <w:bodyDiv w:val="1"/>
      <w:marLeft w:val="0"/>
      <w:marRight w:val="0"/>
      <w:marTop w:val="0"/>
      <w:marBottom w:val="0"/>
      <w:divBdr>
        <w:top w:val="none" w:sz="0" w:space="0" w:color="auto"/>
        <w:left w:val="none" w:sz="0" w:space="0" w:color="auto"/>
        <w:bottom w:val="none" w:sz="0" w:space="0" w:color="auto"/>
        <w:right w:val="none" w:sz="0" w:space="0" w:color="auto"/>
      </w:divBdr>
    </w:div>
    <w:div w:id="705062718">
      <w:bodyDiv w:val="1"/>
      <w:marLeft w:val="0"/>
      <w:marRight w:val="0"/>
      <w:marTop w:val="0"/>
      <w:marBottom w:val="0"/>
      <w:divBdr>
        <w:top w:val="none" w:sz="0" w:space="0" w:color="auto"/>
        <w:left w:val="none" w:sz="0" w:space="0" w:color="auto"/>
        <w:bottom w:val="none" w:sz="0" w:space="0" w:color="auto"/>
        <w:right w:val="none" w:sz="0" w:space="0" w:color="auto"/>
      </w:divBdr>
    </w:div>
    <w:div w:id="705183094">
      <w:bodyDiv w:val="1"/>
      <w:marLeft w:val="0"/>
      <w:marRight w:val="0"/>
      <w:marTop w:val="0"/>
      <w:marBottom w:val="0"/>
      <w:divBdr>
        <w:top w:val="none" w:sz="0" w:space="0" w:color="auto"/>
        <w:left w:val="none" w:sz="0" w:space="0" w:color="auto"/>
        <w:bottom w:val="none" w:sz="0" w:space="0" w:color="auto"/>
        <w:right w:val="none" w:sz="0" w:space="0" w:color="auto"/>
      </w:divBdr>
    </w:div>
    <w:div w:id="706493137">
      <w:bodyDiv w:val="1"/>
      <w:marLeft w:val="0"/>
      <w:marRight w:val="0"/>
      <w:marTop w:val="0"/>
      <w:marBottom w:val="0"/>
      <w:divBdr>
        <w:top w:val="none" w:sz="0" w:space="0" w:color="auto"/>
        <w:left w:val="none" w:sz="0" w:space="0" w:color="auto"/>
        <w:bottom w:val="none" w:sz="0" w:space="0" w:color="auto"/>
        <w:right w:val="none" w:sz="0" w:space="0" w:color="auto"/>
      </w:divBdr>
    </w:div>
    <w:div w:id="706568727">
      <w:bodyDiv w:val="1"/>
      <w:marLeft w:val="0"/>
      <w:marRight w:val="0"/>
      <w:marTop w:val="0"/>
      <w:marBottom w:val="0"/>
      <w:divBdr>
        <w:top w:val="none" w:sz="0" w:space="0" w:color="auto"/>
        <w:left w:val="none" w:sz="0" w:space="0" w:color="auto"/>
        <w:bottom w:val="none" w:sz="0" w:space="0" w:color="auto"/>
        <w:right w:val="none" w:sz="0" w:space="0" w:color="auto"/>
      </w:divBdr>
    </w:div>
    <w:div w:id="706754010">
      <w:bodyDiv w:val="1"/>
      <w:marLeft w:val="0"/>
      <w:marRight w:val="0"/>
      <w:marTop w:val="0"/>
      <w:marBottom w:val="0"/>
      <w:divBdr>
        <w:top w:val="none" w:sz="0" w:space="0" w:color="auto"/>
        <w:left w:val="none" w:sz="0" w:space="0" w:color="auto"/>
        <w:bottom w:val="none" w:sz="0" w:space="0" w:color="auto"/>
        <w:right w:val="none" w:sz="0" w:space="0" w:color="auto"/>
      </w:divBdr>
    </w:div>
    <w:div w:id="707099199">
      <w:bodyDiv w:val="1"/>
      <w:marLeft w:val="0"/>
      <w:marRight w:val="0"/>
      <w:marTop w:val="0"/>
      <w:marBottom w:val="0"/>
      <w:divBdr>
        <w:top w:val="none" w:sz="0" w:space="0" w:color="auto"/>
        <w:left w:val="none" w:sz="0" w:space="0" w:color="auto"/>
        <w:bottom w:val="none" w:sz="0" w:space="0" w:color="auto"/>
        <w:right w:val="none" w:sz="0" w:space="0" w:color="auto"/>
      </w:divBdr>
    </w:div>
    <w:div w:id="707222502">
      <w:bodyDiv w:val="1"/>
      <w:marLeft w:val="0"/>
      <w:marRight w:val="0"/>
      <w:marTop w:val="0"/>
      <w:marBottom w:val="0"/>
      <w:divBdr>
        <w:top w:val="none" w:sz="0" w:space="0" w:color="auto"/>
        <w:left w:val="none" w:sz="0" w:space="0" w:color="auto"/>
        <w:bottom w:val="none" w:sz="0" w:space="0" w:color="auto"/>
        <w:right w:val="none" w:sz="0" w:space="0" w:color="auto"/>
      </w:divBdr>
    </w:div>
    <w:div w:id="707723943">
      <w:bodyDiv w:val="1"/>
      <w:marLeft w:val="0"/>
      <w:marRight w:val="0"/>
      <w:marTop w:val="0"/>
      <w:marBottom w:val="0"/>
      <w:divBdr>
        <w:top w:val="none" w:sz="0" w:space="0" w:color="auto"/>
        <w:left w:val="none" w:sz="0" w:space="0" w:color="auto"/>
        <w:bottom w:val="none" w:sz="0" w:space="0" w:color="auto"/>
        <w:right w:val="none" w:sz="0" w:space="0" w:color="auto"/>
      </w:divBdr>
    </w:div>
    <w:div w:id="707800978">
      <w:bodyDiv w:val="1"/>
      <w:marLeft w:val="0"/>
      <w:marRight w:val="0"/>
      <w:marTop w:val="0"/>
      <w:marBottom w:val="0"/>
      <w:divBdr>
        <w:top w:val="none" w:sz="0" w:space="0" w:color="auto"/>
        <w:left w:val="none" w:sz="0" w:space="0" w:color="auto"/>
        <w:bottom w:val="none" w:sz="0" w:space="0" w:color="auto"/>
        <w:right w:val="none" w:sz="0" w:space="0" w:color="auto"/>
      </w:divBdr>
    </w:div>
    <w:div w:id="707996608">
      <w:bodyDiv w:val="1"/>
      <w:marLeft w:val="0"/>
      <w:marRight w:val="0"/>
      <w:marTop w:val="0"/>
      <w:marBottom w:val="0"/>
      <w:divBdr>
        <w:top w:val="none" w:sz="0" w:space="0" w:color="auto"/>
        <w:left w:val="none" w:sz="0" w:space="0" w:color="auto"/>
        <w:bottom w:val="none" w:sz="0" w:space="0" w:color="auto"/>
        <w:right w:val="none" w:sz="0" w:space="0" w:color="auto"/>
      </w:divBdr>
    </w:div>
    <w:div w:id="708069240">
      <w:bodyDiv w:val="1"/>
      <w:marLeft w:val="0"/>
      <w:marRight w:val="0"/>
      <w:marTop w:val="0"/>
      <w:marBottom w:val="0"/>
      <w:divBdr>
        <w:top w:val="none" w:sz="0" w:space="0" w:color="auto"/>
        <w:left w:val="none" w:sz="0" w:space="0" w:color="auto"/>
        <w:bottom w:val="none" w:sz="0" w:space="0" w:color="auto"/>
        <w:right w:val="none" w:sz="0" w:space="0" w:color="auto"/>
      </w:divBdr>
    </w:div>
    <w:div w:id="708340231">
      <w:bodyDiv w:val="1"/>
      <w:marLeft w:val="0"/>
      <w:marRight w:val="0"/>
      <w:marTop w:val="0"/>
      <w:marBottom w:val="0"/>
      <w:divBdr>
        <w:top w:val="none" w:sz="0" w:space="0" w:color="auto"/>
        <w:left w:val="none" w:sz="0" w:space="0" w:color="auto"/>
        <w:bottom w:val="none" w:sz="0" w:space="0" w:color="auto"/>
        <w:right w:val="none" w:sz="0" w:space="0" w:color="auto"/>
      </w:divBdr>
    </w:div>
    <w:div w:id="708380380">
      <w:bodyDiv w:val="1"/>
      <w:marLeft w:val="0"/>
      <w:marRight w:val="0"/>
      <w:marTop w:val="0"/>
      <w:marBottom w:val="0"/>
      <w:divBdr>
        <w:top w:val="none" w:sz="0" w:space="0" w:color="auto"/>
        <w:left w:val="none" w:sz="0" w:space="0" w:color="auto"/>
        <w:bottom w:val="none" w:sz="0" w:space="0" w:color="auto"/>
        <w:right w:val="none" w:sz="0" w:space="0" w:color="auto"/>
      </w:divBdr>
    </w:div>
    <w:div w:id="708410969">
      <w:bodyDiv w:val="1"/>
      <w:marLeft w:val="0"/>
      <w:marRight w:val="0"/>
      <w:marTop w:val="0"/>
      <w:marBottom w:val="0"/>
      <w:divBdr>
        <w:top w:val="none" w:sz="0" w:space="0" w:color="auto"/>
        <w:left w:val="none" w:sz="0" w:space="0" w:color="auto"/>
        <w:bottom w:val="none" w:sz="0" w:space="0" w:color="auto"/>
        <w:right w:val="none" w:sz="0" w:space="0" w:color="auto"/>
      </w:divBdr>
    </w:div>
    <w:div w:id="709035189">
      <w:bodyDiv w:val="1"/>
      <w:marLeft w:val="0"/>
      <w:marRight w:val="0"/>
      <w:marTop w:val="0"/>
      <w:marBottom w:val="0"/>
      <w:divBdr>
        <w:top w:val="none" w:sz="0" w:space="0" w:color="auto"/>
        <w:left w:val="none" w:sz="0" w:space="0" w:color="auto"/>
        <w:bottom w:val="none" w:sz="0" w:space="0" w:color="auto"/>
        <w:right w:val="none" w:sz="0" w:space="0" w:color="auto"/>
      </w:divBdr>
    </w:div>
    <w:div w:id="709039487">
      <w:bodyDiv w:val="1"/>
      <w:marLeft w:val="0"/>
      <w:marRight w:val="0"/>
      <w:marTop w:val="0"/>
      <w:marBottom w:val="0"/>
      <w:divBdr>
        <w:top w:val="none" w:sz="0" w:space="0" w:color="auto"/>
        <w:left w:val="none" w:sz="0" w:space="0" w:color="auto"/>
        <w:bottom w:val="none" w:sz="0" w:space="0" w:color="auto"/>
        <w:right w:val="none" w:sz="0" w:space="0" w:color="auto"/>
      </w:divBdr>
    </w:div>
    <w:div w:id="709888566">
      <w:bodyDiv w:val="1"/>
      <w:marLeft w:val="0"/>
      <w:marRight w:val="0"/>
      <w:marTop w:val="0"/>
      <w:marBottom w:val="0"/>
      <w:divBdr>
        <w:top w:val="none" w:sz="0" w:space="0" w:color="auto"/>
        <w:left w:val="none" w:sz="0" w:space="0" w:color="auto"/>
        <w:bottom w:val="none" w:sz="0" w:space="0" w:color="auto"/>
        <w:right w:val="none" w:sz="0" w:space="0" w:color="auto"/>
      </w:divBdr>
    </w:div>
    <w:div w:id="709961206">
      <w:bodyDiv w:val="1"/>
      <w:marLeft w:val="0"/>
      <w:marRight w:val="0"/>
      <w:marTop w:val="0"/>
      <w:marBottom w:val="0"/>
      <w:divBdr>
        <w:top w:val="none" w:sz="0" w:space="0" w:color="auto"/>
        <w:left w:val="none" w:sz="0" w:space="0" w:color="auto"/>
        <w:bottom w:val="none" w:sz="0" w:space="0" w:color="auto"/>
        <w:right w:val="none" w:sz="0" w:space="0" w:color="auto"/>
      </w:divBdr>
    </w:div>
    <w:div w:id="710495682">
      <w:bodyDiv w:val="1"/>
      <w:marLeft w:val="0"/>
      <w:marRight w:val="0"/>
      <w:marTop w:val="0"/>
      <w:marBottom w:val="0"/>
      <w:divBdr>
        <w:top w:val="none" w:sz="0" w:space="0" w:color="auto"/>
        <w:left w:val="none" w:sz="0" w:space="0" w:color="auto"/>
        <w:bottom w:val="none" w:sz="0" w:space="0" w:color="auto"/>
        <w:right w:val="none" w:sz="0" w:space="0" w:color="auto"/>
      </w:divBdr>
    </w:div>
    <w:div w:id="710694824">
      <w:bodyDiv w:val="1"/>
      <w:marLeft w:val="0"/>
      <w:marRight w:val="0"/>
      <w:marTop w:val="0"/>
      <w:marBottom w:val="0"/>
      <w:divBdr>
        <w:top w:val="none" w:sz="0" w:space="0" w:color="auto"/>
        <w:left w:val="none" w:sz="0" w:space="0" w:color="auto"/>
        <w:bottom w:val="none" w:sz="0" w:space="0" w:color="auto"/>
        <w:right w:val="none" w:sz="0" w:space="0" w:color="auto"/>
      </w:divBdr>
    </w:div>
    <w:div w:id="710763516">
      <w:bodyDiv w:val="1"/>
      <w:marLeft w:val="0"/>
      <w:marRight w:val="0"/>
      <w:marTop w:val="0"/>
      <w:marBottom w:val="0"/>
      <w:divBdr>
        <w:top w:val="none" w:sz="0" w:space="0" w:color="auto"/>
        <w:left w:val="none" w:sz="0" w:space="0" w:color="auto"/>
        <w:bottom w:val="none" w:sz="0" w:space="0" w:color="auto"/>
        <w:right w:val="none" w:sz="0" w:space="0" w:color="auto"/>
      </w:divBdr>
    </w:div>
    <w:div w:id="711077845">
      <w:bodyDiv w:val="1"/>
      <w:marLeft w:val="0"/>
      <w:marRight w:val="0"/>
      <w:marTop w:val="0"/>
      <w:marBottom w:val="0"/>
      <w:divBdr>
        <w:top w:val="none" w:sz="0" w:space="0" w:color="auto"/>
        <w:left w:val="none" w:sz="0" w:space="0" w:color="auto"/>
        <w:bottom w:val="none" w:sz="0" w:space="0" w:color="auto"/>
        <w:right w:val="none" w:sz="0" w:space="0" w:color="auto"/>
      </w:divBdr>
    </w:div>
    <w:div w:id="711224774">
      <w:bodyDiv w:val="1"/>
      <w:marLeft w:val="0"/>
      <w:marRight w:val="0"/>
      <w:marTop w:val="0"/>
      <w:marBottom w:val="0"/>
      <w:divBdr>
        <w:top w:val="none" w:sz="0" w:space="0" w:color="auto"/>
        <w:left w:val="none" w:sz="0" w:space="0" w:color="auto"/>
        <w:bottom w:val="none" w:sz="0" w:space="0" w:color="auto"/>
        <w:right w:val="none" w:sz="0" w:space="0" w:color="auto"/>
      </w:divBdr>
    </w:div>
    <w:div w:id="711805680">
      <w:bodyDiv w:val="1"/>
      <w:marLeft w:val="0"/>
      <w:marRight w:val="0"/>
      <w:marTop w:val="0"/>
      <w:marBottom w:val="0"/>
      <w:divBdr>
        <w:top w:val="none" w:sz="0" w:space="0" w:color="auto"/>
        <w:left w:val="none" w:sz="0" w:space="0" w:color="auto"/>
        <w:bottom w:val="none" w:sz="0" w:space="0" w:color="auto"/>
        <w:right w:val="none" w:sz="0" w:space="0" w:color="auto"/>
      </w:divBdr>
    </w:div>
    <w:div w:id="712311830">
      <w:bodyDiv w:val="1"/>
      <w:marLeft w:val="0"/>
      <w:marRight w:val="0"/>
      <w:marTop w:val="0"/>
      <w:marBottom w:val="0"/>
      <w:divBdr>
        <w:top w:val="none" w:sz="0" w:space="0" w:color="auto"/>
        <w:left w:val="none" w:sz="0" w:space="0" w:color="auto"/>
        <w:bottom w:val="none" w:sz="0" w:space="0" w:color="auto"/>
        <w:right w:val="none" w:sz="0" w:space="0" w:color="auto"/>
      </w:divBdr>
    </w:div>
    <w:div w:id="712732481">
      <w:bodyDiv w:val="1"/>
      <w:marLeft w:val="0"/>
      <w:marRight w:val="0"/>
      <w:marTop w:val="0"/>
      <w:marBottom w:val="0"/>
      <w:divBdr>
        <w:top w:val="none" w:sz="0" w:space="0" w:color="auto"/>
        <w:left w:val="none" w:sz="0" w:space="0" w:color="auto"/>
        <w:bottom w:val="none" w:sz="0" w:space="0" w:color="auto"/>
        <w:right w:val="none" w:sz="0" w:space="0" w:color="auto"/>
      </w:divBdr>
    </w:div>
    <w:div w:id="712847562">
      <w:bodyDiv w:val="1"/>
      <w:marLeft w:val="0"/>
      <w:marRight w:val="0"/>
      <w:marTop w:val="0"/>
      <w:marBottom w:val="0"/>
      <w:divBdr>
        <w:top w:val="none" w:sz="0" w:space="0" w:color="auto"/>
        <w:left w:val="none" w:sz="0" w:space="0" w:color="auto"/>
        <w:bottom w:val="none" w:sz="0" w:space="0" w:color="auto"/>
        <w:right w:val="none" w:sz="0" w:space="0" w:color="auto"/>
      </w:divBdr>
    </w:div>
    <w:div w:id="712851610">
      <w:bodyDiv w:val="1"/>
      <w:marLeft w:val="0"/>
      <w:marRight w:val="0"/>
      <w:marTop w:val="0"/>
      <w:marBottom w:val="0"/>
      <w:divBdr>
        <w:top w:val="none" w:sz="0" w:space="0" w:color="auto"/>
        <w:left w:val="none" w:sz="0" w:space="0" w:color="auto"/>
        <w:bottom w:val="none" w:sz="0" w:space="0" w:color="auto"/>
        <w:right w:val="none" w:sz="0" w:space="0" w:color="auto"/>
      </w:divBdr>
    </w:div>
    <w:div w:id="713043768">
      <w:bodyDiv w:val="1"/>
      <w:marLeft w:val="0"/>
      <w:marRight w:val="0"/>
      <w:marTop w:val="0"/>
      <w:marBottom w:val="0"/>
      <w:divBdr>
        <w:top w:val="none" w:sz="0" w:space="0" w:color="auto"/>
        <w:left w:val="none" w:sz="0" w:space="0" w:color="auto"/>
        <w:bottom w:val="none" w:sz="0" w:space="0" w:color="auto"/>
        <w:right w:val="none" w:sz="0" w:space="0" w:color="auto"/>
      </w:divBdr>
    </w:div>
    <w:div w:id="713316229">
      <w:bodyDiv w:val="1"/>
      <w:marLeft w:val="0"/>
      <w:marRight w:val="0"/>
      <w:marTop w:val="0"/>
      <w:marBottom w:val="0"/>
      <w:divBdr>
        <w:top w:val="none" w:sz="0" w:space="0" w:color="auto"/>
        <w:left w:val="none" w:sz="0" w:space="0" w:color="auto"/>
        <w:bottom w:val="none" w:sz="0" w:space="0" w:color="auto"/>
        <w:right w:val="none" w:sz="0" w:space="0" w:color="auto"/>
      </w:divBdr>
    </w:div>
    <w:div w:id="713625839">
      <w:bodyDiv w:val="1"/>
      <w:marLeft w:val="0"/>
      <w:marRight w:val="0"/>
      <w:marTop w:val="0"/>
      <w:marBottom w:val="0"/>
      <w:divBdr>
        <w:top w:val="none" w:sz="0" w:space="0" w:color="auto"/>
        <w:left w:val="none" w:sz="0" w:space="0" w:color="auto"/>
        <w:bottom w:val="none" w:sz="0" w:space="0" w:color="auto"/>
        <w:right w:val="none" w:sz="0" w:space="0" w:color="auto"/>
      </w:divBdr>
    </w:div>
    <w:div w:id="713695614">
      <w:bodyDiv w:val="1"/>
      <w:marLeft w:val="0"/>
      <w:marRight w:val="0"/>
      <w:marTop w:val="0"/>
      <w:marBottom w:val="0"/>
      <w:divBdr>
        <w:top w:val="none" w:sz="0" w:space="0" w:color="auto"/>
        <w:left w:val="none" w:sz="0" w:space="0" w:color="auto"/>
        <w:bottom w:val="none" w:sz="0" w:space="0" w:color="auto"/>
        <w:right w:val="none" w:sz="0" w:space="0" w:color="auto"/>
      </w:divBdr>
    </w:div>
    <w:div w:id="713889403">
      <w:bodyDiv w:val="1"/>
      <w:marLeft w:val="0"/>
      <w:marRight w:val="0"/>
      <w:marTop w:val="0"/>
      <w:marBottom w:val="0"/>
      <w:divBdr>
        <w:top w:val="none" w:sz="0" w:space="0" w:color="auto"/>
        <w:left w:val="none" w:sz="0" w:space="0" w:color="auto"/>
        <w:bottom w:val="none" w:sz="0" w:space="0" w:color="auto"/>
        <w:right w:val="none" w:sz="0" w:space="0" w:color="auto"/>
      </w:divBdr>
    </w:div>
    <w:div w:id="713969214">
      <w:bodyDiv w:val="1"/>
      <w:marLeft w:val="0"/>
      <w:marRight w:val="0"/>
      <w:marTop w:val="0"/>
      <w:marBottom w:val="0"/>
      <w:divBdr>
        <w:top w:val="none" w:sz="0" w:space="0" w:color="auto"/>
        <w:left w:val="none" w:sz="0" w:space="0" w:color="auto"/>
        <w:bottom w:val="none" w:sz="0" w:space="0" w:color="auto"/>
        <w:right w:val="none" w:sz="0" w:space="0" w:color="auto"/>
      </w:divBdr>
    </w:div>
    <w:div w:id="714737470">
      <w:bodyDiv w:val="1"/>
      <w:marLeft w:val="0"/>
      <w:marRight w:val="0"/>
      <w:marTop w:val="0"/>
      <w:marBottom w:val="0"/>
      <w:divBdr>
        <w:top w:val="none" w:sz="0" w:space="0" w:color="auto"/>
        <w:left w:val="none" w:sz="0" w:space="0" w:color="auto"/>
        <w:bottom w:val="none" w:sz="0" w:space="0" w:color="auto"/>
        <w:right w:val="none" w:sz="0" w:space="0" w:color="auto"/>
      </w:divBdr>
    </w:div>
    <w:div w:id="714937941">
      <w:bodyDiv w:val="1"/>
      <w:marLeft w:val="0"/>
      <w:marRight w:val="0"/>
      <w:marTop w:val="0"/>
      <w:marBottom w:val="0"/>
      <w:divBdr>
        <w:top w:val="none" w:sz="0" w:space="0" w:color="auto"/>
        <w:left w:val="none" w:sz="0" w:space="0" w:color="auto"/>
        <w:bottom w:val="none" w:sz="0" w:space="0" w:color="auto"/>
        <w:right w:val="none" w:sz="0" w:space="0" w:color="auto"/>
      </w:divBdr>
    </w:div>
    <w:div w:id="715088060">
      <w:bodyDiv w:val="1"/>
      <w:marLeft w:val="0"/>
      <w:marRight w:val="0"/>
      <w:marTop w:val="0"/>
      <w:marBottom w:val="0"/>
      <w:divBdr>
        <w:top w:val="none" w:sz="0" w:space="0" w:color="auto"/>
        <w:left w:val="none" w:sz="0" w:space="0" w:color="auto"/>
        <w:bottom w:val="none" w:sz="0" w:space="0" w:color="auto"/>
        <w:right w:val="none" w:sz="0" w:space="0" w:color="auto"/>
      </w:divBdr>
    </w:div>
    <w:div w:id="715394268">
      <w:bodyDiv w:val="1"/>
      <w:marLeft w:val="0"/>
      <w:marRight w:val="0"/>
      <w:marTop w:val="0"/>
      <w:marBottom w:val="0"/>
      <w:divBdr>
        <w:top w:val="none" w:sz="0" w:space="0" w:color="auto"/>
        <w:left w:val="none" w:sz="0" w:space="0" w:color="auto"/>
        <w:bottom w:val="none" w:sz="0" w:space="0" w:color="auto"/>
        <w:right w:val="none" w:sz="0" w:space="0" w:color="auto"/>
      </w:divBdr>
    </w:div>
    <w:div w:id="715617117">
      <w:bodyDiv w:val="1"/>
      <w:marLeft w:val="0"/>
      <w:marRight w:val="0"/>
      <w:marTop w:val="0"/>
      <w:marBottom w:val="0"/>
      <w:divBdr>
        <w:top w:val="none" w:sz="0" w:space="0" w:color="auto"/>
        <w:left w:val="none" w:sz="0" w:space="0" w:color="auto"/>
        <w:bottom w:val="none" w:sz="0" w:space="0" w:color="auto"/>
        <w:right w:val="none" w:sz="0" w:space="0" w:color="auto"/>
      </w:divBdr>
    </w:div>
    <w:div w:id="716592085">
      <w:bodyDiv w:val="1"/>
      <w:marLeft w:val="0"/>
      <w:marRight w:val="0"/>
      <w:marTop w:val="0"/>
      <w:marBottom w:val="0"/>
      <w:divBdr>
        <w:top w:val="none" w:sz="0" w:space="0" w:color="auto"/>
        <w:left w:val="none" w:sz="0" w:space="0" w:color="auto"/>
        <w:bottom w:val="none" w:sz="0" w:space="0" w:color="auto"/>
        <w:right w:val="none" w:sz="0" w:space="0" w:color="auto"/>
      </w:divBdr>
    </w:div>
    <w:div w:id="716666447">
      <w:bodyDiv w:val="1"/>
      <w:marLeft w:val="0"/>
      <w:marRight w:val="0"/>
      <w:marTop w:val="0"/>
      <w:marBottom w:val="0"/>
      <w:divBdr>
        <w:top w:val="none" w:sz="0" w:space="0" w:color="auto"/>
        <w:left w:val="none" w:sz="0" w:space="0" w:color="auto"/>
        <w:bottom w:val="none" w:sz="0" w:space="0" w:color="auto"/>
        <w:right w:val="none" w:sz="0" w:space="0" w:color="auto"/>
      </w:divBdr>
    </w:div>
    <w:div w:id="717045537">
      <w:bodyDiv w:val="1"/>
      <w:marLeft w:val="0"/>
      <w:marRight w:val="0"/>
      <w:marTop w:val="0"/>
      <w:marBottom w:val="0"/>
      <w:divBdr>
        <w:top w:val="none" w:sz="0" w:space="0" w:color="auto"/>
        <w:left w:val="none" w:sz="0" w:space="0" w:color="auto"/>
        <w:bottom w:val="none" w:sz="0" w:space="0" w:color="auto"/>
        <w:right w:val="none" w:sz="0" w:space="0" w:color="auto"/>
      </w:divBdr>
    </w:div>
    <w:div w:id="717315980">
      <w:bodyDiv w:val="1"/>
      <w:marLeft w:val="0"/>
      <w:marRight w:val="0"/>
      <w:marTop w:val="0"/>
      <w:marBottom w:val="0"/>
      <w:divBdr>
        <w:top w:val="none" w:sz="0" w:space="0" w:color="auto"/>
        <w:left w:val="none" w:sz="0" w:space="0" w:color="auto"/>
        <w:bottom w:val="none" w:sz="0" w:space="0" w:color="auto"/>
        <w:right w:val="none" w:sz="0" w:space="0" w:color="auto"/>
      </w:divBdr>
    </w:div>
    <w:div w:id="717319071">
      <w:bodyDiv w:val="1"/>
      <w:marLeft w:val="0"/>
      <w:marRight w:val="0"/>
      <w:marTop w:val="0"/>
      <w:marBottom w:val="0"/>
      <w:divBdr>
        <w:top w:val="none" w:sz="0" w:space="0" w:color="auto"/>
        <w:left w:val="none" w:sz="0" w:space="0" w:color="auto"/>
        <w:bottom w:val="none" w:sz="0" w:space="0" w:color="auto"/>
        <w:right w:val="none" w:sz="0" w:space="0" w:color="auto"/>
      </w:divBdr>
    </w:div>
    <w:div w:id="717630231">
      <w:bodyDiv w:val="1"/>
      <w:marLeft w:val="0"/>
      <w:marRight w:val="0"/>
      <w:marTop w:val="0"/>
      <w:marBottom w:val="0"/>
      <w:divBdr>
        <w:top w:val="none" w:sz="0" w:space="0" w:color="auto"/>
        <w:left w:val="none" w:sz="0" w:space="0" w:color="auto"/>
        <w:bottom w:val="none" w:sz="0" w:space="0" w:color="auto"/>
        <w:right w:val="none" w:sz="0" w:space="0" w:color="auto"/>
      </w:divBdr>
    </w:div>
    <w:div w:id="718284196">
      <w:bodyDiv w:val="1"/>
      <w:marLeft w:val="0"/>
      <w:marRight w:val="0"/>
      <w:marTop w:val="0"/>
      <w:marBottom w:val="0"/>
      <w:divBdr>
        <w:top w:val="none" w:sz="0" w:space="0" w:color="auto"/>
        <w:left w:val="none" w:sz="0" w:space="0" w:color="auto"/>
        <w:bottom w:val="none" w:sz="0" w:space="0" w:color="auto"/>
        <w:right w:val="none" w:sz="0" w:space="0" w:color="auto"/>
      </w:divBdr>
    </w:div>
    <w:div w:id="718825941">
      <w:bodyDiv w:val="1"/>
      <w:marLeft w:val="0"/>
      <w:marRight w:val="0"/>
      <w:marTop w:val="0"/>
      <w:marBottom w:val="0"/>
      <w:divBdr>
        <w:top w:val="none" w:sz="0" w:space="0" w:color="auto"/>
        <w:left w:val="none" w:sz="0" w:space="0" w:color="auto"/>
        <w:bottom w:val="none" w:sz="0" w:space="0" w:color="auto"/>
        <w:right w:val="none" w:sz="0" w:space="0" w:color="auto"/>
      </w:divBdr>
    </w:div>
    <w:div w:id="718869150">
      <w:bodyDiv w:val="1"/>
      <w:marLeft w:val="0"/>
      <w:marRight w:val="0"/>
      <w:marTop w:val="0"/>
      <w:marBottom w:val="0"/>
      <w:divBdr>
        <w:top w:val="none" w:sz="0" w:space="0" w:color="auto"/>
        <w:left w:val="none" w:sz="0" w:space="0" w:color="auto"/>
        <w:bottom w:val="none" w:sz="0" w:space="0" w:color="auto"/>
        <w:right w:val="none" w:sz="0" w:space="0" w:color="auto"/>
      </w:divBdr>
    </w:div>
    <w:div w:id="719288173">
      <w:bodyDiv w:val="1"/>
      <w:marLeft w:val="0"/>
      <w:marRight w:val="0"/>
      <w:marTop w:val="0"/>
      <w:marBottom w:val="0"/>
      <w:divBdr>
        <w:top w:val="none" w:sz="0" w:space="0" w:color="auto"/>
        <w:left w:val="none" w:sz="0" w:space="0" w:color="auto"/>
        <w:bottom w:val="none" w:sz="0" w:space="0" w:color="auto"/>
        <w:right w:val="none" w:sz="0" w:space="0" w:color="auto"/>
      </w:divBdr>
    </w:div>
    <w:div w:id="719481701">
      <w:bodyDiv w:val="1"/>
      <w:marLeft w:val="0"/>
      <w:marRight w:val="0"/>
      <w:marTop w:val="0"/>
      <w:marBottom w:val="0"/>
      <w:divBdr>
        <w:top w:val="none" w:sz="0" w:space="0" w:color="auto"/>
        <w:left w:val="none" w:sz="0" w:space="0" w:color="auto"/>
        <w:bottom w:val="none" w:sz="0" w:space="0" w:color="auto"/>
        <w:right w:val="none" w:sz="0" w:space="0" w:color="auto"/>
      </w:divBdr>
    </w:div>
    <w:div w:id="719550692">
      <w:bodyDiv w:val="1"/>
      <w:marLeft w:val="0"/>
      <w:marRight w:val="0"/>
      <w:marTop w:val="0"/>
      <w:marBottom w:val="0"/>
      <w:divBdr>
        <w:top w:val="none" w:sz="0" w:space="0" w:color="auto"/>
        <w:left w:val="none" w:sz="0" w:space="0" w:color="auto"/>
        <w:bottom w:val="none" w:sz="0" w:space="0" w:color="auto"/>
        <w:right w:val="none" w:sz="0" w:space="0" w:color="auto"/>
      </w:divBdr>
    </w:div>
    <w:div w:id="720246442">
      <w:bodyDiv w:val="1"/>
      <w:marLeft w:val="0"/>
      <w:marRight w:val="0"/>
      <w:marTop w:val="0"/>
      <w:marBottom w:val="0"/>
      <w:divBdr>
        <w:top w:val="none" w:sz="0" w:space="0" w:color="auto"/>
        <w:left w:val="none" w:sz="0" w:space="0" w:color="auto"/>
        <w:bottom w:val="none" w:sz="0" w:space="0" w:color="auto"/>
        <w:right w:val="none" w:sz="0" w:space="0" w:color="auto"/>
      </w:divBdr>
    </w:div>
    <w:div w:id="720598112">
      <w:bodyDiv w:val="1"/>
      <w:marLeft w:val="0"/>
      <w:marRight w:val="0"/>
      <w:marTop w:val="0"/>
      <w:marBottom w:val="0"/>
      <w:divBdr>
        <w:top w:val="none" w:sz="0" w:space="0" w:color="auto"/>
        <w:left w:val="none" w:sz="0" w:space="0" w:color="auto"/>
        <w:bottom w:val="none" w:sz="0" w:space="0" w:color="auto"/>
        <w:right w:val="none" w:sz="0" w:space="0" w:color="auto"/>
      </w:divBdr>
    </w:div>
    <w:div w:id="721059784">
      <w:bodyDiv w:val="1"/>
      <w:marLeft w:val="0"/>
      <w:marRight w:val="0"/>
      <w:marTop w:val="0"/>
      <w:marBottom w:val="0"/>
      <w:divBdr>
        <w:top w:val="none" w:sz="0" w:space="0" w:color="auto"/>
        <w:left w:val="none" w:sz="0" w:space="0" w:color="auto"/>
        <w:bottom w:val="none" w:sz="0" w:space="0" w:color="auto"/>
        <w:right w:val="none" w:sz="0" w:space="0" w:color="auto"/>
      </w:divBdr>
    </w:div>
    <w:div w:id="721363860">
      <w:bodyDiv w:val="1"/>
      <w:marLeft w:val="0"/>
      <w:marRight w:val="0"/>
      <w:marTop w:val="0"/>
      <w:marBottom w:val="0"/>
      <w:divBdr>
        <w:top w:val="none" w:sz="0" w:space="0" w:color="auto"/>
        <w:left w:val="none" w:sz="0" w:space="0" w:color="auto"/>
        <w:bottom w:val="none" w:sz="0" w:space="0" w:color="auto"/>
        <w:right w:val="none" w:sz="0" w:space="0" w:color="auto"/>
      </w:divBdr>
    </w:div>
    <w:div w:id="721751054">
      <w:bodyDiv w:val="1"/>
      <w:marLeft w:val="0"/>
      <w:marRight w:val="0"/>
      <w:marTop w:val="0"/>
      <w:marBottom w:val="0"/>
      <w:divBdr>
        <w:top w:val="none" w:sz="0" w:space="0" w:color="auto"/>
        <w:left w:val="none" w:sz="0" w:space="0" w:color="auto"/>
        <w:bottom w:val="none" w:sz="0" w:space="0" w:color="auto"/>
        <w:right w:val="none" w:sz="0" w:space="0" w:color="auto"/>
      </w:divBdr>
    </w:div>
    <w:div w:id="721907968">
      <w:bodyDiv w:val="1"/>
      <w:marLeft w:val="0"/>
      <w:marRight w:val="0"/>
      <w:marTop w:val="0"/>
      <w:marBottom w:val="0"/>
      <w:divBdr>
        <w:top w:val="none" w:sz="0" w:space="0" w:color="auto"/>
        <w:left w:val="none" w:sz="0" w:space="0" w:color="auto"/>
        <w:bottom w:val="none" w:sz="0" w:space="0" w:color="auto"/>
        <w:right w:val="none" w:sz="0" w:space="0" w:color="auto"/>
      </w:divBdr>
    </w:div>
    <w:div w:id="722870536">
      <w:bodyDiv w:val="1"/>
      <w:marLeft w:val="0"/>
      <w:marRight w:val="0"/>
      <w:marTop w:val="0"/>
      <w:marBottom w:val="0"/>
      <w:divBdr>
        <w:top w:val="none" w:sz="0" w:space="0" w:color="auto"/>
        <w:left w:val="none" w:sz="0" w:space="0" w:color="auto"/>
        <w:bottom w:val="none" w:sz="0" w:space="0" w:color="auto"/>
        <w:right w:val="none" w:sz="0" w:space="0" w:color="auto"/>
      </w:divBdr>
    </w:div>
    <w:div w:id="722943578">
      <w:bodyDiv w:val="1"/>
      <w:marLeft w:val="0"/>
      <w:marRight w:val="0"/>
      <w:marTop w:val="0"/>
      <w:marBottom w:val="0"/>
      <w:divBdr>
        <w:top w:val="none" w:sz="0" w:space="0" w:color="auto"/>
        <w:left w:val="none" w:sz="0" w:space="0" w:color="auto"/>
        <w:bottom w:val="none" w:sz="0" w:space="0" w:color="auto"/>
        <w:right w:val="none" w:sz="0" w:space="0" w:color="auto"/>
      </w:divBdr>
    </w:div>
    <w:div w:id="723219850">
      <w:bodyDiv w:val="1"/>
      <w:marLeft w:val="0"/>
      <w:marRight w:val="0"/>
      <w:marTop w:val="0"/>
      <w:marBottom w:val="0"/>
      <w:divBdr>
        <w:top w:val="none" w:sz="0" w:space="0" w:color="auto"/>
        <w:left w:val="none" w:sz="0" w:space="0" w:color="auto"/>
        <w:bottom w:val="none" w:sz="0" w:space="0" w:color="auto"/>
        <w:right w:val="none" w:sz="0" w:space="0" w:color="auto"/>
      </w:divBdr>
    </w:div>
    <w:div w:id="723483792">
      <w:bodyDiv w:val="1"/>
      <w:marLeft w:val="0"/>
      <w:marRight w:val="0"/>
      <w:marTop w:val="0"/>
      <w:marBottom w:val="0"/>
      <w:divBdr>
        <w:top w:val="none" w:sz="0" w:space="0" w:color="auto"/>
        <w:left w:val="none" w:sz="0" w:space="0" w:color="auto"/>
        <w:bottom w:val="none" w:sz="0" w:space="0" w:color="auto"/>
        <w:right w:val="none" w:sz="0" w:space="0" w:color="auto"/>
      </w:divBdr>
    </w:div>
    <w:div w:id="724573462">
      <w:bodyDiv w:val="1"/>
      <w:marLeft w:val="0"/>
      <w:marRight w:val="0"/>
      <w:marTop w:val="0"/>
      <w:marBottom w:val="0"/>
      <w:divBdr>
        <w:top w:val="none" w:sz="0" w:space="0" w:color="auto"/>
        <w:left w:val="none" w:sz="0" w:space="0" w:color="auto"/>
        <w:bottom w:val="none" w:sz="0" w:space="0" w:color="auto"/>
        <w:right w:val="none" w:sz="0" w:space="0" w:color="auto"/>
      </w:divBdr>
    </w:div>
    <w:div w:id="724715653">
      <w:bodyDiv w:val="1"/>
      <w:marLeft w:val="0"/>
      <w:marRight w:val="0"/>
      <w:marTop w:val="0"/>
      <w:marBottom w:val="0"/>
      <w:divBdr>
        <w:top w:val="none" w:sz="0" w:space="0" w:color="auto"/>
        <w:left w:val="none" w:sz="0" w:space="0" w:color="auto"/>
        <w:bottom w:val="none" w:sz="0" w:space="0" w:color="auto"/>
        <w:right w:val="none" w:sz="0" w:space="0" w:color="auto"/>
      </w:divBdr>
    </w:div>
    <w:div w:id="724914561">
      <w:bodyDiv w:val="1"/>
      <w:marLeft w:val="0"/>
      <w:marRight w:val="0"/>
      <w:marTop w:val="0"/>
      <w:marBottom w:val="0"/>
      <w:divBdr>
        <w:top w:val="none" w:sz="0" w:space="0" w:color="auto"/>
        <w:left w:val="none" w:sz="0" w:space="0" w:color="auto"/>
        <w:bottom w:val="none" w:sz="0" w:space="0" w:color="auto"/>
        <w:right w:val="none" w:sz="0" w:space="0" w:color="auto"/>
      </w:divBdr>
    </w:div>
    <w:div w:id="724988539">
      <w:bodyDiv w:val="1"/>
      <w:marLeft w:val="0"/>
      <w:marRight w:val="0"/>
      <w:marTop w:val="0"/>
      <w:marBottom w:val="0"/>
      <w:divBdr>
        <w:top w:val="none" w:sz="0" w:space="0" w:color="auto"/>
        <w:left w:val="none" w:sz="0" w:space="0" w:color="auto"/>
        <w:bottom w:val="none" w:sz="0" w:space="0" w:color="auto"/>
        <w:right w:val="none" w:sz="0" w:space="0" w:color="auto"/>
      </w:divBdr>
    </w:div>
    <w:div w:id="725223854">
      <w:bodyDiv w:val="1"/>
      <w:marLeft w:val="0"/>
      <w:marRight w:val="0"/>
      <w:marTop w:val="0"/>
      <w:marBottom w:val="0"/>
      <w:divBdr>
        <w:top w:val="none" w:sz="0" w:space="0" w:color="auto"/>
        <w:left w:val="none" w:sz="0" w:space="0" w:color="auto"/>
        <w:bottom w:val="none" w:sz="0" w:space="0" w:color="auto"/>
        <w:right w:val="none" w:sz="0" w:space="0" w:color="auto"/>
      </w:divBdr>
    </w:div>
    <w:div w:id="725295299">
      <w:bodyDiv w:val="1"/>
      <w:marLeft w:val="0"/>
      <w:marRight w:val="0"/>
      <w:marTop w:val="0"/>
      <w:marBottom w:val="0"/>
      <w:divBdr>
        <w:top w:val="none" w:sz="0" w:space="0" w:color="auto"/>
        <w:left w:val="none" w:sz="0" w:space="0" w:color="auto"/>
        <w:bottom w:val="none" w:sz="0" w:space="0" w:color="auto"/>
        <w:right w:val="none" w:sz="0" w:space="0" w:color="auto"/>
      </w:divBdr>
    </w:div>
    <w:div w:id="725296753">
      <w:bodyDiv w:val="1"/>
      <w:marLeft w:val="0"/>
      <w:marRight w:val="0"/>
      <w:marTop w:val="0"/>
      <w:marBottom w:val="0"/>
      <w:divBdr>
        <w:top w:val="none" w:sz="0" w:space="0" w:color="auto"/>
        <w:left w:val="none" w:sz="0" w:space="0" w:color="auto"/>
        <w:bottom w:val="none" w:sz="0" w:space="0" w:color="auto"/>
        <w:right w:val="none" w:sz="0" w:space="0" w:color="auto"/>
      </w:divBdr>
    </w:div>
    <w:div w:id="725446674">
      <w:bodyDiv w:val="1"/>
      <w:marLeft w:val="0"/>
      <w:marRight w:val="0"/>
      <w:marTop w:val="0"/>
      <w:marBottom w:val="0"/>
      <w:divBdr>
        <w:top w:val="none" w:sz="0" w:space="0" w:color="auto"/>
        <w:left w:val="none" w:sz="0" w:space="0" w:color="auto"/>
        <w:bottom w:val="none" w:sz="0" w:space="0" w:color="auto"/>
        <w:right w:val="none" w:sz="0" w:space="0" w:color="auto"/>
      </w:divBdr>
    </w:div>
    <w:div w:id="725569915">
      <w:bodyDiv w:val="1"/>
      <w:marLeft w:val="0"/>
      <w:marRight w:val="0"/>
      <w:marTop w:val="0"/>
      <w:marBottom w:val="0"/>
      <w:divBdr>
        <w:top w:val="none" w:sz="0" w:space="0" w:color="auto"/>
        <w:left w:val="none" w:sz="0" w:space="0" w:color="auto"/>
        <w:bottom w:val="none" w:sz="0" w:space="0" w:color="auto"/>
        <w:right w:val="none" w:sz="0" w:space="0" w:color="auto"/>
      </w:divBdr>
    </w:div>
    <w:div w:id="725761683">
      <w:bodyDiv w:val="1"/>
      <w:marLeft w:val="0"/>
      <w:marRight w:val="0"/>
      <w:marTop w:val="0"/>
      <w:marBottom w:val="0"/>
      <w:divBdr>
        <w:top w:val="none" w:sz="0" w:space="0" w:color="auto"/>
        <w:left w:val="none" w:sz="0" w:space="0" w:color="auto"/>
        <w:bottom w:val="none" w:sz="0" w:space="0" w:color="auto"/>
        <w:right w:val="none" w:sz="0" w:space="0" w:color="auto"/>
      </w:divBdr>
    </w:div>
    <w:div w:id="726074033">
      <w:bodyDiv w:val="1"/>
      <w:marLeft w:val="0"/>
      <w:marRight w:val="0"/>
      <w:marTop w:val="0"/>
      <w:marBottom w:val="0"/>
      <w:divBdr>
        <w:top w:val="none" w:sz="0" w:space="0" w:color="auto"/>
        <w:left w:val="none" w:sz="0" w:space="0" w:color="auto"/>
        <w:bottom w:val="none" w:sz="0" w:space="0" w:color="auto"/>
        <w:right w:val="none" w:sz="0" w:space="0" w:color="auto"/>
      </w:divBdr>
    </w:div>
    <w:div w:id="726732690">
      <w:bodyDiv w:val="1"/>
      <w:marLeft w:val="0"/>
      <w:marRight w:val="0"/>
      <w:marTop w:val="0"/>
      <w:marBottom w:val="0"/>
      <w:divBdr>
        <w:top w:val="none" w:sz="0" w:space="0" w:color="auto"/>
        <w:left w:val="none" w:sz="0" w:space="0" w:color="auto"/>
        <w:bottom w:val="none" w:sz="0" w:space="0" w:color="auto"/>
        <w:right w:val="none" w:sz="0" w:space="0" w:color="auto"/>
      </w:divBdr>
    </w:div>
    <w:div w:id="727923029">
      <w:bodyDiv w:val="1"/>
      <w:marLeft w:val="0"/>
      <w:marRight w:val="0"/>
      <w:marTop w:val="0"/>
      <w:marBottom w:val="0"/>
      <w:divBdr>
        <w:top w:val="none" w:sz="0" w:space="0" w:color="auto"/>
        <w:left w:val="none" w:sz="0" w:space="0" w:color="auto"/>
        <w:bottom w:val="none" w:sz="0" w:space="0" w:color="auto"/>
        <w:right w:val="none" w:sz="0" w:space="0" w:color="auto"/>
      </w:divBdr>
    </w:div>
    <w:div w:id="728191345">
      <w:bodyDiv w:val="1"/>
      <w:marLeft w:val="0"/>
      <w:marRight w:val="0"/>
      <w:marTop w:val="0"/>
      <w:marBottom w:val="0"/>
      <w:divBdr>
        <w:top w:val="none" w:sz="0" w:space="0" w:color="auto"/>
        <w:left w:val="none" w:sz="0" w:space="0" w:color="auto"/>
        <w:bottom w:val="none" w:sz="0" w:space="0" w:color="auto"/>
        <w:right w:val="none" w:sz="0" w:space="0" w:color="auto"/>
      </w:divBdr>
    </w:div>
    <w:div w:id="728384311">
      <w:bodyDiv w:val="1"/>
      <w:marLeft w:val="0"/>
      <w:marRight w:val="0"/>
      <w:marTop w:val="0"/>
      <w:marBottom w:val="0"/>
      <w:divBdr>
        <w:top w:val="none" w:sz="0" w:space="0" w:color="auto"/>
        <w:left w:val="none" w:sz="0" w:space="0" w:color="auto"/>
        <w:bottom w:val="none" w:sz="0" w:space="0" w:color="auto"/>
        <w:right w:val="none" w:sz="0" w:space="0" w:color="auto"/>
      </w:divBdr>
    </w:div>
    <w:div w:id="728501263">
      <w:bodyDiv w:val="1"/>
      <w:marLeft w:val="0"/>
      <w:marRight w:val="0"/>
      <w:marTop w:val="0"/>
      <w:marBottom w:val="0"/>
      <w:divBdr>
        <w:top w:val="none" w:sz="0" w:space="0" w:color="auto"/>
        <w:left w:val="none" w:sz="0" w:space="0" w:color="auto"/>
        <w:bottom w:val="none" w:sz="0" w:space="0" w:color="auto"/>
        <w:right w:val="none" w:sz="0" w:space="0" w:color="auto"/>
      </w:divBdr>
    </w:div>
    <w:div w:id="728578207">
      <w:bodyDiv w:val="1"/>
      <w:marLeft w:val="0"/>
      <w:marRight w:val="0"/>
      <w:marTop w:val="0"/>
      <w:marBottom w:val="0"/>
      <w:divBdr>
        <w:top w:val="none" w:sz="0" w:space="0" w:color="auto"/>
        <w:left w:val="none" w:sz="0" w:space="0" w:color="auto"/>
        <w:bottom w:val="none" w:sz="0" w:space="0" w:color="auto"/>
        <w:right w:val="none" w:sz="0" w:space="0" w:color="auto"/>
      </w:divBdr>
    </w:div>
    <w:div w:id="728698358">
      <w:bodyDiv w:val="1"/>
      <w:marLeft w:val="0"/>
      <w:marRight w:val="0"/>
      <w:marTop w:val="0"/>
      <w:marBottom w:val="0"/>
      <w:divBdr>
        <w:top w:val="none" w:sz="0" w:space="0" w:color="auto"/>
        <w:left w:val="none" w:sz="0" w:space="0" w:color="auto"/>
        <w:bottom w:val="none" w:sz="0" w:space="0" w:color="auto"/>
        <w:right w:val="none" w:sz="0" w:space="0" w:color="auto"/>
      </w:divBdr>
    </w:div>
    <w:div w:id="729033241">
      <w:bodyDiv w:val="1"/>
      <w:marLeft w:val="0"/>
      <w:marRight w:val="0"/>
      <w:marTop w:val="0"/>
      <w:marBottom w:val="0"/>
      <w:divBdr>
        <w:top w:val="none" w:sz="0" w:space="0" w:color="auto"/>
        <w:left w:val="none" w:sz="0" w:space="0" w:color="auto"/>
        <w:bottom w:val="none" w:sz="0" w:space="0" w:color="auto"/>
        <w:right w:val="none" w:sz="0" w:space="0" w:color="auto"/>
      </w:divBdr>
    </w:div>
    <w:div w:id="729034051">
      <w:bodyDiv w:val="1"/>
      <w:marLeft w:val="0"/>
      <w:marRight w:val="0"/>
      <w:marTop w:val="0"/>
      <w:marBottom w:val="0"/>
      <w:divBdr>
        <w:top w:val="none" w:sz="0" w:space="0" w:color="auto"/>
        <w:left w:val="none" w:sz="0" w:space="0" w:color="auto"/>
        <w:bottom w:val="none" w:sz="0" w:space="0" w:color="auto"/>
        <w:right w:val="none" w:sz="0" w:space="0" w:color="auto"/>
      </w:divBdr>
    </w:div>
    <w:div w:id="729039746">
      <w:bodyDiv w:val="1"/>
      <w:marLeft w:val="0"/>
      <w:marRight w:val="0"/>
      <w:marTop w:val="0"/>
      <w:marBottom w:val="0"/>
      <w:divBdr>
        <w:top w:val="none" w:sz="0" w:space="0" w:color="auto"/>
        <w:left w:val="none" w:sz="0" w:space="0" w:color="auto"/>
        <w:bottom w:val="none" w:sz="0" w:space="0" w:color="auto"/>
        <w:right w:val="none" w:sz="0" w:space="0" w:color="auto"/>
      </w:divBdr>
    </w:div>
    <w:div w:id="729614981">
      <w:bodyDiv w:val="1"/>
      <w:marLeft w:val="0"/>
      <w:marRight w:val="0"/>
      <w:marTop w:val="0"/>
      <w:marBottom w:val="0"/>
      <w:divBdr>
        <w:top w:val="none" w:sz="0" w:space="0" w:color="auto"/>
        <w:left w:val="none" w:sz="0" w:space="0" w:color="auto"/>
        <w:bottom w:val="none" w:sz="0" w:space="0" w:color="auto"/>
        <w:right w:val="none" w:sz="0" w:space="0" w:color="auto"/>
      </w:divBdr>
    </w:div>
    <w:div w:id="730153884">
      <w:bodyDiv w:val="1"/>
      <w:marLeft w:val="0"/>
      <w:marRight w:val="0"/>
      <w:marTop w:val="0"/>
      <w:marBottom w:val="0"/>
      <w:divBdr>
        <w:top w:val="none" w:sz="0" w:space="0" w:color="auto"/>
        <w:left w:val="none" w:sz="0" w:space="0" w:color="auto"/>
        <w:bottom w:val="none" w:sz="0" w:space="0" w:color="auto"/>
        <w:right w:val="none" w:sz="0" w:space="0" w:color="auto"/>
      </w:divBdr>
    </w:div>
    <w:div w:id="730229819">
      <w:bodyDiv w:val="1"/>
      <w:marLeft w:val="0"/>
      <w:marRight w:val="0"/>
      <w:marTop w:val="0"/>
      <w:marBottom w:val="0"/>
      <w:divBdr>
        <w:top w:val="none" w:sz="0" w:space="0" w:color="auto"/>
        <w:left w:val="none" w:sz="0" w:space="0" w:color="auto"/>
        <w:bottom w:val="none" w:sz="0" w:space="0" w:color="auto"/>
        <w:right w:val="none" w:sz="0" w:space="0" w:color="auto"/>
      </w:divBdr>
    </w:div>
    <w:div w:id="730422368">
      <w:bodyDiv w:val="1"/>
      <w:marLeft w:val="0"/>
      <w:marRight w:val="0"/>
      <w:marTop w:val="0"/>
      <w:marBottom w:val="0"/>
      <w:divBdr>
        <w:top w:val="none" w:sz="0" w:space="0" w:color="auto"/>
        <w:left w:val="none" w:sz="0" w:space="0" w:color="auto"/>
        <w:bottom w:val="none" w:sz="0" w:space="0" w:color="auto"/>
        <w:right w:val="none" w:sz="0" w:space="0" w:color="auto"/>
      </w:divBdr>
    </w:div>
    <w:div w:id="730427499">
      <w:bodyDiv w:val="1"/>
      <w:marLeft w:val="0"/>
      <w:marRight w:val="0"/>
      <w:marTop w:val="0"/>
      <w:marBottom w:val="0"/>
      <w:divBdr>
        <w:top w:val="none" w:sz="0" w:space="0" w:color="auto"/>
        <w:left w:val="none" w:sz="0" w:space="0" w:color="auto"/>
        <w:bottom w:val="none" w:sz="0" w:space="0" w:color="auto"/>
        <w:right w:val="none" w:sz="0" w:space="0" w:color="auto"/>
      </w:divBdr>
    </w:div>
    <w:div w:id="730618175">
      <w:bodyDiv w:val="1"/>
      <w:marLeft w:val="0"/>
      <w:marRight w:val="0"/>
      <w:marTop w:val="0"/>
      <w:marBottom w:val="0"/>
      <w:divBdr>
        <w:top w:val="none" w:sz="0" w:space="0" w:color="auto"/>
        <w:left w:val="none" w:sz="0" w:space="0" w:color="auto"/>
        <w:bottom w:val="none" w:sz="0" w:space="0" w:color="auto"/>
        <w:right w:val="none" w:sz="0" w:space="0" w:color="auto"/>
      </w:divBdr>
    </w:div>
    <w:div w:id="730688928">
      <w:bodyDiv w:val="1"/>
      <w:marLeft w:val="0"/>
      <w:marRight w:val="0"/>
      <w:marTop w:val="0"/>
      <w:marBottom w:val="0"/>
      <w:divBdr>
        <w:top w:val="none" w:sz="0" w:space="0" w:color="auto"/>
        <w:left w:val="none" w:sz="0" w:space="0" w:color="auto"/>
        <w:bottom w:val="none" w:sz="0" w:space="0" w:color="auto"/>
        <w:right w:val="none" w:sz="0" w:space="0" w:color="auto"/>
      </w:divBdr>
    </w:div>
    <w:div w:id="731194782">
      <w:bodyDiv w:val="1"/>
      <w:marLeft w:val="0"/>
      <w:marRight w:val="0"/>
      <w:marTop w:val="0"/>
      <w:marBottom w:val="0"/>
      <w:divBdr>
        <w:top w:val="none" w:sz="0" w:space="0" w:color="auto"/>
        <w:left w:val="none" w:sz="0" w:space="0" w:color="auto"/>
        <w:bottom w:val="none" w:sz="0" w:space="0" w:color="auto"/>
        <w:right w:val="none" w:sz="0" w:space="0" w:color="auto"/>
      </w:divBdr>
    </w:div>
    <w:div w:id="731537343">
      <w:bodyDiv w:val="1"/>
      <w:marLeft w:val="0"/>
      <w:marRight w:val="0"/>
      <w:marTop w:val="0"/>
      <w:marBottom w:val="0"/>
      <w:divBdr>
        <w:top w:val="none" w:sz="0" w:space="0" w:color="auto"/>
        <w:left w:val="none" w:sz="0" w:space="0" w:color="auto"/>
        <w:bottom w:val="none" w:sz="0" w:space="0" w:color="auto"/>
        <w:right w:val="none" w:sz="0" w:space="0" w:color="auto"/>
      </w:divBdr>
    </w:div>
    <w:div w:id="731579779">
      <w:bodyDiv w:val="1"/>
      <w:marLeft w:val="0"/>
      <w:marRight w:val="0"/>
      <w:marTop w:val="0"/>
      <w:marBottom w:val="0"/>
      <w:divBdr>
        <w:top w:val="none" w:sz="0" w:space="0" w:color="auto"/>
        <w:left w:val="none" w:sz="0" w:space="0" w:color="auto"/>
        <w:bottom w:val="none" w:sz="0" w:space="0" w:color="auto"/>
        <w:right w:val="none" w:sz="0" w:space="0" w:color="auto"/>
      </w:divBdr>
    </w:div>
    <w:div w:id="731586426">
      <w:bodyDiv w:val="1"/>
      <w:marLeft w:val="0"/>
      <w:marRight w:val="0"/>
      <w:marTop w:val="0"/>
      <w:marBottom w:val="0"/>
      <w:divBdr>
        <w:top w:val="none" w:sz="0" w:space="0" w:color="auto"/>
        <w:left w:val="none" w:sz="0" w:space="0" w:color="auto"/>
        <w:bottom w:val="none" w:sz="0" w:space="0" w:color="auto"/>
        <w:right w:val="none" w:sz="0" w:space="0" w:color="auto"/>
      </w:divBdr>
    </w:div>
    <w:div w:id="731805996">
      <w:bodyDiv w:val="1"/>
      <w:marLeft w:val="0"/>
      <w:marRight w:val="0"/>
      <w:marTop w:val="0"/>
      <w:marBottom w:val="0"/>
      <w:divBdr>
        <w:top w:val="none" w:sz="0" w:space="0" w:color="auto"/>
        <w:left w:val="none" w:sz="0" w:space="0" w:color="auto"/>
        <w:bottom w:val="none" w:sz="0" w:space="0" w:color="auto"/>
        <w:right w:val="none" w:sz="0" w:space="0" w:color="auto"/>
      </w:divBdr>
    </w:div>
    <w:div w:id="731999957">
      <w:bodyDiv w:val="1"/>
      <w:marLeft w:val="0"/>
      <w:marRight w:val="0"/>
      <w:marTop w:val="0"/>
      <w:marBottom w:val="0"/>
      <w:divBdr>
        <w:top w:val="none" w:sz="0" w:space="0" w:color="auto"/>
        <w:left w:val="none" w:sz="0" w:space="0" w:color="auto"/>
        <w:bottom w:val="none" w:sz="0" w:space="0" w:color="auto"/>
        <w:right w:val="none" w:sz="0" w:space="0" w:color="auto"/>
      </w:divBdr>
    </w:div>
    <w:div w:id="732043366">
      <w:bodyDiv w:val="1"/>
      <w:marLeft w:val="0"/>
      <w:marRight w:val="0"/>
      <w:marTop w:val="0"/>
      <w:marBottom w:val="0"/>
      <w:divBdr>
        <w:top w:val="none" w:sz="0" w:space="0" w:color="auto"/>
        <w:left w:val="none" w:sz="0" w:space="0" w:color="auto"/>
        <w:bottom w:val="none" w:sz="0" w:space="0" w:color="auto"/>
        <w:right w:val="none" w:sz="0" w:space="0" w:color="auto"/>
      </w:divBdr>
    </w:div>
    <w:div w:id="732776333">
      <w:bodyDiv w:val="1"/>
      <w:marLeft w:val="0"/>
      <w:marRight w:val="0"/>
      <w:marTop w:val="0"/>
      <w:marBottom w:val="0"/>
      <w:divBdr>
        <w:top w:val="none" w:sz="0" w:space="0" w:color="auto"/>
        <w:left w:val="none" w:sz="0" w:space="0" w:color="auto"/>
        <w:bottom w:val="none" w:sz="0" w:space="0" w:color="auto"/>
        <w:right w:val="none" w:sz="0" w:space="0" w:color="auto"/>
      </w:divBdr>
    </w:div>
    <w:div w:id="732968664">
      <w:bodyDiv w:val="1"/>
      <w:marLeft w:val="0"/>
      <w:marRight w:val="0"/>
      <w:marTop w:val="0"/>
      <w:marBottom w:val="0"/>
      <w:divBdr>
        <w:top w:val="none" w:sz="0" w:space="0" w:color="auto"/>
        <w:left w:val="none" w:sz="0" w:space="0" w:color="auto"/>
        <w:bottom w:val="none" w:sz="0" w:space="0" w:color="auto"/>
        <w:right w:val="none" w:sz="0" w:space="0" w:color="auto"/>
      </w:divBdr>
    </w:div>
    <w:div w:id="733092039">
      <w:bodyDiv w:val="1"/>
      <w:marLeft w:val="0"/>
      <w:marRight w:val="0"/>
      <w:marTop w:val="0"/>
      <w:marBottom w:val="0"/>
      <w:divBdr>
        <w:top w:val="none" w:sz="0" w:space="0" w:color="auto"/>
        <w:left w:val="none" w:sz="0" w:space="0" w:color="auto"/>
        <w:bottom w:val="none" w:sz="0" w:space="0" w:color="auto"/>
        <w:right w:val="none" w:sz="0" w:space="0" w:color="auto"/>
      </w:divBdr>
    </w:div>
    <w:div w:id="733507529">
      <w:bodyDiv w:val="1"/>
      <w:marLeft w:val="0"/>
      <w:marRight w:val="0"/>
      <w:marTop w:val="0"/>
      <w:marBottom w:val="0"/>
      <w:divBdr>
        <w:top w:val="none" w:sz="0" w:space="0" w:color="auto"/>
        <w:left w:val="none" w:sz="0" w:space="0" w:color="auto"/>
        <w:bottom w:val="none" w:sz="0" w:space="0" w:color="auto"/>
        <w:right w:val="none" w:sz="0" w:space="0" w:color="auto"/>
      </w:divBdr>
    </w:div>
    <w:div w:id="733703803">
      <w:bodyDiv w:val="1"/>
      <w:marLeft w:val="0"/>
      <w:marRight w:val="0"/>
      <w:marTop w:val="0"/>
      <w:marBottom w:val="0"/>
      <w:divBdr>
        <w:top w:val="none" w:sz="0" w:space="0" w:color="auto"/>
        <w:left w:val="none" w:sz="0" w:space="0" w:color="auto"/>
        <w:bottom w:val="none" w:sz="0" w:space="0" w:color="auto"/>
        <w:right w:val="none" w:sz="0" w:space="0" w:color="auto"/>
      </w:divBdr>
    </w:div>
    <w:div w:id="733965800">
      <w:bodyDiv w:val="1"/>
      <w:marLeft w:val="0"/>
      <w:marRight w:val="0"/>
      <w:marTop w:val="0"/>
      <w:marBottom w:val="0"/>
      <w:divBdr>
        <w:top w:val="none" w:sz="0" w:space="0" w:color="auto"/>
        <w:left w:val="none" w:sz="0" w:space="0" w:color="auto"/>
        <w:bottom w:val="none" w:sz="0" w:space="0" w:color="auto"/>
        <w:right w:val="none" w:sz="0" w:space="0" w:color="auto"/>
      </w:divBdr>
    </w:div>
    <w:div w:id="734625654">
      <w:bodyDiv w:val="1"/>
      <w:marLeft w:val="0"/>
      <w:marRight w:val="0"/>
      <w:marTop w:val="0"/>
      <w:marBottom w:val="0"/>
      <w:divBdr>
        <w:top w:val="none" w:sz="0" w:space="0" w:color="auto"/>
        <w:left w:val="none" w:sz="0" w:space="0" w:color="auto"/>
        <w:bottom w:val="none" w:sz="0" w:space="0" w:color="auto"/>
        <w:right w:val="none" w:sz="0" w:space="0" w:color="auto"/>
      </w:divBdr>
    </w:div>
    <w:div w:id="735126981">
      <w:bodyDiv w:val="1"/>
      <w:marLeft w:val="0"/>
      <w:marRight w:val="0"/>
      <w:marTop w:val="0"/>
      <w:marBottom w:val="0"/>
      <w:divBdr>
        <w:top w:val="none" w:sz="0" w:space="0" w:color="auto"/>
        <w:left w:val="none" w:sz="0" w:space="0" w:color="auto"/>
        <w:bottom w:val="none" w:sz="0" w:space="0" w:color="auto"/>
        <w:right w:val="none" w:sz="0" w:space="0" w:color="auto"/>
      </w:divBdr>
    </w:div>
    <w:div w:id="735205571">
      <w:bodyDiv w:val="1"/>
      <w:marLeft w:val="0"/>
      <w:marRight w:val="0"/>
      <w:marTop w:val="0"/>
      <w:marBottom w:val="0"/>
      <w:divBdr>
        <w:top w:val="none" w:sz="0" w:space="0" w:color="auto"/>
        <w:left w:val="none" w:sz="0" w:space="0" w:color="auto"/>
        <w:bottom w:val="none" w:sz="0" w:space="0" w:color="auto"/>
        <w:right w:val="none" w:sz="0" w:space="0" w:color="auto"/>
      </w:divBdr>
    </w:div>
    <w:div w:id="735786282">
      <w:bodyDiv w:val="1"/>
      <w:marLeft w:val="0"/>
      <w:marRight w:val="0"/>
      <w:marTop w:val="0"/>
      <w:marBottom w:val="0"/>
      <w:divBdr>
        <w:top w:val="none" w:sz="0" w:space="0" w:color="auto"/>
        <w:left w:val="none" w:sz="0" w:space="0" w:color="auto"/>
        <w:bottom w:val="none" w:sz="0" w:space="0" w:color="auto"/>
        <w:right w:val="none" w:sz="0" w:space="0" w:color="auto"/>
      </w:divBdr>
    </w:div>
    <w:div w:id="735930945">
      <w:bodyDiv w:val="1"/>
      <w:marLeft w:val="0"/>
      <w:marRight w:val="0"/>
      <w:marTop w:val="0"/>
      <w:marBottom w:val="0"/>
      <w:divBdr>
        <w:top w:val="none" w:sz="0" w:space="0" w:color="auto"/>
        <w:left w:val="none" w:sz="0" w:space="0" w:color="auto"/>
        <w:bottom w:val="none" w:sz="0" w:space="0" w:color="auto"/>
        <w:right w:val="none" w:sz="0" w:space="0" w:color="auto"/>
      </w:divBdr>
    </w:div>
    <w:div w:id="735975008">
      <w:bodyDiv w:val="1"/>
      <w:marLeft w:val="0"/>
      <w:marRight w:val="0"/>
      <w:marTop w:val="0"/>
      <w:marBottom w:val="0"/>
      <w:divBdr>
        <w:top w:val="none" w:sz="0" w:space="0" w:color="auto"/>
        <w:left w:val="none" w:sz="0" w:space="0" w:color="auto"/>
        <w:bottom w:val="none" w:sz="0" w:space="0" w:color="auto"/>
        <w:right w:val="none" w:sz="0" w:space="0" w:color="auto"/>
      </w:divBdr>
    </w:div>
    <w:div w:id="736435898">
      <w:bodyDiv w:val="1"/>
      <w:marLeft w:val="0"/>
      <w:marRight w:val="0"/>
      <w:marTop w:val="0"/>
      <w:marBottom w:val="0"/>
      <w:divBdr>
        <w:top w:val="none" w:sz="0" w:space="0" w:color="auto"/>
        <w:left w:val="none" w:sz="0" w:space="0" w:color="auto"/>
        <w:bottom w:val="none" w:sz="0" w:space="0" w:color="auto"/>
        <w:right w:val="none" w:sz="0" w:space="0" w:color="auto"/>
      </w:divBdr>
    </w:div>
    <w:div w:id="736585882">
      <w:bodyDiv w:val="1"/>
      <w:marLeft w:val="0"/>
      <w:marRight w:val="0"/>
      <w:marTop w:val="0"/>
      <w:marBottom w:val="0"/>
      <w:divBdr>
        <w:top w:val="none" w:sz="0" w:space="0" w:color="auto"/>
        <w:left w:val="none" w:sz="0" w:space="0" w:color="auto"/>
        <w:bottom w:val="none" w:sz="0" w:space="0" w:color="auto"/>
        <w:right w:val="none" w:sz="0" w:space="0" w:color="auto"/>
      </w:divBdr>
    </w:div>
    <w:div w:id="736587298">
      <w:bodyDiv w:val="1"/>
      <w:marLeft w:val="0"/>
      <w:marRight w:val="0"/>
      <w:marTop w:val="0"/>
      <w:marBottom w:val="0"/>
      <w:divBdr>
        <w:top w:val="none" w:sz="0" w:space="0" w:color="auto"/>
        <w:left w:val="none" w:sz="0" w:space="0" w:color="auto"/>
        <w:bottom w:val="none" w:sz="0" w:space="0" w:color="auto"/>
        <w:right w:val="none" w:sz="0" w:space="0" w:color="auto"/>
      </w:divBdr>
    </w:div>
    <w:div w:id="737822052">
      <w:bodyDiv w:val="1"/>
      <w:marLeft w:val="0"/>
      <w:marRight w:val="0"/>
      <w:marTop w:val="0"/>
      <w:marBottom w:val="0"/>
      <w:divBdr>
        <w:top w:val="none" w:sz="0" w:space="0" w:color="auto"/>
        <w:left w:val="none" w:sz="0" w:space="0" w:color="auto"/>
        <w:bottom w:val="none" w:sz="0" w:space="0" w:color="auto"/>
        <w:right w:val="none" w:sz="0" w:space="0" w:color="auto"/>
      </w:divBdr>
    </w:div>
    <w:div w:id="738210919">
      <w:bodyDiv w:val="1"/>
      <w:marLeft w:val="0"/>
      <w:marRight w:val="0"/>
      <w:marTop w:val="0"/>
      <w:marBottom w:val="0"/>
      <w:divBdr>
        <w:top w:val="none" w:sz="0" w:space="0" w:color="auto"/>
        <w:left w:val="none" w:sz="0" w:space="0" w:color="auto"/>
        <w:bottom w:val="none" w:sz="0" w:space="0" w:color="auto"/>
        <w:right w:val="none" w:sz="0" w:space="0" w:color="auto"/>
      </w:divBdr>
    </w:div>
    <w:div w:id="738291011">
      <w:bodyDiv w:val="1"/>
      <w:marLeft w:val="0"/>
      <w:marRight w:val="0"/>
      <w:marTop w:val="0"/>
      <w:marBottom w:val="0"/>
      <w:divBdr>
        <w:top w:val="none" w:sz="0" w:space="0" w:color="auto"/>
        <w:left w:val="none" w:sz="0" w:space="0" w:color="auto"/>
        <w:bottom w:val="none" w:sz="0" w:space="0" w:color="auto"/>
        <w:right w:val="none" w:sz="0" w:space="0" w:color="auto"/>
      </w:divBdr>
    </w:div>
    <w:div w:id="738332771">
      <w:bodyDiv w:val="1"/>
      <w:marLeft w:val="0"/>
      <w:marRight w:val="0"/>
      <w:marTop w:val="0"/>
      <w:marBottom w:val="0"/>
      <w:divBdr>
        <w:top w:val="none" w:sz="0" w:space="0" w:color="auto"/>
        <w:left w:val="none" w:sz="0" w:space="0" w:color="auto"/>
        <w:bottom w:val="none" w:sz="0" w:space="0" w:color="auto"/>
        <w:right w:val="none" w:sz="0" w:space="0" w:color="auto"/>
      </w:divBdr>
    </w:div>
    <w:div w:id="738939195">
      <w:bodyDiv w:val="1"/>
      <w:marLeft w:val="0"/>
      <w:marRight w:val="0"/>
      <w:marTop w:val="0"/>
      <w:marBottom w:val="0"/>
      <w:divBdr>
        <w:top w:val="none" w:sz="0" w:space="0" w:color="auto"/>
        <w:left w:val="none" w:sz="0" w:space="0" w:color="auto"/>
        <w:bottom w:val="none" w:sz="0" w:space="0" w:color="auto"/>
        <w:right w:val="none" w:sz="0" w:space="0" w:color="auto"/>
      </w:divBdr>
    </w:div>
    <w:div w:id="738986134">
      <w:bodyDiv w:val="1"/>
      <w:marLeft w:val="0"/>
      <w:marRight w:val="0"/>
      <w:marTop w:val="0"/>
      <w:marBottom w:val="0"/>
      <w:divBdr>
        <w:top w:val="none" w:sz="0" w:space="0" w:color="auto"/>
        <w:left w:val="none" w:sz="0" w:space="0" w:color="auto"/>
        <w:bottom w:val="none" w:sz="0" w:space="0" w:color="auto"/>
        <w:right w:val="none" w:sz="0" w:space="0" w:color="auto"/>
      </w:divBdr>
    </w:div>
    <w:div w:id="739329869">
      <w:bodyDiv w:val="1"/>
      <w:marLeft w:val="0"/>
      <w:marRight w:val="0"/>
      <w:marTop w:val="0"/>
      <w:marBottom w:val="0"/>
      <w:divBdr>
        <w:top w:val="none" w:sz="0" w:space="0" w:color="auto"/>
        <w:left w:val="none" w:sz="0" w:space="0" w:color="auto"/>
        <w:bottom w:val="none" w:sz="0" w:space="0" w:color="auto"/>
        <w:right w:val="none" w:sz="0" w:space="0" w:color="auto"/>
      </w:divBdr>
    </w:div>
    <w:div w:id="740057642">
      <w:bodyDiv w:val="1"/>
      <w:marLeft w:val="0"/>
      <w:marRight w:val="0"/>
      <w:marTop w:val="0"/>
      <w:marBottom w:val="0"/>
      <w:divBdr>
        <w:top w:val="none" w:sz="0" w:space="0" w:color="auto"/>
        <w:left w:val="none" w:sz="0" w:space="0" w:color="auto"/>
        <w:bottom w:val="none" w:sz="0" w:space="0" w:color="auto"/>
        <w:right w:val="none" w:sz="0" w:space="0" w:color="auto"/>
      </w:divBdr>
    </w:div>
    <w:div w:id="740297934">
      <w:bodyDiv w:val="1"/>
      <w:marLeft w:val="0"/>
      <w:marRight w:val="0"/>
      <w:marTop w:val="0"/>
      <w:marBottom w:val="0"/>
      <w:divBdr>
        <w:top w:val="none" w:sz="0" w:space="0" w:color="auto"/>
        <w:left w:val="none" w:sz="0" w:space="0" w:color="auto"/>
        <w:bottom w:val="none" w:sz="0" w:space="0" w:color="auto"/>
        <w:right w:val="none" w:sz="0" w:space="0" w:color="auto"/>
      </w:divBdr>
    </w:div>
    <w:div w:id="741099032">
      <w:bodyDiv w:val="1"/>
      <w:marLeft w:val="0"/>
      <w:marRight w:val="0"/>
      <w:marTop w:val="0"/>
      <w:marBottom w:val="0"/>
      <w:divBdr>
        <w:top w:val="none" w:sz="0" w:space="0" w:color="auto"/>
        <w:left w:val="none" w:sz="0" w:space="0" w:color="auto"/>
        <w:bottom w:val="none" w:sz="0" w:space="0" w:color="auto"/>
        <w:right w:val="none" w:sz="0" w:space="0" w:color="auto"/>
      </w:divBdr>
    </w:div>
    <w:div w:id="741147868">
      <w:bodyDiv w:val="1"/>
      <w:marLeft w:val="0"/>
      <w:marRight w:val="0"/>
      <w:marTop w:val="0"/>
      <w:marBottom w:val="0"/>
      <w:divBdr>
        <w:top w:val="none" w:sz="0" w:space="0" w:color="auto"/>
        <w:left w:val="none" w:sz="0" w:space="0" w:color="auto"/>
        <w:bottom w:val="none" w:sz="0" w:space="0" w:color="auto"/>
        <w:right w:val="none" w:sz="0" w:space="0" w:color="auto"/>
      </w:divBdr>
    </w:div>
    <w:div w:id="741412370">
      <w:bodyDiv w:val="1"/>
      <w:marLeft w:val="0"/>
      <w:marRight w:val="0"/>
      <w:marTop w:val="0"/>
      <w:marBottom w:val="0"/>
      <w:divBdr>
        <w:top w:val="none" w:sz="0" w:space="0" w:color="auto"/>
        <w:left w:val="none" w:sz="0" w:space="0" w:color="auto"/>
        <w:bottom w:val="none" w:sz="0" w:space="0" w:color="auto"/>
        <w:right w:val="none" w:sz="0" w:space="0" w:color="auto"/>
      </w:divBdr>
    </w:div>
    <w:div w:id="741560463">
      <w:bodyDiv w:val="1"/>
      <w:marLeft w:val="0"/>
      <w:marRight w:val="0"/>
      <w:marTop w:val="0"/>
      <w:marBottom w:val="0"/>
      <w:divBdr>
        <w:top w:val="none" w:sz="0" w:space="0" w:color="auto"/>
        <w:left w:val="none" w:sz="0" w:space="0" w:color="auto"/>
        <w:bottom w:val="none" w:sz="0" w:space="0" w:color="auto"/>
        <w:right w:val="none" w:sz="0" w:space="0" w:color="auto"/>
      </w:divBdr>
    </w:div>
    <w:div w:id="741758185">
      <w:bodyDiv w:val="1"/>
      <w:marLeft w:val="0"/>
      <w:marRight w:val="0"/>
      <w:marTop w:val="0"/>
      <w:marBottom w:val="0"/>
      <w:divBdr>
        <w:top w:val="none" w:sz="0" w:space="0" w:color="auto"/>
        <w:left w:val="none" w:sz="0" w:space="0" w:color="auto"/>
        <w:bottom w:val="none" w:sz="0" w:space="0" w:color="auto"/>
        <w:right w:val="none" w:sz="0" w:space="0" w:color="auto"/>
      </w:divBdr>
    </w:div>
    <w:div w:id="741803427">
      <w:bodyDiv w:val="1"/>
      <w:marLeft w:val="0"/>
      <w:marRight w:val="0"/>
      <w:marTop w:val="0"/>
      <w:marBottom w:val="0"/>
      <w:divBdr>
        <w:top w:val="none" w:sz="0" w:space="0" w:color="auto"/>
        <w:left w:val="none" w:sz="0" w:space="0" w:color="auto"/>
        <w:bottom w:val="none" w:sz="0" w:space="0" w:color="auto"/>
        <w:right w:val="none" w:sz="0" w:space="0" w:color="auto"/>
      </w:divBdr>
    </w:div>
    <w:div w:id="741950583">
      <w:bodyDiv w:val="1"/>
      <w:marLeft w:val="0"/>
      <w:marRight w:val="0"/>
      <w:marTop w:val="0"/>
      <w:marBottom w:val="0"/>
      <w:divBdr>
        <w:top w:val="none" w:sz="0" w:space="0" w:color="auto"/>
        <w:left w:val="none" w:sz="0" w:space="0" w:color="auto"/>
        <w:bottom w:val="none" w:sz="0" w:space="0" w:color="auto"/>
        <w:right w:val="none" w:sz="0" w:space="0" w:color="auto"/>
      </w:divBdr>
    </w:div>
    <w:div w:id="742140686">
      <w:bodyDiv w:val="1"/>
      <w:marLeft w:val="0"/>
      <w:marRight w:val="0"/>
      <w:marTop w:val="0"/>
      <w:marBottom w:val="0"/>
      <w:divBdr>
        <w:top w:val="none" w:sz="0" w:space="0" w:color="auto"/>
        <w:left w:val="none" w:sz="0" w:space="0" w:color="auto"/>
        <w:bottom w:val="none" w:sz="0" w:space="0" w:color="auto"/>
        <w:right w:val="none" w:sz="0" w:space="0" w:color="auto"/>
      </w:divBdr>
    </w:div>
    <w:div w:id="743063682">
      <w:bodyDiv w:val="1"/>
      <w:marLeft w:val="0"/>
      <w:marRight w:val="0"/>
      <w:marTop w:val="0"/>
      <w:marBottom w:val="0"/>
      <w:divBdr>
        <w:top w:val="none" w:sz="0" w:space="0" w:color="auto"/>
        <w:left w:val="none" w:sz="0" w:space="0" w:color="auto"/>
        <w:bottom w:val="none" w:sz="0" w:space="0" w:color="auto"/>
        <w:right w:val="none" w:sz="0" w:space="0" w:color="auto"/>
      </w:divBdr>
    </w:div>
    <w:div w:id="743457473">
      <w:bodyDiv w:val="1"/>
      <w:marLeft w:val="0"/>
      <w:marRight w:val="0"/>
      <w:marTop w:val="0"/>
      <w:marBottom w:val="0"/>
      <w:divBdr>
        <w:top w:val="none" w:sz="0" w:space="0" w:color="auto"/>
        <w:left w:val="none" w:sz="0" w:space="0" w:color="auto"/>
        <w:bottom w:val="none" w:sz="0" w:space="0" w:color="auto"/>
        <w:right w:val="none" w:sz="0" w:space="0" w:color="auto"/>
      </w:divBdr>
    </w:div>
    <w:div w:id="744036685">
      <w:bodyDiv w:val="1"/>
      <w:marLeft w:val="0"/>
      <w:marRight w:val="0"/>
      <w:marTop w:val="0"/>
      <w:marBottom w:val="0"/>
      <w:divBdr>
        <w:top w:val="none" w:sz="0" w:space="0" w:color="auto"/>
        <w:left w:val="none" w:sz="0" w:space="0" w:color="auto"/>
        <w:bottom w:val="none" w:sz="0" w:space="0" w:color="auto"/>
        <w:right w:val="none" w:sz="0" w:space="0" w:color="auto"/>
      </w:divBdr>
    </w:div>
    <w:div w:id="744567354">
      <w:bodyDiv w:val="1"/>
      <w:marLeft w:val="0"/>
      <w:marRight w:val="0"/>
      <w:marTop w:val="0"/>
      <w:marBottom w:val="0"/>
      <w:divBdr>
        <w:top w:val="none" w:sz="0" w:space="0" w:color="auto"/>
        <w:left w:val="none" w:sz="0" w:space="0" w:color="auto"/>
        <w:bottom w:val="none" w:sz="0" w:space="0" w:color="auto"/>
        <w:right w:val="none" w:sz="0" w:space="0" w:color="auto"/>
      </w:divBdr>
    </w:div>
    <w:div w:id="744686831">
      <w:bodyDiv w:val="1"/>
      <w:marLeft w:val="0"/>
      <w:marRight w:val="0"/>
      <w:marTop w:val="0"/>
      <w:marBottom w:val="0"/>
      <w:divBdr>
        <w:top w:val="none" w:sz="0" w:space="0" w:color="auto"/>
        <w:left w:val="none" w:sz="0" w:space="0" w:color="auto"/>
        <w:bottom w:val="none" w:sz="0" w:space="0" w:color="auto"/>
        <w:right w:val="none" w:sz="0" w:space="0" w:color="auto"/>
      </w:divBdr>
    </w:div>
    <w:div w:id="745036263">
      <w:bodyDiv w:val="1"/>
      <w:marLeft w:val="0"/>
      <w:marRight w:val="0"/>
      <w:marTop w:val="0"/>
      <w:marBottom w:val="0"/>
      <w:divBdr>
        <w:top w:val="none" w:sz="0" w:space="0" w:color="auto"/>
        <w:left w:val="none" w:sz="0" w:space="0" w:color="auto"/>
        <w:bottom w:val="none" w:sz="0" w:space="0" w:color="auto"/>
        <w:right w:val="none" w:sz="0" w:space="0" w:color="auto"/>
      </w:divBdr>
    </w:div>
    <w:div w:id="745229807">
      <w:bodyDiv w:val="1"/>
      <w:marLeft w:val="0"/>
      <w:marRight w:val="0"/>
      <w:marTop w:val="0"/>
      <w:marBottom w:val="0"/>
      <w:divBdr>
        <w:top w:val="none" w:sz="0" w:space="0" w:color="auto"/>
        <w:left w:val="none" w:sz="0" w:space="0" w:color="auto"/>
        <w:bottom w:val="none" w:sz="0" w:space="0" w:color="auto"/>
        <w:right w:val="none" w:sz="0" w:space="0" w:color="auto"/>
      </w:divBdr>
    </w:div>
    <w:div w:id="745883386">
      <w:bodyDiv w:val="1"/>
      <w:marLeft w:val="0"/>
      <w:marRight w:val="0"/>
      <w:marTop w:val="0"/>
      <w:marBottom w:val="0"/>
      <w:divBdr>
        <w:top w:val="none" w:sz="0" w:space="0" w:color="auto"/>
        <w:left w:val="none" w:sz="0" w:space="0" w:color="auto"/>
        <w:bottom w:val="none" w:sz="0" w:space="0" w:color="auto"/>
        <w:right w:val="none" w:sz="0" w:space="0" w:color="auto"/>
      </w:divBdr>
    </w:div>
    <w:div w:id="746002117">
      <w:bodyDiv w:val="1"/>
      <w:marLeft w:val="0"/>
      <w:marRight w:val="0"/>
      <w:marTop w:val="0"/>
      <w:marBottom w:val="0"/>
      <w:divBdr>
        <w:top w:val="none" w:sz="0" w:space="0" w:color="auto"/>
        <w:left w:val="none" w:sz="0" w:space="0" w:color="auto"/>
        <w:bottom w:val="none" w:sz="0" w:space="0" w:color="auto"/>
        <w:right w:val="none" w:sz="0" w:space="0" w:color="auto"/>
      </w:divBdr>
    </w:div>
    <w:div w:id="746925953">
      <w:bodyDiv w:val="1"/>
      <w:marLeft w:val="0"/>
      <w:marRight w:val="0"/>
      <w:marTop w:val="0"/>
      <w:marBottom w:val="0"/>
      <w:divBdr>
        <w:top w:val="none" w:sz="0" w:space="0" w:color="auto"/>
        <w:left w:val="none" w:sz="0" w:space="0" w:color="auto"/>
        <w:bottom w:val="none" w:sz="0" w:space="0" w:color="auto"/>
        <w:right w:val="none" w:sz="0" w:space="0" w:color="auto"/>
      </w:divBdr>
    </w:div>
    <w:div w:id="747076908">
      <w:bodyDiv w:val="1"/>
      <w:marLeft w:val="0"/>
      <w:marRight w:val="0"/>
      <w:marTop w:val="0"/>
      <w:marBottom w:val="0"/>
      <w:divBdr>
        <w:top w:val="none" w:sz="0" w:space="0" w:color="auto"/>
        <w:left w:val="none" w:sz="0" w:space="0" w:color="auto"/>
        <w:bottom w:val="none" w:sz="0" w:space="0" w:color="auto"/>
        <w:right w:val="none" w:sz="0" w:space="0" w:color="auto"/>
      </w:divBdr>
    </w:div>
    <w:div w:id="747116679">
      <w:bodyDiv w:val="1"/>
      <w:marLeft w:val="0"/>
      <w:marRight w:val="0"/>
      <w:marTop w:val="0"/>
      <w:marBottom w:val="0"/>
      <w:divBdr>
        <w:top w:val="none" w:sz="0" w:space="0" w:color="auto"/>
        <w:left w:val="none" w:sz="0" w:space="0" w:color="auto"/>
        <w:bottom w:val="none" w:sz="0" w:space="0" w:color="auto"/>
        <w:right w:val="none" w:sz="0" w:space="0" w:color="auto"/>
      </w:divBdr>
    </w:div>
    <w:div w:id="747458866">
      <w:bodyDiv w:val="1"/>
      <w:marLeft w:val="0"/>
      <w:marRight w:val="0"/>
      <w:marTop w:val="0"/>
      <w:marBottom w:val="0"/>
      <w:divBdr>
        <w:top w:val="none" w:sz="0" w:space="0" w:color="auto"/>
        <w:left w:val="none" w:sz="0" w:space="0" w:color="auto"/>
        <w:bottom w:val="none" w:sz="0" w:space="0" w:color="auto"/>
        <w:right w:val="none" w:sz="0" w:space="0" w:color="auto"/>
      </w:divBdr>
    </w:div>
    <w:div w:id="747460351">
      <w:bodyDiv w:val="1"/>
      <w:marLeft w:val="0"/>
      <w:marRight w:val="0"/>
      <w:marTop w:val="0"/>
      <w:marBottom w:val="0"/>
      <w:divBdr>
        <w:top w:val="none" w:sz="0" w:space="0" w:color="auto"/>
        <w:left w:val="none" w:sz="0" w:space="0" w:color="auto"/>
        <w:bottom w:val="none" w:sz="0" w:space="0" w:color="auto"/>
        <w:right w:val="none" w:sz="0" w:space="0" w:color="auto"/>
      </w:divBdr>
    </w:div>
    <w:div w:id="747923360">
      <w:bodyDiv w:val="1"/>
      <w:marLeft w:val="0"/>
      <w:marRight w:val="0"/>
      <w:marTop w:val="0"/>
      <w:marBottom w:val="0"/>
      <w:divBdr>
        <w:top w:val="none" w:sz="0" w:space="0" w:color="auto"/>
        <w:left w:val="none" w:sz="0" w:space="0" w:color="auto"/>
        <w:bottom w:val="none" w:sz="0" w:space="0" w:color="auto"/>
        <w:right w:val="none" w:sz="0" w:space="0" w:color="auto"/>
      </w:divBdr>
    </w:div>
    <w:div w:id="748312595">
      <w:bodyDiv w:val="1"/>
      <w:marLeft w:val="0"/>
      <w:marRight w:val="0"/>
      <w:marTop w:val="0"/>
      <w:marBottom w:val="0"/>
      <w:divBdr>
        <w:top w:val="none" w:sz="0" w:space="0" w:color="auto"/>
        <w:left w:val="none" w:sz="0" w:space="0" w:color="auto"/>
        <w:bottom w:val="none" w:sz="0" w:space="0" w:color="auto"/>
        <w:right w:val="none" w:sz="0" w:space="0" w:color="auto"/>
      </w:divBdr>
    </w:div>
    <w:div w:id="748382171">
      <w:bodyDiv w:val="1"/>
      <w:marLeft w:val="0"/>
      <w:marRight w:val="0"/>
      <w:marTop w:val="0"/>
      <w:marBottom w:val="0"/>
      <w:divBdr>
        <w:top w:val="none" w:sz="0" w:space="0" w:color="auto"/>
        <w:left w:val="none" w:sz="0" w:space="0" w:color="auto"/>
        <w:bottom w:val="none" w:sz="0" w:space="0" w:color="auto"/>
        <w:right w:val="none" w:sz="0" w:space="0" w:color="auto"/>
      </w:divBdr>
    </w:div>
    <w:div w:id="748694326">
      <w:bodyDiv w:val="1"/>
      <w:marLeft w:val="0"/>
      <w:marRight w:val="0"/>
      <w:marTop w:val="0"/>
      <w:marBottom w:val="0"/>
      <w:divBdr>
        <w:top w:val="none" w:sz="0" w:space="0" w:color="auto"/>
        <w:left w:val="none" w:sz="0" w:space="0" w:color="auto"/>
        <w:bottom w:val="none" w:sz="0" w:space="0" w:color="auto"/>
        <w:right w:val="none" w:sz="0" w:space="0" w:color="auto"/>
      </w:divBdr>
    </w:div>
    <w:div w:id="748768517">
      <w:bodyDiv w:val="1"/>
      <w:marLeft w:val="0"/>
      <w:marRight w:val="0"/>
      <w:marTop w:val="0"/>
      <w:marBottom w:val="0"/>
      <w:divBdr>
        <w:top w:val="none" w:sz="0" w:space="0" w:color="auto"/>
        <w:left w:val="none" w:sz="0" w:space="0" w:color="auto"/>
        <w:bottom w:val="none" w:sz="0" w:space="0" w:color="auto"/>
        <w:right w:val="none" w:sz="0" w:space="0" w:color="auto"/>
      </w:divBdr>
    </w:div>
    <w:div w:id="748962909">
      <w:bodyDiv w:val="1"/>
      <w:marLeft w:val="0"/>
      <w:marRight w:val="0"/>
      <w:marTop w:val="0"/>
      <w:marBottom w:val="0"/>
      <w:divBdr>
        <w:top w:val="none" w:sz="0" w:space="0" w:color="auto"/>
        <w:left w:val="none" w:sz="0" w:space="0" w:color="auto"/>
        <w:bottom w:val="none" w:sz="0" w:space="0" w:color="auto"/>
        <w:right w:val="none" w:sz="0" w:space="0" w:color="auto"/>
      </w:divBdr>
    </w:div>
    <w:div w:id="749236088">
      <w:bodyDiv w:val="1"/>
      <w:marLeft w:val="0"/>
      <w:marRight w:val="0"/>
      <w:marTop w:val="0"/>
      <w:marBottom w:val="0"/>
      <w:divBdr>
        <w:top w:val="none" w:sz="0" w:space="0" w:color="auto"/>
        <w:left w:val="none" w:sz="0" w:space="0" w:color="auto"/>
        <w:bottom w:val="none" w:sz="0" w:space="0" w:color="auto"/>
        <w:right w:val="none" w:sz="0" w:space="0" w:color="auto"/>
      </w:divBdr>
    </w:div>
    <w:div w:id="749280367">
      <w:bodyDiv w:val="1"/>
      <w:marLeft w:val="0"/>
      <w:marRight w:val="0"/>
      <w:marTop w:val="0"/>
      <w:marBottom w:val="0"/>
      <w:divBdr>
        <w:top w:val="none" w:sz="0" w:space="0" w:color="auto"/>
        <w:left w:val="none" w:sz="0" w:space="0" w:color="auto"/>
        <w:bottom w:val="none" w:sz="0" w:space="0" w:color="auto"/>
        <w:right w:val="none" w:sz="0" w:space="0" w:color="auto"/>
      </w:divBdr>
    </w:div>
    <w:div w:id="749427430">
      <w:bodyDiv w:val="1"/>
      <w:marLeft w:val="0"/>
      <w:marRight w:val="0"/>
      <w:marTop w:val="0"/>
      <w:marBottom w:val="0"/>
      <w:divBdr>
        <w:top w:val="none" w:sz="0" w:space="0" w:color="auto"/>
        <w:left w:val="none" w:sz="0" w:space="0" w:color="auto"/>
        <w:bottom w:val="none" w:sz="0" w:space="0" w:color="auto"/>
        <w:right w:val="none" w:sz="0" w:space="0" w:color="auto"/>
      </w:divBdr>
    </w:div>
    <w:div w:id="749619692">
      <w:bodyDiv w:val="1"/>
      <w:marLeft w:val="0"/>
      <w:marRight w:val="0"/>
      <w:marTop w:val="0"/>
      <w:marBottom w:val="0"/>
      <w:divBdr>
        <w:top w:val="none" w:sz="0" w:space="0" w:color="auto"/>
        <w:left w:val="none" w:sz="0" w:space="0" w:color="auto"/>
        <w:bottom w:val="none" w:sz="0" w:space="0" w:color="auto"/>
        <w:right w:val="none" w:sz="0" w:space="0" w:color="auto"/>
      </w:divBdr>
    </w:div>
    <w:div w:id="749959769">
      <w:bodyDiv w:val="1"/>
      <w:marLeft w:val="0"/>
      <w:marRight w:val="0"/>
      <w:marTop w:val="0"/>
      <w:marBottom w:val="0"/>
      <w:divBdr>
        <w:top w:val="none" w:sz="0" w:space="0" w:color="auto"/>
        <w:left w:val="none" w:sz="0" w:space="0" w:color="auto"/>
        <w:bottom w:val="none" w:sz="0" w:space="0" w:color="auto"/>
        <w:right w:val="none" w:sz="0" w:space="0" w:color="auto"/>
      </w:divBdr>
    </w:div>
    <w:div w:id="750197266">
      <w:bodyDiv w:val="1"/>
      <w:marLeft w:val="0"/>
      <w:marRight w:val="0"/>
      <w:marTop w:val="0"/>
      <w:marBottom w:val="0"/>
      <w:divBdr>
        <w:top w:val="none" w:sz="0" w:space="0" w:color="auto"/>
        <w:left w:val="none" w:sz="0" w:space="0" w:color="auto"/>
        <w:bottom w:val="none" w:sz="0" w:space="0" w:color="auto"/>
        <w:right w:val="none" w:sz="0" w:space="0" w:color="auto"/>
      </w:divBdr>
    </w:div>
    <w:div w:id="750350490">
      <w:bodyDiv w:val="1"/>
      <w:marLeft w:val="0"/>
      <w:marRight w:val="0"/>
      <w:marTop w:val="0"/>
      <w:marBottom w:val="0"/>
      <w:divBdr>
        <w:top w:val="none" w:sz="0" w:space="0" w:color="auto"/>
        <w:left w:val="none" w:sz="0" w:space="0" w:color="auto"/>
        <w:bottom w:val="none" w:sz="0" w:space="0" w:color="auto"/>
        <w:right w:val="none" w:sz="0" w:space="0" w:color="auto"/>
      </w:divBdr>
    </w:div>
    <w:div w:id="750591120">
      <w:bodyDiv w:val="1"/>
      <w:marLeft w:val="0"/>
      <w:marRight w:val="0"/>
      <w:marTop w:val="0"/>
      <w:marBottom w:val="0"/>
      <w:divBdr>
        <w:top w:val="none" w:sz="0" w:space="0" w:color="auto"/>
        <w:left w:val="none" w:sz="0" w:space="0" w:color="auto"/>
        <w:bottom w:val="none" w:sz="0" w:space="0" w:color="auto"/>
        <w:right w:val="none" w:sz="0" w:space="0" w:color="auto"/>
      </w:divBdr>
    </w:div>
    <w:div w:id="750737235">
      <w:bodyDiv w:val="1"/>
      <w:marLeft w:val="0"/>
      <w:marRight w:val="0"/>
      <w:marTop w:val="0"/>
      <w:marBottom w:val="0"/>
      <w:divBdr>
        <w:top w:val="none" w:sz="0" w:space="0" w:color="auto"/>
        <w:left w:val="none" w:sz="0" w:space="0" w:color="auto"/>
        <w:bottom w:val="none" w:sz="0" w:space="0" w:color="auto"/>
        <w:right w:val="none" w:sz="0" w:space="0" w:color="auto"/>
      </w:divBdr>
    </w:div>
    <w:div w:id="750858007">
      <w:bodyDiv w:val="1"/>
      <w:marLeft w:val="0"/>
      <w:marRight w:val="0"/>
      <w:marTop w:val="0"/>
      <w:marBottom w:val="0"/>
      <w:divBdr>
        <w:top w:val="none" w:sz="0" w:space="0" w:color="auto"/>
        <w:left w:val="none" w:sz="0" w:space="0" w:color="auto"/>
        <w:bottom w:val="none" w:sz="0" w:space="0" w:color="auto"/>
        <w:right w:val="none" w:sz="0" w:space="0" w:color="auto"/>
      </w:divBdr>
    </w:div>
    <w:div w:id="751003856">
      <w:bodyDiv w:val="1"/>
      <w:marLeft w:val="0"/>
      <w:marRight w:val="0"/>
      <w:marTop w:val="0"/>
      <w:marBottom w:val="0"/>
      <w:divBdr>
        <w:top w:val="none" w:sz="0" w:space="0" w:color="auto"/>
        <w:left w:val="none" w:sz="0" w:space="0" w:color="auto"/>
        <w:bottom w:val="none" w:sz="0" w:space="0" w:color="auto"/>
        <w:right w:val="none" w:sz="0" w:space="0" w:color="auto"/>
      </w:divBdr>
    </w:div>
    <w:div w:id="751581535">
      <w:bodyDiv w:val="1"/>
      <w:marLeft w:val="0"/>
      <w:marRight w:val="0"/>
      <w:marTop w:val="0"/>
      <w:marBottom w:val="0"/>
      <w:divBdr>
        <w:top w:val="none" w:sz="0" w:space="0" w:color="auto"/>
        <w:left w:val="none" w:sz="0" w:space="0" w:color="auto"/>
        <w:bottom w:val="none" w:sz="0" w:space="0" w:color="auto"/>
        <w:right w:val="none" w:sz="0" w:space="0" w:color="auto"/>
      </w:divBdr>
    </w:div>
    <w:div w:id="751587388">
      <w:bodyDiv w:val="1"/>
      <w:marLeft w:val="0"/>
      <w:marRight w:val="0"/>
      <w:marTop w:val="0"/>
      <w:marBottom w:val="0"/>
      <w:divBdr>
        <w:top w:val="none" w:sz="0" w:space="0" w:color="auto"/>
        <w:left w:val="none" w:sz="0" w:space="0" w:color="auto"/>
        <w:bottom w:val="none" w:sz="0" w:space="0" w:color="auto"/>
        <w:right w:val="none" w:sz="0" w:space="0" w:color="auto"/>
      </w:divBdr>
    </w:div>
    <w:div w:id="751700734">
      <w:bodyDiv w:val="1"/>
      <w:marLeft w:val="0"/>
      <w:marRight w:val="0"/>
      <w:marTop w:val="0"/>
      <w:marBottom w:val="0"/>
      <w:divBdr>
        <w:top w:val="none" w:sz="0" w:space="0" w:color="auto"/>
        <w:left w:val="none" w:sz="0" w:space="0" w:color="auto"/>
        <w:bottom w:val="none" w:sz="0" w:space="0" w:color="auto"/>
        <w:right w:val="none" w:sz="0" w:space="0" w:color="auto"/>
      </w:divBdr>
    </w:div>
    <w:div w:id="751704190">
      <w:bodyDiv w:val="1"/>
      <w:marLeft w:val="0"/>
      <w:marRight w:val="0"/>
      <w:marTop w:val="0"/>
      <w:marBottom w:val="0"/>
      <w:divBdr>
        <w:top w:val="none" w:sz="0" w:space="0" w:color="auto"/>
        <w:left w:val="none" w:sz="0" w:space="0" w:color="auto"/>
        <w:bottom w:val="none" w:sz="0" w:space="0" w:color="auto"/>
        <w:right w:val="none" w:sz="0" w:space="0" w:color="auto"/>
      </w:divBdr>
    </w:div>
    <w:div w:id="752437968">
      <w:bodyDiv w:val="1"/>
      <w:marLeft w:val="0"/>
      <w:marRight w:val="0"/>
      <w:marTop w:val="0"/>
      <w:marBottom w:val="0"/>
      <w:divBdr>
        <w:top w:val="none" w:sz="0" w:space="0" w:color="auto"/>
        <w:left w:val="none" w:sz="0" w:space="0" w:color="auto"/>
        <w:bottom w:val="none" w:sz="0" w:space="0" w:color="auto"/>
        <w:right w:val="none" w:sz="0" w:space="0" w:color="auto"/>
      </w:divBdr>
    </w:div>
    <w:div w:id="752897018">
      <w:bodyDiv w:val="1"/>
      <w:marLeft w:val="0"/>
      <w:marRight w:val="0"/>
      <w:marTop w:val="0"/>
      <w:marBottom w:val="0"/>
      <w:divBdr>
        <w:top w:val="none" w:sz="0" w:space="0" w:color="auto"/>
        <w:left w:val="none" w:sz="0" w:space="0" w:color="auto"/>
        <w:bottom w:val="none" w:sz="0" w:space="0" w:color="auto"/>
        <w:right w:val="none" w:sz="0" w:space="0" w:color="auto"/>
      </w:divBdr>
    </w:div>
    <w:div w:id="752900342">
      <w:bodyDiv w:val="1"/>
      <w:marLeft w:val="0"/>
      <w:marRight w:val="0"/>
      <w:marTop w:val="0"/>
      <w:marBottom w:val="0"/>
      <w:divBdr>
        <w:top w:val="none" w:sz="0" w:space="0" w:color="auto"/>
        <w:left w:val="none" w:sz="0" w:space="0" w:color="auto"/>
        <w:bottom w:val="none" w:sz="0" w:space="0" w:color="auto"/>
        <w:right w:val="none" w:sz="0" w:space="0" w:color="auto"/>
      </w:divBdr>
    </w:div>
    <w:div w:id="753169460">
      <w:bodyDiv w:val="1"/>
      <w:marLeft w:val="0"/>
      <w:marRight w:val="0"/>
      <w:marTop w:val="0"/>
      <w:marBottom w:val="0"/>
      <w:divBdr>
        <w:top w:val="none" w:sz="0" w:space="0" w:color="auto"/>
        <w:left w:val="none" w:sz="0" w:space="0" w:color="auto"/>
        <w:bottom w:val="none" w:sz="0" w:space="0" w:color="auto"/>
        <w:right w:val="none" w:sz="0" w:space="0" w:color="auto"/>
      </w:divBdr>
    </w:div>
    <w:div w:id="753207208">
      <w:bodyDiv w:val="1"/>
      <w:marLeft w:val="0"/>
      <w:marRight w:val="0"/>
      <w:marTop w:val="0"/>
      <w:marBottom w:val="0"/>
      <w:divBdr>
        <w:top w:val="none" w:sz="0" w:space="0" w:color="auto"/>
        <w:left w:val="none" w:sz="0" w:space="0" w:color="auto"/>
        <w:bottom w:val="none" w:sz="0" w:space="0" w:color="auto"/>
        <w:right w:val="none" w:sz="0" w:space="0" w:color="auto"/>
      </w:divBdr>
    </w:div>
    <w:div w:id="753353367">
      <w:bodyDiv w:val="1"/>
      <w:marLeft w:val="0"/>
      <w:marRight w:val="0"/>
      <w:marTop w:val="0"/>
      <w:marBottom w:val="0"/>
      <w:divBdr>
        <w:top w:val="none" w:sz="0" w:space="0" w:color="auto"/>
        <w:left w:val="none" w:sz="0" w:space="0" w:color="auto"/>
        <w:bottom w:val="none" w:sz="0" w:space="0" w:color="auto"/>
        <w:right w:val="none" w:sz="0" w:space="0" w:color="auto"/>
      </w:divBdr>
    </w:div>
    <w:div w:id="753481090">
      <w:bodyDiv w:val="1"/>
      <w:marLeft w:val="0"/>
      <w:marRight w:val="0"/>
      <w:marTop w:val="0"/>
      <w:marBottom w:val="0"/>
      <w:divBdr>
        <w:top w:val="none" w:sz="0" w:space="0" w:color="auto"/>
        <w:left w:val="none" w:sz="0" w:space="0" w:color="auto"/>
        <w:bottom w:val="none" w:sz="0" w:space="0" w:color="auto"/>
        <w:right w:val="none" w:sz="0" w:space="0" w:color="auto"/>
      </w:divBdr>
    </w:div>
    <w:div w:id="754131035">
      <w:bodyDiv w:val="1"/>
      <w:marLeft w:val="0"/>
      <w:marRight w:val="0"/>
      <w:marTop w:val="0"/>
      <w:marBottom w:val="0"/>
      <w:divBdr>
        <w:top w:val="none" w:sz="0" w:space="0" w:color="auto"/>
        <w:left w:val="none" w:sz="0" w:space="0" w:color="auto"/>
        <w:bottom w:val="none" w:sz="0" w:space="0" w:color="auto"/>
        <w:right w:val="none" w:sz="0" w:space="0" w:color="auto"/>
      </w:divBdr>
    </w:div>
    <w:div w:id="754328753">
      <w:bodyDiv w:val="1"/>
      <w:marLeft w:val="0"/>
      <w:marRight w:val="0"/>
      <w:marTop w:val="0"/>
      <w:marBottom w:val="0"/>
      <w:divBdr>
        <w:top w:val="none" w:sz="0" w:space="0" w:color="auto"/>
        <w:left w:val="none" w:sz="0" w:space="0" w:color="auto"/>
        <w:bottom w:val="none" w:sz="0" w:space="0" w:color="auto"/>
        <w:right w:val="none" w:sz="0" w:space="0" w:color="auto"/>
      </w:divBdr>
    </w:div>
    <w:div w:id="755130864">
      <w:bodyDiv w:val="1"/>
      <w:marLeft w:val="0"/>
      <w:marRight w:val="0"/>
      <w:marTop w:val="0"/>
      <w:marBottom w:val="0"/>
      <w:divBdr>
        <w:top w:val="none" w:sz="0" w:space="0" w:color="auto"/>
        <w:left w:val="none" w:sz="0" w:space="0" w:color="auto"/>
        <w:bottom w:val="none" w:sz="0" w:space="0" w:color="auto"/>
        <w:right w:val="none" w:sz="0" w:space="0" w:color="auto"/>
      </w:divBdr>
    </w:div>
    <w:div w:id="755176722">
      <w:bodyDiv w:val="1"/>
      <w:marLeft w:val="0"/>
      <w:marRight w:val="0"/>
      <w:marTop w:val="0"/>
      <w:marBottom w:val="0"/>
      <w:divBdr>
        <w:top w:val="none" w:sz="0" w:space="0" w:color="auto"/>
        <w:left w:val="none" w:sz="0" w:space="0" w:color="auto"/>
        <w:bottom w:val="none" w:sz="0" w:space="0" w:color="auto"/>
        <w:right w:val="none" w:sz="0" w:space="0" w:color="auto"/>
      </w:divBdr>
    </w:div>
    <w:div w:id="755707012">
      <w:bodyDiv w:val="1"/>
      <w:marLeft w:val="0"/>
      <w:marRight w:val="0"/>
      <w:marTop w:val="0"/>
      <w:marBottom w:val="0"/>
      <w:divBdr>
        <w:top w:val="none" w:sz="0" w:space="0" w:color="auto"/>
        <w:left w:val="none" w:sz="0" w:space="0" w:color="auto"/>
        <w:bottom w:val="none" w:sz="0" w:space="0" w:color="auto"/>
        <w:right w:val="none" w:sz="0" w:space="0" w:color="auto"/>
      </w:divBdr>
    </w:div>
    <w:div w:id="755713354">
      <w:bodyDiv w:val="1"/>
      <w:marLeft w:val="0"/>
      <w:marRight w:val="0"/>
      <w:marTop w:val="0"/>
      <w:marBottom w:val="0"/>
      <w:divBdr>
        <w:top w:val="none" w:sz="0" w:space="0" w:color="auto"/>
        <w:left w:val="none" w:sz="0" w:space="0" w:color="auto"/>
        <w:bottom w:val="none" w:sz="0" w:space="0" w:color="auto"/>
        <w:right w:val="none" w:sz="0" w:space="0" w:color="auto"/>
      </w:divBdr>
    </w:div>
    <w:div w:id="755975756">
      <w:bodyDiv w:val="1"/>
      <w:marLeft w:val="0"/>
      <w:marRight w:val="0"/>
      <w:marTop w:val="0"/>
      <w:marBottom w:val="0"/>
      <w:divBdr>
        <w:top w:val="none" w:sz="0" w:space="0" w:color="auto"/>
        <w:left w:val="none" w:sz="0" w:space="0" w:color="auto"/>
        <w:bottom w:val="none" w:sz="0" w:space="0" w:color="auto"/>
        <w:right w:val="none" w:sz="0" w:space="0" w:color="auto"/>
      </w:divBdr>
    </w:div>
    <w:div w:id="755982278">
      <w:bodyDiv w:val="1"/>
      <w:marLeft w:val="0"/>
      <w:marRight w:val="0"/>
      <w:marTop w:val="0"/>
      <w:marBottom w:val="0"/>
      <w:divBdr>
        <w:top w:val="none" w:sz="0" w:space="0" w:color="auto"/>
        <w:left w:val="none" w:sz="0" w:space="0" w:color="auto"/>
        <w:bottom w:val="none" w:sz="0" w:space="0" w:color="auto"/>
        <w:right w:val="none" w:sz="0" w:space="0" w:color="auto"/>
      </w:divBdr>
    </w:div>
    <w:div w:id="756050418">
      <w:bodyDiv w:val="1"/>
      <w:marLeft w:val="0"/>
      <w:marRight w:val="0"/>
      <w:marTop w:val="0"/>
      <w:marBottom w:val="0"/>
      <w:divBdr>
        <w:top w:val="none" w:sz="0" w:space="0" w:color="auto"/>
        <w:left w:val="none" w:sz="0" w:space="0" w:color="auto"/>
        <w:bottom w:val="none" w:sz="0" w:space="0" w:color="auto"/>
        <w:right w:val="none" w:sz="0" w:space="0" w:color="auto"/>
      </w:divBdr>
    </w:div>
    <w:div w:id="756053996">
      <w:bodyDiv w:val="1"/>
      <w:marLeft w:val="0"/>
      <w:marRight w:val="0"/>
      <w:marTop w:val="0"/>
      <w:marBottom w:val="0"/>
      <w:divBdr>
        <w:top w:val="none" w:sz="0" w:space="0" w:color="auto"/>
        <w:left w:val="none" w:sz="0" w:space="0" w:color="auto"/>
        <w:bottom w:val="none" w:sz="0" w:space="0" w:color="auto"/>
        <w:right w:val="none" w:sz="0" w:space="0" w:color="auto"/>
      </w:divBdr>
    </w:div>
    <w:div w:id="756172730">
      <w:bodyDiv w:val="1"/>
      <w:marLeft w:val="0"/>
      <w:marRight w:val="0"/>
      <w:marTop w:val="0"/>
      <w:marBottom w:val="0"/>
      <w:divBdr>
        <w:top w:val="none" w:sz="0" w:space="0" w:color="auto"/>
        <w:left w:val="none" w:sz="0" w:space="0" w:color="auto"/>
        <w:bottom w:val="none" w:sz="0" w:space="0" w:color="auto"/>
        <w:right w:val="none" w:sz="0" w:space="0" w:color="auto"/>
      </w:divBdr>
    </w:div>
    <w:div w:id="756751109">
      <w:bodyDiv w:val="1"/>
      <w:marLeft w:val="0"/>
      <w:marRight w:val="0"/>
      <w:marTop w:val="0"/>
      <w:marBottom w:val="0"/>
      <w:divBdr>
        <w:top w:val="none" w:sz="0" w:space="0" w:color="auto"/>
        <w:left w:val="none" w:sz="0" w:space="0" w:color="auto"/>
        <w:bottom w:val="none" w:sz="0" w:space="0" w:color="auto"/>
        <w:right w:val="none" w:sz="0" w:space="0" w:color="auto"/>
      </w:divBdr>
    </w:div>
    <w:div w:id="757289387">
      <w:bodyDiv w:val="1"/>
      <w:marLeft w:val="0"/>
      <w:marRight w:val="0"/>
      <w:marTop w:val="0"/>
      <w:marBottom w:val="0"/>
      <w:divBdr>
        <w:top w:val="none" w:sz="0" w:space="0" w:color="auto"/>
        <w:left w:val="none" w:sz="0" w:space="0" w:color="auto"/>
        <w:bottom w:val="none" w:sz="0" w:space="0" w:color="auto"/>
        <w:right w:val="none" w:sz="0" w:space="0" w:color="auto"/>
      </w:divBdr>
    </w:div>
    <w:div w:id="757795328">
      <w:bodyDiv w:val="1"/>
      <w:marLeft w:val="0"/>
      <w:marRight w:val="0"/>
      <w:marTop w:val="0"/>
      <w:marBottom w:val="0"/>
      <w:divBdr>
        <w:top w:val="none" w:sz="0" w:space="0" w:color="auto"/>
        <w:left w:val="none" w:sz="0" w:space="0" w:color="auto"/>
        <w:bottom w:val="none" w:sz="0" w:space="0" w:color="auto"/>
        <w:right w:val="none" w:sz="0" w:space="0" w:color="auto"/>
      </w:divBdr>
    </w:div>
    <w:div w:id="758019318">
      <w:bodyDiv w:val="1"/>
      <w:marLeft w:val="0"/>
      <w:marRight w:val="0"/>
      <w:marTop w:val="0"/>
      <w:marBottom w:val="0"/>
      <w:divBdr>
        <w:top w:val="none" w:sz="0" w:space="0" w:color="auto"/>
        <w:left w:val="none" w:sz="0" w:space="0" w:color="auto"/>
        <w:bottom w:val="none" w:sz="0" w:space="0" w:color="auto"/>
        <w:right w:val="none" w:sz="0" w:space="0" w:color="auto"/>
      </w:divBdr>
    </w:div>
    <w:div w:id="758217383">
      <w:bodyDiv w:val="1"/>
      <w:marLeft w:val="0"/>
      <w:marRight w:val="0"/>
      <w:marTop w:val="0"/>
      <w:marBottom w:val="0"/>
      <w:divBdr>
        <w:top w:val="none" w:sz="0" w:space="0" w:color="auto"/>
        <w:left w:val="none" w:sz="0" w:space="0" w:color="auto"/>
        <w:bottom w:val="none" w:sz="0" w:space="0" w:color="auto"/>
        <w:right w:val="none" w:sz="0" w:space="0" w:color="auto"/>
      </w:divBdr>
    </w:div>
    <w:div w:id="758406060">
      <w:bodyDiv w:val="1"/>
      <w:marLeft w:val="0"/>
      <w:marRight w:val="0"/>
      <w:marTop w:val="0"/>
      <w:marBottom w:val="0"/>
      <w:divBdr>
        <w:top w:val="none" w:sz="0" w:space="0" w:color="auto"/>
        <w:left w:val="none" w:sz="0" w:space="0" w:color="auto"/>
        <w:bottom w:val="none" w:sz="0" w:space="0" w:color="auto"/>
        <w:right w:val="none" w:sz="0" w:space="0" w:color="auto"/>
      </w:divBdr>
    </w:div>
    <w:div w:id="758409743">
      <w:bodyDiv w:val="1"/>
      <w:marLeft w:val="0"/>
      <w:marRight w:val="0"/>
      <w:marTop w:val="0"/>
      <w:marBottom w:val="0"/>
      <w:divBdr>
        <w:top w:val="none" w:sz="0" w:space="0" w:color="auto"/>
        <w:left w:val="none" w:sz="0" w:space="0" w:color="auto"/>
        <w:bottom w:val="none" w:sz="0" w:space="0" w:color="auto"/>
        <w:right w:val="none" w:sz="0" w:space="0" w:color="auto"/>
      </w:divBdr>
    </w:div>
    <w:div w:id="759179507">
      <w:bodyDiv w:val="1"/>
      <w:marLeft w:val="0"/>
      <w:marRight w:val="0"/>
      <w:marTop w:val="0"/>
      <w:marBottom w:val="0"/>
      <w:divBdr>
        <w:top w:val="none" w:sz="0" w:space="0" w:color="auto"/>
        <w:left w:val="none" w:sz="0" w:space="0" w:color="auto"/>
        <w:bottom w:val="none" w:sz="0" w:space="0" w:color="auto"/>
        <w:right w:val="none" w:sz="0" w:space="0" w:color="auto"/>
      </w:divBdr>
    </w:div>
    <w:div w:id="759837166">
      <w:bodyDiv w:val="1"/>
      <w:marLeft w:val="0"/>
      <w:marRight w:val="0"/>
      <w:marTop w:val="0"/>
      <w:marBottom w:val="0"/>
      <w:divBdr>
        <w:top w:val="none" w:sz="0" w:space="0" w:color="auto"/>
        <w:left w:val="none" w:sz="0" w:space="0" w:color="auto"/>
        <w:bottom w:val="none" w:sz="0" w:space="0" w:color="auto"/>
        <w:right w:val="none" w:sz="0" w:space="0" w:color="auto"/>
      </w:divBdr>
    </w:div>
    <w:div w:id="760377480">
      <w:bodyDiv w:val="1"/>
      <w:marLeft w:val="0"/>
      <w:marRight w:val="0"/>
      <w:marTop w:val="0"/>
      <w:marBottom w:val="0"/>
      <w:divBdr>
        <w:top w:val="none" w:sz="0" w:space="0" w:color="auto"/>
        <w:left w:val="none" w:sz="0" w:space="0" w:color="auto"/>
        <w:bottom w:val="none" w:sz="0" w:space="0" w:color="auto"/>
        <w:right w:val="none" w:sz="0" w:space="0" w:color="auto"/>
      </w:divBdr>
    </w:div>
    <w:div w:id="760567179">
      <w:bodyDiv w:val="1"/>
      <w:marLeft w:val="0"/>
      <w:marRight w:val="0"/>
      <w:marTop w:val="0"/>
      <w:marBottom w:val="0"/>
      <w:divBdr>
        <w:top w:val="none" w:sz="0" w:space="0" w:color="auto"/>
        <w:left w:val="none" w:sz="0" w:space="0" w:color="auto"/>
        <w:bottom w:val="none" w:sz="0" w:space="0" w:color="auto"/>
        <w:right w:val="none" w:sz="0" w:space="0" w:color="auto"/>
      </w:divBdr>
    </w:div>
    <w:div w:id="760877717">
      <w:bodyDiv w:val="1"/>
      <w:marLeft w:val="0"/>
      <w:marRight w:val="0"/>
      <w:marTop w:val="0"/>
      <w:marBottom w:val="0"/>
      <w:divBdr>
        <w:top w:val="none" w:sz="0" w:space="0" w:color="auto"/>
        <w:left w:val="none" w:sz="0" w:space="0" w:color="auto"/>
        <w:bottom w:val="none" w:sz="0" w:space="0" w:color="auto"/>
        <w:right w:val="none" w:sz="0" w:space="0" w:color="auto"/>
      </w:divBdr>
    </w:div>
    <w:div w:id="760957062">
      <w:bodyDiv w:val="1"/>
      <w:marLeft w:val="0"/>
      <w:marRight w:val="0"/>
      <w:marTop w:val="0"/>
      <w:marBottom w:val="0"/>
      <w:divBdr>
        <w:top w:val="none" w:sz="0" w:space="0" w:color="auto"/>
        <w:left w:val="none" w:sz="0" w:space="0" w:color="auto"/>
        <w:bottom w:val="none" w:sz="0" w:space="0" w:color="auto"/>
        <w:right w:val="none" w:sz="0" w:space="0" w:color="auto"/>
      </w:divBdr>
    </w:div>
    <w:div w:id="761223643">
      <w:bodyDiv w:val="1"/>
      <w:marLeft w:val="0"/>
      <w:marRight w:val="0"/>
      <w:marTop w:val="0"/>
      <w:marBottom w:val="0"/>
      <w:divBdr>
        <w:top w:val="none" w:sz="0" w:space="0" w:color="auto"/>
        <w:left w:val="none" w:sz="0" w:space="0" w:color="auto"/>
        <w:bottom w:val="none" w:sz="0" w:space="0" w:color="auto"/>
        <w:right w:val="none" w:sz="0" w:space="0" w:color="auto"/>
      </w:divBdr>
    </w:div>
    <w:div w:id="761292118">
      <w:bodyDiv w:val="1"/>
      <w:marLeft w:val="0"/>
      <w:marRight w:val="0"/>
      <w:marTop w:val="0"/>
      <w:marBottom w:val="0"/>
      <w:divBdr>
        <w:top w:val="none" w:sz="0" w:space="0" w:color="auto"/>
        <w:left w:val="none" w:sz="0" w:space="0" w:color="auto"/>
        <w:bottom w:val="none" w:sz="0" w:space="0" w:color="auto"/>
        <w:right w:val="none" w:sz="0" w:space="0" w:color="auto"/>
      </w:divBdr>
    </w:div>
    <w:div w:id="761611542">
      <w:bodyDiv w:val="1"/>
      <w:marLeft w:val="0"/>
      <w:marRight w:val="0"/>
      <w:marTop w:val="0"/>
      <w:marBottom w:val="0"/>
      <w:divBdr>
        <w:top w:val="none" w:sz="0" w:space="0" w:color="auto"/>
        <w:left w:val="none" w:sz="0" w:space="0" w:color="auto"/>
        <w:bottom w:val="none" w:sz="0" w:space="0" w:color="auto"/>
        <w:right w:val="none" w:sz="0" w:space="0" w:color="auto"/>
      </w:divBdr>
    </w:div>
    <w:div w:id="761800624">
      <w:bodyDiv w:val="1"/>
      <w:marLeft w:val="0"/>
      <w:marRight w:val="0"/>
      <w:marTop w:val="0"/>
      <w:marBottom w:val="0"/>
      <w:divBdr>
        <w:top w:val="none" w:sz="0" w:space="0" w:color="auto"/>
        <w:left w:val="none" w:sz="0" w:space="0" w:color="auto"/>
        <w:bottom w:val="none" w:sz="0" w:space="0" w:color="auto"/>
        <w:right w:val="none" w:sz="0" w:space="0" w:color="auto"/>
      </w:divBdr>
    </w:div>
    <w:div w:id="762461162">
      <w:bodyDiv w:val="1"/>
      <w:marLeft w:val="0"/>
      <w:marRight w:val="0"/>
      <w:marTop w:val="0"/>
      <w:marBottom w:val="0"/>
      <w:divBdr>
        <w:top w:val="none" w:sz="0" w:space="0" w:color="auto"/>
        <w:left w:val="none" w:sz="0" w:space="0" w:color="auto"/>
        <w:bottom w:val="none" w:sz="0" w:space="0" w:color="auto"/>
        <w:right w:val="none" w:sz="0" w:space="0" w:color="auto"/>
      </w:divBdr>
    </w:div>
    <w:div w:id="763262499">
      <w:bodyDiv w:val="1"/>
      <w:marLeft w:val="0"/>
      <w:marRight w:val="0"/>
      <w:marTop w:val="0"/>
      <w:marBottom w:val="0"/>
      <w:divBdr>
        <w:top w:val="none" w:sz="0" w:space="0" w:color="auto"/>
        <w:left w:val="none" w:sz="0" w:space="0" w:color="auto"/>
        <w:bottom w:val="none" w:sz="0" w:space="0" w:color="auto"/>
        <w:right w:val="none" w:sz="0" w:space="0" w:color="auto"/>
      </w:divBdr>
    </w:div>
    <w:div w:id="763263908">
      <w:bodyDiv w:val="1"/>
      <w:marLeft w:val="0"/>
      <w:marRight w:val="0"/>
      <w:marTop w:val="0"/>
      <w:marBottom w:val="0"/>
      <w:divBdr>
        <w:top w:val="none" w:sz="0" w:space="0" w:color="auto"/>
        <w:left w:val="none" w:sz="0" w:space="0" w:color="auto"/>
        <w:bottom w:val="none" w:sz="0" w:space="0" w:color="auto"/>
        <w:right w:val="none" w:sz="0" w:space="0" w:color="auto"/>
      </w:divBdr>
    </w:div>
    <w:div w:id="763305760">
      <w:bodyDiv w:val="1"/>
      <w:marLeft w:val="0"/>
      <w:marRight w:val="0"/>
      <w:marTop w:val="0"/>
      <w:marBottom w:val="0"/>
      <w:divBdr>
        <w:top w:val="none" w:sz="0" w:space="0" w:color="auto"/>
        <w:left w:val="none" w:sz="0" w:space="0" w:color="auto"/>
        <w:bottom w:val="none" w:sz="0" w:space="0" w:color="auto"/>
        <w:right w:val="none" w:sz="0" w:space="0" w:color="auto"/>
      </w:divBdr>
    </w:div>
    <w:div w:id="764227616">
      <w:bodyDiv w:val="1"/>
      <w:marLeft w:val="0"/>
      <w:marRight w:val="0"/>
      <w:marTop w:val="0"/>
      <w:marBottom w:val="0"/>
      <w:divBdr>
        <w:top w:val="none" w:sz="0" w:space="0" w:color="auto"/>
        <w:left w:val="none" w:sz="0" w:space="0" w:color="auto"/>
        <w:bottom w:val="none" w:sz="0" w:space="0" w:color="auto"/>
        <w:right w:val="none" w:sz="0" w:space="0" w:color="auto"/>
      </w:divBdr>
    </w:div>
    <w:div w:id="764418995">
      <w:bodyDiv w:val="1"/>
      <w:marLeft w:val="0"/>
      <w:marRight w:val="0"/>
      <w:marTop w:val="0"/>
      <w:marBottom w:val="0"/>
      <w:divBdr>
        <w:top w:val="none" w:sz="0" w:space="0" w:color="auto"/>
        <w:left w:val="none" w:sz="0" w:space="0" w:color="auto"/>
        <w:bottom w:val="none" w:sz="0" w:space="0" w:color="auto"/>
        <w:right w:val="none" w:sz="0" w:space="0" w:color="auto"/>
      </w:divBdr>
    </w:div>
    <w:div w:id="764569410">
      <w:bodyDiv w:val="1"/>
      <w:marLeft w:val="0"/>
      <w:marRight w:val="0"/>
      <w:marTop w:val="0"/>
      <w:marBottom w:val="0"/>
      <w:divBdr>
        <w:top w:val="none" w:sz="0" w:space="0" w:color="auto"/>
        <w:left w:val="none" w:sz="0" w:space="0" w:color="auto"/>
        <w:bottom w:val="none" w:sz="0" w:space="0" w:color="auto"/>
        <w:right w:val="none" w:sz="0" w:space="0" w:color="auto"/>
      </w:divBdr>
    </w:div>
    <w:div w:id="764809956">
      <w:bodyDiv w:val="1"/>
      <w:marLeft w:val="0"/>
      <w:marRight w:val="0"/>
      <w:marTop w:val="0"/>
      <w:marBottom w:val="0"/>
      <w:divBdr>
        <w:top w:val="none" w:sz="0" w:space="0" w:color="auto"/>
        <w:left w:val="none" w:sz="0" w:space="0" w:color="auto"/>
        <w:bottom w:val="none" w:sz="0" w:space="0" w:color="auto"/>
        <w:right w:val="none" w:sz="0" w:space="0" w:color="auto"/>
      </w:divBdr>
    </w:div>
    <w:div w:id="764885619">
      <w:bodyDiv w:val="1"/>
      <w:marLeft w:val="0"/>
      <w:marRight w:val="0"/>
      <w:marTop w:val="0"/>
      <w:marBottom w:val="0"/>
      <w:divBdr>
        <w:top w:val="none" w:sz="0" w:space="0" w:color="auto"/>
        <w:left w:val="none" w:sz="0" w:space="0" w:color="auto"/>
        <w:bottom w:val="none" w:sz="0" w:space="0" w:color="auto"/>
        <w:right w:val="none" w:sz="0" w:space="0" w:color="auto"/>
      </w:divBdr>
    </w:div>
    <w:div w:id="765228964">
      <w:bodyDiv w:val="1"/>
      <w:marLeft w:val="0"/>
      <w:marRight w:val="0"/>
      <w:marTop w:val="0"/>
      <w:marBottom w:val="0"/>
      <w:divBdr>
        <w:top w:val="none" w:sz="0" w:space="0" w:color="auto"/>
        <w:left w:val="none" w:sz="0" w:space="0" w:color="auto"/>
        <w:bottom w:val="none" w:sz="0" w:space="0" w:color="auto"/>
        <w:right w:val="none" w:sz="0" w:space="0" w:color="auto"/>
      </w:divBdr>
    </w:div>
    <w:div w:id="765804594">
      <w:bodyDiv w:val="1"/>
      <w:marLeft w:val="0"/>
      <w:marRight w:val="0"/>
      <w:marTop w:val="0"/>
      <w:marBottom w:val="0"/>
      <w:divBdr>
        <w:top w:val="none" w:sz="0" w:space="0" w:color="auto"/>
        <w:left w:val="none" w:sz="0" w:space="0" w:color="auto"/>
        <w:bottom w:val="none" w:sz="0" w:space="0" w:color="auto"/>
        <w:right w:val="none" w:sz="0" w:space="0" w:color="auto"/>
      </w:divBdr>
    </w:div>
    <w:div w:id="765881666">
      <w:bodyDiv w:val="1"/>
      <w:marLeft w:val="0"/>
      <w:marRight w:val="0"/>
      <w:marTop w:val="0"/>
      <w:marBottom w:val="0"/>
      <w:divBdr>
        <w:top w:val="none" w:sz="0" w:space="0" w:color="auto"/>
        <w:left w:val="none" w:sz="0" w:space="0" w:color="auto"/>
        <w:bottom w:val="none" w:sz="0" w:space="0" w:color="auto"/>
        <w:right w:val="none" w:sz="0" w:space="0" w:color="auto"/>
      </w:divBdr>
    </w:div>
    <w:div w:id="765922051">
      <w:bodyDiv w:val="1"/>
      <w:marLeft w:val="0"/>
      <w:marRight w:val="0"/>
      <w:marTop w:val="0"/>
      <w:marBottom w:val="0"/>
      <w:divBdr>
        <w:top w:val="none" w:sz="0" w:space="0" w:color="auto"/>
        <w:left w:val="none" w:sz="0" w:space="0" w:color="auto"/>
        <w:bottom w:val="none" w:sz="0" w:space="0" w:color="auto"/>
        <w:right w:val="none" w:sz="0" w:space="0" w:color="auto"/>
      </w:divBdr>
    </w:div>
    <w:div w:id="766268549">
      <w:bodyDiv w:val="1"/>
      <w:marLeft w:val="0"/>
      <w:marRight w:val="0"/>
      <w:marTop w:val="0"/>
      <w:marBottom w:val="0"/>
      <w:divBdr>
        <w:top w:val="none" w:sz="0" w:space="0" w:color="auto"/>
        <w:left w:val="none" w:sz="0" w:space="0" w:color="auto"/>
        <w:bottom w:val="none" w:sz="0" w:space="0" w:color="auto"/>
        <w:right w:val="none" w:sz="0" w:space="0" w:color="auto"/>
      </w:divBdr>
    </w:div>
    <w:div w:id="766316518">
      <w:bodyDiv w:val="1"/>
      <w:marLeft w:val="0"/>
      <w:marRight w:val="0"/>
      <w:marTop w:val="0"/>
      <w:marBottom w:val="0"/>
      <w:divBdr>
        <w:top w:val="none" w:sz="0" w:space="0" w:color="auto"/>
        <w:left w:val="none" w:sz="0" w:space="0" w:color="auto"/>
        <w:bottom w:val="none" w:sz="0" w:space="0" w:color="auto"/>
        <w:right w:val="none" w:sz="0" w:space="0" w:color="auto"/>
      </w:divBdr>
    </w:div>
    <w:div w:id="766775828">
      <w:bodyDiv w:val="1"/>
      <w:marLeft w:val="0"/>
      <w:marRight w:val="0"/>
      <w:marTop w:val="0"/>
      <w:marBottom w:val="0"/>
      <w:divBdr>
        <w:top w:val="none" w:sz="0" w:space="0" w:color="auto"/>
        <w:left w:val="none" w:sz="0" w:space="0" w:color="auto"/>
        <w:bottom w:val="none" w:sz="0" w:space="0" w:color="auto"/>
        <w:right w:val="none" w:sz="0" w:space="0" w:color="auto"/>
      </w:divBdr>
    </w:div>
    <w:div w:id="766776250">
      <w:bodyDiv w:val="1"/>
      <w:marLeft w:val="0"/>
      <w:marRight w:val="0"/>
      <w:marTop w:val="0"/>
      <w:marBottom w:val="0"/>
      <w:divBdr>
        <w:top w:val="none" w:sz="0" w:space="0" w:color="auto"/>
        <w:left w:val="none" w:sz="0" w:space="0" w:color="auto"/>
        <w:bottom w:val="none" w:sz="0" w:space="0" w:color="auto"/>
        <w:right w:val="none" w:sz="0" w:space="0" w:color="auto"/>
      </w:divBdr>
    </w:div>
    <w:div w:id="766998352">
      <w:bodyDiv w:val="1"/>
      <w:marLeft w:val="0"/>
      <w:marRight w:val="0"/>
      <w:marTop w:val="0"/>
      <w:marBottom w:val="0"/>
      <w:divBdr>
        <w:top w:val="none" w:sz="0" w:space="0" w:color="auto"/>
        <w:left w:val="none" w:sz="0" w:space="0" w:color="auto"/>
        <w:bottom w:val="none" w:sz="0" w:space="0" w:color="auto"/>
        <w:right w:val="none" w:sz="0" w:space="0" w:color="auto"/>
      </w:divBdr>
    </w:div>
    <w:div w:id="767240761">
      <w:bodyDiv w:val="1"/>
      <w:marLeft w:val="0"/>
      <w:marRight w:val="0"/>
      <w:marTop w:val="0"/>
      <w:marBottom w:val="0"/>
      <w:divBdr>
        <w:top w:val="none" w:sz="0" w:space="0" w:color="auto"/>
        <w:left w:val="none" w:sz="0" w:space="0" w:color="auto"/>
        <w:bottom w:val="none" w:sz="0" w:space="0" w:color="auto"/>
        <w:right w:val="none" w:sz="0" w:space="0" w:color="auto"/>
      </w:divBdr>
    </w:div>
    <w:div w:id="767427950">
      <w:bodyDiv w:val="1"/>
      <w:marLeft w:val="0"/>
      <w:marRight w:val="0"/>
      <w:marTop w:val="0"/>
      <w:marBottom w:val="0"/>
      <w:divBdr>
        <w:top w:val="none" w:sz="0" w:space="0" w:color="auto"/>
        <w:left w:val="none" w:sz="0" w:space="0" w:color="auto"/>
        <w:bottom w:val="none" w:sz="0" w:space="0" w:color="auto"/>
        <w:right w:val="none" w:sz="0" w:space="0" w:color="auto"/>
      </w:divBdr>
    </w:div>
    <w:div w:id="767772265">
      <w:bodyDiv w:val="1"/>
      <w:marLeft w:val="0"/>
      <w:marRight w:val="0"/>
      <w:marTop w:val="0"/>
      <w:marBottom w:val="0"/>
      <w:divBdr>
        <w:top w:val="none" w:sz="0" w:space="0" w:color="auto"/>
        <w:left w:val="none" w:sz="0" w:space="0" w:color="auto"/>
        <w:bottom w:val="none" w:sz="0" w:space="0" w:color="auto"/>
        <w:right w:val="none" w:sz="0" w:space="0" w:color="auto"/>
      </w:divBdr>
    </w:div>
    <w:div w:id="767892101">
      <w:bodyDiv w:val="1"/>
      <w:marLeft w:val="0"/>
      <w:marRight w:val="0"/>
      <w:marTop w:val="0"/>
      <w:marBottom w:val="0"/>
      <w:divBdr>
        <w:top w:val="none" w:sz="0" w:space="0" w:color="auto"/>
        <w:left w:val="none" w:sz="0" w:space="0" w:color="auto"/>
        <w:bottom w:val="none" w:sz="0" w:space="0" w:color="auto"/>
        <w:right w:val="none" w:sz="0" w:space="0" w:color="auto"/>
      </w:divBdr>
    </w:div>
    <w:div w:id="768506672">
      <w:bodyDiv w:val="1"/>
      <w:marLeft w:val="0"/>
      <w:marRight w:val="0"/>
      <w:marTop w:val="0"/>
      <w:marBottom w:val="0"/>
      <w:divBdr>
        <w:top w:val="none" w:sz="0" w:space="0" w:color="auto"/>
        <w:left w:val="none" w:sz="0" w:space="0" w:color="auto"/>
        <w:bottom w:val="none" w:sz="0" w:space="0" w:color="auto"/>
        <w:right w:val="none" w:sz="0" w:space="0" w:color="auto"/>
      </w:divBdr>
    </w:div>
    <w:div w:id="768550657">
      <w:bodyDiv w:val="1"/>
      <w:marLeft w:val="0"/>
      <w:marRight w:val="0"/>
      <w:marTop w:val="0"/>
      <w:marBottom w:val="0"/>
      <w:divBdr>
        <w:top w:val="none" w:sz="0" w:space="0" w:color="auto"/>
        <w:left w:val="none" w:sz="0" w:space="0" w:color="auto"/>
        <w:bottom w:val="none" w:sz="0" w:space="0" w:color="auto"/>
        <w:right w:val="none" w:sz="0" w:space="0" w:color="auto"/>
      </w:divBdr>
    </w:div>
    <w:div w:id="768696363">
      <w:bodyDiv w:val="1"/>
      <w:marLeft w:val="0"/>
      <w:marRight w:val="0"/>
      <w:marTop w:val="0"/>
      <w:marBottom w:val="0"/>
      <w:divBdr>
        <w:top w:val="none" w:sz="0" w:space="0" w:color="auto"/>
        <w:left w:val="none" w:sz="0" w:space="0" w:color="auto"/>
        <w:bottom w:val="none" w:sz="0" w:space="0" w:color="auto"/>
        <w:right w:val="none" w:sz="0" w:space="0" w:color="auto"/>
      </w:divBdr>
    </w:div>
    <w:div w:id="768811712">
      <w:bodyDiv w:val="1"/>
      <w:marLeft w:val="0"/>
      <w:marRight w:val="0"/>
      <w:marTop w:val="0"/>
      <w:marBottom w:val="0"/>
      <w:divBdr>
        <w:top w:val="none" w:sz="0" w:space="0" w:color="auto"/>
        <w:left w:val="none" w:sz="0" w:space="0" w:color="auto"/>
        <w:bottom w:val="none" w:sz="0" w:space="0" w:color="auto"/>
        <w:right w:val="none" w:sz="0" w:space="0" w:color="auto"/>
      </w:divBdr>
    </w:div>
    <w:div w:id="768815772">
      <w:bodyDiv w:val="1"/>
      <w:marLeft w:val="0"/>
      <w:marRight w:val="0"/>
      <w:marTop w:val="0"/>
      <w:marBottom w:val="0"/>
      <w:divBdr>
        <w:top w:val="none" w:sz="0" w:space="0" w:color="auto"/>
        <w:left w:val="none" w:sz="0" w:space="0" w:color="auto"/>
        <w:bottom w:val="none" w:sz="0" w:space="0" w:color="auto"/>
        <w:right w:val="none" w:sz="0" w:space="0" w:color="auto"/>
      </w:divBdr>
    </w:div>
    <w:div w:id="768966094">
      <w:bodyDiv w:val="1"/>
      <w:marLeft w:val="0"/>
      <w:marRight w:val="0"/>
      <w:marTop w:val="0"/>
      <w:marBottom w:val="0"/>
      <w:divBdr>
        <w:top w:val="none" w:sz="0" w:space="0" w:color="auto"/>
        <w:left w:val="none" w:sz="0" w:space="0" w:color="auto"/>
        <w:bottom w:val="none" w:sz="0" w:space="0" w:color="auto"/>
        <w:right w:val="none" w:sz="0" w:space="0" w:color="auto"/>
      </w:divBdr>
    </w:div>
    <w:div w:id="768966417">
      <w:bodyDiv w:val="1"/>
      <w:marLeft w:val="0"/>
      <w:marRight w:val="0"/>
      <w:marTop w:val="0"/>
      <w:marBottom w:val="0"/>
      <w:divBdr>
        <w:top w:val="none" w:sz="0" w:space="0" w:color="auto"/>
        <w:left w:val="none" w:sz="0" w:space="0" w:color="auto"/>
        <w:bottom w:val="none" w:sz="0" w:space="0" w:color="auto"/>
        <w:right w:val="none" w:sz="0" w:space="0" w:color="auto"/>
      </w:divBdr>
    </w:div>
    <w:div w:id="769206599">
      <w:bodyDiv w:val="1"/>
      <w:marLeft w:val="0"/>
      <w:marRight w:val="0"/>
      <w:marTop w:val="0"/>
      <w:marBottom w:val="0"/>
      <w:divBdr>
        <w:top w:val="none" w:sz="0" w:space="0" w:color="auto"/>
        <w:left w:val="none" w:sz="0" w:space="0" w:color="auto"/>
        <w:bottom w:val="none" w:sz="0" w:space="0" w:color="auto"/>
        <w:right w:val="none" w:sz="0" w:space="0" w:color="auto"/>
      </w:divBdr>
    </w:div>
    <w:div w:id="769590989">
      <w:bodyDiv w:val="1"/>
      <w:marLeft w:val="0"/>
      <w:marRight w:val="0"/>
      <w:marTop w:val="0"/>
      <w:marBottom w:val="0"/>
      <w:divBdr>
        <w:top w:val="none" w:sz="0" w:space="0" w:color="auto"/>
        <w:left w:val="none" w:sz="0" w:space="0" w:color="auto"/>
        <w:bottom w:val="none" w:sz="0" w:space="0" w:color="auto"/>
        <w:right w:val="none" w:sz="0" w:space="0" w:color="auto"/>
      </w:divBdr>
    </w:div>
    <w:div w:id="769661648">
      <w:bodyDiv w:val="1"/>
      <w:marLeft w:val="0"/>
      <w:marRight w:val="0"/>
      <w:marTop w:val="0"/>
      <w:marBottom w:val="0"/>
      <w:divBdr>
        <w:top w:val="none" w:sz="0" w:space="0" w:color="auto"/>
        <w:left w:val="none" w:sz="0" w:space="0" w:color="auto"/>
        <w:bottom w:val="none" w:sz="0" w:space="0" w:color="auto"/>
        <w:right w:val="none" w:sz="0" w:space="0" w:color="auto"/>
      </w:divBdr>
    </w:div>
    <w:div w:id="769741722">
      <w:bodyDiv w:val="1"/>
      <w:marLeft w:val="0"/>
      <w:marRight w:val="0"/>
      <w:marTop w:val="0"/>
      <w:marBottom w:val="0"/>
      <w:divBdr>
        <w:top w:val="none" w:sz="0" w:space="0" w:color="auto"/>
        <w:left w:val="none" w:sz="0" w:space="0" w:color="auto"/>
        <w:bottom w:val="none" w:sz="0" w:space="0" w:color="auto"/>
        <w:right w:val="none" w:sz="0" w:space="0" w:color="auto"/>
      </w:divBdr>
    </w:div>
    <w:div w:id="769742256">
      <w:bodyDiv w:val="1"/>
      <w:marLeft w:val="0"/>
      <w:marRight w:val="0"/>
      <w:marTop w:val="0"/>
      <w:marBottom w:val="0"/>
      <w:divBdr>
        <w:top w:val="none" w:sz="0" w:space="0" w:color="auto"/>
        <w:left w:val="none" w:sz="0" w:space="0" w:color="auto"/>
        <w:bottom w:val="none" w:sz="0" w:space="0" w:color="auto"/>
        <w:right w:val="none" w:sz="0" w:space="0" w:color="auto"/>
      </w:divBdr>
    </w:div>
    <w:div w:id="769934653">
      <w:bodyDiv w:val="1"/>
      <w:marLeft w:val="0"/>
      <w:marRight w:val="0"/>
      <w:marTop w:val="0"/>
      <w:marBottom w:val="0"/>
      <w:divBdr>
        <w:top w:val="none" w:sz="0" w:space="0" w:color="auto"/>
        <w:left w:val="none" w:sz="0" w:space="0" w:color="auto"/>
        <w:bottom w:val="none" w:sz="0" w:space="0" w:color="auto"/>
        <w:right w:val="none" w:sz="0" w:space="0" w:color="auto"/>
      </w:divBdr>
    </w:div>
    <w:div w:id="770203597">
      <w:bodyDiv w:val="1"/>
      <w:marLeft w:val="0"/>
      <w:marRight w:val="0"/>
      <w:marTop w:val="0"/>
      <w:marBottom w:val="0"/>
      <w:divBdr>
        <w:top w:val="none" w:sz="0" w:space="0" w:color="auto"/>
        <w:left w:val="none" w:sz="0" w:space="0" w:color="auto"/>
        <w:bottom w:val="none" w:sz="0" w:space="0" w:color="auto"/>
        <w:right w:val="none" w:sz="0" w:space="0" w:color="auto"/>
      </w:divBdr>
    </w:div>
    <w:div w:id="770272523">
      <w:bodyDiv w:val="1"/>
      <w:marLeft w:val="0"/>
      <w:marRight w:val="0"/>
      <w:marTop w:val="0"/>
      <w:marBottom w:val="0"/>
      <w:divBdr>
        <w:top w:val="none" w:sz="0" w:space="0" w:color="auto"/>
        <w:left w:val="none" w:sz="0" w:space="0" w:color="auto"/>
        <w:bottom w:val="none" w:sz="0" w:space="0" w:color="auto"/>
        <w:right w:val="none" w:sz="0" w:space="0" w:color="auto"/>
      </w:divBdr>
    </w:div>
    <w:div w:id="770513903">
      <w:bodyDiv w:val="1"/>
      <w:marLeft w:val="0"/>
      <w:marRight w:val="0"/>
      <w:marTop w:val="0"/>
      <w:marBottom w:val="0"/>
      <w:divBdr>
        <w:top w:val="none" w:sz="0" w:space="0" w:color="auto"/>
        <w:left w:val="none" w:sz="0" w:space="0" w:color="auto"/>
        <w:bottom w:val="none" w:sz="0" w:space="0" w:color="auto"/>
        <w:right w:val="none" w:sz="0" w:space="0" w:color="auto"/>
      </w:divBdr>
    </w:div>
    <w:div w:id="770514601">
      <w:bodyDiv w:val="1"/>
      <w:marLeft w:val="0"/>
      <w:marRight w:val="0"/>
      <w:marTop w:val="0"/>
      <w:marBottom w:val="0"/>
      <w:divBdr>
        <w:top w:val="none" w:sz="0" w:space="0" w:color="auto"/>
        <w:left w:val="none" w:sz="0" w:space="0" w:color="auto"/>
        <w:bottom w:val="none" w:sz="0" w:space="0" w:color="auto"/>
        <w:right w:val="none" w:sz="0" w:space="0" w:color="auto"/>
      </w:divBdr>
    </w:div>
    <w:div w:id="770514767">
      <w:bodyDiv w:val="1"/>
      <w:marLeft w:val="0"/>
      <w:marRight w:val="0"/>
      <w:marTop w:val="0"/>
      <w:marBottom w:val="0"/>
      <w:divBdr>
        <w:top w:val="none" w:sz="0" w:space="0" w:color="auto"/>
        <w:left w:val="none" w:sz="0" w:space="0" w:color="auto"/>
        <w:bottom w:val="none" w:sz="0" w:space="0" w:color="auto"/>
        <w:right w:val="none" w:sz="0" w:space="0" w:color="auto"/>
      </w:divBdr>
    </w:div>
    <w:div w:id="770659151">
      <w:bodyDiv w:val="1"/>
      <w:marLeft w:val="0"/>
      <w:marRight w:val="0"/>
      <w:marTop w:val="0"/>
      <w:marBottom w:val="0"/>
      <w:divBdr>
        <w:top w:val="none" w:sz="0" w:space="0" w:color="auto"/>
        <w:left w:val="none" w:sz="0" w:space="0" w:color="auto"/>
        <w:bottom w:val="none" w:sz="0" w:space="0" w:color="auto"/>
        <w:right w:val="none" w:sz="0" w:space="0" w:color="auto"/>
      </w:divBdr>
    </w:div>
    <w:div w:id="770777370">
      <w:bodyDiv w:val="1"/>
      <w:marLeft w:val="0"/>
      <w:marRight w:val="0"/>
      <w:marTop w:val="0"/>
      <w:marBottom w:val="0"/>
      <w:divBdr>
        <w:top w:val="none" w:sz="0" w:space="0" w:color="auto"/>
        <w:left w:val="none" w:sz="0" w:space="0" w:color="auto"/>
        <w:bottom w:val="none" w:sz="0" w:space="0" w:color="auto"/>
        <w:right w:val="none" w:sz="0" w:space="0" w:color="auto"/>
      </w:divBdr>
    </w:div>
    <w:div w:id="771052869">
      <w:bodyDiv w:val="1"/>
      <w:marLeft w:val="0"/>
      <w:marRight w:val="0"/>
      <w:marTop w:val="0"/>
      <w:marBottom w:val="0"/>
      <w:divBdr>
        <w:top w:val="none" w:sz="0" w:space="0" w:color="auto"/>
        <w:left w:val="none" w:sz="0" w:space="0" w:color="auto"/>
        <w:bottom w:val="none" w:sz="0" w:space="0" w:color="auto"/>
        <w:right w:val="none" w:sz="0" w:space="0" w:color="auto"/>
      </w:divBdr>
    </w:div>
    <w:div w:id="771166220">
      <w:bodyDiv w:val="1"/>
      <w:marLeft w:val="0"/>
      <w:marRight w:val="0"/>
      <w:marTop w:val="0"/>
      <w:marBottom w:val="0"/>
      <w:divBdr>
        <w:top w:val="none" w:sz="0" w:space="0" w:color="auto"/>
        <w:left w:val="none" w:sz="0" w:space="0" w:color="auto"/>
        <w:bottom w:val="none" w:sz="0" w:space="0" w:color="auto"/>
        <w:right w:val="none" w:sz="0" w:space="0" w:color="auto"/>
      </w:divBdr>
    </w:div>
    <w:div w:id="771320781">
      <w:bodyDiv w:val="1"/>
      <w:marLeft w:val="0"/>
      <w:marRight w:val="0"/>
      <w:marTop w:val="0"/>
      <w:marBottom w:val="0"/>
      <w:divBdr>
        <w:top w:val="none" w:sz="0" w:space="0" w:color="auto"/>
        <w:left w:val="none" w:sz="0" w:space="0" w:color="auto"/>
        <w:bottom w:val="none" w:sz="0" w:space="0" w:color="auto"/>
        <w:right w:val="none" w:sz="0" w:space="0" w:color="auto"/>
      </w:divBdr>
    </w:div>
    <w:div w:id="771634870">
      <w:bodyDiv w:val="1"/>
      <w:marLeft w:val="0"/>
      <w:marRight w:val="0"/>
      <w:marTop w:val="0"/>
      <w:marBottom w:val="0"/>
      <w:divBdr>
        <w:top w:val="none" w:sz="0" w:space="0" w:color="auto"/>
        <w:left w:val="none" w:sz="0" w:space="0" w:color="auto"/>
        <w:bottom w:val="none" w:sz="0" w:space="0" w:color="auto"/>
        <w:right w:val="none" w:sz="0" w:space="0" w:color="auto"/>
      </w:divBdr>
    </w:div>
    <w:div w:id="771978052">
      <w:bodyDiv w:val="1"/>
      <w:marLeft w:val="0"/>
      <w:marRight w:val="0"/>
      <w:marTop w:val="0"/>
      <w:marBottom w:val="0"/>
      <w:divBdr>
        <w:top w:val="none" w:sz="0" w:space="0" w:color="auto"/>
        <w:left w:val="none" w:sz="0" w:space="0" w:color="auto"/>
        <w:bottom w:val="none" w:sz="0" w:space="0" w:color="auto"/>
        <w:right w:val="none" w:sz="0" w:space="0" w:color="auto"/>
      </w:divBdr>
    </w:div>
    <w:div w:id="772626987">
      <w:bodyDiv w:val="1"/>
      <w:marLeft w:val="0"/>
      <w:marRight w:val="0"/>
      <w:marTop w:val="0"/>
      <w:marBottom w:val="0"/>
      <w:divBdr>
        <w:top w:val="none" w:sz="0" w:space="0" w:color="auto"/>
        <w:left w:val="none" w:sz="0" w:space="0" w:color="auto"/>
        <w:bottom w:val="none" w:sz="0" w:space="0" w:color="auto"/>
        <w:right w:val="none" w:sz="0" w:space="0" w:color="auto"/>
      </w:divBdr>
    </w:div>
    <w:div w:id="773355870">
      <w:bodyDiv w:val="1"/>
      <w:marLeft w:val="0"/>
      <w:marRight w:val="0"/>
      <w:marTop w:val="0"/>
      <w:marBottom w:val="0"/>
      <w:divBdr>
        <w:top w:val="none" w:sz="0" w:space="0" w:color="auto"/>
        <w:left w:val="none" w:sz="0" w:space="0" w:color="auto"/>
        <w:bottom w:val="none" w:sz="0" w:space="0" w:color="auto"/>
        <w:right w:val="none" w:sz="0" w:space="0" w:color="auto"/>
      </w:divBdr>
    </w:div>
    <w:div w:id="773479849">
      <w:bodyDiv w:val="1"/>
      <w:marLeft w:val="0"/>
      <w:marRight w:val="0"/>
      <w:marTop w:val="0"/>
      <w:marBottom w:val="0"/>
      <w:divBdr>
        <w:top w:val="none" w:sz="0" w:space="0" w:color="auto"/>
        <w:left w:val="none" w:sz="0" w:space="0" w:color="auto"/>
        <w:bottom w:val="none" w:sz="0" w:space="0" w:color="auto"/>
        <w:right w:val="none" w:sz="0" w:space="0" w:color="auto"/>
      </w:divBdr>
    </w:div>
    <w:div w:id="773861246">
      <w:bodyDiv w:val="1"/>
      <w:marLeft w:val="0"/>
      <w:marRight w:val="0"/>
      <w:marTop w:val="0"/>
      <w:marBottom w:val="0"/>
      <w:divBdr>
        <w:top w:val="none" w:sz="0" w:space="0" w:color="auto"/>
        <w:left w:val="none" w:sz="0" w:space="0" w:color="auto"/>
        <w:bottom w:val="none" w:sz="0" w:space="0" w:color="auto"/>
        <w:right w:val="none" w:sz="0" w:space="0" w:color="auto"/>
      </w:divBdr>
    </w:div>
    <w:div w:id="774599182">
      <w:bodyDiv w:val="1"/>
      <w:marLeft w:val="0"/>
      <w:marRight w:val="0"/>
      <w:marTop w:val="0"/>
      <w:marBottom w:val="0"/>
      <w:divBdr>
        <w:top w:val="none" w:sz="0" w:space="0" w:color="auto"/>
        <w:left w:val="none" w:sz="0" w:space="0" w:color="auto"/>
        <w:bottom w:val="none" w:sz="0" w:space="0" w:color="auto"/>
        <w:right w:val="none" w:sz="0" w:space="0" w:color="auto"/>
      </w:divBdr>
    </w:div>
    <w:div w:id="774639812">
      <w:bodyDiv w:val="1"/>
      <w:marLeft w:val="0"/>
      <w:marRight w:val="0"/>
      <w:marTop w:val="0"/>
      <w:marBottom w:val="0"/>
      <w:divBdr>
        <w:top w:val="none" w:sz="0" w:space="0" w:color="auto"/>
        <w:left w:val="none" w:sz="0" w:space="0" w:color="auto"/>
        <w:bottom w:val="none" w:sz="0" w:space="0" w:color="auto"/>
        <w:right w:val="none" w:sz="0" w:space="0" w:color="auto"/>
      </w:divBdr>
    </w:div>
    <w:div w:id="774715975">
      <w:bodyDiv w:val="1"/>
      <w:marLeft w:val="0"/>
      <w:marRight w:val="0"/>
      <w:marTop w:val="0"/>
      <w:marBottom w:val="0"/>
      <w:divBdr>
        <w:top w:val="none" w:sz="0" w:space="0" w:color="auto"/>
        <w:left w:val="none" w:sz="0" w:space="0" w:color="auto"/>
        <w:bottom w:val="none" w:sz="0" w:space="0" w:color="auto"/>
        <w:right w:val="none" w:sz="0" w:space="0" w:color="auto"/>
      </w:divBdr>
    </w:div>
    <w:div w:id="775750728">
      <w:bodyDiv w:val="1"/>
      <w:marLeft w:val="0"/>
      <w:marRight w:val="0"/>
      <w:marTop w:val="0"/>
      <w:marBottom w:val="0"/>
      <w:divBdr>
        <w:top w:val="none" w:sz="0" w:space="0" w:color="auto"/>
        <w:left w:val="none" w:sz="0" w:space="0" w:color="auto"/>
        <w:bottom w:val="none" w:sz="0" w:space="0" w:color="auto"/>
        <w:right w:val="none" w:sz="0" w:space="0" w:color="auto"/>
      </w:divBdr>
    </w:div>
    <w:div w:id="776677083">
      <w:bodyDiv w:val="1"/>
      <w:marLeft w:val="0"/>
      <w:marRight w:val="0"/>
      <w:marTop w:val="0"/>
      <w:marBottom w:val="0"/>
      <w:divBdr>
        <w:top w:val="none" w:sz="0" w:space="0" w:color="auto"/>
        <w:left w:val="none" w:sz="0" w:space="0" w:color="auto"/>
        <w:bottom w:val="none" w:sz="0" w:space="0" w:color="auto"/>
        <w:right w:val="none" w:sz="0" w:space="0" w:color="auto"/>
      </w:divBdr>
    </w:div>
    <w:div w:id="776944598">
      <w:bodyDiv w:val="1"/>
      <w:marLeft w:val="0"/>
      <w:marRight w:val="0"/>
      <w:marTop w:val="0"/>
      <w:marBottom w:val="0"/>
      <w:divBdr>
        <w:top w:val="none" w:sz="0" w:space="0" w:color="auto"/>
        <w:left w:val="none" w:sz="0" w:space="0" w:color="auto"/>
        <w:bottom w:val="none" w:sz="0" w:space="0" w:color="auto"/>
        <w:right w:val="none" w:sz="0" w:space="0" w:color="auto"/>
      </w:divBdr>
    </w:div>
    <w:div w:id="777791639">
      <w:bodyDiv w:val="1"/>
      <w:marLeft w:val="0"/>
      <w:marRight w:val="0"/>
      <w:marTop w:val="0"/>
      <w:marBottom w:val="0"/>
      <w:divBdr>
        <w:top w:val="none" w:sz="0" w:space="0" w:color="auto"/>
        <w:left w:val="none" w:sz="0" w:space="0" w:color="auto"/>
        <w:bottom w:val="none" w:sz="0" w:space="0" w:color="auto"/>
        <w:right w:val="none" w:sz="0" w:space="0" w:color="auto"/>
      </w:divBdr>
    </w:div>
    <w:div w:id="777943233">
      <w:bodyDiv w:val="1"/>
      <w:marLeft w:val="0"/>
      <w:marRight w:val="0"/>
      <w:marTop w:val="0"/>
      <w:marBottom w:val="0"/>
      <w:divBdr>
        <w:top w:val="none" w:sz="0" w:space="0" w:color="auto"/>
        <w:left w:val="none" w:sz="0" w:space="0" w:color="auto"/>
        <w:bottom w:val="none" w:sz="0" w:space="0" w:color="auto"/>
        <w:right w:val="none" w:sz="0" w:space="0" w:color="auto"/>
      </w:divBdr>
    </w:div>
    <w:div w:id="778060461">
      <w:bodyDiv w:val="1"/>
      <w:marLeft w:val="0"/>
      <w:marRight w:val="0"/>
      <w:marTop w:val="0"/>
      <w:marBottom w:val="0"/>
      <w:divBdr>
        <w:top w:val="none" w:sz="0" w:space="0" w:color="auto"/>
        <w:left w:val="none" w:sz="0" w:space="0" w:color="auto"/>
        <w:bottom w:val="none" w:sz="0" w:space="0" w:color="auto"/>
        <w:right w:val="none" w:sz="0" w:space="0" w:color="auto"/>
      </w:divBdr>
    </w:div>
    <w:div w:id="778335947">
      <w:bodyDiv w:val="1"/>
      <w:marLeft w:val="0"/>
      <w:marRight w:val="0"/>
      <w:marTop w:val="0"/>
      <w:marBottom w:val="0"/>
      <w:divBdr>
        <w:top w:val="none" w:sz="0" w:space="0" w:color="auto"/>
        <w:left w:val="none" w:sz="0" w:space="0" w:color="auto"/>
        <w:bottom w:val="none" w:sz="0" w:space="0" w:color="auto"/>
        <w:right w:val="none" w:sz="0" w:space="0" w:color="auto"/>
      </w:divBdr>
    </w:div>
    <w:div w:id="779181931">
      <w:bodyDiv w:val="1"/>
      <w:marLeft w:val="0"/>
      <w:marRight w:val="0"/>
      <w:marTop w:val="0"/>
      <w:marBottom w:val="0"/>
      <w:divBdr>
        <w:top w:val="none" w:sz="0" w:space="0" w:color="auto"/>
        <w:left w:val="none" w:sz="0" w:space="0" w:color="auto"/>
        <w:bottom w:val="none" w:sz="0" w:space="0" w:color="auto"/>
        <w:right w:val="none" w:sz="0" w:space="0" w:color="auto"/>
      </w:divBdr>
    </w:div>
    <w:div w:id="780607356">
      <w:bodyDiv w:val="1"/>
      <w:marLeft w:val="0"/>
      <w:marRight w:val="0"/>
      <w:marTop w:val="0"/>
      <w:marBottom w:val="0"/>
      <w:divBdr>
        <w:top w:val="none" w:sz="0" w:space="0" w:color="auto"/>
        <w:left w:val="none" w:sz="0" w:space="0" w:color="auto"/>
        <w:bottom w:val="none" w:sz="0" w:space="0" w:color="auto"/>
        <w:right w:val="none" w:sz="0" w:space="0" w:color="auto"/>
      </w:divBdr>
    </w:div>
    <w:div w:id="780805250">
      <w:bodyDiv w:val="1"/>
      <w:marLeft w:val="0"/>
      <w:marRight w:val="0"/>
      <w:marTop w:val="0"/>
      <w:marBottom w:val="0"/>
      <w:divBdr>
        <w:top w:val="none" w:sz="0" w:space="0" w:color="auto"/>
        <w:left w:val="none" w:sz="0" w:space="0" w:color="auto"/>
        <w:bottom w:val="none" w:sz="0" w:space="0" w:color="auto"/>
        <w:right w:val="none" w:sz="0" w:space="0" w:color="auto"/>
      </w:divBdr>
    </w:div>
    <w:div w:id="780806276">
      <w:bodyDiv w:val="1"/>
      <w:marLeft w:val="0"/>
      <w:marRight w:val="0"/>
      <w:marTop w:val="0"/>
      <w:marBottom w:val="0"/>
      <w:divBdr>
        <w:top w:val="none" w:sz="0" w:space="0" w:color="auto"/>
        <w:left w:val="none" w:sz="0" w:space="0" w:color="auto"/>
        <w:bottom w:val="none" w:sz="0" w:space="0" w:color="auto"/>
        <w:right w:val="none" w:sz="0" w:space="0" w:color="auto"/>
      </w:divBdr>
    </w:div>
    <w:div w:id="780993872">
      <w:bodyDiv w:val="1"/>
      <w:marLeft w:val="0"/>
      <w:marRight w:val="0"/>
      <w:marTop w:val="0"/>
      <w:marBottom w:val="0"/>
      <w:divBdr>
        <w:top w:val="none" w:sz="0" w:space="0" w:color="auto"/>
        <w:left w:val="none" w:sz="0" w:space="0" w:color="auto"/>
        <w:bottom w:val="none" w:sz="0" w:space="0" w:color="auto"/>
        <w:right w:val="none" w:sz="0" w:space="0" w:color="auto"/>
      </w:divBdr>
    </w:div>
    <w:div w:id="781267498">
      <w:bodyDiv w:val="1"/>
      <w:marLeft w:val="0"/>
      <w:marRight w:val="0"/>
      <w:marTop w:val="0"/>
      <w:marBottom w:val="0"/>
      <w:divBdr>
        <w:top w:val="none" w:sz="0" w:space="0" w:color="auto"/>
        <w:left w:val="none" w:sz="0" w:space="0" w:color="auto"/>
        <w:bottom w:val="none" w:sz="0" w:space="0" w:color="auto"/>
        <w:right w:val="none" w:sz="0" w:space="0" w:color="auto"/>
      </w:divBdr>
    </w:div>
    <w:div w:id="781538002">
      <w:bodyDiv w:val="1"/>
      <w:marLeft w:val="0"/>
      <w:marRight w:val="0"/>
      <w:marTop w:val="0"/>
      <w:marBottom w:val="0"/>
      <w:divBdr>
        <w:top w:val="none" w:sz="0" w:space="0" w:color="auto"/>
        <w:left w:val="none" w:sz="0" w:space="0" w:color="auto"/>
        <w:bottom w:val="none" w:sz="0" w:space="0" w:color="auto"/>
        <w:right w:val="none" w:sz="0" w:space="0" w:color="auto"/>
      </w:divBdr>
    </w:div>
    <w:div w:id="781609268">
      <w:bodyDiv w:val="1"/>
      <w:marLeft w:val="0"/>
      <w:marRight w:val="0"/>
      <w:marTop w:val="0"/>
      <w:marBottom w:val="0"/>
      <w:divBdr>
        <w:top w:val="none" w:sz="0" w:space="0" w:color="auto"/>
        <w:left w:val="none" w:sz="0" w:space="0" w:color="auto"/>
        <w:bottom w:val="none" w:sz="0" w:space="0" w:color="auto"/>
        <w:right w:val="none" w:sz="0" w:space="0" w:color="auto"/>
      </w:divBdr>
    </w:div>
    <w:div w:id="782114829">
      <w:bodyDiv w:val="1"/>
      <w:marLeft w:val="0"/>
      <w:marRight w:val="0"/>
      <w:marTop w:val="0"/>
      <w:marBottom w:val="0"/>
      <w:divBdr>
        <w:top w:val="none" w:sz="0" w:space="0" w:color="auto"/>
        <w:left w:val="none" w:sz="0" w:space="0" w:color="auto"/>
        <w:bottom w:val="none" w:sz="0" w:space="0" w:color="auto"/>
        <w:right w:val="none" w:sz="0" w:space="0" w:color="auto"/>
      </w:divBdr>
    </w:div>
    <w:div w:id="782575874">
      <w:bodyDiv w:val="1"/>
      <w:marLeft w:val="0"/>
      <w:marRight w:val="0"/>
      <w:marTop w:val="0"/>
      <w:marBottom w:val="0"/>
      <w:divBdr>
        <w:top w:val="none" w:sz="0" w:space="0" w:color="auto"/>
        <w:left w:val="none" w:sz="0" w:space="0" w:color="auto"/>
        <w:bottom w:val="none" w:sz="0" w:space="0" w:color="auto"/>
        <w:right w:val="none" w:sz="0" w:space="0" w:color="auto"/>
      </w:divBdr>
    </w:div>
    <w:div w:id="783118692">
      <w:bodyDiv w:val="1"/>
      <w:marLeft w:val="0"/>
      <w:marRight w:val="0"/>
      <w:marTop w:val="0"/>
      <w:marBottom w:val="0"/>
      <w:divBdr>
        <w:top w:val="none" w:sz="0" w:space="0" w:color="auto"/>
        <w:left w:val="none" w:sz="0" w:space="0" w:color="auto"/>
        <w:bottom w:val="none" w:sz="0" w:space="0" w:color="auto"/>
        <w:right w:val="none" w:sz="0" w:space="0" w:color="auto"/>
      </w:divBdr>
    </w:div>
    <w:div w:id="783575193">
      <w:bodyDiv w:val="1"/>
      <w:marLeft w:val="0"/>
      <w:marRight w:val="0"/>
      <w:marTop w:val="0"/>
      <w:marBottom w:val="0"/>
      <w:divBdr>
        <w:top w:val="none" w:sz="0" w:space="0" w:color="auto"/>
        <w:left w:val="none" w:sz="0" w:space="0" w:color="auto"/>
        <w:bottom w:val="none" w:sz="0" w:space="0" w:color="auto"/>
        <w:right w:val="none" w:sz="0" w:space="0" w:color="auto"/>
      </w:divBdr>
    </w:div>
    <w:div w:id="783695764">
      <w:bodyDiv w:val="1"/>
      <w:marLeft w:val="0"/>
      <w:marRight w:val="0"/>
      <w:marTop w:val="0"/>
      <w:marBottom w:val="0"/>
      <w:divBdr>
        <w:top w:val="none" w:sz="0" w:space="0" w:color="auto"/>
        <w:left w:val="none" w:sz="0" w:space="0" w:color="auto"/>
        <w:bottom w:val="none" w:sz="0" w:space="0" w:color="auto"/>
        <w:right w:val="none" w:sz="0" w:space="0" w:color="auto"/>
      </w:divBdr>
    </w:div>
    <w:div w:id="783842900">
      <w:bodyDiv w:val="1"/>
      <w:marLeft w:val="0"/>
      <w:marRight w:val="0"/>
      <w:marTop w:val="0"/>
      <w:marBottom w:val="0"/>
      <w:divBdr>
        <w:top w:val="none" w:sz="0" w:space="0" w:color="auto"/>
        <w:left w:val="none" w:sz="0" w:space="0" w:color="auto"/>
        <w:bottom w:val="none" w:sz="0" w:space="0" w:color="auto"/>
        <w:right w:val="none" w:sz="0" w:space="0" w:color="auto"/>
      </w:divBdr>
    </w:div>
    <w:div w:id="783889600">
      <w:bodyDiv w:val="1"/>
      <w:marLeft w:val="0"/>
      <w:marRight w:val="0"/>
      <w:marTop w:val="0"/>
      <w:marBottom w:val="0"/>
      <w:divBdr>
        <w:top w:val="none" w:sz="0" w:space="0" w:color="auto"/>
        <w:left w:val="none" w:sz="0" w:space="0" w:color="auto"/>
        <w:bottom w:val="none" w:sz="0" w:space="0" w:color="auto"/>
        <w:right w:val="none" w:sz="0" w:space="0" w:color="auto"/>
      </w:divBdr>
    </w:div>
    <w:div w:id="784036630">
      <w:bodyDiv w:val="1"/>
      <w:marLeft w:val="0"/>
      <w:marRight w:val="0"/>
      <w:marTop w:val="0"/>
      <w:marBottom w:val="0"/>
      <w:divBdr>
        <w:top w:val="none" w:sz="0" w:space="0" w:color="auto"/>
        <w:left w:val="none" w:sz="0" w:space="0" w:color="auto"/>
        <w:bottom w:val="none" w:sz="0" w:space="0" w:color="auto"/>
        <w:right w:val="none" w:sz="0" w:space="0" w:color="auto"/>
      </w:divBdr>
    </w:div>
    <w:div w:id="784545021">
      <w:bodyDiv w:val="1"/>
      <w:marLeft w:val="0"/>
      <w:marRight w:val="0"/>
      <w:marTop w:val="0"/>
      <w:marBottom w:val="0"/>
      <w:divBdr>
        <w:top w:val="none" w:sz="0" w:space="0" w:color="auto"/>
        <w:left w:val="none" w:sz="0" w:space="0" w:color="auto"/>
        <w:bottom w:val="none" w:sz="0" w:space="0" w:color="auto"/>
        <w:right w:val="none" w:sz="0" w:space="0" w:color="auto"/>
      </w:divBdr>
    </w:div>
    <w:div w:id="784885277">
      <w:bodyDiv w:val="1"/>
      <w:marLeft w:val="0"/>
      <w:marRight w:val="0"/>
      <w:marTop w:val="0"/>
      <w:marBottom w:val="0"/>
      <w:divBdr>
        <w:top w:val="none" w:sz="0" w:space="0" w:color="auto"/>
        <w:left w:val="none" w:sz="0" w:space="0" w:color="auto"/>
        <w:bottom w:val="none" w:sz="0" w:space="0" w:color="auto"/>
        <w:right w:val="none" w:sz="0" w:space="0" w:color="auto"/>
      </w:divBdr>
    </w:div>
    <w:div w:id="785000296">
      <w:bodyDiv w:val="1"/>
      <w:marLeft w:val="0"/>
      <w:marRight w:val="0"/>
      <w:marTop w:val="0"/>
      <w:marBottom w:val="0"/>
      <w:divBdr>
        <w:top w:val="none" w:sz="0" w:space="0" w:color="auto"/>
        <w:left w:val="none" w:sz="0" w:space="0" w:color="auto"/>
        <w:bottom w:val="none" w:sz="0" w:space="0" w:color="auto"/>
        <w:right w:val="none" w:sz="0" w:space="0" w:color="auto"/>
      </w:divBdr>
    </w:div>
    <w:div w:id="785538256">
      <w:bodyDiv w:val="1"/>
      <w:marLeft w:val="0"/>
      <w:marRight w:val="0"/>
      <w:marTop w:val="0"/>
      <w:marBottom w:val="0"/>
      <w:divBdr>
        <w:top w:val="none" w:sz="0" w:space="0" w:color="auto"/>
        <w:left w:val="none" w:sz="0" w:space="0" w:color="auto"/>
        <w:bottom w:val="none" w:sz="0" w:space="0" w:color="auto"/>
        <w:right w:val="none" w:sz="0" w:space="0" w:color="auto"/>
      </w:divBdr>
    </w:div>
    <w:div w:id="785924298">
      <w:bodyDiv w:val="1"/>
      <w:marLeft w:val="0"/>
      <w:marRight w:val="0"/>
      <w:marTop w:val="0"/>
      <w:marBottom w:val="0"/>
      <w:divBdr>
        <w:top w:val="none" w:sz="0" w:space="0" w:color="auto"/>
        <w:left w:val="none" w:sz="0" w:space="0" w:color="auto"/>
        <w:bottom w:val="none" w:sz="0" w:space="0" w:color="auto"/>
        <w:right w:val="none" w:sz="0" w:space="0" w:color="auto"/>
      </w:divBdr>
    </w:div>
    <w:div w:id="786044960">
      <w:bodyDiv w:val="1"/>
      <w:marLeft w:val="0"/>
      <w:marRight w:val="0"/>
      <w:marTop w:val="0"/>
      <w:marBottom w:val="0"/>
      <w:divBdr>
        <w:top w:val="none" w:sz="0" w:space="0" w:color="auto"/>
        <w:left w:val="none" w:sz="0" w:space="0" w:color="auto"/>
        <w:bottom w:val="none" w:sz="0" w:space="0" w:color="auto"/>
        <w:right w:val="none" w:sz="0" w:space="0" w:color="auto"/>
      </w:divBdr>
    </w:div>
    <w:div w:id="786236128">
      <w:bodyDiv w:val="1"/>
      <w:marLeft w:val="0"/>
      <w:marRight w:val="0"/>
      <w:marTop w:val="0"/>
      <w:marBottom w:val="0"/>
      <w:divBdr>
        <w:top w:val="none" w:sz="0" w:space="0" w:color="auto"/>
        <w:left w:val="none" w:sz="0" w:space="0" w:color="auto"/>
        <w:bottom w:val="none" w:sz="0" w:space="0" w:color="auto"/>
        <w:right w:val="none" w:sz="0" w:space="0" w:color="auto"/>
      </w:divBdr>
    </w:div>
    <w:div w:id="786318409">
      <w:bodyDiv w:val="1"/>
      <w:marLeft w:val="0"/>
      <w:marRight w:val="0"/>
      <w:marTop w:val="0"/>
      <w:marBottom w:val="0"/>
      <w:divBdr>
        <w:top w:val="none" w:sz="0" w:space="0" w:color="auto"/>
        <w:left w:val="none" w:sz="0" w:space="0" w:color="auto"/>
        <w:bottom w:val="none" w:sz="0" w:space="0" w:color="auto"/>
        <w:right w:val="none" w:sz="0" w:space="0" w:color="auto"/>
      </w:divBdr>
    </w:div>
    <w:div w:id="786511008">
      <w:bodyDiv w:val="1"/>
      <w:marLeft w:val="0"/>
      <w:marRight w:val="0"/>
      <w:marTop w:val="0"/>
      <w:marBottom w:val="0"/>
      <w:divBdr>
        <w:top w:val="none" w:sz="0" w:space="0" w:color="auto"/>
        <w:left w:val="none" w:sz="0" w:space="0" w:color="auto"/>
        <w:bottom w:val="none" w:sz="0" w:space="0" w:color="auto"/>
        <w:right w:val="none" w:sz="0" w:space="0" w:color="auto"/>
      </w:divBdr>
    </w:div>
    <w:div w:id="786848773">
      <w:bodyDiv w:val="1"/>
      <w:marLeft w:val="0"/>
      <w:marRight w:val="0"/>
      <w:marTop w:val="0"/>
      <w:marBottom w:val="0"/>
      <w:divBdr>
        <w:top w:val="none" w:sz="0" w:space="0" w:color="auto"/>
        <w:left w:val="none" w:sz="0" w:space="0" w:color="auto"/>
        <w:bottom w:val="none" w:sz="0" w:space="0" w:color="auto"/>
        <w:right w:val="none" w:sz="0" w:space="0" w:color="auto"/>
      </w:divBdr>
    </w:div>
    <w:div w:id="787091521">
      <w:bodyDiv w:val="1"/>
      <w:marLeft w:val="0"/>
      <w:marRight w:val="0"/>
      <w:marTop w:val="0"/>
      <w:marBottom w:val="0"/>
      <w:divBdr>
        <w:top w:val="none" w:sz="0" w:space="0" w:color="auto"/>
        <w:left w:val="none" w:sz="0" w:space="0" w:color="auto"/>
        <w:bottom w:val="none" w:sz="0" w:space="0" w:color="auto"/>
        <w:right w:val="none" w:sz="0" w:space="0" w:color="auto"/>
      </w:divBdr>
    </w:div>
    <w:div w:id="787239716">
      <w:bodyDiv w:val="1"/>
      <w:marLeft w:val="0"/>
      <w:marRight w:val="0"/>
      <w:marTop w:val="0"/>
      <w:marBottom w:val="0"/>
      <w:divBdr>
        <w:top w:val="none" w:sz="0" w:space="0" w:color="auto"/>
        <w:left w:val="none" w:sz="0" w:space="0" w:color="auto"/>
        <w:bottom w:val="none" w:sz="0" w:space="0" w:color="auto"/>
        <w:right w:val="none" w:sz="0" w:space="0" w:color="auto"/>
      </w:divBdr>
    </w:div>
    <w:div w:id="788008034">
      <w:bodyDiv w:val="1"/>
      <w:marLeft w:val="0"/>
      <w:marRight w:val="0"/>
      <w:marTop w:val="0"/>
      <w:marBottom w:val="0"/>
      <w:divBdr>
        <w:top w:val="none" w:sz="0" w:space="0" w:color="auto"/>
        <w:left w:val="none" w:sz="0" w:space="0" w:color="auto"/>
        <w:bottom w:val="none" w:sz="0" w:space="0" w:color="auto"/>
        <w:right w:val="none" w:sz="0" w:space="0" w:color="auto"/>
      </w:divBdr>
    </w:div>
    <w:div w:id="788858039">
      <w:bodyDiv w:val="1"/>
      <w:marLeft w:val="0"/>
      <w:marRight w:val="0"/>
      <w:marTop w:val="0"/>
      <w:marBottom w:val="0"/>
      <w:divBdr>
        <w:top w:val="none" w:sz="0" w:space="0" w:color="auto"/>
        <w:left w:val="none" w:sz="0" w:space="0" w:color="auto"/>
        <w:bottom w:val="none" w:sz="0" w:space="0" w:color="auto"/>
        <w:right w:val="none" w:sz="0" w:space="0" w:color="auto"/>
      </w:divBdr>
    </w:div>
    <w:div w:id="789468521">
      <w:bodyDiv w:val="1"/>
      <w:marLeft w:val="0"/>
      <w:marRight w:val="0"/>
      <w:marTop w:val="0"/>
      <w:marBottom w:val="0"/>
      <w:divBdr>
        <w:top w:val="none" w:sz="0" w:space="0" w:color="auto"/>
        <w:left w:val="none" w:sz="0" w:space="0" w:color="auto"/>
        <w:bottom w:val="none" w:sz="0" w:space="0" w:color="auto"/>
        <w:right w:val="none" w:sz="0" w:space="0" w:color="auto"/>
      </w:divBdr>
    </w:div>
    <w:div w:id="789710570">
      <w:bodyDiv w:val="1"/>
      <w:marLeft w:val="0"/>
      <w:marRight w:val="0"/>
      <w:marTop w:val="0"/>
      <w:marBottom w:val="0"/>
      <w:divBdr>
        <w:top w:val="none" w:sz="0" w:space="0" w:color="auto"/>
        <w:left w:val="none" w:sz="0" w:space="0" w:color="auto"/>
        <w:bottom w:val="none" w:sz="0" w:space="0" w:color="auto"/>
        <w:right w:val="none" w:sz="0" w:space="0" w:color="auto"/>
      </w:divBdr>
    </w:div>
    <w:div w:id="790055503">
      <w:bodyDiv w:val="1"/>
      <w:marLeft w:val="0"/>
      <w:marRight w:val="0"/>
      <w:marTop w:val="0"/>
      <w:marBottom w:val="0"/>
      <w:divBdr>
        <w:top w:val="none" w:sz="0" w:space="0" w:color="auto"/>
        <w:left w:val="none" w:sz="0" w:space="0" w:color="auto"/>
        <w:bottom w:val="none" w:sz="0" w:space="0" w:color="auto"/>
        <w:right w:val="none" w:sz="0" w:space="0" w:color="auto"/>
      </w:divBdr>
    </w:div>
    <w:div w:id="790780764">
      <w:bodyDiv w:val="1"/>
      <w:marLeft w:val="0"/>
      <w:marRight w:val="0"/>
      <w:marTop w:val="0"/>
      <w:marBottom w:val="0"/>
      <w:divBdr>
        <w:top w:val="none" w:sz="0" w:space="0" w:color="auto"/>
        <w:left w:val="none" w:sz="0" w:space="0" w:color="auto"/>
        <w:bottom w:val="none" w:sz="0" w:space="0" w:color="auto"/>
        <w:right w:val="none" w:sz="0" w:space="0" w:color="auto"/>
      </w:divBdr>
    </w:div>
    <w:div w:id="791242456">
      <w:bodyDiv w:val="1"/>
      <w:marLeft w:val="0"/>
      <w:marRight w:val="0"/>
      <w:marTop w:val="0"/>
      <w:marBottom w:val="0"/>
      <w:divBdr>
        <w:top w:val="none" w:sz="0" w:space="0" w:color="auto"/>
        <w:left w:val="none" w:sz="0" w:space="0" w:color="auto"/>
        <w:bottom w:val="none" w:sz="0" w:space="0" w:color="auto"/>
        <w:right w:val="none" w:sz="0" w:space="0" w:color="auto"/>
      </w:divBdr>
    </w:div>
    <w:div w:id="791436255">
      <w:bodyDiv w:val="1"/>
      <w:marLeft w:val="0"/>
      <w:marRight w:val="0"/>
      <w:marTop w:val="0"/>
      <w:marBottom w:val="0"/>
      <w:divBdr>
        <w:top w:val="none" w:sz="0" w:space="0" w:color="auto"/>
        <w:left w:val="none" w:sz="0" w:space="0" w:color="auto"/>
        <w:bottom w:val="none" w:sz="0" w:space="0" w:color="auto"/>
        <w:right w:val="none" w:sz="0" w:space="0" w:color="auto"/>
      </w:divBdr>
    </w:div>
    <w:div w:id="791830654">
      <w:bodyDiv w:val="1"/>
      <w:marLeft w:val="0"/>
      <w:marRight w:val="0"/>
      <w:marTop w:val="0"/>
      <w:marBottom w:val="0"/>
      <w:divBdr>
        <w:top w:val="none" w:sz="0" w:space="0" w:color="auto"/>
        <w:left w:val="none" w:sz="0" w:space="0" w:color="auto"/>
        <w:bottom w:val="none" w:sz="0" w:space="0" w:color="auto"/>
        <w:right w:val="none" w:sz="0" w:space="0" w:color="auto"/>
      </w:divBdr>
    </w:div>
    <w:div w:id="792283849">
      <w:bodyDiv w:val="1"/>
      <w:marLeft w:val="0"/>
      <w:marRight w:val="0"/>
      <w:marTop w:val="0"/>
      <w:marBottom w:val="0"/>
      <w:divBdr>
        <w:top w:val="none" w:sz="0" w:space="0" w:color="auto"/>
        <w:left w:val="none" w:sz="0" w:space="0" w:color="auto"/>
        <w:bottom w:val="none" w:sz="0" w:space="0" w:color="auto"/>
        <w:right w:val="none" w:sz="0" w:space="0" w:color="auto"/>
      </w:divBdr>
    </w:div>
    <w:div w:id="793059077">
      <w:bodyDiv w:val="1"/>
      <w:marLeft w:val="0"/>
      <w:marRight w:val="0"/>
      <w:marTop w:val="0"/>
      <w:marBottom w:val="0"/>
      <w:divBdr>
        <w:top w:val="none" w:sz="0" w:space="0" w:color="auto"/>
        <w:left w:val="none" w:sz="0" w:space="0" w:color="auto"/>
        <w:bottom w:val="none" w:sz="0" w:space="0" w:color="auto"/>
        <w:right w:val="none" w:sz="0" w:space="0" w:color="auto"/>
      </w:divBdr>
    </w:div>
    <w:div w:id="793209050">
      <w:bodyDiv w:val="1"/>
      <w:marLeft w:val="0"/>
      <w:marRight w:val="0"/>
      <w:marTop w:val="0"/>
      <w:marBottom w:val="0"/>
      <w:divBdr>
        <w:top w:val="none" w:sz="0" w:space="0" w:color="auto"/>
        <w:left w:val="none" w:sz="0" w:space="0" w:color="auto"/>
        <w:bottom w:val="none" w:sz="0" w:space="0" w:color="auto"/>
        <w:right w:val="none" w:sz="0" w:space="0" w:color="auto"/>
      </w:divBdr>
    </w:div>
    <w:div w:id="793257874">
      <w:bodyDiv w:val="1"/>
      <w:marLeft w:val="0"/>
      <w:marRight w:val="0"/>
      <w:marTop w:val="0"/>
      <w:marBottom w:val="0"/>
      <w:divBdr>
        <w:top w:val="none" w:sz="0" w:space="0" w:color="auto"/>
        <w:left w:val="none" w:sz="0" w:space="0" w:color="auto"/>
        <w:bottom w:val="none" w:sz="0" w:space="0" w:color="auto"/>
        <w:right w:val="none" w:sz="0" w:space="0" w:color="auto"/>
      </w:divBdr>
    </w:div>
    <w:div w:id="793988727">
      <w:bodyDiv w:val="1"/>
      <w:marLeft w:val="0"/>
      <w:marRight w:val="0"/>
      <w:marTop w:val="0"/>
      <w:marBottom w:val="0"/>
      <w:divBdr>
        <w:top w:val="none" w:sz="0" w:space="0" w:color="auto"/>
        <w:left w:val="none" w:sz="0" w:space="0" w:color="auto"/>
        <w:bottom w:val="none" w:sz="0" w:space="0" w:color="auto"/>
        <w:right w:val="none" w:sz="0" w:space="0" w:color="auto"/>
      </w:divBdr>
    </w:div>
    <w:div w:id="794369404">
      <w:bodyDiv w:val="1"/>
      <w:marLeft w:val="0"/>
      <w:marRight w:val="0"/>
      <w:marTop w:val="0"/>
      <w:marBottom w:val="0"/>
      <w:divBdr>
        <w:top w:val="none" w:sz="0" w:space="0" w:color="auto"/>
        <w:left w:val="none" w:sz="0" w:space="0" w:color="auto"/>
        <w:bottom w:val="none" w:sz="0" w:space="0" w:color="auto"/>
        <w:right w:val="none" w:sz="0" w:space="0" w:color="auto"/>
      </w:divBdr>
    </w:div>
    <w:div w:id="795026241">
      <w:bodyDiv w:val="1"/>
      <w:marLeft w:val="0"/>
      <w:marRight w:val="0"/>
      <w:marTop w:val="0"/>
      <w:marBottom w:val="0"/>
      <w:divBdr>
        <w:top w:val="none" w:sz="0" w:space="0" w:color="auto"/>
        <w:left w:val="none" w:sz="0" w:space="0" w:color="auto"/>
        <w:bottom w:val="none" w:sz="0" w:space="0" w:color="auto"/>
        <w:right w:val="none" w:sz="0" w:space="0" w:color="auto"/>
      </w:divBdr>
    </w:div>
    <w:div w:id="795683770">
      <w:bodyDiv w:val="1"/>
      <w:marLeft w:val="0"/>
      <w:marRight w:val="0"/>
      <w:marTop w:val="0"/>
      <w:marBottom w:val="0"/>
      <w:divBdr>
        <w:top w:val="none" w:sz="0" w:space="0" w:color="auto"/>
        <w:left w:val="none" w:sz="0" w:space="0" w:color="auto"/>
        <w:bottom w:val="none" w:sz="0" w:space="0" w:color="auto"/>
        <w:right w:val="none" w:sz="0" w:space="0" w:color="auto"/>
      </w:divBdr>
    </w:div>
    <w:div w:id="796070836">
      <w:bodyDiv w:val="1"/>
      <w:marLeft w:val="0"/>
      <w:marRight w:val="0"/>
      <w:marTop w:val="0"/>
      <w:marBottom w:val="0"/>
      <w:divBdr>
        <w:top w:val="none" w:sz="0" w:space="0" w:color="auto"/>
        <w:left w:val="none" w:sz="0" w:space="0" w:color="auto"/>
        <w:bottom w:val="none" w:sz="0" w:space="0" w:color="auto"/>
        <w:right w:val="none" w:sz="0" w:space="0" w:color="auto"/>
      </w:divBdr>
    </w:div>
    <w:div w:id="796222331">
      <w:bodyDiv w:val="1"/>
      <w:marLeft w:val="0"/>
      <w:marRight w:val="0"/>
      <w:marTop w:val="0"/>
      <w:marBottom w:val="0"/>
      <w:divBdr>
        <w:top w:val="none" w:sz="0" w:space="0" w:color="auto"/>
        <w:left w:val="none" w:sz="0" w:space="0" w:color="auto"/>
        <w:bottom w:val="none" w:sz="0" w:space="0" w:color="auto"/>
        <w:right w:val="none" w:sz="0" w:space="0" w:color="auto"/>
      </w:divBdr>
    </w:div>
    <w:div w:id="796604268">
      <w:bodyDiv w:val="1"/>
      <w:marLeft w:val="0"/>
      <w:marRight w:val="0"/>
      <w:marTop w:val="0"/>
      <w:marBottom w:val="0"/>
      <w:divBdr>
        <w:top w:val="none" w:sz="0" w:space="0" w:color="auto"/>
        <w:left w:val="none" w:sz="0" w:space="0" w:color="auto"/>
        <w:bottom w:val="none" w:sz="0" w:space="0" w:color="auto"/>
        <w:right w:val="none" w:sz="0" w:space="0" w:color="auto"/>
      </w:divBdr>
    </w:div>
    <w:div w:id="796684821">
      <w:bodyDiv w:val="1"/>
      <w:marLeft w:val="0"/>
      <w:marRight w:val="0"/>
      <w:marTop w:val="0"/>
      <w:marBottom w:val="0"/>
      <w:divBdr>
        <w:top w:val="none" w:sz="0" w:space="0" w:color="auto"/>
        <w:left w:val="none" w:sz="0" w:space="0" w:color="auto"/>
        <w:bottom w:val="none" w:sz="0" w:space="0" w:color="auto"/>
        <w:right w:val="none" w:sz="0" w:space="0" w:color="auto"/>
      </w:divBdr>
    </w:div>
    <w:div w:id="796728815">
      <w:bodyDiv w:val="1"/>
      <w:marLeft w:val="0"/>
      <w:marRight w:val="0"/>
      <w:marTop w:val="0"/>
      <w:marBottom w:val="0"/>
      <w:divBdr>
        <w:top w:val="none" w:sz="0" w:space="0" w:color="auto"/>
        <w:left w:val="none" w:sz="0" w:space="0" w:color="auto"/>
        <w:bottom w:val="none" w:sz="0" w:space="0" w:color="auto"/>
        <w:right w:val="none" w:sz="0" w:space="0" w:color="auto"/>
      </w:divBdr>
    </w:div>
    <w:div w:id="797070464">
      <w:bodyDiv w:val="1"/>
      <w:marLeft w:val="0"/>
      <w:marRight w:val="0"/>
      <w:marTop w:val="0"/>
      <w:marBottom w:val="0"/>
      <w:divBdr>
        <w:top w:val="none" w:sz="0" w:space="0" w:color="auto"/>
        <w:left w:val="none" w:sz="0" w:space="0" w:color="auto"/>
        <w:bottom w:val="none" w:sz="0" w:space="0" w:color="auto"/>
        <w:right w:val="none" w:sz="0" w:space="0" w:color="auto"/>
      </w:divBdr>
    </w:div>
    <w:div w:id="797451261">
      <w:bodyDiv w:val="1"/>
      <w:marLeft w:val="0"/>
      <w:marRight w:val="0"/>
      <w:marTop w:val="0"/>
      <w:marBottom w:val="0"/>
      <w:divBdr>
        <w:top w:val="none" w:sz="0" w:space="0" w:color="auto"/>
        <w:left w:val="none" w:sz="0" w:space="0" w:color="auto"/>
        <w:bottom w:val="none" w:sz="0" w:space="0" w:color="auto"/>
        <w:right w:val="none" w:sz="0" w:space="0" w:color="auto"/>
      </w:divBdr>
    </w:div>
    <w:div w:id="797457179">
      <w:bodyDiv w:val="1"/>
      <w:marLeft w:val="0"/>
      <w:marRight w:val="0"/>
      <w:marTop w:val="0"/>
      <w:marBottom w:val="0"/>
      <w:divBdr>
        <w:top w:val="none" w:sz="0" w:space="0" w:color="auto"/>
        <w:left w:val="none" w:sz="0" w:space="0" w:color="auto"/>
        <w:bottom w:val="none" w:sz="0" w:space="0" w:color="auto"/>
        <w:right w:val="none" w:sz="0" w:space="0" w:color="auto"/>
      </w:divBdr>
    </w:div>
    <w:div w:id="797532961">
      <w:bodyDiv w:val="1"/>
      <w:marLeft w:val="0"/>
      <w:marRight w:val="0"/>
      <w:marTop w:val="0"/>
      <w:marBottom w:val="0"/>
      <w:divBdr>
        <w:top w:val="none" w:sz="0" w:space="0" w:color="auto"/>
        <w:left w:val="none" w:sz="0" w:space="0" w:color="auto"/>
        <w:bottom w:val="none" w:sz="0" w:space="0" w:color="auto"/>
        <w:right w:val="none" w:sz="0" w:space="0" w:color="auto"/>
      </w:divBdr>
    </w:div>
    <w:div w:id="797795990">
      <w:bodyDiv w:val="1"/>
      <w:marLeft w:val="0"/>
      <w:marRight w:val="0"/>
      <w:marTop w:val="0"/>
      <w:marBottom w:val="0"/>
      <w:divBdr>
        <w:top w:val="none" w:sz="0" w:space="0" w:color="auto"/>
        <w:left w:val="none" w:sz="0" w:space="0" w:color="auto"/>
        <w:bottom w:val="none" w:sz="0" w:space="0" w:color="auto"/>
        <w:right w:val="none" w:sz="0" w:space="0" w:color="auto"/>
      </w:divBdr>
    </w:div>
    <w:div w:id="798034141">
      <w:bodyDiv w:val="1"/>
      <w:marLeft w:val="0"/>
      <w:marRight w:val="0"/>
      <w:marTop w:val="0"/>
      <w:marBottom w:val="0"/>
      <w:divBdr>
        <w:top w:val="none" w:sz="0" w:space="0" w:color="auto"/>
        <w:left w:val="none" w:sz="0" w:space="0" w:color="auto"/>
        <w:bottom w:val="none" w:sz="0" w:space="0" w:color="auto"/>
        <w:right w:val="none" w:sz="0" w:space="0" w:color="auto"/>
      </w:divBdr>
    </w:div>
    <w:div w:id="798375397">
      <w:bodyDiv w:val="1"/>
      <w:marLeft w:val="0"/>
      <w:marRight w:val="0"/>
      <w:marTop w:val="0"/>
      <w:marBottom w:val="0"/>
      <w:divBdr>
        <w:top w:val="none" w:sz="0" w:space="0" w:color="auto"/>
        <w:left w:val="none" w:sz="0" w:space="0" w:color="auto"/>
        <w:bottom w:val="none" w:sz="0" w:space="0" w:color="auto"/>
        <w:right w:val="none" w:sz="0" w:space="0" w:color="auto"/>
      </w:divBdr>
    </w:div>
    <w:div w:id="799229171">
      <w:bodyDiv w:val="1"/>
      <w:marLeft w:val="0"/>
      <w:marRight w:val="0"/>
      <w:marTop w:val="0"/>
      <w:marBottom w:val="0"/>
      <w:divBdr>
        <w:top w:val="none" w:sz="0" w:space="0" w:color="auto"/>
        <w:left w:val="none" w:sz="0" w:space="0" w:color="auto"/>
        <w:bottom w:val="none" w:sz="0" w:space="0" w:color="auto"/>
        <w:right w:val="none" w:sz="0" w:space="0" w:color="auto"/>
      </w:divBdr>
    </w:div>
    <w:div w:id="799346595">
      <w:bodyDiv w:val="1"/>
      <w:marLeft w:val="0"/>
      <w:marRight w:val="0"/>
      <w:marTop w:val="0"/>
      <w:marBottom w:val="0"/>
      <w:divBdr>
        <w:top w:val="none" w:sz="0" w:space="0" w:color="auto"/>
        <w:left w:val="none" w:sz="0" w:space="0" w:color="auto"/>
        <w:bottom w:val="none" w:sz="0" w:space="0" w:color="auto"/>
        <w:right w:val="none" w:sz="0" w:space="0" w:color="auto"/>
      </w:divBdr>
    </w:div>
    <w:div w:id="799347879">
      <w:bodyDiv w:val="1"/>
      <w:marLeft w:val="0"/>
      <w:marRight w:val="0"/>
      <w:marTop w:val="0"/>
      <w:marBottom w:val="0"/>
      <w:divBdr>
        <w:top w:val="none" w:sz="0" w:space="0" w:color="auto"/>
        <w:left w:val="none" w:sz="0" w:space="0" w:color="auto"/>
        <w:bottom w:val="none" w:sz="0" w:space="0" w:color="auto"/>
        <w:right w:val="none" w:sz="0" w:space="0" w:color="auto"/>
      </w:divBdr>
    </w:div>
    <w:div w:id="799490901">
      <w:bodyDiv w:val="1"/>
      <w:marLeft w:val="0"/>
      <w:marRight w:val="0"/>
      <w:marTop w:val="0"/>
      <w:marBottom w:val="0"/>
      <w:divBdr>
        <w:top w:val="none" w:sz="0" w:space="0" w:color="auto"/>
        <w:left w:val="none" w:sz="0" w:space="0" w:color="auto"/>
        <w:bottom w:val="none" w:sz="0" w:space="0" w:color="auto"/>
        <w:right w:val="none" w:sz="0" w:space="0" w:color="auto"/>
      </w:divBdr>
    </w:div>
    <w:div w:id="799500592">
      <w:bodyDiv w:val="1"/>
      <w:marLeft w:val="0"/>
      <w:marRight w:val="0"/>
      <w:marTop w:val="0"/>
      <w:marBottom w:val="0"/>
      <w:divBdr>
        <w:top w:val="none" w:sz="0" w:space="0" w:color="auto"/>
        <w:left w:val="none" w:sz="0" w:space="0" w:color="auto"/>
        <w:bottom w:val="none" w:sz="0" w:space="0" w:color="auto"/>
        <w:right w:val="none" w:sz="0" w:space="0" w:color="auto"/>
      </w:divBdr>
    </w:div>
    <w:div w:id="799762711">
      <w:bodyDiv w:val="1"/>
      <w:marLeft w:val="0"/>
      <w:marRight w:val="0"/>
      <w:marTop w:val="0"/>
      <w:marBottom w:val="0"/>
      <w:divBdr>
        <w:top w:val="none" w:sz="0" w:space="0" w:color="auto"/>
        <w:left w:val="none" w:sz="0" w:space="0" w:color="auto"/>
        <w:bottom w:val="none" w:sz="0" w:space="0" w:color="auto"/>
        <w:right w:val="none" w:sz="0" w:space="0" w:color="auto"/>
      </w:divBdr>
    </w:div>
    <w:div w:id="799768273">
      <w:bodyDiv w:val="1"/>
      <w:marLeft w:val="0"/>
      <w:marRight w:val="0"/>
      <w:marTop w:val="0"/>
      <w:marBottom w:val="0"/>
      <w:divBdr>
        <w:top w:val="none" w:sz="0" w:space="0" w:color="auto"/>
        <w:left w:val="none" w:sz="0" w:space="0" w:color="auto"/>
        <w:bottom w:val="none" w:sz="0" w:space="0" w:color="auto"/>
        <w:right w:val="none" w:sz="0" w:space="0" w:color="auto"/>
      </w:divBdr>
    </w:div>
    <w:div w:id="799810523">
      <w:bodyDiv w:val="1"/>
      <w:marLeft w:val="0"/>
      <w:marRight w:val="0"/>
      <w:marTop w:val="0"/>
      <w:marBottom w:val="0"/>
      <w:divBdr>
        <w:top w:val="none" w:sz="0" w:space="0" w:color="auto"/>
        <w:left w:val="none" w:sz="0" w:space="0" w:color="auto"/>
        <w:bottom w:val="none" w:sz="0" w:space="0" w:color="auto"/>
        <w:right w:val="none" w:sz="0" w:space="0" w:color="auto"/>
      </w:divBdr>
    </w:div>
    <w:div w:id="799883443">
      <w:bodyDiv w:val="1"/>
      <w:marLeft w:val="0"/>
      <w:marRight w:val="0"/>
      <w:marTop w:val="0"/>
      <w:marBottom w:val="0"/>
      <w:divBdr>
        <w:top w:val="none" w:sz="0" w:space="0" w:color="auto"/>
        <w:left w:val="none" w:sz="0" w:space="0" w:color="auto"/>
        <w:bottom w:val="none" w:sz="0" w:space="0" w:color="auto"/>
        <w:right w:val="none" w:sz="0" w:space="0" w:color="auto"/>
      </w:divBdr>
    </w:div>
    <w:div w:id="799999906">
      <w:bodyDiv w:val="1"/>
      <w:marLeft w:val="0"/>
      <w:marRight w:val="0"/>
      <w:marTop w:val="0"/>
      <w:marBottom w:val="0"/>
      <w:divBdr>
        <w:top w:val="none" w:sz="0" w:space="0" w:color="auto"/>
        <w:left w:val="none" w:sz="0" w:space="0" w:color="auto"/>
        <w:bottom w:val="none" w:sz="0" w:space="0" w:color="auto"/>
        <w:right w:val="none" w:sz="0" w:space="0" w:color="auto"/>
      </w:divBdr>
    </w:div>
    <w:div w:id="801002511">
      <w:bodyDiv w:val="1"/>
      <w:marLeft w:val="0"/>
      <w:marRight w:val="0"/>
      <w:marTop w:val="0"/>
      <w:marBottom w:val="0"/>
      <w:divBdr>
        <w:top w:val="none" w:sz="0" w:space="0" w:color="auto"/>
        <w:left w:val="none" w:sz="0" w:space="0" w:color="auto"/>
        <w:bottom w:val="none" w:sz="0" w:space="0" w:color="auto"/>
        <w:right w:val="none" w:sz="0" w:space="0" w:color="auto"/>
      </w:divBdr>
    </w:div>
    <w:div w:id="801071773">
      <w:bodyDiv w:val="1"/>
      <w:marLeft w:val="0"/>
      <w:marRight w:val="0"/>
      <w:marTop w:val="0"/>
      <w:marBottom w:val="0"/>
      <w:divBdr>
        <w:top w:val="none" w:sz="0" w:space="0" w:color="auto"/>
        <w:left w:val="none" w:sz="0" w:space="0" w:color="auto"/>
        <w:bottom w:val="none" w:sz="0" w:space="0" w:color="auto"/>
        <w:right w:val="none" w:sz="0" w:space="0" w:color="auto"/>
      </w:divBdr>
    </w:div>
    <w:div w:id="801192014">
      <w:bodyDiv w:val="1"/>
      <w:marLeft w:val="0"/>
      <w:marRight w:val="0"/>
      <w:marTop w:val="0"/>
      <w:marBottom w:val="0"/>
      <w:divBdr>
        <w:top w:val="none" w:sz="0" w:space="0" w:color="auto"/>
        <w:left w:val="none" w:sz="0" w:space="0" w:color="auto"/>
        <w:bottom w:val="none" w:sz="0" w:space="0" w:color="auto"/>
        <w:right w:val="none" w:sz="0" w:space="0" w:color="auto"/>
      </w:divBdr>
    </w:div>
    <w:div w:id="801193556">
      <w:bodyDiv w:val="1"/>
      <w:marLeft w:val="0"/>
      <w:marRight w:val="0"/>
      <w:marTop w:val="0"/>
      <w:marBottom w:val="0"/>
      <w:divBdr>
        <w:top w:val="none" w:sz="0" w:space="0" w:color="auto"/>
        <w:left w:val="none" w:sz="0" w:space="0" w:color="auto"/>
        <w:bottom w:val="none" w:sz="0" w:space="0" w:color="auto"/>
        <w:right w:val="none" w:sz="0" w:space="0" w:color="auto"/>
      </w:divBdr>
    </w:div>
    <w:div w:id="801311151">
      <w:bodyDiv w:val="1"/>
      <w:marLeft w:val="0"/>
      <w:marRight w:val="0"/>
      <w:marTop w:val="0"/>
      <w:marBottom w:val="0"/>
      <w:divBdr>
        <w:top w:val="none" w:sz="0" w:space="0" w:color="auto"/>
        <w:left w:val="none" w:sz="0" w:space="0" w:color="auto"/>
        <w:bottom w:val="none" w:sz="0" w:space="0" w:color="auto"/>
        <w:right w:val="none" w:sz="0" w:space="0" w:color="auto"/>
      </w:divBdr>
    </w:div>
    <w:div w:id="801577776">
      <w:bodyDiv w:val="1"/>
      <w:marLeft w:val="0"/>
      <w:marRight w:val="0"/>
      <w:marTop w:val="0"/>
      <w:marBottom w:val="0"/>
      <w:divBdr>
        <w:top w:val="none" w:sz="0" w:space="0" w:color="auto"/>
        <w:left w:val="none" w:sz="0" w:space="0" w:color="auto"/>
        <w:bottom w:val="none" w:sz="0" w:space="0" w:color="auto"/>
        <w:right w:val="none" w:sz="0" w:space="0" w:color="auto"/>
      </w:divBdr>
    </w:div>
    <w:div w:id="801848367">
      <w:bodyDiv w:val="1"/>
      <w:marLeft w:val="0"/>
      <w:marRight w:val="0"/>
      <w:marTop w:val="0"/>
      <w:marBottom w:val="0"/>
      <w:divBdr>
        <w:top w:val="none" w:sz="0" w:space="0" w:color="auto"/>
        <w:left w:val="none" w:sz="0" w:space="0" w:color="auto"/>
        <w:bottom w:val="none" w:sz="0" w:space="0" w:color="auto"/>
        <w:right w:val="none" w:sz="0" w:space="0" w:color="auto"/>
      </w:divBdr>
    </w:div>
    <w:div w:id="802431991">
      <w:bodyDiv w:val="1"/>
      <w:marLeft w:val="0"/>
      <w:marRight w:val="0"/>
      <w:marTop w:val="0"/>
      <w:marBottom w:val="0"/>
      <w:divBdr>
        <w:top w:val="none" w:sz="0" w:space="0" w:color="auto"/>
        <w:left w:val="none" w:sz="0" w:space="0" w:color="auto"/>
        <w:bottom w:val="none" w:sz="0" w:space="0" w:color="auto"/>
        <w:right w:val="none" w:sz="0" w:space="0" w:color="auto"/>
      </w:divBdr>
    </w:div>
    <w:div w:id="802649221">
      <w:bodyDiv w:val="1"/>
      <w:marLeft w:val="0"/>
      <w:marRight w:val="0"/>
      <w:marTop w:val="0"/>
      <w:marBottom w:val="0"/>
      <w:divBdr>
        <w:top w:val="none" w:sz="0" w:space="0" w:color="auto"/>
        <w:left w:val="none" w:sz="0" w:space="0" w:color="auto"/>
        <w:bottom w:val="none" w:sz="0" w:space="0" w:color="auto"/>
        <w:right w:val="none" w:sz="0" w:space="0" w:color="auto"/>
      </w:divBdr>
    </w:div>
    <w:div w:id="802695966">
      <w:bodyDiv w:val="1"/>
      <w:marLeft w:val="0"/>
      <w:marRight w:val="0"/>
      <w:marTop w:val="0"/>
      <w:marBottom w:val="0"/>
      <w:divBdr>
        <w:top w:val="none" w:sz="0" w:space="0" w:color="auto"/>
        <w:left w:val="none" w:sz="0" w:space="0" w:color="auto"/>
        <w:bottom w:val="none" w:sz="0" w:space="0" w:color="auto"/>
        <w:right w:val="none" w:sz="0" w:space="0" w:color="auto"/>
      </w:divBdr>
    </w:div>
    <w:div w:id="802892997">
      <w:bodyDiv w:val="1"/>
      <w:marLeft w:val="0"/>
      <w:marRight w:val="0"/>
      <w:marTop w:val="0"/>
      <w:marBottom w:val="0"/>
      <w:divBdr>
        <w:top w:val="none" w:sz="0" w:space="0" w:color="auto"/>
        <w:left w:val="none" w:sz="0" w:space="0" w:color="auto"/>
        <w:bottom w:val="none" w:sz="0" w:space="0" w:color="auto"/>
        <w:right w:val="none" w:sz="0" w:space="0" w:color="auto"/>
      </w:divBdr>
    </w:div>
    <w:div w:id="803232115">
      <w:bodyDiv w:val="1"/>
      <w:marLeft w:val="0"/>
      <w:marRight w:val="0"/>
      <w:marTop w:val="0"/>
      <w:marBottom w:val="0"/>
      <w:divBdr>
        <w:top w:val="none" w:sz="0" w:space="0" w:color="auto"/>
        <w:left w:val="none" w:sz="0" w:space="0" w:color="auto"/>
        <w:bottom w:val="none" w:sz="0" w:space="0" w:color="auto"/>
        <w:right w:val="none" w:sz="0" w:space="0" w:color="auto"/>
      </w:divBdr>
    </w:div>
    <w:div w:id="803276024">
      <w:bodyDiv w:val="1"/>
      <w:marLeft w:val="0"/>
      <w:marRight w:val="0"/>
      <w:marTop w:val="0"/>
      <w:marBottom w:val="0"/>
      <w:divBdr>
        <w:top w:val="none" w:sz="0" w:space="0" w:color="auto"/>
        <w:left w:val="none" w:sz="0" w:space="0" w:color="auto"/>
        <w:bottom w:val="none" w:sz="0" w:space="0" w:color="auto"/>
        <w:right w:val="none" w:sz="0" w:space="0" w:color="auto"/>
      </w:divBdr>
    </w:div>
    <w:div w:id="803818330">
      <w:bodyDiv w:val="1"/>
      <w:marLeft w:val="0"/>
      <w:marRight w:val="0"/>
      <w:marTop w:val="0"/>
      <w:marBottom w:val="0"/>
      <w:divBdr>
        <w:top w:val="none" w:sz="0" w:space="0" w:color="auto"/>
        <w:left w:val="none" w:sz="0" w:space="0" w:color="auto"/>
        <w:bottom w:val="none" w:sz="0" w:space="0" w:color="auto"/>
        <w:right w:val="none" w:sz="0" w:space="0" w:color="auto"/>
      </w:divBdr>
    </w:div>
    <w:div w:id="804004327">
      <w:bodyDiv w:val="1"/>
      <w:marLeft w:val="0"/>
      <w:marRight w:val="0"/>
      <w:marTop w:val="0"/>
      <w:marBottom w:val="0"/>
      <w:divBdr>
        <w:top w:val="none" w:sz="0" w:space="0" w:color="auto"/>
        <w:left w:val="none" w:sz="0" w:space="0" w:color="auto"/>
        <w:bottom w:val="none" w:sz="0" w:space="0" w:color="auto"/>
        <w:right w:val="none" w:sz="0" w:space="0" w:color="auto"/>
      </w:divBdr>
    </w:div>
    <w:div w:id="805271869">
      <w:bodyDiv w:val="1"/>
      <w:marLeft w:val="0"/>
      <w:marRight w:val="0"/>
      <w:marTop w:val="0"/>
      <w:marBottom w:val="0"/>
      <w:divBdr>
        <w:top w:val="none" w:sz="0" w:space="0" w:color="auto"/>
        <w:left w:val="none" w:sz="0" w:space="0" w:color="auto"/>
        <w:bottom w:val="none" w:sz="0" w:space="0" w:color="auto"/>
        <w:right w:val="none" w:sz="0" w:space="0" w:color="auto"/>
      </w:divBdr>
    </w:div>
    <w:div w:id="805662423">
      <w:bodyDiv w:val="1"/>
      <w:marLeft w:val="0"/>
      <w:marRight w:val="0"/>
      <w:marTop w:val="0"/>
      <w:marBottom w:val="0"/>
      <w:divBdr>
        <w:top w:val="none" w:sz="0" w:space="0" w:color="auto"/>
        <w:left w:val="none" w:sz="0" w:space="0" w:color="auto"/>
        <w:bottom w:val="none" w:sz="0" w:space="0" w:color="auto"/>
        <w:right w:val="none" w:sz="0" w:space="0" w:color="auto"/>
      </w:divBdr>
    </w:div>
    <w:div w:id="805783826">
      <w:bodyDiv w:val="1"/>
      <w:marLeft w:val="0"/>
      <w:marRight w:val="0"/>
      <w:marTop w:val="0"/>
      <w:marBottom w:val="0"/>
      <w:divBdr>
        <w:top w:val="none" w:sz="0" w:space="0" w:color="auto"/>
        <w:left w:val="none" w:sz="0" w:space="0" w:color="auto"/>
        <w:bottom w:val="none" w:sz="0" w:space="0" w:color="auto"/>
        <w:right w:val="none" w:sz="0" w:space="0" w:color="auto"/>
      </w:divBdr>
    </w:div>
    <w:div w:id="805969963">
      <w:bodyDiv w:val="1"/>
      <w:marLeft w:val="0"/>
      <w:marRight w:val="0"/>
      <w:marTop w:val="0"/>
      <w:marBottom w:val="0"/>
      <w:divBdr>
        <w:top w:val="none" w:sz="0" w:space="0" w:color="auto"/>
        <w:left w:val="none" w:sz="0" w:space="0" w:color="auto"/>
        <w:bottom w:val="none" w:sz="0" w:space="0" w:color="auto"/>
        <w:right w:val="none" w:sz="0" w:space="0" w:color="auto"/>
      </w:divBdr>
    </w:div>
    <w:div w:id="806355332">
      <w:bodyDiv w:val="1"/>
      <w:marLeft w:val="0"/>
      <w:marRight w:val="0"/>
      <w:marTop w:val="0"/>
      <w:marBottom w:val="0"/>
      <w:divBdr>
        <w:top w:val="none" w:sz="0" w:space="0" w:color="auto"/>
        <w:left w:val="none" w:sz="0" w:space="0" w:color="auto"/>
        <w:bottom w:val="none" w:sz="0" w:space="0" w:color="auto"/>
        <w:right w:val="none" w:sz="0" w:space="0" w:color="auto"/>
      </w:divBdr>
    </w:div>
    <w:div w:id="806358223">
      <w:bodyDiv w:val="1"/>
      <w:marLeft w:val="0"/>
      <w:marRight w:val="0"/>
      <w:marTop w:val="0"/>
      <w:marBottom w:val="0"/>
      <w:divBdr>
        <w:top w:val="none" w:sz="0" w:space="0" w:color="auto"/>
        <w:left w:val="none" w:sz="0" w:space="0" w:color="auto"/>
        <w:bottom w:val="none" w:sz="0" w:space="0" w:color="auto"/>
        <w:right w:val="none" w:sz="0" w:space="0" w:color="auto"/>
      </w:divBdr>
    </w:div>
    <w:div w:id="806436289">
      <w:bodyDiv w:val="1"/>
      <w:marLeft w:val="0"/>
      <w:marRight w:val="0"/>
      <w:marTop w:val="0"/>
      <w:marBottom w:val="0"/>
      <w:divBdr>
        <w:top w:val="none" w:sz="0" w:space="0" w:color="auto"/>
        <w:left w:val="none" w:sz="0" w:space="0" w:color="auto"/>
        <w:bottom w:val="none" w:sz="0" w:space="0" w:color="auto"/>
        <w:right w:val="none" w:sz="0" w:space="0" w:color="auto"/>
      </w:divBdr>
    </w:div>
    <w:div w:id="806508647">
      <w:bodyDiv w:val="1"/>
      <w:marLeft w:val="0"/>
      <w:marRight w:val="0"/>
      <w:marTop w:val="0"/>
      <w:marBottom w:val="0"/>
      <w:divBdr>
        <w:top w:val="none" w:sz="0" w:space="0" w:color="auto"/>
        <w:left w:val="none" w:sz="0" w:space="0" w:color="auto"/>
        <w:bottom w:val="none" w:sz="0" w:space="0" w:color="auto"/>
        <w:right w:val="none" w:sz="0" w:space="0" w:color="auto"/>
      </w:divBdr>
    </w:div>
    <w:div w:id="806823398">
      <w:bodyDiv w:val="1"/>
      <w:marLeft w:val="0"/>
      <w:marRight w:val="0"/>
      <w:marTop w:val="0"/>
      <w:marBottom w:val="0"/>
      <w:divBdr>
        <w:top w:val="none" w:sz="0" w:space="0" w:color="auto"/>
        <w:left w:val="none" w:sz="0" w:space="0" w:color="auto"/>
        <w:bottom w:val="none" w:sz="0" w:space="0" w:color="auto"/>
        <w:right w:val="none" w:sz="0" w:space="0" w:color="auto"/>
      </w:divBdr>
    </w:div>
    <w:div w:id="807013712">
      <w:bodyDiv w:val="1"/>
      <w:marLeft w:val="0"/>
      <w:marRight w:val="0"/>
      <w:marTop w:val="0"/>
      <w:marBottom w:val="0"/>
      <w:divBdr>
        <w:top w:val="none" w:sz="0" w:space="0" w:color="auto"/>
        <w:left w:val="none" w:sz="0" w:space="0" w:color="auto"/>
        <w:bottom w:val="none" w:sz="0" w:space="0" w:color="auto"/>
        <w:right w:val="none" w:sz="0" w:space="0" w:color="auto"/>
      </w:divBdr>
    </w:div>
    <w:div w:id="807014883">
      <w:bodyDiv w:val="1"/>
      <w:marLeft w:val="0"/>
      <w:marRight w:val="0"/>
      <w:marTop w:val="0"/>
      <w:marBottom w:val="0"/>
      <w:divBdr>
        <w:top w:val="none" w:sz="0" w:space="0" w:color="auto"/>
        <w:left w:val="none" w:sz="0" w:space="0" w:color="auto"/>
        <w:bottom w:val="none" w:sz="0" w:space="0" w:color="auto"/>
        <w:right w:val="none" w:sz="0" w:space="0" w:color="auto"/>
      </w:divBdr>
    </w:div>
    <w:div w:id="807480655">
      <w:bodyDiv w:val="1"/>
      <w:marLeft w:val="0"/>
      <w:marRight w:val="0"/>
      <w:marTop w:val="0"/>
      <w:marBottom w:val="0"/>
      <w:divBdr>
        <w:top w:val="none" w:sz="0" w:space="0" w:color="auto"/>
        <w:left w:val="none" w:sz="0" w:space="0" w:color="auto"/>
        <w:bottom w:val="none" w:sz="0" w:space="0" w:color="auto"/>
        <w:right w:val="none" w:sz="0" w:space="0" w:color="auto"/>
      </w:divBdr>
    </w:div>
    <w:div w:id="807551389">
      <w:bodyDiv w:val="1"/>
      <w:marLeft w:val="0"/>
      <w:marRight w:val="0"/>
      <w:marTop w:val="0"/>
      <w:marBottom w:val="0"/>
      <w:divBdr>
        <w:top w:val="none" w:sz="0" w:space="0" w:color="auto"/>
        <w:left w:val="none" w:sz="0" w:space="0" w:color="auto"/>
        <w:bottom w:val="none" w:sz="0" w:space="0" w:color="auto"/>
        <w:right w:val="none" w:sz="0" w:space="0" w:color="auto"/>
      </w:divBdr>
    </w:div>
    <w:div w:id="808283748">
      <w:bodyDiv w:val="1"/>
      <w:marLeft w:val="0"/>
      <w:marRight w:val="0"/>
      <w:marTop w:val="0"/>
      <w:marBottom w:val="0"/>
      <w:divBdr>
        <w:top w:val="none" w:sz="0" w:space="0" w:color="auto"/>
        <w:left w:val="none" w:sz="0" w:space="0" w:color="auto"/>
        <w:bottom w:val="none" w:sz="0" w:space="0" w:color="auto"/>
        <w:right w:val="none" w:sz="0" w:space="0" w:color="auto"/>
      </w:divBdr>
    </w:div>
    <w:div w:id="809056549">
      <w:bodyDiv w:val="1"/>
      <w:marLeft w:val="0"/>
      <w:marRight w:val="0"/>
      <w:marTop w:val="0"/>
      <w:marBottom w:val="0"/>
      <w:divBdr>
        <w:top w:val="none" w:sz="0" w:space="0" w:color="auto"/>
        <w:left w:val="none" w:sz="0" w:space="0" w:color="auto"/>
        <w:bottom w:val="none" w:sz="0" w:space="0" w:color="auto"/>
        <w:right w:val="none" w:sz="0" w:space="0" w:color="auto"/>
      </w:divBdr>
    </w:div>
    <w:div w:id="809596791">
      <w:bodyDiv w:val="1"/>
      <w:marLeft w:val="0"/>
      <w:marRight w:val="0"/>
      <w:marTop w:val="0"/>
      <w:marBottom w:val="0"/>
      <w:divBdr>
        <w:top w:val="none" w:sz="0" w:space="0" w:color="auto"/>
        <w:left w:val="none" w:sz="0" w:space="0" w:color="auto"/>
        <w:bottom w:val="none" w:sz="0" w:space="0" w:color="auto"/>
        <w:right w:val="none" w:sz="0" w:space="0" w:color="auto"/>
      </w:divBdr>
    </w:div>
    <w:div w:id="810558145">
      <w:bodyDiv w:val="1"/>
      <w:marLeft w:val="0"/>
      <w:marRight w:val="0"/>
      <w:marTop w:val="0"/>
      <w:marBottom w:val="0"/>
      <w:divBdr>
        <w:top w:val="none" w:sz="0" w:space="0" w:color="auto"/>
        <w:left w:val="none" w:sz="0" w:space="0" w:color="auto"/>
        <w:bottom w:val="none" w:sz="0" w:space="0" w:color="auto"/>
        <w:right w:val="none" w:sz="0" w:space="0" w:color="auto"/>
      </w:divBdr>
    </w:div>
    <w:div w:id="810748595">
      <w:bodyDiv w:val="1"/>
      <w:marLeft w:val="0"/>
      <w:marRight w:val="0"/>
      <w:marTop w:val="0"/>
      <w:marBottom w:val="0"/>
      <w:divBdr>
        <w:top w:val="none" w:sz="0" w:space="0" w:color="auto"/>
        <w:left w:val="none" w:sz="0" w:space="0" w:color="auto"/>
        <w:bottom w:val="none" w:sz="0" w:space="0" w:color="auto"/>
        <w:right w:val="none" w:sz="0" w:space="0" w:color="auto"/>
      </w:divBdr>
    </w:div>
    <w:div w:id="811554652">
      <w:bodyDiv w:val="1"/>
      <w:marLeft w:val="0"/>
      <w:marRight w:val="0"/>
      <w:marTop w:val="0"/>
      <w:marBottom w:val="0"/>
      <w:divBdr>
        <w:top w:val="none" w:sz="0" w:space="0" w:color="auto"/>
        <w:left w:val="none" w:sz="0" w:space="0" w:color="auto"/>
        <w:bottom w:val="none" w:sz="0" w:space="0" w:color="auto"/>
        <w:right w:val="none" w:sz="0" w:space="0" w:color="auto"/>
      </w:divBdr>
    </w:div>
    <w:div w:id="811556192">
      <w:bodyDiv w:val="1"/>
      <w:marLeft w:val="0"/>
      <w:marRight w:val="0"/>
      <w:marTop w:val="0"/>
      <w:marBottom w:val="0"/>
      <w:divBdr>
        <w:top w:val="none" w:sz="0" w:space="0" w:color="auto"/>
        <w:left w:val="none" w:sz="0" w:space="0" w:color="auto"/>
        <w:bottom w:val="none" w:sz="0" w:space="0" w:color="auto"/>
        <w:right w:val="none" w:sz="0" w:space="0" w:color="auto"/>
      </w:divBdr>
    </w:div>
    <w:div w:id="811943314">
      <w:bodyDiv w:val="1"/>
      <w:marLeft w:val="0"/>
      <w:marRight w:val="0"/>
      <w:marTop w:val="0"/>
      <w:marBottom w:val="0"/>
      <w:divBdr>
        <w:top w:val="none" w:sz="0" w:space="0" w:color="auto"/>
        <w:left w:val="none" w:sz="0" w:space="0" w:color="auto"/>
        <w:bottom w:val="none" w:sz="0" w:space="0" w:color="auto"/>
        <w:right w:val="none" w:sz="0" w:space="0" w:color="auto"/>
      </w:divBdr>
    </w:div>
    <w:div w:id="812408632">
      <w:bodyDiv w:val="1"/>
      <w:marLeft w:val="0"/>
      <w:marRight w:val="0"/>
      <w:marTop w:val="0"/>
      <w:marBottom w:val="0"/>
      <w:divBdr>
        <w:top w:val="none" w:sz="0" w:space="0" w:color="auto"/>
        <w:left w:val="none" w:sz="0" w:space="0" w:color="auto"/>
        <w:bottom w:val="none" w:sz="0" w:space="0" w:color="auto"/>
        <w:right w:val="none" w:sz="0" w:space="0" w:color="auto"/>
      </w:divBdr>
    </w:div>
    <w:div w:id="812454439">
      <w:bodyDiv w:val="1"/>
      <w:marLeft w:val="0"/>
      <w:marRight w:val="0"/>
      <w:marTop w:val="0"/>
      <w:marBottom w:val="0"/>
      <w:divBdr>
        <w:top w:val="none" w:sz="0" w:space="0" w:color="auto"/>
        <w:left w:val="none" w:sz="0" w:space="0" w:color="auto"/>
        <w:bottom w:val="none" w:sz="0" w:space="0" w:color="auto"/>
        <w:right w:val="none" w:sz="0" w:space="0" w:color="auto"/>
      </w:divBdr>
    </w:div>
    <w:div w:id="812789544">
      <w:bodyDiv w:val="1"/>
      <w:marLeft w:val="0"/>
      <w:marRight w:val="0"/>
      <w:marTop w:val="0"/>
      <w:marBottom w:val="0"/>
      <w:divBdr>
        <w:top w:val="none" w:sz="0" w:space="0" w:color="auto"/>
        <w:left w:val="none" w:sz="0" w:space="0" w:color="auto"/>
        <w:bottom w:val="none" w:sz="0" w:space="0" w:color="auto"/>
        <w:right w:val="none" w:sz="0" w:space="0" w:color="auto"/>
      </w:divBdr>
    </w:div>
    <w:div w:id="813060260">
      <w:bodyDiv w:val="1"/>
      <w:marLeft w:val="0"/>
      <w:marRight w:val="0"/>
      <w:marTop w:val="0"/>
      <w:marBottom w:val="0"/>
      <w:divBdr>
        <w:top w:val="none" w:sz="0" w:space="0" w:color="auto"/>
        <w:left w:val="none" w:sz="0" w:space="0" w:color="auto"/>
        <w:bottom w:val="none" w:sz="0" w:space="0" w:color="auto"/>
        <w:right w:val="none" w:sz="0" w:space="0" w:color="auto"/>
      </w:divBdr>
    </w:div>
    <w:div w:id="813447873">
      <w:bodyDiv w:val="1"/>
      <w:marLeft w:val="0"/>
      <w:marRight w:val="0"/>
      <w:marTop w:val="0"/>
      <w:marBottom w:val="0"/>
      <w:divBdr>
        <w:top w:val="none" w:sz="0" w:space="0" w:color="auto"/>
        <w:left w:val="none" w:sz="0" w:space="0" w:color="auto"/>
        <w:bottom w:val="none" w:sz="0" w:space="0" w:color="auto"/>
        <w:right w:val="none" w:sz="0" w:space="0" w:color="auto"/>
      </w:divBdr>
    </w:div>
    <w:div w:id="813454137">
      <w:bodyDiv w:val="1"/>
      <w:marLeft w:val="0"/>
      <w:marRight w:val="0"/>
      <w:marTop w:val="0"/>
      <w:marBottom w:val="0"/>
      <w:divBdr>
        <w:top w:val="none" w:sz="0" w:space="0" w:color="auto"/>
        <w:left w:val="none" w:sz="0" w:space="0" w:color="auto"/>
        <w:bottom w:val="none" w:sz="0" w:space="0" w:color="auto"/>
        <w:right w:val="none" w:sz="0" w:space="0" w:color="auto"/>
      </w:divBdr>
    </w:div>
    <w:div w:id="813528443">
      <w:bodyDiv w:val="1"/>
      <w:marLeft w:val="0"/>
      <w:marRight w:val="0"/>
      <w:marTop w:val="0"/>
      <w:marBottom w:val="0"/>
      <w:divBdr>
        <w:top w:val="none" w:sz="0" w:space="0" w:color="auto"/>
        <w:left w:val="none" w:sz="0" w:space="0" w:color="auto"/>
        <w:bottom w:val="none" w:sz="0" w:space="0" w:color="auto"/>
        <w:right w:val="none" w:sz="0" w:space="0" w:color="auto"/>
      </w:divBdr>
    </w:div>
    <w:div w:id="813721169">
      <w:bodyDiv w:val="1"/>
      <w:marLeft w:val="0"/>
      <w:marRight w:val="0"/>
      <w:marTop w:val="0"/>
      <w:marBottom w:val="0"/>
      <w:divBdr>
        <w:top w:val="none" w:sz="0" w:space="0" w:color="auto"/>
        <w:left w:val="none" w:sz="0" w:space="0" w:color="auto"/>
        <w:bottom w:val="none" w:sz="0" w:space="0" w:color="auto"/>
        <w:right w:val="none" w:sz="0" w:space="0" w:color="auto"/>
      </w:divBdr>
    </w:div>
    <w:div w:id="814416070">
      <w:bodyDiv w:val="1"/>
      <w:marLeft w:val="0"/>
      <w:marRight w:val="0"/>
      <w:marTop w:val="0"/>
      <w:marBottom w:val="0"/>
      <w:divBdr>
        <w:top w:val="none" w:sz="0" w:space="0" w:color="auto"/>
        <w:left w:val="none" w:sz="0" w:space="0" w:color="auto"/>
        <w:bottom w:val="none" w:sz="0" w:space="0" w:color="auto"/>
        <w:right w:val="none" w:sz="0" w:space="0" w:color="auto"/>
      </w:divBdr>
    </w:div>
    <w:div w:id="815144343">
      <w:bodyDiv w:val="1"/>
      <w:marLeft w:val="0"/>
      <w:marRight w:val="0"/>
      <w:marTop w:val="0"/>
      <w:marBottom w:val="0"/>
      <w:divBdr>
        <w:top w:val="none" w:sz="0" w:space="0" w:color="auto"/>
        <w:left w:val="none" w:sz="0" w:space="0" w:color="auto"/>
        <w:bottom w:val="none" w:sz="0" w:space="0" w:color="auto"/>
        <w:right w:val="none" w:sz="0" w:space="0" w:color="auto"/>
      </w:divBdr>
    </w:div>
    <w:div w:id="816142402">
      <w:bodyDiv w:val="1"/>
      <w:marLeft w:val="0"/>
      <w:marRight w:val="0"/>
      <w:marTop w:val="0"/>
      <w:marBottom w:val="0"/>
      <w:divBdr>
        <w:top w:val="none" w:sz="0" w:space="0" w:color="auto"/>
        <w:left w:val="none" w:sz="0" w:space="0" w:color="auto"/>
        <w:bottom w:val="none" w:sz="0" w:space="0" w:color="auto"/>
        <w:right w:val="none" w:sz="0" w:space="0" w:color="auto"/>
      </w:divBdr>
    </w:div>
    <w:div w:id="816579322">
      <w:bodyDiv w:val="1"/>
      <w:marLeft w:val="0"/>
      <w:marRight w:val="0"/>
      <w:marTop w:val="0"/>
      <w:marBottom w:val="0"/>
      <w:divBdr>
        <w:top w:val="none" w:sz="0" w:space="0" w:color="auto"/>
        <w:left w:val="none" w:sz="0" w:space="0" w:color="auto"/>
        <w:bottom w:val="none" w:sz="0" w:space="0" w:color="auto"/>
        <w:right w:val="none" w:sz="0" w:space="0" w:color="auto"/>
      </w:divBdr>
    </w:div>
    <w:div w:id="816646115">
      <w:bodyDiv w:val="1"/>
      <w:marLeft w:val="0"/>
      <w:marRight w:val="0"/>
      <w:marTop w:val="0"/>
      <w:marBottom w:val="0"/>
      <w:divBdr>
        <w:top w:val="none" w:sz="0" w:space="0" w:color="auto"/>
        <w:left w:val="none" w:sz="0" w:space="0" w:color="auto"/>
        <w:bottom w:val="none" w:sz="0" w:space="0" w:color="auto"/>
        <w:right w:val="none" w:sz="0" w:space="0" w:color="auto"/>
      </w:divBdr>
    </w:div>
    <w:div w:id="816800376">
      <w:bodyDiv w:val="1"/>
      <w:marLeft w:val="0"/>
      <w:marRight w:val="0"/>
      <w:marTop w:val="0"/>
      <w:marBottom w:val="0"/>
      <w:divBdr>
        <w:top w:val="none" w:sz="0" w:space="0" w:color="auto"/>
        <w:left w:val="none" w:sz="0" w:space="0" w:color="auto"/>
        <w:bottom w:val="none" w:sz="0" w:space="0" w:color="auto"/>
        <w:right w:val="none" w:sz="0" w:space="0" w:color="auto"/>
      </w:divBdr>
    </w:div>
    <w:div w:id="817306248">
      <w:bodyDiv w:val="1"/>
      <w:marLeft w:val="0"/>
      <w:marRight w:val="0"/>
      <w:marTop w:val="0"/>
      <w:marBottom w:val="0"/>
      <w:divBdr>
        <w:top w:val="none" w:sz="0" w:space="0" w:color="auto"/>
        <w:left w:val="none" w:sz="0" w:space="0" w:color="auto"/>
        <w:bottom w:val="none" w:sz="0" w:space="0" w:color="auto"/>
        <w:right w:val="none" w:sz="0" w:space="0" w:color="auto"/>
      </w:divBdr>
    </w:div>
    <w:div w:id="817914385">
      <w:bodyDiv w:val="1"/>
      <w:marLeft w:val="0"/>
      <w:marRight w:val="0"/>
      <w:marTop w:val="0"/>
      <w:marBottom w:val="0"/>
      <w:divBdr>
        <w:top w:val="none" w:sz="0" w:space="0" w:color="auto"/>
        <w:left w:val="none" w:sz="0" w:space="0" w:color="auto"/>
        <w:bottom w:val="none" w:sz="0" w:space="0" w:color="auto"/>
        <w:right w:val="none" w:sz="0" w:space="0" w:color="auto"/>
      </w:divBdr>
    </w:div>
    <w:div w:id="817921587">
      <w:bodyDiv w:val="1"/>
      <w:marLeft w:val="0"/>
      <w:marRight w:val="0"/>
      <w:marTop w:val="0"/>
      <w:marBottom w:val="0"/>
      <w:divBdr>
        <w:top w:val="none" w:sz="0" w:space="0" w:color="auto"/>
        <w:left w:val="none" w:sz="0" w:space="0" w:color="auto"/>
        <w:bottom w:val="none" w:sz="0" w:space="0" w:color="auto"/>
        <w:right w:val="none" w:sz="0" w:space="0" w:color="auto"/>
      </w:divBdr>
    </w:div>
    <w:div w:id="817956318">
      <w:bodyDiv w:val="1"/>
      <w:marLeft w:val="0"/>
      <w:marRight w:val="0"/>
      <w:marTop w:val="0"/>
      <w:marBottom w:val="0"/>
      <w:divBdr>
        <w:top w:val="none" w:sz="0" w:space="0" w:color="auto"/>
        <w:left w:val="none" w:sz="0" w:space="0" w:color="auto"/>
        <w:bottom w:val="none" w:sz="0" w:space="0" w:color="auto"/>
        <w:right w:val="none" w:sz="0" w:space="0" w:color="auto"/>
      </w:divBdr>
    </w:div>
    <w:div w:id="818153682">
      <w:bodyDiv w:val="1"/>
      <w:marLeft w:val="0"/>
      <w:marRight w:val="0"/>
      <w:marTop w:val="0"/>
      <w:marBottom w:val="0"/>
      <w:divBdr>
        <w:top w:val="none" w:sz="0" w:space="0" w:color="auto"/>
        <w:left w:val="none" w:sz="0" w:space="0" w:color="auto"/>
        <w:bottom w:val="none" w:sz="0" w:space="0" w:color="auto"/>
        <w:right w:val="none" w:sz="0" w:space="0" w:color="auto"/>
      </w:divBdr>
    </w:div>
    <w:div w:id="818377575">
      <w:bodyDiv w:val="1"/>
      <w:marLeft w:val="0"/>
      <w:marRight w:val="0"/>
      <w:marTop w:val="0"/>
      <w:marBottom w:val="0"/>
      <w:divBdr>
        <w:top w:val="none" w:sz="0" w:space="0" w:color="auto"/>
        <w:left w:val="none" w:sz="0" w:space="0" w:color="auto"/>
        <w:bottom w:val="none" w:sz="0" w:space="0" w:color="auto"/>
        <w:right w:val="none" w:sz="0" w:space="0" w:color="auto"/>
      </w:divBdr>
    </w:div>
    <w:div w:id="818378702">
      <w:bodyDiv w:val="1"/>
      <w:marLeft w:val="0"/>
      <w:marRight w:val="0"/>
      <w:marTop w:val="0"/>
      <w:marBottom w:val="0"/>
      <w:divBdr>
        <w:top w:val="none" w:sz="0" w:space="0" w:color="auto"/>
        <w:left w:val="none" w:sz="0" w:space="0" w:color="auto"/>
        <w:bottom w:val="none" w:sz="0" w:space="0" w:color="auto"/>
        <w:right w:val="none" w:sz="0" w:space="0" w:color="auto"/>
      </w:divBdr>
    </w:div>
    <w:div w:id="818813597">
      <w:bodyDiv w:val="1"/>
      <w:marLeft w:val="0"/>
      <w:marRight w:val="0"/>
      <w:marTop w:val="0"/>
      <w:marBottom w:val="0"/>
      <w:divBdr>
        <w:top w:val="none" w:sz="0" w:space="0" w:color="auto"/>
        <w:left w:val="none" w:sz="0" w:space="0" w:color="auto"/>
        <w:bottom w:val="none" w:sz="0" w:space="0" w:color="auto"/>
        <w:right w:val="none" w:sz="0" w:space="0" w:color="auto"/>
      </w:divBdr>
    </w:div>
    <w:div w:id="818882107">
      <w:bodyDiv w:val="1"/>
      <w:marLeft w:val="0"/>
      <w:marRight w:val="0"/>
      <w:marTop w:val="0"/>
      <w:marBottom w:val="0"/>
      <w:divBdr>
        <w:top w:val="none" w:sz="0" w:space="0" w:color="auto"/>
        <w:left w:val="none" w:sz="0" w:space="0" w:color="auto"/>
        <w:bottom w:val="none" w:sz="0" w:space="0" w:color="auto"/>
        <w:right w:val="none" w:sz="0" w:space="0" w:color="auto"/>
      </w:divBdr>
    </w:div>
    <w:div w:id="818888625">
      <w:bodyDiv w:val="1"/>
      <w:marLeft w:val="0"/>
      <w:marRight w:val="0"/>
      <w:marTop w:val="0"/>
      <w:marBottom w:val="0"/>
      <w:divBdr>
        <w:top w:val="none" w:sz="0" w:space="0" w:color="auto"/>
        <w:left w:val="none" w:sz="0" w:space="0" w:color="auto"/>
        <w:bottom w:val="none" w:sz="0" w:space="0" w:color="auto"/>
        <w:right w:val="none" w:sz="0" w:space="0" w:color="auto"/>
      </w:divBdr>
    </w:div>
    <w:div w:id="819418852">
      <w:bodyDiv w:val="1"/>
      <w:marLeft w:val="0"/>
      <w:marRight w:val="0"/>
      <w:marTop w:val="0"/>
      <w:marBottom w:val="0"/>
      <w:divBdr>
        <w:top w:val="none" w:sz="0" w:space="0" w:color="auto"/>
        <w:left w:val="none" w:sz="0" w:space="0" w:color="auto"/>
        <w:bottom w:val="none" w:sz="0" w:space="0" w:color="auto"/>
        <w:right w:val="none" w:sz="0" w:space="0" w:color="auto"/>
      </w:divBdr>
    </w:div>
    <w:div w:id="819662629">
      <w:bodyDiv w:val="1"/>
      <w:marLeft w:val="0"/>
      <w:marRight w:val="0"/>
      <w:marTop w:val="0"/>
      <w:marBottom w:val="0"/>
      <w:divBdr>
        <w:top w:val="none" w:sz="0" w:space="0" w:color="auto"/>
        <w:left w:val="none" w:sz="0" w:space="0" w:color="auto"/>
        <w:bottom w:val="none" w:sz="0" w:space="0" w:color="auto"/>
        <w:right w:val="none" w:sz="0" w:space="0" w:color="auto"/>
      </w:divBdr>
    </w:div>
    <w:div w:id="820733099">
      <w:bodyDiv w:val="1"/>
      <w:marLeft w:val="0"/>
      <w:marRight w:val="0"/>
      <w:marTop w:val="0"/>
      <w:marBottom w:val="0"/>
      <w:divBdr>
        <w:top w:val="none" w:sz="0" w:space="0" w:color="auto"/>
        <w:left w:val="none" w:sz="0" w:space="0" w:color="auto"/>
        <w:bottom w:val="none" w:sz="0" w:space="0" w:color="auto"/>
        <w:right w:val="none" w:sz="0" w:space="0" w:color="auto"/>
      </w:divBdr>
    </w:div>
    <w:div w:id="820773318">
      <w:bodyDiv w:val="1"/>
      <w:marLeft w:val="0"/>
      <w:marRight w:val="0"/>
      <w:marTop w:val="0"/>
      <w:marBottom w:val="0"/>
      <w:divBdr>
        <w:top w:val="none" w:sz="0" w:space="0" w:color="auto"/>
        <w:left w:val="none" w:sz="0" w:space="0" w:color="auto"/>
        <w:bottom w:val="none" w:sz="0" w:space="0" w:color="auto"/>
        <w:right w:val="none" w:sz="0" w:space="0" w:color="auto"/>
      </w:divBdr>
    </w:div>
    <w:div w:id="821190376">
      <w:bodyDiv w:val="1"/>
      <w:marLeft w:val="0"/>
      <w:marRight w:val="0"/>
      <w:marTop w:val="0"/>
      <w:marBottom w:val="0"/>
      <w:divBdr>
        <w:top w:val="none" w:sz="0" w:space="0" w:color="auto"/>
        <w:left w:val="none" w:sz="0" w:space="0" w:color="auto"/>
        <w:bottom w:val="none" w:sz="0" w:space="0" w:color="auto"/>
        <w:right w:val="none" w:sz="0" w:space="0" w:color="auto"/>
      </w:divBdr>
    </w:div>
    <w:div w:id="822311956">
      <w:bodyDiv w:val="1"/>
      <w:marLeft w:val="0"/>
      <w:marRight w:val="0"/>
      <w:marTop w:val="0"/>
      <w:marBottom w:val="0"/>
      <w:divBdr>
        <w:top w:val="none" w:sz="0" w:space="0" w:color="auto"/>
        <w:left w:val="none" w:sz="0" w:space="0" w:color="auto"/>
        <w:bottom w:val="none" w:sz="0" w:space="0" w:color="auto"/>
        <w:right w:val="none" w:sz="0" w:space="0" w:color="auto"/>
      </w:divBdr>
    </w:div>
    <w:div w:id="822552215">
      <w:bodyDiv w:val="1"/>
      <w:marLeft w:val="0"/>
      <w:marRight w:val="0"/>
      <w:marTop w:val="0"/>
      <w:marBottom w:val="0"/>
      <w:divBdr>
        <w:top w:val="none" w:sz="0" w:space="0" w:color="auto"/>
        <w:left w:val="none" w:sz="0" w:space="0" w:color="auto"/>
        <w:bottom w:val="none" w:sz="0" w:space="0" w:color="auto"/>
        <w:right w:val="none" w:sz="0" w:space="0" w:color="auto"/>
      </w:divBdr>
    </w:div>
    <w:div w:id="822890388">
      <w:bodyDiv w:val="1"/>
      <w:marLeft w:val="0"/>
      <w:marRight w:val="0"/>
      <w:marTop w:val="0"/>
      <w:marBottom w:val="0"/>
      <w:divBdr>
        <w:top w:val="none" w:sz="0" w:space="0" w:color="auto"/>
        <w:left w:val="none" w:sz="0" w:space="0" w:color="auto"/>
        <w:bottom w:val="none" w:sz="0" w:space="0" w:color="auto"/>
        <w:right w:val="none" w:sz="0" w:space="0" w:color="auto"/>
      </w:divBdr>
    </w:div>
    <w:div w:id="823010943">
      <w:bodyDiv w:val="1"/>
      <w:marLeft w:val="0"/>
      <w:marRight w:val="0"/>
      <w:marTop w:val="0"/>
      <w:marBottom w:val="0"/>
      <w:divBdr>
        <w:top w:val="none" w:sz="0" w:space="0" w:color="auto"/>
        <w:left w:val="none" w:sz="0" w:space="0" w:color="auto"/>
        <w:bottom w:val="none" w:sz="0" w:space="0" w:color="auto"/>
        <w:right w:val="none" w:sz="0" w:space="0" w:color="auto"/>
      </w:divBdr>
    </w:div>
    <w:div w:id="823083570">
      <w:bodyDiv w:val="1"/>
      <w:marLeft w:val="0"/>
      <w:marRight w:val="0"/>
      <w:marTop w:val="0"/>
      <w:marBottom w:val="0"/>
      <w:divBdr>
        <w:top w:val="none" w:sz="0" w:space="0" w:color="auto"/>
        <w:left w:val="none" w:sz="0" w:space="0" w:color="auto"/>
        <w:bottom w:val="none" w:sz="0" w:space="0" w:color="auto"/>
        <w:right w:val="none" w:sz="0" w:space="0" w:color="auto"/>
      </w:divBdr>
    </w:div>
    <w:div w:id="823476676">
      <w:bodyDiv w:val="1"/>
      <w:marLeft w:val="0"/>
      <w:marRight w:val="0"/>
      <w:marTop w:val="0"/>
      <w:marBottom w:val="0"/>
      <w:divBdr>
        <w:top w:val="none" w:sz="0" w:space="0" w:color="auto"/>
        <w:left w:val="none" w:sz="0" w:space="0" w:color="auto"/>
        <w:bottom w:val="none" w:sz="0" w:space="0" w:color="auto"/>
        <w:right w:val="none" w:sz="0" w:space="0" w:color="auto"/>
      </w:divBdr>
    </w:div>
    <w:div w:id="823667815">
      <w:bodyDiv w:val="1"/>
      <w:marLeft w:val="0"/>
      <w:marRight w:val="0"/>
      <w:marTop w:val="0"/>
      <w:marBottom w:val="0"/>
      <w:divBdr>
        <w:top w:val="none" w:sz="0" w:space="0" w:color="auto"/>
        <w:left w:val="none" w:sz="0" w:space="0" w:color="auto"/>
        <w:bottom w:val="none" w:sz="0" w:space="0" w:color="auto"/>
        <w:right w:val="none" w:sz="0" w:space="0" w:color="auto"/>
      </w:divBdr>
    </w:div>
    <w:div w:id="823745371">
      <w:bodyDiv w:val="1"/>
      <w:marLeft w:val="0"/>
      <w:marRight w:val="0"/>
      <w:marTop w:val="0"/>
      <w:marBottom w:val="0"/>
      <w:divBdr>
        <w:top w:val="none" w:sz="0" w:space="0" w:color="auto"/>
        <w:left w:val="none" w:sz="0" w:space="0" w:color="auto"/>
        <w:bottom w:val="none" w:sz="0" w:space="0" w:color="auto"/>
        <w:right w:val="none" w:sz="0" w:space="0" w:color="auto"/>
      </w:divBdr>
    </w:div>
    <w:div w:id="823813072">
      <w:bodyDiv w:val="1"/>
      <w:marLeft w:val="0"/>
      <w:marRight w:val="0"/>
      <w:marTop w:val="0"/>
      <w:marBottom w:val="0"/>
      <w:divBdr>
        <w:top w:val="none" w:sz="0" w:space="0" w:color="auto"/>
        <w:left w:val="none" w:sz="0" w:space="0" w:color="auto"/>
        <w:bottom w:val="none" w:sz="0" w:space="0" w:color="auto"/>
        <w:right w:val="none" w:sz="0" w:space="0" w:color="auto"/>
      </w:divBdr>
    </w:div>
    <w:div w:id="824055391">
      <w:bodyDiv w:val="1"/>
      <w:marLeft w:val="0"/>
      <w:marRight w:val="0"/>
      <w:marTop w:val="0"/>
      <w:marBottom w:val="0"/>
      <w:divBdr>
        <w:top w:val="none" w:sz="0" w:space="0" w:color="auto"/>
        <w:left w:val="none" w:sz="0" w:space="0" w:color="auto"/>
        <w:bottom w:val="none" w:sz="0" w:space="0" w:color="auto"/>
        <w:right w:val="none" w:sz="0" w:space="0" w:color="auto"/>
      </w:divBdr>
    </w:div>
    <w:div w:id="824246828">
      <w:bodyDiv w:val="1"/>
      <w:marLeft w:val="0"/>
      <w:marRight w:val="0"/>
      <w:marTop w:val="0"/>
      <w:marBottom w:val="0"/>
      <w:divBdr>
        <w:top w:val="none" w:sz="0" w:space="0" w:color="auto"/>
        <w:left w:val="none" w:sz="0" w:space="0" w:color="auto"/>
        <w:bottom w:val="none" w:sz="0" w:space="0" w:color="auto"/>
        <w:right w:val="none" w:sz="0" w:space="0" w:color="auto"/>
      </w:divBdr>
    </w:div>
    <w:div w:id="824316884">
      <w:bodyDiv w:val="1"/>
      <w:marLeft w:val="0"/>
      <w:marRight w:val="0"/>
      <w:marTop w:val="0"/>
      <w:marBottom w:val="0"/>
      <w:divBdr>
        <w:top w:val="none" w:sz="0" w:space="0" w:color="auto"/>
        <w:left w:val="none" w:sz="0" w:space="0" w:color="auto"/>
        <w:bottom w:val="none" w:sz="0" w:space="0" w:color="auto"/>
        <w:right w:val="none" w:sz="0" w:space="0" w:color="auto"/>
      </w:divBdr>
    </w:div>
    <w:div w:id="825049181">
      <w:bodyDiv w:val="1"/>
      <w:marLeft w:val="0"/>
      <w:marRight w:val="0"/>
      <w:marTop w:val="0"/>
      <w:marBottom w:val="0"/>
      <w:divBdr>
        <w:top w:val="none" w:sz="0" w:space="0" w:color="auto"/>
        <w:left w:val="none" w:sz="0" w:space="0" w:color="auto"/>
        <w:bottom w:val="none" w:sz="0" w:space="0" w:color="auto"/>
        <w:right w:val="none" w:sz="0" w:space="0" w:color="auto"/>
      </w:divBdr>
    </w:div>
    <w:div w:id="825054613">
      <w:bodyDiv w:val="1"/>
      <w:marLeft w:val="0"/>
      <w:marRight w:val="0"/>
      <w:marTop w:val="0"/>
      <w:marBottom w:val="0"/>
      <w:divBdr>
        <w:top w:val="none" w:sz="0" w:space="0" w:color="auto"/>
        <w:left w:val="none" w:sz="0" w:space="0" w:color="auto"/>
        <w:bottom w:val="none" w:sz="0" w:space="0" w:color="auto"/>
        <w:right w:val="none" w:sz="0" w:space="0" w:color="auto"/>
      </w:divBdr>
    </w:div>
    <w:div w:id="825588718">
      <w:bodyDiv w:val="1"/>
      <w:marLeft w:val="0"/>
      <w:marRight w:val="0"/>
      <w:marTop w:val="0"/>
      <w:marBottom w:val="0"/>
      <w:divBdr>
        <w:top w:val="none" w:sz="0" w:space="0" w:color="auto"/>
        <w:left w:val="none" w:sz="0" w:space="0" w:color="auto"/>
        <w:bottom w:val="none" w:sz="0" w:space="0" w:color="auto"/>
        <w:right w:val="none" w:sz="0" w:space="0" w:color="auto"/>
      </w:divBdr>
    </w:div>
    <w:div w:id="825901455">
      <w:bodyDiv w:val="1"/>
      <w:marLeft w:val="0"/>
      <w:marRight w:val="0"/>
      <w:marTop w:val="0"/>
      <w:marBottom w:val="0"/>
      <w:divBdr>
        <w:top w:val="none" w:sz="0" w:space="0" w:color="auto"/>
        <w:left w:val="none" w:sz="0" w:space="0" w:color="auto"/>
        <w:bottom w:val="none" w:sz="0" w:space="0" w:color="auto"/>
        <w:right w:val="none" w:sz="0" w:space="0" w:color="auto"/>
      </w:divBdr>
    </w:div>
    <w:div w:id="826213135">
      <w:bodyDiv w:val="1"/>
      <w:marLeft w:val="0"/>
      <w:marRight w:val="0"/>
      <w:marTop w:val="0"/>
      <w:marBottom w:val="0"/>
      <w:divBdr>
        <w:top w:val="none" w:sz="0" w:space="0" w:color="auto"/>
        <w:left w:val="none" w:sz="0" w:space="0" w:color="auto"/>
        <w:bottom w:val="none" w:sz="0" w:space="0" w:color="auto"/>
        <w:right w:val="none" w:sz="0" w:space="0" w:color="auto"/>
      </w:divBdr>
    </w:div>
    <w:div w:id="826476412">
      <w:bodyDiv w:val="1"/>
      <w:marLeft w:val="0"/>
      <w:marRight w:val="0"/>
      <w:marTop w:val="0"/>
      <w:marBottom w:val="0"/>
      <w:divBdr>
        <w:top w:val="none" w:sz="0" w:space="0" w:color="auto"/>
        <w:left w:val="none" w:sz="0" w:space="0" w:color="auto"/>
        <w:bottom w:val="none" w:sz="0" w:space="0" w:color="auto"/>
        <w:right w:val="none" w:sz="0" w:space="0" w:color="auto"/>
      </w:divBdr>
    </w:div>
    <w:div w:id="826823549">
      <w:bodyDiv w:val="1"/>
      <w:marLeft w:val="0"/>
      <w:marRight w:val="0"/>
      <w:marTop w:val="0"/>
      <w:marBottom w:val="0"/>
      <w:divBdr>
        <w:top w:val="none" w:sz="0" w:space="0" w:color="auto"/>
        <w:left w:val="none" w:sz="0" w:space="0" w:color="auto"/>
        <w:bottom w:val="none" w:sz="0" w:space="0" w:color="auto"/>
        <w:right w:val="none" w:sz="0" w:space="0" w:color="auto"/>
      </w:divBdr>
    </w:div>
    <w:div w:id="827131437">
      <w:bodyDiv w:val="1"/>
      <w:marLeft w:val="0"/>
      <w:marRight w:val="0"/>
      <w:marTop w:val="0"/>
      <w:marBottom w:val="0"/>
      <w:divBdr>
        <w:top w:val="none" w:sz="0" w:space="0" w:color="auto"/>
        <w:left w:val="none" w:sz="0" w:space="0" w:color="auto"/>
        <w:bottom w:val="none" w:sz="0" w:space="0" w:color="auto"/>
        <w:right w:val="none" w:sz="0" w:space="0" w:color="auto"/>
      </w:divBdr>
    </w:div>
    <w:div w:id="827284396">
      <w:bodyDiv w:val="1"/>
      <w:marLeft w:val="0"/>
      <w:marRight w:val="0"/>
      <w:marTop w:val="0"/>
      <w:marBottom w:val="0"/>
      <w:divBdr>
        <w:top w:val="none" w:sz="0" w:space="0" w:color="auto"/>
        <w:left w:val="none" w:sz="0" w:space="0" w:color="auto"/>
        <w:bottom w:val="none" w:sz="0" w:space="0" w:color="auto"/>
        <w:right w:val="none" w:sz="0" w:space="0" w:color="auto"/>
      </w:divBdr>
    </w:div>
    <w:div w:id="827942938">
      <w:bodyDiv w:val="1"/>
      <w:marLeft w:val="0"/>
      <w:marRight w:val="0"/>
      <w:marTop w:val="0"/>
      <w:marBottom w:val="0"/>
      <w:divBdr>
        <w:top w:val="none" w:sz="0" w:space="0" w:color="auto"/>
        <w:left w:val="none" w:sz="0" w:space="0" w:color="auto"/>
        <w:bottom w:val="none" w:sz="0" w:space="0" w:color="auto"/>
        <w:right w:val="none" w:sz="0" w:space="0" w:color="auto"/>
      </w:divBdr>
    </w:div>
    <w:div w:id="828254660">
      <w:bodyDiv w:val="1"/>
      <w:marLeft w:val="0"/>
      <w:marRight w:val="0"/>
      <w:marTop w:val="0"/>
      <w:marBottom w:val="0"/>
      <w:divBdr>
        <w:top w:val="none" w:sz="0" w:space="0" w:color="auto"/>
        <w:left w:val="none" w:sz="0" w:space="0" w:color="auto"/>
        <w:bottom w:val="none" w:sz="0" w:space="0" w:color="auto"/>
        <w:right w:val="none" w:sz="0" w:space="0" w:color="auto"/>
      </w:divBdr>
    </w:div>
    <w:div w:id="828599563">
      <w:bodyDiv w:val="1"/>
      <w:marLeft w:val="0"/>
      <w:marRight w:val="0"/>
      <w:marTop w:val="0"/>
      <w:marBottom w:val="0"/>
      <w:divBdr>
        <w:top w:val="none" w:sz="0" w:space="0" w:color="auto"/>
        <w:left w:val="none" w:sz="0" w:space="0" w:color="auto"/>
        <w:bottom w:val="none" w:sz="0" w:space="0" w:color="auto"/>
        <w:right w:val="none" w:sz="0" w:space="0" w:color="auto"/>
      </w:divBdr>
    </w:div>
    <w:div w:id="828984515">
      <w:bodyDiv w:val="1"/>
      <w:marLeft w:val="0"/>
      <w:marRight w:val="0"/>
      <w:marTop w:val="0"/>
      <w:marBottom w:val="0"/>
      <w:divBdr>
        <w:top w:val="none" w:sz="0" w:space="0" w:color="auto"/>
        <w:left w:val="none" w:sz="0" w:space="0" w:color="auto"/>
        <w:bottom w:val="none" w:sz="0" w:space="0" w:color="auto"/>
        <w:right w:val="none" w:sz="0" w:space="0" w:color="auto"/>
      </w:divBdr>
    </w:div>
    <w:div w:id="829365216">
      <w:bodyDiv w:val="1"/>
      <w:marLeft w:val="0"/>
      <w:marRight w:val="0"/>
      <w:marTop w:val="0"/>
      <w:marBottom w:val="0"/>
      <w:divBdr>
        <w:top w:val="none" w:sz="0" w:space="0" w:color="auto"/>
        <w:left w:val="none" w:sz="0" w:space="0" w:color="auto"/>
        <w:bottom w:val="none" w:sz="0" w:space="0" w:color="auto"/>
        <w:right w:val="none" w:sz="0" w:space="0" w:color="auto"/>
      </w:divBdr>
    </w:div>
    <w:div w:id="830096476">
      <w:bodyDiv w:val="1"/>
      <w:marLeft w:val="0"/>
      <w:marRight w:val="0"/>
      <w:marTop w:val="0"/>
      <w:marBottom w:val="0"/>
      <w:divBdr>
        <w:top w:val="none" w:sz="0" w:space="0" w:color="auto"/>
        <w:left w:val="none" w:sz="0" w:space="0" w:color="auto"/>
        <w:bottom w:val="none" w:sz="0" w:space="0" w:color="auto"/>
        <w:right w:val="none" w:sz="0" w:space="0" w:color="auto"/>
      </w:divBdr>
    </w:div>
    <w:div w:id="830171715">
      <w:bodyDiv w:val="1"/>
      <w:marLeft w:val="0"/>
      <w:marRight w:val="0"/>
      <w:marTop w:val="0"/>
      <w:marBottom w:val="0"/>
      <w:divBdr>
        <w:top w:val="none" w:sz="0" w:space="0" w:color="auto"/>
        <w:left w:val="none" w:sz="0" w:space="0" w:color="auto"/>
        <w:bottom w:val="none" w:sz="0" w:space="0" w:color="auto"/>
        <w:right w:val="none" w:sz="0" w:space="0" w:color="auto"/>
      </w:divBdr>
    </w:div>
    <w:div w:id="830679215">
      <w:bodyDiv w:val="1"/>
      <w:marLeft w:val="0"/>
      <w:marRight w:val="0"/>
      <w:marTop w:val="0"/>
      <w:marBottom w:val="0"/>
      <w:divBdr>
        <w:top w:val="none" w:sz="0" w:space="0" w:color="auto"/>
        <w:left w:val="none" w:sz="0" w:space="0" w:color="auto"/>
        <w:bottom w:val="none" w:sz="0" w:space="0" w:color="auto"/>
        <w:right w:val="none" w:sz="0" w:space="0" w:color="auto"/>
      </w:divBdr>
    </w:div>
    <w:div w:id="830828749">
      <w:bodyDiv w:val="1"/>
      <w:marLeft w:val="0"/>
      <w:marRight w:val="0"/>
      <w:marTop w:val="0"/>
      <w:marBottom w:val="0"/>
      <w:divBdr>
        <w:top w:val="none" w:sz="0" w:space="0" w:color="auto"/>
        <w:left w:val="none" w:sz="0" w:space="0" w:color="auto"/>
        <w:bottom w:val="none" w:sz="0" w:space="0" w:color="auto"/>
        <w:right w:val="none" w:sz="0" w:space="0" w:color="auto"/>
      </w:divBdr>
    </w:div>
    <w:div w:id="830876978">
      <w:bodyDiv w:val="1"/>
      <w:marLeft w:val="0"/>
      <w:marRight w:val="0"/>
      <w:marTop w:val="0"/>
      <w:marBottom w:val="0"/>
      <w:divBdr>
        <w:top w:val="none" w:sz="0" w:space="0" w:color="auto"/>
        <w:left w:val="none" w:sz="0" w:space="0" w:color="auto"/>
        <w:bottom w:val="none" w:sz="0" w:space="0" w:color="auto"/>
        <w:right w:val="none" w:sz="0" w:space="0" w:color="auto"/>
      </w:divBdr>
    </w:div>
    <w:div w:id="831064865">
      <w:bodyDiv w:val="1"/>
      <w:marLeft w:val="0"/>
      <w:marRight w:val="0"/>
      <w:marTop w:val="0"/>
      <w:marBottom w:val="0"/>
      <w:divBdr>
        <w:top w:val="none" w:sz="0" w:space="0" w:color="auto"/>
        <w:left w:val="none" w:sz="0" w:space="0" w:color="auto"/>
        <w:bottom w:val="none" w:sz="0" w:space="0" w:color="auto"/>
        <w:right w:val="none" w:sz="0" w:space="0" w:color="auto"/>
      </w:divBdr>
    </w:div>
    <w:div w:id="831070041">
      <w:bodyDiv w:val="1"/>
      <w:marLeft w:val="0"/>
      <w:marRight w:val="0"/>
      <w:marTop w:val="0"/>
      <w:marBottom w:val="0"/>
      <w:divBdr>
        <w:top w:val="none" w:sz="0" w:space="0" w:color="auto"/>
        <w:left w:val="none" w:sz="0" w:space="0" w:color="auto"/>
        <w:bottom w:val="none" w:sz="0" w:space="0" w:color="auto"/>
        <w:right w:val="none" w:sz="0" w:space="0" w:color="auto"/>
      </w:divBdr>
    </w:div>
    <w:div w:id="831336983">
      <w:bodyDiv w:val="1"/>
      <w:marLeft w:val="0"/>
      <w:marRight w:val="0"/>
      <w:marTop w:val="0"/>
      <w:marBottom w:val="0"/>
      <w:divBdr>
        <w:top w:val="none" w:sz="0" w:space="0" w:color="auto"/>
        <w:left w:val="none" w:sz="0" w:space="0" w:color="auto"/>
        <w:bottom w:val="none" w:sz="0" w:space="0" w:color="auto"/>
        <w:right w:val="none" w:sz="0" w:space="0" w:color="auto"/>
      </w:divBdr>
    </w:div>
    <w:div w:id="831408028">
      <w:bodyDiv w:val="1"/>
      <w:marLeft w:val="0"/>
      <w:marRight w:val="0"/>
      <w:marTop w:val="0"/>
      <w:marBottom w:val="0"/>
      <w:divBdr>
        <w:top w:val="none" w:sz="0" w:space="0" w:color="auto"/>
        <w:left w:val="none" w:sz="0" w:space="0" w:color="auto"/>
        <w:bottom w:val="none" w:sz="0" w:space="0" w:color="auto"/>
        <w:right w:val="none" w:sz="0" w:space="0" w:color="auto"/>
      </w:divBdr>
    </w:div>
    <w:div w:id="831677090">
      <w:bodyDiv w:val="1"/>
      <w:marLeft w:val="0"/>
      <w:marRight w:val="0"/>
      <w:marTop w:val="0"/>
      <w:marBottom w:val="0"/>
      <w:divBdr>
        <w:top w:val="none" w:sz="0" w:space="0" w:color="auto"/>
        <w:left w:val="none" w:sz="0" w:space="0" w:color="auto"/>
        <w:bottom w:val="none" w:sz="0" w:space="0" w:color="auto"/>
        <w:right w:val="none" w:sz="0" w:space="0" w:color="auto"/>
      </w:divBdr>
    </w:div>
    <w:div w:id="831872289">
      <w:bodyDiv w:val="1"/>
      <w:marLeft w:val="0"/>
      <w:marRight w:val="0"/>
      <w:marTop w:val="0"/>
      <w:marBottom w:val="0"/>
      <w:divBdr>
        <w:top w:val="none" w:sz="0" w:space="0" w:color="auto"/>
        <w:left w:val="none" w:sz="0" w:space="0" w:color="auto"/>
        <w:bottom w:val="none" w:sz="0" w:space="0" w:color="auto"/>
        <w:right w:val="none" w:sz="0" w:space="0" w:color="auto"/>
      </w:divBdr>
    </w:div>
    <w:div w:id="832064766">
      <w:bodyDiv w:val="1"/>
      <w:marLeft w:val="0"/>
      <w:marRight w:val="0"/>
      <w:marTop w:val="0"/>
      <w:marBottom w:val="0"/>
      <w:divBdr>
        <w:top w:val="none" w:sz="0" w:space="0" w:color="auto"/>
        <w:left w:val="none" w:sz="0" w:space="0" w:color="auto"/>
        <w:bottom w:val="none" w:sz="0" w:space="0" w:color="auto"/>
        <w:right w:val="none" w:sz="0" w:space="0" w:color="auto"/>
      </w:divBdr>
    </w:div>
    <w:div w:id="832263457">
      <w:bodyDiv w:val="1"/>
      <w:marLeft w:val="0"/>
      <w:marRight w:val="0"/>
      <w:marTop w:val="0"/>
      <w:marBottom w:val="0"/>
      <w:divBdr>
        <w:top w:val="none" w:sz="0" w:space="0" w:color="auto"/>
        <w:left w:val="none" w:sz="0" w:space="0" w:color="auto"/>
        <w:bottom w:val="none" w:sz="0" w:space="0" w:color="auto"/>
        <w:right w:val="none" w:sz="0" w:space="0" w:color="auto"/>
      </w:divBdr>
    </w:div>
    <w:div w:id="832333534">
      <w:bodyDiv w:val="1"/>
      <w:marLeft w:val="0"/>
      <w:marRight w:val="0"/>
      <w:marTop w:val="0"/>
      <w:marBottom w:val="0"/>
      <w:divBdr>
        <w:top w:val="none" w:sz="0" w:space="0" w:color="auto"/>
        <w:left w:val="none" w:sz="0" w:space="0" w:color="auto"/>
        <w:bottom w:val="none" w:sz="0" w:space="0" w:color="auto"/>
        <w:right w:val="none" w:sz="0" w:space="0" w:color="auto"/>
      </w:divBdr>
    </w:div>
    <w:div w:id="832375173">
      <w:bodyDiv w:val="1"/>
      <w:marLeft w:val="0"/>
      <w:marRight w:val="0"/>
      <w:marTop w:val="0"/>
      <w:marBottom w:val="0"/>
      <w:divBdr>
        <w:top w:val="none" w:sz="0" w:space="0" w:color="auto"/>
        <w:left w:val="none" w:sz="0" w:space="0" w:color="auto"/>
        <w:bottom w:val="none" w:sz="0" w:space="0" w:color="auto"/>
        <w:right w:val="none" w:sz="0" w:space="0" w:color="auto"/>
      </w:divBdr>
    </w:div>
    <w:div w:id="832647528">
      <w:bodyDiv w:val="1"/>
      <w:marLeft w:val="0"/>
      <w:marRight w:val="0"/>
      <w:marTop w:val="0"/>
      <w:marBottom w:val="0"/>
      <w:divBdr>
        <w:top w:val="none" w:sz="0" w:space="0" w:color="auto"/>
        <w:left w:val="none" w:sz="0" w:space="0" w:color="auto"/>
        <w:bottom w:val="none" w:sz="0" w:space="0" w:color="auto"/>
        <w:right w:val="none" w:sz="0" w:space="0" w:color="auto"/>
      </w:divBdr>
    </w:div>
    <w:div w:id="832990233">
      <w:bodyDiv w:val="1"/>
      <w:marLeft w:val="0"/>
      <w:marRight w:val="0"/>
      <w:marTop w:val="0"/>
      <w:marBottom w:val="0"/>
      <w:divBdr>
        <w:top w:val="none" w:sz="0" w:space="0" w:color="auto"/>
        <w:left w:val="none" w:sz="0" w:space="0" w:color="auto"/>
        <w:bottom w:val="none" w:sz="0" w:space="0" w:color="auto"/>
        <w:right w:val="none" w:sz="0" w:space="0" w:color="auto"/>
      </w:divBdr>
    </w:div>
    <w:div w:id="833107645">
      <w:bodyDiv w:val="1"/>
      <w:marLeft w:val="0"/>
      <w:marRight w:val="0"/>
      <w:marTop w:val="0"/>
      <w:marBottom w:val="0"/>
      <w:divBdr>
        <w:top w:val="none" w:sz="0" w:space="0" w:color="auto"/>
        <w:left w:val="none" w:sz="0" w:space="0" w:color="auto"/>
        <w:bottom w:val="none" w:sz="0" w:space="0" w:color="auto"/>
        <w:right w:val="none" w:sz="0" w:space="0" w:color="auto"/>
      </w:divBdr>
    </w:div>
    <w:div w:id="833181853">
      <w:bodyDiv w:val="1"/>
      <w:marLeft w:val="0"/>
      <w:marRight w:val="0"/>
      <w:marTop w:val="0"/>
      <w:marBottom w:val="0"/>
      <w:divBdr>
        <w:top w:val="none" w:sz="0" w:space="0" w:color="auto"/>
        <w:left w:val="none" w:sz="0" w:space="0" w:color="auto"/>
        <w:bottom w:val="none" w:sz="0" w:space="0" w:color="auto"/>
        <w:right w:val="none" w:sz="0" w:space="0" w:color="auto"/>
      </w:divBdr>
    </w:div>
    <w:div w:id="833230104">
      <w:bodyDiv w:val="1"/>
      <w:marLeft w:val="0"/>
      <w:marRight w:val="0"/>
      <w:marTop w:val="0"/>
      <w:marBottom w:val="0"/>
      <w:divBdr>
        <w:top w:val="none" w:sz="0" w:space="0" w:color="auto"/>
        <w:left w:val="none" w:sz="0" w:space="0" w:color="auto"/>
        <w:bottom w:val="none" w:sz="0" w:space="0" w:color="auto"/>
        <w:right w:val="none" w:sz="0" w:space="0" w:color="auto"/>
      </w:divBdr>
    </w:div>
    <w:div w:id="833256421">
      <w:bodyDiv w:val="1"/>
      <w:marLeft w:val="0"/>
      <w:marRight w:val="0"/>
      <w:marTop w:val="0"/>
      <w:marBottom w:val="0"/>
      <w:divBdr>
        <w:top w:val="none" w:sz="0" w:space="0" w:color="auto"/>
        <w:left w:val="none" w:sz="0" w:space="0" w:color="auto"/>
        <w:bottom w:val="none" w:sz="0" w:space="0" w:color="auto"/>
        <w:right w:val="none" w:sz="0" w:space="0" w:color="auto"/>
      </w:divBdr>
    </w:div>
    <w:div w:id="833884323">
      <w:bodyDiv w:val="1"/>
      <w:marLeft w:val="0"/>
      <w:marRight w:val="0"/>
      <w:marTop w:val="0"/>
      <w:marBottom w:val="0"/>
      <w:divBdr>
        <w:top w:val="none" w:sz="0" w:space="0" w:color="auto"/>
        <w:left w:val="none" w:sz="0" w:space="0" w:color="auto"/>
        <w:bottom w:val="none" w:sz="0" w:space="0" w:color="auto"/>
        <w:right w:val="none" w:sz="0" w:space="0" w:color="auto"/>
      </w:divBdr>
    </w:div>
    <w:div w:id="834300643">
      <w:bodyDiv w:val="1"/>
      <w:marLeft w:val="0"/>
      <w:marRight w:val="0"/>
      <w:marTop w:val="0"/>
      <w:marBottom w:val="0"/>
      <w:divBdr>
        <w:top w:val="none" w:sz="0" w:space="0" w:color="auto"/>
        <w:left w:val="none" w:sz="0" w:space="0" w:color="auto"/>
        <w:bottom w:val="none" w:sz="0" w:space="0" w:color="auto"/>
        <w:right w:val="none" w:sz="0" w:space="0" w:color="auto"/>
      </w:divBdr>
    </w:div>
    <w:div w:id="835194740">
      <w:bodyDiv w:val="1"/>
      <w:marLeft w:val="0"/>
      <w:marRight w:val="0"/>
      <w:marTop w:val="0"/>
      <w:marBottom w:val="0"/>
      <w:divBdr>
        <w:top w:val="none" w:sz="0" w:space="0" w:color="auto"/>
        <w:left w:val="none" w:sz="0" w:space="0" w:color="auto"/>
        <w:bottom w:val="none" w:sz="0" w:space="0" w:color="auto"/>
        <w:right w:val="none" w:sz="0" w:space="0" w:color="auto"/>
      </w:divBdr>
    </w:div>
    <w:div w:id="835877478">
      <w:bodyDiv w:val="1"/>
      <w:marLeft w:val="0"/>
      <w:marRight w:val="0"/>
      <w:marTop w:val="0"/>
      <w:marBottom w:val="0"/>
      <w:divBdr>
        <w:top w:val="none" w:sz="0" w:space="0" w:color="auto"/>
        <w:left w:val="none" w:sz="0" w:space="0" w:color="auto"/>
        <w:bottom w:val="none" w:sz="0" w:space="0" w:color="auto"/>
        <w:right w:val="none" w:sz="0" w:space="0" w:color="auto"/>
      </w:divBdr>
    </w:div>
    <w:div w:id="836119297">
      <w:bodyDiv w:val="1"/>
      <w:marLeft w:val="0"/>
      <w:marRight w:val="0"/>
      <w:marTop w:val="0"/>
      <w:marBottom w:val="0"/>
      <w:divBdr>
        <w:top w:val="none" w:sz="0" w:space="0" w:color="auto"/>
        <w:left w:val="none" w:sz="0" w:space="0" w:color="auto"/>
        <w:bottom w:val="none" w:sz="0" w:space="0" w:color="auto"/>
        <w:right w:val="none" w:sz="0" w:space="0" w:color="auto"/>
      </w:divBdr>
    </w:div>
    <w:div w:id="836192662">
      <w:bodyDiv w:val="1"/>
      <w:marLeft w:val="0"/>
      <w:marRight w:val="0"/>
      <w:marTop w:val="0"/>
      <w:marBottom w:val="0"/>
      <w:divBdr>
        <w:top w:val="none" w:sz="0" w:space="0" w:color="auto"/>
        <w:left w:val="none" w:sz="0" w:space="0" w:color="auto"/>
        <w:bottom w:val="none" w:sz="0" w:space="0" w:color="auto"/>
        <w:right w:val="none" w:sz="0" w:space="0" w:color="auto"/>
      </w:divBdr>
    </w:div>
    <w:div w:id="836502899">
      <w:bodyDiv w:val="1"/>
      <w:marLeft w:val="0"/>
      <w:marRight w:val="0"/>
      <w:marTop w:val="0"/>
      <w:marBottom w:val="0"/>
      <w:divBdr>
        <w:top w:val="none" w:sz="0" w:space="0" w:color="auto"/>
        <w:left w:val="none" w:sz="0" w:space="0" w:color="auto"/>
        <w:bottom w:val="none" w:sz="0" w:space="0" w:color="auto"/>
        <w:right w:val="none" w:sz="0" w:space="0" w:color="auto"/>
      </w:divBdr>
    </w:div>
    <w:div w:id="836577231">
      <w:bodyDiv w:val="1"/>
      <w:marLeft w:val="0"/>
      <w:marRight w:val="0"/>
      <w:marTop w:val="0"/>
      <w:marBottom w:val="0"/>
      <w:divBdr>
        <w:top w:val="none" w:sz="0" w:space="0" w:color="auto"/>
        <w:left w:val="none" w:sz="0" w:space="0" w:color="auto"/>
        <w:bottom w:val="none" w:sz="0" w:space="0" w:color="auto"/>
        <w:right w:val="none" w:sz="0" w:space="0" w:color="auto"/>
      </w:divBdr>
    </w:div>
    <w:div w:id="836649894">
      <w:bodyDiv w:val="1"/>
      <w:marLeft w:val="0"/>
      <w:marRight w:val="0"/>
      <w:marTop w:val="0"/>
      <w:marBottom w:val="0"/>
      <w:divBdr>
        <w:top w:val="none" w:sz="0" w:space="0" w:color="auto"/>
        <w:left w:val="none" w:sz="0" w:space="0" w:color="auto"/>
        <w:bottom w:val="none" w:sz="0" w:space="0" w:color="auto"/>
        <w:right w:val="none" w:sz="0" w:space="0" w:color="auto"/>
      </w:divBdr>
    </w:div>
    <w:div w:id="836651139">
      <w:bodyDiv w:val="1"/>
      <w:marLeft w:val="0"/>
      <w:marRight w:val="0"/>
      <w:marTop w:val="0"/>
      <w:marBottom w:val="0"/>
      <w:divBdr>
        <w:top w:val="none" w:sz="0" w:space="0" w:color="auto"/>
        <w:left w:val="none" w:sz="0" w:space="0" w:color="auto"/>
        <w:bottom w:val="none" w:sz="0" w:space="0" w:color="auto"/>
        <w:right w:val="none" w:sz="0" w:space="0" w:color="auto"/>
      </w:divBdr>
    </w:div>
    <w:div w:id="836841481">
      <w:bodyDiv w:val="1"/>
      <w:marLeft w:val="0"/>
      <w:marRight w:val="0"/>
      <w:marTop w:val="0"/>
      <w:marBottom w:val="0"/>
      <w:divBdr>
        <w:top w:val="none" w:sz="0" w:space="0" w:color="auto"/>
        <w:left w:val="none" w:sz="0" w:space="0" w:color="auto"/>
        <w:bottom w:val="none" w:sz="0" w:space="0" w:color="auto"/>
        <w:right w:val="none" w:sz="0" w:space="0" w:color="auto"/>
      </w:divBdr>
    </w:div>
    <w:div w:id="836841886">
      <w:bodyDiv w:val="1"/>
      <w:marLeft w:val="0"/>
      <w:marRight w:val="0"/>
      <w:marTop w:val="0"/>
      <w:marBottom w:val="0"/>
      <w:divBdr>
        <w:top w:val="none" w:sz="0" w:space="0" w:color="auto"/>
        <w:left w:val="none" w:sz="0" w:space="0" w:color="auto"/>
        <w:bottom w:val="none" w:sz="0" w:space="0" w:color="auto"/>
        <w:right w:val="none" w:sz="0" w:space="0" w:color="auto"/>
      </w:divBdr>
    </w:div>
    <w:div w:id="836923795">
      <w:bodyDiv w:val="1"/>
      <w:marLeft w:val="0"/>
      <w:marRight w:val="0"/>
      <w:marTop w:val="0"/>
      <w:marBottom w:val="0"/>
      <w:divBdr>
        <w:top w:val="none" w:sz="0" w:space="0" w:color="auto"/>
        <w:left w:val="none" w:sz="0" w:space="0" w:color="auto"/>
        <w:bottom w:val="none" w:sz="0" w:space="0" w:color="auto"/>
        <w:right w:val="none" w:sz="0" w:space="0" w:color="auto"/>
      </w:divBdr>
    </w:div>
    <w:div w:id="837040255">
      <w:bodyDiv w:val="1"/>
      <w:marLeft w:val="0"/>
      <w:marRight w:val="0"/>
      <w:marTop w:val="0"/>
      <w:marBottom w:val="0"/>
      <w:divBdr>
        <w:top w:val="none" w:sz="0" w:space="0" w:color="auto"/>
        <w:left w:val="none" w:sz="0" w:space="0" w:color="auto"/>
        <w:bottom w:val="none" w:sz="0" w:space="0" w:color="auto"/>
        <w:right w:val="none" w:sz="0" w:space="0" w:color="auto"/>
      </w:divBdr>
    </w:div>
    <w:div w:id="837430140">
      <w:bodyDiv w:val="1"/>
      <w:marLeft w:val="0"/>
      <w:marRight w:val="0"/>
      <w:marTop w:val="0"/>
      <w:marBottom w:val="0"/>
      <w:divBdr>
        <w:top w:val="none" w:sz="0" w:space="0" w:color="auto"/>
        <w:left w:val="none" w:sz="0" w:space="0" w:color="auto"/>
        <w:bottom w:val="none" w:sz="0" w:space="0" w:color="auto"/>
        <w:right w:val="none" w:sz="0" w:space="0" w:color="auto"/>
      </w:divBdr>
    </w:div>
    <w:div w:id="837814006">
      <w:bodyDiv w:val="1"/>
      <w:marLeft w:val="0"/>
      <w:marRight w:val="0"/>
      <w:marTop w:val="0"/>
      <w:marBottom w:val="0"/>
      <w:divBdr>
        <w:top w:val="none" w:sz="0" w:space="0" w:color="auto"/>
        <w:left w:val="none" w:sz="0" w:space="0" w:color="auto"/>
        <w:bottom w:val="none" w:sz="0" w:space="0" w:color="auto"/>
        <w:right w:val="none" w:sz="0" w:space="0" w:color="auto"/>
      </w:divBdr>
    </w:div>
    <w:div w:id="838082480">
      <w:bodyDiv w:val="1"/>
      <w:marLeft w:val="0"/>
      <w:marRight w:val="0"/>
      <w:marTop w:val="0"/>
      <w:marBottom w:val="0"/>
      <w:divBdr>
        <w:top w:val="none" w:sz="0" w:space="0" w:color="auto"/>
        <w:left w:val="none" w:sz="0" w:space="0" w:color="auto"/>
        <w:bottom w:val="none" w:sz="0" w:space="0" w:color="auto"/>
        <w:right w:val="none" w:sz="0" w:space="0" w:color="auto"/>
      </w:divBdr>
    </w:div>
    <w:div w:id="838279228">
      <w:bodyDiv w:val="1"/>
      <w:marLeft w:val="0"/>
      <w:marRight w:val="0"/>
      <w:marTop w:val="0"/>
      <w:marBottom w:val="0"/>
      <w:divBdr>
        <w:top w:val="none" w:sz="0" w:space="0" w:color="auto"/>
        <w:left w:val="none" w:sz="0" w:space="0" w:color="auto"/>
        <w:bottom w:val="none" w:sz="0" w:space="0" w:color="auto"/>
        <w:right w:val="none" w:sz="0" w:space="0" w:color="auto"/>
      </w:divBdr>
    </w:div>
    <w:div w:id="838539095">
      <w:bodyDiv w:val="1"/>
      <w:marLeft w:val="0"/>
      <w:marRight w:val="0"/>
      <w:marTop w:val="0"/>
      <w:marBottom w:val="0"/>
      <w:divBdr>
        <w:top w:val="none" w:sz="0" w:space="0" w:color="auto"/>
        <w:left w:val="none" w:sz="0" w:space="0" w:color="auto"/>
        <w:bottom w:val="none" w:sz="0" w:space="0" w:color="auto"/>
        <w:right w:val="none" w:sz="0" w:space="0" w:color="auto"/>
      </w:divBdr>
    </w:div>
    <w:div w:id="839540881">
      <w:bodyDiv w:val="1"/>
      <w:marLeft w:val="0"/>
      <w:marRight w:val="0"/>
      <w:marTop w:val="0"/>
      <w:marBottom w:val="0"/>
      <w:divBdr>
        <w:top w:val="none" w:sz="0" w:space="0" w:color="auto"/>
        <w:left w:val="none" w:sz="0" w:space="0" w:color="auto"/>
        <w:bottom w:val="none" w:sz="0" w:space="0" w:color="auto"/>
        <w:right w:val="none" w:sz="0" w:space="0" w:color="auto"/>
      </w:divBdr>
    </w:div>
    <w:div w:id="840048333">
      <w:bodyDiv w:val="1"/>
      <w:marLeft w:val="0"/>
      <w:marRight w:val="0"/>
      <w:marTop w:val="0"/>
      <w:marBottom w:val="0"/>
      <w:divBdr>
        <w:top w:val="none" w:sz="0" w:space="0" w:color="auto"/>
        <w:left w:val="none" w:sz="0" w:space="0" w:color="auto"/>
        <w:bottom w:val="none" w:sz="0" w:space="0" w:color="auto"/>
        <w:right w:val="none" w:sz="0" w:space="0" w:color="auto"/>
      </w:divBdr>
    </w:div>
    <w:div w:id="840244523">
      <w:bodyDiv w:val="1"/>
      <w:marLeft w:val="0"/>
      <w:marRight w:val="0"/>
      <w:marTop w:val="0"/>
      <w:marBottom w:val="0"/>
      <w:divBdr>
        <w:top w:val="none" w:sz="0" w:space="0" w:color="auto"/>
        <w:left w:val="none" w:sz="0" w:space="0" w:color="auto"/>
        <w:bottom w:val="none" w:sz="0" w:space="0" w:color="auto"/>
        <w:right w:val="none" w:sz="0" w:space="0" w:color="auto"/>
      </w:divBdr>
    </w:div>
    <w:div w:id="840463206">
      <w:bodyDiv w:val="1"/>
      <w:marLeft w:val="0"/>
      <w:marRight w:val="0"/>
      <w:marTop w:val="0"/>
      <w:marBottom w:val="0"/>
      <w:divBdr>
        <w:top w:val="none" w:sz="0" w:space="0" w:color="auto"/>
        <w:left w:val="none" w:sz="0" w:space="0" w:color="auto"/>
        <w:bottom w:val="none" w:sz="0" w:space="0" w:color="auto"/>
        <w:right w:val="none" w:sz="0" w:space="0" w:color="auto"/>
      </w:divBdr>
    </w:div>
    <w:div w:id="841090367">
      <w:bodyDiv w:val="1"/>
      <w:marLeft w:val="0"/>
      <w:marRight w:val="0"/>
      <w:marTop w:val="0"/>
      <w:marBottom w:val="0"/>
      <w:divBdr>
        <w:top w:val="none" w:sz="0" w:space="0" w:color="auto"/>
        <w:left w:val="none" w:sz="0" w:space="0" w:color="auto"/>
        <w:bottom w:val="none" w:sz="0" w:space="0" w:color="auto"/>
        <w:right w:val="none" w:sz="0" w:space="0" w:color="auto"/>
      </w:divBdr>
    </w:div>
    <w:div w:id="841354067">
      <w:bodyDiv w:val="1"/>
      <w:marLeft w:val="0"/>
      <w:marRight w:val="0"/>
      <w:marTop w:val="0"/>
      <w:marBottom w:val="0"/>
      <w:divBdr>
        <w:top w:val="none" w:sz="0" w:space="0" w:color="auto"/>
        <w:left w:val="none" w:sz="0" w:space="0" w:color="auto"/>
        <w:bottom w:val="none" w:sz="0" w:space="0" w:color="auto"/>
        <w:right w:val="none" w:sz="0" w:space="0" w:color="auto"/>
      </w:divBdr>
    </w:div>
    <w:div w:id="841697036">
      <w:bodyDiv w:val="1"/>
      <w:marLeft w:val="0"/>
      <w:marRight w:val="0"/>
      <w:marTop w:val="0"/>
      <w:marBottom w:val="0"/>
      <w:divBdr>
        <w:top w:val="none" w:sz="0" w:space="0" w:color="auto"/>
        <w:left w:val="none" w:sz="0" w:space="0" w:color="auto"/>
        <w:bottom w:val="none" w:sz="0" w:space="0" w:color="auto"/>
        <w:right w:val="none" w:sz="0" w:space="0" w:color="auto"/>
      </w:divBdr>
    </w:div>
    <w:div w:id="841747063">
      <w:bodyDiv w:val="1"/>
      <w:marLeft w:val="0"/>
      <w:marRight w:val="0"/>
      <w:marTop w:val="0"/>
      <w:marBottom w:val="0"/>
      <w:divBdr>
        <w:top w:val="none" w:sz="0" w:space="0" w:color="auto"/>
        <w:left w:val="none" w:sz="0" w:space="0" w:color="auto"/>
        <w:bottom w:val="none" w:sz="0" w:space="0" w:color="auto"/>
        <w:right w:val="none" w:sz="0" w:space="0" w:color="auto"/>
      </w:divBdr>
    </w:div>
    <w:div w:id="842284087">
      <w:bodyDiv w:val="1"/>
      <w:marLeft w:val="0"/>
      <w:marRight w:val="0"/>
      <w:marTop w:val="0"/>
      <w:marBottom w:val="0"/>
      <w:divBdr>
        <w:top w:val="none" w:sz="0" w:space="0" w:color="auto"/>
        <w:left w:val="none" w:sz="0" w:space="0" w:color="auto"/>
        <w:bottom w:val="none" w:sz="0" w:space="0" w:color="auto"/>
        <w:right w:val="none" w:sz="0" w:space="0" w:color="auto"/>
      </w:divBdr>
    </w:div>
    <w:div w:id="842816009">
      <w:bodyDiv w:val="1"/>
      <w:marLeft w:val="0"/>
      <w:marRight w:val="0"/>
      <w:marTop w:val="0"/>
      <w:marBottom w:val="0"/>
      <w:divBdr>
        <w:top w:val="none" w:sz="0" w:space="0" w:color="auto"/>
        <w:left w:val="none" w:sz="0" w:space="0" w:color="auto"/>
        <w:bottom w:val="none" w:sz="0" w:space="0" w:color="auto"/>
        <w:right w:val="none" w:sz="0" w:space="0" w:color="auto"/>
      </w:divBdr>
    </w:div>
    <w:div w:id="842862629">
      <w:bodyDiv w:val="1"/>
      <w:marLeft w:val="0"/>
      <w:marRight w:val="0"/>
      <w:marTop w:val="0"/>
      <w:marBottom w:val="0"/>
      <w:divBdr>
        <w:top w:val="none" w:sz="0" w:space="0" w:color="auto"/>
        <w:left w:val="none" w:sz="0" w:space="0" w:color="auto"/>
        <w:bottom w:val="none" w:sz="0" w:space="0" w:color="auto"/>
        <w:right w:val="none" w:sz="0" w:space="0" w:color="auto"/>
      </w:divBdr>
    </w:div>
    <w:div w:id="843012387">
      <w:bodyDiv w:val="1"/>
      <w:marLeft w:val="0"/>
      <w:marRight w:val="0"/>
      <w:marTop w:val="0"/>
      <w:marBottom w:val="0"/>
      <w:divBdr>
        <w:top w:val="none" w:sz="0" w:space="0" w:color="auto"/>
        <w:left w:val="none" w:sz="0" w:space="0" w:color="auto"/>
        <w:bottom w:val="none" w:sz="0" w:space="0" w:color="auto"/>
        <w:right w:val="none" w:sz="0" w:space="0" w:color="auto"/>
      </w:divBdr>
    </w:div>
    <w:div w:id="843322367">
      <w:bodyDiv w:val="1"/>
      <w:marLeft w:val="0"/>
      <w:marRight w:val="0"/>
      <w:marTop w:val="0"/>
      <w:marBottom w:val="0"/>
      <w:divBdr>
        <w:top w:val="none" w:sz="0" w:space="0" w:color="auto"/>
        <w:left w:val="none" w:sz="0" w:space="0" w:color="auto"/>
        <w:bottom w:val="none" w:sz="0" w:space="0" w:color="auto"/>
        <w:right w:val="none" w:sz="0" w:space="0" w:color="auto"/>
      </w:divBdr>
    </w:div>
    <w:div w:id="843521462">
      <w:bodyDiv w:val="1"/>
      <w:marLeft w:val="0"/>
      <w:marRight w:val="0"/>
      <w:marTop w:val="0"/>
      <w:marBottom w:val="0"/>
      <w:divBdr>
        <w:top w:val="none" w:sz="0" w:space="0" w:color="auto"/>
        <w:left w:val="none" w:sz="0" w:space="0" w:color="auto"/>
        <w:bottom w:val="none" w:sz="0" w:space="0" w:color="auto"/>
        <w:right w:val="none" w:sz="0" w:space="0" w:color="auto"/>
      </w:divBdr>
    </w:div>
    <w:div w:id="844244365">
      <w:bodyDiv w:val="1"/>
      <w:marLeft w:val="0"/>
      <w:marRight w:val="0"/>
      <w:marTop w:val="0"/>
      <w:marBottom w:val="0"/>
      <w:divBdr>
        <w:top w:val="none" w:sz="0" w:space="0" w:color="auto"/>
        <w:left w:val="none" w:sz="0" w:space="0" w:color="auto"/>
        <w:bottom w:val="none" w:sz="0" w:space="0" w:color="auto"/>
        <w:right w:val="none" w:sz="0" w:space="0" w:color="auto"/>
      </w:divBdr>
    </w:div>
    <w:div w:id="844397191">
      <w:bodyDiv w:val="1"/>
      <w:marLeft w:val="0"/>
      <w:marRight w:val="0"/>
      <w:marTop w:val="0"/>
      <w:marBottom w:val="0"/>
      <w:divBdr>
        <w:top w:val="none" w:sz="0" w:space="0" w:color="auto"/>
        <w:left w:val="none" w:sz="0" w:space="0" w:color="auto"/>
        <w:bottom w:val="none" w:sz="0" w:space="0" w:color="auto"/>
        <w:right w:val="none" w:sz="0" w:space="0" w:color="auto"/>
      </w:divBdr>
    </w:div>
    <w:div w:id="844785408">
      <w:bodyDiv w:val="1"/>
      <w:marLeft w:val="0"/>
      <w:marRight w:val="0"/>
      <w:marTop w:val="0"/>
      <w:marBottom w:val="0"/>
      <w:divBdr>
        <w:top w:val="none" w:sz="0" w:space="0" w:color="auto"/>
        <w:left w:val="none" w:sz="0" w:space="0" w:color="auto"/>
        <w:bottom w:val="none" w:sz="0" w:space="0" w:color="auto"/>
        <w:right w:val="none" w:sz="0" w:space="0" w:color="auto"/>
      </w:divBdr>
    </w:div>
    <w:div w:id="845176049">
      <w:bodyDiv w:val="1"/>
      <w:marLeft w:val="0"/>
      <w:marRight w:val="0"/>
      <w:marTop w:val="0"/>
      <w:marBottom w:val="0"/>
      <w:divBdr>
        <w:top w:val="none" w:sz="0" w:space="0" w:color="auto"/>
        <w:left w:val="none" w:sz="0" w:space="0" w:color="auto"/>
        <w:bottom w:val="none" w:sz="0" w:space="0" w:color="auto"/>
        <w:right w:val="none" w:sz="0" w:space="0" w:color="auto"/>
      </w:divBdr>
    </w:div>
    <w:div w:id="845363758">
      <w:bodyDiv w:val="1"/>
      <w:marLeft w:val="0"/>
      <w:marRight w:val="0"/>
      <w:marTop w:val="0"/>
      <w:marBottom w:val="0"/>
      <w:divBdr>
        <w:top w:val="none" w:sz="0" w:space="0" w:color="auto"/>
        <w:left w:val="none" w:sz="0" w:space="0" w:color="auto"/>
        <w:bottom w:val="none" w:sz="0" w:space="0" w:color="auto"/>
        <w:right w:val="none" w:sz="0" w:space="0" w:color="auto"/>
      </w:divBdr>
    </w:div>
    <w:div w:id="845364148">
      <w:bodyDiv w:val="1"/>
      <w:marLeft w:val="0"/>
      <w:marRight w:val="0"/>
      <w:marTop w:val="0"/>
      <w:marBottom w:val="0"/>
      <w:divBdr>
        <w:top w:val="none" w:sz="0" w:space="0" w:color="auto"/>
        <w:left w:val="none" w:sz="0" w:space="0" w:color="auto"/>
        <w:bottom w:val="none" w:sz="0" w:space="0" w:color="auto"/>
        <w:right w:val="none" w:sz="0" w:space="0" w:color="auto"/>
      </w:divBdr>
    </w:div>
    <w:div w:id="845897879">
      <w:bodyDiv w:val="1"/>
      <w:marLeft w:val="0"/>
      <w:marRight w:val="0"/>
      <w:marTop w:val="0"/>
      <w:marBottom w:val="0"/>
      <w:divBdr>
        <w:top w:val="none" w:sz="0" w:space="0" w:color="auto"/>
        <w:left w:val="none" w:sz="0" w:space="0" w:color="auto"/>
        <w:bottom w:val="none" w:sz="0" w:space="0" w:color="auto"/>
        <w:right w:val="none" w:sz="0" w:space="0" w:color="auto"/>
      </w:divBdr>
    </w:div>
    <w:div w:id="845941526">
      <w:bodyDiv w:val="1"/>
      <w:marLeft w:val="0"/>
      <w:marRight w:val="0"/>
      <w:marTop w:val="0"/>
      <w:marBottom w:val="0"/>
      <w:divBdr>
        <w:top w:val="none" w:sz="0" w:space="0" w:color="auto"/>
        <w:left w:val="none" w:sz="0" w:space="0" w:color="auto"/>
        <w:bottom w:val="none" w:sz="0" w:space="0" w:color="auto"/>
        <w:right w:val="none" w:sz="0" w:space="0" w:color="auto"/>
      </w:divBdr>
    </w:div>
    <w:div w:id="846021051">
      <w:bodyDiv w:val="1"/>
      <w:marLeft w:val="0"/>
      <w:marRight w:val="0"/>
      <w:marTop w:val="0"/>
      <w:marBottom w:val="0"/>
      <w:divBdr>
        <w:top w:val="none" w:sz="0" w:space="0" w:color="auto"/>
        <w:left w:val="none" w:sz="0" w:space="0" w:color="auto"/>
        <w:bottom w:val="none" w:sz="0" w:space="0" w:color="auto"/>
        <w:right w:val="none" w:sz="0" w:space="0" w:color="auto"/>
      </w:divBdr>
    </w:div>
    <w:div w:id="846093086">
      <w:bodyDiv w:val="1"/>
      <w:marLeft w:val="0"/>
      <w:marRight w:val="0"/>
      <w:marTop w:val="0"/>
      <w:marBottom w:val="0"/>
      <w:divBdr>
        <w:top w:val="none" w:sz="0" w:space="0" w:color="auto"/>
        <w:left w:val="none" w:sz="0" w:space="0" w:color="auto"/>
        <w:bottom w:val="none" w:sz="0" w:space="0" w:color="auto"/>
        <w:right w:val="none" w:sz="0" w:space="0" w:color="auto"/>
      </w:divBdr>
    </w:div>
    <w:div w:id="846214372">
      <w:bodyDiv w:val="1"/>
      <w:marLeft w:val="0"/>
      <w:marRight w:val="0"/>
      <w:marTop w:val="0"/>
      <w:marBottom w:val="0"/>
      <w:divBdr>
        <w:top w:val="none" w:sz="0" w:space="0" w:color="auto"/>
        <w:left w:val="none" w:sz="0" w:space="0" w:color="auto"/>
        <w:bottom w:val="none" w:sz="0" w:space="0" w:color="auto"/>
        <w:right w:val="none" w:sz="0" w:space="0" w:color="auto"/>
      </w:divBdr>
    </w:div>
    <w:div w:id="846288450">
      <w:bodyDiv w:val="1"/>
      <w:marLeft w:val="0"/>
      <w:marRight w:val="0"/>
      <w:marTop w:val="0"/>
      <w:marBottom w:val="0"/>
      <w:divBdr>
        <w:top w:val="none" w:sz="0" w:space="0" w:color="auto"/>
        <w:left w:val="none" w:sz="0" w:space="0" w:color="auto"/>
        <w:bottom w:val="none" w:sz="0" w:space="0" w:color="auto"/>
        <w:right w:val="none" w:sz="0" w:space="0" w:color="auto"/>
      </w:divBdr>
    </w:div>
    <w:div w:id="846595952">
      <w:bodyDiv w:val="1"/>
      <w:marLeft w:val="0"/>
      <w:marRight w:val="0"/>
      <w:marTop w:val="0"/>
      <w:marBottom w:val="0"/>
      <w:divBdr>
        <w:top w:val="none" w:sz="0" w:space="0" w:color="auto"/>
        <w:left w:val="none" w:sz="0" w:space="0" w:color="auto"/>
        <w:bottom w:val="none" w:sz="0" w:space="0" w:color="auto"/>
        <w:right w:val="none" w:sz="0" w:space="0" w:color="auto"/>
      </w:divBdr>
    </w:div>
    <w:div w:id="847643771">
      <w:bodyDiv w:val="1"/>
      <w:marLeft w:val="0"/>
      <w:marRight w:val="0"/>
      <w:marTop w:val="0"/>
      <w:marBottom w:val="0"/>
      <w:divBdr>
        <w:top w:val="none" w:sz="0" w:space="0" w:color="auto"/>
        <w:left w:val="none" w:sz="0" w:space="0" w:color="auto"/>
        <w:bottom w:val="none" w:sz="0" w:space="0" w:color="auto"/>
        <w:right w:val="none" w:sz="0" w:space="0" w:color="auto"/>
      </w:divBdr>
    </w:div>
    <w:div w:id="847645191">
      <w:bodyDiv w:val="1"/>
      <w:marLeft w:val="0"/>
      <w:marRight w:val="0"/>
      <w:marTop w:val="0"/>
      <w:marBottom w:val="0"/>
      <w:divBdr>
        <w:top w:val="none" w:sz="0" w:space="0" w:color="auto"/>
        <w:left w:val="none" w:sz="0" w:space="0" w:color="auto"/>
        <w:bottom w:val="none" w:sz="0" w:space="0" w:color="auto"/>
        <w:right w:val="none" w:sz="0" w:space="0" w:color="auto"/>
      </w:divBdr>
    </w:div>
    <w:div w:id="847721665">
      <w:bodyDiv w:val="1"/>
      <w:marLeft w:val="0"/>
      <w:marRight w:val="0"/>
      <w:marTop w:val="0"/>
      <w:marBottom w:val="0"/>
      <w:divBdr>
        <w:top w:val="none" w:sz="0" w:space="0" w:color="auto"/>
        <w:left w:val="none" w:sz="0" w:space="0" w:color="auto"/>
        <w:bottom w:val="none" w:sz="0" w:space="0" w:color="auto"/>
        <w:right w:val="none" w:sz="0" w:space="0" w:color="auto"/>
      </w:divBdr>
    </w:div>
    <w:div w:id="848254156">
      <w:bodyDiv w:val="1"/>
      <w:marLeft w:val="0"/>
      <w:marRight w:val="0"/>
      <w:marTop w:val="0"/>
      <w:marBottom w:val="0"/>
      <w:divBdr>
        <w:top w:val="none" w:sz="0" w:space="0" w:color="auto"/>
        <w:left w:val="none" w:sz="0" w:space="0" w:color="auto"/>
        <w:bottom w:val="none" w:sz="0" w:space="0" w:color="auto"/>
        <w:right w:val="none" w:sz="0" w:space="0" w:color="auto"/>
      </w:divBdr>
    </w:div>
    <w:div w:id="848524887">
      <w:bodyDiv w:val="1"/>
      <w:marLeft w:val="0"/>
      <w:marRight w:val="0"/>
      <w:marTop w:val="0"/>
      <w:marBottom w:val="0"/>
      <w:divBdr>
        <w:top w:val="none" w:sz="0" w:space="0" w:color="auto"/>
        <w:left w:val="none" w:sz="0" w:space="0" w:color="auto"/>
        <w:bottom w:val="none" w:sz="0" w:space="0" w:color="auto"/>
        <w:right w:val="none" w:sz="0" w:space="0" w:color="auto"/>
      </w:divBdr>
    </w:div>
    <w:div w:id="848715404">
      <w:bodyDiv w:val="1"/>
      <w:marLeft w:val="0"/>
      <w:marRight w:val="0"/>
      <w:marTop w:val="0"/>
      <w:marBottom w:val="0"/>
      <w:divBdr>
        <w:top w:val="none" w:sz="0" w:space="0" w:color="auto"/>
        <w:left w:val="none" w:sz="0" w:space="0" w:color="auto"/>
        <w:bottom w:val="none" w:sz="0" w:space="0" w:color="auto"/>
        <w:right w:val="none" w:sz="0" w:space="0" w:color="auto"/>
      </w:divBdr>
    </w:div>
    <w:div w:id="848787235">
      <w:bodyDiv w:val="1"/>
      <w:marLeft w:val="0"/>
      <w:marRight w:val="0"/>
      <w:marTop w:val="0"/>
      <w:marBottom w:val="0"/>
      <w:divBdr>
        <w:top w:val="none" w:sz="0" w:space="0" w:color="auto"/>
        <w:left w:val="none" w:sz="0" w:space="0" w:color="auto"/>
        <w:bottom w:val="none" w:sz="0" w:space="0" w:color="auto"/>
        <w:right w:val="none" w:sz="0" w:space="0" w:color="auto"/>
      </w:divBdr>
    </w:div>
    <w:div w:id="848831308">
      <w:bodyDiv w:val="1"/>
      <w:marLeft w:val="0"/>
      <w:marRight w:val="0"/>
      <w:marTop w:val="0"/>
      <w:marBottom w:val="0"/>
      <w:divBdr>
        <w:top w:val="none" w:sz="0" w:space="0" w:color="auto"/>
        <w:left w:val="none" w:sz="0" w:space="0" w:color="auto"/>
        <w:bottom w:val="none" w:sz="0" w:space="0" w:color="auto"/>
        <w:right w:val="none" w:sz="0" w:space="0" w:color="auto"/>
      </w:divBdr>
    </w:div>
    <w:div w:id="848982499">
      <w:bodyDiv w:val="1"/>
      <w:marLeft w:val="0"/>
      <w:marRight w:val="0"/>
      <w:marTop w:val="0"/>
      <w:marBottom w:val="0"/>
      <w:divBdr>
        <w:top w:val="none" w:sz="0" w:space="0" w:color="auto"/>
        <w:left w:val="none" w:sz="0" w:space="0" w:color="auto"/>
        <w:bottom w:val="none" w:sz="0" w:space="0" w:color="auto"/>
        <w:right w:val="none" w:sz="0" w:space="0" w:color="auto"/>
      </w:divBdr>
    </w:div>
    <w:div w:id="850140532">
      <w:bodyDiv w:val="1"/>
      <w:marLeft w:val="0"/>
      <w:marRight w:val="0"/>
      <w:marTop w:val="0"/>
      <w:marBottom w:val="0"/>
      <w:divBdr>
        <w:top w:val="none" w:sz="0" w:space="0" w:color="auto"/>
        <w:left w:val="none" w:sz="0" w:space="0" w:color="auto"/>
        <w:bottom w:val="none" w:sz="0" w:space="0" w:color="auto"/>
        <w:right w:val="none" w:sz="0" w:space="0" w:color="auto"/>
      </w:divBdr>
    </w:div>
    <w:div w:id="850217311">
      <w:bodyDiv w:val="1"/>
      <w:marLeft w:val="0"/>
      <w:marRight w:val="0"/>
      <w:marTop w:val="0"/>
      <w:marBottom w:val="0"/>
      <w:divBdr>
        <w:top w:val="none" w:sz="0" w:space="0" w:color="auto"/>
        <w:left w:val="none" w:sz="0" w:space="0" w:color="auto"/>
        <w:bottom w:val="none" w:sz="0" w:space="0" w:color="auto"/>
        <w:right w:val="none" w:sz="0" w:space="0" w:color="auto"/>
      </w:divBdr>
    </w:div>
    <w:div w:id="850492777">
      <w:bodyDiv w:val="1"/>
      <w:marLeft w:val="0"/>
      <w:marRight w:val="0"/>
      <w:marTop w:val="0"/>
      <w:marBottom w:val="0"/>
      <w:divBdr>
        <w:top w:val="none" w:sz="0" w:space="0" w:color="auto"/>
        <w:left w:val="none" w:sz="0" w:space="0" w:color="auto"/>
        <w:bottom w:val="none" w:sz="0" w:space="0" w:color="auto"/>
        <w:right w:val="none" w:sz="0" w:space="0" w:color="auto"/>
      </w:divBdr>
    </w:div>
    <w:div w:id="850726590">
      <w:bodyDiv w:val="1"/>
      <w:marLeft w:val="0"/>
      <w:marRight w:val="0"/>
      <w:marTop w:val="0"/>
      <w:marBottom w:val="0"/>
      <w:divBdr>
        <w:top w:val="none" w:sz="0" w:space="0" w:color="auto"/>
        <w:left w:val="none" w:sz="0" w:space="0" w:color="auto"/>
        <w:bottom w:val="none" w:sz="0" w:space="0" w:color="auto"/>
        <w:right w:val="none" w:sz="0" w:space="0" w:color="auto"/>
      </w:divBdr>
    </w:div>
    <w:div w:id="850800745">
      <w:bodyDiv w:val="1"/>
      <w:marLeft w:val="0"/>
      <w:marRight w:val="0"/>
      <w:marTop w:val="0"/>
      <w:marBottom w:val="0"/>
      <w:divBdr>
        <w:top w:val="none" w:sz="0" w:space="0" w:color="auto"/>
        <w:left w:val="none" w:sz="0" w:space="0" w:color="auto"/>
        <w:bottom w:val="none" w:sz="0" w:space="0" w:color="auto"/>
        <w:right w:val="none" w:sz="0" w:space="0" w:color="auto"/>
      </w:divBdr>
    </w:div>
    <w:div w:id="850801218">
      <w:bodyDiv w:val="1"/>
      <w:marLeft w:val="0"/>
      <w:marRight w:val="0"/>
      <w:marTop w:val="0"/>
      <w:marBottom w:val="0"/>
      <w:divBdr>
        <w:top w:val="none" w:sz="0" w:space="0" w:color="auto"/>
        <w:left w:val="none" w:sz="0" w:space="0" w:color="auto"/>
        <w:bottom w:val="none" w:sz="0" w:space="0" w:color="auto"/>
        <w:right w:val="none" w:sz="0" w:space="0" w:color="auto"/>
      </w:divBdr>
    </w:div>
    <w:div w:id="851340108">
      <w:bodyDiv w:val="1"/>
      <w:marLeft w:val="0"/>
      <w:marRight w:val="0"/>
      <w:marTop w:val="0"/>
      <w:marBottom w:val="0"/>
      <w:divBdr>
        <w:top w:val="none" w:sz="0" w:space="0" w:color="auto"/>
        <w:left w:val="none" w:sz="0" w:space="0" w:color="auto"/>
        <w:bottom w:val="none" w:sz="0" w:space="0" w:color="auto"/>
        <w:right w:val="none" w:sz="0" w:space="0" w:color="auto"/>
      </w:divBdr>
    </w:div>
    <w:div w:id="852110448">
      <w:bodyDiv w:val="1"/>
      <w:marLeft w:val="0"/>
      <w:marRight w:val="0"/>
      <w:marTop w:val="0"/>
      <w:marBottom w:val="0"/>
      <w:divBdr>
        <w:top w:val="none" w:sz="0" w:space="0" w:color="auto"/>
        <w:left w:val="none" w:sz="0" w:space="0" w:color="auto"/>
        <w:bottom w:val="none" w:sz="0" w:space="0" w:color="auto"/>
        <w:right w:val="none" w:sz="0" w:space="0" w:color="auto"/>
      </w:divBdr>
    </w:div>
    <w:div w:id="852115391">
      <w:bodyDiv w:val="1"/>
      <w:marLeft w:val="0"/>
      <w:marRight w:val="0"/>
      <w:marTop w:val="0"/>
      <w:marBottom w:val="0"/>
      <w:divBdr>
        <w:top w:val="none" w:sz="0" w:space="0" w:color="auto"/>
        <w:left w:val="none" w:sz="0" w:space="0" w:color="auto"/>
        <w:bottom w:val="none" w:sz="0" w:space="0" w:color="auto"/>
        <w:right w:val="none" w:sz="0" w:space="0" w:color="auto"/>
      </w:divBdr>
    </w:div>
    <w:div w:id="852182481">
      <w:bodyDiv w:val="1"/>
      <w:marLeft w:val="0"/>
      <w:marRight w:val="0"/>
      <w:marTop w:val="0"/>
      <w:marBottom w:val="0"/>
      <w:divBdr>
        <w:top w:val="none" w:sz="0" w:space="0" w:color="auto"/>
        <w:left w:val="none" w:sz="0" w:space="0" w:color="auto"/>
        <w:bottom w:val="none" w:sz="0" w:space="0" w:color="auto"/>
        <w:right w:val="none" w:sz="0" w:space="0" w:color="auto"/>
      </w:divBdr>
    </w:div>
    <w:div w:id="852453248">
      <w:bodyDiv w:val="1"/>
      <w:marLeft w:val="0"/>
      <w:marRight w:val="0"/>
      <w:marTop w:val="0"/>
      <w:marBottom w:val="0"/>
      <w:divBdr>
        <w:top w:val="none" w:sz="0" w:space="0" w:color="auto"/>
        <w:left w:val="none" w:sz="0" w:space="0" w:color="auto"/>
        <w:bottom w:val="none" w:sz="0" w:space="0" w:color="auto"/>
        <w:right w:val="none" w:sz="0" w:space="0" w:color="auto"/>
      </w:divBdr>
    </w:div>
    <w:div w:id="852689475">
      <w:bodyDiv w:val="1"/>
      <w:marLeft w:val="0"/>
      <w:marRight w:val="0"/>
      <w:marTop w:val="0"/>
      <w:marBottom w:val="0"/>
      <w:divBdr>
        <w:top w:val="none" w:sz="0" w:space="0" w:color="auto"/>
        <w:left w:val="none" w:sz="0" w:space="0" w:color="auto"/>
        <w:bottom w:val="none" w:sz="0" w:space="0" w:color="auto"/>
        <w:right w:val="none" w:sz="0" w:space="0" w:color="auto"/>
      </w:divBdr>
    </w:div>
    <w:div w:id="852693531">
      <w:bodyDiv w:val="1"/>
      <w:marLeft w:val="0"/>
      <w:marRight w:val="0"/>
      <w:marTop w:val="0"/>
      <w:marBottom w:val="0"/>
      <w:divBdr>
        <w:top w:val="none" w:sz="0" w:space="0" w:color="auto"/>
        <w:left w:val="none" w:sz="0" w:space="0" w:color="auto"/>
        <w:bottom w:val="none" w:sz="0" w:space="0" w:color="auto"/>
        <w:right w:val="none" w:sz="0" w:space="0" w:color="auto"/>
      </w:divBdr>
    </w:div>
    <w:div w:id="852844371">
      <w:bodyDiv w:val="1"/>
      <w:marLeft w:val="0"/>
      <w:marRight w:val="0"/>
      <w:marTop w:val="0"/>
      <w:marBottom w:val="0"/>
      <w:divBdr>
        <w:top w:val="none" w:sz="0" w:space="0" w:color="auto"/>
        <w:left w:val="none" w:sz="0" w:space="0" w:color="auto"/>
        <w:bottom w:val="none" w:sz="0" w:space="0" w:color="auto"/>
        <w:right w:val="none" w:sz="0" w:space="0" w:color="auto"/>
      </w:divBdr>
    </w:div>
    <w:div w:id="853421236">
      <w:bodyDiv w:val="1"/>
      <w:marLeft w:val="0"/>
      <w:marRight w:val="0"/>
      <w:marTop w:val="0"/>
      <w:marBottom w:val="0"/>
      <w:divBdr>
        <w:top w:val="none" w:sz="0" w:space="0" w:color="auto"/>
        <w:left w:val="none" w:sz="0" w:space="0" w:color="auto"/>
        <w:bottom w:val="none" w:sz="0" w:space="0" w:color="auto"/>
        <w:right w:val="none" w:sz="0" w:space="0" w:color="auto"/>
      </w:divBdr>
    </w:div>
    <w:div w:id="853491663">
      <w:bodyDiv w:val="1"/>
      <w:marLeft w:val="0"/>
      <w:marRight w:val="0"/>
      <w:marTop w:val="0"/>
      <w:marBottom w:val="0"/>
      <w:divBdr>
        <w:top w:val="none" w:sz="0" w:space="0" w:color="auto"/>
        <w:left w:val="none" w:sz="0" w:space="0" w:color="auto"/>
        <w:bottom w:val="none" w:sz="0" w:space="0" w:color="auto"/>
        <w:right w:val="none" w:sz="0" w:space="0" w:color="auto"/>
      </w:divBdr>
    </w:div>
    <w:div w:id="853498863">
      <w:bodyDiv w:val="1"/>
      <w:marLeft w:val="0"/>
      <w:marRight w:val="0"/>
      <w:marTop w:val="0"/>
      <w:marBottom w:val="0"/>
      <w:divBdr>
        <w:top w:val="none" w:sz="0" w:space="0" w:color="auto"/>
        <w:left w:val="none" w:sz="0" w:space="0" w:color="auto"/>
        <w:bottom w:val="none" w:sz="0" w:space="0" w:color="auto"/>
        <w:right w:val="none" w:sz="0" w:space="0" w:color="auto"/>
      </w:divBdr>
    </w:div>
    <w:div w:id="853542537">
      <w:bodyDiv w:val="1"/>
      <w:marLeft w:val="0"/>
      <w:marRight w:val="0"/>
      <w:marTop w:val="0"/>
      <w:marBottom w:val="0"/>
      <w:divBdr>
        <w:top w:val="none" w:sz="0" w:space="0" w:color="auto"/>
        <w:left w:val="none" w:sz="0" w:space="0" w:color="auto"/>
        <w:bottom w:val="none" w:sz="0" w:space="0" w:color="auto"/>
        <w:right w:val="none" w:sz="0" w:space="0" w:color="auto"/>
      </w:divBdr>
    </w:div>
    <w:div w:id="853687001">
      <w:bodyDiv w:val="1"/>
      <w:marLeft w:val="0"/>
      <w:marRight w:val="0"/>
      <w:marTop w:val="0"/>
      <w:marBottom w:val="0"/>
      <w:divBdr>
        <w:top w:val="none" w:sz="0" w:space="0" w:color="auto"/>
        <w:left w:val="none" w:sz="0" w:space="0" w:color="auto"/>
        <w:bottom w:val="none" w:sz="0" w:space="0" w:color="auto"/>
        <w:right w:val="none" w:sz="0" w:space="0" w:color="auto"/>
      </w:divBdr>
    </w:div>
    <w:div w:id="853810696">
      <w:bodyDiv w:val="1"/>
      <w:marLeft w:val="0"/>
      <w:marRight w:val="0"/>
      <w:marTop w:val="0"/>
      <w:marBottom w:val="0"/>
      <w:divBdr>
        <w:top w:val="none" w:sz="0" w:space="0" w:color="auto"/>
        <w:left w:val="none" w:sz="0" w:space="0" w:color="auto"/>
        <w:bottom w:val="none" w:sz="0" w:space="0" w:color="auto"/>
        <w:right w:val="none" w:sz="0" w:space="0" w:color="auto"/>
      </w:divBdr>
    </w:div>
    <w:div w:id="854615772">
      <w:bodyDiv w:val="1"/>
      <w:marLeft w:val="0"/>
      <w:marRight w:val="0"/>
      <w:marTop w:val="0"/>
      <w:marBottom w:val="0"/>
      <w:divBdr>
        <w:top w:val="none" w:sz="0" w:space="0" w:color="auto"/>
        <w:left w:val="none" w:sz="0" w:space="0" w:color="auto"/>
        <w:bottom w:val="none" w:sz="0" w:space="0" w:color="auto"/>
        <w:right w:val="none" w:sz="0" w:space="0" w:color="auto"/>
      </w:divBdr>
    </w:div>
    <w:div w:id="854999450">
      <w:bodyDiv w:val="1"/>
      <w:marLeft w:val="0"/>
      <w:marRight w:val="0"/>
      <w:marTop w:val="0"/>
      <w:marBottom w:val="0"/>
      <w:divBdr>
        <w:top w:val="none" w:sz="0" w:space="0" w:color="auto"/>
        <w:left w:val="none" w:sz="0" w:space="0" w:color="auto"/>
        <w:bottom w:val="none" w:sz="0" w:space="0" w:color="auto"/>
        <w:right w:val="none" w:sz="0" w:space="0" w:color="auto"/>
      </w:divBdr>
    </w:div>
    <w:div w:id="855118107">
      <w:bodyDiv w:val="1"/>
      <w:marLeft w:val="0"/>
      <w:marRight w:val="0"/>
      <w:marTop w:val="0"/>
      <w:marBottom w:val="0"/>
      <w:divBdr>
        <w:top w:val="none" w:sz="0" w:space="0" w:color="auto"/>
        <w:left w:val="none" w:sz="0" w:space="0" w:color="auto"/>
        <w:bottom w:val="none" w:sz="0" w:space="0" w:color="auto"/>
        <w:right w:val="none" w:sz="0" w:space="0" w:color="auto"/>
      </w:divBdr>
    </w:div>
    <w:div w:id="855121232">
      <w:bodyDiv w:val="1"/>
      <w:marLeft w:val="0"/>
      <w:marRight w:val="0"/>
      <w:marTop w:val="0"/>
      <w:marBottom w:val="0"/>
      <w:divBdr>
        <w:top w:val="none" w:sz="0" w:space="0" w:color="auto"/>
        <w:left w:val="none" w:sz="0" w:space="0" w:color="auto"/>
        <w:bottom w:val="none" w:sz="0" w:space="0" w:color="auto"/>
        <w:right w:val="none" w:sz="0" w:space="0" w:color="auto"/>
      </w:divBdr>
    </w:div>
    <w:div w:id="855777519">
      <w:bodyDiv w:val="1"/>
      <w:marLeft w:val="0"/>
      <w:marRight w:val="0"/>
      <w:marTop w:val="0"/>
      <w:marBottom w:val="0"/>
      <w:divBdr>
        <w:top w:val="none" w:sz="0" w:space="0" w:color="auto"/>
        <w:left w:val="none" w:sz="0" w:space="0" w:color="auto"/>
        <w:bottom w:val="none" w:sz="0" w:space="0" w:color="auto"/>
        <w:right w:val="none" w:sz="0" w:space="0" w:color="auto"/>
      </w:divBdr>
    </w:div>
    <w:div w:id="857544614">
      <w:bodyDiv w:val="1"/>
      <w:marLeft w:val="0"/>
      <w:marRight w:val="0"/>
      <w:marTop w:val="0"/>
      <w:marBottom w:val="0"/>
      <w:divBdr>
        <w:top w:val="none" w:sz="0" w:space="0" w:color="auto"/>
        <w:left w:val="none" w:sz="0" w:space="0" w:color="auto"/>
        <w:bottom w:val="none" w:sz="0" w:space="0" w:color="auto"/>
        <w:right w:val="none" w:sz="0" w:space="0" w:color="auto"/>
      </w:divBdr>
    </w:div>
    <w:div w:id="858542975">
      <w:bodyDiv w:val="1"/>
      <w:marLeft w:val="0"/>
      <w:marRight w:val="0"/>
      <w:marTop w:val="0"/>
      <w:marBottom w:val="0"/>
      <w:divBdr>
        <w:top w:val="none" w:sz="0" w:space="0" w:color="auto"/>
        <w:left w:val="none" w:sz="0" w:space="0" w:color="auto"/>
        <w:bottom w:val="none" w:sz="0" w:space="0" w:color="auto"/>
        <w:right w:val="none" w:sz="0" w:space="0" w:color="auto"/>
      </w:divBdr>
    </w:div>
    <w:div w:id="858544587">
      <w:bodyDiv w:val="1"/>
      <w:marLeft w:val="0"/>
      <w:marRight w:val="0"/>
      <w:marTop w:val="0"/>
      <w:marBottom w:val="0"/>
      <w:divBdr>
        <w:top w:val="none" w:sz="0" w:space="0" w:color="auto"/>
        <w:left w:val="none" w:sz="0" w:space="0" w:color="auto"/>
        <w:bottom w:val="none" w:sz="0" w:space="0" w:color="auto"/>
        <w:right w:val="none" w:sz="0" w:space="0" w:color="auto"/>
      </w:divBdr>
    </w:div>
    <w:div w:id="858549325">
      <w:bodyDiv w:val="1"/>
      <w:marLeft w:val="0"/>
      <w:marRight w:val="0"/>
      <w:marTop w:val="0"/>
      <w:marBottom w:val="0"/>
      <w:divBdr>
        <w:top w:val="none" w:sz="0" w:space="0" w:color="auto"/>
        <w:left w:val="none" w:sz="0" w:space="0" w:color="auto"/>
        <w:bottom w:val="none" w:sz="0" w:space="0" w:color="auto"/>
        <w:right w:val="none" w:sz="0" w:space="0" w:color="auto"/>
      </w:divBdr>
    </w:div>
    <w:div w:id="859197839">
      <w:bodyDiv w:val="1"/>
      <w:marLeft w:val="0"/>
      <w:marRight w:val="0"/>
      <w:marTop w:val="0"/>
      <w:marBottom w:val="0"/>
      <w:divBdr>
        <w:top w:val="none" w:sz="0" w:space="0" w:color="auto"/>
        <w:left w:val="none" w:sz="0" w:space="0" w:color="auto"/>
        <w:bottom w:val="none" w:sz="0" w:space="0" w:color="auto"/>
        <w:right w:val="none" w:sz="0" w:space="0" w:color="auto"/>
      </w:divBdr>
    </w:div>
    <w:div w:id="859198391">
      <w:bodyDiv w:val="1"/>
      <w:marLeft w:val="0"/>
      <w:marRight w:val="0"/>
      <w:marTop w:val="0"/>
      <w:marBottom w:val="0"/>
      <w:divBdr>
        <w:top w:val="none" w:sz="0" w:space="0" w:color="auto"/>
        <w:left w:val="none" w:sz="0" w:space="0" w:color="auto"/>
        <w:bottom w:val="none" w:sz="0" w:space="0" w:color="auto"/>
        <w:right w:val="none" w:sz="0" w:space="0" w:color="auto"/>
      </w:divBdr>
    </w:div>
    <w:div w:id="860898578">
      <w:bodyDiv w:val="1"/>
      <w:marLeft w:val="0"/>
      <w:marRight w:val="0"/>
      <w:marTop w:val="0"/>
      <w:marBottom w:val="0"/>
      <w:divBdr>
        <w:top w:val="none" w:sz="0" w:space="0" w:color="auto"/>
        <w:left w:val="none" w:sz="0" w:space="0" w:color="auto"/>
        <w:bottom w:val="none" w:sz="0" w:space="0" w:color="auto"/>
        <w:right w:val="none" w:sz="0" w:space="0" w:color="auto"/>
      </w:divBdr>
    </w:div>
    <w:div w:id="861169994">
      <w:bodyDiv w:val="1"/>
      <w:marLeft w:val="0"/>
      <w:marRight w:val="0"/>
      <w:marTop w:val="0"/>
      <w:marBottom w:val="0"/>
      <w:divBdr>
        <w:top w:val="none" w:sz="0" w:space="0" w:color="auto"/>
        <w:left w:val="none" w:sz="0" w:space="0" w:color="auto"/>
        <w:bottom w:val="none" w:sz="0" w:space="0" w:color="auto"/>
        <w:right w:val="none" w:sz="0" w:space="0" w:color="auto"/>
      </w:divBdr>
    </w:div>
    <w:div w:id="861211748">
      <w:bodyDiv w:val="1"/>
      <w:marLeft w:val="0"/>
      <w:marRight w:val="0"/>
      <w:marTop w:val="0"/>
      <w:marBottom w:val="0"/>
      <w:divBdr>
        <w:top w:val="none" w:sz="0" w:space="0" w:color="auto"/>
        <w:left w:val="none" w:sz="0" w:space="0" w:color="auto"/>
        <w:bottom w:val="none" w:sz="0" w:space="0" w:color="auto"/>
        <w:right w:val="none" w:sz="0" w:space="0" w:color="auto"/>
      </w:divBdr>
    </w:div>
    <w:div w:id="862130870">
      <w:bodyDiv w:val="1"/>
      <w:marLeft w:val="0"/>
      <w:marRight w:val="0"/>
      <w:marTop w:val="0"/>
      <w:marBottom w:val="0"/>
      <w:divBdr>
        <w:top w:val="none" w:sz="0" w:space="0" w:color="auto"/>
        <w:left w:val="none" w:sz="0" w:space="0" w:color="auto"/>
        <w:bottom w:val="none" w:sz="0" w:space="0" w:color="auto"/>
        <w:right w:val="none" w:sz="0" w:space="0" w:color="auto"/>
      </w:divBdr>
    </w:div>
    <w:div w:id="862401372">
      <w:bodyDiv w:val="1"/>
      <w:marLeft w:val="0"/>
      <w:marRight w:val="0"/>
      <w:marTop w:val="0"/>
      <w:marBottom w:val="0"/>
      <w:divBdr>
        <w:top w:val="none" w:sz="0" w:space="0" w:color="auto"/>
        <w:left w:val="none" w:sz="0" w:space="0" w:color="auto"/>
        <w:bottom w:val="none" w:sz="0" w:space="0" w:color="auto"/>
        <w:right w:val="none" w:sz="0" w:space="0" w:color="auto"/>
      </w:divBdr>
    </w:div>
    <w:div w:id="862548736">
      <w:bodyDiv w:val="1"/>
      <w:marLeft w:val="0"/>
      <w:marRight w:val="0"/>
      <w:marTop w:val="0"/>
      <w:marBottom w:val="0"/>
      <w:divBdr>
        <w:top w:val="none" w:sz="0" w:space="0" w:color="auto"/>
        <w:left w:val="none" w:sz="0" w:space="0" w:color="auto"/>
        <w:bottom w:val="none" w:sz="0" w:space="0" w:color="auto"/>
        <w:right w:val="none" w:sz="0" w:space="0" w:color="auto"/>
      </w:divBdr>
    </w:div>
    <w:div w:id="863177105">
      <w:bodyDiv w:val="1"/>
      <w:marLeft w:val="0"/>
      <w:marRight w:val="0"/>
      <w:marTop w:val="0"/>
      <w:marBottom w:val="0"/>
      <w:divBdr>
        <w:top w:val="none" w:sz="0" w:space="0" w:color="auto"/>
        <w:left w:val="none" w:sz="0" w:space="0" w:color="auto"/>
        <w:bottom w:val="none" w:sz="0" w:space="0" w:color="auto"/>
        <w:right w:val="none" w:sz="0" w:space="0" w:color="auto"/>
      </w:divBdr>
    </w:div>
    <w:div w:id="863252006">
      <w:bodyDiv w:val="1"/>
      <w:marLeft w:val="0"/>
      <w:marRight w:val="0"/>
      <w:marTop w:val="0"/>
      <w:marBottom w:val="0"/>
      <w:divBdr>
        <w:top w:val="none" w:sz="0" w:space="0" w:color="auto"/>
        <w:left w:val="none" w:sz="0" w:space="0" w:color="auto"/>
        <w:bottom w:val="none" w:sz="0" w:space="0" w:color="auto"/>
        <w:right w:val="none" w:sz="0" w:space="0" w:color="auto"/>
      </w:divBdr>
    </w:div>
    <w:div w:id="863323063">
      <w:bodyDiv w:val="1"/>
      <w:marLeft w:val="0"/>
      <w:marRight w:val="0"/>
      <w:marTop w:val="0"/>
      <w:marBottom w:val="0"/>
      <w:divBdr>
        <w:top w:val="none" w:sz="0" w:space="0" w:color="auto"/>
        <w:left w:val="none" w:sz="0" w:space="0" w:color="auto"/>
        <w:bottom w:val="none" w:sz="0" w:space="0" w:color="auto"/>
        <w:right w:val="none" w:sz="0" w:space="0" w:color="auto"/>
      </w:divBdr>
    </w:div>
    <w:div w:id="863710318">
      <w:bodyDiv w:val="1"/>
      <w:marLeft w:val="0"/>
      <w:marRight w:val="0"/>
      <w:marTop w:val="0"/>
      <w:marBottom w:val="0"/>
      <w:divBdr>
        <w:top w:val="none" w:sz="0" w:space="0" w:color="auto"/>
        <w:left w:val="none" w:sz="0" w:space="0" w:color="auto"/>
        <w:bottom w:val="none" w:sz="0" w:space="0" w:color="auto"/>
        <w:right w:val="none" w:sz="0" w:space="0" w:color="auto"/>
      </w:divBdr>
    </w:div>
    <w:div w:id="864444852">
      <w:bodyDiv w:val="1"/>
      <w:marLeft w:val="0"/>
      <w:marRight w:val="0"/>
      <w:marTop w:val="0"/>
      <w:marBottom w:val="0"/>
      <w:divBdr>
        <w:top w:val="none" w:sz="0" w:space="0" w:color="auto"/>
        <w:left w:val="none" w:sz="0" w:space="0" w:color="auto"/>
        <w:bottom w:val="none" w:sz="0" w:space="0" w:color="auto"/>
        <w:right w:val="none" w:sz="0" w:space="0" w:color="auto"/>
      </w:divBdr>
    </w:div>
    <w:div w:id="864707615">
      <w:bodyDiv w:val="1"/>
      <w:marLeft w:val="0"/>
      <w:marRight w:val="0"/>
      <w:marTop w:val="0"/>
      <w:marBottom w:val="0"/>
      <w:divBdr>
        <w:top w:val="none" w:sz="0" w:space="0" w:color="auto"/>
        <w:left w:val="none" w:sz="0" w:space="0" w:color="auto"/>
        <w:bottom w:val="none" w:sz="0" w:space="0" w:color="auto"/>
        <w:right w:val="none" w:sz="0" w:space="0" w:color="auto"/>
      </w:divBdr>
    </w:div>
    <w:div w:id="865949936">
      <w:bodyDiv w:val="1"/>
      <w:marLeft w:val="0"/>
      <w:marRight w:val="0"/>
      <w:marTop w:val="0"/>
      <w:marBottom w:val="0"/>
      <w:divBdr>
        <w:top w:val="none" w:sz="0" w:space="0" w:color="auto"/>
        <w:left w:val="none" w:sz="0" w:space="0" w:color="auto"/>
        <w:bottom w:val="none" w:sz="0" w:space="0" w:color="auto"/>
        <w:right w:val="none" w:sz="0" w:space="0" w:color="auto"/>
      </w:divBdr>
    </w:div>
    <w:div w:id="866329726">
      <w:bodyDiv w:val="1"/>
      <w:marLeft w:val="0"/>
      <w:marRight w:val="0"/>
      <w:marTop w:val="0"/>
      <w:marBottom w:val="0"/>
      <w:divBdr>
        <w:top w:val="none" w:sz="0" w:space="0" w:color="auto"/>
        <w:left w:val="none" w:sz="0" w:space="0" w:color="auto"/>
        <w:bottom w:val="none" w:sz="0" w:space="0" w:color="auto"/>
        <w:right w:val="none" w:sz="0" w:space="0" w:color="auto"/>
      </w:divBdr>
    </w:div>
    <w:div w:id="866331940">
      <w:bodyDiv w:val="1"/>
      <w:marLeft w:val="0"/>
      <w:marRight w:val="0"/>
      <w:marTop w:val="0"/>
      <w:marBottom w:val="0"/>
      <w:divBdr>
        <w:top w:val="none" w:sz="0" w:space="0" w:color="auto"/>
        <w:left w:val="none" w:sz="0" w:space="0" w:color="auto"/>
        <w:bottom w:val="none" w:sz="0" w:space="0" w:color="auto"/>
        <w:right w:val="none" w:sz="0" w:space="0" w:color="auto"/>
      </w:divBdr>
    </w:div>
    <w:div w:id="866408032">
      <w:bodyDiv w:val="1"/>
      <w:marLeft w:val="0"/>
      <w:marRight w:val="0"/>
      <w:marTop w:val="0"/>
      <w:marBottom w:val="0"/>
      <w:divBdr>
        <w:top w:val="none" w:sz="0" w:space="0" w:color="auto"/>
        <w:left w:val="none" w:sz="0" w:space="0" w:color="auto"/>
        <w:bottom w:val="none" w:sz="0" w:space="0" w:color="auto"/>
        <w:right w:val="none" w:sz="0" w:space="0" w:color="auto"/>
      </w:divBdr>
    </w:div>
    <w:div w:id="866455607">
      <w:bodyDiv w:val="1"/>
      <w:marLeft w:val="0"/>
      <w:marRight w:val="0"/>
      <w:marTop w:val="0"/>
      <w:marBottom w:val="0"/>
      <w:divBdr>
        <w:top w:val="none" w:sz="0" w:space="0" w:color="auto"/>
        <w:left w:val="none" w:sz="0" w:space="0" w:color="auto"/>
        <w:bottom w:val="none" w:sz="0" w:space="0" w:color="auto"/>
        <w:right w:val="none" w:sz="0" w:space="0" w:color="auto"/>
      </w:divBdr>
    </w:div>
    <w:div w:id="866482759">
      <w:bodyDiv w:val="1"/>
      <w:marLeft w:val="0"/>
      <w:marRight w:val="0"/>
      <w:marTop w:val="0"/>
      <w:marBottom w:val="0"/>
      <w:divBdr>
        <w:top w:val="none" w:sz="0" w:space="0" w:color="auto"/>
        <w:left w:val="none" w:sz="0" w:space="0" w:color="auto"/>
        <w:bottom w:val="none" w:sz="0" w:space="0" w:color="auto"/>
        <w:right w:val="none" w:sz="0" w:space="0" w:color="auto"/>
      </w:divBdr>
    </w:div>
    <w:div w:id="866723493">
      <w:bodyDiv w:val="1"/>
      <w:marLeft w:val="0"/>
      <w:marRight w:val="0"/>
      <w:marTop w:val="0"/>
      <w:marBottom w:val="0"/>
      <w:divBdr>
        <w:top w:val="none" w:sz="0" w:space="0" w:color="auto"/>
        <w:left w:val="none" w:sz="0" w:space="0" w:color="auto"/>
        <w:bottom w:val="none" w:sz="0" w:space="0" w:color="auto"/>
        <w:right w:val="none" w:sz="0" w:space="0" w:color="auto"/>
      </w:divBdr>
    </w:div>
    <w:div w:id="866871677">
      <w:bodyDiv w:val="1"/>
      <w:marLeft w:val="0"/>
      <w:marRight w:val="0"/>
      <w:marTop w:val="0"/>
      <w:marBottom w:val="0"/>
      <w:divBdr>
        <w:top w:val="none" w:sz="0" w:space="0" w:color="auto"/>
        <w:left w:val="none" w:sz="0" w:space="0" w:color="auto"/>
        <w:bottom w:val="none" w:sz="0" w:space="0" w:color="auto"/>
        <w:right w:val="none" w:sz="0" w:space="0" w:color="auto"/>
      </w:divBdr>
    </w:div>
    <w:div w:id="868179975">
      <w:bodyDiv w:val="1"/>
      <w:marLeft w:val="0"/>
      <w:marRight w:val="0"/>
      <w:marTop w:val="0"/>
      <w:marBottom w:val="0"/>
      <w:divBdr>
        <w:top w:val="none" w:sz="0" w:space="0" w:color="auto"/>
        <w:left w:val="none" w:sz="0" w:space="0" w:color="auto"/>
        <w:bottom w:val="none" w:sz="0" w:space="0" w:color="auto"/>
        <w:right w:val="none" w:sz="0" w:space="0" w:color="auto"/>
      </w:divBdr>
    </w:div>
    <w:div w:id="868185198">
      <w:bodyDiv w:val="1"/>
      <w:marLeft w:val="0"/>
      <w:marRight w:val="0"/>
      <w:marTop w:val="0"/>
      <w:marBottom w:val="0"/>
      <w:divBdr>
        <w:top w:val="none" w:sz="0" w:space="0" w:color="auto"/>
        <w:left w:val="none" w:sz="0" w:space="0" w:color="auto"/>
        <w:bottom w:val="none" w:sz="0" w:space="0" w:color="auto"/>
        <w:right w:val="none" w:sz="0" w:space="0" w:color="auto"/>
      </w:divBdr>
    </w:div>
    <w:div w:id="868762459">
      <w:bodyDiv w:val="1"/>
      <w:marLeft w:val="0"/>
      <w:marRight w:val="0"/>
      <w:marTop w:val="0"/>
      <w:marBottom w:val="0"/>
      <w:divBdr>
        <w:top w:val="none" w:sz="0" w:space="0" w:color="auto"/>
        <w:left w:val="none" w:sz="0" w:space="0" w:color="auto"/>
        <w:bottom w:val="none" w:sz="0" w:space="0" w:color="auto"/>
        <w:right w:val="none" w:sz="0" w:space="0" w:color="auto"/>
      </w:divBdr>
    </w:div>
    <w:div w:id="869336770">
      <w:bodyDiv w:val="1"/>
      <w:marLeft w:val="0"/>
      <w:marRight w:val="0"/>
      <w:marTop w:val="0"/>
      <w:marBottom w:val="0"/>
      <w:divBdr>
        <w:top w:val="none" w:sz="0" w:space="0" w:color="auto"/>
        <w:left w:val="none" w:sz="0" w:space="0" w:color="auto"/>
        <w:bottom w:val="none" w:sz="0" w:space="0" w:color="auto"/>
        <w:right w:val="none" w:sz="0" w:space="0" w:color="auto"/>
      </w:divBdr>
    </w:div>
    <w:div w:id="870647793">
      <w:bodyDiv w:val="1"/>
      <w:marLeft w:val="0"/>
      <w:marRight w:val="0"/>
      <w:marTop w:val="0"/>
      <w:marBottom w:val="0"/>
      <w:divBdr>
        <w:top w:val="none" w:sz="0" w:space="0" w:color="auto"/>
        <w:left w:val="none" w:sz="0" w:space="0" w:color="auto"/>
        <w:bottom w:val="none" w:sz="0" w:space="0" w:color="auto"/>
        <w:right w:val="none" w:sz="0" w:space="0" w:color="auto"/>
      </w:divBdr>
    </w:div>
    <w:div w:id="870655761">
      <w:bodyDiv w:val="1"/>
      <w:marLeft w:val="0"/>
      <w:marRight w:val="0"/>
      <w:marTop w:val="0"/>
      <w:marBottom w:val="0"/>
      <w:divBdr>
        <w:top w:val="none" w:sz="0" w:space="0" w:color="auto"/>
        <w:left w:val="none" w:sz="0" w:space="0" w:color="auto"/>
        <w:bottom w:val="none" w:sz="0" w:space="0" w:color="auto"/>
        <w:right w:val="none" w:sz="0" w:space="0" w:color="auto"/>
      </w:divBdr>
    </w:div>
    <w:div w:id="871309147">
      <w:bodyDiv w:val="1"/>
      <w:marLeft w:val="0"/>
      <w:marRight w:val="0"/>
      <w:marTop w:val="0"/>
      <w:marBottom w:val="0"/>
      <w:divBdr>
        <w:top w:val="none" w:sz="0" w:space="0" w:color="auto"/>
        <w:left w:val="none" w:sz="0" w:space="0" w:color="auto"/>
        <w:bottom w:val="none" w:sz="0" w:space="0" w:color="auto"/>
        <w:right w:val="none" w:sz="0" w:space="0" w:color="auto"/>
      </w:divBdr>
    </w:div>
    <w:div w:id="871378591">
      <w:bodyDiv w:val="1"/>
      <w:marLeft w:val="0"/>
      <w:marRight w:val="0"/>
      <w:marTop w:val="0"/>
      <w:marBottom w:val="0"/>
      <w:divBdr>
        <w:top w:val="none" w:sz="0" w:space="0" w:color="auto"/>
        <w:left w:val="none" w:sz="0" w:space="0" w:color="auto"/>
        <w:bottom w:val="none" w:sz="0" w:space="0" w:color="auto"/>
        <w:right w:val="none" w:sz="0" w:space="0" w:color="auto"/>
      </w:divBdr>
    </w:div>
    <w:div w:id="871579734">
      <w:bodyDiv w:val="1"/>
      <w:marLeft w:val="0"/>
      <w:marRight w:val="0"/>
      <w:marTop w:val="0"/>
      <w:marBottom w:val="0"/>
      <w:divBdr>
        <w:top w:val="none" w:sz="0" w:space="0" w:color="auto"/>
        <w:left w:val="none" w:sz="0" w:space="0" w:color="auto"/>
        <w:bottom w:val="none" w:sz="0" w:space="0" w:color="auto"/>
        <w:right w:val="none" w:sz="0" w:space="0" w:color="auto"/>
      </w:divBdr>
    </w:div>
    <w:div w:id="871652742">
      <w:bodyDiv w:val="1"/>
      <w:marLeft w:val="0"/>
      <w:marRight w:val="0"/>
      <w:marTop w:val="0"/>
      <w:marBottom w:val="0"/>
      <w:divBdr>
        <w:top w:val="none" w:sz="0" w:space="0" w:color="auto"/>
        <w:left w:val="none" w:sz="0" w:space="0" w:color="auto"/>
        <w:bottom w:val="none" w:sz="0" w:space="0" w:color="auto"/>
        <w:right w:val="none" w:sz="0" w:space="0" w:color="auto"/>
      </w:divBdr>
    </w:div>
    <w:div w:id="872041582">
      <w:bodyDiv w:val="1"/>
      <w:marLeft w:val="0"/>
      <w:marRight w:val="0"/>
      <w:marTop w:val="0"/>
      <w:marBottom w:val="0"/>
      <w:divBdr>
        <w:top w:val="none" w:sz="0" w:space="0" w:color="auto"/>
        <w:left w:val="none" w:sz="0" w:space="0" w:color="auto"/>
        <w:bottom w:val="none" w:sz="0" w:space="0" w:color="auto"/>
        <w:right w:val="none" w:sz="0" w:space="0" w:color="auto"/>
      </w:divBdr>
    </w:div>
    <w:div w:id="872424606">
      <w:bodyDiv w:val="1"/>
      <w:marLeft w:val="0"/>
      <w:marRight w:val="0"/>
      <w:marTop w:val="0"/>
      <w:marBottom w:val="0"/>
      <w:divBdr>
        <w:top w:val="none" w:sz="0" w:space="0" w:color="auto"/>
        <w:left w:val="none" w:sz="0" w:space="0" w:color="auto"/>
        <w:bottom w:val="none" w:sz="0" w:space="0" w:color="auto"/>
        <w:right w:val="none" w:sz="0" w:space="0" w:color="auto"/>
      </w:divBdr>
    </w:div>
    <w:div w:id="872692753">
      <w:bodyDiv w:val="1"/>
      <w:marLeft w:val="0"/>
      <w:marRight w:val="0"/>
      <w:marTop w:val="0"/>
      <w:marBottom w:val="0"/>
      <w:divBdr>
        <w:top w:val="none" w:sz="0" w:space="0" w:color="auto"/>
        <w:left w:val="none" w:sz="0" w:space="0" w:color="auto"/>
        <w:bottom w:val="none" w:sz="0" w:space="0" w:color="auto"/>
        <w:right w:val="none" w:sz="0" w:space="0" w:color="auto"/>
      </w:divBdr>
    </w:div>
    <w:div w:id="873226541">
      <w:bodyDiv w:val="1"/>
      <w:marLeft w:val="0"/>
      <w:marRight w:val="0"/>
      <w:marTop w:val="0"/>
      <w:marBottom w:val="0"/>
      <w:divBdr>
        <w:top w:val="none" w:sz="0" w:space="0" w:color="auto"/>
        <w:left w:val="none" w:sz="0" w:space="0" w:color="auto"/>
        <w:bottom w:val="none" w:sz="0" w:space="0" w:color="auto"/>
        <w:right w:val="none" w:sz="0" w:space="0" w:color="auto"/>
      </w:divBdr>
    </w:div>
    <w:div w:id="873270123">
      <w:bodyDiv w:val="1"/>
      <w:marLeft w:val="0"/>
      <w:marRight w:val="0"/>
      <w:marTop w:val="0"/>
      <w:marBottom w:val="0"/>
      <w:divBdr>
        <w:top w:val="none" w:sz="0" w:space="0" w:color="auto"/>
        <w:left w:val="none" w:sz="0" w:space="0" w:color="auto"/>
        <w:bottom w:val="none" w:sz="0" w:space="0" w:color="auto"/>
        <w:right w:val="none" w:sz="0" w:space="0" w:color="auto"/>
      </w:divBdr>
    </w:div>
    <w:div w:id="873352087">
      <w:bodyDiv w:val="1"/>
      <w:marLeft w:val="0"/>
      <w:marRight w:val="0"/>
      <w:marTop w:val="0"/>
      <w:marBottom w:val="0"/>
      <w:divBdr>
        <w:top w:val="none" w:sz="0" w:space="0" w:color="auto"/>
        <w:left w:val="none" w:sz="0" w:space="0" w:color="auto"/>
        <w:bottom w:val="none" w:sz="0" w:space="0" w:color="auto"/>
        <w:right w:val="none" w:sz="0" w:space="0" w:color="auto"/>
      </w:divBdr>
    </w:div>
    <w:div w:id="873464356">
      <w:bodyDiv w:val="1"/>
      <w:marLeft w:val="0"/>
      <w:marRight w:val="0"/>
      <w:marTop w:val="0"/>
      <w:marBottom w:val="0"/>
      <w:divBdr>
        <w:top w:val="none" w:sz="0" w:space="0" w:color="auto"/>
        <w:left w:val="none" w:sz="0" w:space="0" w:color="auto"/>
        <w:bottom w:val="none" w:sz="0" w:space="0" w:color="auto"/>
        <w:right w:val="none" w:sz="0" w:space="0" w:color="auto"/>
      </w:divBdr>
    </w:div>
    <w:div w:id="873466099">
      <w:bodyDiv w:val="1"/>
      <w:marLeft w:val="0"/>
      <w:marRight w:val="0"/>
      <w:marTop w:val="0"/>
      <w:marBottom w:val="0"/>
      <w:divBdr>
        <w:top w:val="none" w:sz="0" w:space="0" w:color="auto"/>
        <w:left w:val="none" w:sz="0" w:space="0" w:color="auto"/>
        <w:bottom w:val="none" w:sz="0" w:space="0" w:color="auto"/>
        <w:right w:val="none" w:sz="0" w:space="0" w:color="auto"/>
      </w:divBdr>
    </w:div>
    <w:div w:id="874073702">
      <w:bodyDiv w:val="1"/>
      <w:marLeft w:val="0"/>
      <w:marRight w:val="0"/>
      <w:marTop w:val="0"/>
      <w:marBottom w:val="0"/>
      <w:divBdr>
        <w:top w:val="none" w:sz="0" w:space="0" w:color="auto"/>
        <w:left w:val="none" w:sz="0" w:space="0" w:color="auto"/>
        <w:bottom w:val="none" w:sz="0" w:space="0" w:color="auto"/>
        <w:right w:val="none" w:sz="0" w:space="0" w:color="auto"/>
      </w:divBdr>
    </w:div>
    <w:div w:id="874078004">
      <w:bodyDiv w:val="1"/>
      <w:marLeft w:val="0"/>
      <w:marRight w:val="0"/>
      <w:marTop w:val="0"/>
      <w:marBottom w:val="0"/>
      <w:divBdr>
        <w:top w:val="none" w:sz="0" w:space="0" w:color="auto"/>
        <w:left w:val="none" w:sz="0" w:space="0" w:color="auto"/>
        <w:bottom w:val="none" w:sz="0" w:space="0" w:color="auto"/>
        <w:right w:val="none" w:sz="0" w:space="0" w:color="auto"/>
      </w:divBdr>
    </w:div>
    <w:div w:id="874266877">
      <w:bodyDiv w:val="1"/>
      <w:marLeft w:val="0"/>
      <w:marRight w:val="0"/>
      <w:marTop w:val="0"/>
      <w:marBottom w:val="0"/>
      <w:divBdr>
        <w:top w:val="none" w:sz="0" w:space="0" w:color="auto"/>
        <w:left w:val="none" w:sz="0" w:space="0" w:color="auto"/>
        <w:bottom w:val="none" w:sz="0" w:space="0" w:color="auto"/>
        <w:right w:val="none" w:sz="0" w:space="0" w:color="auto"/>
      </w:divBdr>
    </w:div>
    <w:div w:id="874849186">
      <w:bodyDiv w:val="1"/>
      <w:marLeft w:val="0"/>
      <w:marRight w:val="0"/>
      <w:marTop w:val="0"/>
      <w:marBottom w:val="0"/>
      <w:divBdr>
        <w:top w:val="none" w:sz="0" w:space="0" w:color="auto"/>
        <w:left w:val="none" w:sz="0" w:space="0" w:color="auto"/>
        <w:bottom w:val="none" w:sz="0" w:space="0" w:color="auto"/>
        <w:right w:val="none" w:sz="0" w:space="0" w:color="auto"/>
      </w:divBdr>
    </w:div>
    <w:div w:id="874925927">
      <w:bodyDiv w:val="1"/>
      <w:marLeft w:val="0"/>
      <w:marRight w:val="0"/>
      <w:marTop w:val="0"/>
      <w:marBottom w:val="0"/>
      <w:divBdr>
        <w:top w:val="none" w:sz="0" w:space="0" w:color="auto"/>
        <w:left w:val="none" w:sz="0" w:space="0" w:color="auto"/>
        <w:bottom w:val="none" w:sz="0" w:space="0" w:color="auto"/>
        <w:right w:val="none" w:sz="0" w:space="0" w:color="auto"/>
      </w:divBdr>
    </w:div>
    <w:div w:id="875041286">
      <w:bodyDiv w:val="1"/>
      <w:marLeft w:val="0"/>
      <w:marRight w:val="0"/>
      <w:marTop w:val="0"/>
      <w:marBottom w:val="0"/>
      <w:divBdr>
        <w:top w:val="none" w:sz="0" w:space="0" w:color="auto"/>
        <w:left w:val="none" w:sz="0" w:space="0" w:color="auto"/>
        <w:bottom w:val="none" w:sz="0" w:space="0" w:color="auto"/>
        <w:right w:val="none" w:sz="0" w:space="0" w:color="auto"/>
      </w:divBdr>
    </w:div>
    <w:div w:id="875891668">
      <w:bodyDiv w:val="1"/>
      <w:marLeft w:val="0"/>
      <w:marRight w:val="0"/>
      <w:marTop w:val="0"/>
      <w:marBottom w:val="0"/>
      <w:divBdr>
        <w:top w:val="none" w:sz="0" w:space="0" w:color="auto"/>
        <w:left w:val="none" w:sz="0" w:space="0" w:color="auto"/>
        <w:bottom w:val="none" w:sz="0" w:space="0" w:color="auto"/>
        <w:right w:val="none" w:sz="0" w:space="0" w:color="auto"/>
      </w:divBdr>
    </w:div>
    <w:div w:id="876235850">
      <w:bodyDiv w:val="1"/>
      <w:marLeft w:val="0"/>
      <w:marRight w:val="0"/>
      <w:marTop w:val="0"/>
      <w:marBottom w:val="0"/>
      <w:divBdr>
        <w:top w:val="none" w:sz="0" w:space="0" w:color="auto"/>
        <w:left w:val="none" w:sz="0" w:space="0" w:color="auto"/>
        <w:bottom w:val="none" w:sz="0" w:space="0" w:color="auto"/>
        <w:right w:val="none" w:sz="0" w:space="0" w:color="auto"/>
      </w:divBdr>
    </w:div>
    <w:div w:id="876428491">
      <w:bodyDiv w:val="1"/>
      <w:marLeft w:val="0"/>
      <w:marRight w:val="0"/>
      <w:marTop w:val="0"/>
      <w:marBottom w:val="0"/>
      <w:divBdr>
        <w:top w:val="none" w:sz="0" w:space="0" w:color="auto"/>
        <w:left w:val="none" w:sz="0" w:space="0" w:color="auto"/>
        <w:bottom w:val="none" w:sz="0" w:space="0" w:color="auto"/>
        <w:right w:val="none" w:sz="0" w:space="0" w:color="auto"/>
      </w:divBdr>
    </w:div>
    <w:div w:id="876547574">
      <w:bodyDiv w:val="1"/>
      <w:marLeft w:val="0"/>
      <w:marRight w:val="0"/>
      <w:marTop w:val="0"/>
      <w:marBottom w:val="0"/>
      <w:divBdr>
        <w:top w:val="none" w:sz="0" w:space="0" w:color="auto"/>
        <w:left w:val="none" w:sz="0" w:space="0" w:color="auto"/>
        <w:bottom w:val="none" w:sz="0" w:space="0" w:color="auto"/>
        <w:right w:val="none" w:sz="0" w:space="0" w:color="auto"/>
      </w:divBdr>
    </w:div>
    <w:div w:id="877158388">
      <w:bodyDiv w:val="1"/>
      <w:marLeft w:val="0"/>
      <w:marRight w:val="0"/>
      <w:marTop w:val="0"/>
      <w:marBottom w:val="0"/>
      <w:divBdr>
        <w:top w:val="none" w:sz="0" w:space="0" w:color="auto"/>
        <w:left w:val="none" w:sz="0" w:space="0" w:color="auto"/>
        <w:bottom w:val="none" w:sz="0" w:space="0" w:color="auto"/>
        <w:right w:val="none" w:sz="0" w:space="0" w:color="auto"/>
      </w:divBdr>
    </w:div>
    <w:div w:id="877203229">
      <w:bodyDiv w:val="1"/>
      <w:marLeft w:val="0"/>
      <w:marRight w:val="0"/>
      <w:marTop w:val="0"/>
      <w:marBottom w:val="0"/>
      <w:divBdr>
        <w:top w:val="none" w:sz="0" w:space="0" w:color="auto"/>
        <w:left w:val="none" w:sz="0" w:space="0" w:color="auto"/>
        <w:bottom w:val="none" w:sz="0" w:space="0" w:color="auto"/>
        <w:right w:val="none" w:sz="0" w:space="0" w:color="auto"/>
      </w:divBdr>
    </w:div>
    <w:div w:id="877350896">
      <w:bodyDiv w:val="1"/>
      <w:marLeft w:val="0"/>
      <w:marRight w:val="0"/>
      <w:marTop w:val="0"/>
      <w:marBottom w:val="0"/>
      <w:divBdr>
        <w:top w:val="none" w:sz="0" w:space="0" w:color="auto"/>
        <w:left w:val="none" w:sz="0" w:space="0" w:color="auto"/>
        <w:bottom w:val="none" w:sz="0" w:space="0" w:color="auto"/>
        <w:right w:val="none" w:sz="0" w:space="0" w:color="auto"/>
      </w:divBdr>
    </w:div>
    <w:div w:id="877468431">
      <w:bodyDiv w:val="1"/>
      <w:marLeft w:val="0"/>
      <w:marRight w:val="0"/>
      <w:marTop w:val="0"/>
      <w:marBottom w:val="0"/>
      <w:divBdr>
        <w:top w:val="none" w:sz="0" w:space="0" w:color="auto"/>
        <w:left w:val="none" w:sz="0" w:space="0" w:color="auto"/>
        <w:bottom w:val="none" w:sz="0" w:space="0" w:color="auto"/>
        <w:right w:val="none" w:sz="0" w:space="0" w:color="auto"/>
      </w:divBdr>
    </w:div>
    <w:div w:id="877664840">
      <w:bodyDiv w:val="1"/>
      <w:marLeft w:val="0"/>
      <w:marRight w:val="0"/>
      <w:marTop w:val="0"/>
      <w:marBottom w:val="0"/>
      <w:divBdr>
        <w:top w:val="none" w:sz="0" w:space="0" w:color="auto"/>
        <w:left w:val="none" w:sz="0" w:space="0" w:color="auto"/>
        <w:bottom w:val="none" w:sz="0" w:space="0" w:color="auto"/>
        <w:right w:val="none" w:sz="0" w:space="0" w:color="auto"/>
      </w:divBdr>
    </w:div>
    <w:div w:id="877815505">
      <w:bodyDiv w:val="1"/>
      <w:marLeft w:val="0"/>
      <w:marRight w:val="0"/>
      <w:marTop w:val="0"/>
      <w:marBottom w:val="0"/>
      <w:divBdr>
        <w:top w:val="none" w:sz="0" w:space="0" w:color="auto"/>
        <w:left w:val="none" w:sz="0" w:space="0" w:color="auto"/>
        <w:bottom w:val="none" w:sz="0" w:space="0" w:color="auto"/>
        <w:right w:val="none" w:sz="0" w:space="0" w:color="auto"/>
      </w:divBdr>
    </w:div>
    <w:div w:id="878476773">
      <w:bodyDiv w:val="1"/>
      <w:marLeft w:val="0"/>
      <w:marRight w:val="0"/>
      <w:marTop w:val="0"/>
      <w:marBottom w:val="0"/>
      <w:divBdr>
        <w:top w:val="none" w:sz="0" w:space="0" w:color="auto"/>
        <w:left w:val="none" w:sz="0" w:space="0" w:color="auto"/>
        <w:bottom w:val="none" w:sz="0" w:space="0" w:color="auto"/>
        <w:right w:val="none" w:sz="0" w:space="0" w:color="auto"/>
      </w:divBdr>
    </w:div>
    <w:div w:id="878929761">
      <w:bodyDiv w:val="1"/>
      <w:marLeft w:val="0"/>
      <w:marRight w:val="0"/>
      <w:marTop w:val="0"/>
      <w:marBottom w:val="0"/>
      <w:divBdr>
        <w:top w:val="none" w:sz="0" w:space="0" w:color="auto"/>
        <w:left w:val="none" w:sz="0" w:space="0" w:color="auto"/>
        <w:bottom w:val="none" w:sz="0" w:space="0" w:color="auto"/>
        <w:right w:val="none" w:sz="0" w:space="0" w:color="auto"/>
      </w:divBdr>
    </w:div>
    <w:div w:id="879168715">
      <w:bodyDiv w:val="1"/>
      <w:marLeft w:val="0"/>
      <w:marRight w:val="0"/>
      <w:marTop w:val="0"/>
      <w:marBottom w:val="0"/>
      <w:divBdr>
        <w:top w:val="none" w:sz="0" w:space="0" w:color="auto"/>
        <w:left w:val="none" w:sz="0" w:space="0" w:color="auto"/>
        <w:bottom w:val="none" w:sz="0" w:space="0" w:color="auto"/>
        <w:right w:val="none" w:sz="0" w:space="0" w:color="auto"/>
      </w:divBdr>
    </w:div>
    <w:div w:id="879249503">
      <w:bodyDiv w:val="1"/>
      <w:marLeft w:val="0"/>
      <w:marRight w:val="0"/>
      <w:marTop w:val="0"/>
      <w:marBottom w:val="0"/>
      <w:divBdr>
        <w:top w:val="none" w:sz="0" w:space="0" w:color="auto"/>
        <w:left w:val="none" w:sz="0" w:space="0" w:color="auto"/>
        <w:bottom w:val="none" w:sz="0" w:space="0" w:color="auto"/>
        <w:right w:val="none" w:sz="0" w:space="0" w:color="auto"/>
      </w:divBdr>
    </w:div>
    <w:div w:id="879436309">
      <w:bodyDiv w:val="1"/>
      <w:marLeft w:val="0"/>
      <w:marRight w:val="0"/>
      <w:marTop w:val="0"/>
      <w:marBottom w:val="0"/>
      <w:divBdr>
        <w:top w:val="none" w:sz="0" w:space="0" w:color="auto"/>
        <w:left w:val="none" w:sz="0" w:space="0" w:color="auto"/>
        <w:bottom w:val="none" w:sz="0" w:space="0" w:color="auto"/>
        <w:right w:val="none" w:sz="0" w:space="0" w:color="auto"/>
      </w:divBdr>
    </w:div>
    <w:div w:id="879589938">
      <w:bodyDiv w:val="1"/>
      <w:marLeft w:val="0"/>
      <w:marRight w:val="0"/>
      <w:marTop w:val="0"/>
      <w:marBottom w:val="0"/>
      <w:divBdr>
        <w:top w:val="none" w:sz="0" w:space="0" w:color="auto"/>
        <w:left w:val="none" w:sz="0" w:space="0" w:color="auto"/>
        <w:bottom w:val="none" w:sz="0" w:space="0" w:color="auto"/>
        <w:right w:val="none" w:sz="0" w:space="0" w:color="auto"/>
      </w:divBdr>
    </w:div>
    <w:div w:id="880438759">
      <w:bodyDiv w:val="1"/>
      <w:marLeft w:val="0"/>
      <w:marRight w:val="0"/>
      <w:marTop w:val="0"/>
      <w:marBottom w:val="0"/>
      <w:divBdr>
        <w:top w:val="none" w:sz="0" w:space="0" w:color="auto"/>
        <w:left w:val="none" w:sz="0" w:space="0" w:color="auto"/>
        <w:bottom w:val="none" w:sz="0" w:space="0" w:color="auto"/>
        <w:right w:val="none" w:sz="0" w:space="0" w:color="auto"/>
      </w:divBdr>
    </w:div>
    <w:div w:id="880558341">
      <w:bodyDiv w:val="1"/>
      <w:marLeft w:val="0"/>
      <w:marRight w:val="0"/>
      <w:marTop w:val="0"/>
      <w:marBottom w:val="0"/>
      <w:divBdr>
        <w:top w:val="none" w:sz="0" w:space="0" w:color="auto"/>
        <w:left w:val="none" w:sz="0" w:space="0" w:color="auto"/>
        <w:bottom w:val="none" w:sz="0" w:space="0" w:color="auto"/>
        <w:right w:val="none" w:sz="0" w:space="0" w:color="auto"/>
      </w:divBdr>
    </w:div>
    <w:div w:id="880894960">
      <w:bodyDiv w:val="1"/>
      <w:marLeft w:val="0"/>
      <w:marRight w:val="0"/>
      <w:marTop w:val="0"/>
      <w:marBottom w:val="0"/>
      <w:divBdr>
        <w:top w:val="none" w:sz="0" w:space="0" w:color="auto"/>
        <w:left w:val="none" w:sz="0" w:space="0" w:color="auto"/>
        <w:bottom w:val="none" w:sz="0" w:space="0" w:color="auto"/>
        <w:right w:val="none" w:sz="0" w:space="0" w:color="auto"/>
      </w:divBdr>
    </w:div>
    <w:div w:id="881408286">
      <w:bodyDiv w:val="1"/>
      <w:marLeft w:val="0"/>
      <w:marRight w:val="0"/>
      <w:marTop w:val="0"/>
      <w:marBottom w:val="0"/>
      <w:divBdr>
        <w:top w:val="none" w:sz="0" w:space="0" w:color="auto"/>
        <w:left w:val="none" w:sz="0" w:space="0" w:color="auto"/>
        <w:bottom w:val="none" w:sz="0" w:space="0" w:color="auto"/>
        <w:right w:val="none" w:sz="0" w:space="0" w:color="auto"/>
      </w:divBdr>
    </w:div>
    <w:div w:id="882057858">
      <w:bodyDiv w:val="1"/>
      <w:marLeft w:val="0"/>
      <w:marRight w:val="0"/>
      <w:marTop w:val="0"/>
      <w:marBottom w:val="0"/>
      <w:divBdr>
        <w:top w:val="none" w:sz="0" w:space="0" w:color="auto"/>
        <w:left w:val="none" w:sz="0" w:space="0" w:color="auto"/>
        <w:bottom w:val="none" w:sz="0" w:space="0" w:color="auto"/>
        <w:right w:val="none" w:sz="0" w:space="0" w:color="auto"/>
      </w:divBdr>
    </w:div>
    <w:div w:id="882138933">
      <w:bodyDiv w:val="1"/>
      <w:marLeft w:val="0"/>
      <w:marRight w:val="0"/>
      <w:marTop w:val="0"/>
      <w:marBottom w:val="0"/>
      <w:divBdr>
        <w:top w:val="none" w:sz="0" w:space="0" w:color="auto"/>
        <w:left w:val="none" w:sz="0" w:space="0" w:color="auto"/>
        <w:bottom w:val="none" w:sz="0" w:space="0" w:color="auto"/>
        <w:right w:val="none" w:sz="0" w:space="0" w:color="auto"/>
      </w:divBdr>
    </w:div>
    <w:div w:id="882789171">
      <w:bodyDiv w:val="1"/>
      <w:marLeft w:val="0"/>
      <w:marRight w:val="0"/>
      <w:marTop w:val="0"/>
      <w:marBottom w:val="0"/>
      <w:divBdr>
        <w:top w:val="none" w:sz="0" w:space="0" w:color="auto"/>
        <w:left w:val="none" w:sz="0" w:space="0" w:color="auto"/>
        <w:bottom w:val="none" w:sz="0" w:space="0" w:color="auto"/>
        <w:right w:val="none" w:sz="0" w:space="0" w:color="auto"/>
      </w:divBdr>
    </w:div>
    <w:div w:id="882979256">
      <w:bodyDiv w:val="1"/>
      <w:marLeft w:val="0"/>
      <w:marRight w:val="0"/>
      <w:marTop w:val="0"/>
      <w:marBottom w:val="0"/>
      <w:divBdr>
        <w:top w:val="none" w:sz="0" w:space="0" w:color="auto"/>
        <w:left w:val="none" w:sz="0" w:space="0" w:color="auto"/>
        <w:bottom w:val="none" w:sz="0" w:space="0" w:color="auto"/>
        <w:right w:val="none" w:sz="0" w:space="0" w:color="auto"/>
      </w:divBdr>
    </w:div>
    <w:div w:id="883254363">
      <w:bodyDiv w:val="1"/>
      <w:marLeft w:val="0"/>
      <w:marRight w:val="0"/>
      <w:marTop w:val="0"/>
      <w:marBottom w:val="0"/>
      <w:divBdr>
        <w:top w:val="none" w:sz="0" w:space="0" w:color="auto"/>
        <w:left w:val="none" w:sz="0" w:space="0" w:color="auto"/>
        <w:bottom w:val="none" w:sz="0" w:space="0" w:color="auto"/>
        <w:right w:val="none" w:sz="0" w:space="0" w:color="auto"/>
      </w:divBdr>
    </w:div>
    <w:div w:id="883256821">
      <w:bodyDiv w:val="1"/>
      <w:marLeft w:val="0"/>
      <w:marRight w:val="0"/>
      <w:marTop w:val="0"/>
      <w:marBottom w:val="0"/>
      <w:divBdr>
        <w:top w:val="none" w:sz="0" w:space="0" w:color="auto"/>
        <w:left w:val="none" w:sz="0" w:space="0" w:color="auto"/>
        <w:bottom w:val="none" w:sz="0" w:space="0" w:color="auto"/>
        <w:right w:val="none" w:sz="0" w:space="0" w:color="auto"/>
      </w:divBdr>
    </w:div>
    <w:div w:id="883257089">
      <w:bodyDiv w:val="1"/>
      <w:marLeft w:val="0"/>
      <w:marRight w:val="0"/>
      <w:marTop w:val="0"/>
      <w:marBottom w:val="0"/>
      <w:divBdr>
        <w:top w:val="none" w:sz="0" w:space="0" w:color="auto"/>
        <w:left w:val="none" w:sz="0" w:space="0" w:color="auto"/>
        <w:bottom w:val="none" w:sz="0" w:space="0" w:color="auto"/>
        <w:right w:val="none" w:sz="0" w:space="0" w:color="auto"/>
      </w:divBdr>
    </w:div>
    <w:div w:id="883710995">
      <w:bodyDiv w:val="1"/>
      <w:marLeft w:val="0"/>
      <w:marRight w:val="0"/>
      <w:marTop w:val="0"/>
      <w:marBottom w:val="0"/>
      <w:divBdr>
        <w:top w:val="none" w:sz="0" w:space="0" w:color="auto"/>
        <w:left w:val="none" w:sz="0" w:space="0" w:color="auto"/>
        <w:bottom w:val="none" w:sz="0" w:space="0" w:color="auto"/>
        <w:right w:val="none" w:sz="0" w:space="0" w:color="auto"/>
      </w:divBdr>
    </w:div>
    <w:div w:id="884945067">
      <w:bodyDiv w:val="1"/>
      <w:marLeft w:val="0"/>
      <w:marRight w:val="0"/>
      <w:marTop w:val="0"/>
      <w:marBottom w:val="0"/>
      <w:divBdr>
        <w:top w:val="none" w:sz="0" w:space="0" w:color="auto"/>
        <w:left w:val="none" w:sz="0" w:space="0" w:color="auto"/>
        <w:bottom w:val="none" w:sz="0" w:space="0" w:color="auto"/>
        <w:right w:val="none" w:sz="0" w:space="0" w:color="auto"/>
      </w:divBdr>
    </w:div>
    <w:div w:id="885028595">
      <w:bodyDiv w:val="1"/>
      <w:marLeft w:val="0"/>
      <w:marRight w:val="0"/>
      <w:marTop w:val="0"/>
      <w:marBottom w:val="0"/>
      <w:divBdr>
        <w:top w:val="none" w:sz="0" w:space="0" w:color="auto"/>
        <w:left w:val="none" w:sz="0" w:space="0" w:color="auto"/>
        <w:bottom w:val="none" w:sz="0" w:space="0" w:color="auto"/>
        <w:right w:val="none" w:sz="0" w:space="0" w:color="auto"/>
      </w:divBdr>
    </w:div>
    <w:div w:id="885146754">
      <w:bodyDiv w:val="1"/>
      <w:marLeft w:val="0"/>
      <w:marRight w:val="0"/>
      <w:marTop w:val="0"/>
      <w:marBottom w:val="0"/>
      <w:divBdr>
        <w:top w:val="none" w:sz="0" w:space="0" w:color="auto"/>
        <w:left w:val="none" w:sz="0" w:space="0" w:color="auto"/>
        <w:bottom w:val="none" w:sz="0" w:space="0" w:color="auto"/>
        <w:right w:val="none" w:sz="0" w:space="0" w:color="auto"/>
      </w:divBdr>
    </w:div>
    <w:div w:id="885946208">
      <w:bodyDiv w:val="1"/>
      <w:marLeft w:val="0"/>
      <w:marRight w:val="0"/>
      <w:marTop w:val="0"/>
      <w:marBottom w:val="0"/>
      <w:divBdr>
        <w:top w:val="none" w:sz="0" w:space="0" w:color="auto"/>
        <w:left w:val="none" w:sz="0" w:space="0" w:color="auto"/>
        <w:bottom w:val="none" w:sz="0" w:space="0" w:color="auto"/>
        <w:right w:val="none" w:sz="0" w:space="0" w:color="auto"/>
      </w:divBdr>
    </w:div>
    <w:div w:id="887036733">
      <w:bodyDiv w:val="1"/>
      <w:marLeft w:val="0"/>
      <w:marRight w:val="0"/>
      <w:marTop w:val="0"/>
      <w:marBottom w:val="0"/>
      <w:divBdr>
        <w:top w:val="none" w:sz="0" w:space="0" w:color="auto"/>
        <w:left w:val="none" w:sz="0" w:space="0" w:color="auto"/>
        <w:bottom w:val="none" w:sz="0" w:space="0" w:color="auto"/>
        <w:right w:val="none" w:sz="0" w:space="0" w:color="auto"/>
      </w:divBdr>
    </w:div>
    <w:div w:id="887450941">
      <w:bodyDiv w:val="1"/>
      <w:marLeft w:val="0"/>
      <w:marRight w:val="0"/>
      <w:marTop w:val="0"/>
      <w:marBottom w:val="0"/>
      <w:divBdr>
        <w:top w:val="none" w:sz="0" w:space="0" w:color="auto"/>
        <w:left w:val="none" w:sz="0" w:space="0" w:color="auto"/>
        <w:bottom w:val="none" w:sz="0" w:space="0" w:color="auto"/>
        <w:right w:val="none" w:sz="0" w:space="0" w:color="auto"/>
      </w:divBdr>
    </w:div>
    <w:div w:id="888415329">
      <w:bodyDiv w:val="1"/>
      <w:marLeft w:val="0"/>
      <w:marRight w:val="0"/>
      <w:marTop w:val="0"/>
      <w:marBottom w:val="0"/>
      <w:divBdr>
        <w:top w:val="none" w:sz="0" w:space="0" w:color="auto"/>
        <w:left w:val="none" w:sz="0" w:space="0" w:color="auto"/>
        <w:bottom w:val="none" w:sz="0" w:space="0" w:color="auto"/>
        <w:right w:val="none" w:sz="0" w:space="0" w:color="auto"/>
      </w:divBdr>
    </w:div>
    <w:div w:id="889418308">
      <w:bodyDiv w:val="1"/>
      <w:marLeft w:val="0"/>
      <w:marRight w:val="0"/>
      <w:marTop w:val="0"/>
      <w:marBottom w:val="0"/>
      <w:divBdr>
        <w:top w:val="none" w:sz="0" w:space="0" w:color="auto"/>
        <w:left w:val="none" w:sz="0" w:space="0" w:color="auto"/>
        <w:bottom w:val="none" w:sz="0" w:space="0" w:color="auto"/>
        <w:right w:val="none" w:sz="0" w:space="0" w:color="auto"/>
      </w:divBdr>
    </w:div>
    <w:div w:id="889613344">
      <w:bodyDiv w:val="1"/>
      <w:marLeft w:val="0"/>
      <w:marRight w:val="0"/>
      <w:marTop w:val="0"/>
      <w:marBottom w:val="0"/>
      <w:divBdr>
        <w:top w:val="none" w:sz="0" w:space="0" w:color="auto"/>
        <w:left w:val="none" w:sz="0" w:space="0" w:color="auto"/>
        <w:bottom w:val="none" w:sz="0" w:space="0" w:color="auto"/>
        <w:right w:val="none" w:sz="0" w:space="0" w:color="auto"/>
      </w:divBdr>
    </w:div>
    <w:div w:id="889919734">
      <w:bodyDiv w:val="1"/>
      <w:marLeft w:val="0"/>
      <w:marRight w:val="0"/>
      <w:marTop w:val="0"/>
      <w:marBottom w:val="0"/>
      <w:divBdr>
        <w:top w:val="none" w:sz="0" w:space="0" w:color="auto"/>
        <w:left w:val="none" w:sz="0" w:space="0" w:color="auto"/>
        <w:bottom w:val="none" w:sz="0" w:space="0" w:color="auto"/>
        <w:right w:val="none" w:sz="0" w:space="0" w:color="auto"/>
      </w:divBdr>
    </w:div>
    <w:div w:id="890574596">
      <w:bodyDiv w:val="1"/>
      <w:marLeft w:val="0"/>
      <w:marRight w:val="0"/>
      <w:marTop w:val="0"/>
      <w:marBottom w:val="0"/>
      <w:divBdr>
        <w:top w:val="none" w:sz="0" w:space="0" w:color="auto"/>
        <w:left w:val="none" w:sz="0" w:space="0" w:color="auto"/>
        <w:bottom w:val="none" w:sz="0" w:space="0" w:color="auto"/>
        <w:right w:val="none" w:sz="0" w:space="0" w:color="auto"/>
      </w:divBdr>
    </w:div>
    <w:div w:id="890649394">
      <w:bodyDiv w:val="1"/>
      <w:marLeft w:val="0"/>
      <w:marRight w:val="0"/>
      <w:marTop w:val="0"/>
      <w:marBottom w:val="0"/>
      <w:divBdr>
        <w:top w:val="none" w:sz="0" w:space="0" w:color="auto"/>
        <w:left w:val="none" w:sz="0" w:space="0" w:color="auto"/>
        <w:bottom w:val="none" w:sz="0" w:space="0" w:color="auto"/>
        <w:right w:val="none" w:sz="0" w:space="0" w:color="auto"/>
      </w:divBdr>
    </w:div>
    <w:div w:id="890965919">
      <w:bodyDiv w:val="1"/>
      <w:marLeft w:val="0"/>
      <w:marRight w:val="0"/>
      <w:marTop w:val="0"/>
      <w:marBottom w:val="0"/>
      <w:divBdr>
        <w:top w:val="none" w:sz="0" w:space="0" w:color="auto"/>
        <w:left w:val="none" w:sz="0" w:space="0" w:color="auto"/>
        <w:bottom w:val="none" w:sz="0" w:space="0" w:color="auto"/>
        <w:right w:val="none" w:sz="0" w:space="0" w:color="auto"/>
      </w:divBdr>
    </w:div>
    <w:div w:id="891504524">
      <w:bodyDiv w:val="1"/>
      <w:marLeft w:val="0"/>
      <w:marRight w:val="0"/>
      <w:marTop w:val="0"/>
      <w:marBottom w:val="0"/>
      <w:divBdr>
        <w:top w:val="none" w:sz="0" w:space="0" w:color="auto"/>
        <w:left w:val="none" w:sz="0" w:space="0" w:color="auto"/>
        <w:bottom w:val="none" w:sz="0" w:space="0" w:color="auto"/>
        <w:right w:val="none" w:sz="0" w:space="0" w:color="auto"/>
      </w:divBdr>
    </w:div>
    <w:div w:id="892082388">
      <w:bodyDiv w:val="1"/>
      <w:marLeft w:val="0"/>
      <w:marRight w:val="0"/>
      <w:marTop w:val="0"/>
      <w:marBottom w:val="0"/>
      <w:divBdr>
        <w:top w:val="none" w:sz="0" w:space="0" w:color="auto"/>
        <w:left w:val="none" w:sz="0" w:space="0" w:color="auto"/>
        <w:bottom w:val="none" w:sz="0" w:space="0" w:color="auto"/>
        <w:right w:val="none" w:sz="0" w:space="0" w:color="auto"/>
      </w:divBdr>
    </w:div>
    <w:div w:id="892348843">
      <w:bodyDiv w:val="1"/>
      <w:marLeft w:val="0"/>
      <w:marRight w:val="0"/>
      <w:marTop w:val="0"/>
      <w:marBottom w:val="0"/>
      <w:divBdr>
        <w:top w:val="none" w:sz="0" w:space="0" w:color="auto"/>
        <w:left w:val="none" w:sz="0" w:space="0" w:color="auto"/>
        <w:bottom w:val="none" w:sz="0" w:space="0" w:color="auto"/>
        <w:right w:val="none" w:sz="0" w:space="0" w:color="auto"/>
      </w:divBdr>
    </w:div>
    <w:div w:id="893156605">
      <w:bodyDiv w:val="1"/>
      <w:marLeft w:val="0"/>
      <w:marRight w:val="0"/>
      <w:marTop w:val="0"/>
      <w:marBottom w:val="0"/>
      <w:divBdr>
        <w:top w:val="none" w:sz="0" w:space="0" w:color="auto"/>
        <w:left w:val="none" w:sz="0" w:space="0" w:color="auto"/>
        <w:bottom w:val="none" w:sz="0" w:space="0" w:color="auto"/>
        <w:right w:val="none" w:sz="0" w:space="0" w:color="auto"/>
      </w:divBdr>
    </w:div>
    <w:div w:id="893197813">
      <w:bodyDiv w:val="1"/>
      <w:marLeft w:val="0"/>
      <w:marRight w:val="0"/>
      <w:marTop w:val="0"/>
      <w:marBottom w:val="0"/>
      <w:divBdr>
        <w:top w:val="none" w:sz="0" w:space="0" w:color="auto"/>
        <w:left w:val="none" w:sz="0" w:space="0" w:color="auto"/>
        <w:bottom w:val="none" w:sz="0" w:space="0" w:color="auto"/>
        <w:right w:val="none" w:sz="0" w:space="0" w:color="auto"/>
      </w:divBdr>
    </w:div>
    <w:div w:id="893273549">
      <w:bodyDiv w:val="1"/>
      <w:marLeft w:val="0"/>
      <w:marRight w:val="0"/>
      <w:marTop w:val="0"/>
      <w:marBottom w:val="0"/>
      <w:divBdr>
        <w:top w:val="none" w:sz="0" w:space="0" w:color="auto"/>
        <w:left w:val="none" w:sz="0" w:space="0" w:color="auto"/>
        <w:bottom w:val="none" w:sz="0" w:space="0" w:color="auto"/>
        <w:right w:val="none" w:sz="0" w:space="0" w:color="auto"/>
      </w:divBdr>
    </w:div>
    <w:div w:id="893538386">
      <w:bodyDiv w:val="1"/>
      <w:marLeft w:val="0"/>
      <w:marRight w:val="0"/>
      <w:marTop w:val="0"/>
      <w:marBottom w:val="0"/>
      <w:divBdr>
        <w:top w:val="none" w:sz="0" w:space="0" w:color="auto"/>
        <w:left w:val="none" w:sz="0" w:space="0" w:color="auto"/>
        <w:bottom w:val="none" w:sz="0" w:space="0" w:color="auto"/>
        <w:right w:val="none" w:sz="0" w:space="0" w:color="auto"/>
      </w:divBdr>
    </w:div>
    <w:div w:id="893656292">
      <w:bodyDiv w:val="1"/>
      <w:marLeft w:val="0"/>
      <w:marRight w:val="0"/>
      <w:marTop w:val="0"/>
      <w:marBottom w:val="0"/>
      <w:divBdr>
        <w:top w:val="none" w:sz="0" w:space="0" w:color="auto"/>
        <w:left w:val="none" w:sz="0" w:space="0" w:color="auto"/>
        <w:bottom w:val="none" w:sz="0" w:space="0" w:color="auto"/>
        <w:right w:val="none" w:sz="0" w:space="0" w:color="auto"/>
      </w:divBdr>
    </w:div>
    <w:div w:id="893850592">
      <w:bodyDiv w:val="1"/>
      <w:marLeft w:val="0"/>
      <w:marRight w:val="0"/>
      <w:marTop w:val="0"/>
      <w:marBottom w:val="0"/>
      <w:divBdr>
        <w:top w:val="none" w:sz="0" w:space="0" w:color="auto"/>
        <w:left w:val="none" w:sz="0" w:space="0" w:color="auto"/>
        <w:bottom w:val="none" w:sz="0" w:space="0" w:color="auto"/>
        <w:right w:val="none" w:sz="0" w:space="0" w:color="auto"/>
      </w:divBdr>
    </w:div>
    <w:div w:id="893851877">
      <w:bodyDiv w:val="1"/>
      <w:marLeft w:val="0"/>
      <w:marRight w:val="0"/>
      <w:marTop w:val="0"/>
      <w:marBottom w:val="0"/>
      <w:divBdr>
        <w:top w:val="none" w:sz="0" w:space="0" w:color="auto"/>
        <w:left w:val="none" w:sz="0" w:space="0" w:color="auto"/>
        <w:bottom w:val="none" w:sz="0" w:space="0" w:color="auto"/>
        <w:right w:val="none" w:sz="0" w:space="0" w:color="auto"/>
      </w:divBdr>
    </w:div>
    <w:div w:id="894007536">
      <w:bodyDiv w:val="1"/>
      <w:marLeft w:val="0"/>
      <w:marRight w:val="0"/>
      <w:marTop w:val="0"/>
      <w:marBottom w:val="0"/>
      <w:divBdr>
        <w:top w:val="none" w:sz="0" w:space="0" w:color="auto"/>
        <w:left w:val="none" w:sz="0" w:space="0" w:color="auto"/>
        <w:bottom w:val="none" w:sz="0" w:space="0" w:color="auto"/>
        <w:right w:val="none" w:sz="0" w:space="0" w:color="auto"/>
      </w:divBdr>
    </w:div>
    <w:div w:id="894507423">
      <w:bodyDiv w:val="1"/>
      <w:marLeft w:val="0"/>
      <w:marRight w:val="0"/>
      <w:marTop w:val="0"/>
      <w:marBottom w:val="0"/>
      <w:divBdr>
        <w:top w:val="none" w:sz="0" w:space="0" w:color="auto"/>
        <w:left w:val="none" w:sz="0" w:space="0" w:color="auto"/>
        <w:bottom w:val="none" w:sz="0" w:space="0" w:color="auto"/>
        <w:right w:val="none" w:sz="0" w:space="0" w:color="auto"/>
      </w:divBdr>
    </w:div>
    <w:div w:id="894699541">
      <w:bodyDiv w:val="1"/>
      <w:marLeft w:val="0"/>
      <w:marRight w:val="0"/>
      <w:marTop w:val="0"/>
      <w:marBottom w:val="0"/>
      <w:divBdr>
        <w:top w:val="none" w:sz="0" w:space="0" w:color="auto"/>
        <w:left w:val="none" w:sz="0" w:space="0" w:color="auto"/>
        <w:bottom w:val="none" w:sz="0" w:space="0" w:color="auto"/>
        <w:right w:val="none" w:sz="0" w:space="0" w:color="auto"/>
      </w:divBdr>
    </w:div>
    <w:div w:id="895552177">
      <w:bodyDiv w:val="1"/>
      <w:marLeft w:val="0"/>
      <w:marRight w:val="0"/>
      <w:marTop w:val="0"/>
      <w:marBottom w:val="0"/>
      <w:divBdr>
        <w:top w:val="none" w:sz="0" w:space="0" w:color="auto"/>
        <w:left w:val="none" w:sz="0" w:space="0" w:color="auto"/>
        <w:bottom w:val="none" w:sz="0" w:space="0" w:color="auto"/>
        <w:right w:val="none" w:sz="0" w:space="0" w:color="auto"/>
      </w:divBdr>
    </w:div>
    <w:div w:id="895622430">
      <w:bodyDiv w:val="1"/>
      <w:marLeft w:val="0"/>
      <w:marRight w:val="0"/>
      <w:marTop w:val="0"/>
      <w:marBottom w:val="0"/>
      <w:divBdr>
        <w:top w:val="none" w:sz="0" w:space="0" w:color="auto"/>
        <w:left w:val="none" w:sz="0" w:space="0" w:color="auto"/>
        <w:bottom w:val="none" w:sz="0" w:space="0" w:color="auto"/>
        <w:right w:val="none" w:sz="0" w:space="0" w:color="auto"/>
      </w:divBdr>
    </w:div>
    <w:div w:id="896235395">
      <w:bodyDiv w:val="1"/>
      <w:marLeft w:val="0"/>
      <w:marRight w:val="0"/>
      <w:marTop w:val="0"/>
      <w:marBottom w:val="0"/>
      <w:divBdr>
        <w:top w:val="none" w:sz="0" w:space="0" w:color="auto"/>
        <w:left w:val="none" w:sz="0" w:space="0" w:color="auto"/>
        <w:bottom w:val="none" w:sz="0" w:space="0" w:color="auto"/>
        <w:right w:val="none" w:sz="0" w:space="0" w:color="auto"/>
      </w:divBdr>
    </w:div>
    <w:div w:id="896628674">
      <w:bodyDiv w:val="1"/>
      <w:marLeft w:val="0"/>
      <w:marRight w:val="0"/>
      <w:marTop w:val="0"/>
      <w:marBottom w:val="0"/>
      <w:divBdr>
        <w:top w:val="none" w:sz="0" w:space="0" w:color="auto"/>
        <w:left w:val="none" w:sz="0" w:space="0" w:color="auto"/>
        <w:bottom w:val="none" w:sz="0" w:space="0" w:color="auto"/>
        <w:right w:val="none" w:sz="0" w:space="0" w:color="auto"/>
      </w:divBdr>
    </w:div>
    <w:div w:id="897008899">
      <w:bodyDiv w:val="1"/>
      <w:marLeft w:val="0"/>
      <w:marRight w:val="0"/>
      <w:marTop w:val="0"/>
      <w:marBottom w:val="0"/>
      <w:divBdr>
        <w:top w:val="none" w:sz="0" w:space="0" w:color="auto"/>
        <w:left w:val="none" w:sz="0" w:space="0" w:color="auto"/>
        <w:bottom w:val="none" w:sz="0" w:space="0" w:color="auto"/>
        <w:right w:val="none" w:sz="0" w:space="0" w:color="auto"/>
      </w:divBdr>
    </w:div>
    <w:div w:id="897941160">
      <w:bodyDiv w:val="1"/>
      <w:marLeft w:val="0"/>
      <w:marRight w:val="0"/>
      <w:marTop w:val="0"/>
      <w:marBottom w:val="0"/>
      <w:divBdr>
        <w:top w:val="none" w:sz="0" w:space="0" w:color="auto"/>
        <w:left w:val="none" w:sz="0" w:space="0" w:color="auto"/>
        <w:bottom w:val="none" w:sz="0" w:space="0" w:color="auto"/>
        <w:right w:val="none" w:sz="0" w:space="0" w:color="auto"/>
      </w:divBdr>
    </w:div>
    <w:div w:id="897976539">
      <w:bodyDiv w:val="1"/>
      <w:marLeft w:val="0"/>
      <w:marRight w:val="0"/>
      <w:marTop w:val="0"/>
      <w:marBottom w:val="0"/>
      <w:divBdr>
        <w:top w:val="none" w:sz="0" w:space="0" w:color="auto"/>
        <w:left w:val="none" w:sz="0" w:space="0" w:color="auto"/>
        <w:bottom w:val="none" w:sz="0" w:space="0" w:color="auto"/>
        <w:right w:val="none" w:sz="0" w:space="0" w:color="auto"/>
      </w:divBdr>
    </w:div>
    <w:div w:id="898176790">
      <w:bodyDiv w:val="1"/>
      <w:marLeft w:val="0"/>
      <w:marRight w:val="0"/>
      <w:marTop w:val="0"/>
      <w:marBottom w:val="0"/>
      <w:divBdr>
        <w:top w:val="none" w:sz="0" w:space="0" w:color="auto"/>
        <w:left w:val="none" w:sz="0" w:space="0" w:color="auto"/>
        <w:bottom w:val="none" w:sz="0" w:space="0" w:color="auto"/>
        <w:right w:val="none" w:sz="0" w:space="0" w:color="auto"/>
      </w:divBdr>
    </w:div>
    <w:div w:id="898321311">
      <w:bodyDiv w:val="1"/>
      <w:marLeft w:val="0"/>
      <w:marRight w:val="0"/>
      <w:marTop w:val="0"/>
      <w:marBottom w:val="0"/>
      <w:divBdr>
        <w:top w:val="none" w:sz="0" w:space="0" w:color="auto"/>
        <w:left w:val="none" w:sz="0" w:space="0" w:color="auto"/>
        <w:bottom w:val="none" w:sz="0" w:space="0" w:color="auto"/>
        <w:right w:val="none" w:sz="0" w:space="0" w:color="auto"/>
      </w:divBdr>
    </w:div>
    <w:div w:id="898521005">
      <w:bodyDiv w:val="1"/>
      <w:marLeft w:val="0"/>
      <w:marRight w:val="0"/>
      <w:marTop w:val="0"/>
      <w:marBottom w:val="0"/>
      <w:divBdr>
        <w:top w:val="none" w:sz="0" w:space="0" w:color="auto"/>
        <w:left w:val="none" w:sz="0" w:space="0" w:color="auto"/>
        <w:bottom w:val="none" w:sz="0" w:space="0" w:color="auto"/>
        <w:right w:val="none" w:sz="0" w:space="0" w:color="auto"/>
      </w:divBdr>
    </w:div>
    <w:div w:id="898899962">
      <w:bodyDiv w:val="1"/>
      <w:marLeft w:val="0"/>
      <w:marRight w:val="0"/>
      <w:marTop w:val="0"/>
      <w:marBottom w:val="0"/>
      <w:divBdr>
        <w:top w:val="none" w:sz="0" w:space="0" w:color="auto"/>
        <w:left w:val="none" w:sz="0" w:space="0" w:color="auto"/>
        <w:bottom w:val="none" w:sz="0" w:space="0" w:color="auto"/>
        <w:right w:val="none" w:sz="0" w:space="0" w:color="auto"/>
      </w:divBdr>
    </w:div>
    <w:div w:id="899363809">
      <w:bodyDiv w:val="1"/>
      <w:marLeft w:val="0"/>
      <w:marRight w:val="0"/>
      <w:marTop w:val="0"/>
      <w:marBottom w:val="0"/>
      <w:divBdr>
        <w:top w:val="none" w:sz="0" w:space="0" w:color="auto"/>
        <w:left w:val="none" w:sz="0" w:space="0" w:color="auto"/>
        <w:bottom w:val="none" w:sz="0" w:space="0" w:color="auto"/>
        <w:right w:val="none" w:sz="0" w:space="0" w:color="auto"/>
      </w:divBdr>
    </w:div>
    <w:div w:id="899365408">
      <w:bodyDiv w:val="1"/>
      <w:marLeft w:val="0"/>
      <w:marRight w:val="0"/>
      <w:marTop w:val="0"/>
      <w:marBottom w:val="0"/>
      <w:divBdr>
        <w:top w:val="none" w:sz="0" w:space="0" w:color="auto"/>
        <w:left w:val="none" w:sz="0" w:space="0" w:color="auto"/>
        <w:bottom w:val="none" w:sz="0" w:space="0" w:color="auto"/>
        <w:right w:val="none" w:sz="0" w:space="0" w:color="auto"/>
      </w:divBdr>
    </w:div>
    <w:div w:id="899634904">
      <w:bodyDiv w:val="1"/>
      <w:marLeft w:val="0"/>
      <w:marRight w:val="0"/>
      <w:marTop w:val="0"/>
      <w:marBottom w:val="0"/>
      <w:divBdr>
        <w:top w:val="none" w:sz="0" w:space="0" w:color="auto"/>
        <w:left w:val="none" w:sz="0" w:space="0" w:color="auto"/>
        <w:bottom w:val="none" w:sz="0" w:space="0" w:color="auto"/>
        <w:right w:val="none" w:sz="0" w:space="0" w:color="auto"/>
      </w:divBdr>
    </w:div>
    <w:div w:id="899756468">
      <w:bodyDiv w:val="1"/>
      <w:marLeft w:val="0"/>
      <w:marRight w:val="0"/>
      <w:marTop w:val="0"/>
      <w:marBottom w:val="0"/>
      <w:divBdr>
        <w:top w:val="none" w:sz="0" w:space="0" w:color="auto"/>
        <w:left w:val="none" w:sz="0" w:space="0" w:color="auto"/>
        <w:bottom w:val="none" w:sz="0" w:space="0" w:color="auto"/>
        <w:right w:val="none" w:sz="0" w:space="0" w:color="auto"/>
      </w:divBdr>
    </w:div>
    <w:div w:id="900168137">
      <w:bodyDiv w:val="1"/>
      <w:marLeft w:val="0"/>
      <w:marRight w:val="0"/>
      <w:marTop w:val="0"/>
      <w:marBottom w:val="0"/>
      <w:divBdr>
        <w:top w:val="none" w:sz="0" w:space="0" w:color="auto"/>
        <w:left w:val="none" w:sz="0" w:space="0" w:color="auto"/>
        <w:bottom w:val="none" w:sz="0" w:space="0" w:color="auto"/>
        <w:right w:val="none" w:sz="0" w:space="0" w:color="auto"/>
      </w:divBdr>
    </w:div>
    <w:div w:id="900945231">
      <w:bodyDiv w:val="1"/>
      <w:marLeft w:val="0"/>
      <w:marRight w:val="0"/>
      <w:marTop w:val="0"/>
      <w:marBottom w:val="0"/>
      <w:divBdr>
        <w:top w:val="none" w:sz="0" w:space="0" w:color="auto"/>
        <w:left w:val="none" w:sz="0" w:space="0" w:color="auto"/>
        <w:bottom w:val="none" w:sz="0" w:space="0" w:color="auto"/>
        <w:right w:val="none" w:sz="0" w:space="0" w:color="auto"/>
      </w:divBdr>
    </w:div>
    <w:div w:id="901208586">
      <w:bodyDiv w:val="1"/>
      <w:marLeft w:val="0"/>
      <w:marRight w:val="0"/>
      <w:marTop w:val="0"/>
      <w:marBottom w:val="0"/>
      <w:divBdr>
        <w:top w:val="none" w:sz="0" w:space="0" w:color="auto"/>
        <w:left w:val="none" w:sz="0" w:space="0" w:color="auto"/>
        <w:bottom w:val="none" w:sz="0" w:space="0" w:color="auto"/>
        <w:right w:val="none" w:sz="0" w:space="0" w:color="auto"/>
      </w:divBdr>
    </w:div>
    <w:div w:id="902134299">
      <w:bodyDiv w:val="1"/>
      <w:marLeft w:val="0"/>
      <w:marRight w:val="0"/>
      <w:marTop w:val="0"/>
      <w:marBottom w:val="0"/>
      <w:divBdr>
        <w:top w:val="none" w:sz="0" w:space="0" w:color="auto"/>
        <w:left w:val="none" w:sz="0" w:space="0" w:color="auto"/>
        <w:bottom w:val="none" w:sz="0" w:space="0" w:color="auto"/>
        <w:right w:val="none" w:sz="0" w:space="0" w:color="auto"/>
      </w:divBdr>
    </w:div>
    <w:div w:id="902327762">
      <w:bodyDiv w:val="1"/>
      <w:marLeft w:val="0"/>
      <w:marRight w:val="0"/>
      <w:marTop w:val="0"/>
      <w:marBottom w:val="0"/>
      <w:divBdr>
        <w:top w:val="none" w:sz="0" w:space="0" w:color="auto"/>
        <w:left w:val="none" w:sz="0" w:space="0" w:color="auto"/>
        <w:bottom w:val="none" w:sz="0" w:space="0" w:color="auto"/>
        <w:right w:val="none" w:sz="0" w:space="0" w:color="auto"/>
      </w:divBdr>
    </w:div>
    <w:div w:id="902642970">
      <w:bodyDiv w:val="1"/>
      <w:marLeft w:val="0"/>
      <w:marRight w:val="0"/>
      <w:marTop w:val="0"/>
      <w:marBottom w:val="0"/>
      <w:divBdr>
        <w:top w:val="none" w:sz="0" w:space="0" w:color="auto"/>
        <w:left w:val="none" w:sz="0" w:space="0" w:color="auto"/>
        <w:bottom w:val="none" w:sz="0" w:space="0" w:color="auto"/>
        <w:right w:val="none" w:sz="0" w:space="0" w:color="auto"/>
      </w:divBdr>
    </w:div>
    <w:div w:id="902836295">
      <w:bodyDiv w:val="1"/>
      <w:marLeft w:val="0"/>
      <w:marRight w:val="0"/>
      <w:marTop w:val="0"/>
      <w:marBottom w:val="0"/>
      <w:divBdr>
        <w:top w:val="none" w:sz="0" w:space="0" w:color="auto"/>
        <w:left w:val="none" w:sz="0" w:space="0" w:color="auto"/>
        <w:bottom w:val="none" w:sz="0" w:space="0" w:color="auto"/>
        <w:right w:val="none" w:sz="0" w:space="0" w:color="auto"/>
      </w:divBdr>
    </w:div>
    <w:div w:id="903294659">
      <w:bodyDiv w:val="1"/>
      <w:marLeft w:val="0"/>
      <w:marRight w:val="0"/>
      <w:marTop w:val="0"/>
      <w:marBottom w:val="0"/>
      <w:divBdr>
        <w:top w:val="none" w:sz="0" w:space="0" w:color="auto"/>
        <w:left w:val="none" w:sz="0" w:space="0" w:color="auto"/>
        <w:bottom w:val="none" w:sz="0" w:space="0" w:color="auto"/>
        <w:right w:val="none" w:sz="0" w:space="0" w:color="auto"/>
      </w:divBdr>
    </w:div>
    <w:div w:id="903486339">
      <w:bodyDiv w:val="1"/>
      <w:marLeft w:val="0"/>
      <w:marRight w:val="0"/>
      <w:marTop w:val="0"/>
      <w:marBottom w:val="0"/>
      <w:divBdr>
        <w:top w:val="none" w:sz="0" w:space="0" w:color="auto"/>
        <w:left w:val="none" w:sz="0" w:space="0" w:color="auto"/>
        <w:bottom w:val="none" w:sz="0" w:space="0" w:color="auto"/>
        <w:right w:val="none" w:sz="0" w:space="0" w:color="auto"/>
      </w:divBdr>
    </w:div>
    <w:div w:id="903759598">
      <w:bodyDiv w:val="1"/>
      <w:marLeft w:val="0"/>
      <w:marRight w:val="0"/>
      <w:marTop w:val="0"/>
      <w:marBottom w:val="0"/>
      <w:divBdr>
        <w:top w:val="none" w:sz="0" w:space="0" w:color="auto"/>
        <w:left w:val="none" w:sz="0" w:space="0" w:color="auto"/>
        <w:bottom w:val="none" w:sz="0" w:space="0" w:color="auto"/>
        <w:right w:val="none" w:sz="0" w:space="0" w:color="auto"/>
      </w:divBdr>
    </w:div>
    <w:div w:id="903949633">
      <w:bodyDiv w:val="1"/>
      <w:marLeft w:val="0"/>
      <w:marRight w:val="0"/>
      <w:marTop w:val="0"/>
      <w:marBottom w:val="0"/>
      <w:divBdr>
        <w:top w:val="none" w:sz="0" w:space="0" w:color="auto"/>
        <w:left w:val="none" w:sz="0" w:space="0" w:color="auto"/>
        <w:bottom w:val="none" w:sz="0" w:space="0" w:color="auto"/>
        <w:right w:val="none" w:sz="0" w:space="0" w:color="auto"/>
      </w:divBdr>
    </w:div>
    <w:div w:id="904753343">
      <w:bodyDiv w:val="1"/>
      <w:marLeft w:val="0"/>
      <w:marRight w:val="0"/>
      <w:marTop w:val="0"/>
      <w:marBottom w:val="0"/>
      <w:divBdr>
        <w:top w:val="none" w:sz="0" w:space="0" w:color="auto"/>
        <w:left w:val="none" w:sz="0" w:space="0" w:color="auto"/>
        <w:bottom w:val="none" w:sz="0" w:space="0" w:color="auto"/>
        <w:right w:val="none" w:sz="0" w:space="0" w:color="auto"/>
      </w:divBdr>
    </w:div>
    <w:div w:id="904755437">
      <w:bodyDiv w:val="1"/>
      <w:marLeft w:val="0"/>
      <w:marRight w:val="0"/>
      <w:marTop w:val="0"/>
      <w:marBottom w:val="0"/>
      <w:divBdr>
        <w:top w:val="none" w:sz="0" w:space="0" w:color="auto"/>
        <w:left w:val="none" w:sz="0" w:space="0" w:color="auto"/>
        <w:bottom w:val="none" w:sz="0" w:space="0" w:color="auto"/>
        <w:right w:val="none" w:sz="0" w:space="0" w:color="auto"/>
      </w:divBdr>
    </w:div>
    <w:div w:id="904803980">
      <w:bodyDiv w:val="1"/>
      <w:marLeft w:val="0"/>
      <w:marRight w:val="0"/>
      <w:marTop w:val="0"/>
      <w:marBottom w:val="0"/>
      <w:divBdr>
        <w:top w:val="none" w:sz="0" w:space="0" w:color="auto"/>
        <w:left w:val="none" w:sz="0" w:space="0" w:color="auto"/>
        <w:bottom w:val="none" w:sz="0" w:space="0" w:color="auto"/>
        <w:right w:val="none" w:sz="0" w:space="0" w:color="auto"/>
      </w:divBdr>
    </w:div>
    <w:div w:id="904872352">
      <w:bodyDiv w:val="1"/>
      <w:marLeft w:val="0"/>
      <w:marRight w:val="0"/>
      <w:marTop w:val="0"/>
      <w:marBottom w:val="0"/>
      <w:divBdr>
        <w:top w:val="none" w:sz="0" w:space="0" w:color="auto"/>
        <w:left w:val="none" w:sz="0" w:space="0" w:color="auto"/>
        <w:bottom w:val="none" w:sz="0" w:space="0" w:color="auto"/>
        <w:right w:val="none" w:sz="0" w:space="0" w:color="auto"/>
      </w:divBdr>
    </w:div>
    <w:div w:id="905073289">
      <w:bodyDiv w:val="1"/>
      <w:marLeft w:val="0"/>
      <w:marRight w:val="0"/>
      <w:marTop w:val="0"/>
      <w:marBottom w:val="0"/>
      <w:divBdr>
        <w:top w:val="none" w:sz="0" w:space="0" w:color="auto"/>
        <w:left w:val="none" w:sz="0" w:space="0" w:color="auto"/>
        <w:bottom w:val="none" w:sz="0" w:space="0" w:color="auto"/>
        <w:right w:val="none" w:sz="0" w:space="0" w:color="auto"/>
      </w:divBdr>
    </w:div>
    <w:div w:id="905187968">
      <w:bodyDiv w:val="1"/>
      <w:marLeft w:val="0"/>
      <w:marRight w:val="0"/>
      <w:marTop w:val="0"/>
      <w:marBottom w:val="0"/>
      <w:divBdr>
        <w:top w:val="none" w:sz="0" w:space="0" w:color="auto"/>
        <w:left w:val="none" w:sz="0" w:space="0" w:color="auto"/>
        <w:bottom w:val="none" w:sz="0" w:space="0" w:color="auto"/>
        <w:right w:val="none" w:sz="0" w:space="0" w:color="auto"/>
      </w:divBdr>
    </w:div>
    <w:div w:id="905339880">
      <w:bodyDiv w:val="1"/>
      <w:marLeft w:val="0"/>
      <w:marRight w:val="0"/>
      <w:marTop w:val="0"/>
      <w:marBottom w:val="0"/>
      <w:divBdr>
        <w:top w:val="none" w:sz="0" w:space="0" w:color="auto"/>
        <w:left w:val="none" w:sz="0" w:space="0" w:color="auto"/>
        <w:bottom w:val="none" w:sz="0" w:space="0" w:color="auto"/>
        <w:right w:val="none" w:sz="0" w:space="0" w:color="auto"/>
      </w:divBdr>
    </w:div>
    <w:div w:id="905452846">
      <w:bodyDiv w:val="1"/>
      <w:marLeft w:val="0"/>
      <w:marRight w:val="0"/>
      <w:marTop w:val="0"/>
      <w:marBottom w:val="0"/>
      <w:divBdr>
        <w:top w:val="none" w:sz="0" w:space="0" w:color="auto"/>
        <w:left w:val="none" w:sz="0" w:space="0" w:color="auto"/>
        <w:bottom w:val="none" w:sz="0" w:space="0" w:color="auto"/>
        <w:right w:val="none" w:sz="0" w:space="0" w:color="auto"/>
      </w:divBdr>
    </w:div>
    <w:div w:id="905533375">
      <w:bodyDiv w:val="1"/>
      <w:marLeft w:val="0"/>
      <w:marRight w:val="0"/>
      <w:marTop w:val="0"/>
      <w:marBottom w:val="0"/>
      <w:divBdr>
        <w:top w:val="none" w:sz="0" w:space="0" w:color="auto"/>
        <w:left w:val="none" w:sz="0" w:space="0" w:color="auto"/>
        <w:bottom w:val="none" w:sz="0" w:space="0" w:color="auto"/>
        <w:right w:val="none" w:sz="0" w:space="0" w:color="auto"/>
      </w:divBdr>
    </w:div>
    <w:div w:id="905838960">
      <w:bodyDiv w:val="1"/>
      <w:marLeft w:val="0"/>
      <w:marRight w:val="0"/>
      <w:marTop w:val="0"/>
      <w:marBottom w:val="0"/>
      <w:divBdr>
        <w:top w:val="none" w:sz="0" w:space="0" w:color="auto"/>
        <w:left w:val="none" w:sz="0" w:space="0" w:color="auto"/>
        <w:bottom w:val="none" w:sz="0" w:space="0" w:color="auto"/>
        <w:right w:val="none" w:sz="0" w:space="0" w:color="auto"/>
      </w:divBdr>
    </w:div>
    <w:div w:id="905918763">
      <w:bodyDiv w:val="1"/>
      <w:marLeft w:val="0"/>
      <w:marRight w:val="0"/>
      <w:marTop w:val="0"/>
      <w:marBottom w:val="0"/>
      <w:divBdr>
        <w:top w:val="none" w:sz="0" w:space="0" w:color="auto"/>
        <w:left w:val="none" w:sz="0" w:space="0" w:color="auto"/>
        <w:bottom w:val="none" w:sz="0" w:space="0" w:color="auto"/>
        <w:right w:val="none" w:sz="0" w:space="0" w:color="auto"/>
      </w:divBdr>
    </w:div>
    <w:div w:id="906063996">
      <w:bodyDiv w:val="1"/>
      <w:marLeft w:val="0"/>
      <w:marRight w:val="0"/>
      <w:marTop w:val="0"/>
      <w:marBottom w:val="0"/>
      <w:divBdr>
        <w:top w:val="none" w:sz="0" w:space="0" w:color="auto"/>
        <w:left w:val="none" w:sz="0" w:space="0" w:color="auto"/>
        <w:bottom w:val="none" w:sz="0" w:space="0" w:color="auto"/>
        <w:right w:val="none" w:sz="0" w:space="0" w:color="auto"/>
      </w:divBdr>
    </w:div>
    <w:div w:id="906065182">
      <w:bodyDiv w:val="1"/>
      <w:marLeft w:val="0"/>
      <w:marRight w:val="0"/>
      <w:marTop w:val="0"/>
      <w:marBottom w:val="0"/>
      <w:divBdr>
        <w:top w:val="none" w:sz="0" w:space="0" w:color="auto"/>
        <w:left w:val="none" w:sz="0" w:space="0" w:color="auto"/>
        <w:bottom w:val="none" w:sz="0" w:space="0" w:color="auto"/>
        <w:right w:val="none" w:sz="0" w:space="0" w:color="auto"/>
      </w:divBdr>
    </w:div>
    <w:div w:id="906300677">
      <w:bodyDiv w:val="1"/>
      <w:marLeft w:val="0"/>
      <w:marRight w:val="0"/>
      <w:marTop w:val="0"/>
      <w:marBottom w:val="0"/>
      <w:divBdr>
        <w:top w:val="none" w:sz="0" w:space="0" w:color="auto"/>
        <w:left w:val="none" w:sz="0" w:space="0" w:color="auto"/>
        <w:bottom w:val="none" w:sz="0" w:space="0" w:color="auto"/>
        <w:right w:val="none" w:sz="0" w:space="0" w:color="auto"/>
      </w:divBdr>
    </w:div>
    <w:div w:id="906454392">
      <w:bodyDiv w:val="1"/>
      <w:marLeft w:val="0"/>
      <w:marRight w:val="0"/>
      <w:marTop w:val="0"/>
      <w:marBottom w:val="0"/>
      <w:divBdr>
        <w:top w:val="none" w:sz="0" w:space="0" w:color="auto"/>
        <w:left w:val="none" w:sz="0" w:space="0" w:color="auto"/>
        <w:bottom w:val="none" w:sz="0" w:space="0" w:color="auto"/>
        <w:right w:val="none" w:sz="0" w:space="0" w:color="auto"/>
      </w:divBdr>
    </w:div>
    <w:div w:id="906690636">
      <w:bodyDiv w:val="1"/>
      <w:marLeft w:val="0"/>
      <w:marRight w:val="0"/>
      <w:marTop w:val="0"/>
      <w:marBottom w:val="0"/>
      <w:divBdr>
        <w:top w:val="none" w:sz="0" w:space="0" w:color="auto"/>
        <w:left w:val="none" w:sz="0" w:space="0" w:color="auto"/>
        <w:bottom w:val="none" w:sz="0" w:space="0" w:color="auto"/>
        <w:right w:val="none" w:sz="0" w:space="0" w:color="auto"/>
      </w:divBdr>
    </w:div>
    <w:div w:id="906694282">
      <w:bodyDiv w:val="1"/>
      <w:marLeft w:val="0"/>
      <w:marRight w:val="0"/>
      <w:marTop w:val="0"/>
      <w:marBottom w:val="0"/>
      <w:divBdr>
        <w:top w:val="none" w:sz="0" w:space="0" w:color="auto"/>
        <w:left w:val="none" w:sz="0" w:space="0" w:color="auto"/>
        <w:bottom w:val="none" w:sz="0" w:space="0" w:color="auto"/>
        <w:right w:val="none" w:sz="0" w:space="0" w:color="auto"/>
      </w:divBdr>
    </w:div>
    <w:div w:id="907113337">
      <w:bodyDiv w:val="1"/>
      <w:marLeft w:val="0"/>
      <w:marRight w:val="0"/>
      <w:marTop w:val="0"/>
      <w:marBottom w:val="0"/>
      <w:divBdr>
        <w:top w:val="none" w:sz="0" w:space="0" w:color="auto"/>
        <w:left w:val="none" w:sz="0" w:space="0" w:color="auto"/>
        <w:bottom w:val="none" w:sz="0" w:space="0" w:color="auto"/>
        <w:right w:val="none" w:sz="0" w:space="0" w:color="auto"/>
      </w:divBdr>
    </w:div>
    <w:div w:id="907349591">
      <w:bodyDiv w:val="1"/>
      <w:marLeft w:val="0"/>
      <w:marRight w:val="0"/>
      <w:marTop w:val="0"/>
      <w:marBottom w:val="0"/>
      <w:divBdr>
        <w:top w:val="none" w:sz="0" w:space="0" w:color="auto"/>
        <w:left w:val="none" w:sz="0" w:space="0" w:color="auto"/>
        <w:bottom w:val="none" w:sz="0" w:space="0" w:color="auto"/>
        <w:right w:val="none" w:sz="0" w:space="0" w:color="auto"/>
      </w:divBdr>
    </w:div>
    <w:div w:id="907571797">
      <w:bodyDiv w:val="1"/>
      <w:marLeft w:val="0"/>
      <w:marRight w:val="0"/>
      <w:marTop w:val="0"/>
      <w:marBottom w:val="0"/>
      <w:divBdr>
        <w:top w:val="none" w:sz="0" w:space="0" w:color="auto"/>
        <w:left w:val="none" w:sz="0" w:space="0" w:color="auto"/>
        <w:bottom w:val="none" w:sz="0" w:space="0" w:color="auto"/>
        <w:right w:val="none" w:sz="0" w:space="0" w:color="auto"/>
      </w:divBdr>
    </w:div>
    <w:div w:id="908004723">
      <w:bodyDiv w:val="1"/>
      <w:marLeft w:val="0"/>
      <w:marRight w:val="0"/>
      <w:marTop w:val="0"/>
      <w:marBottom w:val="0"/>
      <w:divBdr>
        <w:top w:val="none" w:sz="0" w:space="0" w:color="auto"/>
        <w:left w:val="none" w:sz="0" w:space="0" w:color="auto"/>
        <w:bottom w:val="none" w:sz="0" w:space="0" w:color="auto"/>
        <w:right w:val="none" w:sz="0" w:space="0" w:color="auto"/>
      </w:divBdr>
    </w:div>
    <w:div w:id="908076944">
      <w:bodyDiv w:val="1"/>
      <w:marLeft w:val="0"/>
      <w:marRight w:val="0"/>
      <w:marTop w:val="0"/>
      <w:marBottom w:val="0"/>
      <w:divBdr>
        <w:top w:val="none" w:sz="0" w:space="0" w:color="auto"/>
        <w:left w:val="none" w:sz="0" w:space="0" w:color="auto"/>
        <w:bottom w:val="none" w:sz="0" w:space="0" w:color="auto"/>
        <w:right w:val="none" w:sz="0" w:space="0" w:color="auto"/>
      </w:divBdr>
    </w:div>
    <w:div w:id="908198172">
      <w:bodyDiv w:val="1"/>
      <w:marLeft w:val="0"/>
      <w:marRight w:val="0"/>
      <w:marTop w:val="0"/>
      <w:marBottom w:val="0"/>
      <w:divBdr>
        <w:top w:val="none" w:sz="0" w:space="0" w:color="auto"/>
        <w:left w:val="none" w:sz="0" w:space="0" w:color="auto"/>
        <w:bottom w:val="none" w:sz="0" w:space="0" w:color="auto"/>
        <w:right w:val="none" w:sz="0" w:space="0" w:color="auto"/>
      </w:divBdr>
    </w:div>
    <w:div w:id="908659865">
      <w:bodyDiv w:val="1"/>
      <w:marLeft w:val="0"/>
      <w:marRight w:val="0"/>
      <w:marTop w:val="0"/>
      <w:marBottom w:val="0"/>
      <w:divBdr>
        <w:top w:val="none" w:sz="0" w:space="0" w:color="auto"/>
        <w:left w:val="none" w:sz="0" w:space="0" w:color="auto"/>
        <w:bottom w:val="none" w:sz="0" w:space="0" w:color="auto"/>
        <w:right w:val="none" w:sz="0" w:space="0" w:color="auto"/>
      </w:divBdr>
    </w:div>
    <w:div w:id="908730599">
      <w:bodyDiv w:val="1"/>
      <w:marLeft w:val="0"/>
      <w:marRight w:val="0"/>
      <w:marTop w:val="0"/>
      <w:marBottom w:val="0"/>
      <w:divBdr>
        <w:top w:val="none" w:sz="0" w:space="0" w:color="auto"/>
        <w:left w:val="none" w:sz="0" w:space="0" w:color="auto"/>
        <w:bottom w:val="none" w:sz="0" w:space="0" w:color="auto"/>
        <w:right w:val="none" w:sz="0" w:space="0" w:color="auto"/>
      </w:divBdr>
    </w:div>
    <w:div w:id="908882056">
      <w:bodyDiv w:val="1"/>
      <w:marLeft w:val="0"/>
      <w:marRight w:val="0"/>
      <w:marTop w:val="0"/>
      <w:marBottom w:val="0"/>
      <w:divBdr>
        <w:top w:val="none" w:sz="0" w:space="0" w:color="auto"/>
        <w:left w:val="none" w:sz="0" w:space="0" w:color="auto"/>
        <w:bottom w:val="none" w:sz="0" w:space="0" w:color="auto"/>
        <w:right w:val="none" w:sz="0" w:space="0" w:color="auto"/>
      </w:divBdr>
    </w:div>
    <w:div w:id="908882471">
      <w:bodyDiv w:val="1"/>
      <w:marLeft w:val="0"/>
      <w:marRight w:val="0"/>
      <w:marTop w:val="0"/>
      <w:marBottom w:val="0"/>
      <w:divBdr>
        <w:top w:val="none" w:sz="0" w:space="0" w:color="auto"/>
        <w:left w:val="none" w:sz="0" w:space="0" w:color="auto"/>
        <w:bottom w:val="none" w:sz="0" w:space="0" w:color="auto"/>
        <w:right w:val="none" w:sz="0" w:space="0" w:color="auto"/>
      </w:divBdr>
    </w:div>
    <w:div w:id="909080870">
      <w:bodyDiv w:val="1"/>
      <w:marLeft w:val="0"/>
      <w:marRight w:val="0"/>
      <w:marTop w:val="0"/>
      <w:marBottom w:val="0"/>
      <w:divBdr>
        <w:top w:val="none" w:sz="0" w:space="0" w:color="auto"/>
        <w:left w:val="none" w:sz="0" w:space="0" w:color="auto"/>
        <w:bottom w:val="none" w:sz="0" w:space="0" w:color="auto"/>
        <w:right w:val="none" w:sz="0" w:space="0" w:color="auto"/>
      </w:divBdr>
    </w:div>
    <w:div w:id="909584601">
      <w:bodyDiv w:val="1"/>
      <w:marLeft w:val="0"/>
      <w:marRight w:val="0"/>
      <w:marTop w:val="0"/>
      <w:marBottom w:val="0"/>
      <w:divBdr>
        <w:top w:val="none" w:sz="0" w:space="0" w:color="auto"/>
        <w:left w:val="none" w:sz="0" w:space="0" w:color="auto"/>
        <w:bottom w:val="none" w:sz="0" w:space="0" w:color="auto"/>
        <w:right w:val="none" w:sz="0" w:space="0" w:color="auto"/>
      </w:divBdr>
    </w:div>
    <w:div w:id="909771208">
      <w:bodyDiv w:val="1"/>
      <w:marLeft w:val="0"/>
      <w:marRight w:val="0"/>
      <w:marTop w:val="0"/>
      <w:marBottom w:val="0"/>
      <w:divBdr>
        <w:top w:val="none" w:sz="0" w:space="0" w:color="auto"/>
        <w:left w:val="none" w:sz="0" w:space="0" w:color="auto"/>
        <w:bottom w:val="none" w:sz="0" w:space="0" w:color="auto"/>
        <w:right w:val="none" w:sz="0" w:space="0" w:color="auto"/>
      </w:divBdr>
    </w:div>
    <w:div w:id="910121983">
      <w:bodyDiv w:val="1"/>
      <w:marLeft w:val="0"/>
      <w:marRight w:val="0"/>
      <w:marTop w:val="0"/>
      <w:marBottom w:val="0"/>
      <w:divBdr>
        <w:top w:val="none" w:sz="0" w:space="0" w:color="auto"/>
        <w:left w:val="none" w:sz="0" w:space="0" w:color="auto"/>
        <w:bottom w:val="none" w:sz="0" w:space="0" w:color="auto"/>
        <w:right w:val="none" w:sz="0" w:space="0" w:color="auto"/>
      </w:divBdr>
    </w:div>
    <w:div w:id="910577608">
      <w:bodyDiv w:val="1"/>
      <w:marLeft w:val="0"/>
      <w:marRight w:val="0"/>
      <w:marTop w:val="0"/>
      <w:marBottom w:val="0"/>
      <w:divBdr>
        <w:top w:val="none" w:sz="0" w:space="0" w:color="auto"/>
        <w:left w:val="none" w:sz="0" w:space="0" w:color="auto"/>
        <w:bottom w:val="none" w:sz="0" w:space="0" w:color="auto"/>
        <w:right w:val="none" w:sz="0" w:space="0" w:color="auto"/>
      </w:divBdr>
    </w:div>
    <w:div w:id="911088543">
      <w:bodyDiv w:val="1"/>
      <w:marLeft w:val="0"/>
      <w:marRight w:val="0"/>
      <w:marTop w:val="0"/>
      <w:marBottom w:val="0"/>
      <w:divBdr>
        <w:top w:val="none" w:sz="0" w:space="0" w:color="auto"/>
        <w:left w:val="none" w:sz="0" w:space="0" w:color="auto"/>
        <w:bottom w:val="none" w:sz="0" w:space="0" w:color="auto"/>
        <w:right w:val="none" w:sz="0" w:space="0" w:color="auto"/>
      </w:divBdr>
    </w:div>
    <w:div w:id="911542449">
      <w:bodyDiv w:val="1"/>
      <w:marLeft w:val="0"/>
      <w:marRight w:val="0"/>
      <w:marTop w:val="0"/>
      <w:marBottom w:val="0"/>
      <w:divBdr>
        <w:top w:val="none" w:sz="0" w:space="0" w:color="auto"/>
        <w:left w:val="none" w:sz="0" w:space="0" w:color="auto"/>
        <w:bottom w:val="none" w:sz="0" w:space="0" w:color="auto"/>
        <w:right w:val="none" w:sz="0" w:space="0" w:color="auto"/>
      </w:divBdr>
    </w:div>
    <w:div w:id="911623807">
      <w:bodyDiv w:val="1"/>
      <w:marLeft w:val="0"/>
      <w:marRight w:val="0"/>
      <w:marTop w:val="0"/>
      <w:marBottom w:val="0"/>
      <w:divBdr>
        <w:top w:val="none" w:sz="0" w:space="0" w:color="auto"/>
        <w:left w:val="none" w:sz="0" w:space="0" w:color="auto"/>
        <w:bottom w:val="none" w:sz="0" w:space="0" w:color="auto"/>
        <w:right w:val="none" w:sz="0" w:space="0" w:color="auto"/>
      </w:divBdr>
    </w:div>
    <w:div w:id="911816412">
      <w:bodyDiv w:val="1"/>
      <w:marLeft w:val="0"/>
      <w:marRight w:val="0"/>
      <w:marTop w:val="0"/>
      <w:marBottom w:val="0"/>
      <w:divBdr>
        <w:top w:val="none" w:sz="0" w:space="0" w:color="auto"/>
        <w:left w:val="none" w:sz="0" w:space="0" w:color="auto"/>
        <w:bottom w:val="none" w:sz="0" w:space="0" w:color="auto"/>
        <w:right w:val="none" w:sz="0" w:space="0" w:color="auto"/>
      </w:divBdr>
    </w:div>
    <w:div w:id="911962802">
      <w:bodyDiv w:val="1"/>
      <w:marLeft w:val="0"/>
      <w:marRight w:val="0"/>
      <w:marTop w:val="0"/>
      <w:marBottom w:val="0"/>
      <w:divBdr>
        <w:top w:val="none" w:sz="0" w:space="0" w:color="auto"/>
        <w:left w:val="none" w:sz="0" w:space="0" w:color="auto"/>
        <w:bottom w:val="none" w:sz="0" w:space="0" w:color="auto"/>
        <w:right w:val="none" w:sz="0" w:space="0" w:color="auto"/>
      </w:divBdr>
    </w:div>
    <w:div w:id="912471032">
      <w:bodyDiv w:val="1"/>
      <w:marLeft w:val="0"/>
      <w:marRight w:val="0"/>
      <w:marTop w:val="0"/>
      <w:marBottom w:val="0"/>
      <w:divBdr>
        <w:top w:val="none" w:sz="0" w:space="0" w:color="auto"/>
        <w:left w:val="none" w:sz="0" w:space="0" w:color="auto"/>
        <w:bottom w:val="none" w:sz="0" w:space="0" w:color="auto"/>
        <w:right w:val="none" w:sz="0" w:space="0" w:color="auto"/>
      </w:divBdr>
    </w:div>
    <w:div w:id="912817119">
      <w:bodyDiv w:val="1"/>
      <w:marLeft w:val="0"/>
      <w:marRight w:val="0"/>
      <w:marTop w:val="0"/>
      <w:marBottom w:val="0"/>
      <w:divBdr>
        <w:top w:val="none" w:sz="0" w:space="0" w:color="auto"/>
        <w:left w:val="none" w:sz="0" w:space="0" w:color="auto"/>
        <w:bottom w:val="none" w:sz="0" w:space="0" w:color="auto"/>
        <w:right w:val="none" w:sz="0" w:space="0" w:color="auto"/>
      </w:divBdr>
    </w:div>
    <w:div w:id="913004346">
      <w:bodyDiv w:val="1"/>
      <w:marLeft w:val="0"/>
      <w:marRight w:val="0"/>
      <w:marTop w:val="0"/>
      <w:marBottom w:val="0"/>
      <w:divBdr>
        <w:top w:val="none" w:sz="0" w:space="0" w:color="auto"/>
        <w:left w:val="none" w:sz="0" w:space="0" w:color="auto"/>
        <w:bottom w:val="none" w:sz="0" w:space="0" w:color="auto"/>
        <w:right w:val="none" w:sz="0" w:space="0" w:color="auto"/>
      </w:divBdr>
    </w:div>
    <w:div w:id="913244559">
      <w:bodyDiv w:val="1"/>
      <w:marLeft w:val="0"/>
      <w:marRight w:val="0"/>
      <w:marTop w:val="0"/>
      <w:marBottom w:val="0"/>
      <w:divBdr>
        <w:top w:val="none" w:sz="0" w:space="0" w:color="auto"/>
        <w:left w:val="none" w:sz="0" w:space="0" w:color="auto"/>
        <w:bottom w:val="none" w:sz="0" w:space="0" w:color="auto"/>
        <w:right w:val="none" w:sz="0" w:space="0" w:color="auto"/>
      </w:divBdr>
    </w:div>
    <w:div w:id="913246807">
      <w:bodyDiv w:val="1"/>
      <w:marLeft w:val="0"/>
      <w:marRight w:val="0"/>
      <w:marTop w:val="0"/>
      <w:marBottom w:val="0"/>
      <w:divBdr>
        <w:top w:val="none" w:sz="0" w:space="0" w:color="auto"/>
        <w:left w:val="none" w:sz="0" w:space="0" w:color="auto"/>
        <w:bottom w:val="none" w:sz="0" w:space="0" w:color="auto"/>
        <w:right w:val="none" w:sz="0" w:space="0" w:color="auto"/>
      </w:divBdr>
    </w:div>
    <w:div w:id="913466574">
      <w:bodyDiv w:val="1"/>
      <w:marLeft w:val="0"/>
      <w:marRight w:val="0"/>
      <w:marTop w:val="0"/>
      <w:marBottom w:val="0"/>
      <w:divBdr>
        <w:top w:val="none" w:sz="0" w:space="0" w:color="auto"/>
        <w:left w:val="none" w:sz="0" w:space="0" w:color="auto"/>
        <w:bottom w:val="none" w:sz="0" w:space="0" w:color="auto"/>
        <w:right w:val="none" w:sz="0" w:space="0" w:color="auto"/>
      </w:divBdr>
    </w:div>
    <w:div w:id="913663136">
      <w:bodyDiv w:val="1"/>
      <w:marLeft w:val="0"/>
      <w:marRight w:val="0"/>
      <w:marTop w:val="0"/>
      <w:marBottom w:val="0"/>
      <w:divBdr>
        <w:top w:val="none" w:sz="0" w:space="0" w:color="auto"/>
        <w:left w:val="none" w:sz="0" w:space="0" w:color="auto"/>
        <w:bottom w:val="none" w:sz="0" w:space="0" w:color="auto"/>
        <w:right w:val="none" w:sz="0" w:space="0" w:color="auto"/>
      </w:divBdr>
    </w:div>
    <w:div w:id="913857851">
      <w:bodyDiv w:val="1"/>
      <w:marLeft w:val="0"/>
      <w:marRight w:val="0"/>
      <w:marTop w:val="0"/>
      <w:marBottom w:val="0"/>
      <w:divBdr>
        <w:top w:val="none" w:sz="0" w:space="0" w:color="auto"/>
        <w:left w:val="none" w:sz="0" w:space="0" w:color="auto"/>
        <w:bottom w:val="none" w:sz="0" w:space="0" w:color="auto"/>
        <w:right w:val="none" w:sz="0" w:space="0" w:color="auto"/>
      </w:divBdr>
    </w:div>
    <w:div w:id="915214306">
      <w:bodyDiv w:val="1"/>
      <w:marLeft w:val="0"/>
      <w:marRight w:val="0"/>
      <w:marTop w:val="0"/>
      <w:marBottom w:val="0"/>
      <w:divBdr>
        <w:top w:val="none" w:sz="0" w:space="0" w:color="auto"/>
        <w:left w:val="none" w:sz="0" w:space="0" w:color="auto"/>
        <w:bottom w:val="none" w:sz="0" w:space="0" w:color="auto"/>
        <w:right w:val="none" w:sz="0" w:space="0" w:color="auto"/>
      </w:divBdr>
    </w:div>
    <w:div w:id="915359417">
      <w:bodyDiv w:val="1"/>
      <w:marLeft w:val="0"/>
      <w:marRight w:val="0"/>
      <w:marTop w:val="0"/>
      <w:marBottom w:val="0"/>
      <w:divBdr>
        <w:top w:val="none" w:sz="0" w:space="0" w:color="auto"/>
        <w:left w:val="none" w:sz="0" w:space="0" w:color="auto"/>
        <w:bottom w:val="none" w:sz="0" w:space="0" w:color="auto"/>
        <w:right w:val="none" w:sz="0" w:space="0" w:color="auto"/>
      </w:divBdr>
    </w:div>
    <w:div w:id="915407391">
      <w:bodyDiv w:val="1"/>
      <w:marLeft w:val="0"/>
      <w:marRight w:val="0"/>
      <w:marTop w:val="0"/>
      <w:marBottom w:val="0"/>
      <w:divBdr>
        <w:top w:val="none" w:sz="0" w:space="0" w:color="auto"/>
        <w:left w:val="none" w:sz="0" w:space="0" w:color="auto"/>
        <w:bottom w:val="none" w:sz="0" w:space="0" w:color="auto"/>
        <w:right w:val="none" w:sz="0" w:space="0" w:color="auto"/>
      </w:divBdr>
    </w:div>
    <w:div w:id="915435965">
      <w:bodyDiv w:val="1"/>
      <w:marLeft w:val="0"/>
      <w:marRight w:val="0"/>
      <w:marTop w:val="0"/>
      <w:marBottom w:val="0"/>
      <w:divBdr>
        <w:top w:val="none" w:sz="0" w:space="0" w:color="auto"/>
        <w:left w:val="none" w:sz="0" w:space="0" w:color="auto"/>
        <w:bottom w:val="none" w:sz="0" w:space="0" w:color="auto"/>
        <w:right w:val="none" w:sz="0" w:space="0" w:color="auto"/>
      </w:divBdr>
    </w:div>
    <w:div w:id="915701353">
      <w:bodyDiv w:val="1"/>
      <w:marLeft w:val="0"/>
      <w:marRight w:val="0"/>
      <w:marTop w:val="0"/>
      <w:marBottom w:val="0"/>
      <w:divBdr>
        <w:top w:val="none" w:sz="0" w:space="0" w:color="auto"/>
        <w:left w:val="none" w:sz="0" w:space="0" w:color="auto"/>
        <w:bottom w:val="none" w:sz="0" w:space="0" w:color="auto"/>
        <w:right w:val="none" w:sz="0" w:space="0" w:color="auto"/>
      </w:divBdr>
    </w:div>
    <w:div w:id="915865979">
      <w:bodyDiv w:val="1"/>
      <w:marLeft w:val="0"/>
      <w:marRight w:val="0"/>
      <w:marTop w:val="0"/>
      <w:marBottom w:val="0"/>
      <w:divBdr>
        <w:top w:val="none" w:sz="0" w:space="0" w:color="auto"/>
        <w:left w:val="none" w:sz="0" w:space="0" w:color="auto"/>
        <w:bottom w:val="none" w:sz="0" w:space="0" w:color="auto"/>
        <w:right w:val="none" w:sz="0" w:space="0" w:color="auto"/>
      </w:divBdr>
    </w:div>
    <w:div w:id="915897939">
      <w:bodyDiv w:val="1"/>
      <w:marLeft w:val="0"/>
      <w:marRight w:val="0"/>
      <w:marTop w:val="0"/>
      <w:marBottom w:val="0"/>
      <w:divBdr>
        <w:top w:val="none" w:sz="0" w:space="0" w:color="auto"/>
        <w:left w:val="none" w:sz="0" w:space="0" w:color="auto"/>
        <w:bottom w:val="none" w:sz="0" w:space="0" w:color="auto"/>
        <w:right w:val="none" w:sz="0" w:space="0" w:color="auto"/>
      </w:divBdr>
    </w:div>
    <w:div w:id="916204620">
      <w:bodyDiv w:val="1"/>
      <w:marLeft w:val="0"/>
      <w:marRight w:val="0"/>
      <w:marTop w:val="0"/>
      <w:marBottom w:val="0"/>
      <w:divBdr>
        <w:top w:val="none" w:sz="0" w:space="0" w:color="auto"/>
        <w:left w:val="none" w:sz="0" w:space="0" w:color="auto"/>
        <w:bottom w:val="none" w:sz="0" w:space="0" w:color="auto"/>
        <w:right w:val="none" w:sz="0" w:space="0" w:color="auto"/>
      </w:divBdr>
    </w:div>
    <w:div w:id="916288327">
      <w:bodyDiv w:val="1"/>
      <w:marLeft w:val="0"/>
      <w:marRight w:val="0"/>
      <w:marTop w:val="0"/>
      <w:marBottom w:val="0"/>
      <w:divBdr>
        <w:top w:val="none" w:sz="0" w:space="0" w:color="auto"/>
        <w:left w:val="none" w:sz="0" w:space="0" w:color="auto"/>
        <w:bottom w:val="none" w:sz="0" w:space="0" w:color="auto"/>
        <w:right w:val="none" w:sz="0" w:space="0" w:color="auto"/>
      </w:divBdr>
    </w:div>
    <w:div w:id="917595265">
      <w:bodyDiv w:val="1"/>
      <w:marLeft w:val="0"/>
      <w:marRight w:val="0"/>
      <w:marTop w:val="0"/>
      <w:marBottom w:val="0"/>
      <w:divBdr>
        <w:top w:val="none" w:sz="0" w:space="0" w:color="auto"/>
        <w:left w:val="none" w:sz="0" w:space="0" w:color="auto"/>
        <w:bottom w:val="none" w:sz="0" w:space="0" w:color="auto"/>
        <w:right w:val="none" w:sz="0" w:space="0" w:color="auto"/>
      </w:divBdr>
    </w:div>
    <w:div w:id="918096913">
      <w:bodyDiv w:val="1"/>
      <w:marLeft w:val="0"/>
      <w:marRight w:val="0"/>
      <w:marTop w:val="0"/>
      <w:marBottom w:val="0"/>
      <w:divBdr>
        <w:top w:val="none" w:sz="0" w:space="0" w:color="auto"/>
        <w:left w:val="none" w:sz="0" w:space="0" w:color="auto"/>
        <w:bottom w:val="none" w:sz="0" w:space="0" w:color="auto"/>
        <w:right w:val="none" w:sz="0" w:space="0" w:color="auto"/>
      </w:divBdr>
    </w:div>
    <w:div w:id="918253410">
      <w:bodyDiv w:val="1"/>
      <w:marLeft w:val="0"/>
      <w:marRight w:val="0"/>
      <w:marTop w:val="0"/>
      <w:marBottom w:val="0"/>
      <w:divBdr>
        <w:top w:val="none" w:sz="0" w:space="0" w:color="auto"/>
        <w:left w:val="none" w:sz="0" w:space="0" w:color="auto"/>
        <w:bottom w:val="none" w:sz="0" w:space="0" w:color="auto"/>
        <w:right w:val="none" w:sz="0" w:space="0" w:color="auto"/>
      </w:divBdr>
    </w:div>
    <w:div w:id="918564533">
      <w:bodyDiv w:val="1"/>
      <w:marLeft w:val="0"/>
      <w:marRight w:val="0"/>
      <w:marTop w:val="0"/>
      <w:marBottom w:val="0"/>
      <w:divBdr>
        <w:top w:val="none" w:sz="0" w:space="0" w:color="auto"/>
        <w:left w:val="none" w:sz="0" w:space="0" w:color="auto"/>
        <w:bottom w:val="none" w:sz="0" w:space="0" w:color="auto"/>
        <w:right w:val="none" w:sz="0" w:space="0" w:color="auto"/>
      </w:divBdr>
    </w:div>
    <w:div w:id="918946562">
      <w:bodyDiv w:val="1"/>
      <w:marLeft w:val="0"/>
      <w:marRight w:val="0"/>
      <w:marTop w:val="0"/>
      <w:marBottom w:val="0"/>
      <w:divBdr>
        <w:top w:val="none" w:sz="0" w:space="0" w:color="auto"/>
        <w:left w:val="none" w:sz="0" w:space="0" w:color="auto"/>
        <w:bottom w:val="none" w:sz="0" w:space="0" w:color="auto"/>
        <w:right w:val="none" w:sz="0" w:space="0" w:color="auto"/>
      </w:divBdr>
    </w:div>
    <w:div w:id="919681689">
      <w:bodyDiv w:val="1"/>
      <w:marLeft w:val="0"/>
      <w:marRight w:val="0"/>
      <w:marTop w:val="0"/>
      <w:marBottom w:val="0"/>
      <w:divBdr>
        <w:top w:val="none" w:sz="0" w:space="0" w:color="auto"/>
        <w:left w:val="none" w:sz="0" w:space="0" w:color="auto"/>
        <w:bottom w:val="none" w:sz="0" w:space="0" w:color="auto"/>
        <w:right w:val="none" w:sz="0" w:space="0" w:color="auto"/>
      </w:divBdr>
    </w:div>
    <w:div w:id="919994381">
      <w:bodyDiv w:val="1"/>
      <w:marLeft w:val="0"/>
      <w:marRight w:val="0"/>
      <w:marTop w:val="0"/>
      <w:marBottom w:val="0"/>
      <w:divBdr>
        <w:top w:val="none" w:sz="0" w:space="0" w:color="auto"/>
        <w:left w:val="none" w:sz="0" w:space="0" w:color="auto"/>
        <w:bottom w:val="none" w:sz="0" w:space="0" w:color="auto"/>
        <w:right w:val="none" w:sz="0" w:space="0" w:color="auto"/>
      </w:divBdr>
    </w:div>
    <w:div w:id="920211909">
      <w:bodyDiv w:val="1"/>
      <w:marLeft w:val="0"/>
      <w:marRight w:val="0"/>
      <w:marTop w:val="0"/>
      <w:marBottom w:val="0"/>
      <w:divBdr>
        <w:top w:val="none" w:sz="0" w:space="0" w:color="auto"/>
        <w:left w:val="none" w:sz="0" w:space="0" w:color="auto"/>
        <w:bottom w:val="none" w:sz="0" w:space="0" w:color="auto"/>
        <w:right w:val="none" w:sz="0" w:space="0" w:color="auto"/>
      </w:divBdr>
    </w:div>
    <w:div w:id="920481721">
      <w:bodyDiv w:val="1"/>
      <w:marLeft w:val="0"/>
      <w:marRight w:val="0"/>
      <w:marTop w:val="0"/>
      <w:marBottom w:val="0"/>
      <w:divBdr>
        <w:top w:val="none" w:sz="0" w:space="0" w:color="auto"/>
        <w:left w:val="none" w:sz="0" w:space="0" w:color="auto"/>
        <w:bottom w:val="none" w:sz="0" w:space="0" w:color="auto"/>
        <w:right w:val="none" w:sz="0" w:space="0" w:color="auto"/>
      </w:divBdr>
    </w:div>
    <w:div w:id="920680607">
      <w:bodyDiv w:val="1"/>
      <w:marLeft w:val="0"/>
      <w:marRight w:val="0"/>
      <w:marTop w:val="0"/>
      <w:marBottom w:val="0"/>
      <w:divBdr>
        <w:top w:val="none" w:sz="0" w:space="0" w:color="auto"/>
        <w:left w:val="none" w:sz="0" w:space="0" w:color="auto"/>
        <w:bottom w:val="none" w:sz="0" w:space="0" w:color="auto"/>
        <w:right w:val="none" w:sz="0" w:space="0" w:color="auto"/>
      </w:divBdr>
    </w:div>
    <w:div w:id="921061044">
      <w:bodyDiv w:val="1"/>
      <w:marLeft w:val="0"/>
      <w:marRight w:val="0"/>
      <w:marTop w:val="0"/>
      <w:marBottom w:val="0"/>
      <w:divBdr>
        <w:top w:val="none" w:sz="0" w:space="0" w:color="auto"/>
        <w:left w:val="none" w:sz="0" w:space="0" w:color="auto"/>
        <w:bottom w:val="none" w:sz="0" w:space="0" w:color="auto"/>
        <w:right w:val="none" w:sz="0" w:space="0" w:color="auto"/>
      </w:divBdr>
    </w:div>
    <w:div w:id="921376771">
      <w:bodyDiv w:val="1"/>
      <w:marLeft w:val="0"/>
      <w:marRight w:val="0"/>
      <w:marTop w:val="0"/>
      <w:marBottom w:val="0"/>
      <w:divBdr>
        <w:top w:val="none" w:sz="0" w:space="0" w:color="auto"/>
        <w:left w:val="none" w:sz="0" w:space="0" w:color="auto"/>
        <w:bottom w:val="none" w:sz="0" w:space="0" w:color="auto"/>
        <w:right w:val="none" w:sz="0" w:space="0" w:color="auto"/>
      </w:divBdr>
    </w:div>
    <w:div w:id="921570653">
      <w:bodyDiv w:val="1"/>
      <w:marLeft w:val="0"/>
      <w:marRight w:val="0"/>
      <w:marTop w:val="0"/>
      <w:marBottom w:val="0"/>
      <w:divBdr>
        <w:top w:val="none" w:sz="0" w:space="0" w:color="auto"/>
        <w:left w:val="none" w:sz="0" w:space="0" w:color="auto"/>
        <w:bottom w:val="none" w:sz="0" w:space="0" w:color="auto"/>
        <w:right w:val="none" w:sz="0" w:space="0" w:color="auto"/>
      </w:divBdr>
    </w:div>
    <w:div w:id="921792229">
      <w:bodyDiv w:val="1"/>
      <w:marLeft w:val="0"/>
      <w:marRight w:val="0"/>
      <w:marTop w:val="0"/>
      <w:marBottom w:val="0"/>
      <w:divBdr>
        <w:top w:val="none" w:sz="0" w:space="0" w:color="auto"/>
        <w:left w:val="none" w:sz="0" w:space="0" w:color="auto"/>
        <w:bottom w:val="none" w:sz="0" w:space="0" w:color="auto"/>
        <w:right w:val="none" w:sz="0" w:space="0" w:color="auto"/>
      </w:divBdr>
    </w:div>
    <w:div w:id="922302187">
      <w:bodyDiv w:val="1"/>
      <w:marLeft w:val="0"/>
      <w:marRight w:val="0"/>
      <w:marTop w:val="0"/>
      <w:marBottom w:val="0"/>
      <w:divBdr>
        <w:top w:val="none" w:sz="0" w:space="0" w:color="auto"/>
        <w:left w:val="none" w:sz="0" w:space="0" w:color="auto"/>
        <w:bottom w:val="none" w:sz="0" w:space="0" w:color="auto"/>
        <w:right w:val="none" w:sz="0" w:space="0" w:color="auto"/>
      </w:divBdr>
    </w:div>
    <w:div w:id="923491608">
      <w:bodyDiv w:val="1"/>
      <w:marLeft w:val="0"/>
      <w:marRight w:val="0"/>
      <w:marTop w:val="0"/>
      <w:marBottom w:val="0"/>
      <w:divBdr>
        <w:top w:val="none" w:sz="0" w:space="0" w:color="auto"/>
        <w:left w:val="none" w:sz="0" w:space="0" w:color="auto"/>
        <w:bottom w:val="none" w:sz="0" w:space="0" w:color="auto"/>
        <w:right w:val="none" w:sz="0" w:space="0" w:color="auto"/>
      </w:divBdr>
    </w:div>
    <w:div w:id="923535203">
      <w:bodyDiv w:val="1"/>
      <w:marLeft w:val="0"/>
      <w:marRight w:val="0"/>
      <w:marTop w:val="0"/>
      <w:marBottom w:val="0"/>
      <w:divBdr>
        <w:top w:val="none" w:sz="0" w:space="0" w:color="auto"/>
        <w:left w:val="none" w:sz="0" w:space="0" w:color="auto"/>
        <w:bottom w:val="none" w:sz="0" w:space="0" w:color="auto"/>
        <w:right w:val="none" w:sz="0" w:space="0" w:color="auto"/>
      </w:divBdr>
    </w:div>
    <w:div w:id="923878648">
      <w:bodyDiv w:val="1"/>
      <w:marLeft w:val="0"/>
      <w:marRight w:val="0"/>
      <w:marTop w:val="0"/>
      <w:marBottom w:val="0"/>
      <w:divBdr>
        <w:top w:val="none" w:sz="0" w:space="0" w:color="auto"/>
        <w:left w:val="none" w:sz="0" w:space="0" w:color="auto"/>
        <w:bottom w:val="none" w:sz="0" w:space="0" w:color="auto"/>
        <w:right w:val="none" w:sz="0" w:space="0" w:color="auto"/>
      </w:divBdr>
    </w:div>
    <w:div w:id="924386705">
      <w:bodyDiv w:val="1"/>
      <w:marLeft w:val="0"/>
      <w:marRight w:val="0"/>
      <w:marTop w:val="0"/>
      <w:marBottom w:val="0"/>
      <w:divBdr>
        <w:top w:val="none" w:sz="0" w:space="0" w:color="auto"/>
        <w:left w:val="none" w:sz="0" w:space="0" w:color="auto"/>
        <w:bottom w:val="none" w:sz="0" w:space="0" w:color="auto"/>
        <w:right w:val="none" w:sz="0" w:space="0" w:color="auto"/>
      </w:divBdr>
    </w:div>
    <w:div w:id="924648803">
      <w:bodyDiv w:val="1"/>
      <w:marLeft w:val="0"/>
      <w:marRight w:val="0"/>
      <w:marTop w:val="0"/>
      <w:marBottom w:val="0"/>
      <w:divBdr>
        <w:top w:val="none" w:sz="0" w:space="0" w:color="auto"/>
        <w:left w:val="none" w:sz="0" w:space="0" w:color="auto"/>
        <w:bottom w:val="none" w:sz="0" w:space="0" w:color="auto"/>
        <w:right w:val="none" w:sz="0" w:space="0" w:color="auto"/>
      </w:divBdr>
    </w:div>
    <w:div w:id="924723622">
      <w:bodyDiv w:val="1"/>
      <w:marLeft w:val="0"/>
      <w:marRight w:val="0"/>
      <w:marTop w:val="0"/>
      <w:marBottom w:val="0"/>
      <w:divBdr>
        <w:top w:val="none" w:sz="0" w:space="0" w:color="auto"/>
        <w:left w:val="none" w:sz="0" w:space="0" w:color="auto"/>
        <w:bottom w:val="none" w:sz="0" w:space="0" w:color="auto"/>
        <w:right w:val="none" w:sz="0" w:space="0" w:color="auto"/>
      </w:divBdr>
    </w:div>
    <w:div w:id="925072467">
      <w:bodyDiv w:val="1"/>
      <w:marLeft w:val="0"/>
      <w:marRight w:val="0"/>
      <w:marTop w:val="0"/>
      <w:marBottom w:val="0"/>
      <w:divBdr>
        <w:top w:val="none" w:sz="0" w:space="0" w:color="auto"/>
        <w:left w:val="none" w:sz="0" w:space="0" w:color="auto"/>
        <w:bottom w:val="none" w:sz="0" w:space="0" w:color="auto"/>
        <w:right w:val="none" w:sz="0" w:space="0" w:color="auto"/>
      </w:divBdr>
    </w:div>
    <w:div w:id="925380816">
      <w:bodyDiv w:val="1"/>
      <w:marLeft w:val="0"/>
      <w:marRight w:val="0"/>
      <w:marTop w:val="0"/>
      <w:marBottom w:val="0"/>
      <w:divBdr>
        <w:top w:val="none" w:sz="0" w:space="0" w:color="auto"/>
        <w:left w:val="none" w:sz="0" w:space="0" w:color="auto"/>
        <w:bottom w:val="none" w:sz="0" w:space="0" w:color="auto"/>
        <w:right w:val="none" w:sz="0" w:space="0" w:color="auto"/>
      </w:divBdr>
    </w:div>
    <w:div w:id="925571251">
      <w:bodyDiv w:val="1"/>
      <w:marLeft w:val="0"/>
      <w:marRight w:val="0"/>
      <w:marTop w:val="0"/>
      <w:marBottom w:val="0"/>
      <w:divBdr>
        <w:top w:val="none" w:sz="0" w:space="0" w:color="auto"/>
        <w:left w:val="none" w:sz="0" w:space="0" w:color="auto"/>
        <w:bottom w:val="none" w:sz="0" w:space="0" w:color="auto"/>
        <w:right w:val="none" w:sz="0" w:space="0" w:color="auto"/>
      </w:divBdr>
    </w:div>
    <w:div w:id="925575777">
      <w:bodyDiv w:val="1"/>
      <w:marLeft w:val="0"/>
      <w:marRight w:val="0"/>
      <w:marTop w:val="0"/>
      <w:marBottom w:val="0"/>
      <w:divBdr>
        <w:top w:val="none" w:sz="0" w:space="0" w:color="auto"/>
        <w:left w:val="none" w:sz="0" w:space="0" w:color="auto"/>
        <w:bottom w:val="none" w:sz="0" w:space="0" w:color="auto"/>
        <w:right w:val="none" w:sz="0" w:space="0" w:color="auto"/>
      </w:divBdr>
    </w:div>
    <w:div w:id="926157358">
      <w:bodyDiv w:val="1"/>
      <w:marLeft w:val="0"/>
      <w:marRight w:val="0"/>
      <w:marTop w:val="0"/>
      <w:marBottom w:val="0"/>
      <w:divBdr>
        <w:top w:val="none" w:sz="0" w:space="0" w:color="auto"/>
        <w:left w:val="none" w:sz="0" w:space="0" w:color="auto"/>
        <w:bottom w:val="none" w:sz="0" w:space="0" w:color="auto"/>
        <w:right w:val="none" w:sz="0" w:space="0" w:color="auto"/>
      </w:divBdr>
    </w:div>
    <w:div w:id="926614207">
      <w:bodyDiv w:val="1"/>
      <w:marLeft w:val="0"/>
      <w:marRight w:val="0"/>
      <w:marTop w:val="0"/>
      <w:marBottom w:val="0"/>
      <w:divBdr>
        <w:top w:val="none" w:sz="0" w:space="0" w:color="auto"/>
        <w:left w:val="none" w:sz="0" w:space="0" w:color="auto"/>
        <w:bottom w:val="none" w:sz="0" w:space="0" w:color="auto"/>
        <w:right w:val="none" w:sz="0" w:space="0" w:color="auto"/>
      </w:divBdr>
    </w:div>
    <w:div w:id="927467185">
      <w:bodyDiv w:val="1"/>
      <w:marLeft w:val="0"/>
      <w:marRight w:val="0"/>
      <w:marTop w:val="0"/>
      <w:marBottom w:val="0"/>
      <w:divBdr>
        <w:top w:val="none" w:sz="0" w:space="0" w:color="auto"/>
        <w:left w:val="none" w:sz="0" w:space="0" w:color="auto"/>
        <w:bottom w:val="none" w:sz="0" w:space="0" w:color="auto"/>
        <w:right w:val="none" w:sz="0" w:space="0" w:color="auto"/>
      </w:divBdr>
    </w:div>
    <w:div w:id="927620531">
      <w:bodyDiv w:val="1"/>
      <w:marLeft w:val="0"/>
      <w:marRight w:val="0"/>
      <w:marTop w:val="0"/>
      <w:marBottom w:val="0"/>
      <w:divBdr>
        <w:top w:val="none" w:sz="0" w:space="0" w:color="auto"/>
        <w:left w:val="none" w:sz="0" w:space="0" w:color="auto"/>
        <w:bottom w:val="none" w:sz="0" w:space="0" w:color="auto"/>
        <w:right w:val="none" w:sz="0" w:space="0" w:color="auto"/>
      </w:divBdr>
    </w:div>
    <w:div w:id="927880990">
      <w:bodyDiv w:val="1"/>
      <w:marLeft w:val="0"/>
      <w:marRight w:val="0"/>
      <w:marTop w:val="0"/>
      <w:marBottom w:val="0"/>
      <w:divBdr>
        <w:top w:val="none" w:sz="0" w:space="0" w:color="auto"/>
        <w:left w:val="none" w:sz="0" w:space="0" w:color="auto"/>
        <w:bottom w:val="none" w:sz="0" w:space="0" w:color="auto"/>
        <w:right w:val="none" w:sz="0" w:space="0" w:color="auto"/>
      </w:divBdr>
    </w:div>
    <w:div w:id="928000701">
      <w:bodyDiv w:val="1"/>
      <w:marLeft w:val="0"/>
      <w:marRight w:val="0"/>
      <w:marTop w:val="0"/>
      <w:marBottom w:val="0"/>
      <w:divBdr>
        <w:top w:val="none" w:sz="0" w:space="0" w:color="auto"/>
        <w:left w:val="none" w:sz="0" w:space="0" w:color="auto"/>
        <w:bottom w:val="none" w:sz="0" w:space="0" w:color="auto"/>
        <w:right w:val="none" w:sz="0" w:space="0" w:color="auto"/>
      </w:divBdr>
    </w:div>
    <w:div w:id="928192428">
      <w:bodyDiv w:val="1"/>
      <w:marLeft w:val="0"/>
      <w:marRight w:val="0"/>
      <w:marTop w:val="0"/>
      <w:marBottom w:val="0"/>
      <w:divBdr>
        <w:top w:val="none" w:sz="0" w:space="0" w:color="auto"/>
        <w:left w:val="none" w:sz="0" w:space="0" w:color="auto"/>
        <w:bottom w:val="none" w:sz="0" w:space="0" w:color="auto"/>
        <w:right w:val="none" w:sz="0" w:space="0" w:color="auto"/>
      </w:divBdr>
    </w:div>
    <w:div w:id="928389969">
      <w:bodyDiv w:val="1"/>
      <w:marLeft w:val="0"/>
      <w:marRight w:val="0"/>
      <w:marTop w:val="0"/>
      <w:marBottom w:val="0"/>
      <w:divBdr>
        <w:top w:val="none" w:sz="0" w:space="0" w:color="auto"/>
        <w:left w:val="none" w:sz="0" w:space="0" w:color="auto"/>
        <w:bottom w:val="none" w:sz="0" w:space="0" w:color="auto"/>
        <w:right w:val="none" w:sz="0" w:space="0" w:color="auto"/>
      </w:divBdr>
    </w:div>
    <w:div w:id="928808740">
      <w:bodyDiv w:val="1"/>
      <w:marLeft w:val="0"/>
      <w:marRight w:val="0"/>
      <w:marTop w:val="0"/>
      <w:marBottom w:val="0"/>
      <w:divBdr>
        <w:top w:val="none" w:sz="0" w:space="0" w:color="auto"/>
        <w:left w:val="none" w:sz="0" w:space="0" w:color="auto"/>
        <w:bottom w:val="none" w:sz="0" w:space="0" w:color="auto"/>
        <w:right w:val="none" w:sz="0" w:space="0" w:color="auto"/>
      </w:divBdr>
    </w:div>
    <w:div w:id="928855390">
      <w:bodyDiv w:val="1"/>
      <w:marLeft w:val="0"/>
      <w:marRight w:val="0"/>
      <w:marTop w:val="0"/>
      <w:marBottom w:val="0"/>
      <w:divBdr>
        <w:top w:val="none" w:sz="0" w:space="0" w:color="auto"/>
        <w:left w:val="none" w:sz="0" w:space="0" w:color="auto"/>
        <w:bottom w:val="none" w:sz="0" w:space="0" w:color="auto"/>
        <w:right w:val="none" w:sz="0" w:space="0" w:color="auto"/>
      </w:divBdr>
    </w:div>
    <w:div w:id="928923744">
      <w:bodyDiv w:val="1"/>
      <w:marLeft w:val="0"/>
      <w:marRight w:val="0"/>
      <w:marTop w:val="0"/>
      <w:marBottom w:val="0"/>
      <w:divBdr>
        <w:top w:val="none" w:sz="0" w:space="0" w:color="auto"/>
        <w:left w:val="none" w:sz="0" w:space="0" w:color="auto"/>
        <w:bottom w:val="none" w:sz="0" w:space="0" w:color="auto"/>
        <w:right w:val="none" w:sz="0" w:space="0" w:color="auto"/>
      </w:divBdr>
    </w:div>
    <w:div w:id="929122502">
      <w:bodyDiv w:val="1"/>
      <w:marLeft w:val="0"/>
      <w:marRight w:val="0"/>
      <w:marTop w:val="0"/>
      <w:marBottom w:val="0"/>
      <w:divBdr>
        <w:top w:val="none" w:sz="0" w:space="0" w:color="auto"/>
        <w:left w:val="none" w:sz="0" w:space="0" w:color="auto"/>
        <w:bottom w:val="none" w:sz="0" w:space="0" w:color="auto"/>
        <w:right w:val="none" w:sz="0" w:space="0" w:color="auto"/>
      </w:divBdr>
    </w:div>
    <w:div w:id="929653602">
      <w:bodyDiv w:val="1"/>
      <w:marLeft w:val="0"/>
      <w:marRight w:val="0"/>
      <w:marTop w:val="0"/>
      <w:marBottom w:val="0"/>
      <w:divBdr>
        <w:top w:val="none" w:sz="0" w:space="0" w:color="auto"/>
        <w:left w:val="none" w:sz="0" w:space="0" w:color="auto"/>
        <w:bottom w:val="none" w:sz="0" w:space="0" w:color="auto"/>
        <w:right w:val="none" w:sz="0" w:space="0" w:color="auto"/>
      </w:divBdr>
    </w:div>
    <w:div w:id="929655883">
      <w:bodyDiv w:val="1"/>
      <w:marLeft w:val="0"/>
      <w:marRight w:val="0"/>
      <w:marTop w:val="0"/>
      <w:marBottom w:val="0"/>
      <w:divBdr>
        <w:top w:val="none" w:sz="0" w:space="0" w:color="auto"/>
        <w:left w:val="none" w:sz="0" w:space="0" w:color="auto"/>
        <w:bottom w:val="none" w:sz="0" w:space="0" w:color="auto"/>
        <w:right w:val="none" w:sz="0" w:space="0" w:color="auto"/>
      </w:divBdr>
    </w:div>
    <w:div w:id="929847846">
      <w:bodyDiv w:val="1"/>
      <w:marLeft w:val="0"/>
      <w:marRight w:val="0"/>
      <w:marTop w:val="0"/>
      <w:marBottom w:val="0"/>
      <w:divBdr>
        <w:top w:val="none" w:sz="0" w:space="0" w:color="auto"/>
        <w:left w:val="none" w:sz="0" w:space="0" w:color="auto"/>
        <w:bottom w:val="none" w:sz="0" w:space="0" w:color="auto"/>
        <w:right w:val="none" w:sz="0" w:space="0" w:color="auto"/>
      </w:divBdr>
    </w:div>
    <w:div w:id="930426696">
      <w:bodyDiv w:val="1"/>
      <w:marLeft w:val="0"/>
      <w:marRight w:val="0"/>
      <w:marTop w:val="0"/>
      <w:marBottom w:val="0"/>
      <w:divBdr>
        <w:top w:val="none" w:sz="0" w:space="0" w:color="auto"/>
        <w:left w:val="none" w:sz="0" w:space="0" w:color="auto"/>
        <w:bottom w:val="none" w:sz="0" w:space="0" w:color="auto"/>
        <w:right w:val="none" w:sz="0" w:space="0" w:color="auto"/>
      </w:divBdr>
    </w:div>
    <w:div w:id="930894356">
      <w:bodyDiv w:val="1"/>
      <w:marLeft w:val="0"/>
      <w:marRight w:val="0"/>
      <w:marTop w:val="0"/>
      <w:marBottom w:val="0"/>
      <w:divBdr>
        <w:top w:val="none" w:sz="0" w:space="0" w:color="auto"/>
        <w:left w:val="none" w:sz="0" w:space="0" w:color="auto"/>
        <w:bottom w:val="none" w:sz="0" w:space="0" w:color="auto"/>
        <w:right w:val="none" w:sz="0" w:space="0" w:color="auto"/>
      </w:divBdr>
    </w:div>
    <w:div w:id="931012775">
      <w:bodyDiv w:val="1"/>
      <w:marLeft w:val="0"/>
      <w:marRight w:val="0"/>
      <w:marTop w:val="0"/>
      <w:marBottom w:val="0"/>
      <w:divBdr>
        <w:top w:val="none" w:sz="0" w:space="0" w:color="auto"/>
        <w:left w:val="none" w:sz="0" w:space="0" w:color="auto"/>
        <w:bottom w:val="none" w:sz="0" w:space="0" w:color="auto"/>
        <w:right w:val="none" w:sz="0" w:space="0" w:color="auto"/>
      </w:divBdr>
    </w:div>
    <w:div w:id="931090456">
      <w:bodyDiv w:val="1"/>
      <w:marLeft w:val="0"/>
      <w:marRight w:val="0"/>
      <w:marTop w:val="0"/>
      <w:marBottom w:val="0"/>
      <w:divBdr>
        <w:top w:val="none" w:sz="0" w:space="0" w:color="auto"/>
        <w:left w:val="none" w:sz="0" w:space="0" w:color="auto"/>
        <w:bottom w:val="none" w:sz="0" w:space="0" w:color="auto"/>
        <w:right w:val="none" w:sz="0" w:space="0" w:color="auto"/>
      </w:divBdr>
    </w:div>
    <w:div w:id="931090881">
      <w:bodyDiv w:val="1"/>
      <w:marLeft w:val="0"/>
      <w:marRight w:val="0"/>
      <w:marTop w:val="0"/>
      <w:marBottom w:val="0"/>
      <w:divBdr>
        <w:top w:val="none" w:sz="0" w:space="0" w:color="auto"/>
        <w:left w:val="none" w:sz="0" w:space="0" w:color="auto"/>
        <w:bottom w:val="none" w:sz="0" w:space="0" w:color="auto"/>
        <w:right w:val="none" w:sz="0" w:space="0" w:color="auto"/>
      </w:divBdr>
    </w:div>
    <w:div w:id="931552550">
      <w:bodyDiv w:val="1"/>
      <w:marLeft w:val="0"/>
      <w:marRight w:val="0"/>
      <w:marTop w:val="0"/>
      <w:marBottom w:val="0"/>
      <w:divBdr>
        <w:top w:val="none" w:sz="0" w:space="0" w:color="auto"/>
        <w:left w:val="none" w:sz="0" w:space="0" w:color="auto"/>
        <w:bottom w:val="none" w:sz="0" w:space="0" w:color="auto"/>
        <w:right w:val="none" w:sz="0" w:space="0" w:color="auto"/>
      </w:divBdr>
    </w:div>
    <w:div w:id="931669203">
      <w:bodyDiv w:val="1"/>
      <w:marLeft w:val="0"/>
      <w:marRight w:val="0"/>
      <w:marTop w:val="0"/>
      <w:marBottom w:val="0"/>
      <w:divBdr>
        <w:top w:val="none" w:sz="0" w:space="0" w:color="auto"/>
        <w:left w:val="none" w:sz="0" w:space="0" w:color="auto"/>
        <w:bottom w:val="none" w:sz="0" w:space="0" w:color="auto"/>
        <w:right w:val="none" w:sz="0" w:space="0" w:color="auto"/>
      </w:divBdr>
    </w:div>
    <w:div w:id="932055969">
      <w:bodyDiv w:val="1"/>
      <w:marLeft w:val="0"/>
      <w:marRight w:val="0"/>
      <w:marTop w:val="0"/>
      <w:marBottom w:val="0"/>
      <w:divBdr>
        <w:top w:val="none" w:sz="0" w:space="0" w:color="auto"/>
        <w:left w:val="none" w:sz="0" w:space="0" w:color="auto"/>
        <w:bottom w:val="none" w:sz="0" w:space="0" w:color="auto"/>
        <w:right w:val="none" w:sz="0" w:space="0" w:color="auto"/>
      </w:divBdr>
    </w:div>
    <w:div w:id="932588548">
      <w:bodyDiv w:val="1"/>
      <w:marLeft w:val="0"/>
      <w:marRight w:val="0"/>
      <w:marTop w:val="0"/>
      <w:marBottom w:val="0"/>
      <w:divBdr>
        <w:top w:val="none" w:sz="0" w:space="0" w:color="auto"/>
        <w:left w:val="none" w:sz="0" w:space="0" w:color="auto"/>
        <w:bottom w:val="none" w:sz="0" w:space="0" w:color="auto"/>
        <w:right w:val="none" w:sz="0" w:space="0" w:color="auto"/>
      </w:divBdr>
    </w:div>
    <w:div w:id="932860799">
      <w:bodyDiv w:val="1"/>
      <w:marLeft w:val="0"/>
      <w:marRight w:val="0"/>
      <w:marTop w:val="0"/>
      <w:marBottom w:val="0"/>
      <w:divBdr>
        <w:top w:val="none" w:sz="0" w:space="0" w:color="auto"/>
        <w:left w:val="none" w:sz="0" w:space="0" w:color="auto"/>
        <w:bottom w:val="none" w:sz="0" w:space="0" w:color="auto"/>
        <w:right w:val="none" w:sz="0" w:space="0" w:color="auto"/>
      </w:divBdr>
    </w:div>
    <w:div w:id="934704285">
      <w:bodyDiv w:val="1"/>
      <w:marLeft w:val="0"/>
      <w:marRight w:val="0"/>
      <w:marTop w:val="0"/>
      <w:marBottom w:val="0"/>
      <w:divBdr>
        <w:top w:val="none" w:sz="0" w:space="0" w:color="auto"/>
        <w:left w:val="none" w:sz="0" w:space="0" w:color="auto"/>
        <w:bottom w:val="none" w:sz="0" w:space="0" w:color="auto"/>
        <w:right w:val="none" w:sz="0" w:space="0" w:color="auto"/>
      </w:divBdr>
    </w:div>
    <w:div w:id="935359572">
      <w:bodyDiv w:val="1"/>
      <w:marLeft w:val="0"/>
      <w:marRight w:val="0"/>
      <w:marTop w:val="0"/>
      <w:marBottom w:val="0"/>
      <w:divBdr>
        <w:top w:val="none" w:sz="0" w:space="0" w:color="auto"/>
        <w:left w:val="none" w:sz="0" w:space="0" w:color="auto"/>
        <w:bottom w:val="none" w:sz="0" w:space="0" w:color="auto"/>
        <w:right w:val="none" w:sz="0" w:space="0" w:color="auto"/>
      </w:divBdr>
    </w:div>
    <w:div w:id="935863926">
      <w:bodyDiv w:val="1"/>
      <w:marLeft w:val="0"/>
      <w:marRight w:val="0"/>
      <w:marTop w:val="0"/>
      <w:marBottom w:val="0"/>
      <w:divBdr>
        <w:top w:val="none" w:sz="0" w:space="0" w:color="auto"/>
        <w:left w:val="none" w:sz="0" w:space="0" w:color="auto"/>
        <w:bottom w:val="none" w:sz="0" w:space="0" w:color="auto"/>
        <w:right w:val="none" w:sz="0" w:space="0" w:color="auto"/>
      </w:divBdr>
    </w:div>
    <w:div w:id="935943053">
      <w:bodyDiv w:val="1"/>
      <w:marLeft w:val="0"/>
      <w:marRight w:val="0"/>
      <w:marTop w:val="0"/>
      <w:marBottom w:val="0"/>
      <w:divBdr>
        <w:top w:val="none" w:sz="0" w:space="0" w:color="auto"/>
        <w:left w:val="none" w:sz="0" w:space="0" w:color="auto"/>
        <w:bottom w:val="none" w:sz="0" w:space="0" w:color="auto"/>
        <w:right w:val="none" w:sz="0" w:space="0" w:color="auto"/>
      </w:divBdr>
    </w:div>
    <w:div w:id="936403384">
      <w:bodyDiv w:val="1"/>
      <w:marLeft w:val="0"/>
      <w:marRight w:val="0"/>
      <w:marTop w:val="0"/>
      <w:marBottom w:val="0"/>
      <w:divBdr>
        <w:top w:val="none" w:sz="0" w:space="0" w:color="auto"/>
        <w:left w:val="none" w:sz="0" w:space="0" w:color="auto"/>
        <w:bottom w:val="none" w:sz="0" w:space="0" w:color="auto"/>
        <w:right w:val="none" w:sz="0" w:space="0" w:color="auto"/>
      </w:divBdr>
    </w:div>
    <w:div w:id="937102595">
      <w:bodyDiv w:val="1"/>
      <w:marLeft w:val="0"/>
      <w:marRight w:val="0"/>
      <w:marTop w:val="0"/>
      <w:marBottom w:val="0"/>
      <w:divBdr>
        <w:top w:val="none" w:sz="0" w:space="0" w:color="auto"/>
        <w:left w:val="none" w:sz="0" w:space="0" w:color="auto"/>
        <w:bottom w:val="none" w:sz="0" w:space="0" w:color="auto"/>
        <w:right w:val="none" w:sz="0" w:space="0" w:color="auto"/>
      </w:divBdr>
    </w:div>
    <w:div w:id="937563574">
      <w:bodyDiv w:val="1"/>
      <w:marLeft w:val="0"/>
      <w:marRight w:val="0"/>
      <w:marTop w:val="0"/>
      <w:marBottom w:val="0"/>
      <w:divBdr>
        <w:top w:val="none" w:sz="0" w:space="0" w:color="auto"/>
        <w:left w:val="none" w:sz="0" w:space="0" w:color="auto"/>
        <w:bottom w:val="none" w:sz="0" w:space="0" w:color="auto"/>
        <w:right w:val="none" w:sz="0" w:space="0" w:color="auto"/>
      </w:divBdr>
    </w:div>
    <w:div w:id="937830329">
      <w:bodyDiv w:val="1"/>
      <w:marLeft w:val="0"/>
      <w:marRight w:val="0"/>
      <w:marTop w:val="0"/>
      <w:marBottom w:val="0"/>
      <w:divBdr>
        <w:top w:val="none" w:sz="0" w:space="0" w:color="auto"/>
        <w:left w:val="none" w:sz="0" w:space="0" w:color="auto"/>
        <w:bottom w:val="none" w:sz="0" w:space="0" w:color="auto"/>
        <w:right w:val="none" w:sz="0" w:space="0" w:color="auto"/>
      </w:divBdr>
    </w:div>
    <w:div w:id="937906208">
      <w:bodyDiv w:val="1"/>
      <w:marLeft w:val="0"/>
      <w:marRight w:val="0"/>
      <w:marTop w:val="0"/>
      <w:marBottom w:val="0"/>
      <w:divBdr>
        <w:top w:val="none" w:sz="0" w:space="0" w:color="auto"/>
        <w:left w:val="none" w:sz="0" w:space="0" w:color="auto"/>
        <w:bottom w:val="none" w:sz="0" w:space="0" w:color="auto"/>
        <w:right w:val="none" w:sz="0" w:space="0" w:color="auto"/>
      </w:divBdr>
    </w:div>
    <w:div w:id="938029966">
      <w:bodyDiv w:val="1"/>
      <w:marLeft w:val="0"/>
      <w:marRight w:val="0"/>
      <w:marTop w:val="0"/>
      <w:marBottom w:val="0"/>
      <w:divBdr>
        <w:top w:val="none" w:sz="0" w:space="0" w:color="auto"/>
        <w:left w:val="none" w:sz="0" w:space="0" w:color="auto"/>
        <w:bottom w:val="none" w:sz="0" w:space="0" w:color="auto"/>
        <w:right w:val="none" w:sz="0" w:space="0" w:color="auto"/>
      </w:divBdr>
    </w:div>
    <w:div w:id="938293703">
      <w:bodyDiv w:val="1"/>
      <w:marLeft w:val="0"/>
      <w:marRight w:val="0"/>
      <w:marTop w:val="0"/>
      <w:marBottom w:val="0"/>
      <w:divBdr>
        <w:top w:val="none" w:sz="0" w:space="0" w:color="auto"/>
        <w:left w:val="none" w:sz="0" w:space="0" w:color="auto"/>
        <w:bottom w:val="none" w:sz="0" w:space="0" w:color="auto"/>
        <w:right w:val="none" w:sz="0" w:space="0" w:color="auto"/>
      </w:divBdr>
    </w:div>
    <w:div w:id="938370591">
      <w:bodyDiv w:val="1"/>
      <w:marLeft w:val="0"/>
      <w:marRight w:val="0"/>
      <w:marTop w:val="0"/>
      <w:marBottom w:val="0"/>
      <w:divBdr>
        <w:top w:val="none" w:sz="0" w:space="0" w:color="auto"/>
        <w:left w:val="none" w:sz="0" w:space="0" w:color="auto"/>
        <w:bottom w:val="none" w:sz="0" w:space="0" w:color="auto"/>
        <w:right w:val="none" w:sz="0" w:space="0" w:color="auto"/>
      </w:divBdr>
    </w:div>
    <w:div w:id="939223239">
      <w:bodyDiv w:val="1"/>
      <w:marLeft w:val="0"/>
      <w:marRight w:val="0"/>
      <w:marTop w:val="0"/>
      <w:marBottom w:val="0"/>
      <w:divBdr>
        <w:top w:val="none" w:sz="0" w:space="0" w:color="auto"/>
        <w:left w:val="none" w:sz="0" w:space="0" w:color="auto"/>
        <w:bottom w:val="none" w:sz="0" w:space="0" w:color="auto"/>
        <w:right w:val="none" w:sz="0" w:space="0" w:color="auto"/>
      </w:divBdr>
    </w:div>
    <w:div w:id="939262952">
      <w:bodyDiv w:val="1"/>
      <w:marLeft w:val="0"/>
      <w:marRight w:val="0"/>
      <w:marTop w:val="0"/>
      <w:marBottom w:val="0"/>
      <w:divBdr>
        <w:top w:val="none" w:sz="0" w:space="0" w:color="auto"/>
        <w:left w:val="none" w:sz="0" w:space="0" w:color="auto"/>
        <w:bottom w:val="none" w:sz="0" w:space="0" w:color="auto"/>
        <w:right w:val="none" w:sz="0" w:space="0" w:color="auto"/>
      </w:divBdr>
    </w:div>
    <w:div w:id="939338427">
      <w:bodyDiv w:val="1"/>
      <w:marLeft w:val="0"/>
      <w:marRight w:val="0"/>
      <w:marTop w:val="0"/>
      <w:marBottom w:val="0"/>
      <w:divBdr>
        <w:top w:val="none" w:sz="0" w:space="0" w:color="auto"/>
        <w:left w:val="none" w:sz="0" w:space="0" w:color="auto"/>
        <w:bottom w:val="none" w:sz="0" w:space="0" w:color="auto"/>
        <w:right w:val="none" w:sz="0" w:space="0" w:color="auto"/>
      </w:divBdr>
    </w:div>
    <w:div w:id="939339446">
      <w:bodyDiv w:val="1"/>
      <w:marLeft w:val="0"/>
      <w:marRight w:val="0"/>
      <w:marTop w:val="0"/>
      <w:marBottom w:val="0"/>
      <w:divBdr>
        <w:top w:val="none" w:sz="0" w:space="0" w:color="auto"/>
        <w:left w:val="none" w:sz="0" w:space="0" w:color="auto"/>
        <w:bottom w:val="none" w:sz="0" w:space="0" w:color="auto"/>
        <w:right w:val="none" w:sz="0" w:space="0" w:color="auto"/>
      </w:divBdr>
    </w:div>
    <w:div w:id="939727956">
      <w:bodyDiv w:val="1"/>
      <w:marLeft w:val="0"/>
      <w:marRight w:val="0"/>
      <w:marTop w:val="0"/>
      <w:marBottom w:val="0"/>
      <w:divBdr>
        <w:top w:val="none" w:sz="0" w:space="0" w:color="auto"/>
        <w:left w:val="none" w:sz="0" w:space="0" w:color="auto"/>
        <w:bottom w:val="none" w:sz="0" w:space="0" w:color="auto"/>
        <w:right w:val="none" w:sz="0" w:space="0" w:color="auto"/>
      </w:divBdr>
    </w:div>
    <w:div w:id="940793536">
      <w:bodyDiv w:val="1"/>
      <w:marLeft w:val="0"/>
      <w:marRight w:val="0"/>
      <w:marTop w:val="0"/>
      <w:marBottom w:val="0"/>
      <w:divBdr>
        <w:top w:val="none" w:sz="0" w:space="0" w:color="auto"/>
        <w:left w:val="none" w:sz="0" w:space="0" w:color="auto"/>
        <w:bottom w:val="none" w:sz="0" w:space="0" w:color="auto"/>
        <w:right w:val="none" w:sz="0" w:space="0" w:color="auto"/>
      </w:divBdr>
    </w:div>
    <w:div w:id="941112653">
      <w:bodyDiv w:val="1"/>
      <w:marLeft w:val="0"/>
      <w:marRight w:val="0"/>
      <w:marTop w:val="0"/>
      <w:marBottom w:val="0"/>
      <w:divBdr>
        <w:top w:val="none" w:sz="0" w:space="0" w:color="auto"/>
        <w:left w:val="none" w:sz="0" w:space="0" w:color="auto"/>
        <w:bottom w:val="none" w:sz="0" w:space="0" w:color="auto"/>
        <w:right w:val="none" w:sz="0" w:space="0" w:color="auto"/>
      </w:divBdr>
    </w:div>
    <w:div w:id="941574846">
      <w:bodyDiv w:val="1"/>
      <w:marLeft w:val="0"/>
      <w:marRight w:val="0"/>
      <w:marTop w:val="0"/>
      <w:marBottom w:val="0"/>
      <w:divBdr>
        <w:top w:val="none" w:sz="0" w:space="0" w:color="auto"/>
        <w:left w:val="none" w:sz="0" w:space="0" w:color="auto"/>
        <w:bottom w:val="none" w:sz="0" w:space="0" w:color="auto"/>
        <w:right w:val="none" w:sz="0" w:space="0" w:color="auto"/>
      </w:divBdr>
    </w:div>
    <w:div w:id="941841323">
      <w:bodyDiv w:val="1"/>
      <w:marLeft w:val="0"/>
      <w:marRight w:val="0"/>
      <w:marTop w:val="0"/>
      <w:marBottom w:val="0"/>
      <w:divBdr>
        <w:top w:val="none" w:sz="0" w:space="0" w:color="auto"/>
        <w:left w:val="none" w:sz="0" w:space="0" w:color="auto"/>
        <w:bottom w:val="none" w:sz="0" w:space="0" w:color="auto"/>
        <w:right w:val="none" w:sz="0" w:space="0" w:color="auto"/>
      </w:divBdr>
    </w:div>
    <w:div w:id="942104103">
      <w:bodyDiv w:val="1"/>
      <w:marLeft w:val="0"/>
      <w:marRight w:val="0"/>
      <w:marTop w:val="0"/>
      <w:marBottom w:val="0"/>
      <w:divBdr>
        <w:top w:val="none" w:sz="0" w:space="0" w:color="auto"/>
        <w:left w:val="none" w:sz="0" w:space="0" w:color="auto"/>
        <w:bottom w:val="none" w:sz="0" w:space="0" w:color="auto"/>
        <w:right w:val="none" w:sz="0" w:space="0" w:color="auto"/>
      </w:divBdr>
    </w:div>
    <w:div w:id="942297722">
      <w:bodyDiv w:val="1"/>
      <w:marLeft w:val="0"/>
      <w:marRight w:val="0"/>
      <w:marTop w:val="0"/>
      <w:marBottom w:val="0"/>
      <w:divBdr>
        <w:top w:val="none" w:sz="0" w:space="0" w:color="auto"/>
        <w:left w:val="none" w:sz="0" w:space="0" w:color="auto"/>
        <w:bottom w:val="none" w:sz="0" w:space="0" w:color="auto"/>
        <w:right w:val="none" w:sz="0" w:space="0" w:color="auto"/>
      </w:divBdr>
    </w:div>
    <w:div w:id="942570324">
      <w:bodyDiv w:val="1"/>
      <w:marLeft w:val="0"/>
      <w:marRight w:val="0"/>
      <w:marTop w:val="0"/>
      <w:marBottom w:val="0"/>
      <w:divBdr>
        <w:top w:val="none" w:sz="0" w:space="0" w:color="auto"/>
        <w:left w:val="none" w:sz="0" w:space="0" w:color="auto"/>
        <w:bottom w:val="none" w:sz="0" w:space="0" w:color="auto"/>
        <w:right w:val="none" w:sz="0" w:space="0" w:color="auto"/>
      </w:divBdr>
    </w:div>
    <w:div w:id="942689325">
      <w:bodyDiv w:val="1"/>
      <w:marLeft w:val="0"/>
      <w:marRight w:val="0"/>
      <w:marTop w:val="0"/>
      <w:marBottom w:val="0"/>
      <w:divBdr>
        <w:top w:val="none" w:sz="0" w:space="0" w:color="auto"/>
        <w:left w:val="none" w:sz="0" w:space="0" w:color="auto"/>
        <w:bottom w:val="none" w:sz="0" w:space="0" w:color="auto"/>
        <w:right w:val="none" w:sz="0" w:space="0" w:color="auto"/>
      </w:divBdr>
    </w:div>
    <w:div w:id="943149314">
      <w:bodyDiv w:val="1"/>
      <w:marLeft w:val="0"/>
      <w:marRight w:val="0"/>
      <w:marTop w:val="0"/>
      <w:marBottom w:val="0"/>
      <w:divBdr>
        <w:top w:val="none" w:sz="0" w:space="0" w:color="auto"/>
        <w:left w:val="none" w:sz="0" w:space="0" w:color="auto"/>
        <w:bottom w:val="none" w:sz="0" w:space="0" w:color="auto"/>
        <w:right w:val="none" w:sz="0" w:space="0" w:color="auto"/>
      </w:divBdr>
    </w:div>
    <w:div w:id="944077258">
      <w:bodyDiv w:val="1"/>
      <w:marLeft w:val="0"/>
      <w:marRight w:val="0"/>
      <w:marTop w:val="0"/>
      <w:marBottom w:val="0"/>
      <w:divBdr>
        <w:top w:val="none" w:sz="0" w:space="0" w:color="auto"/>
        <w:left w:val="none" w:sz="0" w:space="0" w:color="auto"/>
        <w:bottom w:val="none" w:sz="0" w:space="0" w:color="auto"/>
        <w:right w:val="none" w:sz="0" w:space="0" w:color="auto"/>
      </w:divBdr>
    </w:div>
    <w:div w:id="944115515">
      <w:bodyDiv w:val="1"/>
      <w:marLeft w:val="0"/>
      <w:marRight w:val="0"/>
      <w:marTop w:val="0"/>
      <w:marBottom w:val="0"/>
      <w:divBdr>
        <w:top w:val="none" w:sz="0" w:space="0" w:color="auto"/>
        <w:left w:val="none" w:sz="0" w:space="0" w:color="auto"/>
        <w:bottom w:val="none" w:sz="0" w:space="0" w:color="auto"/>
        <w:right w:val="none" w:sz="0" w:space="0" w:color="auto"/>
      </w:divBdr>
    </w:div>
    <w:div w:id="944195067">
      <w:bodyDiv w:val="1"/>
      <w:marLeft w:val="0"/>
      <w:marRight w:val="0"/>
      <w:marTop w:val="0"/>
      <w:marBottom w:val="0"/>
      <w:divBdr>
        <w:top w:val="none" w:sz="0" w:space="0" w:color="auto"/>
        <w:left w:val="none" w:sz="0" w:space="0" w:color="auto"/>
        <w:bottom w:val="none" w:sz="0" w:space="0" w:color="auto"/>
        <w:right w:val="none" w:sz="0" w:space="0" w:color="auto"/>
      </w:divBdr>
    </w:div>
    <w:div w:id="944266430">
      <w:bodyDiv w:val="1"/>
      <w:marLeft w:val="0"/>
      <w:marRight w:val="0"/>
      <w:marTop w:val="0"/>
      <w:marBottom w:val="0"/>
      <w:divBdr>
        <w:top w:val="none" w:sz="0" w:space="0" w:color="auto"/>
        <w:left w:val="none" w:sz="0" w:space="0" w:color="auto"/>
        <w:bottom w:val="none" w:sz="0" w:space="0" w:color="auto"/>
        <w:right w:val="none" w:sz="0" w:space="0" w:color="auto"/>
      </w:divBdr>
    </w:div>
    <w:div w:id="945117486">
      <w:bodyDiv w:val="1"/>
      <w:marLeft w:val="0"/>
      <w:marRight w:val="0"/>
      <w:marTop w:val="0"/>
      <w:marBottom w:val="0"/>
      <w:divBdr>
        <w:top w:val="none" w:sz="0" w:space="0" w:color="auto"/>
        <w:left w:val="none" w:sz="0" w:space="0" w:color="auto"/>
        <w:bottom w:val="none" w:sz="0" w:space="0" w:color="auto"/>
        <w:right w:val="none" w:sz="0" w:space="0" w:color="auto"/>
      </w:divBdr>
    </w:div>
    <w:div w:id="945424554">
      <w:bodyDiv w:val="1"/>
      <w:marLeft w:val="0"/>
      <w:marRight w:val="0"/>
      <w:marTop w:val="0"/>
      <w:marBottom w:val="0"/>
      <w:divBdr>
        <w:top w:val="none" w:sz="0" w:space="0" w:color="auto"/>
        <w:left w:val="none" w:sz="0" w:space="0" w:color="auto"/>
        <w:bottom w:val="none" w:sz="0" w:space="0" w:color="auto"/>
        <w:right w:val="none" w:sz="0" w:space="0" w:color="auto"/>
      </w:divBdr>
    </w:div>
    <w:div w:id="945651399">
      <w:bodyDiv w:val="1"/>
      <w:marLeft w:val="0"/>
      <w:marRight w:val="0"/>
      <w:marTop w:val="0"/>
      <w:marBottom w:val="0"/>
      <w:divBdr>
        <w:top w:val="none" w:sz="0" w:space="0" w:color="auto"/>
        <w:left w:val="none" w:sz="0" w:space="0" w:color="auto"/>
        <w:bottom w:val="none" w:sz="0" w:space="0" w:color="auto"/>
        <w:right w:val="none" w:sz="0" w:space="0" w:color="auto"/>
      </w:divBdr>
    </w:div>
    <w:div w:id="946503464">
      <w:bodyDiv w:val="1"/>
      <w:marLeft w:val="0"/>
      <w:marRight w:val="0"/>
      <w:marTop w:val="0"/>
      <w:marBottom w:val="0"/>
      <w:divBdr>
        <w:top w:val="none" w:sz="0" w:space="0" w:color="auto"/>
        <w:left w:val="none" w:sz="0" w:space="0" w:color="auto"/>
        <w:bottom w:val="none" w:sz="0" w:space="0" w:color="auto"/>
        <w:right w:val="none" w:sz="0" w:space="0" w:color="auto"/>
      </w:divBdr>
    </w:div>
    <w:div w:id="946547783">
      <w:bodyDiv w:val="1"/>
      <w:marLeft w:val="0"/>
      <w:marRight w:val="0"/>
      <w:marTop w:val="0"/>
      <w:marBottom w:val="0"/>
      <w:divBdr>
        <w:top w:val="none" w:sz="0" w:space="0" w:color="auto"/>
        <w:left w:val="none" w:sz="0" w:space="0" w:color="auto"/>
        <w:bottom w:val="none" w:sz="0" w:space="0" w:color="auto"/>
        <w:right w:val="none" w:sz="0" w:space="0" w:color="auto"/>
      </w:divBdr>
    </w:div>
    <w:div w:id="946700197">
      <w:bodyDiv w:val="1"/>
      <w:marLeft w:val="0"/>
      <w:marRight w:val="0"/>
      <w:marTop w:val="0"/>
      <w:marBottom w:val="0"/>
      <w:divBdr>
        <w:top w:val="none" w:sz="0" w:space="0" w:color="auto"/>
        <w:left w:val="none" w:sz="0" w:space="0" w:color="auto"/>
        <w:bottom w:val="none" w:sz="0" w:space="0" w:color="auto"/>
        <w:right w:val="none" w:sz="0" w:space="0" w:color="auto"/>
      </w:divBdr>
    </w:div>
    <w:div w:id="946814166">
      <w:bodyDiv w:val="1"/>
      <w:marLeft w:val="0"/>
      <w:marRight w:val="0"/>
      <w:marTop w:val="0"/>
      <w:marBottom w:val="0"/>
      <w:divBdr>
        <w:top w:val="none" w:sz="0" w:space="0" w:color="auto"/>
        <w:left w:val="none" w:sz="0" w:space="0" w:color="auto"/>
        <w:bottom w:val="none" w:sz="0" w:space="0" w:color="auto"/>
        <w:right w:val="none" w:sz="0" w:space="0" w:color="auto"/>
      </w:divBdr>
    </w:div>
    <w:div w:id="947127716">
      <w:bodyDiv w:val="1"/>
      <w:marLeft w:val="0"/>
      <w:marRight w:val="0"/>
      <w:marTop w:val="0"/>
      <w:marBottom w:val="0"/>
      <w:divBdr>
        <w:top w:val="none" w:sz="0" w:space="0" w:color="auto"/>
        <w:left w:val="none" w:sz="0" w:space="0" w:color="auto"/>
        <w:bottom w:val="none" w:sz="0" w:space="0" w:color="auto"/>
        <w:right w:val="none" w:sz="0" w:space="0" w:color="auto"/>
      </w:divBdr>
    </w:div>
    <w:div w:id="947273949">
      <w:bodyDiv w:val="1"/>
      <w:marLeft w:val="0"/>
      <w:marRight w:val="0"/>
      <w:marTop w:val="0"/>
      <w:marBottom w:val="0"/>
      <w:divBdr>
        <w:top w:val="none" w:sz="0" w:space="0" w:color="auto"/>
        <w:left w:val="none" w:sz="0" w:space="0" w:color="auto"/>
        <w:bottom w:val="none" w:sz="0" w:space="0" w:color="auto"/>
        <w:right w:val="none" w:sz="0" w:space="0" w:color="auto"/>
      </w:divBdr>
    </w:div>
    <w:div w:id="948049483">
      <w:bodyDiv w:val="1"/>
      <w:marLeft w:val="0"/>
      <w:marRight w:val="0"/>
      <w:marTop w:val="0"/>
      <w:marBottom w:val="0"/>
      <w:divBdr>
        <w:top w:val="none" w:sz="0" w:space="0" w:color="auto"/>
        <w:left w:val="none" w:sz="0" w:space="0" w:color="auto"/>
        <w:bottom w:val="none" w:sz="0" w:space="0" w:color="auto"/>
        <w:right w:val="none" w:sz="0" w:space="0" w:color="auto"/>
      </w:divBdr>
    </w:div>
    <w:div w:id="948314988">
      <w:bodyDiv w:val="1"/>
      <w:marLeft w:val="0"/>
      <w:marRight w:val="0"/>
      <w:marTop w:val="0"/>
      <w:marBottom w:val="0"/>
      <w:divBdr>
        <w:top w:val="none" w:sz="0" w:space="0" w:color="auto"/>
        <w:left w:val="none" w:sz="0" w:space="0" w:color="auto"/>
        <w:bottom w:val="none" w:sz="0" w:space="0" w:color="auto"/>
        <w:right w:val="none" w:sz="0" w:space="0" w:color="auto"/>
      </w:divBdr>
    </w:div>
    <w:div w:id="948509971">
      <w:bodyDiv w:val="1"/>
      <w:marLeft w:val="0"/>
      <w:marRight w:val="0"/>
      <w:marTop w:val="0"/>
      <w:marBottom w:val="0"/>
      <w:divBdr>
        <w:top w:val="none" w:sz="0" w:space="0" w:color="auto"/>
        <w:left w:val="none" w:sz="0" w:space="0" w:color="auto"/>
        <w:bottom w:val="none" w:sz="0" w:space="0" w:color="auto"/>
        <w:right w:val="none" w:sz="0" w:space="0" w:color="auto"/>
      </w:divBdr>
    </w:div>
    <w:div w:id="948589288">
      <w:bodyDiv w:val="1"/>
      <w:marLeft w:val="0"/>
      <w:marRight w:val="0"/>
      <w:marTop w:val="0"/>
      <w:marBottom w:val="0"/>
      <w:divBdr>
        <w:top w:val="none" w:sz="0" w:space="0" w:color="auto"/>
        <w:left w:val="none" w:sz="0" w:space="0" w:color="auto"/>
        <w:bottom w:val="none" w:sz="0" w:space="0" w:color="auto"/>
        <w:right w:val="none" w:sz="0" w:space="0" w:color="auto"/>
      </w:divBdr>
    </w:div>
    <w:div w:id="948900077">
      <w:bodyDiv w:val="1"/>
      <w:marLeft w:val="0"/>
      <w:marRight w:val="0"/>
      <w:marTop w:val="0"/>
      <w:marBottom w:val="0"/>
      <w:divBdr>
        <w:top w:val="none" w:sz="0" w:space="0" w:color="auto"/>
        <w:left w:val="none" w:sz="0" w:space="0" w:color="auto"/>
        <w:bottom w:val="none" w:sz="0" w:space="0" w:color="auto"/>
        <w:right w:val="none" w:sz="0" w:space="0" w:color="auto"/>
      </w:divBdr>
    </w:div>
    <w:div w:id="948969574">
      <w:bodyDiv w:val="1"/>
      <w:marLeft w:val="0"/>
      <w:marRight w:val="0"/>
      <w:marTop w:val="0"/>
      <w:marBottom w:val="0"/>
      <w:divBdr>
        <w:top w:val="none" w:sz="0" w:space="0" w:color="auto"/>
        <w:left w:val="none" w:sz="0" w:space="0" w:color="auto"/>
        <w:bottom w:val="none" w:sz="0" w:space="0" w:color="auto"/>
        <w:right w:val="none" w:sz="0" w:space="0" w:color="auto"/>
      </w:divBdr>
    </w:div>
    <w:div w:id="948976998">
      <w:bodyDiv w:val="1"/>
      <w:marLeft w:val="0"/>
      <w:marRight w:val="0"/>
      <w:marTop w:val="0"/>
      <w:marBottom w:val="0"/>
      <w:divBdr>
        <w:top w:val="none" w:sz="0" w:space="0" w:color="auto"/>
        <w:left w:val="none" w:sz="0" w:space="0" w:color="auto"/>
        <w:bottom w:val="none" w:sz="0" w:space="0" w:color="auto"/>
        <w:right w:val="none" w:sz="0" w:space="0" w:color="auto"/>
      </w:divBdr>
    </w:div>
    <w:div w:id="949093137">
      <w:bodyDiv w:val="1"/>
      <w:marLeft w:val="0"/>
      <w:marRight w:val="0"/>
      <w:marTop w:val="0"/>
      <w:marBottom w:val="0"/>
      <w:divBdr>
        <w:top w:val="none" w:sz="0" w:space="0" w:color="auto"/>
        <w:left w:val="none" w:sz="0" w:space="0" w:color="auto"/>
        <w:bottom w:val="none" w:sz="0" w:space="0" w:color="auto"/>
        <w:right w:val="none" w:sz="0" w:space="0" w:color="auto"/>
      </w:divBdr>
    </w:div>
    <w:div w:id="949094174">
      <w:bodyDiv w:val="1"/>
      <w:marLeft w:val="0"/>
      <w:marRight w:val="0"/>
      <w:marTop w:val="0"/>
      <w:marBottom w:val="0"/>
      <w:divBdr>
        <w:top w:val="none" w:sz="0" w:space="0" w:color="auto"/>
        <w:left w:val="none" w:sz="0" w:space="0" w:color="auto"/>
        <w:bottom w:val="none" w:sz="0" w:space="0" w:color="auto"/>
        <w:right w:val="none" w:sz="0" w:space="0" w:color="auto"/>
      </w:divBdr>
    </w:div>
    <w:div w:id="949437028">
      <w:bodyDiv w:val="1"/>
      <w:marLeft w:val="0"/>
      <w:marRight w:val="0"/>
      <w:marTop w:val="0"/>
      <w:marBottom w:val="0"/>
      <w:divBdr>
        <w:top w:val="none" w:sz="0" w:space="0" w:color="auto"/>
        <w:left w:val="none" w:sz="0" w:space="0" w:color="auto"/>
        <w:bottom w:val="none" w:sz="0" w:space="0" w:color="auto"/>
        <w:right w:val="none" w:sz="0" w:space="0" w:color="auto"/>
      </w:divBdr>
    </w:div>
    <w:div w:id="949748056">
      <w:bodyDiv w:val="1"/>
      <w:marLeft w:val="0"/>
      <w:marRight w:val="0"/>
      <w:marTop w:val="0"/>
      <w:marBottom w:val="0"/>
      <w:divBdr>
        <w:top w:val="none" w:sz="0" w:space="0" w:color="auto"/>
        <w:left w:val="none" w:sz="0" w:space="0" w:color="auto"/>
        <w:bottom w:val="none" w:sz="0" w:space="0" w:color="auto"/>
        <w:right w:val="none" w:sz="0" w:space="0" w:color="auto"/>
      </w:divBdr>
    </w:div>
    <w:div w:id="950012909">
      <w:bodyDiv w:val="1"/>
      <w:marLeft w:val="0"/>
      <w:marRight w:val="0"/>
      <w:marTop w:val="0"/>
      <w:marBottom w:val="0"/>
      <w:divBdr>
        <w:top w:val="none" w:sz="0" w:space="0" w:color="auto"/>
        <w:left w:val="none" w:sz="0" w:space="0" w:color="auto"/>
        <w:bottom w:val="none" w:sz="0" w:space="0" w:color="auto"/>
        <w:right w:val="none" w:sz="0" w:space="0" w:color="auto"/>
      </w:divBdr>
    </w:div>
    <w:div w:id="950013683">
      <w:bodyDiv w:val="1"/>
      <w:marLeft w:val="0"/>
      <w:marRight w:val="0"/>
      <w:marTop w:val="0"/>
      <w:marBottom w:val="0"/>
      <w:divBdr>
        <w:top w:val="none" w:sz="0" w:space="0" w:color="auto"/>
        <w:left w:val="none" w:sz="0" w:space="0" w:color="auto"/>
        <w:bottom w:val="none" w:sz="0" w:space="0" w:color="auto"/>
        <w:right w:val="none" w:sz="0" w:space="0" w:color="auto"/>
      </w:divBdr>
    </w:div>
    <w:div w:id="950674177">
      <w:bodyDiv w:val="1"/>
      <w:marLeft w:val="0"/>
      <w:marRight w:val="0"/>
      <w:marTop w:val="0"/>
      <w:marBottom w:val="0"/>
      <w:divBdr>
        <w:top w:val="none" w:sz="0" w:space="0" w:color="auto"/>
        <w:left w:val="none" w:sz="0" w:space="0" w:color="auto"/>
        <w:bottom w:val="none" w:sz="0" w:space="0" w:color="auto"/>
        <w:right w:val="none" w:sz="0" w:space="0" w:color="auto"/>
      </w:divBdr>
    </w:div>
    <w:div w:id="951670460">
      <w:bodyDiv w:val="1"/>
      <w:marLeft w:val="0"/>
      <w:marRight w:val="0"/>
      <w:marTop w:val="0"/>
      <w:marBottom w:val="0"/>
      <w:divBdr>
        <w:top w:val="none" w:sz="0" w:space="0" w:color="auto"/>
        <w:left w:val="none" w:sz="0" w:space="0" w:color="auto"/>
        <w:bottom w:val="none" w:sz="0" w:space="0" w:color="auto"/>
        <w:right w:val="none" w:sz="0" w:space="0" w:color="auto"/>
      </w:divBdr>
    </w:div>
    <w:div w:id="951743058">
      <w:bodyDiv w:val="1"/>
      <w:marLeft w:val="0"/>
      <w:marRight w:val="0"/>
      <w:marTop w:val="0"/>
      <w:marBottom w:val="0"/>
      <w:divBdr>
        <w:top w:val="none" w:sz="0" w:space="0" w:color="auto"/>
        <w:left w:val="none" w:sz="0" w:space="0" w:color="auto"/>
        <w:bottom w:val="none" w:sz="0" w:space="0" w:color="auto"/>
        <w:right w:val="none" w:sz="0" w:space="0" w:color="auto"/>
      </w:divBdr>
    </w:div>
    <w:div w:id="951790448">
      <w:bodyDiv w:val="1"/>
      <w:marLeft w:val="0"/>
      <w:marRight w:val="0"/>
      <w:marTop w:val="0"/>
      <w:marBottom w:val="0"/>
      <w:divBdr>
        <w:top w:val="none" w:sz="0" w:space="0" w:color="auto"/>
        <w:left w:val="none" w:sz="0" w:space="0" w:color="auto"/>
        <w:bottom w:val="none" w:sz="0" w:space="0" w:color="auto"/>
        <w:right w:val="none" w:sz="0" w:space="0" w:color="auto"/>
      </w:divBdr>
    </w:div>
    <w:div w:id="952175615">
      <w:bodyDiv w:val="1"/>
      <w:marLeft w:val="0"/>
      <w:marRight w:val="0"/>
      <w:marTop w:val="0"/>
      <w:marBottom w:val="0"/>
      <w:divBdr>
        <w:top w:val="none" w:sz="0" w:space="0" w:color="auto"/>
        <w:left w:val="none" w:sz="0" w:space="0" w:color="auto"/>
        <w:bottom w:val="none" w:sz="0" w:space="0" w:color="auto"/>
        <w:right w:val="none" w:sz="0" w:space="0" w:color="auto"/>
      </w:divBdr>
    </w:div>
    <w:div w:id="953100812">
      <w:bodyDiv w:val="1"/>
      <w:marLeft w:val="0"/>
      <w:marRight w:val="0"/>
      <w:marTop w:val="0"/>
      <w:marBottom w:val="0"/>
      <w:divBdr>
        <w:top w:val="none" w:sz="0" w:space="0" w:color="auto"/>
        <w:left w:val="none" w:sz="0" w:space="0" w:color="auto"/>
        <w:bottom w:val="none" w:sz="0" w:space="0" w:color="auto"/>
        <w:right w:val="none" w:sz="0" w:space="0" w:color="auto"/>
      </w:divBdr>
    </w:div>
    <w:div w:id="953709332">
      <w:bodyDiv w:val="1"/>
      <w:marLeft w:val="0"/>
      <w:marRight w:val="0"/>
      <w:marTop w:val="0"/>
      <w:marBottom w:val="0"/>
      <w:divBdr>
        <w:top w:val="none" w:sz="0" w:space="0" w:color="auto"/>
        <w:left w:val="none" w:sz="0" w:space="0" w:color="auto"/>
        <w:bottom w:val="none" w:sz="0" w:space="0" w:color="auto"/>
        <w:right w:val="none" w:sz="0" w:space="0" w:color="auto"/>
      </w:divBdr>
    </w:div>
    <w:div w:id="953905646">
      <w:bodyDiv w:val="1"/>
      <w:marLeft w:val="0"/>
      <w:marRight w:val="0"/>
      <w:marTop w:val="0"/>
      <w:marBottom w:val="0"/>
      <w:divBdr>
        <w:top w:val="none" w:sz="0" w:space="0" w:color="auto"/>
        <w:left w:val="none" w:sz="0" w:space="0" w:color="auto"/>
        <w:bottom w:val="none" w:sz="0" w:space="0" w:color="auto"/>
        <w:right w:val="none" w:sz="0" w:space="0" w:color="auto"/>
      </w:divBdr>
    </w:div>
    <w:div w:id="954096847">
      <w:bodyDiv w:val="1"/>
      <w:marLeft w:val="0"/>
      <w:marRight w:val="0"/>
      <w:marTop w:val="0"/>
      <w:marBottom w:val="0"/>
      <w:divBdr>
        <w:top w:val="none" w:sz="0" w:space="0" w:color="auto"/>
        <w:left w:val="none" w:sz="0" w:space="0" w:color="auto"/>
        <w:bottom w:val="none" w:sz="0" w:space="0" w:color="auto"/>
        <w:right w:val="none" w:sz="0" w:space="0" w:color="auto"/>
      </w:divBdr>
    </w:div>
    <w:div w:id="954407084">
      <w:bodyDiv w:val="1"/>
      <w:marLeft w:val="0"/>
      <w:marRight w:val="0"/>
      <w:marTop w:val="0"/>
      <w:marBottom w:val="0"/>
      <w:divBdr>
        <w:top w:val="none" w:sz="0" w:space="0" w:color="auto"/>
        <w:left w:val="none" w:sz="0" w:space="0" w:color="auto"/>
        <w:bottom w:val="none" w:sz="0" w:space="0" w:color="auto"/>
        <w:right w:val="none" w:sz="0" w:space="0" w:color="auto"/>
      </w:divBdr>
    </w:div>
    <w:div w:id="954948436">
      <w:bodyDiv w:val="1"/>
      <w:marLeft w:val="0"/>
      <w:marRight w:val="0"/>
      <w:marTop w:val="0"/>
      <w:marBottom w:val="0"/>
      <w:divBdr>
        <w:top w:val="none" w:sz="0" w:space="0" w:color="auto"/>
        <w:left w:val="none" w:sz="0" w:space="0" w:color="auto"/>
        <w:bottom w:val="none" w:sz="0" w:space="0" w:color="auto"/>
        <w:right w:val="none" w:sz="0" w:space="0" w:color="auto"/>
      </w:divBdr>
    </w:div>
    <w:div w:id="955212277">
      <w:bodyDiv w:val="1"/>
      <w:marLeft w:val="0"/>
      <w:marRight w:val="0"/>
      <w:marTop w:val="0"/>
      <w:marBottom w:val="0"/>
      <w:divBdr>
        <w:top w:val="none" w:sz="0" w:space="0" w:color="auto"/>
        <w:left w:val="none" w:sz="0" w:space="0" w:color="auto"/>
        <w:bottom w:val="none" w:sz="0" w:space="0" w:color="auto"/>
        <w:right w:val="none" w:sz="0" w:space="0" w:color="auto"/>
      </w:divBdr>
    </w:div>
    <w:div w:id="955450645">
      <w:bodyDiv w:val="1"/>
      <w:marLeft w:val="0"/>
      <w:marRight w:val="0"/>
      <w:marTop w:val="0"/>
      <w:marBottom w:val="0"/>
      <w:divBdr>
        <w:top w:val="none" w:sz="0" w:space="0" w:color="auto"/>
        <w:left w:val="none" w:sz="0" w:space="0" w:color="auto"/>
        <w:bottom w:val="none" w:sz="0" w:space="0" w:color="auto"/>
        <w:right w:val="none" w:sz="0" w:space="0" w:color="auto"/>
      </w:divBdr>
    </w:div>
    <w:div w:id="955601041">
      <w:bodyDiv w:val="1"/>
      <w:marLeft w:val="0"/>
      <w:marRight w:val="0"/>
      <w:marTop w:val="0"/>
      <w:marBottom w:val="0"/>
      <w:divBdr>
        <w:top w:val="none" w:sz="0" w:space="0" w:color="auto"/>
        <w:left w:val="none" w:sz="0" w:space="0" w:color="auto"/>
        <w:bottom w:val="none" w:sz="0" w:space="0" w:color="auto"/>
        <w:right w:val="none" w:sz="0" w:space="0" w:color="auto"/>
      </w:divBdr>
    </w:div>
    <w:div w:id="955721557">
      <w:bodyDiv w:val="1"/>
      <w:marLeft w:val="0"/>
      <w:marRight w:val="0"/>
      <w:marTop w:val="0"/>
      <w:marBottom w:val="0"/>
      <w:divBdr>
        <w:top w:val="none" w:sz="0" w:space="0" w:color="auto"/>
        <w:left w:val="none" w:sz="0" w:space="0" w:color="auto"/>
        <w:bottom w:val="none" w:sz="0" w:space="0" w:color="auto"/>
        <w:right w:val="none" w:sz="0" w:space="0" w:color="auto"/>
      </w:divBdr>
    </w:div>
    <w:div w:id="955791104">
      <w:bodyDiv w:val="1"/>
      <w:marLeft w:val="0"/>
      <w:marRight w:val="0"/>
      <w:marTop w:val="0"/>
      <w:marBottom w:val="0"/>
      <w:divBdr>
        <w:top w:val="none" w:sz="0" w:space="0" w:color="auto"/>
        <w:left w:val="none" w:sz="0" w:space="0" w:color="auto"/>
        <w:bottom w:val="none" w:sz="0" w:space="0" w:color="auto"/>
        <w:right w:val="none" w:sz="0" w:space="0" w:color="auto"/>
      </w:divBdr>
    </w:div>
    <w:div w:id="955872809">
      <w:bodyDiv w:val="1"/>
      <w:marLeft w:val="0"/>
      <w:marRight w:val="0"/>
      <w:marTop w:val="0"/>
      <w:marBottom w:val="0"/>
      <w:divBdr>
        <w:top w:val="none" w:sz="0" w:space="0" w:color="auto"/>
        <w:left w:val="none" w:sz="0" w:space="0" w:color="auto"/>
        <w:bottom w:val="none" w:sz="0" w:space="0" w:color="auto"/>
        <w:right w:val="none" w:sz="0" w:space="0" w:color="auto"/>
      </w:divBdr>
    </w:div>
    <w:div w:id="956254388">
      <w:bodyDiv w:val="1"/>
      <w:marLeft w:val="0"/>
      <w:marRight w:val="0"/>
      <w:marTop w:val="0"/>
      <w:marBottom w:val="0"/>
      <w:divBdr>
        <w:top w:val="none" w:sz="0" w:space="0" w:color="auto"/>
        <w:left w:val="none" w:sz="0" w:space="0" w:color="auto"/>
        <w:bottom w:val="none" w:sz="0" w:space="0" w:color="auto"/>
        <w:right w:val="none" w:sz="0" w:space="0" w:color="auto"/>
      </w:divBdr>
    </w:div>
    <w:div w:id="956260416">
      <w:bodyDiv w:val="1"/>
      <w:marLeft w:val="0"/>
      <w:marRight w:val="0"/>
      <w:marTop w:val="0"/>
      <w:marBottom w:val="0"/>
      <w:divBdr>
        <w:top w:val="none" w:sz="0" w:space="0" w:color="auto"/>
        <w:left w:val="none" w:sz="0" w:space="0" w:color="auto"/>
        <w:bottom w:val="none" w:sz="0" w:space="0" w:color="auto"/>
        <w:right w:val="none" w:sz="0" w:space="0" w:color="auto"/>
      </w:divBdr>
    </w:div>
    <w:div w:id="956375662">
      <w:bodyDiv w:val="1"/>
      <w:marLeft w:val="0"/>
      <w:marRight w:val="0"/>
      <w:marTop w:val="0"/>
      <w:marBottom w:val="0"/>
      <w:divBdr>
        <w:top w:val="none" w:sz="0" w:space="0" w:color="auto"/>
        <w:left w:val="none" w:sz="0" w:space="0" w:color="auto"/>
        <w:bottom w:val="none" w:sz="0" w:space="0" w:color="auto"/>
        <w:right w:val="none" w:sz="0" w:space="0" w:color="auto"/>
      </w:divBdr>
    </w:div>
    <w:div w:id="956444801">
      <w:bodyDiv w:val="1"/>
      <w:marLeft w:val="0"/>
      <w:marRight w:val="0"/>
      <w:marTop w:val="0"/>
      <w:marBottom w:val="0"/>
      <w:divBdr>
        <w:top w:val="none" w:sz="0" w:space="0" w:color="auto"/>
        <w:left w:val="none" w:sz="0" w:space="0" w:color="auto"/>
        <w:bottom w:val="none" w:sz="0" w:space="0" w:color="auto"/>
        <w:right w:val="none" w:sz="0" w:space="0" w:color="auto"/>
      </w:divBdr>
    </w:div>
    <w:div w:id="956522286">
      <w:bodyDiv w:val="1"/>
      <w:marLeft w:val="0"/>
      <w:marRight w:val="0"/>
      <w:marTop w:val="0"/>
      <w:marBottom w:val="0"/>
      <w:divBdr>
        <w:top w:val="none" w:sz="0" w:space="0" w:color="auto"/>
        <w:left w:val="none" w:sz="0" w:space="0" w:color="auto"/>
        <w:bottom w:val="none" w:sz="0" w:space="0" w:color="auto"/>
        <w:right w:val="none" w:sz="0" w:space="0" w:color="auto"/>
      </w:divBdr>
    </w:div>
    <w:div w:id="957033098">
      <w:bodyDiv w:val="1"/>
      <w:marLeft w:val="0"/>
      <w:marRight w:val="0"/>
      <w:marTop w:val="0"/>
      <w:marBottom w:val="0"/>
      <w:divBdr>
        <w:top w:val="none" w:sz="0" w:space="0" w:color="auto"/>
        <w:left w:val="none" w:sz="0" w:space="0" w:color="auto"/>
        <w:bottom w:val="none" w:sz="0" w:space="0" w:color="auto"/>
        <w:right w:val="none" w:sz="0" w:space="0" w:color="auto"/>
      </w:divBdr>
    </w:div>
    <w:div w:id="957371275">
      <w:bodyDiv w:val="1"/>
      <w:marLeft w:val="0"/>
      <w:marRight w:val="0"/>
      <w:marTop w:val="0"/>
      <w:marBottom w:val="0"/>
      <w:divBdr>
        <w:top w:val="none" w:sz="0" w:space="0" w:color="auto"/>
        <w:left w:val="none" w:sz="0" w:space="0" w:color="auto"/>
        <w:bottom w:val="none" w:sz="0" w:space="0" w:color="auto"/>
        <w:right w:val="none" w:sz="0" w:space="0" w:color="auto"/>
      </w:divBdr>
    </w:div>
    <w:div w:id="957837805">
      <w:bodyDiv w:val="1"/>
      <w:marLeft w:val="0"/>
      <w:marRight w:val="0"/>
      <w:marTop w:val="0"/>
      <w:marBottom w:val="0"/>
      <w:divBdr>
        <w:top w:val="none" w:sz="0" w:space="0" w:color="auto"/>
        <w:left w:val="none" w:sz="0" w:space="0" w:color="auto"/>
        <w:bottom w:val="none" w:sz="0" w:space="0" w:color="auto"/>
        <w:right w:val="none" w:sz="0" w:space="0" w:color="auto"/>
      </w:divBdr>
    </w:div>
    <w:div w:id="958026512">
      <w:bodyDiv w:val="1"/>
      <w:marLeft w:val="0"/>
      <w:marRight w:val="0"/>
      <w:marTop w:val="0"/>
      <w:marBottom w:val="0"/>
      <w:divBdr>
        <w:top w:val="none" w:sz="0" w:space="0" w:color="auto"/>
        <w:left w:val="none" w:sz="0" w:space="0" w:color="auto"/>
        <w:bottom w:val="none" w:sz="0" w:space="0" w:color="auto"/>
        <w:right w:val="none" w:sz="0" w:space="0" w:color="auto"/>
      </w:divBdr>
    </w:div>
    <w:div w:id="958611837">
      <w:bodyDiv w:val="1"/>
      <w:marLeft w:val="0"/>
      <w:marRight w:val="0"/>
      <w:marTop w:val="0"/>
      <w:marBottom w:val="0"/>
      <w:divBdr>
        <w:top w:val="none" w:sz="0" w:space="0" w:color="auto"/>
        <w:left w:val="none" w:sz="0" w:space="0" w:color="auto"/>
        <w:bottom w:val="none" w:sz="0" w:space="0" w:color="auto"/>
        <w:right w:val="none" w:sz="0" w:space="0" w:color="auto"/>
      </w:divBdr>
    </w:div>
    <w:div w:id="958683602">
      <w:bodyDiv w:val="1"/>
      <w:marLeft w:val="0"/>
      <w:marRight w:val="0"/>
      <w:marTop w:val="0"/>
      <w:marBottom w:val="0"/>
      <w:divBdr>
        <w:top w:val="none" w:sz="0" w:space="0" w:color="auto"/>
        <w:left w:val="none" w:sz="0" w:space="0" w:color="auto"/>
        <w:bottom w:val="none" w:sz="0" w:space="0" w:color="auto"/>
        <w:right w:val="none" w:sz="0" w:space="0" w:color="auto"/>
      </w:divBdr>
    </w:div>
    <w:div w:id="959261829">
      <w:bodyDiv w:val="1"/>
      <w:marLeft w:val="0"/>
      <w:marRight w:val="0"/>
      <w:marTop w:val="0"/>
      <w:marBottom w:val="0"/>
      <w:divBdr>
        <w:top w:val="none" w:sz="0" w:space="0" w:color="auto"/>
        <w:left w:val="none" w:sz="0" w:space="0" w:color="auto"/>
        <w:bottom w:val="none" w:sz="0" w:space="0" w:color="auto"/>
        <w:right w:val="none" w:sz="0" w:space="0" w:color="auto"/>
      </w:divBdr>
    </w:div>
    <w:div w:id="959409442">
      <w:bodyDiv w:val="1"/>
      <w:marLeft w:val="0"/>
      <w:marRight w:val="0"/>
      <w:marTop w:val="0"/>
      <w:marBottom w:val="0"/>
      <w:divBdr>
        <w:top w:val="none" w:sz="0" w:space="0" w:color="auto"/>
        <w:left w:val="none" w:sz="0" w:space="0" w:color="auto"/>
        <w:bottom w:val="none" w:sz="0" w:space="0" w:color="auto"/>
        <w:right w:val="none" w:sz="0" w:space="0" w:color="auto"/>
      </w:divBdr>
    </w:div>
    <w:div w:id="959414261">
      <w:bodyDiv w:val="1"/>
      <w:marLeft w:val="0"/>
      <w:marRight w:val="0"/>
      <w:marTop w:val="0"/>
      <w:marBottom w:val="0"/>
      <w:divBdr>
        <w:top w:val="none" w:sz="0" w:space="0" w:color="auto"/>
        <w:left w:val="none" w:sz="0" w:space="0" w:color="auto"/>
        <w:bottom w:val="none" w:sz="0" w:space="0" w:color="auto"/>
        <w:right w:val="none" w:sz="0" w:space="0" w:color="auto"/>
      </w:divBdr>
    </w:div>
    <w:div w:id="959729474">
      <w:bodyDiv w:val="1"/>
      <w:marLeft w:val="0"/>
      <w:marRight w:val="0"/>
      <w:marTop w:val="0"/>
      <w:marBottom w:val="0"/>
      <w:divBdr>
        <w:top w:val="none" w:sz="0" w:space="0" w:color="auto"/>
        <w:left w:val="none" w:sz="0" w:space="0" w:color="auto"/>
        <w:bottom w:val="none" w:sz="0" w:space="0" w:color="auto"/>
        <w:right w:val="none" w:sz="0" w:space="0" w:color="auto"/>
      </w:divBdr>
    </w:div>
    <w:div w:id="959919695">
      <w:bodyDiv w:val="1"/>
      <w:marLeft w:val="0"/>
      <w:marRight w:val="0"/>
      <w:marTop w:val="0"/>
      <w:marBottom w:val="0"/>
      <w:divBdr>
        <w:top w:val="none" w:sz="0" w:space="0" w:color="auto"/>
        <w:left w:val="none" w:sz="0" w:space="0" w:color="auto"/>
        <w:bottom w:val="none" w:sz="0" w:space="0" w:color="auto"/>
        <w:right w:val="none" w:sz="0" w:space="0" w:color="auto"/>
      </w:divBdr>
    </w:div>
    <w:div w:id="960309734">
      <w:bodyDiv w:val="1"/>
      <w:marLeft w:val="0"/>
      <w:marRight w:val="0"/>
      <w:marTop w:val="0"/>
      <w:marBottom w:val="0"/>
      <w:divBdr>
        <w:top w:val="none" w:sz="0" w:space="0" w:color="auto"/>
        <w:left w:val="none" w:sz="0" w:space="0" w:color="auto"/>
        <w:bottom w:val="none" w:sz="0" w:space="0" w:color="auto"/>
        <w:right w:val="none" w:sz="0" w:space="0" w:color="auto"/>
      </w:divBdr>
    </w:div>
    <w:div w:id="961039267">
      <w:bodyDiv w:val="1"/>
      <w:marLeft w:val="0"/>
      <w:marRight w:val="0"/>
      <w:marTop w:val="0"/>
      <w:marBottom w:val="0"/>
      <w:divBdr>
        <w:top w:val="none" w:sz="0" w:space="0" w:color="auto"/>
        <w:left w:val="none" w:sz="0" w:space="0" w:color="auto"/>
        <w:bottom w:val="none" w:sz="0" w:space="0" w:color="auto"/>
        <w:right w:val="none" w:sz="0" w:space="0" w:color="auto"/>
      </w:divBdr>
    </w:div>
    <w:div w:id="961040454">
      <w:bodyDiv w:val="1"/>
      <w:marLeft w:val="0"/>
      <w:marRight w:val="0"/>
      <w:marTop w:val="0"/>
      <w:marBottom w:val="0"/>
      <w:divBdr>
        <w:top w:val="none" w:sz="0" w:space="0" w:color="auto"/>
        <w:left w:val="none" w:sz="0" w:space="0" w:color="auto"/>
        <w:bottom w:val="none" w:sz="0" w:space="0" w:color="auto"/>
        <w:right w:val="none" w:sz="0" w:space="0" w:color="auto"/>
      </w:divBdr>
    </w:div>
    <w:div w:id="961182531">
      <w:bodyDiv w:val="1"/>
      <w:marLeft w:val="0"/>
      <w:marRight w:val="0"/>
      <w:marTop w:val="0"/>
      <w:marBottom w:val="0"/>
      <w:divBdr>
        <w:top w:val="none" w:sz="0" w:space="0" w:color="auto"/>
        <w:left w:val="none" w:sz="0" w:space="0" w:color="auto"/>
        <w:bottom w:val="none" w:sz="0" w:space="0" w:color="auto"/>
        <w:right w:val="none" w:sz="0" w:space="0" w:color="auto"/>
      </w:divBdr>
    </w:div>
    <w:div w:id="961232353">
      <w:bodyDiv w:val="1"/>
      <w:marLeft w:val="0"/>
      <w:marRight w:val="0"/>
      <w:marTop w:val="0"/>
      <w:marBottom w:val="0"/>
      <w:divBdr>
        <w:top w:val="none" w:sz="0" w:space="0" w:color="auto"/>
        <w:left w:val="none" w:sz="0" w:space="0" w:color="auto"/>
        <w:bottom w:val="none" w:sz="0" w:space="0" w:color="auto"/>
        <w:right w:val="none" w:sz="0" w:space="0" w:color="auto"/>
      </w:divBdr>
    </w:div>
    <w:div w:id="961233487">
      <w:bodyDiv w:val="1"/>
      <w:marLeft w:val="0"/>
      <w:marRight w:val="0"/>
      <w:marTop w:val="0"/>
      <w:marBottom w:val="0"/>
      <w:divBdr>
        <w:top w:val="none" w:sz="0" w:space="0" w:color="auto"/>
        <w:left w:val="none" w:sz="0" w:space="0" w:color="auto"/>
        <w:bottom w:val="none" w:sz="0" w:space="0" w:color="auto"/>
        <w:right w:val="none" w:sz="0" w:space="0" w:color="auto"/>
      </w:divBdr>
    </w:div>
    <w:div w:id="961418704">
      <w:bodyDiv w:val="1"/>
      <w:marLeft w:val="0"/>
      <w:marRight w:val="0"/>
      <w:marTop w:val="0"/>
      <w:marBottom w:val="0"/>
      <w:divBdr>
        <w:top w:val="none" w:sz="0" w:space="0" w:color="auto"/>
        <w:left w:val="none" w:sz="0" w:space="0" w:color="auto"/>
        <w:bottom w:val="none" w:sz="0" w:space="0" w:color="auto"/>
        <w:right w:val="none" w:sz="0" w:space="0" w:color="auto"/>
      </w:divBdr>
    </w:div>
    <w:div w:id="961422972">
      <w:bodyDiv w:val="1"/>
      <w:marLeft w:val="0"/>
      <w:marRight w:val="0"/>
      <w:marTop w:val="0"/>
      <w:marBottom w:val="0"/>
      <w:divBdr>
        <w:top w:val="none" w:sz="0" w:space="0" w:color="auto"/>
        <w:left w:val="none" w:sz="0" w:space="0" w:color="auto"/>
        <w:bottom w:val="none" w:sz="0" w:space="0" w:color="auto"/>
        <w:right w:val="none" w:sz="0" w:space="0" w:color="auto"/>
      </w:divBdr>
    </w:div>
    <w:div w:id="961424171">
      <w:bodyDiv w:val="1"/>
      <w:marLeft w:val="0"/>
      <w:marRight w:val="0"/>
      <w:marTop w:val="0"/>
      <w:marBottom w:val="0"/>
      <w:divBdr>
        <w:top w:val="none" w:sz="0" w:space="0" w:color="auto"/>
        <w:left w:val="none" w:sz="0" w:space="0" w:color="auto"/>
        <w:bottom w:val="none" w:sz="0" w:space="0" w:color="auto"/>
        <w:right w:val="none" w:sz="0" w:space="0" w:color="auto"/>
      </w:divBdr>
    </w:div>
    <w:div w:id="961691037">
      <w:bodyDiv w:val="1"/>
      <w:marLeft w:val="0"/>
      <w:marRight w:val="0"/>
      <w:marTop w:val="0"/>
      <w:marBottom w:val="0"/>
      <w:divBdr>
        <w:top w:val="none" w:sz="0" w:space="0" w:color="auto"/>
        <w:left w:val="none" w:sz="0" w:space="0" w:color="auto"/>
        <w:bottom w:val="none" w:sz="0" w:space="0" w:color="auto"/>
        <w:right w:val="none" w:sz="0" w:space="0" w:color="auto"/>
      </w:divBdr>
    </w:div>
    <w:div w:id="962003384">
      <w:bodyDiv w:val="1"/>
      <w:marLeft w:val="0"/>
      <w:marRight w:val="0"/>
      <w:marTop w:val="0"/>
      <w:marBottom w:val="0"/>
      <w:divBdr>
        <w:top w:val="none" w:sz="0" w:space="0" w:color="auto"/>
        <w:left w:val="none" w:sz="0" w:space="0" w:color="auto"/>
        <w:bottom w:val="none" w:sz="0" w:space="0" w:color="auto"/>
        <w:right w:val="none" w:sz="0" w:space="0" w:color="auto"/>
      </w:divBdr>
    </w:div>
    <w:div w:id="962881340">
      <w:bodyDiv w:val="1"/>
      <w:marLeft w:val="0"/>
      <w:marRight w:val="0"/>
      <w:marTop w:val="0"/>
      <w:marBottom w:val="0"/>
      <w:divBdr>
        <w:top w:val="none" w:sz="0" w:space="0" w:color="auto"/>
        <w:left w:val="none" w:sz="0" w:space="0" w:color="auto"/>
        <w:bottom w:val="none" w:sz="0" w:space="0" w:color="auto"/>
        <w:right w:val="none" w:sz="0" w:space="0" w:color="auto"/>
      </w:divBdr>
    </w:div>
    <w:div w:id="963775055">
      <w:bodyDiv w:val="1"/>
      <w:marLeft w:val="0"/>
      <w:marRight w:val="0"/>
      <w:marTop w:val="0"/>
      <w:marBottom w:val="0"/>
      <w:divBdr>
        <w:top w:val="none" w:sz="0" w:space="0" w:color="auto"/>
        <w:left w:val="none" w:sz="0" w:space="0" w:color="auto"/>
        <w:bottom w:val="none" w:sz="0" w:space="0" w:color="auto"/>
        <w:right w:val="none" w:sz="0" w:space="0" w:color="auto"/>
      </w:divBdr>
    </w:div>
    <w:div w:id="963925168">
      <w:bodyDiv w:val="1"/>
      <w:marLeft w:val="0"/>
      <w:marRight w:val="0"/>
      <w:marTop w:val="0"/>
      <w:marBottom w:val="0"/>
      <w:divBdr>
        <w:top w:val="none" w:sz="0" w:space="0" w:color="auto"/>
        <w:left w:val="none" w:sz="0" w:space="0" w:color="auto"/>
        <w:bottom w:val="none" w:sz="0" w:space="0" w:color="auto"/>
        <w:right w:val="none" w:sz="0" w:space="0" w:color="auto"/>
      </w:divBdr>
    </w:div>
    <w:div w:id="964773479">
      <w:bodyDiv w:val="1"/>
      <w:marLeft w:val="0"/>
      <w:marRight w:val="0"/>
      <w:marTop w:val="0"/>
      <w:marBottom w:val="0"/>
      <w:divBdr>
        <w:top w:val="none" w:sz="0" w:space="0" w:color="auto"/>
        <w:left w:val="none" w:sz="0" w:space="0" w:color="auto"/>
        <w:bottom w:val="none" w:sz="0" w:space="0" w:color="auto"/>
        <w:right w:val="none" w:sz="0" w:space="0" w:color="auto"/>
      </w:divBdr>
    </w:div>
    <w:div w:id="964847290">
      <w:bodyDiv w:val="1"/>
      <w:marLeft w:val="0"/>
      <w:marRight w:val="0"/>
      <w:marTop w:val="0"/>
      <w:marBottom w:val="0"/>
      <w:divBdr>
        <w:top w:val="none" w:sz="0" w:space="0" w:color="auto"/>
        <w:left w:val="none" w:sz="0" w:space="0" w:color="auto"/>
        <w:bottom w:val="none" w:sz="0" w:space="0" w:color="auto"/>
        <w:right w:val="none" w:sz="0" w:space="0" w:color="auto"/>
      </w:divBdr>
    </w:div>
    <w:div w:id="965694515">
      <w:bodyDiv w:val="1"/>
      <w:marLeft w:val="0"/>
      <w:marRight w:val="0"/>
      <w:marTop w:val="0"/>
      <w:marBottom w:val="0"/>
      <w:divBdr>
        <w:top w:val="none" w:sz="0" w:space="0" w:color="auto"/>
        <w:left w:val="none" w:sz="0" w:space="0" w:color="auto"/>
        <w:bottom w:val="none" w:sz="0" w:space="0" w:color="auto"/>
        <w:right w:val="none" w:sz="0" w:space="0" w:color="auto"/>
      </w:divBdr>
    </w:div>
    <w:div w:id="965820149">
      <w:bodyDiv w:val="1"/>
      <w:marLeft w:val="0"/>
      <w:marRight w:val="0"/>
      <w:marTop w:val="0"/>
      <w:marBottom w:val="0"/>
      <w:divBdr>
        <w:top w:val="none" w:sz="0" w:space="0" w:color="auto"/>
        <w:left w:val="none" w:sz="0" w:space="0" w:color="auto"/>
        <w:bottom w:val="none" w:sz="0" w:space="0" w:color="auto"/>
        <w:right w:val="none" w:sz="0" w:space="0" w:color="auto"/>
      </w:divBdr>
    </w:div>
    <w:div w:id="966350787">
      <w:bodyDiv w:val="1"/>
      <w:marLeft w:val="0"/>
      <w:marRight w:val="0"/>
      <w:marTop w:val="0"/>
      <w:marBottom w:val="0"/>
      <w:divBdr>
        <w:top w:val="none" w:sz="0" w:space="0" w:color="auto"/>
        <w:left w:val="none" w:sz="0" w:space="0" w:color="auto"/>
        <w:bottom w:val="none" w:sz="0" w:space="0" w:color="auto"/>
        <w:right w:val="none" w:sz="0" w:space="0" w:color="auto"/>
      </w:divBdr>
    </w:div>
    <w:div w:id="966424660">
      <w:bodyDiv w:val="1"/>
      <w:marLeft w:val="0"/>
      <w:marRight w:val="0"/>
      <w:marTop w:val="0"/>
      <w:marBottom w:val="0"/>
      <w:divBdr>
        <w:top w:val="none" w:sz="0" w:space="0" w:color="auto"/>
        <w:left w:val="none" w:sz="0" w:space="0" w:color="auto"/>
        <w:bottom w:val="none" w:sz="0" w:space="0" w:color="auto"/>
        <w:right w:val="none" w:sz="0" w:space="0" w:color="auto"/>
      </w:divBdr>
    </w:div>
    <w:div w:id="966668881">
      <w:bodyDiv w:val="1"/>
      <w:marLeft w:val="0"/>
      <w:marRight w:val="0"/>
      <w:marTop w:val="0"/>
      <w:marBottom w:val="0"/>
      <w:divBdr>
        <w:top w:val="none" w:sz="0" w:space="0" w:color="auto"/>
        <w:left w:val="none" w:sz="0" w:space="0" w:color="auto"/>
        <w:bottom w:val="none" w:sz="0" w:space="0" w:color="auto"/>
        <w:right w:val="none" w:sz="0" w:space="0" w:color="auto"/>
      </w:divBdr>
    </w:div>
    <w:div w:id="966810570">
      <w:bodyDiv w:val="1"/>
      <w:marLeft w:val="0"/>
      <w:marRight w:val="0"/>
      <w:marTop w:val="0"/>
      <w:marBottom w:val="0"/>
      <w:divBdr>
        <w:top w:val="none" w:sz="0" w:space="0" w:color="auto"/>
        <w:left w:val="none" w:sz="0" w:space="0" w:color="auto"/>
        <w:bottom w:val="none" w:sz="0" w:space="0" w:color="auto"/>
        <w:right w:val="none" w:sz="0" w:space="0" w:color="auto"/>
      </w:divBdr>
    </w:div>
    <w:div w:id="967127808">
      <w:bodyDiv w:val="1"/>
      <w:marLeft w:val="0"/>
      <w:marRight w:val="0"/>
      <w:marTop w:val="0"/>
      <w:marBottom w:val="0"/>
      <w:divBdr>
        <w:top w:val="none" w:sz="0" w:space="0" w:color="auto"/>
        <w:left w:val="none" w:sz="0" w:space="0" w:color="auto"/>
        <w:bottom w:val="none" w:sz="0" w:space="0" w:color="auto"/>
        <w:right w:val="none" w:sz="0" w:space="0" w:color="auto"/>
      </w:divBdr>
    </w:div>
    <w:div w:id="967197830">
      <w:bodyDiv w:val="1"/>
      <w:marLeft w:val="0"/>
      <w:marRight w:val="0"/>
      <w:marTop w:val="0"/>
      <w:marBottom w:val="0"/>
      <w:divBdr>
        <w:top w:val="none" w:sz="0" w:space="0" w:color="auto"/>
        <w:left w:val="none" w:sz="0" w:space="0" w:color="auto"/>
        <w:bottom w:val="none" w:sz="0" w:space="0" w:color="auto"/>
        <w:right w:val="none" w:sz="0" w:space="0" w:color="auto"/>
      </w:divBdr>
    </w:div>
    <w:div w:id="967276200">
      <w:bodyDiv w:val="1"/>
      <w:marLeft w:val="0"/>
      <w:marRight w:val="0"/>
      <w:marTop w:val="0"/>
      <w:marBottom w:val="0"/>
      <w:divBdr>
        <w:top w:val="none" w:sz="0" w:space="0" w:color="auto"/>
        <w:left w:val="none" w:sz="0" w:space="0" w:color="auto"/>
        <w:bottom w:val="none" w:sz="0" w:space="0" w:color="auto"/>
        <w:right w:val="none" w:sz="0" w:space="0" w:color="auto"/>
      </w:divBdr>
    </w:div>
    <w:div w:id="968171240">
      <w:bodyDiv w:val="1"/>
      <w:marLeft w:val="0"/>
      <w:marRight w:val="0"/>
      <w:marTop w:val="0"/>
      <w:marBottom w:val="0"/>
      <w:divBdr>
        <w:top w:val="none" w:sz="0" w:space="0" w:color="auto"/>
        <w:left w:val="none" w:sz="0" w:space="0" w:color="auto"/>
        <w:bottom w:val="none" w:sz="0" w:space="0" w:color="auto"/>
        <w:right w:val="none" w:sz="0" w:space="0" w:color="auto"/>
      </w:divBdr>
    </w:div>
    <w:div w:id="968439093">
      <w:bodyDiv w:val="1"/>
      <w:marLeft w:val="0"/>
      <w:marRight w:val="0"/>
      <w:marTop w:val="0"/>
      <w:marBottom w:val="0"/>
      <w:divBdr>
        <w:top w:val="none" w:sz="0" w:space="0" w:color="auto"/>
        <w:left w:val="none" w:sz="0" w:space="0" w:color="auto"/>
        <w:bottom w:val="none" w:sz="0" w:space="0" w:color="auto"/>
        <w:right w:val="none" w:sz="0" w:space="0" w:color="auto"/>
      </w:divBdr>
    </w:div>
    <w:div w:id="968508306">
      <w:bodyDiv w:val="1"/>
      <w:marLeft w:val="0"/>
      <w:marRight w:val="0"/>
      <w:marTop w:val="0"/>
      <w:marBottom w:val="0"/>
      <w:divBdr>
        <w:top w:val="none" w:sz="0" w:space="0" w:color="auto"/>
        <w:left w:val="none" w:sz="0" w:space="0" w:color="auto"/>
        <w:bottom w:val="none" w:sz="0" w:space="0" w:color="auto"/>
        <w:right w:val="none" w:sz="0" w:space="0" w:color="auto"/>
      </w:divBdr>
    </w:div>
    <w:div w:id="969093141">
      <w:bodyDiv w:val="1"/>
      <w:marLeft w:val="0"/>
      <w:marRight w:val="0"/>
      <w:marTop w:val="0"/>
      <w:marBottom w:val="0"/>
      <w:divBdr>
        <w:top w:val="none" w:sz="0" w:space="0" w:color="auto"/>
        <w:left w:val="none" w:sz="0" w:space="0" w:color="auto"/>
        <w:bottom w:val="none" w:sz="0" w:space="0" w:color="auto"/>
        <w:right w:val="none" w:sz="0" w:space="0" w:color="auto"/>
      </w:divBdr>
    </w:div>
    <w:div w:id="969167958">
      <w:bodyDiv w:val="1"/>
      <w:marLeft w:val="0"/>
      <w:marRight w:val="0"/>
      <w:marTop w:val="0"/>
      <w:marBottom w:val="0"/>
      <w:divBdr>
        <w:top w:val="none" w:sz="0" w:space="0" w:color="auto"/>
        <w:left w:val="none" w:sz="0" w:space="0" w:color="auto"/>
        <w:bottom w:val="none" w:sz="0" w:space="0" w:color="auto"/>
        <w:right w:val="none" w:sz="0" w:space="0" w:color="auto"/>
      </w:divBdr>
    </w:div>
    <w:div w:id="970326269">
      <w:bodyDiv w:val="1"/>
      <w:marLeft w:val="0"/>
      <w:marRight w:val="0"/>
      <w:marTop w:val="0"/>
      <w:marBottom w:val="0"/>
      <w:divBdr>
        <w:top w:val="none" w:sz="0" w:space="0" w:color="auto"/>
        <w:left w:val="none" w:sz="0" w:space="0" w:color="auto"/>
        <w:bottom w:val="none" w:sz="0" w:space="0" w:color="auto"/>
        <w:right w:val="none" w:sz="0" w:space="0" w:color="auto"/>
      </w:divBdr>
    </w:div>
    <w:div w:id="970404504">
      <w:bodyDiv w:val="1"/>
      <w:marLeft w:val="0"/>
      <w:marRight w:val="0"/>
      <w:marTop w:val="0"/>
      <w:marBottom w:val="0"/>
      <w:divBdr>
        <w:top w:val="none" w:sz="0" w:space="0" w:color="auto"/>
        <w:left w:val="none" w:sz="0" w:space="0" w:color="auto"/>
        <w:bottom w:val="none" w:sz="0" w:space="0" w:color="auto"/>
        <w:right w:val="none" w:sz="0" w:space="0" w:color="auto"/>
      </w:divBdr>
    </w:div>
    <w:div w:id="970551252">
      <w:bodyDiv w:val="1"/>
      <w:marLeft w:val="0"/>
      <w:marRight w:val="0"/>
      <w:marTop w:val="0"/>
      <w:marBottom w:val="0"/>
      <w:divBdr>
        <w:top w:val="none" w:sz="0" w:space="0" w:color="auto"/>
        <w:left w:val="none" w:sz="0" w:space="0" w:color="auto"/>
        <w:bottom w:val="none" w:sz="0" w:space="0" w:color="auto"/>
        <w:right w:val="none" w:sz="0" w:space="0" w:color="auto"/>
      </w:divBdr>
    </w:div>
    <w:div w:id="970751560">
      <w:bodyDiv w:val="1"/>
      <w:marLeft w:val="0"/>
      <w:marRight w:val="0"/>
      <w:marTop w:val="0"/>
      <w:marBottom w:val="0"/>
      <w:divBdr>
        <w:top w:val="none" w:sz="0" w:space="0" w:color="auto"/>
        <w:left w:val="none" w:sz="0" w:space="0" w:color="auto"/>
        <w:bottom w:val="none" w:sz="0" w:space="0" w:color="auto"/>
        <w:right w:val="none" w:sz="0" w:space="0" w:color="auto"/>
      </w:divBdr>
    </w:div>
    <w:div w:id="971594271">
      <w:bodyDiv w:val="1"/>
      <w:marLeft w:val="0"/>
      <w:marRight w:val="0"/>
      <w:marTop w:val="0"/>
      <w:marBottom w:val="0"/>
      <w:divBdr>
        <w:top w:val="none" w:sz="0" w:space="0" w:color="auto"/>
        <w:left w:val="none" w:sz="0" w:space="0" w:color="auto"/>
        <w:bottom w:val="none" w:sz="0" w:space="0" w:color="auto"/>
        <w:right w:val="none" w:sz="0" w:space="0" w:color="auto"/>
      </w:divBdr>
    </w:div>
    <w:div w:id="971596912">
      <w:bodyDiv w:val="1"/>
      <w:marLeft w:val="0"/>
      <w:marRight w:val="0"/>
      <w:marTop w:val="0"/>
      <w:marBottom w:val="0"/>
      <w:divBdr>
        <w:top w:val="none" w:sz="0" w:space="0" w:color="auto"/>
        <w:left w:val="none" w:sz="0" w:space="0" w:color="auto"/>
        <w:bottom w:val="none" w:sz="0" w:space="0" w:color="auto"/>
        <w:right w:val="none" w:sz="0" w:space="0" w:color="auto"/>
      </w:divBdr>
    </w:div>
    <w:div w:id="971641016">
      <w:bodyDiv w:val="1"/>
      <w:marLeft w:val="0"/>
      <w:marRight w:val="0"/>
      <w:marTop w:val="0"/>
      <w:marBottom w:val="0"/>
      <w:divBdr>
        <w:top w:val="none" w:sz="0" w:space="0" w:color="auto"/>
        <w:left w:val="none" w:sz="0" w:space="0" w:color="auto"/>
        <w:bottom w:val="none" w:sz="0" w:space="0" w:color="auto"/>
        <w:right w:val="none" w:sz="0" w:space="0" w:color="auto"/>
      </w:divBdr>
    </w:div>
    <w:div w:id="972055512">
      <w:bodyDiv w:val="1"/>
      <w:marLeft w:val="0"/>
      <w:marRight w:val="0"/>
      <w:marTop w:val="0"/>
      <w:marBottom w:val="0"/>
      <w:divBdr>
        <w:top w:val="none" w:sz="0" w:space="0" w:color="auto"/>
        <w:left w:val="none" w:sz="0" w:space="0" w:color="auto"/>
        <w:bottom w:val="none" w:sz="0" w:space="0" w:color="auto"/>
        <w:right w:val="none" w:sz="0" w:space="0" w:color="auto"/>
      </w:divBdr>
    </w:div>
    <w:div w:id="972176124">
      <w:bodyDiv w:val="1"/>
      <w:marLeft w:val="0"/>
      <w:marRight w:val="0"/>
      <w:marTop w:val="0"/>
      <w:marBottom w:val="0"/>
      <w:divBdr>
        <w:top w:val="none" w:sz="0" w:space="0" w:color="auto"/>
        <w:left w:val="none" w:sz="0" w:space="0" w:color="auto"/>
        <w:bottom w:val="none" w:sz="0" w:space="0" w:color="auto"/>
        <w:right w:val="none" w:sz="0" w:space="0" w:color="auto"/>
      </w:divBdr>
    </w:div>
    <w:div w:id="972250868">
      <w:bodyDiv w:val="1"/>
      <w:marLeft w:val="0"/>
      <w:marRight w:val="0"/>
      <w:marTop w:val="0"/>
      <w:marBottom w:val="0"/>
      <w:divBdr>
        <w:top w:val="none" w:sz="0" w:space="0" w:color="auto"/>
        <w:left w:val="none" w:sz="0" w:space="0" w:color="auto"/>
        <w:bottom w:val="none" w:sz="0" w:space="0" w:color="auto"/>
        <w:right w:val="none" w:sz="0" w:space="0" w:color="auto"/>
      </w:divBdr>
    </w:div>
    <w:div w:id="972294990">
      <w:bodyDiv w:val="1"/>
      <w:marLeft w:val="0"/>
      <w:marRight w:val="0"/>
      <w:marTop w:val="0"/>
      <w:marBottom w:val="0"/>
      <w:divBdr>
        <w:top w:val="none" w:sz="0" w:space="0" w:color="auto"/>
        <w:left w:val="none" w:sz="0" w:space="0" w:color="auto"/>
        <w:bottom w:val="none" w:sz="0" w:space="0" w:color="auto"/>
        <w:right w:val="none" w:sz="0" w:space="0" w:color="auto"/>
      </w:divBdr>
    </w:div>
    <w:div w:id="972515245">
      <w:bodyDiv w:val="1"/>
      <w:marLeft w:val="0"/>
      <w:marRight w:val="0"/>
      <w:marTop w:val="0"/>
      <w:marBottom w:val="0"/>
      <w:divBdr>
        <w:top w:val="none" w:sz="0" w:space="0" w:color="auto"/>
        <w:left w:val="none" w:sz="0" w:space="0" w:color="auto"/>
        <w:bottom w:val="none" w:sz="0" w:space="0" w:color="auto"/>
        <w:right w:val="none" w:sz="0" w:space="0" w:color="auto"/>
      </w:divBdr>
    </w:div>
    <w:div w:id="972515608">
      <w:bodyDiv w:val="1"/>
      <w:marLeft w:val="0"/>
      <w:marRight w:val="0"/>
      <w:marTop w:val="0"/>
      <w:marBottom w:val="0"/>
      <w:divBdr>
        <w:top w:val="none" w:sz="0" w:space="0" w:color="auto"/>
        <w:left w:val="none" w:sz="0" w:space="0" w:color="auto"/>
        <w:bottom w:val="none" w:sz="0" w:space="0" w:color="auto"/>
        <w:right w:val="none" w:sz="0" w:space="0" w:color="auto"/>
      </w:divBdr>
    </w:div>
    <w:div w:id="972948893">
      <w:bodyDiv w:val="1"/>
      <w:marLeft w:val="0"/>
      <w:marRight w:val="0"/>
      <w:marTop w:val="0"/>
      <w:marBottom w:val="0"/>
      <w:divBdr>
        <w:top w:val="none" w:sz="0" w:space="0" w:color="auto"/>
        <w:left w:val="none" w:sz="0" w:space="0" w:color="auto"/>
        <w:bottom w:val="none" w:sz="0" w:space="0" w:color="auto"/>
        <w:right w:val="none" w:sz="0" w:space="0" w:color="auto"/>
      </w:divBdr>
    </w:div>
    <w:div w:id="973102841">
      <w:bodyDiv w:val="1"/>
      <w:marLeft w:val="0"/>
      <w:marRight w:val="0"/>
      <w:marTop w:val="0"/>
      <w:marBottom w:val="0"/>
      <w:divBdr>
        <w:top w:val="none" w:sz="0" w:space="0" w:color="auto"/>
        <w:left w:val="none" w:sz="0" w:space="0" w:color="auto"/>
        <w:bottom w:val="none" w:sz="0" w:space="0" w:color="auto"/>
        <w:right w:val="none" w:sz="0" w:space="0" w:color="auto"/>
      </w:divBdr>
    </w:div>
    <w:div w:id="973409686">
      <w:bodyDiv w:val="1"/>
      <w:marLeft w:val="0"/>
      <w:marRight w:val="0"/>
      <w:marTop w:val="0"/>
      <w:marBottom w:val="0"/>
      <w:divBdr>
        <w:top w:val="none" w:sz="0" w:space="0" w:color="auto"/>
        <w:left w:val="none" w:sz="0" w:space="0" w:color="auto"/>
        <w:bottom w:val="none" w:sz="0" w:space="0" w:color="auto"/>
        <w:right w:val="none" w:sz="0" w:space="0" w:color="auto"/>
      </w:divBdr>
    </w:div>
    <w:div w:id="974258446">
      <w:bodyDiv w:val="1"/>
      <w:marLeft w:val="0"/>
      <w:marRight w:val="0"/>
      <w:marTop w:val="0"/>
      <w:marBottom w:val="0"/>
      <w:divBdr>
        <w:top w:val="none" w:sz="0" w:space="0" w:color="auto"/>
        <w:left w:val="none" w:sz="0" w:space="0" w:color="auto"/>
        <w:bottom w:val="none" w:sz="0" w:space="0" w:color="auto"/>
        <w:right w:val="none" w:sz="0" w:space="0" w:color="auto"/>
      </w:divBdr>
    </w:div>
    <w:div w:id="974287683">
      <w:bodyDiv w:val="1"/>
      <w:marLeft w:val="0"/>
      <w:marRight w:val="0"/>
      <w:marTop w:val="0"/>
      <w:marBottom w:val="0"/>
      <w:divBdr>
        <w:top w:val="none" w:sz="0" w:space="0" w:color="auto"/>
        <w:left w:val="none" w:sz="0" w:space="0" w:color="auto"/>
        <w:bottom w:val="none" w:sz="0" w:space="0" w:color="auto"/>
        <w:right w:val="none" w:sz="0" w:space="0" w:color="auto"/>
      </w:divBdr>
    </w:div>
    <w:div w:id="974675800">
      <w:bodyDiv w:val="1"/>
      <w:marLeft w:val="0"/>
      <w:marRight w:val="0"/>
      <w:marTop w:val="0"/>
      <w:marBottom w:val="0"/>
      <w:divBdr>
        <w:top w:val="none" w:sz="0" w:space="0" w:color="auto"/>
        <w:left w:val="none" w:sz="0" w:space="0" w:color="auto"/>
        <w:bottom w:val="none" w:sz="0" w:space="0" w:color="auto"/>
        <w:right w:val="none" w:sz="0" w:space="0" w:color="auto"/>
      </w:divBdr>
    </w:div>
    <w:div w:id="974722420">
      <w:bodyDiv w:val="1"/>
      <w:marLeft w:val="0"/>
      <w:marRight w:val="0"/>
      <w:marTop w:val="0"/>
      <w:marBottom w:val="0"/>
      <w:divBdr>
        <w:top w:val="none" w:sz="0" w:space="0" w:color="auto"/>
        <w:left w:val="none" w:sz="0" w:space="0" w:color="auto"/>
        <w:bottom w:val="none" w:sz="0" w:space="0" w:color="auto"/>
        <w:right w:val="none" w:sz="0" w:space="0" w:color="auto"/>
      </w:divBdr>
    </w:div>
    <w:div w:id="974992589">
      <w:bodyDiv w:val="1"/>
      <w:marLeft w:val="0"/>
      <w:marRight w:val="0"/>
      <w:marTop w:val="0"/>
      <w:marBottom w:val="0"/>
      <w:divBdr>
        <w:top w:val="none" w:sz="0" w:space="0" w:color="auto"/>
        <w:left w:val="none" w:sz="0" w:space="0" w:color="auto"/>
        <w:bottom w:val="none" w:sz="0" w:space="0" w:color="auto"/>
        <w:right w:val="none" w:sz="0" w:space="0" w:color="auto"/>
      </w:divBdr>
    </w:div>
    <w:div w:id="975529680">
      <w:bodyDiv w:val="1"/>
      <w:marLeft w:val="0"/>
      <w:marRight w:val="0"/>
      <w:marTop w:val="0"/>
      <w:marBottom w:val="0"/>
      <w:divBdr>
        <w:top w:val="none" w:sz="0" w:space="0" w:color="auto"/>
        <w:left w:val="none" w:sz="0" w:space="0" w:color="auto"/>
        <w:bottom w:val="none" w:sz="0" w:space="0" w:color="auto"/>
        <w:right w:val="none" w:sz="0" w:space="0" w:color="auto"/>
      </w:divBdr>
    </w:div>
    <w:div w:id="975721462">
      <w:bodyDiv w:val="1"/>
      <w:marLeft w:val="0"/>
      <w:marRight w:val="0"/>
      <w:marTop w:val="0"/>
      <w:marBottom w:val="0"/>
      <w:divBdr>
        <w:top w:val="none" w:sz="0" w:space="0" w:color="auto"/>
        <w:left w:val="none" w:sz="0" w:space="0" w:color="auto"/>
        <w:bottom w:val="none" w:sz="0" w:space="0" w:color="auto"/>
        <w:right w:val="none" w:sz="0" w:space="0" w:color="auto"/>
      </w:divBdr>
    </w:div>
    <w:div w:id="976035890">
      <w:bodyDiv w:val="1"/>
      <w:marLeft w:val="0"/>
      <w:marRight w:val="0"/>
      <w:marTop w:val="0"/>
      <w:marBottom w:val="0"/>
      <w:divBdr>
        <w:top w:val="none" w:sz="0" w:space="0" w:color="auto"/>
        <w:left w:val="none" w:sz="0" w:space="0" w:color="auto"/>
        <w:bottom w:val="none" w:sz="0" w:space="0" w:color="auto"/>
        <w:right w:val="none" w:sz="0" w:space="0" w:color="auto"/>
      </w:divBdr>
    </w:div>
    <w:div w:id="976641827">
      <w:bodyDiv w:val="1"/>
      <w:marLeft w:val="0"/>
      <w:marRight w:val="0"/>
      <w:marTop w:val="0"/>
      <w:marBottom w:val="0"/>
      <w:divBdr>
        <w:top w:val="none" w:sz="0" w:space="0" w:color="auto"/>
        <w:left w:val="none" w:sz="0" w:space="0" w:color="auto"/>
        <w:bottom w:val="none" w:sz="0" w:space="0" w:color="auto"/>
        <w:right w:val="none" w:sz="0" w:space="0" w:color="auto"/>
      </w:divBdr>
    </w:div>
    <w:div w:id="976645690">
      <w:bodyDiv w:val="1"/>
      <w:marLeft w:val="0"/>
      <w:marRight w:val="0"/>
      <w:marTop w:val="0"/>
      <w:marBottom w:val="0"/>
      <w:divBdr>
        <w:top w:val="none" w:sz="0" w:space="0" w:color="auto"/>
        <w:left w:val="none" w:sz="0" w:space="0" w:color="auto"/>
        <w:bottom w:val="none" w:sz="0" w:space="0" w:color="auto"/>
        <w:right w:val="none" w:sz="0" w:space="0" w:color="auto"/>
      </w:divBdr>
    </w:div>
    <w:div w:id="976767168">
      <w:bodyDiv w:val="1"/>
      <w:marLeft w:val="0"/>
      <w:marRight w:val="0"/>
      <w:marTop w:val="0"/>
      <w:marBottom w:val="0"/>
      <w:divBdr>
        <w:top w:val="none" w:sz="0" w:space="0" w:color="auto"/>
        <w:left w:val="none" w:sz="0" w:space="0" w:color="auto"/>
        <w:bottom w:val="none" w:sz="0" w:space="0" w:color="auto"/>
        <w:right w:val="none" w:sz="0" w:space="0" w:color="auto"/>
      </w:divBdr>
    </w:div>
    <w:div w:id="977494747">
      <w:bodyDiv w:val="1"/>
      <w:marLeft w:val="0"/>
      <w:marRight w:val="0"/>
      <w:marTop w:val="0"/>
      <w:marBottom w:val="0"/>
      <w:divBdr>
        <w:top w:val="none" w:sz="0" w:space="0" w:color="auto"/>
        <w:left w:val="none" w:sz="0" w:space="0" w:color="auto"/>
        <w:bottom w:val="none" w:sz="0" w:space="0" w:color="auto"/>
        <w:right w:val="none" w:sz="0" w:space="0" w:color="auto"/>
      </w:divBdr>
    </w:div>
    <w:div w:id="977880478">
      <w:bodyDiv w:val="1"/>
      <w:marLeft w:val="0"/>
      <w:marRight w:val="0"/>
      <w:marTop w:val="0"/>
      <w:marBottom w:val="0"/>
      <w:divBdr>
        <w:top w:val="none" w:sz="0" w:space="0" w:color="auto"/>
        <w:left w:val="none" w:sz="0" w:space="0" w:color="auto"/>
        <w:bottom w:val="none" w:sz="0" w:space="0" w:color="auto"/>
        <w:right w:val="none" w:sz="0" w:space="0" w:color="auto"/>
      </w:divBdr>
    </w:div>
    <w:div w:id="978537886">
      <w:bodyDiv w:val="1"/>
      <w:marLeft w:val="0"/>
      <w:marRight w:val="0"/>
      <w:marTop w:val="0"/>
      <w:marBottom w:val="0"/>
      <w:divBdr>
        <w:top w:val="none" w:sz="0" w:space="0" w:color="auto"/>
        <w:left w:val="none" w:sz="0" w:space="0" w:color="auto"/>
        <w:bottom w:val="none" w:sz="0" w:space="0" w:color="auto"/>
        <w:right w:val="none" w:sz="0" w:space="0" w:color="auto"/>
      </w:divBdr>
    </w:div>
    <w:div w:id="978611558">
      <w:bodyDiv w:val="1"/>
      <w:marLeft w:val="0"/>
      <w:marRight w:val="0"/>
      <w:marTop w:val="0"/>
      <w:marBottom w:val="0"/>
      <w:divBdr>
        <w:top w:val="none" w:sz="0" w:space="0" w:color="auto"/>
        <w:left w:val="none" w:sz="0" w:space="0" w:color="auto"/>
        <w:bottom w:val="none" w:sz="0" w:space="0" w:color="auto"/>
        <w:right w:val="none" w:sz="0" w:space="0" w:color="auto"/>
      </w:divBdr>
    </w:div>
    <w:div w:id="979379466">
      <w:bodyDiv w:val="1"/>
      <w:marLeft w:val="0"/>
      <w:marRight w:val="0"/>
      <w:marTop w:val="0"/>
      <w:marBottom w:val="0"/>
      <w:divBdr>
        <w:top w:val="none" w:sz="0" w:space="0" w:color="auto"/>
        <w:left w:val="none" w:sz="0" w:space="0" w:color="auto"/>
        <w:bottom w:val="none" w:sz="0" w:space="0" w:color="auto"/>
        <w:right w:val="none" w:sz="0" w:space="0" w:color="auto"/>
      </w:divBdr>
    </w:div>
    <w:div w:id="979387254">
      <w:bodyDiv w:val="1"/>
      <w:marLeft w:val="0"/>
      <w:marRight w:val="0"/>
      <w:marTop w:val="0"/>
      <w:marBottom w:val="0"/>
      <w:divBdr>
        <w:top w:val="none" w:sz="0" w:space="0" w:color="auto"/>
        <w:left w:val="none" w:sz="0" w:space="0" w:color="auto"/>
        <w:bottom w:val="none" w:sz="0" w:space="0" w:color="auto"/>
        <w:right w:val="none" w:sz="0" w:space="0" w:color="auto"/>
      </w:divBdr>
    </w:div>
    <w:div w:id="979503935">
      <w:bodyDiv w:val="1"/>
      <w:marLeft w:val="0"/>
      <w:marRight w:val="0"/>
      <w:marTop w:val="0"/>
      <w:marBottom w:val="0"/>
      <w:divBdr>
        <w:top w:val="none" w:sz="0" w:space="0" w:color="auto"/>
        <w:left w:val="none" w:sz="0" w:space="0" w:color="auto"/>
        <w:bottom w:val="none" w:sz="0" w:space="0" w:color="auto"/>
        <w:right w:val="none" w:sz="0" w:space="0" w:color="auto"/>
      </w:divBdr>
    </w:div>
    <w:div w:id="979965575">
      <w:bodyDiv w:val="1"/>
      <w:marLeft w:val="0"/>
      <w:marRight w:val="0"/>
      <w:marTop w:val="0"/>
      <w:marBottom w:val="0"/>
      <w:divBdr>
        <w:top w:val="none" w:sz="0" w:space="0" w:color="auto"/>
        <w:left w:val="none" w:sz="0" w:space="0" w:color="auto"/>
        <w:bottom w:val="none" w:sz="0" w:space="0" w:color="auto"/>
        <w:right w:val="none" w:sz="0" w:space="0" w:color="auto"/>
      </w:divBdr>
    </w:div>
    <w:div w:id="980227440">
      <w:bodyDiv w:val="1"/>
      <w:marLeft w:val="0"/>
      <w:marRight w:val="0"/>
      <w:marTop w:val="0"/>
      <w:marBottom w:val="0"/>
      <w:divBdr>
        <w:top w:val="none" w:sz="0" w:space="0" w:color="auto"/>
        <w:left w:val="none" w:sz="0" w:space="0" w:color="auto"/>
        <w:bottom w:val="none" w:sz="0" w:space="0" w:color="auto"/>
        <w:right w:val="none" w:sz="0" w:space="0" w:color="auto"/>
      </w:divBdr>
    </w:div>
    <w:div w:id="980646606">
      <w:bodyDiv w:val="1"/>
      <w:marLeft w:val="0"/>
      <w:marRight w:val="0"/>
      <w:marTop w:val="0"/>
      <w:marBottom w:val="0"/>
      <w:divBdr>
        <w:top w:val="none" w:sz="0" w:space="0" w:color="auto"/>
        <w:left w:val="none" w:sz="0" w:space="0" w:color="auto"/>
        <w:bottom w:val="none" w:sz="0" w:space="0" w:color="auto"/>
        <w:right w:val="none" w:sz="0" w:space="0" w:color="auto"/>
      </w:divBdr>
    </w:div>
    <w:div w:id="980697887">
      <w:bodyDiv w:val="1"/>
      <w:marLeft w:val="0"/>
      <w:marRight w:val="0"/>
      <w:marTop w:val="0"/>
      <w:marBottom w:val="0"/>
      <w:divBdr>
        <w:top w:val="none" w:sz="0" w:space="0" w:color="auto"/>
        <w:left w:val="none" w:sz="0" w:space="0" w:color="auto"/>
        <w:bottom w:val="none" w:sz="0" w:space="0" w:color="auto"/>
        <w:right w:val="none" w:sz="0" w:space="0" w:color="auto"/>
      </w:divBdr>
    </w:div>
    <w:div w:id="980882909">
      <w:bodyDiv w:val="1"/>
      <w:marLeft w:val="0"/>
      <w:marRight w:val="0"/>
      <w:marTop w:val="0"/>
      <w:marBottom w:val="0"/>
      <w:divBdr>
        <w:top w:val="none" w:sz="0" w:space="0" w:color="auto"/>
        <w:left w:val="none" w:sz="0" w:space="0" w:color="auto"/>
        <w:bottom w:val="none" w:sz="0" w:space="0" w:color="auto"/>
        <w:right w:val="none" w:sz="0" w:space="0" w:color="auto"/>
      </w:divBdr>
    </w:div>
    <w:div w:id="980958995">
      <w:bodyDiv w:val="1"/>
      <w:marLeft w:val="0"/>
      <w:marRight w:val="0"/>
      <w:marTop w:val="0"/>
      <w:marBottom w:val="0"/>
      <w:divBdr>
        <w:top w:val="none" w:sz="0" w:space="0" w:color="auto"/>
        <w:left w:val="none" w:sz="0" w:space="0" w:color="auto"/>
        <w:bottom w:val="none" w:sz="0" w:space="0" w:color="auto"/>
        <w:right w:val="none" w:sz="0" w:space="0" w:color="auto"/>
      </w:divBdr>
    </w:div>
    <w:div w:id="981080264">
      <w:bodyDiv w:val="1"/>
      <w:marLeft w:val="0"/>
      <w:marRight w:val="0"/>
      <w:marTop w:val="0"/>
      <w:marBottom w:val="0"/>
      <w:divBdr>
        <w:top w:val="none" w:sz="0" w:space="0" w:color="auto"/>
        <w:left w:val="none" w:sz="0" w:space="0" w:color="auto"/>
        <w:bottom w:val="none" w:sz="0" w:space="0" w:color="auto"/>
        <w:right w:val="none" w:sz="0" w:space="0" w:color="auto"/>
      </w:divBdr>
    </w:div>
    <w:div w:id="981621211">
      <w:bodyDiv w:val="1"/>
      <w:marLeft w:val="0"/>
      <w:marRight w:val="0"/>
      <w:marTop w:val="0"/>
      <w:marBottom w:val="0"/>
      <w:divBdr>
        <w:top w:val="none" w:sz="0" w:space="0" w:color="auto"/>
        <w:left w:val="none" w:sz="0" w:space="0" w:color="auto"/>
        <w:bottom w:val="none" w:sz="0" w:space="0" w:color="auto"/>
        <w:right w:val="none" w:sz="0" w:space="0" w:color="auto"/>
      </w:divBdr>
    </w:div>
    <w:div w:id="981931768">
      <w:bodyDiv w:val="1"/>
      <w:marLeft w:val="0"/>
      <w:marRight w:val="0"/>
      <w:marTop w:val="0"/>
      <w:marBottom w:val="0"/>
      <w:divBdr>
        <w:top w:val="none" w:sz="0" w:space="0" w:color="auto"/>
        <w:left w:val="none" w:sz="0" w:space="0" w:color="auto"/>
        <w:bottom w:val="none" w:sz="0" w:space="0" w:color="auto"/>
        <w:right w:val="none" w:sz="0" w:space="0" w:color="auto"/>
      </w:divBdr>
    </w:div>
    <w:div w:id="982076567">
      <w:bodyDiv w:val="1"/>
      <w:marLeft w:val="0"/>
      <w:marRight w:val="0"/>
      <w:marTop w:val="0"/>
      <w:marBottom w:val="0"/>
      <w:divBdr>
        <w:top w:val="none" w:sz="0" w:space="0" w:color="auto"/>
        <w:left w:val="none" w:sz="0" w:space="0" w:color="auto"/>
        <w:bottom w:val="none" w:sz="0" w:space="0" w:color="auto"/>
        <w:right w:val="none" w:sz="0" w:space="0" w:color="auto"/>
      </w:divBdr>
    </w:div>
    <w:div w:id="984043377">
      <w:bodyDiv w:val="1"/>
      <w:marLeft w:val="0"/>
      <w:marRight w:val="0"/>
      <w:marTop w:val="0"/>
      <w:marBottom w:val="0"/>
      <w:divBdr>
        <w:top w:val="none" w:sz="0" w:space="0" w:color="auto"/>
        <w:left w:val="none" w:sz="0" w:space="0" w:color="auto"/>
        <w:bottom w:val="none" w:sz="0" w:space="0" w:color="auto"/>
        <w:right w:val="none" w:sz="0" w:space="0" w:color="auto"/>
      </w:divBdr>
    </w:div>
    <w:div w:id="984311098">
      <w:bodyDiv w:val="1"/>
      <w:marLeft w:val="0"/>
      <w:marRight w:val="0"/>
      <w:marTop w:val="0"/>
      <w:marBottom w:val="0"/>
      <w:divBdr>
        <w:top w:val="none" w:sz="0" w:space="0" w:color="auto"/>
        <w:left w:val="none" w:sz="0" w:space="0" w:color="auto"/>
        <w:bottom w:val="none" w:sz="0" w:space="0" w:color="auto"/>
        <w:right w:val="none" w:sz="0" w:space="0" w:color="auto"/>
      </w:divBdr>
    </w:div>
    <w:div w:id="984353659">
      <w:bodyDiv w:val="1"/>
      <w:marLeft w:val="0"/>
      <w:marRight w:val="0"/>
      <w:marTop w:val="0"/>
      <w:marBottom w:val="0"/>
      <w:divBdr>
        <w:top w:val="none" w:sz="0" w:space="0" w:color="auto"/>
        <w:left w:val="none" w:sz="0" w:space="0" w:color="auto"/>
        <w:bottom w:val="none" w:sz="0" w:space="0" w:color="auto"/>
        <w:right w:val="none" w:sz="0" w:space="0" w:color="auto"/>
      </w:divBdr>
    </w:div>
    <w:div w:id="984547451">
      <w:bodyDiv w:val="1"/>
      <w:marLeft w:val="0"/>
      <w:marRight w:val="0"/>
      <w:marTop w:val="0"/>
      <w:marBottom w:val="0"/>
      <w:divBdr>
        <w:top w:val="none" w:sz="0" w:space="0" w:color="auto"/>
        <w:left w:val="none" w:sz="0" w:space="0" w:color="auto"/>
        <w:bottom w:val="none" w:sz="0" w:space="0" w:color="auto"/>
        <w:right w:val="none" w:sz="0" w:space="0" w:color="auto"/>
      </w:divBdr>
    </w:div>
    <w:div w:id="984892552">
      <w:bodyDiv w:val="1"/>
      <w:marLeft w:val="0"/>
      <w:marRight w:val="0"/>
      <w:marTop w:val="0"/>
      <w:marBottom w:val="0"/>
      <w:divBdr>
        <w:top w:val="none" w:sz="0" w:space="0" w:color="auto"/>
        <w:left w:val="none" w:sz="0" w:space="0" w:color="auto"/>
        <w:bottom w:val="none" w:sz="0" w:space="0" w:color="auto"/>
        <w:right w:val="none" w:sz="0" w:space="0" w:color="auto"/>
      </w:divBdr>
    </w:div>
    <w:div w:id="985012132">
      <w:bodyDiv w:val="1"/>
      <w:marLeft w:val="0"/>
      <w:marRight w:val="0"/>
      <w:marTop w:val="0"/>
      <w:marBottom w:val="0"/>
      <w:divBdr>
        <w:top w:val="none" w:sz="0" w:space="0" w:color="auto"/>
        <w:left w:val="none" w:sz="0" w:space="0" w:color="auto"/>
        <w:bottom w:val="none" w:sz="0" w:space="0" w:color="auto"/>
        <w:right w:val="none" w:sz="0" w:space="0" w:color="auto"/>
      </w:divBdr>
    </w:div>
    <w:div w:id="986082206">
      <w:bodyDiv w:val="1"/>
      <w:marLeft w:val="0"/>
      <w:marRight w:val="0"/>
      <w:marTop w:val="0"/>
      <w:marBottom w:val="0"/>
      <w:divBdr>
        <w:top w:val="none" w:sz="0" w:space="0" w:color="auto"/>
        <w:left w:val="none" w:sz="0" w:space="0" w:color="auto"/>
        <w:bottom w:val="none" w:sz="0" w:space="0" w:color="auto"/>
        <w:right w:val="none" w:sz="0" w:space="0" w:color="auto"/>
      </w:divBdr>
    </w:div>
    <w:div w:id="986977296">
      <w:bodyDiv w:val="1"/>
      <w:marLeft w:val="0"/>
      <w:marRight w:val="0"/>
      <w:marTop w:val="0"/>
      <w:marBottom w:val="0"/>
      <w:divBdr>
        <w:top w:val="none" w:sz="0" w:space="0" w:color="auto"/>
        <w:left w:val="none" w:sz="0" w:space="0" w:color="auto"/>
        <w:bottom w:val="none" w:sz="0" w:space="0" w:color="auto"/>
        <w:right w:val="none" w:sz="0" w:space="0" w:color="auto"/>
      </w:divBdr>
    </w:div>
    <w:div w:id="987127855">
      <w:bodyDiv w:val="1"/>
      <w:marLeft w:val="0"/>
      <w:marRight w:val="0"/>
      <w:marTop w:val="0"/>
      <w:marBottom w:val="0"/>
      <w:divBdr>
        <w:top w:val="none" w:sz="0" w:space="0" w:color="auto"/>
        <w:left w:val="none" w:sz="0" w:space="0" w:color="auto"/>
        <w:bottom w:val="none" w:sz="0" w:space="0" w:color="auto"/>
        <w:right w:val="none" w:sz="0" w:space="0" w:color="auto"/>
      </w:divBdr>
    </w:div>
    <w:div w:id="987200216">
      <w:bodyDiv w:val="1"/>
      <w:marLeft w:val="0"/>
      <w:marRight w:val="0"/>
      <w:marTop w:val="0"/>
      <w:marBottom w:val="0"/>
      <w:divBdr>
        <w:top w:val="none" w:sz="0" w:space="0" w:color="auto"/>
        <w:left w:val="none" w:sz="0" w:space="0" w:color="auto"/>
        <w:bottom w:val="none" w:sz="0" w:space="0" w:color="auto"/>
        <w:right w:val="none" w:sz="0" w:space="0" w:color="auto"/>
      </w:divBdr>
    </w:div>
    <w:div w:id="987317243">
      <w:bodyDiv w:val="1"/>
      <w:marLeft w:val="0"/>
      <w:marRight w:val="0"/>
      <w:marTop w:val="0"/>
      <w:marBottom w:val="0"/>
      <w:divBdr>
        <w:top w:val="none" w:sz="0" w:space="0" w:color="auto"/>
        <w:left w:val="none" w:sz="0" w:space="0" w:color="auto"/>
        <w:bottom w:val="none" w:sz="0" w:space="0" w:color="auto"/>
        <w:right w:val="none" w:sz="0" w:space="0" w:color="auto"/>
      </w:divBdr>
    </w:div>
    <w:div w:id="987443629">
      <w:bodyDiv w:val="1"/>
      <w:marLeft w:val="0"/>
      <w:marRight w:val="0"/>
      <w:marTop w:val="0"/>
      <w:marBottom w:val="0"/>
      <w:divBdr>
        <w:top w:val="none" w:sz="0" w:space="0" w:color="auto"/>
        <w:left w:val="none" w:sz="0" w:space="0" w:color="auto"/>
        <w:bottom w:val="none" w:sz="0" w:space="0" w:color="auto"/>
        <w:right w:val="none" w:sz="0" w:space="0" w:color="auto"/>
      </w:divBdr>
    </w:div>
    <w:div w:id="987593530">
      <w:bodyDiv w:val="1"/>
      <w:marLeft w:val="0"/>
      <w:marRight w:val="0"/>
      <w:marTop w:val="0"/>
      <w:marBottom w:val="0"/>
      <w:divBdr>
        <w:top w:val="none" w:sz="0" w:space="0" w:color="auto"/>
        <w:left w:val="none" w:sz="0" w:space="0" w:color="auto"/>
        <w:bottom w:val="none" w:sz="0" w:space="0" w:color="auto"/>
        <w:right w:val="none" w:sz="0" w:space="0" w:color="auto"/>
      </w:divBdr>
    </w:div>
    <w:div w:id="987636405">
      <w:bodyDiv w:val="1"/>
      <w:marLeft w:val="0"/>
      <w:marRight w:val="0"/>
      <w:marTop w:val="0"/>
      <w:marBottom w:val="0"/>
      <w:divBdr>
        <w:top w:val="none" w:sz="0" w:space="0" w:color="auto"/>
        <w:left w:val="none" w:sz="0" w:space="0" w:color="auto"/>
        <w:bottom w:val="none" w:sz="0" w:space="0" w:color="auto"/>
        <w:right w:val="none" w:sz="0" w:space="0" w:color="auto"/>
      </w:divBdr>
    </w:div>
    <w:div w:id="987855732">
      <w:bodyDiv w:val="1"/>
      <w:marLeft w:val="0"/>
      <w:marRight w:val="0"/>
      <w:marTop w:val="0"/>
      <w:marBottom w:val="0"/>
      <w:divBdr>
        <w:top w:val="none" w:sz="0" w:space="0" w:color="auto"/>
        <w:left w:val="none" w:sz="0" w:space="0" w:color="auto"/>
        <w:bottom w:val="none" w:sz="0" w:space="0" w:color="auto"/>
        <w:right w:val="none" w:sz="0" w:space="0" w:color="auto"/>
      </w:divBdr>
    </w:div>
    <w:div w:id="988168726">
      <w:bodyDiv w:val="1"/>
      <w:marLeft w:val="0"/>
      <w:marRight w:val="0"/>
      <w:marTop w:val="0"/>
      <w:marBottom w:val="0"/>
      <w:divBdr>
        <w:top w:val="none" w:sz="0" w:space="0" w:color="auto"/>
        <w:left w:val="none" w:sz="0" w:space="0" w:color="auto"/>
        <w:bottom w:val="none" w:sz="0" w:space="0" w:color="auto"/>
        <w:right w:val="none" w:sz="0" w:space="0" w:color="auto"/>
      </w:divBdr>
    </w:div>
    <w:div w:id="988285808">
      <w:bodyDiv w:val="1"/>
      <w:marLeft w:val="0"/>
      <w:marRight w:val="0"/>
      <w:marTop w:val="0"/>
      <w:marBottom w:val="0"/>
      <w:divBdr>
        <w:top w:val="none" w:sz="0" w:space="0" w:color="auto"/>
        <w:left w:val="none" w:sz="0" w:space="0" w:color="auto"/>
        <w:bottom w:val="none" w:sz="0" w:space="0" w:color="auto"/>
        <w:right w:val="none" w:sz="0" w:space="0" w:color="auto"/>
      </w:divBdr>
    </w:div>
    <w:div w:id="988628407">
      <w:bodyDiv w:val="1"/>
      <w:marLeft w:val="0"/>
      <w:marRight w:val="0"/>
      <w:marTop w:val="0"/>
      <w:marBottom w:val="0"/>
      <w:divBdr>
        <w:top w:val="none" w:sz="0" w:space="0" w:color="auto"/>
        <w:left w:val="none" w:sz="0" w:space="0" w:color="auto"/>
        <w:bottom w:val="none" w:sz="0" w:space="0" w:color="auto"/>
        <w:right w:val="none" w:sz="0" w:space="0" w:color="auto"/>
      </w:divBdr>
    </w:div>
    <w:div w:id="988829080">
      <w:bodyDiv w:val="1"/>
      <w:marLeft w:val="0"/>
      <w:marRight w:val="0"/>
      <w:marTop w:val="0"/>
      <w:marBottom w:val="0"/>
      <w:divBdr>
        <w:top w:val="none" w:sz="0" w:space="0" w:color="auto"/>
        <w:left w:val="none" w:sz="0" w:space="0" w:color="auto"/>
        <w:bottom w:val="none" w:sz="0" w:space="0" w:color="auto"/>
        <w:right w:val="none" w:sz="0" w:space="0" w:color="auto"/>
      </w:divBdr>
    </w:div>
    <w:div w:id="989359748">
      <w:bodyDiv w:val="1"/>
      <w:marLeft w:val="0"/>
      <w:marRight w:val="0"/>
      <w:marTop w:val="0"/>
      <w:marBottom w:val="0"/>
      <w:divBdr>
        <w:top w:val="none" w:sz="0" w:space="0" w:color="auto"/>
        <w:left w:val="none" w:sz="0" w:space="0" w:color="auto"/>
        <w:bottom w:val="none" w:sz="0" w:space="0" w:color="auto"/>
        <w:right w:val="none" w:sz="0" w:space="0" w:color="auto"/>
      </w:divBdr>
    </w:div>
    <w:div w:id="989403063">
      <w:bodyDiv w:val="1"/>
      <w:marLeft w:val="0"/>
      <w:marRight w:val="0"/>
      <w:marTop w:val="0"/>
      <w:marBottom w:val="0"/>
      <w:divBdr>
        <w:top w:val="none" w:sz="0" w:space="0" w:color="auto"/>
        <w:left w:val="none" w:sz="0" w:space="0" w:color="auto"/>
        <w:bottom w:val="none" w:sz="0" w:space="0" w:color="auto"/>
        <w:right w:val="none" w:sz="0" w:space="0" w:color="auto"/>
      </w:divBdr>
    </w:div>
    <w:div w:id="989528378">
      <w:bodyDiv w:val="1"/>
      <w:marLeft w:val="0"/>
      <w:marRight w:val="0"/>
      <w:marTop w:val="0"/>
      <w:marBottom w:val="0"/>
      <w:divBdr>
        <w:top w:val="none" w:sz="0" w:space="0" w:color="auto"/>
        <w:left w:val="none" w:sz="0" w:space="0" w:color="auto"/>
        <w:bottom w:val="none" w:sz="0" w:space="0" w:color="auto"/>
        <w:right w:val="none" w:sz="0" w:space="0" w:color="auto"/>
      </w:divBdr>
    </w:div>
    <w:div w:id="990401352">
      <w:bodyDiv w:val="1"/>
      <w:marLeft w:val="0"/>
      <w:marRight w:val="0"/>
      <w:marTop w:val="0"/>
      <w:marBottom w:val="0"/>
      <w:divBdr>
        <w:top w:val="none" w:sz="0" w:space="0" w:color="auto"/>
        <w:left w:val="none" w:sz="0" w:space="0" w:color="auto"/>
        <w:bottom w:val="none" w:sz="0" w:space="0" w:color="auto"/>
        <w:right w:val="none" w:sz="0" w:space="0" w:color="auto"/>
      </w:divBdr>
    </w:div>
    <w:div w:id="990409927">
      <w:bodyDiv w:val="1"/>
      <w:marLeft w:val="0"/>
      <w:marRight w:val="0"/>
      <w:marTop w:val="0"/>
      <w:marBottom w:val="0"/>
      <w:divBdr>
        <w:top w:val="none" w:sz="0" w:space="0" w:color="auto"/>
        <w:left w:val="none" w:sz="0" w:space="0" w:color="auto"/>
        <w:bottom w:val="none" w:sz="0" w:space="0" w:color="auto"/>
        <w:right w:val="none" w:sz="0" w:space="0" w:color="auto"/>
      </w:divBdr>
    </w:div>
    <w:div w:id="990520145">
      <w:bodyDiv w:val="1"/>
      <w:marLeft w:val="0"/>
      <w:marRight w:val="0"/>
      <w:marTop w:val="0"/>
      <w:marBottom w:val="0"/>
      <w:divBdr>
        <w:top w:val="none" w:sz="0" w:space="0" w:color="auto"/>
        <w:left w:val="none" w:sz="0" w:space="0" w:color="auto"/>
        <w:bottom w:val="none" w:sz="0" w:space="0" w:color="auto"/>
        <w:right w:val="none" w:sz="0" w:space="0" w:color="auto"/>
      </w:divBdr>
    </w:div>
    <w:div w:id="990599382">
      <w:bodyDiv w:val="1"/>
      <w:marLeft w:val="0"/>
      <w:marRight w:val="0"/>
      <w:marTop w:val="0"/>
      <w:marBottom w:val="0"/>
      <w:divBdr>
        <w:top w:val="none" w:sz="0" w:space="0" w:color="auto"/>
        <w:left w:val="none" w:sz="0" w:space="0" w:color="auto"/>
        <w:bottom w:val="none" w:sz="0" w:space="0" w:color="auto"/>
        <w:right w:val="none" w:sz="0" w:space="0" w:color="auto"/>
      </w:divBdr>
    </w:div>
    <w:div w:id="990989799">
      <w:bodyDiv w:val="1"/>
      <w:marLeft w:val="0"/>
      <w:marRight w:val="0"/>
      <w:marTop w:val="0"/>
      <w:marBottom w:val="0"/>
      <w:divBdr>
        <w:top w:val="none" w:sz="0" w:space="0" w:color="auto"/>
        <w:left w:val="none" w:sz="0" w:space="0" w:color="auto"/>
        <w:bottom w:val="none" w:sz="0" w:space="0" w:color="auto"/>
        <w:right w:val="none" w:sz="0" w:space="0" w:color="auto"/>
      </w:divBdr>
    </w:div>
    <w:div w:id="991106059">
      <w:bodyDiv w:val="1"/>
      <w:marLeft w:val="0"/>
      <w:marRight w:val="0"/>
      <w:marTop w:val="0"/>
      <w:marBottom w:val="0"/>
      <w:divBdr>
        <w:top w:val="none" w:sz="0" w:space="0" w:color="auto"/>
        <w:left w:val="none" w:sz="0" w:space="0" w:color="auto"/>
        <w:bottom w:val="none" w:sz="0" w:space="0" w:color="auto"/>
        <w:right w:val="none" w:sz="0" w:space="0" w:color="auto"/>
      </w:divBdr>
    </w:div>
    <w:div w:id="991984514">
      <w:bodyDiv w:val="1"/>
      <w:marLeft w:val="0"/>
      <w:marRight w:val="0"/>
      <w:marTop w:val="0"/>
      <w:marBottom w:val="0"/>
      <w:divBdr>
        <w:top w:val="none" w:sz="0" w:space="0" w:color="auto"/>
        <w:left w:val="none" w:sz="0" w:space="0" w:color="auto"/>
        <w:bottom w:val="none" w:sz="0" w:space="0" w:color="auto"/>
        <w:right w:val="none" w:sz="0" w:space="0" w:color="auto"/>
      </w:divBdr>
    </w:div>
    <w:div w:id="992176087">
      <w:bodyDiv w:val="1"/>
      <w:marLeft w:val="0"/>
      <w:marRight w:val="0"/>
      <w:marTop w:val="0"/>
      <w:marBottom w:val="0"/>
      <w:divBdr>
        <w:top w:val="none" w:sz="0" w:space="0" w:color="auto"/>
        <w:left w:val="none" w:sz="0" w:space="0" w:color="auto"/>
        <w:bottom w:val="none" w:sz="0" w:space="0" w:color="auto"/>
        <w:right w:val="none" w:sz="0" w:space="0" w:color="auto"/>
      </w:divBdr>
    </w:div>
    <w:div w:id="993070163">
      <w:bodyDiv w:val="1"/>
      <w:marLeft w:val="0"/>
      <w:marRight w:val="0"/>
      <w:marTop w:val="0"/>
      <w:marBottom w:val="0"/>
      <w:divBdr>
        <w:top w:val="none" w:sz="0" w:space="0" w:color="auto"/>
        <w:left w:val="none" w:sz="0" w:space="0" w:color="auto"/>
        <w:bottom w:val="none" w:sz="0" w:space="0" w:color="auto"/>
        <w:right w:val="none" w:sz="0" w:space="0" w:color="auto"/>
      </w:divBdr>
    </w:div>
    <w:div w:id="993291675">
      <w:bodyDiv w:val="1"/>
      <w:marLeft w:val="0"/>
      <w:marRight w:val="0"/>
      <w:marTop w:val="0"/>
      <w:marBottom w:val="0"/>
      <w:divBdr>
        <w:top w:val="none" w:sz="0" w:space="0" w:color="auto"/>
        <w:left w:val="none" w:sz="0" w:space="0" w:color="auto"/>
        <w:bottom w:val="none" w:sz="0" w:space="0" w:color="auto"/>
        <w:right w:val="none" w:sz="0" w:space="0" w:color="auto"/>
      </w:divBdr>
    </w:div>
    <w:div w:id="993408515">
      <w:bodyDiv w:val="1"/>
      <w:marLeft w:val="0"/>
      <w:marRight w:val="0"/>
      <w:marTop w:val="0"/>
      <w:marBottom w:val="0"/>
      <w:divBdr>
        <w:top w:val="none" w:sz="0" w:space="0" w:color="auto"/>
        <w:left w:val="none" w:sz="0" w:space="0" w:color="auto"/>
        <w:bottom w:val="none" w:sz="0" w:space="0" w:color="auto"/>
        <w:right w:val="none" w:sz="0" w:space="0" w:color="auto"/>
      </w:divBdr>
    </w:div>
    <w:div w:id="993677206">
      <w:bodyDiv w:val="1"/>
      <w:marLeft w:val="0"/>
      <w:marRight w:val="0"/>
      <w:marTop w:val="0"/>
      <w:marBottom w:val="0"/>
      <w:divBdr>
        <w:top w:val="none" w:sz="0" w:space="0" w:color="auto"/>
        <w:left w:val="none" w:sz="0" w:space="0" w:color="auto"/>
        <w:bottom w:val="none" w:sz="0" w:space="0" w:color="auto"/>
        <w:right w:val="none" w:sz="0" w:space="0" w:color="auto"/>
      </w:divBdr>
    </w:div>
    <w:div w:id="994069154">
      <w:bodyDiv w:val="1"/>
      <w:marLeft w:val="0"/>
      <w:marRight w:val="0"/>
      <w:marTop w:val="0"/>
      <w:marBottom w:val="0"/>
      <w:divBdr>
        <w:top w:val="none" w:sz="0" w:space="0" w:color="auto"/>
        <w:left w:val="none" w:sz="0" w:space="0" w:color="auto"/>
        <w:bottom w:val="none" w:sz="0" w:space="0" w:color="auto"/>
        <w:right w:val="none" w:sz="0" w:space="0" w:color="auto"/>
      </w:divBdr>
    </w:div>
    <w:div w:id="994261976">
      <w:bodyDiv w:val="1"/>
      <w:marLeft w:val="0"/>
      <w:marRight w:val="0"/>
      <w:marTop w:val="0"/>
      <w:marBottom w:val="0"/>
      <w:divBdr>
        <w:top w:val="none" w:sz="0" w:space="0" w:color="auto"/>
        <w:left w:val="none" w:sz="0" w:space="0" w:color="auto"/>
        <w:bottom w:val="none" w:sz="0" w:space="0" w:color="auto"/>
        <w:right w:val="none" w:sz="0" w:space="0" w:color="auto"/>
      </w:divBdr>
    </w:div>
    <w:div w:id="994602971">
      <w:bodyDiv w:val="1"/>
      <w:marLeft w:val="0"/>
      <w:marRight w:val="0"/>
      <w:marTop w:val="0"/>
      <w:marBottom w:val="0"/>
      <w:divBdr>
        <w:top w:val="none" w:sz="0" w:space="0" w:color="auto"/>
        <w:left w:val="none" w:sz="0" w:space="0" w:color="auto"/>
        <w:bottom w:val="none" w:sz="0" w:space="0" w:color="auto"/>
        <w:right w:val="none" w:sz="0" w:space="0" w:color="auto"/>
      </w:divBdr>
    </w:div>
    <w:div w:id="995378537">
      <w:bodyDiv w:val="1"/>
      <w:marLeft w:val="0"/>
      <w:marRight w:val="0"/>
      <w:marTop w:val="0"/>
      <w:marBottom w:val="0"/>
      <w:divBdr>
        <w:top w:val="none" w:sz="0" w:space="0" w:color="auto"/>
        <w:left w:val="none" w:sz="0" w:space="0" w:color="auto"/>
        <w:bottom w:val="none" w:sz="0" w:space="0" w:color="auto"/>
        <w:right w:val="none" w:sz="0" w:space="0" w:color="auto"/>
      </w:divBdr>
    </w:div>
    <w:div w:id="995454959">
      <w:bodyDiv w:val="1"/>
      <w:marLeft w:val="0"/>
      <w:marRight w:val="0"/>
      <w:marTop w:val="0"/>
      <w:marBottom w:val="0"/>
      <w:divBdr>
        <w:top w:val="none" w:sz="0" w:space="0" w:color="auto"/>
        <w:left w:val="none" w:sz="0" w:space="0" w:color="auto"/>
        <w:bottom w:val="none" w:sz="0" w:space="0" w:color="auto"/>
        <w:right w:val="none" w:sz="0" w:space="0" w:color="auto"/>
      </w:divBdr>
    </w:div>
    <w:div w:id="996301101">
      <w:bodyDiv w:val="1"/>
      <w:marLeft w:val="0"/>
      <w:marRight w:val="0"/>
      <w:marTop w:val="0"/>
      <w:marBottom w:val="0"/>
      <w:divBdr>
        <w:top w:val="none" w:sz="0" w:space="0" w:color="auto"/>
        <w:left w:val="none" w:sz="0" w:space="0" w:color="auto"/>
        <w:bottom w:val="none" w:sz="0" w:space="0" w:color="auto"/>
        <w:right w:val="none" w:sz="0" w:space="0" w:color="auto"/>
      </w:divBdr>
    </w:div>
    <w:div w:id="996686671">
      <w:bodyDiv w:val="1"/>
      <w:marLeft w:val="0"/>
      <w:marRight w:val="0"/>
      <w:marTop w:val="0"/>
      <w:marBottom w:val="0"/>
      <w:divBdr>
        <w:top w:val="none" w:sz="0" w:space="0" w:color="auto"/>
        <w:left w:val="none" w:sz="0" w:space="0" w:color="auto"/>
        <w:bottom w:val="none" w:sz="0" w:space="0" w:color="auto"/>
        <w:right w:val="none" w:sz="0" w:space="0" w:color="auto"/>
      </w:divBdr>
    </w:div>
    <w:div w:id="997000811">
      <w:bodyDiv w:val="1"/>
      <w:marLeft w:val="0"/>
      <w:marRight w:val="0"/>
      <w:marTop w:val="0"/>
      <w:marBottom w:val="0"/>
      <w:divBdr>
        <w:top w:val="none" w:sz="0" w:space="0" w:color="auto"/>
        <w:left w:val="none" w:sz="0" w:space="0" w:color="auto"/>
        <w:bottom w:val="none" w:sz="0" w:space="0" w:color="auto"/>
        <w:right w:val="none" w:sz="0" w:space="0" w:color="auto"/>
      </w:divBdr>
    </w:div>
    <w:div w:id="997001783">
      <w:bodyDiv w:val="1"/>
      <w:marLeft w:val="0"/>
      <w:marRight w:val="0"/>
      <w:marTop w:val="0"/>
      <w:marBottom w:val="0"/>
      <w:divBdr>
        <w:top w:val="none" w:sz="0" w:space="0" w:color="auto"/>
        <w:left w:val="none" w:sz="0" w:space="0" w:color="auto"/>
        <w:bottom w:val="none" w:sz="0" w:space="0" w:color="auto"/>
        <w:right w:val="none" w:sz="0" w:space="0" w:color="auto"/>
      </w:divBdr>
    </w:div>
    <w:div w:id="997028912">
      <w:bodyDiv w:val="1"/>
      <w:marLeft w:val="0"/>
      <w:marRight w:val="0"/>
      <w:marTop w:val="0"/>
      <w:marBottom w:val="0"/>
      <w:divBdr>
        <w:top w:val="none" w:sz="0" w:space="0" w:color="auto"/>
        <w:left w:val="none" w:sz="0" w:space="0" w:color="auto"/>
        <w:bottom w:val="none" w:sz="0" w:space="0" w:color="auto"/>
        <w:right w:val="none" w:sz="0" w:space="0" w:color="auto"/>
      </w:divBdr>
    </w:div>
    <w:div w:id="997537640">
      <w:bodyDiv w:val="1"/>
      <w:marLeft w:val="0"/>
      <w:marRight w:val="0"/>
      <w:marTop w:val="0"/>
      <w:marBottom w:val="0"/>
      <w:divBdr>
        <w:top w:val="none" w:sz="0" w:space="0" w:color="auto"/>
        <w:left w:val="none" w:sz="0" w:space="0" w:color="auto"/>
        <w:bottom w:val="none" w:sz="0" w:space="0" w:color="auto"/>
        <w:right w:val="none" w:sz="0" w:space="0" w:color="auto"/>
      </w:divBdr>
    </w:div>
    <w:div w:id="997613279">
      <w:bodyDiv w:val="1"/>
      <w:marLeft w:val="0"/>
      <w:marRight w:val="0"/>
      <w:marTop w:val="0"/>
      <w:marBottom w:val="0"/>
      <w:divBdr>
        <w:top w:val="none" w:sz="0" w:space="0" w:color="auto"/>
        <w:left w:val="none" w:sz="0" w:space="0" w:color="auto"/>
        <w:bottom w:val="none" w:sz="0" w:space="0" w:color="auto"/>
        <w:right w:val="none" w:sz="0" w:space="0" w:color="auto"/>
      </w:divBdr>
    </w:div>
    <w:div w:id="997735168">
      <w:bodyDiv w:val="1"/>
      <w:marLeft w:val="0"/>
      <w:marRight w:val="0"/>
      <w:marTop w:val="0"/>
      <w:marBottom w:val="0"/>
      <w:divBdr>
        <w:top w:val="none" w:sz="0" w:space="0" w:color="auto"/>
        <w:left w:val="none" w:sz="0" w:space="0" w:color="auto"/>
        <w:bottom w:val="none" w:sz="0" w:space="0" w:color="auto"/>
        <w:right w:val="none" w:sz="0" w:space="0" w:color="auto"/>
      </w:divBdr>
    </w:div>
    <w:div w:id="997924314">
      <w:bodyDiv w:val="1"/>
      <w:marLeft w:val="0"/>
      <w:marRight w:val="0"/>
      <w:marTop w:val="0"/>
      <w:marBottom w:val="0"/>
      <w:divBdr>
        <w:top w:val="none" w:sz="0" w:space="0" w:color="auto"/>
        <w:left w:val="none" w:sz="0" w:space="0" w:color="auto"/>
        <w:bottom w:val="none" w:sz="0" w:space="0" w:color="auto"/>
        <w:right w:val="none" w:sz="0" w:space="0" w:color="auto"/>
      </w:divBdr>
    </w:div>
    <w:div w:id="997998684">
      <w:bodyDiv w:val="1"/>
      <w:marLeft w:val="0"/>
      <w:marRight w:val="0"/>
      <w:marTop w:val="0"/>
      <w:marBottom w:val="0"/>
      <w:divBdr>
        <w:top w:val="none" w:sz="0" w:space="0" w:color="auto"/>
        <w:left w:val="none" w:sz="0" w:space="0" w:color="auto"/>
        <w:bottom w:val="none" w:sz="0" w:space="0" w:color="auto"/>
        <w:right w:val="none" w:sz="0" w:space="0" w:color="auto"/>
      </w:divBdr>
    </w:div>
    <w:div w:id="998653523">
      <w:bodyDiv w:val="1"/>
      <w:marLeft w:val="0"/>
      <w:marRight w:val="0"/>
      <w:marTop w:val="0"/>
      <w:marBottom w:val="0"/>
      <w:divBdr>
        <w:top w:val="none" w:sz="0" w:space="0" w:color="auto"/>
        <w:left w:val="none" w:sz="0" w:space="0" w:color="auto"/>
        <w:bottom w:val="none" w:sz="0" w:space="0" w:color="auto"/>
        <w:right w:val="none" w:sz="0" w:space="0" w:color="auto"/>
      </w:divBdr>
    </w:div>
    <w:div w:id="999039883">
      <w:bodyDiv w:val="1"/>
      <w:marLeft w:val="0"/>
      <w:marRight w:val="0"/>
      <w:marTop w:val="0"/>
      <w:marBottom w:val="0"/>
      <w:divBdr>
        <w:top w:val="none" w:sz="0" w:space="0" w:color="auto"/>
        <w:left w:val="none" w:sz="0" w:space="0" w:color="auto"/>
        <w:bottom w:val="none" w:sz="0" w:space="0" w:color="auto"/>
        <w:right w:val="none" w:sz="0" w:space="0" w:color="auto"/>
      </w:divBdr>
    </w:div>
    <w:div w:id="999044926">
      <w:bodyDiv w:val="1"/>
      <w:marLeft w:val="0"/>
      <w:marRight w:val="0"/>
      <w:marTop w:val="0"/>
      <w:marBottom w:val="0"/>
      <w:divBdr>
        <w:top w:val="none" w:sz="0" w:space="0" w:color="auto"/>
        <w:left w:val="none" w:sz="0" w:space="0" w:color="auto"/>
        <w:bottom w:val="none" w:sz="0" w:space="0" w:color="auto"/>
        <w:right w:val="none" w:sz="0" w:space="0" w:color="auto"/>
      </w:divBdr>
    </w:div>
    <w:div w:id="999238172">
      <w:bodyDiv w:val="1"/>
      <w:marLeft w:val="0"/>
      <w:marRight w:val="0"/>
      <w:marTop w:val="0"/>
      <w:marBottom w:val="0"/>
      <w:divBdr>
        <w:top w:val="none" w:sz="0" w:space="0" w:color="auto"/>
        <w:left w:val="none" w:sz="0" w:space="0" w:color="auto"/>
        <w:bottom w:val="none" w:sz="0" w:space="0" w:color="auto"/>
        <w:right w:val="none" w:sz="0" w:space="0" w:color="auto"/>
      </w:divBdr>
    </w:div>
    <w:div w:id="999502230">
      <w:bodyDiv w:val="1"/>
      <w:marLeft w:val="0"/>
      <w:marRight w:val="0"/>
      <w:marTop w:val="0"/>
      <w:marBottom w:val="0"/>
      <w:divBdr>
        <w:top w:val="none" w:sz="0" w:space="0" w:color="auto"/>
        <w:left w:val="none" w:sz="0" w:space="0" w:color="auto"/>
        <w:bottom w:val="none" w:sz="0" w:space="0" w:color="auto"/>
        <w:right w:val="none" w:sz="0" w:space="0" w:color="auto"/>
      </w:divBdr>
    </w:div>
    <w:div w:id="999961460">
      <w:bodyDiv w:val="1"/>
      <w:marLeft w:val="0"/>
      <w:marRight w:val="0"/>
      <w:marTop w:val="0"/>
      <w:marBottom w:val="0"/>
      <w:divBdr>
        <w:top w:val="none" w:sz="0" w:space="0" w:color="auto"/>
        <w:left w:val="none" w:sz="0" w:space="0" w:color="auto"/>
        <w:bottom w:val="none" w:sz="0" w:space="0" w:color="auto"/>
        <w:right w:val="none" w:sz="0" w:space="0" w:color="auto"/>
      </w:divBdr>
    </w:div>
    <w:div w:id="1000084536">
      <w:bodyDiv w:val="1"/>
      <w:marLeft w:val="0"/>
      <w:marRight w:val="0"/>
      <w:marTop w:val="0"/>
      <w:marBottom w:val="0"/>
      <w:divBdr>
        <w:top w:val="none" w:sz="0" w:space="0" w:color="auto"/>
        <w:left w:val="none" w:sz="0" w:space="0" w:color="auto"/>
        <w:bottom w:val="none" w:sz="0" w:space="0" w:color="auto"/>
        <w:right w:val="none" w:sz="0" w:space="0" w:color="auto"/>
      </w:divBdr>
    </w:div>
    <w:div w:id="1000278299">
      <w:bodyDiv w:val="1"/>
      <w:marLeft w:val="0"/>
      <w:marRight w:val="0"/>
      <w:marTop w:val="0"/>
      <w:marBottom w:val="0"/>
      <w:divBdr>
        <w:top w:val="none" w:sz="0" w:space="0" w:color="auto"/>
        <w:left w:val="none" w:sz="0" w:space="0" w:color="auto"/>
        <w:bottom w:val="none" w:sz="0" w:space="0" w:color="auto"/>
        <w:right w:val="none" w:sz="0" w:space="0" w:color="auto"/>
      </w:divBdr>
    </w:div>
    <w:div w:id="1000549919">
      <w:bodyDiv w:val="1"/>
      <w:marLeft w:val="0"/>
      <w:marRight w:val="0"/>
      <w:marTop w:val="0"/>
      <w:marBottom w:val="0"/>
      <w:divBdr>
        <w:top w:val="none" w:sz="0" w:space="0" w:color="auto"/>
        <w:left w:val="none" w:sz="0" w:space="0" w:color="auto"/>
        <w:bottom w:val="none" w:sz="0" w:space="0" w:color="auto"/>
        <w:right w:val="none" w:sz="0" w:space="0" w:color="auto"/>
      </w:divBdr>
    </w:div>
    <w:div w:id="1000741028">
      <w:bodyDiv w:val="1"/>
      <w:marLeft w:val="0"/>
      <w:marRight w:val="0"/>
      <w:marTop w:val="0"/>
      <w:marBottom w:val="0"/>
      <w:divBdr>
        <w:top w:val="none" w:sz="0" w:space="0" w:color="auto"/>
        <w:left w:val="none" w:sz="0" w:space="0" w:color="auto"/>
        <w:bottom w:val="none" w:sz="0" w:space="0" w:color="auto"/>
        <w:right w:val="none" w:sz="0" w:space="0" w:color="auto"/>
      </w:divBdr>
    </w:div>
    <w:div w:id="1000766581">
      <w:bodyDiv w:val="1"/>
      <w:marLeft w:val="0"/>
      <w:marRight w:val="0"/>
      <w:marTop w:val="0"/>
      <w:marBottom w:val="0"/>
      <w:divBdr>
        <w:top w:val="none" w:sz="0" w:space="0" w:color="auto"/>
        <w:left w:val="none" w:sz="0" w:space="0" w:color="auto"/>
        <w:bottom w:val="none" w:sz="0" w:space="0" w:color="auto"/>
        <w:right w:val="none" w:sz="0" w:space="0" w:color="auto"/>
      </w:divBdr>
    </w:div>
    <w:div w:id="1000891051">
      <w:bodyDiv w:val="1"/>
      <w:marLeft w:val="0"/>
      <w:marRight w:val="0"/>
      <w:marTop w:val="0"/>
      <w:marBottom w:val="0"/>
      <w:divBdr>
        <w:top w:val="none" w:sz="0" w:space="0" w:color="auto"/>
        <w:left w:val="none" w:sz="0" w:space="0" w:color="auto"/>
        <w:bottom w:val="none" w:sz="0" w:space="0" w:color="auto"/>
        <w:right w:val="none" w:sz="0" w:space="0" w:color="auto"/>
      </w:divBdr>
    </w:div>
    <w:div w:id="1001008824">
      <w:bodyDiv w:val="1"/>
      <w:marLeft w:val="0"/>
      <w:marRight w:val="0"/>
      <w:marTop w:val="0"/>
      <w:marBottom w:val="0"/>
      <w:divBdr>
        <w:top w:val="none" w:sz="0" w:space="0" w:color="auto"/>
        <w:left w:val="none" w:sz="0" w:space="0" w:color="auto"/>
        <w:bottom w:val="none" w:sz="0" w:space="0" w:color="auto"/>
        <w:right w:val="none" w:sz="0" w:space="0" w:color="auto"/>
      </w:divBdr>
    </w:div>
    <w:div w:id="1001079082">
      <w:bodyDiv w:val="1"/>
      <w:marLeft w:val="0"/>
      <w:marRight w:val="0"/>
      <w:marTop w:val="0"/>
      <w:marBottom w:val="0"/>
      <w:divBdr>
        <w:top w:val="none" w:sz="0" w:space="0" w:color="auto"/>
        <w:left w:val="none" w:sz="0" w:space="0" w:color="auto"/>
        <w:bottom w:val="none" w:sz="0" w:space="0" w:color="auto"/>
        <w:right w:val="none" w:sz="0" w:space="0" w:color="auto"/>
      </w:divBdr>
    </w:div>
    <w:div w:id="1001085000">
      <w:bodyDiv w:val="1"/>
      <w:marLeft w:val="0"/>
      <w:marRight w:val="0"/>
      <w:marTop w:val="0"/>
      <w:marBottom w:val="0"/>
      <w:divBdr>
        <w:top w:val="none" w:sz="0" w:space="0" w:color="auto"/>
        <w:left w:val="none" w:sz="0" w:space="0" w:color="auto"/>
        <w:bottom w:val="none" w:sz="0" w:space="0" w:color="auto"/>
        <w:right w:val="none" w:sz="0" w:space="0" w:color="auto"/>
      </w:divBdr>
    </w:div>
    <w:div w:id="1001546514">
      <w:bodyDiv w:val="1"/>
      <w:marLeft w:val="0"/>
      <w:marRight w:val="0"/>
      <w:marTop w:val="0"/>
      <w:marBottom w:val="0"/>
      <w:divBdr>
        <w:top w:val="none" w:sz="0" w:space="0" w:color="auto"/>
        <w:left w:val="none" w:sz="0" w:space="0" w:color="auto"/>
        <w:bottom w:val="none" w:sz="0" w:space="0" w:color="auto"/>
        <w:right w:val="none" w:sz="0" w:space="0" w:color="auto"/>
      </w:divBdr>
    </w:div>
    <w:div w:id="1002198975">
      <w:bodyDiv w:val="1"/>
      <w:marLeft w:val="0"/>
      <w:marRight w:val="0"/>
      <w:marTop w:val="0"/>
      <w:marBottom w:val="0"/>
      <w:divBdr>
        <w:top w:val="none" w:sz="0" w:space="0" w:color="auto"/>
        <w:left w:val="none" w:sz="0" w:space="0" w:color="auto"/>
        <w:bottom w:val="none" w:sz="0" w:space="0" w:color="auto"/>
        <w:right w:val="none" w:sz="0" w:space="0" w:color="auto"/>
      </w:divBdr>
    </w:div>
    <w:div w:id="1003356416">
      <w:bodyDiv w:val="1"/>
      <w:marLeft w:val="0"/>
      <w:marRight w:val="0"/>
      <w:marTop w:val="0"/>
      <w:marBottom w:val="0"/>
      <w:divBdr>
        <w:top w:val="none" w:sz="0" w:space="0" w:color="auto"/>
        <w:left w:val="none" w:sz="0" w:space="0" w:color="auto"/>
        <w:bottom w:val="none" w:sz="0" w:space="0" w:color="auto"/>
        <w:right w:val="none" w:sz="0" w:space="0" w:color="auto"/>
      </w:divBdr>
    </w:div>
    <w:div w:id="1003513907">
      <w:bodyDiv w:val="1"/>
      <w:marLeft w:val="0"/>
      <w:marRight w:val="0"/>
      <w:marTop w:val="0"/>
      <w:marBottom w:val="0"/>
      <w:divBdr>
        <w:top w:val="none" w:sz="0" w:space="0" w:color="auto"/>
        <w:left w:val="none" w:sz="0" w:space="0" w:color="auto"/>
        <w:bottom w:val="none" w:sz="0" w:space="0" w:color="auto"/>
        <w:right w:val="none" w:sz="0" w:space="0" w:color="auto"/>
      </w:divBdr>
    </w:div>
    <w:div w:id="1004011936">
      <w:bodyDiv w:val="1"/>
      <w:marLeft w:val="0"/>
      <w:marRight w:val="0"/>
      <w:marTop w:val="0"/>
      <w:marBottom w:val="0"/>
      <w:divBdr>
        <w:top w:val="none" w:sz="0" w:space="0" w:color="auto"/>
        <w:left w:val="none" w:sz="0" w:space="0" w:color="auto"/>
        <w:bottom w:val="none" w:sz="0" w:space="0" w:color="auto"/>
        <w:right w:val="none" w:sz="0" w:space="0" w:color="auto"/>
      </w:divBdr>
    </w:div>
    <w:div w:id="1004015366">
      <w:bodyDiv w:val="1"/>
      <w:marLeft w:val="0"/>
      <w:marRight w:val="0"/>
      <w:marTop w:val="0"/>
      <w:marBottom w:val="0"/>
      <w:divBdr>
        <w:top w:val="none" w:sz="0" w:space="0" w:color="auto"/>
        <w:left w:val="none" w:sz="0" w:space="0" w:color="auto"/>
        <w:bottom w:val="none" w:sz="0" w:space="0" w:color="auto"/>
        <w:right w:val="none" w:sz="0" w:space="0" w:color="auto"/>
      </w:divBdr>
    </w:div>
    <w:div w:id="1004089736">
      <w:bodyDiv w:val="1"/>
      <w:marLeft w:val="0"/>
      <w:marRight w:val="0"/>
      <w:marTop w:val="0"/>
      <w:marBottom w:val="0"/>
      <w:divBdr>
        <w:top w:val="none" w:sz="0" w:space="0" w:color="auto"/>
        <w:left w:val="none" w:sz="0" w:space="0" w:color="auto"/>
        <w:bottom w:val="none" w:sz="0" w:space="0" w:color="auto"/>
        <w:right w:val="none" w:sz="0" w:space="0" w:color="auto"/>
      </w:divBdr>
    </w:div>
    <w:div w:id="1004550924">
      <w:bodyDiv w:val="1"/>
      <w:marLeft w:val="0"/>
      <w:marRight w:val="0"/>
      <w:marTop w:val="0"/>
      <w:marBottom w:val="0"/>
      <w:divBdr>
        <w:top w:val="none" w:sz="0" w:space="0" w:color="auto"/>
        <w:left w:val="none" w:sz="0" w:space="0" w:color="auto"/>
        <w:bottom w:val="none" w:sz="0" w:space="0" w:color="auto"/>
        <w:right w:val="none" w:sz="0" w:space="0" w:color="auto"/>
      </w:divBdr>
    </w:div>
    <w:div w:id="1004555959">
      <w:bodyDiv w:val="1"/>
      <w:marLeft w:val="0"/>
      <w:marRight w:val="0"/>
      <w:marTop w:val="0"/>
      <w:marBottom w:val="0"/>
      <w:divBdr>
        <w:top w:val="none" w:sz="0" w:space="0" w:color="auto"/>
        <w:left w:val="none" w:sz="0" w:space="0" w:color="auto"/>
        <w:bottom w:val="none" w:sz="0" w:space="0" w:color="auto"/>
        <w:right w:val="none" w:sz="0" w:space="0" w:color="auto"/>
      </w:divBdr>
    </w:div>
    <w:div w:id="1005286553">
      <w:bodyDiv w:val="1"/>
      <w:marLeft w:val="0"/>
      <w:marRight w:val="0"/>
      <w:marTop w:val="0"/>
      <w:marBottom w:val="0"/>
      <w:divBdr>
        <w:top w:val="none" w:sz="0" w:space="0" w:color="auto"/>
        <w:left w:val="none" w:sz="0" w:space="0" w:color="auto"/>
        <w:bottom w:val="none" w:sz="0" w:space="0" w:color="auto"/>
        <w:right w:val="none" w:sz="0" w:space="0" w:color="auto"/>
      </w:divBdr>
    </w:div>
    <w:div w:id="1005477697">
      <w:bodyDiv w:val="1"/>
      <w:marLeft w:val="0"/>
      <w:marRight w:val="0"/>
      <w:marTop w:val="0"/>
      <w:marBottom w:val="0"/>
      <w:divBdr>
        <w:top w:val="none" w:sz="0" w:space="0" w:color="auto"/>
        <w:left w:val="none" w:sz="0" w:space="0" w:color="auto"/>
        <w:bottom w:val="none" w:sz="0" w:space="0" w:color="auto"/>
        <w:right w:val="none" w:sz="0" w:space="0" w:color="auto"/>
      </w:divBdr>
    </w:div>
    <w:div w:id="1005598643">
      <w:bodyDiv w:val="1"/>
      <w:marLeft w:val="0"/>
      <w:marRight w:val="0"/>
      <w:marTop w:val="0"/>
      <w:marBottom w:val="0"/>
      <w:divBdr>
        <w:top w:val="none" w:sz="0" w:space="0" w:color="auto"/>
        <w:left w:val="none" w:sz="0" w:space="0" w:color="auto"/>
        <w:bottom w:val="none" w:sz="0" w:space="0" w:color="auto"/>
        <w:right w:val="none" w:sz="0" w:space="0" w:color="auto"/>
      </w:divBdr>
    </w:div>
    <w:div w:id="1005859015">
      <w:bodyDiv w:val="1"/>
      <w:marLeft w:val="0"/>
      <w:marRight w:val="0"/>
      <w:marTop w:val="0"/>
      <w:marBottom w:val="0"/>
      <w:divBdr>
        <w:top w:val="none" w:sz="0" w:space="0" w:color="auto"/>
        <w:left w:val="none" w:sz="0" w:space="0" w:color="auto"/>
        <w:bottom w:val="none" w:sz="0" w:space="0" w:color="auto"/>
        <w:right w:val="none" w:sz="0" w:space="0" w:color="auto"/>
      </w:divBdr>
    </w:div>
    <w:div w:id="1005977743">
      <w:bodyDiv w:val="1"/>
      <w:marLeft w:val="0"/>
      <w:marRight w:val="0"/>
      <w:marTop w:val="0"/>
      <w:marBottom w:val="0"/>
      <w:divBdr>
        <w:top w:val="none" w:sz="0" w:space="0" w:color="auto"/>
        <w:left w:val="none" w:sz="0" w:space="0" w:color="auto"/>
        <w:bottom w:val="none" w:sz="0" w:space="0" w:color="auto"/>
        <w:right w:val="none" w:sz="0" w:space="0" w:color="auto"/>
      </w:divBdr>
    </w:div>
    <w:div w:id="1006248343">
      <w:bodyDiv w:val="1"/>
      <w:marLeft w:val="0"/>
      <w:marRight w:val="0"/>
      <w:marTop w:val="0"/>
      <w:marBottom w:val="0"/>
      <w:divBdr>
        <w:top w:val="none" w:sz="0" w:space="0" w:color="auto"/>
        <w:left w:val="none" w:sz="0" w:space="0" w:color="auto"/>
        <w:bottom w:val="none" w:sz="0" w:space="0" w:color="auto"/>
        <w:right w:val="none" w:sz="0" w:space="0" w:color="auto"/>
      </w:divBdr>
    </w:div>
    <w:div w:id="1006595733">
      <w:bodyDiv w:val="1"/>
      <w:marLeft w:val="0"/>
      <w:marRight w:val="0"/>
      <w:marTop w:val="0"/>
      <w:marBottom w:val="0"/>
      <w:divBdr>
        <w:top w:val="none" w:sz="0" w:space="0" w:color="auto"/>
        <w:left w:val="none" w:sz="0" w:space="0" w:color="auto"/>
        <w:bottom w:val="none" w:sz="0" w:space="0" w:color="auto"/>
        <w:right w:val="none" w:sz="0" w:space="0" w:color="auto"/>
      </w:divBdr>
    </w:div>
    <w:div w:id="1007055965">
      <w:bodyDiv w:val="1"/>
      <w:marLeft w:val="0"/>
      <w:marRight w:val="0"/>
      <w:marTop w:val="0"/>
      <w:marBottom w:val="0"/>
      <w:divBdr>
        <w:top w:val="none" w:sz="0" w:space="0" w:color="auto"/>
        <w:left w:val="none" w:sz="0" w:space="0" w:color="auto"/>
        <w:bottom w:val="none" w:sz="0" w:space="0" w:color="auto"/>
        <w:right w:val="none" w:sz="0" w:space="0" w:color="auto"/>
      </w:divBdr>
    </w:div>
    <w:div w:id="1007178137">
      <w:bodyDiv w:val="1"/>
      <w:marLeft w:val="0"/>
      <w:marRight w:val="0"/>
      <w:marTop w:val="0"/>
      <w:marBottom w:val="0"/>
      <w:divBdr>
        <w:top w:val="none" w:sz="0" w:space="0" w:color="auto"/>
        <w:left w:val="none" w:sz="0" w:space="0" w:color="auto"/>
        <w:bottom w:val="none" w:sz="0" w:space="0" w:color="auto"/>
        <w:right w:val="none" w:sz="0" w:space="0" w:color="auto"/>
      </w:divBdr>
    </w:div>
    <w:div w:id="1007296163">
      <w:bodyDiv w:val="1"/>
      <w:marLeft w:val="0"/>
      <w:marRight w:val="0"/>
      <w:marTop w:val="0"/>
      <w:marBottom w:val="0"/>
      <w:divBdr>
        <w:top w:val="none" w:sz="0" w:space="0" w:color="auto"/>
        <w:left w:val="none" w:sz="0" w:space="0" w:color="auto"/>
        <w:bottom w:val="none" w:sz="0" w:space="0" w:color="auto"/>
        <w:right w:val="none" w:sz="0" w:space="0" w:color="auto"/>
      </w:divBdr>
    </w:div>
    <w:div w:id="1007631775">
      <w:bodyDiv w:val="1"/>
      <w:marLeft w:val="0"/>
      <w:marRight w:val="0"/>
      <w:marTop w:val="0"/>
      <w:marBottom w:val="0"/>
      <w:divBdr>
        <w:top w:val="none" w:sz="0" w:space="0" w:color="auto"/>
        <w:left w:val="none" w:sz="0" w:space="0" w:color="auto"/>
        <w:bottom w:val="none" w:sz="0" w:space="0" w:color="auto"/>
        <w:right w:val="none" w:sz="0" w:space="0" w:color="auto"/>
      </w:divBdr>
    </w:div>
    <w:div w:id="1008481835">
      <w:bodyDiv w:val="1"/>
      <w:marLeft w:val="0"/>
      <w:marRight w:val="0"/>
      <w:marTop w:val="0"/>
      <w:marBottom w:val="0"/>
      <w:divBdr>
        <w:top w:val="none" w:sz="0" w:space="0" w:color="auto"/>
        <w:left w:val="none" w:sz="0" w:space="0" w:color="auto"/>
        <w:bottom w:val="none" w:sz="0" w:space="0" w:color="auto"/>
        <w:right w:val="none" w:sz="0" w:space="0" w:color="auto"/>
      </w:divBdr>
    </w:div>
    <w:div w:id="1008482524">
      <w:bodyDiv w:val="1"/>
      <w:marLeft w:val="0"/>
      <w:marRight w:val="0"/>
      <w:marTop w:val="0"/>
      <w:marBottom w:val="0"/>
      <w:divBdr>
        <w:top w:val="none" w:sz="0" w:space="0" w:color="auto"/>
        <w:left w:val="none" w:sz="0" w:space="0" w:color="auto"/>
        <w:bottom w:val="none" w:sz="0" w:space="0" w:color="auto"/>
        <w:right w:val="none" w:sz="0" w:space="0" w:color="auto"/>
      </w:divBdr>
    </w:div>
    <w:div w:id="1009021516">
      <w:bodyDiv w:val="1"/>
      <w:marLeft w:val="0"/>
      <w:marRight w:val="0"/>
      <w:marTop w:val="0"/>
      <w:marBottom w:val="0"/>
      <w:divBdr>
        <w:top w:val="none" w:sz="0" w:space="0" w:color="auto"/>
        <w:left w:val="none" w:sz="0" w:space="0" w:color="auto"/>
        <w:bottom w:val="none" w:sz="0" w:space="0" w:color="auto"/>
        <w:right w:val="none" w:sz="0" w:space="0" w:color="auto"/>
      </w:divBdr>
    </w:div>
    <w:div w:id="1009022452">
      <w:bodyDiv w:val="1"/>
      <w:marLeft w:val="0"/>
      <w:marRight w:val="0"/>
      <w:marTop w:val="0"/>
      <w:marBottom w:val="0"/>
      <w:divBdr>
        <w:top w:val="none" w:sz="0" w:space="0" w:color="auto"/>
        <w:left w:val="none" w:sz="0" w:space="0" w:color="auto"/>
        <w:bottom w:val="none" w:sz="0" w:space="0" w:color="auto"/>
        <w:right w:val="none" w:sz="0" w:space="0" w:color="auto"/>
      </w:divBdr>
    </w:div>
    <w:div w:id="1009407173">
      <w:bodyDiv w:val="1"/>
      <w:marLeft w:val="0"/>
      <w:marRight w:val="0"/>
      <w:marTop w:val="0"/>
      <w:marBottom w:val="0"/>
      <w:divBdr>
        <w:top w:val="none" w:sz="0" w:space="0" w:color="auto"/>
        <w:left w:val="none" w:sz="0" w:space="0" w:color="auto"/>
        <w:bottom w:val="none" w:sz="0" w:space="0" w:color="auto"/>
        <w:right w:val="none" w:sz="0" w:space="0" w:color="auto"/>
      </w:divBdr>
    </w:div>
    <w:div w:id="1009527101">
      <w:bodyDiv w:val="1"/>
      <w:marLeft w:val="0"/>
      <w:marRight w:val="0"/>
      <w:marTop w:val="0"/>
      <w:marBottom w:val="0"/>
      <w:divBdr>
        <w:top w:val="none" w:sz="0" w:space="0" w:color="auto"/>
        <w:left w:val="none" w:sz="0" w:space="0" w:color="auto"/>
        <w:bottom w:val="none" w:sz="0" w:space="0" w:color="auto"/>
        <w:right w:val="none" w:sz="0" w:space="0" w:color="auto"/>
      </w:divBdr>
    </w:div>
    <w:div w:id="1009678802">
      <w:bodyDiv w:val="1"/>
      <w:marLeft w:val="0"/>
      <w:marRight w:val="0"/>
      <w:marTop w:val="0"/>
      <w:marBottom w:val="0"/>
      <w:divBdr>
        <w:top w:val="none" w:sz="0" w:space="0" w:color="auto"/>
        <w:left w:val="none" w:sz="0" w:space="0" w:color="auto"/>
        <w:bottom w:val="none" w:sz="0" w:space="0" w:color="auto"/>
        <w:right w:val="none" w:sz="0" w:space="0" w:color="auto"/>
      </w:divBdr>
    </w:div>
    <w:div w:id="1009719626">
      <w:bodyDiv w:val="1"/>
      <w:marLeft w:val="0"/>
      <w:marRight w:val="0"/>
      <w:marTop w:val="0"/>
      <w:marBottom w:val="0"/>
      <w:divBdr>
        <w:top w:val="none" w:sz="0" w:space="0" w:color="auto"/>
        <w:left w:val="none" w:sz="0" w:space="0" w:color="auto"/>
        <w:bottom w:val="none" w:sz="0" w:space="0" w:color="auto"/>
        <w:right w:val="none" w:sz="0" w:space="0" w:color="auto"/>
      </w:divBdr>
    </w:div>
    <w:div w:id="1009985682">
      <w:bodyDiv w:val="1"/>
      <w:marLeft w:val="0"/>
      <w:marRight w:val="0"/>
      <w:marTop w:val="0"/>
      <w:marBottom w:val="0"/>
      <w:divBdr>
        <w:top w:val="none" w:sz="0" w:space="0" w:color="auto"/>
        <w:left w:val="none" w:sz="0" w:space="0" w:color="auto"/>
        <w:bottom w:val="none" w:sz="0" w:space="0" w:color="auto"/>
        <w:right w:val="none" w:sz="0" w:space="0" w:color="auto"/>
      </w:divBdr>
    </w:div>
    <w:div w:id="1010060802">
      <w:bodyDiv w:val="1"/>
      <w:marLeft w:val="0"/>
      <w:marRight w:val="0"/>
      <w:marTop w:val="0"/>
      <w:marBottom w:val="0"/>
      <w:divBdr>
        <w:top w:val="none" w:sz="0" w:space="0" w:color="auto"/>
        <w:left w:val="none" w:sz="0" w:space="0" w:color="auto"/>
        <w:bottom w:val="none" w:sz="0" w:space="0" w:color="auto"/>
        <w:right w:val="none" w:sz="0" w:space="0" w:color="auto"/>
      </w:divBdr>
    </w:div>
    <w:div w:id="1010371162">
      <w:bodyDiv w:val="1"/>
      <w:marLeft w:val="0"/>
      <w:marRight w:val="0"/>
      <w:marTop w:val="0"/>
      <w:marBottom w:val="0"/>
      <w:divBdr>
        <w:top w:val="none" w:sz="0" w:space="0" w:color="auto"/>
        <w:left w:val="none" w:sz="0" w:space="0" w:color="auto"/>
        <w:bottom w:val="none" w:sz="0" w:space="0" w:color="auto"/>
        <w:right w:val="none" w:sz="0" w:space="0" w:color="auto"/>
      </w:divBdr>
    </w:div>
    <w:div w:id="1010912025">
      <w:bodyDiv w:val="1"/>
      <w:marLeft w:val="0"/>
      <w:marRight w:val="0"/>
      <w:marTop w:val="0"/>
      <w:marBottom w:val="0"/>
      <w:divBdr>
        <w:top w:val="none" w:sz="0" w:space="0" w:color="auto"/>
        <w:left w:val="none" w:sz="0" w:space="0" w:color="auto"/>
        <w:bottom w:val="none" w:sz="0" w:space="0" w:color="auto"/>
        <w:right w:val="none" w:sz="0" w:space="0" w:color="auto"/>
      </w:divBdr>
    </w:div>
    <w:div w:id="1011027633">
      <w:bodyDiv w:val="1"/>
      <w:marLeft w:val="0"/>
      <w:marRight w:val="0"/>
      <w:marTop w:val="0"/>
      <w:marBottom w:val="0"/>
      <w:divBdr>
        <w:top w:val="none" w:sz="0" w:space="0" w:color="auto"/>
        <w:left w:val="none" w:sz="0" w:space="0" w:color="auto"/>
        <w:bottom w:val="none" w:sz="0" w:space="0" w:color="auto"/>
        <w:right w:val="none" w:sz="0" w:space="0" w:color="auto"/>
      </w:divBdr>
    </w:div>
    <w:div w:id="1011108007">
      <w:bodyDiv w:val="1"/>
      <w:marLeft w:val="0"/>
      <w:marRight w:val="0"/>
      <w:marTop w:val="0"/>
      <w:marBottom w:val="0"/>
      <w:divBdr>
        <w:top w:val="none" w:sz="0" w:space="0" w:color="auto"/>
        <w:left w:val="none" w:sz="0" w:space="0" w:color="auto"/>
        <w:bottom w:val="none" w:sz="0" w:space="0" w:color="auto"/>
        <w:right w:val="none" w:sz="0" w:space="0" w:color="auto"/>
      </w:divBdr>
    </w:div>
    <w:div w:id="1011370511">
      <w:bodyDiv w:val="1"/>
      <w:marLeft w:val="0"/>
      <w:marRight w:val="0"/>
      <w:marTop w:val="0"/>
      <w:marBottom w:val="0"/>
      <w:divBdr>
        <w:top w:val="none" w:sz="0" w:space="0" w:color="auto"/>
        <w:left w:val="none" w:sz="0" w:space="0" w:color="auto"/>
        <w:bottom w:val="none" w:sz="0" w:space="0" w:color="auto"/>
        <w:right w:val="none" w:sz="0" w:space="0" w:color="auto"/>
      </w:divBdr>
    </w:div>
    <w:div w:id="1011420852">
      <w:bodyDiv w:val="1"/>
      <w:marLeft w:val="0"/>
      <w:marRight w:val="0"/>
      <w:marTop w:val="0"/>
      <w:marBottom w:val="0"/>
      <w:divBdr>
        <w:top w:val="none" w:sz="0" w:space="0" w:color="auto"/>
        <w:left w:val="none" w:sz="0" w:space="0" w:color="auto"/>
        <w:bottom w:val="none" w:sz="0" w:space="0" w:color="auto"/>
        <w:right w:val="none" w:sz="0" w:space="0" w:color="auto"/>
      </w:divBdr>
    </w:div>
    <w:div w:id="1011568048">
      <w:bodyDiv w:val="1"/>
      <w:marLeft w:val="0"/>
      <w:marRight w:val="0"/>
      <w:marTop w:val="0"/>
      <w:marBottom w:val="0"/>
      <w:divBdr>
        <w:top w:val="none" w:sz="0" w:space="0" w:color="auto"/>
        <w:left w:val="none" w:sz="0" w:space="0" w:color="auto"/>
        <w:bottom w:val="none" w:sz="0" w:space="0" w:color="auto"/>
        <w:right w:val="none" w:sz="0" w:space="0" w:color="auto"/>
      </w:divBdr>
    </w:div>
    <w:div w:id="1011569140">
      <w:bodyDiv w:val="1"/>
      <w:marLeft w:val="0"/>
      <w:marRight w:val="0"/>
      <w:marTop w:val="0"/>
      <w:marBottom w:val="0"/>
      <w:divBdr>
        <w:top w:val="none" w:sz="0" w:space="0" w:color="auto"/>
        <w:left w:val="none" w:sz="0" w:space="0" w:color="auto"/>
        <w:bottom w:val="none" w:sz="0" w:space="0" w:color="auto"/>
        <w:right w:val="none" w:sz="0" w:space="0" w:color="auto"/>
      </w:divBdr>
    </w:div>
    <w:div w:id="1011835114">
      <w:bodyDiv w:val="1"/>
      <w:marLeft w:val="0"/>
      <w:marRight w:val="0"/>
      <w:marTop w:val="0"/>
      <w:marBottom w:val="0"/>
      <w:divBdr>
        <w:top w:val="none" w:sz="0" w:space="0" w:color="auto"/>
        <w:left w:val="none" w:sz="0" w:space="0" w:color="auto"/>
        <w:bottom w:val="none" w:sz="0" w:space="0" w:color="auto"/>
        <w:right w:val="none" w:sz="0" w:space="0" w:color="auto"/>
      </w:divBdr>
    </w:div>
    <w:div w:id="1012024705">
      <w:bodyDiv w:val="1"/>
      <w:marLeft w:val="0"/>
      <w:marRight w:val="0"/>
      <w:marTop w:val="0"/>
      <w:marBottom w:val="0"/>
      <w:divBdr>
        <w:top w:val="none" w:sz="0" w:space="0" w:color="auto"/>
        <w:left w:val="none" w:sz="0" w:space="0" w:color="auto"/>
        <w:bottom w:val="none" w:sz="0" w:space="0" w:color="auto"/>
        <w:right w:val="none" w:sz="0" w:space="0" w:color="auto"/>
      </w:divBdr>
    </w:div>
    <w:div w:id="1012145978">
      <w:bodyDiv w:val="1"/>
      <w:marLeft w:val="0"/>
      <w:marRight w:val="0"/>
      <w:marTop w:val="0"/>
      <w:marBottom w:val="0"/>
      <w:divBdr>
        <w:top w:val="none" w:sz="0" w:space="0" w:color="auto"/>
        <w:left w:val="none" w:sz="0" w:space="0" w:color="auto"/>
        <w:bottom w:val="none" w:sz="0" w:space="0" w:color="auto"/>
        <w:right w:val="none" w:sz="0" w:space="0" w:color="auto"/>
      </w:divBdr>
    </w:div>
    <w:div w:id="1012296349">
      <w:bodyDiv w:val="1"/>
      <w:marLeft w:val="0"/>
      <w:marRight w:val="0"/>
      <w:marTop w:val="0"/>
      <w:marBottom w:val="0"/>
      <w:divBdr>
        <w:top w:val="none" w:sz="0" w:space="0" w:color="auto"/>
        <w:left w:val="none" w:sz="0" w:space="0" w:color="auto"/>
        <w:bottom w:val="none" w:sz="0" w:space="0" w:color="auto"/>
        <w:right w:val="none" w:sz="0" w:space="0" w:color="auto"/>
      </w:divBdr>
    </w:div>
    <w:div w:id="1012609934">
      <w:bodyDiv w:val="1"/>
      <w:marLeft w:val="0"/>
      <w:marRight w:val="0"/>
      <w:marTop w:val="0"/>
      <w:marBottom w:val="0"/>
      <w:divBdr>
        <w:top w:val="none" w:sz="0" w:space="0" w:color="auto"/>
        <w:left w:val="none" w:sz="0" w:space="0" w:color="auto"/>
        <w:bottom w:val="none" w:sz="0" w:space="0" w:color="auto"/>
        <w:right w:val="none" w:sz="0" w:space="0" w:color="auto"/>
      </w:divBdr>
    </w:div>
    <w:div w:id="1012683858">
      <w:bodyDiv w:val="1"/>
      <w:marLeft w:val="0"/>
      <w:marRight w:val="0"/>
      <w:marTop w:val="0"/>
      <w:marBottom w:val="0"/>
      <w:divBdr>
        <w:top w:val="none" w:sz="0" w:space="0" w:color="auto"/>
        <w:left w:val="none" w:sz="0" w:space="0" w:color="auto"/>
        <w:bottom w:val="none" w:sz="0" w:space="0" w:color="auto"/>
        <w:right w:val="none" w:sz="0" w:space="0" w:color="auto"/>
      </w:divBdr>
    </w:div>
    <w:div w:id="1013217431">
      <w:bodyDiv w:val="1"/>
      <w:marLeft w:val="0"/>
      <w:marRight w:val="0"/>
      <w:marTop w:val="0"/>
      <w:marBottom w:val="0"/>
      <w:divBdr>
        <w:top w:val="none" w:sz="0" w:space="0" w:color="auto"/>
        <w:left w:val="none" w:sz="0" w:space="0" w:color="auto"/>
        <w:bottom w:val="none" w:sz="0" w:space="0" w:color="auto"/>
        <w:right w:val="none" w:sz="0" w:space="0" w:color="auto"/>
      </w:divBdr>
    </w:div>
    <w:div w:id="1014184071">
      <w:bodyDiv w:val="1"/>
      <w:marLeft w:val="0"/>
      <w:marRight w:val="0"/>
      <w:marTop w:val="0"/>
      <w:marBottom w:val="0"/>
      <w:divBdr>
        <w:top w:val="none" w:sz="0" w:space="0" w:color="auto"/>
        <w:left w:val="none" w:sz="0" w:space="0" w:color="auto"/>
        <w:bottom w:val="none" w:sz="0" w:space="0" w:color="auto"/>
        <w:right w:val="none" w:sz="0" w:space="0" w:color="auto"/>
      </w:divBdr>
    </w:div>
    <w:div w:id="1014189094">
      <w:bodyDiv w:val="1"/>
      <w:marLeft w:val="0"/>
      <w:marRight w:val="0"/>
      <w:marTop w:val="0"/>
      <w:marBottom w:val="0"/>
      <w:divBdr>
        <w:top w:val="none" w:sz="0" w:space="0" w:color="auto"/>
        <w:left w:val="none" w:sz="0" w:space="0" w:color="auto"/>
        <w:bottom w:val="none" w:sz="0" w:space="0" w:color="auto"/>
        <w:right w:val="none" w:sz="0" w:space="0" w:color="auto"/>
      </w:divBdr>
    </w:div>
    <w:div w:id="1014454683">
      <w:bodyDiv w:val="1"/>
      <w:marLeft w:val="0"/>
      <w:marRight w:val="0"/>
      <w:marTop w:val="0"/>
      <w:marBottom w:val="0"/>
      <w:divBdr>
        <w:top w:val="none" w:sz="0" w:space="0" w:color="auto"/>
        <w:left w:val="none" w:sz="0" w:space="0" w:color="auto"/>
        <w:bottom w:val="none" w:sz="0" w:space="0" w:color="auto"/>
        <w:right w:val="none" w:sz="0" w:space="0" w:color="auto"/>
      </w:divBdr>
    </w:div>
    <w:div w:id="1014963876">
      <w:bodyDiv w:val="1"/>
      <w:marLeft w:val="0"/>
      <w:marRight w:val="0"/>
      <w:marTop w:val="0"/>
      <w:marBottom w:val="0"/>
      <w:divBdr>
        <w:top w:val="none" w:sz="0" w:space="0" w:color="auto"/>
        <w:left w:val="none" w:sz="0" w:space="0" w:color="auto"/>
        <w:bottom w:val="none" w:sz="0" w:space="0" w:color="auto"/>
        <w:right w:val="none" w:sz="0" w:space="0" w:color="auto"/>
      </w:divBdr>
    </w:div>
    <w:div w:id="1015157219">
      <w:bodyDiv w:val="1"/>
      <w:marLeft w:val="0"/>
      <w:marRight w:val="0"/>
      <w:marTop w:val="0"/>
      <w:marBottom w:val="0"/>
      <w:divBdr>
        <w:top w:val="none" w:sz="0" w:space="0" w:color="auto"/>
        <w:left w:val="none" w:sz="0" w:space="0" w:color="auto"/>
        <w:bottom w:val="none" w:sz="0" w:space="0" w:color="auto"/>
        <w:right w:val="none" w:sz="0" w:space="0" w:color="auto"/>
      </w:divBdr>
    </w:div>
    <w:div w:id="1016804403">
      <w:bodyDiv w:val="1"/>
      <w:marLeft w:val="0"/>
      <w:marRight w:val="0"/>
      <w:marTop w:val="0"/>
      <w:marBottom w:val="0"/>
      <w:divBdr>
        <w:top w:val="none" w:sz="0" w:space="0" w:color="auto"/>
        <w:left w:val="none" w:sz="0" w:space="0" w:color="auto"/>
        <w:bottom w:val="none" w:sz="0" w:space="0" w:color="auto"/>
        <w:right w:val="none" w:sz="0" w:space="0" w:color="auto"/>
      </w:divBdr>
    </w:div>
    <w:div w:id="1016811560">
      <w:bodyDiv w:val="1"/>
      <w:marLeft w:val="0"/>
      <w:marRight w:val="0"/>
      <w:marTop w:val="0"/>
      <w:marBottom w:val="0"/>
      <w:divBdr>
        <w:top w:val="none" w:sz="0" w:space="0" w:color="auto"/>
        <w:left w:val="none" w:sz="0" w:space="0" w:color="auto"/>
        <w:bottom w:val="none" w:sz="0" w:space="0" w:color="auto"/>
        <w:right w:val="none" w:sz="0" w:space="0" w:color="auto"/>
      </w:divBdr>
    </w:div>
    <w:div w:id="1017080683">
      <w:bodyDiv w:val="1"/>
      <w:marLeft w:val="0"/>
      <w:marRight w:val="0"/>
      <w:marTop w:val="0"/>
      <w:marBottom w:val="0"/>
      <w:divBdr>
        <w:top w:val="none" w:sz="0" w:space="0" w:color="auto"/>
        <w:left w:val="none" w:sz="0" w:space="0" w:color="auto"/>
        <w:bottom w:val="none" w:sz="0" w:space="0" w:color="auto"/>
        <w:right w:val="none" w:sz="0" w:space="0" w:color="auto"/>
      </w:divBdr>
    </w:div>
    <w:div w:id="1017778714">
      <w:bodyDiv w:val="1"/>
      <w:marLeft w:val="0"/>
      <w:marRight w:val="0"/>
      <w:marTop w:val="0"/>
      <w:marBottom w:val="0"/>
      <w:divBdr>
        <w:top w:val="none" w:sz="0" w:space="0" w:color="auto"/>
        <w:left w:val="none" w:sz="0" w:space="0" w:color="auto"/>
        <w:bottom w:val="none" w:sz="0" w:space="0" w:color="auto"/>
        <w:right w:val="none" w:sz="0" w:space="0" w:color="auto"/>
      </w:divBdr>
    </w:div>
    <w:div w:id="1017930784">
      <w:bodyDiv w:val="1"/>
      <w:marLeft w:val="0"/>
      <w:marRight w:val="0"/>
      <w:marTop w:val="0"/>
      <w:marBottom w:val="0"/>
      <w:divBdr>
        <w:top w:val="none" w:sz="0" w:space="0" w:color="auto"/>
        <w:left w:val="none" w:sz="0" w:space="0" w:color="auto"/>
        <w:bottom w:val="none" w:sz="0" w:space="0" w:color="auto"/>
        <w:right w:val="none" w:sz="0" w:space="0" w:color="auto"/>
      </w:divBdr>
    </w:div>
    <w:div w:id="1018654401">
      <w:bodyDiv w:val="1"/>
      <w:marLeft w:val="0"/>
      <w:marRight w:val="0"/>
      <w:marTop w:val="0"/>
      <w:marBottom w:val="0"/>
      <w:divBdr>
        <w:top w:val="none" w:sz="0" w:space="0" w:color="auto"/>
        <w:left w:val="none" w:sz="0" w:space="0" w:color="auto"/>
        <w:bottom w:val="none" w:sz="0" w:space="0" w:color="auto"/>
        <w:right w:val="none" w:sz="0" w:space="0" w:color="auto"/>
      </w:divBdr>
    </w:div>
    <w:div w:id="1018696908">
      <w:bodyDiv w:val="1"/>
      <w:marLeft w:val="0"/>
      <w:marRight w:val="0"/>
      <w:marTop w:val="0"/>
      <w:marBottom w:val="0"/>
      <w:divBdr>
        <w:top w:val="none" w:sz="0" w:space="0" w:color="auto"/>
        <w:left w:val="none" w:sz="0" w:space="0" w:color="auto"/>
        <w:bottom w:val="none" w:sz="0" w:space="0" w:color="auto"/>
        <w:right w:val="none" w:sz="0" w:space="0" w:color="auto"/>
      </w:divBdr>
    </w:div>
    <w:div w:id="1018701356">
      <w:bodyDiv w:val="1"/>
      <w:marLeft w:val="0"/>
      <w:marRight w:val="0"/>
      <w:marTop w:val="0"/>
      <w:marBottom w:val="0"/>
      <w:divBdr>
        <w:top w:val="none" w:sz="0" w:space="0" w:color="auto"/>
        <w:left w:val="none" w:sz="0" w:space="0" w:color="auto"/>
        <w:bottom w:val="none" w:sz="0" w:space="0" w:color="auto"/>
        <w:right w:val="none" w:sz="0" w:space="0" w:color="auto"/>
      </w:divBdr>
    </w:div>
    <w:div w:id="1019088601">
      <w:bodyDiv w:val="1"/>
      <w:marLeft w:val="0"/>
      <w:marRight w:val="0"/>
      <w:marTop w:val="0"/>
      <w:marBottom w:val="0"/>
      <w:divBdr>
        <w:top w:val="none" w:sz="0" w:space="0" w:color="auto"/>
        <w:left w:val="none" w:sz="0" w:space="0" w:color="auto"/>
        <w:bottom w:val="none" w:sz="0" w:space="0" w:color="auto"/>
        <w:right w:val="none" w:sz="0" w:space="0" w:color="auto"/>
      </w:divBdr>
    </w:div>
    <w:div w:id="1019240625">
      <w:bodyDiv w:val="1"/>
      <w:marLeft w:val="0"/>
      <w:marRight w:val="0"/>
      <w:marTop w:val="0"/>
      <w:marBottom w:val="0"/>
      <w:divBdr>
        <w:top w:val="none" w:sz="0" w:space="0" w:color="auto"/>
        <w:left w:val="none" w:sz="0" w:space="0" w:color="auto"/>
        <w:bottom w:val="none" w:sz="0" w:space="0" w:color="auto"/>
        <w:right w:val="none" w:sz="0" w:space="0" w:color="auto"/>
      </w:divBdr>
    </w:div>
    <w:div w:id="1019431774">
      <w:bodyDiv w:val="1"/>
      <w:marLeft w:val="0"/>
      <w:marRight w:val="0"/>
      <w:marTop w:val="0"/>
      <w:marBottom w:val="0"/>
      <w:divBdr>
        <w:top w:val="none" w:sz="0" w:space="0" w:color="auto"/>
        <w:left w:val="none" w:sz="0" w:space="0" w:color="auto"/>
        <w:bottom w:val="none" w:sz="0" w:space="0" w:color="auto"/>
        <w:right w:val="none" w:sz="0" w:space="0" w:color="auto"/>
      </w:divBdr>
    </w:div>
    <w:div w:id="1019814899">
      <w:bodyDiv w:val="1"/>
      <w:marLeft w:val="0"/>
      <w:marRight w:val="0"/>
      <w:marTop w:val="0"/>
      <w:marBottom w:val="0"/>
      <w:divBdr>
        <w:top w:val="none" w:sz="0" w:space="0" w:color="auto"/>
        <w:left w:val="none" w:sz="0" w:space="0" w:color="auto"/>
        <w:bottom w:val="none" w:sz="0" w:space="0" w:color="auto"/>
        <w:right w:val="none" w:sz="0" w:space="0" w:color="auto"/>
      </w:divBdr>
    </w:div>
    <w:div w:id="1019895557">
      <w:bodyDiv w:val="1"/>
      <w:marLeft w:val="0"/>
      <w:marRight w:val="0"/>
      <w:marTop w:val="0"/>
      <w:marBottom w:val="0"/>
      <w:divBdr>
        <w:top w:val="none" w:sz="0" w:space="0" w:color="auto"/>
        <w:left w:val="none" w:sz="0" w:space="0" w:color="auto"/>
        <w:bottom w:val="none" w:sz="0" w:space="0" w:color="auto"/>
        <w:right w:val="none" w:sz="0" w:space="0" w:color="auto"/>
      </w:divBdr>
    </w:div>
    <w:div w:id="1019969000">
      <w:bodyDiv w:val="1"/>
      <w:marLeft w:val="0"/>
      <w:marRight w:val="0"/>
      <w:marTop w:val="0"/>
      <w:marBottom w:val="0"/>
      <w:divBdr>
        <w:top w:val="none" w:sz="0" w:space="0" w:color="auto"/>
        <w:left w:val="none" w:sz="0" w:space="0" w:color="auto"/>
        <w:bottom w:val="none" w:sz="0" w:space="0" w:color="auto"/>
        <w:right w:val="none" w:sz="0" w:space="0" w:color="auto"/>
      </w:divBdr>
    </w:div>
    <w:div w:id="1020661477">
      <w:bodyDiv w:val="1"/>
      <w:marLeft w:val="0"/>
      <w:marRight w:val="0"/>
      <w:marTop w:val="0"/>
      <w:marBottom w:val="0"/>
      <w:divBdr>
        <w:top w:val="none" w:sz="0" w:space="0" w:color="auto"/>
        <w:left w:val="none" w:sz="0" w:space="0" w:color="auto"/>
        <w:bottom w:val="none" w:sz="0" w:space="0" w:color="auto"/>
        <w:right w:val="none" w:sz="0" w:space="0" w:color="auto"/>
      </w:divBdr>
    </w:div>
    <w:div w:id="1021202237">
      <w:bodyDiv w:val="1"/>
      <w:marLeft w:val="0"/>
      <w:marRight w:val="0"/>
      <w:marTop w:val="0"/>
      <w:marBottom w:val="0"/>
      <w:divBdr>
        <w:top w:val="none" w:sz="0" w:space="0" w:color="auto"/>
        <w:left w:val="none" w:sz="0" w:space="0" w:color="auto"/>
        <w:bottom w:val="none" w:sz="0" w:space="0" w:color="auto"/>
        <w:right w:val="none" w:sz="0" w:space="0" w:color="auto"/>
      </w:divBdr>
    </w:div>
    <w:div w:id="1021319068">
      <w:bodyDiv w:val="1"/>
      <w:marLeft w:val="0"/>
      <w:marRight w:val="0"/>
      <w:marTop w:val="0"/>
      <w:marBottom w:val="0"/>
      <w:divBdr>
        <w:top w:val="none" w:sz="0" w:space="0" w:color="auto"/>
        <w:left w:val="none" w:sz="0" w:space="0" w:color="auto"/>
        <w:bottom w:val="none" w:sz="0" w:space="0" w:color="auto"/>
        <w:right w:val="none" w:sz="0" w:space="0" w:color="auto"/>
      </w:divBdr>
    </w:div>
    <w:div w:id="1021708064">
      <w:bodyDiv w:val="1"/>
      <w:marLeft w:val="0"/>
      <w:marRight w:val="0"/>
      <w:marTop w:val="0"/>
      <w:marBottom w:val="0"/>
      <w:divBdr>
        <w:top w:val="none" w:sz="0" w:space="0" w:color="auto"/>
        <w:left w:val="none" w:sz="0" w:space="0" w:color="auto"/>
        <w:bottom w:val="none" w:sz="0" w:space="0" w:color="auto"/>
        <w:right w:val="none" w:sz="0" w:space="0" w:color="auto"/>
      </w:divBdr>
    </w:div>
    <w:div w:id="1022323189">
      <w:bodyDiv w:val="1"/>
      <w:marLeft w:val="0"/>
      <w:marRight w:val="0"/>
      <w:marTop w:val="0"/>
      <w:marBottom w:val="0"/>
      <w:divBdr>
        <w:top w:val="none" w:sz="0" w:space="0" w:color="auto"/>
        <w:left w:val="none" w:sz="0" w:space="0" w:color="auto"/>
        <w:bottom w:val="none" w:sz="0" w:space="0" w:color="auto"/>
        <w:right w:val="none" w:sz="0" w:space="0" w:color="auto"/>
      </w:divBdr>
    </w:div>
    <w:div w:id="1022783836">
      <w:bodyDiv w:val="1"/>
      <w:marLeft w:val="0"/>
      <w:marRight w:val="0"/>
      <w:marTop w:val="0"/>
      <w:marBottom w:val="0"/>
      <w:divBdr>
        <w:top w:val="none" w:sz="0" w:space="0" w:color="auto"/>
        <w:left w:val="none" w:sz="0" w:space="0" w:color="auto"/>
        <w:bottom w:val="none" w:sz="0" w:space="0" w:color="auto"/>
        <w:right w:val="none" w:sz="0" w:space="0" w:color="auto"/>
      </w:divBdr>
    </w:div>
    <w:div w:id="1023166025">
      <w:bodyDiv w:val="1"/>
      <w:marLeft w:val="0"/>
      <w:marRight w:val="0"/>
      <w:marTop w:val="0"/>
      <w:marBottom w:val="0"/>
      <w:divBdr>
        <w:top w:val="none" w:sz="0" w:space="0" w:color="auto"/>
        <w:left w:val="none" w:sz="0" w:space="0" w:color="auto"/>
        <w:bottom w:val="none" w:sz="0" w:space="0" w:color="auto"/>
        <w:right w:val="none" w:sz="0" w:space="0" w:color="auto"/>
      </w:divBdr>
    </w:div>
    <w:div w:id="1023240693">
      <w:bodyDiv w:val="1"/>
      <w:marLeft w:val="0"/>
      <w:marRight w:val="0"/>
      <w:marTop w:val="0"/>
      <w:marBottom w:val="0"/>
      <w:divBdr>
        <w:top w:val="none" w:sz="0" w:space="0" w:color="auto"/>
        <w:left w:val="none" w:sz="0" w:space="0" w:color="auto"/>
        <w:bottom w:val="none" w:sz="0" w:space="0" w:color="auto"/>
        <w:right w:val="none" w:sz="0" w:space="0" w:color="auto"/>
      </w:divBdr>
    </w:div>
    <w:div w:id="1023898315">
      <w:bodyDiv w:val="1"/>
      <w:marLeft w:val="0"/>
      <w:marRight w:val="0"/>
      <w:marTop w:val="0"/>
      <w:marBottom w:val="0"/>
      <w:divBdr>
        <w:top w:val="none" w:sz="0" w:space="0" w:color="auto"/>
        <w:left w:val="none" w:sz="0" w:space="0" w:color="auto"/>
        <w:bottom w:val="none" w:sz="0" w:space="0" w:color="auto"/>
        <w:right w:val="none" w:sz="0" w:space="0" w:color="auto"/>
      </w:divBdr>
    </w:div>
    <w:div w:id="1023943067">
      <w:bodyDiv w:val="1"/>
      <w:marLeft w:val="0"/>
      <w:marRight w:val="0"/>
      <w:marTop w:val="0"/>
      <w:marBottom w:val="0"/>
      <w:divBdr>
        <w:top w:val="none" w:sz="0" w:space="0" w:color="auto"/>
        <w:left w:val="none" w:sz="0" w:space="0" w:color="auto"/>
        <w:bottom w:val="none" w:sz="0" w:space="0" w:color="auto"/>
        <w:right w:val="none" w:sz="0" w:space="0" w:color="auto"/>
      </w:divBdr>
    </w:div>
    <w:div w:id="1024016934">
      <w:bodyDiv w:val="1"/>
      <w:marLeft w:val="0"/>
      <w:marRight w:val="0"/>
      <w:marTop w:val="0"/>
      <w:marBottom w:val="0"/>
      <w:divBdr>
        <w:top w:val="none" w:sz="0" w:space="0" w:color="auto"/>
        <w:left w:val="none" w:sz="0" w:space="0" w:color="auto"/>
        <w:bottom w:val="none" w:sz="0" w:space="0" w:color="auto"/>
        <w:right w:val="none" w:sz="0" w:space="0" w:color="auto"/>
      </w:divBdr>
    </w:div>
    <w:div w:id="1025405052">
      <w:bodyDiv w:val="1"/>
      <w:marLeft w:val="0"/>
      <w:marRight w:val="0"/>
      <w:marTop w:val="0"/>
      <w:marBottom w:val="0"/>
      <w:divBdr>
        <w:top w:val="none" w:sz="0" w:space="0" w:color="auto"/>
        <w:left w:val="none" w:sz="0" w:space="0" w:color="auto"/>
        <w:bottom w:val="none" w:sz="0" w:space="0" w:color="auto"/>
        <w:right w:val="none" w:sz="0" w:space="0" w:color="auto"/>
      </w:divBdr>
    </w:div>
    <w:div w:id="1025406359">
      <w:bodyDiv w:val="1"/>
      <w:marLeft w:val="0"/>
      <w:marRight w:val="0"/>
      <w:marTop w:val="0"/>
      <w:marBottom w:val="0"/>
      <w:divBdr>
        <w:top w:val="none" w:sz="0" w:space="0" w:color="auto"/>
        <w:left w:val="none" w:sz="0" w:space="0" w:color="auto"/>
        <w:bottom w:val="none" w:sz="0" w:space="0" w:color="auto"/>
        <w:right w:val="none" w:sz="0" w:space="0" w:color="auto"/>
      </w:divBdr>
    </w:div>
    <w:div w:id="1025406493">
      <w:bodyDiv w:val="1"/>
      <w:marLeft w:val="0"/>
      <w:marRight w:val="0"/>
      <w:marTop w:val="0"/>
      <w:marBottom w:val="0"/>
      <w:divBdr>
        <w:top w:val="none" w:sz="0" w:space="0" w:color="auto"/>
        <w:left w:val="none" w:sz="0" w:space="0" w:color="auto"/>
        <w:bottom w:val="none" w:sz="0" w:space="0" w:color="auto"/>
        <w:right w:val="none" w:sz="0" w:space="0" w:color="auto"/>
      </w:divBdr>
    </w:div>
    <w:div w:id="1025594397">
      <w:bodyDiv w:val="1"/>
      <w:marLeft w:val="0"/>
      <w:marRight w:val="0"/>
      <w:marTop w:val="0"/>
      <w:marBottom w:val="0"/>
      <w:divBdr>
        <w:top w:val="none" w:sz="0" w:space="0" w:color="auto"/>
        <w:left w:val="none" w:sz="0" w:space="0" w:color="auto"/>
        <w:bottom w:val="none" w:sz="0" w:space="0" w:color="auto"/>
        <w:right w:val="none" w:sz="0" w:space="0" w:color="auto"/>
      </w:divBdr>
    </w:div>
    <w:div w:id="1025670235">
      <w:bodyDiv w:val="1"/>
      <w:marLeft w:val="0"/>
      <w:marRight w:val="0"/>
      <w:marTop w:val="0"/>
      <w:marBottom w:val="0"/>
      <w:divBdr>
        <w:top w:val="none" w:sz="0" w:space="0" w:color="auto"/>
        <w:left w:val="none" w:sz="0" w:space="0" w:color="auto"/>
        <w:bottom w:val="none" w:sz="0" w:space="0" w:color="auto"/>
        <w:right w:val="none" w:sz="0" w:space="0" w:color="auto"/>
      </w:divBdr>
    </w:div>
    <w:div w:id="1025860665">
      <w:bodyDiv w:val="1"/>
      <w:marLeft w:val="0"/>
      <w:marRight w:val="0"/>
      <w:marTop w:val="0"/>
      <w:marBottom w:val="0"/>
      <w:divBdr>
        <w:top w:val="none" w:sz="0" w:space="0" w:color="auto"/>
        <w:left w:val="none" w:sz="0" w:space="0" w:color="auto"/>
        <w:bottom w:val="none" w:sz="0" w:space="0" w:color="auto"/>
        <w:right w:val="none" w:sz="0" w:space="0" w:color="auto"/>
      </w:divBdr>
    </w:div>
    <w:div w:id="1025860905">
      <w:bodyDiv w:val="1"/>
      <w:marLeft w:val="0"/>
      <w:marRight w:val="0"/>
      <w:marTop w:val="0"/>
      <w:marBottom w:val="0"/>
      <w:divBdr>
        <w:top w:val="none" w:sz="0" w:space="0" w:color="auto"/>
        <w:left w:val="none" w:sz="0" w:space="0" w:color="auto"/>
        <w:bottom w:val="none" w:sz="0" w:space="0" w:color="auto"/>
        <w:right w:val="none" w:sz="0" w:space="0" w:color="auto"/>
      </w:divBdr>
    </w:div>
    <w:div w:id="1026298160">
      <w:bodyDiv w:val="1"/>
      <w:marLeft w:val="0"/>
      <w:marRight w:val="0"/>
      <w:marTop w:val="0"/>
      <w:marBottom w:val="0"/>
      <w:divBdr>
        <w:top w:val="none" w:sz="0" w:space="0" w:color="auto"/>
        <w:left w:val="none" w:sz="0" w:space="0" w:color="auto"/>
        <w:bottom w:val="none" w:sz="0" w:space="0" w:color="auto"/>
        <w:right w:val="none" w:sz="0" w:space="0" w:color="auto"/>
      </w:divBdr>
    </w:div>
    <w:div w:id="1026716290">
      <w:bodyDiv w:val="1"/>
      <w:marLeft w:val="0"/>
      <w:marRight w:val="0"/>
      <w:marTop w:val="0"/>
      <w:marBottom w:val="0"/>
      <w:divBdr>
        <w:top w:val="none" w:sz="0" w:space="0" w:color="auto"/>
        <w:left w:val="none" w:sz="0" w:space="0" w:color="auto"/>
        <w:bottom w:val="none" w:sz="0" w:space="0" w:color="auto"/>
        <w:right w:val="none" w:sz="0" w:space="0" w:color="auto"/>
      </w:divBdr>
    </w:div>
    <w:div w:id="1027027347">
      <w:bodyDiv w:val="1"/>
      <w:marLeft w:val="0"/>
      <w:marRight w:val="0"/>
      <w:marTop w:val="0"/>
      <w:marBottom w:val="0"/>
      <w:divBdr>
        <w:top w:val="none" w:sz="0" w:space="0" w:color="auto"/>
        <w:left w:val="none" w:sz="0" w:space="0" w:color="auto"/>
        <w:bottom w:val="none" w:sz="0" w:space="0" w:color="auto"/>
        <w:right w:val="none" w:sz="0" w:space="0" w:color="auto"/>
      </w:divBdr>
    </w:div>
    <w:div w:id="1027440300">
      <w:bodyDiv w:val="1"/>
      <w:marLeft w:val="0"/>
      <w:marRight w:val="0"/>
      <w:marTop w:val="0"/>
      <w:marBottom w:val="0"/>
      <w:divBdr>
        <w:top w:val="none" w:sz="0" w:space="0" w:color="auto"/>
        <w:left w:val="none" w:sz="0" w:space="0" w:color="auto"/>
        <w:bottom w:val="none" w:sz="0" w:space="0" w:color="auto"/>
        <w:right w:val="none" w:sz="0" w:space="0" w:color="auto"/>
      </w:divBdr>
    </w:div>
    <w:div w:id="1027944525">
      <w:bodyDiv w:val="1"/>
      <w:marLeft w:val="0"/>
      <w:marRight w:val="0"/>
      <w:marTop w:val="0"/>
      <w:marBottom w:val="0"/>
      <w:divBdr>
        <w:top w:val="none" w:sz="0" w:space="0" w:color="auto"/>
        <w:left w:val="none" w:sz="0" w:space="0" w:color="auto"/>
        <w:bottom w:val="none" w:sz="0" w:space="0" w:color="auto"/>
        <w:right w:val="none" w:sz="0" w:space="0" w:color="auto"/>
      </w:divBdr>
    </w:div>
    <w:div w:id="1027951831">
      <w:bodyDiv w:val="1"/>
      <w:marLeft w:val="0"/>
      <w:marRight w:val="0"/>
      <w:marTop w:val="0"/>
      <w:marBottom w:val="0"/>
      <w:divBdr>
        <w:top w:val="none" w:sz="0" w:space="0" w:color="auto"/>
        <w:left w:val="none" w:sz="0" w:space="0" w:color="auto"/>
        <w:bottom w:val="none" w:sz="0" w:space="0" w:color="auto"/>
        <w:right w:val="none" w:sz="0" w:space="0" w:color="auto"/>
      </w:divBdr>
    </w:div>
    <w:div w:id="1029063949">
      <w:bodyDiv w:val="1"/>
      <w:marLeft w:val="0"/>
      <w:marRight w:val="0"/>
      <w:marTop w:val="0"/>
      <w:marBottom w:val="0"/>
      <w:divBdr>
        <w:top w:val="none" w:sz="0" w:space="0" w:color="auto"/>
        <w:left w:val="none" w:sz="0" w:space="0" w:color="auto"/>
        <w:bottom w:val="none" w:sz="0" w:space="0" w:color="auto"/>
        <w:right w:val="none" w:sz="0" w:space="0" w:color="auto"/>
      </w:divBdr>
    </w:div>
    <w:div w:id="1029257575">
      <w:bodyDiv w:val="1"/>
      <w:marLeft w:val="0"/>
      <w:marRight w:val="0"/>
      <w:marTop w:val="0"/>
      <w:marBottom w:val="0"/>
      <w:divBdr>
        <w:top w:val="none" w:sz="0" w:space="0" w:color="auto"/>
        <w:left w:val="none" w:sz="0" w:space="0" w:color="auto"/>
        <w:bottom w:val="none" w:sz="0" w:space="0" w:color="auto"/>
        <w:right w:val="none" w:sz="0" w:space="0" w:color="auto"/>
      </w:divBdr>
    </w:div>
    <w:div w:id="1029836859">
      <w:bodyDiv w:val="1"/>
      <w:marLeft w:val="0"/>
      <w:marRight w:val="0"/>
      <w:marTop w:val="0"/>
      <w:marBottom w:val="0"/>
      <w:divBdr>
        <w:top w:val="none" w:sz="0" w:space="0" w:color="auto"/>
        <w:left w:val="none" w:sz="0" w:space="0" w:color="auto"/>
        <w:bottom w:val="none" w:sz="0" w:space="0" w:color="auto"/>
        <w:right w:val="none" w:sz="0" w:space="0" w:color="auto"/>
      </w:divBdr>
    </w:div>
    <w:div w:id="1029913241">
      <w:bodyDiv w:val="1"/>
      <w:marLeft w:val="0"/>
      <w:marRight w:val="0"/>
      <w:marTop w:val="0"/>
      <w:marBottom w:val="0"/>
      <w:divBdr>
        <w:top w:val="none" w:sz="0" w:space="0" w:color="auto"/>
        <w:left w:val="none" w:sz="0" w:space="0" w:color="auto"/>
        <w:bottom w:val="none" w:sz="0" w:space="0" w:color="auto"/>
        <w:right w:val="none" w:sz="0" w:space="0" w:color="auto"/>
      </w:divBdr>
    </w:div>
    <w:div w:id="1029986262">
      <w:bodyDiv w:val="1"/>
      <w:marLeft w:val="0"/>
      <w:marRight w:val="0"/>
      <w:marTop w:val="0"/>
      <w:marBottom w:val="0"/>
      <w:divBdr>
        <w:top w:val="none" w:sz="0" w:space="0" w:color="auto"/>
        <w:left w:val="none" w:sz="0" w:space="0" w:color="auto"/>
        <w:bottom w:val="none" w:sz="0" w:space="0" w:color="auto"/>
        <w:right w:val="none" w:sz="0" w:space="0" w:color="auto"/>
      </w:divBdr>
    </w:div>
    <w:div w:id="1030568743">
      <w:bodyDiv w:val="1"/>
      <w:marLeft w:val="0"/>
      <w:marRight w:val="0"/>
      <w:marTop w:val="0"/>
      <w:marBottom w:val="0"/>
      <w:divBdr>
        <w:top w:val="none" w:sz="0" w:space="0" w:color="auto"/>
        <w:left w:val="none" w:sz="0" w:space="0" w:color="auto"/>
        <w:bottom w:val="none" w:sz="0" w:space="0" w:color="auto"/>
        <w:right w:val="none" w:sz="0" w:space="0" w:color="auto"/>
      </w:divBdr>
    </w:div>
    <w:div w:id="1030716618">
      <w:bodyDiv w:val="1"/>
      <w:marLeft w:val="0"/>
      <w:marRight w:val="0"/>
      <w:marTop w:val="0"/>
      <w:marBottom w:val="0"/>
      <w:divBdr>
        <w:top w:val="none" w:sz="0" w:space="0" w:color="auto"/>
        <w:left w:val="none" w:sz="0" w:space="0" w:color="auto"/>
        <w:bottom w:val="none" w:sz="0" w:space="0" w:color="auto"/>
        <w:right w:val="none" w:sz="0" w:space="0" w:color="auto"/>
      </w:divBdr>
    </w:div>
    <w:div w:id="1031229344">
      <w:bodyDiv w:val="1"/>
      <w:marLeft w:val="0"/>
      <w:marRight w:val="0"/>
      <w:marTop w:val="0"/>
      <w:marBottom w:val="0"/>
      <w:divBdr>
        <w:top w:val="none" w:sz="0" w:space="0" w:color="auto"/>
        <w:left w:val="none" w:sz="0" w:space="0" w:color="auto"/>
        <w:bottom w:val="none" w:sz="0" w:space="0" w:color="auto"/>
        <w:right w:val="none" w:sz="0" w:space="0" w:color="auto"/>
      </w:divBdr>
    </w:div>
    <w:div w:id="1032415840">
      <w:bodyDiv w:val="1"/>
      <w:marLeft w:val="0"/>
      <w:marRight w:val="0"/>
      <w:marTop w:val="0"/>
      <w:marBottom w:val="0"/>
      <w:divBdr>
        <w:top w:val="none" w:sz="0" w:space="0" w:color="auto"/>
        <w:left w:val="none" w:sz="0" w:space="0" w:color="auto"/>
        <w:bottom w:val="none" w:sz="0" w:space="0" w:color="auto"/>
        <w:right w:val="none" w:sz="0" w:space="0" w:color="auto"/>
      </w:divBdr>
    </w:div>
    <w:div w:id="1033532344">
      <w:bodyDiv w:val="1"/>
      <w:marLeft w:val="0"/>
      <w:marRight w:val="0"/>
      <w:marTop w:val="0"/>
      <w:marBottom w:val="0"/>
      <w:divBdr>
        <w:top w:val="none" w:sz="0" w:space="0" w:color="auto"/>
        <w:left w:val="none" w:sz="0" w:space="0" w:color="auto"/>
        <w:bottom w:val="none" w:sz="0" w:space="0" w:color="auto"/>
        <w:right w:val="none" w:sz="0" w:space="0" w:color="auto"/>
      </w:divBdr>
    </w:div>
    <w:div w:id="1033576245">
      <w:bodyDiv w:val="1"/>
      <w:marLeft w:val="0"/>
      <w:marRight w:val="0"/>
      <w:marTop w:val="0"/>
      <w:marBottom w:val="0"/>
      <w:divBdr>
        <w:top w:val="none" w:sz="0" w:space="0" w:color="auto"/>
        <w:left w:val="none" w:sz="0" w:space="0" w:color="auto"/>
        <w:bottom w:val="none" w:sz="0" w:space="0" w:color="auto"/>
        <w:right w:val="none" w:sz="0" w:space="0" w:color="auto"/>
      </w:divBdr>
    </w:div>
    <w:div w:id="1033577148">
      <w:bodyDiv w:val="1"/>
      <w:marLeft w:val="0"/>
      <w:marRight w:val="0"/>
      <w:marTop w:val="0"/>
      <w:marBottom w:val="0"/>
      <w:divBdr>
        <w:top w:val="none" w:sz="0" w:space="0" w:color="auto"/>
        <w:left w:val="none" w:sz="0" w:space="0" w:color="auto"/>
        <w:bottom w:val="none" w:sz="0" w:space="0" w:color="auto"/>
        <w:right w:val="none" w:sz="0" w:space="0" w:color="auto"/>
      </w:divBdr>
    </w:div>
    <w:div w:id="1033766373">
      <w:bodyDiv w:val="1"/>
      <w:marLeft w:val="0"/>
      <w:marRight w:val="0"/>
      <w:marTop w:val="0"/>
      <w:marBottom w:val="0"/>
      <w:divBdr>
        <w:top w:val="none" w:sz="0" w:space="0" w:color="auto"/>
        <w:left w:val="none" w:sz="0" w:space="0" w:color="auto"/>
        <w:bottom w:val="none" w:sz="0" w:space="0" w:color="auto"/>
        <w:right w:val="none" w:sz="0" w:space="0" w:color="auto"/>
      </w:divBdr>
    </w:div>
    <w:div w:id="1033965464">
      <w:bodyDiv w:val="1"/>
      <w:marLeft w:val="0"/>
      <w:marRight w:val="0"/>
      <w:marTop w:val="0"/>
      <w:marBottom w:val="0"/>
      <w:divBdr>
        <w:top w:val="none" w:sz="0" w:space="0" w:color="auto"/>
        <w:left w:val="none" w:sz="0" w:space="0" w:color="auto"/>
        <w:bottom w:val="none" w:sz="0" w:space="0" w:color="auto"/>
        <w:right w:val="none" w:sz="0" w:space="0" w:color="auto"/>
      </w:divBdr>
    </w:div>
    <w:div w:id="1034041709">
      <w:bodyDiv w:val="1"/>
      <w:marLeft w:val="0"/>
      <w:marRight w:val="0"/>
      <w:marTop w:val="0"/>
      <w:marBottom w:val="0"/>
      <w:divBdr>
        <w:top w:val="none" w:sz="0" w:space="0" w:color="auto"/>
        <w:left w:val="none" w:sz="0" w:space="0" w:color="auto"/>
        <w:bottom w:val="none" w:sz="0" w:space="0" w:color="auto"/>
        <w:right w:val="none" w:sz="0" w:space="0" w:color="auto"/>
      </w:divBdr>
    </w:div>
    <w:div w:id="1034237546">
      <w:bodyDiv w:val="1"/>
      <w:marLeft w:val="0"/>
      <w:marRight w:val="0"/>
      <w:marTop w:val="0"/>
      <w:marBottom w:val="0"/>
      <w:divBdr>
        <w:top w:val="none" w:sz="0" w:space="0" w:color="auto"/>
        <w:left w:val="none" w:sz="0" w:space="0" w:color="auto"/>
        <w:bottom w:val="none" w:sz="0" w:space="0" w:color="auto"/>
        <w:right w:val="none" w:sz="0" w:space="0" w:color="auto"/>
      </w:divBdr>
    </w:div>
    <w:div w:id="1034421848">
      <w:bodyDiv w:val="1"/>
      <w:marLeft w:val="0"/>
      <w:marRight w:val="0"/>
      <w:marTop w:val="0"/>
      <w:marBottom w:val="0"/>
      <w:divBdr>
        <w:top w:val="none" w:sz="0" w:space="0" w:color="auto"/>
        <w:left w:val="none" w:sz="0" w:space="0" w:color="auto"/>
        <w:bottom w:val="none" w:sz="0" w:space="0" w:color="auto"/>
        <w:right w:val="none" w:sz="0" w:space="0" w:color="auto"/>
      </w:divBdr>
    </w:div>
    <w:div w:id="1034425382">
      <w:bodyDiv w:val="1"/>
      <w:marLeft w:val="0"/>
      <w:marRight w:val="0"/>
      <w:marTop w:val="0"/>
      <w:marBottom w:val="0"/>
      <w:divBdr>
        <w:top w:val="none" w:sz="0" w:space="0" w:color="auto"/>
        <w:left w:val="none" w:sz="0" w:space="0" w:color="auto"/>
        <w:bottom w:val="none" w:sz="0" w:space="0" w:color="auto"/>
        <w:right w:val="none" w:sz="0" w:space="0" w:color="auto"/>
      </w:divBdr>
    </w:div>
    <w:div w:id="1034496713">
      <w:bodyDiv w:val="1"/>
      <w:marLeft w:val="0"/>
      <w:marRight w:val="0"/>
      <w:marTop w:val="0"/>
      <w:marBottom w:val="0"/>
      <w:divBdr>
        <w:top w:val="none" w:sz="0" w:space="0" w:color="auto"/>
        <w:left w:val="none" w:sz="0" w:space="0" w:color="auto"/>
        <w:bottom w:val="none" w:sz="0" w:space="0" w:color="auto"/>
        <w:right w:val="none" w:sz="0" w:space="0" w:color="auto"/>
      </w:divBdr>
    </w:div>
    <w:div w:id="1034500513">
      <w:bodyDiv w:val="1"/>
      <w:marLeft w:val="0"/>
      <w:marRight w:val="0"/>
      <w:marTop w:val="0"/>
      <w:marBottom w:val="0"/>
      <w:divBdr>
        <w:top w:val="none" w:sz="0" w:space="0" w:color="auto"/>
        <w:left w:val="none" w:sz="0" w:space="0" w:color="auto"/>
        <w:bottom w:val="none" w:sz="0" w:space="0" w:color="auto"/>
        <w:right w:val="none" w:sz="0" w:space="0" w:color="auto"/>
      </w:divBdr>
    </w:div>
    <w:div w:id="1034580024">
      <w:bodyDiv w:val="1"/>
      <w:marLeft w:val="0"/>
      <w:marRight w:val="0"/>
      <w:marTop w:val="0"/>
      <w:marBottom w:val="0"/>
      <w:divBdr>
        <w:top w:val="none" w:sz="0" w:space="0" w:color="auto"/>
        <w:left w:val="none" w:sz="0" w:space="0" w:color="auto"/>
        <w:bottom w:val="none" w:sz="0" w:space="0" w:color="auto"/>
        <w:right w:val="none" w:sz="0" w:space="0" w:color="auto"/>
      </w:divBdr>
    </w:div>
    <w:div w:id="1035038090">
      <w:bodyDiv w:val="1"/>
      <w:marLeft w:val="0"/>
      <w:marRight w:val="0"/>
      <w:marTop w:val="0"/>
      <w:marBottom w:val="0"/>
      <w:divBdr>
        <w:top w:val="none" w:sz="0" w:space="0" w:color="auto"/>
        <w:left w:val="none" w:sz="0" w:space="0" w:color="auto"/>
        <w:bottom w:val="none" w:sz="0" w:space="0" w:color="auto"/>
        <w:right w:val="none" w:sz="0" w:space="0" w:color="auto"/>
      </w:divBdr>
    </w:div>
    <w:div w:id="1035078512">
      <w:bodyDiv w:val="1"/>
      <w:marLeft w:val="0"/>
      <w:marRight w:val="0"/>
      <w:marTop w:val="0"/>
      <w:marBottom w:val="0"/>
      <w:divBdr>
        <w:top w:val="none" w:sz="0" w:space="0" w:color="auto"/>
        <w:left w:val="none" w:sz="0" w:space="0" w:color="auto"/>
        <w:bottom w:val="none" w:sz="0" w:space="0" w:color="auto"/>
        <w:right w:val="none" w:sz="0" w:space="0" w:color="auto"/>
      </w:divBdr>
    </w:div>
    <w:div w:id="1035349777">
      <w:bodyDiv w:val="1"/>
      <w:marLeft w:val="0"/>
      <w:marRight w:val="0"/>
      <w:marTop w:val="0"/>
      <w:marBottom w:val="0"/>
      <w:divBdr>
        <w:top w:val="none" w:sz="0" w:space="0" w:color="auto"/>
        <w:left w:val="none" w:sz="0" w:space="0" w:color="auto"/>
        <w:bottom w:val="none" w:sz="0" w:space="0" w:color="auto"/>
        <w:right w:val="none" w:sz="0" w:space="0" w:color="auto"/>
      </w:divBdr>
    </w:div>
    <w:div w:id="1035740498">
      <w:bodyDiv w:val="1"/>
      <w:marLeft w:val="0"/>
      <w:marRight w:val="0"/>
      <w:marTop w:val="0"/>
      <w:marBottom w:val="0"/>
      <w:divBdr>
        <w:top w:val="none" w:sz="0" w:space="0" w:color="auto"/>
        <w:left w:val="none" w:sz="0" w:space="0" w:color="auto"/>
        <w:bottom w:val="none" w:sz="0" w:space="0" w:color="auto"/>
        <w:right w:val="none" w:sz="0" w:space="0" w:color="auto"/>
      </w:divBdr>
    </w:div>
    <w:div w:id="1036078707">
      <w:bodyDiv w:val="1"/>
      <w:marLeft w:val="0"/>
      <w:marRight w:val="0"/>
      <w:marTop w:val="0"/>
      <w:marBottom w:val="0"/>
      <w:divBdr>
        <w:top w:val="none" w:sz="0" w:space="0" w:color="auto"/>
        <w:left w:val="none" w:sz="0" w:space="0" w:color="auto"/>
        <w:bottom w:val="none" w:sz="0" w:space="0" w:color="auto"/>
        <w:right w:val="none" w:sz="0" w:space="0" w:color="auto"/>
      </w:divBdr>
    </w:div>
    <w:div w:id="1036396327">
      <w:bodyDiv w:val="1"/>
      <w:marLeft w:val="0"/>
      <w:marRight w:val="0"/>
      <w:marTop w:val="0"/>
      <w:marBottom w:val="0"/>
      <w:divBdr>
        <w:top w:val="none" w:sz="0" w:space="0" w:color="auto"/>
        <w:left w:val="none" w:sz="0" w:space="0" w:color="auto"/>
        <w:bottom w:val="none" w:sz="0" w:space="0" w:color="auto"/>
        <w:right w:val="none" w:sz="0" w:space="0" w:color="auto"/>
      </w:divBdr>
    </w:div>
    <w:div w:id="1037390838">
      <w:bodyDiv w:val="1"/>
      <w:marLeft w:val="0"/>
      <w:marRight w:val="0"/>
      <w:marTop w:val="0"/>
      <w:marBottom w:val="0"/>
      <w:divBdr>
        <w:top w:val="none" w:sz="0" w:space="0" w:color="auto"/>
        <w:left w:val="none" w:sz="0" w:space="0" w:color="auto"/>
        <w:bottom w:val="none" w:sz="0" w:space="0" w:color="auto"/>
        <w:right w:val="none" w:sz="0" w:space="0" w:color="auto"/>
      </w:divBdr>
    </w:div>
    <w:div w:id="1037435860">
      <w:bodyDiv w:val="1"/>
      <w:marLeft w:val="0"/>
      <w:marRight w:val="0"/>
      <w:marTop w:val="0"/>
      <w:marBottom w:val="0"/>
      <w:divBdr>
        <w:top w:val="none" w:sz="0" w:space="0" w:color="auto"/>
        <w:left w:val="none" w:sz="0" w:space="0" w:color="auto"/>
        <w:bottom w:val="none" w:sz="0" w:space="0" w:color="auto"/>
        <w:right w:val="none" w:sz="0" w:space="0" w:color="auto"/>
      </w:divBdr>
    </w:div>
    <w:div w:id="1037900339">
      <w:bodyDiv w:val="1"/>
      <w:marLeft w:val="0"/>
      <w:marRight w:val="0"/>
      <w:marTop w:val="0"/>
      <w:marBottom w:val="0"/>
      <w:divBdr>
        <w:top w:val="none" w:sz="0" w:space="0" w:color="auto"/>
        <w:left w:val="none" w:sz="0" w:space="0" w:color="auto"/>
        <w:bottom w:val="none" w:sz="0" w:space="0" w:color="auto"/>
        <w:right w:val="none" w:sz="0" w:space="0" w:color="auto"/>
      </w:divBdr>
    </w:div>
    <w:div w:id="1037971033">
      <w:bodyDiv w:val="1"/>
      <w:marLeft w:val="0"/>
      <w:marRight w:val="0"/>
      <w:marTop w:val="0"/>
      <w:marBottom w:val="0"/>
      <w:divBdr>
        <w:top w:val="none" w:sz="0" w:space="0" w:color="auto"/>
        <w:left w:val="none" w:sz="0" w:space="0" w:color="auto"/>
        <w:bottom w:val="none" w:sz="0" w:space="0" w:color="auto"/>
        <w:right w:val="none" w:sz="0" w:space="0" w:color="auto"/>
      </w:divBdr>
    </w:div>
    <w:div w:id="1037971814">
      <w:bodyDiv w:val="1"/>
      <w:marLeft w:val="0"/>
      <w:marRight w:val="0"/>
      <w:marTop w:val="0"/>
      <w:marBottom w:val="0"/>
      <w:divBdr>
        <w:top w:val="none" w:sz="0" w:space="0" w:color="auto"/>
        <w:left w:val="none" w:sz="0" w:space="0" w:color="auto"/>
        <w:bottom w:val="none" w:sz="0" w:space="0" w:color="auto"/>
        <w:right w:val="none" w:sz="0" w:space="0" w:color="auto"/>
      </w:divBdr>
    </w:div>
    <w:div w:id="1037975686">
      <w:bodyDiv w:val="1"/>
      <w:marLeft w:val="0"/>
      <w:marRight w:val="0"/>
      <w:marTop w:val="0"/>
      <w:marBottom w:val="0"/>
      <w:divBdr>
        <w:top w:val="none" w:sz="0" w:space="0" w:color="auto"/>
        <w:left w:val="none" w:sz="0" w:space="0" w:color="auto"/>
        <w:bottom w:val="none" w:sz="0" w:space="0" w:color="auto"/>
        <w:right w:val="none" w:sz="0" w:space="0" w:color="auto"/>
      </w:divBdr>
    </w:div>
    <w:div w:id="1038242369">
      <w:bodyDiv w:val="1"/>
      <w:marLeft w:val="0"/>
      <w:marRight w:val="0"/>
      <w:marTop w:val="0"/>
      <w:marBottom w:val="0"/>
      <w:divBdr>
        <w:top w:val="none" w:sz="0" w:space="0" w:color="auto"/>
        <w:left w:val="none" w:sz="0" w:space="0" w:color="auto"/>
        <w:bottom w:val="none" w:sz="0" w:space="0" w:color="auto"/>
        <w:right w:val="none" w:sz="0" w:space="0" w:color="auto"/>
      </w:divBdr>
    </w:div>
    <w:div w:id="1038627225">
      <w:bodyDiv w:val="1"/>
      <w:marLeft w:val="0"/>
      <w:marRight w:val="0"/>
      <w:marTop w:val="0"/>
      <w:marBottom w:val="0"/>
      <w:divBdr>
        <w:top w:val="none" w:sz="0" w:space="0" w:color="auto"/>
        <w:left w:val="none" w:sz="0" w:space="0" w:color="auto"/>
        <w:bottom w:val="none" w:sz="0" w:space="0" w:color="auto"/>
        <w:right w:val="none" w:sz="0" w:space="0" w:color="auto"/>
      </w:divBdr>
    </w:div>
    <w:div w:id="1038701724">
      <w:bodyDiv w:val="1"/>
      <w:marLeft w:val="0"/>
      <w:marRight w:val="0"/>
      <w:marTop w:val="0"/>
      <w:marBottom w:val="0"/>
      <w:divBdr>
        <w:top w:val="none" w:sz="0" w:space="0" w:color="auto"/>
        <w:left w:val="none" w:sz="0" w:space="0" w:color="auto"/>
        <w:bottom w:val="none" w:sz="0" w:space="0" w:color="auto"/>
        <w:right w:val="none" w:sz="0" w:space="0" w:color="auto"/>
      </w:divBdr>
    </w:div>
    <w:div w:id="1038747946">
      <w:bodyDiv w:val="1"/>
      <w:marLeft w:val="0"/>
      <w:marRight w:val="0"/>
      <w:marTop w:val="0"/>
      <w:marBottom w:val="0"/>
      <w:divBdr>
        <w:top w:val="none" w:sz="0" w:space="0" w:color="auto"/>
        <w:left w:val="none" w:sz="0" w:space="0" w:color="auto"/>
        <w:bottom w:val="none" w:sz="0" w:space="0" w:color="auto"/>
        <w:right w:val="none" w:sz="0" w:space="0" w:color="auto"/>
      </w:divBdr>
    </w:div>
    <w:div w:id="1039428524">
      <w:bodyDiv w:val="1"/>
      <w:marLeft w:val="0"/>
      <w:marRight w:val="0"/>
      <w:marTop w:val="0"/>
      <w:marBottom w:val="0"/>
      <w:divBdr>
        <w:top w:val="none" w:sz="0" w:space="0" w:color="auto"/>
        <w:left w:val="none" w:sz="0" w:space="0" w:color="auto"/>
        <w:bottom w:val="none" w:sz="0" w:space="0" w:color="auto"/>
        <w:right w:val="none" w:sz="0" w:space="0" w:color="auto"/>
      </w:divBdr>
    </w:div>
    <w:div w:id="1039663323">
      <w:bodyDiv w:val="1"/>
      <w:marLeft w:val="0"/>
      <w:marRight w:val="0"/>
      <w:marTop w:val="0"/>
      <w:marBottom w:val="0"/>
      <w:divBdr>
        <w:top w:val="none" w:sz="0" w:space="0" w:color="auto"/>
        <w:left w:val="none" w:sz="0" w:space="0" w:color="auto"/>
        <w:bottom w:val="none" w:sz="0" w:space="0" w:color="auto"/>
        <w:right w:val="none" w:sz="0" w:space="0" w:color="auto"/>
      </w:divBdr>
    </w:div>
    <w:div w:id="1039938607">
      <w:bodyDiv w:val="1"/>
      <w:marLeft w:val="0"/>
      <w:marRight w:val="0"/>
      <w:marTop w:val="0"/>
      <w:marBottom w:val="0"/>
      <w:divBdr>
        <w:top w:val="none" w:sz="0" w:space="0" w:color="auto"/>
        <w:left w:val="none" w:sz="0" w:space="0" w:color="auto"/>
        <w:bottom w:val="none" w:sz="0" w:space="0" w:color="auto"/>
        <w:right w:val="none" w:sz="0" w:space="0" w:color="auto"/>
      </w:divBdr>
    </w:div>
    <w:div w:id="1040209251">
      <w:bodyDiv w:val="1"/>
      <w:marLeft w:val="0"/>
      <w:marRight w:val="0"/>
      <w:marTop w:val="0"/>
      <w:marBottom w:val="0"/>
      <w:divBdr>
        <w:top w:val="none" w:sz="0" w:space="0" w:color="auto"/>
        <w:left w:val="none" w:sz="0" w:space="0" w:color="auto"/>
        <w:bottom w:val="none" w:sz="0" w:space="0" w:color="auto"/>
        <w:right w:val="none" w:sz="0" w:space="0" w:color="auto"/>
      </w:divBdr>
    </w:div>
    <w:div w:id="1040281948">
      <w:bodyDiv w:val="1"/>
      <w:marLeft w:val="0"/>
      <w:marRight w:val="0"/>
      <w:marTop w:val="0"/>
      <w:marBottom w:val="0"/>
      <w:divBdr>
        <w:top w:val="none" w:sz="0" w:space="0" w:color="auto"/>
        <w:left w:val="none" w:sz="0" w:space="0" w:color="auto"/>
        <w:bottom w:val="none" w:sz="0" w:space="0" w:color="auto"/>
        <w:right w:val="none" w:sz="0" w:space="0" w:color="auto"/>
      </w:divBdr>
    </w:div>
    <w:div w:id="1040858292">
      <w:bodyDiv w:val="1"/>
      <w:marLeft w:val="0"/>
      <w:marRight w:val="0"/>
      <w:marTop w:val="0"/>
      <w:marBottom w:val="0"/>
      <w:divBdr>
        <w:top w:val="none" w:sz="0" w:space="0" w:color="auto"/>
        <w:left w:val="none" w:sz="0" w:space="0" w:color="auto"/>
        <w:bottom w:val="none" w:sz="0" w:space="0" w:color="auto"/>
        <w:right w:val="none" w:sz="0" w:space="0" w:color="auto"/>
      </w:divBdr>
    </w:div>
    <w:div w:id="1041397405">
      <w:bodyDiv w:val="1"/>
      <w:marLeft w:val="0"/>
      <w:marRight w:val="0"/>
      <w:marTop w:val="0"/>
      <w:marBottom w:val="0"/>
      <w:divBdr>
        <w:top w:val="none" w:sz="0" w:space="0" w:color="auto"/>
        <w:left w:val="none" w:sz="0" w:space="0" w:color="auto"/>
        <w:bottom w:val="none" w:sz="0" w:space="0" w:color="auto"/>
        <w:right w:val="none" w:sz="0" w:space="0" w:color="auto"/>
      </w:divBdr>
    </w:div>
    <w:div w:id="1041438172">
      <w:bodyDiv w:val="1"/>
      <w:marLeft w:val="0"/>
      <w:marRight w:val="0"/>
      <w:marTop w:val="0"/>
      <w:marBottom w:val="0"/>
      <w:divBdr>
        <w:top w:val="none" w:sz="0" w:space="0" w:color="auto"/>
        <w:left w:val="none" w:sz="0" w:space="0" w:color="auto"/>
        <w:bottom w:val="none" w:sz="0" w:space="0" w:color="auto"/>
        <w:right w:val="none" w:sz="0" w:space="0" w:color="auto"/>
      </w:divBdr>
    </w:div>
    <w:div w:id="1041830647">
      <w:bodyDiv w:val="1"/>
      <w:marLeft w:val="0"/>
      <w:marRight w:val="0"/>
      <w:marTop w:val="0"/>
      <w:marBottom w:val="0"/>
      <w:divBdr>
        <w:top w:val="none" w:sz="0" w:space="0" w:color="auto"/>
        <w:left w:val="none" w:sz="0" w:space="0" w:color="auto"/>
        <w:bottom w:val="none" w:sz="0" w:space="0" w:color="auto"/>
        <w:right w:val="none" w:sz="0" w:space="0" w:color="auto"/>
      </w:divBdr>
    </w:div>
    <w:div w:id="1041980306">
      <w:bodyDiv w:val="1"/>
      <w:marLeft w:val="0"/>
      <w:marRight w:val="0"/>
      <w:marTop w:val="0"/>
      <w:marBottom w:val="0"/>
      <w:divBdr>
        <w:top w:val="none" w:sz="0" w:space="0" w:color="auto"/>
        <w:left w:val="none" w:sz="0" w:space="0" w:color="auto"/>
        <w:bottom w:val="none" w:sz="0" w:space="0" w:color="auto"/>
        <w:right w:val="none" w:sz="0" w:space="0" w:color="auto"/>
      </w:divBdr>
    </w:div>
    <w:div w:id="1042747527">
      <w:bodyDiv w:val="1"/>
      <w:marLeft w:val="0"/>
      <w:marRight w:val="0"/>
      <w:marTop w:val="0"/>
      <w:marBottom w:val="0"/>
      <w:divBdr>
        <w:top w:val="none" w:sz="0" w:space="0" w:color="auto"/>
        <w:left w:val="none" w:sz="0" w:space="0" w:color="auto"/>
        <w:bottom w:val="none" w:sz="0" w:space="0" w:color="auto"/>
        <w:right w:val="none" w:sz="0" w:space="0" w:color="auto"/>
      </w:divBdr>
    </w:div>
    <w:div w:id="1043333945">
      <w:bodyDiv w:val="1"/>
      <w:marLeft w:val="0"/>
      <w:marRight w:val="0"/>
      <w:marTop w:val="0"/>
      <w:marBottom w:val="0"/>
      <w:divBdr>
        <w:top w:val="none" w:sz="0" w:space="0" w:color="auto"/>
        <w:left w:val="none" w:sz="0" w:space="0" w:color="auto"/>
        <w:bottom w:val="none" w:sz="0" w:space="0" w:color="auto"/>
        <w:right w:val="none" w:sz="0" w:space="0" w:color="auto"/>
      </w:divBdr>
    </w:div>
    <w:div w:id="1043365587">
      <w:bodyDiv w:val="1"/>
      <w:marLeft w:val="0"/>
      <w:marRight w:val="0"/>
      <w:marTop w:val="0"/>
      <w:marBottom w:val="0"/>
      <w:divBdr>
        <w:top w:val="none" w:sz="0" w:space="0" w:color="auto"/>
        <w:left w:val="none" w:sz="0" w:space="0" w:color="auto"/>
        <w:bottom w:val="none" w:sz="0" w:space="0" w:color="auto"/>
        <w:right w:val="none" w:sz="0" w:space="0" w:color="auto"/>
      </w:divBdr>
    </w:div>
    <w:div w:id="1043940661">
      <w:bodyDiv w:val="1"/>
      <w:marLeft w:val="0"/>
      <w:marRight w:val="0"/>
      <w:marTop w:val="0"/>
      <w:marBottom w:val="0"/>
      <w:divBdr>
        <w:top w:val="none" w:sz="0" w:space="0" w:color="auto"/>
        <w:left w:val="none" w:sz="0" w:space="0" w:color="auto"/>
        <w:bottom w:val="none" w:sz="0" w:space="0" w:color="auto"/>
        <w:right w:val="none" w:sz="0" w:space="0" w:color="auto"/>
      </w:divBdr>
    </w:div>
    <w:div w:id="1044330532">
      <w:bodyDiv w:val="1"/>
      <w:marLeft w:val="0"/>
      <w:marRight w:val="0"/>
      <w:marTop w:val="0"/>
      <w:marBottom w:val="0"/>
      <w:divBdr>
        <w:top w:val="none" w:sz="0" w:space="0" w:color="auto"/>
        <w:left w:val="none" w:sz="0" w:space="0" w:color="auto"/>
        <w:bottom w:val="none" w:sz="0" w:space="0" w:color="auto"/>
        <w:right w:val="none" w:sz="0" w:space="0" w:color="auto"/>
      </w:divBdr>
    </w:div>
    <w:div w:id="1044408005">
      <w:bodyDiv w:val="1"/>
      <w:marLeft w:val="0"/>
      <w:marRight w:val="0"/>
      <w:marTop w:val="0"/>
      <w:marBottom w:val="0"/>
      <w:divBdr>
        <w:top w:val="none" w:sz="0" w:space="0" w:color="auto"/>
        <w:left w:val="none" w:sz="0" w:space="0" w:color="auto"/>
        <w:bottom w:val="none" w:sz="0" w:space="0" w:color="auto"/>
        <w:right w:val="none" w:sz="0" w:space="0" w:color="auto"/>
      </w:divBdr>
    </w:div>
    <w:div w:id="1044720382">
      <w:bodyDiv w:val="1"/>
      <w:marLeft w:val="0"/>
      <w:marRight w:val="0"/>
      <w:marTop w:val="0"/>
      <w:marBottom w:val="0"/>
      <w:divBdr>
        <w:top w:val="none" w:sz="0" w:space="0" w:color="auto"/>
        <w:left w:val="none" w:sz="0" w:space="0" w:color="auto"/>
        <w:bottom w:val="none" w:sz="0" w:space="0" w:color="auto"/>
        <w:right w:val="none" w:sz="0" w:space="0" w:color="auto"/>
      </w:divBdr>
    </w:div>
    <w:div w:id="1044793956">
      <w:bodyDiv w:val="1"/>
      <w:marLeft w:val="0"/>
      <w:marRight w:val="0"/>
      <w:marTop w:val="0"/>
      <w:marBottom w:val="0"/>
      <w:divBdr>
        <w:top w:val="none" w:sz="0" w:space="0" w:color="auto"/>
        <w:left w:val="none" w:sz="0" w:space="0" w:color="auto"/>
        <w:bottom w:val="none" w:sz="0" w:space="0" w:color="auto"/>
        <w:right w:val="none" w:sz="0" w:space="0" w:color="auto"/>
      </w:divBdr>
    </w:div>
    <w:div w:id="1045132259">
      <w:bodyDiv w:val="1"/>
      <w:marLeft w:val="0"/>
      <w:marRight w:val="0"/>
      <w:marTop w:val="0"/>
      <w:marBottom w:val="0"/>
      <w:divBdr>
        <w:top w:val="none" w:sz="0" w:space="0" w:color="auto"/>
        <w:left w:val="none" w:sz="0" w:space="0" w:color="auto"/>
        <w:bottom w:val="none" w:sz="0" w:space="0" w:color="auto"/>
        <w:right w:val="none" w:sz="0" w:space="0" w:color="auto"/>
      </w:divBdr>
    </w:div>
    <w:div w:id="1045258506">
      <w:bodyDiv w:val="1"/>
      <w:marLeft w:val="0"/>
      <w:marRight w:val="0"/>
      <w:marTop w:val="0"/>
      <w:marBottom w:val="0"/>
      <w:divBdr>
        <w:top w:val="none" w:sz="0" w:space="0" w:color="auto"/>
        <w:left w:val="none" w:sz="0" w:space="0" w:color="auto"/>
        <w:bottom w:val="none" w:sz="0" w:space="0" w:color="auto"/>
        <w:right w:val="none" w:sz="0" w:space="0" w:color="auto"/>
      </w:divBdr>
    </w:div>
    <w:div w:id="1045375452">
      <w:bodyDiv w:val="1"/>
      <w:marLeft w:val="0"/>
      <w:marRight w:val="0"/>
      <w:marTop w:val="0"/>
      <w:marBottom w:val="0"/>
      <w:divBdr>
        <w:top w:val="none" w:sz="0" w:space="0" w:color="auto"/>
        <w:left w:val="none" w:sz="0" w:space="0" w:color="auto"/>
        <w:bottom w:val="none" w:sz="0" w:space="0" w:color="auto"/>
        <w:right w:val="none" w:sz="0" w:space="0" w:color="auto"/>
      </w:divBdr>
    </w:div>
    <w:div w:id="1045642132">
      <w:bodyDiv w:val="1"/>
      <w:marLeft w:val="0"/>
      <w:marRight w:val="0"/>
      <w:marTop w:val="0"/>
      <w:marBottom w:val="0"/>
      <w:divBdr>
        <w:top w:val="none" w:sz="0" w:space="0" w:color="auto"/>
        <w:left w:val="none" w:sz="0" w:space="0" w:color="auto"/>
        <w:bottom w:val="none" w:sz="0" w:space="0" w:color="auto"/>
        <w:right w:val="none" w:sz="0" w:space="0" w:color="auto"/>
      </w:divBdr>
    </w:div>
    <w:div w:id="1045718471">
      <w:bodyDiv w:val="1"/>
      <w:marLeft w:val="0"/>
      <w:marRight w:val="0"/>
      <w:marTop w:val="0"/>
      <w:marBottom w:val="0"/>
      <w:divBdr>
        <w:top w:val="none" w:sz="0" w:space="0" w:color="auto"/>
        <w:left w:val="none" w:sz="0" w:space="0" w:color="auto"/>
        <w:bottom w:val="none" w:sz="0" w:space="0" w:color="auto"/>
        <w:right w:val="none" w:sz="0" w:space="0" w:color="auto"/>
      </w:divBdr>
    </w:div>
    <w:div w:id="1046028459">
      <w:bodyDiv w:val="1"/>
      <w:marLeft w:val="0"/>
      <w:marRight w:val="0"/>
      <w:marTop w:val="0"/>
      <w:marBottom w:val="0"/>
      <w:divBdr>
        <w:top w:val="none" w:sz="0" w:space="0" w:color="auto"/>
        <w:left w:val="none" w:sz="0" w:space="0" w:color="auto"/>
        <w:bottom w:val="none" w:sz="0" w:space="0" w:color="auto"/>
        <w:right w:val="none" w:sz="0" w:space="0" w:color="auto"/>
      </w:divBdr>
    </w:div>
    <w:div w:id="1046100158">
      <w:bodyDiv w:val="1"/>
      <w:marLeft w:val="0"/>
      <w:marRight w:val="0"/>
      <w:marTop w:val="0"/>
      <w:marBottom w:val="0"/>
      <w:divBdr>
        <w:top w:val="none" w:sz="0" w:space="0" w:color="auto"/>
        <w:left w:val="none" w:sz="0" w:space="0" w:color="auto"/>
        <w:bottom w:val="none" w:sz="0" w:space="0" w:color="auto"/>
        <w:right w:val="none" w:sz="0" w:space="0" w:color="auto"/>
      </w:divBdr>
    </w:div>
    <w:div w:id="1046301076">
      <w:bodyDiv w:val="1"/>
      <w:marLeft w:val="0"/>
      <w:marRight w:val="0"/>
      <w:marTop w:val="0"/>
      <w:marBottom w:val="0"/>
      <w:divBdr>
        <w:top w:val="none" w:sz="0" w:space="0" w:color="auto"/>
        <w:left w:val="none" w:sz="0" w:space="0" w:color="auto"/>
        <w:bottom w:val="none" w:sz="0" w:space="0" w:color="auto"/>
        <w:right w:val="none" w:sz="0" w:space="0" w:color="auto"/>
      </w:divBdr>
    </w:div>
    <w:div w:id="1046760264">
      <w:bodyDiv w:val="1"/>
      <w:marLeft w:val="0"/>
      <w:marRight w:val="0"/>
      <w:marTop w:val="0"/>
      <w:marBottom w:val="0"/>
      <w:divBdr>
        <w:top w:val="none" w:sz="0" w:space="0" w:color="auto"/>
        <w:left w:val="none" w:sz="0" w:space="0" w:color="auto"/>
        <w:bottom w:val="none" w:sz="0" w:space="0" w:color="auto"/>
        <w:right w:val="none" w:sz="0" w:space="0" w:color="auto"/>
      </w:divBdr>
    </w:div>
    <w:div w:id="1047409894">
      <w:bodyDiv w:val="1"/>
      <w:marLeft w:val="0"/>
      <w:marRight w:val="0"/>
      <w:marTop w:val="0"/>
      <w:marBottom w:val="0"/>
      <w:divBdr>
        <w:top w:val="none" w:sz="0" w:space="0" w:color="auto"/>
        <w:left w:val="none" w:sz="0" w:space="0" w:color="auto"/>
        <w:bottom w:val="none" w:sz="0" w:space="0" w:color="auto"/>
        <w:right w:val="none" w:sz="0" w:space="0" w:color="auto"/>
      </w:divBdr>
    </w:div>
    <w:div w:id="1047680236">
      <w:bodyDiv w:val="1"/>
      <w:marLeft w:val="0"/>
      <w:marRight w:val="0"/>
      <w:marTop w:val="0"/>
      <w:marBottom w:val="0"/>
      <w:divBdr>
        <w:top w:val="none" w:sz="0" w:space="0" w:color="auto"/>
        <w:left w:val="none" w:sz="0" w:space="0" w:color="auto"/>
        <w:bottom w:val="none" w:sz="0" w:space="0" w:color="auto"/>
        <w:right w:val="none" w:sz="0" w:space="0" w:color="auto"/>
      </w:divBdr>
    </w:div>
    <w:div w:id="1047797409">
      <w:bodyDiv w:val="1"/>
      <w:marLeft w:val="0"/>
      <w:marRight w:val="0"/>
      <w:marTop w:val="0"/>
      <w:marBottom w:val="0"/>
      <w:divBdr>
        <w:top w:val="none" w:sz="0" w:space="0" w:color="auto"/>
        <w:left w:val="none" w:sz="0" w:space="0" w:color="auto"/>
        <w:bottom w:val="none" w:sz="0" w:space="0" w:color="auto"/>
        <w:right w:val="none" w:sz="0" w:space="0" w:color="auto"/>
      </w:divBdr>
    </w:div>
    <w:div w:id="1048921773">
      <w:bodyDiv w:val="1"/>
      <w:marLeft w:val="0"/>
      <w:marRight w:val="0"/>
      <w:marTop w:val="0"/>
      <w:marBottom w:val="0"/>
      <w:divBdr>
        <w:top w:val="none" w:sz="0" w:space="0" w:color="auto"/>
        <w:left w:val="none" w:sz="0" w:space="0" w:color="auto"/>
        <w:bottom w:val="none" w:sz="0" w:space="0" w:color="auto"/>
        <w:right w:val="none" w:sz="0" w:space="0" w:color="auto"/>
      </w:divBdr>
    </w:div>
    <w:div w:id="1049187643">
      <w:bodyDiv w:val="1"/>
      <w:marLeft w:val="0"/>
      <w:marRight w:val="0"/>
      <w:marTop w:val="0"/>
      <w:marBottom w:val="0"/>
      <w:divBdr>
        <w:top w:val="none" w:sz="0" w:space="0" w:color="auto"/>
        <w:left w:val="none" w:sz="0" w:space="0" w:color="auto"/>
        <w:bottom w:val="none" w:sz="0" w:space="0" w:color="auto"/>
        <w:right w:val="none" w:sz="0" w:space="0" w:color="auto"/>
      </w:divBdr>
    </w:div>
    <w:div w:id="1049258262">
      <w:bodyDiv w:val="1"/>
      <w:marLeft w:val="0"/>
      <w:marRight w:val="0"/>
      <w:marTop w:val="0"/>
      <w:marBottom w:val="0"/>
      <w:divBdr>
        <w:top w:val="none" w:sz="0" w:space="0" w:color="auto"/>
        <w:left w:val="none" w:sz="0" w:space="0" w:color="auto"/>
        <w:bottom w:val="none" w:sz="0" w:space="0" w:color="auto"/>
        <w:right w:val="none" w:sz="0" w:space="0" w:color="auto"/>
      </w:divBdr>
    </w:div>
    <w:div w:id="1049264108">
      <w:bodyDiv w:val="1"/>
      <w:marLeft w:val="0"/>
      <w:marRight w:val="0"/>
      <w:marTop w:val="0"/>
      <w:marBottom w:val="0"/>
      <w:divBdr>
        <w:top w:val="none" w:sz="0" w:space="0" w:color="auto"/>
        <w:left w:val="none" w:sz="0" w:space="0" w:color="auto"/>
        <w:bottom w:val="none" w:sz="0" w:space="0" w:color="auto"/>
        <w:right w:val="none" w:sz="0" w:space="0" w:color="auto"/>
      </w:divBdr>
    </w:div>
    <w:div w:id="1049457367">
      <w:bodyDiv w:val="1"/>
      <w:marLeft w:val="0"/>
      <w:marRight w:val="0"/>
      <w:marTop w:val="0"/>
      <w:marBottom w:val="0"/>
      <w:divBdr>
        <w:top w:val="none" w:sz="0" w:space="0" w:color="auto"/>
        <w:left w:val="none" w:sz="0" w:space="0" w:color="auto"/>
        <w:bottom w:val="none" w:sz="0" w:space="0" w:color="auto"/>
        <w:right w:val="none" w:sz="0" w:space="0" w:color="auto"/>
      </w:divBdr>
    </w:div>
    <w:div w:id="1049840149">
      <w:bodyDiv w:val="1"/>
      <w:marLeft w:val="0"/>
      <w:marRight w:val="0"/>
      <w:marTop w:val="0"/>
      <w:marBottom w:val="0"/>
      <w:divBdr>
        <w:top w:val="none" w:sz="0" w:space="0" w:color="auto"/>
        <w:left w:val="none" w:sz="0" w:space="0" w:color="auto"/>
        <w:bottom w:val="none" w:sz="0" w:space="0" w:color="auto"/>
        <w:right w:val="none" w:sz="0" w:space="0" w:color="auto"/>
      </w:divBdr>
    </w:div>
    <w:div w:id="1050150184">
      <w:bodyDiv w:val="1"/>
      <w:marLeft w:val="0"/>
      <w:marRight w:val="0"/>
      <w:marTop w:val="0"/>
      <w:marBottom w:val="0"/>
      <w:divBdr>
        <w:top w:val="none" w:sz="0" w:space="0" w:color="auto"/>
        <w:left w:val="none" w:sz="0" w:space="0" w:color="auto"/>
        <w:bottom w:val="none" w:sz="0" w:space="0" w:color="auto"/>
        <w:right w:val="none" w:sz="0" w:space="0" w:color="auto"/>
      </w:divBdr>
    </w:div>
    <w:div w:id="1050298638">
      <w:bodyDiv w:val="1"/>
      <w:marLeft w:val="0"/>
      <w:marRight w:val="0"/>
      <w:marTop w:val="0"/>
      <w:marBottom w:val="0"/>
      <w:divBdr>
        <w:top w:val="none" w:sz="0" w:space="0" w:color="auto"/>
        <w:left w:val="none" w:sz="0" w:space="0" w:color="auto"/>
        <w:bottom w:val="none" w:sz="0" w:space="0" w:color="auto"/>
        <w:right w:val="none" w:sz="0" w:space="0" w:color="auto"/>
      </w:divBdr>
    </w:div>
    <w:div w:id="1050500029">
      <w:bodyDiv w:val="1"/>
      <w:marLeft w:val="0"/>
      <w:marRight w:val="0"/>
      <w:marTop w:val="0"/>
      <w:marBottom w:val="0"/>
      <w:divBdr>
        <w:top w:val="none" w:sz="0" w:space="0" w:color="auto"/>
        <w:left w:val="none" w:sz="0" w:space="0" w:color="auto"/>
        <w:bottom w:val="none" w:sz="0" w:space="0" w:color="auto"/>
        <w:right w:val="none" w:sz="0" w:space="0" w:color="auto"/>
      </w:divBdr>
    </w:div>
    <w:div w:id="1050694167">
      <w:bodyDiv w:val="1"/>
      <w:marLeft w:val="0"/>
      <w:marRight w:val="0"/>
      <w:marTop w:val="0"/>
      <w:marBottom w:val="0"/>
      <w:divBdr>
        <w:top w:val="none" w:sz="0" w:space="0" w:color="auto"/>
        <w:left w:val="none" w:sz="0" w:space="0" w:color="auto"/>
        <w:bottom w:val="none" w:sz="0" w:space="0" w:color="auto"/>
        <w:right w:val="none" w:sz="0" w:space="0" w:color="auto"/>
      </w:divBdr>
    </w:div>
    <w:div w:id="1050809714">
      <w:bodyDiv w:val="1"/>
      <w:marLeft w:val="0"/>
      <w:marRight w:val="0"/>
      <w:marTop w:val="0"/>
      <w:marBottom w:val="0"/>
      <w:divBdr>
        <w:top w:val="none" w:sz="0" w:space="0" w:color="auto"/>
        <w:left w:val="none" w:sz="0" w:space="0" w:color="auto"/>
        <w:bottom w:val="none" w:sz="0" w:space="0" w:color="auto"/>
        <w:right w:val="none" w:sz="0" w:space="0" w:color="auto"/>
      </w:divBdr>
    </w:div>
    <w:div w:id="1051002014">
      <w:bodyDiv w:val="1"/>
      <w:marLeft w:val="0"/>
      <w:marRight w:val="0"/>
      <w:marTop w:val="0"/>
      <w:marBottom w:val="0"/>
      <w:divBdr>
        <w:top w:val="none" w:sz="0" w:space="0" w:color="auto"/>
        <w:left w:val="none" w:sz="0" w:space="0" w:color="auto"/>
        <w:bottom w:val="none" w:sz="0" w:space="0" w:color="auto"/>
        <w:right w:val="none" w:sz="0" w:space="0" w:color="auto"/>
      </w:divBdr>
    </w:div>
    <w:div w:id="1051005353">
      <w:bodyDiv w:val="1"/>
      <w:marLeft w:val="0"/>
      <w:marRight w:val="0"/>
      <w:marTop w:val="0"/>
      <w:marBottom w:val="0"/>
      <w:divBdr>
        <w:top w:val="none" w:sz="0" w:space="0" w:color="auto"/>
        <w:left w:val="none" w:sz="0" w:space="0" w:color="auto"/>
        <w:bottom w:val="none" w:sz="0" w:space="0" w:color="auto"/>
        <w:right w:val="none" w:sz="0" w:space="0" w:color="auto"/>
      </w:divBdr>
    </w:div>
    <w:div w:id="1051656517">
      <w:bodyDiv w:val="1"/>
      <w:marLeft w:val="0"/>
      <w:marRight w:val="0"/>
      <w:marTop w:val="0"/>
      <w:marBottom w:val="0"/>
      <w:divBdr>
        <w:top w:val="none" w:sz="0" w:space="0" w:color="auto"/>
        <w:left w:val="none" w:sz="0" w:space="0" w:color="auto"/>
        <w:bottom w:val="none" w:sz="0" w:space="0" w:color="auto"/>
        <w:right w:val="none" w:sz="0" w:space="0" w:color="auto"/>
      </w:divBdr>
    </w:div>
    <w:div w:id="1051877559">
      <w:bodyDiv w:val="1"/>
      <w:marLeft w:val="0"/>
      <w:marRight w:val="0"/>
      <w:marTop w:val="0"/>
      <w:marBottom w:val="0"/>
      <w:divBdr>
        <w:top w:val="none" w:sz="0" w:space="0" w:color="auto"/>
        <w:left w:val="none" w:sz="0" w:space="0" w:color="auto"/>
        <w:bottom w:val="none" w:sz="0" w:space="0" w:color="auto"/>
        <w:right w:val="none" w:sz="0" w:space="0" w:color="auto"/>
      </w:divBdr>
    </w:div>
    <w:div w:id="1051927448">
      <w:bodyDiv w:val="1"/>
      <w:marLeft w:val="0"/>
      <w:marRight w:val="0"/>
      <w:marTop w:val="0"/>
      <w:marBottom w:val="0"/>
      <w:divBdr>
        <w:top w:val="none" w:sz="0" w:space="0" w:color="auto"/>
        <w:left w:val="none" w:sz="0" w:space="0" w:color="auto"/>
        <w:bottom w:val="none" w:sz="0" w:space="0" w:color="auto"/>
        <w:right w:val="none" w:sz="0" w:space="0" w:color="auto"/>
      </w:divBdr>
    </w:div>
    <w:div w:id="1052266801">
      <w:bodyDiv w:val="1"/>
      <w:marLeft w:val="0"/>
      <w:marRight w:val="0"/>
      <w:marTop w:val="0"/>
      <w:marBottom w:val="0"/>
      <w:divBdr>
        <w:top w:val="none" w:sz="0" w:space="0" w:color="auto"/>
        <w:left w:val="none" w:sz="0" w:space="0" w:color="auto"/>
        <w:bottom w:val="none" w:sz="0" w:space="0" w:color="auto"/>
        <w:right w:val="none" w:sz="0" w:space="0" w:color="auto"/>
      </w:divBdr>
    </w:div>
    <w:div w:id="1052726975">
      <w:bodyDiv w:val="1"/>
      <w:marLeft w:val="0"/>
      <w:marRight w:val="0"/>
      <w:marTop w:val="0"/>
      <w:marBottom w:val="0"/>
      <w:divBdr>
        <w:top w:val="none" w:sz="0" w:space="0" w:color="auto"/>
        <w:left w:val="none" w:sz="0" w:space="0" w:color="auto"/>
        <w:bottom w:val="none" w:sz="0" w:space="0" w:color="auto"/>
        <w:right w:val="none" w:sz="0" w:space="0" w:color="auto"/>
      </w:divBdr>
    </w:div>
    <w:div w:id="1052967362">
      <w:bodyDiv w:val="1"/>
      <w:marLeft w:val="0"/>
      <w:marRight w:val="0"/>
      <w:marTop w:val="0"/>
      <w:marBottom w:val="0"/>
      <w:divBdr>
        <w:top w:val="none" w:sz="0" w:space="0" w:color="auto"/>
        <w:left w:val="none" w:sz="0" w:space="0" w:color="auto"/>
        <w:bottom w:val="none" w:sz="0" w:space="0" w:color="auto"/>
        <w:right w:val="none" w:sz="0" w:space="0" w:color="auto"/>
      </w:divBdr>
    </w:div>
    <w:div w:id="1053240371">
      <w:bodyDiv w:val="1"/>
      <w:marLeft w:val="0"/>
      <w:marRight w:val="0"/>
      <w:marTop w:val="0"/>
      <w:marBottom w:val="0"/>
      <w:divBdr>
        <w:top w:val="none" w:sz="0" w:space="0" w:color="auto"/>
        <w:left w:val="none" w:sz="0" w:space="0" w:color="auto"/>
        <w:bottom w:val="none" w:sz="0" w:space="0" w:color="auto"/>
        <w:right w:val="none" w:sz="0" w:space="0" w:color="auto"/>
      </w:divBdr>
    </w:div>
    <w:div w:id="1053965088">
      <w:bodyDiv w:val="1"/>
      <w:marLeft w:val="0"/>
      <w:marRight w:val="0"/>
      <w:marTop w:val="0"/>
      <w:marBottom w:val="0"/>
      <w:divBdr>
        <w:top w:val="none" w:sz="0" w:space="0" w:color="auto"/>
        <w:left w:val="none" w:sz="0" w:space="0" w:color="auto"/>
        <w:bottom w:val="none" w:sz="0" w:space="0" w:color="auto"/>
        <w:right w:val="none" w:sz="0" w:space="0" w:color="auto"/>
      </w:divBdr>
    </w:div>
    <w:div w:id="1053968697">
      <w:bodyDiv w:val="1"/>
      <w:marLeft w:val="0"/>
      <w:marRight w:val="0"/>
      <w:marTop w:val="0"/>
      <w:marBottom w:val="0"/>
      <w:divBdr>
        <w:top w:val="none" w:sz="0" w:space="0" w:color="auto"/>
        <w:left w:val="none" w:sz="0" w:space="0" w:color="auto"/>
        <w:bottom w:val="none" w:sz="0" w:space="0" w:color="auto"/>
        <w:right w:val="none" w:sz="0" w:space="0" w:color="auto"/>
      </w:divBdr>
    </w:div>
    <w:div w:id="1054235587">
      <w:bodyDiv w:val="1"/>
      <w:marLeft w:val="0"/>
      <w:marRight w:val="0"/>
      <w:marTop w:val="0"/>
      <w:marBottom w:val="0"/>
      <w:divBdr>
        <w:top w:val="none" w:sz="0" w:space="0" w:color="auto"/>
        <w:left w:val="none" w:sz="0" w:space="0" w:color="auto"/>
        <w:bottom w:val="none" w:sz="0" w:space="0" w:color="auto"/>
        <w:right w:val="none" w:sz="0" w:space="0" w:color="auto"/>
      </w:divBdr>
    </w:div>
    <w:div w:id="1054506003">
      <w:bodyDiv w:val="1"/>
      <w:marLeft w:val="0"/>
      <w:marRight w:val="0"/>
      <w:marTop w:val="0"/>
      <w:marBottom w:val="0"/>
      <w:divBdr>
        <w:top w:val="none" w:sz="0" w:space="0" w:color="auto"/>
        <w:left w:val="none" w:sz="0" w:space="0" w:color="auto"/>
        <w:bottom w:val="none" w:sz="0" w:space="0" w:color="auto"/>
        <w:right w:val="none" w:sz="0" w:space="0" w:color="auto"/>
      </w:divBdr>
    </w:div>
    <w:div w:id="1054741193">
      <w:bodyDiv w:val="1"/>
      <w:marLeft w:val="0"/>
      <w:marRight w:val="0"/>
      <w:marTop w:val="0"/>
      <w:marBottom w:val="0"/>
      <w:divBdr>
        <w:top w:val="none" w:sz="0" w:space="0" w:color="auto"/>
        <w:left w:val="none" w:sz="0" w:space="0" w:color="auto"/>
        <w:bottom w:val="none" w:sz="0" w:space="0" w:color="auto"/>
        <w:right w:val="none" w:sz="0" w:space="0" w:color="auto"/>
      </w:divBdr>
    </w:div>
    <w:div w:id="1055004788">
      <w:bodyDiv w:val="1"/>
      <w:marLeft w:val="0"/>
      <w:marRight w:val="0"/>
      <w:marTop w:val="0"/>
      <w:marBottom w:val="0"/>
      <w:divBdr>
        <w:top w:val="none" w:sz="0" w:space="0" w:color="auto"/>
        <w:left w:val="none" w:sz="0" w:space="0" w:color="auto"/>
        <w:bottom w:val="none" w:sz="0" w:space="0" w:color="auto"/>
        <w:right w:val="none" w:sz="0" w:space="0" w:color="auto"/>
      </w:divBdr>
    </w:div>
    <w:div w:id="1055083654">
      <w:bodyDiv w:val="1"/>
      <w:marLeft w:val="0"/>
      <w:marRight w:val="0"/>
      <w:marTop w:val="0"/>
      <w:marBottom w:val="0"/>
      <w:divBdr>
        <w:top w:val="none" w:sz="0" w:space="0" w:color="auto"/>
        <w:left w:val="none" w:sz="0" w:space="0" w:color="auto"/>
        <w:bottom w:val="none" w:sz="0" w:space="0" w:color="auto"/>
        <w:right w:val="none" w:sz="0" w:space="0" w:color="auto"/>
      </w:divBdr>
    </w:div>
    <w:div w:id="1055592717">
      <w:bodyDiv w:val="1"/>
      <w:marLeft w:val="0"/>
      <w:marRight w:val="0"/>
      <w:marTop w:val="0"/>
      <w:marBottom w:val="0"/>
      <w:divBdr>
        <w:top w:val="none" w:sz="0" w:space="0" w:color="auto"/>
        <w:left w:val="none" w:sz="0" w:space="0" w:color="auto"/>
        <w:bottom w:val="none" w:sz="0" w:space="0" w:color="auto"/>
        <w:right w:val="none" w:sz="0" w:space="0" w:color="auto"/>
      </w:divBdr>
    </w:div>
    <w:div w:id="1055620706">
      <w:bodyDiv w:val="1"/>
      <w:marLeft w:val="0"/>
      <w:marRight w:val="0"/>
      <w:marTop w:val="0"/>
      <w:marBottom w:val="0"/>
      <w:divBdr>
        <w:top w:val="none" w:sz="0" w:space="0" w:color="auto"/>
        <w:left w:val="none" w:sz="0" w:space="0" w:color="auto"/>
        <w:bottom w:val="none" w:sz="0" w:space="0" w:color="auto"/>
        <w:right w:val="none" w:sz="0" w:space="0" w:color="auto"/>
      </w:divBdr>
    </w:div>
    <w:div w:id="1055740525">
      <w:bodyDiv w:val="1"/>
      <w:marLeft w:val="0"/>
      <w:marRight w:val="0"/>
      <w:marTop w:val="0"/>
      <w:marBottom w:val="0"/>
      <w:divBdr>
        <w:top w:val="none" w:sz="0" w:space="0" w:color="auto"/>
        <w:left w:val="none" w:sz="0" w:space="0" w:color="auto"/>
        <w:bottom w:val="none" w:sz="0" w:space="0" w:color="auto"/>
        <w:right w:val="none" w:sz="0" w:space="0" w:color="auto"/>
      </w:divBdr>
    </w:div>
    <w:div w:id="1056005224">
      <w:bodyDiv w:val="1"/>
      <w:marLeft w:val="0"/>
      <w:marRight w:val="0"/>
      <w:marTop w:val="0"/>
      <w:marBottom w:val="0"/>
      <w:divBdr>
        <w:top w:val="none" w:sz="0" w:space="0" w:color="auto"/>
        <w:left w:val="none" w:sz="0" w:space="0" w:color="auto"/>
        <w:bottom w:val="none" w:sz="0" w:space="0" w:color="auto"/>
        <w:right w:val="none" w:sz="0" w:space="0" w:color="auto"/>
      </w:divBdr>
    </w:div>
    <w:div w:id="1056276295">
      <w:bodyDiv w:val="1"/>
      <w:marLeft w:val="0"/>
      <w:marRight w:val="0"/>
      <w:marTop w:val="0"/>
      <w:marBottom w:val="0"/>
      <w:divBdr>
        <w:top w:val="none" w:sz="0" w:space="0" w:color="auto"/>
        <w:left w:val="none" w:sz="0" w:space="0" w:color="auto"/>
        <w:bottom w:val="none" w:sz="0" w:space="0" w:color="auto"/>
        <w:right w:val="none" w:sz="0" w:space="0" w:color="auto"/>
      </w:divBdr>
    </w:div>
    <w:div w:id="1056662923">
      <w:bodyDiv w:val="1"/>
      <w:marLeft w:val="0"/>
      <w:marRight w:val="0"/>
      <w:marTop w:val="0"/>
      <w:marBottom w:val="0"/>
      <w:divBdr>
        <w:top w:val="none" w:sz="0" w:space="0" w:color="auto"/>
        <w:left w:val="none" w:sz="0" w:space="0" w:color="auto"/>
        <w:bottom w:val="none" w:sz="0" w:space="0" w:color="auto"/>
        <w:right w:val="none" w:sz="0" w:space="0" w:color="auto"/>
      </w:divBdr>
    </w:div>
    <w:div w:id="1056709719">
      <w:bodyDiv w:val="1"/>
      <w:marLeft w:val="0"/>
      <w:marRight w:val="0"/>
      <w:marTop w:val="0"/>
      <w:marBottom w:val="0"/>
      <w:divBdr>
        <w:top w:val="none" w:sz="0" w:space="0" w:color="auto"/>
        <w:left w:val="none" w:sz="0" w:space="0" w:color="auto"/>
        <w:bottom w:val="none" w:sz="0" w:space="0" w:color="auto"/>
        <w:right w:val="none" w:sz="0" w:space="0" w:color="auto"/>
      </w:divBdr>
    </w:div>
    <w:div w:id="1057121122">
      <w:bodyDiv w:val="1"/>
      <w:marLeft w:val="0"/>
      <w:marRight w:val="0"/>
      <w:marTop w:val="0"/>
      <w:marBottom w:val="0"/>
      <w:divBdr>
        <w:top w:val="none" w:sz="0" w:space="0" w:color="auto"/>
        <w:left w:val="none" w:sz="0" w:space="0" w:color="auto"/>
        <w:bottom w:val="none" w:sz="0" w:space="0" w:color="auto"/>
        <w:right w:val="none" w:sz="0" w:space="0" w:color="auto"/>
      </w:divBdr>
    </w:div>
    <w:div w:id="1057824859">
      <w:bodyDiv w:val="1"/>
      <w:marLeft w:val="0"/>
      <w:marRight w:val="0"/>
      <w:marTop w:val="0"/>
      <w:marBottom w:val="0"/>
      <w:divBdr>
        <w:top w:val="none" w:sz="0" w:space="0" w:color="auto"/>
        <w:left w:val="none" w:sz="0" w:space="0" w:color="auto"/>
        <w:bottom w:val="none" w:sz="0" w:space="0" w:color="auto"/>
        <w:right w:val="none" w:sz="0" w:space="0" w:color="auto"/>
      </w:divBdr>
    </w:div>
    <w:div w:id="1058628519">
      <w:bodyDiv w:val="1"/>
      <w:marLeft w:val="0"/>
      <w:marRight w:val="0"/>
      <w:marTop w:val="0"/>
      <w:marBottom w:val="0"/>
      <w:divBdr>
        <w:top w:val="none" w:sz="0" w:space="0" w:color="auto"/>
        <w:left w:val="none" w:sz="0" w:space="0" w:color="auto"/>
        <w:bottom w:val="none" w:sz="0" w:space="0" w:color="auto"/>
        <w:right w:val="none" w:sz="0" w:space="0" w:color="auto"/>
      </w:divBdr>
    </w:div>
    <w:div w:id="1058671883">
      <w:bodyDiv w:val="1"/>
      <w:marLeft w:val="0"/>
      <w:marRight w:val="0"/>
      <w:marTop w:val="0"/>
      <w:marBottom w:val="0"/>
      <w:divBdr>
        <w:top w:val="none" w:sz="0" w:space="0" w:color="auto"/>
        <w:left w:val="none" w:sz="0" w:space="0" w:color="auto"/>
        <w:bottom w:val="none" w:sz="0" w:space="0" w:color="auto"/>
        <w:right w:val="none" w:sz="0" w:space="0" w:color="auto"/>
      </w:divBdr>
    </w:div>
    <w:div w:id="1058866988">
      <w:bodyDiv w:val="1"/>
      <w:marLeft w:val="0"/>
      <w:marRight w:val="0"/>
      <w:marTop w:val="0"/>
      <w:marBottom w:val="0"/>
      <w:divBdr>
        <w:top w:val="none" w:sz="0" w:space="0" w:color="auto"/>
        <w:left w:val="none" w:sz="0" w:space="0" w:color="auto"/>
        <w:bottom w:val="none" w:sz="0" w:space="0" w:color="auto"/>
        <w:right w:val="none" w:sz="0" w:space="0" w:color="auto"/>
      </w:divBdr>
    </w:div>
    <w:div w:id="1059011345">
      <w:bodyDiv w:val="1"/>
      <w:marLeft w:val="0"/>
      <w:marRight w:val="0"/>
      <w:marTop w:val="0"/>
      <w:marBottom w:val="0"/>
      <w:divBdr>
        <w:top w:val="none" w:sz="0" w:space="0" w:color="auto"/>
        <w:left w:val="none" w:sz="0" w:space="0" w:color="auto"/>
        <w:bottom w:val="none" w:sz="0" w:space="0" w:color="auto"/>
        <w:right w:val="none" w:sz="0" w:space="0" w:color="auto"/>
      </w:divBdr>
    </w:div>
    <w:div w:id="1059133723">
      <w:bodyDiv w:val="1"/>
      <w:marLeft w:val="0"/>
      <w:marRight w:val="0"/>
      <w:marTop w:val="0"/>
      <w:marBottom w:val="0"/>
      <w:divBdr>
        <w:top w:val="none" w:sz="0" w:space="0" w:color="auto"/>
        <w:left w:val="none" w:sz="0" w:space="0" w:color="auto"/>
        <w:bottom w:val="none" w:sz="0" w:space="0" w:color="auto"/>
        <w:right w:val="none" w:sz="0" w:space="0" w:color="auto"/>
      </w:divBdr>
    </w:div>
    <w:div w:id="1060784109">
      <w:bodyDiv w:val="1"/>
      <w:marLeft w:val="0"/>
      <w:marRight w:val="0"/>
      <w:marTop w:val="0"/>
      <w:marBottom w:val="0"/>
      <w:divBdr>
        <w:top w:val="none" w:sz="0" w:space="0" w:color="auto"/>
        <w:left w:val="none" w:sz="0" w:space="0" w:color="auto"/>
        <w:bottom w:val="none" w:sz="0" w:space="0" w:color="auto"/>
        <w:right w:val="none" w:sz="0" w:space="0" w:color="auto"/>
      </w:divBdr>
    </w:div>
    <w:div w:id="1060979886">
      <w:bodyDiv w:val="1"/>
      <w:marLeft w:val="0"/>
      <w:marRight w:val="0"/>
      <w:marTop w:val="0"/>
      <w:marBottom w:val="0"/>
      <w:divBdr>
        <w:top w:val="none" w:sz="0" w:space="0" w:color="auto"/>
        <w:left w:val="none" w:sz="0" w:space="0" w:color="auto"/>
        <w:bottom w:val="none" w:sz="0" w:space="0" w:color="auto"/>
        <w:right w:val="none" w:sz="0" w:space="0" w:color="auto"/>
      </w:divBdr>
    </w:div>
    <w:div w:id="1061099399">
      <w:bodyDiv w:val="1"/>
      <w:marLeft w:val="0"/>
      <w:marRight w:val="0"/>
      <w:marTop w:val="0"/>
      <w:marBottom w:val="0"/>
      <w:divBdr>
        <w:top w:val="none" w:sz="0" w:space="0" w:color="auto"/>
        <w:left w:val="none" w:sz="0" w:space="0" w:color="auto"/>
        <w:bottom w:val="none" w:sz="0" w:space="0" w:color="auto"/>
        <w:right w:val="none" w:sz="0" w:space="0" w:color="auto"/>
      </w:divBdr>
    </w:div>
    <w:div w:id="1062095971">
      <w:bodyDiv w:val="1"/>
      <w:marLeft w:val="0"/>
      <w:marRight w:val="0"/>
      <w:marTop w:val="0"/>
      <w:marBottom w:val="0"/>
      <w:divBdr>
        <w:top w:val="none" w:sz="0" w:space="0" w:color="auto"/>
        <w:left w:val="none" w:sz="0" w:space="0" w:color="auto"/>
        <w:bottom w:val="none" w:sz="0" w:space="0" w:color="auto"/>
        <w:right w:val="none" w:sz="0" w:space="0" w:color="auto"/>
      </w:divBdr>
    </w:div>
    <w:div w:id="1062101671">
      <w:bodyDiv w:val="1"/>
      <w:marLeft w:val="0"/>
      <w:marRight w:val="0"/>
      <w:marTop w:val="0"/>
      <w:marBottom w:val="0"/>
      <w:divBdr>
        <w:top w:val="none" w:sz="0" w:space="0" w:color="auto"/>
        <w:left w:val="none" w:sz="0" w:space="0" w:color="auto"/>
        <w:bottom w:val="none" w:sz="0" w:space="0" w:color="auto"/>
        <w:right w:val="none" w:sz="0" w:space="0" w:color="auto"/>
      </w:divBdr>
    </w:div>
    <w:div w:id="1062216001">
      <w:bodyDiv w:val="1"/>
      <w:marLeft w:val="0"/>
      <w:marRight w:val="0"/>
      <w:marTop w:val="0"/>
      <w:marBottom w:val="0"/>
      <w:divBdr>
        <w:top w:val="none" w:sz="0" w:space="0" w:color="auto"/>
        <w:left w:val="none" w:sz="0" w:space="0" w:color="auto"/>
        <w:bottom w:val="none" w:sz="0" w:space="0" w:color="auto"/>
        <w:right w:val="none" w:sz="0" w:space="0" w:color="auto"/>
      </w:divBdr>
    </w:div>
    <w:div w:id="1062630985">
      <w:bodyDiv w:val="1"/>
      <w:marLeft w:val="0"/>
      <w:marRight w:val="0"/>
      <w:marTop w:val="0"/>
      <w:marBottom w:val="0"/>
      <w:divBdr>
        <w:top w:val="none" w:sz="0" w:space="0" w:color="auto"/>
        <w:left w:val="none" w:sz="0" w:space="0" w:color="auto"/>
        <w:bottom w:val="none" w:sz="0" w:space="0" w:color="auto"/>
        <w:right w:val="none" w:sz="0" w:space="0" w:color="auto"/>
      </w:divBdr>
    </w:div>
    <w:div w:id="1062674691">
      <w:bodyDiv w:val="1"/>
      <w:marLeft w:val="0"/>
      <w:marRight w:val="0"/>
      <w:marTop w:val="0"/>
      <w:marBottom w:val="0"/>
      <w:divBdr>
        <w:top w:val="none" w:sz="0" w:space="0" w:color="auto"/>
        <w:left w:val="none" w:sz="0" w:space="0" w:color="auto"/>
        <w:bottom w:val="none" w:sz="0" w:space="0" w:color="auto"/>
        <w:right w:val="none" w:sz="0" w:space="0" w:color="auto"/>
      </w:divBdr>
    </w:div>
    <w:div w:id="1063258102">
      <w:bodyDiv w:val="1"/>
      <w:marLeft w:val="0"/>
      <w:marRight w:val="0"/>
      <w:marTop w:val="0"/>
      <w:marBottom w:val="0"/>
      <w:divBdr>
        <w:top w:val="none" w:sz="0" w:space="0" w:color="auto"/>
        <w:left w:val="none" w:sz="0" w:space="0" w:color="auto"/>
        <w:bottom w:val="none" w:sz="0" w:space="0" w:color="auto"/>
        <w:right w:val="none" w:sz="0" w:space="0" w:color="auto"/>
      </w:divBdr>
    </w:div>
    <w:div w:id="1063679012">
      <w:bodyDiv w:val="1"/>
      <w:marLeft w:val="0"/>
      <w:marRight w:val="0"/>
      <w:marTop w:val="0"/>
      <w:marBottom w:val="0"/>
      <w:divBdr>
        <w:top w:val="none" w:sz="0" w:space="0" w:color="auto"/>
        <w:left w:val="none" w:sz="0" w:space="0" w:color="auto"/>
        <w:bottom w:val="none" w:sz="0" w:space="0" w:color="auto"/>
        <w:right w:val="none" w:sz="0" w:space="0" w:color="auto"/>
      </w:divBdr>
    </w:div>
    <w:div w:id="1063717951">
      <w:bodyDiv w:val="1"/>
      <w:marLeft w:val="0"/>
      <w:marRight w:val="0"/>
      <w:marTop w:val="0"/>
      <w:marBottom w:val="0"/>
      <w:divBdr>
        <w:top w:val="none" w:sz="0" w:space="0" w:color="auto"/>
        <w:left w:val="none" w:sz="0" w:space="0" w:color="auto"/>
        <w:bottom w:val="none" w:sz="0" w:space="0" w:color="auto"/>
        <w:right w:val="none" w:sz="0" w:space="0" w:color="auto"/>
      </w:divBdr>
    </w:div>
    <w:div w:id="1063868701">
      <w:bodyDiv w:val="1"/>
      <w:marLeft w:val="0"/>
      <w:marRight w:val="0"/>
      <w:marTop w:val="0"/>
      <w:marBottom w:val="0"/>
      <w:divBdr>
        <w:top w:val="none" w:sz="0" w:space="0" w:color="auto"/>
        <w:left w:val="none" w:sz="0" w:space="0" w:color="auto"/>
        <w:bottom w:val="none" w:sz="0" w:space="0" w:color="auto"/>
        <w:right w:val="none" w:sz="0" w:space="0" w:color="auto"/>
      </w:divBdr>
    </w:div>
    <w:div w:id="1063872895">
      <w:bodyDiv w:val="1"/>
      <w:marLeft w:val="0"/>
      <w:marRight w:val="0"/>
      <w:marTop w:val="0"/>
      <w:marBottom w:val="0"/>
      <w:divBdr>
        <w:top w:val="none" w:sz="0" w:space="0" w:color="auto"/>
        <w:left w:val="none" w:sz="0" w:space="0" w:color="auto"/>
        <w:bottom w:val="none" w:sz="0" w:space="0" w:color="auto"/>
        <w:right w:val="none" w:sz="0" w:space="0" w:color="auto"/>
      </w:divBdr>
    </w:div>
    <w:div w:id="1064255537">
      <w:bodyDiv w:val="1"/>
      <w:marLeft w:val="0"/>
      <w:marRight w:val="0"/>
      <w:marTop w:val="0"/>
      <w:marBottom w:val="0"/>
      <w:divBdr>
        <w:top w:val="none" w:sz="0" w:space="0" w:color="auto"/>
        <w:left w:val="none" w:sz="0" w:space="0" w:color="auto"/>
        <w:bottom w:val="none" w:sz="0" w:space="0" w:color="auto"/>
        <w:right w:val="none" w:sz="0" w:space="0" w:color="auto"/>
      </w:divBdr>
    </w:div>
    <w:div w:id="1064644496">
      <w:bodyDiv w:val="1"/>
      <w:marLeft w:val="0"/>
      <w:marRight w:val="0"/>
      <w:marTop w:val="0"/>
      <w:marBottom w:val="0"/>
      <w:divBdr>
        <w:top w:val="none" w:sz="0" w:space="0" w:color="auto"/>
        <w:left w:val="none" w:sz="0" w:space="0" w:color="auto"/>
        <w:bottom w:val="none" w:sz="0" w:space="0" w:color="auto"/>
        <w:right w:val="none" w:sz="0" w:space="0" w:color="auto"/>
      </w:divBdr>
    </w:div>
    <w:div w:id="1064723055">
      <w:bodyDiv w:val="1"/>
      <w:marLeft w:val="0"/>
      <w:marRight w:val="0"/>
      <w:marTop w:val="0"/>
      <w:marBottom w:val="0"/>
      <w:divBdr>
        <w:top w:val="none" w:sz="0" w:space="0" w:color="auto"/>
        <w:left w:val="none" w:sz="0" w:space="0" w:color="auto"/>
        <w:bottom w:val="none" w:sz="0" w:space="0" w:color="auto"/>
        <w:right w:val="none" w:sz="0" w:space="0" w:color="auto"/>
      </w:divBdr>
    </w:div>
    <w:div w:id="1064794031">
      <w:bodyDiv w:val="1"/>
      <w:marLeft w:val="0"/>
      <w:marRight w:val="0"/>
      <w:marTop w:val="0"/>
      <w:marBottom w:val="0"/>
      <w:divBdr>
        <w:top w:val="none" w:sz="0" w:space="0" w:color="auto"/>
        <w:left w:val="none" w:sz="0" w:space="0" w:color="auto"/>
        <w:bottom w:val="none" w:sz="0" w:space="0" w:color="auto"/>
        <w:right w:val="none" w:sz="0" w:space="0" w:color="auto"/>
      </w:divBdr>
    </w:div>
    <w:div w:id="1064834317">
      <w:bodyDiv w:val="1"/>
      <w:marLeft w:val="0"/>
      <w:marRight w:val="0"/>
      <w:marTop w:val="0"/>
      <w:marBottom w:val="0"/>
      <w:divBdr>
        <w:top w:val="none" w:sz="0" w:space="0" w:color="auto"/>
        <w:left w:val="none" w:sz="0" w:space="0" w:color="auto"/>
        <w:bottom w:val="none" w:sz="0" w:space="0" w:color="auto"/>
        <w:right w:val="none" w:sz="0" w:space="0" w:color="auto"/>
      </w:divBdr>
    </w:div>
    <w:div w:id="1064985858">
      <w:bodyDiv w:val="1"/>
      <w:marLeft w:val="0"/>
      <w:marRight w:val="0"/>
      <w:marTop w:val="0"/>
      <w:marBottom w:val="0"/>
      <w:divBdr>
        <w:top w:val="none" w:sz="0" w:space="0" w:color="auto"/>
        <w:left w:val="none" w:sz="0" w:space="0" w:color="auto"/>
        <w:bottom w:val="none" w:sz="0" w:space="0" w:color="auto"/>
        <w:right w:val="none" w:sz="0" w:space="0" w:color="auto"/>
      </w:divBdr>
    </w:div>
    <w:div w:id="1065034199">
      <w:bodyDiv w:val="1"/>
      <w:marLeft w:val="0"/>
      <w:marRight w:val="0"/>
      <w:marTop w:val="0"/>
      <w:marBottom w:val="0"/>
      <w:divBdr>
        <w:top w:val="none" w:sz="0" w:space="0" w:color="auto"/>
        <w:left w:val="none" w:sz="0" w:space="0" w:color="auto"/>
        <w:bottom w:val="none" w:sz="0" w:space="0" w:color="auto"/>
        <w:right w:val="none" w:sz="0" w:space="0" w:color="auto"/>
      </w:divBdr>
    </w:div>
    <w:div w:id="1065572587">
      <w:bodyDiv w:val="1"/>
      <w:marLeft w:val="0"/>
      <w:marRight w:val="0"/>
      <w:marTop w:val="0"/>
      <w:marBottom w:val="0"/>
      <w:divBdr>
        <w:top w:val="none" w:sz="0" w:space="0" w:color="auto"/>
        <w:left w:val="none" w:sz="0" w:space="0" w:color="auto"/>
        <w:bottom w:val="none" w:sz="0" w:space="0" w:color="auto"/>
        <w:right w:val="none" w:sz="0" w:space="0" w:color="auto"/>
      </w:divBdr>
    </w:div>
    <w:div w:id="1066100614">
      <w:bodyDiv w:val="1"/>
      <w:marLeft w:val="0"/>
      <w:marRight w:val="0"/>
      <w:marTop w:val="0"/>
      <w:marBottom w:val="0"/>
      <w:divBdr>
        <w:top w:val="none" w:sz="0" w:space="0" w:color="auto"/>
        <w:left w:val="none" w:sz="0" w:space="0" w:color="auto"/>
        <w:bottom w:val="none" w:sz="0" w:space="0" w:color="auto"/>
        <w:right w:val="none" w:sz="0" w:space="0" w:color="auto"/>
      </w:divBdr>
    </w:div>
    <w:div w:id="1066294576">
      <w:bodyDiv w:val="1"/>
      <w:marLeft w:val="0"/>
      <w:marRight w:val="0"/>
      <w:marTop w:val="0"/>
      <w:marBottom w:val="0"/>
      <w:divBdr>
        <w:top w:val="none" w:sz="0" w:space="0" w:color="auto"/>
        <w:left w:val="none" w:sz="0" w:space="0" w:color="auto"/>
        <w:bottom w:val="none" w:sz="0" w:space="0" w:color="auto"/>
        <w:right w:val="none" w:sz="0" w:space="0" w:color="auto"/>
      </w:divBdr>
    </w:div>
    <w:div w:id="1066416017">
      <w:bodyDiv w:val="1"/>
      <w:marLeft w:val="0"/>
      <w:marRight w:val="0"/>
      <w:marTop w:val="0"/>
      <w:marBottom w:val="0"/>
      <w:divBdr>
        <w:top w:val="none" w:sz="0" w:space="0" w:color="auto"/>
        <w:left w:val="none" w:sz="0" w:space="0" w:color="auto"/>
        <w:bottom w:val="none" w:sz="0" w:space="0" w:color="auto"/>
        <w:right w:val="none" w:sz="0" w:space="0" w:color="auto"/>
      </w:divBdr>
    </w:div>
    <w:div w:id="1066533868">
      <w:bodyDiv w:val="1"/>
      <w:marLeft w:val="0"/>
      <w:marRight w:val="0"/>
      <w:marTop w:val="0"/>
      <w:marBottom w:val="0"/>
      <w:divBdr>
        <w:top w:val="none" w:sz="0" w:space="0" w:color="auto"/>
        <w:left w:val="none" w:sz="0" w:space="0" w:color="auto"/>
        <w:bottom w:val="none" w:sz="0" w:space="0" w:color="auto"/>
        <w:right w:val="none" w:sz="0" w:space="0" w:color="auto"/>
      </w:divBdr>
    </w:div>
    <w:div w:id="1066680092">
      <w:bodyDiv w:val="1"/>
      <w:marLeft w:val="0"/>
      <w:marRight w:val="0"/>
      <w:marTop w:val="0"/>
      <w:marBottom w:val="0"/>
      <w:divBdr>
        <w:top w:val="none" w:sz="0" w:space="0" w:color="auto"/>
        <w:left w:val="none" w:sz="0" w:space="0" w:color="auto"/>
        <w:bottom w:val="none" w:sz="0" w:space="0" w:color="auto"/>
        <w:right w:val="none" w:sz="0" w:space="0" w:color="auto"/>
      </w:divBdr>
    </w:div>
    <w:div w:id="1066954274">
      <w:bodyDiv w:val="1"/>
      <w:marLeft w:val="0"/>
      <w:marRight w:val="0"/>
      <w:marTop w:val="0"/>
      <w:marBottom w:val="0"/>
      <w:divBdr>
        <w:top w:val="none" w:sz="0" w:space="0" w:color="auto"/>
        <w:left w:val="none" w:sz="0" w:space="0" w:color="auto"/>
        <w:bottom w:val="none" w:sz="0" w:space="0" w:color="auto"/>
        <w:right w:val="none" w:sz="0" w:space="0" w:color="auto"/>
      </w:divBdr>
    </w:div>
    <w:div w:id="1067071692">
      <w:bodyDiv w:val="1"/>
      <w:marLeft w:val="0"/>
      <w:marRight w:val="0"/>
      <w:marTop w:val="0"/>
      <w:marBottom w:val="0"/>
      <w:divBdr>
        <w:top w:val="none" w:sz="0" w:space="0" w:color="auto"/>
        <w:left w:val="none" w:sz="0" w:space="0" w:color="auto"/>
        <w:bottom w:val="none" w:sz="0" w:space="0" w:color="auto"/>
        <w:right w:val="none" w:sz="0" w:space="0" w:color="auto"/>
      </w:divBdr>
    </w:div>
    <w:div w:id="1067193197">
      <w:bodyDiv w:val="1"/>
      <w:marLeft w:val="0"/>
      <w:marRight w:val="0"/>
      <w:marTop w:val="0"/>
      <w:marBottom w:val="0"/>
      <w:divBdr>
        <w:top w:val="none" w:sz="0" w:space="0" w:color="auto"/>
        <w:left w:val="none" w:sz="0" w:space="0" w:color="auto"/>
        <w:bottom w:val="none" w:sz="0" w:space="0" w:color="auto"/>
        <w:right w:val="none" w:sz="0" w:space="0" w:color="auto"/>
      </w:divBdr>
    </w:div>
    <w:div w:id="1067457844">
      <w:bodyDiv w:val="1"/>
      <w:marLeft w:val="0"/>
      <w:marRight w:val="0"/>
      <w:marTop w:val="0"/>
      <w:marBottom w:val="0"/>
      <w:divBdr>
        <w:top w:val="none" w:sz="0" w:space="0" w:color="auto"/>
        <w:left w:val="none" w:sz="0" w:space="0" w:color="auto"/>
        <w:bottom w:val="none" w:sz="0" w:space="0" w:color="auto"/>
        <w:right w:val="none" w:sz="0" w:space="0" w:color="auto"/>
      </w:divBdr>
    </w:div>
    <w:div w:id="1067725940">
      <w:bodyDiv w:val="1"/>
      <w:marLeft w:val="0"/>
      <w:marRight w:val="0"/>
      <w:marTop w:val="0"/>
      <w:marBottom w:val="0"/>
      <w:divBdr>
        <w:top w:val="none" w:sz="0" w:space="0" w:color="auto"/>
        <w:left w:val="none" w:sz="0" w:space="0" w:color="auto"/>
        <w:bottom w:val="none" w:sz="0" w:space="0" w:color="auto"/>
        <w:right w:val="none" w:sz="0" w:space="0" w:color="auto"/>
      </w:divBdr>
    </w:div>
    <w:div w:id="1068114641">
      <w:bodyDiv w:val="1"/>
      <w:marLeft w:val="0"/>
      <w:marRight w:val="0"/>
      <w:marTop w:val="0"/>
      <w:marBottom w:val="0"/>
      <w:divBdr>
        <w:top w:val="none" w:sz="0" w:space="0" w:color="auto"/>
        <w:left w:val="none" w:sz="0" w:space="0" w:color="auto"/>
        <w:bottom w:val="none" w:sz="0" w:space="0" w:color="auto"/>
        <w:right w:val="none" w:sz="0" w:space="0" w:color="auto"/>
      </w:divBdr>
    </w:div>
    <w:div w:id="1068457110">
      <w:bodyDiv w:val="1"/>
      <w:marLeft w:val="0"/>
      <w:marRight w:val="0"/>
      <w:marTop w:val="0"/>
      <w:marBottom w:val="0"/>
      <w:divBdr>
        <w:top w:val="none" w:sz="0" w:space="0" w:color="auto"/>
        <w:left w:val="none" w:sz="0" w:space="0" w:color="auto"/>
        <w:bottom w:val="none" w:sz="0" w:space="0" w:color="auto"/>
        <w:right w:val="none" w:sz="0" w:space="0" w:color="auto"/>
      </w:divBdr>
    </w:div>
    <w:div w:id="1068653913">
      <w:bodyDiv w:val="1"/>
      <w:marLeft w:val="0"/>
      <w:marRight w:val="0"/>
      <w:marTop w:val="0"/>
      <w:marBottom w:val="0"/>
      <w:divBdr>
        <w:top w:val="none" w:sz="0" w:space="0" w:color="auto"/>
        <w:left w:val="none" w:sz="0" w:space="0" w:color="auto"/>
        <w:bottom w:val="none" w:sz="0" w:space="0" w:color="auto"/>
        <w:right w:val="none" w:sz="0" w:space="0" w:color="auto"/>
      </w:divBdr>
    </w:div>
    <w:div w:id="1069038682">
      <w:bodyDiv w:val="1"/>
      <w:marLeft w:val="0"/>
      <w:marRight w:val="0"/>
      <w:marTop w:val="0"/>
      <w:marBottom w:val="0"/>
      <w:divBdr>
        <w:top w:val="none" w:sz="0" w:space="0" w:color="auto"/>
        <w:left w:val="none" w:sz="0" w:space="0" w:color="auto"/>
        <w:bottom w:val="none" w:sz="0" w:space="0" w:color="auto"/>
        <w:right w:val="none" w:sz="0" w:space="0" w:color="auto"/>
      </w:divBdr>
    </w:div>
    <w:div w:id="1069378787">
      <w:bodyDiv w:val="1"/>
      <w:marLeft w:val="0"/>
      <w:marRight w:val="0"/>
      <w:marTop w:val="0"/>
      <w:marBottom w:val="0"/>
      <w:divBdr>
        <w:top w:val="none" w:sz="0" w:space="0" w:color="auto"/>
        <w:left w:val="none" w:sz="0" w:space="0" w:color="auto"/>
        <w:bottom w:val="none" w:sz="0" w:space="0" w:color="auto"/>
        <w:right w:val="none" w:sz="0" w:space="0" w:color="auto"/>
      </w:divBdr>
    </w:div>
    <w:div w:id="1069621091">
      <w:bodyDiv w:val="1"/>
      <w:marLeft w:val="0"/>
      <w:marRight w:val="0"/>
      <w:marTop w:val="0"/>
      <w:marBottom w:val="0"/>
      <w:divBdr>
        <w:top w:val="none" w:sz="0" w:space="0" w:color="auto"/>
        <w:left w:val="none" w:sz="0" w:space="0" w:color="auto"/>
        <w:bottom w:val="none" w:sz="0" w:space="0" w:color="auto"/>
        <w:right w:val="none" w:sz="0" w:space="0" w:color="auto"/>
      </w:divBdr>
    </w:div>
    <w:div w:id="1071349686">
      <w:bodyDiv w:val="1"/>
      <w:marLeft w:val="0"/>
      <w:marRight w:val="0"/>
      <w:marTop w:val="0"/>
      <w:marBottom w:val="0"/>
      <w:divBdr>
        <w:top w:val="none" w:sz="0" w:space="0" w:color="auto"/>
        <w:left w:val="none" w:sz="0" w:space="0" w:color="auto"/>
        <w:bottom w:val="none" w:sz="0" w:space="0" w:color="auto"/>
        <w:right w:val="none" w:sz="0" w:space="0" w:color="auto"/>
      </w:divBdr>
    </w:div>
    <w:div w:id="1071460734">
      <w:bodyDiv w:val="1"/>
      <w:marLeft w:val="0"/>
      <w:marRight w:val="0"/>
      <w:marTop w:val="0"/>
      <w:marBottom w:val="0"/>
      <w:divBdr>
        <w:top w:val="none" w:sz="0" w:space="0" w:color="auto"/>
        <w:left w:val="none" w:sz="0" w:space="0" w:color="auto"/>
        <w:bottom w:val="none" w:sz="0" w:space="0" w:color="auto"/>
        <w:right w:val="none" w:sz="0" w:space="0" w:color="auto"/>
      </w:divBdr>
    </w:div>
    <w:div w:id="1071467674">
      <w:bodyDiv w:val="1"/>
      <w:marLeft w:val="0"/>
      <w:marRight w:val="0"/>
      <w:marTop w:val="0"/>
      <w:marBottom w:val="0"/>
      <w:divBdr>
        <w:top w:val="none" w:sz="0" w:space="0" w:color="auto"/>
        <w:left w:val="none" w:sz="0" w:space="0" w:color="auto"/>
        <w:bottom w:val="none" w:sz="0" w:space="0" w:color="auto"/>
        <w:right w:val="none" w:sz="0" w:space="0" w:color="auto"/>
      </w:divBdr>
    </w:div>
    <w:div w:id="1071540299">
      <w:bodyDiv w:val="1"/>
      <w:marLeft w:val="0"/>
      <w:marRight w:val="0"/>
      <w:marTop w:val="0"/>
      <w:marBottom w:val="0"/>
      <w:divBdr>
        <w:top w:val="none" w:sz="0" w:space="0" w:color="auto"/>
        <w:left w:val="none" w:sz="0" w:space="0" w:color="auto"/>
        <w:bottom w:val="none" w:sz="0" w:space="0" w:color="auto"/>
        <w:right w:val="none" w:sz="0" w:space="0" w:color="auto"/>
      </w:divBdr>
    </w:div>
    <w:div w:id="1072655131">
      <w:bodyDiv w:val="1"/>
      <w:marLeft w:val="0"/>
      <w:marRight w:val="0"/>
      <w:marTop w:val="0"/>
      <w:marBottom w:val="0"/>
      <w:divBdr>
        <w:top w:val="none" w:sz="0" w:space="0" w:color="auto"/>
        <w:left w:val="none" w:sz="0" w:space="0" w:color="auto"/>
        <w:bottom w:val="none" w:sz="0" w:space="0" w:color="auto"/>
        <w:right w:val="none" w:sz="0" w:space="0" w:color="auto"/>
      </w:divBdr>
    </w:div>
    <w:div w:id="1072656272">
      <w:bodyDiv w:val="1"/>
      <w:marLeft w:val="0"/>
      <w:marRight w:val="0"/>
      <w:marTop w:val="0"/>
      <w:marBottom w:val="0"/>
      <w:divBdr>
        <w:top w:val="none" w:sz="0" w:space="0" w:color="auto"/>
        <w:left w:val="none" w:sz="0" w:space="0" w:color="auto"/>
        <w:bottom w:val="none" w:sz="0" w:space="0" w:color="auto"/>
        <w:right w:val="none" w:sz="0" w:space="0" w:color="auto"/>
      </w:divBdr>
    </w:div>
    <w:div w:id="1072700229">
      <w:bodyDiv w:val="1"/>
      <w:marLeft w:val="0"/>
      <w:marRight w:val="0"/>
      <w:marTop w:val="0"/>
      <w:marBottom w:val="0"/>
      <w:divBdr>
        <w:top w:val="none" w:sz="0" w:space="0" w:color="auto"/>
        <w:left w:val="none" w:sz="0" w:space="0" w:color="auto"/>
        <w:bottom w:val="none" w:sz="0" w:space="0" w:color="auto"/>
        <w:right w:val="none" w:sz="0" w:space="0" w:color="auto"/>
      </w:divBdr>
    </w:div>
    <w:div w:id="1072775007">
      <w:bodyDiv w:val="1"/>
      <w:marLeft w:val="0"/>
      <w:marRight w:val="0"/>
      <w:marTop w:val="0"/>
      <w:marBottom w:val="0"/>
      <w:divBdr>
        <w:top w:val="none" w:sz="0" w:space="0" w:color="auto"/>
        <w:left w:val="none" w:sz="0" w:space="0" w:color="auto"/>
        <w:bottom w:val="none" w:sz="0" w:space="0" w:color="auto"/>
        <w:right w:val="none" w:sz="0" w:space="0" w:color="auto"/>
      </w:divBdr>
    </w:div>
    <w:div w:id="1072849037">
      <w:bodyDiv w:val="1"/>
      <w:marLeft w:val="0"/>
      <w:marRight w:val="0"/>
      <w:marTop w:val="0"/>
      <w:marBottom w:val="0"/>
      <w:divBdr>
        <w:top w:val="none" w:sz="0" w:space="0" w:color="auto"/>
        <w:left w:val="none" w:sz="0" w:space="0" w:color="auto"/>
        <w:bottom w:val="none" w:sz="0" w:space="0" w:color="auto"/>
        <w:right w:val="none" w:sz="0" w:space="0" w:color="auto"/>
      </w:divBdr>
    </w:div>
    <w:div w:id="1072969979">
      <w:bodyDiv w:val="1"/>
      <w:marLeft w:val="0"/>
      <w:marRight w:val="0"/>
      <w:marTop w:val="0"/>
      <w:marBottom w:val="0"/>
      <w:divBdr>
        <w:top w:val="none" w:sz="0" w:space="0" w:color="auto"/>
        <w:left w:val="none" w:sz="0" w:space="0" w:color="auto"/>
        <w:bottom w:val="none" w:sz="0" w:space="0" w:color="auto"/>
        <w:right w:val="none" w:sz="0" w:space="0" w:color="auto"/>
      </w:divBdr>
    </w:div>
    <w:div w:id="1075316525">
      <w:bodyDiv w:val="1"/>
      <w:marLeft w:val="0"/>
      <w:marRight w:val="0"/>
      <w:marTop w:val="0"/>
      <w:marBottom w:val="0"/>
      <w:divBdr>
        <w:top w:val="none" w:sz="0" w:space="0" w:color="auto"/>
        <w:left w:val="none" w:sz="0" w:space="0" w:color="auto"/>
        <w:bottom w:val="none" w:sz="0" w:space="0" w:color="auto"/>
        <w:right w:val="none" w:sz="0" w:space="0" w:color="auto"/>
      </w:divBdr>
    </w:div>
    <w:div w:id="1075319900">
      <w:bodyDiv w:val="1"/>
      <w:marLeft w:val="0"/>
      <w:marRight w:val="0"/>
      <w:marTop w:val="0"/>
      <w:marBottom w:val="0"/>
      <w:divBdr>
        <w:top w:val="none" w:sz="0" w:space="0" w:color="auto"/>
        <w:left w:val="none" w:sz="0" w:space="0" w:color="auto"/>
        <w:bottom w:val="none" w:sz="0" w:space="0" w:color="auto"/>
        <w:right w:val="none" w:sz="0" w:space="0" w:color="auto"/>
      </w:divBdr>
    </w:div>
    <w:div w:id="1075322635">
      <w:bodyDiv w:val="1"/>
      <w:marLeft w:val="0"/>
      <w:marRight w:val="0"/>
      <w:marTop w:val="0"/>
      <w:marBottom w:val="0"/>
      <w:divBdr>
        <w:top w:val="none" w:sz="0" w:space="0" w:color="auto"/>
        <w:left w:val="none" w:sz="0" w:space="0" w:color="auto"/>
        <w:bottom w:val="none" w:sz="0" w:space="0" w:color="auto"/>
        <w:right w:val="none" w:sz="0" w:space="0" w:color="auto"/>
      </w:divBdr>
    </w:div>
    <w:div w:id="1075738908">
      <w:bodyDiv w:val="1"/>
      <w:marLeft w:val="0"/>
      <w:marRight w:val="0"/>
      <w:marTop w:val="0"/>
      <w:marBottom w:val="0"/>
      <w:divBdr>
        <w:top w:val="none" w:sz="0" w:space="0" w:color="auto"/>
        <w:left w:val="none" w:sz="0" w:space="0" w:color="auto"/>
        <w:bottom w:val="none" w:sz="0" w:space="0" w:color="auto"/>
        <w:right w:val="none" w:sz="0" w:space="0" w:color="auto"/>
      </w:divBdr>
    </w:div>
    <w:div w:id="1076129567">
      <w:bodyDiv w:val="1"/>
      <w:marLeft w:val="0"/>
      <w:marRight w:val="0"/>
      <w:marTop w:val="0"/>
      <w:marBottom w:val="0"/>
      <w:divBdr>
        <w:top w:val="none" w:sz="0" w:space="0" w:color="auto"/>
        <w:left w:val="none" w:sz="0" w:space="0" w:color="auto"/>
        <w:bottom w:val="none" w:sz="0" w:space="0" w:color="auto"/>
        <w:right w:val="none" w:sz="0" w:space="0" w:color="auto"/>
      </w:divBdr>
    </w:div>
    <w:div w:id="1076240735">
      <w:bodyDiv w:val="1"/>
      <w:marLeft w:val="0"/>
      <w:marRight w:val="0"/>
      <w:marTop w:val="0"/>
      <w:marBottom w:val="0"/>
      <w:divBdr>
        <w:top w:val="none" w:sz="0" w:space="0" w:color="auto"/>
        <w:left w:val="none" w:sz="0" w:space="0" w:color="auto"/>
        <w:bottom w:val="none" w:sz="0" w:space="0" w:color="auto"/>
        <w:right w:val="none" w:sz="0" w:space="0" w:color="auto"/>
      </w:divBdr>
    </w:div>
    <w:div w:id="1076631971">
      <w:bodyDiv w:val="1"/>
      <w:marLeft w:val="0"/>
      <w:marRight w:val="0"/>
      <w:marTop w:val="0"/>
      <w:marBottom w:val="0"/>
      <w:divBdr>
        <w:top w:val="none" w:sz="0" w:space="0" w:color="auto"/>
        <w:left w:val="none" w:sz="0" w:space="0" w:color="auto"/>
        <w:bottom w:val="none" w:sz="0" w:space="0" w:color="auto"/>
        <w:right w:val="none" w:sz="0" w:space="0" w:color="auto"/>
      </w:divBdr>
    </w:div>
    <w:div w:id="1077093938">
      <w:bodyDiv w:val="1"/>
      <w:marLeft w:val="0"/>
      <w:marRight w:val="0"/>
      <w:marTop w:val="0"/>
      <w:marBottom w:val="0"/>
      <w:divBdr>
        <w:top w:val="none" w:sz="0" w:space="0" w:color="auto"/>
        <w:left w:val="none" w:sz="0" w:space="0" w:color="auto"/>
        <w:bottom w:val="none" w:sz="0" w:space="0" w:color="auto"/>
        <w:right w:val="none" w:sz="0" w:space="0" w:color="auto"/>
      </w:divBdr>
    </w:div>
    <w:div w:id="1077168427">
      <w:bodyDiv w:val="1"/>
      <w:marLeft w:val="0"/>
      <w:marRight w:val="0"/>
      <w:marTop w:val="0"/>
      <w:marBottom w:val="0"/>
      <w:divBdr>
        <w:top w:val="none" w:sz="0" w:space="0" w:color="auto"/>
        <w:left w:val="none" w:sz="0" w:space="0" w:color="auto"/>
        <w:bottom w:val="none" w:sz="0" w:space="0" w:color="auto"/>
        <w:right w:val="none" w:sz="0" w:space="0" w:color="auto"/>
      </w:divBdr>
    </w:div>
    <w:div w:id="1077363738">
      <w:bodyDiv w:val="1"/>
      <w:marLeft w:val="0"/>
      <w:marRight w:val="0"/>
      <w:marTop w:val="0"/>
      <w:marBottom w:val="0"/>
      <w:divBdr>
        <w:top w:val="none" w:sz="0" w:space="0" w:color="auto"/>
        <w:left w:val="none" w:sz="0" w:space="0" w:color="auto"/>
        <w:bottom w:val="none" w:sz="0" w:space="0" w:color="auto"/>
        <w:right w:val="none" w:sz="0" w:space="0" w:color="auto"/>
      </w:divBdr>
    </w:div>
    <w:div w:id="1077747277">
      <w:bodyDiv w:val="1"/>
      <w:marLeft w:val="0"/>
      <w:marRight w:val="0"/>
      <w:marTop w:val="0"/>
      <w:marBottom w:val="0"/>
      <w:divBdr>
        <w:top w:val="none" w:sz="0" w:space="0" w:color="auto"/>
        <w:left w:val="none" w:sz="0" w:space="0" w:color="auto"/>
        <w:bottom w:val="none" w:sz="0" w:space="0" w:color="auto"/>
        <w:right w:val="none" w:sz="0" w:space="0" w:color="auto"/>
      </w:divBdr>
    </w:div>
    <w:div w:id="1077820631">
      <w:bodyDiv w:val="1"/>
      <w:marLeft w:val="0"/>
      <w:marRight w:val="0"/>
      <w:marTop w:val="0"/>
      <w:marBottom w:val="0"/>
      <w:divBdr>
        <w:top w:val="none" w:sz="0" w:space="0" w:color="auto"/>
        <w:left w:val="none" w:sz="0" w:space="0" w:color="auto"/>
        <w:bottom w:val="none" w:sz="0" w:space="0" w:color="auto"/>
        <w:right w:val="none" w:sz="0" w:space="0" w:color="auto"/>
      </w:divBdr>
    </w:div>
    <w:div w:id="1077938746">
      <w:bodyDiv w:val="1"/>
      <w:marLeft w:val="0"/>
      <w:marRight w:val="0"/>
      <w:marTop w:val="0"/>
      <w:marBottom w:val="0"/>
      <w:divBdr>
        <w:top w:val="none" w:sz="0" w:space="0" w:color="auto"/>
        <w:left w:val="none" w:sz="0" w:space="0" w:color="auto"/>
        <w:bottom w:val="none" w:sz="0" w:space="0" w:color="auto"/>
        <w:right w:val="none" w:sz="0" w:space="0" w:color="auto"/>
      </w:divBdr>
    </w:div>
    <w:div w:id="1077940928">
      <w:bodyDiv w:val="1"/>
      <w:marLeft w:val="0"/>
      <w:marRight w:val="0"/>
      <w:marTop w:val="0"/>
      <w:marBottom w:val="0"/>
      <w:divBdr>
        <w:top w:val="none" w:sz="0" w:space="0" w:color="auto"/>
        <w:left w:val="none" w:sz="0" w:space="0" w:color="auto"/>
        <w:bottom w:val="none" w:sz="0" w:space="0" w:color="auto"/>
        <w:right w:val="none" w:sz="0" w:space="0" w:color="auto"/>
      </w:divBdr>
    </w:div>
    <w:div w:id="1078013454">
      <w:bodyDiv w:val="1"/>
      <w:marLeft w:val="0"/>
      <w:marRight w:val="0"/>
      <w:marTop w:val="0"/>
      <w:marBottom w:val="0"/>
      <w:divBdr>
        <w:top w:val="none" w:sz="0" w:space="0" w:color="auto"/>
        <w:left w:val="none" w:sz="0" w:space="0" w:color="auto"/>
        <w:bottom w:val="none" w:sz="0" w:space="0" w:color="auto"/>
        <w:right w:val="none" w:sz="0" w:space="0" w:color="auto"/>
      </w:divBdr>
    </w:div>
    <w:div w:id="1078139059">
      <w:bodyDiv w:val="1"/>
      <w:marLeft w:val="0"/>
      <w:marRight w:val="0"/>
      <w:marTop w:val="0"/>
      <w:marBottom w:val="0"/>
      <w:divBdr>
        <w:top w:val="none" w:sz="0" w:space="0" w:color="auto"/>
        <w:left w:val="none" w:sz="0" w:space="0" w:color="auto"/>
        <w:bottom w:val="none" w:sz="0" w:space="0" w:color="auto"/>
        <w:right w:val="none" w:sz="0" w:space="0" w:color="auto"/>
      </w:divBdr>
    </w:div>
    <w:div w:id="1078478001">
      <w:bodyDiv w:val="1"/>
      <w:marLeft w:val="0"/>
      <w:marRight w:val="0"/>
      <w:marTop w:val="0"/>
      <w:marBottom w:val="0"/>
      <w:divBdr>
        <w:top w:val="none" w:sz="0" w:space="0" w:color="auto"/>
        <w:left w:val="none" w:sz="0" w:space="0" w:color="auto"/>
        <w:bottom w:val="none" w:sz="0" w:space="0" w:color="auto"/>
        <w:right w:val="none" w:sz="0" w:space="0" w:color="auto"/>
      </w:divBdr>
    </w:div>
    <w:div w:id="1078937218">
      <w:bodyDiv w:val="1"/>
      <w:marLeft w:val="0"/>
      <w:marRight w:val="0"/>
      <w:marTop w:val="0"/>
      <w:marBottom w:val="0"/>
      <w:divBdr>
        <w:top w:val="none" w:sz="0" w:space="0" w:color="auto"/>
        <w:left w:val="none" w:sz="0" w:space="0" w:color="auto"/>
        <w:bottom w:val="none" w:sz="0" w:space="0" w:color="auto"/>
        <w:right w:val="none" w:sz="0" w:space="0" w:color="auto"/>
      </w:divBdr>
    </w:div>
    <w:div w:id="1078942554">
      <w:bodyDiv w:val="1"/>
      <w:marLeft w:val="0"/>
      <w:marRight w:val="0"/>
      <w:marTop w:val="0"/>
      <w:marBottom w:val="0"/>
      <w:divBdr>
        <w:top w:val="none" w:sz="0" w:space="0" w:color="auto"/>
        <w:left w:val="none" w:sz="0" w:space="0" w:color="auto"/>
        <w:bottom w:val="none" w:sz="0" w:space="0" w:color="auto"/>
        <w:right w:val="none" w:sz="0" w:space="0" w:color="auto"/>
      </w:divBdr>
    </w:div>
    <w:div w:id="1079593631">
      <w:bodyDiv w:val="1"/>
      <w:marLeft w:val="0"/>
      <w:marRight w:val="0"/>
      <w:marTop w:val="0"/>
      <w:marBottom w:val="0"/>
      <w:divBdr>
        <w:top w:val="none" w:sz="0" w:space="0" w:color="auto"/>
        <w:left w:val="none" w:sz="0" w:space="0" w:color="auto"/>
        <w:bottom w:val="none" w:sz="0" w:space="0" w:color="auto"/>
        <w:right w:val="none" w:sz="0" w:space="0" w:color="auto"/>
      </w:divBdr>
    </w:div>
    <w:div w:id="1079981299">
      <w:bodyDiv w:val="1"/>
      <w:marLeft w:val="0"/>
      <w:marRight w:val="0"/>
      <w:marTop w:val="0"/>
      <w:marBottom w:val="0"/>
      <w:divBdr>
        <w:top w:val="none" w:sz="0" w:space="0" w:color="auto"/>
        <w:left w:val="none" w:sz="0" w:space="0" w:color="auto"/>
        <w:bottom w:val="none" w:sz="0" w:space="0" w:color="auto"/>
        <w:right w:val="none" w:sz="0" w:space="0" w:color="auto"/>
      </w:divBdr>
    </w:div>
    <w:div w:id="1080903493">
      <w:bodyDiv w:val="1"/>
      <w:marLeft w:val="0"/>
      <w:marRight w:val="0"/>
      <w:marTop w:val="0"/>
      <w:marBottom w:val="0"/>
      <w:divBdr>
        <w:top w:val="none" w:sz="0" w:space="0" w:color="auto"/>
        <w:left w:val="none" w:sz="0" w:space="0" w:color="auto"/>
        <w:bottom w:val="none" w:sz="0" w:space="0" w:color="auto"/>
        <w:right w:val="none" w:sz="0" w:space="0" w:color="auto"/>
      </w:divBdr>
    </w:div>
    <w:div w:id="1081029461">
      <w:bodyDiv w:val="1"/>
      <w:marLeft w:val="0"/>
      <w:marRight w:val="0"/>
      <w:marTop w:val="0"/>
      <w:marBottom w:val="0"/>
      <w:divBdr>
        <w:top w:val="none" w:sz="0" w:space="0" w:color="auto"/>
        <w:left w:val="none" w:sz="0" w:space="0" w:color="auto"/>
        <w:bottom w:val="none" w:sz="0" w:space="0" w:color="auto"/>
        <w:right w:val="none" w:sz="0" w:space="0" w:color="auto"/>
      </w:divBdr>
    </w:div>
    <w:div w:id="1081217585">
      <w:bodyDiv w:val="1"/>
      <w:marLeft w:val="0"/>
      <w:marRight w:val="0"/>
      <w:marTop w:val="0"/>
      <w:marBottom w:val="0"/>
      <w:divBdr>
        <w:top w:val="none" w:sz="0" w:space="0" w:color="auto"/>
        <w:left w:val="none" w:sz="0" w:space="0" w:color="auto"/>
        <w:bottom w:val="none" w:sz="0" w:space="0" w:color="auto"/>
        <w:right w:val="none" w:sz="0" w:space="0" w:color="auto"/>
      </w:divBdr>
    </w:div>
    <w:div w:id="1081483417">
      <w:bodyDiv w:val="1"/>
      <w:marLeft w:val="0"/>
      <w:marRight w:val="0"/>
      <w:marTop w:val="0"/>
      <w:marBottom w:val="0"/>
      <w:divBdr>
        <w:top w:val="none" w:sz="0" w:space="0" w:color="auto"/>
        <w:left w:val="none" w:sz="0" w:space="0" w:color="auto"/>
        <w:bottom w:val="none" w:sz="0" w:space="0" w:color="auto"/>
        <w:right w:val="none" w:sz="0" w:space="0" w:color="auto"/>
      </w:divBdr>
    </w:div>
    <w:div w:id="1081565225">
      <w:bodyDiv w:val="1"/>
      <w:marLeft w:val="0"/>
      <w:marRight w:val="0"/>
      <w:marTop w:val="0"/>
      <w:marBottom w:val="0"/>
      <w:divBdr>
        <w:top w:val="none" w:sz="0" w:space="0" w:color="auto"/>
        <w:left w:val="none" w:sz="0" w:space="0" w:color="auto"/>
        <w:bottom w:val="none" w:sz="0" w:space="0" w:color="auto"/>
        <w:right w:val="none" w:sz="0" w:space="0" w:color="auto"/>
      </w:divBdr>
    </w:div>
    <w:div w:id="1081944823">
      <w:bodyDiv w:val="1"/>
      <w:marLeft w:val="0"/>
      <w:marRight w:val="0"/>
      <w:marTop w:val="0"/>
      <w:marBottom w:val="0"/>
      <w:divBdr>
        <w:top w:val="none" w:sz="0" w:space="0" w:color="auto"/>
        <w:left w:val="none" w:sz="0" w:space="0" w:color="auto"/>
        <w:bottom w:val="none" w:sz="0" w:space="0" w:color="auto"/>
        <w:right w:val="none" w:sz="0" w:space="0" w:color="auto"/>
      </w:divBdr>
    </w:div>
    <w:div w:id="1082096757">
      <w:bodyDiv w:val="1"/>
      <w:marLeft w:val="0"/>
      <w:marRight w:val="0"/>
      <w:marTop w:val="0"/>
      <w:marBottom w:val="0"/>
      <w:divBdr>
        <w:top w:val="none" w:sz="0" w:space="0" w:color="auto"/>
        <w:left w:val="none" w:sz="0" w:space="0" w:color="auto"/>
        <w:bottom w:val="none" w:sz="0" w:space="0" w:color="auto"/>
        <w:right w:val="none" w:sz="0" w:space="0" w:color="auto"/>
      </w:divBdr>
    </w:div>
    <w:div w:id="1082486598">
      <w:bodyDiv w:val="1"/>
      <w:marLeft w:val="0"/>
      <w:marRight w:val="0"/>
      <w:marTop w:val="0"/>
      <w:marBottom w:val="0"/>
      <w:divBdr>
        <w:top w:val="none" w:sz="0" w:space="0" w:color="auto"/>
        <w:left w:val="none" w:sz="0" w:space="0" w:color="auto"/>
        <w:bottom w:val="none" w:sz="0" w:space="0" w:color="auto"/>
        <w:right w:val="none" w:sz="0" w:space="0" w:color="auto"/>
      </w:divBdr>
    </w:div>
    <w:div w:id="1082796652">
      <w:bodyDiv w:val="1"/>
      <w:marLeft w:val="0"/>
      <w:marRight w:val="0"/>
      <w:marTop w:val="0"/>
      <w:marBottom w:val="0"/>
      <w:divBdr>
        <w:top w:val="none" w:sz="0" w:space="0" w:color="auto"/>
        <w:left w:val="none" w:sz="0" w:space="0" w:color="auto"/>
        <w:bottom w:val="none" w:sz="0" w:space="0" w:color="auto"/>
        <w:right w:val="none" w:sz="0" w:space="0" w:color="auto"/>
      </w:divBdr>
    </w:div>
    <w:div w:id="1082918078">
      <w:bodyDiv w:val="1"/>
      <w:marLeft w:val="0"/>
      <w:marRight w:val="0"/>
      <w:marTop w:val="0"/>
      <w:marBottom w:val="0"/>
      <w:divBdr>
        <w:top w:val="none" w:sz="0" w:space="0" w:color="auto"/>
        <w:left w:val="none" w:sz="0" w:space="0" w:color="auto"/>
        <w:bottom w:val="none" w:sz="0" w:space="0" w:color="auto"/>
        <w:right w:val="none" w:sz="0" w:space="0" w:color="auto"/>
      </w:divBdr>
    </w:div>
    <w:div w:id="1083649193">
      <w:bodyDiv w:val="1"/>
      <w:marLeft w:val="0"/>
      <w:marRight w:val="0"/>
      <w:marTop w:val="0"/>
      <w:marBottom w:val="0"/>
      <w:divBdr>
        <w:top w:val="none" w:sz="0" w:space="0" w:color="auto"/>
        <w:left w:val="none" w:sz="0" w:space="0" w:color="auto"/>
        <w:bottom w:val="none" w:sz="0" w:space="0" w:color="auto"/>
        <w:right w:val="none" w:sz="0" w:space="0" w:color="auto"/>
      </w:divBdr>
    </w:div>
    <w:div w:id="1084036822">
      <w:bodyDiv w:val="1"/>
      <w:marLeft w:val="0"/>
      <w:marRight w:val="0"/>
      <w:marTop w:val="0"/>
      <w:marBottom w:val="0"/>
      <w:divBdr>
        <w:top w:val="none" w:sz="0" w:space="0" w:color="auto"/>
        <w:left w:val="none" w:sz="0" w:space="0" w:color="auto"/>
        <w:bottom w:val="none" w:sz="0" w:space="0" w:color="auto"/>
        <w:right w:val="none" w:sz="0" w:space="0" w:color="auto"/>
      </w:divBdr>
    </w:div>
    <w:div w:id="1084645963">
      <w:bodyDiv w:val="1"/>
      <w:marLeft w:val="0"/>
      <w:marRight w:val="0"/>
      <w:marTop w:val="0"/>
      <w:marBottom w:val="0"/>
      <w:divBdr>
        <w:top w:val="none" w:sz="0" w:space="0" w:color="auto"/>
        <w:left w:val="none" w:sz="0" w:space="0" w:color="auto"/>
        <w:bottom w:val="none" w:sz="0" w:space="0" w:color="auto"/>
        <w:right w:val="none" w:sz="0" w:space="0" w:color="auto"/>
      </w:divBdr>
    </w:div>
    <w:div w:id="1084759167">
      <w:bodyDiv w:val="1"/>
      <w:marLeft w:val="0"/>
      <w:marRight w:val="0"/>
      <w:marTop w:val="0"/>
      <w:marBottom w:val="0"/>
      <w:divBdr>
        <w:top w:val="none" w:sz="0" w:space="0" w:color="auto"/>
        <w:left w:val="none" w:sz="0" w:space="0" w:color="auto"/>
        <w:bottom w:val="none" w:sz="0" w:space="0" w:color="auto"/>
        <w:right w:val="none" w:sz="0" w:space="0" w:color="auto"/>
      </w:divBdr>
    </w:div>
    <w:div w:id="1085303986">
      <w:bodyDiv w:val="1"/>
      <w:marLeft w:val="0"/>
      <w:marRight w:val="0"/>
      <w:marTop w:val="0"/>
      <w:marBottom w:val="0"/>
      <w:divBdr>
        <w:top w:val="none" w:sz="0" w:space="0" w:color="auto"/>
        <w:left w:val="none" w:sz="0" w:space="0" w:color="auto"/>
        <w:bottom w:val="none" w:sz="0" w:space="0" w:color="auto"/>
        <w:right w:val="none" w:sz="0" w:space="0" w:color="auto"/>
      </w:divBdr>
    </w:div>
    <w:div w:id="1085879105">
      <w:bodyDiv w:val="1"/>
      <w:marLeft w:val="0"/>
      <w:marRight w:val="0"/>
      <w:marTop w:val="0"/>
      <w:marBottom w:val="0"/>
      <w:divBdr>
        <w:top w:val="none" w:sz="0" w:space="0" w:color="auto"/>
        <w:left w:val="none" w:sz="0" w:space="0" w:color="auto"/>
        <w:bottom w:val="none" w:sz="0" w:space="0" w:color="auto"/>
        <w:right w:val="none" w:sz="0" w:space="0" w:color="auto"/>
      </w:divBdr>
    </w:div>
    <w:div w:id="1086539922">
      <w:bodyDiv w:val="1"/>
      <w:marLeft w:val="0"/>
      <w:marRight w:val="0"/>
      <w:marTop w:val="0"/>
      <w:marBottom w:val="0"/>
      <w:divBdr>
        <w:top w:val="none" w:sz="0" w:space="0" w:color="auto"/>
        <w:left w:val="none" w:sz="0" w:space="0" w:color="auto"/>
        <w:bottom w:val="none" w:sz="0" w:space="0" w:color="auto"/>
        <w:right w:val="none" w:sz="0" w:space="0" w:color="auto"/>
      </w:divBdr>
    </w:div>
    <w:div w:id="1087075063">
      <w:bodyDiv w:val="1"/>
      <w:marLeft w:val="0"/>
      <w:marRight w:val="0"/>
      <w:marTop w:val="0"/>
      <w:marBottom w:val="0"/>
      <w:divBdr>
        <w:top w:val="none" w:sz="0" w:space="0" w:color="auto"/>
        <w:left w:val="none" w:sz="0" w:space="0" w:color="auto"/>
        <w:bottom w:val="none" w:sz="0" w:space="0" w:color="auto"/>
        <w:right w:val="none" w:sz="0" w:space="0" w:color="auto"/>
      </w:divBdr>
    </w:div>
    <w:div w:id="1087112764">
      <w:bodyDiv w:val="1"/>
      <w:marLeft w:val="0"/>
      <w:marRight w:val="0"/>
      <w:marTop w:val="0"/>
      <w:marBottom w:val="0"/>
      <w:divBdr>
        <w:top w:val="none" w:sz="0" w:space="0" w:color="auto"/>
        <w:left w:val="none" w:sz="0" w:space="0" w:color="auto"/>
        <w:bottom w:val="none" w:sz="0" w:space="0" w:color="auto"/>
        <w:right w:val="none" w:sz="0" w:space="0" w:color="auto"/>
      </w:divBdr>
    </w:div>
    <w:div w:id="1087575362">
      <w:bodyDiv w:val="1"/>
      <w:marLeft w:val="0"/>
      <w:marRight w:val="0"/>
      <w:marTop w:val="0"/>
      <w:marBottom w:val="0"/>
      <w:divBdr>
        <w:top w:val="none" w:sz="0" w:space="0" w:color="auto"/>
        <w:left w:val="none" w:sz="0" w:space="0" w:color="auto"/>
        <w:bottom w:val="none" w:sz="0" w:space="0" w:color="auto"/>
        <w:right w:val="none" w:sz="0" w:space="0" w:color="auto"/>
      </w:divBdr>
    </w:div>
    <w:div w:id="1087845107">
      <w:bodyDiv w:val="1"/>
      <w:marLeft w:val="0"/>
      <w:marRight w:val="0"/>
      <w:marTop w:val="0"/>
      <w:marBottom w:val="0"/>
      <w:divBdr>
        <w:top w:val="none" w:sz="0" w:space="0" w:color="auto"/>
        <w:left w:val="none" w:sz="0" w:space="0" w:color="auto"/>
        <w:bottom w:val="none" w:sz="0" w:space="0" w:color="auto"/>
        <w:right w:val="none" w:sz="0" w:space="0" w:color="auto"/>
      </w:divBdr>
    </w:div>
    <w:div w:id="1087924176">
      <w:bodyDiv w:val="1"/>
      <w:marLeft w:val="0"/>
      <w:marRight w:val="0"/>
      <w:marTop w:val="0"/>
      <w:marBottom w:val="0"/>
      <w:divBdr>
        <w:top w:val="none" w:sz="0" w:space="0" w:color="auto"/>
        <w:left w:val="none" w:sz="0" w:space="0" w:color="auto"/>
        <w:bottom w:val="none" w:sz="0" w:space="0" w:color="auto"/>
        <w:right w:val="none" w:sz="0" w:space="0" w:color="auto"/>
      </w:divBdr>
    </w:div>
    <w:div w:id="1088116004">
      <w:bodyDiv w:val="1"/>
      <w:marLeft w:val="0"/>
      <w:marRight w:val="0"/>
      <w:marTop w:val="0"/>
      <w:marBottom w:val="0"/>
      <w:divBdr>
        <w:top w:val="none" w:sz="0" w:space="0" w:color="auto"/>
        <w:left w:val="none" w:sz="0" w:space="0" w:color="auto"/>
        <w:bottom w:val="none" w:sz="0" w:space="0" w:color="auto"/>
        <w:right w:val="none" w:sz="0" w:space="0" w:color="auto"/>
      </w:divBdr>
    </w:div>
    <w:div w:id="1088619117">
      <w:bodyDiv w:val="1"/>
      <w:marLeft w:val="0"/>
      <w:marRight w:val="0"/>
      <w:marTop w:val="0"/>
      <w:marBottom w:val="0"/>
      <w:divBdr>
        <w:top w:val="none" w:sz="0" w:space="0" w:color="auto"/>
        <w:left w:val="none" w:sz="0" w:space="0" w:color="auto"/>
        <w:bottom w:val="none" w:sz="0" w:space="0" w:color="auto"/>
        <w:right w:val="none" w:sz="0" w:space="0" w:color="auto"/>
      </w:divBdr>
    </w:div>
    <w:div w:id="1089157088">
      <w:bodyDiv w:val="1"/>
      <w:marLeft w:val="0"/>
      <w:marRight w:val="0"/>
      <w:marTop w:val="0"/>
      <w:marBottom w:val="0"/>
      <w:divBdr>
        <w:top w:val="none" w:sz="0" w:space="0" w:color="auto"/>
        <w:left w:val="none" w:sz="0" w:space="0" w:color="auto"/>
        <w:bottom w:val="none" w:sz="0" w:space="0" w:color="auto"/>
        <w:right w:val="none" w:sz="0" w:space="0" w:color="auto"/>
      </w:divBdr>
    </w:div>
    <w:div w:id="1089280183">
      <w:bodyDiv w:val="1"/>
      <w:marLeft w:val="0"/>
      <w:marRight w:val="0"/>
      <w:marTop w:val="0"/>
      <w:marBottom w:val="0"/>
      <w:divBdr>
        <w:top w:val="none" w:sz="0" w:space="0" w:color="auto"/>
        <w:left w:val="none" w:sz="0" w:space="0" w:color="auto"/>
        <w:bottom w:val="none" w:sz="0" w:space="0" w:color="auto"/>
        <w:right w:val="none" w:sz="0" w:space="0" w:color="auto"/>
      </w:divBdr>
    </w:div>
    <w:div w:id="1089544966">
      <w:bodyDiv w:val="1"/>
      <w:marLeft w:val="0"/>
      <w:marRight w:val="0"/>
      <w:marTop w:val="0"/>
      <w:marBottom w:val="0"/>
      <w:divBdr>
        <w:top w:val="none" w:sz="0" w:space="0" w:color="auto"/>
        <w:left w:val="none" w:sz="0" w:space="0" w:color="auto"/>
        <w:bottom w:val="none" w:sz="0" w:space="0" w:color="auto"/>
        <w:right w:val="none" w:sz="0" w:space="0" w:color="auto"/>
      </w:divBdr>
    </w:div>
    <w:div w:id="1089888711">
      <w:bodyDiv w:val="1"/>
      <w:marLeft w:val="0"/>
      <w:marRight w:val="0"/>
      <w:marTop w:val="0"/>
      <w:marBottom w:val="0"/>
      <w:divBdr>
        <w:top w:val="none" w:sz="0" w:space="0" w:color="auto"/>
        <w:left w:val="none" w:sz="0" w:space="0" w:color="auto"/>
        <w:bottom w:val="none" w:sz="0" w:space="0" w:color="auto"/>
        <w:right w:val="none" w:sz="0" w:space="0" w:color="auto"/>
      </w:divBdr>
    </w:div>
    <w:div w:id="1089889606">
      <w:bodyDiv w:val="1"/>
      <w:marLeft w:val="0"/>
      <w:marRight w:val="0"/>
      <w:marTop w:val="0"/>
      <w:marBottom w:val="0"/>
      <w:divBdr>
        <w:top w:val="none" w:sz="0" w:space="0" w:color="auto"/>
        <w:left w:val="none" w:sz="0" w:space="0" w:color="auto"/>
        <w:bottom w:val="none" w:sz="0" w:space="0" w:color="auto"/>
        <w:right w:val="none" w:sz="0" w:space="0" w:color="auto"/>
      </w:divBdr>
    </w:div>
    <w:div w:id="1090006263">
      <w:bodyDiv w:val="1"/>
      <w:marLeft w:val="0"/>
      <w:marRight w:val="0"/>
      <w:marTop w:val="0"/>
      <w:marBottom w:val="0"/>
      <w:divBdr>
        <w:top w:val="none" w:sz="0" w:space="0" w:color="auto"/>
        <w:left w:val="none" w:sz="0" w:space="0" w:color="auto"/>
        <w:bottom w:val="none" w:sz="0" w:space="0" w:color="auto"/>
        <w:right w:val="none" w:sz="0" w:space="0" w:color="auto"/>
      </w:divBdr>
    </w:div>
    <w:div w:id="1090155689">
      <w:bodyDiv w:val="1"/>
      <w:marLeft w:val="0"/>
      <w:marRight w:val="0"/>
      <w:marTop w:val="0"/>
      <w:marBottom w:val="0"/>
      <w:divBdr>
        <w:top w:val="none" w:sz="0" w:space="0" w:color="auto"/>
        <w:left w:val="none" w:sz="0" w:space="0" w:color="auto"/>
        <w:bottom w:val="none" w:sz="0" w:space="0" w:color="auto"/>
        <w:right w:val="none" w:sz="0" w:space="0" w:color="auto"/>
      </w:divBdr>
    </w:div>
    <w:div w:id="1090929355">
      <w:bodyDiv w:val="1"/>
      <w:marLeft w:val="0"/>
      <w:marRight w:val="0"/>
      <w:marTop w:val="0"/>
      <w:marBottom w:val="0"/>
      <w:divBdr>
        <w:top w:val="none" w:sz="0" w:space="0" w:color="auto"/>
        <w:left w:val="none" w:sz="0" w:space="0" w:color="auto"/>
        <w:bottom w:val="none" w:sz="0" w:space="0" w:color="auto"/>
        <w:right w:val="none" w:sz="0" w:space="0" w:color="auto"/>
      </w:divBdr>
    </w:div>
    <w:div w:id="1091002250">
      <w:bodyDiv w:val="1"/>
      <w:marLeft w:val="0"/>
      <w:marRight w:val="0"/>
      <w:marTop w:val="0"/>
      <w:marBottom w:val="0"/>
      <w:divBdr>
        <w:top w:val="none" w:sz="0" w:space="0" w:color="auto"/>
        <w:left w:val="none" w:sz="0" w:space="0" w:color="auto"/>
        <w:bottom w:val="none" w:sz="0" w:space="0" w:color="auto"/>
        <w:right w:val="none" w:sz="0" w:space="0" w:color="auto"/>
      </w:divBdr>
    </w:div>
    <w:div w:id="1091122355">
      <w:bodyDiv w:val="1"/>
      <w:marLeft w:val="0"/>
      <w:marRight w:val="0"/>
      <w:marTop w:val="0"/>
      <w:marBottom w:val="0"/>
      <w:divBdr>
        <w:top w:val="none" w:sz="0" w:space="0" w:color="auto"/>
        <w:left w:val="none" w:sz="0" w:space="0" w:color="auto"/>
        <w:bottom w:val="none" w:sz="0" w:space="0" w:color="auto"/>
        <w:right w:val="none" w:sz="0" w:space="0" w:color="auto"/>
      </w:divBdr>
    </w:div>
    <w:div w:id="1091655617">
      <w:bodyDiv w:val="1"/>
      <w:marLeft w:val="0"/>
      <w:marRight w:val="0"/>
      <w:marTop w:val="0"/>
      <w:marBottom w:val="0"/>
      <w:divBdr>
        <w:top w:val="none" w:sz="0" w:space="0" w:color="auto"/>
        <w:left w:val="none" w:sz="0" w:space="0" w:color="auto"/>
        <w:bottom w:val="none" w:sz="0" w:space="0" w:color="auto"/>
        <w:right w:val="none" w:sz="0" w:space="0" w:color="auto"/>
      </w:divBdr>
    </w:div>
    <w:div w:id="1091972188">
      <w:bodyDiv w:val="1"/>
      <w:marLeft w:val="0"/>
      <w:marRight w:val="0"/>
      <w:marTop w:val="0"/>
      <w:marBottom w:val="0"/>
      <w:divBdr>
        <w:top w:val="none" w:sz="0" w:space="0" w:color="auto"/>
        <w:left w:val="none" w:sz="0" w:space="0" w:color="auto"/>
        <w:bottom w:val="none" w:sz="0" w:space="0" w:color="auto"/>
        <w:right w:val="none" w:sz="0" w:space="0" w:color="auto"/>
      </w:divBdr>
    </w:div>
    <w:div w:id="1092317105">
      <w:bodyDiv w:val="1"/>
      <w:marLeft w:val="0"/>
      <w:marRight w:val="0"/>
      <w:marTop w:val="0"/>
      <w:marBottom w:val="0"/>
      <w:divBdr>
        <w:top w:val="none" w:sz="0" w:space="0" w:color="auto"/>
        <w:left w:val="none" w:sz="0" w:space="0" w:color="auto"/>
        <w:bottom w:val="none" w:sz="0" w:space="0" w:color="auto"/>
        <w:right w:val="none" w:sz="0" w:space="0" w:color="auto"/>
      </w:divBdr>
    </w:div>
    <w:div w:id="1092700307">
      <w:bodyDiv w:val="1"/>
      <w:marLeft w:val="0"/>
      <w:marRight w:val="0"/>
      <w:marTop w:val="0"/>
      <w:marBottom w:val="0"/>
      <w:divBdr>
        <w:top w:val="none" w:sz="0" w:space="0" w:color="auto"/>
        <w:left w:val="none" w:sz="0" w:space="0" w:color="auto"/>
        <w:bottom w:val="none" w:sz="0" w:space="0" w:color="auto"/>
        <w:right w:val="none" w:sz="0" w:space="0" w:color="auto"/>
      </w:divBdr>
    </w:div>
    <w:div w:id="1092778798">
      <w:bodyDiv w:val="1"/>
      <w:marLeft w:val="0"/>
      <w:marRight w:val="0"/>
      <w:marTop w:val="0"/>
      <w:marBottom w:val="0"/>
      <w:divBdr>
        <w:top w:val="none" w:sz="0" w:space="0" w:color="auto"/>
        <w:left w:val="none" w:sz="0" w:space="0" w:color="auto"/>
        <w:bottom w:val="none" w:sz="0" w:space="0" w:color="auto"/>
        <w:right w:val="none" w:sz="0" w:space="0" w:color="auto"/>
      </w:divBdr>
    </w:div>
    <w:div w:id="1092975869">
      <w:bodyDiv w:val="1"/>
      <w:marLeft w:val="0"/>
      <w:marRight w:val="0"/>
      <w:marTop w:val="0"/>
      <w:marBottom w:val="0"/>
      <w:divBdr>
        <w:top w:val="none" w:sz="0" w:space="0" w:color="auto"/>
        <w:left w:val="none" w:sz="0" w:space="0" w:color="auto"/>
        <w:bottom w:val="none" w:sz="0" w:space="0" w:color="auto"/>
        <w:right w:val="none" w:sz="0" w:space="0" w:color="auto"/>
      </w:divBdr>
    </w:div>
    <w:div w:id="1093014322">
      <w:bodyDiv w:val="1"/>
      <w:marLeft w:val="0"/>
      <w:marRight w:val="0"/>
      <w:marTop w:val="0"/>
      <w:marBottom w:val="0"/>
      <w:divBdr>
        <w:top w:val="none" w:sz="0" w:space="0" w:color="auto"/>
        <w:left w:val="none" w:sz="0" w:space="0" w:color="auto"/>
        <w:bottom w:val="none" w:sz="0" w:space="0" w:color="auto"/>
        <w:right w:val="none" w:sz="0" w:space="0" w:color="auto"/>
      </w:divBdr>
    </w:div>
    <w:div w:id="1093093218">
      <w:bodyDiv w:val="1"/>
      <w:marLeft w:val="0"/>
      <w:marRight w:val="0"/>
      <w:marTop w:val="0"/>
      <w:marBottom w:val="0"/>
      <w:divBdr>
        <w:top w:val="none" w:sz="0" w:space="0" w:color="auto"/>
        <w:left w:val="none" w:sz="0" w:space="0" w:color="auto"/>
        <w:bottom w:val="none" w:sz="0" w:space="0" w:color="auto"/>
        <w:right w:val="none" w:sz="0" w:space="0" w:color="auto"/>
      </w:divBdr>
    </w:div>
    <w:div w:id="1093283094">
      <w:bodyDiv w:val="1"/>
      <w:marLeft w:val="0"/>
      <w:marRight w:val="0"/>
      <w:marTop w:val="0"/>
      <w:marBottom w:val="0"/>
      <w:divBdr>
        <w:top w:val="none" w:sz="0" w:space="0" w:color="auto"/>
        <w:left w:val="none" w:sz="0" w:space="0" w:color="auto"/>
        <w:bottom w:val="none" w:sz="0" w:space="0" w:color="auto"/>
        <w:right w:val="none" w:sz="0" w:space="0" w:color="auto"/>
      </w:divBdr>
    </w:div>
    <w:div w:id="1093404141">
      <w:bodyDiv w:val="1"/>
      <w:marLeft w:val="0"/>
      <w:marRight w:val="0"/>
      <w:marTop w:val="0"/>
      <w:marBottom w:val="0"/>
      <w:divBdr>
        <w:top w:val="none" w:sz="0" w:space="0" w:color="auto"/>
        <w:left w:val="none" w:sz="0" w:space="0" w:color="auto"/>
        <w:bottom w:val="none" w:sz="0" w:space="0" w:color="auto"/>
        <w:right w:val="none" w:sz="0" w:space="0" w:color="auto"/>
      </w:divBdr>
    </w:div>
    <w:div w:id="1093627887">
      <w:bodyDiv w:val="1"/>
      <w:marLeft w:val="0"/>
      <w:marRight w:val="0"/>
      <w:marTop w:val="0"/>
      <w:marBottom w:val="0"/>
      <w:divBdr>
        <w:top w:val="none" w:sz="0" w:space="0" w:color="auto"/>
        <w:left w:val="none" w:sz="0" w:space="0" w:color="auto"/>
        <w:bottom w:val="none" w:sz="0" w:space="0" w:color="auto"/>
        <w:right w:val="none" w:sz="0" w:space="0" w:color="auto"/>
      </w:divBdr>
    </w:div>
    <w:div w:id="1093749136">
      <w:bodyDiv w:val="1"/>
      <w:marLeft w:val="0"/>
      <w:marRight w:val="0"/>
      <w:marTop w:val="0"/>
      <w:marBottom w:val="0"/>
      <w:divBdr>
        <w:top w:val="none" w:sz="0" w:space="0" w:color="auto"/>
        <w:left w:val="none" w:sz="0" w:space="0" w:color="auto"/>
        <w:bottom w:val="none" w:sz="0" w:space="0" w:color="auto"/>
        <w:right w:val="none" w:sz="0" w:space="0" w:color="auto"/>
      </w:divBdr>
    </w:div>
    <w:div w:id="1094017490">
      <w:bodyDiv w:val="1"/>
      <w:marLeft w:val="0"/>
      <w:marRight w:val="0"/>
      <w:marTop w:val="0"/>
      <w:marBottom w:val="0"/>
      <w:divBdr>
        <w:top w:val="none" w:sz="0" w:space="0" w:color="auto"/>
        <w:left w:val="none" w:sz="0" w:space="0" w:color="auto"/>
        <w:bottom w:val="none" w:sz="0" w:space="0" w:color="auto"/>
        <w:right w:val="none" w:sz="0" w:space="0" w:color="auto"/>
      </w:divBdr>
    </w:div>
    <w:div w:id="1094084979">
      <w:bodyDiv w:val="1"/>
      <w:marLeft w:val="0"/>
      <w:marRight w:val="0"/>
      <w:marTop w:val="0"/>
      <w:marBottom w:val="0"/>
      <w:divBdr>
        <w:top w:val="none" w:sz="0" w:space="0" w:color="auto"/>
        <w:left w:val="none" w:sz="0" w:space="0" w:color="auto"/>
        <w:bottom w:val="none" w:sz="0" w:space="0" w:color="auto"/>
        <w:right w:val="none" w:sz="0" w:space="0" w:color="auto"/>
      </w:divBdr>
    </w:div>
    <w:div w:id="1094132628">
      <w:bodyDiv w:val="1"/>
      <w:marLeft w:val="0"/>
      <w:marRight w:val="0"/>
      <w:marTop w:val="0"/>
      <w:marBottom w:val="0"/>
      <w:divBdr>
        <w:top w:val="none" w:sz="0" w:space="0" w:color="auto"/>
        <w:left w:val="none" w:sz="0" w:space="0" w:color="auto"/>
        <w:bottom w:val="none" w:sz="0" w:space="0" w:color="auto"/>
        <w:right w:val="none" w:sz="0" w:space="0" w:color="auto"/>
      </w:divBdr>
    </w:div>
    <w:div w:id="1094474712">
      <w:bodyDiv w:val="1"/>
      <w:marLeft w:val="0"/>
      <w:marRight w:val="0"/>
      <w:marTop w:val="0"/>
      <w:marBottom w:val="0"/>
      <w:divBdr>
        <w:top w:val="none" w:sz="0" w:space="0" w:color="auto"/>
        <w:left w:val="none" w:sz="0" w:space="0" w:color="auto"/>
        <w:bottom w:val="none" w:sz="0" w:space="0" w:color="auto"/>
        <w:right w:val="none" w:sz="0" w:space="0" w:color="auto"/>
      </w:divBdr>
    </w:div>
    <w:div w:id="1094476204">
      <w:bodyDiv w:val="1"/>
      <w:marLeft w:val="0"/>
      <w:marRight w:val="0"/>
      <w:marTop w:val="0"/>
      <w:marBottom w:val="0"/>
      <w:divBdr>
        <w:top w:val="none" w:sz="0" w:space="0" w:color="auto"/>
        <w:left w:val="none" w:sz="0" w:space="0" w:color="auto"/>
        <w:bottom w:val="none" w:sz="0" w:space="0" w:color="auto"/>
        <w:right w:val="none" w:sz="0" w:space="0" w:color="auto"/>
      </w:divBdr>
    </w:div>
    <w:div w:id="1094785866">
      <w:bodyDiv w:val="1"/>
      <w:marLeft w:val="0"/>
      <w:marRight w:val="0"/>
      <w:marTop w:val="0"/>
      <w:marBottom w:val="0"/>
      <w:divBdr>
        <w:top w:val="none" w:sz="0" w:space="0" w:color="auto"/>
        <w:left w:val="none" w:sz="0" w:space="0" w:color="auto"/>
        <w:bottom w:val="none" w:sz="0" w:space="0" w:color="auto"/>
        <w:right w:val="none" w:sz="0" w:space="0" w:color="auto"/>
      </w:divBdr>
    </w:div>
    <w:div w:id="1094856878">
      <w:bodyDiv w:val="1"/>
      <w:marLeft w:val="0"/>
      <w:marRight w:val="0"/>
      <w:marTop w:val="0"/>
      <w:marBottom w:val="0"/>
      <w:divBdr>
        <w:top w:val="none" w:sz="0" w:space="0" w:color="auto"/>
        <w:left w:val="none" w:sz="0" w:space="0" w:color="auto"/>
        <w:bottom w:val="none" w:sz="0" w:space="0" w:color="auto"/>
        <w:right w:val="none" w:sz="0" w:space="0" w:color="auto"/>
      </w:divBdr>
    </w:div>
    <w:div w:id="1095058201">
      <w:bodyDiv w:val="1"/>
      <w:marLeft w:val="0"/>
      <w:marRight w:val="0"/>
      <w:marTop w:val="0"/>
      <w:marBottom w:val="0"/>
      <w:divBdr>
        <w:top w:val="none" w:sz="0" w:space="0" w:color="auto"/>
        <w:left w:val="none" w:sz="0" w:space="0" w:color="auto"/>
        <w:bottom w:val="none" w:sz="0" w:space="0" w:color="auto"/>
        <w:right w:val="none" w:sz="0" w:space="0" w:color="auto"/>
      </w:divBdr>
    </w:div>
    <w:div w:id="1095400196">
      <w:bodyDiv w:val="1"/>
      <w:marLeft w:val="0"/>
      <w:marRight w:val="0"/>
      <w:marTop w:val="0"/>
      <w:marBottom w:val="0"/>
      <w:divBdr>
        <w:top w:val="none" w:sz="0" w:space="0" w:color="auto"/>
        <w:left w:val="none" w:sz="0" w:space="0" w:color="auto"/>
        <w:bottom w:val="none" w:sz="0" w:space="0" w:color="auto"/>
        <w:right w:val="none" w:sz="0" w:space="0" w:color="auto"/>
      </w:divBdr>
    </w:div>
    <w:div w:id="1095705983">
      <w:bodyDiv w:val="1"/>
      <w:marLeft w:val="0"/>
      <w:marRight w:val="0"/>
      <w:marTop w:val="0"/>
      <w:marBottom w:val="0"/>
      <w:divBdr>
        <w:top w:val="none" w:sz="0" w:space="0" w:color="auto"/>
        <w:left w:val="none" w:sz="0" w:space="0" w:color="auto"/>
        <w:bottom w:val="none" w:sz="0" w:space="0" w:color="auto"/>
        <w:right w:val="none" w:sz="0" w:space="0" w:color="auto"/>
      </w:divBdr>
    </w:div>
    <w:div w:id="1096176840">
      <w:bodyDiv w:val="1"/>
      <w:marLeft w:val="0"/>
      <w:marRight w:val="0"/>
      <w:marTop w:val="0"/>
      <w:marBottom w:val="0"/>
      <w:divBdr>
        <w:top w:val="none" w:sz="0" w:space="0" w:color="auto"/>
        <w:left w:val="none" w:sz="0" w:space="0" w:color="auto"/>
        <w:bottom w:val="none" w:sz="0" w:space="0" w:color="auto"/>
        <w:right w:val="none" w:sz="0" w:space="0" w:color="auto"/>
      </w:divBdr>
    </w:div>
    <w:div w:id="1096251930">
      <w:bodyDiv w:val="1"/>
      <w:marLeft w:val="0"/>
      <w:marRight w:val="0"/>
      <w:marTop w:val="0"/>
      <w:marBottom w:val="0"/>
      <w:divBdr>
        <w:top w:val="none" w:sz="0" w:space="0" w:color="auto"/>
        <w:left w:val="none" w:sz="0" w:space="0" w:color="auto"/>
        <w:bottom w:val="none" w:sz="0" w:space="0" w:color="auto"/>
        <w:right w:val="none" w:sz="0" w:space="0" w:color="auto"/>
      </w:divBdr>
    </w:div>
    <w:div w:id="1096487825">
      <w:bodyDiv w:val="1"/>
      <w:marLeft w:val="0"/>
      <w:marRight w:val="0"/>
      <w:marTop w:val="0"/>
      <w:marBottom w:val="0"/>
      <w:divBdr>
        <w:top w:val="none" w:sz="0" w:space="0" w:color="auto"/>
        <w:left w:val="none" w:sz="0" w:space="0" w:color="auto"/>
        <w:bottom w:val="none" w:sz="0" w:space="0" w:color="auto"/>
        <w:right w:val="none" w:sz="0" w:space="0" w:color="auto"/>
      </w:divBdr>
    </w:div>
    <w:div w:id="1096633272">
      <w:bodyDiv w:val="1"/>
      <w:marLeft w:val="0"/>
      <w:marRight w:val="0"/>
      <w:marTop w:val="0"/>
      <w:marBottom w:val="0"/>
      <w:divBdr>
        <w:top w:val="none" w:sz="0" w:space="0" w:color="auto"/>
        <w:left w:val="none" w:sz="0" w:space="0" w:color="auto"/>
        <w:bottom w:val="none" w:sz="0" w:space="0" w:color="auto"/>
        <w:right w:val="none" w:sz="0" w:space="0" w:color="auto"/>
      </w:divBdr>
    </w:div>
    <w:div w:id="1096752274">
      <w:bodyDiv w:val="1"/>
      <w:marLeft w:val="0"/>
      <w:marRight w:val="0"/>
      <w:marTop w:val="0"/>
      <w:marBottom w:val="0"/>
      <w:divBdr>
        <w:top w:val="none" w:sz="0" w:space="0" w:color="auto"/>
        <w:left w:val="none" w:sz="0" w:space="0" w:color="auto"/>
        <w:bottom w:val="none" w:sz="0" w:space="0" w:color="auto"/>
        <w:right w:val="none" w:sz="0" w:space="0" w:color="auto"/>
      </w:divBdr>
    </w:div>
    <w:div w:id="1097096492">
      <w:bodyDiv w:val="1"/>
      <w:marLeft w:val="0"/>
      <w:marRight w:val="0"/>
      <w:marTop w:val="0"/>
      <w:marBottom w:val="0"/>
      <w:divBdr>
        <w:top w:val="none" w:sz="0" w:space="0" w:color="auto"/>
        <w:left w:val="none" w:sz="0" w:space="0" w:color="auto"/>
        <w:bottom w:val="none" w:sz="0" w:space="0" w:color="auto"/>
        <w:right w:val="none" w:sz="0" w:space="0" w:color="auto"/>
      </w:divBdr>
    </w:div>
    <w:div w:id="1097287831">
      <w:bodyDiv w:val="1"/>
      <w:marLeft w:val="0"/>
      <w:marRight w:val="0"/>
      <w:marTop w:val="0"/>
      <w:marBottom w:val="0"/>
      <w:divBdr>
        <w:top w:val="none" w:sz="0" w:space="0" w:color="auto"/>
        <w:left w:val="none" w:sz="0" w:space="0" w:color="auto"/>
        <w:bottom w:val="none" w:sz="0" w:space="0" w:color="auto"/>
        <w:right w:val="none" w:sz="0" w:space="0" w:color="auto"/>
      </w:divBdr>
    </w:div>
    <w:div w:id="1097408474">
      <w:bodyDiv w:val="1"/>
      <w:marLeft w:val="0"/>
      <w:marRight w:val="0"/>
      <w:marTop w:val="0"/>
      <w:marBottom w:val="0"/>
      <w:divBdr>
        <w:top w:val="none" w:sz="0" w:space="0" w:color="auto"/>
        <w:left w:val="none" w:sz="0" w:space="0" w:color="auto"/>
        <w:bottom w:val="none" w:sz="0" w:space="0" w:color="auto"/>
        <w:right w:val="none" w:sz="0" w:space="0" w:color="auto"/>
      </w:divBdr>
    </w:div>
    <w:div w:id="1097753823">
      <w:bodyDiv w:val="1"/>
      <w:marLeft w:val="0"/>
      <w:marRight w:val="0"/>
      <w:marTop w:val="0"/>
      <w:marBottom w:val="0"/>
      <w:divBdr>
        <w:top w:val="none" w:sz="0" w:space="0" w:color="auto"/>
        <w:left w:val="none" w:sz="0" w:space="0" w:color="auto"/>
        <w:bottom w:val="none" w:sz="0" w:space="0" w:color="auto"/>
        <w:right w:val="none" w:sz="0" w:space="0" w:color="auto"/>
      </w:divBdr>
    </w:div>
    <w:div w:id="1097948902">
      <w:bodyDiv w:val="1"/>
      <w:marLeft w:val="0"/>
      <w:marRight w:val="0"/>
      <w:marTop w:val="0"/>
      <w:marBottom w:val="0"/>
      <w:divBdr>
        <w:top w:val="none" w:sz="0" w:space="0" w:color="auto"/>
        <w:left w:val="none" w:sz="0" w:space="0" w:color="auto"/>
        <w:bottom w:val="none" w:sz="0" w:space="0" w:color="auto"/>
        <w:right w:val="none" w:sz="0" w:space="0" w:color="auto"/>
      </w:divBdr>
    </w:div>
    <w:div w:id="1098022759">
      <w:bodyDiv w:val="1"/>
      <w:marLeft w:val="0"/>
      <w:marRight w:val="0"/>
      <w:marTop w:val="0"/>
      <w:marBottom w:val="0"/>
      <w:divBdr>
        <w:top w:val="none" w:sz="0" w:space="0" w:color="auto"/>
        <w:left w:val="none" w:sz="0" w:space="0" w:color="auto"/>
        <w:bottom w:val="none" w:sz="0" w:space="0" w:color="auto"/>
        <w:right w:val="none" w:sz="0" w:space="0" w:color="auto"/>
      </w:divBdr>
    </w:div>
    <w:div w:id="1098134500">
      <w:bodyDiv w:val="1"/>
      <w:marLeft w:val="0"/>
      <w:marRight w:val="0"/>
      <w:marTop w:val="0"/>
      <w:marBottom w:val="0"/>
      <w:divBdr>
        <w:top w:val="none" w:sz="0" w:space="0" w:color="auto"/>
        <w:left w:val="none" w:sz="0" w:space="0" w:color="auto"/>
        <w:bottom w:val="none" w:sz="0" w:space="0" w:color="auto"/>
        <w:right w:val="none" w:sz="0" w:space="0" w:color="auto"/>
      </w:divBdr>
    </w:div>
    <w:div w:id="1098217612">
      <w:bodyDiv w:val="1"/>
      <w:marLeft w:val="0"/>
      <w:marRight w:val="0"/>
      <w:marTop w:val="0"/>
      <w:marBottom w:val="0"/>
      <w:divBdr>
        <w:top w:val="none" w:sz="0" w:space="0" w:color="auto"/>
        <w:left w:val="none" w:sz="0" w:space="0" w:color="auto"/>
        <w:bottom w:val="none" w:sz="0" w:space="0" w:color="auto"/>
        <w:right w:val="none" w:sz="0" w:space="0" w:color="auto"/>
      </w:divBdr>
    </w:div>
    <w:div w:id="1099444553">
      <w:bodyDiv w:val="1"/>
      <w:marLeft w:val="0"/>
      <w:marRight w:val="0"/>
      <w:marTop w:val="0"/>
      <w:marBottom w:val="0"/>
      <w:divBdr>
        <w:top w:val="none" w:sz="0" w:space="0" w:color="auto"/>
        <w:left w:val="none" w:sz="0" w:space="0" w:color="auto"/>
        <w:bottom w:val="none" w:sz="0" w:space="0" w:color="auto"/>
        <w:right w:val="none" w:sz="0" w:space="0" w:color="auto"/>
      </w:divBdr>
    </w:div>
    <w:div w:id="1099528179">
      <w:bodyDiv w:val="1"/>
      <w:marLeft w:val="0"/>
      <w:marRight w:val="0"/>
      <w:marTop w:val="0"/>
      <w:marBottom w:val="0"/>
      <w:divBdr>
        <w:top w:val="none" w:sz="0" w:space="0" w:color="auto"/>
        <w:left w:val="none" w:sz="0" w:space="0" w:color="auto"/>
        <w:bottom w:val="none" w:sz="0" w:space="0" w:color="auto"/>
        <w:right w:val="none" w:sz="0" w:space="0" w:color="auto"/>
      </w:divBdr>
    </w:div>
    <w:div w:id="1099721263">
      <w:bodyDiv w:val="1"/>
      <w:marLeft w:val="0"/>
      <w:marRight w:val="0"/>
      <w:marTop w:val="0"/>
      <w:marBottom w:val="0"/>
      <w:divBdr>
        <w:top w:val="none" w:sz="0" w:space="0" w:color="auto"/>
        <w:left w:val="none" w:sz="0" w:space="0" w:color="auto"/>
        <w:bottom w:val="none" w:sz="0" w:space="0" w:color="auto"/>
        <w:right w:val="none" w:sz="0" w:space="0" w:color="auto"/>
      </w:divBdr>
    </w:div>
    <w:div w:id="1099837466">
      <w:bodyDiv w:val="1"/>
      <w:marLeft w:val="0"/>
      <w:marRight w:val="0"/>
      <w:marTop w:val="0"/>
      <w:marBottom w:val="0"/>
      <w:divBdr>
        <w:top w:val="none" w:sz="0" w:space="0" w:color="auto"/>
        <w:left w:val="none" w:sz="0" w:space="0" w:color="auto"/>
        <w:bottom w:val="none" w:sz="0" w:space="0" w:color="auto"/>
        <w:right w:val="none" w:sz="0" w:space="0" w:color="auto"/>
      </w:divBdr>
    </w:div>
    <w:div w:id="1100100362">
      <w:bodyDiv w:val="1"/>
      <w:marLeft w:val="0"/>
      <w:marRight w:val="0"/>
      <w:marTop w:val="0"/>
      <w:marBottom w:val="0"/>
      <w:divBdr>
        <w:top w:val="none" w:sz="0" w:space="0" w:color="auto"/>
        <w:left w:val="none" w:sz="0" w:space="0" w:color="auto"/>
        <w:bottom w:val="none" w:sz="0" w:space="0" w:color="auto"/>
        <w:right w:val="none" w:sz="0" w:space="0" w:color="auto"/>
      </w:divBdr>
    </w:div>
    <w:div w:id="1100949903">
      <w:bodyDiv w:val="1"/>
      <w:marLeft w:val="0"/>
      <w:marRight w:val="0"/>
      <w:marTop w:val="0"/>
      <w:marBottom w:val="0"/>
      <w:divBdr>
        <w:top w:val="none" w:sz="0" w:space="0" w:color="auto"/>
        <w:left w:val="none" w:sz="0" w:space="0" w:color="auto"/>
        <w:bottom w:val="none" w:sz="0" w:space="0" w:color="auto"/>
        <w:right w:val="none" w:sz="0" w:space="0" w:color="auto"/>
      </w:divBdr>
    </w:div>
    <w:div w:id="1101415281">
      <w:bodyDiv w:val="1"/>
      <w:marLeft w:val="0"/>
      <w:marRight w:val="0"/>
      <w:marTop w:val="0"/>
      <w:marBottom w:val="0"/>
      <w:divBdr>
        <w:top w:val="none" w:sz="0" w:space="0" w:color="auto"/>
        <w:left w:val="none" w:sz="0" w:space="0" w:color="auto"/>
        <w:bottom w:val="none" w:sz="0" w:space="0" w:color="auto"/>
        <w:right w:val="none" w:sz="0" w:space="0" w:color="auto"/>
      </w:divBdr>
    </w:div>
    <w:div w:id="1101997441">
      <w:bodyDiv w:val="1"/>
      <w:marLeft w:val="0"/>
      <w:marRight w:val="0"/>
      <w:marTop w:val="0"/>
      <w:marBottom w:val="0"/>
      <w:divBdr>
        <w:top w:val="none" w:sz="0" w:space="0" w:color="auto"/>
        <w:left w:val="none" w:sz="0" w:space="0" w:color="auto"/>
        <w:bottom w:val="none" w:sz="0" w:space="0" w:color="auto"/>
        <w:right w:val="none" w:sz="0" w:space="0" w:color="auto"/>
      </w:divBdr>
    </w:div>
    <w:div w:id="1102385124">
      <w:bodyDiv w:val="1"/>
      <w:marLeft w:val="0"/>
      <w:marRight w:val="0"/>
      <w:marTop w:val="0"/>
      <w:marBottom w:val="0"/>
      <w:divBdr>
        <w:top w:val="none" w:sz="0" w:space="0" w:color="auto"/>
        <w:left w:val="none" w:sz="0" w:space="0" w:color="auto"/>
        <w:bottom w:val="none" w:sz="0" w:space="0" w:color="auto"/>
        <w:right w:val="none" w:sz="0" w:space="0" w:color="auto"/>
      </w:divBdr>
    </w:div>
    <w:div w:id="1102721933">
      <w:bodyDiv w:val="1"/>
      <w:marLeft w:val="0"/>
      <w:marRight w:val="0"/>
      <w:marTop w:val="0"/>
      <w:marBottom w:val="0"/>
      <w:divBdr>
        <w:top w:val="none" w:sz="0" w:space="0" w:color="auto"/>
        <w:left w:val="none" w:sz="0" w:space="0" w:color="auto"/>
        <w:bottom w:val="none" w:sz="0" w:space="0" w:color="auto"/>
        <w:right w:val="none" w:sz="0" w:space="0" w:color="auto"/>
      </w:divBdr>
    </w:div>
    <w:div w:id="1103184747">
      <w:bodyDiv w:val="1"/>
      <w:marLeft w:val="0"/>
      <w:marRight w:val="0"/>
      <w:marTop w:val="0"/>
      <w:marBottom w:val="0"/>
      <w:divBdr>
        <w:top w:val="none" w:sz="0" w:space="0" w:color="auto"/>
        <w:left w:val="none" w:sz="0" w:space="0" w:color="auto"/>
        <w:bottom w:val="none" w:sz="0" w:space="0" w:color="auto"/>
        <w:right w:val="none" w:sz="0" w:space="0" w:color="auto"/>
      </w:divBdr>
    </w:div>
    <w:div w:id="1103260797">
      <w:bodyDiv w:val="1"/>
      <w:marLeft w:val="0"/>
      <w:marRight w:val="0"/>
      <w:marTop w:val="0"/>
      <w:marBottom w:val="0"/>
      <w:divBdr>
        <w:top w:val="none" w:sz="0" w:space="0" w:color="auto"/>
        <w:left w:val="none" w:sz="0" w:space="0" w:color="auto"/>
        <w:bottom w:val="none" w:sz="0" w:space="0" w:color="auto"/>
        <w:right w:val="none" w:sz="0" w:space="0" w:color="auto"/>
      </w:divBdr>
    </w:div>
    <w:div w:id="1103383533">
      <w:bodyDiv w:val="1"/>
      <w:marLeft w:val="0"/>
      <w:marRight w:val="0"/>
      <w:marTop w:val="0"/>
      <w:marBottom w:val="0"/>
      <w:divBdr>
        <w:top w:val="none" w:sz="0" w:space="0" w:color="auto"/>
        <w:left w:val="none" w:sz="0" w:space="0" w:color="auto"/>
        <w:bottom w:val="none" w:sz="0" w:space="0" w:color="auto"/>
        <w:right w:val="none" w:sz="0" w:space="0" w:color="auto"/>
      </w:divBdr>
    </w:div>
    <w:div w:id="1103763863">
      <w:bodyDiv w:val="1"/>
      <w:marLeft w:val="0"/>
      <w:marRight w:val="0"/>
      <w:marTop w:val="0"/>
      <w:marBottom w:val="0"/>
      <w:divBdr>
        <w:top w:val="none" w:sz="0" w:space="0" w:color="auto"/>
        <w:left w:val="none" w:sz="0" w:space="0" w:color="auto"/>
        <w:bottom w:val="none" w:sz="0" w:space="0" w:color="auto"/>
        <w:right w:val="none" w:sz="0" w:space="0" w:color="auto"/>
      </w:divBdr>
    </w:div>
    <w:div w:id="1103768940">
      <w:bodyDiv w:val="1"/>
      <w:marLeft w:val="0"/>
      <w:marRight w:val="0"/>
      <w:marTop w:val="0"/>
      <w:marBottom w:val="0"/>
      <w:divBdr>
        <w:top w:val="none" w:sz="0" w:space="0" w:color="auto"/>
        <w:left w:val="none" w:sz="0" w:space="0" w:color="auto"/>
        <w:bottom w:val="none" w:sz="0" w:space="0" w:color="auto"/>
        <w:right w:val="none" w:sz="0" w:space="0" w:color="auto"/>
      </w:divBdr>
    </w:div>
    <w:div w:id="1103837138">
      <w:bodyDiv w:val="1"/>
      <w:marLeft w:val="0"/>
      <w:marRight w:val="0"/>
      <w:marTop w:val="0"/>
      <w:marBottom w:val="0"/>
      <w:divBdr>
        <w:top w:val="none" w:sz="0" w:space="0" w:color="auto"/>
        <w:left w:val="none" w:sz="0" w:space="0" w:color="auto"/>
        <w:bottom w:val="none" w:sz="0" w:space="0" w:color="auto"/>
        <w:right w:val="none" w:sz="0" w:space="0" w:color="auto"/>
      </w:divBdr>
    </w:div>
    <w:div w:id="1103842882">
      <w:bodyDiv w:val="1"/>
      <w:marLeft w:val="0"/>
      <w:marRight w:val="0"/>
      <w:marTop w:val="0"/>
      <w:marBottom w:val="0"/>
      <w:divBdr>
        <w:top w:val="none" w:sz="0" w:space="0" w:color="auto"/>
        <w:left w:val="none" w:sz="0" w:space="0" w:color="auto"/>
        <w:bottom w:val="none" w:sz="0" w:space="0" w:color="auto"/>
        <w:right w:val="none" w:sz="0" w:space="0" w:color="auto"/>
      </w:divBdr>
    </w:div>
    <w:div w:id="1103958269">
      <w:bodyDiv w:val="1"/>
      <w:marLeft w:val="0"/>
      <w:marRight w:val="0"/>
      <w:marTop w:val="0"/>
      <w:marBottom w:val="0"/>
      <w:divBdr>
        <w:top w:val="none" w:sz="0" w:space="0" w:color="auto"/>
        <w:left w:val="none" w:sz="0" w:space="0" w:color="auto"/>
        <w:bottom w:val="none" w:sz="0" w:space="0" w:color="auto"/>
        <w:right w:val="none" w:sz="0" w:space="0" w:color="auto"/>
      </w:divBdr>
    </w:div>
    <w:div w:id="1104612266">
      <w:bodyDiv w:val="1"/>
      <w:marLeft w:val="0"/>
      <w:marRight w:val="0"/>
      <w:marTop w:val="0"/>
      <w:marBottom w:val="0"/>
      <w:divBdr>
        <w:top w:val="none" w:sz="0" w:space="0" w:color="auto"/>
        <w:left w:val="none" w:sz="0" w:space="0" w:color="auto"/>
        <w:bottom w:val="none" w:sz="0" w:space="0" w:color="auto"/>
        <w:right w:val="none" w:sz="0" w:space="0" w:color="auto"/>
      </w:divBdr>
    </w:div>
    <w:div w:id="1104687050">
      <w:bodyDiv w:val="1"/>
      <w:marLeft w:val="0"/>
      <w:marRight w:val="0"/>
      <w:marTop w:val="0"/>
      <w:marBottom w:val="0"/>
      <w:divBdr>
        <w:top w:val="none" w:sz="0" w:space="0" w:color="auto"/>
        <w:left w:val="none" w:sz="0" w:space="0" w:color="auto"/>
        <w:bottom w:val="none" w:sz="0" w:space="0" w:color="auto"/>
        <w:right w:val="none" w:sz="0" w:space="0" w:color="auto"/>
      </w:divBdr>
    </w:div>
    <w:div w:id="1105150925">
      <w:bodyDiv w:val="1"/>
      <w:marLeft w:val="0"/>
      <w:marRight w:val="0"/>
      <w:marTop w:val="0"/>
      <w:marBottom w:val="0"/>
      <w:divBdr>
        <w:top w:val="none" w:sz="0" w:space="0" w:color="auto"/>
        <w:left w:val="none" w:sz="0" w:space="0" w:color="auto"/>
        <w:bottom w:val="none" w:sz="0" w:space="0" w:color="auto"/>
        <w:right w:val="none" w:sz="0" w:space="0" w:color="auto"/>
      </w:divBdr>
    </w:div>
    <w:div w:id="1105462398">
      <w:bodyDiv w:val="1"/>
      <w:marLeft w:val="0"/>
      <w:marRight w:val="0"/>
      <w:marTop w:val="0"/>
      <w:marBottom w:val="0"/>
      <w:divBdr>
        <w:top w:val="none" w:sz="0" w:space="0" w:color="auto"/>
        <w:left w:val="none" w:sz="0" w:space="0" w:color="auto"/>
        <w:bottom w:val="none" w:sz="0" w:space="0" w:color="auto"/>
        <w:right w:val="none" w:sz="0" w:space="0" w:color="auto"/>
      </w:divBdr>
    </w:div>
    <w:div w:id="1105466885">
      <w:bodyDiv w:val="1"/>
      <w:marLeft w:val="0"/>
      <w:marRight w:val="0"/>
      <w:marTop w:val="0"/>
      <w:marBottom w:val="0"/>
      <w:divBdr>
        <w:top w:val="none" w:sz="0" w:space="0" w:color="auto"/>
        <w:left w:val="none" w:sz="0" w:space="0" w:color="auto"/>
        <w:bottom w:val="none" w:sz="0" w:space="0" w:color="auto"/>
        <w:right w:val="none" w:sz="0" w:space="0" w:color="auto"/>
      </w:divBdr>
    </w:div>
    <w:div w:id="1105686447">
      <w:bodyDiv w:val="1"/>
      <w:marLeft w:val="0"/>
      <w:marRight w:val="0"/>
      <w:marTop w:val="0"/>
      <w:marBottom w:val="0"/>
      <w:divBdr>
        <w:top w:val="none" w:sz="0" w:space="0" w:color="auto"/>
        <w:left w:val="none" w:sz="0" w:space="0" w:color="auto"/>
        <w:bottom w:val="none" w:sz="0" w:space="0" w:color="auto"/>
        <w:right w:val="none" w:sz="0" w:space="0" w:color="auto"/>
      </w:divBdr>
    </w:div>
    <w:div w:id="1105805204">
      <w:bodyDiv w:val="1"/>
      <w:marLeft w:val="0"/>
      <w:marRight w:val="0"/>
      <w:marTop w:val="0"/>
      <w:marBottom w:val="0"/>
      <w:divBdr>
        <w:top w:val="none" w:sz="0" w:space="0" w:color="auto"/>
        <w:left w:val="none" w:sz="0" w:space="0" w:color="auto"/>
        <w:bottom w:val="none" w:sz="0" w:space="0" w:color="auto"/>
        <w:right w:val="none" w:sz="0" w:space="0" w:color="auto"/>
      </w:divBdr>
    </w:div>
    <w:div w:id="1105997302">
      <w:bodyDiv w:val="1"/>
      <w:marLeft w:val="0"/>
      <w:marRight w:val="0"/>
      <w:marTop w:val="0"/>
      <w:marBottom w:val="0"/>
      <w:divBdr>
        <w:top w:val="none" w:sz="0" w:space="0" w:color="auto"/>
        <w:left w:val="none" w:sz="0" w:space="0" w:color="auto"/>
        <w:bottom w:val="none" w:sz="0" w:space="0" w:color="auto"/>
        <w:right w:val="none" w:sz="0" w:space="0" w:color="auto"/>
      </w:divBdr>
    </w:div>
    <w:div w:id="1106655240">
      <w:bodyDiv w:val="1"/>
      <w:marLeft w:val="0"/>
      <w:marRight w:val="0"/>
      <w:marTop w:val="0"/>
      <w:marBottom w:val="0"/>
      <w:divBdr>
        <w:top w:val="none" w:sz="0" w:space="0" w:color="auto"/>
        <w:left w:val="none" w:sz="0" w:space="0" w:color="auto"/>
        <w:bottom w:val="none" w:sz="0" w:space="0" w:color="auto"/>
        <w:right w:val="none" w:sz="0" w:space="0" w:color="auto"/>
      </w:divBdr>
    </w:div>
    <w:div w:id="1106655969">
      <w:bodyDiv w:val="1"/>
      <w:marLeft w:val="0"/>
      <w:marRight w:val="0"/>
      <w:marTop w:val="0"/>
      <w:marBottom w:val="0"/>
      <w:divBdr>
        <w:top w:val="none" w:sz="0" w:space="0" w:color="auto"/>
        <w:left w:val="none" w:sz="0" w:space="0" w:color="auto"/>
        <w:bottom w:val="none" w:sz="0" w:space="0" w:color="auto"/>
        <w:right w:val="none" w:sz="0" w:space="0" w:color="auto"/>
      </w:divBdr>
    </w:div>
    <w:div w:id="1106920331">
      <w:bodyDiv w:val="1"/>
      <w:marLeft w:val="0"/>
      <w:marRight w:val="0"/>
      <w:marTop w:val="0"/>
      <w:marBottom w:val="0"/>
      <w:divBdr>
        <w:top w:val="none" w:sz="0" w:space="0" w:color="auto"/>
        <w:left w:val="none" w:sz="0" w:space="0" w:color="auto"/>
        <w:bottom w:val="none" w:sz="0" w:space="0" w:color="auto"/>
        <w:right w:val="none" w:sz="0" w:space="0" w:color="auto"/>
      </w:divBdr>
    </w:div>
    <w:div w:id="1107235406">
      <w:bodyDiv w:val="1"/>
      <w:marLeft w:val="0"/>
      <w:marRight w:val="0"/>
      <w:marTop w:val="0"/>
      <w:marBottom w:val="0"/>
      <w:divBdr>
        <w:top w:val="none" w:sz="0" w:space="0" w:color="auto"/>
        <w:left w:val="none" w:sz="0" w:space="0" w:color="auto"/>
        <w:bottom w:val="none" w:sz="0" w:space="0" w:color="auto"/>
        <w:right w:val="none" w:sz="0" w:space="0" w:color="auto"/>
      </w:divBdr>
    </w:div>
    <w:div w:id="1107654759">
      <w:bodyDiv w:val="1"/>
      <w:marLeft w:val="0"/>
      <w:marRight w:val="0"/>
      <w:marTop w:val="0"/>
      <w:marBottom w:val="0"/>
      <w:divBdr>
        <w:top w:val="none" w:sz="0" w:space="0" w:color="auto"/>
        <w:left w:val="none" w:sz="0" w:space="0" w:color="auto"/>
        <w:bottom w:val="none" w:sz="0" w:space="0" w:color="auto"/>
        <w:right w:val="none" w:sz="0" w:space="0" w:color="auto"/>
      </w:divBdr>
    </w:div>
    <w:div w:id="1108040224">
      <w:bodyDiv w:val="1"/>
      <w:marLeft w:val="0"/>
      <w:marRight w:val="0"/>
      <w:marTop w:val="0"/>
      <w:marBottom w:val="0"/>
      <w:divBdr>
        <w:top w:val="none" w:sz="0" w:space="0" w:color="auto"/>
        <w:left w:val="none" w:sz="0" w:space="0" w:color="auto"/>
        <w:bottom w:val="none" w:sz="0" w:space="0" w:color="auto"/>
        <w:right w:val="none" w:sz="0" w:space="0" w:color="auto"/>
      </w:divBdr>
    </w:div>
    <w:div w:id="1108046115">
      <w:bodyDiv w:val="1"/>
      <w:marLeft w:val="0"/>
      <w:marRight w:val="0"/>
      <w:marTop w:val="0"/>
      <w:marBottom w:val="0"/>
      <w:divBdr>
        <w:top w:val="none" w:sz="0" w:space="0" w:color="auto"/>
        <w:left w:val="none" w:sz="0" w:space="0" w:color="auto"/>
        <w:bottom w:val="none" w:sz="0" w:space="0" w:color="auto"/>
        <w:right w:val="none" w:sz="0" w:space="0" w:color="auto"/>
      </w:divBdr>
    </w:div>
    <w:div w:id="1108279973">
      <w:bodyDiv w:val="1"/>
      <w:marLeft w:val="0"/>
      <w:marRight w:val="0"/>
      <w:marTop w:val="0"/>
      <w:marBottom w:val="0"/>
      <w:divBdr>
        <w:top w:val="none" w:sz="0" w:space="0" w:color="auto"/>
        <w:left w:val="none" w:sz="0" w:space="0" w:color="auto"/>
        <w:bottom w:val="none" w:sz="0" w:space="0" w:color="auto"/>
        <w:right w:val="none" w:sz="0" w:space="0" w:color="auto"/>
      </w:divBdr>
    </w:div>
    <w:div w:id="1108701406">
      <w:bodyDiv w:val="1"/>
      <w:marLeft w:val="0"/>
      <w:marRight w:val="0"/>
      <w:marTop w:val="0"/>
      <w:marBottom w:val="0"/>
      <w:divBdr>
        <w:top w:val="none" w:sz="0" w:space="0" w:color="auto"/>
        <w:left w:val="none" w:sz="0" w:space="0" w:color="auto"/>
        <w:bottom w:val="none" w:sz="0" w:space="0" w:color="auto"/>
        <w:right w:val="none" w:sz="0" w:space="0" w:color="auto"/>
      </w:divBdr>
    </w:div>
    <w:div w:id="1109080296">
      <w:bodyDiv w:val="1"/>
      <w:marLeft w:val="0"/>
      <w:marRight w:val="0"/>
      <w:marTop w:val="0"/>
      <w:marBottom w:val="0"/>
      <w:divBdr>
        <w:top w:val="none" w:sz="0" w:space="0" w:color="auto"/>
        <w:left w:val="none" w:sz="0" w:space="0" w:color="auto"/>
        <w:bottom w:val="none" w:sz="0" w:space="0" w:color="auto"/>
        <w:right w:val="none" w:sz="0" w:space="0" w:color="auto"/>
      </w:divBdr>
    </w:div>
    <w:div w:id="1109550332">
      <w:bodyDiv w:val="1"/>
      <w:marLeft w:val="0"/>
      <w:marRight w:val="0"/>
      <w:marTop w:val="0"/>
      <w:marBottom w:val="0"/>
      <w:divBdr>
        <w:top w:val="none" w:sz="0" w:space="0" w:color="auto"/>
        <w:left w:val="none" w:sz="0" w:space="0" w:color="auto"/>
        <w:bottom w:val="none" w:sz="0" w:space="0" w:color="auto"/>
        <w:right w:val="none" w:sz="0" w:space="0" w:color="auto"/>
      </w:divBdr>
    </w:div>
    <w:div w:id="1109735635">
      <w:bodyDiv w:val="1"/>
      <w:marLeft w:val="0"/>
      <w:marRight w:val="0"/>
      <w:marTop w:val="0"/>
      <w:marBottom w:val="0"/>
      <w:divBdr>
        <w:top w:val="none" w:sz="0" w:space="0" w:color="auto"/>
        <w:left w:val="none" w:sz="0" w:space="0" w:color="auto"/>
        <w:bottom w:val="none" w:sz="0" w:space="0" w:color="auto"/>
        <w:right w:val="none" w:sz="0" w:space="0" w:color="auto"/>
      </w:divBdr>
    </w:div>
    <w:div w:id="1110734201">
      <w:bodyDiv w:val="1"/>
      <w:marLeft w:val="0"/>
      <w:marRight w:val="0"/>
      <w:marTop w:val="0"/>
      <w:marBottom w:val="0"/>
      <w:divBdr>
        <w:top w:val="none" w:sz="0" w:space="0" w:color="auto"/>
        <w:left w:val="none" w:sz="0" w:space="0" w:color="auto"/>
        <w:bottom w:val="none" w:sz="0" w:space="0" w:color="auto"/>
        <w:right w:val="none" w:sz="0" w:space="0" w:color="auto"/>
      </w:divBdr>
    </w:div>
    <w:div w:id="1110734526">
      <w:bodyDiv w:val="1"/>
      <w:marLeft w:val="0"/>
      <w:marRight w:val="0"/>
      <w:marTop w:val="0"/>
      <w:marBottom w:val="0"/>
      <w:divBdr>
        <w:top w:val="none" w:sz="0" w:space="0" w:color="auto"/>
        <w:left w:val="none" w:sz="0" w:space="0" w:color="auto"/>
        <w:bottom w:val="none" w:sz="0" w:space="0" w:color="auto"/>
        <w:right w:val="none" w:sz="0" w:space="0" w:color="auto"/>
      </w:divBdr>
    </w:div>
    <w:div w:id="1110930255">
      <w:bodyDiv w:val="1"/>
      <w:marLeft w:val="0"/>
      <w:marRight w:val="0"/>
      <w:marTop w:val="0"/>
      <w:marBottom w:val="0"/>
      <w:divBdr>
        <w:top w:val="none" w:sz="0" w:space="0" w:color="auto"/>
        <w:left w:val="none" w:sz="0" w:space="0" w:color="auto"/>
        <w:bottom w:val="none" w:sz="0" w:space="0" w:color="auto"/>
        <w:right w:val="none" w:sz="0" w:space="0" w:color="auto"/>
      </w:divBdr>
    </w:div>
    <w:div w:id="1111896122">
      <w:bodyDiv w:val="1"/>
      <w:marLeft w:val="0"/>
      <w:marRight w:val="0"/>
      <w:marTop w:val="0"/>
      <w:marBottom w:val="0"/>
      <w:divBdr>
        <w:top w:val="none" w:sz="0" w:space="0" w:color="auto"/>
        <w:left w:val="none" w:sz="0" w:space="0" w:color="auto"/>
        <w:bottom w:val="none" w:sz="0" w:space="0" w:color="auto"/>
        <w:right w:val="none" w:sz="0" w:space="0" w:color="auto"/>
      </w:divBdr>
    </w:div>
    <w:div w:id="1111899726">
      <w:bodyDiv w:val="1"/>
      <w:marLeft w:val="0"/>
      <w:marRight w:val="0"/>
      <w:marTop w:val="0"/>
      <w:marBottom w:val="0"/>
      <w:divBdr>
        <w:top w:val="none" w:sz="0" w:space="0" w:color="auto"/>
        <w:left w:val="none" w:sz="0" w:space="0" w:color="auto"/>
        <w:bottom w:val="none" w:sz="0" w:space="0" w:color="auto"/>
        <w:right w:val="none" w:sz="0" w:space="0" w:color="auto"/>
      </w:divBdr>
    </w:div>
    <w:div w:id="1112439730">
      <w:bodyDiv w:val="1"/>
      <w:marLeft w:val="0"/>
      <w:marRight w:val="0"/>
      <w:marTop w:val="0"/>
      <w:marBottom w:val="0"/>
      <w:divBdr>
        <w:top w:val="none" w:sz="0" w:space="0" w:color="auto"/>
        <w:left w:val="none" w:sz="0" w:space="0" w:color="auto"/>
        <w:bottom w:val="none" w:sz="0" w:space="0" w:color="auto"/>
        <w:right w:val="none" w:sz="0" w:space="0" w:color="auto"/>
      </w:divBdr>
    </w:div>
    <w:div w:id="1112439959">
      <w:bodyDiv w:val="1"/>
      <w:marLeft w:val="0"/>
      <w:marRight w:val="0"/>
      <w:marTop w:val="0"/>
      <w:marBottom w:val="0"/>
      <w:divBdr>
        <w:top w:val="none" w:sz="0" w:space="0" w:color="auto"/>
        <w:left w:val="none" w:sz="0" w:space="0" w:color="auto"/>
        <w:bottom w:val="none" w:sz="0" w:space="0" w:color="auto"/>
        <w:right w:val="none" w:sz="0" w:space="0" w:color="auto"/>
      </w:divBdr>
    </w:div>
    <w:div w:id="1112553352">
      <w:bodyDiv w:val="1"/>
      <w:marLeft w:val="0"/>
      <w:marRight w:val="0"/>
      <w:marTop w:val="0"/>
      <w:marBottom w:val="0"/>
      <w:divBdr>
        <w:top w:val="none" w:sz="0" w:space="0" w:color="auto"/>
        <w:left w:val="none" w:sz="0" w:space="0" w:color="auto"/>
        <w:bottom w:val="none" w:sz="0" w:space="0" w:color="auto"/>
        <w:right w:val="none" w:sz="0" w:space="0" w:color="auto"/>
      </w:divBdr>
    </w:div>
    <w:div w:id="1112672375">
      <w:bodyDiv w:val="1"/>
      <w:marLeft w:val="0"/>
      <w:marRight w:val="0"/>
      <w:marTop w:val="0"/>
      <w:marBottom w:val="0"/>
      <w:divBdr>
        <w:top w:val="none" w:sz="0" w:space="0" w:color="auto"/>
        <w:left w:val="none" w:sz="0" w:space="0" w:color="auto"/>
        <w:bottom w:val="none" w:sz="0" w:space="0" w:color="auto"/>
        <w:right w:val="none" w:sz="0" w:space="0" w:color="auto"/>
      </w:divBdr>
    </w:div>
    <w:div w:id="1112897542">
      <w:bodyDiv w:val="1"/>
      <w:marLeft w:val="0"/>
      <w:marRight w:val="0"/>
      <w:marTop w:val="0"/>
      <w:marBottom w:val="0"/>
      <w:divBdr>
        <w:top w:val="none" w:sz="0" w:space="0" w:color="auto"/>
        <w:left w:val="none" w:sz="0" w:space="0" w:color="auto"/>
        <w:bottom w:val="none" w:sz="0" w:space="0" w:color="auto"/>
        <w:right w:val="none" w:sz="0" w:space="0" w:color="auto"/>
      </w:divBdr>
    </w:div>
    <w:div w:id="1113331107">
      <w:bodyDiv w:val="1"/>
      <w:marLeft w:val="0"/>
      <w:marRight w:val="0"/>
      <w:marTop w:val="0"/>
      <w:marBottom w:val="0"/>
      <w:divBdr>
        <w:top w:val="none" w:sz="0" w:space="0" w:color="auto"/>
        <w:left w:val="none" w:sz="0" w:space="0" w:color="auto"/>
        <w:bottom w:val="none" w:sz="0" w:space="0" w:color="auto"/>
        <w:right w:val="none" w:sz="0" w:space="0" w:color="auto"/>
      </w:divBdr>
    </w:div>
    <w:div w:id="1113793111">
      <w:bodyDiv w:val="1"/>
      <w:marLeft w:val="0"/>
      <w:marRight w:val="0"/>
      <w:marTop w:val="0"/>
      <w:marBottom w:val="0"/>
      <w:divBdr>
        <w:top w:val="none" w:sz="0" w:space="0" w:color="auto"/>
        <w:left w:val="none" w:sz="0" w:space="0" w:color="auto"/>
        <w:bottom w:val="none" w:sz="0" w:space="0" w:color="auto"/>
        <w:right w:val="none" w:sz="0" w:space="0" w:color="auto"/>
      </w:divBdr>
    </w:div>
    <w:div w:id="1113859486">
      <w:bodyDiv w:val="1"/>
      <w:marLeft w:val="0"/>
      <w:marRight w:val="0"/>
      <w:marTop w:val="0"/>
      <w:marBottom w:val="0"/>
      <w:divBdr>
        <w:top w:val="none" w:sz="0" w:space="0" w:color="auto"/>
        <w:left w:val="none" w:sz="0" w:space="0" w:color="auto"/>
        <w:bottom w:val="none" w:sz="0" w:space="0" w:color="auto"/>
        <w:right w:val="none" w:sz="0" w:space="0" w:color="auto"/>
      </w:divBdr>
    </w:div>
    <w:div w:id="1114595795">
      <w:bodyDiv w:val="1"/>
      <w:marLeft w:val="0"/>
      <w:marRight w:val="0"/>
      <w:marTop w:val="0"/>
      <w:marBottom w:val="0"/>
      <w:divBdr>
        <w:top w:val="none" w:sz="0" w:space="0" w:color="auto"/>
        <w:left w:val="none" w:sz="0" w:space="0" w:color="auto"/>
        <w:bottom w:val="none" w:sz="0" w:space="0" w:color="auto"/>
        <w:right w:val="none" w:sz="0" w:space="0" w:color="auto"/>
      </w:divBdr>
    </w:div>
    <w:div w:id="1114665967">
      <w:bodyDiv w:val="1"/>
      <w:marLeft w:val="0"/>
      <w:marRight w:val="0"/>
      <w:marTop w:val="0"/>
      <w:marBottom w:val="0"/>
      <w:divBdr>
        <w:top w:val="none" w:sz="0" w:space="0" w:color="auto"/>
        <w:left w:val="none" w:sz="0" w:space="0" w:color="auto"/>
        <w:bottom w:val="none" w:sz="0" w:space="0" w:color="auto"/>
        <w:right w:val="none" w:sz="0" w:space="0" w:color="auto"/>
      </w:divBdr>
    </w:div>
    <w:div w:id="1114788706">
      <w:bodyDiv w:val="1"/>
      <w:marLeft w:val="0"/>
      <w:marRight w:val="0"/>
      <w:marTop w:val="0"/>
      <w:marBottom w:val="0"/>
      <w:divBdr>
        <w:top w:val="none" w:sz="0" w:space="0" w:color="auto"/>
        <w:left w:val="none" w:sz="0" w:space="0" w:color="auto"/>
        <w:bottom w:val="none" w:sz="0" w:space="0" w:color="auto"/>
        <w:right w:val="none" w:sz="0" w:space="0" w:color="auto"/>
      </w:divBdr>
    </w:div>
    <w:div w:id="1114788883">
      <w:bodyDiv w:val="1"/>
      <w:marLeft w:val="0"/>
      <w:marRight w:val="0"/>
      <w:marTop w:val="0"/>
      <w:marBottom w:val="0"/>
      <w:divBdr>
        <w:top w:val="none" w:sz="0" w:space="0" w:color="auto"/>
        <w:left w:val="none" w:sz="0" w:space="0" w:color="auto"/>
        <w:bottom w:val="none" w:sz="0" w:space="0" w:color="auto"/>
        <w:right w:val="none" w:sz="0" w:space="0" w:color="auto"/>
      </w:divBdr>
    </w:div>
    <w:div w:id="1115057755">
      <w:bodyDiv w:val="1"/>
      <w:marLeft w:val="0"/>
      <w:marRight w:val="0"/>
      <w:marTop w:val="0"/>
      <w:marBottom w:val="0"/>
      <w:divBdr>
        <w:top w:val="none" w:sz="0" w:space="0" w:color="auto"/>
        <w:left w:val="none" w:sz="0" w:space="0" w:color="auto"/>
        <w:bottom w:val="none" w:sz="0" w:space="0" w:color="auto"/>
        <w:right w:val="none" w:sz="0" w:space="0" w:color="auto"/>
      </w:divBdr>
    </w:div>
    <w:div w:id="1115061057">
      <w:bodyDiv w:val="1"/>
      <w:marLeft w:val="0"/>
      <w:marRight w:val="0"/>
      <w:marTop w:val="0"/>
      <w:marBottom w:val="0"/>
      <w:divBdr>
        <w:top w:val="none" w:sz="0" w:space="0" w:color="auto"/>
        <w:left w:val="none" w:sz="0" w:space="0" w:color="auto"/>
        <w:bottom w:val="none" w:sz="0" w:space="0" w:color="auto"/>
        <w:right w:val="none" w:sz="0" w:space="0" w:color="auto"/>
      </w:divBdr>
    </w:div>
    <w:div w:id="1115171230">
      <w:bodyDiv w:val="1"/>
      <w:marLeft w:val="0"/>
      <w:marRight w:val="0"/>
      <w:marTop w:val="0"/>
      <w:marBottom w:val="0"/>
      <w:divBdr>
        <w:top w:val="none" w:sz="0" w:space="0" w:color="auto"/>
        <w:left w:val="none" w:sz="0" w:space="0" w:color="auto"/>
        <w:bottom w:val="none" w:sz="0" w:space="0" w:color="auto"/>
        <w:right w:val="none" w:sz="0" w:space="0" w:color="auto"/>
      </w:divBdr>
    </w:div>
    <w:div w:id="1115562866">
      <w:bodyDiv w:val="1"/>
      <w:marLeft w:val="0"/>
      <w:marRight w:val="0"/>
      <w:marTop w:val="0"/>
      <w:marBottom w:val="0"/>
      <w:divBdr>
        <w:top w:val="none" w:sz="0" w:space="0" w:color="auto"/>
        <w:left w:val="none" w:sz="0" w:space="0" w:color="auto"/>
        <w:bottom w:val="none" w:sz="0" w:space="0" w:color="auto"/>
        <w:right w:val="none" w:sz="0" w:space="0" w:color="auto"/>
      </w:divBdr>
    </w:div>
    <w:div w:id="1116018971">
      <w:bodyDiv w:val="1"/>
      <w:marLeft w:val="0"/>
      <w:marRight w:val="0"/>
      <w:marTop w:val="0"/>
      <w:marBottom w:val="0"/>
      <w:divBdr>
        <w:top w:val="none" w:sz="0" w:space="0" w:color="auto"/>
        <w:left w:val="none" w:sz="0" w:space="0" w:color="auto"/>
        <w:bottom w:val="none" w:sz="0" w:space="0" w:color="auto"/>
        <w:right w:val="none" w:sz="0" w:space="0" w:color="auto"/>
      </w:divBdr>
    </w:div>
    <w:div w:id="1116021353">
      <w:bodyDiv w:val="1"/>
      <w:marLeft w:val="0"/>
      <w:marRight w:val="0"/>
      <w:marTop w:val="0"/>
      <w:marBottom w:val="0"/>
      <w:divBdr>
        <w:top w:val="none" w:sz="0" w:space="0" w:color="auto"/>
        <w:left w:val="none" w:sz="0" w:space="0" w:color="auto"/>
        <w:bottom w:val="none" w:sz="0" w:space="0" w:color="auto"/>
        <w:right w:val="none" w:sz="0" w:space="0" w:color="auto"/>
      </w:divBdr>
    </w:div>
    <w:div w:id="1116867402">
      <w:bodyDiv w:val="1"/>
      <w:marLeft w:val="0"/>
      <w:marRight w:val="0"/>
      <w:marTop w:val="0"/>
      <w:marBottom w:val="0"/>
      <w:divBdr>
        <w:top w:val="none" w:sz="0" w:space="0" w:color="auto"/>
        <w:left w:val="none" w:sz="0" w:space="0" w:color="auto"/>
        <w:bottom w:val="none" w:sz="0" w:space="0" w:color="auto"/>
        <w:right w:val="none" w:sz="0" w:space="0" w:color="auto"/>
      </w:divBdr>
    </w:div>
    <w:div w:id="1116947321">
      <w:bodyDiv w:val="1"/>
      <w:marLeft w:val="0"/>
      <w:marRight w:val="0"/>
      <w:marTop w:val="0"/>
      <w:marBottom w:val="0"/>
      <w:divBdr>
        <w:top w:val="none" w:sz="0" w:space="0" w:color="auto"/>
        <w:left w:val="none" w:sz="0" w:space="0" w:color="auto"/>
        <w:bottom w:val="none" w:sz="0" w:space="0" w:color="auto"/>
        <w:right w:val="none" w:sz="0" w:space="0" w:color="auto"/>
      </w:divBdr>
    </w:div>
    <w:div w:id="1116947994">
      <w:bodyDiv w:val="1"/>
      <w:marLeft w:val="0"/>
      <w:marRight w:val="0"/>
      <w:marTop w:val="0"/>
      <w:marBottom w:val="0"/>
      <w:divBdr>
        <w:top w:val="none" w:sz="0" w:space="0" w:color="auto"/>
        <w:left w:val="none" w:sz="0" w:space="0" w:color="auto"/>
        <w:bottom w:val="none" w:sz="0" w:space="0" w:color="auto"/>
        <w:right w:val="none" w:sz="0" w:space="0" w:color="auto"/>
      </w:divBdr>
    </w:div>
    <w:div w:id="1117021740">
      <w:bodyDiv w:val="1"/>
      <w:marLeft w:val="0"/>
      <w:marRight w:val="0"/>
      <w:marTop w:val="0"/>
      <w:marBottom w:val="0"/>
      <w:divBdr>
        <w:top w:val="none" w:sz="0" w:space="0" w:color="auto"/>
        <w:left w:val="none" w:sz="0" w:space="0" w:color="auto"/>
        <w:bottom w:val="none" w:sz="0" w:space="0" w:color="auto"/>
        <w:right w:val="none" w:sz="0" w:space="0" w:color="auto"/>
      </w:divBdr>
    </w:div>
    <w:div w:id="1117140628">
      <w:bodyDiv w:val="1"/>
      <w:marLeft w:val="0"/>
      <w:marRight w:val="0"/>
      <w:marTop w:val="0"/>
      <w:marBottom w:val="0"/>
      <w:divBdr>
        <w:top w:val="none" w:sz="0" w:space="0" w:color="auto"/>
        <w:left w:val="none" w:sz="0" w:space="0" w:color="auto"/>
        <w:bottom w:val="none" w:sz="0" w:space="0" w:color="auto"/>
        <w:right w:val="none" w:sz="0" w:space="0" w:color="auto"/>
      </w:divBdr>
    </w:div>
    <w:div w:id="1117410381">
      <w:bodyDiv w:val="1"/>
      <w:marLeft w:val="0"/>
      <w:marRight w:val="0"/>
      <w:marTop w:val="0"/>
      <w:marBottom w:val="0"/>
      <w:divBdr>
        <w:top w:val="none" w:sz="0" w:space="0" w:color="auto"/>
        <w:left w:val="none" w:sz="0" w:space="0" w:color="auto"/>
        <w:bottom w:val="none" w:sz="0" w:space="0" w:color="auto"/>
        <w:right w:val="none" w:sz="0" w:space="0" w:color="auto"/>
      </w:divBdr>
    </w:div>
    <w:div w:id="1117601421">
      <w:bodyDiv w:val="1"/>
      <w:marLeft w:val="0"/>
      <w:marRight w:val="0"/>
      <w:marTop w:val="0"/>
      <w:marBottom w:val="0"/>
      <w:divBdr>
        <w:top w:val="none" w:sz="0" w:space="0" w:color="auto"/>
        <w:left w:val="none" w:sz="0" w:space="0" w:color="auto"/>
        <w:bottom w:val="none" w:sz="0" w:space="0" w:color="auto"/>
        <w:right w:val="none" w:sz="0" w:space="0" w:color="auto"/>
      </w:divBdr>
    </w:div>
    <w:div w:id="1117677820">
      <w:bodyDiv w:val="1"/>
      <w:marLeft w:val="0"/>
      <w:marRight w:val="0"/>
      <w:marTop w:val="0"/>
      <w:marBottom w:val="0"/>
      <w:divBdr>
        <w:top w:val="none" w:sz="0" w:space="0" w:color="auto"/>
        <w:left w:val="none" w:sz="0" w:space="0" w:color="auto"/>
        <w:bottom w:val="none" w:sz="0" w:space="0" w:color="auto"/>
        <w:right w:val="none" w:sz="0" w:space="0" w:color="auto"/>
      </w:divBdr>
    </w:div>
    <w:div w:id="1117868912">
      <w:bodyDiv w:val="1"/>
      <w:marLeft w:val="0"/>
      <w:marRight w:val="0"/>
      <w:marTop w:val="0"/>
      <w:marBottom w:val="0"/>
      <w:divBdr>
        <w:top w:val="none" w:sz="0" w:space="0" w:color="auto"/>
        <w:left w:val="none" w:sz="0" w:space="0" w:color="auto"/>
        <w:bottom w:val="none" w:sz="0" w:space="0" w:color="auto"/>
        <w:right w:val="none" w:sz="0" w:space="0" w:color="auto"/>
      </w:divBdr>
    </w:div>
    <w:div w:id="1117944834">
      <w:bodyDiv w:val="1"/>
      <w:marLeft w:val="0"/>
      <w:marRight w:val="0"/>
      <w:marTop w:val="0"/>
      <w:marBottom w:val="0"/>
      <w:divBdr>
        <w:top w:val="none" w:sz="0" w:space="0" w:color="auto"/>
        <w:left w:val="none" w:sz="0" w:space="0" w:color="auto"/>
        <w:bottom w:val="none" w:sz="0" w:space="0" w:color="auto"/>
        <w:right w:val="none" w:sz="0" w:space="0" w:color="auto"/>
      </w:divBdr>
    </w:div>
    <w:div w:id="1118451867">
      <w:bodyDiv w:val="1"/>
      <w:marLeft w:val="0"/>
      <w:marRight w:val="0"/>
      <w:marTop w:val="0"/>
      <w:marBottom w:val="0"/>
      <w:divBdr>
        <w:top w:val="none" w:sz="0" w:space="0" w:color="auto"/>
        <w:left w:val="none" w:sz="0" w:space="0" w:color="auto"/>
        <w:bottom w:val="none" w:sz="0" w:space="0" w:color="auto"/>
        <w:right w:val="none" w:sz="0" w:space="0" w:color="auto"/>
      </w:divBdr>
    </w:div>
    <w:div w:id="1118571091">
      <w:bodyDiv w:val="1"/>
      <w:marLeft w:val="0"/>
      <w:marRight w:val="0"/>
      <w:marTop w:val="0"/>
      <w:marBottom w:val="0"/>
      <w:divBdr>
        <w:top w:val="none" w:sz="0" w:space="0" w:color="auto"/>
        <w:left w:val="none" w:sz="0" w:space="0" w:color="auto"/>
        <w:bottom w:val="none" w:sz="0" w:space="0" w:color="auto"/>
        <w:right w:val="none" w:sz="0" w:space="0" w:color="auto"/>
      </w:divBdr>
    </w:div>
    <w:div w:id="1118649157">
      <w:bodyDiv w:val="1"/>
      <w:marLeft w:val="0"/>
      <w:marRight w:val="0"/>
      <w:marTop w:val="0"/>
      <w:marBottom w:val="0"/>
      <w:divBdr>
        <w:top w:val="none" w:sz="0" w:space="0" w:color="auto"/>
        <w:left w:val="none" w:sz="0" w:space="0" w:color="auto"/>
        <w:bottom w:val="none" w:sz="0" w:space="0" w:color="auto"/>
        <w:right w:val="none" w:sz="0" w:space="0" w:color="auto"/>
      </w:divBdr>
    </w:div>
    <w:div w:id="1118715172">
      <w:bodyDiv w:val="1"/>
      <w:marLeft w:val="0"/>
      <w:marRight w:val="0"/>
      <w:marTop w:val="0"/>
      <w:marBottom w:val="0"/>
      <w:divBdr>
        <w:top w:val="none" w:sz="0" w:space="0" w:color="auto"/>
        <w:left w:val="none" w:sz="0" w:space="0" w:color="auto"/>
        <w:bottom w:val="none" w:sz="0" w:space="0" w:color="auto"/>
        <w:right w:val="none" w:sz="0" w:space="0" w:color="auto"/>
      </w:divBdr>
    </w:div>
    <w:div w:id="1118912639">
      <w:bodyDiv w:val="1"/>
      <w:marLeft w:val="0"/>
      <w:marRight w:val="0"/>
      <w:marTop w:val="0"/>
      <w:marBottom w:val="0"/>
      <w:divBdr>
        <w:top w:val="none" w:sz="0" w:space="0" w:color="auto"/>
        <w:left w:val="none" w:sz="0" w:space="0" w:color="auto"/>
        <w:bottom w:val="none" w:sz="0" w:space="0" w:color="auto"/>
        <w:right w:val="none" w:sz="0" w:space="0" w:color="auto"/>
      </w:divBdr>
    </w:div>
    <w:div w:id="1119103847">
      <w:bodyDiv w:val="1"/>
      <w:marLeft w:val="0"/>
      <w:marRight w:val="0"/>
      <w:marTop w:val="0"/>
      <w:marBottom w:val="0"/>
      <w:divBdr>
        <w:top w:val="none" w:sz="0" w:space="0" w:color="auto"/>
        <w:left w:val="none" w:sz="0" w:space="0" w:color="auto"/>
        <w:bottom w:val="none" w:sz="0" w:space="0" w:color="auto"/>
        <w:right w:val="none" w:sz="0" w:space="0" w:color="auto"/>
      </w:divBdr>
    </w:div>
    <w:div w:id="1119228043">
      <w:bodyDiv w:val="1"/>
      <w:marLeft w:val="0"/>
      <w:marRight w:val="0"/>
      <w:marTop w:val="0"/>
      <w:marBottom w:val="0"/>
      <w:divBdr>
        <w:top w:val="none" w:sz="0" w:space="0" w:color="auto"/>
        <w:left w:val="none" w:sz="0" w:space="0" w:color="auto"/>
        <w:bottom w:val="none" w:sz="0" w:space="0" w:color="auto"/>
        <w:right w:val="none" w:sz="0" w:space="0" w:color="auto"/>
      </w:divBdr>
    </w:div>
    <w:div w:id="1120076224">
      <w:bodyDiv w:val="1"/>
      <w:marLeft w:val="0"/>
      <w:marRight w:val="0"/>
      <w:marTop w:val="0"/>
      <w:marBottom w:val="0"/>
      <w:divBdr>
        <w:top w:val="none" w:sz="0" w:space="0" w:color="auto"/>
        <w:left w:val="none" w:sz="0" w:space="0" w:color="auto"/>
        <w:bottom w:val="none" w:sz="0" w:space="0" w:color="auto"/>
        <w:right w:val="none" w:sz="0" w:space="0" w:color="auto"/>
      </w:divBdr>
    </w:div>
    <w:div w:id="1120297533">
      <w:bodyDiv w:val="1"/>
      <w:marLeft w:val="0"/>
      <w:marRight w:val="0"/>
      <w:marTop w:val="0"/>
      <w:marBottom w:val="0"/>
      <w:divBdr>
        <w:top w:val="none" w:sz="0" w:space="0" w:color="auto"/>
        <w:left w:val="none" w:sz="0" w:space="0" w:color="auto"/>
        <w:bottom w:val="none" w:sz="0" w:space="0" w:color="auto"/>
        <w:right w:val="none" w:sz="0" w:space="0" w:color="auto"/>
      </w:divBdr>
    </w:div>
    <w:div w:id="1120419447">
      <w:bodyDiv w:val="1"/>
      <w:marLeft w:val="0"/>
      <w:marRight w:val="0"/>
      <w:marTop w:val="0"/>
      <w:marBottom w:val="0"/>
      <w:divBdr>
        <w:top w:val="none" w:sz="0" w:space="0" w:color="auto"/>
        <w:left w:val="none" w:sz="0" w:space="0" w:color="auto"/>
        <w:bottom w:val="none" w:sz="0" w:space="0" w:color="auto"/>
        <w:right w:val="none" w:sz="0" w:space="0" w:color="auto"/>
      </w:divBdr>
    </w:div>
    <w:div w:id="1120495815">
      <w:bodyDiv w:val="1"/>
      <w:marLeft w:val="0"/>
      <w:marRight w:val="0"/>
      <w:marTop w:val="0"/>
      <w:marBottom w:val="0"/>
      <w:divBdr>
        <w:top w:val="none" w:sz="0" w:space="0" w:color="auto"/>
        <w:left w:val="none" w:sz="0" w:space="0" w:color="auto"/>
        <w:bottom w:val="none" w:sz="0" w:space="0" w:color="auto"/>
        <w:right w:val="none" w:sz="0" w:space="0" w:color="auto"/>
      </w:divBdr>
    </w:div>
    <w:div w:id="1120534842">
      <w:bodyDiv w:val="1"/>
      <w:marLeft w:val="0"/>
      <w:marRight w:val="0"/>
      <w:marTop w:val="0"/>
      <w:marBottom w:val="0"/>
      <w:divBdr>
        <w:top w:val="none" w:sz="0" w:space="0" w:color="auto"/>
        <w:left w:val="none" w:sz="0" w:space="0" w:color="auto"/>
        <w:bottom w:val="none" w:sz="0" w:space="0" w:color="auto"/>
        <w:right w:val="none" w:sz="0" w:space="0" w:color="auto"/>
      </w:divBdr>
    </w:div>
    <w:div w:id="1120689110">
      <w:bodyDiv w:val="1"/>
      <w:marLeft w:val="0"/>
      <w:marRight w:val="0"/>
      <w:marTop w:val="0"/>
      <w:marBottom w:val="0"/>
      <w:divBdr>
        <w:top w:val="none" w:sz="0" w:space="0" w:color="auto"/>
        <w:left w:val="none" w:sz="0" w:space="0" w:color="auto"/>
        <w:bottom w:val="none" w:sz="0" w:space="0" w:color="auto"/>
        <w:right w:val="none" w:sz="0" w:space="0" w:color="auto"/>
      </w:divBdr>
    </w:div>
    <w:div w:id="1121025749">
      <w:bodyDiv w:val="1"/>
      <w:marLeft w:val="0"/>
      <w:marRight w:val="0"/>
      <w:marTop w:val="0"/>
      <w:marBottom w:val="0"/>
      <w:divBdr>
        <w:top w:val="none" w:sz="0" w:space="0" w:color="auto"/>
        <w:left w:val="none" w:sz="0" w:space="0" w:color="auto"/>
        <w:bottom w:val="none" w:sz="0" w:space="0" w:color="auto"/>
        <w:right w:val="none" w:sz="0" w:space="0" w:color="auto"/>
      </w:divBdr>
    </w:div>
    <w:div w:id="1121074665">
      <w:bodyDiv w:val="1"/>
      <w:marLeft w:val="0"/>
      <w:marRight w:val="0"/>
      <w:marTop w:val="0"/>
      <w:marBottom w:val="0"/>
      <w:divBdr>
        <w:top w:val="none" w:sz="0" w:space="0" w:color="auto"/>
        <w:left w:val="none" w:sz="0" w:space="0" w:color="auto"/>
        <w:bottom w:val="none" w:sz="0" w:space="0" w:color="auto"/>
        <w:right w:val="none" w:sz="0" w:space="0" w:color="auto"/>
      </w:divBdr>
    </w:div>
    <w:div w:id="1121611428">
      <w:bodyDiv w:val="1"/>
      <w:marLeft w:val="0"/>
      <w:marRight w:val="0"/>
      <w:marTop w:val="0"/>
      <w:marBottom w:val="0"/>
      <w:divBdr>
        <w:top w:val="none" w:sz="0" w:space="0" w:color="auto"/>
        <w:left w:val="none" w:sz="0" w:space="0" w:color="auto"/>
        <w:bottom w:val="none" w:sz="0" w:space="0" w:color="auto"/>
        <w:right w:val="none" w:sz="0" w:space="0" w:color="auto"/>
      </w:divBdr>
    </w:div>
    <w:div w:id="1121802251">
      <w:bodyDiv w:val="1"/>
      <w:marLeft w:val="0"/>
      <w:marRight w:val="0"/>
      <w:marTop w:val="0"/>
      <w:marBottom w:val="0"/>
      <w:divBdr>
        <w:top w:val="none" w:sz="0" w:space="0" w:color="auto"/>
        <w:left w:val="none" w:sz="0" w:space="0" w:color="auto"/>
        <w:bottom w:val="none" w:sz="0" w:space="0" w:color="auto"/>
        <w:right w:val="none" w:sz="0" w:space="0" w:color="auto"/>
      </w:divBdr>
    </w:div>
    <w:div w:id="1121920174">
      <w:bodyDiv w:val="1"/>
      <w:marLeft w:val="0"/>
      <w:marRight w:val="0"/>
      <w:marTop w:val="0"/>
      <w:marBottom w:val="0"/>
      <w:divBdr>
        <w:top w:val="none" w:sz="0" w:space="0" w:color="auto"/>
        <w:left w:val="none" w:sz="0" w:space="0" w:color="auto"/>
        <w:bottom w:val="none" w:sz="0" w:space="0" w:color="auto"/>
        <w:right w:val="none" w:sz="0" w:space="0" w:color="auto"/>
      </w:divBdr>
    </w:div>
    <w:div w:id="1122067204">
      <w:bodyDiv w:val="1"/>
      <w:marLeft w:val="0"/>
      <w:marRight w:val="0"/>
      <w:marTop w:val="0"/>
      <w:marBottom w:val="0"/>
      <w:divBdr>
        <w:top w:val="none" w:sz="0" w:space="0" w:color="auto"/>
        <w:left w:val="none" w:sz="0" w:space="0" w:color="auto"/>
        <w:bottom w:val="none" w:sz="0" w:space="0" w:color="auto"/>
        <w:right w:val="none" w:sz="0" w:space="0" w:color="auto"/>
      </w:divBdr>
    </w:div>
    <w:div w:id="1122072622">
      <w:bodyDiv w:val="1"/>
      <w:marLeft w:val="0"/>
      <w:marRight w:val="0"/>
      <w:marTop w:val="0"/>
      <w:marBottom w:val="0"/>
      <w:divBdr>
        <w:top w:val="none" w:sz="0" w:space="0" w:color="auto"/>
        <w:left w:val="none" w:sz="0" w:space="0" w:color="auto"/>
        <w:bottom w:val="none" w:sz="0" w:space="0" w:color="auto"/>
        <w:right w:val="none" w:sz="0" w:space="0" w:color="auto"/>
      </w:divBdr>
    </w:div>
    <w:div w:id="1122191665">
      <w:bodyDiv w:val="1"/>
      <w:marLeft w:val="0"/>
      <w:marRight w:val="0"/>
      <w:marTop w:val="0"/>
      <w:marBottom w:val="0"/>
      <w:divBdr>
        <w:top w:val="none" w:sz="0" w:space="0" w:color="auto"/>
        <w:left w:val="none" w:sz="0" w:space="0" w:color="auto"/>
        <w:bottom w:val="none" w:sz="0" w:space="0" w:color="auto"/>
        <w:right w:val="none" w:sz="0" w:space="0" w:color="auto"/>
      </w:divBdr>
    </w:div>
    <w:div w:id="1122579553">
      <w:bodyDiv w:val="1"/>
      <w:marLeft w:val="0"/>
      <w:marRight w:val="0"/>
      <w:marTop w:val="0"/>
      <w:marBottom w:val="0"/>
      <w:divBdr>
        <w:top w:val="none" w:sz="0" w:space="0" w:color="auto"/>
        <w:left w:val="none" w:sz="0" w:space="0" w:color="auto"/>
        <w:bottom w:val="none" w:sz="0" w:space="0" w:color="auto"/>
        <w:right w:val="none" w:sz="0" w:space="0" w:color="auto"/>
      </w:divBdr>
    </w:div>
    <w:div w:id="1122653447">
      <w:bodyDiv w:val="1"/>
      <w:marLeft w:val="0"/>
      <w:marRight w:val="0"/>
      <w:marTop w:val="0"/>
      <w:marBottom w:val="0"/>
      <w:divBdr>
        <w:top w:val="none" w:sz="0" w:space="0" w:color="auto"/>
        <w:left w:val="none" w:sz="0" w:space="0" w:color="auto"/>
        <w:bottom w:val="none" w:sz="0" w:space="0" w:color="auto"/>
        <w:right w:val="none" w:sz="0" w:space="0" w:color="auto"/>
      </w:divBdr>
    </w:div>
    <w:div w:id="1123812275">
      <w:bodyDiv w:val="1"/>
      <w:marLeft w:val="0"/>
      <w:marRight w:val="0"/>
      <w:marTop w:val="0"/>
      <w:marBottom w:val="0"/>
      <w:divBdr>
        <w:top w:val="none" w:sz="0" w:space="0" w:color="auto"/>
        <w:left w:val="none" w:sz="0" w:space="0" w:color="auto"/>
        <w:bottom w:val="none" w:sz="0" w:space="0" w:color="auto"/>
        <w:right w:val="none" w:sz="0" w:space="0" w:color="auto"/>
      </w:divBdr>
    </w:div>
    <w:div w:id="1123961144">
      <w:bodyDiv w:val="1"/>
      <w:marLeft w:val="0"/>
      <w:marRight w:val="0"/>
      <w:marTop w:val="0"/>
      <w:marBottom w:val="0"/>
      <w:divBdr>
        <w:top w:val="none" w:sz="0" w:space="0" w:color="auto"/>
        <w:left w:val="none" w:sz="0" w:space="0" w:color="auto"/>
        <w:bottom w:val="none" w:sz="0" w:space="0" w:color="auto"/>
        <w:right w:val="none" w:sz="0" w:space="0" w:color="auto"/>
      </w:divBdr>
    </w:div>
    <w:div w:id="1124496432">
      <w:bodyDiv w:val="1"/>
      <w:marLeft w:val="0"/>
      <w:marRight w:val="0"/>
      <w:marTop w:val="0"/>
      <w:marBottom w:val="0"/>
      <w:divBdr>
        <w:top w:val="none" w:sz="0" w:space="0" w:color="auto"/>
        <w:left w:val="none" w:sz="0" w:space="0" w:color="auto"/>
        <w:bottom w:val="none" w:sz="0" w:space="0" w:color="auto"/>
        <w:right w:val="none" w:sz="0" w:space="0" w:color="auto"/>
      </w:divBdr>
    </w:div>
    <w:div w:id="1124498703">
      <w:bodyDiv w:val="1"/>
      <w:marLeft w:val="0"/>
      <w:marRight w:val="0"/>
      <w:marTop w:val="0"/>
      <w:marBottom w:val="0"/>
      <w:divBdr>
        <w:top w:val="none" w:sz="0" w:space="0" w:color="auto"/>
        <w:left w:val="none" w:sz="0" w:space="0" w:color="auto"/>
        <w:bottom w:val="none" w:sz="0" w:space="0" w:color="auto"/>
        <w:right w:val="none" w:sz="0" w:space="0" w:color="auto"/>
      </w:divBdr>
    </w:div>
    <w:div w:id="1124886813">
      <w:bodyDiv w:val="1"/>
      <w:marLeft w:val="0"/>
      <w:marRight w:val="0"/>
      <w:marTop w:val="0"/>
      <w:marBottom w:val="0"/>
      <w:divBdr>
        <w:top w:val="none" w:sz="0" w:space="0" w:color="auto"/>
        <w:left w:val="none" w:sz="0" w:space="0" w:color="auto"/>
        <w:bottom w:val="none" w:sz="0" w:space="0" w:color="auto"/>
        <w:right w:val="none" w:sz="0" w:space="0" w:color="auto"/>
      </w:divBdr>
    </w:div>
    <w:div w:id="1125004480">
      <w:bodyDiv w:val="1"/>
      <w:marLeft w:val="0"/>
      <w:marRight w:val="0"/>
      <w:marTop w:val="0"/>
      <w:marBottom w:val="0"/>
      <w:divBdr>
        <w:top w:val="none" w:sz="0" w:space="0" w:color="auto"/>
        <w:left w:val="none" w:sz="0" w:space="0" w:color="auto"/>
        <w:bottom w:val="none" w:sz="0" w:space="0" w:color="auto"/>
        <w:right w:val="none" w:sz="0" w:space="0" w:color="auto"/>
      </w:divBdr>
    </w:div>
    <w:div w:id="1125275314">
      <w:bodyDiv w:val="1"/>
      <w:marLeft w:val="0"/>
      <w:marRight w:val="0"/>
      <w:marTop w:val="0"/>
      <w:marBottom w:val="0"/>
      <w:divBdr>
        <w:top w:val="none" w:sz="0" w:space="0" w:color="auto"/>
        <w:left w:val="none" w:sz="0" w:space="0" w:color="auto"/>
        <w:bottom w:val="none" w:sz="0" w:space="0" w:color="auto"/>
        <w:right w:val="none" w:sz="0" w:space="0" w:color="auto"/>
      </w:divBdr>
    </w:div>
    <w:div w:id="1125388197">
      <w:bodyDiv w:val="1"/>
      <w:marLeft w:val="0"/>
      <w:marRight w:val="0"/>
      <w:marTop w:val="0"/>
      <w:marBottom w:val="0"/>
      <w:divBdr>
        <w:top w:val="none" w:sz="0" w:space="0" w:color="auto"/>
        <w:left w:val="none" w:sz="0" w:space="0" w:color="auto"/>
        <w:bottom w:val="none" w:sz="0" w:space="0" w:color="auto"/>
        <w:right w:val="none" w:sz="0" w:space="0" w:color="auto"/>
      </w:divBdr>
    </w:div>
    <w:div w:id="1126508147">
      <w:bodyDiv w:val="1"/>
      <w:marLeft w:val="0"/>
      <w:marRight w:val="0"/>
      <w:marTop w:val="0"/>
      <w:marBottom w:val="0"/>
      <w:divBdr>
        <w:top w:val="none" w:sz="0" w:space="0" w:color="auto"/>
        <w:left w:val="none" w:sz="0" w:space="0" w:color="auto"/>
        <w:bottom w:val="none" w:sz="0" w:space="0" w:color="auto"/>
        <w:right w:val="none" w:sz="0" w:space="0" w:color="auto"/>
      </w:divBdr>
    </w:div>
    <w:div w:id="1126696384">
      <w:bodyDiv w:val="1"/>
      <w:marLeft w:val="0"/>
      <w:marRight w:val="0"/>
      <w:marTop w:val="0"/>
      <w:marBottom w:val="0"/>
      <w:divBdr>
        <w:top w:val="none" w:sz="0" w:space="0" w:color="auto"/>
        <w:left w:val="none" w:sz="0" w:space="0" w:color="auto"/>
        <w:bottom w:val="none" w:sz="0" w:space="0" w:color="auto"/>
        <w:right w:val="none" w:sz="0" w:space="0" w:color="auto"/>
      </w:divBdr>
    </w:div>
    <w:div w:id="1127774778">
      <w:bodyDiv w:val="1"/>
      <w:marLeft w:val="0"/>
      <w:marRight w:val="0"/>
      <w:marTop w:val="0"/>
      <w:marBottom w:val="0"/>
      <w:divBdr>
        <w:top w:val="none" w:sz="0" w:space="0" w:color="auto"/>
        <w:left w:val="none" w:sz="0" w:space="0" w:color="auto"/>
        <w:bottom w:val="none" w:sz="0" w:space="0" w:color="auto"/>
        <w:right w:val="none" w:sz="0" w:space="0" w:color="auto"/>
      </w:divBdr>
    </w:div>
    <w:div w:id="1127818949">
      <w:bodyDiv w:val="1"/>
      <w:marLeft w:val="0"/>
      <w:marRight w:val="0"/>
      <w:marTop w:val="0"/>
      <w:marBottom w:val="0"/>
      <w:divBdr>
        <w:top w:val="none" w:sz="0" w:space="0" w:color="auto"/>
        <w:left w:val="none" w:sz="0" w:space="0" w:color="auto"/>
        <w:bottom w:val="none" w:sz="0" w:space="0" w:color="auto"/>
        <w:right w:val="none" w:sz="0" w:space="0" w:color="auto"/>
      </w:divBdr>
    </w:div>
    <w:div w:id="1127890231">
      <w:bodyDiv w:val="1"/>
      <w:marLeft w:val="0"/>
      <w:marRight w:val="0"/>
      <w:marTop w:val="0"/>
      <w:marBottom w:val="0"/>
      <w:divBdr>
        <w:top w:val="none" w:sz="0" w:space="0" w:color="auto"/>
        <w:left w:val="none" w:sz="0" w:space="0" w:color="auto"/>
        <w:bottom w:val="none" w:sz="0" w:space="0" w:color="auto"/>
        <w:right w:val="none" w:sz="0" w:space="0" w:color="auto"/>
      </w:divBdr>
    </w:div>
    <w:div w:id="1127894210">
      <w:bodyDiv w:val="1"/>
      <w:marLeft w:val="0"/>
      <w:marRight w:val="0"/>
      <w:marTop w:val="0"/>
      <w:marBottom w:val="0"/>
      <w:divBdr>
        <w:top w:val="none" w:sz="0" w:space="0" w:color="auto"/>
        <w:left w:val="none" w:sz="0" w:space="0" w:color="auto"/>
        <w:bottom w:val="none" w:sz="0" w:space="0" w:color="auto"/>
        <w:right w:val="none" w:sz="0" w:space="0" w:color="auto"/>
      </w:divBdr>
    </w:div>
    <w:div w:id="1128085350">
      <w:bodyDiv w:val="1"/>
      <w:marLeft w:val="0"/>
      <w:marRight w:val="0"/>
      <w:marTop w:val="0"/>
      <w:marBottom w:val="0"/>
      <w:divBdr>
        <w:top w:val="none" w:sz="0" w:space="0" w:color="auto"/>
        <w:left w:val="none" w:sz="0" w:space="0" w:color="auto"/>
        <w:bottom w:val="none" w:sz="0" w:space="0" w:color="auto"/>
        <w:right w:val="none" w:sz="0" w:space="0" w:color="auto"/>
      </w:divBdr>
    </w:div>
    <w:div w:id="1128281141">
      <w:bodyDiv w:val="1"/>
      <w:marLeft w:val="0"/>
      <w:marRight w:val="0"/>
      <w:marTop w:val="0"/>
      <w:marBottom w:val="0"/>
      <w:divBdr>
        <w:top w:val="none" w:sz="0" w:space="0" w:color="auto"/>
        <w:left w:val="none" w:sz="0" w:space="0" w:color="auto"/>
        <w:bottom w:val="none" w:sz="0" w:space="0" w:color="auto"/>
        <w:right w:val="none" w:sz="0" w:space="0" w:color="auto"/>
      </w:divBdr>
    </w:div>
    <w:div w:id="1128627102">
      <w:bodyDiv w:val="1"/>
      <w:marLeft w:val="0"/>
      <w:marRight w:val="0"/>
      <w:marTop w:val="0"/>
      <w:marBottom w:val="0"/>
      <w:divBdr>
        <w:top w:val="none" w:sz="0" w:space="0" w:color="auto"/>
        <w:left w:val="none" w:sz="0" w:space="0" w:color="auto"/>
        <w:bottom w:val="none" w:sz="0" w:space="0" w:color="auto"/>
        <w:right w:val="none" w:sz="0" w:space="0" w:color="auto"/>
      </w:divBdr>
    </w:div>
    <w:div w:id="1128935765">
      <w:bodyDiv w:val="1"/>
      <w:marLeft w:val="0"/>
      <w:marRight w:val="0"/>
      <w:marTop w:val="0"/>
      <w:marBottom w:val="0"/>
      <w:divBdr>
        <w:top w:val="none" w:sz="0" w:space="0" w:color="auto"/>
        <w:left w:val="none" w:sz="0" w:space="0" w:color="auto"/>
        <w:bottom w:val="none" w:sz="0" w:space="0" w:color="auto"/>
        <w:right w:val="none" w:sz="0" w:space="0" w:color="auto"/>
      </w:divBdr>
    </w:div>
    <w:div w:id="1129013913">
      <w:bodyDiv w:val="1"/>
      <w:marLeft w:val="0"/>
      <w:marRight w:val="0"/>
      <w:marTop w:val="0"/>
      <w:marBottom w:val="0"/>
      <w:divBdr>
        <w:top w:val="none" w:sz="0" w:space="0" w:color="auto"/>
        <w:left w:val="none" w:sz="0" w:space="0" w:color="auto"/>
        <w:bottom w:val="none" w:sz="0" w:space="0" w:color="auto"/>
        <w:right w:val="none" w:sz="0" w:space="0" w:color="auto"/>
      </w:divBdr>
    </w:div>
    <w:div w:id="1129057853">
      <w:bodyDiv w:val="1"/>
      <w:marLeft w:val="0"/>
      <w:marRight w:val="0"/>
      <w:marTop w:val="0"/>
      <w:marBottom w:val="0"/>
      <w:divBdr>
        <w:top w:val="none" w:sz="0" w:space="0" w:color="auto"/>
        <w:left w:val="none" w:sz="0" w:space="0" w:color="auto"/>
        <w:bottom w:val="none" w:sz="0" w:space="0" w:color="auto"/>
        <w:right w:val="none" w:sz="0" w:space="0" w:color="auto"/>
      </w:divBdr>
    </w:div>
    <w:div w:id="1129203057">
      <w:bodyDiv w:val="1"/>
      <w:marLeft w:val="0"/>
      <w:marRight w:val="0"/>
      <w:marTop w:val="0"/>
      <w:marBottom w:val="0"/>
      <w:divBdr>
        <w:top w:val="none" w:sz="0" w:space="0" w:color="auto"/>
        <w:left w:val="none" w:sz="0" w:space="0" w:color="auto"/>
        <w:bottom w:val="none" w:sz="0" w:space="0" w:color="auto"/>
        <w:right w:val="none" w:sz="0" w:space="0" w:color="auto"/>
      </w:divBdr>
    </w:div>
    <w:div w:id="1129857389">
      <w:bodyDiv w:val="1"/>
      <w:marLeft w:val="0"/>
      <w:marRight w:val="0"/>
      <w:marTop w:val="0"/>
      <w:marBottom w:val="0"/>
      <w:divBdr>
        <w:top w:val="none" w:sz="0" w:space="0" w:color="auto"/>
        <w:left w:val="none" w:sz="0" w:space="0" w:color="auto"/>
        <w:bottom w:val="none" w:sz="0" w:space="0" w:color="auto"/>
        <w:right w:val="none" w:sz="0" w:space="0" w:color="auto"/>
      </w:divBdr>
    </w:div>
    <w:div w:id="1129977104">
      <w:bodyDiv w:val="1"/>
      <w:marLeft w:val="0"/>
      <w:marRight w:val="0"/>
      <w:marTop w:val="0"/>
      <w:marBottom w:val="0"/>
      <w:divBdr>
        <w:top w:val="none" w:sz="0" w:space="0" w:color="auto"/>
        <w:left w:val="none" w:sz="0" w:space="0" w:color="auto"/>
        <w:bottom w:val="none" w:sz="0" w:space="0" w:color="auto"/>
        <w:right w:val="none" w:sz="0" w:space="0" w:color="auto"/>
      </w:divBdr>
    </w:div>
    <w:div w:id="1130244149">
      <w:bodyDiv w:val="1"/>
      <w:marLeft w:val="0"/>
      <w:marRight w:val="0"/>
      <w:marTop w:val="0"/>
      <w:marBottom w:val="0"/>
      <w:divBdr>
        <w:top w:val="none" w:sz="0" w:space="0" w:color="auto"/>
        <w:left w:val="none" w:sz="0" w:space="0" w:color="auto"/>
        <w:bottom w:val="none" w:sz="0" w:space="0" w:color="auto"/>
        <w:right w:val="none" w:sz="0" w:space="0" w:color="auto"/>
      </w:divBdr>
    </w:div>
    <w:div w:id="1131048056">
      <w:bodyDiv w:val="1"/>
      <w:marLeft w:val="0"/>
      <w:marRight w:val="0"/>
      <w:marTop w:val="0"/>
      <w:marBottom w:val="0"/>
      <w:divBdr>
        <w:top w:val="none" w:sz="0" w:space="0" w:color="auto"/>
        <w:left w:val="none" w:sz="0" w:space="0" w:color="auto"/>
        <w:bottom w:val="none" w:sz="0" w:space="0" w:color="auto"/>
        <w:right w:val="none" w:sz="0" w:space="0" w:color="auto"/>
      </w:divBdr>
    </w:div>
    <w:div w:id="1131173756">
      <w:bodyDiv w:val="1"/>
      <w:marLeft w:val="0"/>
      <w:marRight w:val="0"/>
      <w:marTop w:val="0"/>
      <w:marBottom w:val="0"/>
      <w:divBdr>
        <w:top w:val="none" w:sz="0" w:space="0" w:color="auto"/>
        <w:left w:val="none" w:sz="0" w:space="0" w:color="auto"/>
        <w:bottom w:val="none" w:sz="0" w:space="0" w:color="auto"/>
        <w:right w:val="none" w:sz="0" w:space="0" w:color="auto"/>
      </w:divBdr>
    </w:div>
    <w:div w:id="1131559361">
      <w:bodyDiv w:val="1"/>
      <w:marLeft w:val="0"/>
      <w:marRight w:val="0"/>
      <w:marTop w:val="0"/>
      <w:marBottom w:val="0"/>
      <w:divBdr>
        <w:top w:val="none" w:sz="0" w:space="0" w:color="auto"/>
        <w:left w:val="none" w:sz="0" w:space="0" w:color="auto"/>
        <w:bottom w:val="none" w:sz="0" w:space="0" w:color="auto"/>
        <w:right w:val="none" w:sz="0" w:space="0" w:color="auto"/>
      </w:divBdr>
    </w:div>
    <w:div w:id="1131677757">
      <w:bodyDiv w:val="1"/>
      <w:marLeft w:val="0"/>
      <w:marRight w:val="0"/>
      <w:marTop w:val="0"/>
      <w:marBottom w:val="0"/>
      <w:divBdr>
        <w:top w:val="none" w:sz="0" w:space="0" w:color="auto"/>
        <w:left w:val="none" w:sz="0" w:space="0" w:color="auto"/>
        <w:bottom w:val="none" w:sz="0" w:space="0" w:color="auto"/>
        <w:right w:val="none" w:sz="0" w:space="0" w:color="auto"/>
      </w:divBdr>
    </w:div>
    <w:div w:id="1132282576">
      <w:bodyDiv w:val="1"/>
      <w:marLeft w:val="0"/>
      <w:marRight w:val="0"/>
      <w:marTop w:val="0"/>
      <w:marBottom w:val="0"/>
      <w:divBdr>
        <w:top w:val="none" w:sz="0" w:space="0" w:color="auto"/>
        <w:left w:val="none" w:sz="0" w:space="0" w:color="auto"/>
        <w:bottom w:val="none" w:sz="0" w:space="0" w:color="auto"/>
        <w:right w:val="none" w:sz="0" w:space="0" w:color="auto"/>
      </w:divBdr>
    </w:div>
    <w:div w:id="1132677001">
      <w:bodyDiv w:val="1"/>
      <w:marLeft w:val="0"/>
      <w:marRight w:val="0"/>
      <w:marTop w:val="0"/>
      <w:marBottom w:val="0"/>
      <w:divBdr>
        <w:top w:val="none" w:sz="0" w:space="0" w:color="auto"/>
        <w:left w:val="none" w:sz="0" w:space="0" w:color="auto"/>
        <w:bottom w:val="none" w:sz="0" w:space="0" w:color="auto"/>
        <w:right w:val="none" w:sz="0" w:space="0" w:color="auto"/>
      </w:divBdr>
    </w:div>
    <w:div w:id="1132939634">
      <w:bodyDiv w:val="1"/>
      <w:marLeft w:val="0"/>
      <w:marRight w:val="0"/>
      <w:marTop w:val="0"/>
      <w:marBottom w:val="0"/>
      <w:divBdr>
        <w:top w:val="none" w:sz="0" w:space="0" w:color="auto"/>
        <w:left w:val="none" w:sz="0" w:space="0" w:color="auto"/>
        <w:bottom w:val="none" w:sz="0" w:space="0" w:color="auto"/>
        <w:right w:val="none" w:sz="0" w:space="0" w:color="auto"/>
      </w:divBdr>
    </w:div>
    <w:div w:id="1133056998">
      <w:bodyDiv w:val="1"/>
      <w:marLeft w:val="0"/>
      <w:marRight w:val="0"/>
      <w:marTop w:val="0"/>
      <w:marBottom w:val="0"/>
      <w:divBdr>
        <w:top w:val="none" w:sz="0" w:space="0" w:color="auto"/>
        <w:left w:val="none" w:sz="0" w:space="0" w:color="auto"/>
        <w:bottom w:val="none" w:sz="0" w:space="0" w:color="auto"/>
        <w:right w:val="none" w:sz="0" w:space="0" w:color="auto"/>
      </w:divBdr>
    </w:div>
    <w:div w:id="1133405657">
      <w:bodyDiv w:val="1"/>
      <w:marLeft w:val="0"/>
      <w:marRight w:val="0"/>
      <w:marTop w:val="0"/>
      <w:marBottom w:val="0"/>
      <w:divBdr>
        <w:top w:val="none" w:sz="0" w:space="0" w:color="auto"/>
        <w:left w:val="none" w:sz="0" w:space="0" w:color="auto"/>
        <w:bottom w:val="none" w:sz="0" w:space="0" w:color="auto"/>
        <w:right w:val="none" w:sz="0" w:space="0" w:color="auto"/>
      </w:divBdr>
    </w:div>
    <w:div w:id="1133791559">
      <w:bodyDiv w:val="1"/>
      <w:marLeft w:val="0"/>
      <w:marRight w:val="0"/>
      <w:marTop w:val="0"/>
      <w:marBottom w:val="0"/>
      <w:divBdr>
        <w:top w:val="none" w:sz="0" w:space="0" w:color="auto"/>
        <w:left w:val="none" w:sz="0" w:space="0" w:color="auto"/>
        <w:bottom w:val="none" w:sz="0" w:space="0" w:color="auto"/>
        <w:right w:val="none" w:sz="0" w:space="0" w:color="auto"/>
      </w:divBdr>
    </w:div>
    <w:div w:id="1133867059">
      <w:bodyDiv w:val="1"/>
      <w:marLeft w:val="0"/>
      <w:marRight w:val="0"/>
      <w:marTop w:val="0"/>
      <w:marBottom w:val="0"/>
      <w:divBdr>
        <w:top w:val="none" w:sz="0" w:space="0" w:color="auto"/>
        <w:left w:val="none" w:sz="0" w:space="0" w:color="auto"/>
        <w:bottom w:val="none" w:sz="0" w:space="0" w:color="auto"/>
        <w:right w:val="none" w:sz="0" w:space="0" w:color="auto"/>
      </w:divBdr>
    </w:div>
    <w:div w:id="1133912923">
      <w:bodyDiv w:val="1"/>
      <w:marLeft w:val="0"/>
      <w:marRight w:val="0"/>
      <w:marTop w:val="0"/>
      <w:marBottom w:val="0"/>
      <w:divBdr>
        <w:top w:val="none" w:sz="0" w:space="0" w:color="auto"/>
        <w:left w:val="none" w:sz="0" w:space="0" w:color="auto"/>
        <w:bottom w:val="none" w:sz="0" w:space="0" w:color="auto"/>
        <w:right w:val="none" w:sz="0" w:space="0" w:color="auto"/>
      </w:divBdr>
    </w:div>
    <w:div w:id="1133987753">
      <w:bodyDiv w:val="1"/>
      <w:marLeft w:val="0"/>
      <w:marRight w:val="0"/>
      <w:marTop w:val="0"/>
      <w:marBottom w:val="0"/>
      <w:divBdr>
        <w:top w:val="none" w:sz="0" w:space="0" w:color="auto"/>
        <w:left w:val="none" w:sz="0" w:space="0" w:color="auto"/>
        <w:bottom w:val="none" w:sz="0" w:space="0" w:color="auto"/>
        <w:right w:val="none" w:sz="0" w:space="0" w:color="auto"/>
      </w:divBdr>
    </w:div>
    <w:div w:id="1134715076">
      <w:bodyDiv w:val="1"/>
      <w:marLeft w:val="0"/>
      <w:marRight w:val="0"/>
      <w:marTop w:val="0"/>
      <w:marBottom w:val="0"/>
      <w:divBdr>
        <w:top w:val="none" w:sz="0" w:space="0" w:color="auto"/>
        <w:left w:val="none" w:sz="0" w:space="0" w:color="auto"/>
        <w:bottom w:val="none" w:sz="0" w:space="0" w:color="auto"/>
        <w:right w:val="none" w:sz="0" w:space="0" w:color="auto"/>
      </w:divBdr>
    </w:div>
    <w:div w:id="1134911370">
      <w:bodyDiv w:val="1"/>
      <w:marLeft w:val="0"/>
      <w:marRight w:val="0"/>
      <w:marTop w:val="0"/>
      <w:marBottom w:val="0"/>
      <w:divBdr>
        <w:top w:val="none" w:sz="0" w:space="0" w:color="auto"/>
        <w:left w:val="none" w:sz="0" w:space="0" w:color="auto"/>
        <w:bottom w:val="none" w:sz="0" w:space="0" w:color="auto"/>
        <w:right w:val="none" w:sz="0" w:space="0" w:color="auto"/>
      </w:divBdr>
    </w:div>
    <w:div w:id="1135830573">
      <w:bodyDiv w:val="1"/>
      <w:marLeft w:val="0"/>
      <w:marRight w:val="0"/>
      <w:marTop w:val="0"/>
      <w:marBottom w:val="0"/>
      <w:divBdr>
        <w:top w:val="none" w:sz="0" w:space="0" w:color="auto"/>
        <w:left w:val="none" w:sz="0" w:space="0" w:color="auto"/>
        <w:bottom w:val="none" w:sz="0" w:space="0" w:color="auto"/>
        <w:right w:val="none" w:sz="0" w:space="0" w:color="auto"/>
      </w:divBdr>
    </w:div>
    <w:div w:id="1135834747">
      <w:bodyDiv w:val="1"/>
      <w:marLeft w:val="0"/>
      <w:marRight w:val="0"/>
      <w:marTop w:val="0"/>
      <w:marBottom w:val="0"/>
      <w:divBdr>
        <w:top w:val="none" w:sz="0" w:space="0" w:color="auto"/>
        <w:left w:val="none" w:sz="0" w:space="0" w:color="auto"/>
        <w:bottom w:val="none" w:sz="0" w:space="0" w:color="auto"/>
        <w:right w:val="none" w:sz="0" w:space="0" w:color="auto"/>
      </w:divBdr>
    </w:div>
    <w:div w:id="1135879022">
      <w:bodyDiv w:val="1"/>
      <w:marLeft w:val="0"/>
      <w:marRight w:val="0"/>
      <w:marTop w:val="0"/>
      <w:marBottom w:val="0"/>
      <w:divBdr>
        <w:top w:val="none" w:sz="0" w:space="0" w:color="auto"/>
        <w:left w:val="none" w:sz="0" w:space="0" w:color="auto"/>
        <w:bottom w:val="none" w:sz="0" w:space="0" w:color="auto"/>
        <w:right w:val="none" w:sz="0" w:space="0" w:color="auto"/>
      </w:divBdr>
    </w:div>
    <w:div w:id="1136140070">
      <w:bodyDiv w:val="1"/>
      <w:marLeft w:val="0"/>
      <w:marRight w:val="0"/>
      <w:marTop w:val="0"/>
      <w:marBottom w:val="0"/>
      <w:divBdr>
        <w:top w:val="none" w:sz="0" w:space="0" w:color="auto"/>
        <w:left w:val="none" w:sz="0" w:space="0" w:color="auto"/>
        <w:bottom w:val="none" w:sz="0" w:space="0" w:color="auto"/>
        <w:right w:val="none" w:sz="0" w:space="0" w:color="auto"/>
      </w:divBdr>
    </w:div>
    <w:div w:id="1136289935">
      <w:bodyDiv w:val="1"/>
      <w:marLeft w:val="0"/>
      <w:marRight w:val="0"/>
      <w:marTop w:val="0"/>
      <w:marBottom w:val="0"/>
      <w:divBdr>
        <w:top w:val="none" w:sz="0" w:space="0" w:color="auto"/>
        <w:left w:val="none" w:sz="0" w:space="0" w:color="auto"/>
        <w:bottom w:val="none" w:sz="0" w:space="0" w:color="auto"/>
        <w:right w:val="none" w:sz="0" w:space="0" w:color="auto"/>
      </w:divBdr>
    </w:div>
    <w:div w:id="1136682362">
      <w:bodyDiv w:val="1"/>
      <w:marLeft w:val="0"/>
      <w:marRight w:val="0"/>
      <w:marTop w:val="0"/>
      <w:marBottom w:val="0"/>
      <w:divBdr>
        <w:top w:val="none" w:sz="0" w:space="0" w:color="auto"/>
        <w:left w:val="none" w:sz="0" w:space="0" w:color="auto"/>
        <w:bottom w:val="none" w:sz="0" w:space="0" w:color="auto"/>
        <w:right w:val="none" w:sz="0" w:space="0" w:color="auto"/>
      </w:divBdr>
    </w:div>
    <w:div w:id="1137454773">
      <w:bodyDiv w:val="1"/>
      <w:marLeft w:val="0"/>
      <w:marRight w:val="0"/>
      <w:marTop w:val="0"/>
      <w:marBottom w:val="0"/>
      <w:divBdr>
        <w:top w:val="none" w:sz="0" w:space="0" w:color="auto"/>
        <w:left w:val="none" w:sz="0" w:space="0" w:color="auto"/>
        <w:bottom w:val="none" w:sz="0" w:space="0" w:color="auto"/>
        <w:right w:val="none" w:sz="0" w:space="0" w:color="auto"/>
      </w:divBdr>
    </w:div>
    <w:div w:id="1137604387">
      <w:bodyDiv w:val="1"/>
      <w:marLeft w:val="0"/>
      <w:marRight w:val="0"/>
      <w:marTop w:val="0"/>
      <w:marBottom w:val="0"/>
      <w:divBdr>
        <w:top w:val="none" w:sz="0" w:space="0" w:color="auto"/>
        <w:left w:val="none" w:sz="0" w:space="0" w:color="auto"/>
        <w:bottom w:val="none" w:sz="0" w:space="0" w:color="auto"/>
        <w:right w:val="none" w:sz="0" w:space="0" w:color="auto"/>
      </w:divBdr>
    </w:div>
    <w:div w:id="1137646168">
      <w:bodyDiv w:val="1"/>
      <w:marLeft w:val="0"/>
      <w:marRight w:val="0"/>
      <w:marTop w:val="0"/>
      <w:marBottom w:val="0"/>
      <w:divBdr>
        <w:top w:val="none" w:sz="0" w:space="0" w:color="auto"/>
        <w:left w:val="none" w:sz="0" w:space="0" w:color="auto"/>
        <w:bottom w:val="none" w:sz="0" w:space="0" w:color="auto"/>
        <w:right w:val="none" w:sz="0" w:space="0" w:color="auto"/>
      </w:divBdr>
    </w:div>
    <w:div w:id="1137801586">
      <w:bodyDiv w:val="1"/>
      <w:marLeft w:val="0"/>
      <w:marRight w:val="0"/>
      <w:marTop w:val="0"/>
      <w:marBottom w:val="0"/>
      <w:divBdr>
        <w:top w:val="none" w:sz="0" w:space="0" w:color="auto"/>
        <w:left w:val="none" w:sz="0" w:space="0" w:color="auto"/>
        <w:bottom w:val="none" w:sz="0" w:space="0" w:color="auto"/>
        <w:right w:val="none" w:sz="0" w:space="0" w:color="auto"/>
      </w:divBdr>
    </w:div>
    <w:div w:id="1137837187">
      <w:bodyDiv w:val="1"/>
      <w:marLeft w:val="0"/>
      <w:marRight w:val="0"/>
      <w:marTop w:val="0"/>
      <w:marBottom w:val="0"/>
      <w:divBdr>
        <w:top w:val="none" w:sz="0" w:space="0" w:color="auto"/>
        <w:left w:val="none" w:sz="0" w:space="0" w:color="auto"/>
        <w:bottom w:val="none" w:sz="0" w:space="0" w:color="auto"/>
        <w:right w:val="none" w:sz="0" w:space="0" w:color="auto"/>
      </w:divBdr>
    </w:div>
    <w:div w:id="1138064920">
      <w:bodyDiv w:val="1"/>
      <w:marLeft w:val="0"/>
      <w:marRight w:val="0"/>
      <w:marTop w:val="0"/>
      <w:marBottom w:val="0"/>
      <w:divBdr>
        <w:top w:val="none" w:sz="0" w:space="0" w:color="auto"/>
        <w:left w:val="none" w:sz="0" w:space="0" w:color="auto"/>
        <w:bottom w:val="none" w:sz="0" w:space="0" w:color="auto"/>
        <w:right w:val="none" w:sz="0" w:space="0" w:color="auto"/>
      </w:divBdr>
    </w:div>
    <w:div w:id="1138229990">
      <w:bodyDiv w:val="1"/>
      <w:marLeft w:val="0"/>
      <w:marRight w:val="0"/>
      <w:marTop w:val="0"/>
      <w:marBottom w:val="0"/>
      <w:divBdr>
        <w:top w:val="none" w:sz="0" w:space="0" w:color="auto"/>
        <w:left w:val="none" w:sz="0" w:space="0" w:color="auto"/>
        <w:bottom w:val="none" w:sz="0" w:space="0" w:color="auto"/>
        <w:right w:val="none" w:sz="0" w:space="0" w:color="auto"/>
      </w:divBdr>
    </w:div>
    <w:div w:id="1138259388">
      <w:bodyDiv w:val="1"/>
      <w:marLeft w:val="0"/>
      <w:marRight w:val="0"/>
      <w:marTop w:val="0"/>
      <w:marBottom w:val="0"/>
      <w:divBdr>
        <w:top w:val="none" w:sz="0" w:space="0" w:color="auto"/>
        <w:left w:val="none" w:sz="0" w:space="0" w:color="auto"/>
        <w:bottom w:val="none" w:sz="0" w:space="0" w:color="auto"/>
        <w:right w:val="none" w:sz="0" w:space="0" w:color="auto"/>
      </w:divBdr>
    </w:div>
    <w:div w:id="1138375122">
      <w:bodyDiv w:val="1"/>
      <w:marLeft w:val="0"/>
      <w:marRight w:val="0"/>
      <w:marTop w:val="0"/>
      <w:marBottom w:val="0"/>
      <w:divBdr>
        <w:top w:val="none" w:sz="0" w:space="0" w:color="auto"/>
        <w:left w:val="none" w:sz="0" w:space="0" w:color="auto"/>
        <w:bottom w:val="none" w:sz="0" w:space="0" w:color="auto"/>
        <w:right w:val="none" w:sz="0" w:space="0" w:color="auto"/>
      </w:divBdr>
    </w:div>
    <w:div w:id="1138452558">
      <w:bodyDiv w:val="1"/>
      <w:marLeft w:val="0"/>
      <w:marRight w:val="0"/>
      <w:marTop w:val="0"/>
      <w:marBottom w:val="0"/>
      <w:divBdr>
        <w:top w:val="none" w:sz="0" w:space="0" w:color="auto"/>
        <w:left w:val="none" w:sz="0" w:space="0" w:color="auto"/>
        <w:bottom w:val="none" w:sz="0" w:space="0" w:color="auto"/>
        <w:right w:val="none" w:sz="0" w:space="0" w:color="auto"/>
      </w:divBdr>
    </w:div>
    <w:div w:id="1138646035">
      <w:bodyDiv w:val="1"/>
      <w:marLeft w:val="0"/>
      <w:marRight w:val="0"/>
      <w:marTop w:val="0"/>
      <w:marBottom w:val="0"/>
      <w:divBdr>
        <w:top w:val="none" w:sz="0" w:space="0" w:color="auto"/>
        <w:left w:val="none" w:sz="0" w:space="0" w:color="auto"/>
        <w:bottom w:val="none" w:sz="0" w:space="0" w:color="auto"/>
        <w:right w:val="none" w:sz="0" w:space="0" w:color="auto"/>
      </w:divBdr>
    </w:div>
    <w:div w:id="1139223475">
      <w:bodyDiv w:val="1"/>
      <w:marLeft w:val="0"/>
      <w:marRight w:val="0"/>
      <w:marTop w:val="0"/>
      <w:marBottom w:val="0"/>
      <w:divBdr>
        <w:top w:val="none" w:sz="0" w:space="0" w:color="auto"/>
        <w:left w:val="none" w:sz="0" w:space="0" w:color="auto"/>
        <w:bottom w:val="none" w:sz="0" w:space="0" w:color="auto"/>
        <w:right w:val="none" w:sz="0" w:space="0" w:color="auto"/>
      </w:divBdr>
    </w:div>
    <w:div w:id="1139344275">
      <w:bodyDiv w:val="1"/>
      <w:marLeft w:val="0"/>
      <w:marRight w:val="0"/>
      <w:marTop w:val="0"/>
      <w:marBottom w:val="0"/>
      <w:divBdr>
        <w:top w:val="none" w:sz="0" w:space="0" w:color="auto"/>
        <w:left w:val="none" w:sz="0" w:space="0" w:color="auto"/>
        <w:bottom w:val="none" w:sz="0" w:space="0" w:color="auto"/>
        <w:right w:val="none" w:sz="0" w:space="0" w:color="auto"/>
      </w:divBdr>
    </w:div>
    <w:div w:id="1139344418">
      <w:bodyDiv w:val="1"/>
      <w:marLeft w:val="0"/>
      <w:marRight w:val="0"/>
      <w:marTop w:val="0"/>
      <w:marBottom w:val="0"/>
      <w:divBdr>
        <w:top w:val="none" w:sz="0" w:space="0" w:color="auto"/>
        <w:left w:val="none" w:sz="0" w:space="0" w:color="auto"/>
        <w:bottom w:val="none" w:sz="0" w:space="0" w:color="auto"/>
        <w:right w:val="none" w:sz="0" w:space="0" w:color="auto"/>
      </w:divBdr>
    </w:div>
    <w:div w:id="1139686066">
      <w:bodyDiv w:val="1"/>
      <w:marLeft w:val="0"/>
      <w:marRight w:val="0"/>
      <w:marTop w:val="0"/>
      <w:marBottom w:val="0"/>
      <w:divBdr>
        <w:top w:val="none" w:sz="0" w:space="0" w:color="auto"/>
        <w:left w:val="none" w:sz="0" w:space="0" w:color="auto"/>
        <w:bottom w:val="none" w:sz="0" w:space="0" w:color="auto"/>
        <w:right w:val="none" w:sz="0" w:space="0" w:color="auto"/>
      </w:divBdr>
    </w:div>
    <w:div w:id="1139691927">
      <w:bodyDiv w:val="1"/>
      <w:marLeft w:val="0"/>
      <w:marRight w:val="0"/>
      <w:marTop w:val="0"/>
      <w:marBottom w:val="0"/>
      <w:divBdr>
        <w:top w:val="none" w:sz="0" w:space="0" w:color="auto"/>
        <w:left w:val="none" w:sz="0" w:space="0" w:color="auto"/>
        <w:bottom w:val="none" w:sz="0" w:space="0" w:color="auto"/>
        <w:right w:val="none" w:sz="0" w:space="0" w:color="auto"/>
      </w:divBdr>
    </w:div>
    <w:div w:id="1139953426">
      <w:bodyDiv w:val="1"/>
      <w:marLeft w:val="0"/>
      <w:marRight w:val="0"/>
      <w:marTop w:val="0"/>
      <w:marBottom w:val="0"/>
      <w:divBdr>
        <w:top w:val="none" w:sz="0" w:space="0" w:color="auto"/>
        <w:left w:val="none" w:sz="0" w:space="0" w:color="auto"/>
        <w:bottom w:val="none" w:sz="0" w:space="0" w:color="auto"/>
        <w:right w:val="none" w:sz="0" w:space="0" w:color="auto"/>
      </w:divBdr>
    </w:div>
    <w:div w:id="1140070543">
      <w:bodyDiv w:val="1"/>
      <w:marLeft w:val="0"/>
      <w:marRight w:val="0"/>
      <w:marTop w:val="0"/>
      <w:marBottom w:val="0"/>
      <w:divBdr>
        <w:top w:val="none" w:sz="0" w:space="0" w:color="auto"/>
        <w:left w:val="none" w:sz="0" w:space="0" w:color="auto"/>
        <w:bottom w:val="none" w:sz="0" w:space="0" w:color="auto"/>
        <w:right w:val="none" w:sz="0" w:space="0" w:color="auto"/>
      </w:divBdr>
    </w:div>
    <w:div w:id="1140416708">
      <w:bodyDiv w:val="1"/>
      <w:marLeft w:val="0"/>
      <w:marRight w:val="0"/>
      <w:marTop w:val="0"/>
      <w:marBottom w:val="0"/>
      <w:divBdr>
        <w:top w:val="none" w:sz="0" w:space="0" w:color="auto"/>
        <w:left w:val="none" w:sz="0" w:space="0" w:color="auto"/>
        <w:bottom w:val="none" w:sz="0" w:space="0" w:color="auto"/>
        <w:right w:val="none" w:sz="0" w:space="0" w:color="auto"/>
      </w:divBdr>
    </w:div>
    <w:div w:id="1140420863">
      <w:bodyDiv w:val="1"/>
      <w:marLeft w:val="0"/>
      <w:marRight w:val="0"/>
      <w:marTop w:val="0"/>
      <w:marBottom w:val="0"/>
      <w:divBdr>
        <w:top w:val="none" w:sz="0" w:space="0" w:color="auto"/>
        <w:left w:val="none" w:sz="0" w:space="0" w:color="auto"/>
        <w:bottom w:val="none" w:sz="0" w:space="0" w:color="auto"/>
        <w:right w:val="none" w:sz="0" w:space="0" w:color="auto"/>
      </w:divBdr>
    </w:div>
    <w:div w:id="1141120653">
      <w:bodyDiv w:val="1"/>
      <w:marLeft w:val="0"/>
      <w:marRight w:val="0"/>
      <w:marTop w:val="0"/>
      <w:marBottom w:val="0"/>
      <w:divBdr>
        <w:top w:val="none" w:sz="0" w:space="0" w:color="auto"/>
        <w:left w:val="none" w:sz="0" w:space="0" w:color="auto"/>
        <w:bottom w:val="none" w:sz="0" w:space="0" w:color="auto"/>
        <w:right w:val="none" w:sz="0" w:space="0" w:color="auto"/>
      </w:divBdr>
    </w:div>
    <w:div w:id="1141271969">
      <w:bodyDiv w:val="1"/>
      <w:marLeft w:val="0"/>
      <w:marRight w:val="0"/>
      <w:marTop w:val="0"/>
      <w:marBottom w:val="0"/>
      <w:divBdr>
        <w:top w:val="none" w:sz="0" w:space="0" w:color="auto"/>
        <w:left w:val="none" w:sz="0" w:space="0" w:color="auto"/>
        <w:bottom w:val="none" w:sz="0" w:space="0" w:color="auto"/>
        <w:right w:val="none" w:sz="0" w:space="0" w:color="auto"/>
      </w:divBdr>
    </w:div>
    <w:div w:id="1141994124">
      <w:bodyDiv w:val="1"/>
      <w:marLeft w:val="0"/>
      <w:marRight w:val="0"/>
      <w:marTop w:val="0"/>
      <w:marBottom w:val="0"/>
      <w:divBdr>
        <w:top w:val="none" w:sz="0" w:space="0" w:color="auto"/>
        <w:left w:val="none" w:sz="0" w:space="0" w:color="auto"/>
        <w:bottom w:val="none" w:sz="0" w:space="0" w:color="auto"/>
        <w:right w:val="none" w:sz="0" w:space="0" w:color="auto"/>
      </w:divBdr>
    </w:div>
    <w:div w:id="1142112360">
      <w:bodyDiv w:val="1"/>
      <w:marLeft w:val="0"/>
      <w:marRight w:val="0"/>
      <w:marTop w:val="0"/>
      <w:marBottom w:val="0"/>
      <w:divBdr>
        <w:top w:val="none" w:sz="0" w:space="0" w:color="auto"/>
        <w:left w:val="none" w:sz="0" w:space="0" w:color="auto"/>
        <w:bottom w:val="none" w:sz="0" w:space="0" w:color="auto"/>
        <w:right w:val="none" w:sz="0" w:space="0" w:color="auto"/>
      </w:divBdr>
    </w:div>
    <w:div w:id="1142233462">
      <w:bodyDiv w:val="1"/>
      <w:marLeft w:val="0"/>
      <w:marRight w:val="0"/>
      <w:marTop w:val="0"/>
      <w:marBottom w:val="0"/>
      <w:divBdr>
        <w:top w:val="none" w:sz="0" w:space="0" w:color="auto"/>
        <w:left w:val="none" w:sz="0" w:space="0" w:color="auto"/>
        <w:bottom w:val="none" w:sz="0" w:space="0" w:color="auto"/>
        <w:right w:val="none" w:sz="0" w:space="0" w:color="auto"/>
      </w:divBdr>
    </w:div>
    <w:div w:id="1142428487">
      <w:bodyDiv w:val="1"/>
      <w:marLeft w:val="0"/>
      <w:marRight w:val="0"/>
      <w:marTop w:val="0"/>
      <w:marBottom w:val="0"/>
      <w:divBdr>
        <w:top w:val="none" w:sz="0" w:space="0" w:color="auto"/>
        <w:left w:val="none" w:sz="0" w:space="0" w:color="auto"/>
        <w:bottom w:val="none" w:sz="0" w:space="0" w:color="auto"/>
        <w:right w:val="none" w:sz="0" w:space="0" w:color="auto"/>
      </w:divBdr>
    </w:div>
    <w:div w:id="1142766719">
      <w:bodyDiv w:val="1"/>
      <w:marLeft w:val="0"/>
      <w:marRight w:val="0"/>
      <w:marTop w:val="0"/>
      <w:marBottom w:val="0"/>
      <w:divBdr>
        <w:top w:val="none" w:sz="0" w:space="0" w:color="auto"/>
        <w:left w:val="none" w:sz="0" w:space="0" w:color="auto"/>
        <w:bottom w:val="none" w:sz="0" w:space="0" w:color="auto"/>
        <w:right w:val="none" w:sz="0" w:space="0" w:color="auto"/>
      </w:divBdr>
    </w:div>
    <w:div w:id="1142959907">
      <w:bodyDiv w:val="1"/>
      <w:marLeft w:val="0"/>
      <w:marRight w:val="0"/>
      <w:marTop w:val="0"/>
      <w:marBottom w:val="0"/>
      <w:divBdr>
        <w:top w:val="none" w:sz="0" w:space="0" w:color="auto"/>
        <w:left w:val="none" w:sz="0" w:space="0" w:color="auto"/>
        <w:bottom w:val="none" w:sz="0" w:space="0" w:color="auto"/>
        <w:right w:val="none" w:sz="0" w:space="0" w:color="auto"/>
      </w:divBdr>
    </w:div>
    <w:div w:id="1142961417">
      <w:bodyDiv w:val="1"/>
      <w:marLeft w:val="0"/>
      <w:marRight w:val="0"/>
      <w:marTop w:val="0"/>
      <w:marBottom w:val="0"/>
      <w:divBdr>
        <w:top w:val="none" w:sz="0" w:space="0" w:color="auto"/>
        <w:left w:val="none" w:sz="0" w:space="0" w:color="auto"/>
        <w:bottom w:val="none" w:sz="0" w:space="0" w:color="auto"/>
        <w:right w:val="none" w:sz="0" w:space="0" w:color="auto"/>
      </w:divBdr>
    </w:div>
    <w:div w:id="1143158023">
      <w:bodyDiv w:val="1"/>
      <w:marLeft w:val="0"/>
      <w:marRight w:val="0"/>
      <w:marTop w:val="0"/>
      <w:marBottom w:val="0"/>
      <w:divBdr>
        <w:top w:val="none" w:sz="0" w:space="0" w:color="auto"/>
        <w:left w:val="none" w:sz="0" w:space="0" w:color="auto"/>
        <w:bottom w:val="none" w:sz="0" w:space="0" w:color="auto"/>
        <w:right w:val="none" w:sz="0" w:space="0" w:color="auto"/>
      </w:divBdr>
    </w:div>
    <w:div w:id="1143622105">
      <w:bodyDiv w:val="1"/>
      <w:marLeft w:val="0"/>
      <w:marRight w:val="0"/>
      <w:marTop w:val="0"/>
      <w:marBottom w:val="0"/>
      <w:divBdr>
        <w:top w:val="none" w:sz="0" w:space="0" w:color="auto"/>
        <w:left w:val="none" w:sz="0" w:space="0" w:color="auto"/>
        <w:bottom w:val="none" w:sz="0" w:space="0" w:color="auto"/>
        <w:right w:val="none" w:sz="0" w:space="0" w:color="auto"/>
      </w:divBdr>
    </w:div>
    <w:div w:id="1143933670">
      <w:bodyDiv w:val="1"/>
      <w:marLeft w:val="0"/>
      <w:marRight w:val="0"/>
      <w:marTop w:val="0"/>
      <w:marBottom w:val="0"/>
      <w:divBdr>
        <w:top w:val="none" w:sz="0" w:space="0" w:color="auto"/>
        <w:left w:val="none" w:sz="0" w:space="0" w:color="auto"/>
        <w:bottom w:val="none" w:sz="0" w:space="0" w:color="auto"/>
        <w:right w:val="none" w:sz="0" w:space="0" w:color="auto"/>
      </w:divBdr>
    </w:div>
    <w:div w:id="1144195476">
      <w:bodyDiv w:val="1"/>
      <w:marLeft w:val="0"/>
      <w:marRight w:val="0"/>
      <w:marTop w:val="0"/>
      <w:marBottom w:val="0"/>
      <w:divBdr>
        <w:top w:val="none" w:sz="0" w:space="0" w:color="auto"/>
        <w:left w:val="none" w:sz="0" w:space="0" w:color="auto"/>
        <w:bottom w:val="none" w:sz="0" w:space="0" w:color="auto"/>
        <w:right w:val="none" w:sz="0" w:space="0" w:color="auto"/>
      </w:divBdr>
    </w:div>
    <w:div w:id="1144736862">
      <w:bodyDiv w:val="1"/>
      <w:marLeft w:val="0"/>
      <w:marRight w:val="0"/>
      <w:marTop w:val="0"/>
      <w:marBottom w:val="0"/>
      <w:divBdr>
        <w:top w:val="none" w:sz="0" w:space="0" w:color="auto"/>
        <w:left w:val="none" w:sz="0" w:space="0" w:color="auto"/>
        <w:bottom w:val="none" w:sz="0" w:space="0" w:color="auto"/>
        <w:right w:val="none" w:sz="0" w:space="0" w:color="auto"/>
      </w:divBdr>
    </w:div>
    <w:div w:id="1145244507">
      <w:bodyDiv w:val="1"/>
      <w:marLeft w:val="0"/>
      <w:marRight w:val="0"/>
      <w:marTop w:val="0"/>
      <w:marBottom w:val="0"/>
      <w:divBdr>
        <w:top w:val="none" w:sz="0" w:space="0" w:color="auto"/>
        <w:left w:val="none" w:sz="0" w:space="0" w:color="auto"/>
        <w:bottom w:val="none" w:sz="0" w:space="0" w:color="auto"/>
        <w:right w:val="none" w:sz="0" w:space="0" w:color="auto"/>
      </w:divBdr>
    </w:div>
    <w:div w:id="1145318416">
      <w:bodyDiv w:val="1"/>
      <w:marLeft w:val="0"/>
      <w:marRight w:val="0"/>
      <w:marTop w:val="0"/>
      <w:marBottom w:val="0"/>
      <w:divBdr>
        <w:top w:val="none" w:sz="0" w:space="0" w:color="auto"/>
        <w:left w:val="none" w:sz="0" w:space="0" w:color="auto"/>
        <w:bottom w:val="none" w:sz="0" w:space="0" w:color="auto"/>
        <w:right w:val="none" w:sz="0" w:space="0" w:color="auto"/>
      </w:divBdr>
    </w:div>
    <w:div w:id="1145466030">
      <w:bodyDiv w:val="1"/>
      <w:marLeft w:val="0"/>
      <w:marRight w:val="0"/>
      <w:marTop w:val="0"/>
      <w:marBottom w:val="0"/>
      <w:divBdr>
        <w:top w:val="none" w:sz="0" w:space="0" w:color="auto"/>
        <w:left w:val="none" w:sz="0" w:space="0" w:color="auto"/>
        <w:bottom w:val="none" w:sz="0" w:space="0" w:color="auto"/>
        <w:right w:val="none" w:sz="0" w:space="0" w:color="auto"/>
      </w:divBdr>
    </w:div>
    <w:div w:id="1146047975">
      <w:bodyDiv w:val="1"/>
      <w:marLeft w:val="0"/>
      <w:marRight w:val="0"/>
      <w:marTop w:val="0"/>
      <w:marBottom w:val="0"/>
      <w:divBdr>
        <w:top w:val="none" w:sz="0" w:space="0" w:color="auto"/>
        <w:left w:val="none" w:sz="0" w:space="0" w:color="auto"/>
        <w:bottom w:val="none" w:sz="0" w:space="0" w:color="auto"/>
        <w:right w:val="none" w:sz="0" w:space="0" w:color="auto"/>
      </w:divBdr>
    </w:div>
    <w:div w:id="1146237129">
      <w:bodyDiv w:val="1"/>
      <w:marLeft w:val="0"/>
      <w:marRight w:val="0"/>
      <w:marTop w:val="0"/>
      <w:marBottom w:val="0"/>
      <w:divBdr>
        <w:top w:val="none" w:sz="0" w:space="0" w:color="auto"/>
        <w:left w:val="none" w:sz="0" w:space="0" w:color="auto"/>
        <w:bottom w:val="none" w:sz="0" w:space="0" w:color="auto"/>
        <w:right w:val="none" w:sz="0" w:space="0" w:color="auto"/>
      </w:divBdr>
    </w:div>
    <w:div w:id="1146701576">
      <w:bodyDiv w:val="1"/>
      <w:marLeft w:val="0"/>
      <w:marRight w:val="0"/>
      <w:marTop w:val="0"/>
      <w:marBottom w:val="0"/>
      <w:divBdr>
        <w:top w:val="none" w:sz="0" w:space="0" w:color="auto"/>
        <w:left w:val="none" w:sz="0" w:space="0" w:color="auto"/>
        <w:bottom w:val="none" w:sz="0" w:space="0" w:color="auto"/>
        <w:right w:val="none" w:sz="0" w:space="0" w:color="auto"/>
      </w:divBdr>
    </w:div>
    <w:div w:id="1146701975">
      <w:bodyDiv w:val="1"/>
      <w:marLeft w:val="0"/>
      <w:marRight w:val="0"/>
      <w:marTop w:val="0"/>
      <w:marBottom w:val="0"/>
      <w:divBdr>
        <w:top w:val="none" w:sz="0" w:space="0" w:color="auto"/>
        <w:left w:val="none" w:sz="0" w:space="0" w:color="auto"/>
        <w:bottom w:val="none" w:sz="0" w:space="0" w:color="auto"/>
        <w:right w:val="none" w:sz="0" w:space="0" w:color="auto"/>
      </w:divBdr>
    </w:div>
    <w:div w:id="1146896983">
      <w:bodyDiv w:val="1"/>
      <w:marLeft w:val="0"/>
      <w:marRight w:val="0"/>
      <w:marTop w:val="0"/>
      <w:marBottom w:val="0"/>
      <w:divBdr>
        <w:top w:val="none" w:sz="0" w:space="0" w:color="auto"/>
        <w:left w:val="none" w:sz="0" w:space="0" w:color="auto"/>
        <w:bottom w:val="none" w:sz="0" w:space="0" w:color="auto"/>
        <w:right w:val="none" w:sz="0" w:space="0" w:color="auto"/>
      </w:divBdr>
    </w:div>
    <w:div w:id="1147435599">
      <w:bodyDiv w:val="1"/>
      <w:marLeft w:val="0"/>
      <w:marRight w:val="0"/>
      <w:marTop w:val="0"/>
      <w:marBottom w:val="0"/>
      <w:divBdr>
        <w:top w:val="none" w:sz="0" w:space="0" w:color="auto"/>
        <w:left w:val="none" w:sz="0" w:space="0" w:color="auto"/>
        <w:bottom w:val="none" w:sz="0" w:space="0" w:color="auto"/>
        <w:right w:val="none" w:sz="0" w:space="0" w:color="auto"/>
      </w:divBdr>
    </w:div>
    <w:div w:id="1147472790">
      <w:bodyDiv w:val="1"/>
      <w:marLeft w:val="0"/>
      <w:marRight w:val="0"/>
      <w:marTop w:val="0"/>
      <w:marBottom w:val="0"/>
      <w:divBdr>
        <w:top w:val="none" w:sz="0" w:space="0" w:color="auto"/>
        <w:left w:val="none" w:sz="0" w:space="0" w:color="auto"/>
        <w:bottom w:val="none" w:sz="0" w:space="0" w:color="auto"/>
        <w:right w:val="none" w:sz="0" w:space="0" w:color="auto"/>
      </w:divBdr>
    </w:div>
    <w:div w:id="1147820062">
      <w:bodyDiv w:val="1"/>
      <w:marLeft w:val="0"/>
      <w:marRight w:val="0"/>
      <w:marTop w:val="0"/>
      <w:marBottom w:val="0"/>
      <w:divBdr>
        <w:top w:val="none" w:sz="0" w:space="0" w:color="auto"/>
        <w:left w:val="none" w:sz="0" w:space="0" w:color="auto"/>
        <w:bottom w:val="none" w:sz="0" w:space="0" w:color="auto"/>
        <w:right w:val="none" w:sz="0" w:space="0" w:color="auto"/>
      </w:divBdr>
    </w:div>
    <w:div w:id="1147863661">
      <w:bodyDiv w:val="1"/>
      <w:marLeft w:val="0"/>
      <w:marRight w:val="0"/>
      <w:marTop w:val="0"/>
      <w:marBottom w:val="0"/>
      <w:divBdr>
        <w:top w:val="none" w:sz="0" w:space="0" w:color="auto"/>
        <w:left w:val="none" w:sz="0" w:space="0" w:color="auto"/>
        <w:bottom w:val="none" w:sz="0" w:space="0" w:color="auto"/>
        <w:right w:val="none" w:sz="0" w:space="0" w:color="auto"/>
      </w:divBdr>
    </w:div>
    <w:div w:id="1148206716">
      <w:bodyDiv w:val="1"/>
      <w:marLeft w:val="0"/>
      <w:marRight w:val="0"/>
      <w:marTop w:val="0"/>
      <w:marBottom w:val="0"/>
      <w:divBdr>
        <w:top w:val="none" w:sz="0" w:space="0" w:color="auto"/>
        <w:left w:val="none" w:sz="0" w:space="0" w:color="auto"/>
        <w:bottom w:val="none" w:sz="0" w:space="0" w:color="auto"/>
        <w:right w:val="none" w:sz="0" w:space="0" w:color="auto"/>
      </w:divBdr>
    </w:div>
    <w:div w:id="1148207122">
      <w:bodyDiv w:val="1"/>
      <w:marLeft w:val="0"/>
      <w:marRight w:val="0"/>
      <w:marTop w:val="0"/>
      <w:marBottom w:val="0"/>
      <w:divBdr>
        <w:top w:val="none" w:sz="0" w:space="0" w:color="auto"/>
        <w:left w:val="none" w:sz="0" w:space="0" w:color="auto"/>
        <w:bottom w:val="none" w:sz="0" w:space="0" w:color="auto"/>
        <w:right w:val="none" w:sz="0" w:space="0" w:color="auto"/>
      </w:divBdr>
    </w:div>
    <w:div w:id="1148597149">
      <w:bodyDiv w:val="1"/>
      <w:marLeft w:val="0"/>
      <w:marRight w:val="0"/>
      <w:marTop w:val="0"/>
      <w:marBottom w:val="0"/>
      <w:divBdr>
        <w:top w:val="none" w:sz="0" w:space="0" w:color="auto"/>
        <w:left w:val="none" w:sz="0" w:space="0" w:color="auto"/>
        <w:bottom w:val="none" w:sz="0" w:space="0" w:color="auto"/>
        <w:right w:val="none" w:sz="0" w:space="0" w:color="auto"/>
      </w:divBdr>
    </w:div>
    <w:div w:id="1150097153">
      <w:bodyDiv w:val="1"/>
      <w:marLeft w:val="0"/>
      <w:marRight w:val="0"/>
      <w:marTop w:val="0"/>
      <w:marBottom w:val="0"/>
      <w:divBdr>
        <w:top w:val="none" w:sz="0" w:space="0" w:color="auto"/>
        <w:left w:val="none" w:sz="0" w:space="0" w:color="auto"/>
        <w:bottom w:val="none" w:sz="0" w:space="0" w:color="auto"/>
        <w:right w:val="none" w:sz="0" w:space="0" w:color="auto"/>
      </w:divBdr>
    </w:div>
    <w:div w:id="1150294265">
      <w:bodyDiv w:val="1"/>
      <w:marLeft w:val="0"/>
      <w:marRight w:val="0"/>
      <w:marTop w:val="0"/>
      <w:marBottom w:val="0"/>
      <w:divBdr>
        <w:top w:val="none" w:sz="0" w:space="0" w:color="auto"/>
        <w:left w:val="none" w:sz="0" w:space="0" w:color="auto"/>
        <w:bottom w:val="none" w:sz="0" w:space="0" w:color="auto"/>
        <w:right w:val="none" w:sz="0" w:space="0" w:color="auto"/>
      </w:divBdr>
    </w:div>
    <w:div w:id="1151017431">
      <w:bodyDiv w:val="1"/>
      <w:marLeft w:val="0"/>
      <w:marRight w:val="0"/>
      <w:marTop w:val="0"/>
      <w:marBottom w:val="0"/>
      <w:divBdr>
        <w:top w:val="none" w:sz="0" w:space="0" w:color="auto"/>
        <w:left w:val="none" w:sz="0" w:space="0" w:color="auto"/>
        <w:bottom w:val="none" w:sz="0" w:space="0" w:color="auto"/>
        <w:right w:val="none" w:sz="0" w:space="0" w:color="auto"/>
      </w:divBdr>
    </w:div>
    <w:div w:id="1151018143">
      <w:bodyDiv w:val="1"/>
      <w:marLeft w:val="0"/>
      <w:marRight w:val="0"/>
      <w:marTop w:val="0"/>
      <w:marBottom w:val="0"/>
      <w:divBdr>
        <w:top w:val="none" w:sz="0" w:space="0" w:color="auto"/>
        <w:left w:val="none" w:sz="0" w:space="0" w:color="auto"/>
        <w:bottom w:val="none" w:sz="0" w:space="0" w:color="auto"/>
        <w:right w:val="none" w:sz="0" w:space="0" w:color="auto"/>
      </w:divBdr>
    </w:div>
    <w:div w:id="1151290738">
      <w:bodyDiv w:val="1"/>
      <w:marLeft w:val="0"/>
      <w:marRight w:val="0"/>
      <w:marTop w:val="0"/>
      <w:marBottom w:val="0"/>
      <w:divBdr>
        <w:top w:val="none" w:sz="0" w:space="0" w:color="auto"/>
        <w:left w:val="none" w:sz="0" w:space="0" w:color="auto"/>
        <w:bottom w:val="none" w:sz="0" w:space="0" w:color="auto"/>
        <w:right w:val="none" w:sz="0" w:space="0" w:color="auto"/>
      </w:divBdr>
    </w:div>
    <w:div w:id="1151822539">
      <w:bodyDiv w:val="1"/>
      <w:marLeft w:val="0"/>
      <w:marRight w:val="0"/>
      <w:marTop w:val="0"/>
      <w:marBottom w:val="0"/>
      <w:divBdr>
        <w:top w:val="none" w:sz="0" w:space="0" w:color="auto"/>
        <w:left w:val="none" w:sz="0" w:space="0" w:color="auto"/>
        <w:bottom w:val="none" w:sz="0" w:space="0" w:color="auto"/>
        <w:right w:val="none" w:sz="0" w:space="0" w:color="auto"/>
      </w:divBdr>
    </w:div>
    <w:div w:id="1152718259">
      <w:bodyDiv w:val="1"/>
      <w:marLeft w:val="0"/>
      <w:marRight w:val="0"/>
      <w:marTop w:val="0"/>
      <w:marBottom w:val="0"/>
      <w:divBdr>
        <w:top w:val="none" w:sz="0" w:space="0" w:color="auto"/>
        <w:left w:val="none" w:sz="0" w:space="0" w:color="auto"/>
        <w:bottom w:val="none" w:sz="0" w:space="0" w:color="auto"/>
        <w:right w:val="none" w:sz="0" w:space="0" w:color="auto"/>
      </w:divBdr>
    </w:div>
    <w:div w:id="1153134508">
      <w:bodyDiv w:val="1"/>
      <w:marLeft w:val="0"/>
      <w:marRight w:val="0"/>
      <w:marTop w:val="0"/>
      <w:marBottom w:val="0"/>
      <w:divBdr>
        <w:top w:val="none" w:sz="0" w:space="0" w:color="auto"/>
        <w:left w:val="none" w:sz="0" w:space="0" w:color="auto"/>
        <w:bottom w:val="none" w:sz="0" w:space="0" w:color="auto"/>
        <w:right w:val="none" w:sz="0" w:space="0" w:color="auto"/>
      </w:divBdr>
    </w:div>
    <w:div w:id="1153831684">
      <w:bodyDiv w:val="1"/>
      <w:marLeft w:val="0"/>
      <w:marRight w:val="0"/>
      <w:marTop w:val="0"/>
      <w:marBottom w:val="0"/>
      <w:divBdr>
        <w:top w:val="none" w:sz="0" w:space="0" w:color="auto"/>
        <w:left w:val="none" w:sz="0" w:space="0" w:color="auto"/>
        <w:bottom w:val="none" w:sz="0" w:space="0" w:color="auto"/>
        <w:right w:val="none" w:sz="0" w:space="0" w:color="auto"/>
      </w:divBdr>
    </w:div>
    <w:div w:id="1153910974">
      <w:bodyDiv w:val="1"/>
      <w:marLeft w:val="0"/>
      <w:marRight w:val="0"/>
      <w:marTop w:val="0"/>
      <w:marBottom w:val="0"/>
      <w:divBdr>
        <w:top w:val="none" w:sz="0" w:space="0" w:color="auto"/>
        <w:left w:val="none" w:sz="0" w:space="0" w:color="auto"/>
        <w:bottom w:val="none" w:sz="0" w:space="0" w:color="auto"/>
        <w:right w:val="none" w:sz="0" w:space="0" w:color="auto"/>
      </w:divBdr>
    </w:div>
    <w:div w:id="1154181136">
      <w:bodyDiv w:val="1"/>
      <w:marLeft w:val="0"/>
      <w:marRight w:val="0"/>
      <w:marTop w:val="0"/>
      <w:marBottom w:val="0"/>
      <w:divBdr>
        <w:top w:val="none" w:sz="0" w:space="0" w:color="auto"/>
        <w:left w:val="none" w:sz="0" w:space="0" w:color="auto"/>
        <w:bottom w:val="none" w:sz="0" w:space="0" w:color="auto"/>
        <w:right w:val="none" w:sz="0" w:space="0" w:color="auto"/>
      </w:divBdr>
    </w:div>
    <w:div w:id="1154418764">
      <w:bodyDiv w:val="1"/>
      <w:marLeft w:val="0"/>
      <w:marRight w:val="0"/>
      <w:marTop w:val="0"/>
      <w:marBottom w:val="0"/>
      <w:divBdr>
        <w:top w:val="none" w:sz="0" w:space="0" w:color="auto"/>
        <w:left w:val="none" w:sz="0" w:space="0" w:color="auto"/>
        <w:bottom w:val="none" w:sz="0" w:space="0" w:color="auto"/>
        <w:right w:val="none" w:sz="0" w:space="0" w:color="auto"/>
      </w:divBdr>
    </w:div>
    <w:div w:id="1154486477">
      <w:bodyDiv w:val="1"/>
      <w:marLeft w:val="0"/>
      <w:marRight w:val="0"/>
      <w:marTop w:val="0"/>
      <w:marBottom w:val="0"/>
      <w:divBdr>
        <w:top w:val="none" w:sz="0" w:space="0" w:color="auto"/>
        <w:left w:val="none" w:sz="0" w:space="0" w:color="auto"/>
        <w:bottom w:val="none" w:sz="0" w:space="0" w:color="auto"/>
        <w:right w:val="none" w:sz="0" w:space="0" w:color="auto"/>
      </w:divBdr>
    </w:div>
    <w:div w:id="1155100516">
      <w:bodyDiv w:val="1"/>
      <w:marLeft w:val="0"/>
      <w:marRight w:val="0"/>
      <w:marTop w:val="0"/>
      <w:marBottom w:val="0"/>
      <w:divBdr>
        <w:top w:val="none" w:sz="0" w:space="0" w:color="auto"/>
        <w:left w:val="none" w:sz="0" w:space="0" w:color="auto"/>
        <w:bottom w:val="none" w:sz="0" w:space="0" w:color="auto"/>
        <w:right w:val="none" w:sz="0" w:space="0" w:color="auto"/>
      </w:divBdr>
    </w:div>
    <w:div w:id="1155104642">
      <w:bodyDiv w:val="1"/>
      <w:marLeft w:val="0"/>
      <w:marRight w:val="0"/>
      <w:marTop w:val="0"/>
      <w:marBottom w:val="0"/>
      <w:divBdr>
        <w:top w:val="none" w:sz="0" w:space="0" w:color="auto"/>
        <w:left w:val="none" w:sz="0" w:space="0" w:color="auto"/>
        <w:bottom w:val="none" w:sz="0" w:space="0" w:color="auto"/>
        <w:right w:val="none" w:sz="0" w:space="0" w:color="auto"/>
      </w:divBdr>
    </w:div>
    <w:div w:id="1156533870">
      <w:bodyDiv w:val="1"/>
      <w:marLeft w:val="0"/>
      <w:marRight w:val="0"/>
      <w:marTop w:val="0"/>
      <w:marBottom w:val="0"/>
      <w:divBdr>
        <w:top w:val="none" w:sz="0" w:space="0" w:color="auto"/>
        <w:left w:val="none" w:sz="0" w:space="0" w:color="auto"/>
        <w:bottom w:val="none" w:sz="0" w:space="0" w:color="auto"/>
        <w:right w:val="none" w:sz="0" w:space="0" w:color="auto"/>
      </w:divBdr>
    </w:div>
    <w:div w:id="1156989865">
      <w:bodyDiv w:val="1"/>
      <w:marLeft w:val="0"/>
      <w:marRight w:val="0"/>
      <w:marTop w:val="0"/>
      <w:marBottom w:val="0"/>
      <w:divBdr>
        <w:top w:val="none" w:sz="0" w:space="0" w:color="auto"/>
        <w:left w:val="none" w:sz="0" w:space="0" w:color="auto"/>
        <w:bottom w:val="none" w:sz="0" w:space="0" w:color="auto"/>
        <w:right w:val="none" w:sz="0" w:space="0" w:color="auto"/>
      </w:divBdr>
    </w:div>
    <w:div w:id="1157066708">
      <w:bodyDiv w:val="1"/>
      <w:marLeft w:val="0"/>
      <w:marRight w:val="0"/>
      <w:marTop w:val="0"/>
      <w:marBottom w:val="0"/>
      <w:divBdr>
        <w:top w:val="none" w:sz="0" w:space="0" w:color="auto"/>
        <w:left w:val="none" w:sz="0" w:space="0" w:color="auto"/>
        <w:bottom w:val="none" w:sz="0" w:space="0" w:color="auto"/>
        <w:right w:val="none" w:sz="0" w:space="0" w:color="auto"/>
      </w:divBdr>
    </w:div>
    <w:div w:id="1157184509">
      <w:bodyDiv w:val="1"/>
      <w:marLeft w:val="0"/>
      <w:marRight w:val="0"/>
      <w:marTop w:val="0"/>
      <w:marBottom w:val="0"/>
      <w:divBdr>
        <w:top w:val="none" w:sz="0" w:space="0" w:color="auto"/>
        <w:left w:val="none" w:sz="0" w:space="0" w:color="auto"/>
        <w:bottom w:val="none" w:sz="0" w:space="0" w:color="auto"/>
        <w:right w:val="none" w:sz="0" w:space="0" w:color="auto"/>
      </w:divBdr>
    </w:div>
    <w:div w:id="1157191222">
      <w:bodyDiv w:val="1"/>
      <w:marLeft w:val="0"/>
      <w:marRight w:val="0"/>
      <w:marTop w:val="0"/>
      <w:marBottom w:val="0"/>
      <w:divBdr>
        <w:top w:val="none" w:sz="0" w:space="0" w:color="auto"/>
        <w:left w:val="none" w:sz="0" w:space="0" w:color="auto"/>
        <w:bottom w:val="none" w:sz="0" w:space="0" w:color="auto"/>
        <w:right w:val="none" w:sz="0" w:space="0" w:color="auto"/>
      </w:divBdr>
    </w:div>
    <w:div w:id="1157694149">
      <w:bodyDiv w:val="1"/>
      <w:marLeft w:val="0"/>
      <w:marRight w:val="0"/>
      <w:marTop w:val="0"/>
      <w:marBottom w:val="0"/>
      <w:divBdr>
        <w:top w:val="none" w:sz="0" w:space="0" w:color="auto"/>
        <w:left w:val="none" w:sz="0" w:space="0" w:color="auto"/>
        <w:bottom w:val="none" w:sz="0" w:space="0" w:color="auto"/>
        <w:right w:val="none" w:sz="0" w:space="0" w:color="auto"/>
      </w:divBdr>
    </w:div>
    <w:div w:id="1157914320">
      <w:bodyDiv w:val="1"/>
      <w:marLeft w:val="0"/>
      <w:marRight w:val="0"/>
      <w:marTop w:val="0"/>
      <w:marBottom w:val="0"/>
      <w:divBdr>
        <w:top w:val="none" w:sz="0" w:space="0" w:color="auto"/>
        <w:left w:val="none" w:sz="0" w:space="0" w:color="auto"/>
        <w:bottom w:val="none" w:sz="0" w:space="0" w:color="auto"/>
        <w:right w:val="none" w:sz="0" w:space="0" w:color="auto"/>
      </w:divBdr>
    </w:div>
    <w:div w:id="1158107427">
      <w:bodyDiv w:val="1"/>
      <w:marLeft w:val="0"/>
      <w:marRight w:val="0"/>
      <w:marTop w:val="0"/>
      <w:marBottom w:val="0"/>
      <w:divBdr>
        <w:top w:val="none" w:sz="0" w:space="0" w:color="auto"/>
        <w:left w:val="none" w:sz="0" w:space="0" w:color="auto"/>
        <w:bottom w:val="none" w:sz="0" w:space="0" w:color="auto"/>
        <w:right w:val="none" w:sz="0" w:space="0" w:color="auto"/>
      </w:divBdr>
    </w:div>
    <w:div w:id="1158115769">
      <w:bodyDiv w:val="1"/>
      <w:marLeft w:val="0"/>
      <w:marRight w:val="0"/>
      <w:marTop w:val="0"/>
      <w:marBottom w:val="0"/>
      <w:divBdr>
        <w:top w:val="none" w:sz="0" w:space="0" w:color="auto"/>
        <w:left w:val="none" w:sz="0" w:space="0" w:color="auto"/>
        <w:bottom w:val="none" w:sz="0" w:space="0" w:color="auto"/>
        <w:right w:val="none" w:sz="0" w:space="0" w:color="auto"/>
      </w:divBdr>
    </w:div>
    <w:div w:id="1158304098">
      <w:bodyDiv w:val="1"/>
      <w:marLeft w:val="0"/>
      <w:marRight w:val="0"/>
      <w:marTop w:val="0"/>
      <w:marBottom w:val="0"/>
      <w:divBdr>
        <w:top w:val="none" w:sz="0" w:space="0" w:color="auto"/>
        <w:left w:val="none" w:sz="0" w:space="0" w:color="auto"/>
        <w:bottom w:val="none" w:sz="0" w:space="0" w:color="auto"/>
        <w:right w:val="none" w:sz="0" w:space="0" w:color="auto"/>
      </w:divBdr>
    </w:div>
    <w:div w:id="1158889331">
      <w:bodyDiv w:val="1"/>
      <w:marLeft w:val="0"/>
      <w:marRight w:val="0"/>
      <w:marTop w:val="0"/>
      <w:marBottom w:val="0"/>
      <w:divBdr>
        <w:top w:val="none" w:sz="0" w:space="0" w:color="auto"/>
        <w:left w:val="none" w:sz="0" w:space="0" w:color="auto"/>
        <w:bottom w:val="none" w:sz="0" w:space="0" w:color="auto"/>
        <w:right w:val="none" w:sz="0" w:space="0" w:color="auto"/>
      </w:divBdr>
    </w:div>
    <w:div w:id="1159080545">
      <w:bodyDiv w:val="1"/>
      <w:marLeft w:val="0"/>
      <w:marRight w:val="0"/>
      <w:marTop w:val="0"/>
      <w:marBottom w:val="0"/>
      <w:divBdr>
        <w:top w:val="none" w:sz="0" w:space="0" w:color="auto"/>
        <w:left w:val="none" w:sz="0" w:space="0" w:color="auto"/>
        <w:bottom w:val="none" w:sz="0" w:space="0" w:color="auto"/>
        <w:right w:val="none" w:sz="0" w:space="0" w:color="auto"/>
      </w:divBdr>
    </w:div>
    <w:div w:id="1159226145">
      <w:bodyDiv w:val="1"/>
      <w:marLeft w:val="0"/>
      <w:marRight w:val="0"/>
      <w:marTop w:val="0"/>
      <w:marBottom w:val="0"/>
      <w:divBdr>
        <w:top w:val="none" w:sz="0" w:space="0" w:color="auto"/>
        <w:left w:val="none" w:sz="0" w:space="0" w:color="auto"/>
        <w:bottom w:val="none" w:sz="0" w:space="0" w:color="auto"/>
        <w:right w:val="none" w:sz="0" w:space="0" w:color="auto"/>
      </w:divBdr>
    </w:div>
    <w:div w:id="1159462953">
      <w:bodyDiv w:val="1"/>
      <w:marLeft w:val="0"/>
      <w:marRight w:val="0"/>
      <w:marTop w:val="0"/>
      <w:marBottom w:val="0"/>
      <w:divBdr>
        <w:top w:val="none" w:sz="0" w:space="0" w:color="auto"/>
        <w:left w:val="none" w:sz="0" w:space="0" w:color="auto"/>
        <w:bottom w:val="none" w:sz="0" w:space="0" w:color="auto"/>
        <w:right w:val="none" w:sz="0" w:space="0" w:color="auto"/>
      </w:divBdr>
    </w:div>
    <w:div w:id="1159537138">
      <w:bodyDiv w:val="1"/>
      <w:marLeft w:val="0"/>
      <w:marRight w:val="0"/>
      <w:marTop w:val="0"/>
      <w:marBottom w:val="0"/>
      <w:divBdr>
        <w:top w:val="none" w:sz="0" w:space="0" w:color="auto"/>
        <w:left w:val="none" w:sz="0" w:space="0" w:color="auto"/>
        <w:bottom w:val="none" w:sz="0" w:space="0" w:color="auto"/>
        <w:right w:val="none" w:sz="0" w:space="0" w:color="auto"/>
      </w:divBdr>
    </w:div>
    <w:div w:id="1159729038">
      <w:bodyDiv w:val="1"/>
      <w:marLeft w:val="0"/>
      <w:marRight w:val="0"/>
      <w:marTop w:val="0"/>
      <w:marBottom w:val="0"/>
      <w:divBdr>
        <w:top w:val="none" w:sz="0" w:space="0" w:color="auto"/>
        <w:left w:val="none" w:sz="0" w:space="0" w:color="auto"/>
        <w:bottom w:val="none" w:sz="0" w:space="0" w:color="auto"/>
        <w:right w:val="none" w:sz="0" w:space="0" w:color="auto"/>
      </w:divBdr>
    </w:div>
    <w:div w:id="1160002658">
      <w:bodyDiv w:val="1"/>
      <w:marLeft w:val="0"/>
      <w:marRight w:val="0"/>
      <w:marTop w:val="0"/>
      <w:marBottom w:val="0"/>
      <w:divBdr>
        <w:top w:val="none" w:sz="0" w:space="0" w:color="auto"/>
        <w:left w:val="none" w:sz="0" w:space="0" w:color="auto"/>
        <w:bottom w:val="none" w:sz="0" w:space="0" w:color="auto"/>
        <w:right w:val="none" w:sz="0" w:space="0" w:color="auto"/>
      </w:divBdr>
    </w:div>
    <w:div w:id="1160543605">
      <w:bodyDiv w:val="1"/>
      <w:marLeft w:val="0"/>
      <w:marRight w:val="0"/>
      <w:marTop w:val="0"/>
      <w:marBottom w:val="0"/>
      <w:divBdr>
        <w:top w:val="none" w:sz="0" w:space="0" w:color="auto"/>
        <w:left w:val="none" w:sz="0" w:space="0" w:color="auto"/>
        <w:bottom w:val="none" w:sz="0" w:space="0" w:color="auto"/>
        <w:right w:val="none" w:sz="0" w:space="0" w:color="auto"/>
      </w:divBdr>
    </w:div>
    <w:div w:id="1160658993">
      <w:bodyDiv w:val="1"/>
      <w:marLeft w:val="0"/>
      <w:marRight w:val="0"/>
      <w:marTop w:val="0"/>
      <w:marBottom w:val="0"/>
      <w:divBdr>
        <w:top w:val="none" w:sz="0" w:space="0" w:color="auto"/>
        <w:left w:val="none" w:sz="0" w:space="0" w:color="auto"/>
        <w:bottom w:val="none" w:sz="0" w:space="0" w:color="auto"/>
        <w:right w:val="none" w:sz="0" w:space="0" w:color="auto"/>
      </w:divBdr>
    </w:div>
    <w:div w:id="1160727831">
      <w:bodyDiv w:val="1"/>
      <w:marLeft w:val="0"/>
      <w:marRight w:val="0"/>
      <w:marTop w:val="0"/>
      <w:marBottom w:val="0"/>
      <w:divBdr>
        <w:top w:val="none" w:sz="0" w:space="0" w:color="auto"/>
        <w:left w:val="none" w:sz="0" w:space="0" w:color="auto"/>
        <w:bottom w:val="none" w:sz="0" w:space="0" w:color="auto"/>
        <w:right w:val="none" w:sz="0" w:space="0" w:color="auto"/>
      </w:divBdr>
    </w:div>
    <w:div w:id="1161046716">
      <w:bodyDiv w:val="1"/>
      <w:marLeft w:val="0"/>
      <w:marRight w:val="0"/>
      <w:marTop w:val="0"/>
      <w:marBottom w:val="0"/>
      <w:divBdr>
        <w:top w:val="none" w:sz="0" w:space="0" w:color="auto"/>
        <w:left w:val="none" w:sz="0" w:space="0" w:color="auto"/>
        <w:bottom w:val="none" w:sz="0" w:space="0" w:color="auto"/>
        <w:right w:val="none" w:sz="0" w:space="0" w:color="auto"/>
      </w:divBdr>
    </w:div>
    <w:div w:id="1161237592">
      <w:bodyDiv w:val="1"/>
      <w:marLeft w:val="0"/>
      <w:marRight w:val="0"/>
      <w:marTop w:val="0"/>
      <w:marBottom w:val="0"/>
      <w:divBdr>
        <w:top w:val="none" w:sz="0" w:space="0" w:color="auto"/>
        <w:left w:val="none" w:sz="0" w:space="0" w:color="auto"/>
        <w:bottom w:val="none" w:sz="0" w:space="0" w:color="auto"/>
        <w:right w:val="none" w:sz="0" w:space="0" w:color="auto"/>
      </w:divBdr>
    </w:div>
    <w:div w:id="1161308149">
      <w:bodyDiv w:val="1"/>
      <w:marLeft w:val="0"/>
      <w:marRight w:val="0"/>
      <w:marTop w:val="0"/>
      <w:marBottom w:val="0"/>
      <w:divBdr>
        <w:top w:val="none" w:sz="0" w:space="0" w:color="auto"/>
        <w:left w:val="none" w:sz="0" w:space="0" w:color="auto"/>
        <w:bottom w:val="none" w:sz="0" w:space="0" w:color="auto"/>
        <w:right w:val="none" w:sz="0" w:space="0" w:color="auto"/>
      </w:divBdr>
    </w:div>
    <w:div w:id="1161657668">
      <w:bodyDiv w:val="1"/>
      <w:marLeft w:val="0"/>
      <w:marRight w:val="0"/>
      <w:marTop w:val="0"/>
      <w:marBottom w:val="0"/>
      <w:divBdr>
        <w:top w:val="none" w:sz="0" w:space="0" w:color="auto"/>
        <w:left w:val="none" w:sz="0" w:space="0" w:color="auto"/>
        <w:bottom w:val="none" w:sz="0" w:space="0" w:color="auto"/>
        <w:right w:val="none" w:sz="0" w:space="0" w:color="auto"/>
      </w:divBdr>
    </w:div>
    <w:div w:id="1161892740">
      <w:bodyDiv w:val="1"/>
      <w:marLeft w:val="0"/>
      <w:marRight w:val="0"/>
      <w:marTop w:val="0"/>
      <w:marBottom w:val="0"/>
      <w:divBdr>
        <w:top w:val="none" w:sz="0" w:space="0" w:color="auto"/>
        <w:left w:val="none" w:sz="0" w:space="0" w:color="auto"/>
        <w:bottom w:val="none" w:sz="0" w:space="0" w:color="auto"/>
        <w:right w:val="none" w:sz="0" w:space="0" w:color="auto"/>
      </w:divBdr>
    </w:div>
    <w:div w:id="1162357028">
      <w:bodyDiv w:val="1"/>
      <w:marLeft w:val="0"/>
      <w:marRight w:val="0"/>
      <w:marTop w:val="0"/>
      <w:marBottom w:val="0"/>
      <w:divBdr>
        <w:top w:val="none" w:sz="0" w:space="0" w:color="auto"/>
        <w:left w:val="none" w:sz="0" w:space="0" w:color="auto"/>
        <w:bottom w:val="none" w:sz="0" w:space="0" w:color="auto"/>
        <w:right w:val="none" w:sz="0" w:space="0" w:color="auto"/>
      </w:divBdr>
    </w:div>
    <w:div w:id="1162772145">
      <w:bodyDiv w:val="1"/>
      <w:marLeft w:val="0"/>
      <w:marRight w:val="0"/>
      <w:marTop w:val="0"/>
      <w:marBottom w:val="0"/>
      <w:divBdr>
        <w:top w:val="none" w:sz="0" w:space="0" w:color="auto"/>
        <w:left w:val="none" w:sz="0" w:space="0" w:color="auto"/>
        <w:bottom w:val="none" w:sz="0" w:space="0" w:color="auto"/>
        <w:right w:val="none" w:sz="0" w:space="0" w:color="auto"/>
      </w:divBdr>
    </w:div>
    <w:div w:id="1163397475">
      <w:bodyDiv w:val="1"/>
      <w:marLeft w:val="0"/>
      <w:marRight w:val="0"/>
      <w:marTop w:val="0"/>
      <w:marBottom w:val="0"/>
      <w:divBdr>
        <w:top w:val="none" w:sz="0" w:space="0" w:color="auto"/>
        <w:left w:val="none" w:sz="0" w:space="0" w:color="auto"/>
        <w:bottom w:val="none" w:sz="0" w:space="0" w:color="auto"/>
        <w:right w:val="none" w:sz="0" w:space="0" w:color="auto"/>
      </w:divBdr>
    </w:div>
    <w:div w:id="1163426211">
      <w:bodyDiv w:val="1"/>
      <w:marLeft w:val="0"/>
      <w:marRight w:val="0"/>
      <w:marTop w:val="0"/>
      <w:marBottom w:val="0"/>
      <w:divBdr>
        <w:top w:val="none" w:sz="0" w:space="0" w:color="auto"/>
        <w:left w:val="none" w:sz="0" w:space="0" w:color="auto"/>
        <w:bottom w:val="none" w:sz="0" w:space="0" w:color="auto"/>
        <w:right w:val="none" w:sz="0" w:space="0" w:color="auto"/>
      </w:divBdr>
    </w:div>
    <w:div w:id="1164124491">
      <w:bodyDiv w:val="1"/>
      <w:marLeft w:val="0"/>
      <w:marRight w:val="0"/>
      <w:marTop w:val="0"/>
      <w:marBottom w:val="0"/>
      <w:divBdr>
        <w:top w:val="none" w:sz="0" w:space="0" w:color="auto"/>
        <w:left w:val="none" w:sz="0" w:space="0" w:color="auto"/>
        <w:bottom w:val="none" w:sz="0" w:space="0" w:color="auto"/>
        <w:right w:val="none" w:sz="0" w:space="0" w:color="auto"/>
      </w:divBdr>
    </w:div>
    <w:div w:id="1164248102">
      <w:bodyDiv w:val="1"/>
      <w:marLeft w:val="0"/>
      <w:marRight w:val="0"/>
      <w:marTop w:val="0"/>
      <w:marBottom w:val="0"/>
      <w:divBdr>
        <w:top w:val="none" w:sz="0" w:space="0" w:color="auto"/>
        <w:left w:val="none" w:sz="0" w:space="0" w:color="auto"/>
        <w:bottom w:val="none" w:sz="0" w:space="0" w:color="auto"/>
        <w:right w:val="none" w:sz="0" w:space="0" w:color="auto"/>
      </w:divBdr>
    </w:div>
    <w:div w:id="1164904580">
      <w:bodyDiv w:val="1"/>
      <w:marLeft w:val="0"/>
      <w:marRight w:val="0"/>
      <w:marTop w:val="0"/>
      <w:marBottom w:val="0"/>
      <w:divBdr>
        <w:top w:val="none" w:sz="0" w:space="0" w:color="auto"/>
        <w:left w:val="none" w:sz="0" w:space="0" w:color="auto"/>
        <w:bottom w:val="none" w:sz="0" w:space="0" w:color="auto"/>
        <w:right w:val="none" w:sz="0" w:space="0" w:color="auto"/>
      </w:divBdr>
    </w:div>
    <w:div w:id="1165045937">
      <w:bodyDiv w:val="1"/>
      <w:marLeft w:val="0"/>
      <w:marRight w:val="0"/>
      <w:marTop w:val="0"/>
      <w:marBottom w:val="0"/>
      <w:divBdr>
        <w:top w:val="none" w:sz="0" w:space="0" w:color="auto"/>
        <w:left w:val="none" w:sz="0" w:space="0" w:color="auto"/>
        <w:bottom w:val="none" w:sz="0" w:space="0" w:color="auto"/>
        <w:right w:val="none" w:sz="0" w:space="0" w:color="auto"/>
      </w:divBdr>
    </w:div>
    <w:div w:id="1165247545">
      <w:bodyDiv w:val="1"/>
      <w:marLeft w:val="0"/>
      <w:marRight w:val="0"/>
      <w:marTop w:val="0"/>
      <w:marBottom w:val="0"/>
      <w:divBdr>
        <w:top w:val="none" w:sz="0" w:space="0" w:color="auto"/>
        <w:left w:val="none" w:sz="0" w:space="0" w:color="auto"/>
        <w:bottom w:val="none" w:sz="0" w:space="0" w:color="auto"/>
        <w:right w:val="none" w:sz="0" w:space="0" w:color="auto"/>
      </w:divBdr>
    </w:div>
    <w:div w:id="1165436677">
      <w:bodyDiv w:val="1"/>
      <w:marLeft w:val="0"/>
      <w:marRight w:val="0"/>
      <w:marTop w:val="0"/>
      <w:marBottom w:val="0"/>
      <w:divBdr>
        <w:top w:val="none" w:sz="0" w:space="0" w:color="auto"/>
        <w:left w:val="none" w:sz="0" w:space="0" w:color="auto"/>
        <w:bottom w:val="none" w:sz="0" w:space="0" w:color="auto"/>
        <w:right w:val="none" w:sz="0" w:space="0" w:color="auto"/>
      </w:divBdr>
    </w:div>
    <w:div w:id="1165780492">
      <w:bodyDiv w:val="1"/>
      <w:marLeft w:val="0"/>
      <w:marRight w:val="0"/>
      <w:marTop w:val="0"/>
      <w:marBottom w:val="0"/>
      <w:divBdr>
        <w:top w:val="none" w:sz="0" w:space="0" w:color="auto"/>
        <w:left w:val="none" w:sz="0" w:space="0" w:color="auto"/>
        <w:bottom w:val="none" w:sz="0" w:space="0" w:color="auto"/>
        <w:right w:val="none" w:sz="0" w:space="0" w:color="auto"/>
      </w:divBdr>
    </w:div>
    <w:div w:id="1166557874">
      <w:bodyDiv w:val="1"/>
      <w:marLeft w:val="0"/>
      <w:marRight w:val="0"/>
      <w:marTop w:val="0"/>
      <w:marBottom w:val="0"/>
      <w:divBdr>
        <w:top w:val="none" w:sz="0" w:space="0" w:color="auto"/>
        <w:left w:val="none" w:sz="0" w:space="0" w:color="auto"/>
        <w:bottom w:val="none" w:sz="0" w:space="0" w:color="auto"/>
        <w:right w:val="none" w:sz="0" w:space="0" w:color="auto"/>
      </w:divBdr>
    </w:div>
    <w:div w:id="1166751854">
      <w:bodyDiv w:val="1"/>
      <w:marLeft w:val="0"/>
      <w:marRight w:val="0"/>
      <w:marTop w:val="0"/>
      <w:marBottom w:val="0"/>
      <w:divBdr>
        <w:top w:val="none" w:sz="0" w:space="0" w:color="auto"/>
        <w:left w:val="none" w:sz="0" w:space="0" w:color="auto"/>
        <w:bottom w:val="none" w:sz="0" w:space="0" w:color="auto"/>
        <w:right w:val="none" w:sz="0" w:space="0" w:color="auto"/>
      </w:divBdr>
    </w:div>
    <w:div w:id="1166942855">
      <w:bodyDiv w:val="1"/>
      <w:marLeft w:val="0"/>
      <w:marRight w:val="0"/>
      <w:marTop w:val="0"/>
      <w:marBottom w:val="0"/>
      <w:divBdr>
        <w:top w:val="none" w:sz="0" w:space="0" w:color="auto"/>
        <w:left w:val="none" w:sz="0" w:space="0" w:color="auto"/>
        <w:bottom w:val="none" w:sz="0" w:space="0" w:color="auto"/>
        <w:right w:val="none" w:sz="0" w:space="0" w:color="auto"/>
      </w:divBdr>
    </w:div>
    <w:div w:id="1167985358">
      <w:bodyDiv w:val="1"/>
      <w:marLeft w:val="0"/>
      <w:marRight w:val="0"/>
      <w:marTop w:val="0"/>
      <w:marBottom w:val="0"/>
      <w:divBdr>
        <w:top w:val="none" w:sz="0" w:space="0" w:color="auto"/>
        <w:left w:val="none" w:sz="0" w:space="0" w:color="auto"/>
        <w:bottom w:val="none" w:sz="0" w:space="0" w:color="auto"/>
        <w:right w:val="none" w:sz="0" w:space="0" w:color="auto"/>
      </w:divBdr>
    </w:div>
    <w:div w:id="1168328651">
      <w:bodyDiv w:val="1"/>
      <w:marLeft w:val="0"/>
      <w:marRight w:val="0"/>
      <w:marTop w:val="0"/>
      <w:marBottom w:val="0"/>
      <w:divBdr>
        <w:top w:val="none" w:sz="0" w:space="0" w:color="auto"/>
        <w:left w:val="none" w:sz="0" w:space="0" w:color="auto"/>
        <w:bottom w:val="none" w:sz="0" w:space="0" w:color="auto"/>
        <w:right w:val="none" w:sz="0" w:space="0" w:color="auto"/>
      </w:divBdr>
    </w:div>
    <w:div w:id="1168642708">
      <w:bodyDiv w:val="1"/>
      <w:marLeft w:val="0"/>
      <w:marRight w:val="0"/>
      <w:marTop w:val="0"/>
      <w:marBottom w:val="0"/>
      <w:divBdr>
        <w:top w:val="none" w:sz="0" w:space="0" w:color="auto"/>
        <w:left w:val="none" w:sz="0" w:space="0" w:color="auto"/>
        <w:bottom w:val="none" w:sz="0" w:space="0" w:color="auto"/>
        <w:right w:val="none" w:sz="0" w:space="0" w:color="auto"/>
      </w:divBdr>
    </w:div>
    <w:div w:id="1168713506">
      <w:bodyDiv w:val="1"/>
      <w:marLeft w:val="0"/>
      <w:marRight w:val="0"/>
      <w:marTop w:val="0"/>
      <w:marBottom w:val="0"/>
      <w:divBdr>
        <w:top w:val="none" w:sz="0" w:space="0" w:color="auto"/>
        <w:left w:val="none" w:sz="0" w:space="0" w:color="auto"/>
        <w:bottom w:val="none" w:sz="0" w:space="0" w:color="auto"/>
        <w:right w:val="none" w:sz="0" w:space="0" w:color="auto"/>
      </w:divBdr>
    </w:div>
    <w:div w:id="1168790328">
      <w:bodyDiv w:val="1"/>
      <w:marLeft w:val="0"/>
      <w:marRight w:val="0"/>
      <w:marTop w:val="0"/>
      <w:marBottom w:val="0"/>
      <w:divBdr>
        <w:top w:val="none" w:sz="0" w:space="0" w:color="auto"/>
        <w:left w:val="none" w:sz="0" w:space="0" w:color="auto"/>
        <w:bottom w:val="none" w:sz="0" w:space="0" w:color="auto"/>
        <w:right w:val="none" w:sz="0" w:space="0" w:color="auto"/>
      </w:divBdr>
    </w:div>
    <w:div w:id="1169061661">
      <w:bodyDiv w:val="1"/>
      <w:marLeft w:val="0"/>
      <w:marRight w:val="0"/>
      <w:marTop w:val="0"/>
      <w:marBottom w:val="0"/>
      <w:divBdr>
        <w:top w:val="none" w:sz="0" w:space="0" w:color="auto"/>
        <w:left w:val="none" w:sz="0" w:space="0" w:color="auto"/>
        <w:bottom w:val="none" w:sz="0" w:space="0" w:color="auto"/>
        <w:right w:val="none" w:sz="0" w:space="0" w:color="auto"/>
      </w:divBdr>
    </w:div>
    <w:div w:id="1169101688">
      <w:bodyDiv w:val="1"/>
      <w:marLeft w:val="0"/>
      <w:marRight w:val="0"/>
      <w:marTop w:val="0"/>
      <w:marBottom w:val="0"/>
      <w:divBdr>
        <w:top w:val="none" w:sz="0" w:space="0" w:color="auto"/>
        <w:left w:val="none" w:sz="0" w:space="0" w:color="auto"/>
        <w:bottom w:val="none" w:sz="0" w:space="0" w:color="auto"/>
        <w:right w:val="none" w:sz="0" w:space="0" w:color="auto"/>
      </w:divBdr>
    </w:div>
    <w:div w:id="1169179958">
      <w:bodyDiv w:val="1"/>
      <w:marLeft w:val="0"/>
      <w:marRight w:val="0"/>
      <w:marTop w:val="0"/>
      <w:marBottom w:val="0"/>
      <w:divBdr>
        <w:top w:val="none" w:sz="0" w:space="0" w:color="auto"/>
        <w:left w:val="none" w:sz="0" w:space="0" w:color="auto"/>
        <w:bottom w:val="none" w:sz="0" w:space="0" w:color="auto"/>
        <w:right w:val="none" w:sz="0" w:space="0" w:color="auto"/>
      </w:divBdr>
    </w:div>
    <w:div w:id="1169324823">
      <w:bodyDiv w:val="1"/>
      <w:marLeft w:val="0"/>
      <w:marRight w:val="0"/>
      <w:marTop w:val="0"/>
      <w:marBottom w:val="0"/>
      <w:divBdr>
        <w:top w:val="none" w:sz="0" w:space="0" w:color="auto"/>
        <w:left w:val="none" w:sz="0" w:space="0" w:color="auto"/>
        <w:bottom w:val="none" w:sz="0" w:space="0" w:color="auto"/>
        <w:right w:val="none" w:sz="0" w:space="0" w:color="auto"/>
      </w:divBdr>
    </w:div>
    <w:div w:id="1169447568">
      <w:bodyDiv w:val="1"/>
      <w:marLeft w:val="0"/>
      <w:marRight w:val="0"/>
      <w:marTop w:val="0"/>
      <w:marBottom w:val="0"/>
      <w:divBdr>
        <w:top w:val="none" w:sz="0" w:space="0" w:color="auto"/>
        <w:left w:val="none" w:sz="0" w:space="0" w:color="auto"/>
        <w:bottom w:val="none" w:sz="0" w:space="0" w:color="auto"/>
        <w:right w:val="none" w:sz="0" w:space="0" w:color="auto"/>
      </w:divBdr>
    </w:div>
    <w:div w:id="1169826427">
      <w:bodyDiv w:val="1"/>
      <w:marLeft w:val="0"/>
      <w:marRight w:val="0"/>
      <w:marTop w:val="0"/>
      <w:marBottom w:val="0"/>
      <w:divBdr>
        <w:top w:val="none" w:sz="0" w:space="0" w:color="auto"/>
        <w:left w:val="none" w:sz="0" w:space="0" w:color="auto"/>
        <w:bottom w:val="none" w:sz="0" w:space="0" w:color="auto"/>
        <w:right w:val="none" w:sz="0" w:space="0" w:color="auto"/>
      </w:divBdr>
    </w:div>
    <w:div w:id="1170632607">
      <w:bodyDiv w:val="1"/>
      <w:marLeft w:val="0"/>
      <w:marRight w:val="0"/>
      <w:marTop w:val="0"/>
      <w:marBottom w:val="0"/>
      <w:divBdr>
        <w:top w:val="none" w:sz="0" w:space="0" w:color="auto"/>
        <w:left w:val="none" w:sz="0" w:space="0" w:color="auto"/>
        <w:bottom w:val="none" w:sz="0" w:space="0" w:color="auto"/>
        <w:right w:val="none" w:sz="0" w:space="0" w:color="auto"/>
      </w:divBdr>
    </w:div>
    <w:div w:id="1171214010">
      <w:bodyDiv w:val="1"/>
      <w:marLeft w:val="0"/>
      <w:marRight w:val="0"/>
      <w:marTop w:val="0"/>
      <w:marBottom w:val="0"/>
      <w:divBdr>
        <w:top w:val="none" w:sz="0" w:space="0" w:color="auto"/>
        <w:left w:val="none" w:sz="0" w:space="0" w:color="auto"/>
        <w:bottom w:val="none" w:sz="0" w:space="0" w:color="auto"/>
        <w:right w:val="none" w:sz="0" w:space="0" w:color="auto"/>
      </w:divBdr>
    </w:div>
    <w:div w:id="1171414335">
      <w:bodyDiv w:val="1"/>
      <w:marLeft w:val="0"/>
      <w:marRight w:val="0"/>
      <w:marTop w:val="0"/>
      <w:marBottom w:val="0"/>
      <w:divBdr>
        <w:top w:val="none" w:sz="0" w:space="0" w:color="auto"/>
        <w:left w:val="none" w:sz="0" w:space="0" w:color="auto"/>
        <w:bottom w:val="none" w:sz="0" w:space="0" w:color="auto"/>
        <w:right w:val="none" w:sz="0" w:space="0" w:color="auto"/>
      </w:divBdr>
    </w:div>
    <w:div w:id="1171602985">
      <w:bodyDiv w:val="1"/>
      <w:marLeft w:val="0"/>
      <w:marRight w:val="0"/>
      <w:marTop w:val="0"/>
      <w:marBottom w:val="0"/>
      <w:divBdr>
        <w:top w:val="none" w:sz="0" w:space="0" w:color="auto"/>
        <w:left w:val="none" w:sz="0" w:space="0" w:color="auto"/>
        <w:bottom w:val="none" w:sz="0" w:space="0" w:color="auto"/>
        <w:right w:val="none" w:sz="0" w:space="0" w:color="auto"/>
      </w:divBdr>
    </w:div>
    <w:div w:id="1171607517">
      <w:bodyDiv w:val="1"/>
      <w:marLeft w:val="0"/>
      <w:marRight w:val="0"/>
      <w:marTop w:val="0"/>
      <w:marBottom w:val="0"/>
      <w:divBdr>
        <w:top w:val="none" w:sz="0" w:space="0" w:color="auto"/>
        <w:left w:val="none" w:sz="0" w:space="0" w:color="auto"/>
        <w:bottom w:val="none" w:sz="0" w:space="0" w:color="auto"/>
        <w:right w:val="none" w:sz="0" w:space="0" w:color="auto"/>
      </w:divBdr>
    </w:div>
    <w:div w:id="1171870066">
      <w:bodyDiv w:val="1"/>
      <w:marLeft w:val="0"/>
      <w:marRight w:val="0"/>
      <w:marTop w:val="0"/>
      <w:marBottom w:val="0"/>
      <w:divBdr>
        <w:top w:val="none" w:sz="0" w:space="0" w:color="auto"/>
        <w:left w:val="none" w:sz="0" w:space="0" w:color="auto"/>
        <w:bottom w:val="none" w:sz="0" w:space="0" w:color="auto"/>
        <w:right w:val="none" w:sz="0" w:space="0" w:color="auto"/>
      </w:divBdr>
    </w:div>
    <w:div w:id="1172570716">
      <w:bodyDiv w:val="1"/>
      <w:marLeft w:val="0"/>
      <w:marRight w:val="0"/>
      <w:marTop w:val="0"/>
      <w:marBottom w:val="0"/>
      <w:divBdr>
        <w:top w:val="none" w:sz="0" w:space="0" w:color="auto"/>
        <w:left w:val="none" w:sz="0" w:space="0" w:color="auto"/>
        <w:bottom w:val="none" w:sz="0" w:space="0" w:color="auto"/>
        <w:right w:val="none" w:sz="0" w:space="0" w:color="auto"/>
      </w:divBdr>
    </w:div>
    <w:div w:id="1172795193">
      <w:bodyDiv w:val="1"/>
      <w:marLeft w:val="0"/>
      <w:marRight w:val="0"/>
      <w:marTop w:val="0"/>
      <w:marBottom w:val="0"/>
      <w:divBdr>
        <w:top w:val="none" w:sz="0" w:space="0" w:color="auto"/>
        <w:left w:val="none" w:sz="0" w:space="0" w:color="auto"/>
        <w:bottom w:val="none" w:sz="0" w:space="0" w:color="auto"/>
        <w:right w:val="none" w:sz="0" w:space="0" w:color="auto"/>
      </w:divBdr>
    </w:div>
    <w:div w:id="1173297404">
      <w:bodyDiv w:val="1"/>
      <w:marLeft w:val="0"/>
      <w:marRight w:val="0"/>
      <w:marTop w:val="0"/>
      <w:marBottom w:val="0"/>
      <w:divBdr>
        <w:top w:val="none" w:sz="0" w:space="0" w:color="auto"/>
        <w:left w:val="none" w:sz="0" w:space="0" w:color="auto"/>
        <w:bottom w:val="none" w:sz="0" w:space="0" w:color="auto"/>
        <w:right w:val="none" w:sz="0" w:space="0" w:color="auto"/>
      </w:divBdr>
    </w:div>
    <w:div w:id="1173568709">
      <w:bodyDiv w:val="1"/>
      <w:marLeft w:val="0"/>
      <w:marRight w:val="0"/>
      <w:marTop w:val="0"/>
      <w:marBottom w:val="0"/>
      <w:divBdr>
        <w:top w:val="none" w:sz="0" w:space="0" w:color="auto"/>
        <w:left w:val="none" w:sz="0" w:space="0" w:color="auto"/>
        <w:bottom w:val="none" w:sz="0" w:space="0" w:color="auto"/>
        <w:right w:val="none" w:sz="0" w:space="0" w:color="auto"/>
      </w:divBdr>
    </w:div>
    <w:div w:id="1174032478">
      <w:bodyDiv w:val="1"/>
      <w:marLeft w:val="0"/>
      <w:marRight w:val="0"/>
      <w:marTop w:val="0"/>
      <w:marBottom w:val="0"/>
      <w:divBdr>
        <w:top w:val="none" w:sz="0" w:space="0" w:color="auto"/>
        <w:left w:val="none" w:sz="0" w:space="0" w:color="auto"/>
        <w:bottom w:val="none" w:sz="0" w:space="0" w:color="auto"/>
        <w:right w:val="none" w:sz="0" w:space="0" w:color="auto"/>
      </w:divBdr>
    </w:div>
    <w:div w:id="1174223688">
      <w:bodyDiv w:val="1"/>
      <w:marLeft w:val="0"/>
      <w:marRight w:val="0"/>
      <w:marTop w:val="0"/>
      <w:marBottom w:val="0"/>
      <w:divBdr>
        <w:top w:val="none" w:sz="0" w:space="0" w:color="auto"/>
        <w:left w:val="none" w:sz="0" w:space="0" w:color="auto"/>
        <w:bottom w:val="none" w:sz="0" w:space="0" w:color="auto"/>
        <w:right w:val="none" w:sz="0" w:space="0" w:color="auto"/>
      </w:divBdr>
    </w:div>
    <w:div w:id="1174488837">
      <w:bodyDiv w:val="1"/>
      <w:marLeft w:val="0"/>
      <w:marRight w:val="0"/>
      <w:marTop w:val="0"/>
      <w:marBottom w:val="0"/>
      <w:divBdr>
        <w:top w:val="none" w:sz="0" w:space="0" w:color="auto"/>
        <w:left w:val="none" w:sz="0" w:space="0" w:color="auto"/>
        <w:bottom w:val="none" w:sz="0" w:space="0" w:color="auto"/>
        <w:right w:val="none" w:sz="0" w:space="0" w:color="auto"/>
      </w:divBdr>
    </w:div>
    <w:div w:id="1174761236">
      <w:bodyDiv w:val="1"/>
      <w:marLeft w:val="0"/>
      <w:marRight w:val="0"/>
      <w:marTop w:val="0"/>
      <w:marBottom w:val="0"/>
      <w:divBdr>
        <w:top w:val="none" w:sz="0" w:space="0" w:color="auto"/>
        <w:left w:val="none" w:sz="0" w:space="0" w:color="auto"/>
        <w:bottom w:val="none" w:sz="0" w:space="0" w:color="auto"/>
        <w:right w:val="none" w:sz="0" w:space="0" w:color="auto"/>
      </w:divBdr>
    </w:div>
    <w:div w:id="1175221541">
      <w:bodyDiv w:val="1"/>
      <w:marLeft w:val="0"/>
      <w:marRight w:val="0"/>
      <w:marTop w:val="0"/>
      <w:marBottom w:val="0"/>
      <w:divBdr>
        <w:top w:val="none" w:sz="0" w:space="0" w:color="auto"/>
        <w:left w:val="none" w:sz="0" w:space="0" w:color="auto"/>
        <w:bottom w:val="none" w:sz="0" w:space="0" w:color="auto"/>
        <w:right w:val="none" w:sz="0" w:space="0" w:color="auto"/>
      </w:divBdr>
    </w:div>
    <w:div w:id="1176071865">
      <w:bodyDiv w:val="1"/>
      <w:marLeft w:val="0"/>
      <w:marRight w:val="0"/>
      <w:marTop w:val="0"/>
      <w:marBottom w:val="0"/>
      <w:divBdr>
        <w:top w:val="none" w:sz="0" w:space="0" w:color="auto"/>
        <w:left w:val="none" w:sz="0" w:space="0" w:color="auto"/>
        <w:bottom w:val="none" w:sz="0" w:space="0" w:color="auto"/>
        <w:right w:val="none" w:sz="0" w:space="0" w:color="auto"/>
      </w:divBdr>
    </w:div>
    <w:div w:id="1176266536">
      <w:bodyDiv w:val="1"/>
      <w:marLeft w:val="0"/>
      <w:marRight w:val="0"/>
      <w:marTop w:val="0"/>
      <w:marBottom w:val="0"/>
      <w:divBdr>
        <w:top w:val="none" w:sz="0" w:space="0" w:color="auto"/>
        <w:left w:val="none" w:sz="0" w:space="0" w:color="auto"/>
        <w:bottom w:val="none" w:sz="0" w:space="0" w:color="auto"/>
        <w:right w:val="none" w:sz="0" w:space="0" w:color="auto"/>
      </w:divBdr>
    </w:div>
    <w:div w:id="1176765774">
      <w:bodyDiv w:val="1"/>
      <w:marLeft w:val="0"/>
      <w:marRight w:val="0"/>
      <w:marTop w:val="0"/>
      <w:marBottom w:val="0"/>
      <w:divBdr>
        <w:top w:val="none" w:sz="0" w:space="0" w:color="auto"/>
        <w:left w:val="none" w:sz="0" w:space="0" w:color="auto"/>
        <w:bottom w:val="none" w:sz="0" w:space="0" w:color="auto"/>
        <w:right w:val="none" w:sz="0" w:space="0" w:color="auto"/>
      </w:divBdr>
    </w:div>
    <w:div w:id="1176843059">
      <w:bodyDiv w:val="1"/>
      <w:marLeft w:val="0"/>
      <w:marRight w:val="0"/>
      <w:marTop w:val="0"/>
      <w:marBottom w:val="0"/>
      <w:divBdr>
        <w:top w:val="none" w:sz="0" w:space="0" w:color="auto"/>
        <w:left w:val="none" w:sz="0" w:space="0" w:color="auto"/>
        <w:bottom w:val="none" w:sz="0" w:space="0" w:color="auto"/>
        <w:right w:val="none" w:sz="0" w:space="0" w:color="auto"/>
      </w:divBdr>
    </w:div>
    <w:div w:id="1177620913">
      <w:bodyDiv w:val="1"/>
      <w:marLeft w:val="0"/>
      <w:marRight w:val="0"/>
      <w:marTop w:val="0"/>
      <w:marBottom w:val="0"/>
      <w:divBdr>
        <w:top w:val="none" w:sz="0" w:space="0" w:color="auto"/>
        <w:left w:val="none" w:sz="0" w:space="0" w:color="auto"/>
        <w:bottom w:val="none" w:sz="0" w:space="0" w:color="auto"/>
        <w:right w:val="none" w:sz="0" w:space="0" w:color="auto"/>
      </w:divBdr>
    </w:div>
    <w:div w:id="1178038395">
      <w:bodyDiv w:val="1"/>
      <w:marLeft w:val="0"/>
      <w:marRight w:val="0"/>
      <w:marTop w:val="0"/>
      <w:marBottom w:val="0"/>
      <w:divBdr>
        <w:top w:val="none" w:sz="0" w:space="0" w:color="auto"/>
        <w:left w:val="none" w:sz="0" w:space="0" w:color="auto"/>
        <w:bottom w:val="none" w:sz="0" w:space="0" w:color="auto"/>
        <w:right w:val="none" w:sz="0" w:space="0" w:color="auto"/>
      </w:divBdr>
    </w:div>
    <w:div w:id="1178156908">
      <w:bodyDiv w:val="1"/>
      <w:marLeft w:val="0"/>
      <w:marRight w:val="0"/>
      <w:marTop w:val="0"/>
      <w:marBottom w:val="0"/>
      <w:divBdr>
        <w:top w:val="none" w:sz="0" w:space="0" w:color="auto"/>
        <w:left w:val="none" w:sz="0" w:space="0" w:color="auto"/>
        <w:bottom w:val="none" w:sz="0" w:space="0" w:color="auto"/>
        <w:right w:val="none" w:sz="0" w:space="0" w:color="auto"/>
      </w:divBdr>
    </w:div>
    <w:div w:id="1178229849">
      <w:bodyDiv w:val="1"/>
      <w:marLeft w:val="0"/>
      <w:marRight w:val="0"/>
      <w:marTop w:val="0"/>
      <w:marBottom w:val="0"/>
      <w:divBdr>
        <w:top w:val="none" w:sz="0" w:space="0" w:color="auto"/>
        <w:left w:val="none" w:sz="0" w:space="0" w:color="auto"/>
        <w:bottom w:val="none" w:sz="0" w:space="0" w:color="auto"/>
        <w:right w:val="none" w:sz="0" w:space="0" w:color="auto"/>
      </w:divBdr>
    </w:div>
    <w:div w:id="1178814096">
      <w:bodyDiv w:val="1"/>
      <w:marLeft w:val="0"/>
      <w:marRight w:val="0"/>
      <w:marTop w:val="0"/>
      <w:marBottom w:val="0"/>
      <w:divBdr>
        <w:top w:val="none" w:sz="0" w:space="0" w:color="auto"/>
        <w:left w:val="none" w:sz="0" w:space="0" w:color="auto"/>
        <w:bottom w:val="none" w:sz="0" w:space="0" w:color="auto"/>
        <w:right w:val="none" w:sz="0" w:space="0" w:color="auto"/>
      </w:divBdr>
    </w:div>
    <w:div w:id="1179810380">
      <w:bodyDiv w:val="1"/>
      <w:marLeft w:val="0"/>
      <w:marRight w:val="0"/>
      <w:marTop w:val="0"/>
      <w:marBottom w:val="0"/>
      <w:divBdr>
        <w:top w:val="none" w:sz="0" w:space="0" w:color="auto"/>
        <w:left w:val="none" w:sz="0" w:space="0" w:color="auto"/>
        <w:bottom w:val="none" w:sz="0" w:space="0" w:color="auto"/>
        <w:right w:val="none" w:sz="0" w:space="0" w:color="auto"/>
      </w:divBdr>
    </w:div>
    <w:div w:id="1179999323">
      <w:bodyDiv w:val="1"/>
      <w:marLeft w:val="0"/>
      <w:marRight w:val="0"/>
      <w:marTop w:val="0"/>
      <w:marBottom w:val="0"/>
      <w:divBdr>
        <w:top w:val="none" w:sz="0" w:space="0" w:color="auto"/>
        <w:left w:val="none" w:sz="0" w:space="0" w:color="auto"/>
        <w:bottom w:val="none" w:sz="0" w:space="0" w:color="auto"/>
        <w:right w:val="none" w:sz="0" w:space="0" w:color="auto"/>
      </w:divBdr>
    </w:div>
    <w:div w:id="1180042168">
      <w:bodyDiv w:val="1"/>
      <w:marLeft w:val="0"/>
      <w:marRight w:val="0"/>
      <w:marTop w:val="0"/>
      <w:marBottom w:val="0"/>
      <w:divBdr>
        <w:top w:val="none" w:sz="0" w:space="0" w:color="auto"/>
        <w:left w:val="none" w:sz="0" w:space="0" w:color="auto"/>
        <w:bottom w:val="none" w:sz="0" w:space="0" w:color="auto"/>
        <w:right w:val="none" w:sz="0" w:space="0" w:color="auto"/>
      </w:divBdr>
    </w:div>
    <w:div w:id="1180201683">
      <w:bodyDiv w:val="1"/>
      <w:marLeft w:val="0"/>
      <w:marRight w:val="0"/>
      <w:marTop w:val="0"/>
      <w:marBottom w:val="0"/>
      <w:divBdr>
        <w:top w:val="none" w:sz="0" w:space="0" w:color="auto"/>
        <w:left w:val="none" w:sz="0" w:space="0" w:color="auto"/>
        <w:bottom w:val="none" w:sz="0" w:space="0" w:color="auto"/>
        <w:right w:val="none" w:sz="0" w:space="0" w:color="auto"/>
      </w:divBdr>
    </w:div>
    <w:div w:id="1180387431">
      <w:bodyDiv w:val="1"/>
      <w:marLeft w:val="0"/>
      <w:marRight w:val="0"/>
      <w:marTop w:val="0"/>
      <w:marBottom w:val="0"/>
      <w:divBdr>
        <w:top w:val="none" w:sz="0" w:space="0" w:color="auto"/>
        <w:left w:val="none" w:sz="0" w:space="0" w:color="auto"/>
        <w:bottom w:val="none" w:sz="0" w:space="0" w:color="auto"/>
        <w:right w:val="none" w:sz="0" w:space="0" w:color="auto"/>
      </w:divBdr>
    </w:div>
    <w:div w:id="1181430874">
      <w:bodyDiv w:val="1"/>
      <w:marLeft w:val="0"/>
      <w:marRight w:val="0"/>
      <w:marTop w:val="0"/>
      <w:marBottom w:val="0"/>
      <w:divBdr>
        <w:top w:val="none" w:sz="0" w:space="0" w:color="auto"/>
        <w:left w:val="none" w:sz="0" w:space="0" w:color="auto"/>
        <w:bottom w:val="none" w:sz="0" w:space="0" w:color="auto"/>
        <w:right w:val="none" w:sz="0" w:space="0" w:color="auto"/>
      </w:divBdr>
    </w:div>
    <w:div w:id="1181549202">
      <w:bodyDiv w:val="1"/>
      <w:marLeft w:val="0"/>
      <w:marRight w:val="0"/>
      <w:marTop w:val="0"/>
      <w:marBottom w:val="0"/>
      <w:divBdr>
        <w:top w:val="none" w:sz="0" w:space="0" w:color="auto"/>
        <w:left w:val="none" w:sz="0" w:space="0" w:color="auto"/>
        <w:bottom w:val="none" w:sz="0" w:space="0" w:color="auto"/>
        <w:right w:val="none" w:sz="0" w:space="0" w:color="auto"/>
      </w:divBdr>
    </w:div>
    <w:div w:id="1181816365">
      <w:bodyDiv w:val="1"/>
      <w:marLeft w:val="0"/>
      <w:marRight w:val="0"/>
      <w:marTop w:val="0"/>
      <w:marBottom w:val="0"/>
      <w:divBdr>
        <w:top w:val="none" w:sz="0" w:space="0" w:color="auto"/>
        <w:left w:val="none" w:sz="0" w:space="0" w:color="auto"/>
        <w:bottom w:val="none" w:sz="0" w:space="0" w:color="auto"/>
        <w:right w:val="none" w:sz="0" w:space="0" w:color="auto"/>
      </w:divBdr>
    </w:div>
    <w:div w:id="1182746605">
      <w:bodyDiv w:val="1"/>
      <w:marLeft w:val="0"/>
      <w:marRight w:val="0"/>
      <w:marTop w:val="0"/>
      <w:marBottom w:val="0"/>
      <w:divBdr>
        <w:top w:val="none" w:sz="0" w:space="0" w:color="auto"/>
        <w:left w:val="none" w:sz="0" w:space="0" w:color="auto"/>
        <w:bottom w:val="none" w:sz="0" w:space="0" w:color="auto"/>
        <w:right w:val="none" w:sz="0" w:space="0" w:color="auto"/>
      </w:divBdr>
    </w:div>
    <w:div w:id="1183082127">
      <w:bodyDiv w:val="1"/>
      <w:marLeft w:val="0"/>
      <w:marRight w:val="0"/>
      <w:marTop w:val="0"/>
      <w:marBottom w:val="0"/>
      <w:divBdr>
        <w:top w:val="none" w:sz="0" w:space="0" w:color="auto"/>
        <w:left w:val="none" w:sz="0" w:space="0" w:color="auto"/>
        <w:bottom w:val="none" w:sz="0" w:space="0" w:color="auto"/>
        <w:right w:val="none" w:sz="0" w:space="0" w:color="auto"/>
      </w:divBdr>
    </w:div>
    <w:div w:id="1183318549">
      <w:bodyDiv w:val="1"/>
      <w:marLeft w:val="0"/>
      <w:marRight w:val="0"/>
      <w:marTop w:val="0"/>
      <w:marBottom w:val="0"/>
      <w:divBdr>
        <w:top w:val="none" w:sz="0" w:space="0" w:color="auto"/>
        <w:left w:val="none" w:sz="0" w:space="0" w:color="auto"/>
        <w:bottom w:val="none" w:sz="0" w:space="0" w:color="auto"/>
        <w:right w:val="none" w:sz="0" w:space="0" w:color="auto"/>
      </w:divBdr>
    </w:div>
    <w:div w:id="1183595872">
      <w:bodyDiv w:val="1"/>
      <w:marLeft w:val="0"/>
      <w:marRight w:val="0"/>
      <w:marTop w:val="0"/>
      <w:marBottom w:val="0"/>
      <w:divBdr>
        <w:top w:val="none" w:sz="0" w:space="0" w:color="auto"/>
        <w:left w:val="none" w:sz="0" w:space="0" w:color="auto"/>
        <w:bottom w:val="none" w:sz="0" w:space="0" w:color="auto"/>
        <w:right w:val="none" w:sz="0" w:space="0" w:color="auto"/>
      </w:divBdr>
    </w:div>
    <w:div w:id="1183977315">
      <w:bodyDiv w:val="1"/>
      <w:marLeft w:val="0"/>
      <w:marRight w:val="0"/>
      <w:marTop w:val="0"/>
      <w:marBottom w:val="0"/>
      <w:divBdr>
        <w:top w:val="none" w:sz="0" w:space="0" w:color="auto"/>
        <w:left w:val="none" w:sz="0" w:space="0" w:color="auto"/>
        <w:bottom w:val="none" w:sz="0" w:space="0" w:color="auto"/>
        <w:right w:val="none" w:sz="0" w:space="0" w:color="auto"/>
      </w:divBdr>
    </w:div>
    <w:div w:id="1184057376">
      <w:bodyDiv w:val="1"/>
      <w:marLeft w:val="0"/>
      <w:marRight w:val="0"/>
      <w:marTop w:val="0"/>
      <w:marBottom w:val="0"/>
      <w:divBdr>
        <w:top w:val="none" w:sz="0" w:space="0" w:color="auto"/>
        <w:left w:val="none" w:sz="0" w:space="0" w:color="auto"/>
        <w:bottom w:val="none" w:sz="0" w:space="0" w:color="auto"/>
        <w:right w:val="none" w:sz="0" w:space="0" w:color="auto"/>
      </w:divBdr>
    </w:div>
    <w:div w:id="1184978843">
      <w:bodyDiv w:val="1"/>
      <w:marLeft w:val="0"/>
      <w:marRight w:val="0"/>
      <w:marTop w:val="0"/>
      <w:marBottom w:val="0"/>
      <w:divBdr>
        <w:top w:val="none" w:sz="0" w:space="0" w:color="auto"/>
        <w:left w:val="none" w:sz="0" w:space="0" w:color="auto"/>
        <w:bottom w:val="none" w:sz="0" w:space="0" w:color="auto"/>
        <w:right w:val="none" w:sz="0" w:space="0" w:color="auto"/>
      </w:divBdr>
    </w:div>
    <w:div w:id="1185245440">
      <w:bodyDiv w:val="1"/>
      <w:marLeft w:val="0"/>
      <w:marRight w:val="0"/>
      <w:marTop w:val="0"/>
      <w:marBottom w:val="0"/>
      <w:divBdr>
        <w:top w:val="none" w:sz="0" w:space="0" w:color="auto"/>
        <w:left w:val="none" w:sz="0" w:space="0" w:color="auto"/>
        <w:bottom w:val="none" w:sz="0" w:space="0" w:color="auto"/>
        <w:right w:val="none" w:sz="0" w:space="0" w:color="auto"/>
      </w:divBdr>
    </w:div>
    <w:div w:id="1185823483">
      <w:bodyDiv w:val="1"/>
      <w:marLeft w:val="0"/>
      <w:marRight w:val="0"/>
      <w:marTop w:val="0"/>
      <w:marBottom w:val="0"/>
      <w:divBdr>
        <w:top w:val="none" w:sz="0" w:space="0" w:color="auto"/>
        <w:left w:val="none" w:sz="0" w:space="0" w:color="auto"/>
        <w:bottom w:val="none" w:sz="0" w:space="0" w:color="auto"/>
        <w:right w:val="none" w:sz="0" w:space="0" w:color="auto"/>
      </w:divBdr>
    </w:div>
    <w:div w:id="1185900706">
      <w:bodyDiv w:val="1"/>
      <w:marLeft w:val="0"/>
      <w:marRight w:val="0"/>
      <w:marTop w:val="0"/>
      <w:marBottom w:val="0"/>
      <w:divBdr>
        <w:top w:val="none" w:sz="0" w:space="0" w:color="auto"/>
        <w:left w:val="none" w:sz="0" w:space="0" w:color="auto"/>
        <w:bottom w:val="none" w:sz="0" w:space="0" w:color="auto"/>
        <w:right w:val="none" w:sz="0" w:space="0" w:color="auto"/>
      </w:divBdr>
    </w:div>
    <w:div w:id="1186093378">
      <w:bodyDiv w:val="1"/>
      <w:marLeft w:val="0"/>
      <w:marRight w:val="0"/>
      <w:marTop w:val="0"/>
      <w:marBottom w:val="0"/>
      <w:divBdr>
        <w:top w:val="none" w:sz="0" w:space="0" w:color="auto"/>
        <w:left w:val="none" w:sz="0" w:space="0" w:color="auto"/>
        <w:bottom w:val="none" w:sz="0" w:space="0" w:color="auto"/>
        <w:right w:val="none" w:sz="0" w:space="0" w:color="auto"/>
      </w:divBdr>
    </w:div>
    <w:div w:id="1186095923">
      <w:bodyDiv w:val="1"/>
      <w:marLeft w:val="0"/>
      <w:marRight w:val="0"/>
      <w:marTop w:val="0"/>
      <w:marBottom w:val="0"/>
      <w:divBdr>
        <w:top w:val="none" w:sz="0" w:space="0" w:color="auto"/>
        <w:left w:val="none" w:sz="0" w:space="0" w:color="auto"/>
        <w:bottom w:val="none" w:sz="0" w:space="0" w:color="auto"/>
        <w:right w:val="none" w:sz="0" w:space="0" w:color="auto"/>
      </w:divBdr>
    </w:div>
    <w:div w:id="1187477542">
      <w:bodyDiv w:val="1"/>
      <w:marLeft w:val="0"/>
      <w:marRight w:val="0"/>
      <w:marTop w:val="0"/>
      <w:marBottom w:val="0"/>
      <w:divBdr>
        <w:top w:val="none" w:sz="0" w:space="0" w:color="auto"/>
        <w:left w:val="none" w:sz="0" w:space="0" w:color="auto"/>
        <w:bottom w:val="none" w:sz="0" w:space="0" w:color="auto"/>
        <w:right w:val="none" w:sz="0" w:space="0" w:color="auto"/>
      </w:divBdr>
    </w:div>
    <w:div w:id="1188713720">
      <w:bodyDiv w:val="1"/>
      <w:marLeft w:val="0"/>
      <w:marRight w:val="0"/>
      <w:marTop w:val="0"/>
      <w:marBottom w:val="0"/>
      <w:divBdr>
        <w:top w:val="none" w:sz="0" w:space="0" w:color="auto"/>
        <w:left w:val="none" w:sz="0" w:space="0" w:color="auto"/>
        <w:bottom w:val="none" w:sz="0" w:space="0" w:color="auto"/>
        <w:right w:val="none" w:sz="0" w:space="0" w:color="auto"/>
      </w:divBdr>
    </w:div>
    <w:div w:id="1188828890">
      <w:bodyDiv w:val="1"/>
      <w:marLeft w:val="0"/>
      <w:marRight w:val="0"/>
      <w:marTop w:val="0"/>
      <w:marBottom w:val="0"/>
      <w:divBdr>
        <w:top w:val="none" w:sz="0" w:space="0" w:color="auto"/>
        <w:left w:val="none" w:sz="0" w:space="0" w:color="auto"/>
        <w:bottom w:val="none" w:sz="0" w:space="0" w:color="auto"/>
        <w:right w:val="none" w:sz="0" w:space="0" w:color="auto"/>
      </w:divBdr>
    </w:div>
    <w:div w:id="1189101340">
      <w:bodyDiv w:val="1"/>
      <w:marLeft w:val="0"/>
      <w:marRight w:val="0"/>
      <w:marTop w:val="0"/>
      <w:marBottom w:val="0"/>
      <w:divBdr>
        <w:top w:val="none" w:sz="0" w:space="0" w:color="auto"/>
        <w:left w:val="none" w:sz="0" w:space="0" w:color="auto"/>
        <w:bottom w:val="none" w:sz="0" w:space="0" w:color="auto"/>
        <w:right w:val="none" w:sz="0" w:space="0" w:color="auto"/>
      </w:divBdr>
    </w:div>
    <w:div w:id="1189216790">
      <w:bodyDiv w:val="1"/>
      <w:marLeft w:val="0"/>
      <w:marRight w:val="0"/>
      <w:marTop w:val="0"/>
      <w:marBottom w:val="0"/>
      <w:divBdr>
        <w:top w:val="none" w:sz="0" w:space="0" w:color="auto"/>
        <w:left w:val="none" w:sz="0" w:space="0" w:color="auto"/>
        <w:bottom w:val="none" w:sz="0" w:space="0" w:color="auto"/>
        <w:right w:val="none" w:sz="0" w:space="0" w:color="auto"/>
      </w:divBdr>
    </w:div>
    <w:div w:id="1189879360">
      <w:bodyDiv w:val="1"/>
      <w:marLeft w:val="0"/>
      <w:marRight w:val="0"/>
      <w:marTop w:val="0"/>
      <w:marBottom w:val="0"/>
      <w:divBdr>
        <w:top w:val="none" w:sz="0" w:space="0" w:color="auto"/>
        <w:left w:val="none" w:sz="0" w:space="0" w:color="auto"/>
        <w:bottom w:val="none" w:sz="0" w:space="0" w:color="auto"/>
        <w:right w:val="none" w:sz="0" w:space="0" w:color="auto"/>
      </w:divBdr>
    </w:div>
    <w:div w:id="1190296076">
      <w:bodyDiv w:val="1"/>
      <w:marLeft w:val="0"/>
      <w:marRight w:val="0"/>
      <w:marTop w:val="0"/>
      <w:marBottom w:val="0"/>
      <w:divBdr>
        <w:top w:val="none" w:sz="0" w:space="0" w:color="auto"/>
        <w:left w:val="none" w:sz="0" w:space="0" w:color="auto"/>
        <w:bottom w:val="none" w:sz="0" w:space="0" w:color="auto"/>
        <w:right w:val="none" w:sz="0" w:space="0" w:color="auto"/>
      </w:divBdr>
    </w:div>
    <w:div w:id="1190606305">
      <w:bodyDiv w:val="1"/>
      <w:marLeft w:val="0"/>
      <w:marRight w:val="0"/>
      <w:marTop w:val="0"/>
      <w:marBottom w:val="0"/>
      <w:divBdr>
        <w:top w:val="none" w:sz="0" w:space="0" w:color="auto"/>
        <w:left w:val="none" w:sz="0" w:space="0" w:color="auto"/>
        <w:bottom w:val="none" w:sz="0" w:space="0" w:color="auto"/>
        <w:right w:val="none" w:sz="0" w:space="0" w:color="auto"/>
      </w:divBdr>
    </w:div>
    <w:div w:id="1190946741">
      <w:bodyDiv w:val="1"/>
      <w:marLeft w:val="0"/>
      <w:marRight w:val="0"/>
      <w:marTop w:val="0"/>
      <w:marBottom w:val="0"/>
      <w:divBdr>
        <w:top w:val="none" w:sz="0" w:space="0" w:color="auto"/>
        <w:left w:val="none" w:sz="0" w:space="0" w:color="auto"/>
        <w:bottom w:val="none" w:sz="0" w:space="0" w:color="auto"/>
        <w:right w:val="none" w:sz="0" w:space="0" w:color="auto"/>
      </w:divBdr>
    </w:div>
    <w:div w:id="1191068051">
      <w:bodyDiv w:val="1"/>
      <w:marLeft w:val="0"/>
      <w:marRight w:val="0"/>
      <w:marTop w:val="0"/>
      <w:marBottom w:val="0"/>
      <w:divBdr>
        <w:top w:val="none" w:sz="0" w:space="0" w:color="auto"/>
        <w:left w:val="none" w:sz="0" w:space="0" w:color="auto"/>
        <w:bottom w:val="none" w:sz="0" w:space="0" w:color="auto"/>
        <w:right w:val="none" w:sz="0" w:space="0" w:color="auto"/>
      </w:divBdr>
    </w:div>
    <w:div w:id="1191646629">
      <w:bodyDiv w:val="1"/>
      <w:marLeft w:val="0"/>
      <w:marRight w:val="0"/>
      <w:marTop w:val="0"/>
      <w:marBottom w:val="0"/>
      <w:divBdr>
        <w:top w:val="none" w:sz="0" w:space="0" w:color="auto"/>
        <w:left w:val="none" w:sz="0" w:space="0" w:color="auto"/>
        <w:bottom w:val="none" w:sz="0" w:space="0" w:color="auto"/>
        <w:right w:val="none" w:sz="0" w:space="0" w:color="auto"/>
      </w:divBdr>
    </w:div>
    <w:div w:id="1191721371">
      <w:bodyDiv w:val="1"/>
      <w:marLeft w:val="0"/>
      <w:marRight w:val="0"/>
      <w:marTop w:val="0"/>
      <w:marBottom w:val="0"/>
      <w:divBdr>
        <w:top w:val="none" w:sz="0" w:space="0" w:color="auto"/>
        <w:left w:val="none" w:sz="0" w:space="0" w:color="auto"/>
        <w:bottom w:val="none" w:sz="0" w:space="0" w:color="auto"/>
        <w:right w:val="none" w:sz="0" w:space="0" w:color="auto"/>
      </w:divBdr>
    </w:div>
    <w:div w:id="1192453390">
      <w:bodyDiv w:val="1"/>
      <w:marLeft w:val="0"/>
      <w:marRight w:val="0"/>
      <w:marTop w:val="0"/>
      <w:marBottom w:val="0"/>
      <w:divBdr>
        <w:top w:val="none" w:sz="0" w:space="0" w:color="auto"/>
        <w:left w:val="none" w:sz="0" w:space="0" w:color="auto"/>
        <w:bottom w:val="none" w:sz="0" w:space="0" w:color="auto"/>
        <w:right w:val="none" w:sz="0" w:space="0" w:color="auto"/>
      </w:divBdr>
    </w:div>
    <w:div w:id="1192690024">
      <w:bodyDiv w:val="1"/>
      <w:marLeft w:val="0"/>
      <w:marRight w:val="0"/>
      <w:marTop w:val="0"/>
      <w:marBottom w:val="0"/>
      <w:divBdr>
        <w:top w:val="none" w:sz="0" w:space="0" w:color="auto"/>
        <w:left w:val="none" w:sz="0" w:space="0" w:color="auto"/>
        <w:bottom w:val="none" w:sz="0" w:space="0" w:color="auto"/>
        <w:right w:val="none" w:sz="0" w:space="0" w:color="auto"/>
      </w:divBdr>
    </w:div>
    <w:div w:id="1192838658">
      <w:bodyDiv w:val="1"/>
      <w:marLeft w:val="0"/>
      <w:marRight w:val="0"/>
      <w:marTop w:val="0"/>
      <w:marBottom w:val="0"/>
      <w:divBdr>
        <w:top w:val="none" w:sz="0" w:space="0" w:color="auto"/>
        <w:left w:val="none" w:sz="0" w:space="0" w:color="auto"/>
        <w:bottom w:val="none" w:sz="0" w:space="0" w:color="auto"/>
        <w:right w:val="none" w:sz="0" w:space="0" w:color="auto"/>
      </w:divBdr>
    </w:div>
    <w:div w:id="1193106745">
      <w:bodyDiv w:val="1"/>
      <w:marLeft w:val="0"/>
      <w:marRight w:val="0"/>
      <w:marTop w:val="0"/>
      <w:marBottom w:val="0"/>
      <w:divBdr>
        <w:top w:val="none" w:sz="0" w:space="0" w:color="auto"/>
        <w:left w:val="none" w:sz="0" w:space="0" w:color="auto"/>
        <w:bottom w:val="none" w:sz="0" w:space="0" w:color="auto"/>
        <w:right w:val="none" w:sz="0" w:space="0" w:color="auto"/>
      </w:divBdr>
    </w:div>
    <w:div w:id="1193498967">
      <w:bodyDiv w:val="1"/>
      <w:marLeft w:val="0"/>
      <w:marRight w:val="0"/>
      <w:marTop w:val="0"/>
      <w:marBottom w:val="0"/>
      <w:divBdr>
        <w:top w:val="none" w:sz="0" w:space="0" w:color="auto"/>
        <w:left w:val="none" w:sz="0" w:space="0" w:color="auto"/>
        <w:bottom w:val="none" w:sz="0" w:space="0" w:color="auto"/>
        <w:right w:val="none" w:sz="0" w:space="0" w:color="auto"/>
      </w:divBdr>
    </w:div>
    <w:div w:id="1193499507">
      <w:bodyDiv w:val="1"/>
      <w:marLeft w:val="0"/>
      <w:marRight w:val="0"/>
      <w:marTop w:val="0"/>
      <w:marBottom w:val="0"/>
      <w:divBdr>
        <w:top w:val="none" w:sz="0" w:space="0" w:color="auto"/>
        <w:left w:val="none" w:sz="0" w:space="0" w:color="auto"/>
        <w:bottom w:val="none" w:sz="0" w:space="0" w:color="auto"/>
        <w:right w:val="none" w:sz="0" w:space="0" w:color="auto"/>
      </w:divBdr>
    </w:div>
    <w:div w:id="1193687830">
      <w:bodyDiv w:val="1"/>
      <w:marLeft w:val="0"/>
      <w:marRight w:val="0"/>
      <w:marTop w:val="0"/>
      <w:marBottom w:val="0"/>
      <w:divBdr>
        <w:top w:val="none" w:sz="0" w:space="0" w:color="auto"/>
        <w:left w:val="none" w:sz="0" w:space="0" w:color="auto"/>
        <w:bottom w:val="none" w:sz="0" w:space="0" w:color="auto"/>
        <w:right w:val="none" w:sz="0" w:space="0" w:color="auto"/>
      </w:divBdr>
    </w:div>
    <w:div w:id="1193835060">
      <w:bodyDiv w:val="1"/>
      <w:marLeft w:val="0"/>
      <w:marRight w:val="0"/>
      <w:marTop w:val="0"/>
      <w:marBottom w:val="0"/>
      <w:divBdr>
        <w:top w:val="none" w:sz="0" w:space="0" w:color="auto"/>
        <w:left w:val="none" w:sz="0" w:space="0" w:color="auto"/>
        <w:bottom w:val="none" w:sz="0" w:space="0" w:color="auto"/>
        <w:right w:val="none" w:sz="0" w:space="0" w:color="auto"/>
      </w:divBdr>
    </w:div>
    <w:div w:id="1193885073">
      <w:bodyDiv w:val="1"/>
      <w:marLeft w:val="0"/>
      <w:marRight w:val="0"/>
      <w:marTop w:val="0"/>
      <w:marBottom w:val="0"/>
      <w:divBdr>
        <w:top w:val="none" w:sz="0" w:space="0" w:color="auto"/>
        <w:left w:val="none" w:sz="0" w:space="0" w:color="auto"/>
        <w:bottom w:val="none" w:sz="0" w:space="0" w:color="auto"/>
        <w:right w:val="none" w:sz="0" w:space="0" w:color="auto"/>
      </w:divBdr>
    </w:div>
    <w:div w:id="1194004057">
      <w:bodyDiv w:val="1"/>
      <w:marLeft w:val="0"/>
      <w:marRight w:val="0"/>
      <w:marTop w:val="0"/>
      <w:marBottom w:val="0"/>
      <w:divBdr>
        <w:top w:val="none" w:sz="0" w:space="0" w:color="auto"/>
        <w:left w:val="none" w:sz="0" w:space="0" w:color="auto"/>
        <w:bottom w:val="none" w:sz="0" w:space="0" w:color="auto"/>
        <w:right w:val="none" w:sz="0" w:space="0" w:color="auto"/>
      </w:divBdr>
    </w:div>
    <w:div w:id="1194078743">
      <w:bodyDiv w:val="1"/>
      <w:marLeft w:val="0"/>
      <w:marRight w:val="0"/>
      <w:marTop w:val="0"/>
      <w:marBottom w:val="0"/>
      <w:divBdr>
        <w:top w:val="none" w:sz="0" w:space="0" w:color="auto"/>
        <w:left w:val="none" w:sz="0" w:space="0" w:color="auto"/>
        <w:bottom w:val="none" w:sz="0" w:space="0" w:color="auto"/>
        <w:right w:val="none" w:sz="0" w:space="0" w:color="auto"/>
      </w:divBdr>
    </w:div>
    <w:div w:id="1194415730">
      <w:bodyDiv w:val="1"/>
      <w:marLeft w:val="0"/>
      <w:marRight w:val="0"/>
      <w:marTop w:val="0"/>
      <w:marBottom w:val="0"/>
      <w:divBdr>
        <w:top w:val="none" w:sz="0" w:space="0" w:color="auto"/>
        <w:left w:val="none" w:sz="0" w:space="0" w:color="auto"/>
        <w:bottom w:val="none" w:sz="0" w:space="0" w:color="auto"/>
        <w:right w:val="none" w:sz="0" w:space="0" w:color="auto"/>
      </w:divBdr>
    </w:div>
    <w:div w:id="1194533011">
      <w:bodyDiv w:val="1"/>
      <w:marLeft w:val="0"/>
      <w:marRight w:val="0"/>
      <w:marTop w:val="0"/>
      <w:marBottom w:val="0"/>
      <w:divBdr>
        <w:top w:val="none" w:sz="0" w:space="0" w:color="auto"/>
        <w:left w:val="none" w:sz="0" w:space="0" w:color="auto"/>
        <w:bottom w:val="none" w:sz="0" w:space="0" w:color="auto"/>
        <w:right w:val="none" w:sz="0" w:space="0" w:color="auto"/>
      </w:divBdr>
    </w:div>
    <w:div w:id="1195266164">
      <w:bodyDiv w:val="1"/>
      <w:marLeft w:val="0"/>
      <w:marRight w:val="0"/>
      <w:marTop w:val="0"/>
      <w:marBottom w:val="0"/>
      <w:divBdr>
        <w:top w:val="none" w:sz="0" w:space="0" w:color="auto"/>
        <w:left w:val="none" w:sz="0" w:space="0" w:color="auto"/>
        <w:bottom w:val="none" w:sz="0" w:space="0" w:color="auto"/>
        <w:right w:val="none" w:sz="0" w:space="0" w:color="auto"/>
      </w:divBdr>
    </w:div>
    <w:div w:id="1195539403">
      <w:bodyDiv w:val="1"/>
      <w:marLeft w:val="0"/>
      <w:marRight w:val="0"/>
      <w:marTop w:val="0"/>
      <w:marBottom w:val="0"/>
      <w:divBdr>
        <w:top w:val="none" w:sz="0" w:space="0" w:color="auto"/>
        <w:left w:val="none" w:sz="0" w:space="0" w:color="auto"/>
        <w:bottom w:val="none" w:sz="0" w:space="0" w:color="auto"/>
        <w:right w:val="none" w:sz="0" w:space="0" w:color="auto"/>
      </w:divBdr>
    </w:div>
    <w:div w:id="1195656277">
      <w:bodyDiv w:val="1"/>
      <w:marLeft w:val="0"/>
      <w:marRight w:val="0"/>
      <w:marTop w:val="0"/>
      <w:marBottom w:val="0"/>
      <w:divBdr>
        <w:top w:val="none" w:sz="0" w:space="0" w:color="auto"/>
        <w:left w:val="none" w:sz="0" w:space="0" w:color="auto"/>
        <w:bottom w:val="none" w:sz="0" w:space="0" w:color="auto"/>
        <w:right w:val="none" w:sz="0" w:space="0" w:color="auto"/>
      </w:divBdr>
    </w:div>
    <w:div w:id="1195847320">
      <w:bodyDiv w:val="1"/>
      <w:marLeft w:val="0"/>
      <w:marRight w:val="0"/>
      <w:marTop w:val="0"/>
      <w:marBottom w:val="0"/>
      <w:divBdr>
        <w:top w:val="none" w:sz="0" w:space="0" w:color="auto"/>
        <w:left w:val="none" w:sz="0" w:space="0" w:color="auto"/>
        <w:bottom w:val="none" w:sz="0" w:space="0" w:color="auto"/>
        <w:right w:val="none" w:sz="0" w:space="0" w:color="auto"/>
      </w:divBdr>
    </w:div>
    <w:div w:id="1196388071">
      <w:bodyDiv w:val="1"/>
      <w:marLeft w:val="0"/>
      <w:marRight w:val="0"/>
      <w:marTop w:val="0"/>
      <w:marBottom w:val="0"/>
      <w:divBdr>
        <w:top w:val="none" w:sz="0" w:space="0" w:color="auto"/>
        <w:left w:val="none" w:sz="0" w:space="0" w:color="auto"/>
        <w:bottom w:val="none" w:sz="0" w:space="0" w:color="auto"/>
        <w:right w:val="none" w:sz="0" w:space="0" w:color="auto"/>
      </w:divBdr>
    </w:div>
    <w:div w:id="1196844873">
      <w:bodyDiv w:val="1"/>
      <w:marLeft w:val="0"/>
      <w:marRight w:val="0"/>
      <w:marTop w:val="0"/>
      <w:marBottom w:val="0"/>
      <w:divBdr>
        <w:top w:val="none" w:sz="0" w:space="0" w:color="auto"/>
        <w:left w:val="none" w:sz="0" w:space="0" w:color="auto"/>
        <w:bottom w:val="none" w:sz="0" w:space="0" w:color="auto"/>
        <w:right w:val="none" w:sz="0" w:space="0" w:color="auto"/>
      </w:divBdr>
    </w:div>
    <w:div w:id="1197232022">
      <w:bodyDiv w:val="1"/>
      <w:marLeft w:val="0"/>
      <w:marRight w:val="0"/>
      <w:marTop w:val="0"/>
      <w:marBottom w:val="0"/>
      <w:divBdr>
        <w:top w:val="none" w:sz="0" w:space="0" w:color="auto"/>
        <w:left w:val="none" w:sz="0" w:space="0" w:color="auto"/>
        <w:bottom w:val="none" w:sz="0" w:space="0" w:color="auto"/>
        <w:right w:val="none" w:sz="0" w:space="0" w:color="auto"/>
      </w:divBdr>
    </w:div>
    <w:div w:id="1197236770">
      <w:bodyDiv w:val="1"/>
      <w:marLeft w:val="0"/>
      <w:marRight w:val="0"/>
      <w:marTop w:val="0"/>
      <w:marBottom w:val="0"/>
      <w:divBdr>
        <w:top w:val="none" w:sz="0" w:space="0" w:color="auto"/>
        <w:left w:val="none" w:sz="0" w:space="0" w:color="auto"/>
        <w:bottom w:val="none" w:sz="0" w:space="0" w:color="auto"/>
        <w:right w:val="none" w:sz="0" w:space="0" w:color="auto"/>
      </w:divBdr>
    </w:div>
    <w:div w:id="1197886293">
      <w:bodyDiv w:val="1"/>
      <w:marLeft w:val="0"/>
      <w:marRight w:val="0"/>
      <w:marTop w:val="0"/>
      <w:marBottom w:val="0"/>
      <w:divBdr>
        <w:top w:val="none" w:sz="0" w:space="0" w:color="auto"/>
        <w:left w:val="none" w:sz="0" w:space="0" w:color="auto"/>
        <w:bottom w:val="none" w:sz="0" w:space="0" w:color="auto"/>
        <w:right w:val="none" w:sz="0" w:space="0" w:color="auto"/>
      </w:divBdr>
    </w:div>
    <w:div w:id="1198003066">
      <w:bodyDiv w:val="1"/>
      <w:marLeft w:val="0"/>
      <w:marRight w:val="0"/>
      <w:marTop w:val="0"/>
      <w:marBottom w:val="0"/>
      <w:divBdr>
        <w:top w:val="none" w:sz="0" w:space="0" w:color="auto"/>
        <w:left w:val="none" w:sz="0" w:space="0" w:color="auto"/>
        <w:bottom w:val="none" w:sz="0" w:space="0" w:color="auto"/>
        <w:right w:val="none" w:sz="0" w:space="0" w:color="auto"/>
      </w:divBdr>
    </w:div>
    <w:div w:id="1198929424">
      <w:bodyDiv w:val="1"/>
      <w:marLeft w:val="0"/>
      <w:marRight w:val="0"/>
      <w:marTop w:val="0"/>
      <w:marBottom w:val="0"/>
      <w:divBdr>
        <w:top w:val="none" w:sz="0" w:space="0" w:color="auto"/>
        <w:left w:val="none" w:sz="0" w:space="0" w:color="auto"/>
        <w:bottom w:val="none" w:sz="0" w:space="0" w:color="auto"/>
        <w:right w:val="none" w:sz="0" w:space="0" w:color="auto"/>
      </w:divBdr>
    </w:div>
    <w:div w:id="1199047712">
      <w:bodyDiv w:val="1"/>
      <w:marLeft w:val="0"/>
      <w:marRight w:val="0"/>
      <w:marTop w:val="0"/>
      <w:marBottom w:val="0"/>
      <w:divBdr>
        <w:top w:val="none" w:sz="0" w:space="0" w:color="auto"/>
        <w:left w:val="none" w:sz="0" w:space="0" w:color="auto"/>
        <w:bottom w:val="none" w:sz="0" w:space="0" w:color="auto"/>
        <w:right w:val="none" w:sz="0" w:space="0" w:color="auto"/>
      </w:divBdr>
    </w:div>
    <w:div w:id="1199198456">
      <w:bodyDiv w:val="1"/>
      <w:marLeft w:val="0"/>
      <w:marRight w:val="0"/>
      <w:marTop w:val="0"/>
      <w:marBottom w:val="0"/>
      <w:divBdr>
        <w:top w:val="none" w:sz="0" w:space="0" w:color="auto"/>
        <w:left w:val="none" w:sz="0" w:space="0" w:color="auto"/>
        <w:bottom w:val="none" w:sz="0" w:space="0" w:color="auto"/>
        <w:right w:val="none" w:sz="0" w:space="0" w:color="auto"/>
      </w:divBdr>
    </w:div>
    <w:div w:id="1199465948">
      <w:bodyDiv w:val="1"/>
      <w:marLeft w:val="0"/>
      <w:marRight w:val="0"/>
      <w:marTop w:val="0"/>
      <w:marBottom w:val="0"/>
      <w:divBdr>
        <w:top w:val="none" w:sz="0" w:space="0" w:color="auto"/>
        <w:left w:val="none" w:sz="0" w:space="0" w:color="auto"/>
        <w:bottom w:val="none" w:sz="0" w:space="0" w:color="auto"/>
        <w:right w:val="none" w:sz="0" w:space="0" w:color="auto"/>
      </w:divBdr>
    </w:div>
    <w:div w:id="1199472114">
      <w:bodyDiv w:val="1"/>
      <w:marLeft w:val="0"/>
      <w:marRight w:val="0"/>
      <w:marTop w:val="0"/>
      <w:marBottom w:val="0"/>
      <w:divBdr>
        <w:top w:val="none" w:sz="0" w:space="0" w:color="auto"/>
        <w:left w:val="none" w:sz="0" w:space="0" w:color="auto"/>
        <w:bottom w:val="none" w:sz="0" w:space="0" w:color="auto"/>
        <w:right w:val="none" w:sz="0" w:space="0" w:color="auto"/>
      </w:divBdr>
    </w:div>
    <w:div w:id="1199664920">
      <w:bodyDiv w:val="1"/>
      <w:marLeft w:val="0"/>
      <w:marRight w:val="0"/>
      <w:marTop w:val="0"/>
      <w:marBottom w:val="0"/>
      <w:divBdr>
        <w:top w:val="none" w:sz="0" w:space="0" w:color="auto"/>
        <w:left w:val="none" w:sz="0" w:space="0" w:color="auto"/>
        <w:bottom w:val="none" w:sz="0" w:space="0" w:color="auto"/>
        <w:right w:val="none" w:sz="0" w:space="0" w:color="auto"/>
      </w:divBdr>
    </w:div>
    <w:div w:id="1199780221">
      <w:bodyDiv w:val="1"/>
      <w:marLeft w:val="0"/>
      <w:marRight w:val="0"/>
      <w:marTop w:val="0"/>
      <w:marBottom w:val="0"/>
      <w:divBdr>
        <w:top w:val="none" w:sz="0" w:space="0" w:color="auto"/>
        <w:left w:val="none" w:sz="0" w:space="0" w:color="auto"/>
        <w:bottom w:val="none" w:sz="0" w:space="0" w:color="auto"/>
        <w:right w:val="none" w:sz="0" w:space="0" w:color="auto"/>
      </w:divBdr>
    </w:div>
    <w:div w:id="1199852995">
      <w:bodyDiv w:val="1"/>
      <w:marLeft w:val="0"/>
      <w:marRight w:val="0"/>
      <w:marTop w:val="0"/>
      <w:marBottom w:val="0"/>
      <w:divBdr>
        <w:top w:val="none" w:sz="0" w:space="0" w:color="auto"/>
        <w:left w:val="none" w:sz="0" w:space="0" w:color="auto"/>
        <w:bottom w:val="none" w:sz="0" w:space="0" w:color="auto"/>
        <w:right w:val="none" w:sz="0" w:space="0" w:color="auto"/>
      </w:divBdr>
    </w:div>
    <w:div w:id="1199930860">
      <w:bodyDiv w:val="1"/>
      <w:marLeft w:val="0"/>
      <w:marRight w:val="0"/>
      <w:marTop w:val="0"/>
      <w:marBottom w:val="0"/>
      <w:divBdr>
        <w:top w:val="none" w:sz="0" w:space="0" w:color="auto"/>
        <w:left w:val="none" w:sz="0" w:space="0" w:color="auto"/>
        <w:bottom w:val="none" w:sz="0" w:space="0" w:color="auto"/>
        <w:right w:val="none" w:sz="0" w:space="0" w:color="auto"/>
      </w:divBdr>
    </w:div>
    <w:div w:id="1200047076">
      <w:bodyDiv w:val="1"/>
      <w:marLeft w:val="0"/>
      <w:marRight w:val="0"/>
      <w:marTop w:val="0"/>
      <w:marBottom w:val="0"/>
      <w:divBdr>
        <w:top w:val="none" w:sz="0" w:space="0" w:color="auto"/>
        <w:left w:val="none" w:sz="0" w:space="0" w:color="auto"/>
        <w:bottom w:val="none" w:sz="0" w:space="0" w:color="auto"/>
        <w:right w:val="none" w:sz="0" w:space="0" w:color="auto"/>
      </w:divBdr>
    </w:div>
    <w:div w:id="1200168351">
      <w:bodyDiv w:val="1"/>
      <w:marLeft w:val="0"/>
      <w:marRight w:val="0"/>
      <w:marTop w:val="0"/>
      <w:marBottom w:val="0"/>
      <w:divBdr>
        <w:top w:val="none" w:sz="0" w:space="0" w:color="auto"/>
        <w:left w:val="none" w:sz="0" w:space="0" w:color="auto"/>
        <w:bottom w:val="none" w:sz="0" w:space="0" w:color="auto"/>
        <w:right w:val="none" w:sz="0" w:space="0" w:color="auto"/>
      </w:divBdr>
    </w:div>
    <w:div w:id="1200707703">
      <w:bodyDiv w:val="1"/>
      <w:marLeft w:val="0"/>
      <w:marRight w:val="0"/>
      <w:marTop w:val="0"/>
      <w:marBottom w:val="0"/>
      <w:divBdr>
        <w:top w:val="none" w:sz="0" w:space="0" w:color="auto"/>
        <w:left w:val="none" w:sz="0" w:space="0" w:color="auto"/>
        <w:bottom w:val="none" w:sz="0" w:space="0" w:color="auto"/>
        <w:right w:val="none" w:sz="0" w:space="0" w:color="auto"/>
      </w:divBdr>
    </w:div>
    <w:div w:id="1200774435">
      <w:bodyDiv w:val="1"/>
      <w:marLeft w:val="0"/>
      <w:marRight w:val="0"/>
      <w:marTop w:val="0"/>
      <w:marBottom w:val="0"/>
      <w:divBdr>
        <w:top w:val="none" w:sz="0" w:space="0" w:color="auto"/>
        <w:left w:val="none" w:sz="0" w:space="0" w:color="auto"/>
        <w:bottom w:val="none" w:sz="0" w:space="0" w:color="auto"/>
        <w:right w:val="none" w:sz="0" w:space="0" w:color="auto"/>
      </w:divBdr>
    </w:div>
    <w:div w:id="1200897026">
      <w:bodyDiv w:val="1"/>
      <w:marLeft w:val="0"/>
      <w:marRight w:val="0"/>
      <w:marTop w:val="0"/>
      <w:marBottom w:val="0"/>
      <w:divBdr>
        <w:top w:val="none" w:sz="0" w:space="0" w:color="auto"/>
        <w:left w:val="none" w:sz="0" w:space="0" w:color="auto"/>
        <w:bottom w:val="none" w:sz="0" w:space="0" w:color="auto"/>
        <w:right w:val="none" w:sz="0" w:space="0" w:color="auto"/>
      </w:divBdr>
    </w:div>
    <w:div w:id="1201044455">
      <w:bodyDiv w:val="1"/>
      <w:marLeft w:val="0"/>
      <w:marRight w:val="0"/>
      <w:marTop w:val="0"/>
      <w:marBottom w:val="0"/>
      <w:divBdr>
        <w:top w:val="none" w:sz="0" w:space="0" w:color="auto"/>
        <w:left w:val="none" w:sz="0" w:space="0" w:color="auto"/>
        <w:bottom w:val="none" w:sz="0" w:space="0" w:color="auto"/>
        <w:right w:val="none" w:sz="0" w:space="0" w:color="auto"/>
      </w:divBdr>
    </w:div>
    <w:div w:id="1201162491">
      <w:bodyDiv w:val="1"/>
      <w:marLeft w:val="0"/>
      <w:marRight w:val="0"/>
      <w:marTop w:val="0"/>
      <w:marBottom w:val="0"/>
      <w:divBdr>
        <w:top w:val="none" w:sz="0" w:space="0" w:color="auto"/>
        <w:left w:val="none" w:sz="0" w:space="0" w:color="auto"/>
        <w:bottom w:val="none" w:sz="0" w:space="0" w:color="auto"/>
        <w:right w:val="none" w:sz="0" w:space="0" w:color="auto"/>
      </w:divBdr>
    </w:div>
    <w:div w:id="1201212377">
      <w:bodyDiv w:val="1"/>
      <w:marLeft w:val="0"/>
      <w:marRight w:val="0"/>
      <w:marTop w:val="0"/>
      <w:marBottom w:val="0"/>
      <w:divBdr>
        <w:top w:val="none" w:sz="0" w:space="0" w:color="auto"/>
        <w:left w:val="none" w:sz="0" w:space="0" w:color="auto"/>
        <w:bottom w:val="none" w:sz="0" w:space="0" w:color="auto"/>
        <w:right w:val="none" w:sz="0" w:space="0" w:color="auto"/>
      </w:divBdr>
    </w:div>
    <w:div w:id="1201867999">
      <w:bodyDiv w:val="1"/>
      <w:marLeft w:val="0"/>
      <w:marRight w:val="0"/>
      <w:marTop w:val="0"/>
      <w:marBottom w:val="0"/>
      <w:divBdr>
        <w:top w:val="none" w:sz="0" w:space="0" w:color="auto"/>
        <w:left w:val="none" w:sz="0" w:space="0" w:color="auto"/>
        <w:bottom w:val="none" w:sz="0" w:space="0" w:color="auto"/>
        <w:right w:val="none" w:sz="0" w:space="0" w:color="auto"/>
      </w:divBdr>
    </w:div>
    <w:div w:id="1202012197">
      <w:bodyDiv w:val="1"/>
      <w:marLeft w:val="0"/>
      <w:marRight w:val="0"/>
      <w:marTop w:val="0"/>
      <w:marBottom w:val="0"/>
      <w:divBdr>
        <w:top w:val="none" w:sz="0" w:space="0" w:color="auto"/>
        <w:left w:val="none" w:sz="0" w:space="0" w:color="auto"/>
        <w:bottom w:val="none" w:sz="0" w:space="0" w:color="auto"/>
        <w:right w:val="none" w:sz="0" w:space="0" w:color="auto"/>
      </w:divBdr>
    </w:div>
    <w:div w:id="1202013630">
      <w:bodyDiv w:val="1"/>
      <w:marLeft w:val="0"/>
      <w:marRight w:val="0"/>
      <w:marTop w:val="0"/>
      <w:marBottom w:val="0"/>
      <w:divBdr>
        <w:top w:val="none" w:sz="0" w:space="0" w:color="auto"/>
        <w:left w:val="none" w:sz="0" w:space="0" w:color="auto"/>
        <w:bottom w:val="none" w:sz="0" w:space="0" w:color="auto"/>
        <w:right w:val="none" w:sz="0" w:space="0" w:color="auto"/>
      </w:divBdr>
    </w:div>
    <w:div w:id="1202327200">
      <w:bodyDiv w:val="1"/>
      <w:marLeft w:val="0"/>
      <w:marRight w:val="0"/>
      <w:marTop w:val="0"/>
      <w:marBottom w:val="0"/>
      <w:divBdr>
        <w:top w:val="none" w:sz="0" w:space="0" w:color="auto"/>
        <w:left w:val="none" w:sz="0" w:space="0" w:color="auto"/>
        <w:bottom w:val="none" w:sz="0" w:space="0" w:color="auto"/>
        <w:right w:val="none" w:sz="0" w:space="0" w:color="auto"/>
      </w:divBdr>
    </w:div>
    <w:div w:id="1202865494">
      <w:bodyDiv w:val="1"/>
      <w:marLeft w:val="0"/>
      <w:marRight w:val="0"/>
      <w:marTop w:val="0"/>
      <w:marBottom w:val="0"/>
      <w:divBdr>
        <w:top w:val="none" w:sz="0" w:space="0" w:color="auto"/>
        <w:left w:val="none" w:sz="0" w:space="0" w:color="auto"/>
        <w:bottom w:val="none" w:sz="0" w:space="0" w:color="auto"/>
        <w:right w:val="none" w:sz="0" w:space="0" w:color="auto"/>
      </w:divBdr>
    </w:div>
    <w:div w:id="1202934214">
      <w:bodyDiv w:val="1"/>
      <w:marLeft w:val="0"/>
      <w:marRight w:val="0"/>
      <w:marTop w:val="0"/>
      <w:marBottom w:val="0"/>
      <w:divBdr>
        <w:top w:val="none" w:sz="0" w:space="0" w:color="auto"/>
        <w:left w:val="none" w:sz="0" w:space="0" w:color="auto"/>
        <w:bottom w:val="none" w:sz="0" w:space="0" w:color="auto"/>
        <w:right w:val="none" w:sz="0" w:space="0" w:color="auto"/>
      </w:divBdr>
    </w:div>
    <w:div w:id="1203061011">
      <w:bodyDiv w:val="1"/>
      <w:marLeft w:val="0"/>
      <w:marRight w:val="0"/>
      <w:marTop w:val="0"/>
      <w:marBottom w:val="0"/>
      <w:divBdr>
        <w:top w:val="none" w:sz="0" w:space="0" w:color="auto"/>
        <w:left w:val="none" w:sz="0" w:space="0" w:color="auto"/>
        <w:bottom w:val="none" w:sz="0" w:space="0" w:color="auto"/>
        <w:right w:val="none" w:sz="0" w:space="0" w:color="auto"/>
      </w:divBdr>
    </w:div>
    <w:div w:id="1203403932">
      <w:bodyDiv w:val="1"/>
      <w:marLeft w:val="0"/>
      <w:marRight w:val="0"/>
      <w:marTop w:val="0"/>
      <w:marBottom w:val="0"/>
      <w:divBdr>
        <w:top w:val="none" w:sz="0" w:space="0" w:color="auto"/>
        <w:left w:val="none" w:sz="0" w:space="0" w:color="auto"/>
        <w:bottom w:val="none" w:sz="0" w:space="0" w:color="auto"/>
        <w:right w:val="none" w:sz="0" w:space="0" w:color="auto"/>
      </w:divBdr>
    </w:div>
    <w:div w:id="1203595035">
      <w:bodyDiv w:val="1"/>
      <w:marLeft w:val="0"/>
      <w:marRight w:val="0"/>
      <w:marTop w:val="0"/>
      <w:marBottom w:val="0"/>
      <w:divBdr>
        <w:top w:val="none" w:sz="0" w:space="0" w:color="auto"/>
        <w:left w:val="none" w:sz="0" w:space="0" w:color="auto"/>
        <w:bottom w:val="none" w:sz="0" w:space="0" w:color="auto"/>
        <w:right w:val="none" w:sz="0" w:space="0" w:color="auto"/>
      </w:divBdr>
    </w:div>
    <w:div w:id="1203906437">
      <w:bodyDiv w:val="1"/>
      <w:marLeft w:val="0"/>
      <w:marRight w:val="0"/>
      <w:marTop w:val="0"/>
      <w:marBottom w:val="0"/>
      <w:divBdr>
        <w:top w:val="none" w:sz="0" w:space="0" w:color="auto"/>
        <w:left w:val="none" w:sz="0" w:space="0" w:color="auto"/>
        <w:bottom w:val="none" w:sz="0" w:space="0" w:color="auto"/>
        <w:right w:val="none" w:sz="0" w:space="0" w:color="auto"/>
      </w:divBdr>
    </w:div>
    <w:div w:id="1204294286">
      <w:bodyDiv w:val="1"/>
      <w:marLeft w:val="0"/>
      <w:marRight w:val="0"/>
      <w:marTop w:val="0"/>
      <w:marBottom w:val="0"/>
      <w:divBdr>
        <w:top w:val="none" w:sz="0" w:space="0" w:color="auto"/>
        <w:left w:val="none" w:sz="0" w:space="0" w:color="auto"/>
        <w:bottom w:val="none" w:sz="0" w:space="0" w:color="auto"/>
        <w:right w:val="none" w:sz="0" w:space="0" w:color="auto"/>
      </w:divBdr>
    </w:div>
    <w:div w:id="1204362935">
      <w:bodyDiv w:val="1"/>
      <w:marLeft w:val="0"/>
      <w:marRight w:val="0"/>
      <w:marTop w:val="0"/>
      <w:marBottom w:val="0"/>
      <w:divBdr>
        <w:top w:val="none" w:sz="0" w:space="0" w:color="auto"/>
        <w:left w:val="none" w:sz="0" w:space="0" w:color="auto"/>
        <w:bottom w:val="none" w:sz="0" w:space="0" w:color="auto"/>
        <w:right w:val="none" w:sz="0" w:space="0" w:color="auto"/>
      </w:divBdr>
    </w:div>
    <w:div w:id="1204631996">
      <w:bodyDiv w:val="1"/>
      <w:marLeft w:val="0"/>
      <w:marRight w:val="0"/>
      <w:marTop w:val="0"/>
      <w:marBottom w:val="0"/>
      <w:divBdr>
        <w:top w:val="none" w:sz="0" w:space="0" w:color="auto"/>
        <w:left w:val="none" w:sz="0" w:space="0" w:color="auto"/>
        <w:bottom w:val="none" w:sz="0" w:space="0" w:color="auto"/>
        <w:right w:val="none" w:sz="0" w:space="0" w:color="auto"/>
      </w:divBdr>
    </w:div>
    <w:div w:id="1205291364">
      <w:bodyDiv w:val="1"/>
      <w:marLeft w:val="0"/>
      <w:marRight w:val="0"/>
      <w:marTop w:val="0"/>
      <w:marBottom w:val="0"/>
      <w:divBdr>
        <w:top w:val="none" w:sz="0" w:space="0" w:color="auto"/>
        <w:left w:val="none" w:sz="0" w:space="0" w:color="auto"/>
        <w:bottom w:val="none" w:sz="0" w:space="0" w:color="auto"/>
        <w:right w:val="none" w:sz="0" w:space="0" w:color="auto"/>
      </w:divBdr>
    </w:div>
    <w:div w:id="1205560911">
      <w:bodyDiv w:val="1"/>
      <w:marLeft w:val="0"/>
      <w:marRight w:val="0"/>
      <w:marTop w:val="0"/>
      <w:marBottom w:val="0"/>
      <w:divBdr>
        <w:top w:val="none" w:sz="0" w:space="0" w:color="auto"/>
        <w:left w:val="none" w:sz="0" w:space="0" w:color="auto"/>
        <w:bottom w:val="none" w:sz="0" w:space="0" w:color="auto"/>
        <w:right w:val="none" w:sz="0" w:space="0" w:color="auto"/>
      </w:divBdr>
    </w:div>
    <w:div w:id="1206023854">
      <w:bodyDiv w:val="1"/>
      <w:marLeft w:val="0"/>
      <w:marRight w:val="0"/>
      <w:marTop w:val="0"/>
      <w:marBottom w:val="0"/>
      <w:divBdr>
        <w:top w:val="none" w:sz="0" w:space="0" w:color="auto"/>
        <w:left w:val="none" w:sz="0" w:space="0" w:color="auto"/>
        <w:bottom w:val="none" w:sz="0" w:space="0" w:color="auto"/>
        <w:right w:val="none" w:sz="0" w:space="0" w:color="auto"/>
      </w:divBdr>
    </w:div>
    <w:div w:id="1206483457">
      <w:bodyDiv w:val="1"/>
      <w:marLeft w:val="0"/>
      <w:marRight w:val="0"/>
      <w:marTop w:val="0"/>
      <w:marBottom w:val="0"/>
      <w:divBdr>
        <w:top w:val="none" w:sz="0" w:space="0" w:color="auto"/>
        <w:left w:val="none" w:sz="0" w:space="0" w:color="auto"/>
        <w:bottom w:val="none" w:sz="0" w:space="0" w:color="auto"/>
        <w:right w:val="none" w:sz="0" w:space="0" w:color="auto"/>
      </w:divBdr>
    </w:div>
    <w:div w:id="1206526434">
      <w:bodyDiv w:val="1"/>
      <w:marLeft w:val="0"/>
      <w:marRight w:val="0"/>
      <w:marTop w:val="0"/>
      <w:marBottom w:val="0"/>
      <w:divBdr>
        <w:top w:val="none" w:sz="0" w:space="0" w:color="auto"/>
        <w:left w:val="none" w:sz="0" w:space="0" w:color="auto"/>
        <w:bottom w:val="none" w:sz="0" w:space="0" w:color="auto"/>
        <w:right w:val="none" w:sz="0" w:space="0" w:color="auto"/>
      </w:divBdr>
    </w:div>
    <w:div w:id="1206674845">
      <w:bodyDiv w:val="1"/>
      <w:marLeft w:val="0"/>
      <w:marRight w:val="0"/>
      <w:marTop w:val="0"/>
      <w:marBottom w:val="0"/>
      <w:divBdr>
        <w:top w:val="none" w:sz="0" w:space="0" w:color="auto"/>
        <w:left w:val="none" w:sz="0" w:space="0" w:color="auto"/>
        <w:bottom w:val="none" w:sz="0" w:space="0" w:color="auto"/>
        <w:right w:val="none" w:sz="0" w:space="0" w:color="auto"/>
      </w:divBdr>
    </w:div>
    <w:div w:id="1206681048">
      <w:bodyDiv w:val="1"/>
      <w:marLeft w:val="0"/>
      <w:marRight w:val="0"/>
      <w:marTop w:val="0"/>
      <w:marBottom w:val="0"/>
      <w:divBdr>
        <w:top w:val="none" w:sz="0" w:space="0" w:color="auto"/>
        <w:left w:val="none" w:sz="0" w:space="0" w:color="auto"/>
        <w:bottom w:val="none" w:sz="0" w:space="0" w:color="auto"/>
        <w:right w:val="none" w:sz="0" w:space="0" w:color="auto"/>
      </w:divBdr>
    </w:div>
    <w:div w:id="1207181969">
      <w:bodyDiv w:val="1"/>
      <w:marLeft w:val="0"/>
      <w:marRight w:val="0"/>
      <w:marTop w:val="0"/>
      <w:marBottom w:val="0"/>
      <w:divBdr>
        <w:top w:val="none" w:sz="0" w:space="0" w:color="auto"/>
        <w:left w:val="none" w:sz="0" w:space="0" w:color="auto"/>
        <w:bottom w:val="none" w:sz="0" w:space="0" w:color="auto"/>
        <w:right w:val="none" w:sz="0" w:space="0" w:color="auto"/>
      </w:divBdr>
    </w:div>
    <w:div w:id="1207374067">
      <w:bodyDiv w:val="1"/>
      <w:marLeft w:val="0"/>
      <w:marRight w:val="0"/>
      <w:marTop w:val="0"/>
      <w:marBottom w:val="0"/>
      <w:divBdr>
        <w:top w:val="none" w:sz="0" w:space="0" w:color="auto"/>
        <w:left w:val="none" w:sz="0" w:space="0" w:color="auto"/>
        <w:bottom w:val="none" w:sz="0" w:space="0" w:color="auto"/>
        <w:right w:val="none" w:sz="0" w:space="0" w:color="auto"/>
      </w:divBdr>
    </w:div>
    <w:div w:id="1207571799">
      <w:bodyDiv w:val="1"/>
      <w:marLeft w:val="0"/>
      <w:marRight w:val="0"/>
      <w:marTop w:val="0"/>
      <w:marBottom w:val="0"/>
      <w:divBdr>
        <w:top w:val="none" w:sz="0" w:space="0" w:color="auto"/>
        <w:left w:val="none" w:sz="0" w:space="0" w:color="auto"/>
        <w:bottom w:val="none" w:sz="0" w:space="0" w:color="auto"/>
        <w:right w:val="none" w:sz="0" w:space="0" w:color="auto"/>
      </w:divBdr>
    </w:div>
    <w:div w:id="1208030610">
      <w:bodyDiv w:val="1"/>
      <w:marLeft w:val="0"/>
      <w:marRight w:val="0"/>
      <w:marTop w:val="0"/>
      <w:marBottom w:val="0"/>
      <w:divBdr>
        <w:top w:val="none" w:sz="0" w:space="0" w:color="auto"/>
        <w:left w:val="none" w:sz="0" w:space="0" w:color="auto"/>
        <w:bottom w:val="none" w:sz="0" w:space="0" w:color="auto"/>
        <w:right w:val="none" w:sz="0" w:space="0" w:color="auto"/>
      </w:divBdr>
    </w:div>
    <w:div w:id="1208179067">
      <w:bodyDiv w:val="1"/>
      <w:marLeft w:val="0"/>
      <w:marRight w:val="0"/>
      <w:marTop w:val="0"/>
      <w:marBottom w:val="0"/>
      <w:divBdr>
        <w:top w:val="none" w:sz="0" w:space="0" w:color="auto"/>
        <w:left w:val="none" w:sz="0" w:space="0" w:color="auto"/>
        <w:bottom w:val="none" w:sz="0" w:space="0" w:color="auto"/>
        <w:right w:val="none" w:sz="0" w:space="0" w:color="auto"/>
      </w:divBdr>
    </w:div>
    <w:div w:id="1208566415">
      <w:bodyDiv w:val="1"/>
      <w:marLeft w:val="0"/>
      <w:marRight w:val="0"/>
      <w:marTop w:val="0"/>
      <w:marBottom w:val="0"/>
      <w:divBdr>
        <w:top w:val="none" w:sz="0" w:space="0" w:color="auto"/>
        <w:left w:val="none" w:sz="0" w:space="0" w:color="auto"/>
        <w:bottom w:val="none" w:sz="0" w:space="0" w:color="auto"/>
        <w:right w:val="none" w:sz="0" w:space="0" w:color="auto"/>
      </w:divBdr>
    </w:div>
    <w:div w:id="1208881661">
      <w:bodyDiv w:val="1"/>
      <w:marLeft w:val="0"/>
      <w:marRight w:val="0"/>
      <w:marTop w:val="0"/>
      <w:marBottom w:val="0"/>
      <w:divBdr>
        <w:top w:val="none" w:sz="0" w:space="0" w:color="auto"/>
        <w:left w:val="none" w:sz="0" w:space="0" w:color="auto"/>
        <w:bottom w:val="none" w:sz="0" w:space="0" w:color="auto"/>
        <w:right w:val="none" w:sz="0" w:space="0" w:color="auto"/>
      </w:divBdr>
    </w:div>
    <w:div w:id="1209027270">
      <w:bodyDiv w:val="1"/>
      <w:marLeft w:val="0"/>
      <w:marRight w:val="0"/>
      <w:marTop w:val="0"/>
      <w:marBottom w:val="0"/>
      <w:divBdr>
        <w:top w:val="none" w:sz="0" w:space="0" w:color="auto"/>
        <w:left w:val="none" w:sz="0" w:space="0" w:color="auto"/>
        <w:bottom w:val="none" w:sz="0" w:space="0" w:color="auto"/>
        <w:right w:val="none" w:sz="0" w:space="0" w:color="auto"/>
      </w:divBdr>
    </w:div>
    <w:div w:id="1209148157">
      <w:bodyDiv w:val="1"/>
      <w:marLeft w:val="0"/>
      <w:marRight w:val="0"/>
      <w:marTop w:val="0"/>
      <w:marBottom w:val="0"/>
      <w:divBdr>
        <w:top w:val="none" w:sz="0" w:space="0" w:color="auto"/>
        <w:left w:val="none" w:sz="0" w:space="0" w:color="auto"/>
        <w:bottom w:val="none" w:sz="0" w:space="0" w:color="auto"/>
        <w:right w:val="none" w:sz="0" w:space="0" w:color="auto"/>
      </w:divBdr>
    </w:div>
    <w:div w:id="1209419832">
      <w:bodyDiv w:val="1"/>
      <w:marLeft w:val="0"/>
      <w:marRight w:val="0"/>
      <w:marTop w:val="0"/>
      <w:marBottom w:val="0"/>
      <w:divBdr>
        <w:top w:val="none" w:sz="0" w:space="0" w:color="auto"/>
        <w:left w:val="none" w:sz="0" w:space="0" w:color="auto"/>
        <w:bottom w:val="none" w:sz="0" w:space="0" w:color="auto"/>
        <w:right w:val="none" w:sz="0" w:space="0" w:color="auto"/>
      </w:divBdr>
    </w:div>
    <w:div w:id="1209535797">
      <w:bodyDiv w:val="1"/>
      <w:marLeft w:val="0"/>
      <w:marRight w:val="0"/>
      <w:marTop w:val="0"/>
      <w:marBottom w:val="0"/>
      <w:divBdr>
        <w:top w:val="none" w:sz="0" w:space="0" w:color="auto"/>
        <w:left w:val="none" w:sz="0" w:space="0" w:color="auto"/>
        <w:bottom w:val="none" w:sz="0" w:space="0" w:color="auto"/>
        <w:right w:val="none" w:sz="0" w:space="0" w:color="auto"/>
      </w:divBdr>
    </w:div>
    <w:div w:id="1210846472">
      <w:bodyDiv w:val="1"/>
      <w:marLeft w:val="0"/>
      <w:marRight w:val="0"/>
      <w:marTop w:val="0"/>
      <w:marBottom w:val="0"/>
      <w:divBdr>
        <w:top w:val="none" w:sz="0" w:space="0" w:color="auto"/>
        <w:left w:val="none" w:sz="0" w:space="0" w:color="auto"/>
        <w:bottom w:val="none" w:sz="0" w:space="0" w:color="auto"/>
        <w:right w:val="none" w:sz="0" w:space="0" w:color="auto"/>
      </w:divBdr>
    </w:div>
    <w:div w:id="1211117021">
      <w:bodyDiv w:val="1"/>
      <w:marLeft w:val="0"/>
      <w:marRight w:val="0"/>
      <w:marTop w:val="0"/>
      <w:marBottom w:val="0"/>
      <w:divBdr>
        <w:top w:val="none" w:sz="0" w:space="0" w:color="auto"/>
        <w:left w:val="none" w:sz="0" w:space="0" w:color="auto"/>
        <w:bottom w:val="none" w:sz="0" w:space="0" w:color="auto"/>
        <w:right w:val="none" w:sz="0" w:space="0" w:color="auto"/>
      </w:divBdr>
    </w:div>
    <w:div w:id="1211310560">
      <w:bodyDiv w:val="1"/>
      <w:marLeft w:val="0"/>
      <w:marRight w:val="0"/>
      <w:marTop w:val="0"/>
      <w:marBottom w:val="0"/>
      <w:divBdr>
        <w:top w:val="none" w:sz="0" w:space="0" w:color="auto"/>
        <w:left w:val="none" w:sz="0" w:space="0" w:color="auto"/>
        <w:bottom w:val="none" w:sz="0" w:space="0" w:color="auto"/>
        <w:right w:val="none" w:sz="0" w:space="0" w:color="auto"/>
      </w:divBdr>
    </w:div>
    <w:div w:id="1211528195">
      <w:bodyDiv w:val="1"/>
      <w:marLeft w:val="0"/>
      <w:marRight w:val="0"/>
      <w:marTop w:val="0"/>
      <w:marBottom w:val="0"/>
      <w:divBdr>
        <w:top w:val="none" w:sz="0" w:space="0" w:color="auto"/>
        <w:left w:val="none" w:sz="0" w:space="0" w:color="auto"/>
        <w:bottom w:val="none" w:sz="0" w:space="0" w:color="auto"/>
        <w:right w:val="none" w:sz="0" w:space="0" w:color="auto"/>
      </w:divBdr>
    </w:div>
    <w:div w:id="1211571052">
      <w:bodyDiv w:val="1"/>
      <w:marLeft w:val="0"/>
      <w:marRight w:val="0"/>
      <w:marTop w:val="0"/>
      <w:marBottom w:val="0"/>
      <w:divBdr>
        <w:top w:val="none" w:sz="0" w:space="0" w:color="auto"/>
        <w:left w:val="none" w:sz="0" w:space="0" w:color="auto"/>
        <w:bottom w:val="none" w:sz="0" w:space="0" w:color="auto"/>
        <w:right w:val="none" w:sz="0" w:space="0" w:color="auto"/>
      </w:divBdr>
    </w:div>
    <w:div w:id="1211571942">
      <w:bodyDiv w:val="1"/>
      <w:marLeft w:val="0"/>
      <w:marRight w:val="0"/>
      <w:marTop w:val="0"/>
      <w:marBottom w:val="0"/>
      <w:divBdr>
        <w:top w:val="none" w:sz="0" w:space="0" w:color="auto"/>
        <w:left w:val="none" w:sz="0" w:space="0" w:color="auto"/>
        <w:bottom w:val="none" w:sz="0" w:space="0" w:color="auto"/>
        <w:right w:val="none" w:sz="0" w:space="0" w:color="auto"/>
      </w:divBdr>
    </w:div>
    <w:div w:id="1211770634">
      <w:bodyDiv w:val="1"/>
      <w:marLeft w:val="0"/>
      <w:marRight w:val="0"/>
      <w:marTop w:val="0"/>
      <w:marBottom w:val="0"/>
      <w:divBdr>
        <w:top w:val="none" w:sz="0" w:space="0" w:color="auto"/>
        <w:left w:val="none" w:sz="0" w:space="0" w:color="auto"/>
        <w:bottom w:val="none" w:sz="0" w:space="0" w:color="auto"/>
        <w:right w:val="none" w:sz="0" w:space="0" w:color="auto"/>
      </w:divBdr>
    </w:div>
    <w:div w:id="1211771084">
      <w:bodyDiv w:val="1"/>
      <w:marLeft w:val="0"/>
      <w:marRight w:val="0"/>
      <w:marTop w:val="0"/>
      <w:marBottom w:val="0"/>
      <w:divBdr>
        <w:top w:val="none" w:sz="0" w:space="0" w:color="auto"/>
        <w:left w:val="none" w:sz="0" w:space="0" w:color="auto"/>
        <w:bottom w:val="none" w:sz="0" w:space="0" w:color="auto"/>
        <w:right w:val="none" w:sz="0" w:space="0" w:color="auto"/>
      </w:divBdr>
    </w:div>
    <w:div w:id="1212157787">
      <w:bodyDiv w:val="1"/>
      <w:marLeft w:val="0"/>
      <w:marRight w:val="0"/>
      <w:marTop w:val="0"/>
      <w:marBottom w:val="0"/>
      <w:divBdr>
        <w:top w:val="none" w:sz="0" w:space="0" w:color="auto"/>
        <w:left w:val="none" w:sz="0" w:space="0" w:color="auto"/>
        <w:bottom w:val="none" w:sz="0" w:space="0" w:color="auto"/>
        <w:right w:val="none" w:sz="0" w:space="0" w:color="auto"/>
      </w:divBdr>
    </w:div>
    <w:div w:id="1213232243">
      <w:bodyDiv w:val="1"/>
      <w:marLeft w:val="0"/>
      <w:marRight w:val="0"/>
      <w:marTop w:val="0"/>
      <w:marBottom w:val="0"/>
      <w:divBdr>
        <w:top w:val="none" w:sz="0" w:space="0" w:color="auto"/>
        <w:left w:val="none" w:sz="0" w:space="0" w:color="auto"/>
        <w:bottom w:val="none" w:sz="0" w:space="0" w:color="auto"/>
        <w:right w:val="none" w:sz="0" w:space="0" w:color="auto"/>
      </w:divBdr>
    </w:div>
    <w:div w:id="1214540643">
      <w:bodyDiv w:val="1"/>
      <w:marLeft w:val="0"/>
      <w:marRight w:val="0"/>
      <w:marTop w:val="0"/>
      <w:marBottom w:val="0"/>
      <w:divBdr>
        <w:top w:val="none" w:sz="0" w:space="0" w:color="auto"/>
        <w:left w:val="none" w:sz="0" w:space="0" w:color="auto"/>
        <w:bottom w:val="none" w:sz="0" w:space="0" w:color="auto"/>
        <w:right w:val="none" w:sz="0" w:space="0" w:color="auto"/>
      </w:divBdr>
    </w:div>
    <w:div w:id="1214925938">
      <w:bodyDiv w:val="1"/>
      <w:marLeft w:val="0"/>
      <w:marRight w:val="0"/>
      <w:marTop w:val="0"/>
      <w:marBottom w:val="0"/>
      <w:divBdr>
        <w:top w:val="none" w:sz="0" w:space="0" w:color="auto"/>
        <w:left w:val="none" w:sz="0" w:space="0" w:color="auto"/>
        <w:bottom w:val="none" w:sz="0" w:space="0" w:color="auto"/>
        <w:right w:val="none" w:sz="0" w:space="0" w:color="auto"/>
      </w:divBdr>
    </w:div>
    <w:div w:id="1215121432">
      <w:bodyDiv w:val="1"/>
      <w:marLeft w:val="0"/>
      <w:marRight w:val="0"/>
      <w:marTop w:val="0"/>
      <w:marBottom w:val="0"/>
      <w:divBdr>
        <w:top w:val="none" w:sz="0" w:space="0" w:color="auto"/>
        <w:left w:val="none" w:sz="0" w:space="0" w:color="auto"/>
        <w:bottom w:val="none" w:sz="0" w:space="0" w:color="auto"/>
        <w:right w:val="none" w:sz="0" w:space="0" w:color="auto"/>
      </w:divBdr>
    </w:div>
    <w:div w:id="1215192190">
      <w:bodyDiv w:val="1"/>
      <w:marLeft w:val="0"/>
      <w:marRight w:val="0"/>
      <w:marTop w:val="0"/>
      <w:marBottom w:val="0"/>
      <w:divBdr>
        <w:top w:val="none" w:sz="0" w:space="0" w:color="auto"/>
        <w:left w:val="none" w:sz="0" w:space="0" w:color="auto"/>
        <w:bottom w:val="none" w:sz="0" w:space="0" w:color="auto"/>
        <w:right w:val="none" w:sz="0" w:space="0" w:color="auto"/>
      </w:divBdr>
    </w:div>
    <w:div w:id="1215969767">
      <w:bodyDiv w:val="1"/>
      <w:marLeft w:val="0"/>
      <w:marRight w:val="0"/>
      <w:marTop w:val="0"/>
      <w:marBottom w:val="0"/>
      <w:divBdr>
        <w:top w:val="none" w:sz="0" w:space="0" w:color="auto"/>
        <w:left w:val="none" w:sz="0" w:space="0" w:color="auto"/>
        <w:bottom w:val="none" w:sz="0" w:space="0" w:color="auto"/>
        <w:right w:val="none" w:sz="0" w:space="0" w:color="auto"/>
      </w:divBdr>
    </w:div>
    <w:div w:id="1216503468">
      <w:bodyDiv w:val="1"/>
      <w:marLeft w:val="0"/>
      <w:marRight w:val="0"/>
      <w:marTop w:val="0"/>
      <w:marBottom w:val="0"/>
      <w:divBdr>
        <w:top w:val="none" w:sz="0" w:space="0" w:color="auto"/>
        <w:left w:val="none" w:sz="0" w:space="0" w:color="auto"/>
        <w:bottom w:val="none" w:sz="0" w:space="0" w:color="auto"/>
        <w:right w:val="none" w:sz="0" w:space="0" w:color="auto"/>
      </w:divBdr>
    </w:div>
    <w:div w:id="1216506278">
      <w:bodyDiv w:val="1"/>
      <w:marLeft w:val="0"/>
      <w:marRight w:val="0"/>
      <w:marTop w:val="0"/>
      <w:marBottom w:val="0"/>
      <w:divBdr>
        <w:top w:val="none" w:sz="0" w:space="0" w:color="auto"/>
        <w:left w:val="none" w:sz="0" w:space="0" w:color="auto"/>
        <w:bottom w:val="none" w:sz="0" w:space="0" w:color="auto"/>
        <w:right w:val="none" w:sz="0" w:space="0" w:color="auto"/>
      </w:divBdr>
    </w:div>
    <w:div w:id="1216576710">
      <w:bodyDiv w:val="1"/>
      <w:marLeft w:val="0"/>
      <w:marRight w:val="0"/>
      <w:marTop w:val="0"/>
      <w:marBottom w:val="0"/>
      <w:divBdr>
        <w:top w:val="none" w:sz="0" w:space="0" w:color="auto"/>
        <w:left w:val="none" w:sz="0" w:space="0" w:color="auto"/>
        <w:bottom w:val="none" w:sz="0" w:space="0" w:color="auto"/>
        <w:right w:val="none" w:sz="0" w:space="0" w:color="auto"/>
      </w:divBdr>
    </w:div>
    <w:div w:id="1217274012">
      <w:bodyDiv w:val="1"/>
      <w:marLeft w:val="0"/>
      <w:marRight w:val="0"/>
      <w:marTop w:val="0"/>
      <w:marBottom w:val="0"/>
      <w:divBdr>
        <w:top w:val="none" w:sz="0" w:space="0" w:color="auto"/>
        <w:left w:val="none" w:sz="0" w:space="0" w:color="auto"/>
        <w:bottom w:val="none" w:sz="0" w:space="0" w:color="auto"/>
        <w:right w:val="none" w:sz="0" w:space="0" w:color="auto"/>
      </w:divBdr>
    </w:div>
    <w:div w:id="1217398853">
      <w:bodyDiv w:val="1"/>
      <w:marLeft w:val="0"/>
      <w:marRight w:val="0"/>
      <w:marTop w:val="0"/>
      <w:marBottom w:val="0"/>
      <w:divBdr>
        <w:top w:val="none" w:sz="0" w:space="0" w:color="auto"/>
        <w:left w:val="none" w:sz="0" w:space="0" w:color="auto"/>
        <w:bottom w:val="none" w:sz="0" w:space="0" w:color="auto"/>
        <w:right w:val="none" w:sz="0" w:space="0" w:color="auto"/>
      </w:divBdr>
    </w:div>
    <w:div w:id="1217400858">
      <w:bodyDiv w:val="1"/>
      <w:marLeft w:val="0"/>
      <w:marRight w:val="0"/>
      <w:marTop w:val="0"/>
      <w:marBottom w:val="0"/>
      <w:divBdr>
        <w:top w:val="none" w:sz="0" w:space="0" w:color="auto"/>
        <w:left w:val="none" w:sz="0" w:space="0" w:color="auto"/>
        <w:bottom w:val="none" w:sz="0" w:space="0" w:color="auto"/>
        <w:right w:val="none" w:sz="0" w:space="0" w:color="auto"/>
      </w:divBdr>
    </w:div>
    <w:div w:id="1217736066">
      <w:bodyDiv w:val="1"/>
      <w:marLeft w:val="0"/>
      <w:marRight w:val="0"/>
      <w:marTop w:val="0"/>
      <w:marBottom w:val="0"/>
      <w:divBdr>
        <w:top w:val="none" w:sz="0" w:space="0" w:color="auto"/>
        <w:left w:val="none" w:sz="0" w:space="0" w:color="auto"/>
        <w:bottom w:val="none" w:sz="0" w:space="0" w:color="auto"/>
        <w:right w:val="none" w:sz="0" w:space="0" w:color="auto"/>
      </w:divBdr>
    </w:div>
    <w:div w:id="1219173922">
      <w:bodyDiv w:val="1"/>
      <w:marLeft w:val="0"/>
      <w:marRight w:val="0"/>
      <w:marTop w:val="0"/>
      <w:marBottom w:val="0"/>
      <w:divBdr>
        <w:top w:val="none" w:sz="0" w:space="0" w:color="auto"/>
        <w:left w:val="none" w:sz="0" w:space="0" w:color="auto"/>
        <w:bottom w:val="none" w:sz="0" w:space="0" w:color="auto"/>
        <w:right w:val="none" w:sz="0" w:space="0" w:color="auto"/>
      </w:divBdr>
    </w:div>
    <w:div w:id="1219244949">
      <w:bodyDiv w:val="1"/>
      <w:marLeft w:val="0"/>
      <w:marRight w:val="0"/>
      <w:marTop w:val="0"/>
      <w:marBottom w:val="0"/>
      <w:divBdr>
        <w:top w:val="none" w:sz="0" w:space="0" w:color="auto"/>
        <w:left w:val="none" w:sz="0" w:space="0" w:color="auto"/>
        <w:bottom w:val="none" w:sz="0" w:space="0" w:color="auto"/>
        <w:right w:val="none" w:sz="0" w:space="0" w:color="auto"/>
      </w:divBdr>
    </w:div>
    <w:div w:id="1219778891">
      <w:bodyDiv w:val="1"/>
      <w:marLeft w:val="0"/>
      <w:marRight w:val="0"/>
      <w:marTop w:val="0"/>
      <w:marBottom w:val="0"/>
      <w:divBdr>
        <w:top w:val="none" w:sz="0" w:space="0" w:color="auto"/>
        <w:left w:val="none" w:sz="0" w:space="0" w:color="auto"/>
        <w:bottom w:val="none" w:sz="0" w:space="0" w:color="auto"/>
        <w:right w:val="none" w:sz="0" w:space="0" w:color="auto"/>
      </w:divBdr>
    </w:div>
    <w:div w:id="1220823337">
      <w:bodyDiv w:val="1"/>
      <w:marLeft w:val="0"/>
      <w:marRight w:val="0"/>
      <w:marTop w:val="0"/>
      <w:marBottom w:val="0"/>
      <w:divBdr>
        <w:top w:val="none" w:sz="0" w:space="0" w:color="auto"/>
        <w:left w:val="none" w:sz="0" w:space="0" w:color="auto"/>
        <w:bottom w:val="none" w:sz="0" w:space="0" w:color="auto"/>
        <w:right w:val="none" w:sz="0" w:space="0" w:color="auto"/>
      </w:divBdr>
    </w:div>
    <w:div w:id="1221280955">
      <w:bodyDiv w:val="1"/>
      <w:marLeft w:val="0"/>
      <w:marRight w:val="0"/>
      <w:marTop w:val="0"/>
      <w:marBottom w:val="0"/>
      <w:divBdr>
        <w:top w:val="none" w:sz="0" w:space="0" w:color="auto"/>
        <w:left w:val="none" w:sz="0" w:space="0" w:color="auto"/>
        <w:bottom w:val="none" w:sz="0" w:space="0" w:color="auto"/>
        <w:right w:val="none" w:sz="0" w:space="0" w:color="auto"/>
      </w:divBdr>
    </w:div>
    <w:div w:id="1221287428">
      <w:bodyDiv w:val="1"/>
      <w:marLeft w:val="0"/>
      <w:marRight w:val="0"/>
      <w:marTop w:val="0"/>
      <w:marBottom w:val="0"/>
      <w:divBdr>
        <w:top w:val="none" w:sz="0" w:space="0" w:color="auto"/>
        <w:left w:val="none" w:sz="0" w:space="0" w:color="auto"/>
        <w:bottom w:val="none" w:sz="0" w:space="0" w:color="auto"/>
        <w:right w:val="none" w:sz="0" w:space="0" w:color="auto"/>
      </w:divBdr>
    </w:div>
    <w:div w:id="1221553072">
      <w:bodyDiv w:val="1"/>
      <w:marLeft w:val="0"/>
      <w:marRight w:val="0"/>
      <w:marTop w:val="0"/>
      <w:marBottom w:val="0"/>
      <w:divBdr>
        <w:top w:val="none" w:sz="0" w:space="0" w:color="auto"/>
        <w:left w:val="none" w:sz="0" w:space="0" w:color="auto"/>
        <w:bottom w:val="none" w:sz="0" w:space="0" w:color="auto"/>
        <w:right w:val="none" w:sz="0" w:space="0" w:color="auto"/>
      </w:divBdr>
    </w:div>
    <w:div w:id="1221941157">
      <w:bodyDiv w:val="1"/>
      <w:marLeft w:val="0"/>
      <w:marRight w:val="0"/>
      <w:marTop w:val="0"/>
      <w:marBottom w:val="0"/>
      <w:divBdr>
        <w:top w:val="none" w:sz="0" w:space="0" w:color="auto"/>
        <w:left w:val="none" w:sz="0" w:space="0" w:color="auto"/>
        <w:bottom w:val="none" w:sz="0" w:space="0" w:color="auto"/>
        <w:right w:val="none" w:sz="0" w:space="0" w:color="auto"/>
      </w:divBdr>
    </w:div>
    <w:div w:id="1222713922">
      <w:bodyDiv w:val="1"/>
      <w:marLeft w:val="0"/>
      <w:marRight w:val="0"/>
      <w:marTop w:val="0"/>
      <w:marBottom w:val="0"/>
      <w:divBdr>
        <w:top w:val="none" w:sz="0" w:space="0" w:color="auto"/>
        <w:left w:val="none" w:sz="0" w:space="0" w:color="auto"/>
        <w:bottom w:val="none" w:sz="0" w:space="0" w:color="auto"/>
        <w:right w:val="none" w:sz="0" w:space="0" w:color="auto"/>
      </w:divBdr>
    </w:div>
    <w:div w:id="1222868224">
      <w:bodyDiv w:val="1"/>
      <w:marLeft w:val="0"/>
      <w:marRight w:val="0"/>
      <w:marTop w:val="0"/>
      <w:marBottom w:val="0"/>
      <w:divBdr>
        <w:top w:val="none" w:sz="0" w:space="0" w:color="auto"/>
        <w:left w:val="none" w:sz="0" w:space="0" w:color="auto"/>
        <w:bottom w:val="none" w:sz="0" w:space="0" w:color="auto"/>
        <w:right w:val="none" w:sz="0" w:space="0" w:color="auto"/>
      </w:divBdr>
    </w:div>
    <w:div w:id="1223444760">
      <w:bodyDiv w:val="1"/>
      <w:marLeft w:val="0"/>
      <w:marRight w:val="0"/>
      <w:marTop w:val="0"/>
      <w:marBottom w:val="0"/>
      <w:divBdr>
        <w:top w:val="none" w:sz="0" w:space="0" w:color="auto"/>
        <w:left w:val="none" w:sz="0" w:space="0" w:color="auto"/>
        <w:bottom w:val="none" w:sz="0" w:space="0" w:color="auto"/>
        <w:right w:val="none" w:sz="0" w:space="0" w:color="auto"/>
      </w:divBdr>
    </w:div>
    <w:div w:id="1224290829">
      <w:bodyDiv w:val="1"/>
      <w:marLeft w:val="0"/>
      <w:marRight w:val="0"/>
      <w:marTop w:val="0"/>
      <w:marBottom w:val="0"/>
      <w:divBdr>
        <w:top w:val="none" w:sz="0" w:space="0" w:color="auto"/>
        <w:left w:val="none" w:sz="0" w:space="0" w:color="auto"/>
        <w:bottom w:val="none" w:sz="0" w:space="0" w:color="auto"/>
        <w:right w:val="none" w:sz="0" w:space="0" w:color="auto"/>
      </w:divBdr>
    </w:div>
    <w:div w:id="1224298046">
      <w:bodyDiv w:val="1"/>
      <w:marLeft w:val="0"/>
      <w:marRight w:val="0"/>
      <w:marTop w:val="0"/>
      <w:marBottom w:val="0"/>
      <w:divBdr>
        <w:top w:val="none" w:sz="0" w:space="0" w:color="auto"/>
        <w:left w:val="none" w:sz="0" w:space="0" w:color="auto"/>
        <w:bottom w:val="none" w:sz="0" w:space="0" w:color="auto"/>
        <w:right w:val="none" w:sz="0" w:space="0" w:color="auto"/>
      </w:divBdr>
    </w:div>
    <w:div w:id="1224371617">
      <w:bodyDiv w:val="1"/>
      <w:marLeft w:val="0"/>
      <w:marRight w:val="0"/>
      <w:marTop w:val="0"/>
      <w:marBottom w:val="0"/>
      <w:divBdr>
        <w:top w:val="none" w:sz="0" w:space="0" w:color="auto"/>
        <w:left w:val="none" w:sz="0" w:space="0" w:color="auto"/>
        <w:bottom w:val="none" w:sz="0" w:space="0" w:color="auto"/>
        <w:right w:val="none" w:sz="0" w:space="0" w:color="auto"/>
      </w:divBdr>
    </w:div>
    <w:div w:id="1224561223">
      <w:bodyDiv w:val="1"/>
      <w:marLeft w:val="0"/>
      <w:marRight w:val="0"/>
      <w:marTop w:val="0"/>
      <w:marBottom w:val="0"/>
      <w:divBdr>
        <w:top w:val="none" w:sz="0" w:space="0" w:color="auto"/>
        <w:left w:val="none" w:sz="0" w:space="0" w:color="auto"/>
        <w:bottom w:val="none" w:sz="0" w:space="0" w:color="auto"/>
        <w:right w:val="none" w:sz="0" w:space="0" w:color="auto"/>
      </w:divBdr>
    </w:div>
    <w:div w:id="1224948047">
      <w:bodyDiv w:val="1"/>
      <w:marLeft w:val="0"/>
      <w:marRight w:val="0"/>
      <w:marTop w:val="0"/>
      <w:marBottom w:val="0"/>
      <w:divBdr>
        <w:top w:val="none" w:sz="0" w:space="0" w:color="auto"/>
        <w:left w:val="none" w:sz="0" w:space="0" w:color="auto"/>
        <w:bottom w:val="none" w:sz="0" w:space="0" w:color="auto"/>
        <w:right w:val="none" w:sz="0" w:space="0" w:color="auto"/>
      </w:divBdr>
    </w:div>
    <w:div w:id="1225141613">
      <w:bodyDiv w:val="1"/>
      <w:marLeft w:val="0"/>
      <w:marRight w:val="0"/>
      <w:marTop w:val="0"/>
      <w:marBottom w:val="0"/>
      <w:divBdr>
        <w:top w:val="none" w:sz="0" w:space="0" w:color="auto"/>
        <w:left w:val="none" w:sz="0" w:space="0" w:color="auto"/>
        <w:bottom w:val="none" w:sz="0" w:space="0" w:color="auto"/>
        <w:right w:val="none" w:sz="0" w:space="0" w:color="auto"/>
      </w:divBdr>
    </w:div>
    <w:div w:id="1225530265">
      <w:bodyDiv w:val="1"/>
      <w:marLeft w:val="0"/>
      <w:marRight w:val="0"/>
      <w:marTop w:val="0"/>
      <w:marBottom w:val="0"/>
      <w:divBdr>
        <w:top w:val="none" w:sz="0" w:space="0" w:color="auto"/>
        <w:left w:val="none" w:sz="0" w:space="0" w:color="auto"/>
        <w:bottom w:val="none" w:sz="0" w:space="0" w:color="auto"/>
        <w:right w:val="none" w:sz="0" w:space="0" w:color="auto"/>
      </w:divBdr>
    </w:div>
    <w:div w:id="1225794336">
      <w:bodyDiv w:val="1"/>
      <w:marLeft w:val="0"/>
      <w:marRight w:val="0"/>
      <w:marTop w:val="0"/>
      <w:marBottom w:val="0"/>
      <w:divBdr>
        <w:top w:val="none" w:sz="0" w:space="0" w:color="auto"/>
        <w:left w:val="none" w:sz="0" w:space="0" w:color="auto"/>
        <w:bottom w:val="none" w:sz="0" w:space="0" w:color="auto"/>
        <w:right w:val="none" w:sz="0" w:space="0" w:color="auto"/>
      </w:divBdr>
    </w:div>
    <w:div w:id="1225868799">
      <w:bodyDiv w:val="1"/>
      <w:marLeft w:val="0"/>
      <w:marRight w:val="0"/>
      <w:marTop w:val="0"/>
      <w:marBottom w:val="0"/>
      <w:divBdr>
        <w:top w:val="none" w:sz="0" w:space="0" w:color="auto"/>
        <w:left w:val="none" w:sz="0" w:space="0" w:color="auto"/>
        <w:bottom w:val="none" w:sz="0" w:space="0" w:color="auto"/>
        <w:right w:val="none" w:sz="0" w:space="0" w:color="auto"/>
      </w:divBdr>
    </w:div>
    <w:div w:id="1226264054">
      <w:bodyDiv w:val="1"/>
      <w:marLeft w:val="0"/>
      <w:marRight w:val="0"/>
      <w:marTop w:val="0"/>
      <w:marBottom w:val="0"/>
      <w:divBdr>
        <w:top w:val="none" w:sz="0" w:space="0" w:color="auto"/>
        <w:left w:val="none" w:sz="0" w:space="0" w:color="auto"/>
        <w:bottom w:val="none" w:sz="0" w:space="0" w:color="auto"/>
        <w:right w:val="none" w:sz="0" w:space="0" w:color="auto"/>
      </w:divBdr>
    </w:div>
    <w:div w:id="1226643390">
      <w:bodyDiv w:val="1"/>
      <w:marLeft w:val="0"/>
      <w:marRight w:val="0"/>
      <w:marTop w:val="0"/>
      <w:marBottom w:val="0"/>
      <w:divBdr>
        <w:top w:val="none" w:sz="0" w:space="0" w:color="auto"/>
        <w:left w:val="none" w:sz="0" w:space="0" w:color="auto"/>
        <w:bottom w:val="none" w:sz="0" w:space="0" w:color="auto"/>
        <w:right w:val="none" w:sz="0" w:space="0" w:color="auto"/>
      </w:divBdr>
    </w:div>
    <w:div w:id="1226797546">
      <w:bodyDiv w:val="1"/>
      <w:marLeft w:val="0"/>
      <w:marRight w:val="0"/>
      <w:marTop w:val="0"/>
      <w:marBottom w:val="0"/>
      <w:divBdr>
        <w:top w:val="none" w:sz="0" w:space="0" w:color="auto"/>
        <w:left w:val="none" w:sz="0" w:space="0" w:color="auto"/>
        <w:bottom w:val="none" w:sz="0" w:space="0" w:color="auto"/>
        <w:right w:val="none" w:sz="0" w:space="0" w:color="auto"/>
      </w:divBdr>
    </w:div>
    <w:div w:id="1226913531">
      <w:bodyDiv w:val="1"/>
      <w:marLeft w:val="0"/>
      <w:marRight w:val="0"/>
      <w:marTop w:val="0"/>
      <w:marBottom w:val="0"/>
      <w:divBdr>
        <w:top w:val="none" w:sz="0" w:space="0" w:color="auto"/>
        <w:left w:val="none" w:sz="0" w:space="0" w:color="auto"/>
        <w:bottom w:val="none" w:sz="0" w:space="0" w:color="auto"/>
        <w:right w:val="none" w:sz="0" w:space="0" w:color="auto"/>
      </w:divBdr>
    </w:div>
    <w:div w:id="1226916541">
      <w:bodyDiv w:val="1"/>
      <w:marLeft w:val="0"/>
      <w:marRight w:val="0"/>
      <w:marTop w:val="0"/>
      <w:marBottom w:val="0"/>
      <w:divBdr>
        <w:top w:val="none" w:sz="0" w:space="0" w:color="auto"/>
        <w:left w:val="none" w:sz="0" w:space="0" w:color="auto"/>
        <w:bottom w:val="none" w:sz="0" w:space="0" w:color="auto"/>
        <w:right w:val="none" w:sz="0" w:space="0" w:color="auto"/>
      </w:divBdr>
    </w:div>
    <w:div w:id="1227183732">
      <w:bodyDiv w:val="1"/>
      <w:marLeft w:val="0"/>
      <w:marRight w:val="0"/>
      <w:marTop w:val="0"/>
      <w:marBottom w:val="0"/>
      <w:divBdr>
        <w:top w:val="none" w:sz="0" w:space="0" w:color="auto"/>
        <w:left w:val="none" w:sz="0" w:space="0" w:color="auto"/>
        <w:bottom w:val="none" w:sz="0" w:space="0" w:color="auto"/>
        <w:right w:val="none" w:sz="0" w:space="0" w:color="auto"/>
      </w:divBdr>
    </w:div>
    <w:div w:id="1227767778">
      <w:bodyDiv w:val="1"/>
      <w:marLeft w:val="0"/>
      <w:marRight w:val="0"/>
      <w:marTop w:val="0"/>
      <w:marBottom w:val="0"/>
      <w:divBdr>
        <w:top w:val="none" w:sz="0" w:space="0" w:color="auto"/>
        <w:left w:val="none" w:sz="0" w:space="0" w:color="auto"/>
        <w:bottom w:val="none" w:sz="0" w:space="0" w:color="auto"/>
        <w:right w:val="none" w:sz="0" w:space="0" w:color="auto"/>
      </w:divBdr>
    </w:div>
    <w:div w:id="1227834199">
      <w:bodyDiv w:val="1"/>
      <w:marLeft w:val="0"/>
      <w:marRight w:val="0"/>
      <w:marTop w:val="0"/>
      <w:marBottom w:val="0"/>
      <w:divBdr>
        <w:top w:val="none" w:sz="0" w:space="0" w:color="auto"/>
        <w:left w:val="none" w:sz="0" w:space="0" w:color="auto"/>
        <w:bottom w:val="none" w:sz="0" w:space="0" w:color="auto"/>
        <w:right w:val="none" w:sz="0" w:space="0" w:color="auto"/>
      </w:divBdr>
    </w:div>
    <w:div w:id="1228296795">
      <w:bodyDiv w:val="1"/>
      <w:marLeft w:val="0"/>
      <w:marRight w:val="0"/>
      <w:marTop w:val="0"/>
      <w:marBottom w:val="0"/>
      <w:divBdr>
        <w:top w:val="none" w:sz="0" w:space="0" w:color="auto"/>
        <w:left w:val="none" w:sz="0" w:space="0" w:color="auto"/>
        <w:bottom w:val="none" w:sz="0" w:space="0" w:color="auto"/>
        <w:right w:val="none" w:sz="0" w:space="0" w:color="auto"/>
      </w:divBdr>
    </w:div>
    <w:div w:id="1228303472">
      <w:bodyDiv w:val="1"/>
      <w:marLeft w:val="0"/>
      <w:marRight w:val="0"/>
      <w:marTop w:val="0"/>
      <w:marBottom w:val="0"/>
      <w:divBdr>
        <w:top w:val="none" w:sz="0" w:space="0" w:color="auto"/>
        <w:left w:val="none" w:sz="0" w:space="0" w:color="auto"/>
        <w:bottom w:val="none" w:sz="0" w:space="0" w:color="auto"/>
        <w:right w:val="none" w:sz="0" w:space="0" w:color="auto"/>
      </w:divBdr>
    </w:div>
    <w:div w:id="1228347399">
      <w:bodyDiv w:val="1"/>
      <w:marLeft w:val="0"/>
      <w:marRight w:val="0"/>
      <w:marTop w:val="0"/>
      <w:marBottom w:val="0"/>
      <w:divBdr>
        <w:top w:val="none" w:sz="0" w:space="0" w:color="auto"/>
        <w:left w:val="none" w:sz="0" w:space="0" w:color="auto"/>
        <w:bottom w:val="none" w:sz="0" w:space="0" w:color="auto"/>
        <w:right w:val="none" w:sz="0" w:space="0" w:color="auto"/>
      </w:divBdr>
    </w:div>
    <w:div w:id="1228566654">
      <w:bodyDiv w:val="1"/>
      <w:marLeft w:val="0"/>
      <w:marRight w:val="0"/>
      <w:marTop w:val="0"/>
      <w:marBottom w:val="0"/>
      <w:divBdr>
        <w:top w:val="none" w:sz="0" w:space="0" w:color="auto"/>
        <w:left w:val="none" w:sz="0" w:space="0" w:color="auto"/>
        <w:bottom w:val="none" w:sz="0" w:space="0" w:color="auto"/>
        <w:right w:val="none" w:sz="0" w:space="0" w:color="auto"/>
      </w:divBdr>
    </w:div>
    <w:div w:id="1228999400">
      <w:bodyDiv w:val="1"/>
      <w:marLeft w:val="0"/>
      <w:marRight w:val="0"/>
      <w:marTop w:val="0"/>
      <w:marBottom w:val="0"/>
      <w:divBdr>
        <w:top w:val="none" w:sz="0" w:space="0" w:color="auto"/>
        <w:left w:val="none" w:sz="0" w:space="0" w:color="auto"/>
        <w:bottom w:val="none" w:sz="0" w:space="0" w:color="auto"/>
        <w:right w:val="none" w:sz="0" w:space="0" w:color="auto"/>
      </w:divBdr>
    </w:div>
    <w:div w:id="1229068804">
      <w:bodyDiv w:val="1"/>
      <w:marLeft w:val="0"/>
      <w:marRight w:val="0"/>
      <w:marTop w:val="0"/>
      <w:marBottom w:val="0"/>
      <w:divBdr>
        <w:top w:val="none" w:sz="0" w:space="0" w:color="auto"/>
        <w:left w:val="none" w:sz="0" w:space="0" w:color="auto"/>
        <w:bottom w:val="none" w:sz="0" w:space="0" w:color="auto"/>
        <w:right w:val="none" w:sz="0" w:space="0" w:color="auto"/>
      </w:divBdr>
    </w:div>
    <w:div w:id="1229266423">
      <w:bodyDiv w:val="1"/>
      <w:marLeft w:val="0"/>
      <w:marRight w:val="0"/>
      <w:marTop w:val="0"/>
      <w:marBottom w:val="0"/>
      <w:divBdr>
        <w:top w:val="none" w:sz="0" w:space="0" w:color="auto"/>
        <w:left w:val="none" w:sz="0" w:space="0" w:color="auto"/>
        <w:bottom w:val="none" w:sz="0" w:space="0" w:color="auto"/>
        <w:right w:val="none" w:sz="0" w:space="0" w:color="auto"/>
      </w:divBdr>
    </w:div>
    <w:div w:id="1229850569">
      <w:bodyDiv w:val="1"/>
      <w:marLeft w:val="0"/>
      <w:marRight w:val="0"/>
      <w:marTop w:val="0"/>
      <w:marBottom w:val="0"/>
      <w:divBdr>
        <w:top w:val="none" w:sz="0" w:space="0" w:color="auto"/>
        <w:left w:val="none" w:sz="0" w:space="0" w:color="auto"/>
        <w:bottom w:val="none" w:sz="0" w:space="0" w:color="auto"/>
        <w:right w:val="none" w:sz="0" w:space="0" w:color="auto"/>
      </w:divBdr>
    </w:div>
    <w:div w:id="1230112888">
      <w:bodyDiv w:val="1"/>
      <w:marLeft w:val="0"/>
      <w:marRight w:val="0"/>
      <w:marTop w:val="0"/>
      <w:marBottom w:val="0"/>
      <w:divBdr>
        <w:top w:val="none" w:sz="0" w:space="0" w:color="auto"/>
        <w:left w:val="none" w:sz="0" w:space="0" w:color="auto"/>
        <w:bottom w:val="none" w:sz="0" w:space="0" w:color="auto"/>
        <w:right w:val="none" w:sz="0" w:space="0" w:color="auto"/>
      </w:divBdr>
    </w:div>
    <w:div w:id="1230532669">
      <w:bodyDiv w:val="1"/>
      <w:marLeft w:val="0"/>
      <w:marRight w:val="0"/>
      <w:marTop w:val="0"/>
      <w:marBottom w:val="0"/>
      <w:divBdr>
        <w:top w:val="none" w:sz="0" w:space="0" w:color="auto"/>
        <w:left w:val="none" w:sz="0" w:space="0" w:color="auto"/>
        <w:bottom w:val="none" w:sz="0" w:space="0" w:color="auto"/>
        <w:right w:val="none" w:sz="0" w:space="0" w:color="auto"/>
      </w:divBdr>
    </w:div>
    <w:div w:id="1230729841">
      <w:bodyDiv w:val="1"/>
      <w:marLeft w:val="0"/>
      <w:marRight w:val="0"/>
      <w:marTop w:val="0"/>
      <w:marBottom w:val="0"/>
      <w:divBdr>
        <w:top w:val="none" w:sz="0" w:space="0" w:color="auto"/>
        <w:left w:val="none" w:sz="0" w:space="0" w:color="auto"/>
        <w:bottom w:val="none" w:sz="0" w:space="0" w:color="auto"/>
        <w:right w:val="none" w:sz="0" w:space="0" w:color="auto"/>
      </w:divBdr>
    </w:div>
    <w:div w:id="1230848417">
      <w:bodyDiv w:val="1"/>
      <w:marLeft w:val="0"/>
      <w:marRight w:val="0"/>
      <w:marTop w:val="0"/>
      <w:marBottom w:val="0"/>
      <w:divBdr>
        <w:top w:val="none" w:sz="0" w:space="0" w:color="auto"/>
        <w:left w:val="none" w:sz="0" w:space="0" w:color="auto"/>
        <w:bottom w:val="none" w:sz="0" w:space="0" w:color="auto"/>
        <w:right w:val="none" w:sz="0" w:space="0" w:color="auto"/>
      </w:divBdr>
    </w:div>
    <w:div w:id="1230920696">
      <w:bodyDiv w:val="1"/>
      <w:marLeft w:val="0"/>
      <w:marRight w:val="0"/>
      <w:marTop w:val="0"/>
      <w:marBottom w:val="0"/>
      <w:divBdr>
        <w:top w:val="none" w:sz="0" w:space="0" w:color="auto"/>
        <w:left w:val="none" w:sz="0" w:space="0" w:color="auto"/>
        <w:bottom w:val="none" w:sz="0" w:space="0" w:color="auto"/>
        <w:right w:val="none" w:sz="0" w:space="0" w:color="auto"/>
      </w:divBdr>
    </w:div>
    <w:div w:id="1230993608">
      <w:bodyDiv w:val="1"/>
      <w:marLeft w:val="0"/>
      <w:marRight w:val="0"/>
      <w:marTop w:val="0"/>
      <w:marBottom w:val="0"/>
      <w:divBdr>
        <w:top w:val="none" w:sz="0" w:space="0" w:color="auto"/>
        <w:left w:val="none" w:sz="0" w:space="0" w:color="auto"/>
        <w:bottom w:val="none" w:sz="0" w:space="0" w:color="auto"/>
        <w:right w:val="none" w:sz="0" w:space="0" w:color="auto"/>
      </w:divBdr>
    </w:div>
    <w:div w:id="1231112921">
      <w:bodyDiv w:val="1"/>
      <w:marLeft w:val="0"/>
      <w:marRight w:val="0"/>
      <w:marTop w:val="0"/>
      <w:marBottom w:val="0"/>
      <w:divBdr>
        <w:top w:val="none" w:sz="0" w:space="0" w:color="auto"/>
        <w:left w:val="none" w:sz="0" w:space="0" w:color="auto"/>
        <w:bottom w:val="none" w:sz="0" w:space="0" w:color="auto"/>
        <w:right w:val="none" w:sz="0" w:space="0" w:color="auto"/>
      </w:divBdr>
    </w:div>
    <w:div w:id="1231698613">
      <w:bodyDiv w:val="1"/>
      <w:marLeft w:val="0"/>
      <w:marRight w:val="0"/>
      <w:marTop w:val="0"/>
      <w:marBottom w:val="0"/>
      <w:divBdr>
        <w:top w:val="none" w:sz="0" w:space="0" w:color="auto"/>
        <w:left w:val="none" w:sz="0" w:space="0" w:color="auto"/>
        <w:bottom w:val="none" w:sz="0" w:space="0" w:color="auto"/>
        <w:right w:val="none" w:sz="0" w:space="0" w:color="auto"/>
      </w:divBdr>
    </w:div>
    <w:div w:id="1232539947">
      <w:bodyDiv w:val="1"/>
      <w:marLeft w:val="0"/>
      <w:marRight w:val="0"/>
      <w:marTop w:val="0"/>
      <w:marBottom w:val="0"/>
      <w:divBdr>
        <w:top w:val="none" w:sz="0" w:space="0" w:color="auto"/>
        <w:left w:val="none" w:sz="0" w:space="0" w:color="auto"/>
        <w:bottom w:val="none" w:sz="0" w:space="0" w:color="auto"/>
        <w:right w:val="none" w:sz="0" w:space="0" w:color="auto"/>
      </w:divBdr>
    </w:div>
    <w:div w:id="1233275529">
      <w:bodyDiv w:val="1"/>
      <w:marLeft w:val="0"/>
      <w:marRight w:val="0"/>
      <w:marTop w:val="0"/>
      <w:marBottom w:val="0"/>
      <w:divBdr>
        <w:top w:val="none" w:sz="0" w:space="0" w:color="auto"/>
        <w:left w:val="none" w:sz="0" w:space="0" w:color="auto"/>
        <w:bottom w:val="none" w:sz="0" w:space="0" w:color="auto"/>
        <w:right w:val="none" w:sz="0" w:space="0" w:color="auto"/>
      </w:divBdr>
    </w:div>
    <w:div w:id="1233547259">
      <w:bodyDiv w:val="1"/>
      <w:marLeft w:val="0"/>
      <w:marRight w:val="0"/>
      <w:marTop w:val="0"/>
      <w:marBottom w:val="0"/>
      <w:divBdr>
        <w:top w:val="none" w:sz="0" w:space="0" w:color="auto"/>
        <w:left w:val="none" w:sz="0" w:space="0" w:color="auto"/>
        <w:bottom w:val="none" w:sz="0" w:space="0" w:color="auto"/>
        <w:right w:val="none" w:sz="0" w:space="0" w:color="auto"/>
      </w:divBdr>
    </w:div>
    <w:div w:id="1234195860">
      <w:bodyDiv w:val="1"/>
      <w:marLeft w:val="0"/>
      <w:marRight w:val="0"/>
      <w:marTop w:val="0"/>
      <w:marBottom w:val="0"/>
      <w:divBdr>
        <w:top w:val="none" w:sz="0" w:space="0" w:color="auto"/>
        <w:left w:val="none" w:sz="0" w:space="0" w:color="auto"/>
        <w:bottom w:val="none" w:sz="0" w:space="0" w:color="auto"/>
        <w:right w:val="none" w:sz="0" w:space="0" w:color="auto"/>
      </w:divBdr>
    </w:div>
    <w:div w:id="1234395578">
      <w:bodyDiv w:val="1"/>
      <w:marLeft w:val="0"/>
      <w:marRight w:val="0"/>
      <w:marTop w:val="0"/>
      <w:marBottom w:val="0"/>
      <w:divBdr>
        <w:top w:val="none" w:sz="0" w:space="0" w:color="auto"/>
        <w:left w:val="none" w:sz="0" w:space="0" w:color="auto"/>
        <w:bottom w:val="none" w:sz="0" w:space="0" w:color="auto"/>
        <w:right w:val="none" w:sz="0" w:space="0" w:color="auto"/>
      </w:divBdr>
    </w:div>
    <w:div w:id="1234514029">
      <w:bodyDiv w:val="1"/>
      <w:marLeft w:val="0"/>
      <w:marRight w:val="0"/>
      <w:marTop w:val="0"/>
      <w:marBottom w:val="0"/>
      <w:divBdr>
        <w:top w:val="none" w:sz="0" w:space="0" w:color="auto"/>
        <w:left w:val="none" w:sz="0" w:space="0" w:color="auto"/>
        <w:bottom w:val="none" w:sz="0" w:space="0" w:color="auto"/>
        <w:right w:val="none" w:sz="0" w:space="0" w:color="auto"/>
      </w:divBdr>
    </w:div>
    <w:div w:id="1234780873">
      <w:bodyDiv w:val="1"/>
      <w:marLeft w:val="0"/>
      <w:marRight w:val="0"/>
      <w:marTop w:val="0"/>
      <w:marBottom w:val="0"/>
      <w:divBdr>
        <w:top w:val="none" w:sz="0" w:space="0" w:color="auto"/>
        <w:left w:val="none" w:sz="0" w:space="0" w:color="auto"/>
        <w:bottom w:val="none" w:sz="0" w:space="0" w:color="auto"/>
        <w:right w:val="none" w:sz="0" w:space="0" w:color="auto"/>
      </w:divBdr>
    </w:div>
    <w:div w:id="1235504643">
      <w:bodyDiv w:val="1"/>
      <w:marLeft w:val="0"/>
      <w:marRight w:val="0"/>
      <w:marTop w:val="0"/>
      <w:marBottom w:val="0"/>
      <w:divBdr>
        <w:top w:val="none" w:sz="0" w:space="0" w:color="auto"/>
        <w:left w:val="none" w:sz="0" w:space="0" w:color="auto"/>
        <w:bottom w:val="none" w:sz="0" w:space="0" w:color="auto"/>
        <w:right w:val="none" w:sz="0" w:space="0" w:color="auto"/>
      </w:divBdr>
    </w:div>
    <w:div w:id="1235778578">
      <w:bodyDiv w:val="1"/>
      <w:marLeft w:val="0"/>
      <w:marRight w:val="0"/>
      <w:marTop w:val="0"/>
      <w:marBottom w:val="0"/>
      <w:divBdr>
        <w:top w:val="none" w:sz="0" w:space="0" w:color="auto"/>
        <w:left w:val="none" w:sz="0" w:space="0" w:color="auto"/>
        <w:bottom w:val="none" w:sz="0" w:space="0" w:color="auto"/>
        <w:right w:val="none" w:sz="0" w:space="0" w:color="auto"/>
      </w:divBdr>
    </w:div>
    <w:div w:id="1235970694">
      <w:bodyDiv w:val="1"/>
      <w:marLeft w:val="0"/>
      <w:marRight w:val="0"/>
      <w:marTop w:val="0"/>
      <w:marBottom w:val="0"/>
      <w:divBdr>
        <w:top w:val="none" w:sz="0" w:space="0" w:color="auto"/>
        <w:left w:val="none" w:sz="0" w:space="0" w:color="auto"/>
        <w:bottom w:val="none" w:sz="0" w:space="0" w:color="auto"/>
        <w:right w:val="none" w:sz="0" w:space="0" w:color="auto"/>
      </w:divBdr>
    </w:div>
    <w:div w:id="1236011185">
      <w:bodyDiv w:val="1"/>
      <w:marLeft w:val="0"/>
      <w:marRight w:val="0"/>
      <w:marTop w:val="0"/>
      <w:marBottom w:val="0"/>
      <w:divBdr>
        <w:top w:val="none" w:sz="0" w:space="0" w:color="auto"/>
        <w:left w:val="none" w:sz="0" w:space="0" w:color="auto"/>
        <w:bottom w:val="none" w:sz="0" w:space="0" w:color="auto"/>
        <w:right w:val="none" w:sz="0" w:space="0" w:color="auto"/>
      </w:divBdr>
    </w:div>
    <w:div w:id="1236354202">
      <w:bodyDiv w:val="1"/>
      <w:marLeft w:val="0"/>
      <w:marRight w:val="0"/>
      <w:marTop w:val="0"/>
      <w:marBottom w:val="0"/>
      <w:divBdr>
        <w:top w:val="none" w:sz="0" w:space="0" w:color="auto"/>
        <w:left w:val="none" w:sz="0" w:space="0" w:color="auto"/>
        <w:bottom w:val="none" w:sz="0" w:space="0" w:color="auto"/>
        <w:right w:val="none" w:sz="0" w:space="0" w:color="auto"/>
      </w:divBdr>
    </w:div>
    <w:div w:id="1237281193">
      <w:bodyDiv w:val="1"/>
      <w:marLeft w:val="0"/>
      <w:marRight w:val="0"/>
      <w:marTop w:val="0"/>
      <w:marBottom w:val="0"/>
      <w:divBdr>
        <w:top w:val="none" w:sz="0" w:space="0" w:color="auto"/>
        <w:left w:val="none" w:sz="0" w:space="0" w:color="auto"/>
        <w:bottom w:val="none" w:sz="0" w:space="0" w:color="auto"/>
        <w:right w:val="none" w:sz="0" w:space="0" w:color="auto"/>
      </w:divBdr>
    </w:div>
    <w:div w:id="1237477019">
      <w:bodyDiv w:val="1"/>
      <w:marLeft w:val="0"/>
      <w:marRight w:val="0"/>
      <w:marTop w:val="0"/>
      <w:marBottom w:val="0"/>
      <w:divBdr>
        <w:top w:val="none" w:sz="0" w:space="0" w:color="auto"/>
        <w:left w:val="none" w:sz="0" w:space="0" w:color="auto"/>
        <w:bottom w:val="none" w:sz="0" w:space="0" w:color="auto"/>
        <w:right w:val="none" w:sz="0" w:space="0" w:color="auto"/>
      </w:divBdr>
    </w:div>
    <w:div w:id="1237669176">
      <w:bodyDiv w:val="1"/>
      <w:marLeft w:val="0"/>
      <w:marRight w:val="0"/>
      <w:marTop w:val="0"/>
      <w:marBottom w:val="0"/>
      <w:divBdr>
        <w:top w:val="none" w:sz="0" w:space="0" w:color="auto"/>
        <w:left w:val="none" w:sz="0" w:space="0" w:color="auto"/>
        <w:bottom w:val="none" w:sz="0" w:space="0" w:color="auto"/>
        <w:right w:val="none" w:sz="0" w:space="0" w:color="auto"/>
      </w:divBdr>
    </w:div>
    <w:div w:id="1237856176">
      <w:bodyDiv w:val="1"/>
      <w:marLeft w:val="0"/>
      <w:marRight w:val="0"/>
      <w:marTop w:val="0"/>
      <w:marBottom w:val="0"/>
      <w:divBdr>
        <w:top w:val="none" w:sz="0" w:space="0" w:color="auto"/>
        <w:left w:val="none" w:sz="0" w:space="0" w:color="auto"/>
        <w:bottom w:val="none" w:sz="0" w:space="0" w:color="auto"/>
        <w:right w:val="none" w:sz="0" w:space="0" w:color="auto"/>
      </w:divBdr>
    </w:div>
    <w:div w:id="1238054541">
      <w:bodyDiv w:val="1"/>
      <w:marLeft w:val="0"/>
      <w:marRight w:val="0"/>
      <w:marTop w:val="0"/>
      <w:marBottom w:val="0"/>
      <w:divBdr>
        <w:top w:val="none" w:sz="0" w:space="0" w:color="auto"/>
        <w:left w:val="none" w:sz="0" w:space="0" w:color="auto"/>
        <w:bottom w:val="none" w:sz="0" w:space="0" w:color="auto"/>
        <w:right w:val="none" w:sz="0" w:space="0" w:color="auto"/>
      </w:divBdr>
    </w:div>
    <w:div w:id="1238252316">
      <w:bodyDiv w:val="1"/>
      <w:marLeft w:val="0"/>
      <w:marRight w:val="0"/>
      <w:marTop w:val="0"/>
      <w:marBottom w:val="0"/>
      <w:divBdr>
        <w:top w:val="none" w:sz="0" w:space="0" w:color="auto"/>
        <w:left w:val="none" w:sz="0" w:space="0" w:color="auto"/>
        <w:bottom w:val="none" w:sz="0" w:space="0" w:color="auto"/>
        <w:right w:val="none" w:sz="0" w:space="0" w:color="auto"/>
      </w:divBdr>
    </w:div>
    <w:div w:id="1238517350">
      <w:bodyDiv w:val="1"/>
      <w:marLeft w:val="0"/>
      <w:marRight w:val="0"/>
      <w:marTop w:val="0"/>
      <w:marBottom w:val="0"/>
      <w:divBdr>
        <w:top w:val="none" w:sz="0" w:space="0" w:color="auto"/>
        <w:left w:val="none" w:sz="0" w:space="0" w:color="auto"/>
        <w:bottom w:val="none" w:sz="0" w:space="0" w:color="auto"/>
        <w:right w:val="none" w:sz="0" w:space="0" w:color="auto"/>
      </w:divBdr>
    </w:div>
    <w:div w:id="1238783204">
      <w:bodyDiv w:val="1"/>
      <w:marLeft w:val="0"/>
      <w:marRight w:val="0"/>
      <w:marTop w:val="0"/>
      <w:marBottom w:val="0"/>
      <w:divBdr>
        <w:top w:val="none" w:sz="0" w:space="0" w:color="auto"/>
        <w:left w:val="none" w:sz="0" w:space="0" w:color="auto"/>
        <w:bottom w:val="none" w:sz="0" w:space="0" w:color="auto"/>
        <w:right w:val="none" w:sz="0" w:space="0" w:color="auto"/>
      </w:divBdr>
    </w:div>
    <w:div w:id="1238857975">
      <w:bodyDiv w:val="1"/>
      <w:marLeft w:val="0"/>
      <w:marRight w:val="0"/>
      <w:marTop w:val="0"/>
      <w:marBottom w:val="0"/>
      <w:divBdr>
        <w:top w:val="none" w:sz="0" w:space="0" w:color="auto"/>
        <w:left w:val="none" w:sz="0" w:space="0" w:color="auto"/>
        <w:bottom w:val="none" w:sz="0" w:space="0" w:color="auto"/>
        <w:right w:val="none" w:sz="0" w:space="0" w:color="auto"/>
      </w:divBdr>
    </w:div>
    <w:div w:id="1238978830">
      <w:bodyDiv w:val="1"/>
      <w:marLeft w:val="0"/>
      <w:marRight w:val="0"/>
      <w:marTop w:val="0"/>
      <w:marBottom w:val="0"/>
      <w:divBdr>
        <w:top w:val="none" w:sz="0" w:space="0" w:color="auto"/>
        <w:left w:val="none" w:sz="0" w:space="0" w:color="auto"/>
        <w:bottom w:val="none" w:sz="0" w:space="0" w:color="auto"/>
        <w:right w:val="none" w:sz="0" w:space="0" w:color="auto"/>
      </w:divBdr>
    </w:div>
    <w:div w:id="1239553793">
      <w:bodyDiv w:val="1"/>
      <w:marLeft w:val="0"/>
      <w:marRight w:val="0"/>
      <w:marTop w:val="0"/>
      <w:marBottom w:val="0"/>
      <w:divBdr>
        <w:top w:val="none" w:sz="0" w:space="0" w:color="auto"/>
        <w:left w:val="none" w:sz="0" w:space="0" w:color="auto"/>
        <w:bottom w:val="none" w:sz="0" w:space="0" w:color="auto"/>
        <w:right w:val="none" w:sz="0" w:space="0" w:color="auto"/>
      </w:divBdr>
    </w:div>
    <w:div w:id="1239554298">
      <w:bodyDiv w:val="1"/>
      <w:marLeft w:val="0"/>
      <w:marRight w:val="0"/>
      <w:marTop w:val="0"/>
      <w:marBottom w:val="0"/>
      <w:divBdr>
        <w:top w:val="none" w:sz="0" w:space="0" w:color="auto"/>
        <w:left w:val="none" w:sz="0" w:space="0" w:color="auto"/>
        <w:bottom w:val="none" w:sz="0" w:space="0" w:color="auto"/>
        <w:right w:val="none" w:sz="0" w:space="0" w:color="auto"/>
      </w:divBdr>
    </w:div>
    <w:div w:id="1239630162">
      <w:bodyDiv w:val="1"/>
      <w:marLeft w:val="0"/>
      <w:marRight w:val="0"/>
      <w:marTop w:val="0"/>
      <w:marBottom w:val="0"/>
      <w:divBdr>
        <w:top w:val="none" w:sz="0" w:space="0" w:color="auto"/>
        <w:left w:val="none" w:sz="0" w:space="0" w:color="auto"/>
        <w:bottom w:val="none" w:sz="0" w:space="0" w:color="auto"/>
        <w:right w:val="none" w:sz="0" w:space="0" w:color="auto"/>
      </w:divBdr>
    </w:div>
    <w:div w:id="1240167614">
      <w:bodyDiv w:val="1"/>
      <w:marLeft w:val="0"/>
      <w:marRight w:val="0"/>
      <w:marTop w:val="0"/>
      <w:marBottom w:val="0"/>
      <w:divBdr>
        <w:top w:val="none" w:sz="0" w:space="0" w:color="auto"/>
        <w:left w:val="none" w:sz="0" w:space="0" w:color="auto"/>
        <w:bottom w:val="none" w:sz="0" w:space="0" w:color="auto"/>
        <w:right w:val="none" w:sz="0" w:space="0" w:color="auto"/>
      </w:divBdr>
    </w:div>
    <w:div w:id="1240483419">
      <w:bodyDiv w:val="1"/>
      <w:marLeft w:val="0"/>
      <w:marRight w:val="0"/>
      <w:marTop w:val="0"/>
      <w:marBottom w:val="0"/>
      <w:divBdr>
        <w:top w:val="none" w:sz="0" w:space="0" w:color="auto"/>
        <w:left w:val="none" w:sz="0" w:space="0" w:color="auto"/>
        <w:bottom w:val="none" w:sz="0" w:space="0" w:color="auto"/>
        <w:right w:val="none" w:sz="0" w:space="0" w:color="auto"/>
      </w:divBdr>
    </w:div>
    <w:div w:id="1240598557">
      <w:bodyDiv w:val="1"/>
      <w:marLeft w:val="0"/>
      <w:marRight w:val="0"/>
      <w:marTop w:val="0"/>
      <w:marBottom w:val="0"/>
      <w:divBdr>
        <w:top w:val="none" w:sz="0" w:space="0" w:color="auto"/>
        <w:left w:val="none" w:sz="0" w:space="0" w:color="auto"/>
        <w:bottom w:val="none" w:sz="0" w:space="0" w:color="auto"/>
        <w:right w:val="none" w:sz="0" w:space="0" w:color="auto"/>
      </w:divBdr>
    </w:div>
    <w:div w:id="1241256037">
      <w:bodyDiv w:val="1"/>
      <w:marLeft w:val="0"/>
      <w:marRight w:val="0"/>
      <w:marTop w:val="0"/>
      <w:marBottom w:val="0"/>
      <w:divBdr>
        <w:top w:val="none" w:sz="0" w:space="0" w:color="auto"/>
        <w:left w:val="none" w:sz="0" w:space="0" w:color="auto"/>
        <w:bottom w:val="none" w:sz="0" w:space="0" w:color="auto"/>
        <w:right w:val="none" w:sz="0" w:space="0" w:color="auto"/>
      </w:divBdr>
    </w:div>
    <w:div w:id="1241401019">
      <w:bodyDiv w:val="1"/>
      <w:marLeft w:val="0"/>
      <w:marRight w:val="0"/>
      <w:marTop w:val="0"/>
      <w:marBottom w:val="0"/>
      <w:divBdr>
        <w:top w:val="none" w:sz="0" w:space="0" w:color="auto"/>
        <w:left w:val="none" w:sz="0" w:space="0" w:color="auto"/>
        <w:bottom w:val="none" w:sz="0" w:space="0" w:color="auto"/>
        <w:right w:val="none" w:sz="0" w:space="0" w:color="auto"/>
      </w:divBdr>
    </w:div>
    <w:div w:id="1241525897">
      <w:bodyDiv w:val="1"/>
      <w:marLeft w:val="0"/>
      <w:marRight w:val="0"/>
      <w:marTop w:val="0"/>
      <w:marBottom w:val="0"/>
      <w:divBdr>
        <w:top w:val="none" w:sz="0" w:space="0" w:color="auto"/>
        <w:left w:val="none" w:sz="0" w:space="0" w:color="auto"/>
        <w:bottom w:val="none" w:sz="0" w:space="0" w:color="auto"/>
        <w:right w:val="none" w:sz="0" w:space="0" w:color="auto"/>
      </w:divBdr>
    </w:div>
    <w:div w:id="1241984396">
      <w:bodyDiv w:val="1"/>
      <w:marLeft w:val="0"/>
      <w:marRight w:val="0"/>
      <w:marTop w:val="0"/>
      <w:marBottom w:val="0"/>
      <w:divBdr>
        <w:top w:val="none" w:sz="0" w:space="0" w:color="auto"/>
        <w:left w:val="none" w:sz="0" w:space="0" w:color="auto"/>
        <w:bottom w:val="none" w:sz="0" w:space="0" w:color="auto"/>
        <w:right w:val="none" w:sz="0" w:space="0" w:color="auto"/>
      </w:divBdr>
    </w:div>
    <w:div w:id="1242106757">
      <w:bodyDiv w:val="1"/>
      <w:marLeft w:val="0"/>
      <w:marRight w:val="0"/>
      <w:marTop w:val="0"/>
      <w:marBottom w:val="0"/>
      <w:divBdr>
        <w:top w:val="none" w:sz="0" w:space="0" w:color="auto"/>
        <w:left w:val="none" w:sz="0" w:space="0" w:color="auto"/>
        <w:bottom w:val="none" w:sz="0" w:space="0" w:color="auto"/>
        <w:right w:val="none" w:sz="0" w:space="0" w:color="auto"/>
      </w:divBdr>
    </w:div>
    <w:div w:id="1242179128">
      <w:bodyDiv w:val="1"/>
      <w:marLeft w:val="0"/>
      <w:marRight w:val="0"/>
      <w:marTop w:val="0"/>
      <w:marBottom w:val="0"/>
      <w:divBdr>
        <w:top w:val="none" w:sz="0" w:space="0" w:color="auto"/>
        <w:left w:val="none" w:sz="0" w:space="0" w:color="auto"/>
        <w:bottom w:val="none" w:sz="0" w:space="0" w:color="auto"/>
        <w:right w:val="none" w:sz="0" w:space="0" w:color="auto"/>
      </w:divBdr>
    </w:div>
    <w:div w:id="1242180309">
      <w:bodyDiv w:val="1"/>
      <w:marLeft w:val="0"/>
      <w:marRight w:val="0"/>
      <w:marTop w:val="0"/>
      <w:marBottom w:val="0"/>
      <w:divBdr>
        <w:top w:val="none" w:sz="0" w:space="0" w:color="auto"/>
        <w:left w:val="none" w:sz="0" w:space="0" w:color="auto"/>
        <w:bottom w:val="none" w:sz="0" w:space="0" w:color="auto"/>
        <w:right w:val="none" w:sz="0" w:space="0" w:color="auto"/>
      </w:divBdr>
    </w:div>
    <w:div w:id="1242986832">
      <w:bodyDiv w:val="1"/>
      <w:marLeft w:val="0"/>
      <w:marRight w:val="0"/>
      <w:marTop w:val="0"/>
      <w:marBottom w:val="0"/>
      <w:divBdr>
        <w:top w:val="none" w:sz="0" w:space="0" w:color="auto"/>
        <w:left w:val="none" w:sz="0" w:space="0" w:color="auto"/>
        <w:bottom w:val="none" w:sz="0" w:space="0" w:color="auto"/>
        <w:right w:val="none" w:sz="0" w:space="0" w:color="auto"/>
      </w:divBdr>
    </w:div>
    <w:div w:id="1243025631">
      <w:bodyDiv w:val="1"/>
      <w:marLeft w:val="0"/>
      <w:marRight w:val="0"/>
      <w:marTop w:val="0"/>
      <w:marBottom w:val="0"/>
      <w:divBdr>
        <w:top w:val="none" w:sz="0" w:space="0" w:color="auto"/>
        <w:left w:val="none" w:sz="0" w:space="0" w:color="auto"/>
        <w:bottom w:val="none" w:sz="0" w:space="0" w:color="auto"/>
        <w:right w:val="none" w:sz="0" w:space="0" w:color="auto"/>
      </w:divBdr>
    </w:div>
    <w:div w:id="1243486159">
      <w:bodyDiv w:val="1"/>
      <w:marLeft w:val="0"/>
      <w:marRight w:val="0"/>
      <w:marTop w:val="0"/>
      <w:marBottom w:val="0"/>
      <w:divBdr>
        <w:top w:val="none" w:sz="0" w:space="0" w:color="auto"/>
        <w:left w:val="none" w:sz="0" w:space="0" w:color="auto"/>
        <w:bottom w:val="none" w:sz="0" w:space="0" w:color="auto"/>
        <w:right w:val="none" w:sz="0" w:space="0" w:color="auto"/>
      </w:divBdr>
    </w:div>
    <w:div w:id="1243560311">
      <w:bodyDiv w:val="1"/>
      <w:marLeft w:val="0"/>
      <w:marRight w:val="0"/>
      <w:marTop w:val="0"/>
      <w:marBottom w:val="0"/>
      <w:divBdr>
        <w:top w:val="none" w:sz="0" w:space="0" w:color="auto"/>
        <w:left w:val="none" w:sz="0" w:space="0" w:color="auto"/>
        <w:bottom w:val="none" w:sz="0" w:space="0" w:color="auto"/>
        <w:right w:val="none" w:sz="0" w:space="0" w:color="auto"/>
      </w:divBdr>
    </w:div>
    <w:div w:id="1243637828">
      <w:bodyDiv w:val="1"/>
      <w:marLeft w:val="0"/>
      <w:marRight w:val="0"/>
      <w:marTop w:val="0"/>
      <w:marBottom w:val="0"/>
      <w:divBdr>
        <w:top w:val="none" w:sz="0" w:space="0" w:color="auto"/>
        <w:left w:val="none" w:sz="0" w:space="0" w:color="auto"/>
        <w:bottom w:val="none" w:sz="0" w:space="0" w:color="auto"/>
        <w:right w:val="none" w:sz="0" w:space="0" w:color="auto"/>
      </w:divBdr>
    </w:div>
    <w:div w:id="1244339369">
      <w:bodyDiv w:val="1"/>
      <w:marLeft w:val="0"/>
      <w:marRight w:val="0"/>
      <w:marTop w:val="0"/>
      <w:marBottom w:val="0"/>
      <w:divBdr>
        <w:top w:val="none" w:sz="0" w:space="0" w:color="auto"/>
        <w:left w:val="none" w:sz="0" w:space="0" w:color="auto"/>
        <w:bottom w:val="none" w:sz="0" w:space="0" w:color="auto"/>
        <w:right w:val="none" w:sz="0" w:space="0" w:color="auto"/>
      </w:divBdr>
    </w:div>
    <w:div w:id="1244410577">
      <w:bodyDiv w:val="1"/>
      <w:marLeft w:val="0"/>
      <w:marRight w:val="0"/>
      <w:marTop w:val="0"/>
      <w:marBottom w:val="0"/>
      <w:divBdr>
        <w:top w:val="none" w:sz="0" w:space="0" w:color="auto"/>
        <w:left w:val="none" w:sz="0" w:space="0" w:color="auto"/>
        <w:bottom w:val="none" w:sz="0" w:space="0" w:color="auto"/>
        <w:right w:val="none" w:sz="0" w:space="0" w:color="auto"/>
      </w:divBdr>
    </w:div>
    <w:div w:id="1244602984">
      <w:bodyDiv w:val="1"/>
      <w:marLeft w:val="0"/>
      <w:marRight w:val="0"/>
      <w:marTop w:val="0"/>
      <w:marBottom w:val="0"/>
      <w:divBdr>
        <w:top w:val="none" w:sz="0" w:space="0" w:color="auto"/>
        <w:left w:val="none" w:sz="0" w:space="0" w:color="auto"/>
        <w:bottom w:val="none" w:sz="0" w:space="0" w:color="auto"/>
        <w:right w:val="none" w:sz="0" w:space="0" w:color="auto"/>
      </w:divBdr>
    </w:div>
    <w:div w:id="1244754937">
      <w:bodyDiv w:val="1"/>
      <w:marLeft w:val="0"/>
      <w:marRight w:val="0"/>
      <w:marTop w:val="0"/>
      <w:marBottom w:val="0"/>
      <w:divBdr>
        <w:top w:val="none" w:sz="0" w:space="0" w:color="auto"/>
        <w:left w:val="none" w:sz="0" w:space="0" w:color="auto"/>
        <w:bottom w:val="none" w:sz="0" w:space="0" w:color="auto"/>
        <w:right w:val="none" w:sz="0" w:space="0" w:color="auto"/>
      </w:divBdr>
    </w:div>
    <w:div w:id="1245066949">
      <w:bodyDiv w:val="1"/>
      <w:marLeft w:val="0"/>
      <w:marRight w:val="0"/>
      <w:marTop w:val="0"/>
      <w:marBottom w:val="0"/>
      <w:divBdr>
        <w:top w:val="none" w:sz="0" w:space="0" w:color="auto"/>
        <w:left w:val="none" w:sz="0" w:space="0" w:color="auto"/>
        <w:bottom w:val="none" w:sz="0" w:space="0" w:color="auto"/>
        <w:right w:val="none" w:sz="0" w:space="0" w:color="auto"/>
      </w:divBdr>
    </w:div>
    <w:div w:id="1245606038">
      <w:bodyDiv w:val="1"/>
      <w:marLeft w:val="0"/>
      <w:marRight w:val="0"/>
      <w:marTop w:val="0"/>
      <w:marBottom w:val="0"/>
      <w:divBdr>
        <w:top w:val="none" w:sz="0" w:space="0" w:color="auto"/>
        <w:left w:val="none" w:sz="0" w:space="0" w:color="auto"/>
        <w:bottom w:val="none" w:sz="0" w:space="0" w:color="auto"/>
        <w:right w:val="none" w:sz="0" w:space="0" w:color="auto"/>
      </w:divBdr>
    </w:div>
    <w:div w:id="1245723148">
      <w:bodyDiv w:val="1"/>
      <w:marLeft w:val="0"/>
      <w:marRight w:val="0"/>
      <w:marTop w:val="0"/>
      <w:marBottom w:val="0"/>
      <w:divBdr>
        <w:top w:val="none" w:sz="0" w:space="0" w:color="auto"/>
        <w:left w:val="none" w:sz="0" w:space="0" w:color="auto"/>
        <w:bottom w:val="none" w:sz="0" w:space="0" w:color="auto"/>
        <w:right w:val="none" w:sz="0" w:space="0" w:color="auto"/>
      </w:divBdr>
    </w:div>
    <w:div w:id="1246570740">
      <w:bodyDiv w:val="1"/>
      <w:marLeft w:val="0"/>
      <w:marRight w:val="0"/>
      <w:marTop w:val="0"/>
      <w:marBottom w:val="0"/>
      <w:divBdr>
        <w:top w:val="none" w:sz="0" w:space="0" w:color="auto"/>
        <w:left w:val="none" w:sz="0" w:space="0" w:color="auto"/>
        <w:bottom w:val="none" w:sz="0" w:space="0" w:color="auto"/>
        <w:right w:val="none" w:sz="0" w:space="0" w:color="auto"/>
      </w:divBdr>
    </w:div>
    <w:div w:id="1246723975">
      <w:bodyDiv w:val="1"/>
      <w:marLeft w:val="0"/>
      <w:marRight w:val="0"/>
      <w:marTop w:val="0"/>
      <w:marBottom w:val="0"/>
      <w:divBdr>
        <w:top w:val="none" w:sz="0" w:space="0" w:color="auto"/>
        <w:left w:val="none" w:sz="0" w:space="0" w:color="auto"/>
        <w:bottom w:val="none" w:sz="0" w:space="0" w:color="auto"/>
        <w:right w:val="none" w:sz="0" w:space="0" w:color="auto"/>
      </w:divBdr>
    </w:div>
    <w:div w:id="1246845643">
      <w:bodyDiv w:val="1"/>
      <w:marLeft w:val="0"/>
      <w:marRight w:val="0"/>
      <w:marTop w:val="0"/>
      <w:marBottom w:val="0"/>
      <w:divBdr>
        <w:top w:val="none" w:sz="0" w:space="0" w:color="auto"/>
        <w:left w:val="none" w:sz="0" w:space="0" w:color="auto"/>
        <w:bottom w:val="none" w:sz="0" w:space="0" w:color="auto"/>
        <w:right w:val="none" w:sz="0" w:space="0" w:color="auto"/>
      </w:divBdr>
    </w:div>
    <w:div w:id="1247223960">
      <w:bodyDiv w:val="1"/>
      <w:marLeft w:val="0"/>
      <w:marRight w:val="0"/>
      <w:marTop w:val="0"/>
      <w:marBottom w:val="0"/>
      <w:divBdr>
        <w:top w:val="none" w:sz="0" w:space="0" w:color="auto"/>
        <w:left w:val="none" w:sz="0" w:space="0" w:color="auto"/>
        <w:bottom w:val="none" w:sz="0" w:space="0" w:color="auto"/>
        <w:right w:val="none" w:sz="0" w:space="0" w:color="auto"/>
      </w:divBdr>
    </w:div>
    <w:div w:id="1248466498">
      <w:bodyDiv w:val="1"/>
      <w:marLeft w:val="0"/>
      <w:marRight w:val="0"/>
      <w:marTop w:val="0"/>
      <w:marBottom w:val="0"/>
      <w:divBdr>
        <w:top w:val="none" w:sz="0" w:space="0" w:color="auto"/>
        <w:left w:val="none" w:sz="0" w:space="0" w:color="auto"/>
        <w:bottom w:val="none" w:sz="0" w:space="0" w:color="auto"/>
        <w:right w:val="none" w:sz="0" w:space="0" w:color="auto"/>
      </w:divBdr>
    </w:div>
    <w:div w:id="1248541027">
      <w:bodyDiv w:val="1"/>
      <w:marLeft w:val="0"/>
      <w:marRight w:val="0"/>
      <w:marTop w:val="0"/>
      <w:marBottom w:val="0"/>
      <w:divBdr>
        <w:top w:val="none" w:sz="0" w:space="0" w:color="auto"/>
        <w:left w:val="none" w:sz="0" w:space="0" w:color="auto"/>
        <w:bottom w:val="none" w:sz="0" w:space="0" w:color="auto"/>
        <w:right w:val="none" w:sz="0" w:space="0" w:color="auto"/>
      </w:divBdr>
    </w:div>
    <w:div w:id="1248541880">
      <w:bodyDiv w:val="1"/>
      <w:marLeft w:val="0"/>
      <w:marRight w:val="0"/>
      <w:marTop w:val="0"/>
      <w:marBottom w:val="0"/>
      <w:divBdr>
        <w:top w:val="none" w:sz="0" w:space="0" w:color="auto"/>
        <w:left w:val="none" w:sz="0" w:space="0" w:color="auto"/>
        <w:bottom w:val="none" w:sz="0" w:space="0" w:color="auto"/>
        <w:right w:val="none" w:sz="0" w:space="0" w:color="auto"/>
      </w:divBdr>
    </w:div>
    <w:div w:id="1249266305">
      <w:bodyDiv w:val="1"/>
      <w:marLeft w:val="0"/>
      <w:marRight w:val="0"/>
      <w:marTop w:val="0"/>
      <w:marBottom w:val="0"/>
      <w:divBdr>
        <w:top w:val="none" w:sz="0" w:space="0" w:color="auto"/>
        <w:left w:val="none" w:sz="0" w:space="0" w:color="auto"/>
        <w:bottom w:val="none" w:sz="0" w:space="0" w:color="auto"/>
        <w:right w:val="none" w:sz="0" w:space="0" w:color="auto"/>
      </w:divBdr>
    </w:div>
    <w:div w:id="1249464014">
      <w:bodyDiv w:val="1"/>
      <w:marLeft w:val="0"/>
      <w:marRight w:val="0"/>
      <w:marTop w:val="0"/>
      <w:marBottom w:val="0"/>
      <w:divBdr>
        <w:top w:val="none" w:sz="0" w:space="0" w:color="auto"/>
        <w:left w:val="none" w:sz="0" w:space="0" w:color="auto"/>
        <w:bottom w:val="none" w:sz="0" w:space="0" w:color="auto"/>
        <w:right w:val="none" w:sz="0" w:space="0" w:color="auto"/>
      </w:divBdr>
    </w:div>
    <w:div w:id="1250847588">
      <w:bodyDiv w:val="1"/>
      <w:marLeft w:val="0"/>
      <w:marRight w:val="0"/>
      <w:marTop w:val="0"/>
      <w:marBottom w:val="0"/>
      <w:divBdr>
        <w:top w:val="none" w:sz="0" w:space="0" w:color="auto"/>
        <w:left w:val="none" w:sz="0" w:space="0" w:color="auto"/>
        <w:bottom w:val="none" w:sz="0" w:space="0" w:color="auto"/>
        <w:right w:val="none" w:sz="0" w:space="0" w:color="auto"/>
      </w:divBdr>
    </w:div>
    <w:div w:id="1252276613">
      <w:bodyDiv w:val="1"/>
      <w:marLeft w:val="0"/>
      <w:marRight w:val="0"/>
      <w:marTop w:val="0"/>
      <w:marBottom w:val="0"/>
      <w:divBdr>
        <w:top w:val="none" w:sz="0" w:space="0" w:color="auto"/>
        <w:left w:val="none" w:sz="0" w:space="0" w:color="auto"/>
        <w:bottom w:val="none" w:sz="0" w:space="0" w:color="auto"/>
        <w:right w:val="none" w:sz="0" w:space="0" w:color="auto"/>
      </w:divBdr>
    </w:div>
    <w:div w:id="1252354754">
      <w:bodyDiv w:val="1"/>
      <w:marLeft w:val="0"/>
      <w:marRight w:val="0"/>
      <w:marTop w:val="0"/>
      <w:marBottom w:val="0"/>
      <w:divBdr>
        <w:top w:val="none" w:sz="0" w:space="0" w:color="auto"/>
        <w:left w:val="none" w:sz="0" w:space="0" w:color="auto"/>
        <w:bottom w:val="none" w:sz="0" w:space="0" w:color="auto"/>
        <w:right w:val="none" w:sz="0" w:space="0" w:color="auto"/>
      </w:divBdr>
    </w:div>
    <w:div w:id="1252469091">
      <w:bodyDiv w:val="1"/>
      <w:marLeft w:val="0"/>
      <w:marRight w:val="0"/>
      <w:marTop w:val="0"/>
      <w:marBottom w:val="0"/>
      <w:divBdr>
        <w:top w:val="none" w:sz="0" w:space="0" w:color="auto"/>
        <w:left w:val="none" w:sz="0" w:space="0" w:color="auto"/>
        <w:bottom w:val="none" w:sz="0" w:space="0" w:color="auto"/>
        <w:right w:val="none" w:sz="0" w:space="0" w:color="auto"/>
      </w:divBdr>
    </w:div>
    <w:div w:id="1252620643">
      <w:bodyDiv w:val="1"/>
      <w:marLeft w:val="0"/>
      <w:marRight w:val="0"/>
      <w:marTop w:val="0"/>
      <w:marBottom w:val="0"/>
      <w:divBdr>
        <w:top w:val="none" w:sz="0" w:space="0" w:color="auto"/>
        <w:left w:val="none" w:sz="0" w:space="0" w:color="auto"/>
        <w:bottom w:val="none" w:sz="0" w:space="0" w:color="auto"/>
        <w:right w:val="none" w:sz="0" w:space="0" w:color="auto"/>
      </w:divBdr>
    </w:div>
    <w:div w:id="1252664029">
      <w:bodyDiv w:val="1"/>
      <w:marLeft w:val="0"/>
      <w:marRight w:val="0"/>
      <w:marTop w:val="0"/>
      <w:marBottom w:val="0"/>
      <w:divBdr>
        <w:top w:val="none" w:sz="0" w:space="0" w:color="auto"/>
        <w:left w:val="none" w:sz="0" w:space="0" w:color="auto"/>
        <w:bottom w:val="none" w:sz="0" w:space="0" w:color="auto"/>
        <w:right w:val="none" w:sz="0" w:space="0" w:color="auto"/>
      </w:divBdr>
    </w:div>
    <w:div w:id="1252737889">
      <w:bodyDiv w:val="1"/>
      <w:marLeft w:val="0"/>
      <w:marRight w:val="0"/>
      <w:marTop w:val="0"/>
      <w:marBottom w:val="0"/>
      <w:divBdr>
        <w:top w:val="none" w:sz="0" w:space="0" w:color="auto"/>
        <w:left w:val="none" w:sz="0" w:space="0" w:color="auto"/>
        <w:bottom w:val="none" w:sz="0" w:space="0" w:color="auto"/>
        <w:right w:val="none" w:sz="0" w:space="0" w:color="auto"/>
      </w:divBdr>
    </w:div>
    <w:div w:id="1253007285">
      <w:bodyDiv w:val="1"/>
      <w:marLeft w:val="0"/>
      <w:marRight w:val="0"/>
      <w:marTop w:val="0"/>
      <w:marBottom w:val="0"/>
      <w:divBdr>
        <w:top w:val="none" w:sz="0" w:space="0" w:color="auto"/>
        <w:left w:val="none" w:sz="0" w:space="0" w:color="auto"/>
        <w:bottom w:val="none" w:sz="0" w:space="0" w:color="auto"/>
        <w:right w:val="none" w:sz="0" w:space="0" w:color="auto"/>
      </w:divBdr>
    </w:div>
    <w:div w:id="1253274777">
      <w:bodyDiv w:val="1"/>
      <w:marLeft w:val="0"/>
      <w:marRight w:val="0"/>
      <w:marTop w:val="0"/>
      <w:marBottom w:val="0"/>
      <w:divBdr>
        <w:top w:val="none" w:sz="0" w:space="0" w:color="auto"/>
        <w:left w:val="none" w:sz="0" w:space="0" w:color="auto"/>
        <w:bottom w:val="none" w:sz="0" w:space="0" w:color="auto"/>
        <w:right w:val="none" w:sz="0" w:space="0" w:color="auto"/>
      </w:divBdr>
    </w:div>
    <w:div w:id="1253470764">
      <w:bodyDiv w:val="1"/>
      <w:marLeft w:val="0"/>
      <w:marRight w:val="0"/>
      <w:marTop w:val="0"/>
      <w:marBottom w:val="0"/>
      <w:divBdr>
        <w:top w:val="none" w:sz="0" w:space="0" w:color="auto"/>
        <w:left w:val="none" w:sz="0" w:space="0" w:color="auto"/>
        <w:bottom w:val="none" w:sz="0" w:space="0" w:color="auto"/>
        <w:right w:val="none" w:sz="0" w:space="0" w:color="auto"/>
      </w:divBdr>
    </w:div>
    <w:div w:id="1253471742">
      <w:bodyDiv w:val="1"/>
      <w:marLeft w:val="0"/>
      <w:marRight w:val="0"/>
      <w:marTop w:val="0"/>
      <w:marBottom w:val="0"/>
      <w:divBdr>
        <w:top w:val="none" w:sz="0" w:space="0" w:color="auto"/>
        <w:left w:val="none" w:sz="0" w:space="0" w:color="auto"/>
        <w:bottom w:val="none" w:sz="0" w:space="0" w:color="auto"/>
        <w:right w:val="none" w:sz="0" w:space="0" w:color="auto"/>
      </w:divBdr>
    </w:div>
    <w:div w:id="1253510009">
      <w:bodyDiv w:val="1"/>
      <w:marLeft w:val="0"/>
      <w:marRight w:val="0"/>
      <w:marTop w:val="0"/>
      <w:marBottom w:val="0"/>
      <w:divBdr>
        <w:top w:val="none" w:sz="0" w:space="0" w:color="auto"/>
        <w:left w:val="none" w:sz="0" w:space="0" w:color="auto"/>
        <w:bottom w:val="none" w:sz="0" w:space="0" w:color="auto"/>
        <w:right w:val="none" w:sz="0" w:space="0" w:color="auto"/>
      </w:divBdr>
    </w:div>
    <w:div w:id="1253855880">
      <w:bodyDiv w:val="1"/>
      <w:marLeft w:val="0"/>
      <w:marRight w:val="0"/>
      <w:marTop w:val="0"/>
      <w:marBottom w:val="0"/>
      <w:divBdr>
        <w:top w:val="none" w:sz="0" w:space="0" w:color="auto"/>
        <w:left w:val="none" w:sz="0" w:space="0" w:color="auto"/>
        <w:bottom w:val="none" w:sz="0" w:space="0" w:color="auto"/>
        <w:right w:val="none" w:sz="0" w:space="0" w:color="auto"/>
      </w:divBdr>
    </w:div>
    <w:div w:id="1253901997">
      <w:bodyDiv w:val="1"/>
      <w:marLeft w:val="0"/>
      <w:marRight w:val="0"/>
      <w:marTop w:val="0"/>
      <w:marBottom w:val="0"/>
      <w:divBdr>
        <w:top w:val="none" w:sz="0" w:space="0" w:color="auto"/>
        <w:left w:val="none" w:sz="0" w:space="0" w:color="auto"/>
        <w:bottom w:val="none" w:sz="0" w:space="0" w:color="auto"/>
        <w:right w:val="none" w:sz="0" w:space="0" w:color="auto"/>
      </w:divBdr>
    </w:div>
    <w:div w:id="1253928460">
      <w:bodyDiv w:val="1"/>
      <w:marLeft w:val="0"/>
      <w:marRight w:val="0"/>
      <w:marTop w:val="0"/>
      <w:marBottom w:val="0"/>
      <w:divBdr>
        <w:top w:val="none" w:sz="0" w:space="0" w:color="auto"/>
        <w:left w:val="none" w:sz="0" w:space="0" w:color="auto"/>
        <w:bottom w:val="none" w:sz="0" w:space="0" w:color="auto"/>
        <w:right w:val="none" w:sz="0" w:space="0" w:color="auto"/>
      </w:divBdr>
    </w:div>
    <w:div w:id="1254431366">
      <w:bodyDiv w:val="1"/>
      <w:marLeft w:val="0"/>
      <w:marRight w:val="0"/>
      <w:marTop w:val="0"/>
      <w:marBottom w:val="0"/>
      <w:divBdr>
        <w:top w:val="none" w:sz="0" w:space="0" w:color="auto"/>
        <w:left w:val="none" w:sz="0" w:space="0" w:color="auto"/>
        <w:bottom w:val="none" w:sz="0" w:space="0" w:color="auto"/>
        <w:right w:val="none" w:sz="0" w:space="0" w:color="auto"/>
      </w:divBdr>
    </w:div>
    <w:div w:id="1254507762">
      <w:bodyDiv w:val="1"/>
      <w:marLeft w:val="0"/>
      <w:marRight w:val="0"/>
      <w:marTop w:val="0"/>
      <w:marBottom w:val="0"/>
      <w:divBdr>
        <w:top w:val="none" w:sz="0" w:space="0" w:color="auto"/>
        <w:left w:val="none" w:sz="0" w:space="0" w:color="auto"/>
        <w:bottom w:val="none" w:sz="0" w:space="0" w:color="auto"/>
        <w:right w:val="none" w:sz="0" w:space="0" w:color="auto"/>
      </w:divBdr>
    </w:div>
    <w:div w:id="1255092568">
      <w:bodyDiv w:val="1"/>
      <w:marLeft w:val="0"/>
      <w:marRight w:val="0"/>
      <w:marTop w:val="0"/>
      <w:marBottom w:val="0"/>
      <w:divBdr>
        <w:top w:val="none" w:sz="0" w:space="0" w:color="auto"/>
        <w:left w:val="none" w:sz="0" w:space="0" w:color="auto"/>
        <w:bottom w:val="none" w:sz="0" w:space="0" w:color="auto"/>
        <w:right w:val="none" w:sz="0" w:space="0" w:color="auto"/>
      </w:divBdr>
    </w:div>
    <w:div w:id="1255362369">
      <w:bodyDiv w:val="1"/>
      <w:marLeft w:val="0"/>
      <w:marRight w:val="0"/>
      <w:marTop w:val="0"/>
      <w:marBottom w:val="0"/>
      <w:divBdr>
        <w:top w:val="none" w:sz="0" w:space="0" w:color="auto"/>
        <w:left w:val="none" w:sz="0" w:space="0" w:color="auto"/>
        <w:bottom w:val="none" w:sz="0" w:space="0" w:color="auto"/>
        <w:right w:val="none" w:sz="0" w:space="0" w:color="auto"/>
      </w:divBdr>
    </w:div>
    <w:div w:id="1255556816">
      <w:bodyDiv w:val="1"/>
      <w:marLeft w:val="0"/>
      <w:marRight w:val="0"/>
      <w:marTop w:val="0"/>
      <w:marBottom w:val="0"/>
      <w:divBdr>
        <w:top w:val="none" w:sz="0" w:space="0" w:color="auto"/>
        <w:left w:val="none" w:sz="0" w:space="0" w:color="auto"/>
        <w:bottom w:val="none" w:sz="0" w:space="0" w:color="auto"/>
        <w:right w:val="none" w:sz="0" w:space="0" w:color="auto"/>
      </w:divBdr>
    </w:div>
    <w:div w:id="1255748729">
      <w:bodyDiv w:val="1"/>
      <w:marLeft w:val="0"/>
      <w:marRight w:val="0"/>
      <w:marTop w:val="0"/>
      <w:marBottom w:val="0"/>
      <w:divBdr>
        <w:top w:val="none" w:sz="0" w:space="0" w:color="auto"/>
        <w:left w:val="none" w:sz="0" w:space="0" w:color="auto"/>
        <w:bottom w:val="none" w:sz="0" w:space="0" w:color="auto"/>
        <w:right w:val="none" w:sz="0" w:space="0" w:color="auto"/>
      </w:divBdr>
    </w:div>
    <w:div w:id="1255895535">
      <w:bodyDiv w:val="1"/>
      <w:marLeft w:val="0"/>
      <w:marRight w:val="0"/>
      <w:marTop w:val="0"/>
      <w:marBottom w:val="0"/>
      <w:divBdr>
        <w:top w:val="none" w:sz="0" w:space="0" w:color="auto"/>
        <w:left w:val="none" w:sz="0" w:space="0" w:color="auto"/>
        <w:bottom w:val="none" w:sz="0" w:space="0" w:color="auto"/>
        <w:right w:val="none" w:sz="0" w:space="0" w:color="auto"/>
      </w:divBdr>
    </w:div>
    <w:div w:id="1255897141">
      <w:bodyDiv w:val="1"/>
      <w:marLeft w:val="0"/>
      <w:marRight w:val="0"/>
      <w:marTop w:val="0"/>
      <w:marBottom w:val="0"/>
      <w:divBdr>
        <w:top w:val="none" w:sz="0" w:space="0" w:color="auto"/>
        <w:left w:val="none" w:sz="0" w:space="0" w:color="auto"/>
        <w:bottom w:val="none" w:sz="0" w:space="0" w:color="auto"/>
        <w:right w:val="none" w:sz="0" w:space="0" w:color="auto"/>
      </w:divBdr>
    </w:div>
    <w:div w:id="1256592969">
      <w:bodyDiv w:val="1"/>
      <w:marLeft w:val="0"/>
      <w:marRight w:val="0"/>
      <w:marTop w:val="0"/>
      <w:marBottom w:val="0"/>
      <w:divBdr>
        <w:top w:val="none" w:sz="0" w:space="0" w:color="auto"/>
        <w:left w:val="none" w:sz="0" w:space="0" w:color="auto"/>
        <w:bottom w:val="none" w:sz="0" w:space="0" w:color="auto"/>
        <w:right w:val="none" w:sz="0" w:space="0" w:color="auto"/>
      </w:divBdr>
    </w:div>
    <w:div w:id="1256986257">
      <w:bodyDiv w:val="1"/>
      <w:marLeft w:val="0"/>
      <w:marRight w:val="0"/>
      <w:marTop w:val="0"/>
      <w:marBottom w:val="0"/>
      <w:divBdr>
        <w:top w:val="none" w:sz="0" w:space="0" w:color="auto"/>
        <w:left w:val="none" w:sz="0" w:space="0" w:color="auto"/>
        <w:bottom w:val="none" w:sz="0" w:space="0" w:color="auto"/>
        <w:right w:val="none" w:sz="0" w:space="0" w:color="auto"/>
      </w:divBdr>
    </w:div>
    <w:div w:id="1257398840">
      <w:bodyDiv w:val="1"/>
      <w:marLeft w:val="0"/>
      <w:marRight w:val="0"/>
      <w:marTop w:val="0"/>
      <w:marBottom w:val="0"/>
      <w:divBdr>
        <w:top w:val="none" w:sz="0" w:space="0" w:color="auto"/>
        <w:left w:val="none" w:sz="0" w:space="0" w:color="auto"/>
        <w:bottom w:val="none" w:sz="0" w:space="0" w:color="auto"/>
        <w:right w:val="none" w:sz="0" w:space="0" w:color="auto"/>
      </w:divBdr>
    </w:div>
    <w:div w:id="1257399599">
      <w:bodyDiv w:val="1"/>
      <w:marLeft w:val="0"/>
      <w:marRight w:val="0"/>
      <w:marTop w:val="0"/>
      <w:marBottom w:val="0"/>
      <w:divBdr>
        <w:top w:val="none" w:sz="0" w:space="0" w:color="auto"/>
        <w:left w:val="none" w:sz="0" w:space="0" w:color="auto"/>
        <w:bottom w:val="none" w:sz="0" w:space="0" w:color="auto"/>
        <w:right w:val="none" w:sz="0" w:space="0" w:color="auto"/>
      </w:divBdr>
    </w:div>
    <w:div w:id="1257906034">
      <w:bodyDiv w:val="1"/>
      <w:marLeft w:val="0"/>
      <w:marRight w:val="0"/>
      <w:marTop w:val="0"/>
      <w:marBottom w:val="0"/>
      <w:divBdr>
        <w:top w:val="none" w:sz="0" w:space="0" w:color="auto"/>
        <w:left w:val="none" w:sz="0" w:space="0" w:color="auto"/>
        <w:bottom w:val="none" w:sz="0" w:space="0" w:color="auto"/>
        <w:right w:val="none" w:sz="0" w:space="0" w:color="auto"/>
      </w:divBdr>
    </w:div>
    <w:div w:id="1258295161">
      <w:bodyDiv w:val="1"/>
      <w:marLeft w:val="0"/>
      <w:marRight w:val="0"/>
      <w:marTop w:val="0"/>
      <w:marBottom w:val="0"/>
      <w:divBdr>
        <w:top w:val="none" w:sz="0" w:space="0" w:color="auto"/>
        <w:left w:val="none" w:sz="0" w:space="0" w:color="auto"/>
        <w:bottom w:val="none" w:sz="0" w:space="0" w:color="auto"/>
        <w:right w:val="none" w:sz="0" w:space="0" w:color="auto"/>
      </w:divBdr>
    </w:div>
    <w:div w:id="1258557128">
      <w:bodyDiv w:val="1"/>
      <w:marLeft w:val="0"/>
      <w:marRight w:val="0"/>
      <w:marTop w:val="0"/>
      <w:marBottom w:val="0"/>
      <w:divBdr>
        <w:top w:val="none" w:sz="0" w:space="0" w:color="auto"/>
        <w:left w:val="none" w:sz="0" w:space="0" w:color="auto"/>
        <w:bottom w:val="none" w:sz="0" w:space="0" w:color="auto"/>
        <w:right w:val="none" w:sz="0" w:space="0" w:color="auto"/>
      </w:divBdr>
    </w:div>
    <w:div w:id="1258754668">
      <w:bodyDiv w:val="1"/>
      <w:marLeft w:val="0"/>
      <w:marRight w:val="0"/>
      <w:marTop w:val="0"/>
      <w:marBottom w:val="0"/>
      <w:divBdr>
        <w:top w:val="none" w:sz="0" w:space="0" w:color="auto"/>
        <w:left w:val="none" w:sz="0" w:space="0" w:color="auto"/>
        <w:bottom w:val="none" w:sz="0" w:space="0" w:color="auto"/>
        <w:right w:val="none" w:sz="0" w:space="0" w:color="auto"/>
      </w:divBdr>
    </w:div>
    <w:div w:id="1259023065">
      <w:bodyDiv w:val="1"/>
      <w:marLeft w:val="0"/>
      <w:marRight w:val="0"/>
      <w:marTop w:val="0"/>
      <w:marBottom w:val="0"/>
      <w:divBdr>
        <w:top w:val="none" w:sz="0" w:space="0" w:color="auto"/>
        <w:left w:val="none" w:sz="0" w:space="0" w:color="auto"/>
        <w:bottom w:val="none" w:sz="0" w:space="0" w:color="auto"/>
        <w:right w:val="none" w:sz="0" w:space="0" w:color="auto"/>
      </w:divBdr>
    </w:div>
    <w:div w:id="1259093901">
      <w:bodyDiv w:val="1"/>
      <w:marLeft w:val="0"/>
      <w:marRight w:val="0"/>
      <w:marTop w:val="0"/>
      <w:marBottom w:val="0"/>
      <w:divBdr>
        <w:top w:val="none" w:sz="0" w:space="0" w:color="auto"/>
        <w:left w:val="none" w:sz="0" w:space="0" w:color="auto"/>
        <w:bottom w:val="none" w:sz="0" w:space="0" w:color="auto"/>
        <w:right w:val="none" w:sz="0" w:space="0" w:color="auto"/>
      </w:divBdr>
    </w:div>
    <w:div w:id="1259216041">
      <w:bodyDiv w:val="1"/>
      <w:marLeft w:val="0"/>
      <w:marRight w:val="0"/>
      <w:marTop w:val="0"/>
      <w:marBottom w:val="0"/>
      <w:divBdr>
        <w:top w:val="none" w:sz="0" w:space="0" w:color="auto"/>
        <w:left w:val="none" w:sz="0" w:space="0" w:color="auto"/>
        <w:bottom w:val="none" w:sz="0" w:space="0" w:color="auto"/>
        <w:right w:val="none" w:sz="0" w:space="0" w:color="auto"/>
      </w:divBdr>
    </w:div>
    <w:div w:id="1259364335">
      <w:bodyDiv w:val="1"/>
      <w:marLeft w:val="0"/>
      <w:marRight w:val="0"/>
      <w:marTop w:val="0"/>
      <w:marBottom w:val="0"/>
      <w:divBdr>
        <w:top w:val="none" w:sz="0" w:space="0" w:color="auto"/>
        <w:left w:val="none" w:sz="0" w:space="0" w:color="auto"/>
        <w:bottom w:val="none" w:sz="0" w:space="0" w:color="auto"/>
        <w:right w:val="none" w:sz="0" w:space="0" w:color="auto"/>
      </w:divBdr>
    </w:div>
    <w:div w:id="1259605425">
      <w:bodyDiv w:val="1"/>
      <w:marLeft w:val="0"/>
      <w:marRight w:val="0"/>
      <w:marTop w:val="0"/>
      <w:marBottom w:val="0"/>
      <w:divBdr>
        <w:top w:val="none" w:sz="0" w:space="0" w:color="auto"/>
        <w:left w:val="none" w:sz="0" w:space="0" w:color="auto"/>
        <w:bottom w:val="none" w:sz="0" w:space="0" w:color="auto"/>
        <w:right w:val="none" w:sz="0" w:space="0" w:color="auto"/>
      </w:divBdr>
    </w:div>
    <w:div w:id="1259752860">
      <w:bodyDiv w:val="1"/>
      <w:marLeft w:val="0"/>
      <w:marRight w:val="0"/>
      <w:marTop w:val="0"/>
      <w:marBottom w:val="0"/>
      <w:divBdr>
        <w:top w:val="none" w:sz="0" w:space="0" w:color="auto"/>
        <w:left w:val="none" w:sz="0" w:space="0" w:color="auto"/>
        <w:bottom w:val="none" w:sz="0" w:space="0" w:color="auto"/>
        <w:right w:val="none" w:sz="0" w:space="0" w:color="auto"/>
      </w:divBdr>
    </w:div>
    <w:div w:id="1259867755">
      <w:bodyDiv w:val="1"/>
      <w:marLeft w:val="0"/>
      <w:marRight w:val="0"/>
      <w:marTop w:val="0"/>
      <w:marBottom w:val="0"/>
      <w:divBdr>
        <w:top w:val="none" w:sz="0" w:space="0" w:color="auto"/>
        <w:left w:val="none" w:sz="0" w:space="0" w:color="auto"/>
        <w:bottom w:val="none" w:sz="0" w:space="0" w:color="auto"/>
        <w:right w:val="none" w:sz="0" w:space="0" w:color="auto"/>
      </w:divBdr>
    </w:div>
    <w:div w:id="1260068033">
      <w:bodyDiv w:val="1"/>
      <w:marLeft w:val="0"/>
      <w:marRight w:val="0"/>
      <w:marTop w:val="0"/>
      <w:marBottom w:val="0"/>
      <w:divBdr>
        <w:top w:val="none" w:sz="0" w:space="0" w:color="auto"/>
        <w:left w:val="none" w:sz="0" w:space="0" w:color="auto"/>
        <w:bottom w:val="none" w:sz="0" w:space="0" w:color="auto"/>
        <w:right w:val="none" w:sz="0" w:space="0" w:color="auto"/>
      </w:divBdr>
    </w:div>
    <w:div w:id="1260403789">
      <w:bodyDiv w:val="1"/>
      <w:marLeft w:val="0"/>
      <w:marRight w:val="0"/>
      <w:marTop w:val="0"/>
      <w:marBottom w:val="0"/>
      <w:divBdr>
        <w:top w:val="none" w:sz="0" w:space="0" w:color="auto"/>
        <w:left w:val="none" w:sz="0" w:space="0" w:color="auto"/>
        <w:bottom w:val="none" w:sz="0" w:space="0" w:color="auto"/>
        <w:right w:val="none" w:sz="0" w:space="0" w:color="auto"/>
      </w:divBdr>
    </w:div>
    <w:div w:id="1260675478">
      <w:bodyDiv w:val="1"/>
      <w:marLeft w:val="0"/>
      <w:marRight w:val="0"/>
      <w:marTop w:val="0"/>
      <w:marBottom w:val="0"/>
      <w:divBdr>
        <w:top w:val="none" w:sz="0" w:space="0" w:color="auto"/>
        <w:left w:val="none" w:sz="0" w:space="0" w:color="auto"/>
        <w:bottom w:val="none" w:sz="0" w:space="0" w:color="auto"/>
        <w:right w:val="none" w:sz="0" w:space="0" w:color="auto"/>
      </w:divBdr>
    </w:div>
    <w:div w:id="1261059199">
      <w:bodyDiv w:val="1"/>
      <w:marLeft w:val="0"/>
      <w:marRight w:val="0"/>
      <w:marTop w:val="0"/>
      <w:marBottom w:val="0"/>
      <w:divBdr>
        <w:top w:val="none" w:sz="0" w:space="0" w:color="auto"/>
        <w:left w:val="none" w:sz="0" w:space="0" w:color="auto"/>
        <w:bottom w:val="none" w:sz="0" w:space="0" w:color="auto"/>
        <w:right w:val="none" w:sz="0" w:space="0" w:color="auto"/>
      </w:divBdr>
    </w:div>
    <w:div w:id="1261060338">
      <w:bodyDiv w:val="1"/>
      <w:marLeft w:val="0"/>
      <w:marRight w:val="0"/>
      <w:marTop w:val="0"/>
      <w:marBottom w:val="0"/>
      <w:divBdr>
        <w:top w:val="none" w:sz="0" w:space="0" w:color="auto"/>
        <w:left w:val="none" w:sz="0" w:space="0" w:color="auto"/>
        <w:bottom w:val="none" w:sz="0" w:space="0" w:color="auto"/>
        <w:right w:val="none" w:sz="0" w:space="0" w:color="auto"/>
      </w:divBdr>
    </w:div>
    <w:div w:id="1261448842">
      <w:bodyDiv w:val="1"/>
      <w:marLeft w:val="0"/>
      <w:marRight w:val="0"/>
      <w:marTop w:val="0"/>
      <w:marBottom w:val="0"/>
      <w:divBdr>
        <w:top w:val="none" w:sz="0" w:space="0" w:color="auto"/>
        <w:left w:val="none" w:sz="0" w:space="0" w:color="auto"/>
        <w:bottom w:val="none" w:sz="0" w:space="0" w:color="auto"/>
        <w:right w:val="none" w:sz="0" w:space="0" w:color="auto"/>
      </w:divBdr>
    </w:div>
    <w:div w:id="1261525324">
      <w:bodyDiv w:val="1"/>
      <w:marLeft w:val="0"/>
      <w:marRight w:val="0"/>
      <w:marTop w:val="0"/>
      <w:marBottom w:val="0"/>
      <w:divBdr>
        <w:top w:val="none" w:sz="0" w:space="0" w:color="auto"/>
        <w:left w:val="none" w:sz="0" w:space="0" w:color="auto"/>
        <w:bottom w:val="none" w:sz="0" w:space="0" w:color="auto"/>
        <w:right w:val="none" w:sz="0" w:space="0" w:color="auto"/>
      </w:divBdr>
    </w:div>
    <w:div w:id="1261796632">
      <w:bodyDiv w:val="1"/>
      <w:marLeft w:val="0"/>
      <w:marRight w:val="0"/>
      <w:marTop w:val="0"/>
      <w:marBottom w:val="0"/>
      <w:divBdr>
        <w:top w:val="none" w:sz="0" w:space="0" w:color="auto"/>
        <w:left w:val="none" w:sz="0" w:space="0" w:color="auto"/>
        <w:bottom w:val="none" w:sz="0" w:space="0" w:color="auto"/>
        <w:right w:val="none" w:sz="0" w:space="0" w:color="auto"/>
      </w:divBdr>
    </w:div>
    <w:div w:id="1262492316">
      <w:bodyDiv w:val="1"/>
      <w:marLeft w:val="0"/>
      <w:marRight w:val="0"/>
      <w:marTop w:val="0"/>
      <w:marBottom w:val="0"/>
      <w:divBdr>
        <w:top w:val="none" w:sz="0" w:space="0" w:color="auto"/>
        <w:left w:val="none" w:sz="0" w:space="0" w:color="auto"/>
        <w:bottom w:val="none" w:sz="0" w:space="0" w:color="auto"/>
        <w:right w:val="none" w:sz="0" w:space="0" w:color="auto"/>
      </w:divBdr>
    </w:div>
    <w:div w:id="1264144937">
      <w:bodyDiv w:val="1"/>
      <w:marLeft w:val="0"/>
      <w:marRight w:val="0"/>
      <w:marTop w:val="0"/>
      <w:marBottom w:val="0"/>
      <w:divBdr>
        <w:top w:val="none" w:sz="0" w:space="0" w:color="auto"/>
        <w:left w:val="none" w:sz="0" w:space="0" w:color="auto"/>
        <w:bottom w:val="none" w:sz="0" w:space="0" w:color="auto"/>
        <w:right w:val="none" w:sz="0" w:space="0" w:color="auto"/>
      </w:divBdr>
    </w:div>
    <w:div w:id="1264269387">
      <w:bodyDiv w:val="1"/>
      <w:marLeft w:val="0"/>
      <w:marRight w:val="0"/>
      <w:marTop w:val="0"/>
      <w:marBottom w:val="0"/>
      <w:divBdr>
        <w:top w:val="none" w:sz="0" w:space="0" w:color="auto"/>
        <w:left w:val="none" w:sz="0" w:space="0" w:color="auto"/>
        <w:bottom w:val="none" w:sz="0" w:space="0" w:color="auto"/>
        <w:right w:val="none" w:sz="0" w:space="0" w:color="auto"/>
      </w:divBdr>
    </w:div>
    <w:div w:id="1264338145">
      <w:bodyDiv w:val="1"/>
      <w:marLeft w:val="0"/>
      <w:marRight w:val="0"/>
      <w:marTop w:val="0"/>
      <w:marBottom w:val="0"/>
      <w:divBdr>
        <w:top w:val="none" w:sz="0" w:space="0" w:color="auto"/>
        <w:left w:val="none" w:sz="0" w:space="0" w:color="auto"/>
        <w:bottom w:val="none" w:sz="0" w:space="0" w:color="auto"/>
        <w:right w:val="none" w:sz="0" w:space="0" w:color="auto"/>
      </w:divBdr>
    </w:div>
    <w:div w:id="1264726895">
      <w:bodyDiv w:val="1"/>
      <w:marLeft w:val="0"/>
      <w:marRight w:val="0"/>
      <w:marTop w:val="0"/>
      <w:marBottom w:val="0"/>
      <w:divBdr>
        <w:top w:val="none" w:sz="0" w:space="0" w:color="auto"/>
        <w:left w:val="none" w:sz="0" w:space="0" w:color="auto"/>
        <w:bottom w:val="none" w:sz="0" w:space="0" w:color="auto"/>
        <w:right w:val="none" w:sz="0" w:space="0" w:color="auto"/>
      </w:divBdr>
    </w:div>
    <w:div w:id="1264849452">
      <w:bodyDiv w:val="1"/>
      <w:marLeft w:val="0"/>
      <w:marRight w:val="0"/>
      <w:marTop w:val="0"/>
      <w:marBottom w:val="0"/>
      <w:divBdr>
        <w:top w:val="none" w:sz="0" w:space="0" w:color="auto"/>
        <w:left w:val="none" w:sz="0" w:space="0" w:color="auto"/>
        <w:bottom w:val="none" w:sz="0" w:space="0" w:color="auto"/>
        <w:right w:val="none" w:sz="0" w:space="0" w:color="auto"/>
      </w:divBdr>
    </w:div>
    <w:div w:id="1265187944">
      <w:bodyDiv w:val="1"/>
      <w:marLeft w:val="0"/>
      <w:marRight w:val="0"/>
      <w:marTop w:val="0"/>
      <w:marBottom w:val="0"/>
      <w:divBdr>
        <w:top w:val="none" w:sz="0" w:space="0" w:color="auto"/>
        <w:left w:val="none" w:sz="0" w:space="0" w:color="auto"/>
        <w:bottom w:val="none" w:sz="0" w:space="0" w:color="auto"/>
        <w:right w:val="none" w:sz="0" w:space="0" w:color="auto"/>
      </w:divBdr>
    </w:div>
    <w:div w:id="1265647362">
      <w:bodyDiv w:val="1"/>
      <w:marLeft w:val="0"/>
      <w:marRight w:val="0"/>
      <w:marTop w:val="0"/>
      <w:marBottom w:val="0"/>
      <w:divBdr>
        <w:top w:val="none" w:sz="0" w:space="0" w:color="auto"/>
        <w:left w:val="none" w:sz="0" w:space="0" w:color="auto"/>
        <w:bottom w:val="none" w:sz="0" w:space="0" w:color="auto"/>
        <w:right w:val="none" w:sz="0" w:space="0" w:color="auto"/>
      </w:divBdr>
    </w:div>
    <w:div w:id="1266839624">
      <w:bodyDiv w:val="1"/>
      <w:marLeft w:val="0"/>
      <w:marRight w:val="0"/>
      <w:marTop w:val="0"/>
      <w:marBottom w:val="0"/>
      <w:divBdr>
        <w:top w:val="none" w:sz="0" w:space="0" w:color="auto"/>
        <w:left w:val="none" w:sz="0" w:space="0" w:color="auto"/>
        <w:bottom w:val="none" w:sz="0" w:space="0" w:color="auto"/>
        <w:right w:val="none" w:sz="0" w:space="0" w:color="auto"/>
      </w:divBdr>
    </w:div>
    <w:div w:id="1266882917">
      <w:bodyDiv w:val="1"/>
      <w:marLeft w:val="0"/>
      <w:marRight w:val="0"/>
      <w:marTop w:val="0"/>
      <w:marBottom w:val="0"/>
      <w:divBdr>
        <w:top w:val="none" w:sz="0" w:space="0" w:color="auto"/>
        <w:left w:val="none" w:sz="0" w:space="0" w:color="auto"/>
        <w:bottom w:val="none" w:sz="0" w:space="0" w:color="auto"/>
        <w:right w:val="none" w:sz="0" w:space="0" w:color="auto"/>
      </w:divBdr>
    </w:div>
    <w:div w:id="1267079971">
      <w:bodyDiv w:val="1"/>
      <w:marLeft w:val="0"/>
      <w:marRight w:val="0"/>
      <w:marTop w:val="0"/>
      <w:marBottom w:val="0"/>
      <w:divBdr>
        <w:top w:val="none" w:sz="0" w:space="0" w:color="auto"/>
        <w:left w:val="none" w:sz="0" w:space="0" w:color="auto"/>
        <w:bottom w:val="none" w:sz="0" w:space="0" w:color="auto"/>
        <w:right w:val="none" w:sz="0" w:space="0" w:color="auto"/>
      </w:divBdr>
    </w:div>
    <w:div w:id="1267156780">
      <w:bodyDiv w:val="1"/>
      <w:marLeft w:val="0"/>
      <w:marRight w:val="0"/>
      <w:marTop w:val="0"/>
      <w:marBottom w:val="0"/>
      <w:divBdr>
        <w:top w:val="none" w:sz="0" w:space="0" w:color="auto"/>
        <w:left w:val="none" w:sz="0" w:space="0" w:color="auto"/>
        <w:bottom w:val="none" w:sz="0" w:space="0" w:color="auto"/>
        <w:right w:val="none" w:sz="0" w:space="0" w:color="auto"/>
      </w:divBdr>
    </w:div>
    <w:div w:id="1267882178">
      <w:bodyDiv w:val="1"/>
      <w:marLeft w:val="0"/>
      <w:marRight w:val="0"/>
      <w:marTop w:val="0"/>
      <w:marBottom w:val="0"/>
      <w:divBdr>
        <w:top w:val="none" w:sz="0" w:space="0" w:color="auto"/>
        <w:left w:val="none" w:sz="0" w:space="0" w:color="auto"/>
        <w:bottom w:val="none" w:sz="0" w:space="0" w:color="auto"/>
        <w:right w:val="none" w:sz="0" w:space="0" w:color="auto"/>
      </w:divBdr>
    </w:div>
    <w:div w:id="1268006763">
      <w:bodyDiv w:val="1"/>
      <w:marLeft w:val="0"/>
      <w:marRight w:val="0"/>
      <w:marTop w:val="0"/>
      <w:marBottom w:val="0"/>
      <w:divBdr>
        <w:top w:val="none" w:sz="0" w:space="0" w:color="auto"/>
        <w:left w:val="none" w:sz="0" w:space="0" w:color="auto"/>
        <w:bottom w:val="none" w:sz="0" w:space="0" w:color="auto"/>
        <w:right w:val="none" w:sz="0" w:space="0" w:color="auto"/>
      </w:divBdr>
    </w:div>
    <w:div w:id="1268199696">
      <w:bodyDiv w:val="1"/>
      <w:marLeft w:val="0"/>
      <w:marRight w:val="0"/>
      <w:marTop w:val="0"/>
      <w:marBottom w:val="0"/>
      <w:divBdr>
        <w:top w:val="none" w:sz="0" w:space="0" w:color="auto"/>
        <w:left w:val="none" w:sz="0" w:space="0" w:color="auto"/>
        <w:bottom w:val="none" w:sz="0" w:space="0" w:color="auto"/>
        <w:right w:val="none" w:sz="0" w:space="0" w:color="auto"/>
      </w:divBdr>
    </w:div>
    <w:div w:id="1268269437">
      <w:bodyDiv w:val="1"/>
      <w:marLeft w:val="0"/>
      <w:marRight w:val="0"/>
      <w:marTop w:val="0"/>
      <w:marBottom w:val="0"/>
      <w:divBdr>
        <w:top w:val="none" w:sz="0" w:space="0" w:color="auto"/>
        <w:left w:val="none" w:sz="0" w:space="0" w:color="auto"/>
        <w:bottom w:val="none" w:sz="0" w:space="0" w:color="auto"/>
        <w:right w:val="none" w:sz="0" w:space="0" w:color="auto"/>
      </w:divBdr>
    </w:div>
    <w:div w:id="1268392493">
      <w:bodyDiv w:val="1"/>
      <w:marLeft w:val="0"/>
      <w:marRight w:val="0"/>
      <w:marTop w:val="0"/>
      <w:marBottom w:val="0"/>
      <w:divBdr>
        <w:top w:val="none" w:sz="0" w:space="0" w:color="auto"/>
        <w:left w:val="none" w:sz="0" w:space="0" w:color="auto"/>
        <w:bottom w:val="none" w:sz="0" w:space="0" w:color="auto"/>
        <w:right w:val="none" w:sz="0" w:space="0" w:color="auto"/>
      </w:divBdr>
    </w:div>
    <w:div w:id="1268545089">
      <w:bodyDiv w:val="1"/>
      <w:marLeft w:val="0"/>
      <w:marRight w:val="0"/>
      <w:marTop w:val="0"/>
      <w:marBottom w:val="0"/>
      <w:divBdr>
        <w:top w:val="none" w:sz="0" w:space="0" w:color="auto"/>
        <w:left w:val="none" w:sz="0" w:space="0" w:color="auto"/>
        <w:bottom w:val="none" w:sz="0" w:space="0" w:color="auto"/>
        <w:right w:val="none" w:sz="0" w:space="0" w:color="auto"/>
      </w:divBdr>
    </w:div>
    <w:div w:id="1268804984">
      <w:bodyDiv w:val="1"/>
      <w:marLeft w:val="0"/>
      <w:marRight w:val="0"/>
      <w:marTop w:val="0"/>
      <w:marBottom w:val="0"/>
      <w:divBdr>
        <w:top w:val="none" w:sz="0" w:space="0" w:color="auto"/>
        <w:left w:val="none" w:sz="0" w:space="0" w:color="auto"/>
        <w:bottom w:val="none" w:sz="0" w:space="0" w:color="auto"/>
        <w:right w:val="none" w:sz="0" w:space="0" w:color="auto"/>
      </w:divBdr>
    </w:div>
    <w:div w:id="1268853468">
      <w:bodyDiv w:val="1"/>
      <w:marLeft w:val="0"/>
      <w:marRight w:val="0"/>
      <w:marTop w:val="0"/>
      <w:marBottom w:val="0"/>
      <w:divBdr>
        <w:top w:val="none" w:sz="0" w:space="0" w:color="auto"/>
        <w:left w:val="none" w:sz="0" w:space="0" w:color="auto"/>
        <w:bottom w:val="none" w:sz="0" w:space="0" w:color="auto"/>
        <w:right w:val="none" w:sz="0" w:space="0" w:color="auto"/>
      </w:divBdr>
    </w:div>
    <w:div w:id="1268928899">
      <w:bodyDiv w:val="1"/>
      <w:marLeft w:val="0"/>
      <w:marRight w:val="0"/>
      <w:marTop w:val="0"/>
      <w:marBottom w:val="0"/>
      <w:divBdr>
        <w:top w:val="none" w:sz="0" w:space="0" w:color="auto"/>
        <w:left w:val="none" w:sz="0" w:space="0" w:color="auto"/>
        <w:bottom w:val="none" w:sz="0" w:space="0" w:color="auto"/>
        <w:right w:val="none" w:sz="0" w:space="0" w:color="auto"/>
      </w:divBdr>
    </w:div>
    <w:div w:id="1269123773">
      <w:bodyDiv w:val="1"/>
      <w:marLeft w:val="0"/>
      <w:marRight w:val="0"/>
      <w:marTop w:val="0"/>
      <w:marBottom w:val="0"/>
      <w:divBdr>
        <w:top w:val="none" w:sz="0" w:space="0" w:color="auto"/>
        <w:left w:val="none" w:sz="0" w:space="0" w:color="auto"/>
        <w:bottom w:val="none" w:sz="0" w:space="0" w:color="auto"/>
        <w:right w:val="none" w:sz="0" w:space="0" w:color="auto"/>
      </w:divBdr>
    </w:div>
    <w:div w:id="1269267685">
      <w:bodyDiv w:val="1"/>
      <w:marLeft w:val="0"/>
      <w:marRight w:val="0"/>
      <w:marTop w:val="0"/>
      <w:marBottom w:val="0"/>
      <w:divBdr>
        <w:top w:val="none" w:sz="0" w:space="0" w:color="auto"/>
        <w:left w:val="none" w:sz="0" w:space="0" w:color="auto"/>
        <w:bottom w:val="none" w:sz="0" w:space="0" w:color="auto"/>
        <w:right w:val="none" w:sz="0" w:space="0" w:color="auto"/>
      </w:divBdr>
    </w:div>
    <w:div w:id="1269510971">
      <w:bodyDiv w:val="1"/>
      <w:marLeft w:val="0"/>
      <w:marRight w:val="0"/>
      <w:marTop w:val="0"/>
      <w:marBottom w:val="0"/>
      <w:divBdr>
        <w:top w:val="none" w:sz="0" w:space="0" w:color="auto"/>
        <w:left w:val="none" w:sz="0" w:space="0" w:color="auto"/>
        <w:bottom w:val="none" w:sz="0" w:space="0" w:color="auto"/>
        <w:right w:val="none" w:sz="0" w:space="0" w:color="auto"/>
      </w:divBdr>
    </w:div>
    <w:div w:id="1270119862">
      <w:bodyDiv w:val="1"/>
      <w:marLeft w:val="0"/>
      <w:marRight w:val="0"/>
      <w:marTop w:val="0"/>
      <w:marBottom w:val="0"/>
      <w:divBdr>
        <w:top w:val="none" w:sz="0" w:space="0" w:color="auto"/>
        <w:left w:val="none" w:sz="0" w:space="0" w:color="auto"/>
        <w:bottom w:val="none" w:sz="0" w:space="0" w:color="auto"/>
        <w:right w:val="none" w:sz="0" w:space="0" w:color="auto"/>
      </w:divBdr>
    </w:div>
    <w:div w:id="1270700243">
      <w:bodyDiv w:val="1"/>
      <w:marLeft w:val="0"/>
      <w:marRight w:val="0"/>
      <w:marTop w:val="0"/>
      <w:marBottom w:val="0"/>
      <w:divBdr>
        <w:top w:val="none" w:sz="0" w:space="0" w:color="auto"/>
        <w:left w:val="none" w:sz="0" w:space="0" w:color="auto"/>
        <w:bottom w:val="none" w:sz="0" w:space="0" w:color="auto"/>
        <w:right w:val="none" w:sz="0" w:space="0" w:color="auto"/>
      </w:divBdr>
    </w:div>
    <w:div w:id="1271277792">
      <w:bodyDiv w:val="1"/>
      <w:marLeft w:val="0"/>
      <w:marRight w:val="0"/>
      <w:marTop w:val="0"/>
      <w:marBottom w:val="0"/>
      <w:divBdr>
        <w:top w:val="none" w:sz="0" w:space="0" w:color="auto"/>
        <w:left w:val="none" w:sz="0" w:space="0" w:color="auto"/>
        <w:bottom w:val="none" w:sz="0" w:space="0" w:color="auto"/>
        <w:right w:val="none" w:sz="0" w:space="0" w:color="auto"/>
      </w:divBdr>
    </w:div>
    <w:div w:id="1272056646">
      <w:bodyDiv w:val="1"/>
      <w:marLeft w:val="0"/>
      <w:marRight w:val="0"/>
      <w:marTop w:val="0"/>
      <w:marBottom w:val="0"/>
      <w:divBdr>
        <w:top w:val="none" w:sz="0" w:space="0" w:color="auto"/>
        <w:left w:val="none" w:sz="0" w:space="0" w:color="auto"/>
        <w:bottom w:val="none" w:sz="0" w:space="0" w:color="auto"/>
        <w:right w:val="none" w:sz="0" w:space="0" w:color="auto"/>
      </w:divBdr>
    </w:div>
    <w:div w:id="1272126322">
      <w:bodyDiv w:val="1"/>
      <w:marLeft w:val="0"/>
      <w:marRight w:val="0"/>
      <w:marTop w:val="0"/>
      <w:marBottom w:val="0"/>
      <w:divBdr>
        <w:top w:val="none" w:sz="0" w:space="0" w:color="auto"/>
        <w:left w:val="none" w:sz="0" w:space="0" w:color="auto"/>
        <w:bottom w:val="none" w:sz="0" w:space="0" w:color="auto"/>
        <w:right w:val="none" w:sz="0" w:space="0" w:color="auto"/>
      </w:divBdr>
    </w:div>
    <w:div w:id="1272276058">
      <w:bodyDiv w:val="1"/>
      <w:marLeft w:val="0"/>
      <w:marRight w:val="0"/>
      <w:marTop w:val="0"/>
      <w:marBottom w:val="0"/>
      <w:divBdr>
        <w:top w:val="none" w:sz="0" w:space="0" w:color="auto"/>
        <w:left w:val="none" w:sz="0" w:space="0" w:color="auto"/>
        <w:bottom w:val="none" w:sz="0" w:space="0" w:color="auto"/>
        <w:right w:val="none" w:sz="0" w:space="0" w:color="auto"/>
      </w:divBdr>
    </w:div>
    <w:div w:id="1272281385">
      <w:bodyDiv w:val="1"/>
      <w:marLeft w:val="0"/>
      <w:marRight w:val="0"/>
      <w:marTop w:val="0"/>
      <w:marBottom w:val="0"/>
      <w:divBdr>
        <w:top w:val="none" w:sz="0" w:space="0" w:color="auto"/>
        <w:left w:val="none" w:sz="0" w:space="0" w:color="auto"/>
        <w:bottom w:val="none" w:sz="0" w:space="0" w:color="auto"/>
        <w:right w:val="none" w:sz="0" w:space="0" w:color="auto"/>
      </w:divBdr>
    </w:div>
    <w:div w:id="1273778702">
      <w:bodyDiv w:val="1"/>
      <w:marLeft w:val="0"/>
      <w:marRight w:val="0"/>
      <w:marTop w:val="0"/>
      <w:marBottom w:val="0"/>
      <w:divBdr>
        <w:top w:val="none" w:sz="0" w:space="0" w:color="auto"/>
        <w:left w:val="none" w:sz="0" w:space="0" w:color="auto"/>
        <w:bottom w:val="none" w:sz="0" w:space="0" w:color="auto"/>
        <w:right w:val="none" w:sz="0" w:space="0" w:color="auto"/>
      </w:divBdr>
    </w:div>
    <w:div w:id="1273780179">
      <w:bodyDiv w:val="1"/>
      <w:marLeft w:val="0"/>
      <w:marRight w:val="0"/>
      <w:marTop w:val="0"/>
      <w:marBottom w:val="0"/>
      <w:divBdr>
        <w:top w:val="none" w:sz="0" w:space="0" w:color="auto"/>
        <w:left w:val="none" w:sz="0" w:space="0" w:color="auto"/>
        <w:bottom w:val="none" w:sz="0" w:space="0" w:color="auto"/>
        <w:right w:val="none" w:sz="0" w:space="0" w:color="auto"/>
      </w:divBdr>
    </w:div>
    <w:div w:id="1273972938">
      <w:bodyDiv w:val="1"/>
      <w:marLeft w:val="0"/>
      <w:marRight w:val="0"/>
      <w:marTop w:val="0"/>
      <w:marBottom w:val="0"/>
      <w:divBdr>
        <w:top w:val="none" w:sz="0" w:space="0" w:color="auto"/>
        <w:left w:val="none" w:sz="0" w:space="0" w:color="auto"/>
        <w:bottom w:val="none" w:sz="0" w:space="0" w:color="auto"/>
        <w:right w:val="none" w:sz="0" w:space="0" w:color="auto"/>
      </w:divBdr>
    </w:div>
    <w:div w:id="1273977792">
      <w:bodyDiv w:val="1"/>
      <w:marLeft w:val="0"/>
      <w:marRight w:val="0"/>
      <w:marTop w:val="0"/>
      <w:marBottom w:val="0"/>
      <w:divBdr>
        <w:top w:val="none" w:sz="0" w:space="0" w:color="auto"/>
        <w:left w:val="none" w:sz="0" w:space="0" w:color="auto"/>
        <w:bottom w:val="none" w:sz="0" w:space="0" w:color="auto"/>
        <w:right w:val="none" w:sz="0" w:space="0" w:color="auto"/>
      </w:divBdr>
    </w:div>
    <w:div w:id="1274283648">
      <w:bodyDiv w:val="1"/>
      <w:marLeft w:val="0"/>
      <w:marRight w:val="0"/>
      <w:marTop w:val="0"/>
      <w:marBottom w:val="0"/>
      <w:divBdr>
        <w:top w:val="none" w:sz="0" w:space="0" w:color="auto"/>
        <w:left w:val="none" w:sz="0" w:space="0" w:color="auto"/>
        <w:bottom w:val="none" w:sz="0" w:space="0" w:color="auto"/>
        <w:right w:val="none" w:sz="0" w:space="0" w:color="auto"/>
      </w:divBdr>
    </w:div>
    <w:div w:id="1274552495">
      <w:bodyDiv w:val="1"/>
      <w:marLeft w:val="0"/>
      <w:marRight w:val="0"/>
      <w:marTop w:val="0"/>
      <w:marBottom w:val="0"/>
      <w:divBdr>
        <w:top w:val="none" w:sz="0" w:space="0" w:color="auto"/>
        <w:left w:val="none" w:sz="0" w:space="0" w:color="auto"/>
        <w:bottom w:val="none" w:sz="0" w:space="0" w:color="auto"/>
        <w:right w:val="none" w:sz="0" w:space="0" w:color="auto"/>
      </w:divBdr>
    </w:div>
    <w:div w:id="1275015113">
      <w:bodyDiv w:val="1"/>
      <w:marLeft w:val="0"/>
      <w:marRight w:val="0"/>
      <w:marTop w:val="0"/>
      <w:marBottom w:val="0"/>
      <w:divBdr>
        <w:top w:val="none" w:sz="0" w:space="0" w:color="auto"/>
        <w:left w:val="none" w:sz="0" w:space="0" w:color="auto"/>
        <w:bottom w:val="none" w:sz="0" w:space="0" w:color="auto"/>
        <w:right w:val="none" w:sz="0" w:space="0" w:color="auto"/>
      </w:divBdr>
    </w:div>
    <w:div w:id="1275164105">
      <w:bodyDiv w:val="1"/>
      <w:marLeft w:val="0"/>
      <w:marRight w:val="0"/>
      <w:marTop w:val="0"/>
      <w:marBottom w:val="0"/>
      <w:divBdr>
        <w:top w:val="none" w:sz="0" w:space="0" w:color="auto"/>
        <w:left w:val="none" w:sz="0" w:space="0" w:color="auto"/>
        <w:bottom w:val="none" w:sz="0" w:space="0" w:color="auto"/>
        <w:right w:val="none" w:sz="0" w:space="0" w:color="auto"/>
      </w:divBdr>
    </w:div>
    <w:div w:id="1275477824">
      <w:bodyDiv w:val="1"/>
      <w:marLeft w:val="0"/>
      <w:marRight w:val="0"/>
      <w:marTop w:val="0"/>
      <w:marBottom w:val="0"/>
      <w:divBdr>
        <w:top w:val="none" w:sz="0" w:space="0" w:color="auto"/>
        <w:left w:val="none" w:sz="0" w:space="0" w:color="auto"/>
        <w:bottom w:val="none" w:sz="0" w:space="0" w:color="auto"/>
        <w:right w:val="none" w:sz="0" w:space="0" w:color="auto"/>
      </w:divBdr>
    </w:div>
    <w:div w:id="1276521634">
      <w:bodyDiv w:val="1"/>
      <w:marLeft w:val="0"/>
      <w:marRight w:val="0"/>
      <w:marTop w:val="0"/>
      <w:marBottom w:val="0"/>
      <w:divBdr>
        <w:top w:val="none" w:sz="0" w:space="0" w:color="auto"/>
        <w:left w:val="none" w:sz="0" w:space="0" w:color="auto"/>
        <w:bottom w:val="none" w:sz="0" w:space="0" w:color="auto"/>
        <w:right w:val="none" w:sz="0" w:space="0" w:color="auto"/>
      </w:divBdr>
    </w:div>
    <w:div w:id="1277299699">
      <w:bodyDiv w:val="1"/>
      <w:marLeft w:val="0"/>
      <w:marRight w:val="0"/>
      <w:marTop w:val="0"/>
      <w:marBottom w:val="0"/>
      <w:divBdr>
        <w:top w:val="none" w:sz="0" w:space="0" w:color="auto"/>
        <w:left w:val="none" w:sz="0" w:space="0" w:color="auto"/>
        <w:bottom w:val="none" w:sz="0" w:space="0" w:color="auto"/>
        <w:right w:val="none" w:sz="0" w:space="0" w:color="auto"/>
      </w:divBdr>
    </w:div>
    <w:div w:id="1277525285">
      <w:bodyDiv w:val="1"/>
      <w:marLeft w:val="0"/>
      <w:marRight w:val="0"/>
      <w:marTop w:val="0"/>
      <w:marBottom w:val="0"/>
      <w:divBdr>
        <w:top w:val="none" w:sz="0" w:space="0" w:color="auto"/>
        <w:left w:val="none" w:sz="0" w:space="0" w:color="auto"/>
        <w:bottom w:val="none" w:sz="0" w:space="0" w:color="auto"/>
        <w:right w:val="none" w:sz="0" w:space="0" w:color="auto"/>
      </w:divBdr>
    </w:div>
    <w:div w:id="1277643251">
      <w:bodyDiv w:val="1"/>
      <w:marLeft w:val="0"/>
      <w:marRight w:val="0"/>
      <w:marTop w:val="0"/>
      <w:marBottom w:val="0"/>
      <w:divBdr>
        <w:top w:val="none" w:sz="0" w:space="0" w:color="auto"/>
        <w:left w:val="none" w:sz="0" w:space="0" w:color="auto"/>
        <w:bottom w:val="none" w:sz="0" w:space="0" w:color="auto"/>
        <w:right w:val="none" w:sz="0" w:space="0" w:color="auto"/>
      </w:divBdr>
    </w:div>
    <w:div w:id="1277984651">
      <w:bodyDiv w:val="1"/>
      <w:marLeft w:val="0"/>
      <w:marRight w:val="0"/>
      <w:marTop w:val="0"/>
      <w:marBottom w:val="0"/>
      <w:divBdr>
        <w:top w:val="none" w:sz="0" w:space="0" w:color="auto"/>
        <w:left w:val="none" w:sz="0" w:space="0" w:color="auto"/>
        <w:bottom w:val="none" w:sz="0" w:space="0" w:color="auto"/>
        <w:right w:val="none" w:sz="0" w:space="0" w:color="auto"/>
      </w:divBdr>
    </w:div>
    <w:div w:id="1278415357">
      <w:bodyDiv w:val="1"/>
      <w:marLeft w:val="0"/>
      <w:marRight w:val="0"/>
      <w:marTop w:val="0"/>
      <w:marBottom w:val="0"/>
      <w:divBdr>
        <w:top w:val="none" w:sz="0" w:space="0" w:color="auto"/>
        <w:left w:val="none" w:sz="0" w:space="0" w:color="auto"/>
        <w:bottom w:val="none" w:sz="0" w:space="0" w:color="auto"/>
        <w:right w:val="none" w:sz="0" w:space="0" w:color="auto"/>
      </w:divBdr>
    </w:div>
    <w:div w:id="1278638079">
      <w:bodyDiv w:val="1"/>
      <w:marLeft w:val="0"/>
      <w:marRight w:val="0"/>
      <w:marTop w:val="0"/>
      <w:marBottom w:val="0"/>
      <w:divBdr>
        <w:top w:val="none" w:sz="0" w:space="0" w:color="auto"/>
        <w:left w:val="none" w:sz="0" w:space="0" w:color="auto"/>
        <w:bottom w:val="none" w:sz="0" w:space="0" w:color="auto"/>
        <w:right w:val="none" w:sz="0" w:space="0" w:color="auto"/>
      </w:divBdr>
    </w:div>
    <w:div w:id="1279138562">
      <w:bodyDiv w:val="1"/>
      <w:marLeft w:val="0"/>
      <w:marRight w:val="0"/>
      <w:marTop w:val="0"/>
      <w:marBottom w:val="0"/>
      <w:divBdr>
        <w:top w:val="none" w:sz="0" w:space="0" w:color="auto"/>
        <w:left w:val="none" w:sz="0" w:space="0" w:color="auto"/>
        <w:bottom w:val="none" w:sz="0" w:space="0" w:color="auto"/>
        <w:right w:val="none" w:sz="0" w:space="0" w:color="auto"/>
      </w:divBdr>
    </w:div>
    <w:div w:id="1279870176">
      <w:bodyDiv w:val="1"/>
      <w:marLeft w:val="0"/>
      <w:marRight w:val="0"/>
      <w:marTop w:val="0"/>
      <w:marBottom w:val="0"/>
      <w:divBdr>
        <w:top w:val="none" w:sz="0" w:space="0" w:color="auto"/>
        <w:left w:val="none" w:sz="0" w:space="0" w:color="auto"/>
        <w:bottom w:val="none" w:sz="0" w:space="0" w:color="auto"/>
        <w:right w:val="none" w:sz="0" w:space="0" w:color="auto"/>
      </w:divBdr>
    </w:div>
    <w:div w:id="1280143977">
      <w:bodyDiv w:val="1"/>
      <w:marLeft w:val="0"/>
      <w:marRight w:val="0"/>
      <w:marTop w:val="0"/>
      <w:marBottom w:val="0"/>
      <w:divBdr>
        <w:top w:val="none" w:sz="0" w:space="0" w:color="auto"/>
        <w:left w:val="none" w:sz="0" w:space="0" w:color="auto"/>
        <w:bottom w:val="none" w:sz="0" w:space="0" w:color="auto"/>
        <w:right w:val="none" w:sz="0" w:space="0" w:color="auto"/>
      </w:divBdr>
    </w:div>
    <w:div w:id="1280258344">
      <w:bodyDiv w:val="1"/>
      <w:marLeft w:val="0"/>
      <w:marRight w:val="0"/>
      <w:marTop w:val="0"/>
      <w:marBottom w:val="0"/>
      <w:divBdr>
        <w:top w:val="none" w:sz="0" w:space="0" w:color="auto"/>
        <w:left w:val="none" w:sz="0" w:space="0" w:color="auto"/>
        <w:bottom w:val="none" w:sz="0" w:space="0" w:color="auto"/>
        <w:right w:val="none" w:sz="0" w:space="0" w:color="auto"/>
      </w:divBdr>
    </w:div>
    <w:div w:id="1280333642">
      <w:bodyDiv w:val="1"/>
      <w:marLeft w:val="0"/>
      <w:marRight w:val="0"/>
      <w:marTop w:val="0"/>
      <w:marBottom w:val="0"/>
      <w:divBdr>
        <w:top w:val="none" w:sz="0" w:space="0" w:color="auto"/>
        <w:left w:val="none" w:sz="0" w:space="0" w:color="auto"/>
        <w:bottom w:val="none" w:sz="0" w:space="0" w:color="auto"/>
        <w:right w:val="none" w:sz="0" w:space="0" w:color="auto"/>
      </w:divBdr>
    </w:div>
    <w:div w:id="1280793787">
      <w:bodyDiv w:val="1"/>
      <w:marLeft w:val="0"/>
      <w:marRight w:val="0"/>
      <w:marTop w:val="0"/>
      <w:marBottom w:val="0"/>
      <w:divBdr>
        <w:top w:val="none" w:sz="0" w:space="0" w:color="auto"/>
        <w:left w:val="none" w:sz="0" w:space="0" w:color="auto"/>
        <w:bottom w:val="none" w:sz="0" w:space="0" w:color="auto"/>
        <w:right w:val="none" w:sz="0" w:space="0" w:color="auto"/>
      </w:divBdr>
    </w:div>
    <w:div w:id="1280796613">
      <w:bodyDiv w:val="1"/>
      <w:marLeft w:val="0"/>
      <w:marRight w:val="0"/>
      <w:marTop w:val="0"/>
      <w:marBottom w:val="0"/>
      <w:divBdr>
        <w:top w:val="none" w:sz="0" w:space="0" w:color="auto"/>
        <w:left w:val="none" w:sz="0" w:space="0" w:color="auto"/>
        <w:bottom w:val="none" w:sz="0" w:space="0" w:color="auto"/>
        <w:right w:val="none" w:sz="0" w:space="0" w:color="auto"/>
      </w:divBdr>
    </w:div>
    <w:div w:id="1280801719">
      <w:bodyDiv w:val="1"/>
      <w:marLeft w:val="0"/>
      <w:marRight w:val="0"/>
      <w:marTop w:val="0"/>
      <w:marBottom w:val="0"/>
      <w:divBdr>
        <w:top w:val="none" w:sz="0" w:space="0" w:color="auto"/>
        <w:left w:val="none" w:sz="0" w:space="0" w:color="auto"/>
        <w:bottom w:val="none" w:sz="0" w:space="0" w:color="auto"/>
        <w:right w:val="none" w:sz="0" w:space="0" w:color="auto"/>
      </w:divBdr>
    </w:div>
    <w:div w:id="1280994196">
      <w:bodyDiv w:val="1"/>
      <w:marLeft w:val="0"/>
      <w:marRight w:val="0"/>
      <w:marTop w:val="0"/>
      <w:marBottom w:val="0"/>
      <w:divBdr>
        <w:top w:val="none" w:sz="0" w:space="0" w:color="auto"/>
        <w:left w:val="none" w:sz="0" w:space="0" w:color="auto"/>
        <w:bottom w:val="none" w:sz="0" w:space="0" w:color="auto"/>
        <w:right w:val="none" w:sz="0" w:space="0" w:color="auto"/>
      </w:divBdr>
    </w:div>
    <w:div w:id="1281104641">
      <w:bodyDiv w:val="1"/>
      <w:marLeft w:val="0"/>
      <w:marRight w:val="0"/>
      <w:marTop w:val="0"/>
      <w:marBottom w:val="0"/>
      <w:divBdr>
        <w:top w:val="none" w:sz="0" w:space="0" w:color="auto"/>
        <w:left w:val="none" w:sz="0" w:space="0" w:color="auto"/>
        <w:bottom w:val="none" w:sz="0" w:space="0" w:color="auto"/>
        <w:right w:val="none" w:sz="0" w:space="0" w:color="auto"/>
      </w:divBdr>
    </w:div>
    <w:div w:id="1281109916">
      <w:bodyDiv w:val="1"/>
      <w:marLeft w:val="0"/>
      <w:marRight w:val="0"/>
      <w:marTop w:val="0"/>
      <w:marBottom w:val="0"/>
      <w:divBdr>
        <w:top w:val="none" w:sz="0" w:space="0" w:color="auto"/>
        <w:left w:val="none" w:sz="0" w:space="0" w:color="auto"/>
        <w:bottom w:val="none" w:sz="0" w:space="0" w:color="auto"/>
        <w:right w:val="none" w:sz="0" w:space="0" w:color="auto"/>
      </w:divBdr>
    </w:div>
    <w:div w:id="1281305299">
      <w:bodyDiv w:val="1"/>
      <w:marLeft w:val="0"/>
      <w:marRight w:val="0"/>
      <w:marTop w:val="0"/>
      <w:marBottom w:val="0"/>
      <w:divBdr>
        <w:top w:val="none" w:sz="0" w:space="0" w:color="auto"/>
        <w:left w:val="none" w:sz="0" w:space="0" w:color="auto"/>
        <w:bottom w:val="none" w:sz="0" w:space="0" w:color="auto"/>
        <w:right w:val="none" w:sz="0" w:space="0" w:color="auto"/>
      </w:divBdr>
    </w:div>
    <w:div w:id="1281687935">
      <w:bodyDiv w:val="1"/>
      <w:marLeft w:val="0"/>
      <w:marRight w:val="0"/>
      <w:marTop w:val="0"/>
      <w:marBottom w:val="0"/>
      <w:divBdr>
        <w:top w:val="none" w:sz="0" w:space="0" w:color="auto"/>
        <w:left w:val="none" w:sz="0" w:space="0" w:color="auto"/>
        <w:bottom w:val="none" w:sz="0" w:space="0" w:color="auto"/>
        <w:right w:val="none" w:sz="0" w:space="0" w:color="auto"/>
      </w:divBdr>
    </w:div>
    <w:div w:id="1282029415">
      <w:bodyDiv w:val="1"/>
      <w:marLeft w:val="0"/>
      <w:marRight w:val="0"/>
      <w:marTop w:val="0"/>
      <w:marBottom w:val="0"/>
      <w:divBdr>
        <w:top w:val="none" w:sz="0" w:space="0" w:color="auto"/>
        <w:left w:val="none" w:sz="0" w:space="0" w:color="auto"/>
        <w:bottom w:val="none" w:sz="0" w:space="0" w:color="auto"/>
        <w:right w:val="none" w:sz="0" w:space="0" w:color="auto"/>
      </w:divBdr>
    </w:div>
    <w:div w:id="1282373406">
      <w:bodyDiv w:val="1"/>
      <w:marLeft w:val="0"/>
      <w:marRight w:val="0"/>
      <w:marTop w:val="0"/>
      <w:marBottom w:val="0"/>
      <w:divBdr>
        <w:top w:val="none" w:sz="0" w:space="0" w:color="auto"/>
        <w:left w:val="none" w:sz="0" w:space="0" w:color="auto"/>
        <w:bottom w:val="none" w:sz="0" w:space="0" w:color="auto"/>
        <w:right w:val="none" w:sz="0" w:space="0" w:color="auto"/>
      </w:divBdr>
    </w:div>
    <w:div w:id="1282490267">
      <w:bodyDiv w:val="1"/>
      <w:marLeft w:val="0"/>
      <w:marRight w:val="0"/>
      <w:marTop w:val="0"/>
      <w:marBottom w:val="0"/>
      <w:divBdr>
        <w:top w:val="none" w:sz="0" w:space="0" w:color="auto"/>
        <w:left w:val="none" w:sz="0" w:space="0" w:color="auto"/>
        <w:bottom w:val="none" w:sz="0" w:space="0" w:color="auto"/>
        <w:right w:val="none" w:sz="0" w:space="0" w:color="auto"/>
      </w:divBdr>
    </w:div>
    <w:div w:id="1282883698">
      <w:bodyDiv w:val="1"/>
      <w:marLeft w:val="0"/>
      <w:marRight w:val="0"/>
      <w:marTop w:val="0"/>
      <w:marBottom w:val="0"/>
      <w:divBdr>
        <w:top w:val="none" w:sz="0" w:space="0" w:color="auto"/>
        <w:left w:val="none" w:sz="0" w:space="0" w:color="auto"/>
        <w:bottom w:val="none" w:sz="0" w:space="0" w:color="auto"/>
        <w:right w:val="none" w:sz="0" w:space="0" w:color="auto"/>
      </w:divBdr>
    </w:div>
    <w:div w:id="1282998280">
      <w:bodyDiv w:val="1"/>
      <w:marLeft w:val="0"/>
      <w:marRight w:val="0"/>
      <w:marTop w:val="0"/>
      <w:marBottom w:val="0"/>
      <w:divBdr>
        <w:top w:val="none" w:sz="0" w:space="0" w:color="auto"/>
        <w:left w:val="none" w:sz="0" w:space="0" w:color="auto"/>
        <w:bottom w:val="none" w:sz="0" w:space="0" w:color="auto"/>
        <w:right w:val="none" w:sz="0" w:space="0" w:color="auto"/>
      </w:divBdr>
    </w:div>
    <w:div w:id="1283029732">
      <w:bodyDiv w:val="1"/>
      <w:marLeft w:val="0"/>
      <w:marRight w:val="0"/>
      <w:marTop w:val="0"/>
      <w:marBottom w:val="0"/>
      <w:divBdr>
        <w:top w:val="none" w:sz="0" w:space="0" w:color="auto"/>
        <w:left w:val="none" w:sz="0" w:space="0" w:color="auto"/>
        <w:bottom w:val="none" w:sz="0" w:space="0" w:color="auto"/>
        <w:right w:val="none" w:sz="0" w:space="0" w:color="auto"/>
      </w:divBdr>
    </w:div>
    <w:div w:id="1283347579">
      <w:bodyDiv w:val="1"/>
      <w:marLeft w:val="0"/>
      <w:marRight w:val="0"/>
      <w:marTop w:val="0"/>
      <w:marBottom w:val="0"/>
      <w:divBdr>
        <w:top w:val="none" w:sz="0" w:space="0" w:color="auto"/>
        <w:left w:val="none" w:sz="0" w:space="0" w:color="auto"/>
        <w:bottom w:val="none" w:sz="0" w:space="0" w:color="auto"/>
        <w:right w:val="none" w:sz="0" w:space="0" w:color="auto"/>
      </w:divBdr>
    </w:div>
    <w:div w:id="1283876154">
      <w:bodyDiv w:val="1"/>
      <w:marLeft w:val="0"/>
      <w:marRight w:val="0"/>
      <w:marTop w:val="0"/>
      <w:marBottom w:val="0"/>
      <w:divBdr>
        <w:top w:val="none" w:sz="0" w:space="0" w:color="auto"/>
        <w:left w:val="none" w:sz="0" w:space="0" w:color="auto"/>
        <w:bottom w:val="none" w:sz="0" w:space="0" w:color="auto"/>
        <w:right w:val="none" w:sz="0" w:space="0" w:color="auto"/>
      </w:divBdr>
    </w:div>
    <w:div w:id="1284455656">
      <w:bodyDiv w:val="1"/>
      <w:marLeft w:val="0"/>
      <w:marRight w:val="0"/>
      <w:marTop w:val="0"/>
      <w:marBottom w:val="0"/>
      <w:divBdr>
        <w:top w:val="none" w:sz="0" w:space="0" w:color="auto"/>
        <w:left w:val="none" w:sz="0" w:space="0" w:color="auto"/>
        <w:bottom w:val="none" w:sz="0" w:space="0" w:color="auto"/>
        <w:right w:val="none" w:sz="0" w:space="0" w:color="auto"/>
      </w:divBdr>
    </w:div>
    <w:div w:id="1284653763">
      <w:bodyDiv w:val="1"/>
      <w:marLeft w:val="0"/>
      <w:marRight w:val="0"/>
      <w:marTop w:val="0"/>
      <w:marBottom w:val="0"/>
      <w:divBdr>
        <w:top w:val="none" w:sz="0" w:space="0" w:color="auto"/>
        <w:left w:val="none" w:sz="0" w:space="0" w:color="auto"/>
        <w:bottom w:val="none" w:sz="0" w:space="0" w:color="auto"/>
        <w:right w:val="none" w:sz="0" w:space="0" w:color="auto"/>
      </w:divBdr>
    </w:div>
    <w:div w:id="1285036566">
      <w:bodyDiv w:val="1"/>
      <w:marLeft w:val="0"/>
      <w:marRight w:val="0"/>
      <w:marTop w:val="0"/>
      <w:marBottom w:val="0"/>
      <w:divBdr>
        <w:top w:val="none" w:sz="0" w:space="0" w:color="auto"/>
        <w:left w:val="none" w:sz="0" w:space="0" w:color="auto"/>
        <w:bottom w:val="none" w:sz="0" w:space="0" w:color="auto"/>
        <w:right w:val="none" w:sz="0" w:space="0" w:color="auto"/>
      </w:divBdr>
    </w:div>
    <w:div w:id="1285382020">
      <w:bodyDiv w:val="1"/>
      <w:marLeft w:val="0"/>
      <w:marRight w:val="0"/>
      <w:marTop w:val="0"/>
      <w:marBottom w:val="0"/>
      <w:divBdr>
        <w:top w:val="none" w:sz="0" w:space="0" w:color="auto"/>
        <w:left w:val="none" w:sz="0" w:space="0" w:color="auto"/>
        <w:bottom w:val="none" w:sz="0" w:space="0" w:color="auto"/>
        <w:right w:val="none" w:sz="0" w:space="0" w:color="auto"/>
      </w:divBdr>
    </w:div>
    <w:div w:id="1285960868">
      <w:bodyDiv w:val="1"/>
      <w:marLeft w:val="0"/>
      <w:marRight w:val="0"/>
      <w:marTop w:val="0"/>
      <w:marBottom w:val="0"/>
      <w:divBdr>
        <w:top w:val="none" w:sz="0" w:space="0" w:color="auto"/>
        <w:left w:val="none" w:sz="0" w:space="0" w:color="auto"/>
        <w:bottom w:val="none" w:sz="0" w:space="0" w:color="auto"/>
        <w:right w:val="none" w:sz="0" w:space="0" w:color="auto"/>
      </w:divBdr>
    </w:div>
    <w:div w:id="1286545798">
      <w:bodyDiv w:val="1"/>
      <w:marLeft w:val="0"/>
      <w:marRight w:val="0"/>
      <w:marTop w:val="0"/>
      <w:marBottom w:val="0"/>
      <w:divBdr>
        <w:top w:val="none" w:sz="0" w:space="0" w:color="auto"/>
        <w:left w:val="none" w:sz="0" w:space="0" w:color="auto"/>
        <w:bottom w:val="none" w:sz="0" w:space="0" w:color="auto"/>
        <w:right w:val="none" w:sz="0" w:space="0" w:color="auto"/>
      </w:divBdr>
    </w:div>
    <w:div w:id="1286812997">
      <w:bodyDiv w:val="1"/>
      <w:marLeft w:val="0"/>
      <w:marRight w:val="0"/>
      <w:marTop w:val="0"/>
      <w:marBottom w:val="0"/>
      <w:divBdr>
        <w:top w:val="none" w:sz="0" w:space="0" w:color="auto"/>
        <w:left w:val="none" w:sz="0" w:space="0" w:color="auto"/>
        <w:bottom w:val="none" w:sz="0" w:space="0" w:color="auto"/>
        <w:right w:val="none" w:sz="0" w:space="0" w:color="auto"/>
      </w:divBdr>
    </w:div>
    <w:div w:id="1286889514">
      <w:bodyDiv w:val="1"/>
      <w:marLeft w:val="0"/>
      <w:marRight w:val="0"/>
      <w:marTop w:val="0"/>
      <w:marBottom w:val="0"/>
      <w:divBdr>
        <w:top w:val="none" w:sz="0" w:space="0" w:color="auto"/>
        <w:left w:val="none" w:sz="0" w:space="0" w:color="auto"/>
        <w:bottom w:val="none" w:sz="0" w:space="0" w:color="auto"/>
        <w:right w:val="none" w:sz="0" w:space="0" w:color="auto"/>
      </w:divBdr>
    </w:div>
    <w:div w:id="1288388954">
      <w:bodyDiv w:val="1"/>
      <w:marLeft w:val="0"/>
      <w:marRight w:val="0"/>
      <w:marTop w:val="0"/>
      <w:marBottom w:val="0"/>
      <w:divBdr>
        <w:top w:val="none" w:sz="0" w:space="0" w:color="auto"/>
        <w:left w:val="none" w:sz="0" w:space="0" w:color="auto"/>
        <w:bottom w:val="none" w:sz="0" w:space="0" w:color="auto"/>
        <w:right w:val="none" w:sz="0" w:space="0" w:color="auto"/>
      </w:divBdr>
    </w:div>
    <w:div w:id="1288467517">
      <w:bodyDiv w:val="1"/>
      <w:marLeft w:val="0"/>
      <w:marRight w:val="0"/>
      <w:marTop w:val="0"/>
      <w:marBottom w:val="0"/>
      <w:divBdr>
        <w:top w:val="none" w:sz="0" w:space="0" w:color="auto"/>
        <w:left w:val="none" w:sz="0" w:space="0" w:color="auto"/>
        <w:bottom w:val="none" w:sz="0" w:space="0" w:color="auto"/>
        <w:right w:val="none" w:sz="0" w:space="0" w:color="auto"/>
      </w:divBdr>
    </w:div>
    <w:div w:id="1288585780">
      <w:bodyDiv w:val="1"/>
      <w:marLeft w:val="0"/>
      <w:marRight w:val="0"/>
      <w:marTop w:val="0"/>
      <w:marBottom w:val="0"/>
      <w:divBdr>
        <w:top w:val="none" w:sz="0" w:space="0" w:color="auto"/>
        <w:left w:val="none" w:sz="0" w:space="0" w:color="auto"/>
        <w:bottom w:val="none" w:sz="0" w:space="0" w:color="auto"/>
        <w:right w:val="none" w:sz="0" w:space="0" w:color="auto"/>
      </w:divBdr>
    </w:div>
    <w:div w:id="1288732530">
      <w:bodyDiv w:val="1"/>
      <w:marLeft w:val="0"/>
      <w:marRight w:val="0"/>
      <w:marTop w:val="0"/>
      <w:marBottom w:val="0"/>
      <w:divBdr>
        <w:top w:val="none" w:sz="0" w:space="0" w:color="auto"/>
        <w:left w:val="none" w:sz="0" w:space="0" w:color="auto"/>
        <w:bottom w:val="none" w:sz="0" w:space="0" w:color="auto"/>
        <w:right w:val="none" w:sz="0" w:space="0" w:color="auto"/>
      </w:divBdr>
    </w:div>
    <w:div w:id="1289236040">
      <w:bodyDiv w:val="1"/>
      <w:marLeft w:val="0"/>
      <w:marRight w:val="0"/>
      <w:marTop w:val="0"/>
      <w:marBottom w:val="0"/>
      <w:divBdr>
        <w:top w:val="none" w:sz="0" w:space="0" w:color="auto"/>
        <w:left w:val="none" w:sz="0" w:space="0" w:color="auto"/>
        <w:bottom w:val="none" w:sz="0" w:space="0" w:color="auto"/>
        <w:right w:val="none" w:sz="0" w:space="0" w:color="auto"/>
      </w:divBdr>
    </w:div>
    <w:div w:id="1289437470">
      <w:bodyDiv w:val="1"/>
      <w:marLeft w:val="0"/>
      <w:marRight w:val="0"/>
      <w:marTop w:val="0"/>
      <w:marBottom w:val="0"/>
      <w:divBdr>
        <w:top w:val="none" w:sz="0" w:space="0" w:color="auto"/>
        <w:left w:val="none" w:sz="0" w:space="0" w:color="auto"/>
        <w:bottom w:val="none" w:sz="0" w:space="0" w:color="auto"/>
        <w:right w:val="none" w:sz="0" w:space="0" w:color="auto"/>
      </w:divBdr>
    </w:div>
    <w:div w:id="1289628754">
      <w:bodyDiv w:val="1"/>
      <w:marLeft w:val="0"/>
      <w:marRight w:val="0"/>
      <w:marTop w:val="0"/>
      <w:marBottom w:val="0"/>
      <w:divBdr>
        <w:top w:val="none" w:sz="0" w:space="0" w:color="auto"/>
        <w:left w:val="none" w:sz="0" w:space="0" w:color="auto"/>
        <w:bottom w:val="none" w:sz="0" w:space="0" w:color="auto"/>
        <w:right w:val="none" w:sz="0" w:space="0" w:color="auto"/>
      </w:divBdr>
    </w:div>
    <w:div w:id="1290084301">
      <w:bodyDiv w:val="1"/>
      <w:marLeft w:val="0"/>
      <w:marRight w:val="0"/>
      <w:marTop w:val="0"/>
      <w:marBottom w:val="0"/>
      <w:divBdr>
        <w:top w:val="none" w:sz="0" w:space="0" w:color="auto"/>
        <w:left w:val="none" w:sz="0" w:space="0" w:color="auto"/>
        <w:bottom w:val="none" w:sz="0" w:space="0" w:color="auto"/>
        <w:right w:val="none" w:sz="0" w:space="0" w:color="auto"/>
      </w:divBdr>
    </w:div>
    <w:div w:id="1290207432">
      <w:bodyDiv w:val="1"/>
      <w:marLeft w:val="0"/>
      <w:marRight w:val="0"/>
      <w:marTop w:val="0"/>
      <w:marBottom w:val="0"/>
      <w:divBdr>
        <w:top w:val="none" w:sz="0" w:space="0" w:color="auto"/>
        <w:left w:val="none" w:sz="0" w:space="0" w:color="auto"/>
        <w:bottom w:val="none" w:sz="0" w:space="0" w:color="auto"/>
        <w:right w:val="none" w:sz="0" w:space="0" w:color="auto"/>
      </w:divBdr>
    </w:div>
    <w:div w:id="1290476298">
      <w:bodyDiv w:val="1"/>
      <w:marLeft w:val="0"/>
      <w:marRight w:val="0"/>
      <w:marTop w:val="0"/>
      <w:marBottom w:val="0"/>
      <w:divBdr>
        <w:top w:val="none" w:sz="0" w:space="0" w:color="auto"/>
        <w:left w:val="none" w:sz="0" w:space="0" w:color="auto"/>
        <w:bottom w:val="none" w:sz="0" w:space="0" w:color="auto"/>
        <w:right w:val="none" w:sz="0" w:space="0" w:color="auto"/>
      </w:divBdr>
    </w:div>
    <w:div w:id="1290546535">
      <w:bodyDiv w:val="1"/>
      <w:marLeft w:val="0"/>
      <w:marRight w:val="0"/>
      <w:marTop w:val="0"/>
      <w:marBottom w:val="0"/>
      <w:divBdr>
        <w:top w:val="none" w:sz="0" w:space="0" w:color="auto"/>
        <w:left w:val="none" w:sz="0" w:space="0" w:color="auto"/>
        <w:bottom w:val="none" w:sz="0" w:space="0" w:color="auto"/>
        <w:right w:val="none" w:sz="0" w:space="0" w:color="auto"/>
      </w:divBdr>
    </w:div>
    <w:div w:id="1290621619">
      <w:bodyDiv w:val="1"/>
      <w:marLeft w:val="0"/>
      <w:marRight w:val="0"/>
      <w:marTop w:val="0"/>
      <w:marBottom w:val="0"/>
      <w:divBdr>
        <w:top w:val="none" w:sz="0" w:space="0" w:color="auto"/>
        <w:left w:val="none" w:sz="0" w:space="0" w:color="auto"/>
        <w:bottom w:val="none" w:sz="0" w:space="0" w:color="auto"/>
        <w:right w:val="none" w:sz="0" w:space="0" w:color="auto"/>
      </w:divBdr>
    </w:div>
    <w:div w:id="1290747542">
      <w:bodyDiv w:val="1"/>
      <w:marLeft w:val="0"/>
      <w:marRight w:val="0"/>
      <w:marTop w:val="0"/>
      <w:marBottom w:val="0"/>
      <w:divBdr>
        <w:top w:val="none" w:sz="0" w:space="0" w:color="auto"/>
        <w:left w:val="none" w:sz="0" w:space="0" w:color="auto"/>
        <w:bottom w:val="none" w:sz="0" w:space="0" w:color="auto"/>
        <w:right w:val="none" w:sz="0" w:space="0" w:color="auto"/>
      </w:divBdr>
    </w:div>
    <w:div w:id="1291322157">
      <w:bodyDiv w:val="1"/>
      <w:marLeft w:val="0"/>
      <w:marRight w:val="0"/>
      <w:marTop w:val="0"/>
      <w:marBottom w:val="0"/>
      <w:divBdr>
        <w:top w:val="none" w:sz="0" w:space="0" w:color="auto"/>
        <w:left w:val="none" w:sz="0" w:space="0" w:color="auto"/>
        <w:bottom w:val="none" w:sz="0" w:space="0" w:color="auto"/>
        <w:right w:val="none" w:sz="0" w:space="0" w:color="auto"/>
      </w:divBdr>
    </w:div>
    <w:div w:id="1291938995">
      <w:bodyDiv w:val="1"/>
      <w:marLeft w:val="0"/>
      <w:marRight w:val="0"/>
      <w:marTop w:val="0"/>
      <w:marBottom w:val="0"/>
      <w:divBdr>
        <w:top w:val="none" w:sz="0" w:space="0" w:color="auto"/>
        <w:left w:val="none" w:sz="0" w:space="0" w:color="auto"/>
        <w:bottom w:val="none" w:sz="0" w:space="0" w:color="auto"/>
        <w:right w:val="none" w:sz="0" w:space="0" w:color="auto"/>
      </w:divBdr>
    </w:div>
    <w:div w:id="1292831596">
      <w:bodyDiv w:val="1"/>
      <w:marLeft w:val="0"/>
      <w:marRight w:val="0"/>
      <w:marTop w:val="0"/>
      <w:marBottom w:val="0"/>
      <w:divBdr>
        <w:top w:val="none" w:sz="0" w:space="0" w:color="auto"/>
        <w:left w:val="none" w:sz="0" w:space="0" w:color="auto"/>
        <w:bottom w:val="none" w:sz="0" w:space="0" w:color="auto"/>
        <w:right w:val="none" w:sz="0" w:space="0" w:color="auto"/>
      </w:divBdr>
    </w:div>
    <w:div w:id="1293512506">
      <w:bodyDiv w:val="1"/>
      <w:marLeft w:val="0"/>
      <w:marRight w:val="0"/>
      <w:marTop w:val="0"/>
      <w:marBottom w:val="0"/>
      <w:divBdr>
        <w:top w:val="none" w:sz="0" w:space="0" w:color="auto"/>
        <w:left w:val="none" w:sz="0" w:space="0" w:color="auto"/>
        <w:bottom w:val="none" w:sz="0" w:space="0" w:color="auto"/>
        <w:right w:val="none" w:sz="0" w:space="0" w:color="auto"/>
      </w:divBdr>
    </w:div>
    <w:div w:id="1293633615">
      <w:bodyDiv w:val="1"/>
      <w:marLeft w:val="0"/>
      <w:marRight w:val="0"/>
      <w:marTop w:val="0"/>
      <w:marBottom w:val="0"/>
      <w:divBdr>
        <w:top w:val="none" w:sz="0" w:space="0" w:color="auto"/>
        <w:left w:val="none" w:sz="0" w:space="0" w:color="auto"/>
        <w:bottom w:val="none" w:sz="0" w:space="0" w:color="auto"/>
        <w:right w:val="none" w:sz="0" w:space="0" w:color="auto"/>
      </w:divBdr>
    </w:div>
    <w:div w:id="1294169148">
      <w:bodyDiv w:val="1"/>
      <w:marLeft w:val="0"/>
      <w:marRight w:val="0"/>
      <w:marTop w:val="0"/>
      <w:marBottom w:val="0"/>
      <w:divBdr>
        <w:top w:val="none" w:sz="0" w:space="0" w:color="auto"/>
        <w:left w:val="none" w:sz="0" w:space="0" w:color="auto"/>
        <w:bottom w:val="none" w:sz="0" w:space="0" w:color="auto"/>
        <w:right w:val="none" w:sz="0" w:space="0" w:color="auto"/>
      </w:divBdr>
    </w:div>
    <w:div w:id="1294285014">
      <w:bodyDiv w:val="1"/>
      <w:marLeft w:val="0"/>
      <w:marRight w:val="0"/>
      <w:marTop w:val="0"/>
      <w:marBottom w:val="0"/>
      <w:divBdr>
        <w:top w:val="none" w:sz="0" w:space="0" w:color="auto"/>
        <w:left w:val="none" w:sz="0" w:space="0" w:color="auto"/>
        <w:bottom w:val="none" w:sz="0" w:space="0" w:color="auto"/>
        <w:right w:val="none" w:sz="0" w:space="0" w:color="auto"/>
      </w:divBdr>
    </w:div>
    <w:div w:id="1294562744">
      <w:bodyDiv w:val="1"/>
      <w:marLeft w:val="0"/>
      <w:marRight w:val="0"/>
      <w:marTop w:val="0"/>
      <w:marBottom w:val="0"/>
      <w:divBdr>
        <w:top w:val="none" w:sz="0" w:space="0" w:color="auto"/>
        <w:left w:val="none" w:sz="0" w:space="0" w:color="auto"/>
        <w:bottom w:val="none" w:sz="0" w:space="0" w:color="auto"/>
        <w:right w:val="none" w:sz="0" w:space="0" w:color="auto"/>
      </w:divBdr>
    </w:div>
    <w:div w:id="1294598323">
      <w:bodyDiv w:val="1"/>
      <w:marLeft w:val="0"/>
      <w:marRight w:val="0"/>
      <w:marTop w:val="0"/>
      <w:marBottom w:val="0"/>
      <w:divBdr>
        <w:top w:val="none" w:sz="0" w:space="0" w:color="auto"/>
        <w:left w:val="none" w:sz="0" w:space="0" w:color="auto"/>
        <w:bottom w:val="none" w:sz="0" w:space="0" w:color="auto"/>
        <w:right w:val="none" w:sz="0" w:space="0" w:color="auto"/>
      </w:divBdr>
    </w:div>
    <w:div w:id="1294676734">
      <w:bodyDiv w:val="1"/>
      <w:marLeft w:val="0"/>
      <w:marRight w:val="0"/>
      <w:marTop w:val="0"/>
      <w:marBottom w:val="0"/>
      <w:divBdr>
        <w:top w:val="none" w:sz="0" w:space="0" w:color="auto"/>
        <w:left w:val="none" w:sz="0" w:space="0" w:color="auto"/>
        <w:bottom w:val="none" w:sz="0" w:space="0" w:color="auto"/>
        <w:right w:val="none" w:sz="0" w:space="0" w:color="auto"/>
      </w:divBdr>
    </w:div>
    <w:div w:id="1294864884">
      <w:bodyDiv w:val="1"/>
      <w:marLeft w:val="0"/>
      <w:marRight w:val="0"/>
      <w:marTop w:val="0"/>
      <w:marBottom w:val="0"/>
      <w:divBdr>
        <w:top w:val="none" w:sz="0" w:space="0" w:color="auto"/>
        <w:left w:val="none" w:sz="0" w:space="0" w:color="auto"/>
        <w:bottom w:val="none" w:sz="0" w:space="0" w:color="auto"/>
        <w:right w:val="none" w:sz="0" w:space="0" w:color="auto"/>
      </w:divBdr>
    </w:div>
    <w:div w:id="1295911001">
      <w:bodyDiv w:val="1"/>
      <w:marLeft w:val="0"/>
      <w:marRight w:val="0"/>
      <w:marTop w:val="0"/>
      <w:marBottom w:val="0"/>
      <w:divBdr>
        <w:top w:val="none" w:sz="0" w:space="0" w:color="auto"/>
        <w:left w:val="none" w:sz="0" w:space="0" w:color="auto"/>
        <w:bottom w:val="none" w:sz="0" w:space="0" w:color="auto"/>
        <w:right w:val="none" w:sz="0" w:space="0" w:color="auto"/>
      </w:divBdr>
    </w:div>
    <w:div w:id="1295939514">
      <w:bodyDiv w:val="1"/>
      <w:marLeft w:val="0"/>
      <w:marRight w:val="0"/>
      <w:marTop w:val="0"/>
      <w:marBottom w:val="0"/>
      <w:divBdr>
        <w:top w:val="none" w:sz="0" w:space="0" w:color="auto"/>
        <w:left w:val="none" w:sz="0" w:space="0" w:color="auto"/>
        <w:bottom w:val="none" w:sz="0" w:space="0" w:color="auto"/>
        <w:right w:val="none" w:sz="0" w:space="0" w:color="auto"/>
      </w:divBdr>
    </w:div>
    <w:div w:id="1296444015">
      <w:bodyDiv w:val="1"/>
      <w:marLeft w:val="0"/>
      <w:marRight w:val="0"/>
      <w:marTop w:val="0"/>
      <w:marBottom w:val="0"/>
      <w:divBdr>
        <w:top w:val="none" w:sz="0" w:space="0" w:color="auto"/>
        <w:left w:val="none" w:sz="0" w:space="0" w:color="auto"/>
        <w:bottom w:val="none" w:sz="0" w:space="0" w:color="auto"/>
        <w:right w:val="none" w:sz="0" w:space="0" w:color="auto"/>
      </w:divBdr>
    </w:div>
    <w:div w:id="1296446172">
      <w:bodyDiv w:val="1"/>
      <w:marLeft w:val="0"/>
      <w:marRight w:val="0"/>
      <w:marTop w:val="0"/>
      <w:marBottom w:val="0"/>
      <w:divBdr>
        <w:top w:val="none" w:sz="0" w:space="0" w:color="auto"/>
        <w:left w:val="none" w:sz="0" w:space="0" w:color="auto"/>
        <w:bottom w:val="none" w:sz="0" w:space="0" w:color="auto"/>
        <w:right w:val="none" w:sz="0" w:space="0" w:color="auto"/>
      </w:divBdr>
    </w:div>
    <w:div w:id="1296570190">
      <w:bodyDiv w:val="1"/>
      <w:marLeft w:val="0"/>
      <w:marRight w:val="0"/>
      <w:marTop w:val="0"/>
      <w:marBottom w:val="0"/>
      <w:divBdr>
        <w:top w:val="none" w:sz="0" w:space="0" w:color="auto"/>
        <w:left w:val="none" w:sz="0" w:space="0" w:color="auto"/>
        <w:bottom w:val="none" w:sz="0" w:space="0" w:color="auto"/>
        <w:right w:val="none" w:sz="0" w:space="0" w:color="auto"/>
      </w:divBdr>
    </w:div>
    <w:div w:id="1297032165">
      <w:bodyDiv w:val="1"/>
      <w:marLeft w:val="0"/>
      <w:marRight w:val="0"/>
      <w:marTop w:val="0"/>
      <w:marBottom w:val="0"/>
      <w:divBdr>
        <w:top w:val="none" w:sz="0" w:space="0" w:color="auto"/>
        <w:left w:val="none" w:sz="0" w:space="0" w:color="auto"/>
        <w:bottom w:val="none" w:sz="0" w:space="0" w:color="auto"/>
        <w:right w:val="none" w:sz="0" w:space="0" w:color="auto"/>
      </w:divBdr>
    </w:div>
    <w:div w:id="1297566864">
      <w:bodyDiv w:val="1"/>
      <w:marLeft w:val="0"/>
      <w:marRight w:val="0"/>
      <w:marTop w:val="0"/>
      <w:marBottom w:val="0"/>
      <w:divBdr>
        <w:top w:val="none" w:sz="0" w:space="0" w:color="auto"/>
        <w:left w:val="none" w:sz="0" w:space="0" w:color="auto"/>
        <w:bottom w:val="none" w:sz="0" w:space="0" w:color="auto"/>
        <w:right w:val="none" w:sz="0" w:space="0" w:color="auto"/>
      </w:divBdr>
    </w:div>
    <w:div w:id="1298224173">
      <w:bodyDiv w:val="1"/>
      <w:marLeft w:val="0"/>
      <w:marRight w:val="0"/>
      <w:marTop w:val="0"/>
      <w:marBottom w:val="0"/>
      <w:divBdr>
        <w:top w:val="none" w:sz="0" w:space="0" w:color="auto"/>
        <w:left w:val="none" w:sz="0" w:space="0" w:color="auto"/>
        <w:bottom w:val="none" w:sz="0" w:space="0" w:color="auto"/>
        <w:right w:val="none" w:sz="0" w:space="0" w:color="auto"/>
      </w:divBdr>
    </w:div>
    <w:div w:id="1298534226">
      <w:bodyDiv w:val="1"/>
      <w:marLeft w:val="0"/>
      <w:marRight w:val="0"/>
      <w:marTop w:val="0"/>
      <w:marBottom w:val="0"/>
      <w:divBdr>
        <w:top w:val="none" w:sz="0" w:space="0" w:color="auto"/>
        <w:left w:val="none" w:sz="0" w:space="0" w:color="auto"/>
        <w:bottom w:val="none" w:sz="0" w:space="0" w:color="auto"/>
        <w:right w:val="none" w:sz="0" w:space="0" w:color="auto"/>
      </w:divBdr>
    </w:div>
    <w:div w:id="1299186681">
      <w:bodyDiv w:val="1"/>
      <w:marLeft w:val="0"/>
      <w:marRight w:val="0"/>
      <w:marTop w:val="0"/>
      <w:marBottom w:val="0"/>
      <w:divBdr>
        <w:top w:val="none" w:sz="0" w:space="0" w:color="auto"/>
        <w:left w:val="none" w:sz="0" w:space="0" w:color="auto"/>
        <w:bottom w:val="none" w:sz="0" w:space="0" w:color="auto"/>
        <w:right w:val="none" w:sz="0" w:space="0" w:color="auto"/>
      </w:divBdr>
    </w:div>
    <w:div w:id="1299333505">
      <w:bodyDiv w:val="1"/>
      <w:marLeft w:val="0"/>
      <w:marRight w:val="0"/>
      <w:marTop w:val="0"/>
      <w:marBottom w:val="0"/>
      <w:divBdr>
        <w:top w:val="none" w:sz="0" w:space="0" w:color="auto"/>
        <w:left w:val="none" w:sz="0" w:space="0" w:color="auto"/>
        <w:bottom w:val="none" w:sz="0" w:space="0" w:color="auto"/>
        <w:right w:val="none" w:sz="0" w:space="0" w:color="auto"/>
      </w:divBdr>
    </w:div>
    <w:div w:id="1299871441">
      <w:bodyDiv w:val="1"/>
      <w:marLeft w:val="0"/>
      <w:marRight w:val="0"/>
      <w:marTop w:val="0"/>
      <w:marBottom w:val="0"/>
      <w:divBdr>
        <w:top w:val="none" w:sz="0" w:space="0" w:color="auto"/>
        <w:left w:val="none" w:sz="0" w:space="0" w:color="auto"/>
        <w:bottom w:val="none" w:sz="0" w:space="0" w:color="auto"/>
        <w:right w:val="none" w:sz="0" w:space="0" w:color="auto"/>
      </w:divBdr>
    </w:div>
    <w:div w:id="1299918139">
      <w:bodyDiv w:val="1"/>
      <w:marLeft w:val="0"/>
      <w:marRight w:val="0"/>
      <w:marTop w:val="0"/>
      <w:marBottom w:val="0"/>
      <w:divBdr>
        <w:top w:val="none" w:sz="0" w:space="0" w:color="auto"/>
        <w:left w:val="none" w:sz="0" w:space="0" w:color="auto"/>
        <w:bottom w:val="none" w:sz="0" w:space="0" w:color="auto"/>
        <w:right w:val="none" w:sz="0" w:space="0" w:color="auto"/>
      </w:divBdr>
    </w:div>
    <w:div w:id="1299990753">
      <w:bodyDiv w:val="1"/>
      <w:marLeft w:val="0"/>
      <w:marRight w:val="0"/>
      <w:marTop w:val="0"/>
      <w:marBottom w:val="0"/>
      <w:divBdr>
        <w:top w:val="none" w:sz="0" w:space="0" w:color="auto"/>
        <w:left w:val="none" w:sz="0" w:space="0" w:color="auto"/>
        <w:bottom w:val="none" w:sz="0" w:space="0" w:color="auto"/>
        <w:right w:val="none" w:sz="0" w:space="0" w:color="auto"/>
      </w:divBdr>
    </w:div>
    <w:div w:id="1300646973">
      <w:bodyDiv w:val="1"/>
      <w:marLeft w:val="0"/>
      <w:marRight w:val="0"/>
      <w:marTop w:val="0"/>
      <w:marBottom w:val="0"/>
      <w:divBdr>
        <w:top w:val="none" w:sz="0" w:space="0" w:color="auto"/>
        <w:left w:val="none" w:sz="0" w:space="0" w:color="auto"/>
        <w:bottom w:val="none" w:sz="0" w:space="0" w:color="auto"/>
        <w:right w:val="none" w:sz="0" w:space="0" w:color="auto"/>
      </w:divBdr>
    </w:div>
    <w:div w:id="1300694541">
      <w:bodyDiv w:val="1"/>
      <w:marLeft w:val="0"/>
      <w:marRight w:val="0"/>
      <w:marTop w:val="0"/>
      <w:marBottom w:val="0"/>
      <w:divBdr>
        <w:top w:val="none" w:sz="0" w:space="0" w:color="auto"/>
        <w:left w:val="none" w:sz="0" w:space="0" w:color="auto"/>
        <w:bottom w:val="none" w:sz="0" w:space="0" w:color="auto"/>
        <w:right w:val="none" w:sz="0" w:space="0" w:color="auto"/>
      </w:divBdr>
    </w:div>
    <w:div w:id="1300955325">
      <w:bodyDiv w:val="1"/>
      <w:marLeft w:val="0"/>
      <w:marRight w:val="0"/>
      <w:marTop w:val="0"/>
      <w:marBottom w:val="0"/>
      <w:divBdr>
        <w:top w:val="none" w:sz="0" w:space="0" w:color="auto"/>
        <w:left w:val="none" w:sz="0" w:space="0" w:color="auto"/>
        <w:bottom w:val="none" w:sz="0" w:space="0" w:color="auto"/>
        <w:right w:val="none" w:sz="0" w:space="0" w:color="auto"/>
      </w:divBdr>
    </w:div>
    <w:div w:id="1301300529">
      <w:bodyDiv w:val="1"/>
      <w:marLeft w:val="0"/>
      <w:marRight w:val="0"/>
      <w:marTop w:val="0"/>
      <w:marBottom w:val="0"/>
      <w:divBdr>
        <w:top w:val="none" w:sz="0" w:space="0" w:color="auto"/>
        <w:left w:val="none" w:sz="0" w:space="0" w:color="auto"/>
        <w:bottom w:val="none" w:sz="0" w:space="0" w:color="auto"/>
        <w:right w:val="none" w:sz="0" w:space="0" w:color="auto"/>
      </w:divBdr>
    </w:div>
    <w:div w:id="1301495993">
      <w:bodyDiv w:val="1"/>
      <w:marLeft w:val="0"/>
      <w:marRight w:val="0"/>
      <w:marTop w:val="0"/>
      <w:marBottom w:val="0"/>
      <w:divBdr>
        <w:top w:val="none" w:sz="0" w:space="0" w:color="auto"/>
        <w:left w:val="none" w:sz="0" w:space="0" w:color="auto"/>
        <w:bottom w:val="none" w:sz="0" w:space="0" w:color="auto"/>
        <w:right w:val="none" w:sz="0" w:space="0" w:color="auto"/>
      </w:divBdr>
    </w:div>
    <w:div w:id="1301572016">
      <w:bodyDiv w:val="1"/>
      <w:marLeft w:val="0"/>
      <w:marRight w:val="0"/>
      <w:marTop w:val="0"/>
      <w:marBottom w:val="0"/>
      <w:divBdr>
        <w:top w:val="none" w:sz="0" w:space="0" w:color="auto"/>
        <w:left w:val="none" w:sz="0" w:space="0" w:color="auto"/>
        <w:bottom w:val="none" w:sz="0" w:space="0" w:color="auto"/>
        <w:right w:val="none" w:sz="0" w:space="0" w:color="auto"/>
      </w:divBdr>
    </w:div>
    <w:div w:id="1301807389">
      <w:bodyDiv w:val="1"/>
      <w:marLeft w:val="0"/>
      <w:marRight w:val="0"/>
      <w:marTop w:val="0"/>
      <w:marBottom w:val="0"/>
      <w:divBdr>
        <w:top w:val="none" w:sz="0" w:space="0" w:color="auto"/>
        <w:left w:val="none" w:sz="0" w:space="0" w:color="auto"/>
        <w:bottom w:val="none" w:sz="0" w:space="0" w:color="auto"/>
        <w:right w:val="none" w:sz="0" w:space="0" w:color="auto"/>
      </w:divBdr>
    </w:div>
    <w:div w:id="1301837942">
      <w:bodyDiv w:val="1"/>
      <w:marLeft w:val="0"/>
      <w:marRight w:val="0"/>
      <w:marTop w:val="0"/>
      <w:marBottom w:val="0"/>
      <w:divBdr>
        <w:top w:val="none" w:sz="0" w:space="0" w:color="auto"/>
        <w:left w:val="none" w:sz="0" w:space="0" w:color="auto"/>
        <w:bottom w:val="none" w:sz="0" w:space="0" w:color="auto"/>
        <w:right w:val="none" w:sz="0" w:space="0" w:color="auto"/>
      </w:divBdr>
    </w:div>
    <w:div w:id="1302225550">
      <w:bodyDiv w:val="1"/>
      <w:marLeft w:val="0"/>
      <w:marRight w:val="0"/>
      <w:marTop w:val="0"/>
      <w:marBottom w:val="0"/>
      <w:divBdr>
        <w:top w:val="none" w:sz="0" w:space="0" w:color="auto"/>
        <w:left w:val="none" w:sz="0" w:space="0" w:color="auto"/>
        <w:bottom w:val="none" w:sz="0" w:space="0" w:color="auto"/>
        <w:right w:val="none" w:sz="0" w:space="0" w:color="auto"/>
      </w:divBdr>
    </w:div>
    <w:div w:id="1302231774">
      <w:bodyDiv w:val="1"/>
      <w:marLeft w:val="0"/>
      <w:marRight w:val="0"/>
      <w:marTop w:val="0"/>
      <w:marBottom w:val="0"/>
      <w:divBdr>
        <w:top w:val="none" w:sz="0" w:space="0" w:color="auto"/>
        <w:left w:val="none" w:sz="0" w:space="0" w:color="auto"/>
        <w:bottom w:val="none" w:sz="0" w:space="0" w:color="auto"/>
        <w:right w:val="none" w:sz="0" w:space="0" w:color="auto"/>
      </w:divBdr>
    </w:div>
    <w:div w:id="1302345447">
      <w:bodyDiv w:val="1"/>
      <w:marLeft w:val="0"/>
      <w:marRight w:val="0"/>
      <w:marTop w:val="0"/>
      <w:marBottom w:val="0"/>
      <w:divBdr>
        <w:top w:val="none" w:sz="0" w:space="0" w:color="auto"/>
        <w:left w:val="none" w:sz="0" w:space="0" w:color="auto"/>
        <w:bottom w:val="none" w:sz="0" w:space="0" w:color="auto"/>
        <w:right w:val="none" w:sz="0" w:space="0" w:color="auto"/>
      </w:divBdr>
    </w:div>
    <w:div w:id="1302886230">
      <w:bodyDiv w:val="1"/>
      <w:marLeft w:val="0"/>
      <w:marRight w:val="0"/>
      <w:marTop w:val="0"/>
      <w:marBottom w:val="0"/>
      <w:divBdr>
        <w:top w:val="none" w:sz="0" w:space="0" w:color="auto"/>
        <w:left w:val="none" w:sz="0" w:space="0" w:color="auto"/>
        <w:bottom w:val="none" w:sz="0" w:space="0" w:color="auto"/>
        <w:right w:val="none" w:sz="0" w:space="0" w:color="auto"/>
      </w:divBdr>
    </w:div>
    <w:div w:id="1302887487">
      <w:bodyDiv w:val="1"/>
      <w:marLeft w:val="0"/>
      <w:marRight w:val="0"/>
      <w:marTop w:val="0"/>
      <w:marBottom w:val="0"/>
      <w:divBdr>
        <w:top w:val="none" w:sz="0" w:space="0" w:color="auto"/>
        <w:left w:val="none" w:sz="0" w:space="0" w:color="auto"/>
        <w:bottom w:val="none" w:sz="0" w:space="0" w:color="auto"/>
        <w:right w:val="none" w:sz="0" w:space="0" w:color="auto"/>
      </w:divBdr>
    </w:div>
    <w:div w:id="1303342037">
      <w:bodyDiv w:val="1"/>
      <w:marLeft w:val="0"/>
      <w:marRight w:val="0"/>
      <w:marTop w:val="0"/>
      <w:marBottom w:val="0"/>
      <w:divBdr>
        <w:top w:val="none" w:sz="0" w:space="0" w:color="auto"/>
        <w:left w:val="none" w:sz="0" w:space="0" w:color="auto"/>
        <w:bottom w:val="none" w:sz="0" w:space="0" w:color="auto"/>
        <w:right w:val="none" w:sz="0" w:space="0" w:color="auto"/>
      </w:divBdr>
    </w:div>
    <w:div w:id="1303854245">
      <w:bodyDiv w:val="1"/>
      <w:marLeft w:val="0"/>
      <w:marRight w:val="0"/>
      <w:marTop w:val="0"/>
      <w:marBottom w:val="0"/>
      <w:divBdr>
        <w:top w:val="none" w:sz="0" w:space="0" w:color="auto"/>
        <w:left w:val="none" w:sz="0" w:space="0" w:color="auto"/>
        <w:bottom w:val="none" w:sz="0" w:space="0" w:color="auto"/>
        <w:right w:val="none" w:sz="0" w:space="0" w:color="auto"/>
      </w:divBdr>
    </w:div>
    <w:div w:id="1303921167">
      <w:bodyDiv w:val="1"/>
      <w:marLeft w:val="0"/>
      <w:marRight w:val="0"/>
      <w:marTop w:val="0"/>
      <w:marBottom w:val="0"/>
      <w:divBdr>
        <w:top w:val="none" w:sz="0" w:space="0" w:color="auto"/>
        <w:left w:val="none" w:sz="0" w:space="0" w:color="auto"/>
        <w:bottom w:val="none" w:sz="0" w:space="0" w:color="auto"/>
        <w:right w:val="none" w:sz="0" w:space="0" w:color="auto"/>
      </w:divBdr>
    </w:div>
    <w:div w:id="1303922943">
      <w:bodyDiv w:val="1"/>
      <w:marLeft w:val="0"/>
      <w:marRight w:val="0"/>
      <w:marTop w:val="0"/>
      <w:marBottom w:val="0"/>
      <w:divBdr>
        <w:top w:val="none" w:sz="0" w:space="0" w:color="auto"/>
        <w:left w:val="none" w:sz="0" w:space="0" w:color="auto"/>
        <w:bottom w:val="none" w:sz="0" w:space="0" w:color="auto"/>
        <w:right w:val="none" w:sz="0" w:space="0" w:color="auto"/>
      </w:divBdr>
    </w:div>
    <w:div w:id="1304240703">
      <w:bodyDiv w:val="1"/>
      <w:marLeft w:val="0"/>
      <w:marRight w:val="0"/>
      <w:marTop w:val="0"/>
      <w:marBottom w:val="0"/>
      <w:divBdr>
        <w:top w:val="none" w:sz="0" w:space="0" w:color="auto"/>
        <w:left w:val="none" w:sz="0" w:space="0" w:color="auto"/>
        <w:bottom w:val="none" w:sz="0" w:space="0" w:color="auto"/>
        <w:right w:val="none" w:sz="0" w:space="0" w:color="auto"/>
      </w:divBdr>
    </w:div>
    <w:div w:id="1304307950">
      <w:bodyDiv w:val="1"/>
      <w:marLeft w:val="0"/>
      <w:marRight w:val="0"/>
      <w:marTop w:val="0"/>
      <w:marBottom w:val="0"/>
      <w:divBdr>
        <w:top w:val="none" w:sz="0" w:space="0" w:color="auto"/>
        <w:left w:val="none" w:sz="0" w:space="0" w:color="auto"/>
        <w:bottom w:val="none" w:sz="0" w:space="0" w:color="auto"/>
        <w:right w:val="none" w:sz="0" w:space="0" w:color="auto"/>
      </w:divBdr>
    </w:div>
    <w:div w:id="1304386663">
      <w:bodyDiv w:val="1"/>
      <w:marLeft w:val="0"/>
      <w:marRight w:val="0"/>
      <w:marTop w:val="0"/>
      <w:marBottom w:val="0"/>
      <w:divBdr>
        <w:top w:val="none" w:sz="0" w:space="0" w:color="auto"/>
        <w:left w:val="none" w:sz="0" w:space="0" w:color="auto"/>
        <w:bottom w:val="none" w:sz="0" w:space="0" w:color="auto"/>
        <w:right w:val="none" w:sz="0" w:space="0" w:color="auto"/>
      </w:divBdr>
    </w:div>
    <w:div w:id="1304694397">
      <w:bodyDiv w:val="1"/>
      <w:marLeft w:val="0"/>
      <w:marRight w:val="0"/>
      <w:marTop w:val="0"/>
      <w:marBottom w:val="0"/>
      <w:divBdr>
        <w:top w:val="none" w:sz="0" w:space="0" w:color="auto"/>
        <w:left w:val="none" w:sz="0" w:space="0" w:color="auto"/>
        <w:bottom w:val="none" w:sz="0" w:space="0" w:color="auto"/>
        <w:right w:val="none" w:sz="0" w:space="0" w:color="auto"/>
      </w:divBdr>
    </w:div>
    <w:div w:id="1305350845">
      <w:bodyDiv w:val="1"/>
      <w:marLeft w:val="0"/>
      <w:marRight w:val="0"/>
      <w:marTop w:val="0"/>
      <w:marBottom w:val="0"/>
      <w:divBdr>
        <w:top w:val="none" w:sz="0" w:space="0" w:color="auto"/>
        <w:left w:val="none" w:sz="0" w:space="0" w:color="auto"/>
        <w:bottom w:val="none" w:sz="0" w:space="0" w:color="auto"/>
        <w:right w:val="none" w:sz="0" w:space="0" w:color="auto"/>
      </w:divBdr>
    </w:div>
    <w:div w:id="1305543603">
      <w:bodyDiv w:val="1"/>
      <w:marLeft w:val="0"/>
      <w:marRight w:val="0"/>
      <w:marTop w:val="0"/>
      <w:marBottom w:val="0"/>
      <w:divBdr>
        <w:top w:val="none" w:sz="0" w:space="0" w:color="auto"/>
        <w:left w:val="none" w:sz="0" w:space="0" w:color="auto"/>
        <w:bottom w:val="none" w:sz="0" w:space="0" w:color="auto"/>
        <w:right w:val="none" w:sz="0" w:space="0" w:color="auto"/>
      </w:divBdr>
    </w:div>
    <w:div w:id="1305693996">
      <w:bodyDiv w:val="1"/>
      <w:marLeft w:val="0"/>
      <w:marRight w:val="0"/>
      <w:marTop w:val="0"/>
      <w:marBottom w:val="0"/>
      <w:divBdr>
        <w:top w:val="none" w:sz="0" w:space="0" w:color="auto"/>
        <w:left w:val="none" w:sz="0" w:space="0" w:color="auto"/>
        <w:bottom w:val="none" w:sz="0" w:space="0" w:color="auto"/>
        <w:right w:val="none" w:sz="0" w:space="0" w:color="auto"/>
      </w:divBdr>
    </w:div>
    <w:div w:id="1305700004">
      <w:bodyDiv w:val="1"/>
      <w:marLeft w:val="0"/>
      <w:marRight w:val="0"/>
      <w:marTop w:val="0"/>
      <w:marBottom w:val="0"/>
      <w:divBdr>
        <w:top w:val="none" w:sz="0" w:space="0" w:color="auto"/>
        <w:left w:val="none" w:sz="0" w:space="0" w:color="auto"/>
        <w:bottom w:val="none" w:sz="0" w:space="0" w:color="auto"/>
        <w:right w:val="none" w:sz="0" w:space="0" w:color="auto"/>
      </w:divBdr>
    </w:div>
    <w:div w:id="1305962020">
      <w:bodyDiv w:val="1"/>
      <w:marLeft w:val="0"/>
      <w:marRight w:val="0"/>
      <w:marTop w:val="0"/>
      <w:marBottom w:val="0"/>
      <w:divBdr>
        <w:top w:val="none" w:sz="0" w:space="0" w:color="auto"/>
        <w:left w:val="none" w:sz="0" w:space="0" w:color="auto"/>
        <w:bottom w:val="none" w:sz="0" w:space="0" w:color="auto"/>
        <w:right w:val="none" w:sz="0" w:space="0" w:color="auto"/>
      </w:divBdr>
    </w:div>
    <w:div w:id="1306010343">
      <w:bodyDiv w:val="1"/>
      <w:marLeft w:val="0"/>
      <w:marRight w:val="0"/>
      <w:marTop w:val="0"/>
      <w:marBottom w:val="0"/>
      <w:divBdr>
        <w:top w:val="none" w:sz="0" w:space="0" w:color="auto"/>
        <w:left w:val="none" w:sz="0" w:space="0" w:color="auto"/>
        <w:bottom w:val="none" w:sz="0" w:space="0" w:color="auto"/>
        <w:right w:val="none" w:sz="0" w:space="0" w:color="auto"/>
      </w:divBdr>
    </w:div>
    <w:div w:id="1306280819">
      <w:bodyDiv w:val="1"/>
      <w:marLeft w:val="0"/>
      <w:marRight w:val="0"/>
      <w:marTop w:val="0"/>
      <w:marBottom w:val="0"/>
      <w:divBdr>
        <w:top w:val="none" w:sz="0" w:space="0" w:color="auto"/>
        <w:left w:val="none" w:sz="0" w:space="0" w:color="auto"/>
        <w:bottom w:val="none" w:sz="0" w:space="0" w:color="auto"/>
        <w:right w:val="none" w:sz="0" w:space="0" w:color="auto"/>
      </w:divBdr>
    </w:div>
    <w:div w:id="1307276189">
      <w:bodyDiv w:val="1"/>
      <w:marLeft w:val="0"/>
      <w:marRight w:val="0"/>
      <w:marTop w:val="0"/>
      <w:marBottom w:val="0"/>
      <w:divBdr>
        <w:top w:val="none" w:sz="0" w:space="0" w:color="auto"/>
        <w:left w:val="none" w:sz="0" w:space="0" w:color="auto"/>
        <w:bottom w:val="none" w:sz="0" w:space="0" w:color="auto"/>
        <w:right w:val="none" w:sz="0" w:space="0" w:color="auto"/>
      </w:divBdr>
    </w:div>
    <w:div w:id="1307277037">
      <w:bodyDiv w:val="1"/>
      <w:marLeft w:val="0"/>
      <w:marRight w:val="0"/>
      <w:marTop w:val="0"/>
      <w:marBottom w:val="0"/>
      <w:divBdr>
        <w:top w:val="none" w:sz="0" w:space="0" w:color="auto"/>
        <w:left w:val="none" w:sz="0" w:space="0" w:color="auto"/>
        <w:bottom w:val="none" w:sz="0" w:space="0" w:color="auto"/>
        <w:right w:val="none" w:sz="0" w:space="0" w:color="auto"/>
      </w:divBdr>
    </w:div>
    <w:div w:id="1307324184">
      <w:bodyDiv w:val="1"/>
      <w:marLeft w:val="0"/>
      <w:marRight w:val="0"/>
      <w:marTop w:val="0"/>
      <w:marBottom w:val="0"/>
      <w:divBdr>
        <w:top w:val="none" w:sz="0" w:space="0" w:color="auto"/>
        <w:left w:val="none" w:sz="0" w:space="0" w:color="auto"/>
        <w:bottom w:val="none" w:sz="0" w:space="0" w:color="auto"/>
        <w:right w:val="none" w:sz="0" w:space="0" w:color="auto"/>
      </w:divBdr>
    </w:div>
    <w:div w:id="1307510977">
      <w:bodyDiv w:val="1"/>
      <w:marLeft w:val="0"/>
      <w:marRight w:val="0"/>
      <w:marTop w:val="0"/>
      <w:marBottom w:val="0"/>
      <w:divBdr>
        <w:top w:val="none" w:sz="0" w:space="0" w:color="auto"/>
        <w:left w:val="none" w:sz="0" w:space="0" w:color="auto"/>
        <w:bottom w:val="none" w:sz="0" w:space="0" w:color="auto"/>
        <w:right w:val="none" w:sz="0" w:space="0" w:color="auto"/>
      </w:divBdr>
    </w:div>
    <w:div w:id="1308244987">
      <w:bodyDiv w:val="1"/>
      <w:marLeft w:val="0"/>
      <w:marRight w:val="0"/>
      <w:marTop w:val="0"/>
      <w:marBottom w:val="0"/>
      <w:divBdr>
        <w:top w:val="none" w:sz="0" w:space="0" w:color="auto"/>
        <w:left w:val="none" w:sz="0" w:space="0" w:color="auto"/>
        <w:bottom w:val="none" w:sz="0" w:space="0" w:color="auto"/>
        <w:right w:val="none" w:sz="0" w:space="0" w:color="auto"/>
      </w:divBdr>
    </w:div>
    <w:div w:id="1308583892">
      <w:bodyDiv w:val="1"/>
      <w:marLeft w:val="0"/>
      <w:marRight w:val="0"/>
      <w:marTop w:val="0"/>
      <w:marBottom w:val="0"/>
      <w:divBdr>
        <w:top w:val="none" w:sz="0" w:space="0" w:color="auto"/>
        <w:left w:val="none" w:sz="0" w:space="0" w:color="auto"/>
        <w:bottom w:val="none" w:sz="0" w:space="0" w:color="auto"/>
        <w:right w:val="none" w:sz="0" w:space="0" w:color="auto"/>
      </w:divBdr>
    </w:div>
    <w:div w:id="1308777786">
      <w:bodyDiv w:val="1"/>
      <w:marLeft w:val="0"/>
      <w:marRight w:val="0"/>
      <w:marTop w:val="0"/>
      <w:marBottom w:val="0"/>
      <w:divBdr>
        <w:top w:val="none" w:sz="0" w:space="0" w:color="auto"/>
        <w:left w:val="none" w:sz="0" w:space="0" w:color="auto"/>
        <w:bottom w:val="none" w:sz="0" w:space="0" w:color="auto"/>
        <w:right w:val="none" w:sz="0" w:space="0" w:color="auto"/>
      </w:divBdr>
    </w:div>
    <w:div w:id="1309046177">
      <w:bodyDiv w:val="1"/>
      <w:marLeft w:val="0"/>
      <w:marRight w:val="0"/>
      <w:marTop w:val="0"/>
      <w:marBottom w:val="0"/>
      <w:divBdr>
        <w:top w:val="none" w:sz="0" w:space="0" w:color="auto"/>
        <w:left w:val="none" w:sz="0" w:space="0" w:color="auto"/>
        <w:bottom w:val="none" w:sz="0" w:space="0" w:color="auto"/>
        <w:right w:val="none" w:sz="0" w:space="0" w:color="auto"/>
      </w:divBdr>
    </w:div>
    <w:div w:id="1309821008">
      <w:bodyDiv w:val="1"/>
      <w:marLeft w:val="0"/>
      <w:marRight w:val="0"/>
      <w:marTop w:val="0"/>
      <w:marBottom w:val="0"/>
      <w:divBdr>
        <w:top w:val="none" w:sz="0" w:space="0" w:color="auto"/>
        <w:left w:val="none" w:sz="0" w:space="0" w:color="auto"/>
        <w:bottom w:val="none" w:sz="0" w:space="0" w:color="auto"/>
        <w:right w:val="none" w:sz="0" w:space="0" w:color="auto"/>
      </w:divBdr>
    </w:div>
    <w:div w:id="1310285172">
      <w:bodyDiv w:val="1"/>
      <w:marLeft w:val="0"/>
      <w:marRight w:val="0"/>
      <w:marTop w:val="0"/>
      <w:marBottom w:val="0"/>
      <w:divBdr>
        <w:top w:val="none" w:sz="0" w:space="0" w:color="auto"/>
        <w:left w:val="none" w:sz="0" w:space="0" w:color="auto"/>
        <w:bottom w:val="none" w:sz="0" w:space="0" w:color="auto"/>
        <w:right w:val="none" w:sz="0" w:space="0" w:color="auto"/>
      </w:divBdr>
    </w:div>
    <w:div w:id="1310935299">
      <w:bodyDiv w:val="1"/>
      <w:marLeft w:val="0"/>
      <w:marRight w:val="0"/>
      <w:marTop w:val="0"/>
      <w:marBottom w:val="0"/>
      <w:divBdr>
        <w:top w:val="none" w:sz="0" w:space="0" w:color="auto"/>
        <w:left w:val="none" w:sz="0" w:space="0" w:color="auto"/>
        <w:bottom w:val="none" w:sz="0" w:space="0" w:color="auto"/>
        <w:right w:val="none" w:sz="0" w:space="0" w:color="auto"/>
      </w:divBdr>
    </w:div>
    <w:div w:id="1311255807">
      <w:bodyDiv w:val="1"/>
      <w:marLeft w:val="0"/>
      <w:marRight w:val="0"/>
      <w:marTop w:val="0"/>
      <w:marBottom w:val="0"/>
      <w:divBdr>
        <w:top w:val="none" w:sz="0" w:space="0" w:color="auto"/>
        <w:left w:val="none" w:sz="0" w:space="0" w:color="auto"/>
        <w:bottom w:val="none" w:sz="0" w:space="0" w:color="auto"/>
        <w:right w:val="none" w:sz="0" w:space="0" w:color="auto"/>
      </w:divBdr>
    </w:div>
    <w:div w:id="1311397367">
      <w:bodyDiv w:val="1"/>
      <w:marLeft w:val="0"/>
      <w:marRight w:val="0"/>
      <w:marTop w:val="0"/>
      <w:marBottom w:val="0"/>
      <w:divBdr>
        <w:top w:val="none" w:sz="0" w:space="0" w:color="auto"/>
        <w:left w:val="none" w:sz="0" w:space="0" w:color="auto"/>
        <w:bottom w:val="none" w:sz="0" w:space="0" w:color="auto"/>
        <w:right w:val="none" w:sz="0" w:space="0" w:color="auto"/>
      </w:divBdr>
    </w:div>
    <w:div w:id="1312058732">
      <w:bodyDiv w:val="1"/>
      <w:marLeft w:val="0"/>
      <w:marRight w:val="0"/>
      <w:marTop w:val="0"/>
      <w:marBottom w:val="0"/>
      <w:divBdr>
        <w:top w:val="none" w:sz="0" w:space="0" w:color="auto"/>
        <w:left w:val="none" w:sz="0" w:space="0" w:color="auto"/>
        <w:bottom w:val="none" w:sz="0" w:space="0" w:color="auto"/>
        <w:right w:val="none" w:sz="0" w:space="0" w:color="auto"/>
      </w:divBdr>
    </w:div>
    <w:div w:id="1312101306">
      <w:bodyDiv w:val="1"/>
      <w:marLeft w:val="0"/>
      <w:marRight w:val="0"/>
      <w:marTop w:val="0"/>
      <w:marBottom w:val="0"/>
      <w:divBdr>
        <w:top w:val="none" w:sz="0" w:space="0" w:color="auto"/>
        <w:left w:val="none" w:sz="0" w:space="0" w:color="auto"/>
        <w:bottom w:val="none" w:sz="0" w:space="0" w:color="auto"/>
        <w:right w:val="none" w:sz="0" w:space="0" w:color="auto"/>
      </w:divBdr>
    </w:div>
    <w:div w:id="1312752715">
      <w:bodyDiv w:val="1"/>
      <w:marLeft w:val="0"/>
      <w:marRight w:val="0"/>
      <w:marTop w:val="0"/>
      <w:marBottom w:val="0"/>
      <w:divBdr>
        <w:top w:val="none" w:sz="0" w:space="0" w:color="auto"/>
        <w:left w:val="none" w:sz="0" w:space="0" w:color="auto"/>
        <w:bottom w:val="none" w:sz="0" w:space="0" w:color="auto"/>
        <w:right w:val="none" w:sz="0" w:space="0" w:color="auto"/>
      </w:divBdr>
    </w:div>
    <w:div w:id="1312950732">
      <w:bodyDiv w:val="1"/>
      <w:marLeft w:val="0"/>
      <w:marRight w:val="0"/>
      <w:marTop w:val="0"/>
      <w:marBottom w:val="0"/>
      <w:divBdr>
        <w:top w:val="none" w:sz="0" w:space="0" w:color="auto"/>
        <w:left w:val="none" w:sz="0" w:space="0" w:color="auto"/>
        <w:bottom w:val="none" w:sz="0" w:space="0" w:color="auto"/>
        <w:right w:val="none" w:sz="0" w:space="0" w:color="auto"/>
      </w:divBdr>
    </w:div>
    <w:div w:id="1313174840">
      <w:bodyDiv w:val="1"/>
      <w:marLeft w:val="0"/>
      <w:marRight w:val="0"/>
      <w:marTop w:val="0"/>
      <w:marBottom w:val="0"/>
      <w:divBdr>
        <w:top w:val="none" w:sz="0" w:space="0" w:color="auto"/>
        <w:left w:val="none" w:sz="0" w:space="0" w:color="auto"/>
        <w:bottom w:val="none" w:sz="0" w:space="0" w:color="auto"/>
        <w:right w:val="none" w:sz="0" w:space="0" w:color="auto"/>
      </w:divBdr>
    </w:div>
    <w:div w:id="1313947365">
      <w:bodyDiv w:val="1"/>
      <w:marLeft w:val="0"/>
      <w:marRight w:val="0"/>
      <w:marTop w:val="0"/>
      <w:marBottom w:val="0"/>
      <w:divBdr>
        <w:top w:val="none" w:sz="0" w:space="0" w:color="auto"/>
        <w:left w:val="none" w:sz="0" w:space="0" w:color="auto"/>
        <w:bottom w:val="none" w:sz="0" w:space="0" w:color="auto"/>
        <w:right w:val="none" w:sz="0" w:space="0" w:color="auto"/>
      </w:divBdr>
    </w:div>
    <w:div w:id="1314023479">
      <w:bodyDiv w:val="1"/>
      <w:marLeft w:val="0"/>
      <w:marRight w:val="0"/>
      <w:marTop w:val="0"/>
      <w:marBottom w:val="0"/>
      <w:divBdr>
        <w:top w:val="none" w:sz="0" w:space="0" w:color="auto"/>
        <w:left w:val="none" w:sz="0" w:space="0" w:color="auto"/>
        <w:bottom w:val="none" w:sz="0" w:space="0" w:color="auto"/>
        <w:right w:val="none" w:sz="0" w:space="0" w:color="auto"/>
      </w:divBdr>
    </w:div>
    <w:div w:id="1314414119">
      <w:bodyDiv w:val="1"/>
      <w:marLeft w:val="0"/>
      <w:marRight w:val="0"/>
      <w:marTop w:val="0"/>
      <w:marBottom w:val="0"/>
      <w:divBdr>
        <w:top w:val="none" w:sz="0" w:space="0" w:color="auto"/>
        <w:left w:val="none" w:sz="0" w:space="0" w:color="auto"/>
        <w:bottom w:val="none" w:sz="0" w:space="0" w:color="auto"/>
        <w:right w:val="none" w:sz="0" w:space="0" w:color="auto"/>
      </w:divBdr>
    </w:div>
    <w:div w:id="1314991680">
      <w:bodyDiv w:val="1"/>
      <w:marLeft w:val="0"/>
      <w:marRight w:val="0"/>
      <w:marTop w:val="0"/>
      <w:marBottom w:val="0"/>
      <w:divBdr>
        <w:top w:val="none" w:sz="0" w:space="0" w:color="auto"/>
        <w:left w:val="none" w:sz="0" w:space="0" w:color="auto"/>
        <w:bottom w:val="none" w:sz="0" w:space="0" w:color="auto"/>
        <w:right w:val="none" w:sz="0" w:space="0" w:color="auto"/>
      </w:divBdr>
    </w:div>
    <w:div w:id="1315183894">
      <w:bodyDiv w:val="1"/>
      <w:marLeft w:val="0"/>
      <w:marRight w:val="0"/>
      <w:marTop w:val="0"/>
      <w:marBottom w:val="0"/>
      <w:divBdr>
        <w:top w:val="none" w:sz="0" w:space="0" w:color="auto"/>
        <w:left w:val="none" w:sz="0" w:space="0" w:color="auto"/>
        <w:bottom w:val="none" w:sz="0" w:space="0" w:color="auto"/>
        <w:right w:val="none" w:sz="0" w:space="0" w:color="auto"/>
      </w:divBdr>
    </w:div>
    <w:div w:id="1315447761">
      <w:bodyDiv w:val="1"/>
      <w:marLeft w:val="0"/>
      <w:marRight w:val="0"/>
      <w:marTop w:val="0"/>
      <w:marBottom w:val="0"/>
      <w:divBdr>
        <w:top w:val="none" w:sz="0" w:space="0" w:color="auto"/>
        <w:left w:val="none" w:sz="0" w:space="0" w:color="auto"/>
        <w:bottom w:val="none" w:sz="0" w:space="0" w:color="auto"/>
        <w:right w:val="none" w:sz="0" w:space="0" w:color="auto"/>
      </w:divBdr>
    </w:div>
    <w:div w:id="1315720548">
      <w:bodyDiv w:val="1"/>
      <w:marLeft w:val="0"/>
      <w:marRight w:val="0"/>
      <w:marTop w:val="0"/>
      <w:marBottom w:val="0"/>
      <w:divBdr>
        <w:top w:val="none" w:sz="0" w:space="0" w:color="auto"/>
        <w:left w:val="none" w:sz="0" w:space="0" w:color="auto"/>
        <w:bottom w:val="none" w:sz="0" w:space="0" w:color="auto"/>
        <w:right w:val="none" w:sz="0" w:space="0" w:color="auto"/>
      </w:divBdr>
    </w:div>
    <w:div w:id="1316301355">
      <w:bodyDiv w:val="1"/>
      <w:marLeft w:val="0"/>
      <w:marRight w:val="0"/>
      <w:marTop w:val="0"/>
      <w:marBottom w:val="0"/>
      <w:divBdr>
        <w:top w:val="none" w:sz="0" w:space="0" w:color="auto"/>
        <w:left w:val="none" w:sz="0" w:space="0" w:color="auto"/>
        <w:bottom w:val="none" w:sz="0" w:space="0" w:color="auto"/>
        <w:right w:val="none" w:sz="0" w:space="0" w:color="auto"/>
      </w:divBdr>
    </w:div>
    <w:div w:id="1316688192">
      <w:bodyDiv w:val="1"/>
      <w:marLeft w:val="0"/>
      <w:marRight w:val="0"/>
      <w:marTop w:val="0"/>
      <w:marBottom w:val="0"/>
      <w:divBdr>
        <w:top w:val="none" w:sz="0" w:space="0" w:color="auto"/>
        <w:left w:val="none" w:sz="0" w:space="0" w:color="auto"/>
        <w:bottom w:val="none" w:sz="0" w:space="0" w:color="auto"/>
        <w:right w:val="none" w:sz="0" w:space="0" w:color="auto"/>
      </w:divBdr>
    </w:div>
    <w:div w:id="1316834818">
      <w:bodyDiv w:val="1"/>
      <w:marLeft w:val="0"/>
      <w:marRight w:val="0"/>
      <w:marTop w:val="0"/>
      <w:marBottom w:val="0"/>
      <w:divBdr>
        <w:top w:val="none" w:sz="0" w:space="0" w:color="auto"/>
        <w:left w:val="none" w:sz="0" w:space="0" w:color="auto"/>
        <w:bottom w:val="none" w:sz="0" w:space="0" w:color="auto"/>
        <w:right w:val="none" w:sz="0" w:space="0" w:color="auto"/>
      </w:divBdr>
    </w:div>
    <w:div w:id="1316954917">
      <w:bodyDiv w:val="1"/>
      <w:marLeft w:val="0"/>
      <w:marRight w:val="0"/>
      <w:marTop w:val="0"/>
      <w:marBottom w:val="0"/>
      <w:divBdr>
        <w:top w:val="none" w:sz="0" w:space="0" w:color="auto"/>
        <w:left w:val="none" w:sz="0" w:space="0" w:color="auto"/>
        <w:bottom w:val="none" w:sz="0" w:space="0" w:color="auto"/>
        <w:right w:val="none" w:sz="0" w:space="0" w:color="auto"/>
      </w:divBdr>
    </w:div>
    <w:div w:id="1317303852">
      <w:bodyDiv w:val="1"/>
      <w:marLeft w:val="0"/>
      <w:marRight w:val="0"/>
      <w:marTop w:val="0"/>
      <w:marBottom w:val="0"/>
      <w:divBdr>
        <w:top w:val="none" w:sz="0" w:space="0" w:color="auto"/>
        <w:left w:val="none" w:sz="0" w:space="0" w:color="auto"/>
        <w:bottom w:val="none" w:sz="0" w:space="0" w:color="auto"/>
        <w:right w:val="none" w:sz="0" w:space="0" w:color="auto"/>
      </w:divBdr>
    </w:div>
    <w:div w:id="1317344629">
      <w:bodyDiv w:val="1"/>
      <w:marLeft w:val="0"/>
      <w:marRight w:val="0"/>
      <w:marTop w:val="0"/>
      <w:marBottom w:val="0"/>
      <w:divBdr>
        <w:top w:val="none" w:sz="0" w:space="0" w:color="auto"/>
        <w:left w:val="none" w:sz="0" w:space="0" w:color="auto"/>
        <w:bottom w:val="none" w:sz="0" w:space="0" w:color="auto"/>
        <w:right w:val="none" w:sz="0" w:space="0" w:color="auto"/>
      </w:divBdr>
    </w:div>
    <w:div w:id="1317415807">
      <w:bodyDiv w:val="1"/>
      <w:marLeft w:val="0"/>
      <w:marRight w:val="0"/>
      <w:marTop w:val="0"/>
      <w:marBottom w:val="0"/>
      <w:divBdr>
        <w:top w:val="none" w:sz="0" w:space="0" w:color="auto"/>
        <w:left w:val="none" w:sz="0" w:space="0" w:color="auto"/>
        <w:bottom w:val="none" w:sz="0" w:space="0" w:color="auto"/>
        <w:right w:val="none" w:sz="0" w:space="0" w:color="auto"/>
      </w:divBdr>
    </w:div>
    <w:div w:id="1317536323">
      <w:bodyDiv w:val="1"/>
      <w:marLeft w:val="0"/>
      <w:marRight w:val="0"/>
      <w:marTop w:val="0"/>
      <w:marBottom w:val="0"/>
      <w:divBdr>
        <w:top w:val="none" w:sz="0" w:space="0" w:color="auto"/>
        <w:left w:val="none" w:sz="0" w:space="0" w:color="auto"/>
        <w:bottom w:val="none" w:sz="0" w:space="0" w:color="auto"/>
        <w:right w:val="none" w:sz="0" w:space="0" w:color="auto"/>
      </w:divBdr>
    </w:div>
    <w:div w:id="1318267824">
      <w:bodyDiv w:val="1"/>
      <w:marLeft w:val="0"/>
      <w:marRight w:val="0"/>
      <w:marTop w:val="0"/>
      <w:marBottom w:val="0"/>
      <w:divBdr>
        <w:top w:val="none" w:sz="0" w:space="0" w:color="auto"/>
        <w:left w:val="none" w:sz="0" w:space="0" w:color="auto"/>
        <w:bottom w:val="none" w:sz="0" w:space="0" w:color="auto"/>
        <w:right w:val="none" w:sz="0" w:space="0" w:color="auto"/>
      </w:divBdr>
    </w:div>
    <w:div w:id="1318993441">
      <w:bodyDiv w:val="1"/>
      <w:marLeft w:val="0"/>
      <w:marRight w:val="0"/>
      <w:marTop w:val="0"/>
      <w:marBottom w:val="0"/>
      <w:divBdr>
        <w:top w:val="none" w:sz="0" w:space="0" w:color="auto"/>
        <w:left w:val="none" w:sz="0" w:space="0" w:color="auto"/>
        <w:bottom w:val="none" w:sz="0" w:space="0" w:color="auto"/>
        <w:right w:val="none" w:sz="0" w:space="0" w:color="auto"/>
      </w:divBdr>
    </w:div>
    <w:div w:id="1319306676">
      <w:bodyDiv w:val="1"/>
      <w:marLeft w:val="0"/>
      <w:marRight w:val="0"/>
      <w:marTop w:val="0"/>
      <w:marBottom w:val="0"/>
      <w:divBdr>
        <w:top w:val="none" w:sz="0" w:space="0" w:color="auto"/>
        <w:left w:val="none" w:sz="0" w:space="0" w:color="auto"/>
        <w:bottom w:val="none" w:sz="0" w:space="0" w:color="auto"/>
        <w:right w:val="none" w:sz="0" w:space="0" w:color="auto"/>
      </w:divBdr>
    </w:div>
    <w:div w:id="1319459532">
      <w:bodyDiv w:val="1"/>
      <w:marLeft w:val="0"/>
      <w:marRight w:val="0"/>
      <w:marTop w:val="0"/>
      <w:marBottom w:val="0"/>
      <w:divBdr>
        <w:top w:val="none" w:sz="0" w:space="0" w:color="auto"/>
        <w:left w:val="none" w:sz="0" w:space="0" w:color="auto"/>
        <w:bottom w:val="none" w:sz="0" w:space="0" w:color="auto"/>
        <w:right w:val="none" w:sz="0" w:space="0" w:color="auto"/>
      </w:divBdr>
    </w:div>
    <w:div w:id="1319844021">
      <w:bodyDiv w:val="1"/>
      <w:marLeft w:val="0"/>
      <w:marRight w:val="0"/>
      <w:marTop w:val="0"/>
      <w:marBottom w:val="0"/>
      <w:divBdr>
        <w:top w:val="none" w:sz="0" w:space="0" w:color="auto"/>
        <w:left w:val="none" w:sz="0" w:space="0" w:color="auto"/>
        <w:bottom w:val="none" w:sz="0" w:space="0" w:color="auto"/>
        <w:right w:val="none" w:sz="0" w:space="0" w:color="auto"/>
      </w:divBdr>
    </w:div>
    <w:div w:id="1320035731">
      <w:bodyDiv w:val="1"/>
      <w:marLeft w:val="0"/>
      <w:marRight w:val="0"/>
      <w:marTop w:val="0"/>
      <w:marBottom w:val="0"/>
      <w:divBdr>
        <w:top w:val="none" w:sz="0" w:space="0" w:color="auto"/>
        <w:left w:val="none" w:sz="0" w:space="0" w:color="auto"/>
        <w:bottom w:val="none" w:sz="0" w:space="0" w:color="auto"/>
        <w:right w:val="none" w:sz="0" w:space="0" w:color="auto"/>
      </w:divBdr>
    </w:div>
    <w:div w:id="1320618550">
      <w:bodyDiv w:val="1"/>
      <w:marLeft w:val="0"/>
      <w:marRight w:val="0"/>
      <w:marTop w:val="0"/>
      <w:marBottom w:val="0"/>
      <w:divBdr>
        <w:top w:val="none" w:sz="0" w:space="0" w:color="auto"/>
        <w:left w:val="none" w:sz="0" w:space="0" w:color="auto"/>
        <w:bottom w:val="none" w:sz="0" w:space="0" w:color="auto"/>
        <w:right w:val="none" w:sz="0" w:space="0" w:color="auto"/>
      </w:divBdr>
    </w:div>
    <w:div w:id="1320884996">
      <w:bodyDiv w:val="1"/>
      <w:marLeft w:val="0"/>
      <w:marRight w:val="0"/>
      <w:marTop w:val="0"/>
      <w:marBottom w:val="0"/>
      <w:divBdr>
        <w:top w:val="none" w:sz="0" w:space="0" w:color="auto"/>
        <w:left w:val="none" w:sz="0" w:space="0" w:color="auto"/>
        <w:bottom w:val="none" w:sz="0" w:space="0" w:color="auto"/>
        <w:right w:val="none" w:sz="0" w:space="0" w:color="auto"/>
      </w:divBdr>
    </w:div>
    <w:div w:id="1321039935">
      <w:bodyDiv w:val="1"/>
      <w:marLeft w:val="0"/>
      <w:marRight w:val="0"/>
      <w:marTop w:val="0"/>
      <w:marBottom w:val="0"/>
      <w:divBdr>
        <w:top w:val="none" w:sz="0" w:space="0" w:color="auto"/>
        <w:left w:val="none" w:sz="0" w:space="0" w:color="auto"/>
        <w:bottom w:val="none" w:sz="0" w:space="0" w:color="auto"/>
        <w:right w:val="none" w:sz="0" w:space="0" w:color="auto"/>
      </w:divBdr>
    </w:div>
    <w:div w:id="1321226211">
      <w:bodyDiv w:val="1"/>
      <w:marLeft w:val="0"/>
      <w:marRight w:val="0"/>
      <w:marTop w:val="0"/>
      <w:marBottom w:val="0"/>
      <w:divBdr>
        <w:top w:val="none" w:sz="0" w:space="0" w:color="auto"/>
        <w:left w:val="none" w:sz="0" w:space="0" w:color="auto"/>
        <w:bottom w:val="none" w:sz="0" w:space="0" w:color="auto"/>
        <w:right w:val="none" w:sz="0" w:space="0" w:color="auto"/>
      </w:divBdr>
    </w:div>
    <w:div w:id="1322200213">
      <w:bodyDiv w:val="1"/>
      <w:marLeft w:val="0"/>
      <w:marRight w:val="0"/>
      <w:marTop w:val="0"/>
      <w:marBottom w:val="0"/>
      <w:divBdr>
        <w:top w:val="none" w:sz="0" w:space="0" w:color="auto"/>
        <w:left w:val="none" w:sz="0" w:space="0" w:color="auto"/>
        <w:bottom w:val="none" w:sz="0" w:space="0" w:color="auto"/>
        <w:right w:val="none" w:sz="0" w:space="0" w:color="auto"/>
      </w:divBdr>
    </w:div>
    <w:div w:id="1322269912">
      <w:bodyDiv w:val="1"/>
      <w:marLeft w:val="0"/>
      <w:marRight w:val="0"/>
      <w:marTop w:val="0"/>
      <w:marBottom w:val="0"/>
      <w:divBdr>
        <w:top w:val="none" w:sz="0" w:space="0" w:color="auto"/>
        <w:left w:val="none" w:sz="0" w:space="0" w:color="auto"/>
        <w:bottom w:val="none" w:sz="0" w:space="0" w:color="auto"/>
        <w:right w:val="none" w:sz="0" w:space="0" w:color="auto"/>
      </w:divBdr>
    </w:div>
    <w:div w:id="1322662421">
      <w:bodyDiv w:val="1"/>
      <w:marLeft w:val="0"/>
      <w:marRight w:val="0"/>
      <w:marTop w:val="0"/>
      <w:marBottom w:val="0"/>
      <w:divBdr>
        <w:top w:val="none" w:sz="0" w:space="0" w:color="auto"/>
        <w:left w:val="none" w:sz="0" w:space="0" w:color="auto"/>
        <w:bottom w:val="none" w:sz="0" w:space="0" w:color="auto"/>
        <w:right w:val="none" w:sz="0" w:space="0" w:color="auto"/>
      </w:divBdr>
    </w:div>
    <w:div w:id="1323313282">
      <w:bodyDiv w:val="1"/>
      <w:marLeft w:val="0"/>
      <w:marRight w:val="0"/>
      <w:marTop w:val="0"/>
      <w:marBottom w:val="0"/>
      <w:divBdr>
        <w:top w:val="none" w:sz="0" w:space="0" w:color="auto"/>
        <w:left w:val="none" w:sz="0" w:space="0" w:color="auto"/>
        <w:bottom w:val="none" w:sz="0" w:space="0" w:color="auto"/>
        <w:right w:val="none" w:sz="0" w:space="0" w:color="auto"/>
      </w:divBdr>
    </w:div>
    <w:div w:id="1323314420">
      <w:bodyDiv w:val="1"/>
      <w:marLeft w:val="0"/>
      <w:marRight w:val="0"/>
      <w:marTop w:val="0"/>
      <w:marBottom w:val="0"/>
      <w:divBdr>
        <w:top w:val="none" w:sz="0" w:space="0" w:color="auto"/>
        <w:left w:val="none" w:sz="0" w:space="0" w:color="auto"/>
        <w:bottom w:val="none" w:sz="0" w:space="0" w:color="auto"/>
        <w:right w:val="none" w:sz="0" w:space="0" w:color="auto"/>
      </w:divBdr>
    </w:div>
    <w:div w:id="1323508559">
      <w:bodyDiv w:val="1"/>
      <w:marLeft w:val="0"/>
      <w:marRight w:val="0"/>
      <w:marTop w:val="0"/>
      <w:marBottom w:val="0"/>
      <w:divBdr>
        <w:top w:val="none" w:sz="0" w:space="0" w:color="auto"/>
        <w:left w:val="none" w:sz="0" w:space="0" w:color="auto"/>
        <w:bottom w:val="none" w:sz="0" w:space="0" w:color="auto"/>
        <w:right w:val="none" w:sz="0" w:space="0" w:color="auto"/>
      </w:divBdr>
    </w:div>
    <w:div w:id="1323584485">
      <w:bodyDiv w:val="1"/>
      <w:marLeft w:val="0"/>
      <w:marRight w:val="0"/>
      <w:marTop w:val="0"/>
      <w:marBottom w:val="0"/>
      <w:divBdr>
        <w:top w:val="none" w:sz="0" w:space="0" w:color="auto"/>
        <w:left w:val="none" w:sz="0" w:space="0" w:color="auto"/>
        <w:bottom w:val="none" w:sz="0" w:space="0" w:color="auto"/>
        <w:right w:val="none" w:sz="0" w:space="0" w:color="auto"/>
      </w:divBdr>
    </w:div>
    <w:div w:id="1323700578">
      <w:bodyDiv w:val="1"/>
      <w:marLeft w:val="0"/>
      <w:marRight w:val="0"/>
      <w:marTop w:val="0"/>
      <w:marBottom w:val="0"/>
      <w:divBdr>
        <w:top w:val="none" w:sz="0" w:space="0" w:color="auto"/>
        <w:left w:val="none" w:sz="0" w:space="0" w:color="auto"/>
        <w:bottom w:val="none" w:sz="0" w:space="0" w:color="auto"/>
        <w:right w:val="none" w:sz="0" w:space="0" w:color="auto"/>
      </w:divBdr>
    </w:div>
    <w:div w:id="1324429387">
      <w:bodyDiv w:val="1"/>
      <w:marLeft w:val="0"/>
      <w:marRight w:val="0"/>
      <w:marTop w:val="0"/>
      <w:marBottom w:val="0"/>
      <w:divBdr>
        <w:top w:val="none" w:sz="0" w:space="0" w:color="auto"/>
        <w:left w:val="none" w:sz="0" w:space="0" w:color="auto"/>
        <w:bottom w:val="none" w:sz="0" w:space="0" w:color="auto"/>
        <w:right w:val="none" w:sz="0" w:space="0" w:color="auto"/>
      </w:divBdr>
    </w:div>
    <w:div w:id="1324628650">
      <w:bodyDiv w:val="1"/>
      <w:marLeft w:val="0"/>
      <w:marRight w:val="0"/>
      <w:marTop w:val="0"/>
      <w:marBottom w:val="0"/>
      <w:divBdr>
        <w:top w:val="none" w:sz="0" w:space="0" w:color="auto"/>
        <w:left w:val="none" w:sz="0" w:space="0" w:color="auto"/>
        <w:bottom w:val="none" w:sz="0" w:space="0" w:color="auto"/>
        <w:right w:val="none" w:sz="0" w:space="0" w:color="auto"/>
      </w:divBdr>
    </w:div>
    <w:div w:id="1324697663">
      <w:bodyDiv w:val="1"/>
      <w:marLeft w:val="0"/>
      <w:marRight w:val="0"/>
      <w:marTop w:val="0"/>
      <w:marBottom w:val="0"/>
      <w:divBdr>
        <w:top w:val="none" w:sz="0" w:space="0" w:color="auto"/>
        <w:left w:val="none" w:sz="0" w:space="0" w:color="auto"/>
        <w:bottom w:val="none" w:sz="0" w:space="0" w:color="auto"/>
        <w:right w:val="none" w:sz="0" w:space="0" w:color="auto"/>
      </w:divBdr>
    </w:div>
    <w:div w:id="1324698516">
      <w:bodyDiv w:val="1"/>
      <w:marLeft w:val="0"/>
      <w:marRight w:val="0"/>
      <w:marTop w:val="0"/>
      <w:marBottom w:val="0"/>
      <w:divBdr>
        <w:top w:val="none" w:sz="0" w:space="0" w:color="auto"/>
        <w:left w:val="none" w:sz="0" w:space="0" w:color="auto"/>
        <w:bottom w:val="none" w:sz="0" w:space="0" w:color="auto"/>
        <w:right w:val="none" w:sz="0" w:space="0" w:color="auto"/>
      </w:divBdr>
    </w:div>
    <w:div w:id="1326012345">
      <w:bodyDiv w:val="1"/>
      <w:marLeft w:val="0"/>
      <w:marRight w:val="0"/>
      <w:marTop w:val="0"/>
      <w:marBottom w:val="0"/>
      <w:divBdr>
        <w:top w:val="none" w:sz="0" w:space="0" w:color="auto"/>
        <w:left w:val="none" w:sz="0" w:space="0" w:color="auto"/>
        <w:bottom w:val="none" w:sz="0" w:space="0" w:color="auto"/>
        <w:right w:val="none" w:sz="0" w:space="0" w:color="auto"/>
      </w:divBdr>
    </w:div>
    <w:div w:id="1326203267">
      <w:bodyDiv w:val="1"/>
      <w:marLeft w:val="0"/>
      <w:marRight w:val="0"/>
      <w:marTop w:val="0"/>
      <w:marBottom w:val="0"/>
      <w:divBdr>
        <w:top w:val="none" w:sz="0" w:space="0" w:color="auto"/>
        <w:left w:val="none" w:sz="0" w:space="0" w:color="auto"/>
        <w:bottom w:val="none" w:sz="0" w:space="0" w:color="auto"/>
        <w:right w:val="none" w:sz="0" w:space="0" w:color="auto"/>
      </w:divBdr>
    </w:div>
    <w:div w:id="1326276349">
      <w:bodyDiv w:val="1"/>
      <w:marLeft w:val="0"/>
      <w:marRight w:val="0"/>
      <w:marTop w:val="0"/>
      <w:marBottom w:val="0"/>
      <w:divBdr>
        <w:top w:val="none" w:sz="0" w:space="0" w:color="auto"/>
        <w:left w:val="none" w:sz="0" w:space="0" w:color="auto"/>
        <w:bottom w:val="none" w:sz="0" w:space="0" w:color="auto"/>
        <w:right w:val="none" w:sz="0" w:space="0" w:color="auto"/>
      </w:divBdr>
    </w:div>
    <w:div w:id="1326319722">
      <w:bodyDiv w:val="1"/>
      <w:marLeft w:val="0"/>
      <w:marRight w:val="0"/>
      <w:marTop w:val="0"/>
      <w:marBottom w:val="0"/>
      <w:divBdr>
        <w:top w:val="none" w:sz="0" w:space="0" w:color="auto"/>
        <w:left w:val="none" w:sz="0" w:space="0" w:color="auto"/>
        <w:bottom w:val="none" w:sz="0" w:space="0" w:color="auto"/>
        <w:right w:val="none" w:sz="0" w:space="0" w:color="auto"/>
      </w:divBdr>
    </w:div>
    <w:div w:id="1326855178">
      <w:bodyDiv w:val="1"/>
      <w:marLeft w:val="0"/>
      <w:marRight w:val="0"/>
      <w:marTop w:val="0"/>
      <w:marBottom w:val="0"/>
      <w:divBdr>
        <w:top w:val="none" w:sz="0" w:space="0" w:color="auto"/>
        <w:left w:val="none" w:sz="0" w:space="0" w:color="auto"/>
        <w:bottom w:val="none" w:sz="0" w:space="0" w:color="auto"/>
        <w:right w:val="none" w:sz="0" w:space="0" w:color="auto"/>
      </w:divBdr>
    </w:div>
    <w:div w:id="1327903772">
      <w:bodyDiv w:val="1"/>
      <w:marLeft w:val="0"/>
      <w:marRight w:val="0"/>
      <w:marTop w:val="0"/>
      <w:marBottom w:val="0"/>
      <w:divBdr>
        <w:top w:val="none" w:sz="0" w:space="0" w:color="auto"/>
        <w:left w:val="none" w:sz="0" w:space="0" w:color="auto"/>
        <w:bottom w:val="none" w:sz="0" w:space="0" w:color="auto"/>
        <w:right w:val="none" w:sz="0" w:space="0" w:color="auto"/>
      </w:divBdr>
    </w:div>
    <w:div w:id="1327980023">
      <w:bodyDiv w:val="1"/>
      <w:marLeft w:val="0"/>
      <w:marRight w:val="0"/>
      <w:marTop w:val="0"/>
      <w:marBottom w:val="0"/>
      <w:divBdr>
        <w:top w:val="none" w:sz="0" w:space="0" w:color="auto"/>
        <w:left w:val="none" w:sz="0" w:space="0" w:color="auto"/>
        <w:bottom w:val="none" w:sz="0" w:space="0" w:color="auto"/>
        <w:right w:val="none" w:sz="0" w:space="0" w:color="auto"/>
      </w:divBdr>
    </w:div>
    <w:div w:id="1327980412">
      <w:bodyDiv w:val="1"/>
      <w:marLeft w:val="0"/>
      <w:marRight w:val="0"/>
      <w:marTop w:val="0"/>
      <w:marBottom w:val="0"/>
      <w:divBdr>
        <w:top w:val="none" w:sz="0" w:space="0" w:color="auto"/>
        <w:left w:val="none" w:sz="0" w:space="0" w:color="auto"/>
        <w:bottom w:val="none" w:sz="0" w:space="0" w:color="auto"/>
        <w:right w:val="none" w:sz="0" w:space="0" w:color="auto"/>
      </w:divBdr>
    </w:div>
    <w:div w:id="1328053186">
      <w:bodyDiv w:val="1"/>
      <w:marLeft w:val="0"/>
      <w:marRight w:val="0"/>
      <w:marTop w:val="0"/>
      <w:marBottom w:val="0"/>
      <w:divBdr>
        <w:top w:val="none" w:sz="0" w:space="0" w:color="auto"/>
        <w:left w:val="none" w:sz="0" w:space="0" w:color="auto"/>
        <w:bottom w:val="none" w:sz="0" w:space="0" w:color="auto"/>
        <w:right w:val="none" w:sz="0" w:space="0" w:color="auto"/>
      </w:divBdr>
    </w:div>
    <w:div w:id="1328245886">
      <w:bodyDiv w:val="1"/>
      <w:marLeft w:val="0"/>
      <w:marRight w:val="0"/>
      <w:marTop w:val="0"/>
      <w:marBottom w:val="0"/>
      <w:divBdr>
        <w:top w:val="none" w:sz="0" w:space="0" w:color="auto"/>
        <w:left w:val="none" w:sz="0" w:space="0" w:color="auto"/>
        <w:bottom w:val="none" w:sz="0" w:space="0" w:color="auto"/>
        <w:right w:val="none" w:sz="0" w:space="0" w:color="auto"/>
      </w:divBdr>
    </w:div>
    <w:div w:id="1328752039">
      <w:bodyDiv w:val="1"/>
      <w:marLeft w:val="0"/>
      <w:marRight w:val="0"/>
      <w:marTop w:val="0"/>
      <w:marBottom w:val="0"/>
      <w:divBdr>
        <w:top w:val="none" w:sz="0" w:space="0" w:color="auto"/>
        <w:left w:val="none" w:sz="0" w:space="0" w:color="auto"/>
        <w:bottom w:val="none" w:sz="0" w:space="0" w:color="auto"/>
        <w:right w:val="none" w:sz="0" w:space="0" w:color="auto"/>
      </w:divBdr>
    </w:div>
    <w:div w:id="1328753258">
      <w:bodyDiv w:val="1"/>
      <w:marLeft w:val="0"/>
      <w:marRight w:val="0"/>
      <w:marTop w:val="0"/>
      <w:marBottom w:val="0"/>
      <w:divBdr>
        <w:top w:val="none" w:sz="0" w:space="0" w:color="auto"/>
        <w:left w:val="none" w:sz="0" w:space="0" w:color="auto"/>
        <w:bottom w:val="none" w:sz="0" w:space="0" w:color="auto"/>
        <w:right w:val="none" w:sz="0" w:space="0" w:color="auto"/>
      </w:divBdr>
    </w:div>
    <w:div w:id="1328971408">
      <w:bodyDiv w:val="1"/>
      <w:marLeft w:val="0"/>
      <w:marRight w:val="0"/>
      <w:marTop w:val="0"/>
      <w:marBottom w:val="0"/>
      <w:divBdr>
        <w:top w:val="none" w:sz="0" w:space="0" w:color="auto"/>
        <w:left w:val="none" w:sz="0" w:space="0" w:color="auto"/>
        <w:bottom w:val="none" w:sz="0" w:space="0" w:color="auto"/>
        <w:right w:val="none" w:sz="0" w:space="0" w:color="auto"/>
      </w:divBdr>
    </w:div>
    <w:div w:id="1329209640">
      <w:bodyDiv w:val="1"/>
      <w:marLeft w:val="0"/>
      <w:marRight w:val="0"/>
      <w:marTop w:val="0"/>
      <w:marBottom w:val="0"/>
      <w:divBdr>
        <w:top w:val="none" w:sz="0" w:space="0" w:color="auto"/>
        <w:left w:val="none" w:sz="0" w:space="0" w:color="auto"/>
        <w:bottom w:val="none" w:sz="0" w:space="0" w:color="auto"/>
        <w:right w:val="none" w:sz="0" w:space="0" w:color="auto"/>
      </w:divBdr>
    </w:div>
    <w:div w:id="1329594982">
      <w:bodyDiv w:val="1"/>
      <w:marLeft w:val="0"/>
      <w:marRight w:val="0"/>
      <w:marTop w:val="0"/>
      <w:marBottom w:val="0"/>
      <w:divBdr>
        <w:top w:val="none" w:sz="0" w:space="0" w:color="auto"/>
        <w:left w:val="none" w:sz="0" w:space="0" w:color="auto"/>
        <w:bottom w:val="none" w:sz="0" w:space="0" w:color="auto"/>
        <w:right w:val="none" w:sz="0" w:space="0" w:color="auto"/>
      </w:divBdr>
    </w:div>
    <w:div w:id="1329822759">
      <w:bodyDiv w:val="1"/>
      <w:marLeft w:val="0"/>
      <w:marRight w:val="0"/>
      <w:marTop w:val="0"/>
      <w:marBottom w:val="0"/>
      <w:divBdr>
        <w:top w:val="none" w:sz="0" w:space="0" w:color="auto"/>
        <w:left w:val="none" w:sz="0" w:space="0" w:color="auto"/>
        <w:bottom w:val="none" w:sz="0" w:space="0" w:color="auto"/>
        <w:right w:val="none" w:sz="0" w:space="0" w:color="auto"/>
      </w:divBdr>
    </w:div>
    <w:div w:id="1329987912">
      <w:bodyDiv w:val="1"/>
      <w:marLeft w:val="0"/>
      <w:marRight w:val="0"/>
      <w:marTop w:val="0"/>
      <w:marBottom w:val="0"/>
      <w:divBdr>
        <w:top w:val="none" w:sz="0" w:space="0" w:color="auto"/>
        <w:left w:val="none" w:sz="0" w:space="0" w:color="auto"/>
        <w:bottom w:val="none" w:sz="0" w:space="0" w:color="auto"/>
        <w:right w:val="none" w:sz="0" w:space="0" w:color="auto"/>
      </w:divBdr>
    </w:div>
    <w:div w:id="1330326800">
      <w:bodyDiv w:val="1"/>
      <w:marLeft w:val="0"/>
      <w:marRight w:val="0"/>
      <w:marTop w:val="0"/>
      <w:marBottom w:val="0"/>
      <w:divBdr>
        <w:top w:val="none" w:sz="0" w:space="0" w:color="auto"/>
        <w:left w:val="none" w:sz="0" w:space="0" w:color="auto"/>
        <w:bottom w:val="none" w:sz="0" w:space="0" w:color="auto"/>
        <w:right w:val="none" w:sz="0" w:space="0" w:color="auto"/>
      </w:divBdr>
    </w:div>
    <w:div w:id="1330451429">
      <w:bodyDiv w:val="1"/>
      <w:marLeft w:val="0"/>
      <w:marRight w:val="0"/>
      <w:marTop w:val="0"/>
      <w:marBottom w:val="0"/>
      <w:divBdr>
        <w:top w:val="none" w:sz="0" w:space="0" w:color="auto"/>
        <w:left w:val="none" w:sz="0" w:space="0" w:color="auto"/>
        <w:bottom w:val="none" w:sz="0" w:space="0" w:color="auto"/>
        <w:right w:val="none" w:sz="0" w:space="0" w:color="auto"/>
      </w:divBdr>
    </w:div>
    <w:div w:id="1330795747">
      <w:bodyDiv w:val="1"/>
      <w:marLeft w:val="0"/>
      <w:marRight w:val="0"/>
      <w:marTop w:val="0"/>
      <w:marBottom w:val="0"/>
      <w:divBdr>
        <w:top w:val="none" w:sz="0" w:space="0" w:color="auto"/>
        <w:left w:val="none" w:sz="0" w:space="0" w:color="auto"/>
        <w:bottom w:val="none" w:sz="0" w:space="0" w:color="auto"/>
        <w:right w:val="none" w:sz="0" w:space="0" w:color="auto"/>
      </w:divBdr>
    </w:div>
    <w:div w:id="1330982521">
      <w:bodyDiv w:val="1"/>
      <w:marLeft w:val="0"/>
      <w:marRight w:val="0"/>
      <w:marTop w:val="0"/>
      <w:marBottom w:val="0"/>
      <w:divBdr>
        <w:top w:val="none" w:sz="0" w:space="0" w:color="auto"/>
        <w:left w:val="none" w:sz="0" w:space="0" w:color="auto"/>
        <w:bottom w:val="none" w:sz="0" w:space="0" w:color="auto"/>
        <w:right w:val="none" w:sz="0" w:space="0" w:color="auto"/>
      </w:divBdr>
    </w:div>
    <w:div w:id="1331103022">
      <w:bodyDiv w:val="1"/>
      <w:marLeft w:val="0"/>
      <w:marRight w:val="0"/>
      <w:marTop w:val="0"/>
      <w:marBottom w:val="0"/>
      <w:divBdr>
        <w:top w:val="none" w:sz="0" w:space="0" w:color="auto"/>
        <w:left w:val="none" w:sz="0" w:space="0" w:color="auto"/>
        <w:bottom w:val="none" w:sz="0" w:space="0" w:color="auto"/>
        <w:right w:val="none" w:sz="0" w:space="0" w:color="auto"/>
      </w:divBdr>
    </w:div>
    <w:div w:id="1331178376">
      <w:bodyDiv w:val="1"/>
      <w:marLeft w:val="0"/>
      <w:marRight w:val="0"/>
      <w:marTop w:val="0"/>
      <w:marBottom w:val="0"/>
      <w:divBdr>
        <w:top w:val="none" w:sz="0" w:space="0" w:color="auto"/>
        <w:left w:val="none" w:sz="0" w:space="0" w:color="auto"/>
        <w:bottom w:val="none" w:sz="0" w:space="0" w:color="auto"/>
        <w:right w:val="none" w:sz="0" w:space="0" w:color="auto"/>
      </w:divBdr>
    </w:div>
    <w:div w:id="1331330830">
      <w:bodyDiv w:val="1"/>
      <w:marLeft w:val="0"/>
      <w:marRight w:val="0"/>
      <w:marTop w:val="0"/>
      <w:marBottom w:val="0"/>
      <w:divBdr>
        <w:top w:val="none" w:sz="0" w:space="0" w:color="auto"/>
        <w:left w:val="none" w:sz="0" w:space="0" w:color="auto"/>
        <w:bottom w:val="none" w:sz="0" w:space="0" w:color="auto"/>
        <w:right w:val="none" w:sz="0" w:space="0" w:color="auto"/>
      </w:divBdr>
    </w:div>
    <w:div w:id="1331370388">
      <w:bodyDiv w:val="1"/>
      <w:marLeft w:val="0"/>
      <w:marRight w:val="0"/>
      <w:marTop w:val="0"/>
      <w:marBottom w:val="0"/>
      <w:divBdr>
        <w:top w:val="none" w:sz="0" w:space="0" w:color="auto"/>
        <w:left w:val="none" w:sz="0" w:space="0" w:color="auto"/>
        <w:bottom w:val="none" w:sz="0" w:space="0" w:color="auto"/>
        <w:right w:val="none" w:sz="0" w:space="0" w:color="auto"/>
      </w:divBdr>
    </w:div>
    <w:div w:id="1331519501">
      <w:bodyDiv w:val="1"/>
      <w:marLeft w:val="0"/>
      <w:marRight w:val="0"/>
      <w:marTop w:val="0"/>
      <w:marBottom w:val="0"/>
      <w:divBdr>
        <w:top w:val="none" w:sz="0" w:space="0" w:color="auto"/>
        <w:left w:val="none" w:sz="0" w:space="0" w:color="auto"/>
        <w:bottom w:val="none" w:sz="0" w:space="0" w:color="auto"/>
        <w:right w:val="none" w:sz="0" w:space="0" w:color="auto"/>
      </w:divBdr>
    </w:div>
    <w:div w:id="1331718777">
      <w:bodyDiv w:val="1"/>
      <w:marLeft w:val="0"/>
      <w:marRight w:val="0"/>
      <w:marTop w:val="0"/>
      <w:marBottom w:val="0"/>
      <w:divBdr>
        <w:top w:val="none" w:sz="0" w:space="0" w:color="auto"/>
        <w:left w:val="none" w:sz="0" w:space="0" w:color="auto"/>
        <w:bottom w:val="none" w:sz="0" w:space="0" w:color="auto"/>
        <w:right w:val="none" w:sz="0" w:space="0" w:color="auto"/>
      </w:divBdr>
    </w:div>
    <w:div w:id="1331789655">
      <w:bodyDiv w:val="1"/>
      <w:marLeft w:val="0"/>
      <w:marRight w:val="0"/>
      <w:marTop w:val="0"/>
      <w:marBottom w:val="0"/>
      <w:divBdr>
        <w:top w:val="none" w:sz="0" w:space="0" w:color="auto"/>
        <w:left w:val="none" w:sz="0" w:space="0" w:color="auto"/>
        <w:bottom w:val="none" w:sz="0" w:space="0" w:color="auto"/>
        <w:right w:val="none" w:sz="0" w:space="0" w:color="auto"/>
      </w:divBdr>
    </w:div>
    <w:div w:id="1331904763">
      <w:bodyDiv w:val="1"/>
      <w:marLeft w:val="0"/>
      <w:marRight w:val="0"/>
      <w:marTop w:val="0"/>
      <w:marBottom w:val="0"/>
      <w:divBdr>
        <w:top w:val="none" w:sz="0" w:space="0" w:color="auto"/>
        <w:left w:val="none" w:sz="0" w:space="0" w:color="auto"/>
        <w:bottom w:val="none" w:sz="0" w:space="0" w:color="auto"/>
        <w:right w:val="none" w:sz="0" w:space="0" w:color="auto"/>
      </w:divBdr>
    </w:div>
    <w:div w:id="1331906235">
      <w:bodyDiv w:val="1"/>
      <w:marLeft w:val="0"/>
      <w:marRight w:val="0"/>
      <w:marTop w:val="0"/>
      <w:marBottom w:val="0"/>
      <w:divBdr>
        <w:top w:val="none" w:sz="0" w:space="0" w:color="auto"/>
        <w:left w:val="none" w:sz="0" w:space="0" w:color="auto"/>
        <w:bottom w:val="none" w:sz="0" w:space="0" w:color="auto"/>
        <w:right w:val="none" w:sz="0" w:space="0" w:color="auto"/>
      </w:divBdr>
    </w:div>
    <w:div w:id="1332559868">
      <w:bodyDiv w:val="1"/>
      <w:marLeft w:val="0"/>
      <w:marRight w:val="0"/>
      <w:marTop w:val="0"/>
      <w:marBottom w:val="0"/>
      <w:divBdr>
        <w:top w:val="none" w:sz="0" w:space="0" w:color="auto"/>
        <w:left w:val="none" w:sz="0" w:space="0" w:color="auto"/>
        <w:bottom w:val="none" w:sz="0" w:space="0" w:color="auto"/>
        <w:right w:val="none" w:sz="0" w:space="0" w:color="auto"/>
      </w:divBdr>
    </w:div>
    <w:div w:id="1332566127">
      <w:bodyDiv w:val="1"/>
      <w:marLeft w:val="0"/>
      <w:marRight w:val="0"/>
      <w:marTop w:val="0"/>
      <w:marBottom w:val="0"/>
      <w:divBdr>
        <w:top w:val="none" w:sz="0" w:space="0" w:color="auto"/>
        <w:left w:val="none" w:sz="0" w:space="0" w:color="auto"/>
        <w:bottom w:val="none" w:sz="0" w:space="0" w:color="auto"/>
        <w:right w:val="none" w:sz="0" w:space="0" w:color="auto"/>
      </w:divBdr>
    </w:div>
    <w:div w:id="1333483539">
      <w:bodyDiv w:val="1"/>
      <w:marLeft w:val="0"/>
      <w:marRight w:val="0"/>
      <w:marTop w:val="0"/>
      <w:marBottom w:val="0"/>
      <w:divBdr>
        <w:top w:val="none" w:sz="0" w:space="0" w:color="auto"/>
        <w:left w:val="none" w:sz="0" w:space="0" w:color="auto"/>
        <w:bottom w:val="none" w:sz="0" w:space="0" w:color="auto"/>
        <w:right w:val="none" w:sz="0" w:space="0" w:color="auto"/>
      </w:divBdr>
    </w:div>
    <w:div w:id="1333534670">
      <w:bodyDiv w:val="1"/>
      <w:marLeft w:val="0"/>
      <w:marRight w:val="0"/>
      <w:marTop w:val="0"/>
      <w:marBottom w:val="0"/>
      <w:divBdr>
        <w:top w:val="none" w:sz="0" w:space="0" w:color="auto"/>
        <w:left w:val="none" w:sz="0" w:space="0" w:color="auto"/>
        <w:bottom w:val="none" w:sz="0" w:space="0" w:color="auto"/>
        <w:right w:val="none" w:sz="0" w:space="0" w:color="auto"/>
      </w:divBdr>
    </w:div>
    <w:div w:id="1334183604">
      <w:bodyDiv w:val="1"/>
      <w:marLeft w:val="0"/>
      <w:marRight w:val="0"/>
      <w:marTop w:val="0"/>
      <w:marBottom w:val="0"/>
      <w:divBdr>
        <w:top w:val="none" w:sz="0" w:space="0" w:color="auto"/>
        <w:left w:val="none" w:sz="0" w:space="0" w:color="auto"/>
        <w:bottom w:val="none" w:sz="0" w:space="0" w:color="auto"/>
        <w:right w:val="none" w:sz="0" w:space="0" w:color="auto"/>
      </w:divBdr>
    </w:div>
    <w:div w:id="1334868786">
      <w:bodyDiv w:val="1"/>
      <w:marLeft w:val="0"/>
      <w:marRight w:val="0"/>
      <w:marTop w:val="0"/>
      <w:marBottom w:val="0"/>
      <w:divBdr>
        <w:top w:val="none" w:sz="0" w:space="0" w:color="auto"/>
        <w:left w:val="none" w:sz="0" w:space="0" w:color="auto"/>
        <w:bottom w:val="none" w:sz="0" w:space="0" w:color="auto"/>
        <w:right w:val="none" w:sz="0" w:space="0" w:color="auto"/>
      </w:divBdr>
    </w:div>
    <w:div w:id="1335104876">
      <w:bodyDiv w:val="1"/>
      <w:marLeft w:val="0"/>
      <w:marRight w:val="0"/>
      <w:marTop w:val="0"/>
      <w:marBottom w:val="0"/>
      <w:divBdr>
        <w:top w:val="none" w:sz="0" w:space="0" w:color="auto"/>
        <w:left w:val="none" w:sz="0" w:space="0" w:color="auto"/>
        <w:bottom w:val="none" w:sz="0" w:space="0" w:color="auto"/>
        <w:right w:val="none" w:sz="0" w:space="0" w:color="auto"/>
      </w:divBdr>
    </w:div>
    <w:div w:id="1335524895">
      <w:bodyDiv w:val="1"/>
      <w:marLeft w:val="0"/>
      <w:marRight w:val="0"/>
      <w:marTop w:val="0"/>
      <w:marBottom w:val="0"/>
      <w:divBdr>
        <w:top w:val="none" w:sz="0" w:space="0" w:color="auto"/>
        <w:left w:val="none" w:sz="0" w:space="0" w:color="auto"/>
        <w:bottom w:val="none" w:sz="0" w:space="0" w:color="auto"/>
        <w:right w:val="none" w:sz="0" w:space="0" w:color="auto"/>
      </w:divBdr>
    </w:div>
    <w:div w:id="1336038068">
      <w:bodyDiv w:val="1"/>
      <w:marLeft w:val="0"/>
      <w:marRight w:val="0"/>
      <w:marTop w:val="0"/>
      <w:marBottom w:val="0"/>
      <w:divBdr>
        <w:top w:val="none" w:sz="0" w:space="0" w:color="auto"/>
        <w:left w:val="none" w:sz="0" w:space="0" w:color="auto"/>
        <w:bottom w:val="none" w:sz="0" w:space="0" w:color="auto"/>
        <w:right w:val="none" w:sz="0" w:space="0" w:color="auto"/>
      </w:divBdr>
    </w:div>
    <w:div w:id="1336222296">
      <w:bodyDiv w:val="1"/>
      <w:marLeft w:val="0"/>
      <w:marRight w:val="0"/>
      <w:marTop w:val="0"/>
      <w:marBottom w:val="0"/>
      <w:divBdr>
        <w:top w:val="none" w:sz="0" w:space="0" w:color="auto"/>
        <w:left w:val="none" w:sz="0" w:space="0" w:color="auto"/>
        <w:bottom w:val="none" w:sz="0" w:space="0" w:color="auto"/>
        <w:right w:val="none" w:sz="0" w:space="0" w:color="auto"/>
      </w:divBdr>
    </w:div>
    <w:div w:id="1336803337">
      <w:bodyDiv w:val="1"/>
      <w:marLeft w:val="0"/>
      <w:marRight w:val="0"/>
      <w:marTop w:val="0"/>
      <w:marBottom w:val="0"/>
      <w:divBdr>
        <w:top w:val="none" w:sz="0" w:space="0" w:color="auto"/>
        <w:left w:val="none" w:sz="0" w:space="0" w:color="auto"/>
        <w:bottom w:val="none" w:sz="0" w:space="0" w:color="auto"/>
        <w:right w:val="none" w:sz="0" w:space="0" w:color="auto"/>
      </w:divBdr>
    </w:div>
    <w:div w:id="1337264931">
      <w:bodyDiv w:val="1"/>
      <w:marLeft w:val="0"/>
      <w:marRight w:val="0"/>
      <w:marTop w:val="0"/>
      <w:marBottom w:val="0"/>
      <w:divBdr>
        <w:top w:val="none" w:sz="0" w:space="0" w:color="auto"/>
        <w:left w:val="none" w:sz="0" w:space="0" w:color="auto"/>
        <w:bottom w:val="none" w:sz="0" w:space="0" w:color="auto"/>
        <w:right w:val="none" w:sz="0" w:space="0" w:color="auto"/>
      </w:divBdr>
    </w:div>
    <w:div w:id="1337533637">
      <w:bodyDiv w:val="1"/>
      <w:marLeft w:val="0"/>
      <w:marRight w:val="0"/>
      <w:marTop w:val="0"/>
      <w:marBottom w:val="0"/>
      <w:divBdr>
        <w:top w:val="none" w:sz="0" w:space="0" w:color="auto"/>
        <w:left w:val="none" w:sz="0" w:space="0" w:color="auto"/>
        <w:bottom w:val="none" w:sz="0" w:space="0" w:color="auto"/>
        <w:right w:val="none" w:sz="0" w:space="0" w:color="auto"/>
      </w:divBdr>
    </w:div>
    <w:div w:id="1337877423">
      <w:bodyDiv w:val="1"/>
      <w:marLeft w:val="0"/>
      <w:marRight w:val="0"/>
      <w:marTop w:val="0"/>
      <w:marBottom w:val="0"/>
      <w:divBdr>
        <w:top w:val="none" w:sz="0" w:space="0" w:color="auto"/>
        <w:left w:val="none" w:sz="0" w:space="0" w:color="auto"/>
        <w:bottom w:val="none" w:sz="0" w:space="0" w:color="auto"/>
        <w:right w:val="none" w:sz="0" w:space="0" w:color="auto"/>
      </w:divBdr>
    </w:div>
    <w:div w:id="1337878315">
      <w:bodyDiv w:val="1"/>
      <w:marLeft w:val="0"/>
      <w:marRight w:val="0"/>
      <w:marTop w:val="0"/>
      <w:marBottom w:val="0"/>
      <w:divBdr>
        <w:top w:val="none" w:sz="0" w:space="0" w:color="auto"/>
        <w:left w:val="none" w:sz="0" w:space="0" w:color="auto"/>
        <w:bottom w:val="none" w:sz="0" w:space="0" w:color="auto"/>
        <w:right w:val="none" w:sz="0" w:space="0" w:color="auto"/>
      </w:divBdr>
    </w:div>
    <w:div w:id="1338339677">
      <w:bodyDiv w:val="1"/>
      <w:marLeft w:val="0"/>
      <w:marRight w:val="0"/>
      <w:marTop w:val="0"/>
      <w:marBottom w:val="0"/>
      <w:divBdr>
        <w:top w:val="none" w:sz="0" w:space="0" w:color="auto"/>
        <w:left w:val="none" w:sz="0" w:space="0" w:color="auto"/>
        <w:bottom w:val="none" w:sz="0" w:space="0" w:color="auto"/>
        <w:right w:val="none" w:sz="0" w:space="0" w:color="auto"/>
      </w:divBdr>
    </w:div>
    <w:div w:id="1338457288">
      <w:bodyDiv w:val="1"/>
      <w:marLeft w:val="0"/>
      <w:marRight w:val="0"/>
      <w:marTop w:val="0"/>
      <w:marBottom w:val="0"/>
      <w:divBdr>
        <w:top w:val="none" w:sz="0" w:space="0" w:color="auto"/>
        <w:left w:val="none" w:sz="0" w:space="0" w:color="auto"/>
        <w:bottom w:val="none" w:sz="0" w:space="0" w:color="auto"/>
        <w:right w:val="none" w:sz="0" w:space="0" w:color="auto"/>
      </w:divBdr>
    </w:div>
    <w:div w:id="1338457310">
      <w:bodyDiv w:val="1"/>
      <w:marLeft w:val="0"/>
      <w:marRight w:val="0"/>
      <w:marTop w:val="0"/>
      <w:marBottom w:val="0"/>
      <w:divBdr>
        <w:top w:val="none" w:sz="0" w:space="0" w:color="auto"/>
        <w:left w:val="none" w:sz="0" w:space="0" w:color="auto"/>
        <w:bottom w:val="none" w:sz="0" w:space="0" w:color="auto"/>
        <w:right w:val="none" w:sz="0" w:space="0" w:color="auto"/>
      </w:divBdr>
    </w:div>
    <w:div w:id="1338771297">
      <w:bodyDiv w:val="1"/>
      <w:marLeft w:val="0"/>
      <w:marRight w:val="0"/>
      <w:marTop w:val="0"/>
      <w:marBottom w:val="0"/>
      <w:divBdr>
        <w:top w:val="none" w:sz="0" w:space="0" w:color="auto"/>
        <w:left w:val="none" w:sz="0" w:space="0" w:color="auto"/>
        <w:bottom w:val="none" w:sz="0" w:space="0" w:color="auto"/>
        <w:right w:val="none" w:sz="0" w:space="0" w:color="auto"/>
      </w:divBdr>
    </w:div>
    <w:div w:id="1339040015">
      <w:bodyDiv w:val="1"/>
      <w:marLeft w:val="0"/>
      <w:marRight w:val="0"/>
      <w:marTop w:val="0"/>
      <w:marBottom w:val="0"/>
      <w:divBdr>
        <w:top w:val="none" w:sz="0" w:space="0" w:color="auto"/>
        <w:left w:val="none" w:sz="0" w:space="0" w:color="auto"/>
        <w:bottom w:val="none" w:sz="0" w:space="0" w:color="auto"/>
        <w:right w:val="none" w:sz="0" w:space="0" w:color="auto"/>
      </w:divBdr>
    </w:div>
    <w:div w:id="1339114586">
      <w:bodyDiv w:val="1"/>
      <w:marLeft w:val="0"/>
      <w:marRight w:val="0"/>
      <w:marTop w:val="0"/>
      <w:marBottom w:val="0"/>
      <w:divBdr>
        <w:top w:val="none" w:sz="0" w:space="0" w:color="auto"/>
        <w:left w:val="none" w:sz="0" w:space="0" w:color="auto"/>
        <w:bottom w:val="none" w:sz="0" w:space="0" w:color="auto"/>
        <w:right w:val="none" w:sz="0" w:space="0" w:color="auto"/>
      </w:divBdr>
    </w:div>
    <w:div w:id="1339652139">
      <w:bodyDiv w:val="1"/>
      <w:marLeft w:val="0"/>
      <w:marRight w:val="0"/>
      <w:marTop w:val="0"/>
      <w:marBottom w:val="0"/>
      <w:divBdr>
        <w:top w:val="none" w:sz="0" w:space="0" w:color="auto"/>
        <w:left w:val="none" w:sz="0" w:space="0" w:color="auto"/>
        <w:bottom w:val="none" w:sz="0" w:space="0" w:color="auto"/>
        <w:right w:val="none" w:sz="0" w:space="0" w:color="auto"/>
      </w:divBdr>
    </w:div>
    <w:div w:id="1339774313">
      <w:bodyDiv w:val="1"/>
      <w:marLeft w:val="0"/>
      <w:marRight w:val="0"/>
      <w:marTop w:val="0"/>
      <w:marBottom w:val="0"/>
      <w:divBdr>
        <w:top w:val="none" w:sz="0" w:space="0" w:color="auto"/>
        <w:left w:val="none" w:sz="0" w:space="0" w:color="auto"/>
        <w:bottom w:val="none" w:sz="0" w:space="0" w:color="auto"/>
        <w:right w:val="none" w:sz="0" w:space="0" w:color="auto"/>
      </w:divBdr>
    </w:div>
    <w:div w:id="1339842574">
      <w:bodyDiv w:val="1"/>
      <w:marLeft w:val="0"/>
      <w:marRight w:val="0"/>
      <w:marTop w:val="0"/>
      <w:marBottom w:val="0"/>
      <w:divBdr>
        <w:top w:val="none" w:sz="0" w:space="0" w:color="auto"/>
        <w:left w:val="none" w:sz="0" w:space="0" w:color="auto"/>
        <w:bottom w:val="none" w:sz="0" w:space="0" w:color="auto"/>
        <w:right w:val="none" w:sz="0" w:space="0" w:color="auto"/>
      </w:divBdr>
    </w:div>
    <w:div w:id="1340086602">
      <w:bodyDiv w:val="1"/>
      <w:marLeft w:val="0"/>
      <w:marRight w:val="0"/>
      <w:marTop w:val="0"/>
      <w:marBottom w:val="0"/>
      <w:divBdr>
        <w:top w:val="none" w:sz="0" w:space="0" w:color="auto"/>
        <w:left w:val="none" w:sz="0" w:space="0" w:color="auto"/>
        <w:bottom w:val="none" w:sz="0" w:space="0" w:color="auto"/>
        <w:right w:val="none" w:sz="0" w:space="0" w:color="auto"/>
      </w:divBdr>
    </w:div>
    <w:div w:id="1340422786">
      <w:bodyDiv w:val="1"/>
      <w:marLeft w:val="0"/>
      <w:marRight w:val="0"/>
      <w:marTop w:val="0"/>
      <w:marBottom w:val="0"/>
      <w:divBdr>
        <w:top w:val="none" w:sz="0" w:space="0" w:color="auto"/>
        <w:left w:val="none" w:sz="0" w:space="0" w:color="auto"/>
        <w:bottom w:val="none" w:sz="0" w:space="0" w:color="auto"/>
        <w:right w:val="none" w:sz="0" w:space="0" w:color="auto"/>
      </w:divBdr>
    </w:div>
    <w:div w:id="1340545061">
      <w:bodyDiv w:val="1"/>
      <w:marLeft w:val="0"/>
      <w:marRight w:val="0"/>
      <w:marTop w:val="0"/>
      <w:marBottom w:val="0"/>
      <w:divBdr>
        <w:top w:val="none" w:sz="0" w:space="0" w:color="auto"/>
        <w:left w:val="none" w:sz="0" w:space="0" w:color="auto"/>
        <w:bottom w:val="none" w:sz="0" w:space="0" w:color="auto"/>
        <w:right w:val="none" w:sz="0" w:space="0" w:color="auto"/>
      </w:divBdr>
    </w:div>
    <w:div w:id="1340889726">
      <w:bodyDiv w:val="1"/>
      <w:marLeft w:val="0"/>
      <w:marRight w:val="0"/>
      <w:marTop w:val="0"/>
      <w:marBottom w:val="0"/>
      <w:divBdr>
        <w:top w:val="none" w:sz="0" w:space="0" w:color="auto"/>
        <w:left w:val="none" w:sz="0" w:space="0" w:color="auto"/>
        <w:bottom w:val="none" w:sz="0" w:space="0" w:color="auto"/>
        <w:right w:val="none" w:sz="0" w:space="0" w:color="auto"/>
      </w:divBdr>
    </w:div>
    <w:div w:id="1341660588">
      <w:bodyDiv w:val="1"/>
      <w:marLeft w:val="0"/>
      <w:marRight w:val="0"/>
      <w:marTop w:val="0"/>
      <w:marBottom w:val="0"/>
      <w:divBdr>
        <w:top w:val="none" w:sz="0" w:space="0" w:color="auto"/>
        <w:left w:val="none" w:sz="0" w:space="0" w:color="auto"/>
        <w:bottom w:val="none" w:sz="0" w:space="0" w:color="auto"/>
        <w:right w:val="none" w:sz="0" w:space="0" w:color="auto"/>
      </w:divBdr>
    </w:div>
    <w:div w:id="1342052480">
      <w:bodyDiv w:val="1"/>
      <w:marLeft w:val="0"/>
      <w:marRight w:val="0"/>
      <w:marTop w:val="0"/>
      <w:marBottom w:val="0"/>
      <w:divBdr>
        <w:top w:val="none" w:sz="0" w:space="0" w:color="auto"/>
        <w:left w:val="none" w:sz="0" w:space="0" w:color="auto"/>
        <w:bottom w:val="none" w:sz="0" w:space="0" w:color="auto"/>
        <w:right w:val="none" w:sz="0" w:space="0" w:color="auto"/>
      </w:divBdr>
    </w:div>
    <w:div w:id="1342396215">
      <w:bodyDiv w:val="1"/>
      <w:marLeft w:val="0"/>
      <w:marRight w:val="0"/>
      <w:marTop w:val="0"/>
      <w:marBottom w:val="0"/>
      <w:divBdr>
        <w:top w:val="none" w:sz="0" w:space="0" w:color="auto"/>
        <w:left w:val="none" w:sz="0" w:space="0" w:color="auto"/>
        <w:bottom w:val="none" w:sz="0" w:space="0" w:color="auto"/>
        <w:right w:val="none" w:sz="0" w:space="0" w:color="auto"/>
      </w:divBdr>
    </w:div>
    <w:div w:id="1342512475">
      <w:bodyDiv w:val="1"/>
      <w:marLeft w:val="0"/>
      <w:marRight w:val="0"/>
      <w:marTop w:val="0"/>
      <w:marBottom w:val="0"/>
      <w:divBdr>
        <w:top w:val="none" w:sz="0" w:space="0" w:color="auto"/>
        <w:left w:val="none" w:sz="0" w:space="0" w:color="auto"/>
        <w:bottom w:val="none" w:sz="0" w:space="0" w:color="auto"/>
        <w:right w:val="none" w:sz="0" w:space="0" w:color="auto"/>
      </w:divBdr>
    </w:div>
    <w:div w:id="1342704048">
      <w:bodyDiv w:val="1"/>
      <w:marLeft w:val="0"/>
      <w:marRight w:val="0"/>
      <w:marTop w:val="0"/>
      <w:marBottom w:val="0"/>
      <w:divBdr>
        <w:top w:val="none" w:sz="0" w:space="0" w:color="auto"/>
        <w:left w:val="none" w:sz="0" w:space="0" w:color="auto"/>
        <w:bottom w:val="none" w:sz="0" w:space="0" w:color="auto"/>
        <w:right w:val="none" w:sz="0" w:space="0" w:color="auto"/>
      </w:divBdr>
    </w:div>
    <w:div w:id="1342706588">
      <w:bodyDiv w:val="1"/>
      <w:marLeft w:val="0"/>
      <w:marRight w:val="0"/>
      <w:marTop w:val="0"/>
      <w:marBottom w:val="0"/>
      <w:divBdr>
        <w:top w:val="none" w:sz="0" w:space="0" w:color="auto"/>
        <w:left w:val="none" w:sz="0" w:space="0" w:color="auto"/>
        <w:bottom w:val="none" w:sz="0" w:space="0" w:color="auto"/>
        <w:right w:val="none" w:sz="0" w:space="0" w:color="auto"/>
      </w:divBdr>
    </w:div>
    <w:div w:id="1342971758">
      <w:bodyDiv w:val="1"/>
      <w:marLeft w:val="0"/>
      <w:marRight w:val="0"/>
      <w:marTop w:val="0"/>
      <w:marBottom w:val="0"/>
      <w:divBdr>
        <w:top w:val="none" w:sz="0" w:space="0" w:color="auto"/>
        <w:left w:val="none" w:sz="0" w:space="0" w:color="auto"/>
        <w:bottom w:val="none" w:sz="0" w:space="0" w:color="auto"/>
        <w:right w:val="none" w:sz="0" w:space="0" w:color="auto"/>
      </w:divBdr>
    </w:div>
    <w:div w:id="1342973533">
      <w:bodyDiv w:val="1"/>
      <w:marLeft w:val="0"/>
      <w:marRight w:val="0"/>
      <w:marTop w:val="0"/>
      <w:marBottom w:val="0"/>
      <w:divBdr>
        <w:top w:val="none" w:sz="0" w:space="0" w:color="auto"/>
        <w:left w:val="none" w:sz="0" w:space="0" w:color="auto"/>
        <w:bottom w:val="none" w:sz="0" w:space="0" w:color="auto"/>
        <w:right w:val="none" w:sz="0" w:space="0" w:color="auto"/>
      </w:divBdr>
    </w:div>
    <w:div w:id="1343581048">
      <w:bodyDiv w:val="1"/>
      <w:marLeft w:val="0"/>
      <w:marRight w:val="0"/>
      <w:marTop w:val="0"/>
      <w:marBottom w:val="0"/>
      <w:divBdr>
        <w:top w:val="none" w:sz="0" w:space="0" w:color="auto"/>
        <w:left w:val="none" w:sz="0" w:space="0" w:color="auto"/>
        <w:bottom w:val="none" w:sz="0" w:space="0" w:color="auto"/>
        <w:right w:val="none" w:sz="0" w:space="0" w:color="auto"/>
      </w:divBdr>
    </w:div>
    <w:div w:id="1343585824">
      <w:bodyDiv w:val="1"/>
      <w:marLeft w:val="0"/>
      <w:marRight w:val="0"/>
      <w:marTop w:val="0"/>
      <w:marBottom w:val="0"/>
      <w:divBdr>
        <w:top w:val="none" w:sz="0" w:space="0" w:color="auto"/>
        <w:left w:val="none" w:sz="0" w:space="0" w:color="auto"/>
        <w:bottom w:val="none" w:sz="0" w:space="0" w:color="auto"/>
        <w:right w:val="none" w:sz="0" w:space="0" w:color="auto"/>
      </w:divBdr>
    </w:div>
    <w:div w:id="1343630714">
      <w:bodyDiv w:val="1"/>
      <w:marLeft w:val="0"/>
      <w:marRight w:val="0"/>
      <w:marTop w:val="0"/>
      <w:marBottom w:val="0"/>
      <w:divBdr>
        <w:top w:val="none" w:sz="0" w:space="0" w:color="auto"/>
        <w:left w:val="none" w:sz="0" w:space="0" w:color="auto"/>
        <w:bottom w:val="none" w:sz="0" w:space="0" w:color="auto"/>
        <w:right w:val="none" w:sz="0" w:space="0" w:color="auto"/>
      </w:divBdr>
    </w:div>
    <w:div w:id="1344017865">
      <w:bodyDiv w:val="1"/>
      <w:marLeft w:val="0"/>
      <w:marRight w:val="0"/>
      <w:marTop w:val="0"/>
      <w:marBottom w:val="0"/>
      <w:divBdr>
        <w:top w:val="none" w:sz="0" w:space="0" w:color="auto"/>
        <w:left w:val="none" w:sz="0" w:space="0" w:color="auto"/>
        <w:bottom w:val="none" w:sz="0" w:space="0" w:color="auto"/>
        <w:right w:val="none" w:sz="0" w:space="0" w:color="auto"/>
      </w:divBdr>
    </w:div>
    <w:div w:id="1345395578">
      <w:bodyDiv w:val="1"/>
      <w:marLeft w:val="0"/>
      <w:marRight w:val="0"/>
      <w:marTop w:val="0"/>
      <w:marBottom w:val="0"/>
      <w:divBdr>
        <w:top w:val="none" w:sz="0" w:space="0" w:color="auto"/>
        <w:left w:val="none" w:sz="0" w:space="0" w:color="auto"/>
        <w:bottom w:val="none" w:sz="0" w:space="0" w:color="auto"/>
        <w:right w:val="none" w:sz="0" w:space="0" w:color="auto"/>
      </w:divBdr>
    </w:div>
    <w:div w:id="1345401902">
      <w:bodyDiv w:val="1"/>
      <w:marLeft w:val="0"/>
      <w:marRight w:val="0"/>
      <w:marTop w:val="0"/>
      <w:marBottom w:val="0"/>
      <w:divBdr>
        <w:top w:val="none" w:sz="0" w:space="0" w:color="auto"/>
        <w:left w:val="none" w:sz="0" w:space="0" w:color="auto"/>
        <w:bottom w:val="none" w:sz="0" w:space="0" w:color="auto"/>
        <w:right w:val="none" w:sz="0" w:space="0" w:color="auto"/>
      </w:divBdr>
    </w:div>
    <w:div w:id="1345860028">
      <w:bodyDiv w:val="1"/>
      <w:marLeft w:val="0"/>
      <w:marRight w:val="0"/>
      <w:marTop w:val="0"/>
      <w:marBottom w:val="0"/>
      <w:divBdr>
        <w:top w:val="none" w:sz="0" w:space="0" w:color="auto"/>
        <w:left w:val="none" w:sz="0" w:space="0" w:color="auto"/>
        <w:bottom w:val="none" w:sz="0" w:space="0" w:color="auto"/>
        <w:right w:val="none" w:sz="0" w:space="0" w:color="auto"/>
      </w:divBdr>
    </w:div>
    <w:div w:id="1345978869">
      <w:bodyDiv w:val="1"/>
      <w:marLeft w:val="0"/>
      <w:marRight w:val="0"/>
      <w:marTop w:val="0"/>
      <w:marBottom w:val="0"/>
      <w:divBdr>
        <w:top w:val="none" w:sz="0" w:space="0" w:color="auto"/>
        <w:left w:val="none" w:sz="0" w:space="0" w:color="auto"/>
        <w:bottom w:val="none" w:sz="0" w:space="0" w:color="auto"/>
        <w:right w:val="none" w:sz="0" w:space="0" w:color="auto"/>
      </w:divBdr>
    </w:div>
    <w:div w:id="1345981554">
      <w:bodyDiv w:val="1"/>
      <w:marLeft w:val="0"/>
      <w:marRight w:val="0"/>
      <w:marTop w:val="0"/>
      <w:marBottom w:val="0"/>
      <w:divBdr>
        <w:top w:val="none" w:sz="0" w:space="0" w:color="auto"/>
        <w:left w:val="none" w:sz="0" w:space="0" w:color="auto"/>
        <w:bottom w:val="none" w:sz="0" w:space="0" w:color="auto"/>
        <w:right w:val="none" w:sz="0" w:space="0" w:color="auto"/>
      </w:divBdr>
    </w:div>
    <w:div w:id="1346246759">
      <w:bodyDiv w:val="1"/>
      <w:marLeft w:val="0"/>
      <w:marRight w:val="0"/>
      <w:marTop w:val="0"/>
      <w:marBottom w:val="0"/>
      <w:divBdr>
        <w:top w:val="none" w:sz="0" w:space="0" w:color="auto"/>
        <w:left w:val="none" w:sz="0" w:space="0" w:color="auto"/>
        <w:bottom w:val="none" w:sz="0" w:space="0" w:color="auto"/>
        <w:right w:val="none" w:sz="0" w:space="0" w:color="auto"/>
      </w:divBdr>
    </w:div>
    <w:div w:id="1347246213">
      <w:bodyDiv w:val="1"/>
      <w:marLeft w:val="0"/>
      <w:marRight w:val="0"/>
      <w:marTop w:val="0"/>
      <w:marBottom w:val="0"/>
      <w:divBdr>
        <w:top w:val="none" w:sz="0" w:space="0" w:color="auto"/>
        <w:left w:val="none" w:sz="0" w:space="0" w:color="auto"/>
        <w:bottom w:val="none" w:sz="0" w:space="0" w:color="auto"/>
        <w:right w:val="none" w:sz="0" w:space="0" w:color="auto"/>
      </w:divBdr>
    </w:div>
    <w:div w:id="1347558278">
      <w:bodyDiv w:val="1"/>
      <w:marLeft w:val="0"/>
      <w:marRight w:val="0"/>
      <w:marTop w:val="0"/>
      <w:marBottom w:val="0"/>
      <w:divBdr>
        <w:top w:val="none" w:sz="0" w:space="0" w:color="auto"/>
        <w:left w:val="none" w:sz="0" w:space="0" w:color="auto"/>
        <w:bottom w:val="none" w:sz="0" w:space="0" w:color="auto"/>
        <w:right w:val="none" w:sz="0" w:space="0" w:color="auto"/>
      </w:divBdr>
    </w:div>
    <w:div w:id="1347945766">
      <w:bodyDiv w:val="1"/>
      <w:marLeft w:val="0"/>
      <w:marRight w:val="0"/>
      <w:marTop w:val="0"/>
      <w:marBottom w:val="0"/>
      <w:divBdr>
        <w:top w:val="none" w:sz="0" w:space="0" w:color="auto"/>
        <w:left w:val="none" w:sz="0" w:space="0" w:color="auto"/>
        <w:bottom w:val="none" w:sz="0" w:space="0" w:color="auto"/>
        <w:right w:val="none" w:sz="0" w:space="0" w:color="auto"/>
      </w:divBdr>
    </w:div>
    <w:div w:id="1347949219">
      <w:bodyDiv w:val="1"/>
      <w:marLeft w:val="0"/>
      <w:marRight w:val="0"/>
      <w:marTop w:val="0"/>
      <w:marBottom w:val="0"/>
      <w:divBdr>
        <w:top w:val="none" w:sz="0" w:space="0" w:color="auto"/>
        <w:left w:val="none" w:sz="0" w:space="0" w:color="auto"/>
        <w:bottom w:val="none" w:sz="0" w:space="0" w:color="auto"/>
        <w:right w:val="none" w:sz="0" w:space="0" w:color="auto"/>
      </w:divBdr>
    </w:div>
    <w:div w:id="1348171605">
      <w:bodyDiv w:val="1"/>
      <w:marLeft w:val="0"/>
      <w:marRight w:val="0"/>
      <w:marTop w:val="0"/>
      <w:marBottom w:val="0"/>
      <w:divBdr>
        <w:top w:val="none" w:sz="0" w:space="0" w:color="auto"/>
        <w:left w:val="none" w:sz="0" w:space="0" w:color="auto"/>
        <w:bottom w:val="none" w:sz="0" w:space="0" w:color="auto"/>
        <w:right w:val="none" w:sz="0" w:space="0" w:color="auto"/>
      </w:divBdr>
    </w:div>
    <w:div w:id="1348369170">
      <w:bodyDiv w:val="1"/>
      <w:marLeft w:val="0"/>
      <w:marRight w:val="0"/>
      <w:marTop w:val="0"/>
      <w:marBottom w:val="0"/>
      <w:divBdr>
        <w:top w:val="none" w:sz="0" w:space="0" w:color="auto"/>
        <w:left w:val="none" w:sz="0" w:space="0" w:color="auto"/>
        <w:bottom w:val="none" w:sz="0" w:space="0" w:color="auto"/>
        <w:right w:val="none" w:sz="0" w:space="0" w:color="auto"/>
      </w:divBdr>
    </w:div>
    <w:div w:id="1348678454">
      <w:bodyDiv w:val="1"/>
      <w:marLeft w:val="0"/>
      <w:marRight w:val="0"/>
      <w:marTop w:val="0"/>
      <w:marBottom w:val="0"/>
      <w:divBdr>
        <w:top w:val="none" w:sz="0" w:space="0" w:color="auto"/>
        <w:left w:val="none" w:sz="0" w:space="0" w:color="auto"/>
        <w:bottom w:val="none" w:sz="0" w:space="0" w:color="auto"/>
        <w:right w:val="none" w:sz="0" w:space="0" w:color="auto"/>
      </w:divBdr>
    </w:div>
    <w:div w:id="1349259042">
      <w:bodyDiv w:val="1"/>
      <w:marLeft w:val="0"/>
      <w:marRight w:val="0"/>
      <w:marTop w:val="0"/>
      <w:marBottom w:val="0"/>
      <w:divBdr>
        <w:top w:val="none" w:sz="0" w:space="0" w:color="auto"/>
        <w:left w:val="none" w:sz="0" w:space="0" w:color="auto"/>
        <w:bottom w:val="none" w:sz="0" w:space="0" w:color="auto"/>
        <w:right w:val="none" w:sz="0" w:space="0" w:color="auto"/>
      </w:divBdr>
    </w:div>
    <w:div w:id="1349284751">
      <w:bodyDiv w:val="1"/>
      <w:marLeft w:val="0"/>
      <w:marRight w:val="0"/>
      <w:marTop w:val="0"/>
      <w:marBottom w:val="0"/>
      <w:divBdr>
        <w:top w:val="none" w:sz="0" w:space="0" w:color="auto"/>
        <w:left w:val="none" w:sz="0" w:space="0" w:color="auto"/>
        <w:bottom w:val="none" w:sz="0" w:space="0" w:color="auto"/>
        <w:right w:val="none" w:sz="0" w:space="0" w:color="auto"/>
      </w:divBdr>
    </w:div>
    <w:div w:id="1350066930">
      <w:bodyDiv w:val="1"/>
      <w:marLeft w:val="0"/>
      <w:marRight w:val="0"/>
      <w:marTop w:val="0"/>
      <w:marBottom w:val="0"/>
      <w:divBdr>
        <w:top w:val="none" w:sz="0" w:space="0" w:color="auto"/>
        <w:left w:val="none" w:sz="0" w:space="0" w:color="auto"/>
        <w:bottom w:val="none" w:sz="0" w:space="0" w:color="auto"/>
        <w:right w:val="none" w:sz="0" w:space="0" w:color="auto"/>
      </w:divBdr>
    </w:div>
    <w:div w:id="1350376961">
      <w:bodyDiv w:val="1"/>
      <w:marLeft w:val="0"/>
      <w:marRight w:val="0"/>
      <w:marTop w:val="0"/>
      <w:marBottom w:val="0"/>
      <w:divBdr>
        <w:top w:val="none" w:sz="0" w:space="0" w:color="auto"/>
        <w:left w:val="none" w:sz="0" w:space="0" w:color="auto"/>
        <w:bottom w:val="none" w:sz="0" w:space="0" w:color="auto"/>
        <w:right w:val="none" w:sz="0" w:space="0" w:color="auto"/>
      </w:divBdr>
    </w:div>
    <w:div w:id="1350453685">
      <w:bodyDiv w:val="1"/>
      <w:marLeft w:val="0"/>
      <w:marRight w:val="0"/>
      <w:marTop w:val="0"/>
      <w:marBottom w:val="0"/>
      <w:divBdr>
        <w:top w:val="none" w:sz="0" w:space="0" w:color="auto"/>
        <w:left w:val="none" w:sz="0" w:space="0" w:color="auto"/>
        <w:bottom w:val="none" w:sz="0" w:space="0" w:color="auto"/>
        <w:right w:val="none" w:sz="0" w:space="0" w:color="auto"/>
      </w:divBdr>
    </w:div>
    <w:div w:id="1350833593">
      <w:bodyDiv w:val="1"/>
      <w:marLeft w:val="0"/>
      <w:marRight w:val="0"/>
      <w:marTop w:val="0"/>
      <w:marBottom w:val="0"/>
      <w:divBdr>
        <w:top w:val="none" w:sz="0" w:space="0" w:color="auto"/>
        <w:left w:val="none" w:sz="0" w:space="0" w:color="auto"/>
        <w:bottom w:val="none" w:sz="0" w:space="0" w:color="auto"/>
        <w:right w:val="none" w:sz="0" w:space="0" w:color="auto"/>
      </w:divBdr>
    </w:div>
    <w:div w:id="1350838299">
      <w:bodyDiv w:val="1"/>
      <w:marLeft w:val="0"/>
      <w:marRight w:val="0"/>
      <w:marTop w:val="0"/>
      <w:marBottom w:val="0"/>
      <w:divBdr>
        <w:top w:val="none" w:sz="0" w:space="0" w:color="auto"/>
        <w:left w:val="none" w:sz="0" w:space="0" w:color="auto"/>
        <w:bottom w:val="none" w:sz="0" w:space="0" w:color="auto"/>
        <w:right w:val="none" w:sz="0" w:space="0" w:color="auto"/>
      </w:divBdr>
    </w:div>
    <w:div w:id="1351250937">
      <w:bodyDiv w:val="1"/>
      <w:marLeft w:val="0"/>
      <w:marRight w:val="0"/>
      <w:marTop w:val="0"/>
      <w:marBottom w:val="0"/>
      <w:divBdr>
        <w:top w:val="none" w:sz="0" w:space="0" w:color="auto"/>
        <w:left w:val="none" w:sz="0" w:space="0" w:color="auto"/>
        <w:bottom w:val="none" w:sz="0" w:space="0" w:color="auto"/>
        <w:right w:val="none" w:sz="0" w:space="0" w:color="auto"/>
      </w:divBdr>
    </w:div>
    <w:div w:id="1351419336">
      <w:bodyDiv w:val="1"/>
      <w:marLeft w:val="0"/>
      <w:marRight w:val="0"/>
      <w:marTop w:val="0"/>
      <w:marBottom w:val="0"/>
      <w:divBdr>
        <w:top w:val="none" w:sz="0" w:space="0" w:color="auto"/>
        <w:left w:val="none" w:sz="0" w:space="0" w:color="auto"/>
        <w:bottom w:val="none" w:sz="0" w:space="0" w:color="auto"/>
        <w:right w:val="none" w:sz="0" w:space="0" w:color="auto"/>
      </w:divBdr>
    </w:div>
    <w:div w:id="1351563990">
      <w:bodyDiv w:val="1"/>
      <w:marLeft w:val="0"/>
      <w:marRight w:val="0"/>
      <w:marTop w:val="0"/>
      <w:marBottom w:val="0"/>
      <w:divBdr>
        <w:top w:val="none" w:sz="0" w:space="0" w:color="auto"/>
        <w:left w:val="none" w:sz="0" w:space="0" w:color="auto"/>
        <w:bottom w:val="none" w:sz="0" w:space="0" w:color="auto"/>
        <w:right w:val="none" w:sz="0" w:space="0" w:color="auto"/>
      </w:divBdr>
    </w:div>
    <w:div w:id="1351638952">
      <w:bodyDiv w:val="1"/>
      <w:marLeft w:val="0"/>
      <w:marRight w:val="0"/>
      <w:marTop w:val="0"/>
      <w:marBottom w:val="0"/>
      <w:divBdr>
        <w:top w:val="none" w:sz="0" w:space="0" w:color="auto"/>
        <w:left w:val="none" w:sz="0" w:space="0" w:color="auto"/>
        <w:bottom w:val="none" w:sz="0" w:space="0" w:color="auto"/>
        <w:right w:val="none" w:sz="0" w:space="0" w:color="auto"/>
      </w:divBdr>
    </w:div>
    <w:div w:id="1351756858">
      <w:bodyDiv w:val="1"/>
      <w:marLeft w:val="0"/>
      <w:marRight w:val="0"/>
      <w:marTop w:val="0"/>
      <w:marBottom w:val="0"/>
      <w:divBdr>
        <w:top w:val="none" w:sz="0" w:space="0" w:color="auto"/>
        <w:left w:val="none" w:sz="0" w:space="0" w:color="auto"/>
        <w:bottom w:val="none" w:sz="0" w:space="0" w:color="auto"/>
        <w:right w:val="none" w:sz="0" w:space="0" w:color="auto"/>
      </w:divBdr>
    </w:div>
    <w:div w:id="1351905641">
      <w:bodyDiv w:val="1"/>
      <w:marLeft w:val="0"/>
      <w:marRight w:val="0"/>
      <w:marTop w:val="0"/>
      <w:marBottom w:val="0"/>
      <w:divBdr>
        <w:top w:val="none" w:sz="0" w:space="0" w:color="auto"/>
        <w:left w:val="none" w:sz="0" w:space="0" w:color="auto"/>
        <w:bottom w:val="none" w:sz="0" w:space="0" w:color="auto"/>
        <w:right w:val="none" w:sz="0" w:space="0" w:color="auto"/>
      </w:divBdr>
    </w:div>
    <w:div w:id="1352759535">
      <w:bodyDiv w:val="1"/>
      <w:marLeft w:val="0"/>
      <w:marRight w:val="0"/>
      <w:marTop w:val="0"/>
      <w:marBottom w:val="0"/>
      <w:divBdr>
        <w:top w:val="none" w:sz="0" w:space="0" w:color="auto"/>
        <w:left w:val="none" w:sz="0" w:space="0" w:color="auto"/>
        <w:bottom w:val="none" w:sz="0" w:space="0" w:color="auto"/>
        <w:right w:val="none" w:sz="0" w:space="0" w:color="auto"/>
      </w:divBdr>
    </w:div>
    <w:div w:id="1352798006">
      <w:bodyDiv w:val="1"/>
      <w:marLeft w:val="0"/>
      <w:marRight w:val="0"/>
      <w:marTop w:val="0"/>
      <w:marBottom w:val="0"/>
      <w:divBdr>
        <w:top w:val="none" w:sz="0" w:space="0" w:color="auto"/>
        <w:left w:val="none" w:sz="0" w:space="0" w:color="auto"/>
        <w:bottom w:val="none" w:sz="0" w:space="0" w:color="auto"/>
        <w:right w:val="none" w:sz="0" w:space="0" w:color="auto"/>
      </w:divBdr>
    </w:div>
    <w:div w:id="1352872719">
      <w:bodyDiv w:val="1"/>
      <w:marLeft w:val="0"/>
      <w:marRight w:val="0"/>
      <w:marTop w:val="0"/>
      <w:marBottom w:val="0"/>
      <w:divBdr>
        <w:top w:val="none" w:sz="0" w:space="0" w:color="auto"/>
        <w:left w:val="none" w:sz="0" w:space="0" w:color="auto"/>
        <w:bottom w:val="none" w:sz="0" w:space="0" w:color="auto"/>
        <w:right w:val="none" w:sz="0" w:space="0" w:color="auto"/>
      </w:divBdr>
    </w:div>
    <w:div w:id="1352954631">
      <w:bodyDiv w:val="1"/>
      <w:marLeft w:val="0"/>
      <w:marRight w:val="0"/>
      <w:marTop w:val="0"/>
      <w:marBottom w:val="0"/>
      <w:divBdr>
        <w:top w:val="none" w:sz="0" w:space="0" w:color="auto"/>
        <w:left w:val="none" w:sz="0" w:space="0" w:color="auto"/>
        <w:bottom w:val="none" w:sz="0" w:space="0" w:color="auto"/>
        <w:right w:val="none" w:sz="0" w:space="0" w:color="auto"/>
      </w:divBdr>
    </w:div>
    <w:div w:id="1353343099">
      <w:bodyDiv w:val="1"/>
      <w:marLeft w:val="0"/>
      <w:marRight w:val="0"/>
      <w:marTop w:val="0"/>
      <w:marBottom w:val="0"/>
      <w:divBdr>
        <w:top w:val="none" w:sz="0" w:space="0" w:color="auto"/>
        <w:left w:val="none" w:sz="0" w:space="0" w:color="auto"/>
        <w:bottom w:val="none" w:sz="0" w:space="0" w:color="auto"/>
        <w:right w:val="none" w:sz="0" w:space="0" w:color="auto"/>
      </w:divBdr>
    </w:div>
    <w:div w:id="1353455897">
      <w:bodyDiv w:val="1"/>
      <w:marLeft w:val="0"/>
      <w:marRight w:val="0"/>
      <w:marTop w:val="0"/>
      <w:marBottom w:val="0"/>
      <w:divBdr>
        <w:top w:val="none" w:sz="0" w:space="0" w:color="auto"/>
        <w:left w:val="none" w:sz="0" w:space="0" w:color="auto"/>
        <w:bottom w:val="none" w:sz="0" w:space="0" w:color="auto"/>
        <w:right w:val="none" w:sz="0" w:space="0" w:color="auto"/>
      </w:divBdr>
    </w:div>
    <w:div w:id="1354305215">
      <w:bodyDiv w:val="1"/>
      <w:marLeft w:val="0"/>
      <w:marRight w:val="0"/>
      <w:marTop w:val="0"/>
      <w:marBottom w:val="0"/>
      <w:divBdr>
        <w:top w:val="none" w:sz="0" w:space="0" w:color="auto"/>
        <w:left w:val="none" w:sz="0" w:space="0" w:color="auto"/>
        <w:bottom w:val="none" w:sz="0" w:space="0" w:color="auto"/>
        <w:right w:val="none" w:sz="0" w:space="0" w:color="auto"/>
      </w:divBdr>
    </w:div>
    <w:div w:id="1354962961">
      <w:bodyDiv w:val="1"/>
      <w:marLeft w:val="0"/>
      <w:marRight w:val="0"/>
      <w:marTop w:val="0"/>
      <w:marBottom w:val="0"/>
      <w:divBdr>
        <w:top w:val="none" w:sz="0" w:space="0" w:color="auto"/>
        <w:left w:val="none" w:sz="0" w:space="0" w:color="auto"/>
        <w:bottom w:val="none" w:sz="0" w:space="0" w:color="auto"/>
        <w:right w:val="none" w:sz="0" w:space="0" w:color="auto"/>
      </w:divBdr>
    </w:div>
    <w:div w:id="1354964065">
      <w:bodyDiv w:val="1"/>
      <w:marLeft w:val="0"/>
      <w:marRight w:val="0"/>
      <w:marTop w:val="0"/>
      <w:marBottom w:val="0"/>
      <w:divBdr>
        <w:top w:val="none" w:sz="0" w:space="0" w:color="auto"/>
        <w:left w:val="none" w:sz="0" w:space="0" w:color="auto"/>
        <w:bottom w:val="none" w:sz="0" w:space="0" w:color="auto"/>
        <w:right w:val="none" w:sz="0" w:space="0" w:color="auto"/>
      </w:divBdr>
    </w:div>
    <w:div w:id="1355031868">
      <w:bodyDiv w:val="1"/>
      <w:marLeft w:val="0"/>
      <w:marRight w:val="0"/>
      <w:marTop w:val="0"/>
      <w:marBottom w:val="0"/>
      <w:divBdr>
        <w:top w:val="none" w:sz="0" w:space="0" w:color="auto"/>
        <w:left w:val="none" w:sz="0" w:space="0" w:color="auto"/>
        <w:bottom w:val="none" w:sz="0" w:space="0" w:color="auto"/>
        <w:right w:val="none" w:sz="0" w:space="0" w:color="auto"/>
      </w:divBdr>
    </w:div>
    <w:div w:id="1355156796">
      <w:bodyDiv w:val="1"/>
      <w:marLeft w:val="0"/>
      <w:marRight w:val="0"/>
      <w:marTop w:val="0"/>
      <w:marBottom w:val="0"/>
      <w:divBdr>
        <w:top w:val="none" w:sz="0" w:space="0" w:color="auto"/>
        <w:left w:val="none" w:sz="0" w:space="0" w:color="auto"/>
        <w:bottom w:val="none" w:sz="0" w:space="0" w:color="auto"/>
        <w:right w:val="none" w:sz="0" w:space="0" w:color="auto"/>
      </w:divBdr>
    </w:div>
    <w:div w:id="1355422530">
      <w:bodyDiv w:val="1"/>
      <w:marLeft w:val="0"/>
      <w:marRight w:val="0"/>
      <w:marTop w:val="0"/>
      <w:marBottom w:val="0"/>
      <w:divBdr>
        <w:top w:val="none" w:sz="0" w:space="0" w:color="auto"/>
        <w:left w:val="none" w:sz="0" w:space="0" w:color="auto"/>
        <w:bottom w:val="none" w:sz="0" w:space="0" w:color="auto"/>
        <w:right w:val="none" w:sz="0" w:space="0" w:color="auto"/>
      </w:divBdr>
    </w:div>
    <w:div w:id="1355500706">
      <w:bodyDiv w:val="1"/>
      <w:marLeft w:val="0"/>
      <w:marRight w:val="0"/>
      <w:marTop w:val="0"/>
      <w:marBottom w:val="0"/>
      <w:divBdr>
        <w:top w:val="none" w:sz="0" w:space="0" w:color="auto"/>
        <w:left w:val="none" w:sz="0" w:space="0" w:color="auto"/>
        <w:bottom w:val="none" w:sz="0" w:space="0" w:color="auto"/>
        <w:right w:val="none" w:sz="0" w:space="0" w:color="auto"/>
      </w:divBdr>
    </w:div>
    <w:div w:id="1355613903">
      <w:bodyDiv w:val="1"/>
      <w:marLeft w:val="0"/>
      <w:marRight w:val="0"/>
      <w:marTop w:val="0"/>
      <w:marBottom w:val="0"/>
      <w:divBdr>
        <w:top w:val="none" w:sz="0" w:space="0" w:color="auto"/>
        <w:left w:val="none" w:sz="0" w:space="0" w:color="auto"/>
        <w:bottom w:val="none" w:sz="0" w:space="0" w:color="auto"/>
        <w:right w:val="none" w:sz="0" w:space="0" w:color="auto"/>
      </w:divBdr>
    </w:div>
    <w:div w:id="1355692965">
      <w:bodyDiv w:val="1"/>
      <w:marLeft w:val="0"/>
      <w:marRight w:val="0"/>
      <w:marTop w:val="0"/>
      <w:marBottom w:val="0"/>
      <w:divBdr>
        <w:top w:val="none" w:sz="0" w:space="0" w:color="auto"/>
        <w:left w:val="none" w:sz="0" w:space="0" w:color="auto"/>
        <w:bottom w:val="none" w:sz="0" w:space="0" w:color="auto"/>
        <w:right w:val="none" w:sz="0" w:space="0" w:color="auto"/>
      </w:divBdr>
    </w:div>
    <w:div w:id="1355956108">
      <w:bodyDiv w:val="1"/>
      <w:marLeft w:val="0"/>
      <w:marRight w:val="0"/>
      <w:marTop w:val="0"/>
      <w:marBottom w:val="0"/>
      <w:divBdr>
        <w:top w:val="none" w:sz="0" w:space="0" w:color="auto"/>
        <w:left w:val="none" w:sz="0" w:space="0" w:color="auto"/>
        <w:bottom w:val="none" w:sz="0" w:space="0" w:color="auto"/>
        <w:right w:val="none" w:sz="0" w:space="0" w:color="auto"/>
      </w:divBdr>
    </w:div>
    <w:div w:id="1356079497">
      <w:bodyDiv w:val="1"/>
      <w:marLeft w:val="0"/>
      <w:marRight w:val="0"/>
      <w:marTop w:val="0"/>
      <w:marBottom w:val="0"/>
      <w:divBdr>
        <w:top w:val="none" w:sz="0" w:space="0" w:color="auto"/>
        <w:left w:val="none" w:sz="0" w:space="0" w:color="auto"/>
        <w:bottom w:val="none" w:sz="0" w:space="0" w:color="auto"/>
        <w:right w:val="none" w:sz="0" w:space="0" w:color="auto"/>
      </w:divBdr>
    </w:div>
    <w:div w:id="1356618075">
      <w:bodyDiv w:val="1"/>
      <w:marLeft w:val="0"/>
      <w:marRight w:val="0"/>
      <w:marTop w:val="0"/>
      <w:marBottom w:val="0"/>
      <w:divBdr>
        <w:top w:val="none" w:sz="0" w:space="0" w:color="auto"/>
        <w:left w:val="none" w:sz="0" w:space="0" w:color="auto"/>
        <w:bottom w:val="none" w:sz="0" w:space="0" w:color="auto"/>
        <w:right w:val="none" w:sz="0" w:space="0" w:color="auto"/>
      </w:divBdr>
    </w:div>
    <w:div w:id="1356620144">
      <w:bodyDiv w:val="1"/>
      <w:marLeft w:val="0"/>
      <w:marRight w:val="0"/>
      <w:marTop w:val="0"/>
      <w:marBottom w:val="0"/>
      <w:divBdr>
        <w:top w:val="none" w:sz="0" w:space="0" w:color="auto"/>
        <w:left w:val="none" w:sz="0" w:space="0" w:color="auto"/>
        <w:bottom w:val="none" w:sz="0" w:space="0" w:color="auto"/>
        <w:right w:val="none" w:sz="0" w:space="0" w:color="auto"/>
      </w:divBdr>
    </w:div>
    <w:div w:id="1356879710">
      <w:bodyDiv w:val="1"/>
      <w:marLeft w:val="0"/>
      <w:marRight w:val="0"/>
      <w:marTop w:val="0"/>
      <w:marBottom w:val="0"/>
      <w:divBdr>
        <w:top w:val="none" w:sz="0" w:space="0" w:color="auto"/>
        <w:left w:val="none" w:sz="0" w:space="0" w:color="auto"/>
        <w:bottom w:val="none" w:sz="0" w:space="0" w:color="auto"/>
        <w:right w:val="none" w:sz="0" w:space="0" w:color="auto"/>
      </w:divBdr>
    </w:div>
    <w:div w:id="1357073611">
      <w:bodyDiv w:val="1"/>
      <w:marLeft w:val="0"/>
      <w:marRight w:val="0"/>
      <w:marTop w:val="0"/>
      <w:marBottom w:val="0"/>
      <w:divBdr>
        <w:top w:val="none" w:sz="0" w:space="0" w:color="auto"/>
        <w:left w:val="none" w:sz="0" w:space="0" w:color="auto"/>
        <w:bottom w:val="none" w:sz="0" w:space="0" w:color="auto"/>
        <w:right w:val="none" w:sz="0" w:space="0" w:color="auto"/>
      </w:divBdr>
    </w:div>
    <w:div w:id="1357464925">
      <w:bodyDiv w:val="1"/>
      <w:marLeft w:val="0"/>
      <w:marRight w:val="0"/>
      <w:marTop w:val="0"/>
      <w:marBottom w:val="0"/>
      <w:divBdr>
        <w:top w:val="none" w:sz="0" w:space="0" w:color="auto"/>
        <w:left w:val="none" w:sz="0" w:space="0" w:color="auto"/>
        <w:bottom w:val="none" w:sz="0" w:space="0" w:color="auto"/>
        <w:right w:val="none" w:sz="0" w:space="0" w:color="auto"/>
      </w:divBdr>
    </w:div>
    <w:div w:id="1358510300">
      <w:bodyDiv w:val="1"/>
      <w:marLeft w:val="0"/>
      <w:marRight w:val="0"/>
      <w:marTop w:val="0"/>
      <w:marBottom w:val="0"/>
      <w:divBdr>
        <w:top w:val="none" w:sz="0" w:space="0" w:color="auto"/>
        <w:left w:val="none" w:sz="0" w:space="0" w:color="auto"/>
        <w:bottom w:val="none" w:sz="0" w:space="0" w:color="auto"/>
        <w:right w:val="none" w:sz="0" w:space="0" w:color="auto"/>
      </w:divBdr>
    </w:div>
    <w:div w:id="1359308261">
      <w:bodyDiv w:val="1"/>
      <w:marLeft w:val="0"/>
      <w:marRight w:val="0"/>
      <w:marTop w:val="0"/>
      <w:marBottom w:val="0"/>
      <w:divBdr>
        <w:top w:val="none" w:sz="0" w:space="0" w:color="auto"/>
        <w:left w:val="none" w:sz="0" w:space="0" w:color="auto"/>
        <w:bottom w:val="none" w:sz="0" w:space="0" w:color="auto"/>
        <w:right w:val="none" w:sz="0" w:space="0" w:color="auto"/>
      </w:divBdr>
    </w:div>
    <w:div w:id="1359550651">
      <w:bodyDiv w:val="1"/>
      <w:marLeft w:val="0"/>
      <w:marRight w:val="0"/>
      <w:marTop w:val="0"/>
      <w:marBottom w:val="0"/>
      <w:divBdr>
        <w:top w:val="none" w:sz="0" w:space="0" w:color="auto"/>
        <w:left w:val="none" w:sz="0" w:space="0" w:color="auto"/>
        <w:bottom w:val="none" w:sz="0" w:space="0" w:color="auto"/>
        <w:right w:val="none" w:sz="0" w:space="0" w:color="auto"/>
      </w:divBdr>
    </w:div>
    <w:div w:id="1359576162">
      <w:bodyDiv w:val="1"/>
      <w:marLeft w:val="0"/>
      <w:marRight w:val="0"/>
      <w:marTop w:val="0"/>
      <w:marBottom w:val="0"/>
      <w:divBdr>
        <w:top w:val="none" w:sz="0" w:space="0" w:color="auto"/>
        <w:left w:val="none" w:sz="0" w:space="0" w:color="auto"/>
        <w:bottom w:val="none" w:sz="0" w:space="0" w:color="auto"/>
        <w:right w:val="none" w:sz="0" w:space="0" w:color="auto"/>
      </w:divBdr>
    </w:div>
    <w:div w:id="1359576410">
      <w:bodyDiv w:val="1"/>
      <w:marLeft w:val="0"/>
      <w:marRight w:val="0"/>
      <w:marTop w:val="0"/>
      <w:marBottom w:val="0"/>
      <w:divBdr>
        <w:top w:val="none" w:sz="0" w:space="0" w:color="auto"/>
        <w:left w:val="none" w:sz="0" w:space="0" w:color="auto"/>
        <w:bottom w:val="none" w:sz="0" w:space="0" w:color="auto"/>
        <w:right w:val="none" w:sz="0" w:space="0" w:color="auto"/>
      </w:divBdr>
    </w:div>
    <w:div w:id="1359698049">
      <w:bodyDiv w:val="1"/>
      <w:marLeft w:val="0"/>
      <w:marRight w:val="0"/>
      <w:marTop w:val="0"/>
      <w:marBottom w:val="0"/>
      <w:divBdr>
        <w:top w:val="none" w:sz="0" w:space="0" w:color="auto"/>
        <w:left w:val="none" w:sz="0" w:space="0" w:color="auto"/>
        <w:bottom w:val="none" w:sz="0" w:space="0" w:color="auto"/>
        <w:right w:val="none" w:sz="0" w:space="0" w:color="auto"/>
      </w:divBdr>
    </w:div>
    <w:div w:id="1360274637">
      <w:bodyDiv w:val="1"/>
      <w:marLeft w:val="0"/>
      <w:marRight w:val="0"/>
      <w:marTop w:val="0"/>
      <w:marBottom w:val="0"/>
      <w:divBdr>
        <w:top w:val="none" w:sz="0" w:space="0" w:color="auto"/>
        <w:left w:val="none" w:sz="0" w:space="0" w:color="auto"/>
        <w:bottom w:val="none" w:sz="0" w:space="0" w:color="auto"/>
        <w:right w:val="none" w:sz="0" w:space="0" w:color="auto"/>
      </w:divBdr>
    </w:div>
    <w:div w:id="1360350277">
      <w:bodyDiv w:val="1"/>
      <w:marLeft w:val="0"/>
      <w:marRight w:val="0"/>
      <w:marTop w:val="0"/>
      <w:marBottom w:val="0"/>
      <w:divBdr>
        <w:top w:val="none" w:sz="0" w:space="0" w:color="auto"/>
        <w:left w:val="none" w:sz="0" w:space="0" w:color="auto"/>
        <w:bottom w:val="none" w:sz="0" w:space="0" w:color="auto"/>
        <w:right w:val="none" w:sz="0" w:space="0" w:color="auto"/>
      </w:divBdr>
    </w:div>
    <w:div w:id="1361129007">
      <w:bodyDiv w:val="1"/>
      <w:marLeft w:val="0"/>
      <w:marRight w:val="0"/>
      <w:marTop w:val="0"/>
      <w:marBottom w:val="0"/>
      <w:divBdr>
        <w:top w:val="none" w:sz="0" w:space="0" w:color="auto"/>
        <w:left w:val="none" w:sz="0" w:space="0" w:color="auto"/>
        <w:bottom w:val="none" w:sz="0" w:space="0" w:color="auto"/>
        <w:right w:val="none" w:sz="0" w:space="0" w:color="auto"/>
      </w:divBdr>
    </w:div>
    <w:div w:id="1361854041">
      <w:bodyDiv w:val="1"/>
      <w:marLeft w:val="0"/>
      <w:marRight w:val="0"/>
      <w:marTop w:val="0"/>
      <w:marBottom w:val="0"/>
      <w:divBdr>
        <w:top w:val="none" w:sz="0" w:space="0" w:color="auto"/>
        <w:left w:val="none" w:sz="0" w:space="0" w:color="auto"/>
        <w:bottom w:val="none" w:sz="0" w:space="0" w:color="auto"/>
        <w:right w:val="none" w:sz="0" w:space="0" w:color="auto"/>
      </w:divBdr>
    </w:div>
    <w:div w:id="1361977205">
      <w:bodyDiv w:val="1"/>
      <w:marLeft w:val="0"/>
      <w:marRight w:val="0"/>
      <w:marTop w:val="0"/>
      <w:marBottom w:val="0"/>
      <w:divBdr>
        <w:top w:val="none" w:sz="0" w:space="0" w:color="auto"/>
        <w:left w:val="none" w:sz="0" w:space="0" w:color="auto"/>
        <w:bottom w:val="none" w:sz="0" w:space="0" w:color="auto"/>
        <w:right w:val="none" w:sz="0" w:space="0" w:color="auto"/>
      </w:divBdr>
    </w:div>
    <w:div w:id="1362173015">
      <w:bodyDiv w:val="1"/>
      <w:marLeft w:val="0"/>
      <w:marRight w:val="0"/>
      <w:marTop w:val="0"/>
      <w:marBottom w:val="0"/>
      <w:divBdr>
        <w:top w:val="none" w:sz="0" w:space="0" w:color="auto"/>
        <w:left w:val="none" w:sz="0" w:space="0" w:color="auto"/>
        <w:bottom w:val="none" w:sz="0" w:space="0" w:color="auto"/>
        <w:right w:val="none" w:sz="0" w:space="0" w:color="auto"/>
      </w:divBdr>
    </w:div>
    <w:div w:id="1362515921">
      <w:bodyDiv w:val="1"/>
      <w:marLeft w:val="0"/>
      <w:marRight w:val="0"/>
      <w:marTop w:val="0"/>
      <w:marBottom w:val="0"/>
      <w:divBdr>
        <w:top w:val="none" w:sz="0" w:space="0" w:color="auto"/>
        <w:left w:val="none" w:sz="0" w:space="0" w:color="auto"/>
        <w:bottom w:val="none" w:sz="0" w:space="0" w:color="auto"/>
        <w:right w:val="none" w:sz="0" w:space="0" w:color="auto"/>
      </w:divBdr>
    </w:div>
    <w:div w:id="1362627711">
      <w:bodyDiv w:val="1"/>
      <w:marLeft w:val="0"/>
      <w:marRight w:val="0"/>
      <w:marTop w:val="0"/>
      <w:marBottom w:val="0"/>
      <w:divBdr>
        <w:top w:val="none" w:sz="0" w:space="0" w:color="auto"/>
        <w:left w:val="none" w:sz="0" w:space="0" w:color="auto"/>
        <w:bottom w:val="none" w:sz="0" w:space="0" w:color="auto"/>
        <w:right w:val="none" w:sz="0" w:space="0" w:color="auto"/>
      </w:divBdr>
    </w:div>
    <w:div w:id="1363289116">
      <w:bodyDiv w:val="1"/>
      <w:marLeft w:val="0"/>
      <w:marRight w:val="0"/>
      <w:marTop w:val="0"/>
      <w:marBottom w:val="0"/>
      <w:divBdr>
        <w:top w:val="none" w:sz="0" w:space="0" w:color="auto"/>
        <w:left w:val="none" w:sz="0" w:space="0" w:color="auto"/>
        <w:bottom w:val="none" w:sz="0" w:space="0" w:color="auto"/>
        <w:right w:val="none" w:sz="0" w:space="0" w:color="auto"/>
      </w:divBdr>
    </w:div>
    <w:div w:id="1363359993">
      <w:bodyDiv w:val="1"/>
      <w:marLeft w:val="0"/>
      <w:marRight w:val="0"/>
      <w:marTop w:val="0"/>
      <w:marBottom w:val="0"/>
      <w:divBdr>
        <w:top w:val="none" w:sz="0" w:space="0" w:color="auto"/>
        <w:left w:val="none" w:sz="0" w:space="0" w:color="auto"/>
        <w:bottom w:val="none" w:sz="0" w:space="0" w:color="auto"/>
        <w:right w:val="none" w:sz="0" w:space="0" w:color="auto"/>
      </w:divBdr>
    </w:div>
    <w:div w:id="1363700409">
      <w:bodyDiv w:val="1"/>
      <w:marLeft w:val="0"/>
      <w:marRight w:val="0"/>
      <w:marTop w:val="0"/>
      <w:marBottom w:val="0"/>
      <w:divBdr>
        <w:top w:val="none" w:sz="0" w:space="0" w:color="auto"/>
        <w:left w:val="none" w:sz="0" w:space="0" w:color="auto"/>
        <w:bottom w:val="none" w:sz="0" w:space="0" w:color="auto"/>
        <w:right w:val="none" w:sz="0" w:space="0" w:color="auto"/>
      </w:divBdr>
    </w:div>
    <w:div w:id="1363894956">
      <w:bodyDiv w:val="1"/>
      <w:marLeft w:val="0"/>
      <w:marRight w:val="0"/>
      <w:marTop w:val="0"/>
      <w:marBottom w:val="0"/>
      <w:divBdr>
        <w:top w:val="none" w:sz="0" w:space="0" w:color="auto"/>
        <w:left w:val="none" w:sz="0" w:space="0" w:color="auto"/>
        <w:bottom w:val="none" w:sz="0" w:space="0" w:color="auto"/>
        <w:right w:val="none" w:sz="0" w:space="0" w:color="auto"/>
      </w:divBdr>
    </w:div>
    <w:div w:id="1363896372">
      <w:bodyDiv w:val="1"/>
      <w:marLeft w:val="0"/>
      <w:marRight w:val="0"/>
      <w:marTop w:val="0"/>
      <w:marBottom w:val="0"/>
      <w:divBdr>
        <w:top w:val="none" w:sz="0" w:space="0" w:color="auto"/>
        <w:left w:val="none" w:sz="0" w:space="0" w:color="auto"/>
        <w:bottom w:val="none" w:sz="0" w:space="0" w:color="auto"/>
        <w:right w:val="none" w:sz="0" w:space="0" w:color="auto"/>
      </w:divBdr>
    </w:div>
    <w:div w:id="1363943057">
      <w:bodyDiv w:val="1"/>
      <w:marLeft w:val="0"/>
      <w:marRight w:val="0"/>
      <w:marTop w:val="0"/>
      <w:marBottom w:val="0"/>
      <w:divBdr>
        <w:top w:val="none" w:sz="0" w:space="0" w:color="auto"/>
        <w:left w:val="none" w:sz="0" w:space="0" w:color="auto"/>
        <w:bottom w:val="none" w:sz="0" w:space="0" w:color="auto"/>
        <w:right w:val="none" w:sz="0" w:space="0" w:color="auto"/>
      </w:divBdr>
    </w:div>
    <w:div w:id="1364594630">
      <w:bodyDiv w:val="1"/>
      <w:marLeft w:val="0"/>
      <w:marRight w:val="0"/>
      <w:marTop w:val="0"/>
      <w:marBottom w:val="0"/>
      <w:divBdr>
        <w:top w:val="none" w:sz="0" w:space="0" w:color="auto"/>
        <w:left w:val="none" w:sz="0" w:space="0" w:color="auto"/>
        <w:bottom w:val="none" w:sz="0" w:space="0" w:color="auto"/>
        <w:right w:val="none" w:sz="0" w:space="0" w:color="auto"/>
      </w:divBdr>
    </w:div>
    <w:div w:id="1364748302">
      <w:bodyDiv w:val="1"/>
      <w:marLeft w:val="0"/>
      <w:marRight w:val="0"/>
      <w:marTop w:val="0"/>
      <w:marBottom w:val="0"/>
      <w:divBdr>
        <w:top w:val="none" w:sz="0" w:space="0" w:color="auto"/>
        <w:left w:val="none" w:sz="0" w:space="0" w:color="auto"/>
        <w:bottom w:val="none" w:sz="0" w:space="0" w:color="auto"/>
        <w:right w:val="none" w:sz="0" w:space="0" w:color="auto"/>
      </w:divBdr>
    </w:div>
    <w:div w:id="1364862061">
      <w:bodyDiv w:val="1"/>
      <w:marLeft w:val="0"/>
      <w:marRight w:val="0"/>
      <w:marTop w:val="0"/>
      <w:marBottom w:val="0"/>
      <w:divBdr>
        <w:top w:val="none" w:sz="0" w:space="0" w:color="auto"/>
        <w:left w:val="none" w:sz="0" w:space="0" w:color="auto"/>
        <w:bottom w:val="none" w:sz="0" w:space="0" w:color="auto"/>
        <w:right w:val="none" w:sz="0" w:space="0" w:color="auto"/>
      </w:divBdr>
    </w:div>
    <w:div w:id="1365256485">
      <w:bodyDiv w:val="1"/>
      <w:marLeft w:val="0"/>
      <w:marRight w:val="0"/>
      <w:marTop w:val="0"/>
      <w:marBottom w:val="0"/>
      <w:divBdr>
        <w:top w:val="none" w:sz="0" w:space="0" w:color="auto"/>
        <w:left w:val="none" w:sz="0" w:space="0" w:color="auto"/>
        <w:bottom w:val="none" w:sz="0" w:space="0" w:color="auto"/>
        <w:right w:val="none" w:sz="0" w:space="0" w:color="auto"/>
      </w:divBdr>
    </w:div>
    <w:div w:id="1365405257">
      <w:bodyDiv w:val="1"/>
      <w:marLeft w:val="0"/>
      <w:marRight w:val="0"/>
      <w:marTop w:val="0"/>
      <w:marBottom w:val="0"/>
      <w:divBdr>
        <w:top w:val="none" w:sz="0" w:space="0" w:color="auto"/>
        <w:left w:val="none" w:sz="0" w:space="0" w:color="auto"/>
        <w:bottom w:val="none" w:sz="0" w:space="0" w:color="auto"/>
        <w:right w:val="none" w:sz="0" w:space="0" w:color="auto"/>
      </w:divBdr>
    </w:div>
    <w:div w:id="1365449796">
      <w:bodyDiv w:val="1"/>
      <w:marLeft w:val="0"/>
      <w:marRight w:val="0"/>
      <w:marTop w:val="0"/>
      <w:marBottom w:val="0"/>
      <w:divBdr>
        <w:top w:val="none" w:sz="0" w:space="0" w:color="auto"/>
        <w:left w:val="none" w:sz="0" w:space="0" w:color="auto"/>
        <w:bottom w:val="none" w:sz="0" w:space="0" w:color="auto"/>
        <w:right w:val="none" w:sz="0" w:space="0" w:color="auto"/>
      </w:divBdr>
    </w:div>
    <w:div w:id="1366834577">
      <w:bodyDiv w:val="1"/>
      <w:marLeft w:val="0"/>
      <w:marRight w:val="0"/>
      <w:marTop w:val="0"/>
      <w:marBottom w:val="0"/>
      <w:divBdr>
        <w:top w:val="none" w:sz="0" w:space="0" w:color="auto"/>
        <w:left w:val="none" w:sz="0" w:space="0" w:color="auto"/>
        <w:bottom w:val="none" w:sz="0" w:space="0" w:color="auto"/>
        <w:right w:val="none" w:sz="0" w:space="0" w:color="auto"/>
      </w:divBdr>
    </w:div>
    <w:div w:id="1367214064">
      <w:bodyDiv w:val="1"/>
      <w:marLeft w:val="0"/>
      <w:marRight w:val="0"/>
      <w:marTop w:val="0"/>
      <w:marBottom w:val="0"/>
      <w:divBdr>
        <w:top w:val="none" w:sz="0" w:space="0" w:color="auto"/>
        <w:left w:val="none" w:sz="0" w:space="0" w:color="auto"/>
        <w:bottom w:val="none" w:sz="0" w:space="0" w:color="auto"/>
        <w:right w:val="none" w:sz="0" w:space="0" w:color="auto"/>
      </w:divBdr>
    </w:div>
    <w:div w:id="1367371817">
      <w:bodyDiv w:val="1"/>
      <w:marLeft w:val="0"/>
      <w:marRight w:val="0"/>
      <w:marTop w:val="0"/>
      <w:marBottom w:val="0"/>
      <w:divBdr>
        <w:top w:val="none" w:sz="0" w:space="0" w:color="auto"/>
        <w:left w:val="none" w:sz="0" w:space="0" w:color="auto"/>
        <w:bottom w:val="none" w:sz="0" w:space="0" w:color="auto"/>
        <w:right w:val="none" w:sz="0" w:space="0" w:color="auto"/>
      </w:divBdr>
    </w:div>
    <w:div w:id="1367486777">
      <w:bodyDiv w:val="1"/>
      <w:marLeft w:val="0"/>
      <w:marRight w:val="0"/>
      <w:marTop w:val="0"/>
      <w:marBottom w:val="0"/>
      <w:divBdr>
        <w:top w:val="none" w:sz="0" w:space="0" w:color="auto"/>
        <w:left w:val="none" w:sz="0" w:space="0" w:color="auto"/>
        <w:bottom w:val="none" w:sz="0" w:space="0" w:color="auto"/>
        <w:right w:val="none" w:sz="0" w:space="0" w:color="auto"/>
      </w:divBdr>
    </w:div>
    <w:div w:id="1367874182">
      <w:bodyDiv w:val="1"/>
      <w:marLeft w:val="0"/>
      <w:marRight w:val="0"/>
      <w:marTop w:val="0"/>
      <w:marBottom w:val="0"/>
      <w:divBdr>
        <w:top w:val="none" w:sz="0" w:space="0" w:color="auto"/>
        <w:left w:val="none" w:sz="0" w:space="0" w:color="auto"/>
        <w:bottom w:val="none" w:sz="0" w:space="0" w:color="auto"/>
        <w:right w:val="none" w:sz="0" w:space="0" w:color="auto"/>
      </w:divBdr>
    </w:div>
    <w:div w:id="1368488383">
      <w:bodyDiv w:val="1"/>
      <w:marLeft w:val="0"/>
      <w:marRight w:val="0"/>
      <w:marTop w:val="0"/>
      <w:marBottom w:val="0"/>
      <w:divBdr>
        <w:top w:val="none" w:sz="0" w:space="0" w:color="auto"/>
        <w:left w:val="none" w:sz="0" w:space="0" w:color="auto"/>
        <w:bottom w:val="none" w:sz="0" w:space="0" w:color="auto"/>
        <w:right w:val="none" w:sz="0" w:space="0" w:color="auto"/>
      </w:divBdr>
    </w:div>
    <w:div w:id="1368876384">
      <w:bodyDiv w:val="1"/>
      <w:marLeft w:val="0"/>
      <w:marRight w:val="0"/>
      <w:marTop w:val="0"/>
      <w:marBottom w:val="0"/>
      <w:divBdr>
        <w:top w:val="none" w:sz="0" w:space="0" w:color="auto"/>
        <w:left w:val="none" w:sz="0" w:space="0" w:color="auto"/>
        <w:bottom w:val="none" w:sz="0" w:space="0" w:color="auto"/>
        <w:right w:val="none" w:sz="0" w:space="0" w:color="auto"/>
      </w:divBdr>
    </w:div>
    <w:div w:id="1369406876">
      <w:bodyDiv w:val="1"/>
      <w:marLeft w:val="0"/>
      <w:marRight w:val="0"/>
      <w:marTop w:val="0"/>
      <w:marBottom w:val="0"/>
      <w:divBdr>
        <w:top w:val="none" w:sz="0" w:space="0" w:color="auto"/>
        <w:left w:val="none" w:sz="0" w:space="0" w:color="auto"/>
        <w:bottom w:val="none" w:sz="0" w:space="0" w:color="auto"/>
        <w:right w:val="none" w:sz="0" w:space="0" w:color="auto"/>
      </w:divBdr>
    </w:div>
    <w:div w:id="1369642748">
      <w:bodyDiv w:val="1"/>
      <w:marLeft w:val="0"/>
      <w:marRight w:val="0"/>
      <w:marTop w:val="0"/>
      <w:marBottom w:val="0"/>
      <w:divBdr>
        <w:top w:val="none" w:sz="0" w:space="0" w:color="auto"/>
        <w:left w:val="none" w:sz="0" w:space="0" w:color="auto"/>
        <w:bottom w:val="none" w:sz="0" w:space="0" w:color="auto"/>
        <w:right w:val="none" w:sz="0" w:space="0" w:color="auto"/>
      </w:divBdr>
    </w:div>
    <w:div w:id="1369642796">
      <w:bodyDiv w:val="1"/>
      <w:marLeft w:val="0"/>
      <w:marRight w:val="0"/>
      <w:marTop w:val="0"/>
      <w:marBottom w:val="0"/>
      <w:divBdr>
        <w:top w:val="none" w:sz="0" w:space="0" w:color="auto"/>
        <w:left w:val="none" w:sz="0" w:space="0" w:color="auto"/>
        <w:bottom w:val="none" w:sz="0" w:space="0" w:color="auto"/>
        <w:right w:val="none" w:sz="0" w:space="0" w:color="auto"/>
      </w:divBdr>
    </w:div>
    <w:div w:id="1369917254">
      <w:bodyDiv w:val="1"/>
      <w:marLeft w:val="0"/>
      <w:marRight w:val="0"/>
      <w:marTop w:val="0"/>
      <w:marBottom w:val="0"/>
      <w:divBdr>
        <w:top w:val="none" w:sz="0" w:space="0" w:color="auto"/>
        <w:left w:val="none" w:sz="0" w:space="0" w:color="auto"/>
        <w:bottom w:val="none" w:sz="0" w:space="0" w:color="auto"/>
        <w:right w:val="none" w:sz="0" w:space="0" w:color="auto"/>
      </w:divBdr>
    </w:div>
    <w:div w:id="1369984656">
      <w:bodyDiv w:val="1"/>
      <w:marLeft w:val="0"/>
      <w:marRight w:val="0"/>
      <w:marTop w:val="0"/>
      <w:marBottom w:val="0"/>
      <w:divBdr>
        <w:top w:val="none" w:sz="0" w:space="0" w:color="auto"/>
        <w:left w:val="none" w:sz="0" w:space="0" w:color="auto"/>
        <w:bottom w:val="none" w:sz="0" w:space="0" w:color="auto"/>
        <w:right w:val="none" w:sz="0" w:space="0" w:color="auto"/>
      </w:divBdr>
    </w:div>
    <w:div w:id="1370036041">
      <w:bodyDiv w:val="1"/>
      <w:marLeft w:val="0"/>
      <w:marRight w:val="0"/>
      <w:marTop w:val="0"/>
      <w:marBottom w:val="0"/>
      <w:divBdr>
        <w:top w:val="none" w:sz="0" w:space="0" w:color="auto"/>
        <w:left w:val="none" w:sz="0" w:space="0" w:color="auto"/>
        <w:bottom w:val="none" w:sz="0" w:space="0" w:color="auto"/>
        <w:right w:val="none" w:sz="0" w:space="0" w:color="auto"/>
      </w:divBdr>
    </w:div>
    <w:div w:id="1370182946">
      <w:bodyDiv w:val="1"/>
      <w:marLeft w:val="0"/>
      <w:marRight w:val="0"/>
      <w:marTop w:val="0"/>
      <w:marBottom w:val="0"/>
      <w:divBdr>
        <w:top w:val="none" w:sz="0" w:space="0" w:color="auto"/>
        <w:left w:val="none" w:sz="0" w:space="0" w:color="auto"/>
        <w:bottom w:val="none" w:sz="0" w:space="0" w:color="auto"/>
        <w:right w:val="none" w:sz="0" w:space="0" w:color="auto"/>
      </w:divBdr>
    </w:div>
    <w:div w:id="1370301112">
      <w:bodyDiv w:val="1"/>
      <w:marLeft w:val="0"/>
      <w:marRight w:val="0"/>
      <w:marTop w:val="0"/>
      <w:marBottom w:val="0"/>
      <w:divBdr>
        <w:top w:val="none" w:sz="0" w:space="0" w:color="auto"/>
        <w:left w:val="none" w:sz="0" w:space="0" w:color="auto"/>
        <w:bottom w:val="none" w:sz="0" w:space="0" w:color="auto"/>
        <w:right w:val="none" w:sz="0" w:space="0" w:color="auto"/>
      </w:divBdr>
    </w:div>
    <w:div w:id="1370303675">
      <w:bodyDiv w:val="1"/>
      <w:marLeft w:val="0"/>
      <w:marRight w:val="0"/>
      <w:marTop w:val="0"/>
      <w:marBottom w:val="0"/>
      <w:divBdr>
        <w:top w:val="none" w:sz="0" w:space="0" w:color="auto"/>
        <w:left w:val="none" w:sz="0" w:space="0" w:color="auto"/>
        <w:bottom w:val="none" w:sz="0" w:space="0" w:color="auto"/>
        <w:right w:val="none" w:sz="0" w:space="0" w:color="auto"/>
      </w:divBdr>
    </w:div>
    <w:div w:id="1370379123">
      <w:bodyDiv w:val="1"/>
      <w:marLeft w:val="0"/>
      <w:marRight w:val="0"/>
      <w:marTop w:val="0"/>
      <w:marBottom w:val="0"/>
      <w:divBdr>
        <w:top w:val="none" w:sz="0" w:space="0" w:color="auto"/>
        <w:left w:val="none" w:sz="0" w:space="0" w:color="auto"/>
        <w:bottom w:val="none" w:sz="0" w:space="0" w:color="auto"/>
        <w:right w:val="none" w:sz="0" w:space="0" w:color="auto"/>
      </w:divBdr>
    </w:div>
    <w:div w:id="1370454246">
      <w:bodyDiv w:val="1"/>
      <w:marLeft w:val="0"/>
      <w:marRight w:val="0"/>
      <w:marTop w:val="0"/>
      <w:marBottom w:val="0"/>
      <w:divBdr>
        <w:top w:val="none" w:sz="0" w:space="0" w:color="auto"/>
        <w:left w:val="none" w:sz="0" w:space="0" w:color="auto"/>
        <w:bottom w:val="none" w:sz="0" w:space="0" w:color="auto"/>
        <w:right w:val="none" w:sz="0" w:space="0" w:color="auto"/>
      </w:divBdr>
    </w:div>
    <w:div w:id="1370649132">
      <w:bodyDiv w:val="1"/>
      <w:marLeft w:val="0"/>
      <w:marRight w:val="0"/>
      <w:marTop w:val="0"/>
      <w:marBottom w:val="0"/>
      <w:divBdr>
        <w:top w:val="none" w:sz="0" w:space="0" w:color="auto"/>
        <w:left w:val="none" w:sz="0" w:space="0" w:color="auto"/>
        <w:bottom w:val="none" w:sz="0" w:space="0" w:color="auto"/>
        <w:right w:val="none" w:sz="0" w:space="0" w:color="auto"/>
      </w:divBdr>
    </w:div>
    <w:div w:id="1371108895">
      <w:bodyDiv w:val="1"/>
      <w:marLeft w:val="0"/>
      <w:marRight w:val="0"/>
      <w:marTop w:val="0"/>
      <w:marBottom w:val="0"/>
      <w:divBdr>
        <w:top w:val="none" w:sz="0" w:space="0" w:color="auto"/>
        <w:left w:val="none" w:sz="0" w:space="0" w:color="auto"/>
        <w:bottom w:val="none" w:sz="0" w:space="0" w:color="auto"/>
        <w:right w:val="none" w:sz="0" w:space="0" w:color="auto"/>
      </w:divBdr>
    </w:div>
    <w:div w:id="1371146491">
      <w:bodyDiv w:val="1"/>
      <w:marLeft w:val="0"/>
      <w:marRight w:val="0"/>
      <w:marTop w:val="0"/>
      <w:marBottom w:val="0"/>
      <w:divBdr>
        <w:top w:val="none" w:sz="0" w:space="0" w:color="auto"/>
        <w:left w:val="none" w:sz="0" w:space="0" w:color="auto"/>
        <w:bottom w:val="none" w:sz="0" w:space="0" w:color="auto"/>
        <w:right w:val="none" w:sz="0" w:space="0" w:color="auto"/>
      </w:divBdr>
    </w:div>
    <w:div w:id="1371223770">
      <w:bodyDiv w:val="1"/>
      <w:marLeft w:val="0"/>
      <w:marRight w:val="0"/>
      <w:marTop w:val="0"/>
      <w:marBottom w:val="0"/>
      <w:divBdr>
        <w:top w:val="none" w:sz="0" w:space="0" w:color="auto"/>
        <w:left w:val="none" w:sz="0" w:space="0" w:color="auto"/>
        <w:bottom w:val="none" w:sz="0" w:space="0" w:color="auto"/>
        <w:right w:val="none" w:sz="0" w:space="0" w:color="auto"/>
      </w:divBdr>
    </w:div>
    <w:div w:id="1371418032">
      <w:bodyDiv w:val="1"/>
      <w:marLeft w:val="0"/>
      <w:marRight w:val="0"/>
      <w:marTop w:val="0"/>
      <w:marBottom w:val="0"/>
      <w:divBdr>
        <w:top w:val="none" w:sz="0" w:space="0" w:color="auto"/>
        <w:left w:val="none" w:sz="0" w:space="0" w:color="auto"/>
        <w:bottom w:val="none" w:sz="0" w:space="0" w:color="auto"/>
        <w:right w:val="none" w:sz="0" w:space="0" w:color="auto"/>
      </w:divBdr>
    </w:div>
    <w:div w:id="1371802860">
      <w:bodyDiv w:val="1"/>
      <w:marLeft w:val="0"/>
      <w:marRight w:val="0"/>
      <w:marTop w:val="0"/>
      <w:marBottom w:val="0"/>
      <w:divBdr>
        <w:top w:val="none" w:sz="0" w:space="0" w:color="auto"/>
        <w:left w:val="none" w:sz="0" w:space="0" w:color="auto"/>
        <w:bottom w:val="none" w:sz="0" w:space="0" w:color="auto"/>
        <w:right w:val="none" w:sz="0" w:space="0" w:color="auto"/>
      </w:divBdr>
    </w:div>
    <w:div w:id="1371959939">
      <w:bodyDiv w:val="1"/>
      <w:marLeft w:val="0"/>
      <w:marRight w:val="0"/>
      <w:marTop w:val="0"/>
      <w:marBottom w:val="0"/>
      <w:divBdr>
        <w:top w:val="none" w:sz="0" w:space="0" w:color="auto"/>
        <w:left w:val="none" w:sz="0" w:space="0" w:color="auto"/>
        <w:bottom w:val="none" w:sz="0" w:space="0" w:color="auto"/>
        <w:right w:val="none" w:sz="0" w:space="0" w:color="auto"/>
      </w:divBdr>
    </w:div>
    <w:div w:id="1372002108">
      <w:bodyDiv w:val="1"/>
      <w:marLeft w:val="0"/>
      <w:marRight w:val="0"/>
      <w:marTop w:val="0"/>
      <w:marBottom w:val="0"/>
      <w:divBdr>
        <w:top w:val="none" w:sz="0" w:space="0" w:color="auto"/>
        <w:left w:val="none" w:sz="0" w:space="0" w:color="auto"/>
        <w:bottom w:val="none" w:sz="0" w:space="0" w:color="auto"/>
        <w:right w:val="none" w:sz="0" w:space="0" w:color="auto"/>
      </w:divBdr>
    </w:div>
    <w:div w:id="1372270511">
      <w:bodyDiv w:val="1"/>
      <w:marLeft w:val="0"/>
      <w:marRight w:val="0"/>
      <w:marTop w:val="0"/>
      <w:marBottom w:val="0"/>
      <w:divBdr>
        <w:top w:val="none" w:sz="0" w:space="0" w:color="auto"/>
        <w:left w:val="none" w:sz="0" w:space="0" w:color="auto"/>
        <w:bottom w:val="none" w:sz="0" w:space="0" w:color="auto"/>
        <w:right w:val="none" w:sz="0" w:space="0" w:color="auto"/>
      </w:divBdr>
    </w:div>
    <w:div w:id="1373339109">
      <w:bodyDiv w:val="1"/>
      <w:marLeft w:val="0"/>
      <w:marRight w:val="0"/>
      <w:marTop w:val="0"/>
      <w:marBottom w:val="0"/>
      <w:divBdr>
        <w:top w:val="none" w:sz="0" w:space="0" w:color="auto"/>
        <w:left w:val="none" w:sz="0" w:space="0" w:color="auto"/>
        <w:bottom w:val="none" w:sz="0" w:space="0" w:color="auto"/>
        <w:right w:val="none" w:sz="0" w:space="0" w:color="auto"/>
      </w:divBdr>
    </w:div>
    <w:div w:id="1373383114">
      <w:bodyDiv w:val="1"/>
      <w:marLeft w:val="0"/>
      <w:marRight w:val="0"/>
      <w:marTop w:val="0"/>
      <w:marBottom w:val="0"/>
      <w:divBdr>
        <w:top w:val="none" w:sz="0" w:space="0" w:color="auto"/>
        <w:left w:val="none" w:sz="0" w:space="0" w:color="auto"/>
        <w:bottom w:val="none" w:sz="0" w:space="0" w:color="auto"/>
        <w:right w:val="none" w:sz="0" w:space="0" w:color="auto"/>
      </w:divBdr>
    </w:div>
    <w:div w:id="1373727454">
      <w:bodyDiv w:val="1"/>
      <w:marLeft w:val="0"/>
      <w:marRight w:val="0"/>
      <w:marTop w:val="0"/>
      <w:marBottom w:val="0"/>
      <w:divBdr>
        <w:top w:val="none" w:sz="0" w:space="0" w:color="auto"/>
        <w:left w:val="none" w:sz="0" w:space="0" w:color="auto"/>
        <w:bottom w:val="none" w:sz="0" w:space="0" w:color="auto"/>
        <w:right w:val="none" w:sz="0" w:space="0" w:color="auto"/>
      </w:divBdr>
    </w:div>
    <w:div w:id="1373991968">
      <w:bodyDiv w:val="1"/>
      <w:marLeft w:val="0"/>
      <w:marRight w:val="0"/>
      <w:marTop w:val="0"/>
      <w:marBottom w:val="0"/>
      <w:divBdr>
        <w:top w:val="none" w:sz="0" w:space="0" w:color="auto"/>
        <w:left w:val="none" w:sz="0" w:space="0" w:color="auto"/>
        <w:bottom w:val="none" w:sz="0" w:space="0" w:color="auto"/>
        <w:right w:val="none" w:sz="0" w:space="0" w:color="auto"/>
      </w:divBdr>
    </w:div>
    <w:div w:id="1373992593">
      <w:bodyDiv w:val="1"/>
      <w:marLeft w:val="0"/>
      <w:marRight w:val="0"/>
      <w:marTop w:val="0"/>
      <w:marBottom w:val="0"/>
      <w:divBdr>
        <w:top w:val="none" w:sz="0" w:space="0" w:color="auto"/>
        <w:left w:val="none" w:sz="0" w:space="0" w:color="auto"/>
        <w:bottom w:val="none" w:sz="0" w:space="0" w:color="auto"/>
        <w:right w:val="none" w:sz="0" w:space="0" w:color="auto"/>
      </w:divBdr>
    </w:div>
    <w:div w:id="1374038276">
      <w:bodyDiv w:val="1"/>
      <w:marLeft w:val="0"/>
      <w:marRight w:val="0"/>
      <w:marTop w:val="0"/>
      <w:marBottom w:val="0"/>
      <w:divBdr>
        <w:top w:val="none" w:sz="0" w:space="0" w:color="auto"/>
        <w:left w:val="none" w:sz="0" w:space="0" w:color="auto"/>
        <w:bottom w:val="none" w:sz="0" w:space="0" w:color="auto"/>
        <w:right w:val="none" w:sz="0" w:space="0" w:color="auto"/>
      </w:divBdr>
    </w:div>
    <w:div w:id="1374119009">
      <w:bodyDiv w:val="1"/>
      <w:marLeft w:val="0"/>
      <w:marRight w:val="0"/>
      <w:marTop w:val="0"/>
      <w:marBottom w:val="0"/>
      <w:divBdr>
        <w:top w:val="none" w:sz="0" w:space="0" w:color="auto"/>
        <w:left w:val="none" w:sz="0" w:space="0" w:color="auto"/>
        <w:bottom w:val="none" w:sz="0" w:space="0" w:color="auto"/>
        <w:right w:val="none" w:sz="0" w:space="0" w:color="auto"/>
      </w:divBdr>
    </w:div>
    <w:div w:id="1374234986">
      <w:bodyDiv w:val="1"/>
      <w:marLeft w:val="0"/>
      <w:marRight w:val="0"/>
      <w:marTop w:val="0"/>
      <w:marBottom w:val="0"/>
      <w:divBdr>
        <w:top w:val="none" w:sz="0" w:space="0" w:color="auto"/>
        <w:left w:val="none" w:sz="0" w:space="0" w:color="auto"/>
        <w:bottom w:val="none" w:sz="0" w:space="0" w:color="auto"/>
        <w:right w:val="none" w:sz="0" w:space="0" w:color="auto"/>
      </w:divBdr>
    </w:div>
    <w:div w:id="1374306226">
      <w:bodyDiv w:val="1"/>
      <w:marLeft w:val="0"/>
      <w:marRight w:val="0"/>
      <w:marTop w:val="0"/>
      <w:marBottom w:val="0"/>
      <w:divBdr>
        <w:top w:val="none" w:sz="0" w:space="0" w:color="auto"/>
        <w:left w:val="none" w:sz="0" w:space="0" w:color="auto"/>
        <w:bottom w:val="none" w:sz="0" w:space="0" w:color="auto"/>
        <w:right w:val="none" w:sz="0" w:space="0" w:color="auto"/>
      </w:divBdr>
    </w:div>
    <w:div w:id="1374621005">
      <w:bodyDiv w:val="1"/>
      <w:marLeft w:val="0"/>
      <w:marRight w:val="0"/>
      <w:marTop w:val="0"/>
      <w:marBottom w:val="0"/>
      <w:divBdr>
        <w:top w:val="none" w:sz="0" w:space="0" w:color="auto"/>
        <w:left w:val="none" w:sz="0" w:space="0" w:color="auto"/>
        <w:bottom w:val="none" w:sz="0" w:space="0" w:color="auto"/>
        <w:right w:val="none" w:sz="0" w:space="0" w:color="auto"/>
      </w:divBdr>
    </w:div>
    <w:div w:id="1375891543">
      <w:bodyDiv w:val="1"/>
      <w:marLeft w:val="0"/>
      <w:marRight w:val="0"/>
      <w:marTop w:val="0"/>
      <w:marBottom w:val="0"/>
      <w:divBdr>
        <w:top w:val="none" w:sz="0" w:space="0" w:color="auto"/>
        <w:left w:val="none" w:sz="0" w:space="0" w:color="auto"/>
        <w:bottom w:val="none" w:sz="0" w:space="0" w:color="auto"/>
        <w:right w:val="none" w:sz="0" w:space="0" w:color="auto"/>
      </w:divBdr>
    </w:div>
    <w:div w:id="1375933409">
      <w:bodyDiv w:val="1"/>
      <w:marLeft w:val="0"/>
      <w:marRight w:val="0"/>
      <w:marTop w:val="0"/>
      <w:marBottom w:val="0"/>
      <w:divBdr>
        <w:top w:val="none" w:sz="0" w:space="0" w:color="auto"/>
        <w:left w:val="none" w:sz="0" w:space="0" w:color="auto"/>
        <w:bottom w:val="none" w:sz="0" w:space="0" w:color="auto"/>
        <w:right w:val="none" w:sz="0" w:space="0" w:color="auto"/>
      </w:divBdr>
    </w:div>
    <w:div w:id="1376200349">
      <w:bodyDiv w:val="1"/>
      <w:marLeft w:val="0"/>
      <w:marRight w:val="0"/>
      <w:marTop w:val="0"/>
      <w:marBottom w:val="0"/>
      <w:divBdr>
        <w:top w:val="none" w:sz="0" w:space="0" w:color="auto"/>
        <w:left w:val="none" w:sz="0" w:space="0" w:color="auto"/>
        <w:bottom w:val="none" w:sz="0" w:space="0" w:color="auto"/>
        <w:right w:val="none" w:sz="0" w:space="0" w:color="auto"/>
      </w:divBdr>
    </w:div>
    <w:div w:id="1376268547">
      <w:bodyDiv w:val="1"/>
      <w:marLeft w:val="0"/>
      <w:marRight w:val="0"/>
      <w:marTop w:val="0"/>
      <w:marBottom w:val="0"/>
      <w:divBdr>
        <w:top w:val="none" w:sz="0" w:space="0" w:color="auto"/>
        <w:left w:val="none" w:sz="0" w:space="0" w:color="auto"/>
        <w:bottom w:val="none" w:sz="0" w:space="0" w:color="auto"/>
        <w:right w:val="none" w:sz="0" w:space="0" w:color="auto"/>
      </w:divBdr>
    </w:div>
    <w:div w:id="1376395180">
      <w:bodyDiv w:val="1"/>
      <w:marLeft w:val="0"/>
      <w:marRight w:val="0"/>
      <w:marTop w:val="0"/>
      <w:marBottom w:val="0"/>
      <w:divBdr>
        <w:top w:val="none" w:sz="0" w:space="0" w:color="auto"/>
        <w:left w:val="none" w:sz="0" w:space="0" w:color="auto"/>
        <w:bottom w:val="none" w:sz="0" w:space="0" w:color="auto"/>
        <w:right w:val="none" w:sz="0" w:space="0" w:color="auto"/>
      </w:divBdr>
    </w:div>
    <w:div w:id="1377008449">
      <w:bodyDiv w:val="1"/>
      <w:marLeft w:val="0"/>
      <w:marRight w:val="0"/>
      <w:marTop w:val="0"/>
      <w:marBottom w:val="0"/>
      <w:divBdr>
        <w:top w:val="none" w:sz="0" w:space="0" w:color="auto"/>
        <w:left w:val="none" w:sz="0" w:space="0" w:color="auto"/>
        <w:bottom w:val="none" w:sz="0" w:space="0" w:color="auto"/>
        <w:right w:val="none" w:sz="0" w:space="0" w:color="auto"/>
      </w:divBdr>
    </w:div>
    <w:div w:id="1377125454">
      <w:bodyDiv w:val="1"/>
      <w:marLeft w:val="0"/>
      <w:marRight w:val="0"/>
      <w:marTop w:val="0"/>
      <w:marBottom w:val="0"/>
      <w:divBdr>
        <w:top w:val="none" w:sz="0" w:space="0" w:color="auto"/>
        <w:left w:val="none" w:sz="0" w:space="0" w:color="auto"/>
        <w:bottom w:val="none" w:sz="0" w:space="0" w:color="auto"/>
        <w:right w:val="none" w:sz="0" w:space="0" w:color="auto"/>
      </w:divBdr>
    </w:div>
    <w:div w:id="1377467858">
      <w:bodyDiv w:val="1"/>
      <w:marLeft w:val="0"/>
      <w:marRight w:val="0"/>
      <w:marTop w:val="0"/>
      <w:marBottom w:val="0"/>
      <w:divBdr>
        <w:top w:val="none" w:sz="0" w:space="0" w:color="auto"/>
        <w:left w:val="none" w:sz="0" w:space="0" w:color="auto"/>
        <w:bottom w:val="none" w:sz="0" w:space="0" w:color="auto"/>
        <w:right w:val="none" w:sz="0" w:space="0" w:color="auto"/>
      </w:divBdr>
    </w:div>
    <w:div w:id="1377582097">
      <w:bodyDiv w:val="1"/>
      <w:marLeft w:val="0"/>
      <w:marRight w:val="0"/>
      <w:marTop w:val="0"/>
      <w:marBottom w:val="0"/>
      <w:divBdr>
        <w:top w:val="none" w:sz="0" w:space="0" w:color="auto"/>
        <w:left w:val="none" w:sz="0" w:space="0" w:color="auto"/>
        <w:bottom w:val="none" w:sz="0" w:space="0" w:color="auto"/>
        <w:right w:val="none" w:sz="0" w:space="0" w:color="auto"/>
      </w:divBdr>
    </w:div>
    <w:div w:id="1377706181">
      <w:bodyDiv w:val="1"/>
      <w:marLeft w:val="0"/>
      <w:marRight w:val="0"/>
      <w:marTop w:val="0"/>
      <w:marBottom w:val="0"/>
      <w:divBdr>
        <w:top w:val="none" w:sz="0" w:space="0" w:color="auto"/>
        <w:left w:val="none" w:sz="0" w:space="0" w:color="auto"/>
        <w:bottom w:val="none" w:sz="0" w:space="0" w:color="auto"/>
        <w:right w:val="none" w:sz="0" w:space="0" w:color="auto"/>
      </w:divBdr>
    </w:div>
    <w:div w:id="1378050000">
      <w:bodyDiv w:val="1"/>
      <w:marLeft w:val="0"/>
      <w:marRight w:val="0"/>
      <w:marTop w:val="0"/>
      <w:marBottom w:val="0"/>
      <w:divBdr>
        <w:top w:val="none" w:sz="0" w:space="0" w:color="auto"/>
        <w:left w:val="none" w:sz="0" w:space="0" w:color="auto"/>
        <w:bottom w:val="none" w:sz="0" w:space="0" w:color="auto"/>
        <w:right w:val="none" w:sz="0" w:space="0" w:color="auto"/>
      </w:divBdr>
    </w:div>
    <w:div w:id="1378091989">
      <w:bodyDiv w:val="1"/>
      <w:marLeft w:val="0"/>
      <w:marRight w:val="0"/>
      <w:marTop w:val="0"/>
      <w:marBottom w:val="0"/>
      <w:divBdr>
        <w:top w:val="none" w:sz="0" w:space="0" w:color="auto"/>
        <w:left w:val="none" w:sz="0" w:space="0" w:color="auto"/>
        <w:bottom w:val="none" w:sz="0" w:space="0" w:color="auto"/>
        <w:right w:val="none" w:sz="0" w:space="0" w:color="auto"/>
      </w:divBdr>
    </w:div>
    <w:div w:id="1378092430">
      <w:bodyDiv w:val="1"/>
      <w:marLeft w:val="0"/>
      <w:marRight w:val="0"/>
      <w:marTop w:val="0"/>
      <w:marBottom w:val="0"/>
      <w:divBdr>
        <w:top w:val="none" w:sz="0" w:space="0" w:color="auto"/>
        <w:left w:val="none" w:sz="0" w:space="0" w:color="auto"/>
        <w:bottom w:val="none" w:sz="0" w:space="0" w:color="auto"/>
        <w:right w:val="none" w:sz="0" w:space="0" w:color="auto"/>
      </w:divBdr>
    </w:div>
    <w:div w:id="1378121542">
      <w:bodyDiv w:val="1"/>
      <w:marLeft w:val="0"/>
      <w:marRight w:val="0"/>
      <w:marTop w:val="0"/>
      <w:marBottom w:val="0"/>
      <w:divBdr>
        <w:top w:val="none" w:sz="0" w:space="0" w:color="auto"/>
        <w:left w:val="none" w:sz="0" w:space="0" w:color="auto"/>
        <w:bottom w:val="none" w:sz="0" w:space="0" w:color="auto"/>
        <w:right w:val="none" w:sz="0" w:space="0" w:color="auto"/>
      </w:divBdr>
    </w:div>
    <w:div w:id="1378242600">
      <w:bodyDiv w:val="1"/>
      <w:marLeft w:val="0"/>
      <w:marRight w:val="0"/>
      <w:marTop w:val="0"/>
      <w:marBottom w:val="0"/>
      <w:divBdr>
        <w:top w:val="none" w:sz="0" w:space="0" w:color="auto"/>
        <w:left w:val="none" w:sz="0" w:space="0" w:color="auto"/>
        <w:bottom w:val="none" w:sz="0" w:space="0" w:color="auto"/>
        <w:right w:val="none" w:sz="0" w:space="0" w:color="auto"/>
      </w:divBdr>
    </w:div>
    <w:div w:id="1378507726">
      <w:bodyDiv w:val="1"/>
      <w:marLeft w:val="0"/>
      <w:marRight w:val="0"/>
      <w:marTop w:val="0"/>
      <w:marBottom w:val="0"/>
      <w:divBdr>
        <w:top w:val="none" w:sz="0" w:space="0" w:color="auto"/>
        <w:left w:val="none" w:sz="0" w:space="0" w:color="auto"/>
        <w:bottom w:val="none" w:sz="0" w:space="0" w:color="auto"/>
        <w:right w:val="none" w:sz="0" w:space="0" w:color="auto"/>
      </w:divBdr>
    </w:div>
    <w:div w:id="1378508373">
      <w:bodyDiv w:val="1"/>
      <w:marLeft w:val="0"/>
      <w:marRight w:val="0"/>
      <w:marTop w:val="0"/>
      <w:marBottom w:val="0"/>
      <w:divBdr>
        <w:top w:val="none" w:sz="0" w:space="0" w:color="auto"/>
        <w:left w:val="none" w:sz="0" w:space="0" w:color="auto"/>
        <w:bottom w:val="none" w:sz="0" w:space="0" w:color="auto"/>
        <w:right w:val="none" w:sz="0" w:space="0" w:color="auto"/>
      </w:divBdr>
    </w:div>
    <w:div w:id="1378971436">
      <w:bodyDiv w:val="1"/>
      <w:marLeft w:val="0"/>
      <w:marRight w:val="0"/>
      <w:marTop w:val="0"/>
      <w:marBottom w:val="0"/>
      <w:divBdr>
        <w:top w:val="none" w:sz="0" w:space="0" w:color="auto"/>
        <w:left w:val="none" w:sz="0" w:space="0" w:color="auto"/>
        <w:bottom w:val="none" w:sz="0" w:space="0" w:color="auto"/>
        <w:right w:val="none" w:sz="0" w:space="0" w:color="auto"/>
      </w:divBdr>
      <w:divsChild>
        <w:div w:id="770316662">
          <w:marLeft w:val="0"/>
          <w:marRight w:val="0"/>
          <w:marTop w:val="0"/>
          <w:marBottom w:val="0"/>
          <w:divBdr>
            <w:top w:val="none" w:sz="0" w:space="0" w:color="auto"/>
            <w:left w:val="none" w:sz="0" w:space="0" w:color="auto"/>
            <w:bottom w:val="none" w:sz="0" w:space="0" w:color="auto"/>
            <w:right w:val="none" w:sz="0" w:space="0" w:color="auto"/>
          </w:divBdr>
          <w:divsChild>
            <w:div w:id="808745473">
              <w:marLeft w:val="0"/>
              <w:marRight w:val="0"/>
              <w:marTop w:val="0"/>
              <w:marBottom w:val="0"/>
              <w:divBdr>
                <w:top w:val="none" w:sz="0" w:space="0" w:color="auto"/>
                <w:left w:val="none" w:sz="0" w:space="0" w:color="auto"/>
                <w:bottom w:val="none" w:sz="0" w:space="0" w:color="auto"/>
                <w:right w:val="none" w:sz="0" w:space="0" w:color="auto"/>
              </w:divBdr>
              <w:divsChild>
                <w:div w:id="188302165">
                  <w:marLeft w:val="0"/>
                  <w:marRight w:val="0"/>
                  <w:marTop w:val="0"/>
                  <w:marBottom w:val="0"/>
                  <w:divBdr>
                    <w:top w:val="none" w:sz="0" w:space="0" w:color="auto"/>
                    <w:left w:val="none" w:sz="0" w:space="0" w:color="auto"/>
                    <w:bottom w:val="none" w:sz="0" w:space="0" w:color="auto"/>
                    <w:right w:val="none" w:sz="0" w:space="0" w:color="auto"/>
                  </w:divBdr>
                  <w:divsChild>
                    <w:div w:id="921063570">
                      <w:marLeft w:val="-225"/>
                      <w:marRight w:val="-225"/>
                      <w:marTop w:val="0"/>
                      <w:marBottom w:val="0"/>
                      <w:divBdr>
                        <w:top w:val="none" w:sz="0" w:space="0" w:color="auto"/>
                        <w:left w:val="none" w:sz="0" w:space="0" w:color="auto"/>
                        <w:bottom w:val="none" w:sz="0" w:space="0" w:color="auto"/>
                        <w:right w:val="none" w:sz="0" w:space="0" w:color="auto"/>
                      </w:divBdr>
                      <w:divsChild>
                        <w:div w:id="67502869">
                          <w:marLeft w:val="0"/>
                          <w:marRight w:val="0"/>
                          <w:marTop w:val="0"/>
                          <w:marBottom w:val="0"/>
                          <w:divBdr>
                            <w:top w:val="none" w:sz="0" w:space="0" w:color="auto"/>
                            <w:left w:val="none" w:sz="0" w:space="0" w:color="auto"/>
                            <w:bottom w:val="none" w:sz="0" w:space="0" w:color="auto"/>
                            <w:right w:val="none" w:sz="0" w:space="0" w:color="auto"/>
                          </w:divBdr>
                          <w:divsChild>
                            <w:div w:id="200003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552962">
      <w:bodyDiv w:val="1"/>
      <w:marLeft w:val="0"/>
      <w:marRight w:val="0"/>
      <w:marTop w:val="0"/>
      <w:marBottom w:val="0"/>
      <w:divBdr>
        <w:top w:val="none" w:sz="0" w:space="0" w:color="auto"/>
        <w:left w:val="none" w:sz="0" w:space="0" w:color="auto"/>
        <w:bottom w:val="none" w:sz="0" w:space="0" w:color="auto"/>
        <w:right w:val="none" w:sz="0" w:space="0" w:color="auto"/>
      </w:divBdr>
    </w:div>
    <w:div w:id="1379936412">
      <w:bodyDiv w:val="1"/>
      <w:marLeft w:val="0"/>
      <w:marRight w:val="0"/>
      <w:marTop w:val="0"/>
      <w:marBottom w:val="0"/>
      <w:divBdr>
        <w:top w:val="none" w:sz="0" w:space="0" w:color="auto"/>
        <w:left w:val="none" w:sz="0" w:space="0" w:color="auto"/>
        <w:bottom w:val="none" w:sz="0" w:space="0" w:color="auto"/>
        <w:right w:val="none" w:sz="0" w:space="0" w:color="auto"/>
      </w:divBdr>
    </w:div>
    <w:div w:id="1380401652">
      <w:bodyDiv w:val="1"/>
      <w:marLeft w:val="0"/>
      <w:marRight w:val="0"/>
      <w:marTop w:val="0"/>
      <w:marBottom w:val="0"/>
      <w:divBdr>
        <w:top w:val="none" w:sz="0" w:space="0" w:color="auto"/>
        <w:left w:val="none" w:sz="0" w:space="0" w:color="auto"/>
        <w:bottom w:val="none" w:sz="0" w:space="0" w:color="auto"/>
        <w:right w:val="none" w:sz="0" w:space="0" w:color="auto"/>
      </w:divBdr>
    </w:div>
    <w:div w:id="1380474624">
      <w:bodyDiv w:val="1"/>
      <w:marLeft w:val="0"/>
      <w:marRight w:val="0"/>
      <w:marTop w:val="0"/>
      <w:marBottom w:val="0"/>
      <w:divBdr>
        <w:top w:val="none" w:sz="0" w:space="0" w:color="auto"/>
        <w:left w:val="none" w:sz="0" w:space="0" w:color="auto"/>
        <w:bottom w:val="none" w:sz="0" w:space="0" w:color="auto"/>
        <w:right w:val="none" w:sz="0" w:space="0" w:color="auto"/>
      </w:divBdr>
    </w:div>
    <w:div w:id="1380783369">
      <w:bodyDiv w:val="1"/>
      <w:marLeft w:val="0"/>
      <w:marRight w:val="0"/>
      <w:marTop w:val="0"/>
      <w:marBottom w:val="0"/>
      <w:divBdr>
        <w:top w:val="none" w:sz="0" w:space="0" w:color="auto"/>
        <w:left w:val="none" w:sz="0" w:space="0" w:color="auto"/>
        <w:bottom w:val="none" w:sz="0" w:space="0" w:color="auto"/>
        <w:right w:val="none" w:sz="0" w:space="0" w:color="auto"/>
      </w:divBdr>
    </w:div>
    <w:div w:id="1380855506">
      <w:bodyDiv w:val="1"/>
      <w:marLeft w:val="0"/>
      <w:marRight w:val="0"/>
      <w:marTop w:val="0"/>
      <w:marBottom w:val="0"/>
      <w:divBdr>
        <w:top w:val="none" w:sz="0" w:space="0" w:color="auto"/>
        <w:left w:val="none" w:sz="0" w:space="0" w:color="auto"/>
        <w:bottom w:val="none" w:sz="0" w:space="0" w:color="auto"/>
        <w:right w:val="none" w:sz="0" w:space="0" w:color="auto"/>
      </w:divBdr>
    </w:div>
    <w:div w:id="1381202336">
      <w:bodyDiv w:val="1"/>
      <w:marLeft w:val="0"/>
      <w:marRight w:val="0"/>
      <w:marTop w:val="0"/>
      <w:marBottom w:val="0"/>
      <w:divBdr>
        <w:top w:val="none" w:sz="0" w:space="0" w:color="auto"/>
        <w:left w:val="none" w:sz="0" w:space="0" w:color="auto"/>
        <w:bottom w:val="none" w:sz="0" w:space="0" w:color="auto"/>
        <w:right w:val="none" w:sz="0" w:space="0" w:color="auto"/>
      </w:divBdr>
    </w:div>
    <w:div w:id="1381519659">
      <w:bodyDiv w:val="1"/>
      <w:marLeft w:val="0"/>
      <w:marRight w:val="0"/>
      <w:marTop w:val="0"/>
      <w:marBottom w:val="0"/>
      <w:divBdr>
        <w:top w:val="none" w:sz="0" w:space="0" w:color="auto"/>
        <w:left w:val="none" w:sz="0" w:space="0" w:color="auto"/>
        <w:bottom w:val="none" w:sz="0" w:space="0" w:color="auto"/>
        <w:right w:val="none" w:sz="0" w:space="0" w:color="auto"/>
      </w:divBdr>
    </w:div>
    <w:div w:id="1381979651">
      <w:bodyDiv w:val="1"/>
      <w:marLeft w:val="0"/>
      <w:marRight w:val="0"/>
      <w:marTop w:val="0"/>
      <w:marBottom w:val="0"/>
      <w:divBdr>
        <w:top w:val="none" w:sz="0" w:space="0" w:color="auto"/>
        <w:left w:val="none" w:sz="0" w:space="0" w:color="auto"/>
        <w:bottom w:val="none" w:sz="0" w:space="0" w:color="auto"/>
        <w:right w:val="none" w:sz="0" w:space="0" w:color="auto"/>
      </w:divBdr>
    </w:div>
    <w:div w:id="1381982095">
      <w:bodyDiv w:val="1"/>
      <w:marLeft w:val="0"/>
      <w:marRight w:val="0"/>
      <w:marTop w:val="0"/>
      <w:marBottom w:val="0"/>
      <w:divBdr>
        <w:top w:val="none" w:sz="0" w:space="0" w:color="auto"/>
        <w:left w:val="none" w:sz="0" w:space="0" w:color="auto"/>
        <w:bottom w:val="none" w:sz="0" w:space="0" w:color="auto"/>
        <w:right w:val="none" w:sz="0" w:space="0" w:color="auto"/>
      </w:divBdr>
    </w:div>
    <w:div w:id="1382822332">
      <w:bodyDiv w:val="1"/>
      <w:marLeft w:val="0"/>
      <w:marRight w:val="0"/>
      <w:marTop w:val="0"/>
      <w:marBottom w:val="0"/>
      <w:divBdr>
        <w:top w:val="none" w:sz="0" w:space="0" w:color="auto"/>
        <w:left w:val="none" w:sz="0" w:space="0" w:color="auto"/>
        <w:bottom w:val="none" w:sz="0" w:space="0" w:color="auto"/>
        <w:right w:val="none" w:sz="0" w:space="0" w:color="auto"/>
      </w:divBdr>
    </w:div>
    <w:div w:id="1384059578">
      <w:bodyDiv w:val="1"/>
      <w:marLeft w:val="0"/>
      <w:marRight w:val="0"/>
      <w:marTop w:val="0"/>
      <w:marBottom w:val="0"/>
      <w:divBdr>
        <w:top w:val="none" w:sz="0" w:space="0" w:color="auto"/>
        <w:left w:val="none" w:sz="0" w:space="0" w:color="auto"/>
        <w:bottom w:val="none" w:sz="0" w:space="0" w:color="auto"/>
        <w:right w:val="none" w:sz="0" w:space="0" w:color="auto"/>
      </w:divBdr>
    </w:div>
    <w:div w:id="1384138425">
      <w:bodyDiv w:val="1"/>
      <w:marLeft w:val="0"/>
      <w:marRight w:val="0"/>
      <w:marTop w:val="0"/>
      <w:marBottom w:val="0"/>
      <w:divBdr>
        <w:top w:val="none" w:sz="0" w:space="0" w:color="auto"/>
        <w:left w:val="none" w:sz="0" w:space="0" w:color="auto"/>
        <w:bottom w:val="none" w:sz="0" w:space="0" w:color="auto"/>
        <w:right w:val="none" w:sz="0" w:space="0" w:color="auto"/>
      </w:divBdr>
    </w:div>
    <w:div w:id="1384210708">
      <w:bodyDiv w:val="1"/>
      <w:marLeft w:val="0"/>
      <w:marRight w:val="0"/>
      <w:marTop w:val="0"/>
      <w:marBottom w:val="0"/>
      <w:divBdr>
        <w:top w:val="none" w:sz="0" w:space="0" w:color="auto"/>
        <w:left w:val="none" w:sz="0" w:space="0" w:color="auto"/>
        <w:bottom w:val="none" w:sz="0" w:space="0" w:color="auto"/>
        <w:right w:val="none" w:sz="0" w:space="0" w:color="auto"/>
      </w:divBdr>
    </w:div>
    <w:div w:id="1384409556">
      <w:bodyDiv w:val="1"/>
      <w:marLeft w:val="0"/>
      <w:marRight w:val="0"/>
      <w:marTop w:val="0"/>
      <w:marBottom w:val="0"/>
      <w:divBdr>
        <w:top w:val="none" w:sz="0" w:space="0" w:color="auto"/>
        <w:left w:val="none" w:sz="0" w:space="0" w:color="auto"/>
        <w:bottom w:val="none" w:sz="0" w:space="0" w:color="auto"/>
        <w:right w:val="none" w:sz="0" w:space="0" w:color="auto"/>
      </w:divBdr>
    </w:div>
    <w:div w:id="1384596616">
      <w:bodyDiv w:val="1"/>
      <w:marLeft w:val="0"/>
      <w:marRight w:val="0"/>
      <w:marTop w:val="0"/>
      <w:marBottom w:val="0"/>
      <w:divBdr>
        <w:top w:val="none" w:sz="0" w:space="0" w:color="auto"/>
        <w:left w:val="none" w:sz="0" w:space="0" w:color="auto"/>
        <w:bottom w:val="none" w:sz="0" w:space="0" w:color="auto"/>
        <w:right w:val="none" w:sz="0" w:space="0" w:color="auto"/>
      </w:divBdr>
    </w:div>
    <w:div w:id="1384713740">
      <w:bodyDiv w:val="1"/>
      <w:marLeft w:val="0"/>
      <w:marRight w:val="0"/>
      <w:marTop w:val="0"/>
      <w:marBottom w:val="0"/>
      <w:divBdr>
        <w:top w:val="none" w:sz="0" w:space="0" w:color="auto"/>
        <w:left w:val="none" w:sz="0" w:space="0" w:color="auto"/>
        <w:bottom w:val="none" w:sz="0" w:space="0" w:color="auto"/>
        <w:right w:val="none" w:sz="0" w:space="0" w:color="auto"/>
      </w:divBdr>
    </w:div>
    <w:div w:id="1384716387">
      <w:bodyDiv w:val="1"/>
      <w:marLeft w:val="0"/>
      <w:marRight w:val="0"/>
      <w:marTop w:val="0"/>
      <w:marBottom w:val="0"/>
      <w:divBdr>
        <w:top w:val="none" w:sz="0" w:space="0" w:color="auto"/>
        <w:left w:val="none" w:sz="0" w:space="0" w:color="auto"/>
        <w:bottom w:val="none" w:sz="0" w:space="0" w:color="auto"/>
        <w:right w:val="none" w:sz="0" w:space="0" w:color="auto"/>
      </w:divBdr>
    </w:div>
    <w:div w:id="1384867947">
      <w:bodyDiv w:val="1"/>
      <w:marLeft w:val="0"/>
      <w:marRight w:val="0"/>
      <w:marTop w:val="0"/>
      <w:marBottom w:val="0"/>
      <w:divBdr>
        <w:top w:val="none" w:sz="0" w:space="0" w:color="auto"/>
        <w:left w:val="none" w:sz="0" w:space="0" w:color="auto"/>
        <w:bottom w:val="none" w:sz="0" w:space="0" w:color="auto"/>
        <w:right w:val="none" w:sz="0" w:space="0" w:color="auto"/>
      </w:divBdr>
    </w:div>
    <w:div w:id="1384989553">
      <w:bodyDiv w:val="1"/>
      <w:marLeft w:val="0"/>
      <w:marRight w:val="0"/>
      <w:marTop w:val="0"/>
      <w:marBottom w:val="0"/>
      <w:divBdr>
        <w:top w:val="none" w:sz="0" w:space="0" w:color="auto"/>
        <w:left w:val="none" w:sz="0" w:space="0" w:color="auto"/>
        <w:bottom w:val="none" w:sz="0" w:space="0" w:color="auto"/>
        <w:right w:val="none" w:sz="0" w:space="0" w:color="auto"/>
      </w:divBdr>
    </w:div>
    <w:div w:id="1385255430">
      <w:bodyDiv w:val="1"/>
      <w:marLeft w:val="0"/>
      <w:marRight w:val="0"/>
      <w:marTop w:val="0"/>
      <w:marBottom w:val="0"/>
      <w:divBdr>
        <w:top w:val="none" w:sz="0" w:space="0" w:color="auto"/>
        <w:left w:val="none" w:sz="0" w:space="0" w:color="auto"/>
        <w:bottom w:val="none" w:sz="0" w:space="0" w:color="auto"/>
        <w:right w:val="none" w:sz="0" w:space="0" w:color="auto"/>
      </w:divBdr>
    </w:div>
    <w:div w:id="1385451626">
      <w:bodyDiv w:val="1"/>
      <w:marLeft w:val="0"/>
      <w:marRight w:val="0"/>
      <w:marTop w:val="0"/>
      <w:marBottom w:val="0"/>
      <w:divBdr>
        <w:top w:val="none" w:sz="0" w:space="0" w:color="auto"/>
        <w:left w:val="none" w:sz="0" w:space="0" w:color="auto"/>
        <w:bottom w:val="none" w:sz="0" w:space="0" w:color="auto"/>
        <w:right w:val="none" w:sz="0" w:space="0" w:color="auto"/>
      </w:divBdr>
    </w:div>
    <w:div w:id="1385639501">
      <w:bodyDiv w:val="1"/>
      <w:marLeft w:val="0"/>
      <w:marRight w:val="0"/>
      <w:marTop w:val="0"/>
      <w:marBottom w:val="0"/>
      <w:divBdr>
        <w:top w:val="none" w:sz="0" w:space="0" w:color="auto"/>
        <w:left w:val="none" w:sz="0" w:space="0" w:color="auto"/>
        <w:bottom w:val="none" w:sz="0" w:space="0" w:color="auto"/>
        <w:right w:val="none" w:sz="0" w:space="0" w:color="auto"/>
      </w:divBdr>
    </w:div>
    <w:div w:id="1385759509">
      <w:bodyDiv w:val="1"/>
      <w:marLeft w:val="0"/>
      <w:marRight w:val="0"/>
      <w:marTop w:val="0"/>
      <w:marBottom w:val="0"/>
      <w:divBdr>
        <w:top w:val="none" w:sz="0" w:space="0" w:color="auto"/>
        <w:left w:val="none" w:sz="0" w:space="0" w:color="auto"/>
        <w:bottom w:val="none" w:sz="0" w:space="0" w:color="auto"/>
        <w:right w:val="none" w:sz="0" w:space="0" w:color="auto"/>
      </w:divBdr>
    </w:div>
    <w:div w:id="1385984904">
      <w:bodyDiv w:val="1"/>
      <w:marLeft w:val="0"/>
      <w:marRight w:val="0"/>
      <w:marTop w:val="0"/>
      <w:marBottom w:val="0"/>
      <w:divBdr>
        <w:top w:val="none" w:sz="0" w:space="0" w:color="auto"/>
        <w:left w:val="none" w:sz="0" w:space="0" w:color="auto"/>
        <w:bottom w:val="none" w:sz="0" w:space="0" w:color="auto"/>
        <w:right w:val="none" w:sz="0" w:space="0" w:color="auto"/>
      </w:divBdr>
    </w:div>
    <w:div w:id="1386221522">
      <w:bodyDiv w:val="1"/>
      <w:marLeft w:val="0"/>
      <w:marRight w:val="0"/>
      <w:marTop w:val="0"/>
      <w:marBottom w:val="0"/>
      <w:divBdr>
        <w:top w:val="none" w:sz="0" w:space="0" w:color="auto"/>
        <w:left w:val="none" w:sz="0" w:space="0" w:color="auto"/>
        <w:bottom w:val="none" w:sz="0" w:space="0" w:color="auto"/>
        <w:right w:val="none" w:sz="0" w:space="0" w:color="auto"/>
      </w:divBdr>
    </w:div>
    <w:div w:id="1386373726">
      <w:bodyDiv w:val="1"/>
      <w:marLeft w:val="0"/>
      <w:marRight w:val="0"/>
      <w:marTop w:val="0"/>
      <w:marBottom w:val="0"/>
      <w:divBdr>
        <w:top w:val="none" w:sz="0" w:space="0" w:color="auto"/>
        <w:left w:val="none" w:sz="0" w:space="0" w:color="auto"/>
        <w:bottom w:val="none" w:sz="0" w:space="0" w:color="auto"/>
        <w:right w:val="none" w:sz="0" w:space="0" w:color="auto"/>
      </w:divBdr>
    </w:div>
    <w:div w:id="1386375557">
      <w:bodyDiv w:val="1"/>
      <w:marLeft w:val="0"/>
      <w:marRight w:val="0"/>
      <w:marTop w:val="0"/>
      <w:marBottom w:val="0"/>
      <w:divBdr>
        <w:top w:val="none" w:sz="0" w:space="0" w:color="auto"/>
        <w:left w:val="none" w:sz="0" w:space="0" w:color="auto"/>
        <w:bottom w:val="none" w:sz="0" w:space="0" w:color="auto"/>
        <w:right w:val="none" w:sz="0" w:space="0" w:color="auto"/>
      </w:divBdr>
    </w:div>
    <w:div w:id="1386567765">
      <w:bodyDiv w:val="1"/>
      <w:marLeft w:val="0"/>
      <w:marRight w:val="0"/>
      <w:marTop w:val="0"/>
      <w:marBottom w:val="0"/>
      <w:divBdr>
        <w:top w:val="none" w:sz="0" w:space="0" w:color="auto"/>
        <w:left w:val="none" w:sz="0" w:space="0" w:color="auto"/>
        <w:bottom w:val="none" w:sz="0" w:space="0" w:color="auto"/>
        <w:right w:val="none" w:sz="0" w:space="0" w:color="auto"/>
      </w:divBdr>
    </w:div>
    <w:div w:id="1387947196">
      <w:bodyDiv w:val="1"/>
      <w:marLeft w:val="0"/>
      <w:marRight w:val="0"/>
      <w:marTop w:val="0"/>
      <w:marBottom w:val="0"/>
      <w:divBdr>
        <w:top w:val="none" w:sz="0" w:space="0" w:color="auto"/>
        <w:left w:val="none" w:sz="0" w:space="0" w:color="auto"/>
        <w:bottom w:val="none" w:sz="0" w:space="0" w:color="auto"/>
        <w:right w:val="none" w:sz="0" w:space="0" w:color="auto"/>
      </w:divBdr>
    </w:div>
    <w:div w:id="1388526778">
      <w:bodyDiv w:val="1"/>
      <w:marLeft w:val="0"/>
      <w:marRight w:val="0"/>
      <w:marTop w:val="0"/>
      <w:marBottom w:val="0"/>
      <w:divBdr>
        <w:top w:val="none" w:sz="0" w:space="0" w:color="auto"/>
        <w:left w:val="none" w:sz="0" w:space="0" w:color="auto"/>
        <w:bottom w:val="none" w:sz="0" w:space="0" w:color="auto"/>
        <w:right w:val="none" w:sz="0" w:space="0" w:color="auto"/>
      </w:divBdr>
    </w:div>
    <w:div w:id="1388991323">
      <w:bodyDiv w:val="1"/>
      <w:marLeft w:val="0"/>
      <w:marRight w:val="0"/>
      <w:marTop w:val="0"/>
      <w:marBottom w:val="0"/>
      <w:divBdr>
        <w:top w:val="none" w:sz="0" w:space="0" w:color="auto"/>
        <w:left w:val="none" w:sz="0" w:space="0" w:color="auto"/>
        <w:bottom w:val="none" w:sz="0" w:space="0" w:color="auto"/>
        <w:right w:val="none" w:sz="0" w:space="0" w:color="auto"/>
      </w:divBdr>
    </w:div>
    <w:div w:id="1389036975">
      <w:bodyDiv w:val="1"/>
      <w:marLeft w:val="0"/>
      <w:marRight w:val="0"/>
      <w:marTop w:val="0"/>
      <w:marBottom w:val="0"/>
      <w:divBdr>
        <w:top w:val="none" w:sz="0" w:space="0" w:color="auto"/>
        <w:left w:val="none" w:sz="0" w:space="0" w:color="auto"/>
        <w:bottom w:val="none" w:sz="0" w:space="0" w:color="auto"/>
        <w:right w:val="none" w:sz="0" w:space="0" w:color="auto"/>
      </w:divBdr>
    </w:div>
    <w:div w:id="1389306579">
      <w:bodyDiv w:val="1"/>
      <w:marLeft w:val="0"/>
      <w:marRight w:val="0"/>
      <w:marTop w:val="0"/>
      <w:marBottom w:val="0"/>
      <w:divBdr>
        <w:top w:val="none" w:sz="0" w:space="0" w:color="auto"/>
        <w:left w:val="none" w:sz="0" w:space="0" w:color="auto"/>
        <w:bottom w:val="none" w:sz="0" w:space="0" w:color="auto"/>
        <w:right w:val="none" w:sz="0" w:space="0" w:color="auto"/>
      </w:divBdr>
    </w:div>
    <w:div w:id="1389841376">
      <w:bodyDiv w:val="1"/>
      <w:marLeft w:val="0"/>
      <w:marRight w:val="0"/>
      <w:marTop w:val="0"/>
      <w:marBottom w:val="0"/>
      <w:divBdr>
        <w:top w:val="none" w:sz="0" w:space="0" w:color="auto"/>
        <w:left w:val="none" w:sz="0" w:space="0" w:color="auto"/>
        <w:bottom w:val="none" w:sz="0" w:space="0" w:color="auto"/>
        <w:right w:val="none" w:sz="0" w:space="0" w:color="auto"/>
      </w:divBdr>
    </w:div>
    <w:div w:id="1389957067">
      <w:bodyDiv w:val="1"/>
      <w:marLeft w:val="0"/>
      <w:marRight w:val="0"/>
      <w:marTop w:val="0"/>
      <w:marBottom w:val="0"/>
      <w:divBdr>
        <w:top w:val="none" w:sz="0" w:space="0" w:color="auto"/>
        <w:left w:val="none" w:sz="0" w:space="0" w:color="auto"/>
        <w:bottom w:val="none" w:sz="0" w:space="0" w:color="auto"/>
        <w:right w:val="none" w:sz="0" w:space="0" w:color="auto"/>
      </w:divBdr>
    </w:div>
    <w:div w:id="1390300692">
      <w:bodyDiv w:val="1"/>
      <w:marLeft w:val="0"/>
      <w:marRight w:val="0"/>
      <w:marTop w:val="0"/>
      <w:marBottom w:val="0"/>
      <w:divBdr>
        <w:top w:val="none" w:sz="0" w:space="0" w:color="auto"/>
        <w:left w:val="none" w:sz="0" w:space="0" w:color="auto"/>
        <w:bottom w:val="none" w:sz="0" w:space="0" w:color="auto"/>
        <w:right w:val="none" w:sz="0" w:space="0" w:color="auto"/>
      </w:divBdr>
    </w:div>
    <w:div w:id="1390304066">
      <w:bodyDiv w:val="1"/>
      <w:marLeft w:val="0"/>
      <w:marRight w:val="0"/>
      <w:marTop w:val="0"/>
      <w:marBottom w:val="0"/>
      <w:divBdr>
        <w:top w:val="none" w:sz="0" w:space="0" w:color="auto"/>
        <w:left w:val="none" w:sz="0" w:space="0" w:color="auto"/>
        <w:bottom w:val="none" w:sz="0" w:space="0" w:color="auto"/>
        <w:right w:val="none" w:sz="0" w:space="0" w:color="auto"/>
      </w:divBdr>
    </w:div>
    <w:div w:id="1390612501">
      <w:bodyDiv w:val="1"/>
      <w:marLeft w:val="0"/>
      <w:marRight w:val="0"/>
      <w:marTop w:val="0"/>
      <w:marBottom w:val="0"/>
      <w:divBdr>
        <w:top w:val="none" w:sz="0" w:space="0" w:color="auto"/>
        <w:left w:val="none" w:sz="0" w:space="0" w:color="auto"/>
        <w:bottom w:val="none" w:sz="0" w:space="0" w:color="auto"/>
        <w:right w:val="none" w:sz="0" w:space="0" w:color="auto"/>
      </w:divBdr>
    </w:div>
    <w:div w:id="1390687111">
      <w:bodyDiv w:val="1"/>
      <w:marLeft w:val="0"/>
      <w:marRight w:val="0"/>
      <w:marTop w:val="0"/>
      <w:marBottom w:val="0"/>
      <w:divBdr>
        <w:top w:val="none" w:sz="0" w:space="0" w:color="auto"/>
        <w:left w:val="none" w:sz="0" w:space="0" w:color="auto"/>
        <w:bottom w:val="none" w:sz="0" w:space="0" w:color="auto"/>
        <w:right w:val="none" w:sz="0" w:space="0" w:color="auto"/>
      </w:divBdr>
    </w:div>
    <w:div w:id="1390884842">
      <w:bodyDiv w:val="1"/>
      <w:marLeft w:val="0"/>
      <w:marRight w:val="0"/>
      <w:marTop w:val="0"/>
      <w:marBottom w:val="0"/>
      <w:divBdr>
        <w:top w:val="none" w:sz="0" w:space="0" w:color="auto"/>
        <w:left w:val="none" w:sz="0" w:space="0" w:color="auto"/>
        <w:bottom w:val="none" w:sz="0" w:space="0" w:color="auto"/>
        <w:right w:val="none" w:sz="0" w:space="0" w:color="auto"/>
      </w:divBdr>
    </w:div>
    <w:div w:id="1391030067">
      <w:bodyDiv w:val="1"/>
      <w:marLeft w:val="0"/>
      <w:marRight w:val="0"/>
      <w:marTop w:val="0"/>
      <w:marBottom w:val="0"/>
      <w:divBdr>
        <w:top w:val="none" w:sz="0" w:space="0" w:color="auto"/>
        <w:left w:val="none" w:sz="0" w:space="0" w:color="auto"/>
        <w:bottom w:val="none" w:sz="0" w:space="0" w:color="auto"/>
        <w:right w:val="none" w:sz="0" w:space="0" w:color="auto"/>
      </w:divBdr>
    </w:div>
    <w:div w:id="1391073654">
      <w:bodyDiv w:val="1"/>
      <w:marLeft w:val="0"/>
      <w:marRight w:val="0"/>
      <w:marTop w:val="0"/>
      <w:marBottom w:val="0"/>
      <w:divBdr>
        <w:top w:val="none" w:sz="0" w:space="0" w:color="auto"/>
        <w:left w:val="none" w:sz="0" w:space="0" w:color="auto"/>
        <w:bottom w:val="none" w:sz="0" w:space="0" w:color="auto"/>
        <w:right w:val="none" w:sz="0" w:space="0" w:color="auto"/>
      </w:divBdr>
    </w:div>
    <w:div w:id="1391803071">
      <w:bodyDiv w:val="1"/>
      <w:marLeft w:val="0"/>
      <w:marRight w:val="0"/>
      <w:marTop w:val="0"/>
      <w:marBottom w:val="0"/>
      <w:divBdr>
        <w:top w:val="none" w:sz="0" w:space="0" w:color="auto"/>
        <w:left w:val="none" w:sz="0" w:space="0" w:color="auto"/>
        <w:bottom w:val="none" w:sz="0" w:space="0" w:color="auto"/>
        <w:right w:val="none" w:sz="0" w:space="0" w:color="auto"/>
      </w:divBdr>
    </w:div>
    <w:div w:id="1392190791">
      <w:bodyDiv w:val="1"/>
      <w:marLeft w:val="0"/>
      <w:marRight w:val="0"/>
      <w:marTop w:val="0"/>
      <w:marBottom w:val="0"/>
      <w:divBdr>
        <w:top w:val="none" w:sz="0" w:space="0" w:color="auto"/>
        <w:left w:val="none" w:sz="0" w:space="0" w:color="auto"/>
        <w:bottom w:val="none" w:sz="0" w:space="0" w:color="auto"/>
        <w:right w:val="none" w:sz="0" w:space="0" w:color="auto"/>
      </w:divBdr>
    </w:div>
    <w:div w:id="1392575957">
      <w:bodyDiv w:val="1"/>
      <w:marLeft w:val="0"/>
      <w:marRight w:val="0"/>
      <w:marTop w:val="0"/>
      <w:marBottom w:val="0"/>
      <w:divBdr>
        <w:top w:val="none" w:sz="0" w:space="0" w:color="auto"/>
        <w:left w:val="none" w:sz="0" w:space="0" w:color="auto"/>
        <w:bottom w:val="none" w:sz="0" w:space="0" w:color="auto"/>
        <w:right w:val="none" w:sz="0" w:space="0" w:color="auto"/>
      </w:divBdr>
    </w:div>
    <w:div w:id="1392850346">
      <w:bodyDiv w:val="1"/>
      <w:marLeft w:val="0"/>
      <w:marRight w:val="0"/>
      <w:marTop w:val="0"/>
      <w:marBottom w:val="0"/>
      <w:divBdr>
        <w:top w:val="none" w:sz="0" w:space="0" w:color="auto"/>
        <w:left w:val="none" w:sz="0" w:space="0" w:color="auto"/>
        <w:bottom w:val="none" w:sz="0" w:space="0" w:color="auto"/>
        <w:right w:val="none" w:sz="0" w:space="0" w:color="auto"/>
      </w:divBdr>
    </w:div>
    <w:div w:id="1393507204">
      <w:bodyDiv w:val="1"/>
      <w:marLeft w:val="0"/>
      <w:marRight w:val="0"/>
      <w:marTop w:val="0"/>
      <w:marBottom w:val="0"/>
      <w:divBdr>
        <w:top w:val="none" w:sz="0" w:space="0" w:color="auto"/>
        <w:left w:val="none" w:sz="0" w:space="0" w:color="auto"/>
        <w:bottom w:val="none" w:sz="0" w:space="0" w:color="auto"/>
        <w:right w:val="none" w:sz="0" w:space="0" w:color="auto"/>
      </w:divBdr>
    </w:div>
    <w:div w:id="1394113251">
      <w:bodyDiv w:val="1"/>
      <w:marLeft w:val="0"/>
      <w:marRight w:val="0"/>
      <w:marTop w:val="0"/>
      <w:marBottom w:val="0"/>
      <w:divBdr>
        <w:top w:val="none" w:sz="0" w:space="0" w:color="auto"/>
        <w:left w:val="none" w:sz="0" w:space="0" w:color="auto"/>
        <w:bottom w:val="none" w:sz="0" w:space="0" w:color="auto"/>
        <w:right w:val="none" w:sz="0" w:space="0" w:color="auto"/>
      </w:divBdr>
    </w:div>
    <w:div w:id="1394163203">
      <w:bodyDiv w:val="1"/>
      <w:marLeft w:val="0"/>
      <w:marRight w:val="0"/>
      <w:marTop w:val="0"/>
      <w:marBottom w:val="0"/>
      <w:divBdr>
        <w:top w:val="none" w:sz="0" w:space="0" w:color="auto"/>
        <w:left w:val="none" w:sz="0" w:space="0" w:color="auto"/>
        <w:bottom w:val="none" w:sz="0" w:space="0" w:color="auto"/>
        <w:right w:val="none" w:sz="0" w:space="0" w:color="auto"/>
      </w:divBdr>
    </w:div>
    <w:div w:id="1394422735">
      <w:bodyDiv w:val="1"/>
      <w:marLeft w:val="0"/>
      <w:marRight w:val="0"/>
      <w:marTop w:val="0"/>
      <w:marBottom w:val="0"/>
      <w:divBdr>
        <w:top w:val="none" w:sz="0" w:space="0" w:color="auto"/>
        <w:left w:val="none" w:sz="0" w:space="0" w:color="auto"/>
        <w:bottom w:val="none" w:sz="0" w:space="0" w:color="auto"/>
        <w:right w:val="none" w:sz="0" w:space="0" w:color="auto"/>
      </w:divBdr>
    </w:div>
    <w:div w:id="1394694927">
      <w:bodyDiv w:val="1"/>
      <w:marLeft w:val="0"/>
      <w:marRight w:val="0"/>
      <w:marTop w:val="0"/>
      <w:marBottom w:val="0"/>
      <w:divBdr>
        <w:top w:val="none" w:sz="0" w:space="0" w:color="auto"/>
        <w:left w:val="none" w:sz="0" w:space="0" w:color="auto"/>
        <w:bottom w:val="none" w:sz="0" w:space="0" w:color="auto"/>
        <w:right w:val="none" w:sz="0" w:space="0" w:color="auto"/>
      </w:divBdr>
    </w:div>
    <w:div w:id="1394963330">
      <w:bodyDiv w:val="1"/>
      <w:marLeft w:val="0"/>
      <w:marRight w:val="0"/>
      <w:marTop w:val="0"/>
      <w:marBottom w:val="0"/>
      <w:divBdr>
        <w:top w:val="none" w:sz="0" w:space="0" w:color="auto"/>
        <w:left w:val="none" w:sz="0" w:space="0" w:color="auto"/>
        <w:bottom w:val="none" w:sz="0" w:space="0" w:color="auto"/>
        <w:right w:val="none" w:sz="0" w:space="0" w:color="auto"/>
      </w:divBdr>
    </w:div>
    <w:div w:id="1395465518">
      <w:bodyDiv w:val="1"/>
      <w:marLeft w:val="0"/>
      <w:marRight w:val="0"/>
      <w:marTop w:val="0"/>
      <w:marBottom w:val="0"/>
      <w:divBdr>
        <w:top w:val="none" w:sz="0" w:space="0" w:color="auto"/>
        <w:left w:val="none" w:sz="0" w:space="0" w:color="auto"/>
        <w:bottom w:val="none" w:sz="0" w:space="0" w:color="auto"/>
        <w:right w:val="none" w:sz="0" w:space="0" w:color="auto"/>
      </w:divBdr>
    </w:div>
    <w:div w:id="1395590680">
      <w:bodyDiv w:val="1"/>
      <w:marLeft w:val="0"/>
      <w:marRight w:val="0"/>
      <w:marTop w:val="0"/>
      <w:marBottom w:val="0"/>
      <w:divBdr>
        <w:top w:val="none" w:sz="0" w:space="0" w:color="auto"/>
        <w:left w:val="none" w:sz="0" w:space="0" w:color="auto"/>
        <w:bottom w:val="none" w:sz="0" w:space="0" w:color="auto"/>
        <w:right w:val="none" w:sz="0" w:space="0" w:color="auto"/>
      </w:divBdr>
    </w:div>
    <w:div w:id="1395661649">
      <w:bodyDiv w:val="1"/>
      <w:marLeft w:val="0"/>
      <w:marRight w:val="0"/>
      <w:marTop w:val="0"/>
      <w:marBottom w:val="0"/>
      <w:divBdr>
        <w:top w:val="none" w:sz="0" w:space="0" w:color="auto"/>
        <w:left w:val="none" w:sz="0" w:space="0" w:color="auto"/>
        <w:bottom w:val="none" w:sz="0" w:space="0" w:color="auto"/>
        <w:right w:val="none" w:sz="0" w:space="0" w:color="auto"/>
      </w:divBdr>
    </w:div>
    <w:div w:id="1396198426">
      <w:bodyDiv w:val="1"/>
      <w:marLeft w:val="0"/>
      <w:marRight w:val="0"/>
      <w:marTop w:val="0"/>
      <w:marBottom w:val="0"/>
      <w:divBdr>
        <w:top w:val="none" w:sz="0" w:space="0" w:color="auto"/>
        <w:left w:val="none" w:sz="0" w:space="0" w:color="auto"/>
        <w:bottom w:val="none" w:sz="0" w:space="0" w:color="auto"/>
        <w:right w:val="none" w:sz="0" w:space="0" w:color="auto"/>
      </w:divBdr>
    </w:div>
    <w:div w:id="1396397252">
      <w:bodyDiv w:val="1"/>
      <w:marLeft w:val="0"/>
      <w:marRight w:val="0"/>
      <w:marTop w:val="0"/>
      <w:marBottom w:val="0"/>
      <w:divBdr>
        <w:top w:val="none" w:sz="0" w:space="0" w:color="auto"/>
        <w:left w:val="none" w:sz="0" w:space="0" w:color="auto"/>
        <w:bottom w:val="none" w:sz="0" w:space="0" w:color="auto"/>
        <w:right w:val="none" w:sz="0" w:space="0" w:color="auto"/>
      </w:divBdr>
    </w:div>
    <w:div w:id="1396397535">
      <w:bodyDiv w:val="1"/>
      <w:marLeft w:val="0"/>
      <w:marRight w:val="0"/>
      <w:marTop w:val="0"/>
      <w:marBottom w:val="0"/>
      <w:divBdr>
        <w:top w:val="none" w:sz="0" w:space="0" w:color="auto"/>
        <w:left w:val="none" w:sz="0" w:space="0" w:color="auto"/>
        <w:bottom w:val="none" w:sz="0" w:space="0" w:color="auto"/>
        <w:right w:val="none" w:sz="0" w:space="0" w:color="auto"/>
      </w:divBdr>
    </w:div>
    <w:div w:id="1396472441">
      <w:bodyDiv w:val="1"/>
      <w:marLeft w:val="0"/>
      <w:marRight w:val="0"/>
      <w:marTop w:val="0"/>
      <w:marBottom w:val="0"/>
      <w:divBdr>
        <w:top w:val="none" w:sz="0" w:space="0" w:color="auto"/>
        <w:left w:val="none" w:sz="0" w:space="0" w:color="auto"/>
        <w:bottom w:val="none" w:sz="0" w:space="0" w:color="auto"/>
        <w:right w:val="none" w:sz="0" w:space="0" w:color="auto"/>
      </w:divBdr>
    </w:div>
    <w:div w:id="1396588134">
      <w:bodyDiv w:val="1"/>
      <w:marLeft w:val="0"/>
      <w:marRight w:val="0"/>
      <w:marTop w:val="0"/>
      <w:marBottom w:val="0"/>
      <w:divBdr>
        <w:top w:val="none" w:sz="0" w:space="0" w:color="auto"/>
        <w:left w:val="none" w:sz="0" w:space="0" w:color="auto"/>
        <w:bottom w:val="none" w:sz="0" w:space="0" w:color="auto"/>
        <w:right w:val="none" w:sz="0" w:space="0" w:color="auto"/>
      </w:divBdr>
    </w:div>
    <w:div w:id="1396859875">
      <w:bodyDiv w:val="1"/>
      <w:marLeft w:val="0"/>
      <w:marRight w:val="0"/>
      <w:marTop w:val="0"/>
      <w:marBottom w:val="0"/>
      <w:divBdr>
        <w:top w:val="none" w:sz="0" w:space="0" w:color="auto"/>
        <w:left w:val="none" w:sz="0" w:space="0" w:color="auto"/>
        <w:bottom w:val="none" w:sz="0" w:space="0" w:color="auto"/>
        <w:right w:val="none" w:sz="0" w:space="0" w:color="auto"/>
      </w:divBdr>
    </w:div>
    <w:div w:id="1396974376">
      <w:bodyDiv w:val="1"/>
      <w:marLeft w:val="0"/>
      <w:marRight w:val="0"/>
      <w:marTop w:val="0"/>
      <w:marBottom w:val="0"/>
      <w:divBdr>
        <w:top w:val="none" w:sz="0" w:space="0" w:color="auto"/>
        <w:left w:val="none" w:sz="0" w:space="0" w:color="auto"/>
        <w:bottom w:val="none" w:sz="0" w:space="0" w:color="auto"/>
        <w:right w:val="none" w:sz="0" w:space="0" w:color="auto"/>
      </w:divBdr>
    </w:div>
    <w:div w:id="1397314098">
      <w:bodyDiv w:val="1"/>
      <w:marLeft w:val="0"/>
      <w:marRight w:val="0"/>
      <w:marTop w:val="0"/>
      <w:marBottom w:val="0"/>
      <w:divBdr>
        <w:top w:val="none" w:sz="0" w:space="0" w:color="auto"/>
        <w:left w:val="none" w:sz="0" w:space="0" w:color="auto"/>
        <w:bottom w:val="none" w:sz="0" w:space="0" w:color="auto"/>
        <w:right w:val="none" w:sz="0" w:space="0" w:color="auto"/>
      </w:divBdr>
    </w:div>
    <w:div w:id="1397626770">
      <w:bodyDiv w:val="1"/>
      <w:marLeft w:val="0"/>
      <w:marRight w:val="0"/>
      <w:marTop w:val="0"/>
      <w:marBottom w:val="0"/>
      <w:divBdr>
        <w:top w:val="none" w:sz="0" w:space="0" w:color="auto"/>
        <w:left w:val="none" w:sz="0" w:space="0" w:color="auto"/>
        <w:bottom w:val="none" w:sz="0" w:space="0" w:color="auto"/>
        <w:right w:val="none" w:sz="0" w:space="0" w:color="auto"/>
      </w:divBdr>
    </w:div>
    <w:div w:id="1397818837">
      <w:bodyDiv w:val="1"/>
      <w:marLeft w:val="0"/>
      <w:marRight w:val="0"/>
      <w:marTop w:val="0"/>
      <w:marBottom w:val="0"/>
      <w:divBdr>
        <w:top w:val="none" w:sz="0" w:space="0" w:color="auto"/>
        <w:left w:val="none" w:sz="0" w:space="0" w:color="auto"/>
        <w:bottom w:val="none" w:sz="0" w:space="0" w:color="auto"/>
        <w:right w:val="none" w:sz="0" w:space="0" w:color="auto"/>
      </w:divBdr>
    </w:div>
    <w:div w:id="1398016286">
      <w:bodyDiv w:val="1"/>
      <w:marLeft w:val="0"/>
      <w:marRight w:val="0"/>
      <w:marTop w:val="0"/>
      <w:marBottom w:val="0"/>
      <w:divBdr>
        <w:top w:val="none" w:sz="0" w:space="0" w:color="auto"/>
        <w:left w:val="none" w:sz="0" w:space="0" w:color="auto"/>
        <w:bottom w:val="none" w:sz="0" w:space="0" w:color="auto"/>
        <w:right w:val="none" w:sz="0" w:space="0" w:color="auto"/>
      </w:divBdr>
    </w:div>
    <w:div w:id="1398432779">
      <w:bodyDiv w:val="1"/>
      <w:marLeft w:val="0"/>
      <w:marRight w:val="0"/>
      <w:marTop w:val="0"/>
      <w:marBottom w:val="0"/>
      <w:divBdr>
        <w:top w:val="none" w:sz="0" w:space="0" w:color="auto"/>
        <w:left w:val="none" w:sz="0" w:space="0" w:color="auto"/>
        <w:bottom w:val="none" w:sz="0" w:space="0" w:color="auto"/>
        <w:right w:val="none" w:sz="0" w:space="0" w:color="auto"/>
      </w:divBdr>
    </w:div>
    <w:div w:id="1398473072">
      <w:bodyDiv w:val="1"/>
      <w:marLeft w:val="0"/>
      <w:marRight w:val="0"/>
      <w:marTop w:val="0"/>
      <w:marBottom w:val="0"/>
      <w:divBdr>
        <w:top w:val="none" w:sz="0" w:space="0" w:color="auto"/>
        <w:left w:val="none" w:sz="0" w:space="0" w:color="auto"/>
        <w:bottom w:val="none" w:sz="0" w:space="0" w:color="auto"/>
        <w:right w:val="none" w:sz="0" w:space="0" w:color="auto"/>
      </w:divBdr>
    </w:div>
    <w:div w:id="1398476803">
      <w:bodyDiv w:val="1"/>
      <w:marLeft w:val="0"/>
      <w:marRight w:val="0"/>
      <w:marTop w:val="0"/>
      <w:marBottom w:val="0"/>
      <w:divBdr>
        <w:top w:val="none" w:sz="0" w:space="0" w:color="auto"/>
        <w:left w:val="none" w:sz="0" w:space="0" w:color="auto"/>
        <w:bottom w:val="none" w:sz="0" w:space="0" w:color="auto"/>
        <w:right w:val="none" w:sz="0" w:space="0" w:color="auto"/>
      </w:divBdr>
    </w:div>
    <w:div w:id="1398818913">
      <w:bodyDiv w:val="1"/>
      <w:marLeft w:val="0"/>
      <w:marRight w:val="0"/>
      <w:marTop w:val="0"/>
      <w:marBottom w:val="0"/>
      <w:divBdr>
        <w:top w:val="none" w:sz="0" w:space="0" w:color="auto"/>
        <w:left w:val="none" w:sz="0" w:space="0" w:color="auto"/>
        <w:bottom w:val="none" w:sz="0" w:space="0" w:color="auto"/>
        <w:right w:val="none" w:sz="0" w:space="0" w:color="auto"/>
      </w:divBdr>
    </w:div>
    <w:div w:id="1399132837">
      <w:bodyDiv w:val="1"/>
      <w:marLeft w:val="0"/>
      <w:marRight w:val="0"/>
      <w:marTop w:val="0"/>
      <w:marBottom w:val="0"/>
      <w:divBdr>
        <w:top w:val="none" w:sz="0" w:space="0" w:color="auto"/>
        <w:left w:val="none" w:sz="0" w:space="0" w:color="auto"/>
        <w:bottom w:val="none" w:sz="0" w:space="0" w:color="auto"/>
        <w:right w:val="none" w:sz="0" w:space="0" w:color="auto"/>
      </w:divBdr>
    </w:div>
    <w:div w:id="1399160522">
      <w:bodyDiv w:val="1"/>
      <w:marLeft w:val="0"/>
      <w:marRight w:val="0"/>
      <w:marTop w:val="0"/>
      <w:marBottom w:val="0"/>
      <w:divBdr>
        <w:top w:val="none" w:sz="0" w:space="0" w:color="auto"/>
        <w:left w:val="none" w:sz="0" w:space="0" w:color="auto"/>
        <w:bottom w:val="none" w:sz="0" w:space="0" w:color="auto"/>
        <w:right w:val="none" w:sz="0" w:space="0" w:color="auto"/>
      </w:divBdr>
    </w:div>
    <w:div w:id="1399329279">
      <w:bodyDiv w:val="1"/>
      <w:marLeft w:val="0"/>
      <w:marRight w:val="0"/>
      <w:marTop w:val="0"/>
      <w:marBottom w:val="0"/>
      <w:divBdr>
        <w:top w:val="none" w:sz="0" w:space="0" w:color="auto"/>
        <w:left w:val="none" w:sz="0" w:space="0" w:color="auto"/>
        <w:bottom w:val="none" w:sz="0" w:space="0" w:color="auto"/>
        <w:right w:val="none" w:sz="0" w:space="0" w:color="auto"/>
      </w:divBdr>
    </w:div>
    <w:div w:id="1399594523">
      <w:bodyDiv w:val="1"/>
      <w:marLeft w:val="0"/>
      <w:marRight w:val="0"/>
      <w:marTop w:val="0"/>
      <w:marBottom w:val="0"/>
      <w:divBdr>
        <w:top w:val="none" w:sz="0" w:space="0" w:color="auto"/>
        <w:left w:val="none" w:sz="0" w:space="0" w:color="auto"/>
        <w:bottom w:val="none" w:sz="0" w:space="0" w:color="auto"/>
        <w:right w:val="none" w:sz="0" w:space="0" w:color="auto"/>
      </w:divBdr>
    </w:div>
    <w:div w:id="1399787764">
      <w:bodyDiv w:val="1"/>
      <w:marLeft w:val="0"/>
      <w:marRight w:val="0"/>
      <w:marTop w:val="0"/>
      <w:marBottom w:val="0"/>
      <w:divBdr>
        <w:top w:val="none" w:sz="0" w:space="0" w:color="auto"/>
        <w:left w:val="none" w:sz="0" w:space="0" w:color="auto"/>
        <w:bottom w:val="none" w:sz="0" w:space="0" w:color="auto"/>
        <w:right w:val="none" w:sz="0" w:space="0" w:color="auto"/>
      </w:divBdr>
    </w:div>
    <w:div w:id="1400595022">
      <w:bodyDiv w:val="1"/>
      <w:marLeft w:val="0"/>
      <w:marRight w:val="0"/>
      <w:marTop w:val="0"/>
      <w:marBottom w:val="0"/>
      <w:divBdr>
        <w:top w:val="none" w:sz="0" w:space="0" w:color="auto"/>
        <w:left w:val="none" w:sz="0" w:space="0" w:color="auto"/>
        <w:bottom w:val="none" w:sz="0" w:space="0" w:color="auto"/>
        <w:right w:val="none" w:sz="0" w:space="0" w:color="auto"/>
      </w:divBdr>
    </w:div>
    <w:div w:id="1400783878">
      <w:bodyDiv w:val="1"/>
      <w:marLeft w:val="0"/>
      <w:marRight w:val="0"/>
      <w:marTop w:val="0"/>
      <w:marBottom w:val="0"/>
      <w:divBdr>
        <w:top w:val="none" w:sz="0" w:space="0" w:color="auto"/>
        <w:left w:val="none" w:sz="0" w:space="0" w:color="auto"/>
        <w:bottom w:val="none" w:sz="0" w:space="0" w:color="auto"/>
        <w:right w:val="none" w:sz="0" w:space="0" w:color="auto"/>
      </w:divBdr>
    </w:div>
    <w:div w:id="1401052851">
      <w:bodyDiv w:val="1"/>
      <w:marLeft w:val="0"/>
      <w:marRight w:val="0"/>
      <w:marTop w:val="0"/>
      <w:marBottom w:val="0"/>
      <w:divBdr>
        <w:top w:val="none" w:sz="0" w:space="0" w:color="auto"/>
        <w:left w:val="none" w:sz="0" w:space="0" w:color="auto"/>
        <w:bottom w:val="none" w:sz="0" w:space="0" w:color="auto"/>
        <w:right w:val="none" w:sz="0" w:space="0" w:color="auto"/>
      </w:divBdr>
    </w:div>
    <w:div w:id="1401519197">
      <w:bodyDiv w:val="1"/>
      <w:marLeft w:val="0"/>
      <w:marRight w:val="0"/>
      <w:marTop w:val="0"/>
      <w:marBottom w:val="0"/>
      <w:divBdr>
        <w:top w:val="none" w:sz="0" w:space="0" w:color="auto"/>
        <w:left w:val="none" w:sz="0" w:space="0" w:color="auto"/>
        <w:bottom w:val="none" w:sz="0" w:space="0" w:color="auto"/>
        <w:right w:val="none" w:sz="0" w:space="0" w:color="auto"/>
      </w:divBdr>
    </w:div>
    <w:div w:id="1401637573">
      <w:bodyDiv w:val="1"/>
      <w:marLeft w:val="0"/>
      <w:marRight w:val="0"/>
      <w:marTop w:val="0"/>
      <w:marBottom w:val="0"/>
      <w:divBdr>
        <w:top w:val="none" w:sz="0" w:space="0" w:color="auto"/>
        <w:left w:val="none" w:sz="0" w:space="0" w:color="auto"/>
        <w:bottom w:val="none" w:sz="0" w:space="0" w:color="auto"/>
        <w:right w:val="none" w:sz="0" w:space="0" w:color="auto"/>
      </w:divBdr>
    </w:div>
    <w:div w:id="1402098439">
      <w:bodyDiv w:val="1"/>
      <w:marLeft w:val="0"/>
      <w:marRight w:val="0"/>
      <w:marTop w:val="0"/>
      <w:marBottom w:val="0"/>
      <w:divBdr>
        <w:top w:val="none" w:sz="0" w:space="0" w:color="auto"/>
        <w:left w:val="none" w:sz="0" w:space="0" w:color="auto"/>
        <w:bottom w:val="none" w:sz="0" w:space="0" w:color="auto"/>
        <w:right w:val="none" w:sz="0" w:space="0" w:color="auto"/>
      </w:divBdr>
    </w:div>
    <w:div w:id="1402412751">
      <w:bodyDiv w:val="1"/>
      <w:marLeft w:val="0"/>
      <w:marRight w:val="0"/>
      <w:marTop w:val="0"/>
      <w:marBottom w:val="0"/>
      <w:divBdr>
        <w:top w:val="none" w:sz="0" w:space="0" w:color="auto"/>
        <w:left w:val="none" w:sz="0" w:space="0" w:color="auto"/>
        <w:bottom w:val="none" w:sz="0" w:space="0" w:color="auto"/>
        <w:right w:val="none" w:sz="0" w:space="0" w:color="auto"/>
      </w:divBdr>
    </w:div>
    <w:div w:id="1402752004">
      <w:bodyDiv w:val="1"/>
      <w:marLeft w:val="0"/>
      <w:marRight w:val="0"/>
      <w:marTop w:val="0"/>
      <w:marBottom w:val="0"/>
      <w:divBdr>
        <w:top w:val="none" w:sz="0" w:space="0" w:color="auto"/>
        <w:left w:val="none" w:sz="0" w:space="0" w:color="auto"/>
        <w:bottom w:val="none" w:sz="0" w:space="0" w:color="auto"/>
        <w:right w:val="none" w:sz="0" w:space="0" w:color="auto"/>
      </w:divBdr>
    </w:div>
    <w:div w:id="1403258431">
      <w:bodyDiv w:val="1"/>
      <w:marLeft w:val="0"/>
      <w:marRight w:val="0"/>
      <w:marTop w:val="0"/>
      <w:marBottom w:val="0"/>
      <w:divBdr>
        <w:top w:val="none" w:sz="0" w:space="0" w:color="auto"/>
        <w:left w:val="none" w:sz="0" w:space="0" w:color="auto"/>
        <w:bottom w:val="none" w:sz="0" w:space="0" w:color="auto"/>
        <w:right w:val="none" w:sz="0" w:space="0" w:color="auto"/>
      </w:divBdr>
    </w:div>
    <w:div w:id="1403522976">
      <w:bodyDiv w:val="1"/>
      <w:marLeft w:val="0"/>
      <w:marRight w:val="0"/>
      <w:marTop w:val="0"/>
      <w:marBottom w:val="0"/>
      <w:divBdr>
        <w:top w:val="none" w:sz="0" w:space="0" w:color="auto"/>
        <w:left w:val="none" w:sz="0" w:space="0" w:color="auto"/>
        <w:bottom w:val="none" w:sz="0" w:space="0" w:color="auto"/>
        <w:right w:val="none" w:sz="0" w:space="0" w:color="auto"/>
      </w:divBdr>
    </w:div>
    <w:div w:id="1403717876">
      <w:bodyDiv w:val="1"/>
      <w:marLeft w:val="0"/>
      <w:marRight w:val="0"/>
      <w:marTop w:val="0"/>
      <w:marBottom w:val="0"/>
      <w:divBdr>
        <w:top w:val="none" w:sz="0" w:space="0" w:color="auto"/>
        <w:left w:val="none" w:sz="0" w:space="0" w:color="auto"/>
        <w:bottom w:val="none" w:sz="0" w:space="0" w:color="auto"/>
        <w:right w:val="none" w:sz="0" w:space="0" w:color="auto"/>
      </w:divBdr>
    </w:div>
    <w:div w:id="1403914374">
      <w:bodyDiv w:val="1"/>
      <w:marLeft w:val="0"/>
      <w:marRight w:val="0"/>
      <w:marTop w:val="0"/>
      <w:marBottom w:val="0"/>
      <w:divBdr>
        <w:top w:val="none" w:sz="0" w:space="0" w:color="auto"/>
        <w:left w:val="none" w:sz="0" w:space="0" w:color="auto"/>
        <w:bottom w:val="none" w:sz="0" w:space="0" w:color="auto"/>
        <w:right w:val="none" w:sz="0" w:space="0" w:color="auto"/>
      </w:divBdr>
    </w:div>
    <w:div w:id="1404833161">
      <w:bodyDiv w:val="1"/>
      <w:marLeft w:val="0"/>
      <w:marRight w:val="0"/>
      <w:marTop w:val="0"/>
      <w:marBottom w:val="0"/>
      <w:divBdr>
        <w:top w:val="none" w:sz="0" w:space="0" w:color="auto"/>
        <w:left w:val="none" w:sz="0" w:space="0" w:color="auto"/>
        <w:bottom w:val="none" w:sz="0" w:space="0" w:color="auto"/>
        <w:right w:val="none" w:sz="0" w:space="0" w:color="auto"/>
      </w:divBdr>
    </w:div>
    <w:div w:id="1405026920">
      <w:bodyDiv w:val="1"/>
      <w:marLeft w:val="0"/>
      <w:marRight w:val="0"/>
      <w:marTop w:val="0"/>
      <w:marBottom w:val="0"/>
      <w:divBdr>
        <w:top w:val="none" w:sz="0" w:space="0" w:color="auto"/>
        <w:left w:val="none" w:sz="0" w:space="0" w:color="auto"/>
        <w:bottom w:val="none" w:sz="0" w:space="0" w:color="auto"/>
        <w:right w:val="none" w:sz="0" w:space="0" w:color="auto"/>
      </w:divBdr>
    </w:div>
    <w:div w:id="1405374477">
      <w:bodyDiv w:val="1"/>
      <w:marLeft w:val="0"/>
      <w:marRight w:val="0"/>
      <w:marTop w:val="0"/>
      <w:marBottom w:val="0"/>
      <w:divBdr>
        <w:top w:val="none" w:sz="0" w:space="0" w:color="auto"/>
        <w:left w:val="none" w:sz="0" w:space="0" w:color="auto"/>
        <w:bottom w:val="none" w:sz="0" w:space="0" w:color="auto"/>
        <w:right w:val="none" w:sz="0" w:space="0" w:color="auto"/>
      </w:divBdr>
    </w:div>
    <w:div w:id="1405953184">
      <w:bodyDiv w:val="1"/>
      <w:marLeft w:val="0"/>
      <w:marRight w:val="0"/>
      <w:marTop w:val="0"/>
      <w:marBottom w:val="0"/>
      <w:divBdr>
        <w:top w:val="none" w:sz="0" w:space="0" w:color="auto"/>
        <w:left w:val="none" w:sz="0" w:space="0" w:color="auto"/>
        <w:bottom w:val="none" w:sz="0" w:space="0" w:color="auto"/>
        <w:right w:val="none" w:sz="0" w:space="0" w:color="auto"/>
      </w:divBdr>
    </w:div>
    <w:div w:id="1406494634">
      <w:bodyDiv w:val="1"/>
      <w:marLeft w:val="0"/>
      <w:marRight w:val="0"/>
      <w:marTop w:val="0"/>
      <w:marBottom w:val="0"/>
      <w:divBdr>
        <w:top w:val="none" w:sz="0" w:space="0" w:color="auto"/>
        <w:left w:val="none" w:sz="0" w:space="0" w:color="auto"/>
        <w:bottom w:val="none" w:sz="0" w:space="0" w:color="auto"/>
        <w:right w:val="none" w:sz="0" w:space="0" w:color="auto"/>
      </w:divBdr>
    </w:div>
    <w:div w:id="1407653356">
      <w:bodyDiv w:val="1"/>
      <w:marLeft w:val="0"/>
      <w:marRight w:val="0"/>
      <w:marTop w:val="0"/>
      <w:marBottom w:val="0"/>
      <w:divBdr>
        <w:top w:val="none" w:sz="0" w:space="0" w:color="auto"/>
        <w:left w:val="none" w:sz="0" w:space="0" w:color="auto"/>
        <w:bottom w:val="none" w:sz="0" w:space="0" w:color="auto"/>
        <w:right w:val="none" w:sz="0" w:space="0" w:color="auto"/>
      </w:divBdr>
    </w:div>
    <w:div w:id="1407653378">
      <w:bodyDiv w:val="1"/>
      <w:marLeft w:val="0"/>
      <w:marRight w:val="0"/>
      <w:marTop w:val="0"/>
      <w:marBottom w:val="0"/>
      <w:divBdr>
        <w:top w:val="none" w:sz="0" w:space="0" w:color="auto"/>
        <w:left w:val="none" w:sz="0" w:space="0" w:color="auto"/>
        <w:bottom w:val="none" w:sz="0" w:space="0" w:color="auto"/>
        <w:right w:val="none" w:sz="0" w:space="0" w:color="auto"/>
      </w:divBdr>
    </w:div>
    <w:div w:id="1407920729">
      <w:bodyDiv w:val="1"/>
      <w:marLeft w:val="0"/>
      <w:marRight w:val="0"/>
      <w:marTop w:val="0"/>
      <w:marBottom w:val="0"/>
      <w:divBdr>
        <w:top w:val="none" w:sz="0" w:space="0" w:color="auto"/>
        <w:left w:val="none" w:sz="0" w:space="0" w:color="auto"/>
        <w:bottom w:val="none" w:sz="0" w:space="0" w:color="auto"/>
        <w:right w:val="none" w:sz="0" w:space="0" w:color="auto"/>
      </w:divBdr>
    </w:div>
    <w:div w:id="1408650221">
      <w:bodyDiv w:val="1"/>
      <w:marLeft w:val="0"/>
      <w:marRight w:val="0"/>
      <w:marTop w:val="0"/>
      <w:marBottom w:val="0"/>
      <w:divBdr>
        <w:top w:val="none" w:sz="0" w:space="0" w:color="auto"/>
        <w:left w:val="none" w:sz="0" w:space="0" w:color="auto"/>
        <w:bottom w:val="none" w:sz="0" w:space="0" w:color="auto"/>
        <w:right w:val="none" w:sz="0" w:space="0" w:color="auto"/>
      </w:divBdr>
    </w:div>
    <w:div w:id="1408990058">
      <w:bodyDiv w:val="1"/>
      <w:marLeft w:val="0"/>
      <w:marRight w:val="0"/>
      <w:marTop w:val="0"/>
      <w:marBottom w:val="0"/>
      <w:divBdr>
        <w:top w:val="none" w:sz="0" w:space="0" w:color="auto"/>
        <w:left w:val="none" w:sz="0" w:space="0" w:color="auto"/>
        <w:bottom w:val="none" w:sz="0" w:space="0" w:color="auto"/>
        <w:right w:val="none" w:sz="0" w:space="0" w:color="auto"/>
      </w:divBdr>
    </w:div>
    <w:div w:id="1409040009">
      <w:bodyDiv w:val="1"/>
      <w:marLeft w:val="0"/>
      <w:marRight w:val="0"/>
      <w:marTop w:val="0"/>
      <w:marBottom w:val="0"/>
      <w:divBdr>
        <w:top w:val="none" w:sz="0" w:space="0" w:color="auto"/>
        <w:left w:val="none" w:sz="0" w:space="0" w:color="auto"/>
        <w:bottom w:val="none" w:sz="0" w:space="0" w:color="auto"/>
        <w:right w:val="none" w:sz="0" w:space="0" w:color="auto"/>
      </w:divBdr>
    </w:div>
    <w:div w:id="1409185719">
      <w:bodyDiv w:val="1"/>
      <w:marLeft w:val="0"/>
      <w:marRight w:val="0"/>
      <w:marTop w:val="0"/>
      <w:marBottom w:val="0"/>
      <w:divBdr>
        <w:top w:val="none" w:sz="0" w:space="0" w:color="auto"/>
        <w:left w:val="none" w:sz="0" w:space="0" w:color="auto"/>
        <w:bottom w:val="none" w:sz="0" w:space="0" w:color="auto"/>
        <w:right w:val="none" w:sz="0" w:space="0" w:color="auto"/>
      </w:divBdr>
    </w:div>
    <w:div w:id="1409305105">
      <w:bodyDiv w:val="1"/>
      <w:marLeft w:val="0"/>
      <w:marRight w:val="0"/>
      <w:marTop w:val="0"/>
      <w:marBottom w:val="0"/>
      <w:divBdr>
        <w:top w:val="none" w:sz="0" w:space="0" w:color="auto"/>
        <w:left w:val="none" w:sz="0" w:space="0" w:color="auto"/>
        <w:bottom w:val="none" w:sz="0" w:space="0" w:color="auto"/>
        <w:right w:val="none" w:sz="0" w:space="0" w:color="auto"/>
      </w:divBdr>
    </w:div>
    <w:div w:id="1409498456">
      <w:bodyDiv w:val="1"/>
      <w:marLeft w:val="0"/>
      <w:marRight w:val="0"/>
      <w:marTop w:val="0"/>
      <w:marBottom w:val="0"/>
      <w:divBdr>
        <w:top w:val="none" w:sz="0" w:space="0" w:color="auto"/>
        <w:left w:val="none" w:sz="0" w:space="0" w:color="auto"/>
        <w:bottom w:val="none" w:sz="0" w:space="0" w:color="auto"/>
        <w:right w:val="none" w:sz="0" w:space="0" w:color="auto"/>
      </w:divBdr>
    </w:div>
    <w:div w:id="1409764234">
      <w:bodyDiv w:val="1"/>
      <w:marLeft w:val="0"/>
      <w:marRight w:val="0"/>
      <w:marTop w:val="0"/>
      <w:marBottom w:val="0"/>
      <w:divBdr>
        <w:top w:val="none" w:sz="0" w:space="0" w:color="auto"/>
        <w:left w:val="none" w:sz="0" w:space="0" w:color="auto"/>
        <w:bottom w:val="none" w:sz="0" w:space="0" w:color="auto"/>
        <w:right w:val="none" w:sz="0" w:space="0" w:color="auto"/>
      </w:divBdr>
    </w:div>
    <w:div w:id="1409841121">
      <w:bodyDiv w:val="1"/>
      <w:marLeft w:val="0"/>
      <w:marRight w:val="0"/>
      <w:marTop w:val="0"/>
      <w:marBottom w:val="0"/>
      <w:divBdr>
        <w:top w:val="none" w:sz="0" w:space="0" w:color="auto"/>
        <w:left w:val="none" w:sz="0" w:space="0" w:color="auto"/>
        <w:bottom w:val="none" w:sz="0" w:space="0" w:color="auto"/>
        <w:right w:val="none" w:sz="0" w:space="0" w:color="auto"/>
      </w:divBdr>
    </w:div>
    <w:div w:id="1410031193">
      <w:bodyDiv w:val="1"/>
      <w:marLeft w:val="0"/>
      <w:marRight w:val="0"/>
      <w:marTop w:val="0"/>
      <w:marBottom w:val="0"/>
      <w:divBdr>
        <w:top w:val="none" w:sz="0" w:space="0" w:color="auto"/>
        <w:left w:val="none" w:sz="0" w:space="0" w:color="auto"/>
        <w:bottom w:val="none" w:sz="0" w:space="0" w:color="auto"/>
        <w:right w:val="none" w:sz="0" w:space="0" w:color="auto"/>
      </w:divBdr>
    </w:div>
    <w:div w:id="1410033177">
      <w:bodyDiv w:val="1"/>
      <w:marLeft w:val="0"/>
      <w:marRight w:val="0"/>
      <w:marTop w:val="0"/>
      <w:marBottom w:val="0"/>
      <w:divBdr>
        <w:top w:val="none" w:sz="0" w:space="0" w:color="auto"/>
        <w:left w:val="none" w:sz="0" w:space="0" w:color="auto"/>
        <w:bottom w:val="none" w:sz="0" w:space="0" w:color="auto"/>
        <w:right w:val="none" w:sz="0" w:space="0" w:color="auto"/>
      </w:divBdr>
    </w:div>
    <w:div w:id="1411734038">
      <w:bodyDiv w:val="1"/>
      <w:marLeft w:val="0"/>
      <w:marRight w:val="0"/>
      <w:marTop w:val="0"/>
      <w:marBottom w:val="0"/>
      <w:divBdr>
        <w:top w:val="none" w:sz="0" w:space="0" w:color="auto"/>
        <w:left w:val="none" w:sz="0" w:space="0" w:color="auto"/>
        <w:bottom w:val="none" w:sz="0" w:space="0" w:color="auto"/>
        <w:right w:val="none" w:sz="0" w:space="0" w:color="auto"/>
      </w:divBdr>
    </w:div>
    <w:div w:id="1412002859">
      <w:bodyDiv w:val="1"/>
      <w:marLeft w:val="0"/>
      <w:marRight w:val="0"/>
      <w:marTop w:val="0"/>
      <w:marBottom w:val="0"/>
      <w:divBdr>
        <w:top w:val="none" w:sz="0" w:space="0" w:color="auto"/>
        <w:left w:val="none" w:sz="0" w:space="0" w:color="auto"/>
        <w:bottom w:val="none" w:sz="0" w:space="0" w:color="auto"/>
        <w:right w:val="none" w:sz="0" w:space="0" w:color="auto"/>
      </w:divBdr>
    </w:div>
    <w:div w:id="1412699335">
      <w:bodyDiv w:val="1"/>
      <w:marLeft w:val="0"/>
      <w:marRight w:val="0"/>
      <w:marTop w:val="0"/>
      <w:marBottom w:val="0"/>
      <w:divBdr>
        <w:top w:val="none" w:sz="0" w:space="0" w:color="auto"/>
        <w:left w:val="none" w:sz="0" w:space="0" w:color="auto"/>
        <w:bottom w:val="none" w:sz="0" w:space="0" w:color="auto"/>
        <w:right w:val="none" w:sz="0" w:space="0" w:color="auto"/>
      </w:divBdr>
    </w:div>
    <w:div w:id="1412773773">
      <w:bodyDiv w:val="1"/>
      <w:marLeft w:val="0"/>
      <w:marRight w:val="0"/>
      <w:marTop w:val="0"/>
      <w:marBottom w:val="0"/>
      <w:divBdr>
        <w:top w:val="none" w:sz="0" w:space="0" w:color="auto"/>
        <w:left w:val="none" w:sz="0" w:space="0" w:color="auto"/>
        <w:bottom w:val="none" w:sz="0" w:space="0" w:color="auto"/>
        <w:right w:val="none" w:sz="0" w:space="0" w:color="auto"/>
      </w:divBdr>
    </w:div>
    <w:div w:id="1412892711">
      <w:bodyDiv w:val="1"/>
      <w:marLeft w:val="0"/>
      <w:marRight w:val="0"/>
      <w:marTop w:val="0"/>
      <w:marBottom w:val="0"/>
      <w:divBdr>
        <w:top w:val="none" w:sz="0" w:space="0" w:color="auto"/>
        <w:left w:val="none" w:sz="0" w:space="0" w:color="auto"/>
        <w:bottom w:val="none" w:sz="0" w:space="0" w:color="auto"/>
        <w:right w:val="none" w:sz="0" w:space="0" w:color="auto"/>
      </w:divBdr>
    </w:div>
    <w:div w:id="1413041702">
      <w:bodyDiv w:val="1"/>
      <w:marLeft w:val="0"/>
      <w:marRight w:val="0"/>
      <w:marTop w:val="0"/>
      <w:marBottom w:val="0"/>
      <w:divBdr>
        <w:top w:val="none" w:sz="0" w:space="0" w:color="auto"/>
        <w:left w:val="none" w:sz="0" w:space="0" w:color="auto"/>
        <w:bottom w:val="none" w:sz="0" w:space="0" w:color="auto"/>
        <w:right w:val="none" w:sz="0" w:space="0" w:color="auto"/>
      </w:divBdr>
    </w:div>
    <w:div w:id="1413232228">
      <w:bodyDiv w:val="1"/>
      <w:marLeft w:val="0"/>
      <w:marRight w:val="0"/>
      <w:marTop w:val="0"/>
      <w:marBottom w:val="0"/>
      <w:divBdr>
        <w:top w:val="none" w:sz="0" w:space="0" w:color="auto"/>
        <w:left w:val="none" w:sz="0" w:space="0" w:color="auto"/>
        <w:bottom w:val="none" w:sz="0" w:space="0" w:color="auto"/>
        <w:right w:val="none" w:sz="0" w:space="0" w:color="auto"/>
      </w:divBdr>
    </w:div>
    <w:div w:id="1413352062">
      <w:bodyDiv w:val="1"/>
      <w:marLeft w:val="0"/>
      <w:marRight w:val="0"/>
      <w:marTop w:val="0"/>
      <w:marBottom w:val="0"/>
      <w:divBdr>
        <w:top w:val="none" w:sz="0" w:space="0" w:color="auto"/>
        <w:left w:val="none" w:sz="0" w:space="0" w:color="auto"/>
        <w:bottom w:val="none" w:sz="0" w:space="0" w:color="auto"/>
        <w:right w:val="none" w:sz="0" w:space="0" w:color="auto"/>
      </w:divBdr>
    </w:div>
    <w:div w:id="1413699258">
      <w:bodyDiv w:val="1"/>
      <w:marLeft w:val="0"/>
      <w:marRight w:val="0"/>
      <w:marTop w:val="0"/>
      <w:marBottom w:val="0"/>
      <w:divBdr>
        <w:top w:val="none" w:sz="0" w:space="0" w:color="auto"/>
        <w:left w:val="none" w:sz="0" w:space="0" w:color="auto"/>
        <w:bottom w:val="none" w:sz="0" w:space="0" w:color="auto"/>
        <w:right w:val="none" w:sz="0" w:space="0" w:color="auto"/>
      </w:divBdr>
    </w:div>
    <w:div w:id="1413775055">
      <w:bodyDiv w:val="1"/>
      <w:marLeft w:val="0"/>
      <w:marRight w:val="0"/>
      <w:marTop w:val="0"/>
      <w:marBottom w:val="0"/>
      <w:divBdr>
        <w:top w:val="none" w:sz="0" w:space="0" w:color="auto"/>
        <w:left w:val="none" w:sz="0" w:space="0" w:color="auto"/>
        <w:bottom w:val="none" w:sz="0" w:space="0" w:color="auto"/>
        <w:right w:val="none" w:sz="0" w:space="0" w:color="auto"/>
      </w:divBdr>
    </w:div>
    <w:div w:id="1413821120">
      <w:bodyDiv w:val="1"/>
      <w:marLeft w:val="0"/>
      <w:marRight w:val="0"/>
      <w:marTop w:val="0"/>
      <w:marBottom w:val="0"/>
      <w:divBdr>
        <w:top w:val="none" w:sz="0" w:space="0" w:color="auto"/>
        <w:left w:val="none" w:sz="0" w:space="0" w:color="auto"/>
        <w:bottom w:val="none" w:sz="0" w:space="0" w:color="auto"/>
        <w:right w:val="none" w:sz="0" w:space="0" w:color="auto"/>
      </w:divBdr>
    </w:div>
    <w:div w:id="1414007517">
      <w:bodyDiv w:val="1"/>
      <w:marLeft w:val="0"/>
      <w:marRight w:val="0"/>
      <w:marTop w:val="0"/>
      <w:marBottom w:val="0"/>
      <w:divBdr>
        <w:top w:val="none" w:sz="0" w:space="0" w:color="auto"/>
        <w:left w:val="none" w:sz="0" w:space="0" w:color="auto"/>
        <w:bottom w:val="none" w:sz="0" w:space="0" w:color="auto"/>
        <w:right w:val="none" w:sz="0" w:space="0" w:color="auto"/>
      </w:divBdr>
    </w:div>
    <w:div w:id="1414207818">
      <w:bodyDiv w:val="1"/>
      <w:marLeft w:val="0"/>
      <w:marRight w:val="0"/>
      <w:marTop w:val="0"/>
      <w:marBottom w:val="0"/>
      <w:divBdr>
        <w:top w:val="none" w:sz="0" w:space="0" w:color="auto"/>
        <w:left w:val="none" w:sz="0" w:space="0" w:color="auto"/>
        <w:bottom w:val="none" w:sz="0" w:space="0" w:color="auto"/>
        <w:right w:val="none" w:sz="0" w:space="0" w:color="auto"/>
      </w:divBdr>
    </w:div>
    <w:div w:id="1414857707">
      <w:bodyDiv w:val="1"/>
      <w:marLeft w:val="0"/>
      <w:marRight w:val="0"/>
      <w:marTop w:val="0"/>
      <w:marBottom w:val="0"/>
      <w:divBdr>
        <w:top w:val="none" w:sz="0" w:space="0" w:color="auto"/>
        <w:left w:val="none" w:sz="0" w:space="0" w:color="auto"/>
        <w:bottom w:val="none" w:sz="0" w:space="0" w:color="auto"/>
        <w:right w:val="none" w:sz="0" w:space="0" w:color="auto"/>
      </w:divBdr>
    </w:div>
    <w:div w:id="1415322259">
      <w:bodyDiv w:val="1"/>
      <w:marLeft w:val="0"/>
      <w:marRight w:val="0"/>
      <w:marTop w:val="0"/>
      <w:marBottom w:val="0"/>
      <w:divBdr>
        <w:top w:val="none" w:sz="0" w:space="0" w:color="auto"/>
        <w:left w:val="none" w:sz="0" w:space="0" w:color="auto"/>
        <w:bottom w:val="none" w:sz="0" w:space="0" w:color="auto"/>
        <w:right w:val="none" w:sz="0" w:space="0" w:color="auto"/>
      </w:divBdr>
    </w:div>
    <w:div w:id="1416049440">
      <w:bodyDiv w:val="1"/>
      <w:marLeft w:val="0"/>
      <w:marRight w:val="0"/>
      <w:marTop w:val="0"/>
      <w:marBottom w:val="0"/>
      <w:divBdr>
        <w:top w:val="none" w:sz="0" w:space="0" w:color="auto"/>
        <w:left w:val="none" w:sz="0" w:space="0" w:color="auto"/>
        <w:bottom w:val="none" w:sz="0" w:space="0" w:color="auto"/>
        <w:right w:val="none" w:sz="0" w:space="0" w:color="auto"/>
      </w:divBdr>
    </w:div>
    <w:div w:id="1416052673">
      <w:bodyDiv w:val="1"/>
      <w:marLeft w:val="0"/>
      <w:marRight w:val="0"/>
      <w:marTop w:val="0"/>
      <w:marBottom w:val="0"/>
      <w:divBdr>
        <w:top w:val="none" w:sz="0" w:space="0" w:color="auto"/>
        <w:left w:val="none" w:sz="0" w:space="0" w:color="auto"/>
        <w:bottom w:val="none" w:sz="0" w:space="0" w:color="auto"/>
        <w:right w:val="none" w:sz="0" w:space="0" w:color="auto"/>
      </w:divBdr>
    </w:div>
    <w:div w:id="1416052897">
      <w:bodyDiv w:val="1"/>
      <w:marLeft w:val="0"/>
      <w:marRight w:val="0"/>
      <w:marTop w:val="0"/>
      <w:marBottom w:val="0"/>
      <w:divBdr>
        <w:top w:val="none" w:sz="0" w:space="0" w:color="auto"/>
        <w:left w:val="none" w:sz="0" w:space="0" w:color="auto"/>
        <w:bottom w:val="none" w:sz="0" w:space="0" w:color="auto"/>
        <w:right w:val="none" w:sz="0" w:space="0" w:color="auto"/>
      </w:divBdr>
    </w:div>
    <w:div w:id="1416393567">
      <w:bodyDiv w:val="1"/>
      <w:marLeft w:val="0"/>
      <w:marRight w:val="0"/>
      <w:marTop w:val="0"/>
      <w:marBottom w:val="0"/>
      <w:divBdr>
        <w:top w:val="none" w:sz="0" w:space="0" w:color="auto"/>
        <w:left w:val="none" w:sz="0" w:space="0" w:color="auto"/>
        <w:bottom w:val="none" w:sz="0" w:space="0" w:color="auto"/>
        <w:right w:val="none" w:sz="0" w:space="0" w:color="auto"/>
      </w:divBdr>
    </w:div>
    <w:div w:id="1416442009">
      <w:bodyDiv w:val="1"/>
      <w:marLeft w:val="0"/>
      <w:marRight w:val="0"/>
      <w:marTop w:val="0"/>
      <w:marBottom w:val="0"/>
      <w:divBdr>
        <w:top w:val="none" w:sz="0" w:space="0" w:color="auto"/>
        <w:left w:val="none" w:sz="0" w:space="0" w:color="auto"/>
        <w:bottom w:val="none" w:sz="0" w:space="0" w:color="auto"/>
        <w:right w:val="none" w:sz="0" w:space="0" w:color="auto"/>
      </w:divBdr>
    </w:div>
    <w:div w:id="1418283004">
      <w:bodyDiv w:val="1"/>
      <w:marLeft w:val="0"/>
      <w:marRight w:val="0"/>
      <w:marTop w:val="0"/>
      <w:marBottom w:val="0"/>
      <w:divBdr>
        <w:top w:val="none" w:sz="0" w:space="0" w:color="auto"/>
        <w:left w:val="none" w:sz="0" w:space="0" w:color="auto"/>
        <w:bottom w:val="none" w:sz="0" w:space="0" w:color="auto"/>
        <w:right w:val="none" w:sz="0" w:space="0" w:color="auto"/>
      </w:divBdr>
    </w:div>
    <w:div w:id="1418556416">
      <w:bodyDiv w:val="1"/>
      <w:marLeft w:val="0"/>
      <w:marRight w:val="0"/>
      <w:marTop w:val="0"/>
      <w:marBottom w:val="0"/>
      <w:divBdr>
        <w:top w:val="none" w:sz="0" w:space="0" w:color="auto"/>
        <w:left w:val="none" w:sz="0" w:space="0" w:color="auto"/>
        <w:bottom w:val="none" w:sz="0" w:space="0" w:color="auto"/>
        <w:right w:val="none" w:sz="0" w:space="0" w:color="auto"/>
      </w:divBdr>
    </w:div>
    <w:div w:id="1418598246">
      <w:bodyDiv w:val="1"/>
      <w:marLeft w:val="0"/>
      <w:marRight w:val="0"/>
      <w:marTop w:val="0"/>
      <w:marBottom w:val="0"/>
      <w:divBdr>
        <w:top w:val="none" w:sz="0" w:space="0" w:color="auto"/>
        <w:left w:val="none" w:sz="0" w:space="0" w:color="auto"/>
        <w:bottom w:val="none" w:sz="0" w:space="0" w:color="auto"/>
        <w:right w:val="none" w:sz="0" w:space="0" w:color="auto"/>
      </w:divBdr>
    </w:div>
    <w:div w:id="1418743972">
      <w:bodyDiv w:val="1"/>
      <w:marLeft w:val="0"/>
      <w:marRight w:val="0"/>
      <w:marTop w:val="0"/>
      <w:marBottom w:val="0"/>
      <w:divBdr>
        <w:top w:val="none" w:sz="0" w:space="0" w:color="auto"/>
        <w:left w:val="none" w:sz="0" w:space="0" w:color="auto"/>
        <w:bottom w:val="none" w:sz="0" w:space="0" w:color="auto"/>
        <w:right w:val="none" w:sz="0" w:space="0" w:color="auto"/>
      </w:divBdr>
    </w:div>
    <w:div w:id="1419056058">
      <w:bodyDiv w:val="1"/>
      <w:marLeft w:val="0"/>
      <w:marRight w:val="0"/>
      <w:marTop w:val="0"/>
      <w:marBottom w:val="0"/>
      <w:divBdr>
        <w:top w:val="none" w:sz="0" w:space="0" w:color="auto"/>
        <w:left w:val="none" w:sz="0" w:space="0" w:color="auto"/>
        <w:bottom w:val="none" w:sz="0" w:space="0" w:color="auto"/>
        <w:right w:val="none" w:sz="0" w:space="0" w:color="auto"/>
      </w:divBdr>
    </w:div>
    <w:div w:id="1419331757">
      <w:bodyDiv w:val="1"/>
      <w:marLeft w:val="0"/>
      <w:marRight w:val="0"/>
      <w:marTop w:val="0"/>
      <w:marBottom w:val="0"/>
      <w:divBdr>
        <w:top w:val="none" w:sz="0" w:space="0" w:color="auto"/>
        <w:left w:val="none" w:sz="0" w:space="0" w:color="auto"/>
        <w:bottom w:val="none" w:sz="0" w:space="0" w:color="auto"/>
        <w:right w:val="none" w:sz="0" w:space="0" w:color="auto"/>
      </w:divBdr>
    </w:div>
    <w:div w:id="1419786719">
      <w:bodyDiv w:val="1"/>
      <w:marLeft w:val="0"/>
      <w:marRight w:val="0"/>
      <w:marTop w:val="0"/>
      <w:marBottom w:val="0"/>
      <w:divBdr>
        <w:top w:val="none" w:sz="0" w:space="0" w:color="auto"/>
        <w:left w:val="none" w:sz="0" w:space="0" w:color="auto"/>
        <w:bottom w:val="none" w:sz="0" w:space="0" w:color="auto"/>
        <w:right w:val="none" w:sz="0" w:space="0" w:color="auto"/>
      </w:divBdr>
    </w:div>
    <w:div w:id="1420101508">
      <w:bodyDiv w:val="1"/>
      <w:marLeft w:val="0"/>
      <w:marRight w:val="0"/>
      <w:marTop w:val="0"/>
      <w:marBottom w:val="0"/>
      <w:divBdr>
        <w:top w:val="none" w:sz="0" w:space="0" w:color="auto"/>
        <w:left w:val="none" w:sz="0" w:space="0" w:color="auto"/>
        <w:bottom w:val="none" w:sz="0" w:space="0" w:color="auto"/>
        <w:right w:val="none" w:sz="0" w:space="0" w:color="auto"/>
      </w:divBdr>
    </w:div>
    <w:div w:id="1421175954">
      <w:bodyDiv w:val="1"/>
      <w:marLeft w:val="0"/>
      <w:marRight w:val="0"/>
      <w:marTop w:val="0"/>
      <w:marBottom w:val="0"/>
      <w:divBdr>
        <w:top w:val="none" w:sz="0" w:space="0" w:color="auto"/>
        <w:left w:val="none" w:sz="0" w:space="0" w:color="auto"/>
        <w:bottom w:val="none" w:sz="0" w:space="0" w:color="auto"/>
        <w:right w:val="none" w:sz="0" w:space="0" w:color="auto"/>
      </w:divBdr>
    </w:div>
    <w:div w:id="1421683025">
      <w:bodyDiv w:val="1"/>
      <w:marLeft w:val="0"/>
      <w:marRight w:val="0"/>
      <w:marTop w:val="0"/>
      <w:marBottom w:val="0"/>
      <w:divBdr>
        <w:top w:val="none" w:sz="0" w:space="0" w:color="auto"/>
        <w:left w:val="none" w:sz="0" w:space="0" w:color="auto"/>
        <w:bottom w:val="none" w:sz="0" w:space="0" w:color="auto"/>
        <w:right w:val="none" w:sz="0" w:space="0" w:color="auto"/>
      </w:divBdr>
    </w:div>
    <w:div w:id="1421750948">
      <w:bodyDiv w:val="1"/>
      <w:marLeft w:val="0"/>
      <w:marRight w:val="0"/>
      <w:marTop w:val="0"/>
      <w:marBottom w:val="0"/>
      <w:divBdr>
        <w:top w:val="none" w:sz="0" w:space="0" w:color="auto"/>
        <w:left w:val="none" w:sz="0" w:space="0" w:color="auto"/>
        <w:bottom w:val="none" w:sz="0" w:space="0" w:color="auto"/>
        <w:right w:val="none" w:sz="0" w:space="0" w:color="auto"/>
      </w:divBdr>
    </w:div>
    <w:div w:id="1421753614">
      <w:bodyDiv w:val="1"/>
      <w:marLeft w:val="0"/>
      <w:marRight w:val="0"/>
      <w:marTop w:val="0"/>
      <w:marBottom w:val="0"/>
      <w:divBdr>
        <w:top w:val="none" w:sz="0" w:space="0" w:color="auto"/>
        <w:left w:val="none" w:sz="0" w:space="0" w:color="auto"/>
        <w:bottom w:val="none" w:sz="0" w:space="0" w:color="auto"/>
        <w:right w:val="none" w:sz="0" w:space="0" w:color="auto"/>
      </w:divBdr>
    </w:div>
    <w:div w:id="1422070043">
      <w:bodyDiv w:val="1"/>
      <w:marLeft w:val="0"/>
      <w:marRight w:val="0"/>
      <w:marTop w:val="0"/>
      <w:marBottom w:val="0"/>
      <w:divBdr>
        <w:top w:val="none" w:sz="0" w:space="0" w:color="auto"/>
        <w:left w:val="none" w:sz="0" w:space="0" w:color="auto"/>
        <w:bottom w:val="none" w:sz="0" w:space="0" w:color="auto"/>
        <w:right w:val="none" w:sz="0" w:space="0" w:color="auto"/>
      </w:divBdr>
    </w:div>
    <w:div w:id="1422680681">
      <w:bodyDiv w:val="1"/>
      <w:marLeft w:val="0"/>
      <w:marRight w:val="0"/>
      <w:marTop w:val="0"/>
      <w:marBottom w:val="0"/>
      <w:divBdr>
        <w:top w:val="none" w:sz="0" w:space="0" w:color="auto"/>
        <w:left w:val="none" w:sz="0" w:space="0" w:color="auto"/>
        <w:bottom w:val="none" w:sz="0" w:space="0" w:color="auto"/>
        <w:right w:val="none" w:sz="0" w:space="0" w:color="auto"/>
      </w:divBdr>
    </w:div>
    <w:div w:id="1422683199">
      <w:bodyDiv w:val="1"/>
      <w:marLeft w:val="0"/>
      <w:marRight w:val="0"/>
      <w:marTop w:val="0"/>
      <w:marBottom w:val="0"/>
      <w:divBdr>
        <w:top w:val="none" w:sz="0" w:space="0" w:color="auto"/>
        <w:left w:val="none" w:sz="0" w:space="0" w:color="auto"/>
        <w:bottom w:val="none" w:sz="0" w:space="0" w:color="auto"/>
        <w:right w:val="none" w:sz="0" w:space="0" w:color="auto"/>
      </w:divBdr>
    </w:div>
    <w:div w:id="1422949561">
      <w:bodyDiv w:val="1"/>
      <w:marLeft w:val="0"/>
      <w:marRight w:val="0"/>
      <w:marTop w:val="0"/>
      <w:marBottom w:val="0"/>
      <w:divBdr>
        <w:top w:val="none" w:sz="0" w:space="0" w:color="auto"/>
        <w:left w:val="none" w:sz="0" w:space="0" w:color="auto"/>
        <w:bottom w:val="none" w:sz="0" w:space="0" w:color="auto"/>
        <w:right w:val="none" w:sz="0" w:space="0" w:color="auto"/>
      </w:divBdr>
    </w:div>
    <w:div w:id="1423598791">
      <w:bodyDiv w:val="1"/>
      <w:marLeft w:val="0"/>
      <w:marRight w:val="0"/>
      <w:marTop w:val="0"/>
      <w:marBottom w:val="0"/>
      <w:divBdr>
        <w:top w:val="none" w:sz="0" w:space="0" w:color="auto"/>
        <w:left w:val="none" w:sz="0" w:space="0" w:color="auto"/>
        <w:bottom w:val="none" w:sz="0" w:space="0" w:color="auto"/>
        <w:right w:val="none" w:sz="0" w:space="0" w:color="auto"/>
      </w:divBdr>
    </w:div>
    <w:div w:id="1424497648">
      <w:bodyDiv w:val="1"/>
      <w:marLeft w:val="0"/>
      <w:marRight w:val="0"/>
      <w:marTop w:val="0"/>
      <w:marBottom w:val="0"/>
      <w:divBdr>
        <w:top w:val="none" w:sz="0" w:space="0" w:color="auto"/>
        <w:left w:val="none" w:sz="0" w:space="0" w:color="auto"/>
        <w:bottom w:val="none" w:sz="0" w:space="0" w:color="auto"/>
        <w:right w:val="none" w:sz="0" w:space="0" w:color="auto"/>
      </w:divBdr>
    </w:div>
    <w:div w:id="1424842774">
      <w:bodyDiv w:val="1"/>
      <w:marLeft w:val="0"/>
      <w:marRight w:val="0"/>
      <w:marTop w:val="0"/>
      <w:marBottom w:val="0"/>
      <w:divBdr>
        <w:top w:val="none" w:sz="0" w:space="0" w:color="auto"/>
        <w:left w:val="none" w:sz="0" w:space="0" w:color="auto"/>
        <w:bottom w:val="none" w:sz="0" w:space="0" w:color="auto"/>
        <w:right w:val="none" w:sz="0" w:space="0" w:color="auto"/>
      </w:divBdr>
    </w:div>
    <w:div w:id="1425809045">
      <w:bodyDiv w:val="1"/>
      <w:marLeft w:val="0"/>
      <w:marRight w:val="0"/>
      <w:marTop w:val="0"/>
      <w:marBottom w:val="0"/>
      <w:divBdr>
        <w:top w:val="none" w:sz="0" w:space="0" w:color="auto"/>
        <w:left w:val="none" w:sz="0" w:space="0" w:color="auto"/>
        <w:bottom w:val="none" w:sz="0" w:space="0" w:color="auto"/>
        <w:right w:val="none" w:sz="0" w:space="0" w:color="auto"/>
      </w:divBdr>
    </w:div>
    <w:div w:id="1425955352">
      <w:bodyDiv w:val="1"/>
      <w:marLeft w:val="0"/>
      <w:marRight w:val="0"/>
      <w:marTop w:val="0"/>
      <w:marBottom w:val="0"/>
      <w:divBdr>
        <w:top w:val="none" w:sz="0" w:space="0" w:color="auto"/>
        <w:left w:val="none" w:sz="0" w:space="0" w:color="auto"/>
        <w:bottom w:val="none" w:sz="0" w:space="0" w:color="auto"/>
        <w:right w:val="none" w:sz="0" w:space="0" w:color="auto"/>
      </w:divBdr>
    </w:div>
    <w:div w:id="1425999045">
      <w:bodyDiv w:val="1"/>
      <w:marLeft w:val="0"/>
      <w:marRight w:val="0"/>
      <w:marTop w:val="0"/>
      <w:marBottom w:val="0"/>
      <w:divBdr>
        <w:top w:val="none" w:sz="0" w:space="0" w:color="auto"/>
        <w:left w:val="none" w:sz="0" w:space="0" w:color="auto"/>
        <w:bottom w:val="none" w:sz="0" w:space="0" w:color="auto"/>
        <w:right w:val="none" w:sz="0" w:space="0" w:color="auto"/>
      </w:divBdr>
    </w:div>
    <w:div w:id="1426345932">
      <w:bodyDiv w:val="1"/>
      <w:marLeft w:val="0"/>
      <w:marRight w:val="0"/>
      <w:marTop w:val="0"/>
      <w:marBottom w:val="0"/>
      <w:divBdr>
        <w:top w:val="none" w:sz="0" w:space="0" w:color="auto"/>
        <w:left w:val="none" w:sz="0" w:space="0" w:color="auto"/>
        <w:bottom w:val="none" w:sz="0" w:space="0" w:color="auto"/>
        <w:right w:val="none" w:sz="0" w:space="0" w:color="auto"/>
      </w:divBdr>
    </w:div>
    <w:div w:id="1426534655">
      <w:bodyDiv w:val="1"/>
      <w:marLeft w:val="0"/>
      <w:marRight w:val="0"/>
      <w:marTop w:val="0"/>
      <w:marBottom w:val="0"/>
      <w:divBdr>
        <w:top w:val="none" w:sz="0" w:space="0" w:color="auto"/>
        <w:left w:val="none" w:sz="0" w:space="0" w:color="auto"/>
        <w:bottom w:val="none" w:sz="0" w:space="0" w:color="auto"/>
        <w:right w:val="none" w:sz="0" w:space="0" w:color="auto"/>
      </w:divBdr>
    </w:div>
    <w:div w:id="1426804975">
      <w:bodyDiv w:val="1"/>
      <w:marLeft w:val="0"/>
      <w:marRight w:val="0"/>
      <w:marTop w:val="0"/>
      <w:marBottom w:val="0"/>
      <w:divBdr>
        <w:top w:val="none" w:sz="0" w:space="0" w:color="auto"/>
        <w:left w:val="none" w:sz="0" w:space="0" w:color="auto"/>
        <w:bottom w:val="none" w:sz="0" w:space="0" w:color="auto"/>
        <w:right w:val="none" w:sz="0" w:space="0" w:color="auto"/>
      </w:divBdr>
    </w:div>
    <w:div w:id="1427338913">
      <w:bodyDiv w:val="1"/>
      <w:marLeft w:val="0"/>
      <w:marRight w:val="0"/>
      <w:marTop w:val="0"/>
      <w:marBottom w:val="0"/>
      <w:divBdr>
        <w:top w:val="none" w:sz="0" w:space="0" w:color="auto"/>
        <w:left w:val="none" w:sz="0" w:space="0" w:color="auto"/>
        <w:bottom w:val="none" w:sz="0" w:space="0" w:color="auto"/>
        <w:right w:val="none" w:sz="0" w:space="0" w:color="auto"/>
      </w:divBdr>
    </w:div>
    <w:div w:id="1427459341">
      <w:bodyDiv w:val="1"/>
      <w:marLeft w:val="0"/>
      <w:marRight w:val="0"/>
      <w:marTop w:val="0"/>
      <w:marBottom w:val="0"/>
      <w:divBdr>
        <w:top w:val="none" w:sz="0" w:space="0" w:color="auto"/>
        <w:left w:val="none" w:sz="0" w:space="0" w:color="auto"/>
        <w:bottom w:val="none" w:sz="0" w:space="0" w:color="auto"/>
        <w:right w:val="none" w:sz="0" w:space="0" w:color="auto"/>
      </w:divBdr>
    </w:div>
    <w:div w:id="1427579039">
      <w:bodyDiv w:val="1"/>
      <w:marLeft w:val="0"/>
      <w:marRight w:val="0"/>
      <w:marTop w:val="0"/>
      <w:marBottom w:val="0"/>
      <w:divBdr>
        <w:top w:val="none" w:sz="0" w:space="0" w:color="auto"/>
        <w:left w:val="none" w:sz="0" w:space="0" w:color="auto"/>
        <w:bottom w:val="none" w:sz="0" w:space="0" w:color="auto"/>
        <w:right w:val="none" w:sz="0" w:space="0" w:color="auto"/>
      </w:divBdr>
    </w:div>
    <w:div w:id="1427579978">
      <w:bodyDiv w:val="1"/>
      <w:marLeft w:val="0"/>
      <w:marRight w:val="0"/>
      <w:marTop w:val="0"/>
      <w:marBottom w:val="0"/>
      <w:divBdr>
        <w:top w:val="none" w:sz="0" w:space="0" w:color="auto"/>
        <w:left w:val="none" w:sz="0" w:space="0" w:color="auto"/>
        <w:bottom w:val="none" w:sz="0" w:space="0" w:color="auto"/>
        <w:right w:val="none" w:sz="0" w:space="0" w:color="auto"/>
      </w:divBdr>
    </w:div>
    <w:div w:id="1427844730">
      <w:bodyDiv w:val="1"/>
      <w:marLeft w:val="0"/>
      <w:marRight w:val="0"/>
      <w:marTop w:val="0"/>
      <w:marBottom w:val="0"/>
      <w:divBdr>
        <w:top w:val="none" w:sz="0" w:space="0" w:color="auto"/>
        <w:left w:val="none" w:sz="0" w:space="0" w:color="auto"/>
        <w:bottom w:val="none" w:sz="0" w:space="0" w:color="auto"/>
        <w:right w:val="none" w:sz="0" w:space="0" w:color="auto"/>
      </w:divBdr>
    </w:div>
    <w:div w:id="1428186355">
      <w:bodyDiv w:val="1"/>
      <w:marLeft w:val="0"/>
      <w:marRight w:val="0"/>
      <w:marTop w:val="0"/>
      <w:marBottom w:val="0"/>
      <w:divBdr>
        <w:top w:val="none" w:sz="0" w:space="0" w:color="auto"/>
        <w:left w:val="none" w:sz="0" w:space="0" w:color="auto"/>
        <w:bottom w:val="none" w:sz="0" w:space="0" w:color="auto"/>
        <w:right w:val="none" w:sz="0" w:space="0" w:color="auto"/>
      </w:divBdr>
    </w:div>
    <w:div w:id="1428380987">
      <w:bodyDiv w:val="1"/>
      <w:marLeft w:val="0"/>
      <w:marRight w:val="0"/>
      <w:marTop w:val="0"/>
      <w:marBottom w:val="0"/>
      <w:divBdr>
        <w:top w:val="none" w:sz="0" w:space="0" w:color="auto"/>
        <w:left w:val="none" w:sz="0" w:space="0" w:color="auto"/>
        <w:bottom w:val="none" w:sz="0" w:space="0" w:color="auto"/>
        <w:right w:val="none" w:sz="0" w:space="0" w:color="auto"/>
      </w:divBdr>
    </w:div>
    <w:div w:id="1428505620">
      <w:bodyDiv w:val="1"/>
      <w:marLeft w:val="0"/>
      <w:marRight w:val="0"/>
      <w:marTop w:val="0"/>
      <w:marBottom w:val="0"/>
      <w:divBdr>
        <w:top w:val="none" w:sz="0" w:space="0" w:color="auto"/>
        <w:left w:val="none" w:sz="0" w:space="0" w:color="auto"/>
        <w:bottom w:val="none" w:sz="0" w:space="0" w:color="auto"/>
        <w:right w:val="none" w:sz="0" w:space="0" w:color="auto"/>
      </w:divBdr>
    </w:div>
    <w:div w:id="1428767290">
      <w:bodyDiv w:val="1"/>
      <w:marLeft w:val="0"/>
      <w:marRight w:val="0"/>
      <w:marTop w:val="0"/>
      <w:marBottom w:val="0"/>
      <w:divBdr>
        <w:top w:val="none" w:sz="0" w:space="0" w:color="auto"/>
        <w:left w:val="none" w:sz="0" w:space="0" w:color="auto"/>
        <w:bottom w:val="none" w:sz="0" w:space="0" w:color="auto"/>
        <w:right w:val="none" w:sz="0" w:space="0" w:color="auto"/>
      </w:divBdr>
    </w:div>
    <w:div w:id="1428845133">
      <w:bodyDiv w:val="1"/>
      <w:marLeft w:val="0"/>
      <w:marRight w:val="0"/>
      <w:marTop w:val="0"/>
      <w:marBottom w:val="0"/>
      <w:divBdr>
        <w:top w:val="none" w:sz="0" w:space="0" w:color="auto"/>
        <w:left w:val="none" w:sz="0" w:space="0" w:color="auto"/>
        <w:bottom w:val="none" w:sz="0" w:space="0" w:color="auto"/>
        <w:right w:val="none" w:sz="0" w:space="0" w:color="auto"/>
      </w:divBdr>
    </w:div>
    <w:div w:id="1429041076">
      <w:bodyDiv w:val="1"/>
      <w:marLeft w:val="0"/>
      <w:marRight w:val="0"/>
      <w:marTop w:val="0"/>
      <w:marBottom w:val="0"/>
      <w:divBdr>
        <w:top w:val="none" w:sz="0" w:space="0" w:color="auto"/>
        <w:left w:val="none" w:sz="0" w:space="0" w:color="auto"/>
        <w:bottom w:val="none" w:sz="0" w:space="0" w:color="auto"/>
        <w:right w:val="none" w:sz="0" w:space="0" w:color="auto"/>
      </w:divBdr>
    </w:div>
    <w:div w:id="1429158286">
      <w:bodyDiv w:val="1"/>
      <w:marLeft w:val="0"/>
      <w:marRight w:val="0"/>
      <w:marTop w:val="0"/>
      <w:marBottom w:val="0"/>
      <w:divBdr>
        <w:top w:val="none" w:sz="0" w:space="0" w:color="auto"/>
        <w:left w:val="none" w:sz="0" w:space="0" w:color="auto"/>
        <w:bottom w:val="none" w:sz="0" w:space="0" w:color="auto"/>
        <w:right w:val="none" w:sz="0" w:space="0" w:color="auto"/>
      </w:divBdr>
    </w:div>
    <w:div w:id="1429160489">
      <w:bodyDiv w:val="1"/>
      <w:marLeft w:val="0"/>
      <w:marRight w:val="0"/>
      <w:marTop w:val="0"/>
      <w:marBottom w:val="0"/>
      <w:divBdr>
        <w:top w:val="none" w:sz="0" w:space="0" w:color="auto"/>
        <w:left w:val="none" w:sz="0" w:space="0" w:color="auto"/>
        <w:bottom w:val="none" w:sz="0" w:space="0" w:color="auto"/>
        <w:right w:val="none" w:sz="0" w:space="0" w:color="auto"/>
      </w:divBdr>
    </w:div>
    <w:div w:id="1429229561">
      <w:bodyDiv w:val="1"/>
      <w:marLeft w:val="0"/>
      <w:marRight w:val="0"/>
      <w:marTop w:val="0"/>
      <w:marBottom w:val="0"/>
      <w:divBdr>
        <w:top w:val="none" w:sz="0" w:space="0" w:color="auto"/>
        <w:left w:val="none" w:sz="0" w:space="0" w:color="auto"/>
        <w:bottom w:val="none" w:sz="0" w:space="0" w:color="auto"/>
        <w:right w:val="none" w:sz="0" w:space="0" w:color="auto"/>
      </w:divBdr>
    </w:div>
    <w:div w:id="1429279549">
      <w:bodyDiv w:val="1"/>
      <w:marLeft w:val="0"/>
      <w:marRight w:val="0"/>
      <w:marTop w:val="0"/>
      <w:marBottom w:val="0"/>
      <w:divBdr>
        <w:top w:val="none" w:sz="0" w:space="0" w:color="auto"/>
        <w:left w:val="none" w:sz="0" w:space="0" w:color="auto"/>
        <w:bottom w:val="none" w:sz="0" w:space="0" w:color="auto"/>
        <w:right w:val="none" w:sz="0" w:space="0" w:color="auto"/>
      </w:divBdr>
    </w:div>
    <w:div w:id="1429426297">
      <w:bodyDiv w:val="1"/>
      <w:marLeft w:val="0"/>
      <w:marRight w:val="0"/>
      <w:marTop w:val="0"/>
      <w:marBottom w:val="0"/>
      <w:divBdr>
        <w:top w:val="none" w:sz="0" w:space="0" w:color="auto"/>
        <w:left w:val="none" w:sz="0" w:space="0" w:color="auto"/>
        <w:bottom w:val="none" w:sz="0" w:space="0" w:color="auto"/>
        <w:right w:val="none" w:sz="0" w:space="0" w:color="auto"/>
      </w:divBdr>
    </w:div>
    <w:div w:id="1429472247">
      <w:bodyDiv w:val="1"/>
      <w:marLeft w:val="0"/>
      <w:marRight w:val="0"/>
      <w:marTop w:val="0"/>
      <w:marBottom w:val="0"/>
      <w:divBdr>
        <w:top w:val="none" w:sz="0" w:space="0" w:color="auto"/>
        <w:left w:val="none" w:sz="0" w:space="0" w:color="auto"/>
        <w:bottom w:val="none" w:sz="0" w:space="0" w:color="auto"/>
        <w:right w:val="none" w:sz="0" w:space="0" w:color="auto"/>
      </w:divBdr>
    </w:div>
    <w:div w:id="1429695278">
      <w:bodyDiv w:val="1"/>
      <w:marLeft w:val="0"/>
      <w:marRight w:val="0"/>
      <w:marTop w:val="0"/>
      <w:marBottom w:val="0"/>
      <w:divBdr>
        <w:top w:val="none" w:sz="0" w:space="0" w:color="auto"/>
        <w:left w:val="none" w:sz="0" w:space="0" w:color="auto"/>
        <w:bottom w:val="none" w:sz="0" w:space="0" w:color="auto"/>
        <w:right w:val="none" w:sz="0" w:space="0" w:color="auto"/>
      </w:divBdr>
    </w:div>
    <w:div w:id="1430196358">
      <w:bodyDiv w:val="1"/>
      <w:marLeft w:val="0"/>
      <w:marRight w:val="0"/>
      <w:marTop w:val="0"/>
      <w:marBottom w:val="0"/>
      <w:divBdr>
        <w:top w:val="none" w:sz="0" w:space="0" w:color="auto"/>
        <w:left w:val="none" w:sz="0" w:space="0" w:color="auto"/>
        <w:bottom w:val="none" w:sz="0" w:space="0" w:color="auto"/>
        <w:right w:val="none" w:sz="0" w:space="0" w:color="auto"/>
      </w:divBdr>
    </w:div>
    <w:div w:id="1430926123">
      <w:bodyDiv w:val="1"/>
      <w:marLeft w:val="0"/>
      <w:marRight w:val="0"/>
      <w:marTop w:val="0"/>
      <w:marBottom w:val="0"/>
      <w:divBdr>
        <w:top w:val="none" w:sz="0" w:space="0" w:color="auto"/>
        <w:left w:val="none" w:sz="0" w:space="0" w:color="auto"/>
        <w:bottom w:val="none" w:sz="0" w:space="0" w:color="auto"/>
        <w:right w:val="none" w:sz="0" w:space="0" w:color="auto"/>
      </w:divBdr>
    </w:div>
    <w:div w:id="1431002298">
      <w:bodyDiv w:val="1"/>
      <w:marLeft w:val="0"/>
      <w:marRight w:val="0"/>
      <w:marTop w:val="0"/>
      <w:marBottom w:val="0"/>
      <w:divBdr>
        <w:top w:val="none" w:sz="0" w:space="0" w:color="auto"/>
        <w:left w:val="none" w:sz="0" w:space="0" w:color="auto"/>
        <w:bottom w:val="none" w:sz="0" w:space="0" w:color="auto"/>
        <w:right w:val="none" w:sz="0" w:space="0" w:color="auto"/>
      </w:divBdr>
    </w:div>
    <w:div w:id="1431047016">
      <w:bodyDiv w:val="1"/>
      <w:marLeft w:val="0"/>
      <w:marRight w:val="0"/>
      <w:marTop w:val="0"/>
      <w:marBottom w:val="0"/>
      <w:divBdr>
        <w:top w:val="none" w:sz="0" w:space="0" w:color="auto"/>
        <w:left w:val="none" w:sz="0" w:space="0" w:color="auto"/>
        <w:bottom w:val="none" w:sz="0" w:space="0" w:color="auto"/>
        <w:right w:val="none" w:sz="0" w:space="0" w:color="auto"/>
      </w:divBdr>
    </w:div>
    <w:div w:id="1431272685">
      <w:bodyDiv w:val="1"/>
      <w:marLeft w:val="0"/>
      <w:marRight w:val="0"/>
      <w:marTop w:val="0"/>
      <w:marBottom w:val="0"/>
      <w:divBdr>
        <w:top w:val="none" w:sz="0" w:space="0" w:color="auto"/>
        <w:left w:val="none" w:sz="0" w:space="0" w:color="auto"/>
        <w:bottom w:val="none" w:sz="0" w:space="0" w:color="auto"/>
        <w:right w:val="none" w:sz="0" w:space="0" w:color="auto"/>
      </w:divBdr>
    </w:div>
    <w:div w:id="1432042102">
      <w:bodyDiv w:val="1"/>
      <w:marLeft w:val="0"/>
      <w:marRight w:val="0"/>
      <w:marTop w:val="0"/>
      <w:marBottom w:val="0"/>
      <w:divBdr>
        <w:top w:val="none" w:sz="0" w:space="0" w:color="auto"/>
        <w:left w:val="none" w:sz="0" w:space="0" w:color="auto"/>
        <w:bottom w:val="none" w:sz="0" w:space="0" w:color="auto"/>
        <w:right w:val="none" w:sz="0" w:space="0" w:color="auto"/>
      </w:divBdr>
    </w:div>
    <w:div w:id="1432165721">
      <w:bodyDiv w:val="1"/>
      <w:marLeft w:val="0"/>
      <w:marRight w:val="0"/>
      <w:marTop w:val="0"/>
      <w:marBottom w:val="0"/>
      <w:divBdr>
        <w:top w:val="none" w:sz="0" w:space="0" w:color="auto"/>
        <w:left w:val="none" w:sz="0" w:space="0" w:color="auto"/>
        <w:bottom w:val="none" w:sz="0" w:space="0" w:color="auto"/>
        <w:right w:val="none" w:sz="0" w:space="0" w:color="auto"/>
      </w:divBdr>
    </w:div>
    <w:div w:id="1432431323">
      <w:bodyDiv w:val="1"/>
      <w:marLeft w:val="0"/>
      <w:marRight w:val="0"/>
      <w:marTop w:val="0"/>
      <w:marBottom w:val="0"/>
      <w:divBdr>
        <w:top w:val="none" w:sz="0" w:space="0" w:color="auto"/>
        <w:left w:val="none" w:sz="0" w:space="0" w:color="auto"/>
        <w:bottom w:val="none" w:sz="0" w:space="0" w:color="auto"/>
        <w:right w:val="none" w:sz="0" w:space="0" w:color="auto"/>
      </w:divBdr>
    </w:div>
    <w:div w:id="1432892416">
      <w:bodyDiv w:val="1"/>
      <w:marLeft w:val="0"/>
      <w:marRight w:val="0"/>
      <w:marTop w:val="0"/>
      <w:marBottom w:val="0"/>
      <w:divBdr>
        <w:top w:val="none" w:sz="0" w:space="0" w:color="auto"/>
        <w:left w:val="none" w:sz="0" w:space="0" w:color="auto"/>
        <w:bottom w:val="none" w:sz="0" w:space="0" w:color="auto"/>
        <w:right w:val="none" w:sz="0" w:space="0" w:color="auto"/>
      </w:divBdr>
    </w:div>
    <w:div w:id="1432897000">
      <w:bodyDiv w:val="1"/>
      <w:marLeft w:val="0"/>
      <w:marRight w:val="0"/>
      <w:marTop w:val="0"/>
      <w:marBottom w:val="0"/>
      <w:divBdr>
        <w:top w:val="none" w:sz="0" w:space="0" w:color="auto"/>
        <w:left w:val="none" w:sz="0" w:space="0" w:color="auto"/>
        <w:bottom w:val="none" w:sz="0" w:space="0" w:color="auto"/>
        <w:right w:val="none" w:sz="0" w:space="0" w:color="auto"/>
      </w:divBdr>
    </w:div>
    <w:div w:id="1433013196">
      <w:bodyDiv w:val="1"/>
      <w:marLeft w:val="0"/>
      <w:marRight w:val="0"/>
      <w:marTop w:val="0"/>
      <w:marBottom w:val="0"/>
      <w:divBdr>
        <w:top w:val="none" w:sz="0" w:space="0" w:color="auto"/>
        <w:left w:val="none" w:sz="0" w:space="0" w:color="auto"/>
        <w:bottom w:val="none" w:sz="0" w:space="0" w:color="auto"/>
        <w:right w:val="none" w:sz="0" w:space="0" w:color="auto"/>
      </w:divBdr>
    </w:div>
    <w:div w:id="1433748583">
      <w:bodyDiv w:val="1"/>
      <w:marLeft w:val="0"/>
      <w:marRight w:val="0"/>
      <w:marTop w:val="0"/>
      <w:marBottom w:val="0"/>
      <w:divBdr>
        <w:top w:val="none" w:sz="0" w:space="0" w:color="auto"/>
        <w:left w:val="none" w:sz="0" w:space="0" w:color="auto"/>
        <w:bottom w:val="none" w:sz="0" w:space="0" w:color="auto"/>
        <w:right w:val="none" w:sz="0" w:space="0" w:color="auto"/>
      </w:divBdr>
    </w:div>
    <w:div w:id="1433818564">
      <w:bodyDiv w:val="1"/>
      <w:marLeft w:val="0"/>
      <w:marRight w:val="0"/>
      <w:marTop w:val="0"/>
      <w:marBottom w:val="0"/>
      <w:divBdr>
        <w:top w:val="none" w:sz="0" w:space="0" w:color="auto"/>
        <w:left w:val="none" w:sz="0" w:space="0" w:color="auto"/>
        <w:bottom w:val="none" w:sz="0" w:space="0" w:color="auto"/>
        <w:right w:val="none" w:sz="0" w:space="0" w:color="auto"/>
      </w:divBdr>
    </w:div>
    <w:div w:id="1434013441">
      <w:bodyDiv w:val="1"/>
      <w:marLeft w:val="0"/>
      <w:marRight w:val="0"/>
      <w:marTop w:val="0"/>
      <w:marBottom w:val="0"/>
      <w:divBdr>
        <w:top w:val="none" w:sz="0" w:space="0" w:color="auto"/>
        <w:left w:val="none" w:sz="0" w:space="0" w:color="auto"/>
        <w:bottom w:val="none" w:sz="0" w:space="0" w:color="auto"/>
        <w:right w:val="none" w:sz="0" w:space="0" w:color="auto"/>
      </w:divBdr>
    </w:div>
    <w:div w:id="1434089322">
      <w:bodyDiv w:val="1"/>
      <w:marLeft w:val="0"/>
      <w:marRight w:val="0"/>
      <w:marTop w:val="0"/>
      <w:marBottom w:val="0"/>
      <w:divBdr>
        <w:top w:val="none" w:sz="0" w:space="0" w:color="auto"/>
        <w:left w:val="none" w:sz="0" w:space="0" w:color="auto"/>
        <w:bottom w:val="none" w:sz="0" w:space="0" w:color="auto"/>
        <w:right w:val="none" w:sz="0" w:space="0" w:color="auto"/>
      </w:divBdr>
    </w:div>
    <w:div w:id="1435175029">
      <w:bodyDiv w:val="1"/>
      <w:marLeft w:val="0"/>
      <w:marRight w:val="0"/>
      <w:marTop w:val="0"/>
      <w:marBottom w:val="0"/>
      <w:divBdr>
        <w:top w:val="none" w:sz="0" w:space="0" w:color="auto"/>
        <w:left w:val="none" w:sz="0" w:space="0" w:color="auto"/>
        <w:bottom w:val="none" w:sz="0" w:space="0" w:color="auto"/>
        <w:right w:val="none" w:sz="0" w:space="0" w:color="auto"/>
      </w:divBdr>
    </w:div>
    <w:div w:id="1435595901">
      <w:bodyDiv w:val="1"/>
      <w:marLeft w:val="0"/>
      <w:marRight w:val="0"/>
      <w:marTop w:val="0"/>
      <w:marBottom w:val="0"/>
      <w:divBdr>
        <w:top w:val="none" w:sz="0" w:space="0" w:color="auto"/>
        <w:left w:val="none" w:sz="0" w:space="0" w:color="auto"/>
        <w:bottom w:val="none" w:sz="0" w:space="0" w:color="auto"/>
        <w:right w:val="none" w:sz="0" w:space="0" w:color="auto"/>
      </w:divBdr>
    </w:div>
    <w:div w:id="1435829216">
      <w:bodyDiv w:val="1"/>
      <w:marLeft w:val="0"/>
      <w:marRight w:val="0"/>
      <w:marTop w:val="0"/>
      <w:marBottom w:val="0"/>
      <w:divBdr>
        <w:top w:val="none" w:sz="0" w:space="0" w:color="auto"/>
        <w:left w:val="none" w:sz="0" w:space="0" w:color="auto"/>
        <w:bottom w:val="none" w:sz="0" w:space="0" w:color="auto"/>
        <w:right w:val="none" w:sz="0" w:space="0" w:color="auto"/>
      </w:divBdr>
    </w:div>
    <w:div w:id="1435903621">
      <w:bodyDiv w:val="1"/>
      <w:marLeft w:val="0"/>
      <w:marRight w:val="0"/>
      <w:marTop w:val="0"/>
      <w:marBottom w:val="0"/>
      <w:divBdr>
        <w:top w:val="none" w:sz="0" w:space="0" w:color="auto"/>
        <w:left w:val="none" w:sz="0" w:space="0" w:color="auto"/>
        <w:bottom w:val="none" w:sz="0" w:space="0" w:color="auto"/>
        <w:right w:val="none" w:sz="0" w:space="0" w:color="auto"/>
      </w:divBdr>
    </w:div>
    <w:div w:id="1436091626">
      <w:bodyDiv w:val="1"/>
      <w:marLeft w:val="0"/>
      <w:marRight w:val="0"/>
      <w:marTop w:val="0"/>
      <w:marBottom w:val="0"/>
      <w:divBdr>
        <w:top w:val="none" w:sz="0" w:space="0" w:color="auto"/>
        <w:left w:val="none" w:sz="0" w:space="0" w:color="auto"/>
        <w:bottom w:val="none" w:sz="0" w:space="0" w:color="auto"/>
        <w:right w:val="none" w:sz="0" w:space="0" w:color="auto"/>
      </w:divBdr>
    </w:div>
    <w:div w:id="1436436030">
      <w:bodyDiv w:val="1"/>
      <w:marLeft w:val="0"/>
      <w:marRight w:val="0"/>
      <w:marTop w:val="0"/>
      <w:marBottom w:val="0"/>
      <w:divBdr>
        <w:top w:val="none" w:sz="0" w:space="0" w:color="auto"/>
        <w:left w:val="none" w:sz="0" w:space="0" w:color="auto"/>
        <w:bottom w:val="none" w:sz="0" w:space="0" w:color="auto"/>
        <w:right w:val="none" w:sz="0" w:space="0" w:color="auto"/>
      </w:divBdr>
    </w:div>
    <w:div w:id="1436704288">
      <w:bodyDiv w:val="1"/>
      <w:marLeft w:val="0"/>
      <w:marRight w:val="0"/>
      <w:marTop w:val="0"/>
      <w:marBottom w:val="0"/>
      <w:divBdr>
        <w:top w:val="none" w:sz="0" w:space="0" w:color="auto"/>
        <w:left w:val="none" w:sz="0" w:space="0" w:color="auto"/>
        <w:bottom w:val="none" w:sz="0" w:space="0" w:color="auto"/>
        <w:right w:val="none" w:sz="0" w:space="0" w:color="auto"/>
      </w:divBdr>
    </w:div>
    <w:div w:id="1436905130">
      <w:bodyDiv w:val="1"/>
      <w:marLeft w:val="0"/>
      <w:marRight w:val="0"/>
      <w:marTop w:val="0"/>
      <w:marBottom w:val="0"/>
      <w:divBdr>
        <w:top w:val="none" w:sz="0" w:space="0" w:color="auto"/>
        <w:left w:val="none" w:sz="0" w:space="0" w:color="auto"/>
        <w:bottom w:val="none" w:sz="0" w:space="0" w:color="auto"/>
        <w:right w:val="none" w:sz="0" w:space="0" w:color="auto"/>
      </w:divBdr>
    </w:div>
    <w:div w:id="1437139543">
      <w:bodyDiv w:val="1"/>
      <w:marLeft w:val="0"/>
      <w:marRight w:val="0"/>
      <w:marTop w:val="0"/>
      <w:marBottom w:val="0"/>
      <w:divBdr>
        <w:top w:val="none" w:sz="0" w:space="0" w:color="auto"/>
        <w:left w:val="none" w:sz="0" w:space="0" w:color="auto"/>
        <w:bottom w:val="none" w:sz="0" w:space="0" w:color="auto"/>
        <w:right w:val="none" w:sz="0" w:space="0" w:color="auto"/>
      </w:divBdr>
    </w:div>
    <w:div w:id="1437364966">
      <w:bodyDiv w:val="1"/>
      <w:marLeft w:val="0"/>
      <w:marRight w:val="0"/>
      <w:marTop w:val="0"/>
      <w:marBottom w:val="0"/>
      <w:divBdr>
        <w:top w:val="none" w:sz="0" w:space="0" w:color="auto"/>
        <w:left w:val="none" w:sz="0" w:space="0" w:color="auto"/>
        <w:bottom w:val="none" w:sz="0" w:space="0" w:color="auto"/>
        <w:right w:val="none" w:sz="0" w:space="0" w:color="auto"/>
      </w:divBdr>
    </w:div>
    <w:div w:id="1437407392">
      <w:bodyDiv w:val="1"/>
      <w:marLeft w:val="0"/>
      <w:marRight w:val="0"/>
      <w:marTop w:val="0"/>
      <w:marBottom w:val="0"/>
      <w:divBdr>
        <w:top w:val="none" w:sz="0" w:space="0" w:color="auto"/>
        <w:left w:val="none" w:sz="0" w:space="0" w:color="auto"/>
        <w:bottom w:val="none" w:sz="0" w:space="0" w:color="auto"/>
        <w:right w:val="none" w:sz="0" w:space="0" w:color="auto"/>
      </w:divBdr>
    </w:div>
    <w:div w:id="1438140502">
      <w:bodyDiv w:val="1"/>
      <w:marLeft w:val="0"/>
      <w:marRight w:val="0"/>
      <w:marTop w:val="0"/>
      <w:marBottom w:val="0"/>
      <w:divBdr>
        <w:top w:val="none" w:sz="0" w:space="0" w:color="auto"/>
        <w:left w:val="none" w:sz="0" w:space="0" w:color="auto"/>
        <w:bottom w:val="none" w:sz="0" w:space="0" w:color="auto"/>
        <w:right w:val="none" w:sz="0" w:space="0" w:color="auto"/>
      </w:divBdr>
    </w:div>
    <w:div w:id="1439064172">
      <w:bodyDiv w:val="1"/>
      <w:marLeft w:val="0"/>
      <w:marRight w:val="0"/>
      <w:marTop w:val="0"/>
      <w:marBottom w:val="0"/>
      <w:divBdr>
        <w:top w:val="none" w:sz="0" w:space="0" w:color="auto"/>
        <w:left w:val="none" w:sz="0" w:space="0" w:color="auto"/>
        <w:bottom w:val="none" w:sz="0" w:space="0" w:color="auto"/>
        <w:right w:val="none" w:sz="0" w:space="0" w:color="auto"/>
      </w:divBdr>
    </w:div>
    <w:div w:id="1439134966">
      <w:bodyDiv w:val="1"/>
      <w:marLeft w:val="0"/>
      <w:marRight w:val="0"/>
      <w:marTop w:val="0"/>
      <w:marBottom w:val="0"/>
      <w:divBdr>
        <w:top w:val="none" w:sz="0" w:space="0" w:color="auto"/>
        <w:left w:val="none" w:sz="0" w:space="0" w:color="auto"/>
        <w:bottom w:val="none" w:sz="0" w:space="0" w:color="auto"/>
        <w:right w:val="none" w:sz="0" w:space="0" w:color="auto"/>
      </w:divBdr>
    </w:div>
    <w:div w:id="1439327422">
      <w:bodyDiv w:val="1"/>
      <w:marLeft w:val="0"/>
      <w:marRight w:val="0"/>
      <w:marTop w:val="0"/>
      <w:marBottom w:val="0"/>
      <w:divBdr>
        <w:top w:val="none" w:sz="0" w:space="0" w:color="auto"/>
        <w:left w:val="none" w:sz="0" w:space="0" w:color="auto"/>
        <w:bottom w:val="none" w:sz="0" w:space="0" w:color="auto"/>
        <w:right w:val="none" w:sz="0" w:space="0" w:color="auto"/>
      </w:divBdr>
    </w:div>
    <w:div w:id="1439713926">
      <w:bodyDiv w:val="1"/>
      <w:marLeft w:val="0"/>
      <w:marRight w:val="0"/>
      <w:marTop w:val="0"/>
      <w:marBottom w:val="0"/>
      <w:divBdr>
        <w:top w:val="none" w:sz="0" w:space="0" w:color="auto"/>
        <w:left w:val="none" w:sz="0" w:space="0" w:color="auto"/>
        <w:bottom w:val="none" w:sz="0" w:space="0" w:color="auto"/>
        <w:right w:val="none" w:sz="0" w:space="0" w:color="auto"/>
      </w:divBdr>
    </w:div>
    <w:div w:id="1440027441">
      <w:bodyDiv w:val="1"/>
      <w:marLeft w:val="0"/>
      <w:marRight w:val="0"/>
      <w:marTop w:val="0"/>
      <w:marBottom w:val="0"/>
      <w:divBdr>
        <w:top w:val="none" w:sz="0" w:space="0" w:color="auto"/>
        <w:left w:val="none" w:sz="0" w:space="0" w:color="auto"/>
        <w:bottom w:val="none" w:sz="0" w:space="0" w:color="auto"/>
        <w:right w:val="none" w:sz="0" w:space="0" w:color="auto"/>
      </w:divBdr>
    </w:div>
    <w:div w:id="1440101754">
      <w:bodyDiv w:val="1"/>
      <w:marLeft w:val="0"/>
      <w:marRight w:val="0"/>
      <w:marTop w:val="0"/>
      <w:marBottom w:val="0"/>
      <w:divBdr>
        <w:top w:val="none" w:sz="0" w:space="0" w:color="auto"/>
        <w:left w:val="none" w:sz="0" w:space="0" w:color="auto"/>
        <w:bottom w:val="none" w:sz="0" w:space="0" w:color="auto"/>
        <w:right w:val="none" w:sz="0" w:space="0" w:color="auto"/>
      </w:divBdr>
    </w:div>
    <w:div w:id="1441023453">
      <w:bodyDiv w:val="1"/>
      <w:marLeft w:val="0"/>
      <w:marRight w:val="0"/>
      <w:marTop w:val="0"/>
      <w:marBottom w:val="0"/>
      <w:divBdr>
        <w:top w:val="none" w:sz="0" w:space="0" w:color="auto"/>
        <w:left w:val="none" w:sz="0" w:space="0" w:color="auto"/>
        <w:bottom w:val="none" w:sz="0" w:space="0" w:color="auto"/>
        <w:right w:val="none" w:sz="0" w:space="0" w:color="auto"/>
      </w:divBdr>
    </w:div>
    <w:div w:id="1441412513">
      <w:bodyDiv w:val="1"/>
      <w:marLeft w:val="0"/>
      <w:marRight w:val="0"/>
      <w:marTop w:val="0"/>
      <w:marBottom w:val="0"/>
      <w:divBdr>
        <w:top w:val="none" w:sz="0" w:space="0" w:color="auto"/>
        <w:left w:val="none" w:sz="0" w:space="0" w:color="auto"/>
        <w:bottom w:val="none" w:sz="0" w:space="0" w:color="auto"/>
        <w:right w:val="none" w:sz="0" w:space="0" w:color="auto"/>
      </w:divBdr>
    </w:div>
    <w:div w:id="1441686345">
      <w:bodyDiv w:val="1"/>
      <w:marLeft w:val="0"/>
      <w:marRight w:val="0"/>
      <w:marTop w:val="0"/>
      <w:marBottom w:val="0"/>
      <w:divBdr>
        <w:top w:val="none" w:sz="0" w:space="0" w:color="auto"/>
        <w:left w:val="none" w:sz="0" w:space="0" w:color="auto"/>
        <w:bottom w:val="none" w:sz="0" w:space="0" w:color="auto"/>
        <w:right w:val="none" w:sz="0" w:space="0" w:color="auto"/>
      </w:divBdr>
    </w:div>
    <w:div w:id="1442527586">
      <w:bodyDiv w:val="1"/>
      <w:marLeft w:val="0"/>
      <w:marRight w:val="0"/>
      <w:marTop w:val="0"/>
      <w:marBottom w:val="0"/>
      <w:divBdr>
        <w:top w:val="none" w:sz="0" w:space="0" w:color="auto"/>
        <w:left w:val="none" w:sz="0" w:space="0" w:color="auto"/>
        <w:bottom w:val="none" w:sz="0" w:space="0" w:color="auto"/>
        <w:right w:val="none" w:sz="0" w:space="0" w:color="auto"/>
      </w:divBdr>
    </w:div>
    <w:div w:id="1442845430">
      <w:bodyDiv w:val="1"/>
      <w:marLeft w:val="0"/>
      <w:marRight w:val="0"/>
      <w:marTop w:val="0"/>
      <w:marBottom w:val="0"/>
      <w:divBdr>
        <w:top w:val="none" w:sz="0" w:space="0" w:color="auto"/>
        <w:left w:val="none" w:sz="0" w:space="0" w:color="auto"/>
        <w:bottom w:val="none" w:sz="0" w:space="0" w:color="auto"/>
        <w:right w:val="none" w:sz="0" w:space="0" w:color="auto"/>
      </w:divBdr>
    </w:div>
    <w:div w:id="1443107219">
      <w:bodyDiv w:val="1"/>
      <w:marLeft w:val="0"/>
      <w:marRight w:val="0"/>
      <w:marTop w:val="0"/>
      <w:marBottom w:val="0"/>
      <w:divBdr>
        <w:top w:val="none" w:sz="0" w:space="0" w:color="auto"/>
        <w:left w:val="none" w:sz="0" w:space="0" w:color="auto"/>
        <w:bottom w:val="none" w:sz="0" w:space="0" w:color="auto"/>
        <w:right w:val="none" w:sz="0" w:space="0" w:color="auto"/>
      </w:divBdr>
    </w:div>
    <w:div w:id="1444304031">
      <w:bodyDiv w:val="1"/>
      <w:marLeft w:val="0"/>
      <w:marRight w:val="0"/>
      <w:marTop w:val="0"/>
      <w:marBottom w:val="0"/>
      <w:divBdr>
        <w:top w:val="none" w:sz="0" w:space="0" w:color="auto"/>
        <w:left w:val="none" w:sz="0" w:space="0" w:color="auto"/>
        <w:bottom w:val="none" w:sz="0" w:space="0" w:color="auto"/>
        <w:right w:val="none" w:sz="0" w:space="0" w:color="auto"/>
      </w:divBdr>
    </w:div>
    <w:div w:id="1444616466">
      <w:bodyDiv w:val="1"/>
      <w:marLeft w:val="0"/>
      <w:marRight w:val="0"/>
      <w:marTop w:val="0"/>
      <w:marBottom w:val="0"/>
      <w:divBdr>
        <w:top w:val="none" w:sz="0" w:space="0" w:color="auto"/>
        <w:left w:val="none" w:sz="0" w:space="0" w:color="auto"/>
        <w:bottom w:val="none" w:sz="0" w:space="0" w:color="auto"/>
        <w:right w:val="none" w:sz="0" w:space="0" w:color="auto"/>
      </w:divBdr>
    </w:div>
    <w:div w:id="1445346292">
      <w:bodyDiv w:val="1"/>
      <w:marLeft w:val="0"/>
      <w:marRight w:val="0"/>
      <w:marTop w:val="0"/>
      <w:marBottom w:val="0"/>
      <w:divBdr>
        <w:top w:val="none" w:sz="0" w:space="0" w:color="auto"/>
        <w:left w:val="none" w:sz="0" w:space="0" w:color="auto"/>
        <w:bottom w:val="none" w:sz="0" w:space="0" w:color="auto"/>
        <w:right w:val="none" w:sz="0" w:space="0" w:color="auto"/>
      </w:divBdr>
    </w:div>
    <w:div w:id="1445731726">
      <w:bodyDiv w:val="1"/>
      <w:marLeft w:val="0"/>
      <w:marRight w:val="0"/>
      <w:marTop w:val="0"/>
      <w:marBottom w:val="0"/>
      <w:divBdr>
        <w:top w:val="none" w:sz="0" w:space="0" w:color="auto"/>
        <w:left w:val="none" w:sz="0" w:space="0" w:color="auto"/>
        <w:bottom w:val="none" w:sz="0" w:space="0" w:color="auto"/>
        <w:right w:val="none" w:sz="0" w:space="0" w:color="auto"/>
      </w:divBdr>
    </w:div>
    <w:div w:id="1446073115">
      <w:bodyDiv w:val="1"/>
      <w:marLeft w:val="0"/>
      <w:marRight w:val="0"/>
      <w:marTop w:val="0"/>
      <w:marBottom w:val="0"/>
      <w:divBdr>
        <w:top w:val="none" w:sz="0" w:space="0" w:color="auto"/>
        <w:left w:val="none" w:sz="0" w:space="0" w:color="auto"/>
        <w:bottom w:val="none" w:sz="0" w:space="0" w:color="auto"/>
        <w:right w:val="none" w:sz="0" w:space="0" w:color="auto"/>
      </w:divBdr>
    </w:div>
    <w:div w:id="1446651126">
      <w:bodyDiv w:val="1"/>
      <w:marLeft w:val="0"/>
      <w:marRight w:val="0"/>
      <w:marTop w:val="0"/>
      <w:marBottom w:val="0"/>
      <w:divBdr>
        <w:top w:val="none" w:sz="0" w:space="0" w:color="auto"/>
        <w:left w:val="none" w:sz="0" w:space="0" w:color="auto"/>
        <w:bottom w:val="none" w:sz="0" w:space="0" w:color="auto"/>
        <w:right w:val="none" w:sz="0" w:space="0" w:color="auto"/>
      </w:divBdr>
    </w:div>
    <w:div w:id="1446774851">
      <w:bodyDiv w:val="1"/>
      <w:marLeft w:val="0"/>
      <w:marRight w:val="0"/>
      <w:marTop w:val="0"/>
      <w:marBottom w:val="0"/>
      <w:divBdr>
        <w:top w:val="none" w:sz="0" w:space="0" w:color="auto"/>
        <w:left w:val="none" w:sz="0" w:space="0" w:color="auto"/>
        <w:bottom w:val="none" w:sz="0" w:space="0" w:color="auto"/>
        <w:right w:val="none" w:sz="0" w:space="0" w:color="auto"/>
      </w:divBdr>
    </w:div>
    <w:div w:id="1446844529">
      <w:bodyDiv w:val="1"/>
      <w:marLeft w:val="0"/>
      <w:marRight w:val="0"/>
      <w:marTop w:val="0"/>
      <w:marBottom w:val="0"/>
      <w:divBdr>
        <w:top w:val="none" w:sz="0" w:space="0" w:color="auto"/>
        <w:left w:val="none" w:sz="0" w:space="0" w:color="auto"/>
        <w:bottom w:val="none" w:sz="0" w:space="0" w:color="auto"/>
        <w:right w:val="none" w:sz="0" w:space="0" w:color="auto"/>
      </w:divBdr>
    </w:div>
    <w:div w:id="1446851005">
      <w:bodyDiv w:val="1"/>
      <w:marLeft w:val="0"/>
      <w:marRight w:val="0"/>
      <w:marTop w:val="0"/>
      <w:marBottom w:val="0"/>
      <w:divBdr>
        <w:top w:val="none" w:sz="0" w:space="0" w:color="auto"/>
        <w:left w:val="none" w:sz="0" w:space="0" w:color="auto"/>
        <w:bottom w:val="none" w:sz="0" w:space="0" w:color="auto"/>
        <w:right w:val="none" w:sz="0" w:space="0" w:color="auto"/>
      </w:divBdr>
    </w:div>
    <w:div w:id="1447429196">
      <w:bodyDiv w:val="1"/>
      <w:marLeft w:val="0"/>
      <w:marRight w:val="0"/>
      <w:marTop w:val="0"/>
      <w:marBottom w:val="0"/>
      <w:divBdr>
        <w:top w:val="none" w:sz="0" w:space="0" w:color="auto"/>
        <w:left w:val="none" w:sz="0" w:space="0" w:color="auto"/>
        <w:bottom w:val="none" w:sz="0" w:space="0" w:color="auto"/>
        <w:right w:val="none" w:sz="0" w:space="0" w:color="auto"/>
      </w:divBdr>
    </w:div>
    <w:div w:id="1447653131">
      <w:bodyDiv w:val="1"/>
      <w:marLeft w:val="0"/>
      <w:marRight w:val="0"/>
      <w:marTop w:val="0"/>
      <w:marBottom w:val="0"/>
      <w:divBdr>
        <w:top w:val="none" w:sz="0" w:space="0" w:color="auto"/>
        <w:left w:val="none" w:sz="0" w:space="0" w:color="auto"/>
        <w:bottom w:val="none" w:sz="0" w:space="0" w:color="auto"/>
        <w:right w:val="none" w:sz="0" w:space="0" w:color="auto"/>
      </w:divBdr>
    </w:div>
    <w:div w:id="1447654817">
      <w:bodyDiv w:val="1"/>
      <w:marLeft w:val="0"/>
      <w:marRight w:val="0"/>
      <w:marTop w:val="0"/>
      <w:marBottom w:val="0"/>
      <w:divBdr>
        <w:top w:val="none" w:sz="0" w:space="0" w:color="auto"/>
        <w:left w:val="none" w:sz="0" w:space="0" w:color="auto"/>
        <w:bottom w:val="none" w:sz="0" w:space="0" w:color="auto"/>
        <w:right w:val="none" w:sz="0" w:space="0" w:color="auto"/>
      </w:divBdr>
    </w:div>
    <w:div w:id="1447696253">
      <w:bodyDiv w:val="1"/>
      <w:marLeft w:val="0"/>
      <w:marRight w:val="0"/>
      <w:marTop w:val="0"/>
      <w:marBottom w:val="0"/>
      <w:divBdr>
        <w:top w:val="none" w:sz="0" w:space="0" w:color="auto"/>
        <w:left w:val="none" w:sz="0" w:space="0" w:color="auto"/>
        <w:bottom w:val="none" w:sz="0" w:space="0" w:color="auto"/>
        <w:right w:val="none" w:sz="0" w:space="0" w:color="auto"/>
      </w:divBdr>
    </w:div>
    <w:div w:id="1447964883">
      <w:bodyDiv w:val="1"/>
      <w:marLeft w:val="0"/>
      <w:marRight w:val="0"/>
      <w:marTop w:val="0"/>
      <w:marBottom w:val="0"/>
      <w:divBdr>
        <w:top w:val="none" w:sz="0" w:space="0" w:color="auto"/>
        <w:left w:val="none" w:sz="0" w:space="0" w:color="auto"/>
        <w:bottom w:val="none" w:sz="0" w:space="0" w:color="auto"/>
        <w:right w:val="none" w:sz="0" w:space="0" w:color="auto"/>
      </w:divBdr>
    </w:div>
    <w:div w:id="1448041892">
      <w:bodyDiv w:val="1"/>
      <w:marLeft w:val="0"/>
      <w:marRight w:val="0"/>
      <w:marTop w:val="0"/>
      <w:marBottom w:val="0"/>
      <w:divBdr>
        <w:top w:val="none" w:sz="0" w:space="0" w:color="auto"/>
        <w:left w:val="none" w:sz="0" w:space="0" w:color="auto"/>
        <w:bottom w:val="none" w:sz="0" w:space="0" w:color="auto"/>
        <w:right w:val="none" w:sz="0" w:space="0" w:color="auto"/>
      </w:divBdr>
    </w:div>
    <w:div w:id="1448115392">
      <w:bodyDiv w:val="1"/>
      <w:marLeft w:val="0"/>
      <w:marRight w:val="0"/>
      <w:marTop w:val="0"/>
      <w:marBottom w:val="0"/>
      <w:divBdr>
        <w:top w:val="none" w:sz="0" w:space="0" w:color="auto"/>
        <w:left w:val="none" w:sz="0" w:space="0" w:color="auto"/>
        <w:bottom w:val="none" w:sz="0" w:space="0" w:color="auto"/>
        <w:right w:val="none" w:sz="0" w:space="0" w:color="auto"/>
      </w:divBdr>
    </w:div>
    <w:div w:id="1448158863">
      <w:bodyDiv w:val="1"/>
      <w:marLeft w:val="0"/>
      <w:marRight w:val="0"/>
      <w:marTop w:val="0"/>
      <w:marBottom w:val="0"/>
      <w:divBdr>
        <w:top w:val="none" w:sz="0" w:space="0" w:color="auto"/>
        <w:left w:val="none" w:sz="0" w:space="0" w:color="auto"/>
        <w:bottom w:val="none" w:sz="0" w:space="0" w:color="auto"/>
        <w:right w:val="none" w:sz="0" w:space="0" w:color="auto"/>
      </w:divBdr>
    </w:div>
    <w:div w:id="1448431771">
      <w:bodyDiv w:val="1"/>
      <w:marLeft w:val="0"/>
      <w:marRight w:val="0"/>
      <w:marTop w:val="0"/>
      <w:marBottom w:val="0"/>
      <w:divBdr>
        <w:top w:val="none" w:sz="0" w:space="0" w:color="auto"/>
        <w:left w:val="none" w:sz="0" w:space="0" w:color="auto"/>
        <w:bottom w:val="none" w:sz="0" w:space="0" w:color="auto"/>
        <w:right w:val="none" w:sz="0" w:space="0" w:color="auto"/>
      </w:divBdr>
    </w:div>
    <w:div w:id="1448697929">
      <w:bodyDiv w:val="1"/>
      <w:marLeft w:val="0"/>
      <w:marRight w:val="0"/>
      <w:marTop w:val="0"/>
      <w:marBottom w:val="0"/>
      <w:divBdr>
        <w:top w:val="none" w:sz="0" w:space="0" w:color="auto"/>
        <w:left w:val="none" w:sz="0" w:space="0" w:color="auto"/>
        <w:bottom w:val="none" w:sz="0" w:space="0" w:color="auto"/>
        <w:right w:val="none" w:sz="0" w:space="0" w:color="auto"/>
      </w:divBdr>
    </w:div>
    <w:div w:id="1448893900">
      <w:bodyDiv w:val="1"/>
      <w:marLeft w:val="0"/>
      <w:marRight w:val="0"/>
      <w:marTop w:val="0"/>
      <w:marBottom w:val="0"/>
      <w:divBdr>
        <w:top w:val="none" w:sz="0" w:space="0" w:color="auto"/>
        <w:left w:val="none" w:sz="0" w:space="0" w:color="auto"/>
        <w:bottom w:val="none" w:sz="0" w:space="0" w:color="auto"/>
        <w:right w:val="none" w:sz="0" w:space="0" w:color="auto"/>
      </w:divBdr>
    </w:div>
    <w:div w:id="1449006842">
      <w:bodyDiv w:val="1"/>
      <w:marLeft w:val="0"/>
      <w:marRight w:val="0"/>
      <w:marTop w:val="0"/>
      <w:marBottom w:val="0"/>
      <w:divBdr>
        <w:top w:val="none" w:sz="0" w:space="0" w:color="auto"/>
        <w:left w:val="none" w:sz="0" w:space="0" w:color="auto"/>
        <w:bottom w:val="none" w:sz="0" w:space="0" w:color="auto"/>
        <w:right w:val="none" w:sz="0" w:space="0" w:color="auto"/>
      </w:divBdr>
    </w:div>
    <w:div w:id="1449158439">
      <w:bodyDiv w:val="1"/>
      <w:marLeft w:val="0"/>
      <w:marRight w:val="0"/>
      <w:marTop w:val="0"/>
      <w:marBottom w:val="0"/>
      <w:divBdr>
        <w:top w:val="none" w:sz="0" w:space="0" w:color="auto"/>
        <w:left w:val="none" w:sz="0" w:space="0" w:color="auto"/>
        <w:bottom w:val="none" w:sz="0" w:space="0" w:color="auto"/>
        <w:right w:val="none" w:sz="0" w:space="0" w:color="auto"/>
      </w:divBdr>
    </w:div>
    <w:div w:id="1449397508">
      <w:bodyDiv w:val="1"/>
      <w:marLeft w:val="0"/>
      <w:marRight w:val="0"/>
      <w:marTop w:val="0"/>
      <w:marBottom w:val="0"/>
      <w:divBdr>
        <w:top w:val="none" w:sz="0" w:space="0" w:color="auto"/>
        <w:left w:val="none" w:sz="0" w:space="0" w:color="auto"/>
        <w:bottom w:val="none" w:sz="0" w:space="0" w:color="auto"/>
        <w:right w:val="none" w:sz="0" w:space="0" w:color="auto"/>
      </w:divBdr>
    </w:div>
    <w:div w:id="1449467692">
      <w:bodyDiv w:val="1"/>
      <w:marLeft w:val="0"/>
      <w:marRight w:val="0"/>
      <w:marTop w:val="0"/>
      <w:marBottom w:val="0"/>
      <w:divBdr>
        <w:top w:val="none" w:sz="0" w:space="0" w:color="auto"/>
        <w:left w:val="none" w:sz="0" w:space="0" w:color="auto"/>
        <w:bottom w:val="none" w:sz="0" w:space="0" w:color="auto"/>
        <w:right w:val="none" w:sz="0" w:space="0" w:color="auto"/>
      </w:divBdr>
    </w:div>
    <w:div w:id="1450320629">
      <w:bodyDiv w:val="1"/>
      <w:marLeft w:val="0"/>
      <w:marRight w:val="0"/>
      <w:marTop w:val="0"/>
      <w:marBottom w:val="0"/>
      <w:divBdr>
        <w:top w:val="none" w:sz="0" w:space="0" w:color="auto"/>
        <w:left w:val="none" w:sz="0" w:space="0" w:color="auto"/>
        <w:bottom w:val="none" w:sz="0" w:space="0" w:color="auto"/>
        <w:right w:val="none" w:sz="0" w:space="0" w:color="auto"/>
      </w:divBdr>
    </w:div>
    <w:div w:id="1450396074">
      <w:bodyDiv w:val="1"/>
      <w:marLeft w:val="0"/>
      <w:marRight w:val="0"/>
      <w:marTop w:val="0"/>
      <w:marBottom w:val="0"/>
      <w:divBdr>
        <w:top w:val="none" w:sz="0" w:space="0" w:color="auto"/>
        <w:left w:val="none" w:sz="0" w:space="0" w:color="auto"/>
        <w:bottom w:val="none" w:sz="0" w:space="0" w:color="auto"/>
        <w:right w:val="none" w:sz="0" w:space="0" w:color="auto"/>
      </w:divBdr>
    </w:div>
    <w:div w:id="1451512727">
      <w:bodyDiv w:val="1"/>
      <w:marLeft w:val="0"/>
      <w:marRight w:val="0"/>
      <w:marTop w:val="0"/>
      <w:marBottom w:val="0"/>
      <w:divBdr>
        <w:top w:val="none" w:sz="0" w:space="0" w:color="auto"/>
        <w:left w:val="none" w:sz="0" w:space="0" w:color="auto"/>
        <w:bottom w:val="none" w:sz="0" w:space="0" w:color="auto"/>
        <w:right w:val="none" w:sz="0" w:space="0" w:color="auto"/>
      </w:divBdr>
    </w:div>
    <w:div w:id="1451516049">
      <w:bodyDiv w:val="1"/>
      <w:marLeft w:val="0"/>
      <w:marRight w:val="0"/>
      <w:marTop w:val="0"/>
      <w:marBottom w:val="0"/>
      <w:divBdr>
        <w:top w:val="none" w:sz="0" w:space="0" w:color="auto"/>
        <w:left w:val="none" w:sz="0" w:space="0" w:color="auto"/>
        <w:bottom w:val="none" w:sz="0" w:space="0" w:color="auto"/>
        <w:right w:val="none" w:sz="0" w:space="0" w:color="auto"/>
      </w:divBdr>
    </w:div>
    <w:div w:id="1451631051">
      <w:bodyDiv w:val="1"/>
      <w:marLeft w:val="0"/>
      <w:marRight w:val="0"/>
      <w:marTop w:val="0"/>
      <w:marBottom w:val="0"/>
      <w:divBdr>
        <w:top w:val="none" w:sz="0" w:space="0" w:color="auto"/>
        <w:left w:val="none" w:sz="0" w:space="0" w:color="auto"/>
        <w:bottom w:val="none" w:sz="0" w:space="0" w:color="auto"/>
        <w:right w:val="none" w:sz="0" w:space="0" w:color="auto"/>
      </w:divBdr>
    </w:div>
    <w:div w:id="1451819770">
      <w:bodyDiv w:val="1"/>
      <w:marLeft w:val="0"/>
      <w:marRight w:val="0"/>
      <w:marTop w:val="0"/>
      <w:marBottom w:val="0"/>
      <w:divBdr>
        <w:top w:val="none" w:sz="0" w:space="0" w:color="auto"/>
        <w:left w:val="none" w:sz="0" w:space="0" w:color="auto"/>
        <w:bottom w:val="none" w:sz="0" w:space="0" w:color="auto"/>
        <w:right w:val="none" w:sz="0" w:space="0" w:color="auto"/>
      </w:divBdr>
    </w:div>
    <w:div w:id="1452167090">
      <w:bodyDiv w:val="1"/>
      <w:marLeft w:val="0"/>
      <w:marRight w:val="0"/>
      <w:marTop w:val="0"/>
      <w:marBottom w:val="0"/>
      <w:divBdr>
        <w:top w:val="none" w:sz="0" w:space="0" w:color="auto"/>
        <w:left w:val="none" w:sz="0" w:space="0" w:color="auto"/>
        <w:bottom w:val="none" w:sz="0" w:space="0" w:color="auto"/>
        <w:right w:val="none" w:sz="0" w:space="0" w:color="auto"/>
      </w:divBdr>
    </w:div>
    <w:div w:id="1452286749">
      <w:bodyDiv w:val="1"/>
      <w:marLeft w:val="0"/>
      <w:marRight w:val="0"/>
      <w:marTop w:val="0"/>
      <w:marBottom w:val="0"/>
      <w:divBdr>
        <w:top w:val="none" w:sz="0" w:space="0" w:color="auto"/>
        <w:left w:val="none" w:sz="0" w:space="0" w:color="auto"/>
        <w:bottom w:val="none" w:sz="0" w:space="0" w:color="auto"/>
        <w:right w:val="none" w:sz="0" w:space="0" w:color="auto"/>
      </w:divBdr>
    </w:div>
    <w:div w:id="1452288748">
      <w:bodyDiv w:val="1"/>
      <w:marLeft w:val="0"/>
      <w:marRight w:val="0"/>
      <w:marTop w:val="0"/>
      <w:marBottom w:val="0"/>
      <w:divBdr>
        <w:top w:val="none" w:sz="0" w:space="0" w:color="auto"/>
        <w:left w:val="none" w:sz="0" w:space="0" w:color="auto"/>
        <w:bottom w:val="none" w:sz="0" w:space="0" w:color="auto"/>
        <w:right w:val="none" w:sz="0" w:space="0" w:color="auto"/>
      </w:divBdr>
    </w:div>
    <w:div w:id="1452479630">
      <w:bodyDiv w:val="1"/>
      <w:marLeft w:val="0"/>
      <w:marRight w:val="0"/>
      <w:marTop w:val="0"/>
      <w:marBottom w:val="0"/>
      <w:divBdr>
        <w:top w:val="none" w:sz="0" w:space="0" w:color="auto"/>
        <w:left w:val="none" w:sz="0" w:space="0" w:color="auto"/>
        <w:bottom w:val="none" w:sz="0" w:space="0" w:color="auto"/>
        <w:right w:val="none" w:sz="0" w:space="0" w:color="auto"/>
      </w:divBdr>
    </w:div>
    <w:div w:id="1452628789">
      <w:bodyDiv w:val="1"/>
      <w:marLeft w:val="0"/>
      <w:marRight w:val="0"/>
      <w:marTop w:val="0"/>
      <w:marBottom w:val="0"/>
      <w:divBdr>
        <w:top w:val="none" w:sz="0" w:space="0" w:color="auto"/>
        <w:left w:val="none" w:sz="0" w:space="0" w:color="auto"/>
        <w:bottom w:val="none" w:sz="0" w:space="0" w:color="auto"/>
        <w:right w:val="none" w:sz="0" w:space="0" w:color="auto"/>
      </w:divBdr>
    </w:div>
    <w:div w:id="1452674423">
      <w:bodyDiv w:val="1"/>
      <w:marLeft w:val="0"/>
      <w:marRight w:val="0"/>
      <w:marTop w:val="0"/>
      <w:marBottom w:val="0"/>
      <w:divBdr>
        <w:top w:val="none" w:sz="0" w:space="0" w:color="auto"/>
        <w:left w:val="none" w:sz="0" w:space="0" w:color="auto"/>
        <w:bottom w:val="none" w:sz="0" w:space="0" w:color="auto"/>
        <w:right w:val="none" w:sz="0" w:space="0" w:color="auto"/>
      </w:divBdr>
    </w:div>
    <w:div w:id="1452742273">
      <w:bodyDiv w:val="1"/>
      <w:marLeft w:val="0"/>
      <w:marRight w:val="0"/>
      <w:marTop w:val="0"/>
      <w:marBottom w:val="0"/>
      <w:divBdr>
        <w:top w:val="none" w:sz="0" w:space="0" w:color="auto"/>
        <w:left w:val="none" w:sz="0" w:space="0" w:color="auto"/>
        <w:bottom w:val="none" w:sz="0" w:space="0" w:color="auto"/>
        <w:right w:val="none" w:sz="0" w:space="0" w:color="auto"/>
      </w:divBdr>
    </w:div>
    <w:div w:id="1452749436">
      <w:bodyDiv w:val="1"/>
      <w:marLeft w:val="0"/>
      <w:marRight w:val="0"/>
      <w:marTop w:val="0"/>
      <w:marBottom w:val="0"/>
      <w:divBdr>
        <w:top w:val="none" w:sz="0" w:space="0" w:color="auto"/>
        <w:left w:val="none" w:sz="0" w:space="0" w:color="auto"/>
        <w:bottom w:val="none" w:sz="0" w:space="0" w:color="auto"/>
        <w:right w:val="none" w:sz="0" w:space="0" w:color="auto"/>
      </w:divBdr>
    </w:div>
    <w:div w:id="1452893352">
      <w:bodyDiv w:val="1"/>
      <w:marLeft w:val="0"/>
      <w:marRight w:val="0"/>
      <w:marTop w:val="0"/>
      <w:marBottom w:val="0"/>
      <w:divBdr>
        <w:top w:val="none" w:sz="0" w:space="0" w:color="auto"/>
        <w:left w:val="none" w:sz="0" w:space="0" w:color="auto"/>
        <w:bottom w:val="none" w:sz="0" w:space="0" w:color="auto"/>
        <w:right w:val="none" w:sz="0" w:space="0" w:color="auto"/>
      </w:divBdr>
    </w:div>
    <w:div w:id="1453087887">
      <w:bodyDiv w:val="1"/>
      <w:marLeft w:val="0"/>
      <w:marRight w:val="0"/>
      <w:marTop w:val="0"/>
      <w:marBottom w:val="0"/>
      <w:divBdr>
        <w:top w:val="none" w:sz="0" w:space="0" w:color="auto"/>
        <w:left w:val="none" w:sz="0" w:space="0" w:color="auto"/>
        <w:bottom w:val="none" w:sz="0" w:space="0" w:color="auto"/>
        <w:right w:val="none" w:sz="0" w:space="0" w:color="auto"/>
      </w:divBdr>
    </w:div>
    <w:div w:id="1453089373">
      <w:bodyDiv w:val="1"/>
      <w:marLeft w:val="0"/>
      <w:marRight w:val="0"/>
      <w:marTop w:val="0"/>
      <w:marBottom w:val="0"/>
      <w:divBdr>
        <w:top w:val="none" w:sz="0" w:space="0" w:color="auto"/>
        <w:left w:val="none" w:sz="0" w:space="0" w:color="auto"/>
        <w:bottom w:val="none" w:sz="0" w:space="0" w:color="auto"/>
        <w:right w:val="none" w:sz="0" w:space="0" w:color="auto"/>
      </w:divBdr>
    </w:div>
    <w:div w:id="1453474869">
      <w:bodyDiv w:val="1"/>
      <w:marLeft w:val="0"/>
      <w:marRight w:val="0"/>
      <w:marTop w:val="0"/>
      <w:marBottom w:val="0"/>
      <w:divBdr>
        <w:top w:val="none" w:sz="0" w:space="0" w:color="auto"/>
        <w:left w:val="none" w:sz="0" w:space="0" w:color="auto"/>
        <w:bottom w:val="none" w:sz="0" w:space="0" w:color="auto"/>
        <w:right w:val="none" w:sz="0" w:space="0" w:color="auto"/>
      </w:divBdr>
    </w:div>
    <w:div w:id="1453747414">
      <w:bodyDiv w:val="1"/>
      <w:marLeft w:val="0"/>
      <w:marRight w:val="0"/>
      <w:marTop w:val="0"/>
      <w:marBottom w:val="0"/>
      <w:divBdr>
        <w:top w:val="none" w:sz="0" w:space="0" w:color="auto"/>
        <w:left w:val="none" w:sz="0" w:space="0" w:color="auto"/>
        <w:bottom w:val="none" w:sz="0" w:space="0" w:color="auto"/>
        <w:right w:val="none" w:sz="0" w:space="0" w:color="auto"/>
      </w:divBdr>
    </w:div>
    <w:div w:id="1453785301">
      <w:bodyDiv w:val="1"/>
      <w:marLeft w:val="0"/>
      <w:marRight w:val="0"/>
      <w:marTop w:val="0"/>
      <w:marBottom w:val="0"/>
      <w:divBdr>
        <w:top w:val="none" w:sz="0" w:space="0" w:color="auto"/>
        <w:left w:val="none" w:sz="0" w:space="0" w:color="auto"/>
        <w:bottom w:val="none" w:sz="0" w:space="0" w:color="auto"/>
        <w:right w:val="none" w:sz="0" w:space="0" w:color="auto"/>
      </w:divBdr>
    </w:div>
    <w:div w:id="1454517079">
      <w:bodyDiv w:val="1"/>
      <w:marLeft w:val="0"/>
      <w:marRight w:val="0"/>
      <w:marTop w:val="0"/>
      <w:marBottom w:val="0"/>
      <w:divBdr>
        <w:top w:val="none" w:sz="0" w:space="0" w:color="auto"/>
        <w:left w:val="none" w:sz="0" w:space="0" w:color="auto"/>
        <w:bottom w:val="none" w:sz="0" w:space="0" w:color="auto"/>
        <w:right w:val="none" w:sz="0" w:space="0" w:color="auto"/>
      </w:divBdr>
    </w:div>
    <w:div w:id="1454908371">
      <w:bodyDiv w:val="1"/>
      <w:marLeft w:val="0"/>
      <w:marRight w:val="0"/>
      <w:marTop w:val="0"/>
      <w:marBottom w:val="0"/>
      <w:divBdr>
        <w:top w:val="none" w:sz="0" w:space="0" w:color="auto"/>
        <w:left w:val="none" w:sz="0" w:space="0" w:color="auto"/>
        <w:bottom w:val="none" w:sz="0" w:space="0" w:color="auto"/>
        <w:right w:val="none" w:sz="0" w:space="0" w:color="auto"/>
      </w:divBdr>
    </w:div>
    <w:div w:id="1455053090">
      <w:bodyDiv w:val="1"/>
      <w:marLeft w:val="0"/>
      <w:marRight w:val="0"/>
      <w:marTop w:val="0"/>
      <w:marBottom w:val="0"/>
      <w:divBdr>
        <w:top w:val="none" w:sz="0" w:space="0" w:color="auto"/>
        <w:left w:val="none" w:sz="0" w:space="0" w:color="auto"/>
        <w:bottom w:val="none" w:sz="0" w:space="0" w:color="auto"/>
        <w:right w:val="none" w:sz="0" w:space="0" w:color="auto"/>
      </w:divBdr>
    </w:div>
    <w:div w:id="1455061193">
      <w:bodyDiv w:val="1"/>
      <w:marLeft w:val="0"/>
      <w:marRight w:val="0"/>
      <w:marTop w:val="0"/>
      <w:marBottom w:val="0"/>
      <w:divBdr>
        <w:top w:val="none" w:sz="0" w:space="0" w:color="auto"/>
        <w:left w:val="none" w:sz="0" w:space="0" w:color="auto"/>
        <w:bottom w:val="none" w:sz="0" w:space="0" w:color="auto"/>
        <w:right w:val="none" w:sz="0" w:space="0" w:color="auto"/>
      </w:divBdr>
    </w:div>
    <w:div w:id="1455101104">
      <w:bodyDiv w:val="1"/>
      <w:marLeft w:val="0"/>
      <w:marRight w:val="0"/>
      <w:marTop w:val="0"/>
      <w:marBottom w:val="0"/>
      <w:divBdr>
        <w:top w:val="none" w:sz="0" w:space="0" w:color="auto"/>
        <w:left w:val="none" w:sz="0" w:space="0" w:color="auto"/>
        <w:bottom w:val="none" w:sz="0" w:space="0" w:color="auto"/>
        <w:right w:val="none" w:sz="0" w:space="0" w:color="auto"/>
      </w:divBdr>
    </w:div>
    <w:div w:id="1455172440">
      <w:bodyDiv w:val="1"/>
      <w:marLeft w:val="0"/>
      <w:marRight w:val="0"/>
      <w:marTop w:val="0"/>
      <w:marBottom w:val="0"/>
      <w:divBdr>
        <w:top w:val="none" w:sz="0" w:space="0" w:color="auto"/>
        <w:left w:val="none" w:sz="0" w:space="0" w:color="auto"/>
        <w:bottom w:val="none" w:sz="0" w:space="0" w:color="auto"/>
        <w:right w:val="none" w:sz="0" w:space="0" w:color="auto"/>
      </w:divBdr>
    </w:div>
    <w:div w:id="1457330656">
      <w:bodyDiv w:val="1"/>
      <w:marLeft w:val="0"/>
      <w:marRight w:val="0"/>
      <w:marTop w:val="0"/>
      <w:marBottom w:val="0"/>
      <w:divBdr>
        <w:top w:val="none" w:sz="0" w:space="0" w:color="auto"/>
        <w:left w:val="none" w:sz="0" w:space="0" w:color="auto"/>
        <w:bottom w:val="none" w:sz="0" w:space="0" w:color="auto"/>
        <w:right w:val="none" w:sz="0" w:space="0" w:color="auto"/>
      </w:divBdr>
    </w:div>
    <w:div w:id="1457406876">
      <w:bodyDiv w:val="1"/>
      <w:marLeft w:val="0"/>
      <w:marRight w:val="0"/>
      <w:marTop w:val="0"/>
      <w:marBottom w:val="0"/>
      <w:divBdr>
        <w:top w:val="none" w:sz="0" w:space="0" w:color="auto"/>
        <w:left w:val="none" w:sz="0" w:space="0" w:color="auto"/>
        <w:bottom w:val="none" w:sz="0" w:space="0" w:color="auto"/>
        <w:right w:val="none" w:sz="0" w:space="0" w:color="auto"/>
      </w:divBdr>
    </w:div>
    <w:div w:id="1457480274">
      <w:bodyDiv w:val="1"/>
      <w:marLeft w:val="0"/>
      <w:marRight w:val="0"/>
      <w:marTop w:val="0"/>
      <w:marBottom w:val="0"/>
      <w:divBdr>
        <w:top w:val="none" w:sz="0" w:space="0" w:color="auto"/>
        <w:left w:val="none" w:sz="0" w:space="0" w:color="auto"/>
        <w:bottom w:val="none" w:sz="0" w:space="0" w:color="auto"/>
        <w:right w:val="none" w:sz="0" w:space="0" w:color="auto"/>
      </w:divBdr>
    </w:div>
    <w:div w:id="1457985456">
      <w:bodyDiv w:val="1"/>
      <w:marLeft w:val="0"/>
      <w:marRight w:val="0"/>
      <w:marTop w:val="0"/>
      <w:marBottom w:val="0"/>
      <w:divBdr>
        <w:top w:val="none" w:sz="0" w:space="0" w:color="auto"/>
        <w:left w:val="none" w:sz="0" w:space="0" w:color="auto"/>
        <w:bottom w:val="none" w:sz="0" w:space="0" w:color="auto"/>
        <w:right w:val="none" w:sz="0" w:space="0" w:color="auto"/>
      </w:divBdr>
    </w:div>
    <w:div w:id="1458256566">
      <w:bodyDiv w:val="1"/>
      <w:marLeft w:val="0"/>
      <w:marRight w:val="0"/>
      <w:marTop w:val="0"/>
      <w:marBottom w:val="0"/>
      <w:divBdr>
        <w:top w:val="none" w:sz="0" w:space="0" w:color="auto"/>
        <w:left w:val="none" w:sz="0" w:space="0" w:color="auto"/>
        <w:bottom w:val="none" w:sz="0" w:space="0" w:color="auto"/>
        <w:right w:val="none" w:sz="0" w:space="0" w:color="auto"/>
      </w:divBdr>
    </w:div>
    <w:div w:id="1458641828">
      <w:bodyDiv w:val="1"/>
      <w:marLeft w:val="0"/>
      <w:marRight w:val="0"/>
      <w:marTop w:val="0"/>
      <w:marBottom w:val="0"/>
      <w:divBdr>
        <w:top w:val="none" w:sz="0" w:space="0" w:color="auto"/>
        <w:left w:val="none" w:sz="0" w:space="0" w:color="auto"/>
        <w:bottom w:val="none" w:sz="0" w:space="0" w:color="auto"/>
        <w:right w:val="none" w:sz="0" w:space="0" w:color="auto"/>
      </w:divBdr>
    </w:div>
    <w:div w:id="1459372190">
      <w:bodyDiv w:val="1"/>
      <w:marLeft w:val="0"/>
      <w:marRight w:val="0"/>
      <w:marTop w:val="0"/>
      <w:marBottom w:val="0"/>
      <w:divBdr>
        <w:top w:val="none" w:sz="0" w:space="0" w:color="auto"/>
        <w:left w:val="none" w:sz="0" w:space="0" w:color="auto"/>
        <w:bottom w:val="none" w:sz="0" w:space="0" w:color="auto"/>
        <w:right w:val="none" w:sz="0" w:space="0" w:color="auto"/>
      </w:divBdr>
    </w:div>
    <w:div w:id="1459451495">
      <w:bodyDiv w:val="1"/>
      <w:marLeft w:val="0"/>
      <w:marRight w:val="0"/>
      <w:marTop w:val="0"/>
      <w:marBottom w:val="0"/>
      <w:divBdr>
        <w:top w:val="none" w:sz="0" w:space="0" w:color="auto"/>
        <w:left w:val="none" w:sz="0" w:space="0" w:color="auto"/>
        <w:bottom w:val="none" w:sz="0" w:space="0" w:color="auto"/>
        <w:right w:val="none" w:sz="0" w:space="0" w:color="auto"/>
      </w:divBdr>
    </w:div>
    <w:div w:id="1459645355">
      <w:bodyDiv w:val="1"/>
      <w:marLeft w:val="0"/>
      <w:marRight w:val="0"/>
      <w:marTop w:val="0"/>
      <w:marBottom w:val="0"/>
      <w:divBdr>
        <w:top w:val="none" w:sz="0" w:space="0" w:color="auto"/>
        <w:left w:val="none" w:sz="0" w:space="0" w:color="auto"/>
        <w:bottom w:val="none" w:sz="0" w:space="0" w:color="auto"/>
        <w:right w:val="none" w:sz="0" w:space="0" w:color="auto"/>
      </w:divBdr>
    </w:div>
    <w:div w:id="1460102976">
      <w:bodyDiv w:val="1"/>
      <w:marLeft w:val="0"/>
      <w:marRight w:val="0"/>
      <w:marTop w:val="0"/>
      <w:marBottom w:val="0"/>
      <w:divBdr>
        <w:top w:val="none" w:sz="0" w:space="0" w:color="auto"/>
        <w:left w:val="none" w:sz="0" w:space="0" w:color="auto"/>
        <w:bottom w:val="none" w:sz="0" w:space="0" w:color="auto"/>
        <w:right w:val="none" w:sz="0" w:space="0" w:color="auto"/>
      </w:divBdr>
    </w:div>
    <w:div w:id="1460147014">
      <w:bodyDiv w:val="1"/>
      <w:marLeft w:val="0"/>
      <w:marRight w:val="0"/>
      <w:marTop w:val="0"/>
      <w:marBottom w:val="0"/>
      <w:divBdr>
        <w:top w:val="none" w:sz="0" w:space="0" w:color="auto"/>
        <w:left w:val="none" w:sz="0" w:space="0" w:color="auto"/>
        <w:bottom w:val="none" w:sz="0" w:space="0" w:color="auto"/>
        <w:right w:val="none" w:sz="0" w:space="0" w:color="auto"/>
      </w:divBdr>
    </w:div>
    <w:div w:id="1460683782">
      <w:bodyDiv w:val="1"/>
      <w:marLeft w:val="0"/>
      <w:marRight w:val="0"/>
      <w:marTop w:val="0"/>
      <w:marBottom w:val="0"/>
      <w:divBdr>
        <w:top w:val="none" w:sz="0" w:space="0" w:color="auto"/>
        <w:left w:val="none" w:sz="0" w:space="0" w:color="auto"/>
        <w:bottom w:val="none" w:sz="0" w:space="0" w:color="auto"/>
        <w:right w:val="none" w:sz="0" w:space="0" w:color="auto"/>
      </w:divBdr>
    </w:div>
    <w:div w:id="1461263129">
      <w:bodyDiv w:val="1"/>
      <w:marLeft w:val="0"/>
      <w:marRight w:val="0"/>
      <w:marTop w:val="0"/>
      <w:marBottom w:val="0"/>
      <w:divBdr>
        <w:top w:val="none" w:sz="0" w:space="0" w:color="auto"/>
        <w:left w:val="none" w:sz="0" w:space="0" w:color="auto"/>
        <w:bottom w:val="none" w:sz="0" w:space="0" w:color="auto"/>
        <w:right w:val="none" w:sz="0" w:space="0" w:color="auto"/>
      </w:divBdr>
    </w:div>
    <w:div w:id="1461335958">
      <w:bodyDiv w:val="1"/>
      <w:marLeft w:val="0"/>
      <w:marRight w:val="0"/>
      <w:marTop w:val="0"/>
      <w:marBottom w:val="0"/>
      <w:divBdr>
        <w:top w:val="none" w:sz="0" w:space="0" w:color="auto"/>
        <w:left w:val="none" w:sz="0" w:space="0" w:color="auto"/>
        <w:bottom w:val="none" w:sz="0" w:space="0" w:color="auto"/>
        <w:right w:val="none" w:sz="0" w:space="0" w:color="auto"/>
      </w:divBdr>
    </w:div>
    <w:div w:id="1461414528">
      <w:bodyDiv w:val="1"/>
      <w:marLeft w:val="0"/>
      <w:marRight w:val="0"/>
      <w:marTop w:val="0"/>
      <w:marBottom w:val="0"/>
      <w:divBdr>
        <w:top w:val="none" w:sz="0" w:space="0" w:color="auto"/>
        <w:left w:val="none" w:sz="0" w:space="0" w:color="auto"/>
        <w:bottom w:val="none" w:sz="0" w:space="0" w:color="auto"/>
        <w:right w:val="none" w:sz="0" w:space="0" w:color="auto"/>
      </w:divBdr>
    </w:div>
    <w:div w:id="1461613547">
      <w:bodyDiv w:val="1"/>
      <w:marLeft w:val="0"/>
      <w:marRight w:val="0"/>
      <w:marTop w:val="0"/>
      <w:marBottom w:val="0"/>
      <w:divBdr>
        <w:top w:val="none" w:sz="0" w:space="0" w:color="auto"/>
        <w:left w:val="none" w:sz="0" w:space="0" w:color="auto"/>
        <w:bottom w:val="none" w:sz="0" w:space="0" w:color="auto"/>
        <w:right w:val="none" w:sz="0" w:space="0" w:color="auto"/>
      </w:divBdr>
    </w:div>
    <w:div w:id="1461807137">
      <w:bodyDiv w:val="1"/>
      <w:marLeft w:val="0"/>
      <w:marRight w:val="0"/>
      <w:marTop w:val="0"/>
      <w:marBottom w:val="0"/>
      <w:divBdr>
        <w:top w:val="none" w:sz="0" w:space="0" w:color="auto"/>
        <w:left w:val="none" w:sz="0" w:space="0" w:color="auto"/>
        <w:bottom w:val="none" w:sz="0" w:space="0" w:color="auto"/>
        <w:right w:val="none" w:sz="0" w:space="0" w:color="auto"/>
      </w:divBdr>
    </w:div>
    <w:div w:id="1461848576">
      <w:bodyDiv w:val="1"/>
      <w:marLeft w:val="0"/>
      <w:marRight w:val="0"/>
      <w:marTop w:val="0"/>
      <w:marBottom w:val="0"/>
      <w:divBdr>
        <w:top w:val="none" w:sz="0" w:space="0" w:color="auto"/>
        <w:left w:val="none" w:sz="0" w:space="0" w:color="auto"/>
        <w:bottom w:val="none" w:sz="0" w:space="0" w:color="auto"/>
        <w:right w:val="none" w:sz="0" w:space="0" w:color="auto"/>
      </w:divBdr>
    </w:div>
    <w:div w:id="1461918730">
      <w:bodyDiv w:val="1"/>
      <w:marLeft w:val="0"/>
      <w:marRight w:val="0"/>
      <w:marTop w:val="0"/>
      <w:marBottom w:val="0"/>
      <w:divBdr>
        <w:top w:val="none" w:sz="0" w:space="0" w:color="auto"/>
        <w:left w:val="none" w:sz="0" w:space="0" w:color="auto"/>
        <w:bottom w:val="none" w:sz="0" w:space="0" w:color="auto"/>
        <w:right w:val="none" w:sz="0" w:space="0" w:color="auto"/>
      </w:divBdr>
    </w:div>
    <w:div w:id="1461920237">
      <w:bodyDiv w:val="1"/>
      <w:marLeft w:val="0"/>
      <w:marRight w:val="0"/>
      <w:marTop w:val="0"/>
      <w:marBottom w:val="0"/>
      <w:divBdr>
        <w:top w:val="none" w:sz="0" w:space="0" w:color="auto"/>
        <w:left w:val="none" w:sz="0" w:space="0" w:color="auto"/>
        <w:bottom w:val="none" w:sz="0" w:space="0" w:color="auto"/>
        <w:right w:val="none" w:sz="0" w:space="0" w:color="auto"/>
      </w:divBdr>
    </w:div>
    <w:div w:id="1463499675">
      <w:bodyDiv w:val="1"/>
      <w:marLeft w:val="0"/>
      <w:marRight w:val="0"/>
      <w:marTop w:val="0"/>
      <w:marBottom w:val="0"/>
      <w:divBdr>
        <w:top w:val="none" w:sz="0" w:space="0" w:color="auto"/>
        <w:left w:val="none" w:sz="0" w:space="0" w:color="auto"/>
        <w:bottom w:val="none" w:sz="0" w:space="0" w:color="auto"/>
        <w:right w:val="none" w:sz="0" w:space="0" w:color="auto"/>
      </w:divBdr>
    </w:div>
    <w:div w:id="1463768163">
      <w:bodyDiv w:val="1"/>
      <w:marLeft w:val="0"/>
      <w:marRight w:val="0"/>
      <w:marTop w:val="0"/>
      <w:marBottom w:val="0"/>
      <w:divBdr>
        <w:top w:val="none" w:sz="0" w:space="0" w:color="auto"/>
        <w:left w:val="none" w:sz="0" w:space="0" w:color="auto"/>
        <w:bottom w:val="none" w:sz="0" w:space="0" w:color="auto"/>
        <w:right w:val="none" w:sz="0" w:space="0" w:color="auto"/>
      </w:divBdr>
    </w:div>
    <w:div w:id="1464037248">
      <w:bodyDiv w:val="1"/>
      <w:marLeft w:val="0"/>
      <w:marRight w:val="0"/>
      <w:marTop w:val="0"/>
      <w:marBottom w:val="0"/>
      <w:divBdr>
        <w:top w:val="none" w:sz="0" w:space="0" w:color="auto"/>
        <w:left w:val="none" w:sz="0" w:space="0" w:color="auto"/>
        <w:bottom w:val="none" w:sz="0" w:space="0" w:color="auto"/>
        <w:right w:val="none" w:sz="0" w:space="0" w:color="auto"/>
      </w:divBdr>
    </w:div>
    <w:div w:id="1464233517">
      <w:bodyDiv w:val="1"/>
      <w:marLeft w:val="0"/>
      <w:marRight w:val="0"/>
      <w:marTop w:val="0"/>
      <w:marBottom w:val="0"/>
      <w:divBdr>
        <w:top w:val="none" w:sz="0" w:space="0" w:color="auto"/>
        <w:left w:val="none" w:sz="0" w:space="0" w:color="auto"/>
        <w:bottom w:val="none" w:sz="0" w:space="0" w:color="auto"/>
        <w:right w:val="none" w:sz="0" w:space="0" w:color="auto"/>
      </w:divBdr>
    </w:div>
    <w:div w:id="1464344969">
      <w:bodyDiv w:val="1"/>
      <w:marLeft w:val="0"/>
      <w:marRight w:val="0"/>
      <w:marTop w:val="0"/>
      <w:marBottom w:val="0"/>
      <w:divBdr>
        <w:top w:val="none" w:sz="0" w:space="0" w:color="auto"/>
        <w:left w:val="none" w:sz="0" w:space="0" w:color="auto"/>
        <w:bottom w:val="none" w:sz="0" w:space="0" w:color="auto"/>
        <w:right w:val="none" w:sz="0" w:space="0" w:color="auto"/>
      </w:divBdr>
    </w:div>
    <w:div w:id="1464734893">
      <w:bodyDiv w:val="1"/>
      <w:marLeft w:val="0"/>
      <w:marRight w:val="0"/>
      <w:marTop w:val="0"/>
      <w:marBottom w:val="0"/>
      <w:divBdr>
        <w:top w:val="none" w:sz="0" w:space="0" w:color="auto"/>
        <w:left w:val="none" w:sz="0" w:space="0" w:color="auto"/>
        <w:bottom w:val="none" w:sz="0" w:space="0" w:color="auto"/>
        <w:right w:val="none" w:sz="0" w:space="0" w:color="auto"/>
      </w:divBdr>
    </w:div>
    <w:div w:id="1464736894">
      <w:bodyDiv w:val="1"/>
      <w:marLeft w:val="0"/>
      <w:marRight w:val="0"/>
      <w:marTop w:val="0"/>
      <w:marBottom w:val="0"/>
      <w:divBdr>
        <w:top w:val="none" w:sz="0" w:space="0" w:color="auto"/>
        <w:left w:val="none" w:sz="0" w:space="0" w:color="auto"/>
        <w:bottom w:val="none" w:sz="0" w:space="0" w:color="auto"/>
        <w:right w:val="none" w:sz="0" w:space="0" w:color="auto"/>
      </w:divBdr>
    </w:div>
    <w:div w:id="1465345541">
      <w:bodyDiv w:val="1"/>
      <w:marLeft w:val="0"/>
      <w:marRight w:val="0"/>
      <w:marTop w:val="0"/>
      <w:marBottom w:val="0"/>
      <w:divBdr>
        <w:top w:val="none" w:sz="0" w:space="0" w:color="auto"/>
        <w:left w:val="none" w:sz="0" w:space="0" w:color="auto"/>
        <w:bottom w:val="none" w:sz="0" w:space="0" w:color="auto"/>
        <w:right w:val="none" w:sz="0" w:space="0" w:color="auto"/>
      </w:divBdr>
    </w:div>
    <w:div w:id="1465385206">
      <w:bodyDiv w:val="1"/>
      <w:marLeft w:val="0"/>
      <w:marRight w:val="0"/>
      <w:marTop w:val="0"/>
      <w:marBottom w:val="0"/>
      <w:divBdr>
        <w:top w:val="none" w:sz="0" w:space="0" w:color="auto"/>
        <w:left w:val="none" w:sz="0" w:space="0" w:color="auto"/>
        <w:bottom w:val="none" w:sz="0" w:space="0" w:color="auto"/>
        <w:right w:val="none" w:sz="0" w:space="0" w:color="auto"/>
      </w:divBdr>
    </w:div>
    <w:div w:id="1465731624">
      <w:bodyDiv w:val="1"/>
      <w:marLeft w:val="0"/>
      <w:marRight w:val="0"/>
      <w:marTop w:val="0"/>
      <w:marBottom w:val="0"/>
      <w:divBdr>
        <w:top w:val="none" w:sz="0" w:space="0" w:color="auto"/>
        <w:left w:val="none" w:sz="0" w:space="0" w:color="auto"/>
        <w:bottom w:val="none" w:sz="0" w:space="0" w:color="auto"/>
        <w:right w:val="none" w:sz="0" w:space="0" w:color="auto"/>
      </w:divBdr>
    </w:div>
    <w:div w:id="1466001652">
      <w:bodyDiv w:val="1"/>
      <w:marLeft w:val="0"/>
      <w:marRight w:val="0"/>
      <w:marTop w:val="0"/>
      <w:marBottom w:val="0"/>
      <w:divBdr>
        <w:top w:val="none" w:sz="0" w:space="0" w:color="auto"/>
        <w:left w:val="none" w:sz="0" w:space="0" w:color="auto"/>
        <w:bottom w:val="none" w:sz="0" w:space="0" w:color="auto"/>
        <w:right w:val="none" w:sz="0" w:space="0" w:color="auto"/>
      </w:divBdr>
    </w:div>
    <w:div w:id="1466503409">
      <w:bodyDiv w:val="1"/>
      <w:marLeft w:val="0"/>
      <w:marRight w:val="0"/>
      <w:marTop w:val="0"/>
      <w:marBottom w:val="0"/>
      <w:divBdr>
        <w:top w:val="none" w:sz="0" w:space="0" w:color="auto"/>
        <w:left w:val="none" w:sz="0" w:space="0" w:color="auto"/>
        <w:bottom w:val="none" w:sz="0" w:space="0" w:color="auto"/>
        <w:right w:val="none" w:sz="0" w:space="0" w:color="auto"/>
      </w:divBdr>
    </w:div>
    <w:div w:id="1466585042">
      <w:bodyDiv w:val="1"/>
      <w:marLeft w:val="0"/>
      <w:marRight w:val="0"/>
      <w:marTop w:val="0"/>
      <w:marBottom w:val="0"/>
      <w:divBdr>
        <w:top w:val="none" w:sz="0" w:space="0" w:color="auto"/>
        <w:left w:val="none" w:sz="0" w:space="0" w:color="auto"/>
        <w:bottom w:val="none" w:sz="0" w:space="0" w:color="auto"/>
        <w:right w:val="none" w:sz="0" w:space="0" w:color="auto"/>
      </w:divBdr>
    </w:div>
    <w:div w:id="1466586332">
      <w:bodyDiv w:val="1"/>
      <w:marLeft w:val="0"/>
      <w:marRight w:val="0"/>
      <w:marTop w:val="0"/>
      <w:marBottom w:val="0"/>
      <w:divBdr>
        <w:top w:val="none" w:sz="0" w:space="0" w:color="auto"/>
        <w:left w:val="none" w:sz="0" w:space="0" w:color="auto"/>
        <w:bottom w:val="none" w:sz="0" w:space="0" w:color="auto"/>
        <w:right w:val="none" w:sz="0" w:space="0" w:color="auto"/>
      </w:divBdr>
    </w:div>
    <w:div w:id="1467116125">
      <w:bodyDiv w:val="1"/>
      <w:marLeft w:val="0"/>
      <w:marRight w:val="0"/>
      <w:marTop w:val="0"/>
      <w:marBottom w:val="0"/>
      <w:divBdr>
        <w:top w:val="none" w:sz="0" w:space="0" w:color="auto"/>
        <w:left w:val="none" w:sz="0" w:space="0" w:color="auto"/>
        <w:bottom w:val="none" w:sz="0" w:space="0" w:color="auto"/>
        <w:right w:val="none" w:sz="0" w:space="0" w:color="auto"/>
      </w:divBdr>
    </w:div>
    <w:div w:id="1467504181">
      <w:bodyDiv w:val="1"/>
      <w:marLeft w:val="0"/>
      <w:marRight w:val="0"/>
      <w:marTop w:val="0"/>
      <w:marBottom w:val="0"/>
      <w:divBdr>
        <w:top w:val="none" w:sz="0" w:space="0" w:color="auto"/>
        <w:left w:val="none" w:sz="0" w:space="0" w:color="auto"/>
        <w:bottom w:val="none" w:sz="0" w:space="0" w:color="auto"/>
        <w:right w:val="none" w:sz="0" w:space="0" w:color="auto"/>
      </w:divBdr>
    </w:div>
    <w:div w:id="1467963634">
      <w:bodyDiv w:val="1"/>
      <w:marLeft w:val="0"/>
      <w:marRight w:val="0"/>
      <w:marTop w:val="0"/>
      <w:marBottom w:val="0"/>
      <w:divBdr>
        <w:top w:val="none" w:sz="0" w:space="0" w:color="auto"/>
        <w:left w:val="none" w:sz="0" w:space="0" w:color="auto"/>
        <w:bottom w:val="none" w:sz="0" w:space="0" w:color="auto"/>
        <w:right w:val="none" w:sz="0" w:space="0" w:color="auto"/>
      </w:divBdr>
    </w:div>
    <w:div w:id="1468015288">
      <w:bodyDiv w:val="1"/>
      <w:marLeft w:val="0"/>
      <w:marRight w:val="0"/>
      <w:marTop w:val="0"/>
      <w:marBottom w:val="0"/>
      <w:divBdr>
        <w:top w:val="none" w:sz="0" w:space="0" w:color="auto"/>
        <w:left w:val="none" w:sz="0" w:space="0" w:color="auto"/>
        <w:bottom w:val="none" w:sz="0" w:space="0" w:color="auto"/>
        <w:right w:val="none" w:sz="0" w:space="0" w:color="auto"/>
      </w:divBdr>
    </w:div>
    <w:div w:id="1468426801">
      <w:bodyDiv w:val="1"/>
      <w:marLeft w:val="0"/>
      <w:marRight w:val="0"/>
      <w:marTop w:val="0"/>
      <w:marBottom w:val="0"/>
      <w:divBdr>
        <w:top w:val="none" w:sz="0" w:space="0" w:color="auto"/>
        <w:left w:val="none" w:sz="0" w:space="0" w:color="auto"/>
        <w:bottom w:val="none" w:sz="0" w:space="0" w:color="auto"/>
        <w:right w:val="none" w:sz="0" w:space="0" w:color="auto"/>
      </w:divBdr>
    </w:div>
    <w:div w:id="1468744629">
      <w:bodyDiv w:val="1"/>
      <w:marLeft w:val="0"/>
      <w:marRight w:val="0"/>
      <w:marTop w:val="0"/>
      <w:marBottom w:val="0"/>
      <w:divBdr>
        <w:top w:val="none" w:sz="0" w:space="0" w:color="auto"/>
        <w:left w:val="none" w:sz="0" w:space="0" w:color="auto"/>
        <w:bottom w:val="none" w:sz="0" w:space="0" w:color="auto"/>
        <w:right w:val="none" w:sz="0" w:space="0" w:color="auto"/>
      </w:divBdr>
    </w:div>
    <w:div w:id="1469005651">
      <w:bodyDiv w:val="1"/>
      <w:marLeft w:val="0"/>
      <w:marRight w:val="0"/>
      <w:marTop w:val="0"/>
      <w:marBottom w:val="0"/>
      <w:divBdr>
        <w:top w:val="none" w:sz="0" w:space="0" w:color="auto"/>
        <w:left w:val="none" w:sz="0" w:space="0" w:color="auto"/>
        <w:bottom w:val="none" w:sz="0" w:space="0" w:color="auto"/>
        <w:right w:val="none" w:sz="0" w:space="0" w:color="auto"/>
      </w:divBdr>
    </w:div>
    <w:div w:id="1469082343">
      <w:bodyDiv w:val="1"/>
      <w:marLeft w:val="0"/>
      <w:marRight w:val="0"/>
      <w:marTop w:val="0"/>
      <w:marBottom w:val="0"/>
      <w:divBdr>
        <w:top w:val="none" w:sz="0" w:space="0" w:color="auto"/>
        <w:left w:val="none" w:sz="0" w:space="0" w:color="auto"/>
        <w:bottom w:val="none" w:sz="0" w:space="0" w:color="auto"/>
        <w:right w:val="none" w:sz="0" w:space="0" w:color="auto"/>
      </w:divBdr>
    </w:div>
    <w:div w:id="1469083356">
      <w:bodyDiv w:val="1"/>
      <w:marLeft w:val="0"/>
      <w:marRight w:val="0"/>
      <w:marTop w:val="0"/>
      <w:marBottom w:val="0"/>
      <w:divBdr>
        <w:top w:val="none" w:sz="0" w:space="0" w:color="auto"/>
        <w:left w:val="none" w:sz="0" w:space="0" w:color="auto"/>
        <w:bottom w:val="none" w:sz="0" w:space="0" w:color="auto"/>
        <w:right w:val="none" w:sz="0" w:space="0" w:color="auto"/>
      </w:divBdr>
    </w:div>
    <w:div w:id="1469515026">
      <w:bodyDiv w:val="1"/>
      <w:marLeft w:val="0"/>
      <w:marRight w:val="0"/>
      <w:marTop w:val="0"/>
      <w:marBottom w:val="0"/>
      <w:divBdr>
        <w:top w:val="none" w:sz="0" w:space="0" w:color="auto"/>
        <w:left w:val="none" w:sz="0" w:space="0" w:color="auto"/>
        <w:bottom w:val="none" w:sz="0" w:space="0" w:color="auto"/>
        <w:right w:val="none" w:sz="0" w:space="0" w:color="auto"/>
      </w:divBdr>
    </w:div>
    <w:div w:id="1470437086">
      <w:bodyDiv w:val="1"/>
      <w:marLeft w:val="0"/>
      <w:marRight w:val="0"/>
      <w:marTop w:val="0"/>
      <w:marBottom w:val="0"/>
      <w:divBdr>
        <w:top w:val="none" w:sz="0" w:space="0" w:color="auto"/>
        <w:left w:val="none" w:sz="0" w:space="0" w:color="auto"/>
        <w:bottom w:val="none" w:sz="0" w:space="0" w:color="auto"/>
        <w:right w:val="none" w:sz="0" w:space="0" w:color="auto"/>
      </w:divBdr>
    </w:div>
    <w:div w:id="1470513407">
      <w:bodyDiv w:val="1"/>
      <w:marLeft w:val="0"/>
      <w:marRight w:val="0"/>
      <w:marTop w:val="0"/>
      <w:marBottom w:val="0"/>
      <w:divBdr>
        <w:top w:val="none" w:sz="0" w:space="0" w:color="auto"/>
        <w:left w:val="none" w:sz="0" w:space="0" w:color="auto"/>
        <w:bottom w:val="none" w:sz="0" w:space="0" w:color="auto"/>
        <w:right w:val="none" w:sz="0" w:space="0" w:color="auto"/>
      </w:divBdr>
    </w:div>
    <w:div w:id="1471242554">
      <w:bodyDiv w:val="1"/>
      <w:marLeft w:val="0"/>
      <w:marRight w:val="0"/>
      <w:marTop w:val="0"/>
      <w:marBottom w:val="0"/>
      <w:divBdr>
        <w:top w:val="none" w:sz="0" w:space="0" w:color="auto"/>
        <w:left w:val="none" w:sz="0" w:space="0" w:color="auto"/>
        <w:bottom w:val="none" w:sz="0" w:space="0" w:color="auto"/>
        <w:right w:val="none" w:sz="0" w:space="0" w:color="auto"/>
      </w:divBdr>
    </w:div>
    <w:div w:id="1471702810">
      <w:bodyDiv w:val="1"/>
      <w:marLeft w:val="0"/>
      <w:marRight w:val="0"/>
      <w:marTop w:val="0"/>
      <w:marBottom w:val="0"/>
      <w:divBdr>
        <w:top w:val="none" w:sz="0" w:space="0" w:color="auto"/>
        <w:left w:val="none" w:sz="0" w:space="0" w:color="auto"/>
        <w:bottom w:val="none" w:sz="0" w:space="0" w:color="auto"/>
        <w:right w:val="none" w:sz="0" w:space="0" w:color="auto"/>
      </w:divBdr>
    </w:div>
    <w:div w:id="1471899103">
      <w:bodyDiv w:val="1"/>
      <w:marLeft w:val="0"/>
      <w:marRight w:val="0"/>
      <w:marTop w:val="0"/>
      <w:marBottom w:val="0"/>
      <w:divBdr>
        <w:top w:val="none" w:sz="0" w:space="0" w:color="auto"/>
        <w:left w:val="none" w:sz="0" w:space="0" w:color="auto"/>
        <w:bottom w:val="none" w:sz="0" w:space="0" w:color="auto"/>
        <w:right w:val="none" w:sz="0" w:space="0" w:color="auto"/>
      </w:divBdr>
    </w:div>
    <w:div w:id="1472821061">
      <w:bodyDiv w:val="1"/>
      <w:marLeft w:val="0"/>
      <w:marRight w:val="0"/>
      <w:marTop w:val="0"/>
      <w:marBottom w:val="0"/>
      <w:divBdr>
        <w:top w:val="none" w:sz="0" w:space="0" w:color="auto"/>
        <w:left w:val="none" w:sz="0" w:space="0" w:color="auto"/>
        <w:bottom w:val="none" w:sz="0" w:space="0" w:color="auto"/>
        <w:right w:val="none" w:sz="0" w:space="0" w:color="auto"/>
      </w:divBdr>
    </w:div>
    <w:div w:id="1473062135">
      <w:bodyDiv w:val="1"/>
      <w:marLeft w:val="0"/>
      <w:marRight w:val="0"/>
      <w:marTop w:val="0"/>
      <w:marBottom w:val="0"/>
      <w:divBdr>
        <w:top w:val="none" w:sz="0" w:space="0" w:color="auto"/>
        <w:left w:val="none" w:sz="0" w:space="0" w:color="auto"/>
        <w:bottom w:val="none" w:sz="0" w:space="0" w:color="auto"/>
        <w:right w:val="none" w:sz="0" w:space="0" w:color="auto"/>
      </w:divBdr>
    </w:div>
    <w:div w:id="1473601831">
      <w:bodyDiv w:val="1"/>
      <w:marLeft w:val="0"/>
      <w:marRight w:val="0"/>
      <w:marTop w:val="0"/>
      <w:marBottom w:val="0"/>
      <w:divBdr>
        <w:top w:val="none" w:sz="0" w:space="0" w:color="auto"/>
        <w:left w:val="none" w:sz="0" w:space="0" w:color="auto"/>
        <w:bottom w:val="none" w:sz="0" w:space="0" w:color="auto"/>
        <w:right w:val="none" w:sz="0" w:space="0" w:color="auto"/>
      </w:divBdr>
    </w:div>
    <w:div w:id="1474369587">
      <w:bodyDiv w:val="1"/>
      <w:marLeft w:val="0"/>
      <w:marRight w:val="0"/>
      <w:marTop w:val="0"/>
      <w:marBottom w:val="0"/>
      <w:divBdr>
        <w:top w:val="none" w:sz="0" w:space="0" w:color="auto"/>
        <w:left w:val="none" w:sz="0" w:space="0" w:color="auto"/>
        <w:bottom w:val="none" w:sz="0" w:space="0" w:color="auto"/>
        <w:right w:val="none" w:sz="0" w:space="0" w:color="auto"/>
      </w:divBdr>
    </w:div>
    <w:div w:id="1474371256">
      <w:bodyDiv w:val="1"/>
      <w:marLeft w:val="0"/>
      <w:marRight w:val="0"/>
      <w:marTop w:val="0"/>
      <w:marBottom w:val="0"/>
      <w:divBdr>
        <w:top w:val="none" w:sz="0" w:space="0" w:color="auto"/>
        <w:left w:val="none" w:sz="0" w:space="0" w:color="auto"/>
        <w:bottom w:val="none" w:sz="0" w:space="0" w:color="auto"/>
        <w:right w:val="none" w:sz="0" w:space="0" w:color="auto"/>
      </w:divBdr>
    </w:div>
    <w:div w:id="1474442319">
      <w:bodyDiv w:val="1"/>
      <w:marLeft w:val="0"/>
      <w:marRight w:val="0"/>
      <w:marTop w:val="0"/>
      <w:marBottom w:val="0"/>
      <w:divBdr>
        <w:top w:val="none" w:sz="0" w:space="0" w:color="auto"/>
        <w:left w:val="none" w:sz="0" w:space="0" w:color="auto"/>
        <w:bottom w:val="none" w:sz="0" w:space="0" w:color="auto"/>
        <w:right w:val="none" w:sz="0" w:space="0" w:color="auto"/>
      </w:divBdr>
    </w:div>
    <w:div w:id="1475103080">
      <w:bodyDiv w:val="1"/>
      <w:marLeft w:val="0"/>
      <w:marRight w:val="0"/>
      <w:marTop w:val="0"/>
      <w:marBottom w:val="0"/>
      <w:divBdr>
        <w:top w:val="none" w:sz="0" w:space="0" w:color="auto"/>
        <w:left w:val="none" w:sz="0" w:space="0" w:color="auto"/>
        <w:bottom w:val="none" w:sz="0" w:space="0" w:color="auto"/>
        <w:right w:val="none" w:sz="0" w:space="0" w:color="auto"/>
      </w:divBdr>
    </w:div>
    <w:div w:id="1475365767">
      <w:bodyDiv w:val="1"/>
      <w:marLeft w:val="0"/>
      <w:marRight w:val="0"/>
      <w:marTop w:val="0"/>
      <w:marBottom w:val="0"/>
      <w:divBdr>
        <w:top w:val="none" w:sz="0" w:space="0" w:color="auto"/>
        <w:left w:val="none" w:sz="0" w:space="0" w:color="auto"/>
        <w:bottom w:val="none" w:sz="0" w:space="0" w:color="auto"/>
        <w:right w:val="none" w:sz="0" w:space="0" w:color="auto"/>
      </w:divBdr>
    </w:div>
    <w:div w:id="1476995722">
      <w:bodyDiv w:val="1"/>
      <w:marLeft w:val="0"/>
      <w:marRight w:val="0"/>
      <w:marTop w:val="0"/>
      <w:marBottom w:val="0"/>
      <w:divBdr>
        <w:top w:val="none" w:sz="0" w:space="0" w:color="auto"/>
        <w:left w:val="none" w:sz="0" w:space="0" w:color="auto"/>
        <w:bottom w:val="none" w:sz="0" w:space="0" w:color="auto"/>
        <w:right w:val="none" w:sz="0" w:space="0" w:color="auto"/>
      </w:divBdr>
    </w:div>
    <w:div w:id="1477184345">
      <w:bodyDiv w:val="1"/>
      <w:marLeft w:val="0"/>
      <w:marRight w:val="0"/>
      <w:marTop w:val="0"/>
      <w:marBottom w:val="0"/>
      <w:divBdr>
        <w:top w:val="none" w:sz="0" w:space="0" w:color="auto"/>
        <w:left w:val="none" w:sz="0" w:space="0" w:color="auto"/>
        <w:bottom w:val="none" w:sz="0" w:space="0" w:color="auto"/>
        <w:right w:val="none" w:sz="0" w:space="0" w:color="auto"/>
      </w:divBdr>
    </w:div>
    <w:div w:id="1477258455">
      <w:bodyDiv w:val="1"/>
      <w:marLeft w:val="0"/>
      <w:marRight w:val="0"/>
      <w:marTop w:val="0"/>
      <w:marBottom w:val="0"/>
      <w:divBdr>
        <w:top w:val="none" w:sz="0" w:space="0" w:color="auto"/>
        <w:left w:val="none" w:sz="0" w:space="0" w:color="auto"/>
        <w:bottom w:val="none" w:sz="0" w:space="0" w:color="auto"/>
        <w:right w:val="none" w:sz="0" w:space="0" w:color="auto"/>
      </w:divBdr>
    </w:div>
    <w:div w:id="1477527244">
      <w:bodyDiv w:val="1"/>
      <w:marLeft w:val="0"/>
      <w:marRight w:val="0"/>
      <w:marTop w:val="0"/>
      <w:marBottom w:val="0"/>
      <w:divBdr>
        <w:top w:val="none" w:sz="0" w:space="0" w:color="auto"/>
        <w:left w:val="none" w:sz="0" w:space="0" w:color="auto"/>
        <w:bottom w:val="none" w:sz="0" w:space="0" w:color="auto"/>
        <w:right w:val="none" w:sz="0" w:space="0" w:color="auto"/>
      </w:divBdr>
    </w:div>
    <w:div w:id="1478107528">
      <w:bodyDiv w:val="1"/>
      <w:marLeft w:val="0"/>
      <w:marRight w:val="0"/>
      <w:marTop w:val="0"/>
      <w:marBottom w:val="0"/>
      <w:divBdr>
        <w:top w:val="none" w:sz="0" w:space="0" w:color="auto"/>
        <w:left w:val="none" w:sz="0" w:space="0" w:color="auto"/>
        <w:bottom w:val="none" w:sz="0" w:space="0" w:color="auto"/>
        <w:right w:val="none" w:sz="0" w:space="0" w:color="auto"/>
      </w:divBdr>
    </w:div>
    <w:div w:id="1478108412">
      <w:bodyDiv w:val="1"/>
      <w:marLeft w:val="0"/>
      <w:marRight w:val="0"/>
      <w:marTop w:val="0"/>
      <w:marBottom w:val="0"/>
      <w:divBdr>
        <w:top w:val="none" w:sz="0" w:space="0" w:color="auto"/>
        <w:left w:val="none" w:sz="0" w:space="0" w:color="auto"/>
        <w:bottom w:val="none" w:sz="0" w:space="0" w:color="auto"/>
        <w:right w:val="none" w:sz="0" w:space="0" w:color="auto"/>
      </w:divBdr>
    </w:div>
    <w:div w:id="1478375448">
      <w:bodyDiv w:val="1"/>
      <w:marLeft w:val="0"/>
      <w:marRight w:val="0"/>
      <w:marTop w:val="0"/>
      <w:marBottom w:val="0"/>
      <w:divBdr>
        <w:top w:val="none" w:sz="0" w:space="0" w:color="auto"/>
        <w:left w:val="none" w:sz="0" w:space="0" w:color="auto"/>
        <w:bottom w:val="none" w:sz="0" w:space="0" w:color="auto"/>
        <w:right w:val="none" w:sz="0" w:space="0" w:color="auto"/>
      </w:divBdr>
    </w:div>
    <w:div w:id="1478493749">
      <w:bodyDiv w:val="1"/>
      <w:marLeft w:val="0"/>
      <w:marRight w:val="0"/>
      <w:marTop w:val="0"/>
      <w:marBottom w:val="0"/>
      <w:divBdr>
        <w:top w:val="none" w:sz="0" w:space="0" w:color="auto"/>
        <w:left w:val="none" w:sz="0" w:space="0" w:color="auto"/>
        <w:bottom w:val="none" w:sz="0" w:space="0" w:color="auto"/>
        <w:right w:val="none" w:sz="0" w:space="0" w:color="auto"/>
      </w:divBdr>
    </w:div>
    <w:div w:id="1478650191">
      <w:bodyDiv w:val="1"/>
      <w:marLeft w:val="0"/>
      <w:marRight w:val="0"/>
      <w:marTop w:val="0"/>
      <w:marBottom w:val="0"/>
      <w:divBdr>
        <w:top w:val="none" w:sz="0" w:space="0" w:color="auto"/>
        <w:left w:val="none" w:sz="0" w:space="0" w:color="auto"/>
        <w:bottom w:val="none" w:sz="0" w:space="0" w:color="auto"/>
        <w:right w:val="none" w:sz="0" w:space="0" w:color="auto"/>
      </w:divBdr>
    </w:div>
    <w:div w:id="1478719188">
      <w:bodyDiv w:val="1"/>
      <w:marLeft w:val="0"/>
      <w:marRight w:val="0"/>
      <w:marTop w:val="0"/>
      <w:marBottom w:val="0"/>
      <w:divBdr>
        <w:top w:val="none" w:sz="0" w:space="0" w:color="auto"/>
        <w:left w:val="none" w:sz="0" w:space="0" w:color="auto"/>
        <w:bottom w:val="none" w:sz="0" w:space="0" w:color="auto"/>
        <w:right w:val="none" w:sz="0" w:space="0" w:color="auto"/>
      </w:divBdr>
    </w:div>
    <w:div w:id="1478761183">
      <w:bodyDiv w:val="1"/>
      <w:marLeft w:val="0"/>
      <w:marRight w:val="0"/>
      <w:marTop w:val="0"/>
      <w:marBottom w:val="0"/>
      <w:divBdr>
        <w:top w:val="none" w:sz="0" w:space="0" w:color="auto"/>
        <w:left w:val="none" w:sz="0" w:space="0" w:color="auto"/>
        <w:bottom w:val="none" w:sz="0" w:space="0" w:color="auto"/>
        <w:right w:val="none" w:sz="0" w:space="0" w:color="auto"/>
      </w:divBdr>
    </w:div>
    <w:div w:id="1479033291">
      <w:bodyDiv w:val="1"/>
      <w:marLeft w:val="0"/>
      <w:marRight w:val="0"/>
      <w:marTop w:val="0"/>
      <w:marBottom w:val="0"/>
      <w:divBdr>
        <w:top w:val="none" w:sz="0" w:space="0" w:color="auto"/>
        <w:left w:val="none" w:sz="0" w:space="0" w:color="auto"/>
        <w:bottom w:val="none" w:sz="0" w:space="0" w:color="auto"/>
        <w:right w:val="none" w:sz="0" w:space="0" w:color="auto"/>
      </w:divBdr>
    </w:div>
    <w:div w:id="1479298061">
      <w:bodyDiv w:val="1"/>
      <w:marLeft w:val="0"/>
      <w:marRight w:val="0"/>
      <w:marTop w:val="0"/>
      <w:marBottom w:val="0"/>
      <w:divBdr>
        <w:top w:val="none" w:sz="0" w:space="0" w:color="auto"/>
        <w:left w:val="none" w:sz="0" w:space="0" w:color="auto"/>
        <w:bottom w:val="none" w:sz="0" w:space="0" w:color="auto"/>
        <w:right w:val="none" w:sz="0" w:space="0" w:color="auto"/>
      </w:divBdr>
    </w:div>
    <w:div w:id="1479489802">
      <w:bodyDiv w:val="1"/>
      <w:marLeft w:val="0"/>
      <w:marRight w:val="0"/>
      <w:marTop w:val="0"/>
      <w:marBottom w:val="0"/>
      <w:divBdr>
        <w:top w:val="none" w:sz="0" w:space="0" w:color="auto"/>
        <w:left w:val="none" w:sz="0" w:space="0" w:color="auto"/>
        <w:bottom w:val="none" w:sz="0" w:space="0" w:color="auto"/>
        <w:right w:val="none" w:sz="0" w:space="0" w:color="auto"/>
      </w:divBdr>
    </w:div>
    <w:div w:id="1479960580">
      <w:bodyDiv w:val="1"/>
      <w:marLeft w:val="0"/>
      <w:marRight w:val="0"/>
      <w:marTop w:val="0"/>
      <w:marBottom w:val="0"/>
      <w:divBdr>
        <w:top w:val="none" w:sz="0" w:space="0" w:color="auto"/>
        <w:left w:val="none" w:sz="0" w:space="0" w:color="auto"/>
        <w:bottom w:val="none" w:sz="0" w:space="0" w:color="auto"/>
        <w:right w:val="none" w:sz="0" w:space="0" w:color="auto"/>
      </w:divBdr>
    </w:div>
    <w:div w:id="1480220959">
      <w:bodyDiv w:val="1"/>
      <w:marLeft w:val="0"/>
      <w:marRight w:val="0"/>
      <w:marTop w:val="0"/>
      <w:marBottom w:val="0"/>
      <w:divBdr>
        <w:top w:val="none" w:sz="0" w:space="0" w:color="auto"/>
        <w:left w:val="none" w:sz="0" w:space="0" w:color="auto"/>
        <w:bottom w:val="none" w:sz="0" w:space="0" w:color="auto"/>
        <w:right w:val="none" w:sz="0" w:space="0" w:color="auto"/>
      </w:divBdr>
    </w:div>
    <w:div w:id="1480263680">
      <w:bodyDiv w:val="1"/>
      <w:marLeft w:val="0"/>
      <w:marRight w:val="0"/>
      <w:marTop w:val="0"/>
      <w:marBottom w:val="0"/>
      <w:divBdr>
        <w:top w:val="none" w:sz="0" w:space="0" w:color="auto"/>
        <w:left w:val="none" w:sz="0" w:space="0" w:color="auto"/>
        <w:bottom w:val="none" w:sz="0" w:space="0" w:color="auto"/>
        <w:right w:val="none" w:sz="0" w:space="0" w:color="auto"/>
      </w:divBdr>
    </w:div>
    <w:div w:id="1480655474">
      <w:bodyDiv w:val="1"/>
      <w:marLeft w:val="0"/>
      <w:marRight w:val="0"/>
      <w:marTop w:val="0"/>
      <w:marBottom w:val="0"/>
      <w:divBdr>
        <w:top w:val="none" w:sz="0" w:space="0" w:color="auto"/>
        <w:left w:val="none" w:sz="0" w:space="0" w:color="auto"/>
        <w:bottom w:val="none" w:sz="0" w:space="0" w:color="auto"/>
        <w:right w:val="none" w:sz="0" w:space="0" w:color="auto"/>
      </w:divBdr>
    </w:div>
    <w:div w:id="1480807529">
      <w:bodyDiv w:val="1"/>
      <w:marLeft w:val="0"/>
      <w:marRight w:val="0"/>
      <w:marTop w:val="0"/>
      <w:marBottom w:val="0"/>
      <w:divBdr>
        <w:top w:val="none" w:sz="0" w:space="0" w:color="auto"/>
        <w:left w:val="none" w:sz="0" w:space="0" w:color="auto"/>
        <w:bottom w:val="none" w:sz="0" w:space="0" w:color="auto"/>
        <w:right w:val="none" w:sz="0" w:space="0" w:color="auto"/>
      </w:divBdr>
    </w:div>
    <w:div w:id="1480997374">
      <w:bodyDiv w:val="1"/>
      <w:marLeft w:val="0"/>
      <w:marRight w:val="0"/>
      <w:marTop w:val="0"/>
      <w:marBottom w:val="0"/>
      <w:divBdr>
        <w:top w:val="none" w:sz="0" w:space="0" w:color="auto"/>
        <w:left w:val="none" w:sz="0" w:space="0" w:color="auto"/>
        <w:bottom w:val="none" w:sz="0" w:space="0" w:color="auto"/>
        <w:right w:val="none" w:sz="0" w:space="0" w:color="auto"/>
      </w:divBdr>
    </w:div>
    <w:div w:id="1481649985">
      <w:bodyDiv w:val="1"/>
      <w:marLeft w:val="0"/>
      <w:marRight w:val="0"/>
      <w:marTop w:val="0"/>
      <w:marBottom w:val="0"/>
      <w:divBdr>
        <w:top w:val="none" w:sz="0" w:space="0" w:color="auto"/>
        <w:left w:val="none" w:sz="0" w:space="0" w:color="auto"/>
        <w:bottom w:val="none" w:sz="0" w:space="0" w:color="auto"/>
        <w:right w:val="none" w:sz="0" w:space="0" w:color="auto"/>
      </w:divBdr>
    </w:div>
    <w:div w:id="1481656931">
      <w:bodyDiv w:val="1"/>
      <w:marLeft w:val="0"/>
      <w:marRight w:val="0"/>
      <w:marTop w:val="0"/>
      <w:marBottom w:val="0"/>
      <w:divBdr>
        <w:top w:val="none" w:sz="0" w:space="0" w:color="auto"/>
        <w:left w:val="none" w:sz="0" w:space="0" w:color="auto"/>
        <w:bottom w:val="none" w:sz="0" w:space="0" w:color="auto"/>
        <w:right w:val="none" w:sz="0" w:space="0" w:color="auto"/>
      </w:divBdr>
    </w:div>
    <w:div w:id="1481848938">
      <w:bodyDiv w:val="1"/>
      <w:marLeft w:val="0"/>
      <w:marRight w:val="0"/>
      <w:marTop w:val="0"/>
      <w:marBottom w:val="0"/>
      <w:divBdr>
        <w:top w:val="none" w:sz="0" w:space="0" w:color="auto"/>
        <w:left w:val="none" w:sz="0" w:space="0" w:color="auto"/>
        <w:bottom w:val="none" w:sz="0" w:space="0" w:color="auto"/>
        <w:right w:val="none" w:sz="0" w:space="0" w:color="auto"/>
      </w:divBdr>
    </w:div>
    <w:div w:id="1481967486">
      <w:bodyDiv w:val="1"/>
      <w:marLeft w:val="0"/>
      <w:marRight w:val="0"/>
      <w:marTop w:val="0"/>
      <w:marBottom w:val="0"/>
      <w:divBdr>
        <w:top w:val="none" w:sz="0" w:space="0" w:color="auto"/>
        <w:left w:val="none" w:sz="0" w:space="0" w:color="auto"/>
        <w:bottom w:val="none" w:sz="0" w:space="0" w:color="auto"/>
        <w:right w:val="none" w:sz="0" w:space="0" w:color="auto"/>
      </w:divBdr>
    </w:div>
    <w:div w:id="1481997708">
      <w:bodyDiv w:val="1"/>
      <w:marLeft w:val="0"/>
      <w:marRight w:val="0"/>
      <w:marTop w:val="0"/>
      <w:marBottom w:val="0"/>
      <w:divBdr>
        <w:top w:val="none" w:sz="0" w:space="0" w:color="auto"/>
        <w:left w:val="none" w:sz="0" w:space="0" w:color="auto"/>
        <w:bottom w:val="none" w:sz="0" w:space="0" w:color="auto"/>
        <w:right w:val="none" w:sz="0" w:space="0" w:color="auto"/>
      </w:divBdr>
    </w:div>
    <w:div w:id="1482119666">
      <w:bodyDiv w:val="1"/>
      <w:marLeft w:val="0"/>
      <w:marRight w:val="0"/>
      <w:marTop w:val="0"/>
      <w:marBottom w:val="0"/>
      <w:divBdr>
        <w:top w:val="none" w:sz="0" w:space="0" w:color="auto"/>
        <w:left w:val="none" w:sz="0" w:space="0" w:color="auto"/>
        <w:bottom w:val="none" w:sz="0" w:space="0" w:color="auto"/>
        <w:right w:val="none" w:sz="0" w:space="0" w:color="auto"/>
      </w:divBdr>
    </w:div>
    <w:div w:id="1482698426">
      <w:bodyDiv w:val="1"/>
      <w:marLeft w:val="0"/>
      <w:marRight w:val="0"/>
      <w:marTop w:val="0"/>
      <w:marBottom w:val="0"/>
      <w:divBdr>
        <w:top w:val="none" w:sz="0" w:space="0" w:color="auto"/>
        <w:left w:val="none" w:sz="0" w:space="0" w:color="auto"/>
        <w:bottom w:val="none" w:sz="0" w:space="0" w:color="auto"/>
        <w:right w:val="none" w:sz="0" w:space="0" w:color="auto"/>
      </w:divBdr>
    </w:div>
    <w:div w:id="1484153704">
      <w:bodyDiv w:val="1"/>
      <w:marLeft w:val="0"/>
      <w:marRight w:val="0"/>
      <w:marTop w:val="0"/>
      <w:marBottom w:val="0"/>
      <w:divBdr>
        <w:top w:val="none" w:sz="0" w:space="0" w:color="auto"/>
        <w:left w:val="none" w:sz="0" w:space="0" w:color="auto"/>
        <w:bottom w:val="none" w:sz="0" w:space="0" w:color="auto"/>
        <w:right w:val="none" w:sz="0" w:space="0" w:color="auto"/>
      </w:divBdr>
    </w:div>
    <w:div w:id="1484155378">
      <w:bodyDiv w:val="1"/>
      <w:marLeft w:val="0"/>
      <w:marRight w:val="0"/>
      <w:marTop w:val="0"/>
      <w:marBottom w:val="0"/>
      <w:divBdr>
        <w:top w:val="none" w:sz="0" w:space="0" w:color="auto"/>
        <w:left w:val="none" w:sz="0" w:space="0" w:color="auto"/>
        <w:bottom w:val="none" w:sz="0" w:space="0" w:color="auto"/>
        <w:right w:val="none" w:sz="0" w:space="0" w:color="auto"/>
      </w:divBdr>
    </w:div>
    <w:div w:id="1485390081">
      <w:bodyDiv w:val="1"/>
      <w:marLeft w:val="0"/>
      <w:marRight w:val="0"/>
      <w:marTop w:val="0"/>
      <w:marBottom w:val="0"/>
      <w:divBdr>
        <w:top w:val="none" w:sz="0" w:space="0" w:color="auto"/>
        <w:left w:val="none" w:sz="0" w:space="0" w:color="auto"/>
        <w:bottom w:val="none" w:sz="0" w:space="0" w:color="auto"/>
        <w:right w:val="none" w:sz="0" w:space="0" w:color="auto"/>
      </w:divBdr>
    </w:div>
    <w:div w:id="1486239930">
      <w:bodyDiv w:val="1"/>
      <w:marLeft w:val="0"/>
      <w:marRight w:val="0"/>
      <w:marTop w:val="0"/>
      <w:marBottom w:val="0"/>
      <w:divBdr>
        <w:top w:val="none" w:sz="0" w:space="0" w:color="auto"/>
        <w:left w:val="none" w:sz="0" w:space="0" w:color="auto"/>
        <w:bottom w:val="none" w:sz="0" w:space="0" w:color="auto"/>
        <w:right w:val="none" w:sz="0" w:space="0" w:color="auto"/>
      </w:divBdr>
    </w:div>
    <w:div w:id="1486975726">
      <w:bodyDiv w:val="1"/>
      <w:marLeft w:val="0"/>
      <w:marRight w:val="0"/>
      <w:marTop w:val="0"/>
      <w:marBottom w:val="0"/>
      <w:divBdr>
        <w:top w:val="none" w:sz="0" w:space="0" w:color="auto"/>
        <w:left w:val="none" w:sz="0" w:space="0" w:color="auto"/>
        <w:bottom w:val="none" w:sz="0" w:space="0" w:color="auto"/>
        <w:right w:val="none" w:sz="0" w:space="0" w:color="auto"/>
      </w:divBdr>
    </w:div>
    <w:div w:id="1487090737">
      <w:bodyDiv w:val="1"/>
      <w:marLeft w:val="0"/>
      <w:marRight w:val="0"/>
      <w:marTop w:val="0"/>
      <w:marBottom w:val="0"/>
      <w:divBdr>
        <w:top w:val="none" w:sz="0" w:space="0" w:color="auto"/>
        <w:left w:val="none" w:sz="0" w:space="0" w:color="auto"/>
        <w:bottom w:val="none" w:sz="0" w:space="0" w:color="auto"/>
        <w:right w:val="none" w:sz="0" w:space="0" w:color="auto"/>
      </w:divBdr>
    </w:div>
    <w:div w:id="1487234999">
      <w:bodyDiv w:val="1"/>
      <w:marLeft w:val="0"/>
      <w:marRight w:val="0"/>
      <w:marTop w:val="0"/>
      <w:marBottom w:val="0"/>
      <w:divBdr>
        <w:top w:val="none" w:sz="0" w:space="0" w:color="auto"/>
        <w:left w:val="none" w:sz="0" w:space="0" w:color="auto"/>
        <w:bottom w:val="none" w:sz="0" w:space="0" w:color="auto"/>
        <w:right w:val="none" w:sz="0" w:space="0" w:color="auto"/>
      </w:divBdr>
    </w:div>
    <w:div w:id="1487547517">
      <w:bodyDiv w:val="1"/>
      <w:marLeft w:val="0"/>
      <w:marRight w:val="0"/>
      <w:marTop w:val="0"/>
      <w:marBottom w:val="0"/>
      <w:divBdr>
        <w:top w:val="none" w:sz="0" w:space="0" w:color="auto"/>
        <w:left w:val="none" w:sz="0" w:space="0" w:color="auto"/>
        <w:bottom w:val="none" w:sz="0" w:space="0" w:color="auto"/>
        <w:right w:val="none" w:sz="0" w:space="0" w:color="auto"/>
      </w:divBdr>
    </w:div>
    <w:div w:id="1487631243">
      <w:bodyDiv w:val="1"/>
      <w:marLeft w:val="0"/>
      <w:marRight w:val="0"/>
      <w:marTop w:val="0"/>
      <w:marBottom w:val="0"/>
      <w:divBdr>
        <w:top w:val="none" w:sz="0" w:space="0" w:color="auto"/>
        <w:left w:val="none" w:sz="0" w:space="0" w:color="auto"/>
        <w:bottom w:val="none" w:sz="0" w:space="0" w:color="auto"/>
        <w:right w:val="none" w:sz="0" w:space="0" w:color="auto"/>
      </w:divBdr>
    </w:div>
    <w:div w:id="1487740795">
      <w:bodyDiv w:val="1"/>
      <w:marLeft w:val="0"/>
      <w:marRight w:val="0"/>
      <w:marTop w:val="0"/>
      <w:marBottom w:val="0"/>
      <w:divBdr>
        <w:top w:val="none" w:sz="0" w:space="0" w:color="auto"/>
        <w:left w:val="none" w:sz="0" w:space="0" w:color="auto"/>
        <w:bottom w:val="none" w:sz="0" w:space="0" w:color="auto"/>
        <w:right w:val="none" w:sz="0" w:space="0" w:color="auto"/>
      </w:divBdr>
    </w:div>
    <w:div w:id="1487936668">
      <w:bodyDiv w:val="1"/>
      <w:marLeft w:val="0"/>
      <w:marRight w:val="0"/>
      <w:marTop w:val="0"/>
      <w:marBottom w:val="0"/>
      <w:divBdr>
        <w:top w:val="none" w:sz="0" w:space="0" w:color="auto"/>
        <w:left w:val="none" w:sz="0" w:space="0" w:color="auto"/>
        <w:bottom w:val="none" w:sz="0" w:space="0" w:color="auto"/>
        <w:right w:val="none" w:sz="0" w:space="0" w:color="auto"/>
      </w:divBdr>
    </w:div>
    <w:div w:id="1488008691">
      <w:bodyDiv w:val="1"/>
      <w:marLeft w:val="0"/>
      <w:marRight w:val="0"/>
      <w:marTop w:val="0"/>
      <w:marBottom w:val="0"/>
      <w:divBdr>
        <w:top w:val="none" w:sz="0" w:space="0" w:color="auto"/>
        <w:left w:val="none" w:sz="0" w:space="0" w:color="auto"/>
        <w:bottom w:val="none" w:sz="0" w:space="0" w:color="auto"/>
        <w:right w:val="none" w:sz="0" w:space="0" w:color="auto"/>
      </w:divBdr>
    </w:div>
    <w:div w:id="1488284294">
      <w:bodyDiv w:val="1"/>
      <w:marLeft w:val="0"/>
      <w:marRight w:val="0"/>
      <w:marTop w:val="0"/>
      <w:marBottom w:val="0"/>
      <w:divBdr>
        <w:top w:val="none" w:sz="0" w:space="0" w:color="auto"/>
        <w:left w:val="none" w:sz="0" w:space="0" w:color="auto"/>
        <w:bottom w:val="none" w:sz="0" w:space="0" w:color="auto"/>
        <w:right w:val="none" w:sz="0" w:space="0" w:color="auto"/>
      </w:divBdr>
    </w:div>
    <w:div w:id="1488864289">
      <w:bodyDiv w:val="1"/>
      <w:marLeft w:val="0"/>
      <w:marRight w:val="0"/>
      <w:marTop w:val="0"/>
      <w:marBottom w:val="0"/>
      <w:divBdr>
        <w:top w:val="none" w:sz="0" w:space="0" w:color="auto"/>
        <w:left w:val="none" w:sz="0" w:space="0" w:color="auto"/>
        <w:bottom w:val="none" w:sz="0" w:space="0" w:color="auto"/>
        <w:right w:val="none" w:sz="0" w:space="0" w:color="auto"/>
      </w:divBdr>
    </w:div>
    <w:div w:id="1488865252">
      <w:bodyDiv w:val="1"/>
      <w:marLeft w:val="0"/>
      <w:marRight w:val="0"/>
      <w:marTop w:val="0"/>
      <w:marBottom w:val="0"/>
      <w:divBdr>
        <w:top w:val="none" w:sz="0" w:space="0" w:color="auto"/>
        <w:left w:val="none" w:sz="0" w:space="0" w:color="auto"/>
        <w:bottom w:val="none" w:sz="0" w:space="0" w:color="auto"/>
        <w:right w:val="none" w:sz="0" w:space="0" w:color="auto"/>
      </w:divBdr>
    </w:div>
    <w:div w:id="1488981591">
      <w:bodyDiv w:val="1"/>
      <w:marLeft w:val="0"/>
      <w:marRight w:val="0"/>
      <w:marTop w:val="0"/>
      <w:marBottom w:val="0"/>
      <w:divBdr>
        <w:top w:val="none" w:sz="0" w:space="0" w:color="auto"/>
        <w:left w:val="none" w:sz="0" w:space="0" w:color="auto"/>
        <w:bottom w:val="none" w:sz="0" w:space="0" w:color="auto"/>
        <w:right w:val="none" w:sz="0" w:space="0" w:color="auto"/>
      </w:divBdr>
    </w:div>
    <w:div w:id="1489328412">
      <w:bodyDiv w:val="1"/>
      <w:marLeft w:val="0"/>
      <w:marRight w:val="0"/>
      <w:marTop w:val="0"/>
      <w:marBottom w:val="0"/>
      <w:divBdr>
        <w:top w:val="none" w:sz="0" w:space="0" w:color="auto"/>
        <w:left w:val="none" w:sz="0" w:space="0" w:color="auto"/>
        <w:bottom w:val="none" w:sz="0" w:space="0" w:color="auto"/>
        <w:right w:val="none" w:sz="0" w:space="0" w:color="auto"/>
      </w:divBdr>
    </w:div>
    <w:div w:id="1490749248">
      <w:bodyDiv w:val="1"/>
      <w:marLeft w:val="0"/>
      <w:marRight w:val="0"/>
      <w:marTop w:val="0"/>
      <w:marBottom w:val="0"/>
      <w:divBdr>
        <w:top w:val="none" w:sz="0" w:space="0" w:color="auto"/>
        <w:left w:val="none" w:sz="0" w:space="0" w:color="auto"/>
        <w:bottom w:val="none" w:sz="0" w:space="0" w:color="auto"/>
        <w:right w:val="none" w:sz="0" w:space="0" w:color="auto"/>
      </w:divBdr>
    </w:div>
    <w:div w:id="1491093167">
      <w:bodyDiv w:val="1"/>
      <w:marLeft w:val="0"/>
      <w:marRight w:val="0"/>
      <w:marTop w:val="0"/>
      <w:marBottom w:val="0"/>
      <w:divBdr>
        <w:top w:val="none" w:sz="0" w:space="0" w:color="auto"/>
        <w:left w:val="none" w:sz="0" w:space="0" w:color="auto"/>
        <w:bottom w:val="none" w:sz="0" w:space="0" w:color="auto"/>
        <w:right w:val="none" w:sz="0" w:space="0" w:color="auto"/>
      </w:divBdr>
    </w:div>
    <w:div w:id="1491284845">
      <w:bodyDiv w:val="1"/>
      <w:marLeft w:val="0"/>
      <w:marRight w:val="0"/>
      <w:marTop w:val="0"/>
      <w:marBottom w:val="0"/>
      <w:divBdr>
        <w:top w:val="none" w:sz="0" w:space="0" w:color="auto"/>
        <w:left w:val="none" w:sz="0" w:space="0" w:color="auto"/>
        <w:bottom w:val="none" w:sz="0" w:space="0" w:color="auto"/>
        <w:right w:val="none" w:sz="0" w:space="0" w:color="auto"/>
      </w:divBdr>
    </w:div>
    <w:div w:id="1491404394">
      <w:bodyDiv w:val="1"/>
      <w:marLeft w:val="0"/>
      <w:marRight w:val="0"/>
      <w:marTop w:val="0"/>
      <w:marBottom w:val="0"/>
      <w:divBdr>
        <w:top w:val="none" w:sz="0" w:space="0" w:color="auto"/>
        <w:left w:val="none" w:sz="0" w:space="0" w:color="auto"/>
        <w:bottom w:val="none" w:sz="0" w:space="0" w:color="auto"/>
        <w:right w:val="none" w:sz="0" w:space="0" w:color="auto"/>
      </w:divBdr>
    </w:div>
    <w:div w:id="1491479184">
      <w:bodyDiv w:val="1"/>
      <w:marLeft w:val="0"/>
      <w:marRight w:val="0"/>
      <w:marTop w:val="0"/>
      <w:marBottom w:val="0"/>
      <w:divBdr>
        <w:top w:val="none" w:sz="0" w:space="0" w:color="auto"/>
        <w:left w:val="none" w:sz="0" w:space="0" w:color="auto"/>
        <w:bottom w:val="none" w:sz="0" w:space="0" w:color="auto"/>
        <w:right w:val="none" w:sz="0" w:space="0" w:color="auto"/>
      </w:divBdr>
    </w:div>
    <w:div w:id="1491825146">
      <w:bodyDiv w:val="1"/>
      <w:marLeft w:val="0"/>
      <w:marRight w:val="0"/>
      <w:marTop w:val="0"/>
      <w:marBottom w:val="0"/>
      <w:divBdr>
        <w:top w:val="none" w:sz="0" w:space="0" w:color="auto"/>
        <w:left w:val="none" w:sz="0" w:space="0" w:color="auto"/>
        <w:bottom w:val="none" w:sz="0" w:space="0" w:color="auto"/>
        <w:right w:val="none" w:sz="0" w:space="0" w:color="auto"/>
      </w:divBdr>
    </w:div>
    <w:div w:id="1492218070">
      <w:bodyDiv w:val="1"/>
      <w:marLeft w:val="0"/>
      <w:marRight w:val="0"/>
      <w:marTop w:val="0"/>
      <w:marBottom w:val="0"/>
      <w:divBdr>
        <w:top w:val="none" w:sz="0" w:space="0" w:color="auto"/>
        <w:left w:val="none" w:sz="0" w:space="0" w:color="auto"/>
        <w:bottom w:val="none" w:sz="0" w:space="0" w:color="auto"/>
        <w:right w:val="none" w:sz="0" w:space="0" w:color="auto"/>
      </w:divBdr>
    </w:div>
    <w:div w:id="1492672776">
      <w:bodyDiv w:val="1"/>
      <w:marLeft w:val="0"/>
      <w:marRight w:val="0"/>
      <w:marTop w:val="0"/>
      <w:marBottom w:val="0"/>
      <w:divBdr>
        <w:top w:val="none" w:sz="0" w:space="0" w:color="auto"/>
        <w:left w:val="none" w:sz="0" w:space="0" w:color="auto"/>
        <w:bottom w:val="none" w:sz="0" w:space="0" w:color="auto"/>
        <w:right w:val="none" w:sz="0" w:space="0" w:color="auto"/>
      </w:divBdr>
    </w:div>
    <w:div w:id="1492868380">
      <w:bodyDiv w:val="1"/>
      <w:marLeft w:val="0"/>
      <w:marRight w:val="0"/>
      <w:marTop w:val="0"/>
      <w:marBottom w:val="0"/>
      <w:divBdr>
        <w:top w:val="none" w:sz="0" w:space="0" w:color="auto"/>
        <w:left w:val="none" w:sz="0" w:space="0" w:color="auto"/>
        <w:bottom w:val="none" w:sz="0" w:space="0" w:color="auto"/>
        <w:right w:val="none" w:sz="0" w:space="0" w:color="auto"/>
      </w:divBdr>
    </w:div>
    <w:div w:id="1495027335">
      <w:bodyDiv w:val="1"/>
      <w:marLeft w:val="0"/>
      <w:marRight w:val="0"/>
      <w:marTop w:val="0"/>
      <w:marBottom w:val="0"/>
      <w:divBdr>
        <w:top w:val="none" w:sz="0" w:space="0" w:color="auto"/>
        <w:left w:val="none" w:sz="0" w:space="0" w:color="auto"/>
        <w:bottom w:val="none" w:sz="0" w:space="0" w:color="auto"/>
        <w:right w:val="none" w:sz="0" w:space="0" w:color="auto"/>
      </w:divBdr>
    </w:div>
    <w:div w:id="1495098598">
      <w:bodyDiv w:val="1"/>
      <w:marLeft w:val="0"/>
      <w:marRight w:val="0"/>
      <w:marTop w:val="0"/>
      <w:marBottom w:val="0"/>
      <w:divBdr>
        <w:top w:val="none" w:sz="0" w:space="0" w:color="auto"/>
        <w:left w:val="none" w:sz="0" w:space="0" w:color="auto"/>
        <w:bottom w:val="none" w:sz="0" w:space="0" w:color="auto"/>
        <w:right w:val="none" w:sz="0" w:space="0" w:color="auto"/>
      </w:divBdr>
    </w:div>
    <w:div w:id="1495342528">
      <w:bodyDiv w:val="1"/>
      <w:marLeft w:val="0"/>
      <w:marRight w:val="0"/>
      <w:marTop w:val="0"/>
      <w:marBottom w:val="0"/>
      <w:divBdr>
        <w:top w:val="none" w:sz="0" w:space="0" w:color="auto"/>
        <w:left w:val="none" w:sz="0" w:space="0" w:color="auto"/>
        <w:bottom w:val="none" w:sz="0" w:space="0" w:color="auto"/>
        <w:right w:val="none" w:sz="0" w:space="0" w:color="auto"/>
      </w:divBdr>
    </w:div>
    <w:div w:id="1495876402">
      <w:bodyDiv w:val="1"/>
      <w:marLeft w:val="0"/>
      <w:marRight w:val="0"/>
      <w:marTop w:val="0"/>
      <w:marBottom w:val="0"/>
      <w:divBdr>
        <w:top w:val="none" w:sz="0" w:space="0" w:color="auto"/>
        <w:left w:val="none" w:sz="0" w:space="0" w:color="auto"/>
        <w:bottom w:val="none" w:sz="0" w:space="0" w:color="auto"/>
        <w:right w:val="none" w:sz="0" w:space="0" w:color="auto"/>
      </w:divBdr>
    </w:div>
    <w:div w:id="1496147439">
      <w:bodyDiv w:val="1"/>
      <w:marLeft w:val="0"/>
      <w:marRight w:val="0"/>
      <w:marTop w:val="0"/>
      <w:marBottom w:val="0"/>
      <w:divBdr>
        <w:top w:val="none" w:sz="0" w:space="0" w:color="auto"/>
        <w:left w:val="none" w:sz="0" w:space="0" w:color="auto"/>
        <w:bottom w:val="none" w:sz="0" w:space="0" w:color="auto"/>
        <w:right w:val="none" w:sz="0" w:space="0" w:color="auto"/>
      </w:divBdr>
    </w:div>
    <w:div w:id="1496414882">
      <w:bodyDiv w:val="1"/>
      <w:marLeft w:val="0"/>
      <w:marRight w:val="0"/>
      <w:marTop w:val="0"/>
      <w:marBottom w:val="0"/>
      <w:divBdr>
        <w:top w:val="none" w:sz="0" w:space="0" w:color="auto"/>
        <w:left w:val="none" w:sz="0" w:space="0" w:color="auto"/>
        <w:bottom w:val="none" w:sz="0" w:space="0" w:color="auto"/>
        <w:right w:val="none" w:sz="0" w:space="0" w:color="auto"/>
      </w:divBdr>
    </w:div>
    <w:div w:id="1496416108">
      <w:bodyDiv w:val="1"/>
      <w:marLeft w:val="0"/>
      <w:marRight w:val="0"/>
      <w:marTop w:val="0"/>
      <w:marBottom w:val="0"/>
      <w:divBdr>
        <w:top w:val="none" w:sz="0" w:space="0" w:color="auto"/>
        <w:left w:val="none" w:sz="0" w:space="0" w:color="auto"/>
        <w:bottom w:val="none" w:sz="0" w:space="0" w:color="auto"/>
        <w:right w:val="none" w:sz="0" w:space="0" w:color="auto"/>
      </w:divBdr>
    </w:div>
    <w:div w:id="1496535487">
      <w:bodyDiv w:val="1"/>
      <w:marLeft w:val="0"/>
      <w:marRight w:val="0"/>
      <w:marTop w:val="0"/>
      <w:marBottom w:val="0"/>
      <w:divBdr>
        <w:top w:val="none" w:sz="0" w:space="0" w:color="auto"/>
        <w:left w:val="none" w:sz="0" w:space="0" w:color="auto"/>
        <w:bottom w:val="none" w:sz="0" w:space="0" w:color="auto"/>
        <w:right w:val="none" w:sz="0" w:space="0" w:color="auto"/>
      </w:divBdr>
    </w:div>
    <w:div w:id="1496604561">
      <w:bodyDiv w:val="1"/>
      <w:marLeft w:val="0"/>
      <w:marRight w:val="0"/>
      <w:marTop w:val="0"/>
      <w:marBottom w:val="0"/>
      <w:divBdr>
        <w:top w:val="none" w:sz="0" w:space="0" w:color="auto"/>
        <w:left w:val="none" w:sz="0" w:space="0" w:color="auto"/>
        <w:bottom w:val="none" w:sz="0" w:space="0" w:color="auto"/>
        <w:right w:val="none" w:sz="0" w:space="0" w:color="auto"/>
      </w:divBdr>
    </w:div>
    <w:div w:id="1497301835">
      <w:bodyDiv w:val="1"/>
      <w:marLeft w:val="0"/>
      <w:marRight w:val="0"/>
      <w:marTop w:val="0"/>
      <w:marBottom w:val="0"/>
      <w:divBdr>
        <w:top w:val="none" w:sz="0" w:space="0" w:color="auto"/>
        <w:left w:val="none" w:sz="0" w:space="0" w:color="auto"/>
        <w:bottom w:val="none" w:sz="0" w:space="0" w:color="auto"/>
        <w:right w:val="none" w:sz="0" w:space="0" w:color="auto"/>
      </w:divBdr>
    </w:div>
    <w:div w:id="1498113339">
      <w:bodyDiv w:val="1"/>
      <w:marLeft w:val="0"/>
      <w:marRight w:val="0"/>
      <w:marTop w:val="0"/>
      <w:marBottom w:val="0"/>
      <w:divBdr>
        <w:top w:val="none" w:sz="0" w:space="0" w:color="auto"/>
        <w:left w:val="none" w:sz="0" w:space="0" w:color="auto"/>
        <w:bottom w:val="none" w:sz="0" w:space="0" w:color="auto"/>
        <w:right w:val="none" w:sz="0" w:space="0" w:color="auto"/>
      </w:divBdr>
    </w:div>
    <w:div w:id="1498419420">
      <w:bodyDiv w:val="1"/>
      <w:marLeft w:val="0"/>
      <w:marRight w:val="0"/>
      <w:marTop w:val="0"/>
      <w:marBottom w:val="0"/>
      <w:divBdr>
        <w:top w:val="none" w:sz="0" w:space="0" w:color="auto"/>
        <w:left w:val="none" w:sz="0" w:space="0" w:color="auto"/>
        <w:bottom w:val="none" w:sz="0" w:space="0" w:color="auto"/>
        <w:right w:val="none" w:sz="0" w:space="0" w:color="auto"/>
      </w:divBdr>
    </w:div>
    <w:div w:id="1498767612">
      <w:bodyDiv w:val="1"/>
      <w:marLeft w:val="0"/>
      <w:marRight w:val="0"/>
      <w:marTop w:val="0"/>
      <w:marBottom w:val="0"/>
      <w:divBdr>
        <w:top w:val="none" w:sz="0" w:space="0" w:color="auto"/>
        <w:left w:val="none" w:sz="0" w:space="0" w:color="auto"/>
        <w:bottom w:val="none" w:sz="0" w:space="0" w:color="auto"/>
        <w:right w:val="none" w:sz="0" w:space="0" w:color="auto"/>
      </w:divBdr>
    </w:div>
    <w:div w:id="1498885774">
      <w:bodyDiv w:val="1"/>
      <w:marLeft w:val="0"/>
      <w:marRight w:val="0"/>
      <w:marTop w:val="0"/>
      <w:marBottom w:val="0"/>
      <w:divBdr>
        <w:top w:val="none" w:sz="0" w:space="0" w:color="auto"/>
        <w:left w:val="none" w:sz="0" w:space="0" w:color="auto"/>
        <w:bottom w:val="none" w:sz="0" w:space="0" w:color="auto"/>
        <w:right w:val="none" w:sz="0" w:space="0" w:color="auto"/>
      </w:divBdr>
    </w:div>
    <w:div w:id="1498957958">
      <w:bodyDiv w:val="1"/>
      <w:marLeft w:val="0"/>
      <w:marRight w:val="0"/>
      <w:marTop w:val="0"/>
      <w:marBottom w:val="0"/>
      <w:divBdr>
        <w:top w:val="none" w:sz="0" w:space="0" w:color="auto"/>
        <w:left w:val="none" w:sz="0" w:space="0" w:color="auto"/>
        <w:bottom w:val="none" w:sz="0" w:space="0" w:color="auto"/>
        <w:right w:val="none" w:sz="0" w:space="0" w:color="auto"/>
      </w:divBdr>
    </w:div>
    <w:div w:id="1499031068">
      <w:bodyDiv w:val="1"/>
      <w:marLeft w:val="0"/>
      <w:marRight w:val="0"/>
      <w:marTop w:val="0"/>
      <w:marBottom w:val="0"/>
      <w:divBdr>
        <w:top w:val="none" w:sz="0" w:space="0" w:color="auto"/>
        <w:left w:val="none" w:sz="0" w:space="0" w:color="auto"/>
        <w:bottom w:val="none" w:sz="0" w:space="0" w:color="auto"/>
        <w:right w:val="none" w:sz="0" w:space="0" w:color="auto"/>
      </w:divBdr>
    </w:div>
    <w:div w:id="1499154769">
      <w:bodyDiv w:val="1"/>
      <w:marLeft w:val="0"/>
      <w:marRight w:val="0"/>
      <w:marTop w:val="0"/>
      <w:marBottom w:val="0"/>
      <w:divBdr>
        <w:top w:val="none" w:sz="0" w:space="0" w:color="auto"/>
        <w:left w:val="none" w:sz="0" w:space="0" w:color="auto"/>
        <w:bottom w:val="none" w:sz="0" w:space="0" w:color="auto"/>
        <w:right w:val="none" w:sz="0" w:space="0" w:color="auto"/>
      </w:divBdr>
    </w:div>
    <w:div w:id="1499227846">
      <w:bodyDiv w:val="1"/>
      <w:marLeft w:val="0"/>
      <w:marRight w:val="0"/>
      <w:marTop w:val="0"/>
      <w:marBottom w:val="0"/>
      <w:divBdr>
        <w:top w:val="none" w:sz="0" w:space="0" w:color="auto"/>
        <w:left w:val="none" w:sz="0" w:space="0" w:color="auto"/>
        <w:bottom w:val="none" w:sz="0" w:space="0" w:color="auto"/>
        <w:right w:val="none" w:sz="0" w:space="0" w:color="auto"/>
      </w:divBdr>
    </w:div>
    <w:div w:id="1499491843">
      <w:bodyDiv w:val="1"/>
      <w:marLeft w:val="0"/>
      <w:marRight w:val="0"/>
      <w:marTop w:val="0"/>
      <w:marBottom w:val="0"/>
      <w:divBdr>
        <w:top w:val="none" w:sz="0" w:space="0" w:color="auto"/>
        <w:left w:val="none" w:sz="0" w:space="0" w:color="auto"/>
        <w:bottom w:val="none" w:sz="0" w:space="0" w:color="auto"/>
        <w:right w:val="none" w:sz="0" w:space="0" w:color="auto"/>
      </w:divBdr>
    </w:div>
    <w:div w:id="1499611914">
      <w:bodyDiv w:val="1"/>
      <w:marLeft w:val="0"/>
      <w:marRight w:val="0"/>
      <w:marTop w:val="0"/>
      <w:marBottom w:val="0"/>
      <w:divBdr>
        <w:top w:val="none" w:sz="0" w:space="0" w:color="auto"/>
        <w:left w:val="none" w:sz="0" w:space="0" w:color="auto"/>
        <w:bottom w:val="none" w:sz="0" w:space="0" w:color="auto"/>
        <w:right w:val="none" w:sz="0" w:space="0" w:color="auto"/>
      </w:divBdr>
    </w:div>
    <w:div w:id="1499615195">
      <w:bodyDiv w:val="1"/>
      <w:marLeft w:val="0"/>
      <w:marRight w:val="0"/>
      <w:marTop w:val="0"/>
      <w:marBottom w:val="0"/>
      <w:divBdr>
        <w:top w:val="none" w:sz="0" w:space="0" w:color="auto"/>
        <w:left w:val="none" w:sz="0" w:space="0" w:color="auto"/>
        <w:bottom w:val="none" w:sz="0" w:space="0" w:color="auto"/>
        <w:right w:val="none" w:sz="0" w:space="0" w:color="auto"/>
      </w:divBdr>
    </w:div>
    <w:div w:id="1499660996">
      <w:bodyDiv w:val="1"/>
      <w:marLeft w:val="0"/>
      <w:marRight w:val="0"/>
      <w:marTop w:val="0"/>
      <w:marBottom w:val="0"/>
      <w:divBdr>
        <w:top w:val="none" w:sz="0" w:space="0" w:color="auto"/>
        <w:left w:val="none" w:sz="0" w:space="0" w:color="auto"/>
        <w:bottom w:val="none" w:sz="0" w:space="0" w:color="auto"/>
        <w:right w:val="none" w:sz="0" w:space="0" w:color="auto"/>
      </w:divBdr>
    </w:div>
    <w:div w:id="1499733066">
      <w:bodyDiv w:val="1"/>
      <w:marLeft w:val="0"/>
      <w:marRight w:val="0"/>
      <w:marTop w:val="0"/>
      <w:marBottom w:val="0"/>
      <w:divBdr>
        <w:top w:val="none" w:sz="0" w:space="0" w:color="auto"/>
        <w:left w:val="none" w:sz="0" w:space="0" w:color="auto"/>
        <w:bottom w:val="none" w:sz="0" w:space="0" w:color="auto"/>
        <w:right w:val="none" w:sz="0" w:space="0" w:color="auto"/>
      </w:divBdr>
    </w:div>
    <w:div w:id="1499930136">
      <w:bodyDiv w:val="1"/>
      <w:marLeft w:val="0"/>
      <w:marRight w:val="0"/>
      <w:marTop w:val="0"/>
      <w:marBottom w:val="0"/>
      <w:divBdr>
        <w:top w:val="none" w:sz="0" w:space="0" w:color="auto"/>
        <w:left w:val="none" w:sz="0" w:space="0" w:color="auto"/>
        <w:bottom w:val="none" w:sz="0" w:space="0" w:color="auto"/>
        <w:right w:val="none" w:sz="0" w:space="0" w:color="auto"/>
      </w:divBdr>
    </w:div>
    <w:div w:id="1500001396">
      <w:bodyDiv w:val="1"/>
      <w:marLeft w:val="0"/>
      <w:marRight w:val="0"/>
      <w:marTop w:val="0"/>
      <w:marBottom w:val="0"/>
      <w:divBdr>
        <w:top w:val="none" w:sz="0" w:space="0" w:color="auto"/>
        <w:left w:val="none" w:sz="0" w:space="0" w:color="auto"/>
        <w:bottom w:val="none" w:sz="0" w:space="0" w:color="auto"/>
        <w:right w:val="none" w:sz="0" w:space="0" w:color="auto"/>
      </w:divBdr>
    </w:div>
    <w:div w:id="1500271435">
      <w:bodyDiv w:val="1"/>
      <w:marLeft w:val="0"/>
      <w:marRight w:val="0"/>
      <w:marTop w:val="0"/>
      <w:marBottom w:val="0"/>
      <w:divBdr>
        <w:top w:val="none" w:sz="0" w:space="0" w:color="auto"/>
        <w:left w:val="none" w:sz="0" w:space="0" w:color="auto"/>
        <w:bottom w:val="none" w:sz="0" w:space="0" w:color="auto"/>
        <w:right w:val="none" w:sz="0" w:space="0" w:color="auto"/>
      </w:divBdr>
    </w:div>
    <w:div w:id="1500654394">
      <w:bodyDiv w:val="1"/>
      <w:marLeft w:val="0"/>
      <w:marRight w:val="0"/>
      <w:marTop w:val="0"/>
      <w:marBottom w:val="0"/>
      <w:divBdr>
        <w:top w:val="none" w:sz="0" w:space="0" w:color="auto"/>
        <w:left w:val="none" w:sz="0" w:space="0" w:color="auto"/>
        <w:bottom w:val="none" w:sz="0" w:space="0" w:color="auto"/>
        <w:right w:val="none" w:sz="0" w:space="0" w:color="auto"/>
      </w:divBdr>
    </w:div>
    <w:div w:id="1500844925">
      <w:bodyDiv w:val="1"/>
      <w:marLeft w:val="0"/>
      <w:marRight w:val="0"/>
      <w:marTop w:val="0"/>
      <w:marBottom w:val="0"/>
      <w:divBdr>
        <w:top w:val="none" w:sz="0" w:space="0" w:color="auto"/>
        <w:left w:val="none" w:sz="0" w:space="0" w:color="auto"/>
        <w:bottom w:val="none" w:sz="0" w:space="0" w:color="auto"/>
        <w:right w:val="none" w:sz="0" w:space="0" w:color="auto"/>
      </w:divBdr>
    </w:div>
    <w:div w:id="1500999258">
      <w:bodyDiv w:val="1"/>
      <w:marLeft w:val="0"/>
      <w:marRight w:val="0"/>
      <w:marTop w:val="0"/>
      <w:marBottom w:val="0"/>
      <w:divBdr>
        <w:top w:val="none" w:sz="0" w:space="0" w:color="auto"/>
        <w:left w:val="none" w:sz="0" w:space="0" w:color="auto"/>
        <w:bottom w:val="none" w:sz="0" w:space="0" w:color="auto"/>
        <w:right w:val="none" w:sz="0" w:space="0" w:color="auto"/>
      </w:divBdr>
    </w:div>
    <w:div w:id="1501501269">
      <w:bodyDiv w:val="1"/>
      <w:marLeft w:val="0"/>
      <w:marRight w:val="0"/>
      <w:marTop w:val="0"/>
      <w:marBottom w:val="0"/>
      <w:divBdr>
        <w:top w:val="none" w:sz="0" w:space="0" w:color="auto"/>
        <w:left w:val="none" w:sz="0" w:space="0" w:color="auto"/>
        <w:bottom w:val="none" w:sz="0" w:space="0" w:color="auto"/>
        <w:right w:val="none" w:sz="0" w:space="0" w:color="auto"/>
      </w:divBdr>
    </w:div>
    <w:div w:id="1501694079">
      <w:bodyDiv w:val="1"/>
      <w:marLeft w:val="0"/>
      <w:marRight w:val="0"/>
      <w:marTop w:val="0"/>
      <w:marBottom w:val="0"/>
      <w:divBdr>
        <w:top w:val="none" w:sz="0" w:space="0" w:color="auto"/>
        <w:left w:val="none" w:sz="0" w:space="0" w:color="auto"/>
        <w:bottom w:val="none" w:sz="0" w:space="0" w:color="auto"/>
        <w:right w:val="none" w:sz="0" w:space="0" w:color="auto"/>
      </w:divBdr>
    </w:div>
    <w:div w:id="1501695685">
      <w:bodyDiv w:val="1"/>
      <w:marLeft w:val="0"/>
      <w:marRight w:val="0"/>
      <w:marTop w:val="0"/>
      <w:marBottom w:val="0"/>
      <w:divBdr>
        <w:top w:val="none" w:sz="0" w:space="0" w:color="auto"/>
        <w:left w:val="none" w:sz="0" w:space="0" w:color="auto"/>
        <w:bottom w:val="none" w:sz="0" w:space="0" w:color="auto"/>
        <w:right w:val="none" w:sz="0" w:space="0" w:color="auto"/>
      </w:divBdr>
    </w:div>
    <w:div w:id="1502042563">
      <w:bodyDiv w:val="1"/>
      <w:marLeft w:val="0"/>
      <w:marRight w:val="0"/>
      <w:marTop w:val="0"/>
      <w:marBottom w:val="0"/>
      <w:divBdr>
        <w:top w:val="none" w:sz="0" w:space="0" w:color="auto"/>
        <w:left w:val="none" w:sz="0" w:space="0" w:color="auto"/>
        <w:bottom w:val="none" w:sz="0" w:space="0" w:color="auto"/>
        <w:right w:val="none" w:sz="0" w:space="0" w:color="auto"/>
      </w:divBdr>
    </w:div>
    <w:div w:id="1502239796">
      <w:bodyDiv w:val="1"/>
      <w:marLeft w:val="0"/>
      <w:marRight w:val="0"/>
      <w:marTop w:val="0"/>
      <w:marBottom w:val="0"/>
      <w:divBdr>
        <w:top w:val="none" w:sz="0" w:space="0" w:color="auto"/>
        <w:left w:val="none" w:sz="0" w:space="0" w:color="auto"/>
        <w:bottom w:val="none" w:sz="0" w:space="0" w:color="auto"/>
        <w:right w:val="none" w:sz="0" w:space="0" w:color="auto"/>
      </w:divBdr>
    </w:div>
    <w:div w:id="1502575644">
      <w:bodyDiv w:val="1"/>
      <w:marLeft w:val="0"/>
      <w:marRight w:val="0"/>
      <w:marTop w:val="0"/>
      <w:marBottom w:val="0"/>
      <w:divBdr>
        <w:top w:val="none" w:sz="0" w:space="0" w:color="auto"/>
        <w:left w:val="none" w:sz="0" w:space="0" w:color="auto"/>
        <w:bottom w:val="none" w:sz="0" w:space="0" w:color="auto"/>
        <w:right w:val="none" w:sz="0" w:space="0" w:color="auto"/>
      </w:divBdr>
    </w:div>
    <w:div w:id="1502886473">
      <w:bodyDiv w:val="1"/>
      <w:marLeft w:val="0"/>
      <w:marRight w:val="0"/>
      <w:marTop w:val="0"/>
      <w:marBottom w:val="0"/>
      <w:divBdr>
        <w:top w:val="none" w:sz="0" w:space="0" w:color="auto"/>
        <w:left w:val="none" w:sz="0" w:space="0" w:color="auto"/>
        <w:bottom w:val="none" w:sz="0" w:space="0" w:color="auto"/>
        <w:right w:val="none" w:sz="0" w:space="0" w:color="auto"/>
      </w:divBdr>
    </w:div>
    <w:div w:id="1502962679">
      <w:bodyDiv w:val="1"/>
      <w:marLeft w:val="0"/>
      <w:marRight w:val="0"/>
      <w:marTop w:val="0"/>
      <w:marBottom w:val="0"/>
      <w:divBdr>
        <w:top w:val="none" w:sz="0" w:space="0" w:color="auto"/>
        <w:left w:val="none" w:sz="0" w:space="0" w:color="auto"/>
        <w:bottom w:val="none" w:sz="0" w:space="0" w:color="auto"/>
        <w:right w:val="none" w:sz="0" w:space="0" w:color="auto"/>
      </w:divBdr>
    </w:div>
    <w:div w:id="1503348613">
      <w:bodyDiv w:val="1"/>
      <w:marLeft w:val="0"/>
      <w:marRight w:val="0"/>
      <w:marTop w:val="0"/>
      <w:marBottom w:val="0"/>
      <w:divBdr>
        <w:top w:val="none" w:sz="0" w:space="0" w:color="auto"/>
        <w:left w:val="none" w:sz="0" w:space="0" w:color="auto"/>
        <w:bottom w:val="none" w:sz="0" w:space="0" w:color="auto"/>
        <w:right w:val="none" w:sz="0" w:space="0" w:color="auto"/>
      </w:divBdr>
    </w:div>
    <w:div w:id="1503470636">
      <w:bodyDiv w:val="1"/>
      <w:marLeft w:val="0"/>
      <w:marRight w:val="0"/>
      <w:marTop w:val="0"/>
      <w:marBottom w:val="0"/>
      <w:divBdr>
        <w:top w:val="none" w:sz="0" w:space="0" w:color="auto"/>
        <w:left w:val="none" w:sz="0" w:space="0" w:color="auto"/>
        <w:bottom w:val="none" w:sz="0" w:space="0" w:color="auto"/>
        <w:right w:val="none" w:sz="0" w:space="0" w:color="auto"/>
      </w:divBdr>
    </w:div>
    <w:div w:id="1503739845">
      <w:bodyDiv w:val="1"/>
      <w:marLeft w:val="0"/>
      <w:marRight w:val="0"/>
      <w:marTop w:val="0"/>
      <w:marBottom w:val="0"/>
      <w:divBdr>
        <w:top w:val="none" w:sz="0" w:space="0" w:color="auto"/>
        <w:left w:val="none" w:sz="0" w:space="0" w:color="auto"/>
        <w:bottom w:val="none" w:sz="0" w:space="0" w:color="auto"/>
        <w:right w:val="none" w:sz="0" w:space="0" w:color="auto"/>
      </w:divBdr>
    </w:div>
    <w:div w:id="1504200653">
      <w:bodyDiv w:val="1"/>
      <w:marLeft w:val="0"/>
      <w:marRight w:val="0"/>
      <w:marTop w:val="0"/>
      <w:marBottom w:val="0"/>
      <w:divBdr>
        <w:top w:val="none" w:sz="0" w:space="0" w:color="auto"/>
        <w:left w:val="none" w:sz="0" w:space="0" w:color="auto"/>
        <w:bottom w:val="none" w:sz="0" w:space="0" w:color="auto"/>
        <w:right w:val="none" w:sz="0" w:space="0" w:color="auto"/>
      </w:divBdr>
    </w:div>
    <w:div w:id="1504665452">
      <w:bodyDiv w:val="1"/>
      <w:marLeft w:val="0"/>
      <w:marRight w:val="0"/>
      <w:marTop w:val="0"/>
      <w:marBottom w:val="0"/>
      <w:divBdr>
        <w:top w:val="none" w:sz="0" w:space="0" w:color="auto"/>
        <w:left w:val="none" w:sz="0" w:space="0" w:color="auto"/>
        <w:bottom w:val="none" w:sz="0" w:space="0" w:color="auto"/>
        <w:right w:val="none" w:sz="0" w:space="0" w:color="auto"/>
      </w:divBdr>
    </w:div>
    <w:div w:id="1504903706">
      <w:bodyDiv w:val="1"/>
      <w:marLeft w:val="0"/>
      <w:marRight w:val="0"/>
      <w:marTop w:val="0"/>
      <w:marBottom w:val="0"/>
      <w:divBdr>
        <w:top w:val="none" w:sz="0" w:space="0" w:color="auto"/>
        <w:left w:val="none" w:sz="0" w:space="0" w:color="auto"/>
        <w:bottom w:val="none" w:sz="0" w:space="0" w:color="auto"/>
        <w:right w:val="none" w:sz="0" w:space="0" w:color="auto"/>
      </w:divBdr>
    </w:div>
    <w:div w:id="1505584812">
      <w:bodyDiv w:val="1"/>
      <w:marLeft w:val="0"/>
      <w:marRight w:val="0"/>
      <w:marTop w:val="0"/>
      <w:marBottom w:val="0"/>
      <w:divBdr>
        <w:top w:val="none" w:sz="0" w:space="0" w:color="auto"/>
        <w:left w:val="none" w:sz="0" w:space="0" w:color="auto"/>
        <w:bottom w:val="none" w:sz="0" w:space="0" w:color="auto"/>
        <w:right w:val="none" w:sz="0" w:space="0" w:color="auto"/>
      </w:divBdr>
    </w:div>
    <w:div w:id="1505628243">
      <w:bodyDiv w:val="1"/>
      <w:marLeft w:val="0"/>
      <w:marRight w:val="0"/>
      <w:marTop w:val="0"/>
      <w:marBottom w:val="0"/>
      <w:divBdr>
        <w:top w:val="none" w:sz="0" w:space="0" w:color="auto"/>
        <w:left w:val="none" w:sz="0" w:space="0" w:color="auto"/>
        <w:bottom w:val="none" w:sz="0" w:space="0" w:color="auto"/>
        <w:right w:val="none" w:sz="0" w:space="0" w:color="auto"/>
      </w:divBdr>
    </w:div>
    <w:div w:id="1505780052">
      <w:bodyDiv w:val="1"/>
      <w:marLeft w:val="0"/>
      <w:marRight w:val="0"/>
      <w:marTop w:val="0"/>
      <w:marBottom w:val="0"/>
      <w:divBdr>
        <w:top w:val="none" w:sz="0" w:space="0" w:color="auto"/>
        <w:left w:val="none" w:sz="0" w:space="0" w:color="auto"/>
        <w:bottom w:val="none" w:sz="0" w:space="0" w:color="auto"/>
        <w:right w:val="none" w:sz="0" w:space="0" w:color="auto"/>
      </w:divBdr>
    </w:div>
    <w:div w:id="1505978677">
      <w:bodyDiv w:val="1"/>
      <w:marLeft w:val="0"/>
      <w:marRight w:val="0"/>
      <w:marTop w:val="0"/>
      <w:marBottom w:val="0"/>
      <w:divBdr>
        <w:top w:val="none" w:sz="0" w:space="0" w:color="auto"/>
        <w:left w:val="none" w:sz="0" w:space="0" w:color="auto"/>
        <w:bottom w:val="none" w:sz="0" w:space="0" w:color="auto"/>
        <w:right w:val="none" w:sz="0" w:space="0" w:color="auto"/>
      </w:divBdr>
    </w:div>
    <w:div w:id="1506476531">
      <w:bodyDiv w:val="1"/>
      <w:marLeft w:val="0"/>
      <w:marRight w:val="0"/>
      <w:marTop w:val="0"/>
      <w:marBottom w:val="0"/>
      <w:divBdr>
        <w:top w:val="none" w:sz="0" w:space="0" w:color="auto"/>
        <w:left w:val="none" w:sz="0" w:space="0" w:color="auto"/>
        <w:bottom w:val="none" w:sz="0" w:space="0" w:color="auto"/>
        <w:right w:val="none" w:sz="0" w:space="0" w:color="auto"/>
      </w:divBdr>
    </w:div>
    <w:div w:id="1506477090">
      <w:bodyDiv w:val="1"/>
      <w:marLeft w:val="0"/>
      <w:marRight w:val="0"/>
      <w:marTop w:val="0"/>
      <w:marBottom w:val="0"/>
      <w:divBdr>
        <w:top w:val="none" w:sz="0" w:space="0" w:color="auto"/>
        <w:left w:val="none" w:sz="0" w:space="0" w:color="auto"/>
        <w:bottom w:val="none" w:sz="0" w:space="0" w:color="auto"/>
        <w:right w:val="none" w:sz="0" w:space="0" w:color="auto"/>
      </w:divBdr>
    </w:div>
    <w:div w:id="1507398889">
      <w:bodyDiv w:val="1"/>
      <w:marLeft w:val="0"/>
      <w:marRight w:val="0"/>
      <w:marTop w:val="0"/>
      <w:marBottom w:val="0"/>
      <w:divBdr>
        <w:top w:val="none" w:sz="0" w:space="0" w:color="auto"/>
        <w:left w:val="none" w:sz="0" w:space="0" w:color="auto"/>
        <w:bottom w:val="none" w:sz="0" w:space="0" w:color="auto"/>
        <w:right w:val="none" w:sz="0" w:space="0" w:color="auto"/>
      </w:divBdr>
    </w:div>
    <w:div w:id="1507668864">
      <w:bodyDiv w:val="1"/>
      <w:marLeft w:val="0"/>
      <w:marRight w:val="0"/>
      <w:marTop w:val="0"/>
      <w:marBottom w:val="0"/>
      <w:divBdr>
        <w:top w:val="none" w:sz="0" w:space="0" w:color="auto"/>
        <w:left w:val="none" w:sz="0" w:space="0" w:color="auto"/>
        <w:bottom w:val="none" w:sz="0" w:space="0" w:color="auto"/>
        <w:right w:val="none" w:sz="0" w:space="0" w:color="auto"/>
      </w:divBdr>
    </w:div>
    <w:div w:id="1507869318">
      <w:bodyDiv w:val="1"/>
      <w:marLeft w:val="0"/>
      <w:marRight w:val="0"/>
      <w:marTop w:val="0"/>
      <w:marBottom w:val="0"/>
      <w:divBdr>
        <w:top w:val="none" w:sz="0" w:space="0" w:color="auto"/>
        <w:left w:val="none" w:sz="0" w:space="0" w:color="auto"/>
        <w:bottom w:val="none" w:sz="0" w:space="0" w:color="auto"/>
        <w:right w:val="none" w:sz="0" w:space="0" w:color="auto"/>
      </w:divBdr>
    </w:div>
    <w:div w:id="1508014142">
      <w:bodyDiv w:val="1"/>
      <w:marLeft w:val="0"/>
      <w:marRight w:val="0"/>
      <w:marTop w:val="0"/>
      <w:marBottom w:val="0"/>
      <w:divBdr>
        <w:top w:val="none" w:sz="0" w:space="0" w:color="auto"/>
        <w:left w:val="none" w:sz="0" w:space="0" w:color="auto"/>
        <w:bottom w:val="none" w:sz="0" w:space="0" w:color="auto"/>
        <w:right w:val="none" w:sz="0" w:space="0" w:color="auto"/>
      </w:divBdr>
    </w:div>
    <w:div w:id="1508446430">
      <w:bodyDiv w:val="1"/>
      <w:marLeft w:val="0"/>
      <w:marRight w:val="0"/>
      <w:marTop w:val="0"/>
      <w:marBottom w:val="0"/>
      <w:divBdr>
        <w:top w:val="none" w:sz="0" w:space="0" w:color="auto"/>
        <w:left w:val="none" w:sz="0" w:space="0" w:color="auto"/>
        <w:bottom w:val="none" w:sz="0" w:space="0" w:color="auto"/>
        <w:right w:val="none" w:sz="0" w:space="0" w:color="auto"/>
      </w:divBdr>
    </w:div>
    <w:div w:id="1508711844">
      <w:bodyDiv w:val="1"/>
      <w:marLeft w:val="0"/>
      <w:marRight w:val="0"/>
      <w:marTop w:val="0"/>
      <w:marBottom w:val="0"/>
      <w:divBdr>
        <w:top w:val="none" w:sz="0" w:space="0" w:color="auto"/>
        <w:left w:val="none" w:sz="0" w:space="0" w:color="auto"/>
        <w:bottom w:val="none" w:sz="0" w:space="0" w:color="auto"/>
        <w:right w:val="none" w:sz="0" w:space="0" w:color="auto"/>
      </w:divBdr>
    </w:div>
    <w:div w:id="1508905944">
      <w:bodyDiv w:val="1"/>
      <w:marLeft w:val="0"/>
      <w:marRight w:val="0"/>
      <w:marTop w:val="0"/>
      <w:marBottom w:val="0"/>
      <w:divBdr>
        <w:top w:val="none" w:sz="0" w:space="0" w:color="auto"/>
        <w:left w:val="none" w:sz="0" w:space="0" w:color="auto"/>
        <w:bottom w:val="none" w:sz="0" w:space="0" w:color="auto"/>
        <w:right w:val="none" w:sz="0" w:space="0" w:color="auto"/>
      </w:divBdr>
    </w:div>
    <w:div w:id="1509246976">
      <w:bodyDiv w:val="1"/>
      <w:marLeft w:val="0"/>
      <w:marRight w:val="0"/>
      <w:marTop w:val="0"/>
      <w:marBottom w:val="0"/>
      <w:divBdr>
        <w:top w:val="none" w:sz="0" w:space="0" w:color="auto"/>
        <w:left w:val="none" w:sz="0" w:space="0" w:color="auto"/>
        <w:bottom w:val="none" w:sz="0" w:space="0" w:color="auto"/>
        <w:right w:val="none" w:sz="0" w:space="0" w:color="auto"/>
      </w:divBdr>
    </w:div>
    <w:div w:id="1509247949">
      <w:bodyDiv w:val="1"/>
      <w:marLeft w:val="0"/>
      <w:marRight w:val="0"/>
      <w:marTop w:val="0"/>
      <w:marBottom w:val="0"/>
      <w:divBdr>
        <w:top w:val="none" w:sz="0" w:space="0" w:color="auto"/>
        <w:left w:val="none" w:sz="0" w:space="0" w:color="auto"/>
        <w:bottom w:val="none" w:sz="0" w:space="0" w:color="auto"/>
        <w:right w:val="none" w:sz="0" w:space="0" w:color="auto"/>
      </w:divBdr>
    </w:div>
    <w:div w:id="1509370133">
      <w:bodyDiv w:val="1"/>
      <w:marLeft w:val="0"/>
      <w:marRight w:val="0"/>
      <w:marTop w:val="0"/>
      <w:marBottom w:val="0"/>
      <w:divBdr>
        <w:top w:val="none" w:sz="0" w:space="0" w:color="auto"/>
        <w:left w:val="none" w:sz="0" w:space="0" w:color="auto"/>
        <w:bottom w:val="none" w:sz="0" w:space="0" w:color="auto"/>
        <w:right w:val="none" w:sz="0" w:space="0" w:color="auto"/>
      </w:divBdr>
    </w:div>
    <w:div w:id="1509830952">
      <w:bodyDiv w:val="1"/>
      <w:marLeft w:val="0"/>
      <w:marRight w:val="0"/>
      <w:marTop w:val="0"/>
      <w:marBottom w:val="0"/>
      <w:divBdr>
        <w:top w:val="none" w:sz="0" w:space="0" w:color="auto"/>
        <w:left w:val="none" w:sz="0" w:space="0" w:color="auto"/>
        <w:bottom w:val="none" w:sz="0" w:space="0" w:color="auto"/>
        <w:right w:val="none" w:sz="0" w:space="0" w:color="auto"/>
      </w:divBdr>
    </w:div>
    <w:div w:id="1510219221">
      <w:bodyDiv w:val="1"/>
      <w:marLeft w:val="0"/>
      <w:marRight w:val="0"/>
      <w:marTop w:val="0"/>
      <w:marBottom w:val="0"/>
      <w:divBdr>
        <w:top w:val="none" w:sz="0" w:space="0" w:color="auto"/>
        <w:left w:val="none" w:sz="0" w:space="0" w:color="auto"/>
        <w:bottom w:val="none" w:sz="0" w:space="0" w:color="auto"/>
        <w:right w:val="none" w:sz="0" w:space="0" w:color="auto"/>
      </w:divBdr>
    </w:div>
    <w:div w:id="1510558554">
      <w:bodyDiv w:val="1"/>
      <w:marLeft w:val="0"/>
      <w:marRight w:val="0"/>
      <w:marTop w:val="0"/>
      <w:marBottom w:val="0"/>
      <w:divBdr>
        <w:top w:val="none" w:sz="0" w:space="0" w:color="auto"/>
        <w:left w:val="none" w:sz="0" w:space="0" w:color="auto"/>
        <w:bottom w:val="none" w:sz="0" w:space="0" w:color="auto"/>
        <w:right w:val="none" w:sz="0" w:space="0" w:color="auto"/>
      </w:divBdr>
    </w:div>
    <w:div w:id="1511138593">
      <w:bodyDiv w:val="1"/>
      <w:marLeft w:val="0"/>
      <w:marRight w:val="0"/>
      <w:marTop w:val="0"/>
      <w:marBottom w:val="0"/>
      <w:divBdr>
        <w:top w:val="none" w:sz="0" w:space="0" w:color="auto"/>
        <w:left w:val="none" w:sz="0" w:space="0" w:color="auto"/>
        <w:bottom w:val="none" w:sz="0" w:space="0" w:color="auto"/>
        <w:right w:val="none" w:sz="0" w:space="0" w:color="auto"/>
      </w:divBdr>
    </w:div>
    <w:div w:id="1511406548">
      <w:bodyDiv w:val="1"/>
      <w:marLeft w:val="0"/>
      <w:marRight w:val="0"/>
      <w:marTop w:val="0"/>
      <w:marBottom w:val="0"/>
      <w:divBdr>
        <w:top w:val="none" w:sz="0" w:space="0" w:color="auto"/>
        <w:left w:val="none" w:sz="0" w:space="0" w:color="auto"/>
        <w:bottom w:val="none" w:sz="0" w:space="0" w:color="auto"/>
        <w:right w:val="none" w:sz="0" w:space="0" w:color="auto"/>
      </w:divBdr>
    </w:div>
    <w:div w:id="1511985901">
      <w:bodyDiv w:val="1"/>
      <w:marLeft w:val="0"/>
      <w:marRight w:val="0"/>
      <w:marTop w:val="0"/>
      <w:marBottom w:val="0"/>
      <w:divBdr>
        <w:top w:val="none" w:sz="0" w:space="0" w:color="auto"/>
        <w:left w:val="none" w:sz="0" w:space="0" w:color="auto"/>
        <w:bottom w:val="none" w:sz="0" w:space="0" w:color="auto"/>
        <w:right w:val="none" w:sz="0" w:space="0" w:color="auto"/>
      </w:divBdr>
    </w:div>
    <w:div w:id="1512180357">
      <w:bodyDiv w:val="1"/>
      <w:marLeft w:val="0"/>
      <w:marRight w:val="0"/>
      <w:marTop w:val="0"/>
      <w:marBottom w:val="0"/>
      <w:divBdr>
        <w:top w:val="none" w:sz="0" w:space="0" w:color="auto"/>
        <w:left w:val="none" w:sz="0" w:space="0" w:color="auto"/>
        <w:bottom w:val="none" w:sz="0" w:space="0" w:color="auto"/>
        <w:right w:val="none" w:sz="0" w:space="0" w:color="auto"/>
      </w:divBdr>
    </w:div>
    <w:div w:id="1512600488">
      <w:bodyDiv w:val="1"/>
      <w:marLeft w:val="0"/>
      <w:marRight w:val="0"/>
      <w:marTop w:val="0"/>
      <w:marBottom w:val="0"/>
      <w:divBdr>
        <w:top w:val="none" w:sz="0" w:space="0" w:color="auto"/>
        <w:left w:val="none" w:sz="0" w:space="0" w:color="auto"/>
        <w:bottom w:val="none" w:sz="0" w:space="0" w:color="auto"/>
        <w:right w:val="none" w:sz="0" w:space="0" w:color="auto"/>
      </w:divBdr>
    </w:div>
    <w:div w:id="1512990085">
      <w:bodyDiv w:val="1"/>
      <w:marLeft w:val="0"/>
      <w:marRight w:val="0"/>
      <w:marTop w:val="0"/>
      <w:marBottom w:val="0"/>
      <w:divBdr>
        <w:top w:val="none" w:sz="0" w:space="0" w:color="auto"/>
        <w:left w:val="none" w:sz="0" w:space="0" w:color="auto"/>
        <w:bottom w:val="none" w:sz="0" w:space="0" w:color="auto"/>
        <w:right w:val="none" w:sz="0" w:space="0" w:color="auto"/>
      </w:divBdr>
    </w:div>
    <w:div w:id="1513033747">
      <w:bodyDiv w:val="1"/>
      <w:marLeft w:val="0"/>
      <w:marRight w:val="0"/>
      <w:marTop w:val="0"/>
      <w:marBottom w:val="0"/>
      <w:divBdr>
        <w:top w:val="none" w:sz="0" w:space="0" w:color="auto"/>
        <w:left w:val="none" w:sz="0" w:space="0" w:color="auto"/>
        <w:bottom w:val="none" w:sz="0" w:space="0" w:color="auto"/>
        <w:right w:val="none" w:sz="0" w:space="0" w:color="auto"/>
      </w:divBdr>
    </w:div>
    <w:div w:id="1513060048">
      <w:bodyDiv w:val="1"/>
      <w:marLeft w:val="0"/>
      <w:marRight w:val="0"/>
      <w:marTop w:val="0"/>
      <w:marBottom w:val="0"/>
      <w:divBdr>
        <w:top w:val="none" w:sz="0" w:space="0" w:color="auto"/>
        <w:left w:val="none" w:sz="0" w:space="0" w:color="auto"/>
        <w:bottom w:val="none" w:sz="0" w:space="0" w:color="auto"/>
        <w:right w:val="none" w:sz="0" w:space="0" w:color="auto"/>
      </w:divBdr>
    </w:div>
    <w:div w:id="1513372068">
      <w:bodyDiv w:val="1"/>
      <w:marLeft w:val="0"/>
      <w:marRight w:val="0"/>
      <w:marTop w:val="0"/>
      <w:marBottom w:val="0"/>
      <w:divBdr>
        <w:top w:val="none" w:sz="0" w:space="0" w:color="auto"/>
        <w:left w:val="none" w:sz="0" w:space="0" w:color="auto"/>
        <w:bottom w:val="none" w:sz="0" w:space="0" w:color="auto"/>
        <w:right w:val="none" w:sz="0" w:space="0" w:color="auto"/>
      </w:divBdr>
    </w:div>
    <w:div w:id="1513953340">
      <w:bodyDiv w:val="1"/>
      <w:marLeft w:val="0"/>
      <w:marRight w:val="0"/>
      <w:marTop w:val="0"/>
      <w:marBottom w:val="0"/>
      <w:divBdr>
        <w:top w:val="none" w:sz="0" w:space="0" w:color="auto"/>
        <w:left w:val="none" w:sz="0" w:space="0" w:color="auto"/>
        <w:bottom w:val="none" w:sz="0" w:space="0" w:color="auto"/>
        <w:right w:val="none" w:sz="0" w:space="0" w:color="auto"/>
      </w:divBdr>
    </w:div>
    <w:div w:id="1514370418">
      <w:bodyDiv w:val="1"/>
      <w:marLeft w:val="0"/>
      <w:marRight w:val="0"/>
      <w:marTop w:val="0"/>
      <w:marBottom w:val="0"/>
      <w:divBdr>
        <w:top w:val="none" w:sz="0" w:space="0" w:color="auto"/>
        <w:left w:val="none" w:sz="0" w:space="0" w:color="auto"/>
        <w:bottom w:val="none" w:sz="0" w:space="0" w:color="auto"/>
        <w:right w:val="none" w:sz="0" w:space="0" w:color="auto"/>
      </w:divBdr>
    </w:div>
    <w:div w:id="1514414654">
      <w:bodyDiv w:val="1"/>
      <w:marLeft w:val="0"/>
      <w:marRight w:val="0"/>
      <w:marTop w:val="0"/>
      <w:marBottom w:val="0"/>
      <w:divBdr>
        <w:top w:val="none" w:sz="0" w:space="0" w:color="auto"/>
        <w:left w:val="none" w:sz="0" w:space="0" w:color="auto"/>
        <w:bottom w:val="none" w:sz="0" w:space="0" w:color="auto"/>
        <w:right w:val="none" w:sz="0" w:space="0" w:color="auto"/>
      </w:divBdr>
    </w:div>
    <w:div w:id="1514421655">
      <w:bodyDiv w:val="1"/>
      <w:marLeft w:val="0"/>
      <w:marRight w:val="0"/>
      <w:marTop w:val="0"/>
      <w:marBottom w:val="0"/>
      <w:divBdr>
        <w:top w:val="none" w:sz="0" w:space="0" w:color="auto"/>
        <w:left w:val="none" w:sz="0" w:space="0" w:color="auto"/>
        <w:bottom w:val="none" w:sz="0" w:space="0" w:color="auto"/>
        <w:right w:val="none" w:sz="0" w:space="0" w:color="auto"/>
      </w:divBdr>
    </w:div>
    <w:div w:id="1514764327">
      <w:bodyDiv w:val="1"/>
      <w:marLeft w:val="0"/>
      <w:marRight w:val="0"/>
      <w:marTop w:val="0"/>
      <w:marBottom w:val="0"/>
      <w:divBdr>
        <w:top w:val="none" w:sz="0" w:space="0" w:color="auto"/>
        <w:left w:val="none" w:sz="0" w:space="0" w:color="auto"/>
        <w:bottom w:val="none" w:sz="0" w:space="0" w:color="auto"/>
        <w:right w:val="none" w:sz="0" w:space="0" w:color="auto"/>
      </w:divBdr>
    </w:div>
    <w:div w:id="1515344592">
      <w:bodyDiv w:val="1"/>
      <w:marLeft w:val="0"/>
      <w:marRight w:val="0"/>
      <w:marTop w:val="0"/>
      <w:marBottom w:val="0"/>
      <w:divBdr>
        <w:top w:val="none" w:sz="0" w:space="0" w:color="auto"/>
        <w:left w:val="none" w:sz="0" w:space="0" w:color="auto"/>
        <w:bottom w:val="none" w:sz="0" w:space="0" w:color="auto"/>
        <w:right w:val="none" w:sz="0" w:space="0" w:color="auto"/>
      </w:divBdr>
    </w:div>
    <w:div w:id="1515411630">
      <w:bodyDiv w:val="1"/>
      <w:marLeft w:val="0"/>
      <w:marRight w:val="0"/>
      <w:marTop w:val="0"/>
      <w:marBottom w:val="0"/>
      <w:divBdr>
        <w:top w:val="none" w:sz="0" w:space="0" w:color="auto"/>
        <w:left w:val="none" w:sz="0" w:space="0" w:color="auto"/>
        <w:bottom w:val="none" w:sz="0" w:space="0" w:color="auto"/>
        <w:right w:val="none" w:sz="0" w:space="0" w:color="auto"/>
      </w:divBdr>
    </w:div>
    <w:div w:id="1515412997">
      <w:bodyDiv w:val="1"/>
      <w:marLeft w:val="0"/>
      <w:marRight w:val="0"/>
      <w:marTop w:val="0"/>
      <w:marBottom w:val="0"/>
      <w:divBdr>
        <w:top w:val="none" w:sz="0" w:space="0" w:color="auto"/>
        <w:left w:val="none" w:sz="0" w:space="0" w:color="auto"/>
        <w:bottom w:val="none" w:sz="0" w:space="0" w:color="auto"/>
        <w:right w:val="none" w:sz="0" w:space="0" w:color="auto"/>
      </w:divBdr>
    </w:div>
    <w:div w:id="1515722976">
      <w:bodyDiv w:val="1"/>
      <w:marLeft w:val="0"/>
      <w:marRight w:val="0"/>
      <w:marTop w:val="0"/>
      <w:marBottom w:val="0"/>
      <w:divBdr>
        <w:top w:val="none" w:sz="0" w:space="0" w:color="auto"/>
        <w:left w:val="none" w:sz="0" w:space="0" w:color="auto"/>
        <w:bottom w:val="none" w:sz="0" w:space="0" w:color="auto"/>
        <w:right w:val="none" w:sz="0" w:space="0" w:color="auto"/>
      </w:divBdr>
    </w:div>
    <w:div w:id="1515917478">
      <w:bodyDiv w:val="1"/>
      <w:marLeft w:val="0"/>
      <w:marRight w:val="0"/>
      <w:marTop w:val="0"/>
      <w:marBottom w:val="0"/>
      <w:divBdr>
        <w:top w:val="none" w:sz="0" w:space="0" w:color="auto"/>
        <w:left w:val="none" w:sz="0" w:space="0" w:color="auto"/>
        <w:bottom w:val="none" w:sz="0" w:space="0" w:color="auto"/>
        <w:right w:val="none" w:sz="0" w:space="0" w:color="auto"/>
      </w:divBdr>
    </w:div>
    <w:div w:id="1516503937">
      <w:bodyDiv w:val="1"/>
      <w:marLeft w:val="0"/>
      <w:marRight w:val="0"/>
      <w:marTop w:val="0"/>
      <w:marBottom w:val="0"/>
      <w:divBdr>
        <w:top w:val="none" w:sz="0" w:space="0" w:color="auto"/>
        <w:left w:val="none" w:sz="0" w:space="0" w:color="auto"/>
        <w:bottom w:val="none" w:sz="0" w:space="0" w:color="auto"/>
        <w:right w:val="none" w:sz="0" w:space="0" w:color="auto"/>
      </w:divBdr>
    </w:div>
    <w:div w:id="1517649368">
      <w:bodyDiv w:val="1"/>
      <w:marLeft w:val="0"/>
      <w:marRight w:val="0"/>
      <w:marTop w:val="0"/>
      <w:marBottom w:val="0"/>
      <w:divBdr>
        <w:top w:val="none" w:sz="0" w:space="0" w:color="auto"/>
        <w:left w:val="none" w:sz="0" w:space="0" w:color="auto"/>
        <w:bottom w:val="none" w:sz="0" w:space="0" w:color="auto"/>
        <w:right w:val="none" w:sz="0" w:space="0" w:color="auto"/>
      </w:divBdr>
    </w:div>
    <w:div w:id="1517767119">
      <w:bodyDiv w:val="1"/>
      <w:marLeft w:val="0"/>
      <w:marRight w:val="0"/>
      <w:marTop w:val="0"/>
      <w:marBottom w:val="0"/>
      <w:divBdr>
        <w:top w:val="none" w:sz="0" w:space="0" w:color="auto"/>
        <w:left w:val="none" w:sz="0" w:space="0" w:color="auto"/>
        <w:bottom w:val="none" w:sz="0" w:space="0" w:color="auto"/>
        <w:right w:val="none" w:sz="0" w:space="0" w:color="auto"/>
      </w:divBdr>
    </w:div>
    <w:div w:id="1517888476">
      <w:bodyDiv w:val="1"/>
      <w:marLeft w:val="0"/>
      <w:marRight w:val="0"/>
      <w:marTop w:val="0"/>
      <w:marBottom w:val="0"/>
      <w:divBdr>
        <w:top w:val="none" w:sz="0" w:space="0" w:color="auto"/>
        <w:left w:val="none" w:sz="0" w:space="0" w:color="auto"/>
        <w:bottom w:val="none" w:sz="0" w:space="0" w:color="auto"/>
        <w:right w:val="none" w:sz="0" w:space="0" w:color="auto"/>
      </w:divBdr>
    </w:div>
    <w:div w:id="1518035583">
      <w:bodyDiv w:val="1"/>
      <w:marLeft w:val="0"/>
      <w:marRight w:val="0"/>
      <w:marTop w:val="0"/>
      <w:marBottom w:val="0"/>
      <w:divBdr>
        <w:top w:val="none" w:sz="0" w:space="0" w:color="auto"/>
        <w:left w:val="none" w:sz="0" w:space="0" w:color="auto"/>
        <w:bottom w:val="none" w:sz="0" w:space="0" w:color="auto"/>
        <w:right w:val="none" w:sz="0" w:space="0" w:color="auto"/>
      </w:divBdr>
    </w:div>
    <w:div w:id="1518538966">
      <w:bodyDiv w:val="1"/>
      <w:marLeft w:val="0"/>
      <w:marRight w:val="0"/>
      <w:marTop w:val="0"/>
      <w:marBottom w:val="0"/>
      <w:divBdr>
        <w:top w:val="none" w:sz="0" w:space="0" w:color="auto"/>
        <w:left w:val="none" w:sz="0" w:space="0" w:color="auto"/>
        <w:bottom w:val="none" w:sz="0" w:space="0" w:color="auto"/>
        <w:right w:val="none" w:sz="0" w:space="0" w:color="auto"/>
      </w:divBdr>
    </w:div>
    <w:div w:id="1519346687">
      <w:bodyDiv w:val="1"/>
      <w:marLeft w:val="0"/>
      <w:marRight w:val="0"/>
      <w:marTop w:val="0"/>
      <w:marBottom w:val="0"/>
      <w:divBdr>
        <w:top w:val="none" w:sz="0" w:space="0" w:color="auto"/>
        <w:left w:val="none" w:sz="0" w:space="0" w:color="auto"/>
        <w:bottom w:val="none" w:sz="0" w:space="0" w:color="auto"/>
        <w:right w:val="none" w:sz="0" w:space="0" w:color="auto"/>
      </w:divBdr>
    </w:div>
    <w:div w:id="1519545576">
      <w:bodyDiv w:val="1"/>
      <w:marLeft w:val="0"/>
      <w:marRight w:val="0"/>
      <w:marTop w:val="0"/>
      <w:marBottom w:val="0"/>
      <w:divBdr>
        <w:top w:val="none" w:sz="0" w:space="0" w:color="auto"/>
        <w:left w:val="none" w:sz="0" w:space="0" w:color="auto"/>
        <w:bottom w:val="none" w:sz="0" w:space="0" w:color="auto"/>
        <w:right w:val="none" w:sz="0" w:space="0" w:color="auto"/>
      </w:divBdr>
    </w:div>
    <w:div w:id="1520200881">
      <w:bodyDiv w:val="1"/>
      <w:marLeft w:val="0"/>
      <w:marRight w:val="0"/>
      <w:marTop w:val="0"/>
      <w:marBottom w:val="0"/>
      <w:divBdr>
        <w:top w:val="none" w:sz="0" w:space="0" w:color="auto"/>
        <w:left w:val="none" w:sz="0" w:space="0" w:color="auto"/>
        <w:bottom w:val="none" w:sz="0" w:space="0" w:color="auto"/>
        <w:right w:val="none" w:sz="0" w:space="0" w:color="auto"/>
      </w:divBdr>
    </w:div>
    <w:div w:id="1520657971">
      <w:bodyDiv w:val="1"/>
      <w:marLeft w:val="0"/>
      <w:marRight w:val="0"/>
      <w:marTop w:val="0"/>
      <w:marBottom w:val="0"/>
      <w:divBdr>
        <w:top w:val="none" w:sz="0" w:space="0" w:color="auto"/>
        <w:left w:val="none" w:sz="0" w:space="0" w:color="auto"/>
        <w:bottom w:val="none" w:sz="0" w:space="0" w:color="auto"/>
        <w:right w:val="none" w:sz="0" w:space="0" w:color="auto"/>
      </w:divBdr>
    </w:div>
    <w:div w:id="1520697883">
      <w:bodyDiv w:val="1"/>
      <w:marLeft w:val="0"/>
      <w:marRight w:val="0"/>
      <w:marTop w:val="0"/>
      <w:marBottom w:val="0"/>
      <w:divBdr>
        <w:top w:val="none" w:sz="0" w:space="0" w:color="auto"/>
        <w:left w:val="none" w:sz="0" w:space="0" w:color="auto"/>
        <w:bottom w:val="none" w:sz="0" w:space="0" w:color="auto"/>
        <w:right w:val="none" w:sz="0" w:space="0" w:color="auto"/>
      </w:divBdr>
    </w:div>
    <w:div w:id="1520850891">
      <w:bodyDiv w:val="1"/>
      <w:marLeft w:val="0"/>
      <w:marRight w:val="0"/>
      <w:marTop w:val="0"/>
      <w:marBottom w:val="0"/>
      <w:divBdr>
        <w:top w:val="none" w:sz="0" w:space="0" w:color="auto"/>
        <w:left w:val="none" w:sz="0" w:space="0" w:color="auto"/>
        <w:bottom w:val="none" w:sz="0" w:space="0" w:color="auto"/>
        <w:right w:val="none" w:sz="0" w:space="0" w:color="auto"/>
      </w:divBdr>
    </w:div>
    <w:div w:id="1520974571">
      <w:bodyDiv w:val="1"/>
      <w:marLeft w:val="0"/>
      <w:marRight w:val="0"/>
      <w:marTop w:val="0"/>
      <w:marBottom w:val="0"/>
      <w:divBdr>
        <w:top w:val="none" w:sz="0" w:space="0" w:color="auto"/>
        <w:left w:val="none" w:sz="0" w:space="0" w:color="auto"/>
        <w:bottom w:val="none" w:sz="0" w:space="0" w:color="auto"/>
        <w:right w:val="none" w:sz="0" w:space="0" w:color="auto"/>
      </w:divBdr>
    </w:div>
    <w:div w:id="1521048488">
      <w:bodyDiv w:val="1"/>
      <w:marLeft w:val="0"/>
      <w:marRight w:val="0"/>
      <w:marTop w:val="0"/>
      <w:marBottom w:val="0"/>
      <w:divBdr>
        <w:top w:val="none" w:sz="0" w:space="0" w:color="auto"/>
        <w:left w:val="none" w:sz="0" w:space="0" w:color="auto"/>
        <w:bottom w:val="none" w:sz="0" w:space="0" w:color="auto"/>
        <w:right w:val="none" w:sz="0" w:space="0" w:color="auto"/>
      </w:divBdr>
    </w:div>
    <w:div w:id="1521316923">
      <w:bodyDiv w:val="1"/>
      <w:marLeft w:val="0"/>
      <w:marRight w:val="0"/>
      <w:marTop w:val="0"/>
      <w:marBottom w:val="0"/>
      <w:divBdr>
        <w:top w:val="none" w:sz="0" w:space="0" w:color="auto"/>
        <w:left w:val="none" w:sz="0" w:space="0" w:color="auto"/>
        <w:bottom w:val="none" w:sz="0" w:space="0" w:color="auto"/>
        <w:right w:val="none" w:sz="0" w:space="0" w:color="auto"/>
      </w:divBdr>
    </w:div>
    <w:div w:id="1521505046">
      <w:bodyDiv w:val="1"/>
      <w:marLeft w:val="0"/>
      <w:marRight w:val="0"/>
      <w:marTop w:val="0"/>
      <w:marBottom w:val="0"/>
      <w:divBdr>
        <w:top w:val="none" w:sz="0" w:space="0" w:color="auto"/>
        <w:left w:val="none" w:sz="0" w:space="0" w:color="auto"/>
        <w:bottom w:val="none" w:sz="0" w:space="0" w:color="auto"/>
        <w:right w:val="none" w:sz="0" w:space="0" w:color="auto"/>
      </w:divBdr>
    </w:div>
    <w:div w:id="1521704392">
      <w:bodyDiv w:val="1"/>
      <w:marLeft w:val="0"/>
      <w:marRight w:val="0"/>
      <w:marTop w:val="0"/>
      <w:marBottom w:val="0"/>
      <w:divBdr>
        <w:top w:val="none" w:sz="0" w:space="0" w:color="auto"/>
        <w:left w:val="none" w:sz="0" w:space="0" w:color="auto"/>
        <w:bottom w:val="none" w:sz="0" w:space="0" w:color="auto"/>
        <w:right w:val="none" w:sz="0" w:space="0" w:color="auto"/>
      </w:divBdr>
    </w:div>
    <w:div w:id="1521967542">
      <w:bodyDiv w:val="1"/>
      <w:marLeft w:val="0"/>
      <w:marRight w:val="0"/>
      <w:marTop w:val="0"/>
      <w:marBottom w:val="0"/>
      <w:divBdr>
        <w:top w:val="none" w:sz="0" w:space="0" w:color="auto"/>
        <w:left w:val="none" w:sz="0" w:space="0" w:color="auto"/>
        <w:bottom w:val="none" w:sz="0" w:space="0" w:color="auto"/>
        <w:right w:val="none" w:sz="0" w:space="0" w:color="auto"/>
      </w:divBdr>
    </w:div>
    <w:div w:id="1522165317">
      <w:bodyDiv w:val="1"/>
      <w:marLeft w:val="0"/>
      <w:marRight w:val="0"/>
      <w:marTop w:val="0"/>
      <w:marBottom w:val="0"/>
      <w:divBdr>
        <w:top w:val="none" w:sz="0" w:space="0" w:color="auto"/>
        <w:left w:val="none" w:sz="0" w:space="0" w:color="auto"/>
        <w:bottom w:val="none" w:sz="0" w:space="0" w:color="auto"/>
        <w:right w:val="none" w:sz="0" w:space="0" w:color="auto"/>
      </w:divBdr>
    </w:div>
    <w:div w:id="1522427625">
      <w:bodyDiv w:val="1"/>
      <w:marLeft w:val="0"/>
      <w:marRight w:val="0"/>
      <w:marTop w:val="0"/>
      <w:marBottom w:val="0"/>
      <w:divBdr>
        <w:top w:val="none" w:sz="0" w:space="0" w:color="auto"/>
        <w:left w:val="none" w:sz="0" w:space="0" w:color="auto"/>
        <w:bottom w:val="none" w:sz="0" w:space="0" w:color="auto"/>
        <w:right w:val="none" w:sz="0" w:space="0" w:color="auto"/>
      </w:divBdr>
    </w:div>
    <w:div w:id="1523477758">
      <w:bodyDiv w:val="1"/>
      <w:marLeft w:val="0"/>
      <w:marRight w:val="0"/>
      <w:marTop w:val="0"/>
      <w:marBottom w:val="0"/>
      <w:divBdr>
        <w:top w:val="none" w:sz="0" w:space="0" w:color="auto"/>
        <w:left w:val="none" w:sz="0" w:space="0" w:color="auto"/>
        <w:bottom w:val="none" w:sz="0" w:space="0" w:color="auto"/>
        <w:right w:val="none" w:sz="0" w:space="0" w:color="auto"/>
      </w:divBdr>
    </w:div>
    <w:div w:id="1523931838">
      <w:bodyDiv w:val="1"/>
      <w:marLeft w:val="0"/>
      <w:marRight w:val="0"/>
      <w:marTop w:val="0"/>
      <w:marBottom w:val="0"/>
      <w:divBdr>
        <w:top w:val="none" w:sz="0" w:space="0" w:color="auto"/>
        <w:left w:val="none" w:sz="0" w:space="0" w:color="auto"/>
        <w:bottom w:val="none" w:sz="0" w:space="0" w:color="auto"/>
        <w:right w:val="none" w:sz="0" w:space="0" w:color="auto"/>
      </w:divBdr>
    </w:div>
    <w:div w:id="1523977438">
      <w:bodyDiv w:val="1"/>
      <w:marLeft w:val="0"/>
      <w:marRight w:val="0"/>
      <w:marTop w:val="0"/>
      <w:marBottom w:val="0"/>
      <w:divBdr>
        <w:top w:val="none" w:sz="0" w:space="0" w:color="auto"/>
        <w:left w:val="none" w:sz="0" w:space="0" w:color="auto"/>
        <w:bottom w:val="none" w:sz="0" w:space="0" w:color="auto"/>
        <w:right w:val="none" w:sz="0" w:space="0" w:color="auto"/>
      </w:divBdr>
    </w:div>
    <w:div w:id="1524051933">
      <w:bodyDiv w:val="1"/>
      <w:marLeft w:val="0"/>
      <w:marRight w:val="0"/>
      <w:marTop w:val="0"/>
      <w:marBottom w:val="0"/>
      <w:divBdr>
        <w:top w:val="none" w:sz="0" w:space="0" w:color="auto"/>
        <w:left w:val="none" w:sz="0" w:space="0" w:color="auto"/>
        <w:bottom w:val="none" w:sz="0" w:space="0" w:color="auto"/>
        <w:right w:val="none" w:sz="0" w:space="0" w:color="auto"/>
      </w:divBdr>
    </w:div>
    <w:div w:id="1524519119">
      <w:bodyDiv w:val="1"/>
      <w:marLeft w:val="0"/>
      <w:marRight w:val="0"/>
      <w:marTop w:val="0"/>
      <w:marBottom w:val="0"/>
      <w:divBdr>
        <w:top w:val="none" w:sz="0" w:space="0" w:color="auto"/>
        <w:left w:val="none" w:sz="0" w:space="0" w:color="auto"/>
        <w:bottom w:val="none" w:sz="0" w:space="0" w:color="auto"/>
        <w:right w:val="none" w:sz="0" w:space="0" w:color="auto"/>
      </w:divBdr>
    </w:div>
    <w:div w:id="1525557355">
      <w:bodyDiv w:val="1"/>
      <w:marLeft w:val="0"/>
      <w:marRight w:val="0"/>
      <w:marTop w:val="0"/>
      <w:marBottom w:val="0"/>
      <w:divBdr>
        <w:top w:val="none" w:sz="0" w:space="0" w:color="auto"/>
        <w:left w:val="none" w:sz="0" w:space="0" w:color="auto"/>
        <w:bottom w:val="none" w:sz="0" w:space="0" w:color="auto"/>
        <w:right w:val="none" w:sz="0" w:space="0" w:color="auto"/>
      </w:divBdr>
    </w:div>
    <w:div w:id="1525747827">
      <w:bodyDiv w:val="1"/>
      <w:marLeft w:val="0"/>
      <w:marRight w:val="0"/>
      <w:marTop w:val="0"/>
      <w:marBottom w:val="0"/>
      <w:divBdr>
        <w:top w:val="none" w:sz="0" w:space="0" w:color="auto"/>
        <w:left w:val="none" w:sz="0" w:space="0" w:color="auto"/>
        <w:bottom w:val="none" w:sz="0" w:space="0" w:color="auto"/>
        <w:right w:val="none" w:sz="0" w:space="0" w:color="auto"/>
      </w:divBdr>
    </w:div>
    <w:div w:id="1526089147">
      <w:bodyDiv w:val="1"/>
      <w:marLeft w:val="0"/>
      <w:marRight w:val="0"/>
      <w:marTop w:val="0"/>
      <w:marBottom w:val="0"/>
      <w:divBdr>
        <w:top w:val="none" w:sz="0" w:space="0" w:color="auto"/>
        <w:left w:val="none" w:sz="0" w:space="0" w:color="auto"/>
        <w:bottom w:val="none" w:sz="0" w:space="0" w:color="auto"/>
        <w:right w:val="none" w:sz="0" w:space="0" w:color="auto"/>
      </w:divBdr>
    </w:div>
    <w:div w:id="1526361566">
      <w:bodyDiv w:val="1"/>
      <w:marLeft w:val="0"/>
      <w:marRight w:val="0"/>
      <w:marTop w:val="0"/>
      <w:marBottom w:val="0"/>
      <w:divBdr>
        <w:top w:val="none" w:sz="0" w:space="0" w:color="auto"/>
        <w:left w:val="none" w:sz="0" w:space="0" w:color="auto"/>
        <w:bottom w:val="none" w:sz="0" w:space="0" w:color="auto"/>
        <w:right w:val="none" w:sz="0" w:space="0" w:color="auto"/>
      </w:divBdr>
    </w:div>
    <w:div w:id="1526673537">
      <w:bodyDiv w:val="1"/>
      <w:marLeft w:val="0"/>
      <w:marRight w:val="0"/>
      <w:marTop w:val="0"/>
      <w:marBottom w:val="0"/>
      <w:divBdr>
        <w:top w:val="none" w:sz="0" w:space="0" w:color="auto"/>
        <w:left w:val="none" w:sz="0" w:space="0" w:color="auto"/>
        <w:bottom w:val="none" w:sz="0" w:space="0" w:color="auto"/>
        <w:right w:val="none" w:sz="0" w:space="0" w:color="auto"/>
      </w:divBdr>
    </w:div>
    <w:div w:id="1527063158">
      <w:bodyDiv w:val="1"/>
      <w:marLeft w:val="0"/>
      <w:marRight w:val="0"/>
      <w:marTop w:val="0"/>
      <w:marBottom w:val="0"/>
      <w:divBdr>
        <w:top w:val="none" w:sz="0" w:space="0" w:color="auto"/>
        <w:left w:val="none" w:sz="0" w:space="0" w:color="auto"/>
        <w:bottom w:val="none" w:sz="0" w:space="0" w:color="auto"/>
        <w:right w:val="none" w:sz="0" w:space="0" w:color="auto"/>
      </w:divBdr>
    </w:div>
    <w:div w:id="1527133442">
      <w:bodyDiv w:val="1"/>
      <w:marLeft w:val="0"/>
      <w:marRight w:val="0"/>
      <w:marTop w:val="0"/>
      <w:marBottom w:val="0"/>
      <w:divBdr>
        <w:top w:val="none" w:sz="0" w:space="0" w:color="auto"/>
        <w:left w:val="none" w:sz="0" w:space="0" w:color="auto"/>
        <w:bottom w:val="none" w:sz="0" w:space="0" w:color="auto"/>
        <w:right w:val="none" w:sz="0" w:space="0" w:color="auto"/>
      </w:divBdr>
    </w:div>
    <w:div w:id="1527282481">
      <w:bodyDiv w:val="1"/>
      <w:marLeft w:val="0"/>
      <w:marRight w:val="0"/>
      <w:marTop w:val="0"/>
      <w:marBottom w:val="0"/>
      <w:divBdr>
        <w:top w:val="none" w:sz="0" w:space="0" w:color="auto"/>
        <w:left w:val="none" w:sz="0" w:space="0" w:color="auto"/>
        <w:bottom w:val="none" w:sz="0" w:space="0" w:color="auto"/>
        <w:right w:val="none" w:sz="0" w:space="0" w:color="auto"/>
      </w:divBdr>
    </w:div>
    <w:div w:id="1527333091">
      <w:bodyDiv w:val="1"/>
      <w:marLeft w:val="0"/>
      <w:marRight w:val="0"/>
      <w:marTop w:val="0"/>
      <w:marBottom w:val="0"/>
      <w:divBdr>
        <w:top w:val="none" w:sz="0" w:space="0" w:color="auto"/>
        <w:left w:val="none" w:sz="0" w:space="0" w:color="auto"/>
        <w:bottom w:val="none" w:sz="0" w:space="0" w:color="auto"/>
        <w:right w:val="none" w:sz="0" w:space="0" w:color="auto"/>
      </w:divBdr>
    </w:div>
    <w:div w:id="1527711078">
      <w:bodyDiv w:val="1"/>
      <w:marLeft w:val="0"/>
      <w:marRight w:val="0"/>
      <w:marTop w:val="0"/>
      <w:marBottom w:val="0"/>
      <w:divBdr>
        <w:top w:val="none" w:sz="0" w:space="0" w:color="auto"/>
        <w:left w:val="none" w:sz="0" w:space="0" w:color="auto"/>
        <w:bottom w:val="none" w:sz="0" w:space="0" w:color="auto"/>
        <w:right w:val="none" w:sz="0" w:space="0" w:color="auto"/>
      </w:divBdr>
    </w:div>
    <w:div w:id="1527911090">
      <w:bodyDiv w:val="1"/>
      <w:marLeft w:val="0"/>
      <w:marRight w:val="0"/>
      <w:marTop w:val="0"/>
      <w:marBottom w:val="0"/>
      <w:divBdr>
        <w:top w:val="none" w:sz="0" w:space="0" w:color="auto"/>
        <w:left w:val="none" w:sz="0" w:space="0" w:color="auto"/>
        <w:bottom w:val="none" w:sz="0" w:space="0" w:color="auto"/>
        <w:right w:val="none" w:sz="0" w:space="0" w:color="auto"/>
      </w:divBdr>
    </w:div>
    <w:div w:id="1528060888">
      <w:bodyDiv w:val="1"/>
      <w:marLeft w:val="0"/>
      <w:marRight w:val="0"/>
      <w:marTop w:val="0"/>
      <w:marBottom w:val="0"/>
      <w:divBdr>
        <w:top w:val="none" w:sz="0" w:space="0" w:color="auto"/>
        <w:left w:val="none" w:sz="0" w:space="0" w:color="auto"/>
        <w:bottom w:val="none" w:sz="0" w:space="0" w:color="auto"/>
        <w:right w:val="none" w:sz="0" w:space="0" w:color="auto"/>
      </w:divBdr>
    </w:div>
    <w:div w:id="1528785979">
      <w:bodyDiv w:val="1"/>
      <w:marLeft w:val="0"/>
      <w:marRight w:val="0"/>
      <w:marTop w:val="0"/>
      <w:marBottom w:val="0"/>
      <w:divBdr>
        <w:top w:val="none" w:sz="0" w:space="0" w:color="auto"/>
        <w:left w:val="none" w:sz="0" w:space="0" w:color="auto"/>
        <w:bottom w:val="none" w:sz="0" w:space="0" w:color="auto"/>
        <w:right w:val="none" w:sz="0" w:space="0" w:color="auto"/>
      </w:divBdr>
    </w:div>
    <w:div w:id="1528985205">
      <w:bodyDiv w:val="1"/>
      <w:marLeft w:val="0"/>
      <w:marRight w:val="0"/>
      <w:marTop w:val="0"/>
      <w:marBottom w:val="0"/>
      <w:divBdr>
        <w:top w:val="none" w:sz="0" w:space="0" w:color="auto"/>
        <w:left w:val="none" w:sz="0" w:space="0" w:color="auto"/>
        <w:bottom w:val="none" w:sz="0" w:space="0" w:color="auto"/>
        <w:right w:val="none" w:sz="0" w:space="0" w:color="auto"/>
      </w:divBdr>
    </w:div>
    <w:div w:id="1529636692">
      <w:bodyDiv w:val="1"/>
      <w:marLeft w:val="0"/>
      <w:marRight w:val="0"/>
      <w:marTop w:val="0"/>
      <w:marBottom w:val="0"/>
      <w:divBdr>
        <w:top w:val="none" w:sz="0" w:space="0" w:color="auto"/>
        <w:left w:val="none" w:sz="0" w:space="0" w:color="auto"/>
        <w:bottom w:val="none" w:sz="0" w:space="0" w:color="auto"/>
        <w:right w:val="none" w:sz="0" w:space="0" w:color="auto"/>
      </w:divBdr>
    </w:div>
    <w:div w:id="1529678805">
      <w:bodyDiv w:val="1"/>
      <w:marLeft w:val="0"/>
      <w:marRight w:val="0"/>
      <w:marTop w:val="0"/>
      <w:marBottom w:val="0"/>
      <w:divBdr>
        <w:top w:val="none" w:sz="0" w:space="0" w:color="auto"/>
        <w:left w:val="none" w:sz="0" w:space="0" w:color="auto"/>
        <w:bottom w:val="none" w:sz="0" w:space="0" w:color="auto"/>
        <w:right w:val="none" w:sz="0" w:space="0" w:color="auto"/>
      </w:divBdr>
    </w:div>
    <w:div w:id="1530222343">
      <w:bodyDiv w:val="1"/>
      <w:marLeft w:val="0"/>
      <w:marRight w:val="0"/>
      <w:marTop w:val="0"/>
      <w:marBottom w:val="0"/>
      <w:divBdr>
        <w:top w:val="none" w:sz="0" w:space="0" w:color="auto"/>
        <w:left w:val="none" w:sz="0" w:space="0" w:color="auto"/>
        <w:bottom w:val="none" w:sz="0" w:space="0" w:color="auto"/>
        <w:right w:val="none" w:sz="0" w:space="0" w:color="auto"/>
      </w:divBdr>
    </w:div>
    <w:div w:id="1530413927">
      <w:bodyDiv w:val="1"/>
      <w:marLeft w:val="0"/>
      <w:marRight w:val="0"/>
      <w:marTop w:val="0"/>
      <w:marBottom w:val="0"/>
      <w:divBdr>
        <w:top w:val="none" w:sz="0" w:space="0" w:color="auto"/>
        <w:left w:val="none" w:sz="0" w:space="0" w:color="auto"/>
        <w:bottom w:val="none" w:sz="0" w:space="0" w:color="auto"/>
        <w:right w:val="none" w:sz="0" w:space="0" w:color="auto"/>
      </w:divBdr>
    </w:div>
    <w:div w:id="1530682815">
      <w:bodyDiv w:val="1"/>
      <w:marLeft w:val="0"/>
      <w:marRight w:val="0"/>
      <w:marTop w:val="0"/>
      <w:marBottom w:val="0"/>
      <w:divBdr>
        <w:top w:val="none" w:sz="0" w:space="0" w:color="auto"/>
        <w:left w:val="none" w:sz="0" w:space="0" w:color="auto"/>
        <w:bottom w:val="none" w:sz="0" w:space="0" w:color="auto"/>
        <w:right w:val="none" w:sz="0" w:space="0" w:color="auto"/>
      </w:divBdr>
    </w:div>
    <w:div w:id="1531187447">
      <w:bodyDiv w:val="1"/>
      <w:marLeft w:val="0"/>
      <w:marRight w:val="0"/>
      <w:marTop w:val="0"/>
      <w:marBottom w:val="0"/>
      <w:divBdr>
        <w:top w:val="none" w:sz="0" w:space="0" w:color="auto"/>
        <w:left w:val="none" w:sz="0" w:space="0" w:color="auto"/>
        <w:bottom w:val="none" w:sz="0" w:space="0" w:color="auto"/>
        <w:right w:val="none" w:sz="0" w:space="0" w:color="auto"/>
      </w:divBdr>
    </w:div>
    <w:div w:id="1531409498">
      <w:bodyDiv w:val="1"/>
      <w:marLeft w:val="0"/>
      <w:marRight w:val="0"/>
      <w:marTop w:val="0"/>
      <w:marBottom w:val="0"/>
      <w:divBdr>
        <w:top w:val="none" w:sz="0" w:space="0" w:color="auto"/>
        <w:left w:val="none" w:sz="0" w:space="0" w:color="auto"/>
        <w:bottom w:val="none" w:sz="0" w:space="0" w:color="auto"/>
        <w:right w:val="none" w:sz="0" w:space="0" w:color="auto"/>
      </w:divBdr>
    </w:div>
    <w:div w:id="1531453019">
      <w:bodyDiv w:val="1"/>
      <w:marLeft w:val="0"/>
      <w:marRight w:val="0"/>
      <w:marTop w:val="0"/>
      <w:marBottom w:val="0"/>
      <w:divBdr>
        <w:top w:val="none" w:sz="0" w:space="0" w:color="auto"/>
        <w:left w:val="none" w:sz="0" w:space="0" w:color="auto"/>
        <w:bottom w:val="none" w:sz="0" w:space="0" w:color="auto"/>
        <w:right w:val="none" w:sz="0" w:space="0" w:color="auto"/>
      </w:divBdr>
    </w:div>
    <w:div w:id="1532179912">
      <w:bodyDiv w:val="1"/>
      <w:marLeft w:val="0"/>
      <w:marRight w:val="0"/>
      <w:marTop w:val="0"/>
      <w:marBottom w:val="0"/>
      <w:divBdr>
        <w:top w:val="none" w:sz="0" w:space="0" w:color="auto"/>
        <w:left w:val="none" w:sz="0" w:space="0" w:color="auto"/>
        <w:bottom w:val="none" w:sz="0" w:space="0" w:color="auto"/>
        <w:right w:val="none" w:sz="0" w:space="0" w:color="auto"/>
      </w:divBdr>
    </w:div>
    <w:div w:id="1532258380">
      <w:bodyDiv w:val="1"/>
      <w:marLeft w:val="0"/>
      <w:marRight w:val="0"/>
      <w:marTop w:val="0"/>
      <w:marBottom w:val="0"/>
      <w:divBdr>
        <w:top w:val="none" w:sz="0" w:space="0" w:color="auto"/>
        <w:left w:val="none" w:sz="0" w:space="0" w:color="auto"/>
        <w:bottom w:val="none" w:sz="0" w:space="0" w:color="auto"/>
        <w:right w:val="none" w:sz="0" w:space="0" w:color="auto"/>
      </w:divBdr>
    </w:div>
    <w:div w:id="1532298871">
      <w:bodyDiv w:val="1"/>
      <w:marLeft w:val="0"/>
      <w:marRight w:val="0"/>
      <w:marTop w:val="0"/>
      <w:marBottom w:val="0"/>
      <w:divBdr>
        <w:top w:val="none" w:sz="0" w:space="0" w:color="auto"/>
        <w:left w:val="none" w:sz="0" w:space="0" w:color="auto"/>
        <w:bottom w:val="none" w:sz="0" w:space="0" w:color="auto"/>
        <w:right w:val="none" w:sz="0" w:space="0" w:color="auto"/>
      </w:divBdr>
    </w:div>
    <w:div w:id="1532573094">
      <w:bodyDiv w:val="1"/>
      <w:marLeft w:val="0"/>
      <w:marRight w:val="0"/>
      <w:marTop w:val="0"/>
      <w:marBottom w:val="0"/>
      <w:divBdr>
        <w:top w:val="none" w:sz="0" w:space="0" w:color="auto"/>
        <w:left w:val="none" w:sz="0" w:space="0" w:color="auto"/>
        <w:bottom w:val="none" w:sz="0" w:space="0" w:color="auto"/>
        <w:right w:val="none" w:sz="0" w:space="0" w:color="auto"/>
      </w:divBdr>
    </w:div>
    <w:div w:id="1532839021">
      <w:bodyDiv w:val="1"/>
      <w:marLeft w:val="0"/>
      <w:marRight w:val="0"/>
      <w:marTop w:val="0"/>
      <w:marBottom w:val="0"/>
      <w:divBdr>
        <w:top w:val="none" w:sz="0" w:space="0" w:color="auto"/>
        <w:left w:val="none" w:sz="0" w:space="0" w:color="auto"/>
        <w:bottom w:val="none" w:sz="0" w:space="0" w:color="auto"/>
        <w:right w:val="none" w:sz="0" w:space="0" w:color="auto"/>
      </w:divBdr>
    </w:div>
    <w:div w:id="1533036292">
      <w:bodyDiv w:val="1"/>
      <w:marLeft w:val="0"/>
      <w:marRight w:val="0"/>
      <w:marTop w:val="0"/>
      <w:marBottom w:val="0"/>
      <w:divBdr>
        <w:top w:val="none" w:sz="0" w:space="0" w:color="auto"/>
        <w:left w:val="none" w:sz="0" w:space="0" w:color="auto"/>
        <w:bottom w:val="none" w:sz="0" w:space="0" w:color="auto"/>
        <w:right w:val="none" w:sz="0" w:space="0" w:color="auto"/>
      </w:divBdr>
    </w:div>
    <w:div w:id="1533153036">
      <w:bodyDiv w:val="1"/>
      <w:marLeft w:val="0"/>
      <w:marRight w:val="0"/>
      <w:marTop w:val="0"/>
      <w:marBottom w:val="0"/>
      <w:divBdr>
        <w:top w:val="none" w:sz="0" w:space="0" w:color="auto"/>
        <w:left w:val="none" w:sz="0" w:space="0" w:color="auto"/>
        <w:bottom w:val="none" w:sz="0" w:space="0" w:color="auto"/>
        <w:right w:val="none" w:sz="0" w:space="0" w:color="auto"/>
      </w:divBdr>
    </w:div>
    <w:div w:id="1533422253">
      <w:bodyDiv w:val="1"/>
      <w:marLeft w:val="0"/>
      <w:marRight w:val="0"/>
      <w:marTop w:val="0"/>
      <w:marBottom w:val="0"/>
      <w:divBdr>
        <w:top w:val="none" w:sz="0" w:space="0" w:color="auto"/>
        <w:left w:val="none" w:sz="0" w:space="0" w:color="auto"/>
        <w:bottom w:val="none" w:sz="0" w:space="0" w:color="auto"/>
        <w:right w:val="none" w:sz="0" w:space="0" w:color="auto"/>
      </w:divBdr>
    </w:div>
    <w:div w:id="1533611842">
      <w:bodyDiv w:val="1"/>
      <w:marLeft w:val="0"/>
      <w:marRight w:val="0"/>
      <w:marTop w:val="0"/>
      <w:marBottom w:val="0"/>
      <w:divBdr>
        <w:top w:val="none" w:sz="0" w:space="0" w:color="auto"/>
        <w:left w:val="none" w:sz="0" w:space="0" w:color="auto"/>
        <w:bottom w:val="none" w:sz="0" w:space="0" w:color="auto"/>
        <w:right w:val="none" w:sz="0" w:space="0" w:color="auto"/>
      </w:divBdr>
    </w:div>
    <w:div w:id="1534533467">
      <w:bodyDiv w:val="1"/>
      <w:marLeft w:val="0"/>
      <w:marRight w:val="0"/>
      <w:marTop w:val="0"/>
      <w:marBottom w:val="0"/>
      <w:divBdr>
        <w:top w:val="none" w:sz="0" w:space="0" w:color="auto"/>
        <w:left w:val="none" w:sz="0" w:space="0" w:color="auto"/>
        <w:bottom w:val="none" w:sz="0" w:space="0" w:color="auto"/>
        <w:right w:val="none" w:sz="0" w:space="0" w:color="auto"/>
      </w:divBdr>
    </w:div>
    <w:div w:id="1534809165">
      <w:bodyDiv w:val="1"/>
      <w:marLeft w:val="0"/>
      <w:marRight w:val="0"/>
      <w:marTop w:val="0"/>
      <w:marBottom w:val="0"/>
      <w:divBdr>
        <w:top w:val="none" w:sz="0" w:space="0" w:color="auto"/>
        <w:left w:val="none" w:sz="0" w:space="0" w:color="auto"/>
        <w:bottom w:val="none" w:sz="0" w:space="0" w:color="auto"/>
        <w:right w:val="none" w:sz="0" w:space="0" w:color="auto"/>
      </w:divBdr>
    </w:div>
    <w:div w:id="1535145785">
      <w:bodyDiv w:val="1"/>
      <w:marLeft w:val="0"/>
      <w:marRight w:val="0"/>
      <w:marTop w:val="0"/>
      <w:marBottom w:val="0"/>
      <w:divBdr>
        <w:top w:val="none" w:sz="0" w:space="0" w:color="auto"/>
        <w:left w:val="none" w:sz="0" w:space="0" w:color="auto"/>
        <w:bottom w:val="none" w:sz="0" w:space="0" w:color="auto"/>
        <w:right w:val="none" w:sz="0" w:space="0" w:color="auto"/>
      </w:divBdr>
    </w:div>
    <w:div w:id="1535341473">
      <w:bodyDiv w:val="1"/>
      <w:marLeft w:val="0"/>
      <w:marRight w:val="0"/>
      <w:marTop w:val="0"/>
      <w:marBottom w:val="0"/>
      <w:divBdr>
        <w:top w:val="none" w:sz="0" w:space="0" w:color="auto"/>
        <w:left w:val="none" w:sz="0" w:space="0" w:color="auto"/>
        <w:bottom w:val="none" w:sz="0" w:space="0" w:color="auto"/>
        <w:right w:val="none" w:sz="0" w:space="0" w:color="auto"/>
      </w:divBdr>
    </w:div>
    <w:div w:id="1535384284">
      <w:bodyDiv w:val="1"/>
      <w:marLeft w:val="0"/>
      <w:marRight w:val="0"/>
      <w:marTop w:val="0"/>
      <w:marBottom w:val="0"/>
      <w:divBdr>
        <w:top w:val="none" w:sz="0" w:space="0" w:color="auto"/>
        <w:left w:val="none" w:sz="0" w:space="0" w:color="auto"/>
        <w:bottom w:val="none" w:sz="0" w:space="0" w:color="auto"/>
        <w:right w:val="none" w:sz="0" w:space="0" w:color="auto"/>
      </w:divBdr>
    </w:div>
    <w:div w:id="1535651451">
      <w:bodyDiv w:val="1"/>
      <w:marLeft w:val="0"/>
      <w:marRight w:val="0"/>
      <w:marTop w:val="0"/>
      <w:marBottom w:val="0"/>
      <w:divBdr>
        <w:top w:val="none" w:sz="0" w:space="0" w:color="auto"/>
        <w:left w:val="none" w:sz="0" w:space="0" w:color="auto"/>
        <w:bottom w:val="none" w:sz="0" w:space="0" w:color="auto"/>
        <w:right w:val="none" w:sz="0" w:space="0" w:color="auto"/>
      </w:divBdr>
    </w:div>
    <w:div w:id="1535725020">
      <w:bodyDiv w:val="1"/>
      <w:marLeft w:val="0"/>
      <w:marRight w:val="0"/>
      <w:marTop w:val="0"/>
      <w:marBottom w:val="0"/>
      <w:divBdr>
        <w:top w:val="none" w:sz="0" w:space="0" w:color="auto"/>
        <w:left w:val="none" w:sz="0" w:space="0" w:color="auto"/>
        <w:bottom w:val="none" w:sz="0" w:space="0" w:color="auto"/>
        <w:right w:val="none" w:sz="0" w:space="0" w:color="auto"/>
      </w:divBdr>
    </w:div>
    <w:div w:id="1535771634">
      <w:bodyDiv w:val="1"/>
      <w:marLeft w:val="0"/>
      <w:marRight w:val="0"/>
      <w:marTop w:val="0"/>
      <w:marBottom w:val="0"/>
      <w:divBdr>
        <w:top w:val="none" w:sz="0" w:space="0" w:color="auto"/>
        <w:left w:val="none" w:sz="0" w:space="0" w:color="auto"/>
        <w:bottom w:val="none" w:sz="0" w:space="0" w:color="auto"/>
        <w:right w:val="none" w:sz="0" w:space="0" w:color="auto"/>
      </w:divBdr>
    </w:div>
    <w:div w:id="1535772544">
      <w:bodyDiv w:val="1"/>
      <w:marLeft w:val="0"/>
      <w:marRight w:val="0"/>
      <w:marTop w:val="0"/>
      <w:marBottom w:val="0"/>
      <w:divBdr>
        <w:top w:val="none" w:sz="0" w:space="0" w:color="auto"/>
        <w:left w:val="none" w:sz="0" w:space="0" w:color="auto"/>
        <w:bottom w:val="none" w:sz="0" w:space="0" w:color="auto"/>
        <w:right w:val="none" w:sz="0" w:space="0" w:color="auto"/>
      </w:divBdr>
    </w:div>
    <w:div w:id="1536116295">
      <w:bodyDiv w:val="1"/>
      <w:marLeft w:val="0"/>
      <w:marRight w:val="0"/>
      <w:marTop w:val="0"/>
      <w:marBottom w:val="0"/>
      <w:divBdr>
        <w:top w:val="none" w:sz="0" w:space="0" w:color="auto"/>
        <w:left w:val="none" w:sz="0" w:space="0" w:color="auto"/>
        <w:bottom w:val="none" w:sz="0" w:space="0" w:color="auto"/>
        <w:right w:val="none" w:sz="0" w:space="0" w:color="auto"/>
      </w:divBdr>
    </w:div>
    <w:div w:id="1536498936">
      <w:bodyDiv w:val="1"/>
      <w:marLeft w:val="0"/>
      <w:marRight w:val="0"/>
      <w:marTop w:val="0"/>
      <w:marBottom w:val="0"/>
      <w:divBdr>
        <w:top w:val="none" w:sz="0" w:space="0" w:color="auto"/>
        <w:left w:val="none" w:sz="0" w:space="0" w:color="auto"/>
        <w:bottom w:val="none" w:sz="0" w:space="0" w:color="auto"/>
        <w:right w:val="none" w:sz="0" w:space="0" w:color="auto"/>
      </w:divBdr>
    </w:div>
    <w:div w:id="1536770819">
      <w:bodyDiv w:val="1"/>
      <w:marLeft w:val="0"/>
      <w:marRight w:val="0"/>
      <w:marTop w:val="0"/>
      <w:marBottom w:val="0"/>
      <w:divBdr>
        <w:top w:val="none" w:sz="0" w:space="0" w:color="auto"/>
        <w:left w:val="none" w:sz="0" w:space="0" w:color="auto"/>
        <w:bottom w:val="none" w:sz="0" w:space="0" w:color="auto"/>
        <w:right w:val="none" w:sz="0" w:space="0" w:color="auto"/>
      </w:divBdr>
    </w:div>
    <w:div w:id="1536885826">
      <w:bodyDiv w:val="1"/>
      <w:marLeft w:val="0"/>
      <w:marRight w:val="0"/>
      <w:marTop w:val="0"/>
      <w:marBottom w:val="0"/>
      <w:divBdr>
        <w:top w:val="none" w:sz="0" w:space="0" w:color="auto"/>
        <w:left w:val="none" w:sz="0" w:space="0" w:color="auto"/>
        <w:bottom w:val="none" w:sz="0" w:space="0" w:color="auto"/>
        <w:right w:val="none" w:sz="0" w:space="0" w:color="auto"/>
      </w:divBdr>
    </w:div>
    <w:div w:id="1537304964">
      <w:bodyDiv w:val="1"/>
      <w:marLeft w:val="0"/>
      <w:marRight w:val="0"/>
      <w:marTop w:val="0"/>
      <w:marBottom w:val="0"/>
      <w:divBdr>
        <w:top w:val="none" w:sz="0" w:space="0" w:color="auto"/>
        <w:left w:val="none" w:sz="0" w:space="0" w:color="auto"/>
        <w:bottom w:val="none" w:sz="0" w:space="0" w:color="auto"/>
        <w:right w:val="none" w:sz="0" w:space="0" w:color="auto"/>
      </w:divBdr>
    </w:div>
    <w:div w:id="1537505555">
      <w:bodyDiv w:val="1"/>
      <w:marLeft w:val="0"/>
      <w:marRight w:val="0"/>
      <w:marTop w:val="0"/>
      <w:marBottom w:val="0"/>
      <w:divBdr>
        <w:top w:val="none" w:sz="0" w:space="0" w:color="auto"/>
        <w:left w:val="none" w:sz="0" w:space="0" w:color="auto"/>
        <w:bottom w:val="none" w:sz="0" w:space="0" w:color="auto"/>
        <w:right w:val="none" w:sz="0" w:space="0" w:color="auto"/>
      </w:divBdr>
    </w:div>
    <w:div w:id="1537545091">
      <w:bodyDiv w:val="1"/>
      <w:marLeft w:val="0"/>
      <w:marRight w:val="0"/>
      <w:marTop w:val="0"/>
      <w:marBottom w:val="0"/>
      <w:divBdr>
        <w:top w:val="none" w:sz="0" w:space="0" w:color="auto"/>
        <w:left w:val="none" w:sz="0" w:space="0" w:color="auto"/>
        <w:bottom w:val="none" w:sz="0" w:space="0" w:color="auto"/>
        <w:right w:val="none" w:sz="0" w:space="0" w:color="auto"/>
      </w:divBdr>
    </w:div>
    <w:div w:id="1538274968">
      <w:bodyDiv w:val="1"/>
      <w:marLeft w:val="0"/>
      <w:marRight w:val="0"/>
      <w:marTop w:val="0"/>
      <w:marBottom w:val="0"/>
      <w:divBdr>
        <w:top w:val="none" w:sz="0" w:space="0" w:color="auto"/>
        <w:left w:val="none" w:sz="0" w:space="0" w:color="auto"/>
        <w:bottom w:val="none" w:sz="0" w:space="0" w:color="auto"/>
        <w:right w:val="none" w:sz="0" w:space="0" w:color="auto"/>
      </w:divBdr>
    </w:div>
    <w:div w:id="1538348598">
      <w:bodyDiv w:val="1"/>
      <w:marLeft w:val="0"/>
      <w:marRight w:val="0"/>
      <w:marTop w:val="0"/>
      <w:marBottom w:val="0"/>
      <w:divBdr>
        <w:top w:val="none" w:sz="0" w:space="0" w:color="auto"/>
        <w:left w:val="none" w:sz="0" w:space="0" w:color="auto"/>
        <w:bottom w:val="none" w:sz="0" w:space="0" w:color="auto"/>
        <w:right w:val="none" w:sz="0" w:space="0" w:color="auto"/>
      </w:divBdr>
    </w:div>
    <w:div w:id="1538468633">
      <w:bodyDiv w:val="1"/>
      <w:marLeft w:val="0"/>
      <w:marRight w:val="0"/>
      <w:marTop w:val="0"/>
      <w:marBottom w:val="0"/>
      <w:divBdr>
        <w:top w:val="none" w:sz="0" w:space="0" w:color="auto"/>
        <w:left w:val="none" w:sz="0" w:space="0" w:color="auto"/>
        <w:bottom w:val="none" w:sz="0" w:space="0" w:color="auto"/>
        <w:right w:val="none" w:sz="0" w:space="0" w:color="auto"/>
      </w:divBdr>
    </w:div>
    <w:div w:id="1538854666">
      <w:bodyDiv w:val="1"/>
      <w:marLeft w:val="0"/>
      <w:marRight w:val="0"/>
      <w:marTop w:val="0"/>
      <w:marBottom w:val="0"/>
      <w:divBdr>
        <w:top w:val="none" w:sz="0" w:space="0" w:color="auto"/>
        <w:left w:val="none" w:sz="0" w:space="0" w:color="auto"/>
        <w:bottom w:val="none" w:sz="0" w:space="0" w:color="auto"/>
        <w:right w:val="none" w:sz="0" w:space="0" w:color="auto"/>
      </w:divBdr>
    </w:div>
    <w:div w:id="1538926275">
      <w:bodyDiv w:val="1"/>
      <w:marLeft w:val="0"/>
      <w:marRight w:val="0"/>
      <w:marTop w:val="0"/>
      <w:marBottom w:val="0"/>
      <w:divBdr>
        <w:top w:val="none" w:sz="0" w:space="0" w:color="auto"/>
        <w:left w:val="none" w:sz="0" w:space="0" w:color="auto"/>
        <w:bottom w:val="none" w:sz="0" w:space="0" w:color="auto"/>
        <w:right w:val="none" w:sz="0" w:space="0" w:color="auto"/>
      </w:divBdr>
    </w:div>
    <w:div w:id="1538928323">
      <w:bodyDiv w:val="1"/>
      <w:marLeft w:val="0"/>
      <w:marRight w:val="0"/>
      <w:marTop w:val="0"/>
      <w:marBottom w:val="0"/>
      <w:divBdr>
        <w:top w:val="none" w:sz="0" w:space="0" w:color="auto"/>
        <w:left w:val="none" w:sz="0" w:space="0" w:color="auto"/>
        <w:bottom w:val="none" w:sz="0" w:space="0" w:color="auto"/>
        <w:right w:val="none" w:sz="0" w:space="0" w:color="auto"/>
      </w:divBdr>
    </w:div>
    <w:div w:id="1539658707">
      <w:bodyDiv w:val="1"/>
      <w:marLeft w:val="0"/>
      <w:marRight w:val="0"/>
      <w:marTop w:val="0"/>
      <w:marBottom w:val="0"/>
      <w:divBdr>
        <w:top w:val="none" w:sz="0" w:space="0" w:color="auto"/>
        <w:left w:val="none" w:sz="0" w:space="0" w:color="auto"/>
        <w:bottom w:val="none" w:sz="0" w:space="0" w:color="auto"/>
        <w:right w:val="none" w:sz="0" w:space="0" w:color="auto"/>
      </w:divBdr>
    </w:div>
    <w:div w:id="1539708555">
      <w:bodyDiv w:val="1"/>
      <w:marLeft w:val="0"/>
      <w:marRight w:val="0"/>
      <w:marTop w:val="0"/>
      <w:marBottom w:val="0"/>
      <w:divBdr>
        <w:top w:val="none" w:sz="0" w:space="0" w:color="auto"/>
        <w:left w:val="none" w:sz="0" w:space="0" w:color="auto"/>
        <w:bottom w:val="none" w:sz="0" w:space="0" w:color="auto"/>
        <w:right w:val="none" w:sz="0" w:space="0" w:color="auto"/>
      </w:divBdr>
    </w:div>
    <w:div w:id="1539775067">
      <w:bodyDiv w:val="1"/>
      <w:marLeft w:val="0"/>
      <w:marRight w:val="0"/>
      <w:marTop w:val="0"/>
      <w:marBottom w:val="0"/>
      <w:divBdr>
        <w:top w:val="none" w:sz="0" w:space="0" w:color="auto"/>
        <w:left w:val="none" w:sz="0" w:space="0" w:color="auto"/>
        <w:bottom w:val="none" w:sz="0" w:space="0" w:color="auto"/>
        <w:right w:val="none" w:sz="0" w:space="0" w:color="auto"/>
      </w:divBdr>
    </w:div>
    <w:div w:id="1539850853">
      <w:bodyDiv w:val="1"/>
      <w:marLeft w:val="0"/>
      <w:marRight w:val="0"/>
      <w:marTop w:val="0"/>
      <w:marBottom w:val="0"/>
      <w:divBdr>
        <w:top w:val="none" w:sz="0" w:space="0" w:color="auto"/>
        <w:left w:val="none" w:sz="0" w:space="0" w:color="auto"/>
        <w:bottom w:val="none" w:sz="0" w:space="0" w:color="auto"/>
        <w:right w:val="none" w:sz="0" w:space="0" w:color="auto"/>
      </w:divBdr>
    </w:div>
    <w:div w:id="1540318449">
      <w:bodyDiv w:val="1"/>
      <w:marLeft w:val="0"/>
      <w:marRight w:val="0"/>
      <w:marTop w:val="0"/>
      <w:marBottom w:val="0"/>
      <w:divBdr>
        <w:top w:val="none" w:sz="0" w:space="0" w:color="auto"/>
        <w:left w:val="none" w:sz="0" w:space="0" w:color="auto"/>
        <w:bottom w:val="none" w:sz="0" w:space="0" w:color="auto"/>
        <w:right w:val="none" w:sz="0" w:space="0" w:color="auto"/>
      </w:divBdr>
    </w:div>
    <w:div w:id="1540703839">
      <w:bodyDiv w:val="1"/>
      <w:marLeft w:val="0"/>
      <w:marRight w:val="0"/>
      <w:marTop w:val="0"/>
      <w:marBottom w:val="0"/>
      <w:divBdr>
        <w:top w:val="none" w:sz="0" w:space="0" w:color="auto"/>
        <w:left w:val="none" w:sz="0" w:space="0" w:color="auto"/>
        <w:bottom w:val="none" w:sz="0" w:space="0" w:color="auto"/>
        <w:right w:val="none" w:sz="0" w:space="0" w:color="auto"/>
      </w:divBdr>
    </w:div>
    <w:div w:id="1540775242">
      <w:bodyDiv w:val="1"/>
      <w:marLeft w:val="0"/>
      <w:marRight w:val="0"/>
      <w:marTop w:val="0"/>
      <w:marBottom w:val="0"/>
      <w:divBdr>
        <w:top w:val="none" w:sz="0" w:space="0" w:color="auto"/>
        <w:left w:val="none" w:sz="0" w:space="0" w:color="auto"/>
        <w:bottom w:val="none" w:sz="0" w:space="0" w:color="auto"/>
        <w:right w:val="none" w:sz="0" w:space="0" w:color="auto"/>
      </w:divBdr>
    </w:div>
    <w:div w:id="1541015170">
      <w:bodyDiv w:val="1"/>
      <w:marLeft w:val="0"/>
      <w:marRight w:val="0"/>
      <w:marTop w:val="0"/>
      <w:marBottom w:val="0"/>
      <w:divBdr>
        <w:top w:val="none" w:sz="0" w:space="0" w:color="auto"/>
        <w:left w:val="none" w:sz="0" w:space="0" w:color="auto"/>
        <w:bottom w:val="none" w:sz="0" w:space="0" w:color="auto"/>
        <w:right w:val="none" w:sz="0" w:space="0" w:color="auto"/>
      </w:divBdr>
    </w:div>
    <w:div w:id="1541167873">
      <w:bodyDiv w:val="1"/>
      <w:marLeft w:val="0"/>
      <w:marRight w:val="0"/>
      <w:marTop w:val="0"/>
      <w:marBottom w:val="0"/>
      <w:divBdr>
        <w:top w:val="none" w:sz="0" w:space="0" w:color="auto"/>
        <w:left w:val="none" w:sz="0" w:space="0" w:color="auto"/>
        <w:bottom w:val="none" w:sz="0" w:space="0" w:color="auto"/>
        <w:right w:val="none" w:sz="0" w:space="0" w:color="auto"/>
      </w:divBdr>
    </w:div>
    <w:div w:id="1541935253">
      <w:bodyDiv w:val="1"/>
      <w:marLeft w:val="0"/>
      <w:marRight w:val="0"/>
      <w:marTop w:val="0"/>
      <w:marBottom w:val="0"/>
      <w:divBdr>
        <w:top w:val="none" w:sz="0" w:space="0" w:color="auto"/>
        <w:left w:val="none" w:sz="0" w:space="0" w:color="auto"/>
        <w:bottom w:val="none" w:sz="0" w:space="0" w:color="auto"/>
        <w:right w:val="none" w:sz="0" w:space="0" w:color="auto"/>
      </w:divBdr>
    </w:div>
    <w:div w:id="1543906706">
      <w:bodyDiv w:val="1"/>
      <w:marLeft w:val="0"/>
      <w:marRight w:val="0"/>
      <w:marTop w:val="0"/>
      <w:marBottom w:val="0"/>
      <w:divBdr>
        <w:top w:val="none" w:sz="0" w:space="0" w:color="auto"/>
        <w:left w:val="none" w:sz="0" w:space="0" w:color="auto"/>
        <w:bottom w:val="none" w:sz="0" w:space="0" w:color="auto"/>
        <w:right w:val="none" w:sz="0" w:space="0" w:color="auto"/>
      </w:divBdr>
    </w:div>
    <w:div w:id="1543907711">
      <w:bodyDiv w:val="1"/>
      <w:marLeft w:val="0"/>
      <w:marRight w:val="0"/>
      <w:marTop w:val="0"/>
      <w:marBottom w:val="0"/>
      <w:divBdr>
        <w:top w:val="none" w:sz="0" w:space="0" w:color="auto"/>
        <w:left w:val="none" w:sz="0" w:space="0" w:color="auto"/>
        <w:bottom w:val="none" w:sz="0" w:space="0" w:color="auto"/>
        <w:right w:val="none" w:sz="0" w:space="0" w:color="auto"/>
      </w:divBdr>
    </w:div>
    <w:div w:id="1543908753">
      <w:bodyDiv w:val="1"/>
      <w:marLeft w:val="0"/>
      <w:marRight w:val="0"/>
      <w:marTop w:val="0"/>
      <w:marBottom w:val="0"/>
      <w:divBdr>
        <w:top w:val="none" w:sz="0" w:space="0" w:color="auto"/>
        <w:left w:val="none" w:sz="0" w:space="0" w:color="auto"/>
        <w:bottom w:val="none" w:sz="0" w:space="0" w:color="auto"/>
        <w:right w:val="none" w:sz="0" w:space="0" w:color="auto"/>
      </w:divBdr>
    </w:div>
    <w:div w:id="1544095566">
      <w:bodyDiv w:val="1"/>
      <w:marLeft w:val="0"/>
      <w:marRight w:val="0"/>
      <w:marTop w:val="0"/>
      <w:marBottom w:val="0"/>
      <w:divBdr>
        <w:top w:val="none" w:sz="0" w:space="0" w:color="auto"/>
        <w:left w:val="none" w:sz="0" w:space="0" w:color="auto"/>
        <w:bottom w:val="none" w:sz="0" w:space="0" w:color="auto"/>
        <w:right w:val="none" w:sz="0" w:space="0" w:color="auto"/>
      </w:divBdr>
    </w:div>
    <w:div w:id="1544097440">
      <w:bodyDiv w:val="1"/>
      <w:marLeft w:val="0"/>
      <w:marRight w:val="0"/>
      <w:marTop w:val="0"/>
      <w:marBottom w:val="0"/>
      <w:divBdr>
        <w:top w:val="none" w:sz="0" w:space="0" w:color="auto"/>
        <w:left w:val="none" w:sz="0" w:space="0" w:color="auto"/>
        <w:bottom w:val="none" w:sz="0" w:space="0" w:color="auto"/>
        <w:right w:val="none" w:sz="0" w:space="0" w:color="auto"/>
      </w:divBdr>
    </w:div>
    <w:div w:id="1544446437">
      <w:bodyDiv w:val="1"/>
      <w:marLeft w:val="0"/>
      <w:marRight w:val="0"/>
      <w:marTop w:val="0"/>
      <w:marBottom w:val="0"/>
      <w:divBdr>
        <w:top w:val="none" w:sz="0" w:space="0" w:color="auto"/>
        <w:left w:val="none" w:sz="0" w:space="0" w:color="auto"/>
        <w:bottom w:val="none" w:sz="0" w:space="0" w:color="auto"/>
        <w:right w:val="none" w:sz="0" w:space="0" w:color="auto"/>
      </w:divBdr>
    </w:div>
    <w:div w:id="1544751483">
      <w:bodyDiv w:val="1"/>
      <w:marLeft w:val="0"/>
      <w:marRight w:val="0"/>
      <w:marTop w:val="0"/>
      <w:marBottom w:val="0"/>
      <w:divBdr>
        <w:top w:val="none" w:sz="0" w:space="0" w:color="auto"/>
        <w:left w:val="none" w:sz="0" w:space="0" w:color="auto"/>
        <w:bottom w:val="none" w:sz="0" w:space="0" w:color="auto"/>
        <w:right w:val="none" w:sz="0" w:space="0" w:color="auto"/>
      </w:divBdr>
    </w:div>
    <w:div w:id="1545020314">
      <w:bodyDiv w:val="1"/>
      <w:marLeft w:val="0"/>
      <w:marRight w:val="0"/>
      <w:marTop w:val="0"/>
      <w:marBottom w:val="0"/>
      <w:divBdr>
        <w:top w:val="none" w:sz="0" w:space="0" w:color="auto"/>
        <w:left w:val="none" w:sz="0" w:space="0" w:color="auto"/>
        <w:bottom w:val="none" w:sz="0" w:space="0" w:color="auto"/>
        <w:right w:val="none" w:sz="0" w:space="0" w:color="auto"/>
      </w:divBdr>
    </w:div>
    <w:div w:id="1545365664">
      <w:bodyDiv w:val="1"/>
      <w:marLeft w:val="0"/>
      <w:marRight w:val="0"/>
      <w:marTop w:val="0"/>
      <w:marBottom w:val="0"/>
      <w:divBdr>
        <w:top w:val="none" w:sz="0" w:space="0" w:color="auto"/>
        <w:left w:val="none" w:sz="0" w:space="0" w:color="auto"/>
        <w:bottom w:val="none" w:sz="0" w:space="0" w:color="auto"/>
        <w:right w:val="none" w:sz="0" w:space="0" w:color="auto"/>
      </w:divBdr>
    </w:div>
    <w:div w:id="1545631089">
      <w:bodyDiv w:val="1"/>
      <w:marLeft w:val="0"/>
      <w:marRight w:val="0"/>
      <w:marTop w:val="0"/>
      <w:marBottom w:val="0"/>
      <w:divBdr>
        <w:top w:val="none" w:sz="0" w:space="0" w:color="auto"/>
        <w:left w:val="none" w:sz="0" w:space="0" w:color="auto"/>
        <w:bottom w:val="none" w:sz="0" w:space="0" w:color="auto"/>
        <w:right w:val="none" w:sz="0" w:space="0" w:color="auto"/>
      </w:divBdr>
    </w:div>
    <w:div w:id="1547444703">
      <w:bodyDiv w:val="1"/>
      <w:marLeft w:val="0"/>
      <w:marRight w:val="0"/>
      <w:marTop w:val="0"/>
      <w:marBottom w:val="0"/>
      <w:divBdr>
        <w:top w:val="none" w:sz="0" w:space="0" w:color="auto"/>
        <w:left w:val="none" w:sz="0" w:space="0" w:color="auto"/>
        <w:bottom w:val="none" w:sz="0" w:space="0" w:color="auto"/>
        <w:right w:val="none" w:sz="0" w:space="0" w:color="auto"/>
      </w:divBdr>
    </w:div>
    <w:div w:id="1547453347">
      <w:bodyDiv w:val="1"/>
      <w:marLeft w:val="0"/>
      <w:marRight w:val="0"/>
      <w:marTop w:val="0"/>
      <w:marBottom w:val="0"/>
      <w:divBdr>
        <w:top w:val="none" w:sz="0" w:space="0" w:color="auto"/>
        <w:left w:val="none" w:sz="0" w:space="0" w:color="auto"/>
        <w:bottom w:val="none" w:sz="0" w:space="0" w:color="auto"/>
        <w:right w:val="none" w:sz="0" w:space="0" w:color="auto"/>
      </w:divBdr>
    </w:div>
    <w:div w:id="1547792853">
      <w:bodyDiv w:val="1"/>
      <w:marLeft w:val="0"/>
      <w:marRight w:val="0"/>
      <w:marTop w:val="0"/>
      <w:marBottom w:val="0"/>
      <w:divBdr>
        <w:top w:val="none" w:sz="0" w:space="0" w:color="auto"/>
        <w:left w:val="none" w:sz="0" w:space="0" w:color="auto"/>
        <w:bottom w:val="none" w:sz="0" w:space="0" w:color="auto"/>
        <w:right w:val="none" w:sz="0" w:space="0" w:color="auto"/>
      </w:divBdr>
    </w:div>
    <w:div w:id="1548762149">
      <w:bodyDiv w:val="1"/>
      <w:marLeft w:val="0"/>
      <w:marRight w:val="0"/>
      <w:marTop w:val="0"/>
      <w:marBottom w:val="0"/>
      <w:divBdr>
        <w:top w:val="none" w:sz="0" w:space="0" w:color="auto"/>
        <w:left w:val="none" w:sz="0" w:space="0" w:color="auto"/>
        <w:bottom w:val="none" w:sz="0" w:space="0" w:color="auto"/>
        <w:right w:val="none" w:sz="0" w:space="0" w:color="auto"/>
      </w:divBdr>
    </w:div>
    <w:div w:id="1549561275">
      <w:bodyDiv w:val="1"/>
      <w:marLeft w:val="0"/>
      <w:marRight w:val="0"/>
      <w:marTop w:val="0"/>
      <w:marBottom w:val="0"/>
      <w:divBdr>
        <w:top w:val="none" w:sz="0" w:space="0" w:color="auto"/>
        <w:left w:val="none" w:sz="0" w:space="0" w:color="auto"/>
        <w:bottom w:val="none" w:sz="0" w:space="0" w:color="auto"/>
        <w:right w:val="none" w:sz="0" w:space="0" w:color="auto"/>
      </w:divBdr>
    </w:div>
    <w:div w:id="1549998669">
      <w:bodyDiv w:val="1"/>
      <w:marLeft w:val="0"/>
      <w:marRight w:val="0"/>
      <w:marTop w:val="0"/>
      <w:marBottom w:val="0"/>
      <w:divBdr>
        <w:top w:val="none" w:sz="0" w:space="0" w:color="auto"/>
        <w:left w:val="none" w:sz="0" w:space="0" w:color="auto"/>
        <w:bottom w:val="none" w:sz="0" w:space="0" w:color="auto"/>
        <w:right w:val="none" w:sz="0" w:space="0" w:color="auto"/>
      </w:divBdr>
    </w:div>
    <w:div w:id="1550068362">
      <w:bodyDiv w:val="1"/>
      <w:marLeft w:val="0"/>
      <w:marRight w:val="0"/>
      <w:marTop w:val="0"/>
      <w:marBottom w:val="0"/>
      <w:divBdr>
        <w:top w:val="none" w:sz="0" w:space="0" w:color="auto"/>
        <w:left w:val="none" w:sz="0" w:space="0" w:color="auto"/>
        <w:bottom w:val="none" w:sz="0" w:space="0" w:color="auto"/>
        <w:right w:val="none" w:sz="0" w:space="0" w:color="auto"/>
      </w:divBdr>
    </w:div>
    <w:div w:id="1550146438">
      <w:bodyDiv w:val="1"/>
      <w:marLeft w:val="0"/>
      <w:marRight w:val="0"/>
      <w:marTop w:val="0"/>
      <w:marBottom w:val="0"/>
      <w:divBdr>
        <w:top w:val="none" w:sz="0" w:space="0" w:color="auto"/>
        <w:left w:val="none" w:sz="0" w:space="0" w:color="auto"/>
        <w:bottom w:val="none" w:sz="0" w:space="0" w:color="auto"/>
        <w:right w:val="none" w:sz="0" w:space="0" w:color="auto"/>
      </w:divBdr>
    </w:div>
    <w:div w:id="1550146610">
      <w:bodyDiv w:val="1"/>
      <w:marLeft w:val="0"/>
      <w:marRight w:val="0"/>
      <w:marTop w:val="0"/>
      <w:marBottom w:val="0"/>
      <w:divBdr>
        <w:top w:val="none" w:sz="0" w:space="0" w:color="auto"/>
        <w:left w:val="none" w:sz="0" w:space="0" w:color="auto"/>
        <w:bottom w:val="none" w:sz="0" w:space="0" w:color="auto"/>
        <w:right w:val="none" w:sz="0" w:space="0" w:color="auto"/>
      </w:divBdr>
    </w:div>
    <w:div w:id="1550189051">
      <w:bodyDiv w:val="1"/>
      <w:marLeft w:val="0"/>
      <w:marRight w:val="0"/>
      <w:marTop w:val="0"/>
      <w:marBottom w:val="0"/>
      <w:divBdr>
        <w:top w:val="none" w:sz="0" w:space="0" w:color="auto"/>
        <w:left w:val="none" w:sz="0" w:space="0" w:color="auto"/>
        <w:bottom w:val="none" w:sz="0" w:space="0" w:color="auto"/>
        <w:right w:val="none" w:sz="0" w:space="0" w:color="auto"/>
      </w:divBdr>
    </w:div>
    <w:div w:id="1550268103">
      <w:bodyDiv w:val="1"/>
      <w:marLeft w:val="0"/>
      <w:marRight w:val="0"/>
      <w:marTop w:val="0"/>
      <w:marBottom w:val="0"/>
      <w:divBdr>
        <w:top w:val="none" w:sz="0" w:space="0" w:color="auto"/>
        <w:left w:val="none" w:sz="0" w:space="0" w:color="auto"/>
        <w:bottom w:val="none" w:sz="0" w:space="0" w:color="auto"/>
        <w:right w:val="none" w:sz="0" w:space="0" w:color="auto"/>
      </w:divBdr>
    </w:div>
    <w:div w:id="1550410636">
      <w:bodyDiv w:val="1"/>
      <w:marLeft w:val="0"/>
      <w:marRight w:val="0"/>
      <w:marTop w:val="0"/>
      <w:marBottom w:val="0"/>
      <w:divBdr>
        <w:top w:val="none" w:sz="0" w:space="0" w:color="auto"/>
        <w:left w:val="none" w:sz="0" w:space="0" w:color="auto"/>
        <w:bottom w:val="none" w:sz="0" w:space="0" w:color="auto"/>
        <w:right w:val="none" w:sz="0" w:space="0" w:color="auto"/>
      </w:divBdr>
    </w:div>
    <w:div w:id="1550532815">
      <w:bodyDiv w:val="1"/>
      <w:marLeft w:val="0"/>
      <w:marRight w:val="0"/>
      <w:marTop w:val="0"/>
      <w:marBottom w:val="0"/>
      <w:divBdr>
        <w:top w:val="none" w:sz="0" w:space="0" w:color="auto"/>
        <w:left w:val="none" w:sz="0" w:space="0" w:color="auto"/>
        <w:bottom w:val="none" w:sz="0" w:space="0" w:color="auto"/>
        <w:right w:val="none" w:sz="0" w:space="0" w:color="auto"/>
      </w:divBdr>
    </w:div>
    <w:div w:id="1550603329">
      <w:bodyDiv w:val="1"/>
      <w:marLeft w:val="0"/>
      <w:marRight w:val="0"/>
      <w:marTop w:val="0"/>
      <w:marBottom w:val="0"/>
      <w:divBdr>
        <w:top w:val="none" w:sz="0" w:space="0" w:color="auto"/>
        <w:left w:val="none" w:sz="0" w:space="0" w:color="auto"/>
        <w:bottom w:val="none" w:sz="0" w:space="0" w:color="auto"/>
        <w:right w:val="none" w:sz="0" w:space="0" w:color="auto"/>
      </w:divBdr>
    </w:div>
    <w:div w:id="1550649301">
      <w:bodyDiv w:val="1"/>
      <w:marLeft w:val="0"/>
      <w:marRight w:val="0"/>
      <w:marTop w:val="0"/>
      <w:marBottom w:val="0"/>
      <w:divBdr>
        <w:top w:val="none" w:sz="0" w:space="0" w:color="auto"/>
        <w:left w:val="none" w:sz="0" w:space="0" w:color="auto"/>
        <w:bottom w:val="none" w:sz="0" w:space="0" w:color="auto"/>
        <w:right w:val="none" w:sz="0" w:space="0" w:color="auto"/>
      </w:divBdr>
    </w:div>
    <w:div w:id="1550723055">
      <w:bodyDiv w:val="1"/>
      <w:marLeft w:val="0"/>
      <w:marRight w:val="0"/>
      <w:marTop w:val="0"/>
      <w:marBottom w:val="0"/>
      <w:divBdr>
        <w:top w:val="none" w:sz="0" w:space="0" w:color="auto"/>
        <w:left w:val="none" w:sz="0" w:space="0" w:color="auto"/>
        <w:bottom w:val="none" w:sz="0" w:space="0" w:color="auto"/>
        <w:right w:val="none" w:sz="0" w:space="0" w:color="auto"/>
      </w:divBdr>
    </w:div>
    <w:div w:id="1550725711">
      <w:bodyDiv w:val="1"/>
      <w:marLeft w:val="0"/>
      <w:marRight w:val="0"/>
      <w:marTop w:val="0"/>
      <w:marBottom w:val="0"/>
      <w:divBdr>
        <w:top w:val="none" w:sz="0" w:space="0" w:color="auto"/>
        <w:left w:val="none" w:sz="0" w:space="0" w:color="auto"/>
        <w:bottom w:val="none" w:sz="0" w:space="0" w:color="auto"/>
        <w:right w:val="none" w:sz="0" w:space="0" w:color="auto"/>
      </w:divBdr>
    </w:div>
    <w:div w:id="1551262369">
      <w:bodyDiv w:val="1"/>
      <w:marLeft w:val="0"/>
      <w:marRight w:val="0"/>
      <w:marTop w:val="0"/>
      <w:marBottom w:val="0"/>
      <w:divBdr>
        <w:top w:val="none" w:sz="0" w:space="0" w:color="auto"/>
        <w:left w:val="none" w:sz="0" w:space="0" w:color="auto"/>
        <w:bottom w:val="none" w:sz="0" w:space="0" w:color="auto"/>
        <w:right w:val="none" w:sz="0" w:space="0" w:color="auto"/>
      </w:divBdr>
    </w:div>
    <w:div w:id="1551305971">
      <w:bodyDiv w:val="1"/>
      <w:marLeft w:val="0"/>
      <w:marRight w:val="0"/>
      <w:marTop w:val="0"/>
      <w:marBottom w:val="0"/>
      <w:divBdr>
        <w:top w:val="none" w:sz="0" w:space="0" w:color="auto"/>
        <w:left w:val="none" w:sz="0" w:space="0" w:color="auto"/>
        <w:bottom w:val="none" w:sz="0" w:space="0" w:color="auto"/>
        <w:right w:val="none" w:sz="0" w:space="0" w:color="auto"/>
      </w:divBdr>
    </w:div>
    <w:div w:id="1551578502">
      <w:bodyDiv w:val="1"/>
      <w:marLeft w:val="0"/>
      <w:marRight w:val="0"/>
      <w:marTop w:val="0"/>
      <w:marBottom w:val="0"/>
      <w:divBdr>
        <w:top w:val="none" w:sz="0" w:space="0" w:color="auto"/>
        <w:left w:val="none" w:sz="0" w:space="0" w:color="auto"/>
        <w:bottom w:val="none" w:sz="0" w:space="0" w:color="auto"/>
        <w:right w:val="none" w:sz="0" w:space="0" w:color="auto"/>
      </w:divBdr>
    </w:div>
    <w:div w:id="1551960195">
      <w:bodyDiv w:val="1"/>
      <w:marLeft w:val="0"/>
      <w:marRight w:val="0"/>
      <w:marTop w:val="0"/>
      <w:marBottom w:val="0"/>
      <w:divBdr>
        <w:top w:val="none" w:sz="0" w:space="0" w:color="auto"/>
        <w:left w:val="none" w:sz="0" w:space="0" w:color="auto"/>
        <w:bottom w:val="none" w:sz="0" w:space="0" w:color="auto"/>
        <w:right w:val="none" w:sz="0" w:space="0" w:color="auto"/>
      </w:divBdr>
    </w:div>
    <w:div w:id="1552112863">
      <w:bodyDiv w:val="1"/>
      <w:marLeft w:val="0"/>
      <w:marRight w:val="0"/>
      <w:marTop w:val="0"/>
      <w:marBottom w:val="0"/>
      <w:divBdr>
        <w:top w:val="none" w:sz="0" w:space="0" w:color="auto"/>
        <w:left w:val="none" w:sz="0" w:space="0" w:color="auto"/>
        <w:bottom w:val="none" w:sz="0" w:space="0" w:color="auto"/>
        <w:right w:val="none" w:sz="0" w:space="0" w:color="auto"/>
      </w:divBdr>
    </w:div>
    <w:div w:id="1552421435">
      <w:bodyDiv w:val="1"/>
      <w:marLeft w:val="0"/>
      <w:marRight w:val="0"/>
      <w:marTop w:val="0"/>
      <w:marBottom w:val="0"/>
      <w:divBdr>
        <w:top w:val="none" w:sz="0" w:space="0" w:color="auto"/>
        <w:left w:val="none" w:sz="0" w:space="0" w:color="auto"/>
        <w:bottom w:val="none" w:sz="0" w:space="0" w:color="auto"/>
        <w:right w:val="none" w:sz="0" w:space="0" w:color="auto"/>
      </w:divBdr>
    </w:div>
    <w:div w:id="1553351000">
      <w:bodyDiv w:val="1"/>
      <w:marLeft w:val="0"/>
      <w:marRight w:val="0"/>
      <w:marTop w:val="0"/>
      <w:marBottom w:val="0"/>
      <w:divBdr>
        <w:top w:val="none" w:sz="0" w:space="0" w:color="auto"/>
        <w:left w:val="none" w:sz="0" w:space="0" w:color="auto"/>
        <w:bottom w:val="none" w:sz="0" w:space="0" w:color="auto"/>
        <w:right w:val="none" w:sz="0" w:space="0" w:color="auto"/>
      </w:divBdr>
    </w:div>
    <w:div w:id="1553803791">
      <w:bodyDiv w:val="1"/>
      <w:marLeft w:val="0"/>
      <w:marRight w:val="0"/>
      <w:marTop w:val="0"/>
      <w:marBottom w:val="0"/>
      <w:divBdr>
        <w:top w:val="none" w:sz="0" w:space="0" w:color="auto"/>
        <w:left w:val="none" w:sz="0" w:space="0" w:color="auto"/>
        <w:bottom w:val="none" w:sz="0" w:space="0" w:color="auto"/>
        <w:right w:val="none" w:sz="0" w:space="0" w:color="auto"/>
      </w:divBdr>
    </w:div>
    <w:div w:id="1554344995">
      <w:bodyDiv w:val="1"/>
      <w:marLeft w:val="0"/>
      <w:marRight w:val="0"/>
      <w:marTop w:val="0"/>
      <w:marBottom w:val="0"/>
      <w:divBdr>
        <w:top w:val="none" w:sz="0" w:space="0" w:color="auto"/>
        <w:left w:val="none" w:sz="0" w:space="0" w:color="auto"/>
        <w:bottom w:val="none" w:sz="0" w:space="0" w:color="auto"/>
        <w:right w:val="none" w:sz="0" w:space="0" w:color="auto"/>
      </w:divBdr>
    </w:div>
    <w:div w:id="1554579639">
      <w:bodyDiv w:val="1"/>
      <w:marLeft w:val="0"/>
      <w:marRight w:val="0"/>
      <w:marTop w:val="0"/>
      <w:marBottom w:val="0"/>
      <w:divBdr>
        <w:top w:val="none" w:sz="0" w:space="0" w:color="auto"/>
        <w:left w:val="none" w:sz="0" w:space="0" w:color="auto"/>
        <w:bottom w:val="none" w:sz="0" w:space="0" w:color="auto"/>
        <w:right w:val="none" w:sz="0" w:space="0" w:color="auto"/>
      </w:divBdr>
    </w:div>
    <w:div w:id="1554652762">
      <w:bodyDiv w:val="1"/>
      <w:marLeft w:val="0"/>
      <w:marRight w:val="0"/>
      <w:marTop w:val="0"/>
      <w:marBottom w:val="0"/>
      <w:divBdr>
        <w:top w:val="none" w:sz="0" w:space="0" w:color="auto"/>
        <w:left w:val="none" w:sz="0" w:space="0" w:color="auto"/>
        <w:bottom w:val="none" w:sz="0" w:space="0" w:color="auto"/>
        <w:right w:val="none" w:sz="0" w:space="0" w:color="auto"/>
      </w:divBdr>
    </w:div>
    <w:div w:id="1554735600">
      <w:bodyDiv w:val="1"/>
      <w:marLeft w:val="0"/>
      <w:marRight w:val="0"/>
      <w:marTop w:val="0"/>
      <w:marBottom w:val="0"/>
      <w:divBdr>
        <w:top w:val="none" w:sz="0" w:space="0" w:color="auto"/>
        <w:left w:val="none" w:sz="0" w:space="0" w:color="auto"/>
        <w:bottom w:val="none" w:sz="0" w:space="0" w:color="auto"/>
        <w:right w:val="none" w:sz="0" w:space="0" w:color="auto"/>
      </w:divBdr>
    </w:div>
    <w:div w:id="1554849513">
      <w:bodyDiv w:val="1"/>
      <w:marLeft w:val="0"/>
      <w:marRight w:val="0"/>
      <w:marTop w:val="0"/>
      <w:marBottom w:val="0"/>
      <w:divBdr>
        <w:top w:val="none" w:sz="0" w:space="0" w:color="auto"/>
        <w:left w:val="none" w:sz="0" w:space="0" w:color="auto"/>
        <w:bottom w:val="none" w:sz="0" w:space="0" w:color="auto"/>
        <w:right w:val="none" w:sz="0" w:space="0" w:color="auto"/>
      </w:divBdr>
    </w:div>
    <w:div w:id="1554925252">
      <w:bodyDiv w:val="1"/>
      <w:marLeft w:val="0"/>
      <w:marRight w:val="0"/>
      <w:marTop w:val="0"/>
      <w:marBottom w:val="0"/>
      <w:divBdr>
        <w:top w:val="none" w:sz="0" w:space="0" w:color="auto"/>
        <w:left w:val="none" w:sz="0" w:space="0" w:color="auto"/>
        <w:bottom w:val="none" w:sz="0" w:space="0" w:color="auto"/>
        <w:right w:val="none" w:sz="0" w:space="0" w:color="auto"/>
      </w:divBdr>
    </w:div>
    <w:div w:id="1555039726">
      <w:bodyDiv w:val="1"/>
      <w:marLeft w:val="0"/>
      <w:marRight w:val="0"/>
      <w:marTop w:val="0"/>
      <w:marBottom w:val="0"/>
      <w:divBdr>
        <w:top w:val="none" w:sz="0" w:space="0" w:color="auto"/>
        <w:left w:val="none" w:sz="0" w:space="0" w:color="auto"/>
        <w:bottom w:val="none" w:sz="0" w:space="0" w:color="auto"/>
        <w:right w:val="none" w:sz="0" w:space="0" w:color="auto"/>
      </w:divBdr>
    </w:div>
    <w:div w:id="1555041932">
      <w:bodyDiv w:val="1"/>
      <w:marLeft w:val="0"/>
      <w:marRight w:val="0"/>
      <w:marTop w:val="0"/>
      <w:marBottom w:val="0"/>
      <w:divBdr>
        <w:top w:val="none" w:sz="0" w:space="0" w:color="auto"/>
        <w:left w:val="none" w:sz="0" w:space="0" w:color="auto"/>
        <w:bottom w:val="none" w:sz="0" w:space="0" w:color="auto"/>
        <w:right w:val="none" w:sz="0" w:space="0" w:color="auto"/>
      </w:divBdr>
    </w:div>
    <w:div w:id="1555046288">
      <w:bodyDiv w:val="1"/>
      <w:marLeft w:val="0"/>
      <w:marRight w:val="0"/>
      <w:marTop w:val="0"/>
      <w:marBottom w:val="0"/>
      <w:divBdr>
        <w:top w:val="none" w:sz="0" w:space="0" w:color="auto"/>
        <w:left w:val="none" w:sz="0" w:space="0" w:color="auto"/>
        <w:bottom w:val="none" w:sz="0" w:space="0" w:color="auto"/>
        <w:right w:val="none" w:sz="0" w:space="0" w:color="auto"/>
      </w:divBdr>
    </w:div>
    <w:div w:id="1555464166">
      <w:bodyDiv w:val="1"/>
      <w:marLeft w:val="0"/>
      <w:marRight w:val="0"/>
      <w:marTop w:val="0"/>
      <w:marBottom w:val="0"/>
      <w:divBdr>
        <w:top w:val="none" w:sz="0" w:space="0" w:color="auto"/>
        <w:left w:val="none" w:sz="0" w:space="0" w:color="auto"/>
        <w:bottom w:val="none" w:sz="0" w:space="0" w:color="auto"/>
        <w:right w:val="none" w:sz="0" w:space="0" w:color="auto"/>
      </w:divBdr>
    </w:div>
    <w:div w:id="1555585141">
      <w:bodyDiv w:val="1"/>
      <w:marLeft w:val="0"/>
      <w:marRight w:val="0"/>
      <w:marTop w:val="0"/>
      <w:marBottom w:val="0"/>
      <w:divBdr>
        <w:top w:val="none" w:sz="0" w:space="0" w:color="auto"/>
        <w:left w:val="none" w:sz="0" w:space="0" w:color="auto"/>
        <w:bottom w:val="none" w:sz="0" w:space="0" w:color="auto"/>
        <w:right w:val="none" w:sz="0" w:space="0" w:color="auto"/>
      </w:divBdr>
    </w:div>
    <w:div w:id="1555770822">
      <w:bodyDiv w:val="1"/>
      <w:marLeft w:val="0"/>
      <w:marRight w:val="0"/>
      <w:marTop w:val="0"/>
      <w:marBottom w:val="0"/>
      <w:divBdr>
        <w:top w:val="none" w:sz="0" w:space="0" w:color="auto"/>
        <w:left w:val="none" w:sz="0" w:space="0" w:color="auto"/>
        <w:bottom w:val="none" w:sz="0" w:space="0" w:color="auto"/>
        <w:right w:val="none" w:sz="0" w:space="0" w:color="auto"/>
      </w:divBdr>
    </w:div>
    <w:div w:id="1557086915">
      <w:bodyDiv w:val="1"/>
      <w:marLeft w:val="0"/>
      <w:marRight w:val="0"/>
      <w:marTop w:val="0"/>
      <w:marBottom w:val="0"/>
      <w:divBdr>
        <w:top w:val="none" w:sz="0" w:space="0" w:color="auto"/>
        <w:left w:val="none" w:sz="0" w:space="0" w:color="auto"/>
        <w:bottom w:val="none" w:sz="0" w:space="0" w:color="auto"/>
        <w:right w:val="none" w:sz="0" w:space="0" w:color="auto"/>
      </w:divBdr>
    </w:div>
    <w:div w:id="1557160128">
      <w:bodyDiv w:val="1"/>
      <w:marLeft w:val="0"/>
      <w:marRight w:val="0"/>
      <w:marTop w:val="0"/>
      <w:marBottom w:val="0"/>
      <w:divBdr>
        <w:top w:val="none" w:sz="0" w:space="0" w:color="auto"/>
        <w:left w:val="none" w:sz="0" w:space="0" w:color="auto"/>
        <w:bottom w:val="none" w:sz="0" w:space="0" w:color="auto"/>
        <w:right w:val="none" w:sz="0" w:space="0" w:color="auto"/>
      </w:divBdr>
    </w:div>
    <w:div w:id="1557549667">
      <w:bodyDiv w:val="1"/>
      <w:marLeft w:val="0"/>
      <w:marRight w:val="0"/>
      <w:marTop w:val="0"/>
      <w:marBottom w:val="0"/>
      <w:divBdr>
        <w:top w:val="none" w:sz="0" w:space="0" w:color="auto"/>
        <w:left w:val="none" w:sz="0" w:space="0" w:color="auto"/>
        <w:bottom w:val="none" w:sz="0" w:space="0" w:color="auto"/>
        <w:right w:val="none" w:sz="0" w:space="0" w:color="auto"/>
      </w:divBdr>
    </w:div>
    <w:div w:id="1557621754">
      <w:bodyDiv w:val="1"/>
      <w:marLeft w:val="0"/>
      <w:marRight w:val="0"/>
      <w:marTop w:val="0"/>
      <w:marBottom w:val="0"/>
      <w:divBdr>
        <w:top w:val="none" w:sz="0" w:space="0" w:color="auto"/>
        <w:left w:val="none" w:sz="0" w:space="0" w:color="auto"/>
        <w:bottom w:val="none" w:sz="0" w:space="0" w:color="auto"/>
        <w:right w:val="none" w:sz="0" w:space="0" w:color="auto"/>
      </w:divBdr>
    </w:div>
    <w:div w:id="1557935571">
      <w:bodyDiv w:val="1"/>
      <w:marLeft w:val="0"/>
      <w:marRight w:val="0"/>
      <w:marTop w:val="0"/>
      <w:marBottom w:val="0"/>
      <w:divBdr>
        <w:top w:val="none" w:sz="0" w:space="0" w:color="auto"/>
        <w:left w:val="none" w:sz="0" w:space="0" w:color="auto"/>
        <w:bottom w:val="none" w:sz="0" w:space="0" w:color="auto"/>
        <w:right w:val="none" w:sz="0" w:space="0" w:color="auto"/>
      </w:divBdr>
    </w:div>
    <w:div w:id="1558007216">
      <w:bodyDiv w:val="1"/>
      <w:marLeft w:val="0"/>
      <w:marRight w:val="0"/>
      <w:marTop w:val="0"/>
      <w:marBottom w:val="0"/>
      <w:divBdr>
        <w:top w:val="none" w:sz="0" w:space="0" w:color="auto"/>
        <w:left w:val="none" w:sz="0" w:space="0" w:color="auto"/>
        <w:bottom w:val="none" w:sz="0" w:space="0" w:color="auto"/>
        <w:right w:val="none" w:sz="0" w:space="0" w:color="auto"/>
      </w:divBdr>
    </w:div>
    <w:div w:id="1558854234">
      <w:bodyDiv w:val="1"/>
      <w:marLeft w:val="0"/>
      <w:marRight w:val="0"/>
      <w:marTop w:val="0"/>
      <w:marBottom w:val="0"/>
      <w:divBdr>
        <w:top w:val="none" w:sz="0" w:space="0" w:color="auto"/>
        <w:left w:val="none" w:sz="0" w:space="0" w:color="auto"/>
        <w:bottom w:val="none" w:sz="0" w:space="0" w:color="auto"/>
        <w:right w:val="none" w:sz="0" w:space="0" w:color="auto"/>
      </w:divBdr>
    </w:div>
    <w:div w:id="1559052506">
      <w:bodyDiv w:val="1"/>
      <w:marLeft w:val="0"/>
      <w:marRight w:val="0"/>
      <w:marTop w:val="0"/>
      <w:marBottom w:val="0"/>
      <w:divBdr>
        <w:top w:val="none" w:sz="0" w:space="0" w:color="auto"/>
        <w:left w:val="none" w:sz="0" w:space="0" w:color="auto"/>
        <w:bottom w:val="none" w:sz="0" w:space="0" w:color="auto"/>
        <w:right w:val="none" w:sz="0" w:space="0" w:color="auto"/>
      </w:divBdr>
    </w:div>
    <w:div w:id="1560169254">
      <w:bodyDiv w:val="1"/>
      <w:marLeft w:val="0"/>
      <w:marRight w:val="0"/>
      <w:marTop w:val="0"/>
      <w:marBottom w:val="0"/>
      <w:divBdr>
        <w:top w:val="none" w:sz="0" w:space="0" w:color="auto"/>
        <w:left w:val="none" w:sz="0" w:space="0" w:color="auto"/>
        <w:bottom w:val="none" w:sz="0" w:space="0" w:color="auto"/>
        <w:right w:val="none" w:sz="0" w:space="0" w:color="auto"/>
      </w:divBdr>
    </w:div>
    <w:div w:id="1560357997">
      <w:bodyDiv w:val="1"/>
      <w:marLeft w:val="0"/>
      <w:marRight w:val="0"/>
      <w:marTop w:val="0"/>
      <w:marBottom w:val="0"/>
      <w:divBdr>
        <w:top w:val="none" w:sz="0" w:space="0" w:color="auto"/>
        <w:left w:val="none" w:sz="0" w:space="0" w:color="auto"/>
        <w:bottom w:val="none" w:sz="0" w:space="0" w:color="auto"/>
        <w:right w:val="none" w:sz="0" w:space="0" w:color="auto"/>
      </w:divBdr>
    </w:div>
    <w:div w:id="1560939815">
      <w:bodyDiv w:val="1"/>
      <w:marLeft w:val="0"/>
      <w:marRight w:val="0"/>
      <w:marTop w:val="0"/>
      <w:marBottom w:val="0"/>
      <w:divBdr>
        <w:top w:val="none" w:sz="0" w:space="0" w:color="auto"/>
        <w:left w:val="none" w:sz="0" w:space="0" w:color="auto"/>
        <w:bottom w:val="none" w:sz="0" w:space="0" w:color="auto"/>
        <w:right w:val="none" w:sz="0" w:space="0" w:color="auto"/>
      </w:divBdr>
    </w:div>
    <w:div w:id="1561942288">
      <w:bodyDiv w:val="1"/>
      <w:marLeft w:val="0"/>
      <w:marRight w:val="0"/>
      <w:marTop w:val="0"/>
      <w:marBottom w:val="0"/>
      <w:divBdr>
        <w:top w:val="none" w:sz="0" w:space="0" w:color="auto"/>
        <w:left w:val="none" w:sz="0" w:space="0" w:color="auto"/>
        <w:bottom w:val="none" w:sz="0" w:space="0" w:color="auto"/>
        <w:right w:val="none" w:sz="0" w:space="0" w:color="auto"/>
      </w:divBdr>
    </w:div>
    <w:div w:id="1562449543">
      <w:bodyDiv w:val="1"/>
      <w:marLeft w:val="0"/>
      <w:marRight w:val="0"/>
      <w:marTop w:val="0"/>
      <w:marBottom w:val="0"/>
      <w:divBdr>
        <w:top w:val="none" w:sz="0" w:space="0" w:color="auto"/>
        <w:left w:val="none" w:sz="0" w:space="0" w:color="auto"/>
        <w:bottom w:val="none" w:sz="0" w:space="0" w:color="auto"/>
        <w:right w:val="none" w:sz="0" w:space="0" w:color="auto"/>
      </w:divBdr>
    </w:div>
    <w:div w:id="1562673066">
      <w:bodyDiv w:val="1"/>
      <w:marLeft w:val="0"/>
      <w:marRight w:val="0"/>
      <w:marTop w:val="0"/>
      <w:marBottom w:val="0"/>
      <w:divBdr>
        <w:top w:val="none" w:sz="0" w:space="0" w:color="auto"/>
        <w:left w:val="none" w:sz="0" w:space="0" w:color="auto"/>
        <w:bottom w:val="none" w:sz="0" w:space="0" w:color="auto"/>
        <w:right w:val="none" w:sz="0" w:space="0" w:color="auto"/>
      </w:divBdr>
    </w:div>
    <w:div w:id="1562791334">
      <w:bodyDiv w:val="1"/>
      <w:marLeft w:val="0"/>
      <w:marRight w:val="0"/>
      <w:marTop w:val="0"/>
      <w:marBottom w:val="0"/>
      <w:divBdr>
        <w:top w:val="none" w:sz="0" w:space="0" w:color="auto"/>
        <w:left w:val="none" w:sz="0" w:space="0" w:color="auto"/>
        <w:bottom w:val="none" w:sz="0" w:space="0" w:color="auto"/>
        <w:right w:val="none" w:sz="0" w:space="0" w:color="auto"/>
      </w:divBdr>
    </w:div>
    <w:div w:id="1563171988">
      <w:bodyDiv w:val="1"/>
      <w:marLeft w:val="0"/>
      <w:marRight w:val="0"/>
      <w:marTop w:val="0"/>
      <w:marBottom w:val="0"/>
      <w:divBdr>
        <w:top w:val="none" w:sz="0" w:space="0" w:color="auto"/>
        <w:left w:val="none" w:sz="0" w:space="0" w:color="auto"/>
        <w:bottom w:val="none" w:sz="0" w:space="0" w:color="auto"/>
        <w:right w:val="none" w:sz="0" w:space="0" w:color="auto"/>
      </w:divBdr>
    </w:div>
    <w:div w:id="1563367883">
      <w:bodyDiv w:val="1"/>
      <w:marLeft w:val="0"/>
      <w:marRight w:val="0"/>
      <w:marTop w:val="0"/>
      <w:marBottom w:val="0"/>
      <w:divBdr>
        <w:top w:val="none" w:sz="0" w:space="0" w:color="auto"/>
        <w:left w:val="none" w:sz="0" w:space="0" w:color="auto"/>
        <w:bottom w:val="none" w:sz="0" w:space="0" w:color="auto"/>
        <w:right w:val="none" w:sz="0" w:space="0" w:color="auto"/>
      </w:divBdr>
    </w:div>
    <w:div w:id="1563448080">
      <w:bodyDiv w:val="1"/>
      <w:marLeft w:val="0"/>
      <w:marRight w:val="0"/>
      <w:marTop w:val="0"/>
      <w:marBottom w:val="0"/>
      <w:divBdr>
        <w:top w:val="none" w:sz="0" w:space="0" w:color="auto"/>
        <w:left w:val="none" w:sz="0" w:space="0" w:color="auto"/>
        <w:bottom w:val="none" w:sz="0" w:space="0" w:color="auto"/>
        <w:right w:val="none" w:sz="0" w:space="0" w:color="auto"/>
      </w:divBdr>
    </w:div>
    <w:div w:id="1563951429">
      <w:bodyDiv w:val="1"/>
      <w:marLeft w:val="0"/>
      <w:marRight w:val="0"/>
      <w:marTop w:val="0"/>
      <w:marBottom w:val="0"/>
      <w:divBdr>
        <w:top w:val="none" w:sz="0" w:space="0" w:color="auto"/>
        <w:left w:val="none" w:sz="0" w:space="0" w:color="auto"/>
        <w:bottom w:val="none" w:sz="0" w:space="0" w:color="auto"/>
        <w:right w:val="none" w:sz="0" w:space="0" w:color="auto"/>
      </w:divBdr>
    </w:div>
    <w:div w:id="1564561356">
      <w:bodyDiv w:val="1"/>
      <w:marLeft w:val="0"/>
      <w:marRight w:val="0"/>
      <w:marTop w:val="0"/>
      <w:marBottom w:val="0"/>
      <w:divBdr>
        <w:top w:val="none" w:sz="0" w:space="0" w:color="auto"/>
        <w:left w:val="none" w:sz="0" w:space="0" w:color="auto"/>
        <w:bottom w:val="none" w:sz="0" w:space="0" w:color="auto"/>
        <w:right w:val="none" w:sz="0" w:space="0" w:color="auto"/>
      </w:divBdr>
    </w:div>
    <w:div w:id="1564635866">
      <w:bodyDiv w:val="1"/>
      <w:marLeft w:val="0"/>
      <w:marRight w:val="0"/>
      <w:marTop w:val="0"/>
      <w:marBottom w:val="0"/>
      <w:divBdr>
        <w:top w:val="none" w:sz="0" w:space="0" w:color="auto"/>
        <w:left w:val="none" w:sz="0" w:space="0" w:color="auto"/>
        <w:bottom w:val="none" w:sz="0" w:space="0" w:color="auto"/>
        <w:right w:val="none" w:sz="0" w:space="0" w:color="auto"/>
      </w:divBdr>
    </w:div>
    <w:div w:id="1564900925">
      <w:bodyDiv w:val="1"/>
      <w:marLeft w:val="0"/>
      <w:marRight w:val="0"/>
      <w:marTop w:val="0"/>
      <w:marBottom w:val="0"/>
      <w:divBdr>
        <w:top w:val="none" w:sz="0" w:space="0" w:color="auto"/>
        <w:left w:val="none" w:sz="0" w:space="0" w:color="auto"/>
        <w:bottom w:val="none" w:sz="0" w:space="0" w:color="auto"/>
        <w:right w:val="none" w:sz="0" w:space="0" w:color="auto"/>
      </w:divBdr>
    </w:div>
    <w:div w:id="1565065422">
      <w:bodyDiv w:val="1"/>
      <w:marLeft w:val="0"/>
      <w:marRight w:val="0"/>
      <w:marTop w:val="0"/>
      <w:marBottom w:val="0"/>
      <w:divBdr>
        <w:top w:val="none" w:sz="0" w:space="0" w:color="auto"/>
        <w:left w:val="none" w:sz="0" w:space="0" w:color="auto"/>
        <w:bottom w:val="none" w:sz="0" w:space="0" w:color="auto"/>
        <w:right w:val="none" w:sz="0" w:space="0" w:color="auto"/>
      </w:divBdr>
    </w:div>
    <w:div w:id="1565604763">
      <w:bodyDiv w:val="1"/>
      <w:marLeft w:val="0"/>
      <w:marRight w:val="0"/>
      <w:marTop w:val="0"/>
      <w:marBottom w:val="0"/>
      <w:divBdr>
        <w:top w:val="none" w:sz="0" w:space="0" w:color="auto"/>
        <w:left w:val="none" w:sz="0" w:space="0" w:color="auto"/>
        <w:bottom w:val="none" w:sz="0" w:space="0" w:color="auto"/>
        <w:right w:val="none" w:sz="0" w:space="0" w:color="auto"/>
      </w:divBdr>
    </w:div>
    <w:div w:id="1566066057">
      <w:bodyDiv w:val="1"/>
      <w:marLeft w:val="0"/>
      <w:marRight w:val="0"/>
      <w:marTop w:val="0"/>
      <w:marBottom w:val="0"/>
      <w:divBdr>
        <w:top w:val="none" w:sz="0" w:space="0" w:color="auto"/>
        <w:left w:val="none" w:sz="0" w:space="0" w:color="auto"/>
        <w:bottom w:val="none" w:sz="0" w:space="0" w:color="auto"/>
        <w:right w:val="none" w:sz="0" w:space="0" w:color="auto"/>
      </w:divBdr>
    </w:div>
    <w:div w:id="1566650065">
      <w:bodyDiv w:val="1"/>
      <w:marLeft w:val="0"/>
      <w:marRight w:val="0"/>
      <w:marTop w:val="0"/>
      <w:marBottom w:val="0"/>
      <w:divBdr>
        <w:top w:val="none" w:sz="0" w:space="0" w:color="auto"/>
        <w:left w:val="none" w:sz="0" w:space="0" w:color="auto"/>
        <w:bottom w:val="none" w:sz="0" w:space="0" w:color="auto"/>
        <w:right w:val="none" w:sz="0" w:space="0" w:color="auto"/>
      </w:divBdr>
    </w:div>
    <w:div w:id="1567376551">
      <w:bodyDiv w:val="1"/>
      <w:marLeft w:val="0"/>
      <w:marRight w:val="0"/>
      <w:marTop w:val="0"/>
      <w:marBottom w:val="0"/>
      <w:divBdr>
        <w:top w:val="none" w:sz="0" w:space="0" w:color="auto"/>
        <w:left w:val="none" w:sz="0" w:space="0" w:color="auto"/>
        <w:bottom w:val="none" w:sz="0" w:space="0" w:color="auto"/>
        <w:right w:val="none" w:sz="0" w:space="0" w:color="auto"/>
      </w:divBdr>
    </w:div>
    <w:div w:id="1568027089">
      <w:bodyDiv w:val="1"/>
      <w:marLeft w:val="0"/>
      <w:marRight w:val="0"/>
      <w:marTop w:val="0"/>
      <w:marBottom w:val="0"/>
      <w:divBdr>
        <w:top w:val="none" w:sz="0" w:space="0" w:color="auto"/>
        <w:left w:val="none" w:sz="0" w:space="0" w:color="auto"/>
        <w:bottom w:val="none" w:sz="0" w:space="0" w:color="auto"/>
        <w:right w:val="none" w:sz="0" w:space="0" w:color="auto"/>
      </w:divBdr>
    </w:div>
    <w:div w:id="1568225294">
      <w:bodyDiv w:val="1"/>
      <w:marLeft w:val="0"/>
      <w:marRight w:val="0"/>
      <w:marTop w:val="0"/>
      <w:marBottom w:val="0"/>
      <w:divBdr>
        <w:top w:val="none" w:sz="0" w:space="0" w:color="auto"/>
        <w:left w:val="none" w:sz="0" w:space="0" w:color="auto"/>
        <w:bottom w:val="none" w:sz="0" w:space="0" w:color="auto"/>
        <w:right w:val="none" w:sz="0" w:space="0" w:color="auto"/>
      </w:divBdr>
    </w:div>
    <w:div w:id="1568495592">
      <w:bodyDiv w:val="1"/>
      <w:marLeft w:val="0"/>
      <w:marRight w:val="0"/>
      <w:marTop w:val="0"/>
      <w:marBottom w:val="0"/>
      <w:divBdr>
        <w:top w:val="none" w:sz="0" w:space="0" w:color="auto"/>
        <w:left w:val="none" w:sz="0" w:space="0" w:color="auto"/>
        <w:bottom w:val="none" w:sz="0" w:space="0" w:color="auto"/>
        <w:right w:val="none" w:sz="0" w:space="0" w:color="auto"/>
      </w:divBdr>
    </w:div>
    <w:div w:id="1568802431">
      <w:bodyDiv w:val="1"/>
      <w:marLeft w:val="0"/>
      <w:marRight w:val="0"/>
      <w:marTop w:val="0"/>
      <w:marBottom w:val="0"/>
      <w:divBdr>
        <w:top w:val="none" w:sz="0" w:space="0" w:color="auto"/>
        <w:left w:val="none" w:sz="0" w:space="0" w:color="auto"/>
        <w:bottom w:val="none" w:sz="0" w:space="0" w:color="auto"/>
        <w:right w:val="none" w:sz="0" w:space="0" w:color="auto"/>
      </w:divBdr>
    </w:div>
    <w:div w:id="1569534592">
      <w:bodyDiv w:val="1"/>
      <w:marLeft w:val="0"/>
      <w:marRight w:val="0"/>
      <w:marTop w:val="0"/>
      <w:marBottom w:val="0"/>
      <w:divBdr>
        <w:top w:val="none" w:sz="0" w:space="0" w:color="auto"/>
        <w:left w:val="none" w:sz="0" w:space="0" w:color="auto"/>
        <w:bottom w:val="none" w:sz="0" w:space="0" w:color="auto"/>
        <w:right w:val="none" w:sz="0" w:space="0" w:color="auto"/>
      </w:divBdr>
    </w:div>
    <w:div w:id="1569615291">
      <w:bodyDiv w:val="1"/>
      <w:marLeft w:val="0"/>
      <w:marRight w:val="0"/>
      <w:marTop w:val="0"/>
      <w:marBottom w:val="0"/>
      <w:divBdr>
        <w:top w:val="none" w:sz="0" w:space="0" w:color="auto"/>
        <w:left w:val="none" w:sz="0" w:space="0" w:color="auto"/>
        <w:bottom w:val="none" w:sz="0" w:space="0" w:color="auto"/>
        <w:right w:val="none" w:sz="0" w:space="0" w:color="auto"/>
      </w:divBdr>
    </w:div>
    <w:div w:id="1570382499">
      <w:bodyDiv w:val="1"/>
      <w:marLeft w:val="0"/>
      <w:marRight w:val="0"/>
      <w:marTop w:val="0"/>
      <w:marBottom w:val="0"/>
      <w:divBdr>
        <w:top w:val="none" w:sz="0" w:space="0" w:color="auto"/>
        <w:left w:val="none" w:sz="0" w:space="0" w:color="auto"/>
        <w:bottom w:val="none" w:sz="0" w:space="0" w:color="auto"/>
        <w:right w:val="none" w:sz="0" w:space="0" w:color="auto"/>
      </w:divBdr>
    </w:div>
    <w:div w:id="1570579951">
      <w:bodyDiv w:val="1"/>
      <w:marLeft w:val="0"/>
      <w:marRight w:val="0"/>
      <w:marTop w:val="0"/>
      <w:marBottom w:val="0"/>
      <w:divBdr>
        <w:top w:val="none" w:sz="0" w:space="0" w:color="auto"/>
        <w:left w:val="none" w:sz="0" w:space="0" w:color="auto"/>
        <w:bottom w:val="none" w:sz="0" w:space="0" w:color="auto"/>
        <w:right w:val="none" w:sz="0" w:space="0" w:color="auto"/>
      </w:divBdr>
    </w:div>
    <w:div w:id="1570728907">
      <w:bodyDiv w:val="1"/>
      <w:marLeft w:val="0"/>
      <w:marRight w:val="0"/>
      <w:marTop w:val="0"/>
      <w:marBottom w:val="0"/>
      <w:divBdr>
        <w:top w:val="none" w:sz="0" w:space="0" w:color="auto"/>
        <w:left w:val="none" w:sz="0" w:space="0" w:color="auto"/>
        <w:bottom w:val="none" w:sz="0" w:space="0" w:color="auto"/>
        <w:right w:val="none" w:sz="0" w:space="0" w:color="auto"/>
      </w:divBdr>
    </w:div>
    <w:div w:id="1570846314">
      <w:bodyDiv w:val="1"/>
      <w:marLeft w:val="0"/>
      <w:marRight w:val="0"/>
      <w:marTop w:val="0"/>
      <w:marBottom w:val="0"/>
      <w:divBdr>
        <w:top w:val="none" w:sz="0" w:space="0" w:color="auto"/>
        <w:left w:val="none" w:sz="0" w:space="0" w:color="auto"/>
        <w:bottom w:val="none" w:sz="0" w:space="0" w:color="auto"/>
        <w:right w:val="none" w:sz="0" w:space="0" w:color="auto"/>
      </w:divBdr>
    </w:div>
    <w:div w:id="1570995429">
      <w:bodyDiv w:val="1"/>
      <w:marLeft w:val="0"/>
      <w:marRight w:val="0"/>
      <w:marTop w:val="0"/>
      <w:marBottom w:val="0"/>
      <w:divBdr>
        <w:top w:val="none" w:sz="0" w:space="0" w:color="auto"/>
        <w:left w:val="none" w:sz="0" w:space="0" w:color="auto"/>
        <w:bottom w:val="none" w:sz="0" w:space="0" w:color="auto"/>
        <w:right w:val="none" w:sz="0" w:space="0" w:color="auto"/>
      </w:divBdr>
    </w:div>
    <w:div w:id="1571191031">
      <w:bodyDiv w:val="1"/>
      <w:marLeft w:val="0"/>
      <w:marRight w:val="0"/>
      <w:marTop w:val="0"/>
      <w:marBottom w:val="0"/>
      <w:divBdr>
        <w:top w:val="none" w:sz="0" w:space="0" w:color="auto"/>
        <w:left w:val="none" w:sz="0" w:space="0" w:color="auto"/>
        <w:bottom w:val="none" w:sz="0" w:space="0" w:color="auto"/>
        <w:right w:val="none" w:sz="0" w:space="0" w:color="auto"/>
      </w:divBdr>
    </w:div>
    <w:div w:id="1571579778">
      <w:bodyDiv w:val="1"/>
      <w:marLeft w:val="0"/>
      <w:marRight w:val="0"/>
      <w:marTop w:val="0"/>
      <w:marBottom w:val="0"/>
      <w:divBdr>
        <w:top w:val="none" w:sz="0" w:space="0" w:color="auto"/>
        <w:left w:val="none" w:sz="0" w:space="0" w:color="auto"/>
        <w:bottom w:val="none" w:sz="0" w:space="0" w:color="auto"/>
        <w:right w:val="none" w:sz="0" w:space="0" w:color="auto"/>
      </w:divBdr>
    </w:div>
    <w:div w:id="1571694341">
      <w:bodyDiv w:val="1"/>
      <w:marLeft w:val="0"/>
      <w:marRight w:val="0"/>
      <w:marTop w:val="0"/>
      <w:marBottom w:val="0"/>
      <w:divBdr>
        <w:top w:val="none" w:sz="0" w:space="0" w:color="auto"/>
        <w:left w:val="none" w:sz="0" w:space="0" w:color="auto"/>
        <w:bottom w:val="none" w:sz="0" w:space="0" w:color="auto"/>
        <w:right w:val="none" w:sz="0" w:space="0" w:color="auto"/>
      </w:divBdr>
    </w:div>
    <w:div w:id="1572305469">
      <w:bodyDiv w:val="1"/>
      <w:marLeft w:val="0"/>
      <w:marRight w:val="0"/>
      <w:marTop w:val="0"/>
      <w:marBottom w:val="0"/>
      <w:divBdr>
        <w:top w:val="none" w:sz="0" w:space="0" w:color="auto"/>
        <w:left w:val="none" w:sz="0" w:space="0" w:color="auto"/>
        <w:bottom w:val="none" w:sz="0" w:space="0" w:color="auto"/>
        <w:right w:val="none" w:sz="0" w:space="0" w:color="auto"/>
      </w:divBdr>
    </w:div>
    <w:div w:id="1572503000">
      <w:bodyDiv w:val="1"/>
      <w:marLeft w:val="0"/>
      <w:marRight w:val="0"/>
      <w:marTop w:val="0"/>
      <w:marBottom w:val="0"/>
      <w:divBdr>
        <w:top w:val="none" w:sz="0" w:space="0" w:color="auto"/>
        <w:left w:val="none" w:sz="0" w:space="0" w:color="auto"/>
        <w:bottom w:val="none" w:sz="0" w:space="0" w:color="auto"/>
        <w:right w:val="none" w:sz="0" w:space="0" w:color="auto"/>
      </w:divBdr>
    </w:div>
    <w:div w:id="1572547162">
      <w:bodyDiv w:val="1"/>
      <w:marLeft w:val="0"/>
      <w:marRight w:val="0"/>
      <w:marTop w:val="0"/>
      <w:marBottom w:val="0"/>
      <w:divBdr>
        <w:top w:val="none" w:sz="0" w:space="0" w:color="auto"/>
        <w:left w:val="none" w:sz="0" w:space="0" w:color="auto"/>
        <w:bottom w:val="none" w:sz="0" w:space="0" w:color="auto"/>
        <w:right w:val="none" w:sz="0" w:space="0" w:color="auto"/>
      </w:divBdr>
    </w:div>
    <w:div w:id="1572890480">
      <w:bodyDiv w:val="1"/>
      <w:marLeft w:val="0"/>
      <w:marRight w:val="0"/>
      <w:marTop w:val="0"/>
      <w:marBottom w:val="0"/>
      <w:divBdr>
        <w:top w:val="none" w:sz="0" w:space="0" w:color="auto"/>
        <w:left w:val="none" w:sz="0" w:space="0" w:color="auto"/>
        <w:bottom w:val="none" w:sz="0" w:space="0" w:color="auto"/>
        <w:right w:val="none" w:sz="0" w:space="0" w:color="auto"/>
      </w:divBdr>
    </w:div>
    <w:div w:id="1572933369">
      <w:bodyDiv w:val="1"/>
      <w:marLeft w:val="0"/>
      <w:marRight w:val="0"/>
      <w:marTop w:val="0"/>
      <w:marBottom w:val="0"/>
      <w:divBdr>
        <w:top w:val="none" w:sz="0" w:space="0" w:color="auto"/>
        <w:left w:val="none" w:sz="0" w:space="0" w:color="auto"/>
        <w:bottom w:val="none" w:sz="0" w:space="0" w:color="auto"/>
        <w:right w:val="none" w:sz="0" w:space="0" w:color="auto"/>
      </w:divBdr>
    </w:div>
    <w:div w:id="1573197030">
      <w:bodyDiv w:val="1"/>
      <w:marLeft w:val="0"/>
      <w:marRight w:val="0"/>
      <w:marTop w:val="0"/>
      <w:marBottom w:val="0"/>
      <w:divBdr>
        <w:top w:val="none" w:sz="0" w:space="0" w:color="auto"/>
        <w:left w:val="none" w:sz="0" w:space="0" w:color="auto"/>
        <w:bottom w:val="none" w:sz="0" w:space="0" w:color="auto"/>
        <w:right w:val="none" w:sz="0" w:space="0" w:color="auto"/>
      </w:divBdr>
    </w:div>
    <w:div w:id="1573419653">
      <w:bodyDiv w:val="1"/>
      <w:marLeft w:val="0"/>
      <w:marRight w:val="0"/>
      <w:marTop w:val="0"/>
      <w:marBottom w:val="0"/>
      <w:divBdr>
        <w:top w:val="none" w:sz="0" w:space="0" w:color="auto"/>
        <w:left w:val="none" w:sz="0" w:space="0" w:color="auto"/>
        <w:bottom w:val="none" w:sz="0" w:space="0" w:color="auto"/>
        <w:right w:val="none" w:sz="0" w:space="0" w:color="auto"/>
      </w:divBdr>
    </w:div>
    <w:div w:id="1573734087">
      <w:bodyDiv w:val="1"/>
      <w:marLeft w:val="0"/>
      <w:marRight w:val="0"/>
      <w:marTop w:val="0"/>
      <w:marBottom w:val="0"/>
      <w:divBdr>
        <w:top w:val="none" w:sz="0" w:space="0" w:color="auto"/>
        <w:left w:val="none" w:sz="0" w:space="0" w:color="auto"/>
        <w:bottom w:val="none" w:sz="0" w:space="0" w:color="auto"/>
        <w:right w:val="none" w:sz="0" w:space="0" w:color="auto"/>
      </w:divBdr>
    </w:div>
    <w:div w:id="1573848769">
      <w:bodyDiv w:val="1"/>
      <w:marLeft w:val="0"/>
      <w:marRight w:val="0"/>
      <w:marTop w:val="0"/>
      <w:marBottom w:val="0"/>
      <w:divBdr>
        <w:top w:val="none" w:sz="0" w:space="0" w:color="auto"/>
        <w:left w:val="none" w:sz="0" w:space="0" w:color="auto"/>
        <w:bottom w:val="none" w:sz="0" w:space="0" w:color="auto"/>
        <w:right w:val="none" w:sz="0" w:space="0" w:color="auto"/>
      </w:divBdr>
    </w:div>
    <w:div w:id="1574310898">
      <w:bodyDiv w:val="1"/>
      <w:marLeft w:val="0"/>
      <w:marRight w:val="0"/>
      <w:marTop w:val="0"/>
      <w:marBottom w:val="0"/>
      <w:divBdr>
        <w:top w:val="none" w:sz="0" w:space="0" w:color="auto"/>
        <w:left w:val="none" w:sz="0" w:space="0" w:color="auto"/>
        <w:bottom w:val="none" w:sz="0" w:space="0" w:color="auto"/>
        <w:right w:val="none" w:sz="0" w:space="0" w:color="auto"/>
      </w:divBdr>
    </w:div>
    <w:div w:id="1574504264">
      <w:bodyDiv w:val="1"/>
      <w:marLeft w:val="0"/>
      <w:marRight w:val="0"/>
      <w:marTop w:val="0"/>
      <w:marBottom w:val="0"/>
      <w:divBdr>
        <w:top w:val="none" w:sz="0" w:space="0" w:color="auto"/>
        <w:left w:val="none" w:sz="0" w:space="0" w:color="auto"/>
        <w:bottom w:val="none" w:sz="0" w:space="0" w:color="auto"/>
        <w:right w:val="none" w:sz="0" w:space="0" w:color="auto"/>
      </w:divBdr>
    </w:div>
    <w:div w:id="1574968869">
      <w:bodyDiv w:val="1"/>
      <w:marLeft w:val="0"/>
      <w:marRight w:val="0"/>
      <w:marTop w:val="0"/>
      <w:marBottom w:val="0"/>
      <w:divBdr>
        <w:top w:val="none" w:sz="0" w:space="0" w:color="auto"/>
        <w:left w:val="none" w:sz="0" w:space="0" w:color="auto"/>
        <w:bottom w:val="none" w:sz="0" w:space="0" w:color="auto"/>
        <w:right w:val="none" w:sz="0" w:space="0" w:color="auto"/>
      </w:divBdr>
    </w:div>
    <w:div w:id="1575504772">
      <w:bodyDiv w:val="1"/>
      <w:marLeft w:val="0"/>
      <w:marRight w:val="0"/>
      <w:marTop w:val="0"/>
      <w:marBottom w:val="0"/>
      <w:divBdr>
        <w:top w:val="none" w:sz="0" w:space="0" w:color="auto"/>
        <w:left w:val="none" w:sz="0" w:space="0" w:color="auto"/>
        <w:bottom w:val="none" w:sz="0" w:space="0" w:color="auto"/>
        <w:right w:val="none" w:sz="0" w:space="0" w:color="auto"/>
      </w:divBdr>
    </w:div>
    <w:div w:id="1576625970">
      <w:bodyDiv w:val="1"/>
      <w:marLeft w:val="0"/>
      <w:marRight w:val="0"/>
      <w:marTop w:val="0"/>
      <w:marBottom w:val="0"/>
      <w:divBdr>
        <w:top w:val="none" w:sz="0" w:space="0" w:color="auto"/>
        <w:left w:val="none" w:sz="0" w:space="0" w:color="auto"/>
        <w:bottom w:val="none" w:sz="0" w:space="0" w:color="auto"/>
        <w:right w:val="none" w:sz="0" w:space="0" w:color="auto"/>
      </w:divBdr>
    </w:div>
    <w:div w:id="1576669053">
      <w:bodyDiv w:val="1"/>
      <w:marLeft w:val="0"/>
      <w:marRight w:val="0"/>
      <w:marTop w:val="0"/>
      <w:marBottom w:val="0"/>
      <w:divBdr>
        <w:top w:val="none" w:sz="0" w:space="0" w:color="auto"/>
        <w:left w:val="none" w:sz="0" w:space="0" w:color="auto"/>
        <w:bottom w:val="none" w:sz="0" w:space="0" w:color="auto"/>
        <w:right w:val="none" w:sz="0" w:space="0" w:color="auto"/>
      </w:divBdr>
    </w:div>
    <w:div w:id="1576743822">
      <w:bodyDiv w:val="1"/>
      <w:marLeft w:val="0"/>
      <w:marRight w:val="0"/>
      <w:marTop w:val="0"/>
      <w:marBottom w:val="0"/>
      <w:divBdr>
        <w:top w:val="none" w:sz="0" w:space="0" w:color="auto"/>
        <w:left w:val="none" w:sz="0" w:space="0" w:color="auto"/>
        <w:bottom w:val="none" w:sz="0" w:space="0" w:color="auto"/>
        <w:right w:val="none" w:sz="0" w:space="0" w:color="auto"/>
      </w:divBdr>
    </w:div>
    <w:div w:id="1576743918">
      <w:bodyDiv w:val="1"/>
      <w:marLeft w:val="0"/>
      <w:marRight w:val="0"/>
      <w:marTop w:val="0"/>
      <w:marBottom w:val="0"/>
      <w:divBdr>
        <w:top w:val="none" w:sz="0" w:space="0" w:color="auto"/>
        <w:left w:val="none" w:sz="0" w:space="0" w:color="auto"/>
        <w:bottom w:val="none" w:sz="0" w:space="0" w:color="auto"/>
        <w:right w:val="none" w:sz="0" w:space="0" w:color="auto"/>
      </w:divBdr>
    </w:div>
    <w:div w:id="1577476112">
      <w:bodyDiv w:val="1"/>
      <w:marLeft w:val="0"/>
      <w:marRight w:val="0"/>
      <w:marTop w:val="0"/>
      <w:marBottom w:val="0"/>
      <w:divBdr>
        <w:top w:val="none" w:sz="0" w:space="0" w:color="auto"/>
        <w:left w:val="none" w:sz="0" w:space="0" w:color="auto"/>
        <w:bottom w:val="none" w:sz="0" w:space="0" w:color="auto"/>
        <w:right w:val="none" w:sz="0" w:space="0" w:color="auto"/>
      </w:divBdr>
    </w:div>
    <w:div w:id="1577859351">
      <w:bodyDiv w:val="1"/>
      <w:marLeft w:val="0"/>
      <w:marRight w:val="0"/>
      <w:marTop w:val="0"/>
      <w:marBottom w:val="0"/>
      <w:divBdr>
        <w:top w:val="none" w:sz="0" w:space="0" w:color="auto"/>
        <w:left w:val="none" w:sz="0" w:space="0" w:color="auto"/>
        <w:bottom w:val="none" w:sz="0" w:space="0" w:color="auto"/>
        <w:right w:val="none" w:sz="0" w:space="0" w:color="auto"/>
      </w:divBdr>
    </w:div>
    <w:div w:id="1577978067">
      <w:bodyDiv w:val="1"/>
      <w:marLeft w:val="0"/>
      <w:marRight w:val="0"/>
      <w:marTop w:val="0"/>
      <w:marBottom w:val="0"/>
      <w:divBdr>
        <w:top w:val="none" w:sz="0" w:space="0" w:color="auto"/>
        <w:left w:val="none" w:sz="0" w:space="0" w:color="auto"/>
        <w:bottom w:val="none" w:sz="0" w:space="0" w:color="auto"/>
        <w:right w:val="none" w:sz="0" w:space="0" w:color="auto"/>
      </w:divBdr>
    </w:div>
    <w:div w:id="1579484357">
      <w:bodyDiv w:val="1"/>
      <w:marLeft w:val="0"/>
      <w:marRight w:val="0"/>
      <w:marTop w:val="0"/>
      <w:marBottom w:val="0"/>
      <w:divBdr>
        <w:top w:val="none" w:sz="0" w:space="0" w:color="auto"/>
        <w:left w:val="none" w:sz="0" w:space="0" w:color="auto"/>
        <w:bottom w:val="none" w:sz="0" w:space="0" w:color="auto"/>
        <w:right w:val="none" w:sz="0" w:space="0" w:color="auto"/>
      </w:divBdr>
    </w:div>
    <w:div w:id="1579706679">
      <w:bodyDiv w:val="1"/>
      <w:marLeft w:val="0"/>
      <w:marRight w:val="0"/>
      <w:marTop w:val="0"/>
      <w:marBottom w:val="0"/>
      <w:divBdr>
        <w:top w:val="none" w:sz="0" w:space="0" w:color="auto"/>
        <w:left w:val="none" w:sz="0" w:space="0" w:color="auto"/>
        <w:bottom w:val="none" w:sz="0" w:space="0" w:color="auto"/>
        <w:right w:val="none" w:sz="0" w:space="0" w:color="auto"/>
      </w:divBdr>
    </w:div>
    <w:div w:id="1580208968">
      <w:bodyDiv w:val="1"/>
      <w:marLeft w:val="0"/>
      <w:marRight w:val="0"/>
      <w:marTop w:val="0"/>
      <w:marBottom w:val="0"/>
      <w:divBdr>
        <w:top w:val="none" w:sz="0" w:space="0" w:color="auto"/>
        <w:left w:val="none" w:sz="0" w:space="0" w:color="auto"/>
        <w:bottom w:val="none" w:sz="0" w:space="0" w:color="auto"/>
        <w:right w:val="none" w:sz="0" w:space="0" w:color="auto"/>
      </w:divBdr>
    </w:div>
    <w:div w:id="1580484506">
      <w:bodyDiv w:val="1"/>
      <w:marLeft w:val="0"/>
      <w:marRight w:val="0"/>
      <w:marTop w:val="0"/>
      <w:marBottom w:val="0"/>
      <w:divBdr>
        <w:top w:val="none" w:sz="0" w:space="0" w:color="auto"/>
        <w:left w:val="none" w:sz="0" w:space="0" w:color="auto"/>
        <w:bottom w:val="none" w:sz="0" w:space="0" w:color="auto"/>
        <w:right w:val="none" w:sz="0" w:space="0" w:color="auto"/>
      </w:divBdr>
    </w:div>
    <w:div w:id="1580627700">
      <w:bodyDiv w:val="1"/>
      <w:marLeft w:val="0"/>
      <w:marRight w:val="0"/>
      <w:marTop w:val="0"/>
      <w:marBottom w:val="0"/>
      <w:divBdr>
        <w:top w:val="none" w:sz="0" w:space="0" w:color="auto"/>
        <w:left w:val="none" w:sz="0" w:space="0" w:color="auto"/>
        <w:bottom w:val="none" w:sz="0" w:space="0" w:color="auto"/>
        <w:right w:val="none" w:sz="0" w:space="0" w:color="auto"/>
      </w:divBdr>
    </w:div>
    <w:div w:id="1581285263">
      <w:bodyDiv w:val="1"/>
      <w:marLeft w:val="0"/>
      <w:marRight w:val="0"/>
      <w:marTop w:val="0"/>
      <w:marBottom w:val="0"/>
      <w:divBdr>
        <w:top w:val="none" w:sz="0" w:space="0" w:color="auto"/>
        <w:left w:val="none" w:sz="0" w:space="0" w:color="auto"/>
        <w:bottom w:val="none" w:sz="0" w:space="0" w:color="auto"/>
        <w:right w:val="none" w:sz="0" w:space="0" w:color="auto"/>
      </w:divBdr>
    </w:div>
    <w:div w:id="1581331898">
      <w:bodyDiv w:val="1"/>
      <w:marLeft w:val="0"/>
      <w:marRight w:val="0"/>
      <w:marTop w:val="0"/>
      <w:marBottom w:val="0"/>
      <w:divBdr>
        <w:top w:val="none" w:sz="0" w:space="0" w:color="auto"/>
        <w:left w:val="none" w:sz="0" w:space="0" w:color="auto"/>
        <w:bottom w:val="none" w:sz="0" w:space="0" w:color="auto"/>
        <w:right w:val="none" w:sz="0" w:space="0" w:color="auto"/>
      </w:divBdr>
    </w:div>
    <w:div w:id="1581407934">
      <w:bodyDiv w:val="1"/>
      <w:marLeft w:val="0"/>
      <w:marRight w:val="0"/>
      <w:marTop w:val="0"/>
      <w:marBottom w:val="0"/>
      <w:divBdr>
        <w:top w:val="none" w:sz="0" w:space="0" w:color="auto"/>
        <w:left w:val="none" w:sz="0" w:space="0" w:color="auto"/>
        <w:bottom w:val="none" w:sz="0" w:space="0" w:color="auto"/>
        <w:right w:val="none" w:sz="0" w:space="0" w:color="auto"/>
      </w:divBdr>
    </w:div>
    <w:div w:id="1581711821">
      <w:bodyDiv w:val="1"/>
      <w:marLeft w:val="0"/>
      <w:marRight w:val="0"/>
      <w:marTop w:val="0"/>
      <w:marBottom w:val="0"/>
      <w:divBdr>
        <w:top w:val="none" w:sz="0" w:space="0" w:color="auto"/>
        <w:left w:val="none" w:sz="0" w:space="0" w:color="auto"/>
        <w:bottom w:val="none" w:sz="0" w:space="0" w:color="auto"/>
        <w:right w:val="none" w:sz="0" w:space="0" w:color="auto"/>
      </w:divBdr>
    </w:div>
    <w:div w:id="1581795254">
      <w:bodyDiv w:val="1"/>
      <w:marLeft w:val="0"/>
      <w:marRight w:val="0"/>
      <w:marTop w:val="0"/>
      <w:marBottom w:val="0"/>
      <w:divBdr>
        <w:top w:val="none" w:sz="0" w:space="0" w:color="auto"/>
        <w:left w:val="none" w:sz="0" w:space="0" w:color="auto"/>
        <w:bottom w:val="none" w:sz="0" w:space="0" w:color="auto"/>
        <w:right w:val="none" w:sz="0" w:space="0" w:color="auto"/>
      </w:divBdr>
    </w:div>
    <w:div w:id="1582175710">
      <w:bodyDiv w:val="1"/>
      <w:marLeft w:val="0"/>
      <w:marRight w:val="0"/>
      <w:marTop w:val="0"/>
      <w:marBottom w:val="0"/>
      <w:divBdr>
        <w:top w:val="none" w:sz="0" w:space="0" w:color="auto"/>
        <w:left w:val="none" w:sz="0" w:space="0" w:color="auto"/>
        <w:bottom w:val="none" w:sz="0" w:space="0" w:color="auto"/>
        <w:right w:val="none" w:sz="0" w:space="0" w:color="auto"/>
      </w:divBdr>
    </w:div>
    <w:div w:id="1582257431">
      <w:bodyDiv w:val="1"/>
      <w:marLeft w:val="0"/>
      <w:marRight w:val="0"/>
      <w:marTop w:val="0"/>
      <w:marBottom w:val="0"/>
      <w:divBdr>
        <w:top w:val="none" w:sz="0" w:space="0" w:color="auto"/>
        <w:left w:val="none" w:sz="0" w:space="0" w:color="auto"/>
        <w:bottom w:val="none" w:sz="0" w:space="0" w:color="auto"/>
        <w:right w:val="none" w:sz="0" w:space="0" w:color="auto"/>
      </w:divBdr>
    </w:div>
    <w:div w:id="1582837009">
      <w:bodyDiv w:val="1"/>
      <w:marLeft w:val="0"/>
      <w:marRight w:val="0"/>
      <w:marTop w:val="0"/>
      <w:marBottom w:val="0"/>
      <w:divBdr>
        <w:top w:val="none" w:sz="0" w:space="0" w:color="auto"/>
        <w:left w:val="none" w:sz="0" w:space="0" w:color="auto"/>
        <w:bottom w:val="none" w:sz="0" w:space="0" w:color="auto"/>
        <w:right w:val="none" w:sz="0" w:space="0" w:color="auto"/>
      </w:divBdr>
    </w:div>
    <w:div w:id="1583447322">
      <w:bodyDiv w:val="1"/>
      <w:marLeft w:val="0"/>
      <w:marRight w:val="0"/>
      <w:marTop w:val="0"/>
      <w:marBottom w:val="0"/>
      <w:divBdr>
        <w:top w:val="none" w:sz="0" w:space="0" w:color="auto"/>
        <w:left w:val="none" w:sz="0" w:space="0" w:color="auto"/>
        <w:bottom w:val="none" w:sz="0" w:space="0" w:color="auto"/>
        <w:right w:val="none" w:sz="0" w:space="0" w:color="auto"/>
      </w:divBdr>
    </w:div>
    <w:div w:id="1583682115">
      <w:bodyDiv w:val="1"/>
      <w:marLeft w:val="0"/>
      <w:marRight w:val="0"/>
      <w:marTop w:val="0"/>
      <w:marBottom w:val="0"/>
      <w:divBdr>
        <w:top w:val="none" w:sz="0" w:space="0" w:color="auto"/>
        <w:left w:val="none" w:sz="0" w:space="0" w:color="auto"/>
        <w:bottom w:val="none" w:sz="0" w:space="0" w:color="auto"/>
        <w:right w:val="none" w:sz="0" w:space="0" w:color="auto"/>
      </w:divBdr>
    </w:div>
    <w:div w:id="1583878115">
      <w:bodyDiv w:val="1"/>
      <w:marLeft w:val="0"/>
      <w:marRight w:val="0"/>
      <w:marTop w:val="0"/>
      <w:marBottom w:val="0"/>
      <w:divBdr>
        <w:top w:val="none" w:sz="0" w:space="0" w:color="auto"/>
        <w:left w:val="none" w:sz="0" w:space="0" w:color="auto"/>
        <w:bottom w:val="none" w:sz="0" w:space="0" w:color="auto"/>
        <w:right w:val="none" w:sz="0" w:space="0" w:color="auto"/>
      </w:divBdr>
    </w:div>
    <w:div w:id="1584220019">
      <w:bodyDiv w:val="1"/>
      <w:marLeft w:val="0"/>
      <w:marRight w:val="0"/>
      <w:marTop w:val="0"/>
      <w:marBottom w:val="0"/>
      <w:divBdr>
        <w:top w:val="none" w:sz="0" w:space="0" w:color="auto"/>
        <w:left w:val="none" w:sz="0" w:space="0" w:color="auto"/>
        <w:bottom w:val="none" w:sz="0" w:space="0" w:color="auto"/>
        <w:right w:val="none" w:sz="0" w:space="0" w:color="auto"/>
      </w:divBdr>
    </w:div>
    <w:div w:id="1585145423">
      <w:bodyDiv w:val="1"/>
      <w:marLeft w:val="0"/>
      <w:marRight w:val="0"/>
      <w:marTop w:val="0"/>
      <w:marBottom w:val="0"/>
      <w:divBdr>
        <w:top w:val="none" w:sz="0" w:space="0" w:color="auto"/>
        <w:left w:val="none" w:sz="0" w:space="0" w:color="auto"/>
        <w:bottom w:val="none" w:sz="0" w:space="0" w:color="auto"/>
        <w:right w:val="none" w:sz="0" w:space="0" w:color="auto"/>
      </w:divBdr>
    </w:div>
    <w:div w:id="1585450509">
      <w:bodyDiv w:val="1"/>
      <w:marLeft w:val="0"/>
      <w:marRight w:val="0"/>
      <w:marTop w:val="0"/>
      <w:marBottom w:val="0"/>
      <w:divBdr>
        <w:top w:val="none" w:sz="0" w:space="0" w:color="auto"/>
        <w:left w:val="none" w:sz="0" w:space="0" w:color="auto"/>
        <w:bottom w:val="none" w:sz="0" w:space="0" w:color="auto"/>
        <w:right w:val="none" w:sz="0" w:space="0" w:color="auto"/>
      </w:divBdr>
    </w:div>
    <w:div w:id="1585532136">
      <w:bodyDiv w:val="1"/>
      <w:marLeft w:val="0"/>
      <w:marRight w:val="0"/>
      <w:marTop w:val="0"/>
      <w:marBottom w:val="0"/>
      <w:divBdr>
        <w:top w:val="none" w:sz="0" w:space="0" w:color="auto"/>
        <w:left w:val="none" w:sz="0" w:space="0" w:color="auto"/>
        <w:bottom w:val="none" w:sz="0" w:space="0" w:color="auto"/>
        <w:right w:val="none" w:sz="0" w:space="0" w:color="auto"/>
      </w:divBdr>
    </w:div>
    <w:div w:id="1585721280">
      <w:bodyDiv w:val="1"/>
      <w:marLeft w:val="0"/>
      <w:marRight w:val="0"/>
      <w:marTop w:val="0"/>
      <w:marBottom w:val="0"/>
      <w:divBdr>
        <w:top w:val="none" w:sz="0" w:space="0" w:color="auto"/>
        <w:left w:val="none" w:sz="0" w:space="0" w:color="auto"/>
        <w:bottom w:val="none" w:sz="0" w:space="0" w:color="auto"/>
        <w:right w:val="none" w:sz="0" w:space="0" w:color="auto"/>
      </w:divBdr>
    </w:div>
    <w:div w:id="1585843764">
      <w:bodyDiv w:val="1"/>
      <w:marLeft w:val="0"/>
      <w:marRight w:val="0"/>
      <w:marTop w:val="0"/>
      <w:marBottom w:val="0"/>
      <w:divBdr>
        <w:top w:val="none" w:sz="0" w:space="0" w:color="auto"/>
        <w:left w:val="none" w:sz="0" w:space="0" w:color="auto"/>
        <w:bottom w:val="none" w:sz="0" w:space="0" w:color="auto"/>
        <w:right w:val="none" w:sz="0" w:space="0" w:color="auto"/>
      </w:divBdr>
    </w:div>
    <w:div w:id="1586063798">
      <w:bodyDiv w:val="1"/>
      <w:marLeft w:val="0"/>
      <w:marRight w:val="0"/>
      <w:marTop w:val="0"/>
      <w:marBottom w:val="0"/>
      <w:divBdr>
        <w:top w:val="none" w:sz="0" w:space="0" w:color="auto"/>
        <w:left w:val="none" w:sz="0" w:space="0" w:color="auto"/>
        <w:bottom w:val="none" w:sz="0" w:space="0" w:color="auto"/>
        <w:right w:val="none" w:sz="0" w:space="0" w:color="auto"/>
      </w:divBdr>
    </w:div>
    <w:div w:id="1586257624">
      <w:bodyDiv w:val="1"/>
      <w:marLeft w:val="0"/>
      <w:marRight w:val="0"/>
      <w:marTop w:val="0"/>
      <w:marBottom w:val="0"/>
      <w:divBdr>
        <w:top w:val="none" w:sz="0" w:space="0" w:color="auto"/>
        <w:left w:val="none" w:sz="0" w:space="0" w:color="auto"/>
        <w:bottom w:val="none" w:sz="0" w:space="0" w:color="auto"/>
        <w:right w:val="none" w:sz="0" w:space="0" w:color="auto"/>
      </w:divBdr>
    </w:div>
    <w:div w:id="1587180708">
      <w:bodyDiv w:val="1"/>
      <w:marLeft w:val="0"/>
      <w:marRight w:val="0"/>
      <w:marTop w:val="0"/>
      <w:marBottom w:val="0"/>
      <w:divBdr>
        <w:top w:val="none" w:sz="0" w:space="0" w:color="auto"/>
        <w:left w:val="none" w:sz="0" w:space="0" w:color="auto"/>
        <w:bottom w:val="none" w:sz="0" w:space="0" w:color="auto"/>
        <w:right w:val="none" w:sz="0" w:space="0" w:color="auto"/>
      </w:divBdr>
    </w:div>
    <w:div w:id="1587182928">
      <w:bodyDiv w:val="1"/>
      <w:marLeft w:val="0"/>
      <w:marRight w:val="0"/>
      <w:marTop w:val="0"/>
      <w:marBottom w:val="0"/>
      <w:divBdr>
        <w:top w:val="none" w:sz="0" w:space="0" w:color="auto"/>
        <w:left w:val="none" w:sz="0" w:space="0" w:color="auto"/>
        <w:bottom w:val="none" w:sz="0" w:space="0" w:color="auto"/>
        <w:right w:val="none" w:sz="0" w:space="0" w:color="auto"/>
      </w:divBdr>
    </w:div>
    <w:div w:id="1588003400">
      <w:bodyDiv w:val="1"/>
      <w:marLeft w:val="0"/>
      <w:marRight w:val="0"/>
      <w:marTop w:val="0"/>
      <w:marBottom w:val="0"/>
      <w:divBdr>
        <w:top w:val="none" w:sz="0" w:space="0" w:color="auto"/>
        <w:left w:val="none" w:sz="0" w:space="0" w:color="auto"/>
        <w:bottom w:val="none" w:sz="0" w:space="0" w:color="auto"/>
        <w:right w:val="none" w:sz="0" w:space="0" w:color="auto"/>
      </w:divBdr>
    </w:div>
    <w:div w:id="1588071703">
      <w:bodyDiv w:val="1"/>
      <w:marLeft w:val="0"/>
      <w:marRight w:val="0"/>
      <w:marTop w:val="0"/>
      <w:marBottom w:val="0"/>
      <w:divBdr>
        <w:top w:val="none" w:sz="0" w:space="0" w:color="auto"/>
        <w:left w:val="none" w:sz="0" w:space="0" w:color="auto"/>
        <w:bottom w:val="none" w:sz="0" w:space="0" w:color="auto"/>
        <w:right w:val="none" w:sz="0" w:space="0" w:color="auto"/>
      </w:divBdr>
    </w:div>
    <w:div w:id="1589188968">
      <w:bodyDiv w:val="1"/>
      <w:marLeft w:val="0"/>
      <w:marRight w:val="0"/>
      <w:marTop w:val="0"/>
      <w:marBottom w:val="0"/>
      <w:divBdr>
        <w:top w:val="none" w:sz="0" w:space="0" w:color="auto"/>
        <w:left w:val="none" w:sz="0" w:space="0" w:color="auto"/>
        <w:bottom w:val="none" w:sz="0" w:space="0" w:color="auto"/>
        <w:right w:val="none" w:sz="0" w:space="0" w:color="auto"/>
      </w:divBdr>
    </w:div>
    <w:div w:id="1589267039">
      <w:bodyDiv w:val="1"/>
      <w:marLeft w:val="0"/>
      <w:marRight w:val="0"/>
      <w:marTop w:val="0"/>
      <w:marBottom w:val="0"/>
      <w:divBdr>
        <w:top w:val="none" w:sz="0" w:space="0" w:color="auto"/>
        <w:left w:val="none" w:sz="0" w:space="0" w:color="auto"/>
        <w:bottom w:val="none" w:sz="0" w:space="0" w:color="auto"/>
        <w:right w:val="none" w:sz="0" w:space="0" w:color="auto"/>
      </w:divBdr>
    </w:div>
    <w:div w:id="1589726469">
      <w:bodyDiv w:val="1"/>
      <w:marLeft w:val="0"/>
      <w:marRight w:val="0"/>
      <w:marTop w:val="0"/>
      <w:marBottom w:val="0"/>
      <w:divBdr>
        <w:top w:val="none" w:sz="0" w:space="0" w:color="auto"/>
        <w:left w:val="none" w:sz="0" w:space="0" w:color="auto"/>
        <w:bottom w:val="none" w:sz="0" w:space="0" w:color="auto"/>
        <w:right w:val="none" w:sz="0" w:space="0" w:color="auto"/>
      </w:divBdr>
    </w:div>
    <w:div w:id="1590000087">
      <w:bodyDiv w:val="1"/>
      <w:marLeft w:val="0"/>
      <w:marRight w:val="0"/>
      <w:marTop w:val="0"/>
      <w:marBottom w:val="0"/>
      <w:divBdr>
        <w:top w:val="none" w:sz="0" w:space="0" w:color="auto"/>
        <w:left w:val="none" w:sz="0" w:space="0" w:color="auto"/>
        <w:bottom w:val="none" w:sz="0" w:space="0" w:color="auto"/>
        <w:right w:val="none" w:sz="0" w:space="0" w:color="auto"/>
      </w:divBdr>
    </w:div>
    <w:div w:id="1590388449">
      <w:bodyDiv w:val="1"/>
      <w:marLeft w:val="0"/>
      <w:marRight w:val="0"/>
      <w:marTop w:val="0"/>
      <w:marBottom w:val="0"/>
      <w:divBdr>
        <w:top w:val="none" w:sz="0" w:space="0" w:color="auto"/>
        <w:left w:val="none" w:sz="0" w:space="0" w:color="auto"/>
        <w:bottom w:val="none" w:sz="0" w:space="0" w:color="auto"/>
        <w:right w:val="none" w:sz="0" w:space="0" w:color="auto"/>
      </w:divBdr>
    </w:div>
    <w:div w:id="1590428383">
      <w:bodyDiv w:val="1"/>
      <w:marLeft w:val="0"/>
      <w:marRight w:val="0"/>
      <w:marTop w:val="0"/>
      <w:marBottom w:val="0"/>
      <w:divBdr>
        <w:top w:val="none" w:sz="0" w:space="0" w:color="auto"/>
        <w:left w:val="none" w:sz="0" w:space="0" w:color="auto"/>
        <w:bottom w:val="none" w:sz="0" w:space="0" w:color="auto"/>
        <w:right w:val="none" w:sz="0" w:space="0" w:color="auto"/>
      </w:divBdr>
    </w:div>
    <w:div w:id="1590428488">
      <w:bodyDiv w:val="1"/>
      <w:marLeft w:val="0"/>
      <w:marRight w:val="0"/>
      <w:marTop w:val="0"/>
      <w:marBottom w:val="0"/>
      <w:divBdr>
        <w:top w:val="none" w:sz="0" w:space="0" w:color="auto"/>
        <w:left w:val="none" w:sz="0" w:space="0" w:color="auto"/>
        <w:bottom w:val="none" w:sz="0" w:space="0" w:color="auto"/>
        <w:right w:val="none" w:sz="0" w:space="0" w:color="auto"/>
      </w:divBdr>
    </w:div>
    <w:div w:id="1590625472">
      <w:bodyDiv w:val="1"/>
      <w:marLeft w:val="0"/>
      <w:marRight w:val="0"/>
      <w:marTop w:val="0"/>
      <w:marBottom w:val="0"/>
      <w:divBdr>
        <w:top w:val="none" w:sz="0" w:space="0" w:color="auto"/>
        <w:left w:val="none" w:sz="0" w:space="0" w:color="auto"/>
        <w:bottom w:val="none" w:sz="0" w:space="0" w:color="auto"/>
        <w:right w:val="none" w:sz="0" w:space="0" w:color="auto"/>
      </w:divBdr>
    </w:div>
    <w:div w:id="1590651554">
      <w:bodyDiv w:val="1"/>
      <w:marLeft w:val="0"/>
      <w:marRight w:val="0"/>
      <w:marTop w:val="0"/>
      <w:marBottom w:val="0"/>
      <w:divBdr>
        <w:top w:val="none" w:sz="0" w:space="0" w:color="auto"/>
        <w:left w:val="none" w:sz="0" w:space="0" w:color="auto"/>
        <w:bottom w:val="none" w:sz="0" w:space="0" w:color="auto"/>
        <w:right w:val="none" w:sz="0" w:space="0" w:color="auto"/>
      </w:divBdr>
    </w:div>
    <w:div w:id="1590919070">
      <w:bodyDiv w:val="1"/>
      <w:marLeft w:val="0"/>
      <w:marRight w:val="0"/>
      <w:marTop w:val="0"/>
      <w:marBottom w:val="0"/>
      <w:divBdr>
        <w:top w:val="none" w:sz="0" w:space="0" w:color="auto"/>
        <w:left w:val="none" w:sz="0" w:space="0" w:color="auto"/>
        <w:bottom w:val="none" w:sz="0" w:space="0" w:color="auto"/>
        <w:right w:val="none" w:sz="0" w:space="0" w:color="auto"/>
      </w:divBdr>
    </w:div>
    <w:div w:id="1591617948">
      <w:bodyDiv w:val="1"/>
      <w:marLeft w:val="0"/>
      <w:marRight w:val="0"/>
      <w:marTop w:val="0"/>
      <w:marBottom w:val="0"/>
      <w:divBdr>
        <w:top w:val="none" w:sz="0" w:space="0" w:color="auto"/>
        <w:left w:val="none" w:sz="0" w:space="0" w:color="auto"/>
        <w:bottom w:val="none" w:sz="0" w:space="0" w:color="auto"/>
        <w:right w:val="none" w:sz="0" w:space="0" w:color="auto"/>
      </w:divBdr>
    </w:div>
    <w:div w:id="1592007810">
      <w:bodyDiv w:val="1"/>
      <w:marLeft w:val="0"/>
      <w:marRight w:val="0"/>
      <w:marTop w:val="0"/>
      <w:marBottom w:val="0"/>
      <w:divBdr>
        <w:top w:val="none" w:sz="0" w:space="0" w:color="auto"/>
        <w:left w:val="none" w:sz="0" w:space="0" w:color="auto"/>
        <w:bottom w:val="none" w:sz="0" w:space="0" w:color="auto"/>
        <w:right w:val="none" w:sz="0" w:space="0" w:color="auto"/>
      </w:divBdr>
    </w:div>
    <w:div w:id="1592162271">
      <w:bodyDiv w:val="1"/>
      <w:marLeft w:val="0"/>
      <w:marRight w:val="0"/>
      <w:marTop w:val="0"/>
      <w:marBottom w:val="0"/>
      <w:divBdr>
        <w:top w:val="none" w:sz="0" w:space="0" w:color="auto"/>
        <w:left w:val="none" w:sz="0" w:space="0" w:color="auto"/>
        <w:bottom w:val="none" w:sz="0" w:space="0" w:color="auto"/>
        <w:right w:val="none" w:sz="0" w:space="0" w:color="auto"/>
      </w:divBdr>
    </w:div>
    <w:div w:id="1592349134">
      <w:bodyDiv w:val="1"/>
      <w:marLeft w:val="0"/>
      <w:marRight w:val="0"/>
      <w:marTop w:val="0"/>
      <w:marBottom w:val="0"/>
      <w:divBdr>
        <w:top w:val="none" w:sz="0" w:space="0" w:color="auto"/>
        <w:left w:val="none" w:sz="0" w:space="0" w:color="auto"/>
        <w:bottom w:val="none" w:sz="0" w:space="0" w:color="auto"/>
        <w:right w:val="none" w:sz="0" w:space="0" w:color="auto"/>
      </w:divBdr>
    </w:div>
    <w:div w:id="1592666365">
      <w:bodyDiv w:val="1"/>
      <w:marLeft w:val="0"/>
      <w:marRight w:val="0"/>
      <w:marTop w:val="0"/>
      <w:marBottom w:val="0"/>
      <w:divBdr>
        <w:top w:val="none" w:sz="0" w:space="0" w:color="auto"/>
        <w:left w:val="none" w:sz="0" w:space="0" w:color="auto"/>
        <w:bottom w:val="none" w:sz="0" w:space="0" w:color="auto"/>
        <w:right w:val="none" w:sz="0" w:space="0" w:color="auto"/>
      </w:divBdr>
    </w:div>
    <w:div w:id="1592743077">
      <w:bodyDiv w:val="1"/>
      <w:marLeft w:val="0"/>
      <w:marRight w:val="0"/>
      <w:marTop w:val="0"/>
      <w:marBottom w:val="0"/>
      <w:divBdr>
        <w:top w:val="none" w:sz="0" w:space="0" w:color="auto"/>
        <w:left w:val="none" w:sz="0" w:space="0" w:color="auto"/>
        <w:bottom w:val="none" w:sz="0" w:space="0" w:color="auto"/>
        <w:right w:val="none" w:sz="0" w:space="0" w:color="auto"/>
      </w:divBdr>
    </w:div>
    <w:div w:id="1592813862">
      <w:bodyDiv w:val="1"/>
      <w:marLeft w:val="0"/>
      <w:marRight w:val="0"/>
      <w:marTop w:val="0"/>
      <w:marBottom w:val="0"/>
      <w:divBdr>
        <w:top w:val="none" w:sz="0" w:space="0" w:color="auto"/>
        <w:left w:val="none" w:sz="0" w:space="0" w:color="auto"/>
        <w:bottom w:val="none" w:sz="0" w:space="0" w:color="auto"/>
        <w:right w:val="none" w:sz="0" w:space="0" w:color="auto"/>
      </w:divBdr>
    </w:div>
    <w:div w:id="1593198368">
      <w:bodyDiv w:val="1"/>
      <w:marLeft w:val="0"/>
      <w:marRight w:val="0"/>
      <w:marTop w:val="0"/>
      <w:marBottom w:val="0"/>
      <w:divBdr>
        <w:top w:val="none" w:sz="0" w:space="0" w:color="auto"/>
        <w:left w:val="none" w:sz="0" w:space="0" w:color="auto"/>
        <w:bottom w:val="none" w:sz="0" w:space="0" w:color="auto"/>
        <w:right w:val="none" w:sz="0" w:space="0" w:color="auto"/>
      </w:divBdr>
    </w:div>
    <w:div w:id="1593201248">
      <w:bodyDiv w:val="1"/>
      <w:marLeft w:val="0"/>
      <w:marRight w:val="0"/>
      <w:marTop w:val="0"/>
      <w:marBottom w:val="0"/>
      <w:divBdr>
        <w:top w:val="none" w:sz="0" w:space="0" w:color="auto"/>
        <w:left w:val="none" w:sz="0" w:space="0" w:color="auto"/>
        <w:bottom w:val="none" w:sz="0" w:space="0" w:color="auto"/>
        <w:right w:val="none" w:sz="0" w:space="0" w:color="auto"/>
      </w:divBdr>
    </w:div>
    <w:div w:id="1593320208">
      <w:bodyDiv w:val="1"/>
      <w:marLeft w:val="0"/>
      <w:marRight w:val="0"/>
      <w:marTop w:val="0"/>
      <w:marBottom w:val="0"/>
      <w:divBdr>
        <w:top w:val="none" w:sz="0" w:space="0" w:color="auto"/>
        <w:left w:val="none" w:sz="0" w:space="0" w:color="auto"/>
        <w:bottom w:val="none" w:sz="0" w:space="0" w:color="auto"/>
        <w:right w:val="none" w:sz="0" w:space="0" w:color="auto"/>
      </w:divBdr>
    </w:div>
    <w:div w:id="1594318051">
      <w:bodyDiv w:val="1"/>
      <w:marLeft w:val="0"/>
      <w:marRight w:val="0"/>
      <w:marTop w:val="0"/>
      <w:marBottom w:val="0"/>
      <w:divBdr>
        <w:top w:val="none" w:sz="0" w:space="0" w:color="auto"/>
        <w:left w:val="none" w:sz="0" w:space="0" w:color="auto"/>
        <w:bottom w:val="none" w:sz="0" w:space="0" w:color="auto"/>
        <w:right w:val="none" w:sz="0" w:space="0" w:color="auto"/>
      </w:divBdr>
    </w:div>
    <w:div w:id="1594360348">
      <w:bodyDiv w:val="1"/>
      <w:marLeft w:val="0"/>
      <w:marRight w:val="0"/>
      <w:marTop w:val="0"/>
      <w:marBottom w:val="0"/>
      <w:divBdr>
        <w:top w:val="none" w:sz="0" w:space="0" w:color="auto"/>
        <w:left w:val="none" w:sz="0" w:space="0" w:color="auto"/>
        <w:bottom w:val="none" w:sz="0" w:space="0" w:color="auto"/>
        <w:right w:val="none" w:sz="0" w:space="0" w:color="auto"/>
      </w:divBdr>
    </w:div>
    <w:div w:id="1594701614">
      <w:bodyDiv w:val="1"/>
      <w:marLeft w:val="0"/>
      <w:marRight w:val="0"/>
      <w:marTop w:val="0"/>
      <w:marBottom w:val="0"/>
      <w:divBdr>
        <w:top w:val="none" w:sz="0" w:space="0" w:color="auto"/>
        <w:left w:val="none" w:sz="0" w:space="0" w:color="auto"/>
        <w:bottom w:val="none" w:sz="0" w:space="0" w:color="auto"/>
        <w:right w:val="none" w:sz="0" w:space="0" w:color="auto"/>
      </w:divBdr>
    </w:div>
    <w:div w:id="1595239875">
      <w:bodyDiv w:val="1"/>
      <w:marLeft w:val="0"/>
      <w:marRight w:val="0"/>
      <w:marTop w:val="0"/>
      <w:marBottom w:val="0"/>
      <w:divBdr>
        <w:top w:val="none" w:sz="0" w:space="0" w:color="auto"/>
        <w:left w:val="none" w:sz="0" w:space="0" w:color="auto"/>
        <w:bottom w:val="none" w:sz="0" w:space="0" w:color="auto"/>
        <w:right w:val="none" w:sz="0" w:space="0" w:color="auto"/>
      </w:divBdr>
    </w:div>
    <w:div w:id="1595627904">
      <w:bodyDiv w:val="1"/>
      <w:marLeft w:val="0"/>
      <w:marRight w:val="0"/>
      <w:marTop w:val="0"/>
      <w:marBottom w:val="0"/>
      <w:divBdr>
        <w:top w:val="none" w:sz="0" w:space="0" w:color="auto"/>
        <w:left w:val="none" w:sz="0" w:space="0" w:color="auto"/>
        <w:bottom w:val="none" w:sz="0" w:space="0" w:color="auto"/>
        <w:right w:val="none" w:sz="0" w:space="0" w:color="auto"/>
      </w:divBdr>
    </w:div>
    <w:div w:id="1595940619">
      <w:bodyDiv w:val="1"/>
      <w:marLeft w:val="0"/>
      <w:marRight w:val="0"/>
      <w:marTop w:val="0"/>
      <w:marBottom w:val="0"/>
      <w:divBdr>
        <w:top w:val="none" w:sz="0" w:space="0" w:color="auto"/>
        <w:left w:val="none" w:sz="0" w:space="0" w:color="auto"/>
        <w:bottom w:val="none" w:sz="0" w:space="0" w:color="auto"/>
        <w:right w:val="none" w:sz="0" w:space="0" w:color="auto"/>
      </w:divBdr>
    </w:div>
    <w:div w:id="1596087873">
      <w:bodyDiv w:val="1"/>
      <w:marLeft w:val="0"/>
      <w:marRight w:val="0"/>
      <w:marTop w:val="0"/>
      <w:marBottom w:val="0"/>
      <w:divBdr>
        <w:top w:val="none" w:sz="0" w:space="0" w:color="auto"/>
        <w:left w:val="none" w:sz="0" w:space="0" w:color="auto"/>
        <w:bottom w:val="none" w:sz="0" w:space="0" w:color="auto"/>
        <w:right w:val="none" w:sz="0" w:space="0" w:color="auto"/>
      </w:divBdr>
    </w:div>
    <w:div w:id="1596552377">
      <w:bodyDiv w:val="1"/>
      <w:marLeft w:val="0"/>
      <w:marRight w:val="0"/>
      <w:marTop w:val="0"/>
      <w:marBottom w:val="0"/>
      <w:divBdr>
        <w:top w:val="none" w:sz="0" w:space="0" w:color="auto"/>
        <w:left w:val="none" w:sz="0" w:space="0" w:color="auto"/>
        <w:bottom w:val="none" w:sz="0" w:space="0" w:color="auto"/>
        <w:right w:val="none" w:sz="0" w:space="0" w:color="auto"/>
      </w:divBdr>
    </w:div>
    <w:div w:id="1596789216">
      <w:bodyDiv w:val="1"/>
      <w:marLeft w:val="0"/>
      <w:marRight w:val="0"/>
      <w:marTop w:val="0"/>
      <w:marBottom w:val="0"/>
      <w:divBdr>
        <w:top w:val="none" w:sz="0" w:space="0" w:color="auto"/>
        <w:left w:val="none" w:sz="0" w:space="0" w:color="auto"/>
        <w:bottom w:val="none" w:sz="0" w:space="0" w:color="auto"/>
        <w:right w:val="none" w:sz="0" w:space="0" w:color="auto"/>
      </w:divBdr>
    </w:div>
    <w:div w:id="1597440453">
      <w:bodyDiv w:val="1"/>
      <w:marLeft w:val="0"/>
      <w:marRight w:val="0"/>
      <w:marTop w:val="0"/>
      <w:marBottom w:val="0"/>
      <w:divBdr>
        <w:top w:val="none" w:sz="0" w:space="0" w:color="auto"/>
        <w:left w:val="none" w:sz="0" w:space="0" w:color="auto"/>
        <w:bottom w:val="none" w:sz="0" w:space="0" w:color="auto"/>
        <w:right w:val="none" w:sz="0" w:space="0" w:color="auto"/>
      </w:divBdr>
    </w:div>
    <w:div w:id="1597518014">
      <w:bodyDiv w:val="1"/>
      <w:marLeft w:val="0"/>
      <w:marRight w:val="0"/>
      <w:marTop w:val="0"/>
      <w:marBottom w:val="0"/>
      <w:divBdr>
        <w:top w:val="none" w:sz="0" w:space="0" w:color="auto"/>
        <w:left w:val="none" w:sz="0" w:space="0" w:color="auto"/>
        <w:bottom w:val="none" w:sz="0" w:space="0" w:color="auto"/>
        <w:right w:val="none" w:sz="0" w:space="0" w:color="auto"/>
      </w:divBdr>
    </w:div>
    <w:div w:id="1597714619">
      <w:bodyDiv w:val="1"/>
      <w:marLeft w:val="0"/>
      <w:marRight w:val="0"/>
      <w:marTop w:val="0"/>
      <w:marBottom w:val="0"/>
      <w:divBdr>
        <w:top w:val="none" w:sz="0" w:space="0" w:color="auto"/>
        <w:left w:val="none" w:sz="0" w:space="0" w:color="auto"/>
        <w:bottom w:val="none" w:sz="0" w:space="0" w:color="auto"/>
        <w:right w:val="none" w:sz="0" w:space="0" w:color="auto"/>
      </w:divBdr>
    </w:div>
    <w:div w:id="1597905757">
      <w:bodyDiv w:val="1"/>
      <w:marLeft w:val="0"/>
      <w:marRight w:val="0"/>
      <w:marTop w:val="0"/>
      <w:marBottom w:val="0"/>
      <w:divBdr>
        <w:top w:val="none" w:sz="0" w:space="0" w:color="auto"/>
        <w:left w:val="none" w:sz="0" w:space="0" w:color="auto"/>
        <w:bottom w:val="none" w:sz="0" w:space="0" w:color="auto"/>
        <w:right w:val="none" w:sz="0" w:space="0" w:color="auto"/>
      </w:divBdr>
    </w:div>
    <w:div w:id="1597977085">
      <w:bodyDiv w:val="1"/>
      <w:marLeft w:val="0"/>
      <w:marRight w:val="0"/>
      <w:marTop w:val="0"/>
      <w:marBottom w:val="0"/>
      <w:divBdr>
        <w:top w:val="none" w:sz="0" w:space="0" w:color="auto"/>
        <w:left w:val="none" w:sz="0" w:space="0" w:color="auto"/>
        <w:bottom w:val="none" w:sz="0" w:space="0" w:color="auto"/>
        <w:right w:val="none" w:sz="0" w:space="0" w:color="auto"/>
      </w:divBdr>
    </w:div>
    <w:div w:id="1598439500">
      <w:bodyDiv w:val="1"/>
      <w:marLeft w:val="0"/>
      <w:marRight w:val="0"/>
      <w:marTop w:val="0"/>
      <w:marBottom w:val="0"/>
      <w:divBdr>
        <w:top w:val="none" w:sz="0" w:space="0" w:color="auto"/>
        <w:left w:val="none" w:sz="0" w:space="0" w:color="auto"/>
        <w:bottom w:val="none" w:sz="0" w:space="0" w:color="auto"/>
        <w:right w:val="none" w:sz="0" w:space="0" w:color="auto"/>
      </w:divBdr>
    </w:div>
    <w:div w:id="1598637052">
      <w:bodyDiv w:val="1"/>
      <w:marLeft w:val="0"/>
      <w:marRight w:val="0"/>
      <w:marTop w:val="0"/>
      <w:marBottom w:val="0"/>
      <w:divBdr>
        <w:top w:val="none" w:sz="0" w:space="0" w:color="auto"/>
        <w:left w:val="none" w:sz="0" w:space="0" w:color="auto"/>
        <w:bottom w:val="none" w:sz="0" w:space="0" w:color="auto"/>
        <w:right w:val="none" w:sz="0" w:space="0" w:color="auto"/>
      </w:divBdr>
    </w:div>
    <w:div w:id="1598829366">
      <w:bodyDiv w:val="1"/>
      <w:marLeft w:val="0"/>
      <w:marRight w:val="0"/>
      <w:marTop w:val="0"/>
      <w:marBottom w:val="0"/>
      <w:divBdr>
        <w:top w:val="none" w:sz="0" w:space="0" w:color="auto"/>
        <w:left w:val="none" w:sz="0" w:space="0" w:color="auto"/>
        <w:bottom w:val="none" w:sz="0" w:space="0" w:color="auto"/>
        <w:right w:val="none" w:sz="0" w:space="0" w:color="auto"/>
      </w:divBdr>
    </w:div>
    <w:div w:id="1599171513">
      <w:bodyDiv w:val="1"/>
      <w:marLeft w:val="0"/>
      <w:marRight w:val="0"/>
      <w:marTop w:val="0"/>
      <w:marBottom w:val="0"/>
      <w:divBdr>
        <w:top w:val="none" w:sz="0" w:space="0" w:color="auto"/>
        <w:left w:val="none" w:sz="0" w:space="0" w:color="auto"/>
        <w:bottom w:val="none" w:sz="0" w:space="0" w:color="auto"/>
        <w:right w:val="none" w:sz="0" w:space="0" w:color="auto"/>
      </w:divBdr>
    </w:div>
    <w:div w:id="1599411919">
      <w:bodyDiv w:val="1"/>
      <w:marLeft w:val="0"/>
      <w:marRight w:val="0"/>
      <w:marTop w:val="0"/>
      <w:marBottom w:val="0"/>
      <w:divBdr>
        <w:top w:val="none" w:sz="0" w:space="0" w:color="auto"/>
        <w:left w:val="none" w:sz="0" w:space="0" w:color="auto"/>
        <w:bottom w:val="none" w:sz="0" w:space="0" w:color="auto"/>
        <w:right w:val="none" w:sz="0" w:space="0" w:color="auto"/>
      </w:divBdr>
    </w:div>
    <w:div w:id="1599558283">
      <w:bodyDiv w:val="1"/>
      <w:marLeft w:val="0"/>
      <w:marRight w:val="0"/>
      <w:marTop w:val="0"/>
      <w:marBottom w:val="0"/>
      <w:divBdr>
        <w:top w:val="none" w:sz="0" w:space="0" w:color="auto"/>
        <w:left w:val="none" w:sz="0" w:space="0" w:color="auto"/>
        <w:bottom w:val="none" w:sz="0" w:space="0" w:color="auto"/>
        <w:right w:val="none" w:sz="0" w:space="0" w:color="auto"/>
      </w:divBdr>
    </w:div>
    <w:div w:id="1599823286">
      <w:bodyDiv w:val="1"/>
      <w:marLeft w:val="0"/>
      <w:marRight w:val="0"/>
      <w:marTop w:val="0"/>
      <w:marBottom w:val="0"/>
      <w:divBdr>
        <w:top w:val="none" w:sz="0" w:space="0" w:color="auto"/>
        <w:left w:val="none" w:sz="0" w:space="0" w:color="auto"/>
        <w:bottom w:val="none" w:sz="0" w:space="0" w:color="auto"/>
        <w:right w:val="none" w:sz="0" w:space="0" w:color="auto"/>
      </w:divBdr>
    </w:div>
    <w:div w:id="1601135001">
      <w:bodyDiv w:val="1"/>
      <w:marLeft w:val="0"/>
      <w:marRight w:val="0"/>
      <w:marTop w:val="0"/>
      <w:marBottom w:val="0"/>
      <w:divBdr>
        <w:top w:val="none" w:sz="0" w:space="0" w:color="auto"/>
        <w:left w:val="none" w:sz="0" w:space="0" w:color="auto"/>
        <w:bottom w:val="none" w:sz="0" w:space="0" w:color="auto"/>
        <w:right w:val="none" w:sz="0" w:space="0" w:color="auto"/>
      </w:divBdr>
    </w:div>
    <w:div w:id="1601335471">
      <w:bodyDiv w:val="1"/>
      <w:marLeft w:val="0"/>
      <w:marRight w:val="0"/>
      <w:marTop w:val="0"/>
      <w:marBottom w:val="0"/>
      <w:divBdr>
        <w:top w:val="none" w:sz="0" w:space="0" w:color="auto"/>
        <w:left w:val="none" w:sz="0" w:space="0" w:color="auto"/>
        <w:bottom w:val="none" w:sz="0" w:space="0" w:color="auto"/>
        <w:right w:val="none" w:sz="0" w:space="0" w:color="auto"/>
      </w:divBdr>
    </w:div>
    <w:div w:id="1601912196">
      <w:bodyDiv w:val="1"/>
      <w:marLeft w:val="0"/>
      <w:marRight w:val="0"/>
      <w:marTop w:val="0"/>
      <w:marBottom w:val="0"/>
      <w:divBdr>
        <w:top w:val="none" w:sz="0" w:space="0" w:color="auto"/>
        <w:left w:val="none" w:sz="0" w:space="0" w:color="auto"/>
        <w:bottom w:val="none" w:sz="0" w:space="0" w:color="auto"/>
        <w:right w:val="none" w:sz="0" w:space="0" w:color="auto"/>
      </w:divBdr>
    </w:div>
    <w:div w:id="1602688539">
      <w:bodyDiv w:val="1"/>
      <w:marLeft w:val="0"/>
      <w:marRight w:val="0"/>
      <w:marTop w:val="0"/>
      <w:marBottom w:val="0"/>
      <w:divBdr>
        <w:top w:val="none" w:sz="0" w:space="0" w:color="auto"/>
        <w:left w:val="none" w:sz="0" w:space="0" w:color="auto"/>
        <w:bottom w:val="none" w:sz="0" w:space="0" w:color="auto"/>
        <w:right w:val="none" w:sz="0" w:space="0" w:color="auto"/>
      </w:divBdr>
    </w:div>
    <w:div w:id="1602834973">
      <w:bodyDiv w:val="1"/>
      <w:marLeft w:val="0"/>
      <w:marRight w:val="0"/>
      <w:marTop w:val="0"/>
      <w:marBottom w:val="0"/>
      <w:divBdr>
        <w:top w:val="none" w:sz="0" w:space="0" w:color="auto"/>
        <w:left w:val="none" w:sz="0" w:space="0" w:color="auto"/>
        <w:bottom w:val="none" w:sz="0" w:space="0" w:color="auto"/>
        <w:right w:val="none" w:sz="0" w:space="0" w:color="auto"/>
      </w:divBdr>
    </w:div>
    <w:div w:id="1603294454">
      <w:bodyDiv w:val="1"/>
      <w:marLeft w:val="0"/>
      <w:marRight w:val="0"/>
      <w:marTop w:val="0"/>
      <w:marBottom w:val="0"/>
      <w:divBdr>
        <w:top w:val="none" w:sz="0" w:space="0" w:color="auto"/>
        <w:left w:val="none" w:sz="0" w:space="0" w:color="auto"/>
        <w:bottom w:val="none" w:sz="0" w:space="0" w:color="auto"/>
        <w:right w:val="none" w:sz="0" w:space="0" w:color="auto"/>
      </w:divBdr>
    </w:div>
    <w:div w:id="1603879457">
      <w:bodyDiv w:val="1"/>
      <w:marLeft w:val="0"/>
      <w:marRight w:val="0"/>
      <w:marTop w:val="0"/>
      <w:marBottom w:val="0"/>
      <w:divBdr>
        <w:top w:val="none" w:sz="0" w:space="0" w:color="auto"/>
        <w:left w:val="none" w:sz="0" w:space="0" w:color="auto"/>
        <w:bottom w:val="none" w:sz="0" w:space="0" w:color="auto"/>
        <w:right w:val="none" w:sz="0" w:space="0" w:color="auto"/>
      </w:divBdr>
    </w:div>
    <w:div w:id="1604535188">
      <w:bodyDiv w:val="1"/>
      <w:marLeft w:val="0"/>
      <w:marRight w:val="0"/>
      <w:marTop w:val="0"/>
      <w:marBottom w:val="0"/>
      <w:divBdr>
        <w:top w:val="none" w:sz="0" w:space="0" w:color="auto"/>
        <w:left w:val="none" w:sz="0" w:space="0" w:color="auto"/>
        <w:bottom w:val="none" w:sz="0" w:space="0" w:color="auto"/>
        <w:right w:val="none" w:sz="0" w:space="0" w:color="auto"/>
      </w:divBdr>
    </w:div>
    <w:div w:id="1604730096">
      <w:bodyDiv w:val="1"/>
      <w:marLeft w:val="0"/>
      <w:marRight w:val="0"/>
      <w:marTop w:val="0"/>
      <w:marBottom w:val="0"/>
      <w:divBdr>
        <w:top w:val="none" w:sz="0" w:space="0" w:color="auto"/>
        <w:left w:val="none" w:sz="0" w:space="0" w:color="auto"/>
        <w:bottom w:val="none" w:sz="0" w:space="0" w:color="auto"/>
        <w:right w:val="none" w:sz="0" w:space="0" w:color="auto"/>
      </w:divBdr>
    </w:div>
    <w:div w:id="1607691879">
      <w:bodyDiv w:val="1"/>
      <w:marLeft w:val="0"/>
      <w:marRight w:val="0"/>
      <w:marTop w:val="0"/>
      <w:marBottom w:val="0"/>
      <w:divBdr>
        <w:top w:val="none" w:sz="0" w:space="0" w:color="auto"/>
        <w:left w:val="none" w:sz="0" w:space="0" w:color="auto"/>
        <w:bottom w:val="none" w:sz="0" w:space="0" w:color="auto"/>
        <w:right w:val="none" w:sz="0" w:space="0" w:color="auto"/>
      </w:divBdr>
    </w:div>
    <w:div w:id="1607731288">
      <w:bodyDiv w:val="1"/>
      <w:marLeft w:val="0"/>
      <w:marRight w:val="0"/>
      <w:marTop w:val="0"/>
      <w:marBottom w:val="0"/>
      <w:divBdr>
        <w:top w:val="none" w:sz="0" w:space="0" w:color="auto"/>
        <w:left w:val="none" w:sz="0" w:space="0" w:color="auto"/>
        <w:bottom w:val="none" w:sz="0" w:space="0" w:color="auto"/>
        <w:right w:val="none" w:sz="0" w:space="0" w:color="auto"/>
      </w:divBdr>
    </w:div>
    <w:div w:id="1608342949">
      <w:bodyDiv w:val="1"/>
      <w:marLeft w:val="0"/>
      <w:marRight w:val="0"/>
      <w:marTop w:val="0"/>
      <w:marBottom w:val="0"/>
      <w:divBdr>
        <w:top w:val="none" w:sz="0" w:space="0" w:color="auto"/>
        <w:left w:val="none" w:sz="0" w:space="0" w:color="auto"/>
        <w:bottom w:val="none" w:sz="0" w:space="0" w:color="auto"/>
        <w:right w:val="none" w:sz="0" w:space="0" w:color="auto"/>
      </w:divBdr>
    </w:div>
    <w:div w:id="1608543039">
      <w:bodyDiv w:val="1"/>
      <w:marLeft w:val="0"/>
      <w:marRight w:val="0"/>
      <w:marTop w:val="0"/>
      <w:marBottom w:val="0"/>
      <w:divBdr>
        <w:top w:val="none" w:sz="0" w:space="0" w:color="auto"/>
        <w:left w:val="none" w:sz="0" w:space="0" w:color="auto"/>
        <w:bottom w:val="none" w:sz="0" w:space="0" w:color="auto"/>
        <w:right w:val="none" w:sz="0" w:space="0" w:color="auto"/>
      </w:divBdr>
    </w:div>
    <w:div w:id="1608610738">
      <w:bodyDiv w:val="1"/>
      <w:marLeft w:val="0"/>
      <w:marRight w:val="0"/>
      <w:marTop w:val="0"/>
      <w:marBottom w:val="0"/>
      <w:divBdr>
        <w:top w:val="none" w:sz="0" w:space="0" w:color="auto"/>
        <w:left w:val="none" w:sz="0" w:space="0" w:color="auto"/>
        <w:bottom w:val="none" w:sz="0" w:space="0" w:color="auto"/>
        <w:right w:val="none" w:sz="0" w:space="0" w:color="auto"/>
      </w:divBdr>
    </w:div>
    <w:div w:id="1608929346">
      <w:bodyDiv w:val="1"/>
      <w:marLeft w:val="0"/>
      <w:marRight w:val="0"/>
      <w:marTop w:val="0"/>
      <w:marBottom w:val="0"/>
      <w:divBdr>
        <w:top w:val="none" w:sz="0" w:space="0" w:color="auto"/>
        <w:left w:val="none" w:sz="0" w:space="0" w:color="auto"/>
        <w:bottom w:val="none" w:sz="0" w:space="0" w:color="auto"/>
        <w:right w:val="none" w:sz="0" w:space="0" w:color="auto"/>
      </w:divBdr>
    </w:div>
    <w:div w:id="1609241429">
      <w:bodyDiv w:val="1"/>
      <w:marLeft w:val="0"/>
      <w:marRight w:val="0"/>
      <w:marTop w:val="0"/>
      <w:marBottom w:val="0"/>
      <w:divBdr>
        <w:top w:val="none" w:sz="0" w:space="0" w:color="auto"/>
        <w:left w:val="none" w:sz="0" w:space="0" w:color="auto"/>
        <w:bottom w:val="none" w:sz="0" w:space="0" w:color="auto"/>
        <w:right w:val="none" w:sz="0" w:space="0" w:color="auto"/>
      </w:divBdr>
    </w:div>
    <w:div w:id="1609505630">
      <w:bodyDiv w:val="1"/>
      <w:marLeft w:val="0"/>
      <w:marRight w:val="0"/>
      <w:marTop w:val="0"/>
      <w:marBottom w:val="0"/>
      <w:divBdr>
        <w:top w:val="none" w:sz="0" w:space="0" w:color="auto"/>
        <w:left w:val="none" w:sz="0" w:space="0" w:color="auto"/>
        <w:bottom w:val="none" w:sz="0" w:space="0" w:color="auto"/>
        <w:right w:val="none" w:sz="0" w:space="0" w:color="auto"/>
      </w:divBdr>
    </w:div>
    <w:div w:id="1610157461">
      <w:bodyDiv w:val="1"/>
      <w:marLeft w:val="0"/>
      <w:marRight w:val="0"/>
      <w:marTop w:val="0"/>
      <w:marBottom w:val="0"/>
      <w:divBdr>
        <w:top w:val="none" w:sz="0" w:space="0" w:color="auto"/>
        <w:left w:val="none" w:sz="0" w:space="0" w:color="auto"/>
        <w:bottom w:val="none" w:sz="0" w:space="0" w:color="auto"/>
        <w:right w:val="none" w:sz="0" w:space="0" w:color="auto"/>
      </w:divBdr>
    </w:div>
    <w:div w:id="1610702690">
      <w:bodyDiv w:val="1"/>
      <w:marLeft w:val="0"/>
      <w:marRight w:val="0"/>
      <w:marTop w:val="0"/>
      <w:marBottom w:val="0"/>
      <w:divBdr>
        <w:top w:val="none" w:sz="0" w:space="0" w:color="auto"/>
        <w:left w:val="none" w:sz="0" w:space="0" w:color="auto"/>
        <w:bottom w:val="none" w:sz="0" w:space="0" w:color="auto"/>
        <w:right w:val="none" w:sz="0" w:space="0" w:color="auto"/>
      </w:divBdr>
    </w:div>
    <w:div w:id="1610813916">
      <w:bodyDiv w:val="1"/>
      <w:marLeft w:val="0"/>
      <w:marRight w:val="0"/>
      <w:marTop w:val="0"/>
      <w:marBottom w:val="0"/>
      <w:divBdr>
        <w:top w:val="none" w:sz="0" w:space="0" w:color="auto"/>
        <w:left w:val="none" w:sz="0" w:space="0" w:color="auto"/>
        <w:bottom w:val="none" w:sz="0" w:space="0" w:color="auto"/>
        <w:right w:val="none" w:sz="0" w:space="0" w:color="auto"/>
      </w:divBdr>
    </w:div>
    <w:div w:id="1611235022">
      <w:bodyDiv w:val="1"/>
      <w:marLeft w:val="0"/>
      <w:marRight w:val="0"/>
      <w:marTop w:val="0"/>
      <w:marBottom w:val="0"/>
      <w:divBdr>
        <w:top w:val="none" w:sz="0" w:space="0" w:color="auto"/>
        <w:left w:val="none" w:sz="0" w:space="0" w:color="auto"/>
        <w:bottom w:val="none" w:sz="0" w:space="0" w:color="auto"/>
        <w:right w:val="none" w:sz="0" w:space="0" w:color="auto"/>
      </w:divBdr>
    </w:div>
    <w:div w:id="1611815434">
      <w:bodyDiv w:val="1"/>
      <w:marLeft w:val="0"/>
      <w:marRight w:val="0"/>
      <w:marTop w:val="0"/>
      <w:marBottom w:val="0"/>
      <w:divBdr>
        <w:top w:val="none" w:sz="0" w:space="0" w:color="auto"/>
        <w:left w:val="none" w:sz="0" w:space="0" w:color="auto"/>
        <w:bottom w:val="none" w:sz="0" w:space="0" w:color="auto"/>
        <w:right w:val="none" w:sz="0" w:space="0" w:color="auto"/>
      </w:divBdr>
    </w:div>
    <w:div w:id="1611931527">
      <w:bodyDiv w:val="1"/>
      <w:marLeft w:val="0"/>
      <w:marRight w:val="0"/>
      <w:marTop w:val="0"/>
      <w:marBottom w:val="0"/>
      <w:divBdr>
        <w:top w:val="none" w:sz="0" w:space="0" w:color="auto"/>
        <w:left w:val="none" w:sz="0" w:space="0" w:color="auto"/>
        <w:bottom w:val="none" w:sz="0" w:space="0" w:color="auto"/>
        <w:right w:val="none" w:sz="0" w:space="0" w:color="auto"/>
      </w:divBdr>
    </w:div>
    <w:div w:id="1612202321">
      <w:bodyDiv w:val="1"/>
      <w:marLeft w:val="0"/>
      <w:marRight w:val="0"/>
      <w:marTop w:val="0"/>
      <w:marBottom w:val="0"/>
      <w:divBdr>
        <w:top w:val="none" w:sz="0" w:space="0" w:color="auto"/>
        <w:left w:val="none" w:sz="0" w:space="0" w:color="auto"/>
        <w:bottom w:val="none" w:sz="0" w:space="0" w:color="auto"/>
        <w:right w:val="none" w:sz="0" w:space="0" w:color="auto"/>
      </w:divBdr>
    </w:div>
    <w:div w:id="1612399657">
      <w:bodyDiv w:val="1"/>
      <w:marLeft w:val="0"/>
      <w:marRight w:val="0"/>
      <w:marTop w:val="0"/>
      <w:marBottom w:val="0"/>
      <w:divBdr>
        <w:top w:val="none" w:sz="0" w:space="0" w:color="auto"/>
        <w:left w:val="none" w:sz="0" w:space="0" w:color="auto"/>
        <w:bottom w:val="none" w:sz="0" w:space="0" w:color="auto"/>
        <w:right w:val="none" w:sz="0" w:space="0" w:color="auto"/>
      </w:divBdr>
    </w:div>
    <w:div w:id="1612662503">
      <w:bodyDiv w:val="1"/>
      <w:marLeft w:val="0"/>
      <w:marRight w:val="0"/>
      <w:marTop w:val="0"/>
      <w:marBottom w:val="0"/>
      <w:divBdr>
        <w:top w:val="none" w:sz="0" w:space="0" w:color="auto"/>
        <w:left w:val="none" w:sz="0" w:space="0" w:color="auto"/>
        <w:bottom w:val="none" w:sz="0" w:space="0" w:color="auto"/>
        <w:right w:val="none" w:sz="0" w:space="0" w:color="auto"/>
      </w:divBdr>
    </w:div>
    <w:div w:id="1613517359">
      <w:bodyDiv w:val="1"/>
      <w:marLeft w:val="0"/>
      <w:marRight w:val="0"/>
      <w:marTop w:val="0"/>
      <w:marBottom w:val="0"/>
      <w:divBdr>
        <w:top w:val="none" w:sz="0" w:space="0" w:color="auto"/>
        <w:left w:val="none" w:sz="0" w:space="0" w:color="auto"/>
        <w:bottom w:val="none" w:sz="0" w:space="0" w:color="auto"/>
        <w:right w:val="none" w:sz="0" w:space="0" w:color="auto"/>
      </w:divBdr>
    </w:div>
    <w:div w:id="1613660105">
      <w:bodyDiv w:val="1"/>
      <w:marLeft w:val="0"/>
      <w:marRight w:val="0"/>
      <w:marTop w:val="0"/>
      <w:marBottom w:val="0"/>
      <w:divBdr>
        <w:top w:val="none" w:sz="0" w:space="0" w:color="auto"/>
        <w:left w:val="none" w:sz="0" w:space="0" w:color="auto"/>
        <w:bottom w:val="none" w:sz="0" w:space="0" w:color="auto"/>
        <w:right w:val="none" w:sz="0" w:space="0" w:color="auto"/>
      </w:divBdr>
    </w:div>
    <w:div w:id="1614049229">
      <w:bodyDiv w:val="1"/>
      <w:marLeft w:val="0"/>
      <w:marRight w:val="0"/>
      <w:marTop w:val="0"/>
      <w:marBottom w:val="0"/>
      <w:divBdr>
        <w:top w:val="none" w:sz="0" w:space="0" w:color="auto"/>
        <w:left w:val="none" w:sz="0" w:space="0" w:color="auto"/>
        <w:bottom w:val="none" w:sz="0" w:space="0" w:color="auto"/>
        <w:right w:val="none" w:sz="0" w:space="0" w:color="auto"/>
      </w:divBdr>
    </w:div>
    <w:div w:id="1614089453">
      <w:bodyDiv w:val="1"/>
      <w:marLeft w:val="0"/>
      <w:marRight w:val="0"/>
      <w:marTop w:val="0"/>
      <w:marBottom w:val="0"/>
      <w:divBdr>
        <w:top w:val="none" w:sz="0" w:space="0" w:color="auto"/>
        <w:left w:val="none" w:sz="0" w:space="0" w:color="auto"/>
        <w:bottom w:val="none" w:sz="0" w:space="0" w:color="auto"/>
        <w:right w:val="none" w:sz="0" w:space="0" w:color="auto"/>
      </w:divBdr>
    </w:div>
    <w:div w:id="1614091887">
      <w:bodyDiv w:val="1"/>
      <w:marLeft w:val="0"/>
      <w:marRight w:val="0"/>
      <w:marTop w:val="0"/>
      <w:marBottom w:val="0"/>
      <w:divBdr>
        <w:top w:val="none" w:sz="0" w:space="0" w:color="auto"/>
        <w:left w:val="none" w:sz="0" w:space="0" w:color="auto"/>
        <w:bottom w:val="none" w:sz="0" w:space="0" w:color="auto"/>
        <w:right w:val="none" w:sz="0" w:space="0" w:color="auto"/>
      </w:divBdr>
    </w:div>
    <w:div w:id="1614092397">
      <w:bodyDiv w:val="1"/>
      <w:marLeft w:val="0"/>
      <w:marRight w:val="0"/>
      <w:marTop w:val="0"/>
      <w:marBottom w:val="0"/>
      <w:divBdr>
        <w:top w:val="none" w:sz="0" w:space="0" w:color="auto"/>
        <w:left w:val="none" w:sz="0" w:space="0" w:color="auto"/>
        <w:bottom w:val="none" w:sz="0" w:space="0" w:color="auto"/>
        <w:right w:val="none" w:sz="0" w:space="0" w:color="auto"/>
      </w:divBdr>
    </w:div>
    <w:div w:id="1614629556">
      <w:bodyDiv w:val="1"/>
      <w:marLeft w:val="0"/>
      <w:marRight w:val="0"/>
      <w:marTop w:val="0"/>
      <w:marBottom w:val="0"/>
      <w:divBdr>
        <w:top w:val="none" w:sz="0" w:space="0" w:color="auto"/>
        <w:left w:val="none" w:sz="0" w:space="0" w:color="auto"/>
        <w:bottom w:val="none" w:sz="0" w:space="0" w:color="auto"/>
        <w:right w:val="none" w:sz="0" w:space="0" w:color="auto"/>
      </w:divBdr>
    </w:div>
    <w:div w:id="1614748229">
      <w:bodyDiv w:val="1"/>
      <w:marLeft w:val="0"/>
      <w:marRight w:val="0"/>
      <w:marTop w:val="0"/>
      <w:marBottom w:val="0"/>
      <w:divBdr>
        <w:top w:val="none" w:sz="0" w:space="0" w:color="auto"/>
        <w:left w:val="none" w:sz="0" w:space="0" w:color="auto"/>
        <w:bottom w:val="none" w:sz="0" w:space="0" w:color="auto"/>
        <w:right w:val="none" w:sz="0" w:space="0" w:color="auto"/>
      </w:divBdr>
    </w:div>
    <w:div w:id="1614752230">
      <w:bodyDiv w:val="1"/>
      <w:marLeft w:val="0"/>
      <w:marRight w:val="0"/>
      <w:marTop w:val="0"/>
      <w:marBottom w:val="0"/>
      <w:divBdr>
        <w:top w:val="none" w:sz="0" w:space="0" w:color="auto"/>
        <w:left w:val="none" w:sz="0" w:space="0" w:color="auto"/>
        <w:bottom w:val="none" w:sz="0" w:space="0" w:color="auto"/>
        <w:right w:val="none" w:sz="0" w:space="0" w:color="auto"/>
      </w:divBdr>
    </w:div>
    <w:div w:id="1614943645">
      <w:bodyDiv w:val="1"/>
      <w:marLeft w:val="0"/>
      <w:marRight w:val="0"/>
      <w:marTop w:val="0"/>
      <w:marBottom w:val="0"/>
      <w:divBdr>
        <w:top w:val="none" w:sz="0" w:space="0" w:color="auto"/>
        <w:left w:val="none" w:sz="0" w:space="0" w:color="auto"/>
        <w:bottom w:val="none" w:sz="0" w:space="0" w:color="auto"/>
        <w:right w:val="none" w:sz="0" w:space="0" w:color="auto"/>
      </w:divBdr>
    </w:div>
    <w:div w:id="1615015635">
      <w:bodyDiv w:val="1"/>
      <w:marLeft w:val="0"/>
      <w:marRight w:val="0"/>
      <w:marTop w:val="0"/>
      <w:marBottom w:val="0"/>
      <w:divBdr>
        <w:top w:val="none" w:sz="0" w:space="0" w:color="auto"/>
        <w:left w:val="none" w:sz="0" w:space="0" w:color="auto"/>
        <w:bottom w:val="none" w:sz="0" w:space="0" w:color="auto"/>
        <w:right w:val="none" w:sz="0" w:space="0" w:color="auto"/>
      </w:divBdr>
    </w:div>
    <w:div w:id="1615211640">
      <w:bodyDiv w:val="1"/>
      <w:marLeft w:val="0"/>
      <w:marRight w:val="0"/>
      <w:marTop w:val="0"/>
      <w:marBottom w:val="0"/>
      <w:divBdr>
        <w:top w:val="none" w:sz="0" w:space="0" w:color="auto"/>
        <w:left w:val="none" w:sz="0" w:space="0" w:color="auto"/>
        <w:bottom w:val="none" w:sz="0" w:space="0" w:color="auto"/>
        <w:right w:val="none" w:sz="0" w:space="0" w:color="auto"/>
      </w:divBdr>
    </w:div>
    <w:div w:id="1615402861">
      <w:bodyDiv w:val="1"/>
      <w:marLeft w:val="0"/>
      <w:marRight w:val="0"/>
      <w:marTop w:val="0"/>
      <w:marBottom w:val="0"/>
      <w:divBdr>
        <w:top w:val="none" w:sz="0" w:space="0" w:color="auto"/>
        <w:left w:val="none" w:sz="0" w:space="0" w:color="auto"/>
        <w:bottom w:val="none" w:sz="0" w:space="0" w:color="auto"/>
        <w:right w:val="none" w:sz="0" w:space="0" w:color="auto"/>
      </w:divBdr>
    </w:div>
    <w:div w:id="1615553410">
      <w:bodyDiv w:val="1"/>
      <w:marLeft w:val="0"/>
      <w:marRight w:val="0"/>
      <w:marTop w:val="0"/>
      <w:marBottom w:val="0"/>
      <w:divBdr>
        <w:top w:val="none" w:sz="0" w:space="0" w:color="auto"/>
        <w:left w:val="none" w:sz="0" w:space="0" w:color="auto"/>
        <w:bottom w:val="none" w:sz="0" w:space="0" w:color="auto"/>
        <w:right w:val="none" w:sz="0" w:space="0" w:color="auto"/>
      </w:divBdr>
    </w:div>
    <w:div w:id="1615862894">
      <w:bodyDiv w:val="1"/>
      <w:marLeft w:val="0"/>
      <w:marRight w:val="0"/>
      <w:marTop w:val="0"/>
      <w:marBottom w:val="0"/>
      <w:divBdr>
        <w:top w:val="none" w:sz="0" w:space="0" w:color="auto"/>
        <w:left w:val="none" w:sz="0" w:space="0" w:color="auto"/>
        <w:bottom w:val="none" w:sz="0" w:space="0" w:color="auto"/>
        <w:right w:val="none" w:sz="0" w:space="0" w:color="auto"/>
      </w:divBdr>
    </w:div>
    <w:div w:id="1616135157">
      <w:bodyDiv w:val="1"/>
      <w:marLeft w:val="0"/>
      <w:marRight w:val="0"/>
      <w:marTop w:val="0"/>
      <w:marBottom w:val="0"/>
      <w:divBdr>
        <w:top w:val="none" w:sz="0" w:space="0" w:color="auto"/>
        <w:left w:val="none" w:sz="0" w:space="0" w:color="auto"/>
        <w:bottom w:val="none" w:sz="0" w:space="0" w:color="auto"/>
        <w:right w:val="none" w:sz="0" w:space="0" w:color="auto"/>
      </w:divBdr>
    </w:div>
    <w:div w:id="1616402749">
      <w:bodyDiv w:val="1"/>
      <w:marLeft w:val="0"/>
      <w:marRight w:val="0"/>
      <w:marTop w:val="0"/>
      <w:marBottom w:val="0"/>
      <w:divBdr>
        <w:top w:val="none" w:sz="0" w:space="0" w:color="auto"/>
        <w:left w:val="none" w:sz="0" w:space="0" w:color="auto"/>
        <w:bottom w:val="none" w:sz="0" w:space="0" w:color="auto"/>
        <w:right w:val="none" w:sz="0" w:space="0" w:color="auto"/>
      </w:divBdr>
    </w:div>
    <w:div w:id="1616594952">
      <w:bodyDiv w:val="1"/>
      <w:marLeft w:val="0"/>
      <w:marRight w:val="0"/>
      <w:marTop w:val="0"/>
      <w:marBottom w:val="0"/>
      <w:divBdr>
        <w:top w:val="none" w:sz="0" w:space="0" w:color="auto"/>
        <w:left w:val="none" w:sz="0" w:space="0" w:color="auto"/>
        <w:bottom w:val="none" w:sz="0" w:space="0" w:color="auto"/>
        <w:right w:val="none" w:sz="0" w:space="0" w:color="auto"/>
      </w:divBdr>
    </w:div>
    <w:div w:id="1616712261">
      <w:bodyDiv w:val="1"/>
      <w:marLeft w:val="0"/>
      <w:marRight w:val="0"/>
      <w:marTop w:val="0"/>
      <w:marBottom w:val="0"/>
      <w:divBdr>
        <w:top w:val="none" w:sz="0" w:space="0" w:color="auto"/>
        <w:left w:val="none" w:sz="0" w:space="0" w:color="auto"/>
        <w:bottom w:val="none" w:sz="0" w:space="0" w:color="auto"/>
        <w:right w:val="none" w:sz="0" w:space="0" w:color="auto"/>
      </w:divBdr>
    </w:div>
    <w:div w:id="1617058060">
      <w:bodyDiv w:val="1"/>
      <w:marLeft w:val="0"/>
      <w:marRight w:val="0"/>
      <w:marTop w:val="0"/>
      <w:marBottom w:val="0"/>
      <w:divBdr>
        <w:top w:val="none" w:sz="0" w:space="0" w:color="auto"/>
        <w:left w:val="none" w:sz="0" w:space="0" w:color="auto"/>
        <w:bottom w:val="none" w:sz="0" w:space="0" w:color="auto"/>
        <w:right w:val="none" w:sz="0" w:space="0" w:color="auto"/>
      </w:divBdr>
    </w:div>
    <w:div w:id="1617173745">
      <w:bodyDiv w:val="1"/>
      <w:marLeft w:val="0"/>
      <w:marRight w:val="0"/>
      <w:marTop w:val="0"/>
      <w:marBottom w:val="0"/>
      <w:divBdr>
        <w:top w:val="none" w:sz="0" w:space="0" w:color="auto"/>
        <w:left w:val="none" w:sz="0" w:space="0" w:color="auto"/>
        <w:bottom w:val="none" w:sz="0" w:space="0" w:color="auto"/>
        <w:right w:val="none" w:sz="0" w:space="0" w:color="auto"/>
      </w:divBdr>
    </w:div>
    <w:div w:id="1617714979">
      <w:bodyDiv w:val="1"/>
      <w:marLeft w:val="0"/>
      <w:marRight w:val="0"/>
      <w:marTop w:val="0"/>
      <w:marBottom w:val="0"/>
      <w:divBdr>
        <w:top w:val="none" w:sz="0" w:space="0" w:color="auto"/>
        <w:left w:val="none" w:sz="0" w:space="0" w:color="auto"/>
        <w:bottom w:val="none" w:sz="0" w:space="0" w:color="auto"/>
        <w:right w:val="none" w:sz="0" w:space="0" w:color="auto"/>
      </w:divBdr>
    </w:div>
    <w:div w:id="1617904502">
      <w:bodyDiv w:val="1"/>
      <w:marLeft w:val="0"/>
      <w:marRight w:val="0"/>
      <w:marTop w:val="0"/>
      <w:marBottom w:val="0"/>
      <w:divBdr>
        <w:top w:val="none" w:sz="0" w:space="0" w:color="auto"/>
        <w:left w:val="none" w:sz="0" w:space="0" w:color="auto"/>
        <w:bottom w:val="none" w:sz="0" w:space="0" w:color="auto"/>
        <w:right w:val="none" w:sz="0" w:space="0" w:color="auto"/>
      </w:divBdr>
    </w:div>
    <w:div w:id="1618026023">
      <w:bodyDiv w:val="1"/>
      <w:marLeft w:val="0"/>
      <w:marRight w:val="0"/>
      <w:marTop w:val="0"/>
      <w:marBottom w:val="0"/>
      <w:divBdr>
        <w:top w:val="none" w:sz="0" w:space="0" w:color="auto"/>
        <w:left w:val="none" w:sz="0" w:space="0" w:color="auto"/>
        <w:bottom w:val="none" w:sz="0" w:space="0" w:color="auto"/>
        <w:right w:val="none" w:sz="0" w:space="0" w:color="auto"/>
      </w:divBdr>
    </w:div>
    <w:div w:id="1618292263">
      <w:bodyDiv w:val="1"/>
      <w:marLeft w:val="0"/>
      <w:marRight w:val="0"/>
      <w:marTop w:val="0"/>
      <w:marBottom w:val="0"/>
      <w:divBdr>
        <w:top w:val="none" w:sz="0" w:space="0" w:color="auto"/>
        <w:left w:val="none" w:sz="0" w:space="0" w:color="auto"/>
        <w:bottom w:val="none" w:sz="0" w:space="0" w:color="auto"/>
        <w:right w:val="none" w:sz="0" w:space="0" w:color="auto"/>
      </w:divBdr>
    </w:div>
    <w:div w:id="1618679612">
      <w:bodyDiv w:val="1"/>
      <w:marLeft w:val="0"/>
      <w:marRight w:val="0"/>
      <w:marTop w:val="0"/>
      <w:marBottom w:val="0"/>
      <w:divBdr>
        <w:top w:val="none" w:sz="0" w:space="0" w:color="auto"/>
        <w:left w:val="none" w:sz="0" w:space="0" w:color="auto"/>
        <w:bottom w:val="none" w:sz="0" w:space="0" w:color="auto"/>
        <w:right w:val="none" w:sz="0" w:space="0" w:color="auto"/>
      </w:divBdr>
    </w:div>
    <w:div w:id="1619095681">
      <w:bodyDiv w:val="1"/>
      <w:marLeft w:val="0"/>
      <w:marRight w:val="0"/>
      <w:marTop w:val="0"/>
      <w:marBottom w:val="0"/>
      <w:divBdr>
        <w:top w:val="none" w:sz="0" w:space="0" w:color="auto"/>
        <w:left w:val="none" w:sz="0" w:space="0" w:color="auto"/>
        <w:bottom w:val="none" w:sz="0" w:space="0" w:color="auto"/>
        <w:right w:val="none" w:sz="0" w:space="0" w:color="auto"/>
      </w:divBdr>
    </w:div>
    <w:div w:id="1619410969">
      <w:bodyDiv w:val="1"/>
      <w:marLeft w:val="0"/>
      <w:marRight w:val="0"/>
      <w:marTop w:val="0"/>
      <w:marBottom w:val="0"/>
      <w:divBdr>
        <w:top w:val="none" w:sz="0" w:space="0" w:color="auto"/>
        <w:left w:val="none" w:sz="0" w:space="0" w:color="auto"/>
        <w:bottom w:val="none" w:sz="0" w:space="0" w:color="auto"/>
        <w:right w:val="none" w:sz="0" w:space="0" w:color="auto"/>
      </w:divBdr>
    </w:div>
    <w:div w:id="1619415238">
      <w:bodyDiv w:val="1"/>
      <w:marLeft w:val="0"/>
      <w:marRight w:val="0"/>
      <w:marTop w:val="0"/>
      <w:marBottom w:val="0"/>
      <w:divBdr>
        <w:top w:val="none" w:sz="0" w:space="0" w:color="auto"/>
        <w:left w:val="none" w:sz="0" w:space="0" w:color="auto"/>
        <w:bottom w:val="none" w:sz="0" w:space="0" w:color="auto"/>
        <w:right w:val="none" w:sz="0" w:space="0" w:color="auto"/>
      </w:divBdr>
    </w:div>
    <w:div w:id="1619919772">
      <w:bodyDiv w:val="1"/>
      <w:marLeft w:val="0"/>
      <w:marRight w:val="0"/>
      <w:marTop w:val="0"/>
      <w:marBottom w:val="0"/>
      <w:divBdr>
        <w:top w:val="none" w:sz="0" w:space="0" w:color="auto"/>
        <w:left w:val="none" w:sz="0" w:space="0" w:color="auto"/>
        <w:bottom w:val="none" w:sz="0" w:space="0" w:color="auto"/>
        <w:right w:val="none" w:sz="0" w:space="0" w:color="auto"/>
      </w:divBdr>
    </w:div>
    <w:div w:id="1620451488">
      <w:bodyDiv w:val="1"/>
      <w:marLeft w:val="0"/>
      <w:marRight w:val="0"/>
      <w:marTop w:val="0"/>
      <w:marBottom w:val="0"/>
      <w:divBdr>
        <w:top w:val="none" w:sz="0" w:space="0" w:color="auto"/>
        <w:left w:val="none" w:sz="0" w:space="0" w:color="auto"/>
        <w:bottom w:val="none" w:sz="0" w:space="0" w:color="auto"/>
        <w:right w:val="none" w:sz="0" w:space="0" w:color="auto"/>
      </w:divBdr>
    </w:div>
    <w:div w:id="1620456506">
      <w:bodyDiv w:val="1"/>
      <w:marLeft w:val="0"/>
      <w:marRight w:val="0"/>
      <w:marTop w:val="0"/>
      <w:marBottom w:val="0"/>
      <w:divBdr>
        <w:top w:val="none" w:sz="0" w:space="0" w:color="auto"/>
        <w:left w:val="none" w:sz="0" w:space="0" w:color="auto"/>
        <w:bottom w:val="none" w:sz="0" w:space="0" w:color="auto"/>
        <w:right w:val="none" w:sz="0" w:space="0" w:color="auto"/>
      </w:divBdr>
    </w:div>
    <w:div w:id="1620642697">
      <w:bodyDiv w:val="1"/>
      <w:marLeft w:val="0"/>
      <w:marRight w:val="0"/>
      <w:marTop w:val="0"/>
      <w:marBottom w:val="0"/>
      <w:divBdr>
        <w:top w:val="none" w:sz="0" w:space="0" w:color="auto"/>
        <w:left w:val="none" w:sz="0" w:space="0" w:color="auto"/>
        <w:bottom w:val="none" w:sz="0" w:space="0" w:color="auto"/>
        <w:right w:val="none" w:sz="0" w:space="0" w:color="auto"/>
      </w:divBdr>
    </w:div>
    <w:div w:id="1620721497">
      <w:bodyDiv w:val="1"/>
      <w:marLeft w:val="0"/>
      <w:marRight w:val="0"/>
      <w:marTop w:val="0"/>
      <w:marBottom w:val="0"/>
      <w:divBdr>
        <w:top w:val="none" w:sz="0" w:space="0" w:color="auto"/>
        <w:left w:val="none" w:sz="0" w:space="0" w:color="auto"/>
        <w:bottom w:val="none" w:sz="0" w:space="0" w:color="auto"/>
        <w:right w:val="none" w:sz="0" w:space="0" w:color="auto"/>
      </w:divBdr>
    </w:div>
    <w:div w:id="1621258845">
      <w:bodyDiv w:val="1"/>
      <w:marLeft w:val="0"/>
      <w:marRight w:val="0"/>
      <w:marTop w:val="0"/>
      <w:marBottom w:val="0"/>
      <w:divBdr>
        <w:top w:val="none" w:sz="0" w:space="0" w:color="auto"/>
        <w:left w:val="none" w:sz="0" w:space="0" w:color="auto"/>
        <w:bottom w:val="none" w:sz="0" w:space="0" w:color="auto"/>
        <w:right w:val="none" w:sz="0" w:space="0" w:color="auto"/>
      </w:divBdr>
    </w:div>
    <w:div w:id="1621300498">
      <w:bodyDiv w:val="1"/>
      <w:marLeft w:val="0"/>
      <w:marRight w:val="0"/>
      <w:marTop w:val="0"/>
      <w:marBottom w:val="0"/>
      <w:divBdr>
        <w:top w:val="none" w:sz="0" w:space="0" w:color="auto"/>
        <w:left w:val="none" w:sz="0" w:space="0" w:color="auto"/>
        <w:bottom w:val="none" w:sz="0" w:space="0" w:color="auto"/>
        <w:right w:val="none" w:sz="0" w:space="0" w:color="auto"/>
      </w:divBdr>
    </w:div>
    <w:div w:id="1621493966">
      <w:bodyDiv w:val="1"/>
      <w:marLeft w:val="0"/>
      <w:marRight w:val="0"/>
      <w:marTop w:val="0"/>
      <w:marBottom w:val="0"/>
      <w:divBdr>
        <w:top w:val="none" w:sz="0" w:space="0" w:color="auto"/>
        <w:left w:val="none" w:sz="0" w:space="0" w:color="auto"/>
        <w:bottom w:val="none" w:sz="0" w:space="0" w:color="auto"/>
        <w:right w:val="none" w:sz="0" w:space="0" w:color="auto"/>
      </w:divBdr>
    </w:div>
    <w:div w:id="1621764703">
      <w:bodyDiv w:val="1"/>
      <w:marLeft w:val="0"/>
      <w:marRight w:val="0"/>
      <w:marTop w:val="0"/>
      <w:marBottom w:val="0"/>
      <w:divBdr>
        <w:top w:val="none" w:sz="0" w:space="0" w:color="auto"/>
        <w:left w:val="none" w:sz="0" w:space="0" w:color="auto"/>
        <w:bottom w:val="none" w:sz="0" w:space="0" w:color="auto"/>
        <w:right w:val="none" w:sz="0" w:space="0" w:color="auto"/>
      </w:divBdr>
    </w:div>
    <w:div w:id="1622422398">
      <w:bodyDiv w:val="1"/>
      <w:marLeft w:val="0"/>
      <w:marRight w:val="0"/>
      <w:marTop w:val="0"/>
      <w:marBottom w:val="0"/>
      <w:divBdr>
        <w:top w:val="none" w:sz="0" w:space="0" w:color="auto"/>
        <w:left w:val="none" w:sz="0" w:space="0" w:color="auto"/>
        <w:bottom w:val="none" w:sz="0" w:space="0" w:color="auto"/>
        <w:right w:val="none" w:sz="0" w:space="0" w:color="auto"/>
      </w:divBdr>
    </w:div>
    <w:div w:id="1622491380">
      <w:bodyDiv w:val="1"/>
      <w:marLeft w:val="0"/>
      <w:marRight w:val="0"/>
      <w:marTop w:val="0"/>
      <w:marBottom w:val="0"/>
      <w:divBdr>
        <w:top w:val="none" w:sz="0" w:space="0" w:color="auto"/>
        <w:left w:val="none" w:sz="0" w:space="0" w:color="auto"/>
        <w:bottom w:val="none" w:sz="0" w:space="0" w:color="auto"/>
        <w:right w:val="none" w:sz="0" w:space="0" w:color="auto"/>
      </w:divBdr>
    </w:div>
    <w:div w:id="1623343542">
      <w:bodyDiv w:val="1"/>
      <w:marLeft w:val="0"/>
      <w:marRight w:val="0"/>
      <w:marTop w:val="0"/>
      <w:marBottom w:val="0"/>
      <w:divBdr>
        <w:top w:val="none" w:sz="0" w:space="0" w:color="auto"/>
        <w:left w:val="none" w:sz="0" w:space="0" w:color="auto"/>
        <w:bottom w:val="none" w:sz="0" w:space="0" w:color="auto"/>
        <w:right w:val="none" w:sz="0" w:space="0" w:color="auto"/>
      </w:divBdr>
    </w:div>
    <w:div w:id="1624271056">
      <w:bodyDiv w:val="1"/>
      <w:marLeft w:val="0"/>
      <w:marRight w:val="0"/>
      <w:marTop w:val="0"/>
      <w:marBottom w:val="0"/>
      <w:divBdr>
        <w:top w:val="none" w:sz="0" w:space="0" w:color="auto"/>
        <w:left w:val="none" w:sz="0" w:space="0" w:color="auto"/>
        <w:bottom w:val="none" w:sz="0" w:space="0" w:color="auto"/>
        <w:right w:val="none" w:sz="0" w:space="0" w:color="auto"/>
      </w:divBdr>
    </w:div>
    <w:div w:id="1624381615">
      <w:bodyDiv w:val="1"/>
      <w:marLeft w:val="0"/>
      <w:marRight w:val="0"/>
      <w:marTop w:val="0"/>
      <w:marBottom w:val="0"/>
      <w:divBdr>
        <w:top w:val="none" w:sz="0" w:space="0" w:color="auto"/>
        <w:left w:val="none" w:sz="0" w:space="0" w:color="auto"/>
        <w:bottom w:val="none" w:sz="0" w:space="0" w:color="auto"/>
        <w:right w:val="none" w:sz="0" w:space="0" w:color="auto"/>
      </w:divBdr>
    </w:div>
    <w:div w:id="1624727184">
      <w:bodyDiv w:val="1"/>
      <w:marLeft w:val="0"/>
      <w:marRight w:val="0"/>
      <w:marTop w:val="0"/>
      <w:marBottom w:val="0"/>
      <w:divBdr>
        <w:top w:val="none" w:sz="0" w:space="0" w:color="auto"/>
        <w:left w:val="none" w:sz="0" w:space="0" w:color="auto"/>
        <w:bottom w:val="none" w:sz="0" w:space="0" w:color="auto"/>
        <w:right w:val="none" w:sz="0" w:space="0" w:color="auto"/>
      </w:divBdr>
    </w:div>
    <w:div w:id="1625189634">
      <w:bodyDiv w:val="1"/>
      <w:marLeft w:val="0"/>
      <w:marRight w:val="0"/>
      <w:marTop w:val="0"/>
      <w:marBottom w:val="0"/>
      <w:divBdr>
        <w:top w:val="none" w:sz="0" w:space="0" w:color="auto"/>
        <w:left w:val="none" w:sz="0" w:space="0" w:color="auto"/>
        <w:bottom w:val="none" w:sz="0" w:space="0" w:color="auto"/>
        <w:right w:val="none" w:sz="0" w:space="0" w:color="auto"/>
      </w:divBdr>
    </w:div>
    <w:div w:id="1625499656">
      <w:bodyDiv w:val="1"/>
      <w:marLeft w:val="0"/>
      <w:marRight w:val="0"/>
      <w:marTop w:val="0"/>
      <w:marBottom w:val="0"/>
      <w:divBdr>
        <w:top w:val="none" w:sz="0" w:space="0" w:color="auto"/>
        <w:left w:val="none" w:sz="0" w:space="0" w:color="auto"/>
        <w:bottom w:val="none" w:sz="0" w:space="0" w:color="auto"/>
        <w:right w:val="none" w:sz="0" w:space="0" w:color="auto"/>
      </w:divBdr>
    </w:div>
    <w:div w:id="1625649967">
      <w:bodyDiv w:val="1"/>
      <w:marLeft w:val="0"/>
      <w:marRight w:val="0"/>
      <w:marTop w:val="0"/>
      <w:marBottom w:val="0"/>
      <w:divBdr>
        <w:top w:val="none" w:sz="0" w:space="0" w:color="auto"/>
        <w:left w:val="none" w:sz="0" w:space="0" w:color="auto"/>
        <w:bottom w:val="none" w:sz="0" w:space="0" w:color="auto"/>
        <w:right w:val="none" w:sz="0" w:space="0" w:color="auto"/>
      </w:divBdr>
    </w:div>
    <w:div w:id="1625768560">
      <w:bodyDiv w:val="1"/>
      <w:marLeft w:val="0"/>
      <w:marRight w:val="0"/>
      <w:marTop w:val="0"/>
      <w:marBottom w:val="0"/>
      <w:divBdr>
        <w:top w:val="none" w:sz="0" w:space="0" w:color="auto"/>
        <w:left w:val="none" w:sz="0" w:space="0" w:color="auto"/>
        <w:bottom w:val="none" w:sz="0" w:space="0" w:color="auto"/>
        <w:right w:val="none" w:sz="0" w:space="0" w:color="auto"/>
      </w:divBdr>
    </w:div>
    <w:div w:id="1626082433">
      <w:bodyDiv w:val="1"/>
      <w:marLeft w:val="0"/>
      <w:marRight w:val="0"/>
      <w:marTop w:val="0"/>
      <w:marBottom w:val="0"/>
      <w:divBdr>
        <w:top w:val="none" w:sz="0" w:space="0" w:color="auto"/>
        <w:left w:val="none" w:sz="0" w:space="0" w:color="auto"/>
        <w:bottom w:val="none" w:sz="0" w:space="0" w:color="auto"/>
        <w:right w:val="none" w:sz="0" w:space="0" w:color="auto"/>
      </w:divBdr>
    </w:div>
    <w:div w:id="1626153456">
      <w:bodyDiv w:val="1"/>
      <w:marLeft w:val="0"/>
      <w:marRight w:val="0"/>
      <w:marTop w:val="0"/>
      <w:marBottom w:val="0"/>
      <w:divBdr>
        <w:top w:val="none" w:sz="0" w:space="0" w:color="auto"/>
        <w:left w:val="none" w:sz="0" w:space="0" w:color="auto"/>
        <w:bottom w:val="none" w:sz="0" w:space="0" w:color="auto"/>
        <w:right w:val="none" w:sz="0" w:space="0" w:color="auto"/>
      </w:divBdr>
    </w:div>
    <w:div w:id="1626161093">
      <w:bodyDiv w:val="1"/>
      <w:marLeft w:val="0"/>
      <w:marRight w:val="0"/>
      <w:marTop w:val="0"/>
      <w:marBottom w:val="0"/>
      <w:divBdr>
        <w:top w:val="none" w:sz="0" w:space="0" w:color="auto"/>
        <w:left w:val="none" w:sz="0" w:space="0" w:color="auto"/>
        <w:bottom w:val="none" w:sz="0" w:space="0" w:color="auto"/>
        <w:right w:val="none" w:sz="0" w:space="0" w:color="auto"/>
      </w:divBdr>
    </w:div>
    <w:div w:id="1626932981">
      <w:bodyDiv w:val="1"/>
      <w:marLeft w:val="0"/>
      <w:marRight w:val="0"/>
      <w:marTop w:val="0"/>
      <w:marBottom w:val="0"/>
      <w:divBdr>
        <w:top w:val="none" w:sz="0" w:space="0" w:color="auto"/>
        <w:left w:val="none" w:sz="0" w:space="0" w:color="auto"/>
        <w:bottom w:val="none" w:sz="0" w:space="0" w:color="auto"/>
        <w:right w:val="none" w:sz="0" w:space="0" w:color="auto"/>
      </w:divBdr>
    </w:div>
    <w:div w:id="1627004807">
      <w:bodyDiv w:val="1"/>
      <w:marLeft w:val="0"/>
      <w:marRight w:val="0"/>
      <w:marTop w:val="0"/>
      <w:marBottom w:val="0"/>
      <w:divBdr>
        <w:top w:val="none" w:sz="0" w:space="0" w:color="auto"/>
        <w:left w:val="none" w:sz="0" w:space="0" w:color="auto"/>
        <w:bottom w:val="none" w:sz="0" w:space="0" w:color="auto"/>
        <w:right w:val="none" w:sz="0" w:space="0" w:color="auto"/>
      </w:divBdr>
    </w:div>
    <w:div w:id="1627083688">
      <w:bodyDiv w:val="1"/>
      <w:marLeft w:val="0"/>
      <w:marRight w:val="0"/>
      <w:marTop w:val="0"/>
      <w:marBottom w:val="0"/>
      <w:divBdr>
        <w:top w:val="none" w:sz="0" w:space="0" w:color="auto"/>
        <w:left w:val="none" w:sz="0" w:space="0" w:color="auto"/>
        <w:bottom w:val="none" w:sz="0" w:space="0" w:color="auto"/>
        <w:right w:val="none" w:sz="0" w:space="0" w:color="auto"/>
      </w:divBdr>
    </w:div>
    <w:div w:id="1627618806">
      <w:bodyDiv w:val="1"/>
      <w:marLeft w:val="0"/>
      <w:marRight w:val="0"/>
      <w:marTop w:val="0"/>
      <w:marBottom w:val="0"/>
      <w:divBdr>
        <w:top w:val="none" w:sz="0" w:space="0" w:color="auto"/>
        <w:left w:val="none" w:sz="0" w:space="0" w:color="auto"/>
        <w:bottom w:val="none" w:sz="0" w:space="0" w:color="auto"/>
        <w:right w:val="none" w:sz="0" w:space="0" w:color="auto"/>
      </w:divBdr>
    </w:div>
    <w:div w:id="1627811794">
      <w:bodyDiv w:val="1"/>
      <w:marLeft w:val="0"/>
      <w:marRight w:val="0"/>
      <w:marTop w:val="0"/>
      <w:marBottom w:val="0"/>
      <w:divBdr>
        <w:top w:val="none" w:sz="0" w:space="0" w:color="auto"/>
        <w:left w:val="none" w:sz="0" w:space="0" w:color="auto"/>
        <w:bottom w:val="none" w:sz="0" w:space="0" w:color="auto"/>
        <w:right w:val="none" w:sz="0" w:space="0" w:color="auto"/>
      </w:divBdr>
    </w:div>
    <w:div w:id="1628462616">
      <w:bodyDiv w:val="1"/>
      <w:marLeft w:val="0"/>
      <w:marRight w:val="0"/>
      <w:marTop w:val="0"/>
      <w:marBottom w:val="0"/>
      <w:divBdr>
        <w:top w:val="none" w:sz="0" w:space="0" w:color="auto"/>
        <w:left w:val="none" w:sz="0" w:space="0" w:color="auto"/>
        <w:bottom w:val="none" w:sz="0" w:space="0" w:color="auto"/>
        <w:right w:val="none" w:sz="0" w:space="0" w:color="auto"/>
      </w:divBdr>
    </w:div>
    <w:div w:id="1628701615">
      <w:bodyDiv w:val="1"/>
      <w:marLeft w:val="0"/>
      <w:marRight w:val="0"/>
      <w:marTop w:val="0"/>
      <w:marBottom w:val="0"/>
      <w:divBdr>
        <w:top w:val="none" w:sz="0" w:space="0" w:color="auto"/>
        <w:left w:val="none" w:sz="0" w:space="0" w:color="auto"/>
        <w:bottom w:val="none" w:sz="0" w:space="0" w:color="auto"/>
        <w:right w:val="none" w:sz="0" w:space="0" w:color="auto"/>
      </w:divBdr>
    </w:div>
    <w:div w:id="1628969143">
      <w:bodyDiv w:val="1"/>
      <w:marLeft w:val="0"/>
      <w:marRight w:val="0"/>
      <w:marTop w:val="0"/>
      <w:marBottom w:val="0"/>
      <w:divBdr>
        <w:top w:val="none" w:sz="0" w:space="0" w:color="auto"/>
        <w:left w:val="none" w:sz="0" w:space="0" w:color="auto"/>
        <w:bottom w:val="none" w:sz="0" w:space="0" w:color="auto"/>
        <w:right w:val="none" w:sz="0" w:space="0" w:color="auto"/>
      </w:divBdr>
    </w:div>
    <w:div w:id="1629241450">
      <w:bodyDiv w:val="1"/>
      <w:marLeft w:val="0"/>
      <w:marRight w:val="0"/>
      <w:marTop w:val="0"/>
      <w:marBottom w:val="0"/>
      <w:divBdr>
        <w:top w:val="none" w:sz="0" w:space="0" w:color="auto"/>
        <w:left w:val="none" w:sz="0" w:space="0" w:color="auto"/>
        <w:bottom w:val="none" w:sz="0" w:space="0" w:color="auto"/>
        <w:right w:val="none" w:sz="0" w:space="0" w:color="auto"/>
      </w:divBdr>
    </w:div>
    <w:div w:id="1629244751">
      <w:bodyDiv w:val="1"/>
      <w:marLeft w:val="0"/>
      <w:marRight w:val="0"/>
      <w:marTop w:val="0"/>
      <w:marBottom w:val="0"/>
      <w:divBdr>
        <w:top w:val="none" w:sz="0" w:space="0" w:color="auto"/>
        <w:left w:val="none" w:sz="0" w:space="0" w:color="auto"/>
        <w:bottom w:val="none" w:sz="0" w:space="0" w:color="auto"/>
        <w:right w:val="none" w:sz="0" w:space="0" w:color="auto"/>
      </w:divBdr>
    </w:div>
    <w:div w:id="1629507434">
      <w:bodyDiv w:val="1"/>
      <w:marLeft w:val="0"/>
      <w:marRight w:val="0"/>
      <w:marTop w:val="0"/>
      <w:marBottom w:val="0"/>
      <w:divBdr>
        <w:top w:val="none" w:sz="0" w:space="0" w:color="auto"/>
        <w:left w:val="none" w:sz="0" w:space="0" w:color="auto"/>
        <w:bottom w:val="none" w:sz="0" w:space="0" w:color="auto"/>
        <w:right w:val="none" w:sz="0" w:space="0" w:color="auto"/>
      </w:divBdr>
    </w:div>
    <w:div w:id="1629553659">
      <w:bodyDiv w:val="1"/>
      <w:marLeft w:val="0"/>
      <w:marRight w:val="0"/>
      <w:marTop w:val="0"/>
      <w:marBottom w:val="0"/>
      <w:divBdr>
        <w:top w:val="none" w:sz="0" w:space="0" w:color="auto"/>
        <w:left w:val="none" w:sz="0" w:space="0" w:color="auto"/>
        <w:bottom w:val="none" w:sz="0" w:space="0" w:color="auto"/>
        <w:right w:val="none" w:sz="0" w:space="0" w:color="auto"/>
      </w:divBdr>
    </w:div>
    <w:div w:id="1629630357">
      <w:bodyDiv w:val="1"/>
      <w:marLeft w:val="0"/>
      <w:marRight w:val="0"/>
      <w:marTop w:val="0"/>
      <w:marBottom w:val="0"/>
      <w:divBdr>
        <w:top w:val="none" w:sz="0" w:space="0" w:color="auto"/>
        <w:left w:val="none" w:sz="0" w:space="0" w:color="auto"/>
        <w:bottom w:val="none" w:sz="0" w:space="0" w:color="auto"/>
        <w:right w:val="none" w:sz="0" w:space="0" w:color="auto"/>
      </w:divBdr>
    </w:div>
    <w:div w:id="1629969173">
      <w:bodyDiv w:val="1"/>
      <w:marLeft w:val="0"/>
      <w:marRight w:val="0"/>
      <w:marTop w:val="0"/>
      <w:marBottom w:val="0"/>
      <w:divBdr>
        <w:top w:val="none" w:sz="0" w:space="0" w:color="auto"/>
        <w:left w:val="none" w:sz="0" w:space="0" w:color="auto"/>
        <w:bottom w:val="none" w:sz="0" w:space="0" w:color="auto"/>
        <w:right w:val="none" w:sz="0" w:space="0" w:color="auto"/>
      </w:divBdr>
    </w:div>
    <w:div w:id="1630208468">
      <w:bodyDiv w:val="1"/>
      <w:marLeft w:val="0"/>
      <w:marRight w:val="0"/>
      <w:marTop w:val="0"/>
      <w:marBottom w:val="0"/>
      <w:divBdr>
        <w:top w:val="none" w:sz="0" w:space="0" w:color="auto"/>
        <w:left w:val="none" w:sz="0" w:space="0" w:color="auto"/>
        <w:bottom w:val="none" w:sz="0" w:space="0" w:color="auto"/>
        <w:right w:val="none" w:sz="0" w:space="0" w:color="auto"/>
      </w:divBdr>
    </w:div>
    <w:div w:id="1630354460">
      <w:bodyDiv w:val="1"/>
      <w:marLeft w:val="0"/>
      <w:marRight w:val="0"/>
      <w:marTop w:val="0"/>
      <w:marBottom w:val="0"/>
      <w:divBdr>
        <w:top w:val="none" w:sz="0" w:space="0" w:color="auto"/>
        <w:left w:val="none" w:sz="0" w:space="0" w:color="auto"/>
        <w:bottom w:val="none" w:sz="0" w:space="0" w:color="auto"/>
        <w:right w:val="none" w:sz="0" w:space="0" w:color="auto"/>
      </w:divBdr>
    </w:div>
    <w:div w:id="1630357641">
      <w:bodyDiv w:val="1"/>
      <w:marLeft w:val="0"/>
      <w:marRight w:val="0"/>
      <w:marTop w:val="0"/>
      <w:marBottom w:val="0"/>
      <w:divBdr>
        <w:top w:val="none" w:sz="0" w:space="0" w:color="auto"/>
        <w:left w:val="none" w:sz="0" w:space="0" w:color="auto"/>
        <w:bottom w:val="none" w:sz="0" w:space="0" w:color="auto"/>
        <w:right w:val="none" w:sz="0" w:space="0" w:color="auto"/>
      </w:divBdr>
    </w:div>
    <w:div w:id="1630428918">
      <w:bodyDiv w:val="1"/>
      <w:marLeft w:val="0"/>
      <w:marRight w:val="0"/>
      <w:marTop w:val="0"/>
      <w:marBottom w:val="0"/>
      <w:divBdr>
        <w:top w:val="none" w:sz="0" w:space="0" w:color="auto"/>
        <w:left w:val="none" w:sz="0" w:space="0" w:color="auto"/>
        <w:bottom w:val="none" w:sz="0" w:space="0" w:color="auto"/>
        <w:right w:val="none" w:sz="0" w:space="0" w:color="auto"/>
      </w:divBdr>
    </w:div>
    <w:div w:id="1630938780">
      <w:bodyDiv w:val="1"/>
      <w:marLeft w:val="0"/>
      <w:marRight w:val="0"/>
      <w:marTop w:val="0"/>
      <w:marBottom w:val="0"/>
      <w:divBdr>
        <w:top w:val="none" w:sz="0" w:space="0" w:color="auto"/>
        <w:left w:val="none" w:sz="0" w:space="0" w:color="auto"/>
        <w:bottom w:val="none" w:sz="0" w:space="0" w:color="auto"/>
        <w:right w:val="none" w:sz="0" w:space="0" w:color="auto"/>
      </w:divBdr>
    </w:div>
    <w:div w:id="1631015823">
      <w:bodyDiv w:val="1"/>
      <w:marLeft w:val="0"/>
      <w:marRight w:val="0"/>
      <w:marTop w:val="0"/>
      <w:marBottom w:val="0"/>
      <w:divBdr>
        <w:top w:val="none" w:sz="0" w:space="0" w:color="auto"/>
        <w:left w:val="none" w:sz="0" w:space="0" w:color="auto"/>
        <w:bottom w:val="none" w:sz="0" w:space="0" w:color="auto"/>
        <w:right w:val="none" w:sz="0" w:space="0" w:color="auto"/>
      </w:divBdr>
    </w:div>
    <w:div w:id="1631084524">
      <w:bodyDiv w:val="1"/>
      <w:marLeft w:val="0"/>
      <w:marRight w:val="0"/>
      <w:marTop w:val="0"/>
      <w:marBottom w:val="0"/>
      <w:divBdr>
        <w:top w:val="none" w:sz="0" w:space="0" w:color="auto"/>
        <w:left w:val="none" w:sz="0" w:space="0" w:color="auto"/>
        <w:bottom w:val="none" w:sz="0" w:space="0" w:color="auto"/>
        <w:right w:val="none" w:sz="0" w:space="0" w:color="auto"/>
      </w:divBdr>
    </w:div>
    <w:div w:id="1631471385">
      <w:bodyDiv w:val="1"/>
      <w:marLeft w:val="0"/>
      <w:marRight w:val="0"/>
      <w:marTop w:val="0"/>
      <w:marBottom w:val="0"/>
      <w:divBdr>
        <w:top w:val="none" w:sz="0" w:space="0" w:color="auto"/>
        <w:left w:val="none" w:sz="0" w:space="0" w:color="auto"/>
        <w:bottom w:val="none" w:sz="0" w:space="0" w:color="auto"/>
        <w:right w:val="none" w:sz="0" w:space="0" w:color="auto"/>
      </w:divBdr>
    </w:div>
    <w:div w:id="1631740913">
      <w:bodyDiv w:val="1"/>
      <w:marLeft w:val="0"/>
      <w:marRight w:val="0"/>
      <w:marTop w:val="0"/>
      <w:marBottom w:val="0"/>
      <w:divBdr>
        <w:top w:val="none" w:sz="0" w:space="0" w:color="auto"/>
        <w:left w:val="none" w:sz="0" w:space="0" w:color="auto"/>
        <w:bottom w:val="none" w:sz="0" w:space="0" w:color="auto"/>
        <w:right w:val="none" w:sz="0" w:space="0" w:color="auto"/>
      </w:divBdr>
    </w:div>
    <w:div w:id="1632204252">
      <w:bodyDiv w:val="1"/>
      <w:marLeft w:val="0"/>
      <w:marRight w:val="0"/>
      <w:marTop w:val="0"/>
      <w:marBottom w:val="0"/>
      <w:divBdr>
        <w:top w:val="none" w:sz="0" w:space="0" w:color="auto"/>
        <w:left w:val="none" w:sz="0" w:space="0" w:color="auto"/>
        <w:bottom w:val="none" w:sz="0" w:space="0" w:color="auto"/>
        <w:right w:val="none" w:sz="0" w:space="0" w:color="auto"/>
      </w:divBdr>
    </w:div>
    <w:div w:id="1632206526">
      <w:bodyDiv w:val="1"/>
      <w:marLeft w:val="0"/>
      <w:marRight w:val="0"/>
      <w:marTop w:val="0"/>
      <w:marBottom w:val="0"/>
      <w:divBdr>
        <w:top w:val="none" w:sz="0" w:space="0" w:color="auto"/>
        <w:left w:val="none" w:sz="0" w:space="0" w:color="auto"/>
        <w:bottom w:val="none" w:sz="0" w:space="0" w:color="auto"/>
        <w:right w:val="none" w:sz="0" w:space="0" w:color="auto"/>
      </w:divBdr>
    </w:div>
    <w:div w:id="1632438368">
      <w:bodyDiv w:val="1"/>
      <w:marLeft w:val="0"/>
      <w:marRight w:val="0"/>
      <w:marTop w:val="0"/>
      <w:marBottom w:val="0"/>
      <w:divBdr>
        <w:top w:val="none" w:sz="0" w:space="0" w:color="auto"/>
        <w:left w:val="none" w:sz="0" w:space="0" w:color="auto"/>
        <w:bottom w:val="none" w:sz="0" w:space="0" w:color="auto"/>
        <w:right w:val="none" w:sz="0" w:space="0" w:color="auto"/>
      </w:divBdr>
    </w:div>
    <w:div w:id="1632633723">
      <w:bodyDiv w:val="1"/>
      <w:marLeft w:val="0"/>
      <w:marRight w:val="0"/>
      <w:marTop w:val="0"/>
      <w:marBottom w:val="0"/>
      <w:divBdr>
        <w:top w:val="none" w:sz="0" w:space="0" w:color="auto"/>
        <w:left w:val="none" w:sz="0" w:space="0" w:color="auto"/>
        <w:bottom w:val="none" w:sz="0" w:space="0" w:color="auto"/>
        <w:right w:val="none" w:sz="0" w:space="0" w:color="auto"/>
      </w:divBdr>
    </w:div>
    <w:div w:id="1632705949">
      <w:bodyDiv w:val="1"/>
      <w:marLeft w:val="0"/>
      <w:marRight w:val="0"/>
      <w:marTop w:val="0"/>
      <w:marBottom w:val="0"/>
      <w:divBdr>
        <w:top w:val="none" w:sz="0" w:space="0" w:color="auto"/>
        <w:left w:val="none" w:sz="0" w:space="0" w:color="auto"/>
        <w:bottom w:val="none" w:sz="0" w:space="0" w:color="auto"/>
        <w:right w:val="none" w:sz="0" w:space="0" w:color="auto"/>
      </w:divBdr>
    </w:div>
    <w:div w:id="1632785907">
      <w:bodyDiv w:val="1"/>
      <w:marLeft w:val="0"/>
      <w:marRight w:val="0"/>
      <w:marTop w:val="0"/>
      <w:marBottom w:val="0"/>
      <w:divBdr>
        <w:top w:val="none" w:sz="0" w:space="0" w:color="auto"/>
        <w:left w:val="none" w:sz="0" w:space="0" w:color="auto"/>
        <w:bottom w:val="none" w:sz="0" w:space="0" w:color="auto"/>
        <w:right w:val="none" w:sz="0" w:space="0" w:color="auto"/>
      </w:divBdr>
    </w:div>
    <w:div w:id="1632977049">
      <w:bodyDiv w:val="1"/>
      <w:marLeft w:val="0"/>
      <w:marRight w:val="0"/>
      <w:marTop w:val="0"/>
      <w:marBottom w:val="0"/>
      <w:divBdr>
        <w:top w:val="none" w:sz="0" w:space="0" w:color="auto"/>
        <w:left w:val="none" w:sz="0" w:space="0" w:color="auto"/>
        <w:bottom w:val="none" w:sz="0" w:space="0" w:color="auto"/>
        <w:right w:val="none" w:sz="0" w:space="0" w:color="auto"/>
      </w:divBdr>
    </w:div>
    <w:div w:id="1633292552">
      <w:bodyDiv w:val="1"/>
      <w:marLeft w:val="0"/>
      <w:marRight w:val="0"/>
      <w:marTop w:val="0"/>
      <w:marBottom w:val="0"/>
      <w:divBdr>
        <w:top w:val="none" w:sz="0" w:space="0" w:color="auto"/>
        <w:left w:val="none" w:sz="0" w:space="0" w:color="auto"/>
        <w:bottom w:val="none" w:sz="0" w:space="0" w:color="auto"/>
        <w:right w:val="none" w:sz="0" w:space="0" w:color="auto"/>
      </w:divBdr>
    </w:div>
    <w:div w:id="1633972688">
      <w:bodyDiv w:val="1"/>
      <w:marLeft w:val="0"/>
      <w:marRight w:val="0"/>
      <w:marTop w:val="0"/>
      <w:marBottom w:val="0"/>
      <w:divBdr>
        <w:top w:val="none" w:sz="0" w:space="0" w:color="auto"/>
        <w:left w:val="none" w:sz="0" w:space="0" w:color="auto"/>
        <w:bottom w:val="none" w:sz="0" w:space="0" w:color="auto"/>
        <w:right w:val="none" w:sz="0" w:space="0" w:color="auto"/>
      </w:divBdr>
    </w:div>
    <w:div w:id="1634096548">
      <w:bodyDiv w:val="1"/>
      <w:marLeft w:val="0"/>
      <w:marRight w:val="0"/>
      <w:marTop w:val="0"/>
      <w:marBottom w:val="0"/>
      <w:divBdr>
        <w:top w:val="none" w:sz="0" w:space="0" w:color="auto"/>
        <w:left w:val="none" w:sz="0" w:space="0" w:color="auto"/>
        <w:bottom w:val="none" w:sz="0" w:space="0" w:color="auto"/>
        <w:right w:val="none" w:sz="0" w:space="0" w:color="auto"/>
      </w:divBdr>
    </w:div>
    <w:div w:id="1635210099">
      <w:bodyDiv w:val="1"/>
      <w:marLeft w:val="0"/>
      <w:marRight w:val="0"/>
      <w:marTop w:val="0"/>
      <w:marBottom w:val="0"/>
      <w:divBdr>
        <w:top w:val="none" w:sz="0" w:space="0" w:color="auto"/>
        <w:left w:val="none" w:sz="0" w:space="0" w:color="auto"/>
        <w:bottom w:val="none" w:sz="0" w:space="0" w:color="auto"/>
        <w:right w:val="none" w:sz="0" w:space="0" w:color="auto"/>
      </w:divBdr>
    </w:div>
    <w:div w:id="1635866841">
      <w:bodyDiv w:val="1"/>
      <w:marLeft w:val="0"/>
      <w:marRight w:val="0"/>
      <w:marTop w:val="0"/>
      <w:marBottom w:val="0"/>
      <w:divBdr>
        <w:top w:val="none" w:sz="0" w:space="0" w:color="auto"/>
        <w:left w:val="none" w:sz="0" w:space="0" w:color="auto"/>
        <w:bottom w:val="none" w:sz="0" w:space="0" w:color="auto"/>
        <w:right w:val="none" w:sz="0" w:space="0" w:color="auto"/>
      </w:divBdr>
    </w:div>
    <w:div w:id="1635915004">
      <w:bodyDiv w:val="1"/>
      <w:marLeft w:val="0"/>
      <w:marRight w:val="0"/>
      <w:marTop w:val="0"/>
      <w:marBottom w:val="0"/>
      <w:divBdr>
        <w:top w:val="none" w:sz="0" w:space="0" w:color="auto"/>
        <w:left w:val="none" w:sz="0" w:space="0" w:color="auto"/>
        <w:bottom w:val="none" w:sz="0" w:space="0" w:color="auto"/>
        <w:right w:val="none" w:sz="0" w:space="0" w:color="auto"/>
      </w:divBdr>
    </w:div>
    <w:div w:id="1636368988">
      <w:bodyDiv w:val="1"/>
      <w:marLeft w:val="0"/>
      <w:marRight w:val="0"/>
      <w:marTop w:val="0"/>
      <w:marBottom w:val="0"/>
      <w:divBdr>
        <w:top w:val="none" w:sz="0" w:space="0" w:color="auto"/>
        <w:left w:val="none" w:sz="0" w:space="0" w:color="auto"/>
        <w:bottom w:val="none" w:sz="0" w:space="0" w:color="auto"/>
        <w:right w:val="none" w:sz="0" w:space="0" w:color="auto"/>
      </w:divBdr>
    </w:div>
    <w:div w:id="1636645790">
      <w:bodyDiv w:val="1"/>
      <w:marLeft w:val="0"/>
      <w:marRight w:val="0"/>
      <w:marTop w:val="0"/>
      <w:marBottom w:val="0"/>
      <w:divBdr>
        <w:top w:val="none" w:sz="0" w:space="0" w:color="auto"/>
        <w:left w:val="none" w:sz="0" w:space="0" w:color="auto"/>
        <w:bottom w:val="none" w:sz="0" w:space="0" w:color="auto"/>
        <w:right w:val="none" w:sz="0" w:space="0" w:color="auto"/>
      </w:divBdr>
    </w:div>
    <w:div w:id="1637102735">
      <w:bodyDiv w:val="1"/>
      <w:marLeft w:val="0"/>
      <w:marRight w:val="0"/>
      <w:marTop w:val="0"/>
      <w:marBottom w:val="0"/>
      <w:divBdr>
        <w:top w:val="none" w:sz="0" w:space="0" w:color="auto"/>
        <w:left w:val="none" w:sz="0" w:space="0" w:color="auto"/>
        <w:bottom w:val="none" w:sz="0" w:space="0" w:color="auto"/>
        <w:right w:val="none" w:sz="0" w:space="0" w:color="auto"/>
      </w:divBdr>
    </w:div>
    <w:div w:id="1637758940">
      <w:bodyDiv w:val="1"/>
      <w:marLeft w:val="0"/>
      <w:marRight w:val="0"/>
      <w:marTop w:val="0"/>
      <w:marBottom w:val="0"/>
      <w:divBdr>
        <w:top w:val="none" w:sz="0" w:space="0" w:color="auto"/>
        <w:left w:val="none" w:sz="0" w:space="0" w:color="auto"/>
        <w:bottom w:val="none" w:sz="0" w:space="0" w:color="auto"/>
        <w:right w:val="none" w:sz="0" w:space="0" w:color="auto"/>
      </w:divBdr>
    </w:div>
    <w:div w:id="1637831362">
      <w:bodyDiv w:val="1"/>
      <w:marLeft w:val="0"/>
      <w:marRight w:val="0"/>
      <w:marTop w:val="0"/>
      <w:marBottom w:val="0"/>
      <w:divBdr>
        <w:top w:val="none" w:sz="0" w:space="0" w:color="auto"/>
        <w:left w:val="none" w:sz="0" w:space="0" w:color="auto"/>
        <w:bottom w:val="none" w:sz="0" w:space="0" w:color="auto"/>
        <w:right w:val="none" w:sz="0" w:space="0" w:color="auto"/>
      </w:divBdr>
    </w:div>
    <w:div w:id="1637837567">
      <w:bodyDiv w:val="1"/>
      <w:marLeft w:val="0"/>
      <w:marRight w:val="0"/>
      <w:marTop w:val="0"/>
      <w:marBottom w:val="0"/>
      <w:divBdr>
        <w:top w:val="none" w:sz="0" w:space="0" w:color="auto"/>
        <w:left w:val="none" w:sz="0" w:space="0" w:color="auto"/>
        <w:bottom w:val="none" w:sz="0" w:space="0" w:color="auto"/>
        <w:right w:val="none" w:sz="0" w:space="0" w:color="auto"/>
      </w:divBdr>
    </w:div>
    <w:div w:id="1638104326">
      <w:bodyDiv w:val="1"/>
      <w:marLeft w:val="0"/>
      <w:marRight w:val="0"/>
      <w:marTop w:val="0"/>
      <w:marBottom w:val="0"/>
      <w:divBdr>
        <w:top w:val="none" w:sz="0" w:space="0" w:color="auto"/>
        <w:left w:val="none" w:sz="0" w:space="0" w:color="auto"/>
        <w:bottom w:val="none" w:sz="0" w:space="0" w:color="auto"/>
        <w:right w:val="none" w:sz="0" w:space="0" w:color="auto"/>
      </w:divBdr>
    </w:div>
    <w:div w:id="1638412382">
      <w:bodyDiv w:val="1"/>
      <w:marLeft w:val="0"/>
      <w:marRight w:val="0"/>
      <w:marTop w:val="0"/>
      <w:marBottom w:val="0"/>
      <w:divBdr>
        <w:top w:val="none" w:sz="0" w:space="0" w:color="auto"/>
        <w:left w:val="none" w:sz="0" w:space="0" w:color="auto"/>
        <w:bottom w:val="none" w:sz="0" w:space="0" w:color="auto"/>
        <w:right w:val="none" w:sz="0" w:space="0" w:color="auto"/>
      </w:divBdr>
    </w:div>
    <w:div w:id="1638729535">
      <w:bodyDiv w:val="1"/>
      <w:marLeft w:val="0"/>
      <w:marRight w:val="0"/>
      <w:marTop w:val="0"/>
      <w:marBottom w:val="0"/>
      <w:divBdr>
        <w:top w:val="none" w:sz="0" w:space="0" w:color="auto"/>
        <w:left w:val="none" w:sz="0" w:space="0" w:color="auto"/>
        <w:bottom w:val="none" w:sz="0" w:space="0" w:color="auto"/>
        <w:right w:val="none" w:sz="0" w:space="0" w:color="auto"/>
      </w:divBdr>
    </w:div>
    <w:div w:id="1638800718">
      <w:bodyDiv w:val="1"/>
      <w:marLeft w:val="0"/>
      <w:marRight w:val="0"/>
      <w:marTop w:val="0"/>
      <w:marBottom w:val="0"/>
      <w:divBdr>
        <w:top w:val="none" w:sz="0" w:space="0" w:color="auto"/>
        <w:left w:val="none" w:sz="0" w:space="0" w:color="auto"/>
        <w:bottom w:val="none" w:sz="0" w:space="0" w:color="auto"/>
        <w:right w:val="none" w:sz="0" w:space="0" w:color="auto"/>
      </w:divBdr>
    </w:div>
    <w:div w:id="1639067274">
      <w:bodyDiv w:val="1"/>
      <w:marLeft w:val="0"/>
      <w:marRight w:val="0"/>
      <w:marTop w:val="0"/>
      <w:marBottom w:val="0"/>
      <w:divBdr>
        <w:top w:val="none" w:sz="0" w:space="0" w:color="auto"/>
        <w:left w:val="none" w:sz="0" w:space="0" w:color="auto"/>
        <w:bottom w:val="none" w:sz="0" w:space="0" w:color="auto"/>
        <w:right w:val="none" w:sz="0" w:space="0" w:color="auto"/>
      </w:divBdr>
    </w:div>
    <w:div w:id="1639187379">
      <w:bodyDiv w:val="1"/>
      <w:marLeft w:val="0"/>
      <w:marRight w:val="0"/>
      <w:marTop w:val="0"/>
      <w:marBottom w:val="0"/>
      <w:divBdr>
        <w:top w:val="none" w:sz="0" w:space="0" w:color="auto"/>
        <w:left w:val="none" w:sz="0" w:space="0" w:color="auto"/>
        <w:bottom w:val="none" w:sz="0" w:space="0" w:color="auto"/>
        <w:right w:val="none" w:sz="0" w:space="0" w:color="auto"/>
      </w:divBdr>
    </w:div>
    <w:div w:id="1639652507">
      <w:bodyDiv w:val="1"/>
      <w:marLeft w:val="0"/>
      <w:marRight w:val="0"/>
      <w:marTop w:val="0"/>
      <w:marBottom w:val="0"/>
      <w:divBdr>
        <w:top w:val="none" w:sz="0" w:space="0" w:color="auto"/>
        <w:left w:val="none" w:sz="0" w:space="0" w:color="auto"/>
        <w:bottom w:val="none" w:sz="0" w:space="0" w:color="auto"/>
        <w:right w:val="none" w:sz="0" w:space="0" w:color="auto"/>
      </w:divBdr>
    </w:div>
    <w:div w:id="1639870090">
      <w:bodyDiv w:val="1"/>
      <w:marLeft w:val="0"/>
      <w:marRight w:val="0"/>
      <w:marTop w:val="0"/>
      <w:marBottom w:val="0"/>
      <w:divBdr>
        <w:top w:val="none" w:sz="0" w:space="0" w:color="auto"/>
        <w:left w:val="none" w:sz="0" w:space="0" w:color="auto"/>
        <w:bottom w:val="none" w:sz="0" w:space="0" w:color="auto"/>
        <w:right w:val="none" w:sz="0" w:space="0" w:color="auto"/>
      </w:divBdr>
    </w:div>
    <w:div w:id="1640066561">
      <w:bodyDiv w:val="1"/>
      <w:marLeft w:val="0"/>
      <w:marRight w:val="0"/>
      <w:marTop w:val="0"/>
      <w:marBottom w:val="0"/>
      <w:divBdr>
        <w:top w:val="none" w:sz="0" w:space="0" w:color="auto"/>
        <w:left w:val="none" w:sz="0" w:space="0" w:color="auto"/>
        <w:bottom w:val="none" w:sz="0" w:space="0" w:color="auto"/>
        <w:right w:val="none" w:sz="0" w:space="0" w:color="auto"/>
      </w:divBdr>
    </w:div>
    <w:div w:id="1640308809">
      <w:bodyDiv w:val="1"/>
      <w:marLeft w:val="0"/>
      <w:marRight w:val="0"/>
      <w:marTop w:val="0"/>
      <w:marBottom w:val="0"/>
      <w:divBdr>
        <w:top w:val="none" w:sz="0" w:space="0" w:color="auto"/>
        <w:left w:val="none" w:sz="0" w:space="0" w:color="auto"/>
        <w:bottom w:val="none" w:sz="0" w:space="0" w:color="auto"/>
        <w:right w:val="none" w:sz="0" w:space="0" w:color="auto"/>
      </w:divBdr>
    </w:div>
    <w:div w:id="1640644412">
      <w:bodyDiv w:val="1"/>
      <w:marLeft w:val="0"/>
      <w:marRight w:val="0"/>
      <w:marTop w:val="0"/>
      <w:marBottom w:val="0"/>
      <w:divBdr>
        <w:top w:val="none" w:sz="0" w:space="0" w:color="auto"/>
        <w:left w:val="none" w:sz="0" w:space="0" w:color="auto"/>
        <w:bottom w:val="none" w:sz="0" w:space="0" w:color="auto"/>
        <w:right w:val="none" w:sz="0" w:space="0" w:color="auto"/>
      </w:divBdr>
    </w:div>
    <w:div w:id="1641152955">
      <w:bodyDiv w:val="1"/>
      <w:marLeft w:val="0"/>
      <w:marRight w:val="0"/>
      <w:marTop w:val="0"/>
      <w:marBottom w:val="0"/>
      <w:divBdr>
        <w:top w:val="none" w:sz="0" w:space="0" w:color="auto"/>
        <w:left w:val="none" w:sz="0" w:space="0" w:color="auto"/>
        <w:bottom w:val="none" w:sz="0" w:space="0" w:color="auto"/>
        <w:right w:val="none" w:sz="0" w:space="0" w:color="auto"/>
      </w:divBdr>
    </w:div>
    <w:div w:id="1641305350">
      <w:bodyDiv w:val="1"/>
      <w:marLeft w:val="0"/>
      <w:marRight w:val="0"/>
      <w:marTop w:val="0"/>
      <w:marBottom w:val="0"/>
      <w:divBdr>
        <w:top w:val="none" w:sz="0" w:space="0" w:color="auto"/>
        <w:left w:val="none" w:sz="0" w:space="0" w:color="auto"/>
        <w:bottom w:val="none" w:sz="0" w:space="0" w:color="auto"/>
        <w:right w:val="none" w:sz="0" w:space="0" w:color="auto"/>
      </w:divBdr>
    </w:div>
    <w:div w:id="1641840454">
      <w:bodyDiv w:val="1"/>
      <w:marLeft w:val="0"/>
      <w:marRight w:val="0"/>
      <w:marTop w:val="0"/>
      <w:marBottom w:val="0"/>
      <w:divBdr>
        <w:top w:val="none" w:sz="0" w:space="0" w:color="auto"/>
        <w:left w:val="none" w:sz="0" w:space="0" w:color="auto"/>
        <w:bottom w:val="none" w:sz="0" w:space="0" w:color="auto"/>
        <w:right w:val="none" w:sz="0" w:space="0" w:color="auto"/>
      </w:divBdr>
    </w:div>
    <w:div w:id="1642151833">
      <w:bodyDiv w:val="1"/>
      <w:marLeft w:val="0"/>
      <w:marRight w:val="0"/>
      <w:marTop w:val="0"/>
      <w:marBottom w:val="0"/>
      <w:divBdr>
        <w:top w:val="none" w:sz="0" w:space="0" w:color="auto"/>
        <w:left w:val="none" w:sz="0" w:space="0" w:color="auto"/>
        <w:bottom w:val="none" w:sz="0" w:space="0" w:color="auto"/>
        <w:right w:val="none" w:sz="0" w:space="0" w:color="auto"/>
      </w:divBdr>
    </w:div>
    <w:div w:id="1642270938">
      <w:bodyDiv w:val="1"/>
      <w:marLeft w:val="0"/>
      <w:marRight w:val="0"/>
      <w:marTop w:val="0"/>
      <w:marBottom w:val="0"/>
      <w:divBdr>
        <w:top w:val="none" w:sz="0" w:space="0" w:color="auto"/>
        <w:left w:val="none" w:sz="0" w:space="0" w:color="auto"/>
        <w:bottom w:val="none" w:sz="0" w:space="0" w:color="auto"/>
        <w:right w:val="none" w:sz="0" w:space="0" w:color="auto"/>
      </w:divBdr>
    </w:div>
    <w:div w:id="1642610288">
      <w:bodyDiv w:val="1"/>
      <w:marLeft w:val="0"/>
      <w:marRight w:val="0"/>
      <w:marTop w:val="0"/>
      <w:marBottom w:val="0"/>
      <w:divBdr>
        <w:top w:val="none" w:sz="0" w:space="0" w:color="auto"/>
        <w:left w:val="none" w:sz="0" w:space="0" w:color="auto"/>
        <w:bottom w:val="none" w:sz="0" w:space="0" w:color="auto"/>
        <w:right w:val="none" w:sz="0" w:space="0" w:color="auto"/>
      </w:divBdr>
    </w:div>
    <w:div w:id="1642685166">
      <w:bodyDiv w:val="1"/>
      <w:marLeft w:val="0"/>
      <w:marRight w:val="0"/>
      <w:marTop w:val="0"/>
      <w:marBottom w:val="0"/>
      <w:divBdr>
        <w:top w:val="none" w:sz="0" w:space="0" w:color="auto"/>
        <w:left w:val="none" w:sz="0" w:space="0" w:color="auto"/>
        <w:bottom w:val="none" w:sz="0" w:space="0" w:color="auto"/>
        <w:right w:val="none" w:sz="0" w:space="0" w:color="auto"/>
      </w:divBdr>
    </w:div>
    <w:div w:id="1643189472">
      <w:bodyDiv w:val="1"/>
      <w:marLeft w:val="0"/>
      <w:marRight w:val="0"/>
      <w:marTop w:val="0"/>
      <w:marBottom w:val="0"/>
      <w:divBdr>
        <w:top w:val="none" w:sz="0" w:space="0" w:color="auto"/>
        <w:left w:val="none" w:sz="0" w:space="0" w:color="auto"/>
        <w:bottom w:val="none" w:sz="0" w:space="0" w:color="auto"/>
        <w:right w:val="none" w:sz="0" w:space="0" w:color="auto"/>
      </w:divBdr>
    </w:div>
    <w:div w:id="1643459660">
      <w:bodyDiv w:val="1"/>
      <w:marLeft w:val="0"/>
      <w:marRight w:val="0"/>
      <w:marTop w:val="0"/>
      <w:marBottom w:val="0"/>
      <w:divBdr>
        <w:top w:val="none" w:sz="0" w:space="0" w:color="auto"/>
        <w:left w:val="none" w:sz="0" w:space="0" w:color="auto"/>
        <w:bottom w:val="none" w:sz="0" w:space="0" w:color="auto"/>
        <w:right w:val="none" w:sz="0" w:space="0" w:color="auto"/>
      </w:divBdr>
    </w:div>
    <w:div w:id="1643608824">
      <w:bodyDiv w:val="1"/>
      <w:marLeft w:val="0"/>
      <w:marRight w:val="0"/>
      <w:marTop w:val="0"/>
      <w:marBottom w:val="0"/>
      <w:divBdr>
        <w:top w:val="none" w:sz="0" w:space="0" w:color="auto"/>
        <w:left w:val="none" w:sz="0" w:space="0" w:color="auto"/>
        <w:bottom w:val="none" w:sz="0" w:space="0" w:color="auto"/>
        <w:right w:val="none" w:sz="0" w:space="0" w:color="auto"/>
      </w:divBdr>
    </w:div>
    <w:div w:id="1643806661">
      <w:bodyDiv w:val="1"/>
      <w:marLeft w:val="0"/>
      <w:marRight w:val="0"/>
      <w:marTop w:val="0"/>
      <w:marBottom w:val="0"/>
      <w:divBdr>
        <w:top w:val="none" w:sz="0" w:space="0" w:color="auto"/>
        <w:left w:val="none" w:sz="0" w:space="0" w:color="auto"/>
        <w:bottom w:val="none" w:sz="0" w:space="0" w:color="auto"/>
        <w:right w:val="none" w:sz="0" w:space="0" w:color="auto"/>
      </w:divBdr>
    </w:div>
    <w:div w:id="1643848346">
      <w:bodyDiv w:val="1"/>
      <w:marLeft w:val="0"/>
      <w:marRight w:val="0"/>
      <w:marTop w:val="0"/>
      <w:marBottom w:val="0"/>
      <w:divBdr>
        <w:top w:val="none" w:sz="0" w:space="0" w:color="auto"/>
        <w:left w:val="none" w:sz="0" w:space="0" w:color="auto"/>
        <w:bottom w:val="none" w:sz="0" w:space="0" w:color="auto"/>
        <w:right w:val="none" w:sz="0" w:space="0" w:color="auto"/>
      </w:divBdr>
    </w:div>
    <w:div w:id="1643919791">
      <w:bodyDiv w:val="1"/>
      <w:marLeft w:val="0"/>
      <w:marRight w:val="0"/>
      <w:marTop w:val="0"/>
      <w:marBottom w:val="0"/>
      <w:divBdr>
        <w:top w:val="none" w:sz="0" w:space="0" w:color="auto"/>
        <w:left w:val="none" w:sz="0" w:space="0" w:color="auto"/>
        <w:bottom w:val="none" w:sz="0" w:space="0" w:color="auto"/>
        <w:right w:val="none" w:sz="0" w:space="0" w:color="auto"/>
      </w:divBdr>
    </w:div>
    <w:div w:id="1644046745">
      <w:bodyDiv w:val="1"/>
      <w:marLeft w:val="0"/>
      <w:marRight w:val="0"/>
      <w:marTop w:val="0"/>
      <w:marBottom w:val="0"/>
      <w:divBdr>
        <w:top w:val="none" w:sz="0" w:space="0" w:color="auto"/>
        <w:left w:val="none" w:sz="0" w:space="0" w:color="auto"/>
        <w:bottom w:val="none" w:sz="0" w:space="0" w:color="auto"/>
        <w:right w:val="none" w:sz="0" w:space="0" w:color="auto"/>
      </w:divBdr>
    </w:div>
    <w:div w:id="1644114406">
      <w:bodyDiv w:val="1"/>
      <w:marLeft w:val="0"/>
      <w:marRight w:val="0"/>
      <w:marTop w:val="0"/>
      <w:marBottom w:val="0"/>
      <w:divBdr>
        <w:top w:val="none" w:sz="0" w:space="0" w:color="auto"/>
        <w:left w:val="none" w:sz="0" w:space="0" w:color="auto"/>
        <w:bottom w:val="none" w:sz="0" w:space="0" w:color="auto"/>
        <w:right w:val="none" w:sz="0" w:space="0" w:color="auto"/>
      </w:divBdr>
    </w:div>
    <w:div w:id="1644120998">
      <w:bodyDiv w:val="1"/>
      <w:marLeft w:val="0"/>
      <w:marRight w:val="0"/>
      <w:marTop w:val="0"/>
      <w:marBottom w:val="0"/>
      <w:divBdr>
        <w:top w:val="none" w:sz="0" w:space="0" w:color="auto"/>
        <w:left w:val="none" w:sz="0" w:space="0" w:color="auto"/>
        <w:bottom w:val="none" w:sz="0" w:space="0" w:color="auto"/>
        <w:right w:val="none" w:sz="0" w:space="0" w:color="auto"/>
      </w:divBdr>
    </w:div>
    <w:div w:id="1644848241">
      <w:bodyDiv w:val="1"/>
      <w:marLeft w:val="0"/>
      <w:marRight w:val="0"/>
      <w:marTop w:val="0"/>
      <w:marBottom w:val="0"/>
      <w:divBdr>
        <w:top w:val="none" w:sz="0" w:space="0" w:color="auto"/>
        <w:left w:val="none" w:sz="0" w:space="0" w:color="auto"/>
        <w:bottom w:val="none" w:sz="0" w:space="0" w:color="auto"/>
        <w:right w:val="none" w:sz="0" w:space="0" w:color="auto"/>
      </w:divBdr>
    </w:div>
    <w:div w:id="1646544770">
      <w:bodyDiv w:val="1"/>
      <w:marLeft w:val="0"/>
      <w:marRight w:val="0"/>
      <w:marTop w:val="0"/>
      <w:marBottom w:val="0"/>
      <w:divBdr>
        <w:top w:val="none" w:sz="0" w:space="0" w:color="auto"/>
        <w:left w:val="none" w:sz="0" w:space="0" w:color="auto"/>
        <w:bottom w:val="none" w:sz="0" w:space="0" w:color="auto"/>
        <w:right w:val="none" w:sz="0" w:space="0" w:color="auto"/>
      </w:divBdr>
    </w:div>
    <w:div w:id="1647199249">
      <w:bodyDiv w:val="1"/>
      <w:marLeft w:val="0"/>
      <w:marRight w:val="0"/>
      <w:marTop w:val="0"/>
      <w:marBottom w:val="0"/>
      <w:divBdr>
        <w:top w:val="none" w:sz="0" w:space="0" w:color="auto"/>
        <w:left w:val="none" w:sz="0" w:space="0" w:color="auto"/>
        <w:bottom w:val="none" w:sz="0" w:space="0" w:color="auto"/>
        <w:right w:val="none" w:sz="0" w:space="0" w:color="auto"/>
      </w:divBdr>
    </w:div>
    <w:div w:id="1647470761">
      <w:bodyDiv w:val="1"/>
      <w:marLeft w:val="0"/>
      <w:marRight w:val="0"/>
      <w:marTop w:val="0"/>
      <w:marBottom w:val="0"/>
      <w:divBdr>
        <w:top w:val="none" w:sz="0" w:space="0" w:color="auto"/>
        <w:left w:val="none" w:sz="0" w:space="0" w:color="auto"/>
        <w:bottom w:val="none" w:sz="0" w:space="0" w:color="auto"/>
        <w:right w:val="none" w:sz="0" w:space="0" w:color="auto"/>
      </w:divBdr>
    </w:div>
    <w:div w:id="1647542202">
      <w:bodyDiv w:val="1"/>
      <w:marLeft w:val="0"/>
      <w:marRight w:val="0"/>
      <w:marTop w:val="0"/>
      <w:marBottom w:val="0"/>
      <w:divBdr>
        <w:top w:val="none" w:sz="0" w:space="0" w:color="auto"/>
        <w:left w:val="none" w:sz="0" w:space="0" w:color="auto"/>
        <w:bottom w:val="none" w:sz="0" w:space="0" w:color="auto"/>
        <w:right w:val="none" w:sz="0" w:space="0" w:color="auto"/>
      </w:divBdr>
    </w:div>
    <w:div w:id="1647778556">
      <w:bodyDiv w:val="1"/>
      <w:marLeft w:val="0"/>
      <w:marRight w:val="0"/>
      <w:marTop w:val="0"/>
      <w:marBottom w:val="0"/>
      <w:divBdr>
        <w:top w:val="none" w:sz="0" w:space="0" w:color="auto"/>
        <w:left w:val="none" w:sz="0" w:space="0" w:color="auto"/>
        <w:bottom w:val="none" w:sz="0" w:space="0" w:color="auto"/>
        <w:right w:val="none" w:sz="0" w:space="0" w:color="auto"/>
      </w:divBdr>
    </w:div>
    <w:div w:id="1648049894">
      <w:bodyDiv w:val="1"/>
      <w:marLeft w:val="0"/>
      <w:marRight w:val="0"/>
      <w:marTop w:val="0"/>
      <w:marBottom w:val="0"/>
      <w:divBdr>
        <w:top w:val="none" w:sz="0" w:space="0" w:color="auto"/>
        <w:left w:val="none" w:sz="0" w:space="0" w:color="auto"/>
        <w:bottom w:val="none" w:sz="0" w:space="0" w:color="auto"/>
        <w:right w:val="none" w:sz="0" w:space="0" w:color="auto"/>
      </w:divBdr>
    </w:div>
    <w:div w:id="1648241115">
      <w:bodyDiv w:val="1"/>
      <w:marLeft w:val="0"/>
      <w:marRight w:val="0"/>
      <w:marTop w:val="0"/>
      <w:marBottom w:val="0"/>
      <w:divBdr>
        <w:top w:val="none" w:sz="0" w:space="0" w:color="auto"/>
        <w:left w:val="none" w:sz="0" w:space="0" w:color="auto"/>
        <w:bottom w:val="none" w:sz="0" w:space="0" w:color="auto"/>
        <w:right w:val="none" w:sz="0" w:space="0" w:color="auto"/>
      </w:divBdr>
    </w:div>
    <w:div w:id="1648364926">
      <w:bodyDiv w:val="1"/>
      <w:marLeft w:val="0"/>
      <w:marRight w:val="0"/>
      <w:marTop w:val="0"/>
      <w:marBottom w:val="0"/>
      <w:divBdr>
        <w:top w:val="none" w:sz="0" w:space="0" w:color="auto"/>
        <w:left w:val="none" w:sz="0" w:space="0" w:color="auto"/>
        <w:bottom w:val="none" w:sz="0" w:space="0" w:color="auto"/>
        <w:right w:val="none" w:sz="0" w:space="0" w:color="auto"/>
      </w:divBdr>
    </w:div>
    <w:div w:id="1648627980">
      <w:bodyDiv w:val="1"/>
      <w:marLeft w:val="0"/>
      <w:marRight w:val="0"/>
      <w:marTop w:val="0"/>
      <w:marBottom w:val="0"/>
      <w:divBdr>
        <w:top w:val="none" w:sz="0" w:space="0" w:color="auto"/>
        <w:left w:val="none" w:sz="0" w:space="0" w:color="auto"/>
        <w:bottom w:val="none" w:sz="0" w:space="0" w:color="auto"/>
        <w:right w:val="none" w:sz="0" w:space="0" w:color="auto"/>
      </w:divBdr>
    </w:div>
    <w:div w:id="1648708258">
      <w:bodyDiv w:val="1"/>
      <w:marLeft w:val="0"/>
      <w:marRight w:val="0"/>
      <w:marTop w:val="0"/>
      <w:marBottom w:val="0"/>
      <w:divBdr>
        <w:top w:val="none" w:sz="0" w:space="0" w:color="auto"/>
        <w:left w:val="none" w:sz="0" w:space="0" w:color="auto"/>
        <w:bottom w:val="none" w:sz="0" w:space="0" w:color="auto"/>
        <w:right w:val="none" w:sz="0" w:space="0" w:color="auto"/>
      </w:divBdr>
    </w:div>
    <w:div w:id="1649019667">
      <w:bodyDiv w:val="1"/>
      <w:marLeft w:val="0"/>
      <w:marRight w:val="0"/>
      <w:marTop w:val="0"/>
      <w:marBottom w:val="0"/>
      <w:divBdr>
        <w:top w:val="none" w:sz="0" w:space="0" w:color="auto"/>
        <w:left w:val="none" w:sz="0" w:space="0" w:color="auto"/>
        <w:bottom w:val="none" w:sz="0" w:space="0" w:color="auto"/>
        <w:right w:val="none" w:sz="0" w:space="0" w:color="auto"/>
      </w:divBdr>
    </w:div>
    <w:div w:id="1649089060">
      <w:bodyDiv w:val="1"/>
      <w:marLeft w:val="0"/>
      <w:marRight w:val="0"/>
      <w:marTop w:val="0"/>
      <w:marBottom w:val="0"/>
      <w:divBdr>
        <w:top w:val="none" w:sz="0" w:space="0" w:color="auto"/>
        <w:left w:val="none" w:sz="0" w:space="0" w:color="auto"/>
        <w:bottom w:val="none" w:sz="0" w:space="0" w:color="auto"/>
        <w:right w:val="none" w:sz="0" w:space="0" w:color="auto"/>
      </w:divBdr>
    </w:div>
    <w:div w:id="1649750026">
      <w:bodyDiv w:val="1"/>
      <w:marLeft w:val="0"/>
      <w:marRight w:val="0"/>
      <w:marTop w:val="0"/>
      <w:marBottom w:val="0"/>
      <w:divBdr>
        <w:top w:val="none" w:sz="0" w:space="0" w:color="auto"/>
        <w:left w:val="none" w:sz="0" w:space="0" w:color="auto"/>
        <w:bottom w:val="none" w:sz="0" w:space="0" w:color="auto"/>
        <w:right w:val="none" w:sz="0" w:space="0" w:color="auto"/>
      </w:divBdr>
    </w:div>
    <w:div w:id="1650207045">
      <w:bodyDiv w:val="1"/>
      <w:marLeft w:val="0"/>
      <w:marRight w:val="0"/>
      <w:marTop w:val="0"/>
      <w:marBottom w:val="0"/>
      <w:divBdr>
        <w:top w:val="none" w:sz="0" w:space="0" w:color="auto"/>
        <w:left w:val="none" w:sz="0" w:space="0" w:color="auto"/>
        <w:bottom w:val="none" w:sz="0" w:space="0" w:color="auto"/>
        <w:right w:val="none" w:sz="0" w:space="0" w:color="auto"/>
      </w:divBdr>
    </w:div>
    <w:div w:id="1651442423">
      <w:bodyDiv w:val="1"/>
      <w:marLeft w:val="0"/>
      <w:marRight w:val="0"/>
      <w:marTop w:val="0"/>
      <w:marBottom w:val="0"/>
      <w:divBdr>
        <w:top w:val="none" w:sz="0" w:space="0" w:color="auto"/>
        <w:left w:val="none" w:sz="0" w:space="0" w:color="auto"/>
        <w:bottom w:val="none" w:sz="0" w:space="0" w:color="auto"/>
        <w:right w:val="none" w:sz="0" w:space="0" w:color="auto"/>
      </w:divBdr>
    </w:div>
    <w:div w:id="1651908004">
      <w:bodyDiv w:val="1"/>
      <w:marLeft w:val="0"/>
      <w:marRight w:val="0"/>
      <w:marTop w:val="0"/>
      <w:marBottom w:val="0"/>
      <w:divBdr>
        <w:top w:val="none" w:sz="0" w:space="0" w:color="auto"/>
        <w:left w:val="none" w:sz="0" w:space="0" w:color="auto"/>
        <w:bottom w:val="none" w:sz="0" w:space="0" w:color="auto"/>
        <w:right w:val="none" w:sz="0" w:space="0" w:color="auto"/>
      </w:divBdr>
    </w:div>
    <w:div w:id="1652058321">
      <w:bodyDiv w:val="1"/>
      <w:marLeft w:val="0"/>
      <w:marRight w:val="0"/>
      <w:marTop w:val="0"/>
      <w:marBottom w:val="0"/>
      <w:divBdr>
        <w:top w:val="none" w:sz="0" w:space="0" w:color="auto"/>
        <w:left w:val="none" w:sz="0" w:space="0" w:color="auto"/>
        <w:bottom w:val="none" w:sz="0" w:space="0" w:color="auto"/>
        <w:right w:val="none" w:sz="0" w:space="0" w:color="auto"/>
      </w:divBdr>
    </w:div>
    <w:div w:id="1652514297">
      <w:bodyDiv w:val="1"/>
      <w:marLeft w:val="0"/>
      <w:marRight w:val="0"/>
      <w:marTop w:val="0"/>
      <w:marBottom w:val="0"/>
      <w:divBdr>
        <w:top w:val="none" w:sz="0" w:space="0" w:color="auto"/>
        <w:left w:val="none" w:sz="0" w:space="0" w:color="auto"/>
        <w:bottom w:val="none" w:sz="0" w:space="0" w:color="auto"/>
        <w:right w:val="none" w:sz="0" w:space="0" w:color="auto"/>
      </w:divBdr>
    </w:div>
    <w:div w:id="1653168808">
      <w:bodyDiv w:val="1"/>
      <w:marLeft w:val="0"/>
      <w:marRight w:val="0"/>
      <w:marTop w:val="0"/>
      <w:marBottom w:val="0"/>
      <w:divBdr>
        <w:top w:val="none" w:sz="0" w:space="0" w:color="auto"/>
        <w:left w:val="none" w:sz="0" w:space="0" w:color="auto"/>
        <w:bottom w:val="none" w:sz="0" w:space="0" w:color="auto"/>
        <w:right w:val="none" w:sz="0" w:space="0" w:color="auto"/>
      </w:divBdr>
    </w:div>
    <w:div w:id="1653371247">
      <w:bodyDiv w:val="1"/>
      <w:marLeft w:val="0"/>
      <w:marRight w:val="0"/>
      <w:marTop w:val="0"/>
      <w:marBottom w:val="0"/>
      <w:divBdr>
        <w:top w:val="none" w:sz="0" w:space="0" w:color="auto"/>
        <w:left w:val="none" w:sz="0" w:space="0" w:color="auto"/>
        <w:bottom w:val="none" w:sz="0" w:space="0" w:color="auto"/>
        <w:right w:val="none" w:sz="0" w:space="0" w:color="auto"/>
      </w:divBdr>
    </w:div>
    <w:div w:id="1653408371">
      <w:bodyDiv w:val="1"/>
      <w:marLeft w:val="0"/>
      <w:marRight w:val="0"/>
      <w:marTop w:val="0"/>
      <w:marBottom w:val="0"/>
      <w:divBdr>
        <w:top w:val="none" w:sz="0" w:space="0" w:color="auto"/>
        <w:left w:val="none" w:sz="0" w:space="0" w:color="auto"/>
        <w:bottom w:val="none" w:sz="0" w:space="0" w:color="auto"/>
        <w:right w:val="none" w:sz="0" w:space="0" w:color="auto"/>
      </w:divBdr>
    </w:div>
    <w:div w:id="1653484687">
      <w:bodyDiv w:val="1"/>
      <w:marLeft w:val="0"/>
      <w:marRight w:val="0"/>
      <w:marTop w:val="0"/>
      <w:marBottom w:val="0"/>
      <w:divBdr>
        <w:top w:val="none" w:sz="0" w:space="0" w:color="auto"/>
        <w:left w:val="none" w:sz="0" w:space="0" w:color="auto"/>
        <w:bottom w:val="none" w:sz="0" w:space="0" w:color="auto"/>
        <w:right w:val="none" w:sz="0" w:space="0" w:color="auto"/>
      </w:divBdr>
    </w:div>
    <w:div w:id="1654218278">
      <w:bodyDiv w:val="1"/>
      <w:marLeft w:val="0"/>
      <w:marRight w:val="0"/>
      <w:marTop w:val="0"/>
      <w:marBottom w:val="0"/>
      <w:divBdr>
        <w:top w:val="none" w:sz="0" w:space="0" w:color="auto"/>
        <w:left w:val="none" w:sz="0" w:space="0" w:color="auto"/>
        <w:bottom w:val="none" w:sz="0" w:space="0" w:color="auto"/>
        <w:right w:val="none" w:sz="0" w:space="0" w:color="auto"/>
      </w:divBdr>
    </w:div>
    <w:div w:id="1654678367">
      <w:bodyDiv w:val="1"/>
      <w:marLeft w:val="0"/>
      <w:marRight w:val="0"/>
      <w:marTop w:val="0"/>
      <w:marBottom w:val="0"/>
      <w:divBdr>
        <w:top w:val="none" w:sz="0" w:space="0" w:color="auto"/>
        <w:left w:val="none" w:sz="0" w:space="0" w:color="auto"/>
        <w:bottom w:val="none" w:sz="0" w:space="0" w:color="auto"/>
        <w:right w:val="none" w:sz="0" w:space="0" w:color="auto"/>
      </w:divBdr>
    </w:div>
    <w:div w:id="1655645230">
      <w:bodyDiv w:val="1"/>
      <w:marLeft w:val="0"/>
      <w:marRight w:val="0"/>
      <w:marTop w:val="0"/>
      <w:marBottom w:val="0"/>
      <w:divBdr>
        <w:top w:val="none" w:sz="0" w:space="0" w:color="auto"/>
        <w:left w:val="none" w:sz="0" w:space="0" w:color="auto"/>
        <w:bottom w:val="none" w:sz="0" w:space="0" w:color="auto"/>
        <w:right w:val="none" w:sz="0" w:space="0" w:color="auto"/>
      </w:divBdr>
    </w:div>
    <w:div w:id="1656378715">
      <w:bodyDiv w:val="1"/>
      <w:marLeft w:val="0"/>
      <w:marRight w:val="0"/>
      <w:marTop w:val="0"/>
      <w:marBottom w:val="0"/>
      <w:divBdr>
        <w:top w:val="none" w:sz="0" w:space="0" w:color="auto"/>
        <w:left w:val="none" w:sz="0" w:space="0" w:color="auto"/>
        <w:bottom w:val="none" w:sz="0" w:space="0" w:color="auto"/>
        <w:right w:val="none" w:sz="0" w:space="0" w:color="auto"/>
      </w:divBdr>
    </w:div>
    <w:div w:id="1656495442">
      <w:bodyDiv w:val="1"/>
      <w:marLeft w:val="0"/>
      <w:marRight w:val="0"/>
      <w:marTop w:val="0"/>
      <w:marBottom w:val="0"/>
      <w:divBdr>
        <w:top w:val="none" w:sz="0" w:space="0" w:color="auto"/>
        <w:left w:val="none" w:sz="0" w:space="0" w:color="auto"/>
        <w:bottom w:val="none" w:sz="0" w:space="0" w:color="auto"/>
        <w:right w:val="none" w:sz="0" w:space="0" w:color="auto"/>
      </w:divBdr>
    </w:div>
    <w:div w:id="1657612579">
      <w:bodyDiv w:val="1"/>
      <w:marLeft w:val="0"/>
      <w:marRight w:val="0"/>
      <w:marTop w:val="0"/>
      <w:marBottom w:val="0"/>
      <w:divBdr>
        <w:top w:val="none" w:sz="0" w:space="0" w:color="auto"/>
        <w:left w:val="none" w:sz="0" w:space="0" w:color="auto"/>
        <w:bottom w:val="none" w:sz="0" w:space="0" w:color="auto"/>
        <w:right w:val="none" w:sz="0" w:space="0" w:color="auto"/>
      </w:divBdr>
    </w:div>
    <w:div w:id="1657799437">
      <w:bodyDiv w:val="1"/>
      <w:marLeft w:val="0"/>
      <w:marRight w:val="0"/>
      <w:marTop w:val="0"/>
      <w:marBottom w:val="0"/>
      <w:divBdr>
        <w:top w:val="none" w:sz="0" w:space="0" w:color="auto"/>
        <w:left w:val="none" w:sz="0" w:space="0" w:color="auto"/>
        <w:bottom w:val="none" w:sz="0" w:space="0" w:color="auto"/>
        <w:right w:val="none" w:sz="0" w:space="0" w:color="auto"/>
      </w:divBdr>
    </w:div>
    <w:div w:id="1657805140">
      <w:bodyDiv w:val="1"/>
      <w:marLeft w:val="0"/>
      <w:marRight w:val="0"/>
      <w:marTop w:val="0"/>
      <w:marBottom w:val="0"/>
      <w:divBdr>
        <w:top w:val="none" w:sz="0" w:space="0" w:color="auto"/>
        <w:left w:val="none" w:sz="0" w:space="0" w:color="auto"/>
        <w:bottom w:val="none" w:sz="0" w:space="0" w:color="auto"/>
        <w:right w:val="none" w:sz="0" w:space="0" w:color="auto"/>
      </w:divBdr>
    </w:div>
    <w:div w:id="1657805251">
      <w:bodyDiv w:val="1"/>
      <w:marLeft w:val="0"/>
      <w:marRight w:val="0"/>
      <w:marTop w:val="0"/>
      <w:marBottom w:val="0"/>
      <w:divBdr>
        <w:top w:val="none" w:sz="0" w:space="0" w:color="auto"/>
        <w:left w:val="none" w:sz="0" w:space="0" w:color="auto"/>
        <w:bottom w:val="none" w:sz="0" w:space="0" w:color="auto"/>
        <w:right w:val="none" w:sz="0" w:space="0" w:color="auto"/>
      </w:divBdr>
    </w:div>
    <w:div w:id="1657879393">
      <w:bodyDiv w:val="1"/>
      <w:marLeft w:val="0"/>
      <w:marRight w:val="0"/>
      <w:marTop w:val="0"/>
      <w:marBottom w:val="0"/>
      <w:divBdr>
        <w:top w:val="none" w:sz="0" w:space="0" w:color="auto"/>
        <w:left w:val="none" w:sz="0" w:space="0" w:color="auto"/>
        <w:bottom w:val="none" w:sz="0" w:space="0" w:color="auto"/>
        <w:right w:val="none" w:sz="0" w:space="0" w:color="auto"/>
      </w:divBdr>
    </w:div>
    <w:div w:id="1658610965">
      <w:bodyDiv w:val="1"/>
      <w:marLeft w:val="0"/>
      <w:marRight w:val="0"/>
      <w:marTop w:val="0"/>
      <w:marBottom w:val="0"/>
      <w:divBdr>
        <w:top w:val="none" w:sz="0" w:space="0" w:color="auto"/>
        <w:left w:val="none" w:sz="0" w:space="0" w:color="auto"/>
        <w:bottom w:val="none" w:sz="0" w:space="0" w:color="auto"/>
        <w:right w:val="none" w:sz="0" w:space="0" w:color="auto"/>
      </w:divBdr>
    </w:div>
    <w:div w:id="1658652271">
      <w:bodyDiv w:val="1"/>
      <w:marLeft w:val="0"/>
      <w:marRight w:val="0"/>
      <w:marTop w:val="0"/>
      <w:marBottom w:val="0"/>
      <w:divBdr>
        <w:top w:val="none" w:sz="0" w:space="0" w:color="auto"/>
        <w:left w:val="none" w:sz="0" w:space="0" w:color="auto"/>
        <w:bottom w:val="none" w:sz="0" w:space="0" w:color="auto"/>
        <w:right w:val="none" w:sz="0" w:space="0" w:color="auto"/>
      </w:divBdr>
    </w:div>
    <w:div w:id="1658681305">
      <w:bodyDiv w:val="1"/>
      <w:marLeft w:val="0"/>
      <w:marRight w:val="0"/>
      <w:marTop w:val="0"/>
      <w:marBottom w:val="0"/>
      <w:divBdr>
        <w:top w:val="none" w:sz="0" w:space="0" w:color="auto"/>
        <w:left w:val="none" w:sz="0" w:space="0" w:color="auto"/>
        <w:bottom w:val="none" w:sz="0" w:space="0" w:color="auto"/>
        <w:right w:val="none" w:sz="0" w:space="0" w:color="auto"/>
      </w:divBdr>
    </w:div>
    <w:div w:id="1659266959">
      <w:bodyDiv w:val="1"/>
      <w:marLeft w:val="0"/>
      <w:marRight w:val="0"/>
      <w:marTop w:val="0"/>
      <w:marBottom w:val="0"/>
      <w:divBdr>
        <w:top w:val="none" w:sz="0" w:space="0" w:color="auto"/>
        <w:left w:val="none" w:sz="0" w:space="0" w:color="auto"/>
        <w:bottom w:val="none" w:sz="0" w:space="0" w:color="auto"/>
        <w:right w:val="none" w:sz="0" w:space="0" w:color="auto"/>
      </w:divBdr>
    </w:div>
    <w:div w:id="1659308095">
      <w:bodyDiv w:val="1"/>
      <w:marLeft w:val="0"/>
      <w:marRight w:val="0"/>
      <w:marTop w:val="0"/>
      <w:marBottom w:val="0"/>
      <w:divBdr>
        <w:top w:val="none" w:sz="0" w:space="0" w:color="auto"/>
        <w:left w:val="none" w:sz="0" w:space="0" w:color="auto"/>
        <w:bottom w:val="none" w:sz="0" w:space="0" w:color="auto"/>
        <w:right w:val="none" w:sz="0" w:space="0" w:color="auto"/>
      </w:divBdr>
    </w:div>
    <w:div w:id="1659531127">
      <w:bodyDiv w:val="1"/>
      <w:marLeft w:val="0"/>
      <w:marRight w:val="0"/>
      <w:marTop w:val="0"/>
      <w:marBottom w:val="0"/>
      <w:divBdr>
        <w:top w:val="none" w:sz="0" w:space="0" w:color="auto"/>
        <w:left w:val="none" w:sz="0" w:space="0" w:color="auto"/>
        <w:bottom w:val="none" w:sz="0" w:space="0" w:color="auto"/>
        <w:right w:val="none" w:sz="0" w:space="0" w:color="auto"/>
      </w:divBdr>
    </w:div>
    <w:div w:id="1659916315">
      <w:bodyDiv w:val="1"/>
      <w:marLeft w:val="0"/>
      <w:marRight w:val="0"/>
      <w:marTop w:val="0"/>
      <w:marBottom w:val="0"/>
      <w:divBdr>
        <w:top w:val="none" w:sz="0" w:space="0" w:color="auto"/>
        <w:left w:val="none" w:sz="0" w:space="0" w:color="auto"/>
        <w:bottom w:val="none" w:sz="0" w:space="0" w:color="auto"/>
        <w:right w:val="none" w:sz="0" w:space="0" w:color="auto"/>
      </w:divBdr>
    </w:div>
    <w:div w:id="1660574462">
      <w:bodyDiv w:val="1"/>
      <w:marLeft w:val="0"/>
      <w:marRight w:val="0"/>
      <w:marTop w:val="0"/>
      <w:marBottom w:val="0"/>
      <w:divBdr>
        <w:top w:val="none" w:sz="0" w:space="0" w:color="auto"/>
        <w:left w:val="none" w:sz="0" w:space="0" w:color="auto"/>
        <w:bottom w:val="none" w:sz="0" w:space="0" w:color="auto"/>
        <w:right w:val="none" w:sz="0" w:space="0" w:color="auto"/>
      </w:divBdr>
    </w:div>
    <w:div w:id="1660618658">
      <w:bodyDiv w:val="1"/>
      <w:marLeft w:val="0"/>
      <w:marRight w:val="0"/>
      <w:marTop w:val="0"/>
      <w:marBottom w:val="0"/>
      <w:divBdr>
        <w:top w:val="none" w:sz="0" w:space="0" w:color="auto"/>
        <w:left w:val="none" w:sz="0" w:space="0" w:color="auto"/>
        <w:bottom w:val="none" w:sz="0" w:space="0" w:color="auto"/>
        <w:right w:val="none" w:sz="0" w:space="0" w:color="auto"/>
      </w:divBdr>
    </w:div>
    <w:div w:id="1660689669">
      <w:bodyDiv w:val="1"/>
      <w:marLeft w:val="0"/>
      <w:marRight w:val="0"/>
      <w:marTop w:val="0"/>
      <w:marBottom w:val="0"/>
      <w:divBdr>
        <w:top w:val="none" w:sz="0" w:space="0" w:color="auto"/>
        <w:left w:val="none" w:sz="0" w:space="0" w:color="auto"/>
        <w:bottom w:val="none" w:sz="0" w:space="0" w:color="auto"/>
        <w:right w:val="none" w:sz="0" w:space="0" w:color="auto"/>
      </w:divBdr>
    </w:div>
    <w:div w:id="1661273194">
      <w:bodyDiv w:val="1"/>
      <w:marLeft w:val="0"/>
      <w:marRight w:val="0"/>
      <w:marTop w:val="0"/>
      <w:marBottom w:val="0"/>
      <w:divBdr>
        <w:top w:val="none" w:sz="0" w:space="0" w:color="auto"/>
        <w:left w:val="none" w:sz="0" w:space="0" w:color="auto"/>
        <w:bottom w:val="none" w:sz="0" w:space="0" w:color="auto"/>
        <w:right w:val="none" w:sz="0" w:space="0" w:color="auto"/>
      </w:divBdr>
    </w:div>
    <w:div w:id="1661352501">
      <w:bodyDiv w:val="1"/>
      <w:marLeft w:val="0"/>
      <w:marRight w:val="0"/>
      <w:marTop w:val="0"/>
      <w:marBottom w:val="0"/>
      <w:divBdr>
        <w:top w:val="none" w:sz="0" w:space="0" w:color="auto"/>
        <w:left w:val="none" w:sz="0" w:space="0" w:color="auto"/>
        <w:bottom w:val="none" w:sz="0" w:space="0" w:color="auto"/>
        <w:right w:val="none" w:sz="0" w:space="0" w:color="auto"/>
      </w:divBdr>
    </w:div>
    <w:div w:id="1661620074">
      <w:bodyDiv w:val="1"/>
      <w:marLeft w:val="0"/>
      <w:marRight w:val="0"/>
      <w:marTop w:val="0"/>
      <w:marBottom w:val="0"/>
      <w:divBdr>
        <w:top w:val="none" w:sz="0" w:space="0" w:color="auto"/>
        <w:left w:val="none" w:sz="0" w:space="0" w:color="auto"/>
        <w:bottom w:val="none" w:sz="0" w:space="0" w:color="auto"/>
        <w:right w:val="none" w:sz="0" w:space="0" w:color="auto"/>
      </w:divBdr>
    </w:div>
    <w:div w:id="1661812882">
      <w:bodyDiv w:val="1"/>
      <w:marLeft w:val="0"/>
      <w:marRight w:val="0"/>
      <w:marTop w:val="0"/>
      <w:marBottom w:val="0"/>
      <w:divBdr>
        <w:top w:val="none" w:sz="0" w:space="0" w:color="auto"/>
        <w:left w:val="none" w:sz="0" w:space="0" w:color="auto"/>
        <w:bottom w:val="none" w:sz="0" w:space="0" w:color="auto"/>
        <w:right w:val="none" w:sz="0" w:space="0" w:color="auto"/>
      </w:divBdr>
    </w:div>
    <w:div w:id="1661883021">
      <w:bodyDiv w:val="1"/>
      <w:marLeft w:val="0"/>
      <w:marRight w:val="0"/>
      <w:marTop w:val="0"/>
      <w:marBottom w:val="0"/>
      <w:divBdr>
        <w:top w:val="none" w:sz="0" w:space="0" w:color="auto"/>
        <w:left w:val="none" w:sz="0" w:space="0" w:color="auto"/>
        <w:bottom w:val="none" w:sz="0" w:space="0" w:color="auto"/>
        <w:right w:val="none" w:sz="0" w:space="0" w:color="auto"/>
      </w:divBdr>
    </w:div>
    <w:div w:id="1663464224">
      <w:bodyDiv w:val="1"/>
      <w:marLeft w:val="0"/>
      <w:marRight w:val="0"/>
      <w:marTop w:val="0"/>
      <w:marBottom w:val="0"/>
      <w:divBdr>
        <w:top w:val="none" w:sz="0" w:space="0" w:color="auto"/>
        <w:left w:val="none" w:sz="0" w:space="0" w:color="auto"/>
        <w:bottom w:val="none" w:sz="0" w:space="0" w:color="auto"/>
        <w:right w:val="none" w:sz="0" w:space="0" w:color="auto"/>
      </w:divBdr>
    </w:div>
    <w:div w:id="1664314790">
      <w:bodyDiv w:val="1"/>
      <w:marLeft w:val="0"/>
      <w:marRight w:val="0"/>
      <w:marTop w:val="0"/>
      <w:marBottom w:val="0"/>
      <w:divBdr>
        <w:top w:val="none" w:sz="0" w:space="0" w:color="auto"/>
        <w:left w:val="none" w:sz="0" w:space="0" w:color="auto"/>
        <w:bottom w:val="none" w:sz="0" w:space="0" w:color="auto"/>
        <w:right w:val="none" w:sz="0" w:space="0" w:color="auto"/>
      </w:divBdr>
    </w:div>
    <w:div w:id="1664550535">
      <w:bodyDiv w:val="1"/>
      <w:marLeft w:val="0"/>
      <w:marRight w:val="0"/>
      <w:marTop w:val="0"/>
      <w:marBottom w:val="0"/>
      <w:divBdr>
        <w:top w:val="none" w:sz="0" w:space="0" w:color="auto"/>
        <w:left w:val="none" w:sz="0" w:space="0" w:color="auto"/>
        <w:bottom w:val="none" w:sz="0" w:space="0" w:color="auto"/>
        <w:right w:val="none" w:sz="0" w:space="0" w:color="auto"/>
      </w:divBdr>
    </w:div>
    <w:div w:id="1664770552">
      <w:bodyDiv w:val="1"/>
      <w:marLeft w:val="0"/>
      <w:marRight w:val="0"/>
      <w:marTop w:val="0"/>
      <w:marBottom w:val="0"/>
      <w:divBdr>
        <w:top w:val="none" w:sz="0" w:space="0" w:color="auto"/>
        <w:left w:val="none" w:sz="0" w:space="0" w:color="auto"/>
        <w:bottom w:val="none" w:sz="0" w:space="0" w:color="auto"/>
        <w:right w:val="none" w:sz="0" w:space="0" w:color="auto"/>
      </w:divBdr>
    </w:div>
    <w:div w:id="1665166551">
      <w:bodyDiv w:val="1"/>
      <w:marLeft w:val="0"/>
      <w:marRight w:val="0"/>
      <w:marTop w:val="0"/>
      <w:marBottom w:val="0"/>
      <w:divBdr>
        <w:top w:val="none" w:sz="0" w:space="0" w:color="auto"/>
        <w:left w:val="none" w:sz="0" w:space="0" w:color="auto"/>
        <w:bottom w:val="none" w:sz="0" w:space="0" w:color="auto"/>
        <w:right w:val="none" w:sz="0" w:space="0" w:color="auto"/>
      </w:divBdr>
    </w:div>
    <w:div w:id="1665279015">
      <w:bodyDiv w:val="1"/>
      <w:marLeft w:val="0"/>
      <w:marRight w:val="0"/>
      <w:marTop w:val="0"/>
      <w:marBottom w:val="0"/>
      <w:divBdr>
        <w:top w:val="none" w:sz="0" w:space="0" w:color="auto"/>
        <w:left w:val="none" w:sz="0" w:space="0" w:color="auto"/>
        <w:bottom w:val="none" w:sz="0" w:space="0" w:color="auto"/>
        <w:right w:val="none" w:sz="0" w:space="0" w:color="auto"/>
      </w:divBdr>
    </w:div>
    <w:div w:id="1665472002">
      <w:bodyDiv w:val="1"/>
      <w:marLeft w:val="0"/>
      <w:marRight w:val="0"/>
      <w:marTop w:val="0"/>
      <w:marBottom w:val="0"/>
      <w:divBdr>
        <w:top w:val="none" w:sz="0" w:space="0" w:color="auto"/>
        <w:left w:val="none" w:sz="0" w:space="0" w:color="auto"/>
        <w:bottom w:val="none" w:sz="0" w:space="0" w:color="auto"/>
        <w:right w:val="none" w:sz="0" w:space="0" w:color="auto"/>
      </w:divBdr>
    </w:div>
    <w:div w:id="1666472772">
      <w:bodyDiv w:val="1"/>
      <w:marLeft w:val="0"/>
      <w:marRight w:val="0"/>
      <w:marTop w:val="0"/>
      <w:marBottom w:val="0"/>
      <w:divBdr>
        <w:top w:val="none" w:sz="0" w:space="0" w:color="auto"/>
        <w:left w:val="none" w:sz="0" w:space="0" w:color="auto"/>
        <w:bottom w:val="none" w:sz="0" w:space="0" w:color="auto"/>
        <w:right w:val="none" w:sz="0" w:space="0" w:color="auto"/>
      </w:divBdr>
    </w:div>
    <w:div w:id="1667005079">
      <w:bodyDiv w:val="1"/>
      <w:marLeft w:val="0"/>
      <w:marRight w:val="0"/>
      <w:marTop w:val="0"/>
      <w:marBottom w:val="0"/>
      <w:divBdr>
        <w:top w:val="none" w:sz="0" w:space="0" w:color="auto"/>
        <w:left w:val="none" w:sz="0" w:space="0" w:color="auto"/>
        <w:bottom w:val="none" w:sz="0" w:space="0" w:color="auto"/>
        <w:right w:val="none" w:sz="0" w:space="0" w:color="auto"/>
      </w:divBdr>
    </w:div>
    <w:div w:id="1667052739">
      <w:bodyDiv w:val="1"/>
      <w:marLeft w:val="0"/>
      <w:marRight w:val="0"/>
      <w:marTop w:val="0"/>
      <w:marBottom w:val="0"/>
      <w:divBdr>
        <w:top w:val="none" w:sz="0" w:space="0" w:color="auto"/>
        <w:left w:val="none" w:sz="0" w:space="0" w:color="auto"/>
        <w:bottom w:val="none" w:sz="0" w:space="0" w:color="auto"/>
        <w:right w:val="none" w:sz="0" w:space="0" w:color="auto"/>
      </w:divBdr>
    </w:div>
    <w:div w:id="1667128645">
      <w:bodyDiv w:val="1"/>
      <w:marLeft w:val="0"/>
      <w:marRight w:val="0"/>
      <w:marTop w:val="0"/>
      <w:marBottom w:val="0"/>
      <w:divBdr>
        <w:top w:val="none" w:sz="0" w:space="0" w:color="auto"/>
        <w:left w:val="none" w:sz="0" w:space="0" w:color="auto"/>
        <w:bottom w:val="none" w:sz="0" w:space="0" w:color="auto"/>
        <w:right w:val="none" w:sz="0" w:space="0" w:color="auto"/>
      </w:divBdr>
    </w:div>
    <w:div w:id="1667245485">
      <w:bodyDiv w:val="1"/>
      <w:marLeft w:val="0"/>
      <w:marRight w:val="0"/>
      <w:marTop w:val="0"/>
      <w:marBottom w:val="0"/>
      <w:divBdr>
        <w:top w:val="none" w:sz="0" w:space="0" w:color="auto"/>
        <w:left w:val="none" w:sz="0" w:space="0" w:color="auto"/>
        <w:bottom w:val="none" w:sz="0" w:space="0" w:color="auto"/>
        <w:right w:val="none" w:sz="0" w:space="0" w:color="auto"/>
      </w:divBdr>
    </w:div>
    <w:div w:id="1667854129">
      <w:bodyDiv w:val="1"/>
      <w:marLeft w:val="0"/>
      <w:marRight w:val="0"/>
      <w:marTop w:val="0"/>
      <w:marBottom w:val="0"/>
      <w:divBdr>
        <w:top w:val="none" w:sz="0" w:space="0" w:color="auto"/>
        <w:left w:val="none" w:sz="0" w:space="0" w:color="auto"/>
        <w:bottom w:val="none" w:sz="0" w:space="0" w:color="auto"/>
        <w:right w:val="none" w:sz="0" w:space="0" w:color="auto"/>
      </w:divBdr>
    </w:div>
    <w:div w:id="1668052376">
      <w:bodyDiv w:val="1"/>
      <w:marLeft w:val="0"/>
      <w:marRight w:val="0"/>
      <w:marTop w:val="0"/>
      <w:marBottom w:val="0"/>
      <w:divBdr>
        <w:top w:val="none" w:sz="0" w:space="0" w:color="auto"/>
        <w:left w:val="none" w:sz="0" w:space="0" w:color="auto"/>
        <w:bottom w:val="none" w:sz="0" w:space="0" w:color="auto"/>
        <w:right w:val="none" w:sz="0" w:space="0" w:color="auto"/>
      </w:divBdr>
    </w:div>
    <w:div w:id="1668482189">
      <w:bodyDiv w:val="1"/>
      <w:marLeft w:val="0"/>
      <w:marRight w:val="0"/>
      <w:marTop w:val="0"/>
      <w:marBottom w:val="0"/>
      <w:divBdr>
        <w:top w:val="none" w:sz="0" w:space="0" w:color="auto"/>
        <w:left w:val="none" w:sz="0" w:space="0" w:color="auto"/>
        <w:bottom w:val="none" w:sz="0" w:space="0" w:color="auto"/>
        <w:right w:val="none" w:sz="0" w:space="0" w:color="auto"/>
      </w:divBdr>
    </w:div>
    <w:div w:id="1668630612">
      <w:bodyDiv w:val="1"/>
      <w:marLeft w:val="0"/>
      <w:marRight w:val="0"/>
      <w:marTop w:val="0"/>
      <w:marBottom w:val="0"/>
      <w:divBdr>
        <w:top w:val="none" w:sz="0" w:space="0" w:color="auto"/>
        <w:left w:val="none" w:sz="0" w:space="0" w:color="auto"/>
        <w:bottom w:val="none" w:sz="0" w:space="0" w:color="auto"/>
        <w:right w:val="none" w:sz="0" w:space="0" w:color="auto"/>
      </w:divBdr>
    </w:div>
    <w:div w:id="1669213229">
      <w:bodyDiv w:val="1"/>
      <w:marLeft w:val="0"/>
      <w:marRight w:val="0"/>
      <w:marTop w:val="0"/>
      <w:marBottom w:val="0"/>
      <w:divBdr>
        <w:top w:val="none" w:sz="0" w:space="0" w:color="auto"/>
        <w:left w:val="none" w:sz="0" w:space="0" w:color="auto"/>
        <w:bottom w:val="none" w:sz="0" w:space="0" w:color="auto"/>
        <w:right w:val="none" w:sz="0" w:space="0" w:color="auto"/>
      </w:divBdr>
    </w:div>
    <w:div w:id="1669287308">
      <w:bodyDiv w:val="1"/>
      <w:marLeft w:val="0"/>
      <w:marRight w:val="0"/>
      <w:marTop w:val="0"/>
      <w:marBottom w:val="0"/>
      <w:divBdr>
        <w:top w:val="none" w:sz="0" w:space="0" w:color="auto"/>
        <w:left w:val="none" w:sz="0" w:space="0" w:color="auto"/>
        <w:bottom w:val="none" w:sz="0" w:space="0" w:color="auto"/>
        <w:right w:val="none" w:sz="0" w:space="0" w:color="auto"/>
      </w:divBdr>
    </w:div>
    <w:div w:id="1669289791">
      <w:bodyDiv w:val="1"/>
      <w:marLeft w:val="0"/>
      <w:marRight w:val="0"/>
      <w:marTop w:val="0"/>
      <w:marBottom w:val="0"/>
      <w:divBdr>
        <w:top w:val="none" w:sz="0" w:space="0" w:color="auto"/>
        <w:left w:val="none" w:sz="0" w:space="0" w:color="auto"/>
        <w:bottom w:val="none" w:sz="0" w:space="0" w:color="auto"/>
        <w:right w:val="none" w:sz="0" w:space="0" w:color="auto"/>
      </w:divBdr>
    </w:div>
    <w:div w:id="1669409533">
      <w:bodyDiv w:val="1"/>
      <w:marLeft w:val="0"/>
      <w:marRight w:val="0"/>
      <w:marTop w:val="0"/>
      <w:marBottom w:val="0"/>
      <w:divBdr>
        <w:top w:val="none" w:sz="0" w:space="0" w:color="auto"/>
        <w:left w:val="none" w:sz="0" w:space="0" w:color="auto"/>
        <w:bottom w:val="none" w:sz="0" w:space="0" w:color="auto"/>
        <w:right w:val="none" w:sz="0" w:space="0" w:color="auto"/>
      </w:divBdr>
    </w:div>
    <w:div w:id="1669870497">
      <w:bodyDiv w:val="1"/>
      <w:marLeft w:val="0"/>
      <w:marRight w:val="0"/>
      <w:marTop w:val="0"/>
      <w:marBottom w:val="0"/>
      <w:divBdr>
        <w:top w:val="none" w:sz="0" w:space="0" w:color="auto"/>
        <w:left w:val="none" w:sz="0" w:space="0" w:color="auto"/>
        <w:bottom w:val="none" w:sz="0" w:space="0" w:color="auto"/>
        <w:right w:val="none" w:sz="0" w:space="0" w:color="auto"/>
      </w:divBdr>
    </w:div>
    <w:div w:id="1670131748">
      <w:bodyDiv w:val="1"/>
      <w:marLeft w:val="0"/>
      <w:marRight w:val="0"/>
      <w:marTop w:val="0"/>
      <w:marBottom w:val="0"/>
      <w:divBdr>
        <w:top w:val="none" w:sz="0" w:space="0" w:color="auto"/>
        <w:left w:val="none" w:sz="0" w:space="0" w:color="auto"/>
        <w:bottom w:val="none" w:sz="0" w:space="0" w:color="auto"/>
        <w:right w:val="none" w:sz="0" w:space="0" w:color="auto"/>
      </w:divBdr>
    </w:div>
    <w:div w:id="1670210613">
      <w:bodyDiv w:val="1"/>
      <w:marLeft w:val="0"/>
      <w:marRight w:val="0"/>
      <w:marTop w:val="0"/>
      <w:marBottom w:val="0"/>
      <w:divBdr>
        <w:top w:val="none" w:sz="0" w:space="0" w:color="auto"/>
        <w:left w:val="none" w:sz="0" w:space="0" w:color="auto"/>
        <w:bottom w:val="none" w:sz="0" w:space="0" w:color="auto"/>
        <w:right w:val="none" w:sz="0" w:space="0" w:color="auto"/>
      </w:divBdr>
    </w:div>
    <w:div w:id="1670669485">
      <w:bodyDiv w:val="1"/>
      <w:marLeft w:val="0"/>
      <w:marRight w:val="0"/>
      <w:marTop w:val="0"/>
      <w:marBottom w:val="0"/>
      <w:divBdr>
        <w:top w:val="none" w:sz="0" w:space="0" w:color="auto"/>
        <w:left w:val="none" w:sz="0" w:space="0" w:color="auto"/>
        <w:bottom w:val="none" w:sz="0" w:space="0" w:color="auto"/>
        <w:right w:val="none" w:sz="0" w:space="0" w:color="auto"/>
      </w:divBdr>
    </w:div>
    <w:div w:id="1670672174">
      <w:bodyDiv w:val="1"/>
      <w:marLeft w:val="0"/>
      <w:marRight w:val="0"/>
      <w:marTop w:val="0"/>
      <w:marBottom w:val="0"/>
      <w:divBdr>
        <w:top w:val="none" w:sz="0" w:space="0" w:color="auto"/>
        <w:left w:val="none" w:sz="0" w:space="0" w:color="auto"/>
        <w:bottom w:val="none" w:sz="0" w:space="0" w:color="auto"/>
        <w:right w:val="none" w:sz="0" w:space="0" w:color="auto"/>
      </w:divBdr>
    </w:div>
    <w:div w:id="1670786015">
      <w:bodyDiv w:val="1"/>
      <w:marLeft w:val="0"/>
      <w:marRight w:val="0"/>
      <w:marTop w:val="0"/>
      <w:marBottom w:val="0"/>
      <w:divBdr>
        <w:top w:val="none" w:sz="0" w:space="0" w:color="auto"/>
        <w:left w:val="none" w:sz="0" w:space="0" w:color="auto"/>
        <w:bottom w:val="none" w:sz="0" w:space="0" w:color="auto"/>
        <w:right w:val="none" w:sz="0" w:space="0" w:color="auto"/>
      </w:divBdr>
    </w:div>
    <w:div w:id="1671367107">
      <w:bodyDiv w:val="1"/>
      <w:marLeft w:val="0"/>
      <w:marRight w:val="0"/>
      <w:marTop w:val="0"/>
      <w:marBottom w:val="0"/>
      <w:divBdr>
        <w:top w:val="none" w:sz="0" w:space="0" w:color="auto"/>
        <w:left w:val="none" w:sz="0" w:space="0" w:color="auto"/>
        <w:bottom w:val="none" w:sz="0" w:space="0" w:color="auto"/>
        <w:right w:val="none" w:sz="0" w:space="0" w:color="auto"/>
      </w:divBdr>
    </w:div>
    <w:div w:id="1671367920">
      <w:bodyDiv w:val="1"/>
      <w:marLeft w:val="0"/>
      <w:marRight w:val="0"/>
      <w:marTop w:val="0"/>
      <w:marBottom w:val="0"/>
      <w:divBdr>
        <w:top w:val="none" w:sz="0" w:space="0" w:color="auto"/>
        <w:left w:val="none" w:sz="0" w:space="0" w:color="auto"/>
        <w:bottom w:val="none" w:sz="0" w:space="0" w:color="auto"/>
        <w:right w:val="none" w:sz="0" w:space="0" w:color="auto"/>
      </w:divBdr>
    </w:div>
    <w:div w:id="1672174471">
      <w:bodyDiv w:val="1"/>
      <w:marLeft w:val="0"/>
      <w:marRight w:val="0"/>
      <w:marTop w:val="0"/>
      <w:marBottom w:val="0"/>
      <w:divBdr>
        <w:top w:val="none" w:sz="0" w:space="0" w:color="auto"/>
        <w:left w:val="none" w:sz="0" w:space="0" w:color="auto"/>
        <w:bottom w:val="none" w:sz="0" w:space="0" w:color="auto"/>
        <w:right w:val="none" w:sz="0" w:space="0" w:color="auto"/>
      </w:divBdr>
    </w:div>
    <w:div w:id="1672566490">
      <w:bodyDiv w:val="1"/>
      <w:marLeft w:val="0"/>
      <w:marRight w:val="0"/>
      <w:marTop w:val="0"/>
      <w:marBottom w:val="0"/>
      <w:divBdr>
        <w:top w:val="none" w:sz="0" w:space="0" w:color="auto"/>
        <w:left w:val="none" w:sz="0" w:space="0" w:color="auto"/>
        <w:bottom w:val="none" w:sz="0" w:space="0" w:color="auto"/>
        <w:right w:val="none" w:sz="0" w:space="0" w:color="auto"/>
      </w:divBdr>
    </w:div>
    <w:div w:id="1672873386">
      <w:bodyDiv w:val="1"/>
      <w:marLeft w:val="0"/>
      <w:marRight w:val="0"/>
      <w:marTop w:val="0"/>
      <w:marBottom w:val="0"/>
      <w:divBdr>
        <w:top w:val="none" w:sz="0" w:space="0" w:color="auto"/>
        <w:left w:val="none" w:sz="0" w:space="0" w:color="auto"/>
        <w:bottom w:val="none" w:sz="0" w:space="0" w:color="auto"/>
        <w:right w:val="none" w:sz="0" w:space="0" w:color="auto"/>
      </w:divBdr>
    </w:div>
    <w:div w:id="1673218924">
      <w:bodyDiv w:val="1"/>
      <w:marLeft w:val="0"/>
      <w:marRight w:val="0"/>
      <w:marTop w:val="0"/>
      <w:marBottom w:val="0"/>
      <w:divBdr>
        <w:top w:val="none" w:sz="0" w:space="0" w:color="auto"/>
        <w:left w:val="none" w:sz="0" w:space="0" w:color="auto"/>
        <w:bottom w:val="none" w:sz="0" w:space="0" w:color="auto"/>
        <w:right w:val="none" w:sz="0" w:space="0" w:color="auto"/>
      </w:divBdr>
    </w:div>
    <w:div w:id="1674409023">
      <w:bodyDiv w:val="1"/>
      <w:marLeft w:val="0"/>
      <w:marRight w:val="0"/>
      <w:marTop w:val="0"/>
      <w:marBottom w:val="0"/>
      <w:divBdr>
        <w:top w:val="none" w:sz="0" w:space="0" w:color="auto"/>
        <w:left w:val="none" w:sz="0" w:space="0" w:color="auto"/>
        <w:bottom w:val="none" w:sz="0" w:space="0" w:color="auto"/>
        <w:right w:val="none" w:sz="0" w:space="0" w:color="auto"/>
      </w:divBdr>
    </w:div>
    <w:div w:id="1675449712">
      <w:bodyDiv w:val="1"/>
      <w:marLeft w:val="0"/>
      <w:marRight w:val="0"/>
      <w:marTop w:val="0"/>
      <w:marBottom w:val="0"/>
      <w:divBdr>
        <w:top w:val="none" w:sz="0" w:space="0" w:color="auto"/>
        <w:left w:val="none" w:sz="0" w:space="0" w:color="auto"/>
        <w:bottom w:val="none" w:sz="0" w:space="0" w:color="auto"/>
        <w:right w:val="none" w:sz="0" w:space="0" w:color="auto"/>
      </w:divBdr>
    </w:div>
    <w:div w:id="1675566286">
      <w:bodyDiv w:val="1"/>
      <w:marLeft w:val="0"/>
      <w:marRight w:val="0"/>
      <w:marTop w:val="0"/>
      <w:marBottom w:val="0"/>
      <w:divBdr>
        <w:top w:val="none" w:sz="0" w:space="0" w:color="auto"/>
        <w:left w:val="none" w:sz="0" w:space="0" w:color="auto"/>
        <w:bottom w:val="none" w:sz="0" w:space="0" w:color="auto"/>
        <w:right w:val="none" w:sz="0" w:space="0" w:color="auto"/>
      </w:divBdr>
    </w:div>
    <w:div w:id="1675648424">
      <w:bodyDiv w:val="1"/>
      <w:marLeft w:val="0"/>
      <w:marRight w:val="0"/>
      <w:marTop w:val="0"/>
      <w:marBottom w:val="0"/>
      <w:divBdr>
        <w:top w:val="none" w:sz="0" w:space="0" w:color="auto"/>
        <w:left w:val="none" w:sz="0" w:space="0" w:color="auto"/>
        <w:bottom w:val="none" w:sz="0" w:space="0" w:color="auto"/>
        <w:right w:val="none" w:sz="0" w:space="0" w:color="auto"/>
      </w:divBdr>
    </w:div>
    <w:div w:id="1675957823">
      <w:bodyDiv w:val="1"/>
      <w:marLeft w:val="0"/>
      <w:marRight w:val="0"/>
      <w:marTop w:val="0"/>
      <w:marBottom w:val="0"/>
      <w:divBdr>
        <w:top w:val="none" w:sz="0" w:space="0" w:color="auto"/>
        <w:left w:val="none" w:sz="0" w:space="0" w:color="auto"/>
        <w:bottom w:val="none" w:sz="0" w:space="0" w:color="auto"/>
        <w:right w:val="none" w:sz="0" w:space="0" w:color="auto"/>
      </w:divBdr>
    </w:div>
    <w:div w:id="1676029162">
      <w:bodyDiv w:val="1"/>
      <w:marLeft w:val="0"/>
      <w:marRight w:val="0"/>
      <w:marTop w:val="0"/>
      <w:marBottom w:val="0"/>
      <w:divBdr>
        <w:top w:val="none" w:sz="0" w:space="0" w:color="auto"/>
        <w:left w:val="none" w:sz="0" w:space="0" w:color="auto"/>
        <w:bottom w:val="none" w:sz="0" w:space="0" w:color="auto"/>
        <w:right w:val="none" w:sz="0" w:space="0" w:color="auto"/>
      </w:divBdr>
    </w:div>
    <w:div w:id="1676032784">
      <w:bodyDiv w:val="1"/>
      <w:marLeft w:val="0"/>
      <w:marRight w:val="0"/>
      <w:marTop w:val="0"/>
      <w:marBottom w:val="0"/>
      <w:divBdr>
        <w:top w:val="none" w:sz="0" w:space="0" w:color="auto"/>
        <w:left w:val="none" w:sz="0" w:space="0" w:color="auto"/>
        <w:bottom w:val="none" w:sz="0" w:space="0" w:color="auto"/>
        <w:right w:val="none" w:sz="0" w:space="0" w:color="auto"/>
      </w:divBdr>
    </w:div>
    <w:div w:id="1676154693">
      <w:bodyDiv w:val="1"/>
      <w:marLeft w:val="0"/>
      <w:marRight w:val="0"/>
      <w:marTop w:val="0"/>
      <w:marBottom w:val="0"/>
      <w:divBdr>
        <w:top w:val="none" w:sz="0" w:space="0" w:color="auto"/>
        <w:left w:val="none" w:sz="0" w:space="0" w:color="auto"/>
        <w:bottom w:val="none" w:sz="0" w:space="0" w:color="auto"/>
        <w:right w:val="none" w:sz="0" w:space="0" w:color="auto"/>
      </w:divBdr>
    </w:div>
    <w:div w:id="1676348110">
      <w:bodyDiv w:val="1"/>
      <w:marLeft w:val="0"/>
      <w:marRight w:val="0"/>
      <w:marTop w:val="0"/>
      <w:marBottom w:val="0"/>
      <w:divBdr>
        <w:top w:val="none" w:sz="0" w:space="0" w:color="auto"/>
        <w:left w:val="none" w:sz="0" w:space="0" w:color="auto"/>
        <w:bottom w:val="none" w:sz="0" w:space="0" w:color="auto"/>
        <w:right w:val="none" w:sz="0" w:space="0" w:color="auto"/>
      </w:divBdr>
    </w:div>
    <w:div w:id="1676416238">
      <w:bodyDiv w:val="1"/>
      <w:marLeft w:val="0"/>
      <w:marRight w:val="0"/>
      <w:marTop w:val="0"/>
      <w:marBottom w:val="0"/>
      <w:divBdr>
        <w:top w:val="none" w:sz="0" w:space="0" w:color="auto"/>
        <w:left w:val="none" w:sz="0" w:space="0" w:color="auto"/>
        <w:bottom w:val="none" w:sz="0" w:space="0" w:color="auto"/>
        <w:right w:val="none" w:sz="0" w:space="0" w:color="auto"/>
      </w:divBdr>
    </w:div>
    <w:div w:id="1676763790">
      <w:bodyDiv w:val="1"/>
      <w:marLeft w:val="0"/>
      <w:marRight w:val="0"/>
      <w:marTop w:val="0"/>
      <w:marBottom w:val="0"/>
      <w:divBdr>
        <w:top w:val="none" w:sz="0" w:space="0" w:color="auto"/>
        <w:left w:val="none" w:sz="0" w:space="0" w:color="auto"/>
        <w:bottom w:val="none" w:sz="0" w:space="0" w:color="auto"/>
        <w:right w:val="none" w:sz="0" w:space="0" w:color="auto"/>
      </w:divBdr>
    </w:div>
    <w:div w:id="1676809802">
      <w:bodyDiv w:val="1"/>
      <w:marLeft w:val="0"/>
      <w:marRight w:val="0"/>
      <w:marTop w:val="0"/>
      <w:marBottom w:val="0"/>
      <w:divBdr>
        <w:top w:val="none" w:sz="0" w:space="0" w:color="auto"/>
        <w:left w:val="none" w:sz="0" w:space="0" w:color="auto"/>
        <w:bottom w:val="none" w:sz="0" w:space="0" w:color="auto"/>
        <w:right w:val="none" w:sz="0" w:space="0" w:color="auto"/>
      </w:divBdr>
    </w:div>
    <w:div w:id="1678192140">
      <w:bodyDiv w:val="1"/>
      <w:marLeft w:val="0"/>
      <w:marRight w:val="0"/>
      <w:marTop w:val="0"/>
      <w:marBottom w:val="0"/>
      <w:divBdr>
        <w:top w:val="none" w:sz="0" w:space="0" w:color="auto"/>
        <w:left w:val="none" w:sz="0" w:space="0" w:color="auto"/>
        <w:bottom w:val="none" w:sz="0" w:space="0" w:color="auto"/>
        <w:right w:val="none" w:sz="0" w:space="0" w:color="auto"/>
      </w:divBdr>
    </w:div>
    <w:div w:id="1678997936">
      <w:bodyDiv w:val="1"/>
      <w:marLeft w:val="0"/>
      <w:marRight w:val="0"/>
      <w:marTop w:val="0"/>
      <w:marBottom w:val="0"/>
      <w:divBdr>
        <w:top w:val="none" w:sz="0" w:space="0" w:color="auto"/>
        <w:left w:val="none" w:sz="0" w:space="0" w:color="auto"/>
        <w:bottom w:val="none" w:sz="0" w:space="0" w:color="auto"/>
        <w:right w:val="none" w:sz="0" w:space="0" w:color="auto"/>
      </w:divBdr>
    </w:div>
    <w:div w:id="1679890176">
      <w:bodyDiv w:val="1"/>
      <w:marLeft w:val="0"/>
      <w:marRight w:val="0"/>
      <w:marTop w:val="0"/>
      <w:marBottom w:val="0"/>
      <w:divBdr>
        <w:top w:val="none" w:sz="0" w:space="0" w:color="auto"/>
        <w:left w:val="none" w:sz="0" w:space="0" w:color="auto"/>
        <w:bottom w:val="none" w:sz="0" w:space="0" w:color="auto"/>
        <w:right w:val="none" w:sz="0" w:space="0" w:color="auto"/>
      </w:divBdr>
    </w:div>
    <w:div w:id="1680036561">
      <w:bodyDiv w:val="1"/>
      <w:marLeft w:val="0"/>
      <w:marRight w:val="0"/>
      <w:marTop w:val="0"/>
      <w:marBottom w:val="0"/>
      <w:divBdr>
        <w:top w:val="none" w:sz="0" w:space="0" w:color="auto"/>
        <w:left w:val="none" w:sz="0" w:space="0" w:color="auto"/>
        <w:bottom w:val="none" w:sz="0" w:space="0" w:color="auto"/>
        <w:right w:val="none" w:sz="0" w:space="0" w:color="auto"/>
      </w:divBdr>
    </w:div>
    <w:div w:id="1680278357">
      <w:bodyDiv w:val="1"/>
      <w:marLeft w:val="0"/>
      <w:marRight w:val="0"/>
      <w:marTop w:val="0"/>
      <w:marBottom w:val="0"/>
      <w:divBdr>
        <w:top w:val="none" w:sz="0" w:space="0" w:color="auto"/>
        <w:left w:val="none" w:sz="0" w:space="0" w:color="auto"/>
        <w:bottom w:val="none" w:sz="0" w:space="0" w:color="auto"/>
        <w:right w:val="none" w:sz="0" w:space="0" w:color="auto"/>
      </w:divBdr>
    </w:div>
    <w:div w:id="1681466634">
      <w:bodyDiv w:val="1"/>
      <w:marLeft w:val="0"/>
      <w:marRight w:val="0"/>
      <w:marTop w:val="0"/>
      <w:marBottom w:val="0"/>
      <w:divBdr>
        <w:top w:val="none" w:sz="0" w:space="0" w:color="auto"/>
        <w:left w:val="none" w:sz="0" w:space="0" w:color="auto"/>
        <w:bottom w:val="none" w:sz="0" w:space="0" w:color="auto"/>
        <w:right w:val="none" w:sz="0" w:space="0" w:color="auto"/>
      </w:divBdr>
    </w:div>
    <w:div w:id="1681590799">
      <w:bodyDiv w:val="1"/>
      <w:marLeft w:val="0"/>
      <w:marRight w:val="0"/>
      <w:marTop w:val="0"/>
      <w:marBottom w:val="0"/>
      <w:divBdr>
        <w:top w:val="none" w:sz="0" w:space="0" w:color="auto"/>
        <w:left w:val="none" w:sz="0" w:space="0" w:color="auto"/>
        <w:bottom w:val="none" w:sz="0" w:space="0" w:color="auto"/>
        <w:right w:val="none" w:sz="0" w:space="0" w:color="auto"/>
      </w:divBdr>
    </w:div>
    <w:div w:id="1682050720">
      <w:bodyDiv w:val="1"/>
      <w:marLeft w:val="0"/>
      <w:marRight w:val="0"/>
      <w:marTop w:val="0"/>
      <w:marBottom w:val="0"/>
      <w:divBdr>
        <w:top w:val="none" w:sz="0" w:space="0" w:color="auto"/>
        <w:left w:val="none" w:sz="0" w:space="0" w:color="auto"/>
        <w:bottom w:val="none" w:sz="0" w:space="0" w:color="auto"/>
        <w:right w:val="none" w:sz="0" w:space="0" w:color="auto"/>
      </w:divBdr>
    </w:div>
    <w:div w:id="1682076316">
      <w:bodyDiv w:val="1"/>
      <w:marLeft w:val="0"/>
      <w:marRight w:val="0"/>
      <w:marTop w:val="0"/>
      <w:marBottom w:val="0"/>
      <w:divBdr>
        <w:top w:val="none" w:sz="0" w:space="0" w:color="auto"/>
        <w:left w:val="none" w:sz="0" w:space="0" w:color="auto"/>
        <w:bottom w:val="none" w:sz="0" w:space="0" w:color="auto"/>
        <w:right w:val="none" w:sz="0" w:space="0" w:color="auto"/>
      </w:divBdr>
    </w:div>
    <w:div w:id="1682126891">
      <w:bodyDiv w:val="1"/>
      <w:marLeft w:val="0"/>
      <w:marRight w:val="0"/>
      <w:marTop w:val="0"/>
      <w:marBottom w:val="0"/>
      <w:divBdr>
        <w:top w:val="none" w:sz="0" w:space="0" w:color="auto"/>
        <w:left w:val="none" w:sz="0" w:space="0" w:color="auto"/>
        <w:bottom w:val="none" w:sz="0" w:space="0" w:color="auto"/>
        <w:right w:val="none" w:sz="0" w:space="0" w:color="auto"/>
      </w:divBdr>
    </w:div>
    <w:div w:id="1682389784">
      <w:bodyDiv w:val="1"/>
      <w:marLeft w:val="0"/>
      <w:marRight w:val="0"/>
      <w:marTop w:val="0"/>
      <w:marBottom w:val="0"/>
      <w:divBdr>
        <w:top w:val="none" w:sz="0" w:space="0" w:color="auto"/>
        <w:left w:val="none" w:sz="0" w:space="0" w:color="auto"/>
        <w:bottom w:val="none" w:sz="0" w:space="0" w:color="auto"/>
        <w:right w:val="none" w:sz="0" w:space="0" w:color="auto"/>
      </w:divBdr>
    </w:div>
    <w:div w:id="1682657916">
      <w:bodyDiv w:val="1"/>
      <w:marLeft w:val="0"/>
      <w:marRight w:val="0"/>
      <w:marTop w:val="0"/>
      <w:marBottom w:val="0"/>
      <w:divBdr>
        <w:top w:val="none" w:sz="0" w:space="0" w:color="auto"/>
        <w:left w:val="none" w:sz="0" w:space="0" w:color="auto"/>
        <w:bottom w:val="none" w:sz="0" w:space="0" w:color="auto"/>
        <w:right w:val="none" w:sz="0" w:space="0" w:color="auto"/>
      </w:divBdr>
    </w:div>
    <w:div w:id="1683972235">
      <w:bodyDiv w:val="1"/>
      <w:marLeft w:val="0"/>
      <w:marRight w:val="0"/>
      <w:marTop w:val="0"/>
      <w:marBottom w:val="0"/>
      <w:divBdr>
        <w:top w:val="none" w:sz="0" w:space="0" w:color="auto"/>
        <w:left w:val="none" w:sz="0" w:space="0" w:color="auto"/>
        <w:bottom w:val="none" w:sz="0" w:space="0" w:color="auto"/>
        <w:right w:val="none" w:sz="0" w:space="0" w:color="auto"/>
      </w:divBdr>
    </w:div>
    <w:div w:id="1684211115">
      <w:bodyDiv w:val="1"/>
      <w:marLeft w:val="0"/>
      <w:marRight w:val="0"/>
      <w:marTop w:val="0"/>
      <w:marBottom w:val="0"/>
      <w:divBdr>
        <w:top w:val="none" w:sz="0" w:space="0" w:color="auto"/>
        <w:left w:val="none" w:sz="0" w:space="0" w:color="auto"/>
        <w:bottom w:val="none" w:sz="0" w:space="0" w:color="auto"/>
        <w:right w:val="none" w:sz="0" w:space="0" w:color="auto"/>
      </w:divBdr>
    </w:div>
    <w:div w:id="1684353177">
      <w:bodyDiv w:val="1"/>
      <w:marLeft w:val="0"/>
      <w:marRight w:val="0"/>
      <w:marTop w:val="0"/>
      <w:marBottom w:val="0"/>
      <w:divBdr>
        <w:top w:val="none" w:sz="0" w:space="0" w:color="auto"/>
        <w:left w:val="none" w:sz="0" w:space="0" w:color="auto"/>
        <w:bottom w:val="none" w:sz="0" w:space="0" w:color="auto"/>
        <w:right w:val="none" w:sz="0" w:space="0" w:color="auto"/>
      </w:divBdr>
    </w:div>
    <w:div w:id="1684434369">
      <w:bodyDiv w:val="1"/>
      <w:marLeft w:val="0"/>
      <w:marRight w:val="0"/>
      <w:marTop w:val="0"/>
      <w:marBottom w:val="0"/>
      <w:divBdr>
        <w:top w:val="none" w:sz="0" w:space="0" w:color="auto"/>
        <w:left w:val="none" w:sz="0" w:space="0" w:color="auto"/>
        <w:bottom w:val="none" w:sz="0" w:space="0" w:color="auto"/>
        <w:right w:val="none" w:sz="0" w:space="0" w:color="auto"/>
      </w:divBdr>
    </w:div>
    <w:div w:id="1685016621">
      <w:bodyDiv w:val="1"/>
      <w:marLeft w:val="0"/>
      <w:marRight w:val="0"/>
      <w:marTop w:val="0"/>
      <w:marBottom w:val="0"/>
      <w:divBdr>
        <w:top w:val="none" w:sz="0" w:space="0" w:color="auto"/>
        <w:left w:val="none" w:sz="0" w:space="0" w:color="auto"/>
        <w:bottom w:val="none" w:sz="0" w:space="0" w:color="auto"/>
        <w:right w:val="none" w:sz="0" w:space="0" w:color="auto"/>
      </w:divBdr>
    </w:div>
    <w:div w:id="1685860389">
      <w:bodyDiv w:val="1"/>
      <w:marLeft w:val="0"/>
      <w:marRight w:val="0"/>
      <w:marTop w:val="0"/>
      <w:marBottom w:val="0"/>
      <w:divBdr>
        <w:top w:val="none" w:sz="0" w:space="0" w:color="auto"/>
        <w:left w:val="none" w:sz="0" w:space="0" w:color="auto"/>
        <w:bottom w:val="none" w:sz="0" w:space="0" w:color="auto"/>
        <w:right w:val="none" w:sz="0" w:space="0" w:color="auto"/>
      </w:divBdr>
    </w:div>
    <w:div w:id="1686010404">
      <w:bodyDiv w:val="1"/>
      <w:marLeft w:val="0"/>
      <w:marRight w:val="0"/>
      <w:marTop w:val="0"/>
      <w:marBottom w:val="0"/>
      <w:divBdr>
        <w:top w:val="none" w:sz="0" w:space="0" w:color="auto"/>
        <w:left w:val="none" w:sz="0" w:space="0" w:color="auto"/>
        <w:bottom w:val="none" w:sz="0" w:space="0" w:color="auto"/>
        <w:right w:val="none" w:sz="0" w:space="0" w:color="auto"/>
      </w:divBdr>
    </w:div>
    <w:div w:id="1686519890">
      <w:bodyDiv w:val="1"/>
      <w:marLeft w:val="0"/>
      <w:marRight w:val="0"/>
      <w:marTop w:val="0"/>
      <w:marBottom w:val="0"/>
      <w:divBdr>
        <w:top w:val="none" w:sz="0" w:space="0" w:color="auto"/>
        <w:left w:val="none" w:sz="0" w:space="0" w:color="auto"/>
        <w:bottom w:val="none" w:sz="0" w:space="0" w:color="auto"/>
        <w:right w:val="none" w:sz="0" w:space="0" w:color="auto"/>
      </w:divBdr>
    </w:div>
    <w:div w:id="1686638360">
      <w:bodyDiv w:val="1"/>
      <w:marLeft w:val="0"/>
      <w:marRight w:val="0"/>
      <w:marTop w:val="0"/>
      <w:marBottom w:val="0"/>
      <w:divBdr>
        <w:top w:val="none" w:sz="0" w:space="0" w:color="auto"/>
        <w:left w:val="none" w:sz="0" w:space="0" w:color="auto"/>
        <w:bottom w:val="none" w:sz="0" w:space="0" w:color="auto"/>
        <w:right w:val="none" w:sz="0" w:space="0" w:color="auto"/>
      </w:divBdr>
    </w:div>
    <w:div w:id="1686974802">
      <w:bodyDiv w:val="1"/>
      <w:marLeft w:val="0"/>
      <w:marRight w:val="0"/>
      <w:marTop w:val="0"/>
      <w:marBottom w:val="0"/>
      <w:divBdr>
        <w:top w:val="none" w:sz="0" w:space="0" w:color="auto"/>
        <w:left w:val="none" w:sz="0" w:space="0" w:color="auto"/>
        <w:bottom w:val="none" w:sz="0" w:space="0" w:color="auto"/>
        <w:right w:val="none" w:sz="0" w:space="0" w:color="auto"/>
      </w:divBdr>
    </w:div>
    <w:div w:id="1687290730">
      <w:bodyDiv w:val="1"/>
      <w:marLeft w:val="0"/>
      <w:marRight w:val="0"/>
      <w:marTop w:val="0"/>
      <w:marBottom w:val="0"/>
      <w:divBdr>
        <w:top w:val="none" w:sz="0" w:space="0" w:color="auto"/>
        <w:left w:val="none" w:sz="0" w:space="0" w:color="auto"/>
        <w:bottom w:val="none" w:sz="0" w:space="0" w:color="auto"/>
        <w:right w:val="none" w:sz="0" w:space="0" w:color="auto"/>
      </w:divBdr>
    </w:div>
    <w:div w:id="1687294489">
      <w:bodyDiv w:val="1"/>
      <w:marLeft w:val="0"/>
      <w:marRight w:val="0"/>
      <w:marTop w:val="0"/>
      <w:marBottom w:val="0"/>
      <w:divBdr>
        <w:top w:val="none" w:sz="0" w:space="0" w:color="auto"/>
        <w:left w:val="none" w:sz="0" w:space="0" w:color="auto"/>
        <w:bottom w:val="none" w:sz="0" w:space="0" w:color="auto"/>
        <w:right w:val="none" w:sz="0" w:space="0" w:color="auto"/>
      </w:divBdr>
    </w:div>
    <w:div w:id="1687750067">
      <w:bodyDiv w:val="1"/>
      <w:marLeft w:val="0"/>
      <w:marRight w:val="0"/>
      <w:marTop w:val="0"/>
      <w:marBottom w:val="0"/>
      <w:divBdr>
        <w:top w:val="none" w:sz="0" w:space="0" w:color="auto"/>
        <w:left w:val="none" w:sz="0" w:space="0" w:color="auto"/>
        <w:bottom w:val="none" w:sz="0" w:space="0" w:color="auto"/>
        <w:right w:val="none" w:sz="0" w:space="0" w:color="auto"/>
      </w:divBdr>
    </w:div>
    <w:div w:id="1688171128">
      <w:bodyDiv w:val="1"/>
      <w:marLeft w:val="0"/>
      <w:marRight w:val="0"/>
      <w:marTop w:val="0"/>
      <w:marBottom w:val="0"/>
      <w:divBdr>
        <w:top w:val="none" w:sz="0" w:space="0" w:color="auto"/>
        <w:left w:val="none" w:sz="0" w:space="0" w:color="auto"/>
        <w:bottom w:val="none" w:sz="0" w:space="0" w:color="auto"/>
        <w:right w:val="none" w:sz="0" w:space="0" w:color="auto"/>
      </w:divBdr>
    </w:div>
    <w:div w:id="1688825869">
      <w:bodyDiv w:val="1"/>
      <w:marLeft w:val="0"/>
      <w:marRight w:val="0"/>
      <w:marTop w:val="0"/>
      <w:marBottom w:val="0"/>
      <w:divBdr>
        <w:top w:val="none" w:sz="0" w:space="0" w:color="auto"/>
        <w:left w:val="none" w:sz="0" w:space="0" w:color="auto"/>
        <w:bottom w:val="none" w:sz="0" w:space="0" w:color="auto"/>
        <w:right w:val="none" w:sz="0" w:space="0" w:color="auto"/>
      </w:divBdr>
    </w:div>
    <w:div w:id="1689024452">
      <w:bodyDiv w:val="1"/>
      <w:marLeft w:val="0"/>
      <w:marRight w:val="0"/>
      <w:marTop w:val="0"/>
      <w:marBottom w:val="0"/>
      <w:divBdr>
        <w:top w:val="none" w:sz="0" w:space="0" w:color="auto"/>
        <w:left w:val="none" w:sz="0" w:space="0" w:color="auto"/>
        <w:bottom w:val="none" w:sz="0" w:space="0" w:color="auto"/>
        <w:right w:val="none" w:sz="0" w:space="0" w:color="auto"/>
      </w:divBdr>
    </w:div>
    <w:div w:id="1689673148">
      <w:bodyDiv w:val="1"/>
      <w:marLeft w:val="0"/>
      <w:marRight w:val="0"/>
      <w:marTop w:val="0"/>
      <w:marBottom w:val="0"/>
      <w:divBdr>
        <w:top w:val="none" w:sz="0" w:space="0" w:color="auto"/>
        <w:left w:val="none" w:sz="0" w:space="0" w:color="auto"/>
        <w:bottom w:val="none" w:sz="0" w:space="0" w:color="auto"/>
        <w:right w:val="none" w:sz="0" w:space="0" w:color="auto"/>
      </w:divBdr>
    </w:div>
    <w:div w:id="1689722178">
      <w:bodyDiv w:val="1"/>
      <w:marLeft w:val="0"/>
      <w:marRight w:val="0"/>
      <w:marTop w:val="0"/>
      <w:marBottom w:val="0"/>
      <w:divBdr>
        <w:top w:val="none" w:sz="0" w:space="0" w:color="auto"/>
        <w:left w:val="none" w:sz="0" w:space="0" w:color="auto"/>
        <w:bottom w:val="none" w:sz="0" w:space="0" w:color="auto"/>
        <w:right w:val="none" w:sz="0" w:space="0" w:color="auto"/>
      </w:divBdr>
    </w:div>
    <w:div w:id="1690250434">
      <w:bodyDiv w:val="1"/>
      <w:marLeft w:val="0"/>
      <w:marRight w:val="0"/>
      <w:marTop w:val="0"/>
      <w:marBottom w:val="0"/>
      <w:divBdr>
        <w:top w:val="none" w:sz="0" w:space="0" w:color="auto"/>
        <w:left w:val="none" w:sz="0" w:space="0" w:color="auto"/>
        <w:bottom w:val="none" w:sz="0" w:space="0" w:color="auto"/>
        <w:right w:val="none" w:sz="0" w:space="0" w:color="auto"/>
      </w:divBdr>
    </w:div>
    <w:div w:id="1690334634">
      <w:bodyDiv w:val="1"/>
      <w:marLeft w:val="0"/>
      <w:marRight w:val="0"/>
      <w:marTop w:val="0"/>
      <w:marBottom w:val="0"/>
      <w:divBdr>
        <w:top w:val="none" w:sz="0" w:space="0" w:color="auto"/>
        <w:left w:val="none" w:sz="0" w:space="0" w:color="auto"/>
        <w:bottom w:val="none" w:sz="0" w:space="0" w:color="auto"/>
        <w:right w:val="none" w:sz="0" w:space="0" w:color="auto"/>
      </w:divBdr>
    </w:div>
    <w:div w:id="1690451292">
      <w:bodyDiv w:val="1"/>
      <w:marLeft w:val="0"/>
      <w:marRight w:val="0"/>
      <w:marTop w:val="0"/>
      <w:marBottom w:val="0"/>
      <w:divBdr>
        <w:top w:val="none" w:sz="0" w:space="0" w:color="auto"/>
        <w:left w:val="none" w:sz="0" w:space="0" w:color="auto"/>
        <w:bottom w:val="none" w:sz="0" w:space="0" w:color="auto"/>
        <w:right w:val="none" w:sz="0" w:space="0" w:color="auto"/>
      </w:divBdr>
    </w:div>
    <w:div w:id="1690833435">
      <w:bodyDiv w:val="1"/>
      <w:marLeft w:val="0"/>
      <w:marRight w:val="0"/>
      <w:marTop w:val="0"/>
      <w:marBottom w:val="0"/>
      <w:divBdr>
        <w:top w:val="none" w:sz="0" w:space="0" w:color="auto"/>
        <w:left w:val="none" w:sz="0" w:space="0" w:color="auto"/>
        <w:bottom w:val="none" w:sz="0" w:space="0" w:color="auto"/>
        <w:right w:val="none" w:sz="0" w:space="0" w:color="auto"/>
      </w:divBdr>
    </w:div>
    <w:div w:id="1690906574">
      <w:bodyDiv w:val="1"/>
      <w:marLeft w:val="0"/>
      <w:marRight w:val="0"/>
      <w:marTop w:val="0"/>
      <w:marBottom w:val="0"/>
      <w:divBdr>
        <w:top w:val="none" w:sz="0" w:space="0" w:color="auto"/>
        <w:left w:val="none" w:sz="0" w:space="0" w:color="auto"/>
        <w:bottom w:val="none" w:sz="0" w:space="0" w:color="auto"/>
        <w:right w:val="none" w:sz="0" w:space="0" w:color="auto"/>
      </w:divBdr>
    </w:div>
    <w:div w:id="1691368358">
      <w:bodyDiv w:val="1"/>
      <w:marLeft w:val="0"/>
      <w:marRight w:val="0"/>
      <w:marTop w:val="0"/>
      <w:marBottom w:val="0"/>
      <w:divBdr>
        <w:top w:val="none" w:sz="0" w:space="0" w:color="auto"/>
        <w:left w:val="none" w:sz="0" w:space="0" w:color="auto"/>
        <w:bottom w:val="none" w:sz="0" w:space="0" w:color="auto"/>
        <w:right w:val="none" w:sz="0" w:space="0" w:color="auto"/>
      </w:divBdr>
    </w:div>
    <w:div w:id="1691370155">
      <w:bodyDiv w:val="1"/>
      <w:marLeft w:val="0"/>
      <w:marRight w:val="0"/>
      <w:marTop w:val="0"/>
      <w:marBottom w:val="0"/>
      <w:divBdr>
        <w:top w:val="none" w:sz="0" w:space="0" w:color="auto"/>
        <w:left w:val="none" w:sz="0" w:space="0" w:color="auto"/>
        <w:bottom w:val="none" w:sz="0" w:space="0" w:color="auto"/>
        <w:right w:val="none" w:sz="0" w:space="0" w:color="auto"/>
      </w:divBdr>
    </w:div>
    <w:div w:id="1691564808">
      <w:bodyDiv w:val="1"/>
      <w:marLeft w:val="0"/>
      <w:marRight w:val="0"/>
      <w:marTop w:val="0"/>
      <w:marBottom w:val="0"/>
      <w:divBdr>
        <w:top w:val="none" w:sz="0" w:space="0" w:color="auto"/>
        <w:left w:val="none" w:sz="0" w:space="0" w:color="auto"/>
        <w:bottom w:val="none" w:sz="0" w:space="0" w:color="auto"/>
        <w:right w:val="none" w:sz="0" w:space="0" w:color="auto"/>
      </w:divBdr>
    </w:div>
    <w:div w:id="1692487403">
      <w:bodyDiv w:val="1"/>
      <w:marLeft w:val="0"/>
      <w:marRight w:val="0"/>
      <w:marTop w:val="0"/>
      <w:marBottom w:val="0"/>
      <w:divBdr>
        <w:top w:val="none" w:sz="0" w:space="0" w:color="auto"/>
        <w:left w:val="none" w:sz="0" w:space="0" w:color="auto"/>
        <w:bottom w:val="none" w:sz="0" w:space="0" w:color="auto"/>
        <w:right w:val="none" w:sz="0" w:space="0" w:color="auto"/>
      </w:divBdr>
    </w:div>
    <w:div w:id="1692686685">
      <w:bodyDiv w:val="1"/>
      <w:marLeft w:val="0"/>
      <w:marRight w:val="0"/>
      <w:marTop w:val="0"/>
      <w:marBottom w:val="0"/>
      <w:divBdr>
        <w:top w:val="none" w:sz="0" w:space="0" w:color="auto"/>
        <w:left w:val="none" w:sz="0" w:space="0" w:color="auto"/>
        <w:bottom w:val="none" w:sz="0" w:space="0" w:color="auto"/>
        <w:right w:val="none" w:sz="0" w:space="0" w:color="auto"/>
      </w:divBdr>
    </w:div>
    <w:div w:id="1693334180">
      <w:bodyDiv w:val="1"/>
      <w:marLeft w:val="0"/>
      <w:marRight w:val="0"/>
      <w:marTop w:val="0"/>
      <w:marBottom w:val="0"/>
      <w:divBdr>
        <w:top w:val="none" w:sz="0" w:space="0" w:color="auto"/>
        <w:left w:val="none" w:sz="0" w:space="0" w:color="auto"/>
        <w:bottom w:val="none" w:sz="0" w:space="0" w:color="auto"/>
        <w:right w:val="none" w:sz="0" w:space="0" w:color="auto"/>
      </w:divBdr>
    </w:div>
    <w:div w:id="1693528781">
      <w:bodyDiv w:val="1"/>
      <w:marLeft w:val="0"/>
      <w:marRight w:val="0"/>
      <w:marTop w:val="0"/>
      <w:marBottom w:val="0"/>
      <w:divBdr>
        <w:top w:val="none" w:sz="0" w:space="0" w:color="auto"/>
        <w:left w:val="none" w:sz="0" w:space="0" w:color="auto"/>
        <w:bottom w:val="none" w:sz="0" w:space="0" w:color="auto"/>
        <w:right w:val="none" w:sz="0" w:space="0" w:color="auto"/>
      </w:divBdr>
    </w:div>
    <w:div w:id="1693531025">
      <w:bodyDiv w:val="1"/>
      <w:marLeft w:val="0"/>
      <w:marRight w:val="0"/>
      <w:marTop w:val="0"/>
      <w:marBottom w:val="0"/>
      <w:divBdr>
        <w:top w:val="none" w:sz="0" w:space="0" w:color="auto"/>
        <w:left w:val="none" w:sz="0" w:space="0" w:color="auto"/>
        <w:bottom w:val="none" w:sz="0" w:space="0" w:color="auto"/>
        <w:right w:val="none" w:sz="0" w:space="0" w:color="auto"/>
      </w:divBdr>
    </w:div>
    <w:div w:id="1693531536">
      <w:bodyDiv w:val="1"/>
      <w:marLeft w:val="0"/>
      <w:marRight w:val="0"/>
      <w:marTop w:val="0"/>
      <w:marBottom w:val="0"/>
      <w:divBdr>
        <w:top w:val="none" w:sz="0" w:space="0" w:color="auto"/>
        <w:left w:val="none" w:sz="0" w:space="0" w:color="auto"/>
        <w:bottom w:val="none" w:sz="0" w:space="0" w:color="auto"/>
        <w:right w:val="none" w:sz="0" w:space="0" w:color="auto"/>
      </w:divBdr>
    </w:div>
    <w:div w:id="1693611827">
      <w:bodyDiv w:val="1"/>
      <w:marLeft w:val="0"/>
      <w:marRight w:val="0"/>
      <w:marTop w:val="0"/>
      <w:marBottom w:val="0"/>
      <w:divBdr>
        <w:top w:val="none" w:sz="0" w:space="0" w:color="auto"/>
        <w:left w:val="none" w:sz="0" w:space="0" w:color="auto"/>
        <w:bottom w:val="none" w:sz="0" w:space="0" w:color="auto"/>
        <w:right w:val="none" w:sz="0" w:space="0" w:color="auto"/>
      </w:divBdr>
    </w:div>
    <w:div w:id="1693728173">
      <w:bodyDiv w:val="1"/>
      <w:marLeft w:val="0"/>
      <w:marRight w:val="0"/>
      <w:marTop w:val="0"/>
      <w:marBottom w:val="0"/>
      <w:divBdr>
        <w:top w:val="none" w:sz="0" w:space="0" w:color="auto"/>
        <w:left w:val="none" w:sz="0" w:space="0" w:color="auto"/>
        <w:bottom w:val="none" w:sz="0" w:space="0" w:color="auto"/>
        <w:right w:val="none" w:sz="0" w:space="0" w:color="auto"/>
      </w:divBdr>
    </w:div>
    <w:div w:id="1694570858">
      <w:bodyDiv w:val="1"/>
      <w:marLeft w:val="0"/>
      <w:marRight w:val="0"/>
      <w:marTop w:val="0"/>
      <w:marBottom w:val="0"/>
      <w:divBdr>
        <w:top w:val="none" w:sz="0" w:space="0" w:color="auto"/>
        <w:left w:val="none" w:sz="0" w:space="0" w:color="auto"/>
        <w:bottom w:val="none" w:sz="0" w:space="0" w:color="auto"/>
        <w:right w:val="none" w:sz="0" w:space="0" w:color="auto"/>
      </w:divBdr>
    </w:div>
    <w:div w:id="1695032159">
      <w:bodyDiv w:val="1"/>
      <w:marLeft w:val="0"/>
      <w:marRight w:val="0"/>
      <w:marTop w:val="0"/>
      <w:marBottom w:val="0"/>
      <w:divBdr>
        <w:top w:val="none" w:sz="0" w:space="0" w:color="auto"/>
        <w:left w:val="none" w:sz="0" w:space="0" w:color="auto"/>
        <w:bottom w:val="none" w:sz="0" w:space="0" w:color="auto"/>
        <w:right w:val="none" w:sz="0" w:space="0" w:color="auto"/>
      </w:divBdr>
    </w:div>
    <w:div w:id="1695500470">
      <w:bodyDiv w:val="1"/>
      <w:marLeft w:val="0"/>
      <w:marRight w:val="0"/>
      <w:marTop w:val="0"/>
      <w:marBottom w:val="0"/>
      <w:divBdr>
        <w:top w:val="none" w:sz="0" w:space="0" w:color="auto"/>
        <w:left w:val="none" w:sz="0" w:space="0" w:color="auto"/>
        <w:bottom w:val="none" w:sz="0" w:space="0" w:color="auto"/>
        <w:right w:val="none" w:sz="0" w:space="0" w:color="auto"/>
      </w:divBdr>
    </w:div>
    <w:div w:id="1695689131">
      <w:bodyDiv w:val="1"/>
      <w:marLeft w:val="0"/>
      <w:marRight w:val="0"/>
      <w:marTop w:val="0"/>
      <w:marBottom w:val="0"/>
      <w:divBdr>
        <w:top w:val="none" w:sz="0" w:space="0" w:color="auto"/>
        <w:left w:val="none" w:sz="0" w:space="0" w:color="auto"/>
        <w:bottom w:val="none" w:sz="0" w:space="0" w:color="auto"/>
        <w:right w:val="none" w:sz="0" w:space="0" w:color="auto"/>
      </w:divBdr>
    </w:div>
    <w:div w:id="1695879375">
      <w:bodyDiv w:val="1"/>
      <w:marLeft w:val="0"/>
      <w:marRight w:val="0"/>
      <w:marTop w:val="0"/>
      <w:marBottom w:val="0"/>
      <w:divBdr>
        <w:top w:val="none" w:sz="0" w:space="0" w:color="auto"/>
        <w:left w:val="none" w:sz="0" w:space="0" w:color="auto"/>
        <w:bottom w:val="none" w:sz="0" w:space="0" w:color="auto"/>
        <w:right w:val="none" w:sz="0" w:space="0" w:color="auto"/>
      </w:divBdr>
    </w:div>
    <w:div w:id="1695883362">
      <w:bodyDiv w:val="1"/>
      <w:marLeft w:val="0"/>
      <w:marRight w:val="0"/>
      <w:marTop w:val="0"/>
      <w:marBottom w:val="0"/>
      <w:divBdr>
        <w:top w:val="none" w:sz="0" w:space="0" w:color="auto"/>
        <w:left w:val="none" w:sz="0" w:space="0" w:color="auto"/>
        <w:bottom w:val="none" w:sz="0" w:space="0" w:color="auto"/>
        <w:right w:val="none" w:sz="0" w:space="0" w:color="auto"/>
      </w:divBdr>
    </w:div>
    <w:div w:id="1695955135">
      <w:bodyDiv w:val="1"/>
      <w:marLeft w:val="0"/>
      <w:marRight w:val="0"/>
      <w:marTop w:val="0"/>
      <w:marBottom w:val="0"/>
      <w:divBdr>
        <w:top w:val="none" w:sz="0" w:space="0" w:color="auto"/>
        <w:left w:val="none" w:sz="0" w:space="0" w:color="auto"/>
        <w:bottom w:val="none" w:sz="0" w:space="0" w:color="auto"/>
        <w:right w:val="none" w:sz="0" w:space="0" w:color="auto"/>
      </w:divBdr>
    </w:div>
    <w:div w:id="1696418963">
      <w:bodyDiv w:val="1"/>
      <w:marLeft w:val="0"/>
      <w:marRight w:val="0"/>
      <w:marTop w:val="0"/>
      <w:marBottom w:val="0"/>
      <w:divBdr>
        <w:top w:val="none" w:sz="0" w:space="0" w:color="auto"/>
        <w:left w:val="none" w:sz="0" w:space="0" w:color="auto"/>
        <w:bottom w:val="none" w:sz="0" w:space="0" w:color="auto"/>
        <w:right w:val="none" w:sz="0" w:space="0" w:color="auto"/>
      </w:divBdr>
    </w:div>
    <w:div w:id="1696422192">
      <w:bodyDiv w:val="1"/>
      <w:marLeft w:val="0"/>
      <w:marRight w:val="0"/>
      <w:marTop w:val="0"/>
      <w:marBottom w:val="0"/>
      <w:divBdr>
        <w:top w:val="none" w:sz="0" w:space="0" w:color="auto"/>
        <w:left w:val="none" w:sz="0" w:space="0" w:color="auto"/>
        <w:bottom w:val="none" w:sz="0" w:space="0" w:color="auto"/>
        <w:right w:val="none" w:sz="0" w:space="0" w:color="auto"/>
      </w:divBdr>
    </w:div>
    <w:div w:id="1696541718">
      <w:bodyDiv w:val="1"/>
      <w:marLeft w:val="0"/>
      <w:marRight w:val="0"/>
      <w:marTop w:val="0"/>
      <w:marBottom w:val="0"/>
      <w:divBdr>
        <w:top w:val="none" w:sz="0" w:space="0" w:color="auto"/>
        <w:left w:val="none" w:sz="0" w:space="0" w:color="auto"/>
        <w:bottom w:val="none" w:sz="0" w:space="0" w:color="auto"/>
        <w:right w:val="none" w:sz="0" w:space="0" w:color="auto"/>
      </w:divBdr>
    </w:div>
    <w:div w:id="1696996776">
      <w:bodyDiv w:val="1"/>
      <w:marLeft w:val="0"/>
      <w:marRight w:val="0"/>
      <w:marTop w:val="0"/>
      <w:marBottom w:val="0"/>
      <w:divBdr>
        <w:top w:val="none" w:sz="0" w:space="0" w:color="auto"/>
        <w:left w:val="none" w:sz="0" w:space="0" w:color="auto"/>
        <w:bottom w:val="none" w:sz="0" w:space="0" w:color="auto"/>
        <w:right w:val="none" w:sz="0" w:space="0" w:color="auto"/>
      </w:divBdr>
    </w:div>
    <w:div w:id="1697542771">
      <w:bodyDiv w:val="1"/>
      <w:marLeft w:val="0"/>
      <w:marRight w:val="0"/>
      <w:marTop w:val="0"/>
      <w:marBottom w:val="0"/>
      <w:divBdr>
        <w:top w:val="none" w:sz="0" w:space="0" w:color="auto"/>
        <w:left w:val="none" w:sz="0" w:space="0" w:color="auto"/>
        <w:bottom w:val="none" w:sz="0" w:space="0" w:color="auto"/>
        <w:right w:val="none" w:sz="0" w:space="0" w:color="auto"/>
      </w:divBdr>
    </w:div>
    <w:div w:id="1697660441">
      <w:bodyDiv w:val="1"/>
      <w:marLeft w:val="0"/>
      <w:marRight w:val="0"/>
      <w:marTop w:val="0"/>
      <w:marBottom w:val="0"/>
      <w:divBdr>
        <w:top w:val="none" w:sz="0" w:space="0" w:color="auto"/>
        <w:left w:val="none" w:sz="0" w:space="0" w:color="auto"/>
        <w:bottom w:val="none" w:sz="0" w:space="0" w:color="auto"/>
        <w:right w:val="none" w:sz="0" w:space="0" w:color="auto"/>
      </w:divBdr>
    </w:div>
    <w:div w:id="1697729727">
      <w:bodyDiv w:val="1"/>
      <w:marLeft w:val="0"/>
      <w:marRight w:val="0"/>
      <w:marTop w:val="0"/>
      <w:marBottom w:val="0"/>
      <w:divBdr>
        <w:top w:val="none" w:sz="0" w:space="0" w:color="auto"/>
        <w:left w:val="none" w:sz="0" w:space="0" w:color="auto"/>
        <w:bottom w:val="none" w:sz="0" w:space="0" w:color="auto"/>
        <w:right w:val="none" w:sz="0" w:space="0" w:color="auto"/>
      </w:divBdr>
    </w:div>
    <w:div w:id="1698234968">
      <w:bodyDiv w:val="1"/>
      <w:marLeft w:val="0"/>
      <w:marRight w:val="0"/>
      <w:marTop w:val="0"/>
      <w:marBottom w:val="0"/>
      <w:divBdr>
        <w:top w:val="none" w:sz="0" w:space="0" w:color="auto"/>
        <w:left w:val="none" w:sz="0" w:space="0" w:color="auto"/>
        <w:bottom w:val="none" w:sz="0" w:space="0" w:color="auto"/>
        <w:right w:val="none" w:sz="0" w:space="0" w:color="auto"/>
      </w:divBdr>
    </w:div>
    <w:div w:id="1698844508">
      <w:bodyDiv w:val="1"/>
      <w:marLeft w:val="0"/>
      <w:marRight w:val="0"/>
      <w:marTop w:val="0"/>
      <w:marBottom w:val="0"/>
      <w:divBdr>
        <w:top w:val="none" w:sz="0" w:space="0" w:color="auto"/>
        <w:left w:val="none" w:sz="0" w:space="0" w:color="auto"/>
        <w:bottom w:val="none" w:sz="0" w:space="0" w:color="auto"/>
        <w:right w:val="none" w:sz="0" w:space="0" w:color="auto"/>
      </w:divBdr>
    </w:div>
    <w:div w:id="1699045189">
      <w:bodyDiv w:val="1"/>
      <w:marLeft w:val="0"/>
      <w:marRight w:val="0"/>
      <w:marTop w:val="0"/>
      <w:marBottom w:val="0"/>
      <w:divBdr>
        <w:top w:val="none" w:sz="0" w:space="0" w:color="auto"/>
        <w:left w:val="none" w:sz="0" w:space="0" w:color="auto"/>
        <w:bottom w:val="none" w:sz="0" w:space="0" w:color="auto"/>
        <w:right w:val="none" w:sz="0" w:space="0" w:color="auto"/>
      </w:divBdr>
    </w:div>
    <w:div w:id="1699088019">
      <w:bodyDiv w:val="1"/>
      <w:marLeft w:val="0"/>
      <w:marRight w:val="0"/>
      <w:marTop w:val="0"/>
      <w:marBottom w:val="0"/>
      <w:divBdr>
        <w:top w:val="none" w:sz="0" w:space="0" w:color="auto"/>
        <w:left w:val="none" w:sz="0" w:space="0" w:color="auto"/>
        <w:bottom w:val="none" w:sz="0" w:space="0" w:color="auto"/>
        <w:right w:val="none" w:sz="0" w:space="0" w:color="auto"/>
      </w:divBdr>
    </w:div>
    <w:div w:id="1699239832">
      <w:bodyDiv w:val="1"/>
      <w:marLeft w:val="0"/>
      <w:marRight w:val="0"/>
      <w:marTop w:val="0"/>
      <w:marBottom w:val="0"/>
      <w:divBdr>
        <w:top w:val="none" w:sz="0" w:space="0" w:color="auto"/>
        <w:left w:val="none" w:sz="0" w:space="0" w:color="auto"/>
        <w:bottom w:val="none" w:sz="0" w:space="0" w:color="auto"/>
        <w:right w:val="none" w:sz="0" w:space="0" w:color="auto"/>
      </w:divBdr>
    </w:div>
    <w:div w:id="1699433705">
      <w:bodyDiv w:val="1"/>
      <w:marLeft w:val="0"/>
      <w:marRight w:val="0"/>
      <w:marTop w:val="0"/>
      <w:marBottom w:val="0"/>
      <w:divBdr>
        <w:top w:val="none" w:sz="0" w:space="0" w:color="auto"/>
        <w:left w:val="none" w:sz="0" w:space="0" w:color="auto"/>
        <w:bottom w:val="none" w:sz="0" w:space="0" w:color="auto"/>
        <w:right w:val="none" w:sz="0" w:space="0" w:color="auto"/>
      </w:divBdr>
    </w:div>
    <w:div w:id="1699551850">
      <w:bodyDiv w:val="1"/>
      <w:marLeft w:val="0"/>
      <w:marRight w:val="0"/>
      <w:marTop w:val="0"/>
      <w:marBottom w:val="0"/>
      <w:divBdr>
        <w:top w:val="none" w:sz="0" w:space="0" w:color="auto"/>
        <w:left w:val="none" w:sz="0" w:space="0" w:color="auto"/>
        <w:bottom w:val="none" w:sz="0" w:space="0" w:color="auto"/>
        <w:right w:val="none" w:sz="0" w:space="0" w:color="auto"/>
      </w:divBdr>
    </w:div>
    <w:div w:id="1699575079">
      <w:bodyDiv w:val="1"/>
      <w:marLeft w:val="0"/>
      <w:marRight w:val="0"/>
      <w:marTop w:val="0"/>
      <w:marBottom w:val="0"/>
      <w:divBdr>
        <w:top w:val="none" w:sz="0" w:space="0" w:color="auto"/>
        <w:left w:val="none" w:sz="0" w:space="0" w:color="auto"/>
        <w:bottom w:val="none" w:sz="0" w:space="0" w:color="auto"/>
        <w:right w:val="none" w:sz="0" w:space="0" w:color="auto"/>
      </w:divBdr>
    </w:div>
    <w:div w:id="1699575559">
      <w:bodyDiv w:val="1"/>
      <w:marLeft w:val="0"/>
      <w:marRight w:val="0"/>
      <w:marTop w:val="0"/>
      <w:marBottom w:val="0"/>
      <w:divBdr>
        <w:top w:val="none" w:sz="0" w:space="0" w:color="auto"/>
        <w:left w:val="none" w:sz="0" w:space="0" w:color="auto"/>
        <w:bottom w:val="none" w:sz="0" w:space="0" w:color="auto"/>
        <w:right w:val="none" w:sz="0" w:space="0" w:color="auto"/>
      </w:divBdr>
    </w:div>
    <w:div w:id="1699622699">
      <w:bodyDiv w:val="1"/>
      <w:marLeft w:val="0"/>
      <w:marRight w:val="0"/>
      <w:marTop w:val="0"/>
      <w:marBottom w:val="0"/>
      <w:divBdr>
        <w:top w:val="none" w:sz="0" w:space="0" w:color="auto"/>
        <w:left w:val="none" w:sz="0" w:space="0" w:color="auto"/>
        <w:bottom w:val="none" w:sz="0" w:space="0" w:color="auto"/>
        <w:right w:val="none" w:sz="0" w:space="0" w:color="auto"/>
      </w:divBdr>
    </w:div>
    <w:div w:id="1699625233">
      <w:bodyDiv w:val="1"/>
      <w:marLeft w:val="0"/>
      <w:marRight w:val="0"/>
      <w:marTop w:val="0"/>
      <w:marBottom w:val="0"/>
      <w:divBdr>
        <w:top w:val="none" w:sz="0" w:space="0" w:color="auto"/>
        <w:left w:val="none" w:sz="0" w:space="0" w:color="auto"/>
        <w:bottom w:val="none" w:sz="0" w:space="0" w:color="auto"/>
        <w:right w:val="none" w:sz="0" w:space="0" w:color="auto"/>
      </w:divBdr>
    </w:div>
    <w:div w:id="1699701332">
      <w:bodyDiv w:val="1"/>
      <w:marLeft w:val="0"/>
      <w:marRight w:val="0"/>
      <w:marTop w:val="0"/>
      <w:marBottom w:val="0"/>
      <w:divBdr>
        <w:top w:val="none" w:sz="0" w:space="0" w:color="auto"/>
        <w:left w:val="none" w:sz="0" w:space="0" w:color="auto"/>
        <w:bottom w:val="none" w:sz="0" w:space="0" w:color="auto"/>
        <w:right w:val="none" w:sz="0" w:space="0" w:color="auto"/>
      </w:divBdr>
    </w:div>
    <w:div w:id="1699819348">
      <w:bodyDiv w:val="1"/>
      <w:marLeft w:val="0"/>
      <w:marRight w:val="0"/>
      <w:marTop w:val="0"/>
      <w:marBottom w:val="0"/>
      <w:divBdr>
        <w:top w:val="none" w:sz="0" w:space="0" w:color="auto"/>
        <w:left w:val="none" w:sz="0" w:space="0" w:color="auto"/>
        <w:bottom w:val="none" w:sz="0" w:space="0" w:color="auto"/>
        <w:right w:val="none" w:sz="0" w:space="0" w:color="auto"/>
      </w:divBdr>
    </w:div>
    <w:div w:id="1700204439">
      <w:bodyDiv w:val="1"/>
      <w:marLeft w:val="0"/>
      <w:marRight w:val="0"/>
      <w:marTop w:val="0"/>
      <w:marBottom w:val="0"/>
      <w:divBdr>
        <w:top w:val="none" w:sz="0" w:space="0" w:color="auto"/>
        <w:left w:val="none" w:sz="0" w:space="0" w:color="auto"/>
        <w:bottom w:val="none" w:sz="0" w:space="0" w:color="auto"/>
        <w:right w:val="none" w:sz="0" w:space="0" w:color="auto"/>
      </w:divBdr>
    </w:div>
    <w:div w:id="1700233187">
      <w:bodyDiv w:val="1"/>
      <w:marLeft w:val="0"/>
      <w:marRight w:val="0"/>
      <w:marTop w:val="0"/>
      <w:marBottom w:val="0"/>
      <w:divBdr>
        <w:top w:val="none" w:sz="0" w:space="0" w:color="auto"/>
        <w:left w:val="none" w:sz="0" w:space="0" w:color="auto"/>
        <w:bottom w:val="none" w:sz="0" w:space="0" w:color="auto"/>
        <w:right w:val="none" w:sz="0" w:space="0" w:color="auto"/>
      </w:divBdr>
    </w:div>
    <w:div w:id="1700548923">
      <w:bodyDiv w:val="1"/>
      <w:marLeft w:val="0"/>
      <w:marRight w:val="0"/>
      <w:marTop w:val="0"/>
      <w:marBottom w:val="0"/>
      <w:divBdr>
        <w:top w:val="none" w:sz="0" w:space="0" w:color="auto"/>
        <w:left w:val="none" w:sz="0" w:space="0" w:color="auto"/>
        <w:bottom w:val="none" w:sz="0" w:space="0" w:color="auto"/>
        <w:right w:val="none" w:sz="0" w:space="0" w:color="auto"/>
      </w:divBdr>
    </w:div>
    <w:div w:id="1700626307">
      <w:bodyDiv w:val="1"/>
      <w:marLeft w:val="0"/>
      <w:marRight w:val="0"/>
      <w:marTop w:val="0"/>
      <w:marBottom w:val="0"/>
      <w:divBdr>
        <w:top w:val="none" w:sz="0" w:space="0" w:color="auto"/>
        <w:left w:val="none" w:sz="0" w:space="0" w:color="auto"/>
        <w:bottom w:val="none" w:sz="0" w:space="0" w:color="auto"/>
        <w:right w:val="none" w:sz="0" w:space="0" w:color="auto"/>
      </w:divBdr>
    </w:div>
    <w:div w:id="1700739654">
      <w:bodyDiv w:val="1"/>
      <w:marLeft w:val="0"/>
      <w:marRight w:val="0"/>
      <w:marTop w:val="0"/>
      <w:marBottom w:val="0"/>
      <w:divBdr>
        <w:top w:val="none" w:sz="0" w:space="0" w:color="auto"/>
        <w:left w:val="none" w:sz="0" w:space="0" w:color="auto"/>
        <w:bottom w:val="none" w:sz="0" w:space="0" w:color="auto"/>
        <w:right w:val="none" w:sz="0" w:space="0" w:color="auto"/>
      </w:divBdr>
    </w:div>
    <w:div w:id="1700933046">
      <w:bodyDiv w:val="1"/>
      <w:marLeft w:val="0"/>
      <w:marRight w:val="0"/>
      <w:marTop w:val="0"/>
      <w:marBottom w:val="0"/>
      <w:divBdr>
        <w:top w:val="none" w:sz="0" w:space="0" w:color="auto"/>
        <w:left w:val="none" w:sz="0" w:space="0" w:color="auto"/>
        <w:bottom w:val="none" w:sz="0" w:space="0" w:color="auto"/>
        <w:right w:val="none" w:sz="0" w:space="0" w:color="auto"/>
      </w:divBdr>
    </w:div>
    <w:div w:id="1700935206">
      <w:bodyDiv w:val="1"/>
      <w:marLeft w:val="0"/>
      <w:marRight w:val="0"/>
      <w:marTop w:val="0"/>
      <w:marBottom w:val="0"/>
      <w:divBdr>
        <w:top w:val="none" w:sz="0" w:space="0" w:color="auto"/>
        <w:left w:val="none" w:sz="0" w:space="0" w:color="auto"/>
        <w:bottom w:val="none" w:sz="0" w:space="0" w:color="auto"/>
        <w:right w:val="none" w:sz="0" w:space="0" w:color="auto"/>
      </w:divBdr>
    </w:div>
    <w:div w:id="1701397840">
      <w:bodyDiv w:val="1"/>
      <w:marLeft w:val="0"/>
      <w:marRight w:val="0"/>
      <w:marTop w:val="0"/>
      <w:marBottom w:val="0"/>
      <w:divBdr>
        <w:top w:val="none" w:sz="0" w:space="0" w:color="auto"/>
        <w:left w:val="none" w:sz="0" w:space="0" w:color="auto"/>
        <w:bottom w:val="none" w:sz="0" w:space="0" w:color="auto"/>
        <w:right w:val="none" w:sz="0" w:space="0" w:color="auto"/>
      </w:divBdr>
    </w:div>
    <w:div w:id="1701515501">
      <w:bodyDiv w:val="1"/>
      <w:marLeft w:val="0"/>
      <w:marRight w:val="0"/>
      <w:marTop w:val="0"/>
      <w:marBottom w:val="0"/>
      <w:divBdr>
        <w:top w:val="none" w:sz="0" w:space="0" w:color="auto"/>
        <w:left w:val="none" w:sz="0" w:space="0" w:color="auto"/>
        <w:bottom w:val="none" w:sz="0" w:space="0" w:color="auto"/>
        <w:right w:val="none" w:sz="0" w:space="0" w:color="auto"/>
      </w:divBdr>
    </w:div>
    <w:div w:id="1701707920">
      <w:bodyDiv w:val="1"/>
      <w:marLeft w:val="0"/>
      <w:marRight w:val="0"/>
      <w:marTop w:val="0"/>
      <w:marBottom w:val="0"/>
      <w:divBdr>
        <w:top w:val="none" w:sz="0" w:space="0" w:color="auto"/>
        <w:left w:val="none" w:sz="0" w:space="0" w:color="auto"/>
        <w:bottom w:val="none" w:sz="0" w:space="0" w:color="auto"/>
        <w:right w:val="none" w:sz="0" w:space="0" w:color="auto"/>
      </w:divBdr>
    </w:div>
    <w:div w:id="1702198928">
      <w:bodyDiv w:val="1"/>
      <w:marLeft w:val="0"/>
      <w:marRight w:val="0"/>
      <w:marTop w:val="0"/>
      <w:marBottom w:val="0"/>
      <w:divBdr>
        <w:top w:val="none" w:sz="0" w:space="0" w:color="auto"/>
        <w:left w:val="none" w:sz="0" w:space="0" w:color="auto"/>
        <w:bottom w:val="none" w:sz="0" w:space="0" w:color="auto"/>
        <w:right w:val="none" w:sz="0" w:space="0" w:color="auto"/>
      </w:divBdr>
    </w:div>
    <w:div w:id="1702314540">
      <w:bodyDiv w:val="1"/>
      <w:marLeft w:val="0"/>
      <w:marRight w:val="0"/>
      <w:marTop w:val="0"/>
      <w:marBottom w:val="0"/>
      <w:divBdr>
        <w:top w:val="none" w:sz="0" w:space="0" w:color="auto"/>
        <w:left w:val="none" w:sz="0" w:space="0" w:color="auto"/>
        <w:bottom w:val="none" w:sz="0" w:space="0" w:color="auto"/>
        <w:right w:val="none" w:sz="0" w:space="0" w:color="auto"/>
      </w:divBdr>
    </w:div>
    <w:div w:id="1702901010">
      <w:bodyDiv w:val="1"/>
      <w:marLeft w:val="0"/>
      <w:marRight w:val="0"/>
      <w:marTop w:val="0"/>
      <w:marBottom w:val="0"/>
      <w:divBdr>
        <w:top w:val="none" w:sz="0" w:space="0" w:color="auto"/>
        <w:left w:val="none" w:sz="0" w:space="0" w:color="auto"/>
        <w:bottom w:val="none" w:sz="0" w:space="0" w:color="auto"/>
        <w:right w:val="none" w:sz="0" w:space="0" w:color="auto"/>
      </w:divBdr>
    </w:div>
    <w:div w:id="1702974792">
      <w:bodyDiv w:val="1"/>
      <w:marLeft w:val="0"/>
      <w:marRight w:val="0"/>
      <w:marTop w:val="0"/>
      <w:marBottom w:val="0"/>
      <w:divBdr>
        <w:top w:val="none" w:sz="0" w:space="0" w:color="auto"/>
        <w:left w:val="none" w:sz="0" w:space="0" w:color="auto"/>
        <w:bottom w:val="none" w:sz="0" w:space="0" w:color="auto"/>
        <w:right w:val="none" w:sz="0" w:space="0" w:color="auto"/>
      </w:divBdr>
    </w:div>
    <w:div w:id="1702977708">
      <w:bodyDiv w:val="1"/>
      <w:marLeft w:val="0"/>
      <w:marRight w:val="0"/>
      <w:marTop w:val="0"/>
      <w:marBottom w:val="0"/>
      <w:divBdr>
        <w:top w:val="none" w:sz="0" w:space="0" w:color="auto"/>
        <w:left w:val="none" w:sz="0" w:space="0" w:color="auto"/>
        <w:bottom w:val="none" w:sz="0" w:space="0" w:color="auto"/>
        <w:right w:val="none" w:sz="0" w:space="0" w:color="auto"/>
      </w:divBdr>
    </w:div>
    <w:div w:id="1703357265">
      <w:bodyDiv w:val="1"/>
      <w:marLeft w:val="0"/>
      <w:marRight w:val="0"/>
      <w:marTop w:val="0"/>
      <w:marBottom w:val="0"/>
      <w:divBdr>
        <w:top w:val="none" w:sz="0" w:space="0" w:color="auto"/>
        <w:left w:val="none" w:sz="0" w:space="0" w:color="auto"/>
        <w:bottom w:val="none" w:sz="0" w:space="0" w:color="auto"/>
        <w:right w:val="none" w:sz="0" w:space="0" w:color="auto"/>
      </w:divBdr>
    </w:div>
    <w:div w:id="1703433705">
      <w:bodyDiv w:val="1"/>
      <w:marLeft w:val="0"/>
      <w:marRight w:val="0"/>
      <w:marTop w:val="0"/>
      <w:marBottom w:val="0"/>
      <w:divBdr>
        <w:top w:val="none" w:sz="0" w:space="0" w:color="auto"/>
        <w:left w:val="none" w:sz="0" w:space="0" w:color="auto"/>
        <w:bottom w:val="none" w:sz="0" w:space="0" w:color="auto"/>
        <w:right w:val="none" w:sz="0" w:space="0" w:color="auto"/>
      </w:divBdr>
    </w:div>
    <w:div w:id="1703706565">
      <w:bodyDiv w:val="1"/>
      <w:marLeft w:val="0"/>
      <w:marRight w:val="0"/>
      <w:marTop w:val="0"/>
      <w:marBottom w:val="0"/>
      <w:divBdr>
        <w:top w:val="none" w:sz="0" w:space="0" w:color="auto"/>
        <w:left w:val="none" w:sz="0" w:space="0" w:color="auto"/>
        <w:bottom w:val="none" w:sz="0" w:space="0" w:color="auto"/>
        <w:right w:val="none" w:sz="0" w:space="0" w:color="auto"/>
      </w:divBdr>
    </w:div>
    <w:div w:id="1703751089">
      <w:bodyDiv w:val="1"/>
      <w:marLeft w:val="0"/>
      <w:marRight w:val="0"/>
      <w:marTop w:val="0"/>
      <w:marBottom w:val="0"/>
      <w:divBdr>
        <w:top w:val="none" w:sz="0" w:space="0" w:color="auto"/>
        <w:left w:val="none" w:sz="0" w:space="0" w:color="auto"/>
        <w:bottom w:val="none" w:sz="0" w:space="0" w:color="auto"/>
        <w:right w:val="none" w:sz="0" w:space="0" w:color="auto"/>
      </w:divBdr>
    </w:div>
    <w:div w:id="1704164123">
      <w:bodyDiv w:val="1"/>
      <w:marLeft w:val="0"/>
      <w:marRight w:val="0"/>
      <w:marTop w:val="0"/>
      <w:marBottom w:val="0"/>
      <w:divBdr>
        <w:top w:val="none" w:sz="0" w:space="0" w:color="auto"/>
        <w:left w:val="none" w:sz="0" w:space="0" w:color="auto"/>
        <w:bottom w:val="none" w:sz="0" w:space="0" w:color="auto"/>
        <w:right w:val="none" w:sz="0" w:space="0" w:color="auto"/>
      </w:divBdr>
    </w:div>
    <w:div w:id="1704984604">
      <w:bodyDiv w:val="1"/>
      <w:marLeft w:val="0"/>
      <w:marRight w:val="0"/>
      <w:marTop w:val="0"/>
      <w:marBottom w:val="0"/>
      <w:divBdr>
        <w:top w:val="none" w:sz="0" w:space="0" w:color="auto"/>
        <w:left w:val="none" w:sz="0" w:space="0" w:color="auto"/>
        <w:bottom w:val="none" w:sz="0" w:space="0" w:color="auto"/>
        <w:right w:val="none" w:sz="0" w:space="0" w:color="auto"/>
      </w:divBdr>
    </w:div>
    <w:div w:id="1705057381">
      <w:bodyDiv w:val="1"/>
      <w:marLeft w:val="0"/>
      <w:marRight w:val="0"/>
      <w:marTop w:val="0"/>
      <w:marBottom w:val="0"/>
      <w:divBdr>
        <w:top w:val="none" w:sz="0" w:space="0" w:color="auto"/>
        <w:left w:val="none" w:sz="0" w:space="0" w:color="auto"/>
        <w:bottom w:val="none" w:sz="0" w:space="0" w:color="auto"/>
        <w:right w:val="none" w:sz="0" w:space="0" w:color="auto"/>
      </w:divBdr>
    </w:div>
    <w:div w:id="1705400323">
      <w:bodyDiv w:val="1"/>
      <w:marLeft w:val="0"/>
      <w:marRight w:val="0"/>
      <w:marTop w:val="0"/>
      <w:marBottom w:val="0"/>
      <w:divBdr>
        <w:top w:val="none" w:sz="0" w:space="0" w:color="auto"/>
        <w:left w:val="none" w:sz="0" w:space="0" w:color="auto"/>
        <w:bottom w:val="none" w:sz="0" w:space="0" w:color="auto"/>
        <w:right w:val="none" w:sz="0" w:space="0" w:color="auto"/>
      </w:divBdr>
    </w:div>
    <w:div w:id="1705785354">
      <w:bodyDiv w:val="1"/>
      <w:marLeft w:val="0"/>
      <w:marRight w:val="0"/>
      <w:marTop w:val="0"/>
      <w:marBottom w:val="0"/>
      <w:divBdr>
        <w:top w:val="none" w:sz="0" w:space="0" w:color="auto"/>
        <w:left w:val="none" w:sz="0" w:space="0" w:color="auto"/>
        <w:bottom w:val="none" w:sz="0" w:space="0" w:color="auto"/>
        <w:right w:val="none" w:sz="0" w:space="0" w:color="auto"/>
      </w:divBdr>
    </w:div>
    <w:div w:id="1706099601">
      <w:bodyDiv w:val="1"/>
      <w:marLeft w:val="0"/>
      <w:marRight w:val="0"/>
      <w:marTop w:val="0"/>
      <w:marBottom w:val="0"/>
      <w:divBdr>
        <w:top w:val="none" w:sz="0" w:space="0" w:color="auto"/>
        <w:left w:val="none" w:sz="0" w:space="0" w:color="auto"/>
        <w:bottom w:val="none" w:sz="0" w:space="0" w:color="auto"/>
        <w:right w:val="none" w:sz="0" w:space="0" w:color="auto"/>
      </w:divBdr>
    </w:div>
    <w:div w:id="1706171534">
      <w:bodyDiv w:val="1"/>
      <w:marLeft w:val="0"/>
      <w:marRight w:val="0"/>
      <w:marTop w:val="0"/>
      <w:marBottom w:val="0"/>
      <w:divBdr>
        <w:top w:val="none" w:sz="0" w:space="0" w:color="auto"/>
        <w:left w:val="none" w:sz="0" w:space="0" w:color="auto"/>
        <w:bottom w:val="none" w:sz="0" w:space="0" w:color="auto"/>
        <w:right w:val="none" w:sz="0" w:space="0" w:color="auto"/>
      </w:divBdr>
    </w:div>
    <w:div w:id="1706250274">
      <w:bodyDiv w:val="1"/>
      <w:marLeft w:val="0"/>
      <w:marRight w:val="0"/>
      <w:marTop w:val="0"/>
      <w:marBottom w:val="0"/>
      <w:divBdr>
        <w:top w:val="none" w:sz="0" w:space="0" w:color="auto"/>
        <w:left w:val="none" w:sz="0" w:space="0" w:color="auto"/>
        <w:bottom w:val="none" w:sz="0" w:space="0" w:color="auto"/>
        <w:right w:val="none" w:sz="0" w:space="0" w:color="auto"/>
      </w:divBdr>
    </w:div>
    <w:div w:id="1706557640">
      <w:bodyDiv w:val="1"/>
      <w:marLeft w:val="0"/>
      <w:marRight w:val="0"/>
      <w:marTop w:val="0"/>
      <w:marBottom w:val="0"/>
      <w:divBdr>
        <w:top w:val="none" w:sz="0" w:space="0" w:color="auto"/>
        <w:left w:val="none" w:sz="0" w:space="0" w:color="auto"/>
        <w:bottom w:val="none" w:sz="0" w:space="0" w:color="auto"/>
        <w:right w:val="none" w:sz="0" w:space="0" w:color="auto"/>
      </w:divBdr>
    </w:div>
    <w:div w:id="1706827442">
      <w:bodyDiv w:val="1"/>
      <w:marLeft w:val="0"/>
      <w:marRight w:val="0"/>
      <w:marTop w:val="0"/>
      <w:marBottom w:val="0"/>
      <w:divBdr>
        <w:top w:val="none" w:sz="0" w:space="0" w:color="auto"/>
        <w:left w:val="none" w:sz="0" w:space="0" w:color="auto"/>
        <w:bottom w:val="none" w:sz="0" w:space="0" w:color="auto"/>
        <w:right w:val="none" w:sz="0" w:space="0" w:color="auto"/>
      </w:divBdr>
    </w:div>
    <w:div w:id="1706830835">
      <w:bodyDiv w:val="1"/>
      <w:marLeft w:val="0"/>
      <w:marRight w:val="0"/>
      <w:marTop w:val="0"/>
      <w:marBottom w:val="0"/>
      <w:divBdr>
        <w:top w:val="none" w:sz="0" w:space="0" w:color="auto"/>
        <w:left w:val="none" w:sz="0" w:space="0" w:color="auto"/>
        <w:bottom w:val="none" w:sz="0" w:space="0" w:color="auto"/>
        <w:right w:val="none" w:sz="0" w:space="0" w:color="auto"/>
      </w:divBdr>
    </w:div>
    <w:div w:id="1706952673">
      <w:bodyDiv w:val="1"/>
      <w:marLeft w:val="0"/>
      <w:marRight w:val="0"/>
      <w:marTop w:val="0"/>
      <w:marBottom w:val="0"/>
      <w:divBdr>
        <w:top w:val="none" w:sz="0" w:space="0" w:color="auto"/>
        <w:left w:val="none" w:sz="0" w:space="0" w:color="auto"/>
        <w:bottom w:val="none" w:sz="0" w:space="0" w:color="auto"/>
        <w:right w:val="none" w:sz="0" w:space="0" w:color="auto"/>
      </w:divBdr>
    </w:div>
    <w:div w:id="1707367726">
      <w:bodyDiv w:val="1"/>
      <w:marLeft w:val="0"/>
      <w:marRight w:val="0"/>
      <w:marTop w:val="0"/>
      <w:marBottom w:val="0"/>
      <w:divBdr>
        <w:top w:val="none" w:sz="0" w:space="0" w:color="auto"/>
        <w:left w:val="none" w:sz="0" w:space="0" w:color="auto"/>
        <w:bottom w:val="none" w:sz="0" w:space="0" w:color="auto"/>
        <w:right w:val="none" w:sz="0" w:space="0" w:color="auto"/>
      </w:divBdr>
    </w:div>
    <w:div w:id="1707438662">
      <w:bodyDiv w:val="1"/>
      <w:marLeft w:val="0"/>
      <w:marRight w:val="0"/>
      <w:marTop w:val="0"/>
      <w:marBottom w:val="0"/>
      <w:divBdr>
        <w:top w:val="none" w:sz="0" w:space="0" w:color="auto"/>
        <w:left w:val="none" w:sz="0" w:space="0" w:color="auto"/>
        <w:bottom w:val="none" w:sz="0" w:space="0" w:color="auto"/>
        <w:right w:val="none" w:sz="0" w:space="0" w:color="auto"/>
      </w:divBdr>
    </w:div>
    <w:div w:id="1708484456">
      <w:bodyDiv w:val="1"/>
      <w:marLeft w:val="0"/>
      <w:marRight w:val="0"/>
      <w:marTop w:val="0"/>
      <w:marBottom w:val="0"/>
      <w:divBdr>
        <w:top w:val="none" w:sz="0" w:space="0" w:color="auto"/>
        <w:left w:val="none" w:sz="0" w:space="0" w:color="auto"/>
        <w:bottom w:val="none" w:sz="0" w:space="0" w:color="auto"/>
        <w:right w:val="none" w:sz="0" w:space="0" w:color="auto"/>
      </w:divBdr>
    </w:div>
    <w:div w:id="1708598790">
      <w:bodyDiv w:val="1"/>
      <w:marLeft w:val="0"/>
      <w:marRight w:val="0"/>
      <w:marTop w:val="0"/>
      <w:marBottom w:val="0"/>
      <w:divBdr>
        <w:top w:val="none" w:sz="0" w:space="0" w:color="auto"/>
        <w:left w:val="none" w:sz="0" w:space="0" w:color="auto"/>
        <w:bottom w:val="none" w:sz="0" w:space="0" w:color="auto"/>
        <w:right w:val="none" w:sz="0" w:space="0" w:color="auto"/>
      </w:divBdr>
    </w:div>
    <w:div w:id="1708943926">
      <w:bodyDiv w:val="1"/>
      <w:marLeft w:val="0"/>
      <w:marRight w:val="0"/>
      <w:marTop w:val="0"/>
      <w:marBottom w:val="0"/>
      <w:divBdr>
        <w:top w:val="none" w:sz="0" w:space="0" w:color="auto"/>
        <w:left w:val="none" w:sz="0" w:space="0" w:color="auto"/>
        <w:bottom w:val="none" w:sz="0" w:space="0" w:color="auto"/>
        <w:right w:val="none" w:sz="0" w:space="0" w:color="auto"/>
      </w:divBdr>
    </w:div>
    <w:div w:id="1709063680">
      <w:bodyDiv w:val="1"/>
      <w:marLeft w:val="0"/>
      <w:marRight w:val="0"/>
      <w:marTop w:val="0"/>
      <w:marBottom w:val="0"/>
      <w:divBdr>
        <w:top w:val="none" w:sz="0" w:space="0" w:color="auto"/>
        <w:left w:val="none" w:sz="0" w:space="0" w:color="auto"/>
        <w:bottom w:val="none" w:sz="0" w:space="0" w:color="auto"/>
        <w:right w:val="none" w:sz="0" w:space="0" w:color="auto"/>
      </w:divBdr>
    </w:div>
    <w:div w:id="1709065530">
      <w:bodyDiv w:val="1"/>
      <w:marLeft w:val="0"/>
      <w:marRight w:val="0"/>
      <w:marTop w:val="0"/>
      <w:marBottom w:val="0"/>
      <w:divBdr>
        <w:top w:val="none" w:sz="0" w:space="0" w:color="auto"/>
        <w:left w:val="none" w:sz="0" w:space="0" w:color="auto"/>
        <w:bottom w:val="none" w:sz="0" w:space="0" w:color="auto"/>
        <w:right w:val="none" w:sz="0" w:space="0" w:color="auto"/>
      </w:divBdr>
    </w:div>
    <w:div w:id="1709069528">
      <w:bodyDiv w:val="1"/>
      <w:marLeft w:val="0"/>
      <w:marRight w:val="0"/>
      <w:marTop w:val="0"/>
      <w:marBottom w:val="0"/>
      <w:divBdr>
        <w:top w:val="none" w:sz="0" w:space="0" w:color="auto"/>
        <w:left w:val="none" w:sz="0" w:space="0" w:color="auto"/>
        <w:bottom w:val="none" w:sz="0" w:space="0" w:color="auto"/>
        <w:right w:val="none" w:sz="0" w:space="0" w:color="auto"/>
      </w:divBdr>
    </w:div>
    <w:div w:id="1709719453">
      <w:bodyDiv w:val="1"/>
      <w:marLeft w:val="0"/>
      <w:marRight w:val="0"/>
      <w:marTop w:val="0"/>
      <w:marBottom w:val="0"/>
      <w:divBdr>
        <w:top w:val="none" w:sz="0" w:space="0" w:color="auto"/>
        <w:left w:val="none" w:sz="0" w:space="0" w:color="auto"/>
        <w:bottom w:val="none" w:sz="0" w:space="0" w:color="auto"/>
        <w:right w:val="none" w:sz="0" w:space="0" w:color="auto"/>
      </w:divBdr>
    </w:div>
    <w:div w:id="1709835979">
      <w:bodyDiv w:val="1"/>
      <w:marLeft w:val="0"/>
      <w:marRight w:val="0"/>
      <w:marTop w:val="0"/>
      <w:marBottom w:val="0"/>
      <w:divBdr>
        <w:top w:val="none" w:sz="0" w:space="0" w:color="auto"/>
        <w:left w:val="none" w:sz="0" w:space="0" w:color="auto"/>
        <w:bottom w:val="none" w:sz="0" w:space="0" w:color="auto"/>
        <w:right w:val="none" w:sz="0" w:space="0" w:color="auto"/>
      </w:divBdr>
    </w:div>
    <w:div w:id="1709993555">
      <w:bodyDiv w:val="1"/>
      <w:marLeft w:val="0"/>
      <w:marRight w:val="0"/>
      <w:marTop w:val="0"/>
      <w:marBottom w:val="0"/>
      <w:divBdr>
        <w:top w:val="none" w:sz="0" w:space="0" w:color="auto"/>
        <w:left w:val="none" w:sz="0" w:space="0" w:color="auto"/>
        <w:bottom w:val="none" w:sz="0" w:space="0" w:color="auto"/>
        <w:right w:val="none" w:sz="0" w:space="0" w:color="auto"/>
      </w:divBdr>
    </w:div>
    <w:div w:id="1710380006">
      <w:bodyDiv w:val="1"/>
      <w:marLeft w:val="0"/>
      <w:marRight w:val="0"/>
      <w:marTop w:val="0"/>
      <w:marBottom w:val="0"/>
      <w:divBdr>
        <w:top w:val="none" w:sz="0" w:space="0" w:color="auto"/>
        <w:left w:val="none" w:sz="0" w:space="0" w:color="auto"/>
        <w:bottom w:val="none" w:sz="0" w:space="0" w:color="auto"/>
        <w:right w:val="none" w:sz="0" w:space="0" w:color="auto"/>
      </w:divBdr>
    </w:div>
    <w:div w:id="1710446915">
      <w:bodyDiv w:val="1"/>
      <w:marLeft w:val="0"/>
      <w:marRight w:val="0"/>
      <w:marTop w:val="0"/>
      <w:marBottom w:val="0"/>
      <w:divBdr>
        <w:top w:val="none" w:sz="0" w:space="0" w:color="auto"/>
        <w:left w:val="none" w:sz="0" w:space="0" w:color="auto"/>
        <w:bottom w:val="none" w:sz="0" w:space="0" w:color="auto"/>
        <w:right w:val="none" w:sz="0" w:space="0" w:color="auto"/>
      </w:divBdr>
    </w:div>
    <w:div w:id="1711030081">
      <w:bodyDiv w:val="1"/>
      <w:marLeft w:val="0"/>
      <w:marRight w:val="0"/>
      <w:marTop w:val="0"/>
      <w:marBottom w:val="0"/>
      <w:divBdr>
        <w:top w:val="none" w:sz="0" w:space="0" w:color="auto"/>
        <w:left w:val="none" w:sz="0" w:space="0" w:color="auto"/>
        <w:bottom w:val="none" w:sz="0" w:space="0" w:color="auto"/>
        <w:right w:val="none" w:sz="0" w:space="0" w:color="auto"/>
      </w:divBdr>
    </w:div>
    <w:div w:id="1711609065">
      <w:bodyDiv w:val="1"/>
      <w:marLeft w:val="0"/>
      <w:marRight w:val="0"/>
      <w:marTop w:val="0"/>
      <w:marBottom w:val="0"/>
      <w:divBdr>
        <w:top w:val="none" w:sz="0" w:space="0" w:color="auto"/>
        <w:left w:val="none" w:sz="0" w:space="0" w:color="auto"/>
        <w:bottom w:val="none" w:sz="0" w:space="0" w:color="auto"/>
        <w:right w:val="none" w:sz="0" w:space="0" w:color="auto"/>
      </w:divBdr>
    </w:div>
    <w:div w:id="1712723293">
      <w:bodyDiv w:val="1"/>
      <w:marLeft w:val="0"/>
      <w:marRight w:val="0"/>
      <w:marTop w:val="0"/>
      <w:marBottom w:val="0"/>
      <w:divBdr>
        <w:top w:val="none" w:sz="0" w:space="0" w:color="auto"/>
        <w:left w:val="none" w:sz="0" w:space="0" w:color="auto"/>
        <w:bottom w:val="none" w:sz="0" w:space="0" w:color="auto"/>
        <w:right w:val="none" w:sz="0" w:space="0" w:color="auto"/>
      </w:divBdr>
    </w:div>
    <w:div w:id="1712850464">
      <w:bodyDiv w:val="1"/>
      <w:marLeft w:val="0"/>
      <w:marRight w:val="0"/>
      <w:marTop w:val="0"/>
      <w:marBottom w:val="0"/>
      <w:divBdr>
        <w:top w:val="none" w:sz="0" w:space="0" w:color="auto"/>
        <w:left w:val="none" w:sz="0" w:space="0" w:color="auto"/>
        <w:bottom w:val="none" w:sz="0" w:space="0" w:color="auto"/>
        <w:right w:val="none" w:sz="0" w:space="0" w:color="auto"/>
      </w:divBdr>
    </w:div>
    <w:div w:id="1713264706">
      <w:bodyDiv w:val="1"/>
      <w:marLeft w:val="0"/>
      <w:marRight w:val="0"/>
      <w:marTop w:val="0"/>
      <w:marBottom w:val="0"/>
      <w:divBdr>
        <w:top w:val="none" w:sz="0" w:space="0" w:color="auto"/>
        <w:left w:val="none" w:sz="0" w:space="0" w:color="auto"/>
        <w:bottom w:val="none" w:sz="0" w:space="0" w:color="auto"/>
        <w:right w:val="none" w:sz="0" w:space="0" w:color="auto"/>
      </w:divBdr>
    </w:div>
    <w:div w:id="1713652582">
      <w:bodyDiv w:val="1"/>
      <w:marLeft w:val="0"/>
      <w:marRight w:val="0"/>
      <w:marTop w:val="0"/>
      <w:marBottom w:val="0"/>
      <w:divBdr>
        <w:top w:val="none" w:sz="0" w:space="0" w:color="auto"/>
        <w:left w:val="none" w:sz="0" w:space="0" w:color="auto"/>
        <w:bottom w:val="none" w:sz="0" w:space="0" w:color="auto"/>
        <w:right w:val="none" w:sz="0" w:space="0" w:color="auto"/>
      </w:divBdr>
    </w:div>
    <w:div w:id="1713844673">
      <w:bodyDiv w:val="1"/>
      <w:marLeft w:val="0"/>
      <w:marRight w:val="0"/>
      <w:marTop w:val="0"/>
      <w:marBottom w:val="0"/>
      <w:divBdr>
        <w:top w:val="none" w:sz="0" w:space="0" w:color="auto"/>
        <w:left w:val="none" w:sz="0" w:space="0" w:color="auto"/>
        <w:bottom w:val="none" w:sz="0" w:space="0" w:color="auto"/>
        <w:right w:val="none" w:sz="0" w:space="0" w:color="auto"/>
      </w:divBdr>
    </w:div>
    <w:div w:id="1713921979">
      <w:bodyDiv w:val="1"/>
      <w:marLeft w:val="0"/>
      <w:marRight w:val="0"/>
      <w:marTop w:val="0"/>
      <w:marBottom w:val="0"/>
      <w:divBdr>
        <w:top w:val="none" w:sz="0" w:space="0" w:color="auto"/>
        <w:left w:val="none" w:sz="0" w:space="0" w:color="auto"/>
        <w:bottom w:val="none" w:sz="0" w:space="0" w:color="auto"/>
        <w:right w:val="none" w:sz="0" w:space="0" w:color="auto"/>
      </w:divBdr>
    </w:div>
    <w:div w:id="1714187639">
      <w:bodyDiv w:val="1"/>
      <w:marLeft w:val="0"/>
      <w:marRight w:val="0"/>
      <w:marTop w:val="0"/>
      <w:marBottom w:val="0"/>
      <w:divBdr>
        <w:top w:val="none" w:sz="0" w:space="0" w:color="auto"/>
        <w:left w:val="none" w:sz="0" w:space="0" w:color="auto"/>
        <w:bottom w:val="none" w:sz="0" w:space="0" w:color="auto"/>
        <w:right w:val="none" w:sz="0" w:space="0" w:color="auto"/>
      </w:divBdr>
    </w:div>
    <w:div w:id="1714307694">
      <w:bodyDiv w:val="1"/>
      <w:marLeft w:val="0"/>
      <w:marRight w:val="0"/>
      <w:marTop w:val="0"/>
      <w:marBottom w:val="0"/>
      <w:divBdr>
        <w:top w:val="none" w:sz="0" w:space="0" w:color="auto"/>
        <w:left w:val="none" w:sz="0" w:space="0" w:color="auto"/>
        <w:bottom w:val="none" w:sz="0" w:space="0" w:color="auto"/>
        <w:right w:val="none" w:sz="0" w:space="0" w:color="auto"/>
      </w:divBdr>
    </w:div>
    <w:div w:id="1714498526">
      <w:bodyDiv w:val="1"/>
      <w:marLeft w:val="0"/>
      <w:marRight w:val="0"/>
      <w:marTop w:val="0"/>
      <w:marBottom w:val="0"/>
      <w:divBdr>
        <w:top w:val="none" w:sz="0" w:space="0" w:color="auto"/>
        <w:left w:val="none" w:sz="0" w:space="0" w:color="auto"/>
        <w:bottom w:val="none" w:sz="0" w:space="0" w:color="auto"/>
        <w:right w:val="none" w:sz="0" w:space="0" w:color="auto"/>
      </w:divBdr>
    </w:div>
    <w:div w:id="1715033060">
      <w:bodyDiv w:val="1"/>
      <w:marLeft w:val="0"/>
      <w:marRight w:val="0"/>
      <w:marTop w:val="0"/>
      <w:marBottom w:val="0"/>
      <w:divBdr>
        <w:top w:val="none" w:sz="0" w:space="0" w:color="auto"/>
        <w:left w:val="none" w:sz="0" w:space="0" w:color="auto"/>
        <w:bottom w:val="none" w:sz="0" w:space="0" w:color="auto"/>
        <w:right w:val="none" w:sz="0" w:space="0" w:color="auto"/>
      </w:divBdr>
    </w:div>
    <w:div w:id="1715497945">
      <w:bodyDiv w:val="1"/>
      <w:marLeft w:val="0"/>
      <w:marRight w:val="0"/>
      <w:marTop w:val="0"/>
      <w:marBottom w:val="0"/>
      <w:divBdr>
        <w:top w:val="none" w:sz="0" w:space="0" w:color="auto"/>
        <w:left w:val="none" w:sz="0" w:space="0" w:color="auto"/>
        <w:bottom w:val="none" w:sz="0" w:space="0" w:color="auto"/>
        <w:right w:val="none" w:sz="0" w:space="0" w:color="auto"/>
      </w:divBdr>
    </w:div>
    <w:div w:id="1715537325">
      <w:bodyDiv w:val="1"/>
      <w:marLeft w:val="0"/>
      <w:marRight w:val="0"/>
      <w:marTop w:val="0"/>
      <w:marBottom w:val="0"/>
      <w:divBdr>
        <w:top w:val="none" w:sz="0" w:space="0" w:color="auto"/>
        <w:left w:val="none" w:sz="0" w:space="0" w:color="auto"/>
        <w:bottom w:val="none" w:sz="0" w:space="0" w:color="auto"/>
        <w:right w:val="none" w:sz="0" w:space="0" w:color="auto"/>
      </w:divBdr>
    </w:div>
    <w:div w:id="1715960341">
      <w:bodyDiv w:val="1"/>
      <w:marLeft w:val="0"/>
      <w:marRight w:val="0"/>
      <w:marTop w:val="0"/>
      <w:marBottom w:val="0"/>
      <w:divBdr>
        <w:top w:val="none" w:sz="0" w:space="0" w:color="auto"/>
        <w:left w:val="none" w:sz="0" w:space="0" w:color="auto"/>
        <w:bottom w:val="none" w:sz="0" w:space="0" w:color="auto"/>
        <w:right w:val="none" w:sz="0" w:space="0" w:color="auto"/>
      </w:divBdr>
    </w:div>
    <w:div w:id="1716082413">
      <w:bodyDiv w:val="1"/>
      <w:marLeft w:val="0"/>
      <w:marRight w:val="0"/>
      <w:marTop w:val="0"/>
      <w:marBottom w:val="0"/>
      <w:divBdr>
        <w:top w:val="none" w:sz="0" w:space="0" w:color="auto"/>
        <w:left w:val="none" w:sz="0" w:space="0" w:color="auto"/>
        <w:bottom w:val="none" w:sz="0" w:space="0" w:color="auto"/>
        <w:right w:val="none" w:sz="0" w:space="0" w:color="auto"/>
      </w:divBdr>
    </w:div>
    <w:div w:id="1716153058">
      <w:bodyDiv w:val="1"/>
      <w:marLeft w:val="0"/>
      <w:marRight w:val="0"/>
      <w:marTop w:val="0"/>
      <w:marBottom w:val="0"/>
      <w:divBdr>
        <w:top w:val="none" w:sz="0" w:space="0" w:color="auto"/>
        <w:left w:val="none" w:sz="0" w:space="0" w:color="auto"/>
        <w:bottom w:val="none" w:sz="0" w:space="0" w:color="auto"/>
        <w:right w:val="none" w:sz="0" w:space="0" w:color="auto"/>
      </w:divBdr>
    </w:div>
    <w:div w:id="1716199443">
      <w:bodyDiv w:val="1"/>
      <w:marLeft w:val="0"/>
      <w:marRight w:val="0"/>
      <w:marTop w:val="0"/>
      <w:marBottom w:val="0"/>
      <w:divBdr>
        <w:top w:val="none" w:sz="0" w:space="0" w:color="auto"/>
        <w:left w:val="none" w:sz="0" w:space="0" w:color="auto"/>
        <w:bottom w:val="none" w:sz="0" w:space="0" w:color="auto"/>
        <w:right w:val="none" w:sz="0" w:space="0" w:color="auto"/>
      </w:divBdr>
    </w:div>
    <w:div w:id="1716854652">
      <w:bodyDiv w:val="1"/>
      <w:marLeft w:val="0"/>
      <w:marRight w:val="0"/>
      <w:marTop w:val="0"/>
      <w:marBottom w:val="0"/>
      <w:divBdr>
        <w:top w:val="none" w:sz="0" w:space="0" w:color="auto"/>
        <w:left w:val="none" w:sz="0" w:space="0" w:color="auto"/>
        <w:bottom w:val="none" w:sz="0" w:space="0" w:color="auto"/>
        <w:right w:val="none" w:sz="0" w:space="0" w:color="auto"/>
      </w:divBdr>
    </w:div>
    <w:div w:id="1718580334">
      <w:bodyDiv w:val="1"/>
      <w:marLeft w:val="0"/>
      <w:marRight w:val="0"/>
      <w:marTop w:val="0"/>
      <w:marBottom w:val="0"/>
      <w:divBdr>
        <w:top w:val="none" w:sz="0" w:space="0" w:color="auto"/>
        <w:left w:val="none" w:sz="0" w:space="0" w:color="auto"/>
        <w:bottom w:val="none" w:sz="0" w:space="0" w:color="auto"/>
        <w:right w:val="none" w:sz="0" w:space="0" w:color="auto"/>
      </w:divBdr>
    </w:div>
    <w:div w:id="1718773417">
      <w:bodyDiv w:val="1"/>
      <w:marLeft w:val="0"/>
      <w:marRight w:val="0"/>
      <w:marTop w:val="0"/>
      <w:marBottom w:val="0"/>
      <w:divBdr>
        <w:top w:val="none" w:sz="0" w:space="0" w:color="auto"/>
        <w:left w:val="none" w:sz="0" w:space="0" w:color="auto"/>
        <w:bottom w:val="none" w:sz="0" w:space="0" w:color="auto"/>
        <w:right w:val="none" w:sz="0" w:space="0" w:color="auto"/>
      </w:divBdr>
    </w:div>
    <w:div w:id="1718775018">
      <w:bodyDiv w:val="1"/>
      <w:marLeft w:val="0"/>
      <w:marRight w:val="0"/>
      <w:marTop w:val="0"/>
      <w:marBottom w:val="0"/>
      <w:divBdr>
        <w:top w:val="none" w:sz="0" w:space="0" w:color="auto"/>
        <w:left w:val="none" w:sz="0" w:space="0" w:color="auto"/>
        <w:bottom w:val="none" w:sz="0" w:space="0" w:color="auto"/>
        <w:right w:val="none" w:sz="0" w:space="0" w:color="auto"/>
      </w:divBdr>
    </w:div>
    <w:div w:id="1719162493">
      <w:bodyDiv w:val="1"/>
      <w:marLeft w:val="0"/>
      <w:marRight w:val="0"/>
      <w:marTop w:val="0"/>
      <w:marBottom w:val="0"/>
      <w:divBdr>
        <w:top w:val="none" w:sz="0" w:space="0" w:color="auto"/>
        <w:left w:val="none" w:sz="0" w:space="0" w:color="auto"/>
        <w:bottom w:val="none" w:sz="0" w:space="0" w:color="auto"/>
        <w:right w:val="none" w:sz="0" w:space="0" w:color="auto"/>
      </w:divBdr>
    </w:div>
    <w:div w:id="1719696831">
      <w:bodyDiv w:val="1"/>
      <w:marLeft w:val="0"/>
      <w:marRight w:val="0"/>
      <w:marTop w:val="0"/>
      <w:marBottom w:val="0"/>
      <w:divBdr>
        <w:top w:val="none" w:sz="0" w:space="0" w:color="auto"/>
        <w:left w:val="none" w:sz="0" w:space="0" w:color="auto"/>
        <w:bottom w:val="none" w:sz="0" w:space="0" w:color="auto"/>
        <w:right w:val="none" w:sz="0" w:space="0" w:color="auto"/>
      </w:divBdr>
    </w:div>
    <w:div w:id="1721127101">
      <w:bodyDiv w:val="1"/>
      <w:marLeft w:val="0"/>
      <w:marRight w:val="0"/>
      <w:marTop w:val="0"/>
      <w:marBottom w:val="0"/>
      <w:divBdr>
        <w:top w:val="none" w:sz="0" w:space="0" w:color="auto"/>
        <w:left w:val="none" w:sz="0" w:space="0" w:color="auto"/>
        <w:bottom w:val="none" w:sz="0" w:space="0" w:color="auto"/>
        <w:right w:val="none" w:sz="0" w:space="0" w:color="auto"/>
      </w:divBdr>
    </w:div>
    <w:div w:id="1721130061">
      <w:bodyDiv w:val="1"/>
      <w:marLeft w:val="0"/>
      <w:marRight w:val="0"/>
      <w:marTop w:val="0"/>
      <w:marBottom w:val="0"/>
      <w:divBdr>
        <w:top w:val="none" w:sz="0" w:space="0" w:color="auto"/>
        <w:left w:val="none" w:sz="0" w:space="0" w:color="auto"/>
        <w:bottom w:val="none" w:sz="0" w:space="0" w:color="auto"/>
        <w:right w:val="none" w:sz="0" w:space="0" w:color="auto"/>
      </w:divBdr>
    </w:div>
    <w:div w:id="1721662930">
      <w:bodyDiv w:val="1"/>
      <w:marLeft w:val="0"/>
      <w:marRight w:val="0"/>
      <w:marTop w:val="0"/>
      <w:marBottom w:val="0"/>
      <w:divBdr>
        <w:top w:val="none" w:sz="0" w:space="0" w:color="auto"/>
        <w:left w:val="none" w:sz="0" w:space="0" w:color="auto"/>
        <w:bottom w:val="none" w:sz="0" w:space="0" w:color="auto"/>
        <w:right w:val="none" w:sz="0" w:space="0" w:color="auto"/>
      </w:divBdr>
    </w:div>
    <w:div w:id="1721703879">
      <w:bodyDiv w:val="1"/>
      <w:marLeft w:val="0"/>
      <w:marRight w:val="0"/>
      <w:marTop w:val="0"/>
      <w:marBottom w:val="0"/>
      <w:divBdr>
        <w:top w:val="none" w:sz="0" w:space="0" w:color="auto"/>
        <w:left w:val="none" w:sz="0" w:space="0" w:color="auto"/>
        <w:bottom w:val="none" w:sz="0" w:space="0" w:color="auto"/>
        <w:right w:val="none" w:sz="0" w:space="0" w:color="auto"/>
      </w:divBdr>
    </w:div>
    <w:div w:id="1722050127">
      <w:bodyDiv w:val="1"/>
      <w:marLeft w:val="0"/>
      <w:marRight w:val="0"/>
      <w:marTop w:val="0"/>
      <w:marBottom w:val="0"/>
      <w:divBdr>
        <w:top w:val="none" w:sz="0" w:space="0" w:color="auto"/>
        <w:left w:val="none" w:sz="0" w:space="0" w:color="auto"/>
        <w:bottom w:val="none" w:sz="0" w:space="0" w:color="auto"/>
        <w:right w:val="none" w:sz="0" w:space="0" w:color="auto"/>
      </w:divBdr>
    </w:div>
    <w:div w:id="1722169764">
      <w:bodyDiv w:val="1"/>
      <w:marLeft w:val="0"/>
      <w:marRight w:val="0"/>
      <w:marTop w:val="0"/>
      <w:marBottom w:val="0"/>
      <w:divBdr>
        <w:top w:val="none" w:sz="0" w:space="0" w:color="auto"/>
        <w:left w:val="none" w:sz="0" w:space="0" w:color="auto"/>
        <w:bottom w:val="none" w:sz="0" w:space="0" w:color="auto"/>
        <w:right w:val="none" w:sz="0" w:space="0" w:color="auto"/>
      </w:divBdr>
    </w:div>
    <w:div w:id="1722514016">
      <w:bodyDiv w:val="1"/>
      <w:marLeft w:val="0"/>
      <w:marRight w:val="0"/>
      <w:marTop w:val="0"/>
      <w:marBottom w:val="0"/>
      <w:divBdr>
        <w:top w:val="none" w:sz="0" w:space="0" w:color="auto"/>
        <w:left w:val="none" w:sz="0" w:space="0" w:color="auto"/>
        <w:bottom w:val="none" w:sz="0" w:space="0" w:color="auto"/>
        <w:right w:val="none" w:sz="0" w:space="0" w:color="auto"/>
      </w:divBdr>
    </w:div>
    <w:div w:id="1722554434">
      <w:bodyDiv w:val="1"/>
      <w:marLeft w:val="0"/>
      <w:marRight w:val="0"/>
      <w:marTop w:val="0"/>
      <w:marBottom w:val="0"/>
      <w:divBdr>
        <w:top w:val="none" w:sz="0" w:space="0" w:color="auto"/>
        <w:left w:val="none" w:sz="0" w:space="0" w:color="auto"/>
        <w:bottom w:val="none" w:sz="0" w:space="0" w:color="auto"/>
        <w:right w:val="none" w:sz="0" w:space="0" w:color="auto"/>
      </w:divBdr>
    </w:div>
    <w:div w:id="1724256713">
      <w:bodyDiv w:val="1"/>
      <w:marLeft w:val="0"/>
      <w:marRight w:val="0"/>
      <w:marTop w:val="0"/>
      <w:marBottom w:val="0"/>
      <w:divBdr>
        <w:top w:val="none" w:sz="0" w:space="0" w:color="auto"/>
        <w:left w:val="none" w:sz="0" w:space="0" w:color="auto"/>
        <w:bottom w:val="none" w:sz="0" w:space="0" w:color="auto"/>
        <w:right w:val="none" w:sz="0" w:space="0" w:color="auto"/>
      </w:divBdr>
    </w:div>
    <w:div w:id="1724326355">
      <w:bodyDiv w:val="1"/>
      <w:marLeft w:val="0"/>
      <w:marRight w:val="0"/>
      <w:marTop w:val="0"/>
      <w:marBottom w:val="0"/>
      <w:divBdr>
        <w:top w:val="none" w:sz="0" w:space="0" w:color="auto"/>
        <w:left w:val="none" w:sz="0" w:space="0" w:color="auto"/>
        <w:bottom w:val="none" w:sz="0" w:space="0" w:color="auto"/>
        <w:right w:val="none" w:sz="0" w:space="0" w:color="auto"/>
      </w:divBdr>
    </w:div>
    <w:div w:id="1724478782">
      <w:bodyDiv w:val="1"/>
      <w:marLeft w:val="0"/>
      <w:marRight w:val="0"/>
      <w:marTop w:val="0"/>
      <w:marBottom w:val="0"/>
      <w:divBdr>
        <w:top w:val="none" w:sz="0" w:space="0" w:color="auto"/>
        <w:left w:val="none" w:sz="0" w:space="0" w:color="auto"/>
        <w:bottom w:val="none" w:sz="0" w:space="0" w:color="auto"/>
        <w:right w:val="none" w:sz="0" w:space="0" w:color="auto"/>
      </w:divBdr>
    </w:div>
    <w:div w:id="1724677563">
      <w:bodyDiv w:val="1"/>
      <w:marLeft w:val="0"/>
      <w:marRight w:val="0"/>
      <w:marTop w:val="0"/>
      <w:marBottom w:val="0"/>
      <w:divBdr>
        <w:top w:val="none" w:sz="0" w:space="0" w:color="auto"/>
        <w:left w:val="none" w:sz="0" w:space="0" w:color="auto"/>
        <w:bottom w:val="none" w:sz="0" w:space="0" w:color="auto"/>
        <w:right w:val="none" w:sz="0" w:space="0" w:color="auto"/>
      </w:divBdr>
    </w:div>
    <w:div w:id="1724982402">
      <w:bodyDiv w:val="1"/>
      <w:marLeft w:val="0"/>
      <w:marRight w:val="0"/>
      <w:marTop w:val="0"/>
      <w:marBottom w:val="0"/>
      <w:divBdr>
        <w:top w:val="none" w:sz="0" w:space="0" w:color="auto"/>
        <w:left w:val="none" w:sz="0" w:space="0" w:color="auto"/>
        <w:bottom w:val="none" w:sz="0" w:space="0" w:color="auto"/>
        <w:right w:val="none" w:sz="0" w:space="0" w:color="auto"/>
      </w:divBdr>
    </w:div>
    <w:div w:id="1725447456">
      <w:bodyDiv w:val="1"/>
      <w:marLeft w:val="0"/>
      <w:marRight w:val="0"/>
      <w:marTop w:val="0"/>
      <w:marBottom w:val="0"/>
      <w:divBdr>
        <w:top w:val="none" w:sz="0" w:space="0" w:color="auto"/>
        <w:left w:val="none" w:sz="0" w:space="0" w:color="auto"/>
        <w:bottom w:val="none" w:sz="0" w:space="0" w:color="auto"/>
        <w:right w:val="none" w:sz="0" w:space="0" w:color="auto"/>
      </w:divBdr>
    </w:div>
    <w:div w:id="1725986103">
      <w:bodyDiv w:val="1"/>
      <w:marLeft w:val="0"/>
      <w:marRight w:val="0"/>
      <w:marTop w:val="0"/>
      <w:marBottom w:val="0"/>
      <w:divBdr>
        <w:top w:val="none" w:sz="0" w:space="0" w:color="auto"/>
        <w:left w:val="none" w:sz="0" w:space="0" w:color="auto"/>
        <w:bottom w:val="none" w:sz="0" w:space="0" w:color="auto"/>
        <w:right w:val="none" w:sz="0" w:space="0" w:color="auto"/>
      </w:divBdr>
    </w:div>
    <w:div w:id="1726104312">
      <w:bodyDiv w:val="1"/>
      <w:marLeft w:val="0"/>
      <w:marRight w:val="0"/>
      <w:marTop w:val="0"/>
      <w:marBottom w:val="0"/>
      <w:divBdr>
        <w:top w:val="none" w:sz="0" w:space="0" w:color="auto"/>
        <w:left w:val="none" w:sz="0" w:space="0" w:color="auto"/>
        <w:bottom w:val="none" w:sz="0" w:space="0" w:color="auto"/>
        <w:right w:val="none" w:sz="0" w:space="0" w:color="auto"/>
      </w:divBdr>
    </w:div>
    <w:div w:id="1726248545">
      <w:bodyDiv w:val="1"/>
      <w:marLeft w:val="0"/>
      <w:marRight w:val="0"/>
      <w:marTop w:val="0"/>
      <w:marBottom w:val="0"/>
      <w:divBdr>
        <w:top w:val="none" w:sz="0" w:space="0" w:color="auto"/>
        <w:left w:val="none" w:sz="0" w:space="0" w:color="auto"/>
        <w:bottom w:val="none" w:sz="0" w:space="0" w:color="auto"/>
        <w:right w:val="none" w:sz="0" w:space="0" w:color="auto"/>
      </w:divBdr>
    </w:div>
    <w:div w:id="1726294387">
      <w:bodyDiv w:val="1"/>
      <w:marLeft w:val="0"/>
      <w:marRight w:val="0"/>
      <w:marTop w:val="0"/>
      <w:marBottom w:val="0"/>
      <w:divBdr>
        <w:top w:val="none" w:sz="0" w:space="0" w:color="auto"/>
        <w:left w:val="none" w:sz="0" w:space="0" w:color="auto"/>
        <w:bottom w:val="none" w:sz="0" w:space="0" w:color="auto"/>
        <w:right w:val="none" w:sz="0" w:space="0" w:color="auto"/>
      </w:divBdr>
    </w:div>
    <w:div w:id="1726836301">
      <w:bodyDiv w:val="1"/>
      <w:marLeft w:val="0"/>
      <w:marRight w:val="0"/>
      <w:marTop w:val="0"/>
      <w:marBottom w:val="0"/>
      <w:divBdr>
        <w:top w:val="none" w:sz="0" w:space="0" w:color="auto"/>
        <w:left w:val="none" w:sz="0" w:space="0" w:color="auto"/>
        <w:bottom w:val="none" w:sz="0" w:space="0" w:color="auto"/>
        <w:right w:val="none" w:sz="0" w:space="0" w:color="auto"/>
      </w:divBdr>
    </w:div>
    <w:div w:id="1727799382">
      <w:bodyDiv w:val="1"/>
      <w:marLeft w:val="0"/>
      <w:marRight w:val="0"/>
      <w:marTop w:val="0"/>
      <w:marBottom w:val="0"/>
      <w:divBdr>
        <w:top w:val="none" w:sz="0" w:space="0" w:color="auto"/>
        <w:left w:val="none" w:sz="0" w:space="0" w:color="auto"/>
        <w:bottom w:val="none" w:sz="0" w:space="0" w:color="auto"/>
        <w:right w:val="none" w:sz="0" w:space="0" w:color="auto"/>
      </w:divBdr>
    </w:div>
    <w:div w:id="1728216665">
      <w:bodyDiv w:val="1"/>
      <w:marLeft w:val="0"/>
      <w:marRight w:val="0"/>
      <w:marTop w:val="0"/>
      <w:marBottom w:val="0"/>
      <w:divBdr>
        <w:top w:val="none" w:sz="0" w:space="0" w:color="auto"/>
        <w:left w:val="none" w:sz="0" w:space="0" w:color="auto"/>
        <w:bottom w:val="none" w:sz="0" w:space="0" w:color="auto"/>
        <w:right w:val="none" w:sz="0" w:space="0" w:color="auto"/>
      </w:divBdr>
    </w:div>
    <w:div w:id="1728260938">
      <w:bodyDiv w:val="1"/>
      <w:marLeft w:val="0"/>
      <w:marRight w:val="0"/>
      <w:marTop w:val="0"/>
      <w:marBottom w:val="0"/>
      <w:divBdr>
        <w:top w:val="none" w:sz="0" w:space="0" w:color="auto"/>
        <w:left w:val="none" w:sz="0" w:space="0" w:color="auto"/>
        <w:bottom w:val="none" w:sz="0" w:space="0" w:color="auto"/>
        <w:right w:val="none" w:sz="0" w:space="0" w:color="auto"/>
      </w:divBdr>
    </w:div>
    <w:div w:id="1728917344">
      <w:bodyDiv w:val="1"/>
      <w:marLeft w:val="0"/>
      <w:marRight w:val="0"/>
      <w:marTop w:val="0"/>
      <w:marBottom w:val="0"/>
      <w:divBdr>
        <w:top w:val="none" w:sz="0" w:space="0" w:color="auto"/>
        <w:left w:val="none" w:sz="0" w:space="0" w:color="auto"/>
        <w:bottom w:val="none" w:sz="0" w:space="0" w:color="auto"/>
        <w:right w:val="none" w:sz="0" w:space="0" w:color="auto"/>
      </w:divBdr>
    </w:div>
    <w:div w:id="1729497861">
      <w:bodyDiv w:val="1"/>
      <w:marLeft w:val="0"/>
      <w:marRight w:val="0"/>
      <w:marTop w:val="0"/>
      <w:marBottom w:val="0"/>
      <w:divBdr>
        <w:top w:val="none" w:sz="0" w:space="0" w:color="auto"/>
        <w:left w:val="none" w:sz="0" w:space="0" w:color="auto"/>
        <w:bottom w:val="none" w:sz="0" w:space="0" w:color="auto"/>
        <w:right w:val="none" w:sz="0" w:space="0" w:color="auto"/>
      </w:divBdr>
    </w:div>
    <w:div w:id="1730112517">
      <w:bodyDiv w:val="1"/>
      <w:marLeft w:val="0"/>
      <w:marRight w:val="0"/>
      <w:marTop w:val="0"/>
      <w:marBottom w:val="0"/>
      <w:divBdr>
        <w:top w:val="none" w:sz="0" w:space="0" w:color="auto"/>
        <w:left w:val="none" w:sz="0" w:space="0" w:color="auto"/>
        <w:bottom w:val="none" w:sz="0" w:space="0" w:color="auto"/>
        <w:right w:val="none" w:sz="0" w:space="0" w:color="auto"/>
      </w:divBdr>
    </w:div>
    <w:div w:id="1730304081">
      <w:bodyDiv w:val="1"/>
      <w:marLeft w:val="0"/>
      <w:marRight w:val="0"/>
      <w:marTop w:val="0"/>
      <w:marBottom w:val="0"/>
      <w:divBdr>
        <w:top w:val="none" w:sz="0" w:space="0" w:color="auto"/>
        <w:left w:val="none" w:sz="0" w:space="0" w:color="auto"/>
        <w:bottom w:val="none" w:sz="0" w:space="0" w:color="auto"/>
        <w:right w:val="none" w:sz="0" w:space="0" w:color="auto"/>
      </w:divBdr>
    </w:div>
    <w:div w:id="1730305050">
      <w:bodyDiv w:val="1"/>
      <w:marLeft w:val="0"/>
      <w:marRight w:val="0"/>
      <w:marTop w:val="0"/>
      <w:marBottom w:val="0"/>
      <w:divBdr>
        <w:top w:val="none" w:sz="0" w:space="0" w:color="auto"/>
        <w:left w:val="none" w:sz="0" w:space="0" w:color="auto"/>
        <w:bottom w:val="none" w:sz="0" w:space="0" w:color="auto"/>
        <w:right w:val="none" w:sz="0" w:space="0" w:color="auto"/>
      </w:divBdr>
    </w:div>
    <w:div w:id="1730347526">
      <w:bodyDiv w:val="1"/>
      <w:marLeft w:val="0"/>
      <w:marRight w:val="0"/>
      <w:marTop w:val="0"/>
      <w:marBottom w:val="0"/>
      <w:divBdr>
        <w:top w:val="none" w:sz="0" w:space="0" w:color="auto"/>
        <w:left w:val="none" w:sz="0" w:space="0" w:color="auto"/>
        <w:bottom w:val="none" w:sz="0" w:space="0" w:color="auto"/>
        <w:right w:val="none" w:sz="0" w:space="0" w:color="auto"/>
      </w:divBdr>
    </w:div>
    <w:div w:id="1730347703">
      <w:bodyDiv w:val="1"/>
      <w:marLeft w:val="0"/>
      <w:marRight w:val="0"/>
      <w:marTop w:val="0"/>
      <w:marBottom w:val="0"/>
      <w:divBdr>
        <w:top w:val="none" w:sz="0" w:space="0" w:color="auto"/>
        <w:left w:val="none" w:sz="0" w:space="0" w:color="auto"/>
        <w:bottom w:val="none" w:sz="0" w:space="0" w:color="auto"/>
        <w:right w:val="none" w:sz="0" w:space="0" w:color="auto"/>
      </w:divBdr>
    </w:div>
    <w:div w:id="1730960552">
      <w:bodyDiv w:val="1"/>
      <w:marLeft w:val="0"/>
      <w:marRight w:val="0"/>
      <w:marTop w:val="0"/>
      <w:marBottom w:val="0"/>
      <w:divBdr>
        <w:top w:val="none" w:sz="0" w:space="0" w:color="auto"/>
        <w:left w:val="none" w:sz="0" w:space="0" w:color="auto"/>
        <w:bottom w:val="none" w:sz="0" w:space="0" w:color="auto"/>
        <w:right w:val="none" w:sz="0" w:space="0" w:color="auto"/>
      </w:divBdr>
    </w:div>
    <w:div w:id="1731493836">
      <w:bodyDiv w:val="1"/>
      <w:marLeft w:val="0"/>
      <w:marRight w:val="0"/>
      <w:marTop w:val="0"/>
      <w:marBottom w:val="0"/>
      <w:divBdr>
        <w:top w:val="none" w:sz="0" w:space="0" w:color="auto"/>
        <w:left w:val="none" w:sz="0" w:space="0" w:color="auto"/>
        <w:bottom w:val="none" w:sz="0" w:space="0" w:color="auto"/>
        <w:right w:val="none" w:sz="0" w:space="0" w:color="auto"/>
      </w:divBdr>
    </w:div>
    <w:div w:id="1731609211">
      <w:bodyDiv w:val="1"/>
      <w:marLeft w:val="0"/>
      <w:marRight w:val="0"/>
      <w:marTop w:val="0"/>
      <w:marBottom w:val="0"/>
      <w:divBdr>
        <w:top w:val="none" w:sz="0" w:space="0" w:color="auto"/>
        <w:left w:val="none" w:sz="0" w:space="0" w:color="auto"/>
        <w:bottom w:val="none" w:sz="0" w:space="0" w:color="auto"/>
        <w:right w:val="none" w:sz="0" w:space="0" w:color="auto"/>
      </w:divBdr>
    </w:div>
    <w:div w:id="1731804530">
      <w:bodyDiv w:val="1"/>
      <w:marLeft w:val="0"/>
      <w:marRight w:val="0"/>
      <w:marTop w:val="0"/>
      <w:marBottom w:val="0"/>
      <w:divBdr>
        <w:top w:val="none" w:sz="0" w:space="0" w:color="auto"/>
        <w:left w:val="none" w:sz="0" w:space="0" w:color="auto"/>
        <w:bottom w:val="none" w:sz="0" w:space="0" w:color="auto"/>
        <w:right w:val="none" w:sz="0" w:space="0" w:color="auto"/>
      </w:divBdr>
    </w:div>
    <w:div w:id="1732265117">
      <w:bodyDiv w:val="1"/>
      <w:marLeft w:val="0"/>
      <w:marRight w:val="0"/>
      <w:marTop w:val="0"/>
      <w:marBottom w:val="0"/>
      <w:divBdr>
        <w:top w:val="none" w:sz="0" w:space="0" w:color="auto"/>
        <w:left w:val="none" w:sz="0" w:space="0" w:color="auto"/>
        <w:bottom w:val="none" w:sz="0" w:space="0" w:color="auto"/>
        <w:right w:val="none" w:sz="0" w:space="0" w:color="auto"/>
      </w:divBdr>
    </w:div>
    <w:div w:id="1732385936">
      <w:bodyDiv w:val="1"/>
      <w:marLeft w:val="0"/>
      <w:marRight w:val="0"/>
      <w:marTop w:val="0"/>
      <w:marBottom w:val="0"/>
      <w:divBdr>
        <w:top w:val="none" w:sz="0" w:space="0" w:color="auto"/>
        <w:left w:val="none" w:sz="0" w:space="0" w:color="auto"/>
        <w:bottom w:val="none" w:sz="0" w:space="0" w:color="auto"/>
        <w:right w:val="none" w:sz="0" w:space="0" w:color="auto"/>
      </w:divBdr>
    </w:div>
    <w:div w:id="1732657147">
      <w:bodyDiv w:val="1"/>
      <w:marLeft w:val="0"/>
      <w:marRight w:val="0"/>
      <w:marTop w:val="0"/>
      <w:marBottom w:val="0"/>
      <w:divBdr>
        <w:top w:val="none" w:sz="0" w:space="0" w:color="auto"/>
        <w:left w:val="none" w:sz="0" w:space="0" w:color="auto"/>
        <w:bottom w:val="none" w:sz="0" w:space="0" w:color="auto"/>
        <w:right w:val="none" w:sz="0" w:space="0" w:color="auto"/>
      </w:divBdr>
    </w:div>
    <w:div w:id="1732921649">
      <w:bodyDiv w:val="1"/>
      <w:marLeft w:val="0"/>
      <w:marRight w:val="0"/>
      <w:marTop w:val="0"/>
      <w:marBottom w:val="0"/>
      <w:divBdr>
        <w:top w:val="none" w:sz="0" w:space="0" w:color="auto"/>
        <w:left w:val="none" w:sz="0" w:space="0" w:color="auto"/>
        <w:bottom w:val="none" w:sz="0" w:space="0" w:color="auto"/>
        <w:right w:val="none" w:sz="0" w:space="0" w:color="auto"/>
      </w:divBdr>
    </w:div>
    <w:div w:id="1733193520">
      <w:bodyDiv w:val="1"/>
      <w:marLeft w:val="0"/>
      <w:marRight w:val="0"/>
      <w:marTop w:val="0"/>
      <w:marBottom w:val="0"/>
      <w:divBdr>
        <w:top w:val="none" w:sz="0" w:space="0" w:color="auto"/>
        <w:left w:val="none" w:sz="0" w:space="0" w:color="auto"/>
        <w:bottom w:val="none" w:sz="0" w:space="0" w:color="auto"/>
        <w:right w:val="none" w:sz="0" w:space="0" w:color="auto"/>
      </w:divBdr>
    </w:div>
    <w:div w:id="1733234995">
      <w:bodyDiv w:val="1"/>
      <w:marLeft w:val="0"/>
      <w:marRight w:val="0"/>
      <w:marTop w:val="0"/>
      <w:marBottom w:val="0"/>
      <w:divBdr>
        <w:top w:val="none" w:sz="0" w:space="0" w:color="auto"/>
        <w:left w:val="none" w:sz="0" w:space="0" w:color="auto"/>
        <w:bottom w:val="none" w:sz="0" w:space="0" w:color="auto"/>
        <w:right w:val="none" w:sz="0" w:space="0" w:color="auto"/>
      </w:divBdr>
    </w:div>
    <w:div w:id="1733389921">
      <w:bodyDiv w:val="1"/>
      <w:marLeft w:val="0"/>
      <w:marRight w:val="0"/>
      <w:marTop w:val="0"/>
      <w:marBottom w:val="0"/>
      <w:divBdr>
        <w:top w:val="none" w:sz="0" w:space="0" w:color="auto"/>
        <w:left w:val="none" w:sz="0" w:space="0" w:color="auto"/>
        <w:bottom w:val="none" w:sz="0" w:space="0" w:color="auto"/>
        <w:right w:val="none" w:sz="0" w:space="0" w:color="auto"/>
      </w:divBdr>
    </w:div>
    <w:div w:id="1733428997">
      <w:bodyDiv w:val="1"/>
      <w:marLeft w:val="0"/>
      <w:marRight w:val="0"/>
      <w:marTop w:val="0"/>
      <w:marBottom w:val="0"/>
      <w:divBdr>
        <w:top w:val="none" w:sz="0" w:space="0" w:color="auto"/>
        <w:left w:val="none" w:sz="0" w:space="0" w:color="auto"/>
        <w:bottom w:val="none" w:sz="0" w:space="0" w:color="auto"/>
        <w:right w:val="none" w:sz="0" w:space="0" w:color="auto"/>
      </w:divBdr>
    </w:div>
    <w:div w:id="1733699641">
      <w:bodyDiv w:val="1"/>
      <w:marLeft w:val="0"/>
      <w:marRight w:val="0"/>
      <w:marTop w:val="0"/>
      <w:marBottom w:val="0"/>
      <w:divBdr>
        <w:top w:val="none" w:sz="0" w:space="0" w:color="auto"/>
        <w:left w:val="none" w:sz="0" w:space="0" w:color="auto"/>
        <w:bottom w:val="none" w:sz="0" w:space="0" w:color="auto"/>
        <w:right w:val="none" w:sz="0" w:space="0" w:color="auto"/>
      </w:divBdr>
    </w:div>
    <w:div w:id="1734036177">
      <w:bodyDiv w:val="1"/>
      <w:marLeft w:val="0"/>
      <w:marRight w:val="0"/>
      <w:marTop w:val="0"/>
      <w:marBottom w:val="0"/>
      <w:divBdr>
        <w:top w:val="none" w:sz="0" w:space="0" w:color="auto"/>
        <w:left w:val="none" w:sz="0" w:space="0" w:color="auto"/>
        <w:bottom w:val="none" w:sz="0" w:space="0" w:color="auto"/>
        <w:right w:val="none" w:sz="0" w:space="0" w:color="auto"/>
      </w:divBdr>
    </w:div>
    <w:div w:id="1734691302">
      <w:bodyDiv w:val="1"/>
      <w:marLeft w:val="0"/>
      <w:marRight w:val="0"/>
      <w:marTop w:val="0"/>
      <w:marBottom w:val="0"/>
      <w:divBdr>
        <w:top w:val="none" w:sz="0" w:space="0" w:color="auto"/>
        <w:left w:val="none" w:sz="0" w:space="0" w:color="auto"/>
        <w:bottom w:val="none" w:sz="0" w:space="0" w:color="auto"/>
        <w:right w:val="none" w:sz="0" w:space="0" w:color="auto"/>
      </w:divBdr>
    </w:div>
    <w:div w:id="1735200009">
      <w:bodyDiv w:val="1"/>
      <w:marLeft w:val="0"/>
      <w:marRight w:val="0"/>
      <w:marTop w:val="0"/>
      <w:marBottom w:val="0"/>
      <w:divBdr>
        <w:top w:val="none" w:sz="0" w:space="0" w:color="auto"/>
        <w:left w:val="none" w:sz="0" w:space="0" w:color="auto"/>
        <w:bottom w:val="none" w:sz="0" w:space="0" w:color="auto"/>
        <w:right w:val="none" w:sz="0" w:space="0" w:color="auto"/>
      </w:divBdr>
    </w:div>
    <w:div w:id="1735277966">
      <w:bodyDiv w:val="1"/>
      <w:marLeft w:val="0"/>
      <w:marRight w:val="0"/>
      <w:marTop w:val="0"/>
      <w:marBottom w:val="0"/>
      <w:divBdr>
        <w:top w:val="none" w:sz="0" w:space="0" w:color="auto"/>
        <w:left w:val="none" w:sz="0" w:space="0" w:color="auto"/>
        <w:bottom w:val="none" w:sz="0" w:space="0" w:color="auto"/>
        <w:right w:val="none" w:sz="0" w:space="0" w:color="auto"/>
      </w:divBdr>
    </w:div>
    <w:div w:id="1735665289">
      <w:bodyDiv w:val="1"/>
      <w:marLeft w:val="0"/>
      <w:marRight w:val="0"/>
      <w:marTop w:val="0"/>
      <w:marBottom w:val="0"/>
      <w:divBdr>
        <w:top w:val="none" w:sz="0" w:space="0" w:color="auto"/>
        <w:left w:val="none" w:sz="0" w:space="0" w:color="auto"/>
        <w:bottom w:val="none" w:sz="0" w:space="0" w:color="auto"/>
        <w:right w:val="none" w:sz="0" w:space="0" w:color="auto"/>
      </w:divBdr>
    </w:div>
    <w:div w:id="1736119763">
      <w:bodyDiv w:val="1"/>
      <w:marLeft w:val="0"/>
      <w:marRight w:val="0"/>
      <w:marTop w:val="0"/>
      <w:marBottom w:val="0"/>
      <w:divBdr>
        <w:top w:val="none" w:sz="0" w:space="0" w:color="auto"/>
        <w:left w:val="none" w:sz="0" w:space="0" w:color="auto"/>
        <w:bottom w:val="none" w:sz="0" w:space="0" w:color="auto"/>
        <w:right w:val="none" w:sz="0" w:space="0" w:color="auto"/>
      </w:divBdr>
    </w:div>
    <w:div w:id="1736468799">
      <w:bodyDiv w:val="1"/>
      <w:marLeft w:val="0"/>
      <w:marRight w:val="0"/>
      <w:marTop w:val="0"/>
      <w:marBottom w:val="0"/>
      <w:divBdr>
        <w:top w:val="none" w:sz="0" w:space="0" w:color="auto"/>
        <w:left w:val="none" w:sz="0" w:space="0" w:color="auto"/>
        <w:bottom w:val="none" w:sz="0" w:space="0" w:color="auto"/>
        <w:right w:val="none" w:sz="0" w:space="0" w:color="auto"/>
      </w:divBdr>
    </w:div>
    <w:div w:id="1736930036">
      <w:bodyDiv w:val="1"/>
      <w:marLeft w:val="0"/>
      <w:marRight w:val="0"/>
      <w:marTop w:val="0"/>
      <w:marBottom w:val="0"/>
      <w:divBdr>
        <w:top w:val="none" w:sz="0" w:space="0" w:color="auto"/>
        <w:left w:val="none" w:sz="0" w:space="0" w:color="auto"/>
        <w:bottom w:val="none" w:sz="0" w:space="0" w:color="auto"/>
        <w:right w:val="none" w:sz="0" w:space="0" w:color="auto"/>
      </w:divBdr>
    </w:div>
    <w:div w:id="1737122848">
      <w:bodyDiv w:val="1"/>
      <w:marLeft w:val="0"/>
      <w:marRight w:val="0"/>
      <w:marTop w:val="0"/>
      <w:marBottom w:val="0"/>
      <w:divBdr>
        <w:top w:val="none" w:sz="0" w:space="0" w:color="auto"/>
        <w:left w:val="none" w:sz="0" w:space="0" w:color="auto"/>
        <w:bottom w:val="none" w:sz="0" w:space="0" w:color="auto"/>
        <w:right w:val="none" w:sz="0" w:space="0" w:color="auto"/>
      </w:divBdr>
    </w:div>
    <w:div w:id="1737313788">
      <w:bodyDiv w:val="1"/>
      <w:marLeft w:val="0"/>
      <w:marRight w:val="0"/>
      <w:marTop w:val="0"/>
      <w:marBottom w:val="0"/>
      <w:divBdr>
        <w:top w:val="none" w:sz="0" w:space="0" w:color="auto"/>
        <w:left w:val="none" w:sz="0" w:space="0" w:color="auto"/>
        <w:bottom w:val="none" w:sz="0" w:space="0" w:color="auto"/>
        <w:right w:val="none" w:sz="0" w:space="0" w:color="auto"/>
      </w:divBdr>
    </w:div>
    <w:div w:id="1737434497">
      <w:bodyDiv w:val="1"/>
      <w:marLeft w:val="0"/>
      <w:marRight w:val="0"/>
      <w:marTop w:val="0"/>
      <w:marBottom w:val="0"/>
      <w:divBdr>
        <w:top w:val="none" w:sz="0" w:space="0" w:color="auto"/>
        <w:left w:val="none" w:sz="0" w:space="0" w:color="auto"/>
        <w:bottom w:val="none" w:sz="0" w:space="0" w:color="auto"/>
        <w:right w:val="none" w:sz="0" w:space="0" w:color="auto"/>
      </w:divBdr>
    </w:div>
    <w:div w:id="1737507760">
      <w:bodyDiv w:val="1"/>
      <w:marLeft w:val="0"/>
      <w:marRight w:val="0"/>
      <w:marTop w:val="0"/>
      <w:marBottom w:val="0"/>
      <w:divBdr>
        <w:top w:val="none" w:sz="0" w:space="0" w:color="auto"/>
        <w:left w:val="none" w:sz="0" w:space="0" w:color="auto"/>
        <w:bottom w:val="none" w:sz="0" w:space="0" w:color="auto"/>
        <w:right w:val="none" w:sz="0" w:space="0" w:color="auto"/>
      </w:divBdr>
    </w:div>
    <w:div w:id="1738042949">
      <w:bodyDiv w:val="1"/>
      <w:marLeft w:val="0"/>
      <w:marRight w:val="0"/>
      <w:marTop w:val="0"/>
      <w:marBottom w:val="0"/>
      <w:divBdr>
        <w:top w:val="none" w:sz="0" w:space="0" w:color="auto"/>
        <w:left w:val="none" w:sz="0" w:space="0" w:color="auto"/>
        <w:bottom w:val="none" w:sz="0" w:space="0" w:color="auto"/>
        <w:right w:val="none" w:sz="0" w:space="0" w:color="auto"/>
      </w:divBdr>
    </w:div>
    <w:div w:id="1738165124">
      <w:bodyDiv w:val="1"/>
      <w:marLeft w:val="0"/>
      <w:marRight w:val="0"/>
      <w:marTop w:val="0"/>
      <w:marBottom w:val="0"/>
      <w:divBdr>
        <w:top w:val="none" w:sz="0" w:space="0" w:color="auto"/>
        <w:left w:val="none" w:sz="0" w:space="0" w:color="auto"/>
        <w:bottom w:val="none" w:sz="0" w:space="0" w:color="auto"/>
        <w:right w:val="none" w:sz="0" w:space="0" w:color="auto"/>
      </w:divBdr>
    </w:div>
    <w:div w:id="1738555051">
      <w:bodyDiv w:val="1"/>
      <w:marLeft w:val="0"/>
      <w:marRight w:val="0"/>
      <w:marTop w:val="0"/>
      <w:marBottom w:val="0"/>
      <w:divBdr>
        <w:top w:val="none" w:sz="0" w:space="0" w:color="auto"/>
        <w:left w:val="none" w:sz="0" w:space="0" w:color="auto"/>
        <w:bottom w:val="none" w:sz="0" w:space="0" w:color="auto"/>
        <w:right w:val="none" w:sz="0" w:space="0" w:color="auto"/>
      </w:divBdr>
    </w:div>
    <w:div w:id="1738822021">
      <w:bodyDiv w:val="1"/>
      <w:marLeft w:val="0"/>
      <w:marRight w:val="0"/>
      <w:marTop w:val="0"/>
      <w:marBottom w:val="0"/>
      <w:divBdr>
        <w:top w:val="none" w:sz="0" w:space="0" w:color="auto"/>
        <w:left w:val="none" w:sz="0" w:space="0" w:color="auto"/>
        <w:bottom w:val="none" w:sz="0" w:space="0" w:color="auto"/>
        <w:right w:val="none" w:sz="0" w:space="0" w:color="auto"/>
      </w:divBdr>
    </w:div>
    <w:div w:id="1738894066">
      <w:bodyDiv w:val="1"/>
      <w:marLeft w:val="0"/>
      <w:marRight w:val="0"/>
      <w:marTop w:val="0"/>
      <w:marBottom w:val="0"/>
      <w:divBdr>
        <w:top w:val="none" w:sz="0" w:space="0" w:color="auto"/>
        <w:left w:val="none" w:sz="0" w:space="0" w:color="auto"/>
        <w:bottom w:val="none" w:sz="0" w:space="0" w:color="auto"/>
        <w:right w:val="none" w:sz="0" w:space="0" w:color="auto"/>
      </w:divBdr>
    </w:div>
    <w:div w:id="1739397049">
      <w:bodyDiv w:val="1"/>
      <w:marLeft w:val="0"/>
      <w:marRight w:val="0"/>
      <w:marTop w:val="0"/>
      <w:marBottom w:val="0"/>
      <w:divBdr>
        <w:top w:val="none" w:sz="0" w:space="0" w:color="auto"/>
        <w:left w:val="none" w:sz="0" w:space="0" w:color="auto"/>
        <w:bottom w:val="none" w:sz="0" w:space="0" w:color="auto"/>
        <w:right w:val="none" w:sz="0" w:space="0" w:color="auto"/>
      </w:divBdr>
    </w:div>
    <w:div w:id="1739401241">
      <w:bodyDiv w:val="1"/>
      <w:marLeft w:val="0"/>
      <w:marRight w:val="0"/>
      <w:marTop w:val="0"/>
      <w:marBottom w:val="0"/>
      <w:divBdr>
        <w:top w:val="none" w:sz="0" w:space="0" w:color="auto"/>
        <w:left w:val="none" w:sz="0" w:space="0" w:color="auto"/>
        <w:bottom w:val="none" w:sz="0" w:space="0" w:color="auto"/>
        <w:right w:val="none" w:sz="0" w:space="0" w:color="auto"/>
      </w:divBdr>
    </w:div>
    <w:div w:id="1740399927">
      <w:bodyDiv w:val="1"/>
      <w:marLeft w:val="0"/>
      <w:marRight w:val="0"/>
      <w:marTop w:val="0"/>
      <w:marBottom w:val="0"/>
      <w:divBdr>
        <w:top w:val="none" w:sz="0" w:space="0" w:color="auto"/>
        <w:left w:val="none" w:sz="0" w:space="0" w:color="auto"/>
        <w:bottom w:val="none" w:sz="0" w:space="0" w:color="auto"/>
        <w:right w:val="none" w:sz="0" w:space="0" w:color="auto"/>
      </w:divBdr>
    </w:div>
    <w:div w:id="1740707243">
      <w:bodyDiv w:val="1"/>
      <w:marLeft w:val="0"/>
      <w:marRight w:val="0"/>
      <w:marTop w:val="0"/>
      <w:marBottom w:val="0"/>
      <w:divBdr>
        <w:top w:val="none" w:sz="0" w:space="0" w:color="auto"/>
        <w:left w:val="none" w:sz="0" w:space="0" w:color="auto"/>
        <w:bottom w:val="none" w:sz="0" w:space="0" w:color="auto"/>
        <w:right w:val="none" w:sz="0" w:space="0" w:color="auto"/>
      </w:divBdr>
    </w:div>
    <w:div w:id="1740713397">
      <w:bodyDiv w:val="1"/>
      <w:marLeft w:val="0"/>
      <w:marRight w:val="0"/>
      <w:marTop w:val="0"/>
      <w:marBottom w:val="0"/>
      <w:divBdr>
        <w:top w:val="none" w:sz="0" w:space="0" w:color="auto"/>
        <w:left w:val="none" w:sz="0" w:space="0" w:color="auto"/>
        <w:bottom w:val="none" w:sz="0" w:space="0" w:color="auto"/>
        <w:right w:val="none" w:sz="0" w:space="0" w:color="auto"/>
      </w:divBdr>
    </w:div>
    <w:div w:id="1740975285">
      <w:bodyDiv w:val="1"/>
      <w:marLeft w:val="0"/>
      <w:marRight w:val="0"/>
      <w:marTop w:val="0"/>
      <w:marBottom w:val="0"/>
      <w:divBdr>
        <w:top w:val="none" w:sz="0" w:space="0" w:color="auto"/>
        <w:left w:val="none" w:sz="0" w:space="0" w:color="auto"/>
        <w:bottom w:val="none" w:sz="0" w:space="0" w:color="auto"/>
        <w:right w:val="none" w:sz="0" w:space="0" w:color="auto"/>
      </w:divBdr>
    </w:div>
    <w:div w:id="1741442805">
      <w:bodyDiv w:val="1"/>
      <w:marLeft w:val="0"/>
      <w:marRight w:val="0"/>
      <w:marTop w:val="0"/>
      <w:marBottom w:val="0"/>
      <w:divBdr>
        <w:top w:val="none" w:sz="0" w:space="0" w:color="auto"/>
        <w:left w:val="none" w:sz="0" w:space="0" w:color="auto"/>
        <w:bottom w:val="none" w:sz="0" w:space="0" w:color="auto"/>
        <w:right w:val="none" w:sz="0" w:space="0" w:color="auto"/>
      </w:divBdr>
    </w:div>
    <w:div w:id="1741826854">
      <w:bodyDiv w:val="1"/>
      <w:marLeft w:val="0"/>
      <w:marRight w:val="0"/>
      <w:marTop w:val="0"/>
      <w:marBottom w:val="0"/>
      <w:divBdr>
        <w:top w:val="none" w:sz="0" w:space="0" w:color="auto"/>
        <w:left w:val="none" w:sz="0" w:space="0" w:color="auto"/>
        <w:bottom w:val="none" w:sz="0" w:space="0" w:color="auto"/>
        <w:right w:val="none" w:sz="0" w:space="0" w:color="auto"/>
      </w:divBdr>
    </w:div>
    <w:div w:id="1743062536">
      <w:bodyDiv w:val="1"/>
      <w:marLeft w:val="0"/>
      <w:marRight w:val="0"/>
      <w:marTop w:val="0"/>
      <w:marBottom w:val="0"/>
      <w:divBdr>
        <w:top w:val="none" w:sz="0" w:space="0" w:color="auto"/>
        <w:left w:val="none" w:sz="0" w:space="0" w:color="auto"/>
        <w:bottom w:val="none" w:sz="0" w:space="0" w:color="auto"/>
        <w:right w:val="none" w:sz="0" w:space="0" w:color="auto"/>
      </w:divBdr>
    </w:div>
    <w:div w:id="1743409116">
      <w:bodyDiv w:val="1"/>
      <w:marLeft w:val="0"/>
      <w:marRight w:val="0"/>
      <w:marTop w:val="0"/>
      <w:marBottom w:val="0"/>
      <w:divBdr>
        <w:top w:val="none" w:sz="0" w:space="0" w:color="auto"/>
        <w:left w:val="none" w:sz="0" w:space="0" w:color="auto"/>
        <w:bottom w:val="none" w:sz="0" w:space="0" w:color="auto"/>
        <w:right w:val="none" w:sz="0" w:space="0" w:color="auto"/>
      </w:divBdr>
    </w:div>
    <w:div w:id="1743526340">
      <w:bodyDiv w:val="1"/>
      <w:marLeft w:val="0"/>
      <w:marRight w:val="0"/>
      <w:marTop w:val="0"/>
      <w:marBottom w:val="0"/>
      <w:divBdr>
        <w:top w:val="none" w:sz="0" w:space="0" w:color="auto"/>
        <w:left w:val="none" w:sz="0" w:space="0" w:color="auto"/>
        <w:bottom w:val="none" w:sz="0" w:space="0" w:color="auto"/>
        <w:right w:val="none" w:sz="0" w:space="0" w:color="auto"/>
      </w:divBdr>
    </w:div>
    <w:div w:id="1743597637">
      <w:bodyDiv w:val="1"/>
      <w:marLeft w:val="0"/>
      <w:marRight w:val="0"/>
      <w:marTop w:val="0"/>
      <w:marBottom w:val="0"/>
      <w:divBdr>
        <w:top w:val="none" w:sz="0" w:space="0" w:color="auto"/>
        <w:left w:val="none" w:sz="0" w:space="0" w:color="auto"/>
        <w:bottom w:val="none" w:sz="0" w:space="0" w:color="auto"/>
        <w:right w:val="none" w:sz="0" w:space="0" w:color="auto"/>
      </w:divBdr>
    </w:div>
    <w:div w:id="1743673644">
      <w:bodyDiv w:val="1"/>
      <w:marLeft w:val="0"/>
      <w:marRight w:val="0"/>
      <w:marTop w:val="0"/>
      <w:marBottom w:val="0"/>
      <w:divBdr>
        <w:top w:val="none" w:sz="0" w:space="0" w:color="auto"/>
        <w:left w:val="none" w:sz="0" w:space="0" w:color="auto"/>
        <w:bottom w:val="none" w:sz="0" w:space="0" w:color="auto"/>
        <w:right w:val="none" w:sz="0" w:space="0" w:color="auto"/>
      </w:divBdr>
    </w:div>
    <w:div w:id="1743747851">
      <w:bodyDiv w:val="1"/>
      <w:marLeft w:val="0"/>
      <w:marRight w:val="0"/>
      <w:marTop w:val="0"/>
      <w:marBottom w:val="0"/>
      <w:divBdr>
        <w:top w:val="none" w:sz="0" w:space="0" w:color="auto"/>
        <w:left w:val="none" w:sz="0" w:space="0" w:color="auto"/>
        <w:bottom w:val="none" w:sz="0" w:space="0" w:color="auto"/>
        <w:right w:val="none" w:sz="0" w:space="0" w:color="auto"/>
      </w:divBdr>
    </w:div>
    <w:div w:id="1744915212">
      <w:bodyDiv w:val="1"/>
      <w:marLeft w:val="0"/>
      <w:marRight w:val="0"/>
      <w:marTop w:val="0"/>
      <w:marBottom w:val="0"/>
      <w:divBdr>
        <w:top w:val="none" w:sz="0" w:space="0" w:color="auto"/>
        <w:left w:val="none" w:sz="0" w:space="0" w:color="auto"/>
        <w:bottom w:val="none" w:sz="0" w:space="0" w:color="auto"/>
        <w:right w:val="none" w:sz="0" w:space="0" w:color="auto"/>
      </w:divBdr>
    </w:div>
    <w:div w:id="1744915631">
      <w:bodyDiv w:val="1"/>
      <w:marLeft w:val="0"/>
      <w:marRight w:val="0"/>
      <w:marTop w:val="0"/>
      <w:marBottom w:val="0"/>
      <w:divBdr>
        <w:top w:val="none" w:sz="0" w:space="0" w:color="auto"/>
        <w:left w:val="none" w:sz="0" w:space="0" w:color="auto"/>
        <w:bottom w:val="none" w:sz="0" w:space="0" w:color="auto"/>
        <w:right w:val="none" w:sz="0" w:space="0" w:color="auto"/>
      </w:divBdr>
    </w:div>
    <w:div w:id="1745301665">
      <w:bodyDiv w:val="1"/>
      <w:marLeft w:val="0"/>
      <w:marRight w:val="0"/>
      <w:marTop w:val="0"/>
      <w:marBottom w:val="0"/>
      <w:divBdr>
        <w:top w:val="none" w:sz="0" w:space="0" w:color="auto"/>
        <w:left w:val="none" w:sz="0" w:space="0" w:color="auto"/>
        <w:bottom w:val="none" w:sz="0" w:space="0" w:color="auto"/>
        <w:right w:val="none" w:sz="0" w:space="0" w:color="auto"/>
      </w:divBdr>
    </w:div>
    <w:div w:id="1745444271">
      <w:bodyDiv w:val="1"/>
      <w:marLeft w:val="0"/>
      <w:marRight w:val="0"/>
      <w:marTop w:val="0"/>
      <w:marBottom w:val="0"/>
      <w:divBdr>
        <w:top w:val="none" w:sz="0" w:space="0" w:color="auto"/>
        <w:left w:val="none" w:sz="0" w:space="0" w:color="auto"/>
        <w:bottom w:val="none" w:sz="0" w:space="0" w:color="auto"/>
        <w:right w:val="none" w:sz="0" w:space="0" w:color="auto"/>
      </w:divBdr>
    </w:div>
    <w:div w:id="1745493406">
      <w:bodyDiv w:val="1"/>
      <w:marLeft w:val="0"/>
      <w:marRight w:val="0"/>
      <w:marTop w:val="0"/>
      <w:marBottom w:val="0"/>
      <w:divBdr>
        <w:top w:val="none" w:sz="0" w:space="0" w:color="auto"/>
        <w:left w:val="none" w:sz="0" w:space="0" w:color="auto"/>
        <w:bottom w:val="none" w:sz="0" w:space="0" w:color="auto"/>
        <w:right w:val="none" w:sz="0" w:space="0" w:color="auto"/>
      </w:divBdr>
    </w:div>
    <w:div w:id="1745712552">
      <w:bodyDiv w:val="1"/>
      <w:marLeft w:val="0"/>
      <w:marRight w:val="0"/>
      <w:marTop w:val="0"/>
      <w:marBottom w:val="0"/>
      <w:divBdr>
        <w:top w:val="none" w:sz="0" w:space="0" w:color="auto"/>
        <w:left w:val="none" w:sz="0" w:space="0" w:color="auto"/>
        <w:bottom w:val="none" w:sz="0" w:space="0" w:color="auto"/>
        <w:right w:val="none" w:sz="0" w:space="0" w:color="auto"/>
      </w:divBdr>
    </w:div>
    <w:div w:id="1746031350">
      <w:bodyDiv w:val="1"/>
      <w:marLeft w:val="0"/>
      <w:marRight w:val="0"/>
      <w:marTop w:val="0"/>
      <w:marBottom w:val="0"/>
      <w:divBdr>
        <w:top w:val="none" w:sz="0" w:space="0" w:color="auto"/>
        <w:left w:val="none" w:sz="0" w:space="0" w:color="auto"/>
        <w:bottom w:val="none" w:sz="0" w:space="0" w:color="auto"/>
        <w:right w:val="none" w:sz="0" w:space="0" w:color="auto"/>
      </w:divBdr>
    </w:div>
    <w:div w:id="1747023291">
      <w:bodyDiv w:val="1"/>
      <w:marLeft w:val="0"/>
      <w:marRight w:val="0"/>
      <w:marTop w:val="0"/>
      <w:marBottom w:val="0"/>
      <w:divBdr>
        <w:top w:val="none" w:sz="0" w:space="0" w:color="auto"/>
        <w:left w:val="none" w:sz="0" w:space="0" w:color="auto"/>
        <w:bottom w:val="none" w:sz="0" w:space="0" w:color="auto"/>
        <w:right w:val="none" w:sz="0" w:space="0" w:color="auto"/>
      </w:divBdr>
    </w:div>
    <w:div w:id="1747610975">
      <w:bodyDiv w:val="1"/>
      <w:marLeft w:val="0"/>
      <w:marRight w:val="0"/>
      <w:marTop w:val="0"/>
      <w:marBottom w:val="0"/>
      <w:divBdr>
        <w:top w:val="none" w:sz="0" w:space="0" w:color="auto"/>
        <w:left w:val="none" w:sz="0" w:space="0" w:color="auto"/>
        <w:bottom w:val="none" w:sz="0" w:space="0" w:color="auto"/>
        <w:right w:val="none" w:sz="0" w:space="0" w:color="auto"/>
      </w:divBdr>
    </w:div>
    <w:div w:id="1747848171">
      <w:bodyDiv w:val="1"/>
      <w:marLeft w:val="0"/>
      <w:marRight w:val="0"/>
      <w:marTop w:val="0"/>
      <w:marBottom w:val="0"/>
      <w:divBdr>
        <w:top w:val="none" w:sz="0" w:space="0" w:color="auto"/>
        <w:left w:val="none" w:sz="0" w:space="0" w:color="auto"/>
        <w:bottom w:val="none" w:sz="0" w:space="0" w:color="auto"/>
        <w:right w:val="none" w:sz="0" w:space="0" w:color="auto"/>
      </w:divBdr>
    </w:div>
    <w:div w:id="1748113338">
      <w:bodyDiv w:val="1"/>
      <w:marLeft w:val="0"/>
      <w:marRight w:val="0"/>
      <w:marTop w:val="0"/>
      <w:marBottom w:val="0"/>
      <w:divBdr>
        <w:top w:val="none" w:sz="0" w:space="0" w:color="auto"/>
        <w:left w:val="none" w:sz="0" w:space="0" w:color="auto"/>
        <w:bottom w:val="none" w:sz="0" w:space="0" w:color="auto"/>
        <w:right w:val="none" w:sz="0" w:space="0" w:color="auto"/>
      </w:divBdr>
    </w:div>
    <w:div w:id="1748334997">
      <w:bodyDiv w:val="1"/>
      <w:marLeft w:val="0"/>
      <w:marRight w:val="0"/>
      <w:marTop w:val="0"/>
      <w:marBottom w:val="0"/>
      <w:divBdr>
        <w:top w:val="none" w:sz="0" w:space="0" w:color="auto"/>
        <w:left w:val="none" w:sz="0" w:space="0" w:color="auto"/>
        <w:bottom w:val="none" w:sz="0" w:space="0" w:color="auto"/>
        <w:right w:val="none" w:sz="0" w:space="0" w:color="auto"/>
      </w:divBdr>
    </w:div>
    <w:div w:id="1748458153">
      <w:bodyDiv w:val="1"/>
      <w:marLeft w:val="0"/>
      <w:marRight w:val="0"/>
      <w:marTop w:val="0"/>
      <w:marBottom w:val="0"/>
      <w:divBdr>
        <w:top w:val="none" w:sz="0" w:space="0" w:color="auto"/>
        <w:left w:val="none" w:sz="0" w:space="0" w:color="auto"/>
        <w:bottom w:val="none" w:sz="0" w:space="0" w:color="auto"/>
        <w:right w:val="none" w:sz="0" w:space="0" w:color="auto"/>
      </w:divBdr>
    </w:div>
    <w:div w:id="1748915756">
      <w:bodyDiv w:val="1"/>
      <w:marLeft w:val="0"/>
      <w:marRight w:val="0"/>
      <w:marTop w:val="0"/>
      <w:marBottom w:val="0"/>
      <w:divBdr>
        <w:top w:val="none" w:sz="0" w:space="0" w:color="auto"/>
        <w:left w:val="none" w:sz="0" w:space="0" w:color="auto"/>
        <w:bottom w:val="none" w:sz="0" w:space="0" w:color="auto"/>
        <w:right w:val="none" w:sz="0" w:space="0" w:color="auto"/>
      </w:divBdr>
    </w:div>
    <w:div w:id="1749035530">
      <w:bodyDiv w:val="1"/>
      <w:marLeft w:val="0"/>
      <w:marRight w:val="0"/>
      <w:marTop w:val="0"/>
      <w:marBottom w:val="0"/>
      <w:divBdr>
        <w:top w:val="none" w:sz="0" w:space="0" w:color="auto"/>
        <w:left w:val="none" w:sz="0" w:space="0" w:color="auto"/>
        <w:bottom w:val="none" w:sz="0" w:space="0" w:color="auto"/>
        <w:right w:val="none" w:sz="0" w:space="0" w:color="auto"/>
      </w:divBdr>
    </w:div>
    <w:div w:id="1749108055">
      <w:bodyDiv w:val="1"/>
      <w:marLeft w:val="0"/>
      <w:marRight w:val="0"/>
      <w:marTop w:val="0"/>
      <w:marBottom w:val="0"/>
      <w:divBdr>
        <w:top w:val="none" w:sz="0" w:space="0" w:color="auto"/>
        <w:left w:val="none" w:sz="0" w:space="0" w:color="auto"/>
        <w:bottom w:val="none" w:sz="0" w:space="0" w:color="auto"/>
        <w:right w:val="none" w:sz="0" w:space="0" w:color="auto"/>
      </w:divBdr>
    </w:div>
    <w:div w:id="1749305504">
      <w:bodyDiv w:val="1"/>
      <w:marLeft w:val="0"/>
      <w:marRight w:val="0"/>
      <w:marTop w:val="0"/>
      <w:marBottom w:val="0"/>
      <w:divBdr>
        <w:top w:val="none" w:sz="0" w:space="0" w:color="auto"/>
        <w:left w:val="none" w:sz="0" w:space="0" w:color="auto"/>
        <w:bottom w:val="none" w:sz="0" w:space="0" w:color="auto"/>
        <w:right w:val="none" w:sz="0" w:space="0" w:color="auto"/>
      </w:divBdr>
    </w:div>
    <w:div w:id="1749375720">
      <w:bodyDiv w:val="1"/>
      <w:marLeft w:val="0"/>
      <w:marRight w:val="0"/>
      <w:marTop w:val="0"/>
      <w:marBottom w:val="0"/>
      <w:divBdr>
        <w:top w:val="none" w:sz="0" w:space="0" w:color="auto"/>
        <w:left w:val="none" w:sz="0" w:space="0" w:color="auto"/>
        <w:bottom w:val="none" w:sz="0" w:space="0" w:color="auto"/>
        <w:right w:val="none" w:sz="0" w:space="0" w:color="auto"/>
      </w:divBdr>
    </w:div>
    <w:div w:id="1749493527">
      <w:bodyDiv w:val="1"/>
      <w:marLeft w:val="0"/>
      <w:marRight w:val="0"/>
      <w:marTop w:val="0"/>
      <w:marBottom w:val="0"/>
      <w:divBdr>
        <w:top w:val="none" w:sz="0" w:space="0" w:color="auto"/>
        <w:left w:val="none" w:sz="0" w:space="0" w:color="auto"/>
        <w:bottom w:val="none" w:sz="0" w:space="0" w:color="auto"/>
        <w:right w:val="none" w:sz="0" w:space="0" w:color="auto"/>
      </w:divBdr>
    </w:div>
    <w:div w:id="1749615202">
      <w:bodyDiv w:val="1"/>
      <w:marLeft w:val="0"/>
      <w:marRight w:val="0"/>
      <w:marTop w:val="0"/>
      <w:marBottom w:val="0"/>
      <w:divBdr>
        <w:top w:val="none" w:sz="0" w:space="0" w:color="auto"/>
        <w:left w:val="none" w:sz="0" w:space="0" w:color="auto"/>
        <w:bottom w:val="none" w:sz="0" w:space="0" w:color="auto"/>
        <w:right w:val="none" w:sz="0" w:space="0" w:color="auto"/>
      </w:divBdr>
    </w:div>
    <w:div w:id="1749842447">
      <w:bodyDiv w:val="1"/>
      <w:marLeft w:val="0"/>
      <w:marRight w:val="0"/>
      <w:marTop w:val="0"/>
      <w:marBottom w:val="0"/>
      <w:divBdr>
        <w:top w:val="none" w:sz="0" w:space="0" w:color="auto"/>
        <w:left w:val="none" w:sz="0" w:space="0" w:color="auto"/>
        <w:bottom w:val="none" w:sz="0" w:space="0" w:color="auto"/>
        <w:right w:val="none" w:sz="0" w:space="0" w:color="auto"/>
      </w:divBdr>
    </w:div>
    <w:div w:id="1750039130">
      <w:bodyDiv w:val="1"/>
      <w:marLeft w:val="0"/>
      <w:marRight w:val="0"/>
      <w:marTop w:val="0"/>
      <w:marBottom w:val="0"/>
      <w:divBdr>
        <w:top w:val="none" w:sz="0" w:space="0" w:color="auto"/>
        <w:left w:val="none" w:sz="0" w:space="0" w:color="auto"/>
        <w:bottom w:val="none" w:sz="0" w:space="0" w:color="auto"/>
        <w:right w:val="none" w:sz="0" w:space="0" w:color="auto"/>
      </w:divBdr>
    </w:div>
    <w:div w:id="1750425597">
      <w:bodyDiv w:val="1"/>
      <w:marLeft w:val="0"/>
      <w:marRight w:val="0"/>
      <w:marTop w:val="0"/>
      <w:marBottom w:val="0"/>
      <w:divBdr>
        <w:top w:val="none" w:sz="0" w:space="0" w:color="auto"/>
        <w:left w:val="none" w:sz="0" w:space="0" w:color="auto"/>
        <w:bottom w:val="none" w:sz="0" w:space="0" w:color="auto"/>
        <w:right w:val="none" w:sz="0" w:space="0" w:color="auto"/>
      </w:divBdr>
    </w:div>
    <w:div w:id="1751000744">
      <w:bodyDiv w:val="1"/>
      <w:marLeft w:val="0"/>
      <w:marRight w:val="0"/>
      <w:marTop w:val="0"/>
      <w:marBottom w:val="0"/>
      <w:divBdr>
        <w:top w:val="none" w:sz="0" w:space="0" w:color="auto"/>
        <w:left w:val="none" w:sz="0" w:space="0" w:color="auto"/>
        <w:bottom w:val="none" w:sz="0" w:space="0" w:color="auto"/>
        <w:right w:val="none" w:sz="0" w:space="0" w:color="auto"/>
      </w:divBdr>
    </w:div>
    <w:div w:id="1751924726">
      <w:bodyDiv w:val="1"/>
      <w:marLeft w:val="0"/>
      <w:marRight w:val="0"/>
      <w:marTop w:val="0"/>
      <w:marBottom w:val="0"/>
      <w:divBdr>
        <w:top w:val="none" w:sz="0" w:space="0" w:color="auto"/>
        <w:left w:val="none" w:sz="0" w:space="0" w:color="auto"/>
        <w:bottom w:val="none" w:sz="0" w:space="0" w:color="auto"/>
        <w:right w:val="none" w:sz="0" w:space="0" w:color="auto"/>
      </w:divBdr>
    </w:div>
    <w:div w:id="1751928603">
      <w:bodyDiv w:val="1"/>
      <w:marLeft w:val="0"/>
      <w:marRight w:val="0"/>
      <w:marTop w:val="0"/>
      <w:marBottom w:val="0"/>
      <w:divBdr>
        <w:top w:val="none" w:sz="0" w:space="0" w:color="auto"/>
        <w:left w:val="none" w:sz="0" w:space="0" w:color="auto"/>
        <w:bottom w:val="none" w:sz="0" w:space="0" w:color="auto"/>
        <w:right w:val="none" w:sz="0" w:space="0" w:color="auto"/>
      </w:divBdr>
    </w:div>
    <w:div w:id="1752119620">
      <w:bodyDiv w:val="1"/>
      <w:marLeft w:val="0"/>
      <w:marRight w:val="0"/>
      <w:marTop w:val="0"/>
      <w:marBottom w:val="0"/>
      <w:divBdr>
        <w:top w:val="none" w:sz="0" w:space="0" w:color="auto"/>
        <w:left w:val="none" w:sz="0" w:space="0" w:color="auto"/>
        <w:bottom w:val="none" w:sz="0" w:space="0" w:color="auto"/>
        <w:right w:val="none" w:sz="0" w:space="0" w:color="auto"/>
      </w:divBdr>
    </w:div>
    <w:div w:id="1752268585">
      <w:bodyDiv w:val="1"/>
      <w:marLeft w:val="0"/>
      <w:marRight w:val="0"/>
      <w:marTop w:val="0"/>
      <w:marBottom w:val="0"/>
      <w:divBdr>
        <w:top w:val="none" w:sz="0" w:space="0" w:color="auto"/>
        <w:left w:val="none" w:sz="0" w:space="0" w:color="auto"/>
        <w:bottom w:val="none" w:sz="0" w:space="0" w:color="auto"/>
        <w:right w:val="none" w:sz="0" w:space="0" w:color="auto"/>
      </w:divBdr>
    </w:div>
    <w:div w:id="1752657335">
      <w:bodyDiv w:val="1"/>
      <w:marLeft w:val="0"/>
      <w:marRight w:val="0"/>
      <w:marTop w:val="0"/>
      <w:marBottom w:val="0"/>
      <w:divBdr>
        <w:top w:val="none" w:sz="0" w:space="0" w:color="auto"/>
        <w:left w:val="none" w:sz="0" w:space="0" w:color="auto"/>
        <w:bottom w:val="none" w:sz="0" w:space="0" w:color="auto"/>
        <w:right w:val="none" w:sz="0" w:space="0" w:color="auto"/>
      </w:divBdr>
    </w:div>
    <w:div w:id="1752852509">
      <w:bodyDiv w:val="1"/>
      <w:marLeft w:val="0"/>
      <w:marRight w:val="0"/>
      <w:marTop w:val="0"/>
      <w:marBottom w:val="0"/>
      <w:divBdr>
        <w:top w:val="none" w:sz="0" w:space="0" w:color="auto"/>
        <w:left w:val="none" w:sz="0" w:space="0" w:color="auto"/>
        <w:bottom w:val="none" w:sz="0" w:space="0" w:color="auto"/>
        <w:right w:val="none" w:sz="0" w:space="0" w:color="auto"/>
      </w:divBdr>
    </w:div>
    <w:div w:id="1752967571">
      <w:bodyDiv w:val="1"/>
      <w:marLeft w:val="0"/>
      <w:marRight w:val="0"/>
      <w:marTop w:val="0"/>
      <w:marBottom w:val="0"/>
      <w:divBdr>
        <w:top w:val="none" w:sz="0" w:space="0" w:color="auto"/>
        <w:left w:val="none" w:sz="0" w:space="0" w:color="auto"/>
        <w:bottom w:val="none" w:sz="0" w:space="0" w:color="auto"/>
        <w:right w:val="none" w:sz="0" w:space="0" w:color="auto"/>
      </w:divBdr>
    </w:div>
    <w:div w:id="1753047839">
      <w:bodyDiv w:val="1"/>
      <w:marLeft w:val="0"/>
      <w:marRight w:val="0"/>
      <w:marTop w:val="0"/>
      <w:marBottom w:val="0"/>
      <w:divBdr>
        <w:top w:val="none" w:sz="0" w:space="0" w:color="auto"/>
        <w:left w:val="none" w:sz="0" w:space="0" w:color="auto"/>
        <w:bottom w:val="none" w:sz="0" w:space="0" w:color="auto"/>
        <w:right w:val="none" w:sz="0" w:space="0" w:color="auto"/>
      </w:divBdr>
    </w:div>
    <w:div w:id="1753504360">
      <w:bodyDiv w:val="1"/>
      <w:marLeft w:val="0"/>
      <w:marRight w:val="0"/>
      <w:marTop w:val="0"/>
      <w:marBottom w:val="0"/>
      <w:divBdr>
        <w:top w:val="none" w:sz="0" w:space="0" w:color="auto"/>
        <w:left w:val="none" w:sz="0" w:space="0" w:color="auto"/>
        <w:bottom w:val="none" w:sz="0" w:space="0" w:color="auto"/>
        <w:right w:val="none" w:sz="0" w:space="0" w:color="auto"/>
      </w:divBdr>
    </w:div>
    <w:div w:id="1753579391">
      <w:bodyDiv w:val="1"/>
      <w:marLeft w:val="0"/>
      <w:marRight w:val="0"/>
      <w:marTop w:val="0"/>
      <w:marBottom w:val="0"/>
      <w:divBdr>
        <w:top w:val="none" w:sz="0" w:space="0" w:color="auto"/>
        <w:left w:val="none" w:sz="0" w:space="0" w:color="auto"/>
        <w:bottom w:val="none" w:sz="0" w:space="0" w:color="auto"/>
        <w:right w:val="none" w:sz="0" w:space="0" w:color="auto"/>
      </w:divBdr>
    </w:div>
    <w:div w:id="1753618594">
      <w:bodyDiv w:val="1"/>
      <w:marLeft w:val="0"/>
      <w:marRight w:val="0"/>
      <w:marTop w:val="0"/>
      <w:marBottom w:val="0"/>
      <w:divBdr>
        <w:top w:val="none" w:sz="0" w:space="0" w:color="auto"/>
        <w:left w:val="none" w:sz="0" w:space="0" w:color="auto"/>
        <w:bottom w:val="none" w:sz="0" w:space="0" w:color="auto"/>
        <w:right w:val="none" w:sz="0" w:space="0" w:color="auto"/>
      </w:divBdr>
    </w:div>
    <w:div w:id="1753814909">
      <w:bodyDiv w:val="1"/>
      <w:marLeft w:val="0"/>
      <w:marRight w:val="0"/>
      <w:marTop w:val="0"/>
      <w:marBottom w:val="0"/>
      <w:divBdr>
        <w:top w:val="none" w:sz="0" w:space="0" w:color="auto"/>
        <w:left w:val="none" w:sz="0" w:space="0" w:color="auto"/>
        <w:bottom w:val="none" w:sz="0" w:space="0" w:color="auto"/>
        <w:right w:val="none" w:sz="0" w:space="0" w:color="auto"/>
      </w:divBdr>
    </w:div>
    <w:div w:id="1753895066">
      <w:bodyDiv w:val="1"/>
      <w:marLeft w:val="0"/>
      <w:marRight w:val="0"/>
      <w:marTop w:val="0"/>
      <w:marBottom w:val="0"/>
      <w:divBdr>
        <w:top w:val="none" w:sz="0" w:space="0" w:color="auto"/>
        <w:left w:val="none" w:sz="0" w:space="0" w:color="auto"/>
        <w:bottom w:val="none" w:sz="0" w:space="0" w:color="auto"/>
        <w:right w:val="none" w:sz="0" w:space="0" w:color="auto"/>
      </w:divBdr>
    </w:div>
    <w:div w:id="1754006663">
      <w:bodyDiv w:val="1"/>
      <w:marLeft w:val="0"/>
      <w:marRight w:val="0"/>
      <w:marTop w:val="0"/>
      <w:marBottom w:val="0"/>
      <w:divBdr>
        <w:top w:val="none" w:sz="0" w:space="0" w:color="auto"/>
        <w:left w:val="none" w:sz="0" w:space="0" w:color="auto"/>
        <w:bottom w:val="none" w:sz="0" w:space="0" w:color="auto"/>
        <w:right w:val="none" w:sz="0" w:space="0" w:color="auto"/>
      </w:divBdr>
    </w:div>
    <w:div w:id="1754281040">
      <w:bodyDiv w:val="1"/>
      <w:marLeft w:val="0"/>
      <w:marRight w:val="0"/>
      <w:marTop w:val="0"/>
      <w:marBottom w:val="0"/>
      <w:divBdr>
        <w:top w:val="none" w:sz="0" w:space="0" w:color="auto"/>
        <w:left w:val="none" w:sz="0" w:space="0" w:color="auto"/>
        <w:bottom w:val="none" w:sz="0" w:space="0" w:color="auto"/>
        <w:right w:val="none" w:sz="0" w:space="0" w:color="auto"/>
      </w:divBdr>
    </w:div>
    <w:div w:id="1754663943">
      <w:bodyDiv w:val="1"/>
      <w:marLeft w:val="0"/>
      <w:marRight w:val="0"/>
      <w:marTop w:val="0"/>
      <w:marBottom w:val="0"/>
      <w:divBdr>
        <w:top w:val="none" w:sz="0" w:space="0" w:color="auto"/>
        <w:left w:val="none" w:sz="0" w:space="0" w:color="auto"/>
        <w:bottom w:val="none" w:sz="0" w:space="0" w:color="auto"/>
        <w:right w:val="none" w:sz="0" w:space="0" w:color="auto"/>
      </w:divBdr>
    </w:div>
    <w:div w:id="1755012277">
      <w:bodyDiv w:val="1"/>
      <w:marLeft w:val="0"/>
      <w:marRight w:val="0"/>
      <w:marTop w:val="0"/>
      <w:marBottom w:val="0"/>
      <w:divBdr>
        <w:top w:val="none" w:sz="0" w:space="0" w:color="auto"/>
        <w:left w:val="none" w:sz="0" w:space="0" w:color="auto"/>
        <w:bottom w:val="none" w:sz="0" w:space="0" w:color="auto"/>
        <w:right w:val="none" w:sz="0" w:space="0" w:color="auto"/>
      </w:divBdr>
    </w:div>
    <w:div w:id="1755399932">
      <w:bodyDiv w:val="1"/>
      <w:marLeft w:val="0"/>
      <w:marRight w:val="0"/>
      <w:marTop w:val="0"/>
      <w:marBottom w:val="0"/>
      <w:divBdr>
        <w:top w:val="none" w:sz="0" w:space="0" w:color="auto"/>
        <w:left w:val="none" w:sz="0" w:space="0" w:color="auto"/>
        <w:bottom w:val="none" w:sz="0" w:space="0" w:color="auto"/>
        <w:right w:val="none" w:sz="0" w:space="0" w:color="auto"/>
      </w:divBdr>
    </w:div>
    <w:div w:id="1755738200">
      <w:bodyDiv w:val="1"/>
      <w:marLeft w:val="0"/>
      <w:marRight w:val="0"/>
      <w:marTop w:val="0"/>
      <w:marBottom w:val="0"/>
      <w:divBdr>
        <w:top w:val="none" w:sz="0" w:space="0" w:color="auto"/>
        <w:left w:val="none" w:sz="0" w:space="0" w:color="auto"/>
        <w:bottom w:val="none" w:sz="0" w:space="0" w:color="auto"/>
        <w:right w:val="none" w:sz="0" w:space="0" w:color="auto"/>
      </w:divBdr>
    </w:div>
    <w:div w:id="1755859445">
      <w:bodyDiv w:val="1"/>
      <w:marLeft w:val="0"/>
      <w:marRight w:val="0"/>
      <w:marTop w:val="0"/>
      <w:marBottom w:val="0"/>
      <w:divBdr>
        <w:top w:val="none" w:sz="0" w:space="0" w:color="auto"/>
        <w:left w:val="none" w:sz="0" w:space="0" w:color="auto"/>
        <w:bottom w:val="none" w:sz="0" w:space="0" w:color="auto"/>
        <w:right w:val="none" w:sz="0" w:space="0" w:color="auto"/>
      </w:divBdr>
    </w:div>
    <w:div w:id="1755929875">
      <w:bodyDiv w:val="1"/>
      <w:marLeft w:val="0"/>
      <w:marRight w:val="0"/>
      <w:marTop w:val="0"/>
      <w:marBottom w:val="0"/>
      <w:divBdr>
        <w:top w:val="none" w:sz="0" w:space="0" w:color="auto"/>
        <w:left w:val="none" w:sz="0" w:space="0" w:color="auto"/>
        <w:bottom w:val="none" w:sz="0" w:space="0" w:color="auto"/>
        <w:right w:val="none" w:sz="0" w:space="0" w:color="auto"/>
      </w:divBdr>
    </w:div>
    <w:div w:id="1755934788">
      <w:bodyDiv w:val="1"/>
      <w:marLeft w:val="0"/>
      <w:marRight w:val="0"/>
      <w:marTop w:val="0"/>
      <w:marBottom w:val="0"/>
      <w:divBdr>
        <w:top w:val="none" w:sz="0" w:space="0" w:color="auto"/>
        <w:left w:val="none" w:sz="0" w:space="0" w:color="auto"/>
        <w:bottom w:val="none" w:sz="0" w:space="0" w:color="auto"/>
        <w:right w:val="none" w:sz="0" w:space="0" w:color="auto"/>
      </w:divBdr>
    </w:div>
    <w:div w:id="1756592197">
      <w:bodyDiv w:val="1"/>
      <w:marLeft w:val="0"/>
      <w:marRight w:val="0"/>
      <w:marTop w:val="0"/>
      <w:marBottom w:val="0"/>
      <w:divBdr>
        <w:top w:val="none" w:sz="0" w:space="0" w:color="auto"/>
        <w:left w:val="none" w:sz="0" w:space="0" w:color="auto"/>
        <w:bottom w:val="none" w:sz="0" w:space="0" w:color="auto"/>
        <w:right w:val="none" w:sz="0" w:space="0" w:color="auto"/>
      </w:divBdr>
    </w:div>
    <w:div w:id="1756977450">
      <w:bodyDiv w:val="1"/>
      <w:marLeft w:val="0"/>
      <w:marRight w:val="0"/>
      <w:marTop w:val="0"/>
      <w:marBottom w:val="0"/>
      <w:divBdr>
        <w:top w:val="none" w:sz="0" w:space="0" w:color="auto"/>
        <w:left w:val="none" w:sz="0" w:space="0" w:color="auto"/>
        <w:bottom w:val="none" w:sz="0" w:space="0" w:color="auto"/>
        <w:right w:val="none" w:sz="0" w:space="0" w:color="auto"/>
      </w:divBdr>
    </w:div>
    <w:div w:id="1757362641">
      <w:bodyDiv w:val="1"/>
      <w:marLeft w:val="0"/>
      <w:marRight w:val="0"/>
      <w:marTop w:val="0"/>
      <w:marBottom w:val="0"/>
      <w:divBdr>
        <w:top w:val="none" w:sz="0" w:space="0" w:color="auto"/>
        <w:left w:val="none" w:sz="0" w:space="0" w:color="auto"/>
        <w:bottom w:val="none" w:sz="0" w:space="0" w:color="auto"/>
        <w:right w:val="none" w:sz="0" w:space="0" w:color="auto"/>
      </w:divBdr>
    </w:div>
    <w:div w:id="1757482045">
      <w:bodyDiv w:val="1"/>
      <w:marLeft w:val="0"/>
      <w:marRight w:val="0"/>
      <w:marTop w:val="0"/>
      <w:marBottom w:val="0"/>
      <w:divBdr>
        <w:top w:val="none" w:sz="0" w:space="0" w:color="auto"/>
        <w:left w:val="none" w:sz="0" w:space="0" w:color="auto"/>
        <w:bottom w:val="none" w:sz="0" w:space="0" w:color="auto"/>
        <w:right w:val="none" w:sz="0" w:space="0" w:color="auto"/>
      </w:divBdr>
    </w:div>
    <w:div w:id="1757902109">
      <w:bodyDiv w:val="1"/>
      <w:marLeft w:val="0"/>
      <w:marRight w:val="0"/>
      <w:marTop w:val="0"/>
      <w:marBottom w:val="0"/>
      <w:divBdr>
        <w:top w:val="none" w:sz="0" w:space="0" w:color="auto"/>
        <w:left w:val="none" w:sz="0" w:space="0" w:color="auto"/>
        <w:bottom w:val="none" w:sz="0" w:space="0" w:color="auto"/>
        <w:right w:val="none" w:sz="0" w:space="0" w:color="auto"/>
      </w:divBdr>
    </w:div>
    <w:div w:id="1757940267">
      <w:bodyDiv w:val="1"/>
      <w:marLeft w:val="0"/>
      <w:marRight w:val="0"/>
      <w:marTop w:val="0"/>
      <w:marBottom w:val="0"/>
      <w:divBdr>
        <w:top w:val="none" w:sz="0" w:space="0" w:color="auto"/>
        <w:left w:val="none" w:sz="0" w:space="0" w:color="auto"/>
        <w:bottom w:val="none" w:sz="0" w:space="0" w:color="auto"/>
        <w:right w:val="none" w:sz="0" w:space="0" w:color="auto"/>
      </w:divBdr>
    </w:div>
    <w:div w:id="1758359309">
      <w:bodyDiv w:val="1"/>
      <w:marLeft w:val="0"/>
      <w:marRight w:val="0"/>
      <w:marTop w:val="0"/>
      <w:marBottom w:val="0"/>
      <w:divBdr>
        <w:top w:val="none" w:sz="0" w:space="0" w:color="auto"/>
        <w:left w:val="none" w:sz="0" w:space="0" w:color="auto"/>
        <w:bottom w:val="none" w:sz="0" w:space="0" w:color="auto"/>
        <w:right w:val="none" w:sz="0" w:space="0" w:color="auto"/>
      </w:divBdr>
    </w:div>
    <w:div w:id="1758553931">
      <w:bodyDiv w:val="1"/>
      <w:marLeft w:val="0"/>
      <w:marRight w:val="0"/>
      <w:marTop w:val="0"/>
      <w:marBottom w:val="0"/>
      <w:divBdr>
        <w:top w:val="none" w:sz="0" w:space="0" w:color="auto"/>
        <w:left w:val="none" w:sz="0" w:space="0" w:color="auto"/>
        <w:bottom w:val="none" w:sz="0" w:space="0" w:color="auto"/>
        <w:right w:val="none" w:sz="0" w:space="0" w:color="auto"/>
      </w:divBdr>
    </w:div>
    <w:div w:id="1759404423">
      <w:bodyDiv w:val="1"/>
      <w:marLeft w:val="0"/>
      <w:marRight w:val="0"/>
      <w:marTop w:val="0"/>
      <w:marBottom w:val="0"/>
      <w:divBdr>
        <w:top w:val="none" w:sz="0" w:space="0" w:color="auto"/>
        <w:left w:val="none" w:sz="0" w:space="0" w:color="auto"/>
        <w:bottom w:val="none" w:sz="0" w:space="0" w:color="auto"/>
        <w:right w:val="none" w:sz="0" w:space="0" w:color="auto"/>
      </w:divBdr>
    </w:div>
    <w:div w:id="1759473690">
      <w:bodyDiv w:val="1"/>
      <w:marLeft w:val="0"/>
      <w:marRight w:val="0"/>
      <w:marTop w:val="0"/>
      <w:marBottom w:val="0"/>
      <w:divBdr>
        <w:top w:val="none" w:sz="0" w:space="0" w:color="auto"/>
        <w:left w:val="none" w:sz="0" w:space="0" w:color="auto"/>
        <w:bottom w:val="none" w:sz="0" w:space="0" w:color="auto"/>
        <w:right w:val="none" w:sz="0" w:space="0" w:color="auto"/>
      </w:divBdr>
    </w:div>
    <w:div w:id="1759643281">
      <w:bodyDiv w:val="1"/>
      <w:marLeft w:val="0"/>
      <w:marRight w:val="0"/>
      <w:marTop w:val="0"/>
      <w:marBottom w:val="0"/>
      <w:divBdr>
        <w:top w:val="none" w:sz="0" w:space="0" w:color="auto"/>
        <w:left w:val="none" w:sz="0" w:space="0" w:color="auto"/>
        <w:bottom w:val="none" w:sz="0" w:space="0" w:color="auto"/>
        <w:right w:val="none" w:sz="0" w:space="0" w:color="auto"/>
      </w:divBdr>
    </w:div>
    <w:div w:id="1759906461">
      <w:bodyDiv w:val="1"/>
      <w:marLeft w:val="0"/>
      <w:marRight w:val="0"/>
      <w:marTop w:val="0"/>
      <w:marBottom w:val="0"/>
      <w:divBdr>
        <w:top w:val="none" w:sz="0" w:space="0" w:color="auto"/>
        <w:left w:val="none" w:sz="0" w:space="0" w:color="auto"/>
        <w:bottom w:val="none" w:sz="0" w:space="0" w:color="auto"/>
        <w:right w:val="none" w:sz="0" w:space="0" w:color="auto"/>
      </w:divBdr>
    </w:div>
    <w:div w:id="1760633887">
      <w:bodyDiv w:val="1"/>
      <w:marLeft w:val="0"/>
      <w:marRight w:val="0"/>
      <w:marTop w:val="0"/>
      <w:marBottom w:val="0"/>
      <w:divBdr>
        <w:top w:val="none" w:sz="0" w:space="0" w:color="auto"/>
        <w:left w:val="none" w:sz="0" w:space="0" w:color="auto"/>
        <w:bottom w:val="none" w:sz="0" w:space="0" w:color="auto"/>
        <w:right w:val="none" w:sz="0" w:space="0" w:color="auto"/>
      </w:divBdr>
    </w:div>
    <w:div w:id="1761029031">
      <w:bodyDiv w:val="1"/>
      <w:marLeft w:val="0"/>
      <w:marRight w:val="0"/>
      <w:marTop w:val="0"/>
      <w:marBottom w:val="0"/>
      <w:divBdr>
        <w:top w:val="none" w:sz="0" w:space="0" w:color="auto"/>
        <w:left w:val="none" w:sz="0" w:space="0" w:color="auto"/>
        <w:bottom w:val="none" w:sz="0" w:space="0" w:color="auto"/>
        <w:right w:val="none" w:sz="0" w:space="0" w:color="auto"/>
      </w:divBdr>
    </w:div>
    <w:div w:id="1761415569">
      <w:bodyDiv w:val="1"/>
      <w:marLeft w:val="0"/>
      <w:marRight w:val="0"/>
      <w:marTop w:val="0"/>
      <w:marBottom w:val="0"/>
      <w:divBdr>
        <w:top w:val="none" w:sz="0" w:space="0" w:color="auto"/>
        <w:left w:val="none" w:sz="0" w:space="0" w:color="auto"/>
        <w:bottom w:val="none" w:sz="0" w:space="0" w:color="auto"/>
        <w:right w:val="none" w:sz="0" w:space="0" w:color="auto"/>
      </w:divBdr>
    </w:div>
    <w:div w:id="1762023359">
      <w:bodyDiv w:val="1"/>
      <w:marLeft w:val="0"/>
      <w:marRight w:val="0"/>
      <w:marTop w:val="0"/>
      <w:marBottom w:val="0"/>
      <w:divBdr>
        <w:top w:val="none" w:sz="0" w:space="0" w:color="auto"/>
        <w:left w:val="none" w:sz="0" w:space="0" w:color="auto"/>
        <w:bottom w:val="none" w:sz="0" w:space="0" w:color="auto"/>
        <w:right w:val="none" w:sz="0" w:space="0" w:color="auto"/>
      </w:divBdr>
    </w:div>
    <w:div w:id="1762026842">
      <w:bodyDiv w:val="1"/>
      <w:marLeft w:val="0"/>
      <w:marRight w:val="0"/>
      <w:marTop w:val="0"/>
      <w:marBottom w:val="0"/>
      <w:divBdr>
        <w:top w:val="none" w:sz="0" w:space="0" w:color="auto"/>
        <w:left w:val="none" w:sz="0" w:space="0" w:color="auto"/>
        <w:bottom w:val="none" w:sz="0" w:space="0" w:color="auto"/>
        <w:right w:val="none" w:sz="0" w:space="0" w:color="auto"/>
      </w:divBdr>
    </w:div>
    <w:div w:id="1762292381">
      <w:bodyDiv w:val="1"/>
      <w:marLeft w:val="0"/>
      <w:marRight w:val="0"/>
      <w:marTop w:val="0"/>
      <w:marBottom w:val="0"/>
      <w:divBdr>
        <w:top w:val="none" w:sz="0" w:space="0" w:color="auto"/>
        <w:left w:val="none" w:sz="0" w:space="0" w:color="auto"/>
        <w:bottom w:val="none" w:sz="0" w:space="0" w:color="auto"/>
        <w:right w:val="none" w:sz="0" w:space="0" w:color="auto"/>
      </w:divBdr>
    </w:div>
    <w:div w:id="1762405831">
      <w:bodyDiv w:val="1"/>
      <w:marLeft w:val="0"/>
      <w:marRight w:val="0"/>
      <w:marTop w:val="0"/>
      <w:marBottom w:val="0"/>
      <w:divBdr>
        <w:top w:val="none" w:sz="0" w:space="0" w:color="auto"/>
        <w:left w:val="none" w:sz="0" w:space="0" w:color="auto"/>
        <w:bottom w:val="none" w:sz="0" w:space="0" w:color="auto"/>
        <w:right w:val="none" w:sz="0" w:space="0" w:color="auto"/>
      </w:divBdr>
    </w:div>
    <w:div w:id="1762408217">
      <w:bodyDiv w:val="1"/>
      <w:marLeft w:val="0"/>
      <w:marRight w:val="0"/>
      <w:marTop w:val="0"/>
      <w:marBottom w:val="0"/>
      <w:divBdr>
        <w:top w:val="none" w:sz="0" w:space="0" w:color="auto"/>
        <w:left w:val="none" w:sz="0" w:space="0" w:color="auto"/>
        <w:bottom w:val="none" w:sz="0" w:space="0" w:color="auto"/>
        <w:right w:val="none" w:sz="0" w:space="0" w:color="auto"/>
      </w:divBdr>
    </w:div>
    <w:div w:id="1762944089">
      <w:bodyDiv w:val="1"/>
      <w:marLeft w:val="0"/>
      <w:marRight w:val="0"/>
      <w:marTop w:val="0"/>
      <w:marBottom w:val="0"/>
      <w:divBdr>
        <w:top w:val="none" w:sz="0" w:space="0" w:color="auto"/>
        <w:left w:val="none" w:sz="0" w:space="0" w:color="auto"/>
        <w:bottom w:val="none" w:sz="0" w:space="0" w:color="auto"/>
        <w:right w:val="none" w:sz="0" w:space="0" w:color="auto"/>
      </w:divBdr>
    </w:div>
    <w:div w:id="1763138477">
      <w:bodyDiv w:val="1"/>
      <w:marLeft w:val="0"/>
      <w:marRight w:val="0"/>
      <w:marTop w:val="0"/>
      <w:marBottom w:val="0"/>
      <w:divBdr>
        <w:top w:val="none" w:sz="0" w:space="0" w:color="auto"/>
        <w:left w:val="none" w:sz="0" w:space="0" w:color="auto"/>
        <w:bottom w:val="none" w:sz="0" w:space="0" w:color="auto"/>
        <w:right w:val="none" w:sz="0" w:space="0" w:color="auto"/>
      </w:divBdr>
    </w:div>
    <w:div w:id="1763257334">
      <w:bodyDiv w:val="1"/>
      <w:marLeft w:val="0"/>
      <w:marRight w:val="0"/>
      <w:marTop w:val="0"/>
      <w:marBottom w:val="0"/>
      <w:divBdr>
        <w:top w:val="none" w:sz="0" w:space="0" w:color="auto"/>
        <w:left w:val="none" w:sz="0" w:space="0" w:color="auto"/>
        <w:bottom w:val="none" w:sz="0" w:space="0" w:color="auto"/>
        <w:right w:val="none" w:sz="0" w:space="0" w:color="auto"/>
      </w:divBdr>
    </w:div>
    <w:div w:id="1764260820">
      <w:bodyDiv w:val="1"/>
      <w:marLeft w:val="0"/>
      <w:marRight w:val="0"/>
      <w:marTop w:val="0"/>
      <w:marBottom w:val="0"/>
      <w:divBdr>
        <w:top w:val="none" w:sz="0" w:space="0" w:color="auto"/>
        <w:left w:val="none" w:sz="0" w:space="0" w:color="auto"/>
        <w:bottom w:val="none" w:sz="0" w:space="0" w:color="auto"/>
        <w:right w:val="none" w:sz="0" w:space="0" w:color="auto"/>
      </w:divBdr>
    </w:div>
    <w:div w:id="1764645541">
      <w:bodyDiv w:val="1"/>
      <w:marLeft w:val="0"/>
      <w:marRight w:val="0"/>
      <w:marTop w:val="0"/>
      <w:marBottom w:val="0"/>
      <w:divBdr>
        <w:top w:val="none" w:sz="0" w:space="0" w:color="auto"/>
        <w:left w:val="none" w:sz="0" w:space="0" w:color="auto"/>
        <w:bottom w:val="none" w:sz="0" w:space="0" w:color="auto"/>
        <w:right w:val="none" w:sz="0" w:space="0" w:color="auto"/>
      </w:divBdr>
    </w:div>
    <w:div w:id="1764649322">
      <w:bodyDiv w:val="1"/>
      <w:marLeft w:val="0"/>
      <w:marRight w:val="0"/>
      <w:marTop w:val="0"/>
      <w:marBottom w:val="0"/>
      <w:divBdr>
        <w:top w:val="none" w:sz="0" w:space="0" w:color="auto"/>
        <w:left w:val="none" w:sz="0" w:space="0" w:color="auto"/>
        <w:bottom w:val="none" w:sz="0" w:space="0" w:color="auto"/>
        <w:right w:val="none" w:sz="0" w:space="0" w:color="auto"/>
      </w:divBdr>
    </w:div>
    <w:div w:id="1764911152">
      <w:bodyDiv w:val="1"/>
      <w:marLeft w:val="0"/>
      <w:marRight w:val="0"/>
      <w:marTop w:val="0"/>
      <w:marBottom w:val="0"/>
      <w:divBdr>
        <w:top w:val="none" w:sz="0" w:space="0" w:color="auto"/>
        <w:left w:val="none" w:sz="0" w:space="0" w:color="auto"/>
        <w:bottom w:val="none" w:sz="0" w:space="0" w:color="auto"/>
        <w:right w:val="none" w:sz="0" w:space="0" w:color="auto"/>
      </w:divBdr>
    </w:div>
    <w:div w:id="1765300841">
      <w:bodyDiv w:val="1"/>
      <w:marLeft w:val="0"/>
      <w:marRight w:val="0"/>
      <w:marTop w:val="0"/>
      <w:marBottom w:val="0"/>
      <w:divBdr>
        <w:top w:val="none" w:sz="0" w:space="0" w:color="auto"/>
        <w:left w:val="none" w:sz="0" w:space="0" w:color="auto"/>
        <w:bottom w:val="none" w:sz="0" w:space="0" w:color="auto"/>
        <w:right w:val="none" w:sz="0" w:space="0" w:color="auto"/>
      </w:divBdr>
    </w:div>
    <w:div w:id="1765611806">
      <w:bodyDiv w:val="1"/>
      <w:marLeft w:val="0"/>
      <w:marRight w:val="0"/>
      <w:marTop w:val="0"/>
      <w:marBottom w:val="0"/>
      <w:divBdr>
        <w:top w:val="none" w:sz="0" w:space="0" w:color="auto"/>
        <w:left w:val="none" w:sz="0" w:space="0" w:color="auto"/>
        <w:bottom w:val="none" w:sz="0" w:space="0" w:color="auto"/>
        <w:right w:val="none" w:sz="0" w:space="0" w:color="auto"/>
      </w:divBdr>
    </w:div>
    <w:div w:id="1765615551">
      <w:bodyDiv w:val="1"/>
      <w:marLeft w:val="0"/>
      <w:marRight w:val="0"/>
      <w:marTop w:val="0"/>
      <w:marBottom w:val="0"/>
      <w:divBdr>
        <w:top w:val="none" w:sz="0" w:space="0" w:color="auto"/>
        <w:left w:val="none" w:sz="0" w:space="0" w:color="auto"/>
        <w:bottom w:val="none" w:sz="0" w:space="0" w:color="auto"/>
        <w:right w:val="none" w:sz="0" w:space="0" w:color="auto"/>
      </w:divBdr>
    </w:div>
    <w:div w:id="1765959954">
      <w:bodyDiv w:val="1"/>
      <w:marLeft w:val="0"/>
      <w:marRight w:val="0"/>
      <w:marTop w:val="0"/>
      <w:marBottom w:val="0"/>
      <w:divBdr>
        <w:top w:val="none" w:sz="0" w:space="0" w:color="auto"/>
        <w:left w:val="none" w:sz="0" w:space="0" w:color="auto"/>
        <w:bottom w:val="none" w:sz="0" w:space="0" w:color="auto"/>
        <w:right w:val="none" w:sz="0" w:space="0" w:color="auto"/>
      </w:divBdr>
    </w:div>
    <w:div w:id="1766153097">
      <w:bodyDiv w:val="1"/>
      <w:marLeft w:val="0"/>
      <w:marRight w:val="0"/>
      <w:marTop w:val="0"/>
      <w:marBottom w:val="0"/>
      <w:divBdr>
        <w:top w:val="none" w:sz="0" w:space="0" w:color="auto"/>
        <w:left w:val="none" w:sz="0" w:space="0" w:color="auto"/>
        <w:bottom w:val="none" w:sz="0" w:space="0" w:color="auto"/>
        <w:right w:val="none" w:sz="0" w:space="0" w:color="auto"/>
      </w:divBdr>
    </w:div>
    <w:div w:id="1766342180">
      <w:bodyDiv w:val="1"/>
      <w:marLeft w:val="0"/>
      <w:marRight w:val="0"/>
      <w:marTop w:val="0"/>
      <w:marBottom w:val="0"/>
      <w:divBdr>
        <w:top w:val="none" w:sz="0" w:space="0" w:color="auto"/>
        <w:left w:val="none" w:sz="0" w:space="0" w:color="auto"/>
        <w:bottom w:val="none" w:sz="0" w:space="0" w:color="auto"/>
        <w:right w:val="none" w:sz="0" w:space="0" w:color="auto"/>
      </w:divBdr>
    </w:div>
    <w:div w:id="1766414002">
      <w:bodyDiv w:val="1"/>
      <w:marLeft w:val="0"/>
      <w:marRight w:val="0"/>
      <w:marTop w:val="0"/>
      <w:marBottom w:val="0"/>
      <w:divBdr>
        <w:top w:val="none" w:sz="0" w:space="0" w:color="auto"/>
        <w:left w:val="none" w:sz="0" w:space="0" w:color="auto"/>
        <w:bottom w:val="none" w:sz="0" w:space="0" w:color="auto"/>
        <w:right w:val="none" w:sz="0" w:space="0" w:color="auto"/>
      </w:divBdr>
    </w:div>
    <w:div w:id="1766731317">
      <w:bodyDiv w:val="1"/>
      <w:marLeft w:val="0"/>
      <w:marRight w:val="0"/>
      <w:marTop w:val="0"/>
      <w:marBottom w:val="0"/>
      <w:divBdr>
        <w:top w:val="none" w:sz="0" w:space="0" w:color="auto"/>
        <w:left w:val="none" w:sz="0" w:space="0" w:color="auto"/>
        <w:bottom w:val="none" w:sz="0" w:space="0" w:color="auto"/>
        <w:right w:val="none" w:sz="0" w:space="0" w:color="auto"/>
      </w:divBdr>
    </w:div>
    <w:div w:id="1766806112">
      <w:bodyDiv w:val="1"/>
      <w:marLeft w:val="0"/>
      <w:marRight w:val="0"/>
      <w:marTop w:val="0"/>
      <w:marBottom w:val="0"/>
      <w:divBdr>
        <w:top w:val="none" w:sz="0" w:space="0" w:color="auto"/>
        <w:left w:val="none" w:sz="0" w:space="0" w:color="auto"/>
        <w:bottom w:val="none" w:sz="0" w:space="0" w:color="auto"/>
        <w:right w:val="none" w:sz="0" w:space="0" w:color="auto"/>
      </w:divBdr>
    </w:div>
    <w:div w:id="1767188686">
      <w:bodyDiv w:val="1"/>
      <w:marLeft w:val="0"/>
      <w:marRight w:val="0"/>
      <w:marTop w:val="0"/>
      <w:marBottom w:val="0"/>
      <w:divBdr>
        <w:top w:val="none" w:sz="0" w:space="0" w:color="auto"/>
        <w:left w:val="none" w:sz="0" w:space="0" w:color="auto"/>
        <w:bottom w:val="none" w:sz="0" w:space="0" w:color="auto"/>
        <w:right w:val="none" w:sz="0" w:space="0" w:color="auto"/>
      </w:divBdr>
    </w:div>
    <w:div w:id="1767189531">
      <w:bodyDiv w:val="1"/>
      <w:marLeft w:val="0"/>
      <w:marRight w:val="0"/>
      <w:marTop w:val="0"/>
      <w:marBottom w:val="0"/>
      <w:divBdr>
        <w:top w:val="none" w:sz="0" w:space="0" w:color="auto"/>
        <w:left w:val="none" w:sz="0" w:space="0" w:color="auto"/>
        <w:bottom w:val="none" w:sz="0" w:space="0" w:color="auto"/>
        <w:right w:val="none" w:sz="0" w:space="0" w:color="auto"/>
      </w:divBdr>
    </w:div>
    <w:div w:id="1767529847">
      <w:bodyDiv w:val="1"/>
      <w:marLeft w:val="0"/>
      <w:marRight w:val="0"/>
      <w:marTop w:val="0"/>
      <w:marBottom w:val="0"/>
      <w:divBdr>
        <w:top w:val="none" w:sz="0" w:space="0" w:color="auto"/>
        <w:left w:val="none" w:sz="0" w:space="0" w:color="auto"/>
        <w:bottom w:val="none" w:sz="0" w:space="0" w:color="auto"/>
        <w:right w:val="none" w:sz="0" w:space="0" w:color="auto"/>
      </w:divBdr>
    </w:div>
    <w:div w:id="1767922000">
      <w:bodyDiv w:val="1"/>
      <w:marLeft w:val="0"/>
      <w:marRight w:val="0"/>
      <w:marTop w:val="0"/>
      <w:marBottom w:val="0"/>
      <w:divBdr>
        <w:top w:val="none" w:sz="0" w:space="0" w:color="auto"/>
        <w:left w:val="none" w:sz="0" w:space="0" w:color="auto"/>
        <w:bottom w:val="none" w:sz="0" w:space="0" w:color="auto"/>
        <w:right w:val="none" w:sz="0" w:space="0" w:color="auto"/>
      </w:divBdr>
    </w:div>
    <w:div w:id="1768041306">
      <w:bodyDiv w:val="1"/>
      <w:marLeft w:val="0"/>
      <w:marRight w:val="0"/>
      <w:marTop w:val="0"/>
      <w:marBottom w:val="0"/>
      <w:divBdr>
        <w:top w:val="none" w:sz="0" w:space="0" w:color="auto"/>
        <w:left w:val="none" w:sz="0" w:space="0" w:color="auto"/>
        <w:bottom w:val="none" w:sz="0" w:space="0" w:color="auto"/>
        <w:right w:val="none" w:sz="0" w:space="0" w:color="auto"/>
      </w:divBdr>
    </w:div>
    <w:div w:id="1768378190">
      <w:bodyDiv w:val="1"/>
      <w:marLeft w:val="0"/>
      <w:marRight w:val="0"/>
      <w:marTop w:val="0"/>
      <w:marBottom w:val="0"/>
      <w:divBdr>
        <w:top w:val="none" w:sz="0" w:space="0" w:color="auto"/>
        <w:left w:val="none" w:sz="0" w:space="0" w:color="auto"/>
        <w:bottom w:val="none" w:sz="0" w:space="0" w:color="auto"/>
        <w:right w:val="none" w:sz="0" w:space="0" w:color="auto"/>
      </w:divBdr>
    </w:div>
    <w:div w:id="1768429304">
      <w:bodyDiv w:val="1"/>
      <w:marLeft w:val="0"/>
      <w:marRight w:val="0"/>
      <w:marTop w:val="0"/>
      <w:marBottom w:val="0"/>
      <w:divBdr>
        <w:top w:val="none" w:sz="0" w:space="0" w:color="auto"/>
        <w:left w:val="none" w:sz="0" w:space="0" w:color="auto"/>
        <w:bottom w:val="none" w:sz="0" w:space="0" w:color="auto"/>
        <w:right w:val="none" w:sz="0" w:space="0" w:color="auto"/>
      </w:divBdr>
    </w:div>
    <w:div w:id="1768499915">
      <w:bodyDiv w:val="1"/>
      <w:marLeft w:val="0"/>
      <w:marRight w:val="0"/>
      <w:marTop w:val="0"/>
      <w:marBottom w:val="0"/>
      <w:divBdr>
        <w:top w:val="none" w:sz="0" w:space="0" w:color="auto"/>
        <w:left w:val="none" w:sz="0" w:space="0" w:color="auto"/>
        <w:bottom w:val="none" w:sz="0" w:space="0" w:color="auto"/>
        <w:right w:val="none" w:sz="0" w:space="0" w:color="auto"/>
      </w:divBdr>
    </w:div>
    <w:div w:id="1768647931">
      <w:bodyDiv w:val="1"/>
      <w:marLeft w:val="0"/>
      <w:marRight w:val="0"/>
      <w:marTop w:val="0"/>
      <w:marBottom w:val="0"/>
      <w:divBdr>
        <w:top w:val="none" w:sz="0" w:space="0" w:color="auto"/>
        <w:left w:val="none" w:sz="0" w:space="0" w:color="auto"/>
        <w:bottom w:val="none" w:sz="0" w:space="0" w:color="auto"/>
        <w:right w:val="none" w:sz="0" w:space="0" w:color="auto"/>
      </w:divBdr>
    </w:div>
    <w:div w:id="1768773265">
      <w:bodyDiv w:val="1"/>
      <w:marLeft w:val="0"/>
      <w:marRight w:val="0"/>
      <w:marTop w:val="0"/>
      <w:marBottom w:val="0"/>
      <w:divBdr>
        <w:top w:val="none" w:sz="0" w:space="0" w:color="auto"/>
        <w:left w:val="none" w:sz="0" w:space="0" w:color="auto"/>
        <w:bottom w:val="none" w:sz="0" w:space="0" w:color="auto"/>
        <w:right w:val="none" w:sz="0" w:space="0" w:color="auto"/>
      </w:divBdr>
    </w:div>
    <w:div w:id="1769155911">
      <w:bodyDiv w:val="1"/>
      <w:marLeft w:val="0"/>
      <w:marRight w:val="0"/>
      <w:marTop w:val="0"/>
      <w:marBottom w:val="0"/>
      <w:divBdr>
        <w:top w:val="none" w:sz="0" w:space="0" w:color="auto"/>
        <w:left w:val="none" w:sz="0" w:space="0" w:color="auto"/>
        <w:bottom w:val="none" w:sz="0" w:space="0" w:color="auto"/>
        <w:right w:val="none" w:sz="0" w:space="0" w:color="auto"/>
      </w:divBdr>
    </w:div>
    <w:div w:id="1770613527">
      <w:bodyDiv w:val="1"/>
      <w:marLeft w:val="0"/>
      <w:marRight w:val="0"/>
      <w:marTop w:val="0"/>
      <w:marBottom w:val="0"/>
      <w:divBdr>
        <w:top w:val="none" w:sz="0" w:space="0" w:color="auto"/>
        <w:left w:val="none" w:sz="0" w:space="0" w:color="auto"/>
        <w:bottom w:val="none" w:sz="0" w:space="0" w:color="auto"/>
        <w:right w:val="none" w:sz="0" w:space="0" w:color="auto"/>
      </w:divBdr>
    </w:div>
    <w:div w:id="1770813577">
      <w:bodyDiv w:val="1"/>
      <w:marLeft w:val="0"/>
      <w:marRight w:val="0"/>
      <w:marTop w:val="0"/>
      <w:marBottom w:val="0"/>
      <w:divBdr>
        <w:top w:val="none" w:sz="0" w:space="0" w:color="auto"/>
        <w:left w:val="none" w:sz="0" w:space="0" w:color="auto"/>
        <w:bottom w:val="none" w:sz="0" w:space="0" w:color="auto"/>
        <w:right w:val="none" w:sz="0" w:space="0" w:color="auto"/>
      </w:divBdr>
    </w:div>
    <w:div w:id="1771390228">
      <w:bodyDiv w:val="1"/>
      <w:marLeft w:val="0"/>
      <w:marRight w:val="0"/>
      <w:marTop w:val="0"/>
      <w:marBottom w:val="0"/>
      <w:divBdr>
        <w:top w:val="none" w:sz="0" w:space="0" w:color="auto"/>
        <w:left w:val="none" w:sz="0" w:space="0" w:color="auto"/>
        <w:bottom w:val="none" w:sz="0" w:space="0" w:color="auto"/>
        <w:right w:val="none" w:sz="0" w:space="0" w:color="auto"/>
      </w:divBdr>
    </w:div>
    <w:div w:id="1771658125">
      <w:bodyDiv w:val="1"/>
      <w:marLeft w:val="0"/>
      <w:marRight w:val="0"/>
      <w:marTop w:val="0"/>
      <w:marBottom w:val="0"/>
      <w:divBdr>
        <w:top w:val="none" w:sz="0" w:space="0" w:color="auto"/>
        <w:left w:val="none" w:sz="0" w:space="0" w:color="auto"/>
        <w:bottom w:val="none" w:sz="0" w:space="0" w:color="auto"/>
        <w:right w:val="none" w:sz="0" w:space="0" w:color="auto"/>
      </w:divBdr>
    </w:div>
    <w:div w:id="1771849855">
      <w:bodyDiv w:val="1"/>
      <w:marLeft w:val="0"/>
      <w:marRight w:val="0"/>
      <w:marTop w:val="0"/>
      <w:marBottom w:val="0"/>
      <w:divBdr>
        <w:top w:val="none" w:sz="0" w:space="0" w:color="auto"/>
        <w:left w:val="none" w:sz="0" w:space="0" w:color="auto"/>
        <w:bottom w:val="none" w:sz="0" w:space="0" w:color="auto"/>
        <w:right w:val="none" w:sz="0" w:space="0" w:color="auto"/>
      </w:divBdr>
    </w:div>
    <w:div w:id="1772043388">
      <w:bodyDiv w:val="1"/>
      <w:marLeft w:val="0"/>
      <w:marRight w:val="0"/>
      <w:marTop w:val="0"/>
      <w:marBottom w:val="0"/>
      <w:divBdr>
        <w:top w:val="none" w:sz="0" w:space="0" w:color="auto"/>
        <w:left w:val="none" w:sz="0" w:space="0" w:color="auto"/>
        <w:bottom w:val="none" w:sz="0" w:space="0" w:color="auto"/>
        <w:right w:val="none" w:sz="0" w:space="0" w:color="auto"/>
      </w:divBdr>
    </w:div>
    <w:div w:id="1772386180">
      <w:bodyDiv w:val="1"/>
      <w:marLeft w:val="0"/>
      <w:marRight w:val="0"/>
      <w:marTop w:val="0"/>
      <w:marBottom w:val="0"/>
      <w:divBdr>
        <w:top w:val="none" w:sz="0" w:space="0" w:color="auto"/>
        <w:left w:val="none" w:sz="0" w:space="0" w:color="auto"/>
        <w:bottom w:val="none" w:sz="0" w:space="0" w:color="auto"/>
        <w:right w:val="none" w:sz="0" w:space="0" w:color="auto"/>
      </w:divBdr>
    </w:div>
    <w:div w:id="1772503691">
      <w:bodyDiv w:val="1"/>
      <w:marLeft w:val="0"/>
      <w:marRight w:val="0"/>
      <w:marTop w:val="0"/>
      <w:marBottom w:val="0"/>
      <w:divBdr>
        <w:top w:val="none" w:sz="0" w:space="0" w:color="auto"/>
        <w:left w:val="none" w:sz="0" w:space="0" w:color="auto"/>
        <w:bottom w:val="none" w:sz="0" w:space="0" w:color="auto"/>
        <w:right w:val="none" w:sz="0" w:space="0" w:color="auto"/>
      </w:divBdr>
    </w:div>
    <w:div w:id="1773015911">
      <w:bodyDiv w:val="1"/>
      <w:marLeft w:val="0"/>
      <w:marRight w:val="0"/>
      <w:marTop w:val="0"/>
      <w:marBottom w:val="0"/>
      <w:divBdr>
        <w:top w:val="none" w:sz="0" w:space="0" w:color="auto"/>
        <w:left w:val="none" w:sz="0" w:space="0" w:color="auto"/>
        <w:bottom w:val="none" w:sz="0" w:space="0" w:color="auto"/>
        <w:right w:val="none" w:sz="0" w:space="0" w:color="auto"/>
      </w:divBdr>
    </w:div>
    <w:div w:id="1773238841">
      <w:bodyDiv w:val="1"/>
      <w:marLeft w:val="0"/>
      <w:marRight w:val="0"/>
      <w:marTop w:val="0"/>
      <w:marBottom w:val="0"/>
      <w:divBdr>
        <w:top w:val="none" w:sz="0" w:space="0" w:color="auto"/>
        <w:left w:val="none" w:sz="0" w:space="0" w:color="auto"/>
        <w:bottom w:val="none" w:sz="0" w:space="0" w:color="auto"/>
        <w:right w:val="none" w:sz="0" w:space="0" w:color="auto"/>
      </w:divBdr>
    </w:div>
    <w:div w:id="1773354027">
      <w:bodyDiv w:val="1"/>
      <w:marLeft w:val="0"/>
      <w:marRight w:val="0"/>
      <w:marTop w:val="0"/>
      <w:marBottom w:val="0"/>
      <w:divBdr>
        <w:top w:val="none" w:sz="0" w:space="0" w:color="auto"/>
        <w:left w:val="none" w:sz="0" w:space="0" w:color="auto"/>
        <w:bottom w:val="none" w:sz="0" w:space="0" w:color="auto"/>
        <w:right w:val="none" w:sz="0" w:space="0" w:color="auto"/>
      </w:divBdr>
    </w:div>
    <w:div w:id="1773476642">
      <w:bodyDiv w:val="1"/>
      <w:marLeft w:val="0"/>
      <w:marRight w:val="0"/>
      <w:marTop w:val="0"/>
      <w:marBottom w:val="0"/>
      <w:divBdr>
        <w:top w:val="none" w:sz="0" w:space="0" w:color="auto"/>
        <w:left w:val="none" w:sz="0" w:space="0" w:color="auto"/>
        <w:bottom w:val="none" w:sz="0" w:space="0" w:color="auto"/>
        <w:right w:val="none" w:sz="0" w:space="0" w:color="auto"/>
      </w:divBdr>
    </w:div>
    <w:div w:id="1774015647">
      <w:bodyDiv w:val="1"/>
      <w:marLeft w:val="0"/>
      <w:marRight w:val="0"/>
      <w:marTop w:val="0"/>
      <w:marBottom w:val="0"/>
      <w:divBdr>
        <w:top w:val="none" w:sz="0" w:space="0" w:color="auto"/>
        <w:left w:val="none" w:sz="0" w:space="0" w:color="auto"/>
        <w:bottom w:val="none" w:sz="0" w:space="0" w:color="auto"/>
        <w:right w:val="none" w:sz="0" w:space="0" w:color="auto"/>
      </w:divBdr>
    </w:div>
    <w:div w:id="1774521163">
      <w:bodyDiv w:val="1"/>
      <w:marLeft w:val="0"/>
      <w:marRight w:val="0"/>
      <w:marTop w:val="0"/>
      <w:marBottom w:val="0"/>
      <w:divBdr>
        <w:top w:val="none" w:sz="0" w:space="0" w:color="auto"/>
        <w:left w:val="none" w:sz="0" w:space="0" w:color="auto"/>
        <w:bottom w:val="none" w:sz="0" w:space="0" w:color="auto"/>
        <w:right w:val="none" w:sz="0" w:space="0" w:color="auto"/>
      </w:divBdr>
    </w:div>
    <w:div w:id="1774594673">
      <w:bodyDiv w:val="1"/>
      <w:marLeft w:val="0"/>
      <w:marRight w:val="0"/>
      <w:marTop w:val="0"/>
      <w:marBottom w:val="0"/>
      <w:divBdr>
        <w:top w:val="none" w:sz="0" w:space="0" w:color="auto"/>
        <w:left w:val="none" w:sz="0" w:space="0" w:color="auto"/>
        <w:bottom w:val="none" w:sz="0" w:space="0" w:color="auto"/>
        <w:right w:val="none" w:sz="0" w:space="0" w:color="auto"/>
      </w:divBdr>
    </w:div>
    <w:div w:id="1774856887">
      <w:bodyDiv w:val="1"/>
      <w:marLeft w:val="0"/>
      <w:marRight w:val="0"/>
      <w:marTop w:val="0"/>
      <w:marBottom w:val="0"/>
      <w:divBdr>
        <w:top w:val="none" w:sz="0" w:space="0" w:color="auto"/>
        <w:left w:val="none" w:sz="0" w:space="0" w:color="auto"/>
        <w:bottom w:val="none" w:sz="0" w:space="0" w:color="auto"/>
        <w:right w:val="none" w:sz="0" w:space="0" w:color="auto"/>
      </w:divBdr>
    </w:div>
    <w:div w:id="1774857668">
      <w:bodyDiv w:val="1"/>
      <w:marLeft w:val="0"/>
      <w:marRight w:val="0"/>
      <w:marTop w:val="0"/>
      <w:marBottom w:val="0"/>
      <w:divBdr>
        <w:top w:val="none" w:sz="0" w:space="0" w:color="auto"/>
        <w:left w:val="none" w:sz="0" w:space="0" w:color="auto"/>
        <w:bottom w:val="none" w:sz="0" w:space="0" w:color="auto"/>
        <w:right w:val="none" w:sz="0" w:space="0" w:color="auto"/>
      </w:divBdr>
    </w:div>
    <w:div w:id="1775009690">
      <w:bodyDiv w:val="1"/>
      <w:marLeft w:val="0"/>
      <w:marRight w:val="0"/>
      <w:marTop w:val="0"/>
      <w:marBottom w:val="0"/>
      <w:divBdr>
        <w:top w:val="none" w:sz="0" w:space="0" w:color="auto"/>
        <w:left w:val="none" w:sz="0" w:space="0" w:color="auto"/>
        <w:bottom w:val="none" w:sz="0" w:space="0" w:color="auto"/>
        <w:right w:val="none" w:sz="0" w:space="0" w:color="auto"/>
      </w:divBdr>
    </w:div>
    <w:div w:id="1775128130">
      <w:bodyDiv w:val="1"/>
      <w:marLeft w:val="0"/>
      <w:marRight w:val="0"/>
      <w:marTop w:val="0"/>
      <w:marBottom w:val="0"/>
      <w:divBdr>
        <w:top w:val="none" w:sz="0" w:space="0" w:color="auto"/>
        <w:left w:val="none" w:sz="0" w:space="0" w:color="auto"/>
        <w:bottom w:val="none" w:sz="0" w:space="0" w:color="auto"/>
        <w:right w:val="none" w:sz="0" w:space="0" w:color="auto"/>
      </w:divBdr>
    </w:div>
    <w:div w:id="1775318787">
      <w:bodyDiv w:val="1"/>
      <w:marLeft w:val="0"/>
      <w:marRight w:val="0"/>
      <w:marTop w:val="0"/>
      <w:marBottom w:val="0"/>
      <w:divBdr>
        <w:top w:val="none" w:sz="0" w:space="0" w:color="auto"/>
        <w:left w:val="none" w:sz="0" w:space="0" w:color="auto"/>
        <w:bottom w:val="none" w:sz="0" w:space="0" w:color="auto"/>
        <w:right w:val="none" w:sz="0" w:space="0" w:color="auto"/>
      </w:divBdr>
    </w:div>
    <w:div w:id="1775901611">
      <w:bodyDiv w:val="1"/>
      <w:marLeft w:val="0"/>
      <w:marRight w:val="0"/>
      <w:marTop w:val="0"/>
      <w:marBottom w:val="0"/>
      <w:divBdr>
        <w:top w:val="none" w:sz="0" w:space="0" w:color="auto"/>
        <w:left w:val="none" w:sz="0" w:space="0" w:color="auto"/>
        <w:bottom w:val="none" w:sz="0" w:space="0" w:color="auto"/>
        <w:right w:val="none" w:sz="0" w:space="0" w:color="auto"/>
      </w:divBdr>
    </w:div>
    <w:div w:id="1775906965">
      <w:bodyDiv w:val="1"/>
      <w:marLeft w:val="0"/>
      <w:marRight w:val="0"/>
      <w:marTop w:val="0"/>
      <w:marBottom w:val="0"/>
      <w:divBdr>
        <w:top w:val="none" w:sz="0" w:space="0" w:color="auto"/>
        <w:left w:val="none" w:sz="0" w:space="0" w:color="auto"/>
        <w:bottom w:val="none" w:sz="0" w:space="0" w:color="auto"/>
        <w:right w:val="none" w:sz="0" w:space="0" w:color="auto"/>
      </w:divBdr>
    </w:div>
    <w:div w:id="1776174329">
      <w:bodyDiv w:val="1"/>
      <w:marLeft w:val="0"/>
      <w:marRight w:val="0"/>
      <w:marTop w:val="0"/>
      <w:marBottom w:val="0"/>
      <w:divBdr>
        <w:top w:val="none" w:sz="0" w:space="0" w:color="auto"/>
        <w:left w:val="none" w:sz="0" w:space="0" w:color="auto"/>
        <w:bottom w:val="none" w:sz="0" w:space="0" w:color="auto"/>
        <w:right w:val="none" w:sz="0" w:space="0" w:color="auto"/>
      </w:divBdr>
    </w:div>
    <w:div w:id="1776510526">
      <w:bodyDiv w:val="1"/>
      <w:marLeft w:val="0"/>
      <w:marRight w:val="0"/>
      <w:marTop w:val="0"/>
      <w:marBottom w:val="0"/>
      <w:divBdr>
        <w:top w:val="none" w:sz="0" w:space="0" w:color="auto"/>
        <w:left w:val="none" w:sz="0" w:space="0" w:color="auto"/>
        <w:bottom w:val="none" w:sz="0" w:space="0" w:color="auto"/>
        <w:right w:val="none" w:sz="0" w:space="0" w:color="auto"/>
      </w:divBdr>
    </w:div>
    <w:div w:id="1776558427">
      <w:bodyDiv w:val="1"/>
      <w:marLeft w:val="0"/>
      <w:marRight w:val="0"/>
      <w:marTop w:val="0"/>
      <w:marBottom w:val="0"/>
      <w:divBdr>
        <w:top w:val="none" w:sz="0" w:space="0" w:color="auto"/>
        <w:left w:val="none" w:sz="0" w:space="0" w:color="auto"/>
        <w:bottom w:val="none" w:sz="0" w:space="0" w:color="auto"/>
        <w:right w:val="none" w:sz="0" w:space="0" w:color="auto"/>
      </w:divBdr>
    </w:div>
    <w:div w:id="1777627511">
      <w:bodyDiv w:val="1"/>
      <w:marLeft w:val="0"/>
      <w:marRight w:val="0"/>
      <w:marTop w:val="0"/>
      <w:marBottom w:val="0"/>
      <w:divBdr>
        <w:top w:val="none" w:sz="0" w:space="0" w:color="auto"/>
        <w:left w:val="none" w:sz="0" w:space="0" w:color="auto"/>
        <w:bottom w:val="none" w:sz="0" w:space="0" w:color="auto"/>
        <w:right w:val="none" w:sz="0" w:space="0" w:color="auto"/>
      </w:divBdr>
    </w:div>
    <w:div w:id="1777795590">
      <w:bodyDiv w:val="1"/>
      <w:marLeft w:val="0"/>
      <w:marRight w:val="0"/>
      <w:marTop w:val="0"/>
      <w:marBottom w:val="0"/>
      <w:divBdr>
        <w:top w:val="none" w:sz="0" w:space="0" w:color="auto"/>
        <w:left w:val="none" w:sz="0" w:space="0" w:color="auto"/>
        <w:bottom w:val="none" w:sz="0" w:space="0" w:color="auto"/>
        <w:right w:val="none" w:sz="0" w:space="0" w:color="auto"/>
      </w:divBdr>
    </w:div>
    <w:div w:id="1777867524">
      <w:bodyDiv w:val="1"/>
      <w:marLeft w:val="0"/>
      <w:marRight w:val="0"/>
      <w:marTop w:val="0"/>
      <w:marBottom w:val="0"/>
      <w:divBdr>
        <w:top w:val="none" w:sz="0" w:space="0" w:color="auto"/>
        <w:left w:val="none" w:sz="0" w:space="0" w:color="auto"/>
        <w:bottom w:val="none" w:sz="0" w:space="0" w:color="auto"/>
        <w:right w:val="none" w:sz="0" w:space="0" w:color="auto"/>
      </w:divBdr>
    </w:div>
    <w:div w:id="1778333276">
      <w:bodyDiv w:val="1"/>
      <w:marLeft w:val="0"/>
      <w:marRight w:val="0"/>
      <w:marTop w:val="0"/>
      <w:marBottom w:val="0"/>
      <w:divBdr>
        <w:top w:val="none" w:sz="0" w:space="0" w:color="auto"/>
        <w:left w:val="none" w:sz="0" w:space="0" w:color="auto"/>
        <w:bottom w:val="none" w:sz="0" w:space="0" w:color="auto"/>
        <w:right w:val="none" w:sz="0" w:space="0" w:color="auto"/>
      </w:divBdr>
    </w:div>
    <w:div w:id="1778913076">
      <w:bodyDiv w:val="1"/>
      <w:marLeft w:val="0"/>
      <w:marRight w:val="0"/>
      <w:marTop w:val="0"/>
      <w:marBottom w:val="0"/>
      <w:divBdr>
        <w:top w:val="none" w:sz="0" w:space="0" w:color="auto"/>
        <w:left w:val="none" w:sz="0" w:space="0" w:color="auto"/>
        <w:bottom w:val="none" w:sz="0" w:space="0" w:color="auto"/>
        <w:right w:val="none" w:sz="0" w:space="0" w:color="auto"/>
      </w:divBdr>
    </w:div>
    <w:div w:id="1779136016">
      <w:bodyDiv w:val="1"/>
      <w:marLeft w:val="0"/>
      <w:marRight w:val="0"/>
      <w:marTop w:val="0"/>
      <w:marBottom w:val="0"/>
      <w:divBdr>
        <w:top w:val="none" w:sz="0" w:space="0" w:color="auto"/>
        <w:left w:val="none" w:sz="0" w:space="0" w:color="auto"/>
        <w:bottom w:val="none" w:sz="0" w:space="0" w:color="auto"/>
        <w:right w:val="none" w:sz="0" w:space="0" w:color="auto"/>
      </w:divBdr>
    </w:div>
    <w:div w:id="1779256385">
      <w:bodyDiv w:val="1"/>
      <w:marLeft w:val="0"/>
      <w:marRight w:val="0"/>
      <w:marTop w:val="0"/>
      <w:marBottom w:val="0"/>
      <w:divBdr>
        <w:top w:val="none" w:sz="0" w:space="0" w:color="auto"/>
        <w:left w:val="none" w:sz="0" w:space="0" w:color="auto"/>
        <w:bottom w:val="none" w:sz="0" w:space="0" w:color="auto"/>
        <w:right w:val="none" w:sz="0" w:space="0" w:color="auto"/>
      </w:divBdr>
    </w:div>
    <w:div w:id="1779520614">
      <w:bodyDiv w:val="1"/>
      <w:marLeft w:val="0"/>
      <w:marRight w:val="0"/>
      <w:marTop w:val="0"/>
      <w:marBottom w:val="0"/>
      <w:divBdr>
        <w:top w:val="none" w:sz="0" w:space="0" w:color="auto"/>
        <w:left w:val="none" w:sz="0" w:space="0" w:color="auto"/>
        <w:bottom w:val="none" w:sz="0" w:space="0" w:color="auto"/>
        <w:right w:val="none" w:sz="0" w:space="0" w:color="auto"/>
      </w:divBdr>
    </w:div>
    <w:div w:id="1779565373">
      <w:bodyDiv w:val="1"/>
      <w:marLeft w:val="0"/>
      <w:marRight w:val="0"/>
      <w:marTop w:val="0"/>
      <w:marBottom w:val="0"/>
      <w:divBdr>
        <w:top w:val="none" w:sz="0" w:space="0" w:color="auto"/>
        <w:left w:val="none" w:sz="0" w:space="0" w:color="auto"/>
        <w:bottom w:val="none" w:sz="0" w:space="0" w:color="auto"/>
        <w:right w:val="none" w:sz="0" w:space="0" w:color="auto"/>
      </w:divBdr>
    </w:div>
    <w:div w:id="1779787495">
      <w:bodyDiv w:val="1"/>
      <w:marLeft w:val="0"/>
      <w:marRight w:val="0"/>
      <w:marTop w:val="0"/>
      <w:marBottom w:val="0"/>
      <w:divBdr>
        <w:top w:val="none" w:sz="0" w:space="0" w:color="auto"/>
        <w:left w:val="none" w:sz="0" w:space="0" w:color="auto"/>
        <w:bottom w:val="none" w:sz="0" w:space="0" w:color="auto"/>
        <w:right w:val="none" w:sz="0" w:space="0" w:color="auto"/>
      </w:divBdr>
    </w:div>
    <w:div w:id="1780180199">
      <w:bodyDiv w:val="1"/>
      <w:marLeft w:val="0"/>
      <w:marRight w:val="0"/>
      <w:marTop w:val="0"/>
      <w:marBottom w:val="0"/>
      <w:divBdr>
        <w:top w:val="none" w:sz="0" w:space="0" w:color="auto"/>
        <w:left w:val="none" w:sz="0" w:space="0" w:color="auto"/>
        <w:bottom w:val="none" w:sz="0" w:space="0" w:color="auto"/>
        <w:right w:val="none" w:sz="0" w:space="0" w:color="auto"/>
      </w:divBdr>
    </w:div>
    <w:div w:id="1780568912">
      <w:bodyDiv w:val="1"/>
      <w:marLeft w:val="0"/>
      <w:marRight w:val="0"/>
      <w:marTop w:val="0"/>
      <w:marBottom w:val="0"/>
      <w:divBdr>
        <w:top w:val="none" w:sz="0" w:space="0" w:color="auto"/>
        <w:left w:val="none" w:sz="0" w:space="0" w:color="auto"/>
        <w:bottom w:val="none" w:sz="0" w:space="0" w:color="auto"/>
        <w:right w:val="none" w:sz="0" w:space="0" w:color="auto"/>
      </w:divBdr>
    </w:div>
    <w:div w:id="1780635370">
      <w:bodyDiv w:val="1"/>
      <w:marLeft w:val="0"/>
      <w:marRight w:val="0"/>
      <w:marTop w:val="0"/>
      <w:marBottom w:val="0"/>
      <w:divBdr>
        <w:top w:val="none" w:sz="0" w:space="0" w:color="auto"/>
        <w:left w:val="none" w:sz="0" w:space="0" w:color="auto"/>
        <w:bottom w:val="none" w:sz="0" w:space="0" w:color="auto"/>
        <w:right w:val="none" w:sz="0" w:space="0" w:color="auto"/>
      </w:divBdr>
    </w:div>
    <w:div w:id="1780641700">
      <w:bodyDiv w:val="1"/>
      <w:marLeft w:val="0"/>
      <w:marRight w:val="0"/>
      <w:marTop w:val="0"/>
      <w:marBottom w:val="0"/>
      <w:divBdr>
        <w:top w:val="none" w:sz="0" w:space="0" w:color="auto"/>
        <w:left w:val="none" w:sz="0" w:space="0" w:color="auto"/>
        <w:bottom w:val="none" w:sz="0" w:space="0" w:color="auto"/>
        <w:right w:val="none" w:sz="0" w:space="0" w:color="auto"/>
      </w:divBdr>
    </w:div>
    <w:div w:id="1780833279">
      <w:bodyDiv w:val="1"/>
      <w:marLeft w:val="0"/>
      <w:marRight w:val="0"/>
      <w:marTop w:val="0"/>
      <w:marBottom w:val="0"/>
      <w:divBdr>
        <w:top w:val="none" w:sz="0" w:space="0" w:color="auto"/>
        <w:left w:val="none" w:sz="0" w:space="0" w:color="auto"/>
        <w:bottom w:val="none" w:sz="0" w:space="0" w:color="auto"/>
        <w:right w:val="none" w:sz="0" w:space="0" w:color="auto"/>
      </w:divBdr>
    </w:div>
    <w:div w:id="1780955262">
      <w:bodyDiv w:val="1"/>
      <w:marLeft w:val="0"/>
      <w:marRight w:val="0"/>
      <w:marTop w:val="0"/>
      <w:marBottom w:val="0"/>
      <w:divBdr>
        <w:top w:val="none" w:sz="0" w:space="0" w:color="auto"/>
        <w:left w:val="none" w:sz="0" w:space="0" w:color="auto"/>
        <w:bottom w:val="none" w:sz="0" w:space="0" w:color="auto"/>
        <w:right w:val="none" w:sz="0" w:space="0" w:color="auto"/>
      </w:divBdr>
    </w:div>
    <w:div w:id="1781141951">
      <w:bodyDiv w:val="1"/>
      <w:marLeft w:val="0"/>
      <w:marRight w:val="0"/>
      <w:marTop w:val="0"/>
      <w:marBottom w:val="0"/>
      <w:divBdr>
        <w:top w:val="none" w:sz="0" w:space="0" w:color="auto"/>
        <w:left w:val="none" w:sz="0" w:space="0" w:color="auto"/>
        <w:bottom w:val="none" w:sz="0" w:space="0" w:color="auto"/>
        <w:right w:val="none" w:sz="0" w:space="0" w:color="auto"/>
      </w:divBdr>
    </w:div>
    <w:div w:id="1781336778">
      <w:bodyDiv w:val="1"/>
      <w:marLeft w:val="0"/>
      <w:marRight w:val="0"/>
      <w:marTop w:val="0"/>
      <w:marBottom w:val="0"/>
      <w:divBdr>
        <w:top w:val="none" w:sz="0" w:space="0" w:color="auto"/>
        <w:left w:val="none" w:sz="0" w:space="0" w:color="auto"/>
        <w:bottom w:val="none" w:sz="0" w:space="0" w:color="auto"/>
        <w:right w:val="none" w:sz="0" w:space="0" w:color="auto"/>
      </w:divBdr>
    </w:div>
    <w:div w:id="1781759154">
      <w:bodyDiv w:val="1"/>
      <w:marLeft w:val="0"/>
      <w:marRight w:val="0"/>
      <w:marTop w:val="0"/>
      <w:marBottom w:val="0"/>
      <w:divBdr>
        <w:top w:val="none" w:sz="0" w:space="0" w:color="auto"/>
        <w:left w:val="none" w:sz="0" w:space="0" w:color="auto"/>
        <w:bottom w:val="none" w:sz="0" w:space="0" w:color="auto"/>
        <w:right w:val="none" w:sz="0" w:space="0" w:color="auto"/>
      </w:divBdr>
    </w:div>
    <w:div w:id="1782022017">
      <w:bodyDiv w:val="1"/>
      <w:marLeft w:val="0"/>
      <w:marRight w:val="0"/>
      <w:marTop w:val="0"/>
      <w:marBottom w:val="0"/>
      <w:divBdr>
        <w:top w:val="none" w:sz="0" w:space="0" w:color="auto"/>
        <w:left w:val="none" w:sz="0" w:space="0" w:color="auto"/>
        <w:bottom w:val="none" w:sz="0" w:space="0" w:color="auto"/>
        <w:right w:val="none" w:sz="0" w:space="0" w:color="auto"/>
      </w:divBdr>
    </w:div>
    <w:div w:id="1782719937">
      <w:bodyDiv w:val="1"/>
      <w:marLeft w:val="0"/>
      <w:marRight w:val="0"/>
      <w:marTop w:val="0"/>
      <w:marBottom w:val="0"/>
      <w:divBdr>
        <w:top w:val="none" w:sz="0" w:space="0" w:color="auto"/>
        <w:left w:val="none" w:sz="0" w:space="0" w:color="auto"/>
        <w:bottom w:val="none" w:sz="0" w:space="0" w:color="auto"/>
        <w:right w:val="none" w:sz="0" w:space="0" w:color="auto"/>
      </w:divBdr>
    </w:div>
    <w:div w:id="1782873561">
      <w:bodyDiv w:val="1"/>
      <w:marLeft w:val="0"/>
      <w:marRight w:val="0"/>
      <w:marTop w:val="0"/>
      <w:marBottom w:val="0"/>
      <w:divBdr>
        <w:top w:val="none" w:sz="0" w:space="0" w:color="auto"/>
        <w:left w:val="none" w:sz="0" w:space="0" w:color="auto"/>
        <w:bottom w:val="none" w:sz="0" w:space="0" w:color="auto"/>
        <w:right w:val="none" w:sz="0" w:space="0" w:color="auto"/>
      </w:divBdr>
    </w:div>
    <w:div w:id="1783572953">
      <w:bodyDiv w:val="1"/>
      <w:marLeft w:val="0"/>
      <w:marRight w:val="0"/>
      <w:marTop w:val="0"/>
      <w:marBottom w:val="0"/>
      <w:divBdr>
        <w:top w:val="none" w:sz="0" w:space="0" w:color="auto"/>
        <w:left w:val="none" w:sz="0" w:space="0" w:color="auto"/>
        <w:bottom w:val="none" w:sz="0" w:space="0" w:color="auto"/>
        <w:right w:val="none" w:sz="0" w:space="0" w:color="auto"/>
      </w:divBdr>
    </w:div>
    <w:div w:id="1783770317">
      <w:bodyDiv w:val="1"/>
      <w:marLeft w:val="0"/>
      <w:marRight w:val="0"/>
      <w:marTop w:val="0"/>
      <w:marBottom w:val="0"/>
      <w:divBdr>
        <w:top w:val="none" w:sz="0" w:space="0" w:color="auto"/>
        <w:left w:val="none" w:sz="0" w:space="0" w:color="auto"/>
        <w:bottom w:val="none" w:sz="0" w:space="0" w:color="auto"/>
        <w:right w:val="none" w:sz="0" w:space="0" w:color="auto"/>
      </w:divBdr>
    </w:div>
    <w:div w:id="1784030400">
      <w:bodyDiv w:val="1"/>
      <w:marLeft w:val="0"/>
      <w:marRight w:val="0"/>
      <w:marTop w:val="0"/>
      <w:marBottom w:val="0"/>
      <w:divBdr>
        <w:top w:val="none" w:sz="0" w:space="0" w:color="auto"/>
        <w:left w:val="none" w:sz="0" w:space="0" w:color="auto"/>
        <w:bottom w:val="none" w:sz="0" w:space="0" w:color="auto"/>
        <w:right w:val="none" w:sz="0" w:space="0" w:color="auto"/>
      </w:divBdr>
    </w:div>
    <w:div w:id="1784303883">
      <w:bodyDiv w:val="1"/>
      <w:marLeft w:val="0"/>
      <w:marRight w:val="0"/>
      <w:marTop w:val="0"/>
      <w:marBottom w:val="0"/>
      <w:divBdr>
        <w:top w:val="none" w:sz="0" w:space="0" w:color="auto"/>
        <w:left w:val="none" w:sz="0" w:space="0" w:color="auto"/>
        <w:bottom w:val="none" w:sz="0" w:space="0" w:color="auto"/>
        <w:right w:val="none" w:sz="0" w:space="0" w:color="auto"/>
      </w:divBdr>
    </w:div>
    <w:div w:id="1784379049">
      <w:bodyDiv w:val="1"/>
      <w:marLeft w:val="0"/>
      <w:marRight w:val="0"/>
      <w:marTop w:val="0"/>
      <w:marBottom w:val="0"/>
      <w:divBdr>
        <w:top w:val="none" w:sz="0" w:space="0" w:color="auto"/>
        <w:left w:val="none" w:sz="0" w:space="0" w:color="auto"/>
        <w:bottom w:val="none" w:sz="0" w:space="0" w:color="auto"/>
        <w:right w:val="none" w:sz="0" w:space="0" w:color="auto"/>
      </w:divBdr>
    </w:div>
    <w:div w:id="1784417728">
      <w:bodyDiv w:val="1"/>
      <w:marLeft w:val="0"/>
      <w:marRight w:val="0"/>
      <w:marTop w:val="0"/>
      <w:marBottom w:val="0"/>
      <w:divBdr>
        <w:top w:val="none" w:sz="0" w:space="0" w:color="auto"/>
        <w:left w:val="none" w:sz="0" w:space="0" w:color="auto"/>
        <w:bottom w:val="none" w:sz="0" w:space="0" w:color="auto"/>
        <w:right w:val="none" w:sz="0" w:space="0" w:color="auto"/>
      </w:divBdr>
    </w:div>
    <w:div w:id="1784568235">
      <w:bodyDiv w:val="1"/>
      <w:marLeft w:val="0"/>
      <w:marRight w:val="0"/>
      <w:marTop w:val="0"/>
      <w:marBottom w:val="0"/>
      <w:divBdr>
        <w:top w:val="none" w:sz="0" w:space="0" w:color="auto"/>
        <w:left w:val="none" w:sz="0" w:space="0" w:color="auto"/>
        <w:bottom w:val="none" w:sz="0" w:space="0" w:color="auto"/>
        <w:right w:val="none" w:sz="0" w:space="0" w:color="auto"/>
      </w:divBdr>
    </w:div>
    <w:div w:id="1784808576">
      <w:bodyDiv w:val="1"/>
      <w:marLeft w:val="0"/>
      <w:marRight w:val="0"/>
      <w:marTop w:val="0"/>
      <w:marBottom w:val="0"/>
      <w:divBdr>
        <w:top w:val="none" w:sz="0" w:space="0" w:color="auto"/>
        <w:left w:val="none" w:sz="0" w:space="0" w:color="auto"/>
        <w:bottom w:val="none" w:sz="0" w:space="0" w:color="auto"/>
        <w:right w:val="none" w:sz="0" w:space="0" w:color="auto"/>
      </w:divBdr>
    </w:div>
    <w:div w:id="1784835377">
      <w:bodyDiv w:val="1"/>
      <w:marLeft w:val="0"/>
      <w:marRight w:val="0"/>
      <w:marTop w:val="0"/>
      <w:marBottom w:val="0"/>
      <w:divBdr>
        <w:top w:val="none" w:sz="0" w:space="0" w:color="auto"/>
        <w:left w:val="none" w:sz="0" w:space="0" w:color="auto"/>
        <w:bottom w:val="none" w:sz="0" w:space="0" w:color="auto"/>
        <w:right w:val="none" w:sz="0" w:space="0" w:color="auto"/>
      </w:divBdr>
    </w:div>
    <w:div w:id="1785271294">
      <w:bodyDiv w:val="1"/>
      <w:marLeft w:val="0"/>
      <w:marRight w:val="0"/>
      <w:marTop w:val="0"/>
      <w:marBottom w:val="0"/>
      <w:divBdr>
        <w:top w:val="none" w:sz="0" w:space="0" w:color="auto"/>
        <w:left w:val="none" w:sz="0" w:space="0" w:color="auto"/>
        <w:bottom w:val="none" w:sz="0" w:space="0" w:color="auto"/>
        <w:right w:val="none" w:sz="0" w:space="0" w:color="auto"/>
      </w:divBdr>
    </w:div>
    <w:div w:id="1785690490">
      <w:bodyDiv w:val="1"/>
      <w:marLeft w:val="0"/>
      <w:marRight w:val="0"/>
      <w:marTop w:val="0"/>
      <w:marBottom w:val="0"/>
      <w:divBdr>
        <w:top w:val="none" w:sz="0" w:space="0" w:color="auto"/>
        <w:left w:val="none" w:sz="0" w:space="0" w:color="auto"/>
        <w:bottom w:val="none" w:sz="0" w:space="0" w:color="auto"/>
        <w:right w:val="none" w:sz="0" w:space="0" w:color="auto"/>
      </w:divBdr>
    </w:div>
    <w:div w:id="1786002149">
      <w:bodyDiv w:val="1"/>
      <w:marLeft w:val="0"/>
      <w:marRight w:val="0"/>
      <w:marTop w:val="0"/>
      <w:marBottom w:val="0"/>
      <w:divBdr>
        <w:top w:val="none" w:sz="0" w:space="0" w:color="auto"/>
        <w:left w:val="none" w:sz="0" w:space="0" w:color="auto"/>
        <w:bottom w:val="none" w:sz="0" w:space="0" w:color="auto"/>
        <w:right w:val="none" w:sz="0" w:space="0" w:color="auto"/>
      </w:divBdr>
    </w:div>
    <w:div w:id="1786536192">
      <w:bodyDiv w:val="1"/>
      <w:marLeft w:val="0"/>
      <w:marRight w:val="0"/>
      <w:marTop w:val="0"/>
      <w:marBottom w:val="0"/>
      <w:divBdr>
        <w:top w:val="none" w:sz="0" w:space="0" w:color="auto"/>
        <w:left w:val="none" w:sz="0" w:space="0" w:color="auto"/>
        <w:bottom w:val="none" w:sz="0" w:space="0" w:color="auto"/>
        <w:right w:val="none" w:sz="0" w:space="0" w:color="auto"/>
      </w:divBdr>
    </w:div>
    <w:div w:id="1786735384">
      <w:bodyDiv w:val="1"/>
      <w:marLeft w:val="0"/>
      <w:marRight w:val="0"/>
      <w:marTop w:val="0"/>
      <w:marBottom w:val="0"/>
      <w:divBdr>
        <w:top w:val="none" w:sz="0" w:space="0" w:color="auto"/>
        <w:left w:val="none" w:sz="0" w:space="0" w:color="auto"/>
        <w:bottom w:val="none" w:sz="0" w:space="0" w:color="auto"/>
        <w:right w:val="none" w:sz="0" w:space="0" w:color="auto"/>
      </w:divBdr>
    </w:div>
    <w:div w:id="1786846126">
      <w:bodyDiv w:val="1"/>
      <w:marLeft w:val="0"/>
      <w:marRight w:val="0"/>
      <w:marTop w:val="0"/>
      <w:marBottom w:val="0"/>
      <w:divBdr>
        <w:top w:val="none" w:sz="0" w:space="0" w:color="auto"/>
        <w:left w:val="none" w:sz="0" w:space="0" w:color="auto"/>
        <w:bottom w:val="none" w:sz="0" w:space="0" w:color="auto"/>
        <w:right w:val="none" w:sz="0" w:space="0" w:color="auto"/>
      </w:divBdr>
    </w:div>
    <w:div w:id="1787190200">
      <w:bodyDiv w:val="1"/>
      <w:marLeft w:val="0"/>
      <w:marRight w:val="0"/>
      <w:marTop w:val="0"/>
      <w:marBottom w:val="0"/>
      <w:divBdr>
        <w:top w:val="none" w:sz="0" w:space="0" w:color="auto"/>
        <w:left w:val="none" w:sz="0" w:space="0" w:color="auto"/>
        <w:bottom w:val="none" w:sz="0" w:space="0" w:color="auto"/>
        <w:right w:val="none" w:sz="0" w:space="0" w:color="auto"/>
      </w:divBdr>
    </w:div>
    <w:div w:id="1787309009">
      <w:bodyDiv w:val="1"/>
      <w:marLeft w:val="0"/>
      <w:marRight w:val="0"/>
      <w:marTop w:val="0"/>
      <w:marBottom w:val="0"/>
      <w:divBdr>
        <w:top w:val="none" w:sz="0" w:space="0" w:color="auto"/>
        <w:left w:val="none" w:sz="0" w:space="0" w:color="auto"/>
        <w:bottom w:val="none" w:sz="0" w:space="0" w:color="auto"/>
        <w:right w:val="none" w:sz="0" w:space="0" w:color="auto"/>
      </w:divBdr>
    </w:div>
    <w:div w:id="1787576939">
      <w:bodyDiv w:val="1"/>
      <w:marLeft w:val="0"/>
      <w:marRight w:val="0"/>
      <w:marTop w:val="0"/>
      <w:marBottom w:val="0"/>
      <w:divBdr>
        <w:top w:val="none" w:sz="0" w:space="0" w:color="auto"/>
        <w:left w:val="none" w:sz="0" w:space="0" w:color="auto"/>
        <w:bottom w:val="none" w:sz="0" w:space="0" w:color="auto"/>
        <w:right w:val="none" w:sz="0" w:space="0" w:color="auto"/>
      </w:divBdr>
    </w:div>
    <w:div w:id="1787845231">
      <w:bodyDiv w:val="1"/>
      <w:marLeft w:val="0"/>
      <w:marRight w:val="0"/>
      <w:marTop w:val="0"/>
      <w:marBottom w:val="0"/>
      <w:divBdr>
        <w:top w:val="none" w:sz="0" w:space="0" w:color="auto"/>
        <w:left w:val="none" w:sz="0" w:space="0" w:color="auto"/>
        <w:bottom w:val="none" w:sz="0" w:space="0" w:color="auto"/>
        <w:right w:val="none" w:sz="0" w:space="0" w:color="auto"/>
      </w:divBdr>
    </w:div>
    <w:div w:id="1788425870">
      <w:bodyDiv w:val="1"/>
      <w:marLeft w:val="0"/>
      <w:marRight w:val="0"/>
      <w:marTop w:val="0"/>
      <w:marBottom w:val="0"/>
      <w:divBdr>
        <w:top w:val="none" w:sz="0" w:space="0" w:color="auto"/>
        <w:left w:val="none" w:sz="0" w:space="0" w:color="auto"/>
        <w:bottom w:val="none" w:sz="0" w:space="0" w:color="auto"/>
        <w:right w:val="none" w:sz="0" w:space="0" w:color="auto"/>
      </w:divBdr>
    </w:div>
    <w:div w:id="1788810742">
      <w:bodyDiv w:val="1"/>
      <w:marLeft w:val="0"/>
      <w:marRight w:val="0"/>
      <w:marTop w:val="0"/>
      <w:marBottom w:val="0"/>
      <w:divBdr>
        <w:top w:val="none" w:sz="0" w:space="0" w:color="auto"/>
        <w:left w:val="none" w:sz="0" w:space="0" w:color="auto"/>
        <w:bottom w:val="none" w:sz="0" w:space="0" w:color="auto"/>
        <w:right w:val="none" w:sz="0" w:space="0" w:color="auto"/>
      </w:divBdr>
    </w:div>
    <w:div w:id="1789353916">
      <w:bodyDiv w:val="1"/>
      <w:marLeft w:val="0"/>
      <w:marRight w:val="0"/>
      <w:marTop w:val="0"/>
      <w:marBottom w:val="0"/>
      <w:divBdr>
        <w:top w:val="none" w:sz="0" w:space="0" w:color="auto"/>
        <w:left w:val="none" w:sz="0" w:space="0" w:color="auto"/>
        <w:bottom w:val="none" w:sz="0" w:space="0" w:color="auto"/>
        <w:right w:val="none" w:sz="0" w:space="0" w:color="auto"/>
      </w:divBdr>
    </w:div>
    <w:div w:id="1789397053">
      <w:bodyDiv w:val="1"/>
      <w:marLeft w:val="0"/>
      <w:marRight w:val="0"/>
      <w:marTop w:val="0"/>
      <w:marBottom w:val="0"/>
      <w:divBdr>
        <w:top w:val="none" w:sz="0" w:space="0" w:color="auto"/>
        <w:left w:val="none" w:sz="0" w:space="0" w:color="auto"/>
        <w:bottom w:val="none" w:sz="0" w:space="0" w:color="auto"/>
        <w:right w:val="none" w:sz="0" w:space="0" w:color="auto"/>
      </w:divBdr>
    </w:div>
    <w:div w:id="1790318839">
      <w:bodyDiv w:val="1"/>
      <w:marLeft w:val="0"/>
      <w:marRight w:val="0"/>
      <w:marTop w:val="0"/>
      <w:marBottom w:val="0"/>
      <w:divBdr>
        <w:top w:val="none" w:sz="0" w:space="0" w:color="auto"/>
        <w:left w:val="none" w:sz="0" w:space="0" w:color="auto"/>
        <w:bottom w:val="none" w:sz="0" w:space="0" w:color="auto"/>
        <w:right w:val="none" w:sz="0" w:space="0" w:color="auto"/>
      </w:divBdr>
    </w:div>
    <w:div w:id="1790540426">
      <w:bodyDiv w:val="1"/>
      <w:marLeft w:val="0"/>
      <w:marRight w:val="0"/>
      <w:marTop w:val="0"/>
      <w:marBottom w:val="0"/>
      <w:divBdr>
        <w:top w:val="none" w:sz="0" w:space="0" w:color="auto"/>
        <w:left w:val="none" w:sz="0" w:space="0" w:color="auto"/>
        <w:bottom w:val="none" w:sz="0" w:space="0" w:color="auto"/>
        <w:right w:val="none" w:sz="0" w:space="0" w:color="auto"/>
      </w:divBdr>
    </w:div>
    <w:div w:id="1790734867">
      <w:bodyDiv w:val="1"/>
      <w:marLeft w:val="0"/>
      <w:marRight w:val="0"/>
      <w:marTop w:val="0"/>
      <w:marBottom w:val="0"/>
      <w:divBdr>
        <w:top w:val="none" w:sz="0" w:space="0" w:color="auto"/>
        <w:left w:val="none" w:sz="0" w:space="0" w:color="auto"/>
        <w:bottom w:val="none" w:sz="0" w:space="0" w:color="auto"/>
        <w:right w:val="none" w:sz="0" w:space="0" w:color="auto"/>
      </w:divBdr>
    </w:div>
    <w:div w:id="1791194979">
      <w:bodyDiv w:val="1"/>
      <w:marLeft w:val="0"/>
      <w:marRight w:val="0"/>
      <w:marTop w:val="0"/>
      <w:marBottom w:val="0"/>
      <w:divBdr>
        <w:top w:val="none" w:sz="0" w:space="0" w:color="auto"/>
        <w:left w:val="none" w:sz="0" w:space="0" w:color="auto"/>
        <w:bottom w:val="none" w:sz="0" w:space="0" w:color="auto"/>
        <w:right w:val="none" w:sz="0" w:space="0" w:color="auto"/>
      </w:divBdr>
    </w:div>
    <w:div w:id="1791238860">
      <w:bodyDiv w:val="1"/>
      <w:marLeft w:val="0"/>
      <w:marRight w:val="0"/>
      <w:marTop w:val="0"/>
      <w:marBottom w:val="0"/>
      <w:divBdr>
        <w:top w:val="none" w:sz="0" w:space="0" w:color="auto"/>
        <w:left w:val="none" w:sz="0" w:space="0" w:color="auto"/>
        <w:bottom w:val="none" w:sz="0" w:space="0" w:color="auto"/>
        <w:right w:val="none" w:sz="0" w:space="0" w:color="auto"/>
      </w:divBdr>
    </w:div>
    <w:div w:id="1791240946">
      <w:bodyDiv w:val="1"/>
      <w:marLeft w:val="0"/>
      <w:marRight w:val="0"/>
      <w:marTop w:val="0"/>
      <w:marBottom w:val="0"/>
      <w:divBdr>
        <w:top w:val="none" w:sz="0" w:space="0" w:color="auto"/>
        <w:left w:val="none" w:sz="0" w:space="0" w:color="auto"/>
        <w:bottom w:val="none" w:sz="0" w:space="0" w:color="auto"/>
        <w:right w:val="none" w:sz="0" w:space="0" w:color="auto"/>
      </w:divBdr>
    </w:div>
    <w:div w:id="1791588259">
      <w:bodyDiv w:val="1"/>
      <w:marLeft w:val="0"/>
      <w:marRight w:val="0"/>
      <w:marTop w:val="0"/>
      <w:marBottom w:val="0"/>
      <w:divBdr>
        <w:top w:val="none" w:sz="0" w:space="0" w:color="auto"/>
        <w:left w:val="none" w:sz="0" w:space="0" w:color="auto"/>
        <w:bottom w:val="none" w:sz="0" w:space="0" w:color="auto"/>
        <w:right w:val="none" w:sz="0" w:space="0" w:color="auto"/>
      </w:divBdr>
    </w:div>
    <w:div w:id="1791897480">
      <w:bodyDiv w:val="1"/>
      <w:marLeft w:val="0"/>
      <w:marRight w:val="0"/>
      <w:marTop w:val="0"/>
      <w:marBottom w:val="0"/>
      <w:divBdr>
        <w:top w:val="none" w:sz="0" w:space="0" w:color="auto"/>
        <w:left w:val="none" w:sz="0" w:space="0" w:color="auto"/>
        <w:bottom w:val="none" w:sz="0" w:space="0" w:color="auto"/>
        <w:right w:val="none" w:sz="0" w:space="0" w:color="auto"/>
      </w:divBdr>
    </w:div>
    <w:div w:id="1792090668">
      <w:bodyDiv w:val="1"/>
      <w:marLeft w:val="0"/>
      <w:marRight w:val="0"/>
      <w:marTop w:val="0"/>
      <w:marBottom w:val="0"/>
      <w:divBdr>
        <w:top w:val="none" w:sz="0" w:space="0" w:color="auto"/>
        <w:left w:val="none" w:sz="0" w:space="0" w:color="auto"/>
        <w:bottom w:val="none" w:sz="0" w:space="0" w:color="auto"/>
        <w:right w:val="none" w:sz="0" w:space="0" w:color="auto"/>
      </w:divBdr>
    </w:div>
    <w:div w:id="1792240227">
      <w:bodyDiv w:val="1"/>
      <w:marLeft w:val="0"/>
      <w:marRight w:val="0"/>
      <w:marTop w:val="0"/>
      <w:marBottom w:val="0"/>
      <w:divBdr>
        <w:top w:val="none" w:sz="0" w:space="0" w:color="auto"/>
        <w:left w:val="none" w:sz="0" w:space="0" w:color="auto"/>
        <w:bottom w:val="none" w:sz="0" w:space="0" w:color="auto"/>
        <w:right w:val="none" w:sz="0" w:space="0" w:color="auto"/>
      </w:divBdr>
    </w:div>
    <w:div w:id="1792475847">
      <w:bodyDiv w:val="1"/>
      <w:marLeft w:val="0"/>
      <w:marRight w:val="0"/>
      <w:marTop w:val="0"/>
      <w:marBottom w:val="0"/>
      <w:divBdr>
        <w:top w:val="none" w:sz="0" w:space="0" w:color="auto"/>
        <w:left w:val="none" w:sz="0" w:space="0" w:color="auto"/>
        <w:bottom w:val="none" w:sz="0" w:space="0" w:color="auto"/>
        <w:right w:val="none" w:sz="0" w:space="0" w:color="auto"/>
      </w:divBdr>
    </w:div>
    <w:div w:id="1792557272">
      <w:bodyDiv w:val="1"/>
      <w:marLeft w:val="0"/>
      <w:marRight w:val="0"/>
      <w:marTop w:val="0"/>
      <w:marBottom w:val="0"/>
      <w:divBdr>
        <w:top w:val="none" w:sz="0" w:space="0" w:color="auto"/>
        <w:left w:val="none" w:sz="0" w:space="0" w:color="auto"/>
        <w:bottom w:val="none" w:sz="0" w:space="0" w:color="auto"/>
        <w:right w:val="none" w:sz="0" w:space="0" w:color="auto"/>
      </w:divBdr>
    </w:div>
    <w:div w:id="1793087817">
      <w:bodyDiv w:val="1"/>
      <w:marLeft w:val="0"/>
      <w:marRight w:val="0"/>
      <w:marTop w:val="0"/>
      <w:marBottom w:val="0"/>
      <w:divBdr>
        <w:top w:val="none" w:sz="0" w:space="0" w:color="auto"/>
        <w:left w:val="none" w:sz="0" w:space="0" w:color="auto"/>
        <w:bottom w:val="none" w:sz="0" w:space="0" w:color="auto"/>
        <w:right w:val="none" w:sz="0" w:space="0" w:color="auto"/>
      </w:divBdr>
    </w:div>
    <w:div w:id="1794245016">
      <w:bodyDiv w:val="1"/>
      <w:marLeft w:val="0"/>
      <w:marRight w:val="0"/>
      <w:marTop w:val="0"/>
      <w:marBottom w:val="0"/>
      <w:divBdr>
        <w:top w:val="none" w:sz="0" w:space="0" w:color="auto"/>
        <w:left w:val="none" w:sz="0" w:space="0" w:color="auto"/>
        <w:bottom w:val="none" w:sz="0" w:space="0" w:color="auto"/>
        <w:right w:val="none" w:sz="0" w:space="0" w:color="auto"/>
      </w:divBdr>
    </w:div>
    <w:div w:id="1794714117">
      <w:bodyDiv w:val="1"/>
      <w:marLeft w:val="0"/>
      <w:marRight w:val="0"/>
      <w:marTop w:val="0"/>
      <w:marBottom w:val="0"/>
      <w:divBdr>
        <w:top w:val="none" w:sz="0" w:space="0" w:color="auto"/>
        <w:left w:val="none" w:sz="0" w:space="0" w:color="auto"/>
        <w:bottom w:val="none" w:sz="0" w:space="0" w:color="auto"/>
        <w:right w:val="none" w:sz="0" w:space="0" w:color="auto"/>
      </w:divBdr>
    </w:div>
    <w:div w:id="1795514002">
      <w:bodyDiv w:val="1"/>
      <w:marLeft w:val="0"/>
      <w:marRight w:val="0"/>
      <w:marTop w:val="0"/>
      <w:marBottom w:val="0"/>
      <w:divBdr>
        <w:top w:val="none" w:sz="0" w:space="0" w:color="auto"/>
        <w:left w:val="none" w:sz="0" w:space="0" w:color="auto"/>
        <w:bottom w:val="none" w:sz="0" w:space="0" w:color="auto"/>
        <w:right w:val="none" w:sz="0" w:space="0" w:color="auto"/>
      </w:divBdr>
    </w:div>
    <w:div w:id="1795904961">
      <w:bodyDiv w:val="1"/>
      <w:marLeft w:val="0"/>
      <w:marRight w:val="0"/>
      <w:marTop w:val="0"/>
      <w:marBottom w:val="0"/>
      <w:divBdr>
        <w:top w:val="none" w:sz="0" w:space="0" w:color="auto"/>
        <w:left w:val="none" w:sz="0" w:space="0" w:color="auto"/>
        <w:bottom w:val="none" w:sz="0" w:space="0" w:color="auto"/>
        <w:right w:val="none" w:sz="0" w:space="0" w:color="auto"/>
      </w:divBdr>
    </w:div>
    <w:div w:id="1796095650">
      <w:bodyDiv w:val="1"/>
      <w:marLeft w:val="0"/>
      <w:marRight w:val="0"/>
      <w:marTop w:val="0"/>
      <w:marBottom w:val="0"/>
      <w:divBdr>
        <w:top w:val="none" w:sz="0" w:space="0" w:color="auto"/>
        <w:left w:val="none" w:sz="0" w:space="0" w:color="auto"/>
        <w:bottom w:val="none" w:sz="0" w:space="0" w:color="auto"/>
        <w:right w:val="none" w:sz="0" w:space="0" w:color="auto"/>
      </w:divBdr>
    </w:div>
    <w:div w:id="1796217750">
      <w:bodyDiv w:val="1"/>
      <w:marLeft w:val="0"/>
      <w:marRight w:val="0"/>
      <w:marTop w:val="0"/>
      <w:marBottom w:val="0"/>
      <w:divBdr>
        <w:top w:val="none" w:sz="0" w:space="0" w:color="auto"/>
        <w:left w:val="none" w:sz="0" w:space="0" w:color="auto"/>
        <w:bottom w:val="none" w:sz="0" w:space="0" w:color="auto"/>
        <w:right w:val="none" w:sz="0" w:space="0" w:color="auto"/>
      </w:divBdr>
    </w:div>
    <w:div w:id="1796294526">
      <w:bodyDiv w:val="1"/>
      <w:marLeft w:val="0"/>
      <w:marRight w:val="0"/>
      <w:marTop w:val="0"/>
      <w:marBottom w:val="0"/>
      <w:divBdr>
        <w:top w:val="none" w:sz="0" w:space="0" w:color="auto"/>
        <w:left w:val="none" w:sz="0" w:space="0" w:color="auto"/>
        <w:bottom w:val="none" w:sz="0" w:space="0" w:color="auto"/>
        <w:right w:val="none" w:sz="0" w:space="0" w:color="auto"/>
      </w:divBdr>
    </w:div>
    <w:div w:id="1796368250">
      <w:bodyDiv w:val="1"/>
      <w:marLeft w:val="0"/>
      <w:marRight w:val="0"/>
      <w:marTop w:val="0"/>
      <w:marBottom w:val="0"/>
      <w:divBdr>
        <w:top w:val="none" w:sz="0" w:space="0" w:color="auto"/>
        <w:left w:val="none" w:sz="0" w:space="0" w:color="auto"/>
        <w:bottom w:val="none" w:sz="0" w:space="0" w:color="auto"/>
        <w:right w:val="none" w:sz="0" w:space="0" w:color="auto"/>
      </w:divBdr>
    </w:div>
    <w:div w:id="1796605080">
      <w:bodyDiv w:val="1"/>
      <w:marLeft w:val="0"/>
      <w:marRight w:val="0"/>
      <w:marTop w:val="0"/>
      <w:marBottom w:val="0"/>
      <w:divBdr>
        <w:top w:val="none" w:sz="0" w:space="0" w:color="auto"/>
        <w:left w:val="none" w:sz="0" w:space="0" w:color="auto"/>
        <w:bottom w:val="none" w:sz="0" w:space="0" w:color="auto"/>
        <w:right w:val="none" w:sz="0" w:space="0" w:color="auto"/>
      </w:divBdr>
    </w:div>
    <w:div w:id="1796678822">
      <w:bodyDiv w:val="1"/>
      <w:marLeft w:val="0"/>
      <w:marRight w:val="0"/>
      <w:marTop w:val="0"/>
      <w:marBottom w:val="0"/>
      <w:divBdr>
        <w:top w:val="none" w:sz="0" w:space="0" w:color="auto"/>
        <w:left w:val="none" w:sz="0" w:space="0" w:color="auto"/>
        <w:bottom w:val="none" w:sz="0" w:space="0" w:color="auto"/>
        <w:right w:val="none" w:sz="0" w:space="0" w:color="auto"/>
      </w:divBdr>
    </w:div>
    <w:div w:id="1796679159">
      <w:bodyDiv w:val="1"/>
      <w:marLeft w:val="0"/>
      <w:marRight w:val="0"/>
      <w:marTop w:val="0"/>
      <w:marBottom w:val="0"/>
      <w:divBdr>
        <w:top w:val="none" w:sz="0" w:space="0" w:color="auto"/>
        <w:left w:val="none" w:sz="0" w:space="0" w:color="auto"/>
        <w:bottom w:val="none" w:sz="0" w:space="0" w:color="auto"/>
        <w:right w:val="none" w:sz="0" w:space="0" w:color="auto"/>
      </w:divBdr>
    </w:div>
    <w:div w:id="1796873315">
      <w:bodyDiv w:val="1"/>
      <w:marLeft w:val="0"/>
      <w:marRight w:val="0"/>
      <w:marTop w:val="0"/>
      <w:marBottom w:val="0"/>
      <w:divBdr>
        <w:top w:val="none" w:sz="0" w:space="0" w:color="auto"/>
        <w:left w:val="none" w:sz="0" w:space="0" w:color="auto"/>
        <w:bottom w:val="none" w:sz="0" w:space="0" w:color="auto"/>
        <w:right w:val="none" w:sz="0" w:space="0" w:color="auto"/>
      </w:divBdr>
    </w:div>
    <w:div w:id="1797329405">
      <w:bodyDiv w:val="1"/>
      <w:marLeft w:val="0"/>
      <w:marRight w:val="0"/>
      <w:marTop w:val="0"/>
      <w:marBottom w:val="0"/>
      <w:divBdr>
        <w:top w:val="none" w:sz="0" w:space="0" w:color="auto"/>
        <w:left w:val="none" w:sz="0" w:space="0" w:color="auto"/>
        <w:bottom w:val="none" w:sz="0" w:space="0" w:color="auto"/>
        <w:right w:val="none" w:sz="0" w:space="0" w:color="auto"/>
      </w:divBdr>
    </w:div>
    <w:div w:id="1797485566">
      <w:bodyDiv w:val="1"/>
      <w:marLeft w:val="0"/>
      <w:marRight w:val="0"/>
      <w:marTop w:val="0"/>
      <w:marBottom w:val="0"/>
      <w:divBdr>
        <w:top w:val="none" w:sz="0" w:space="0" w:color="auto"/>
        <w:left w:val="none" w:sz="0" w:space="0" w:color="auto"/>
        <w:bottom w:val="none" w:sz="0" w:space="0" w:color="auto"/>
        <w:right w:val="none" w:sz="0" w:space="0" w:color="auto"/>
      </w:divBdr>
    </w:div>
    <w:div w:id="1797601803">
      <w:bodyDiv w:val="1"/>
      <w:marLeft w:val="0"/>
      <w:marRight w:val="0"/>
      <w:marTop w:val="0"/>
      <w:marBottom w:val="0"/>
      <w:divBdr>
        <w:top w:val="none" w:sz="0" w:space="0" w:color="auto"/>
        <w:left w:val="none" w:sz="0" w:space="0" w:color="auto"/>
        <w:bottom w:val="none" w:sz="0" w:space="0" w:color="auto"/>
        <w:right w:val="none" w:sz="0" w:space="0" w:color="auto"/>
      </w:divBdr>
    </w:div>
    <w:div w:id="1798137406">
      <w:bodyDiv w:val="1"/>
      <w:marLeft w:val="0"/>
      <w:marRight w:val="0"/>
      <w:marTop w:val="0"/>
      <w:marBottom w:val="0"/>
      <w:divBdr>
        <w:top w:val="none" w:sz="0" w:space="0" w:color="auto"/>
        <w:left w:val="none" w:sz="0" w:space="0" w:color="auto"/>
        <w:bottom w:val="none" w:sz="0" w:space="0" w:color="auto"/>
        <w:right w:val="none" w:sz="0" w:space="0" w:color="auto"/>
      </w:divBdr>
    </w:div>
    <w:div w:id="1798718151">
      <w:bodyDiv w:val="1"/>
      <w:marLeft w:val="0"/>
      <w:marRight w:val="0"/>
      <w:marTop w:val="0"/>
      <w:marBottom w:val="0"/>
      <w:divBdr>
        <w:top w:val="none" w:sz="0" w:space="0" w:color="auto"/>
        <w:left w:val="none" w:sz="0" w:space="0" w:color="auto"/>
        <w:bottom w:val="none" w:sz="0" w:space="0" w:color="auto"/>
        <w:right w:val="none" w:sz="0" w:space="0" w:color="auto"/>
      </w:divBdr>
    </w:div>
    <w:div w:id="1799225837">
      <w:bodyDiv w:val="1"/>
      <w:marLeft w:val="0"/>
      <w:marRight w:val="0"/>
      <w:marTop w:val="0"/>
      <w:marBottom w:val="0"/>
      <w:divBdr>
        <w:top w:val="none" w:sz="0" w:space="0" w:color="auto"/>
        <w:left w:val="none" w:sz="0" w:space="0" w:color="auto"/>
        <w:bottom w:val="none" w:sz="0" w:space="0" w:color="auto"/>
        <w:right w:val="none" w:sz="0" w:space="0" w:color="auto"/>
      </w:divBdr>
    </w:div>
    <w:div w:id="1799447877">
      <w:bodyDiv w:val="1"/>
      <w:marLeft w:val="0"/>
      <w:marRight w:val="0"/>
      <w:marTop w:val="0"/>
      <w:marBottom w:val="0"/>
      <w:divBdr>
        <w:top w:val="none" w:sz="0" w:space="0" w:color="auto"/>
        <w:left w:val="none" w:sz="0" w:space="0" w:color="auto"/>
        <w:bottom w:val="none" w:sz="0" w:space="0" w:color="auto"/>
        <w:right w:val="none" w:sz="0" w:space="0" w:color="auto"/>
      </w:divBdr>
    </w:div>
    <w:div w:id="1800369299">
      <w:bodyDiv w:val="1"/>
      <w:marLeft w:val="0"/>
      <w:marRight w:val="0"/>
      <w:marTop w:val="0"/>
      <w:marBottom w:val="0"/>
      <w:divBdr>
        <w:top w:val="none" w:sz="0" w:space="0" w:color="auto"/>
        <w:left w:val="none" w:sz="0" w:space="0" w:color="auto"/>
        <w:bottom w:val="none" w:sz="0" w:space="0" w:color="auto"/>
        <w:right w:val="none" w:sz="0" w:space="0" w:color="auto"/>
      </w:divBdr>
    </w:div>
    <w:div w:id="1800492279">
      <w:bodyDiv w:val="1"/>
      <w:marLeft w:val="0"/>
      <w:marRight w:val="0"/>
      <w:marTop w:val="0"/>
      <w:marBottom w:val="0"/>
      <w:divBdr>
        <w:top w:val="none" w:sz="0" w:space="0" w:color="auto"/>
        <w:left w:val="none" w:sz="0" w:space="0" w:color="auto"/>
        <w:bottom w:val="none" w:sz="0" w:space="0" w:color="auto"/>
        <w:right w:val="none" w:sz="0" w:space="0" w:color="auto"/>
      </w:divBdr>
    </w:div>
    <w:div w:id="1801148498">
      <w:bodyDiv w:val="1"/>
      <w:marLeft w:val="0"/>
      <w:marRight w:val="0"/>
      <w:marTop w:val="0"/>
      <w:marBottom w:val="0"/>
      <w:divBdr>
        <w:top w:val="none" w:sz="0" w:space="0" w:color="auto"/>
        <w:left w:val="none" w:sz="0" w:space="0" w:color="auto"/>
        <w:bottom w:val="none" w:sz="0" w:space="0" w:color="auto"/>
        <w:right w:val="none" w:sz="0" w:space="0" w:color="auto"/>
      </w:divBdr>
    </w:div>
    <w:div w:id="1802067328">
      <w:bodyDiv w:val="1"/>
      <w:marLeft w:val="0"/>
      <w:marRight w:val="0"/>
      <w:marTop w:val="0"/>
      <w:marBottom w:val="0"/>
      <w:divBdr>
        <w:top w:val="none" w:sz="0" w:space="0" w:color="auto"/>
        <w:left w:val="none" w:sz="0" w:space="0" w:color="auto"/>
        <w:bottom w:val="none" w:sz="0" w:space="0" w:color="auto"/>
        <w:right w:val="none" w:sz="0" w:space="0" w:color="auto"/>
      </w:divBdr>
    </w:div>
    <w:div w:id="1802338079">
      <w:bodyDiv w:val="1"/>
      <w:marLeft w:val="0"/>
      <w:marRight w:val="0"/>
      <w:marTop w:val="0"/>
      <w:marBottom w:val="0"/>
      <w:divBdr>
        <w:top w:val="none" w:sz="0" w:space="0" w:color="auto"/>
        <w:left w:val="none" w:sz="0" w:space="0" w:color="auto"/>
        <w:bottom w:val="none" w:sz="0" w:space="0" w:color="auto"/>
        <w:right w:val="none" w:sz="0" w:space="0" w:color="auto"/>
      </w:divBdr>
    </w:div>
    <w:div w:id="1802726622">
      <w:bodyDiv w:val="1"/>
      <w:marLeft w:val="0"/>
      <w:marRight w:val="0"/>
      <w:marTop w:val="0"/>
      <w:marBottom w:val="0"/>
      <w:divBdr>
        <w:top w:val="none" w:sz="0" w:space="0" w:color="auto"/>
        <w:left w:val="none" w:sz="0" w:space="0" w:color="auto"/>
        <w:bottom w:val="none" w:sz="0" w:space="0" w:color="auto"/>
        <w:right w:val="none" w:sz="0" w:space="0" w:color="auto"/>
      </w:divBdr>
    </w:div>
    <w:div w:id="1802848121">
      <w:bodyDiv w:val="1"/>
      <w:marLeft w:val="0"/>
      <w:marRight w:val="0"/>
      <w:marTop w:val="0"/>
      <w:marBottom w:val="0"/>
      <w:divBdr>
        <w:top w:val="none" w:sz="0" w:space="0" w:color="auto"/>
        <w:left w:val="none" w:sz="0" w:space="0" w:color="auto"/>
        <w:bottom w:val="none" w:sz="0" w:space="0" w:color="auto"/>
        <w:right w:val="none" w:sz="0" w:space="0" w:color="auto"/>
      </w:divBdr>
    </w:div>
    <w:div w:id="1802915274">
      <w:bodyDiv w:val="1"/>
      <w:marLeft w:val="0"/>
      <w:marRight w:val="0"/>
      <w:marTop w:val="0"/>
      <w:marBottom w:val="0"/>
      <w:divBdr>
        <w:top w:val="none" w:sz="0" w:space="0" w:color="auto"/>
        <w:left w:val="none" w:sz="0" w:space="0" w:color="auto"/>
        <w:bottom w:val="none" w:sz="0" w:space="0" w:color="auto"/>
        <w:right w:val="none" w:sz="0" w:space="0" w:color="auto"/>
      </w:divBdr>
    </w:div>
    <w:div w:id="1802918763">
      <w:bodyDiv w:val="1"/>
      <w:marLeft w:val="0"/>
      <w:marRight w:val="0"/>
      <w:marTop w:val="0"/>
      <w:marBottom w:val="0"/>
      <w:divBdr>
        <w:top w:val="none" w:sz="0" w:space="0" w:color="auto"/>
        <w:left w:val="none" w:sz="0" w:space="0" w:color="auto"/>
        <w:bottom w:val="none" w:sz="0" w:space="0" w:color="auto"/>
        <w:right w:val="none" w:sz="0" w:space="0" w:color="auto"/>
      </w:divBdr>
    </w:div>
    <w:div w:id="1803108340">
      <w:bodyDiv w:val="1"/>
      <w:marLeft w:val="0"/>
      <w:marRight w:val="0"/>
      <w:marTop w:val="0"/>
      <w:marBottom w:val="0"/>
      <w:divBdr>
        <w:top w:val="none" w:sz="0" w:space="0" w:color="auto"/>
        <w:left w:val="none" w:sz="0" w:space="0" w:color="auto"/>
        <w:bottom w:val="none" w:sz="0" w:space="0" w:color="auto"/>
        <w:right w:val="none" w:sz="0" w:space="0" w:color="auto"/>
      </w:divBdr>
    </w:div>
    <w:div w:id="1803185947">
      <w:bodyDiv w:val="1"/>
      <w:marLeft w:val="0"/>
      <w:marRight w:val="0"/>
      <w:marTop w:val="0"/>
      <w:marBottom w:val="0"/>
      <w:divBdr>
        <w:top w:val="none" w:sz="0" w:space="0" w:color="auto"/>
        <w:left w:val="none" w:sz="0" w:space="0" w:color="auto"/>
        <w:bottom w:val="none" w:sz="0" w:space="0" w:color="auto"/>
        <w:right w:val="none" w:sz="0" w:space="0" w:color="auto"/>
      </w:divBdr>
    </w:div>
    <w:div w:id="1803378219">
      <w:bodyDiv w:val="1"/>
      <w:marLeft w:val="0"/>
      <w:marRight w:val="0"/>
      <w:marTop w:val="0"/>
      <w:marBottom w:val="0"/>
      <w:divBdr>
        <w:top w:val="none" w:sz="0" w:space="0" w:color="auto"/>
        <w:left w:val="none" w:sz="0" w:space="0" w:color="auto"/>
        <w:bottom w:val="none" w:sz="0" w:space="0" w:color="auto"/>
        <w:right w:val="none" w:sz="0" w:space="0" w:color="auto"/>
      </w:divBdr>
    </w:div>
    <w:div w:id="1803843072">
      <w:bodyDiv w:val="1"/>
      <w:marLeft w:val="0"/>
      <w:marRight w:val="0"/>
      <w:marTop w:val="0"/>
      <w:marBottom w:val="0"/>
      <w:divBdr>
        <w:top w:val="none" w:sz="0" w:space="0" w:color="auto"/>
        <w:left w:val="none" w:sz="0" w:space="0" w:color="auto"/>
        <w:bottom w:val="none" w:sz="0" w:space="0" w:color="auto"/>
        <w:right w:val="none" w:sz="0" w:space="0" w:color="auto"/>
      </w:divBdr>
    </w:div>
    <w:div w:id="1804805494">
      <w:bodyDiv w:val="1"/>
      <w:marLeft w:val="0"/>
      <w:marRight w:val="0"/>
      <w:marTop w:val="0"/>
      <w:marBottom w:val="0"/>
      <w:divBdr>
        <w:top w:val="none" w:sz="0" w:space="0" w:color="auto"/>
        <w:left w:val="none" w:sz="0" w:space="0" w:color="auto"/>
        <w:bottom w:val="none" w:sz="0" w:space="0" w:color="auto"/>
        <w:right w:val="none" w:sz="0" w:space="0" w:color="auto"/>
      </w:divBdr>
    </w:div>
    <w:div w:id="1805268851">
      <w:bodyDiv w:val="1"/>
      <w:marLeft w:val="0"/>
      <w:marRight w:val="0"/>
      <w:marTop w:val="0"/>
      <w:marBottom w:val="0"/>
      <w:divBdr>
        <w:top w:val="none" w:sz="0" w:space="0" w:color="auto"/>
        <w:left w:val="none" w:sz="0" w:space="0" w:color="auto"/>
        <w:bottom w:val="none" w:sz="0" w:space="0" w:color="auto"/>
        <w:right w:val="none" w:sz="0" w:space="0" w:color="auto"/>
      </w:divBdr>
    </w:div>
    <w:div w:id="1806045435">
      <w:bodyDiv w:val="1"/>
      <w:marLeft w:val="0"/>
      <w:marRight w:val="0"/>
      <w:marTop w:val="0"/>
      <w:marBottom w:val="0"/>
      <w:divBdr>
        <w:top w:val="none" w:sz="0" w:space="0" w:color="auto"/>
        <w:left w:val="none" w:sz="0" w:space="0" w:color="auto"/>
        <w:bottom w:val="none" w:sz="0" w:space="0" w:color="auto"/>
        <w:right w:val="none" w:sz="0" w:space="0" w:color="auto"/>
      </w:divBdr>
    </w:div>
    <w:div w:id="1806240330">
      <w:bodyDiv w:val="1"/>
      <w:marLeft w:val="0"/>
      <w:marRight w:val="0"/>
      <w:marTop w:val="0"/>
      <w:marBottom w:val="0"/>
      <w:divBdr>
        <w:top w:val="none" w:sz="0" w:space="0" w:color="auto"/>
        <w:left w:val="none" w:sz="0" w:space="0" w:color="auto"/>
        <w:bottom w:val="none" w:sz="0" w:space="0" w:color="auto"/>
        <w:right w:val="none" w:sz="0" w:space="0" w:color="auto"/>
      </w:divBdr>
    </w:div>
    <w:div w:id="1806464414">
      <w:bodyDiv w:val="1"/>
      <w:marLeft w:val="0"/>
      <w:marRight w:val="0"/>
      <w:marTop w:val="0"/>
      <w:marBottom w:val="0"/>
      <w:divBdr>
        <w:top w:val="none" w:sz="0" w:space="0" w:color="auto"/>
        <w:left w:val="none" w:sz="0" w:space="0" w:color="auto"/>
        <w:bottom w:val="none" w:sz="0" w:space="0" w:color="auto"/>
        <w:right w:val="none" w:sz="0" w:space="0" w:color="auto"/>
      </w:divBdr>
    </w:div>
    <w:div w:id="1806508610">
      <w:bodyDiv w:val="1"/>
      <w:marLeft w:val="0"/>
      <w:marRight w:val="0"/>
      <w:marTop w:val="0"/>
      <w:marBottom w:val="0"/>
      <w:divBdr>
        <w:top w:val="none" w:sz="0" w:space="0" w:color="auto"/>
        <w:left w:val="none" w:sz="0" w:space="0" w:color="auto"/>
        <w:bottom w:val="none" w:sz="0" w:space="0" w:color="auto"/>
        <w:right w:val="none" w:sz="0" w:space="0" w:color="auto"/>
      </w:divBdr>
    </w:div>
    <w:div w:id="1806577592">
      <w:bodyDiv w:val="1"/>
      <w:marLeft w:val="0"/>
      <w:marRight w:val="0"/>
      <w:marTop w:val="0"/>
      <w:marBottom w:val="0"/>
      <w:divBdr>
        <w:top w:val="none" w:sz="0" w:space="0" w:color="auto"/>
        <w:left w:val="none" w:sz="0" w:space="0" w:color="auto"/>
        <w:bottom w:val="none" w:sz="0" w:space="0" w:color="auto"/>
        <w:right w:val="none" w:sz="0" w:space="0" w:color="auto"/>
      </w:divBdr>
    </w:div>
    <w:div w:id="1806655194">
      <w:bodyDiv w:val="1"/>
      <w:marLeft w:val="0"/>
      <w:marRight w:val="0"/>
      <w:marTop w:val="0"/>
      <w:marBottom w:val="0"/>
      <w:divBdr>
        <w:top w:val="none" w:sz="0" w:space="0" w:color="auto"/>
        <w:left w:val="none" w:sz="0" w:space="0" w:color="auto"/>
        <w:bottom w:val="none" w:sz="0" w:space="0" w:color="auto"/>
        <w:right w:val="none" w:sz="0" w:space="0" w:color="auto"/>
      </w:divBdr>
    </w:div>
    <w:div w:id="1806696995">
      <w:bodyDiv w:val="1"/>
      <w:marLeft w:val="0"/>
      <w:marRight w:val="0"/>
      <w:marTop w:val="0"/>
      <w:marBottom w:val="0"/>
      <w:divBdr>
        <w:top w:val="none" w:sz="0" w:space="0" w:color="auto"/>
        <w:left w:val="none" w:sz="0" w:space="0" w:color="auto"/>
        <w:bottom w:val="none" w:sz="0" w:space="0" w:color="auto"/>
        <w:right w:val="none" w:sz="0" w:space="0" w:color="auto"/>
      </w:divBdr>
    </w:div>
    <w:div w:id="1807233741">
      <w:bodyDiv w:val="1"/>
      <w:marLeft w:val="0"/>
      <w:marRight w:val="0"/>
      <w:marTop w:val="0"/>
      <w:marBottom w:val="0"/>
      <w:divBdr>
        <w:top w:val="none" w:sz="0" w:space="0" w:color="auto"/>
        <w:left w:val="none" w:sz="0" w:space="0" w:color="auto"/>
        <w:bottom w:val="none" w:sz="0" w:space="0" w:color="auto"/>
        <w:right w:val="none" w:sz="0" w:space="0" w:color="auto"/>
      </w:divBdr>
    </w:div>
    <w:div w:id="1807239134">
      <w:bodyDiv w:val="1"/>
      <w:marLeft w:val="0"/>
      <w:marRight w:val="0"/>
      <w:marTop w:val="0"/>
      <w:marBottom w:val="0"/>
      <w:divBdr>
        <w:top w:val="none" w:sz="0" w:space="0" w:color="auto"/>
        <w:left w:val="none" w:sz="0" w:space="0" w:color="auto"/>
        <w:bottom w:val="none" w:sz="0" w:space="0" w:color="auto"/>
        <w:right w:val="none" w:sz="0" w:space="0" w:color="auto"/>
      </w:divBdr>
    </w:div>
    <w:div w:id="1807315099">
      <w:bodyDiv w:val="1"/>
      <w:marLeft w:val="0"/>
      <w:marRight w:val="0"/>
      <w:marTop w:val="0"/>
      <w:marBottom w:val="0"/>
      <w:divBdr>
        <w:top w:val="none" w:sz="0" w:space="0" w:color="auto"/>
        <w:left w:val="none" w:sz="0" w:space="0" w:color="auto"/>
        <w:bottom w:val="none" w:sz="0" w:space="0" w:color="auto"/>
        <w:right w:val="none" w:sz="0" w:space="0" w:color="auto"/>
      </w:divBdr>
    </w:div>
    <w:div w:id="1807357100">
      <w:bodyDiv w:val="1"/>
      <w:marLeft w:val="0"/>
      <w:marRight w:val="0"/>
      <w:marTop w:val="0"/>
      <w:marBottom w:val="0"/>
      <w:divBdr>
        <w:top w:val="none" w:sz="0" w:space="0" w:color="auto"/>
        <w:left w:val="none" w:sz="0" w:space="0" w:color="auto"/>
        <w:bottom w:val="none" w:sz="0" w:space="0" w:color="auto"/>
        <w:right w:val="none" w:sz="0" w:space="0" w:color="auto"/>
      </w:divBdr>
    </w:div>
    <w:div w:id="1807358642">
      <w:bodyDiv w:val="1"/>
      <w:marLeft w:val="0"/>
      <w:marRight w:val="0"/>
      <w:marTop w:val="0"/>
      <w:marBottom w:val="0"/>
      <w:divBdr>
        <w:top w:val="none" w:sz="0" w:space="0" w:color="auto"/>
        <w:left w:val="none" w:sz="0" w:space="0" w:color="auto"/>
        <w:bottom w:val="none" w:sz="0" w:space="0" w:color="auto"/>
        <w:right w:val="none" w:sz="0" w:space="0" w:color="auto"/>
      </w:divBdr>
    </w:div>
    <w:div w:id="1807425617">
      <w:bodyDiv w:val="1"/>
      <w:marLeft w:val="0"/>
      <w:marRight w:val="0"/>
      <w:marTop w:val="0"/>
      <w:marBottom w:val="0"/>
      <w:divBdr>
        <w:top w:val="none" w:sz="0" w:space="0" w:color="auto"/>
        <w:left w:val="none" w:sz="0" w:space="0" w:color="auto"/>
        <w:bottom w:val="none" w:sz="0" w:space="0" w:color="auto"/>
        <w:right w:val="none" w:sz="0" w:space="0" w:color="auto"/>
      </w:divBdr>
    </w:div>
    <w:div w:id="1808208053">
      <w:bodyDiv w:val="1"/>
      <w:marLeft w:val="0"/>
      <w:marRight w:val="0"/>
      <w:marTop w:val="0"/>
      <w:marBottom w:val="0"/>
      <w:divBdr>
        <w:top w:val="none" w:sz="0" w:space="0" w:color="auto"/>
        <w:left w:val="none" w:sz="0" w:space="0" w:color="auto"/>
        <w:bottom w:val="none" w:sz="0" w:space="0" w:color="auto"/>
        <w:right w:val="none" w:sz="0" w:space="0" w:color="auto"/>
      </w:divBdr>
    </w:div>
    <w:div w:id="1808622498">
      <w:bodyDiv w:val="1"/>
      <w:marLeft w:val="0"/>
      <w:marRight w:val="0"/>
      <w:marTop w:val="0"/>
      <w:marBottom w:val="0"/>
      <w:divBdr>
        <w:top w:val="none" w:sz="0" w:space="0" w:color="auto"/>
        <w:left w:val="none" w:sz="0" w:space="0" w:color="auto"/>
        <w:bottom w:val="none" w:sz="0" w:space="0" w:color="auto"/>
        <w:right w:val="none" w:sz="0" w:space="0" w:color="auto"/>
      </w:divBdr>
    </w:div>
    <w:div w:id="1809318873">
      <w:bodyDiv w:val="1"/>
      <w:marLeft w:val="0"/>
      <w:marRight w:val="0"/>
      <w:marTop w:val="0"/>
      <w:marBottom w:val="0"/>
      <w:divBdr>
        <w:top w:val="none" w:sz="0" w:space="0" w:color="auto"/>
        <w:left w:val="none" w:sz="0" w:space="0" w:color="auto"/>
        <w:bottom w:val="none" w:sz="0" w:space="0" w:color="auto"/>
        <w:right w:val="none" w:sz="0" w:space="0" w:color="auto"/>
      </w:divBdr>
    </w:div>
    <w:div w:id="1809542474">
      <w:bodyDiv w:val="1"/>
      <w:marLeft w:val="0"/>
      <w:marRight w:val="0"/>
      <w:marTop w:val="0"/>
      <w:marBottom w:val="0"/>
      <w:divBdr>
        <w:top w:val="none" w:sz="0" w:space="0" w:color="auto"/>
        <w:left w:val="none" w:sz="0" w:space="0" w:color="auto"/>
        <w:bottom w:val="none" w:sz="0" w:space="0" w:color="auto"/>
        <w:right w:val="none" w:sz="0" w:space="0" w:color="auto"/>
      </w:divBdr>
    </w:div>
    <w:div w:id="1809781453">
      <w:bodyDiv w:val="1"/>
      <w:marLeft w:val="0"/>
      <w:marRight w:val="0"/>
      <w:marTop w:val="0"/>
      <w:marBottom w:val="0"/>
      <w:divBdr>
        <w:top w:val="none" w:sz="0" w:space="0" w:color="auto"/>
        <w:left w:val="none" w:sz="0" w:space="0" w:color="auto"/>
        <w:bottom w:val="none" w:sz="0" w:space="0" w:color="auto"/>
        <w:right w:val="none" w:sz="0" w:space="0" w:color="auto"/>
      </w:divBdr>
    </w:div>
    <w:div w:id="1810780474">
      <w:bodyDiv w:val="1"/>
      <w:marLeft w:val="0"/>
      <w:marRight w:val="0"/>
      <w:marTop w:val="0"/>
      <w:marBottom w:val="0"/>
      <w:divBdr>
        <w:top w:val="none" w:sz="0" w:space="0" w:color="auto"/>
        <w:left w:val="none" w:sz="0" w:space="0" w:color="auto"/>
        <w:bottom w:val="none" w:sz="0" w:space="0" w:color="auto"/>
        <w:right w:val="none" w:sz="0" w:space="0" w:color="auto"/>
      </w:divBdr>
    </w:div>
    <w:div w:id="1811243159">
      <w:bodyDiv w:val="1"/>
      <w:marLeft w:val="0"/>
      <w:marRight w:val="0"/>
      <w:marTop w:val="0"/>
      <w:marBottom w:val="0"/>
      <w:divBdr>
        <w:top w:val="none" w:sz="0" w:space="0" w:color="auto"/>
        <w:left w:val="none" w:sz="0" w:space="0" w:color="auto"/>
        <w:bottom w:val="none" w:sz="0" w:space="0" w:color="auto"/>
        <w:right w:val="none" w:sz="0" w:space="0" w:color="auto"/>
      </w:divBdr>
    </w:div>
    <w:div w:id="1811626281">
      <w:bodyDiv w:val="1"/>
      <w:marLeft w:val="0"/>
      <w:marRight w:val="0"/>
      <w:marTop w:val="0"/>
      <w:marBottom w:val="0"/>
      <w:divBdr>
        <w:top w:val="none" w:sz="0" w:space="0" w:color="auto"/>
        <w:left w:val="none" w:sz="0" w:space="0" w:color="auto"/>
        <w:bottom w:val="none" w:sz="0" w:space="0" w:color="auto"/>
        <w:right w:val="none" w:sz="0" w:space="0" w:color="auto"/>
      </w:divBdr>
    </w:div>
    <w:div w:id="1811747269">
      <w:bodyDiv w:val="1"/>
      <w:marLeft w:val="0"/>
      <w:marRight w:val="0"/>
      <w:marTop w:val="0"/>
      <w:marBottom w:val="0"/>
      <w:divBdr>
        <w:top w:val="none" w:sz="0" w:space="0" w:color="auto"/>
        <w:left w:val="none" w:sz="0" w:space="0" w:color="auto"/>
        <w:bottom w:val="none" w:sz="0" w:space="0" w:color="auto"/>
        <w:right w:val="none" w:sz="0" w:space="0" w:color="auto"/>
      </w:divBdr>
    </w:div>
    <w:div w:id="1812361406">
      <w:bodyDiv w:val="1"/>
      <w:marLeft w:val="0"/>
      <w:marRight w:val="0"/>
      <w:marTop w:val="0"/>
      <w:marBottom w:val="0"/>
      <w:divBdr>
        <w:top w:val="none" w:sz="0" w:space="0" w:color="auto"/>
        <w:left w:val="none" w:sz="0" w:space="0" w:color="auto"/>
        <w:bottom w:val="none" w:sz="0" w:space="0" w:color="auto"/>
        <w:right w:val="none" w:sz="0" w:space="0" w:color="auto"/>
      </w:divBdr>
    </w:div>
    <w:div w:id="1812474836">
      <w:bodyDiv w:val="1"/>
      <w:marLeft w:val="0"/>
      <w:marRight w:val="0"/>
      <w:marTop w:val="0"/>
      <w:marBottom w:val="0"/>
      <w:divBdr>
        <w:top w:val="none" w:sz="0" w:space="0" w:color="auto"/>
        <w:left w:val="none" w:sz="0" w:space="0" w:color="auto"/>
        <w:bottom w:val="none" w:sz="0" w:space="0" w:color="auto"/>
        <w:right w:val="none" w:sz="0" w:space="0" w:color="auto"/>
      </w:divBdr>
    </w:div>
    <w:div w:id="1812476174">
      <w:bodyDiv w:val="1"/>
      <w:marLeft w:val="0"/>
      <w:marRight w:val="0"/>
      <w:marTop w:val="0"/>
      <w:marBottom w:val="0"/>
      <w:divBdr>
        <w:top w:val="none" w:sz="0" w:space="0" w:color="auto"/>
        <w:left w:val="none" w:sz="0" w:space="0" w:color="auto"/>
        <w:bottom w:val="none" w:sz="0" w:space="0" w:color="auto"/>
        <w:right w:val="none" w:sz="0" w:space="0" w:color="auto"/>
      </w:divBdr>
    </w:div>
    <w:div w:id="1812945165">
      <w:bodyDiv w:val="1"/>
      <w:marLeft w:val="0"/>
      <w:marRight w:val="0"/>
      <w:marTop w:val="0"/>
      <w:marBottom w:val="0"/>
      <w:divBdr>
        <w:top w:val="none" w:sz="0" w:space="0" w:color="auto"/>
        <w:left w:val="none" w:sz="0" w:space="0" w:color="auto"/>
        <w:bottom w:val="none" w:sz="0" w:space="0" w:color="auto"/>
        <w:right w:val="none" w:sz="0" w:space="0" w:color="auto"/>
      </w:divBdr>
    </w:div>
    <w:div w:id="1813015802">
      <w:bodyDiv w:val="1"/>
      <w:marLeft w:val="0"/>
      <w:marRight w:val="0"/>
      <w:marTop w:val="0"/>
      <w:marBottom w:val="0"/>
      <w:divBdr>
        <w:top w:val="none" w:sz="0" w:space="0" w:color="auto"/>
        <w:left w:val="none" w:sz="0" w:space="0" w:color="auto"/>
        <w:bottom w:val="none" w:sz="0" w:space="0" w:color="auto"/>
        <w:right w:val="none" w:sz="0" w:space="0" w:color="auto"/>
      </w:divBdr>
    </w:div>
    <w:div w:id="1813475616">
      <w:bodyDiv w:val="1"/>
      <w:marLeft w:val="0"/>
      <w:marRight w:val="0"/>
      <w:marTop w:val="0"/>
      <w:marBottom w:val="0"/>
      <w:divBdr>
        <w:top w:val="none" w:sz="0" w:space="0" w:color="auto"/>
        <w:left w:val="none" w:sz="0" w:space="0" w:color="auto"/>
        <w:bottom w:val="none" w:sz="0" w:space="0" w:color="auto"/>
        <w:right w:val="none" w:sz="0" w:space="0" w:color="auto"/>
      </w:divBdr>
    </w:div>
    <w:div w:id="1813523163">
      <w:bodyDiv w:val="1"/>
      <w:marLeft w:val="0"/>
      <w:marRight w:val="0"/>
      <w:marTop w:val="0"/>
      <w:marBottom w:val="0"/>
      <w:divBdr>
        <w:top w:val="none" w:sz="0" w:space="0" w:color="auto"/>
        <w:left w:val="none" w:sz="0" w:space="0" w:color="auto"/>
        <w:bottom w:val="none" w:sz="0" w:space="0" w:color="auto"/>
        <w:right w:val="none" w:sz="0" w:space="0" w:color="auto"/>
      </w:divBdr>
    </w:div>
    <w:div w:id="1813597629">
      <w:bodyDiv w:val="1"/>
      <w:marLeft w:val="0"/>
      <w:marRight w:val="0"/>
      <w:marTop w:val="0"/>
      <w:marBottom w:val="0"/>
      <w:divBdr>
        <w:top w:val="none" w:sz="0" w:space="0" w:color="auto"/>
        <w:left w:val="none" w:sz="0" w:space="0" w:color="auto"/>
        <w:bottom w:val="none" w:sz="0" w:space="0" w:color="auto"/>
        <w:right w:val="none" w:sz="0" w:space="0" w:color="auto"/>
      </w:divBdr>
    </w:div>
    <w:div w:id="1814521566">
      <w:bodyDiv w:val="1"/>
      <w:marLeft w:val="0"/>
      <w:marRight w:val="0"/>
      <w:marTop w:val="0"/>
      <w:marBottom w:val="0"/>
      <w:divBdr>
        <w:top w:val="none" w:sz="0" w:space="0" w:color="auto"/>
        <w:left w:val="none" w:sz="0" w:space="0" w:color="auto"/>
        <w:bottom w:val="none" w:sz="0" w:space="0" w:color="auto"/>
        <w:right w:val="none" w:sz="0" w:space="0" w:color="auto"/>
      </w:divBdr>
    </w:div>
    <w:div w:id="1814524573">
      <w:bodyDiv w:val="1"/>
      <w:marLeft w:val="0"/>
      <w:marRight w:val="0"/>
      <w:marTop w:val="0"/>
      <w:marBottom w:val="0"/>
      <w:divBdr>
        <w:top w:val="none" w:sz="0" w:space="0" w:color="auto"/>
        <w:left w:val="none" w:sz="0" w:space="0" w:color="auto"/>
        <w:bottom w:val="none" w:sz="0" w:space="0" w:color="auto"/>
        <w:right w:val="none" w:sz="0" w:space="0" w:color="auto"/>
      </w:divBdr>
    </w:div>
    <w:div w:id="1814564307">
      <w:bodyDiv w:val="1"/>
      <w:marLeft w:val="0"/>
      <w:marRight w:val="0"/>
      <w:marTop w:val="0"/>
      <w:marBottom w:val="0"/>
      <w:divBdr>
        <w:top w:val="none" w:sz="0" w:space="0" w:color="auto"/>
        <w:left w:val="none" w:sz="0" w:space="0" w:color="auto"/>
        <w:bottom w:val="none" w:sz="0" w:space="0" w:color="auto"/>
        <w:right w:val="none" w:sz="0" w:space="0" w:color="auto"/>
      </w:divBdr>
    </w:div>
    <w:div w:id="1815216642">
      <w:bodyDiv w:val="1"/>
      <w:marLeft w:val="0"/>
      <w:marRight w:val="0"/>
      <w:marTop w:val="0"/>
      <w:marBottom w:val="0"/>
      <w:divBdr>
        <w:top w:val="none" w:sz="0" w:space="0" w:color="auto"/>
        <w:left w:val="none" w:sz="0" w:space="0" w:color="auto"/>
        <w:bottom w:val="none" w:sz="0" w:space="0" w:color="auto"/>
        <w:right w:val="none" w:sz="0" w:space="0" w:color="auto"/>
      </w:divBdr>
    </w:div>
    <w:div w:id="1815441278">
      <w:bodyDiv w:val="1"/>
      <w:marLeft w:val="0"/>
      <w:marRight w:val="0"/>
      <w:marTop w:val="0"/>
      <w:marBottom w:val="0"/>
      <w:divBdr>
        <w:top w:val="none" w:sz="0" w:space="0" w:color="auto"/>
        <w:left w:val="none" w:sz="0" w:space="0" w:color="auto"/>
        <w:bottom w:val="none" w:sz="0" w:space="0" w:color="auto"/>
        <w:right w:val="none" w:sz="0" w:space="0" w:color="auto"/>
      </w:divBdr>
    </w:div>
    <w:div w:id="1815681279">
      <w:bodyDiv w:val="1"/>
      <w:marLeft w:val="0"/>
      <w:marRight w:val="0"/>
      <w:marTop w:val="0"/>
      <w:marBottom w:val="0"/>
      <w:divBdr>
        <w:top w:val="none" w:sz="0" w:space="0" w:color="auto"/>
        <w:left w:val="none" w:sz="0" w:space="0" w:color="auto"/>
        <w:bottom w:val="none" w:sz="0" w:space="0" w:color="auto"/>
        <w:right w:val="none" w:sz="0" w:space="0" w:color="auto"/>
      </w:divBdr>
    </w:div>
    <w:div w:id="1815683836">
      <w:bodyDiv w:val="1"/>
      <w:marLeft w:val="0"/>
      <w:marRight w:val="0"/>
      <w:marTop w:val="0"/>
      <w:marBottom w:val="0"/>
      <w:divBdr>
        <w:top w:val="none" w:sz="0" w:space="0" w:color="auto"/>
        <w:left w:val="none" w:sz="0" w:space="0" w:color="auto"/>
        <w:bottom w:val="none" w:sz="0" w:space="0" w:color="auto"/>
        <w:right w:val="none" w:sz="0" w:space="0" w:color="auto"/>
      </w:divBdr>
    </w:div>
    <w:div w:id="1815946267">
      <w:bodyDiv w:val="1"/>
      <w:marLeft w:val="0"/>
      <w:marRight w:val="0"/>
      <w:marTop w:val="0"/>
      <w:marBottom w:val="0"/>
      <w:divBdr>
        <w:top w:val="none" w:sz="0" w:space="0" w:color="auto"/>
        <w:left w:val="none" w:sz="0" w:space="0" w:color="auto"/>
        <w:bottom w:val="none" w:sz="0" w:space="0" w:color="auto"/>
        <w:right w:val="none" w:sz="0" w:space="0" w:color="auto"/>
      </w:divBdr>
    </w:div>
    <w:div w:id="1816488301">
      <w:bodyDiv w:val="1"/>
      <w:marLeft w:val="0"/>
      <w:marRight w:val="0"/>
      <w:marTop w:val="0"/>
      <w:marBottom w:val="0"/>
      <w:divBdr>
        <w:top w:val="none" w:sz="0" w:space="0" w:color="auto"/>
        <w:left w:val="none" w:sz="0" w:space="0" w:color="auto"/>
        <w:bottom w:val="none" w:sz="0" w:space="0" w:color="auto"/>
        <w:right w:val="none" w:sz="0" w:space="0" w:color="auto"/>
      </w:divBdr>
    </w:div>
    <w:div w:id="1816753743">
      <w:bodyDiv w:val="1"/>
      <w:marLeft w:val="0"/>
      <w:marRight w:val="0"/>
      <w:marTop w:val="0"/>
      <w:marBottom w:val="0"/>
      <w:divBdr>
        <w:top w:val="none" w:sz="0" w:space="0" w:color="auto"/>
        <w:left w:val="none" w:sz="0" w:space="0" w:color="auto"/>
        <w:bottom w:val="none" w:sz="0" w:space="0" w:color="auto"/>
        <w:right w:val="none" w:sz="0" w:space="0" w:color="auto"/>
      </w:divBdr>
    </w:div>
    <w:div w:id="1816754851">
      <w:bodyDiv w:val="1"/>
      <w:marLeft w:val="0"/>
      <w:marRight w:val="0"/>
      <w:marTop w:val="0"/>
      <w:marBottom w:val="0"/>
      <w:divBdr>
        <w:top w:val="none" w:sz="0" w:space="0" w:color="auto"/>
        <w:left w:val="none" w:sz="0" w:space="0" w:color="auto"/>
        <w:bottom w:val="none" w:sz="0" w:space="0" w:color="auto"/>
        <w:right w:val="none" w:sz="0" w:space="0" w:color="auto"/>
      </w:divBdr>
    </w:div>
    <w:div w:id="1816949140">
      <w:bodyDiv w:val="1"/>
      <w:marLeft w:val="0"/>
      <w:marRight w:val="0"/>
      <w:marTop w:val="0"/>
      <w:marBottom w:val="0"/>
      <w:divBdr>
        <w:top w:val="none" w:sz="0" w:space="0" w:color="auto"/>
        <w:left w:val="none" w:sz="0" w:space="0" w:color="auto"/>
        <w:bottom w:val="none" w:sz="0" w:space="0" w:color="auto"/>
        <w:right w:val="none" w:sz="0" w:space="0" w:color="auto"/>
      </w:divBdr>
    </w:div>
    <w:div w:id="1817338949">
      <w:bodyDiv w:val="1"/>
      <w:marLeft w:val="0"/>
      <w:marRight w:val="0"/>
      <w:marTop w:val="0"/>
      <w:marBottom w:val="0"/>
      <w:divBdr>
        <w:top w:val="none" w:sz="0" w:space="0" w:color="auto"/>
        <w:left w:val="none" w:sz="0" w:space="0" w:color="auto"/>
        <w:bottom w:val="none" w:sz="0" w:space="0" w:color="auto"/>
        <w:right w:val="none" w:sz="0" w:space="0" w:color="auto"/>
      </w:divBdr>
    </w:div>
    <w:div w:id="1817529417">
      <w:bodyDiv w:val="1"/>
      <w:marLeft w:val="0"/>
      <w:marRight w:val="0"/>
      <w:marTop w:val="0"/>
      <w:marBottom w:val="0"/>
      <w:divBdr>
        <w:top w:val="none" w:sz="0" w:space="0" w:color="auto"/>
        <w:left w:val="none" w:sz="0" w:space="0" w:color="auto"/>
        <w:bottom w:val="none" w:sz="0" w:space="0" w:color="auto"/>
        <w:right w:val="none" w:sz="0" w:space="0" w:color="auto"/>
      </w:divBdr>
    </w:div>
    <w:div w:id="1817991140">
      <w:bodyDiv w:val="1"/>
      <w:marLeft w:val="0"/>
      <w:marRight w:val="0"/>
      <w:marTop w:val="0"/>
      <w:marBottom w:val="0"/>
      <w:divBdr>
        <w:top w:val="none" w:sz="0" w:space="0" w:color="auto"/>
        <w:left w:val="none" w:sz="0" w:space="0" w:color="auto"/>
        <w:bottom w:val="none" w:sz="0" w:space="0" w:color="auto"/>
        <w:right w:val="none" w:sz="0" w:space="0" w:color="auto"/>
      </w:divBdr>
    </w:div>
    <w:div w:id="1818454778">
      <w:bodyDiv w:val="1"/>
      <w:marLeft w:val="0"/>
      <w:marRight w:val="0"/>
      <w:marTop w:val="0"/>
      <w:marBottom w:val="0"/>
      <w:divBdr>
        <w:top w:val="none" w:sz="0" w:space="0" w:color="auto"/>
        <w:left w:val="none" w:sz="0" w:space="0" w:color="auto"/>
        <w:bottom w:val="none" w:sz="0" w:space="0" w:color="auto"/>
        <w:right w:val="none" w:sz="0" w:space="0" w:color="auto"/>
      </w:divBdr>
    </w:div>
    <w:div w:id="1818524736">
      <w:bodyDiv w:val="1"/>
      <w:marLeft w:val="0"/>
      <w:marRight w:val="0"/>
      <w:marTop w:val="0"/>
      <w:marBottom w:val="0"/>
      <w:divBdr>
        <w:top w:val="none" w:sz="0" w:space="0" w:color="auto"/>
        <w:left w:val="none" w:sz="0" w:space="0" w:color="auto"/>
        <w:bottom w:val="none" w:sz="0" w:space="0" w:color="auto"/>
        <w:right w:val="none" w:sz="0" w:space="0" w:color="auto"/>
      </w:divBdr>
    </w:div>
    <w:div w:id="1819573564">
      <w:bodyDiv w:val="1"/>
      <w:marLeft w:val="0"/>
      <w:marRight w:val="0"/>
      <w:marTop w:val="0"/>
      <w:marBottom w:val="0"/>
      <w:divBdr>
        <w:top w:val="none" w:sz="0" w:space="0" w:color="auto"/>
        <w:left w:val="none" w:sz="0" w:space="0" w:color="auto"/>
        <w:bottom w:val="none" w:sz="0" w:space="0" w:color="auto"/>
        <w:right w:val="none" w:sz="0" w:space="0" w:color="auto"/>
      </w:divBdr>
    </w:div>
    <w:div w:id="1819955518">
      <w:bodyDiv w:val="1"/>
      <w:marLeft w:val="0"/>
      <w:marRight w:val="0"/>
      <w:marTop w:val="0"/>
      <w:marBottom w:val="0"/>
      <w:divBdr>
        <w:top w:val="none" w:sz="0" w:space="0" w:color="auto"/>
        <w:left w:val="none" w:sz="0" w:space="0" w:color="auto"/>
        <w:bottom w:val="none" w:sz="0" w:space="0" w:color="auto"/>
        <w:right w:val="none" w:sz="0" w:space="0" w:color="auto"/>
      </w:divBdr>
    </w:div>
    <w:div w:id="1819957864">
      <w:bodyDiv w:val="1"/>
      <w:marLeft w:val="0"/>
      <w:marRight w:val="0"/>
      <w:marTop w:val="0"/>
      <w:marBottom w:val="0"/>
      <w:divBdr>
        <w:top w:val="none" w:sz="0" w:space="0" w:color="auto"/>
        <w:left w:val="none" w:sz="0" w:space="0" w:color="auto"/>
        <w:bottom w:val="none" w:sz="0" w:space="0" w:color="auto"/>
        <w:right w:val="none" w:sz="0" w:space="0" w:color="auto"/>
      </w:divBdr>
    </w:div>
    <w:div w:id="1820725429">
      <w:bodyDiv w:val="1"/>
      <w:marLeft w:val="0"/>
      <w:marRight w:val="0"/>
      <w:marTop w:val="0"/>
      <w:marBottom w:val="0"/>
      <w:divBdr>
        <w:top w:val="none" w:sz="0" w:space="0" w:color="auto"/>
        <w:left w:val="none" w:sz="0" w:space="0" w:color="auto"/>
        <w:bottom w:val="none" w:sz="0" w:space="0" w:color="auto"/>
        <w:right w:val="none" w:sz="0" w:space="0" w:color="auto"/>
      </w:divBdr>
    </w:div>
    <w:div w:id="1821262242">
      <w:bodyDiv w:val="1"/>
      <w:marLeft w:val="0"/>
      <w:marRight w:val="0"/>
      <w:marTop w:val="0"/>
      <w:marBottom w:val="0"/>
      <w:divBdr>
        <w:top w:val="none" w:sz="0" w:space="0" w:color="auto"/>
        <w:left w:val="none" w:sz="0" w:space="0" w:color="auto"/>
        <w:bottom w:val="none" w:sz="0" w:space="0" w:color="auto"/>
        <w:right w:val="none" w:sz="0" w:space="0" w:color="auto"/>
      </w:divBdr>
    </w:div>
    <w:div w:id="1821650655">
      <w:bodyDiv w:val="1"/>
      <w:marLeft w:val="0"/>
      <w:marRight w:val="0"/>
      <w:marTop w:val="0"/>
      <w:marBottom w:val="0"/>
      <w:divBdr>
        <w:top w:val="none" w:sz="0" w:space="0" w:color="auto"/>
        <w:left w:val="none" w:sz="0" w:space="0" w:color="auto"/>
        <w:bottom w:val="none" w:sz="0" w:space="0" w:color="auto"/>
        <w:right w:val="none" w:sz="0" w:space="0" w:color="auto"/>
      </w:divBdr>
    </w:div>
    <w:div w:id="1822380632">
      <w:bodyDiv w:val="1"/>
      <w:marLeft w:val="0"/>
      <w:marRight w:val="0"/>
      <w:marTop w:val="0"/>
      <w:marBottom w:val="0"/>
      <w:divBdr>
        <w:top w:val="none" w:sz="0" w:space="0" w:color="auto"/>
        <w:left w:val="none" w:sz="0" w:space="0" w:color="auto"/>
        <w:bottom w:val="none" w:sz="0" w:space="0" w:color="auto"/>
        <w:right w:val="none" w:sz="0" w:space="0" w:color="auto"/>
      </w:divBdr>
    </w:div>
    <w:div w:id="1822578574">
      <w:bodyDiv w:val="1"/>
      <w:marLeft w:val="0"/>
      <w:marRight w:val="0"/>
      <w:marTop w:val="0"/>
      <w:marBottom w:val="0"/>
      <w:divBdr>
        <w:top w:val="none" w:sz="0" w:space="0" w:color="auto"/>
        <w:left w:val="none" w:sz="0" w:space="0" w:color="auto"/>
        <w:bottom w:val="none" w:sz="0" w:space="0" w:color="auto"/>
        <w:right w:val="none" w:sz="0" w:space="0" w:color="auto"/>
      </w:divBdr>
    </w:div>
    <w:div w:id="1823159858">
      <w:bodyDiv w:val="1"/>
      <w:marLeft w:val="0"/>
      <w:marRight w:val="0"/>
      <w:marTop w:val="0"/>
      <w:marBottom w:val="0"/>
      <w:divBdr>
        <w:top w:val="none" w:sz="0" w:space="0" w:color="auto"/>
        <w:left w:val="none" w:sz="0" w:space="0" w:color="auto"/>
        <w:bottom w:val="none" w:sz="0" w:space="0" w:color="auto"/>
        <w:right w:val="none" w:sz="0" w:space="0" w:color="auto"/>
      </w:divBdr>
    </w:div>
    <w:div w:id="1823302817">
      <w:bodyDiv w:val="1"/>
      <w:marLeft w:val="0"/>
      <w:marRight w:val="0"/>
      <w:marTop w:val="0"/>
      <w:marBottom w:val="0"/>
      <w:divBdr>
        <w:top w:val="none" w:sz="0" w:space="0" w:color="auto"/>
        <w:left w:val="none" w:sz="0" w:space="0" w:color="auto"/>
        <w:bottom w:val="none" w:sz="0" w:space="0" w:color="auto"/>
        <w:right w:val="none" w:sz="0" w:space="0" w:color="auto"/>
      </w:divBdr>
    </w:div>
    <w:div w:id="1823420732">
      <w:bodyDiv w:val="1"/>
      <w:marLeft w:val="0"/>
      <w:marRight w:val="0"/>
      <w:marTop w:val="0"/>
      <w:marBottom w:val="0"/>
      <w:divBdr>
        <w:top w:val="none" w:sz="0" w:space="0" w:color="auto"/>
        <w:left w:val="none" w:sz="0" w:space="0" w:color="auto"/>
        <w:bottom w:val="none" w:sz="0" w:space="0" w:color="auto"/>
        <w:right w:val="none" w:sz="0" w:space="0" w:color="auto"/>
      </w:divBdr>
    </w:div>
    <w:div w:id="1823691785">
      <w:bodyDiv w:val="1"/>
      <w:marLeft w:val="0"/>
      <w:marRight w:val="0"/>
      <w:marTop w:val="0"/>
      <w:marBottom w:val="0"/>
      <w:divBdr>
        <w:top w:val="none" w:sz="0" w:space="0" w:color="auto"/>
        <w:left w:val="none" w:sz="0" w:space="0" w:color="auto"/>
        <w:bottom w:val="none" w:sz="0" w:space="0" w:color="auto"/>
        <w:right w:val="none" w:sz="0" w:space="0" w:color="auto"/>
      </w:divBdr>
    </w:div>
    <w:div w:id="1823964541">
      <w:bodyDiv w:val="1"/>
      <w:marLeft w:val="0"/>
      <w:marRight w:val="0"/>
      <w:marTop w:val="0"/>
      <w:marBottom w:val="0"/>
      <w:divBdr>
        <w:top w:val="none" w:sz="0" w:space="0" w:color="auto"/>
        <w:left w:val="none" w:sz="0" w:space="0" w:color="auto"/>
        <w:bottom w:val="none" w:sz="0" w:space="0" w:color="auto"/>
        <w:right w:val="none" w:sz="0" w:space="0" w:color="auto"/>
      </w:divBdr>
    </w:div>
    <w:div w:id="1824160892">
      <w:bodyDiv w:val="1"/>
      <w:marLeft w:val="0"/>
      <w:marRight w:val="0"/>
      <w:marTop w:val="0"/>
      <w:marBottom w:val="0"/>
      <w:divBdr>
        <w:top w:val="none" w:sz="0" w:space="0" w:color="auto"/>
        <w:left w:val="none" w:sz="0" w:space="0" w:color="auto"/>
        <w:bottom w:val="none" w:sz="0" w:space="0" w:color="auto"/>
        <w:right w:val="none" w:sz="0" w:space="0" w:color="auto"/>
      </w:divBdr>
    </w:div>
    <w:div w:id="1825198726">
      <w:bodyDiv w:val="1"/>
      <w:marLeft w:val="0"/>
      <w:marRight w:val="0"/>
      <w:marTop w:val="0"/>
      <w:marBottom w:val="0"/>
      <w:divBdr>
        <w:top w:val="none" w:sz="0" w:space="0" w:color="auto"/>
        <w:left w:val="none" w:sz="0" w:space="0" w:color="auto"/>
        <w:bottom w:val="none" w:sz="0" w:space="0" w:color="auto"/>
        <w:right w:val="none" w:sz="0" w:space="0" w:color="auto"/>
      </w:divBdr>
    </w:div>
    <w:div w:id="1825320021">
      <w:bodyDiv w:val="1"/>
      <w:marLeft w:val="0"/>
      <w:marRight w:val="0"/>
      <w:marTop w:val="0"/>
      <w:marBottom w:val="0"/>
      <w:divBdr>
        <w:top w:val="none" w:sz="0" w:space="0" w:color="auto"/>
        <w:left w:val="none" w:sz="0" w:space="0" w:color="auto"/>
        <w:bottom w:val="none" w:sz="0" w:space="0" w:color="auto"/>
        <w:right w:val="none" w:sz="0" w:space="0" w:color="auto"/>
      </w:divBdr>
    </w:div>
    <w:div w:id="1825394538">
      <w:bodyDiv w:val="1"/>
      <w:marLeft w:val="0"/>
      <w:marRight w:val="0"/>
      <w:marTop w:val="0"/>
      <w:marBottom w:val="0"/>
      <w:divBdr>
        <w:top w:val="none" w:sz="0" w:space="0" w:color="auto"/>
        <w:left w:val="none" w:sz="0" w:space="0" w:color="auto"/>
        <w:bottom w:val="none" w:sz="0" w:space="0" w:color="auto"/>
        <w:right w:val="none" w:sz="0" w:space="0" w:color="auto"/>
      </w:divBdr>
    </w:div>
    <w:div w:id="1826161375">
      <w:bodyDiv w:val="1"/>
      <w:marLeft w:val="0"/>
      <w:marRight w:val="0"/>
      <w:marTop w:val="0"/>
      <w:marBottom w:val="0"/>
      <w:divBdr>
        <w:top w:val="none" w:sz="0" w:space="0" w:color="auto"/>
        <w:left w:val="none" w:sz="0" w:space="0" w:color="auto"/>
        <w:bottom w:val="none" w:sz="0" w:space="0" w:color="auto"/>
        <w:right w:val="none" w:sz="0" w:space="0" w:color="auto"/>
      </w:divBdr>
    </w:div>
    <w:div w:id="1826898968">
      <w:bodyDiv w:val="1"/>
      <w:marLeft w:val="0"/>
      <w:marRight w:val="0"/>
      <w:marTop w:val="0"/>
      <w:marBottom w:val="0"/>
      <w:divBdr>
        <w:top w:val="none" w:sz="0" w:space="0" w:color="auto"/>
        <w:left w:val="none" w:sz="0" w:space="0" w:color="auto"/>
        <w:bottom w:val="none" w:sz="0" w:space="0" w:color="auto"/>
        <w:right w:val="none" w:sz="0" w:space="0" w:color="auto"/>
      </w:divBdr>
    </w:div>
    <w:div w:id="1826966201">
      <w:bodyDiv w:val="1"/>
      <w:marLeft w:val="0"/>
      <w:marRight w:val="0"/>
      <w:marTop w:val="0"/>
      <w:marBottom w:val="0"/>
      <w:divBdr>
        <w:top w:val="none" w:sz="0" w:space="0" w:color="auto"/>
        <w:left w:val="none" w:sz="0" w:space="0" w:color="auto"/>
        <w:bottom w:val="none" w:sz="0" w:space="0" w:color="auto"/>
        <w:right w:val="none" w:sz="0" w:space="0" w:color="auto"/>
      </w:divBdr>
    </w:div>
    <w:div w:id="1827014545">
      <w:bodyDiv w:val="1"/>
      <w:marLeft w:val="0"/>
      <w:marRight w:val="0"/>
      <w:marTop w:val="0"/>
      <w:marBottom w:val="0"/>
      <w:divBdr>
        <w:top w:val="none" w:sz="0" w:space="0" w:color="auto"/>
        <w:left w:val="none" w:sz="0" w:space="0" w:color="auto"/>
        <w:bottom w:val="none" w:sz="0" w:space="0" w:color="auto"/>
        <w:right w:val="none" w:sz="0" w:space="0" w:color="auto"/>
      </w:divBdr>
    </w:div>
    <w:div w:id="1827167630">
      <w:bodyDiv w:val="1"/>
      <w:marLeft w:val="0"/>
      <w:marRight w:val="0"/>
      <w:marTop w:val="0"/>
      <w:marBottom w:val="0"/>
      <w:divBdr>
        <w:top w:val="none" w:sz="0" w:space="0" w:color="auto"/>
        <w:left w:val="none" w:sz="0" w:space="0" w:color="auto"/>
        <w:bottom w:val="none" w:sz="0" w:space="0" w:color="auto"/>
        <w:right w:val="none" w:sz="0" w:space="0" w:color="auto"/>
      </w:divBdr>
    </w:div>
    <w:div w:id="1827279106">
      <w:bodyDiv w:val="1"/>
      <w:marLeft w:val="0"/>
      <w:marRight w:val="0"/>
      <w:marTop w:val="0"/>
      <w:marBottom w:val="0"/>
      <w:divBdr>
        <w:top w:val="none" w:sz="0" w:space="0" w:color="auto"/>
        <w:left w:val="none" w:sz="0" w:space="0" w:color="auto"/>
        <w:bottom w:val="none" w:sz="0" w:space="0" w:color="auto"/>
        <w:right w:val="none" w:sz="0" w:space="0" w:color="auto"/>
      </w:divBdr>
    </w:div>
    <w:div w:id="1827360036">
      <w:bodyDiv w:val="1"/>
      <w:marLeft w:val="0"/>
      <w:marRight w:val="0"/>
      <w:marTop w:val="0"/>
      <w:marBottom w:val="0"/>
      <w:divBdr>
        <w:top w:val="none" w:sz="0" w:space="0" w:color="auto"/>
        <w:left w:val="none" w:sz="0" w:space="0" w:color="auto"/>
        <w:bottom w:val="none" w:sz="0" w:space="0" w:color="auto"/>
        <w:right w:val="none" w:sz="0" w:space="0" w:color="auto"/>
      </w:divBdr>
    </w:div>
    <w:div w:id="1827822128">
      <w:bodyDiv w:val="1"/>
      <w:marLeft w:val="0"/>
      <w:marRight w:val="0"/>
      <w:marTop w:val="0"/>
      <w:marBottom w:val="0"/>
      <w:divBdr>
        <w:top w:val="none" w:sz="0" w:space="0" w:color="auto"/>
        <w:left w:val="none" w:sz="0" w:space="0" w:color="auto"/>
        <w:bottom w:val="none" w:sz="0" w:space="0" w:color="auto"/>
        <w:right w:val="none" w:sz="0" w:space="0" w:color="auto"/>
      </w:divBdr>
    </w:div>
    <w:div w:id="1827933545">
      <w:bodyDiv w:val="1"/>
      <w:marLeft w:val="0"/>
      <w:marRight w:val="0"/>
      <w:marTop w:val="0"/>
      <w:marBottom w:val="0"/>
      <w:divBdr>
        <w:top w:val="none" w:sz="0" w:space="0" w:color="auto"/>
        <w:left w:val="none" w:sz="0" w:space="0" w:color="auto"/>
        <w:bottom w:val="none" w:sz="0" w:space="0" w:color="auto"/>
        <w:right w:val="none" w:sz="0" w:space="0" w:color="auto"/>
      </w:divBdr>
    </w:div>
    <w:div w:id="1828008882">
      <w:bodyDiv w:val="1"/>
      <w:marLeft w:val="0"/>
      <w:marRight w:val="0"/>
      <w:marTop w:val="0"/>
      <w:marBottom w:val="0"/>
      <w:divBdr>
        <w:top w:val="none" w:sz="0" w:space="0" w:color="auto"/>
        <w:left w:val="none" w:sz="0" w:space="0" w:color="auto"/>
        <w:bottom w:val="none" w:sz="0" w:space="0" w:color="auto"/>
        <w:right w:val="none" w:sz="0" w:space="0" w:color="auto"/>
      </w:divBdr>
    </w:div>
    <w:div w:id="1828352340">
      <w:bodyDiv w:val="1"/>
      <w:marLeft w:val="0"/>
      <w:marRight w:val="0"/>
      <w:marTop w:val="0"/>
      <w:marBottom w:val="0"/>
      <w:divBdr>
        <w:top w:val="none" w:sz="0" w:space="0" w:color="auto"/>
        <w:left w:val="none" w:sz="0" w:space="0" w:color="auto"/>
        <w:bottom w:val="none" w:sz="0" w:space="0" w:color="auto"/>
        <w:right w:val="none" w:sz="0" w:space="0" w:color="auto"/>
      </w:divBdr>
    </w:div>
    <w:div w:id="1828596496">
      <w:bodyDiv w:val="1"/>
      <w:marLeft w:val="0"/>
      <w:marRight w:val="0"/>
      <w:marTop w:val="0"/>
      <w:marBottom w:val="0"/>
      <w:divBdr>
        <w:top w:val="none" w:sz="0" w:space="0" w:color="auto"/>
        <w:left w:val="none" w:sz="0" w:space="0" w:color="auto"/>
        <w:bottom w:val="none" w:sz="0" w:space="0" w:color="auto"/>
        <w:right w:val="none" w:sz="0" w:space="0" w:color="auto"/>
      </w:divBdr>
    </w:div>
    <w:div w:id="1828784623">
      <w:bodyDiv w:val="1"/>
      <w:marLeft w:val="0"/>
      <w:marRight w:val="0"/>
      <w:marTop w:val="0"/>
      <w:marBottom w:val="0"/>
      <w:divBdr>
        <w:top w:val="none" w:sz="0" w:space="0" w:color="auto"/>
        <w:left w:val="none" w:sz="0" w:space="0" w:color="auto"/>
        <w:bottom w:val="none" w:sz="0" w:space="0" w:color="auto"/>
        <w:right w:val="none" w:sz="0" w:space="0" w:color="auto"/>
      </w:divBdr>
    </w:div>
    <w:div w:id="1829787392">
      <w:bodyDiv w:val="1"/>
      <w:marLeft w:val="0"/>
      <w:marRight w:val="0"/>
      <w:marTop w:val="0"/>
      <w:marBottom w:val="0"/>
      <w:divBdr>
        <w:top w:val="none" w:sz="0" w:space="0" w:color="auto"/>
        <w:left w:val="none" w:sz="0" w:space="0" w:color="auto"/>
        <w:bottom w:val="none" w:sz="0" w:space="0" w:color="auto"/>
        <w:right w:val="none" w:sz="0" w:space="0" w:color="auto"/>
      </w:divBdr>
    </w:div>
    <w:div w:id="1830242551">
      <w:bodyDiv w:val="1"/>
      <w:marLeft w:val="0"/>
      <w:marRight w:val="0"/>
      <w:marTop w:val="0"/>
      <w:marBottom w:val="0"/>
      <w:divBdr>
        <w:top w:val="none" w:sz="0" w:space="0" w:color="auto"/>
        <w:left w:val="none" w:sz="0" w:space="0" w:color="auto"/>
        <w:bottom w:val="none" w:sz="0" w:space="0" w:color="auto"/>
        <w:right w:val="none" w:sz="0" w:space="0" w:color="auto"/>
      </w:divBdr>
    </w:div>
    <w:div w:id="1830242602">
      <w:bodyDiv w:val="1"/>
      <w:marLeft w:val="0"/>
      <w:marRight w:val="0"/>
      <w:marTop w:val="0"/>
      <w:marBottom w:val="0"/>
      <w:divBdr>
        <w:top w:val="none" w:sz="0" w:space="0" w:color="auto"/>
        <w:left w:val="none" w:sz="0" w:space="0" w:color="auto"/>
        <w:bottom w:val="none" w:sz="0" w:space="0" w:color="auto"/>
        <w:right w:val="none" w:sz="0" w:space="0" w:color="auto"/>
      </w:divBdr>
    </w:div>
    <w:div w:id="1830755855">
      <w:bodyDiv w:val="1"/>
      <w:marLeft w:val="0"/>
      <w:marRight w:val="0"/>
      <w:marTop w:val="0"/>
      <w:marBottom w:val="0"/>
      <w:divBdr>
        <w:top w:val="none" w:sz="0" w:space="0" w:color="auto"/>
        <w:left w:val="none" w:sz="0" w:space="0" w:color="auto"/>
        <w:bottom w:val="none" w:sz="0" w:space="0" w:color="auto"/>
        <w:right w:val="none" w:sz="0" w:space="0" w:color="auto"/>
      </w:divBdr>
    </w:div>
    <w:div w:id="1831099005">
      <w:bodyDiv w:val="1"/>
      <w:marLeft w:val="0"/>
      <w:marRight w:val="0"/>
      <w:marTop w:val="0"/>
      <w:marBottom w:val="0"/>
      <w:divBdr>
        <w:top w:val="none" w:sz="0" w:space="0" w:color="auto"/>
        <w:left w:val="none" w:sz="0" w:space="0" w:color="auto"/>
        <w:bottom w:val="none" w:sz="0" w:space="0" w:color="auto"/>
        <w:right w:val="none" w:sz="0" w:space="0" w:color="auto"/>
      </w:divBdr>
    </w:div>
    <w:div w:id="1831821377">
      <w:bodyDiv w:val="1"/>
      <w:marLeft w:val="0"/>
      <w:marRight w:val="0"/>
      <w:marTop w:val="0"/>
      <w:marBottom w:val="0"/>
      <w:divBdr>
        <w:top w:val="none" w:sz="0" w:space="0" w:color="auto"/>
        <w:left w:val="none" w:sz="0" w:space="0" w:color="auto"/>
        <w:bottom w:val="none" w:sz="0" w:space="0" w:color="auto"/>
        <w:right w:val="none" w:sz="0" w:space="0" w:color="auto"/>
      </w:divBdr>
    </w:div>
    <w:div w:id="1832018033">
      <w:bodyDiv w:val="1"/>
      <w:marLeft w:val="0"/>
      <w:marRight w:val="0"/>
      <w:marTop w:val="0"/>
      <w:marBottom w:val="0"/>
      <w:divBdr>
        <w:top w:val="none" w:sz="0" w:space="0" w:color="auto"/>
        <w:left w:val="none" w:sz="0" w:space="0" w:color="auto"/>
        <w:bottom w:val="none" w:sz="0" w:space="0" w:color="auto"/>
        <w:right w:val="none" w:sz="0" w:space="0" w:color="auto"/>
      </w:divBdr>
    </w:div>
    <w:div w:id="1832915182">
      <w:bodyDiv w:val="1"/>
      <w:marLeft w:val="0"/>
      <w:marRight w:val="0"/>
      <w:marTop w:val="0"/>
      <w:marBottom w:val="0"/>
      <w:divBdr>
        <w:top w:val="none" w:sz="0" w:space="0" w:color="auto"/>
        <w:left w:val="none" w:sz="0" w:space="0" w:color="auto"/>
        <w:bottom w:val="none" w:sz="0" w:space="0" w:color="auto"/>
        <w:right w:val="none" w:sz="0" w:space="0" w:color="auto"/>
      </w:divBdr>
    </w:div>
    <w:div w:id="1833057211">
      <w:bodyDiv w:val="1"/>
      <w:marLeft w:val="0"/>
      <w:marRight w:val="0"/>
      <w:marTop w:val="0"/>
      <w:marBottom w:val="0"/>
      <w:divBdr>
        <w:top w:val="none" w:sz="0" w:space="0" w:color="auto"/>
        <w:left w:val="none" w:sz="0" w:space="0" w:color="auto"/>
        <w:bottom w:val="none" w:sz="0" w:space="0" w:color="auto"/>
        <w:right w:val="none" w:sz="0" w:space="0" w:color="auto"/>
      </w:divBdr>
    </w:div>
    <w:div w:id="1833334460">
      <w:bodyDiv w:val="1"/>
      <w:marLeft w:val="0"/>
      <w:marRight w:val="0"/>
      <w:marTop w:val="0"/>
      <w:marBottom w:val="0"/>
      <w:divBdr>
        <w:top w:val="none" w:sz="0" w:space="0" w:color="auto"/>
        <w:left w:val="none" w:sz="0" w:space="0" w:color="auto"/>
        <w:bottom w:val="none" w:sz="0" w:space="0" w:color="auto"/>
        <w:right w:val="none" w:sz="0" w:space="0" w:color="auto"/>
      </w:divBdr>
    </w:div>
    <w:div w:id="1833987559">
      <w:bodyDiv w:val="1"/>
      <w:marLeft w:val="0"/>
      <w:marRight w:val="0"/>
      <w:marTop w:val="0"/>
      <w:marBottom w:val="0"/>
      <w:divBdr>
        <w:top w:val="none" w:sz="0" w:space="0" w:color="auto"/>
        <w:left w:val="none" w:sz="0" w:space="0" w:color="auto"/>
        <w:bottom w:val="none" w:sz="0" w:space="0" w:color="auto"/>
        <w:right w:val="none" w:sz="0" w:space="0" w:color="auto"/>
      </w:divBdr>
    </w:div>
    <w:div w:id="1834564622">
      <w:bodyDiv w:val="1"/>
      <w:marLeft w:val="0"/>
      <w:marRight w:val="0"/>
      <w:marTop w:val="0"/>
      <w:marBottom w:val="0"/>
      <w:divBdr>
        <w:top w:val="none" w:sz="0" w:space="0" w:color="auto"/>
        <w:left w:val="none" w:sz="0" w:space="0" w:color="auto"/>
        <w:bottom w:val="none" w:sz="0" w:space="0" w:color="auto"/>
        <w:right w:val="none" w:sz="0" w:space="0" w:color="auto"/>
      </w:divBdr>
    </w:div>
    <w:div w:id="1834712315">
      <w:bodyDiv w:val="1"/>
      <w:marLeft w:val="0"/>
      <w:marRight w:val="0"/>
      <w:marTop w:val="0"/>
      <w:marBottom w:val="0"/>
      <w:divBdr>
        <w:top w:val="none" w:sz="0" w:space="0" w:color="auto"/>
        <w:left w:val="none" w:sz="0" w:space="0" w:color="auto"/>
        <w:bottom w:val="none" w:sz="0" w:space="0" w:color="auto"/>
        <w:right w:val="none" w:sz="0" w:space="0" w:color="auto"/>
      </w:divBdr>
    </w:div>
    <w:div w:id="1834712443">
      <w:bodyDiv w:val="1"/>
      <w:marLeft w:val="0"/>
      <w:marRight w:val="0"/>
      <w:marTop w:val="0"/>
      <w:marBottom w:val="0"/>
      <w:divBdr>
        <w:top w:val="none" w:sz="0" w:space="0" w:color="auto"/>
        <w:left w:val="none" w:sz="0" w:space="0" w:color="auto"/>
        <w:bottom w:val="none" w:sz="0" w:space="0" w:color="auto"/>
        <w:right w:val="none" w:sz="0" w:space="0" w:color="auto"/>
      </w:divBdr>
    </w:div>
    <w:div w:id="1835607916">
      <w:bodyDiv w:val="1"/>
      <w:marLeft w:val="0"/>
      <w:marRight w:val="0"/>
      <w:marTop w:val="0"/>
      <w:marBottom w:val="0"/>
      <w:divBdr>
        <w:top w:val="none" w:sz="0" w:space="0" w:color="auto"/>
        <w:left w:val="none" w:sz="0" w:space="0" w:color="auto"/>
        <w:bottom w:val="none" w:sz="0" w:space="0" w:color="auto"/>
        <w:right w:val="none" w:sz="0" w:space="0" w:color="auto"/>
      </w:divBdr>
    </w:div>
    <w:div w:id="1836220281">
      <w:bodyDiv w:val="1"/>
      <w:marLeft w:val="0"/>
      <w:marRight w:val="0"/>
      <w:marTop w:val="0"/>
      <w:marBottom w:val="0"/>
      <w:divBdr>
        <w:top w:val="none" w:sz="0" w:space="0" w:color="auto"/>
        <w:left w:val="none" w:sz="0" w:space="0" w:color="auto"/>
        <w:bottom w:val="none" w:sz="0" w:space="0" w:color="auto"/>
        <w:right w:val="none" w:sz="0" w:space="0" w:color="auto"/>
      </w:divBdr>
    </w:div>
    <w:div w:id="1836455260">
      <w:bodyDiv w:val="1"/>
      <w:marLeft w:val="0"/>
      <w:marRight w:val="0"/>
      <w:marTop w:val="0"/>
      <w:marBottom w:val="0"/>
      <w:divBdr>
        <w:top w:val="none" w:sz="0" w:space="0" w:color="auto"/>
        <w:left w:val="none" w:sz="0" w:space="0" w:color="auto"/>
        <w:bottom w:val="none" w:sz="0" w:space="0" w:color="auto"/>
        <w:right w:val="none" w:sz="0" w:space="0" w:color="auto"/>
      </w:divBdr>
    </w:div>
    <w:div w:id="1836988599">
      <w:bodyDiv w:val="1"/>
      <w:marLeft w:val="0"/>
      <w:marRight w:val="0"/>
      <w:marTop w:val="0"/>
      <w:marBottom w:val="0"/>
      <w:divBdr>
        <w:top w:val="none" w:sz="0" w:space="0" w:color="auto"/>
        <w:left w:val="none" w:sz="0" w:space="0" w:color="auto"/>
        <w:bottom w:val="none" w:sz="0" w:space="0" w:color="auto"/>
        <w:right w:val="none" w:sz="0" w:space="0" w:color="auto"/>
      </w:divBdr>
    </w:div>
    <w:div w:id="1837452214">
      <w:bodyDiv w:val="1"/>
      <w:marLeft w:val="0"/>
      <w:marRight w:val="0"/>
      <w:marTop w:val="0"/>
      <w:marBottom w:val="0"/>
      <w:divBdr>
        <w:top w:val="none" w:sz="0" w:space="0" w:color="auto"/>
        <w:left w:val="none" w:sz="0" w:space="0" w:color="auto"/>
        <w:bottom w:val="none" w:sz="0" w:space="0" w:color="auto"/>
        <w:right w:val="none" w:sz="0" w:space="0" w:color="auto"/>
      </w:divBdr>
    </w:div>
    <w:div w:id="1837455237">
      <w:bodyDiv w:val="1"/>
      <w:marLeft w:val="0"/>
      <w:marRight w:val="0"/>
      <w:marTop w:val="0"/>
      <w:marBottom w:val="0"/>
      <w:divBdr>
        <w:top w:val="none" w:sz="0" w:space="0" w:color="auto"/>
        <w:left w:val="none" w:sz="0" w:space="0" w:color="auto"/>
        <w:bottom w:val="none" w:sz="0" w:space="0" w:color="auto"/>
        <w:right w:val="none" w:sz="0" w:space="0" w:color="auto"/>
      </w:divBdr>
    </w:div>
    <w:div w:id="1837530481">
      <w:bodyDiv w:val="1"/>
      <w:marLeft w:val="0"/>
      <w:marRight w:val="0"/>
      <w:marTop w:val="0"/>
      <w:marBottom w:val="0"/>
      <w:divBdr>
        <w:top w:val="none" w:sz="0" w:space="0" w:color="auto"/>
        <w:left w:val="none" w:sz="0" w:space="0" w:color="auto"/>
        <w:bottom w:val="none" w:sz="0" w:space="0" w:color="auto"/>
        <w:right w:val="none" w:sz="0" w:space="0" w:color="auto"/>
      </w:divBdr>
    </w:div>
    <w:div w:id="1837770497">
      <w:bodyDiv w:val="1"/>
      <w:marLeft w:val="0"/>
      <w:marRight w:val="0"/>
      <w:marTop w:val="0"/>
      <w:marBottom w:val="0"/>
      <w:divBdr>
        <w:top w:val="none" w:sz="0" w:space="0" w:color="auto"/>
        <w:left w:val="none" w:sz="0" w:space="0" w:color="auto"/>
        <w:bottom w:val="none" w:sz="0" w:space="0" w:color="auto"/>
        <w:right w:val="none" w:sz="0" w:space="0" w:color="auto"/>
      </w:divBdr>
    </w:div>
    <w:div w:id="1837920175">
      <w:bodyDiv w:val="1"/>
      <w:marLeft w:val="0"/>
      <w:marRight w:val="0"/>
      <w:marTop w:val="0"/>
      <w:marBottom w:val="0"/>
      <w:divBdr>
        <w:top w:val="none" w:sz="0" w:space="0" w:color="auto"/>
        <w:left w:val="none" w:sz="0" w:space="0" w:color="auto"/>
        <w:bottom w:val="none" w:sz="0" w:space="0" w:color="auto"/>
        <w:right w:val="none" w:sz="0" w:space="0" w:color="auto"/>
      </w:divBdr>
    </w:div>
    <w:div w:id="1838501691">
      <w:bodyDiv w:val="1"/>
      <w:marLeft w:val="0"/>
      <w:marRight w:val="0"/>
      <w:marTop w:val="0"/>
      <w:marBottom w:val="0"/>
      <w:divBdr>
        <w:top w:val="none" w:sz="0" w:space="0" w:color="auto"/>
        <w:left w:val="none" w:sz="0" w:space="0" w:color="auto"/>
        <w:bottom w:val="none" w:sz="0" w:space="0" w:color="auto"/>
        <w:right w:val="none" w:sz="0" w:space="0" w:color="auto"/>
      </w:divBdr>
    </w:div>
    <w:div w:id="1839034744">
      <w:bodyDiv w:val="1"/>
      <w:marLeft w:val="0"/>
      <w:marRight w:val="0"/>
      <w:marTop w:val="0"/>
      <w:marBottom w:val="0"/>
      <w:divBdr>
        <w:top w:val="none" w:sz="0" w:space="0" w:color="auto"/>
        <w:left w:val="none" w:sz="0" w:space="0" w:color="auto"/>
        <w:bottom w:val="none" w:sz="0" w:space="0" w:color="auto"/>
        <w:right w:val="none" w:sz="0" w:space="0" w:color="auto"/>
      </w:divBdr>
    </w:div>
    <w:div w:id="1839536759">
      <w:bodyDiv w:val="1"/>
      <w:marLeft w:val="0"/>
      <w:marRight w:val="0"/>
      <w:marTop w:val="0"/>
      <w:marBottom w:val="0"/>
      <w:divBdr>
        <w:top w:val="none" w:sz="0" w:space="0" w:color="auto"/>
        <w:left w:val="none" w:sz="0" w:space="0" w:color="auto"/>
        <w:bottom w:val="none" w:sz="0" w:space="0" w:color="auto"/>
        <w:right w:val="none" w:sz="0" w:space="0" w:color="auto"/>
      </w:divBdr>
    </w:div>
    <w:div w:id="1839692737">
      <w:bodyDiv w:val="1"/>
      <w:marLeft w:val="0"/>
      <w:marRight w:val="0"/>
      <w:marTop w:val="0"/>
      <w:marBottom w:val="0"/>
      <w:divBdr>
        <w:top w:val="none" w:sz="0" w:space="0" w:color="auto"/>
        <w:left w:val="none" w:sz="0" w:space="0" w:color="auto"/>
        <w:bottom w:val="none" w:sz="0" w:space="0" w:color="auto"/>
        <w:right w:val="none" w:sz="0" w:space="0" w:color="auto"/>
      </w:divBdr>
    </w:div>
    <w:div w:id="1840778385">
      <w:bodyDiv w:val="1"/>
      <w:marLeft w:val="0"/>
      <w:marRight w:val="0"/>
      <w:marTop w:val="0"/>
      <w:marBottom w:val="0"/>
      <w:divBdr>
        <w:top w:val="none" w:sz="0" w:space="0" w:color="auto"/>
        <w:left w:val="none" w:sz="0" w:space="0" w:color="auto"/>
        <w:bottom w:val="none" w:sz="0" w:space="0" w:color="auto"/>
        <w:right w:val="none" w:sz="0" w:space="0" w:color="auto"/>
      </w:divBdr>
    </w:div>
    <w:div w:id="1841384230">
      <w:bodyDiv w:val="1"/>
      <w:marLeft w:val="0"/>
      <w:marRight w:val="0"/>
      <w:marTop w:val="0"/>
      <w:marBottom w:val="0"/>
      <w:divBdr>
        <w:top w:val="none" w:sz="0" w:space="0" w:color="auto"/>
        <w:left w:val="none" w:sz="0" w:space="0" w:color="auto"/>
        <w:bottom w:val="none" w:sz="0" w:space="0" w:color="auto"/>
        <w:right w:val="none" w:sz="0" w:space="0" w:color="auto"/>
      </w:divBdr>
    </w:div>
    <w:div w:id="1841457551">
      <w:bodyDiv w:val="1"/>
      <w:marLeft w:val="0"/>
      <w:marRight w:val="0"/>
      <w:marTop w:val="0"/>
      <w:marBottom w:val="0"/>
      <w:divBdr>
        <w:top w:val="none" w:sz="0" w:space="0" w:color="auto"/>
        <w:left w:val="none" w:sz="0" w:space="0" w:color="auto"/>
        <w:bottom w:val="none" w:sz="0" w:space="0" w:color="auto"/>
        <w:right w:val="none" w:sz="0" w:space="0" w:color="auto"/>
      </w:divBdr>
    </w:div>
    <w:div w:id="1841502561">
      <w:bodyDiv w:val="1"/>
      <w:marLeft w:val="0"/>
      <w:marRight w:val="0"/>
      <w:marTop w:val="0"/>
      <w:marBottom w:val="0"/>
      <w:divBdr>
        <w:top w:val="none" w:sz="0" w:space="0" w:color="auto"/>
        <w:left w:val="none" w:sz="0" w:space="0" w:color="auto"/>
        <w:bottom w:val="none" w:sz="0" w:space="0" w:color="auto"/>
        <w:right w:val="none" w:sz="0" w:space="0" w:color="auto"/>
      </w:divBdr>
    </w:div>
    <w:div w:id="1842042280">
      <w:bodyDiv w:val="1"/>
      <w:marLeft w:val="0"/>
      <w:marRight w:val="0"/>
      <w:marTop w:val="0"/>
      <w:marBottom w:val="0"/>
      <w:divBdr>
        <w:top w:val="none" w:sz="0" w:space="0" w:color="auto"/>
        <w:left w:val="none" w:sz="0" w:space="0" w:color="auto"/>
        <w:bottom w:val="none" w:sz="0" w:space="0" w:color="auto"/>
        <w:right w:val="none" w:sz="0" w:space="0" w:color="auto"/>
      </w:divBdr>
    </w:div>
    <w:div w:id="1842164248">
      <w:bodyDiv w:val="1"/>
      <w:marLeft w:val="0"/>
      <w:marRight w:val="0"/>
      <w:marTop w:val="0"/>
      <w:marBottom w:val="0"/>
      <w:divBdr>
        <w:top w:val="none" w:sz="0" w:space="0" w:color="auto"/>
        <w:left w:val="none" w:sz="0" w:space="0" w:color="auto"/>
        <w:bottom w:val="none" w:sz="0" w:space="0" w:color="auto"/>
        <w:right w:val="none" w:sz="0" w:space="0" w:color="auto"/>
      </w:divBdr>
    </w:div>
    <w:div w:id="1842238152">
      <w:bodyDiv w:val="1"/>
      <w:marLeft w:val="0"/>
      <w:marRight w:val="0"/>
      <w:marTop w:val="0"/>
      <w:marBottom w:val="0"/>
      <w:divBdr>
        <w:top w:val="none" w:sz="0" w:space="0" w:color="auto"/>
        <w:left w:val="none" w:sz="0" w:space="0" w:color="auto"/>
        <w:bottom w:val="none" w:sz="0" w:space="0" w:color="auto"/>
        <w:right w:val="none" w:sz="0" w:space="0" w:color="auto"/>
      </w:divBdr>
    </w:div>
    <w:div w:id="1842425207">
      <w:bodyDiv w:val="1"/>
      <w:marLeft w:val="0"/>
      <w:marRight w:val="0"/>
      <w:marTop w:val="0"/>
      <w:marBottom w:val="0"/>
      <w:divBdr>
        <w:top w:val="none" w:sz="0" w:space="0" w:color="auto"/>
        <w:left w:val="none" w:sz="0" w:space="0" w:color="auto"/>
        <w:bottom w:val="none" w:sz="0" w:space="0" w:color="auto"/>
        <w:right w:val="none" w:sz="0" w:space="0" w:color="auto"/>
      </w:divBdr>
    </w:div>
    <w:div w:id="1843086446">
      <w:bodyDiv w:val="1"/>
      <w:marLeft w:val="0"/>
      <w:marRight w:val="0"/>
      <w:marTop w:val="0"/>
      <w:marBottom w:val="0"/>
      <w:divBdr>
        <w:top w:val="none" w:sz="0" w:space="0" w:color="auto"/>
        <w:left w:val="none" w:sz="0" w:space="0" w:color="auto"/>
        <w:bottom w:val="none" w:sz="0" w:space="0" w:color="auto"/>
        <w:right w:val="none" w:sz="0" w:space="0" w:color="auto"/>
      </w:divBdr>
    </w:div>
    <w:div w:id="1843620626">
      <w:bodyDiv w:val="1"/>
      <w:marLeft w:val="0"/>
      <w:marRight w:val="0"/>
      <w:marTop w:val="0"/>
      <w:marBottom w:val="0"/>
      <w:divBdr>
        <w:top w:val="none" w:sz="0" w:space="0" w:color="auto"/>
        <w:left w:val="none" w:sz="0" w:space="0" w:color="auto"/>
        <w:bottom w:val="none" w:sz="0" w:space="0" w:color="auto"/>
        <w:right w:val="none" w:sz="0" w:space="0" w:color="auto"/>
      </w:divBdr>
    </w:div>
    <w:div w:id="1844278554">
      <w:bodyDiv w:val="1"/>
      <w:marLeft w:val="0"/>
      <w:marRight w:val="0"/>
      <w:marTop w:val="0"/>
      <w:marBottom w:val="0"/>
      <w:divBdr>
        <w:top w:val="none" w:sz="0" w:space="0" w:color="auto"/>
        <w:left w:val="none" w:sz="0" w:space="0" w:color="auto"/>
        <w:bottom w:val="none" w:sz="0" w:space="0" w:color="auto"/>
        <w:right w:val="none" w:sz="0" w:space="0" w:color="auto"/>
      </w:divBdr>
    </w:div>
    <w:div w:id="1844319030">
      <w:bodyDiv w:val="1"/>
      <w:marLeft w:val="0"/>
      <w:marRight w:val="0"/>
      <w:marTop w:val="0"/>
      <w:marBottom w:val="0"/>
      <w:divBdr>
        <w:top w:val="none" w:sz="0" w:space="0" w:color="auto"/>
        <w:left w:val="none" w:sz="0" w:space="0" w:color="auto"/>
        <w:bottom w:val="none" w:sz="0" w:space="0" w:color="auto"/>
        <w:right w:val="none" w:sz="0" w:space="0" w:color="auto"/>
      </w:divBdr>
    </w:div>
    <w:div w:id="1844856251">
      <w:bodyDiv w:val="1"/>
      <w:marLeft w:val="0"/>
      <w:marRight w:val="0"/>
      <w:marTop w:val="0"/>
      <w:marBottom w:val="0"/>
      <w:divBdr>
        <w:top w:val="none" w:sz="0" w:space="0" w:color="auto"/>
        <w:left w:val="none" w:sz="0" w:space="0" w:color="auto"/>
        <w:bottom w:val="none" w:sz="0" w:space="0" w:color="auto"/>
        <w:right w:val="none" w:sz="0" w:space="0" w:color="auto"/>
      </w:divBdr>
    </w:div>
    <w:div w:id="1845046548">
      <w:bodyDiv w:val="1"/>
      <w:marLeft w:val="0"/>
      <w:marRight w:val="0"/>
      <w:marTop w:val="0"/>
      <w:marBottom w:val="0"/>
      <w:divBdr>
        <w:top w:val="none" w:sz="0" w:space="0" w:color="auto"/>
        <w:left w:val="none" w:sz="0" w:space="0" w:color="auto"/>
        <w:bottom w:val="none" w:sz="0" w:space="0" w:color="auto"/>
        <w:right w:val="none" w:sz="0" w:space="0" w:color="auto"/>
      </w:divBdr>
    </w:div>
    <w:div w:id="1845587950">
      <w:bodyDiv w:val="1"/>
      <w:marLeft w:val="0"/>
      <w:marRight w:val="0"/>
      <w:marTop w:val="0"/>
      <w:marBottom w:val="0"/>
      <w:divBdr>
        <w:top w:val="none" w:sz="0" w:space="0" w:color="auto"/>
        <w:left w:val="none" w:sz="0" w:space="0" w:color="auto"/>
        <w:bottom w:val="none" w:sz="0" w:space="0" w:color="auto"/>
        <w:right w:val="none" w:sz="0" w:space="0" w:color="auto"/>
      </w:divBdr>
    </w:div>
    <w:div w:id="1845700596">
      <w:bodyDiv w:val="1"/>
      <w:marLeft w:val="0"/>
      <w:marRight w:val="0"/>
      <w:marTop w:val="0"/>
      <w:marBottom w:val="0"/>
      <w:divBdr>
        <w:top w:val="none" w:sz="0" w:space="0" w:color="auto"/>
        <w:left w:val="none" w:sz="0" w:space="0" w:color="auto"/>
        <w:bottom w:val="none" w:sz="0" w:space="0" w:color="auto"/>
        <w:right w:val="none" w:sz="0" w:space="0" w:color="auto"/>
      </w:divBdr>
    </w:div>
    <w:div w:id="1845705650">
      <w:bodyDiv w:val="1"/>
      <w:marLeft w:val="0"/>
      <w:marRight w:val="0"/>
      <w:marTop w:val="0"/>
      <w:marBottom w:val="0"/>
      <w:divBdr>
        <w:top w:val="none" w:sz="0" w:space="0" w:color="auto"/>
        <w:left w:val="none" w:sz="0" w:space="0" w:color="auto"/>
        <w:bottom w:val="none" w:sz="0" w:space="0" w:color="auto"/>
        <w:right w:val="none" w:sz="0" w:space="0" w:color="auto"/>
      </w:divBdr>
    </w:div>
    <w:div w:id="1845900963">
      <w:bodyDiv w:val="1"/>
      <w:marLeft w:val="0"/>
      <w:marRight w:val="0"/>
      <w:marTop w:val="0"/>
      <w:marBottom w:val="0"/>
      <w:divBdr>
        <w:top w:val="none" w:sz="0" w:space="0" w:color="auto"/>
        <w:left w:val="none" w:sz="0" w:space="0" w:color="auto"/>
        <w:bottom w:val="none" w:sz="0" w:space="0" w:color="auto"/>
        <w:right w:val="none" w:sz="0" w:space="0" w:color="auto"/>
      </w:divBdr>
    </w:div>
    <w:div w:id="1846087427">
      <w:bodyDiv w:val="1"/>
      <w:marLeft w:val="0"/>
      <w:marRight w:val="0"/>
      <w:marTop w:val="0"/>
      <w:marBottom w:val="0"/>
      <w:divBdr>
        <w:top w:val="none" w:sz="0" w:space="0" w:color="auto"/>
        <w:left w:val="none" w:sz="0" w:space="0" w:color="auto"/>
        <w:bottom w:val="none" w:sz="0" w:space="0" w:color="auto"/>
        <w:right w:val="none" w:sz="0" w:space="0" w:color="auto"/>
      </w:divBdr>
    </w:div>
    <w:div w:id="1846088294">
      <w:bodyDiv w:val="1"/>
      <w:marLeft w:val="0"/>
      <w:marRight w:val="0"/>
      <w:marTop w:val="0"/>
      <w:marBottom w:val="0"/>
      <w:divBdr>
        <w:top w:val="none" w:sz="0" w:space="0" w:color="auto"/>
        <w:left w:val="none" w:sz="0" w:space="0" w:color="auto"/>
        <w:bottom w:val="none" w:sz="0" w:space="0" w:color="auto"/>
        <w:right w:val="none" w:sz="0" w:space="0" w:color="auto"/>
      </w:divBdr>
    </w:div>
    <w:div w:id="1846096193">
      <w:bodyDiv w:val="1"/>
      <w:marLeft w:val="0"/>
      <w:marRight w:val="0"/>
      <w:marTop w:val="0"/>
      <w:marBottom w:val="0"/>
      <w:divBdr>
        <w:top w:val="none" w:sz="0" w:space="0" w:color="auto"/>
        <w:left w:val="none" w:sz="0" w:space="0" w:color="auto"/>
        <w:bottom w:val="none" w:sz="0" w:space="0" w:color="auto"/>
        <w:right w:val="none" w:sz="0" w:space="0" w:color="auto"/>
      </w:divBdr>
    </w:div>
    <w:div w:id="1846241674">
      <w:bodyDiv w:val="1"/>
      <w:marLeft w:val="0"/>
      <w:marRight w:val="0"/>
      <w:marTop w:val="0"/>
      <w:marBottom w:val="0"/>
      <w:divBdr>
        <w:top w:val="none" w:sz="0" w:space="0" w:color="auto"/>
        <w:left w:val="none" w:sz="0" w:space="0" w:color="auto"/>
        <w:bottom w:val="none" w:sz="0" w:space="0" w:color="auto"/>
        <w:right w:val="none" w:sz="0" w:space="0" w:color="auto"/>
      </w:divBdr>
    </w:div>
    <w:div w:id="1846283799">
      <w:bodyDiv w:val="1"/>
      <w:marLeft w:val="0"/>
      <w:marRight w:val="0"/>
      <w:marTop w:val="0"/>
      <w:marBottom w:val="0"/>
      <w:divBdr>
        <w:top w:val="none" w:sz="0" w:space="0" w:color="auto"/>
        <w:left w:val="none" w:sz="0" w:space="0" w:color="auto"/>
        <w:bottom w:val="none" w:sz="0" w:space="0" w:color="auto"/>
        <w:right w:val="none" w:sz="0" w:space="0" w:color="auto"/>
      </w:divBdr>
    </w:div>
    <w:div w:id="1846898903">
      <w:bodyDiv w:val="1"/>
      <w:marLeft w:val="0"/>
      <w:marRight w:val="0"/>
      <w:marTop w:val="0"/>
      <w:marBottom w:val="0"/>
      <w:divBdr>
        <w:top w:val="none" w:sz="0" w:space="0" w:color="auto"/>
        <w:left w:val="none" w:sz="0" w:space="0" w:color="auto"/>
        <w:bottom w:val="none" w:sz="0" w:space="0" w:color="auto"/>
        <w:right w:val="none" w:sz="0" w:space="0" w:color="auto"/>
      </w:divBdr>
    </w:div>
    <w:div w:id="1847162231">
      <w:bodyDiv w:val="1"/>
      <w:marLeft w:val="0"/>
      <w:marRight w:val="0"/>
      <w:marTop w:val="0"/>
      <w:marBottom w:val="0"/>
      <w:divBdr>
        <w:top w:val="none" w:sz="0" w:space="0" w:color="auto"/>
        <w:left w:val="none" w:sz="0" w:space="0" w:color="auto"/>
        <w:bottom w:val="none" w:sz="0" w:space="0" w:color="auto"/>
        <w:right w:val="none" w:sz="0" w:space="0" w:color="auto"/>
      </w:divBdr>
    </w:div>
    <w:div w:id="1847477401">
      <w:bodyDiv w:val="1"/>
      <w:marLeft w:val="0"/>
      <w:marRight w:val="0"/>
      <w:marTop w:val="0"/>
      <w:marBottom w:val="0"/>
      <w:divBdr>
        <w:top w:val="none" w:sz="0" w:space="0" w:color="auto"/>
        <w:left w:val="none" w:sz="0" w:space="0" w:color="auto"/>
        <w:bottom w:val="none" w:sz="0" w:space="0" w:color="auto"/>
        <w:right w:val="none" w:sz="0" w:space="0" w:color="auto"/>
      </w:divBdr>
    </w:div>
    <w:div w:id="1847671322">
      <w:bodyDiv w:val="1"/>
      <w:marLeft w:val="0"/>
      <w:marRight w:val="0"/>
      <w:marTop w:val="0"/>
      <w:marBottom w:val="0"/>
      <w:divBdr>
        <w:top w:val="none" w:sz="0" w:space="0" w:color="auto"/>
        <w:left w:val="none" w:sz="0" w:space="0" w:color="auto"/>
        <w:bottom w:val="none" w:sz="0" w:space="0" w:color="auto"/>
        <w:right w:val="none" w:sz="0" w:space="0" w:color="auto"/>
      </w:divBdr>
    </w:div>
    <w:div w:id="1847672849">
      <w:bodyDiv w:val="1"/>
      <w:marLeft w:val="0"/>
      <w:marRight w:val="0"/>
      <w:marTop w:val="0"/>
      <w:marBottom w:val="0"/>
      <w:divBdr>
        <w:top w:val="none" w:sz="0" w:space="0" w:color="auto"/>
        <w:left w:val="none" w:sz="0" w:space="0" w:color="auto"/>
        <w:bottom w:val="none" w:sz="0" w:space="0" w:color="auto"/>
        <w:right w:val="none" w:sz="0" w:space="0" w:color="auto"/>
      </w:divBdr>
    </w:div>
    <w:div w:id="1847742162">
      <w:bodyDiv w:val="1"/>
      <w:marLeft w:val="0"/>
      <w:marRight w:val="0"/>
      <w:marTop w:val="0"/>
      <w:marBottom w:val="0"/>
      <w:divBdr>
        <w:top w:val="none" w:sz="0" w:space="0" w:color="auto"/>
        <w:left w:val="none" w:sz="0" w:space="0" w:color="auto"/>
        <w:bottom w:val="none" w:sz="0" w:space="0" w:color="auto"/>
        <w:right w:val="none" w:sz="0" w:space="0" w:color="auto"/>
      </w:divBdr>
    </w:div>
    <w:div w:id="1848788045">
      <w:bodyDiv w:val="1"/>
      <w:marLeft w:val="0"/>
      <w:marRight w:val="0"/>
      <w:marTop w:val="0"/>
      <w:marBottom w:val="0"/>
      <w:divBdr>
        <w:top w:val="none" w:sz="0" w:space="0" w:color="auto"/>
        <w:left w:val="none" w:sz="0" w:space="0" w:color="auto"/>
        <w:bottom w:val="none" w:sz="0" w:space="0" w:color="auto"/>
        <w:right w:val="none" w:sz="0" w:space="0" w:color="auto"/>
      </w:divBdr>
    </w:div>
    <w:div w:id="1848792552">
      <w:bodyDiv w:val="1"/>
      <w:marLeft w:val="0"/>
      <w:marRight w:val="0"/>
      <w:marTop w:val="0"/>
      <w:marBottom w:val="0"/>
      <w:divBdr>
        <w:top w:val="none" w:sz="0" w:space="0" w:color="auto"/>
        <w:left w:val="none" w:sz="0" w:space="0" w:color="auto"/>
        <w:bottom w:val="none" w:sz="0" w:space="0" w:color="auto"/>
        <w:right w:val="none" w:sz="0" w:space="0" w:color="auto"/>
      </w:divBdr>
    </w:div>
    <w:div w:id="1848906412">
      <w:bodyDiv w:val="1"/>
      <w:marLeft w:val="0"/>
      <w:marRight w:val="0"/>
      <w:marTop w:val="0"/>
      <w:marBottom w:val="0"/>
      <w:divBdr>
        <w:top w:val="none" w:sz="0" w:space="0" w:color="auto"/>
        <w:left w:val="none" w:sz="0" w:space="0" w:color="auto"/>
        <w:bottom w:val="none" w:sz="0" w:space="0" w:color="auto"/>
        <w:right w:val="none" w:sz="0" w:space="0" w:color="auto"/>
      </w:divBdr>
    </w:div>
    <w:div w:id="1849442598">
      <w:bodyDiv w:val="1"/>
      <w:marLeft w:val="0"/>
      <w:marRight w:val="0"/>
      <w:marTop w:val="0"/>
      <w:marBottom w:val="0"/>
      <w:divBdr>
        <w:top w:val="none" w:sz="0" w:space="0" w:color="auto"/>
        <w:left w:val="none" w:sz="0" w:space="0" w:color="auto"/>
        <w:bottom w:val="none" w:sz="0" w:space="0" w:color="auto"/>
        <w:right w:val="none" w:sz="0" w:space="0" w:color="auto"/>
      </w:divBdr>
    </w:div>
    <w:div w:id="1849513697">
      <w:bodyDiv w:val="1"/>
      <w:marLeft w:val="0"/>
      <w:marRight w:val="0"/>
      <w:marTop w:val="0"/>
      <w:marBottom w:val="0"/>
      <w:divBdr>
        <w:top w:val="none" w:sz="0" w:space="0" w:color="auto"/>
        <w:left w:val="none" w:sz="0" w:space="0" w:color="auto"/>
        <w:bottom w:val="none" w:sz="0" w:space="0" w:color="auto"/>
        <w:right w:val="none" w:sz="0" w:space="0" w:color="auto"/>
      </w:divBdr>
    </w:div>
    <w:div w:id="1849782399">
      <w:bodyDiv w:val="1"/>
      <w:marLeft w:val="0"/>
      <w:marRight w:val="0"/>
      <w:marTop w:val="0"/>
      <w:marBottom w:val="0"/>
      <w:divBdr>
        <w:top w:val="none" w:sz="0" w:space="0" w:color="auto"/>
        <w:left w:val="none" w:sz="0" w:space="0" w:color="auto"/>
        <w:bottom w:val="none" w:sz="0" w:space="0" w:color="auto"/>
        <w:right w:val="none" w:sz="0" w:space="0" w:color="auto"/>
      </w:divBdr>
    </w:div>
    <w:div w:id="1849907518">
      <w:bodyDiv w:val="1"/>
      <w:marLeft w:val="0"/>
      <w:marRight w:val="0"/>
      <w:marTop w:val="0"/>
      <w:marBottom w:val="0"/>
      <w:divBdr>
        <w:top w:val="none" w:sz="0" w:space="0" w:color="auto"/>
        <w:left w:val="none" w:sz="0" w:space="0" w:color="auto"/>
        <w:bottom w:val="none" w:sz="0" w:space="0" w:color="auto"/>
        <w:right w:val="none" w:sz="0" w:space="0" w:color="auto"/>
      </w:divBdr>
    </w:div>
    <w:div w:id="1850295448">
      <w:bodyDiv w:val="1"/>
      <w:marLeft w:val="0"/>
      <w:marRight w:val="0"/>
      <w:marTop w:val="0"/>
      <w:marBottom w:val="0"/>
      <w:divBdr>
        <w:top w:val="none" w:sz="0" w:space="0" w:color="auto"/>
        <w:left w:val="none" w:sz="0" w:space="0" w:color="auto"/>
        <w:bottom w:val="none" w:sz="0" w:space="0" w:color="auto"/>
        <w:right w:val="none" w:sz="0" w:space="0" w:color="auto"/>
      </w:divBdr>
    </w:div>
    <w:div w:id="1850411490">
      <w:bodyDiv w:val="1"/>
      <w:marLeft w:val="0"/>
      <w:marRight w:val="0"/>
      <w:marTop w:val="0"/>
      <w:marBottom w:val="0"/>
      <w:divBdr>
        <w:top w:val="none" w:sz="0" w:space="0" w:color="auto"/>
        <w:left w:val="none" w:sz="0" w:space="0" w:color="auto"/>
        <w:bottom w:val="none" w:sz="0" w:space="0" w:color="auto"/>
        <w:right w:val="none" w:sz="0" w:space="0" w:color="auto"/>
      </w:divBdr>
    </w:div>
    <w:div w:id="1850559046">
      <w:bodyDiv w:val="1"/>
      <w:marLeft w:val="0"/>
      <w:marRight w:val="0"/>
      <w:marTop w:val="0"/>
      <w:marBottom w:val="0"/>
      <w:divBdr>
        <w:top w:val="none" w:sz="0" w:space="0" w:color="auto"/>
        <w:left w:val="none" w:sz="0" w:space="0" w:color="auto"/>
        <w:bottom w:val="none" w:sz="0" w:space="0" w:color="auto"/>
        <w:right w:val="none" w:sz="0" w:space="0" w:color="auto"/>
      </w:divBdr>
    </w:div>
    <w:div w:id="1850679150">
      <w:bodyDiv w:val="1"/>
      <w:marLeft w:val="0"/>
      <w:marRight w:val="0"/>
      <w:marTop w:val="0"/>
      <w:marBottom w:val="0"/>
      <w:divBdr>
        <w:top w:val="none" w:sz="0" w:space="0" w:color="auto"/>
        <w:left w:val="none" w:sz="0" w:space="0" w:color="auto"/>
        <w:bottom w:val="none" w:sz="0" w:space="0" w:color="auto"/>
        <w:right w:val="none" w:sz="0" w:space="0" w:color="auto"/>
      </w:divBdr>
    </w:div>
    <w:div w:id="1850829563">
      <w:bodyDiv w:val="1"/>
      <w:marLeft w:val="0"/>
      <w:marRight w:val="0"/>
      <w:marTop w:val="0"/>
      <w:marBottom w:val="0"/>
      <w:divBdr>
        <w:top w:val="none" w:sz="0" w:space="0" w:color="auto"/>
        <w:left w:val="none" w:sz="0" w:space="0" w:color="auto"/>
        <w:bottom w:val="none" w:sz="0" w:space="0" w:color="auto"/>
        <w:right w:val="none" w:sz="0" w:space="0" w:color="auto"/>
      </w:divBdr>
    </w:div>
    <w:div w:id="1851527432">
      <w:bodyDiv w:val="1"/>
      <w:marLeft w:val="0"/>
      <w:marRight w:val="0"/>
      <w:marTop w:val="0"/>
      <w:marBottom w:val="0"/>
      <w:divBdr>
        <w:top w:val="none" w:sz="0" w:space="0" w:color="auto"/>
        <w:left w:val="none" w:sz="0" w:space="0" w:color="auto"/>
        <w:bottom w:val="none" w:sz="0" w:space="0" w:color="auto"/>
        <w:right w:val="none" w:sz="0" w:space="0" w:color="auto"/>
      </w:divBdr>
    </w:div>
    <w:div w:id="1852066071">
      <w:bodyDiv w:val="1"/>
      <w:marLeft w:val="0"/>
      <w:marRight w:val="0"/>
      <w:marTop w:val="0"/>
      <w:marBottom w:val="0"/>
      <w:divBdr>
        <w:top w:val="none" w:sz="0" w:space="0" w:color="auto"/>
        <w:left w:val="none" w:sz="0" w:space="0" w:color="auto"/>
        <w:bottom w:val="none" w:sz="0" w:space="0" w:color="auto"/>
        <w:right w:val="none" w:sz="0" w:space="0" w:color="auto"/>
      </w:divBdr>
    </w:div>
    <w:div w:id="1852067391">
      <w:bodyDiv w:val="1"/>
      <w:marLeft w:val="0"/>
      <w:marRight w:val="0"/>
      <w:marTop w:val="0"/>
      <w:marBottom w:val="0"/>
      <w:divBdr>
        <w:top w:val="none" w:sz="0" w:space="0" w:color="auto"/>
        <w:left w:val="none" w:sz="0" w:space="0" w:color="auto"/>
        <w:bottom w:val="none" w:sz="0" w:space="0" w:color="auto"/>
        <w:right w:val="none" w:sz="0" w:space="0" w:color="auto"/>
      </w:divBdr>
    </w:div>
    <w:div w:id="1852796190">
      <w:bodyDiv w:val="1"/>
      <w:marLeft w:val="0"/>
      <w:marRight w:val="0"/>
      <w:marTop w:val="0"/>
      <w:marBottom w:val="0"/>
      <w:divBdr>
        <w:top w:val="none" w:sz="0" w:space="0" w:color="auto"/>
        <w:left w:val="none" w:sz="0" w:space="0" w:color="auto"/>
        <w:bottom w:val="none" w:sz="0" w:space="0" w:color="auto"/>
        <w:right w:val="none" w:sz="0" w:space="0" w:color="auto"/>
      </w:divBdr>
    </w:div>
    <w:div w:id="1852991129">
      <w:bodyDiv w:val="1"/>
      <w:marLeft w:val="0"/>
      <w:marRight w:val="0"/>
      <w:marTop w:val="0"/>
      <w:marBottom w:val="0"/>
      <w:divBdr>
        <w:top w:val="none" w:sz="0" w:space="0" w:color="auto"/>
        <w:left w:val="none" w:sz="0" w:space="0" w:color="auto"/>
        <w:bottom w:val="none" w:sz="0" w:space="0" w:color="auto"/>
        <w:right w:val="none" w:sz="0" w:space="0" w:color="auto"/>
      </w:divBdr>
    </w:div>
    <w:div w:id="1853033276">
      <w:bodyDiv w:val="1"/>
      <w:marLeft w:val="0"/>
      <w:marRight w:val="0"/>
      <w:marTop w:val="0"/>
      <w:marBottom w:val="0"/>
      <w:divBdr>
        <w:top w:val="none" w:sz="0" w:space="0" w:color="auto"/>
        <w:left w:val="none" w:sz="0" w:space="0" w:color="auto"/>
        <w:bottom w:val="none" w:sz="0" w:space="0" w:color="auto"/>
        <w:right w:val="none" w:sz="0" w:space="0" w:color="auto"/>
      </w:divBdr>
    </w:div>
    <w:div w:id="1853180594">
      <w:bodyDiv w:val="1"/>
      <w:marLeft w:val="0"/>
      <w:marRight w:val="0"/>
      <w:marTop w:val="0"/>
      <w:marBottom w:val="0"/>
      <w:divBdr>
        <w:top w:val="none" w:sz="0" w:space="0" w:color="auto"/>
        <w:left w:val="none" w:sz="0" w:space="0" w:color="auto"/>
        <w:bottom w:val="none" w:sz="0" w:space="0" w:color="auto"/>
        <w:right w:val="none" w:sz="0" w:space="0" w:color="auto"/>
      </w:divBdr>
    </w:div>
    <w:div w:id="1853181578">
      <w:bodyDiv w:val="1"/>
      <w:marLeft w:val="0"/>
      <w:marRight w:val="0"/>
      <w:marTop w:val="0"/>
      <w:marBottom w:val="0"/>
      <w:divBdr>
        <w:top w:val="none" w:sz="0" w:space="0" w:color="auto"/>
        <w:left w:val="none" w:sz="0" w:space="0" w:color="auto"/>
        <w:bottom w:val="none" w:sz="0" w:space="0" w:color="auto"/>
        <w:right w:val="none" w:sz="0" w:space="0" w:color="auto"/>
      </w:divBdr>
    </w:div>
    <w:div w:id="1854493276">
      <w:bodyDiv w:val="1"/>
      <w:marLeft w:val="0"/>
      <w:marRight w:val="0"/>
      <w:marTop w:val="0"/>
      <w:marBottom w:val="0"/>
      <w:divBdr>
        <w:top w:val="none" w:sz="0" w:space="0" w:color="auto"/>
        <w:left w:val="none" w:sz="0" w:space="0" w:color="auto"/>
        <w:bottom w:val="none" w:sz="0" w:space="0" w:color="auto"/>
        <w:right w:val="none" w:sz="0" w:space="0" w:color="auto"/>
      </w:divBdr>
    </w:div>
    <w:div w:id="1855415940">
      <w:bodyDiv w:val="1"/>
      <w:marLeft w:val="0"/>
      <w:marRight w:val="0"/>
      <w:marTop w:val="0"/>
      <w:marBottom w:val="0"/>
      <w:divBdr>
        <w:top w:val="none" w:sz="0" w:space="0" w:color="auto"/>
        <w:left w:val="none" w:sz="0" w:space="0" w:color="auto"/>
        <w:bottom w:val="none" w:sz="0" w:space="0" w:color="auto"/>
        <w:right w:val="none" w:sz="0" w:space="0" w:color="auto"/>
      </w:divBdr>
    </w:div>
    <w:div w:id="1856339483">
      <w:bodyDiv w:val="1"/>
      <w:marLeft w:val="0"/>
      <w:marRight w:val="0"/>
      <w:marTop w:val="0"/>
      <w:marBottom w:val="0"/>
      <w:divBdr>
        <w:top w:val="none" w:sz="0" w:space="0" w:color="auto"/>
        <w:left w:val="none" w:sz="0" w:space="0" w:color="auto"/>
        <w:bottom w:val="none" w:sz="0" w:space="0" w:color="auto"/>
        <w:right w:val="none" w:sz="0" w:space="0" w:color="auto"/>
      </w:divBdr>
    </w:div>
    <w:div w:id="1856380805">
      <w:bodyDiv w:val="1"/>
      <w:marLeft w:val="0"/>
      <w:marRight w:val="0"/>
      <w:marTop w:val="0"/>
      <w:marBottom w:val="0"/>
      <w:divBdr>
        <w:top w:val="none" w:sz="0" w:space="0" w:color="auto"/>
        <w:left w:val="none" w:sz="0" w:space="0" w:color="auto"/>
        <w:bottom w:val="none" w:sz="0" w:space="0" w:color="auto"/>
        <w:right w:val="none" w:sz="0" w:space="0" w:color="auto"/>
      </w:divBdr>
    </w:div>
    <w:div w:id="1857108468">
      <w:bodyDiv w:val="1"/>
      <w:marLeft w:val="0"/>
      <w:marRight w:val="0"/>
      <w:marTop w:val="0"/>
      <w:marBottom w:val="0"/>
      <w:divBdr>
        <w:top w:val="none" w:sz="0" w:space="0" w:color="auto"/>
        <w:left w:val="none" w:sz="0" w:space="0" w:color="auto"/>
        <w:bottom w:val="none" w:sz="0" w:space="0" w:color="auto"/>
        <w:right w:val="none" w:sz="0" w:space="0" w:color="auto"/>
      </w:divBdr>
    </w:div>
    <w:div w:id="1857116513">
      <w:bodyDiv w:val="1"/>
      <w:marLeft w:val="0"/>
      <w:marRight w:val="0"/>
      <w:marTop w:val="0"/>
      <w:marBottom w:val="0"/>
      <w:divBdr>
        <w:top w:val="none" w:sz="0" w:space="0" w:color="auto"/>
        <w:left w:val="none" w:sz="0" w:space="0" w:color="auto"/>
        <w:bottom w:val="none" w:sz="0" w:space="0" w:color="auto"/>
        <w:right w:val="none" w:sz="0" w:space="0" w:color="auto"/>
      </w:divBdr>
    </w:div>
    <w:div w:id="1857426754">
      <w:bodyDiv w:val="1"/>
      <w:marLeft w:val="0"/>
      <w:marRight w:val="0"/>
      <w:marTop w:val="0"/>
      <w:marBottom w:val="0"/>
      <w:divBdr>
        <w:top w:val="none" w:sz="0" w:space="0" w:color="auto"/>
        <w:left w:val="none" w:sz="0" w:space="0" w:color="auto"/>
        <w:bottom w:val="none" w:sz="0" w:space="0" w:color="auto"/>
        <w:right w:val="none" w:sz="0" w:space="0" w:color="auto"/>
      </w:divBdr>
    </w:div>
    <w:div w:id="1857428224">
      <w:bodyDiv w:val="1"/>
      <w:marLeft w:val="0"/>
      <w:marRight w:val="0"/>
      <w:marTop w:val="0"/>
      <w:marBottom w:val="0"/>
      <w:divBdr>
        <w:top w:val="none" w:sz="0" w:space="0" w:color="auto"/>
        <w:left w:val="none" w:sz="0" w:space="0" w:color="auto"/>
        <w:bottom w:val="none" w:sz="0" w:space="0" w:color="auto"/>
        <w:right w:val="none" w:sz="0" w:space="0" w:color="auto"/>
      </w:divBdr>
    </w:div>
    <w:div w:id="1858495160">
      <w:bodyDiv w:val="1"/>
      <w:marLeft w:val="0"/>
      <w:marRight w:val="0"/>
      <w:marTop w:val="0"/>
      <w:marBottom w:val="0"/>
      <w:divBdr>
        <w:top w:val="none" w:sz="0" w:space="0" w:color="auto"/>
        <w:left w:val="none" w:sz="0" w:space="0" w:color="auto"/>
        <w:bottom w:val="none" w:sz="0" w:space="0" w:color="auto"/>
        <w:right w:val="none" w:sz="0" w:space="0" w:color="auto"/>
      </w:divBdr>
    </w:div>
    <w:div w:id="1858618305">
      <w:bodyDiv w:val="1"/>
      <w:marLeft w:val="0"/>
      <w:marRight w:val="0"/>
      <w:marTop w:val="0"/>
      <w:marBottom w:val="0"/>
      <w:divBdr>
        <w:top w:val="none" w:sz="0" w:space="0" w:color="auto"/>
        <w:left w:val="none" w:sz="0" w:space="0" w:color="auto"/>
        <w:bottom w:val="none" w:sz="0" w:space="0" w:color="auto"/>
        <w:right w:val="none" w:sz="0" w:space="0" w:color="auto"/>
      </w:divBdr>
    </w:div>
    <w:div w:id="1858813855">
      <w:bodyDiv w:val="1"/>
      <w:marLeft w:val="0"/>
      <w:marRight w:val="0"/>
      <w:marTop w:val="0"/>
      <w:marBottom w:val="0"/>
      <w:divBdr>
        <w:top w:val="none" w:sz="0" w:space="0" w:color="auto"/>
        <w:left w:val="none" w:sz="0" w:space="0" w:color="auto"/>
        <w:bottom w:val="none" w:sz="0" w:space="0" w:color="auto"/>
        <w:right w:val="none" w:sz="0" w:space="0" w:color="auto"/>
      </w:divBdr>
    </w:div>
    <w:div w:id="1859998281">
      <w:bodyDiv w:val="1"/>
      <w:marLeft w:val="0"/>
      <w:marRight w:val="0"/>
      <w:marTop w:val="0"/>
      <w:marBottom w:val="0"/>
      <w:divBdr>
        <w:top w:val="none" w:sz="0" w:space="0" w:color="auto"/>
        <w:left w:val="none" w:sz="0" w:space="0" w:color="auto"/>
        <w:bottom w:val="none" w:sz="0" w:space="0" w:color="auto"/>
        <w:right w:val="none" w:sz="0" w:space="0" w:color="auto"/>
      </w:divBdr>
    </w:div>
    <w:div w:id="1860193522">
      <w:bodyDiv w:val="1"/>
      <w:marLeft w:val="0"/>
      <w:marRight w:val="0"/>
      <w:marTop w:val="0"/>
      <w:marBottom w:val="0"/>
      <w:divBdr>
        <w:top w:val="none" w:sz="0" w:space="0" w:color="auto"/>
        <w:left w:val="none" w:sz="0" w:space="0" w:color="auto"/>
        <w:bottom w:val="none" w:sz="0" w:space="0" w:color="auto"/>
        <w:right w:val="none" w:sz="0" w:space="0" w:color="auto"/>
      </w:divBdr>
    </w:div>
    <w:div w:id="1860199251">
      <w:bodyDiv w:val="1"/>
      <w:marLeft w:val="0"/>
      <w:marRight w:val="0"/>
      <w:marTop w:val="0"/>
      <w:marBottom w:val="0"/>
      <w:divBdr>
        <w:top w:val="none" w:sz="0" w:space="0" w:color="auto"/>
        <w:left w:val="none" w:sz="0" w:space="0" w:color="auto"/>
        <w:bottom w:val="none" w:sz="0" w:space="0" w:color="auto"/>
        <w:right w:val="none" w:sz="0" w:space="0" w:color="auto"/>
      </w:divBdr>
    </w:div>
    <w:div w:id="1860316746">
      <w:bodyDiv w:val="1"/>
      <w:marLeft w:val="0"/>
      <w:marRight w:val="0"/>
      <w:marTop w:val="0"/>
      <w:marBottom w:val="0"/>
      <w:divBdr>
        <w:top w:val="none" w:sz="0" w:space="0" w:color="auto"/>
        <w:left w:val="none" w:sz="0" w:space="0" w:color="auto"/>
        <w:bottom w:val="none" w:sz="0" w:space="0" w:color="auto"/>
        <w:right w:val="none" w:sz="0" w:space="0" w:color="auto"/>
      </w:divBdr>
    </w:div>
    <w:div w:id="1860436492">
      <w:bodyDiv w:val="1"/>
      <w:marLeft w:val="0"/>
      <w:marRight w:val="0"/>
      <w:marTop w:val="0"/>
      <w:marBottom w:val="0"/>
      <w:divBdr>
        <w:top w:val="none" w:sz="0" w:space="0" w:color="auto"/>
        <w:left w:val="none" w:sz="0" w:space="0" w:color="auto"/>
        <w:bottom w:val="none" w:sz="0" w:space="0" w:color="auto"/>
        <w:right w:val="none" w:sz="0" w:space="0" w:color="auto"/>
      </w:divBdr>
    </w:div>
    <w:div w:id="1860966790">
      <w:bodyDiv w:val="1"/>
      <w:marLeft w:val="0"/>
      <w:marRight w:val="0"/>
      <w:marTop w:val="0"/>
      <w:marBottom w:val="0"/>
      <w:divBdr>
        <w:top w:val="none" w:sz="0" w:space="0" w:color="auto"/>
        <w:left w:val="none" w:sz="0" w:space="0" w:color="auto"/>
        <w:bottom w:val="none" w:sz="0" w:space="0" w:color="auto"/>
        <w:right w:val="none" w:sz="0" w:space="0" w:color="auto"/>
      </w:divBdr>
    </w:div>
    <w:div w:id="1861430366">
      <w:bodyDiv w:val="1"/>
      <w:marLeft w:val="0"/>
      <w:marRight w:val="0"/>
      <w:marTop w:val="0"/>
      <w:marBottom w:val="0"/>
      <w:divBdr>
        <w:top w:val="none" w:sz="0" w:space="0" w:color="auto"/>
        <w:left w:val="none" w:sz="0" w:space="0" w:color="auto"/>
        <w:bottom w:val="none" w:sz="0" w:space="0" w:color="auto"/>
        <w:right w:val="none" w:sz="0" w:space="0" w:color="auto"/>
      </w:divBdr>
    </w:div>
    <w:div w:id="1861577809">
      <w:bodyDiv w:val="1"/>
      <w:marLeft w:val="0"/>
      <w:marRight w:val="0"/>
      <w:marTop w:val="0"/>
      <w:marBottom w:val="0"/>
      <w:divBdr>
        <w:top w:val="none" w:sz="0" w:space="0" w:color="auto"/>
        <w:left w:val="none" w:sz="0" w:space="0" w:color="auto"/>
        <w:bottom w:val="none" w:sz="0" w:space="0" w:color="auto"/>
        <w:right w:val="none" w:sz="0" w:space="0" w:color="auto"/>
      </w:divBdr>
    </w:div>
    <w:div w:id="1861627161">
      <w:bodyDiv w:val="1"/>
      <w:marLeft w:val="0"/>
      <w:marRight w:val="0"/>
      <w:marTop w:val="0"/>
      <w:marBottom w:val="0"/>
      <w:divBdr>
        <w:top w:val="none" w:sz="0" w:space="0" w:color="auto"/>
        <w:left w:val="none" w:sz="0" w:space="0" w:color="auto"/>
        <w:bottom w:val="none" w:sz="0" w:space="0" w:color="auto"/>
        <w:right w:val="none" w:sz="0" w:space="0" w:color="auto"/>
      </w:divBdr>
    </w:div>
    <w:div w:id="1861966610">
      <w:bodyDiv w:val="1"/>
      <w:marLeft w:val="0"/>
      <w:marRight w:val="0"/>
      <w:marTop w:val="0"/>
      <w:marBottom w:val="0"/>
      <w:divBdr>
        <w:top w:val="none" w:sz="0" w:space="0" w:color="auto"/>
        <w:left w:val="none" w:sz="0" w:space="0" w:color="auto"/>
        <w:bottom w:val="none" w:sz="0" w:space="0" w:color="auto"/>
        <w:right w:val="none" w:sz="0" w:space="0" w:color="auto"/>
      </w:divBdr>
    </w:div>
    <w:div w:id="1862237693">
      <w:bodyDiv w:val="1"/>
      <w:marLeft w:val="0"/>
      <w:marRight w:val="0"/>
      <w:marTop w:val="0"/>
      <w:marBottom w:val="0"/>
      <w:divBdr>
        <w:top w:val="none" w:sz="0" w:space="0" w:color="auto"/>
        <w:left w:val="none" w:sz="0" w:space="0" w:color="auto"/>
        <w:bottom w:val="none" w:sz="0" w:space="0" w:color="auto"/>
        <w:right w:val="none" w:sz="0" w:space="0" w:color="auto"/>
      </w:divBdr>
    </w:div>
    <w:div w:id="1862276327">
      <w:bodyDiv w:val="1"/>
      <w:marLeft w:val="0"/>
      <w:marRight w:val="0"/>
      <w:marTop w:val="0"/>
      <w:marBottom w:val="0"/>
      <w:divBdr>
        <w:top w:val="none" w:sz="0" w:space="0" w:color="auto"/>
        <w:left w:val="none" w:sz="0" w:space="0" w:color="auto"/>
        <w:bottom w:val="none" w:sz="0" w:space="0" w:color="auto"/>
        <w:right w:val="none" w:sz="0" w:space="0" w:color="auto"/>
      </w:divBdr>
    </w:div>
    <w:div w:id="1862475883">
      <w:bodyDiv w:val="1"/>
      <w:marLeft w:val="0"/>
      <w:marRight w:val="0"/>
      <w:marTop w:val="0"/>
      <w:marBottom w:val="0"/>
      <w:divBdr>
        <w:top w:val="none" w:sz="0" w:space="0" w:color="auto"/>
        <w:left w:val="none" w:sz="0" w:space="0" w:color="auto"/>
        <w:bottom w:val="none" w:sz="0" w:space="0" w:color="auto"/>
        <w:right w:val="none" w:sz="0" w:space="0" w:color="auto"/>
      </w:divBdr>
    </w:div>
    <w:div w:id="1862620226">
      <w:bodyDiv w:val="1"/>
      <w:marLeft w:val="0"/>
      <w:marRight w:val="0"/>
      <w:marTop w:val="0"/>
      <w:marBottom w:val="0"/>
      <w:divBdr>
        <w:top w:val="none" w:sz="0" w:space="0" w:color="auto"/>
        <w:left w:val="none" w:sz="0" w:space="0" w:color="auto"/>
        <w:bottom w:val="none" w:sz="0" w:space="0" w:color="auto"/>
        <w:right w:val="none" w:sz="0" w:space="0" w:color="auto"/>
      </w:divBdr>
    </w:div>
    <w:div w:id="1862932291">
      <w:bodyDiv w:val="1"/>
      <w:marLeft w:val="0"/>
      <w:marRight w:val="0"/>
      <w:marTop w:val="0"/>
      <w:marBottom w:val="0"/>
      <w:divBdr>
        <w:top w:val="none" w:sz="0" w:space="0" w:color="auto"/>
        <w:left w:val="none" w:sz="0" w:space="0" w:color="auto"/>
        <w:bottom w:val="none" w:sz="0" w:space="0" w:color="auto"/>
        <w:right w:val="none" w:sz="0" w:space="0" w:color="auto"/>
      </w:divBdr>
    </w:div>
    <w:div w:id="1863207370">
      <w:bodyDiv w:val="1"/>
      <w:marLeft w:val="0"/>
      <w:marRight w:val="0"/>
      <w:marTop w:val="0"/>
      <w:marBottom w:val="0"/>
      <w:divBdr>
        <w:top w:val="none" w:sz="0" w:space="0" w:color="auto"/>
        <w:left w:val="none" w:sz="0" w:space="0" w:color="auto"/>
        <w:bottom w:val="none" w:sz="0" w:space="0" w:color="auto"/>
        <w:right w:val="none" w:sz="0" w:space="0" w:color="auto"/>
      </w:divBdr>
    </w:div>
    <w:div w:id="1864005296">
      <w:bodyDiv w:val="1"/>
      <w:marLeft w:val="0"/>
      <w:marRight w:val="0"/>
      <w:marTop w:val="0"/>
      <w:marBottom w:val="0"/>
      <w:divBdr>
        <w:top w:val="none" w:sz="0" w:space="0" w:color="auto"/>
        <w:left w:val="none" w:sz="0" w:space="0" w:color="auto"/>
        <w:bottom w:val="none" w:sz="0" w:space="0" w:color="auto"/>
        <w:right w:val="none" w:sz="0" w:space="0" w:color="auto"/>
      </w:divBdr>
    </w:div>
    <w:div w:id="1864130716">
      <w:bodyDiv w:val="1"/>
      <w:marLeft w:val="0"/>
      <w:marRight w:val="0"/>
      <w:marTop w:val="0"/>
      <w:marBottom w:val="0"/>
      <w:divBdr>
        <w:top w:val="none" w:sz="0" w:space="0" w:color="auto"/>
        <w:left w:val="none" w:sz="0" w:space="0" w:color="auto"/>
        <w:bottom w:val="none" w:sz="0" w:space="0" w:color="auto"/>
        <w:right w:val="none" w:sz="0" w:space="0" w:color="auto"/>
      </w:divBdr>
    </w:div>
    <w:div w:id="1865049887">
      <w:bodyDiv w:val="1"/>
      <w:marLeft w:val="0"/>
      <w:marRight w:val="0"/>
      <w:marTop w:val="0"/>
      <w:marBottom w:val="0"/>
      <w:divBdr>
        <w:top w:val="none" w:sz="0" w:space="0" w:color="auto"/>
        <w:left w:val="none" w:sz="0" w:space="0" w:color="auto"/>
        <w:bottom w:val="none" w:sz="0" w:space="0" w:color="auto"/>
        <w:right w:val="none" w:sz="0" w:space="0" w:color="auto"/>
      </w:divBdr>
    </w:div>
    <w:div w:id="1865247620">
      <w:bodyDiv w:val="1"/>
      <w:marLeft w:val="0"/>
      <w:marRight w:val="0"/>
      <w:marTop w:val="0"/>
      <w:marBottom w:val="0"/>
      <w:divBdr>
        <w:top w:val="none" w:sz="0" w:space="0" w:color="auto"/>
        <w:left w:val="none" w:sz="0" w:space="0" w:color="auto"/>
        <w:bottom w:val="none" w:sz="0" w:space="0" w:color="auto"/>
        <w:right w:val="none" w:sz="0" w:space="0" w:color="auto"/>
      </w:divBdr>
    </w:div>
    <w:div w:id="1865249069">
      <w:bodyDiv w:val="1"/>
      <w:marLeft w:val="0"/>
      <w:marRight w:val="0"/>
      <w:marTop w:val="0"/>
      <w:marBottom w:val="0"/>
      <w:divBdr>
        <w:top w:val="none" w:sz="0" w:space="0" w:color="auto"/>
        <w:left w:val="none" w:sz="0" w:space="0" w:color="auto"/>
        <w:bottom w:val="none" w:sz="0" w:space="0" w:color="auto"/>
        <w:right w:val="none" w:sz="0" w:space="0" w:color="auto"/>
      </w:divBdr>
    </w:div>
    <w:div w:id="1865289665">
      <w:bodyDiv w:val="1"/>
      <w:marLeft w:val="0"/>
      <w:marRight w:val="0"/>
      <w:marTop w:val="0"/>
      <w:marBottom w:val="0"/>
      <w:divBdr>
        <w:top w:val="none" w:sz="0" w:space="0" w:color="auto"/>
        <w:left w:val="none" w:sz="0" w:space="0" w:color="auto"/>
        <w:bottom w:val="none" w:sz="0" w:space="0" w:color="auto"/>
        <w:right w:val="none" w:sz="0" w:space="0" w:color="auto"/>
      </w:divBdr>
    </w:div>
    <w:div w:id="1865358886">
      <w:bodyDiv w:val="1"/>
      <w:marLeft w:val="0"/>
      <w:marRight w:val="0"/>
      <w:marTop w:val="0"/>
      <w:marBottom w:val="0"/>
      <w:divBdr>
        <w:top w:val="none" w:sz="0" w:space="0" w:color="auto"/>
        <w:left w:val="none" w:sz="0" w:space="0" w:color="auto"/>
        <w:bottom w:val="none" w:sz="0" w:space="0" w:color="auto"/>
        <w:right w:val="none" w:sz="0" w:space="0" w:color="auto"/>
      </w:divBdr>
    </w:div>
    <w:div w:id="1865747292">
      <w:bodyDiv w:val="1"/>
      <w:marLeft w:val="0"/>
      <w:marRight w:val="0"/>
      <w:marTop w:val="0"/>
      <w:marBottom w:val="0"/>
      <w:divBdr>
        <w:top w:val="none" w:sz="0" w:space="0" w:color="auto"/>
        <w:left w:val="none" w:sz="0" w:space="0" w:color="auto"/>
        <w:bottom w:val="none" w:sz="0" w:space="0" w:color="auto"/>
        <w:right w:val="none" w:sz="0" w:space="0" w:color="auto"/>
      </w:divBdr>
    </w:div>
    <w:div w:id="1866165743">
      <w:bodyDiv w:val="1"/>
      <w:marLeft w:val="0"/>
      <w:marRight w:val="0"/>
      <w:marTop w:val="0"/>
      <w:marBottom w:val="0"/>
      <w:divBdr>
        <w:top w:val="none" w:sz="0" w:space="0" w:color="auto"/>
        <w:left w:val="none" w:sz="0" w:space="0" w:color="auto"/>
        <w:bottom w:val="none" w:sz="0" w:space="0" w:color="auto"/>
        <w:right w:val="none" w:sz="0" w:space="0" w:color="auto"/>
      </w:divBdr>
    </w:div>
    <w:div w:id="1866596428">
      <w:bodyDiv w:val="1"/>
      <w:marLeft w:val="0"/>
      <w:marRight w:val="0"/>
      <w:marTop w:val="0"/>
      <w:marBottom w:val="0"/>
      <w:divBdr>
        <w:top w:val="none" w:sz="0" w:space="0" w:color="auto"/>
        <w:left w:val="none" w:sz="0" w:space="0" w:color="auto"/>
        <w:bottom w:val="none" w:sz="0" w:space="0" w:color="auto"/>
        <w:right w:val="none" w:sz="0" w:space="0" w:color="auto"/>
      </w:divBdr>
    </w:div>
    <w:div w:id="1867333081">
      <w:bodyDiv w:val="1"/>
      <w:marLeft w:val="0"/>
      <w:marRight w:val="0"/>
      <w:marTop w:val="0"/>
      <w:marBottom w:val="0"/>
      <w:divBdr>
        <w:top w:val="none" w:sz="0" w:space="0" w:color="auto"/>
        <w:left w:val="none" w:sz="0" w:space="0" w:color="auto"/>
        <w:bottom w:val="none" w:sz="0" w:space="0" w:color="auto"/>
        <w:right w:val="none" w:sz="0" w:space="0" w:color="auto"/>
      </w:divBdr>
    </w:div>
    <w:div w:id="1867475747">
      <w:bodyDiv w:val="1"/>
      <w:marLeft w:val="0"/>
      <w:marRight w:val="0"/>
      <w:marTop w:val="0"/>
      <w:marBottom w:val="0"/>
      <w:divBdr>
        <w:top w:val="none" w:sz="0" w:space="0" w:color="auto"/>
        <w:left w:val="none" w:sz="0" w:space="0" w:color="auto"/>
        <w:bottom w:val="none" w:sz="0" w:space="0" w:color="auto"/>
        <w:right w:val="none" w:sz="0" w:space="0" w:color="auto"/>
      </w:divBdr>
    </w:div>
    <w:div w:id="1868176729">
      <w:bodyDiv w:val="1"/>
      <w:marLeft w:val="0"/>
      <w:marRight w:val="0"/>
      <w:marTop w:val="0"/>
      <w:marBottom w:val="0"/>
      <w:divBdr>
        <w:top w:val="none" w:sz="0" w:space="0" w:color="auto"/>
        <w:left w:val="none" w:sz="0" w:space="0" w:color="auto"/>
        <w:bottom w:val="none" w:sz="0" w:space="0" w:color="auto"/>
        <w:right w:val="none" w:sz="0" w:space="0" w:color="auto"/>
      </w:divBdr>
    </w:div>
    <w:div w:id="1868255623">
      <w:bodyDiv w:val="1"/>
      <w:marLeft w:val="0"/>
      <w:marRight w:val="0"/>
      <w:marTop w:val="0"/>
      <w:marBottom w:val="0"/>
      <w:divBdr>
        <w:top w:val="none" w:sz="0" w:space="0" w:color="auto"/>
        <w:left w:val="none" w:sz="0" w:space="0" w:color="auto"/>
        <w:bottom w:val="none" w:sz="0" w:space="0" w:color="auto"/>
        <w:right w:val="none" w:sz="0" w:space="0" w:color="auto"/>
      </w:divBdr>
    </w:div>
    <w:div w:id="1868786706">
      <w:bodyDiv w:val="1"/>
      <w:marLeft w:val="0"/>
      <w:marRight w:val="0"/>
      <w:marTop w:val="0"/>
      <w:marBottom w:val="0"/>
      <w:divBdr>
        <w:top w:val="none" w:sz="0" w:space="0" w:color="auto"/>
        <w:left w:val="none" w:sz="0" w:space="0" w:color="auto"/>
        <w:bottom w:val="none" w:sz="0" w:space="0" w:color="auto"/>
        <w:right w:val="none" w:sz="0" w:space="0" w:color="auto"/>
      </w:divBdr>
    </w:div>
    <w:div w:id="1868836766">
      <w:bodyDiv w:val="1"/>
      <w:marLeft w:val="0"/>
      <w:marRight w:val="0"/>
      <w:marTop w:val="0"/>
      <w:marBottom w:val="0"/>
      <w:divBdr>
        <w:top w:val="none" w:sz="0" w:space="0" w:color="auto"/>
        <w:left w:val="none" w:sz="0" w:space="0" w:color="auto"/>
        <w:bottom w:val="none" w:sz="0" w:space="0" w:color="auto"/>
        <w:right w:val="none" w:sz="0" w:space="0" w:color="auto"/>
      </w:divBdr>
    </w:div>
    <w:div w:id="1868911410">
      <w:bodyDiv w:val="1"/>
      <w:marLeft w:val="0"/>
      <w:marRight w:val="0"/>
      <w:marTop w:val="0"/>
      <w:marBottom w:val="0"/>
      <w:divBdr>
        <w:top w:val="none" w:sz="0" w:space="0" w:color="auto"/>
        <w:left w:val="none" w:sz="0" w:space="0" w:color="auto"/>
        <w:bottom w:val="none" w:sz="0" w:space="0" w:color="auto"/>
        <w:right w:val="none" w:sz="0" w:space="0" w:color="auto"/>
      </w:divBdr>
    </w:div>
    <w:div w:id="1869441470">
      <w:bodyDiv w:val="1"/>
      <w:marLeft w:val="0"/>
      <w:marRight w:val="0"/>
      <w:marTop w:val="0"/>
      <w:marBottom w:val="0"/>
      <w:divBdr>
        <w:top w:val="none" w:sz="0" w:space="0" w:color="auto"/>
        <w:left w:val="none" w:sz="0" w:space="0" w:color="auto"/>
        <w:bottom w:val="none" w:sz="0" w:space="0" w:color="auto"/>
        <w:right w:val="none" w:sz="0" w:space="0" w:color="auto"/>
      </w:divBdr>
    </w:div>
    <w:div w:id="1869563833">
      <w:bodyDiv w:val="1"/>
      <w:marLeft w:val="0"/>
      <w:marRight w:val="0"/>
      <w:marTop w:val="0"/>
      <w:marBottom w:val="0"/>
      <w:divBdr>
        <w:top w:val="none" w:sz="0" w:space="0" w:color="auto"/>
        <w:left w:val="none" w:sz="0" w:space="0" w:color="auto"/>
        <w:bottom w:val="none" w:sz="0" w:space="0" w:color="auto"/>
        <w:right w:val="none" w:sz="0" w:space="0" w:color="auto"/>
      </w:divBdr>
    </w:div>
    <w:div w:id="1869565806">
      <w:bodyDiv w:val="1"/>
      <w:marLeft w:val="0"/>
      <w:marRight w:val="0"/>
      <w:marTop w:val="0"/>
      <w:marBottom w:val="0"/>
      <w:divBdr>
        <w:top w:val="none" w:sz="0" w:space="0" w:color="auto"/>
        <w:left w:val="none" w:sz="0" w:space="0" w:color="auto"/>
        <w:bottom w:val="none" w:sz="0" w:space="0" w:color="auto"/>
        <w:right w:val="none" w:sz="0" w:space="0" w:color="auto"/>
      </w:divBdr>
    </w:div>
    <w:div w:id="1869879003">
      <w:bodyDiv w:val="1"/>
      <w:marLeft w:val="0"/>
      <w:marRight w:val="0"/>
      <w:marTop w:val="0"/>
      <w:marBottom w:val="0"/>
      <w:divBdr>
        <w:top w:val="none" w:sz="0" w:space="0" w:color="auto"/>
        <w:left w:val="none" w:sz="0" w:space="0" w:color="auto"/>
        <w:bottom w:val="none" w:sz="0" w:space="0" w:color="auto"/>
        <w:right w:val="none" w:sz="0" w:space="0" w:color="auto"/>
      </w:divBdr>
    </w:div>
    <w:div w:id="1870029509">
      <w:bodyDiv w:val="1"/>
      <w:marLeft w:val="0"/>
      <w:marRight w:val="0"/>
      <w:marTop w:val="0"/>
      <w:marBottom w:val="0"/>
      <w:divBdr>
        <w:top w:val="none" w:sz="0" w:space="0" w:color="auto"/>
        <w:left w:val="none" w:sz="0" w:space="0" w:color="auto"/>
        <w:bottom w:val="none" w:sz="0" w:space="0" w:color="auto"/>
        <w:right w:val="none" w:sz="0" w:space="0" w:color="auto"/>
      </w:divBdr>
    </w:div>
    <w:div w:id="1870140957">
      <w:bodyDiv w:val="1"/>
      <w:marLeft w:val="0"/>
      <w:marRight w:val="0"/>
      <w:marTop w:val="0"/>
      <w:marBottom w:val="0"/>
      <w:divBdr>
        <w:top w:val="none" w:sz="0" w:space="0" w:color="auto"/>
        <w:left w:val="none" w:sz="0" w:space="0" w:color="auto"/>
        <w:bottom w:val="none" w:sz="0" w:space="0" w:color="auto"/>
        <w:right w:val="none" w:sz="0" w:space="0" w:color="auto"/>
      </w:divBdr>
    </w:div>
    <w:div w:id="1870144368">
      <w:bodyDiv w:val="1"/>
      <w:marLeft w:val="0"/>
      <w:marRight w:val="0"/>
      <w:marTop w:val="0"/>
      <w:marBottom w:val="0"/>
      <w:divBdr>
        <w:top w:val="none" w:sz="0" w:space="0" w:color="auto"/>
        <w:left w:val="none" w:sz="0" w:space="0" w:color="auto"/>
        <w:bottom w:val="none" w:sz="0" w:space="0" w:color="auto"/>
        <w:right w:val="none" w:sz="0" w:space="0" w:color="auto"/>
      </w:divBdr>
    </w:div>
    <w:div w:id="1870408170">
      <w:bodyDiv w:val="1"/>
      <w:marLeft w:val="0"/>
      <w:marRight w:val="0"/>
      <w:marTop w:val="0"/>
      <w:marBottom w:val="0"/>
      <w:divBdr>
        <w:top w:val="none" w:sz="0" w:space="0" w:color="auto"/>
        <w:left w:val="none" w:sz="0" w:space="0" w:color="auto"/>
        <w:bottom w:val="none" w:sz="0" w:space="0" w:color="auto"/>
        <w:right w:val="none" w:sz="0" w:space="0" w:color="auto"/>
      </w:divBdr>
    </w:div>
    <w:div w:id="1870482178">
      <w:bodyDiv w:val="1"/>
      <w:marLeft w:val="0"/>
      <w:marRight w:val="0"/>
      <w:marTop w:val="0"/>
      <w:marBottom w:val="0"/>
      <w:divBdr>
        <w:top w:val="none" w:sz="0" w:space="0" w:color="auto"/>
        <w:left w:val="none" w:sz="0" w:space="0" w:color="auto"/>
        <w:bottom w:val="none" w:sz="0" w:space="0" w:color="auto"/>
        <w:right w:val="none" w:sz="0" w:space="0" w:color="auto"/>
      </w:divBdr>
    </w:div>
    <w:div w:id="1870528697">
      <w:bodyDiv w:val="1"/>
      <w:marLeft w:val="0"/>
      <w:marRight w:val="0"/>
      <w:marTop w:val="0"/>
      <w:marBottom w:val="0"/>
      <w:divBdr>
        <w:top w:val="none" w:sz="0" w:space="0" w:color="auto"/>
        <w:left w:val="none" w:sz="0" w:space="0" w:color="auto"/>
        <w:bottom w:val="none" w:sz="0" w:space="0" w:color="auto"/>
        <w:right w:val="none" w:sz="0" w:space="0" w:color="auto"/>
      </w:divBdr>
    </w:div>
    <w:div w:id="1871793747">
      <w:bodyDiv w:val="1"/>
      <w:marLeft w:val="0"/>
      <w:marRight w:val="0"/>
      <w:marTop w:val="0"/>
      <w:marBottom w:val="0"/>
      <w:divBdr>
        <w:top w:val="none" w:sz="0" w:space="0" w:color="auto"/>
        <w:left w:val="none" w:sz="0" w:space="0" w:color="auto"/>
        <w:bottom w:val="none" w:sz="0" w:space="0" w:color="auto"/>
        <w:right w:val="none" w:sz="0" w:space="0" w:color="auto"/>
      </w:divBdr>
    </w:div>
    <w:div w:id="1871842366">
      <w:bodyDiv w:val="1"/>
      <w:marLeft w:val="0"/>
      <w:marRight w:val="0"/>
      <w:marTop w:val="0"/>
      <w:marBottom w:val="0"/>
      <w:divBdr>
        <w:top w:val="none" w:sz="0" w:space="0" w:color="auto"/>
        <w:left w:val="none" w:sz="0" w:space="0" w:color="auto"/>
        <w:bottom w:val="none" w:sz="0" w:space="0" w:color="auto"/>
        <w:right w:val="none" w:sz="0" w:space="0" w:color="auto"/>
      </w:divBdr>
    </w:div>
    <w:div w:id="1871912476">
      <w:bodyDiv w:val="1"/>
      <w:marLeft w:val="0"/>
      <w:marRight w:val="0"/>
      <w:marTop w:val="0"/>
      <w:marBottom w:val="0"/>
      <w:divBdr>
        <w:top w:val="none" w:sz="0" w:space="0" w:color="auto"/>
        <w:left w:val="none" w:sz="0" w:space="0" w:color="auto"/>
        <w:bottom w:val="none" w:sz="0" w:space="0" w:color="auto"/>
        <w:right w:val="none" w:sz="0" w:space="0" w:color="auto"/>
      </w:divBdr>
    </w:div>
    <w:div w:id="1873346710">
      <w:bodyDiv w:val="1"/>
      <w:marLeft w:val="0"/>
      <w:marRight w:val="0"/>
      <w:marTop w:val="0"/>
      <w:marBottom w:val="0"/>
      <w:divBdr>
        <w:top w:val="none" w:sz="0" w:space="0" w:color="auto"/>
        <w:left w:val="none" w:sz="0" w:space="0" w:color="auto"/>
        <w:bottom w:val="none" w:sz="0" w:space="0" w:color="auto"/>
        <w:right w:val="none" w:sz="0" w:space="0" w:color="auto"/>
      </w:divBdr>
    </w:div>
    <w:div w:id="1874416648">
      <w:bodyDiv w:val="1"/>
      <w:marLeft w:val="0"/>
      <w:marRight w:val="0"/>
      <w:marTop w:val="0"/>
      <w:marBottom w:val="0"/>
      <w:divBdr>
        <w:top w:val="none" w:sz="0" w:space="0" w:color="auto"/>
        <w:left w:val="none" w:sz="0" w:space="0" w:color="auto"/>
        <w:bottom w:val="none" w:sz="0" w:space="0" w:color="auto"/>
        <w:right w:val="none" w:sz="0" w:space="0" w:color="auto"/>
      </w:divBdr>
    </w:div>
    <w:div w:id="1874465875">
      <w:bodyDiv w:val="1"/>
      <w:marLeft w:val="0"/>
      <w:marRight w:val="0"/>
      <w:marTop w:val="0"/>
      <w:marBottom w:val="0"/>
      <w:divBdr>
        <w:top w:val="none" w:sz="0" w:space="0" w:color="auto"/>
        <w:left w:val="none" w:sz="0" w:space="0" w:color="auto"/>
        <w:bottom w:val="none" w:sz="0" w:space="0" w:color="auto"/>
        <w:right w:val="none" w:sz="0" w:space="0" w:color="auto"/>
      </w:divBdr>
    </w:div>
    <w:div w:id="1874532179">
      <w:bodyDiv w:val="1"/>
      <w:marLeft w:val="0"/>
      <w:marRight w:val="0"/>
      <w:marTop w:val="0"/>
      <w:marBottom w:val="0"/>
      <w:divBdr>
        <w:top w:val="none" w:sz="0" w:space="0" w:color="auto"/>
        <w:left w:val="none" w:sz="0" w:space="0" w:color="auto"/>
        <w:bottom w:val="none" w:sz="0" w:space="0" w:color="auto"/>
        <w:right w:val="none" w:sz="0" w:space="0" w:color="auto"/>
      </w:divBdr>
    </w:div>
    <w:div w:id="1874607675">
      <w:bodyDiv w:val="1"/>
      <w:marLeft w:val="0"/>
      <w:marRight w:val="0"/>
      <w:marTop w:val="0"/>
      <w:marBottom w:val="0"/>
      <w:divBdr>
        <w:top w:val="none" w:sz="0" w:space="0" w:color="auto"/>
        <w:left w:val="none" w:sz="0" w:space="0" w:color="auto"/>
        <w:bottom w:val="none" w:sz="0" w:space="0" w:color="auto"/>
        <w:right w:val="none" w:sz="0" w:space="0" w:color="auto"/>
      </w:divBdr>
    </w:div>
    <w:div w:id="1875071708">
      <w:bodyDiv w:val="1"/>
      <w:marLeft w:val="0"/>
      <w:marRight w:val="0"/>
      <w:marTop w:val="0"/>
      <w:marBottom w:val="0"/>
      <w:divBdr>
        <w:top w:val="none" w:sz="0" w:space="0" w:color="auto"/>
        <w:left w:val="none" w:sz="0" w:space="0" w:color="auto"/>
        <w:bottom w:val="none" w:sz="0" w:space="0" w:color="auto"/>
        <w:right w:val="none" w:sz="0" w:space="0" w:color="auto"/>
      </w:divBdr>
    </w:div>
    <w:div w:id="1875116500">
      <w:bodyDiv w:val="1"/>
      <w:marLeft w:val="0"/>
      <w:marRight w:val="0"/>
      <w:marTop w:val="0"/>
      <w:marBottom w:val="0"/>
      <w:divBdr>
        <w:top w:val="none" w:sz="0" w:space="0" w:color="auto"/>
        <w:left w:val="none" w:sz="0" w:space="0" w:color="auto"/>
        <w:bottom w:val="none" w:sz="0" w:space="0" w:color="auto"/>
        <w:right w:val="none" w:sz="0" w:space="0" w:color="auto"/>
      </w:divBdr>
    </w:div>
    <w:div w:id="1875119730">
      <w:bodyDiv w:val="1"/>
      <w:marLeft w:val="0"/>
      <w:marRight w:val="0"/>
      <w:marTop w:val="0"/>
      <w:marBottom w:val="0"/>
      <w:divBdr>
        <w:top w:val="none" w:sz="0" w:space="0" w:color="auto"/>
        <w:left w:val="none" w:sz="0" w:space="0" w:color="auto"/>
        <w:bottom w:val="none" w:sz="0" w:space="0" w:color="auto"/>
        <w:right w:val="none" w:sz="0" w:space="0" w:color="auto"/>
      </w:divBdr>
    </w:div>
    <w:div w:id="1875579077">
      <w:bodyDiv w:val="1"/>
      <w:marLeft w:val="0"/>
      <w:marRight w:val="0"/>
      <w:marTop w:val="0"/>
      <w:marBottom w:val="0"/>
      <w:divBdr>
        <w:top w:val="none" w:sz="0" w:space="0" w:color="auto"/>
        <w:left w:val="none" w:sz="0" w:space="0" w:color="auto"/>
        <w:bottom w:val="none" w:sz="0" w:space="0" w:color="auto"/>
        <w:right w:val="none" w:sz="0" w:space="0" w:color="auto"/>
      </w:divBdr>
    </w:div>
    <w:div w:id="1875725205">
      <w:bodyDiv w:val="1"/>
      <w:marLeft w:val="0"/>
      <w:marRight w:val="0"/>
      <w:marTop w:val="0"/>
      <w:marBottom w:val="0"/>
      <w:divBdr>
        <w:top w:val="none" w:sz="0" w:space="0" w:color="auto"/>
        <w:left w:val="none" w:sz="0" w:space="0" w:color="auto"/>
        <w:bottom w:val="none" w:sz="0" w:space="0" w:color="auto"/>
        <w:right w:val="none" w:sz="0" w:space="0" w:color="auto"/>
      </w:divBdr>
    </w:div>
    <w:div w:id="1876848070">
      <w:bodyDiv w:val="1"/>
      <w:marLeft w:val="0"/>
      <w:marRight w:val="0"/>
      <w:marTop w:val="0"/>
      <w:marBottom w:val="0"/>
      <w:divBdr>
        <w:top w:val="none" w:sz="0" w:space="0" w:color="auto"/>
        <w:left w:val="none" w:sz="0" w:space="0" w:color="auto"/>
        <w:bottom w:val="none" w:sz="0" w:space="0" w:color="auto"/>
        <w:right w:val="none" w:sz="0" w:space="0" w:color="auto"/>
      </w:divBdr>
    </w:div>
    <w:div w:id="1877036608">
      <w:bodyDiv w:val="1"/>
      <w:marLeft w:val="0"/>
      <w:marRight w:val="0"/>
      <w:marTop w:val="0"/>
      <w:marBottom w:val="0"/>
      <w:divBdr>
        <w:top w:val="none" w:sz="0" w:space="0" w:color="auto"/>
        <w:left w:val="none" w:sz="0" w:space="0" w:color="auto"/>
        <w:bottom w:val="none" w:sz="0" w:space="0" w:color="auto"/>
        <w:right w:val="none" w:sz="0" w:space="0" w:color="auto"/>
      </w:divBdr>
    </w:div>
    <w:div w:id="1877768391">
      <w:bodyDiv w:val="1"/>
      <w:marLeft w:val="0"/>
      <w:marRight w:val="0"/>
      <w:marTop w:val="0"/>
      <w:marBottom w:val="0"/>
      <w:divBdr>
        <w:top w:val="none" w:sz="0" w:space="0" w:color="auto"/>
        <w:left w:val="none" w:sz="0" w:space="0" w:color="auto"/>
        <w:bottom w:val="none" w:sz="0" w:space="0" w:color="auto"/>
        <w:right w:val="none" w:sz="0" w:space="0" w:color="auto"/>
      </w:divBdr>
    </w:div>
    <w:div w:id="1877810253">
      <w:bodyDiv w:val="1"/>
      <w:marLeft w:val="0"/>
      <w:marRight w:val="0"/>
      <w:marTop w:val="0"/>
      <w:marBottom w:val="0"/>
      <w:divBdr>
        <w:top w:val="none" w:sz="0" w:space="0" w:color="auto"/>
        <w:left w:val="none" w:sz="0" w:space="0" w:color="auto"/>
        <w:bottom w:val="none" w:sz="0" w:space="0" w:color="auto"/>
        <w:right w:val="none" w:sz="0" w:space="0" w:color="auto"/>
      </w:divBdr>
    </w:div>
    <w:div w:id="1877815375">
      <w:bodyDiv w:val="1"/>
      <w:marLeft w:val="0"/>
      <w:marRight w:val="0"/>
      <w:marTop w:val="0"/>
      <w:marBottom w:val="0"/>
      <w:divBdr>
        <w:top w:val="none" w:sz="0" w:space="0" w:color="auto"/>
        <w:left w:val="none" w:sz="0" w:space="0" w:color="auto"/>
        <w:bottom w:val="none" w:sz="0" w:space="0" w:color="auto"/>
        <w:right w:val="none" w:sz="0" w:space="0" w:color="auto"/>
      </w:divBdr>
    </w:div>
    <w:div w:id="1878471814">
      <w:bodyDiv w:val="1"/>
      <w:marLeft w:val="0"/>
      <w:marRight w:val="0"/>
      <w:marTop w:val="0"/>
      <w:marBottom w:val="0"/>
      <w:divBdr>
        <w:top w:val="none" w:sz="0" w:space="0" w:color="auto"/>
        <w:left w:val="none" w:sz="0" w:space="0" w:color="auto"/>
        <w:bottom w:val="none" w:sz="0" w:space="0" w:color="auto"/>
        <w:right w:val="none" w:sz="0" w:space="0" w:color="auto"/>
      </w:divBdr>
    </w:div>
    <w:div w:id="1879733341">
      <w:bodyDiv w:val="1"/>
      <w:marLeft w:val="0"/>
      <w:marRight w:val="0"/>
      <w:marTop w:val="0"/>
      <w:marBottom w:val="0"/>
      <w:divBdr>
        <w:top w:val="none" w:sz="0" w:space="0" w:color="auto"/>
        <w:left w:val="none" w:sz="0" w:space="0" w:color="auto"/>
        <w:bottom w:val="none" w:sz="0" w:space="0" w:color="auto"/>
        <w:right w:val="none" w:sz="0" w:space="0" w:color="auto"/>
      </w:divBdr>
    </w:div>
    <w:div w:id="1880194485">
      <w:bodyDiv w:val="1"/>
      <w:marLeft w:val="0"/>
      <w:marRight w:val="0"/>
      <w:marTop w:val="0"/>
      <w:marBottom w:val="0"/>
      <w:divBdr>
        <w:top w:val="none" w:sz="0" w:space="0" w:color="auto"/>
        <w:left w:val="none" w:sz="0" w:space="0" w:color="auto"/>
        <w:bottom w:val="none" w:sz="0" w:space="0" w:color="auto"/>
        <w:right w:val="none" w:sz="0" w:space="0" w:color="auto"/>
      </w:divBdr>
    </w:div>
    <w:div w:id="1880362119">
      <w:bodyDiv w:val="1"/>
      <w:marLeft w:val="0"/>
      <w:marRight w:val="0"/>
      <w:marTop w:val="0"/>
      <w:marBottom w:val="0"/>
      <w:divBdr>
        <w:top w:val="none" w:sz="0" w:space="0" w:color="auto"/>
        <w:left w:val="none" w:sz="0" w:space="0" w:color="auto"/>
        <w:bottom w:val="none" w:sz="0" w:space="0" w:color="auto"/>
        <w:right w:val="none" w:sz="0" w:space="0" w:color="auto"/>
      </w:divBdr>
    </w:div>
    <w:div w:id="1880362307">
      <w:bodyDiv w:val="1"/>
      <w:marLeft w:val="0"/>
      <w:marRight w:val="0"/>
      <w:marTop w:val="0"/>
      <w:marBottom w:val="0"/>
      <w:divBdr>
        <w:top w:val="none" w:sz="0" w:space="0" w:color="auto"/>
        <w:left w:val="none" w:sz="0" w:space="0" w:color="auto"/>
        <w:bottom w:val="none" w:sz="0" w:space="0" w:color="auto"/>
        <w:right w:val="none" w:sz="0" w:space="0" w:color="auto"/>
      </w:divBdr>
    </w:div>
    <w:div w:id="1880506463">
      <w:bodyDiv w:val="1"/>
      <w:marLeft w:val="0"/>
      <w:marRight w:val="0"/>
      <w:marTop w:val="0"/>
      <w:marBottom w:val="0"/>
      <w:divBdr>
        <w:top w:val="none" w:sz="0" w:space="0" w:color="auto"/>
        <w:left w:val="none" w:sz="0" w:space="0" w:color="auto"/>
        <w:bottom w:val="none" w:sz="0" w:space="0" w:color="auto"/>
        <w:right w:val="none" w:sz="0" w:space="0" w:color="auto"/>
      </w:divBdr>
    </w:div>
    <w:div w:id="1881087526">
      <w:bodyDiv w:val="1"/>
      <w:marLeft w:val="0"/>
      <w:marRight w:val="0"/>
      <w:marTop w:val="0"/>
      <w:marBottom w:val="0"/>
      <w:divBdr>
        <w:top w:val="none" w:sz="0" w:space="0" w:color="auto"/>
        <w:left w:val="none" w:sz="0" w:space="0" w:color="auto"/>
        <w:bottom w:val="none" w:sz="0" w:space="0" w:color="auto"/>
        <w:right w:val="none" w:sz="0" w:space="0" w:color="auto"/>
      </w:divBdr>
    </w:div>
    <w:div w:id="1881479500">
      <w:bodyDiv w:val="1"/>
      <w:marLeft w:val="0"/>
      <w:marRight w:val="0"/>
      <w:marTop w:val="0"/>
      <w:marBottom w:val="0"/>
      <w:divBdr>
        <w:top w:val="none" w:sz="0" w:space="0" w:color="auto"/>
        <w:left w:val="none" w:sz="0" w:space="0" w:color="auto"/>
        <w:bottom w:val="none" w:sz="0" w:space="0" w:color="auto"/>
        <w:right w:val="none" w:sz="0" w:space="0" w:color="auto"/>
      </w:divBdr>
    </w:div>
    <w:div w:id="1881555055">
      <w:bodyDiv w:val="1"/>
      <w:marLeft w:val="0"/>
      <w:marRight w:val="0"/>
      <w:marTop w:val="0"/>
      <w:marBottom w:val="0"/>
      <w:divBdr>
        <w:top w:val="none" w:sz="0" w:space="0" w:color="auto"/>
        <w:left w:val="none" w:sz="0" w:space="0" w:color="auto"/>
        <w:bottom w:val="none" w:sz="0" w:space="0" w:color="auto"/>
        <w:right w:val="none" w:sz="0" w:space="0" w:color="auto"/>
      </w:divBdr>
    </w:div>
    <w:div w:id="1881894522">
      <w:bodyDiv w:val="1"/>
      <w:marLeft w:val="0"/>
      <w:marRight w:val="0"/>
      <w:marTop w:val="0"/>
      <w:marBottom w:val="0"/>
      <w:divBdr>
        <w:top w:val="none" w:sz="0" w:space="0" w:color="auto"/>
        <w:left w:val="none" w:sz="0" w:space="0" w:color="auto"/>
        <w:bottom w:val="none" w:sz="0" w:space="0" w:color="auto"/>
        <w:right w:val="none" w:sz="0" w:space="0" w:color="auto"/>
      </w:divBdr>
    </w:div>
    <w:div w:id="1881939747">
      <w:bodyDiv w:val="1"/>
      <w:marLeft w:val="0"/>
      <w:marRight w:val="0"/>
      <w:marTop w:val="0"/>
      <w:marBottom w:val="0"/>
      <w:divBdr>
        <w:top w:val="none" w:sz="0" w:space="0" w:color="auto"/>
        <w:left w:val="none" w:sz="0" w:space="0" w:color="auto"/>
        <w:bottom w:val="none" w:sz="0" w:space="0" w:color="auto"/>
        <w:right w:val="none" w:sz="0" w:space="0" w:color="auto"/>
      </w:divBdr>
    </w:div>
    <w:div w:id="1882472348">
      <w:bodyDiv w:val="1"/>
      <w:marLeft w:val="0"/>
      <w:marRight w:val="0"/>
      <w:marTop w:val="0"/>
      <w:marBottom w:val="0"/>
      <w:divBdr>
        <w:top w:val="none" w:sz="0" w:space="0" w:color="auto"/>
        <w:left w:val="none" w:sz="0" w:space="0" w:color="auto"/>
        <w:bottom w:val="none" w:sz="0" w:space="0" w:color="auto"/>
        <w:right w:val="none" w:sz="0" w:space="0" w:color="auto"/>
      </w:divBdr>
    </w:div>
    <w:div w:id="1883206058">
      <w:bodyDiv w:val="1"/>
      <w:marLeft w:val="0"/>
      <w:marRight w:val="0"/>
      <w:marTop w:val="0"/>
      <w:marBottom w:val="0"/>
      <w:divBdr>
        <w:top w:val="none" w:sz="0" w:space="0" w:color="auto"/>
        <w:left w:val="none" w:sz="0" w:space="0" w:color="auto"/>
        <w:bottom w:val="none" w:sz="0" w:space="0" w:color="auto"/>
        <w:right w:val="none" w:sz="0" w:space="0" w:color="auto"/>
      </w:divBdr>
    </w:div>
    <w:div w:id="1883206366">
      <w:bodyDiv w:val="1"/>
      <w:marLeft w:val="0"/>
      <w:marRight w:val="0"/>
      <w:marTop w:val="0"/>
      <w:marBottom w:val="0"/>
      <w:divBdr>
        <w:top w:val="none" w:sz="0" w:space="0" w:color="auto"/>
        <w:left w:val="none" w:sz="0" w:space="0" w:color="auto"/>
        <w:bottom w:val="none" w:sz="0" w:space="0" w:color="auto"/>
        <w:right w:val="none" w:sz="0" w:space="0" w:color="auto"/>
      </w:divBdr>
    </w:div>
    <w:div w:id="1883785613">
      <w:bodyDiv w:val="1"/>
      <w:marLeft w:val="0"/>
      <w:marRight w:val="0"/>
      <w:marTop w:val="0"/>
      <w:marBottom w:val="0"/>
      <w:divBdr>
        <w:top w:val="none" w:sz="0" w:space="0" w:color="auto"/>
        <w:left w:val="none" w:sz="0" w:space="0" w:color="auto"/>
        <w:bottom w:val="none" w:sz="0" w:space="0" w:color="auto"/>
        <w:right w:val="none" w:sz="0" w:space="0" w:color="auto"/>
      </w:divBdr>
    </w:div>
    <w:div w:id="1883787124">
      <w:bodyDiv w:val="1"/>
      <w:marLeft w:val="0"/>
      <w:marRight w:val="0"/>
      <w:marTop w:val="0"/>
      <w:marBottom w:val="0"/>
      <w:divBdr>
        <w:top w:val="none" w:sz="0" w:space="0" w:color="auto"/>
        <w:left w:val="none" w:sz="0" w:space="0" w:color="auto"/>
        <w:bottom w:val="none" w:sz="0" w:space="0" w:color="auto"/>
        <w:right w:val="none" w:sz="0" w:space="0" w:color="auto"/>
      </w:divBdr>
    </w:div>
    <w:div w:id="1883861279">
      <w:bodyDiv w:val="1"/>
      <w:marLeft w:val="0"/>
      <w:marRight w:val="0"/>
      <w:marTop w:val="0"/>
      <w:marBottom w:val="0"/>
      <w:divBdr>
        <w:top w:val="none" w:sz="0" w:space="0" w:color="auto"/>
        <w:left w:val="none" w:sz="0" w:space="0" w:color="auto"/>
        <w:bottom w:val="none" w:sz="0" w:space="0" w:color="auto"/>
        <w:right w:val="none" w:sz="0" w:space="0" w:color="auto"/>
      </w:divBdr>
    </w:div>
    <w:div w:id="1884322323">
      <w:bodyDiv w:val="1"/>
      <w:marLeft w:val="0"/>
      <w:marRight w:val="0"/>
      <w:marTop w:val="0"/>
      <w:marBottom w:val="0"/>
      <w:divBdr>
        <w:top w:val="none" w:sz="0" w:space="0" w:color="auto"/>
        <w:left w:val="none" w:sz="0" w:space="0" w:color="auto"/>
        <w:bottom w:val="none" w:sz="0" w:space="0" w:color="auto"/>
        <w:right w:val="none" w:sz="0" w:space="0" w:color="auto"/>
      </w:divBdr>
    </w:div>
    <w:div w:id="1884323345">
      <w:bodyDiv w:val="1"/>
      <w:marLeft w:val="0"/>
      <w:marRight w:val="0"/>
      <w:marTop w:val="0"/>
      <w:marBottom w:val="0"/>
      <w:divBdr>
        <w:top w:val="none" w:sz="0" w:space="0" w:color="auto"/>
        <w:left w:val="none" w:sz="0" w:space="0" w:color="auto"/>
        <w:bottom w:val="none" w:sz="0" w:space="0" w:color="auto"/>
        <w:right w:val="none" w:sz="0" w:space="0" w:color="auto"/>
      </w:divBdr>
    </w:div>
    <w:div w:id="1884488433">
      <w:bodyDiv w:val="1"/>
      <w:marLeft w:val="0"/>
      <w:marRight w:val="0"/>
      <w:marTop w:val="0"/>
      <w:marBottom w:val="0"/>
      <w:divBdr>
        <w:top w:val="none" w:sz="0" w:space="0" w:color="auto"/>
        <w:left w:val="none" w:sz="0" w:space="0" w:color="auto"/>
        <w:bottom w:val="none" w:sz="0" w:space="0" w:color="auto"/>
        <w:right w:val="none" w:sz="0" w:space="0" w:color="auto"/>
      </w:divBdr>
    </w:div>
    <w:div w:id="1884707027">
      <w:bodyDiv w:val="1"/>
      <w:marLeft w:val="0"/>
      <w:marRight w:val="0"/>
      <w:marTop w:val="0"/>
      <w:marBottom w:val="0"/>
      <w:divBdr>
        <w:top w:val="none" w:sz="0" w:space="0" w:color="auto"/>
        <w:left w:val="none" w:sz="0" w:space="0" w:color="auto"/>
        <w:bottom w:val="none" w:sz="0" w:space="0" w:color="auto"/>
        <w:right w:val="none" w:sz="0" w:space="0" w:color="auto"/>
      </w:divBdr>
    </w:div>
    <w:div w:id="1885216255">
      <w:bodyDiv w:val="1"/>
      <w:marLeft w:val="0"/>
      <w:marRight w:val="0"/>
      <w:marTop w:val="0"/>
      <w:marBottom w:val="0"/>
      <w:divBdr>
        <w:top w:val="none" w:sz="0" w:space="0" w:color="auto"/>
        <w:left w:val="none" w:sz="0" w:space="0" w:color="auto"/>
        <w:bottom w:val="none" w:sz="0" w:space="0" w:color="auto"/>
        <w:right w:val="none" w:sz="0" w:space="0" w:color="auto"/>
      </w:divBdr>
    </w:div>
    <w:div w:id="1886023175">
      <w:bodyDiv w:val="1"/>
      <w:marLeft w:val="0"/>
      <w:marRight w:val="0"/>
      <w:marTop w:val="0"/>
      <w:marBottom w:val="0"/>
      <w:divBdr>
        <w:top w:val="none" w:sz="0" w:space="0" w:color="auto"/>
        <w:left w:val="none" w:sz="0" w:space="0" w:color="auto"/>
        <w:bottom w:val="none" w:sz="0" w:space="0" w:color="auto"/>
        <w:right w:val="none" w:sz="0" w:space="0" w:color="auto"/>
      </w:divBdr>
    </w:div>
    <w:div w:id="1886142020">
      <w:bodyDiv w:val="1"/>
      <w:marLeft w:val="0"/>
      <w:marRight w:val="0"/>
      <w:marTop w:val="0"/>
      <w:marBottom w:val="0"/>
      <w:divBdr>
        <w:top w:val="none" w:sz="0" w:space="0" w:color="auto"/>
        <w:left w:val="none" w:sz="0" w:space="0" w:color="auto"/>
        <w:bottom w:val="none" w:sz="0" w:space="0" w:color="auto"/>
        <w:right w:val="none" w:sz="0" w:space="0" w:color="auto"/>
      </w:divBdr>
    </w:div>
    <w:div w:id="1886212594">
      <w:bodyDiv w:val="1"/>
      <w:marLeft w:val="0"/>
      <w:marRight w:val="0"/>
      <w:marTop w:val="0"/>
      <w:marBottom w:val="0"/>
      <w:divBdr>
        <w:top w:val="none" w:sz="0" w:space="0" w:color="auto"/>
        <w:left w:val="none" w:sz="0" w:space="0" w:color="auto"/>
        <w:bottom w:val="none" w:sz="0" w:space="0" w:color="auto"/>
        <w:right w:val="none" w:sz="0" w:space="0" w:color="auto"/>
      </w:divBdr>
    </w:div>
    <w:div w:id="1886486418">
      <w:bodyDiv w:val="1"/>
      <w:marLeft w:val="0"/>
      <w:marRight w:val="0"/>
      <w:marTop w:val="0"/>
      <w:marBottom w:val="0"/>
      <w:divBdr>
        <w:top w:val="none" w:sz="0" w:space="0" w:color="auto"/>
        <w:left w:val="none" w:sz="0" w:space="0" w:color="auto"/>
        <w:bottom w:val="none" w:sz="0" w:space="0" w:color="auto"/>
        <w:right w:val="none" w:sz="0" w:space="0" w:color="auto"/>
      </w:divBdr>
    </w:div>
    <w:div w:id="1886674529">
      <w:bodyDiv w:val="1"/>
      <w:marLeft w:val="0"/>
      <w:marRight w:val="0"/>
      <w:marTop w:val="0"/>
      <w:marBottom w:val="0"/>
      <w:divBdr>
        <w:top w:val="none" w:sz="0" w:space="0" w:color="auto"/>
        <w:left w:val="none" w:sz="0" w:space="0" w:color="auto"/>
        <w:bottom w:val="none" w:sz="0" w:space="0" w:color="auto"/>
        <w:right w:val="none" w:sz="0" w:space="0" w:color="auto"/>
      </w:divBdr>
    </w:div>
    <w:div w:id="1886722807">
      <w:bodyDiv w:val="1"/>
      <w:marLeft w:val="0"/>
      <w:marRight w:val="0"/>
      <w:marTop w:val="0"/>
      <w:marBottom w:val="0"/>
      <w:divBdr>
        <w:top w:val="none" w:sz="0" w:space="0" w:color="auto"/>
        <w:left w:val="none" w:sz="0" w:space="0" w:color="auto"/>
        <w:bottom w:val="none" w:sz="0" w:space="0" w:color="auto"/>
        <w:right w:val="none" w:sz="0" w:space="0" w:color="auto"/>
      </w:divBdr>
    </w:div>
    <w:div w:id="1886795949">
      <w:bodyDiv w:val="1"/>
      <w:marLeft w:val="0"/>
      <w:marRight w:val="0"/>
      <w:marTop w:val="0"/>
      <w:marBottom w:val="0"/>
      <w:divBdr>
        <w:top w:val="none" w:sz="0" w:space="0" w:color="auto"/>
        <w:left w:val="none" w:sz="0" w:space="0" w:color="auto"/>
        <w:bottom w:val="none" w:sz="0" w:space="0" w:color="auto"/>
        <w:right w:val="none" w:sz="0" w:space="0" w:color="auto"/>
      </w:divBdr>
    </w:div>
    <w:div w:id="1887641479">
      <w:bodyDiv w:val="1"/>
      <w:marLeft w:val="0"/>
      <w:marRight w:val="0"/>
      <w:marTop w:val="0"/>
      <w:marBottom w:val="0"/>
      <w:divBdr>
        <w:top w:val="none" w:sz="0" w:space="0" w:color="auto"/>
        <w:left w:val="none" w:sz="0" w:space="0" w:color="auto"/>
        <w:bottom w:val="none" w:sz="0" w:space="0" w:color="auto"/>
        <w:right w:val="none" w:sz="0" w:space="0" w:color="auto"/>
      </w:divBdr>
    </w:div>
    <w:div w:id="1887906622">
      <w:bodyDiv w:val="1"/>
      <w:marLeft w:val="0"/>
      <w:marRight w:val="0"/>
      <w:marTop w:val="0"/>
      <w:marBottom w:val="0"/>
      <w:divBdr>
        <w:top w:val="none" w:sz="0" w:space="0" w:color="auto"/>
        <w:left w:val="none" w:sz="0" w:space="0" w:color="auto"/>
        <w:bottom w:val="none" w:sz="0" w:space="0" w:color="auto"/>
        <w:right w:val="none" w:sz="0" w:space="0" w:color="auto"/>
      </w:divBdr>
    </w:div>
    <w:div w:id="1887914534">
      <w:bodyDiv w:val="1"/>
      <w:marLeft w:val="0"/>
      <w:marRight w:val="0"/>
      <w:marTop w:val="0"/>
      <w:marBottom w:val="0"/>
      <w:divBdr>
        <w:top w:val="none" w:sz="0" w:space="0" w:color="auto"/>
        <w:left w:val="none" w:sz="0" w:space="0" w:color="auto"/>
        <w:bottom w:val="none" w:sz="0" w:space="0" w:color="auto"/>
        <w:right w:val="none" w:sz="0" w:space="0" w:color="auto"/>
      </w:divBdr>
    </w:div>
    <w:div w:id="1888296788">
      <w:bodyDiv w:val="1"/>
      <w:marLeft w:val="0"/>
      <w:marRight w:val="0"/>
      <w:marTop w:val="0"/>
      <w:marBottom w:val="0"/>
      <w:divBdr>
        <w:top w:val="none" w:sz="0" w:space="0" w:color="auto"/>
        <w:left w:val="none" w:sz="0" w:space="0" w:color="auto"/>
        <w:bottom w:val="none" w:sz="0" w:space="0" w:color="auto"/>
        <w:right w:val="none" w:sz="0" w:space="0" w:color="auto"/>
      </w:divBdr>
    </w:div>
    <w:div w:id="1888446663">
      <w:bodyDiv w:val="1"/>
      <w:marLeft w:val="0"/>
      <w:marRight w:val="0"/>
      <w:marTop w:val="0"/>
      <w:marBottom w:val="0"/>
      <w:divBdr>
        <w:top w:val="none" w:sz="0" w:space="0" w:color="auto"/>
        <w:left w:val="none" w:sz="0" w:space="0" w:color="auto"/>
        <w:bottom w:val="none" w:sz="0" w:space="0" w:color="auto"/>
        <w:right w:val="none" w:sz="0" w:space="0" w:color="auto"/>
      </w:divBdr>
    </w:div>
    <w:div w:id="1888907677">
      <w:bodyDiv w:val="1"/>
      <w:marLeft w:val="0"/>
      <w:marRight w:val="0"/>
      <w:marTop w:val="0"/>
      <w:marBottom w:val="0"/>
      <w:divBdr>
        <w:top w:val="none" w:sz="0" w:space="0" w:color="auto"/>
        <w:left w:val="none" w:sz="0" w:space="0" w:color="auto"/>
        <w:bottom w:val="none" w:sz="0" w:space="0" w:color="auto"/>
        <w:right w:val="none" w:sz="0" w:space="0" w:color="auto"/>
      </w:divBdr>
    </w:div>
    <w:div w:id="1889299177">
      <w:bodyDiv w:val="1"/>
      <w:marLeft w:val="0"/>
      <w:marRight w:val="0"/>
      <w:marTop w:val="0"/>
      <w:marBottom w:val="0"/>
      <w:divBdr>
        <w:top w:val="none" w:sz="0" w:space="0" w:color="auto"/>
        <w:left w:val="none" w:sz="0" w:space="0" w:color="auto"/>
        <w:bottom w:val="none" w:sz="0" w:space="0" w:color="auto"/>
        <w:right w:val="none" w:sz="0" w:space="0" w:color="auto"/>
      </w:divBdr>
    </w:div>
    <w:div w:id="1889683890">
      <w:bodyDiv w:val="1"/>
      <w:marLeft w:val="0"/>
      <w:marRight w:val="0"/>
      <w:marTop w:val="0"/>
      <w:marBottom w:val="0"/>
      <w:divBdr>
        <w:top w:val="none" w:sz="0" w:space="0" w:color="auto"/>
        <w:left w:val="none" w:sz="0" w:space="0" w:color="auto"/>
        <w:bottom w:val="none" w:sz="0" w:space="0" w:color="auto"/>
        <w:right w:val="none" w:sz="0" w:space="0" w:color="auto"/>
      </w:divBdr>
    </w:div>
    <w:div w:id="1889684415">
      <w:bodyDiv w:val="1"/>
      <w:marLeft w:val="0"/>
      <w:marRight w:val="0"/>
      <w:marTop w:val="0"/>
      <w:marBottom w:val="0"/>
      <w:divBdr>
        <w:top w:val="none" w:sz="0" w:space="0" w:color="auto"/>
        <w:left w:val="none" w:sz="0" w:space="0" w:color="auto"/>
        <w:bottom w:val="none" w:sz="0" w:space="0" w:color="auto"/>
        <w:right w:val="none" w:sz="0" w:space="0" w:color="auto"/>
      </w:divBdr>
    </w:div>
    <w:div w:id="1890220750">
      <w:bodyDiv w:val="1"/>
      <w:marLeft w:val="0"/>
      <w:marRight w:val="0"/>
      <w:marTop w:val="0"/>
      <w:marBottom w:val="0"/>
      <w:divBdr>
        <w:top w:val="none" w:sz="0" w:space="0" w:color="auto"/>
        <w:left w:val="none" w:sz="0" w:space="0" w:color="auto"/>
        <w:bottom w:val="none" w:sz="0" w:space="0" w:color="auto"/>
        <w:right w:val="none" w:sz="0" w:space="0" w:color="auto"/>
      </w:divBdr>
    </w:div>
    <w:div w:id="1890221361">
      <w:bodyDiv w:val="1"/>
      <w:marLeft w:val="0"/>
      <w:marRight w:val="0"/>
      <w:marTop w:val="0"/>
      <w:marBottom w:val="0"/>
      <w:divBdr>
        <w:top w:val="none" w:sz="0" w:space="0" w:color="auto"/>
        <w:left w:val="none" w:sz="0" w:space="0" w:color="auto"/>
        <w:bottom w:val="none" w:sz="0" w:space="0" w:color="auto"/>
        <w:right w:val="none" w:sz="0" w:space="0" w:color="auto"/>
      </w:divBdr>
    </w:div>
    <w:div w:id="1890262409">
      <w:bodyDiv w:val="1"/>
      <w:marLeft w:val="0"/>
      <w:marRight w:val="0"/>
      <w:marTop w:val="0"/>
      <w:marBottom w:val="0"/>
      <w:divBdr>
        <w:top w:val="none" w:sz="0" w:space="0" w:color="auto"/>
        <w:left w:val="none" w:sz="0" w:space="0" w:color="auto"/>
        <w:bottom w:val="none" w:sz="0" w:space="0" w:color="auto"/>
        <w:right w:val="none" w:sz="0" w:space="0" w:color="auto"/>
      </w:divBdr>
    </w:div>
    <w:div w:id="1890341531">
      <w:bodyDiv w:val="1"/>
      <w:marLeft w:val="0"/>
      <w:marRight w:val="0"/>
      <w:marTop w:val="0"/>
      <w:marBottom w:val="0"/>
      <w:divBdr>
        <w:top w:val="none" w:sz="0" w:space="0" w:color="auto"/>
        <w:left w:val="none" w:sz="0" w:space="0" w:color="auto"/>
        <w:bottom w:val="none" w:sz="0" w:space="0" w:color="auto"/>
        <w:right w:val="none" w:sz="0" w:space="0" w:color="auto"/>
      </w:divBdr>
    </w:div>
    <w:div w:id="1890454618">
      <w:bodyDiv w:val="1"/>
      <w:marLeft w:val="0"/>
      <w:marRight w:val="0"/>
      <w:marTop w:val="0"/>
      <w:marBottom w:val="0"/>
      <w:divBdr>
        <w:top w:val="none" w:sz="0" w:space="0" w:color="auto"/>
        <w:left w:val="none" w:sz="0" w:space="0" w:color="auto"/>
        <w:bottom w:val="none" w:sz="0" w:space="0" w:color="auto"/>
        <w:right w:val="none" w:sz="0" w:space="0" w:color="auto"/>
      </w:divBdr>
    </w:div>
    <w:div w:id="1890679485">
      <w:bodyDiv w:val="1"/>
      <w:marLeft w:val="0"/>
      <w:marRight w:val="0"/>
      <w:marTop w:val="0"/>
      <w:marBottom w:val="0"/>
      <w:divBdr>
        <w:top w:val="none" w:sz="0" w:space="0" w:color="auto"/>
        <w:left w:val="none" w:sz="0" w:space="0" w:color="auto"/>
        <w:bottom w:val="none" w:sz="0" w:space="0" w:color="auto"/>
        <w:right w:val="none" w:sz="0" w:space="0" w:color="auto"/>
      </w:divBdr>
    </w:div>
    <w:div w:id="1890990294">
      <w:bodyDiv w:val="1"/>
      <w:marLeft w:val="0"/>
      <w:marRight w:val="0"/>
      <w:marTop w:val="0"/>
      <w:marBottom w:val="0"/>
      <w:divBdr>
        <w:top w:val="none" w:sz="0" w:space="0" w:color="auto"/>
        <w:left w:val="none" w:sz="0" w:space="0" w:color="auto"/>
        <w:bottom w:val="none" w:sz="0" w:space="0" w:color="auto"/>
        <w:right w:val="none" w:sz="0" w:space="0" w:color="auto"/>
      </w:divBdr>
    </w:div>
    <w:div w:id="1891066818">
      <w:bodyDiv w:val="1"/>
      <w:marLeft w:val="0"/>
      <w:marRight w:val="0"/>
      <w:marTop w:val="0"/>
      <w:marBottom w:val="0"/>
      <w:divBdr>
        <w:top w:val="none" w:sz="0" w:space="0" w:color="auto"/>
        <w:left w:val="none" w:sz="0" w:space="0" w:color="auto"/>
        <w:bottom w:val="none" w:sz="0" w:space="0" w:color="auto"/>
        <w:right w:val="none" w:sz="0" w:space="0" w:color="auto"/>
      </w:divBdr>
    </w:div>
    <w:div w:id="1891109603">
      <w:bodyDiv w:val="1"/>
      <w:marLeft w:val="0"/>
      <w:marRight w:val="0"/>
      <w:marTop w:val="0"/>
      <w:marBottom w:val="0"/>
      <w:divBdr>
        <w:top w:val="none" w:sz="0" w:space="0" w:color="auto"/>
        <w:left w:val="none" w:sz="0" w:space="0" w:color="auto"/>
        <w:bottom w:val="none" w:sz="0" w:space="0" w:color="auto"/>
        <w:right w:val="none" w:sz="0" w:space="0" w:color="auto"/>
      </w:divBdr>
    </w:div>
    <w:div w:id="1891184011">
      <w:bodyDiv w:val="1"/>
      <w:marLeft w:val="0"/>
      <w:marRight w:val="0"/>
      <w:marTop w:val="0"/>
      <w:marBottom w:val="0"/>
      <w:divBdr>
        <w:top w:val="none" w:sz="0" w:space="0" w:color="auto"/>
        <w:left w:val="none" w:sz="0" w:space="0" w:color="auto"/>
        <w:bottom w:val="none" w:sz="0" w:space="0" w:color="auto"/>
        <w:right w:val="none" w:sz="0" w:space="0" w:color="auto"/>
      </w:divBdr>
    </w:div>
    <w:div w:id="1891458563">
      <w:bodyDiv w:val="1"/>
      <w:marLeft w:val="0"/>
      <w:marRight w:val="0"/>
      <w:marTop w:val="0"/>
      <w:marBottom w:val="0"/>
      <w:divBdr>
        <w:top w:val="none" w:sz="0" w:space="0" w:color="auto"/>
        <w:left w:val="none" w:sz="0" w:space="0" w:color="auto"/>
        <w:bottom w:val="none" w:sz="0" w:space="0" w:color="auto"/>
        <w:right w:val="none" w:sz="0" w:space="0" w:color="auto"/>
      </w:divBdr>
    </w:div>
    <w:div w:id="1892420621">
      <w:bodyDiv w:val="1"/>
      <w:marLeft w:val="0"/>
      <w:marRight w:val="0"/>
      <w:marTop w:val="0"/>
      <w:marBottom w:val="0"/>
      <w:divBdr>
        <w:top w:val="none" w:sz="0" w:space="0" w:color="auto"/>
        <w:left w:val="none" w:sz="0" w:space="0" w:color="auto"/>
        <w:bottom w:val="none" w:sz="0" w:space="0" w:color="auto"/>
        <w:right w:val="none" w:sz="0" w:space="0" w:color="auto"/>
      </w:divBdr>
    </w:div>
    <w:div w:id="1892493856">
      <w:bodyDiv w:val="1"/>
      <w:marLeft w:val="0"/>
      <w:marRight w:val="0"/>
      <w:marTop w:val="0"/>
      <w:marBottom w:val="0"/>
      <w:divBdr>
        <w:top w:val="none" w:sz="0" w:space="0" w:color="auto"/>
        <w:left w:val="none" w:sz="0" w:space="0" w:color="auto"/>
        <w:bottom w:val="none" w:sz="0" w:space="0" w:color="auto"/>
        <w:right w:val="none" w:sz="0" w:space="0" w:color="auto"/>
      </w:divBdr>
    </w:div>
    <w:div w:id="1892495495">
      <w:bodyDiv w:val="1"/>
      <w:marLeft w:val="0"/>
      <w:marRight w:val="0"/>
      <w:marTop w:val="0"/>
      <w:marBottom w:val="0"/>
      <w:divBdr>
        <w:top w:val="none" w:sz="0" w:space="0" w:color="auto"/>
        <w:left w:val="none" w:sz="0" w:space="0" w:color="auto"/>
        <w:bottom w:val="none" w:sz="0" w:space="0" w:color="auto"/>
        <w:right w:val="none" w:sz="0" w:space="0" w:color="auto"/>
      </w:divBdr>
    </w:div>
    <w:div w:id="1892958483">
      <w:bodyDiv w:val="1"/>
      <w:marLeft w:val="0"/>
      <w:marRight w:val="0"/>
      <w:marTop w:val="0"/>
      <w:marBottom w:val="0"/>
      <w:divBdr>
        <w:top w:val="none" w:sz="0" w:space="0" w:color="auto"/>
        <w:left w:val="none" w:sz="0" w:space="0" w:color="auto"/>
        <w:bottom w:val="none" w:sz="0" w:space="0" w:color="auto"/>
        <w:right w:val="none" w:sz="0" w:space="0" w:color="auto"/>
      </w:divBdr>
    </w:div>
    <w:div w:id="1893930347">
      <w:bodyDiv w:val="1"/>
      <w:marLeft w:val="0"/>
      <w:marRight w:val="0"/>
      <w:marTop w:val="0"/>
      <w:marBottom w:val="0"/>
      <w:divBdr>
        <w:top w:val="none" w:sz="0" w:space="0" w:color="auto"/>
        <w:left w:val="none" w:sz="0" w:space="0" w:color="auto"/>
        <w:bottom w:val="none" w:sz="0" w:space="0" w:color="auto"/>
        <w:right w:val="none" w:sz="0" w:space="0" w:color="auto"/>
      </w:divBdr>
    </w:div>
    <w:div w:id="1894386409">
      <w:bodyDiv w:val="1"/>
      <w:marLeft w:val="0"/>
      <w:marRight w:val="0"/>
      <w:marTop w:val="0"/>
      <w:marBottom w:val="0"/>
      <w:divBdr>
        <w:top w:val="none" w:sz="0" w:space="0" w:color="auto"/>
        <w:left w:val="none" w:sz="0" w:space="0" w:color="auto"/>
        <w:bottom w:val="none" w:sz="0" w:space="0" w:color="auto"/>
        <w:right w:val="none" w:sz="0" w:space="0" w:color="auto"/>
      </w:divBdr>
    </w:div>
    <w:div w:id="1894580658">
      <w:bodyDiv w:val="1"/>
      <w:marLeft w:val="0"/>
      <w:marRight w:val="0"/>
      <w:marTop w:val="0"/>
      <w:marBottom w:val="0"/>
      <w:divBdr>
        <w:top w:val="none" w:sz="0" w:space="0" w:color="auto"/>
        <w:left w:val="none" w:sz="0" w:space="0" w:color="auto"/>
        <w:bottom w:val="none" w:sz="0" w:space="0" w:color="auto"/>
        <w:right w:val="none" w:sz="0" w:space="0" w:color="auto"/>
      </w:divBdr>
    </w:div>
    <w:div w:id="1895239457">
      <w:bodyDiv w:val="1"/>
      <w:marLeft w:val="0"/>
      <w:marRight w:val="0"/>
      <w:marTop w:val="0"/>
      <w:marBottom w:val="0"/>
      <w:divBdr>
        <w:top w:val="none" w:sz="0" w:space="0" w:color="auto"/>
        <w:left w:val="none" w:sz="0" w:space="0" w:color="auto"/>
        <w:bottom w:val="none" w:sz="0" w:space="0" w:color="auto"/>
        <w:right w:val="none" w:sz="0" w:space="0" w:color="auto"/>
      </w:divBdr>
    </w:div>
    <w:div w:id="1895575896">
      <w:bodyDiv w:val="1"/>
      <w:marLeft w:val="0"/>
      <w:marRight w:val="0"/>
      <w:marTop w:val="0"/>
      <w:marBottom w:val="0"/>
      <w:divBdr>
        <w:top w:val="none" w:sz="0" w:space="0" w:color="auto"/>
        <w:left w:val="none" w:sz="0" w:space="0" w:color="auto"/>
        <w:bottom w:val="none" w:sz="0" w:space="0" w:color="auto"/>
        <w:right w:val="none" w:sz="0" w:space="0" w:color="auto"/>
      </w:divBdr>
    </w:div>
    <w:div w:id="1895581228">
      <w:bodyDiv w:val="1"/>
      <w:marLeft w:val="0"/>
      <w:marRight w:val="0"/>
      <w:marTop w:val="0"/>
      <w:marBottom w:val="0"/>
      <w:divBdr>
        <w:top w:val="none" w:sz="0" w:space="0" w:color="auto"/>
        <w:left w:val="none" w:sz="0" w:space="0" w:color="auto"/>
        <w:bottom w:val="none" w:sz="0" w:space="0" w:color="auto"/>
        <w:right w:val="none" w:sz="0" w:space="0" w:color="auto"/>
      </w:divBdr>
    </w:div>
    <w:div w:id="1895894041">
      <w:bodyDiv w:val="1"/>
      <w:marLeft w:val="0"/>
      <w:marRight w:val="0"/>
      <w:marTop w:val="0"/>
      <w:marBottom w:val="0"/>
      <w:divBdr>
        <w:top w:val="none" w:sz="0" w:space="0" w:color="auto"/>
        <w:left w:val="none" w:sz="0" w:space="0" w:color="auto"/>
        <w:bottom w:val="none" w:sz="0" w:space="0" w:color="auto"/>
        <w:right w:val="none" w:sz="0" w:space="0" w:color="auto"/>
      </w:divBdr>
    </w:div>
    <w:div w:id="1895966431">
      <w:bodyDiv w:val="1"/>
      <w:marLeft w:val="0"/>
      <w:marRight w:val="0"/>
      <w:marTop w:val="0"/>
      <w:marBottom w:val="0"/>
      <w:divBdr>
        <w:top w:val="none" w:sz="0" w:space="0" w:color="auto"/>
        <w:left w:val="none" w:sz="0" w:space="0" w:color="auto"/>
        <w:bottom w:val="none" w:sz="0" w:space="0" w:color="auto"/>
        <w:right w:val="none" w:sz="0" w:space="0" w:color="auto"/>
      </w:divBdr>
    </w:div>
    <w:div w:id="1896044293">
      <w:bodyDiv w:val="1"/>
      <w:marLeft w:val="0"/>
      <w:marRight w:val="0"/>
      <w:marTop w:val="0"/>
      <w:marBottom w:val="0"/>
      <w:divBdr>
        <w:top w:val="none" w:sz="0" w:space="0" w:color="auto"/>
        <w:left w:val="none" w:sz="0" w:space="0" w:color="auto"/>
        <w:bottom w:val="none" w:sz="0" w:space="0" w:color="auto"/>
        <w:right w:val="none" w:sz="0" w:space="0" w:color="auto"/>
      </w:divBdr>
    </w:div>
    <w:div w:id="1896235547">
      <w:bodyDiv w:val="1"/>
      <w:marLeft w:val="0"/>
      <w:marRight w:val="0"/>
      <w:marTop w:val="0"/>
      <w:marBottom w:val="0"/>
      <w:divBdr>
        <w:top w:val="none" w:sz="0" w:space="0" w:color="auto"/>
        <w:left w:val="none" w:sz="0" w:space="0" w:color="auto"/>
        <w:bottom w:val="none" w:sz="0" w:space="0" w:color="auto"/>
        <w:right w:val="none" w:sz="0" w:space="0" w:color="auto"/>
      </w:divBdr>
    </w:div>
    <w:div w:id="1896886412">
      <w:bodyDiv w:val="1"/>
      <w:marLeft w:val="0"/>
      <w:marRight w:val="0"/>
      <w:marTop w:val="0"/>
      <w:marBottom w:val="0"/>
      <w:divBdr>
        <w:top w:val="none" w:sz="0" w:space="0" w:color="auto"/>
        <w:left w:val="none" w:sz="0" w:space="0" w:color="auto"/>
        <w:bottom w:val="none" w:sz="0" w:space="0" w:color="auto"/>
        <w:right w:val="none" w:sz="0" w:space="0" w:color="auto"/>
      </w:divBdr>
    </w:div>
    <w:div w:id="1896966101">
      <w:bodyDiv w:val="1"/>
      <w:marLeft w:val="0"/>
      <w:marRight w:val="0"/>
      <w:marTop w:val="0"/>
      <w:marBottom w:val="0"/>
      <w:divBdr>
        <w:top w:val="none" w:sz="0" w:space="0" w:color="auto"/>
        <w:left w:val="none" w:sz="0" w:space="0" w:color="auto"/>
        <w:bottom w:val="none" w:sz="0" w:space="0" w:color="auto"/>
        <w:right w:val="none" w:sz="0" w:space="0" w:color="auto"/>
      </w:divBdr>
    </w:div>
    <w:div w:id="1897159570">
      <w:bodyDiv w:val="1"/>
      <w:marLeft w:val="0"/>
      <w:marRight w:val="0"/>
      <w:marTop w:val="0"/>
      <w:marBottom w:val="0"/>
      <w:divBdr>
        <w:top w:val="none" w:sz="0" w:space="0" w:color="auto"/>
        <w:left w:val="none" w:sz="0" w:space="0" w:color="auto"/>
        <w:bottom w:val="none" w:sz="0" w:space="0" w:color="auto"/>
        <w:right w:val="none" w:sz="0" w:space="0" w:color="auto"/>
      </w:divBdr>
    </w:div>
    <w:div w:id="1897357804">
      <w:bodyDiv w:val="1"/>
      <w:marLeft w:val="0"/>
      <w:marRight w:val="0"/>
      <w:marTop w:val="0"/>
      <w:marBottom w:val="0"/>
      <w:divBdr>
        <w:top w:val="none" w:sz="0" w:space="0" w:color="auto"/>
        <w:left w:val="none" w:sz="0" w:space="0" w:color="auto"/>
        <w:bottom w:val="none" w:sz="0" w:space="0" w:color="auto"/>
        <w:right w:val="none" w:sz="0" w:space="0" w:color="auto"/>
      </w:divBdr>
    </w:div>
    <w:div w:id="1897466828">
      <w:bodyDiv w:val="1"/>
      <w:marLeft w:val="0"/>
      <w:marRight w:val="0"/>
      <w:marTop w:val="0"/>
      <w:marBottom w:val="0"/>
      <w:divBdr>
        <w:top w:val="none" w:sz="0" w:space="0" w:color="auto"/>
        <w:left w:val="none" w:sz="0" w:space="0" w:color="auto"/>
        <w:bottom w:val="none" w:sz="0" w:space="0" w:color="auto"/>
        <w:right w:val="none" w:sz="0" w:space="0" w:color="auto"/>
      </w:divBdr>
    </w:div>
    <w:div w:id="1897544444">
      <w:bodyDiv w:val="1"/>
      <w:marLeft w:val="0"/>
      <w:marRight w:val="0"/>
      <w:marTop w:val="0"/>
      <w:marBottom w:val="0"/>
      <w:divBdr>
        <w:top w:val="none" w:sz="0" w:space="0" w:color="auto"/>
        <w:left w:val="none" w:sz="0" w:space="0" w:color="auto"/>
        <w:bottom w:val="none" w:sz="0" w:space="0" w:color="auto"/>
        <w:right w:val="none" w:sz="0" w:space="0" w:color="auto"/>
      </w:divBdr>
    </w:div>
    <w:div w:id="1897621890">
      <w:bodyDiv w:val="1"/>
      <w:marLeft w:val="0"/>
      <w:marRight w:val="0"/>
      <w:marTop w:val="0"/>
      <w:marBottom w:val="0"/>
      <w:divBdr>
        <w:top w:val="none" w:sz="0" w:space="0" w:color="auto"/>
        <w:left w:val="none" w:sz="0" w:space="0" w:color="auto"/>
        <w:bottom w:val="none" w:sz="0" w:space="0" w:color="auto"/>
        <w:right w:val="none" w:sz="0" w:space="0" w:color="auto"/>
      </w:divBdr>
    </w:div>
    <w:div w:id="1897744277">
      <w:bodyDiv w:val="1"/>
      <w:marLeft w:val="0"/>
      <w:marRight w:val="0"/>
      <w:marTop w:val="0"/>
      <w:marBottom w:val="0"/>
      <w:divBdr>
        <w:top w:val="none" w:sz="0" w:space="0" w:color="auto"/>
        <w:left w:val="none" w:sz="0" w:space="0" w:color="auto"/>
        <w:bottom w:val="none" w:sz="0" w:space="0" w:color="auto"/>
        <w:right w:val="none" w:sz="0" w:space="0" w:color="auto"/>
      </w:divBdr>
    </w:div>
    <w:div w:id="1897815513">
      <w:bodyDiv w:val="1"/>
      <w:marLeft w:val="0"/>
      <w:marRight w:val="0"/>
      <w:marTop w:val="0"/>
      <w:marBottom w:val="0"/>
      <w:divBdr>
        <w:top w:val="none" w:sz="0" w:space="0" w:color="auto"/>
        <w:left w:val="none" w:sz="0" w:space="0" w:color="auto"/>
        <w:bottom w:val="none" w:sz="0" w:space="0" w:color="auto"/>
        <w:right w:val="none" w:sz="0" w:space="0" w:color="auto"/>
      </w:divBdr>
    </w:div>
    <w:div w:id="1898129454">
      <w:bodyDiv w:val="1"/>
      <w:marLeft w:val="0"/>
      <w:marRight w:val="0"/>
      <w:marTop w:val="0"/>
      <w:marBottom w:val="0"/>
      <w:divBdr>
        <w:top w:val="none" w:sz="0" w:space="0" w:color="auto"/>
        <w:left w:val="none" w:sz="0" w:space="0" w:color="auto"/>
        <w:bottom w:val="none" w:sz="0" w:space="0" w:color="auto"/>
        <w:right w:val="none" w:sz="0" w:space="0" w:color="auto"/>
      </w:divBdr>
    </w:div>
    <w:div w:id="1898391050">
      <w:bodyDiv w:val="1"/>
      <w:marLeft w:val="0"/>
      <w:marRight w:val="0"/>
      <w:marTop w:val="0"/>
      <w:marBottom w:val="0"/>
      <w:divBdr>
        <w:top w:val="none" w:sz="0" w:space="0" w:color="auto"/>
        <w:left w:val="none" w:sz="0" w:space="0" w:color="auto"/>
        <w:bottom w:val="none" w:sz="0" w:space="0" w:color="auto"/>
        <w:right w:val="none" w:sz="0" w:space="0" w:color="auto"/>
      </w:divBdr>
    </w:div>
    <w:div w:id="1899122502">
      <w:bodyDiv w:val="1"/>
      <w:marLeft w:val="0"/>
      <w:marRight w:val="0"/>
      <w:marTop w:val="0"/>
      <w:marBottom w:val="0"/>
      <w:divBdr>
        <w:top w:val="none" w:sz="0" w:space="0" w:color="auto"/>
        <w:left w:val="none" w:sz="0" w:space="0" w:color="auto"/>
        <w:bottom w:val="none" w:sz="0" w:space="0" w:color="auto"/>
        <w:right w:val="none" w:sz="0" w:space="0" w:color="auto"/>
      </w:divBdr>
    </w:div>
    <w:div w:id="1899396091">
      <w:bodyDiv w:val="1"/>
      <w:marLeft w:val="0"/>
      <w:marRight w:val="0"/>
      <w:marTop w:val="0"/>
      <w:marBottom w:val="0"/>
      <w:divBdr>
        <w:top w:val="none" w:sz="0" w:space="0" w:color="auto"/>
        <w:left w:val="none" w:sz="0" w:space="0" w:color="auto"/>
        <w:bottom w:val="none" w:sz="0" w:space="0" w:color="auto"/>
        <w:right w:val="none" w:sz="0" w:space="0" w:color="auto"/>
      </w:divBdr>
    </w:div>
    <w:div w:id="1899634915">
      <w:bodyDiv w:val="1"/>
      <w:marLeft w:val="0"/>
      <w:marRight w:val="0"/>
      <w:marTop w:val="0"/>
      <w:marBottom w:val="0"/>
      <w:divBdr>
        <w:top w:val="none" w:sz="0" w:space="0" w:color="auto"/>
        <w:left w:val="none" w:sz="0" w:space="0" w:color="auto"/>
        <w:bottom w:val="none" w:sz="0" w:space="0" w:color="auto"/>
        <w:right w:val="none" w:sz="0" w:space="0" w:color="auto"/>
      </w:divBdr>
    </w:div>
    <w:div w:id="1900439481">
      <w:bodyDiv w:val="1"/>
      <w:marLeft w:val="0"/>
      <w:marRight w:val="0"/>
      <w:marTop w:val="0"/>
      <w:marBottom w:val="0"/>
      <w:divBdr>
        <w:top w:val="none" w:sz="0" w:space="0" w:color="auto"/>
        <w:left w:val="none" w:sz="0" w:space="0" w:color="auto"/>
        <w:bottom w:val="none" w:sz="0" w:space="0" w:color="auto"/>
        <w:right w:val="none" w:sz="0" w:space="0" w:color="auto"/>
      </w:divBdr>
    </w:div>
    <w:div w:id="1900939019">
      <w:bodyDiv w:val="1"/>
      <w:marLeft w:val="0"/>
      <w:marRight w:val="0"/>
      <w:marTop w:val="0"/>
      <w:marBottom w:val="0"/>
      <w:divBdr>
        <w:top w:val="none" w:sz="0" w:space="0" w:color="auto"/>
        <w:left w:val="none" w:sz="0" w:space="0" w:color="auto"/>
        <w:bottom w:val="none" w:sz="0" w:space="0" w:color="auto"/>
        <w:right w:val="none" w:sz="0" w:space="0" w:color="auto"/>
      </w:divBdr>
    </w:div>
    <w:div w:id="1901600368">
      <w:bodyDiv w:val="1"/>
      <w:marLeft w:val="0"/>
      <w:marRight w:val="0"/>
      <w:marTop w:val="0"/>
      <w:marBottom w:val="0"/>
      <w:divBdr>
        <w:top w:val="none" w:sz="0" w:space="0" w:color="auto"/>
        <w:left w:val="none" w:sz="0" w:space="0" w:color="auto"/>
        <w:bottom w:val="none" w:sz="0" w:space="0" w:color="auto"/>
        <w:right w:val="none" w:sz="0" w:space="0" w:color="auto"/>
      </w:divBdr>
    </w:div>
    <w:div w:id="1901935081">
      <w:bodyDiv w:val="1"/>
      <w:marLeft w:val="0"/>
      <w:marRight w:val="0"/>
      <w:marTop w:val="0"/>
      <w:marBottom w:val="0"/>
      <w:divBdr>
        <w:top w:val="none" w:sz="0" w:space="0" w:color="auto"/>
        <w:left w:val="none" w:sz="0" w:space="0" w:color="auto"/>
        <w:bottom w:val="none" w:sz="0" w:space="0" w:color="auto"/>
        <w:right w:val="none" w:sz="0" w:space="0" w:color="auto"/>
      </w:divBdr>
    </w:div>
    <w:div w:id="1902325232">
      <w:bodyDiv w:val="1"/>
      <w:marLeft w:val="0"/>
      <w:marRight w:val="0"/>
      <w:marTop w:val="0"/>
      <w:marBottom w:val="0"/>
      <w:divBdr>
        <w:top w:val="none" w:sz="0" w:space="0" w:color="auto"/>
        <w:left w:val="none" w:sz="0" w:space="0" w:color="auto"/>
        <w:bottom w:val="none" w:sz="0" w:space="0" w:color="auto"/>
        <w:right w:val="none" w:sz="0" w:space="0" w:color="auto"/>
      </w:divBdr>
    </w:div>
    <w:div w:id="1902714228">
      <w:bodyDiv w:val="1"/>
      <w:marLeft w:val="0"/>
      <w:marRight w:val="0"/>
      <w:marTop w:val="0"/>
      <w:marBottom w:val="0"/>
      <w:divBdr>
        <w:top w:val="none" w:sz="0" w:space="0" w:color="auto"/>
        <w:left w:val="none" w:sz="0" w:space="0" w:color="auto"/>
        <w:bottom w:val="none" w:sz="0" w:space="0" w:color="auto"/>
        <w:right w:val="none" w:sz="0" w:space="0" w:color="auto"/>
      </w:divBdr>
    </w:div>
    <w:div w:id="1903441678">
      <w:bodyDiv w:val="1"/>
      <w:marLeft w:val="0"/>
      <w:marRight w:val="0"/>
      <w:marTop w:val="0"/>
      <w:marBottom w:val="0"/>
      <w:divBdr>
        <w:top w:val="none" w:sz="0" w:space="0" w:color="auto"/>
        <w:left w:val="none" w:sz="0" w:space="0" w:color="auto"/>
        <w:bottom w:val="none" w:sz="0" w:space="0" w:color="auto"/>
        <w:right w:val="none" w:sz="0" w:space="0" w:color="auto"/>
      </w:divBdr>
    </w:div>
    <w:div w:id="1903707756">
      <w:bodyDiv w:val="1"/>
      <w:marLeft w:val="0"/>
      <w:marRight w:val="0"/>
      <w:marTop w:val="0"/>
      <w:marBottom w:val="0"/>
      <w:divBdr>
        <w:top w:val="none" w:sz="0" w:space="0" w:color="auto"/>
        <w:left w:val="none" w:sz="0" w:space="0" w:color="auto"/>
        <w:bottom w:val="none" w:sz="0" w:space="0" w:color="auto"/>
        <w:right w:val="none" w:sz="0" w:space="0" w:color="auto"/>
      </w:divBdr>
    </w:div>
    <w:div w:id="1904100548">
      <w:bodyDiv w:val="1"/>
      <w:marLeft w:val="0"/>
      <w:marRight w:val="0"/>
      <w:marTop w:val="0"/>
      <w:marBottom w:val="0"/>
      <w:divBdr>
        <w:top w:val="none" w:sz="0" w:space="0" w:color="auto"/>
        <w:left w:val="none" w:sz="0" w:space="0" w:color="auto"/>
        <w:bottom w:val="none" w:sz="0" w:space="0" w:color="auto"/>
        <w:right w:val="none" w:sz="0" w:space="0" w:color="auto"/>
      </w:divBdr>
    </w:div>
    <w:div w:id="1904415226">
      <w:bodyDiv w:val="1"/>
      <w:marLeft w:val="0"/>
      <w:marRight w:val="0"/>
      <w:marTop w:val="0"/>
      <w:marBottom w:val="0"/>
      <w:divBdr>
        <w:top w:val="none" w:sz="0" w:space="0" w:color="auto"/>
        <w:left w:val="none" w:sz="0" w:space="0" w:color="auto"/>
        <w:bottom w:val="none" w:sz="0" w:space="0" w:color="auto"/>
        <w:right w:val="none" w:sz="0" w:space="0" w:color="auto"/>
      </w:divBdr>
    </w:div>
    <w:div w:id="1904481576">
      <w:bodyDiv w:val="1"/>
      <w:marLeft w:val="0"/>
      <w:marRight w:val="0"/>
      <w:marTop w:val="0"/>
      <w:marBottom w:val="0"/>
      <w:divBdr>
        <w:top w:val="none" w:sz="0" w:space="0" w:color="auto"/>
        <w:left w:val="none" w:sz="0" w:space="0" w:color="auto"/>
        <w:bottom w:val="none" w:sz="0" w:space="0" w:color="auto"/>
        <w:right w:val="none" w:sz="0" w:space="0" w:color="auto"/>
      </w:divBdr>
    </w:div>
    <w:div w:id="1904557931">
      <w:bodyDiv w:val="1"/>
      <w:marLeft w:val="0"/>
      <w:marRight w:val="0"/>
      <w:marTop w:val="0"/>
      <w:marBottom w:val="0"/>
      <w:divBdr>
        <w:top w:val="none" w:sz="0" w:space="0" w:color="auto"/>
        <w:left w:val="none" w:sz="0" w:space="0" w:color="auto"/>
        <w:bottom w:val="none" w:sz="0" w:space="0" w:color="auto"/>
        <w:right w:val="none" w:sz="0" w:space="0" w:color="auto"/>
      </w:divBdr>
    </w:div>
    <w:div w:id="1904632089">
      <w:bodyDiv w:val="1"/>
      <w:marLeft w:val="0"/>
      <w:marRight w:val="0"/>
      <w:marTop w:val="0"/>
      <w:marBottom w:val="0"/>
      <w:divBdr>
        <w:top w:val="none" w:sz="0" w:space="0" w:color="auto"/>
        <w:left w:val="none" w:sz="0" w:space="0" w:color="auto"/>
        <w:bottom w:val="none" w:sz="0" w:space="0" w:color="auto"/>
        <w:right w:val="none" w:sz="0" w:space="0" w:color="auto"/>
      </w:divBdr>
    </w:div>
    <w:div w:id="1906067993">
      <w:bodyDiv w:val="1"/>
      <w:marLeft w:val="0"/>
      <w:marRight w:val="0"/>
      <w:marTop w:val="0"/>
      <w:marBottom w:val="0"/>
      <w:divBdr>
        <w:top w:val="none" w:sz="0" w:space="0" w:color="auto"/>
        <w:left w:val="none" w:sz="0" w:space="0" w:color="auto"/>
        <w:bottom w:val="none" w:sz="0" w:space="0" w:color="auto"/>
        <w:right w:val="none" w:sz="0" w:space="0" w:color="auto"/>
      </w:divBdr>
    </w:div>
    <w:div w:id="1906143376">
      <w:bodyDiv w:val="1"/>
      <w:marLeft w:val="0"/>
      <w:marRight w:val="0"/>
      <w:marTop w:val="0"/>
      <w:marBottom w:val="0"/>
      <w:divBdr>
        <w:top w:val="none" w:sz="0" w:space="0" w:color="auto"/>
        <w:left w:val="none" w:sz="0" w:space="0" w:color="auto"/>
        <w:bottom w:val="none" w:sz="0" w:space="0" w:color="auto"/>
        <w:right w:val="none" w:sz="0" w:space="0" w:color="auto"/>
      </w:divBdr>
    </w:div>
    <w:div w:id="1906405833">
      <w:bodyDiv w:val="1"/>
      <w:marLeft w:val="0"/>
      <w:marRight w:val="0"/>
      <w:marTop w:val="0"/>
      <w:marBottom w:val="0"/>
      <w:divBdr>
        <w:top w:val="none" w:sz="0" w:space="0" w:color="auto"/>
        <w:left w:val="none" w:sz="0" w:space="0" w:color="auto"/>
        <w:bottom w:val="none" w:sz="0" w:space="0" w:color="auto"/>
        <w:right w:val="none" w:sz="0" w:space="0" w:color="auto"/>
      </w:divBdr>
    </w:div>
    <w:div w:id="1906522116">
      <w:bodyDiv w:val="1"/>
      <w:marLeft w:val="0"/>
      <w:marRight w:val="0"/>
      <w:marTop w:val="0"/>
      <w:marBottom w:val="0"/>
      <w:divBdr>
        <w:top w:val="none" w:sz="0" w:space="0" w:color="auto"/>
        <w:left w:val="none" w:sz="0" w:space="0" w:color="auto"/>
        <w:bottom w:val="none" w:sz="0" w:space="0" w:color="auto"/>
        <w:right w:val="none" w:sz="0" w:space="0" w:color="auto"/>
      </w:divBdr>
    </w:div>
    <w:div w:id="1906721164">
      <w:bodyDiv w:val="1"/>
      <w:marLeft w:val="0"/>
      <w:marRight w:val="0"/>
      <w:marTop w:val="0"/>
      <w:marBottom w:val="0"/>
      <w:divBdr>
        <w:top w:val="none" w:sz="0" w:space="0" w:color="auto"/>
        <w:left w:val="none" w:sz="0" w:space="0" w:color="auto"/>
        <w:bottom w:val="none" w:sz="0" w:space="0" w:color="auto"/>
        <w:right w:val="none" w:sz="0" w:space="0" w:color="auto"/>
      </w:divBdr>
    </w:div>
    <w:div w:id="1906836128">
      <w:bodyDiv w:val="1"/>
      <w:marLeft w:val="0"/>
      <w:marRight w:val="0"/>
      <w:marTop w:val="0"/>
      <w:marBottom w:val="0"/>
      <w:divBdr>
        <w:top w:val="none" w:sz="0" w:space="0" w:color="auto"/>
        <w:left w:val="none" w:sz="0" w:space="0" w:color="auto"/>
        <w:bottom w:val="none" w:sz="0" w:space="0" w:color="auto"/>
        <w:right w:val="none" w:sz="0" w:space="0" w:color="auto"/>
      </w:divBdr>
    </w:div>
    <w:div w:id="1908756800">
      <w:bodyDiv w:val="1"/>
      <w:marLeft w:val="0"/>
      <w:marRight w:val="0"/>
      <w:marTop w:val="0"/>
      <w:marBottom w:val="0"/>
      <w:divBdr>
        <w:top w:val="none" w:sz="0" w:space="0" w:color="auto"/>
        <w:left w:val="none" w:sz="0" w:space="0" w:color="auto"/>
        <w:bottom w:val="none" w:sz="0" w:space="0" w:color="auto"/>
        <w:right w:val="none" w:sz="0" w:space="0" w:color="auto"/>
      </w:divBdr>
    </w:div>
    <w:div w:id="1909073368">
      <w:bodyDiv w:val="1"/>
      <w:marLeft w:val="0"/>
      <w:marRight w:val="0"/>
      <w:marTop w:val="0"/>
      <w:marBottom w:val="0"/>
      <w:divBdr>
        <w:top w:val="none" w:sz="0" w:space="0" w:color="auto"/>
        <w:left w:val="none" w:sz="0" w:space="0" w:color="auto"/>
        <w:bottom w:val="none" w:sz="0" w:space="0" w:color="auto"/>
        <w:right w:val="none" w:sz="0" w:space="0" w:color="auto"/>
      </w:divBdr>
    </w:div>
    <w:div w:id="1909150613">
      <w:bodyDiv w:val="1"/>
      <w:marLeft w:val="0"/>
      <w:marRight w:val="0"/>
      <w:marTop w:val="0"/>
      <w:marBottom w:val="0"/>
      <w:divBdr>
        <w:top w:val="none" w:sz="0" w:space="0" w:color="auto"/>
        <w:left w:val="none" w:sz="0" w:space="0" w:color="auto"/>
        <w:bottom w:val="none" w:sz="0" w:space="0" w:color="auto"/>
        <w:right w:val="none" w:sz="0" w:space="0" w:color="auto"/>
      </w:divBdr>
    </w:div>
    <w:div w:id="1909533943">
      <w:bodyDiv w:val="1"/>
      <w:marLeft w:val="0"/>
      <w:marRight w:val="0"/>
      <w:marTop w:val="0"/>
      <w:marBottom w:val="0"/>
      <w:divBdr>
        <w:top w:val="none" w:sz="0" w:space="0" w:color="auto"/>
        <w:left w:val="none" w:sz="0" w:space="0" w:color="auto"/>
        <w:bottom w:val="none" w:sz="0" w:space="0" w:color="auto"/>
        <w:right w:val="none" w:sz="0" w:space="0" w:color="auto"/>
      </w:divBdr>
    </w:div>
    <w:div w:id="1909922080">
      <w:bodyDiv w:val="1"/>
      <w:marLeft w:val="0"/>
      <w:marRight w:val="0"/>
      <w:marTop w:val="0"/>
      <w:marBottom w:val="0"/>
      <w:divBdr>
        <w:top w:val="none" w:sz="0" w:space="0" w:color="auto"/>
        <w:left w:val="none" w:sz="0" w:space="0" w:color="auto"/>
        <w:bottom w:val="none" w:sz="0" w:space="0" w:color="auto"/>
        <w:right w:val="none" w:sz="0" w:space="0" w:color="auto"/>
      </w:divBdr>
    </w:div>
    <w:div w:id="1910069174">
      <w:bodyDiv w:val="1"/>
      <w:marLeft w:val="0"/>
      <w:marRight w:val="0"/>
      <w:marTop w:val="0"/>
      <w:marBottom w:val="0"/>
      <w:divBdr>
        <w:top w:val="none" w:sz="0" w:space="0" w:color="auto"/>
        <w:left w:val="none" w:sz="0" w:space="0" w:color="auto"/>
        <w:bottom w:val="none" w:sz="0" w:space="0" w:color="auto"/>
        <w:right w:val="none" w:sz="0" w:space="0" w:color="auto"/>
      </w:divBdr>
    </w:div>
    <w:div w:id="1910728103">
      <w:bodyDiv w:val="1"/>
      <w:marLeft w:val="0"/>
      <w:marRight w:val="0"/>
      <w:marTop w:val="0"/>
      <w:marBottom w:val="0"/>
      <w:divBdr>
        <w:top w:val="none" w:sz="0" w:space="0" w:color="auto"/>
        <w:left w:val="none" w:sz="0" w:space="0" w:color="auto"/>
        <w:bottom w:val="none" w:sz="0" w:space="0" w:color="auto"/>
        <w:right w:val="none" w:sz="0" w:space="0" w:color="auto"/>
      </w:divBdr>
    </w:div>
    <w:div w:id="1911108978">
      <w:bodyDiv w:val="1"/>
      <w:marLeft w:val="0"/>
      <w:marRight w:val="0"/>
      <w:marTop w:val="0"/>
      <w:marBottom w:val="0"/>
      <w:divBdr>
        <w:top w:val="none" w:sz="0" w:space="0" w:color="auto"/>
        <w:left w:val="none" w:sz="0" w:space="0" w:color="auto"/>
        <w:bottom w:val="none" w:sz="0" w:space="0" w:color="auto"/>
        <w:right w:val="none" w:sz="0" w:space="0" w:color="auto"/>
      </w:divBdr>
    </w:div>
    <w:div w:id="1911192326">
      <w:bodyDiv w:val="1"/>
      <w:marLeft w:val="0"/>
      <w:marRight w:val="0"/>
      <w:marTop w:val="0"/>
      <w:marBottom w:val="0"/>
      <w:divBdr>
        <w:top w:val="none" w:sz="0" w:space="0" w:color="auto"/>
        <w:left w:val="none" w:sz="0" w:space="0" w:color="auto"/>
        <w:bottom w:val="none" w:sz="0" w:space="0" w:color="auto"/>
        <w:right w:val="none" w:sz="0" w:space="0" w:color="auto"/>
      </w:divBdr>
    </w:div>
    <w:div w:id="1911688767">
      <w:bodyDiv w:val="1"/>
      <w:marLeft w:val="0"/>
      <w:marRight w:val="0"/>
      <w:marTop w:val="0"/>
      <w:marBottom w:val="0"/>
      <w:divBdr>
        <w:top w:val="none" w:sz="0" w:space="0" w:color="auto"/>
        <w:left w:val="none" w:sz="0" w:space="0" w:color="auto"/>
        <w:bottom w:val="none" w:sz="0" w:space="0" w:color="auto"/>
        <w:right w:val="none" w:sz="0" w:space="0" w:color="auto"/>
      </w:divBdr>
    </w:div>
    <w:div w:id="1911773116">
      <w:bodyDiv w:val="1"/>
      <w:marLeft w:val="0"/>
      <w:marRight w:val="0"/>
      <w:marTop w:val="0"/>
      <w:marBottom w:val="0"/>
      <w:divBdr>
        <w:top w:val="none" w:sz="0" w:space="0" w:color="auto"/>
        <w:left w:val="none" w:sz="0" w:space="0" w:color="auto"/>
        <w:bottom w:val="none" w:sz="0" w:space="0" w:color="auto"/>
        <w:right w:val="none" w:sz="0" w:space="0" w:color="auto"/>
      </w:divBdr>
    </w:div>
    <w:div w:id="1911883147">
      <w:bodyDiv w:val="1"/>
      <w:marLeft w:val="0"/>
      <w:marRight w:val="0"/>
      <w:marTop w:val="0"/>
      <w:marBottom w:val="0"/>
      <w:divBdr>
        <w:top w:val="none" w:sz="0" w:space="0" w:color="auto"/>
        <w:left w:val="none" w:sz="0" w:space="0" w:color="auto"/>
        <w:bottom w:val="none" w:sz="0" w:space="0" w:color="auto"/>
        <w:right w:val="none" w:sz="0" w:space="0" w:color="auto"/>
      </w:divBdr>
    </w:div>
    <w:div w:id="1912038171">
      <w:bodyDiv w:val="1"/>
      <w:marLeft w:val="0"/>
      <w:marRight w:val="0"/>
      <w:marTop w:val="0"/>
      <w:marBottom w:val="0"/>
      <w:divBdr>
        <w:top w:val="none" w:sz="0" w:space="0" w:color="auto"/>
        <w:left w:val="none" w:sz="0" w:space="0" w:color="auto"/>
        <w:bottom w:val="none" w:sz="0" w:space="0" w:color="auto"/>
        <w:right w:val="none" w:sz="0" w:space="0" w:color="auto"/>
      </w:divBdr>
    </w:div>
    <w:div w:id="1912350644">
      <w:bodyDiv w:val="1"/>
      <w:marLeft w:val="0"/>
      <w:marRight w:val="0"/>
      <w:marTop w:val="0"/>
      <w:marBottom w:val="0"/>
      <w:divBdr>
        <w:top w:val="none" w:sz="0" w:space="0" w:color="auto"/>
        <w:left w:val="none" w:sz="0" w:space="0" w:color="auto"/>
        <w:bottom w:val="none" w:sz="0" w:space="0" w:color="auto"/>
        <w:right w:val="none" w:sz="0" w:space="0" w:color="auto"/>
      </w:divBdr>
    </w:div>
    <w:div w:id="1912420021">
      <w:bodyDiv w:val="1"/>
      <w:marLeft w:val="0"/>
      <w:marRight w:val="0"/>
      <w:marTop w:val="0"/>
      <w:marBottom w:val="0"/>
      <w:divBdr>
        <w:top w:val="none" w:sz="0" w:space="0" w:color="auto"/>
        <w:left w:val="none" w:sz="0" w:space="0" w:color="auto"/>
        <w:bottom w:val="none" w:sz="0" w:space="0" w:color="auto"/>
        <w:right w:val="none" w:sz="0" w:space="0" w:color="auto"/>
      </w:divBdr>
    </w:div>
    <w:div w:id="1912695529">
      <w:bodyDiv w:val="1"/>
      <w:marLeft w:val="0"/>
      <w:marRight w:val="0"/>
      <w:marTop w:val="0"/>
      <w:marBottom w:val="0"/>
      <w:divBdr>
        <w:top w:val="none" w:sz="0" w:space="0" w:color="auto"/>
        <w:left w:val="none" w:sz="0" w:space="0" w:color="auto"/>
        <w:bottom w:val="none" w:sz="0" w:space="0" w:color="auto"/>
        <w:right w:val="none" w:sz="0" w:space="0" w:color="auto"/>
      </w:divBdr>
    </w:div>
    <w:div w:id="1912887433">
      <w:bodyDiv w:val="1"/>
      <w:marLeft w:val="0"/>
      <w:marRight w:val="0"/>
      <w:marTop w:val="0"/>
      <w:marBottom w:val="0"/>
      <w:divBdr>
        <w:top w:val="none" w:sz="0" w:space="0" w:color="auto"/>
        <w:left w:val="none" w:sz="0" w:space="0" w:color="auto"/>
        <w:bottom w:val="none" w:sz="0" w:space="0" w:color="auto"/>
        <w:right w:val="none" w:sz="0" w:space="0" w:color="auto"/>
      </w:divBdr>
    </w:div>
    <w:div w:id="1913347896">
      <w:bodyDiv w:val="1"/>
      <w:marLeft w:val="0"/>
      <w:marRight w:val="0"/>
      <w:marTop w:val="0"/>
      <w:marBottom w:val="0"/>
      <w:divBdr>
        <w:top w:val="none" w:sz="0" w:space="0" w:color="auto"/>
        <w:left w:val="none" w:sz="0" w:space="0" w:color="auto"/>
        <w:bottom w:val="none" w:sz="0" w:space="0" w:color="auto"/>
        <w:right w:val="none" w:sz="0" w:space="0" w:color="auto"/>
      </w:divBdr>
    </w:div>
    <w:div w:id="1914047877">
      <w:bodyDiv w:val="1"/>
      <w:marLeft w:val="0"/>
      <w:marRight w:val="0"/>
      <w:marTop w:val="0"/>
      <w:marBottom w:val="0"/>
      <w:divBdr>
        <w:top w:val="none" w:sz="0" w:space="0" w:color="auto"/>
        <w:left w:val="none" w:sz="0" w:space="0" w:color="auto"/>
        <w:bottom w:val="none" w:sz="0" w:space="0" w:color="auto"/>
        <w:right w:val="none" w:sz="0" w:space="0" w:color="auto"/>
      </w:divBdr>
    </w:div>
    <w:div w:id="1914124381">
      <w:bodyDiv w:val="1"/>
      <w:marLeft w:val="0"/>
      <w:marRight w:val="0"/>
      <w:marTop w:val="0"/>
      <w:marBottom w:val="0"/>
      <w:divBdr>
        <w:top w:val="none" w:sz="0" w:space="0" w:color="auto"/>
        <w:left w:val="none" w:sz="0" w:space="0" w:color="auto"/>
        <w:bottom w:val="none" w:sz="0" w:space="0" w:color="auto"/>
        <w:right w:val="none" w:sz="0" w:space="0" w:color="auto"/>
      </w:divBdr>
    </w:div>
    <w:div w:id="1914242224">
      <w:bodyDiv w:val="1"/>
      <w:marLeft w:val="0"/>
      <w:marRight w:val="0"/>
      <w:marTop w:val="0"/>
      <w:marBottom w:val="0"/>
      <w:divBdr>
        <w:top w:val="none" w:sz="0" w:space="0" w:color="auto"/>
        <w:left w:val="none" w:sz="0" w:space="0" w:color="auto"/>
        <w:bottom w:val="none" w:sz="0" w:space="0" w:color="auto"/>
        <w:right w:val="none" w:sz="0" w:space="0" w:color="auto"/>
      </w:divBdr>
    </w:div>
    <w:div w:id="1914464035">
      <w:bodyDiv w:val="1"/>
      <w:marLeft w:val="0"/>
      <w:marRight w:val="0"/>
      <w:marTop w:val="0"/>
      <w:marBottom w:val="0"/>
      <w:divBdr>
        <w:top w:val="none" w:sz="0" w:space="0" w:color="auto"/>
        <w:left w:val="none" w:sz="0" w:space="0" w:color="auto"/>
        <w:bottom w:val="none" w:sz="0" w:space="0" w:color="auto"/>
        <w:right w:val="none" w:sz="0" w:space="0" w:color="auto"/>
      </w:divBdr>
    </w:div>
    <w:div w:id="1914470235">
      <w:bodyDiv w:val="1"/>
      <w:marLeft w:val="0"/>
      <w:marRight w:val="0"/>
      <w:marTop w:val="0"/>
      <w:marBottom w:val="0"/>
      <w:divBdr>
        <w:top w:val="none" w:sz="0" w:space="0" w:color="auto"/>
        <w:left w:val="none" w:sz="0" w:space="0" w:color="auto"/>
        <w:bottom w:val="none" w:sz="0" w:space="0" w:color="auto"/>
        <w:right w:val="none" w:sz="0" w:space="0" w:color="auto"/>
      </w:divBdr>
    </w:div>
    <w:div w:id="1914588236">
      <w:bodyDiv w:val="1"/>
      <w:marLeft w:val="0"/>
      <w:marRight w:val="0"/>
      <w:marTop w:val="0"/>
      <w:marBottom w:val="0"/>
      <w:divBdr>
        <w:top w:val="none" w:sz="0" w:space="0" w:color="auto"/>
        <w:left w:val="none" w:sz="0" w:space="0" w:color="auto"/>
        <w:bottom w:val="none" w:sz="0" w:space="0" w:color="auto"/>
        <w:right w:val="none" w:sz="0" w:space="0" w:color="auto"/>
      </w:divBdr>
    </w:div>
    <w:div w:id="1915355625">
      <w:bodyDiv w:val="1"/>
      <w:marLeft w:val="0"/>
      <w:marRight w:val="0"/>
      <w:marTop w:val="0"/>
      <w:marBottom w:val="0"/>
      <w:divBdr>
        <w:top w:val="none" w:sz="0" w:space="0" w:color="auto"/>
        <w:left w:val="none" w:sz="0" w:space="0" w:color="auto"/>
        <w:bottom w:val="none" w:sz="0" w:space="0" w:color="auto"/>
        <w:right w:val="none" w:sz="0" w:space="0" w:color="auto"/>
      </w:divBdr>
    </w:div>
    <w:div w:id="1915621593">
      <w:bodyDiv w:val="1"/>
      <w:marLeft w:val="0"/>
      <w:marRight w:val="0"/>
      <w:marTop w:val="0"/>
      <w:marBottom w:val="0"/>
      <w:divBdr>
        <w:top w:val="none" w:sz="0" w:space="0" w:color="auto"/>
        <w:left w:val="none" w:sz="0" w:space="0" w:color="auto"/>
        <w:bottom w:val="none" w:sz="0" w:space="0" w:color="auto"/>
        <w:right w:val="none" w:sz="0" w:space="0" w:color="auto"/>
      </w:divBdr>
    </w:div>
    <w:div w:id="1915771140">
      <w:bodyDiv w:val="1"/>
      <w:marLeft w:val="0"/>
      <w:marRight w:val="0"/>
      <w:marTop w:val="0"/>
      <w:marBottom w:val="0"/>
      <w:divBdr>
        <w:top w:val="none" w:sz="0" w:space="0" w:color="auto"/>
        <w:left w:val="none" w:sz="0" w:space="0" w:color="auto"/>
        <w:bottom w:val="none" w:sz="0" w:space="0" w:color="auto"/>
        <w:right w:val="none" w:sz="0" w:space="0" w:color="auto"/>
      </w:divBdr>
    </w:div>
    <w:div w:id="1915773523">
      <w:bodyDiv w:val="1"/>
      <w:marLeft w:val="0"/>
      <w:marRight w:val="0"/>
      <w:marTop w:val="0"/>
      <w:marBottom w:val="0"/>
      <w:divBdr>
        <w:top w:val="none" w:sz="0" w:space="0" w:color="auto"/>
        <w:left w:val="none" w:sz="0" w:space="0" w:color="auto"/>
        <w:bottom w:val="none" w:sz="0" w:space="0" w:color="auto"/>
        <w:right w:val="none" w:sz="0" w:space="0" w:color="auto"/>
      </w:divBdr>
    </w:div>
    <w:div w:id="1916087496">
      <w:bodyDiv w:val="1"/>
      <w:marLeft w:val="0"/>
      <w:marRight w:val="0"/>
      <w:marTop w:val="0"/>
      <w:marBottom w:val="0"/>
      <w:divBdr>
        <w:top w:val="none" w:sz="0" w:space="0" w:color="auto"/>
        <w:left w:val="none" w:sz="0" w:space="0" w:color="auto"/>
        <w:bottom w:val="none" w:sz="0" w:space="0" w:color="auto"/>
        <w:right w:val="none" w:sz="0" w:space="0" w:color="auto"/>
      </w:divBdr>
    </w:div>
    <w:div w:id="1916352745">
      <w:bodyDiv w:val="1"/>
      <w:marLeft w:val="0"/>
      <w:marRight w:val="0"/>
      <w:marTop w:val="0"/>
      <w:marBottom w:val="0"/>
      <w:divBdr>
        <w:top w:val="none" w:sz="0" w:space="0" w:color="auto"/>
        <w:left w:val="none" w:sz="0" w:space="0" w:color="auto"/>
        <w:bottom w:val="none" w:sz="0" w:space="0" w:color="auto"/>
        <w:right w:val="none" w:sz="0" w:space="0" w:color="auto"/>
      </w:divBdr>
    </w:div>
    <w:div w:id="1916863772">
      <w:bodyDiv w:val="1"/>
      <w:marLeft w:val="0"/>
      <w:marRight w:val="0"/>
      <w:marTop w:val="0"/>
      <w:marBottom w:val="0"/>
      <w:divBdr>
        <w:top w:val="none" w:sz="0" w:space="0" w:color="auto"/>
        <w:left w:val="none" w:sz="0" w:space="0" w:color="auto"/>
        <w:bottom w:val="none" w:sz="0" w:space="0" w:color="auto"/>
        <w:right w:val="none" w:sz="0" w:space="0" w:color="auto"/>
      </w:divBdr>
    </w:div>
    <w:div w:id="1917277168">
      <w:bodyDiv w:val="1"/>
      <w:marLeft w:val="0"/>
      <w:marRight w:val="0"/>
      <w:marTop w:val="0"/>
      <w:marBottom w:val="0"/>
      <w:divBdr>
        <w:top w:val="none" w:sz="0" w:space="0" w:color="auto"/>
        <w:left w:val="none" w:sz="0" w:space="0" w:color="auto"/>
        <w:bottom w:val="none" w:sz="0" w:space="0" w:color="auto"/>
        <w:right w:val="none" w:sz="0" w:space="0" w:color="auto"/>
      </w:divBdr>
    </w:div>
    <w:div w:id="1917398976">
      <w:bodyDiv w:val="1"/>
      <w:marLeft w:val="0"/>
      <w:marRight w:val="0"/>
      <w:marTop w:val="0"/>
      <w:marBottom w:val="0"/>
      <w:divBdr>
        <w:top w:val="none" w:sz="0" w:space="0" w:color="auto"/>
        <w:left w:val="none" w:sz="0" w:space="0" w:color="auto"/>
        <w:bottom w:val="none" w:sz="0" w:space="0" w:color="auto"/>
        <w:right w:val="none" w:sz="0" w:space="0" w:color="auto"/>
      </w:divBdr>
    </w:div>
    <w:div w:id="1917592171">
      <w:bodyDiv w:val="1"/>
      <w:marLeft w:val="0"/>
      <w:marRight w:val="0"/>
      <w:marTop w:val="0"/>
      <w:marBottom w:val="0"/>
      <w:divBdr>
        <w:top w:val="none" w:sz="0" w:space="0" w:color="auto"/>
        <w:left w:val="none" w:sz="0" w:space="0" w:color="auto"/>
        <w:bottom w:val="none" w:sz="0" w:space="0" w:color="auto"/>
        <w:right w:val="none" w:sz="0" w:space="0" w:color="auto"/>
      </w:divBdr>
    </w:div>
    <w:div w:id="1917861729">
      <w:bodyDiv w:val="1"/>
      <w:marLeft w:val="0"/>
      <w:marRight w:val="0"/>
      <w:marTop w:val="0"/>
      <w:marBottom w:val="0"/>
      <w:divBdr>
        <w:top w:val="none" w:sz="0" w:space="0" w:color="auto"/>
        <w:left w:val="none" w:sz="0" w:space="0" w:color="auto"/>
        <w:bottom w:val="none" w:sz="0" w:space="0" w:color="auto"/>
        <w:right w:val="none" w:sz="0" w:space="0" w:color="auto"/>
      </w:divBdr>
    </w:div>
    <w:div w:id="1917863328">
      <w:bodyDiv w:val="1"/>
      <w:marLeft w:val="0"/>
      <w:marRight w:val="0"/>
      <w:marTop w:val="0"/>
      <w:marBottom w:val="0"/>
      <w:divBdr>
        <w:top w:val="none" w:sz="0" w:space="0" w:color="auto"/>
        <w:left w:val="none" w:sz="0" w:space="0" w:color="auto"/>
        <w:bottom w:val="none" w:sz="0" w:space="0" w:color="auto"/>
        <w:right w:val="none" w:sz="0" w:space="0" w:color="auto"/>
      </w:divBdr>
    </w:div>
    <w:div w:id="1917937399">
      <w:bodyDiv w:val="1"/>
      <w:marLeft w:val="0"/>
      <w:marRight w:val="0"/>
      <w:marTop w:val="0"/>
      <w:marBottom w:val="0"/>
      <w:divBdr>
        <w:top w:val="none" w:sz="0" w:space="0" w:color="auto"/>
        <w:left w:val="none" w:sz="0" w:space="0" w:color="auto"/>
        <w:bottom w:val="none" w:sz="0" w:space="0" w:color="auto"/>
        <w:right w:val="none" w:sz="0" w:space="0" w:color="auto"/>
      </w:divBdr>
    </w:div>
    <w:div w:id="1918052405">
      <w:bodyDiv w:val="1"/>
      <w:marLeft w:val="0"/>
      <w:marRight w:val="0"/>
      <w:marTop w:val="0"/>
      <w:marBottom w:val="0"/>
      <w:divBdr>
        <w:top w:val="none" w:sz="0" w:space="0" w:color="auto"/>
        <w:left w:val="none" w:sz="0" w:space="0" w:color="auto"/>
        <w:bottom w:val="none" w:sz="0" w:space="0" w:color="auto"/>
        <w:right w:val="none" w:sz="0" w:space="0" w:color="auto"/>
      </w:divBdr>
    </w:div>
    <w:div w:id="1918123822">
      <w:bodyDiv w:val="1"/>
      <w:marLeft w:val="0"/>
      <w:marRight w:val="0"/>
      <w:marTop w:val="0"/>
      <w:marBottom w:val="0"/>
      <w:divBdr>
        <w:top w:val="none" w:sz="0" w:space="0" w:color="auto"/>
        <w:left w:val="none" w:sz="0" w:space="0" w:color="auto"/>
        <w:bottom w:val="none" w:sz="0" w:space="0" w:color="auto"/>
        <w:right w:val="none" w:sz="0" w:space="0" w:color="auto"/>
      </w:divBdr>
    </w:div>
    <w:div w:id="1918318244">
      <w:bodyDiv w:val="1"/>
      <w:marLeft w:val="0"/>
      <w:marRight w:val="0"/>
      <w:marTop w:val="0"/>
      <w:marBottom w:val="0"/>
      <w:divBdr>
        <w:top w:val="none" w:sz="0" w:space="0" w:color="auto"/>
        <w:left w:val="none" w:sz="0" w:space="0" w:color="auto"/>
        <w:bottom w:val="none" w:sz="0" w:space="0" w:color="auto"/>
        <w:right w:val="none" w:sz="0" w:space="0" w:color="auto"/>
      </w:divBdr>
    </w:div>
    <w:div w:id="1918632878">
      <w:bodyDiv w:val="1"/>
      <w:marLeft w:val="0"/>
      <w:marRight w:val="0"/>
      <w:marTop w:val="0"/>
      <w:marBottom w:val="0"/>
      <w:divBdr>
        <w:top w:val="none" w:sz="0" w:space="0" w:color="auto"/>
        <w:left w:val="none" w:sz="0" w:space="0" w:color="auto"/>
        <w:bottom w:val="none" w:sz="0" w:space="0" w:color="auto"/>
        <w:right w:val="none" w:sz="0" w:space="0" w:color="auto"/>
      </w:divBdr>
    </w:div>
    <w:div w:id="1918636889">
      <w:bodyDiv w:val="1"/>
      <w:marLeft w:val="0"/>
      <w:marRight w:val="0"/>
      <w:marTop w:val="0"/>
      <w:marBottom w:val="0"/>
      <w:divBdr>
        <w:top w:val="none" w:sz="0" w:space="0" w:color="auto"/>
        <w:left w:val="none" w:sz="0" w:space="0" w:color="auto"/>
        <w:bottom w:val="none" w:sz="0" w:space="0" w:color="auto"/>
        <w:right w:val="none" w:sz="0" w:space="0" w:color="auto"/>
      </w:divBdr>
    </w:div>
    <w:div w:id="1918860091">
      <w:bodyDiv w:val="1"/>
      <w:marLeft w:val="0"/>
      <w:marRight w:val="0"/>
      <w:marTop w:val="0"/>
      <w:marBottom w:val="0"/>
      <w:divBdr>
        <w:top w:val="none" w:sz="0" w:space="0" w:color="auto"/>
        <w:left w:val="none" w:sz="0" w:space="0" w:color="auto"/>
        <w:bottom w:val="none" w:sz="0" w:space="0" w:color="auto"/>
        <w:right w:val="none" w:sz="0" w:space="0" w:color="auto"/>
      </w:divBdr>
    </w:div>
    <w:div w:id="1918899667">
      <w:bodyDiv w:val="1"/>
      <w:marLeft w:val="0"/>
      <w:marRight w:val="0"/>
      <w:marTop w:val="0"/>
      <w:marBottom w:val="0"/>
      <w:divBdr>
        <w:top w:val="none" w:sz="0" w:space="0" w:color="auto"/>
        <w:left w:val="none" w:sz="0" w:space="0" w:color="auto"/>
        <w:bottom w:val="none" w:sz="0" w:space="0" w:color="auto"/>
        <w:right w:val="none" w:sz="0" w:space="0" w:color="auto"/>
      </w:divBdr>
    </w:div>
    <w:div w:id="1918981314">
      <w:bodyDiv w:val="1"/>
      <w:marLeft w:val="0"/>
      <w:marRight w:val="0"/>
      <w:marTop w:val="0"/>
      <w:marBottom w:val="0"/>
      <w:divBdr>
        <w:top w:val="none" w:sz="0" w:space="0" w:color="auto"/>
        <w:left w:val="none" w:sz="0" w:space="0" w:color="auto"/>
        <w:bottom w:val="none" w:sz="0" w:space="0" w:color="auto"/>
        <w:right w:val="none" w:sz="0" w:space="0" w:color="auto"/>
      </w:divBdr>
    </w:div>
    <w:div w:id="1919515457">
      <w:bodyDiv w:val="1"/>
      <w:marLeft w:val="0"/>
      <w:marRight w:val="0"/>
      <w:marTop w:val="0"/>
      <w:marBottom w:val="0"/>
      <w:divBdr>
        <w:top w:val="none" w:sz="0" w:space="0" w:color="auto"/>
        <w:left w:val="none" w:sz="0" w:space="0" w:color="auto"/>
        <w:bottom w:val="none" w:sz="0" w:space="0" w:color="auto"/>
        <w:right w:val="none" w:sz="0" w:space="0" w:color="auto"/>
      </w:divBdr>
    </w:div>
    <w:div w:id="1919551987">
      <w:bodyDiv w:val="1"/>
      <w:marLeft w:val="0"/>
      <w:marRight w:val="0"/>
      <w:marTop w:val="0"/>
      <w:marBottom w:val="0"/>
      <w:divBdr>
        <w:top w:val="none" w:sz="0" w:space="0" w:color="auto"/>
        <w:left w:val="none" w:sz="0" w:space="0" w:color="auto"/>
        <w:bottom w:val="none" w:sz="0" w:space="0" w:color="auto"/>
        <w:right w:val="none" w:sz="0" w:space="0" w:color="auto"/>
      </w:divBdr>
    </w:div>
    <w:div w:id="1919561281">
      <w:bodyDiv w:val="1"/>
      <w:marLeft w:val="0"/>
      <w:marRight w:val="0"/>
      <w:marTop w:val="0"/>
      <w:marBottom w:val="0"/>
      <w:divBdr>
        <w:top w:val="none" w:sz="0" w:space="0" w:color="auto"/>
        <w:left w:val="none" w:sz="0" w:space="0" w:color="auto"/>
        <w:bottom w:val="none" w:sz="0" w:space="0" w:color="auto"/>
        <w:right w:val="none" w:sz="0" w:space="0" w:color="auto"/>
      </w:divBdr>
    </w:div>
    <w:div w:id="1919830022">
      <w:bodyDiv w:val="1"/>
      <w:marLeft w:val="0"/>
      <w:marRight w:val="0"/>
      <w:marTop w:val="0"/>
      <w:marBottom w:val="0"/>
      <w:divBdr>
        <w:top w:val="none" w:sz="0" w:space="0" w:color="auto"/>
        <w:left w:val="none" w:sz="0" w:space="0" w:color="auto"/>
        <w:bottom w:val="none" w:sz="0" w:space="0" w:color="auto"/>
        <w:right w:val="none" w:sz="0" w:space="0" w:color="auto"/>
      </w:divBdr>
    </w:div>
    <w:div w:id="1919973822">
      <w:bodyDiv w:val="1"/>
      <w:marLeft w:val="0"/>
      <w:marRight w:val="0"/>
      <w:marTop w:val="0"/>
      <w:marBottom w:val="0"/>
      <w:divBdr>
        <w:top w:val="none" w:sz="0" w:space="0" w:color="auto"/>
        <w:left w:val="none" w:sz="0" w:space="0" w:color="auto"/>
        <w:bottom w:val="none" w:sz="0" w:space="0" w:color="auto"/>
        <w:right w:val="none" w:sz="0" w:space="0" w:color="auto"/>
      </w:divBdr>
    </w:div>
    <w:div w:id="1920019333">
      <w:bodyDiv w:val="1"/>
      <w:marLeft w:val="0"/>
      <w:marRight w:val="0"/>
      <w:marTop w:val="0"/>
      <w:marBottom w:val="0"/>
      <w:divBdr>
        <w:top w:val="none" w:sz="0" w:space="0" w:color="auto"/>
        <w:left w:val="none" w:sz="0" w:space="0" w:color="auto"/>
        <w:bottom w:val="none" w:sz="0" w:space="0" w:color="auto"/>
        <w:right w:val="none" w:sz="0" w:space="0" w:color="auto"/>
      </w:divBdr>
    </w:div>
    <w:div w:id="1921254780">
      <w:bodyDiv w:val="1"/>
      <w:marLeft w:val="0"/>
      <w:marRight w:val="0"/>
      <w:marTop w:val="0"/>
      <w:marBottom w:val="0"/>
      <w:divBdr>
        <w:top w:val="none" w:sz="0" w:space="0" w:color="auto"/>
        <w:left w:val="none" w:sz="0" w:space="0" w:color="auto"/>
        <w:bottom w:val="none" w:sz="0" w:space="0" w:color="auto"/>
        <w:right w:val="none" w:sz="0" w:space="0" w:color="auto"/>
      </w:divBdr>
    </w:div>
    <w:div w:id="1921519677">
      <w:bodyDiv w:val="1"/>
      <w:marLeft w:val="0"/>
      <w:marRight w:val="0"/>
      <w:marTop w:val="0"/>
      <w:marBottom w:val="0"/>
      <w:divBdr>
        <w:top w:val="none" w:sz="0" w:space="0" w:color="auto"/>
        <w:left w:val="none" w:sz="0" w:space="0" w:color="auto"/>
        <w:bottom w:val="none" w:sz="0" w:space="0" w:color="auto"/>
        <w:right w:val="none" w:sz="0" w:space="0" w:color="auto"/>
      </w:divBdr>
    </w:div>
    <w:div w:id="1921524091">
      <w:bodyDiv w:val="1"/>
      <w:marLeft w:val="0"/>
      <w:marRight w:val="0"/>
      <w:marTop w:val="0"/>
      <w:marBottom w:val="0"/>
      <w:divBdr>
        <w:top w:val="none" w:sz="0" w:space="0" w:color="auto"/>
        <w:left w:val="none" w:sz="0" w:space="0" w:color="auto"/>
        <w:bottom w:val="none" w:sz="0" w:space="0" w:color="auto"/>
        <w:right w:val="none" w:sz="0" w:space="0" w:color="auto"/>
      </w:divBdr>
    </w:div>
    <w:div w:id="1921674388">
      <w:bodyDiv w:val="1"/>
      <w:marLeft w:val="0"/>
      <w:marRight w:val="0"/>
      <w:marTop w:val="0"/>
      <w:marBottom w:val="0"/>
      <w:divBdr>
        <w:top w:val="none" w:sz="0" w:space="0" w:color="auto"/>
        <w:left w:val="none" w:sz="0" w:space="0" w:color="auto"/>
        <w:bottom w:val="none" w:sz="0" w:space="0" w:color="auto"/>
        <w:right w:val="none" w:sz="0" w:space="0" w:color="auto"/>
      </w:divBdr>
    </w:div>
    <w:div w:id="1921713950">
      <w:bodyDiv w:val="1"/>
      <w:marLeft w:val="0"/>
      <w:marRight w:val="0"/>
      <w:marTop w:val="0"/>
      <w:marBottom w:val="0"/>
      <w:divBdr>
        <w:top w:val="none" w:sz="0" w:space="0" w:color="auto"/>
        <w:left w:val="none" w:sz="0" w:space="0" w:color="auto"/>
        <w:bottom w:val="none" w:sz="0" w:space="0" w:color="auto"/>
        <w:right w:val="none" w:sz="0" w:space="0" w:color="auto"/>
      </w:divBdr>
    </w:div>
    <w:div w:id="1922136020">
      <w:bodyDiv w:val="1"/>
      <w:marLeft w:val="0"/>
      <w:marRight w:val="0"/>
      <w:marTop w:val="0"/>
      <w:marBottom w:val="0"/>
      <w:divBdr>
        <w:top w:val="none" w:sz="0" w:space="0" w:color="auto"/>
        <w:left w:val="none" w:sz="0" w:space="0" w:color="auto"/>
        <w:bottom w:val="none" w:sz="0" w:space="0" w:color="auto"/>
        <w:right w:val="none" w:sz="0" w:space="0" w:color="auto"/>
      </w:divBdr>
    </w:div>
    <w:div w:id="1922328590">
      <w:bodyDiv w:val="1"/>
      <w:marLeft w:val="0"/>
      <w:marRight w:val="0"/>
      <w:marTop w:val="0"/>
      <w:marBottom w:val="0"/>
      <w:divBdr>
        <w:top w:val="none" w:sz="0" w:space="0" w:color="auto"/>
        <w:left w:val="none" w:sz="0" w:space="0" w:color="auto"/>
        <w:bottom w:val="none" w:sz="0" w:space="0" w:color="auto"/>
        <w:right w:val="none" w:sz="0" w:space="0" w:color="auto"/>
      </w:divBdr>
    </w:div>
    <w:div w:id="1922332043">
      <w:bodyDiv w:val="1"/>
      <w:marLeft w:val="0"/>
      <w:marRight w:val="0"/>
      <w:marTop w:val="0"/>
      <w:marBottom w:val="0"/>
      <w:divBdr>
        <w:top w:val="none" w:sz="0" w:space="0" w:color="auto"/>
        <w:left w:val="none" w:sz="0" w:space="0" w:color="auto"/>
        <w:bottom w:val="none" w:sz="0" w:space="0" w:color="auto"/>
        <w:right w:val="none" w:sz="0" w:space="0" w:color="auto"/>
      </w:divBdr>
    </w:div>
    <w:div w:id="1922829655">
      <w:bodyDiv w:val="1"/>
      <w:marLeft w:val="0"/>
      <w:marRight w:val="0"/>
      <w:marTop w:val="0"/>
      <w:marBottom w:val="0"/>
      <w:divBdr>
        <w:top w:val="none" w:sz="0" w:space="0" w:color="auto"/>
        <w:left w:val="none" w:sz="0" w:space="0" w:color="auto"/>
        <w:bottom w:val="none" w:sz="0" w:space="0" w:color="auto"/>
        <w:right w:val="none" w:sz="0" w:space="0" w:color="auto"/>
      </w:divBdr>
    </w:div>
    <w:div w:id="1922909512">
      <w:bodyDiv w:val="1"/>
      <w:marLeft w:val="0"/>
      <w:marRight w:val="0"/>
      <w:marTop w:val="0"/>
      <w:marBottom w:val="0"/>
      <w:divBdr>
        <w:top w:val="none" w:sz="0" w:space="0" w:color="auto"/>
        <w:left w:val="none" w:sz="0" w:space="0" w:color="auto"/>
        <w:bottom w:val="none" w:sz="0" w:space="0" w:color="auto"/>
        <w:right w:val="none" w:sz="0" w:space="0" w:color="auto"/>
      </w:divBdr>
    </w:div>
    <w:div w:id="1923442183">
      <w:bodyDiv w:val="1"/>
      <w:marLeft w:val="0"/>
      <w:marRight w:val="0"/>
      <w:marTop w:val="0"/>
      <w:marBottom w:val="0"/>
      <w:divBdr>
        <w:top w:val="none" w:sz="0" w:space="0" w:color="auto"/>
        <w:left w:val="none" w:sz="0" w:space="0" w:color="auto"/>
        <w:bottom w:val="none" w:sz="0" w:space="0" w:color="auto"/>
        <w:right w:val="none" w:sz="0" w:space="0" w:color="auto"/>
      </w:divBdr>
    </w:div>
    <w:div w:id="1923567726">
      <w:bodyDiv w:val="1"/>
      <w:marLeft w:val="0"/>
      <w:marRight w:val="0"/>
      <w:marTop w:val="0"/>
      <w:marBottom w:val="0"/>
      <w:divBdr>
        <w:top w:val="none" w:sz="0" w:space="0" w:color="auto"/>
        <w:left w:val="none" w:sz="0" w:space="0" w:color="auto"/>
        <w:bottom w:val="none" w:sz="0" w:space="0" w:color="auto"/>
        <w:right w:val="none" w:sz="0" w:space="0" w:color="auto"/>
      </w:divBdr>
    </w:div>
    <w:div w:id="1923637156">
      <w:bodyDiv w:val="1"/>
      <w:marLeft w:val="0"/>
      <w:marRight w:val="0"/>
      <w:marTop w:val="0"/>
      <w:marBottom w:val="0"/>
      <w:divBdr>
        <w:top w:val="none" w:sz="0" w:space="0" w:color="auto"/>
        <w:left w:val="none" w:sz="0" w:space="0" w:color="auto"/>
        <w:bottom w:val="none" w:sz="0" w:space="0" w:color="auto"/>
        <w:right w:val="none" w:sz="0" w:space="0" w:color="auto"/>
      </w:divBdr>
    </w:div>
    <w:div w:id="1923904377">
      <w:bodyDiv w:val="1"/>
      <w:marLeft w:val="0"/>
      <w:marRight w:val="0"/>
      <w:marTop w:val="0"/>
      <w:marBottom w:val="0"/>
      <w:divBdr>
        <w:top w:val="none" w:sz="0" w:space="0" w:color="auto"/>
        <w:left w:val="none" w:sz="0" w:space="0" w:color="auto"/>
        <w:bottom w:val="none" w:sz="0" w:space="0" w:color="auto"/>
        <w:right w:val="none" w:sz="0" w:space="0" w:color="auto"/>
      </w:divBdr>
    </w:div>
    <w:div w:id="1923948454">
      <w:bodyDiv w:val="1"/>
      <w:marLeft w:val="0"/>
      <w:marRight w:val="0"/>
      <w:marTop w:val="0"/>
      <w:marBottom w:val="0"/>
      <w:divBdr>
        <w:top w:val="none" w:sz="0" w:space="0" w:color="auto"/>
        <w:left w:val="none" w:sz="0" w:space="0" w:color="auto"/>
        <w:bottom w:val="none" w:sz="0" w:space="0" w:color="auto"/>
        <w:right w:val="none" w:sz="0" w:space="0" w:color="auto"/>
      </w:divBdr>
    </w:div>
    <w:div w:id="1924754112">
      <w:bodyDiv w:val="1"/>
      <w:marLeft w:val="0"/>
      <w:marRight w:val="0"/>
      <w:marTop w:val="0"/>
      <w:marBottom w:val="0"/>
      <w:divBdr>
        <w:top w:val="none" w:sz="0" w:space="0" w:color="auto"/>
        <w:left w:val="none" w:sz="0" w:space="0" w:color="auto"/>
        <w:bottom w:val="none" w:sz="0" w:space="0" w:color="auto"/>
        <w:right w:val="none" w:sz="0" w:space="0" w:color="auto"/>
      </w:divBdr>
    </w:div>
    <w:div w:id="1924800621">
      <w:bodyDiv w:val="1"/>
      <w:marLeft w:val="0"/>
      <w:marRight w:val="0"/>
      <w:marTop w:val="0"/>
      <w:marBottom w:val="0"/>
      <w:divBdr>
        <w:top w:val="none" w:sz="0" w:space="0" w:color="auto"/>
        <w:left w:val="none" w:sz="0" w:space="0" w:color="auto"/>
        <w:bottom w:val="none" w:sz="0" w:space="0" w:color="auto"/>
        <w:right w:val="none" w:sz="0" w:space="0" w:color="auto"/>
      </w:divBdr>
    </w:div>
    <w:div w:id="1924803035">
      <w:bodyDiv w:val="1"/>
      <w:marLeft w:val="0"/>
      <w:marRight w:val="0"/>
      <w:marTop w:val="0"/>
      <w:marBottom w:val="0"/>
      <w:divBdr>
        <w:top w:val="none" w:sz="0" w:space="0" w:color="auto"/>
        <w:left w:val="none" w:sz="0" w:space="0" w:color="auto"/>
        <w:bottom w:val="none" w:sz="0" w:space="0" w:color="auto"/>
        <w:right w:val="none" w:sz="0" w:space="0" w:color="auto"/>
      </w:divBdr>
    </w:div>
    <w:div w:id="1925069723">
      <w:bodyDiv w:val="1"/>
      <w:marLeft w:val="0"/>
      <w:marRight w:val="0"/>
      <w:marTop w:val="0"/>
      <w:marBottom w:val="0"/>
      <w:divBdr>
        <w:top w:val="none" w:sz="0" w:space="0" w:color="auto"/>
        <w:left w:val="none" w:sz="0" w:space="0" w:color="auto"/>
        <w:bottom w:val="none" w:sz="0" w:space="0" w:color="auto"/>
        <w:right w:val="none" w:sz="0" w:space="0" w:color="auto"/>
      </w:divBdr>
    </w:div>
    <w:div w:id="1925454858">
      <w:bodyDiv w:val="1"/>
      <w:marLeft w:val="0"/>
      <w:marRight w:val="0"/>
      <w:marTop w:val="0"/>
      <w:marBottom w:val="0"/>
      <w:divBdr>
        <w:top w:val="none" w:sz="0" w:space="0" w:color="auto"/>
        <w:left w:val="none" w:sz="0" w:space="0" w:color="auto"/>
        <w:bottom w:val="none" w:sz="0" w:space="0" w:color="auto"/>
        <w:right w:val="none" w:sz="0" w:space="0" w:color="auto"/>
      </w:divBdr>
    </w:div>
    <w:div w:id="1925675847">
      <w:bodyDiv w:val="1"/>
      <w:marLeft w:val="0"/>
      <w:marRight w:val="0"/>
      <w:marTop w:val="0"/>
      <w:marBottom w:val="0"/>
      <w:divBdr>
        <w:top w:val="none" w:sz="0" w:space="0" w:color="auto"/>
        <w:left w:val="none" w:sz="0" w:space="0" w:color="auto"/>
        <w:bottom w:val="none" w:sz="0" w:space="0" w:color="auto"/>
        <w:right w:val="none" w:sz="0" w:space="0" w:color="auto"/>
      </w:divBdr>
    </w:div>
    <w:div w:id="1925842010">
      <w:bodyDiv w:val="1"/>
      <w:marLeft w:val="0"/>
      <w:marRight w:val="0"/>
      <w:marTop w:val="0"/>
      <w:marBottom w:val="0"/>
      <w:divBdr>
        <w:top w:val="none" w:sz="0" w:space="0" w:color="auto"/>
        <w:left w:val="none" w:sz="0" w:space="0" w:color="auto"/>
        <w:bottom w:val="none" w:sz="0" w:space="0" w:color="auto"/>
        <w:right w:val="none" w:sz="0" w:space="0" w:color="auto"/>
      </w:divBdr>
    </w:div>
    <w:div w:id="1926835802">
      <w:bodyDiv w:val="1"/>
      <w:marLeft w:val="0"/>
      <w:marRight w:val="0"/>
      <w:marTop w:val="0"/>
      <w:marBottom w:val="0"/>
      <w:divBdr>
        <w:top w:val="none" w:sz="0" w:space="0" w:color="auto"/>
        <w:left w:val="none" w:sz="0" w:space="0" w:color="auto"/>
        <w:bottom w:val="none" w:sz="0" w:space="0" w:color="auto"/>
        <w:right w:val="none" w:sz="0" w:space="0" w:color="auto"/>
      </w:divBdr>
    </w:div>
    <w:div w:id="1927376641">
      <w:bodyDiv w:val="1"/>
      <w:marLeft w:val="0"/>
      <w:marRight w:val="0"/>
      <w:marTop w:val="0"/>
      <w:marBottom w:val="0"/>
      <w:divBdr>
        <w:top w:val="none" w:sz="0" w:space="0" w:color="auto"/>
        <w:left w:val="none" w:sz="0" w:space="0" w:color="auto"/>
        <w:bottom w:val="none" w:sz="0" w:space="0" w:color="auto"/>
        <w:right w:val="none" w:sz="0" w:space="0" w:color="auto"/>
      </w:divBdr>
    </w:div>
    <w:div w:id="1927883168">
      <w:bodyDiv w:val="1"/>
      <w:marLeft w:val="0"/>
      <w:marRight w:val="0"/>
      <w:marTop w:val="0"/>
      <w:marBottom w:val="0"/>
      <w:divBdr>
        <w:top w:val="none" w:sz="0" w:space="0" w:color="auto"/>
        <w:left w:val="none" w:sz="0" w:space="0" w:color="auto"/>
        <w:bottom w:val="none" w:sz="0" w:space="0" w:color="auto"/>
        <w:right w:val="none" w:sz="0" w:space="0" w:color="auto"/>
      </w:divBdr>
    </w:div>
    <w:div w:id="1928150767">
      <w:bodyDiv w:val="1"/>
      <w:marLeft w:val="0"/>
      <w:marRight w:val="0"/>
      <w:marTop w:val="0"/>
      <w:marBottom w:val="0"/>
      <w:divBdr>
        <w:top w:val="none" w:sz="0" w:space="0" w:color="auto"/>
        <w:left w:val="none" w:sz="0" w:space="0" w:color="auto"/>
        <w:bottom w:val="none" w:sz="0" w:space="0" w:color="auto"/>
        <w:right w:val="none" w:sz="0" w:space="0" w:color="auto"/>
      </w:divBdr>
    </w:div>
    <w:div w:id="1928538626">
      <w:bodyDiv w:val="1"/>
      <w:marLeft w:val="0"/>
      <w:marRight w:val="0"/>
      <w:marTop w:val="0"/>
      <w:marBottom w:val="0"/>
      <w:divBdr>
        <w:top w:val="none" w:sz="0" w:space="0" w:color="auto"/>
        <w:left w:val="none" w:sz="0" w:space="0" w:color="auto"/>
        <w:bottom w:val="none" w:sz="0" w:space="0" w:color="auto"/>
        <w:right w:val="none" w:sz="0" w:space="0" w:color="auto"/>
      </w:divBdr>
    </w:div>
    <w:div w:id="1928727915">
      <w:bodyDiv w:val="1"/>
      <w:marLeft w:val="0"/>
      <w:marRight w:val="0"/>
      <w:marTop w:val="0"/>
      <w:marBottom w:val="0"/>
      <w:divBdr>
        <w:top w:val="none" w:sz="0" w:space="0" w:color="auto"/>
        <w:left w:val="none" w:sz="0" w:space="0" w:color="auto"/>
        <w:bottom w:val="none" w:sz="0" w:space="0" w:color="auto"/>
        <w:right w:val="none" w:sz="0" w:space="0" w:color="auto"/>
      </w:divBdr>
    </w:div>
    <w:div w:id="1928927702">
      <w:bodyDiv w:val="1"/>
      <w:marLeft w:val="0"/>
      <w:marRight w:val="0"/>
      <w:marTop w:val="0"/>
      <w:marBottom w:val="0"/>
      <w:divBdr>
        <w:top w:val="none" w:sz="0" w:space="0" w:color="auto"/>
        <w:left w:val="none" w:sz="0" w:space="0" w:color="auto"/>
        <w:bottom w:val="none" w:sz="0" w:space="0" w:color="auto"/>
        <w:right w:val="none" w:sz="0" w:space="0" w:color="auto"/>
      </w:divBdr>
    </w:div>
    <w:div w:id="1929345100">
      <w:bodyDiv w:val="1"/>
      <w:marLeft w:val="0"/>
      <w:marRight w:val="0"/>
      <w:marTop w:val="0"/>
      <w:marBottom w:val="0"/>
      <w:divBdr>
        <w:top w:val="none" w:sz="0" w:space="0" w:color="auto"/>
        <w:left w:val="none" w:sz="0" w:space="0" w:color="auto"/>
        <w:bottom w:val="none" w:sz="0" w:space="0" w:color="auto"/>
        <w:right w:val="none" w:sz="0" w:space="0" w:color="auto"/>
      </w:divBdr>
    </w:div>
    <w:div w:id="1929727520">
      <w:bodyDiv w:val="1"/>
      <w:marLeft w:val="0"/>
      <w:marRight w:val="0"/>
      <w:marTop w:val="0"/>
      <w:marBottom w:val="0"/>
      <w:divBdr>
        <w:top w:val="none" w:sz="0" w:space="0" w:color="auto"/>
        <w:left w:val="none" w:sz="0" w:space="0" w:color="auto"/>
        <w:bottom w:val="none" w:sz="0" w:space="0" w:color="auto"/>
        <w:right w:val="none" w:sz="0" w:space="0" w:color="auto"/>
      </w:divBdr>
    </w:div>
    <w:div w:id="1929846982">
      <w:bodyDiv w:val="1"/>
      <w:marLeft w:val="0"/>
      <w:marRight w:val="0"/>
      <w:marTop w:val="0"/>
      <w:marBottom w:val="0"/>
      <w:divBdr>
        <w:top w:val="none" w:sz="0" w:space="0" w:color="auto"/>
        <w:left w:val="none" w:sz="0" w:space="0" w:color="auto"/>
        <w:bottom w:val="none" w:sz="0" w:space="0" w:color="auto"/>
        <w:right w:val="none" w:sz="0" w:space="0" w:color="auto"/>
      </w:divBdr>
    </w:div>
    <w:div w:id="1929847355">
      <w:bodyDiv w:val="1"/>
      <w:marLeft w:val="0"/>
      <w:marRight w:val="0"/>
      <w:marTop w:val="0"/>
      <w:marBottom w:val="0"/>
      <w:divBdr>
        <w:top w:val="none" w:sz="0" w:space="0" w:color="auto"/>
        <w:left w:val="none" w:sz="0" w:space="0" w:color="auto"/>
        <w:bottom w:val="none" w:sz="0" w:space="0" w:color="auto"/>
        <w:right w:val="none" w:sz="0" w:space="0" w:color="auto"/>
      </w:divBdr>
    </w:div>
    <w:div w:id="1929919314">
      <w:bodyDiv w:val="1"/>
      <w:marLeft w:val="0"/>
      <w:marRight w:val="0"/>
      <w:marTop w:val="0"/>
      <w:marBottom w:val="0"/>
      <w:divBdr>
        <w:top w:val="none" w:sz="0" w:space="0" w:color="auto"/>
        <w:left w:val="none" w:sz="0" w:space="0" w:color="auto"/>
        <w:bottom w:val="none" w:sz="0" w:space="0" w:color="auto"/>
        <w:right w:val="none" w:sz="0" w:space="0" w:color="auto"/>
      </w:divBdr>
    </w:div>
    <w:div w:id="1930001070">
      <w:bodyDiv w:val="1"/>
      <w:marLeft w:val="0"/>
      <w:marRight w:val="0"/>
      <w:marTop w:val="0"/>
      <w:marBottom w:val="0"/>
      <w:divBdr>
        <w:top w:val="none" w:sz="0" w:space="0" w:color="auto"/>
        <w:left w:val="none" w:sz="0" w:space="0" w:color="auto"/>
        <w:bottom w:val="none" w:sz="0" w:space="0" w:color="auto"/>
        <w:right w:val="none" w:sz="0" w:space="0" w:color="auto"/>
      </w:divBdr>
    </w:div>
    <w:div w:id="1930381407">
      <w:bodyDiv w:val="1"/>
      <w:marLeft w:val="0"/>
      <w:marRight w:val="0"/>
      <w:marTop w:val="0"/>
      <w:marBottom w:val="0"/>
      <w:divBdr>
        <w:top w:val="none" w:sz="0" w:space="0" w:color="auto"/>
        <w:left w:val="none" w:sz="0" w:space="0" w:color="auto"/>
        <w:bottom w:val="none" w:sz="0" w:space="0" w:color="auto"/>
        <w:right w:val="none" w:sz="0" w:space="0" w:color="auto"/>
      </w:divBdr>
    </w:div>
    <w:div w:id="1930458730">
      <w:bodyDiv w:val="1"/>
      <w:marLeft w:val="0"/>
      <w:marRight w:val="0"/>
      <w:marTop w:val="0"/>
      <w:marBottom w:val="0"/>
      <w:divBdr>
        <w:top w:val="none" w:sz="0" w:space="0" w:color="auto"/>
        <w:left w:val="none" w:sz="0" w:space="0" w:color="auto"/>
        <w:bottom w:val="none" w:sz="0" w:space="0" w:color="auto"/>
        <w:right w:val="none" w:sz="0" w:space="0" w:color="auto"/>
      </w:divBdr>
    </w:div>
    <w:div w:id="1930575237">
      <w:bodyDiv w:val="1"/>
      <w:marLeft w:val="0"/>
      <w:marRight w:val="0"/>
      <w:marTop w:val="0"/>
      <w:marBottom w:val="0"/>
      <w:divBdr>
        <w:top w:val="none" w:sz="0" w:space="0" w:color="auto"/>
        <w:left w:val="none" w:sz="0" w:space="0" w:color="auto"/>
        <w:bottom w:val="none" w:sz="0" w:space="0" w:color="auto"/>
        <w:right w:val="none" w:sz="0" w:space="0" w:color="auto"/>
      </w:divBdr>
    </w:div>
    <w:div w:id="1930842769">
      <w:bodyDiv w:val="1"/>
      <w:marLeft w:val="0"/>
      <w:marRight w:val="0"/>
      <w:marTop w:val="0"/>
      <w:marBottom w:val="0"/>
      <w:divBdr>
        <w:top w:val="none" w:sz="0" w:space="0" w:color="auto"/>
        <w:left w:val="none" w:sz="0" w:space="0" w:color="auto"/>
        <w:bottom w:val="none" w:sz="0" w:space="0" w:color="auto"/>
        <w:right w:val="none" w:sz="0" w:space="0" w:color="auto"/>
      </w:divBdr>
    </w:div>
    <w:div w:id="1930887687">
      <w:bodyDiv w:val="1"/>
      <w:marLeft w:val="0"/>
      <w:marRight w:val="0"/>
      <w:marTop w:val="0"/>
      <w:marBottom w:val="0"/>
      <w:divBdr>
        <w:top w:val="none" w:sz="0" w:space="0" w:color="auto"/>
        <w:left w:val="none" w:sz="0" w:space="0" w:color="auto"/>
        <w:bottom w:val="none" w:sz="0" w:space="0" w:color="auto"/>
        <w:right w:val="none" w:sz="0" w:space="0" w:color="auto"/>
      </w:divBdr>
    </w:div>
    <w:div w:id="1931111814">
      <w:bodyDiv w:val="1"/>
      <w:marLeft w:val="0"/>
      <w:marRight w:val="0"/>
      <w:marTop w:val="0"/>
      <w:marBottom w:val="0"/>
      <w:divBdr>
        <w:top w:val="none" w:sz="0" w:space="0" w:color="auto"/>
        <w:left w:val="none" w:sz="0" w:space="0" w:color="auto"/>
        <w:bottom w:val="none" w:sz="0" w:space="0" w:color="auto"/>
        <w:right w:val="none" w:sz="0" w:space="0" w:color="auto"/>
      </w:divBdr>
    </w:div>
    <w:div w:id="1932007811">
      <w:bodyDiv w:val="1"/>
      <w:marLeft w:val="0"/>
      <w:marRight w:val="0"/>
      <w:marTop w:val="0"/>
      <w:marBottom w:val="0"/>
      <w:divBdr>
        <w:top w:val="none" w:sz="0" w:space="0" w:color="auto"/>
        <w:left w:val="none" w:sz="0" w:space="0" w:color="auto"/>
        <w:bottom w:val="none" w:sz="0" w:space="0" w:color="auto"/>
        <w:right w:val="none" w:sz="0" w:space="0" w:color="auto"/>
      </w:divBdr>
    </w:div>
    <w:div w:id="1932086951">
      <w:bodyDiv w:val="1"/>
      <w:marLeft w:val="0"/>
      <w:marRight w:val="0"/>
      <w:marTop w:val="0"/>
      <w:marBottom w:val="0"/>
      <w:divBdr>
        <w:top w:val="none" w:sz="0" w:space="0" w:color="auto"/>
        <w:left w:val="none" w:sz="0" w:space="0" w:color="auto"/>
        <w:bottom w:val="none" w:sz="0" w:space="0" w:color="auto"/>
        <w:right w:val="none" w:sz="0" w:space="0" w:color="auto"/>
      </w:divBdr>
    </w:div>
    <w:div w:id="1932660381">
      <w:bodyDiv w:val="1"/>
      <w:marLeft w:val="0"/>
      <w:marRight w:val="0"/>
      <w:marTop w:val="0"/>
      <w:marBottom w:val="0"/>
      <w:divBdr>
        <w:top w:val="none" w:sz="0" w:space="0" w:color="auto"/>
        <w:left w:val="none" w:sz="0" w:space="0" w:color="auto"/>
        <w:bottom w:val="none" w:sz="0" w:space="0" w:color="auto"/>
        <w:right w:val="none" w:sz="0" w:space="0" w:color="auto"/>
      </w:divBdr>
    </w:div>
    <w:div w:id="1932735254">
      <w:bodyDiv w:val="1"/>
      <w:marLeft w:val="0"/>
      <w:marRight w:val="0"/>
      <w:marTop w:val="0"/>
      <w:marBottom w:val="0"/>
      <w:divBdr>
        <w:top w:val="none" w:sz="0" w:space="0" w:color="auto"/>
        <w:left w:val="none" w:sz="0" w:space="0" w:color="auto"/>
        <w:bottom w:val="none" w:sz="0" w:space="0" w:color="auto"/>
        <w:right w:val="none" w:sz="0" w:space="0" w:color="auto"/>
      </w:divBdr>
    </w:div>
    <w:div w:id="1932811392">
      <w:bodyDiv w:val="1"/>
      <w:marLeft w:val="0"/>
      <w:marRight w:val="0"/>
      <w:marTop w:val="0"/>
      <w:marBottom w:val="0"/>
      <w:divBdr>
        <w:top w:val="none" w:sz="0" w:space="0" w:color="auto"/>
        <w:left w:val="none" w:sz="0" w:space="0" w:color="auto"/>
        <w:bottom w:val="none" w:sz="0" w:space="0" w:color="auto"/>
        <w:right w:val="none" w:sz="0" w:space="0" w:color="auto"/>
      </w:divBdr>
    </w:div>
    <w:div w:id="1933051194">
      <w:bodyDiv w:val="1"/>
      <w:marLeft w:val="0"/>
      <w:marRight w:val="0"/>
      <w:marTop w:val="0"/>
      <w:marBottom w:val="0"/>
      <w:divBdr>
        <w:top w:val="none" w:sz="0" w:space="0" w:color="auto"/>
        <w:left w:val="none" w:sz="0" w:space="0" w:color="auto"/>
        <w:bottom w:val="none" w:sz="0" w:space="0" w:color="auto"/>
        <w:right w:val="none" w:sz="0" w:space="0" w:color="auto"/>
      </w:divBdr>
    </w:div>
    <w:div w:id="1933316738">
      <w:bodyDiv w:val="1"/>
      <w:marLeft w:val="0"/>
      <w:marRight w:val="0"/>
      <w:marTop w:val="0"/>
      <w:marBottom w:val="0"/>
      <w:divBdr>
        <w:top w:val="none" w:sz="0" w:space="0" w:color="auto"/>
        <w:left w:val="none" w:sz="0" w:space="0" w:color="auto"/>
        <w:bottom w:val="none" w:sz="0" w:space="0" w:color="auto"/>
        <w:right w:val="none" w:sz="0" w:space="0" w:color="auto"/>
      </w:divBdr>
    </w:div>
    <w:div w:id="1933472677">
      <w:bodyDiv w:val="1"/>
      <w:marLeft w:val="0"/>
      <w:marRight w:val="0"/>
      <w:marTop w:val="0"/>
      <w:marBottom w:val="0"/>
      <w:divBdr>
        <w:top w:val="none" w:sz="0" w:space="0" w:color="auto"/>
        <w:left w:val="none" w:sz="0" w:space="0" w:color="auto"/>
        <w:bottom w:val="none" w:sz="0" w:space="0" w:color="auto"/>
        <w:right w:val="none" w:sz="0" w:space="0" w:color="auto"/>
      </w:divBdr>
    </w:div>
    <w:div w:id="1933934143">
      <w:bodyDiv w:val="1"/>
      <w:marLeft w:val="0"/>
      <w:marRight w:val="0"/>
      <w:marTop w:val="0"/>
      <w:marBottom w:val="0"/>
      <w:divBdr>
        <w:top w:val="none" w:sz="0" w:space="0" w:color="auto"/>
        <w:left w:val="none" w:sz="0" w:space="0" w:color="auto"/>
        <w:bottom w:val="none" w:sz="0" w:space="0" w:color="auto"/>
        <w:right w:val="none" w:sz="0" w:space="0" w:color="auto"/>
      </w:divBdr>
    </w:div>
    <w:div w:id="1934775683">
      <w:bodyDiv w:val="1"/>
      <w:marLeft w:val="0"/>
      <w:marRight w:val="0"/>
      <w:marTop w:val="0"/>
      <w:marBottom w:val="0"/>
      <w:divBdr>
        <w:top w:val="none" w:sz="0" w:space="0" w:color="auto"/>
        <w:left w:val="none" w:sz="0" w:space="0" w:color="auto"/>
        <w:bottom w:val="none" w:sz="0" w:space="0" w:color="auto"/>
        <w:right w:val="none" w:sz="0" w:space="0" w:color="auto"/>
      </w:divBdr>
    </w:div>
    <w:div w:id="1936328906">
      <w:bodyDiv w:val="1"/>
      <w:marLeft w:val="0"/>
      <w:marRight w:val="0"/>
      <w:marTop w:val="0"/>
      <w:marBottom w:val="0"/>
      <w:divBdr>
        <w:top w:val="none" w:sz="0" w:space="0" w:color="auto"/>
        <w:left w:val="none" w:sz="0" w:space="0" w:color="auto"/>
        <w:bottom w:val="none" w:sz="0" w:space="0" w:color="auto"/>
        <w:right w:val="none" w:sz="0" w:space="0" w:color="auto"/>
      </w:divBdr>
    </w:div>
    <w:div w:id="1937397329">
      <w:bodyDiv w:val="1"/>
      <w:marLeft w:val="0"/>
      <w:marRight w:val="0"/>
      <w:marTop w:val="0"/>
      <w:marBottom w:val="0"/>
      <w:divBdr>
        <w:top w:val="none" w:sz="0" w:space="0" w:color="auto"/>
        <w:left w:val="none" w:sz="0" w:space="0" w:color="auto"/>
        <w:bottom w:val="none" w:sz="0" w:space="0" w:color="auto"/>
        <w:right w:val="none" w:sz="0" w:space="0" w:color="auto"/>
      </w:divBdr>
    </w:div>
    <w:div w:id="1937590026">
      <w:bodyDiv w:val="1"/>
      <w:marLeft w:val="0"/>
      <w:marRight w:val="0"/>
      <w:marTop w:val="0"/>
      <w:marBottom w:val="0"/>
      <w:divBdr>
        <w:top w:val="none" w:sz="0" w:space="0" w:color="auto"/>
        <w:left w:val="none" w:sz="0" w:space="0" w:color="auto"/>
        <w:bottom w:val="none" w:sz="0" w:space="0" w:color="auto"/>
        <w:right w:val="none" w:sz="0" w:space="0" w:color="auto"/>
      </w:divBdr>
    </w:div>
    <w:div w:id="1937788684">
      <w:bodyDiv w:val="1"/>
      <w:marLeft w:val="0"/>
      <w:marRight w:val="0"/>
      <w:marTop w:val="0"/>
      <w:marBottom w:val="0"/>
      <w:divBdr>
        <w:top w:val="none" w:sz="0" w:space="0" w:color="auto"/>
        <w:left w:val="none" w:sz="0" w:space="0" w:color="auto"/>
        <w:bottom w:val="none" w:sz="0" w:space="0" w:color="auto"/>
        <w:right w:val="none" w:sz="0" w:space="0" w:color="auto"/>
      </w:divBdr>
    </w:div>
    <w:div w:id="1938364995">
      <w:bodyDiv w:val="1"/>
      <w:marLeft w:val="0"/>
      <w:marRight w:val="0"/>
      <w:marTop w:val="0"/>
      <w:marBottom w:val="0"/>
      <w:divBdr>
        <w:top w:val="none" w:sz="0" w:space="0" w:color="auto"/>
        <w:left w:val="none" w:sz="0" w:space="0" w:color="auto"/>
        <w:bottom w:val="none" w:sz="0" w:space="0" w:color="auto"/>
        <w:right w:val="none" w:sz="0" w:space="0" w:color="auto"/>
      </w:divBdr>
    </w:div>
    <w:div w:id="1938369383">
      <w:bodyDiv w:val="1"/>
      <w:marLeft w:val="0"/>
      <w:marRight w:val="0"/>
      <w:marTop w:val="0"/>
      <w:marBottom w:val="0"/>
      <w:divBdr>
        <w:top w:val="none" w:sz="0" w:space="0" w:color="auto"/>
        <w:left w:val="none" w:sz="0" w:space="0" w:color="auto"/>
        <w:bottom w:val="none" w:sz="0" w:space="0" w:color="auto"/>
        <w:right w:val="none" w:sz="0" w:space="0" w:color="auto"/>
      </w:divBdr>
    </w:div>
    <w:div w:id="1938561162">
      <w:bodyDiv w:val="1"/>
      <w:marLeft w:val="0"/>
      <w:marRight w:val="0"/>
      <w:marTop w:val="0"/>
      <w:marBottom w:val="0"/>
      <w:divBdr>
        <w:top w:val="none" w:sz="0" w:space="0" w:color="auto"/>
        <w:left w:val="none" w:sz="0" w:space="0" w:color="auto"/>
        <w:bottom w:val="none" w:sz="0" w:space="0" w:color="auto"/>
        <w:right w:val="none" w:sz="0" w:space="0" w:color="auto"/>
      </w:divBdr>
    </w:div>
    <w:div w:id="1938636750">
      <w:bodyDiv w:val="1"/>
      <w:marLeft w:val="0"/>
      <w:marRight w:val="0"/>
      <w:marTop w:val="0"/>
      <w:marBottom w:val="0"/>
      <w:divBdr>
        <w:top w:val="none" w:sz="0" w:space="0" w:color="auto"/>
        <w:left w:val="none" w:sz="0" w:space="0" w:color="auto"/>
        <w:bottom w:val="none" w:sz="0" w:space="0" w:color="auto"/>
        <w:right w:val="none" w:sz="0" w:space="0" w:color="auto"/>
      </w:divBdr>
    </w:div>
    <w:div w:id="1938824750">
      <w:bodyDiv w:val="1"/>
      <w:marLeft w:val="0"/>
      <w:marRight w:val="0"/>
      <w:marTop w:val="0"/>
      <w:marBottom w:val="0"/>
      <w:divBdr>
        <w:top w:val="none" w:sz="0" w:space="0" w:color="auto"/>
        <w:left w:val="none" w:sz="0" w:space="0" w:color="auto"/>
        <w:bottom w:val="none" w:sz="0" w:space="0" w:color="auto"/>
        <w:right w:val="none" w:sz="0" w:space="0" w:color="auto"/>
      </w:divBdr>
    </w:div>
    <w:div w:id="1939176959">
      <w:bodyDiv w:val="1"/>
      <w:marLeft w:val="0"/>
      <w:marRight w:val="0"/>
      <w:marTop w:val="0"/>
      <w:marBottom w:val="0"/>
      <w:divBdr>
        <w:top w:val="none" w:sz="0" w:space="0" w:color="auto"/>
        <w:left w:val="none" w:sz="0" w:space="0" w:color="auto"/>
        <w:bottom w:val="none" w:sz="0" w:space="0" w:color="auto"/>
        <w:right w:val="none" w:sz="0" w:space="0" w:color="auto"/>
      </w:divBdr>
    </w:div>
    <w:div w:id="1939218397">
      <w:bodyDiv w:val="1"/>
      <w:marLeft w:val="0"/>
      <w:marRight w:val="0"/>
      <w:marTop w:val="0"/>
      <w:marBottom w:val="0"/>
      <w:divBdr>
        <w:top w:val="none" w:sz="0" w:space="0" w:color="auto"/>
        <w:left w:val="none" w:sz="0" w:space="0" w:color="auto"/>
        <w:bottom w:val="none" w:sz="0" w:space="0" w:color="auto"/>
        <w:right w:val="none" w:sz="0" w:space="0" w:color="auto"/>
      </w:divBdr>
    </w:div>
    <w:div w:id="1939219669">
      <w:bodyDiv w:val="1"/>
      <w:marLeft w:val="0"/>
      <w:marRight w:val="0"/>
      <w:marTop w:val="0"/>
      <w:marBottom w:val="0"/>
      <w:divBdr>
        <w:top w:val="none" w:sz="0" w:space="0" w:color="auto"/>
        <w:left w:val="none" w:sz="0" w:space="0" w:color="auto"/>
        <w:bottom w:val="none" w:sz="0" w:space="0" w:color="auto"/>
        <w:right w:val="none" w:sz="0" w:space="0" w:color="auto"/>
      </w:divBdr>
    </w:div>
    <w:div w:id="1939364399">
      <w:bodyDiv w:val="1"/>
      <w:marLeft w:val="0"/>
      <w:marRight w:val="0"/>
      <w:marTop w:val="0"/>
      <w:marBottom w:val="0"/>
      <w:divBdr>
        <w:top w:val="none" w:sz="0" w:space="0" w:color="auto"/>
        <w:left w:val="none" w:sz="0" w:space="0" w:color="auto"/>
        <w:bottom w:val="none" w:sz="0" w:space="0" w:color="auto"/>
        <w:right w:val="none" w:sz="0" w:space="0" w:color="auto"/>
      </w:divBdr>
    </w:div>
    <w:div w:id="1939563186">
      <w:bodyDiv w:val="1"/>
      <w:marLeft w:val="0"/>
      <w:marRight w:val="0"/>
      <w:marTop w:val="0"/>
      <w:marBottom w:val="0"/>
      <w:divBdr>
        <w:top w:val="none" w:sz="0" w:space="0" w:color="auto"/>
        <w:left w:val="none" w:sz="0" w:space="0" w:color="auto"/>
        <w:bottom w:val="none" w:sz="0" w:space="0" w:color="auto"/>
        <w:right w:val="none" w:sz="0" w:space="0" w:color="auto"/>
      </w:divBdr>
    </w:div>
    <w:div w:id="1939753825">
      <w:bodyDiv w:val="1"/>
      <w:marLeft w:val="0"/>
      <w:marRight w:val="0"/>
      <w:marTop w:val="0"/>
      <w:marBottom w:val="0"/>
      <w:divBdr>
        <w:top w:val="none" w:sz="0" w:space="0" w:color="auto"/>
        <w:left w:val="none" w:sz="0" w:space="0" w:color="auto"/>
        <w:bottom w:val="none" w:sz="0" w:space="0" w:color="auto"/>
        <w:right w:val="none" w:sz="0" w:space="0" w:color="auto"/>
      </w:divBdr>
    </w:div>
    <w:div w:id="1940523943">
      <w:bodyDiv w:val="1"/>
      <w:marLeft w:val="0"/>
      <w:marRight w:val="0"/>
      <w:marTop w:val="0"/>
      <w:marBottom w:val="0"/>
      <w:divBdr>
        <w:top w:val="none" w:sz="0" w:space="0" w:color="auto"/>
        <w:left w:val="none" w:sz="0" w:space="0" w:color="auto"/>
        <w:bottom w:val="none" w:sz="0" w:space="0" w:color="auto"/>
        <w:right w:val="none" w:sz="0" w:space="0" w:color="auto"/>
      </w:divBdr>
    </w:div>
    <w:div w:id="1940747101">
      <w:bodyDiv w:val="1"/>
      <w:marLeft w:val="0"/>
      <w:marRight w:val="0"/>
      <w:marTop w:val="0"/>
      <w:marBottom w:val="0"/>
      <w:divBdr>
        <w:top w:val="none" w:sz="0" w:space="0" w:color="auto"/>
        <w:left w:val="none" w:sz="0" w:space="0" w:color="auto"/>
        <w:bottom w:val="none" w:sz="0" w:space="0" w:color="auto"/>
        <w:right w:val="none" w:sz="0" w:space="0" w:color="auto"/>
      </w:divBdr>
    </w:div>
    <w:div w:id="1941252622">
      <w:bodyDiv w:val="1"/>
      <w:marLeft w:val="0"/>
      <w:marRight w:val="0"/>
      <w:marTop w:val="0"/>
      <w:marBottom w:val="0"/>
      <w:divBdr>
        <w:top w:val="none" w:sz="0" w:space="0" w:color="auto"/>
        <w:left w:val="none" w:sz="0" w:space="0" w:color="auto"/>
        <w:bottom w:val="none" w:sz="0" w:space="0" w:color="auto"/>
        <w:right w:val="none" w:sz="0" w:space="0" w:color="auto"/>
      </w:divBdr>
    </w:div>
    <w:div w:id="1941378287">
      <w:bodyDiv w:val="1"/>
      <w:marLeft w:val="0"/>
      <w:marRight w:val="0"/>
      <w:marTop w:val="0"/>
      <w:marBottom w:val="0"/>
      <w:divBdr>
        <w:top w:val="none" w:sz="0" w:space="0" w:color="auto"/>
        <w:left w:val="none" w:sz="0" w:space="0" w:color="auto"/>
        <w:bottom w:val="none" w:sz="0" w:space="0" w:color="auto"/>
        <w:right w:val="none" w:sz="0" w:space="0" w:color="auto"/>
      </w:divBdr>
    </w:div>
    <w:div w:id="1941797024">
      <w:bodyDiv w:val="1"/>
      <w:marLeft w:val="0"/>
      <w:marRight w:val="0"/>
      <w:marTop w:val="0"/>
      <w:marBottom w:val="0"/>
      <w:divBdr>
        <w:top w:val="none" w:sz="0" w:space="0" w:color="auto"/>
        <w:left w:val="none" w:sz="0" w:space="0" w:color="auto"/>
        <w:bottom w:val="none" w:sz="0" w:space="0" w:color="auto"/>
        <w:right w:val="none" w:sz="0" w:space="0" w:color="auto"/>
      </w:divBdr>
    </w:div>
    <w:div w:id="1942369479">
      <w:bodyDiv w:val="1"/>
      <w:marLeft w:val="0"/>
      <w:marRight w:val="0"/>
      <w:marTop w:val="0"/>
      <w:marBottom w:val="0"/>
      <w:divBdr>
        <w:top w:val="none" w:sz="0" w:space="0" w:color="auto"/>
        <w:left w:val="none" w:sz="0" w:space="0" w:color="auto"/>
        <w:bottom w:val="none" w:sz="0" w:space="0" w:color="auto"/>
        <w:right w:val="none" w:sz="0" w:space="0" w:color="auto"/>
      </w:divBdr>
    </w:div>
    <w:div w:id="1942564814">
      <w:bodyDiv w:val="1"/>
      <w:marLeft w:val="0"/>
      <w:marRight w:val="0"/>
      <w:marTop w:val="0"/>
      <w:marBottom w:val="0"/>
      <w:divBdr>
        <w:top w:val="none" w:sz="0" w:space="0" w:color="auto"/>
        <w:left w:val="none" w:sz="0" w:space="0" w:color="auto"/>
        <w:bottom w:val="none" w:sz="0" w:space="0" w:color="auto"/>
        <w:right w:val="none" w:sz="0" w:space="0" w:color="auto"/>
      </w:divBdr>
    </w:div>
    <w:div w:id="1942567453">
      <w:bodyDiv w:val="1"/>
      <w:marLeft w:val="0"/>
      <w:marRight w:val="0"/>
      <w:marTop w:val="0"/>
      <w:marBottom w:val="0"/>
      <w:divBdr>
        <w:top w:val="none" w:sz="0" w:space="0" w:color="auto"/>
        <w:left w:val="none" w:sz="0" w:space="0" w:color="auto"/>
        <w:bottom w:val="none" w:sz="0" w:space="0" w:color="auto"/>
        <w:right w:val="none" w:sz="0" w:space="0" w:color="auto"/>
      </w:divBdr>
    </w:div>
    <w:div w:id="1942569029">
      <w:bodyDiv w:val="1"/>
      <w:marLeft w:val="0"/>
      <w:marRight w:val="0"/>
      <w:marTop w:val="0"/>
      <w:marBottom w:val="0"/>
      <w:divBdr>
        <w:top w:val="none" w:sz="0" w:space="0" w:color="auto"/>
        <w:left w:val="none" w:sz="0" w:space="0" w:color="auto"/>
        <w:bottom w:val="none" w:sz="0" w:space="0" w:color="auto"/>
        <w:right w:val="none" w:sz="0" w:space="0" w:color="auto"/>
      </w:divBdr>
    </w:div>
    <w:div w:id="1942642231">
      <w:bodyDiv w:val="1"/>
      <w:marLeft w:val="0"/>
      <w:marRight w:val="0"/>
      <w:marTop w:val="0"/>
      <w:marBottom w:val="0"/>
      <w:divBdr>
        <w:top w:val="none" w:sz="0" w:space="0" w:color="auto"/>
        <w:left w:val="none" w:sz="0" w:space="0" w:color="auto"/>
        <w:bottom w:val="none" w:sz="0" w:space="0" w:color="auto"/>
        <w:right w:val="none" w:sz="0" w:space="0" w:color="auto"/>
      </w:divBdr>
    </w:div>
    <w:div w:id="1942642672">
      <w:bodyDiv w:val="1"/>
      <w:marLeft w:val="0"/>
      <w:marRight w:val="0"/>
      <w:marTop w:val="0"/>
      <w:marBottom w:val="0"/>
      <w:divBdr>
        <w:top w:val="none" w:sz="0" w:space="0" w:color="auto"/>
        <w:left w:val="none" w:sz="0" w:space="0" w:color="auto"/>
        <w:bottom w:val="none" w:sz="0" w:space="0" w:color="auto"/>
        <w:right w:val="none" w:sz="0" w:space="0" w:color="auto"/>
      </w:divBdr>
    </w:div>
    <w:div w:id="1943682208">
      <w:bodyDiv w:val="1"/>
      <w:marLeft w:val="0"/>
      <w:marRight w:val="0"/>
      <w:marTop w:val="0"/>
      <w:marBottom w:val="0"/>
      <w:divBdr>
        <w:top w:val="none" w:sz="0" w:space="0" w:color="auto"/>
        <w:left w:val="none" w:sz="0" w:space="0" w:color="auto"/>
        <w:bottom w:val="none" w:sz="0" w:space="0" w:color="auto"/>
        <w:right w:val="none" w:sz="0" w:space="0" w:color="auto"/>
      </w:divBdr>
    </w:div>
    <w:div w:id="1943758140">
      <w:bodyDiv w:val="1"/>
      <w:marLeft w:val="0"/>
      <w:marRight w:val="0"/>
      <w:marTop w:val="0"/>
      <w:marBottom w:val="0"/>
      <w:divBdr>
        <w:top w:val="none" w:sz="0" w:space="0" w:color="auto"/>
        <w:left w:val="none" w:sz="0" w:space="0" w:color="auto"/>
        <w:bottom w:val="none" w:sz="0" w:space="0" w:color="auto"/>
        <w:right w:val="none" w:sz="0" w:space="0" w:color="auto"/>
      </w:divBdr>
    </w:div>
    <w:div w:id="1944336673">
      <w:bodyDiv w:val="1"/>
      <w:marLeft w:val="0"/>
      <w:marRight w:val="0"/>
      <w:marTop w:val="0"/>
      <w:marBottom w:val="0"/>
      <w:divBdr>
        <w:top w:val="none" w:sz="0" w:space="0" w:color="auto"/>
        <w:left w:val="none" w:sz="0" w:space="0" w:color="auto"/>
        <w:bottom w:val="none" w:sz="0" w:space="0" w:color="auto"/>
        <w:right w:val="none" w:sz="0" w:space="0" w:color="auto"/>
      </w:divBdr>
    </w:div>
    <w:div w:id="1944652009">
      <w:bodyDiv w:val="1"/>
      <w:marLeft w:val="0"/>
      <w:marRight w:val="0"/>
      <w:marTop w:val="0"/>
      <w:marBottom w:val="0"/>
      <w:divBdr>
        <w:top w:val="none" w:sz="0" w:space="0" w:color="auto"/>
        <w:left w:val="none" w:sz="0" w:space="0" w:color="auto"/>
        <w:bottom w:val="none" w:sz="0" w:space="0" w:color="auto"/>
        <w:right w:val="none" w:sz="0" w:space="0" w:color="auto"/>
      </w:divBdr>
    </w:div>
    <w:div w:id="1945183384">
      <w:bodyDiv w:val="1"/>
      <w:marLeft w:val="0"/>
      <w:marRight w:val="0"/>
      <w:marTop w:val="0"/>
      <w:marBottom w:val="0"/>
      <w:divBdr>
        <w:top w:val="none" w:sz="0" w:space="0" w:color="auto"/>
        <w:left w:val="none" w:sz="0" w:space="0" w:color="auto"/>
        <w:bottom w:val="none" w:sz="0" w:space="0" w:color="auto"/>
        <w:right w:val="none" w:sz="0" w:space="0" w:color="auto"/>
      </w:divBdr>
    </w:div>
    <w:div w:id="1945261794">
      <w:bodyDiv w:val="1"/>
      <w:marLeft w:val="0"/>
      <w:marRight w:val="0"/>
      <w:marTop w:val="0"/>
      <w:marBottom w:val="0"/>
      <w:divBdr>
        <w:top w:val="none" w:sz="0" w:space="0" w:color="auto"/>
        <w:left w:val="none" w:sz="0" w:space="0" w:color="auto"/>
        <w:bottom w:val="none" w:sz="0" w:space="0" w:color="auto"/>
        <w:right w:val="none" w:sz="0" w:space="0" w:color="auto"/>
      </w:divBdr>
    </w:div>
    <w:div w:id="1945918256">
      <w:bodyDiv w:val="1"/>
      <w:marLeft w:val="0"/>
      <w:marRight w:val="0"/>
      <w:marTop w:val="0"/>
      <w:marBottom w:val="0"/>
      <w:divBdr>
        <w:top w:val="none" w:sz="0" w:space="0" w:color="auto"/>
        <w:left w:val="none" w:sz="0" w:space="0" w:color="auto"/>
        <w:bottom w:val="none" w:sz="0" w:space="0" w:color="auto"/>
        <w:right w:val="none" w:sz="0" w:space="0" w:color="auto"/>
      </w:divBdr>
    </w:div>
    <w:div w:id="1946158119">
      <w:bodyDiv w:val="1"/>
      <w:marLeft w:val="0"/>
      <w:marRight w:val="0"/>
      <w:marTop w:val="0"/>
      <w:marBottom w:val="0"/>
      <w:divBdr>
        <w:top w:val="none" w:sz="0" w:space="0" w:color="auto"/>
        <w:left w:val="none" w:sz="0" w:space="0" w:color="auto"/>
        <w:bottom w:val="none" w:sz="0" w:space="0" w:color="auto"/>
        <w:right w:val="none" w:sz="0" w:space="0" w:color="auto"/>
      </w:divBdr>
    </w:div>
    <w:div w:id="1946228793">
      <w:bodyDiv w:val="1"/>
      <w:marLeft w:val="0"/>
      <w:marRight w:val="0"/>
      <w:marTop w:val="0"/>
      <w:marBottom w:val="0"/>
      <w:divBdr>
        <w:top w:val="none" w:sz="0" w:space="0" w:color="auto"/>
        <w:left w:val="none" w:sz="0" w:space="0" w:color="auto"/>
        <w:bottom w:val="none" w:sz="0" w:space="0" w:color="auto"/>
        <w:right w:val="none" w:sz="0" w:space="0" w:color="auto"/>
      </w:divBdr>
    </w:div>
    <w:div w:id="1946423159">
      <w:bodyDiv w:val="1"/>
      <w:marLeft w:val="0"/>
      <w:marRight w:val="0"/>
      <w:marTop w:val="0"/>
      <w:marBottom w:val="0"/>
      <w:divBdr>
        <w:top w:val="none" w:sz="0" w:space="0" w:color="auto"/>
        <w:left w:val="none" w:sz="0" w:space="0" w:color="auto"/>
        <w:bottom w:val="none" w:sz="0" w:space="0" w:color="auto"/>
        <w:right w:val="none" w:sz="0" w:space="0" w:color="auto"/>
      </w:divBdr>
    </w:div>
    <w:div w:id="1946423476">
      <w:bodyDiv w:val="1"/>
      <w:marLeft w:val="0"/>
      <w:marRight w:val="0"/>
      <w:marTop w:val="0"/>
      <w:marBottom w:val="0"/>
      <w:divBdr>
        <w:top w:val="none" w:sz="0" w:space="0" w:color="auto"/>
        <w:left w:val="none" w:sz="0" w:space="0" w:color="auto"/>
        <w:bottom w:val="none" w:sz="0" w:space="0" w:color="auto"/>
        <w:right w:val="none" w:sz="0" w:space="0" w:color="auto"/>
      </w:divBdr>
    </w:div>
    <w:div w:id="1946812794">
      <w:bodyDiv w:val="1"/>
      <w:marLeft w:val="0"/>
      <w:marRight w:val="0"/>
      <w:marTop w:val="0"/>
      <w:marBottom w:val="0"/>
      <w:divBdr>
        <w:top w:val="none" w:sz="0" w:space="0" w:color="auto"/>
        <w:left w:val="none" w:sz="0" w:space="0" w:color="auto"/>
        <w:bottom w:val="none" w:sz="0" w:space="0" w:color="auto"/>
        <w:right w:val="none" w:sz="0" w:space="0" w:color="auto"/>
      </w:divBdr>
    </w:div>
    <w:div w:id="1946887640">
      <w:bodyDiv w:val="1"/>
      <w:marLeft w:val="0"/>
      <w:marRight w:val="0"/>
      <w:marTop w:val="0"/>
      <w:marBottom w:val="0"/>
      <w:divBdr>
        <w:top w:val="none" w:sz="0" w:space="0" w:color="auto"/>
        <w:left w:val="none" w:sz="0" w:space="0" w:color="auto"/>
        <w:bottom w:val="none" w:sz="0" w:space="0" w:color="auto"/>
        <w:right w:val="none" w:sz="0" w:space="0" w:color="auto"/>
      </w:divBdr>
    </w:div>
    <w:div w:id="1947031757">
      <w:bodyDiv w:val="1"/>
      <w:marLeft w:val="0"/>
      <w:marRight w:val="0"/>
      <w:marTop w:val="0"/>
      <w:marBottom w:val="0"/>
      <w:divBdr>
        <w:top w:val="none" w:sz="0" w:space="0" w:color="auto"/>
        <w:left w:val="none" w:sz="0" w:space="0" w:color="auto"/>
        <w:bottom w:val="none" w:sz="0" w:space="0" w:color="auto"/>
        <w:right w:val="none" w:sz="0" w:space="0" w:color="auto"/>
      </w:divBdr>
    </w:div>
    <w:div w:id="1947492868">
      <w:bodyDiv w:val="1"/>
      <w:marLeft w:val="0"/>
      <w:marRight w:val="0"/>
      <w:marTop w:val="0"/>
      <w:marBottom w:val="0"/>
      <w:divBdr>
        <w:top w:val="none" w:sz="0" w:space="0" w:color="auto"/>
        <w:left w:val="none" w:sz="0" w:space="0" w:color="auto"/>
        <w:bottom w:val="none" w:sz="0" w:space="0" w:color="auto"/>
        <w:right w:val="none" w:sz="0" w:space="0" w:color="auto"/>
      </w:divBdr>
    </w:div>
    <w:div w:id="1947882793">
      <w:bodyDiv w:val="1"/>
      <w:marLeft w:val="0"/>
      <w:marRight w:val="0"/>
      <w:marTop w:val="0"/>
      <w:marBottom w:val="0"/>
      <w:divBdr>
        <w:top w:val="none" w:sz="0" w:space="0" w:color="auto"/>
        <w:left w:val="none" w:sz="0" w:space="0" w:color="auto"/>
        <w:bottom w:val="none" w:sz="0" w:space="0" w:color="auto"/>
        <w:right w:val="none" w:sz="0" w:space="0" w:color="auto"/>
      </w:divBdr>
    </w:div>
    <w:div w:id="1948148032">
      <w:bodyDiv w:val="1"/>
      <w:marLeft w:val="0"/>
      <w:marRight w:val="0"/>
      <w:marTop w:val="0"/>
      <w:marBottom w:val="0"/>
      <w:divBdr>
        <w:top w:val="none" w:sz="0" w:space="0" w:color="auto"/>
        <w:left w:val="none" w:sz="0" w:space="0" w:color="auto"/>
        <w:bottom w:val="none" w:sz="0" w:space="0" w:color="auto"/>
        <w:right w:val="none" w:sz="0" w:space="0" w:color="auto"/>
      </w:divBdr>
    </w:div>
    <w:div w:id="1948150466">
      <w:bodyDiv w:val="1"/>
      <w:marLeft w:val="0"/>
      <w:marRight w:val="0"/>
      <w:marTop w:val="0"/>
      <w:marBottom w:val="0"/>
      <w:divBdr>
        <w:top w:val="none" w:sz="0" w:space="0" w:color="auto"/>
        <w:left w:val="none" w:sz="0" w:space="0" w:color="auto"/>
        <w:bottom w:val="none" w:sz="0" w:space="0" w:color="auto"/>
        <w:right w:val="none" w:sz="0" w:space="0" w:color="auto"/>
      </w:divBdr>
    </w:div>
    <w:div w:id="1948460228">
      <w:bodyDiv w:val="1"/>
      <w:marLeft w:val="0"/>
      <w:marRight w:val="0"/>
      <w:marTop w:val="0"/>
      <w:marBottom w:val="0"/>
      <w:divBdr>
        <w:top w:val="none" w:sz="0" w:space="0" w:color="auto"/>
        <w:left w:val="none" w:sz="0" w:space="0" w:color="auto"/>
        <w:bottom w:val="none" w:sz="0" w:space="0" w:color="auto"/>
        <w:right w:val="none" w:sz="0" w:space="0" w:color="auto"/>
      </w:divBdr>
    </w:div>
    <w:div w:id="1948536255">
      <w:bodyDiv w:val="1"/>
      <w:marLeft w:val="0"/>
      <w:marRight w:val="0"/>
      <w:marTop w:val="0"/>
      <w:marBottom w:val="0"/>
      <w:divBdr>
        <w:top w:val="none" w:sz="0" w:space="0" w:color="auto"/>
        <w:left w:val="none" w:sz="0" w:space="0" w:color="auto"/>
        <w:bottom w:val="none" w:sz="0" w:space="0" w:color="auto"/>
        <w:right w:val="none" w:sz="0" w:space="0" w:color="auto"/>
      </w:divBdr>
    </w:div>
    <w:div w:id="1950158998">
      <w:bodyDiv w:val="1"/>
      <w:marLeft w:val="0"/>
      <w:marRight w:val="0"/>
      <w:marTop w:val="0"/>
      <w:marBottom w:val="0"/>
      <w:divBdr>
        <w:top w:val="none" w:sz="0" w:space="0" w:color="auto"/>
        <w:left w:val="none" w:sz="0" w:space="0" w:color="auto"/>
        <w:bottom w:val="none" w:sz="0" w:space="0" w:color="auto"/>
        <w:right w:val="none" w:sz="0" w:space="0" w:color="auto"/>
      </w:divBdr>
    </w:div>
    <w:div w:id="1950234672">
      <w:bodyDiv w:val="1"/>
      <w:marLeft w:val="0"/>
      <w:marRight w:val="0"/>
      <w:marTop w:val="0"/>
      <w:marBottom w:val="0"/>
      <w:divBdr>
        <w:top w:val="none" w:sz="0" w:space="0" w:color="auto"/>
        <w:left w:val="none" w:sz="0" w:space="0" w:color="auto"/>
        <w:bottom w:val="none" w:sz="0" w:space="0" w:color="auto"/>
        <w:right w:val="none" w:sz="0" w:space="0" w:color="auto"/>
      </w:divBdr>
    </w:div>
    <w:div w:id="1950353554">
      <w:bodyDiv w:val="1"/>
      <w:marLeft w:val="0"/>
      <w:marRight w:val="0"/>
      <w:marTop w:val="0"/>
      <w:marBottom w:val="0"/>
      <w:divBdr>
        <w:top w:val="none" w:sz="0" w:space="0" w:color="auto"/>
        <w:left w:val="none" w:sz="0" w:space="0" w:color="auto"/>
        <w:bottom w:val="none" w:sz="0" w:space="0" w:color="auto"/>
        <w:right w:val="none" w:sz="0" w:space="0" w:color="auto"/>
      </w:divBdr>
    </w:div>
    <w:div w:id="1950626497">
      <w:bodyDiv w:val="1"/>
      <w:marLeft w:val="0"/>
      <w:marRight w:val="0"/>
      <w:marTop w:val="0"/>
      <w:marBottom w:val="0"/>
      <w:divBdr>
        <w:top w:val="none" w:sz="0" w:space="0" w:color="auto"/>
        <w:left w:val="none" w:sz="0" w:space="0" w:color="auto"/>
        <w:bottom w:val="none" w:sz="0" w:space="0" w:color="auto"/>
        <w:right w:val="none" w:sz="0" w:space="0" w:color="auto"/>
      </w:divBdr>
    </w:div>
    <w:div w:id="1951010194">
      <w:bodyDiv w:val="1"/>
      <w:marLeft w:val="0"/>
      <w:marRight w:val="0"/>
      <w:marTop w:val="0"/>
      <w:marBottom w:val="0"/>
      <w:divBdr>
        <w:top w:val="none" w:sz="0" w:space="0" w:color="auto"/>
        <w:left w:val="none" w:sz="0" w:space="0" w:color="auto"/>
        <w:bottom w:val="none" w:sz="0" w:space="0" w:color="auto"/>
        <w:right w:val="none" w:sz="0" w:space="0" w:color="auto"/>
      </w:divBdr>
    </w:div>
    <w:div w:id="1951204999">
      <w:bodyDiv w:val="1"/>
      <w:marLeft w:val="0"/>
      <w:marRight w:val="0"/>
      <w:marTop w:val="0"/>
      <w:marBottom w:val="0"/>
      <w:divBdr>
        <w:top w:val="none" w:sz="0" w:space="0" w:color="auto"/>
        <w:left w:val="none" w:sz="0" w:space="0" w:color="auto"/>
        <w:bottom w:val="none" w:sz="0" w:space="0" w:color="auto"/>
        <w:right w:val="none" w:sz="0" w:space="0" w:color="auto"/>
      </w:divBdr>
    </w:div>
    <w:div w:id="1951349940">
      <w:bodyDiv w:val="1"/>
      <w:marLeft w:val="0"/>
      <w:marRight w:val="0"/>
      <w:marTop w:val="0"/>
      <w:marBottom w:val="0"/>
      <w:divBdr>
        <w:top w:val="none" w:sz="0" w:space="0" w:color="auto"/>
        <w:left w:val="none" w:sz="0" w:space="0" w:color="auto"/>
        <w:bottom w:val="none" w:sz="0" w:space="0" w:color="auto"/>
        <w:right w:val="none" w:sz="0" w:space="0" w:color="auto"/>
      </w:divBdr>
    </w:div>
    <w:div w:id="1951551022">
      <w:bodyDiv w:val="1"/>
      <w:marLeft w:val="0"/>
      <w:marRight w:val="0"/>
      <w:marTop w:val="0"/>
      <w:marBottom w:val="0"/>
      <w:divBdr>
        <w:top w:val="none" w:sz="0" w:space="0" w:color="auto"/>
        <w:left w:val="none" w:sz="0" w:space="0" w:color="auto"/>
        <w:bottom w:val="none" w:sz="0" w:space="0" w:color="auto"/>
        <w:right w:val="none" w:sz="0" w:space="0" w:color="auto"/>
      </w:divBdr>
    </w:div>
    <w:div w:id="1951933368">
      <w:bodyDiv w:val="1"/>
      <w:marLeft w:val="0"/>
      <w:marRight w:val="0"/>
      <w:marTop w:val="0"/>
      <w:marBottom w:val="0"/>
      <w:divBdr>
        <w:top w:val="none" w:sz="0" w:space="0" w:color="auto"/>
        <w:left w:val="none" w:sz="0" w:space="0" w:color="auto"/>
        <w:bottom w:val="none" w:sz="0" w:space="0" w:color="auto"/>
        <w:right w:val="none" w:sz="0" w:space="0" w:color="auto"/>
      </w:divBdr>
    </w:div>
    <w:div w:id="1952008055">
      <w:bodyDiv w:val="1"/>
      <w:marLeft w:val="0"/>
      <w:marRight w:val="0"/>
      <w:marTop w:val="0"/>
      <w:marBottom w:val="0"/>
      <w:divBdr>
        <w:top w:val="none" w:sz="0" w:space="0" w:color="auto"/>
        <w:left w:val="none" w:sz="0" w:space="0" w:color="auto"/>
        <w:bottom w:val="none" w:sz="0" w:space="0" w:color="auto"/>
        <w:right w:val="none" w:sz="0" w:space="0" w:color="auto"/>
      </w:divBdr>
    </w:div>
    <w:div w:id="1952350056">
      <w:bodyDiv w:val="1"/>
      <w:marLeft w:val="0"/>
      <w:marRight w:val="0"/>
      <w:marTop w:val="0"/>
      <w:marBottom w:val="0"/>
      <w:divBdr>
        <w:top w:val="none" w:sz="0" w:space="0" w:color="auto"/>
        <w:left w:val="none" w:sz="0" w:space="0" w:color="auto"/>
        <w:bottom w:val="none" w:sz="0" w:space="0" w:color="auto"/>
        <w:right w:val="none" w:sz="0" w:space="0" w:color="auto"/>
      </w:divBdr>
    </w:div>
    <w:div w:id="1952587714">
      <w:bodyDiv w:val="1"/>
      <w:marLeft w:val="0"/>
      <w:marRight w:val="0"/>
      <w:marTop w:val="0"/>
      <w:marBottom w:val="0"/>
      <w:divBdr>
        <w:top w:val="none" w:sz="0" w:space="0" w:color="auto"/>
        <w:left w:val="none" w:sz="0" w:space="0" w:color="auto"/>
        <w:bottom w:val="none" w:sz="0" w:space="0" w:color="auto"/>
        <w:right w:val="none" w:sz="0" w:space="0" w:color="auto"/>
      </w:divBdr>
    </w:div>
    <w:div w:id="1953320972">
      <w:bodyDiv w:val="1"/>
      <w:marLeft w:val="0"/>
      <w:marRight w:val="0"/>
      <w:marTop w:val="0"/>
      <w:marBottom w:val="0"/>
      <w:divBdr>
        <w:top w:val="none" w:sz="0" w:space="0" w:color="auto"/>
        <w:left w:val="none" w:sz="0" w:space="0" w:color="auto"/>
        <w:bottom w:val="none" w:sz="0" w:space="0" w:color="auto"/>
        <w:right w:val="none" w:sz="0" w:space="0" w:color="auto"/>
      </w:divBdr>
    </w:div>
    <w:div w:id="1953631245">
      <w:bodyDiv w:val="1"/>
      <w:marLeft w:val="0"/>
      <w:marRight w:val="0"/>
      <w:marTop w:val="0"/>
      <w:marBottom w:val="0"/>
      <w:divBdr>
        <w:top w:val="none" w:sz="0" w:space="0" w:color="auto"/>
        <w:left w:val="none" w:sz="0" w:space="0" w:color="auto"/>
        <w:bottom w:val="none" w:sz="0" w:space="0" w:color="auto"/>
        <w:right w:val="none" w:sz="0" w:space="0" w:color="auto"/>
      </w:divBdr>
    </w:div>
    <w:div w:id="1953708087">
      <w:bodyDiv w:val="1"/>
      <w:marLeft w:val="0"/>
      <w:marRight w:val="0"/>
      <w:marTop w:val="0"/>
      <w:marBottom w:val="0"/>
      <w:divBdr>
        <w:top w:val="none" w:sz="0" w:space="0" w:color="auto"/>
        <w:left w:val="none" w:sz="0" w:space="0" w:color="auto"/>
        <w:bottom w:val="none" w:sz="0" w:space="0" w:color="auto"/>
        <w:right w:val="none" w:sz="0" w:space="0" w:color="auto"/>
      </w:divBdr>
    </w:div>
    <w:div w:id="1954090107">
      <w:bodyDiv w:val="1"/>
      <w:marLeft w:val="0"/>
      <w:marRight w:val="0"/>
      <w:marTop w:val="0"/>
      <w:marBottom w:val="0"/>
      <w:divBdr>
        <w:top w:val="none" w:sz="0" w:space="0" w:color="auto"/>
        <w:left w:val="none" w:sz="0" w:space="0" w:color="auto"/>
        <w:bottom w:val="none" w:sz="0" w:space="0" w:color="auto"/>
        <w:right w:val="none" w:sz="0" w:space="0" w:color="auto"/>
      </w:divBdr>
    </w:div>
    <w:div w:id="1954432504">
      <w:bodyDiv w:val="1"/>
      <w:marLeft w:val="0"/>
      <w:marRight w:val="0"/>
      <w:marTop w:val="0"/>
      <w:marBottom w:val="0"/>
      <w:divBdr>
        <w:top w:val="none" w:sz="0" w:space="0" w:color="auto"/>
        <w:left w:val="none" w:sz="0" w:space="0" w:color="auto"/>
        <w:bottom w:val="none" w:sz="0" w:space="0" w:color="auto"/>
        <w:right w:val="none" w:sz="0" w:space="0" w:color="auto"/>
      </w:divBdr>
    </w:div>
    <w:div w:id="1954434413">
      <w:bodyDiv w:val="1"/>
      <w:marLeft w:val="0"/>
      <w:marRight w:val="0"/>
      <w:marTop w:val="0"/>
      <w:marBottom w:val="0"/>
      <w:divBdr>
        <w:top w:val="none" w:sz="0" w:space="0" w:color="auto"/>
        <w:left w:val="none" w:sz="0" w:space="0" w:color="auto"/>
        <w:bottom w:val="none" w:sz="0" w:space="0" w:color="auto"/>
        <w:right w:val="none" w:sz="0" w:space="0" w:color="auto"/>
      </w:divBdr>
    </w:div>
    <w:div w:id="1954483696">
      <w:bodyDiv w:val="1"/>
      <w:marLeft w:val="0"/>
      <w:marRight w:val="0"/>
      <w:marTop w:val="0"/>
      <w:marBottom w:val="0"/>
      <w:divBdr>
        <w:top w:val="none" w:sz="0" w:space="0" w:color="auto"/>
        <w:left w:val="none" w:sz="0" w:space="0" w:color="auto"/>
        <w:bottom w:val="none" w:sz="0" w:space="0" w:color="auto"/>
        <w:right w:val="none" w:sz="0" w:space="0" w:color="auto"/>
      </w:divBdr>
    </w:div>
    <w:div w:id="1954823732">
      <w:bodyDiv w:val="1"/>
      <w:marLeft w:val="0"/>
      <w:marRight w:val="0"/>
      <w:marTop w:val="0"/>
      <w:marBottom w:val="0"/>
      <w:divBdr>
        <w:top w:val="none" w:sz="0" w:space="0" w:color="auto"/>
        <w:left w:val="none" w:sz="0" w:space="0" w:color="auto"/>
        <w:bottom w:val="none" w:sz="0" w:space="0" w:color="auto"/>
        <w:right w:val="none" w:sz="0" w:space="0" w:color="auto"/>
      </w:divBdr>
    </w:div>
    <w:div w:id="1954825783">
      <w:bodyDiv w:val="1"/>
      <w:marLeft w:val="0"/>
      <w:marRight w:val="0"/>
      <w:marTop w:val="0"/>
      <w:marBottom w:val="0"/>
      <w:divBdr>
        <w:top w:val="none" w:sz="0" w:space="0" w:color="auto"/>
        <w:left w:val="none" w:sz="0" w:space="0" w:color="auto"/>
        <w:bottom w:val="none" w:sz="0" w:space="0" w:color="auto"/>
        <w:right w:val="none" w:sz="0" w:space="0" w:color="auto"/>
      </w:divBdr>
    </w:div>
    <w:div w:id="1955288949">
      <w:bodyDiv w:val="1"/>
      <w:marLeft w:val="0"/>
      <w:marRight w:val="0"/>
      <w:marTop w:val="0"/>
      <w:marBottom w:val="0"/>
      <w:divBdr>
        <w:top w:val="none" w:sz="0" w:space="0" w:color="auto"/>
        <w:left w:val="none" w:sz="0" w:space="0" w:color="auto"/>
        <w:bottom w:val="none" w:sz="0" w:space="0" w:color="auto"/>
        <w:right w:val="none" w:sz="0" w:space="0" w:color="auto"/>
      </w:divBdr>
    </w:div>
    <w:div w:id="1955597444">
      <w:bodyDiv w:val="1"/>
      <w:marLeft w:val="0"/>
      <w:marRight w:val="0"/>
      <w:marTop w:val="0"/>
      <w:marBottom w:val="0"/>
      <w:divBdr>
        <w:top w:val="none" w:sz="0" w:space="0" w:color="auto"/>
        <w:left w:val="none" w:sz="0" w:space="0" w:color="auto"/>
        <w:bottom w:val="none" w:sz="0" w:space="0" w:color="auto"/>
        <w:right w:val="none" w:sz="0" w:space="0" w:color="auto"/>
      </w:divBdr>
    </w:div>
    <w:div w:id="1955598906">
      <w:bodyDiv w:val="1"/>
      <w:marLeft w:val="0"/>
      <w:marRight w:val="0"/>
      <w:marTop w:val="0"/>
      <w:marBottom w:val="0"/>
      <w:divBdr>
        <w:top w:val="none" w:sz="0" w:space="0" w:color="auto"/>
        <w:left w:val="none" w:sz="0" w:space="0" w:color="auto"/>
        <w:bottom w:val="none" w:sz="0" w:space="0" w:color="auto"/>
        <w:right w:val="none" w:sz="0" w:space="0" w:color="auto"/>
      </w:divBdr>
    </w:div>
    <w:div w:id="1955624747">
      <w:bodyDiv w:val="1"/>
      <w:marLeft w:val="0"/>
      <w:marRight w:val="0"/>
      <w:marTop w:val="0"/>
      <w:marBottom w:val="0"/>
      <w:divBdr>
        <w:top w:val="none" w:sz="0" w:space="0" w:color="auto"/>
        <w:left w:val="none" w:sz="0" w:space="0" w:color="auto"/>
        <w:bottom w:val="none" w:sz="0" w:space="0" w:color="auto"/>
        <w:right w:val="none" w:sz="0" w:space="0" w:color="auto"/>
      </w:divBdr>
    </w:div>
    <w:div w:id="1955988096">
      <w:bodyDiv w:val="1"/>
      <w:marLeft w:val="0"/>
      <w:marRight w:val="0"/>
      <w:marTop w:val="0"/>
      <w:marBottom w:val="0"/>
      <w:divBdr>
        <w:top w:val="none" w:sz="0" w:space="0" w:color="auto"/>
        <w:left w:val="none" w:sz="0" w:space="0" w:color="auto"/>
        <w:bottom w:val="none" w:sz="0" w:space="0" w:color="auto"/>
        <w:right w:val="none" w:sz="0" w:space="0" w:color="auto"/>
      </w:divBdr>
    </w:div>
    <w:div w:id="1956130585">
      <w:bodyDiv w:val="1"/>
      <w:marLeft w:val="0"/>
      <w:marRight w:val="0"/>
      <w:marTop w:val="0"/>
      <w:marBottom w:val="0"/>
      <w:divBdr>
        <w:top w:val="none" w:sz="0" w:space="0" w:color="auto"/>
        <w:left w:val="none" w:sz="0" w:space="0" w:color="auto"/>
        <w:bottom w:val="none" w:sz="0" w:space="0" w:color="auto"/>
        <w:right w:val="none" w:sz="0" w:space="0" w:color="auto"/>
      </w:divBdr>
    </w:div>
    <w:div w:id="1956281933">
      <w:bodyDiv w:val="1"/>
      <w:marLeft w:val="0"/>
      <w:marRight w:val="0"/>
      <w:marTop w:val="0"/>
      <w:marBottom w:val="0"/>
      <w:divBdr>
        <w:top w:val="none" w:sz="0" w:space="0" w:color="auto"/>
        <w:left w:val="none" w:sz="0" w:space="0" w:color="auto"/>
        <w:bottom w:val="none" w:sz="0" w:space="0" w:color="auto"/>
        <w:right w:val="none" w:sz="0" w:space="0" w:color="auto"/>
      </w:divBdr>
    </w:div>
    <w:div w:id="1956642829">
      <w:bodyDiv w:val="1"/>
      <w:marLeft w:val="0"/>
      <w:marRight w:val="0"/>
      <w:marTop w:val="0"/>
      <w:marBottom w:val="0"/>
      <w:divBdr>
        <w:top w:val="none" w:sz="0" w:space="0" w:color="auto"/>
        <w:left w:val="none" w:sz="0" w:space="0" w:color="auto"/>
        <w:bottom w:val="none" w:sz="0" w:space="0" w:color="auto"/>
        <w:right w:val="none" w:sz="0" w:space="0" w:color="auto"/>
      </w:divBdr>
    </w:div>
    <w:div w:id="1956711592">
      <w:bodyDiv w:val="1"/>
      <w:marLeft w:val="0"/>
      <w:marRight w:val="0"/>
      <w:marTop w:val="0"/>
      <w:marBottom w:val="0"/>
      <w:divBdr>
        <w:top w:val="none" w:sz="0" w:space="0" w:color="auto"/>
        <w:left w:val="none" w:sz="0" w:space="0" w:color="auto"/>
        <w:bottom w:val="none" w:sz="0" w:space="0" w:color="auto"/>
        <w:right w:val="none" w:sz="0" w:space="0" w:color="auto"/>
      </w:divBdr>
    </w:div>
    <w:div w:id="1958100394">
      <w:bodyDiv w:val="1"/>
      <w:marLeft w:val="0"/>
      <w:marRight w:val="0"/>
      <w:marTop w:val="0"/>
      <w:marBottom w:val="0"/>
      <w:divBdr>
        <w:top w:val="none" w:sz="0" w:space="0" w:color="auto"/>
        <w:left w:val="none" w:sz="0" w:space="0" w:color="auto"/>
        <w:bottom w:val="none" w:sz="0" w:space="0" w:color="auto"/>
        <w:right w:val="none" w:sz="0" w:space="0" w:color="auto"/>
      </w:divBdr>
    </w:div>
    <w:div w:id="1958559790">
      <w:bodyDiv w:val="1"/>
      <w:marLeft w:val="0"/>
      <w:marRight w:val="0"/>
      <w:marTop w:val="0"/>
      <w:marBottom w:val="0"/>
      <w:divBdr>
        <w:top w:val="none" w:sz="0" w:space="0" w:color="auto"/>
        <w:left w:val="none" w:sz="0" w:space="0" w:color="auto"/>
        <w:bottom w:val="none" w:sz="0" w:space="0" w:color="auto"/>
        <w:right w:val="none" w:sz="0" w:space="0" w:color="auto"/>
      </w:divBdr>
    </w:div>
    <w:div w:id="1958609105">
      <w:bodyDiv w:val="1"/>
      <w:marLeft w:val="0"/>
      <w:marRight w:val="0"/>
      <w:marTop w:val="0"/>
      <w:marBottom w:val="0"/>
      <w:divBdr>
        <w:top w:val="none" w:sz="0" w:space="0" w:color="auto"/>
        <w:left w:val="none" w:sz="0" w:space="0" w:color="auto"/>
        <w:bottom w:val="none" w:sz="0" w:space="0" w:color="auto"/>
        <w:right w:val="none" w:sz="0" w:space="0" w:color="auto"/>
      </w:divBdr>
    </w:div>
    <w:div w:id="1959096335">
      <w:bodyDiv w:val="1"/>
      <w:marLeft w:val="0"/>
      <w:marRight w:val="0"/>
      <w:marTop w:val="0"/>
      <w:marBottom w:val="0"/>
      <w:divBdr>
        <w:top w:val="none" w:sz="0" w:space="0" w:color="auto"/>
        <w:left w:val="none" w:sz="0" w:space="0" w:color="auto"/>
        <w:bottom w:val="none" w:sz="0" w:space="0" w:color="auto"/>
        <w:right w:val="none" w:sz="0" w:space="0" w:color="auto"/>
      </w:divBdr>
    </w:div>
    <w:div w:id="1959140216">
      <w:bodyDiv w:val="1"/>
      <w:marLeft w:val="0"/>
      <w:marRight w:val="0"/>
      <w:marTop w:val="0"/>
      <w:marBottom w:val="0"/>
      <w:divBdr>
        <w:top w:val="none" w:sz="0" w:space="0" w:color="auto"/>
        <w:left w:val="none" w:sz="0" w:space="0" w:color="auto"/>
        <w:bottom w:val="none" w:sz="0" w:space="0" w:color="auto"/>
        <w:right w:val="none" w:sz="0" w:space="0" w:color="auto"/>
      </w:divBdr>
    </w:div>
    <w:div w:id="1959412592">
      <w:bodyDiv w:val="1"/>
      <w:marLeft w:val="0"/>
      <w:marRight w:val="0"/>
      <w:marTop w:val="0"/>
      <w:marBottom w:val="0"/>
      <w:divBdr>
        <w:top w:val="none" w:sz="0" w:space="0" w:color="auto"/>
        <w:left w:val="none" w:sz="0" w:space="0" w:color="auto"/>
        <w:bottom w:val="none" w:sz="0" w:space="0" w:color="auto"/>
        <w:right w:val="none" w:sz="0" w:space="0" w:color="auto"/>
      </w:divBdr>
    </w:div>
    <w:div w:id="1959414265">
      <w:bodyDiv w:val="1"/>
      <w:marLeft w:val="0"/>
      <w:marRight w:val="0"/>
      <w:marTop w:val="0"/>
      <w:marBottom w:val="0"/>
      <w:divBdr>
        <w:top w:val="none" w:sz="0" w:space="0" w:color="auto"/>
        <w:left w:val="none" w:sz="0" w:space="0" w:color="auto"/>
        <w:bottom w:val="none" w:sz="0" w:space="0" w:color="auto"/>
        <w:right w:val="none" w:sz="0" w:space="0" w:color="auto"/>
      </w:divBdr>
    </w:div>
    <w:div w:id="1960067594">
      <w:bodyDiv w:val="1"/>
      <w:marLeft w:val="0"/>
      <w:marRight w:val="0"/>
      <w:marTop w:val="0"/>
      <w:marBottom w:val="0"/>
      <w:divBdr>
        <w:top w:val="none" w:sz="0" w:space="0" w:color="auto"/>
        <w:left w:val="none" w:sz="0" w:space="0" w:color="auto"/>
        <w:bottom w:val="none" w:sz="0" w:space="0" w:color="auto"/>
        <w:right w:val="none" w:sz="0" w:space="0" w:color="auto"/>
      </w:divBdr>
    </w:div>
    <w:div w:id="1960138621">
      <w:bodyDiv w:val="1"/>
      <w:marLeft w:val="0"/>
      <w:marRight w:val="0"/>
      <w:marTop w:val="0"/>
      <w:marBottom w:val="0"/>
      <w:divBdr>
        <w:top w:val="none" w:sz="0" w:space="0" w:color="auto"/>
        <w:left w:val="none" w:sz="0" w:space="0" w:color="auto"/>
        <w:bottom w:val="none" w:sz="0" w:space="0" w:color="auto"/>
        <w:right w:val="none" w:sz="0" w:space="0" w:color="auto"/>
      </w:divBdr>
    </w:div>
    <w:div w:id="1960262058">
      <w:bodyDiv w:val="1"/>
      <w:marLeft w:val="0"/>
      <w:marRight w:val="0"/>
      <w:marTop w:val="0"/>
      <w:marBottom w:val="0"/>
      <w:divBdr>
        <w:top w:val="none" w:sz="0" w:space="0" w:color="auto"/>
        <w:left w:val="none" w:sz="0" w:space="0" w:color="auto"/>
        <w:bottom w:val="none" w:sz="0" w:space="0" w:color="auto"/>
        <w:right w:val="none" w:sz="0" w:space="0" w:color="auto"/>
      </w:divBdr>
    </w:div>
    <w:div w:id="1961107049">
      <w:bodyDiv w:val="1"/>
      <w:marLeft w:val="0"/>
      <w:marRight w:val="0"/>
      <w:marTop w:val="0"/>
      <w:marBottom w:val="0"/>
      <w:divBdr>
        <w:top w:val="none" w:sz="0" w:space="0" w:color="auto"/>
        <w:left w:val="none" w:sz="0" w:space="0" w:color="auto"/>
        <w:bottom w:val="none" w:sz="0" w:space="0" w:color="auto"/>
        <w:right w:val="none" w:sz="0" w:space="0" w:color="auto"/>
      </w:divBdr>
    </w:div>
    <w:div w:id="1961181546">
      <w:bodyDiv w:val="1"/>
      <w:marLeft w:val="0"/>
      <w:marRight w:val="0"/>
      <w:marTop w:val="0"/>
      <w:marBottom w:val="0"/>
      <w:divBdr>
        <w:top w:val="none" w:sz="0" w:space="0" w:color="auto"/>
        <w:left w:val="none" w:sz="0" w:space="0" w:color="auto"/>
        <w:bottom w:val="none" w:sz="0" w:space="0" w:color="auto"/>
        <w:right w:val="none" w:sz="0" w:space="0" w:color="auto"/>
      </w:divBdr>
    </w:div>
    <w:div w:id="1961305369">
      <w:bodyDiv w:val="1"/>
      <w:marLeft w:val="0"/>
      <w:marRight w:val="0"/>
      <w:marTop w:val="0"/>
      <w:marBottom w:val="0"/>
      <w:divBdr>
        <w:top w:val="none" w:sz="0" w:space="0" w:color="auto"/>
        <w:left w:val="none" w:sz="0" w:space="0" w:color="auto"/>
        <w:bottom w:val="none" w:sz="0" w:space="0" w:color="auto"/>
        <w:right w:val="none" w:sz="0" w:space="0" w:color="auto"/>
      </w:divBdr>
    </w:div>
    <w:div w:id="1962220726">
      <w:bodyDiv w:val="1"/>
      <w:marLeft w:val="0"/>
      <w:marRight w:val="0"/>
      <w:marTop w:val="0"/>
      <w:marBottom w:val="0"/>
      <w:divBdr>
        <w:top w:val="none" w:sz="0" w:space="0" w:color="auto"/>
        <w:left w:val="none" w:sz="0" w:space="0" w:color="auto"/>
        <w:bottom w:val="none" w:sz="0" w:space="0" w:color="auto"/>
        <w:right w:val="none" w:sz="0" w:space="0" w:color="auto"/>
      </w:divBdr>
    </w:div>
    <w:div w:id="1962420190">
      <w:bodyDiv w:val="1"/>
      <w:marLeft w:val="0"/>
      <w:marRight w:val="0"/>
      <w:marTop w:val="0"/>
      <w:marBottom w:val="0"/>
      <w:divBdr>
        <w:top w:val="none" w:sz="0" w:space="0" w:color="auto"/>
        <w:left w:val="none" w:sz="0" w:space="0" w:color="auto"/>
        <w:bottom w:val="none" w:sz="0" w:space="0" w:color="auto"/>
        <w:right w:val="none" w:sz="0" w:space="0" w:color="auto"/>
      </w:divBdr>
    </w:div>
    <w:div w:id="1962883941">
      <w:bodyDiv w:val="1"/>
      <w:marLeft w:val="0"/>
      <w:marRight w:val="0"/>
      <w:marTop w:val="0"/>
      <w:marBottom w:val="0"/>
      <w:divBdr>
        <w:top w:val="none" w:sz="0" w:space="0" w:color="auto"/>
        <w:left w:val="none" w:sz="0" w:space="0" w:color="auto"/>
        <w:bottom w:val="none" w:sz="0" w:space="0" w:color="auto"/>
        <w:right w:val="none" w:sz="0" w:space="0" w:color="auto"/>
      </w:divBdr>
    </w:div>
    <w:div w:id="1963416947">
      <w:bodyDiv w:val="1"/>
      <w:marLeft w:val="0"/>
      <w:marRight w:val="0"/>
      <w:marTop w:val="0"/>
      <w:marBottom w:val="0"/>
      <w:divBdr>
        <w:top w:val="none" w:sz="0" w:space="0" w:color="auto"/>
        <w:left w:val="none" w:sz="0" w:space="0" w:color="auto"/>
        <w:bottom w:val="none" w:sz="0" w:space="0" w:color="auto"/>
        <w:right w:val="none" w:sz="0" w:space="0" w:color="auto"/>
      </w:divBdr>
    </w:div>
    <w:div w:id="1963918193">
      <w:bodyDiv w:val="1"/>
      <w:marLeft w:val="0"/>
      <w:marRight w:val="0"/>
      <w:marTop w:val="0"/>
      <w:marBottom w:val="0"/>
      <w:divBdr>
        <w:top w:val="none" w:sz="0" w:space="0" w:color="auto"/>
        <w:left w:val="none" w:sz="0" w:space="0" w:color="auto"/>
        <w:bottom w:val="none" w:sz="0" w:space="0" w:color="auto"/>
        <w:right w:val="none" w:sz="0" w:space="0" w:color="auto"/>
      </w:divBdr>
    </w:div>
    <w:div w:id="1963994631">
      <w:bodyDiv w:val="1"/>
      <w:marLeft w:val="0"/>
      <w:marRight w:val="0"/>
      <w:marTop w:val="0"/>
      <w:marBottom w:val="0"/>
      <w:divBdr>
        <w:top w:val="none" w:sz="0" w:space="0" w:color="auto"/>
        <w:left w:val="none" w:sz="0" w:space="0" w:color="auto"/>
        <w:bottom w:val="none" w:sz="0" w:space="0" w:color="auto"/>
        <w:right w:val="none" w:sz="0" w:space="0" w:color="auto"/>
      </w:divBdr>
    </w:div>
    <w:div w:id="1964339254">
      <w:bodyDiv w:val="1"/>
      <w:marLeft w:val="0"/>
      <w:marRight w:val="0"/>
      <w:marTop w:val="0"/>
      <w:marBottom w:val="0"/>
      <w:divBdr>
        <w:top w:val="none" w:sz="0" w:space="0" w:color="auto"/>
        <w:left w:val="none" w:sz="0" w:space="0" w:color="auto"/>
        <w:bottom w:val="none" w:sz="0" w:space="0" w:color="auto"/>
        <w:right w:val="none" w:sz="0" w:space="0" w:color="auto"/>
      </w:divBdr>
    </w:div>
    <w:div w:id="1964386363">
      <w:bodyDiv w:val="1"/>
      <w:marLeft w:val="0"/>
      <w:marRight w:val="0"/>
      <w:marTop w:val="0"/>
      <w:marBottom w:val="0"/>
      <w:divBdr>
        <w:top w:val="none" w:sz="0" w:space="0" w:color="auto"/>
        <w:left w:val="none" w:sz="0" w:space="0" w:color="auto"/>
        <w:bottom w:val="none" w:sz="0" w:space="0" w:color="auto"/>
        <w:right w:val="none" w:sz="0" w:space="0" w:color="auto"/>
      </w:divBdr>
    </w:div>
    <w:div w:id="1964652524">
      <w:bodyDiv w:val="1"/>
      <w:marLeft w:val="0"/>
      <w:marRight w:val="0"/>
      <w:marTop w:val="0"/>
      <w:marBottom w:val="0"/>
      <w:divBdr>
        <w:top w:val="none" w:sz="0" w:space="0" w:color="auto"/>
        <w:left w:val="none" w:sz="0" w:space="0" w:color="auto"/>
        <w:bottom w:val="none" w:sz="0" w:space="0" w:color="auto"/>
        <w:right w:val="none" w:sz="0" w:space="0" w:color="auto"/>
      </w:divBdr>
    </w:div>
    <w:div w:id="1964918884">
      <w:bodyDiv w:val="1"/>
      <w:marLeft w:val="0"/>
      <w:marRight w:val="0"/>
      <w:marTop w:val="0"/>
      <w:marBottom w:val="0"/>
      <w:divBdr>
        <w:top w:val="none" w:sz="0" w:space="0" w:color="auto"/>
        <w:left w:val="none" w:sz="0" w:space="0" w:color="auto"/>
        <w:bottom w:val="none" w:sz="0" w:space="0" w:color="auto"/>
        <w:right w:val="none" w:sz="0" w:space="0" w:color="auto"/>
      </w:divBdr>
    </w:div>
    <w:div w:id="1965035119">
      <w:bodyDiv w:val="1"/>
      <w:marLeft w:val="0"/>
      <w:marRight w:val="0"/>
      <w:marTop w:val="0"/>
      <w:marBottom w:val="0"/>
      <w:divBdr>
        <w:top w:val="none" w:sz="0" w:space="0" w:color="auto"/>
        <w:left w:val="none" w:sz="0" w:space="0" w:color="auto"/>
        <w:bottom w:val="none" w:sz="0" w:space="0" w:color="auto"/>
        <w:right w:val="none" w:sz="0" w:space="0" w:color="auto"/>
      </w:divBdr>
    </w:div>
    <w:div w:id="1965187322">
      <w:bodyDiv w:val="1"/>
      <w:marLeft w:val="0"/>
      <w:marRight w:val="0"/>
      <w:marTop w:val="0"/>
      <w:marBottom w:val="0"/>
      <w:divBdr>
        <w:top w:val="none" w:sz="0" w:space="0" w:color="auto"/>
        <w:left w:val="none" w:sz="0" w:space="0" w:color="auto"/>
        <w:bottom w:val="none" w:sz="0" w:space="0" w:color="auto"/>
        <w:right w:val="none" w:sz="0" w:space="0" w:color="auto"/>
      </w:divBdr>
    </w:div>
    <w:div w:id="1965306618">
      <w:bodyDiv w:val="1"/>
      <w:marLeft w:val="0"/>
      <w:marRight w:val="0"/>
      <w:marTop w:val="0"/>
      <w:marBottom w:val="0"/>
      <w:divBdr>
        <w:top w:val="none" w:sz="0" w:space="0" w:color="auto"/>
        <w:left w:val="none" w:sz="0" w:space="0" w:color="auto"/>
        <w:bottom w:val="none" w:sz="0" w:space="0" w:color="auto"/>
        <w:right w:val="none" w:sz="0" w:space="0" w:color="auto"/>
      </w:divBdr>
    </w:div>
    <w:div w:id="1965382101">
      <w:bodyDiv w:val="1"/>
      <w:marLeft w:val="0"/>
      <w:marRight w:val="0"/>
      <w:marTop w:val="0"/>
      <w:marBottom w:val="0"/>
      <w:divBdr>
        <w:top w:val="none" w:sz="0" w:space="0" w:color="auto"/>
        <w:left w:val="none" w:sz="0" w:space="0" w:color="auto"/>
        <w:bottom w:val="none" w:sz="0" w:space="0" w:color="auto"/>
        <w:right w:val="none" w:sz="0" w:space="0" w:color="auto"/>
      </w:divBdr>
    </w:div>
    <w:div w:id="1966038896">
      <w:bodyDiv w:val="1"/>
      <w:marLeft w:val="0"/>
      <w:marRight w:val="0"/>
      <w:marTop w:val="0"/>
      <w:marBottom w:val="0"/>
      <w:divBdr>
        <w:top w:val="none" w:sz="0" w:space="0" w:color="auto"/>
        <w:left w:val="none" w:sz="0" w:space="0" w:color="auto"/>
        <w:bottom w:val="none" w:sz="0" w:space="0" w:color="auto"/>
        <w:right w:val="none" w:sz="0" w:space="0" w:color="auto"/>
      </w:divBdr>
    </w:div>
    <w:div w:id="1966276706">
      <w:bodyDiv w:val="1"/>
      <w:marLeft w:val="0"/>
      <w:marRight w:val="0"/>
      <w:marTop w:val="0"/>
      <w:marBottom w:val="0"/>
      <w:divBdr>
        <w:top w:val="none" w:sz="0" w:space="0" w:color="auto"/>
        <w:left w:val="none" w:sz="0" w:space="0" w:color="auto"/>
        <w:bottom w:val="none" w:sz="0" w:space="0" w:color="auto"/>
        <w:right w:val="none" w:sz="0" w:space="0" w:color="auto"/>
      </w:divBdr>
    </w:div>
    <w:div w:id="1966544827">
      <w:bodyDiv w:val="1"/>
      <w:marLeft w:val="0"/>
      <w:marRight w:val="0"/>
      <w:marTop w:val="0"/>
      <w:marBottom w:val="0"/>
      <w:divBdr>
        <w:top w:val="none" w:sz="0" w:space="0" w:color="auto"/>
        <w:left w:val="none" w:sz="0" w:space="0" w:color="auto"/>
        <w:bottom w:val="none" w:sz="0" w:space="0" w:color="auto"/>
        <w:right w:val="none" w:sz="0" w:space="0" w:color="auto"/>
      </w:divBdr>
    </w:div>
    <w:div w:id="1968003433">
      <w:bodyDiv w:val="1"/>
      <w:marLeft w:val="0"/>
      <w:marRight w:val="0"/>
      <w:marTop w:val="0"/>
      <w:marBottom w:val="0"/>
      <w:divBdr>
        <w:top w:val="none" w:sz="0" w:space="0" w:color="auto"/>
        <w:left w:val="none" w:sz="0" w:space="0" w:color="auto"/>
        <w:bottom w:val="none" w:sz="0" w:space="0" w:color="auto"/>
        <w:right w:val="none" w:sz="0" w:space="0" w:color="auto"/>
      </w:divBdr>
    </w:div>
    <w:div w:id="1968122661">
      <w:bodyDiv w:val="1"/>
      <w:marLeft w:val="0"/>
      <w:marRight w:val="0"/>
      <w:marTop w:val="0"/>
      <w:marBottom w:val="0"/>
      <w:divBdr>
        <w:top w:val="none" w:sz="0" w:space="0" w:color="auto"/>
        <w:left w:val="none" w:sz="0" w:space="0" w:color="auto"/>
        <w:bottom w:val="none" w:sz="0" w:space="0" w:color="auto"/>
        <w:right w:val="none" w:sz="0" w:space="0" w:color="auto"/>
      </w:divBdr>
    </w:div>
    <w:div w:id="1968581995">
      <w:bodyDiv w:val="1"/>
      <w:marLeft w:val="0"/>
      <w:marRight w:val="0"/>
      <w:marTop w:val="0"/>
      <w:marBottom w:val="0"/>
      <w:divBdr>
        <w:top w:val="none" w:sz="0" w:space="0" w:color="auto"/>
        <w:left w:val="none" w:sz="0" w:space="0" w:color="auto"/>
        <w:bottom w:val="none" w:sz="0" w:space="0" w:color="auto"/>
        <w:right w:val="none" w:sz="0" w:space="0" w:color="auto"/>
      </w:divBdr>
    </w:div>
    <w:div w:id="1968847943">
      <w:bodyDiv w:val="1"/>
      <w:marLeft w:val="0"/>
      <w:marRight w:val="0"/>
      <w:marTop w:val="0"/>
      <w:marBottom w:val="0"/>
      <w:divBdr>
        <w:top w:val="none" w:sz="0" w:space="0" w:color="auto"/>
        <w:left w:val="none" w:sz="0" w:space="0" w:color="auto"/>
        <w:bottom w:val="none" w:sz="0" w:space="0" w:color="auto"/>
        <w:right w:val="none" w:sz="0" w:space="0" w:color="auto"/>
      </w:divBdr>
    </w:div>
    <w:div w:id="1968848071">
      <w:bodyDiv w:val="1"/>
      <w:marLeft w:val="0"/>
      <w:marRight w:val="0"/>
      <w:marTop w:val="0"/>
      <w:marBottom w:val="0"/>
      <w:divBdr>
        <w:top w:val="none" w:sz="0" w:space="0" w:color="auto"/>
        <w:left w:val="none" w:sz="0" w:space="0" w:color="auto"/>
        <w:bottom w:val="none" w:sz="0" w:space="0" w:color="auto"/>
        <w:right w:val="none" w:sz="0" w:space="0" w:color="auto"/>
      </w:divBdr>
    </w:div>
    <w:div w:id="1969120063">
      <w:bodyDiv w:val="1"/>
      <w:marLeft w:val="0"/>
      <w:marRight w:val="0"/>
      <w:marTop w:val="0"/>
      <w:marBottom w:val="0"/>
      <w:divBdr>
        <w:top w:val="none" w:sz="0" w:space="0" w:color="auto"/>
        <w:left w:val="none" w:sz="0" w:space="0" w:color="auto"/>
        <w:bottom w:val="none" w:sz="0" w:space="0" w:color="auto"/>
        <w:right w:val="none" w:sz="0" w:space="0" w:color="auto"/>
      </w:divBdr>
    </w:div>
    <w:div w:id="1969780463">
      <w:bodyDiv w:val="1"/>
      <w:marLeft w:val="0"/>
      <w:marRight w:val="0"/>
      <w:marTop w:val="0"/>
      <w:marBottom w:val="0"/>
      <w:divBdr>
        <w:top w:val="none" w:sz="0" w:space="0" w:color="auto"/>
        <w:left w:val="none" w:sz="0" w:space="0" w:color="auto"/>
        <w:bottom w:val="none" w:sz="0" w:space="0" w:color="auto"/>
        <w:right w:val="none" w:sz="0" w:space="0" w:color="auto"/>
      </w:divBdr>
    </w:div>
    <w:div w:id="1969823800">
      <w:bodyDiv w:val="1"/>
      <w:marLeft w:val="0"/>
      <w:marRight w:val="0"/>
      <w:marTop w:val="0"/>
      <w:marBottom w:val="0"/>
      <w:divBdr>
        <w:top w:val="none" w:sz="0" w:space="0" w:color="auto"/>
        <w:left w:val="none" w:sz="0" w:space="0" w:color="auto"/>
        <w:bottom w:val="none" w:sz="0" w:space="0" w:color="auto"/>
        <w:right w:val="none" w:sz="0" w:space="0" w:color="auto"/>
      </w:divBdr>
    </w:div>
    <w:div w:id="1970013038">
      <w:bodyDiv w:val="1"/>
      <w:marLeft w:val="0"/>
      <w:marRight w:val="0"/>
      <w:marTop w:val="0"/>
      <w:marBottom w:val="0"/>
      <w:divBdr>
        <w:top w:val="none" w:sz="0" w:space="0" w:color="auto"/>
        <w:left w:val="none" w:sz="0" w:space="0" w:color="auto"/>
        <w:bottom w:val="none" w:sz="0" w:space="0" w:color="auto"/>
        <w:right w:val="none" w:sz="0" w:space="0" w:color="auto"/>
      </w:divBdr>
    </w:div>
    <w:div w:id="1970279575">
      <w:bodyDiv w:val="1"/>
      <w:marLeft w:val="0"/>
      <w:marRight w:val="0"/>
      <w:marTop w:val="0"/>
      <w:marBottom w:val="0"/>
      <w:divBdr>
        <w:top w:val="none" w:sz="0" w:space="0" w:color="auto"/>
        <w:left w:val="none" w:sz="0" w:space="0" w:color="auto"/>
        <w:bottom w:val="none" w:sz="0" w:space="0" w:color="auto"/>
        <w:right w:val="none" w:sz="0" w:space="0" w:color="auto"/>
      </w:divBdr>
    </w:div>
    <w:div w:id="1971398245">
      <w:bodyDiv w:val="1"/>
      <w:marLeft w:val="0"/>
      <w:marRight w:val="0"/>
      <w:marTop w:val="0"/>
      <w:marBottom w:val="0"/>
      <w:divBdr>
        <w:top w:val="none" w:sz="0" w:space="0" w:color="auto"/>
        <w:left w:val="none" w:sz="0" w:space="0" w:color="auto"/>
        <w:bottom w:val="none" w:sz="0" w:space="0" w:color="auto"/>
        <w:right w:val="none" w:sz="0" w:space="0" w:color="auto"/>
      </w:divBdr>
    </w:div>
    <w:div w:id="1971858645">
      <w:bodyDiv w:val="1"/>
      <w:marLeft w:val="0"/>
      <w:marRight w:val="0"/>
      <w:marTop w:val="0"/>
      <w:marBottom w:val="0"/>
      <w:divBdr>
        <w:top w:val="none" w:sz="0" w:space="0" w:color="auto"/>
        <w:left w:val="none" w:sz="0" w:space="0" w:color="auto"/>
        <w:bottom w:val="none" w:sz="0" w:space="0" w:color="auto"/>
        <w:right w:val="none" w:sz="0" w:space="0" w:color="auto"/>
      </w:divBdr>
    </w:div>
    <w:div w:id="1972010789">
      <w:bodyDiv w:val="1"/>
      <w:marLeft w:val="0"/>
      <w:marRight w:val="0"/>
      <w:marTop w:val="0"/>
      <w:marBottom w:val="0"/>
      <w:divBdr>
        <w:top w:val="none" w:sz="0" w:space="0" w:color="auto"/>
        <w:left w:val="none" w:sz="0" w:space="0" w:color="auto"/>
        <w:bottom w:val="none" w:sz="0" w:space="0" w:color="auto"/>
        <w:right w:val="none" w:sz="0" w:space="0" w:color="auto"/>
      </w:divBdr>
    </w:div>
    <w:div w:id="1972318831">
      <w:bodyDiv w:val="1"/>
      <w:marLeft w:val="0"/>
      <w:marRight w:val="0"/>
      <w:marTop w:val="0"/>
      <w:marBottom w:val="0"/>
      <w:divBdr>
        <w:top w:val="none" w:sz="0" w:space="0" w:color="auto"/>
        <w:left w:val="none" w:sz="0" w:space="0" w:color="auto"/>
        <w:bottom w:val="none" w:sz="0" w:space="0" w:color="auto"/>
        <w:right w:val="none" w:sz="0" w:space="0" w:color="auto"/>
      </w:divBdr>
    </w:div>
    <w:div w:id="1972707589">
      <w:bodyDiv w:val="1"/>
      <w:marLeft w:val="0"/>
      <w:marRight w:val="0"/>
      <w:marTop w:val="0"/>
      <w:marBottom w:val="0"/>
      <w:divBdr>
        <w:top w:val="none" w:sz="0" w:space="0" w:color="auto"/>
        <w:left w:val="none" w:sz="0" w:space="0" w:color="auto"/>
        <w:bottom w:val="none" w:sz="0" w:space="0" w:color="auto"/>
        <w:right w:val="none" w:sz="0" w:space="0" w:color="auto"/>
      </w:divBdr>
    </w:div>
    <w:div w:id="1973244969">
      <w:bodyDiv w:val="1"/>
      <w:marLeft w:val="0"/>
      <w:marRight w:val="0"/>
      <w:marTop w:val="0"/>
      <w:marBottom w:val="0"/>
      <w:divBdr>
        <w:top w:val="none" w:sz="0" w:space="0" w:color="auto"/>
        <w:left w:val="none" w:sz="0" w:space="0" w:color="auto"/>
        <w:bottom w:val="none" w:sz="0" w:space="0" w:color="auto"/>
        <w:right w:val="none" w:sz="0" w:space="0" w:color="auto"/>
      </w:divBdr>
    </w:div>
    <w:div w:id="1973246132">
      <w:bodyDiv w:val="1"/>
      <w:marLeft w:val="0"/>
      <w:marRight w:val="0"/>
      <w:marTop w:val="0"/>
      <w:marBottom w:val="0"/>
      <w:divBdr>
        <w:top w:val="none" w:sz="0" w:space="0" w:color="auto"/>
        <w:left w:val="none" w:sz="0" w:space="0" w:color="auto"/>
        <w:bottom w:val="none" w:sz="0" w:space="0" w:color="auto"/>
        <w:right w:val="none" w:sz="0" w:space="0" w:color="auto"/>
      </w:divBdr>
    </w:div>
    <w:div w:id="1973972791">
      <w:bodyDiv w:val="1"/>
      <w:marLeft w:val="0"/>
      <w:marRight w:val="0"/>
      <w:marTop w:val="0"/>
      <w:marBottom w:val="0"/>
      <w:divBdr>
        <w:top w:val="none" w:sz="0" w:space="0" w:color="auto"/>
        <w:left w:val="none" w:sz="0" w:space="0" w:color="auto"/>
        <w:bottom w:val="none" w:sz="0" w:space="0" w:color="auto"/>
        <w:right w:val="none" w:sz="0" w:space="0" w:color="auto"/>
      </w:divBdr>
    </w:div>
    <w:div w:id="1974020699">
      <w:bodyDiv w:val="1"/>
      <w:marLeft w:val="0"/>
      <w:marRight w:val="0"/>
      <w:marTop w:val="0"/>
      <w:marBottom w:val="0"/>
      <w:divBdr>
        <w:top w:val="none" w:sz="0" w:space="0" w:color="auto"/>
        <w:left w:val="none" w:sz="0" w:space="0" w:color="auto"/>
        <w:bottom w:val="none" w:sz="0" w:space="0" w:color="auto"/>
        <w:right w:val="none" w:sz="0" w:space="0" w:color="auto"/>
      </w:divBdr>
    </w:div>
    <w:div w:id="1974099642">
      <w:bodyDiv w:val="1"/>
      <w:marLeft w:val="0"/>
      <w:marRight w:val="0"/>
      <w:marTop w:val="0"/>
      <w:marBottom w:val="0"/>
      <w:divBdr>
        <w:top w:val="none" w:sz="0" w:space="0" w:color="auto"/>
        <w:left w:val="none" w:sz="0" w:space="0" w:color="auto"/>
        <w:bottom w:val="none" w:sz="0" w:space="0" w:color="auto"/>
        <w:right w:val="none" w:sz="0" w:space="0" w:color="auto"/>
      </w:divBdr>
    </w:div>
    <w:div w:id="1974362809">
      <w:bodyDiv w:val="1"/>
      <w:marLeft w:val="0"/>
      <w:marRight w:val="0"/>
      <w:marTop w:val="0"/>
      <w:marBottom w:val="0"/>
      <w:divBdr>
        <w:top w:val="none" w:sz="0" w:space="0" w:color="auto"/>
        <w:left w:val="none" w:sz="0" w:space="0" w:color="auto"/>
        <w:bottom w:val="none" w:sz="0" w:space="0" w:color="auto"/>
        <w:right w:val="none" w:sz="0" w:space="0" w:color="auto"/>
      </w:divBdr>
    </w:div>
    <w:div w:id="1974364067">
      <w:bodyDiv w:val="1"/>
      <w:marLeft w:val="0"/>
      <w:marRight w:val="0"/>
      <w:marTop w:val="0"/>
      <w:marBottom w:val="0"/>
      <w:divBdr>
        <w:top w:val="none" w:sz="0" w:space="0" w:color="auto"/>
        <w:left w:val="none" w:sz="0" w:space="0" w:color="auto"/>
        <w:bottom w:val="none" w:sz="0" w:space="0" w:color="auto"/>
        <w:right w:val="none" w:sz="0" w:space="0" w:color="auto"/>
      </w:divBdr>
    </w:div>
    <w:div w:id="1975063138">
      <w:bodyDiv w:val="1"/>
      <w:marLeft w:val="0"/>
      <w:marRight w:val="0"/>
      <w:marTop w:val="0"/>
      <w:marBottom w:val="0"/>
      <w:divBdr>
        <w:top w:val="none" w:sz="0" w:space="0" w:color="auto"/>
        <w:left w:val="none" w:sz="0" w:space="0" w:color="auto"/>
        <w:bottom w:val="none" w:sz="0" w:space="0" w:color="auto"/>
        <w:right w:val="none" w:sz="0" w:space="0" w:color="auto"/>
      </w:divBdr>
    </w:div>
    <w:div w:id="1975480163">
      <w:bodyDiv w:val="1"/>
      <w:marLeft w:val="0"/>
      <w:marRight w:val="0"/>
      <w:marTop w:val="0"/>
      <w:marBottom w:val="0"/>
      <w:divBdr>
        <w:top w:val="none" w:sz="0" w:space="0" w:color="auto"/>
        <w:left w:val="none" w:sz="0" w:space="0" w:color="auto"/>
        <w:bottom w:val="none" w:sz="0" w:space="0" w:color="auto"/>
        <w:right w:val="none" w:sz="0" w:space="0" w:color="auto"/>
      </w:divBdr>
    </w:div>
    <w:div w:id="1975718347">
      <w:bodyDiv w:val="1"/>
      <w:marLeft w:val="0"/>
      <w:marRight w:val="0"/>
      <w:marTop w:val="0"/>
      <w:marBottom w:val="0"/>
      <w:divBdr>
        <w:top w:val="none" w:sz="0" w:space="0" w:color="auto"/>
        <w:left w:val="none" w:sz="0" w:space="0" w:color="auto"/>
        <w:bottom w:val="none" w:sz="0" w:space="0" w:color="auto"/>
        <w:right w:val="none" w:sz="0" w:space="0" w:color="auto"/>
      </w:divBdr>
    </w:div>
    <w:div w:id="1975940341">
      <w:bodyDiv w:val="1"/>
      <w:marLeft w:val="0"/>
      <w:marRight w:val="0"/>
      <w:marTop w:val="0"/>
      <w:marBottom w:val="0"/>
      <w:divBdr>
        <w:top w:val="none" w:sz="0" w:space="0" w:color="auto"/>
        <w:left w:val="none" w:sz="0" w:space="0" w:color="auto"/>
        <w:bottom w:val="none" w:sz="0" w:space="0" w:color="auto"/>
        <w:right w:val="none" w:sz="0" w:space="0" w:color="auto"/>
      </w:divBdr>
    </w:div>
    <w:div w:id="1975987813">
      <w:bodyDiv w:val="1"/>
      <w:marLeft w:val="0"/>
      <w:marRight w:val="0"/>
      <w:marTop w:val="0"/>
      <w:marBottom w:val="0"/>
      <w:divBdr>
        <w:top w:val="none" w:sz="0" w:space="0" w:color="auto"/>
        <w:left w:val="none" w:sz="0" w:space="0" w:color="auto"/>
        <w:bottom w:val="none" w:sz="0" w:space="0" w:color="auto"/>
        <w:right w:val="none" w:sz="0" w:space="0" w:color="auto"/>
      </w:divBdr>
    </w:div>
    <w:div w:id="1976056375">
      <w:bodyDiv w:val="1"/>
      <w:marLeft w:val="0"/>
      <w:marRight w:val="0"/>
      <w:marTop w:val="0"/>
      <w:marBottom w:val="0"/>
      <w:divBdr>
        <w:top w:val="none" w:sz="0" w:space="0" w:color="auto"/>
        <w:left w:val="none" w:sz="0" w:space="0" w:color="auto"/>
        <w:bottom w:val="none" w:sz="0" w:space="0" w:color="auto"/>
        <w:right w:val="none" w:sz="0" w:space="0" w:color="auto"/>
      </w:divBdr>
    </w:div>
    <w:div w:id="1976331852">
      <w:bodyDiv w:val="1"/>
      <w:marLeft w:val="0"/>
      <w:marRight w:val="0"/>
      <w:marTop w:val="0"/>
      <w:marBottom w:val="0"/>
      <w:divBdr>
        <w:top w:val="none" w:sz="0" w:space="0" w:color="auto"/>
        <w:left w:val="none" w:sz="0" w:space="0" w:color="auto"/>
        <w:bottom w:val="none" w:sz="0" w:space="0" w:color="auto"/>
        <w:right w:val="none" w:sz="0" w:space="0" w:color="auto"/>
      </w:divBdr>
    </w:div>
    <w:div w:id="1977173318">
      <w:bodyDiv w:val="1"/>
      <w:marLeft w:val="0"/>
      <w:marRight w:val="0"/>
      <w:marTop w:val="0"/>
      <w:marBottom w:val="0"/>
      <w:divBdr>
        <w:top w:val="none" w:sz="0" w:space="0" w:color="auto"/>
        <w:left w:val="none" w:sz="0" w:space="0" w:color="auto"/>
        <w:bottom w:val="none" w:sz="0" w:space="0" w:color="auto"/>
        <w:right w:val="none" w:sz="0" w:space="0" w:color="auto"/>
      </w:divBdr>
    </w:div>
    <w:div w:id="1977173688">
      <w:bodyDiv w:val="1"/>
      <w:marLeft w:val="0"/>
      <w:marRight w:val="0"/>
      <w:marTop w:val="0"/>
      <w:marBottom w:val="0"/>
      <w:divBdr>
        <w:top w:val="none" w:sz="0" w:space="0" w:color="auto"/>
        <w:left w:val="none" w:sz="0" w:space="0" w:color="auto"/>
        <w:bottom w:val="none" w:sz="0" w:space="0" w:color="auto"/>
        <w:right w:val="none" w:sz="0" w:space="0" w:color="auto"/>
      </w:divBdr>
    </w:div>
    <w:div w:id="1977711835">
      <w:bodyDiv w:val="1"/>
      <w:marLeft w:val="0"/>
      <w:marRight w:val="0"/>
      <w:marTop w:val="0"/>
      <w:marBottom w:val="0"/>
      <w:divBdr>
        <w:top w:val="none" w:sz="0" w:space="0" w:color="auto"/>
        <w:left w:val="none" w:sz="0" w:space="0" w:color="auto"/>
        <w:bottom w:val="none" w:sz="0" w:space="0" w:color="auto"/>
        <w:right w:val="none" w:sz="0" w:space="0" w:color="auto"/>
      </w:divBdr>
    </w:div>
    <w:div w:id="1978026253">
      <w:bodyDiv w:val="1"/>
      <w:marLeft w:val="0"/>
      <w:marRight w:val="0"/>
      <w:marTop w:val="0"/>
      <w:marBottom w:val="0"/>
      <w:divBdr>
        <w:top w:val="none" w:sz="0" w:space="0" w:color="auto"/>
        <w:left w:val="none" w:sz="0" w:space="0" w:color="auto"/>
        <w:bottom w:val="none" w:sz="0" w:space="0" w:color="auto"/>
        <w:right w:val="none" w:sz="0" w:space="0" w:color="auto"/>
      </w:divBdr>
    </w:div>
    <w:div w:id="1978223579">
      <w:bodyDiv w:val="1"/>
      <w:marLeft w:val="0"/>
      <w:marRight w:val="0"/>
      <w:marTop w:val="0"/>
      <w:marBottom w:val="0"/>
      <w:divBdr>
        <w:top w:val="none" w:sz="0" w:space="0" w:color="auto"/>
        <w:left w:val="none" w:sz="0" w:space="0" w:color="auto"/>
        <w:bottom w:val="none" w:sz="0" w:space="0" w:color="auto"/>
        <w:right w:val="none" w:sz="0" w:space="0" w:color="auto"/>
      </w:divBdr>
    </w:div>
    <w:div w:id="1978560766">
      <w:bodyDiv w:val="1"/>
      <w:marLeft w:val="0"/>
      <w:marRight w:val="0"/>
      <w:marTop w:val="0"/>
      <w:marBottom w:val="0"/>
      <w:divBdr>
        <w:top w:val="none" w:sz="0" w:space="0" w:color="auto"/>
        <w:left w:val="none" w:sz="0" w:space="0" w:color="auto"/>
        <w:bottom w:val="none" w:sz="0" w:space="0" w:color="auto"/>
        <w:right w:val="none" w:sz="0" w:space="0" w:color="auto"/>
      </w:divBdr>
    </w:div>
    <w:div w:id="1978605287">
      <w:bodyDiv w:val="1"/>
      <w:marLeft w:val="0"/>
      <w:marRight w:val="0"/>
      <w:marTop w:val="0"/>
      <w:marBottom w:val="0"/>
      <w:divBdr>
        <w:top w:val="none" w:sz="0" w:space="0" w:color="auto"/>
        <w:left w:val="none" w:sz="0" w:space="0" w:color="auto"/>
        <w:bottom w:val="none" w:sz="0" w:space="0" w:color="auto"/>
        <w:right w:val="none" w:sz="0" w:space="0" w:color="auto"/>
      </w:divBdr>
    </w:div>
    <w:div w:id="1978677652">
      <w:bodyDiv w:val="1"/>
      <w:marLeft w:val="0"/>
      <w:marRight w:val="0"/>
      <w:marTop w:val="0"/>
      <w:marBottom w:val="0"/>
      <w:divBdr>
        <w:top w:val="none" w:sz="0" w:space="0" w:color="auto"/>
        <w:left w:val="none" w:sz="0" w:space="0" w:color="auto"/>
        <w:bottom w:val="none" w:sz="0" w:space="0" w:color="auto"/>
        <w:right w:val="none" w:sz="0" w:space="0" w:color="auto"/>
      </w:divBdr>
    </w:div>
    <w:div w:id="1979412396">
      <w:bodyDiv w:val="1"/>
      <w:marLeft w:val="0"/>
      <w:marRight w:val="0"/>
      <w:marTop w:val="0"/>
      <w:marBottom w:val="0"/>
      <w:divBdr>
        <w:top w:val="none" w:sz="0" w:space="0" w:color="auto"/>
        <w:left w:val="none" w:sz="0" w:space="0" w:color="auto"/>
        <w:bottom w:val="none" w:sz="0" w:space="0" w:color="auto"/>
        <w:right w:val="none" w:sz="0" w:space="0" w:color="auto"/>
      </w:divBdr>
    </w:div>
    <w:div w:id="1979796469">
      <w:bodyDiv w:val="1"/>
      <w:marLeft w:val="0"/>
      <w:marRight w:val="0"/>
      <w:marTop w:val="0"/>
      <w:marBottom w:val="0"/>
      <w:divBdr>
        <w:top w:val="none" w:sz="0" w:space="0" w:color="auto"/>
        <w:left w:val="none" w:sz="0" w:space="0" w:color="auto"/>
        <w:bottom w:val="none" w:sz="0" w:space="0" w:color="auto"/>
        <w:right w:val="none" w:sz="0" w:space="0" w:color="auto"/>
      </w:divBdr>
    </w:div>
    <w:div w:id="1980643469">
      <w:bodyDiv w:val="1"/>
      <w:marLeft w:val="0"/>
      <w:marRight w:val="0"/>
      <w:marTop w:val="0"/>
      <w:marBottom w:val="0"/>
      <w:divBdr>
        <w:top w:val="none" w:sz="0" w:space="0" w:color="auto"/>
        <w:left w:val="none" w:sz="0" w:space="0" w:color="auto"/>
        <w:bottom w:val="none" w:sz="0" w:space="0" w:color="auto"/>
        <w:right w:val="none" w:sz="0" w:space="0" w:color="auto"/>
      </w:divBdr>
    </w:div>
    <w:div w:id="1980643967">
      <w:bodyDiv w:val="1"/>
      <w:marLeft w:val="0"/>
      <w:marRight w:val="0"/>
      <w:marTop w:val="0"/>
      <w:marBottom w:val="0"/>
      <w:divBdr>
        <w:top w:val="none" w:sz="0" w:space="0" w:color="auto"/>
        <w:left w:val="none" w:sz="0" w:space="0" w:color="auto"/>
        <w:bottom w:val="none" w:sz="0" w:space="0" w:color="auto"/>
        <w:right w:val="none" w:sz="0" w:space="0" w:color="auto"/>
      </w:divBdr>
    </w:div>
    <w:div w:id="1981222729">
      <w:bodyDiv w:val="1"/>
      <w:marLeft w:val="0"/>
      <w:marRight w:val="0"/>
      <w:marTop w:val="0"/>
      <w:marBottom w:val="0"/>
      <w:divBdr>
        <w:top w:val="none" w:sz="0" w:space="0" w:color="auto"/>
        <w:left w:val="none" w:sz="0" w:space="0" w:color="auto"/>
        <w:bottom w:val="none" w:sz="0" w:space="0" w:color="auto"/>
        <w:right w:val="none" w:sz="0" w:space="0" w:color="auto"/>
      </w:divBdr>
    </w:div>
    <w:div w:id="1981230354">
      <w:bodyDiv w:val="1"/>
      <w:marLeft w:val="0"/>
      <w:marRight w:val="0"/>
      <w:marTop w:val="0"/>
      <w:marBottom w:val="0"/>
      <w:divBdr>
        <w:top w:val="none" w:sz="0" w:space="0" w:color="auto"/>
        <w:left w:val="none" w:sz="0" w:space="0" w:color="auto"/>
        <w:bottom w:val="none" w:sz="0" w:space="0" w:color="auto"/>
        <w:right w:val="none" w:sz="0" w:space="0" w:color="auto"/>
      </w:divBdr>
    </w:div>
    <w:div w:id="1981419545">
      <w:bodyDiv w:val="1"/>
      <w:marLeft w:val="0"/>
      <w:marRight w:val="0"/>
      <w:marTop w:val="0"/>
      <w:marBottom w:val="0"/>
      <w:divBdr>
        <w:top w:val="none" w:sz="0" w:space="0" w:color="auto"/>
        <w:left w:val="none" w:sz="0" w:space="0" w:color="auto"/>
        <w:bottom w:val="none" w:sz="0" w:space="0" w:color="auto"/>
        <w:right w:val="none" w:sz="0" w:space="0" w:color="auto"/>
      </w:divBdr>
    </w:div>
    <w:div w:id="1981954340">
      <w:bodyDiv w:val="1"/>
      <w:marLeft w:val="0"/>
      <w:marRight w:val="0"/>
      <w:marTop w:val="0"/>
      <w:marBottom w:val="0"/>
      <w:divBdr>
        <w:top w:val="none" w:sz="0" w:space="0" w:color="auto"/>
        <w:left w:val="none" w:sz="0" w:space="0" w:color="auto"/>
        <w:bottom w:val="none" w:sz="0" w:space="0" w:color="auto"/>
        <w:right w:val="none" w:sz="0" w:space="0" w:color="auto"/>
      </w:divBdr>
    </w:div>
    <w:div w:id="1982080251">
      <w:bodyDiv w:val="1"/>
      <w:marLeft w:val="0"/>
      <w:marRight w:val="0"/>
      <w:marTop w:val="0"/>
      <w:marBottom w:val="0"/>
      <w:divBdr>
        <w:top w:val="none" w:sz="0" w:space="0" w:color="auto"/>
        <w:left w:val="none" w:sz="0" w:space="0" w:color="auto"/>
        <w:bottom w:val="none" w:sz="0" w:space="0" w:color="auto"/>
        <w:right w:val="none" w:sz="0" w:space="0" w:color="auto"/>
      </w:divBdr>
    </w:div>
    <w:div w:id="1982298790">
      <w:bodyDiv w:val="1"/>
      <w:marLeft w:val="0"/>
      <w:marRight w:val="0"/>
      <w:marTop w:val="0"/>
      <w:marBottom w:val="0"/>
      <w:divBdr>
        <w:top w:val="none" w:sz="0" w:space="0" w:color="auto"/>
        <w:left w:val="none" w:sz="0" w:space="0" w:color="auto"/>
        <w:bottom w:val="none" w:sz="0" w:space="0" w:color="auto"/>
        <w:right w:val="none" w:sz="0" w:space="0" w:color="auto"/>
      </w:divBdr>
    </w:div>
    <w:div w:id="1982805701">
      <w:bodyDiv w:val="1"/>
      <w:marLeft w:val="0"/>
      <w:marRight w:val="0"/>
      <w:marTop w:val="0"/>
      <w:marBottom w:val="0"/>
      <w:divBdr>
        <w:top w:val="none" w:sz="0" w:space="0" w:color="auto"/>
        <w:left w:val="none" w:sz="0" w:space="0" w:color="auto"/>
        <w:bottom w:val="none" w:sz="0" w:space="0" w:color="auto"/>
        <w:right w:val="none" w:sz="0" w:space="0" w:color="auto"/>
      </w:divBdr>
    </w:div>
    <w:div w:id="1983998852">
      <w:bodyDiv w:val="1"/>
      <w:marLeft w:val="0"/>
      <w:marRight w:val="0"/>
      <w:marTop w:val="0"/>
      <w:marBottom w:val="0"/>
      <w:divBdr>
        <w:top w:val="none" w:sz="0" w:space="0" w:color="auto"/>
        <w:left w:val="none" w:sz="0" w:space="0" w:color="auto"/>
        <w:bottom w:val="none" w:sz="0" w:space="0" w:color="auto"/>
        <w:right w:val="none" w:sz="0" w:space="0" w:color="auto"/>
      </w:divBdr>
    </w:div>
    <w:div w:id="1984114751">
      <w:bodyDiv w:val="1"/>
      <w:marLeft w:val="0"/>
      <w:marRight w:val="0"/>
      <w:marTop w:val="0"/>
      <w:marBottom w:val="0"/>
      <w:divBdr>
        <w:top w:val="none" w:sz="0" w:space="0" w:color="auto"/>
        <w:left w:val="none" w:sz="0" w:space="0" w:color="auto"/>
        <w:bottom w:val="none" w:sz="0" w:space="0" w:color="auto"/>
        <w:right w:val="none" w:sz="0" w:space="0" w:color="auto"/>
      </w:divBdr>
    </w:div>
    <w:div w:id="1984893640">
      <w:bodyDiv w:val="1"/>
      <w:marLeft w:val="0"/>
      <w:marRight w:val="0"/>
      <w:marTop w:val="0"/>
      <w:marBottom w:val="0"/>
      <w:divBdr>
        <w:top w:val="none" w:sz="0" w:space="0" w:color="auto"/>
        <w:left w:val="none" w:sz="0" w:space="0" w:color="auto"/>
        <w:bottom w:val="none" w:sz="0" w:space="0" w:color="auto"/>
        <w:right w:val="none" w:sz="0" w:space="0" w:color="auto"/>
      </w:divBdr>
    </w:div>
    <w:div w:id="1985237821">
      <w:bodyDiv w:val="1"/>
      <w:marLeft w:val="0"/>
      <w:marRight w:val="0"/>
      <w:marTop w:val="0"/>
      <w:marBottom w:val="0"/>
      <w:divBdr>
        <w:top w:val="none" w:sz="0" w:space="0" w:color="auto"/>
        <w:left w:val="none" w:sz="0" w:space="0" w:color="auto"/>
        <w:bottom w:val="none" w:sz="0" w:space="0" w:color="auto"/>
        <w:right w:val="none" w:sz="0" w:space="0" w:color="auto"/>
      </w:divBdr>
    </w:div>
    <w:div w:id="1985309374">
      <w:bodyDiv w:val="1"/>
      <w:marLeft w:val="0"/>
      <w:marRight w:val="0"/>
      <w:marTop w:val="0"/>
      <w:marBottom w:val="0"/>
      <w:divBdr>
        <w:top w:val="none" w:sz="0" w:space="0" w:color="auto"/>
        <w:left w:val="none" w:sz="0" w:space="0" w:color="auto"/>
        <w:bottom w:val="none" w:sz="0" w:space="0" w:color="auto"/>
        <w:right w:val="none" w:sz="0" w:space="0" w:color="auto"/>
      </w:divBdr>
    </w:div>
    <w:div w:id="1985547027">
      <w:bodyDiv w:val="1"/>
      <w:marLeft w:val="0"/>
      <w:marRight w:val="0"/>
      <w:marTop w:val="0"/>
      <w:marBottom w:val="0"/>
      <w:divBdr>
        <w:top w:val="none" w:sz="0" w:space="0" w:color="auto"/>
        <w:left w:val="none" w:sz="0" w:space="0" w:color="auto"/>
        <w:bottom w:val="none" w:sz="0" w:space="0" w:color="auto"/>
        <w:right w:val="none" w:sz="0" w:space="0" w:color="auto"/>
      </w:divBdr>
    </w:div>
    <w:div w:id="1986664651">
      <w:bodyDiv w:val="1"/>
      <w:marLeft w:val="0"/>
      <w:marRight w:val="0"/>
      <w:marTop w:val="0"/>
      <w:marBottom w:val="0"/>
      <w:divBdr>
        <w:top w:val="none" w:sz="0" w:space="0" w:color="auto"/>
        <w:left w:val="none" w:sz="0" w:space="0" w:color="auto"/>
        <w:bottom w:val="none" w:sz="0" w:space="0" w:color="auto"/>
        <w:right w:val="none" w:sz="0" w:space="0" w:color="auto"/>
      </w:divBdr>
    </w:div>
    <w:div w:id="1986856405">
      <w:bodyDiv w:val="1"/>
      <w:marLeft w:val="0"/>
      <w:marRight w:val="0"/>
      <w:marTop w:val="0"/>
      <w:marBottom w:val="0"/>
      <w:divBdr>
        <w:top w:val="none" w:sz="0" w:space="0" w:color="auto"/>
        <w:left w:val="none" w:sz="0" w:space="0" w:color="auto"/>
        <w:bottom w:val="none" w:sz="0" w:space="0" w:color="auto"/>
        <w:right w:val="none" w:sz="0" w:space="0" w:color="auto"/>
      </w:divBdr>
    </w:div>
    <w:div w:id="1987465233">
      <w:bodyDiv w:val="1"/>
      <w:marLeft w:val="0"/>
      <w:marRight w:val="0"/>
      <w:marTop w:val="0"/>
      <w:marBottom w:val="0"/>
      <w:divBdr>
        <w:top w:val="none" w:sz="0" w:space="0" w:color="auto"/>
        <w:left w:val="none" w:sz="0" w:space="0" w:color="auto"/>
        <w:bottom w:val="none" w:sz="0" w:space="0" w:color="auto"/>
        <w:right w:val="none" w:sz="0" w:space="0" w:color="auto"/>
      </w:divBdr>
    </w:div>
    <w:div w:id="1987664634">
      <w:bodyDiv w:val="1"/>
      <w:marLeft w:val="0"/>
      <w:marRight w:val="0"/>
      <w:marTop w:val="0"/>
      <w:marBottom w:val="0"/>
      <w:divBdr>
        <w:top w:val="none" w:sz="0" w:space="0" w:color="auto"/>
        <w:left w:val="none" w:sz="0" w:space="0" w:color="auto"/>
        <w:bottom w:val="none" w:sz="0" w:space="0" w:color="auto"/>
        <w:right w:val="none" w:sz="0" w:space="0" w:color="auto"/>
      </w:divBdr>
    </w:div>
    <w:div w:id="1987853152">
      <w:bodyDiv w:val="1"/>
      <w:marLeft w:val="0"/>
      <w:marRight w:val="0"/>
      <w:marTop w:val="0"/>
      <w:marBottom w:val="0"/>
      <w:divBdr>
        <w:top w:val="none" w:sz="0" w:space="0" w:color="auto"/>
        <w:left w:val="none" w:sz="0" w:space="0" w:color="auto"/>
        <w:bottom w:val="none" w:sz="0" w:space="0" w:color="auto"/>
        <w:right w:val="none" w:sz="0" w:space="0" w:color="auto"/>
      </w:divBdr>
    </w:div>
    <w:div w:id="1987977562">
      <w:bodyDiv w:val="1"/>
      <w:marLeft w:val="0"/>
      <w:marRight w:val="0"/>
      <w:marTop w:val="0"/>
      <w:marBottom w:val="0"/>
      <w:divBdr>
        <w:top w:val="none" w:sz="0" w:space="0" w:color="auto"/>
        <w:left w:val="none" w:sz="0" w:space="0" w:color="auto"/>
        <w:bottom w:val="none" w:sz="0" w:space="0" w:color="auto"/>
        <w:right w:val="none" w:sz="0" w:space="0" w:color="auto"/>
      </w:divBdr>
    </w:div>
    <w:div w:id="1988046773">
      <w:bodyDiv w:val="1"/>
      <w:marLeft w:val="0"/>
      <w:marRight w:val="0"/>
      <w:marTop w:val="0"/>
      <w:marBottom w:val="0"/>
      <w:divBdr>
        <w:top w:val="none" w:sz="0" w:space="0" w:color="auto"/>
        <w:left w:val="none" w:sz="0" w:space="0" w:color="auto"/>
        <w:bottom w:val="none" w:sz="0" w:space="0" w:color="auto"/>
        <w:right w:val="none" w:sz="0" w:space="0" w:color="auto"/>
      </w:divBdr>
    </w:div>
    <w:div w:id="1988316009">
      <w:bodyDiv w:val="1"/>
      <w:marLeft w:val="0"/>
      <w:marRight w:val="0"/>
      <w:marTop w:val="0"/>
      <w:marBottom w:val="0"/>
      <w:divBdr>
        <w:top w:val="none" w:sz="0" w:space="0" w:color="auto"/>
        <w:left w:val="none" w:sz="0" w:space="0" w:color="auto"/>
        <w:bottom w:val="none" w:sz="0" w:space="0" w:color="auto"/>
        <w:right w:val="none" w:sz="0" w:space="0" w:color="auto"/>
      </w:divBdr>
    </w:div>
    <w:div w:id="1988657147">
      <w:bodyDiv w:val="1"/>
      <w:marLeft w:val="0"/>
      <w:marRight w:val="0"/>
      <w:marTop w:val="0"/>
      <w:marBottom w:val="0"/>
      <w:divBdr>
        <w:top w:val="none" w:sz="0" w:space="0" w:color="auto"/>
        <w:left w:val="none" w:sz="0" w:space="0" w:color="auto"/>
        <w:bottom w:val="none" w:sz="0" w:space="0" w:color="auto"/>
        <w:right w:val="none" w:sz="0" w:space="0" w:color="auto"/>
      </w:divBdr>
    </w:div>
    <w:div w:id="1988851970">
      <w:bodyDiv w:val="1"/>
      <w:marLeft w:val="0"/>
      <w:marRight w:val="0"/>
      <w:marTop w:val="0"/>
      <w:marBottom w:val="0"/>
      <w:divBdr>
        <w:top w:val="none" w:sz="0" w:space="0" w:color="auto"/>
        <w:left w:val="none" w:sz="0" w:space="0" w:color="auto"/>
        <w:bottom w:val="none" w:sz="0" w:space="0" w:color="auto"/>
        <w:right w:val="none" w:sz="0" w:space="0" w:color="auto"/>
      </w:divBdr>
    </w:div>
    <w:div w:id="1988969658">
      <w:bodyDiv w:val="1"/>
      <w:marLeft w:val="0"/>
      <w:marRight w:val="0"/>
      <w:marTop w:val="0"/>
      <w:marBottom w:val="0"/>
      <w:divBdr>
        <w:top w:val="none" w:sz="0" w:space="0" w:color="auto"/>
        <w:left w:val="none" w:sz="0" w:space="0" w:color="auto"/>
        <w:bottom w:val="none" w:sz="0" w:space="0" w:color="auto"/>
        <w:right w:val="none" w:sz="0" w:space="0" w:color="auto"/>
      </w:divBdr>
    </w:div>
    <w:div w:id="1989170937">
      <w:bodyDiv w:val="1"/>
      <w:marLeft w:val="0"/>
      <w:marRight w:val="0"/>
      <w:marTop w:val="0"/>
      <w:marBottom w:val="0"/>
      <w:divBdr>
        <w:top w:val="none" w:sz="0" w:space="0" w:color="auto"/>
        <w:left w:val="none" w:sz="0" w:space="0" w:color="auto"/>
        <w:bottom w:val="none" w:sz="0" w:space="0" w:color="auto"/>
        <w:right w:val="none" w:sz="0" w:space="0" w:color="auto"/>
      </w:divBdr>
    </w:div>
    <w:div w:id="1989358037">
      <w:bodyDiv w:val="1"/>
      <w:marLeft w:val="0"/>
      <w:marRight w:val="0"/>
      <w:marTop w:val="0"/>
      <w:marBottom w:val="0"/>
      <w:divBdr>
        <w:top w:val="none" w:sz="0" w:space="0" w:color="auto"/>
        <w:left w:val="none" w:sz="0" w:space="0" w:color="auto"/>
        <w:bottom w:val="none" w:sz="0" w:space="0" w:color="auto"/>
        <w:right w:val="none" w:sz="0" w:space="0" w:color="auto"/>
      </w:divBdr>
    </w:div>
    <w:div w:id="1990741593">
      <w:bodyDiv w:val="1"/>
      <w:marLeft w:val="0"/>
      <w:marRight w:val="0"/>
      <w:marTop w:val="0"/>
      <w:marBottom w:val="0"/>
      <w:divBdr>
        <w:top w:val="none" w:sz="0" w:space="0" w:color="auto"/>
        <w:left w:val="none" w:sz="0" w:space="0" w:color="auto"/>
        <w:bottom w:val="none" w:sz="0" w:space="0" w:color="auto"/>
        <w:right w:val="none" w:sz="0" w:space="0" w:color="auto"/>
      </w:divBdr>
    </w:div>
    <w:div w:id="1990742356">
      <w:bodyDiv w:val="1"/>
      <w:marLeft w:val="0"/>
      <w:marRight w:val="0"/>
      <w:marTop w:val="0"/>
      <w:marBottom w:val="0"/>
      <w:divBdr>
        <w:top w:val="none" w:sz="0" w:space="0" w:color="auto"/>
        <w:left w:val="none" w:sz="0" w:space="0" w:color="auto"/>
        <w:bottom w:val="none" w:sz="0" w:space="0" w:color="auto"/>
        <w:right w:val="none" w:sz="0" w:space="0" w:color="auto"/>
      </w:divBdr>
    </w:div>
    <w:div w:id="1990749268">
      <w:bodyDiv w:val="1"/>
      <w:marLeft w:val="0"/>
      <w:marRight w:val="0"/>
      <w:marTop w:val="0"/>
      <w:marBottom w:val="0"/>
      <w:divBdr>
        <w:top w:val="none" w:sz="0" w:space="0" w:color="auto"/>
        <w:left w:val="none" w:sz="0" w:space="0" w:color="auto"/>
        <w:bottom w:val="none" w:sz="0" w:space="0" w:color="auto"/>
        <w:right w:val="none" w:sz="0" w:space="0" w:color="auto"/>
      </w:divBdr>
    </w:div>
    <w:div w:id="1991014659">
      <w:bodyDiv w:val="1"/>
      <w:marLeft w:val="0"/>
      <w:marRight w:val="0"/>
      <w:marTop w:val="0"/>
      <w:marBottom w:val="0"/>
      <w:divBdr>
        <w:top w:val="none" w:sz="0" w:space="0" w:color="auto"/>
        <w:left w:val="none" w:sz="0" w:space="0" w:color="auto"/>
        <w:bottom w:val="none" w:sz="0" w:space="0" w:color="auto"/>
        <w:right w:val="none" w:sz="0" w:space="0" w:color="auto"/>
      </w:divBdr>
    </w:div>
    <w:div w:id="1991329876">
      <w:bodyDiv w:val="1"/>
      <w:marLeft w:val="0"/>
      <w:marRight w:val="0"/>
      <w:marTop w:val="0"/>
      <w:marBottom w:val="0"/>
      <w:divBdr>
        <w:top w:val="none" w:sz="0" w:space="0" w:color="auto"/>
        <w:left w:val="none" w:sz="0" w:space="0" w:color="auto"/>
        <w:bottom w:val="none" w:sz="0" w:space="0" w:color="auto"/>
        <w:right w:val="none" w:sz="0" w:space="0" w:color="auto"/>
      </w:divBdr>
    </w:div>
    <w:div w:id="1991590348">
      <w:bodyDiv w:val="1"/>
      <w:marLeft w:val="0"/>
      <w:marRight w:val="0"/>
      <w:marTop w:val="0"/>
      <w:marBottom w:val="0"/>
      <w:divBdr>
        <w:top w:val="none" w:sz="0" w:space="0" w:color="auto"/>
        <w:left w:val="none" w:sz="0" w:space="0" w:color="auto"/>
        <w:bottom w:val="none" w:sz="0" w:space="0" w:color="auto"/>
        <w:right w:val="none" w:sz="0" w:space="0" w:color="auto"/>
      </w:divBdr>
    </w:div>
    <w:div w:id="1992053190">
      <w:bodyDiv w:val="1"/>
      <w:marLeft w:val="0"/>
      <w:marRight w:val="0"/>
      <w:marTop w:val="0"/>
      <w:marBottom w:val="0"/>
      <w:divBdr>
        <w:top w:val="none" w:sz="0" w:space="0" w:color="auto"/>
        <w:left w:val="none" w:sz="0" w:space="0" w:color="auto"/>
        <w:bottom w:val="none" w:sz="0" w:space="0" w:color="auto"/>
        <w:right w:val="none" w:sz="0" w:space="0" w:color="auto"/>
      </w:divBdr>
    </w:div>
    <w:div w:id="1992446784">
      <w:bodyDiv w:val="1"/>
      <w:marLeft w:val="0"/>
      <w:marRight w:val="0"/>
      <w:marTop w:val="0"/>
      <w:marBottom w:val="0"/>
      <w:divBdr>
        <w:top w:val="none" w:sz="0" w:space="0" w:color="auto"/>
        <w:left w:val="none" w:sz="0" w:space="0" w:color="auto"/>
        <w:bottom w:val="none" w:sz="0" w:space="0" w:color="auto"/>
        <w:right w:val="none" w:sz="0" w:space="0" w:color="auto"/>
      </w:divBdr>
    </w:div>
    <w:div w:id="1992707839">
      <w:bodyDiv w:val="1"/>
      <w:marLeft w:val="0"/>
      <w:marRight w:val="0"/>
      <w:marTop w:val="0"/>
      <w:marBottom w:val="0"/>
      <w:divBdr>
        <w:top w:val="none" w:sz="0" w:space="0" w:color="auto"/>
        <w:left w:val="none" w:sz="0" w:space="0" w:color="auto"/>
        <w:bottom w:val="none" w:sz="0" w:space="0" w:color="auto"/>
        <w:right w:val="none" w:sz="0" w:space="0" w:color="auto"/>
      </w:divBdr>
    </w:div>
    <w:div w:id="1992829002">
      <w:bodyDiv w:val="1"/>
      <w:marLeft w:val="0"/>
      <w:marRight w:val="0"/>
      <w:marTop w:val="0"/>
      <w:marBottom w:val="0"/>
      <w:divBdr>
        <w:top w:val="none" w:sz="0" w:space="0" w:color="auto"/>
        <w:left w:val="none" w:sz="0" w:space="0" w:color="auto"/>
        <w:bottom w:val="none" w:sz="0" w:space="0" w:color="auto"/>
        <w:right w:val="none" w:sz="0" w:space="0" w:color="auto"/>
      </w:divBdr>
    </w:div>
    <w:div w:id="1993100556">
      <w:bodyDiv w:val="1"/>
      <w:marLeft w:val="0"/>
      <w:marRight w:val="0"/>
      <w:marTop w:val="0"/>
      <w:marBottom w:val="0"/>
      <w:divBdr>
        <w:top w:val="none" w:sz="0" w:space="0" w:color="auto"/>
        <w:left w:val="none" w:sz="0" w:space="0" w:color="auto"/>
        <w:bottom w:val="none" w:sz="0" w:space="0" w:color="auto"/>
        <w:right w:val="none" w:sz="0" w:space="0" w:color="auto"/>
      </w:divBdr>
    </w:div>
    <w:div w:id="1993409649">
      <w:bodyDiv w:val="1"/>
      <w:marLeft w:val="0"/>
      <w:marRight w:val="0"/>
      <w:marTop w:val="0"/>
      <w:marBottom w:val="0"/>
      <w:divBdr>
        <w:top w:val="none" w:sz="0" w:space="0" w:color="auto"/>
        <w:left w:val="none" w:sz="0" w:space="0" w:color="auto"/>
        <w:bottom w:val="none" w:sz="0" w:space="0" w:color="auto"/>
        <w:right w:val="none" w:sz="0" w:space="0" w:color="auto"/>
      </w:divBdr>
    </w:div>
    <w:div w:id="1994408516">
      <w:bodyDiv w:val="1"/>
      <w:marLeft w:val="0"/>
      <w:marRight w:val="0"/>
      <w:marTop w:val="0"/>
      <w:marBottom w:val="0"/>
      <w:divBdr>
        <w:top w:val="none" w:sz="0" w:space="0" w:color="auto"/>
        <w:left w:val="none" w:sz="0" w:space="0" w:color="auto"/>
        <w:bottom w:val="none" w:sz="0" w:space="0" w:color="auto"/>
        <w:right w:val="none" w:sz="0" w:space="0" w:color="auto"/>
      </w:divBdr>
    </w:div>
    <w:div w:id="1994915848">
      <w:bodyDiv w:val="1"/>
      <w:marLeft w:val="0"/>
      <w:marRight w:val="0"/>
      <w:marTop w:val="0"/>
      <w:marBottom w:val="0"/>
      <w:divBdr>
        <w:top w:val="none" w:sz="0" w:space="0" w:color="auto"/>
        <w:left w:val="none" w:sz="0" w:space="0" w:color="auto"/>
        <w:bottom w:val="none" w:sz="0" w:space="0" w:color="auto"/>
        <w:right w:val="none" w:sz="0" w:space="0" w:color="auto"/>
      </w:divBdr>
    </w:div>
    <w:div w:id="1995603633">
      <w:bodyDiv w:val="1"/>
      <w:marLeft w:val="0"/>
      <w:marRight w:val="0"/>
      <w:marTop w:val="0"/>
      <w:marBottom w:val="0"/>
      <w:divBdr>
        <w:top w:val="none" w:sz="0" w:space="0" w:color="auto"/>
        <w:left w:val="none" w:sz="0" w:space="0" w:color="auto"/>
        <w:bottom w:val="none" w:sz="0" w:space="0" w:color="auto"/>
        <w:right w:val="none" w:sz="0" w:space="0" w:color="auto"/>
      </w:divBdr>
    </w:div>
    <w:div w:id="1995639484">
      <w:bodyDiv w:val="1"/>
      <w:marLeft w:val="0"/>
      <w:marRight w:val="0"/>
      <w:marTop w:val="0"/>
      <w:marBottom w:val="0"/>
      <w:divBdr>
        <w:top w:val="none" w:sz="0" w:space="0" w:color="auto"/>
        <w:left w:val="none" w:sz="0" w:space="0" w:color="auto"/>
        <w:bottom w:val="none" w:sz="0" w:space="0" w:color="auto"/>
        <w:right w:val="none" w:sz="0" w:space="0" w:color="auto"/>
      </w:divBdr>
    </w:div>
    <w:div w:id="1995722597">
      <w:bodyDiv w:val="1"/>
      <w:marLeft w:val="0"/>
      <w:marRight w:val="0"/>
      <w:marTop w:val="0"/>
      <w:marBottom w:val="0"/>
      <w:divBdr>
        <w:top w:val="none" w:sz="0" w:space="0" w:color="auto"/>
        <w:left w:val="none" w:sz="0" w:space="0" w:color="auto"/>
        <w:bottom w:val="none" w:sz="0" w:space="0" w:color="auto"/>
        <w:right w:val="none" w:sz="0" w:space="0" w:color="auto"/>
      </w:divBdr>
    </w:div>
    <w:div w:id="1995836259">
      <w:bodyDiv w:val="1"/>
      <w:marLeft w:val="0"/>
      <w:marRight w:val="0"/>
      <w:marTop w:val="0"/>
      <w:marBottom w:val="0"/>
      <w:divBdr>
        <w:top w:val="none" w:sz="0" w:space="0" w:color="auto"/>
        <w:left w:val="none" w:sz="0" w:space="0" w:color="auto"/>
        <w:bottom w:val="none" w:sz="0" w:space="0" w:color="auto"/>
        <w:right w:val="none" w:sz="0" w:space="0" w:color="auto"/>
      </w:divBdr>
    </w:div>
    <w:div w:id="1995909637">
      <w:bodyDiv w:val="1"/>
      <w:marLeft w:val="0"/>
      <w:marRight w:val="0"/>
      <w:marTop w:val="0"/>
      <w:marBottom w:val="0"/>
      <w:divBdr>
        <w:top w:val="none" w:sz="0" w:space="0" w:color="auto"/>
        <w:left w:val="none" w:sz="0" w:space="0" w:color="auto"/>
        <w:bottom w:val="none" w:sz="0" w:space="0" w:color="auto"/>
        <w:right w:val="none" w:sz="0" w:space="0" w:color="auto"/>
      </w:divBdr>
    </w:div>
    <w:div w:id="1997411445">
      <w:bodyDiv w:val="1"/>
      <w:marLeft w:val="0"/>
      <w:marRight w:val="0"/>
      <w:marTop w:val="0"/>
      <w:marBottom w:val="0"/>
      <w:divBdr>
        <w:top w:val="none" w:sz="0" w:space="0" w:color="auto"/>
        <w:left w:val="none" w:sz="0" w:space="0" w:color="auto"/>
        <w:bottom w:val="none" w:sz="0" w:space="0" w:color="auto"/>
        <w:right w:val="none" w:sz="0" w:space="0" w:color="auto"/>
      </w:divBdr>
    </w:div>
    <w:div w:id="1998262431">
      <w:bodyDiv w:val="1"/>
      <w:marLeft w:val="0"/>
      <w:marRight w:val="0"/>
      <w:marTop w:val="0"/>
      <w:marBottom w:val="0"/>
      <w:divBdr>
        <w:top w:val="none" w:sz="0" w:space="0" w:color="auto"/>
        <w:left w:val="none" w:sz="0" w:space="0" w:color="auto"/>
        <w:bottom w:val="none" w:sz="0" w:space="0" w:color="auto"/>
        <w:right w:val="none" w:sz="0" w:space="0" w:color="auto"/>
      </w:divBdr>
    </w:div>
    <w:div w:id="1998729561">
      <w:bodyDiv w:val="1"/>
      <w:marLeft w:val="0"/>
      <w:marRight w:val="0"/>
      <w:marTop w:val="0"/>
      <w:marBottom w:val="0"/>
      <w:divBdr>
        <w:top w:val="none" w:sz="0" w:space="0" w:color="auto"/>
        <w:left w:val="none" w:sz="0" w:space="0" w:color="auto"/>
        <w:bottom w:val="none" w:sz="0" w:space="0" w:color="auto"/>
        <w:right w:val="none" w:sz="0" w:space="0" w:color="auto"/>
      </w:divBdr>
    </w:div>
    <w:div w:id="1999067401">
      <w:bodyDiv w:val="1"/>
      <w:marLeft w:val="0"/>
      <w:marRight w:val="0"/>
      <w:marTop w:val="0"/>
      <w:marBottom w:val="0"/>
      <w:divBdr>
        <w:top w:val="none" w:sz="0" w:space="0" w:color="auto"/>
        <w:left w:val="none" w:sz="0" w:space="0" w:color="auto"/>
        <w:bottom w:val="none" w:sz="0" w:space="0" w:color="auto"/>
        <w:right w:val="none" w:sz="0" w:space="0" w:color="auto"/>
      </w:divBdr>
    </w:div>
    <w:div w:id="1999527620">
      <w:bodyDiv w:val="1"/>
      <w:marLeft w:val="0"/>
      <w:marRight w:val="0"/>
      <w:marTop w:val="0"/>
      <w:marBottom w:val="0"/>
      <w:divBdr>
        <w:top w:val="none" w:sz="0" w:space="0" w:color="auto"/>
        <w:left w:val="none" w:sz="0" w:space="0" w:color="auto"/>
        <w:bottom w:val="none" w:sz="0" w:space="0" w:color="auto"/>
        <w:right w:val="none" w:sz="0" w:space="0" w:color="auto"/>
      </w:divBdr>
    </w:div>
    <w:div w:id="1999532378">
      <w:bodyDiv w:val="1"/>
      <w:marLeft w:val="0"/>
      <w:marRight w:val="0"/>
      <w:marTop w:val="0"/>
      <w:marBottom w:val="0"/>
      <w:divBdr>
        <w:top w:val="none" w:sz="0" w:space="0" w:color="auto"/>
        <w:left w:val="none" w:sz="0" w:space="0" w:color="auto"/>
        <w:bottom w:val="none" w:sz="0" w:space="0" w:color="auto"/>
        <w:right w:val="none" w:sz="0" w:space="0" w:color="auto"/>
      </w:divBdr>
    </w:div>
    <w:div w:id="2001497429">
      <w:bodyDiv w:val="1"/>
      <w:marLeft w:val="0"/>
      <w:marRight w:val="0"/>
      <w:marTop w:val="0"/>
      <w:marBottom w:val="0"/>
      <w:divBdr>
        <w:top w:val="none" w:sz="0" w:space="0" w:color="auto"/>
        <w:left w:val="none" w:sz="0" w:space="0" w:color="auto"/>
        <w:bottom w:val="none" w:sz="0" w:space="0" w:color="auto"/>
        <w:right w:val="none" w:sz="0" w:space="0" w:color="auto"/>
      </w:divBdr>
    </w:div>
    <w:div w:id="2001689103">
      <w:bodyDiv w:val="1"/>
      <w:marLeft w:val="0"/>
      <w:marRight w:val="0"/>
      <w:marTop w:val="0"/>
      <w:marBottom w:val="0"/>
      <w:divBdr>
        <w:top w:val="none" w:sz="0" w:space="0" w:color="auto"/>
        <w:left w:val="none" w:sz="0" w:space="0" w:color="auto"/>
        <w:bottom w:val="none" w:sz="0" w:space="0" w:color="auto"/>
        <w:right w:val="none" w:sz="0" w:space="0" w:color="auto"/>
      </w:divBdr>
    </w:div>
    <w:div w:id="2001737019">
      <w:bodyDiv w:val="1"/>
      <w:marLeft w:val="0"/>
      <w:marRight w:val="0"/>
      <w:marTop w:val="0"/>
      <w:marBottom w:val="0"/>
      <w:divBdr>
        <w:top w:val="none" w:sz="0" w:space="0" w:color="auto"/>
        <w:left w:val="none" w:sz="0" w:space="0" w:color="auto"/>
        <w:bottom w:val="none" w:sz="0" w:space="0" w:color="auto"/>
        <w:right w:val="none" w:sz="0" w:space="0" w:color="auto"/>
      </w:divBdr>
    </w:div>
    <w:div w:id="2002393865">
      <w:bodyDiv w:val="1"/>
      <w:marLeft w:val="0"/>
      <w:marRight w:val="0"/>
      <w:marTop w:val="0"/>
      <w:marBottom w:val="0"/>
      <w:divBdr>
        <w:top w:val="none" w:sz="0" w:space="0" w:color="auto"/>
        <w:left w:val="none" w:sz="0" w:space="0" w:color="auto"/>
        <w:bottom w:val="none" w:sz="0" w:space="0" w:color="auto"/>
        <w:right w:val="none" w:sz="0" w:space="0" w:color="auto"/>
      </w:divBdr>
    </w:div>
    <w:div w:id="2002584043">
      <w:bodyDiv w:val="1"/>
      <w:marLeft w:val="0"/>
      <w:marRight w:val="0"/>
      <w:marTop w:val="0"/>
      <w:marBottom w:val="0"/>
      <w:divBdr>
        <w:top w:val="none" w:sz="0" w:space="0" w:color="auto"/>
        <w:left w:val="none" w:sz="0" w:space="0" w:color="auto"/>
        <w:bottom w:val="none" w:sz="0" w:space="0" w:color="auto"/>
        <w:right w:val="none" w:sz="0" w:space="0" w:color="auto"/>
      </w:divBdr>
    </w:div>
    <w:div w:id="2003072708">
      <w:bodyDiv w:val="1"/>
      <w:marLeft w:val="0"/>
      <w:marRight w:val="0"/>
      <w:marTop w:val="0"/>
      <w:marBottom w:val="0"/>
      <w:divBdr>
        <w:top w:val="none" w:sz="0" w:space="0" w:color="auto"/>
        <w:left w:val="none" w:sz="0" w:space="0" w:color="auto"/>
        <w:bottom w:val="none" w:sz="0" w:space="0" w:color="auto"/>
        <w:right w:val="none" w:sz="0" w:space="0" w:color="auto"/>
      </w:divBdr>
    </w:div>
    <w:div w:id="2003190621">
      <w:bodyDiv w:val="1"/>
      <w:marLeft w:val="0"/>
      <w:marRight w:val="0"/>
      <w:marTop w:val="0"/>
      <w:marBottom w:val="0"/>
      <w:divBdr>
        <w:top w:val="none" w:sz="0" w:space="0" w:color="auto"/>
        <w:left w:val="none" w:sz="0" w:space="0" w:color="auto"/>
        <w:bottom w:val="none" w:sz="0" w:space="0" w:color="auto"/>
        <w:right w:val="none" w:sz="0" w:space="0" w:color="auto"/>
      </w:divBdr>
    </w:div>
    <w:div w:id="2003393182">
      <w:bodyDiv w:val="1"/>
      <w:marLeft w:val="0"/>
      <w:marRight w:val="0"/>
      <w:marTop w:val="0"/>
      <w:marBottom w:val="0"/>
      <w:divBdr>
        <w:top w:val="none" w:sz="0" w:space="0" w:color="auto"/>
        <w:left w:val="none" w:sz="0" w:space="0" w:color="auto"/>
        <w:bottom w:val="none" w:sz="0" w:space="0" w:color="auto"/>
        <w:right w:val="none" w:sz="0" w:space="0" w:color="auto"/>
      </w:divBdr>
    </w:div>
    <w:div w:id="2003506918">
      <w:bodyDiv w:val="1"/>
      <w:marLeft w:val="0"/>
      <w:marRight w:val="0"/>
      <w:marTop w:val="0"/>
      <w:marBottom w:val="0"/>
      <w:divBdr>
        <w:top w:val="none" w:sz="0" w:space="0" w:color="auto"/>
        <w:left w:val="none" w:sz="0" w:space="0" w:color="auto"/>
        <w:bottom w:val="none" w:sz="0" w:space="0" w:color="auto"/>
        <w:right w:val="none" w:sz="0" w:space="0" w:color="auto"/>
      </w:divBdr>
    </w:div>
    <w:div w:id="2003970936">
      <w:bodyDiv w:val="1"/>
      <w:marLeft w:val="0"/>
      <w:marRight w:val="0"/>
      <w:marTop w:val="0"/>
      <w:marBottom w:val="0"/>
      <w:divBdr>
        <w:top w:val="none" w:sz="0" w:space="0" w:color="auto"/>
        <w:left w:val="none" w:sz="0" w:space="0" w:color="auto"/>
        <w:bottom w:val="none" w:sz="0" w:space="0" w:color="auto"/>
        <w:right w:val="none" w:sz="0" w:space="0" w:color="auto"/>
      </w:divBdr>
    </w:div>
    <w:div w:id="2004239009">
      <w:bodyDiv w:val="1"/>
      <w:marLeft w:val="0"/>
      <w:marRight w:val="0"/>
      <w:marTop w:val="0"/>
      <w:marBottom w:val="0"/>
      <w:divBdr>
        <w:top w:val="none" w:sz="0" w:space="0" w:color="auto"/>
        <w:left w:val="none" w:sz="0" w:space="0" w:color="auto"/>
        <w:bottom w:val="none" w:sz="0" w:space="0" w:color="auto"/>
        <w:right w:val="none" w:sz="0" w:space="0" w:color="auto"/>
      </w:divBdr>
    </w:div>
    <w:div w:id="2004359213">
      <w:bodyDiv w:val="1"/>
      <w:marLeft w:val="0"/>
      <w:marRight w:val="0"/>
      <w:marTop w:val="0"/>
      <w:marBottom w:val="0"/>
      <w:divBdr>
        <w:top w:val="none" w:sz="0" w:space="0" w:color="auto"/>
        <w:left w:val="none" w:sz="0" w:space="0" w:color="auto"/>
        <w:bottom w:val="none" w:sz="0" w:space="0" w:color="auto"/>
        <w:right w:val="none" w:sz="0" w:space="0" w:color="auto"/>
      </w:divBdr>
    </w:div>
    <w:div w:id="2004964369">
      <w:bodyDiv w:val="1"/>
      <w:marLeft w:val="0"/>
      <w:marRight w:val="0"/>
      <w:marTop w:val="0"/>
      <w:marBottom w:val="0"/>
      <w:divBdr>
        <w:top w:val="none" w:sz="0" w:space="0" w:color="auto"/>
        <w:left w:val="none" w:sz="0" w:space="0" w:color="auto"/>
        <w:bottom w:val="none" w:sz="0" w:space="0" w:color="auto"/>
        <w:right w:val="none" w:sz="0" w:space="0" w:color="auto"/>
      </w:divBdr>
    </w:div>
    <w:div w:id="2004966991">
      <w:bodyDiv w:val="1"/>
      <w:marLeft w:val="0"/>
      <w:marRight w:val="0"/>
      <w:marTop w:val="0"/>
      <w:marBottom w:val="0"/>
      <w:divBdr>
        <w:top w:val="none" w:sz="0" w:space="0" w:color="auto"/>
        <w:left w:val="none" w:sz="0" w:space="0" w:color="auto"/>
        <w:bottom w:val="none" w:sz="0" w:space="0" w:color="auto"/>
        <w:right w:val="none" w:sz="0" w:space="0" w:color="auto"/>
      </w:divBdr>
    </w:div>
    <w:div w:id="2005626735">
      <w:bodyDiv w:val="1"/>
      <w:marLeft w:val="0"/>
      <w:marRight w:val="0"/>
      <w:marTop w:val="0"/>
      <w:marBottom w:val="0"/>
      <w:divBdr>
        <w:top w:val="none" w:sz="0" w:space="0" w:color="auto"/>
        <w:left w:val="none" w:sz="0" w:space="0" w:color="auto"/>
        <w:bottom w:val="none" w:sz="0" w:space="0" w:color="auto"/>
        <w:right w:val="none" w:sz="0" w:space="0" w:color="auto"/>
      </w:divBdr>
    </w:div>
    <w:div w:id="2006275405">
      <w:bodyDiv w:val="1"/>
      <w:marLeft w:val="0"/>
      <w:marRight w:val="0"/>
      <w:marTop w:val="0"/>
      <w:marBottom w:val="0"/>
      <w:divBdr>
        <w:top w:val="none" w:sz="0" w:space="0" w:color="auto"/>
        <w:left w:val="none" w:sz="0" w:space="0" w:color="auto"/>
        <w:bottom w:val="none" w:sz="0" w:space="0" w:color="auto"/>
        <w:right w:val="none" w:sz="0" w:space="0" w:color="auto"/>
      </w:divBdr>
    </w:div>
    <w:div w:id="2006471601">
      <w:bodyDiv w:val="1"/>
      <w:marLeft w:val="0"/>
      <w:marRight w:val="0"/>
      <w:marTop w:val="0"/>
      <w:marBottom w:val="0"/>
      <w:divBdr>
        <w:top w:val="none" w:sz="0" w:space="0" w:color="auto"/>
        <w:left w:val="none" w:sz="0" w:space="0" w:color="auto"/>
        <w:bottom w:val="none" w:sz="0" w:space="0" w:color="auto"/>
        <w:right w:val="none" w:sz="0" w:space="0" w:color="auto"/>
      </w:divBdr>
    </w:div>
    <w:div w:id="2006472163">
      <w:bodyDiv w:val="1"/>
      <w:marLeft w:val="0"/>
      <w:marRight w:val="0"/>
      <w:marTop w:val="0"/>
      <w:marBottom w:val="0"/>
      <w:divBdr>
        <w:top w:val="none" w:sz="0" w:space="0" w:color="auto"/>
        <w:left w:val="none" w:sz="0" w:space="0" w:color="auto"/>
        <w:bottom w:val="none" w:sz="0" w:space="0" w:color="auto"/>
        <w:right w:val="none" w:sz="0" w:space="0" w:color="auto"/>
      </w:divBdr>
    </w:div>
    <w:div w:id="2006472556">
      <w:bodyDiv w:val="1"/>
      <w:marLeft w:val="0"/>
      <w:marRight w:val="0"/>
      <w:marTop w:val="0"/>
      <w:marBottom w:val="0"/>
      <w:divBdr>
        <w:top w:val="none" w:sz="0" w:space="0" w:color="auto"/>
        <w:left w:val="none" w:sz="0" w:space="0" w:color="auto"/>
        <w:bottom w:val="none" w:sz="0" w:space="0" w:color="auto"/>
        <w:right w:val="none" w:sz="0" w:space="0" w:color="auto"/>
      </w:divBdr>
    </w:div>
    <w:div w:id="2006860437">
      <w:bodyDiv w:val="1"/>
      <w:marLeft w:val="0"/>
      <w:marRight w:val="0"/>
      <w:marTop w:val="0"/>
      <w:marBottom w:val="0"/>
      <w:divBdr>
        <w:top w:val="none" w:sz="0" w:space="0" w:color="auto"/>
        <w:left w:val="none" w:sz="0" w:space="0" w:color="auto"/>
        <w:bottom w:val="none" w:sz="0" w:space="0" w:color="auto"/>
        <w:right w:val="none" w:sz="0" w:space="0" w:color="auto"/>
      </w:divBdr>
    </w:div>
    <w:div w:id="2007246527">
      <w:bodyDiv w:val="1"/>
      <w:marLeft w:val="0"/>
      <w:marRight w:val="0"/>
      <w:marTop w:val="0"/>
      <w:marBottom w:val="0"/>
      <w:divBdr>
        <w:top w:val="none" w:sz="0" w:space="0" w:color="auto"/>
        <w:left w:val="none" w:sz="0" w:space="0" w:color="auto"/>
        <w:bottom w:val="none" w:sz="0" w:space="0" w:color="auto"/>
        <w:right w:val="none" w:sz="0" w:space="0" w:color="auto"/>
      </w:divBdr>
    </w:div>
    <w:div w:id="2007436499">
      <w:bodyDiv w:val="1"/>
      <w:marLeft w:val="0"/>
      <w:marRight w:val="0"/>
      <w:marTop w:val="0"/>
      <w:marBottom w:val="0"/>
      <w:divBdr>
        <w:top w:val="none" w:sz="0" w:space="0" w:color="auto"/>
        <w:left w:val="none" w:sz="0" w:space="0" w:color="auto"/>
        <w:bottom w:val="none" w:sz="0" w:space="0" w:color="auto"/>
        <w:right w:val="none" w:sz="0" w:space="0" w:color="auto"/>
      </w:divBdr>
    </w:div>
    <w:div w:id="2007631535">
      <w:bodyDiv w:val="1"/>
      <w:marLeft w:val="0"/>
      <w:marRight w:val="0"/>
      <w:marTop w:val="0"/>
      <w:marBottom w:val="0"/>
      <w:divBdr>
        <w:top w:val="none" w:sz="0" w:space="0" w:color="auto"/>
        <w:left w:val="none" w:sz="0" w:space="0" w:color="auto"/>
        <w:bottom w:val="none" w:sz="0" w:space="0" w:color="auto"/>
        <w:right w:val="none" w:sz="0" w:space="0" w:color="auto"/>
      </w:divBdr>
    </w:div>
    <w:div w:id="2008091695">
      <w:bodyDiv w:val="1"/>
      <w:marLeft w:val="0"/>
      <w:marRight w:val="0"/>
      <w:marTop w:val="0"/>
      <w:marBottom w:val="0"/>
      <w:divBdr>
        <w:top w:val="none" w:sz="0" w:space="0" w:color="auto"/>
        <w:left w:val="none" w:sz="0" w:space="0" w:color="auto"/>
        <w:bottom w:val="none" w:sz="0" w:space="0" w:color="auto"/>
        <w:right w:val="none" w:sz="0" w:space="0" w:color="auto"/>
      </w:divBdr>
    </w:div>
    <w:div w:id="2009015876">
      <w:bodyDiv w:val="1"/>
      <w:marLeft w:val="0"/>
      <w:marRight w:val="0"/>
      <w:marTop w:val="0"/>
      <w:marBottom w:val="0"/>
      <w:divBdr>
        <w:top w:val="none" w:sz="0" w:space="0" w:color="auto"/>
        <w:left w:val="none" w:sz="0" w:space="0" w:color="auto"/>
        <w:bottom w:val="none" w:sz="0" w:space="0" w:color="auto"/>
        <w:right w:val="none" w:sz="0" w:space="0" w:color="auto"/>
      </w:divBdr>
    </w:div>
    <w:div w:id="2009019840">
      <w:bodyDiv w:val="1"/>
      <w:marLeft w:val="0"/>
      <w:marRight w:val="0"/>
      <w:marTop w:val="0"/>
      <w:marBottom w:val="0"/>
      <w:divBdr>
        <w:top w:val="none" w:sz="0" w:space="0" w:color="auto"/>
        <w:left w:val="none" w:sz="0" w:space="0" w:color="auto"/>
        <w:bottom w:val="none" w:sz="0" w:space="0" w:color="auto"/>
        <w:right w:val="none" w:sz="0" w:space="0" w:color="auto"/>
      </w:divBdr>
    </w:div>
    <w:div w:id="2009403412">
      <w:bodyDiv w:val="1"/>
      <w:marLeft w:val="0"/>
      <w:marRight w:val="0"/>
      <w:marTop w:val="0"/>
      <w:marBottom w:val="0"/>
      <w:divBdr>
        <w:top w:val="none" w:sz="0" w:space="0" w:color="auto"/>
        <w:left w:val="none" w:sz="0" w:space="0" w:color="auto"/>
        <w:bottom w:val="none" w:sz="0" w:space="0" w:color="auto"/>
        <w:right w:val="none" w:sz="0" w:space="0" w:color="auto"/>
      </w:divBdr>
    </w:div>
    <w:div w:id="2009671933">
      <w:bodyDiv w:val="1"/>
      <w:marLeft w:val="0"/>
      <w:marRight w:val="0"/>
      <w:marTop w:val="0"/>
      <w:marBottom w:val="0"/>
      <w:divBdr>
        <w:top w:val="none" w:sz="0" w:space="0" w:color="auto"/>
        <w:left w:val="none" w:sz="0" w:space="0" w:color="auto"/>
        <w:bottom w:val="none" w:sz="0" w:space="0" w:color="auto"/>
        <w:right w:val="none" w:sz="0" w:space="0" w:color="auto"/>
      </w:divBdr>
    </w:div>
    <w:div w:id="2009744911">
      <w:bodyDiv w:val="1"/>
      <w:marLeft w:val="0"/>
      <w:marRight w:val="0"/>
      <w:marTop w:val="0"/>
      <w:marBottom w:val="0"/>
      <w:divBdr>
        <w:top w:val="none" w:sz="0" w:space="0" w:color="auto"/>
        <w:left w:val="none" w:sz="0" w:space="0" w:color="auto"/>
        <w:bottom w:val="none" w:sz="0" w:space="0" w:color="auto"/>
        <w:right w:val="none" w:sz="0" w:space="0" w:color="auto"/>
      </w:divBdr>
    </w:div>
    <w:div w:id="2009794726">
      <w:bodyDiv w:val="1"/>
      <w:marLeft w:val="0"/>
      <w:marRight w:val="0"/>
      <w:marTop w:val="0"/>
      <w:marBottom w:val="0"/>
      <w:divBdr>
        <w:top w:val="none" w:sz="0" w:space="0" w:color="auto"/>
        <w:left w:val="none" w:sz="0" w:space="0" w:color="auto"/>
        <w:bottom w:val="none" w:sz="0" w:space="0" w:color="auto"/>
        <w:right w:val="none" w:sz="0" w:space="0" w:color="auto"/>
      </w:divBdr>
    </w:div>
    <w:div w:id="2009862662">
      <w:bodyDiv w:val="1"/>
      <w:marLeft w:val="0"/>
      <w:marRight w:val="0"/>
      <w:marTop w:val="0"/>
      <w:marBottom w:val="0"/>
      <w:divBdr>
        <w:top w:val="none" w:sz="0" w:space="0" w:color="auto"/>
        <w:left w:val="none" w:sz="0" w:space="0" w:color="auto"/>
        <w:bottom w:val="none" w:sz="0" w:space="0" w:color="auto"/>
        <w:right w:val="none" w:sz="0" w:space="0" w:color="auto"/>
      </w:divBdr>
    </w:div>
    <w:div w:id="2010057183">
      <w:bodyDiv w:val="1"/>
      <w:marLeft w:val="0"/>
      <w:marRight w:val="0"/>
      <w:marTop w:val="0"/>
      <w:marBottom w:val="0"/>
      <w:divBdr>
        <w:top w:val="none" w:sz="0" w:space="0" w:color="auto"/>
        <w:left w:val="none" w:sz="0" w:space="0" w:color="auto"/>
        <w:bottom w:val="none" w:sz="0" w:space="0" w:color="auto"/>
        <w:right w:val="none" w:sz="0" w:space="0" w:color="auto"/>
      </w:divBdr>
    </w:div>
    <w:div w:id="2010135554">
      <w:bodyDiv w:val="1"/>
      <w:marLeft w:val="0"/>
      <w:marRight w:val="0"/>
      <w:marTop w:val="0"/>
      <w:marBottom w:val="0"/>
      <w:divBdr>
        <w:top w:val="none" w:sz="0" w:space="0" w:color="auto"/>
        <w:left w:val="none" w:sz="0" w:space="0" w:color="auto"/>
        <w:bottom w:val="none" w:sz="0" w:space="0" w:color="auto"/>
        <w:right w:val="none" w:sz="0" w:space="0" w:color="auto"/>
      </w:divBdr>
    </w:div>
    <w:div w:id="2010138793">
      <w:bodyDiv w:val="1"/>
      <w:marLeft w:val="0"/>
      <w:marRight w:val="0"/>
      <w:marTop w:val="0"/>
      <w:marBottom w:val="0"/>
      <w:divBdr>
        <w:top w:val="none" w:sz="0" w:space="0" w:color="auto"/>
        <w:left w:val="none" w:sz="0" w:space="0" w:color="auto"/>
        <w:bottom w:val="none" w:sz="0" w:space="0" w:color="auto"/>
        <w:right w:val="none" w:sz="0" w:space="0" w:color="auto"/>
      </w:divBdr>
    </w:div>
    <w:div w:id="2011253708">
      <w:bodyDiv w:val="1"/>
      <w:marLeft w:val="0"/>
      <w:marRight w:val="0"/>
      <w:marTop w:val="0"/>
      <w:marBottom w:val="0"/>
      <w:divBdr>
        <w:top w:val="none" w:sz="0" w:space="0" w:color="auto"/>
        <w:left w:val="none" w:sz="0" w:space="0" w:color="auto"/>
        <w:bottom w:val="none" w:sz="0" w:space="0" w:color="auto"/>
        <w:right w:val="none" w:sz="0" w:space="0" w:color="auto"/>
      </w:divBdr>
    </w:div>
    <w:div w:id="2011323476">
      <w:bodyDiv w:val="1"/>
      <w:marLeft w:val="0"/>
      <w:marRight w:val="0"/>
      <w:marTop w:val="0"/>
      <w:marBottom w:val="0"/>
      <w:divBdr>
        <w:top w:val="none" w:sz="0" w:space="0" w:color="auto"/>
        <w:left w:val="none" w:sz="0" w:space="0" w:color="auto"/>
        <w:bottom w:val="none" w:sz="0" w:space="0" w:color="auto"/>
        <w:right w:val="none" w:sz="0" w:space="0" w:color="auto"/>
      </w:divBdr>
    </w:div>
    <w:div w:id="2011716075">
      <w:bodyDiv w:val="1"/>
      <w:marLeft w:val="0"/>
      <w:marRight w:val="0"/>
      <w:marTop w:val="0"/>
      <w:marBottom w:val="0"/>
      <w:divBdr>
        <w:top w:val="none" w:sz="0" w:space="0" w:color="auto"/>
        <w:left w:val="none" w:sz="0" w:space="0" w:color="auto"/>
        <w:bottom w:val="none" w:sz="0" w:space="0" w:color="auto"/>
        <w:right w:val="none" w:sz="0" w:space="0" w:color="auto"/>
      </w:divBdr>
    </w:div>
    <w:div w:id="2011835034">
      <w:bodyDiv w:val="1"/>
      <w:marLeft w:val="0"/>
      <w:marRight w:val="0"/>
      <w:marTop w:val="0"/>
      <w:marBottom w:val="0"/>
      <w:divBdr>
        <w:top w:val="none" w:sz="0" w:space="0" w:color="auto"/>
        <w:left w:val="none" w:sz="0" w:space="0" w:color="auto"/>
        <w:bottom w:val="none" w:sz="0" w:space="0" w:color="auto"/>
        <w:right w:val="none" w:sz="0" w:space="0" w:color="auto"/>
      </w:divBdr>
    </w:div>
    <w:div w:id="2012178743">
      <w:bodyDiv w:val="1"/>
      <w:marLeft w:val="0"/>
      <w:marRight w:val="0"/>
      <w:marTop w:val="0"/>
      <w:marBottom w:val="0"/>
      <w:divBdr>
        <w:top w:val="none" w:sz="0" w:space="0" w:color="auto"/>
        <w:left w:val="none" w:sz="0" w:space="0" w:color="auto"/>
        <w:bottom w:val="none" w:sz="0" w:space="0" w:color="auto"/>
        <w:right w:val="none" w:sz="0" w:space="0" w:color="auto"/>
      </w:divBdr>
    </w:div>
    <w:div w:id="2013022830">
      <w:bodyDiv w:val="1"/>
      <w:marLeft w:val="0"/>
      <w:marRight w:val="0"/>
      <w:marTop w:val="0"/>
      <w:marBottom w:val="0"/>
      <w:divBdr>
        <w:top w:val="none" w:sz="0" w:space="0" w:color="auto"/>
        <w:left w:val="none" w:sz="0" w:space="0" w:color="auto"/>
        <w:bottom w:val="none" w:sz="0" w:space="0" w:color="auto"/>
        <w:right w:val="none" w:sz="0" w:space="0" w:color="auto"/>
      </w:divBdr>
    </w:div>
    <w:div w:id="2013023103">
      <w:bodyDiv w:val="1"/>
      <w:marLeft w:val="0"/>
      <w:marRight w:val="0"/>
      <w:marTop w:val="0"/>
      <w:marBottom w:val="0"/>
      <w:divBdr>
        <w:top w:val="none" w:sz="0" w:space="0" w:color="auto"/>
        <w:left w:val="none" w:sz="0" w:space="0" w:color="auto"/>
        <w:bottom w:val="none" w:sz="0" w:space="0" w:color="auto"/>
        <w:right w:val="none" w:sz="0" w:space="0" w:color="auto"/>
      </w:divBdr>
    </w:div>
    <w:div w:id="2013408886">
      <w:bodyDiv w:val="1"/>
      <w:marLeft w:val="0"/>
      <w:marRight w:val="0"/>
      <w:marTop w:val="0"/>
      <w:marBottom w:val="0"/>
      <w:divBdr>
        <w:top w:val="none" w:sz="0" w:space="0" w:color="auto"/>
        <w:left w:val="none" w:sz="0" w:space="0" w:color="auto"/>
        <w:bottom w:val="none" w:sz="0" w:space="0" w:color="auto"/>
        <w:right w:val="none" w:sz="0" w:space="0" w:color="auto"/>
      </w:divBdr>
    </w:div>
    <w:div w:id="2013606017">
      <w:bodyDiv w:val="1"/>
      <w:marLeft w:val="0"/>
      <w:marRight w:val="0"/>
      <w:marTop w:val="0"/>
      <w:marBottom w:val="0"/>
      <w:divBdr>
        <w:top w:val="none" w:sz="0" w:space="0" w:color="auto"/>
        <w:left w:val="none" w:sz="0" w:space="0" w:color="auto"/>
        <w:bottom w:val="none" w:sz="0" w:space="0" w:color="auto"/>
        <w:right w:val="none" w:sz="0" w:space="0" w:color="auto"/>
      </w:divBdr>
    </w:div>
    <w:div w:id="2013681884">
      <w:bodyDiv w:val="1"/>
      <w:marLeft w:val="0"/>
      <w:marRight w:val="0"/>
      <w:marTop w:val="0"/>
      <w:marBottom w:val="0"/>
      <w:divBdr>
        <w:top w:val="none" w:sz="0" w:space="0" w:color="auto"/>
        <w:left w:val="none" w:sz="0" w:space="0" w:color="auto"/>
        <w:bottom w:val="none" w:sz="0" w:space="0" w:color="auto"/>
        <w:right w:val="none" w:sz="0" w:space="0" w:color="auto"/>
      </w:divBdr>
    </w:div>
    <w:div w:id="2014336354">
      <w:bodyDiv w:val="1"/>
      <w:marLeft w:val="0"/>
      <w:marRight w:val="0"/>
      <w:marTop w:val="0"/>
      <w:marBottom w:val="0"/>
      <w:divBdr>
        <w:top w:val="none" w:sz="0" w:space="0" w:color="auto"/>
        <w:left w:val="none" w:sz="0" w:space="0" w:color="auto"/>
        <w:bottom w:val="none" w:sz="0" w:space="0" w:color="auto"/>
        <w:right w:val="none" w:sz="0" w:space="0" w:color="auto"/>
      </w:divBdr>
    </w:div>
    <w:div w:id="2014915541">
      <w:bodyDiv w:val="1"/>
      <w:marLeft w:val="0"/>
      <w:marRight w:val="0"/>
      <w:marTop w:val="0"/>
      <w:marBottom w:val="0"/>
      <w:divBdr>
        <w:top w:val="none" w:sz="0" w:space="0" w:color="auto"/>
        <w:left w:val="none" w:sz="0" w:space="0" w:color="auto"/>
        <w:bottom w:val="none" w:sz="0" w:space="0" w:color="auto"/>
        <w:right w:val="none" w:sz="0" w:space="0" w:color="auto"/>
      </w:divBdr>
    </w:div>
    <w:div w:id="2014918036">
      <w:bodyDiv w:val="1"/>
      <w:marLeft w:val="0"/>
      <w:marRight w:val="0"/>
      <w:marTop w:val="0"/>
      <w:marBottom w:val="0"/>
      <w:divBdr>
        <w:top w:val="none" w:sz="0" w:space="0" w:color="auto"/>
        <w:left w:val="none" w:sz="0" w:space="0" w:color="auto"/>
        <w:bottom w:val="none" w:sz="0" w:space="0" w:color="auto"/>
        <w:right w:val="none" w:sz="0" w:space="0" w:color="auto"/>
      </w:divBdr>
    </w:div>
    <w:div w:id="2015104501">
      <w:bodyDiv w:val="1"/>
      <w:marLeft w:val="0"/>
      <w:marRight w:val="0"/>
      <w:marTop w:val="0"/>
      <w:marBottom w:val="0"/>
      <w:divBdr>
        <w:top w:val="none" w:sz="0" w:space="0" w:color="auto"/>
        <w:left w:val="none" w:sz="0" w:space="0" w:color="auto"/>
        <w:bottom w:val="none" w:sz="0" w:space="0" w:color="auto"/>
        <w:right w:val="none" w:sz="0" w:space="0" w:color="auto"/>
      </w:divBdr>
    </w:div>
    <w:div w:id="2015373701">
      <w:bodyDiv w:val="1"/>
      <w:marLeft w:val="0"/>
      <w:marRight w:val="0"/>
      <w:marTop w:val="0"/>
      <w:marBottom w:val="0"/>
      <w:divBdr>
        <w:top w:val="none" w:sz="0" w:space="0" w:color="auto"/>
        <w:left w:val="none" w:sz="0" w:space="0" w:color="auto"/>
        <w:bottom w:val="none" w:sz="0" w:space="0" w:color="auto"/>
        <w:right w:val="none" w:sz="0" w:space="0" w:color="auto"/>
      </w:divBdr>
    </w:div>
    <w:div w:id="2015457013">
      <w:bodyDiv w:val="1"/>
      <w:marLeft w:val="0"/>
      <w:marRight w:val="0"/>
      <w:marTop w:val="0"/>
      <w:marBottom w:val="0"/>
      <w:divBdr>
        <w:top w:val="none" w:sz="0" w:space="0" w:color="auto"/>
        <w:left w:val="none" w:sz="0" w:space="0" w:color="auto"/>
        <w:bottom w:val="none" w:sz="0" w:space="0" w:color="auto"/>
        <w:right w:val="none" w:sz="0" w:space="0" w:color="auto"/>
      </w:divBdr>
    </w:div>
    <w:div w:id="2016297664">
      <w:bodyDiv w:val="1"/>
      <w:marLeft w:val="0"/>
      <w:marRight w:val="0"/>
      <w:marTop w:val="0"/>
      <w:marBottom w:val="0"/>
      <w:divBdr>
        <w:top w:val="none" w:sz="0" w:space="0" w:color="auto"/>
        <w:left w:val="none" w:sz="0" w:space="0" w:color="auto"/>
        <w:bottom w:val="none" w:sz="0" w:space="0" w:color="auto"/>
        <w:right w:val="none" w:sz="0" w:space="0" w:color="auto"/>
      </w:divBdr>
    </w:div>
    <w:div w:id="2016301583">
      <w:bodyDiv w:val="1"/>
      <w:marLeft w:val="0"/>
      <w:marRight w:val="0"/>
      <w:marTop w:val="0"/>
      <w:marBottom w:val="0"/>
      <w:divBdr>
        <w:top w:val="none" w:sz="0" w:space="0" w:color="auto"/>
        <w:left w:val="none" w:sz="0" w:space="0" w:color="auto"/>
        <w:bottom w:val="none" w:sz="0" w:space="0" w:color="auto"/>
        <w:right w:val="none" w:sz="0" w:space="0" w:color="auto"/>
      </w:divBdr>
    </w:div>
    <w:div w:id="2016614683">
      <w:bodyDiv w:val="1"/>
      <w:marLeft w:val="0"/>
      <w:marRight w:val="0"/>
      <w:marTop w:val="0"/>
      <w:marBottom w:val="0"/>
      <w:divBdr>
        <w:top w:val="none" w:sz="0" w:space="0" w:color="auto"/>
        <w:left w:val="none" w:sz="0" w:space="0" w:color="auto"/>
        <w:bottom w:val="none" w:sz="0" w:space="0" w:color="auto"/>
        <w:right w:val="none" w:sz="0" w:space="0" w:color="auto"/>
      </w:divBdr>
    </w:div>
    <w:div w:id="2016955312">
      <w:bodyDiv w:val="1"/>
      <w:marLeft w:val="0"/>
      <w:marRight w:val="0"/>
      <w:marTop w:val="0"/>
      <w:marBottom w:val="0"/>
      <w:divBdr>
        <w:top w:val="none" w:sz="0" w:space="0" w:color="auto"/>
        <w:left w:val="none" w:sz="0" w:space="0" w:color="auto"/>
        <w:bottom w:val="none" w:sz="0" w:space="0" w:color="auto"/>
        <w:right w:val="none" w:sz="0" w:space="0" w:color="auto"/>
      </w:divBdr>
    </w:div>
    <w:div w:id="2017075867">
      <w:bodyDiv w:val="1"/>
      <w:marLeft w:val="0"/>
      <w:marRight w:val="0"/>
      <w:marTop w:val="0"/>
      <w:marBottom w:val="0"/>
      <w:divBdr>
        <w:top w:val="none" w:sz="0" w:space="0" w:color="auto"/>
        <w:left w:val="none" w:sz="0" w:space="0" w:color="auto"/>
        <w:bottom w:val="none" w:sz="0" w:space="0" w:color="auto"/>
        <w:right w:val="none" w:sz="0" w:space="0" w:color="auto"/>
      </w:divBdr>
    </w:div>
    <w:div w:id="2017269446">
      <w:bodyDiv w:val="1"/>
      <w:marLeft w:val="0"/>
      <w:marRight w:val="0"/>
      <w:marTop w:val="0"/>
      <w:marBottom w:val="0"/>
      <w:divBdr>
        <w:top w:val="none" w:sz="0" w:space="0" w:color="auto"/>
        <w:left w:val="none" w:sz="0" w:space="0" w:color="auto"/>
        <w:bottom w:val="none" w:sz="0" w:space="0" w:color="auto"/>
        <w:right w:val="none" w:sz="0" w:space="0" w:color="auto"/>
      </w:divBdr>
    </w:div>
    <w:div w:id="2017418712">
      <w:bodyDiv w:val="1"/>
      <w:marLeft w:val="0"/>
      <w:marRight w:val="0"/>
      <w:marTop w:val="0"/>
      <w:marBottom w:val="0"/>
      <w:divBdr>
        <w:top w:val="none" w:sz="0" w:space="0" w:color="auto"/>
        <w:left w:val="none" w:sz="0" w:space="0" w:color="auto"/>
        <w:bottom w:val="none" w:sz="0" w:space="0" w:color="auto"/>
        <w:right w:val="none" w:sz="0" w:space="0" w:color="auto"/>
      </w:divBdr>
    </w:div>
    <w:div w:id="2017534643">
      <w:bodyDiv w:val="1"/>
      <w:marLeft w:val="0"/>
      <w:marRight w:val="0"/>
      <w:marTop w:val="0"/>
      <w:marBottom w:val="0"/>
      <w:divBdr>
        <w:top w:val="none" w:sz="0" w:space="0" w:color="auto"/>
        <w:left w:val="none" w:sz="0" w:space="0" w:color="auto"/>
        <w:bottom w:val="none" w:sz="0" w:space="0" w:color="auto"/>
        <w:right w:val="none" w:sz="0" w:space="0" w:color="auto"/>
      </w:divBdr>
    </w:div>
    <w:div w:id="2017611996">
      <w:bodyDiv w:val="1"/>
      <w:marLeft w:val="0"/>
      <w:marRight w:val="0"/>
      <w:marTop w:val="0"/>
      <w:marBottom w:val="0"/>
      <w:divBdr>
        <w:top w:val="none" w:sz="0" w:space="0" w:color="auto"/>
        <w:left w:val="none" w:sz="0" w:space="0" w:color="auto"/>
        <w:bottom w:val="none" w:sz="0" w:space="0" w:color="auto"/>
        <w:right w:val="none" w:sz="0" w:space="0" w:color="auto"/>
      </w:divBdr>
    </w:div>
    <w:div w:id="2017656886">
      <w:bodyDiv w:val="1"/>
      <w:marLeft w:val="0"/>
      <w:marRight w:val="0"/>
      <w:marTop w:val="0"/>
      <w:marBottom w:val="0"/>
      <w:divBdr>
        <w:top w:val="none" w:sz="0" w:space="0" w:color="auto"/>
        <w:left w:val="none" w:sz="0" w:space="0" w:color="auto"/>
        <w:bottom w:val="none" w:sz="0" w:space="0" w:color="auto"/>
        <w:right w:val="none" w:sz="0" w:space="0" w:color="auto"/>
      </w:divBdr>
    </w:div>
    <w:div w:id="2017686027">
      <w:bodyDiv w:val="1"/>
      <w:marLeft w:val="0"/>
      <w:marRight w:val="0"/>
      <w:marTop w:val="0"/>
      <w:marBottom w:val="0"/>
      <w:divBdr>
        <w:top w:val="none" w:sz="0" w:space="0" w:color="auto"/>
        <w:left w:val="none" w:sz="0" w:space="0" w:color="auto"/>
        <w:bottom w:val="none" w:sz="0" w:space="0" w:color="auto"/>
        <w:right w:val="none" w:sz="0" w:space="0" w:color="auto"/>
      </w:divBdr>
    </w:div>
    <w:div w:id="2017805145">
      <w:bodyDiv w:val="1"/>
      <w:marLeft w:val="0"/>
      <w:marRight w:val="0"/>
      <w:marTop w:val="0"/>
      <w:marBottom w:val="0"/>
      <w:divBdr>
        <w:top w:val="none" w:sz="0" w:space="0" w:color="auto"/>
        <w:left w:val="none" w:sz="0" w:space="0" w:color="auto"/>
        <w:bottom w:val="none" w:sz="0" w:space="0" w:color="auto"/>
        <w:right w:val="none" w:sz="0" w:space="0" w:color="auto"/>
      </w:divBdr>
    </w:div>
    <w:div w:id="2017881818">
      <w:bodyDiv w:val="1"/>
      <w:marLeft w:val="0"/>
      <w:marRight w:val="0"/>
      <w:marTop w:val="0"/>
      <w:marBottom w:val="0"/>
      <w:divBdr>
        <w:top w:val="none" w:sz="0" w:space="0" w:color="auto"/>
        <w:left w:val="none" w:sz="0" w:space="0" w:color="auto"/>
        <w:bottom w:val="none" w:sz="0" w:space="0" w:color="auto"/>
        <w:right w:val="none" w:sz="0" w:space="0" w:color="auto"/>
      </w:divBdr>
    </w:div>
    <w:div w:id="2017882980">
      <w:bodyDiv w:val="1"/>
      <w:marLeft w:val="0"/>
      <w:marRight w:val="0"/>
      <w:marTop w:val="0"/>
      <w:marBottom w:val="0"/>
      <w:divBdr>
        <w:top w:val="none" w:sz="0" w:space="0" w:color="auto"/>
        <w:left w:val="none" w:sz="0" w:space="0" w:color="auto"/>
        <w:bottom w:val="none" w:sz="0" w:space="0" w:color="auto"/>
        <w:right w:val="none" w:sz="0" w:space="0" w:color="auto"/>
      </w:divBdr>
    </w:div>
    <w:div w:id="2018579108">
      <w:bodyDiv w:val="1"/>
      <w:marLeft w:val="0"/>
      <w:marRight w:val="0"/>
      <w:marTop w:val="0"/>
      <w:marBottom w:val="0"/>
      <w:divBdr>
        <w:top w:val="none" w:sz="0" w:space="0" w:color="auto"/>
        <w:left w:val="none" w:sz="0" w:space="0" w:color="auto"/>
        <w:bottom w:val="none" w:sz="0" w:space="0" w:color="auto"/>
        <w:right w:val="none" w:sz="0" w:space="0" w:color="auto"/>
      </w:divBdr>
    </w:div>
    <w:div w:id="2019574840">
      <w:bodyDiv w:val="1"/>
      <w:marLeft w:val="0"/>
      <w:marRight w:val="0"/>
      <w:marTop w:val="0"/>
      <w:marBottom w:val="0"/>
      <w:divBdr>
        <w:top w:val="none" w:sz="0" w:space="0" w:color="auto"/>
        <w:left w:val="none" w:sz="0" w:space="0" w:color="auto"/>
        <w:bottom w:val="none" w:sz="0" w:space="0" w:color="auto"/>
        <w:right w:val="none" w:sz="0" w:space="0" w:color="auto"/>
      </w:divBdr>
    </w:div>
    <w:div w:id="2019581453">
      <w:bodyDiv w:val="1"/>
      <w:marLeft w:val="0"/>
      <w:marRight w:val="0"/>
      <w:marTop w:val="0"/>
      <w:marBottom w:val="0"/>
      <w:divBdr>
        <w:top w:val="none" w:sz="0" w:space="0" w:color="auto"/>
        <w:left w:val="none" w:sz="0" w:space="0" w:color="auto"/>
        <w:bottom w:val="none" w:sz="0" w:space="0" w:color="auto"/>
        <w:right w:val="none" w:sz="0" w:space="0" w:color="auto"/>
      </w:divBdr>
    </w:div>
    <w:div w:id="2019694757">
      <w:bodyDiv w:val="1"/>
      <w:marLeft w:val="0"/>
      <w:marRight w:val="0"/>
      <w:marTop w:val="0"/>
      <w:marBottom w:val="0"/>
      <w:divBdr>
        <w:top w:val="none" w:sz="0" w:space="0" w:color="auto"/>
        <w:left w:val="none" w:sz="0" w:space="0" w:color="auto"/>
        <w:bottom w:val="none" w:sz="0" w:space="0" w:color="auto"/>
        <w:right w:val="none" w:sz="0" w:space="0" w:color="auto"/>
      </w:divBdr>
    </w:div>
    <w:div w:id="2019965556">
      <w:bodyDiv w:val="1"/>
      <w:marLeft w:val="0"/>
      <w:marRight w:val="0"/>
      <w:marTop w:val="0"/>
      <w:marBottom w:val="0"/>
      <w:divBdr>
        <w:top w:val="none" w:sz="0" w:space="0" w:color="auto"/>
        <w:left w:val="none" w:sz="0" w:space="0" w:color="auto"/>
        <w:bottom w:val="none" w:sz="0" w:space="0" w:color="auto"/>
        <w:right w:val="none" w:sz="0" w:space="0" w:color="auto"/>
      </w:divBdr>
    </w:div>
    <w:div w:id="2020083935">
      <w:bodyDiv w:val="1"/>
      <w:marLeft w:val="0"/>
      <w:marRight w:val="0"/>
      <w:marTop w:val="0"/>
      <w:marBottom w:val="0"/>
      <w:divBdr>
        <w:top w:val="none" w:sz="0" w:space="0" w:color="auto"/>
        <w:left w:val="none" w:sz="0" w:space="0" w:color="auto"/>
        <w:bottom w:val="none" w:sz="0" w:space="0" w:color="auto"/>
        <w:right w:val="none" w:sz="0" w:space="0" w:color="auto"/>
      </w:divBdr>
    </w:div>
    <w:div w:id="2020236723">
      <w:bodyDiv w:val="1"/>
      <w:marLeft w:val="0"/>
      <w:marRight w:val="0"/>
      <w:marTop w:val="0"/>
      <w:marBottom w:val="0"/>
      <w:divBdr>
        <w:top w:val="none" w:sz="0" w:space="0" w:color="auto"/>
        <w:left w:val="none" w:sz="0" w:space="0" w:color="auto"/>
        <w:bottom w:val="none" w:sz="0" w:space="0" w:color="auto"/>
        <w:right w:val="none" w:sz="0" w:space="0" w:color="auto"/>
      </w:divBdr>
    </w:div>
    <w:div w:id="2020765098">
      <w:bodyDiv w:val="1"/>
      <w:marLeft w:val="0"/>
      <w:marRight w:val="0"/>
      <w:marTop w:val="0"/>
      <w:marBottom w:val="0"/>
      <w:divBdr>
        <w:top w:val="none" w:sz="0" w:space="0" w:color="auto"/>
        <w:left w:val="none" w:sz="0" w:space="0" w:color="auto"/>
        <w:bottom w:val="none" w:sz="0" w:space="0" w:color="auto"/>
        <w:right w:val="none" w:sz="0" w:space="0" w:color="auto"/>
      </w:divBdr>
    </w:div>
    <w:div w:id="2021009321">
      <w:bodyDiv w:val="1"/>
      <w:marLeft w:val="0"/>
      <w:marRight w:val="0"/>
      <w:marTop w:val="0"/>
      <w:marBottom w:val="0"/>
      <w:divBdr>
        <w:top w:val="none" w:sz="0" w:space="0" w:color="auto"/>
        <w:left w:val="none" w:sz="0" w:space="0" w:color="auto"/>
        <w:bottom w:val="none" w:sz="0" w:space="0" w:color="auto"/>
        <w:right w:val="none" w:sz="0" w:space="0" w:color="auto"/>
      </w:divBdr>
    </w:div>
    <w:div w:id="2021274351">
      <w:bodyDiv w:val="1"/>
      <w:marLeft w:val="0"/>
      <w:marRight w:val="0"/>
      <w:marTop w:val="0"/>
      <w:marBottom w:val="0"/>
      <w:divBdr>
        <w:top w:val="none" w:sz="0" w:space="0" w:color="auto"/>
        <w:left w:val="none" w:sz="0" w:space="0" w:color="auto"/>
        <w:bottom w:val="none" w:sz="0" w:space="0" w:color="auto"/>
        <w:right w:val="none" w:sz="0" w:space="0" w:color="auto"/>
      </w:divBdr>
    </w:div>
    <w:div w:id="2022048499">
      <w:bodyDiv w:val="1"/>
      <w:marLeft w:val="0"/>
      <w:marRight w:val="0"/>
      <w:marTop w:val="0"/>
      <w:marBottom w:val="0"/>
      <w:divBdr>
        <w:top w:val="none" w:sz="0" w:space="0" w:color="auto"/>
        <w:left w:val="none" w:sz="0" w:space="0" w:color="auto"/>
        <w:bottom w:val="none" w:sz="0" w:space="0" w:color="auto"/>
        <w:right w:val="none" w:sz="0" w:space="0" w:color="auto"/>
      </w:divBdr>
    </w:div>
    <w:div w:id="2022506560">
      <w:bodyDiv w:val="1"/>
      <w:marLeft w:val="0"/>
      <w:marRight w:val="0"/>
      <w:marTop w:val="0"/>
      <w:marBottom w:val="0"/>
      <w:divBdr>
        <w:top w:val="none" w:sz="0" w:space="0" w:color="auto"/>
        <w:left w:val="none" w:sz="0" w:space="0" w:color="auto"/>
        <w:bottom w:val="none" w:sz="0" w:space="0" w:color="auto"/>
        <w:right w:val="none" w:sz="0" w:space="0" w:color="auto"/>
      </w:divBdr>
    </w:div>
    <w:div w:id="2022512546">
      <w:bodyDiv w:val="1"/>
      <w:marLeft w:val="0"/>
      <w:marRight w:val="0"/>
      <w:marTop w:val="0"/>
      <w:marBottom w:val="0"/>
      <w:divBdr>
        <w:top w:val="none" w:sz="0" w:space="0" w:color="auto"/>
        <w:left w:val="none" w:sz="0" w:space="0" w:color="auto"/>
        <w:bottom w:val="none" w:sz="0" w:space="0" w:color="auto"/>
        <w:right w:val="none" w:sz="0" w:space="0" w:color="auto"/>
      </w:divBdr>
    </w:div>
    <w:div w:id="2022656255">
      <w:bodyDiv w:val="1"/>
      <w:marLeft w:val="0"/>
      <w:marRight w:val="0"/>
      <w:marTop w:val="0"/>
      <w:marBottom w:val="0"/>
      <w:divBdr>
        <w:top w:val="none" w:sz="0" w:space="0" w:color="auto"/>
        <w:left w:val="none" w:sz="0" w:space="0" w:color="auto"/>
        <w:bottom w:val="none" w:sz="0" w:space="0" w:color="auto"/>
        <w:right w:val="none" w:sz="0" w:space="0" w:color="auto"/>
      </w:divBdr>
    </w:div>
    <w:div w:id="2022657445">
      <w:bodyDiv w:val="1"/>
      <w:marLeft w:val="0"/>
      <w:marRight w:val="0"/>
      <w:marTop w:val="0"/>
      <w:marBottom w:val="0"/>
      <w:divBdr>
        <w:top w:val="none" w:sz="0" w:space="0" w:color="auto"/>
        <w:left w:val="none" w:sz="0" w:space="0" w:color="auto"/>
        <w:bottom w:val="none" w:sz="0" w:space="0" w:color="auto"/>
        <w:right w:val="none" w:sz="0" w:space="0" w:color="auto"/>
      </w:divBdr>
    </w:div>
    <w:div w:id="2022661034">
      <w:bodyDiv w:val="1"/>
      <w:marLeft w:val="0"/>
      <w:marRight w:val="0"/>
      <w:marTop w:val="0"/>
      <w:marBottom w:val="0"/>
      <w:divBdr>
        <w:top w:val="none" w:sz="0" w:space="0" w:color="auto"/>
        <w:left w:val="none" w:sz="0" w:space="0" w:color="auto"/>
        <w:bottom w:val="none" w:sz="0" w:space="0" w:color="auto"/>
        <w:right w:val="none" w:sz="0" w:space="0" w:color="auto"/>
      </w:divBdr>
    </w:div>
    <w:div w:id="2022663264">
      <w:bodyDiv w:val="1"/>
      <w:marLeft w:val="0"/>
      <w:marRight w:val="0"/>
      <w:marTop w:val="0"/>
      <w:marBottom w:val="0"/>
      <w:divBdr>
        <w:top w:val="none" w:sz="0" w:space="0" w:color="auto"/>
        <w:left w:val="none" w:sz="0" w:space="0" w:color="auto"/>
        <w:bottom w:val="none" w:sz="0" w:space="0" w:color="auto"/>
        <w:right w:val="none" w:sz="0" w:space="0" w:color="auto"/>
      </w:divBdr>
    </w:div>
    <w:div w:id="2022926189">
      <w:bodyDiv w:val="1"/>
      <w:marLeft w:val="0"/>
      <w:marRight w:val="0"/>
      <w:marTop w:val="0"/>
      <w:marBottom w:val="0"/>
      <w:divBdr>
        <w:top w:val="none" w:sz="0" w:space="0" w:color="auto"/>
        <w:left w:val="none" w:sz="0" w:space="0" w:color="auto"/>
        <w:bottom w:val="none" w:sz="0" w:space="0" w:color="auto"/>
        <w:right w:val="none" w:sz="0" w:space="0" w:color="auto"/>
      </w:divBdr>
    </w:div>
    <w:div w:id="2023048553">
      <w:bodyDiv w:val="1"/>
      <w:marLeft w:val="0"/>
      <w:marRight w:val="0"/>
      <w:marTop w:val="0"/>
      <w:marBottom w:val="0"/>
      <w:divBdr>
        <w:top w:val="none" w:sz="0" w:space="0" w:color="auto"/>
        <w:left w:val="none" w:sz="0" w:space="0" w:color="auto"/>
        <w:bottom w:val="none" w:sz="0" w:space="0" w:color="auto"/>
        <w:right w:val="none" w:sz="0" w:space="0" w:color="auto"/>
      </w:divBdr>
    </w:div>
    <w:div w:id="2023390459">
      <w:bodyDiv w:val="1"/>
      <w:marLeft w:val="0"/>
      <w:marRight w:val="0"/>
      <w:marTop w:val="0"/>
      <w:marBottom w:val="0"/>
      <w:divBdr>
        <w:top w:val="none" w:sz="0" w:space="0" w:color="auto"/>
        <w:left w:val="none" w:sz="0" w:space="0" w:color="auto"/>
        <w:bottom w:val="none" w:sz="0" w:space="0" w:color="auto"/>
        <w:right w:val="none" w:sz="0" w:space="0" w:color="auto"/>
      </w:divBdr>
    </w:div>
    <w:div w:id="2023428570">
      <w:bodyDiv w:val="1"/>
      <w:marLeft w:val="0"/>
      <w:marRight w:val="0"/>
      <w:marTop w:val="0"/>
      <w:marBottom w:val="0"/>
      <w:divBdr>
        <w:top w:val="none" w:sz="0" w:space="0" w:color="auto"/>
        <w:left w:val="none" w:sz="0" w:space="0" w:color="auto"/>
        <w:bottom w:val="none" w:sz="0" w:space="0" w:color="auto"/>
        <w:right w:val="none" w:sz="0" w:space="0" w:color="auto"/>
      </w:divBdr>
    </w:div>
    <w:div w:id="2023580646">
      <w:bodyDiv w:val="1"/>
      <w:marLeft w:val="0"/>
      <w:marRight w:val="0"/>
      <w:marTop w:val="0"/>
      <w:marBottom w:val="0"/>
      <w:divBdr>
        <w:top w:val="none" w:sz="0" w:space="0" w:color="auto"/>
        <w:left w:val="none" w:sz="0" w:space="0" w:color="auto"/>
        <w:bottom w:val="none" w:sz="0" w:space="0" w:color="auto"/>
        <w:right w:val="none" w:sz="0" w:space="0" w:color="auto"/>
      </w:divBdr>
    </w:div>
    <w:div w:id="2023587147">
      <w:bodyDiv w:val="1"/>
      <w:marLeft w:val="0"/>
      <w:marRight w:val="0"/>
      <w:marTop w:val="0"/>
      <w:marBottom w:val="0"/>
      <w:divBdr>
        <w:top w:val="none" w:sz="0" w:space="0" w:color="auto"/>
        <w:left w:val="none" w:sz="0" w:space="0" w:color="auto"/>
        <w:bottom w:val="none" w:sz="0" w:space="0" w:color="auto"/>
        <w:right w:val="none" w:sz="0" w:space="0" w:color="auto"/>
      </w:divBdr>
    </w:div>
    <w:div w:id="2024092579">
      <w:bodyDiv w:val="1"/>
      <w:marLeft w:val="0"/>
      <w:marRight w:val="0"/>
      <w:marTop w:val="0"/>
      <w:marBottom w:val="0"/>
      <w:divBdr>
        <w:top w:val="none" w:sz="0" w:space="0" w:color="auto"/>
        <w:left w:val="none" w:sz="0" w:space="0" w:color="auto"/>
        <w:bottom w:val="none" w:sz="0" w:space="0" w:color="auto"/>
        <w:right w:val="none" w:sz="0" w:space="0" w:color="auto"/>
      </w:divBdr>
    </w:div>
    <w:div w:id="2024894653">
      <w:bodyDiv w:val="1"/>
      <w:marLeft w:val="0"/>
      <w:marRight w:val="0"/>
      <w:marTop w:val="0"/>
      <w:marBottom w:val="0"/>
      <w:divBdr>
        <w:top w:val="none" w:sz="0" w:space="0" w:color="auto"/>
        <w:left w:val="none" w:sz="0" w:space="0" w:color="auto"/>
        <w:bottom w:val="none" w:sz="0" w:space="0" w:color="auto"/>
        <w:right w:val="none" w:sz="0" w:space="0" w:color="auto"/>
      </w:divBdr>
    </w:div>
    <w:div w:id="2025131739">
      <w:bodyDiv w:val="1"/>
      <w:marLeft w:val="0"/>
      <w:marRight w:val="0"/>
      <w:marTop w:val="0"/>
      <w:marBottom w:val="0"/>
      <w:divBdr>
        <w:top w:val="none" w:sz="0" w:space="0" w:color="auto"/>
        <w:left w:val="none" w:sz="0" w:space="0" w:color="auto"/>
        <w:bottom w:val="none" w:sz="0" w:space="0" w:color="auto"/>
        <w:right w:val="none" w:sz="0" w:space="0" w:color="auto"/>
      </w:divBdr>
    </w:div>
    <w:div w:id="2025209491">
      <w:bodyDiv w:val="1"/>
      <w:marLeft w:val="0"/>
      <w:marRight w:val="0"/>
      <w:marTop w:val="0"/>
      <w:marBottom w:val="0"/>
      <w:divBdr>
        <w:top w:val="none" w:sz="0" w:space="0" w:color="auto"/>
        <w:left w:val="none" w:sz="0" w:space="0" w:color="auto"/>
        <w:bottom w:val="none" w:sz="0" w:space="0" w:color="auto"/>
        <w:right w:val="none" w:sz="0" w:space="0" w:color="auto"/>
      </w:divBdr>
    </w:div>
    <w:div w:id="2025285268">
      <w:bodyDiv w:val="1"/>
      <w:marLeft w:val="0"/>
      <w:marRight w:val="0"/>
      <w:marTop w:val="0"/>
      <w:marBottom w:val="0"/>
      <w:divBdr>
        <w:top w:val="none" w:sz="0" w:space="0" w:color="auto"/>
        <w:left w:val="none" w:sz="0" w:space="0" w:color="auto"/>
        <w:bottom w:val="none" w:sz="0" w:space="0" w:color="auto"/>
        <w:right w:val="none" w:sz="0" w:space="0" w:color="auto"/>
      </w:divBdr>
    </w:div>
    <w:div w:id="2025747663">
      <w:bodyDiv w:val="1"/>
      <w:marLeft w:val="0"/>
      <w:marRight w:val="0"/>
      <w:marTop w:val="0"/>
      <w:marBottom w:val="0"/>
      <w:divBdr>
        <w:top w:val="none" w:sz="0" w:space="0" w:color="auto"/>
        <w:left w:val="none" w:sz="0" w:space="0" w:color="auto"/>
        <w:bottom w:val="none" w:sz="0" w:space="0" w:color="auto"/>
        <w:right w:val="none" w:sz="0" w:space="0" w:color="auto"/>
      </w:divBdr>
    </w:div>
    <w:div w:id="2026200464">
      <w:bodyDiv w:val="1"/>
      <w:marLeft w:val="0"/>
      <w:marRight w:val="0"/>
      <w:marTop w:val="0"/>
      <w:marBottom w:val="0"/>
      <w:divBdr>
        <w:top w:val="none" w:sz="0" w:space="0" w:color="auto"/>
        <w:left w:val="none" w:sz="0" w:space="0" w:color="auto"/>
        <w:bottom w:val="none" w:sz="0" w:space="0" w:color="auto"/>
        <w:right w:val="none" w:sz="0" w:space="0" w:color="auto"/>
      </w:divBdr>
    </w:div>
    <w:div w:id="2026323119">
      <w:bodyDiv w:val="1"/>
      <w:marLeft w:val="0"/>
      <w:marRight w:val="0"/>
      <w:marTop w:val="0"/>
      <w:marBottom w:val="0"/>
      <w:divBdr>
        <w:top w:val="none" w:sz="0" w:space="0" w:color="auto"/>
        <w:left w:val="none" w:sz="0" w:space="0" w:color="auto"/>
        <w:bottom w:val="none" w:sz="0" w:space="0" w:color="auto"/>
        <w:right w:val="none" w:sz="0" w:space="0" w:color="auto"/>
      </w:divBdr>
    </w:div>
    <w:div w:id="2026789532">
      <w:bodyDiv w:val="1"/>
      <w:marLeft w:val="0"/>
      <w:marRight w:val="0"/>
      <w:marTop w:val="0"/>
      <w:marBottom w:val="0"/>
      <w:divBdr>
        <w:top w:val="none" w:sz="0" w:space="0" w:color="auto"/>
        <w:left w:val="none" w:sz="0" w:space="0" w:color="auto"/>
        <w:bottom w:val="none" w:sz="0" w:space="0" w:color="auto"/>
        <w:right w:val="none" w:sz="0" w:space="0" w:color="auto"/>
      </w:divBdr>
    </w:div>
    <w:div w:id="2027242236">
      <w:bodyDiv w:val="1"/>
      <w:marLeft w:val="0"/>
      <w:marRight w:val="0"/>
      <w:marTop w:val="0"/>
      <w:marBottom w:val="0"/>
      <w:divBdr>
        <w:top w:val="none" w:sz="0" w:space="0" w:color="auto"/>
        <w:left w:val="none" w:sz="0" w:space="0" w:color="auto"/>
        <w:bottom w:val="none" w:sz="0" w:space="0" w:color="auto"/>
        <w:right w:val="none" w:sz="0" w:space="0" w:color="auto"/>
      </w:divBdr>
    </w:div>
    <w:div w:id="2027562004">
      <w:bodyDiv w:val="1"/>
      <w:marLeft w:val="0"/>
      <w:marRight w:val="0"/>
      <w:marTop w:val="0"/>
      <w:marBottom w:val="0"/>
      <w:divBdr>
        <w:top w:val="none" w:sz="0" w:space="0" w:color="auto"/>
        <w:left w:val="none" w:sz="0" w:space="0" w:color="auto"/>
        <w:bottom w:val="none" w:sz="0" w:space="0" w:color="auto"/>
        <w:right w:val="none" w:sz="0" w:space="0" w:color="auto"/>
      </w:divBdr>
    </w:div>
    <w:div w:id="2027628802">
      <w:bodyDiv w:val="1"/>
      <w:marLeft w:val="0"/>
      <w:marRight w:val="0"/>
      <w:marTop w:val="0"/>
      <w:marBottom w:val="0"/>
      <w:divBdr>
        <w:top w:val="none" w:sz="0" w:space="0" w:color="auto"/>
        <w:left w:val="none" w:sz="0" w:space="0" w:color="auto"/>
        <w:bottom w:val="none" w:sz="0" w:space="0" w:color="auto"/>
        <w:right w:val="none" w:sz="0" w:space="0" w:color="auto"/>
      </w:divBdr>
    </w:div>
    <w:div w:id="2027637703">
      <w:bodyDiv w:val="1"/>
      <w:marLeft w:val="0"/>
      <w:marRight w:val="0"/>
      <w:marTop w:val="0"/>
      <w:marBottom w:val="0"/>
      <w:divBdr>
        <w:top w:val="none" w:sz="0" w:space="0" w:color="auto"/>
        <w:left w:val="none" w:sz="0" w:space="0" w:color="auto"/>
        <w:bottom w:val="none" w:sz="0" w:space="0" w:color="auto"/>
        <w:right w:val="none" w:sz="0" w:space="0" w:color="auto"/>
      </w:divBdr>
    </w:div>
    <w:div w:id="2028365470">
      <w:bodyDiv w:val="1"/>
      <w:marLeft w:val="0"/>
      <w:marRight w:val="0"/>
      <w:marTop w:val="0"/>
      <w:marBottom w:val="0"/>
      <w:divBdr>
        <w:top w:val="none" w:sz="0" w:space="0" w:color="auto"/>
        <w:left w:val="none" w:sz="0" w:space="0" w:color="auto"/>
        <w:bottom w:val="none" w:sz="0" w:space="0" w:color="auto"/>
        <w:right w:val="none" w:sz="0" w:space="0" w:color="auto"/>
      </w:divBdr>
    </w:div>
    <w:div w:id="2028828815">
      <w:bodyDiv w:val="1"/>
      <w:marLeft w:val="0"/>
      <w:marRight w:val="0"/>
      <w:marTop w:val="0"/>
      <w:marBottom w:val="0"/>
      <w:divBdr>
        <w:top w:val="none" w:sz="0" w:space="0" w:color="auto"/>
        <w:left w:val="none" w:sz="0" w:space="0" w:color="auto"/>
        <w:bottom w:val="none" w:sz="0" w:space="0" w:color="auto"/>
        <w:right w:val="none" w:sz="0" w:space="0" w:color="auto"/>
      </w:divBdr>
    </w:div>
    <w:div w:id="2029408241">
      <w:bodyDiv w:val="1"/>
      <w:marLeft w:val="0"/>
      <w:marRight w:val="0"/>
      <w:marTop w:val="0"/>
      <w:marBottom w:val="0"/>
      <w:divBdr>
        <w:top w:val="none" w:sz="0" w:space="0" w:color="auto"/>
        <w:left w:val="none" w:sz="0" w:space="0" w:color="auto"/>
        <w:bottom w:val="none" w:sz="0" w:space="0" w:color="auto"/>
        <w:right w:val="none" w:sz="0" w:space="0" w:color="auto"/>
      </w:divBdr>
    </w:div>
    <w:div w:id="2029484690">
      <w:bodyDiv w:val="1"/>
      <w:marLeft w:val="0"/>
      <w:marRight w:val="0"/>
      <w:marTop w:val="0"/>
      <w:marBottom w:val="0"/>
      <w:divBdr>
        <w:top w:val="none" w:sz="0" w:space="0" w:color="auto"/>
        <w:left w:val="none" w:sz="0" w:space="0" w:color="auto"/>
        <w:bottom w:val="none" w:sz="0" w:space="0" w:color="auto"/>
        <w:right w:val="none" w:sz="0" w:space="0" w:color="auto"/>
      </w:divBdr>
    </w:div>
    <w:div w:id="2031569360">
      <w:bodyDiv w:val="1"/>
      <w:marLeft w:val="0"/>
      <w:marRight w:val="0"/>
      <w:marTop w:val="0"/>
      <w:marBottom w:val="0"/>
      <w:divBdr>
        <w:top w:val="none" w:sz="0" w:space="0" w:color="auto"/>
        <w:left w:val="none" w:sz="0" w:space="0" w:color="auto"/>
        <w:bottom w:val="none" w:sz="0" w:space="0" w:color="auto"/>
        <w:right w:val="none" w:sz="0" w:space="0" w:color="auto"/>
      </w:divBdr>
    </w:div>
    <w:div w:id="2031759259">
      <w:bodyDiv w:val="1"/>
      <w:marLeft w:val="0"/>
      <w:marRight w:val="0"/>
      <w:marTop w:val="0"/>
      <w:marBottom w:val="0"/>
      <w:divBdr>
        <w:top w:val="none" w:sz="0" w:space="0" w:color="auto"/>
        <w:left w:val="none" w:sz="0" w:space="0" w:color="auto"/>
        <w:bottom w:val="none" w:sz="0" w:space="0" w:color="auto"/>
        <w:right w:val="none" w:sz="0" w:space="0" w:color="auto"/>
      </w:divBdr>
    </w:div>
    <w:div w:id="2032414675">
      <w:bodyDiv w:val="1"/>
      <w:marLeft w:val="0"/>
      <w:marRight w:val="0"/>
      <w:marTop w:val="0"/>
      <w:marBottom w:val="0"/>
      <w:divBdr>
        <w:top w:val="none" w:sz="0" w:space="0" w:color="auto"/>
        <w:left w:val="none" w:sz="0" w:space="0" w:color="auto"/>
        <w:bottom w:val="none" w:sz="0" w:space="0" w:color="auto"/>
        <w:right w:val="none" w:sz="0" w:space="0" w:color="auto"/>
      </w:divBdr>
    </w:div>
    <w:div w:id="2032416200">
      <w:bodyDiv w:val="1"/>
      <w:marLeft w:val="0"/>
      <w:marRight w:val="0"/>
      <w:marTop w:val="0"/>
      <w:marBottom w:val="0"/>
      <w:divBdr>
        <w:top w:val="none" w:sz="0" w:space="0" w:color="auto"/>
        <w:left w:val="none" w:sz="0" w:space="0" w:color="auto"/>
        <w:bottom w:val="none" w:sz="0" w:space="0" w:color="auto"/>
        <w:right w:val="none" w:sz="0" w:space="0" w:color="auto"/>
      </w:divBdr>
    </w:div>
    <w:div w:id="2032484303">
      <w:bodyDiv w:val="1"/>
      <w:marLeft w:val="0"/>
      <w:marRight w:val="0"/>
      <w:marTop w:val="0"/>
      <w:marBottom w:val="0"/>
      <w:divBdr>
        <w:top w:val="none" w:sz="0" w:space="0" w:color="auto"/>
        <w:left w:val="none" w:sz="0" w:space="0" w:color="auto"/>
        <w:bottom w:val="none" w:sz="0" w:space="0" w:color="auto"/>
        <w:right w:val="none" w:sz="0" w:space="0" w:color="auto"/>
      </w:divBdr>
    </w:div>
    <w:div w:id="2032535294">
      <w:bodyDiv w:val="1"/>
      <w:marLeft w:val="0"/>
      <w:marRight w:val="0"/>
      <w:marTop w:val="0"/>
      <w:marBottom w:val="0"/>
      <w:divBdr>
        <w:top w:val="none" w:sz="0" w:space="0" w:color="auto"/>
        <w:left w:val="none" w:sz="0" w:space="0" w:color="auto"/>
        <w:bottom w:val="none" w:sz="0" w:space="0" w:color="auto"/>
        <w:right w:val="none" w:sz="0" w:space="0" w:color="auto"/>
      </w:divBdr>
    </w:div>
    <w:div w:id="2032560799">
      <w:bodyDiv w:val="1"/>
      <w:marLeft w:val="0"/>
      <w:marRight w:val="0"/>
      <w:marTop w:val="0"/>
      <w:marBottom w:val="0"/>
      <w:divBdr>
        <w:top w:val="none" w:sz="0" w:space="0" w:color="auto"/>
        <w:left w:val="none" w:sz="0" w:space="0" w:color="auto"/>
        <w:bottom w:val="none" w:sz="0" w:space="0" w:color="auto"/>
        <w:right w:val="none" w:sz="0" w:space="0" w:color="auto"/>
      </w:divBdr>
    </w:div>
    <w:div w:id="2033024695">
      <w:bodyDiv w:val="1"/>
      <w:marLeft w:val="0"/>
      <w:marRight w:val="0"/>
      <w:marTop w:val="0"/>
      <w:marBottom w:val="0"/>
      <w:divBdr>
        <w:top w:val="none" w:sz="0" w:space="0" w:color="auto"/>
        <w:left w:val="none" w:sz="0" w:space="0" w:color="auto"/>
        <w:bottom w:val="none" w:sz="0" w:space="0" w:color="auto"/>
        <w:right w:val="none" w:sz="0" w:space="0" w:color="auto"/>
      </w:divBdr>
    </w:div>
    <w:div w:id="2034187091">
      <w:bodyDiv w:val="1"/>
      <w:marLeft w:val="0"/>
      <w:marRight w:val="0"/>
      <w:marTop w:val="0"/>
      <w:marBottom w:val="0"/>
      <w:divBdr>
        <w:top w:val="none" w:sz="0" w:space="0" w:color="auto"/>
        <w:left w:val="none" w:sz="0" w:space="0" w:color="auto"/>
        <w:bottom w:val="none" w:sz="0" w:space="0" w:color="auto"/>
        <w:right w:val="none" w:sz="0" w:space="0" w:color="auto"/>
      </w:divBdr>
    </w:div>
    <w:div w:id="2034569512">
      <w:bodyDiv w:val="1"/>
      <w:marLeft w:val="0"/>
      <w:marRight w:val="0"/>
      <w:marTop w:val="0"/>
      <w:marBottom w:val="0"/>
      <w:divBdr>
        <w:top w:val="none" w:sz="0" w:space="0" w:color="auto"/>
        <w:left w:val="none" w:sz="0" w:space="0" w:color="auto"/>
        <w:bottom w:val="none" w:sz="0" w:space="0" w:color="auto"/>
        <w:right w:val="none" w:sz="0" w:space="0" w:color="auto"/>
      </w:divBdr>
    </w:div>
    <w:div w:id="2034570453">
      <w:bodyDiv w:val="1"/>
      <w:marLeft w:val="0"/>
      <w:marRight w:val="0"/>
      <w:marTop w:val="0"/>
      <w:marBottom w:val="0"/>
      <w:divBdr>
        <w:top w:val="none" w:sz="0" w:space="0" w:color="auto"/>
        <w:left w:val="none" w:sz="0" w:space="0" w:color="auto"/>
        <w:bottom w:val="none" w:sz="0" w:space="0" w:color="auto"/>
        <w:right w:val="none" w:sz="0" w:space="0" w:color="auto"/>
      </w:divBdr>
    </w:div>
    <w:div w:id="2035764958">
      <w:bodyDiv w:val="1"/>
      <w:marLeft w:val="0"/>
      <w:marRight w:val="0"/>
      <w:marTop w:val="0"/>
      <w:marBottom w:val="0"/>
      <w:divBdr>
        <w:top w:val="none" w:sz="0" w:space="0" w:color="auto"/>
        <w:left w:val="none" w:sz="0" w:space="0" w:color="auto"/>
        <w:bottom w:val="none" w:sz="0" w:space="0" w:color="auto"/>
        <w:right w:val="none" w:sz="0" w:space="0" w:color="auto"/>
      </w:divBdr>
    </w:div>
    <w:div w:id="2036150486">
      <w:bodyDiv w:val="1"/>
      <w:marLeft w:val="0"/>
      <w:marRight w:val="0"/>
      <w:marTop w:val="0"/>
      <w:marBottom w:val="0"/>
      <w:divBdr>
        <w:top w:val="none" w:sz="0" w:space="0" w:color="auto"/>
        <w:left w:val="none" w:sz="0" w:space="0" w:color="auto"/>
        <w:bottom w:val="none" w:sz="0" w:space="0" w:color="auto"/>
        <w:right w:val="none" w:sz="0" w:space="0" w:color="auto"/>
      </w:divBdr>
    </w:div>
    <w:div w:id="2036808227">
      <w:bodyDiv w:val="1"/>
      <w:marLeft w:val="0"/>
      <w:marRight w:val="0"/>
      <w:marTop w:val="0"/>
      <w:marBottom w:val="0"/>
      <w:divBdr>
        <w:top w:val="none" w:sz="0" w:space="0" w:color="auto"/>
        <w:left w:val="none" w:sz="0" w:space="0" w:color="auto"/>
        <w:bottom w:val="none" w:sz="0" w:space="0" w:color="auto"/>
        <w:right w:val="none" w:sz="0" w:space="0" w:color="auto"/>
      </w:divBdr>
    </w:div>
    <w:div w:id="2036925456">
      <w:bodyDiv w:val="1"/>
      <w:marLeft w:val="0"/>
      <w:marRight w:val="0"/>
      <w:marTop w:val="0"/>
      <w:marBottom w:val="0"/>
      <w:divBdr>
        <w:top w:val="none" w:sz="0" w:space="0" w:color="auto"/>
        <w:left w:val="none" w:sz="0" w:space="0" w:color="auto"/>
        <w:bottom w:val="none" w:sz="0" w:space="0" w:color="auto"/>
        <w:right w:val="none" w:sz="0" w:space="0" w:color="auto"/>
      </w:divBdr>
    </w:div>
    <w:div w:id="2037146749">
      <w:bodyDiv w:val="1"/>
      <w:marLeft w:val="0"/>
      <w:marRight w:val="0"/>
      <w:marTop w:val="0"/>
      <w:marBottom w:val="0"/>
      <w:divBdr>
        <w:top w:val="none" w:sz="0" w:space="0" w:color="auto"/>
        <w:left w:val="none" w:sz="0" w:space="0" w:color="auto"/>
        <w:bottom w:val="none" w:sz="0" w:space="0" w:color="auto"/>
        <w:right w:val="none" w:sz="0" w:space="0" w:color="auto"/>
      </w:divBdr>
    </w:div>
    <w:div w:id="2037151615">
      <w:bodyDiv w:val="1"/>
      <w:marLeft w:val="0"/>
      <w:marRight w:val="0"/>
      <w:marTop w:val="0"/>
      <w:marBottom w:val="0"/>
      <w:divBdr>
        <w:top w:val="none" w:sz="0" w:space="0" w:color="auto"/>
        <w:left w:val="none" w:sz="0" w:space="0" w:color="auto"/>
        <w:bottom w:val="none" w:sz="0" w:space="0" w:color="auto"/>
        <w:right w:val="none" w:sz="0" w:space="0" w:color="auto"/>
      </w:divBdr>
    </w:div>
    <w:div w:id="2037348173">
      <w:bodyDiv w:val="1"/>
      <w:marLeft w:val="0"/>
      <w:marRight w:val="0"/>
      <w:marTop w:val="0"/>
      <w:marBottom w:val="0"/>
      <w:divBdr>
        <w:top w:val="none" w:sz="0" w:space="0" w:color="auto"/>
        <w:left w:val="none" w:sz="0" w:space="0" w:color="auto"/>
        <w:bottom w:val="none" w:sz="0" w:space="0" w:color="auto"/>
        <w:right w:val="none" w:sz="0" w:space="0" w:color="auto"/>
      </w:divBdr>
    </w:div>
    <w:div w:id="2037651497">
      <w:bodyDiv w:val="1"/>
      <w:marLeft w:val="0"/>
      <w:marRight w:val="0"/>
      <w:marTop w:val="0"/>
      <w:marBottom w:val="0"/>
      <w:divBdr>
        <w:top w:val="none" w:sz="0" w:space="0" w:color="auto"/>
        <w:left w:val="none" w:sz="0" w:space="0" w:color="auto"/>
        <w:bottom w:val="none" w:sz="0" w:space="0" w:color="auto"/>
        <w:right w:val="none" w:sz="0" w:space="0" w:color="auto"/>
      </w:divBdr>
    </w:div>
    <w:div w:id="2037733985">
      <w:bodyDiv w:val="1"/>
      <w:marLeft w:val="0"/>
      <w:marRight w:val="0"/>
      <w:marTop w:val="0"/>
      <w:marBottom w:val="0"/>
      <w:divBdr>
        <w:top w:val="none" w:sz="0" w:space="0" w:color="auto"/>
        <w:left w:val="none" w:sz="0" w:space="0" w:color="auto"/>
        <w:bottom w:val="none" w:sz="0" w:space="0" w:color="auto"/>
        <w:right w:val="none" w:sz="0" w:space="0" w:color="auto"/>
      </w:divBdr>
    </w:div>
    <w:div w:id="2037848707">
      <w:bodyDiv w:val="1"/>
      <w:marLeft w:val="0"/>
      <w:marRight w:val="0"/>
      <w:marTop w:val="0"/>
      <w:marBottom w:val="0"/>
      <w:divBdr>
        <w:top w:val="none" w:sz="0" w:space="0" w:color="auto"/>
        <w:left w:val="none" w:sz="0" w:space="0" w:color="auto"/>
        <w:bottom w:val="none" w:sz="0" w:space="0" w:color="auto"/>
        <w:right w:val="none" w:sz="0" w:space="0" w:color="auto"/>
      </w:divBdr>
    </w:div>
    <w:div w:id="2038114908">
      <w:bodyDiv w:val="1"/>
      <w:marLeft w:val="0"/>
      <w:marRight w:val="0"/>
      <w:marTop w:val="0"/>
      <w:marBottom w:val="0"/>
      <w:divBdr>
        <w:top w:val="none" w:sz="0" w:space="0" w:color="auto"/>
        <w:left w:val="none" w:sz="0" w:space="0" w:color="auto"/>
        <w:bottom w:val="none" w:sz="0" w:space="0" w:color="auto"/>
        <w:right w:val="none" w:sz="0" w:space="0" w:color="auto"/>
      </w:divBdr>
    </w:div>
    <w:div w:id="2038389723">
      <w:bodyDiv w:val="1"/>
      <w:marLeft w:val="0"/>
      <w:marRight w:val="0"/>
      <w:marTop w:val="0"/>
      <w:marBottom w:val="0"/>
      <w:divBdr>
        <w:top w:val="none" w:sz="0" w:space="0" w:color="auto"/>
        <w:left w:val="none" w:sz="0" w:space="0" w:color="auto"/>
        <w:bottom w:val="none" w:sz="0" w:space="0" w:color="auto"/>
        <w:right w:val="none" w:sz="0" w:space="0" w:color="auto"/>
      </w:divBdr>
    </w:div>
    <w:div w:id="2038459726">
      <w:bodyDiv w:val="1"/>
      <w:marLeft w:val="0"/>
      <w:marRight w:val="0"/>
      <w:marTop w:val="0"/>
      <w:marBottom w:val="0"/>
      <w:divBdr>
        <w:top w:val="none" w:sz="0" w:space="0" w:color="auto"/>
        <w:left w:val="none" w:sz="0" w:space="0" w:color="auto"/>
        <w:bottom w:val="none" w:sz="0" w:space="0" w:color="auto"/>
        <w:right w:val="none" w:sz="0" w:space="0" w:color="auto"/>
      </w:divBdr>
    </w:div>
    <w:div w:id="2038583886">
      <w:bodyDiv w:val="1"/>
      <w:marLeft w:val="0"/>
      <w:marRight w:val="0"/>
      <w:marTop w:val="0"/>
      <w:marBottom w:val="0"/>
      <w:divBdr>
        <w:top w:val="none" w:sz="0" w:space="0" w:color="auto"/>
        <w:left w:val="none" w:sz="0" w:space="0" w:color="auto"/>
        <w:bottom w:val="none" w:sz="0" w:space="0" w:color="auto"/>
        <w:right w:val="none" w:sz="0" w:space="0" w:color="auto"/>
      </w:divBdr>
    </w:div>
    <w:div w:id="2039115393">
      <w:bodyDiv w:val="1"/>
      <w:marLeft w:val="0"/>
      <w:marRight w:val="0"/>
      <w:marTop w:val="0"/>
      <w:marBottom w:val="0"/>
      <w:divBdr>
        <w:top w:val="none" w:sz="0" w:space="0" w:color="auto"/>
        <w:left w:val="none" w:sz="0" w:space="0" w:color="auto"/>
        <w:bottom w:val="none" w:sz="0" w:space="0" w:color="auto"/>
        <w:right w:val="none" w:sz="0" w:space="0" w:color="auto"/>
      </w:divBdr>
    </w:div>
    <w:div w:id="2039701882">
      <w:bodyDiv w:val="1"/>
      <w:marLeft w:val="0"/>
      <w:marRight w:val="0"/>
      <w:marTop w:val="0"/>
      <w:marBottom w:val="0"/>
      <w:divBdr>
        <w:top w:val="none" w:sz="0" w:space="0" w:color="auto"/>
        <w:left w:val="none" w:sz="0" w:space="0" w:color="auto"/>
        <w:bottom w:val="none" w:sz="0" w:space="0" w:color="auto"/>
        <w:right w:val="none" w:sz="0" w:space="0" w:color="auto"/>
      </w:divBdr>
    </w:div>
    <w:div w:id="2040078918">
      <w:bodyDiv w:val="1"/>
      <w:marLeft w:val="0"/>
      <w:marRight w:val="0"/>
      <w:marTop w:val="0"/>
      <w:marBottom w:val="0"/>
      <w:divBdr>
        <w:top w:val="none" w:sz="0" w:space="0" w:color="auto"/>
        <w:left w:val="none" w:sz="0" w:space="0" w:color="auto"/>
        <w:bottom w:val="none" w:sz="0" w:space="0" w:color="auto"/>
        <w:right w:val="none" w:sz="0" w:space="0" w:color="auto"/>
      </w:divBdr>
    </w:div>
    <w:div w:id="2040423742">
      <w:bodyDiv w:val="1"/>
      <w:marLeft w:val="0"/>
      <w:marRight w:val="0"/>
      <w:marTop w:val="0"/>
      <w:marBottom w:val="0"/>
      <w:divBdr>
        <w:top w:val="none" w:sz="0" w:space="0" w:color="auto"/>
        <w:left w:val="none" w:sz="0" w:space="0" w:color="auto"/>
        <w:bottom w:val="none" w:sz="0" w:space="0" w:color="auto"/>
        <w:right w:val="none" w:sz="0" w:space="0" w:color="auto"/>
      </w:divBdr>
    </w:div>
    <w:div w:id="2040472183">
      <w:bodyDiv w:val="1"/>
      <w:marLeft w:val="0"/>
      <w:marRight w:val="0"/>
      <w:marTop w:val="0"/>
      <w:marBottom w:val="0"/>
      <w:divBdr>
        <w:top w:val="none" w:sz="0" w:space="0" w:color="auto"/>
        <w:left w:val="none" w:sz="0" w:space="0" w:color="auto"/>
        <w:bottom w:val="none" w:sz="0" w:space="0" w:color="auto"/>
        <w:right w:val="none" w:sz="0" w:space="0" w:color="auto"/>
      </w:divBdr>
    </w:div>
    <w:div w:id="2040933397">
      <w:bodyDiv w:val="1"/>
      <w:marLeft w:val="0"/>
      <w:marRight w:val="0"/>
      <w:marTop w:val="0"/>
      <w:marBottom w:val="0"/>
      <w:divBdr>
        <w:top w:val="none" w:sz="0" w:space="0" w:color="auto"/>
        <w:left w:val="none" w:sz="0" w:space="0" w:color="auto"/>
        <w:bottom w:val="none" w:sz="0" w:space="0" w:color="auto"/>
        <w:right w:val="none" w:sz="0" w:space="0" w:color="auto"/>
      </w:divBdr>
    </w:div>
    <w:div w:id="2041273962">
      <w:bodyDiv w:val="1"/>
      <w:marLeft w:val="0"/>
      <w:marRight w:val="0"/>
      <w:marTop w:val="0"/>
      <w:marBottom w:val="0"/>
      <w:divBdr>
        <w:top w:val="none" w:sz="0" w:space="0" w:color="auto"/>
        <w:left w:val="none" w:sz="0" w:space="0" w:color="auto"/>
        <w:bottom w:val="none" w:sz="0" w:space="0" w:color="auto"/>
        <w:right w:val="none" w:sz="0" w:space="0" w:color="auto"/>
      </w:divBdr>
    </w:div>
    <w:div w:id="2041586975">
      <w:bodyDiv w:val="1"/>
      <w:marLeft w:val="0"/>
      <w:marRight w:val="0"/>
      <w:marTop w:val="0"/>
      <w:marBottom w:val="0"/>
      <w:divBdr>
        <w:top w:val="none" w:sz="0" w:space="0" w:color="auto"/>
        <w:left w:val="none" w:sz="0" w:space="0" w:color="auto"/>
        <w:bottom w:val="none" w:sz="0" w:space="0" w:color="auto"/>
        <w:right w:val="none" w:sz="0" w:space="0" w:color="auto"/>
      </w:divBdr>
    </w:div>
    <w:div w:id="2041660961">
      <w:bodyDiv w:val="1"/>
      <w:marLeft w:val="0"/>
      <w:marRight w:val="0"/>
      <w:marTop w:val="0"/>
      <w:marBottom w:val="0"/>
      <w:divBdr>
        <w:top w:val="none" w:sz="0" w:space="0" w:color="auto"/>
        <w:left w:val="none" w:sz="0" w:space="0" w:color="auto"/>
        <w:bottom w:val="none" w:sz="0" w:space="0" w:color="auto"/>
        <w:right w:val="none" w:sz="0" w:space="0" w:color="auto"/>
      </w:divBdr>
    </w:div>
    <w:div w:id="2041782861">
      <w:bodyDiv w:val="1"/>
      <w:marLeft w:val="0"/>
      <w:marRight w:val="0"/>
      <w:marTop w:val="0"/>
      <w:marBottom w:val="0"/>
      <w:divBdr>
        <w:top w:val="none" w:sz="0" w:space="0" w:color="auto"/>
        <w:left w:val="none" w:sz="0" w:space="0" w:color="auto"/>
        <w:bottom w:val="none" w:sz="0" w:space="0" w:color="auto"/>
        <w:right w:val="none" w:sz="0" w:space="0" w:color="auto"/>
      </w:divBdr>
    </w:div>
    <w:div w:id="2042047819">
      <w:bodyDiv w:val="1"/>
      <w:marLeft w:val="0"/>
      <w:marRight w:val="0"/>
      <w:marTop w:val="0"/>
      <w:marBottom w:val="0"/>
      <w:divBdr>
        <w:top w:val="none" w:sz="0" w:space="0" w:color="auto"/>
        <w:left w:val="none" w:sz="0" w:space="0" w:color="auto"/>
        <w:bottom w:val="none" w:sz="0" w:space="0" w:color="auto"/>
        <w:right w:val="none" w:sz="0" w:space="0" w:color="auto"/>
      </w:divBdr>
    </w:div>
    <w:div w:id="2042514553">
      <w:bodyDiv w:val="1"/>
      <w:marLeft w:val="0"/>
      <w:marRight w:val="0"/>
      <w:marTop w:val="0"/>
      <w:marBottom w:val="0"/>
      <w:divBdr>
        <w:top w:val="none" w:sz="0" w:space="0" w:color="auto"/>
        <w:left w:val="none" w:sz="0" w:space="0" w:color="auto"/>
        <w:bottom w:val="none" w:sz="0" w:space="0" w:color="auto"/>
        <w:right w:val="none" w:sz="0" w:space="0" w:color="auto"/>
      </w:divBdr>
    </w:div>
    <w:div w:id="2042515980">
      <w:bodyDiv w:val="1"/>
      <w:marLeft w:val="0"/>
      <w:marRight w:val="0"/>
      <w:marTop w:val="0"/>
      <w:marBottom w:val="0"/>
      <w:divBdr>
        <w:top w:val="none" w:sz="0" w:space="0" w:color="auto"/>
        <w:left w:val="none" w:sz="0" w:space="0" w:color="auto"/>
        <w:bottom w:val="none" w:sz="0" w:space="0" w:color="auto"/>
        <w:right w:val="none" w:sz="0" w:space="0" w:color="auto"/>
      </w:divBdr>
    </w:div>
    <w:div w:id="2042633716">
      <w:bodyDiv w:val="1"/>
      <w:marLeft w:val="0"/>
      <w:marRight w:val="0"/>
      <w:marTop w:val="0"/>
      <w:marBottom w:val="0"/>
      <w:divBdr>
        <w:top w:val="none" w:sz="0" w:space="0" w:color="auto"/>
        <w:left w:val="none" w:sz="0" w:space="0" w:color="auto"/>
        <w:bottom w:val="none" w:sz="0" w:space="0" w:color="auto"/>
        <w:right w:val="none" w:sz="0" w:space="0" w:color="auto"/>
      </w:divBdr>
    </w:div>
    <w:div w:id="2043088732">
      <w:bodyDiv w:val="1"/>
      <w:marLeft w:val="0"/>
      <w:marRight w:val="0"/>
      <w:marTop w:val="0"/>
      <w:marBottom w:val="0"/>
      <w:divBdr>
        <w:top w:val="none" w:sz="0" w:space="0" w:color="auto"/>
        <w:left w:val="none" w:sz="0" w:space="0" w:color="auto"/>
        <w:bottom w:val="none" w:sz="0" w:space="0" w:color="auto"/>
        <w:right w:val="none" w:sz="0" w:space="0" w:color="auto"/>
      </w:divBdr>
    </w:div>
    <w:div w:id="2044280257">
      <w:bodyDiv w:val="1"/>
      <w:marLeft w:val="0"/>
      <w:marRight w:val="0"/>
      <w:marTop w:val="0"/>
      <w:marBottom w:val="0"/>
      <w:divBdr>
        <w:top w:val="none" w:sz="0" w:space="0" w:color="auto"/>
        <w:left w:val="none" w:sz="0" w:space="0" w:color="auto"/>
        <w:bottom w:val="none" w:sz="0" w:space="0" w:color="auto"/>
        <w:right w:val="none" w:sz="0" w:space="0" w:color="auto"/>
      </w:divBdr>
    </w:div>
    <w:div w:id="2044362601">
      <w:bodyDiv w:val="1"/>
      <w:marLeft w:val="0"/>
      <w:marRight w:val="0"/>
      <w:marTop w:val="0"/>
      <w:marBottom w:val="0"/>
      <w:divBdr>
        <w:top w:val="none" w:sz="0" w:space="0" w:color="auto"/>
        <w:left w:val="none" w:sz="0" w:space="0" w:color="auto"/>
        <w:bottom w:val="none" w:sz="0" w:space="0" w:color="auto"/>
        <w:right w:val="none" w:sz="0" w:space="0" w:color="auto"/>
      </w:divBdr>
    </w:div>
    <w:div w:id="2044400882">
      <w:bodyDiv w:val="1"/>
      <w:marLeft w:val="0"/>
      <w:marRight w:val="0"/>
      <w:marTop w:val="0"/>
      <w:marBottom w:val="0"/>
      <w:divBdr>
        <w:top w:val="none" w:sz="0" w:space="0" w:color="auto"/>
        <w:left w:val="none" w:sz="0" w:space="0" w:color="auto"/>
        <w:bottom w:val="none" w:sz="0" w:space="0" w:color="auto"/>
        <w:right w:val="none" w:sz="0" w:space="0" w:color="auto"/>
      </w:divBdr>
    </w:div>
    <w:div w:id="2044403318">
      <w:bodyDiv w:val="1"/>
      <w:marLeft w:val="0"/>
      <w:marRight w:val="0"/>
      <w:marTop w:val="0"/>
      <w:marBottom w:val="0"/>
      <w:divBdr>
        <w:top w:val="none" w:sz="0" w:space="0" w:color="auto"/>
        <w:left w:val="none" w:sz="0" w:space="0" w:color="auto"/>
        <w:bottom w:val="none" w:sz="0" w:space="0" w:color="auto"/>
        <w:right w:val="none" w:sz="0" w:space="0" w:color="auto"/>
      </w:divBdr>
    </w:div>
    <w:div w:id="2044554184">
      <w:bodyDiv w:val="1"/>
      <w:marLeft w:val="0"/>
      <w:marRight w:val="0"/>
      <w:marTop w:val="0"/>
      <w:marBottom w:val="0"/>
      <w:divBdr>
        <w:top w:val="none" w:sz="0" w:space="0" w:color="auto"/>
        <w:left w:val="none" w:sz="0" w:space="0" w:color="auto"/>
        <w:bottom w:val="none" w:sz="0" w:space="0" w:color="auto"/>
        <w:right w:val="none" w:sz="0" w:space="0" w:color="auto"/>
      </w:divBdr>
    </w:div>
    <w:div w:id="2045014378">
      <w:bodyDiv w:val="1"/>
      <w:marLeft w:val="0"/>
      <w:marRight w:val="0"/>
      <w:marTop w:val="0"/>
      <w:marBottom w:val="0"/>
      <w:divBdr>
        <w:top w:val="none" w:sz="0" w:space="0" w:color="auto"/>
        <w:left w:val="none" w:sz="0" w:space="0" w:color="auto"/>
        <w:bottom w:val="none" w:sz="0" w:space="0" w:color="auto"/>
        <w:right w:val="none" w:sz="0" w:space="0" w:color="auto"/>
      </w:divBdr>
    </w:div>
    <w:div w:id="2045206964">
      <w:bodyDiv w:val="1"/>
      <w:marLeft w:val="0"/>
      <w:marRight w:val="0"/>
      <w:marTop w:val="0"/>
      <w:marBottom w:val="0"/>
      <w:divBdr>
        <w:top w:val="none" w:sz="0" w:space="0" w:color="auto"/>
        <w:left w:val="none" w:sz="0" w:space="0" w:color="auto"/>
        <w:bottom w:val="none" w:sz="0" w:space="0" w:color="auto"/>
        <w:right w:val="none" w:sz="0" w:space="0" w:color="auto"/>
      </w:divBdr>
    </w:div>
    <w:div w:id="2045400312">
      <w:bodyDiv w:val="1"/>
      <w:marLeft w:val="0"/>
      <w:marRight w:val="0"/>
      <w:marTop w:val="0"/>
      <w:marBottom w:val="0"/>
      <w:divBdr>
        <w:top w:val="none" w:sz="0" w:space="0" w:color="auto"/>
        <w:left w:val="none" w:sz="0" w:space="0" w:color="auto"/>
        <w:bottom w:val="none" w:sz="0" w:space="0" w:color="auto"/>
        <w:right w:val="none" w:sz="0" w:space="0" w:color="auto"/>
      </w:divBdr>
    </w:div>
    <w:div w:id="2046755176">
      <w:bodyDiv w:val="1"/>
      <w:marLeft w:val="0"/>
      <w:marRight w:val="0"/>
      <w:marTop w:val="0"/>
      <w:marBottom w:val="0"/>
      <w:divBdr>
        <w:top w:val="none" w:sz="0" w:space="0" w:color="auto"/>
        <w:left w:val="none" w:sz="0" w:space="0" w:color="auto"/>
        <w:bottom w:val="none" w:sz="0" w:space="0" w:color="auto"/>
        <w:right w:val="none" w:sz="0" w:space="0" w:color="auto"/>
      </w:divBdr>
    </w:div>
    <w:div w:id="2046982397">
      <w:bodyDiv w:val="1"/>
      <w:marLeft w:val="0"/>
      <w:marRight w:val="0"/>
      <w:marTop w:val="0"/>
      <w:marBottom w:val="0"/>
      <w:divBdr>
        <w:top w:val="none" w:sz="0" w:space="0" w:color="auto"/>
        <w:left w:val="none" w:sz="0" w:space="0" w:color="auto"/>
        <w:bottom w:val="none" w:sz="0" w:space="0" w:color="auto"/>
        <w:right w:val="none" w:sz="0" w:space="0" w:color="auto"/>
      </w:divBdr>
    </w:div>
    <w:div w:id="2047825694">
      <w:bodyDiv w:val="1"/>
      <w:marLeft w:val="0"/>
      <w:marRight w:val="0"/>
      <w:marTop w:val="0"/>
      <w:marBottom w:val="0"/>
      <w:divBdr>
        <w:top w:val="none" w:sz="0" w:space="0" w:color="auto"/>
        <w:left w:val="none" w:sz="0" w:space="0" w:color="auto"/>
        <w:bottom w:val="none" w:sz="0" w:space="0" w:color="auto"/>
        <w:right w:val="none" w:sz="0" w:space="0" w:color="auto"/>
      </w:divBdr>
    </w:div>
    <w:div w:id="2047944556">
      <w:bodyDiv w:val="1"/>
      <w:marLeft w:val="0"/>
      <w:marRight w:val="0"/>
      <w:marTop w:val="0"/>
      <w:marBottom w:val="0"/>
      <w:divBdr>
        <w:top w:val="none" w:sz="0" w:space="0" w:color="auto"/>
        <w:left w:val="none" w:sz="0" w:space="0" w:color="auto"/>
        <w:bottom w:val="none" w:sz="0" w:space="0" w:color="auto"/>
        <w:right w:val="none" w:sz="0" w:space="0" w:color="auto"/>
      </w:divBdr>
    </w:div>
    <w:div w:id="2048211175">
      <w:bodyDiv w:val="1"/>
      <w:marLeft w:val="0"/>
      <w:marRight w:val="0"/>
      <w:marTop w:val="0"/>
      <w:marBottom w:val="0"/>
      <w:divBdr>
        <w:top w:val="none" w:sz="0" w:space="0" w:color="auto"/>
        <w:left w:val="none" w:sz="0" w:space="0" w:color="auto"/>
        <w:bottom w:val="none" w:sz="0" w:space="0" w:color="auto"/>
        <w:right w:val="none" w:sz="0" w:space="0" w:color="auto"/>
      </w:divBdr>
    </w:div>
    <w:div w:id="2048215482">
      <w:bodyDiv w:val="1"/>
      <w:marLeft w:val="0"/>
      <w:marRight w:val="0"/>
      <w:marTop w:val="0"/>
      <w:marBottom w:val="0"/>
      <w:divBdr>
        <w:top w:val="none" w:sz="0" w:space="0" w:color="auto"/>
        <w:left w:val="none" w:sz="0" w:space="0" w:color="auto"/>
        <w:bottom w:val="none" w:sz="0" w:space="0" w:color="auto"/>
        <w:right w:val="none" w:sz="0" w:space="0" w:color="auto"/>
      </w:divBdr>
    </w:div>
    <w:div w:id="2049330945">
      <w:bodyDiv w:val="1"/>
      <w:marLeft w:val="0"/>
      <w:marRight w:val="0"/>
      <w:marTop w:val="0"/>
      <w:marBottom w:val="0"/>
      <w:divBdr>
        <w:top w:val="none" w:sz="0" w:space="0" w:color="auto"/>
        <w:left w:val="none" w:sz="0" w:space="0" w:color="auto"/>
        <w:bottom w:val="none" w:sz="0" w:space="0" w:color="auto"/>
        <w:right w:val="none" w:sz="0" w:space="0" w:color="auto"/>
      </w:divBdr>
    </w:div>
    <w:div w:id="2049333703">
      <w:bodyDiv w:val="1"/>
      <w:marLeft w:val="0"/>
      <w:marRight w:val="0"/>
      <w:marTop w:val="0"/>
      <w:marBottom w:val="0"/>
      <w:divBdr>
        <w:top w:val="none" w:sz="0" w:space="0" w:color="auto"/>
        <w:left w:val="none" w:sz="0" w:space="0" w:color="auto"/>
        <w:bottom w:val="none" w:sz="0" w:space="0" w:color="auto"/>
        <w:right w:val="none" w:sz="0" w:space="0" w:color="auto"/>
      </w:divBdr>
    </w:div>
    <w:div w:id="2049334864">
      <w:bodyDiv w:val="1"/>
      <w:marLeft w:val="0"/>
      <w:marRight w:val="0"/>
      <w:marTop w:val="0"/>
      <w:marBottom w:val="0"/>
      <w:divBdr>
        <w:top w:val="none" w:sz="0" w:space="0" w:color="auto"/>
        <w:left w:val="none" w:sz="0" w:space="0" w:color="auto"/>
        <w:bottom w:val="none" w:sz="0" w:space="0" w:color="auto"/>
        <w:right w:val="none" w:sz="0" w:space="0" w:color="auto"/>
      </w:divBdr>
    </w:div>
    <w:div w:id="2049403768">
      <w:bodyDiv w:val="1"/>
      <w:marLeft w:val="0"/>
      <w:marRight w:val="0"/>
      <w:marTop w:val="0"/>
      <w:marBottom w:val="0"/>
      <w:divBdr>
        <w:top w:val="none" w:sz="0" w:space="0" w:color="auto"/>
        <w:left w:val="none" w:sz="0" w:space="0" w:color="auto"/>
        <w:bottom w:val="none" w:sz="0" w:space="0" w:color="auto"/>
        <w:right w:val="none" w:sz="0" w:space="0" w:color="auto"/>
      </w:divBdr>
    </w:div>
    <w:div w:id="2049526103">
      <w:bodyDiv w:val="1"/>
      <w:marLeft w:val="0"/>
      <w:marRight w:val="0"/>
      <w:marTop w:val="0"/>
      <w:marBottom w:val="0"/>
      <w:divBdr>
        <w:top w:val="none" w:sz="0" w:space="0" w:color="auto"/>
        <w:left w:val="none" w:sz="0" w:space="0" w:color="auto"/>
        <w:bottom w:val="none" w:sz="0" w:space="0" w:color="auto"/>
        <w:right w:val="none" w:sz="0" w:space="0" w:color="auto"/>
      </w:divBdr>
    </w:div>
    <w:div w:id="2049599898">
      <w:bodyDiv w:val="1"/>
      <w:marLeft w:val="0"/>
      <w:marRight w:val="0"/>
      <w:marTop w:val="0"/>
      <w:marBottom w:val="0"/>
      <w:divBdr>
        <w:top w:val="none" w:sz="0" w:space="0" w:color="auto"/>
        <w:left w:val="none" w:sz="0" w:space="0" w:color="auto"/>
        <w:bottom w:val="none" w:sz="0" w:space="0" w:color="auto"/>
        <w:right w:val="none" w:sz="0" w:space="0" w:color="auto"/>
      </w:divBdr>
    </w:div>
    <w:div w:id="2049797500">
      <w:bodyDiv w:val="1"/>
      <w:marLeft w:val="0"/>
      <w:marRight w:val="0"/>
      <w:marTop w:val="0"/>
      <w:marBottom w:val="0"/>
      <w:divBdr>
        <w:top w:val="none" w:sz="0" w:space="0" w:color="auto"/>
        <w:left w:val="none" w:sz="0" w:space="0" w:color="auto"/>
        <w:bottom w:val="none" w:sz="0" w:space="0" w:color="auto"/>
        <w:right w:val="none" w:sz="0" w:space="0" w:color="auto"/>
      </w:divBdr>
    </w:div>
    <w:div w:id="2050647106">
      <w:bodyDiv w:val="1"/>
      <w:marLeft w:val="0"/>
      <w:marRight w:val="0"/>
      <w:marTop w:val="0"/>
      <w:marBottom w:val="0"/>
      <w:divBdr>
        <w:top w:val="none" w:sz="0" w:space="0" w:color="auto"/>
        <w:left w:val="none" w:sz="0" w:space="0" w:color="auto"/>
        <w:bottom w:val="none" w:sz="0" w:space="0" w:color="auto"/>
        <w:right w:val="none" w:sz="0" w:space="0" w:color="auto"/>
      </w:divBdr>
    </w:div>
    <w:div w:id="2051494147">
      <w:bodyDiv w:val="1"/>
      <w:marLeft w:val="0"/>
      <w:marRight w:val="0"/>
      <w:marTop w:val="0"/>
      <w:marBottom w:val="0"/>
      <w:divBdr>
        <w:top w:val="none" w:sz="0" w:space="0" w:color="auto"/>
        <w:left w:val="none" w:sz="0" w:space="0" w:color="auto"/>
        <w:bottom w:val="none" w:sz="0" w:space="0" w:color="auto"/>
        <w:right w:val="none" w:sz="0" w:space="0" w:color="auto"/>
      </w:divBdr>
    </w:div>
    <w:div w:id="2051687921">
      <w:bodyDiv w:val="1"/>
      <w:marLeft w:val="0"/>
      <w:marRight w:val="0"/>
      <w:marTop w:val="0"/>
      <w:marBottom w:val="0"/>
      <w:divBdr>
        <w:top w:val="none" w:sz="0" w:space="0" w:color="auto"/>
        <w:left w:val="none" w:sz="0" w:space="0" w:color="auto"/>
        <w:bottom w:val="none" w:sz="0" w:space="0" w:color="auto"/>
        <w:right w:val="none" w:sz="0" w:space="0" w:color="auto"/>
      </w:divBdr>
    </w:div>
    <w:div w:id="2051804548">
      <w:bodyDiv w:val="1"/>
      <w:marLeft w:val="0"/>
      <w:marRight w:val="0"/>
      <w:marTop w:val="0"/>
      <w:marBottom w:val="0"/>
      <w:divBdr>
        <w:top w:val="none" w:sz="0" w:space="0" w:color="auto"/>
        <w:left w:val="none" w:sz="0" w:space="0" w:color="auto"/>
        <w:bottom w:val="none" w:sz="0" w:space="0" w:color="auto"/>
        <w:right w:val="none" w:sz="0" w:space="0" w:color="auto"/>
      </w:divBdr>
    </w:div>
    <w:div w:id="2051956445">
      <w:bodyDiv w:val="1"/>
      <w:marLeft w:val="0"/>
      <w:marRight w:val="0"/>
      <w:marTop w:val="0"/>
      <w:marBottom w:val="0"/>
      <w:divBdr>
        <w:top w:val="none" w:sz="0" w:space="0" w:color="auto"/>
        <w:left w:val="none" w:sz="0" w:space="0" w:color="auto"/>
        <w:bottom w:val="none" w:sz="0" w:space="0" w:color="auto"/>
        <w:right w:val="none" w:sz="0" w:space="0" w:color="auto"/>
      </w:divBdr>
    </w:div>
    <w:div w:id="2052222933">
      <w:bodyDiv w:val="1"/>
      <w:marLeft w:val="0"/>
      <w:marRight w:val="0"/>
      <w:marTop w:val="0"/>
      <w:marBottom w:val="0"/>
      <w:divBdr>
        <w:top w:val="none" w:sz="0" w:space="0" w:color="auto"/>
        <w:left w:val="none" w:sz="0" w:space="0" w:color="auto"/>
        <w:bottom w:val="none" w:sz="0" w:space="0" w:color="auto"/>
        <w:right w:val="none" w:sz="0" w:space="0" w:color="auto"/>
      </w:divBdr>
    </w:div>
    <w:div w:id="2052538409">
      <w:bodyDiv w:val="1"/>
      <w:marLeft w:val="0"/>
      <w:marRight w:val="0"/>
      <w:marTop w:val="0"/>
      <w:marBottom w:val="0"/>
      <w:divBdr>
        <w:top w:val="none" w:sz="0" w:space="0" w:color="auto"/>
        <w:left w:val="none" w:sz="0" w:space="0" w:color="auto"/>
        <w:bottom w:val="none" w:sz="0" w:space="0" w:color="auto"/>
        <w:right w:val="none" w:sz="0" w:space="0" w:color="auto"/>
      </w:divBdr>
    </w:div>
    <w:div w:id="2052917804">
      <w:bodyDiv w:val="1"/>
      <w:marLeft w:val="0"/>
      <w:marRight w:val="0"/>
      <w:marTop w:val="0"/>
      <w:marBottom w:val="0"/>
      <w:divBdr>
        <w:top w:val="none" w:sz="0" w:space="0" w:color="auto"/>
        <w:left w:val="none" w:sz="0" w:space="0" w:color="auto"/>
        <w:bottom w:val="none" w:sz="0" w:space="0" w:color="auto"/>
        <w:right w:val="none" w:sz="0" w:space="0" w:color="auto"/>
      </w:divBdr>
    </w:div>
    <w:div w:id="2053383074">
      <w:bodyDiv w:val="1"/>
      <w:marLeft w:val="0"/>
      <w:marRight w:val="0"/>
      <w:marTop w:val="0"/>
      <w:marBottom w:val="0"/>
      <w:divBdr>
        <w:top w:val="none" w:sz="0" w:space="0" w:color="auto"/>
        <w:left w:val="none" w:sz="0" w:space="0" w:color="auto"/>
        <w:bottom w:val="none" w:sz="0" w:space="0" w:color="auto"/>
        <w:right w:val="none" w:sz="0" w:space="0" w:color="auto"/>
      </w:divBdr>
    </w:div>
    <w:div w:id="2053798296">
      <w:bodyDiv w:val="1"/>
      <w:marLeft w:val="0"/>
      <w:marRight w:val="0"/>
      <w:marTop w:val="0"/>
      <w:marBottom w:val="0"/>
      <w:divBdr>
        <w:top w:val="none" w:sz="0" w:space="0" w:color="auto"/>
        <w:left w:val="none" w:sz="0" w:space="0" w:color="auto"/>
        <w:bottom w:val="none" w:sz="0" w:space="0" w:color="auto"/>
        <w:right w:val="none" w:sz="0" w:space="0" w:color="auto"/>
      </w:divBdr>
    </w:div>
    <w:div w:id="2054427317">
      <w:bodyDiv w:val="1"/>
      <w:marLeft w:val="0"/>
      <w:marRight w:val="0"/>
      <w:marTop w:val="0"/>
      <w:marBottom w:val="0"/>
      <w:divBdr>
        <w:top w:val="none" w:sz="0" w:space="0" w:color="auto"/>
        <w:left w:val="none" w:sz="0" w:space="0" w:color="auto"/>
        <w:bottom w:val="none" w:sz="0" w:space="0" w:color="auto"/>
        <w:right w:val="none" w:sz="0" w:space="0" w:color="auto"/>
      </w:divBdr>
    </w:div>
    <w:div w:id="2054847088">
      <w:bodyDiv w:val="1"/>
      <w:marLeft w:val="0"/>
      <w:marRight w:val="0"/>
      <w:marTop w:val="0"/>
      <w:marBottom w:val="0"/>
      <w:divBdr>
        <w:top w:val="none" w:sz="0" w:space="0" w:color="auto"/>
        <w:left w:val="none" w:sz="0" w:space="0" w:color="auto"/>
        <w:bottom w:val="none" w:sz="0" w:space="0" w:color="auto"/>
        <w:right w:val="none" w:sz="0" w:space="0" w:color="auto"/>
      </w:divBdr>
    </w:div>
    <w:div w:id="2055036131">
      <w:bodyDiv w:val="1"/>
      <w:marLeft w:val="0"/>
      <w:marRight w:val="0"/>
      <w:marTop w:val="0"/>
      <w:marBottom w:val="0"/>
      <w:divBdr>
        <w:top w:val="none" w:sz="0" w:space="0" w:color="auto"/>
        <w:left w:val="none" w:sz="0" w:space="0" w:color="auto"/>
        <w:bottom w:val="none" w:sz="0" w:space="0" w:color="auto"/>
        <w:right w:val="none" w:sz="0" w:space="0" w:color="auto"/>
      </w:divBdr>
    </w:div>
    <w:div w:id="2055081374">
      <w:bodyDiv w:val="1"/>
      <w:marLeft w:val="0"/>
      <w:marRight w:val="0"/>
      <w:marTop w:val="0"/>
      <w:marBottom w:val="0"/>
      <w:divBdr>
        <w:top w:val="none" w:sz="0" w:space="0" w:color="auto"/>
        <w:left w:val="none" w:sz="0" w:space="0" w:color="auto"/>
        <w:bottom w:val="none" w:sz="0" w:space="0" w:color="auto"/>
        <w:right w:val="none" w:sz="0" w:space="0" w:color="auto"/>
      </w:divBdr>
    </w:div>
    <w:div w:id="2055352848">
      <w:bodyDiv w:val="1"/>
      <w:marLeft w:val="0"/>
      <w:marRight w:val="0"/>
      <w:marTop w:val="0"/>
      <w:marBottom w:val="0"/>
      <w:divBdr>
        <w:top w:val="none" w:sz="0" w:space="0" w:color="auto"/>
        <w:left w:val="none" w:sz="0" w:space="0" w:color="auto"/>
        <w:bottom w:val="none" w:sz="0" w:space="0" w:color="auto"/>
        <w:right w:val="none" w:sz="0" w:space="0" w:color="auto"/>
      </w:divBdr>
    </w:div>
    <w:div w:id="2055808134">
      <w:bodyDiv w:val="1"/>
      <w:marLeft w:val="0"/>
      <w:marRight w:val="0"/>
      <w:marTop w:val="0"/>
      <w:marBottom w:val="0"/>
      <w:divBdr>
        <w:top w:val="none" w:sz="0" w:space="0" w:color="auto"/>
        <w:left w:val="none" w:sz="0" w:space="0" w:color="auto"/>
        <w:bottom w:val="none" w:sz="0" w:space="0" w:color="auto"/>
        <w:right w:val="none" w:sz="0" w:space="0" w:color="auto"/>
      </w:divBdr>
    </w:div>
    <w:div w:id="2055960313">
      <w:bodyDiv w:val="1"/>
      <w:marLeft w:val="0"/>
      <w:marRight w:val="0"/>
      <w:marTop w:val="0"/>
      <w:marBottom w:val="0"/>
      <w:divBdr>
        <w:top w:val="none" w:sz="0" w:space="0" w:color="auto"/>
        <w:left w:val="none" w:sz="0" w:space="0" w:color="auto"/>
        <w:bottom w:val="none" w:sz="0" w:space="0" w:color="auto"/>
        <w:right w:val="none" w:sz="0" w:space="0" w:color="auto"/>
      </w:divBdr>
    </w:div>
    <w:div w:id="2056198908">
      <w:bodyDiv w:val="1"/>
      <w:marLeft w:val="0"/>
      <w:marRight w:val="0"/>
      <w:marTop w:val="0"/>
      <w:marBottom w:val="0"/>
      <w:divBdr>
        <w:top w:val="none" w:sz="0" w:space="0" w:color="auto"/>
        <w:left w:val="none" w:sz="0" w:space="0" w:color="auto"/>
        <w:bottom w:val="none" w:sz="0" w:space="0" w:color="auto"/>
        <w:right w:val="none" w:sz="0" w:space="0" w:color="auto"/>
      </w:divBdr>
    </w:div>
    <w:div w:id="2056927465">
      <w:bodyDiv w:val="1"/>
      <w:marLeft w:val="0"/>
      <w:marRight w:val="0"/>
      <w:marTop w:val="0"/>
      <w:marBottom w:val="0"/>
      <w:divBdr>
        <w:top w:val="none" w:sz="0" w:space="0" w:color="auto"/>
        <w:left w:val="none" w:sz="0" w:space="0" w:color="auto"/>
        <w:bottom w:val="none" w:sz="0" w:space="0" w:color="auto"/>
        <w:right w:val="none" w:sz="0" w:space="0" w:color="auto"/>
      </w:divBdr>
    </w:div>
    <w:div w:id="2057120234">
      <w:bodyDiv w:val="1"/>
      <w:marLeft w:val="0"/>
      <w:marRight w:val="0"/>
      <w:marTop w:val="0"/>
      <w:marBottom w:val="0"/>
      <w:divBdr>
        <w:top w:val="none" w:sz="0" w:space="0" w:color="auto"/>
        <w:left w:val="none" w:sz="0" w:space="0" w:color="auto"/>
        <w:bottom w:val="none" w:sz="0" w:space="0" w:color="auto"/>
        <w:right w:val="none" w:sz="0" w:space="0" w:color="auto"/>
      </w:divBdr>
    </w:div>
    <w:div w:id="2057463740">
      <w:bodyDiv w:val="1"/>
      <w:marLeft w:val="0"/>
      <w:marRight w:val="0"/>
      <w:marTop w:val="0"/>
      <w:marBottom w:val="0"/>
      <w:divBdr>
        <w:top w:val="none" w:sz="0" w:space="0" w:color="auto"/>
        <w:left w:val="none" w:sz="0" w:space="0" w:color="auto"/>
        <w:bottom w:val="none" w:sz="0" w:space="0" w:color="auto"/>
        <w:right w:val="none" w:sz="0" w:space="0" w:color="auto"/>
      </w:divBdr>
    </w:div>
    <w:div w:id="2057579125">
      <w:bodyDiv w:val="1"/>
      <w:marLeft w:val="0"/>
      <w:marRight w:val="0"/>
      <w:marTop w:val="0"/>
      <w:marBottom w:val="0"/>
      <w:divBdr>
        <w:top w:val="none" w:sz="0" w:space="0" w:color="auto"/>
        <w:left w:val="none" w:sz="0" w:space="0" w:color="auto"/>
        <w:bottom w:val="none" w:sz="0" w:space="0" w:color="auto"/>
        <w:right w:val="none" w:sz="0" w:space="0" w:color="auto"/>
      </w:divBdr>
    </w:div>
    <w:div w:id="2057662164">
      <w:bodyDiv w:val="1"/>
      <w:marLeft w:val="0"/>
      <w:marRight w:val="0"/>
      <w:marTop w:val="0"/>
      <w:marBottom w:val="0"/>
      <w:divBdr>
        <w:top w:val="none" w:sz="0" w:space="0" w:color="auto"/>
        <w:left w:val="none" w:sz="0" w:space="0" w:color="auto"/>
        <w:bottom w:val="none" w:sz="0" w:space="0" w:color="auto"/>
        <w:right w:val="none" w:sz="0" w:space="0" w:color="auto"/>
      </w:divBdr>
    </w:div>
    <w:div w:id="2057965584">
      <w:bodyDiv w:val="1"/>
      <w:marLeft w:val="0"/>
      <w:marRight w:val="0"/>
      <w:marTop w:val="0"/>
      <w:marBottom w:val="0"/>
      <w:divBdr>
        <w:top w:val="none" w:sz="0" w:space="0" w:color="auto"/>
        <w:left w:val="none" w:sz="0" w:space="0" w:color="auto"/>
        <w:bottom w:val="none" w:sz="0" w:space="0" w:color="auto"/>
        <w:right w:val="none" w:sz="0" w:space="0" w:color="auto"/>
      </w:divBdr>
    </w:div>
    <w:div w:id="2058165345">
      <w:bodyDiv w:val="1"/>
      <w:marLeft w:val="0"/>
      <w:marRight w:val="0"/>
      <w:marTop w:val="0"/>
      <w:marBottom w:val="0"/>
      <w:divBdr>
        <w:top w:val="none" w:sz="0" w:space="0" w:color="auto"/>
        <w:left w:val="none" w:sz="0" w:space="0" w:color="auto"/>
        <w:bottom w:val="none" w:sz="0" w:space="0" w:color="auto"/>
        <w:right w:val="none" w:sz="0" w:space="0" w:color="auto"/>
      </w:divBdr>
    </w:div>
    <w:div w:id="2058167477">
      <w:bodyDiv w:val="1"/>
      <w:marLeft w:val="0"/>
      <w:marRight w:val="0"/>
      <w:marTop w:val="0"/>
      <w:marBottom w:val="0"/>
      <w:divBdr>
        <w:top w:val="none" w:sz="0" w:space="0" w:color="auto"/>
        <w:left w:val="none" w:sz="0" w:space="0" w:color="auto"/>
        <w:bottom w:val="none" w:sz="0" w:space="0" w:color="auto"/>
        <w:right w:val="none" w:sz="0" w:space="0" w:color="auto"/>
      </w:divBdr>
    </w:div>
    <w:div w:id="2058699660">
      <w:bodyDiv w:val="1"/>
      <w:marLeft w:val="0"/>
      <w:marRight w:val="0"/>
      <w:marTop w:val="0"/>
      <w:marBottom w:val="0"/>
      <w:divBdr>
        <w:top w:val="none" w:sz="0" w:space="0" w:color="auto"/>
        <w:left w:val="none" w:sz="0" w:space="0" w:color="auto"/>
        <w:bottom w:val="none" w:sz="0" w:space="0" w:color="auto"/>
        <w:right w:val="none" w:sz="0" w:space="0" w:color="auto"/>
      </w:divBdr>
    </w:div>
    <w:div w:id="2059814325">
      <w:bodyDiv w:val="1"/>
      <w:marLeft w:val="0"/>
      <w:marRight w:val="0"/>
      <w:marTop w:val="0"/>
      <w:marBottom w:val="0"/>
      <w:divBdr>
        <w:top w:val="none" w:sz="0" w:space="0" w:color="auto"/>
        <w:left w:val="none" w:sz="0" w:space="0" w:color="auto"/>
        <w:bottom w:val="none" w:sz="0" w:space="0" w:color="auto"/>
        <w:right w:val="none" w:sz="0" w:space="0" w:color="auto"/>
      </w:divBdr>
    </w:div>
    <w:div w:id="2059819214">
      <w:bodyDiv w:val="1"/>
      <w:marLeft w:val="0"/>
      <w:marRight w:val="0"/>
      <w:marTop w:val="0"/>
      <w:marBottom w:val="0"/>
      <w:divBdr>
        <w:top w:val="none" w:sz="0" w:space="0" w:color="auto"/>
        <w:left w:val="none" w:sz="0" w:space="0" w:color="auto"/>
        <w:bottom w:val="none" w:sz="0" w:space="0" w:color="auto"/>
        <w:right w:val="none" w:sz="0" w:space="0" w:color="auto"/>
      </w:divBdr>
    </w:div>
    <w:div w:id="2060006618">
      <w:bodyDiv w:val="1"/>
      <w:marLeft w:val="0"/>
      <w:marRight w:val="0"/>
      <w:marTop w:val="0"/>
      <w:marBottom w:val="0"/>
      <w:divBdr>
        <w:top w:val="none" w:sz="0" w:space="0" w:color="auto"/>
        <w:left w:val="none" w:sz="0" w:space="0" w:color="auto"/>
        <w:bottom w:val="none" w:sz="0" w:space="0" w:color="auto"/>
        <w:right w:val="none" w:sz="0" w:space="0" w:color="auto"/>
      </w:divBdr>
    </w:div>
    <w:div w:id="2060132231">
      <w:bodyDiv w:val="1"/>
      <w:marLeft w:val="0"/>
      <w:marRight w:val="0"/>
      <w:marTop w:val="0"/>
      <w:marBottom w:val="0"/>
      <w:divBdr>
        <w:top w:val="none" w:sz="0" w:space="0" w:color="auto"/>
        <w:left w:val="none" w:sz="0" w:space="0" w:color="auto"/>
        <w:bottom w:val="none" w:sz="0" w:space="0" w:color="auto"/>
        <w:right w:val="none" w:sz="0" w:space="0" w:color="auto"/>
      </w:divBdr>
    </w:div>
    <w:div w:id="2060203057">
      <w:bodyDiv w:val="1"/>
      <w:marLeft w:val="0"/>
      <w:marRight w:val="0"/>
      <w:marTop w:val="0"/>
      <w:marBottom w:val="0"/>
      <w:divBdr>
        <w:top w:val="none" w:sz="0" w:space="0" w:color="auto"/>
        <w:left w:val="none" w:sz="0" w:space="0" w:color="auto"/>
        <w:bottom w:val="none" w:sz="0" w:space="0" w:color="auto"/>
        <w:right w:val="none" w:sz="0" w:space="0" w:color="auto"/>
      </w:divBdr>
    </w:div>
    <w:div w:id="2060204707">
      <w:bodyDiv w:val="1"/>
      <w:marLeft w:val="0"/>
      <w:marRight w:val="0"/>
      <w:marTop w:val="0"/>
      <w:marBottom w:val="0"/>
      <w:divBdr>
        <w:top w:val="none" w:sz="0" w:space="0" w:color="auto"/>
        <w:left w:val="none" w:sz="0" w:space="0" w:color="auto"/>
        <w:bottom w:val="none" w:sz="0" w:space="0" w:color="auto"/>
        <w:right w:val="none" w:sz="0" w:space="0" w:color="auto"/>
      </w:divBdr>
    </w:div>
    <w:div w:id="2060205825">
      <w:bodyDiv w:val="1"/>
      <w:marLeft w:val="0"/>
      <w:marRight w:val="0"/>
      <w:marTop w:val="0"/>
      <w:marBottom w:val="0"/>
      <w:divBdr>
        <w:top w:val="none" w:sz="0" w:space="0" w:color="auto"/>
        <w:left w:val="none" w:sz="0" w:space="0" w:color="auto"/>
        <w:bottom w:val="none" w:sz="0" w:space="0" w:color="auto"/>
        <w:right w:val="none" w:sz="0" w:space="0" w:color="auto"/>
      </w:divBdr>
    </w:div>
    <w:div w:id="2060351905">
      <w:bodyDiv w:val="1"/>
      <w:marLeft w:val="0"/>
      <w:marRight w:val="0"/>
      <w:marTop w:val="0"/>
      <w:marBottom w:val="0"/>
      <w:divBdr>
        <w:top w:val="none" w:sz="0" w:space="0" w:color="auto"/>
        <w:left w:val="none" w:sz="0" w:space="0" w:color="auto"/>
        <w:bottom w:val="none" w:sz="0" w:space="0" w:color="auto"/>
        <w:right w:val="none" w:sz="0" w:space="0" w:color="auto"/>
      </w:divBdr>
    </w:div>
    <w:div w:id="2060736534">
      <w:bodyDiv w:val="1"/>
      <w:marLeft w:val="0"/>
      <w:marRight w:val="0"/>
      <w:marTop w:val="0"/>
      <w:marBottom w:val="0"/>
      <w:divBdr>
        <w:top w:val="none" w:sz="0" w:space="0" w:color="auto"/>
        <w:left w:val="none" w:sz="0" w:space="0" w:color="auto"/>
        <w:bottom w:val="none" w:sz="0" w:space="0" w:color="auto"/>
        <w:right w:val="none" w:sz="0" w:space="0" w:color="auto"/>
      </w:divBdr>
    </w:div>
    <w:div w:id="2060788337">
      <w:bodyDiv w:val="1"/>
      <w:marLeft w:val="0"/>
      <w:marRight w:val="0"/>
      <w:marTop w:val="0"/>
      <w:marBottom w:val="0"/>
      <w:divBdr>
        <w:top w:val="none" w:sz="0" w:space="0" w:color="auto"/>
        <w:left w:val="none" w:sz="0" w:space="0" w:color="auto"/>
        <w:bottom w:val="none" w:sz="0" w:space="0" w:color="auto"/>
        <w:right w:val="none" w:sz="0" w:space="0" w:color="auto"/>
      </w:divBdr>
    </w:div>
    <w:div w:id="2060811624">
      <w:bodyDiv w:val="1"/>
      <w:marLeft w:val="0"/>
      <w:marRight w:val="0"/>
      <w:marTop w:val="0"/>
      <w:marBottom w:val="0"/>
      <w:divBdr>
        <w:top w:val="none" w:sz="0" w:space="0" w:color="auto"/>
        <w:left w:val="none" w:sz="0" w:space="0" w:color="auto"/>
        <w:bottom w:val="none" w:sz="0" w:space="0" w:color="auto"/>
        <w:right w:val="none" w:sz="0" w:space="0" w:color="auto"/>
      </w:divBdr>
    </w:div>
    <w:div w:id="2061856266">
      <w:bodyDiv w:val="1"/>
      <w:marLeft w:val="0"/>
      <w:marRight w:val="0"/>
      <w:marTop w:val="0"/>
      <w:marBottom w:val="0"/>
      <w:divBdr>
        <w:top w:val="none" w:sz="0" w:space="0" w:color="auto"/>
        <w:left w:val="none" w:sz="0" w:space="0" w:color="auto"/>
        <w:bottom w:val="none" w:sz="0" w:space="0" w:color="auto"/>
        <w:right w:val="none" w:sz="0" w:space="0" w:color="auto"/>
      </w:divBdr>
    </w:div>
    <w:div w:id="2062703478">
      <w:bodyDiv w:val="1"/>
      <w:marLeft w:val="0"/>
      <w:marRight w:val="0"/>
      <w:marTop w:val="0"/>
      <w:marBottom w:val="0"/>
      <w:divBdr>
        <w:top w:val="none" w:sz="0" w:space="0" w:color="auto"/>
        <w:left w:val="none" w:sz="0" w:space="0" w:color="auto"/>
        <w:bottom w:val="none" w:sz="0" w:space="0" w:color="auto"/>
        <w:right w:val="none" w:sz="0" w:space="0" w:color="auto"/>
      </w:divBdr>
    </w:div>
    <w:div w:id="2062821409">
      <w:bodyDiv w:val="1"/>
      <w:marLeft w:val="0"/>
      <w:marRight w:val="0"/>
      <w:marTop w:val="0"/>
      <w:marBottom w:val="0"/>
      <w:divBdr>
        <w:top w:val="none" w:sz="0" w:space="0" w:color="auto"/>
        <w:left w:val="none" w:sz="0" w:space="0" w:color="auto"/>
        <w:bottom w:val="none" w:sz="0" w:space="0" w:color="auto"/>
        <w:right w:val="none" w:sz="0" w:space="0" w:color="auto"/>
      </w:divBdr>
    </w:div>
    <w:div w:id="2063022226">
      <w:bodyDiv w:val="1"/>
      <w:marLeft w:val="0"/>
      <w:marRight w:val="0"/>
      <w:marTop w:val="0"/>
      <w:marBottom w:val="0"/>
      <w:divBdr>
        <w:top w:val="none" w:sz="0" w:space="0" w:color="auto"/>
        <w:left w:val="none" w:sz="0" w:space="0" w:color="auto"/>
        <w:bottom w:val="none" w:sz="0" w:space="0" w:color="auto"/>
        <w:right w:val="none" w:sz="0" w:space="0" w:color="auto"/>
      </w:divBdr>
    </w:div>
    <w:div w:id="2063165979">
      <w:bodyDiv w:val="1"/>
      <w:marLeft w:val="0"/>
      <w:marRight w:val="0"/>
      <w:marTop w:val="0"/>
      <w:marBottom w:val="0"/>
      <w:divBdr>
        <w:top w:val="none" w:sz="0" w:space="0" w:color="auto"/>
        <w:left w:val="none" w:sz="0" w:space="0" w:color="auto"/>
        <w:bottom w:val="none" w:sz="0" w:space="0" w:color="auto"/>
        <w:right w:val="none" w:sz="0" w:space="0" w:color="auto"/>
      </w:divBdr>
    </w:div>
    <w:div w:id="2063361887">
      <w:bodyDiv w:val="1"/>
      <w:marLeft w:val="0"/>
      <w:marRight w:val="0"/>
      <w:marTop w:val="0"/>
      <w:marBottom w:val="0"/>
      <w:divBdr>
        <w:top w:val="none" w:sz="0" w:space="0" w:color="auto"/>
        <w:left w:val="none" w:sz="0" w:space="0" w:color="auto"/>
        <w:bottom w:val="none" w:sz="0" w:space="0" w:color="auto"/>
        <w:right w:val="none" w:sz="0" w:space="0" w:color="auto"/>
      </w:divBdr>
    </w:div>
    <w:div w:id="2063362574">
      <w:bodyDiv w:val="1"/>
      <w:marLeft w:val="0"/>
      <w:marRight w:val="0"/>
      <w:marTop w:val="0"/>
      <w:marBottom w:val="0"/>
      <w:divBdr>
        <w:top w:val="none" w:sz="0" w:space="0" w:color="auto"/>
        <w:left w:val="none" w:sz="0" w:space="0" w:color="auto"/>
        <w:bottom w:val="none" w:sz="0" w:space="0" w:color="auto"/>
        <w:right w:val="none" w:sz="0" w:space="0" w:color="auto"/>
      </w:divBdr>
    </w:div>
    <w:div w:id="2063865017">
      <w:bodyDiv w:val="1"/>
      <w:marLeft w:val="0"/>
      <w:marRight w:val="0"/>
      <w:marTop w:val="0"/>
      <w:marBottom w:val="0"/>
      <w:divBdr>
        <w:top w:val="none" w:sz="0" w:space="0" w:color="auto"/>
        <w:left w:val="none" w:sz="0" w:space="0" w:color="auto"/>
        <w:bottom w:val="none" w:sz="0" w:space="0" w:color="auto"/>
        <w:right w:val="none" w:sz="0" w:space="0" w:color="auto"/>
      </w:divBdr>
    </w:div>
    <w:div w:id="2064015206">
      <w:bodyDiv w:val="1"/>
      <w:marLeft w:val="0"/>
      <w:marRight w:val="0"/>
      <w:marTop w:val="0"/>
      <w:marBottom w:val="0"/>
      <w:divBdr>
        <w:top w:val="none" w:sz="0" w:space="0" w:color="auto"/>
        <w:left w:val="none" w:sz="0" w:space="0" w:color="auto"/>
        <w:bottom w:val="none" w:sz="0" w:space="0" w:color="auto"/>
        <w:right w:val="none" w:sz="0" w:space="0" w:color="auto"/>
      </w:divBdr>
    </w:div>
    <w:div w:id="2064060143">
      <w:bodyDiv w:val="1"/>
      <w:marLeft w:val="0"/>
      <w:marRight w:val="0"/>
      <w:marTop w:val="0"/>
      <w:marBottom w:val="0"/>
      <w:divBdr>
        <w:top w:val="none" w:sz="0" w:space="0" w:color="auto"/>
        <w:left w:val="none" w:sz="0" w:space="0" w:color="auto"/>
        <w:bottom w:val="none" w:sz="0" w:space="0" w:color="auto"/>
        <w:right w:val="none" w:sz="0" w:space="0" w:color="auto"/>
      </w:divBdr>
    </w:div>
    <w:div w:id="2064404324">
      <w:bodyDiv w:val="1"/>
      <w:marLeft w:val="0"/>
      <w:marRight w:val="0"/>
      <w:marTop w:val="0"/>
      <w:marBottom w:val="0"/>
      <w:divBdr>
        <w:top w:val="none" w:sz="0" w:space="0" w:color="auto"/>
        <w:left w:val="none" w:sz="0" w:space="0" w:color="auto"/>
        <w:bottom w:val="none" w:sz="0" w:space="0" w:color="auto"/>
        <w:right w:val="none" w:sz="0" w:space="0" w:color="auto"/>
      </w:divBdr>
    </w:div>
    <w:div w:id="2064596371">
      <w:bodyDiv w:val="1"/>
      <w:marLeft w:val="0"/>
      <w:marRight w:val="0"/>
      <w:marTop w:val="0"/>
      <w:marBottom w:val="0"/>
      <w:divBdr>
        <w:top w:val="none" w:sz="0" w:space="0" w:color="auto"/>
        <w:left w:val="none" w:sz="0" w:space="0" w:color="auto"/>
        <w:bottom w:val="none" w:sz="0" w:space="0" w:color="auto"/>
        <w:right w:val="none" w:sz="0" w:space="0" w:color="auto"/>
      </w:divBdr>
    </w:div>
    <w:div w:id="2064670092">
      <w:bodyDiv w:val="1"/>
      <w:marLeft w:val="0"/>
      <w:marRight w:val="0"/>
      <w:marTop w:val="0"/>
      <w:marBottom w:val="0"/>
      <w:divBdr>
        <w:top w:val="none" w:sz="0" w:space="0" w:color="auto"/>
        <w:left w:val="none" w:sz="0" w:space="0" w:color="auto"/>
        <w:bottom w:val="none" w:sz="0" w:space="0" w:color="auto"/>
        <w:right w:val="none" w:sz="0" w:space="0" w:color="auto"/>
      </w:divBdr>
    </w:div>
    <w:div w:id="2064911268">
      <w:bodyDiv w:val="1"/>
      <w:marLeft w:val="0"/>
      <w:marRight w:val="0"/>
      <w:marTop w:val="0"/>
      <w:marBottom w:val="0"/>
      <w:divBdr>
        <w:top w:val="none" w:sz="0" w:space="0" w:color="auto"/>
        <w:left w:val="none" w:sz="0" w:space="0" w:color="auto"/>
        <w:bottom w:val="none" w:sz="0" w:space="0" w:color="auto"/>
        <w:right w:val="none" w:sz="0" w:space="0" w:color="auto"/>
      </w:divBdr>
    </w:div>
    <w:div w:id="2066446992">
      <w:bodyDiv w:val="1"/>
      <w:marLeft w:val="0"/>
      <w:marRight w:val="0"/>
      <w:marTop w:val="0"/>
      <w:marBottom w:val="0"/>
      <w:divBdr>
        <w:top w:val="none" w:sz="0" w:space="0" w:color="auto"/>
        <w:left w:val="none" w:sz="0" w:space="0" w:color="auto"/>
        <w:bottom w:val="none" w:sz="0" w:space="0" w:color="auto"/>
        <w:right w:val="none" w:sz="0" w:space="0" w:color="auto"/>
      </w:divBdr>
    </w:div>
    <w:div w:id="2066755910">
      <w:bodyDiv w:val="1"/>
      <w:marLeft w:val="0"/>
      <w:marRight w:val="0"/>
      <w:marTop w:val="0"/>
      <w:marBottom w:val="0"/>
      <w:divBdr>
        <w:top w:val="none" w:sz="0" w:space="0" w:color="auto"/>
        <w:left w:val="none" w:sz="0" w:space="0" w:color="auto"/>
        <w:bottom w:val="none" w:sz="0" w:space="0" w:color="auto"/>
        <w:right w:val="none" w:sz="0" w:space="0" w:color="auto"/>
      </w:divBdr>
    </w:div>
    <w:div w:id="2067214475">
      <w:bodyDiv w:val="1"/>
      <w:marLeft w:val="0"/>
      <w:marRight w:val="0"/>
      <w:marTop w:val="0"/>
      <w:marBottom w:val="0"/>
      <w:divBdr>
        <w:top w:val="none" w:sz="0" w:space="0" w:color="auto"/>
        <w:left w:val="none" w:sz="0" w:space="0" w:color="auto"/>
        <w:bottom w:val="none" w:sz="0" w:space="0" w:color="auto"/>
        <w:right w:val="none" w:sz="0" w:space="0" w:color="auto"/>
      </w:divBdr>
    </w:div>
    <w:div w:id="2067486969">
      <w:bodyDiv w:val="1"/>
      <w:marLeft w:val="0"/>
      <w:marRight w:val="0"/>
      <w:marTop w:val="0"/>
      <w:marBottom w:val="0"/>
      <w:divBdr>
        <w:top w:val="none" w:sz="0" w:space="0" w:color="auto"/>
        <w:left w:val="none" w:sz="0" w:space="0" w:color="auto"/>
        <w:bottom w:val="none" w:sz="0" w:space="0" w:color="auto"/>
        <w:right w:val="none" w:sz="0" w:space="0" w:color="auto"/>
      </w:divBdr>
    </w:div>
    <w:div w:id="2068140166">
      <w:bodyDiv w:val="1"/>
      <w:marLeft w:val="0"/>
      <w:marRight w:val="0"/>
      <w:marTop w:val="0"/>
      <w:marBottom w:val="0"/>
      <w:divBdr>
        <w:top w:val="none" w:sz="0" w:space="0" w:color="auto"/>
        <w:left w:val="none" w:sz="0" w:space="0" w:color="auto"/>
        <w:bottom w:val="none" w:sz="0" w:space="0" w:color="auto"/>
        <w:right w:val="none" w:sz="0" w:space="0" w:color="auto"/>
      </w:divBdr>
    </w:div>
    <w:div w:id="2068141779">
      <w:bodyDiv w:val="1"/>
      <w:marLeft w:val="0"/>
      <w:marRight w:val="0"/>
      <w:marTop w:val="0"/>
      <w:marBottom w:val="0"/>
      <w:divBdr>
        <w:top w:val="none" w:sz="0" w:space="0" w:color="auto"/>
        <w:left w:val="none" w:sz="0" w:space="0" w:color="auto"/>
        <w:bottom w:val="none" w:sz="0" w:space="0" w:color="auto"/>
        <w:right w:val="none" w:sz="0" w:space="0" w:color="auto"/>
      </w:divBdr>
    </w:div>
    <w:div w:id="2068216293">
      <w:bodyDiv w:val="1"/>
      <w:marLeft w:val="0"/>
      <w:marRight w:val="0"/>
      <w:marTop w:val="0"/>
      <w:marBottom w:val="0"/>
      <w:divBdr>
        <w:top w:val="none" w:sz="0" w:space="0" w:color="auto"/>
        <w:left w:val="none" w:sz="0" w:space="0" w:color="auto"/>
        <w:bottom w:val="none" w:sz="0" w:space="0" w:color="auto"/>
        <w:right w:val="none" w:sz="0" w:space="0" w:color="auto"/>
      </w:divBdr>
    </w:div>
    <w:div w:id="2068456448">
      <w:bodyDiv w:val="1"/>
      <w:marLeft w:val="0"/>
      <w:marRight w:val="0"/>
      <w:marTop w:val="0"/>
      <w:marBottom w:val="0"/>
      <w:divBdr>
        <w:top w:val="none" w:sz="0" w:space="0" w:color="auto"/>
        <w:left w:val="none" w:sz="0" w:space="0" w:color="auto"/>
        <w:bottom w:val="none" w:sz="0" w:space="0" w:color="auto"/>
        <w:right w:val="none" w:sz="0" w:space="0" w:color="auto"/>
      </w:divBdr>
    </w:div>
    <w:div w:id="2068718517">
      <w:bodyDiv w:val="1"/>
      <w:marLeft w:val="0"/>
      <w:marRight w:val="0"/>
      <w:marTop w:val="0"/>
      <w:marBottom w:val="0"/>
      <w:divBdr>
        <w:top w:val="none" w:sz="0" w:space="0" w:color="auto"/>
        <w:left w:val="none" w:sz="0" w:space="0" w:color="auto"/>
        <w:bottom w:val="none" w:sz="0" w:space="0" w:color="auto"/>
        <w:right w:val="none" w:sz="0" w:space="0" w:color="auto"/>
      </w:divBdr>
    </w:div>
    <w:div w:id="2069450532">
      <w:bodyDiv w:val="1"/>
      <w:marLeft w:val="0"/>
      <w:marRight w:val="0"/>
      <w:marTop w:val="0"/>
      <w:marBottom w:val="0"/>
      <w:divBdr>
        <w:top w:val="none" w:sz="0" w:space="0" w:color="auto"/>
        <w:left w:val="none" w:sz="0" w:space="0" w:color="auto"/>
        <w:bottom w:val="none" w:sz="0" w:space="0" w:color="auto"/>
        <w:right w:val="none" w:sz="0" w:space="0" w:color="auto"/>
      </w:divBdr>
    </w:div>
    <w:div w:id="2069646355">
      <w:bodyDiv w:val="1"/>
      <w:marLeft w:val="0"/>
      <w:marRight w:val="0"/>
      <w:marTop w:val="0"/>
      <w:marBottom w:val="0"/>
      <w:divBdr>
        <w:top w:val="none" w:sz="0" w:space="0" w:color="auto"/>
        <w:left w:val="none" w:sz="0" w:space="0" w:color="auto"/>
        <w:bottom w:val="none" w:sz="0" w:space="0" w:color="auto"/>
        <w:right w:val="none" w:sz="0" w:space="0" w:color="auto"/>
      </w:divBdr>
    </w:div>
    <w:div w:id="2069719005">
      <w:bodyDiv w:val="1"/>
      <w:marLeft w:val="0"/>
      <w:marRight w:val="0"/>
      <w:marTop w:val="0"/>
      <w:marBottom w:val="0"/>
      <w:divBdr>
        <w:top w:val="none" w:sz="0" w:space="0" w:color="auto"/>
        <w:left w:val="none" w:sz="0" w:space="0" w:color="auto"/>
        <w:bottom w:val="none" w:sz="0" w:space="0" w:color="auto"/>
        <w:right w:val="none" w:sz="0" w:space="0" w:color="auto"/>
      </w:divBdr>
    </w:div>
    <w:div w:id="2069723256">
      <w:bodyDiv w:val="1"/>
      <w:marLeft w:val="0"/>
      <w:marRight w:val="0"/>
      <w:marTop w:val="0"/>
      <w:marBottom w:val="0"/>
      <w:divBdr>
        <w:top w:val="none" w:sz="0" w:space="0" w:color="auto"/>
        <w:left w:val="none" w:sz="0" w:space="0" w:color="auto"/>
        <w:bottom w:val="none" w:sz="0" w:space="0" w:color="auto"/>
        <w:right w:val="none" w:sz="0" w:space="0" w:color="auto"/>
      </w:divBdr>
    </w:div>
    <w:div w:id="2070761605">
      <w:bodyDiv w:val="1"/>
      <w:marLeft w:val="0"/>
      <w:marRight w:val="0"/>
      <w:marTop w:val="0"/>
      <w:marBottom w:val="0"/>
      <w:divBdr>
        <w:top w:val="none" w:sz="0" w:space="0" w:color="auto"/>
        <w:left w:val="none" w:sz="0" w:space="0" w:color="auto"/>
        <w:bottom w:val="none" w:sz="0" w:space="0" w:color="auto"/>
        <w:right w:val="none" w:sz="0" w:space="0" w:color="auto"/>
      </w:divBdr>
    </w:div>
    <w:div w:id="2070958372">
      <w:bodyDiv w:val="1"/>
      <w:marLeft w:val="0"/>
      <w:marRight w:val="0"/>
      <w:marTop w:val="0"/>
      <w:marBottom w:val="0"/>
      <w:divBdr>
        <w:top w:val="none" w:sz="0" w:space="0" w:color="auto"/>
        <w:left w:val="none" w:sz="0" w:space="0" w:color="auto"/>
        <w:bottom w:val="none" w:sz="0" w:space="0" w:color="auto"/>
        <w:right w:val="none" w:sz="0" w:space="0" w:color="auto"/>
      </w:divBdr>
    </w:div>
    <w:div w:id="2070959908">
      <w:bodyDiv w:val="1"/>
      <w:marLeft w:val="0"/>
      <w:marRight w:val="0"/>
      <w:marTop w:val="0"/>
      <w:marBottom w:val="0"/>
      <w:divBdr>
        <w:top w:val="none" w:sz="0" w:space="0" w:color="auto"/>
        <w:left w:val="none" w:sz="0" w:space="0" w:color="auto"/>
        <w:bottom w:val="none" w:sz="0" w:space="0" w:color="auto"/>
        <w:right w:val="none" w:sz="0" w:space="0" w:color="auto"/>
      </w:divBdr>
    </w:div>
    <w:div w:id="2071229629">
      <w:bodyDiv w:val="1"/>
      <w:marLeft w:val="0"/>
      <w:marRight w:val="0"/>
      <w:marTop w:val="0"/>
      <w:marBottom w:val="0"/>
      <w:divBdr>
        <w:top w:val="none" w:sz="0" w:space="0" w:color="auto"/>
        <w:left w:val="none" w:sz="0" w:space="0" w:color="auto"/>
        <w:bottom w:val="none" w:sz="0" w:space="0" w:color="auto"/>
        <w:right w:val="none" w:sz="0" w:space="0" w:color="auto"/>
      </w:divBdr>
    </w:div>
    <w:div w:id="2071490979">
      <w:bodyDiv w:val="1"/>
      <w:marLeft w:val="0"/>
      <w:marRight w:val="0"/>
      <w:marTop w:val="0"/>
      <w:marBottom w:val="0"/>
      <w:divBdr>
        <w:top w:val="none" w:sz="0" w:space="0" w:color="auto"/>
        <w:left w:val="none" w:sz="0" w:space="0" w:color="auto"/>
        <w:bottom w:val="none" w:sz="0" w:space="0" w:color="auto"/>
        <w:right w:val="none" w:sz="0" w:space="0" w:color="auto"/>
      </w:divBdr>
    </w:div>
    <w:div w:id="2071614995">
      <w:bodyDiv w:val="1"/>
      <w:marLeft w:val="0"/>
      <w:marRight w:val="0"/>
      <w:marTop w:val="0"/>
      <w:marBottom w:val="0"/>
      <w:divBdr>
        <w:top w:val="none" w:sz="0" w:space="0" w:color="auto"/>
        <w:left w:val="none" w:sz="0" w:space="0" w:color="auto"/>
        <w:bottom w:val="none" w:sz="0" w:space="0" w:color="auto"/>
        <w:right w:val="none" w:sz="0" w:space="0" w:color="auto"/>
      </w:divBdr>
    </w:div>
    <w:div w:id="2072148765">
      <w:bodyDiv w:val="1"/>
      <w:marLeft w:val="0"/>
      <w:marRight w:val="0"/>
      <w:marTop w:val="0"/>
      <w:marBottom w:val="0"/>
      <w:divBdr>
        <w:top w:val="none" w:sz="0" w:space="0" w:color="auto"/>
        <w:left w:val="none" w:sz="0" w:space="0" w:color="auto"/>
        <w:bottom w:val="none" w:sz="0" w:space="0" w:color="auto"/>
        <w:right w:val="none" w:sz="0" w:space="0" w:color="auto"/>
      </w:divBdr>
    </w:div>
    <w:div w:id="2072538749">
      <w:bodyDiv w:val="1"/>
      <w:marLeft w:val="0"/>
      <w:marRight w:val="0"/>
      <w:marTop w:val="0"/>
      <w:marBottom w:val="0"/>
      <w:divBdr>
        <w:top w:val="none" w:sz="0" w:space="0" w:color="auto"/>
        <w:left w:val="none" w:sz="0" w:space="0" w:color="auto"/>
        <w:bottom w:val="none" w:sz="0" w:space="0" w:color="auto"/>
        <w:right w:val="none" w:sz="0" w:space="0" w:color="auto"/>
      </w:divBdr>
    </w:div>
    <w:div w:id="2072775334">
      <w:bodyDiv w:val="1"/>
      <w:marLeft w:val="0"/>
      <w:marRight w:val="0"/>
      <w:marTop w:val="0"/>
      <w:marBottom w:val="0"/>
      <w:divBdr>
        <w:top w:val="none" w:sz="0" w:space="0" w:color="auto"/>
        <w:left w:val="none" w:sz="0" w:space="0" w:color="auto"/>
        <w:bottom w:val="none" w:sz="0" w:space="0" w:color="auto"/>
        <w:right w:val="none" w:sz="0" w:space="0" w:color="auto"/>
      </w:divBdr>
    </w:div>
    <w:div w:id="2073110990">
      <w:bodyDiv w:val="1"/>
      <w:marLeft w:val="0"/>
      <w:marRight w:val="0"/>
      <w:marTop w:val="0"/>
      <w:marBottom w:val="0"/>
      <w:divBdr>
        <w:top w:val="none" w:sz="0" w:space="0" w:color="auto"/>
        <w:left w:val="none" w:sz="0" w:space="0" w:color="auto"/>
        <w:bottom w:val="none" w:sz="0" w:space="0" w:color="auto"/>
        <w:right w:val="none" w:sz="0" w:space="0" w:color="auto"/>
      </w:divBdr>
    </w:div>
    <w:div w:id="2073113167">
      <w:bodyDiv w:val="1"/>
      <w:marLeft w:val="0"/>
      <w:marRight w:val="0"/>
      <w:marTop w:val="0"/>
      <w:marBottom w:val="0"/>
      <w:divBdr>
        <w:top w:val="none" w:sz="0" w:space="0" w:color="auto"/>
        <w:left w:val="none" w:sz="0" w:space="0" w:color="auto"/>
        <w:bottom w:val="none" w:sz="0" w:space="0" w:color="auto"/>
        <w:right w:val="none" w:sz="0" w:space="0" w:color="auto"/>
      </w:divBdr>
    </w:div>
    <w:div w:id="2073501135">
      <w:bodyDiv w:val="1"/>
      <w:marLeft w:val="0"/>
      <w:marRight w:val="0"/>
      <w:marTop w:val="0"/>
      <w:marBottom w:val="0"/>
      <w:divBdr>
        <w:top w:val="none" w:sz="0" w:space="0" w:color="auto"/>
        <w:left w:val="none" w:sz="0" w:space="0" w:color="auto"/>
        <w:bottom w:val="none" w:sz="0" w:space="0" w:color="auto"/>
        <w:right w:val="none" w:sz="0" w:space="0" w:color="auto"/>
      </w:divBdr>
    </w:div>
    <w:div w:id="2073776054">
      <w:bodyDiv w:val="1"/>
      <w:marLeft w:val="0"/>
      <w:marRight w:val="0"/>
      <w:marTop w:val="0"/>
      <w:marBottom w:val="0"/>
      <w:divBdr>
        <w:top w:val="none" w:sz="0" w:space="0" w:color="auto"/>
        <w:left w:val="none" w:sz="0" w:space="0" w:color="auto"/>
        <w:bottom w:val="none" w:sz="0" w:space="0" w:color="auto"/>
        <w:right w:val="none" w:sz="0" w:space="0" w:color="auto"/>
      </w:divBdr>
    </w:div>
    <w:div w:id="2074154197">
      <w:bodyDiv w:val="1"/>
      <w:marLeft w:val="0"/>
      <w:marRight w:val="0"/>
      <w:marTop w:val="0"/>
      <w:marBottom w:val="0"/>
      <w:divBdr>
        <w:top w:val="none" w:sz="0" w:space="0" w:color="auto"/>
        <w:left w:val="none" w:sz="0" w:space="0" w:color="auto"/>
        <w:bottom w:val="none" w:sz="0" w:space="0" w:color="auto"/>
        <w:right w:val="none" w:sz="0" w:space="0" w:color="auto"/>
      </w:divBdr>
    </w:div>
    <w:div w:id="2074622339">
      <w:bodyDiv w:val="1"/>
      <w:marLeft w:val="0"/>
      <w:marRight w:val="0"/>
      <w:marTop w:val="0"/>
      <w:marBottom w:val="0"/>
      <w:divBdr>
        <w:top w:val="none" w:sz="0" w:space="0" w:color="auto"/>
        <w:left w:val="none" w:sz="0" w:space="0" w:color="auto"/>
        <w:bottom w:val="none" w:sz="0" w:space="0" w:color="auto"/>
        <w:right w:val="none" w:sz="0" w:space="0" w:color="auto"/>
      </w:divBdr>
    </w:div>
    <w:div w:id="2075078810">
      <w:bodyDiv w:val="1"/>
      <w:marLeft w:val="0"/>
      <w:marRight w:val="0"/>
      <w:marTop w:val="0"/>
      <w:marBottom w:val="0"/>
      <w:divBdr>
        <w:top w:val="none" w:sz="0" w:space="0" w:color="auto"/>
        <w:left w:val="none" w:sz="0" w:space="0" w:color="auto"/>
        <w:bottom w:val="none" w:sz="0" w:space="0" w:color="auto"/>
        <w:right w:val="none" w:sz="0" w:space="0" w:color="auto"/>
      </w:divBdr>
    </w:div>
    <w:div w:id="2076201962">
      <w:bodyDiv w:val="1"/>
      <w:marLeft w:val="0"/>
      <w:marRight w:val="0"/>
      <w:marTop w:val="0"/>
      <w:marBottom w:val="0"/>
      <w:divBdr>
        <w:top w:val="none" w:sz="0" w:space="0" w:color="auto"/>
        <w:left w:val="none" w:sz="0" w:space="0" w:color="auto"/>
        <w:bottom w:val="none" w:sz="0" w:space="0" w:color="auto"/>
        <w:right w:val="none" w:sz="0" w:space="0" w:color="auto"/>
      </w:divBdr>
    </w:div>
    <w:div w:id="2076311975">
      <w:bodyDiv w:val="1"/>
      <w:marLeft w:val="0"/>
      <w:marRight w:val="0"/>
      <w:marTop w:val="0"/>
      <w:marBottom w:val="0"/>
      <w:divBdr>
        <w:top w:val="none" w:sz="0" w:space="0" w:color="auto"/>
        <w:left w:val="none" w:sz="0" w:space="0" w:color="auto"/>
        <w:bottom w:val="none" w:sz="0" w:space="0" w:color="auto"/>
        <w:right w:val="none" w:sz="0" w:space="0" w:color="auto"/>
      </w:divBdr>
    </w:div>
    <w:div w:id="2077511747">
      <w:bodyDiv w:val="1"/>
      <w:marLeft w:val="0"/>
      <w:marRight w:val="0"/>
      <w:marTop w:val="0"/>
      <w:marBottom w:val="0"/>
      <w:divBdr>
        <w:top w:val="none" w:sz="0" w:space="0" w:color="auto"/>
        <w:left w:val="none" w:sz="0" w:space="0" w:color="auto"/>
        <w:bottom w:val="none" w:sz="0" w:space="0" w:color="auto"/>
        <w:right w:val="none" w:sz="0" w:space="0" w:color="auto"/>
      </w:divBdr>
    </w:div>
    <w:div w:id="2077589320">
      <w:bodyDiv w:val="1"/>
      <w:marLeft w:val="0"/>
      <w:marRight w:val="0"/>
      <w:marTop w:val="0"/>
      <w:marBottom w:val="0"/>
      <w:divBdr>
        <w:top w:val="none" w:sz="0" w:space="0" w:color="auto"/>
        <w:left w:val="none" w:sz="0" w:space="0" w:color="auto"/>
        <w:bottom w:val="none" w:sz="0" w:space="0" w:color="auto"/>
        <w:right w:val="none" w:sz="0" w:space="0" w:color="auto"/>
      </w:divBdr>
    </w:div>
    <w:div w:id="2077974278">
      <w:bodyDiv w:val="1"/>
      <w:marLeft w:val="0"/>
      <w:marRight w:val="0"/>
      <w:marTop w:val="0"/>
      <w:marBottom w:val="0"/>
      <w:divBdr>
        <w:top w:val="none" w:sz="0" w:space="0" w:color="auto"/>
        <w:left w:val="none" w:sz="0" w:space="0" w:color="auto"/>
        <w:bottom w:val="none" w:sz="0" w:space="0" w:color="auto"/>
        <w:right w:val="none" w:sz="0" w:space="0" w:color="auto"/>
      </w:divBdr>
    </w:div>
    <w:div w:id="2078239933">
      <w:bodyDiv w:val="1"/>
      <w:marLeft w:val="0"/>
      <w:marRight w:val="0"/>
      <w:marTop w:val="0"/>
      <w:marBottom w:val="0"/>
      <w:divBdr>
        <w:top w:val="none" w:sz="0" w:space="0" w:color="auto"/>
        <w:left w:val="none" w:sz="0" w:space="0" w:color="auto"/>
        <w:bottom w:val="none" w:sz="0" w:space="0" w:color="auto"/>
        <w:right w:val="none" w:sz="0" w:space="0" w:color="auto"/>
      </w:divBdr>
    </w:div>
    <w:div w:id="2078438304">
      <w:bodyDiv w:val="1"/>
      <w:marLeft w:val="0"/>
      <w:marRight w:val="0"/>
      <w:marTop w:val="0"/>
      <w:marBottom w:val="0"/>
      <w:divBdr>
        <w:top w:val="none" w:sz="0" w:space="0" w:color="auto"/>
        <w:left w:val="none" w:sz="0" w:space="0" w:color="auto"/>
        <w:bottom w:val="none" w:sz="0" w:space="0" w:color="auto"/>
        <w:right w:val="none" w:sz="0" w:space="0" w:color="auto"/>
      </w:divBdr>
    </w:div>
    <w:div w:id="2079133612">
      <w:bodyDiv w:val="1"/>
      <w:marLeft w:val="0"/>
      <w:marRight w:val="0"/>
      <w:marTop w:val="0"/>
      <w:marBottom w:val="0"/>
      <w:divBdr>
        <w:top w:val="none" w:sz="0" w:space="0" w:color="auto"/>
        <w:left w:val="none" w:sz="0" w:space="0" w:color="auto"/>
        <w:bottom w:val="none" w:sz="0" w:space="0" w:color="auto"/>
        <w:right w:val="none" w:sz="0" w:space="0" w:color="auto"/>
      </w:divBdr>
    </w:div>
    <w:div w:id="2079478229">
      <w:bodyDiv w:val="1"/>
      <w:marLeft w:val="0"/>
      <w:marRight w:val="0"/>
      <w:marTop w:val="0"/>
      <w:marBottom w:val="0"/>
      <w:divBdr>
        <w:top w:val="none" w:sz="0" w:space="0" w:color="auto"/>
        <w:left w:val="none" w:sz="0" w:space="0" w:color="auto"/>
        <w:bottom w:val="none" w:sz="0" w:space="0" w:color="auto"/>
        <w:right w:val="none" w:sz="0" w:space="0" w:color="auto"/>
      </w:divBdr>
    </w:div>
    <w:div w:id="2079786269">
      <w:bodyDiv w:val="1"/>
      <w:marLeft w:val="0"/>
      <w:marRight w:val="0"/>
      <w:marTop w:val="0"/>
      <w:marBottom w:val="0"/>
      <w:divBdr>
        <w:top w:val="none" w:sz="0" w:space="0" w:color="auto"/>
        <w:left w:val="none" w:sz="0" w:space="0" w:color="auto"/>
        <w:bottom w:val="none" w:sz="0" w:space="0" w:color="auto"/>
        <w:right w:val="none" w:sz="0" w:space="0" w:color="auto"/>
      </w:divBdr>
    </w:div>
    <w:div w:id="2080058734">
      <w:bodyDiv w:val="1"/>
      <w:marLeft w:val="0"/>
      <w:marRight w:val="0"/>
      <w:marTop w:val="0"/>
      <w:marBottom w:val="0"/>
      <w:divBdr>
        <w:top w:val="none" w:sz="0" w:space="0" w:color="auto"/>
        <w:left w:val="none" w:sz="0" w:space="0" w:color="auto"/>
        <w:bottom w:val="none" w:sz="0" w:space="0" w:color="auto"/>
        <w:right w:val="none" w:sz="0" w:space="0" w:color="auto"/>
      </w:divBdr>
    </w:div>
    <w:div w:id="2080248241">
      <w:bodyDiv w:val="1"/>
      <w:marLeft w:val="0"/>
      <w:marRight w:val="0"/>
      <w:marTop w:val="0"/>
      <w:marBottom w:val="0"/>
      <w:divBdr>
        <w:top w:val="none" w:sz="0" w:space="0" w:color="auto"/>
        <w:left w:val="none" w:sz="0" w:space="0" w:color="auto"/>
        <w:bottom w:val="none" w:sz="0" w:space="0" w:color="auto"/>
        <w:right w:val="none" w:sz="0" w:space="0" w:color="auto"/>
      </w:divBdr>
    </w:div>
    <w:div w:id="2080446070">
      <w:bodyDiv w:val="1"/>
      <w:marLeft w:val="0"/>
      <w:marRight w:val="0"/>
      <w:marTop w:val="0"/>
      <w:marBottom w:val="0"/>
      <w:divBdr>
        <w:top w:val="none" w:sz="0" w:space="0" w:color="auto"/>
        <w:left w:val="none" w:sz="0" w:space="0" w:color="auto"/>
        <w:bottom w:val="none" w:sz="0" w:space="0" w:color="auto"/>
        <w:right w:val="none" w:sz="0" w:space="0" w:color="auto"/>
      </w:divBdr>
    </w:div>
    <w:div w:id="2080515338">
      <w:bodyDiv w:val="1"/>
      <w:marLeft w:val="0"/>
      <w:marRight w:val="0"/>
      <w:marTop w:val="0"/>
      <w:marBottom w:val="0"/>
      <w:divBdr>
        <w:top w:val="none" w:sz="0" w:space="0" w:color="auto"/>
        <w:left w:val="none" w:sz="0" w:space="0" w:color="auto"/>
        <w:bottom w:val="none" w:sz="0" w:space="0" w:color="auto"/>
        <w:right w:val="none" w:sz="0" w:space="0" w:color="auto"/>
      </w:divBdr>
    </w:div>
    <w:div w:id="2080977972">
      <w:bodyDiv w:val="1"/>
      <w:marLeft w:val="0"/>
      <w:marRight w:val="0"/>
      <w:marTop w:val="0"/>
      <w:marBottom w:val="0"/>
      <w:divBdr>
        <w:top w:val="none" w:sz="0" w:space="0" w:color="auto"/>
        <w:left w:val="none" w:sz="0" w:space="0" w:color="auto"/>
        <w:bottom w:val="none" w:sz="0" w:space="0" w:color="auto"/>
        <w:right w:val="none" w:sz="0" w:space="0" w:color="auto"/>
      </w:divBdr>
    </w:div>
    <w:div w:id="2081098603">
      <w:bodyDiv w:val="1"/>
      <w:marLeft w:val="0"/>
      <w:marRight w:val="0"/>
      <w:marTop w:val="0"/>
      <w:marBottom w:val="0"/>
      <w:divBdr>
        <w:top w:val="none" w:sz="0" w:space="0" w:color="auto"/>
        <w:left w:val="none" w:sz="0" w:space="0" w:color="auto"/>
        <w:bottom w:val="none" w:sz="0" w:space="0" w:color="auto"/>
        <w:right w:val="none" w:sz="0" w:space="0" w:color="auto"/>
      </w:divBdr>
    </w:div>
    <w:div w:id="2081511732">
      <w:bodyDiv w:val="1"/>
      <w:marLeft w:val="0"/>
      <w:marRight w:val="0"/>
      <w:marTop w:val="0"/>
      <w:marBottom w:val="0"/>
      <w:divBdr>
        <w:top w:val="none" w:sz="0" w:space="0" w:color="auto"/>
        <w:left w:val="none" w:sz="0" w:space="0" w:color="auto"/>
        <w:bottom w:val="none" w:sz="0" w:space="0" w:color="auto"/>
        <w:right w:val="none" w:sz="0" w:space="0" w:color="auto"/>
      </w:divBdr>
    </w:div>
    <w:div w:id="2082285307">
      <w:bodyDiv w:val="1"/>
      <w:marLeft w:val="0"/>
      <w:marRight w:val="0"/>
      <w:marTop w:val="0"/>
      <w:marBottom w:val="0"/>
      <w:divBdr>
        <w:top w:val="none" w:sz="0" w:space="0" w:color="auto"/>
        <w:left w:val="none" w:sz="0" w:space="0" w:color="auto"/>
        <w:bottom w:val="none" w:sz="0" w:space="0" w:color="auto"/>
        <w:right w:val="none" w:sz="0" w:space="0" w:color="auto"/>
      </w:divBdr>
    </w:div>
    <w:div w:id="2082363905">
      <w:bodyDiv w:val="1"/>
      <w:marLeft w:val="0"/>
      <w:marRight w:val="0"/>
      <w:marTop w:val="0"/>
      <w:marBottom w:val="0"/>
      <w:divBdr>
        <w:top w:val="none" w:sz="0" w:space="0" w:color="auto"/>
        <w:left w:val="none" w:sz="0" w:space="0" w:color="auto"/>
        <w:bottom w:val="none" w:sz="0" w:space="0" w:color="auto"/>
        <w:right w:val="none" w:sz="0" w:space="0" w:color="auto"/>
      </w:divBdr>
    </w:div>
    <w:div w:id="2082367764">
      <w:bodyDiv w:val="1"/>
      <w:marLeft w:val="0"/>
      <w:marRight w:val="0"/>
      <w:marTop w:val="0"/>
      <w:marBottom w:val="0"/>
      <w:divBdr>
        <w:top w:val="none" w:sz="0" w:space="0" w:color="auto"/>
        <w:left w:val="none" w:sz="0" w:space="0" w:color="auto"/>
        <w:bottom w:val="none" w:sz="0" w:space="0" w:color="auto"/>
        <w:right w:val="none" w:sz="0" w:space="0" w:color="auto"/>
      </w:divBdr>
    </w:div>
    <w:div w:id="2083020250">
      <w:bodyDiv w:val="1"/>
      <w:marLeft w:val="0"/>
      <w:marRight w:val="0"/>
      <w:marTop w:val="0"/>
      <w:marBottom w:val="0"/>
      <w:divBdr>
        <w:top w:val="none" w:sz="0" w:space="0" w:color="auto"/>
        <w:left w:val="none" w:sz="0" w:space="0" w:color="auto"/>
        <w:bottom w:val="none" w:sz="0" w:space="0" w:color="auto"/>
        <w:right w:val="none" w:sz="0" w:space="0" w:color="auto"/>
      </w:divBdr>
    </w:div>
    <w:div w:id="2083284623">
      <w:bodyDiv w:val="1"/>
      <w:marLeft w:val="0"/>
      <w:marRight w:val="0"/>
      <w:marTop w:val="0"/>
      <w:marBottom w:val="0"/>
      <w:divBdr>
        <w:top w:val="none" w:sz="0" w:space="0" w:color="auto"/>
        <w:left w:val="none" w:sz="0" w:space="0" w:color="auto"/>
        <w:bottom w:val="none" w:sz="0" w:space="0" w:color="auto"/>
        <w:right w:val="none" w:sz="0" w:space="0" w:color="auto"/>
      </w:divBdr>
    </w:div>
    <w:div w:id="2083328509">
      <w:bodyDiv w:val="1"/>
      <w:marLeft w:val="0"/>
      <w:marRight w:val="0"/>
      <w:marTop w:val="0"/>
      <w:marBottom w:val="0"/>
      <w:divBdr>
        <w:top w:val="none" w:sz="0" w:space="0" w:color="auto"/>
        <w:left w:val="none" w:sz="0" w:space="0" w:color="auto"/>
        <w:bottom w:val="none" w:sz="0" w:space="0" w:color="auto"/>
        <w:right w:val="none" w:sz="0" w:space="0" w:color="auto"/>
      </w:divBdr>
    </w:div>
    <w:div w:id="2083406119">
      <w:bodyDiv w:val="1"/>
      <w:marLeft w:val="0"/>
      <w:marRight w:val="0"/>
      <w:marTop w:val="0"/>
      <w:marBottom w:val="0"/>
      <w:divBdr>
        <w:top w:val="none" w:sz="0" w:space="0" w:color="auto"/>
        <w:left w:val="none" w:sz="0" w:space="0" w:color="auto"/>
        <w:bottom w:val="none" w:sz="0" w:space="0" w:color="auto"/>
        <w:right w:val="none" w:sz="0" w:space="0" w:color="auto"/>
      </w:divBdr>
    </w:div>
    <w:div w:id="2083982331">
      <w:bodyDiv w:val="1"/>
      <w:marLeft w:val="0"/>
      <w:marRight w:val="0"/>
      <w:marTop w:val="0"/>
      <w:marBottom w:val="0"/>
      <w:divBdr>
        <w:top w:val="none" w:sz="0" w:space="0" w:color="auto"/>
        <w:left w:val="none" w:sz="0" w:space="0" w:color="auto"/>
        <w:bottom w:val="none" w:sz="0" w:space="0" w:color="auto"/>
        <w:right w:val="none" w:sz="0" w:space="0" w:color="auto"/>
      </w:divBdr>
    </w:div>
    <w:div w:id="2083985952">
      <w:bodyDiv w:val="1"/>
      <w:marLeft w:val="0"/>
      <w:marRight w:val="0"/>
      <w:marTop w:val="0"/>
      <w:marBottom w:val="0"/>
      <w:divBdr>
        <w:top w:val="none" w:sz="0" w:space="0" w:color="auto"/>
        <w:left w:val="none" w:sz="0" w:space="0" w:color="auto"/>
        <w:bottom w:val="none" w:sz="0" w:space="0" w:color="auto"/>
        <w:right w:val="none" w:sz="0" w:space="0" w:color="auto"/>
      </w:divBdr>
    </w:div>
    <w:div w:id="2084255831">
      <w:bodyDiv w:val="1"/>
      <w:marLeft w:val="0"/>
      <w:marRight w:val="0"/>
      <w:marTop w:val="0"/>
      <w:marBottom w:val="0"/>
      <w:divBdr>
        <w:top w:val="none" w:sz="0" w:space="0" w:color="auto"/>
        <w:left w:val="none" w:sz="0" w:space="0" w:color="auto"/>
        <w:bottom w:val="none" w:sz="0" w:space="0" w:color="auto"/>
        <w:right w:val="none" w:sz="0" w:space="0" w:color="auto"/>
      </w:divBdr>
    </w:div>
    <w:div w:id="2084452086">
      <w:bodyDiv w:val="1"/>
      <w:marLeft w:val="0"/>
      <w:marRight w:val="0"/>
      <w:marTop w:val="0"/>
      <w:marBottom w:val="0"/>
      <w:divBdr>
        <w:top w:val="none" w:sz="0" w:space="0" w:color="auto"/>
        <w:left w:val="none" w:sz="0" w:space="0" w:color="auto"/>
        <w:bottom w:val="none" w:sz="0" w:space="0" w:color="auto"/>
        <w:right w:val="none" w:sz="0" w:space="0" w:color="auto"/>
      </w:divBdr>
    </w:div>
    <w:div w:id="2084792556">
      <w:bodyDiv w:val="1"/>
      <w:marLeft w:val="0"/>
      <w:marRight w:val="0"/>
      <w:marTop w:val="0"/>
      <w:marBottom w:val="0"/>
      <w:divBdr>
        <w:top w:val="none" w:sz="0" w:space="0" w:color="auto"/>
        <w:left w:val="none" w:sz="0" w:space="0" w:color="auto"/>
        <w:bottom w:val="none" w:sz="0" w:space="0" w:color="auto"/>
        <w:right w:val="none" w:sz="0" w:space="0" w:color="auto"/>
      </w:divBdr>
    </w:div>
    <w:div w:id="2084913329">
      <w:bodyDiv w:val="1"/>
      <w:marLeft w:val="0"/>
      <w:marRight w:val="0"/>
      <w:marTop w:val="0"/>
      <w:marBottom w:val="0"/>
      <w:divBdr>
        <w:top w:val="none" w:sz="0" w:space="0" w:color="auto"/>
        <w:left w:val="none" w:sz="0" w:space="0" w:color="auto"/>
        <w:bottom w:val="none" w:sz="0" w:space="0" w:color="auto"/>
        <w:right w:val="none" w:sz="0" w:space="0" w:color="auto"/>
      </w:divBdr>
    </w:div>
    <w:div w:id="2084990867">
      <w:bodyDiv w:val="1"/>
      <w:marLeft w:val="0"/>
      <w:marRight w:val="0"/>
      <w:marTop w:val="0"/>
      <w:marBottom w:val="0"/>
      <w:divBdr>
        <w:top w:val="none" w:sz="0" w:space="0" w:color="auto"/>
        <w:left w:val="none" w:sz="0" w:space="0" w:color="auto"/>
        <w:bottom w:val="none" w:sz="0" w:space="0" w:color="auto"/>
        <w:right w:val="none" w:sz="0" w:space="0" w:color="auto"/>
      </w:divBdr>
    </w:div>
    <w:div w:id="2085444384">
      <w:bodyDiv w:val="1"/>
      <w:marLeft w:val="0"/>
      <w:marRight w:val="0"/>
      <w:marTop w:val="0"/>
      <w:marBottom w:val="0"/>
      <w:divBdr>
        <w:top w:val="none" w:sz="0" w:space="0" w:color="auto"/>
        <w:left w:val="none" w:sz="0" w:space="0" w:color="auto"/>
        <w:bottom w:val="none" w:sz="0" w:space="0" w:color="auto"/>
        <w:right w:val="none" w:sz="0" w:space="0" w:color="auto"/>
      </w:divBdr>
    </w:div>
    <w:div w:id="2085835863">
      <w:bodyDiv w:val="1"/>
      <w:marLeft w:val="0"/>
      <w:marRight w:val="0"/>
      <w:marTop w:val="0"/>
      <w:marBottom w:val="0"/>
      <w:divBdr>
        <w:top w:val="none" w:sz="0" w:space="0" w:color="auto"/>
        <w:left w:val="none" w:sz="0" w:space="0" w:color="auto"/>
        <w:bottom w:val="none" w:sz="0" w:space="0" w:color="auto"/>
        <w:right w:val="none" w:sz="0" w:space="0" w:color="auto"/>
      </w:divBdr>
    </w:div>
    <w:div w:id="2085953842">
      <w:bodyDiv w:val="1"/>
      <w:marLeft w:val="0"/>
      <w:marRight w:val="0"/>
      <w:marTop w:val="0"/>
      <w:marBottom w:val="0"/>
      <w:divBdr>
        <w:top w:val="none" w:sz="0" w:space="0" w:color="auto"/>
        <w:left w:val="none" w:sz="0" w:space="0" w:color="auto"/>
        <w:bottom w:val="none" w:sz="0" w:space="0" w:color="auto"/>
        <w:right w:val="none" w:sz="0" w:space="0" w:color="auto"/>
      </w:divBdr>
    </w:div>
    <w:div w:id="2086103233">
      <w:bodyDiv w:val="1"/>
      <w:marLeft w:val="0"/>
      <w:marRight w:val="0"/>
      <w:marTop w:val="0"/>
      <w:marBottom w:val="0"/>
      <w:divBdr>
        <w:top w:val="none" w:sz="0" w:space="0" w:color="auto"/>
        <w:left w:val="none" w:sz="0" w:space="0" w:color="auto"/>
        <w:bottom w:val="none" w:sz="0" w:space="0" w:color="auto"/>
        <w:right w:val="none" w:sz="0" w:space="0" w:color="auto"/>
      </w:divBdr>
    </w:div>
    <w:div w:id="2086536656">
      <w:bodyDiv w:val="1"/>
      <w:marLeft w:val="0"/>
      <w:marRight w:val="0"/>
      <w:marTop w:val="0"/>
      <w:marBottom w:val="0"/>
      <w:divBdr>
        <w:top w:val="none" w:sz="0" w:space="0" w:color="auto"/>
        <w:left w:val="none" w:sz="0" w:space="0" w:color="auto"/>
        <w:bottom w:val="none" w:sz="0" w:space="0" w:color="auto"/>
        <w:right w:val="none" w:sz="0" w:space="0" w:color="auto"/>
      </w:divBdr>
    </w:div>
    <w:div w:id="2086683323">
      <w:bodyDiv w:val="1"/>
      <w:marLeft w:val="0"/>
      <w:marRight w:val="0"/>
      <w:marTop w:val="0"/>
      <w:marBottom w:val="0"/>
      <w:divBdr>
        <w:top w:val="none" w:sz="0" w:space="0" w:color="auto"/>
        <w:left w:val="none" w:sz="0" w:space="0" w:color="auto"/>
        <w:bottom w:val="none" w:sz="0" w:space="0" w:color="auto"/>
        <w:right w:val="none" w:sz="0" w:space="0" w:color="auto"/>
      </w:divBdr>
    </w:div>
    <w:div w:id="2086758388">
      <w:bodyDiv w:val="1"/>
      <w:marLeft w:val="0"/>
      <w:marRight w:val="0"/>
      <w:marTop w:val="0"/>
      <w:marBottom w:val="0"/>
      <w:divBdr>
        <w:top w:val="none" w:sz="0" w:space="0" w:color="auto"/>
        <w:left w:val="none" w:sz="0" w:space="0" w:color="auto"/>
        <w:bottom w:val="none" w:sz="0" w:space="0" w:color="auto"/>
        <w:right w:val="none" w:sz="0" w:space="0" w:color="auto"/>
      </w:divBdr>
    </w:div>
    <w:div w:id="2086829614">
      <w:bodyDiv w:val="1"/>
      <w:marLeft w:val="0"/>
      <w:marRight w:val="0"/>
      <w:marTop w:val="0"/>
      <w:marBottom w:val="0"/>
      <w:divBdr>
        <w:top w:val="none" w:sz="0" w:space="0" w:color="auto"/>
        <w:left w:val="none" w:sz="0" w:space="0" w:color="auto"/>
        <w:bottom w:val="none" w:sz="0" w:space="0" w:color="auto"/>
        <w:right w:val="none" w:sz="0" w:space="0" w:color="auto"/>
      </w:divBdr>
    </w:div>
    <w:div w:id="2087065804">
      <w:bodyDiv w:val="1"/>
      <w:marLeft w:val="0"/>
      <w:marRight w:val="0"/>
      <w:marTop w:val="0"/>
      <w:marBottom w:val="0"/>
      <w:divBdr>
        <w:top w:val="none" w:sz="0" w:space="0" w:color="auto"/>
        <w:left w:val="none" w:sz="0" w:space="0" w:color="auto"/>
        <w:bottom w:val="none" w:sz="0" w:space="0" w:color="auto"/>
        <w:right w:val="none" w:sz="0" w:space="0" w:color="auto"/>
      </w:divBdr>
    </w:div>
    <w:div w:id="2087146842">
      <w:bodyDiv w:val="1"/>
      <w:marLeft w:val="0"/>
      <w:marRight w:val="0"/>
      <w:marTop w:val="0"/>
      <w:marBottom w:val="0"/>
      <w:divBdr>
        <w:top w:val="none" w:sz="0" w:space="0" w:color="auto"/>
        <w:left w:val="none" w:sz="0" w:space="0" w:color="auto"/>
        <w:bottom w:val="none" w:sz="0" w:space="0" w:color="auto"/>
        <w:right w:val="none" w:sz="0" w:space="0" w:color="auto"/>
      </w:divBdr>
    </w:div>
    <w:div w:id="2088182319">
      <w:bodyDiv w:val="1"/>
      <w:marLeft w:val="0"/>
      <w:marRight w:val="0"/>
      <w:marTop w:val="0"/>
      <w:marBottom w:val="0"/>
      <w:divBdr>
        <w:top w:val="none" w:sz="0" w:space="0" w:color="auto"/>
        <w:left w:val="none" w:sz="0" w:space="0" w:color="auto"/>
        <w:bottom w:val="none" w:sz="0" w:space="0" w:color="auto"/>
        <w:right w:val="none" w:sz="0" w:space="0" w:color="auto"/>
      </w:divBdr>
    </w:div>
    <w:div w:id="2088764623">
      <w:bodyDiv w:val="1"/>
      <w:marLeft w:val="0"/>
      <w:marRight w:val="0"/>
      <w:marTop w:val="0"/>
      <w:marBottom w:val="0"/>
      <w:divBdr>
        <w:top w:val="none" w:sz="0" w:space="0" w:color="auto"/>
        <w:left w:val="none" w:sz="0" w:space="0" w:color="auto"/>
        <w:bottom w:val="none" w:sz="0" w:space="0" w:color="auto"/>
        <w:right w:val="none" w:sz="0" w:space="0" w:color="auto"/>
      </w:divBdr>
    </w:div>
    <w:div w:id="2088990908">
      <w:bodyDiv w:val="1"/>
      <w:marLeft w:val="0"/>
      <w:marRight w:val="0"/>
      <w:marTop w:val="0"/>
      <w:marBottom w:val="0"/>
      <w:divBdr>
        <w:top w:val="none" w:sz="0" w:space="0" w:color="auto"/>
        <w:left w:val="none" w:sz="0" w:space="0" w:color="auto"/>
        <w:bottom w:val="none" w:sz="0" w:space="0" w:color="auto"/>
        <w:right w:val="none" w:sz="0" w:space="0" w:color="auto"/>
      </w:divBdr>
    </w:div>
    <w:div w:id="2088992311">
      <w:bodyDiv w:val="1"/>
      <w:marLeft w:val="0"/>
      <w:marRight w:val="0"/>
      <w:marTop w:val="0"/>
      <w:marBottom w:val="0"/>
      <w:divBdr>
        <w:top w:val="none" w:sz="0" w:space="0" w:color="auto"/>
        <w:left w:val="none" w:sz="0" w:space="0" w:color="auto"/>
        <w:bottom w:val="none" w:sz="0" w:space="0" w:color="auto"/>
        <w:right w:val="none" w:sz="0" w:space="0" w:color="auto"/>
      </w:divBdr>
    </w:div>
    <w:div w:id="2089108596">
      <w:bodyDiv w:val="1"/>
      <w:marLeft w:val="0"/>
      <w:marRight w:val="0"/>
      <w:marTop w:val="0"/>
      <w:marBottom w:val="0"/>
      <w:divBdr>
        <w:top w:val="none" w:sz="0" w:space="0" w:color="auto"/>
        <w:left w:val="none" w:sz="0" w:space="0" w:color="auto"/>
        <w:bottom w:val="none" w:sz="0" w:space="0" w:color="auto"/>
        <w:right w:val="none" w:sz="0" w:space="0" w:color="auto"/>
      </w:divBdr>
    </w:div>
    <w:div w:id="2089224588">
      <w:bodyDiv w:val="1"/>
      <w:marLeft w:val="0"/>
      <w:marRight w:val="0"/>
      <w:marTop w:val="0"/>
      <w:marBottom w:val="0"/>
      <w:divBdr>
        <w:top w:val="none" w:sz="0" w:space="0" w:color="auto"/>
        <w:left w:val="none" w:sz="0" w:space="0" w:color="auto"/>
        <w:bottom w:val="none" w:sz="0" w:space="0" w:color="auto"/>
        <w:right w:val="none" w:sz="0" w:space="0" w:color="auto"/>
      </w:divBdr>
    </w:div>
    <w:div w:id="2089225403">
      <w:bodyDiv w:val="1"/>
      <w:marLeft w:val="0"/>
      <w:marRight w:val="0"/>
      <w:marTop w:val="0"/>
      <w:marBottom w:val="0"/>
      <w:divBdr>
        <w:top w:val="none" w:sz="0" w:space="0" w:color="auto"/>
        <w:left w:val="none" w:sz="0" w:space="0" w:color="auto"/>
        <w:bottom w:val="none" w:sz="0" w:space="0" w:color="auto"/>
        <w:right w:val="none" w:sz="0" w:space="0" w:color="auto"/>
      </w:divBdr>
    </w:div>
    <w:div w:id="2089500771">
      <w:bodyDiv w:val="1"/>
      <w:marLeft w:val="0"/>
      <w:marRight w:val="0"/>
      <w:marTop w:val="0"/>
      <w:marBottom w:val="0"/>
      <w:divBdr>
        <w:top w:val="none" w:sz="0" w:space="0" w:color="auto"/>
        <w:left w:val="none" w:sz="0" w:space="0" w:color="auto"/>
        <w:bottom w:val="none" w:sz="0" w:space="0" w:color="auto"/>
        <w:right w:val="none" w:sz="0" w:space="0" w:color="auto"/>
      </w:divBdr>
    </w:div>
    <w:div w:id="2089886408">
      <w:bodyDiv w:val="1"/>
      <w:marLeft w:val="0"/>
      <w:marRight w:val="0"/>
      <w:marTop w:val="0"/>
      <w:marBottom w:val="0"/>
      <w:divBdr>
        <w:top w:val="none" w:sz="0" w:space="0" w:color="auto"/>
        <w:left w:val="none" w:sz="0" w:space="0" w:color="auto"/>
        <w:bottom w:val="none" w:sz="0" w:space="0" w:color="auto"/>
        <w:right w:val="none" w:sz="0" w:space="0" w:color="auto"/>
      </w:divBdr>
    </w:div>
    <w:div w:id="2090032966">
      <w:bodyDiv w:val="1"/>
      <w:marLeft w:val="0"/>
      <w:marRight w:val="0"/>
      <w:marTop w:val="0"/>
      <w:marBottom w:val="0"/>
      <w:divBdr>
        <w:top w:val="none" w:sz="0" w:space="0" w:color="auto"/>
        <w:left w:val="none" w:sz="0" w:space="0" w:color="auto"/>
        <w:bottom w:val="none" w:sz="0" w:space="0" w:color="auto"/>
        <w:right w:val="none" w:sz="0" w:space="0" w:color="auto"/>
      </w:divBdr>
    </w:div>
    <w:div w:id="2090690774">
      <w:bodyDiv w:val="1"/>
      <w:marLeft w:val="0"/>
      <w:marRight w:val="0"/>
      <w:marTop w:val="0"/>
      <w:marBottom w:val="0"/>
      <w:divBdr>
        <w:top w:val="none" w:sz="0" w:space="0" w:color="auto"/>
        <w:left w:val="none" w:sz="0" w:space="0" w:color="auto"/>
        <w:bottom w:val="none" w:sz="0" w:space="0" w:color="auto"/>
        <w:right w:val="none" w:sz="0" w:space="0" w:color="auto"/>
      </w:divBdr>
    </w:div>
    <w:div w:id="2091390118">
      <w:bodyDiv w:val="1"/>
      <w:marLeft w:val="0"/>
      <w:marRight w:val="0"/>
      <w:marTop w:val="0"/>
      <w:marBottom w:val="0"/>
      <w:divBdr>
        <w:top w:val="none" w:sz="0" w:space="0" w:color="auto"/>
        <w:left w:val="none" w:sz="0" w:space="0" w:color="auto"/>
        <w:bottom w:val="none" w:sz="0" w:space="0" w:color="auto"/>
        <w:right w:val="none" w:sz="0" w:space="0" w:color="auto"/>
      </w:divBdr>
    </w:div>
    <w:div w:id="2091921258">
      <w:bodyDiv w:val="1"/>
      <w:marLeft w:val="0"/>
      <w:marRight w:val="0"/>
      <w:marTop w:val="0"/>
      <w:marBottom w:val="0"/>
      <w:divBdr>
        <w:top w:val="none" w:sz="0" w:space="0" w:color="auto"/>
        <w:left w:val="none" w:sz="0" w:space="0" w:color="auto"/>
        <w:bottom w:val="none" w:sz="0" w:space="0" w:color="auto"/>
        <w:right w:val="none" w:sz="0" w:space="0" w:color="auto"/>
      </w:divBdr>
    </w:div>
    <w:div w:id="2092853452">
      <w:bodyDiv w:val="1"/>
      <w:marLeft w:val="0"/>
      <w:marRight w:val="0"/>
      <w:marTop w:val="0"/>
      <w:marBottom w:val="0"/>
      <w:divBdr>
        <w:top w:val="none" w:sz="0" w:space="0" w:color="auto"/>
        <w:left w:val="none" w:sz="0" w:space="0" w:color="auto"/>
        <w:bottom w:val="none" w:sz="0" w:space="0" w:color="auto"/>
        <w:right w:val="none" w:sz="0" w:space="0" w:color="auto"/>
      </w:divBdr>
    </w:div>
    <w:div w:id="2093311656">
      <w:bodyDiv w:val="1"/>
      <w:marLeft w:val="0"/>
      <w:marRight w:val="0"/>
      <w:marTop w:val="0"/>
      <w:marBottom w:val="0"/>
      <w:divBdr>
        <w:top w:val="none" w:sz="0" w:space="0" w:color="auto"/>
        <w:left w:val="none" w:sz="0" w:space="0" w:color="auto"/>
        <w:bottom w:val="none" w:sz="0" w:space="0" w:color="auto"/>
        <w:right w:val="none" w:sz="0" w:space="0" w:color="auto"/>
      </w:divBdr>
    </w:div>
    <w:div w:id="2093502064">
      <w:bodyDiv w:val="1"/>
      <w:marLeft w:val="0"/>
      <w:marRight w:val="0"/>
      <w:marTop w:val="0"/>
      <w:marBottom w:val="0"/>
      <w:divBdr>
        <w:top w:val="none" w:sz="0" w:space="0" w:color="auto"/>
        <w:left w:val="none" w:sz="0" w:space="0" w:color="auto"/>
        <w:bottom w:val="none" w:sz="0" w:space="0" w:color="auto"/>
        <w:right w:val="none" w:sz="0" w:space="0" w:color="auto"/>
      </w:divBdr>
    </w:div>
    <w:div w:id="2093579954">
      <w:bodyDiv w:val="1"/>
      <w:marLeft w:val="0"/>
      <w:marRight w:val="0"/>
      <w:marTop w:val="0"/>
      <w:marBottom w:val="0"/>
      <w:divBdr>
        <w:top w:val="none" w:sz="0" w:space="0" w:color="auto"/>
        <w:left w:val="none" w:sz="0" w:space="0" w:color="auto"/>
        <w:bottom w:val="none" w:sz="0" w:space="0" w:color="auto"/>
        <w:right w:val="none" w:sz="0" w:space="0" w:color="auto"/>
      </w:divBdr>
    </w:div>
    <w:div w:id="2093620641">
      <w:bodyDiv w:val="1"/>
      <w:marLeft w:val="0"/>
      <w:marRight w:val="0"/>
      <w:marTop w:val="0"/>
      <w:marBottom w:val="0"/>
      <w:divBdr>
        <w:top w:val="none" w:sz="0" w:space="0" w:color="auto"/>
        <w:left w:val="none" w:sz="0" w:space="0" w:color="auto"/>
        <w:bottom w:val="none" w:sz="0" w:space="0" w:color="auto"/>
        <w:right w:val="none" w:sz="0" w:space="0" w:color="auto"/>
      </w:divBdr>
    </w:div>
    <w:div w:id="2094009653">
      <w:bodyDiv w:val="1"/>
      <w:marLeft w:val="0"/>
      <w:marRight w:val="0"/>
      <w:marTop w:val="0"/>
      <w:marBottom w:val="0"/>
      <w:divBdr>
        <w:top w:val="none" w:sz="0" w:space="0" w:color="auto"/>
        <w:left w:val="none" w:sz="0" w:space="0" w:color="auto"/>
        <w:bottom w:val="none" w:sz="0" w:space="0" w:color="auto"/>
        <w:right w:val="none" w:sz="0" w:space="0" w:color="auto"/>
      </w:divBdr>
    </w:div>
    <w:div w:id="2094356714">
      <w:bodyDiv w:val="1"/>
      <w:marLeft w:val="0"/>
      <w:marRight w:val="0"/>
      <w:marTop w:val="0"/>
      <w:marBottom w:val="0"/>
      <w:divBdr>
        <w:top w:val="none" w:sz="0" w:space="0" w:color="auto"/>
        <w:left w:val="none" w:sz="0" w:space="0" w:color="auto"/>
        <w:bottom w:val="none" w:sz="0" w:space="0" w:color="auto"/>
        <w:right w:val="none" w:sz="0" w:space="0" w:color="auto"/>
      </w:divBdr>
    </w:div>
    <w:div w:id="2094474206">
      <w:bodyDiv w:val="1"/>
      <w:marLeft w:val="0"/>
      <w:marRight w:val="0"/>
      <w:marTop w:val="0"/>
      <w:marBottom w:val="0"/>
      <w:divBdr>
        <w:top w:val="none" w:sz="0" w:space="0" w:color="auto"/>
        <w:left w:val="none" w:sz="0" w:space="0" w:color="auto"/>
        <w:bottom w:val="none" w:sz="0" w:space="0" w:color="auto"/>
        <w:right w:val="none" w:sz="0" w:space="0" w:color="auto"/>
      </w:divBdr>
    </w:div>
    <w:div w:id="2094542723">
      <w:bodyDiv w:val="1"/>
      <w:marLeft w:val="0"/>
      <w:marRight w:val="0"/>
      <w:marTop w:val="0"/>
      <w:marBottom w:val="0"/>
      <w:divBdr>
        <w:top w:val="none" w:sz="0" w:space="0" w:color="auto"/>
        <w:left w:val="none" w:sz="0" w:space="0" w:color="auto"/>
        <w:bottom w:val="none" w:sz="0" w:space="0" w:color="auto"/>
        <w:right w:val="none" w:sz="0" w:space="0" w:color="auto"/>
      </w:divBdr>
    </w:div>
    <w:div w:id="2094663856">
      <w:bodyDiv w:val="1"/>
      <w:marLeft w:val="0"/>
      <w:marRight w:val="0"/>
      <w:marTop w:val="0"/>
      <w:marBottom w:val="0"/>
      <w:divBdr>
        <w:top w:val="none" w:sz="0" w:space="0" w:color="auto"/>
        <w:left w:val="none" w:sz="0" w:space="0" w:color="auto"/>
        <w:bottom w:val="none" w:sz="0" w:space="0" w:color="auto"/>
        <w:right w:val="none" w:sz="0" w:space="0" w:color="auto"/>
      </w:divBdr>
    </w:div>
    <w:div w:id="2095011878">
      <w:bodyDiv w:val="1"/>
      <w:marLeft w:val="0"/>
      <w:marRight w:val="0"/>
      <w:marTop w:val="0"/>
      <w:marBottom w:val="0"/>
      <w:divBdr>
        <w:top w:val="none" w:sz="0" w:space="0" w:color="auto"/>
        <w:left w:val="none" w:sz="0" w:space="0" w:color="auto"/>
        <w:bottom w:val="none" w:sz="0" w:space="0" w:color="auto"/>
        <w:right w:val="none" w:sz="0" w:space="0" w:color="auto"/>
      </w:divBdr>
    </w:div>
    <w:div w:id="2095516671">
      <w:bodyDiv w:val="1"/>
      <w:marLeft w:val="0"/>
      <w:marRight w:val="0"/>
      <w:marTop w:val="0"/>
      <w:marBottom w:val="0"/>
      <w:divBdr>
        <w:top w:val="none" w:sz="0" w:space="0" w:color="auto"/>
        <w:left w:val="none" w:sz="0" w:space="0" w:color="auto"/>
        <w:bottom w:val="none" w:sz="0" w:space="0" w:color="auto"/>
        <w:right w:val="none" w:sz="0" w:space="0" w:color="auto"/>
      </w:divBdr>
    </w:div>
    <w:div w:id="2095741074">
      <w:bodyDiv w:val="1"/>
      <w:marLeft w:val="0"/>
      <w:marRight w:val="0"/>
      <w:marTop w:val="0"/>
      <w:marBottom w:val="0"/>
      <w:divBdr>
        <w:top w:val="none" w:sz="0" w:space="0" w:color="auto"/>
        <w:left w:val="none" w:sz="0" w:space="0" w:color="auto"/>
        <w:bottom w:val="none" w:sz="0" w:space="0" w:color="auto"/>
        <w:right w:val="none" w:sz="0" w:space="0" w:color="auto"/>
      </w:divBdr>
    </w:div>
    <w:div w:id="2096004043">
      <w:bodyDiv w:val="1"/>
      <w:marLeft w:val="0"/>
      <w:marRight w:val="0"/>
      <w:marTop w:val="0"/>
      <w:marBottom w:val="0"/>
      <w:divBdr>
        <w:top w:val="none" w:sz="0" w:space="0" w:color="auto"/>
        <w:left w:val="none" w:sz="0" w:space="0" w:color="auto"/>
        <w:bottom w:val="none" w:sz="0" w:space="0" w:color="auto"/>
        <w:right w:val="none" w:sz="0" w:space="0" w:color="auto"/>
      </w:divBdr>
    </w:div>
    <w:div w:id="2096240242">
      <w:bodyDiv w:val="1"/>
      <w:marLeft w:val="0"/>
      <w:marRight w:val="0"/>
      <w:marTop w:val="0"/>
      <w:marBottom w:val="0"/>
      <w:divBdr>
        <w:top w:val="none" w:sz="0" w:space="0" w:color="auto"/>
        <w:left w:val="none" w:sz="0" w:space="0" w:color="auto"/>
        <w:bottom w:val="none" w:sz="0" w:space="0" w:color="auto"/>
        <w:right w:val="none" w:sz="0" w:space="0" w:color="auto"/>
      </w:divBdr>
    </w:div>
    <w:div w:id="2096633128">
      <w:bodyDiv w:val="1"/>
      <w:marLeft w:val="0"/>
      <w:marRight w:val="0"/>
      <w:marTop w:val="0"/>
      <w:marBottom w:val="0"/>
      <w:divBdr>
        <w:top w:val="none" w:sz="0" w:space="0" w:color="auto"/>
        <w:left w:val="none" w:sz="0" w:space="0" w:color="auto"/>
        <w:bottom w:val="none" w:sz="0" w:space="0" w:color="auto"/>
        <w:right w:val="none" w:sz="0" w:space="0" w:color="auto"/>
      </w:divBdr>
    </w:div>
    <w:div w:id="2096704508">
      <w:bodyDiv w:val="1"/>
      <w:marLeft w:val="0"/>
      <w:marRight w:val="0"/>
      <w:marTop w:val="0"/>
      <w:marBottom w:val="0"/>
      <w:divBdr>
        <w:top w:val="none" w:sz="0" w:space="0" w:color="auto"/>
        <w:left w:val="none" w:sz="0" w:space="0" w:color="auto"/>
        <w:bottom w:val="none" w:sz="0" w:space="0" w:color="auto"/>
        <w:right w:val="none" w:sz="0" w:space="0" w:color="auto"/>
      </w:divBdr>
    </w:div>
    <w:div w:id="2096971031">
      <w:bodyDiv w:val="1"/>
      <w:marLeft w:val="0"/>
      <w:marRight w:val="0"/>
      <w:marTop w:val="0"/>
      <w:marBottom w:val="0"/>
      <w:divBdr>
        <w:top w:val="none" w:sz="0" w:space="0" w:color="auto"/>
        <w:left w:val="none" w:sz="0" w:space="0" w:color="auto"/>
        <w:bottom w:val="none" w:sz="0" w:space="0" w:color="auto"/>
        <w:right w:val="none" w:sz="0" w:space="0" w:color="auto"/>
      </w:divBdr>
    </w:div>
    <w:div w:id="2097088719">
      <w:bodyDiv w:val="1"/>
      <w:marLeft w:val="0"/>
      <w:marRight w:val="0"/>
      <w:marTop w:val="0"/>
      <w:marBottom w:val="0"/>
      <w:divBdr>
        <w:top w:val="none" w:sz="0" w:space="0" w:color="auto"/>
        <w:left w:val="none" w:sz="0" w:space="0" w:color="auto"/>
        <w:bottom w:val="none" w:sz="0" w:space="0" w:color="auto"/>
        <w:right w:val="none" w:sz="0" w:space="0" w:color="auto"/>
      </w:divBdr>
    </w:div>
    <w:div w:id="2097243632">
      <w:bodyDiv w:val="1"/>
      <w:marLeft w:val="0"/>
      <w:marRight w:val="0"/>
      <w:marTop w:val="0"/>
      <w:marBottom w:val="0"/>
      <w:divBdr>
        <w:top w:val="none" w:sz="0" w:space="0" w:color="auto"/>
        <w:left w:val="none" w:sz="0" w:space="0" w:color="auto"/>
        <w:bottom w:val="none" w:sz="0" w:space="0" w:color="auto"/>
        <w:right w:val="none" w:sz="0" w:space="0" w:color="auto"/>
      </w:divBdr>
    </w:div>
    <w:div w:id="2097826265">
      <w:bodyDiv w:val="1"/>
      <w:marLeft w:val="0"/>
      <w:marRight w:val="0"/>
      <w:marTop w:val="0"/>
      <w:marBottom w:val="0"/>
      <w:divBdr>
        <w:top w:val="none" w:sz="0" w:space="0" w:color="auto"/>
        <w:left w:val="none" w:sz="0" w:space="0" w:color="auto"/>
        <w:bottom w:val="none" w:sz="0" w:space="0" w:color="auto"/>
        <w:right w:val="none" w:sz="0" w:space="0" w:color="auto"/>
      </w:divBdr>
    </w:div>
    <w:div w:id="2098166881">
      <w:bodyDiv w:val="1"/>
      <w:marLeft w:val="0"/>
      <w:marRight w:val="0"/>
      <w:marTop w:val="0"/>
      <w:marBottom w:val="0"/>
      <w:divBdr>
        <w:top w:val="none" w:sz="0" w:space="0" w:color="auto"/>
        <w:left w:val="none" w:sz="0" w:space="0" w:color="auto"/>
        <w:bottom w:val="none" w:sz="0" w:space="0" w:color="auto"/>
        <w:right w:val="none" w:sz="0" w:space="0" w:color="auto"/>
      </w:divBdr>
    </w:div>
    <w:div w:id="2098331763">
      <w:bodyDiv w:val="1"/>
      <w:marLeft w:val="0"/>
      <w:marRight w:val="0"/>
      <w:marTop w:val="0"/>
      <w:marBottom w:val="0"/>
      <w:divBdr>
        <w:top w:val="none" w:sz="0" w:space="0" w:color="auto"/>
        <w:left w:val="none" w:sz="0" w:space="0" w:color="auto"/>
        <w:bottom w:val="none" w:sz="0" w:space="0" w:color="auto"/>
        <w:right w:val="none" w:sz="0" w:space="0" w:color="auto"/>
      </w:divBdr>
    </w:div>
    <w:div w:id="2098747137">
      <w:bodyDiv w:val="1"/>
      <w:marLeft w:val="0"/>
      <w:marRight w:val="0"/>
      <w:marTop w:val="0"/>
      <w:marBottom w:val="0"/>
      <w:divBdr>
        <w:top w:val="none" w:sz="0" w:space="0" w:color="auto"/>
        <w:left w:val="none" w:sz="0" w:space="0" w:color="auto"/>
        <w:bottom w:val="none" w:sz="0" w:space="0" w:color="auto"/>
        <w:right w:val="none" w:sz="0" w:space="0" w:color="auto"/>
      </w:divBdr>
    </w:div>
    <w:div w:id="2098819491">
      <w:bodyDiv w:val="1"/>
      <w:marLeft w:val="0"/>
      <w:marRight w:val="0"/>
      <w:marTop w:val="0"/>
      <w:marBottom w:val="0"/>
      <w:divBdr>
        <w:top w:val="none" w:sz="0" w:space="0" w:color="auto"/>
        <w:left w:val="none" w:sz="0" w:space="0" w:color="auto"/>
        <w:bottom w:val="none" w:sz="0" w:space="0" w:color="auto"/>
        <w:right w:val="none" w:sz="0" w:space="0" w:color="auto"/>
      </w:divBdr>
    </w:div>
    <w:div w:id="2099446523">
      <w:bodyDiv w:val="1"/>
      <w:marLeft w:val="0"/>
      <w:marRight w:val="0"/>
      <w:marTop w:val="0"/>
      <w:marBottom w:val="0"/>
      <w:divBdr>
        <w:top w:val="none" w:sz="0" w:space="0" w:color="auto"/>
        <w:left w:val="none" w:sz="0" w:space="0" w:color="auto"/>
        <w:bottom w:val="none" w:sz="0" w:space="0" w:color="auto"/>
        <w:right w:val="none" w:sz="0" w:space="0" w:color="auto"/>
      </w:divBdr>
    </w:div>
    <w:div w:id="2099517827">
      <w:bodyDiv w:val="1"/>
      <w:marLeft w:val="0"/>
      <w:marRight w:val="0"/>
      <w:marTop w:val="0"/>
      <w:marBottom w:val="0"/>
      <w:divBdr>
        <w:top w:val="none" w:sz="0" w:space="0" w:color="auto"/>
        <w:left w:val="none" w:sz="0" w:space="0" w:color="auto"/>
        <w:bottom w:val="none" w:sz="0" w:space="0" w:color="auto"/>
        <w:right w:val="none" w:sz="0" w:space="0" w:color="auto"/>
      </w:divBdr>
    </w:div>
    <w:div w:id="2099520589">
      <w:bodyDiv w:val="1"/>
      <w:marLeft w:val="0"/>
      <w:marRight w:val="0"/>
      <w:marTop w:val="0"/>
      <w:marBottom w:val="0"/>
      <w:divBdr>
        <w:top w:val="none" w:sz="0" w:space="0" w:color="auto"/>
        <w:left w:val="none" w:sz="0" w:space="0" w:color="auto"/>
        <w:bottom w:val="none" w:sz="0" w:space="0" w:color="auto"/>
        <w:right w:val="none" w:sz="0" w:space="0" w:color="auto"/>
      </w:divBdr>
    </w:div>
    <w:div w:id="2099523522">
      <w:bodyDiv w:val="1"/>
      <w:marLeft w:val="0"/>
      <w:marRight w:val="0"/>
      <w:marTop w:val="0"/>
      <w:marBottom w:val="0"/>
      <w:divBdr>
        <w:top w:val="none" w:sz="0" w:space="0" w:color="auto"/>
        <w:left w:val="none" w:sz="0" w:space="0" w:color="auto"/>
        <w:bottom w:val="none" w:sz="0" w:space="0" w:color="auto"/>
        <w:right w:val="none" w:sz="0" w:space="0" w:color="auto"/>
      </w:divBdr>
    </w:div>
    <w:div w:id="2099713992">
      <w:bodyDiv w:val="1"/>
      <w:marLeft w:val="0"/>
      <w:marRight w:val="0"/>
      <w:marTop w:val="0"/>
      <w:marBottom w:val="0"/>
      <w:divBdr>
        <w:top w:val="none" w:sz="0" w:space="0" w:color="auto"/>
        <w:left w:val="none" w:sz="0" w:space="0" w:color="auto"/>
        <w:bottom w:val="none" w:sz="0" w:space="0" w:color="auto"/>
        <w:right w:val="none" w:sz="0" w:space="0" w:color="auto"/>
      </w:divBdr>
    </w:div>
    <w:div w:id="2100251890">
      <w:bodyDiv w:val="1"/>
      <w:marLeft w:val="0"/>
      <w:marRight w:val="0"/>
      <w:marTop w:val="0"/>
      <w:marBottom w:val="0"/>
      <w:divBdr>
        <w:top w:val="none" w:sz="0" w:space="0" w:color="auto"/>
        <w:left w:val="none" w:sz="0" w:space="0" w:color="auto"/>
        <w:bottom w:val="none" w:sz="0" w:space="0" w:color="auto"/>
        <w:right w:val="none" w:sz="0" w:space="0" w:color="auto"/>
      </w:divBdr>
    </w:div>
    <w:div w:id="2100826932">
      <w:bodyDiv w:val="1"/>
      <w:marLeft w:val="0"/>
      <w:marRight w:val="0"/>
      <w:marTop w:val="0"/>
      <w:marBottom w:val="0"/>
      <w:divBdr>
        <w:top w:val="none" w:sz="0" w:space="0" w:color="auto"/>
        <w:left w:val="none" w:sz="0" w:space="0" w:color="auto"/>
        <w:bottom w:val="none" w:sz="0" w:space="0" w:color="auto"/>
        <w:right w:val="none" w:sz="0" w:space="0" w:color="auto"/>
      </w:divBdr>
    </w:div>
    <w:div w:id="2101287988">
      <w:bodyDiv w:val="1"/>
      <w:marLeft w:val="0"/>
      <w:marRight w:val="0"/>
      <w:marTop w:val="0"/>
      <w:marBottom w:val="0"/>
      <w:divBdr>
        <w:top w:val="none" w:sz="0" w:space="0" w:color="auto"/>
        <w:left w:val="none" w:sz="0" w:space="0" w:color="auto"/>
        <w:bottom w:val="none" w:sz="0" w:space="0" w:color="auto"/>
        <w:right w:val="none" w:sz="0" w:space="0" w:color="auto"/>
      </w:divBdr>
    </w:div>
    <w:div w:id="2101632554">
      <w:bodyDiv w:val="1"/>
      <w:marLeft w:val="0"/>
      <w:marRight w:val="0"/>
      <w:marTop w:val="0"/>
      <w:marBottom w:val="0"/>
      <w:divBdr>
        <w:top w:val="none" w:sz="0" w:space="0" w:color="auto"/>
        <w:left w:val="none" w:sz="0" w:space="0" w:color="auto"/>
        <w:bottom w:val="none" w:sz="0" w:space="0" w:color="auto"/>
        <w:right w:val="none" w:sz="0" w:space="0" w:color="auto"/>
      </w:divBdr>
    </w:div>
    <w:div w:id="2101641164">
      <w:bodyDiv w:val="1"/>
      <w:marLeft w:val="0"/>
      <w:marRight w:val="0"/>
      <w:marTop w:val="0"/>
      <w:marBottom w:val="0"/>
      <w:divBdr>
        <w:top w:val="none" w:sz="0" w:space="0" w:color="auto"/>
        <w:left w:val="none" w:sz="0" w:space="0" w:color="auto"/>
        <w:bottom w:val="none" w:sz="0" w:space="0" w:color="auto"/>
        <w:right w:val="none" w:sz="0" w:space="0" w:color="auto"/>
      </w:divBdr>
    </w:div>
    <w:div w:id="2101676096">
      <w:bodyDiv w:val="1"/>
      <w:marLeft w:val="0"/>
      <w:marRight w:val="0"/>
      <w:marTop w:val="0"/>
      <w:marBottom w:val="0"/>
      <w:divBdr>
        <w:top w:val="none" w:sz="0" w:space="0" w:color="auto"/>
        <w:left w:val="none" w:sz="0" w:space="0" w:color="auto"/>
        <w:bottom w:val="none" w:sz="0" w:space="0" w:color="auto"/>
        <w:right w:val="none" w:sz="0" w:space="0" w:color="auto"/>
      </w:divBdr>
    </w:div>
    <w:div w:id="2101948133">
      <w:bodyDiv w:val="1"/>
      <w:marLeft w:val="0"/>
      <w:marRight w:val="0"/>
      <w:marTop w:val="0"/>
      <w:marBottom w:val="0"/>
      <w:divBdr>
        <w:top w:val="none" w:sz="0" w:space="0" w:color="auto"/>
        <w:left w:val="none" w:sz="0" w:space="0" w:color="auto"/>
        <w:bottom w:val="none" w:sz="0" w:space="0" w:color="auto"/>
        <w:right w:val="none" w:sz="0" w:space="0" w:color="auto"/>
      </w:divBdr>
    </w:div>
    <w:div w:id="2102333264">
      <w:bodyDiv w:val="1"/>
      <w:marLeft w:val="0"/>
      <w:marRight w:val="0"/>
      <w:marTop w:val="0"/>
      <w:marBottom w:val="0"/>
      <w:divBdr>
        <w:top w:val="none" w:sz="0" w:space="0" w:color="auto"/>
        <w:left w:val="none" w:sz="0" w:space="0" w:color="auto"/>
        <w:bottom w:val="none" w:sz="0" w:space="0" w:color="auto"/>
        <w:right w:val="none" w:sz="0" w:space="0" w:color="auto"/>
      </w:divBdr>
    </w:div>
    <w:div w:id="2103143047">
      <w:bodyDiv w:val="1"/>
      <w:marLeft w:val="0"/>
      <w:marRight w:val="0"/>
      <w:marTop w:val="0"/>
      <w:marBottom w:val="0"/>
      <w:divBdr>
        <w:top w:val="none" w:sz="0" w:space="0" w:color="auto"/>
        <w:left w:val="none" w:sz="0" w:space="0" w:color="auto"/>
        <w:bottom w:val="none" w:sz="0" w:space="0" w:color="auto"/>
        <w:right w:val="none" w:sz="0" w:space="0" w:color="auto"/>
      </w:divBdr>
    </w:div>
    <w:div w:id="2103254536">
      <w:bodyDiv w:val="1"/>
      <w:marLeft w:val="0"/>
      <w:marRight w:val="0"/>
      <w:marTop w:val="0"/>
      <w:marBottom w:val="0"/>
      <w:divBdr>
        <w:top w:val="none" w:sz="0" w:space="0" w:color="auto"/>
        <w:left w:val="none" w:sz="0" w:space="0" w:color="auto"/>
        <w:bottom w:val="none" w:sz="0" w:space="0" w:color="auto"/>
        <w:right w:val="none" w:sz="0" w:space="0" w:color="auto"/>
      </w:divBdr>
    </w:div>
    <w:div w:id="2103407984">
      <w:bodyDiv w:val="1"/>
      <w:marLeft w:val="0"/>
      <w:marRight w:val="0"/>
      <w:marTop w:val="0"/>
      <w:marBottom w:val="0"/>
      <w:divBdr>
        <w:top w:val="none" w:sz="0" w:space="0" w:color="auto"/>
        <w:left w:val="none" w:sz="0" w:space="0" w:color="auto"/>
        <w:bottom w:val="none" w:sz="0" w:space="0" w:color="auto"/>
        <w:right w:val="none" w:sz="0" w:space="0" w:color="auto"/>
      </w:divBdr>
    </w:div>
    <w:div w:id="2104450001">
      <w:bodyDiv w:val="1"/>
      <w:marLeft w:val="0"/>
      <w:marRight w:val="0"/>
      <w:marTop w:val="0"/>
      <w:marBottom w:val="0"/>
      <w:divBdr>
        <w:top w:val="none" w:sz="0" w:space="0" w:color="auto"/>
        <w:left w:val="none" w:sz="0" w:space="0" w:color="auto"/>
        <w:bottom w:val="none" w:sz="0" w:space="0" w:color="auto"/>
        <w:right w:val="none" w:sz="0" w:space="0" w:color="auto"/>
      </w:divBdr>
    </w:div>
    <w:div w:id="2104907957">
      <w:bodyDiv w:val="1"/>
      <w:marLeft w:val="0"/>
      <w:marRight w:val="0"/>
      <w:marTop w:val="0"/>
      <w:marBottom w:val="0"/>
      <w:divBdr>
        <w:top w:val="none" w:sz="0" w:space="0" w:color="auto"/>
        <w:left w:val="none" w:sz="0" w:space="0" w:color="auto"/>
        <w:bottom w:val="none" w:sz="0" w:space="0" w:color="auto"/>
        <w:right w:val="none" w:sz="0" w:space="0" w:color="auto"/>
      </w:divBdr>
    </w:div>
    <w:div w:id="2104913833">
      <w:bodyDiv w:val="1"/>
      <w:marLeft w:val="0"/>
      <w:marRight w:val="0"/>
      <w:marTop w:val="0"/>
      <w:marBottom w:val="0"/>
      <w:divBdr>
        <w:top w:val="none" w:sz="0" w:space="0" w:color="auto"/>
        <w:left w:val="none" w:sz="0" w:space="0" w:color="auto"/>
        <w:bottom w:val="none" w:sz="0" w:space="0" w:color="auto"/>
        <w:right w:val="none" w:sz="0" w:space="0" w:color="auto"/>
      </w:divBdr>
    </w:div>
    <w:div w:id="2104952261">
      <w:bodyDiv w:val="1"/>
      <w:marLeft w:val="0"/>
      <w:marRight w:val="0"/>
      <w:marTop w:val="0"/>
      <w:marBottom w:val="0"/>
      <w:divBdr>
        <w:top w:val="none" w:sz="0" w:space="0" w:color="auto"/>
        <w:left w:val="none" w:sz="0" w:space="0" w:color="auto"/>
        <w:bottom w:val="none" w:sz="0" w:space="0" w:color="auto"/>
        <w:right w:val="none" w:sz="0" w:space="0" w:color="auto"/>
      </w:divBdr>
    </w:div>
    <w:div w:id="2105106042">
      <w:bodyDiv w:val="1"/>
      <w:marLeft w:val="0"/>
      <w:marRight w:val="0"/>
      <w:marTop w:val="0"/>
      <w:marBottom w:val="0"/>
      <w:divBdr>
        <w:top w:val="none" w:sz="0" w:space="0" w:color="auto"/>
        <w:left w:val="none" w:sz="0" w:space="0" w:color="auto"/>
        <w:bottom w:val="none" w:sz="0" w:space="0" w:color="auto"/>
        <w:right w:val="none" w:sz="0" w:space="0" w:color="auto"/>
      </w:divBdr>
    </w:div>
    <w:div w:id="2105688498">
      <w:bodyDiv w:val="1"/>
      <w:marLeft w:val="0"/>
      <w:marRight w:val="0"/>
      <w:marTop w:val="0"/>
      <w:marBottom w:val="0"/>
      <w:divBdr>
        <w:top w:val="none" w:sz="0" w:space="0" w:color="auto"/>
        <w:left w:val="none" w:sz="0" w:space="0" w:color="auto"/>
        <w:bottom w:val="none" w:sz="0" w:space="0" w:color="auto"/>
        <w:right w:val="none" w:sz="0" w:space="0" w:color="auto"/>
      </w:divBdr>
    </w:div>
    <w:div w:id="2106069560">
      <w:bodyDiv w:val="1"/>
      <w:marLeft w:val="0"/>
      <w:marRight w:val="0"/>
      <w:marTop w:val="0"/>
      <w:marBottom w:val="0"/>
      <w:divBdr>
        <w:top w:val="none" w:sz="0" w:space="0" w:color="auto"/>
        <w:left w:val="none" w:sz="0" w:space="0" w:color="auto"/>
        <w:bottom w:val="none" w:sz="0" w:space="0" w:color="auto"/>
        <w:right w:val="none" w:sz="0" w:space="0" w:color="auto"/>
      </w:divBdr>
    </w:div>
    <w:div w:id="2106224805">
      <w:bodyDiv w:val="1"/>
      <w:marLeft w:val="0"/>
      <w:marRight w:val="0"/>
      <w:marTop w:val="0"/>
      <w:marBottom w:val="0"/>
      <w:divBdr>
        <w:top w:val="none" w:sz="0" w:space="0" w:color="auto"/>
        <w:left w:val="none" w:sz="0" w:space="0" w:color="auto"/>
        <w:bottom w:val="none" w:sz="0" w:space="0" w:color="auto"/>
        <w:right w:val="none" w:sz="0" w:space="0" w:color="auto"/>
      </w:divBdr>
    </w:div>
    <w:div w:id="2106654885">
      <w:bodyDiv w:val="1"/>
      <w:marLeft w:val="0"/>
      <w:marRight w:val="0"/>
      <w:marTop w:val="0"/>
      <w:marBottom w:val="0"/>
      <w:divBdr>
        <w:top w:val="none" w:sz="0" w:space="0" w:color="auto"/>
        <w:left w:val="none" w:sz="0" w:space="0" w:color="auto"/>
        <w:bottom w:val="none" w:sz="0" w:space="0" w:color="auto"/>
        <w:right w:val="none" w:sz="0" w:space="0" w:color="auto"/>
      </w:divBdr>
    </w:div>
    <w:div w:id="2106921760">
      <w:bodyDiv w:val="1"/>
      <w:marLeft w:val="0"/>
      <w:marRight w:val="0"/>
      <w:marTop w:val="0"/>
      <w:marBottom w:val="0"/>
      <w:divBdr>
        <w:top w:val="none" w:sz="0" w:space="0" w:color="auto"/>
        <w:left w:val="none" w:sz="0" w:space="0" w:color="auto"/>
        <w:bottom w:val="none" w:sz="0" w:space="0" w:color="auto"/>
        <w:right w:val="none" w:sz="0" w:space="0" w:color="auto"/>
      </w:divBdr>
    </w:div>
    <w:div w:id="2106924685">
      <w:bodyDiv w:val="1"/>
      <w:marLeft w:val="0"/>
      <w:marRight w:val="0"/>
      <w:marTop w:val="0"/>
      <w:marBottom w:val="0"/>
      <w:divBdr>
        <w:top w:val="none" w:sz="0" w:space="0" w:color="auto"/>
        <w:left w:val="none" w:sz="0" w:space="0" w:color="auto"/>
        <w:bottom w:val="none" w:sz="0" w:space="0" w:color="auto"/>
        <w:right w:val="none" w:sz="0" w:space="0" w:color="auto"/>
      </w:divBdr>
    </w:div>
    <w:div w:id="2107191914">
      <w:bodyDiv w:val="1"/>
      <w:marLeft w:val="0"/>
      <w:marRight w:val="0"/>
      <w:marTop w:val="0"/>
      <w:marBottom w:val="0"/>
      <w:divBdr>
        <w:top w:val="none" w:sz="0" w:space="0" w:color="auto"/>
        <w:left w:val="none" w:sz="0" w:space="0" w:color="auto"/>
        <w:bottom w:val="none" w:sz="0" w:space="0" w:color="auto"/>
        <w:right w:val="none" w:sz="0" w:space="0" w:color="auto"/>
      </w:divBdr>
    </w:div>
    <w:div w:id="2107263089">
      <w:bodyDiv w:val="1"/>
      <w:marLeft w:val="0"/>
      <w:marRight w:val="0"/>
      <w:marTop w:val="0"/>
      <w:marBottom w:val="0"/>
      <w:divBdr>
        <w:top w:val="none" w:sz="0" w:space="0" w:color="auto"/>
        <w:left w:val="none" w:sz="0" w:space="0" w:color="auto"/>
        <w:bottom w:val="none" w:sz="0" w:space="0" w:color="auto"/>
        <w:right w:val="none" w:sz="0" w:space="0" w:color="auto"/>
      </w:divBdr>
    </w:div>
    <w:div w:id="2108232744">
      <w:bodyDiv w:val="1"/>
      <w:marLeft w:val="0"/>
      <w:marRight w:val="0"/>
      <w:marTop w:val="0"/>
      <w:marBottom w:val="0"/>
      <w:divBdr>
        <w:top w:val="none" w:sz="0" w:space="0" w:color="auto"/>
        <w:left w:val="none" w:sz="0" w:space="0" w:color="auto"/>
        <w:bottom w:val="none" w:sz="0" w:space="0" w:color="auto"/>
        <w:right w:val="none" w:sz="0" w:space="0" w:color="auto"/>
      </w:divBdr>
    </w:div>
    <w:div w:id="2108380664">
      <w:bodyDiv w:val="1"/>
      <w:marLeft w:val="0"/>
      <w:marRight w:val="0"/>
      <w:marTop w:val="0"/>
      <w:marBottom w:val="0"/>
      <w:divBdr>
        <w:top w:val="none" w:sz="0" w:space="0" w:color="auto"/>
        <w:left w:val="none" w:sz="0" w:space="0" w:color="auto"/>
        <w:bottom w:val="none" w:sz="0" w:space="0" w:color="auto"/>
        <w:right w:val="none" w:sz="0" w:space="0" w:color="auto"/>
      </w:divBdr>
    </w:div>
    <w:div w:id="2108621914">
      <w:bodyDiv w:val="1"/>
      <w:marLeft w:val="0"/>
      <w:marRight w:val="0"/>
      <w:marTop w:val="0"/>
      <w:marBottom w:val="0"/>
      <w:divBdr>
        <w:top w:val="none" w:sz="0" w:space="0" w:color="auto"/>
        <w:left w:val="none" w:sz="0" w:space="0" w:color="auto"/>
        <w:bottom w:val="none" w:sz="0" w:space="0" w:color="auto"/>
        <w:right w:val="none" w:sz="0" w:space="0" w:color="auto"/>
      </w:divBdr>
    </w:div>
    <w:div w:id="2108960368">
      <w:bodyDiv w:val="1"/>
      <w:marLeft w:val="0"/>
      <w:marRight w:val="0"/>
      <w:marTop w:val="0"/>
      <w:marBottom w:val="0"/>
      <w:divBdr>
        <w:top w:val="none" w:sz="0" w:space="0" w:color="auto"/>
        <w:left w:val="none" w:sz="0" w:space="0" w:color="auto"/>
        <w:bottom w:val="none" w:sz="0" w:space="0" w:color="auto"/>
        <w:right w:val="none" w:sz="0" w:space="0" w:color="auto"/>
      </w:divBdr>
    </w:div>
    <w:div w:id="2109227069">
      <w:bodyDiv w:val="1"/>
      <w:marLeft w:val="0"/>
      <w:marRight w:val="0"/>
      <w:marTop w:val="0"/>
      <w:marBottom w:val="0"/>
      <w:divBdr>
        <w:top w:val="none" w:sz="0" w:space="0" w:color="auto"/>
        <w:left w:val="none" w:sz="0" w:space="0" w:color="auto"/>
        <w:bottom w:val="none" w:sz="0" w:space="0" w:color="auto"/>
        <w:right w:val="none" w:sz="0" w:space="0" w:color="auto"/>
      </w:divBdr>
    </w:div>
    <w:div w:id="2109234909">
      <w:bodyDiv w:val="1"/>
      <w:marLeft w:val="0"/>
      <w:marRight w:val="0"/>
      <w:marTop w:val="0"/>
      <w:marBottom w:val="0"/>
      <w:divBdr>
        <w:top w:val="none" w:sz="0" w:space="0" w:color="auto"/>
        <w:left w:val="none" w:sz="0" w:space="0" w:color="auto"/>
        <w:bottom w:val="none" w:sz="0" w:space="0" w:color="auto"/>
        <w:right w:val="none" w:sz="0" w:space="0" w:color="auto"/>
      </w:divBdr>
    </w:div>
    <w:div w:id="2109619643">
      <w:bodyDiv w:val="1"/>
      <w:marLeft w:val="0"/>
      <w:marRight w:val="0"/>
      <w:marTop w:val="0"/>
      <w:marBottom w:val="0"/>
      <w:divBdr>
        <w:top w:val="none" w:sz="0" w:space="0" w:color="auto"/>
        <w:left w:val="none" w:sz="0" w:space="0" w:color="auto"/>
        <w:bottom w:val="none" w:sz="0" w:space="0" w:color="auto"/>
        <w:right w:val="none" w:sz="0" w:space="0" w:color="auto"/>
      </w:divBdr>
    </w:div>
    <w:div w:id="2110809480">
      <w:bodyDiv w:val="1"/>
      <w:marLeft w:val="0"/>
      <w:marRight w:val="0"/>
      <w:marTop w:val="0"/>
      <w:marBottom w:val="0"/>
      <w:divBdr>
        <w:top w:val="none" w:sz="0" w:space="0" w:color="auto"/>
        <w:left w:val="none" w:sz="0" w:space="0" w:color="auto"/>
        <w:bottom w:val="none" w:sz="0" w:space="0" w:color="auto"/>
        <w:right w:val="none" w:sz="0" w:space="0" w:color="auto"/>
      </w:divBdr>
    </w:div>
    <w:div w:id="2111314354">
      <w:bodyDiv w:val="1"/>
      <w:marLeft w:val="0"/>
      <w:marRight w:val="0"/>
      <w:marTop w:val="0"/>
      <w:marBottom w:val="0"/>
      <w:divBdr>
        <w:top w:val="none" w:sz="0" w:space="0" w:color="auto"/>
        <w:left w:val="none" w:sz="0" w:space="0" w:color="auto"/>
        <w:bottom w:val="none" w:sz="0" w:space="0" w:color="auto"/>
        <w:right w:val="none" w:sz="0" w:space="0" w:color="auto"/>
      </w:divBdr>
    </w:div>
    <w:div w:id="2111927570">
      <w:bodyDiv w:val="1"/>
      <w:marLeft w:val="0"/>
      <w:marRight w:val="0"/>
      <w:marTop w:val="0"/>
      <w:marBottom w:val="0"/>
      <w:divBdr>
        <w:top w:val="none" w:sz="0" w:space="0" w:color="auto"/>
        <w:left w:val="none" w:sz="0" w:space="0" w:color="auto"/>
        <w:bottom w:val="none" w:sz="0" w:space="0" w:color="auto"/>
        <w:right w:val="none" w:sz="0" w:space="0" w:color="auto"/>
      </w:divBdr>
    </w:div>
    <w:div w:id="2112697236">
      <w:bodyDiv w:val="1"/>
      <w:marLeft w:val="0"/>
      <w:marRight w:val="0"/>
      <w:marTop w:val="0"/>
      <w:marBottom w:val="0"/>
      <w:divBdr>
        <w:top w:val="none" w:sz="0" w:space="0" w:color="auto"/>
        <w:left w:val="none" w:sz="0" w:space="0" w:color="auto"/>
        <w:bottom w:val="none" w:sz="0" w:space="0" w:color="auto"/>
        <w:right w:val="none" w:sz="0" w:space="0" w:color="auto"/>
      </w:divBdr>
    </w:div>
    <w:div w:id="2112969424">
      <w:bodyDiv w:val="1"/>
      <w:marLeft w:val="0"/>
      <w:marRight w:val="0"/>
      <w:marTop w:val="0"/>
      <w:marBottom w:val="0"/>
      <w:divBdr>
        <w:top w:val="none" w:sz="0" w:space="0" w:color="auto"/>
        <w:left w:val="none" w:sz="0" w:space="0" w:color="auto"/>
        <w:bottom w:val="none" w:sz="0" w:space="0" w:color="auto"/>
        <w:right w:val="none" w:sz="0" w:space="0" w:color="auto"/>
      </w:divBdr>
    </w:div>
    <w:div w:id="2113043143">
      <w:bodyDiv w:val="1"/>
      <w:marLeft w:val="0"/>
      <w:marRight w:val="0"/>
      <w:marTop w:val="0"/>
      <w:marBottom w:val="0"/>
      <w:divBdr>
        <w:top w:val="none" w:sz="0" w:space="0" w:color="auto"/>
        <w:left w:val="none" w:sz="0" w:space="0" w:color="auto"/>
        <w:bottom w:val="none" w:sz="0" w:space="0" w:color="auto"/>
        <w:right w:val="none" w:sz="0" w:space="0" w:color="auto"/>
      </w:divBdr>
    </w:div>
    <w:div w:id="2113477039">
      <w:bodyDiv w:val="1"/>
      <w:marLeft w:val="0"/>
      <w:marRight w:val="0"/>
      <w:marTop w:val="0"/>
      <w:marBottom w:val="0"/>
      <w:divBdr>
        <w:top w:val="none" w:sz="0" w:space="0" w:color="auto"/>
        <w:left w:val="none" w:sz="0" w:space="0" w:color="auto"/>
        <w:bottom w:val="none" w:sz="0" w:space="0" w:color="auto"/>
        <w:right w:val="none" w:sz="0" w:space="0" w:color="auto"/>
      </w:divBdr>
    </w:div>
    <w:div w:id="2113548856">
      <w:bodyDiv w:val="1"/>
      <w:marLeft w:val="0"/>
      <w:marRight w:val="0"/>
      <w:marTop w:val="0"/>
      <w:marBottom w:val="0"/>
      <w:divBdr>
        <w:top w:val="none" w:sz="0" w:space="0" w:color="auto"/>
        <w:left w:val="none" w:sz="0" w:space="0" w:color="auto"/>
        <w:bottom w:val="none" w:sz="0" w:space="0" w:color="auto"/>
        <w:right w:val="none" w:sz="0" w:space="0" w:color="auto"/>
      </w:divBdr>
    </w:div>
    <w:div w:id="2114088460">
      <w:bodyDiv w:val="1"/>
      <w:marLeft w:val="0"/>
      <w:marRight w:val="0"/>
      <w:marTop w:val="0"/>
      <w:marBottom w:val="0"/>
      <w:divBdr>
        <w:top w:val="none" w:sz="0" w:space="0" w:color="auto"/>
        <w:left w:val="none" w:sz="0" w:space="0" w:color="auto"/>
        <w:bottom w:val="none" w:sz="0" w:space="0" w:color="auto"/>
        <w:right w:val="none" w:sz="0" w:space="0" w:color="auto"/>
      </w:divBdr>
    </w:div>
    <w:div w:id="2114200470">
      <w:bodyDiv w:val="1"/>
      <w:marLeft w:val="0"/>
      <w:marRight w:val="0"/>
      <w:marTop w:val="0"/>
      <w:marBottom w:val="0"/>
      <w:divBdr>
        <w:top w:val="none" w:sz="0" w:space="0" w:color="auto"/>
        <w:left w:val="none" w:sz="0" w:space="0" w:color="auto"/>
        <w:bottom w:val="none" w:sz="0" w:space="0" w:color="auto"/>
        <w:right w:val="none" w:sz="0" w:space="0" w:color="auto"/>
      </w:divBdr>
    </w:div>
    <w:div w:id="2114353233">
      <w:bodyDiv w:val="1"/>
      <w:marLeft w:val="0"/>
      <w:marRight w:val="0"/>
      <w:marTop w:val="0"/>
      <w:marBottom w:val="0"/>
      <w:divBdr>
        <w:top w:val="none" w:sz="0" w:space="0" w:color="auto"/>
        <w:left w:val="none" w:sz="0" w:space="0" w:color="auto"/>
        <w:bottom w:val="none" w:sz="0" w:space="0" w:color="auto"/>
        <w:right w:val="none" w:sz="0" w:space="0" w:color="auto"/>
      </w:divBdr>
    </w:div>
    <w:div w:id="2114353323">
      <w:bodyDiv w:val="1"/>
      <w:marLeft w:val="0"/>
      <w:marRight w:val="0"/>
      <w:marTop w:val="0"/>
      <w:marBottom w:val="0"/>
      <w:divBdr>
        <w:top w:val="none" w:sz="0" w:space="0" w:color="auto"/>
        <w:left w:val="none" w:sz="0" w:space="0" w:color="auto"/>
        <w:bottom w:val="none" w:sz="0" w:space="0" w:color="auto"/>
        <w:right w:val="none" w:sz="0" w:space="0" w:color="auto"/>
      </w:divBdr>
    </w:div>
    <w:div w:id="2114400713">
      <w:bodyDiv w:val="1"/>
      <w:marLeft w:val="0"/>
      <w:marRight w:val="0"/>
      <w:marTop w:val="0"/>
      <w:marBottom w:val="0"/>
      <w:divBdr>
        <w:top w:val="none" w:sz="0" w:space="0" w:color="auto"/>
        <w:left w:val="none" w:sz="0" w:space="0" w:color="auto"/>
        <w:bottom w:val="none" w:sz="0" w:space="0" w:color="auto"/>
        <w:right w:val="none" w:sz="0" w:space="0" w:color="auto"/>
      </w:divBdr>
    </w:div>
    <w:div w:id="2114781791">
      <w:bodyDiv w:val="1"/>
      <w:marLeft w:val="0"/>
      <w:marRight w:val="0"/>
      <w:marTop w:val="0"/>
      <w:marBottom w:val="0"/>
      <w:divBdr>
        <w:top w:val="none" w:sz="0" w:space="0" w:color="auto"/>
        <w:left w:val="none" w:sz="0" w:space="0" w:color="auto"/>
        <w:bottom w:val="none" w:sz="0" w:space="0" w:color="auto"/>
        <w:right w:val="none" w:sz="0" w:space="0" w:color="auto"/>
      </w:divBdr>
    </w:div>
    <w:div w:id="2114813746">
      <w:bodyDiv w:val="1"/>
      <w:marLeft w:val="0"/>
      <w:marRight w:val="0"/>
      <w:marTop w:val="0"/>
      <w:marBottom w:val="0"/>
      <w:divBdr>
        <w:top w:val="none" w:sz="0" w:space="0" w:color="auto"/>
        <w:left w:val="none" w:sz="0" w:space="0" w:color="auto"/>
        <w:bottom w:val="none" w:sz="0" w:space="0" w:color="auto"/>
        <w:right w:val="none" w:sz="0" w:space="0" w:color="auto"/>
      </w:divBdr>
    </w:div>
    <w:div w:id="2114934817">
      <w:bodyDiv w:val="1"/>
      <w:marLeft w:val="0"/>
      <w:marRight w:val="0"/>
      <w:marTop w:val="0"/>
      <w:marBottom w:val="0"/>
      <w:divBdr>
        <w:top w:val="none" w:sz="0" w:space="0" w:color="auto"/>
        <w:left w:val="none" w:sz="0" w:space="0" w:color="auto"/>
        <w:bottom w:val="none" w:sz="0" w:space="0" w:color="auto"/>
        <w:right w:val="none" w:sz="0" w:space="0" w:color="auto"/>
      </w:divBdr>
    </w:div>
    <w:div w:id="2114977838">
      <w:bodyDiv w:val="1"/>
      <w:marLeft w:val="0"/>
      <w:marRight w:val="0"/>
      <w:marTop w:val="0"/>
      <w:marBottom w:val="0"/>
      <w:divBdr>
        <w:top w:val="none" w:sz="0" w:space="0" w:color="auto"/>
        <w:left w:val="none" w:sz="0" w:space="0" w:color="auto"/>
        <w:bottom w:val="none" w:sz="0" w:space="0" w:color="auto"/>
        <w:right w:val="none" w:sz="0" w:space="0" w:color="auto"/>
      </w:divBdr>
    </w:div>
    <w:div w:id="2115048828">
      <w:bodyDiv w:val="1"/>
      <w:marLeft w:val="0"/>
      <w:marRight w:val="0"/>
      <w:marTop w:val="0"/>
      <w:marBottom w:val="0"/>
      <w:divBdr>
        <w:top w:val="none" w:sz="0" w:space="0" w:color="auto"/>
        <w:left w:val="none" w:sz="0" w:space="0" w:color="auto"/>
        <w:bottom w:val="none" w:sz="0" w:space="0" w:color="auto"/>
        <w:right w:val="none" w:sz="0" w:space="0" w:color="auto"/>
      </w:divBdr>
    </w:div>
    <w:div w:id="2115130384">
      <w:bodyDiv w:val="1"/>
      <w:marLeft w:val="0"/>
      <w:marRight w:val="0"/>
      <w:marTop w:val="0"/>
      <w:marBottom w:val="0"/>
      <w:divBdr>
        <w:top w:val="none" w:sz="0" w:space="0" w:color="auto"/>
        <w:left w:val="none" w:sz="0" w:space="0" w:color="auto"/>
        <w:bottom w:val="none" w:sz="0" w:space="0" w:color="auto"/>
        <w:right w:val="none" w:sz="0" w:space="0" w:color="auto"/>
      </w:divBdr>
    </w:div>
    <w:div w:id="2115438170">
      <w:bodyDiv w:val="1"/>
      <w:marLeft w:val="0"/>
      <w:marRight w:val="0"/>
      <w:marTop w:val="0"/>
      <w:marBottom w:val="0"/>
      <w:divBdr>
        <w:top w:val="none" w:sz="0" w:space="0" w:color="auto"/>
        <w:left w:val="none" w:sz="0" w:space="0" w:color="auto"/>
        <w:bottom w:val="none" w:sz="0" w:space="0" w:color="auto"/>
        <w:right w:val="none" w:sz="0" w:space="0" w:color="auto"/>
      </w:divBdr>
    </w:div>
    <w:div w:id="2115443357">
      <w:bodyDiv w:val="1"/>
      <w:marLeft w:val="0"/>
      <w:marRight w:val="0"/>
      <w:marTop w:val="0"/>
      <w:marBottom w:val="0"/>
      <w:divBdr>
        <w:top w:val="none" w:sz="0" w:space="0" w:color="auto"/>
        <w:left w:val="none" w:sz="0" w:space="0" w:color="auto"/>
        <w:bottom w:val="none" w:sz="0" w:space="0" w:color="auto"/>
        <w:right w:val="none" w:sz="0" w:space="0" w:color="auto"/>
      </w:divBdr>
    </w:div>
    <w:div w:id="2115661188">
      <w:bodyDiv w:val="1"/>
      <w:marLeft w:val="0"/>
      <w:marRight w:val="0"/>
      <w:marTop w:val="0"/>
      <w:marBottom w:val="0"/>
      <w:divBdr>
        <w:top w:val="none" w:sz="0" w:space="0" w:color="auto"/>
        <w:left w:val="none" w:sz="0" w:space="0" w:color="auto"/>
        <w:bottom w:val="none" w:sz="0" w:space="0" w:color="auto"/>
        <w:right w:val="none" w:sz="0" w:space="0" w:color="auto"/>
      </w:divBdr>
    </w:div>
    <w:div w:id="2115785238">
      <w:bodyDiv w:val="1"/>
      <w:marLeft w:val="0"/>
      <w:marRight w:val="0"/>
      <w:marTop w:val="0"/>
      <w:marBottom w:val="0"/>
      <w:divBdr>
        <w:top w:val="none" w:sz="0" w:space="0" w:color="auto"/>
        <w:left w:val="none" w:sz="0" w:space="0" w:color="auto"/>
        <w:bottom w:val="none" w:sz="0" w:space="0" w:color="auto"/>
        <w:right w:val="none" w:sz="0" w:space="0" w:color="auto"/>
      </w:divBdr>
    </w:div>
    <w:div w:id="2115904384">
      <w:bodyDiv w:val="1"/>
      <w:marLeft w:val="0"/>
      <w:marRight w:val="0"/>
      <w:marTop w:val="0"/>
      <w:marBottom w:val="0"/>
      <w:divBdr>
        <w:top w:val="none" w:sz="0" w:space="0" w:color="auto"/>
        <w:left w:val="none" w:sz="0" w:space="0" w:color="auto"/>
        <w:bottom w:val="none" w:sz="0" w:space="0" w:color="auto"/>
        <w:right w:val="none" w:sz="0" w:space="0" w:color="auto"/>
      </w:divBdr>
    </w:div>
    <w:div w:id="2116291949">
      <w:bodyDiv w:val="1"/>
      <w:marLeft w:val="0"/>
      <w:marRight w:val="0"/>
      <w:marTop w:val="0"/>
      <w:marBottom w:val="0"/>
      <w:divBdr>
        <w:top w:val="none" w:sz="0" w:space="0" w:color="auto"/>
        <w:left w:val="none" w:sz="0" w:space="0" w:color="auto"/>
        <w:bottom w:val="none" w:sz="0" w:space="0" w:color="auto"/>
        <w:right w:val="none" w:sz="0" w:space="0" w:color="auto"/>
      </w:divBdr>
    </w:div>
    <w:div w:id="2116948380">
      <w:bodyDiv w:val="1"/>
      <w:marLeft w:val="0"/>
      <w:marRight w:val="0"/>
      <w:marTop w:val="0"/>
      <w:marBottom w:val="0"/>
      <w:divBdr>
        <w:top w:val="none" w:sz="0" w:space="0" w:color="auto"/>
        <w:left w:val="none" w:sz="0" w:space="0" w:color="auto"/>
        <w:bottom w:val="none" w:sz="0" w:space="0" w:color="auto"/>
        <w:right w:val="none" w:sz="0" w:space="0" w:color="auto"/>
      </w:divBdr>
    </w:div>
    <w:div w:id="2117166851">
      <w:bodyDiv w:val="1"/>
      <w:marLeft w:val="0"/>
      <w:marRight w:val="0"/>
      <w:marTop w:val="0"/>
      <w:marBottom w:val="0"/>
      <w:divBdr>
        <w:top w:val="none" w:sz="0" w:space="0" w:color="auto"/>
        <w:left w:val="none" w:sz="0" w:space="0" w:color="auto"/>
        <w:bottom w:val="none" w:sz="0" w:space="0" w:color="auto"/>
        <w:right w:val="none" w:sz="0" w:space="0" w:color="auto"/>
      </w:divBdr>
    </w:div>
    <w:div w:id="2117211687">
      <w:bodyDiv w:val="1"/>
      <w:marLeft w:val="0"/>
      <w:marRight w:val="0"/>
      <w:marTop w:val="0"/>
      <w:marBottom w:val="0"/>
      <w:divBdr>
        <w:top w:val="none" w:sz="0" w:space="0" w:color="auto"/>
        <w:left w:val="none" w:sz="0" w:space="0" w:color="auto"/>
        <w:bottom w:val="none" w:sz="0" w:space="0" w:color="auto"/>
        <w:right w:val="none" w:sz="0" w:space="0" w:color="auto"/>
      </w:divBdr>
    </w:div>
    <w:div w:id="2117435390">
      <w:bodyDiv w:val="1"/>
      <w:marLeft w:val="0"/>
      <w:marRight w:val="0"/>
      <w:marTop w:val="0"/>
      <w:marBottom w:val="0"/>
      <w:divBdr>
        <w:top w:val="none" w:sz="0" w:space="0" w:color="auto"/>
        <w:left w:val="none" w:sz="0" w:space="0" w:color="auto"/>
        <w:bottom w:val="none" w:sz="0" w:space="0" w:color="auto"/>
        <w:right w:val="none" w:sz="0" w:space="0" w:color="auto"/>
      </w:divBdr>
    </w:div>
    <w:div w:id="2117559600">
      <w:bodyDiv w:val="1"/>
      <w:marLeft w:val="0"/>
      <w:marRight w:val="0"/>
      <w:marTop w:val="0"/>
      <w:marBottom w:val="0"/>
      <w:divBdr>
        <w:top w:val="none" w:sz="0" w:space="0" w:color="auto"/>
        <w:left w:val="none" w:sz="0" w:space="0" w:color="auto"/>
        <w:bottom w:val="none" w:sz="0" w:space="0" w:color="auto"/>
        <w:right w:val="none" w:sz="0" w:space="0" w:color="auto"/>
      </w:divBdr>
    </w:div>
    <w:div w:id="2118676533">
      <w:bodyDiv w:val="1"/>
      <w:marLeft w:val="0"/>
      <w:marRight w:val="0"/>
      <w:marTop w:val="0"/>
      <w:marBottom w:val="0"/>
      <w:divBdr>
        <w:top w:val="none" w:sz="0" w:space="0" w:color="auto"/>
        <w:left w:val="none" w:sz="0" w:space="0" w:color="auto"/>
        <w:bottom w:val="none" w:sz="0" w:space="0" w:color="auto"/>
        <w:right w:val="none" w:sz="0" w:space="0" w:color="auto"/>
      </w:divBdr>
    </w:div>
    <w:div w:id="2118796130">
      <w:bodyDiv w:val="1"/>
      <w:marLeft w:val="0"/>
      <w:marRight w:val="0"/>
      <w:marTop w:val="0"/>
      <w:marBottom w:val="0"/>
      <w:divBdr>
        <w:top w:val="none" w:sz="0" w:space="0" w:color="auto"/>
        <w:left w:val="none" w:sz="0" w:space="0" w:color="auto"/>
        <w:bottom w:val="none" w:sz="0" w:space="0" w:color="auto"/>
        <w:right w:val="none" w:sz="0" w:space="0" w:color="auto"/>
      </w:divBdr>
    </w:div>
    <w:div w:id="2118940750">
      <w:bodyDiv w:val="1"/>
      <w:marLeft w:val="0"/>
      <w:marRight w:val="0"/>
      <w:marTop w:val="0"/>
      <w:marBottom w:val="0"/>
      <w:divBdr>
        <w:top w:val="none" w:sz="0" w:space="0" w:color="auto"/>
        <w:left w:val="none" w:sz="0" w:space="0" w:color="auto"/>
        <w:bottom w:val="none" w:sz="0" w:space="0" w:color="auto"/>
        <w:right w:val="none" w:sz="0" w:space="0" w:color="auto"/>
      </w:divBdr>
    </w:div>
    <w:div w:id="2119790704">
      <w:bodyDiv w:val="1"/>
      <w:marLeft w:val="0"/>
      <w:marRight w:val="0"/>
      <w:marTop w:val="0"/>
      <w:marBottom w:val="0"/>
      <w:divBdr>
        <w:top w:val="none" w:sz="0" w:space="0" w:color="auto"/>
        <w:left w:val="none" w:sz="0" w:space="0" w:color="auto"/>
        <w:bottom w:val="none" w:sz="0" w:space="0" w:color="auto"/>
        <w:right w:val="none" w:sz="0" w:space="0" w:color="auto"/>
      </w:divBdr>
    </w:div>
    <w:div w:id="2119831370">
      <w:bodyDiv w:val="1"/>
      <w:marLeft w:val="0"/>
      <w:marRight w:val="0"/>
      <w:marTop w:val="0"/>
      <w:marBottom w:val="0"/>
      <w:divBdr>
        <w:top w:val="none" w:sz="0" w:space="0" w:color="auto"/>
        <w:left w:val="none" w:sz="0" w:space="0" w:color="auto"/>
        <w:bottom w:val="none" w:sz="0" w:space="0" w:color="auto"/>
        <w:right w:val="none" w:sz="0" w:space="0" w:color="auto"/>
      </w:divBdr>
    </w:div>
    <w:div w:id="2120031026">
      <w:bodyDiv w:val="1"/>
      <w:marLeft w:val="0"/>
      <w:marRight w:val="0"/>
      <w:marTop w:val="0"/>
      <w:marBottom w:val="0"/>
      <w:divBdr>
        <w:top w:val="none" w:sz="0" w:space="0" w:color="auto"/>
        <w:left w:val="none" w:sz="0" w:space="0" w:color="auto"/>
        <w:bottom w:val="none" w:sz="0" w:space="0" w:color="auto"/>
        <w:right w:val="none" w:sz="0" w:space="0" w:color="auto"/>
      </w:divBdr>
    </w:div>
    <w:div w:id="2120831296">
      <w:bodyDiv w:val="1"/>
      <w:marLeft w:val="0"/>
      <w:marRight w:val="0"/>
      <w:marTop w:val="0"/>
      <w:marBottom w:val="0"/>
      <w:divBdr>
        <w:top w:val="none" w:sz="0" w:space="0" w:color="auto"/>
        <w:left w:val="none" w:sz="0" w:space="0" w:color="auto"/>
        <w:bottom w:val="none" w:sz="0" w:space="0" w:color="auto"/>
        <w:right w:val="none" w:sz="0" w:space="0" w:color="auto"/>
      </w:divBdr>
    </w:div>
    <w:div w:id="2120836962">
      <w:bodyDiv w:val="1"/>
      <w:marLeft w:val="0"/>
      <w:marRight w:val="0"/>
      <w:marTop w:val="0"/>
      <w:marBottom w:val="0"/>
      <w:divBdr>
        <w:top w:val="none" w:sz="0" w:space="0" w:color="auto"/>
        <w:left w:val="none" w:sz="0" w:space="0" w:color="auto"/>
        <w:bottom w:val="none" w:sz="0" w:space="0" w:color="auto"/>
        <w:right w:val="none" w:sz="0" w:space="0" w:color="auto"/>
      </w:divBdr>
    </w:div>
    <w:div w:id="2121293023">
      <w:bodyDiv w:val="1"/>
      <w:marLeft w:val="0"/>
      <w:marRight w:val="0"/>
      <w:marTop w:val="0"/>
      <w:marBottom w:val="0"/>
      <w:divBdr>
        <w:top w:val="none" w:sz="0" w:space="0" w:color="auto"/>
        <w:left w:val="none" w:sz="0" w:space="0" w:color="auto"/>
        <w:bottom w:val="none" w:sz="0" w:space="0" w:color="auto"/>
        <w:right w:val="none" w:sz="0" w:space="0" w:color="auto"/>
      </w:divBdr>
    </w:div>
    <w:div w:id="2121757736">
      <w:bodyDiv w:val="1"/>
      <w:marLeft w:val="0"/>
      <w:marRight w:val="0"/>
      <w:marTop w:val="0"/>
      <w:marBottom w:val="0"/>
      <w:divBdr>
        <w:top w:val="none" w:sz="0" w:space="0" w:color="auto"/>
        <w:left w:val="none" w:sz="0" w:space="0" w:color="auto"/>
        <w:bottom w:val="none" w:sz="0" w:space="0" w:color="auto"/>
        <w:right w:val="none" w:sz="0" w:space="0" w:color="auto"/>
      </w:divBdr>
    </w:div>
    <w:div w:id="2121948960">
      <w:bodyDiv w:val="1"/>
      <w:marLeft w:val="0"/>
      <w:marRight w:val="0"/>
      <w:marTop w:val="0"/>
      <w:marBottom w:val="0"/>
      <w:divBdr>
        <w:top w:val="none" w:sz="0" w:space="0" w:color="auto"/>
        <w:left w:val="none" w:sz="0" w:space="0" w:color="auto"/>
        <w:bottom w:val="none" w:sz="0" w:space="0" w:color="auto"/>
        <w:right w:val="none" w:sz="0" w:space="0" w:color="auto"/>
      </w:divBdr>
    </w:div>
    <w:div w:id="2122142217">
      <w:bodyDiv w:val="1"/>
      <w:marLeft w:val="0"/>
      <w:marRight w:val="0"/>
      <w:marTop w:val="0"/>
      <w:marBottom w:val="0"/>
      <w:divBdr>
        <w:top w:val="none" w:sz="0" w:space="0" w:color="auto"/>
        <w:left w:val="none" w:sz="0" w:space="0" w:color="auto"/>
        <w:bottom w:val="none" w:sz="0" w:space="0" w:color="auto"/>
        <w:right w:val="none" w:sz="0" w:space="0" w:color="auto"/>
      </w:divBdr>
    </w:div>
    <w:div w:id="2122147151">
      <w:bodyDiv w:val="1"/>
      <w:marLeft w:val="0"/>
      <w:marRight w:val="0"/>
      <w:marTop w:val="0"/>
      <w:marBottom w:val="0"/>
      <w:divBdr>
        <w:top w:val="none" w:sz="0" w:space="0" w:color="auto"/>
        <w:left w:val="none" w:sz="0" w:space="0" w:color="auto"/>
        <w:bottom w:val="none" w:sz="0" w:space="0" w:color="auto"/>
        <w:right w:val="none" w:sz="0" w:space="0" w:color="auto"/>
      </w:divBdr>
    </w:div>
    <w:div w:id="2122219341">
      <w:bodyDiv w:val="1"/>
      <w:marLeft w:val="0"/>
      <w:marRight w:val="0"/>
      <w:marTop w:val="0"/>
      <w:marBottom w:val="0"/>
      <w:divBdr>
        <w:top w:val="none" w:sz="0" w:space="0" w:color="auto"/>
        <w:left w:val="none" w:sz="0" w:space="0" w:color="auto"/>
        <w:bottom w:val="none" w:sz="0" w:space="0" w:color="auto"/>
        <w:right w:val="none" w:sz="0" w:space="0" w:color="auto"/>
      </w:divBdr>
    </w:div>
    <w:div w:id="2122455203">
      <w:bodyDiv w:val="1"/>
      <w:marLeft w:val="0"/>
      <w:marRight w:val="0"/>
      <w:marTop w:val="0"/>
      <w:marBottom w:val="0"/>
      <w:divBdr>
        <w:top w:val="none" w:sz="0" w:space="0" w:color="auto"/>
        <w:left w:val="none" w:sz="0" w:space="0" w:color="auto"/>
        <w:bottom w:val="none" w:sz="0" w:space="0" w:color="auto"/>
        <w:right w:val="none" w:sz="0" w:space="0" w:color="auto"/>
      </w:divBdr>
    </w:div>
    <w:div w:id="2122676387">
      <w:bodyDiv w:val="1"/>
      <w:marLeft w:val="0"/>
      <w:marRight w:val="0"/>
      <w:marTop w:val="0"/>
      <w:marBottom w:val="0"/>
      <w:divBdr>
        <w:top w:val="none" w:sz="0" w:space="0" w:color="auto"/>
        <w:left w:val="none" w:sz="0" w:space="0" w:color="auto"/>
        <w:bottom w:val="none" w:sz="0" w:space="0" w:color="auto"/>
        <w:right w:val="none" w:sz="0" w:space="0" w:color="auto"/>
      </w:divBdr>
    </w:div>
    <w:div w:id="2122795076">
      <w:bodyDiv w:val="1"/>
      <w:marLeft w:val="0"/>
      <w:marRight w:val="0"/>
      <w:marTop w:val="0"/>
      <w:marBottom w:val="0"/>
      <w:divBdr>
        <w:top w:val="none" w:sz="0" w:space="0" w:color="auto"/>
        <w:left w:val="none" w:sz="0" w:space="0" w:color="auto"/>
        <w:bottom w:val="none" w:sz="0" w:space="0" w:color="auto"/>
        <w:right w:val="none" w:sz="0" w:space="0" w:color="auto"/>
      </w:divBdr>
    </w:div>
    <w:div w:id="2122995134">
      <w:bodyDiv w:val="1"/>
      <w:marLeft w:val="0"/>
      <w:marRight w:val="0"/>
      <w:marTop w:val="0"/>
      <w:marBottom w:val="0"/>
      <w:divBdr>
        <w:top w:val="none" w:sz="0" w:space="0" w:color="auto"/>
        <w:left w:val="none" w:sz="0" w:space="0" w:color="auto"/>
        <w:bottom w:val="none" w:sz="0" w:space="0" w:color="auto"/>
        <w:right w:val="none" w:sz="0" w:space="0" w:color="auto"/>
      </w:divBdr>
    </w:div>
    <w:div w:id="2123111196">
      <w:bodyDiv w:val="1"/>
      <w:marLeft w:val="0"/>
      <w:marRight w:val="0"/>
      <w:marTop w:val="0"/>
      <w:marBottom w:val="0"/>
      <w:divBdr>
        <w:top w:val="none" w:sz="0" w:space="0" w:color="auto"/>
        <w:left w:val="none" w:sz="0" w:space="0" w:color="auto"/>
        <w:bottom w:val="none" w:sz="0" w:space="0" w:color="auto"/>
        <w:right w:val="none" w:sz="0" w:space="0" w:color="auto"/>
      </w:divBdr>
    </w:div>
    <w:div w:id="2123188574">
      <w:bodyDiv w:val="1"/>
      <w:marLeft w:val="0"/>
      <w:marRight w:val="0"/>
      <w:marTop w:val="0"/>
      <w:marBottom w:val="0"/>
      <w:divBdr>
        <w:top w:val="none" w:sz="0" w:space="0" w:color="auto"/>
        <w:left w:val="none" w:sz="0" w:space="0" w:color="auto"/>
        <w:bottom w:val="none" w:sz="0" w:space="0" w:color="auto"/>
        <w:right w:val="none" w:sz="0" w:space="0" w:color="auto"/>
      </w:divBdr>
    </w:div>
    <w:div w:id="2123458562">
      <w:bodyDiv w:val="1"/>
      <w:marLeft w:val="0"/>
      <w:marRight w:val="0"/>
      <w:marTop w:val="0"/>
      <w:marBottom w:val="0"/>
      <w:divBdr>
        <w:top w:val="none" w:sz="0" w:space="0" w:color="auto"/>
        <w:left w:val="none" w:sz="0" w:space="0" w:color="auto"/>
        <w:bottom w:val="none" w:sz="0" w:space="0" w:color="auto"/>
        <w:right w:val="none" w:sz="0" w:space="0" w:color="auto"/>
      </w:divBdr>
    </w:div>
    <w:div w:id="2123646297">
      <w:bodyDiv w:val="1"/>
      <w:marLeft w:val="0"/>
      <w:marRight w:val="0"/>
      <w:marTop w:val="0"/>
      <w:marBottom w:val="0"/>
      <w:divBdr>
        <w:top w:val="none" w:sz="0" w:space="0" w:color="auto"/>
        <w:left w:val="none" w:sz="0" w:space="0" w:color="auto"/>
        <w:bottom w:val="none" w:sz="0" w:space="0" w:color="auto"/>
        <w:right w:val="none" w:sz="0" w:space="0" w:color="auto"/>
      </w:divBdr>
    </w:div>
    <w:div w:id="2123724757">
      <w:bodyDiv w:val="1"/>
      <w:marLeft w:val="0"/>
      <w:marRight w:val="0"/>
      <w:marTop w:val="0"/>
      <w:marBottom w:val="0"/>
      <w:divBdr>
        <w:top w:val="none" w:sz="0" w:space="0" w:color="auto"/>
        <w:left w:val="none" w:sz="0" w:space="0" w:color="auto"/>
        <w:bottom w:val="none" w:sz="0" w:space="0" w:color="auto"/>
        <w:right w:val="none" w:sz="0" w:space="0" w:color="auto"/>
      </w:divBdr>
    </w:div>
    <w:div w:id="2123841060">
      <w:bodyDiv w:val="1"/>
      <w:marLeft w:val="0"/>
      <w:marRight w:val="0"/>
      <w:marTop w:val="0"/>
      <w:marBottom w:val="0"/>
      <w:divBdr>
        <w:top w:val="none" w:sz="0" w:space="0" w:color="auto"/>
        <w:left w:val="none" w:sz="0" w:space="0" w:color="auto"/>
        <w:bottom w:val="none" w:sz="0" w:space="0" w:color="auto"/>
        <w:right w:val="none" w:sz="0" w:space="0" w:color="auto"/>
      </w:divBdr>
    </w:div>
    <w:div w:id="2123915243">
      <w:bodyDiv w:val="1"/>
      <w:marLeft w:val="0"/>
      <w:marRight w:val="0"/>
      <w:marTop w:val="0"/>
      <w:marBottom w:val="0"/>
      <w:divBdr>
        <w:top w:val="none" w:sz="0" w:space="0" w:color="auto"/>
        <w:left w:val="none" w:sz="0" w:space="0" w:color="auto"/>
        <w:bottom w:val="none" w:sz="0" w:space="0" w:color="auto"/>
        <w:right w:val="none" w:sz="0" w:space="0" w:color="auto"/>
      </w:divBdr>
    </w:div>
    <w:div w:id="2124573844">
      <w:bodyDiv w:val="1"/>
      <w:marLeft w:val="0"/>
      <w:marRight w:val="0"/>
      <w:marTop w:val="0"/>
      <w:marBottom w:val="0"/>
      <w:divBdr>
        <w:top w:val="none" w:sz="0" w:space="0" w:color="auto"/>
        <w:left w:val="none" w:sz="0" w:space="0" w:color="auto"/>
        <w:bottom w:val="none" w:sz="0" w:space="0" w:color="auto"/>
        <w:right w:val="none" w:sz="0" w:space="0" w:color="auto"/>
      </w:divBdr>
    </w:div>
    <w:div w:id="2124684515">
      <w:bodyDiv w:val="1"/>
      <w:marLeft w:val="0"/>
      <w:marRight w:val="0"/>
      <w:marTop w:val="0"/>
      <w:marBottom w:val="0"/>
      <w:divBdr>
        <w:top w:val="none" w:sz="0" w:space="0" w:color="auto"/>
        <w:left w:val="none" w:sz="0" w:space="0" w:color="auto"/>
        <w:bottom w:val="none" w:sz="0" w:space="0" w:color="auto"/>
        <w:right w:val="none" w:sz="0" w:space="0" w:color="auto"/>
      </w:divBdr>
    </w:div>
    <w:div w:id="2124687037">
      <w:bodyDiv w:val="1"/>
      <w:marLeft w:val="0"/>
      <w:marRight w:val="0"/>
      <w:marTop w:val="0"/>
      <w:marBottom w:val="0"/>
      <w:divBdr>
        <w:top w:val="none" w:sz="0" w:space="0" w:color="auto"/>
        <w:left w:val="none" w:sz="0" w:space="0" w:color="auto"/>
        <w:bottom w:val="none" w:sz="0" w:space="0" w:color="auto"/>
        <w:right w:val="none" w:sz="0" w:space="0" w:color="auto"/>
      </w:divBdr>
    </w:div>
    <w:div w:id="2124762238">
      <w:bodyDiv w:val="1"/>
      <w:marLeft w:val="0"/>
      <w:marRight w:val="0"/>
      <w:marTop w:val="0"/>
      <w:marBottom w:val="0"/>
      <w:divBdr>
        <w:top w:val="none" w:sz="0" w:space="0" w:color="auto"/>
        <w:left w:val="none" w:sz="0" w:space="0" w:color="auto"/>
        <w:bottom w:val="none" w:sz="0" w:space="0" w:color="auto"/>
        <w:right w:val="none" w:sz="0" w:space="0" w:color="auto"/>
      </w:divBdr>
    </w:div>
    <w:div w:id="2125150452">
      <w:bodyDiv w:val="1"/>
      <w:marLeft w:val="0"/>
      <w:marRight w:val="0"/>
      <w:marTop w:val="0"/>
      <w:marBottom w:val="0"/>
      <w:divBdr>
        <w:top w:val="none" w:sz="0" w:space="0" w:color="auto"/>
        <w:left w:val="none" w:sz="0" w:space="0" w:color="auto"/>
        <w:bottom w:val="none" w:sz="0" w:space="0" w:color="auto"/>
        <w:right w:val="none" w:sz="0" w:space="0" w:color="auto"/>
      </w:divBdr>
    </w:div>
    <w:div w:id="2126849781">
      <w:bodyDiv w:val="1"/>
      <w:marLeft w:val="0"/>
      <w:marRight w:val="0"/>
      <w:marTop w:val="0"/>
      <w:marBottom w:val="0"/>
      <w:divBdr>
        <w:top w:val="none" w:sz="0" w:space="0" w:color="auto"/>
        <w:left w:val="none" w:sz="0" w:space="0" w:color="auto"/>
        <w:bottom w:val="none" w:sz="0" w:space="0" w:color="auto"/>
        <w:right w:val="none" w:sz="0" w:space="0" w:color="auto"/>
      </w:divBdr>
    </w:div>
    <w:div w:id="2127237071">
      <w:bodyDiv w:val="1"/>
      <w:marLeft w:val="0"/>
      <w:marRight w:val="0"/>
      <w:marTop w:val="0"/>
      <w:marBottom w:val="0"/>
      <w:divBdr>
        <w:top w:val="none" w:sz="0" w:space="0" w:color="auto"/>
        <w:left w:val="none" w:sz="0" w:space="0" w:color="auto"/>
        <w:bottom w:val="none" w:sz="0" w:space="0" w:color="auto"/>
        <w:right w:val="none" w:sz="0" w:space="0" w:color="auto"/>
      </w:divBdr>
    </w:div>
    <w:div w:id="2127578841">
      <w:bodyDiv w:val="1"/>
      <w:marLeft w:val="0"/>
      <w:marRight w:val="0"/>
      <w:marTop w:val="0"/>
      <w:marBottom w:val="0"/>
      <w:divBdr>
        <w:top w:val="none" w:sz="0" w:space="0" w:color="auto"/>
        <w:left w:val="none" w:sz="0" w:space="0" w:color="auto"/>
        <w:bottom w:val="none" w:sz="0" w:space="0" w:color="auto"/>
        <w:right w:val="none" w:sz="0" w:space="0" w:color="auto"/>
      </w:divBdr>
    </w:div>
    <w:div w:id="2128430548">
      <w:bodyDiv w:val="1"/>
      <w:marLeft w:val="0"/>
      <w:marRight w:val="0"/>
      <w:marTop w:val="0"/>
      <w:marBottom w:val="0"/>
      <w:divBdr>
        <w:top w:val="none" w:sz="0" w:space="0" w:color="auto"/>
        <w:left w:val="none" w:sz="0" w:space="0" w:color="auto"/>
        <w:bottom w:val="none" w:sz="0" w:space="0" w:color="auto"/>
        <w:right w:val="none" w:sz="0" w:space="0" w:color="auto"/>
      </w:divBdr>
    </w:div>
    <w:div w:id="2128815764">
      <w:bodyDiv w:val="1"/>
      <w:marLeft w:val="0"/>
      <w:marRight w:val="0"/>
      <w:marTop w:val="0"/>
      <w:marBottom w:val="0"/>
      <w:divBdr>
        <w:top w:val="none" w:sz="0" w:space="0" w:color="auto"/>
        <w:left w:val="none" w:sz="0" w:space="0" w:color="auto"/>
        <w:bottom w:val="none" w:sz="0" w:space="0" w:color="auto"/>
        <w:right w:val="none" w:sz="0" w:space="0" w:color="auto"/>
      </w:divBdr>
    </w:div>
    <w:div w:id="2128817292">
      <w:bodyDiv w:val="1"/>
      <w:marLeft w:val="0"/>
      <w:marRight w:val="0"/>
      <w:marTop w:val="0"/>
      <w:marBottom w:val="0"/>
      <w:divBdr>
        <w:top w:val="none" w:sz="0" w:space="0" w:color="auto"/>
        <w:left w:val="none" w:sz="0" w:space="0" w:color="auto"/>
        <w:bottom w:val="none" w:sz="0" w:space="0" w:color="auto"/>
        <w:right w:val="none" w:sz="0" w:space="0" w:color="auto"/>
      </w:divBdr>
    </w:div>
    <w:div w:id="2129934774">
      <w:bodyDiv w:val="1"/>
      <w:marLeft w:val="0"/>
      <w:marRight w:val="0"/>
      <w:marTop w:val="0"/>
      <w:marBottom w:val="0"/>
      <w:divBdr>
        <w:top w:val="none" w:sz="0" w:space="0" w:color="auto"/>
        <w:left w:val="none" w:sz="0" w:space="0" w:color="auto"/>
        <w:bottom w:val="none" w:sz="0" w:space="0" w:color="auto"/>
        <w:right w:val="none" w:sz="0" w:space="0" w:color="auto"/>
      </w:divBdr>
    </w:div>
    <w:div w:id="2130197997">
      <w:bodyDiv w:val="1"/>
      <w:marLeft w:val="0"/>
      <w:marRight w:val="0"/>
      <w:marTop w:val="0"/>
      <w:marBottom w:val="0"/>
      <w:divBdr>
        <w:top w:val="none" w:sz="0" w:space="0" w:color="auto"/>
        <w:left w:val="none" w:sz="0" w:space="0" w:color="auto"/>
        <w:bottom w:val="none" w:sz="0" w:space="0" w:color="auto"/>
        <w:right w:val="none" w:sz="0" w:space="0" w:color="auto"/>
      </w:divBdr>
    </w:div>
    <w:div w:id="2130590744">
      <w:bodyDiv w:val="1"/>
      <w:marLeft w:val="0"/>
      <w:marRight w:val="0"/>
      <w:marTop w:val="0"/>
      <w:marBottom w:val="0"/>
      <w:divBdr>
        <w:top w:val="none" w:sz="0" w:space="0" w:color="auto"/>
        <w:left w:val="none" w:sz="0" w:space="0" w:color="auto"/>
        <w:bottom w:val="none" w:sz="0" w:space="0" w:color="auto"/>
        <w:right w:val="none" w:sz="0" w:space="0" w:color="auto"/>
      </w:divBdr>
    </w:div>
    <w:div w:id="2130706714">
      <w:bodyDiv w:val="1"/>
      <w:marLeft w:val="0"/>
      <w:marRight w:val="0"/>
      <w:marTop w:val="0"/>
      <w:marBottom w:val="0"/>
      <w:divBdr>
        <w:top w:val="none" w:sz="0" w:space="0" w:color="auto"/>
        <w:left w:val="none" w:sz="0" w:space="0" w:color="auto"/>
        <w:bottom w:val="none" w:sz="0" w:space="0" w:color="auto"/>
        <w:right w:val="none" w:sz="0" w:space="0" w:color="auto"/>
      </w:divBdr>
    </w:div>
    <w:div w:id="2131197623">
      <w:bodyDiv w:val="1"/>
      <w:marLeft w:val="0"/>
      <w:marRight w:val="0"/>
      <w:marTop w:val="0"/>
      <w:marBottom w:val="0"/>
      <w:divBdr>
        <w:top w:val="none" w:sz="0" w:space="0" w:color="auto"/>
        <w:left w:val="none" w:sz="0" w:space="0" w:color="auto"/>
        <w:bottom w:val="none" w:sz="0" w:space="0" w:color="auto"/>
        <w:right w:val="none" w:sz="0" w:space="0" w:color="auto"/>
      </w:divBdr>
    </w:div>
    <w:div w:id="2131363319">
      <w:bodyDiv w:val="1"/>
      <w:marLeft w:val="0"/>
      <w:marRight w:val="0"/>
      <w:marTop w:val="0"/>
      <w:marBottom w:val="0"/>
      <w:divBdr>
        <w:top w:val="none" w:sz="0" w:space="0" w:color="auto"/>
        <w:left w:val="none" w:sz="0" w:space="0" w:color="auto"/>
        <w:bottom w:val="none" w:sz="0" w:space="0" w:color="auto"/>
        <w:right w:val="none" w:sz="0" w:space="0" w:color="auto"/>
      </w:divBdr>
    </w:div>
    <w:div w:id="2131432374">
      <w:bodyDiv w:val="1"/>
      <w:marLeft w:val="0"/>
      <w:marRight w:val="0"/>
      <w:marTop w:val="0"/>
      <w:marBottom w:val="0"/>
      <w:divBdr>
        <w:top w:val="none" w:sz="0" w:space="0" w:color="auto"/>
        <w:left w:val="none" w:sz="0" w:space="0" w:color="auto"/>
        <w:bottom w:val="none" w:sz="0" w:space="0" w:color="auto"/>
        <w:right w:val="none" w:sz="0" w:space="0" w:color="auto"/>
      </w:divBdr>
    </w:div>
    <w:div w:id="2131505955">
      <w:bodyDiv w:val="1"/>
      <w:marLeft w:val="0"/>
      <w:marRight w:val="0"/>
      <w:marTop w:val="0"/>
      <w:marBottom w:val="0"/>
      <w:divBdr>
        <w:top w:val="none" w:sz="0" w:space="0" w:color="auto"/>
        <w:left w:val="none" w:sz="0" w:space="0" w:color="auto"/>
        <w:bottom w:val="none" w:sz="0" w:space="0" w:color="auto"/>
        <w:right w:val="none" w:sz="0" w:space="0" w:color="auto"/>
      </w:divBdr>
    </w:div>
    <w:div w:id="2131580871">
      <w:bodyDiv w:val="1"/>
      <w:marLeft w:val="0"/>
      <w:marRight w:val="0"/>
      <w:marTop w:val="0"/>
      <w:marBottom w:val="0"/>
      <w:divBdr>
        <w:top w:val="none" w:sz="0" w:space="0" w:color="auto"/>
        <w:left w:val="none" w:sz="0" w:space="0" w:color="auto"/>
        <w:bottom w:val="none" w:sz="0" w:space="0" w:color="auto"/>
        <w:right w:val="none" w:sz="0" w:space="0" w:color="auto"/>
      </w:divBdr>
    </w:div>
    <w:div w:id="2131630334">
      <w:bodyDiv w:val="1"/>
      <w:marLeft w:val="0"/>
      <w:marRight w:val="0"/>
      <w:marTop w:val="0"/>
      <w:marBottom w:val="0"/>
      <w:divBdr>
        <w:top w:val="none" w:sz="0" w:space="0" w:color="auto"/>
        <w:left w:val="none" w:sz="0" w:space="0" w:color="auto"/>
        <w:bottom w:val="none" w:sz="0" w:space="0" w:color="auto"/>
        <w:right w:val="none" w:sz="0" w:space="0" w:color="auto"/>
      </w:divBdr>
    </w:div>
    <w:div w:id="2131851302">
      <w:bodyDiv w:val="1"/>
      <w:marLeft w:val="0"/>
      <w:marRight w:val="0"/>
      <w:marTop w:val="0"/>
      <w:marBottom w:val="0"/>
      <w:divBdr>
        <w:top w:val="none" w:sz="0" w:space="0" w:color="auto"/>
        <w:left w:val="none" w:sz="0" w:space="0" w:color="auto"/>
        <w:bottom w:val="none" w:sz="0" w:space="0" w:color="auto"/>
        <w:right w:val="none" w:sz="0" w:space="0" w:color="auto"/>
      </w:divBdr>
    </w:div>
    <w:div w:id="2132045425">
      <w:bodyDiv w:val="1"/>
      <w:marLeft w:val="0"/>
      <w:marRight w:val="0"/>
      <w:marTop w:val="0"/>
      <w:marBottom w:val="0"/>
      <w:divBdr>
        <w:top w:val="none" w:sz="0" w:space="0" w:color="auto"/>
        <w:left w:val="none" w:sz="0" w:space="0" w:color="auto"/>
        <w:bottom w:val="none" w:sz="0" w:space="0" w:color="auto"/>
        <w:right w:val="none" w:sz="0" w:space="0" w:color="auto"/>
      </w:divBdr>
    </w:div>
    <w:div w:id="2132168127">
      <w:bodyDiv w:val="1"/>
      <w:marLeft w:val="0"/>
      <w:marRight w:val="0"/>
      <w:marTop w:val="0"/>
      <w:marBottom w:val="0"/>
      <w:divBdr>
        <w:top w:val="none" w:sz="0" w:space="0" w:color="auto"/>
        <w:left w:val="none" w:sz="0" w:space="0" w:color="auto"/>
        <w:bottom w:val="none" w:sz="0" w:space="0" w:color="auto"/>
        <w:right w:val="none" w:sz="0" w:space="0" w:color="auto"/>
      </w:divBdr>
    </w:div>
    <w:div w:id="2132242343">
      <w:bodyDiv w:val="1"/>
      <w:marLeft w:val="0"/>
      <w:marRight w:val="0"/>
      <w:marTop w:val="0"/>
      <w:marBottom w:val="0"/>
      <w:divBdr>
        <w:top w:val="none" w:sz="0" w:space="0" w:color="auto"/>
        <w:left w:val="none" w:sz="0" w:space="0" w:color="auto"/>
        <w:bottom w:val="none" w:sz="0" w:space="0" w:color="auto"/>
        <w:right w:val="none" w:sz="0" w:space="0" w:color="auto"/>
      </w:divBdr>
    </w:div>
    <w:div w:id="2132476303">
      <w:bodyDiv w:val="1"/>
      <w:marLeft w:val="0"/>
      <w:marRight w:val="0"/>
      <w:marTop w:val="0"/>
      <w:marBottom w:val="0"/>
      <w:divBdr>
        <w:top w:val="none" w:sz="0" w:space="0" w:color="auto"/>
        <w:left w:val="none" w:sz="0" w:space="0" w:color="auto"/>
        <w:bottom w:val="none" w:sz="0" w:space="0" w:color="auto"/>
        <w:right w:val="none" w:sz="0" w:space="0" w:color="auto"/>
      </w:divBdr>
    </w:div>
    <w:div w:id="2132743082">
      <w:bodyDiv w:val="1"/>
      <w:marLeft w:val="0"/>
      <w:marRight w:val="0"/>
      <w:marTop w:val="0"/>
      <w:marBottom w:val="0"/>
      <w:divBdr>
        <w:top w:val="none" w:sz="0" w:space="0" w:color="auto"/>
        <w:left w:val="none" w:sz="0" w:space="0" w:color="auto"/>
        <w:bottom w:val="none" w:sz="0" w:space="0" w:color="auto"/>
        <w:right w:val="none" w:sz="0" w:space="0" w:color="auto"/>
      </w:divBdr>
    </w:div>
    <w:div w:id="2132745143">
      <w:bodyDiv w:val="1"/>
      <w:marLeft w:val="0"/>
      <w:marRight w:val="0"/>
      <w:marTop w:val="0"/>
      <w:marBottom w:val="0"/>
      <w:divBdr>
        <w:top w:val="none" w:sz="0" w:space="0" w:color="auto"/>
        <w:left w:val="none" w:sz="0" w:space="0" w:color="auto"/>
        <w:bottom w:val="none" w:sz="0" w:space="0" w:color="auto"/>
        <w:right w:val="none" w:sz="0" w:space="0" w:color="auto"/>
      </w:divBdr>
    </w:div>
    <w:div w:id="2133210450">
      <w:bodyDiv w:val="1"/>
      <w:marLeft w:val="0"/>
      <w:marRight w:val="0"/>
      <w:marTop w:val="0"/>
      <w:marBottom w:val="0"/>
      <w:divBdr>
        <w:top w:val="none" w:sz="0" w:space="0" w:color="auto"/>
        <w:left w:val="none" w:sz="0" w:space="0" w:color="auto"/>
        <w:bottom w:val="none" w:sz="0" w:space="0" w:color="auto"/>
        <w:right w:val="none" w:sz="0" w:space="0" w:color="auto"/>
      </w:divBdr>
    </w:div>
    <w:div w:id="2133286010">
      <w:bodyDiv w:val="1"/>
      <w:marLeft w:val="0"/>
      <w:marRight w:val="0"/>
      <w:marTop w:val="0"/>
      <w:marBottom w:val="0"/>
      <w:divBdr>
        <w:top w:val="none" w:sz="0" w:space="0" w:color="auto"/>
        <w:left w:val="none" w:sz="0" w:space="0" w:color="auto"/>
        <w:bottom w:val="none" w:sz="0" w:space="0" w:color="auto"/>
        <w:right w:val="none" w:sz="0" w:space="0" w:color="auto"/>
      </w:divBdr>
    </w:div>
    <w:div w:id="2133473300">
      <w:bodyDiv w:val="1"/>
      <w:marLeft w:val="0"/>
      <w:marRight w:val="0"/>
      <w:marTop w:val="0"/>
      <w:marBottom w:val="0"/>
      <w:divBdr>
        <w:top w:val="none" w:sz="0" w:space="0" w:color="auto"/>
        <w:left w:val="none" w:sz="0" w:space="0" w:color="auto"/>
        <w:bottom w:val="none" w:sz="0" w:space="0" w:color="auto"/>
        <w:right w:val="none" w:sz="0" w:space="0" w:color="auto"/>
      </w:divBdr>
    </w:div>
    <w:div w:id="2133859938">
      <w:bodyDiv w:val="1"/>
      <w:marLeft w:val="0"/>
      <w:marRight w:val="0"/>
      <w:marTop w:val="0"/>
      <w:marBottom w:val="0"/>
      <w:divBdr>
        <w:top w:val="none" w:sz="0" w:space="0" w:color="auto"/>
        <w:left w:val="none" w:sz="0" w:space="0" w:color="auto"/>
        <w:bottom w:val="none" w:sz="0" w:space="0" w:color="auto"/>
        <w:right w:val="none" w:sz="0" w:space="0" w:color="auto"/>
      </w:divBdr>
    </w:div>
    <w:div w:id="2134328074">
      <w:bodyDiv w:val="1"/>
      <w:marLeft w:val="0"/>
      <w:marRight w:val="0"/>
      <w:marTop w:val="0"/>
      <w:marBottom w:val="0"/>
      <w:divBdr>
        <w:top w:val="none" w:sz="0" w:space="0" w:color="auto"/>
        <w:left w:val="none" w:sz="0" w:space="0" w:color="auto"/>
        <w:bottom w:val="none" w:sz="0" w:space="0" w:color="auto"/>
        <w:right w:val="none" w:sz="0" w:space="0" w:color="auto"/>
      </w:divBdr>
    </w:div>
    <w:div w:id="2134670733">
      <w:bodyDiv w:val="1"/>
      <w:marLeft w:val="0"/>
      <w:marRight w:val="0"/>
      <w:marTop w:val="0"/>
      <w:marBottom w:val="0"/>
      <w:divBdr>
        <w:top w:val="none" w:sz="0" w:space="0" w:color="auto"/>
        <w:left w:val="none" w:sz="0" w:space="0" w:color="auto"/>
        <w:bottom w:val="none" w:sz="0" w:space="0" w:color="auto"/>
        <w:right w:val="none" w:sz="0" w:space="0" w:color="auto"/>
      </w:divBdr>
    </w:div>
    <w:div w:id="2134903664">
      <w:bodyDiv w:val="1"/>
      <w:marLeft w:val="0"/>
      <w:marRight w:val="0"/>
      <w:marTop w:val="0"/>
      <w:marBottom w:val="0"/>
      <w:divBdr>
        <w:top w:val="none" w:sz="0" w:space="0" w:color="auto"/>
        <w:left w:val="none" w:sz="0" w:space="0" w:color="auto"/>
        <w:bottom w:val="none" w:sz="0" w:space="0" w:color="auto"/>
        <w:right w:val="none" w:sz="0" w:space="0" w:color="auto"/>
      </w:divBdr>
    </w:div>
    <w:div w:id="2134984212">
      <w:bodyDiv w:val="1"/>
      <w:marLeft w:val="0"/>
      <w:marRight w:val="0"/>
      <w:marTop w:val="0"/>
      <w:marBottom w:val="0"/>
      <w:divBdr>
        <w:top w:val="none" w:sz="0" w:space="0" w:color="auto"/>
        <w:left w:val="none" w:sz="0" w:space="0" w:color="auto"/>
        <w:bottom w:val="none" w:sz="0" w:space="0" w:color="auto"/>
        <w:right w:val="none" w:sz="0" w:space="0" w:color="auto"/>
      </w:divBdr>
    </w:div>
    <w:div w:id="2135977202">
      <w:bodyDiv w:val="1"/>
      <w:marLeft w:val="0"/>
      <w:marRight w:val="0"/>
      <w:marTop w:val="0"/>
      <w:marBottom w:val="0"/>
      <w:divBdr>
        <w:top w:val="none" w:sz="0" w:space="0" w:color="auto"/>
        <w:left w:val="none" w:sz="0" w:space="0" w:color="auto"/>
        <w:bottom w:val="none" w:sz="0" w:space="0" w:color="auto"/>
        <w:right w:val="none" w:sz="0" w:space="0" w:color="auto"/>
      </w:divBdr>
    </w:div>
    <w:div w:id="2136171162">
      <w:bodyDiv w:val="1"/>
      <w:marLeft w:val="0"/>
      <w:marRight w:val="0"/>
      <w:marTop w:val="0"/>
      <w:marBottom w:val="0"/>
      <w:divBdr>
        <w:top w:val="none" w:sz="0" w:space="0" w:color="auto"/>
        <w:left w:val="none" w:sz="0" w:space="0" w:color="auto"/>
        <w:bottom w:val="none" w:sz="0" w:space="0" w:color="auto"/>
        <w:right w:val="none" w:sz="0" w:space="0" w:color="auto"/>
      </w:divBdr>
    </w:div>
    <w:div w:id="2136212416">
      <w:bodyDiv w:val="1"/>
      <w:marLeft w:val="0"/>
      <w:marRight w:val="0"/>
      <w:marTop w:val="0"/>
      <w:marBottom w:val="0"/>
      <w:divBdr>
        <w:top w:val="none" w:sz="0" w:space="0" w:color="auto"/>
        <w:left w:val="none" w:sz="0" w:space="0" w:color="auto"/>
        <w:bottom w:val="none" w:sz="0" w:space="0" w:color="auto"/>
        <w:right w:val="none" w:sz="0" w:space="0" w:color="auto"/>
      </w:divBdr>
    </w:div>
    <w:div w:id="2136289031">
      <w:bodyDiv w:val="1"/>
      <w:marLeft w:val="0"/>
      <w:marRight w:val="0"/>
      <w:marTop w:val="0"/>
      <w:marBottom w:val="0"/>
      <w:divBdr>
        <w:top w:val="none" w:sz="0" w:space="0" w:color="auto"/>
        <w:left w:val="none" w:sz="0" w:space="0" w:color="auto"/>
        <w:bottom w:val="none" w:sz="0" w:space="0" w:color="auto"/>
        <w:right w:val="none" w:sz="0" w:space="0" w:color="auto"/>
      </w:divBdr>
    </w:div>
    <w:div w:id="2136412845">
      <w:bodyDiv w:val="1"/>
      <w:marLeft w:val="0"/>
      <w:marRight w:val="0"/>
      <w:marTop w:val="0"/>
      <w:marBottom w:val="0"/>
      <w:divBdr>
        <w:top w:val="none" w:sz="0" w:space="0" w:color="auto"/>
        <w:left w:val="none" w:sz="0" w:space="0" w:color="auto"/>
        <w:bottom w:val="none" w:sz="0" w:space="0" w:color="auto"/>
        <w:right w:val="none" w:sz="0" w:space="0" w:color="auto"/>
      </w:divBdr>
    </w:div>
    <w:div w:id="2136480851">
      <w:bodyDiv w:val="1"/>
      <w:marLeft w:val="0"/>
      <w:marRight w:val="0"/>
      <w:marTop w:val="0"/>
      <w:marBottom w:val="0"/>
      <w:divBdr>
        <w:top w:val="none" w:sz="0" w:space="0" w:color="auto"/>
        <w:left w:val="none" w:sz="0" w:space="0" w:color="auto"/>
        <w:bottom w:val="none" w:sz="0" w:space="0" w:color="auto"/>
        <w:right w:val="none" w:sz="0" w:space="0" w:color="auto"/>
      </w:divBdr>
    </w:div>
    <w:div w:id="2137020904">
      <w:bodyDiv w:val="1"/>
      <w:marLeft w:val="0"/>
      <w:marRight w:val="0"/>
      <w:marTop w:val="0"/>
      <w:marBottom w:val="0"/>
      <w:divBdr>
        <w:top w:val="none" w:sz="0" w:space="0" w:color="auto"/>
        <w:left w:val="none" w:sz="0" w:space="0" w:color="auto"/>
        <w:bottom w:val="none" w:sz="0" w:space="0" w:color="auto"/>
        <w:right w:val="none" w:sz="0" w:space="0" w:color="auto"/>
      </w:divBdr>
    </w:div>
    <w:div w:id="2137409995">
      <w:bodyDiv w:val="1"/>
      <w:marLeft w:val="0"/>
      <w:marRight w:val="0"/>
      <w:marTop w:val="0"/>
      <w:marBottom w:val="0"/>
      <w:divBdr>
        <w:top w:val="none" w:sz="0" w:space="0" w:color="auto"/>
        <w:left w:val="none" w:sz="0" w:space="0" w:color="auto"/>
        <w:bottom w:val="none" w:sz="0" w:space="0" w:color="auto"/>
        <w:right w:val="none" w:sz="0" w:space="0" w:color="auto"/>
      </w:divBdr>
    </w:div>
    <w:div w:id="2137479039">
      <w:bodyDiv w:val="1"/>
      <w:marLeft w:val="0"/>
      <w:marRight w:val="0"/>
      <w:marTop w:val="0"/>
      <w:marBottom w:val="0"/>
      <w:divBdr>
        <w:top w:val="none" w:sz="0" w:space="0" w:color="auto"/>
        <w:left w:val="none" w:sz="0" w:space="0" w:color="auto"/>
        <w:bottom w:val="none" w:sz="0" w:space="0" w:color="auto"/>
        <w:right w:val="none" w:sz="0" w:space="0" w:color="auto"/>
      </w:divBdr>
    </w:div>
    <w:div w:id="2137748832">
      <w:bodyDiv w:val="1"/>
      <w:marLeft w:val="0"/>
      <w:marRight w:val="0"/>
      <w:marTop w:val="0"/>
      <w:marBottom w:val="0"/>
      <w:divBdr>
        <w:top w:val="none" w:sz="0" w:space="0" w:color="auto"/>
        <w:left w:val="none" w:sz="0" w:space="0" w:color="auto"/>
        <w:bottom w:val="none" w:sz="0" w:space="0" w:color="auto"/>
        <w:right w:val="none" w:sz="0" w:space="0" w:color="auto"/>
      </w:divBdr>
    </w:div>
    <w:div w:id="2137750092">
      <w:bodyDiv w:val="1"/>
      <w:marLeft w:val="0"/>
      <w:marRight w:val="0"/>
      <w:marTop w:val="0"/>
      <w:marBottom w:val="0"/>
      <w:divBdr>
        <w:top w:val="none" w:sz="0" w:space="0" w:color="auto"/>
        <w:left w:val="none" w:sz="0" w:space="0" w:color="auto"/>
        <w:bottom w:val="none" w:sz="0" w:space="0" w:color="auto"/>
        <w:right w:val="none" w:sz="0" w:space="0" w:color="auto"/>
      </w:divBdr>
    </w:div>
    <w:div w:id="2137867250">
      <w:bodyDiv w:val="1"/>
      <w:marLeft w:val="0"/>
      <w:marRight w:val="0"/>
      <w:marTop w:val="0"/>
      <w:marBottom w:val="0"/>
      <w:divBdr>
        <w:top w:val="none" w:sz="0" w:space="0" w:color="auto"/>
        <w:left w:val="none" w:sz="0" w:space="0" w:color="auto"/>
        <w:bottom w:val="none" w:sz="0" w:space="0" w:color="auto"/>
        <w:right w:val="none" w:sz="0" w:space="0" w:color="auto"/>
      </w:divBdr>
    </w:div>
    <w:div w:id="2137990187">
      <w:bodyDiv w:val="1"/>
      <w:marLeft w:val="0"/>
      <w:marRight w:val="0"/>
      <w:marTop w:val="0"/>
      <w:marBottom w:val="0"/>
      <w:divBdr>
        <w:top w:val="none" w:sz="0" w:space="0" w:color="auto"/>
        <w:left w:val="none" w:sz="0" w:space="0" w:color="auto"/>
        <w:bottom w:val="none" w:sz="0" w:space="0" w:color="auto"/>
        <w:right w:val="none" w:sz="0" w:space="0" w:color="auto"/>
      </w:divBdr>
    </w:div>
    <w:div w:id="2138377308">
      <w:bodyDiv w:val="1"/>
      <w:marLeft w:val="0"/>
      <w:marRight w:val="0"/>
      <w:marTop w:val="0"/>
      <w:marBottom w:val="0"/>
      <w:divBdr>
        <w:top w:val="none" w:sz="0" w:space="0" w:color="auto"/>
        <w:left w:val="none" w:sz="0" w:space="0" w:color="auto"/>
        <w:bottom w:val="none" w:sz="0" w:space="0" w:color="auto"/>
        <w:right w:val="none" w:sz="0" w:space="0" w:color="auto"/>
      </w:divBdr>
    </w:div>
    <w:div w:id="2138406227">
      <w:bodyDiv w:val="1"/>
      <w:marLeft w:val="0"/>
      <w:marRight w:val="0"/>
      <w:marTop w:val="0"/>
      <w:marBottom w:val="0"/>
      <w:divBdr>
        <w:top w:val="none" w:sz="0" w:space="0" w:color="auto"/>
        <w:left w:val="none" w:sz="0" w:space="0" w:color="auto"/>
        <w:bottom w:val="none" w:sz="0" w:space="0" w:color="auto"/>
        <w:right w:val="none" w:sz="0" w:space="0" w:color="auto"/>
      </w:divBdr>
    </w:div>
    <w:div w:id="2138714318">
      <w:bodyDiv w:val="1"/>
      <w:marLeft w:val="0"/>
      <w:marRight w:val="0"/>
      <w:marTop w:val="0"/>
      <w:marBottom w:val="0"/>
      <w:divBdr>
        <w:top w:val="none" w:sz="0" w:space="0" w:color="auto"/>
        <w:left w:val="none" w:sz="0" w:space="0" w:color="auto"/>
        <w:bottom w:val="none" w:sz="0" w:space="0" w:color="auto"/>
        <w:right w:val="none" w:sz="0" w:space="0" w:color="auto"/>
      </w:divBdr>
    </w:div>
    <w:div w:id="2138790915">
      <w:bodyDiv w:val="1"/>
      <w:marLeft w:val="0"/>
      <w:marRight w:val="0"/>
      <w:marTop w:val="0"/>
      <w:marBottom w:val="0"/>
      <w:divBdr>
        <w:top w:val="none" w:sz="0" w:space="0" w:color="auto"/>
        <w:left w:val="none" w:sz="0" w:space="0" w:color="auto"/>
        <w:bottom w:val="none" w:sz="0" w:space="0" w:color="auto"/>
        <w:right w:val="none" w:sz="0" w:space="0" w:color="auto"/>
      </w:divBdr>
    </w:div>
    <w:div w:id="2139712619">
      <w:bodyDiv w:val="1"/>
      <w:marLeft w:val="0"/>
      <w:marRight w:val="0"/>
      <w:marTop w:val="0"/>
      <w:marBottom w:val="0"/>
      <w:divBdr>
        <w:top w:val="none" w:sz="0" w:space="0" w:color="auto"/>
        <w:left w:val="none" w:sz="0" w:space="0" w:color="auto"/>
        <w:bottom w:val="none" w:sz="0" w:space="0" w:color="auto"/>
        <w:right w:val="none" w:sz="0" w:space="0" w:color="auto"/>
      </w:divBdr>
    </w:div>
    <w:div w:id="2139764308">
      <w:bodyDiv w:val="1"/>
      <w:marLeft w:val="0"/>
      <w:marRight w:val="0"/>
      <w:marTop w:val="0"/>
      <w:marBottom w:val="0"/>
      <w:divBdr>
        <w:top w:val="none" w:sz="0" w:space="0" w:color="auto"/>
        <w:left w:val="none" w:sz="0" w:space="0" w:color="auto"/>
        <w:bottom w:val="none" w:sz="0" w:space="0" w:color="auto"/>
        <w:right w:val="none" w:sz="0" w:space="0" w:color="auto"/>
      </w:divBdr>
    </w:div>
    <w:div w:id="2140145114">
      <w:bodyDiv w:val="1"/>
      <w:marLeft w:val="0"/>
      <w:marRight w:val="0"/>
      <w:marTop w:val="0"/>
      <w:marBottom w:val="0"/>
      <w:divBdr>
        <w:top w:val="none" w:sz="0" w:space="0" w:color="auto"/>
        <w:left w:val="none" w:sz="0" w:space="0" w:color="auto"/>
        <w:bottom w:val="none" w:sz="0" w:space="0" w:color="auto"/>
        <w:right w:val="none" w:sz="0" w:space="0" w:color="auto"/>
      </w:divBdr>
    </w:div>
    <w:div w:id="2140683366">
      <w:bodyDiv w:val="1"/>
      <w:marLeft w:val="0"/>
      <w:marRight w:val="0"/>
      <w:marTop w:val="0"/>
      <w:marBottom w:val="0"/>
      <w:divBdr>
        <w:top w:val="none" w:sz="0" w:space="0" w:color="auto"/>
        <w:left w:val="none" w:sz="0" w:space="0" w:color="auto"/>
        <w:bottom w:val="none" w:sz="0" w:space="0" w:color="auto"/>
        <w:right w:val="none" w:sz="0" w:space="0" w:color="auto"/>
      </w:divBdr>
    </w:div>
    <w:div w:id="2140763960">
      <w:bodyDiv w:val="1"/>
      <w:marLeft w:val="0"/>
      <w:marRight w:val="0"/>
      <w:marTop w:val="0"/>
      <w:marBottom w:val="0"/>
      <w:divBdr>
        <w:top w:val="none" w:sz="0" w:space="0" w:color="auto"/>
        <w:left w:val="none" w:sz="0" w:space="0" w:color="auto"/>
        <w:bottom w:val="none" w:sz="0" w:space="0" w:color="auto"/>
        <w:right w:val="none" w:sz="0" w:space="0" w:color="auto"/>
      </w:divBdr>
    </w:div>
    <w:div w:id="2140831175">
      <w:bodyDiv w:val="1"/>
      <w:marLeft w:val="0"/>
      <w:marRight w:val="0"/>
      <w:marTop w:val="0"/>
      <w:marBottom w:val="0"/>
      <w:divBdr>
        <w:top w:val="none" w:sz="0" w:space="0" w:color="auto"/>
        <w:left w:val="none" w:sz="0" w:space="0" w:color="auto"/>
        <w:bottom w:val="none" w:sz="0" w:space="0" w:color="auto"/>
        <w:right w:val="none" w:sz="0" w:space="0" w:color="auto"/>
      </w:divBdr>
    </w:div>
    <w:div w:id="2141023645">
      <w:bodyDiv w:val="1"/>
      <w:marLeft w:val="0"/>
      <w:marRight w:val="0"/>
      <w:marTop w:val="0"/>
      <w:marBottom w:val="0"/>
      <w:divBdr>
        <w:top w:val="none" w:sz="0" w:space="0" w:color="auto"/>
        <w:left w:val="none" w:sz="0" w:space="0" w:color="auto"/>
        <w:bottom w:val="none" w:sz="0" w:space="0" w:color="auto"/>
        <w:right w:val="none" w:sz="0" w:space="0" w:color="auto"/>
      </w:divBdr>
    </w:div>
    <w:div w:id="2141459447">
      <w:bodyDiv w:val="1"/>
      <w:marLeft w:val="0"/>
      <w:marRight w:val="0"/>
      <w:marTop w:val="0"/>
      <w:marBottom w:val="0"/>
      <w:divBdr>
        <w:top w:val="none" w:sz="0" w:space="0" w:color="auto"/>
        <w:left w:val="none" w:sz="0" w:space="0" w:color="auto"/>
        <w:bottom w:val="none" w:sz="0" w:space="0" w:color="auto"/>
        <w:right w:val="none" w:sz="0" w:space="0" w:color="auto"/>
      </w:divBdr>
    </w:div>
    <w:div w:id="2141461617">
      <w:bodyDiv w:val="1"/>
      <w:marLeft w:val="0"/>
      <w:marRight w:val="0"/>
      <w:marTop w:val="0"/>
      <w:marBottom w:val="0"/>
      <w:divBdr>
        <w:top w:val="none" w:sz="0" w:space="0" w:color="auto"/>
        <w:left w:val="none" w:sz="0" w:space="0" w:color="auto"/>
        <w:bottom w:val="none" w:sz="0" w:space="0" w:color="auto"/>
        <w:right w:val="none" w:sz="0" w:space="0" w:color="auto"/>
      </w:divBdr>
    </w:div>
    <w:div w:id="2142189562">
      <w:bodyDiv w:val="1"/>
      <w:marLeft w:val="0"/>
      <w:marRight w:val="0"/>
      <w:marTop w:val="0"/>
      <w:marBottom w:val="0"/>
      <w:divBdr>
        <w:top w:val="none" w:sz="0" w:space="0" w:color="auto"/>
        <w:left w:val="none" w:sz="0" w:space="0" w:color="auto"/>
        <w:bottom w:val="none" w:sz="0" w:space="0" w:color="auto"/>
        <w:right w:val="none" w:sz="0" w:space="0" w:color="auto"/>
      </w:divBdr>
    </w:div>
    <w:div w:id="2142339040">
      <w:bodyDiv w:val="1"/>
      <w:marLeft w:val="0"/>
      <w:marRight w:val="0"/>
      <w:marTop w:val="0"/>
      <w:marBottom w:val="0"/>
      <w:divBdr>
        <w:top w:val="none" w:sz="0" w:space="0" w:color="auto"/>
        <w:left w:val="none" w:sz="0" w:space="0" w:color="auto"/>
        <w:bottom w:val="none" w:sz="0" w:space="0" w:color="auto"/>
        <w:right w:val="none" w:sz="0" w:space="0" w:color="auto"/>
      </w:divBdr>
    </w:div>
    <w:div w:id="2142576816">
      <w:bodyDiv w:val="1"/>
      <w:marLeft w:val="0"/>
      <w:marRight w:val="0"/>
      <w:marTop w:val="0"/>
      <w:marBottom w:val="0"/>
      <w:divBdr>
        <w:top w:val="none" w:sz="0" w:space="0" w:color="auto"/>
        <w:left w:val="none" w:sz="0" w:space="0" w:color="auto"/>
        <w:bottom w:val="none" w:sz="0" w:space="0" w:color="auto"/>
        <w:right w:val="none" w:sz="0" w:space="0" w:color="auto"/>
      </w:divBdr>
    </w:div>
    <w:div w:id="2142720244">
      <w:bodyDiv w:val="1"/>
      <w:marLeft w:val="0"/>
      <w:marRight w:val="0"/>
      <w:marTop w:val="0"/>
      <w:marBottom w:val="0"/>
      <w:divBdr>
        <w:top w:val="none" w:sz="0" w:space="0" w:color="auto"/>
        <w:left w:val="none" w:sz="0" w:space="0" w:color="auto"/>
        <w:bottom w:val="none" w:sz="0" w:space="0" w:color="auto"/>
        <w:right w:val="none" w:sz="0" w:space="0" w:color="auto"/>
      </w:divBdr>
    </w:div>
    <w:div w:id="2143424551">
      <w:bodyDiv w:val="1"/>
      <w:marLeft w:val="0"/>
      <w:marRight w:val="0"/>
      <w:marTop w:val="0"/>
      <w:marBottom w:val="0"/>
      <w:divBdr>
        <w:top w:val="none" w:sz="0" w:space="0" w:color="auto"/>
        <w:left w:val="none" w:sz="0" w:space="0" w:color="auto"/>
        <w:bottom w:val="none" w:sz="0" w:space="0" w:color="auto"/>
        <w:right w:val="none" w:sz="0" w:space="0" w:color="auto"/>
      </w:divBdr>
    </w:div>
    <w:div w:id="2143426333">
      <w:bodyDiv w:val="1"/>
      <w:marLeft w:val="0"/>
      <w:marRight w:val="0"/>
      <w:marTop w:val="0"/>
      <w:marBottom w:val="0"/>
      <w:divBdr>
        <w:top w:val="none" w:sz="0" w:space="0" w:color="auto"/>
        <w:left w:val="none" w:sz="0" w:space="0" w:color="auto"/>
        <w:bottom w:val="none" w:sz="0" w:space="0" w:color="auto"/>
        <w:right w:val="none" w:sz="0" w:space="0" w:color="auto"/>
      </w:divBdr>
    </w:div>
    <w:div w:id="2143496403">
      <w:bodyDiv w:val="1"/>
      <w:marLeft w:val="0"/>
      <w:marRight w:val="0"/>
      <w:marTop w:val="0"/>
      <w:marBottom w:val="0"/>
      <w:divBdr>
        <w:top w:val="none" w:sz="0" w:space="0" w:color="auto"/>
        <w:left w:val="none" w:sz="0" w:space="0" w:color="auto"/>
        <w:bottom w:val="none" w:sz="0" w:space="0" w:color="auto"/>
        <w:right w:val="none" w:sz="0" w:space="0" w:color="auto"/>
      </w:divBdr>
    </w:div>
    <w:div w:id="2143496480">
      <w:bodyDiv w:val="1"/>
      <w:marLeft w:val="0"/>
      <w:marRight w:val="0"/>
      <w:marTop w:val="0"/>
      <w:marBottom w:val="0"/>
      <w:divBdr>
        <w:top w:val="none" w:sz="0" w:space="0" w:color="auto"/>
        <w:left w:val="none" w:sz="0" w:space="0" w:color="auto"/>
        <w:bottom w:val="none" w:sz="0" w:space="0" w:color="auto"/>
        <w:right w:val="none" w:sz="0" w:space="0" w:color="auto"/>
      </w:divBdr>
    </w:div>
    <w:div w:id="2143568908">
      <w:bodyDiv w:val="1"/>
      <w:marLeft w:val="0"/>
      <w:marRight w:val="0"/>
      <w:marTop w:val="0"/>
      <w:marBottom w:val="0"/>
      <w:divBdr>
        <w:top w:val="none" w:sz="0" w:space="0" w:color="auto"/>
        <w:left w:val="none" w:sz="0" w:space="0" w:color="auto"/>
        <w:bottom w:val="none" w:sz="0" w:space="0" w:color="auto"/>
        <w:right w:val="none" w:sz="0" w:space="0" w:color="auto"/>
      </w:divBdr>
    </w:div>
    <w:div w:id="2143763216">
      <w:bodyDiv w:val="1"/>
      <w:marLeft w:val="0"/>
      <w:marRight w:val="0"/>
      <w:marTop w:val="0"/>
      <w:marBottom w:val="0"/>
      <w:divBdr>
        <w:top w:val="none" w:sz="0" w:space="0" w:color="auto"/>
        <w:left w:val="none" w:sz="0" w:space="0" w:color="auto"/>
        <w:bottom w:val="none" w:sz="0" w:space="0" w:color="auto"/>
        <w:right w:val="none" w:sz="0" w:space="0" w:color="auto"/>
      </w:divBdr>
    </w:div>
    <w:div w:id="2144423166">
      <w:bodyDiv w:val="1"/>
      <w:marLeft w:val="0"/>
      <w:marRight w:val="0"/>
      <w:marTop w:val="0"/>
      <w:marBottom w:val="0"/>
      <w:divBdr>
        <w:top w:val="none" w:sz="0" w:space="0" w:color="auto"/>
        <w:left w:val="none" w:sz="0" w:space="0" w:color="auto"/>
        <w:bottom w:val="none" w:sz="0" w:space="0" w:color="auto"/>
        <w:right w:val="none" w:sz="0" w:space="0" w:color="auto"/>
      </w:divBdr>
    </w:div>
    <w:div w:id="2144883961">
      <w:bodyDiv w:val="1"/>
      <w:marLeft w:val="0"/>
      <w:marRight w:val="0"/>
      <w:marTop w:val="0"/>
      <w:marBottom w:val="0"/>
      <w:divBdr>
        <w:top w:val="none" w:sz="0" w:space="0" w:color="auto"/>
        <w:left w:val="none" w:sz="0" w:space="0" w:color="auto"/>
        <w:bottom w:val="none" w:sz="0" w:space="0" w:color="auto"/>
        <w:right w:val="none" w:sz="0" w:space="0" w:color="auto"/>
      </w:divBdr>
    </w:div>
    <w:div w:id="2145542130">
      <w:bodyDiv w:val="1"/>
      <w:marLeft w:val="0"/>
      <w:marRight w:val="0"/>
      <w:marTop w:val="0"/>
      <w:marBottom w:val="0"/>
      <w:divBdr>
        <w:top w:val="none" w:sz="0" w:space="0" w:color="auto"/>
        <w:left w:val="none" w:sz="0" w:space="0" w:color="auto"/>
        <w:bottom w:val="none" w:sz="0" w:space="0" w:color="auto"/>
        <w:right w:val="none" w:sz="0" w:space="0" w:color="auto"/>
      </w:divBdr>
    </w:div>
    <w:div w:id="2146269407">
      <w:bodyDiv w:val="1"/>
      <w:marLeft w:val="0"/>
      <w:marRight w:val="0"/>
      <w:marTop w:val="0"/>
      <w:marBottom w:val="0"/>
      <w:divBdr>
        <w:top w:val="none" w:sz="0" w:space="0" w:color="auto"/>
        <w:left w:val="none" w:sz="0" w:space="0" w:color="auto"/>
        <w:bottom w:val="none" w:sz="0" w:space="0" w:color="auto"/>
        <w:right w:val="none" w:sz="0" w:space="0" w:color="auto"/>
      </w:divBdr>
    </w:div>
    <w:div w:id="2146308320">
      <w:bodyDiv w:val="1"/>
      <w:marLeft w:val="0"/>
      <w:marRight w:val="0"/>
      <w:marTop w:val="0"/>
      <w:marBottom w:val="0"/>
      <w:divBdr>
        <w:top w:val="none" w:sz="0" w:space="0" w:color="auto"/>
        <w:left w:val="none" w:sz="0" w:space="0" w:color="auto"/>
        <w:bottom w:val="none" w:sz="0" w:space="0" w:color="auto"/>
        <w:right w:val="none" w:sz="0" w:space="0" w:color="auto"/>
      </w:divBdr>
    </w:div>
    <w:div w:id="2146383646">
      <w:bodyDiv w:val="1"/>
      <w:marLeft w:val="0"/>
      <w:marRight w:val="0"/>
      <w:marTop w:val="0"/>
      <w:marBottom w:val="0"/>
      <w:divBdr>
        <w:top w:val="none" w:sz="0" w:space="0" w:color="auto"/>
        <w:left w:val="none" w:sz="0" w:space="0" w:color="auto"/>
        <w:bottom w:val="none" w:sz="0" w:space="0" w:color="auto"/>
        <w:right w:val="none" w:sz="0" w:space="0" w:color="auto"/>
      </w:divBdr>
    </w:div>
    <w:div w:id="2146388242">
      <w:bodyDiv w:val="1"/>
      <w:marLeft w:val="0"/>
      <w:marRight w:val="0"/>
      <w:marTop w:val="0"/>
      <w:marBottom w:val="0"/>
      <w:divBdr>
        <w:top w:val="none" w:sz="0" w:space="0" w:color="auto"/>
        <w:left w:val="none" w:sz="0" w:space="0" w:color="auto"/>
        <w:bottom w:val="none" w:sz="0" w:space="0" w:color="auto"/>
        <w:right w:val="none" w:sz="0" w:space="0" w:color="auto"/>
      </w:divBdr>
    </w:div>
    <w:div w:id="2146658243">
      <w:bodyDiv w:val="1"/>
      <w:marLeft w:val="0"/>
      <w:marRight w:val="0"/>
      <w:marTop w:val="0"/>
      <w:marBottom w:val="0"/>
      <w:divBdr>
        <w:top w:val="none" w:sz="0" w:space="0" w:color="auto"/>
        <w:left w:val="none" w:sz="0" w:space="0" w:color="auto"/>
        <w:bottom w:val="none" w:sz="0" w:space="0" w:color="auto"/>
        <w:right w:val="none" w:sz="0" w:space="0" w:color="auto"/>
      </w:divBdr>
    </w:div>
    <w:div w:id="2146777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3.png"/><Relationship Id="rId21" Type="http://schemas.openxmlformats.org/officeDocument/2006/relationships/hyperlink" Target="http://creativecommons.org/licences/by/3.0/au" TargetMode="External"/><Relationship Id="rId42" Type="http://schemas.openxmlformats.org/officeDocument/2006/relationships/hyperlink" Target="https://oceancolor.gsfc.nasa.gov/" TargetMode="External"/><Relationship Id="rId63" Type="http://schemas.openxmlformats.org/officeDocument/2006/relationships/image" Target="media/image25.png"/><Relationship Id="rId84" Type="http://schemas.openxmlformats.org/officeDocument/2006/relationships/hyperlink" Target="http://www.gbrmpa.gov.au/__data/assets/pdf_file/0017/4526/GBRMPA_WQualityGuidelinesGBRMP_RevEdition_2010.pdf" TargetMode="External"/><Relationship Id="rId138" Type="http://schemas.openxmlformats.org/officeDocument/2006/relationships/image" Target="media/image51.png"/><Relationship Id="rId159" Type="http://schemas.openxmlformats.org/officeDocument/2006/relationships/image" Target="media/image72.png"/><Relationship Id="rId170" Type="http://schemas.openxmlformats.org/officeDocument/2006/relationships/image" Target="media/image82.png"/><Relationship Id="rId191" Type="http://schemas.openxmlformats.org/officeDocument/2006/relationships/header" Target="header9.xml"/><Relationship Id="rId205" Type="http://schemas.openxmlformats.org/officeDocument/2006/relationships/footer" Target="footer12.xml"/><Relationship Id="rId226" Type="http://schemas.openxmlformats.org/officeDocument/2006/relationships/header" Target="header23.xml"/><Relationship Id="rId107" Type="http://schemas.openxmlformats.org/officeDocument/2006/relationships/hyperlink" Target="https://nesptropical.edu.au/wp-content/uploads/2018/11/NESP-TWQ-Bioavailability-of-Nutrients-Workshop-Concept-Paper.pdf" TargetMode="External"/><Relationship Id="rId11" Type="http://schemas.openxmlformats.org/officeDocument/2006/relationships/endnotes" Target="endnotes.xml"/><Relationship Id="rId32" Type="http://schemas.openxmlformats.org/officeDocument/2006/relationships/image" Target="media/image7.jpeg"/><Relationship Id="rId53" Type="http://schemas.openxmlformats.org/officeDocument/2006/relationships/image" Target="media/image20.wmf"/><Relationship Id="rId74" Type="http://schemas.openxmlformats.org/officeDocument/2006/relationships/image" Target="media/image28.jpeg"/><Relationship Id="rId128" Type="http://schemas.openxmlformats.org/officeDocument/2006/relationships/image" Target="media/image42.png"/><Relationship Id="rId149" Type="http://schemas.openxmlformats.org/officeDocument/2006/relationships/image" Target="media/image62.png"/><Relationship Id="rId5" Type="http://schemas.openxmlformats.org/officeDocument/2006/relationships/customXml" Target="../customXml/item5.xml"/><Relationship Id="rId95" Type="http://schemas.openxmlformats.org/officeDocument/2006/relationships/hyperlink" Target="https://doi.org/10.1016/j.marpolbul.2012.02.004" TargetMode="External"/><Relationship Id="rId160" Type="http://schemas.openxmlformats.org/officeDocument/2006/relationships/image" Target="media/image73.png"/><Relationship Id="rId181" Type="http://schemas.openxmlformats.org/officeDocument/2006/relationships/hyperlink" Target="http://www.wetlabs.com/" TargetMode="External"/><Relationship Id="rId216" Type="http://schemas.openxmlformats.org/officeDocument/2006/relationships/header" Target="header18.xml"/><Relationship Id="rId237" Type="http://schemas.openxmlformats.org/officeDocument/2006/relationships/image" Target="media/image99.jpeg"/><Relationship Id="rId258" Type="http://schemas.microsoft.com/office/2016/09/relationships/commentsIds" Target="commentsIds.xml"/><Relationship Id="rId22" Type="http://schemas.openxmlformats.org/officeDocument/2006/relationships/image" Target="media/image3.png"/><Relationship Id="rId43" Type="http://schemas.openxmlformats.org/officeDocument/2006/relationships/hyperlink" Target="https://seadas.gsfc.nasa.gov/" TargetMode="External"/><Relationship Id="rId64" Type="http://schemas.openxmlformats.org/officeDocument/2006/relationships/hyperlink" Target="http://www.nata.asn.au/" TargetMode="External"/><Relationship Id="rId118" Type="http://schemas.openxmlformats.org/officeDocument/2006/relationships/image" Target="media/image34.png"/><Relationship Id="rId139" Type="http://schemas.openxmlformats.org/officeDocument/2006/relationships/image" Target="media/image52.jpeg"/><Relationship Id="rId85" Type="http://schemas.openxmlformats.org/officeDocument/2006/relationships/hyperlink" Target="https://doi.org/10.1016/S0025-326X(00)00150-8" TargetMode="External"/><Relationship Id="rId150" Type="http://schemas.openxmlformats.org/officeDocument/2006/relationships/image" Target="media/image63.png"/><Relationship Id="rId171" Type="http://schemas.openxmlformats.org/officeDocument/2006/relationships/image" Target="media/image83.jpeg"/><Relationship Id="rId192" Type="http://schemas.openxmlformats.org/officeDocument/2006/relationships/header" Target="header10.xml"/><Relationship Id="rId206" Type="http://schemas.openxmlformats.org/officeDocument/2006/relationships/hyperlink" Target="http://www.rrrc.org.au/mmp/mmp_pubs.html" TargetMode="External"/><Relationship Id="rId227" Type="http://schemas.openxmlformats.org/officeDocument/2006/relationships/footer" Target="footer22.xml"/><Relationship Id="rId12" Type="http://schemas.openxmlformats.org/officeDocument/2006/relationships/header" Target="header1.xml"/><Relationship Id="rId33" Type="http://schemas.openxmlformats.org/officeDocument/2006/relationships/image" Target="media/image8.jpeg"/><Relationship Id="rId108" Type="http://schemas.openxmlformats.org/officeDocument/2006/relationships/hyperlink" Target="https://doi.org/10.1016/S0278-4343(00)00066-2" TargetMode="External"/><Relationship Id="rId129" Type="http://schemas.openxmlformats.org/officeDocument/2006/relationships/image" Target="media/image43.png"/><Relationship Id="rId54" Type="http://schemas.openxmlformats.org/officeDocument/2006/relationships/oleObject" Target="embeddings/oleObject2.bin"/><Relationship Id="rId75" Type="http://schemas.openxmlformats.org/officeDocument/2006/relationships/image" Target="media/image29.jpeg"/><Relationship Id="rId96" Type="http://schemas.openxmlformats.org/officeDocument/2006/relationships/hyperlink" Target="https://doi.org/10.1016/j.marenvres.2014.03.006" TargetMode="External"/><Relationship Id="rId140" Type="http://schemas.openxmlformats.org/officeDocument/2006/relationships/image" Target="media/image53.png"/><Relationship Id="rId161" Type="http://schemas.openxmlformats.org/officeDocument/2006/relationships/image" Target="media/image74.png"/><Relationship Id="rId182" Type="http://schemas.openxmlformats.org/officeDocument/2006/relationships/hyperlink" Target="http://pubs.water.usgs.gov/twri9A6/" TargetMode="External"/><Relationship Id="rId217" Type="http://schemas.openxmlformats.org/officeDocument/2006/relationships/footer" Target="footer17.xml"/><Relationship Id="rId6" Type="http://schemas.openxmlformats.org/officeDocument/2006/relationships/numbering" Target="numbering.xml"/><Relationship Id="rId238" Type="http://schemas.openxmlformats.org/officeDocument/2006/relationships/header" Target="header28.xml"/><Relationship Id="rId23" Type="http://schemas.openxmlformats.org/officeDocument/2006/relationships/image" Target="media/image4.jpeg"/><Relationship Id="rId119" Type="http://schemas.openxmlformats.org/officeDocument/2006/relationships/image" Target="media/image35.png"/><Relationship Id="rId44" Type="http://schemas.openxmlformats.org/officeDocument/2006/relationships/hyperlink" Target="http://ereefs.info/" TargetMode="External"/><Relationship Id="rId65" Type="http://schemas.openxmlformats.org/officeDocument/2006/relationships/header" Target="header5.xml"/><Relationship Id="rId86" Type="http://schemas.openxmlformats.org/officeDocument/2006/relationships/hyperlink" Target="https://doi.org/10.1016/S0015-3796(17)30778-3" TargetMode="External"/><Relationship Id="rId130" Type="http://schemas.openxmlformats.org/officeDocument/2006/relationships/image" Target="media/image44.png"/><Relationship Id="rId151" Type="http://schemas.openxmlformats.org/officeDocument/2006/relationships/image" Target="media/image64.jpeg"/><Relationship Id="rId172" Type="http://schemas.openxmlformats.org/officeDocument/2006/relationships/image" Target="media/image84.png"/><Relationship Id="rId193" Type="http://schemas.openxmlformats.org/officeDocument/2006/relationships/footer" Target="footer8.xml"/><Relationship Id="rId207" Type="http://schemas.openxmlformats.org/officeDocument/2006/relationships/header" Target="header14.xml"/><Relationship Id="rId228" Type="http://schemas.openxmlformats.org/officeDocument/2006/relationships/header" Target="header24.xml"/><Relationship Id="rId13" Type="http://schemas.openxmlformats.org/officeDocument/2006/relationships/header" Target="header2.xml"/><Relationship Id="rId109" Type="http://schemas.openxmlformats.org/officeDocument/2006/relationships/image" Target="media/image30.jpeg"/><Relationship Id="rId34" Type="http://schemas.openxmlformats.org/officeDocument/2006/relationships/image" Target="media/image9.jpeg"/><Relationship Id="rId55" Type="http://schemas.openxmlformats.org/officeDocument/2006/relationships/image" Target="media/image21.wmf"/><Relationship Id="rId76" Type="http://schemas.openxmlformats.org/officeDocument/2006/relationships/hyperlink" Target="http://www.nata.asn.au/" TargetMode="External"/><Relationship Id="rId97" Type="http://schemas.openxmlformats.org/officeDocument/2006/relationships/hyperlink" Target="https://doi.org/10.1016/j.jenvman.2013.11.050" TargetMode="External"/><Relationship Id="rId120" Type="http://schemas.openxmlformats.org/officeDocument/2006/relationships/image" Target="media/image36.png"/><Relationship Id="rId141" Type="http://schemas.openxmlformats.org/officeDocument/2006/relationships/image" Target="media/image54.png"/><Relationship Id="rId7" Type="http://schemas.openxmlformats.org/officeDocument/2006/relationships/styles" Target="styles.xml"/><Relationship Id="rId162" Type="http://schemas.openxmlformats.org/officeDocument/2006/relationships/image" Target="media/image75.jpeg"/><Relationship Id="rId183" Type="http://schemas.openxmlformats.org/officeDocument/2006/relationships/hyperlink" Target="http://www.odysseydatarecording.com/)" TargetMode="External"/><Relationship Id="rId218" Type="http://schemas.openxmlformats.org/officeDocument/2006/relationships/header" Target="header19.xml"/><Relationship Id="rId239" Type="http://schemas.openxmlformats.org/officeDocument/2006/relationships/footer" Target="footer27.xml"/><Relationship Id="rId24" Type="http://schemas.openxmlformats.org/officeDocument/2006/relationships/hyperlink" Target="http://creativecommons.org/licences/by/4.0" TargetMode="External"/><Relationship Id="rId45" Type="http://schemas.openxmlformats.org/officeDocument/2006/relationships/hyperlink" Target="http://www.bom.gov.au/marinewaterquality/" TargetMode="External"/><Relationship Id="rId66" Type="http://schemas.openxmlformats.org/officeDocument/2006/relationships/footer" Target="footer6.xml"/><Relationship Id="rId87" Type="http://schemas.openxmlformats.org/officeDocument/2006/relationships/hyperlink" Target="http://epubs.aims.gov.au/11068/8019" TargetMode="External"/><Relationship Id="rId110" Type="http://schemas.openxmlformats.org/officeDocument/2006/relationships/hyperlink" Target="http://www.aims.gov.au/" TargetMode="External"/><Relationship Id="rId131" Type="http://schemas.openxmlformats.org/officeDocument/2006/relationships/image" Target="media/image45.png"/><Relationship Id="rId152" Type="http://schemas.openxmlformats.org/officeDocument/2006/relationships/image" Target="media/image65.png"/><Relationship Id="rId173" Type="http://schemas.openxmlformats.org/officeDocument/2006/relationships/image" Target="media/image85.png"/><Relationship Id="rId194" Type="http://schemas.openxmlformats.org/officeDocument/2006/relationships/footer" Target="footer9.xml"/><Relationship Id="rId208" Type="http://schemas.openxmlformats.org/officeDocument/2006/relationships/footer" Target="footer13.xml"/><Relationship Id="rId229" Type="http://schemas.openxmlformats.org/officeDocument/2006/relationships/footer" Target="footer23.xml"/><Relationship Id="rId240" Type="http://schemas.openxmlformats.org/officeDocument/2006/relationships/fontTable" Target="fontTable.xml"/><Relationship Id="rId14" Type="http://schemas.openxmlformats.org/officeDocument/2006/relationships/footer" Target="footer1.xml"/><Relationship Id="rId35" Type="http://schemas.openxmlformats.org/officeDocument/2006/relationships/image" Target="media/image10.jpeg"/><Relationship Id="rId56" Type="http://schemas.openxmlformats.org/officeDocument/2006/relationships/oleObject" Target="embeddings/oleObject3.bin"/><Relationship Id="rId77" Type="http://schemas.openxmlformats.org/officeDocument/2006/relationships/hyperlink" Target="http://www.seagrasswatch.org/monitoring.html" TargetMode="External"/><Relationship Id="rId100" Type="http://schemas.openxmlformats.org/officeDocument/2006/relationships/hyperlink" Target="https://doi.org/10.1016/j.watres.2008.01.023" TargetMode="External"/><Relationship Id="rId8" Type="http://schemas.openxmlformats.org/officeDocument/2006/relationships/settings" Target="settings.xml"/><Relationship Id="rId98" Type="http://schemas.openxmlformats.org/officeDocument/2006/relationships/hyperlink" Target="https://doi.org/10.1016/j.jenvman.2018.02.028" TargetMode="External"/><Relationship Id="rId121" Type="http://schemas.openxmlformats.org/officeDocument/2006/relationships/image" Target="media/image37.jpg"/><Relationship Id="rId142" Type="http://schemas.openxmlformats.org/officeDocument/2006/relationships/image" Target="media/image55.png"/><Relationship Id="rId163" Type="http://schemas.openxmlformats.org/officeDocument/2006/relationships/image" Target="media/image76.jpeg"/><Relationship Id="rId184" Type="http://schemas.openxmlformats.org/officeDocument/2006/relationships/hyperlink" Target="http://www.odysseydatarecording.com/)" TargetMode="External"/><Relationship Id="rId219" Type="http://schemas.openxmlformats.org/officeDocument/2006/relationships/footer" Target="footer18.xml"/><Relationship Id="rId230" Type="http://schemas.openxmlformats.org/officeDocument/2006/relationships/header" Target="header25.xml"/><Relationship Id="rId25" Type="http://schemas.openxmlformats.org/officeDocument/2006/relationships/footer" Target="footer4.xml"/><Relationship Id="rId46" Type="http://schemas.openxmlformats.org/officeDocument/2006/relationships/image" Target="media/image14.emf"/><Relationship Id="rId67" Type="http://schemas.openxmlformats.org/officeDocument/2006/relationships/image" Target="media/image26.png"/><Relationship Id="rId88" Type="http://schemas.openxmlformats.org/officeDocument/2006/relationships/hyperlink" Target="https://espace.library.uq.edu.au/data/UQ_230971/reef.pdf?Expires=1559008263&amp;Signature=XtYjJr81Ja6ICSMmo-XrQSGHqoFvMQlN8ING6sBsdk8OLPWhUfH08WNgxc1nqs1sq34~2Mc9EwgdmDOjku7yR-LzrXMrCYok4rcCd~rTAqugNIZ0VUQYr5Ad7AayUGvY6oSDbmGWKdZkl~33I-YabneTN1Eb5NvEA7mp-KLRkhYN3vVJdT0nNH7kBW4fwcxcbuvmQ0Xg3elVdD4TEy7e0C85EMONtohOnz6yV39XI3fwOHMhG456B42lts9~-gdFd4Zx1-f5HBO4SYc662NMk~mf2FJ1PQixyaMf-c2rmA-a8RsQQ6Uzk7fix8xmJH-RPaL8kxaF6Og7538gGgbMAg__&amp;Key-Pair-Id=APKAJKNBJ4MJBJNC6NLQ" TargetMode="External"/><Relationship Id="rId111" Type="http://schemas.openxmlformats.org/officeDocument/2006/relationships/header" Target="header6.xml"/><Relationship Id="rId132" Type="http://schemas.openxmlformats.org/officeDocument/2006/relationships/header" Target="header7.xml"/><Relationship Id="rId153" Type="http://schemas.openxmlformats.org/officeDocument/2006/relationships/image" Target="media/image66.png"/><Relationship Id="rId174" Type="http://schemas.openxmlformats.org/officeDocument/2006/relationships/image" Target="media/image86.png"/><Relationship Id="rId195" Type="http://schemas.openxmlformats.org/officeDocument/2006/relationships/header" Target="header11.xml"/><Relationship Id="rId209" Type="http://schemas.openxmlformats.org/officeDocument/2006/relationships/header" Target="header15.xml"/><Relationship Id="rId220" Type="http://schemas.openxmlformats.org/officeDocument/2006/relationships/header" Target="header20.xml"/><Relationship Id="rId241" Type="http://schemas.openxmlformats.org/officeDocument/2006/relationships/theme" Target="theme/theme1.xml"/><Relationship Id="rId15" Type="http://schemas.openxmlformats.org/officeDocument/2006/relationships/footer" Target="footer2.xml"/><Relationship Id="rId36" Type="http://schemas.openxmlformats.org/officeDocument/2006/relationships/chart" Target="charts/chart1.xml"/><Relationship Id="rId57" Type="http://schemas.openxmlformats.org/officeDocument/2006/relationships/oleObject" Target="embeddings/oleObject4.bin"/><Relationship Id="rId106" Type="http://schemas.openxmlformats.org/officeDocument/2006/relationships/hyperlink" Target="https://doi.org/10.1016/j.watres.2008.11.026" TargetMode="External"/><Relationship Id="rId127" Type="http://schemas.openxmlformats.org/officeDocument/2006/relationships/image" Target="media/image41.jpeg"/><Relationship Id="rId10" Type="http://schemas.openxmlformats.org/officeDocument/2006/relationships/footnotes" Target="footnotes.xml"/><Relationship Id="rId31" Type="http://schemas.openxmlformats.org/officeDocument/2006/relationships/image" Target="media/image6.jpeg"/><Relationship Id="rId52" Type="http://schemas.openxmlformats.org/officeDocument/2006/relationships/oleObject" Target="embeddings/oleObject1.bin"/><Relationship Id="rId73" Type="http://schemas.openxmlformats.org/officeDocument/2006/relationships/hyperlink" Target="http://www.seagrasswatch.org/monitoring.html" TargetMode="External"/><Relationship Id="rId78" Type="http://schemas.openxmlformats.org/officeDocument/2006/relationships/hyperlink" Target="http://www.seagrasswatch.org/data_entry.html" TargetMode="External"/><Relationship Id="rId94" Type="http://schemas.openxmlformats.org/officeDocument/2006/relationships/hyperlink" Target="https://doi.org/10.1016/j.chemosphere.2011.02.089" TargetMode="External"/><Relationship Id="rId99" Type="http://schemas.openxmlformats.org/officeDocument/2006/relationships/hyperlink" Target="https://nesptropical.edu.au/index.php/final-reports-round-3/" TargetMode="External"/><Relationship Id="rId101" Type="http://schemas.openxmlformats.org/officeDocument/2006/relationships/hyperlink" Target="http://dx.doi.org/10.1016/j.marpolbul.2011.10.031" TargetMode="External"/><Relationship Id="rId122" Type="http://schemas.openxmlformats.org/officeDocument/2006/relationships/image" Target="media/image38.png"/><Relationship Id="rId143" Type="http://schemas.openxmlformats.org/officeDocument/2006/relationships/image" Target="media/image56.png"/><Relationship Id="rId148" Type="http://schemas.openxmlformats.org/officeDocument/2006/relationships/image" Target="media/image61.png"/><Relationship Id="rId164" Type="http://schemas.openxmlformats.org/officeDocument/2006/relationships/image" Target="media/image77.png"/><Relationship Id="rId169" Type="http://schemas.openxmlformats.org/officeDocument/2006/relationships/image" Target="media/image81.png"/><Relationship Id="rId185" Type="http://schemas.openxmlformats.org/officeDocument/2006/relationships/hyperlink" Target="http://reefnet.ca/products/sensus/" TargetMode="External"/><Relationship Id="rId4" Type="http://schemas.openxmlformats.org/officeDocument/2006/relationships/customXml" Target="../customXml/item4.xml"/><Relationship Id="rId9" Type="http://schemas.openxmlformats.org/officeDocument/2006/relationships/webSettings" Target="webSettings.xml"/><Relationship Id="rId180" Type="http://schemas.openxmlformats.org/officeDocument/2006/relationships/hyperlink" Target="http://www.wetlabs.com/" TargetMode="External"/><Relationship Id="rId210" Type="http://schemas.openxmlformats.org/officeDocument/2006/relationships/footer" Target="footer14.xml"/><Relationship Id="rId215" Type="http://schemas.openxmlformats.org/officeDocument/2006/relationships/footer" Target="footer16.xml"/><Relationship Id="rId236" Type="http://schemas.openxmlformats.org/officeDocument/2006/relationships/footer" Target="footer26.xml"/><Relationship Id="rId26" Type="http://schemas.openxmlformats.org/officeDocument/2006/relationships/header" Target="header4.xml"/><Relationship Id="rId231" Type="http://schemas.openxmlformats.org/officeDocument/2006/relationships/footer" Target="footer24.xml"/><Relationship Id="rId47" Type="http://schemas.openxmlformats.org/officeDocument/2006/relationships/image" Target="media/image15.png"/><Relationship Id="rId68" Type="http://schemas.openxmlformats.org/officeDocument/2006/relationships/image" Target="media/image27.jpeg"/><Relationship Id="rId89" Type="http://schemas.openxmlformats.org/officeDocument/2006/relationships/hyperlink" Target="https://core.ac.uk/download/pdf/50851864.pdf" TargetMode="External"/><Relationship Id="rId112" Type="http://schemas.openxmlformats.org/officeDocument/2006/relationships/footer" Target="footer7.xml"/><Relationship Id="rId133" Type="http://schemas.openxmlformats.org/officeDocument/2006/relationships/image" Target="media/image46.jpeg"/><Relationship Id="rId154" Type="http://schemas.openxmlformats.org/officeDocument/2006/relationships/image" Target="media/image67.jpeg"/><Relationship Id="rId175" Type="http://schemas.openxmlformats.org/officeDocument/2006/relationships/hyperlink" Target="http://waterquality.aims.gov.au:8080/waterquality/index_gui.iface" TargetMode="External"/><Relationship Id="rId196" Type="http://schemas.openxmlformats.org/officeDocument/2006/relationships/footer" Target="footer10.xml"/><Relationship Id="rId200" Type="http://schemas.openxmlformats.org/officeDocument/2006/relationships/image" Target="media/image93.wmf"/><Relationship Id="rId16" Type="http://schemas.openxmlformats.org/officeDocument/2006/relationships/header" Target="header3.xml"/><Relationship Id="rId221" Type="http://schemas.openxmlformats.org/officeDocument/2006/relationships/footer" Target="footer19.xml"/><Relationship Id="rId37" Type="http://schemas.openxmlformats.org/officeDocument/2006/relationships/hyperlink" Target="http://data.aims.gov.au/metadataviewer/faces/search.xhtml" TargetMode="External"/><Relationship Id="rId58" Type="http://schemas.openxmlformats.org/officeDocument/2006/relationships/oleObject" Target="embeddings/oleObject5.bin"/><Relationship Id="rId79" Type="http://schemas.openxmlformats.org/officeDocument/2006/relationships/hyperlink" Target="https://doi.org/10.1016/j.jenvman.2013.01.036" TargetMode="External"/><Relationship Id="rId102" Type="http://schemas.openxmlformats.org/officeDocument/2006/relationships/hyperlink" Target="https://doi.org/10.1016/j.marpolbul.2005.04.015" TargetMode="External"/><Relationship Id="rId123" Type="http://schemas.openxmlformats.org/officeDocument/2006/relationships/image" Target="media/image39.png"/><Relationship Id="rId144" Type="http://schemas.openxmlformats.org/officeDocument/2006/relationships/image" Target="media/image57.png"/><Relationship Id="rId90" Type="http://schemas.openxmlformats.org/officeDocument/2006/relationships/hyperlink" Target="http://hdl.handle.net/11017/306" TargetMode="External"/><Relationship Id="rId165" Type="http://schemas.openxmlformats.org/officeDocument/2006/relationships/hyperlink" Target="https://webvpn.aims.gov.au/+CSCO+0075676763663A2F2F7661672D7A6E76792E6E767A662E7462692E6E68++/owa/-CSCO-3h--redir.aspx?SURL=WnReaXkLWWiNdtUVrnsq5ra4k081YstSFt9NT525vgzRROmZHH7SCGYAaQBsAGUAOgAvAC8ALwBcAFwAUABFAEEAUgBMAFwAYQBpAG0AcwAtAGQAYQB0AGEAXABhAGQAYwAtAHQAbwBvAGwAcwBcAHMAdABkAG0AcwA.&amp;URL=file%3a%2f%2f%2f%5c%5cPEARL%5caims-data%5cadc-tools%5cstdms" TargetMode="External"/><Relationship Id="rId186" Type="http://schemas.openxmlformats.org/officeDocument/2006/relationships/hyperlink" Target="http://www.kisters.de/english/html/WISKI/WiskiTV.html)" TargetMode="External"/><Relationship Id="rId211" Type="http://schemas.openxmlformats.org/officeDocument/2006/relationships/image" Target="media/image97.emf"/><Relationship Id="rId232" Type="http://schemas.openxmlformats.org/officeDocument/2006/relationships/header" Target="header26.xml"/><Relationship Id="rId27" Type="http://schemas.openxmlformats.org/officeDocument/2006/relationships/footer" Target="footer5.xml"/><Relationship Id="rId48" Type="http://schemas.openxmlformats.org/officeDocument/2006/relationships/image" Target="media/image16.jpeg"/><Relationship Id="rId69" Type="http://schemas.openxmlformats.org/officeDocument/2006/relationships/hyperlink" Target="http://www.odysseydatarecording.com/" TargetMode="External"/><Relationship Id="rId113" Type="http://schemas.openxmlformats.org/officeDocument/2006/relationships/hyperlink" Target="http://www.osil.co.uk/" TargetMode="External"/><Relationship Id="rId134" Type="http://schemas.openxmlformats.org/officeDocument/2006/relationships/image" Target="media/image47.jpeg"/><Relationship Id="rId80" Type="http://schemas.openxmlformats.org/officeDocument/2006/relationships/hyperlink" Target="https://www.environment.gov.au/about-us/publications/archive" TargetMode="External"/><Relationship Id="rId155" Type="http://schemas.openxmlformats.org/officeDocument/2006/relationships/image" Target="media/image68.png"/><Relationship Id="rId176" Type="http://schemas.openxmlformats.org/officeDocument/2006/relationships/image" Target="media/image87.png"/><Relationship Id="rId197" Type="http://schemas.openxmlformats.org/officeDocument/2006/relationships/header" Target="header12.xml"/><Relationship Id="rId201" Type="http://schemas.openxmlformats.org/officeDocument/2006/relationships/image" Target="media/image94.png"/><Relationship Id="rId222" Type="http://schemas.openxmlformats.org/officeDocument/2006/relationships/header" Target="header21.xml"/><Relationship Id="rId17" Type="http://schemas.openxmlformats.org/officeDocument/2006/relationships/footer" Target="footer3.xml"/><Relationship Id="rId38" Type="http://schemas.openxmlformats.org/officeDocument/2006/relationships/image" Target="media/image11.jpeg"/><Relationship Id="rId59" Type="http://schemas.openxmlformats.org/officeDocument/2006/relationships/oleObject" Target="embeddings/oleObject6.bin"/><Relationship Id="rId103" Type="http://schemas.openxmlformats.org/officeDocument/2006/relationships/hyperlink" Target="https://doi.org/10.1016/j.marpolbul.2009.04.012" TargetMode="External"/><Relationship Id="rId124" Type="http://schemas.openxmlformats.org/officeDocument/2006/relationships/hyperlink" Target="http://hydatina.aims.gov.au:8080/wqfdesimport" TargetMode="External"/><Relationship Id="rId70" Type="http://schemas.openxmlformats.org/officeDocument/2006/relationships/hyperlink" Target="http://reefnet.ca/products/sensus/" TargetMode="External"/><Relationship Id="rId91" Type="http://schemas.openxmlformats.org/officeDocument/2006/relationships/hyperlink" Target="https://rrrc.org.au/wp-content/uploads/2014/06/371-DPI-McKenzie-L-2007-Seagrass-Communities-Sediments.pdf" TargetMode="External"/><Relationship Id="rId145" Type="http://schemas.openxmlformats.org/officeDocument/2006/relationships/image" Target="media/image58.jpeg"/><Relationship Id="rId166" Type="http://schemas.openxmlformats.org/officeDocument/2006/relationships/image" Target="media/image78.png"/><Relationship Id="rId187" Type="http://schemas.openxmlformats.org/officeDocument/2006/relationships/hyperlink" Target="http://data.aims.gov.au/metadataviewer/faces/search.xhtml?searchType=title&amp;searchValue=RRMMP" TargetMode="External"/><Relationship Id="rId1" Type="http://schemas.openxmlformats.org/officeDocument/2006/relationships/customXml" Target="../customXml/item1.xml"/><Relationship Id="rId212" Type="http://schemas.openxmlformats.org/officeDocument/2006/relationships/header" Target="header16.xml"/><Relationship Id="rId233" Type="http://schemas.openxmlformats.org/officeDocument/2006/relationships/footer" Target="footer25.xml"/><Relationship Id="rId28" Type="http://schemas.openxmlformats.org/officeDocument/2006/relationships/hyperlink" Target="http://www.seagrasswatch.org/home.html" TargetMode="External"/><Relationship Id="rId49" Type="http://schemas.openxmlformats.org/officeDocument/2006/relationships/image" Target="media/image17.jpeg"/><Relationship Id="rId114" Type="http://schemas.openxmlformats.org/officeDocument/2006/relationships/hyperlink" Target="http://www.quasimeme.marlab.ac.uk/about.htm)" TargetMode="External"/><Relationship Id="rId60" Type="http://schemas.openxmlformats.org/officeDocument/2006/relationships/image" Target="media/image22.png"/><Relationship Id="rId81" Type="http://schemas.openxmlformats.org/officeDocument/2006/relationships/hyperlink" Target="https://doi.org/10.1016/S0045-6535(01)00200-4" TargetMode="External"/><Relationship Id="rId135" Type="http://schemas.openxmlformats.org/officeDocument/2006/relationships/image" Target="media/image48.jpeg"/><Relationship Id="rId156" Type="http://schemas.openxmlformats.org/officeDocument/2006/relationships/image" Target="media/image69.png"/><Relationship Id="rId177" Type="http://schemas.openxmlformats.org/officeDocument/2006/relationships/image" Target="media/image88.png"/><Relationship Id="rId198" Type="http://schemas.openxmlformats.org/officeDocument/2006/relationships/footer" Target="footer11.xml"/><Relationship Id="rId202" Type="http://schemas.openxmlformats.org/officeDocument/2006/relationships/image" Target="media/image95.png"/><Relationship Id="rId223" Type="http://schemas.openxmlformats.org/officeDocument/2006/relationships/footer" Target="footer20.xml"/><Relationship Id="rId18" Type="http://schemas.openxmlformats.org/officeDocument/2006/relationships/image" Target="media/image1.jpg"/><Relationship Id="rId39" Type="http://schemas.openxmlformats.org/officeDocument/2006/relationships/image" Target="media/image12.emf"/><Relationship Id="rId50" Type="http://schemas.openxmlformats.org/officeDocument/2006/relationships/image" Target="media/image18.jpeg"/><Relationship Id="rId104" Type="http://schemas.openxmlformats.org/officeDocument/2006/relationships/hyperlink" Target="http://rrrc.org.au/wp-content/uploads/2014/06/Final-Status-of-Near-Shore-Reefs-120707.pdf" TargetMode="External"/><Relationship Id="rId125" Type="http://schemas.openxmlformats.org/officeDocument/2006/relationships/hyperlink" Target="http://hydatina.aims.gov.au:8080/wqfdesimport" TargetMode="External"/><Relationship Id="rId146" Type="http://schemas.openxmlformats.org/officeDocument/2006/relationships/image" Target="media/image59.png"/><Relationship Id="rId167" Type="http://schemas.openxmlformats.org/officeDocument/2006/relationships/image" Target="media/image79.png"/><Relationship Id="rId188" Type="http://schemas.openxmlformats.org/officeDocument/2006/relationships/image" Target="media/image91.jpeg"/><Relationship Id="rId71" Type="http://schemas.openxmlformats.org/officeDocument/2006/relationships/hyperlink" Target="http://vemco.com/products/minilog-ii-t/" TargetMode="External"/><Relationship Id="rId92" Type="http://schemas.openxmlformats.org/officeDocument/2006/relationships/hyperlink" Target="https://doi.org/10.1016/j.marpolbul.2011.03.026" TargetMode="External"/><Relationship Id="rId213" Type="http://schemas.openxmlformats.org/officeDocument/2006/relationships/footer" Target="footer15.xml"/><Relationship Id="rId234" Type="http://schemas.openxmlformats.org/officeDocument/2006/relationships/image" Target="media/image98.jpeg"/><Relationship Id="rId2" Type="http://schemas.openxmlformats.org/officeDocument/2006/relationships/customXml" Target="../customXml/item2.xml"/><Relationship Id="rId29" Type="http://schemas.openxmlformats.org/officeDocument/2006/relationships/hyperlink" Target="https://www.reefplan.qld.gov.au/measuring-success/methods/" TargetMode="External"/><Relationship Id="rId40" Type="http://schemas.openxmlformats.org/officeDocument/2006/relationships/image" Target="media/image13.png"/><Relationship Id="rId115" Type="http://schemas.openxmlformats.org/officeDocument/2006/relationships/image" Target="media/image31.emf"/><Relationship Id="rId136" Type="http://schemas.openxmlformats.org/officeDocument/2006/relationships/image" Target="media/image49.jpeg"/><Relationship Id="rId157" Type="http://schemas.openxmlformats.org/officeDocument/2006/relationships/image" Target="media/image70.png"/><Relationship Id="rId178" Type="http://schemas.openxmlformats.org/officeDocument/2006/relationships/image" Target="media/image89.png"/><Relationship Id="rId61" Type="http://schemas.openxmlformats.org/officeDocument/2006/relationships/image" Target="media/image23.jpeg"/><Relationship Id="rId82" Type="http://schemas.openxmlformats.org/officeDocument/2006/relationships/hyperlink" Target="https://terrain.org.au/projects/water-quality-improvement-plan/studies-reports/" TargetMode="External"/><Relationship Id="rId199" Type="http://schemas.openxmlformats.org/officeDocument/2006/relationships/image" Target="media/image92.wmf"/><Relationship Id="rId203" Type="http://schemas.openxmlformats.org/officeDocument/2006/relationships/image" Target="media/image96.png"/><Relationship Id="rId19" Type="http://schemas.openxmlformats.org/officeDocument/2006/relationships/image" Target="media/image2.jpg"/><Relationship Id="rId224" Type="http://schemas.openxmlformats.org/officeDocument/2006/relationships/header" Target="header22.xml"/><Relationship Id="rId30" Type="http://schemas.openxmlformats.org/officeDocument/2006/relationships/image" Target="media/image5.jpeg"/><Relationship Id="rId105" Type="http://schemas.openxmlformats.org/officeDocument/2006/relationships/hyperlink" Target="http://www.gbrmpa.gov.au/__data/assets/pdf_file/0011/7688/Reef_Plan_MMP_2008_Stats_report_Jan2010.pdf" TargetMode="External"/><Relationship Id="rId126" Type="http://schemas.openxmlformats.org/officeDocument/2006/relationships/image" Target="media/image40.jpeg"/><Relationship Id="rId147" Type="http://schemas.openxmlformats.org/officeDocument/2006/relationships/image" Target="media/image60.png"/><Relationship Id="rId168" Type="http://schemas.openxmlformats.org/officeDocument/2006/relationships/image" Target="media/image80.png"/><Relationship Id="rId51" Type="http://schemas.openxmlformats.org/officeDocument/2006/relationships/image" Target="media/image19.wmf"/><Relationship Id="rId72" Type="http://schemas.openxmlformats.org/officeDocument/2006/relationships/hyperlink" Target="https://apps.aims.gov.au/metadata/view/c30cfb2d-46be-4837-9733-9bb60489b65b%20" TargetMode="External"/><Relationship Id="rId93" Type="http://schemas.openxmlformats.org/officeDocument/2006/relationships/hyperlink" Target="https://doi.org/10.1016/S0003-2670(00)88444-5" TargetMode="External"/><Relationship Id="rId189" Type="http://schemas.openxmlformats.org/officeDocument/2006/relationships/image" Target="cid:image002.jpg@01D08984.C82C01C0" TargetMode="External"/><Relationship Id="rId3" Type="http://schemas.openxmlformats.org/officeDocument/2006/relationships/customXml" Target="../customXml/item3.xml"/><Relationship Id="rId214" Type="http://schemas.openxmlformats.org/officeDocument/2006/relationships/header" Target="header17.xml"/><Relationship Id="rId235" Type="http://schemas.openxmlformats.org/officeDocument/2006/relationships/header" Target="header27.xml"/><Relationship Id="rId116" Type="http://schemas.openxmlformats.org/officeDocument/2006/relationships/image" Target="media/image32.png"/><Relationship Id="rId137" Type="http://schemas.openxmlformats.org/officeDocument/2006/relationships/image" Target="media/image50.jpeg"/><Relationship Id="rId158" Type="http://schemas.openxmlformats.org/officeDocument/2006/relationships/image" Target="media/image71.png"/><Relationship Id="rId20" Type="http://schemas.openxmlformats.org/officeDocument/2006/relationships/hyperlink" Target="http://creativecommons.org/licences/by/4.0" TargetMode="External"/><Relationship Id="rId41" Type="http://schemas.openxmlformats.org/officeDocument/2006/relationships/hyperlink" Target="http://oceancolor.gsfc.nasa.gov/" TargetMode="External"/><Relationship Id="rId62" Type="http://schemas.openxmlformats.org/officeDocument/2006/relationships/image" Target="media/image24.jpeg"/><Relationship Id="rId83" Type="http://schemas.openxmlformats.org/officeDocument/2006/relationships/hyperlink" Target="http://www.reefplan.qld.gov.au/resources/assets/reef-plan-2009.pdf" TargetMode="External"/><Relationship Id="rId179" Type="http://schemas.openxmlformats.org/officeDocument/2006/relationships/image" Target="media/image90.png"/><Relationship Id="rId190" Type="http://schemas.openxmlformats.org/officeDocument/2006/relationships/header" Target="header8.xml"/><Relationship Id="rId204" Type="http://schemas.openxmlformats.org/officeDocument/2006/relationships/header" Target="header13.xml"/><Relationship Id="rId225" Type="http://schemas.openxmlformats.org/officeDocument/2006/relationships/footer" Target="footer2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skuza\AppData\Local\Microsoft\Windows\Temporary%20Internet%20Files\Content.Outlook\ZO00SL8Y\Logger_WQ_Data_2007-17-5-5-for%20Michel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'all_2007-17 NTU+TSS NoBlanks'!$M$1</c:f>
              <c:strCache>
                <c:ptCount val="1"/>
                <c:pt idx="0">
                  <c:v>TSS Hand Mean</c:v>
                </c:pt>
              </c:strCache>
            </c:strRef>
          </c:tx>
          <c:spPr>
            <a:ln w="28575">
              <a:noFill/>
            </a:ln>
          </c:spPr>
          <c:marker>
            <c:symbol val="circle"/>
            <c:size val="4"/>
            <c:spPr>
              <a:ln>
                <a:solidFill>
                  <a:schemeClr val="tx1"/>
                </a:solidFill>
              </a:ln>
            </c:spPr>
          </c:marker>
          <c:trendline>
            <c:trendlineType val="linear"/>
            <c:intercept val="0"/>
            <c:dispRSqr val="1"/>
            <c:dispEq val="1"/>
            <c:trendlineLbl>
              <c:layout>
                <c:manualLayout>
                  <c:x val="-0.42564545056867897"/>
                  <c:y val="-4.7462817147856501E-4"/>
                </c:manualLayout>
              </c:layout>
              <c:tx>
                <c:rich>
                  <a:bodyPr/>
                  <a:lstStyle/>
                  <a:p>
                    <a:pPr>
                      <a:defRPr/>
                    </a:pPr>
                    <a:r>
                      <a:rPr lang="en-US" baseline="0"/>
                      <a:t>SS = 1.3 x Turbidity
R² = 0.83</a:t>
                    </a:r>
                  </a:p>
                  <a:p>
                    <a:pPr>
                      <a:defRPr/>
                    </a:pPr>
                    <a:r>
                      <a:rPr lang="en-US" baseline="0"/>
                      <a:t>N=1750</a:t>
                    </a:r>
                    <a:endParaRPr lang="en-US"/>
                  </a:p>
                </c:rich>
              </c:tx>
              <c:numFmt formatCode="General" sourceLinked="0"/>
            </c:trendlineLbl>
          </c:trendline>
          <c:xVal>
            <c:numRef>
              <c:f>'all_2007-17 NTU+TSS NoBlanks'!$I$2:$I$1751</c:f>
              <c:numCache>
                <c:formatCode>General</c:formatCode>
                <c:ptCount val="1750"/>
                <c:pt idx="0">
                  <c:v>0.91</c:v>
                </c:pt>
                <c:pt idx="1">
                  <c:v>0.7</c:v>
                </c:pt>
                <c:pt idx="2">
                  <c:v>1.1299999999999999</c:v>
                </c:pt>
                <c:pt idx="3">
                  <c:v>1.61</c:v>
                </c:pt>
                <c:pt idx="4">
                  <c:v>2.66</c:v>
                </c:pt>
                <c:pt idx="5">
                  <c:v>1.32</c:v>
                </c:pt>
                <c:pt idx="6">
                  <c:v>7.8199999999999976</c:v>
                </c:pt>
                <c:pt idx="7">
                  <c:v>1.37</c:v>
                </c:pt>
                <c:pt idx="8">
                  <c:v>4.8599999999999977</c:v>
                </c:pt>
                <c:pt idx="9">
                  <c:v>9.34</c:v>
                </c:pt>
                <c:pt idx="10">
                  <c:v>4.96</c:v>
                </c:pt>
                <c:pt idx="11">
                  <c:v>2.88</c:v>
                </c:pt>
                <c:pt idx="12">
                  <c:v>0.61</c:v>
                </c:pt>
                <c:pt idx="13">
                  <c:v>1.77</c:v>
                </c:pt>
                <c:pt idx="14">
                  <c:v>3.92</c:v>
                </c:pt>
                <c:pt idx="15">
                  <c:v>2.68</c:v>
                </c:pt>
                <c:pt idx="16">
                  <c:v>4.6599999999999984</c:v>
                </c:pt>
                <c:pt idx="17">
                  <c:v>6.43</c:v>
                </c:pt>
                <c:pt idx="18">
                  <c:v>9.1300000000000008</c:v>
                </c:pt>
                <c:pt idx="19">
                  <c:v>1.49</c:v>
                </c:pt>
                <c:pt idx="20">
                  <c:v>1.3</c:v>
                </c:pt>
                <c:pt idx="21">
                  <c:v>0.37</c:v>
                </c:pt>
                <c:pt idx="22">
                  <c:v>0.68</c:v>
                </c:pt>
                <c:pt idx="23">
                  <c:v>1.87</c:v>
                </c:pt>
                <c:pt idx="24">
                  <c:v>1.38</c:v>
                </c:pt>
                <c:pt idx="25">
                  <c:v>1.06</c:v>
                </c:pt>
                <c:pt idx="26">
                  <c:v>9.07</c:v>
                </c:pt>
                <c:pt idx="27">
                  <c:v>0.94</c:v>
                </c:pt>
                <c:pt idx="28">
                  <c:v>2.31</c:v>
                </c:pt>
                <c:pt idx="29">
                  <c:v>0.92</c:v>
                </c:pt>
                <c:pt idx="30">
                  <c:v>0.92</c:v>
                </c:pt>
                <c:pt idx="31">
                  <c:v>1.64</c:v>
                </c:pt>
                <c:pt idx="32">
                  <c:v>8.57</c:v>
                </c:pt>
                <c:pt idx="33">
                  <c:v>1.21</c:v>
                </c:pt>
                <c:pt idx="34">
                  <c:v>2.52</c:v>
                </c:pt>
                <c:pt idx="35">
                  <c:v>1.05</c:v>
                </c:pt>
                <c:pt idx="36">
                  <c:v>6.33</c:v>
                </c:pt>
                <c:pt idx="37">
                  <c:v>2.66</c:v>
                </c:pt>
                <c:pt idx="38">
                  <c:v>1.47</c:v>
                </c:pt>
                <c:pt idx="39">
                  <c:v>0.54</c:v>
                </c:pt>
                <c:pt idx="40">
                  <c:v>0.51</c:v>
                </c:pt>
                <c:pt idx="41">
                  <c:v>1.03</c:v>
                </c:pt>
                <c:pt idx="42">
                  <c:v>1.48</c:v>
                </c:pt>
                <c:pt idx="43">
                  <c:v>4.13</c:v>
                </c:pt>
                <c:pt idx="44">
                  <c:v>0.55000000000000004</c:v>
                </c:pt>
                <c:pt idx="45">
                  <c:v>0.7</c:v>
                </c:pt>
                <c:pt idx="46">
                  <c:v>1.23</c:v>
                </c:pt>
                <c:pt idx="47">
                  <c:v>0.73</c:v>
                </c:pt>
                <c:pt idx="48">
                  <c:v>0.81</c:v>
                </c:pt>
                <c:pt idx="49">
                  <c:v>0.91</c:v>
                </c:pt>
                <c:pt idx="50">
                  <c:v>0.78</c:v>
                </c:pt>
                <c:pt idx="51">
                  <c:v>1.26</c:v>
                </c:pt>
                <c:pt idx="52">
                  <c:v>1.02</c:v>
                </c:pt>
                <c:pt idx="53">
                  <c:v>7.27</c:v>
                </c:pt>
                <c:pt idx="54">
                  <c:v>0.65</c:v>
                </c:pt>
                <c:pt idx="55">
                  <c:v>0.67</c:v>
                </c:pt>
                <c:pt idx="56">
                  <c:v>4.2699999999999996</c:v>
                </c:pt>
                <c:pt idx="57">
                  <c:v>1.32</c:v>
                </c:pt>
                <c:pt idx="58">
                  <c:v>2.59</c:v>
                </c:pt>
                <c:pt idx="59">
                  <c:v>0.67</c:v>
                </c:pt>
                <c:pt idx="60">
                  <c:v>0.55000000000000004</c:v>
                </c:pt>
                <c:pt idx="61">
                  <c:v>2.37</c:v>
                </c:pt>
                <c:pt idx="62">
                  <c:v>1.54</c:v>
                </c:pt>
                <c:pt idx="63">
                  <c:v>0.63</c:v>
                </c:pt>
                <c:pt idx="64">
                  <c:v>1.63</c:v>
                </c:pt>
                <c:pt idx="65">
                  <c:v>3.5</c:v>
                </c:pt>
                <c:pt idx="66">
                  <c:v>1.23</c:v>
                </c:pt>
                <c:pt idx="67">
                  <c:v>3.33</c:v>
                </c:pt>
                <c:pt idx="68">
                  <c:v>0.63</c:v>
                </c:pt>
                <c:pt idx="69">
                  <c:v>6.6</c:v>
                </c:pt>
                <c:pt idx="70">
                  <c:v>0.88</c:v>
                </c:pt>
                <c:pt idx="71">
                  <c:v>2.2799999999999998</c:v>
                </c:pt>
                <c:pt idx="72">
                  <c:v>4.57</c:v>
                </c:pt>
                <c:pt idx="73">
                  <c:v>3.37</c:v>
                </c:pt>
                <c:pt idx="74">
                  <c:v>2.62</c:v>
                </c:pt>
                <c:pt idx="75">
                  <c:v>0.9</c:v>
                </c:pt>
                <c:pt idx="76">
                  <c:v>0.9</c:v>
                </c:pt>
                <c:pt idx="77">
                  <c:v>0.67</c:v>
                </c:pt>
                <c:pt idx="78">
                  <c:v>1.36</c:v>
                </c:pt>
                <c:pt idx="79">
                  <c:v>2.2200000000000002</c:v>
                </c:pt>
                <c:pt idx="80">
                  <c:v>1.36</c:v>
                </c:pt>
                <c:pt idx="81">
                  <c:v>3.53</c:v>
                </c:pt>
                <c:pt idx="82">
                  <c:v>4.04</c:v>
                </c:pt>
                <c:pt idx="83">
                  <c:v>0.55000000000000004</c:v>
                </c:pt>
                <c:pt idx="84">
                  <c:v>0.6</c:v>
                </c:pt>
                <c:pt idx="85">
                  <c:v>1.1599999999999999</c:v>
                </c:pt>
                <c:pt idx="86">
                  <c:v>2.0099999999999998</c:v>
                </c:pt>
                <c:pt idx="87">
                  <c:v>1.01</c:v>
                </c:pt>
                <c:pt idx="88">
                  <c:v>5.93</c:v>
                </c:pt>
                <c:pt idx="89">
                  <c:v>1.31</c:v>
                </c:pt>
                <c:pt idx="90">
                  <c:v>0.94</c:v>
                </c:pt>
                <c:pt idx="91">
                  <c:v>1.43</c:v>
                </c:pt>
                <c:pt idx="92">
                  <c:v>0.67</c:v>
                </c:pt>
                <c:pt idx="93">
                  <c:v>0.28000000000000003</c:v>
                </c:pt>
                <c:pt idx="94">
                  <c:v>0.49</c:v>
                </c:pt>
                <c:pt idx="95">
                  <c:v>0.85</c:v>
                </c:pt>
                <c:pt idx="96">
                  <c:v>0.69</c:v>
                </c:pt>
                <c:pt idx="97">
                  <c:v>3.31</c:v>
                </c:pt>
                <c:pt idx="98">
                  <c:v>0.57999999999999996</c:v>
                </c:pt>
                <c:pt idx="99">
                  <c:v>2.0699999999999998</c:v>
                </c:pt>
                <c:pt idx="100">
                  <c:v>1.28</c:v>
                </c:pt>
                <c:pt idx="101">
                  <c:v>1.21</c:v>
                </c:pt>
                <c:pt idx="102">
                  <c:v>2.25</c:v>
                </c:pt>
                <c:pt idx="103">
                  <c:v>1.1399999999999999</c:v>
                </c:pt>
                <c:pt idx="104">
                  <c:v>0.97</c:v>
                </c:pt>
                <c:pt idx="105">
                  <c:v>0.79</c:v>
                </c:pt>
                <c:pt idx="106">
                  <c:v>1.52</c:v>
                </c:pt>
                <c:pt idx="107">
                  <c:v>2.66</c:v>
                </c:pt>
                <c:pt idx="108">
                  <c:v>2.52</c:v>
                </c:pt>
                <c:pt idx="109">
                  <c:v>1.07</c:v>
                </c:pt>
                <c:pt idx="110">
                  <c:v>0.77</c:v>
                </c:pt>
                <c:pt idx="111">
                  <c:v>2.0299999999999998</c:v>
                </c:pt>
                <c:pt idx="112">
                  <c:v>2.27</c:v>
                </c:pt>
                <c:pt idx="113">
                  <c:v>1.1299999999999999</c:v>
                </c:pt>
                <c:pt idx="114">
                  <c:v>2.5299999999999998</c:v>
                </c:pt>
                <c:pt idx="115">
                  <c:v>1.55</c:v>
                </c:pt>
                <c:pt idx="116">
                  <c:v>0.48</c:v>
                </c:pt>
                <c:pt idx="117">
                  <c:v>0.79</c:v>
                </c:pt>
                <c:pt idx="118">
                  <c:v>1.18</c:v>
                </c:pt>
                <c:pt idx="119">
                  <c:v>1.29</c:v>
                </c:pt>
                <c:pt idx="120">
                  <c:v>1.5</c:v>
                </c:pt>
                <c:pt idx="121">
                  <c:v>3.1</c:v>
                </c:pt>
                <c:pt idx="122">
                  <c:v>0.97</c:v>
                </c:pt>
                <c:pt idx="123">
                  <c:v>3.3</c:v>
                </c:pt>
                <c:pt idx="124">
                  <c:v>1.03</c:v>
                </c:pt>
                <c:pt idx="125">
                  <c:v>1.83</c:v>
                </c:pt>
                <c:pt idx="126">
                  <c:v>1.95</c:v>
                </c:pt>
                <c:pt idx="127">
                  <c:v>0.97</c:v>
                </c:pt>
                <c:pt idx="128">
                  <c:v>9.06</c:v>
                </c:pt>
                <c:pt idx="129">
                  <c:v>1.02</c:v>
                </c:pt>
                <c:pt idx="130">
                  <c:v>0.76</c:v>
                </c:pt>
                <c:pt idx="131">
                  <c:v>1.23</c:v>
                </c:pt>
                <c:pt idx="132">
                  <c:v>0.27</c:v>
                </c:pt>
                <c:pt idx="133">
                  <c:v>0.36</c:v>
                </c:pt>
                <c:pt idx="134">
                  <c:v>4.2</c:v>
                </c:pt>
                <c:pt idx="135">
                  <c:v>0.75</c:v>
                </c:pt>
                <c:pt idx="136">
                  <c:v>2.17</c:v>
                </c:pt>
                <c:pt idx="137">
                  <c:v>11.97</c:v>
                </c:pt>
                <c:pt idx="138">
                  <c:v>0.92</c:v>
                </c:pt>
                <c:pt idx="139">
                  <c:v>0.54</c:v>
                </c:pt>
                <c:pt idx="140">
                  <c:v>1.02</c:v>
                </c:pt>
                <c:pt idx="141">
                  <c:v>1.84</c:v>
                </c:pt>
                <c:pt idx="142">
                  <c:v>1.73</c:v>
                </c:pt>
                <c:pt idx="143">
                  <c:v>0.61</c:v>
                </c:pt>
                <c:pt idx="144">
                  <c:v>22.43</c:v>
                </c:pt>
                <c:pt idx="145">
                  <c:v>2.37</c:v>
                </c:pt>
                <c:pt idx="146">
                  <c:v>6.1</c:v>
                </c:pt>
                <c:pt idx="147">
                  <c:v>1.48</c:v>
                </c:pt>
                <c:pt idx="148">
                  <c:v>0.54</c:v>
                </c:pt>
                <c:pt idx="149">
                  <c:v>0.47</c:v>
                </c:pt>
                <c:pt idx="150">
                  <c:v>4.0599999999999996</c:v>
                </c:pt>
                <c:pt idx="151">
                  <c:v>0.78</c:v>
                </c:pt>
                <c:pt idx="152">
                  <c:v>11.94</c:v>
                </c:pt>
                <c:pt idx="153">
                  <c:v>2.15</c:v>
                </c:pt>
                <c:pt idx="154">
                  <c:v>3.53</c:v>
                </c:pt>
                <c:pt idx="155">
                  <c:v>1.02</c:v>
                </c:pt>
                <c:pt idx="156">
                  <c:v>0.92</c:v>
                </c:pt>
                <c:pt idx="157">
                  <c:v>1.8</c:v>
                </c:pt>
                <c:pt idx="158">
                  <c:v>0.62</c:v>
                </c:pt>
                <c:pt idx="159">
                  <c:v>0.81</c:v>
                </c:pt>
                <c:pt idx="160">
                  <c:v>6.68</c:v>
                </c:pt>
                <c:pt idx="161">
                  <c:v>6</c:v>
                </c:pt>
                <c:pt idx="162">
                  <c:v>9.39</c:v>
                </c:pt>
                <c:pt idx="163">
                  <c:v>9.93</c:v>
                </c:pt>
                <c:pt idx="164">
                  <c:v>8.39</c:v>
                </c:pt>
                <c:pt idx="165">
                  <c:v>13.58</c:v>
                </c:pt>
                <c:pt idx="166">
                  <c:v>7.58</c:v>
                </c:pt>
                <c:pt idx="167">
                  <c:v>6.14</c:v>
                </c:pt>
                <c:pt idx="168">
                  <c:v>6.23</c:v>
                </c:pt>
                <c:pt idx="169">
                  <c:v>5.85</c:v>
                </c:pt>
                <c:pt idx="170">
                  <c:v>11.26</c:v>
                </c:pt>
                <c:pt idx="171">
                  <c:v>8.65</c:v>
                </c:pt>
                <c:pt idx="172">
                  <c:v>9.6</c:v>
                </c:pt>
                <c:pt idx="173">
                  <c:v>8.34</c:v>
                </c:pt>
                <c:pt idx="174">
                  <c:v>9.620000000000001</c:v>
                </c:pt>
                <c:pt idx="175">
                  <c:v>11.01</c:v>
                </c:pt>
                <c:pt idx="176">
                  <c:v>9.2100000000000009</c:v>
                </c:pt>
                <c:pt idx="177">
                  <c:v>8.64</c:v>
                </c:pt>
                <c:pt idx="178">
                  <c:v>16.12</c:v>
                </c:pt>
                <c:pt idx="179">
                  <c:v>14.73</c:v>
                </c:pt>
                <c:pt idx="180">
                  <c:v>9.01</c:v>
                </c:pt>
                <c:pt idx="181">
                  <c:v>7.43</c:v>
                </c:pt>
                <c:pt idx="182">
                  <c:v>10.88</c:v>
                </c:pt>
                <c:pt idx="183">
                  <c:v>16.739999999999991</c:v>
                </c:pt>
                <c:pt idx="184">
                  <c:v>8.7100000000000009</c:v>
                </c:pt>
                <c:pt idx="185">
                  <c:v>10.62</c:v>
                </c:pt>
                <c:pt idx="186">
                  <c:v>36.479999999999997</c:v>
                </c:pt>
                <c:pt idx="187">
                  <c:v>13.75</c:v>
                </c:pt>
                <c:pt idx="188">
                  <c:v>6.91</c:v>
                </c:pt>
                <c:pt idx="189">
                  <c:v>5.49</c:v>
                </c:pt>
                <c:pt idx="190">
                  <c:v>9.19</c:v>
                </c:pt>
                <c:pt idx="191">
                  <c:v>13.41</c:v>
                </c:pt>
                <c:pt idx="192">
                  <c:v>21.39</c:v>
                </c:pt>
                <c:pt idx="193">
                  <c:v>6.84</c:v>
                </c:pt>
                <c:pt idx="194">
                  <c:v>7.64</c:v>
                </c:pt>
                <c:pt idx="195">
                  <c:v>8.5</c:v>
                </c:pt>
                <c:pt idx="196">
                  <c:v>8.2100000000000009</c:v>
                </c:pt>
                <c:pt idx="197">
                  <c:v>7.43</c:v>
                </c:pt>
                <c:pt idx="198">
                  <c:v>7.91</c:v>
                </c:pt>
                <c:pt idx="199">
                  <c:v>3.54</c:v>
                </c:pt>
                <c:pt idx="200">
                  <c:v>7.81</c:v>
                </c:pt>
                <c:pt idx="201">
                  <c:v>0.98</c:v>
                </c:pt>
                <c:pt idx="202">
                  <c:v>1.37</c:v>
                </c:pt>
                <c:pt idx="203">
                  <c:v>2.8</c:v>
                </c:pt>
                <c:pt idx="204">
                  <c:v>2.75</c:v>
                </c:pt>
                <c:pt idx="205">
                  <c:v>2.0699999999999998</c:v>
                </c:pt>
                <c:pt idx="206">
                  <c:v>3.43</c:v>
                </c:pt>
                <c:pt idx="207">
                  <c:v>3.33</c:v>
                </c:pt>
                <c:pt idx="208">
                  <c:v>1.44</c:v>
                </c:pt>
                <c:pt idx="209">
                  <c:v>1.75</c:v>
                </c:pt>
                <c:pt idx="210">
                  <c:v>4.01</c:v>
                </c:pt>
                <c:pt idx="211">
                  <c:v>2.2599999999999998</c:v>
                </c:pt>
                <c:pt idx="212">
                  <c:v>6.2</c:v>
                </c:pt>
                <c:pt idx="213">
                  <c:v>4.6399999999999997</c:v>
                </c:pt>
                <c:pt idx="214">
                  <c:v>2.98</c:v>
                </c:pt>
                <c:pt idx="215">
                  <c:v>3.68</c:v>
                </c:pt>
                <c:pt idx="216">
                  <c:v>4.0999999999999996</c:v>
                </c:pt>
                <c:pt idx="217">
                  <c:v>3.62</c:v>
                </c:pt>
                <c:pt idx="218">
                  <c:v>2.5</c:v>
                </c:pt>
                <c:pt idx="219">
                  <c:v>4.22</c:v>
                </c:pt>
                <c:pt idx="220">
                  <c:v>6.55</c:v>
                </c:pt>
                <c:pt idx="221">
                  <c:v>8.64</c:v>
                </c:pt>
                <c:pt idx="222">
                  <c:v>1.92</c:v>
                </c:pt>
                <c:pt idx="223">
                  <c:v>2.4</c:v>
                </c:pt>
                <c:pt idx="224">
                  <c:v>3.05</c:v>
                </c:pt>
                <c:pt idx="225">
                  <c:v>1.87</c:v>
                </c:pt>
                <c:pt idx="226">
                  <c:v>1.54</c:v>
                </c:pt>
                <c:pt idx="227">
                  <c:v>1.2</c:v>
                </c:pt>
                <c:pt idx="228">
                  <c:v>1.1299999999999999</c:v>
                </c:pt>
                <c:pt idx="229">
                  <c:v>2.86</c:v>
                </c:pt>
                <c:pt idx="230">
                  <c:v>0.96</c:v>
                </c:pt>
                <c:pt idx="231">
                  <c:v>2.78</c:v>
                </c:pt>
                <c:pt idx="232">
                  <c:v>1.94</c:v>
                </c:pt>
                <c:pt idx="233">
                  <c:v>2.4</c:v>
                </c:pt>
                <c:pt idx="234">
                  <c:v>1.97</c:v>
                </c:pt>
                <c:pt idx="235">
                  <c:v>1.78</c:v>
                </c:pt>
                <c:pt idx="236">
                  <c:v>1.37</c:v>
                </c:pt>
                <c:pt idx="237">
                  <c:v>1.49</c:v>
                </c:pt>
                <c:pt idx="238">
                  <c:v>0.6</c:v>
                </c:pt>
                <c:pt idx="239">
                  <c:v>0.55000000000000004</c:v>
                </c:pt>
                <c:pt idx="240">
                  <c:v>3</c:v>
                </c:pt>
                <c:pt idx="241">
                  <c:v>0.67</c:v>
                </c:pt>
                <c:pt idx="242">
                  <c:v>3.96</c:v>
                </c:pt>
                <c:pt idx="243">
                  <c:v>0.48</c:v>
                </c:pt>
                <c:pt idx="244">
                  <c:v>0.65</c:v>
                </c:pt>
                <c:pt idx="245">
                  <c:v>3.82</c:v>
                </c:pt>
                <c:pt idx="246">
                  <c:v>5.54</c:v>
                </c:pt>
                <c:pt idx="247">
                  <c:v>4.46</c:v>
                </c:pt>
                <c:pt idx="248">
                  <c:v>3.67</c:v>
                </c:pt>
                <c:pt idx="249">
                  <c:v>1.37</c:v>
                </c:pt>
                <c:pt idx="250">
                  <c:v>1.8</c:v>
                </c:pt>
                <c:pt idx="251">
                  <c:v>5.42</c:v>
                </c:pt>
                <c:pt idx="252">
                  <c:v>3.74</c:v>
                </c:pt>
                <c:pt idx="253">
                  <c:v>2.76</c:v>
                </c:pt>
                <c:pt idx="254">
                  <c:v>1.44</c:v>
                </c:pt>
                <c:pt idx="255">
                  <c:v>1.39</c:v>
                </c:pt>
                <c:pt idx="256">
                  <c:v>5.14</c:v>
                </c:pt>
                <c:pt idx="257">
                  <c:v>5.52</c:v>
                </c:pt>
                <c:pt idx="258">
                  <c:v>1.55</c:v>
                </c:pt>
                <c:pt idx="259">
                  <c:v>0.48</c:v>
                </c:pt>
                <c:pt idx="260">
                  <c:v>0.81</c:v>
                </c:pt>
                <c:pt idx="261">
                  <c:v>0.59</c:v>
                </c:pt>
                <c:pt idx="262">
                  <c:v>1.06</c:v>
                </c:pt>
                <c:pt idx="263">
                  <c:v>6.39</c:v>
                </c:pt>
                <c:pt idx="264">
                  <c:v>1.37</c:v>
                </c:pt>
                <c:pt idx="265">
                  <c:v>4.72</c:v>
                </c:pt>
                <c:pt idx="266">
                  <c:v>8.7200000000000006</c:v>
                </c:pt>
                <c:pt idx="267">
                  <c:v>4.72</c:v>
                </c:pt>
                <c:pt idx="268">
                  <c:v>2.58</c:v>
                </c:pt>
                <c:pt idx="269">
                  <c:v>3.83</c:v>
                </c:pt>
                <c:pt idx="270">
                  <c:v>2.6</c:v>
                </c:pt>
                <c:pt idx="271">
                  <c:v>4.1199999999999983</c:v>
                </c:pt>
                <c:pt idx="272">
                  <c:v>5.57</c:v>
                </c:pt>
                <c:pt idx="273">
                  <c:v>7.42</c:v>
                </c:pt>
                <c:pt idx="274">
                  <c:v>1.95</c:v>
                </c:pt>
                <c:pt idx="275">
                  <c:v>3.01</c:v>
                </c:pt>
                <c:pt idx="276">
                  <c:v>3.28</c:v>
                </c:pt>
                <c:pt idx="277">
                  <c:v>2</c:v>
                </c:pt>
                <c:pt idx="278">
                  <c:v>1.42</c:v>
                </c:pt>
                <c:pt idx="279">
                  <c:v>1.42</c:v>
                </c:pt>
                <c:pt idx="280">
                  <c:v>1.1599999999999999</c:v>
                </c:pt>
                <c:pt idx="281">
                  <c:v>1.9</c:v>
                </c:pt>
                <c:pt idx="282">
                  <c:v>1.21</c:v>
                </c:pt>
                <c:pt idx="283">
                  <c:v>3.78</c:v>
                </c:pt>
                <c:pt idx="284">
                  <c:v>1.95</c:v>
                </c:pt>
                <c:pt idx="285">
                  <c:v>2.5099999999999998</c:v>
                </c:pt>
                <c:pt idx="286">
                  <c:v>2</c:v>
                </c:pt>
                <c:pt idx="287">
                  <c:v>1.86</c:v>
                </c:pt>
                <c:pt idx="288">
                  <c:v>1.81</c:v>
                </c:pt>
                <c:pt idx="289">
                  <c:v>1.49</c:v>
                </c:pt>
                <c:pt idx="290">
                  <c:v>9.3700000000000028</c:v>
                </c:pt>
                <c:pt idx="291">
                  <c:v>6.1899999999999986</c:v>
                </c:pt>
                <c:pt idx="292">
                  <c:v>10.48</c:v>
                </c:pt>
                <c:pt idx="293">
                  <c:v>10.85</c:v>
                </c:pt>
                <c:pt idx="294">
                  <c:v>8.56</c:v>
                </c:pt>
                <c:pt idx="295">
                  <c:v>11.3</c:v>
                </c:pt>
                <c:pt idx="296">
                  <c:v>8.2200000000000006</c:v>
                </c:pt>
                <c:pt idx="297">
                  <c:v>6.48</c:v>
                </c:pt>
                <c:pt idx="298">
                  <c:v>6.24</c:v>
                </c:pt>
                <c:pt idx="299">
                  <c:v>5.98</c:v>
                </c:pt>
                <c:pt idx="300">
                  <c:v>12.87</c:v>
                </c:pt>
                <c:pt idx="301">
                  <c:v>8.92</c:v>
                </c:pt>
                <c:pt idx="302">
                  <c:v>9.33</c:v>
                </c:pt>
                <c:pt idx="303">
                  <c:v>9.91</c:v>
                </c:pt>
                <c:pt idx="304">
                  <c:v>11.57</c:v>
                </c:pt>
                <c:pt idx="305">
                  <c:v>0.89</c:v>
                </c:pt>
                <c:pt idx="306">
                  <c:v>0.4</c:v>
                </c:pt>
                <c:pt idx="307">
                  <c:v>0.46</c:v>
                </c:pt>
                <c:pt idx="308">
                  <c:v>10.83</c:v>
                </c:pt>
                <c:pt idx="309">
                  <c:v>9.1300000000000008</c:v>
                </c:pt>
                <c:pt idx="310">
                  <c:v>8.5500000000000007</c:v>
                </c:pt>
                <c:pt idx="311">
                  <c:v>16.13</c:v>
                </c:pt>
                <c:pt idx="312">
                  <c:v>14.86</c:v>
                </c:pt>
                <c:pt idx="313">
                  <c:v>8.99</c:v>
                </c:pt>
                <c:pt idx="314">
                  <c:v>7.4</c:v>
                </c:pt>
                <c:pt idx="315">
                  <c:v>10.89</c:v>
                </c:pt>
                <c:pt idx="316">
                  <c:v>17.190000000000001</c:v>
                </c:pt>
                <c:pt idx="317">
                  <c:v>8.7000000000000011</c:v>
                </c:pt>
                <c:pt idx="318">
                  <c:v>0.69</c:v>
                </c:pt>
                <c:pt idx="319">
                  <c:v>1.53</c:v>
                </c:pt>
                <c:pt idx="320">
                  <c:v>1.1399999999999999</c:v>
                </c:pt>
                <c:pt idx="321">
                  <c:v>0.81</c:v>
                </c:pt>
                <c:pt idx="322">
                  <c:v>0.32</c:v>
                </c:pt>
                <c:pt idx="323">
                  <c:v>0.64</c:v>
                </c:pt>
                <c:pt idx="324">
                  <c:v>0.37</c:v>
                </c:pt>
                <c:pt idx="325">
                  <c:v>2.75</c:v>
                </c:pt>
                <c:pt idx="326">
                  <c:v>2.75</c:v>
                </c:pt>
                <c:pt idx="327">
                  <c:v>2.0299999999999998</c:v>
                </c:pt>
                <c:pt idx="328">
                  <c:v>6.5</c:v>
                </c:pt>
                <c:pt idx="329">
                  <c:v>3.27</c:v>
                </c:pt>
                <c:pt idx="330">
                  <c:v>0.52</c:v>
                </c:pt>
                <c:pt idx="331">
                  <c:v>2.98</c:v>
                </c:pt>
                <c:pt idx="332">
                  <c:v>3.65</c:v>
                </c:pt>
                <c:pt idx="333">
                  <c:v>2.93</c:v>
                </c:pt>
                <c:pt idx="334">
                  <c:v>4.09</c:v>
                </c:pt>
                <c:pt idx="335">
                  <c:v>5.63</c:v>
                </c:pt>
                <c:pt idx="336">
                  <c:v>10.02</c:v>
                </c:pt>
                <c:pt idx="337">
                  <c:v>1.84</c:v>
                </c:pt>
                <c:pt idx="338">
                  <c:v>2.98</c:v>
                </c:pt>
                <c:pt idx="339">
                  <c:v>3.22</c:v>
                </c:pt>
                <c:pt idx="340">
                  <c:v>1.98</c:v>
                </c:pt>
                <c:pt idx="341">
                  <c:v>1.44</c:v>
                </c:pt>
                <c:pt idx="342">
                  <c:v>1.34</c:v>
                </c:pt>
                <c:pt idx="343">
                  <c:v>1.36</c:v>
                </c:pt>
                <c:pt idx="344">
                  <c:v>1.74</c:v>
                </c:pt>
                <c:pt idx="345">
                  <c:v>1.02</c:v>
                </c:pt>
                <c:pt idx="346">
                  <c:v>2.63</c:v>
                </c:pt>
                <c:pt idx="347">
                  <c:v>1.96</c:v>
                </c:pt>
                <c:pt idx="348">
                  <c:v>2.46</c:v>
                </c:pt>
                <c:pt idx="349">
                  <c:v>1.98</c:v>
                </c:pt>
                <c:pt idx="350">
                  <c:v>1.84</c:v>
                </c:pt>
                <c:pt idx="351">
                  <c:v>1.46</c:v>
                </c:pt>
                <c:pt idx="352">
                  <c:v>1.46</c:v>
                </c:pt>
                <c:pt idx="353">
                  <c:v>1.04</c:v>
                </c:pt>
                <c:pt idx="354">
                  <c:v>0.99</c:v>
                </c:pt>
                <c:pt idx="355">
                  <c:v>3.47</c:v>
                </c:pt>
                <c:pt idx="356">
                  <c:v>3.37</c:v>
                </c:pt>
                <c:pt idx="357">
                  <c:v>2.68</c:v>
                </c:pt>
                <c:pt idx="358">
                  <c:v>9.9499999999999993</c:v>
                </c:pt>
                <c:pt idx="359">
                  <c:v>4.84</c:v>
                </c:pt>
                <c:pt idx="360">
                  <c:v>3.08</c:v>
                </c:pt>
                <c:pt idx="361">
                  <c:v>5.18</c:v>
                </c:pt>
                <c:pt idx="362">
                  <c:v>2.02</c:v>
                </c:pt>
                <c:pt idx="363">
                  <c:v>4.7699999999999987</c:v>
                </c:pt>
                <c:pt idx="364">
                  <c:v>1.93</c:v>
                </c:pt>
                <c:pt idx="365">
                  <c:v>2.5099999999999998</c:v>
                </c:pt>
                <c:pt idx="366">
                  <c:v>4.22</c:v>
                </c:pt>
                <c:pt idx="367">
                  <c:v>1.35</c:v>
                </c:pt>
                <c:pt idx="368">
                  <c:v>2.4300000000000002</c:v>
                </c:pt>
                <c:pt idx="369">
                  <c:v>4.7699999999999987</c:v>
                </c:pt>
                <c:pt idx="370">
                  <c:v>4.3899999999999997</c:v>
                </c:pt>
                <c:pt idx="371">
                  <c:v>6.63</c:v>
                </c:pt>
                <c:pt idx="372">
                  <c:v>5.1099999999999994</c:v>
                </c:pt>
                <c:pt idx="373">
                  <c:v>4.29</c:v>
                </c:pt>
                <c:pt idx="374">
                  <c:v>1.64</c:v>
                </c:pt>
                <c:pt idx="375">
                  <c:v>2.17</c:v>
                </c:pt>
                <c:pt idx="376">
                  <c:v>6.34</c:v>
                </c:pt>
                <c:pt idx="377">
                  <c:v>4.46</c:v>
                </c:pt>
                <c:pt idx="378">
                  <c:v>3.18</c:v>
                </c:pt>
                <c:pt idx="379">
                  <c:v>1.66</c:v>
                </c:pt>
                <c:pt idx="380">
                  <c:v>1.71</c:v>
                </c:pt>
                <c:pt idx="381">
                  <c:v>6</c:v>
                </c:pt>
                <c:pt idx="382">
                  <c:v>6.39</c:v>
                </c:pt>
                <c:pt idx="383">
                  <c:v>5.25</c:v>
                </c:pt>
                <c:pt idx="384">
                  <c:v>1.25</c:v>
                </c:pt>
                <c:pt idx="385">
                  <c:v>1.67</c:v>
                </c:pt>
                <c:pt idx="386">
                  <c:v>0.71</c:v>
                </c:pt>
                <c:pt idx="387">
                  <c:v>1.21</c:v>
                </c:pt>
                <c:pt idx="388">
                  <c:v>0.39</c:v>
                </c:pt>
                <c:pt idx="389">
                  <c:v>6.96</c:v>
                </c:pt>
                <c:pt idx="390">
                  <c:v>0.61</c:v>
                </c:pt>
                <c:pt idx="391">
                  <c:v>3.53</c:v>
                </c:pt>
                <c:pt idx="392">
                  <c:v>2.4700000000000002</c:v>
                </c:pt>
                <c:pt idx="393">
                  <c:v>4.2</c:v>
                </c:pt>
                <c:pt idx="394">
                  <c:v>7.03</c:v>
                </c:pt>
                <c:pt idx="395">
                  <c:v>9.5</c:v>
                </c:pt>
                <c:pt idx="396">
                  <c:v>0.7</c:v>
                </c:pt>
                <c:pt idx="397">
                  <c:v>2.58</c:v>
                </c:pt>
                <c:pt idx="398">
                  <c:v>3.16</c:v>
                </c:pt>
                <c:pt idx="399">
                  <c:v>3.1</c:v>
                </c:pt>
                <c:pt idx="400">
                  <c:v>2.62</c:v>
                </c:pt>
                <c:pt idx="401">
                  <c:v>9.86</c:v>
                </c:pt>
                <c:pt idx="402">
                  <c:v>4.51</c:v>
                </c:pt>
                <c:pt idx="403">
                  <c:v>2.88</c:v>
                </c:pt>
                <c:pt idx="404">
                  <c:v>2.86</c:v>
                </c:pt>
                <c:pt idx="405">
                  <c:v>1.82</c:v>
                </c:pt>
                <c:pt idx="406">
                  <c:v>4.78</c:v>
                </c:pt>
                <c:pt idx="407">
                  <c:v>1.66</c:v>
                </c:pt>
                <c:pt idx="408">
                  <c:v>2.38</c:v>
                </c:pt>
                <c:pt idx="409">
                  <c:v>2.1800000000000002</c:v>
                </c:pt>
                <c:pt idx="410">
                  <c:v>6.43</c:v>
                </c:pt>
                <c:pt idx="411">
                  <c:v>2.0699999999999998</c:v>
                </c:pt>
                <c:pt idx="412">
                  <c:v>0.7</c:v>
                </c:pt>
                <c:pt idx="413">
                  <c:v>4.29</c:v>
                </c:pt>
                <c:pt idx="414">
                  <c:v>6.34</c:v>
                </c:pt>
                <c:pt idx="415">
                  <c:v>4.84</c:v>
                </c:pt>
                <c:pt idx="416">
                  <c:v>3.61</c:v>
                </c:pt>
                <c:pt idx="417">
                  <c:v>1.54</c:v>
                </c:pt>
                <c:pt idx="418">
                  <c:v>2.27</c:v>
                </c:pt>
                <c:pt idx="419">
                  <c:v>5.59</c:v>
                </c:pt>
                <c:pt idx="420">
                  <c:v>3.78</c:v>
                </c:pt>
                <c:pt idx="421">
                  <c:v>3.13</c:v>
                </c:pt>
                <c:pt idx="422">
                  <c:v>1.52</c:v>
                </c:pt>
                <c:pt idx="423">
                  <c:v>1.49</c:v>
                </c:pt>
                <c:pt idx="424">
                  <c:v>5.95</c:v>
                </c:pt>
                <c:pt idx="425">
                  <c:v>6.3599999999999977</c:v>
                </c:pt>
                <c:pt idx="426">
                  <c:v>1.94</c:v>
                </c:pt>
                <c:pt idx="427">
                  <c:v>1.33</c:v>
                </c:pt>
                <c:pt idx="428">
                  <c:v>0.31</c:v>
                </c:pt>
                <c:pt idx="429">
                  <c:v>0.66</c:v>
                </c:pt>
                <c:pt idx="430">
                  <c:v>0.24</c:v>
                </c:pt>
                <c:pt idx="431">
                  <c:v>0.59</c:v>
                </c:pt>
                <c:pt idx="432">
                  <c:v>0.71</c:v>
                </c:pt>
                <c:pt idx="433">
                  <c:v>1</c:v>
                </c:pt>
                <c:pt idx="434">
                  <c:v>3.94</c:v>
                </c:pt>
                <c:pt idx="435">
                  <c:v>2.62</c:v>
                </c:pt>
                <c:pt idx="436">
                  <c:v>5.83</c:v>
                </c:pt>
                <c:pt idx="437">
                  <c:v>4.26</c:v>
                </c:pt>
                <c:pt idx="438">
                  <c:v>3.41</c:v>
                </c:pt>
                <c:pt idx="439">
                  <c:v>4.09</c:v>
                </c:pt>
                <c:pt idx="440">
                  <c:v>4.34</c:v>
                </c:pt>
                <c:pt idx="441">
                  <c:v>3.77</c:v>
                </c:pt>
                <c:pt idx="442">
                  <c:v>1.1499999999999999</c:v>
                </c:pt>
                <c:pt idx="443">
                  <c:v>7.45</c:v>
                </c:pt>
                <c:pt idx="444">
                  <c:v>6.08</c:v>
                </c:pt>
                <c:pt idx="445">
                  <c:v>9.4600000000000026</c:v>
                </c:pt>
                <c:pt idx="446">
                  <c:v>10.61</c:v>
                </c:pt>
                <c:pt idx="447">
                  <c:v>8.48</c:v>
                </c:pt>
                <c:pt idx="448">
                  <c:v>12.67</c:v>
                </c:pt>
                <c:pt idx="449">
                  <c:v>7.79</c:v>
                </c:pt>
                <c:pt idx="450">
                  <c:v>6.54</c:v>
                </c:pt>
                <c:pt idx="451">
                  <c:v>6.42</c:v>
                </c:pt>
                <c:pt idx="452">
                  <c:v>5.76</c:v>
                </c:pt>
                <c:pt idx="453">
                  <c:v>12.03</c:v>
                </c:pt>
                <c:pt idx="454">
                  <c:v>8.5300000000000011</c:v>
                </c:pt>
                <c:pt idx="455">
                  <c:v>8.6</c:v>
                </c:pt>
                <c:pt idx="456">
                  <c:v>8.4</c:v>
                </c:pt>
                <c:pt idx="457">
                  <c:v>9.9499999999999993</c:v>
                </c:pt>
                <c:pt idx="458">
                  <c:v>1.74</c:v>
                </c:pt>
                <c:pt idx="459">
                  <c:v>1.72</c:v>
                </c:pt>
                <c:pt idx="460">
                  <c:v>1.47</c:v>
                </c:pt>
                <c:pt idx="461">
                  <c:v>2.67</c:v>
                </c:pt>
                <c:pt idx="462">
                  <c:v>11.07</c:v>
                </c:pt>
                <c:pt idx="463">
                  <c:v>9.02</c:v>
                </c:pt>
                <c:pt idx="464">
                  <c:v>8.8000000000000007</c:v>
                </c:pt>
                <c:pt idx="465">
                  <c:v>15.95</c:v>
                </c:pt>
                <c:pt idx="466">
                  <c:v>14.85</c:v>
                </c:pt>
                <c:pt idx="467">
                  <c:v>9.2100000000000009</c:v>
                </c:pt>
                <c:pt idx="468">
                  <c:v>7.5</c:v>
                </c:pt>
                <c:pt idx="469">
                  <c:v>10.8</c:v>
                </c:pt>
                <c:pt idx="470">
                  <c:v>16.66</c:v>
                </c:pt>
                <c:pt idx="471">
                  <c:v>8.5500000000000007</c:v>
                </c:pt>
                <c:pt idx="472">
                  <c:v>6.78</c:v>
                </c:pt>
                <c:pt idx="473">
                  <c:v>9.24</c:v>
                </c:pt>
                <c:pt idx="474">
                  <c:v>43.47</c:v>
                </c:pt>
                <c:pt idx="475">
                  <c:v>14.36</c:v>
                </c:pt>
                <c:pt idx="476">
                  <c:v>7</c:v>
                </c:pt>
                <c:pt idx="477">
                  <c:v>4.99</c:v>
                </c:pt>
                <c:pt idx="478">
                  <c:v>8.91</c:v>
                </c:pt>
                <c:pt idx="479">
                  <c:v>14.06</c:v>
                </c:pt>
                <c:pt idx="480">
                  <c:v>20.58</c:v>
                </c:pt>
                <c:pt idx="481">
                  <c:v>8.18</c:v>
                </c:pt>
                <c:pt idx="482">
                  <c:v>8.43</c:v>
                </c:pt>
                <c:pt idx="483">
                  <c:v>8.11</c:v>
                </c:pt>
                <c:pt idx="484">
                  <c:v>2.0299999999999998</c:v>
                </c:pt>
                <c:pt idx="485">
                  <c:v>1.1299999999999999</c:v>
                </c:pt>
                <c:pt idx="486">
                  <c:v>1.59</c:v>
                </c:pt>
                <c:pt idx="487">
                  <c:v>0.85</c:v>
                </c:pt>
                <c:pt idx="488">
                  <c:v>1.45</c:v>
                </c:pt>
                <c:pt idx="489">
                  <c:v>1.02</c:v>
                </c:pt>
                <c:pt idx="490">
                  <c:v>0.99</c:v>
                </c:pt>
                <c:pt idx="491">
                  <c:v>0.28999999999999998</c:v>
                </c:pt>
                <c:pt idx="492">
                  <c:v>0.41</c:v>
                </c:pt>
                <c:pt idx="493">
                  <c:v>6.99</c:v>
                </c:pt>
                <c:pt idx="494">
                  <c:v>6.05</c:v>
                </c:pt>
                <c:pt idx="495">
                  <c:v>9</c:v>
                </c:pt>
                <c:pt idx="496">
                  <c:v>9.83</c:v>
                </c:pt>
                <c:pt idx="497">
                  <c:v>7.79</c:v>
                </c:pt>
                <c:pt idx="498">
                  <c:v>11.08</c:v>
                </c:pt>
                <c:pt idx="499">
                  <c:v>7.5</c:v>
                </c:pt>
                <c:pt idx="500">
                  <c:v>6.6499999999999977</c:v>
                </c:pt>
                <c:pt idx="501">
                  <c:v>6.1499999999999986</c:v>
                </c:pt>
                <c:pt idx="502">
                  <c:v>5.42</c:v>
                </c:pt>
                <c:pt idx="503">
                  <c:v>15.27</c:v>
                </c:pt>
                <c:pt idx="504">
                  <c:v>8.57</c:v>
                </c:pt>
                <c:pt idx="505">
                  <c:v>9.32</c:v>
                </c:pt>
                <c:pt idx="506">
                  <c:v>7.53</c:v>
                </c:pt>
                <c:pt idx="507">
                  <c:v>6.95</c:v>
                </c:pt>
                <c:pt idx="508">
                  <c:v>0.8</c:v>
                </c:pt>
                <c:pt idx="509">
                  <c:v>0.63</c:v>
                </c:pt>
                <c:pt idx="510">
                  <c:v>10.38</c:v>
                </c:pt>
                <c:pt idx="511">
                  <c:v>9.17</c:v>
                </c:pt>
                <c:pt idx="512">
                  <c:v>8.3000000000000007</c:v>
                </c:pt>
                <c:pt idx="513">
                  <c:v>15.44</c:v>
                </c:pt>
                <c:pt idx="514">
                  <c:v>15.03</c:v>
                </c:pt>
                <c:pt idx="515">
                  <c:v>8.69</c:v>
                </c:pt>
                <c:pt idx="516">
                  <c:v>7.24</c:v>
                </c:pt>
                <c:pt idx="517">
                  <c:v>10.5</c:v>
                </c:pt>
                <c:pt idx="518">
                  <c:v>15.71</c:v>
                </c:pt>
                <c:pt idx="519">
                  <c:v>8.49</c:v>
                </c:pt>
                <c:pt idx="520">
                  <c:v>0.89</c:v>
                </c:pt>
                <c:pt idx="521">
                  <c:v>1.64</c:v>
                </c:pt>
                <c:pt idx="522">
                  <c:v>10.1</c:v>
                </c:pt>
                <c:pt idx="523">
                  <c:v>38.31</c:v>
                </c:pt>
                <c:pt idx="524">
                  <c:v>15.01</c:v>
                </c:pt>
                <c:pt idx="525">
                  <c:v>7.23</c:v>
                </c:pt>
                <c:pt idx="526">
                  <c:v>5.6099999999999977</c:v>
                </c:pt>
                <c:pt idx="527">
                  <c:v>9.66</c:v>
                </c:pt>
                <c:pt idx="528">
                  <c:v>14.25</c:v>
                </c:pt>
                <c:pt idx="529">
                  <c:v>20.83</c:v>
                </c:pt>
                <c:pt idx="530">
                  <c:v>8.4</c:v>
                </c:pt>
                <c:pt idx="531">
                  <c:v>8.98</c:v>
                </c:pt>
                <c:pt idx="532">
                  <c:v>8.56</c:v>
                </c:pt>
                <c:pt idx="533">
                  <c:v>0.47</c:v>
                </c:pt>
                <c:pt idx="534">
                  <c:v>0.37</c:v>
                </c:pt>
                <c:pt idx="535">
                  <c:v>0.74</c:v>
                </c:pt>
                <c:pt idx="536">
                  <c:v>4.1499999999999986</c:v>
                </c:pt>
                <c:pt idx="537">
                  <c:v>2.67</c:v>
                </c:pt>
                <c:pt idx="538">
                  <c:v>4.72</c:v>
                </c:pt>
                <c:pt idx="539">
                  <c:v>6.74</c:v>
                </c:pt>
                <c:pt idx="540">
                  <c:v>9.56</c:v>
                </c:pt>
                <c:pt idx="541">
                  <c:v>1.95</c:v>
                </c:pt>
                <c:pt idx="542">
                  <c:v>3.33</c:v>
                </c:pt>
                <c:pt idx="543">
                  <c:v>3.58</c:v>
                </c:pt>
                <c:pt idx="544">
                  <c:v>1.98</c:v>
                </c:pt>
                <c:pt idx="545">
                  <c:v>1.58</c:v>
                </c:pt>
                <c:pt idx="546">
                  <c:v>1.28</c:v>
                </c:pt>
                <c:pt idx="547">
                  <c:v>1.31</c:v>
                </c:pt>
                <c:pt idx="548">
                  <c:v>2.2200000000000002</c:v>
                </c:pt>
                <c:pt idx="549">
                  <c:v>1.01</c:v>
                </c:pt>
                <c:pt idx="550">
                  <c:v>2.4700000000000002</c:v>
                </c:pt>
                <c:pt idx="551">
                  <c:v>1.93</c:v>
                </c:pt>
                <c:pt idx="552">
                  <c:v>2.4900000000000002</c:v>
                </c:pt>
                <c:pt idx="553">
                  <c:v>2.0699999999999998</c:v>
                </c:pt>
                <c:pt idx="554">
                  <c:v>1.88</c:v>
                </c:pt>
                <c:pt idx="555">
                  <c:v>1.51</c:v>
                </c:pt>
                <c:pt idx="556">
                  <c:v>1.56</c:v>
                </c:pt>
                <c:pt idx="557">
                  <c:v>8.08</c:v>
                </c:pt>
                <c:pt idx="558">
                  <c:v>6.4</c:v>
                </c:pt>
                <c:pt idx="559">
                  <c:v>11.44</c:v>
                </c:pt>
                <c:pt idx="560">
                  <c:v>9.8800000000000008</c:v>
                </c:pt>
                <c:pt idx="561">
                  <c:v>8.4700000000000006</c:v>
                </c:pt>
                <c:pt idx="562">
                  <c:v>14</c:v>
                </c:pt>
                <c:pt idx="563">
                  <c:v>8.23</c:v>
                </c:pt>
                <c:pt idx="564">
                  <c:v>6.92</c:v>
                </c:pt>
                <c:pt idx="565">
                  <c:v>6.64</c:v>
                </c:pt>
                <c:pt idx="566">
                  <c:v>6.08</c:v>
                </c:pt>
                <c:pt idx="567">
                  <c:v>18.43</c:v>
                </c:pt>
                <c:pt idx="568">
                  <c:v>8.8700000000000028</c:v>
                </c:pt>
                <c:pt idx="569">
                  <c:v>9.36</c:v>
                </c:pt>
                <c:pt idx="570">
                  <c:v>8.82</c:v>
                </c:pt>
                <c:pt idx="571">
                  <c:v>12.35</c:v>
                </c:pt>
                <c:pt idx="572">
                  <c:v>3.21</c:v>
                </c:pt>
                <c:pt idx="573">
                  <c:v>10.58</c:v>
                </c:pt>
                <c:pt idx="574">
                  <c:v>8.86</c:v>
                </c:pt>
                <c:pt idx="575">
                  <c:v>8.83</c:v>
                </c:pt>
                <c:pt idx="576">
                  <c:v>15.36</c:v>
                </c:pt>
                <c:pt idx="577">
                  <c:v>14.93</c:v>
                </c:pt>
                <c:pt idx="578">
                  <c:v>8.69</c:v>
                </c:pt>
                <c:pt idx="579">
                  <c:v>7.13</c:v>
                </c:pt>
                <c:pt idx="580">
                  <c:v>10.54</c:v>
                </c:pt>
                <c:pt idx="581">
                  <c:v>15.84</c:v>
                </c:pt>
                <c:pt idx="582">
                  <c:v>8.33</c:v>
                </c:pt>
                <c:pt idx="583">
                  <c:v>4.3</c:v>
                </c:pt>
                <c:pt idx="584">
                  <c:v>6.91</c:v>
                </c:pt>
                <c:pt idx="585">
                  <c:v>4.8199999999999976</c:v>
                </c:pt>
                <c:pt idx="586">
                  <c:v>3.65</c:v>
                </c:pt>
                <c:pt idx="587">
                  <c:v>1.61</c:v>
                </c:pt>
                <c:pt idx="588">
                  <c:v>1.75</c:v>
                </c:pt>
                <c:pt idx="589">
                  <c:v>6.22</c:v>
                </c:pt>
                <c:pt idx="590">
                  <c:v>4.0999999999999996</c:v>
                </c:pt>
                <c:pt idx="591">
                  <c:v>3</c:v>
                </c:pt>
                <c:pt idx="592">
                  <c:v>1.49</c:v>
                </c:pt>
                <c:pt idx="593">
                  <c:v>1.63</c:v>
                </c:pt>
                <c:pt idx="594">
                  <c:v>7.25</c:v>
                </c:pt>
                <c:pt idx="595">
                  <c:v>5.1599999999999984</c:v>
                </c:pt>
                <c:pt idx="596">
                  <c:v>8.86</c:v>
                </c:pt>
                <c:pt idx="597">
                  <c:v>34.54</c:v>
                </c:pt>
                <c:pt idx="598">
                  <c:v>11.81</c:v>
                </c:pt>
                <c:pt idx="599">
                  <c:v>6.7</c:v>
                </c:pt>
                <c:pt idx="600">
                  <c:v>4.51</c:v>
                </c:pt>
                <c:pt idx="601">
                  <c:v>8.4</c:v>
                </c:pt>
                <c:pt idx="602">
                  <c:v>12.31</c:v>
                </c:pt>
                <c:pt idx="603">
                  <c:v>19.73</c:v>
                </c:pt>
                <c:pt idx="604">
                  <c:v>8.06</c:v>
                </c:pt>
                <c:pt idx="605">
                  <c:v>7.92</c:v>
                </c:pt>
                <c:pt idx="606">
                  <c:v>7.9</c:v>
                </c:pt>
                <c:pt idx="607">
                  <c:v>0.37</c:v>
                </c:pt>
                <c:pt idx="608">
                  <c:v>1.18</c:v>
                </c:pt>
                <c:pt idx="609">
                  <c:v>0.82</c:v>
                </c:pt>
                <c:pt idx="610">
                  <c:v>0.46</c:v>
                </c:pt>
                <c:pt idx="611">
                  <c:v>3.14</c:v>
                </c:pt>
                <c:pt idx="612">
                  <c:v>2.93</c:v>
                </c:pt>
                <c:pt idx="613">
                  <c:v>2.2400000000000002</c:v>
                </c:pt>
                <c:pt idx="614">
                  <c:v>4.01</c:v>
                </c:pt>
                <c:pt idx="615">
                  <c:v>3.62</c:v>
                </c:pt>
                <c:pt idx="616">
                  <c:v>0.33</c:v>
                </c:pt>
                <c:pt idx="617">
                  <c:v>3.11</c:v>
                </c:pt>
                <c:pt idx="618">
                  <c:v>2.72</c:v>
                </c:pt>
                <c:pt idx="619">
                  <c:v>5.89</c:v>
                </c:pt>
                <c:pt idx="620">
                  <c:v>4.29</c:v>
                </c:pt>
                <c:pt idx="621">
                  <c:v>3.7</c:v>
                </c:pt>
                <c:pt idx="622">
                  <c:v>4.2699999999999996</c:v>
                </c:pt>
                <c:pt idx="623">
                  <c:v>4.5199999999999996</c:v>
                </c:pt>
                <c:pt idx="624">
                  <c:v>3.61</c:v>
                </c:pt>
                <c:pt idx="625">
                  <c:v>2.46</c:v>
                </c:pt>
                <c:pt idx="626">
                  <c:v>4.2</c:v>
                </c:pt>
                <c:pt idx="627">
                  <c:v>5.17</c:v>
                </c:pt>
                <c:pt idx="628">
                  <c:v>8.7800000000000011</c:v>
                </c:pt>
                <c:pt idx="629">
                  <c:v>1.9</c:v>
                </c:pt>
                <c:pt idx="630">
                  <c:v>2.71</c:v>
                </c:pt>
                <c:pt idx="631">
                  <c:v>3.22</c:v>
                </c:pt>
                <c:pt idx="632">
                  <c:v>1.37</c:v>
                </c:pt>
                <c:pt idx="633">
                  <c:v>1.37</c:v>
                </c:pt>
                <c:pt idx="634">
                  <c:v>1.46</c:v>
                </c:pt>
                <c:pt idx="635">
                  <c:v>1.27</c:v>
                </c:pt>
                <c:pt idx="636">
                  <c:v>1.63</c:v>
                </c:pt>
                <c:pt idx="637">
                  <c:v>1.07</c:v>
                </c:pt>
                <c:pt idx="638">
                  <c:v>2.61</c:v>
                </c:pt>
                <c:pt idx="639">
                  <c:v>2.17</c:v>
                </c:pt>
                <c:pt idx="640">
                  <c:v>2.2000000000000002</c:v>
                </c:pt>
                <c:pt idx="641">
                  <c:v>2.12</c:v>
                </c:pt>
                <c:pt idx="642">
                  <c:v>2.17</c:v>
                </c:pt>
                <c:pt idx="643">
                  <c:v>1.46</c:v>
                </c:pt>
                <c:pt idx="644">
                  <c:v>1.56</c:v>
                </c:pt>
                <c:pt idx="645">
                  <c:v>0.22</c:v>
                </c:pt>
                <c:pt idx="646">
                  <c:v>0.88</c:v>
                </c:pt>
                <c:pt idx="647">
                  <c:v>3.25</c:v>
                </c:pt>
                <c:pt idx="648">
                  <c:v>3.2</c:v>
                </c:pt>
                <c:pt idx="649">
                  <c:v>2.66</c:v>
                </c:pt>
                <c:pt idx="650">
                  <c:v>9.42</c:v>
                </c:pt>
                <c:pt idx="651">
                  <c:v>5.17</c:v>
                </c:pt>
                <c:pt idx="652">
                  <c:v>2.85</c:v>
                </c:pt>
                <c:pt idx="653">
                  <c:v>2.4900000000000002</c:v>
                </c:pt>
                <c:pt idx="654">
                  <c:v>1.93</c:v>
                </c:pt>
                <c:pt idx="655">
                  <c:v>5.88</c:v>
                </c:pt>
                <c:pt idx="656">
                  <c:v>1.68</c:v>
                </c:pt>
                <c:pt idx="657">
                  <c:v>2.56</c:v>
                </c:pt>
                <c:pt idx="658">
                  <c:v>2.2000000000000002</c:v>
                </c:pt>
                <c:pt idx="659">
                  <c:v>1.17</c:v>
                </c:pt>
                <c:pt idx="660">
                  <c:v>1.05</c:v>
                </c:pt>
                <c:pt idx="661">
                  <c:v>4.54</c:v>
                </c:pt>
                <c:pt idx="662">
                  <c:v>6.59</c:v>
                </c:pt>
                <c:pt idx="663">
                  <c:v>5.49</c:v>
                </c:pt>
                <c:pt idx="664">
                  <c:v>4</c:v>
                </c:pt>
                <c:pt idx="665">
                  <c:v>1.56</c:v>
                </c:pt>
                <c:pt idx="666">
                  <c:v>1.85</c:v>
                </c:pt>
                <c:pt idx="667">
                  <c:v>6.1199999999999983</c:v>
                </c:pt>
                <c:pt idx="668">
                  <c:v>4.34</c:v>
                </c:pt>
                <c:pt idx="669">
                  <c:v>3.07</c:v>
                </c:pt>
                <c:pt idx="670">
                  <c:v>1.56</c:v>
                </c:pt>
                <c:pt idx="671">
                  <c:v>1.54</c:v>
                </c:pt>
                <c:pt idx="672">
                  <c:v>6.73</c:v>
                </c:pt>
                <c:pt idx="673">
                  <c:v>5.59</c:v>
                </c:pt>
                <c:pt idx="674">
                  <c:v>0.68</c:v>
                </c:pt>
                <c:pt idx="675">
                  <c:v>0.41</c:v>
                </c:pt>
                <c:pt idx="676">
                  <c:v>0.54</c:v>
                </c:pt>
                <c:pt idx="677">
                  <c:v>2.0499999999999998</c:v>
                </c:pt>
                <c:pt idx="678">
                  <c:v>0.78</c:v>
                </c:pt>
                <c:pt idx="679">
                  <c:v>0.8</c:v>
                </c:pt>
                <c:pt idx="680">
                  <c:v>0.66</c:v>
                </c:pt>
                <c:pt idx="681">
                  <c:v>0.83</c:v>
                </c:pt>
                <c:pt idx="682">
                  <c:v>0.71</c:v>
                </c:pt>
                <c:pt idx="683">
                  <c:v>0.4</c:v>
                </c:pt>
                <c:pt idx="684">
                  <c:v>0.54</c:v>
                </c:pt>
                <c:pt idx="685">
                  <c:v>0.38</c:v>
                </c:pt>
                <c:pt idx="686">
                  <c:v>10.35</c:v>
                </c:pt>
                <c:pt idx="687">
                  <c:v>8.65</c:v>
                </c:pt>
                <c:pt idx="688">
                  <c:v>8</c:v>
                </c:pt>
                <c:pt idx="689">
                  <c:v>15.25</c:v>
                </c:pt>
                <c:pt idx="690">
                  <c:v>15.32</c:v>
                </c:pt>
                <c:pt idx="691">
                  <c:v>8.94</c:v>
                </c:pt>
                <c:pt idx="692">
                  <c:v>7.1</c:v>
                </c:pt>
                <c:pt idx="693">
                  <c:v>10.19</c:v>
                </c:pt>
                <c:pt idx="694">
                  <c:v>15.28</c:v>
                </c:pt>
                <c:pt idx="695">
                  <c:v>8.18</c:v>
                </c:pt>
                <c:pt idx="696">
                  <c:v>1.43</c:v>
                </c:pt>
                <c:pt idx="697">
                  <c:v>10.62</c:v>
                </c:pt>
                <c:pt idx="698">
                  <c:v>39.18</c:v>
                </c:pt>
                <c:pt idx="699">
                  <c:v>12.66</c:v>
                </c:pt>
                <c:pt idx="700">
                  <c:v>6.83</c:v>
                </c:pt>
                <c:pt idx="701">
                  <c:v>5.17</c:v>
                </c:pt>
                <c:pt idx="702">
                  <c:v>8.44</c:v>
                </c:pt>
                <c:pt idx="703">
                  <c:v>15.55</c:v>
                </c:pt>
                <c:pt idx="704">
                  <c:v>22.51</c:v>
                </c:pt>
                <c:pt idx="705">
                  <c:v>7.8</c:v>
                </c:pt>
                <c:pt idx="706">
                  <c:v>7.8</c:v>
                </c:pt>
                <c:pt idx="707">
                  <c:v>8.2000000000000011</c:v>
                </c:pt>
                <c:pt idx="708">
                  <c:v>0.92</c:v>
                </c:pt>
                <c:pt idx="709">
                  <c:v>1.37</c:v>
                </c:pt>
                <c:pt idx="710">
                  <c:v>0.36</c:v>
                </c:pt>
                <c:pt idx="711">
                  <c:v>0.12</c:v>
                </c:pt>
                <c:pt idx="712">
                  <c:v>0.22</c:v>
                </c:pt>
                <c:pt idx="713">
                  <c:v>0.28999999999999998</c:v>
                </c:pt>
                <c:pt idx="714">
                  <c:v>0.55000000000000004</c:v>
                </c:pt>
                <c:pt idx="715">
                  <c:v>0.64</c:v>
                </c:pt>
                <c:pt idx="716">
                  <c:v>0.78</c:v>
                </c:pt>
                <c:pt idx="717">
                  <c:v>0.31</c:v>
                </c:pt>
                <c:pt idx="718">
                  <c:v>0.52</c:v>
                </c:pt>
                <c:pt idx="719">
                  <c:v>0.71</c:v>
                </c:pt>
                <c:pt idx="720">
                  <c:v>3.78</c:v>
                </c:pt>
                <c:pt idx="721">
                  <c:v>2.74</c:v>
                </c:pt>
                <c:pt idx="722">
                  <c:v>4.1099999999999994</c:v>
                </c:pt>
                <c:pt idx="723">
                  <c:v>6.56</c:v>
                </c:pt>
                <c:pt idx="724">
                  <c:v>7.48</c:v>
                </c:pt>
                <c:pt idx="725">
                  <c:v>1.86</c:v>
                </c:pt>
                <c:pt idx="726">
                  <c:v>2.5</c:v>
                </c:pt>
                <c:pt idx="727">
                  <c:v>3.35</c:v>
                </c:pt>
                <c:pt idx="728">
                  <c:v>1.77</c:v>
                </c:pt>
                <c:pt idx="729">
                  <c:v>1.37</c:v>
                </c:pt>
                <c:pt idx="730">
                  <c:v>1.42</c:v>
                </c:pt>
                <c:pt idx="731">
                  <c:v>1.23</c:v>
                </c:pt>
                <c:pt idx="732">
                  <c:v>2.1</c:v>
                </c:pt>
                <c:pt idx="733">
                  <c:v>0.99</c:v>
                </c:pt>
                <c:pt idx="734">
                  <c:v>2.29</c:v>
                </c:pt>
                <c:pt idx="735">
                  <c:v>2.0099999999999998</c:v>
                </c:pt>
                <c:pt idx="736">
                  <c:v>2.67</c:v>
                </c:pt>
                <c:pt idx="737">
                  <c:v>2.15</c:v>
                </c:pt>
                <c:pt idx="738">
                  <c:v>1.77</c:v>
                </c:pt>
                <c:pt idx="739">
                  <c:v>1.39</c:v>
                </c:pt>
                <c:pt idx="740">
                  <c:v>1.46</c:v>
                </c:pt>
                <c:pt idx="741">
                  <c:v>0.33</c:v>
                </c:pt>
                <c:pt idx="742">
                  <c:v>0.33</c:v>
                </c:pt>
                <c:pt idx="743">
                  <c:v>3.56</c:v>
                </c:pt>
                <c:pt idx="744">
                  <c:v>0.83</c:v>
                </c:pt>
                <c:pt idx="745">
                  <c:v>1.1200000000000001</c:v>
                </c:pt>
                <c:pt idx="746">
                  <c:v>10.64</c:v>
                </c:pt>
                <c:pt idx="747">
                  <c:v>9.27</c:v>
                </c:pt>
                <c:pt idx="748">
                  <c:v>8.32</c:v>
                </c:pt>
                <c:pt idx="749">
                  <c:v>14.47</c:v>
                </c:pt>
                <c:pt idx="750">
                  <c:v>12.79</c:v>
                </c:pt>
                <c:pt idx="751">
                  <c:v>9.08</c:v>
                </c:pt>
                <c:pt idx="752">
                  <c:v>6.64</c:v>
                </c:pt>
                <c:pt idx="753">
                  <c:v>10.050000000000001</c:v>
                </c:pt>
                <c:pt idx="754">
                  <c:v>16.079999999999991</c:v>
                </c:pt>
                <c:pt idx="755">
                  <c:v>8.39</c:v>
                </c:pt>
                <c:pt idx="756">
                  <c:v>1.34</c:v>
                </c:pt>
                <c:pt idx="757">
                  <c:v>22.77</c:v>
                </c:pt>
                <c:pt idx="758">
                  <c:v>9.25</c:v>
                </c:pt>
                <c:pt idx="759">
                  <c:v>37.67</c:v>
                </c:pt>
                <c:pt idx="760">
                  <c:v>12.13</c:v>
                </c:pt>
                <c:pt idx="761">
                  <c:v>6.83</c:v>
                </c:pt>
                <c:pt idx="762">
                  <c:v>4.5599999999999996</c:v>
                </c:pt>
                <c:pt idx="763">
                  <c:v>8.15</c:v>
                </c:pt>
                <c:pt idx="764">
                  <c:v>14.42</c:v>
                </c:pt>
                <c:pt idx="765">
                  <c:v>25.11</c:v>
                </c:pt>
                <c:pt idx="766">
                  <c:v>7.91</c:v>
                </c:pt>
                <c:pt idx="767">
                  <c:v>7.76</c:v>
                </c:pt>
                <c:pt idx="768">
                  <c:v>7.44</c:v>
                </c:pt>
                <c:pt idx="769">
                  <c:v>2.0499999999999998</c:v>
                </c:pt>
                <c:pt idx="770">
                  <c:v>0.59</c:v>
                </c:pt>
                <c:pt idx="771">
                  <c:v>0.88</c:v>
                </c:pt>
                <c:pt idx="772">
                  <c:v>0.86</c:v>
                </c:pt>
                <c:pt idx="773">
                  <c:v>0.56999999999999995</c:v>
                </c:pt>
                <c:pt idx="774">
                  <c:v>0.33</c:v>
                </c:pt>
                <c:pt idx="775">
                  <c:v>0.72</c:v>
                </c:pt>
                <c:pt idx="776">
                  <c:v>7.3599999999999977</c:v>
                </c:pt>
                <c:pt idx="777">
                  <c:v>5.85</c:v>
                </c:pt>
                <c:pt idx="778">
                  <c:v>9.44</c:v>
                </c:pt>
                <c:pt idx="779">
                  <c:v>9.81</c:v>
                </c:pt>
                <c:pt idx="780">
                  <c:v>8.1300000000000008</c:v>
                </c:pt>
                <c:pt idx="781">
                  <c:v>8.15</c:v>
                </c:pt>
                <c:pt idx="782">
                  <c:v>7.22</c:v>
                </c:pt>
                <c:pt idx="783">
                  <c:v>6.17</c:v>
                </c:pt>
                <c:pt idx="784">
                  <c:v>5.89</c:v>
                </c:pt>
                <c:pt idx="785">
                  <c:v>5.3599999999999977</c:v>
                </c:pt>
                <c:pt idx="786">
                  <c:v>12.21</c:v>
                </c:pt>
                <c:pt idx="787">
                  <c:v>8.11</c:v>
                </c:pt>
                <c:pt idx="788">
                  <c:v>8.1300000000000008</c:v>
                </c:pt>
                <c:pt idx="789">
                  <c:v>8.620000000000001</c:v>
                </c:pt>
                <c:pt idx="790">
                  <c:v>9.2000000000000011</c:v>
                </c:pt>
                <c:pt idx="791">
                  <c:v>1.53</c:v>
                </c:pt>
                <c:pt idx="792">
                  <c:v>1.69</c:v>
                </c:pt>
                <c:pt idx="793">
                  <c:v>0.54</c:v>
                </c:pt>
                <c:pt idx="794">
                  <c:v>0.56000000000000005</c:v>
                </c:pt>
                <c:pt idx="795">
                  <c:v>10.34</c:v>
                </c:pt>
                <c:pt idx="796">
                  <c:v>8.81</c:v>
                </c:pt>
                <c:pt idx="797">
                  <c:v>8.4600000000000026</c:v>
                </c:pt>
                <c:pt idx="798">
                  <c:v>14.52</c:v>
                </c:pt>
                <c:pt idx="799">
                  <c:v>15.42</c:v>
                </c:pt>
                <c:pt idx="800">
                  <c:v>8.620000000000001</c:v>
                </c:pt>
                <c:pt idx="801">
                  <c:v>7.07</c:v>
                </c:pt>
                <c:pt idx="802">
                  <c:v>10.199999999999999</c:v>
                </c:pt>
                <c:pt idx="803">
                  <c:v>14.78</c:v>
                </c:pt>
                <c:pt idx="804">
                  <c:v>8.18</c:v>
                </c:pt>
                <c:pt idx="805">
                  <c:v>0.68</c:v>
                </c:pt>
                <c:pt idx="806">
                  <c:v>1.32</c:v>
                </c:pt>
                <c:pt idx="807">
                  <c:v>9.4499999999999993</c:v>
                </c:pt>
                <c:pt idx="808">
                  <c:v>42.91</c:v>
                </c:pt>
                <c:pt idx="809">
                  <c:v>12.34</c:v>
                </c:pt>
                <c:pt idx="810">
                  <c:v>6.67</c:v>
                </c:pt>
                <c:pt idx="811">
                  <c:v>4.58</c:v>
                </c:pt>
                <c:pt idx="812">
                  <c:v>8.18</c:v>
                </c:pt>
                <c:pt idx="813">
                  <c:v>13.79</c:v>
                </c:pt>
                <c:pt idx="814">
                  <c:v>19.739999999999991</c:v>
                </c:pt>
                <c:pt idx="815">
                  <c:v>7.68</c:v>
                </c:pt>
                <c:pt idx="816">
                  <c:v>7.87</c:v>
                </c:pt>
                <c:pt idx="817">
                  <c:v>7.38</c:v>
                </c:pt>
                <c:pt idx="818">
                  <c:v>1.32</c:v>
                </c:pt>
                <c:pt idx="819">
                  <c:v>0.66</c:v>
                </c:pt>
                <c:pt idx="820">
                  <c:v>0.75</c:v>
                </c:pt>
                <c:pt idx="821">
                  <c:v>0.7</c:v>
                </c:pt>
                <c:pt idx="822">
                  <c:v>0.75</c:v>
                </c:pt>
                <c:pt idx="823">
                  <c:v>0.11</c:v>
                </c:pt>
                <c:pt idx="824">
                  <c:v>6.45</c:v>
                </c:pt>
                <c:pt idx="825">
                  <c:v>5.52</c:v>
                </c:pt>
                <c:pt idx="826">
                  <c:v>8.92</c:v>
                </c:pt>
                <c:pt idx="827">
                  <c:v>9.69</c:v>
                </c:pt>
                <c:pt idx="828">
                  <c:v>8.08</c:v>
                </c:pt>
                <c:pt idx="829">
                  <c:v>12.85</c:v>
                </c:pt>
                <c:pt idx="830">
                  <c:v>7.1499999999999986</c:v>
                </c:pt>
                <c:pt idx="831">
                  <c:v>6.1099999999999994</c:v>
                </c:pt>
                <c:pt idx="832">
                  <c:v>5.97</c:v>
                </c:pt>
                <c:pt idx="833">
                  <c:v>5.49</c:v>
                </c:pt>
                <c:pt idx="834">
                  <c:v>11.92</c:v>
                </c:pt>
                <c:pt idx="835">
                  <c:v>7.95</c:v>
                </c:pt>
                <c:pt idx="836">
                  <c:v>8.99</c:v>
                </c:pt>
                <c:pt idx="837">
                  <c:v>7.79</c:v>
                </c:pt>
                <c:pt idx="838">
                  <c:v>8.4</c:v>
                </c:pt>
                <c:pt idx="839">
                  <c:v>0.23</c:v>
                </c:pt>
                <c:pt idx="840">
                  <c:v>0.23</c:v>
                </c:pt>
                <c:pt idx="841">
                  <c:v>0.23</c:v>
                </c:pt>
                <c:pt idx="842">
                  <c:v>0.23</c:v>
                </c:pt>
                <c:pt idx="843">
                  <c:v>11.28</c:v>
                </c:pt>
                <c:pt idx="844">
                  <c:v>9.4700000000000006</c:v>
                </c:pt>
                <c:pt idx="845">
                  <c:v>9.3000000000000007</c:v>
                </c:pt>
                <c:pt idx="846">
                  <c:v>16.559999999999999</c:v>
                </c:pt>
                <c:pt idx="847">
                  <c:v>16.89</c:v>
                </c:pt>
                <c:pt idx="848">
                  <c:v>9.4700000000000006</c:v>
                </c:pt>
                <c:pt idx="849">
                  <c:v>7.73</c:v>
                </c:pt>
                <c:pt idx="850">
                  <c:v>11.55</c:v>
                </c:pt>
                <c:pt idx="851">
                  <c:v>16.54</c:v>
                </c:pt>
                <c:pt idx="852">
                  <c:v>8.89</c:v>
                </c:pt>
                <c:pt idx="853">
                  <c:v>0.51</c:v>
                </c:pt>
                <c:pt idx="854">
                  <c:v>9.58</c:v>
                </c:pt>
                <c:pt idx="855">
                  <c:v>34.82</c:v>
                </c:pt>
                <c:pt idx="856">
                  <c:v>14.87</c:v>
                </c:pt>
                <c:pt idx="857">
                  <c:v>6.8199999999999976</c:v>
                </c:pt>
                <c:pt idx="858">
                  <c:v>4.8499999999999996</c:v>
                </c:pt>
                <c:pt idx="859">
                  <c:v>9.07</c:v>
                </c:pt>
                <c:pt idx="860">
                  <c:v>12.92</c:v>
                </c:pt>
                <c:pt idx="861">
                  <c:v>19.440000000000001</c:v>
                </c:pt>
                <c:pt idx="862">
                  <c:v>7.24</c:v>
                </c:pt>
                <c:pt idx="863">
                  <c:v>7.8199999999999976</c:v>
                </c:pt>
                <c:pt idx="864">
                  <c:v>7.42</c:v>
                </c:pt>
                <c:pt idx="865">
                  <c:v>0.16</c:v>
                </c:pt>
                <c:pt idx="866">
                  <c:v>0.21</c:v>
                </c:pt>
                <c:pt idx="867">
                  <c:v>1.02</c:v>
                </c:pt>
                <c:pt idx="868">
                  <c:v>0.97</c:v>
                </c:pt>
                <c:pt idx="869">
                  <c:v>1.0900000000000001</c:v>
                </c:pt>
                <c:pt idx="870">
                  <c:v>0.75</c:v>
                </c:pt>
                <c:pt idx="871">
                  <c:v>3.17</c:v>
                </c:pt>
                <c:pt idx="872">
                  <c:v>6.48</c:v>
                </c:pt>
                <c:pt idx="873">
                  <c:v>1.32</c:v>
                </c:pt>
                <c:pt idx="874">
                  <c:v>4.54</c:v>
                </c:pt>
                <c:pt idx="875">
                  <c:v>8.9600000000000026</c:v>
                </c:pt>
                <c:pt idx="876">
                  <c:v>4.7699999999999987</c:v>
                </c:pt>
                <c:pt idx="877">
                  <c:v>3.42</c:v>
                </c:pt>
                <c:pt idx="878">
                  <c:v>0.68</c:v>
                </c:pt>
                <c:pt idx="879">
                  <c:v>1.5</c:v>
                </c:pt>
                <c:pt idx="880">
                  <c:v>0.93</c:v>
                </c:pt>
                <c:pt idx="881">
                  <c:v>7.48</c:v>
                </c:pt>
                <c:pt idx="882">
                  <c:v>6.3199999999999976</c:v>
                </c:pt>
                <c:pt idx="883">
                  <c:v>10.050000000000001</c:v>
                </c:pt>
                <c:pt idx="884">
                  <c:v>10.37</c:v>
                </c:pt>
                <c:pt idx="885">
                  <c:v>8.2800000000000011</c:v>
                </c:pt>
                <c:pt idx="886">
                  <c:v>12.43</c:v>
                </c:pt>
                <c:pt idx="887">
                  <c:v>8.34</c:v>
                </c:pt>
                <c:pt idx="888">
                  <c:v>6.7</c:v>
                </c:pt>
                <c:pt idx="889">
                  <c:v>6.38</c:v>
                </c:pt>
                <c:pt idx="890">
                  <c:v>5.75</c:v>
                </c:pt>
                <c:pt idx="891">
                  <c:v>12.45</c:v>
                </c:pt>
                <c:pt idx="892">
                  <c:v>8.620000000000001</c:v>
                </c:pt>
                <c:pt idx="893">
                  <c:v>9.51</c:v>
                </c:pt>
                <c:pt idx="894">
                  <c:v>9.2800000000000011</c:v>
                </c:pt>
                <c:pt idx="895">
                  <c:v>9.69</c:v>
                </c:pt>
                <c:pt idx="896">
                  <c:v>0.84</c:v>
                </c:pt>
                <c:pt idx="897">
                  <c:v>1.29</c:v>
                </c:pt>
                <c:pt idx="898">
                  <c:v>1.17</c:v>
                </c:pt>
                <c:pt idx="899">
                  <c:v>10.79</c:v>
                </c:pt>
                <c:pt idx="900">
                  <c:v>9.34</c:v>
                </c:pt>
                <c:pt idx="901">
                  <c:v>8.59</c:v>
                </c:pt>
                <c:pt idx="902">
                  <c:v>15.56</c:v>
                </c:pt>
                <c:pt idx="903">
                  <c:v>16.190000000000001</c:v>
                </c:pt>
                <c:pt idx="904">
                  <c:v>9.4499999999999993</c:v>
                </c:pt>
                <c:pt idx="905">
                  <c:v>7.3</c:v>
                </c:pt>
                <c:pt idx="906">
                  <c:v>10.81</c:v>
                </c:pt>
                <c:pt idx="907">
                  <c:v>15.49</c:v>
                </c:pt>
                <c:pt idx="908">
                  <c:v>8.49</c:v>
                </c:pt>
                <c:pt idx="909">
                  <c:v>1.33</c:v>
                </c:pt>
                <c:pt idx="910">
                  <c:v>8.73</c:v>
                </c:pt>
                <c:pt idx="911">
                  <c:v>33.56</c:v>
                </c:pt>
                <c:pt idx="912">
                  <c:v>16.079999999999991</c:v>
                </c:pt>
                <c:pt idx="913">
                  <c:v>6.88</c:v>
                </c:pt>
                <c:pt idx="914">
                  <c:v>4.7699999999999987</c:v>
                </c:pt>
                <c:pt idx="915">
                  <c:v>8.4700000000000006</c:v>
                </c:pt>
                <c:pt idx="916">
                  <c:v>12.54</c:v>
                </c:pt>
                <c:pt idx="917">
                  <c:v>18.809999999999999</c:v>
                </c:pt>
                <c:pt idx="918">
                  <c:v>7.23</c:v>
                </c:pt>
                <c:pt idx="919">
                  <c:v>7.79</c:v>
                </c:pt>
                <c:pt idx="920">
                  <c:v>7.6499999999999977</c:v>
                </c:pt>
                <c:pt idx="921">
                  <c:v>0.56000000000000005</c:v>
                </c:pt>
                <c:pt idx="922">
                  <c:v>0.47</c:v>
                </c:pt>
                <c:pt idx="923">
                  <c:v>0.64</c:v>
                </c:pt>
                <c:pt idx="924">
                  <c:v>1.07</c:v>
                </c:pt>
                <c:pt idx="925">
                  <c:v>1.0900000000000001</c:v>
                </c:pt>
                <c:pt idx="926">
                  <c:v>1.4</c:v>
                </c:pt>
                <c:pt idx="927">
                  <c:v>0.56999999999999995</c:v>
                </c:pt>
                <c:pt idx="928">
                  <c:v>0.88</c:v>
                </c:pt>
                <c:pt idx="929">
                  <c:v>1.1000000000000001</c:v>
                </c:pt>
                <c:pt idx="930">
                  <c:v>0.9</c:v>
                </c:pt>
                <c:pt idx="931">
                  <c:v>1.05</c:v>
                </c:pt>
                <c:pt idx="932">
                  <c:v>3.61</c:v>
                </c:pt>
                <c:pt idx="933">
                  <c:v>2.54</c:v>
                </c:pt>
                <c:pt idx="934">
                  <c:v>4.0199999999999996</c:v>
                </c:pt>
                <c:pt idx="935">
                  <c:v>7.28</c:v>
                </c:pt>
                <c:pt idx="936">
                  <c:v>9.5400000000000009</c:v>
                </c:pt>
                <c:pt idx="937">
                  <c:v>1.73</c:v>
                </c:pt>
                <c:pt idx="938">
                  <c:v>2.79</c:v>
                </c:pt>
                <c:pt idx="939">
                  <c:v>3.49</c:v>
                </c:pt>
                <c:pt idx="940">
                  <c:v>1.76</c:v>
                </c:pt>
                <c:pt idx="941">
                  <c:v>1.43</c:v>
                </c:pt>
                <c:pt idx="942">
                  <c:v>1.33</c:v>
                </c:pt>
                <c:pt idx="943">
                  <c:v>1.08</c:v>
                </c:pt>
                <c:pt idx="944">
                  <c:v>1.83</c:v>
                </c:pt>
                <c:pt idx="945">
                  <c:v>1</c:v>
                </c:pt>
                <c:pt idx="946">
                  <c:v>2.2799999999999998</c:v>
                </c:pt>
                <c:pt idx="947">
                  <c:v>1.91</c:v>
                </c:pt>
                <c:pt idx="948">
                  <c:v>2.33</c:v>
                </c:pt>
                <c:pt idx="949">
                  <c:v>2.21</c:v>
                </c:pt>
                <c:pt idx="950">
                  <c:v>2.0299999999999998</c:v>
                </c:pt>
                <c:pt idx="951">
                  <c:v>1.38</c:v>
                </c:pt>
                <c:pt idx="952">
                  <c:v>1.56</c:v>
                </c:pt>
                <c:pt idx="953">
                  <c:v>0.93</c:v>
                </c:pt>
                <c:pt idx="954">
                  <c:v>0.85</c:v>
                </c:pt>
                <c:pt idx="955">
                  <c:v>3.19</c:v>
                </c:pt>
                <c:pt idx="956">
                  <c:v>3.15</c:v>
                </c:pt>
                <c:pt idx="957">
                  <c:v>2.75</c:v>
                </c:pt>
                <c:pt idx="958">
                  <c:v>10.35</c:v>
                </c:pt>
                <c:pt idx="959">
                  <c:v>5.4</c:v>
                </c:pt>
                <c:pt idx="960">
                  <c:v>2.75</c:v>
                </c:pt>
                <c:pt idx="961">
                  <c:v>2.65</c:v>
                </c:pt>
                <c:pt idx="962">
                  <c:v>2.3199999999999981</c:v>
                </c:pt>
                <c:pt idx="963">
                  <c:v>5.43</c:v>
                </c:pt>
                <c:pt idx="964">
                  <c:v>1.79</c:v>
                </c:pt>
                <c:pt idx="965">
                  <c:v>2.77</c:v>
                </c:pt>
                <c:pt idx="966">
                  <c:v>5.78</c:v>
                </c:pt>
                <c:pt idx="967">
                  <c:v>1.1200000000000001</c:v>
                </c:pt>
                <c:pt idx="968">
                  <c:v>0.55000000000000004</c:v>
                </c:pt>
                <c:pt idx="969">
                  <c:v>0.72</c:v>
                </c:pt>
                <c:pt idx="970">
                  <c:v>4.6099999999999977</c:v>
                </c:pt>
                <c:pt idx="971">
                  <c:v>6.6</c:v>
                </c:pt>
                <c:pt idx="972">
                  <c:v>4.78</c:v>
                </c:pt>
                <c:pt idx="973">
                  <c:v>3.87</c:v>
                </c:pt>
                <c:pt idx="974">
                  <c:v>1.65</c:v>
                </c:pt>
                <c:pt idx="975">
                  <c:v>2.15</c:v>
                </c:pt>
                <c:pt idx="976">
                  <c:v>5.76</c:v>
                </c:pt>
                <c:pt idx="977">
                  <c:v>4.2300000000000004</c:v>
                </c:pt>
                <c:pt idx="978">
                  <c:v>3.08</c:v>
                </c:pt>
                <c:pt idx="979">
                  <c:v>1.58</c:v>
                </c:pt>
                <c:pt idx="980">
                  <c:v>1.55</c:v>
                </c:pt>
                <c:pt idx="981">
                  <c:v>6.1199999999999983</c:v>
                </c:pt>
                <c:pt idx="982">
                  <c:v>5.57</c:v>
                </c:pt>
                <c:pt idx="983">
                  <c:v>9.5400000000000009</c:v>
                </c:pt>
                <c:pt idx="984">
                  <c:v>40.42</c:v>
                </c:pt>
                <c:pt idx="985">
                  <c:v>12.65</c:v>
                </c:pt>
                <c:pt idx="986">
                  <c:v>6.92</c:v>
                </c:pt>
                <c:pt idx="987">
                  <c:v>4.8</c:v>
                </c:pt>
                <c:pt idx="988">
                  <c:v>8.89</c:v>
                </c:pt>
                <c:pt idx="989">
                  <c:v>15.23</c:v>
                </c:pt>
                <c:pt idx="990">
                  <c:v>24.51</c:v>
                </c:pt>
                <c:pt idx="991">
                  <c:v>7.64</c:v>
                </c:pt>
                <c:pt idx="992">
                  <c:v>8.2200000000000006</c:v>
                </c:pt>
                <c:pt idx="993">
                  <c:v>8.0500000000000007</c:v>
                </c:pt>
                <c:pt idx="994">
                  <c:v>2.77</c:v>
                </c:pt>
                <c:pt idx="995">
                  <c:v>1.9</c:v>
                </c:pt>
                <c:pt idx="996">
                  <c:v>2.36</c:v>
                </c:pt>
                <c:pt idx="997">
                  <c:v>1.41</c:v>
                </c:pt>
                <c:pt idx="998">
                  <c:v>2.29</c:v>
                </c:pt>
                <c:pt idx="999">
                  <c:v>0.37</c:v>
                </c:pt>
                <c:pt idx="1000">
                  <c:v>0.37</c:v>
                </c:pt>
                <c:pt idx="1001">
                  <c:v>7.23</c:v>
                </c:pt>
                <c:pt idx="1002">
                  <c:v>6.14</c:v>
                </c:pt>
                <c:pt idx="1003">
                  <c:v>9.86</c:v>
                </c:pt>
                <c:pt idx="1004">
                  <c:v>10.39</c:v>
                </c:pt>
                <c:pt idx="1005">
                  <c:v>8.52</c:v>
                </c:pt>
                <c:pt idx="1006">
                  <c:v>11.53</c:v>
                </c:pt>
                <c:pt idx="1007">
                  <c:v>7.6499999999999977</c:v>
                </c:pt>
                <c:pt idx="1008">
                  <c:v>6.38</c:v>
                </c:pt>
                <c:pt idx="1009">
                  <c:v>6.14</c:v>
                </c:pt>
                <c:pt idx="1010">
                  <c:v>5.52</c:v>
                </c:pt>
                <c:pt idx="1011">
                  <c:v>12.15</c:v>
                </c:pt>
                <c:pt idx="1012">
                  <c:v>8.85</c:v>
                </c:pt>
                <c:pt idx="1013">
                  <c:v>9.61</c:v>
                </c:pt>
                <c:pt idx="1014">
                  <c:v>8.99</c:v>
                </c:pt>
                <c:pt idx="1015">
                  <c:v>11.23</c:v>
                </c:pt>
                <c:pt idx="1016">
                  <c:v>1.32</c:v>
                </c:pt>
                <c:pt idx="1017">
                  <c:v>0.65</c:v>
                </c:pt>
                <c:pt idx="1018">
                  <c:v>10.42</c:v>
                </c:pt>
                <c:pt idx="1019">
                  <c:v>8.86</c:v>
                </c:pt>
                <c:pt idx="1020">
                  <c:v>8.26</c:v>
                </c:pt>
                <c:pt idx="1021">
                  <c:v>15.94</c:v>
                </c:pt>
                <c:pt idx="1022">
                  <c:v>15.26</c:v>
                </c:pt>
                <c:pt idx="1023">
                  <c:v>8.98</c:v>
                </c:pt>
                <c:pt idx="1024">
                  <c:v>6.89</c:v>
                </c:pt>
                <c:pt idx="1025">
                  <c:v>10.18</c:v>
                </c:pt>
                <c:pt idx="1026">
                  <c:v>15.72</c:v>
                </c:pt>
                <c:pt idx="1027">
                  <c:v>8.35</c:v>
                </c:pt>
                <c:pt idx="1028">
                  <c:v>1.73</c:v>
                </c:pt>
                <c:pt idx="1029">
                  <c:v>0.41</c:v>
                </c:pt>
                <c:pt idx="1030">
                  <c:v>0.37</c:v>
                </c:pt>
                <c:pt idx="1031">
                  <c:v>0.37</c:v>
                </c:pt>
                <c:pt idx="1032">
                  <c:v>0.46</c:v>
                </c:pt>
                <c:pt idx="1033">
                  <c:v>0.72</c:v>
                </c:pt>
                <c:pt idx="1034">
                  <c:v>3.59</c:v>
                </c:pt>
                <c:pt idx="1035">
                  <c:v>3.03</c:v>
                </c:pt>
                <c:pt idx="1036">
                  <c:v>4.24</c:v>
                </c:pt>
                <c:pt idx="1037">
                  <c:v>3.52</c:v>
                </c:pt>
                <c:pt idx="1038">
                  <c:v>2.1</c:v>
                </c:pt>
                <c:pt idx="1039">
                  <c:v>2.87</c:v>
                </c:pt>
                <c:pt idx="1040">
                  <c:v>0.26</c:v>
                </c:pt>
                <c:pt idx="1041">
                  <c:v>7.5</c:v>
                </c:pt>
                <c:pt idx="1042">
                  <c:v>1.28</c:v>
                </c:pt>
                <c:pt idx="1043">
                  <c:v>4.57</c:v>
                </c:pt>
                <c:pt idx="1044">
                  <c:v>8.48</c:v>
                </c:pt>
                <c:pt idx="1045">
                  <c:v>4.71</c:v>
                </c:pt>
                <c:pt idx="1046">
                  <c:v>2.2799999999999998</c:v>
                </c:pt>
                <c:pt idx="1047">
                  <c:v>0.3</c:v>
                </c:pt>
                <c:pt idx="1048">
                  <c:v>1</c:v>
                </c:pt>
                <c:pt idx="1049">
                  <c:v>3.61</c:v>
                </c:pt>
                <c:pt idx="1050">
                  <c:v>2.63</c:v>
                </c:pt>
                <c:pt idx="1051">
                  <c:v>3.29</c:v>
                </c:pt>
                <c:pt idx="1052">
                  <c:v>5.96</c:v>
                </c:pt>
                <c:pt idx="1053">
                  <c:v>7.46</c:v>
                </c:pt>
                <c:pt idx="1054">
                  <c:v>1.96</c:v>
                </c:pt>
                <c:pt idx="1055">
                  <c:v>3.36</c:v>
                </c:pt>
                <c:pt idx="1056">
                  <c:v>3.75</c:v>
                </c:pt>
                <c:pt idx="1057">
                  <c:v>1.91</c:v>
                </c:pt>
                <c:pt idx="1058">
                  <c:v>1.37</c:v>
                </c:pt>
                <c:pt idx="1059">
                  <c:v>1.33</c:v>
                </c:pt>
                <c:pt idx="1060">
                  <c:v>1.26</c:v>
                </c:pt>
                <c:pt idx="1061">
                  <c:v>2.82</c:v>
                </c:pt>
                <c:pt idx="1062">
                  <c:v>0.91</c:v>
                </c:pt>
                <c:pt idx="1063">
                  <c:v>2.4</c:v>
                </c:pt>
                <c:pt idx="1064">
                  <c:v>2.12</c:v>
                </c:pt>
                <c:pt idx="1065">
                  <c:v>2.35</c:v>
                </c:pt>
                <c:pt idx="1066">
                  <c:v>1.98</c:v>
                </c:pt>
                <c:pt idx="1067">
                  <c:v>1.79</c:v>
                </c:pt>
                <c:pt idx="1068">
                  <c:v>1.44</c:v>
                </c:pt>
                <c:pt idx="1069">
                  <c:v>1.49</c:v>
                </c:pt>
                <c:pt idx="1070">
                  <c:v>0.54</c:v>
                </c:pt>
                <c:pt idx="1071">
                  <c:v>0.54</c:v>
                </c:pt>
                <c:pt idx="1072">
                  <c:v>3.38</c:v>
                </c:pt>
                <c:pt idx="1073">
                  <c:v>3.11</c:v>
                </c:pt>
                <c:pt idx="1074">
                  <c:v>2.5499999999999998</c:v>
                </c:pt>
                <c:pt idx="1075">
                  <c:v>9.75</c:v>
                </c:pt>
                <c:pt idx="1076">
                  <c:v>4.88</c:v>
                </c:pt>
                <c:pt idx="1077">
                  <c:v>2.74</c:v>
                </c:pt>
                <c:pt idx="1078">
                  <c:v>2.5</c:v>
                </c:pt>
                <c:pt idx="1079">
                  <c:v>1.86</c:v>
                </c:pt>
                <c:pt idx="1080">
                  <c:v>10.93</c:v>
                </c:pt>
                <c:pt idx="1081">
                  <c:v>1.47</c:v>
                </c:pt>
                <c:pt idx="1082">
                  <c:v>2.2999999999999998</c:v>
                </c:pt>
                <c:pt idx="1083">
                  <c:v>2.0299999999999998</c:v>
                </c:pt>
                <c:pt idx="1084">
                  <c:v>0.71</c:v>
                </c:pt>
                <c:pt idx="1085">
                  <c:v>0.71</c:v>
                </c:pt>
                <c:pt idx="1086">
                  <c:v>4.04</c:v>
                </c:pt>
                <c:pt idx="1087">
                  <c:v>6.1499999999999986</c:v>
                </c:pt>
                <c:pt idx="1088">
                  <c:v>4.5599999999999996</c:v>
                </c:pt>
                <c:pt idx="1089">
                  <c:v>3.55</c:v>
                </c:pt>
                <c:pt idx="1090">
                  <c:v>1.49</c:v>
                </c:pt>
                <c:pt idx="1091">
                  <c:v>2.65</c:v>
                </c:pt>
                <c:pt idx="1092">
                  <c:v>5.83</c:v>
                </c:pt>
                <c:pt idx="1093">
                  <c:v>4.0199999999999996</c:v>
                </c:pt>
                <c:pt idx="1094">
                  <c:v>2.79</c:v>
                </c:pt>
                <c:pt idx="1095">
                  <c:v>1.47</c:v>
                </c:pt>
                <c:pt idx="1096">
                  <c:v>1.57</c:v>
                </c:pt>
                <c:pt idx="1097">
                  <c:v>6.37</c:v>
                </c:pt>
                <c:pt idx="1098">
                  <c:v>5.54</c:v>
                </c:pt>
                <c:pt idx="1099">
                  <c:v>1.25</c:v>
                </c:pt>
                <c:pt idx="1100">
                  <c:v>0.81</c:v>
                </c:pt>
                <c:pt idx="1101">
                  <c:v>0.24</c:v>
                </c:pt>
                <c:pt idx="1102">
                  <c:v>0.87</c:v>
                </c:pt>
                <c:pt idx="1103">
                  <c:v>1.3</c:v>
                </c:pt>
                <c:pt idx="1104">
                  <c:v>0.57999999999999996</c:v>
                </c:pt>
                <c:pt idx="1105">
                  <c:v>1.95</c:v>
                </c:pt>
                <c:pt idx="1106">
                  <c:v>1.99</c:v>
                </c:pt>
                <c:pt idx="1107">
                  <c:v>0.57999999999999996</c:v>
                </c:pt>
                <c:pt idx="1108">
                  <c:v>0.53</c:v>
                </c:pt>
                <c:pt idx="1109">
                  <c:v>3.65</c:v>
                </c:pt>
                <c:pt idx="1110">
                  <c:v>2.69</c:v>
                </c:pt>
                <c:pt idx="1111">
                  <c:v>4.2699999999999996</c:v>
                </c:pt>
                <c:pt idx="1112">
                  <c:v>6</c:v>
                </c:pt>
                <c:pt idx="1113">
                  <c:v>9.5500000000000007</c:v>
                </c:pt>
                <c:pt idx="1114">
                  <c:v>1.97</c:v>
                </c:pt>
                <c:pt idx="1115">
                  <c:v>3.1</c:v>
                </c:pt>
                <c:pt idx="1116">
                  <c:v>3.41</c:v>
                </c:pt>
                <c:pt idx="1117">
                  <c:v>2.16</c:v>
                </c:pt>
                <c:pt idx="1118">
                  <c:v>1.44</c:v>
                </c:pt>
                <c:pt idx="1119">
                  <c:v>1.58</c:v>
                </c:pt>
                <c:pt idx="1120">
                  <c:v>1.18</c:v>
                </c:pt>
                <c:pt idx="1121">
                  <c:v>3.1</c:v>
                </c:pt>
                <c:pt idx="1122">
                  <c:v>0.98</c:v>
                </c:pt>
                <c:pt idx="1123">
                  <c:v>3.07</c:v>
                </c:pt>
                <c:pt idx="1124">
                  <c:v>1.97</c:v>
                </c:pt>
                <c:pt idx="1125">
                  <c:v>2.35</c:v>
                </c:pt>
                <c:pt idx="1126">
                  <c:v>2.14</c:v>
                </c:pt>
                <c:pt idx="1127">
                  <c:v>1.94</c:v>
                </c:pt>
                <c:pt idx="1128">
                  <c:v>1.49</c:v>
                </c:pt>
                <c:pt idx="1129">
                  <c:v>1.54</c:v>
                </c:pt>
                <c:pt idx="1130">
                  <c:v>0.72</c:v>
                </c:pt>
                <c:pt idx="1131">
                  <c:v>1.39</c:v>
                </c:pt>
                <c:pt idx="1132">
                  <c:v>3.19</c:v>
                </c:pt>
                <c:pt idx="1133">
                  <c:v>2.92</c:v>
                </c:pt>
                <c:pt idx="1134">
                  <c:v>2.98</c:v>
                </c:pt>
                <c:pt idx="1135">
                  <c:v>8.93</c:v>
                </c:pt>
                <c:pt idx="1136">
                  <c:v>4.79</c:v>
                </c:pt>
                <c:pt idx="1137">
                  <c:v>2.71</c:v>
                </c:pt>
                <c:pt idx="1138">
                  <c:v>2.4900000000000002</c:v>
                </c:pt>
                <c:pt idx="1139">
                  <c:v>1.88</c:v>
                </c:pt>
                <c:pt idx="1140">
                  <c:v>5.51</c:v>
                </c:pt>
                <c:pt idx="1141">
                  <c:v>1.58</c:v>
                </c:pt>
                <c:pt idx="1142">
                  <c:v>2.5099999999999998</c:v>
                </c:pt>
                <c:pt idx="1143">
                  <c:v>1.94</c:v>
                </c:pt>
                <c:pt idx="1144">
                  <c:v>1.69</c:v>
                </c:pt>
                <c:pt idx="1145">
                  <c:v>0.99</c:v>
                </c:pt>
                <c:pt idx="1146">
                  <c:v>0.47</c:v>
                </c:pt>
                <c:pt idx="1147">
                  <c:v>0.9</c:v>
                </c:pt>
                <c:pt idx="1148">
                  <c:v>4</c:v>
                </c:pt>
                <c:pt idx="1149">
                  <c:v>6.03</c:v>
                </c:pt>
                <c:pt idx="1150">
                  <c:v>4.95</c:v>
                </c:pt>
                <c:pt idx="1151">
                  <c:v>3.95</c:v>
                </c:pt>
                <c:pt idx="1152">
                  <c:v>1.51</c:v>
                </c:pt>
                <c:pt idx="1153">
                  <c:v>1.92</c:v>
                </c:pt>
                <c:pt idx="1154">
                  <c:v>5.63</c:v>
                </c:pt>
                <c:pt idx="1155">
                  <c:v>4.38</c:v>
                </c:pt>
                <c:pt idx="1156">
                  <c:v>2.89</c:v>
                </c:pt>
                <c:pt idx="1157">
                  <c:v>1.56</c:v>
                </c:pt>
                <c:pt idx="1158">
                  <c:v>1.49</c:v>
                </c:pt>
                <c:pt idx="1159">
                  <c:v>6.1</c:v>
                </c:pt>
                <c:pt idx="1160">
                  <c:v>5.85</c:v>
                </c:pt>
                <c:pt idx="1161">
                  <c:v>0.09</c:v>
                </c:pt>
                <c:pt idx="1162">
                  <c:v>0.47</c:v>
                </c:pt>
                <c:pt idx="1163">
                  <c:v>0.65</c:v>
                </c:pt>
                <c:pt idx="1164">
                  <c:v>0.55000000000000004</c:v>
                </c:pt>
                <c:pt idx="1165">
                  <c:v>1.26</c:v>
                </c:pt>
                <c:pt idx="1166">
                  <c:v>0.45</c:v>
                </c:pt>
                <c:pt idx="1167">
                  <c:v>7.42</c:v>
                </c:pt>
                <c:pt idx="1168">
                  <c:v>6.97</c:v>
                </c:pt>
                <c:pt idx="1169">
                  <c:v>11.61</c:v>
                </c:pt>
                <c:pt idx="1170">
                  <c:v>10.07</c:v>
                </c:pt>
                <c:pt idx="1171">
                  <c:v>8.5300000000000011</c:v>
                </c:pt>
                <c:pt idx="1172">
                  <c:v>12.61</c:v>
                </c:pt>
                <c:pt idx="1173">
                  <c:v>7.8</c:v>
                </c:pt>
                <c:pt idx="1174">
                  <c:v>6.78</c:v>
                </c:pt>
                <c:pt idx="1175">
                  <c:v>6.1599999999999984</c:v>
                </c:pt>
                <c:pt idx="1176">
                  <c:v>5.6599999999999984</c:v>
                </c:pt>
                <c:pt idx="1177">
                  <c:v>17.37</c:v>
                </c:pt>
                <c:pt idx="1178">
                  <c:v>9.4600000000000026</c:v>
                </c:pt>
                <c:pt idx="1179">
                  <c:v>9.93</c:v>
                </c:pt>
                <c:pt idx="1180">
                  <c:v>8.15</c:v>
                </c:pt>
                <c:pt idx="1181">
                  <c:v>9.39</c:v>
                </c:pt>
                <c:pt idx="1182">
                  <c:v>0.28999999999999998</c:v>
                </c:pt>
                <c:pt idx="1183">
                  <c:v>0.75</c:v>
                </c:pt>
                <c:pt idx="1184">
                  <c:v>0.44</c:v>
                </c:pt>
                <c:pt idx="1185">
                  <c:v>0.8</c:v>
                </c:pt>
                <c:pt idx="1186">
                  <c:v>10.81</c:v>
                </c:pt>
                <c:pt idx="1187">
                  <c:v>8.8700000000000028</c:v>
                </c:pt>
                <c:pt idx="1188">
                  <c:v>8.31</c:v>
                </c:pt>
                <c:pt idx="1189">
                  <c:v>14.92</c:v>
                </c:pt>
                <c:pt idx="1190">
                  <c:v>13.75</c:v>
                </c:pt>
                <c:pt idx="1191">
                  <c:v>8.7200000000000006</c:v>
                </c:pt>
                <c:pt idx="1192">
                  <c:v>7.02</c:v>
                </c:pt>
                <c:pt idx="1193">
                  <c:v>11.15</c:v>
                </c:pt>
                <c:pt idx="1194">
                  <c:v>15.26</c:v>
                </c:pt>
                <c:pt idx="1195">
                  <c:v>8.89</c:v>
                </c:pt>
                <c:pt idx="1196">
                  <c:v>1.21</c:v>
                </c:pt>
                <c:pt idx="1197">
                  <c:v>0.46</c:v>
                </c:pt>
                <c:pt idx="1198">
                  <c:v>0.28000000000000003</c:v>
                </c:pt>
                <c:pt idx="1199">
                  <c:v>0.73</c:v>
                </c:pt>
                <c:pt idx="1200">
                  <c:v>0.68</c:v>
                </c:pt>
                <c:pt idx="1201">
                  <c:v>0.86</c:v>
                </c:pt>
                <c:pt idx="1202">
                  <c:v>2.61</c:v>
                </c:pt>
                <c:pt idx="1203">
                  <c:v>1.1499999999999999</c:v>
                </c:pt>
                <c:pt idx="1204">
                  <c:v>1.54</c:v>
                </c:pt>
                <c:pt idx="1205">
                  <c:v>6.42</c:v>
                </c:pt>
                <c:pt idx="1206">
                  <c:v>5.5</c:v>
                </c:pt>
                <c:pt idx="1207">
                  <c:v>9.620000000000001</c:v>
                </c:pt>
                <c:pt idx="1208">
                  <c:v>9.27</c:v>
                </c:pt>
                <c:pt idx="1209">
                  <c:v>7.8199999999999976</c:v>
                </c:pt>
                <c:pt idx="1210">
                  <c:v>10.14</c:v>
                </c:pt>
                <c:pt idx="1211">
                  <c:v>7.28</c:v>
                </c:pt>
                <c:pt idx="1212">
                  <c:v>6.07</c:v>
                </c:pt>
                <c:pt idx="1213">
                  <c:v>5.81</c:v>
                </c:pt>
                <c:pt idx="1214">
                  <c:v>5.1899999999999986</c:v>
                </c:pt>
                <c:pt idx="1215">
                  <c:v>14.22</c:v>
                </c:pt>
                <c:pt idx="1216">
                  <c:v>7.8</c:v>
                </c:pt>
                <c:pt idx="1217">
                  <c:v>9.17</c:v>
                </c:pt>
                <c:pt idx="1218">
                  <c:v>7.73</c:v>
                </c:pt>
                <c:pt idx="1219">
                  <c:v>9.31</c:v>
                </c:pt>
                <c:pt idx="1220">
                  <c:v>3.91</c:v>
                </c:pt>
                <c:pt idx="1221">
                  <c:v>1.1599999999999999</c:v>
                </c:pt>
                <c:pt idx="1222">
                  <c:v>1.1399999999999999</c:v>
                </c:pt>
                <c:pt idx="1223">
                  <c:v>10.48</c:v>
                </c:pt>
                <c:pt idx="1224">
                  <c:v>8.98</c:v>
                </c:pt>
                <c:pt idx="1225">
                  <c:v>8.3700000000000028</c:v>
                </c:pt>
                <c:pt idx="1226">
                  <c:v>14.98</c:v>
                </c:pt>
                <c:pt idx="1227">
                  <c:v>14.48</c:v>
                </c:pt>
                <c:pt idx="1228">
                  <c:v>9.0300000000000011</c:v>
                </c:pt>
                <c:pt idx="1229">
                  <c:v>7.06</c:v>
                </c:pt>
                <c:pt idx="1230">
                  <c:v>11.3</c:v>
                </c:pt>
                <c:pt idx="1231">
                  <c:v>15.4</c:v>
                </c:pt>
                <c:pt idx="1232">
                  <c:v>8.51</c:v>
                </c:pt>
                <c:pt idx="1233">
                  <c:v>4.6899999999999986</c:v>
                </c:pt>
                <c:pt idx="1234">
                  <c:v>6.78</c:v>
                </c:pt>
                <c:pt idx="1235">
                  <c:v>5.01</c:v>
                </c:pt>
                <c:pt idx="1236">
                  <c:v>4.18</c:v>
                </c:pt>
                <c:pt idx="1237">
                  <c:v>1.63</c:v>
                </c:pt>
                <c:pt idx="1238">
                  <c:v>3.04</c:v>
                </c:pt>
                <c:pt idx="1239">
                  <c:v>6.25</c:v>
                </c:pt>
                <c:pt idx="1240">
                  <c:v>4.54</c:v>
                </c:pt>
                <c:pt idx="1241">
                  <c:v>3.35</c:v>
                </c:pt>
                <c:pt idx="1242">
                  <c:v>1.65</c:v>
                </c:pt>
                <c:pt idx="1243">
                  <c:v>1.63</c:v>
                </c:pt>
                <c:pt idx="1244">
                  <c:v>6.85</c:v>
                </c:pt>
                <c:pt idx="1245">
                  <c:v>6.9</c:v>
                </c:pt>
                <c:pt idx="1246">
                  <c:v>1.94</c:v>
                </c:pt>
                <c:pt idx="1247">
                  <c:v>0.92</c:v>
                </c:pt>
                <c:pt idx="1248">
                  <c:v>0.71</c:v>
                </c:pt>
                <c:pt idx="1249">
                  <c:v>0.62</c:v>
                </c:pt>
                <c:pt idx="1250">
                  <c:v>1.1000000000000001</c:v>
                </c:pt>
                <c:pt idx="1251">
                  <c:v>3.02</c:v>
                </c:pt>
                <c:pt idx="1252">
                  <c:v>2.82</c:v>
                </c:pt>
                <c:pt idx="1253">
                  <c:v>2.04</c:v>
                </c:pt>
                <c:pt idx="1254">
                  <c:v>5.68</c:v>
                </c:pt>
                <c:pt idx="1255">
                  <c:v>3.5</c:v>
                </c:pt>
                <c:pt idx="1256">
                  <c:v>3.05</c:v>
                </c:pt>
                <c:pt idx="1257">
                  <c:v>3.37</c:v>
                </c:pt>
                <c:pt idx="1258">
                  <c:v>0.71</c:v>
                </c:pt>
                <c:pt idx="1259">
                  <c:v>0.78</c:v>
                </c:pt>
                <c:pt idx="1260">
                  <c:v>6.8199999999999976</c:v>
                </c:pt>
                <c:pt idx="1261">
                  <c:v>6.1599999999999984</c:v>
                </c:pt>
                <c:pt idx="1262">
                  <c:v>9.89</c:v>
                </c:pt>
                <c:pt idx="1263">
                  <c:v>10.51</c:v>
                </c:pt>
                <c:pt idx="1264">
                  <c:v>8.11</c:v>
                </c:pt>
                <c:pt idx="1265">
                  <c:v>11.18</c:v>
                </c:pt>
                <c:pt idx="1266">
                  <c:v>7.67</c:v>
                </c:pt>
                <c:pt idx="1267">
                  <c:v>6.18</c:v>
                </c:pt>
                <c:pt idx="1268">
                  <c:v>6.64</c:v>
                </c:pt>
                <c:pt idx="1269">
                  <c:v>5.43</c:v>
                </c:pt>
                <c:pt idx="1270">
                  <c:v>11.54</c:v>
                </c:pt>
                <c:pt idx="1271">
                  <c:v>8.31</c:v>
                </c:pt>
                <c:pt idx="1272">
                  <c:v>9.14</c:v>
                </c:pt>
                <c:pt idx="1273">
                  <c:v>8.9499999999999993</c:v>
                </c:pt>
                <c:pt idx="1274">
                  <c:v>9.4600000000000026</c:v>
                </c:pt>
                <c:pt idx="1275">
                  <c:v>2.41</c:v>
                </c:pt>
                <c:pt idx="1276">
                  <c:v>6.29</c:v>
                </c:pt>
                <c:pt idx="1277">
                  <c:v>1.1599999999999999</c:v>
                </c:pt>
                <c:pt idx="1278">
                  <c:v>1.88</c:v>
                </c:pt>
                <c:pt idx="1279">
                  <c:v>9.98</c:v>
                </c:pt>
                <c:pt idx="1280">
                  <c:v>8.65</c:v>
                </c:pt>
                <c:pt idx="1281">
                  <c:v>8.07</c:v>
                </c:pt>
                <c:pt idx="1282">
                  <c:v>14.65</c:v>
                </c:pt>
                <c:pt idx="1283">
                  <c:v>15.69</c:v>
                </c:pt>
                <c:pt idx="1284">
                  <c:v>8.36</c:v>
                </c:pt>
                <c:pt idx="1285">
                  <c:v>6.7</c:v>
                </c:pt>
                <c:pt idx="1286">
                  <c:v>9.98</c:v>
                </c:pt>
                <c:pt idx="1287">
                  <c:v>14.51</c:v>
                </c:pt>
                <c:pt idx="1288">
                  <c:v>7.95</c:v>
                </c:pt>
                <c:pt idx="1289">
                  <c:v>1.33</c:v>
                </c:pt>
                <c:pt idx="1290">
                  <c:v>9.5300000000000011</c:v>
                </c:pt>
                <c:pt idx="1291">
                  <c:v>36.82</c:v>
                </c:pt>
                <c:pt idx="1292">
                  <c:v>11.84</c:v>
                </c:pt>
                <c:pt idx="1293">
                  <c:v>6.75</c:v>
                </c:pt>
                <c:pt idx="1294">
                  <c:v>4.6599999999999984</c:v>
                </c:pt>
                <c:pt idx="1295">
                  <c:v>8.7200000000000006</c:v>
                </c:pt>
                <c:pt idx="1296">
                  <c:v>14.94</c:v>
                </c:pt>
                <c:pt idx="1297">
                  <c:v>20.059999999999999</c:v>
                </c:pt>
                <c:pt idx="1298">
                  <c:v>8.16</c:v>
                </c:pt>
                <c:pt idx="1299">
                  <c:v>8.34</c:v>
                </c:pt>
                <c:pt idx="1300">
                  <c:v>7.8599999999999977</c:v>
                </c:pt>
                <c:pt idx="1301">
                  <c:v>1.44</c:v>
                </c:pt>
                <c:pt idx="1302">
                  <c:v>1.81</c:v>
                </c:pt>
                <c:pt idx="1303">
                  <c:v>0.56000000000000005</c:v>
                </c:pt>
                <c:pt idx="1304">
                  <c:v>0.51</c:v>
                </c:pt>
                <c:pt idx="1305">
                  <c:v>1.04</c:v>
                </c:pt>
                <c:pt idx="1306">
                  <c:v>0.44</c:v>
                </c:pt>
                <c:pt idx="1307">
                  <c:v>0.36</c:v>
                </c:pt>
                <c:pt idx="1308">
                  <c:v>3.81</c:v>
                </c:pt>
                <c:pt idx="1309">
                  <c:v>2.67</c:v>
                </c:pt>
                <c:pt idx="1310">
                  <c:v>3.86</c:v>
                </c:pt>
                <c:pt idx="1311">
                  <c:v>5.49</c:v>
                </c:pt>
                <c:pt idx="1312">
                  <c:v>8.9700000000000006</c:v>
                </c:pt>
                <c:pt idx="1313">
                  <c:v>1.9</c:v>
                </c:pt>
                <c:pt idx="1314">
                  <c:v>3.55</c:v>
                </c:pt>
                <c:pt idx="1315">
                  <c:v>3.28</c:v>
                </c:pt>
                <c:pt idx="1316">
                  <c:v>1.94</c:v>
                </c:pt>
                <c:pt idx="1317">
                  <c:v>1.51</c:v>
                </c:pt>
                <c:pt idx="1318">
                  <c:v>1.39</c:v>
                </c:pt>
                <c:pt idx="1319">
                  <c:v>1.34</c:v>
                </c:pt>
                <c:pt idx="1320">
                  <c:v>2.89</c:v>
                </c:pt>
                <c:pt idx="1321">
                  <c:v>0.95</c:v>
                </c:pt>
                <c:pt idx="1322">
                  <c:v>2.5299999999999998</c:v>
                </c:pt>
                <c:pt idx="1323">
                  <c:v>2.2599999999999998</c:v>
                </c:pt>
                <c:pt idx="1324">
                  <c:v>2.84</c:v>
                </c:pt>
                <c:pt idx="1325">
                  <c:v>1.99</c:v>
                </c:pt>
                <c:pt idx="1326">
                  <c:v>1.82</c:v>
                </c:pt>
                <c:pt idx="1327">
                  <c:v>1.41</c:v>
                </c:pt>
                <c:pt idx="1328">
                  <c:v>1.58</c:v>
                </c:pt>
                <c:pt idx="1329">
                  <c:v>0.41</c:v>
                </c:pt>
                <c:pt idx="1330">
                  <c:v>0.34</c:v>
                </c:pt>
                <c:pt idx="1331">
                  <c:v>3.21</c:v>
                </c:pt>
                <c:pt idx="1332">
                  <c:v>2.95</c:v>
                </c:pt>
                <c:pt idx="1333">
                  <c:v>2.5499999999999998</c:v>
                </c:pt>
                <c:pt idx="1334">
                  <c:v>10.76</c:v>
                </c:pt>
                <c:pt idx="1335">
                  <c:v>4.93</c:v>
                </c:pt>
                <c:pt idx="1336">
                  <c:v>2.74</c:v>
                </c:pt>
                <c:pt idx="1337">
                  <c:v>2.86</c:v>
                </c:pt>
                <c:pt idx="1338">
                  <c:v>1.81</c:v>
                </c:pt>
                <c:pt idx="1339">
                  <c:v>5.55</c:v>
                </c:pt>
                <c:pt idx="1340">
                  <c:v>2.93</c:v>
                </c:pt>
                <c:pt idx="1341">
                  <c:v>2.48</c:v>
                </c:pt>
                <c:pt idx="1342">
                  <c:v>1.88</c:v>
                </c:pt>
                <c:pt idx="1343">
                  <c:v>0.59</c:v>
                </c:pt>
                <c:pt idx="1344">
                  <c:v>0.79</c:v>
                </c:pt>
                <c:pt idx="1345">
                  <c:v>0.4</c:v>
                </c:pt>
                <c:pt idx="1346">
                  <c:v>4.3599999999999977</c:v>
                </c:pt>
                <c:pt idx="1347">
                  <c:v>6.6199999999999983</c:v>
                </c:pt>
                <c:pt idx="1348">
                  <c:v>4.76</c:v>
                </c:pt>
                <c:pt idx="1349">
                  <c:v>3.86</c:v>
                </c:pt>
                <c:pt idx="1350">
                  <c:v>1.67</c:v>
                </c:pt>
                <c:pt idx="1351">
                  <c:v>1.76</c:v>
                </c:pt>
                <c:pt idx="1352">
                  <c:v>6.1599999999999984</c:v>
                </c:pt>
                <c:pt idx="1353">
                  <c:v>4.17</c:v>
                </c:pt>
                <c:pt idx="1354">
                  <c:v>2.74</c:v>
                </c:pt>
                <c:pt idx="1355">
                  <c:v>1.5</c:v>
                </c:pt>
                <c:pt idx="1356">
                  <c:v>1.62</c:v>
                </c:pt>
                <c:pt idx="1357">
                  <c:v>7.64</c:v>
                </c:pt>
                <c:pt idx="1358">
                  <c:v>5.28</c:v>
                </c:pt>
                <c:pt idx="1359">
                  <c:v>0.31</c:v>
                </c:pt>
                <c:pt idx="1360">
                  <c:v>0.33</c:v>
                </c:pt>
                <c:pt idx="1361">
                  <c:v>0.21</c:v>
                </c:pt>
                <c:pt idx="1362">
                  <c:v>6.42</c:v>
                </c:pt>
                <c:pt idx="1363">
                  <c:v>0.8</c:v>
                </c:pt>
                <c:pt idx="1364">
                  <c:v>1.27</c:v>
                </c:pt>
                <c:pt idx="1365">
                  <c:v>0.81</c:v>
                </c:pt>
                <c:pt idx="1366">
                  <c:v>4.1199999999999983</c:v>
                </c:pt>
                <c:pt idx="1367">
                  <c:v>3.16</c:v>
                </c:pt>
                <c:pt idx="1368">
                  <c:v>4.5</c:v>
                </c:pt>
                <c:pt idx="1369">
                  <c:v>3.83</c:v>
                </c:pt>
                <c:pt idx="1370">
                  <c:v>2.2200000000000002</c:v>
                </c:pt>
                <c:pt idx="1371">
                  <c:v>2.89</c:v>
                </c:pt>
                <c:pt idx="1372">
                  <c:v>3.41</c:v>
                </c:pt>
                <c:pt idx="1373">
                  <c:v>2.4</c:v>
                </c:pt>
                <c:pt idx="1374">
                  <c:v>6.3199999999999976</c:v>
                </c:pt>
                <c:pt idx="1375">
                  <c:v>6</c:v>
                </c:pt>
                <c:pt idx="1376">
                  <c:v>3.33</c:v>
                </c:pt>
                <c:pt idx="1377">
                  <c:v>4.4000000000000004</c:v>
                </c:pt>
                <c:pt idx="1378">
                  <c:v>4.3</c:v>
                </c:pt>
                <c:pt idx="1379">
                  <c:v>0.35</c:v>
                </c:pt>
                <c:pt idx="1380">
                  <c:v>6.72</c:v>
                </c:pt>
                <c:pt idx="1381">
                  <c:v>5.64</c:v>
                </c:pt>
                <c:pt idx="1382">
                  <c:v>9.15</c:v>
                </c:pt>
                <c:pt idx="1383">
                  <c:v>9.2900000000000009</c:v>
                </c:pt>
                <c:pt idx="1384">
                  <c:v>8.42</c:v>
                </c:pt>
                <c:pt idx="1385">
                  <c:v>8</c:v>
                </c:pt>
                <c:pt idx="1386">
                  <c:v>7.6099999999999977</c:v>
                </c:pt>
                <c:pt idx="1387">
                  <c:v>6.43</c:v>
                </c:pt>
                <c:pt idx="1388">
                  <c:v>6.04</c:v>
                </c:pt>
                <c:pt idx="1389">
                  <c:v>5.3599999999999977</c:v>
                </c:pt>
                <c:pt idx="1390">
                  <c:v>9.92</c:v>
                </c:pt>
                <c:pt idx="1391">
                  <c:v>8.4499999999999993</c:v>
                </c:pt>
                <c:pt idx="1392">
                  <c:v>8.99</c:v>
                </c:pt>
                <c:pt idx="1393">
                  <c:v>7.8199999999999976</c:v>
                </c:pt>
                <c:pt idx="1394">
                  <c:v>7.35</c:v>
                </c:pt>
                <c:pt idx="1395">
                  <c:v>2.92</c:v>
                </c:pt>
                <c:pt idx="1396">
                  <c:v>3.01</c:v>
                </c:pt>
                <c:pt idx="1397">
                  <c:v>2.4300000000000002</c:v>
                </c:pt>
                <c:pt idx="1398">
                  <c:v>9.84</c:v>
                </c:pt>
                <c:pt idx="1399">
                  <c:v>4.6899999999999986</c:v>
                </c:pt>
                <c:pt idx="1400">
                  <c:v>2.79</c:v>
                </c:pt>
                <c:pt idx="1401">
                  <c:v>2.72</c:v>
                </c:pt>
                <c:pt idx="1402">
                  <c:v>1.8</c:v>
                </c:pt>
                <c:pt idx="1403">
                  <c:v>5.3199999999999976</c:v>
                </c:pt>
                <c:pt idx="1404">
                  <c:v>1.63</c:v>
                </c:pt>
                <c:pt idx="1405">
                  <c:v>2.6</c:v>
                </c:pt>
                <c:pt idx="1406">
                  <c:v>0.53</c:v>
                </c:pt>
                <c:pt idx="1407">
                  <c:v>0.39</c:v>
                </c:pt>
                <c:pt idx="1408">
                  <c:v>0.83</c:v>
                </c:pt>
                <c:pt idx="1409">
                  <c:v>4.18</c:v>
                </c:pt>
                <c:pt idx="1410">
                  <c:v>6</c:v>
                </c:pt>
                <c:pt idx="1411">
                  <c:v>4.71</c:v>
                </c:pt>
                <c:pt idx="1412">
                  <c:v>3.43</c:v>
                </c:pt>
                <c:pt idx="1413">
                  <c:v>1.48</c:v>
                </c:pt>
                <c:pt idx="1414">
                  <c:v>2.2799999999999998</c:v>
                </c:pt>
                <c:pt idx="1415">
                  <c:v>5.54</c:v>
                </c:pt>
                <c:pt idx="1416">
                  <c:v>3.96</c:v>
                </c:pt>
                <c:pt idx="1417">
                  <c:v>2.72</c:v>
                </c:pt>
                <c:pt idx="1418">
                  <c:v>1.43</c:v>
                </c:pt>
                <c:pt idx="1419">
                  <c:v>1.53</c:v>
                </c:pt>
                <c:pt idx="1420">
                  <c:v>6.93</c:v>
                </c:pt>
                <c:pt idx="1421">
                  <c:v>5.2</c:v>
                </c:pt>
                <c:pt idx="1422">
                  <c:v>0.61</c:v>
                </c:pt>
                <c:pt idx="1423">
                  <c:v>0.97</c:v>
                </c:pt>
                <c:pt idx="1424">
                  <c:v>0.87</c:v>
                </c:pt>
                <c:pt idx="1425">
                  <c:v>0.6</c:v>
                </c:pt>
                <c:pt idx="1426">
                  <c:v>2.31</c:v>
                </c:pt>
                <c:pt idx="1427">
                  <c:v>3.03</c:v>
                </c:pt>
                <c:pt idx="1428">
                  <c:v>2.39</c:v>
                </c:pt>
                <c:pt idx="1429">
                  <c:v>5.71</c:v>
                </c:pt>
                <c:pt idx="1430">
                  <c:v>1.55</c:v>
                </c:pt>
                <c:pt idx="1431">
                  <c:v>4.92</c:v>
                </c:pt>
                <c:pt idx="1432">
                  <c:v>8.91</c:v>
                </c:pt>
                <c:pt idx="1433">
                  <c:v>5.17</c:v>
                </c:pt>
                <c:pt idx="1434">
                  <c:v>2.5099999999999998</c:v>
                </c:pt>
                <c:pt idx="1435">
                  <c:v>2.02</c:v>
                </c:pt>
                <c:pt idx="1436">
                  <c:v>0.74</c:v>
                </c:pt>
                <c:pt idx="1437">
                  <c:v>3.76</c:v>
                </c:pt>
                <c:pt idx="1438">
                  <c:v>2.5299999999999998</c:v>
                </c:pt>
                <c:pt idx="1439">
                  <c:v>4.01</c:v>
                </c:pt>
                <c:pt idx="1440">
                  <c:v>6.99</c:v>
                </c:pt>
                <c:pt idx="1441">
                  <c:v>9.99</c:v>
                </c:pt>
                <c:pt idx="1442">
                  <c:v>1.94</c:v>
                </c:pt>
                <c:pt idx="1443">
                  <c:v>2.68</c:v>
                </c:pt>
                <c:pt idx="1444">
                  <c:v>3.64</c:v>
                </c:pt>
                <c:pt idx="1445">
                  <c:v>1.8</c:v>
                </c:pt>
                <c:pt idx="1446">
                  <c:v>1.99</c:v>
                </c:pt>
                <c:pt idx="1447">
                  <c:v>1.38</c:v>
                </c:pt>
                <c:pt idx="1448">
                  <c:v>1.43</c:v>
                </c:pt>
                <c:pt idx="1449">
                  <c:v>3.22</c:v>
                </c:pt>
                <c:pt idx="1450">
                  <c:v>1.01</c:v>
                </c:pt>
                <c:pt idx="1451">
                  <c:v>2.48</c:v>
                </c:pt>
                <c:pt idx="1452">
                  <c:v>1.75</c:v>
                </c:pt>
                <c:pt idx="1453">
                  <c:v>2.5299999999999998</c:v>
                </c:pt>
                <c:pt idx="1454">
                  <c:v>2.16</c:v>
                </c:pt>
                <c:pt idx="1455">
                  <c:v>1.77</c:v>
                </c:pt>
                <c:pt idx="1456">
                  <c:v>1.38</c:v>
                </c:pt>
                <c:pt idx="1457">
                  <c:v>1.43</c:v>
                </c:pt>
                <c:pt idx="1458">
                  <c:v>0.27</c:v>
                </c:pt>
                <c:pt idx="1459">
                  <c:v>0.25</c:v>
                </c:pt>
                <c:pt idx="1460">
                  <c:v>3.15</c:v>
                </c:pt>
                <c:pt idx="1461">
                  <c:v>3.46</c:v>
                </c:pt>
                <c:pt idx="1462">
                  <c:v>2.73</c:v>
                </c:pt>
                <c:pt idx="1463">
                  <c:v>10.74</c:v>
                </c:pt>
                <c:pt idx="1464">
                  <c:v>4.88</c:v>
                </c:pt>
                <c:pt idx="1465">
                  <c:v>3.39</c:v>
                </c:pt>
                <c:pt idx="1466">
                  <c:v>9.17</c:v>
                </c:pt>
                <c:pt idx="1467">
                  <c:v>3.12</c:v>
                </c:pt>
                <c:pt idx="1468">
                  <c:v>4.59</c:v>
                </c:pt>
                <c:pt idx="1469">
                  <c:v>1.71</c:v>
                </c:pt>
                <c:pt idx="1470">
                  <c:v>4.2</c:v>
                </c:pt>
                <c:pt idx="1471">
                  <c:v>2.71</c:v>
                </c:pt>
                <c:pt idx="1472">
                  <c:v>0.83</c:v>
                </c:pt>
                <c:pt idx="1473">
                  <c:v>0.59</c:v>
                </c:pt>
                <c:pt idx="1474">
                  <c:v>2.27</c:v>
                </c:pt>
                <c:pt idx="1475">
                  <c:v>4.59</c:v>
                </c:pt>
                <c:pt idx="1476">
                  <c:v>6.03</c:v>
                </c:pt>
                <c:pt idx="1477">
                  <c:v>4.5599999999999996</c:v>
                </c:pt>
                <c:pt idx="1478">
                  <c:v>3.56</c:v>
                </c:pt>
                <c:pt idx="1479">
                  <c:v>1.1499999999999999</c:v>
                </c:pt>
                <c:pt idx="1480">
                  <c:v>1.61</c:v>
                </c:pt>
                <c:pt idx="1481">
                  <c:v>5.6599999999999984</c:v>
                </c:pt>
                <c:pt idx="1482">
                  <c:v>3.95</c:v>
                </c:pt>
                <c:pt idx="1483">
                  <c:v>2.46</c:v>
                </c:pt>
                <c:pt idx="1484">
                  <c:v>1.07</c:v>
                </c:pt>
                <c:pt idx="1485">
                  <c:v>1.1499999999999999</c:v>
                </c:pt>
                <c:pt idx="1486">
                  <c:v>7</c:v>
                </c:pt>
                <c:pt idx="1487">
                  <c:v>4.93</c:v>
                </c:pt>
                <c:pt idx="1488">
                  <c:v>2</c:v>
                </c:pt>
                <c:pt idx="1489">
                  <c:v>1.44</c:v>
                </c:pt>
                <c:pt idx="1490">
                  <c:v>2.84</c:v>
                </c:pt>
                <c:pt idx="1491">
                  <c:v>2.09</c:v>
                </c:pt>
                <c:pt idx="1492">
                  <c:v>1.84</c:v>
                </c:pt>
                <c:pt idx="1493">
                  <c:v>4.3099999999999996</c:v>
                </c:pt>
                <c:pt idx="1494">
                  <c:v>3.09</c:v>
                </c:pt>
                <c:pt idx="1495">
                  <c:v>4.41</c:v>
                </c:pt>
                <c:pt idx="1496">
                  <c:v>3.41</c:v>
                </c:pt>
                <c:pt idx="1497">
                  <c:v>2.23</c:v>
                </c:pt>
                <c:pt idx="1498">
                  <c:v>3.06</c:v>
                </c:pt>
                <c:pt idx="1499">
                  <c:v>1.76</c:v>
                </c:pt>
                <c:pt idx="1500">
                  <c:v>5.63</c:v>
                </c:pt>
                <c:pt idx="1501">
                  <c:v>6.17</c:v>
                </c:pt>
                <c:pt idx="1502">
                  <c:v>1.23</c:v>
                </c:pt>
                <c:pt idx="1503">
                  <c:v>5.14</c:v>
                </c:pt>
                <c:pt idx="1504">
                  <c:v>8.0400000000000009</c:v>
                </c:pt>
                <c:pt idx="1505">
                  <c:v>4.63</c:v>
                </c:pt>
                <c:pt idx="1506">
                  <c:v>2.4300000000000002</c:v>
                </c:pt>
                <c:pt idx="1507">
                  <c:v>10.44</c:v>
                </c:pt>
                <c:pt idx="1508">
                  <c:v>5.95</c:v>
                </c:pt>
                <c:pt idx="1509">
                  <c:v>2.89</c:v>
                </c:pt>
                <c:pt idx="1510">
                  <c:v>2.5499999999999998</c:v>
                </c:pt>
                <c:pt idx="1511">
                  <c:v>3.38</c:v>
                </c:pt>
                <c:pt idx="1512">
                  <c:v>5.26</c:v>
                </c:pt>
                <c:pt idx="1513">
                  <c:v>7.58</c:v>
                </c:pt>
                <c:pt idx="1514">
                  <c:v>1.41</c:v>
                </c:pt>
                <c:pt idx="1515">
                  <c:v>2.48</c:v>
                </c:pt>
                <c:pt idx="1516">
                  <c:v>3.49</c:v>
                </c:pt>
                <c:pt idx="1517">
                  <c:v>1.97</c:v>
                </c:pt>
                <c:pt idx="1518">
                  <c:v>1.1299999999999999</c:v>
                </c:pt>
                <c:pt idx="1519">
                  <c:v>1.22</c:v>
                </c:pt>
                <c:pt idx="1520">
                  <c:v>1.18</c:v>
                </c:pt>
                <c:pt idx="1521">
                  <c:v>1.8</c:v>
                </c:pt>
                <c:pt idx="1522">
                  <c:v>0.73</c:v>
                </c:pt>
                <c:pt idx="1523">
                  <c:v>3.45</c:v>
                </c:pt>
                <c:pt idx="1524">
                  <c:v>2.0299999999999998</c:v>
                </c:pt>
                <c:pt idx="1525">
                  <c:v>2.1</c:v>
                </c:pt>
                <c:pt idx="1526">
                  <c:v>1.71</c:v>
                </c:pt>
                <c:pt idx="1527">
                  <c:v>1.9</c:v>
                </c:pt>
                <c:pt idx="1528">
                  <c:v>1.24</c:v>
                </c:pt>
                <c:pt idx="1529">
                  <c:v>1.18</c:v>
                </c:pt>
                <c:pt idx="1530">
                  <c:v>1.71</c:v>
                </c:pt>
                <c:pt idx="1531">
                  <c:v>1.54</c:v>
                </c:pt>
                <c:pt idx="1532">
                  <c:v>2.89</c:v>
                </c:pt>
                <c:pt idx="1533">
                  <c:v>2.61</c:v>
                </c:pt>
                <c:pt idx="1534">
                  <c:v>2.35</c:v>
                </c:pt>
                <c:pt idx="1535">
                  <c:v>9.0500000000000007</c:v>
                </c:pt>
                <c:pt idx="1536">
                  <c:v>4.37</c:v>
                </c:pt>
                <c:pt idx="1537">
                  <c:v>2.67</c:v>
                </c:pt>
                <c:pt idx="1538">
                  <c:v>2.25</c:v>
                </c:pt>
                <c:pt idx="1539">
                  <c:v>1.73</c:v>
                </c:pt>
                <c:pt idx="1540">
                  <c:v>4.3</c:v>
                </c:pt>
                <c:pt idx="1541">
                  <c:v>1.37</c:v>
                </c:pt>
                <c:pt idx="1542">
                  <c:v>2.29</c:v>
                </c:pt>
                <c:pt idx="1543">
                  <c:v>2.1</c:v>
                </c:pt>
                <c:pt idx="1544">
                  <c:v>1.5</c:v>
                </c:pt>
                <c:pt idx="1545">
                  <c:v>1.1299999999999999</c:v>
                </c:pt>
                <c:pt idx="1546">
                  <c:v>2.5099999999999998</c:v>
                </c:pt>
                <c:pt idx="1547">
                  <c:v>3.45</c:v>
                </c:pt>
                <c:pt idx="1548">
                  <c:v>4.63</c:v>
                </c:pt>
                <c:pt idx="1549">
                  <c:v>6.56</c:v>
                </c:pt>
                <c:pt idx="1550">
                  <c:v>5.25</c:v>
                </c:pt>
                <c:pt idx="1551">
                  <c:v>3.98</c:v>
                </c:pt>
                <c:pt idx="1552">
                  <c:v>1.66</c:v>
                </c:pt>
                <c:pt idx="1553">
                  <c:v>2.02</c:v>
                </c:pt>
                <c:pt idx="1554">
                  <c:v>5.9</c:v>
                </c:pt>
                <c:pt idx="1555">
                  <c:v>4.84</c:v>
                </c:pt>
                <c:pt idx="1556">
                  <c:v>3.13</c:v>
                </c:pt>
                <c:pt idx="1557">
                  <c:v>1.61</c:v>
                </c:pt>
                <c:pt idx="1558">
                  <c:v>2.0699999999999998</c:v>
                </c:pt>
                <c:pt idx="1559">
                  <c:v>7.81</c:v>
                </c:pt>
                <c:pt idx="1560">
                  <c:v>5.95</c:v>
                </c:pt>
                <c:pt idx="1561">
                  <c:v>6.1199999999999983</c:v>
                </c:pt>
                <c:pt idx="1562">
                  <c:v>2.8</c:v>
                </c:pt>
                <c:pt idx="1563">
                  <c:v>0.15</c:v>
                </c:pt>
                <c:pt idx="1564">
                  <c:v>0.15</c:v>
                </c:pt>
                <c:pt idx="1565">
                  <c:v>0.05</c:v>
                </c:pt>
                <c:pt idx="1566">
                  <c:v>0.15</c:v>
                </c:pt>
                <c:pt idx="1567">
                  <c:v>0.28999999999999998</c:v>
                </c:pt>
                <c:pt idx="1568">
                  <c:v>5.64</c:v>
                </c:pt>
                <c:pt idx="1569">
                  <c:v>1.1599999999999999</c:v>
                </c:pt>
                <c:pt idx="1570">
                  <c:v>4.21</c:v>
                </c:pt>
                <c:pt idx="1571">
                  <c:v>8.01</c:v>
                </c:pt>
                <c:pt idx="1572">
                  <c:v>4.45</c:v>
                </c:pt>
                <c:pt idx="1573">
                  <c:v>2.15</c:v>
                </c:pt>
                <c:pt idx="1574">
                  <c:v>0.12</c:v>
                </c:pt>
                <c:pt idx="1575">
                  <c:v>7.0000000000000007E-2</c:v>
                </c:pt>
                <c:pt idx="1576">
                  <c:v>3.44</c:v>
                </c:pt>
                <c:pt idx="1577">
                  <c:v>2.37</c:v>
                </c:pt>
                <c:pt idx="1578">
                  <c:v>3.44</c:v>
                </c:pt>
                <c:pt idx="1579">
                  <c:v>6.51</c:v>
                </c:pt>
                <c:pt idx="1580">
                  <c:v>9.120000000000001</c:v>
                </c:pt>
                <c:pt idx="1581">
                  <c:v>1.78</c:v>
                </c:pt>
                <c:pt idx="1582">
                  <c:v>2.99</c:v>
                </c:pt>
                <c:pt idx="1583">
                  <c:v>3.13</c:v>
                </c:pt>
                <c:pt idx="1584">
                  <c:v>1.74</c:v>
                </c:pt>
                <c:pt idx="1585">
                  <c:v>1.35</c:v>
                </c:pt>
                <c:pt idx="1586">
                  <c:v>1.1299999999999999</c:v>
                </c:pt>
                <c:pt idx="1587">
                  <c:v>1.3</c:v>
                </c:pt>
                <c:pt idx="1588">
                  <c:v>1.81</c:v>
                </c:pt>
                <c:pt idx="1589">
                  <c:v>0.99</c:v>
                </c:pt>
                <c:pt idx="1590">
                  <c:v>3.33</c:v>
                </c:pt>
                <c:pt idx="1591">
                  <c:v>1.93</c:v>
                </c:pt>
                <c:pt idx="1592">
                  <c:v>2.0499999999999998</c:v>
                </c:pt>
                <c:pt idx="1593">
                  <c:v>2.02</c:v>
                </c:pt>
                <c:pt idx="1594">
                  <c:v>1.64</c:v>
                </c:pt>
                <c:pt idx="1595">
                  <c:v>1.45</c:v>
                </c:pt>
                <c:pt idx="1596">
                  <c:v>1.42</c:v>
                </c:pt>
                <c:pt idx="1597">
                  <c:v>1.1299999999999999</c:v>
                </c:pt>
                <c:pt idx="1598">
                  <c:v>0.46</c:v>
                </c:pt>
                <c:pt idx="1599">
                  <c:v>3.13</c:v>
                </c:pt>
                <c:pt idx="1600">
                  <c:v>2.93</c:v>
                </c:pt>
                <c:pt idx="1601">
                  <c:v>2.69</c:v>
                </c:pt>
                <c:pt idx="1602">
                  <c:v>8.83</c:v>
                </c:pt>
                <c:pt idx="1603">
                  <c:v>4.8</c:v>
                </c:pt>
                <c:pt idx="1604">
                  <c:v>2.9</c:v>
                </c:pt>
                <c:pt idx="1605">
                  <c:v>2.4500000000000002</c:v>
                </c:pt>
                <c:pt idx="1606">
                  <c:v>1.92</c:v>
                </c:pt>
                <c:pt idx="1607">
                  <c:v>4.92</c:v>
                </c:pt>
                <c:pt idx="1608">
                  <c:v>1.51</c:v>
                </c:pt>
                <c:pt idx="1609">
                  <c:v>2.33</c:v>
                </c:pt>
                <c:pt idx="1610">
                  <c:v>1.73</c:v>
                </c:pt>
                <c:pt idx="1611">
                  <c:v>0.19</c:v>
                </c:pt>
                <c:pt idx="1612">
                  <c:v>10.6</c:v>
                </c:pt>
                <c:pt idx="1613">
                  <c:v>8.8000000000000007</c:v>
                </c:pt>
                <c:pt idx="1614">
                  <c:v>8.39</c:v>
                </c:pt>
                <c:pt idx="1615">
                  <c:v>14.99</c:v>
                </c:pt>
                <c:pt idx="1616">
                  <c:v>16.22</c:v>
                </c:pt>
                <c:pt idx="1617">
                  <c:v>8.84</c:v>
                </c:pt>
                <c:pt idx="1618">
                  <c:v>7.1599999999999984</c:v>
                </c:pt>
                <c:pt idx="1619">
                  <c:v>10.29</c:v>
                </c:pt>
                <c:pt idx="1620">
                  <c:v>15.45</c:v>
                </c:pt>
                <c:pt idx="1621">
                  <c:v>8.15</c:v>
                </c:pt>
                <c:pt idx="1622">
                  <c:v>2.58</c:v>
                </c:pt>
                <c:pt idx="1623">
                  <c:v>10.33</c:v>
                </c:pt>
                <c:pt idx="1624">
                  <c:v>37.39</c:v>
                </c:pt>
                <c:pt idx="1625">
                  <c:v>12.2</c:v>
                </c:pt>
                <c:pt idx="1626">
                  <c:v>6.87</c:v>
                </c:pt>
                <c:pt idx="1627">
                  <c:v>5.25</c:v>
                </c:pt>
                <c:pt idx="1628">
                  <c:v>8.8800000000000008</c:v>
                </c:pt>
                <c:pt idx="1629">
                  <c:v>13.75</c:v>
                </c:pt>
                <c:pt idx="1630">
                  <c:v>18.920000000000002</c:v>
                </c:pt>
                <c:pt idx="1631">
                  <c:v>7.67</c:v>
                </c:pt>
                <c:pt idx="1632">
                  <c:v>7.8199999999999976</c:v>
                </c:pt>
                <c:pt idx="1633">
                  <c:v>7.94</c:v>
                </c:pt>
                <c:pt idx="1634">
                  <c:v>0.7</c:v>
                </c:pt>
                <c:pt idx="1635">
                  <c:v>1.49</c:v>
                </c:pt>
                <c:pt idx="1636">
                  <c:v>2.02</c:v>
                </c:pt>
                <c:pt idx="1637">
                  <c:v>2.72</c:v>
                </c:pt>
                <c:pt idx="1638">
                  <c:v>1.83</c:v>
                </c:pt>
                <c:pt idx="1639">
                  <c:v>4.58</c:v>
                </c:pt>
                <c:pt idx="1640">
                  <c:v>4.84</c:v>
                </c:pt>
                <c:pt idx="1641">
                  <c:v>3.01</c:v>
                </c:pt>
                <c:pt idx="1642">
                  <c:v>3.16</c:v>
                </c:pt>
                <c:pt idx="1643">
                  <c:v>3.13</c:v>
                </c:pt>
                <c:pt idx="1644">
                  <c:v>1.54</c:v>
                </c:pt>
                <c:pt idx="1645">
                  <c:v>0.48</c:v>
                </c:pt>
                <c:pt idx="1646">
                  <c:v>0.6</c:v>
                </c:pt>
                <c:pt idx="1647">
                  <c:v>4.8199999999999976</c:v>
                </c:pt>
                <c:pt idx="1648">
                  <c:v>7.43</c:v>
                </c:pt>
                <c:pt idx="1649">
                  <c:v>4.3099999999999996</c:v>
                </c:pt>
                <c:pt idx="1650">
                  <c:v>0.12</c:v>
                </c:pt>
                <c:pt idx="1651">
                  <c:v>1.49</c:v>
                </c:pt>
                <c:pt idx="1652">
                  <c:v>1.74</c:v>
                </c:pt>
                <c:pt idx="1653">
                  <c:v>3.42</c:v>
                </c:pt>
                <c:pt idx="1654">
                  <c:v>3.05</c:v>
                </c:pt>
                <c:pt idx="1655">
                  <c:v>4.5599999999999996</c:v>
                </c:pt>
                <c:pt idx="1656">
                  <c:v>6.08</c:v>
                </c:pt>
                <c:pt idx="1657">
                  <c:v>9.4499999999999993</c:v>
                </c:pt>
                <c:pt idx="1658">
                  <c:v>2.23</c:v>
                </c:pt>
                <c:pt idx="1659">
                  <c:v>3.6</c:v>
                </c:pt>
                <c:pt idx="1660">
                  <c:v>3.72</c:v>
                </c:pt>
                <c:pt idx="1661">
                  <c:v>1.84</c:v>
                </c:pt>
                <c:pt idx="1662">
                  <c:v>1.69</c:v>
                </c:pt>
                <c:pt idx="1663">
                  <c:v>1.49</c:v>
                </c:pt>
                <c:pt idx="1664">
                  <c:v>1.74</c:v>
                </c:pt>
                <c:pt idx="1665">
                  <c:v>2.5499999999999998</c:v>
                </c:pt>
                <c:pt idx="1666">
                  <c:v>1.02</c:v>
                </c:pt>
                <c:pt idx="1667">
                  <c:v>2.5499999999999998</c:v>
                </c:pt>
                <c:pt idx="1668">
                  <c:v>2.2599999999999998</c:v>
                </c:pt>
                <c:pt idx="1669">
                  <c:v>2.5499999999999998</c:v>
                </c:pt>
                <c:pt idx="1670">
                  <c:v>2.16</c:v>
                </c:pt>
                <c:pt idx="1671">
                  <c:v>2.11</c:v>
                </c:pt>
                <c:pt idx="1672">
                  <c:v>1.91</c:v>
                </c:pt>
                <c:pt idx="1673">
                  <c:v>1.59</c:v>
                </c:pt>
                <c:pt idx="1674">
                  <c:v>0.74</c:v>
                </c:pt>
                <c:pt idx="1675">
                  <c:v>3.62</c:v>
                </c:pt>
                <c:pt idx="1676">
                  <c:v>3.72</c:v>
                </c:pt>
                <c:pt idx="1677">
                  <c:v>2.74</c:v>
                </c:pt>
                <c:pt idx="1678">
                  <c:v>9.68</c:v>
                </c:pt>
                <c:pt idx="1679">
                  <c:v>4.9000000000000004</c:v>
                </c:pt>
                <c:pt idx="1680">
                  <c:v>3.23</c:v>
                </c:pt>
                <c:pt idx="1681">
                  <c:v>3.04</c:v>
                </c:pt>
                <c:pt idx="1682">
                  <c:v>7.72</c:v>
                </c:pt>
                <c:pt idx="1683">
                  <c:v>5.0999999999999996</c:v>
                </c:pt>
                <c:pt idx="1684">
                  <c:v>1.67</c:v>
                </c:pt>
                <c:pt idx="1685">
                  <c:v>2.52</c:v>
                </c:pt>
                <c:pt idx="1686">
                  <c:v>2.65</c:v>
                </c:pt>
                <c:pt idx="1687">
                  <c:v>1.18</c:v>
                </c:pt>
                <c:pt idx="1688">
                  <c:v>0.2</c:v>
                </c:pt>
                <c:pt idx="1689">
                  <c:v>0.44</c:v>
                </c:pt>
                <c:pt idx="1690">
                  <c:v>4.53</c:v>
                </c:pt>
                <c:pt idx="1691">
                  <c:v>6.6599999999999984</c:v>
                </c:pt>
                <c:pt idx="1692">
                  <c:v>5.22</c:v>
                </c:pt>
                <c:pt idx="1693">
                  <c:v>4.04</c:v>
                </c:pt>
                <c:pt idx="1694">
                  <c:v>1.67</c:v>
                </c:pt>
                <c:pt idx="1695">
                  <c:v>2.06</c:v>
                </c:pt>
                <c:pt idx="1696">
                  <c:v>5.9</c:v>
                </c:pt>
                <c:pt idx="1697">
                  <c:v>4.7</c:v>
                </c:pt>
                <c:pt idx="1698">
                  <c:v>3.11</c:v>
                </c:pt>
                <c:pt idx="1699">
                  <c:v>1.89</c:v>
                </c:pt>
                <c:pt idx="1700">
                  <c:v>1.74</c:v>
                </c:pt>
                <c:pt idx="1701">
                  <c:v>7.67</c:v>
                </c:pt>
                <c:pt idx="1702">
                  <c:v>6.35</c:v>
                </c:pt>
                <c:pt idx="1703">
                  <c:v>0.28999999999999998</c:v>
                </c:pt>
                <c:pt idx="1704">
                  <c:v>0.17</c:v>
                </c:pt>
                <c:pt idx="1705">
                  <c:v>1.36</c:v>
                </c:pt>
                <c:pt idx="1706">
                  <c:v>1.4</c:v>
                </c:pt>
                <c:pt idx="1707">
                  <c:v>1.45</c:v>
                </c:pt>
                <c:pt idx="1708">
                  <c:v>7.1599999999999984</c:v>
                </c:pt>
                <c:pt idx="1709">
                  <c:v>6.29</c:v>
                </c:pt>
                <c:pt idx="1710">
                  <c:v>10.48</c:v>
                </c:pt>
                <c:pt idx="1711">
                  <c:v>11.83</c:v>
                </c:pt>
                <c:pt idx="1712">
                  <c:v>8.57</c:v>
                </c:pt>
                <c:pt idx="1713">
                  <c:v>10.62</c:v>
                </c:pt>
                <c:pt idx="1714">
                  <c:v>7.6199999999999983</c:v>
                </c:pt>
                <c:pt idx="1715">
                  <c:v>6.34</c:v>
                </c:pt>
                <c:pt idx="1716">
                  <c:v>5.95</c:v>
                </c:pt>
                <c:pt idx="1717">
                  <c:v>5.93</c:v>
                </c:pt>
                <c:pt idx="1718">
                  <c:v>16.649999999999999</c:v>
                </c:pt>
                <c:pt idx="1719">
                  <c:v>8.7100000000000009</c:v>
                </c:pt>
                <c:pt idx="1720">
                  <c:v>10.210000000000001</c:v>
                </c:pt>
                <c:pt idx="1721">
                  <c:v>8.4499999999999993</c:v>
                </c:pt>
                <c:pt idx="1722">
                  <c:v>7.28</c:v>
                </c:pt>
                <c:pt idx="1723">
                  <c:v>1.96</c:v>
                </c:pt>
                <c:pt idx="1724">
                  <c:v>0.7</c:v>
                </c:pt>
                <c:pt idx="1725">
                  <c:v>1.0900000000000001</c:v>
                </c:pt>
                <c:pt idx="1726">
                  <c:v>10.58</c:v>
                </c:pt>
                <c:pt idx="1727">
                  <c:v>9.3700000000000028</c:v>
                </c:pt>
                <c:pt idx="1728">
                  <c:v>8.3700000000000028</c:v>
                </c:pt>
                <c:pt idx="1729">
                  <c:v>15.27</c:v>
                </c:pt>
                <c:pt idx="1730">
                  <c:v>16.260000000000002</c:v>
                </c:pt>
                <c:pt idx="1731">
                  <c:v>9.0500000000000007</c:v>
                </c:pt>
                <c:pt idx="1732">
                  <c:v>7.26</c:v>
                </c:pt>
                <c:pt idx="1733">
                  <c:v>10.7</c:v>
                </c:pt>
                <c:pt idx="1734">
                  <c:v>15.29</c:v>
                </c:pt>
                <c:pt idx="1735">
                  <c:v>10.48</c:v>
                </c:pt>
                <c:pt idx="1736">
                  <c:v>1.74</c:v>
                </c:pt>
                <c:pt idx="1737">
                  <c:v>10.06</c:v>
                </c:pt>
                <c:pt idx="1738">
                  <c:v>36.1</c:v>
                </c:pt>
                <c:pt idx="1739">
                  <c:v>12.39</c:v>
                </c:pt>
                <c:pt idx="1740">
                  <c:v>7.07</c:v>
                </c:pt>
                <c:pt idx="1741">
                  <c:v>4.97</c:v>
                </c:pt>
                <c:pt idx="1742">
                  <c:v>9.11</c:v>
                </c:pt>
                <c:pt idx="1743">
                  <c:v>13.47</c:v>
                </c:pt>
                <c:pt idx="1744">
                  <c:v>20.07</c:v>
                </c:pt>
                <c:pt idx="1745">
                  <c:v>7.4</c:v>
                </c:pt>
                <c:pt idx="1746">
                  <c:v>7.83</c:v>
                </c:pt>
                <c:pt idx="1747">
                  <c:v>7.83</c:v>
                </c:pt>
                <c:pt idx="1748">
                  <c:v>1.61</c:v>
                </c:pt>
                <c:pt idx="1749">
                  <c:v>0.74</c:v>
                </c:pt>
              </c:numCache>
            </c:numRef>
          </c:xVal>
          <c:yVal>
            <c:numRef>
              <c:f>'all_2007-17 NTU+TSS NoBlanks'!$M$2:$M$1751</c:f>
              <c:numCache>
                <c:formatCode>General</c:formatCode>
                <c:ptCount val="1750"/>
                <c:pt idx="0">
                  <c:v>1.83</c:v>
                </c:pt>
                <c:pt idx="1">
                  <c:v>1.1000000000000001</c:v>
                </c:pt>
                <c:pt idx="2">
                  <c:v>1.77</c:v>
                </c:pt>
                <c:pt idx="3">
                  <c:v>1.88</c:v>
                </c:pt>
                <c:pt idx="4">
                  <c:v>3.8</c:v>
                </c:pt>
                <c:pt idx="5">
                  <c:v>1.45</c:v>
                </c:pt>
                <c:pt idx="6">
                  <c:v>6.51</c:v>
                </c:pt>
                <c:pt idx="7">
                  <c:v>1.79</c:v>
                </c:pt>
                <c:pt idx="8">
                  <c:v>5.2</c:v>
                </c:pt>
                <c:pt idx="9">
                  <c:v>6.7</c:v>
                </c:pt>
                <c:pt idx="10">
                  <c:v>9.0500000000000007</c:v>
                </c:pt>
                <c:pt idx="11">
                  <c:v>3.66</c:v>
                </c:pt>
                <c:pt idx="12">
                  <c:v>1.01</c:v>
                </c:pt>
                <c:pt idx="13">
                  <c:v>2.74</c:v>
                </c:pt>
                <c:pt idx="14">
                  <c:v>5.45</c:v>
                </c:pt>
                <c:pt idx="15">
                  <c:v>3.53</c:v>
                </c:pt>
                <c:pt idx="16">
                  <c:v>7.6499999999999977</c:v>
                </c:pt>
                <c:pt idx="17">
                  <c:v>4.43</c:v>
                </c:pt>
                <c:pt idx="18">
                  <c:v>5.8199999999999976</c:v>
                </c:pt>
                <c:pt idx="19">
                  <c:v>2.8</c:v>
                </c:pt>
                <c:pt idx="20">
                  <c:v>1.24</c:v>
                </c:pt>
                <c:pt idx="21">
                  <c:v>0.34</c:v>
                </c:pt>
                <c:pt idx="22">
                  <c:v>0.94</c:v>
                </c:pt>
                <c:pt idx="23">
                  <c:v>4.2699999999999996</c:v>
                </c:pt>
                <c:pt idx="24">
                  <c:v>2.1800000000000002</c:v>
                </c:pt>
                <c:pt idx="25">
                  <c:v>2.1800000000000002</c:v>
                </c:pt>
                <c:pt idx="26">
                  <c:v>4.75</c:v>
                </c:pt>
                <c:pt idx="27">
                  <c:v>1.1000000000000001</c:v>
                </c:pt>
                <c:pt idx="28">
                  <c:v>7.96</c:v>
                </c:pt>
                <c:pt idx="29">
                  <c:v>0.69</c:v>
                </c:pt>
                <c:pt idx="30">
                  <c:v>0.42</c:v>
                </c:pt>
                <c:pt idx="31">
                  <c:v>0.91</c:v>
                </c:pt>
                <c:pt idx="32">
                  <c:v>6.91</c:v>
                </c:pt>
                <c:pt idx="33">
                  <c:v>1.64</c:v>
                </c:pt>
                <c:pt idx="34">
                  <c:v>1.31</c:v>
                </c:pt>
                <c:pt idx="35">
                  <c:v>1.2</c:v>
                </c:pt>
                <c:pt idx="36">
                  <c:v>6.24</c:v>
                </c:pt>
                <c:pt idx="37">
                  <c:v>7.1899999999999986</c:v>
                </c:pt>
                <c:pt idx="38">
                  <c:v>1.25</c:v>
                </c:pt>
                <c:pt idx="39">
                  <c:v>0.94</c:v>
                </c:pt>
                <c:pt idx="40">
                  <c:v>0.42</c:v>
                </c:pt>
                <c:pt idx="41">
                  <c:v>0.78</c:v>
                </c:pt>
                <c:pt idx="42">
                  <c:v>2.66</c:v>
                </c:pt>
                <c:pt idx="43">
                  <c:v>6.91</c:v>
                </c:pt>
                <c:pt idx="44">
                  <c:v>1.04</c:v>
                </c:pt>
                <c:pt idx="45">
                  <c:v>0.47</c:v>
                </c:pt>
                <c:pt idx="46">
                  <c:v>1.6</c:v>
                </c:pt>
                <c:pt idx="47">
                  <c:v>1.04</c:v>
                </c:pt>
                <c:pt idx="48">
                  <c:v>1.05</c:v>
                </c:pt>
                <c:pt idx="49">
                  <c:v>1.05</c:v>
                </c:pt>
                <c:pt idx="50">
                  <c:v>1.24</c:v>
                </c:pt>
                <c:pt idx="51">
                  <c:v>2.59</c:v>
                </c:pt>
                <c:pt idx="52">
                  <c:v>0.69</c:v>
                </c:pt>
                <c:pt idx="53">
                  <c:v>6.24</c:v>
                </c:pt>
                <c:pt idx="54">
                  <c:v>0.76</c:v>
                </c:pt>
                <c:pt idx="55">
                  <c:v>1.92</c:v>
                </c:pt>
                <c:pt idx="56">
                  <c:v>6.91</c:v>
                </c:pt>
                <c:pt idx="57">
                  <c:v>3.4</c:v>
                </c:pt>
                <c:pt idx="58">
                  <c:v>4.6599999999999984</c:v>
                </c:pt>
                <c:pt idx="59">
                  <c:v>0.39</c:v>
                </c:pt>
                <c:pt idx="60">
                  <c:v>1.24</c:v>
                </c:pt>
                <c:pt idx="61">
                  <c:v>7.1899999999999986</c:v>
                </c:pt>
                <c:pt idx="62">
                  <c:v>1.24</c:v>
                </c:pt>
                <c:pt idx="63">
                  <c:v>0.71</c:v>
                </c:pt>
                <c:pt idx="64">
                  <c:v>2.8</c:v>
                </c:pt>
                <c:pt idx="65">
                  <c:v>5.81</c:v>
                </c:pt>
                <c:pt idx="66">
                  <c:v>0.91</c:v>
                </c:pt>
                <c:pt idx="67">
                  <c:v>4.75</c:v>
                </c:pt>
                <c:pt idx="68">
                  <c:v>0.3</c:v>
                </c:pt>
                <c:pt idx="69">
                  <c:v>6.55</c:v>
                </c:pt>
                <c:pt idx="70">
                  <c:v>0.78</c:v>
                </c:pt>
                <c:pt idx="71">
                  <c:v>6.27</c:v>
                </c:pt>
                <c:pt idx="72">
                  <c:v>2.84</c:v>
                </c:pt>
                <c:pt idx="73">
                  <c:v>4.4000000000000004</c:v>
                </c:pt>
                <c:pt idx="74">
                  <c:v>0.77</c:v>
                </c:pt>
                <c:pt idx="75">
                  <c:v>0.81</c:v>
                </c:pt>
                <c:pt idx="76">
                  <c:v>0.97</c:v>
                </c:pt>
                <c:pt idx="77">
                  <c:v>0.85</c:v>
                </c:pt>
                <c:pt idx="78">
                  <c:v>1.25</c:v>
                </c:pt>
                <c:pt idx="79">
                  <c:v>2.0699999999999998</c:v>
                </c:pt>
                <c:pt idx="80">
                  <c:v>1.64</c:v>
                </c:pt>
                <c:pt idx="81">
                  <c:v>3.91</c:v>
                </c:pt>
                <c:pt idx="82">
                  <c:v>4.4000000000000004</c:v>
                </c:pt>
                <c:pt idx="83">
                  <c:v>0.75</c:v>
                </c:pt>
                <c:pt idx="84">
                  <c:v>0.51</c:v>
                </c:pt>
                <c:pt idx="85">
                  <c:v>1.22</c:v>
                </c:pt>
                <c:pt idx="86">
                  <c:v>2.74</c:v>
                </c:pt>
                <c:pt idx="87">
                  <c:v>0.83</c:v>
                </c:pt>
                <c:pt idx="88">
                  <c:v>8.42</c:v>
                </c:pt>
                <c:pt idx="89">
                  <c:v>2.74</c:v>
                </c:pt>
                <c:pt idx="90">
                  <c:v>0.94</c:v>
                </c:pt>
                <c:pt idx="91">
                  <c:v>3.22</c:v>
                </c:pt>
                <c:pt idx="92">
                  <c:v>0.49</c:v>
                </c:pt>
                <c:pt idx="93">
                  <c:v>0.75</c:v>
                </c:pt>
                <c:pt idx="94">
                  <c:v>0.35</c:v>
                </c:pt>
                <c:pt idx="95">
                  <c:v>1.05</c:v>
                </c:pt>
                <c:pt idx="96">
                  <c:v>0.5</c:v>
                </c:pt>
                <c:pt idx="97">
                  <c:v>2.84</c:v>
                </c:pt>
                <c:pt idx="98">
                  <c:v>0.9</c:v>
                </c:pt>
                <c:pt idx="99">
                  <c:v>1.0900000000000001</c:v>
                </c:pt>
                <c:pt idx="100">
                  <c:v>3.27</c:v>
                </c:pt>
                <c:pt idx="101">
                  <c:v>1.79</c:v>
                </c:pt>
                <c:pt idx="102">
                  <c:v>5.18</c:v>
                </c:pt>
                <c:pt idx="103">
                  <c:v>2.06</c:v>
                </c:pt>
                <c:pt idx="104">
                  <c:v>1.25</c:v>
                </c:pt>
                <c:pt idx="105">
                  <c:v>0.64</c:v>
                </c:pt>
                <c:pt idx="106">
                  <c:v>2</c:v>
                </c:pt>
                <c:pt idx="107">
                  <c:v>2.4900000000000002</c:v>
                </c:pt>
                <c:pt idx="108">
                  <c:v>3.01</c:v>
                </c:pt>
                <c:pt idx="109">
                  <c:v>1.04</c:v>
                </c:pt>
                <c:pt idx="110">
                  <c:v>0.42</c:v>
                </c:pt>
                <c:pt idx="111">
                  <c:v>0.9</c:v>
                </c:pt>
                <c:pt idx="112">
                  <c:v>2.74</c:v>
                </c:pt>
                <c:pt idx="113">
                  <c:v>1.74</c:v>
                </c:pt>
                <c:pt idx="114">
                  <c:v>5.18</c:v>
                </c:pt>
                <c:pt idx="115">
                  <c:v>1.51</c:v>
                </c:pt>
                <c:pt idx="116">
                  <c:v>0.43</c:v>
                </c:pt>
                <c:pt idx="117">
                  <c:v>0.68</c:v>
                </c:pt>
                <c:pt idx="118">
                  <c:v>1.1399999999999999</c:v>
                </c:pt>
                <c:pt idx="119">
                  <c:v>0.9</c:v>
                </c:pt>
                <c:pt idx="120">
                  <c:v>2</c:v>
                </c:pt>
                <c:pt idx="121">
                  <c:v>4.0999999999999996</c:v>
                </c:pt>
                <c:pt idx="122">
                  <c:v>1.06</c:v>
                </c:pt>
                <c:pt idx="123">
                  <c:v>4.54</c:v>
                </c:pt>
                <c:pt idx="124">
                  <c:v>1.47</c:v>
                </c:pt>
                <c:pt idx="125">
                  <c:v>2.0699999999999998</c:v>
                </c:pt>
                <c:pt idx="126">
                  <c:v>2.4300000000000002</c:v>
                </c:pt>
                <c:pt idx="127">
                  <c:v>0.77</c:v>
                </c:pt>
                <c:pt idx="128">
                  <c:v>10.75</c:v>
                </c:pt>
                <c:pt idx="129">
                  <c:v>1.77</c:v>
                </c:pt>
                <c:pt idx="130">
                  <c:v>1.01</c:v>
                </c:pt>
                <c:pt idx="131">
                  <c:v>0.9</c:v>
                </c:pt>
                <c:pt idx="132">
                  <c:v>0.16</c:v>
                </c:pt>
                <c:pt idx="133">
                  <c:v>0.94</c:v>
                </c:pt>
                <c:pt idx="134">
                  <c:v>6.54</c:v>
                </c:pt>
                <c:pt idx="135">
                  <c:v>0.68</c:v>
                </c:pt>
                <c:pt idx="136">
                  <c:v>1.84</c:v>
                </c:pt>
                <c:pt idx="137">
                  <c:v>2.0699999999999998</c:v>
                </c:pt>
                <c:pt idx="138">
                  <c:v>0.73</c:v>
                </c:pt>
                <c:pt idx="139">
                  <c:v>0.51</c:v>
                </c:pt>
                <c:pt idx="140">
                  <c:v>1.33</c:v>
                </c:pt>
                <c:pt idx="141">
                  <c:v>2.4300000000000002</c:v>
                </c:pt>
                <c:pt idx="142">
                  <c:v>3.32</c:v>
                </c:pt>
                <c:pt idx="143">
                  <c:v>0.85</c:v>
                </c:pt>
                <c:pt idx="144">
                  <c:v>23.86</c:v>
                </c:pt>
                <c:pt idx="145">
                  <c:v>3.48</c:v>
                </c:pt>
                <c:pt idx="146">
                  <c:v>9.64</c:v>
                </c:pt>
                <c:pt idx="147">
                  <c:v>1.83</c:v>
                </c:pt>
                <c:pt idx="148">
                  <c:v>0.4</c:v>
                </c:pt>
                <c:pt idx="149">
                  <c:v>0.54</c:v>
                </c:pt>
                <c:pt idx="150">
                  <c:v>5.07</c:v>
                </c:pt>
                <c:pt idx="151">
                  <c:v>0.78</c:v>
                </c:pt>
                <c:pt idx="152">
                  <c:v>1.46</c:v>
                </c:pt>
                <c:pt idx="153">
                  <c:v>3.23</c:v>
                </c:pt>
                <c:pt idx="154">
                  <c:v>1.27</c:v>
                </c:pt>
                <c:pt idx="155">
                  <c:v>1.56</c:v>
                </c:pt>
                <c:pt idx="156">
                  <c:v>0.75</c:v>
                </c:pt>
                <c:pt idx="157">
                  <c:v>2.63</c:v>
                </c:pt>
                <c:pt idx="158">
                  <c:v>1.01</c:v>
                </c:pt>
                <c:pt idx="159">
                  <c:v>1.2</c:v>
                </c:pt>
                <c:pt idx="160">
                  <c:v>8.8700000000000028</c:v>
                </c:pt>
                <c:pt idx="161">
                  <c:v>4.74</c:v>
                </c:pt>
                <c:pt idx="162">
                  <c:v>8.1300000000000008</c:v>
                </c:pt>
                <c:pt idx="163">
                  <c:v>19.22</c:v>
                </c:pt>
                <c:pt idx="164">
                  <c:v>15.3</c:v>
                </c:pt>
                <c:pt idx="165">
                  <c:v>10.14</c:v>
                </c:pt>
                <c:pt idx="166">
                  <c:v>12.76</c:v>
                </c:pt>
                <c:pt idx="167">
                  <c:v>6.68</c:v>
                </c:pt>
                <c:pt idx="168">
                  <c:v>11.94</c:v>
                </c:pt>
                <c:pt idx="169">
                  <c:v>9.42</c:v>
                </c:pt>
                <c:pt idx="170">
                  <c:v>8.51</c:v>
                </c:pt>
                <c:pt idx="171">
                  <c:v>13.81</c:v>
                </c:pt>
                <c:pt idx="172">
                  <c:v>17.309999999999999</c:v>
                </c:pt>
                <c:pt idx="173">
                  <c:v>9.58</c:v>
                </c:pt>
                <c:pt idx="174">
                  <c:v>10.73</c:v>
                </c:pt>
                <c:pt idx="175">
                  <c:v>16.670000000000009</c:v>
                </c:pt>
                <c:pt idx="176">
                  <c:v>13.73</c:v>
                </c:pt>
                <c:pt idx="177">
                  <c:v>12.2</c:v>
                </c:pt>
                <c:pt idx="178">
                  <c:v>22.4</c:v>
                </c:pt>
                <c:pt idx="179">
                  <c:v>27.52</c:v>
                </c:pt>
                <c:pt idx="180">
                  <c:v>13.61</c:v>
                </c:pt>
                <c:pt idx="181">
                  <c:v>11.18</c:v>
                </c:pt>
                <c:pt idx="182">
                  <c:v>15.98</c:v>
                </c:pt>
                <c:pt idx="183">
                  <c:v>21.48</c:v>
                </c:pt>
                <c:pt idx="184">
                  <c:v>13.04</c:v>
                </c:pt>
                <c:pt idx="185">
                  <c:v>9.1300000000000008</c:v>
                </c:pt>
                <c:pt idx="186">
                  <c:v>39.33</c:v>
                </c:pt>
                <c:pt idx="187">
                  <c:v>25.95</c:v>
                </c:pt>
                <c:pt idx="188">
                  <c:v>10.61</c:v>
                </c:pt>
                <c:pt idx="189">
                  <c:v>6.8</c:v>
                </c:pt>
                <c:pt idx="190">
                  <c:v>13.24</c:v>
                </c:pt>
                <c:pt idx="191">
                  <c:v>16.649999999999999</c:v>
                </c:pt>
                <c:pt idx="192">
                  <c:v>34.06</c:v>
                </c:pt>
                <c:pt idx="193">
                  <c:v>11.23</c:v>
                </c:pt>
                <c:pt idx="194">
                  <c:v>11.23</c:v>
                </c:pt>
                <c:pt idx="195">
                  <c:v>11.91</c:v>
                </c:pt>
                <c:pt idx="196">
                  <c:v>11.91</c:v>
                </c:pt>
                <c:pt idx="197">
                  <c:v>10.73</c:v>
                </c:pt>
                <c:pt idx="198">
                  <c:v>10.73</c:v>
                </c:pt>
                <c:pt idx="199">
                  <c:v>3.6</c:v>
                </c:pt>
                <c:pt idx="200">
                  <c:v>1.18</c:v>
                </c:pt>
                <c:pt idx="201">
                  <c:v>1.7</c:v>
                </c:pt>
                <c:pt idx="202">
                  <c:v>2.36</c:v>
                </c:pt>
                <c:pt idx="203">
                  <c:v>4.47</c:v>
                </c:pt>
                <c:pt idx="204">
                  <c:v>4.6599999999999984</c:v>
                </c:pt>
                <c:pt idx="205">
                  <c:v>3.12</c:v>
                </c:pt>
                <c:pt idx="206">
                  <c:v>4.4800000000000004</c:v>
                </c:pt>
                <c:pt idx="207">
                  <c:v>5.0199999999999996</c:v>
                </c:pt>
                <c:pt idx="208">
                  <c:v>2.58</c:v>
                </c:pt>
                <c:pt idx="209">
                  <c:v>2.71</c:v>
                </c:pt>
                <c:pt idx="210">
                  <c:v>3.82</c:v>
                </c:pt>
                <c:pt idx="211">
                  <c:v>3.63</c:v>
                </c:pt>
                <c:pt idx="212">
                  <c:v>7.46</c:v>
                </c:pt>
                <c:pt idx="213">
                  <c:v>5.76</c:v>
                </c:pt>
                <c:pt idx="214">
                  <c:v>3.77</c:v>
                </c:pt>
                <c:pt idx="215">
                  <c:v>5.58</c:v>
                </c:pt>
                <c:pt idx="216">
                  <c:v>6.24</c:v>
                </c:pt>
                <c:pt idx="217">
                  <c:v>5.45</c:v>
                </c:pt>
                <c:pt idx="218">
                  <c:v>3.53</c:v>
                </c:pt>
                <c:pt idx="219">
                  <c:v>7.6499999999999977</c:v>
                </c:pt>
                <c:pt idx="220">
                  <c:v>4.43</c:v>
                </c:pt>
                <c:pt idx="221">
                  <c:v>5.8199999999999976</c:v>
                </c:pt>
                <c:pt idx="222">
                  <c:v>4.2</c:v>
                </c:pt>
                <c:pt idx="223">
                  <c:v>3.17</c:v>
                </c:pt>
                <c:pt idx="224">
                  <c:v>4.7300000000000004</c:v>
                </c:pt>
                <c:pt idx="225">
                  <c:v>2.69</c:v>
                </c:pt>
                <c:pt idx="226">
                  <c:v>2.2000000000000002</c:v>
                </c:pt>
                <c:pt idx="227">
                  <c:v>1.98</c:v>
                </c:pt>
                <c:pt idx="228">
                  <c:v>1.97</c:v>
                </c:pt>
                <c:pt idx="229">
                  <c:v>2.14</c:v>
                </c:pt>
                <c:pt idx="230">
                  <c:v>1.54</c:v>
                </c:pt>
                <c:pt idx="231">
                  <c:v>2.25</c:v>
                </c:pt>
                <c:pt idx="232">
                  <c:v>3.16</c:v>
                </c:pt>
                <c:pt idx="233">
                  <c:v>3.86</c:v>
                </c:pt>
                <c:pt idx="234">
                  <c:v>3.05</c:v>
                </c:pt>
                <c:pt idx="235">
                  <c:v>2.96</c:v>
                </c:pt>
                <c:pt idx="236">
                  <c:v>2.0299999999999998</c:v>
                </c:pt>
                <c:pt idx="237">
                  <c:v>2.17</c:v>
                </c:pt>
                <c:pt idx="238">
                  <c:v>0.51</c:v>
                </c:pt>
                <c:pt idx="239">
                  <c:v>0.38</c:v>
                </c:pt>
                <c:pt idx="240">
                  <c:v>4.0599999999999996</c:v>
                </c:pt>
                <c:pt idx="241">
                  <c:v>0.53</c:v>
                </c:pt>
                <c:pt idx="242">
                  <c:v>0.56999999999999995</c:v>
                </c:pt>
                <c:pt idx="243">
                  <c:v>0.28999999999999998</c:v>
                </c:pt>
                <c:pt idx="244">
                  <c:v>0.23</c:v>
                </c:pt>
                <c:pt idx="245">
                  <c:v>5.18</c:v>
                </c:pt>
                <c:pt idx="246">
                  <c:v>11.34</c:v>
                </c:pt>
                <c:pt idx="247">
                  <c:v>7.48</c:v>
                </c:pt>
                <c:pt idx="248">
                  <c:v>6.07</c:v>
                </c:pt>
                <c:pt idx="249">
                  <c:v>2.25</c:v>
                </c:pt>
                <c:pt idx="250">
                  <c:v>2.33</c:v>
                </c:pt>
                <c:pt idx="251">
                  <c:v>6.52</c:v>
                </c:pt>
                <c:pt idx="252">
                  <c:v>6.43</c:v>
                </c:pt>
                <c:pt idx="253">
                  <c:v>5.73</c:v>
                </c:pt>
                <c:pt idx="254">
                  <c:v>1.8</c:v>
                </c:pt>
                <c:pt idx="255">
                  <c:v>1.46</c:v>
                </c:pt>
                <c:pt idx="256">
                  <c:v>4.55</c:v>
                </c:pt>
                <c:pt idx="257">
                  <c:v>6.67</c:v>
                </c:pt>
                <c:pt idx="258">
                  <c:v>1.51</c:v>
                </c:pt>
                <c:pt idx="259">
                  <c:v>0.43</c:v>
                </c:pt>
                <c:pt idx="260">
                  <c:v>0.95</c:v>
                </c:pt>
                <c:pt idx="261">
                  <c:v>0.97</c:v>
                </c:pt>
                <c:pt idx="262">
                  <c:v>0.95</c:v>
                </c:pt>
                <c:pt idx="263">
                  <c:v>6.51</c:v>
                </c:pt>
                <c:pt idx="264">
                  <c:v>1.79</c:v>
                </c:pt>
                <c:pt idx="265">
                  <c:v>5.2</c:v>
                </c:pt>
                <c:pt idx="266">
                  <c:v>6.7</c:v>
                </c:pt>
                <c:pt idx="267">
                  <c:v>9.0500000000000007</c:v>
                </c:pt>
                <c:pt idx="268">
                  <c:v>3.66</c:v>
                </c:pt>
                <c:pt idx="269">
                  <c:v>5.45</c:v>
                </c:pt>
                <c:pt idx="270">
                  <c:v>3.53</c:v>
                </c:pt>
                <c:pt idx="271">
                  <c:v>7.6499999999999977</c:v>
                </c:pt>
                <c:pt idx="272">
                  <c:v>4.43</c:v>
                </c:pt>
                <c:pt idx="273">
                  <c:v>5.8199999999999976</c:v>
                </c:pt>
                <c:pt idx="274">
                  <c:v>4.2</c:v>
                </c:pt>
                <c:pt idx="275">
                  <c:v>3.17</c:v>
                </c:pt>
                <c:pt idx="276">
                  <c:v>4.7300000000000004</c:v>
                </c:pt>
                <c:pt idx="277">
                  <c:v>2.69</c:v>
                </c:pt>
                <c:pt idx="278">
                  <c:v>2.2000000000000002</c:v>
                </c:pt>
                <c:pt idx="279">
                  <c:v>1.98</c:v>
                </c:pt>
                <c:pt idx="280">
                  <c:v>1.97</c:v>
                </c:pt>
                <c:pt idx="281">
                  <c:v>2.14</c:v>
                </c:pt>
                <c:pt idx="282">
                  <c:v>1.54</c:v>
                </c:pt>
                <c:pt idx="283">
                  <c:v>2.25</c:v>
                </c:pt>
                <c:pt idx="284">
                  <c:v>3.16</c:v>
                </c:pt>
                <c:pt idx="285">
                  <c:v>3.86</c:v>
                </c:pt>
                <c:pt idx="286">
                  <c:v>3.05</c:v>
                </c:pt>
                <c:pt idx="287">
                  <c:v>2.96</c:v>
                </c:pt>
                <c:pt idx="288">
                  <c:v>2.0299999999999998</c:v>
                </c:pt>
                <c:pt idx="289">
                  <c:v>2.17</c:v>
                </c:pt>
                <c:pt idx="290">
                  <c:v>8.8700000000000028</c:v>
                </c:pt>
                <c:pt idx="291">
                  <c:v>4.74</c:v>
                </c:pt>
                <c:pt idx="292">
                  <c:v>8.1300000000000008</c:v>
                </c:pt>
                <c:pt idx="293">
                  <c:v>19.22</c:v>
                </c:pt>
                <c:pt idx="294">
                  <c:v>15.3</c:v>
                </c:pt>
                <c:pt idx="295">
                  <c:v>10.14</c:v>
                </c:pt>
                <c:pt idx="296">
                  <c:v>12.76</c:v>
                </c:pt>
                <c:pt idx="297">
                  <c:v>6.68</c:v>
                </c:pt>
                <c:pt idx="298">
                  <c:v>11.94</c:v>
                </c:pt>
                <c:pt idx="299">
                  <c:v>9.42</c:v>
                </c:pt>
                <c:pt idx="300">
                  <c:v>8.51</c:v>
                </c:pt>
                <c:pt idx="301">
                  <c:v>13.81</c:v>
                </c:pt>
                <c:pt idx="302">
                  <c:v>17.309999999999999</c:v>
                </c:pt>
                <c:pt idx="303">
                  <c:v>9.58</c:v>
                </c:pt>
                <c:pt idx="304">
                  <c:v>10.73</c:v>
                </c:pt>
                <c:pt idx="305">
                  <c:v>1.01</c:v>
                </c:pt>
                <c:pt idx="306">
                  <c:v>0.5</c:v>
                </c:pt>
                <c:pt idx="307">
                  <c:v>0.51</c:v>
                </c:pt>
                <c:pt idx="308">
                  <c:v>16.670000000000009</c:v>
                </c:pt>
                <c:pt idx="309">
                  <c:v>13.73</c:v>
                </c:pt>
                <c:pt idx="310">
                  <c:v>12.2</c:v>
                </c:pt>
                <c:pt idx="311">
                  <c:v>22.4</c:v>
                </c:pt>
                <c:pt idx="312">
                  <c:v>27.52</c:v>
                </c:pt>
                <c:pt idx="313">
                  <c:v>13.61</c:v>
                </c:pt>
                <c:pt idx="314">
                  <c:v>11.18</c:v>
                </c:pt>
                <c:pt idx="315">
                  <c:v>15.98</c:v>
                </c:pt>
                <c:pt idx="316">
                  <c:v>21.48</c:v>
                </c:pt>
                <c:pt idx="317">
                  <c:v>13.04</c:v>
                </c:pt>
                <c:pt idx="318">
                  <c:v>0.67</c:v>
                </c:pt>
                <c:pt idx="319">
                  <c:v>1.6</c:v>
                </c:pt>
                <c:pt idx="320">
                  <c:v>1.04</c:v>
                </c:pt>
                <c:pt idx="321">
                  <c:v>0.65</c:v>
                </c:pt>
                <c:pt idx="322">
                  <c:v>0.16</c:v>
                </c:pt>
                <c:pt idx="323">
                  <c:v>0.96</c:v>
                </c:pt>
                <c:pt idx="324">
                  <c:v>0.43</c:v>
                </c:pt>
                <c:pt idx="325">
                  <c:v>4.47</c:v>
                </c:pt>
                <c:pt idx="326">
                  <c:v>4.6599999999999984</c:v>
                </c:pt>
                <c:pt idx="327">
                  <c:v>3.12</c:v>
                </c:pt>
                <c:pt idx="328">
                  <c:v>4.4800000000000004</c:v>
                </c:pt>
                <c:pt idx="329">
                  <c:v>5.0199999999999996</c:v>
                </c:pt>
                <c:pt idx="330">
                  <c:v>0.21</c:v>
                </c:pt>
                <c:pt idx="331">
                  <c:v>4.28</c:v>
                </c:pt>
                <c:pt idx="332">
                  <c:v>5.45</c:v>
                </c:pt>
                <c:pt idx="333">
                  <c:v>3.53</c:v>
                </c:pt>
                <c:pt idx="334">
                  <c:v>7.6499999999999977</c:v>
                </c:pt>
                <c:pt idx="335">
                  <c:v>4.43</c:v>
                </c:pt>
                <c:pt idx="336">
                  <c:v>5.8199999999999976</c:v>
                </c:pt>
                <c:pt idx="337">
                  <c:v>4.2</c:v>
                </c:pt>
                <c:pt idx="338">
                  <c:v>3.17</c:v>
                </c:pt>
                <c:pt idx="339">
                  <c:v>4.7300000000000004</c:v>
                </c:pt>
                <c:pt idx="340">
                  <c:v>2.69</c:v>
                </c:pt>
                <c:pt idx="341">
                  <c:v>2.2000000000000002</c:v>
                </c:pt>
                <c:pt idx="342">
                  <c:v>1.98</c:v>
                </c:pt>
                <c:pt idx="343">
                  <c:v>1.97</c:v>
                </c:pt>
                <c:pt idx="344">
                  <c:v>2.14</c:v>
                </c:pt>
                <c:pt idx="345">
                  <c:v>1.54</c:v>
                </c:pt>
                <c:pt idx="346">
                  <c:v>2.25</c:v>
                </c:pt>
                <c:pt idx="347">
                  <c:v>3.16</c:v>
                </c:pt>
                <c:pt idx="348">
                  <c:v>3.86</c:v>
                </c:pt>
                <c:pt idx="349">
                  <c:v>3.05</c:v>
                </c:pt>
                <c:pt idx="350">
                  <c:v>2.96</c:v>
                </c:pt>
                <c:pt idx="351">
                  <c:v>2.0299999999999998</c:v>
                </c:pt>
                <c:pt idx="352">
                  <c:v>2.17</c:v>
                </c:pt>
                <c:pt idx="353">
                  <c:v>1.2</c:v>
                </c:pt>
                <c:pt idx="354">
                  <c:v>1.24</c:v>
                </c:pt>
                <c:pt idx="355">
                  <c:v>4.0599999999999996</c:v>
                </c:pt>
                <c:pt idx="356">
                  <c:v>4.53</c:v>
                </c:pt>
                <c:pt idx="357">
                  <c:v>3.23</c:v>
                </c:pt>
                <c:pt idx="358">
                  <c:v>9.1300000000000008</c:v>
                </c:pt>
                <c:pt idx="359">
                  <c:v>12.77</c:v>
                </c:pt>
                <c:pt idx="360">
                  <c:v>4.84</c:v>
                </c:pt>
                <c:pt idx="361">
                  <c:v>4.22</c:v>
                </c:pt>
                <c:pt idx="362">
                  <c:v>2.68</c:v>
                </c:pt>
                <c:pt idx="363">
                  <c:v>5.41</c:v>
                </c:pt>
                <c:pt idx="364">
                  <c:v>2.9</c:v>
                </c:pt>
                <c:pt idx="365">
                  <c:v>3.72</c:v>
                </c:pt>
                <c:pt idx="366">
                  <c:v>3.78</c:v>
                </c:pt>
                <c:pt idx="367">
                  <c:v>1.5</c:v>
                </c:pt>
                <c:pt idx="368">
                  <c:v>1.48</c:v>
                </c:pt>
                <c:pt idx="369">
                  <c:v>2.54</c:v>
                </c:pt>
                <c:pt idx="370">
                  <c:v>5.18</c:v>
                </c:pt>
                <c:pt idx="371">
                  <c:v>11.34</c:v>
                </c:pt>
                <c:pt idx="372">
                  <c:v>7.48</c:v>
                </c:pt>
                <c:pt idx="373">
                  <c:v>6.07</c:v>
                </c:pt>
                <c:pt idx="374">
                  <c:v>2.25</c:v>
                </c:pt>
                <c:pt idx="375">
                  <c:v>2.33</c:v>
                </c:pt>
                <c:pt idx="376">
                  <c:v>6.52</c:v>
                </c:pt>
                <c:pt idx="377">
                  <c:v>6.43</c:v>
                </c:pt>
                <c:pt idx="378">
                  <c:v>5.73</c:v>
                </c:pt>
                <c:pt idx="379">
                  <c:v>1.8</c:v>
                </c:pt>
                <c:pt idx="380">
                  <c:v>1.46</c:v>
                </c:pt>
                <c:pt idx="381">
                  <c:v>4.55</c:v>
                </c:pt>
                <c:pt idx="382">
                  <c:v>6.67</c:v>
                </c:pt>
                <c:pt idx="383">
                  <c:v>6.64</c:v>
                </c:pt>
                <c:pt idx="384">
                  <c:v>1.68</c:v>
                </c:pt>
                <c:pt idx="385">
                  <c:v>2.25</c:v>
                </c:pt>
                <c:pt idx="386">
                  <c:v>1.0900000000000001</c:v>
                </c:pt>
                <c:pt idx="387">
                  <c:v>1.48</c:v>
                </c:pt>
                <c:pt idx="388">
                  <c:v>0.54</c:v>
                </c:pt>
                <c:pt idx="389">
                  <c:v>0.43</c:v>
                </c:pt>
                <c:pt idx="390">
                  <c:v>0.64</c:v>
                </c:pt>
                <c:pt idx="391">
                  <c:v>5.45</c:v>
                </c:pt>
                <c:pt idx="392">
                  <c:v>3.53</c:v>
                </c:pt>
                <c:pt idx="393">
                  <c:v>7.6499999999999977</c:v>
                </c:pt>
                <c:pt idx="394">
                  <c:v>4.43</c:v>
                </c:pt>
                <c:pt idx="395">
                  <c:v>5.8199999999999976</c:v>
                </c:pt>
                <c:pt idx="396">
                  <c:v>0.85</c:v>
                </c:pt>
                <c:pt idx="397">
                  <c:v>3.26</c:v>
                </c:pt>
                <c:pt idx="398">
                  <c:v>4.0599999999999996</c:v>
                </c:pt>
                <c:pt idx="399">
                  <c:v>4.53</c:v>
                </c:pt>
                <c:pt idx="400">
                  <c:v>3.23</c:v>
                </c:pt>
                <c:pt idx="401">
                  <c:v>9.1300000000000008</c:v>
                </c:pt>
                <c:pt idx="402">
                  <c:v>12.77</c:v>
                </c:pt>
                <c:pt idx="403">
                  <c:v>4.84</c:v>
                </c:pt>
                <c:pt idx="404">
                  <c:v>4.22</c:v>
                </c:pt>
                <c:pt idx="405">
                  <c:v>2.68</c:v>
                </c:pt>
                <c:pt idx="406">
                  <c:v>5.41</c:v>
                </c:pt>
                <c:pt idx="407">
                  <c:v>2.9</c:v>
                </c:pt>
                <c:pt idx="408">
                  <c:v>3.72</c:v>
                </c:pt>
                <c:pt idx="409">
                  <c:v>3.78</c:v>
                </c:pt>
                <c:pt idx="410">
                  <c:v>11.5</c:v>
                </c:pt>
                <c:pt idx="411">
                  <c:v>2.94</c:v>
                </c:pt>
                <c:pt idx="412">
                  <c:v>0.76</c:v>
                </c:pt>
                <c:pt idx="413">
                  <c:v>5.18</c:v>
                </c:pt>
                <c:pt idx="414">
                  <c:v>11.34</c:v>
                </c:pt>
                <c:pt idx="415">
                  <c:v>7.48</c:v>
                </c:pt>
                <c:pt idx="416">
                  <c:v>6.07</c:v>
                </c:pt>
                <c:pt idx="417">
                  <c:v>2.25</c:v>
                </c:pt>
                <c:pt idx="418">
                  <c:v>2.33</c:v>
                </c:pt>
                <c:pt idx="419">
                  <c:v>6.52</c:v>
                </c:pt>
                <c:pt idx="420">
                  <c:v>6.43</c:v>
                </c:pt>
                <c:pt idx="421">
                  <c:v>5.73</c:v>
                </c:pt>
                <c:pt idx="422">
                  <c:v>1.8</c:v>
                </c:pt>
                <c:pt idx="423">
                  <c:v>1.46</c:v>
                </c:pt>
                <c:pt idx="424">
                  <c:v>4.55</c:v>
                </c:pt>
                <c:pt idx="425">
                  <c:v>6.67</c:v>
                </c:pt>
                <c:pt idx="426">
                  <c:v>1.89</c:v>
                </c:pt>
                <c:pt idx="427">
                  <c:v>2.13</c:v>
                </c:pt>
                <c:pt idx="428">
                  <c:v>0.42</c:v>
                </c:pt>
                <c:pt idx="429">
                  <c:v>0.73</c:v>
                </c:pt>
                <c:pt idx="430">
                  <c:v>0.33</c:v>
                </c:pt>
                <c:pt idx="431">
                  <c:v>0.59</c:v>
                </c:pt>
                <c:pt idx="432">
                  <c:v>0.76</c:v>
                </c:pt>
                <c:pt idx="433">
                  <c:v>0.87</c:v>
                </c:pt>
                <c:pt idx="434">
                  <c:v>3.82</c:v>
                </c:pt>
                <c:pt idx="435">
                  <c:v>3.63</c:v>
                </c:pt>
                <c:pt idx="436">
                  <c:v>7.46</c:v>
                </c:pt>
                <c:pt idx="437">
                  <c:v>5.76</c:v>
                </c:pt>
                <c:pt idx="438">
                  <c:v>3.77</c:v>
                </c:pt>
                <c:pt idx="439">
                  <c:v>5.58</c:v>
                </c:pt>
                <c:pt idx="440">
                  <c:v>6.24</c:v>
                </c:pt>
                <c:pt idx="441">
                  <c:v>9.09</c:v>
                </c:pt>
                <c:pt idx="442">
                  <c:v>1.65</c:v>
                </c:pt>
                <c:pt idx="443">
                  <c:v>8.8700000000000028</c:v>
                </c:pt>
                <c:pt idx="444">
                  <c:v>4.74</c:v>
                </c:pt>
                <c:pt idx="445">
                  <c:v>8.1300000000000008</c:v>
                </c:pt>
                <c:pt idx="446">
                  <c:v>19.22</c:v>
                </c:pt>
                <c:pt idx="447">
                  <c:v>15.3</c:v>
                </c:pt>
                <c:pt idx="448">
                  <c:v>10.14</c:v>
                </c:pt>
                <c:pt idx="449">
                  <c:v>12.76</c:v>
                </c:pt>
                <c:pt idx="450">
                  <c:v>6.68</c:v>
                </c:pt>
                <c:pt idx="451">
                  <c:v>11.94</c:v>
                </c:pt>
                <c:pt idx="452">
                  <c:v>9.42</c:v>
                </c:pt>
                <c:pt idx="453">
                  <c:v>8.51</c:v>
                </c:pt>
                <c:pt idx="454">
                  <c:v>13.81</c:v>
                </c:pt>
                <c:pt idx="455">
                  <c:v>17.309999999999999</c:v>
                </c:pt>
                <c:pt idx="456">
                  <c:v>9.58</c:v>
                </c:pt>
                <c:pt idx="457">
                  <c:v>10.73</c:v>
                </c:pt>
                <c:pt idx="458">
                  <c:v>2</c:v>
                </c:pt>
                <c:pt idx="459">
                  <c:v>2.59</c:v>
                </c:pt>
                <c:pt idx="460">
                  <c:v>1.39</c:v>
                </c:pt>
                <c:pt idx="461">
                  <c:v>3.71</c:v>
                </c:pt>
                <c:pt idx="462">
                  <c:v>16.670000000000009</c:v>
                </c:pt>
                <c:pt idx="463">
                  <c:v>13.73</c:v>
                </c:pt>
                <c:pt idx="464">
                  <c:v>12.2</c:v>
                </c:pt>
                <c:pt idx="465">
                  <c:v>22.4</c:v>
                </c:pt>
                <c:pt idx="466">
                  <c:v>27.52</c:v>
                </c:pt>
                <c:pt idx="467">
                  <c:v>13.61</c:v>
                </c:pt>
                <c:pt idx="468">
                  <c:v>11.18</c:v>
                </c:pt>
                <c:pt idx="469">
                  <c:v>15.98</c:v>
                </c:pt>
                <c:pt idx="470">
                  <c:v>21.48</c:v>
                </c:pt>
                <c:pt idx="471">
                  <c:v>13.04</c:v>
                </c:pt>
                <c:pt idx="472">
                  <c:v>11.72</c:v>
                </c:pt>
                <c:pt idx="473">
                  <c:v>9.1300000000000008</c:v>
                </c:pt>
                <c:pt idx="474">
                  <c:v>39.33</c:v>
                </c:pt>
                <c:pt idx="475">
                  <c:v>25.95</c:v>
                </c:pt>
                <c:pt idx="476">
                  <c:v>10.61</c:v>
                </c:pt>
                <c:pt idx="477">
                  <c:v>6.8</c:v>
                </c:pt>
                <c:pt idx="478">
                  <c:v>13.24</c:v>
                </c:pt>
                <c:pt idx="479">
                  <c:v>16.649999999999999</c:v>
                </c:pt>
                <c:pt idx="480">
                  <c:v>34.06</c:v>
                </c:pt>
                <c:pt idx="481">
                  <c:v>11.23</c:v>
                </c:pt>
                <c:pt idx="482">
                  <c:v>11.91</c:v>
                </c:pt>
                <c:pt idx="483">
                  <c:v>10.73</c:v>
                </c:pt>
                <c:pt idx="484">
                  <c:v>1.89</c:v>
                </c:pt>
                <c:pt idx="485">
                  <c:v>1</c:v>
                </c:pt>
                <c:pt idx="486">
                  <c:v>2.38</c:v>
                </c:pt>
                <c:pt idx="487">
                  <c:v>0.99</c:v>
                </c:pt>
                <c:pt idx="488">
                  <c:v>2.66</c:v>
                </c:pt>
                <c:pt idx="489">
                  <c:v>1.5</c:v>
                </c:pt>
                <c:pt idx="490">
                  <c:v>1.67</c:v>
                </c:pt>
                <c:pt idx="491">
                  <c:v>0.3</c:v>
                </c:pt>
                <c:pt idx="492">
                  <c:v>0.36</c:v>
                </c:pt>
                <c:pt idx="493">
                  <c:v>8.8700000000000028</c:v>
                </c:pt>
                <c:pt idx="494">
                  <c:v>4.74</c:v>
                </c:pt>
                <c:pt idx="495">
                  <c:v>8.1300000000000008</c:v>
                </c:pt>
                <c:pt idx="496">
                  <c:v>19.22</c:v>
                </c:pt>
                <c:pt idx="497">
                  <c:v>15.3</c:v>
                </c:pt>
                <c:pt idx="498">
                  <c:v>10.14</c:v>
                </c:pt>
                <c:pt idx="499">
                  <c:v>12.76</c:v>
                </c:pt>
                <c:pt idx="500">
                  <c:v>6.68</c:v>
                </c:pt>
                <c:pt idx="501">
                  <c:v>11.94</c:v>
                </c:pt>
                <c:pt idx="502">
                  <c:v>9.42</c:v>
                </c:pt>
                <c:pt idx="503">
                  <c:v>8.51</c:v>
                </c:pt>
                <c:pt idx="504">
                  <c:v>13.81</c:v>
                </c:pt>
                <c:pt idx="505">
                  <c:v>17.309999999999999</c:v>
                </c:pt>
                <c:pt idx="506">
                  <c:v>9.58</c:v>
                </c:pt>
                <c:pt idx="507">
                  <c:v>10.73</c:v>
                </c:pt>
                <c:pt idx="508">
                  <c:v>0.82</c:v>
                </c:pt>
                <c:pt idx="509">
                  <c:v>0.43</c:v>
                </c:pt>
                <c:pt idx="510">
                  <c:v>16.670000000000009</c:v>
                </c:pt>
                <c:pt idx="511">
                  <c:v>13.73</c:v>
                </c:pt>
                <c:pt idx="512">
                  <c:v>12.2</c:v>
                </c:pt>
                <c:pt idx="513">
                  <c:v>22.4</c:v>
                </c:pt>
                <c:pt idx="514">
                  <c:v>27.52</c:v>
                </c:pt>
                <c:pt idx="515">
                  <c:v>13.61</c:v>
                </c:pt>
                <c:pt idx="516">
                  <c:v>11.18</c:v>
                </c:pt>
                <c:pt idx="517">
                  <c:v>15.98</c:v>
                </c:pt>
                <c:pt idx="518">
                  <c:v>21.48</c:v>
                </c:pt>
                <c:pt idx="519">
                  <c:v>13.04</c:v>
                </c:pt>
                <c:pt idx="520">
                  <c:v>0.38</c:v>
                </c:pt>
                <c:pt idx="521">
                  <c:v>1.98</c:v>
                </c:pt>
                <c:pt idx="522">
                  <c:v>9.1300000000000008</c:v>
                </c:pt>
                <c:pt idx="523">
                  <c:v>39.33</c:v>
                </c:pt>
                <c:pt idx="524">
                  <c:v>25.95</c:v>
                </c:pt>
                <c:pt idx="525">
                  <c:v>10.61</c:v>
                </c:pt>
                <c:pt idx="526">
                  <c:v>6.8</c:v>
                </c:pt>
                <c:pt idx="527">
                  <c:v>13.24</c:v>
                </c:pt>
                <c:pt idx="528">
                  <c:v>16.649999999999999</c:v>
                </c:pt>
                <c:pt idx="529">
                  <c:v>34.06</c:v>
                </c:pt>
                <c:pt idx="530">
                  <c:v>11.23</c:v>
                </c:pt>
                <c:pt idx="531">
                  <c:v>11.91</c:v>
                </c:pt>
                <c:pt idx="532">
                  <c:v>10.73</c:v>
                </c:pt>
                <c:pt idx="533">
                  <c:v>0.24</c:v>
                </c:pt>
                <c:pt idx="534">
                  <c:v>0.08</c:v>
                </c:pt>
                <c:pt idx="535">
                  <c:v>0.64</c:v>
                </c:pt>
                <c:pt idx="536">
                  <c:v>5.45</c:v>
                </c:pt>
                <c:pt idx="537">
                  <c:v>3.53</c:v>
                </c:pt>
                <c:pt idx="538">
                  <c:v>7.6499999999999977</c:v>
                </c:pt>
                <c:pt idx="539">
                  <c:v>4.43</c:v>
                </c:pt>
                <c:pt idx="540">
                  <c:v>5.8199999999999976</c:v>
                </c:pt>
                <c:pt idx="541">
                  <c:v>4.2</c:v>
                </c:pt>
                <c:pt idx="542">
                  <c:v>3.17</c:v>
                </c:pt>
                <c:pt idx="543">
                  <c:v>4.7300000000000004</c:v>
                </c:pt>
                <c:pt idx="544">
                  <c:v>2.69</c:v>
                </c:pt>
                <c:pt idx="545">
                  <c:v>2.2000000000000002</c:v>
                </c:pt>
                <c:pt idx="546">
                  <c:v>1.98</c:v>
                </c:pt>
                <c:pt idx="547">
                  <c:v>1.97</c:v>
                </c:pt>
                <c:pt idx="548">
                  <c:v>2.14</c:v>
                </c:pt>
                <c:pt idx="549">
                  <c:v>1.54</c:v>
                </c:pt>
                <c:pt idx="550">
                  <c:v>2.25</c:v>
                </c:pt>
                <c:pt idx="551">
                  <c:v>3.16</c:v>
                </c:pt>
                <c:pt idx="552">
                  <c:v>3.86</c:v>
                </c:pt>
                <c:pt idx="553">
                  <c:v>3.05</c:v>
                </c:pt>
                <c:pt idx="554">
                  <c:v>2.96</c:v>
                </c:pt>
                <c:pt idx="555">
                  <c:v>2.0299999999999998</c:v>
                </c:pt>
                <c:pt idx="556">
                  <c:v>2.17</c:v>
                </c:pt>
                <c:pt idx="557">
                  <c:v>8.8700000000000028</c:v>
                </c:pt>
                <c:pt idx="558">
                  <c:v>4.74</c:v>
                </c:pt>
                <c:pt idx="559">
                  <c:v>8.1300000000000008</c:v>
                </c:pt>
                <c:pt idx="560">
                  <c:v>19.22</c:v>
                </c:pt>
                <c:pt idx="561">
                  <c:v>15.3</c:v>
                </c:pt>
                <c:pt idx="562">
                  <c:v>10.14</c:v>
                </c:pt>
                <c:pt idx="563">
                  <c:v>12.76</c:v>
                </c:pt>
                <c:pt idx="564">
                  <c:v>6.68</c:v>
                </c:pt>
                <c:pt idx="565">
                  <c:v>11.94</c:v>
                </c:pt>
                <c:pt idx="566">
                  <c:v>9.42</c:v>
                </c:pt>
                <c:pt idx="567">
                  <c:v>8.51</c:v>
                </c:pt>
                <c:pt idx="568">
                  <c:v>13.81</c:v>
                </c:pt>
                <c:pt idx="569">
                  <c:v>17.309999999999999</c:v>
                </c:pt>
                <c:pt idx="570">
                  <c:v>9.58</c:v>
                </c:pt>
                <c:pt idx="571">
                  <c:v>10.73</c:v>
                </c:pt>
                <c:pt idx="572">
                  <c:v>4.0599999999999996</c:v>
                </c:pt>
                <c:pt idx="573">
                  <c:v>16.670000000000009</c:v>
                </c:pt>
                <c:pt idx="574">
                  <c:v>13.73</c:v>
                </c:pt>
                <c:pt idx="575">
                  <c:v>12.2</c:v>
                </c:pt>
                <c:pt idx="576">
                  <c:v>22.4</c:v>
                </c:pt>
                <c:pt idx="577">
                  <c:v>27.52</c:v>
                </c:pt>
                <c:pt idx="578">
                  <c:v>13.61</c:v>
                </c:pt>
                <c:pt idx="579">
                  <c:v>11.18</c:v>
                </c:pt>
                <c:pt idx="580">
                  <c:v>15.98</c:v>
                </c:pt>
                <c:pt idx="581">
                  <c:v>21.48</c:v>
                </c:pt>
                <c:pt idx="582">
                  <c:v>13.04</c:v>
                </c:pt>
                <c:pt idx="583">
                  <c:v>5.18</c:v>
                </c:pt>
                <c:pt idx="584">
                  <c:v>11.34</c:v>
                </c:pt>
                <c:pt idx="585">
                  <c:v>7.48</c:v>
                </c:pt>
                <c:pt idx="586">
                  <c:v>6.07</c:v>
                </c:pt>
                <c:pt idx="587">
                  <c:v>2.25</c:v>
                </c:pt>
                <c:pt idx="588">
                  <c:v>2.33</c:v>
                </c:pt>
                <c:pt idx="589">
                  <c:v>6.52</c:v>
                </c:pt>
                <c:pt idx="590">
                  <c:v>6.43</c:v>
                </c:pt>
                <c:pt idx="591">
                  <c:v>5.73</c:v>
                </c:pt>
                <c:pt idx="592">
                  <c:v>1.8</c:v>
                </c:pt>
                <c:pt idx="593">
                  <c:v>1.46</c:v>
                </c:pt>
                <c:pt idx="594">
                  <c:v>4.55</c:v>
                </c:pt>
                <c:pt idx="595">
                  <c:v>6.67</c:v>
                </c:pt>
                <c:pt idx="596">
                  <c:v>9.1300000000000008</c:v>
                </c:pt>
                <c:pt idx="597">
                  <c:v>39.33</c:v>
                </c:pt>
                <c:pt idx="598">
                  <c:v>25.95</c:v>
                </c:pt>
                <c:pt idx="599">
                  <c:v>10.61</c:v>
                </c:pt>
                <c:pt idx="600">
                  <c:v>6.8</c:v>
                </c:pt>
                <c:pt idx="601">
                  <c:v>13.24</c:v>
                </c:pt>
                <c:pt idx="602">
                  <c:v>16.649999999999999</c:v>
                </c:pt>
                <c:pt idx="603">
                  <c:v>34.06</c:v>
                </c:pt>
                <c:pt idx="604">
                  <c:v>11.23</c:v>
                </c:pt>
                <c:pt idx="605">
                  <c:v>11.91</c:v>
                </c:pt>
                <c:pt idx="606">
                  <c:v>10.73</c:v>
                </c:pt>
                <c:pt idx="607">
                  <c:v>0.86</c:v>
                </c:pt>
                <c:pt idx="608">
                  <c:v>0.43</c:v>
                </c:pt>
                <c:pt idx="609">
                  <c:v>0.94</c:v>
                </c:pt>
                <c:pt idx="610">
                  <c:v>0.84</c:v>
                </c:pt>
                <c:pt idx="611">
                  <c:v>4.47</c:v>
                </c:pt>
                <c:pt idx="612">
                  <c:v>4.6599999999999984</c:v>
                </c:pt>
                <c:pt idx="613">
                  <c:v>3.12</c:v>
                </c:pt>
                <c:pt idx="614">
                  <c:v>4.4800000000000004</c:v>
                </c:pt>
                <c:pt idx="615">
                  <c:v>5.0199999999999996</c:v>
                </c:pt>
                <c:pt idx="616">
                  <c:v>0.42</c:v>
                </c:pt>
                <c:pt idx="617">
                  <c:v>3.82</c:v>
                </c:pt>
                <c:pt idx="618">
                  <c:v>3.63</c:v>
                </c:pt>
                <c:pt idx="619">
                  <c:v>7.46</c:v>
                </c:pt>
                <c:pt idx="620">
                  <c:v>5.76</c:v>
                </c:pt>
                <c:pt idx="621">
                  <c:v>3.77</c:v>
                </c:pt>
                <c:pt idx="622">
                  <c:v>5.58</c:v>
                </c:pt>
                <c:pt idx="623">
                  <c:v>6.24</c:v>
                </c:pt>
                <c:pt idx="624">
                  <c:v>5.45</c:v>
                </c:pt>
                <c:pt idx="625">
                  <c:v>3.53</c:v>
                </c:pt>
                <c:pt idx="626">
                  <c:v>7.6499999999999977</c:v>
                </c:pt>
                <c:pt idx="627">
                  <c:v>4.43</c:v>
                </c:pt>
                <c:pt idx="628">
                  <c:v>5.8199999999999976</c:v>
                </c:pt>
                <c:pt idx="629">
                  <c:v>4.2</c:v>
                </c:pt>
                <c:pt idx="630">
                  <c:v>3.17</c:v>
                </c:pt>
                <c:pt idx="631">
                  <c:v>4.7300000000000004</c:v>
                </c:pt>
                <c:pt idx="632">
                  <c:v>2.69</c:v>
                </c:pt>
                <c:pt idx="633">
                  <c:v>2.2000000000000002</c:v>
                </c:pt>
                <c:pt idx="634">
                  <c:v>1.98</c:v>
                </c:pt>
                <c:pt idx="635">
                  <c:v>1.97</c:v>
                </c:pt>
                <c:pt idx="636">
                  <c:v>2.14</c:v>
                </c:pt>
                <c:pt idx="637">
                  <c:v>1.54</c:v>
                </c:pt>
                <c:pt idx="638">
                  <c:v>2.25</c:v>
                </c:pt>
                <c:pt idx="639">
                  <c:v>3.16</c:v>
                </c:pt>
                <c:pt idx="640">
                  <c:v>3.86</c:v>
                </c:pt>
                <c:pt idx="641">
                  <c:v>3.05</c:v>
                </c:pt>
                <c:pt idx="642">
                  <c:v>2.96</c:v>
                </c:pt>
                <c:pt idx="643">
                  <c:v>2.0299999999999998</c:v>
                </c:pt>
                <c:pt idx="644">
                  <c:v>2.17</c:v>
                </c:pt>
                <c:pt idx="645">
                  <c:v>0.14000000000000001</c:v>
                </c:pt>
                <c:pt idx="646">
                  <c:v>0.64</c:v>
                </c:pt>
                <c:pt idx="647">
                  <c:v>4.0599999999999996</c:v>
                </c:pt>
                <c:pt idx="648">
                  <c:v>4.53</c:v>
                </c:pt>
                <c:pt idx="649">
                  <c:v>3.23</c:v>
                </c:pt>
                <c:pt idx="650">
                  <c:v>9.1300000000000008</c:v>
                </c:pt>
                <c:pt idx="651">
                  <c:v>12.77</c:v>
                </c:pt>
                <c:pt idx="652">
                  <c:v>4.84</c:v>
                </c:pt>
                <c:pt idx="653">
                  <c:v>4.22</c:v>
                </c:pt>
                <c:pt idx="654">
                  <c:v>2.68</c:v>
                </c:pt>
                <c:pt idx="655">
                  <c:v>5.41</c:v>
                </c:pt>
                <c:pt idx="656">
                  <c:v>2.9</c:v>
                </c:pt>
                <c:pt idx="657">
                  <c:v>3.72</c:v>
                </c:pt>
                <c:pt idx="658">
                  <c:v>3.78</c:v>
                </c:pt>
                <c:pt idx="659">
                  <c:v>1.4</c:v>
                </c:pt>
                <c:pt idx="660">
                  <c:v>0.81</c:v>
                </c:pt>
                <c:pt idx="661">
                  <c:v>5.18</c:v>
                </c:pt>
                <c:pt idx="662">
                  <c:v>11.34</c:v>
                </c:pt>
                <c:pt idx="663">
                  <c:v>7.48</c:v>
                </c:pt>
                <c:pt idx="664">
                  <c:v>6.07</c:v>
                </c:pt>
                <c:pt idx="665">
                  <c:v>2.25</c:v>
                </c:pt>
                <c:pt idx="666">
                  <c:v>2.33</c:v>
                </c:pt>
                <c:pt idx="667">
                  <c:v>6.52</c:v>
                </c:pt>
                <c:pt idx="668">
                  <c:v>6.43</c:v>
                </c:pt>
                <c:pt idx="669">
                  <c:v>5.73</c:v>
                </c:pt>
                <c:pt idx="670">
                  <c:v>1.8</c:v>
                </c:pt>
                <c:pt idx="671">
                  <c:v>1.46</c:v>
                </c:pt>
                <c:pt idx="672">
                  <c:v>4.55</c:v>
                </c:pt>
                <c:pt idx="673">
                  <c:v>6.67</c:v>
                </c:pt>
                <c:pt idx="674">
                  <c:v>0.9</c:v>
                </c:pt>
                <c:pt idx="675">
                  <c:v>0.02</c:v>
                </c:pt>
                <c:pt idx="676">
                  <c:v>0.66</c:v>
                </c:pt>
                <c:pt idx="677">
                  <c:v>1.56</c:v>
                </c:pt>
                <c:pt idx="678">
                  <c:v>1.43</c:v>
                </c:pt>
                <c:pt idx="679">
                  <c:v>0.87</c:v>
                </c:pt>
                <c:pt idx="680">
                  <c:v>0.66</c:v>
                </c:pt>
                <c:pt idx="681">
                  <c:v>0.64</c:v>
                </c:pt>
                <c:pt idx="682">
                  <c:v>0.51</c:v>
                </c:pt>
                <c:pt idx="683">
                  <c:v>0.38</c:v>
                </c:pt>
                <c:pt idx="684">
                  <c:v>0.53</c:v>
                </c:pt>
                <c:pt idx="685">
                  <c:v>0.28999999999999998</c:v>
                </c:pt>
                <c:pt idx="686">
                  <c:v>16.670000000000009</c:v>
                </c:pt>
                <c:pt idx="687">
                  <c:v>13.73</c:v>
                </c:pt>
                <c:pt idx="688">
                  <c:v>12.2</c:v>
                </c:pt>
                <c:pt idx="689">
                  <c:v>22.4</c:v>
                </c:pt>
                <c:pt idx="690">
                  <c:v>27.52</c:v>
                </c:pt>
                <c:pt idx="691">
                  <c:v>13.61</c:v>
                </c:pt>
                <c:pt idx="692">
                  <c:v>11.18</c:v>
                </c:pt>
                <c:pt idx="693">
                  <c:v>15.98</c:v>
                </c:pt>
                <c:pt idx="694">
                  <c:v>21.48</c:v>
                </c:pt>
                <c:pt idx="695">
                  <c:v>13.04</c:v>
                </c:pt>
                <c:pt idx="696">
                  <c:v>0.9</c:v>
                </c:pt>
                <c:pt idx="697">
                  <c:v>9.1300000000000008</c:v>
                </c:pt>
                <c:pt idx="698">
                  <c:v>39.33</c:v>
                </c:pt>
                <c:pt idx="699">
                  <c:v>25.95</c:v>
                </c:pt>
                <c:pt idx="700">
                  <c:v>10.61</c:v>
                </c:pt>
                <c:pt idx="701">
                  <c:v>6.8</c:v>
                </c:pt>
                <c:pt idx="702">
                  <c:v>13.24</c:v>
                </c:pt>
                <c:pt idx="703">
                  <c:v>16.649999999999999</c:v>
                </c:pt>
                <c:pt idx="704">
                  <c:v>34.06</c:v>
                </c:pt>
                <c:pt idx="705">
                  <c:v>11.23</c:v>
                </c:pt>
                <c:pt idx="706">
                  <c:v>11.91</c:v>
                </c:pt>
                <c:pt idx="707">
                  <c:v>10.73</c:v>
                </c:pt>
                <c:pt idx="708">
                  <c:v>0.96</c:v>
                </c:pt>
                <c:pt idx="709">
                  <c:v>1.46</c:v>
                </c:pt>
                <c:pt idx="710">
                  <c:v>0.42</c:v>
                </c:pt>
                <c:pt idx="711">
                  <c:v>0.18</c:v>
                </c:pt>
                <c:pt idx="712">
                  <c:v>0.33</c:v>
                </c:pt>
                <c:pt idx="713">
                  <c:v>0.06</c:v>
                </c:pt>
                <c:pt idx="714">
                  <c:v>0.53</c:v>
                </c:pt>
                <c:pt idx="715">
                  <c:v>0.97</c:v>
                </c:pt>
                <c:pt idx="716">
                  <c:v>1.1499999999999999</c:v>
                </c:pt>
                <c:pt idx="717">
                  <c:v>0.31</c:v>
                </c:pt>
                <c:pt idx="718">
                  <c:v>0.16</c:v>
                </c:pt>
                <c:pt idx="719">
                  <c:v>0.44</c:v>
                </c:pt>
                <c:pt idx="720">
                  <c:v>5.45</c:v>
                </c:pt>
                <c:pt idx="721">
                  <c:v>3.53</c:v>
                </c:pt>
                <c:pt idx="722">
                  <c:v>7.6499999999999977</c:v>
                </c:pt>
                <c:pt idx="723">
                  <c:v>4.43</c:v>
                </c:pt>
                <c:pt idx="724">
                  <c:v>5.8199999999999976</c:v>
                </c:pt>
                <c:pt idx="725">
                  <c:v>4.2</c:v>
                </c:pt>
                <c:pt idx="726">
                  <c:v>3.17</c:v>
                </c:pt>
                <c:pt idx="727">
                  <c:v>4.7300000000000004</c:v>
                </c:pt>
                <c:pt idx="728">
                  <c:v>2.69</c:v>
                </c:pt>
                <c:pt idx="729">
                  <c:v>2.2000000000000002</c:v>
                </c:pt>
                <c:pt idx="730">
                  <c:v>1.98</c:v>
                </c:pt>
                <c:pt idx="731">
                  <c:v>1.97</c:v>
                </c:pt>
                <c:pt idx="732">
                  <c:v>2.14</c:v>
                </c:pt>
                <c:pt idx="733">
                  <c:v>1.54</c:v>
                </c:pt>
                <c:pt idx="734">
                  <c:v>2.25</c:v>
                </c:pt>
                <c:pt idx="735">
                  <c:v>3.16</c:v>
                </c:pt>
                <c:pt idx="736">
                  <c:v>3.86</c:v>
                </c:pt>
                <c:pt idx="737">
                  <c:v>3.05</c:v>
                </c:pt>
                <c:pt idx="738">
                  <c:v>2.96</c:v>
                </c:pt>
                <c:pt idx="739">
                  <c:v>2.0299999999999998</c:v>
                </c:pt>
                <c:pt idx="740">
                  <c:v>2.17</c:v>
                </c:pt>
                <c:pt idx="741">
                  <c:v>0.92</c:v>
                </c:pt>
                <c:pt idx="742">
                  <c:v>0.1</c:v>
                </c:pt>
                <c:pt idx="743">
                  <c:v>4.0599999999999996</c:v>
                </c:pt>
                <c:pt idx="744">
                  <c:v>1.17</c:v>
                </c:pt>
                <c:pt idx="745">
                  <c:v>1.1499999999999999</c:v>
                </c:pt>
                <c:pt idx="746">
                  <c:v>16.670000000000009</c:v>
                </c:pt>
                <c:pt idx="747">
                  <c:v>13.73</c:v>
                </c:pt>
                <c:pt idx="748">
                  <c:v>12.2</c:v>
                </c:pt>
                <c:pt idx="749">
                  <c:v>22.4</c:v>
                </c:pt>
                <c:pt idx="750">
                  <c:v>27.52</c:v>
                </c:pt>
                <c:pt idx="751">
                  <c:v>13.61</c:v>
                </c:pt>
                <c:pt idx="752">
                  <c:v>11.18</c:v>
                </c:pt>
                <c:pt idx="753">
                  <c:v>15.98</c:v>
                </c:pt>
                <c:pt idx="754">
                  <c:v>21.48</c:v>
                </c:pt>
                <c:pt idx="755">
                  <c:v>13.04</c:v>
                </c:pt>
                <c:pt idx="756">
                  <c:v>1.22</c:v>
                </c:pt>
                <c:pt idx="757">
                  <c:v>9.65</c:v>
                </c:pt>
                <c:pt idx="758">
                  <c:v>9.1300000000000008</c:v>
                </c:pt>
                <c:pt idx="759">
                  <c:v>39.33</c:v>
                </c:pt>
                <c:pt idx="760">
                  <c:v>25.95</c:v>
                </c:pt>
                <c:pt idx="761">
                  <c:v>10.61</c:v>
                </c:pt>
                <c:pt idx="762">
                  <c:v>6.8</c:v>
                </c:pt>
                <c:pt idx="763">
                  <c:v>13.24</c:v>
                </c:pt>
                <c:pt idx="764">
                  <c:v>16.649999999999999</c:v>
                </c:pt>
                <c:pt idx="765">
                  <c:v>34.06</c:v>
                </c:pt>
                <c:pt idx="766">
                  <c:v>11.23</c:v>
                </c:pt>
                <c:pt idx="767">
                  <c:v>11.91</c:v>
                </c:pt>
                <c:pt idx="768">
                  <c:v>10.73</c:v>
                </c:pt>
                <c:pt idx="769">
                  <c:v>1.76</c:v>
                </c:pt>
                <c:pt idx="770">
                  <c:v>0.2</c:v>
                </c:pt>
                <c:pt idx="771">
                  <c:v>1.1299999999999999</c:v>
                </c:pt>
                <c:pt idx="772">
                  <c:v>0.93</c:v>
                </c:pt>
                <c:pt idx="773">
                  <c:v>0.69</c:v>
                </c:pt>
                <c:pt idx="774">
                  <c:v>0.16</c:v>
                </c:pt>
                <c:pt idx="775">
                  <c:v>0.74</c:v>
                </c:pt>
                <c:pt idx="776">
                  <c:v>8.8700000000000028</c:v>
                </c:pt>
                <c:pt idx="777">
                  <c:v>4.74</c:v>
                </c:pt>
                <c:pt idx="778">
                  <c:v>8.1300000000000008</c:v>
                </c:pt>
                <c:pt idx="779">
                  <c:v>19.22</c:v>
                </c:pt>
                <c:pt idx="780">
                  <c:v>15.3</c:v>
                </c:pt>
                <c:pt idx="781">
                  <c:v>10.14</c:v>
                </c:pt>
                <c:pt idx="782">
                  <c:v>12.76</c:v>
                </c:pt>
                <c:pt idx="783">
                  <c:v>6.68</c:v>
                </c:pt>
                <c:pt idx="784">
                  <c:v>11.94</c:v>
                </c:pt>
                <c:pt idx="785">
                  <c:v>9.42</c:v>
                </c:pt>
                <c:pt idx="786">
                  <c:v>8.51</c:v>
                </c:pt>
                <c:pt idx="787">
                  <c:v>13.81</c:v>
                </c:pt>
                <c:pt idx="788">
                  <c:v>17.309999999999999</c:v>
                </c:pt>
                <c:pt idx="789">
                  <c:v>9.58</c:v>
                </c:pt>
                <c:pt idx="790">
                  <c:v>10.73</c:v>
                </c:pt>
                <c:pt idx="791">
                  <c:v>1.35</c:v>
                </c:pt>
                <c:pt idx="792">
                  <c:v>2.0499999999999998</c:v>
                </c:pt>
                <c:pt idx="793">
                  <c:v>0.87</c:v>
                </c:pt>
                <c:pt idx="794">
                  <c:v>0.7</c:v>
                </c:pt>
                <c:pt idx="795">
                  <c:v>16.670000000000009</c:v>
                </c:pt>
                <c:pt idx="796">
                  <c:v>13.73</c:v>
                </c:pt>
                <c:pt idx="797">
                  <c:v>12.2</c:v>
                </c:pt>
                <c:pt idx="798">
                  <c:v>22.4</c:v>
                </c:pt>
                <c:pt idx="799">
                  <c:v>27.52</c:v>
                </c:pt>
                <c:pt idx="800">
                  <c:v>13.61</c:v>
                </c:pt>
                <c:pt idx="801">
                  <c:v>11.18</c:v>
                </c:pt>
                <c:pt idx="802">
                  <c:v>15.98</c:v>
                </c:pt>
                <c:pt idx="803">
                  <c:v>21.48</c:v>
                </c:pt>
                <c:pt idx="804">
                  <c:v>13.04</c:v>
                </c:pt>
                <c:pt idx="805">
                  <c:v>0.85</c:v>
                </c:pt>
                <c:pt idx="806">
                  <c:v>1.82</c:v>
                </c:pt>
                <c:pt idx="807">
                  <c:v>9.1300000000000008</c:v>
                </c:pt>
                <c:pt idx="808">
                  <c:v>39.33</c:v>
                </c:pt>
                <c:pt idx="809">
                  <c:v>25.95</c:v>
                </c:pt>
                <c:pt idx="810">
                  <c:v>10.61</c:v>
                </c:pt>
                <c:pt idx="811">
                  <c:v>6.8</c:v>
                </c:pt>
                <c:pt idx="812">
                  <c:v>13.24</c:v>
                </c:pt>
                <c:pt idx="813">
                  <c:v>16.649999999999999</c:v>
                </c:pt>
                <c:pt idx="814">
                  <c:v>34.06</c:v>
                </c:pt>
                <c:pt idx="815">
                  <c:v>11.23</c:v>
                </c:pt>
                <c:pt idx="816">
                  <c:v>11.91</c:v>
                </c:pt>
                <c:pt idx="817">
                  <c:v>10.73</c:v>
                </c:pt>
                <c:pt idx="818">
                  <c:v>0.98</c:v>
                </c:pt>
                <c:pt idx="819">
                  <c:v>1.03</c:v>
                </c:pt>
                <c:pt idx="820">
                  <c:v>1.1299999999999999</c:v>
                </c:pt>
                <c:pt idx="821">
                  <c:v>1.03</c:v>
                </c:pt>
                <c:pt idx="822">
                  <c:v>0.91</c:v>
                </c:pt>
                <c:pt idx="823">
                  <c:v>0.17</c:v>
                </c:pt>
                <c:pt idx="824">
                  <c:v>8.8700000000000028</c:v>
                </c:pt>
                <c:pt idx="825">
                  <c:v>4.74</c:v>
                </c:pt>
                <c:pt idx="826">
                  <c:v>8.1300000000000008</c:v>
                </c:pt>
                <c:pt idx="827">
                  <c:v>19.22</c:v>
                </c:pt>
                <c:pt idx="828">
                  <c:v>15.3</c:v>
                </c:pt>
                <c:pt idx="829">
                  <c:v>10.14</c:v>
                </c:pt>
                <c:pt idx="830">
                  <c:v>12.76</c:v>
                </c:pt>
                <c:pt idx="831">
                  <c:v>6.68</c:v>
                </c:pt>
                <c:pt idx="832">
                  <c:v>11.94</c:v>
                </c:pt>
                <c:pt idx="833">
                  <c:v>9.42</c:v>
                </c:pt>
                <c:pt idx="834">
                  <c:v>8.51</c:v>
                </c:pt>
                <c:pt idx="835">
                  <c:v>13.81</c:v>
                </c:pt>
                <c:pt idx="836">
                  <c:v>17.309999999999999</c:v>
                </c:pt>
                <c:pt idx="837">
                  <c:v>9.58</c:v>
                </c:pt>
                <c:pt idx="838">
                  <c:v>10.73</c:v>
                </c:pt>
                <c:pt idx="839">
                  <c:v>0.31</c:v>
                </c:pt>
                <c:pt idx="840">
                  <c:v>0.09</c:v>
                </c:pt>
                <c:pt idx="841">
                  <c:v>0.34</c:v>
                </c:pt>
                <c:pt idx="842">
                  <c:v>0.84</c:v>
                </c:pt>
                <c:pt idx="843">
                  <c:v>16.670000000000009</c:v>
                </c:pt>
                <c:pt idx="844">
                  <c:v>13.73</c:v>
                </c:pt>
                <c:pt idx="845">
                  <c:v>12.2</c:v>
                </c:pt>
                <c:pt idx="846">
                  <c:v>22.4</c:v>
                </c:pt>
                <c:pt idx="847">
                  <c:v>27.52</c:v>
                </c:pt>
                <c:pt idx="848">
                  <c:v>13.61</c:v>
                </c:pt>
                <c:pt idx="849">
                  <c:v>11.18</c:v>
                </c:pt>
                <c:pt idx="850">
                  <c:v>15.98</c:v>
                </c:pt>
                <c:pt idx="851">
                  <c:v>21.48</c:v>
                </c:pt>
                <c:pt idx="852">
                  <c:v>13.04</c:v>
                </c:pt>
                <c:pt idx="853">
                  <c:v>0.5</c:v>
                </c:pt>
                <c:pt idx="854">
                  <c:v>9.1300000000000008</c:v>
                </c:pt>
                <c:pt idx="855">
                  <c:v>39.33</c:v>
                </c:pt>
                <c:pt idx="856">
                  <c:v>25.95</c:v>
                </c:pt>
                <c:pt idx="857">
                  <c:v>10.61</c:v>
                </c:pt>
                <c:pt idx="858">
                  <c:v>6.8</c:v>
                </c:pt>
                <c:pt idx="859">
                  <c:v>13.24</c:v>
                </c:pt>
                <c:pt idx="860">
                  <c:v>16.649999999999999</c:v>
                </c:pt>
                <c:pt idx="861">
                  <c:v>34.06</c:v>
                </c:pt>
                <c:pt idx="862">
                  <c:v>11.23</c:v>
                </c:pt>
                <c:pt idx="863">
                  <c:v>11.91</c:v>
                </c:pt>
                <c:pt idx="864">
                  <c:v>10.73</c:v>
                </c:pt>
                <c:pt idx="865">
                  <c:v>0.01</c:v>
                </c:pt>
                <c:pt idx="866">
                  <c:v>0.02</c:v>
                </c:pt>
                <c:pt idx="867">
                  <c:v>0.74</c:v>
                </c:pt>
                <c:pt idx="868">
                  <c:v>1.1299999999999999</c:v>
                </c:pt>
                <c:pt idx="869">
                  <c:v>1.48</c:v>
                </c:pt>
                <c:pt idx="870">
                  <c:v>0.98</c:v>
                </c:pt>
                <c:pt idx="871">
                  <c:v>1.57</c:v>
                </c:pt>
                <c:pt idx="872">
                  <c:v>6.51</c:v>
                </c:pt>
                <c:pt idx="873">
                  <c:v>1.79</c:v>
                </c:pt>
                <c:pt idx="874">
                  <c:v>5.2</c:v>
                </c:pt>
                <c:pt idx="875">
                  <c:v>6.7</c:v>
                </c:pt>
                <c:pt idx="876">
                  <c:v>9.0500000000000007</c:v>
                </c:pt>
                <c:pt idx="877">
                  <c:v>3.66</c:v>
                </c:pt>
                <c:pt idx="878">
                  <c:v>0.62</c:v>
                </c:pt>
                <c:pt idx="879">
                  <c:v>0.96</c:v>
                </c:pt>
                <c:pt idx="880">
                  <c:v>0.96</c:v>
                </c:pt>
                <c:pt idx="881">
                  <c:v>8.8700000000000028</c:v>
                </c:pt>
                <c:pt idx="882">
                  <c:v>4.74</c:v>
                </c:pt>
                <c:pt idx="883">
                  <c:v>8.1300000000000008</c:v>
                </c:pt>
                <c:pt idx="884">
                  <c:v>19.22</c:v>
                </c:pt>
                <c:pt idx="885">
                  <c:v>15.3</c:v>
                </c:pt>
                <c:pt idx="886">
                  <c:v>10.14</c:v>
                </c:pt>
                <c:pt idx="887">
                  <c:v>12.76</c:v>
                </c:pt>
                <c:pt idx="888">
                  <c:v>6.68</c:v>
                </c:pt>
                <c:pt idx="889">
                  <c:v>11.94</c:v>
                </c:pt>
                <c:pt idx="890">
                  <c:v>9.42</c:v>
                </c:pt>
                <c:pt idx="891">
                  <c:v>8.51</c:v>
                </c:pt>
                <c:pt idx="892">
                  <c:v>13.81</c:v>
                </c:pt>
                <c:pt idx="893">
                  <c:v>17.309999999999999</c:v>
                </c:pt>
                <c:pt idx="894">
                  <c:v>9.58</c:v>
                </c:pt>
                <c:pt idx="895">
                  <c:v>10.73</c:v>
                </c:pt>
                <c:pt idx="896">
                  <c:v>0.97</c:v>
                </c:pt>
                <c:pt idx="897">
                  <c:v>1.5</c:v>
                </c:pt>
                <c:pt idx="898">
                  <c:v>0.87</c:v>
                </c:pt>
                <c:pt idx="899">
                  <c:v>16.670000000000009</c:v>
                </c:pt>
                <c:pt idx="900">
                  <c:v>13.73</c:v>
                </c:pt>
                <c:pt idx="901">
                  <c:v>12.2</c:v>
                </c:pt>
                <c:pt idx="902">
                  <c:v>22.4</c:v>
                </c:pt>
                <c:pt idx="903">
                  <c:v>27.52</c:v>
                </c:pt>
                <c:pt idx="904">
                  <c:v>13.61</c:v>
                </c:pt>
                <c:pt idx="905">
                  <c:v>11.18</c:v>
                </c:pt>
                <c:pt idx="906">
                  <c:v>15.98</c:v>
                </c:pt>
                <c:pt idx="907">
                  <c:v>21.48</c:v>
                </c:pt>
                <c:pt idx="908">
                  <c:v>13.04</c:v>
                </c:pt>
                <c:pt idx="909">
                  <c:v>1.75</c:v>
                </c:pt>
                <c:pt idx="910">
                  <c:v>9.1300000000000008</c:v>
                </c:pt>
                <c:pt idx="911">
                  <c:v>39.33</c:v>
                </c:pt>
                <c:pt idx="912">
                  <c:v>25.95</c:v>
                </c:pt>
                <c:pt idx="913">
                  <c:v>10.61</c:v>
                </c:pt>
                <c:pt idx="914">
                  <c:v>6.8</c:v>
                </c:pt>
                <c:pt idx="915">
                  <c:v>13.24</c:v>
                </c:pt>
                <c:pt idx="916">
                  <c:v>16.649999999999999</c:v>
                </c:pt>
                <c:pt idx="917">
                  <c:v>34.06</c:v>
                </c:pt>
                <c:pt idx="918">
                  <c:v>11.23</c:v>
                </c:pt>
                <c:pt idx="919">
                  <c:v>11.91</c:v>
                </c:pt>
                <c:pt idx="920">
                  <c:v>10.73</c:v>
                </c:pt>
                <c:pt idx="921">
                  <c:v>0.43</c:v>
                </c:pt>
                <c:pt idx="922">
                  <c:v>0.14000000000000001</c:v>
                </c:pt>
                <c:pt idx="923">
                  <c:v>1.1599999999999999</c:v>
                </c:pt>
                <c:pt idx="924">
                  <c:v>1.43</c:v>
                </c:pt>
                <c:pt idx="925">
                  <c:v>0.86</c:v>
                </c:pt>
                <c:pt idx="926">
                  <c:v>1.48</c:v>
                </c:pt>
                <c:pt idx="927">
                  <c:v>0.55000000000000004</c:v>
                </c:pt>
                <c:pt idx="928">
                  <c:v>1.34</c:v>
                </c:pt>
                <c:pt idx="929">
                  <c:v>1.65</c:v>
                </c:pt>
                <c:pt idx="930">
                  <c:v>1.34</c:v>
                </c:pt>
                <c:pt idx="931">
                  <c:v>0.96</c:v>
                </c:pt>
                <c:pt idx="932">
                  <c:v>5.45</c:v>
                </c:pt>
                <c:pt idx="933">
                  <c:v>3.53</c:v>
                </c:pt>
                <c:pt idx="934">
                  <c:v>7.6499999999999977</c:v>
                </c:pt>
                <c:pt idx="935">
                  <c:v>4.43</c:v>
                </c:pt>
                <c:pt idx="936">
                  <c:v>5.8199999999999976</c:v>
                </c:pt>
                <c:pt idx="937">
                  <c:v>4.2</c:v>
                </c:pt>
                <c:pt idx="938">
                  <c:v>3.17</c:v>
                </c:pt>
                <c:pt idx="939">
                  <c:v>4.7300000000000004</c:v>
                </c:pt>
                <c:pt idx="940">
                  <c:v>2.69</c:v>
                </c:pt>
                <c:pt idx="941">
                  <c:v>2.2000000000000002</c:v>
                </c:pt>
                <c:pt idx="942">
                  <c:v>1.98</c:v>
                </c:pt>
                <c:pt idx="943">
                  <c:v>1.97</c:v>
                </c:pt>
                <c:pt idx="944">
                  <c:v>2.14</c:v>
                </c:pt>
                <c:pt idx="945">
                  <c:v>1.54</c:v>
                </c:pt>
                <c:pt idx="946">
                  <c:v>2.25</c:v>
                </c:pt>
                <c:pt idx="947">
                  <c:v>3.16</c:v>
                </c:pt>
                <c:pt idx="948">
                  <c:v>3.86</c:v>
                </c:pt>
                <c:pt idx="949">
                  <c:v>3.05</c:v>
                </c:pt>
                <c:pt idx="950">
                  <c:v>2.96</c:v>
                </c:pt>
                <c:pt idx="951">
                  <c:v>2.0299999999999998</c:v>
                </c:pt>
                <c:pt idx="952">
                  <c:v>2.17</c:v>
                </c:pt>
                <c:pt idx="953">
                  <c:v>0.96</c:v>
                </c:pt>
                <c:pt idx="954">
                  <c:v>0.97</c:v>
                </c:pt>
                <c:pt idx="955">
                  <c:v>4.0599999999999996</c:v>
                </c:pt>
                <c:pt idx="956">
                  <c:v>4.53</c:v>
                </c:pt>
                <c:pt idx="957">
                  <c:v>3.23</c:v>
                </c:pt>
                <c:pt idx="958">
                  <c:v>9.1300000000000008</c:v>
                </c:pt>
                <c:pt idx="959">
                  <c:v>12.77</c:v>
                </c:pt>
                <c:pt idx="960">
                  <c:v>4.84</c:v>
                </c:pt>
                <c:pt idx="961">
                  <c:v>4.22</c:v>
                </c:pt>
                <c:pt idx="962">
                  <c:v>2.68</c:v>
                </c:pt>
                <c:pt idx="963">
                  <c:v>5.41</c:v>
                </c:pt>
                <c:pt idx="964">
                  <c:v>2.9</c:v>
                </c:pt>
                <c:pt idx="965">
                  <c:v>3.72</c:v>
                </c:pt>
                <c:pt idx="966">
                  <c:v>3.78</c:v>
                </c:pt>
                <c:pt idx="967">
                  <c:v>1.5</c:v>
                </c:pt>
                <c:pt idx="968">
                  <c:v>0.49</c:v>
                </c:pt>
                <c:pt idx="969">
                  <c:v>0.6</c:v>
                </c:pt>
                <c:pt idx="970">
                  <c:v>5.18</c:v>
                </c:pt>
                <c:pt idx="971">
                  <c:v>11.34</c:v>
                </c:pt>
                <c:pt idx="972">
                  <c:v>7.48</c:v>
                </c:pt>
                <c:pt idx="973">
                  <c:v>6.07</c:v>
                </c:pt>
                <c:pt idx="974">
                  <c:v>2.25</c:v>
                </c:pt>
                <c:pt idx="975">
                  <c:v>2.33</c:v>
                </c:pt>
                <c:pt idx="976">
                  <c:v>6.52</c:v>
                </c:pt>
                <c:pt idx="977">
                  <c:v>6.43</c:v>
                </c:pt>
                <c:pt idx="978">
                  <c:v>5.73</c:v>
                </c:pt>
                <c:pt idx="979">
                  <c:v>1.8</c:v>
                </c:pt>
                <c:pt idx="980">
                  <c:v>1.46</c:v>
                </c:pt>
                <c:pt idx="981">
                  <c:v>4.55</c:v>
                </c:pt>
                <c:pt idx="982">
                  <c:v>6.67</c:v>
                </c:pt>
                <c:pt idx="983">
                  <c:v>9.1300000000000008</c:v>
                </c:pt>
                <c:pt idx="984">
                  <c:v>39.33</c:v>
                </c:pt>
                <c:pt idx="985">
                  <c:v>25.95</c:v>
                </c:pt>
                <c:pt idx="986">
                  <c:v>10.61</c:v>
                </c:pt>
                <c:pt idx="987">
                  <c:v>6.8</c:v>
                </c:pt>
                <c:pt idx="988">
                  <c:v>13.24</c:v>
                </c:pt>
                <c:pt idx="989">
                  <c:v>16.649999999999999</c:v>
                </c:pt>
                <c:pt idx="990">
                  <c:v>34.06</c:v>
                </c:pt>
                <c:pt idx="991">
                  <c:v>11.23</c:v>
                </c:pt>
                <c:pt idx="992">
                  <c:v>11.91</c:v>
                </c:pt>
                <c:pt idx="993">
                  <c:v>10.73</c:v>
                </c:pt>
                <c:pt idx="994">
                  <c:v>3.14</c:v>
                </c:pt>
                <c:pt idx="995">
                  <c:v>2.08</c:v>
                </c:pt>
                <c:pt idx="996">
                  <c:v>3.34</c:v>
                </c:pt>
                <c:pt idx="997">
                  <c:v>1.85</c:v>
                </c:pt>
                <c:pt idx="998">
                  <c:v>1.57</c:v>
                </c:pt>
                <c:pt idx="999">
                  <c:v>0.33</c:v>
                </c:pt>
                <c:pt idx="1000">
                  <c:v>0.14000000000000001</c:v>
                </c:pt>
                <c:pt idx="1001">
                  <c:v>8.8700000000000028</c:v>
                </c:pt>
                <c:pt idx="1002">
                  <c:v>4.74</c:v>
                </c:pt>
                <c:pt idx="1003">
                  <c:v>8.1300000000000008</c:v>
                </c:pt>
                <c:pt idx="1004">
                  <c:v>19.22</c:v>
                </c:pt>
                <c:pt idx="1005">
                  <c:v>15.3</c:v>
                </c:pt>
                <c:pt idx="1006">
                  <c:v>10.14</c:v>
                </c:pt>
                <c:pt idx="1007">
                  <c:v>12.76</c:v>
                </c:pt>
                <c:pt idx="1008">
                  <c:v>6.68</c:v>
                </c:pt>
                <c:pt idx="1009">
                  <c:v>11.94</c:v>
                </c:pt>
                <c:pt idx="1010">
                  <c:v>9.42</c:v>
                </c:pt>
                <c:pt idx="1011">
                  <c:v>8.51</c:v>
                </c:pt>
                <c:pt idx="1012">
                  <c:v>13.81</c:v>
                </c:pt>
                <c:pt idx="1013">
                  <c:v>17.309999999999999</c:v>
                </c:pt>
                <c:pt idx="1014">
                  <c:v>9.58</c:v>
                </c:pt>
                <c:pt idx="1015">
                  <c:v>10.73</c:v>
                </c:pt>
                <c:pt idx="1016">
                  <c:v>1.4</c:v>
                </c:pt>
                <c:pt idx="1017">
                  <c:v>0.56000000000000005</c:v>
                </c:pt>
                <c:pt idx="1018">
                  <c:v>16.670000000000009</c:v>
                </c:pt>
                <c:pt idx="1019">
                  <c:v>13.73</c:v>
                </c:pt>
                <c:pt idx="1020">
                  <c:v>12.2</c:v>
                </c:pt>
                <c:pt idx="1021">
                  <c:v>22.4</c:v>
                </c:pt>
                <c:pt idx="1022">
                  <c:v>27.52</c:v>
                </c:pt>
                <c:pt idx="1023">
                  <c:v>13.61</c:v>
                </c:pt>
                <c:pt idx="1024">
                  <c:v>11.18</c:v>
                </c:pt>
                <c:pt idx="1025">
                  <c:v>15.98</c:v>
                </c:pt>
                <c:pt idx="1026">
                  <c:v>21.48</c:v>
                </c:pt>
                <c:pt idx="1027">
                  <c:v>13.04</c:v>
                </c:pt>
                <c:pt idx="1028">
                  <c:v>1.51</c:v>
                </c:pt>
                <c:pt idx="1029">
                  <c:v>0.89</c:v>
                </c:pt>
                <c:pt idx="1030">
                  <c:v>0.28000000000000003</c:v>
                </c:pt>
                <c:pt idx="1031">
                  <c:v>1.61</c:v>
                </c:pt>
                <c:pt idx="1032">
                  <c:v>0.65</c:v>
                </c:pt>
                <c:pt idx="1033">
                  <c:v>1.1299999999999999</c:v>
                </c:pt>
                <c:pt idx="1034">
                  <c:v>12.71</c:v>
                </c:pt>
                <c:pt idx="1035">
                  <c:v>4.96</c:v>
                </c:pt>
                <c:pt idx="1036">
                  <c:v>7.54</c:v>
                </c:pt>
                <c:pt idx="1037">
                  <c:v>4.93</c:v>
                </c:pt>
                <c:pt idx="1038">
                  <c:v>3.53</c:v>
                </c:pt>
                <c:pt idx="1039">
                  <c:v>5.03</c:v>
                </c:pt>
                <c:pt idx="1040">
                  <c:v>0.26</c:v>
                </c:pt>
                <c:pt idx="1041">
                  <c:v>6.51</c:v>
                </c:pt>
                <c:pt idx="1042">
                  <c:v>1.79</c:v>
                </c:pt>
                <c:pt idx="1043">
                  <c:v>5.2</c:v>
                </c:pt>
                <c:pt idx="1044">
                  <c:v>6.7</c:v>
                </c:pt>
                <c:pt idx="1045">
                  <c:v>9.0500000000000007</c:v>
                </c:pt>
                <c:pt idx="1046">
                  <c:v>3.66</c:v>
                </c:pt>
                <c:pt idx="1047">
                  <c:v>0.42</c:v>
                </c:pt>
                <c:pt idx="1048">
                  <c:v>1.36</c:v>
                </c:pt>
                <c:pt idx="1049">
                  <c:v>5.45</c:v>
                </c:pt>
                <c:pt idx="1050">
                  <c:v>3.53</c:v>
                </c:pt>
                <c:pt idx="1051">
                  <c:v>7.6499999999999977</c:v>
                </c:pt>
                <c:pt idx="1052">
                  <c:v>4.43</c:v>
                </c:pt>
                <c:pt idx="1053">
                  <c:v>5.8199999999999976</c:v>
                </c:pt>
                <c:pt idx="1054">
                  <c:v>4.2</c:v>
                </c:pt>
                <c:pt idx="1055">
                  <c:v>3.17</c:v>
                </c:pt>
                <c:pt idx="1056">
                  <c:v>4.7300000000000004</c:v>
                </c:pt>
                <c:pt idx="1057">
                  <c:v>2.69</c:v>
                </c:pt>
                <c:pt idx="1058">
                  <c:v>2.2000000000000002</c:v>
                </c:pt>
                <c:pt idx="1059">
                  <c:v>1.98</c:v>
                </c:pt>
                <c:pt idx="1060">
                  <c:v>1.97</c:v>
                </c:pt>
                <c:pt idx="1061">
                  <c:v>2.14</c:v>
                </c:pt>
                <c:pt idx="1062">
                  <c:v>1.54</c:v>
                </c:pt>
                <c:pt idx="1063">
                  <c:v>2.25</c:v>
                </c:pt>
                <c:pt idx="1064">
                  <c:v>3.16</c:v>
                </c:pt>
                <c:pt idx="1065">
                  <c:v>3.86</c:v>
                </c:pt>
                <c:pt idx="1066">
                  <c:v>3.05</c:v>
                </c:pt>
                <c:pt idx="1067">
                  <c:v>2.96</c:v>
                </c:pt>
                <c:pt idx="1068">
                  <c:v>2.0299999999999998</c:v>
                </c:pt>
                <c:pt idx="1069">
                  <c:v>2.17</c:v>
                </c:pt>
                <c:pt idx="1070">
                  <c:v>0.69</c:v>
                </c:pt>
                <c:pt idx="1071">
                  <c:v>0.34</c:v>
                </c:pt>
                <c:pt idx="1072">
                  <c:v>4.0599999999999996</c:v>
                </c:pt>
                <c:pt idx="1073">
                  <c:v>4.53</c:v>
                </c:pt>
                <c:pt idx="1074">
                  <c:v>3.23</c:v>
                </c:pt>
                <c:pt idx="1075">
                  <c:v>9.1300000000000008</c:v>
                </c:pt>
                <c:pt idx="1076">
                  <c:v>12.77</c:v>
                </c:pt>
                <c:pt idx="1077">
                  <c:v>4.84</c:v>
                </c:pt>
                <c:pt idx="1078">
                  <c:v>4.22</c:v>
                </c:pt>
                <c:pt idx="1079">
                  <c:v>2.68</c:v>
                </c:pt>
                <c:pt idx="1080">
                  <c:v>5.41</c:v>
                </c:pt>
                <c:pt idx="1081">
                  <c:v>2.9</c:v>
                </c:pt>
                <c:pt idx="1082">
                  <c:v>3.72</c:v>
                </c:pt>
                <c:pt idx="1083">
                  <c:v>3.78</c:v>
                </c:pt>
                <c:pt idx="1084">
                  <c:v>0.5</c:v>
                </c:pt>
                <c:pt idx="1085">
                  <c:v>0.51</c:v>
                </c:pt>
                <c:pt idx="1086">
                  <c:v>5.18</c:v>
                </c:pt>
                <c:pt idx="1087">
                  <c:v>11.34</c:v>
                </c:pt>
                <c:pt idx="1088">
                  <c:v>7.48</c:v>
                </c:pt>
                <c:pt idx="1089">
                  <c:v>6.07</c:v>
                </c:pt>
                <c:pt idx="1090">
                  <c:v>2.25</c:v>
                </c:pt>
                <c:pt idx="1091">
                  <c:v>2.33</c:v>
                </c:pt>
                <c:pt idx="1092">
                  <c:v>6.52</c:v>
                </c:pt>
                <c:pt idx="1093">
                  <c:v>6.43</c:v>
                </c:pt>
                <c:pt idx="1094">
                  <c:v>5.73</c:v>
                </c:pt>
                <c:pt idx="1095">
                  <c:v>1.8</c:v>
                </c:pt>
                <c:pt idx="1096">
                  <c:v>1.46</c:v>
                </c:pt>
                <c:pt idx="1097">
                  <c:v>4.55</c:v>
                </c:pt>
                <c:pt idx="1098">
                  <c:v>6.67</c:v>
                </c:pt>
                <c:pt idx="1099">
                  <c:v>1.6</c:v>
                </c:pt>
                <c:pt idx="1100">
                  <c:v>1.04</c:v>
                </c:pt>
                <c:pt idx="1101">
                  <c:v>0.43</c:v>
                </c:pt>
                <c:pt idx="1102">
                  <c:v>1.17</c:v>
                </c:pt>
                <c:pt idx="1103">
                  <c:v>2.85</c:v>
                </c:pt>
                <c:pt idx="1104">
                  <c:v>0.65</c:v>
                </c:pt>
                <c:pt idx="1105">
                  <c:v>1.98</c:v>
                </c:pt>
                <c:pt idx="1106">
                  <c:v>1.64</c:v>
                </c:pt>
                <c:pt idx="1107">
                  <c:v>0.42</c:v>
                </c:pt>
                <c:pt idx="1108">
                  <c:v>0.52</c:v>
                </c:pt>
                <c:pt idx="1109">
                  <c:v>5.45</c:v>
                </c:pt>
                <c:pt idx="1110">
                  <c:v>3.53</c:v>
                </c:pt>
                <c:pt idx="1111">
                  <c:v>7.6499999999999977</c:v>
                </c:pt>
                <c:pt idx="1112">
                  <c:v>4.43</c:v>
                </c:pt>
                <c:pt idx="1113">
                  <c:v>5.8199999999999976</c:v>
                </c:pt>
                <c:pt idx="1114">
                  <c:v>4.2</c:v>
                </c:pt>
                <c:pt idx="1115">
                  <c:v>3.17</c:v>
                </c:pt>
                <c:pt idx="1116">
                  <c:v>4.7300000000000004</c:v>
                </c:pt>
                <c:pt idx="1117">
                  <c:v>2.69</c:v>
                </c:pt>
                <c:pt idx="1118">
                  <c:v>2.2000000000000002</c:v>
                </c:pt>
                <c:pt idx="1119">
                  <c:v>1.98</c:v>
                </c:pt>
                <c:pt idx="1120">
                  <c:v>1.97</c:v>
                </c:pt>
                <c:pt idx="1121">
                  <c:v>2.14</c:v>
                </c:pt>
                <c:pt idx="1122">
                  <c:v>1.54</c:v>
                </c:pt>
                <c:pt idx="1123">
                  <c:v>2.25</c:v>
                </c:pt>
                <c:pt idx="1124">
                  <c:v>3.16</c:v>
                </c:pt>
                <c:pt idx="1125">
                  <c:v>3.86</c:v>
                </c:pt>
                <c:pt idx="1126">
                  <c:v>3.05</c:v>
                </c:pt>
                <c:pt idx="1127">
                  <c:v>2.96</c:v>
                </c:pt>
                <c:pt idx="1128">
                  <c:v>2.0299999999999998</c:v>
                </c:pt>
                <c:pt idx="1129">
                  <c:v>2.17</c:v>
                </c:pt>
                <c:pt idx="1130">
                  <c:v>0.74</c:v>
                </c:pt>
                <c:pt idx="1131">
                  <c:v>1.35</c:v>
                </c:pt>
                <c:pt idx="1132">
                  <c:v>4.0599999999999996</c:v>
                </c:pt>
                <c:pt idx="1133">
                  <c:v>4.53</c:v>
                </c:pt>
                <c:pt idx="1134">
                  <c:v>3.23</c:v>
                </c:pt>
                <c:pt idx="1135">
                  <c:v>9.1300000000000008</c:v>
                </c:pt>
                <c:pt idx="1136">
                  <c:v>12.77</c:v>
                </c:pt>
                <c:pt idx="1137">
                  <c:v>4.84</c:v>
                </c:pt>
                <c:pt idx="1138">
                  <c:v>4.22</c:v>
                </c:pt>
                <c:pt idx="1139">
                  <c:v>2.68</c:v>
                </c:pt>
                <c:pt idx="1140">
                  <c:v>5.41</c:v>
                </c:pt>
                <c:pt idx="1141">
                  <c:v>2.9</c:v>
                </c:pt>
                <c:pt idx="1142">
                  <c:v>3.72</c:v>
                </c:pt>
                <c:pt idx="1143">
                  <c:v>3.78</c:v>
                </c:pt>
                <c:pt idx="1144">
                  <c:v>2.0499999999999998</c:v>
                </c:pt>
                <c:pt idx="1145">
                  <c:v>0.87</c:v>
                </c:pt>
                <c:pt idx="1146">
                  <c:v>0.7</c:v>
                </c:pt>
                <c:pt idx="1147">
                  <c:v>0.85</c:v>
                </c:pt>
                <c:pt idx="1148">
                  <c:v>5.18</c:v>
                </c:pt>
                <c:pt idx="1149">
                  <c:v>11.34</c:v>
                </c:pt>
                <c:pt idx="1150">
                  <c:v>7.48</c:v>
                </c:pt>
                <c:pt idx="1151">
                  <c:v>6.07</c:v>
                </c:pt>
                <c:pt idx="1152">
                  <c:v>2.25</c:v>
                </c:pt>
                <c:pt idx="1153">
                  <c:v>2.33</c:v>
                </c:pt>
                <c:pt idx="1154">
                  <c:v>6.52</c:v>
                </c:pt>
                <c:pt idx="1155">
                  <c:v>6.43</c:v>
                </c:pt>
                <c:pt idx="1156">
                  <c:v>5.73</c:v>
                </c:pt>
                <c:pt idx="1157">
                  <c:v>1.8</c:v>
                </c:pt>
                <c:pt idx="1158">
                  <c:v>1.46</c:v>
                </c:pt>
                <c:pt idx="1159">
                  <c:v>4.55</c:v>
                </c:pt>
                <c:pt idx="1160">
                  <c:v>6.67</c:v>
                </c:pt>
                <c:pt idx="1161">
                  <c:v>0.3</c:v>
                </c:pt>
                <c:pt idx="1162">
                  <c:v>0.78</c:v>
                </c:pt>
                <c:pt idx="1163">
                  <c:v>0.63</c:v>
                </c:pt>
                <c:pt idx="1164">
                  <c:v>0.81</c:v>
                </c:pt>
                <c:pt idx="1165">
                  <c:v>1.1000000000000001</c:v>
                </c:pt>
                <c:pt idx="1166">
                  <c:v>0.4</c:v>
                </c:pt>
                <c:pt idx="1167">
                  <c:v>8.8700000000000028</c:v>
                </c:pt>
                <c:pt idx="1168">
                  <c:v>4.74</c:v>
                </c:pt>
                <c:pt idx="1169">
                  <c:v>8.1300000000000008</c:v>
                </c:pt>
                <c:pt idx="1170">
                  <c:v>19.22</c:v>
                </c:pt>
                <c:pt idx="1171">
                  <c:v>15.3</c:v>
                </c:pt>
                <c:pt idx="1172">
                  <c:v>10.14</c:v>
                </c:pt>
                <c:pt idx="1173">
                  <c:v>12.76</c:v>
                </c:pt>
                <c:pt idx="1174">
                  <c:v>6.68</c:v>
                </c:pt>
                <c:pt idx="1175">
                  <c:v>11.94</c:v>
                </c:pt>
                <c:pt idx="1176">
                  <c:v>9.42</c:v>
                </c:pt>
                <c:pt idx="1177">
                  <c:v>8.51</c:v>
                </c:pt>
                <c:pt idx="1178">
                  <c:v>13.81</c:v>
                </c:pt>
                <c:pt idx="1179">
                  <c:v>17.309999999999999</c:v>
                </c:pt>
                <c:pt idx="1180">
                  <c:v>9.58</c:v>
                </c:pt>
                <c:pt idx="1181">
                  <c:v>10.73</c:v>
                </c:pt>
                <c:pt idx="1182">
                  <c:v>0.1</c:v>
                </c:pt>
                <c:pt idx="1183">
                  <c:v>0.8</c:v>
                </c:pt>
                <c:pt idx="1184">
                  <c:v>0.42</c:v>
                </c:pt>
                <c:pt idx="1185">
                  <c:v>0.75</c:v>
                </c:pt>
                <c:pt idx="1186">
                  <c:v>16.670000000000009</c:v>
                </c:pt>
                <c:pt idx="1187">
                  <c:v>13.73</c:v>
                </c:pt>
                <c:pt idx="1188">
                  <c:v>12.2</c:v>
                </c:pt>
                <c:pt idx="1189">
                  <c:v>22.4</c:v>
                </c:pt>
                <c:pt idx="1190">
                  <c:v>27.52</c:v>
                </c:pt>
                <c:pt idx="1191">
                  <c:v>13.61</c:v>
                </c:pt>
                <c:pt idx="1192">
                  <c:v>11.18</c:v>
                </c:pt>
                <c:pt idx="1193">
                  <c:v>15.98</c:v>
                </c:pt>
                <c:pt idx="1194">
                  <c:v>21.48</c:v>
                </c:pt>
                <c:pt idx="1195">
                  <c:v>13.04</c:v>
                </c:pt>
                <c:pt idx="1196">
                  <c:v>1.1299999999999999</c:v>
                </c:pt>
                <c:pt idx="1197">
                  <c:v>0.43</c:v>
                </c:pt>
                <c:pt idx="1198">
                  <c:v>0.32</c:v>
                </c:pt>
                <c:pt idx="1199">
                  <c:v>0.41</c:v>
                </c:pt>
                <c:pt idx="1200">
                  <c:v>0.87</c:v>
                </c:pt>
                <c:pt idx="1201">
                  <c:v>1.23</c:v>
                </c:pt>
                <c:pt idx="1202">
                  <c:v>3.07</c:v>
                </c:pt>
                <c:pt idx="1203">
                  <c:v>1.5</c:v>
                </c:pt>
                <c:pt idx="1204">
                  <c:v>1.55</c:v>
                </c:pt>
                <c:pt idx="1205">
                  <c:v>8.8700000000000028</c:v>
                </c:pt>
                <c:pt idx="1206">
                  <c:v>4.74</c:v>
                </c:pt>
                <c:pt idx="1207">
                  <c:v>8.1300000000000008</c:v>
                </c:pt>
                <c:pt idx="1208">
                  <c:v>19.22</c:v>
                </c:pt>
                <c:pt idx="1209">
                  <c:v>15.3</c:v>
                </c:pt>
                <c:pt idx="1210">
                  <c:v>10.14</c:v>
                </c:pt>
                <c:pt idx="1211">
                  <c:v>12.76</c:v>
                </c:pt>
                <c:pt idx="1212">
                  <c:v>6.68</c:v>
                </c:pt>
                <c:pt idx="1213">
                  <c:v>11.94</c:v>
                </c:pt>
                <c:pt idx="1214">
                  <c:v>9.42</c:v>
                </c:pt>
                <c:pt idx="1215">
                  <c:v>8.51</c:v>
                </c:pt>
                <c:pt idx="1216">
                  <c:v>13.81</c:v>
                </c:pt>
                <c:pt idx="1217">
                  <c:v>17.309999999999999</c:v>
                </c:pt>
                <c:pt idx="1218">
                  <c:v>9.58</c:v>
                </c:pt>
                <c:pt idx="1219">
                  <c:v>10.73</c:v>
                </c:pt>
                <c:pt idx="1220">
                  <c:v>1.5</c:v>
                </c:pt>
                <c:pt idx="1221">
                  <c:v>1.49</c:v>
                </c:pt>
                <c:pt idx="1222">
                  <c:v>1.48</c:v>
                </c:pt>
                <c:pt idx="1223">
                  <c:v>16.670000000000009</c:v>
                </c:pt>
                <c:pt idx="1224">
                  <c:v>13.73</c:v>
                </c:pt>
                <c:pt idx="1225">
                  <c:v>12.2</c:v>
                </c:pt>
                <c:pt idx="1226">
                  <c:v>22.4</c:v>
                </c:pt>
                <c:pt idx="1227">
                  <c:v>27.52</c:v>
                </c:pt>
                <c:pt idx="1228">
                  <c:v>13.61</c:v>
                </c:pt>
                <c:pt idx="1229">
                  <c:v>11.18</c:v>
                </c:pt>
                <c:pt idx="1230">
                  <c:v>15.98</c:v>
                </c:pt>
                <c:pt idx="1231">
                  <c:v>21.48</c:v>
                </c:pt>
                <c:pt idx="1232">
                  <c:v>13.04</c:v>
                </c:pt>
                <c:pt idx="1233">
                  <c:v>5.18</c:v>
                </c:pt>
                <c:pt idx="1234">
                  <c:v>11.34</c:v>
                </c:pt>
                <c:pt idx="1235">
                  <c:v>7.48</c:v>
                </c:pt>
                <c:pt idx="1236">
                  <c:v>6.07</c:v>
                </c:pt>
                <c:pt idx="1237">
                  <c:v>2.25</c:v>
                </c:pt>
                <c:pt idx="1238">
                  <c:v>2.33</c:v>
                </c:pt>
                <c:pt idx="1239">
                  <c:v>6.52</c:v>
                </c:pt>
                <c:pt idx="1240">
                  <c:v>6.43</c:v>
                </c:pt>
                <c:pt idx="1241">
                  <c:v>5.73</c:v>
                </c:pt>
                <c:pt idx="1242">
                  <c:v>1.8</c:v>
                </c:pt>
                <c:pt idx="1243">
                  <c:v>1.46</c:v>
                </c:pt>
                <c:pt idx="1244">
                  <c:v>4.55</c:v>
                </c:pt>
                <c:pt idx="1245">
                  <c:v>6.67</c:v>
                </c:pt>
                <c:pt idx="1246">
                  <c:v>1.75</c:v>
                </c:pt>
                <c:pt idx="1247">
                  <c:v>1.24</c:v>
                </c:pt>
                <c:pt idx="1248">
                  <c:v>1.86</c:v>
                </c:pt>
                <c:pt idx="1249">
                  <c:v>0.81</c:v>
                </c:pt>
                <c:pt idx="1250">
                  <c:v>1.79</c:v>
                </c:pt>
                <c:pt idx="1251">
                  <c:v>4.47</c:v>
                </c:pt>
                <c:pt idx="1252">
                  <c:v>4.6599999999999984</c:v>
                </c:pt>
                <c:pt idx="1253">
                  <c:v>3.12</c:v>
                </c:pt>
                <c:pt idx="1254">
                  <c:v>4.4800000000000004</c:v>
                </c:pt>
                <c:pt idx="1255">
                  <c:v>5.0199999999999996</c:v>
                </c:pt>
                <c:pt idx="1256">
                  <c:v>4.84</c:v>
                </c:pt>
                <c:pt idx="1257">
                  <c:v>5.08</c:v>
                </c:pt>
                <c:pt idx="1258">
                  <c:v>0.62</c:v>
                </c:pt>
                <c:pt idx="1259">
                  <c:v>0.85</c:v>
                </c:pt>
                <c:pt idx="1260">
                  <c:v>8.8700000000000028</c:v>
                </c:pt>
                <c:pt idx="1261">
                  <c:v>4.74</c:v>
                </c:pt>
                <c:pt idx="1262">
                  <c:v>8.1300000000000008</c:v>
                </c:pt>
                <c:pt idx="1263">
                  <c:v>19.22</c:v>
                </c:pt>
                <c:pt idx="1264">
                  <c:v>15.3</c:v>
                </c:pt>
                <c:pt idx="1265">
                  <c:v>10.14</c:v>
                </c:pt>
                <c:pt idx="1266">
                  <c:v>12.76</c:v>
                </c:pt>
                <c:pt idx="1267">
                  <c:v>6.68</c:v>
                </c:pt>
                <c:pt idx="1268">
                  <c:v>11.94</c:v>
                </c:pt>
                <c:pt idx="1269">
                  <c:v>9.42</c:v>
                </c:pt>
                <c:pt idx="1270">
                  <c:v>8.51</c:v>
                </c:pt>
                <c:pt idx="1271">
                  <c:v>13.81</c:v>
                </c:pt>
                <c:pt idx="1272">
                  <c:v>17.309999999999999</c:v>
                </c:pt>
                <c:pt idx="1273">
                  <c:v>9.58</c:v>
                </c:pt>
                <c:pt idx="1274">
                  <c:v>10.73</c:v>
                </c:pt>
                <c:pt idx="1275">
                  <c:v>3.26</c:v>
                </c:pt>
                <c:pt idx="1276">
                  <c:v>11.5</c:v>
                </c:pt>
                <c:pt idx="1277">
                  <c:v>1.41</c:v>
                </c:pt>
                <c:pt idx="1278">
                  <c:v>2.94</c:v>
                </c:pt>
                <c:pt idx="1279">
                  <c:v>16.670000000000009</c:v>
                </c:pt>
                <c:pt idx="1280">
                  <c:v>13.73</c:v>
                </c:pt>
                <c:pt idx="1281">
                  <c:v>12.2</c:v>
                </c:pt>
                <c:pt idx="1282">
                  <c:v>22.4</c:v>
                </c:pt>
                <c:pt idx="1283">
                  <c:v>27.52</c:v>
                </c:pt>
                <c:pt idx="1284">
                  <c:v>13.61</c:v>
                </c:pt>
                <c:pt idx="1285">
                  <c:v>11.18</c:v>
                </c:pt>
                <c:pt idx="1286">
                  <c:v>15.98</c:v>
                </c:pt>
                <c:pt idx="1287">
                  <c:v>21.48</c:v>
                </c:pt>
                <c:pt idx="1288">
                  <c:v>13.04</c:v>
                </c:pt>
                <c:pt idx="1289">
                  <c:v>2.31</c:v>
                </c:pt>
                <c:pt idx="1290">
                  <c:v>9.1300000000000008</c:v>
                </c:pt>
                <c:pt idx="1291">
                  <c:v>39.33</c:v>
                </c:pt>
                <c:pt idx="1292">
                  <c:v>25.95</c:v>
                </c:pt>
                <c:pt idx="1293">
                  <c:v>10.61</c:v>
                </c:pt>
                <c:pt idx="1294">
                  <c:v>6.8</c:v>
                </c:pt>
                <c:pt idx="1295">
                  <c:v>13.24</c:v>
                </c:pt>
                <c:pt idx="1296">
                  <c:v>16.649999999999999</c:v>
                </c:pt>
                <c:pt idx="1297">
                  <c:v>34.06</c:v>
                </c:pt>
                <c:pt idx="1298">
                  <c:v>11.23</c:v>
                </c:pt>
                <c:pt idx="1299">
                  <c:v>11.91</c:v>
                </c:pt>
                <c:pt idx="1300">
                  <c:v>10.73</c:v>
                </c:pt>
                <c:pt idx="1301">
                  <c:v>1.89</c:v>
                </c:pt>
                <c:pt idx="1302">
                  <c:v>3.94</c:v>
                </c:pt>
                <c:pt idx="1303">
                  <c:v>0.35</c:v>
                </c:pt>
                <c:pt idx="1304">
                  <c:v>0.59</c:v>
                </c:pt>
                <c:pt idx="1305">
                  <c:v>1.44</c:v>
                </c:pt>
                <c:pt idx="1306">
                  <c:v>0.21</c:v>
                </c:pt>
                <c:pt idx="1307">
                  <c:v>0.3</c:v>
                </c:pt>
                <c:pt idx="1308">
                  <c:v>5.45</c:v>
                </c:pt>
                <c:pt idx="1309">
                  <c:v>3.53</c:v>
                </c:pt>
                <c:pt idx="1310">
                  <c:v>7.6499999999999977</c:v>
                </c:pt>
                <c:pt idx="1311">
                  <c:v>4.43</c:v>
                </c:pt>
                <c:pt idx="1312">
                  <c:v>5.8199999999999976</c:v>
                </c:pt>
                <c:pt idx="1313">
                  <c:v>4.2</c:v>
                </c:pt>
                <c:pt idx="1314">
                  <c:v>3.17</c:v>
                </c:pt>
                <c:pt idx="1315">
                  <c:v>4.7300000000000004</c:v>
                </c:pt>
                <c:pt idx="1316">
                  <c:v>2.69</c:v>
                </c:pt>
                <c:pt idx="1317">
                  <c:v>2.2000000000000002</c:v>
                </c:pt>
                <c:pt idx="1318">
                  <c:v>1.98</c:v>
                </c:pt>
                <c:pt idx="1319">
                  <c:v>1.97</c:v>
                </c:pt>
                <c:pt idx="1320">
                  <c:v>2.14</c:v>
                </c:pt>
                <c:pt idx="1321">
                  <c:v>1.54</c:v>
                </c:pt>
                <c:pt idx="1322">
                  <c:v>2.25</c:v>
                </c:pt>
                <c:pt idx="1323">
                  <c:v>3.16</c:v>
                </c:pt>
                <c:pt idx="1324">
                  <c:v>3.86</c:v>
                </c:pt>
                <c:pt idx="1325">
                  <c:v>3.05</c:v>
                </c:pt>
                <c:pt idx="1326">
                  <c:v>2.96</c:v>
                </c:pt>
                <c:pt idx="1327">
                  <c:v>2.0299999999999998</c:v>
                </c:pt>
                <c:pt idx="1328">
                  <c:v>2.17</c:v>
                </c:pt>
                <c:pt idx="1329">
                  <c:v>0.36</c:v>
                </c:pt>
                <c:pt idx="1330">
                  <c:v>0.36</c:v>
                </c:pt>
                <c:pt idx="1331">
                  <c:v>4.0599999999999996</c:v>
                </c:pt>
                <c:pt idx="1332">
                  <c:v>4.53</c:v>
                </c:pt>
                <c:pt idx="1333">
                  <c:v>3.23</c:v>
                </c:pt>
                <c:pt idx="1334">
                  <c:v>9.1300000000000008</c:v>
                </c:pt>
                <c:pt idx="1335">
                  <c:v>12.77</c:v>
                </c:pt>
                <c:pt idx="1336">
                  <c:v>4.84</c:v>
                </c:pt>
                <c:pt idx="1337">
                  <c:v>4.22</c:v>
                </c:pt>
                <c:pt idx="1338">
                  <c:v>2.68</c:v>
                </c:pt>
                <c:pt idx="1339">
                  <c:v>5.41</c:v>
                </c:pt>
                <c:pt idx="1340">
                  <c:v>2.9</c:v>
                </c:pt>
                <c:pt idx="1341">
                  <c:v>3.72</c:v>
                </c:pt>
                <c:pt idx="1342">
                  <c:v>3.78</c:v>
                </c:pt>
                <c:pt idx="1343">
                  <c:v>0.82</c:v>
                </c:pt>
                <c:pt idx="1344">
                  <c:v>0.76</c:v>
                </c:pt>
                <c:pt idx="1345">
                  <c:v>0.43</c:v>
                </c:pt>
                <c:pt idx="1346">
                  <c:v>5.18</c:v>
                </c:pt>
                <c:pt idx="1347">
                  <c:v>11.34</c:v>
                </c:pt>
                <c:pt idx="1348">
                  <c:v>7.48</c:v>
                </c:pt>
                <c:pt idx="1349">
                  <c:v>6.07</c:v>
                </c:pt>
                <c:pt idx="1350">
                  <c:v>2.25</c:v>
                </c:pt>
                <c:pt idx="1351">
                  <c:v>2.33</c:v>
                </c:pt>
                <c:pt idx="1352">
                  <c:v>6.52</c:v>
                </c:pt>
                <c:pt idx="1353">
                  <c:v>6.43</c:v>
                </c:pt>
                <c:pt idx="1354">
                  <c:v>5.73</c:v>
                </c:pt>
                <c:pt idx="1355">
                  <c:v>1.8</c:v>
                </c:pt>
                <c:pt idx="1356">
                  <c:v>1.46</c:v>
                </c:pt>
                <c:pt idx="1357">
                  <c:v>4.55</c:v>
                </c:pt>
                <c:pt idx="1358">
                  <c:v>6.67</c:v>
                </c:pt>
                <c:pt idx="1359">
                  <c:v>0.24</c:v>
                </c:pt>
                <c:pt idx="1360">
                  <c:v>0.48</c:v>
                </c:pt>
                <c:pt idx="1361">
                  <c:v>0.21</c:v>
                </c:pt>
                <c:pt idx="1362">
                  <c:v>9.26</c:v>
                </c:pt>
                <c:pt idx="1363">
                  <c:v>1.21</c:v>
                </c:pt>
                <c:pt idx="1364">
                  <c:v>1.74</c:v>
                </c:pt>
                <c:pt idx="1365">
                  <c:v>1.08</c:v>
                </c:pt>
                <c:pt idx="1366">
                  <c:v>12.71</c:v>
                </c:pt>
                <c:pt idx="1367">
                  <c:v>4.96</c:v>
                </c:pt>
                <c:pt idx="1368">
                  <c:v>7.54</c:v>
                </c:pt>
                <c:pt idx="1369">
                  <c:v>4.93</c:v>
                </c:pt>
                <c:pt idx="1370">
                  <c:v>3.53</c:v>
                </c:pt>
                <c:pt idx="1371">
                  <c:v>5.03</c:v>
                </c:pt>
                <c:pt idx="1372">
                  <c:v>3.82</c:v>
                </c:pt>
                <c:pt idx="1373">
                  <c:v>3.63</c:v>
                </c:pt>
                <c:pt idx="1374">
                  <c:v>7.46</c:v>
                </c:pt>
                <c:pt idx="1375">
                  <c:v>5.76</c:v>
                </c:pt>
                <c:pt idx="1376">
                  <c:v>3.77</c:v>
                </c:pt>
                <c:pt idx="1377">
                  <c:v>5.58</c:v>
                </c:pt>
                <c:pt idx="1378">
                  <c:v>6.24</c:v>
                </c:pt>
                <c:pt idx="1379">
                  <c:v>0.92</c:v>
                </c:pt>
                <c:pt idx="1380">
                  <c:v>8.8700000000000028</c:v>
                </c:pt>
                <c:pt idx="1381">
                  <c:v>4.74</c:v>
                </c:pt>
                <c:pt idx="1382">
                  <c:v>8.1300000000000008</c:v>
                </c:pt>
                <c:pt idx="1383">
                  <c:v>19.22</c:v>
                </c:pt>
                <c:pt idx="1384">
                  <c:v>15.3</c:v>
                </c:pt>
                <c:pt idx="1385">
                  <c:v>10.14</c:v>
                </c:pt>
                <c:pt idx="1386">
                  <c:v>12.76</c:v>
                </c:pt>
                <c:pt idx="1387">
                  <c:v>6.68</c:v>
                </c:pt>
                <c:pt idx="1388">
                  <c:v>11.94</c:v>
                </c:pt>
                <c:pt idx="1389">
                  <c:v>9.42</c:v>
                </c:pt>
                <c:pt idx="1390">
                  <c:v>8.51</c:v>
                </c:pt>
                <c:pt idx="1391">
                  <c:v>13.81</c:v>
                </c:pt>
                <c:pt idx="1392">
                  <c:v>17.309999999999999</c:v>
                </c:pt>
                <c:pt idx="1393">
                  <c:v>9.58</c:v>
                </c:pt>
                <c:pt idx="1394">
                  <c:v>10.73</c:v>
                </c:pt>
                <c:pt idx="1395">
                  <c:v>4.0599999999999996</c:v>
                </c:pt>
                <c:pt idx="1396">
                  <c:v>4.53</c:v>
                </c:pt>
                <c:pt idx="1397">
                  <c:v>3.23</c:v>
                </c:pt>
                <c:pt idx="1398">
                  <c:v>9.1300000000000008</c:v>
                </c:pt>
                <c:pt idx="1399">
                  <c:v>12.77</c:v>
                </c:pt>
                <c:pt idx="1400">
                  <c:v>4.84</c:v>
                </c:pt>
                <c:pt idx="1401">
                  <c:v>4.22</c:v>
                </c:pt>
                <c:pt idx="1402">
                  <c:v>2.68</c:v>
                </c:pt>
                <c:pt idx="1403">
                  <c:v>5.41</c:v>
                </c:pt>
                <c:pt idx="1404">
                  <c:v>2.9</c:v>
                </c:pt>
                <c:pt idx="1405">
                  <c:v>3.72</c:v>
                </c:pt>
                <c:pt idx="1406">
                  <c:v>0.8</c:v>
                </c:pt>
                <c:pt idx="1407">
                  <c:v>0.42</c:v>
                </c:pt>
                <c:pt idx="1408">
                  <c:v>0.75</c:v>
                </c:pt>
                <c:pt idx="1409">
                  <c:v>5.18</c:v>
                </c:pt>
                <c:pt idx="1410">
                  <c:v>11.34</c:v>
                </c:pt>
                <c:pt idx="1411">
                  <c:v>7.48</c:v>
                </c:pt>
                <c:pt idx="1412">
                  <c:v>6.07</c:v>
                </c:pt>
                <c:pt idx="1413">
                  <c:v>2.25</c:v>
                </c:pt>
                <c:pt idx="1414">
                  <c:v>2.33</c:v>
                </c:pt>
                <c:pt idx="1415">
                  <c:v>6.52</c:v>
                </c:pt>
                <c:pt idx="1416">
                  <c:v>6.43</c:v>
                </c:pt>
                <c:pt idx="1417">
                  <c:v>5.73</c:v>
                </c:pt>
                <c:pt idx="1418">
                  <c:v>1.8</c:v>
                </c:pt>
                <c:pt idx="1419">
                  <c:v>1.46</c:v>
                </c:pt>
                <c:pt idx="1420">
                  <c:v>4.55</c:v>
                </c:pt>
                <c:pt idx="1421">
                  <c:v>6.67</c:v>
                </c:pt>
                <c:pt idx="1422">
                  <c:v>0.74</c:v>
                </c:pt>
                <c:pt idx="1423">
                  <c:v>1.1299999999999999</c:v>
                </c:pt>
                <c:pt idx="1424">
                  <c:v>1.2</c:v>
                </c:pt>
                <c:pt idx="1425">
                  <c:v>1.31</c:v>
                </c:pt>
                <c:pt idx="1426">
                  <c:v>2.13</c:v>
                </c:pt>
                <c:pt idx="1427">
                  <c:v>3.2</c:v>
                </c:pt>
                <c:pt idx="1428">
                  <c:v>2.58</c:v>
                </c:pt>
                <c:pt idx="1429">
                  <c:v>6.51</c:v>
                </c:pt>
                <c:pt idx="1430">
                  <c:v>1.79</c:v>
                </c:pt>
                <c:pt idx="1431">
                  <c:v>5.2</c:v>
                </c:pt>
                <c:pt idx="1432">
                  <c:v>6.7</c:v>
                </c:pt>
                <c:pt idx="1433">
                  <c:v>9.0500000000000007</c:v>
                </c:pt>
                <c:pt idx="1434">
                  <c:v>3.66</c:v>
                </c:pt>
                <c:pt idx="1435">
                  <c:v>2.71</c:v>
                </c:pt>
                <c:pt idx="1436">
                  <c:v>1.01</c:v>
                </c:pt>
                <c:pt idx="1437">
                  <c:v>5.45</c:v>
                </c:pt>
                <c:pt idx="1438">
                  <c:v>3.53</c:v>
                </c:pt>
                <c:pt idx="1439">
                  <c:v>7.6499999999999977</c:v>
                </c:pt>
                <c:pt idx="1440">
                  <c:v>4.43</c:v>
                </c:pt>
                <c:pt idx="1441">
                  <c:v>5.8199999999999976</c:v>
                </c:pt>
                <c:pt idx="1442">
                  <c:v>4.2</c:v>
                </c:pt>
                <c:pt idx="1443">
                  <c:v>3.17</c:v>
                </c:pt>
                <c:pt idx="1444">
                  <c:v>4.7300000000000004</c:v>
                </c:pt>
                <c:pt idx="1445">
                  <c:v>2.69</c:v>
                </c:pt>
                <c:pt idx="1446">
                  <c:v>2.2000000000000002</c:v>
                </c:pt>
                <c:pt idx="1447">
                  <c:v>1.98</c:v>
                </c:pt>
                <c:pt idx="1448">
                  <c:v>1.97</c:v>
                </c:pt>
                <c:pt idx="1449">
                  <c:v>2.14</c:v>
                </c:pt>
                <c:pt idx="1450">
                  <c:v>1.54</c:v>
                </c:pt>
                <c:pt idx="1451">
                  <c:v>2.25</c:v>
                </c:pt>
                <c:pt idx="1452">
                  <c:v>3.16</c:v>
                </c:pt>
                <c:pt idx="1453">
                  <c:v>3.86</c:v>
                </c:pt>
                <c:pt idx="1454">
                  <c:v>3.05</c:v>
                </c:pt>
                <c:pt idx="1455">
                  <c:v>2.96</c:v>
                </c:pt>
                <c:pt idx="1456">
                  <c:v>2.0299999999999998</c:v>
                </c:pt>
                <c:pt idx="1457">
                  <c:v>2.17</c:v>
                </c:pt>
                <c:pt idx="1458">
                  <c:v>0.17</c:v>
                </c:pt>
                <c:pt idx="1459">
                  <c:v>0.31</c:v>
                </c:pt>
                <c:pt idx="1460">
                  <c:v>4.0599999999999996</c:v>
                </c:pt>
                <c:pt idx="1461">
                  <c:v>4.53</c:v>
                </c:pt>
                <c:pt idx="1462">
                  <c:v>3.23</c:v>
                </c:pt>
                <c:pt idx="1463">
                  <c:v>9.1300000000000008</c:v>
                </c:pt>
                <c:pt idx="1464">
                  <c:v>12.77</c:v>
                </c:pt>
                <c:pt idx="1465">
                  <c:v>4.84</c:v>
                </c:pt>
                <c:pt idx="1466">
                  <c:v>4.22</c:v>
                </c:pt>
                <c:pt idx="1467">
                  <c:v>2.68</c:v>
                </c:pt>
                <c:pt idx="1468">
                  <c:v>5.41</c:v>
                </c:pt>
                <c:pt idx="1469">
                  <c:v>2.9</c:v>
                </c:pt>
                <c:pt idx="1470">
                  <c:v>3.72</c:v>
                </c:pt>
                <c:pt idx="1471">
                  <c:v>3.78</c:v>
                </c:pt>
                <c:pt idx="1472">
                  <c:v>1.25</c:v>
                </c:pt>
                <c:pt idx="1473">
                  <c:v>0.46</c:v>
                </c:pt>
                <c:pt idx="1474">
                  <c:v>2.63</c:v>
                </c:pt>
                <c:pt idx="1475">
                  <c:v>5.18</c:v>
                </c:pt>
                <c:pt idx="1476">
                  <c:v>11.34</c:v>
                </c:pt>
                <c:pt idx="1477">
                  <c:v>7.48</c:v>
                </c:pt>
                <c:pt idx="1478">
                  <c:v>6.07</c:v>
                </c:pt>
                <c:pt idx="1479">
                  <c:v>2.25</c:v>
                </c:pt>
                <c:pt idx="1480">
                  <c:v>2.33</c:v>
                </c:pt>
                <c:pt idx="1481">
                  <c:v>6.52</c:v>
                </c:pt>
                <c:pt idx="1482">
                  <c:v>6.43</c:v>
                </c:pt>
                <c:pt idx="1483">
                  <c:v>5.73</c:v>
                </c:pt>
                <c:pt idx="1484">
                  <c:v>1.8</c:v>
                </c:pt>
                <c:pt idx="1485">
                  <c:v>1.46</c:v>
                </c:pt>
                <c:pt idx="1486">
                  <c:v>4.55</c:v>
                </c:pt>
                <c:pt idx="1487">
                  <c:v>6.67</c:v>
                </c:pt>
                <c:pt idx="1488">
                  <c:v>2.75</c:v>
                </c:pt>
                <c:pt idx="1489">
                  <c:v>2.04</c:v>
                </c:pt>
                <c:pt idx="1490">
                  <c:v>3.36</c:v>
                </c:pt>
                <c:pt idx="1491">
                  <c:v>3.07</c:v>
                </c:pt>
                <c:pt idx="1492">
                  <c:v>1.8</c:v>
                </c:pt>
                <c:pt idx="1493">
                  <c:v>12.71</c:v>
                </c:pt>
                <c:pt idx="1494">
                  <c:v>4.96</c:v>
                </c:pt>
                <c:pt idx="1495">
                  <c:v>7.54</c:v>
                </c:pt>
                <c:pt idx="1496">
                  <c:v>4.93</c:v>
                </c:pt>
                <c:pt idx="1497">
                  <c:v>3.53</c:v>
                </c:pt>
                <c:pt idx="1498">
                  <c:v>5.03</c:v>
                </c:pt>
                <c:pt idx="1499">
                  <c:v>2.42</c:v>
                </c:pt>
                <c:pt idx="1500">
                  <c:v>6.76</c:v>
                </c:pt>
                <c:pt idx="1501">
                  <c:v>6.51</c:v>
                </c:pt>
                <c:pt idx="1502">
                  <c:v>1.79</c:v>
                </c:pt>
                <c:pt idx="1503">
                  <c:v>5.2</c:v>
                </c:pt>
                <c:pt idx="1504">
                  <c:v>6.7</c:v>
                </c:pt>
                <c:pt idx="1505">
                  <c:v>9.0500000000000007</c:v>
                </c:pt>
                <c:pt idx="1506">
                  <c:v>3.66</c:v>
                </c:pt>
                <c:pt idx="1507">
                  <c:v>12.5</c:v>
                </c:pt>
                <c:pt idx="1508">
                  <c:v>9.09</c:v>
                </c:pt>
                <c:pt idx="1509">
                  <c:v>5.45</c:v>
                </c:pt>
                <c:pt idx="1510">
                  <c:v>3.53</c:v>
                </c:pt>
                <c:pt idx="1511">
                  <c:v>7.6499999999999977</c:v>
                </c:pt>
                <c:pt idx="1512">
                  <c:v>4.43</c:v>
                </c:pt>
                <c:pt idx="1513">
                  <c:v>5.8199999999999976</c:v>
                </c:pt>
                <c:pt idx="1514">
                  <c:v>4.2</c:v>
                </c:pt>
                <c:pt idx="1515">
                  <c:v>3.17</c:v>
                </c:pt>
                <c:pt idx="1516">
                  <c:v>4.7300000000000004</c:v>
                </c:pt>
                <c:pt idx="1517">
                  <c:v>2.69</c:v>
                </c:pt>
                <c:pt idx="1518">
                  <c:v>2.2000000000000002</c:v>
                </c:pt>
                <c:pt idx="1519">
                  <c:v>1.98</c:v>
                </c:pt>
                <c:pt idx="1520">
                  <c:v>1.97</c:v>
                </c:pt>
                <c:pt idx="1521">
                  <c:v>2.14</c:v>
                </c:pt>
                <c:pt idx="1522">
                  <c:v>1.54</c:v>
                </c:pt>
                <c:pt idx="1523">
                  <c:v>2.25</c:v>
                </c:pt>
                <c:pt idx="1524">
                  <c:v>3.16</c:v>
                </c:pt>
                <c:pt idx="1525">
                  <c:v>3.86</c:v>
                </c:pt>
                <c:pt idx="1526">
                  <c:v>3.05</c:v>
                </c:pt>
                <c:pt idx="1527">
                  <c:v>2.96</c:v>
                </c:pt>
                <c:pt idx="1528">
                  <c:v>2.0299999999999998</c:v>
                </c:pt>
                <c:pt idx="1529">
                  <c:v>2.17</c:v>
                </c:pt>
                <c:pt idx="1530">
                  <c:v>1.65</c:v>
                </c:pt>
                <c:pt idx="1531">
                  <c:v>2</c:v>
                </c:pt>
                <c:pt idx="1532">
                  <c:v>4.0599999999999996</c:v>
                </c:pt>
                <c:pt idx="1533">
                  <c:v>4.53</c:v>
                </c:pt>
                <c:pt idx="1534">
                  <c:v>3.23</c:v>
                </c:pt>
                <c:pt idx="1535">
                  <c:v>9.1300000000000008</c:v>
                </c:pt>
                <c:pt idx="1536">
                  <c:v>12.77</c:v>
                </c:pt>
                <c:pt idx="1537">
                  <c:v>4.84</c:v>
                </c:pt>
                <c:pt idx="1538">
                  <c:v>4.22</c:v>
                </c:pt>
                <c:pt idx="1539">
                  <c:v>2.68</c:v>
                </c:pt>
                <c:pt idx="1540">
                  <c:v>5.41</c:v>
                </c:pt>
                <c:pt idx="1541">
                  <c:v>2.9</c:v>
                </c:pt>
                <c:pt idx="1542">
                  <c:v>3.72</c:v>
                </c:pt>
                <c:pt idx="1543">
                  <c:v>3.78</c:v>
                </c:pt>
                <c:pt idx="1544">
                  <c:v>2.59</c:v>
                </c:pt>
                <c:pt idx="1545">
                  <c:v>1.39</c:v>
                </c:pt>
                <c:pt idx="1546">
                  <c:v>3.71</c:v>
                </c:pt>
                <c:pt idx="1547">
                  <c:v>6.24</c:v>
                </c:pt>
                <c:pt idx="1548">
                  <c:v>5.18</c:v>
                </c:pt>
                <c:pt idx="1549">
                  <c:v>11.34</c:v>
                </c:pt>
                <c:pt idx="1550">
                  <c:v>7.48</c:v>
                </c:pt>
                <c:pt idx="1551">
                  <c:v>6.07</c:v>
                </c:pt>
                <c:pt idx="1552">
                  <c:v>2.25</c:v>
                </c:pt>
                <c:pt idx="1553">
                  <c:v>2.33</c:v>
                </c:pt>
                <c:pt idx="1554">
                  <c:v>6.52</c:v>
                </c:pt>
                <c:pt idx="1555">
                  <c:v>6.43</c:v>
                </c:pt>
                <c:pt idx="1556">
                  <c:v>5.73</c:v>
                </c:pt>
                <c:pt idx="1557">
                  <c:v>1.8</c:v>
                </c:pt>
                <c:pt idx="1558">
                  <c:v>1.46</c:v>
                </c:pt>
                <c:pt idx="1559">
                  <c:v>4.55</c:v>
                </c:pt>
                <c:pt idx="1560">
                  <c:v>6.67</c:v>
                </c:pt>
                <c:pt idx="1561">
                  <c:v>11.72</c:v>
                </c:pt>
                <c:pt idx="1562">
                  <c:v>1.89</c:v>
                </c:pt>
                <c:pt idx="1563">
                  <c:v>1.61</c:v>
                </c:pt>
                <c:pt idx="1564">
                  <c:v>0.11</c:v>
                </c:pt>
                <c:pt idx="1565">
                  <c:v>0.47</c:v>
                </c:pt>
                <c:pt idx="1566">
                  <c:v>0.03</c:v>
                </c:pt>
                <c:pt idx="1567">
                  <c:v>0.71</c:v>
                </c:pt>
                <c:pt idx="1568">
                  <c:v>6.51</c:v>
                </c:pt>
                <c:pt idx="1569">
                  <c:v>1.79</c:v>
                </c:pt>
                <c:pt idx="1570">
                  <c:v>5.2</c:v>
                </c:pt>
                <c:pt idx="1571">
                  <c:v>6.7</c:v>
                </c:pt>
                <c:pt idx="1572">
                  <c:v>9.0500000000000007</c:v>
                </c:pt>
                <c:pt idx="1573">
                  <c:v>3.66</c:v>
                </c:pt>
                <c:pt idx="1574">
                  <c:v>0.08</c:v>
                </c:pt>
                <c:pt idx="1575">
                  <c:v>0.14000000000000001</c:v>
                </c:pt>
                <c:pt idx="1576">
                  <c:v>5.45</c:v>
                </c:pt>
                <c:pt idx="1577">
                  <c:v>3.53</c:v>
                </c:pt>
                <c:pt idx="1578">
                  <c:v>7.6499999999999977</c:v>
                </c:pt>
                <c:pt idx="1579">
                  <c:v>4.43</c:v>
                </c:pt>
                <c:pt idx="1580">
                  <c:v>5.8199999999999976</c:v>
                </c:pt>
                <c:pt idx="1581">
                  <c:v>4.2</c:v>
                </c:pt>
                <c:pt idx="1582">
                  <c:v>3.17</c:v>
                </c:pt>
                <c:pt idx="1583">
                  <c:v>4.7300000000000004</c:v>
                </c:pt>
                <c:pt idx="1584">
                  <c:v>2.69</c:v>
                </c:pt>
                <c:pt idx="1585">
                  <c:v>2.2000000000000002</c:v>
                </c:pt>
                <c:pt idx="1586">
                  <c:v>1.98</c:v>
                </c:pt>
                <c:pt idx="1587">
                  <c:v>1.97</c:v>
                </c:pt>
                <c:pt idx="1588">
                  <c:v>2.14</c:v>
                </c:pt>
                <c:pt idx="1589">
                  <c:v>1.54</c:v>
                </c:pt>
                <c:pt idx="1590">
                  <c:v>2.25</c:v>
                </c:pt>
                <c:pt idx="1591">
                  <c:v>3.16</c:v>
                </c:pt>
                <c:pt idx="1592">
                  <c:v>3.86</c:v>
                </c:pt>
                <c:pt idx="1593">
                  <c:v>3.05</c:v>
                </c:pt>
                <c:pt idx="1594">
                  <c:v>2.96</c:v>
                </c:pt>
                <c:pt idx="1595">
                  <c:v>2.0299999999999998</c:v>
                </c:pt>
                <c:pt idx="1596">
                  <c:v>2.17</c:v>
                </c:pt>
                <c:pt idx="1597">
                  <c:v>0.31</c:v>
                </c:pt>
                <c:pt idx="1598">
                  <c:v>0.5</c:v>
                </c:pt>
                <c:pt idx="1599">
                  <c:v>4.0599999999999996</c:v>
                </c:pt>
                <c:pt idx="1600">
                  <c:v>4.53</c:v>
                </c:pt>
                <c:pt idx="1601">
                  <c:v>3.23</c:v>
                </c:pt>
                <c:pt idx="1602">
                  <c:v>9.1300000000000008</c:v>
                </c:pt>
                <c:pt idx="1603">
                  <c:v>12.77</c:v>
                </c:pt>
                <c:pt idx="1604">
                  <c:v>4.84</c:v>
                </c:pt>
                <c:pt idx="1605">
                  <c:v>4.22</c:v>
                </c:pt>
                <c:pt idx="1606">
                  <c:v>2.68</c:v>
                </c:pt>
                <c:pt idx="1607">
                  <c:v>5.41</c:v>
                </c:pt>
                <c:pt idx="1608">
                  <c:v>2.9</c:v>
                </c:pt>
                <c:pt idx="1609">
                  <c:v>3.72</c:v>
                </c:pt>
                <c:pt idx="1610">
                  <c:v>3.78</c:v>
                </c:pt>
                <c:pt idx="1611">
                  <c:v>0.09</c:v>
                </c:pt>
                <c:pt idx="1612">
                  <c:v>16.670000000000009</c:v>
                </c:pt>
                <c:pt idx="1613">
                  <c:v>13.73</c:v>
                </c:pt>
                <c:pt idx="1614">
                  <c:v>12.2</c:v>
                </c:pt>
                <c:pt idx="1615">
                  <c:v>22.4</c:v>
                </c:pt>
                <c:pt idx="1616">
                  <c:v>27.52</c:v>
                </c:pt>
                <c:pt idx="1617">
                  <c:v>13.61</c:v>
                </c:pt>
                <c:pt idx="1618">
                  <c:v>11.18</c:v>
                </c:pt>
                <c:pt idx="1619">
                  <c:v>15.98</c:v>
                </c:pt>
                <c:pt idx="1620">
                  <c:v>21.48</c:v>
                </c:pt>
                <c:pt idx="1621">
                  <c:v>13.04</c:v>
                </c:pt>
                <c:pt idx="1622">
                  <c:v>3.23</c:v>
                </c:pt>
                <c:pt idx="1623">
                  <c:v>9.1300000000000008</c:v>
                </c:pt>
                <c:pt idx="1624">
                  <c:v>39.33</c:v>
                </c:pt>
                <c:pt idx="1625">
                  <c:v>25.95</c:v>
                </c:pt>
                <c:pt idx="1626">
                  <c:v>10.61</c:v>
                </c:pt>
                <c:pt idx="1627">
                  <c:v>6.8</c:v>
                </c:pt>
                <c:pt idx="1628">
                  <c:v>13.24</c:v>
                </c:pt>
                <c:pt idx="1629">
                  <c:v>16.649999999999999</c:v>
                </c:pt>
                <c:pt idx="1630">
                  <c:v>34.06</c:v>
                </c:pt>
                <c:pt idx="1631">
                  <c:v>11.23</c:v>
                </c:pt>
                <c:pt idx="1632">
                  <c:v>11.91</c:v>
                </c:pt>
                <c:pt idx="1633">
                  <c:v>10.73</c:v>
                </c:pt>
                <c:pt idx="1634">
                  <c:v>0.59</c:v>
                </c:pt>
                <c:pt idx="1635">
                  <c:v>1.34</c:v>
                </c:pt>
                <c:pt idx="1636">
                  <c:v>1.55</c:v>
                </c:pt>
                <c:pt idx="1637">
                  <c:v>3.82</c:v>
                </c:pt>
                <c:pt idx="1638">
                  <c:v>3.63</c:v>
                </c:pt>
                <c:pt idx="1639">
                  <c:v>7.46</c:v>
                </c:pt>
                <c:pt idx="1640">
                  <c:v>5.76</c:v>
                </c:pt>
                <c:pt idx="1641">
                  <c:v>3.77</c:v>
                </c:pt>
                <c:pt idx="1642">
                  <c:v>5.58</c:v>
                </c:pt>
                <c:pt idx="1643">
                  <c:v>6.24</c:v>
                </c:pt>
                <c:pt idx="1644">
                  <c:v>1.38</c:v>
                </c:pt>
                <c:pt idx="1645">
                  <c:v>0.49</c:v>
                </c:pt>
                <c:pt idx="1646">
                  <c:v>1.1499999999999999</c:v>
                </c:pt>
                <c:pt idx="1647">
                  <c:v>1.22</c:v>
                </c:pt>
                <c:pt idx="1648">
                  <c:v>9.65</c:v>
                </c:pt>
                <c:pt idx="1649">
                  <c:v>2.56</c:v>
                </c:pt>
                <c:pt idx="1650">
                  <c:v>0.01</c:v>
                </c:pt>
                <c:pt idx="1651">
                  <c:v>1.55</c:v>
                </c:pt>
                <c:pt idx="1652">
                  <c:v>1.38</c:v>
                </c:pt>
                <c:pt idx="1653">
                  <c:v>5.45</c:v>
                </c:pt>
                <c:pt idx="1654">
                  <c:v>3.53</c:v>
                </c:pt>
                <c:pt idx="1655">
                  <c:v>7.6499999999999977</c:v>
                </c:pt>
                <c:pt idx="1656">
                  <c:v>4.43</c:v>
                </c:pt>
                <c:pt idx="1657">
                  <c:v>5.8199999999999976</c:v>
                </c:pt>
                <c:pt idx="1658">
                  <c:v>4.2</c:v>
                </c:pt>
                <c:pt idx="1659">
                  <c:v>3.17</c:v>
                </c:pt>
                <c:pt idx="1660">
                  <c:v>4.7300000000000004</c:v>
                </c:pt>
                <c:pt idx="1661">
                  <c:v>2.69</c:v>
                </c:pt>
                <c:pt idx="1662">
                  <c:v>2.2000000000000002</c:v>
                </c:pt>
                <c:pt idx="1663">
                  <c:v>1.98</c:v>
                </c:pt>
                <c:pt idx="1664">
                  <c:v>1.97</c:v>
                </c:pt>
                <c:pt idx="1665">
                  <c:v>2.14</c:v>
                </c:pt>
                <c:pt idx="1666">
                  <c:v>1.54</c:v>
                </c:pt>
                <c:pt idx="1667">
                  <c:v>2.25</c:v>
                </c:pt>
                <c:pt idx="1668">
                  <c:v>3.16</c:v>
                </c:pt>
                <c:pt idx="1669">
                  <c:v>3.86</c:v>
                </c:pt>
                <c:pt idx="1670">
                  <c:v>3.05</c:v>
                </c:pt>
                <c:pt idx="1671">
                  <c:v>2.96</c:v>
                </c:pt>
                <c:pt idx="1672">
                  <c:v>2.0299999999999998</c:v>
                </c:pt>
                <c:pt idx="1673">
                  <c:v>2.17</c:v>
                </c:pt>
                <c:pt idx="1674">
                  <c:v>0.89</c:v>
                </c:pt>
                <c:pt idx="1675">
                  <c:v>4.0599999999999996</c:v>
                </c:pt>
                <c:pt idx="1676">
                  <c:v>4.53</c:v>
                </c:pt>
                <c:pt idx="1677">
                  <c:v>3.23</c:v>
                </c:pt>
                <c:pt idx="1678">
                  <c:v>9.1300000000000008</c:v>
                </c:pt>
                <c:pt idx="1679">
                  <c:v>12.77</c:v>
                </c:pt>
                <c:pt idx="1680">
                  <c:v>4.84</c:v>
                </c:pt>
                <c:pt idx="1681">
                  <c:v>4.22</c:v>
                </c:pt>
                <c:pt idx="1682">
                  <c:v>2.68</c:v>
                </c:pt>
                <c:pt idx="1683">
                  <c:v>5.41</c:v>
                </c:pt>
                <c:pt idx="1684">
                  <c:v>2.9</c:v>
                </c:pt>
                <c:pt idx="1685">
                  <c:v>3.72</c:v>
                </c:pt>
                <c:pt idx="1686">
                  <c:v>3.78</c:v>
                </c:pt>
                <c:pt idx="1687">
                  <c:v>1.67</c:v>
                </c:pt>
                <c:pt idx="1688">
                  <c:v>0.84</c:v>
                </c:pt>
                <c:pt idx="1689">
                  <c:v>0.35</c:v>
                </c:pt>
                <c:pt idx="1690">
                  <c:v>5.18</c:v>
                </c:pt>
                <c:pt idx="1691">
                  <c:v>11.34</c:v>
                </c:pt>
                <c:pt idx="1692">
                  <c:v>7.48</c:v>
                </c:pt>
                <c:pt idx="1693">
                  <c:v>6.07</c:v>
                </c:pt>
                <c:pt idx="1694">
                  <c:v>2.25</c:v>
                </c:pt>
                <c:pt idx="1695">
                  <c:v>2.33</c:v>
                </c:pt>
                <c:pt idx="1696">
                  <c:v>6.52</c:v>
                </c:pt>
                <c:pt idx="1697">
                  <c:v>6.43</c:v>
                </c:pt>
                <c:pt idx="1698">
                  <c:v>5.73</c:v>
                </c:pt>
                <c:pt idx="1699">
                  <c:v>1.8</c:v>
                </c:pt>
                <c:pt idx="1700">
                  <c:v>1.46</c:v>
                </c:pt>
                <c:pt idx="1701">
                  <c:v>4.55</c:v>
                </c:pt>
                <c:pt idx="1702">
                  <c:v>6.67</c:v>
                </c:pt>
                <c:pt idx="1703">
                  <c:v>0.5</c:v>
                </c:pt>
                <c:pt idx="1704">
                  <c:v>0.01</c:v>
                </c:pt>
                <c:pt idx="1705">
                  <c:v>2.58</c:v>
                </c:pt>
                <c:pt idx="1706">
                  <c:v>2.58</c:v>
                </c:pt>
                <c:pt idx="1707">
                  <c:v>0.31</c:v>
                </c:pt>
                <c:pt idx="1708">
                  <c:v>8.8700000000000028</c:v>
                </c:pt>
                <c:pt idx="1709">
                  <c:v>4.74</c:v>
                </c:pt>
                <c:pt idx="1710">
                  <c:v>8.1300000000000008</c:v>
                </c:pt>
                <c:pt idx="1711">
                  <c:v>19.22</c:v>
                </c:pt>
                <c:pt idx="1712">
                  <c:v>15.3</c:v>
                </c:pt>
                <c:pt idx="1713">
                  <c:v>10.14</c:v>
                </c:pt>
                <c:pt idx="1714">
                  <c:v>12.76</c:v>
                </c:pt>
                <c:pt idx="1715">
                  <c:v>6.68</c:v>
                </c:pt>
                <c:pt idx="1716">
                  <c:v>11.94</c:v>
                </c:pt>
                <c:pt idx="1717">
                  <c:v>9.42</c:v>
                </c:pt>
                <c:pt idx="1718">
                  <c:v>8.51</c:v>
                </c:pt>
                <c:pt idx="1719">
                  <c:v>13.81</c:v>
                </c:pt>
                <c:pt idx="1720">
                  <c:v>17.309999999999999</c:v>
                </c:pt>
                <c:pt idx="1721">
                  <c:v>9.58</c:v>
                </c:pt>
                <c:pt idx="1722">
                  <c:v>10.73</c:v>
                </c:pt>
                <c:pt idx="1723">
                  <c:v>0.56999999999999995</c:v>
                </c:pt>
                <c:pt idx="1724">
                  <c:v>1.25</c:v>
                </c:pt>
                <c:pt idx="1725">
                  <c:v>0.46</c:v>
                </c:pt>
                <c:pt idx="1726">
                  <c:v>16.670000000000009</c:v>
                </c:pt>
                <c:pt idx="1727">
                  <c:v>13.73</c:v>
                </c:pt>
                <c:pt idx="1728">
                  <c:v>12.2</c:v>
                </c:pt>
                <c:pt idx="1729">
                  <c:v>22.4</c:v>
                </c:pt>
                <c:pt idx="1730">
                  <c:v>27.52</c:v>
                </c:pt>
                <c:pt idx="1731">
                  <c:v>13.61</c:v>
                </c:pt>
                <c:pt idx="1732">
                  <c:v>11.18</c:v>
                </c:pt>
                <c:pt idx="1733">
                  <c:v>15.98</c:v>
                </c:pt>
                <c:pt idx="1734">
                  <c:v>21.48</c:v>
                </c:pt>
                <c:pt idx="1735">
                  <c:v>13.04</c:v>
                </c:pt>
                <c:pt idx="1736">
                  <c:v>2.75</c:v>
                </c:pt>
                <c:pt idx="1737">
                  <c:v>9.1300000000000008</c:v>
                </c:pt>
                <c:pt idx="1738">
                  <c:v>39.33</c:v>
                </c:pt>
                <c:pt idx="1739">
                  <c:v>25.95</c:v>
                </c:pt>
                <c:pt idx="1740">
                  <c:v>10.61</c:v>
                </c:pt>
                <c:pt idx="1741">
                  <c:v>6.8</c:v>
                </c:pt>
                <c:pt idx="1742">
                  <c:v>13.24</c:v>
                </c:pt>
                <c:pt idx="1743">
                  <c:v>16.649999999999999</c:v>
                </c:pt>
                <c:pt idx="1744">
                  <c:v>34.06</c:v>
                </c:pt>
                <c:pt idx="1745">
                  <c:v>11.23</c:v>
                </c:pt>
                <c:pt idx="1746">
                  <c:v>11.91</c:v>
                </c:pt>
                <c:pt idx="1747">
                  <c:v>10.73</c:v>
                </c:pt>
                <c:pt idx="1748">
                  <c:v>2.04</c:v>
                </c:pt>
                <c:pt idx="1749">
                  <c:v>0.6</c:v>
                </c:pt>
              </c:numCache>
            </c:numRef>
          </c:yVal>
          <c:smooth val="0"/>
          <c:extLst xmlns:c16r2="http://schemas.microsoft.com/office/drawing/2015/06/chart">
            <c:ext xmlns:c16="http://schemas.microsoft.com/office/drawing/2014/chart" uri="{C3380CC4-5D6E-409C-BE32-E72D297353CC}">
              <c16:uniqueId val="{00000001-80C6-48FF-972C-B0235DFD7C15}"/>
            </c:ext>
          </c:extLst>
        </c:ser>
        <c:dLbls>
          <c:showLegendKey val="0"/>
          <c:showVal val="0"/>
          <c:showCatName val="0"/>
          <c:showSerName val="0"/>
          <c:showPercent val="0"/>
          <c:showBubbleSize val="0"/>
        </c:dLbls>
        <c:axId val="625066064"/>
        <c:axId val="625066624"/>
      </c:scatterChart>
      <c:valAx>
        <c:axId val="625066064"/>
        <c:scaling>
          <c:orientation val="minMax"/>
        </c:scaling>
        <c:delete val="0"/>
        <c:axPos val="b"/>
        <c:title>
          <c:tx>
            <c:rich>
              <a:bodyPr/>
              <a:lstStyle/>
              <a:p>
                <a:pPr>
                  <a:defRPr/>
                </a:pPr>
                <a:r>
                  <a:rPr lang="en-AU"/>
                  <a:t>Turbidity - FLNTUSB (NTU)</a:t>
                </a:r>
              </a:p>
            </c:rich>
          </c:tx>
          <c:overlay val="0"/>
        </c:title>
        <c:numFmt formatCode="General" sourceLinked="1"/>
        <c:majorTickMark val="out"/>
        <c:minorTickMark val="none"/>
        <c:tickLblPos val="nextTo"/>
        <c:crossAx val="625066624"/>
        <c:crosses val="autoZero"/>
        <c:crossBetween val="midCat"/>
      </c:valAx>
      <c:valAx>
        <c:axId val="625066624"/>
        <c:scaling>
          <c:orientation val="minMax"/>
          <c:max val="50"/>
        </c:scaling>
        <c:delete val="0"/>
        <c:axPos val="l"/>
        <c:majorGridlines>
          <c:spPr>
            <a:ln>
              <a:noFill/>
            </a:ln>
          </c:spPr>
        </c:majorGridlines>
        <c:title>
          <c:tx>
            <c:rich>
              <a:bodyPr rot="-5400000" vert="horz"/>
              <a:lstStyle/>
              <a:p>
                <a:pPr>
                  <a:defRPr/>
                </a:pPr>
                <a:r>
                  <a:rPr lang="en-AU"/>
                  <a:t>Suspended solids (mg L</a:t>
                </a:r>
                <a:r>
                  <a:rPr lang="en-AU" baseline="30000"/>
                  <a:t>-1</a:t>
                </a:r>
                <a:r>
                  <a:rPr lang="en-AU"/>
                  <a:t>)</a:t>
                </a:r>
              </a:p>
            </c:rich>
          </c:tx>
          <c:overlay val="0"/>
        </c:title>
        <c:numFmt formatCode="General" sourceLinked="1"/>
        <c:majorTickMark val="out"/>
        <c:minorTickMark val="none"/>
        <c:tickLblPos val="nextTo"/>
        <c:crossAx val="625066064"/>
        <c:crosses val="autoZero"/>
        <c:crossBetween val="midCat"/>
        <c:majorUnit val="10"/>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1" ma:contentTypeDescription="" ma:contentTypeScope="" ma:versionID="f41771c3f254d78a79e3b18b63e0aad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b371de03ca1b4b5272b2bcf92d22e30"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PROJ-1577287649-491</_dlc_DocId>
    <_dlc_DocIdUrl xmlns="8ccc4631-9afc-4718-b120-5e2e37a03cc7">
      <Url>http://thedock.gbrmpa.gov.au/sites/Projects/P000056/_layouts/DocIdRedir.aspx?ID=PROJ-1577287649-491</Url>
      <Description>PROJ-1577287649-491</Description>
    </_dlc_DocIdUrl>
    <IconOverlay xmlns="http://schemas.microsoft.com/sharepoint/v4" xsi:nil="true"/>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1B02CF-AA93-40EB-8A8C-621A6F0A5C84}">
  <ds:schemaRefs>
    <ds:schemaRef ds:uri="http://schemas.microsoft.com/sharepoint/v3/contenttype/forms"/>
  </ds:schemaRefs>
</ds:datastoreItem>
</file>

<file path=customXml/itemProps2.xml><?xml version="1.0" encoding="utf-8"?>
<ds:datastoreItem xmlns:ds="http://schemas.openxmlformats.org/officeDocument/2006/customXml" ds:itemID="{515ABA4F-BB73-489F-9532-8F4CE1981D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E043D83-3582-495A-B2C0-3270D629223C}">
  <ds:schemaRefs>
    <ds:schemaRef ds:uri="http://purl.org/dc/elements/1.1/"/>
    <ds:schemaRef ds:uri="http://purl.org/dc/terms/"/>
    <ds:schemaRef ds:uri="http://www.w3.org/XML/1998/namespace"/>
    <ds:schemaRef ds:uri="8ccc4631-9afc-4718-b120-5e2e37a03cc7"/>
    <ds:schemaRef ds:uri="http://schemas.microsoft.com/office/infopath/2007/PartnerControls"/>
    <ds:schemaRef ds:uri="http://schemas.microsoft.com/office/2006/metadata/properties"/>
    <ds:schemaRef ds:uri="http://schemas.microsoft.com/sharepoint/v4"/>
    <ds:schemaRef ds:uri="http://schemas.microsoft.com/office/2006/documentManagement/type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4BD648DB-828F-4F5D-BE6E-6134B2A667D2}">
  <ds:schemaRefs>
    <ds:schemaRef ds:uri="http://schemas.microsoft.com/sharepoint/events"/>
  </ds:schemaRefs>
</ds:datastoreItem>
</file>

<file path=customXml/itemProps5.xml><?xml version="1.0" encoding="utf-8"?>
<ds:datastoreItem xmlns:ds="http://schemas.openxmlformats.org/officeDocument/2006/customXml" ds:itemID="{8801936A-3B98-419F-9988-6C040D32F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357</Pages>
  <Words>95935</Words>
  <Characters>546830</Characters>
  <Application>Microsoft Office Word</Application>
  <DocSecurity>0</DocSecurity>
  <Lines>4556</Lines>
  <Paragraphs>1282</Paragraphs>
  <ScaleCrop>false</ScaleCrop>
  <HeadingPairs>
    <vt:vector size="2" baseType="variant">
      <vt:variant>
        <vt:lpstr>Title</vt:lpstr>
      </vt:variant>
      <vt:variant>
        <vt:i4>1</vt:i4>
      </vt:variant>
    </vt:vector>
  </HeadingPairs>
  <TitlesOfParts>
    <vt:vector size="1" baseType="lpstr">
      <vt:lpstr>Final MMP QAQC 2017-18</vt:lpstr>
    </vt:vector>
  </TitlesOfParts>
  <Company>GBRMPA</Company>
  <LinksUpToDate>false</LinksUpToDate>
  <CharactersWithSpaces>641483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MMP QAQC 2017-18</dc:title>
  <dc:subject/>
  <dc:creator>daniella</dc:creator>
  <cp:keywords/>
  <cp:lastModifiedBy>Joanna Ruxton</cp:lastModifiedBy>
  <cp:revision>2</cp:revision>
  <cp:lastPrinted>2019-07-01T22:38:00Z</cp:lastPrinted>
  <dcterms:created xsi:type="dcterms:W3CDTF">2019-08-19T01:57:00Z</dcterms:created>
  <dcterms:modified xsi:type="dcterms:W3CDTF">2019-08-19T01:57:00Z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y fmtid="{D5CDD505-2E9C-101B-9397-08002B2CF9AE}" pid="6" name="ContentTypeId">
    <vt:lpwstr>0x010100441936E5D27A4AF2935B3316DA024CF20099EC44274A21C14AB4E4B4AC8EB06ABC</vt:lpwstr>
  </property>
  <property fmtid="{D5CDD505-2E9C-101B-9397-08002B2CF9AE}" pid="7" name="ProjectPhase">
    <vt:lpwstr/>
  </property>
  <property fmtid="{D5CDD505-2E9C-101B-9397-08002B2CF9AE}" pid="8" name="WnC4Folder">
    <vt:lpwstr/>
  </property>
  <property fmtid="{D5CDD505-2E9C-101B-9397-08002B2CF9AE}" pid="9" name="Order">
    <vt:r8>3000</vt:r8>
  </property>
  <property fmtid="{D5CDD505-2E9C-101B-9397-08002B2CF9AE}" pid="10" name="TaxCatchAll">
    <vt:lpwstr/>
  </property>
  <property fmtid="{D5CDD505-2E9C-101B-9397-08002B2CF9AE}" pid="11" name="a2118650a77a4a97b805ceb1a6b3e3dc">
    <vt:lpwstr/>
  </property>
  <property fmtid="{D5CDD505-2E9C-101B-9397-08002B2CF9AE}" pid="12" name="_dlc_DocIdItemGuid">
    <vt:lpwstr>b66728af-f069-4888-83f8-40583b35b390</vt:lpwstr>
  </property>
  <property fmtid="{D5CDD505-2E9C-101B-9397-08002B2CF9AE}" pid="13" name="RecordPoint_WorkflowType">
    <vt:lpwstr>ActiveSubmit</vt:lpwstr>
  </property>
  <property fmtid="{D5CDD505-2E9C-101B-9397-08002B2CF9AE}" pid="14" name="RecordPoint_ActiveItemSiteId">
    <vt:lpwstr>{8ce9eba2-d4a5-4da0-9276-1d47a92e9210}</vt:lpwstr>
  </property>
  <property fmtid="{D5CDD505-2E9C-101B-9397-08002B2CF9AE}" pid="15" name="RecordPoint_ActiveItemListId">
    <vt:lpwstr>{4002bfb1-c390-4c44-aed9-c0f467baaffd}</vt:lpwstr>
  </property>
  <property fmtid="{D5CDD505-2E9C-101B-9397-08002B2CF9AE}" pid="16" name="RecordPoint_ActiveItemUniqueId">
    <vt:lpwstr>{b66728af-f069-4888-83f8-40583b35b390}</vt:lpwstr>
  </property>
  <property fmtid="{D5CDD505-2E9C-101B-9397-08002B2CF9AE}" pid="17" name="RecordPoint_ActiveItemWebId">
    <vt:lpwstr>{e7821751-c451-45dc-b45e-82cfe574dc6e}</vt:lpwstr>
  </property>
  <property fmtid="{D5CDD505-2E9C-101B-9397-08002B2CF9AE}" pid="18" name="RecordPoint_RecordNumberSubmitted">
    <vt:lpwstr>R0000591221</vt:lpwstr>
  </property>
  <property fmtid="{D5CDD505-2E9C-101B-9397-08002B2CF9AE}" pid="19" name="IconOverlay">
    <vt:lpwstr/>
  </property>
  <property fmtid="{D5CDD505-2E9C-101B-9397-08002B2CF9AE}" pid="20" name="RecordPoint_SubmissionCompleted">
    <vt:lpwstr>2019-08-13T22:14:57.7361230+10:00</vt:lpwstr>
  </property>
  <property fmtid="{D5CDD505-2E9C-101B-9397-08002B2CF9AE}" pid="21" name="RecordPoint_SubmissionDate">
    <vt:lpwstr/>
  </property>
  <property fmtid="{D5CDD505-2E9C-101B-9397-08002B2CF9AE}" pid="22" name="RecordPoint_ActiveItemMoved">
    <vt:lpwstr/>
  </property>
  <property fmtid="{D5CDD505-2E9C-101B-9397-08002B2CF9AE}" pid="23" name="RecordPoint_RecordFormat">
    <vt:lpwstr/>
  </property>
  <property fmtid="{D5CDD505-2E9C-101B-9397-08002B2CF9AE}" pid="24" name="TitusGUID">
    <vt:lpwstr>633a8ea4-7601-43e6-b66d-c09d60384080</vt:lpwstr>
  </property>
  <property fmtid="{D5CDD505-2E9C-101B-9397-08002B2CF9AE}" pid="25" name="SEC">
    <vt:lpwstr>UNCLASSIFIED</vt:lpwstr>
  </property>
  <property fmtid="{D5CDD505-2E9C-101B-9397-08002B2CF9AE}" pid="26" name="DLM">
    <vt:lpwstr>No DLM</vt:lpwstr>
  </property>
</Properties>
</file>